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551554" w14:textId="77777777" w:rsidR="001D3D6D" w:rsidRPr="008B6A75" w:rsidRDefault="001D3D6D" w:rsidP="00267FB0">
      <w:pPr>
        <w:tabs>
          <w:tab w:val="left" w:pos="284"/>
        </w:tabs>
        <w:jc w:val="center"/>
        <w:rPr>
          <w:rFonts w:eastAsia="Calibri"/>
          <w:sz w:val="20"/>
          <w:szCs w:val="20"/>
        </w:rPr>
      </w:pPr>
      <w:r w:rsidRPr="008B6A75">
        <w:rPr>
          <w:rFonts w:eastAsia="Calibri"/>
          <w:sz w:val="20"/>
          <w:szCs w:val="20"/>
        </w:rPr>
        <w:t>СОДЕРЖАНИЕ</w:t>
      </w:r>
    </w:p>
    <w:p w14:paraId="11200D89" w14:textId="77777777" w:rsidR="001D3D6D" w:rsidRPr="008B6A75" w:rsidRDefault="001D3D6D" w:rsidP="00267FB0">
      <w:pPr>
        <w:jc w:val="center"/>
        <w:rPr>
          <w:rFonts w:eastAsia="Calibri"/>
          <w:sz w:val="20"/>
          <w:szCs w:val="20"/>
        </w:rPr>
      </w:pPr>
    </w:p>
    <w:p w14:paraId="2E7B0322" w14:textId="58F2D958" w:rsidR="009C55D2" w:rsidRPr="008B6A75" w:rsidRDefault="009C55D2" w:rsidP="009C55D2">
      <w:pPr>
        <w:jc w:val="both"/>
        <w:rPr>
          <w:rFonts w:eastAsia="Calibri"/>
          <w:sz w:val="20"/>
          <w:szCs w:val="20"/>
        </w:rPr>
      </w:pPr>
      <w:r w:rsidRPr="008B6A75">
        <w:rPr>
          <w:rFonts w:eastAsia="Calibri"/>
          <w:sz w:val="20"/>
          <w:szCs w:val="20"/>
          <w:lang w:val="en-US"/>
        </w:rPr>
        <w:t>I</w:t>
      </w:r>
      <w:r w:rsidRPr="008B6A75">
        <w:rPr>
          <w:rFonts w:eastAsia="Calibri"/>
          <w:sz w:val="20"/>
          <w:szCs w:val="20"/>
        </w:rPr>
        <w:t>.</w:t>
      </w:r>
      <w:r w:rsidRPr="008B6A75">
        <w:rPr>
          <w:rFonts w:eastAsia="Calibri"/>
          <w:sz w:val="20"/>
          <w:szCs w:val="20"/>
          <w:lang w:val="en-US"/>
        </w:rPr>
        <w:t> </w:t>
      </w:r>
      <w:r w:rsidRPr="008B6A75">
        <w:rPr>
          <w:rFonts w:eastAsia="Calibri"/>
          <w:sz w:val="20"/>
          <w:szCs w:val="20"/>
        </w:rPr>
        <w:t>РЕШЕНИЯ СОВЕТА ДЕПУТАТОВ КУЙБЫШЕВСКОГО МУНИЦИПАЛЬНОГО РАЙОНА НОВОСИБИРСКОЙ ОБЛАСТИ..................................................................................</w:t>
      </w:r>
      <w:r w:rsidR="008B6A75" w:rsidRPr="008B6A75">
        <w:rPr>
          <w:rFonts w:eastAsia="Calibri"/>
          <w:sz w:val="20"/>
          <w:szCs w:val="20"/>
        </w:rPr>
        <w:t>...........................</w:t>
      </w:r>
      <w:r w:rsidRPr="008B6A75">
        <w:rPr>
          <w:rFonts w:eastAsia="Calibri"/>
          <w:sz w:val="20"/>
          <w:szCs w:val="20"/>
        </w:rPr>
        <w:t>.............................................................стр. 4</w:t>
      </w:r>
    </w:p>
    <w:p w14:paraId="4034096A" w14:textId="77777777" w:rsidR="009C55D2" w:rsidRPr="008B6A75" w:rsidRDefault="009C55D2" w:rsidP="009C55D2">
      <w:pPr>
        <w:jc w:val="both"/>
        <w:rPr>
          <w:rFonts w:eastAsia="Calibri"/>
          <w:sz w:val="20"/>
          <w:szCs w:val="20"/>
        </w:rPr>
      </w:pPr>
    </w:p>
    <w:p w14:paraId="275A0E16" w14:textId="6912401D" w:rsidR="009C55D2" w:rsidRPr="008B6A75" w:rsidRDefault="009C55D2" w:rsidP="009C55D2">
      <w:pPr>
        <w:jc w:val="both"/>
        <w:rPr>
          <w:rFonts w:eastAsia="Calibri"/>
          <w:sz w:val="20"/>
          <w:szCs w:val="20"/>
        </w:rPr>
      </w:pPr>
      <w:r w:rsidRPr="008B6A75">
        <w:rPr>
          <w:rFonts w:eastAsia="Calibri"/>
          <w:sz w:val="20"/>
          <w:szCs w:val="20"/>
        </w:rPr>
        <w:t>Решения 23-ей сессии Совета депутатов Куйбышевского муниципального района Новосибирской области четвертого созыва от 03.11.2022………………………</w:t>
      </w:r>
      <w:r w:rsidR="00150484">
        <w:rPr>
          <w:rFonts w:eastAsia="Calibri"/>
          <w:sz w:val="20"/>
          <w:szCs w:val="20"/>
        </w:rPr>
        <w:t>……………………………</w:t>
      </w:r>
      <w:proofErr w:type="gramStart"/>
      <w:r w:rsidR="00150484">
        <w:rPr>
          <w:rFonts w:eastAsia="Calibri"/>
          <w:sz w:val="20"/>
          <w:szCs w:val="20"/>
        </w:rPr>
        <w:t>…….</w:t>
      </w:r>
      <w:proofErr w:type="gramEnd"/>
      <w:r w:rsidR="00150484">
        <w:rPr>
          <w:rFonts w:eastAsia="Calibri"/>
          <w:sz w:val="20"/>
          <w:szCs w:val="20"/>
        </w:rPr>
        <w:t>.…………………………..</w:t>
      </w:r>
      <w:r w:rsidRPr="008B6A75">
        <w:rPr>
          <w:rFonts w:eastAsia="Calibri"/>
          <w:sz w:val="20"/>
          <w:szCs w:val="20"/>
        </w:rPr>
        <w:t>..стр.4</w:t>
      </w:r>
    </w:p>
    <w:p w14:paraId="3EB19389" w14:textId="77777777" w:rsidR="009C55D2" w:rsidRPr="008B6A75" w:rsidRDefault="009C55D2" w:rsidP="00267FB0">
      <w:pPr>
        <w:jc w:val="both"/>
        <w:rPr>
          <w:rFonts w:eastAsia="Calibri"/>
          <w:sz w:val="20"/>
          <w:szCs w:val="20"/>
        </w:rPr>
      </w:pPr>
    </w:p>
    <w:p w14:paraId="2EF313C0" w14:textId="4FA44F2B" w:rsidR="00921570" w:rsidRPr="008B6A75" w:rsidRDefault="009C55D2" w:rsidP="00267FB0">
      <w:pPr>
        <w:jc w:val="both"/>
        <w:rPr>
          <w:rFonts w:eastAsia="Calibri"/>
          <w:sz w:val="20"/>
          <w:szCs w:val="20"/>
        </w:rPr>
      </w:pPr>
      <w:r w:rsidRPr="008B6A75">
        <w:rPr>
          <w:rFonts w:eastAsia="Calibri"/>
          <w:sz w:val="20"/>
          <w:szCs w:val="20"/>
          <w:lang w:val="en-US"/>
        </w:rPr>
        <w:t>I</w:t>
      </w:r>
      <w:r w:rsidR="00921570" w:rsidRPr="008B6A75">
        <w:rPr>
          <w:rFonts w:eastAsia="Calibri"/>
          <w:sz w:val="20"/>
          <w:szCs w:val="20"/>
          <w:lang w:val="en-US"/>
        </w:rPr>
        <w:t>I</w:t>
      </w:r>
      <w:r w:rsidR="00921570" w:rsidRPr="008B6A75">
        <w:rPr>
          <w:rFonts w:eastAsia="Calibri"/>
          <w:sz w:val="20"/>
          <w:szCs w:val="20"/>
        </w:rPr>
        <w:t>. МУНИЦИПАЛЬНЫЕ ПРАВОВЫЕ АКТЫ АДМИНИСТРАЦИИ И ГЛАВЫ КУЙБЫШЕВСКОГО МУНИЦИПАЛЬНОГО РАЙОНА НОВОСИБИРСКОЙ ОБЛАСТИ..........................</w:t>
      </w:r>
      <w:r w:rsidR="002E217F" w:rsidRPr="008B6A75">
        <w:rPr>
          <w:rFonts w:eastAsia="Calibri"/>
          <w:sz w:val="20"/>
          <w:szCs w:val="20"/>
        </w:rPr>
        <w:t>.......</w:t>
      </w:r>
      <w:r w:rsidR="00921570" w:rsidRPr="008B6A75">
        <w:rPr>
          <w:rFonts w:eastAsia="Calibri"/>
          <w:sz w:val="20"/>
          <w:szCs w:val="20"/>
        </w:rPr>
        <w:t>..................................</w:t>
      </w:r>
      <w:r w:rsidR="00150484">
        <w:rPr>
          <w:rFonts w:eastAsia="Calibri"/>
          <w:sz w:val="20"/>
          <w:szCs w:val="20"/>
        </w:rPr>
        <w:t>.....стр.228</w:t>
      </w:r>
    </w:p>
    <w:p w14:paraId="3E49779B" w14:textId="77777777" w:rsidR="00921570" w:rsidRPr="008B6A75" w:rsidRDefault="00921570" w:rsidP="00267FB0">
      <w:pPr>
        <w:jc w:val="both"/>
        <w:rPr>
          <w:rFonts w:eastAsia="Calibri"/>
          <w:sz w:val="20"/>
          <w:szCs w:val="20"/>
        </w:rPr>
      </w:pPr>
    </w:p>
    <w:p w14:paraId="158399A7" w14:textId="0E3A9517" w:rsidR="00505632" w:rsidRPr="008B6A75" w:rsidRDefault="00505632" w:rsidP="00505632">
      <w:pPr>
        <w:jc w:val="both"/>
        <w:rPr>
          <w:rFonts w:eastAsia="Calibri"/>
          <w:sz w:val="20"/>
          <w:szCs w:val="20"/>
        </w:rPr>
      </w:pPr>
      <w:r w:rsidRPr="008B6A75">
        <w:rPr>
          <w:rFonts w:eastAsia="Calibri"/>
          <w:sz w:val="20"/>
          <w:szCs w:val="20"/>
        </w:rPr>
        <w:t>Постановление от 31.10.2022 № 852 - О назначении публичных слушаний…………………………………</w:t>
      </w:r>
      <w:r w:rsidR="00150484">
        <w:rPr>
          <w:rFonts w:eastAsia="Calibri"/>
          <w:sz w:val="20"/>
          <w:szCs w:val="20"/>
        </w:rPr>
        <w:t>…...</w:t>
      </w:r>
      <w:r w:rsidRPr="008B6A75">
        <w:rPr>
          <w:rFonts w:eastAsia="Calibri"/>
          <w:sz w:val="20"/>
          <w:szCs w:val="20"/>
        </w:rPr>
        <w:t>стр.</w:t>
      </w:r>
      <w:r w:rsidR="00150484">
        <w:rPr>
          <w:rFonts w:eastAsia="Calibri"/>
          <w:sz w:val="20"/>
          <w:szCs w:val="20"/>
        </w:rPr>
        <w:t>228</w:t>
      </w:r>
    </w:p>
    <w:p w14:paraId="2855F9F7" w14:textId="77777777" w:rsidR="00505632" w:rsidRPr="008B6A75" w:rsidRDefault="00505632" w:rsidP="00505632">
      <w:pPr>
        <w:jc w:val="both"/>
        <w:rPr>
          <w:rFonts w:eastAsia="Calibri"/>
          <w:sz w:val="20"/>
          <w:szCs w:val="20"/>
        </w:rPr>
      </w:pPr>
    </w:p>
    <w:p w14:paraId="74AA5AC1" w14:textId="3680A58C" w:rsidR="00505632" w:rsidRPr="008B6A75" w:rsidRDefault="00505632" w:rsidP="00505632">
      <w:pPr>
        <w:jc w:val="both"/>
        <w:rPr>
          <w:rFonts w:eastAsia="Calibri"/>
          <w:sz w:val="20"/>
          <w:szCs w:val="20"/>
        </w:rPr>
      </w:pPr>
      <w:r w:rsidRPr="008B6A75">
        <w:rPr>
          <w:rFonts w:eastAsia="Calibri"/>
          <w:sz w:val="20"/>
          <w:szCs w:val="20"/>
        </w:rPr>
        <w:t>Постановление от 02.11.2022 № 855 - Об утверждении Программы профилактики рисков причинения вреда (ущерба) охраняемым законом ценностям при осуществлении муниципального земельного контроля на территории сельских поселений Куйбышевского муниципального района Новосибирской области…………………</w:t>
      </w:r>
      <w:proofErr w:type="gramStart"/>
      <w:r w:rsidRPr="008B6A75">
        <w:rPr>
          <w:rFonts w:eastAsia="Calibri"/>
          <w:sz w:val="20"/>
          <w:szCs w:val="20"/>
        </w:rPr>
        <w:t>……</w:t>
      </w:r>
      <w:r w:rsidR="00150484">
        <w:rPr>
          <w:rFonts w:eastAsia="Calibri"/>
          <w:sz w:val="20"/>
          <w:szCs w:val="20"/>
        </w:rPr>
        <w:t>.</w:t>
      </w:r>
      <w:proofErr w:type="gramEnd"/>
      <w:r w:rsidR="00150484">
        <w:rPr>
          <w:rFonts w:eastAsia="Calibri"/>
          <w:sz w:val="20"/>
          <w:szCs w:val="20"/>
        </w:rPr>
        <w:t>.</w:t>
      </w:r>
      <w:r w:rsidRPr="008B6A75">
        <w:rPr>
          <w:rFonts w:eastAsia="Calibri"/>
          <w:sz w:val="20"/>
          <w:szCs w:val="20"/>
        </w:rPr>
        <w:t>стр.</w:t>
      </w:r>
      <w:r w:rsidR="00150484">
        <w:rPr>
          <w:rFonts w:eastAsia="Calibri"/>
          <w:sz w:val="20"/>
          <w:szCs w:val="20"/>
        </w:rPr>
        <w:t>229</w:t>
      </w:r>
    </w:p>
    <w:p w14:paraId="056352B9" w14:textId="77777777" w:rsidR="00505632" w:rsidRPr="008B6A75" w:rsidRDefault="00505632" w:rsidP="00505632">
      <w:pPr>
        <w:jc w:val="both"/>
        <w:rPr>
          <w:rFonts w:eastAsia="Calibri"/>
          <w:sz w:val="20"/>
          <w:szCs w:val="20"/>
        </w:rPr>
      </w:pPr>
    </w:p>
    <w:p w14:paraId="46689C11" w14:textId="5D2F0504" w:rsidR="00505632" w:rsidRPr="008B6A75" w:rsidRDefault="00505632" w:rsidP="00505632">
      <w:pPr>
        <w:jc w:val="both"/>
        <w:rPr>
          <w:rFonts w:eastAsia="Calibri"/>
          <w:sz w:val="20"/>
          <w:szCs w:val="20"/>
        </w:rPr>
      </w:pPr>
      <w:r w:rsidRPr="008B6A75">
        <w:rPr>
          <w:rFonts w:eastAsia="Calibri"/>
          <w:sz w:val="20"/>
          <w:szCs w:val="20"/>
        </w:rPr>
        <w:t>Постановление от 03.11.2022 № 860 - О проведении общественных обсуждений по проекту решения о предоставлении разрешения на условно разрешенный вид использова</w:t>
      </w:r>
      <w:r w:rsidR="008B6A75" w:rsidRPr="008B6A75">
        <w:rPr>
          <w:rFonts w:eastAsia="Calibri"/>
          <w:sz w:val="20"/>
          <w:szCs w:val="20"/>
        </w:rPr>
        <w:t>ния земельного участка………………</w:t>
      </w:r>
      <w:r w:rsidRPr="008B6A75">
        <w:rPr>
          <w:rFonts w:eastAsia="Calibri"/>
          <w:sz w:val="20"/>
          <w:szCs w:val="20"/>
        </w:rPr>
        <w:t>стр.</w:t>
      </w:r>
      <w:r w:rsidR="00150484">
        <w:rPr>
          <w:rFonts w:eastAsia="Calibri"/>
          <w:sz w:val="20"/>
          <w:szCs w:val="20"/>
        </w:rPr>
        <w:t>233</w:t>
      </w:r>
    </w:p>
    <w:p w14:paraId="4E693C74" w14:textId="77777777" w:rsidR="00505632" w:rsidRPr="008B6A75" w:rsidRDefault="00505632" w:rsidP="00505632">
      <w:pPr>
        <w:jc w:val="both"/>
        <w:rPr>
          <w:rFonts w:eastAsia="Calibri"/>
          <w:sz w:val="20"/>
          <w:szCs w:val="20"/>
        </w:rPr>
      </w:pPr>
    </w:p>
    <w:p w14:paraId="36381F0E" w14:textId="08E028AF" w:rsidR="00505632" w:rsidRPr="008B6A75" w:rsidRDefault="00505632" w:rsidP="00505632">
      <w:pPr>
        <w:jc w:val="both"/>
        <w:rPr>
          <w:rFonts w:eastAsia="Calibri"/>
          <w:sz w:val="20"/>
          <w:szCs w:val="20"/>
        </w:rPr>
      </w:pPr>
      <w:r w:rsidRPr="008B6A75">
        <w:rPr>
          <w:rFonts w:eastAsia="Calibri"/>
          <w:sz w:val="20"/>
          <w:szCs w:val="20"/>
        </w:rPr>
        <w:t>Постановление от 03.11.2022 № 861 - О проведении общественных обсуждений по проекту решения о предоставлении разрешения на условно разрешенный вид использования земе</w:t>
      </w:r>
      <w:r w:rsidR="008B6A75" w:rsidRPr="008B6A75">
        <w:rPr>
          <w:rFonts w:eastAsia="Calibri"/>
          <w:sz w:val="20"/>
          <w:szCs w:val="20"/>
        </w:rPr>
        <w:t>льного участка…………</w:t>
      </w:r>
      <w:proofErr w:type="gramStart"/>
      <w:r w:rsidR="00150484">
        <w:rPr>
          <w:rFonts w:eastAsia="Calibri"/>
          <w:sz w:val="20"/>
          <w:szCs w:val="20"/>
        </w:rPr>
        <w:t>……</w:t>
      </w:r>
      <w:r w:rsidRPr="008B6A75">
        <w:rPr>
          <w:rFonts w:eastAsia="Calibri"/>
          <w:sz w:val="20"/>
          <w:szCs w:val="20"/>
        </w:rPr>
        <w:t>.</w:t>
      </w:r>
      <w:proofErr w:type="gramEnd"/>
      <w:r w:rsidRPr="008B6A75">
        <w:rPr>
          <w:rFonts w:eastAsia="Calibri"/>
          <w:sz w:val="20"/>
          <w:szCs w:val="20"/>
        </w:rPr>
        <w:t>стр.</w:t>
      </w:r>
      <w:r w:rsidR="00150484">
        <w:rPr>
          <w:rFonts w:eastAsia="Calibri"/>
          <w:sz w:val="20"/>
          <w:szCs w:val="20"/>
        </w:rPr>
        <w:t>235</w:t>
      </w:r>
    </w:p>
    <w:p w14:paraId="3640FF4A" w14:textId="77777777" w:rsidR="00505632" w:rsidRPr="008B6A75" w:rsidRDefault="00505632" w:rsidP="00505632">
      <w:pPr>
        <w:jc w:val="both"/>
        <w:rPr>
          <w:rFonts w:eastAsia="Calibri"/>
          <w:sz w:val="20"/>
          <w:szCs w:val="20"/>
        </w:rPr>
      </w:pPr>
    </w:p>
    <w:p w14:paraId="220C1EA0" w14:textId="1A857188" w:rsidR="00505632" w:rsidRPr="008B6A75" w:rsidRDefault="00505632" w:rsidP="00505632">
      <w:pPr>
        <w:jc w:val="both"/>
        <w:rPr>
          <w:rFonts w:eastAsia="Calibri"/>
          <w:sz w:val="20"/>
          <w:szCs w:val="20"/>
        </w:rPr>
      </w:pPr>
      <w:r w:rsidRPr="008B6A75">
        <w:rPr>
          <w:rFonts w:eastAsia="Calibri"/>
          <w:sz w:val="20"/>
          <w:szCs w:val="20"/>
        </w:rPr>
        <w:t>Постановление от 03.11.2022 № 862 - О проведении общественных обсуждений по проектам внесения изменений в Правила землепользования и застройки Октябрьского сельсовета Куйбышевского района Новосибирской области и в Генеральный план Октябрьского сельсовета Куйбышевского района Новосибирской области……………стр.</w:t>
      </w:r>
      <w:r w:rsidR="00150484">
        <w:rPr>
          <w:rFonts w:eastAsia="Calibri"/>
          <w:sz w:val="20"/>
          <w:szCs w:val="20"/>
        </w:rPr>
        <w:t>236</w:t>
      </w:r>
    </w:p>
    <w:p w14:paraId="768E88DB" w14:textId="77777777" w:rsidR="00505632" w:rsidRPr="008B6A75" w:rsidRDefault="00505632" w:rsidP="00505632">
      <w:pPr>
        <w:jc w:val="both"/>
        <w:rPr>
          <w:rFonts w:eastAsia="Calibri"/>
          <w:sz w:val="20"/>
          <w:szCs w:val="20"/>
        </w:rPr>
      </w:pPr>
    </w:p>
    <w:p w14:paraId="45FF9EFD" w14:textId="09A10B3D" w:rsidR="00505632" w:rsidRPr="008B6A75" w:rsidRDefault="00505632" w:rsidP="00505632">
      <w:pPr>
        <w:jc w:val="both"/>
        <w:rPr>
          <w:rFonts w:eastAsia="Calibri"/>
          <w:sz w:val="20"/>
          <w:szCs w:val="20"/>
        </w:rPr>
      </w:pPr>
      <w:r w:rsidRPr="008B6A75">
        <w:rPr>
          <w:rFonts w:eastAsia="Calibri"/>
          <w:sz w:val="20"/>
          <w:szCs w:val="20"/>
        </w:rPr>
        <w:t xml:space="preserve">Постановление от 03.11.2022 № 863 - О признании утратившим силу постановления администрации Куйбышевского района от 27.08.2012 № </w:t>
      </w:r>
      <w:r w:rsidR="00150484">
        <w:rPr>
          <w:rFonts w:eastAsia="Calibri"/>
          <w:sz w:val="20"/>
          <w:szCs w:val="20"/>
        </w:rPr>
        <w:t>1393……………………………………………………………………</w:t>
      </w:r>
      <w:r w:rsidRPr="008B6A75">
        <w:rPr>
          <w:rFonts w:eastAsia="Calibri"/>
          <w:sz w:val="20"/>
          <w:szCs w:val="20"/>
        </w:rPr>
        <w:t>стр.</w:t>
      </w:r>
      <w:r w:rsidR="00150484">
        <w:rPr>
          <w:rFonts w:eastAsia="Calibri"/>
          <w:sz w:val="20"/>
          <w:szCs w:val="20"/>
        </w:rPr>
        <w:t>238</w:t>
      </w:r>
    </w:p>
    <w:p w14:paraId="552524A1" w14:textId="77777777" w:rsidR="00505632" w:rsidRPr="008B6A75" w:rsidRDefault="00505632" w:rsidP="00505632">
      <w:pPr>
        <w:jc w:val="both"/>
        <w:rPr>
          <w:rFonts w:eastAsia="Calibri"/>
          <w:sz w:val="20"/>
          <w:szCs w:val="20"/>
        </w:rPr>
      </w:pPr>
    </w:p>
    <w:p w14:paraId="7A8338F5" w14:textId="0238E8D9" w:rsidR="00505632" w:rsidRPr="008B6A75" w:rsidRDefault="00505632" w:rsidP="00505632">
      <w:pPr>
        <w:jc w:val="both"/>
        <w:rPr>
          <w:rFonts w:eastAsia="Calibri"/>
          <w:sz w:val="20"/>
          <w:szCs w:val="20"/>
        </w:rPr>
      </w:pPr>
      <w:r w:rsidRPr="008B6A75">
        <w:rPr>
          <w:rFonts w:eastAsia="Calibri"/>
          <w:sz w:val="20"/>
          <w:szCs w:val="20"/>
        </w:rPr>
        <w:t>Постановление от 03.11.2022 № 864 - О признании утратившим силу постановления администрации Куйбышевского района от 15.03.2011 № 293………………………</w:t>
      </w:r>
      <w:r w:rsidR="008B6A75" w:rsidRPr="008B6A75">
        <w:rPr>
          <w:rFonts w:eastAsia="Calibri"/>
          <w:sz w:val="20"/>
          <w:szCs w:val="20"/>
        </w:rPr>
        <w:t>…………………</w:t>
      </w:r>
      <w:r w:rsidRPr="008B6A75">
        <w:rPr>
          <w:rFonts w:eastAsia="Calibri"/>
          <w:sz w:val="20"/>
          <w:szCs w:val="20"/>
        </w:rPr>
        <w:t>……………………………стр.</w:t>
      </w:r>
      <w:r w:rsidR="00150484">
        <w:rPr>
          <w:rFonts w:eastAsia="Calibri"/>
          <w:sz w:val="20"/>
          <w:szCs w:val="20"/>
        </w:rPr>
        <w:t>239</w:t>
      </w:r>
    </w:p>
    <w:p w14:paraId="0CFB240F" w14:textId="77777777" w:rsidR="00505632" w:rsidRPr="008B6A75" w:rsidRDefault="00505632" w:rsidP="00505632">
      <w:pPr>
        <w:jc w:val="both"/>
        <w:rPr>
          <w:rFonts w:eastAsia="Calibri"/>
          <w:sz w:val="20"/>
          <w:szCs w:val="20"/>
        </w:rPr>
      </w:pPr>
    </w:p>
    <w:p w14:paraId="172D022C" w14:textId="6D5373BA" w:rsidR="00505632" w:rsidRPr="008B6A75" w:rsidRDefault="00505632" w:rsidP="00505632">
      <w:pPr>
        <w:jc w:val="both"/>
        <w:rPr>
          <w:rFonts w:eastAsia="Calibri"/>
          <w:sz w:val="20"/>
          <w:szCs w:val="20"/>
        </w:rPr>
      </w:pPr>
      <w:r w:rsidRPr="008B6A75">
        <w:rPr>
          <w:rFonts w:eastAsia="Calibri"/>
          <w:sz w:val="20"/>
          <w:szCs w:val="20"/>
        </w:rPr>
        <w:t>Постановление от 03.11.2022 № 865 - Об изменении типа муниципальных бюджетных учреждений Куйбышевского муниципального района Новосибирской области………………………………………</w:t>
      </w:r>
      <w:r w:rsidR="00150484">
        <w:rPr>
          <w:rFonts w:eastAsia="Calibri"/>
          <w:sz w:val="20"/>
          <w:szCs w:val="20"/>
        </w:rPr>
        <w:t>……………………</w:t>
      </w:r>
      <w:proofErr w:type="gramStart"/>
      <w:r w:rsidR="00150484">
        <w:rPr>
          <w:rFonts w:eastAsia="Calibri"/>
          <w:sz w:val="20"/>
          <w:szCs w:val="20"/>
        </w:rPr>
        <w:t>……</w:t>
      </w:r>
      <w:r w:rsidRPr="008B6A75">
        <w:rPr>
          <w:rFonts w:eastAsia="Calibri"/>
          <w:sz w:val="20"/>
          <w:szCs w:val="20"/>
        </w:rPr>
        <w:t>.</w:t>
      </w:r>
      <w:proofErr w:type="gramEnd"/>
      <w:r w:rsidRPr="008B6A75">
        <w:rPr>
          <w:rFonts w:eastAsia="Calibri"/>
          <w:sz w:val="20"/>
          <w:szCs w:val="20"/>
        </w:rPr>
        <w:t>.стр.</w:t>
      </w:r>
      <w:r w:rsidR="00150484">
        <w:rPr>
          <w:rFonts w:eastAsia="Calibri"/>
          <w:sz w:val="20"/>
          <w:szCs w:val="20"/>
        </w:rPr>
        <w:t>239</w:t>
      </w:r>
    </w:p>
    <w:p w14:paraId="19A318B0" w14:textId="77777777" w:rsidR="00505632" w:rsidRPr="008B6A75" w:rsidRDefault="00505632" w:rsidP="00505632">
      <w:pPr>
        <w:jc w:val="both"/>
        <w:rPr>
          <w:rFonts w:eastAsia="Calibri"/>
          <w:sz w:val="20"/>
          <w:szCs w:val="20"/>
        </w:rPr>
      </w:pPr>
    </w:p>
    <w:p w14:paraId="48022D96" w14:textId="49A0CAA4" w:rsidR="00921570" w:rsidRPr="008B6A75" w:rsidRDefault="009C55D2" w:rsidP="00267FB0">
      <w:pPr>
        <w:tabs>
          <w:tab w:val="left" w:pos="5146"/>
        </w:tabs>
        <w:jc w:val="both"/>
        <w:rPr>
          <w:rFonts w:eastAsia="Calibri"/>
          <w:sz w:val="20"/>
          <w:szCs w:val="20"/>
        </w:rPr>
      </w:pPr>
      <w:r w:rsidRPr="008B6A75">
        <w:rPr>
          <w:rFonts w:eastAsia="Calibri"/>
          <w:sz w:val="20"/>
          <w:szCs w:val="20"/>
          <w:lang w:val="en-US"/>
        </w:rPr>
        <w:t>I</w:t>
      </w:r>
      <w:r w:rsidR="00921570" w:rsidRPr="008B6A75">
        <w:rPr>
          <w:rFonts w:eastAsia="Calibri"/>
          <w:sz w:val="20"/>
          <w:szCs w:val="20"/>
        </w:rPr>
        <w:t>II. ОФИЦИАЛЬНЫЕ СООБЩЕНИЯ И МАТЕРИАЛЫ ОРГАНОВ МЕСТНОГО САМОУПРАВЛЕНИЯ КУЙБЫШЕВСКОГО МУНИЦИПАЛЬНОГО РАЙОНА НОВОСИБИРСКОЙ ОБЛАСТИ.............</w:t>
      </w:r>
      <w:r w:rsidR="002E217F" w:rsidRPr="008B6A75">
        <w:rPr>
          <w:rFonts w:eastAsia="Calibri"/>
          <w:sz w:val="20"/>
          <w:szCs w:val="20"/>
        </w:rPr>
        <w:t>.</w:t>
      </w:r>
      <w:r w:rsidR="008B6A75" w:rsidRPr="008B6A75">
        <w:rPr>
          <w:rFonts w:eastAsia="Calibri"/>
          <w:sz w:val="20"/>
          <w:szCs w:val="20"/>
        </w:rPr>
        <w:t>.......</w:t>
      </w:r>
      <w:r w:rsidR="00150484">
        <w:rPr>
          <w:rFonts w:eastAsia="Calibri"/>
          <w:sz w:val="20"/>
          <w:szCs w:val="20"/>
        </w:rPr>
        <w:t>.............стр.242</w:t>
      </w:r>
    </w:p>
    <w:p w14:paraId="169B9DF9" w14:textId="77777777" w:rsidR="00921570" w:rsidRPr="008B6A75" w:rsidRDefault="00921570" w:rsidP="00267FB0">
      <w:pPr>
        <w:tabs>
          <w:tab w:val="left" w:pos="5146"/>
        </w:tabs>
        <w:jc w:val="center"/>
        <w:rPr>
          <w:rFonts w:eastAsia="Calibri"/>
          <w:sz w:val="20"/>
          <w:szCs w:val="20"/>
        </w:rPr>
      </w:pPr>
    </w:p>
    <w:p w14:paraId="188EC89A" w14:textId="0B842B81" w:rsidR="00505632" w:rsidRPr="008B6A75" w:rsidRDefault="00505632" w:rsidP="00505632">
      <w:pPr>
        <w:jc w:val="both"/>
        <w:rPr>
          <w:rFonts w:eastAsia="Calibri"/>
          <w:sz w:val="20"/>
          <w:szCs w:val="20"/>
        </w:rPr>
      </w:pPr>
      <w:r w:rsidRPr="008B6A75">
        <w:rPr>
          <w:rFonts w:eastAsia="Calibri"/>
          <w:sz w:val="20"/>
          <w:szCs w:val="20"/>
        </w:rPr>
        <w:t xml:space="preserve">Оповещение о начале общественных обсуждений (Куйбышевский район, аул </w:t>
      </w:r>
      <w:proofErr w:type="spellStart"/>
      <w:proofErr w:type="gramStart"/>
      <w:r w:rsidRPr="008B6A75">
        <w:rPr>
          <w:rFonts w:eastAsia="Calibri"/>
          <w:sz w:val="20"/>
          <w:szCs w:val="20"/>
        </w:rPr>
        <w:t>Шагир</w:t>
      </w:r>
      <w:proofErr w:type="spellEnd"/>
      <w:r w:rsidRPr="008B6A75">
        <w:rPr>
          <w:rFonts w:eastAsia="Calibri"/>
          <w:sz w:val="20"/>
          <w:szCs w:val="20"/>
        </w:rPr>
        <w:t>)…</w:t>
      </w:r>
      <w:proofErr w:type="gramEnd"/>
      <w:r w:rsidRPr="008B6A75">
        <w:rPr>
          <w:rFonts w:eastAsia="Calibri"/>
          <w:sz w:val="20"/>
          <w:szCs w:val="20"/>
        </w:rPr>
        <w:t>……………………</w:t>
      </w:r>
      <w:r w:rsidR="00150484">
        <w:rPr>
          <w:rFonts w:eastAsia="Calibri"/>
          <w:sz w:val="20"/>
          <w:szCs w:val="20"/>
        </w:rPr>
        <w:t>...</w:t>
      </w:r>
      <w:r w:rsidRPr="008B6A75">
        <w:rPr>
          <w:rFonts w:eastAsia="Calibri"/>
          <w:sz w:val="20"/>
          <w:szCs w:val="20"/>
        </w:rPr>
        <w:t>стр.</w:t>
      </w:r>
      <w:r w:rsidR="00150484">
        <w:rPr>
          <w:rFonts w:eastAsia="Calibri"/>
          <w:sz w:val="20"/>
          <w:szCs w:val="20"/>
        </w:rPr>
        <w:t>242</w:t>
      </w:r>
    </w:p>
    <w:p w14:paraId="66C9AD4F" w14:textId="77777777" w:rsidR="00505632" w:rsidRPr="008B6A75" w:rsidRDefault="00505632" w:rsidP="00505632">
      <w:pPr>
        <w:jc w:val="both"/>
        <w:rPr>
          <w:rFonts w:eastAsia="Calibri"/>
          <w:sz w:val="20"/>
          <w:szCs w:val="20"/>
        </w:rPr>
      </w:pPr>
    </w:p>
    <w:p w14:paraId="38B28A65" w14:textId="0CB4AF2B" w:rsidR="00505632" w:rsidRPr="008B6A75" w:rsidRDefault="00505632" w:rsidP="00505632">
      <w:pPr>
        <w:jc w:val="both"/>
        <w:rPr>
          <w:rFonts w:eastAsia="Calibri"/>
          <w:sz w:val="20"/>
          <w:szCs w:val="20"/>
        </w:rPr>
      </w:pPr>
      <w:r w:rsidRPr="008B6A75">
        <w:rPr>
          <w:rFonts w:eastAsia="Calibri"/>
          <w:sz w:val="20"/>
          <w:szCs w:val="20"/>
        </w:rPr>
        <w:t xml:space="preserve">Оповещение о начале общественных обсуждений (Куйбышевский район, </w:t>
      </w:r>
      <w:r w:rsidR="00150484">
        <w:rPr>
          <w:rFonts w:eastAsia="Calibri"/>
          <w:sz w:val="20"/>
          <w:szCs w:val="20"/>
        </w:rPr>
        <w:t xml:space="preserve">пос. Заречный, ул. </w:t>
      </w:r>
      <w:proofErr w:type="gramStart"/>
      <w:r w:rsidR="00150484">
        <w:rPr>
          <w:rFonts w:eastAsia="Calibri"/>
          <w:sz w:val="20"/>
          <w:szCs w:val="20"/>
        </w:rPr>
        <w:t>Зеленая)…</w:t>
      </w:r>
      <w:proofErr w:type="gramEnd"/>
      <w:r w:rsidR="00150484">
        <w:rPr>
          <w:rFonts w:eastAsia="Calibri"/>
          <w:sz w:val="20"/>
          <w:szCs w:val="20"/>
        </w:rPr>
        <w:t>……</w:t>
      </w:r>
      <w:r w:rsidRPr="008B6A75">
        <w:rPr>
          <w:rFonts w:eastAsia="Calibri"/>
          <w:sz w:val="20"/>
          <w:szCs w:val="20"/>
        </w:rPr>
        <w:t>стр.</w:t>
      </w:r>
      <w:r w:rsidR="00150484">
        <w:rPr>
          <w:rFonts w:eastAsia="Calibri"/>
          <w:sz w:val="20"/>
          <w:szCs w:val="20"/>
        </w:rPr>
        <w:t>243</w:t>
      </w:r>
    </w:p>
    <w:p w14:paraId="620A91B4" w14:textId="77777777" w:rsidR="00505632" w:rsidRPr="008B6A75" w:rsidRDefault="00505632" w:rsidP="00505632">
      <w:pPr>
        <w:jc w:val="both"/>
        <w:rPr>
          <w:rFonts w:eastAsia="Calibri"/>
          <w:sz w:val="20"/>
          <w:szCs w:val="20"/>
        </w:rPr>
      </w:pPr>
    </w:p>
    <w:p w14:paraId="3474255A" w14:textId="4F451EFC" w:rsidR="00505632" w:rsidRPr="008B6A75" w:rsidRDefault="00505632" w:rsidP="00505632">
      <w:pPr>
        <w:jc w:val="both"/>
        <w:rPr>
          <w:rFonts w:eastAsia="Calibri"/>
          <w:sz w:val="20"/>
          <w:szCs w:val="20"/>
        </w:rPr>
      </w:pPr>
      <w:r w:rsidRPr="008B6A75">
        <w:rPr>
          <w:rFonts w:eastAsia="Calibri"/>
          <w:sz w:val="20"/>
          <w:szCs w:val="20"/>
        </w:rPr>
        <w:t>Оповещение о начале общественных обсуждений (Куйбышевский район, пос. Заречный, ул. Озерная)</w:t>
      </w:r>
      <w:r w:rsidR="00150484">
        <w:rPr>
          <w:rFonts w:eastAsia="Calibri"/>
          <w:sz w:val="20"/>
          <w:szCs w:val="20"/>
        </w:rPr>
        <w:t>……...</w:t>
      </w:r>
      <w:bookmarkStart w:id="0" w:name="_GoBack"/>
      <w:bookmarkEnd w:id="0"/>
      <w:r w:rsidRPr="008B6A75">
        <w:rPr>
          <w:rFonts w:eastAsia="Calibri"/>
          <w:sz w:val="20"/>
          <w:szCs w:val="20"/>
        </w:rPr>
        <w:t>стр.</w:t>
      </w:r>
      <w:r w:rsidR="00150484">
        <w:rPr>
          <w:rFonts w:eastAsia="Calibri"/>
          <w:sz w:val="20"/>
          <w:szCs w:val="20"/>
        </w:rPr>
        <w:t>244</w:t>
      </w:r>
    </w:p>
    <w:p w14:paraId="321916E8" w14:textId="77777777" w:rsidR="006E4EB7" w:rsidRPr="008B6A75" w:rsidRDefault="006E4EB7" w:rsidP="00267FB0">
      <w:pPr>
        <w:tabs>
          <w:tab w:val="left" w:pos="5146"/>
        </w:tabs>
        <w:jc w:val="center"/>
        <w:rPr>
          <w:rFonts w:eastAsia="Calibri"/>
          <w:sz w:val="20"/>
          <w:szCs w:val="20"/>
        </w:rPr>
      </w:pPr>
    </w:p>
    <w:p w14:paraId="07909C6C" w14:textId="77777777" w:rsidR="006E4EB7" w:rsidRPr="008B6A75" w:rsidRDefault="006E4EB7" w:rsidP="00267FB0">
      <w:pPr>
        <w:tabs>
          <w:tab w:val="left" w:pos="5146"/>
        </w:tabs>
        <w:jc w:val="center"/>
        <w:rPr>
          <w:rFonts w:eastAsia="Calibri"/>
          <w:sz w:val="20"/>
          <w:szCs w:val="20"/>
        </w:rPr>
      </w:pPr>
    </w:p>
    <w:p w14:paraId="51CDA26A" w14:textId="77777777" w:rsidR="006E4EB7" w:rsidRPr="008B6A75" w:rsidRDefault="006E4EB7" w:rsidP="00267FB0">
      <w:pPr>
        <w:tabs>
          <w:tab w:val="left" w:pos="5146"/>
        </w:tabs>
        <w:jc w:val="center"/>
        <w:rPr>
          <w:rFonts w:eastAsia="Calibri"/>
          <w:sz w:val="20"/>
          <w:szCs w:val="20"/>
        </w:rPr>
      </w:pPr>
    </w:p>
    <w:p w14:paraId="21A15372" w14:textId="77777777" w:rsidR="005B5712" w:rsidRPr="008B6A75" w:rsidRDefault="005B5712" w:rsidP="00267FB0">
      <w:pPr>
        <w:jc w:val="center"/>
        <w:rPr>
          <w:rFonts w:eastAsia="Calibri"/>
          <w:sz w:val="20"/>
          <w:szCs w:val="20"/>
        </w:rPr>
      </w:pPr>
    </w:p>
    <w:p w14:paraId="450B0BEA" w14:textId="77777777" w:rsidR="005B5712" w:rsidRPr="008B6A75" w:rsidRDefault="005B5712" w:rsidP="00267FB0">
      <w:pPr>
        <w:jc w:val="center"/>
        <w:rPr>
          <w:rFonts w:eastAsia="Calibri"/>
          <w:sz w:val="20"/>
          <w:szCs w:val="20"/>
        </w:rPr>
      </w:pPr>
    </w:p>
    <w:p w14:paraId="11E4F048" w14:textId="77777777" w:rsidR="00D13066" w:rsidRPr="008B6A75" w:rsidRDefault="00D13066" w:rsidP="00267FB0">
      <w:pPr>
        <w:jc w:val="center"/>
        <w:rPr>
          <w:rFonts w:eastAsia="Calibri"/>
          <w:sz w:val="20"/>
          <w:szCs w:val="20"/>
        </w:rPr>
      </w:pPr>
    </w:p>
    <w:p w14:paraId="5B4979D6" w14:textId="77777777" w:rsidR="00D16E8B" w:rsidRPr="008B6A75" w:rsidRDefault="00D16E8B" w:rsidP="00267FB0">
      <w:pPr>
        <w:jc w:val="center"/>
        <w:rPr>
          <w:rFonts w:eastAsia="Calibri"/>
          <w:sz w:val="20"/>
          <w:szCs w:val="20"/>
        </w:rPr>
      </w:pPr>
    </w:p>
    <w:p w14:paraId="2CD3DBCA" w14:textId="77777777" w:rsidR="00D16E8B" w:rsidRPr="008B6A75" w:rsidRDefault="00D16E8B" w:rsidP="00267FB0">
      <w:pPr>
        <w:jc w:val="center"/>
        <w:rPr>
          <w:rFonts w:eastAsia="Calibri"/>
          <w:sz w:val="20"/>
          <w:szCs w:val="20"/>
        </w:rPr>
      </w:pPr>
    </w:p>
    <w:p w14:paraId="56A38E14" w14:textId="77777777" w:rsidR="00D16E8B" w:rsidRPr="008B6A75" w:rsidRDefault="00D16E8B" w:rsidP="00267FB0">
      <w:pPr>
        <w:jc w:val="center"/>
        <w:rPr>
          <w:rFonts w:eastAsia="Calibri"/>
          <w:sz w:val="20"/>
          <w:szCs w:val="20"/>
        </w:rPr>
      </w:pPr>
    </w:p>
    <w:p w14:paraId="3D46E5CF" w14:textId="77777777" w:rsidR="00921570" w:rsidRPr="008B6A75" w:rsidRDefault="00921570" w:rsidP="00267FB0">
      <w:pPr>
        <w:jc w:val="center"/>
        <w:rPr>
          <w:rFonts w:eastAsia="Calibri"/>
          <w:sz w:val="20"/>
          <w:szCs w:val="20"/>
        </w:rPr>
      </w:pPr>
    </w:p>
    <w:p w14:paraId="63EB19C7" w14:textId="77777777" w:rsidR="00921570" w:rsidRPr="008B6A75" w:rsidRDefault="00921570" w:rsidP="00267FB0">
      <w:pPr>
        <w:jc w:val="center"/>
        <w:rPr>
          <w:rFonts w:eastAsia="Calibri"/>
          <w:sz w:val="20"/>
          <w:szCs w:val="20"/>
        </w:rPr>
      </w:pPr>
    </w:p>
    <w:p w14:paraId="4D48D07E" w14:textId="77777777" w:rsidR="00921570" w:rsidRPr="008B6A75" w:rsidRDefault="00921570" w:rsidP="00267FB0">
      <w:pPr>
        <w:jc w:val="center"/>
        <w:rPr>
          <w:rFonts w:eastAsia="Calibri"/>
          <w:sz w:val="20"/>
          <w:szCs w:val="20"/>
        </w:rPr>
      </w:pPr>
    </w:p>
    <w:p w14:paraId="7D734C82" w14:textId="77777777" w:rsidR="00921570" w:rsidRPr="008B6A75" w:rsidRDefault="00921570" w:rsidP="00267FB0">
      <w:pPr>
        <w:jc w:val="center"/>
        <w:rPr>
          <w:rFonts w:eastAsia="Calibri"/>
          <w:sz w:val="20"/>
          <w:szCs w:val="20"/>
        </w:rPr>
      </w:pPr>
    </w:p>
    <w:p w14:paraId="4B4B1628" w14:textId="77777777" w:rsidR="00921570" w:rsidRPr="008B6A75" w:rsidRDefault="00921570" w:rsidP="00267FB0">
      <w:pPr>
        <w:jc w:val="center"/>
        <w:rPr>
          <w:rFonts w:eastAsia="Calibri"/>
          <w:sz w:val="20"/>
          <w:szCs w:val="20"/>
        </w:rPr>
      </w:pPr>
    </w:p>
    <w:p w14:paraId="25F53198" w14:textId="77777777" w:rsidR="00D67409" w:rsidRPr="008B6A75" w:rsidRDefault="00D67409" w:rsidP="00267FB0">
      <w:pPr>
        <w:jc w:val="center"/>
        <w:rPr>
          <w:rFonts w:eastAsia="Calibri"/>
          <w:sz w:val="20"/>
          <w:szCs w:val="20"/>
        </w:rPr>
      </w:pPr>
    </w:p>
    <w:p w14:paraId="4A7C63F1" w14:textId="77777777" w:rsidR="00D67409" w:rsidRPr="008B6A75" w:rsidRDefault="00D67409" w:rsidP="00267FB0">
      <w:pPr>
        <w:jc w:val="center"/>
        <w:rPr>
          <w:rFonts w:eastAsia="Calibri"/>
          <w:sz w:val="20"/>
          <w:szCs w:val="20"/>
        </w:rPr>
      </w:pPr>
    </w:p>
    <w:p w14:paraId="2112F895" w14:textId="77777777" w:rsidR="00D67409" w:rsidRPr="008B6A75" w:rsidRDefault="00D67409" w:rsidP="00267FB0">
      <w:pPr>
        <w:jc w:val="center"/>
        <w:rPr>
          <w:rFonts w:eastAsia="Calibri"/>
          <w:sz w:val="20"/>
          <w:szCs w:val="20"/>
        </w:rPr>
      </w:pPr>
    </w:p>
    <w:p w14:paraId="6FD73269" w14:textId="77777777" w:rsidR="00D67409" w:rsidRPr="008B6A75" w:rsidRDefault="00D67409" w:rsidP="00267FB0">
      <w:pPr>
        <w:jc w:val="center"/>
        <w:rPr>
          <w:rFonts w:eastAsia="Calibri"/>
          <w:sz w:val="20"/>
          <w:szCs w:val="20"/>
        </w:rPr>
      </w:pPr>
    </w:p>
    <w:p w14:paraId="6A6A857E" w14:textId="0BE42F97" w:rsidR="00902720" w:rsidRPr="008B6A75" w:rsidRDefault="009C55D2" w:rsidP="009C55D2">
      <w:pPr>
        <w:jc w:val="center"/>
        <w:rPr>
          <w:rFonts w:eastAsia="Calibri"/>
          <w:sz w:val="20"/>
          <w:szCs w:val="20"/>
        </w:rPr>
      </w:pPr>
      <w:r w:rsidRPr="008B6A75">
        <w:rPr>
          <w:rFonts w:eastAsia="Calibri"/>
          <w:sz w:val="20"/>
          <w:szCs w:val="20"/>
          <w:lang w:val="en-US"/>
        </w:rPr>
        <w:lastRenderedPageBreak/>
        <w:t>I</w:t>
      </w:r>
      <w:r w:rsidRPr="008B6A75">
        <w:rPr>
          <w:rFonts w:eastAsia="Calibri"/>
          <w:sz w:val="20"/>
          <w:szCs w:val="20"/>
        </w:rPr>
        <w:t>.</w:t>
      </w:r>
      <w:r w:rsidRPr="008B6A75">
        <w:rPr>
          <w:rFonts w:eastAsia="Calibri"/>
          <w:sz w:val="20"/>
          <w:szCs w:val="20"/>
          <w:lang w:val="en-US"/>
        </w:rPr>
        <w:t> </w:t>
      </w:r>
      <w:r w:rsidRPr="008B6A75">
        <w:rPr>
          <w:rFonts w:eastAsia="Calibri"/>
          <w:sz w:val="20"/>
          <w:szCs w:val="20"/>
        </w:rPr>
        <w:t>РЕШЕНИЯ СОВЕТА ДЕПУТАТОВ КУЙБЫШЕВСКОГО МУНИЦИПАЛЬНОГО РАЙОНА НОВОСИБИРСКОЙ ОБЛАСТИ</w:t>
      </w:r>
    </w:p>
    <w:p w14:paraId="13901E86" w14:textId="77777777" w:rsidR="00902720" w:rsidRPr="008B6A75" w:rsidRDefault="00902720" w:rsidP="00267FB0">
      <w:pPr>
        <w:jc w:val="center"/>
        <w:rPr>
          <w:rFonts w:eastAsia="Calibri"/>
          <w:sz w:val="20"/>
          <w:szCs w:val="20"/>
        </w:rPr>
      </w:pPr>
    </w:p>
    <w:p w14:paraId="1AEFB5CD" w14:textId="77777777" w:rsidR="00902720" w:rsidRPr="008B6A75" w:rsidRDefault="00902720" w:rsidP="00267FB0">
      <w:pPr>
        <w:jc w:val="center"/>
        <w:rPr>
          <w:rFonts w:eastAsia="Calibri"/>
          <w:sz w:val="20"/>
          <w:szCs w:val="20"/>
        </w:rPr>
      </w:pPr>
    </w:p>
    <w:p w14:paraId="28AB463F" w14:textId="77777777" w:rsidR="00387142" w:rsidRPr="008B6A75" w:rsidRDefault="00387142" w:rsidP="00387142">
      <w:pPr>
        <w:spacing w:line="240" w:lineRule="atLeast"/>
        <w:jc w:val="center"/>
        <w:rPr>
          <w:sz w:val="20"/>
          <w:szCs w:val="20"/>
        </w:rPr>
      </w:pPr>
      <w:r w:rsidRPr="008B6A75">
        <w:rPr>
          <w:noProof/>
          <w:sz w:val="20"/>
          <w:szCs w:val="20"/>
        </w:rPr>
        <w:drawing>
          <wp:inline distT="0" distB="0" distL="0" distR="0" wp14:anchorId="77AB25E4" wp14:editId="7BD990A3">
            <wp:extent cx="348155" cy="421518"/>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0456" cy="424303"/>
                    </a:xfrm>
                    <a:prstGeom prst="rect">
                      <a:avLst/>
                    </a:prstGeom>
                    <a:noFill/>
                    <a:ln>
                      <a:noFill/>
                    </a:ln>
                  </pic:spPr>
                </pic:pic>
              </a:graphicData>
            </a:graphic>
          </wp:inline>
        </w:drawing>
      </w:r>
    </w:p>
    <w:p w14:paraId="4DB297E8" w14:textId="77777777" w:rsidR="00387142" w:rsidRPr="008B6A75" w:rsidRDefault="00387142" w:rsidP="00387142">
      <w:pPr>
        <w:widowControl w:val="0"/>
        <w:autoSpaceDE w:val="0"/>
        <w:autoSpaceDN w:val="0"/>
        <w:adjustRightInd w:val="0"/>
        <w:spacing w:line="240" w:lineRule="atLeast"/>
        <w:jc w:val="center"/>
        <w:rPr>
          <w:bCs/>
          <w:sz w:val="20"/>
          <w:szCs w:val="20"/>
        </w:rPr>
      </w:pPr>
    </w:p>
    <w:p w14:paraId="577A81E3" w14:textId="77777777" w:rsidR="00387142" w:rsidRPr="008B6A75" w:rsidRDefault="00387142" w:rsidP="00387142">
      <w:pPr>
        <w:widowControl w:val="0"/>
        <w:autoSpaceDE w:val="0"/>
        <w:autoSpaceDN w:val="0"/>
        <w:adjustRightInd w:val="0"/>
        <w:spacing w:line="240" w:lineRule="atLeast"/>
        <w:jc w:val="center"/>
        <w:rPr>
          <w:bCs/>
          <w:sz w:val="20"/>
          <w:szCs w:val="20"/>
        </w:rPr>
      </w:pPr>
      <w:r w:rsidRPr="008B6A75">
        <w:rPr>
          <w:bCs/>
          <w:sz w:val="20"/>
          <w:szCs w:val="20"/>
        </w:rPr>
        <w:t>СОВЕТ ДЕПУТАТОВ</w:t>
      </w:r>
    </w:p>
    <w:p w14:paraId="11D5BCCE" w14:textId="77777777" w:rsidR="00387142" w:rsidRPr="008B6A75" w:rsidRDefault="00387142" w:rsidP="00387142">
      <w:pPr>
        <w:widowControl w:val="0"/>
        <w:autoSpaceDE w:val="0"/>
        <w:autoSpaceDN w:val="0"/>
        <w:adjustRightInd w:val="0"/>
        <w:spacing w:line="240" w:lineRule="atLeast"/>
        <w:jc w:val="center"/>
        <w:rPr>
          <w:bCs/>
          <w:sz w:val="20"/>
          <w:szCs w:val="20"/>
        </w:rPr>
      </w:pPr>
      <w:r w:rsidRPr="008B6A75">
        <w:rPr>
          <w:bCs/>
          <w:sz w:val="20"/>
          <w:szCs w:val="20"/>
        </w:rPr>
        <w:t>КУЙБЫШЕВСКОГО МУНИЦИПАЛЬНОГО РАЙОНА</w:t>
      </w:r>
    </w:p>
    <w:p w14:paraId="4FB8EE6C" w14:textId="77777777" w:rsidR="00387142" w:rsidRPr="008B6A75" w:rsidRDefault="00387142" w:rsidP="00387142">
      <w:pPr>
        <w:widowControl w:val="0"/>
        <w:autoSpaceDE w:val="0"/>
        <w:autoSpaceDN w:val="0"/>
        <w:adjustRightInd w:val="0"/>
        <w:spacing w:line="240" w:lineRule="atLeast"/>
        <w:jc w:val="center"/>
        <w:rPr>
          <w:bCs/>
          <w:sz w:val="20"/>
          <w:szCs w:val="20"/>
        </w:rPr>
      </w:pPr>
      <w:r w:rsidRPr="008B6A75">
        <w:rPr>
          <w:bCs/>
          <w:sz w:val="20"/>
          <w:szCs w:val="20"/>
        </w:rPr>
        <w:t xml:space="preserve">НОВОСИБИРСКОЙ ОБЛАСТИ </w:t>
      </w:r>
    </w:p>
    <w:p w14:paraId="049F78EF" w14:textId="77777777" w:rsidR="00387142" w:rsidRPr="008B6A75" w:rsidRDefault="00387142" w:rsidP="00387142">
      <w:pPr>
        <w:widowControl w:val="0"/>
        <w:autoSpaceDE w:val="0"/>
        <w:autoSpaceDN w:val="0"/>
        <w:adjustRightInd w:val="0"/>
        <w:spacing w:line="240" w:lineRule="atLeast"/>
        <w:jc w:val="center"/>
        <w:rPr>
          <w:bCs/>
          <w:sz w:val="20"/>
          <w:szCs w:val="20"/>
        </w:rPr>
      </w:pPr>
      <w:r w:rsidRPr="008B6A75">
        <w:rPr>
          <w:bCs/>
          <w:sz w:val="20"/>
          <w:szCs w:val="20"/>
        </w:rPr>
        <w:t>ЧЕТВЕРТОГО СОЗЫВА</w:t>
      </w:r>
    </w:p>
    <w:p w14:paraId="74EF182D" w14:textId="77777777" w:rsidR="00387142" w:rsidRPr="008B6A75" w:rsidRDefault="00387142" w:rsidP="00387142">
      <w:pPr>
        <w:widowControl w:val="0"/>
        <w:autoSpaceDE w:val="0"/>
        <w:autoSpaceDN w:val="0"/>
        <w:adjustRightInd w:val="0"/>
        <w:spacing w:line="240" w:lineRule="atLeast"/>
        <w:jc w:val="center"/>
        <w:rPr>
          <w:bCs/>
          <w:sz w:val="20"/>
          <w:szCs w:val="20"/>
        </w:rPr>
      </w:pPr>
    </w:p>
    <w:p w14:paraId="137F6EC3" w14:textId="77777777" w:rsidR="00387142" w:rsidRPr="008B6A75" w:rsidRDefault="00387142" w:rsidP="00387142">
      <w:pPr>
        <w:widowControl w:val="0"/>
        <w:autoSpaceDE w:val="0"/>
        <w:autoSpaceDN w:val="0"/>
        <w:adjustRightInd w:val="0"/>
        <w:spacing w:line="240" w:lineRule="atLeast"/>
        <w:jc w:val="center"/>
        <w:rPr>
          <w:bCs/>
          <w:sz w:val="20"/>
          <w:szCs w:val="20"/>
        </w:rPr>
      </w:pPr>
      <w:r w:rsidRPr="008B6A75">
        <w:rPr>
          <w:bCs/>
          <w:sz w:val="20"/>
          <w:szCs w:val="20"/>
        </w:rPr>
        <w:t>РЕШЕНИЕ</w:t>
      </w:r>
    </w:p>
    <w:p w14:paraId="1AC8DE6C" w14:textId="77777777" w:rsidR="00387142" w:rsidRPr="008B6A75" w:rsidRDefault="00387142" w:rsidP="00387142">
      <w:pPr>
        <w:widowControl w:val="0"/>
        <w:autoSpaceDE w:val="0"/>
        <w:autoSpaceDN w:val="0"/>
        <w:adjustRightInd w:val="0"/>
        <w:spacing w:line="240" w:lineRule="atLeast"/>
        <w:jc w:val="center"/>
        <w:rPr>
          <w:bCs/>
          <w:sz w:val="20"/>
          <w:szCs w:val="20"/>
        </w:rPr>
      </w:pPr>
      <w:r w:rsidRPr="008B6A75">
        <w:rPr>
          <w:bCs/>
          <w:sz w:val="20"/>
          <w:szCs w:val="20"/>
        </w:rPr>
        <w:t>двадцать третьей сессии</w:t>
      </w:r>
    </w:p>
    <w:p w14:paraId="270995D3" w14:textId="77777777" w:rsidR="00387142" w:rsidRPr="008B6A75" w:rsidRDefault="00387142" w:rsidP="00387142">
      <w:pPr>
        <w:widowControl w:val="0"/>
        <w:autoSpaceDE w:val="0"/>
        <w:autoSpaceDN w:val="0"/>
        <w:adjustRightInd w:val="0"/>
        <w:spacing w:line="240" w:lineRule="atLeast"/>
        <w:jc w:val="center"/>
        <w:rPr>
          <w:bCs/>
          <w:sz w:val="20"/>
          <w:szCs w:val="20"/>
        </w:rPr>
      </w:pPr>
    </w:p>
    <w:p w14:paraId="35C58928" w14:textId="77777777" w:rsidR="00387142" w:rsidRPr="008B6A75" w:rsidRDefault="00387142" w:rsidP="00387142">
      <w:pPr>
        <w:autoSpaceDE w:val="0"/>
        <w:autoSpaceDN w:val="0"/>
        <w:adjustRightInd w:val="0"/>
        <w:spacing w:line="240" w:lineRule="atLeast"/>
        <w:jc w:val="center"/>
        <w:rPr>
          <w:sz w:val="20"/>
          <w:szCs w:val="20"/>
        </w:rPr>
      </w:pPr>
      <w:r w:rsidRPr="008B6A75">
        <w:rPr>
          <w:sz w:val="20"/>
          <w:szCs w:val="20"/>
        </w:rPr>
        <w:t>03.11.2022 № 3</w:t>
      </w:r>
    </w:p>
    <w:p w14:paraId="762BA4A3" w14:textId="77777777" w:rsidR="00387142" w:rsidRPr="008B6A75" w:rsidRDefault="00387142" w:rsidP="00387142">
      <w:pPr>
        <w:pStyle w:val="ConsPlusTitle"/>
        <w:widowControl/>
        <w:jc w:val="center"/>
        <w:rPr>
          <w:rFonts w:ascii="Times New Roman" w:hAnsi="Times New Roman" w:cs="Times New Roman"/>
          <w:b w:val="0"/>
          <w:sz w:val="20"/>
          <w:szCs w:val="20"/>
        </w:rPr>
      </w:pPr>
    </w:p>
    <w:p w14:paraId="0357EAA5" w14:textId="77777777" w:rsidR="00387142" w:rsidRPr="008B6A75" w:rsidRDefault="00387142" w:rsidP="00387142">
      <w:pPr>
        <w:pStyle w:val="ConsPlusTitle"/>
        <w:widowControl/>
        <w:jc w:val="center"/>
        <w:rPr>
          <w:rFonts w:ascii="Times New Roman" w:eastAsia="Times New Roman" w:hAnsi="Times New Roman" w:cs="Times New Roman"/>
          <w:b w:val="0"/>
          <w:bCs w:val="0"/>
          <w:sz w:val="20"/>
          <w:szCs w:val="20"/>
        </w:rPr>
      </w:pPr>
      <w:r w:rsidRPr="008B6A75">
        <w:rPr>
          <w:rFonts w:ascii="Times New Roman" w:hAnsi="Times New Roman" w:cs="Times New Roman"/>
          <w:b w:val="0"/>
          <w:bCs w:val="0"/>
          <w:sz w:val="20"/>
          <w:szCs w:val="20"/>
        </w:rPr>
        <w:t>О внесении изменений в решение № 3 (внеочередной) тринадцатой сессии Совета депутатов Куйбышевского муниципального района Новосибирской области от 23.12.2021 «О принятии Положения о бюджетном процессе в Куйбышевском муниципальном районе Новосибирской области»</w:t>
      </w:r>
    </w:p>
    <w:p w14:paraId="5ED15EEE" w14:textId="77777777" w:rsidR="00387142" w:rsidRPr="008B6A75" w:rsidRDefault="00387142" w:rsidP="00387142">
      <w:pPr>
        <w:pStyle w:val="ConsPlusTitle"/>
        <w:widowControl/>
        <w:jc w:val="center"/>
        <w:rPr>
          <w:rFonts w:ascii="Times New Roman" w:hAnsi="Times New Roman" w:cs="Times New Roman"/>
          <w:b w:val="0"/>
          <w:sz w:val="20"/>
          <w:szCs w:val="20"/>
        </w:rPr>
      </w:pPr>
    </w:p>
    <w:p w14:paraId="2133C9FF" w14:textId="77777777" w:rsidR="00387142" w:rsidRPr="008B6A75" w:rsidRDefault="00387142" w:rsidP="00387142">
      <w:pPr>
        <w:ind w:firstLine="540"/>
        <w:rPr>
          <w:sz w:val="20"/>
          <w:szCs w:val="20"/>
        </w:rPr>
      </w:pPr>
      <w:r w:rsidRPr="008B6A75">
        <w:rPr>
          <w:sz w:val="20"/>
          <w:szCs w:val="20"/>
        </w:rPr>
        <w:t>Совет депутатов Куйбышевского муниципального района Новосибирской области</w:t>
      </w:r>
    </w:p>
    <w:p w14:paraId="5AD906F0" w14:textId="77777777" w:rsidR="00387142" w:rsidRPr="008B6A75" w:rsidRDefault="00387142" w:rsidP="00387142">
      <w:pPr>
        <w:ind w:firstLine="540"/>
        <w:rPr>
          <w:sz w:val="20"/>
          <w:szCs w:val="20"/>
        </w:rPr>
      </w:pPr>
      <w:r w:rsidRPr="008B6A75">
        <w:rPr>
          <w:sz w:val="20"/>
          <w:szCs w:val="20"/>
        </w:rPr>
        <w:t>РЕШИЛ:</w:t>
      </w:r>
    </w:p>
    <w:p w14:paraId="52EC1415" w14:textId="77777777" w:rsidR="00387142" w:rsidRPr="008B6A75" w:rsidRDefault="00387142" w:rsidP="00372B96">
      <w:pPr>
        <w:pStyle w:val="ConsPlusTitle"/>
        <w:numPr>
          <w:ilvl w:val="0"/>
          <w:numId w:val="26"/>
        </w:numPr>
        <w:ind w:left="0" w:firstLine="360"/>
        <w:jc w:val="both"/>
        <w:rPr>
          <w:rFonts w:ascii="Times New Roman" w:eastAsia="Times New Roman" w:hAnsi="Times New Roman" w:cs="Times New Roman"/>
          <w:b w:val="0"/>
          <w:bCs w:val="0"/>
          <w:sz w:val="20"/>
          <w:szCs w:val="20"/>
        </w:rPr>
      </w:pPr>
      <w:r w:rsidRPr="008B6A75">
        <w:rPr>
          <w:rFonts w:ascii="Times New Roman" w:eastAsia="Times New Roman" w:hAnsi="Times New Roman" w:cs="Times New Roman"/>
          <w:b w:val="0"/>
          <w:bCs w:val="0"/>
          <w:sz w:val="20"/>
          <w:szCs w:val="20"/>
        </w:rPr>
        <w:t>Внести в Положение о бюджетном процессе в Куйбышевском муниципальном районе Новосибирской области следующие изменения:</w:t>
      </w:r>
    </w:p>
    <w:p w14:paraId="45CB3CE0" w14:textId="77777777" w:rsidR="00387142" w:rsidRPr="008B6A75" w:rsidRDefault="00387142" w:rsidP="00387142">
      <w:pPr>
        <w:pStyle w:val="ConsPlusTitle"/>
        <w:ind w:firstLine="567"/>
        <w:jc w:val="both"/>
        <w:rPr>
          <w:rFonts w:ascii="Times New Roman" w:eastAsia="Times New Roman" w:hAnsi="Times New Roman" w:cs="Times New Roman"/>
          <w:b w:val="0"/>
          <w:bCs w:val="0"/>
          <w:sz w:val="20"/>
          <w:szCs w:val="20"/>
        </w:rPr>
      </w:pPr>
      <w:r w:rsidRPr="008B6A75">
        <w:rPr>
          <w:rFonts w:ascii="Times New Roman" w:eastAsia="Times New Roman" w:hAnsi="Times New Roman" w:cs="Times New Roman"/>
          <w:b w:val="0"/>
          <w:bCs w:val="0"/>
          <w:sz w:val="20"/>
          <w:szCs w:val="20"/>
        </w:rPr>
        <w:t xml:space="preserve"> -в статье 8 пункт 11 исключить.</w:t>
      </w:r>
    </w:p>
    <w:p w14:paraId="20EB2FA6" w14:textId="77777777" w:rsidR="00387142" w:rsidRPr="008B6A75" w:rsidRDefault="00387142" w:rsidP="00387142">
      <w:pPr>
        <w:pStyle w:val="ConsPlusTitle"/>
        <w:widowControl/>
        <w:jc w:val="both"/>
        <w:rPr>
          <w:rFonts w:ascii="Times New Roman" w:eastAsia="Times New Roman" w:hAnsi="Times New Roman" w:cs="Times New Roman"/>
          <w:b w:val="0"/>
          <w:sz w:val="20"/>
          <w:szCs w:val="20"/>
        </w:rPr>
      </w:pPr>
      <w:r w:rsidRPr="008B6A75">
        <w:rPr>
          <w:rFonts w:ascii="Times New Roman" w:eastAsia="Times New Roman" w:hAnsi="Times New Roman" w:cs="Times New Roman"/>
          <w:b w:val="0"/>
          <w:bCs w:val="0"/>
          <w:sz w:val="20"/>
          <w:szCs w:val="20"/>
        </w:rPr>
        <w:t xml:space="preserve">     2. Решение вступает в силу со дня официального опубликования в периодическом печатном издание органов местного самоуправления Куйбышевского муниципального района Новосибирской области «Информационный вестник».</w:t>
      </w:r>
    </w:p>
    <w:p w14:paraId="798FB7B6" w14:textId="77777777" w:rsidR="00387142" w:rsidRPr="008B6A75" w:rsidRDefault="00387142" w:rsidP="00387142">
      <w:pPr>
        <w:suppressAutoHyphens/>
        <w:ind w:right="-427"/>
        <w:rPr>
          <w:sz w:val="20"/>
          <w:szCs w:val="20"/>
        </w:rPr>
      </w:pPr>
    </w:p>
    <w:p w14:paraId="1987BB1A" w14:textId="77777777" w:rsidR="00387142" w:rsidRPr="008B6A75" w:rsidRDefault="00387142" w:rsidP="00387142">
      <w:pPr>
        <w:suppressAutoHyphens/>
        <w:ind w:left="-142" w:right="-427"/>
        <w:rPr>
          <w:sz w:val="20"/>
          <w:szCs w:val="20"/>
        </w:rPr>
      </w:pPr>
    </w:p>
    <w:p w14:paraId="0721A333" w14:textId="77777777" w:rsidR="00387142" w:rsidRPr="008B6A75" w:rsidRDefault="00387142" w:rsidP="00387142">
      <w:pPr>
        <w:suppressAutoHyphens/>
        <w:ind w:left="-142" w:right="-427"/>
        <w:rPr>
          <w:sz w:val="20"/>
          <w:szCs w:val="20"/>
        </w:rPr>
      </w:pPr>
      <w:r w:rsidRPr="008B6A75">
        <w:rPr>
          <w:sz w:val="20"/>
          <w:szCs w:val="20"/>
        </w:rPr>
        <w:t xml:space="preserve">Председатель Совета депутатов Куйбышевского </w:t>
      </w:r>
    </w:p>
    <w:p w14:paraId="307E8B55" w14:textId="77777777" w:rsidR="00387142" w:rsidRPr="008B6A75" w:rsidRDefault="00387142" w:rsidP="00387142">
      <w:pPr>
        <w:suppressAutoHyphens/>
        <w:ind w:left="-142" w:right="-427"/>
        <w:rPr>
          <w:sz w:val="20"/>
          <w:szCs w:val="20"/>
        </w:rPr>
      </w:pPr>
      <w:r w:rsidRPr="008B6A75">
        <w:rPr>
          <w:sz w:val="20"/>
          <w:szCs w:val="20"/>
        </w:rPr>
        <w:t xml:space="preserve">муниципального района Новосибирской области                                                                                              Р.В. </w:t>
      </w:r>
      <w:proofErr w:type="spellStart"/>
      <w:r w:rsidRPr="008B6A75">
        <w:rPr>
          <w:sz w:val="20"/>
          <w:szCs w:val="20"/>
        </w:rPr>
        <w:t>Булюктов</w:t>
      </w:r>
      <w:proofErr w:type="spellEnd"/>
      <w:r w:rsidRPr="008B6A75">
        <w:rPr>
          <w:sz w:val="20"/>
          <w:szCs w:val="20"/>
        </w:rPr>
        <w:t xml:space="preserve"> </w:t>
      </w:r>
    </w:p>
    <w:p w14:paraId="01B41160" w14:textId="77777777" w:rsidR="00387142" w:rsidRPr="008B6A75" w:rsidRDefault="00387142" w:rsidP="00387142">
      <w:pPr>
        <w:suppressAutoHyphens/>
        <w:ind w:right="-427"/>
        <w:rPr>
          <w:sz w:val="20"/>
          <w:szCs w:val="20"/>
        </w:rPr>
      </w:pPr>
    </w:p>
    <w:p w14:paraId="740B4D03" w14:textId="77777777" w:rsidR="00387142" w:rsidRPr="008B6A75" w:rsidRDefault="00387142" w:rsidP="00387142">
      <w:pPr>
        <w:suppressAutoHyphens/>
        <w:ind w:left="-142" w:right="-427"/>
        <w:rPr>
          <w:sz w:val="20"/>
          <w:szCs w:val="20"/>
        </w:rPr>
      </w:pPr>
      <w:r w:rsidRPr="008B6A75">
        <w:rPr>
          <w:sz w:val="20"/>
          <w:szCs w:val="20"/>
        </w:rPr>
        <w:t>Глава Куйбышевского муниципального</w:t>
      </w:r>
    </w:p>
    <w:p w14:paraId="709674AF" w14:textId="77777777" w:rsidR="00387142" w:rsidRPr="008B6A75" w:rsidRDefault="00387142" w:rsidP="00387142">
      <w:pPr>
        <w:suppressAutoHyphens/>
        <w:ind w:left="-142" w:right="-285"/>
        <w:jc w:val="both"/>
        <w:rPr>
          <w:sz w:val="20"/>
          <w:szCs w:val="20"/>
        </w:rPr>
      </w:pPr>
      <w:r w:rsidRPr="008B6A75">
        <w:rPr>
          <w:sz w:val="20"/>
          <w:szCs w:val="20"/>
        </w:rPr>
        <w:t>района Новосибирской области                                                                                                                             О.В. Караваев</w:t>
      </w:r>
    </w:p>
    <w:p w14:paraId="5707536F" w14:textId="77777777" w:rsidR="00387142" w:rsidRPr="008B6A75" w:rsidRDefault="00387142" w:rsidP="00387142">
      <w:pPr>
        <w:rPr>
          <w:sz w:val="20"/>
          <w:szCs w:val="20"/>
        </w:rPr>
      </w:pPr>
    </w:p>
    <w:p w14:paraId="4F18BEE3" w14:textId="77777777" w:rsidR="00387142" w:rsidRPr="008B6A75" w:rsidRDefault="00387142" w:rsidP="00387142">
      <w:pPr>
        <w:spacing w:line="240" w:lineRule="atLeast"/>
        <w:jc w:val="center"/>
        <w:rPr>
          <w:sz w:val="20"/>
          <w:szCs w:val="20"/>
        </w:rPr>
      </w:pPr>
      <w:r w:rsidRPr="008B6A75">
        <w:rPr>
          <w:noProof/>
          <w:sz w:val="20"/>
          <w:szCs w:val="20"/>
        </w:rPr>
        <w:drawing>
          <wp:inline distT="0" distB="0" distL="0" distR="0" wp14:anchorId="648EC44F" wp14:editId="540DF7B8">
            <wp:extent cx="349453" cy="419767"/>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2966" cy="423987"/>
                    </a:xfrm>
                    <a:prstGeom prst="rect">
                      <a:avLst/>
                    </a:prstGeom>
                    <a:noFill/>
                    <a:ln>
                      <a:noFill/>
                    </a:ln>
                  </pic:spPr>
                </pic:pic>
              </a:graphicData>
            </a:graphic>
          </wp:inline>
        </w:drawing>
      </w:r>
    </w:p>
    <w:p w14:paraId="035FE415" w14:textId="77777777" w:rsidR="00387142" w:rsidRPr="008B6A75" w:rsidRDefault="00387142" w:rsidP="00387142">
      <w:pPr>
        <w:widowControl w:val="0"/>
        <w:autoSpaceDE w:val="0"/>
        <w:autoSpaceDN w:val="0"/>
        <w:adjustRightInd w:val="0"/>
        <w:spacing w:line="240" w:lineRule="atLeast"/>
        <w:jc w:val="center"/>
        <w:rPr>
          <w:bCs/>
          <w:sz w:val="20"/>
          <w:szCs w:val="20"/>
        </w:rPr>
      </w:pPr>
    </w:p>
    <w:p w14:paraId="10BDB666" w14:textId="77777777" w:rsidR="00387142" w:rsidRPr="008B6A75" w:rsidRDefault="00387142" w:rsidP="00387142">
      <w:pPr>
        <w:widowControl w:val="0"/>
        <w:autoSpaceDE w:val="0"/>
        <w:autoSpaceDN w:val="0"/>
        <w:adjustRightInd w:val="0"/>
        <w:spacing w:line="240" w:lineRule="atLeast"/>
        <w:jc w:val="center"/>
        <w:rPr>
          <w:bCs/>
          <w:sz w:val="20"/>
          <w:szCs w:val="20"/>
        </w:rPr>
      </w:pPr>
      <w:r w:rsidRPr="008B6A75">
        <w:rPr>
          <w:bCs/>
          <w:sz w:val="20"/>
          <w:szCs w:val="20"/>
        </w:rPr>
        <w:t>СОВЕТ ДЕПУТАТОВ</w:t>
      </w:r>
    </w:p>
    <w:p w14:paraId="590B2671" w14:textId="77777777" w:rsidR="00387142" w:rsidRPr="008B6A75" w:rsidRDefault="00387142" w:rsidP="00387142">
      <w:pPr>
        <w:widowControl w:val="0"/>
        <w:autoSpaceDE w:val="0"/>
        <w:autoSpaceDN w:val="0"/>
        <w:adjustRightInd w:val="0"/>
        <w:spacing w:line="240" w:lineRule="atLeast"/>
        <w:jc w:val="center"/>
        <w:rPr>
          <w:bCs/>
          <w:sz w:val="20"/>
          <w:szCs w:val="20"/>
        </w:rPr>
      </w:pPr>
      <w:r w:rsidRPr="008B6A75">
        <w:rPr>
          <w:bCs/>
          <w:sz w:val="20"/>
          <w:szCs w:val="20"/>
        </w:rPr>
        <w:t>КУЙБЫШЕВСКОГО МУНИЦИПАЛЬНОГО РАЙОНА</w:t>
      </w:r>
    </w:p>
    <w:p w14:paraId="1BCEB085" w14:textId="77777777" w:rsidR="00387142" w:rsidRPr="008B6A75" w:rsidRDefault="00387142" w:rsidP="00387142">
      <w:pPr>
        <w:widowControl w:val="0"/>
        <w:autoSpaceDE w:val="0"/>
        <w:autoSpaceDN w:val="0"/>
        <w:adjustRightInd w:val="0"/>
        <w:spacing w:line="240" w:lineRule="atLeast"/>
        <w:jc w:val="center"/>
        <w:rPr>
          <w:bCs/>
          <w:sz w:val="20"/>
          <w:szCs w:val="20"/>
        </w:rPr>
      </w:pPr>
      <w:r w:rsidRPr="008B6A75">
        <w:rPr>
          <w:bCs/>
          <w:sz w:val="20"/>
          <w:szCs w:val="20"/>
        </w:rPr>
        <w:t xml:space="preserve">НОВОСИБИРСКОЙ ОБЛАСТИ </w:t>
      </w:r>
    </w:p>
    <w:p w14:paraId="63568E45" w14:textId="77777777" w:rsidR="00387142" w:rsidRPr="008B6A75" w:rsidRDefault="00387142" w:rsidP="00387142">
      <w:pPr>
        <w:widowControl w:val="0"/>
        <w:autoSpaceDE w:val="0"/>
        <w:autoSpaceDN w:val="0"/>
        <w:adjustRightInd w:val="0"/>
        <w:spacing w:line="240" w:lineRule="atLeast"/>
        <w:jc w:val="center"/>
        <w:rPr>
          <w:bCs/>
          <w:sz w:val="20"/>
          <w:szCs w:val="20"/>
        </w:rPr>
      </w:pPr>
      <w:r w:rsidRPr="008B6A75">
        <w:rPr>
          <w:bCs/>
          <w:sz w:val="20"/>
          <w:szCs w:val="20"/>
        </w:rPr>
        <w:t>ЧЕТВЕРТОГО СОЗЫВА</w:t>
      </w:r>
    </w:p>
    <w:p w14:paraId="0A9CD080" w14:textId="77777777" w:rsidR="00387142" w:rsidRPr="008B6A75" w:rsidRDefault="00387142" w:rsidP="00387142">
      <w:pPr>
        <w:widowControl w:val="0"/>
        <w:autoSpaceDE w:val="0"/>
        <w:autoSpaceDN w:val="0"/>
        <w:adjustRightInd w:val="0"/>
        <w:spacing w:line="240" w:lineRule="atLeast"/>
        <w:jc w:val="center"/>
        <w:rPr>
          <w:bCs/>
          <w:sz w:val="20"/>
          <w:szCs w:val="20"/>
        </w:rPr>
      </w:pPr>
    </w:p>
    <w:p w14:paraId="3CF77366" w14:textId="77777777" w:rsidR="00387142" w:rsidRPr="008B6A75" w:rsidRDefault="00387142" w:rsidP="00387142">
      <w:pPr>
        <w:widowControl w:val="0"/>
        <w:autoSpaceDE w:val="0"/>
        <w:autoSpaceDN w:val="0"/>
        <w:adjustRightInd w:val="0"/>
        <w:spacing w:line="240" w:lineRule="atLeast"/>
        <w:jc w:val="center"/>
        <w:rPr>
          <w:bCs/>
          <w:sz w:val="20"/>
          <w:szCs w:val="20"/>
        </w:rPr>
      </w:pPr>
      <w:r w:rsidRPr="008B6A75">
        <w:rPr>
          <w:bCs/>
          <w:sz w:val="20"/>
          <w:szCs w:val="20"/>
        </w:rPr>
        <w:t>РЕШЕНИЕ</w:t>
      </w:r>
    </w:p>
    <w:p w14:paraId="7C12F308" w14:textId="77777777" w:rsidR="00387142" w:rsidRPr="008B6A75" w:rsidRDefault="00387142" w:rsidP="00387142">
      <w:pPr>
        <w:widowControl w:val="0"/>
        <w:autoSpaceDE w:val="0"/>
        <w:autoSpaceDN w:val="0"/>
        <w:adjustRightInd w:val="0"/>
        <w:spacing w:line="240" w:lineRule="atLeast"/>
        <w:jc w:val="center"/>
        <w:rPr>
          <w:bCs/>
          <w:sz w:val="20"/>
          <w:szCs w:val="20"/>
        </w:rPr>
      </w:pPr>
      <w:r w:rsidRPr="008B6A75">
        <w:rPr>
          <w:bCs/>
          <w:sz w:val="20"/>
          <w:szCs w:val="20"/>
        </w:rPr>
        <w:t>двадцать третьей сессии</w:t>
      </w:r>
    </w:p>
    <w:p w14:paraId="7E027815" w14:textId="77777777" w:rsidR="00387142" w:rsidRPr="008B6A75" w:rsidRDefault="00387142" w:rsidP="00387142">
      <w:pPr>
        <w:widowControl w:val="0"/>
        <w:autoSpaceDE w:val="0"/>
        <w:autoSpaceDN w:val="0"/>
        <w:adjustRightInd w:val="0"/>
        <w:spacing w:line="240" w:lineRule="atLeast"/>
        <w:jc w:val="center"/>
        <w:rPr>
          <w:bCs/>
          <w:sz w:val="20"/>
          <w:szCs w:val="20"/>
        </w:rPr>
      </w:pPr>
    </w:p>
    <w:p w14:paraId="3FC5B956" w14:textId="77777777" w:rsidR="00387142" w:rsidRPr="008B6A75" w:rsidRDefault="00387142" w:rsidP="00387142">
      <w:pPr>
        <w:autoSpaceDE w:val="0"/>
        <w:autoSpaceDN w:val="0"/>
        <w:adjustRightInd w:val="0"/>
        <w:spacing w:line="240" w:lineRule="atLeast"/>
        <w:jc w:val="center"/>
        <w:rPr>
          <w:sz w:val="20"/>
          <w:szCs w:val="20"/>
        </w:rPr>
      </w:pPr>
      <w:r w:rsidRPr="008B6A75">
        <w:rPr>
          <w:sz w:val="20"/>
          <w:szCs w:val="20"/>
        </w:rPr>
        <w:t>03.11.2022 № 4</w:t>
      </w:r>
    </w:p>
    <w:p w14:paraId="1F63EDE3" w14:textId="77777777" w:rsidR="00387142" w:rsidRPr="008B6A75" w:rsidRDefault="00387142" w:rsidP="00387142">
      <w:pPr>
        <w:autoSpaceDE w:val="0"/>
        <w:autoSpaceDN w:val="0"/>
        <w:adjustRightInd w:val="0"/>
        <w:jc w:val="center"/>
        <w:rPr>
          <w:bCs/>
          <w:sz w:val="20"/>
          <w:szCs w:val="20"/>
        </w:rPr>
      </w:pPr>
    </w:p>
    <w:p w14:paraId="57A9E88B" w14:textId="77777777" w:rsidR="00387142" w:rsidRPr="008B6A75" w:rsidRDefault="00387142" w:rsidP="00387142">
      <w:pPr>
        <w:jc w:val="center"/>
        <w:rPr>
          <w:sz w:val="20"/>
          <w:szCs w:val="20"/>
        </w:rPr>
      </w:pPr>
      <w:r w:rsidRPr="008B6A75">
        <w:rPr>
          <w:sz w:val="20"/>
          <w:szCs w:val="20"/>
        </w:rPr>
        <w:t>О внесении изменений в решение № 4 (внеочередной) тринадцатой сессии Совета депутатов Куйбышевского муниципального района Новосибирской области от 23.12.2021 года «Об утверждении Порядка расчета и предоставления дотаций бюджетам поселений Куйбышевского района на выравнивание бюджетной обеспеченности»</w:t>
      </w:r>
    </w:p>
    <w:p w14:paraId="2C4AF67D" w14:textId="77777777" w:rsidR="00387142" w:rsidRPr="008B6A75" w:rsidRDefault="00387142" w:rsidP="00387142">
      <w:pPr>
        <w:rPr>
          <w:sz w:val="20"/>
          <w:szCs w:val="20"/>
        </w:rPr>
      </w:pPr>
    </w:p>
    <w:p w14:paraId="52DED2A8" w14:textId="77777777" w:rsidR="00387142" w:rsidRPr="008B6A75" w:rsidRDefault="00387142" w:rsidP="00387142">
      <w:pPr>
        <w:ind w:firstLine="709"/>
        <w:jc w:val="both"/>
        <w:outlineLvl w:val="0"/>
        <w:rPr>
          <w:sz w:val="20"/>
          <w:szCs w:val="20"/>
        </w:rPr>
      </w:pPr>
      <w:r w:rsidRPr="008B6A75">
        <w:rPr>
          <w:sz w:val="20"/>
          <w:szCs w:val="20"/>
        </w:rPr>
        <w:t>В соответствии со ст. 142.1 Бюджетного кодекса Российской Федерации, Совет депутатов Куйбышевского муниципального района Новосибирской области</w:t>
      </w:r>
    </w:p>
    <w:p w14:paraId="4944482E" w14:textId="77777777" w:rsidR="00387142" w:rsidRPr="008B6A75" w:rsidRDefault="00387142" w:rsidP="00387142">
      <w:pPr>
        <w:ind w:firstLine="709"/>
        <w:jc w:val="both"/>
        <w:outlineLvl w:val="0"/>
        <w:rPr>
          <w:bCs/>
          <w:sz w:val="20"/>
          <w:szCs w:val="20"/>
        </w:rPr>
      </w:pPr>
      <w:r w:rsidRPr="008B6A75">
        <w:rPr>
          <w:bCs/>
          <w:sz w:val="20"/>
          <w:szCs w:val="20"/>
        </w:rPr>
        <w:t>РЕШИЛ:</w:t>
      </w:r>
    </w:p>
    <w:p w14:paraId="5B91DBAF" w14:textId="77777777" w:rsidR="00387142" w:rsidRPr="008B6A75" w:rsidRDefault="00387142" w:rsidP="00387142">
      <w:pPr>
        <w:ind w:firstLine="709"/>
        <w:jc w:val="both"/>
        <w:outlineLvl w:val="0"/>
        <w:rPr>
          <w:sz w:val="20"/>
          <w:szCs w:val="20"/>
        </w:rPr>
      </w:pPr>
      <w:r w:rsidRPr="008B6A75">
        <w:rPr>
          <w:sz w:val="20"/>
          <w:szCs w:val="20"/>
        </w:rPr>
        <w:t>1. Внести изменения в Порядок расчета и предоставления дотаций бюджетам поселений Куйбышевского района на выравнивание бюджетной обеспеченности следующие изменения:</w:t>
      </w:r>
    </w:p>
    <w:p w14:paraId="05A5B3A7" w14:textId="77777777" w:rsidR="00387142" w:rsidRPr="008B6A75" w:rsidRDefault="00387142" w:rsidP="00387142">
      <w:pPr>
        <w:ind w:firstLine="709"/>
        <w:jc w:val="both"/>
        <w:rPr>
          <w:sz w:val="20"/>
          <w:szCs w:val="20"/>
        </w:rPr>
      </w:pPr>
      <w:r w:rsidRPr="008B6A75">
        <w:rPr>
          <w:sz w:val="20"/>
          <w:szCs w:val="20"/>
        </w:rPr>
        <w:lastRenderedPageBreak/>
        <w:t>В разделе 2:</w:t>
      </w:r>
    </w:p>
    <w:p w14:paraId="40E9B06F" w14:textId="77777777" w:rsidR="00387142" w:rsidRPr="008B6A75" w:rsidRDefault="00387142" w:rsidP="00387142">
      <w:pPr>
        <w:ind w:firstLine="709"/>
        <w:jc w:val="both"/>
        <w:rPr>
          <w:sz w:val="20"/>
          <w:szCs w:val="20"/>
        </w:rPr>
      </w:pPr>
      <w:r w:rsidRPr="008B6A75">
        <w:rPr>
          <w:sz w:val="20"/>
          <w:szCs w:val="20"/>
        </w:rPr>
        <w:t>- дополнить абзац 1 следующего содержания:</w:t>
      </w:r>
    </w:p>
    <w:p w14:paraId="602276F4" w14:textId="77777777" w:rsidR="00387142" w:rsidRPr="008B6A75" w:rsidRDefault="00387142" w:rsidP="00387142">
      <w:pPr>
        <w:ind w:firstLine="709"/>
        <w:jc w:val="both"/>
        <w:rPr>
          <w:sz w:val="20"/>
          <w:szCs w:val="20"/>
        </w:rPr>
      </w:pPr>
      <w:r w:rsidRPr="008B6A75">
        <w:rPr>
          <w:sz w:val="20"/>
          <w:szCs w:val="20"/>
        </w:rPr>
        <w:t>«Перечень показателей, используемых при расчете размера дотации на выравнивание бюджетной обеспеченности поселений с указанием источников получения информации, представлен в приложении 1»;</w:t>
      </w:r>
    </w:p>
    <w:p w14:paraId="253A464F" w14:textId="77777777" w:rsidR="00387142" w:rsidRPr="008B6A75" w:rsidRDefault="00387142" w:rsidP="00387142">
      <w:pPr>
        <w:ind w:firstLine="709"/>
        <w:jc w:val="both"/>
        <w:rPr>
          <w:sz w:val="20"/>
          <w:szCs w:val="20"/>
        </w:rPr>
      </w:pPr>
      <w:r w:rsidRPr="008B6A75">
        <w:rPr>
          <w:sz w:val="20"/>
          <w:szCs w:val="20"/>
        </w:rPr>
        <w:t xml:space="preserve">- пункт 2.5 подпункт 3 изложить в следующей редакции: </w:t>
      </w:r>
    </w:p>
    <w:p w14:paraId="47A80C1B" w14:textId="6422F929" w:rsidR="00387142" w:rsidRPr="008B6A75" w:rsidRDefault="00387142" w:rsidP="00387142">
      <w:pPr>
        <w:ind w:firstLine="709"/>
        <w:jc w:val="both"/>
        <w:rPr>
          <w:sz w:val="20"/>
          <w:szCs w:val="20"/>
        </w:rPr>
      </w:pPr>
      <w:r w:rsidRPr="008B6A75">
        <w:rPr>
          <w:sz w:val="20"/>
          <w:szCs w:val="20"/>
        </w:rPr>
        <w:t xml:space="preserve">«3. Коэффициент стоимости предоставления коммунальных услуг </w:t>
      </w:r>
      <w:r w:rsidRPr="008B6A75">
        <w:rPr>
          <w:sz w:val="20"/>
          <w:szCs w:val="20"/>
          <w:lang w:val="en-US"/>
        </w:rPr>
        <w:t>j</w:t>
      </w:r>
      <w:r w:rsidRPr="008B6A75">
        <w:rPr>
          <w:sz w:val="20"/>
          <w:szCs w:val="20"/>
        </w:rPr>
        <w:t>-го поселения Куйбышевского района (</w:t>
      </w:r>
      <m:oMath>
        <m:sSub>
          <m:sSubPr>
            <m:ctrlPr>
              <w:rPr>
                <w:rFonts w:ascii="Cambria Math" w:hAnsi="Cambria Math"/>
                <w:sz w:val="20"/>
                <w:szCs w:val="20"/>
              </w:rPr>
            </m:ctrlPr>
          </m:sSubPr>
          <m:e>
            <m:r>
              <m:rPr>
                <m:sty m:val="p"/>
              </m:rPr>
              <w:rPr>
                <w:rFonts w:ascii="Cambria Math" w:hAnsi="Cambria Math"/>
                <w:sz w:val="20"/>
                <w:szCs w:val="20"/>
              </w:rPr>
              <m:t>К</m:t>
            </m:r>
            <m:r>
              <m:rPr>
                <m:sty m:val="p"/>
              </m:rPr>
              <w:rPr>
                <w:rFonts w:ascii="Cambria Math" w:hAnsi="Cambria Math"/>
                <w:sz w:val="20"/>
                <w:szCs w:val="20"/>
                <w:vertAlign w:val="superscript"/>
              </w:rPr>
              <m:t>ку</m:t>
            </m:r>
          </m:e>
          <m:sub>
            <m:r>
              <m:rPr>
                <m:sty m:val="p"/>
              </m:rPr>
              <w:rPr>
                <w:rFonts w:ascii="Cambria Math" w:hAnsi="Cambria Math"/>
                <w:sz w:val="20"/>
                <w:szCs w:val="20"/>
                <w:lang w:val="en-US"/>
              </w:rPr>
              <m:t>j</m:t>
            </m:r>
          </m:sub>
        </m:sSub>
      </m:oMath>
      <w:r w:rsidRPr="008B6A75">
        <w:rPr>
          <w:sz w:val="20"/>
          <w:szCs w:val="20"/>
        </w:rPr>
        <w:t>) рассчитывается по следующей формуле:</w:t>
      </w:r>
    </w:p>
    <w:p w14:paraId="14E5459F" w14:textId="77777777" w:rsidR="00387142" w:rsidRPr="008B6A75" w:rsidRDefault="00387142" w:rsidP="00387142">
      <w:pPr>
        <w:ind w:firstLine="709"/>
        <w:jc w:val="both"/>
        <w:rPr>
          <w:sz w:val="20"/>
          <w:szCs w:val="20"/>
        </w:rPr>
      </w:pPr>
    </w:p>
    <w:p w14:paraId="3AACA81F" w14:textId="6525F248" w:rsidR="00387142" w:rsidRPr="008B6A75" w:rsidRDefault="00387142" w:rsidP="00387142">
      <w:pPr>
        <w:ind w:firstLine="709"/>
        <w:jc w:val="center"/>
        <w:rPr>
          <w:sz w:val="20"/>
          <w:szCs w:val="20"/>
        </w:rPr>
      </w:pPr>
      <w:r w:rsidRPr="008B6A75">
        <w:rPr>
          <w:sz w:val="20"/>
          <w:szCs w:val="20"/>
        </w:rPr>
        <w:fldChar w:fldCharType="begin"/>
      </w:r>
      <w:r w:rsidRPr="008B6A75">
        <w:rPr>
          <w:sz w:val="20"/>
          <w:szCs w:val="20"/>
        </w:rPr>
        <w:instrText xml:space="preserve"> QUOTE </w:instrText>
      </w:r>
      <m:oMath>
        <m:sSub>
          <m:sSubPr>
            <m:ctrlPr>
              <w:rPr>
                <w:rFonts w:ascii="Cambria Math" w:hAnsi="Cambria Math"/>
                <w:sz w:val="20"/>
                <w:szCs w:val="20"/>
              </w:rPr>
            </m:ctrlPr>
          </m:sSubPr>
          <m:e>
            <m:r>
              <m:rPr>
                <m:sty m:val="p"/>
              </m:rPr>
              <w:rPr>
                <w:rFonts w:ascii="Cambria Math" w:hAnsi="Cambria Math"/>
                <w:sz w:val="20"/>
                <w:szCs w:val="20"/>
              </w:rPr>
              <m:t>К</m:t>
            </m:r>
            <m:r>
              <m:rPr>
                <m:sty m:val="p"/>
              </m:rPr>
              <w:rPr>
                <w:rFonts w:ascii="Cambria Math" w:hAnsi="Cambria Math"/>
                <w:sz w:val="20"/>
                <w:szCs w:val="20"/>
                <w:vertAlign w:val="superscript"/>
              </w:rPr>
              <m:t>ку</m:t>
            </m:r>
          </m:e>
          <m:sub>
            <m:r>
              <m:rPr>
                <m:sty m:val="p"/>
              </m:rPr>
              <w:rPr>
                <w:rFonts w:ascii="Cambria Math" w:hAnsi="Cambria Math"/>
                <w:sz w:val="20"/>
                <w:szCs w:val="20"/>
                <w:lang w:val="en-US"/>
              </w:rPr>
              <m:t>ij</m:t>
            </m:r>
          </m:sub>
        </m:sSub>
        <m:r>
          <m:rPr>
            <m:sty m:val="p"/>
          </m:rPr>
          <w:rPr>
            <w:rFonts w:ascii="Cambria Math" w:hAnsi="Cambria Math"/>
            <w:sz w:val="20"/>
            <w:szCs w:val="20"/>
          </w:rPr>
          <m:t xml:space="preserve"> = </m:t>
        </m:r>
        <m:sSub>
          <m:sSubPr>
            <m:ctrlPr>
              <w:rPr>
                <w:rFonts w:ascii="Cambria Math" w:hAnsi="Cambria Math"/>
                <w:sz w:val="20"/>
                <w:szCs w:val="20"/>
              </w:rPr>
            </m:ctrlPr>
          </m:sSubPr>
          <m:e>
            <m:r>
              <m:rPr>
                <m:sty m:val="p"/>
              </m:rPr>
              <w:rPr>
                <w:rFonts w:ascii="Cambria Math" w:hAnsi="Cambria Math"/>
                <w:sz w:val="20"/>
                <w:szCs w:val="20"/>
              </w:rPr>
              <m:t>а</m:t>
            </m:r>
          </m:e>
          <m:sub>
            <m:r>
              <m:rPr>
                <m:sty m:val="p"/>
              </m:rPr>
              <w:rPr>
                <w:rFonts w:ascii="Cambria Math" w:hAnsi="Cambria Math"/>
                <w:sz w:val="20"/>
                <w:szCs w:val="20"/>
                <w:vertAlign w:val="subscript"/>
              </w:rPr>
              <m:t>1</m:t>
            </m:r>
          </m:sub>
        </m:sSub>
        <m:r>
          <m:rPr>
            <m:sty m:val="p"/>
          </m:rPr>
          <w:rPr>
            <w:rFonts w:ascii="Cambria Math" w:hAnsi="Cambria Math"/>
            <w:sz w:val="20"/>
            <w:szCs w:val="20"/>
          </w:rPr>
          <m:t xml:space="preserve">* </m:t>
        </m:r>
        <m:sSub>
          <m:sSubPr>
            <m:ctrlPr>
              <w:rPr>
                <w:rFonts w:ascii="Cambria Math" w:hAnsi="Cambria Math"/>
                <w:sz w:val="20"/>
                <w:szCs w:val="20"/>
              </w:rPr>
            </m:ctrlPr>
          </m:sSubPr>
          <m:e>
            <m:r>
              <m:rPr>
                <m:sty m:val="p"/>
              </m:rPr>
              <w:rPr>
                <w:rFonts w:ascii="Cambria Math" w:hAnsi="Cambria Math"/>
                <w:sz w:val="20"/>
                <w:szCs w:val="20"/>
              </w:rPr>
              <m:t>К</m:t>
            </m:r>
            <m:r>
              <m:rPr>
                <m:sty m:val="p"/>
              </m:rPr>
              <w:rPr>
                <w:rFonts w:ascii="Cambria Math" w:hAnsi="Cambria Math"/>
                <w:sz w:val="20"/>
                <w:szCs w:val="20"/>
                <w:vertAlign w:val="superscript"/>
              </w:rPr>
              <m:t>вод</m:t>
            </m:r>
          </m:e>
          <m:sub>
            <m:r>
              <m:rPr>
                <m:sty m:val="p"/>
              </m:rPr>
              <w:rPr>
                <w:rFonts w:ascii="Cambria Math" w:hAnsi="Cambria Math"/>
                <w:sz w:val="20"/>
                <w:szCs w:val="20"/>
                <w:lang w:val="en-US"/>
              </w:rPr>
              <m:t>ij</m:t>
            </m:r>
          </m:sub>
        </m:sSub>
        <m:r>
          <m:rPr>
            <m:sty m:val="p"/>
          </m:rPr>
          <w:rPr>
            <w:rFonts w:ascii="Cambria Math" w:hAnsi="Cambria Math"/>
            <w:sz w:val="20"/>
            <w:szCs w:val="20"/>
          </w:rPr>
          <m:t xml:space="preserve"> + </m:t>
        </m:r>
        <m:sSub>
          <m:sSubPr>
            <m:ctrlPr>
              <w:rPr>
                <w:rFonts w:ascii="Cambria Math" w:hAnsi="Cambria Math"/>
                <w:sz w:val="20"/>
                <w:szCs w:val="20"/>
              </w:rPr>
            </m:ctrlPr>
          </m:sSubPr>
          <m:e>
            <m:r>
              <m:rPr>
                <m:sty m:val="p"/>
              </m:rPr>
              <w:rPr>
                <w:rFonts w:ascii="Cambria Math" w:hAnsi="Cambria Math"/>
                <w:sz w:val="20"/>
                <w:szCs w:val="20"/>
              </w:rPr>
              <m:t>а</m:t>
            </m:r>
          </m:e>
          <m:sub>
            <m:r>
              <m:rPr>
                <m:sty m:val="p"/>
              </m:rPr>
              <w:rPr>
                <w:rFonts w:ascii="Cambria Math" w:hAnsi="Cambria Math"/>
                <w:sz w:val="20"/>
                <w:szCs w:val="20"/>
                <w:vertAlign w:val="subscript"/>
              </w:rPr>
              <m:t>2</m:t>
            </m:r>
          </m:sub>
        </m:sSub>
        <m:r>
          <m:rPr>
            <m:sty m:val="p"/>
          </m:rPr>
          <w:rPr>
            <w:rFonts w:ascii="Cambria Math" w:hAnsi="Cambria Math"/>
            <w:sz w:val="20"/>
            <w:szCs w:val="20"/>
          </w:rPr>
          <m:t xml:space="preserve">* </m:t>
        </m:r>
        <m:sSub>
          <m:sSubPr>
            <m:ctrlPr>
              <w:rPr>
                <w:rFonts w:ascii="Cambria Math" w:hAnsi="Cambria Math"/>
                <w:sz w:val="20"/>
                <w:szCs w:val="20"/>
              </w:rPr>
            </m:ctrlPr>
          </m:sSubPr>
          <m:e>
            <m:r>
              <m:rPr>
                <m:sty m:val="p"/>
              </m:rPr>
              <w:rPr>
                <w:rFonts w:ascii="Cambria Math" w:hAnsi="Cambria Math"/>
                <w:sz w:val="20"/>
                <w:szCs w:val="20"/>
              </w:rPr>
              <m:t>К</m:t>
            </m:r>
            <m:r>
              <m:rPr>
                <m:sty m:val="p"/>
              </m:rPr>
              <w:rPr>
                <w:rFonts w:ascii="Cambria Math" w:hAnsi="Cambria Math"/>
                <w:sz w:val="20"/>
                <w:szCs w:val="20"/>
                <w:vertAlign w:val="superscript"/>
              </w:rPr>
              <m:t>стэ</m:t>
            </m:r>
          </m:e>
          <m:sub>
            <m:r>
              <m:rPr>
                <m:sty m:val="p"/>
              </m:rPr>
              <w:rPr>
                <w:rFonts w:ascii="Cambria Math" w:hAnsi="Cambria Math"/>
                <w:sz w:val="20"/>
                <w:szCs w:val="20"/>
                <w:lang w:val="en-US"/>
              </w:rPr>
              <m:t>ij</m:t>
            </m:r>
          </m:sub>
        </m:sSub>
      </m:oMath>
      <w:r w:rsidRPr="008B6A75">
        <w:rPr>
          <w:sz w:val="20"/>
          <w:szCs w:val="20"/>
        </w:rPr>
        <w:instrText xml:space="preserve"> </w:instrText>
      </w:r>
      <w:r w:rsidRPr="008B6A75">
        <w:rPr>
          <w:sz w:val="20"/>
          <w:szCs w:val="20"/>
        </w:rPr>
        <w:fldChar w:fldCharType="separate"/>
      </w:r>
      <m:oMath>
        <m:sSub>
          <m:sSubPr>
            <m:ctrlPr>
              <w:rPr>
                <w:rFonts w:ascii="Cambria Math" w:hAnsi="Cambria Math"/>
                <w:sz w:val="20"/>
                <w:szCs w:val="20"/>
              </w:rPr>
            </m:ctrlPr>
          </m:sSubPr>
          <m:e>
            <m:r>
              <m:rPr>
                <m:sty m:val="p"/>
              </m:rPr>
              <w:rPr>
                <w:rFonts w:ascii="Cambria Math" w:hAnsi="Cambria Math"/>
                <w:sz w:val="20"/>
                <w:szCs w:val="20"/>
              </w:rPr>
              <m:t>К</m:t>
            </m:r>
            <m:r>
              <m:rPr>
                <m:sty m:val="p"/>
              </m:rPr>
              <w:rPr>
                <w:rFonts w:ascii="Cambria Math" w:hAnsi="Cambria Math"/>
                <w:sz w:val="20"/>
                <w:szCs w:val="20"/>
                <w:vertAlign w:val="superscript"/>
              </w:rPr>
              <m:t>ку</m:t>
            </m:r>
          </m:e>
          <m:sub>
            <m:r>
              <m:rPr>
                <m:sty m:val="p"/>
              </m:rPr>
              <w:rPr>
                <w:rFonts w:ascii="Cambria Math" w:hAnsi="Cambria Math"/>
                <w:sz w:val="20"/>
                <w:szCs w:val="20"/>
                <w:lang w:val="en-US"/>
              </w:rPr>
              <m:t>j</m:t>
            </m:r>
          </m:sub>
        </m:sSub>
        <m:r>
          <m:rPr>
            <m:sty m:val="p"/>
          </m:rPr>
          <w:rPr>
            <w:rFonts w:ascii="Cambria Math" w:hAnsi="Cambria Math"/>
            <w:sz w:val="20"/>
            <w:szCs w:val="20"/>
          </w:rPr>
          <m:t xml:space="preserve"> = </m:t>
        </m:r>
        <m:sSub>
          <m:sSubPr>
            <m:ctrlPr>
              <w:rPr>
                <w:rFonts w:ascii="Cambria Math" w:hAnsi="Cambria Math"/>
                <w:sz w:val="20"/>
                <w:szCs w:val="20"/>
              </w:rPr>
            </m:ctrlPr>
          </m:sSubPr>
          <m:e>
            <m:r>
              <m:rPr>
                <m:sty m:val="p"/>
              </m:rPr>
              <w:rPr>
                <w:rFonts w:ascii="Cambria Math" w:hAnsi="Cambria Math"/>
                <w:sz w:val="20"/>
                <w:szCs w:val="20"/>
              </w:rPr>
              <m:t>а</m:t>
            </m:r>
          </m:e>
          <m:sub>
            <m:r>
              <m:rPr>
                <m:sty m:val="p"/>
              </m:rPr>
              <w:rPr>
                <w:rFonts w:ascii="Cambria Math" w:hAnsi="Cambria Math"/>
                <w:sz w:val="20"/>
                <w:szCs w:val="20"/>
                <w:vertAlign w:val="subscript"/>
              </w:rPr>
              <m:t>1</m:t>
            </m:r>
          </m:sub>
        </m:sSub>
        <m:r>
          <m:rPr>
            <m:sty m:val="p"/>
          </m:rPr>
          <w:rPr>
            <w:rFonts w:ascii="Cambria Math" w:hAnsi="Cambria Math"/>
            <w:sz w:val="20"/>
            <w:szCs w:val="20"/>
          </w:rPr>
          <m:t xml:space="preserve">* </m:t>
        </m:r>
        <m:sSub>
          <m:sSubPr>
            <m:ctrlPr>
              <w:rPr>
                <w:rFonts w:ascii="Cambria Math" w:hAnsi="Cambria Math"/>
                <w:sz w:val="20"/>
                <w:szCs w:val="20"/>
              </w:rPr>
            </m:ctrlPr>
          </m:sSubPr>
          <m:e>
            <m:r>
              <m:rPr>
                <m:sty m:val="p"/>
              </m:rPr>
              <w:rPr>
                <w:rFonts w:ascii="Cambria Math" w:hAnsi="Cambria Math"/>
                <w:sz w:val="20"/>
                <w:szCs w:val="20"/>
              </w:rPr>
              <m:t>К</m:t>
            </m:r>
            <m:r>
              <m:rPr>
                <m:sty m:val="p"/>
              </m:rPr>
              <w:rPr>
                <w:rFonts w:ascii="Cambria Math" w:hAnsi="Cambria Math"/>
                <w:sz w:val="20"/>
                <w:szCs w:val="20"/>
                <w:vertAlign w:val="superscript"/>
              </w:rPr>
              <m:t>вод</m:t>
            </m:r>
          </m:e>
          <m:sub>
            <m:r>
              <m:rPr>
                <m:sty m:val="p"/>
              </m:rPr>
              <w:rPr>
                <w:rFonts w:ascii="Cambria Math" w:hAnsi="Cambria Math"/>
                <w:sz w:val="20"/>
                <w:szCs w:val="20"/>
                <w:lang w:val="en-US"/>
              </w:rPr>
              <m:t>j</m:t>
            </m:r>
          </m:sub>
        </m:sSub>
        <m:r>
          <m:rPr>
            <m:sty m:val="p"/>
          </m:rPr>
          <w:rPr>
            <w:rFonts w:ascii="Cambria Math" w:hAnsi="Cambria Math"/>
            <w:sz w:val="20"/>
            <w:szCs w:val="20"/>
          </w:rPr>
          <m:t xml:space="preserve"> + </m:t>
        </m:r>
        <m:sSub>
          <m:sSubPr>
            <m:ctrlPr>
              <w:rPr>
                <w:rFonts w:ascii="Cambria Math" w:hAnsi="Cambria Math"/>
                <w:sz w:val="20"/>
                <w:szCs w:val="20"/>
              </w:rPr>
            </m:ctrlPr>
          </m:sSubPr>
          <m:e>
            <m:r>
              <m:rPr>
                <m:sty m:val="p"/>
              </m:rPr>
              <w:rPr>
                <w:rFonts w:ascii="Cambria Math" w:hAnsi="Cambria Math"/>
                <w:sz w:val="20"/>
                <w:szCs w:val="20"/>
              </w:rPr>
              <m:t>а</m:t>
            </m:r>
          </m:e>
          <m:sub>
            <m:r>
              <m:rPr>
                <m:sty m:val="p"/>
              </m:rPr>
              <w:rPr>
                <w:rFonts w:ascii="Cambria Math" w:hAnsi="Cambria Math"/>
                <w:sz w:val="20"/>
                <w:szCs w:val="20"/>
                <w:vertAlign w:val="subscript"/>
              </w:rPr>
              <m:t>2</m:t>
            </m:r>
          </m:sub>
        </m:sSub>
        <m:r>
          <m:rPr>
            <m:sty m:val="p"/>
          </m:rPr>
          <w:rPr>
            <w:rFonts w:ascii="Cambria Math" w:hAnsi="Cambria Math"/>
            <w:sz w:val="20"/>
            <w:szCs w:val="20"/>
          </w:rPr>
          <m:t xml:space="preserve">* </m:t>
        </m:r>
        <m:sSub>
          <m:sSubPr>
            <m:ctrlPr>
              <w:rPr>
                <w:rFonts w:ascii="Cambria Math" w:hAnsi="Cambria Math"/>
                <w:sz w:val="20"/>
                <w:szCs w:val="20"/>
              </w:rPr>
            </m:ctrlPr>
          </m:sSubPr>
          <m:e>
            <m:r>
              <m:rPr>
                <m:sty m:val="p"/>
              </m:rPr>
              <w:rPr>
                <w:rFonts w:ascii="Cambria Math" w:hAnsi="Cambria Math"/>
                <w:sz w:val="20"/>
                <w:szCs w:val="20"/>
              </w:rPr>
              <m:t>К</m:t>
            </m:r>
            <m:r>
              <m:rPr>
                <m:sty m:val="p"/>
              </m:rPr>
              <w:rPr>
                <w:rFonts w:ascii="Cambria Math" w:hAnsi="Cambria Math"/>
                <w:sz w:val="20"/>
                <w:szCs w:val="20"/>
                <w:vertAlign w:val="superscript"/>
              </w:rPr>
              <m:t>стэ</m:t>
            </m:r>
          </m:e>
          <m:sub>
            <m:r>
              <m:rPr>
                <m:sty m:val="p"/>
              </m:rPr>
              <w:rPr>
                <w:rFonts w:ascii="Cambria Math" w:hAnsi="Cambria Math"/>
                <w:sz w:val="20"/>
                <w:szCs w:val="20"/>
                <w:lang w:val="en-US"/>
              </w:rPr>
              <m:t>j</m:t>
            </m:r>
          </m:sub>
        </m:sSub>
      </m:oMath>
      <w:r w:rsidRPr="008B6A75">
        <w:rPr>
          <w:sz w:val="20"/>
          <w:szCs w:val="20"/>
        </w:rPr>
        <w:fldChar w:fldCharType="end"/>
      </w:r>
      <w:r w:rsidRPr="008B6A75">
        <w:rPr>
          <w:sz w:val="20"/>
          <w:szCs w:val="20"/>
        </w:rPr>
        <w:t>,</w:t>
      </w:r>
    </w:p>
    <w:p w14:paraId="0CBA926B" w14:textId="77777777" w:rsidR="00387142" w:rsidRPr="008B6A75" w:rsidRDefault="00387142" w:rsidP="00387142">
      <w:pPr>
        <w:widowControl w:val="0"/>
        <w:autoSpaceDE w:val="0"/>
        <w:autoSpaceDN w:val="0"/>
        <w:adjustRightInd w:val="0"/>
        <w:ind w:firstLine="709"/>
        <w:jc w:val="both"/>
        <w:rPr>
          <w:sz w:val="20"/>
          <w:szCs w:val="20"/>
        </w:rPr>
      </w:pPr>
    </w:p>
    <w:p w14:paraId="6C8FCE96" w14:textId="7CBE367F" w:rsidR="00387142" w:rsidRPr="008B6A75" w:rsidRDefault="00387142" w:rsidP="00387142">
      <w:pPr>
        <w:widowControl w:val="0"/>
        <w:autoSpaceDE w:val="0"/>
        <w:autoSpaceDN w:val="0"/>
        <w:adjustRightInd w:val="0"/>
        <w:ind w:firstLine="709"/>
        <w:jc w:val="both"/>
        <w:rPr>
          <w:sz w:val="20"/>
          <w:szCs w:val="20"/>
        </w:rPr>
      </w:pPr>
      <w:proofErr w:type="gramStart"/>
      <w:r w:rsidRPr="008B6A75">
        <w:rPr>
          <w:sz w:val="20"/>
          <w:szCs w:val="20"/>
        </w:rPr>
        <w:t xml:space="preserve">где </w:t>
      </w:r>
      <m:oMath>
        <m:sSub>
          <m:sSubPr>
            <m:ctrlPr>
              <w:rPr>
                <w:rFonts w:ascii="Cambria Math" w:hAnsi="Cambria Math"/>
                <w:sz w:val="20"/>
                <w:szCs w:val="20"/>
              </w:rPr>
            </m:ctrlPr>
          </m:sSubPr>
          <m:e>
            <m:r>
              <m:rPr>
                <m:sty m:val="p"/>
              </m:rPr>
              <w:rPr>
                <w:rFonts w:ascii="Cambria Math" w:hAnsi="Cambria Math"/>
                <w:sz w:val="20"/>
                <w:szCs w:val="20"/>
              </w:rPr>
              <m:t>К</m:t>
            </m:r>
            <m:r>
              <m:rPr>
                <m:sty m:val="p"/>
              </m:rPr>
              <w:rPr>
                <w:rFonts w:ascii="Cambria Math" w:hAnsi="Cambria Math"/>
                <w:sz w:val="20"/>
                <w:szCs w:val="20"/>
                <w:vertAlign w:val="superscript"/>
              </w:rPr>
              <m:t>вод</m:t>
            </m:r>
          </m:e>
          <m:sub>
            <m:r>
              <m:rPr>
                <m:sty m:val="p"/>
              </m:rPr>
              <w:rPr>
                <w:rFonts w:ascii="Cambria Math" w:hAnsi="Cambria Math"/>
                <w:sz w:val="20"/>
                <w:szCs w:val="20"/>
                <w:lang w:val="en-US"/>
              </w:rPr>
              <m:t>j</m:t>
            </m:r>
          </m:sub>
        </m:sSub>
      </m:oMath>
      <w:r w:rsidRPr="008B6A75">
        <w:rPr>
          <w:sz w:val="20"/>
          <w:szCs w:val="20"/>
        </w:rPr>
        <w:t> –</w:t>
      </w:r>
      <w:proofErr w:type="gramEnd"/>
      <w:r w:rsidRPr="008B6A75">
        <w:rPr>
          <w:sz w:val="20"/>
          <w:szCs w:val="20"/>
        </w:rPr>
        <w:t xml:space="preserve"> – коэффициент стоимости водоснабжения и водоотведения </w:t>
      </w:r>
      <w:r w:rsidRPr="008B6A75">
        <w:rPr>
          <w:sz w:val="20"/>
          <w:szCs w:val="20"/>
          <w:lang w:val="en-US"/>
        </w:rPr>
        <w:t>j</w:t>
      </w:r>
      <w:r w:rsidRPr="008B6A75">
        <w:rPr>
          <w:sz w:val="20"/>
          <w:szCs w:val="20"/>
        </w:rPr>
        <w:t>-го поселения Куйбышевского района;</w:t>
      </w:r>
    </w:p>
    <w:p w14:paraId="63F547C7" w14:textId="1701FAD6" w:rsidR="00387142" w:rsidRPr="008B6A75" w:rsidRDefault="00387142" w:rsidP="00387142">
      <w:pPr>
        <w:widowControl w:val="0"/>
        <w:autoSpaceDE w:val="0"/>
        <w:autoSpaceDN w:val="0"/>
        <w:adjustRightInd w:val="0"/>
        <w:ind w:firstLine="709"/>
        <w:jc w:val="both"/>
        <w:rPr>
          <w:sz w:val="20"/>
          <w:szCs w:val="20"/>
        </w:rPr>
      </w:pPr>
      <w:r w:rsidRPr="008B6A75">
        <w:rPr>
          <w:sz w:val="20"/>
          <w:szCs w:val="20"/>
        </w:rPr>
        <w:fldChar w:fldCharType="begin"/>
      </w:r>
      <w:r w:rsidRPr="008B6A75">
        <w:rPr>
          <w:sz w:val="20"/>
          <w:szCs w:val="20"/>
        </w:rPr>
        <w:instrText xml:space="preserve"> QUOTE </w:instrText>
      </w:r>
      <m:oMath>
        <m:sSub>
          <m:sSubPr>
            <m:ctrlPr>
              <w:rPr>
                <w:rFonts w:ascii="Cambria Math" w:hAnsi="Cambria Math"/>
                <w:sz w:val="20"/>
                <w:szCs w:val="20"/>
              </w:rPr>
            </m:ctrlPr>
          </m:sSubPr>
          <m:e>
            <m:r>
              <m:rPr>
                <m:sty m:val="p"/>
              </m:rPr>
              <w:rPr>
                <w:rFonts w:ascii="Cambria Math" w:hAnsi="Cambria Math"/>
                <w:sz w:val="20"/>
                <w:szCs w:val="20"/>
              </w:rPr>
              <m:t>К</m:t>
            </m:r>
            <m:r>
              <m:rPr>
                <m:sty m:val="p"/>
              </m:rPr>
              <w:rPr>
                <w:rFonts w:ascii="Cambria Math" w:hAnsi="Cambria Math"/>
                <w:sz w:val="20"/>
                <w:szCs w:val="20"/>
                <w:vertAlign w:val="superscript"/>
              </w:rPr>
              <m:t>стэ</m:t>
            </m:r>
          </m:e>
          <m:sub>
            <m:r>
              <m:rPr>
                <m:sty m:val="p"/>
              </m:rPr>
              <w:rPr>
                <w:rFonts w:ascii="Cambria Math" w:hAnsi="Cambria Math"/>
                <w:sz w:val="20"/>
                <w:szCs w:val="20"/>
                <w:lang w:val="en-US"/>
              </w:rPr>
              <m:t>ij</m:t>
            </m:r>
          </m:sub>
        </m:sSub>
      </m:oMath>
      <w:r w:rsidRPr="008B6A75">
        <w:rPr>
          <w:sz w:val="20"/>
          <w:szCs w:val="20"/>
        </w:rPr>
        <w:instrText xml:space="preserve"> </w:instrText>
      </w:r>
      <w:r w:rsidRPr="008B6A75">
        <w:rPr>
          <w:sz w:val="20"/>
          <w:szCs w:val="20"/>
        </w:rPr>
        <w:fldChar w:fldCharType="separate"/>
      </w:r>
      <m:oMath>
        <m:sSub>
          <m:sSubPr>
            <m:ctrlPr>
              <w:rPr>
                <w:rFonts w:ascii="Cambria Math" w:hAnsi="Cambria Math"/>
                <w:sz w:val="20"/>
                <w:szCs w:val="20"/>
              </w:rPr>
            </m:ctrlPr>
          </m:sSubPr>
          <m:e>
            <m:r>
              <m:rPr>
                <m:sty m:val="p"/>
              </m:rPr>
              <w:rPr>
                <w:rFonts w:ascii="Cambria Math" w:hAnsi="Cambria Math"/>
                <w:sz w:val="20"/>
                <w:szCs w:val="20"/>
              </w:rPr>
              <m:t>К</m:t>
            </m:r>
            <m:r>
              <m:rPr>
                <m:sty m:val="p"/>
              </m:rPr>
              <w:rPr>
                <w:rFonts w:ascii="Cambria Math" w:hAnsi="Cambria Math"/>
                <w:sz w:val="20"/>
                <w:szCs w:val="20"/>
                <w:vertAlign w:val="superscript"/>
              </w:rPr>
              <m:t>стэ</m:t>
            </m:r>
          </m:e>
          <m:sub>
            <m:r>
              <m:rPr>
                <m:sty m:val="p"/>
              </m:rPr>
              <w:rPr>
                <w:rFonts w:ascii="Cambria Math" w:hAnsi="Cambria Math"/>
                <w:sz w:val="20"/>
                <w:szCs w:val="20"/>
                <w:lang w:val="en-US"/>
              </w:rPr>
              <m:t>j</m:t>
            </m:r>
          </m:sub>
        </m:sSub>
      </m:oMath>
      <w:r w:rsidRPr="008B6A75">
        <w:rPr>
          <w:sz w:val="20"/>
          <w:szCs w:val="20"/>
        </w:rPr>
        <w:fldChar w:fldCharType="end"/>
      </w:r>
      <w:r w:rsidRPr="008B6A75">
        <w:rPr>
          <w:sz w:val="20"/>
          <w:szCs w:val="20"/>
        </w:rPr>
        <w:t xml:space="preserve"> – коэффициент стоимости тепловой энергии </w:t>
      </w:r>
      <w:r w:rsidRPr="008B6A75">
        <w:rPr>
          <w:sz w:val="20"/>
          <w:szCs w:val="20"/>
          <w:lang w:val="en-US"/>
        </w:rPr>
        <w:t>j</w:t>
      </w:r>
      <w:r w:rsidRPr="008B6A75">
        <w:rPr>
          <w:sz w:val="20"/>
          <w:szCs w:val="20"/>
        </w:rPr>
        <w:t>-го поселения Куйбышевского района;</w:t>
      </w:r>
    </w:p>
    <w:p w14:paraId="53CF7DBA" w14:textId="6C54295A" w:rsidR="00387142" w:rsidRPr="008B6A75" w:rsidRDefault="00387142" w:rsidP="00387142">
      <w:pPr>
        <w:ind w:firstLine="709"/>
        <w:jc w:val="both"/>
        <w:rPr>
          <w:sz w:val="20"/>
          <w:szCs w:val="20"/>
        </w:rPr>
      </w:pPr>
      <m:oMath>
        <m:sSub>
          <m:sSubPr>
            <m:ctrlPr>
              <w:rPr>
                <w:rFonts w:ascii="Cambria Math" w:hAnsi="Cambria Math"/>
                <w:sz w:val="20"/>
                <w:szCs w:val="20"/>
              </w:rPr>
            </m:ctrlPr>
          </m:sSubPr>
          <m:e>
            <m:r>
              <m:rPr>
                <m:sty m:val="p"/>
              </m:rPr>
              <w:rPr>
                <w:rFonts w:ascii="Cambria Math" w:hAnsi="Cambria Math"/>
                <w:sz w:val="20"/>
                <w:szCs w:val="20"/>
              </w:rPr>
              <m:t>а</m:t>
            </m:r>
          </m:e>
          <m:sub>
            <m:r>
              <m:rPr>
                <m:sty m:val="p"/>
              </m:rPr>
              <w:rPr>
                <w:rFonts w:ascii="Cambria Math" w:hAnsi="Cambria Math"/>
                <w:sz w:val="20"/>
                <w:szCs w:val="20"/>
                <w:vertAlign w:val="subscript"/>
              </w:rPr>
              <m:t>1</m:t>
            </m:r>
          </m:sub>
        </m:sSub>
      </m:oMath>
      <w:proofErr w:type="gramStart"/>
      <w:r w:rsidRPr="008B6A75">
        <w:rPr>
          <w:sz w:val="20"/>
          <w:szCs w:val="20"/>
        </w:rPr>
        <w:t xml:space="preserve">, </w:t>
      </w:r>
      <m:oMath>
        <m:sSub>
          <m:sSubPr>
            <m:ctrlPr>
              <w:rPr>
                <w:rFonts w:ascii="Cambria Math" w:hAnsi="Cambria Math"/>
                <w:sz w:val="20"/>
                <w:szCs w:val="20"/>
              </w:rPr>
            </m:ctrlPr>
          </m:sSubPr>
          <m:e>
            <m:r>
              <m:rPr>
                <m:sty m:val="p"/>
              </m:rPr>
              <w:rPr>
                <w:rFonts w:ascii="Cambria Math" w:hAnsi="Cambria Math"/>
                <w:sz w:val="20"/>
                <w:szCs w:val="20"/>
              </w:rPr>
              <m:t>а</m:t>
            </m:r>
          </m:e>
          <m:sub>
            <m:r>
              <m:rPr>
                <m:sty m:val="p"/>
              </m:rPr>
              <w:rPr>
                <w:rFonts w:ascii="Cambria Math" w:hAnsi="Cambria Math"/>
                <w:sz w:val="20"/>
                <w:szCs w:val="20"/>
                <w:vertAlign w:val="subscript"/>
              </w:rPr>
              <m:t>2</m:t>
            </m:r>
          </m:sub>
        </m:sSub>
      </m:oMath>
      <w:r w:rsidRPr="008B6A75">
        <w:rPr>
          <w:sz w:val="20"/>
          <w:szCs w:val="20"/>
        </w:rPr>
        <w:t> –</w:t>
      </w:r>
      <w:proofErr w:type="gramEnd"/>
      <w:r w:rsidRPr="008B6A75">
        <w:rPr>
          <w:sz w:val="20"/>
          <w:szCs w:val="20"/>
        </w:rPr>
        <w:t> весовые коэффициенты, удовлетворяющие условиям (</w:t>
      </w:r>
      <m:oMath>
        <m:sSub>
          <m:sSubPr>
            <m:ctrlPr>
              <w:rPr>
                <w:rFonts w:ascii="Cambria Math" w:hAnsi="Cambria Math"/>
                <w:sz w:val="20"/>
                <w:szCs w:val="20"/>
              </w:rPr>
            </m:ctrlPr>
          </m:sSubPr>
          <m:e>
            <m:r>
              <m:rPr>
                <m:sty m:val="p"/>
              </m:rPr>
              <w:rPr>
                <w:rFonts w:ascii="Cambria Math" w:hAnsi="Cambria Math"/>
                <w:sz w:val="20"/>
                <w:szCs w:val="20"/>
              </w:rPr>
              <m:t>а</m:t>
            </m:r>
          </m:e>
          <m:sub>
            <m:r>
              <m:rPr>
                <m:sty m:val="p"/>
              </m:rPr>
              <w:rPr>
                <w:rFonts w:ascii="Cambria Math" w:hAnsi="Cambria Math"/>
                <w:sz w:val="20"/>
                <w:szCs w:val="20"/>
                <w:vertAlign w:val="subscript"/>
              </w:rPr>
              <m:t>1</m:t>
            </m:r>
          </m:sub>
        </m:sSub>
      </m:oMath>
      <w:r w:rsidRPr="008B6A75">
        <w:rPr>
          <w:sz w:val="20"/>
          <w:szCs w:val="20"/>
        </w:rPr>
        <w:t>, </w:t>
      </w:r>
      <m:oMath>
        <m:sSub>
          <m:sSubPr>
            <m:ctrlPr>
              <w:rPr>
                <w:rFonts w:ascii="Cambria Math" w:hAnsi="Cambria Math"/>
                <w:sz w:val="20"/>
                <w:szCs w:val="20"/>
              </w:rPr>
            </m:ctrlPr>
          </m:sSubPr>
          <m:e>
            <m:r>
              <m:rPr>
                <m:sty m:val="p"/>
              </m:rPr>
              <w:rPr>
                <w:rFonts w:ascii="Cambria Math" w:hAnsi="Cambria Math"/>
                <w:sz w:val="20"/>
                <w:szCs w:val="20"/>
              </w:rPr>
              <m:t>а</m:t>
            </m:r>
          </m:e>
          <m:sub>
            <m:r>
              <m:rPr>
                <m:sty m:val="p"/>
              </m:rPr>
              <w:rPr>
                <w:rFonts w:ascii="Cambria Math" w:hAnsi="Cambria Math"/>
                <w:sz w:val="20"/>
                <w:szCs w:val="20"/>
                <w:vertAlign w:val="subscript"/>
              </w:rPr>
              <m:t>2</m:t>
            </m:r>
          </m:sub>
        </m:sSub>
      </m:oMath>
      <w:r w:rsidRPr="008B6A75">
        <w:rPr>
          <w:sz w:val="20"/>
          <w:szCs w:val="20"/>
        </w:rPr>
        <w:t>) </w:t>
      </w:r>
      <w:r w:rsidRPr="008B6A75">
        <w:rPr>
          <w:sz w:val="20"/>
          <w:szCs w:val="20"/>
        </w:rPr>
        <w:sym w:font="Symbol" w:char="F0B3"/>
      </w:r>
      <w:r w:rsidRPr="008B6A75">
        <w:rPr>
          <w:sz w:val="20"/>
          <w:szCs w:val="20"/>
        </w:rPr>
        <w:t xml:space="preserve"> 0, </w:t>
      </w:r>
      <w:r w:rsidRPr="008B6A75">
        <w:rPr>
          <w:sz w:val="20"/>
          <w:szCs w:val="20"/>
          <w:lang w:val="en-US"/>
        </w:rPr>
        <w:t>a</w:t>
      </w:r>
      <w:r w:rsidRPr="008B6A75">
        <w:rPr>
          <w:sz w:val="20"/>
          <w:szCs w:val="20"/>
          <w:vertAlign w:val="subscript"/>
        </w:rPr>
        <w:t>1</w:t>
      </w:r>
      <w:r w:rsidRPr="008B6A75">
        <w:rPr>
          <w:sz w:val="20"/>
          <w:szCs w:val="20"/>
          <w:lang w:val="en-US"/>
        </w:rPr>
        <w:t> </w:t>
      </w:r>
      <w:r w:rsidRPr="008B6A75">
        <w:rPr>
          <w:sz w:val="20"/>
          <w:szCs w:val="20"/>
        </w:rPr>
        <w:t>+</w:t>
      </w:r>
      <w:r w:rsidRPr="008B6A75">
        <w:rPr>
          <w:sz w:val="20"/>
          <w:szCs w:val="20"/>
          <w:lang w:val="en-US"/>
        </w:rPr>
        <w:t> a</w:t>
      </w:r>
      <w:r w:rsidRPr="008B6A75">
        <w:rPr>
          <w:sz w:val="20"/>
          <w:szCs w:val="20"/>
          <w:vertAlign w:val="subscript"/>
        </w:rPr>
        <w:t>2 </w:t>
      </w:r>
      <w:r w:rsidRPr="008B6A75">
        <w:rPr>
          <w:sz w:val="20"/>
          <w:szCs w:val="20"/>
        </w:rPr>
        <w:t>= 1, определяются исходя из структуры расходов.</w:t>
      </w:r>
    </w:p>
    <w:p w14:paraId="5A1719A4" w14:textId="41556FFC" w:rsidR="00387142" w:rsidRPr="008B6A75" w:rsidRDefault="00387142" w:rsidP="00387142">
      <w:pPr>
        <w:ind w:firstLine="709"/>
        <w:jc w:val="both"/>
        <w:rPr>
          <w:sz w:val="20"/>
          <w:szCs w:val="20"/>
        </w:rPr>
      </w:pPr>
      <w:r w:rsidRPr="008B6A75">
        <w:rPr>
          <w:sz w:val="20"/>
          <w:szCs w:val="20"/>
        </w:rPr>
        <w:t xml:space="preserve">Коэффициент стоимости водоснабжения и водоотведения </w:t>
      </w:r>
      <w:r w:rsidRPr="008B6A75">
        <w:rPr>
          <w:sz w:val="20"/>
          <w:szCs w:val="20"/>
          <w:lang w:val="en-US"/>
        </w:rPr>
        <w:t>j</w:t>
      </w:r>
      <w:r w:rsidRPr="008B6A75">
        <w:rPr>
          <w:sz w:val="20"/>
          <w:szCs w:val="20"/>
        </w:rPr>
        <w:t>-го поселения Куйбышевского района (</w:t>
      </w:r>
      <m:oMath>
        <m:sSub>
          <m:sSubPr>
            <m:ctrlPr>
              <w:rPr>
                <w:rFonts w:ascii="Cambria Math" w:hAnsi="Cambria Math"/>
                <w:sz w:val="20"/>
                <w:szCs w:val="20"/>
              </w:rPr>
            </m:ctrlPr>
          </m:sSubPr>
          <m:e>
            <m:r>
              <m:rPr>
                <m:sty m:val="p"/>
              </m:rPr>
              <w:rPr>
                <w:rFonts w:ascii="Cambria Math" w:hAnsi="Cambria Math"/>
                <w:sz w:val="20"/>
                <w:szCs w:val="20"/>
              </w:rPr>
              <m:t>К</m:t>
            </m:r>
            <m:r>
              <m:rPr>
                <m:sty m:val="p"/>
              </m:rPr>
              <w:rPr>
                <w:rFonts w:ascii="Cambria Math" w:hAnsi="Cambria Math"/>
                <w:sz w:val="20"/>
                <w:szCs w:val="20"/>
                <w:vertAlign w:val="superscript"/>
              </w:rPr>
              <m:t>вод</m:t>
            </m:r>
          </m:e>
          <m:sub>
            <m:r>
              <m:rPr>
                <m:sty m:val="p"/>
              </m:rPr>
              <w:rPr>
                <w:rFonts w:ascii="Cambria Math" w:hAnsi="Cambria Math"/>
                <w:sz w:val="20"/>
                <w:szCs w:val="20"/>
                <w:lang w:val="en-US"/>
              </w:rPr>
              <m:t>j</m:t>
            </m:r>
          </m:sub>
        </m:sSub>
      </m:oMath>
      <w:r w:rsidRPr="008B6A75">
        <w:rPr>
          <w:sz w:val="20"/>
          <w:szCs w:val="20"/>
        </w:rPr>
        <w:t>) рассчитывается по следующей формуле:</w:t>
      </w:r>
    </w:p>
    <w:p w14:paraId="433F96F3" w14:textId="77777777" w:rsidR="00387142" w:rsidRPr="008B6A75" w:rsidRDefault="00387142" w:rsidP="00387142">
      <w:pPr>
        <w:ind w:firstLine="709"/>
        <w:jc w:val="both"/>
        <w:rPr>
          <w:sz w:val="20"/>
          <w:szCs w:val="20"/>
        </w:rPr>
      </w:pPr>
    </w:p>
    <w:p w14:paraId="798EB11B" w14:textId="0E328460" w:rsidR="00387142" w:rsidRPr="008B6A75" w:rsidRDefault="00387142" w:rsidP="00387142">
      <w:pPr>
        <w:ind w:firstLine="709"/>
        <w:jc w:val="center"/>
        <w:rPr>
          <w:sz w:val="20"/>
          <w:szCs w:val="20"/>
        </w:rPr>
      </w:pPr>
      <w:r w:rsidRPr="008B6A75">
        <w:rPr>
          <w:sz w:val="20"/>
          <w:szCs w:val="20"/>
        </w:rPr>
        <w:fldChar w:fldCharType="begin"/>
      </w:r>
      <w:r w:rsidRPr="008B6A75">
        <w:rPr>
          <w:sz w:val="20"/>
          <w:szCs w:val="20"/>
        </w:rPr>
        <w:instrText xml:space="preserve"> QUOTE </w:instrText>
      </w:r>
      <m:oMath>
        <m:sSub>
          <m:sSubPr>
            <m:ctrlPr>
              <w:rPr>
                <w:rFonts w:ascii="Cambria Math" w:hAnsi="Cambria Math"/>
                <w:sz w:val="20"/>
                <w:szCs w:val="20"/>
              </w:rPr>
            </m:ctrlPr>
          </m:sSubPr>
          <m:e>
            <m:r>
              <m:rPr>
                <m:sty m:val="p"/>
              </m:rPr>
              <w:rPr>
                <w:rFonts w:ascii="Cambria Math" w:hAnsi="Cambria Math"/>
                <w:sz w:val="20"/>
                <w:szCs w:val="20"/>
              </w:rPr>
              <m:t>К</m:t>
            </m:r>
            <m:r>
              <m:rPr>
                <m:sty m:val="p"/>
              </m:rPr>
              <w:rPr>
                <w:rFonts w:ascii="Cambria Math" w:hAnsi="Cambria Math"/>
                <w:sz w:val="20"/>
                <w:szCs w:val="20"/>
                <w:vertAlign w:val="superscript"/>
              </w:rPr>
              <m:t>вод</m:t>
            </m:r>
          </m:e>
          <m:sub>
            <m:r>
              <m:rPr>
                <m:sty m:val="p"/>
              </m:rPr>
              <w:rPr>
                <w:rFonts w:ascii="Cambria Math" w:hAnsi="Cambria Math"/>
                <w:sz w:val="20"/>
                <w:szCs w:val="20"/>
                <w:lang w:val="en-US"/>
              </w:rPr>
              <m:t>ij</m:t>
            </m:r>
          </m:sub>
        </m:sSub>
        <m:r>
          <m:rPr>
            <m:sty m:val="p"/>
          </m:rPr>
          <w:rPr>
            <w:rFonts w:ascii="Cambria Math" w:hAnsi="Cambria Math"/>
            <w:sz w:val="20"/>
            <w:szCs w:val="20"/>
          </w:rPr>
          <m:t>=</m:t>
        </m:r>
        <m:f>
          <m:fPr>
            <m:ctrlPr>
              <w:rPr>
                <w:rFonts w:ascii="Cambria Math" w:hAnsi="Cambria Math"/>
                <w:sz w:val="20"/>
                <w:szCs w:val="20"/>
              </w:rPr>
            </m:ctrlPr>
          </m:fPr>
          <m:num>
            <m:r>
              <m:rPr>
                <m:sty m:val="p"/>
              </m:rPr>
              <w:rPr>
                <w:rFonts w:ascii="Cambria Math" w:hAnsi="Cambria Math"/>
                <w:sz w:val="20"/>
                <w:szCs w:val="20"/>
              </w:rPr>
              <m:t xml:space="preserve">а* </m:t>
            </m:r>
            <m:sSub>
              <m:sSubPr>
                <m:ctrlPr>
                  <w:rPr>
                    <w:rFonts w:ascii="Cambria Math" w:hAnsi="Cambria Math"/>
                    <w:sz w:val="20"/>
                    <w:szCs w:val="20"/>
                  </w:rPr>
                </m:ctrlPr>
              </m:sSubPr>
              <m:e>
                <m:r>
                  <m:rPr>
                    <m:sty m:val="p"/>
                  </m:rPr>
                  <w:rPr>
                    <w:rFonts w:ascii="Cambria Math" w:hAnsi="Cambria Math"/>
                    <w:sz w:val="20"/>
                    <w:szCs w:val="20"/>
                    <w:lang w:val="en-US"/>
                  </w:rPr>
                  <m:t>T</m:t>
                </m:r>
                <m:r>
                  <m:rPr>
                    <m:sty m:val="p"/>
                  </m:rPr>
                  <w:rPr>
                    <w:rFonts w:ascii="Cambria Math" w:hAnsi="Cambria Math"/>
                    <w:sz w:val="20"/>
                    <w:szCs w:val="20"/>
                    <w:vertAlign w:val="superscript"/>
                  </w:rPr>
                  <m:t>хвод</m:t>
                </m:r>
              </m:e>
              <m:sub>
                <m:r>
                  <m:rPr>
                    <m:sty m:val="p"/>
                  </m:rPr>
                  <w:rPr>
                    <w:rFonts w:ascii="Cambria Math" w:hAnsi="Cambria Math"/>
                    <w:sz w:val="20"/>
                    <w:szCs w:val="20"/>
                    <w:vertAlign w:val="superscript"/>
                    <w:lang w:val="en-US"/>
                  </w:rPr>
                  <m:t>i</m:t>
                </m:r>
                <m:r>
                  <m:rPr>
                    <m:sty m:val="p"/>
                  </m:rPr>
                  <w:rPr>
                    <w:rFonts w:ascii="Cambria Math" w:hAnsi="Cambria Math"/>
                    <w:sz w:val="20"/>
                    <w:szCs w:val="20"/>
                    <w:vertAlign w:val="subscript"/>
                    <w:lang w:val="en-US"/>
                  </w:rPr>
                  <m:t>j</m:t>
                </m:r>
              </m:sub>
            </m:sSub>
            <m:r>
              <m:rPr>
                <m:sty m:val="p"/>
              </m:rPr>
              <w:rPr>
                <w:rFonts w:ascii="Cambria Math" w:hAnsi="Cambria Math"/>
                <w:sz w:val="20"/>
                <w:szCs w:val="20"/>
              </w:rPr>
              <m:t xml:space="preserve"> + </m:t>
            </m:r>
            <m:d>
              <m:dPr>
                <m:ctrlPr>
                  <w:rPr>
                    <w:rFonts w:ascii="Cambria Math" w:hAnsi="Cambria Math"/>
                    <w:sz w:val="20"/>
                    <w:szCs w:val="20"/>
                  </w:rPr>
                </m:ctrlPr>
              </m:dPr>
              <m:e>
                <m:r>
                  <m:rPr>
                    <m:sty m:val="p"/>
                  </m:rPr>
                  <w:rPr>
                    <w:rFonts w:ascii="Cambria Math" w:hAnsi="Cambria Math"/>
                    <w:sz w:val="20"/>
                    <w:szCs w:val="20"/>
                  </w:rPr>
                  <m:t>1-а</m:t>
                </m:r>
              </m:e>
            </m:d>
            <m:r>
              <m:rPr>
                <m:sty m:val="p"/>
              </m:rPr>
              <w:rPr>
                <w:rFonts w:ascii="Cambria Math" w:hAnsi="Cambria Math"/>
                <w:sz w:val="20"/>
                <w:szCs w:val="20"/>
              </w:rPr>
              <m:t xml:space="preserve">* </m:t>
            </m:r>
            <m:sSub>
              <m:sSubPr>
                <m:ctrlPr>
                  <w:rPr>
                    <w:rFonts w:ascii="Cambria Math" w:hAnsi="Cambria Math"/>
                    <w:sz w:val="20"/>
                    <w:szCs w:val="20"/>
                  </w:rPr>
                </m:ctrlPr>
              </m:sSubPr>
              <m:e>
                <m:r>
                  <m:rPr>
                    <m:sty m:val="p"/>
                  </m:rPr>
                  <w:rPr>
                    <w:rFonts w:ascii="Cambria Math" w:hAnsi="Cambria Math"/>
                    <w:sz w:val="20"/>
                    <w:szCs w:val="20"/>
                    <w:lang w:val="en-US"/>
                  </w:rPr>
                  <m:t>T</m:t>
                </m:r>
                <m:r>
                  <m:rPr>
                    <m:sty m:val="p"/>
                  </m:rPr>
                  <w:rPr>
                    <w:rFonts w:ascii="Cambria Math" w:hAnsi="Cambria Math"/>
                    <w:sz w:val="20"/>
                    <w:szCs w:val="20"/>
                    <w:vertAlign w:val="superscript"/>
                  </w:rPr>
                  <m:t>гвод</m:t>
                </m:r>
              </m:e>
              <m:sub>
                <m:r>
                  <m:rPr>
                    <m:sty m:val="p"/>
                  </m:rPr>
                  <w:rPr>
                    <w:rFonts w:ascii="Cambria Math" w:hAnsi="Cambria Math"/>
                    <w:sz w:val="20"/>
                    <w:szCs w:val="20"/>
                    <w:lang w:val="en-US"/>
                  </w:rPr>
                  <m:t>i</m:t>
                </m:r>
                <m:r>
                  <m:rPr>
                    <m:sty m:val="p"/>
                  </m:rPr>
                  <w:rPr>
                    <w:rFonts w:ascii="Cambria Math" w:hAnsi="Cambria Math"/>
                    <w:sz w:val="20"/>
                    <w:szCs w:val="20"/>
                    <w:vertAlign w:val="subscript"/>
                    <w:lang w:val="en-US"/>
                  </w:rPr>
                  <m:t>j</m:t>
                </m:r>
              </m:sub>
            </m:sSub>
            <m:r>
              <m:rPr>
                <m:sty m:val="p"/>
              </m:rPr>
              <w:rPr>
                <w:rFonts w:ascii="Cambria Math" w:hAnsi="Cambria Math"/>
                <w:sz w:val="20"/>
                <w:szCs w:val="20"/>
              </w:rPr>
              <m:t xml:space="preserve"> + </m:t>
            </m:r>
            <m:sSub>
              <m:sSubPr>
                <m:ctrlPr>
                  <w:rPr>
                    <w:rFonts w:ascii="Cambria Math" w:hAnsi="Cambria Math"/>
                    <w:sz w:val="20"/>
                    <w:szCs w:val="20"/>
                  </w:rPr>
                </m:ctrlPr>
              </m:sSubPr>
              <m:e>
                <m:r>
                  <m:rPr>
                    <m:sty m:val="p"/>
                  </m:rPr>
                  <w:rPr>
                    <w:rFonts w:ascii="Cambria Math" w:hAnsi="Cambria Math"/>
                    <w:sz w:val="20"/>
                    <w:szCs w:val="20"/>
                  </w:rPr>
                  <m:t xml:space="preserve"> </m:t>
                </m:r>
                <m:r>
                  <m:rPr>
                    <m:sty m:val="p"/>
                  </m:rPr>
                  <w:rPr>
                    <w:rFonts w:ascii="Cambria Math" w:hAnsi="Cambria Math"/>
                    <w:sz w:val="20"/>
                    <w:szCs w:val="20"/>
                    <w:lang w:val="en-US"/>
                  </w:rPr>
                  <m:t>T</m:t>
                </m:r>
                <m:r>
                  <m:rPr>
                    <m:sty m:val="p"/>
                  </m:rPr>
                  <w:rPr>
                    <w:rFonts w:ascii="Cambria Math" w:hAnsi="Cambria Math"/>
                    <w:sz w:val="20"/>
                    <w:szCs w:val="20"/>
                    <w:vertAlign w:val="superscript"/>
                  </w:rPr>
                  <m:t>вот</m:t>
                </m:r>
              </m:e>
              <m:sub>
                <m:r>
                  <m:rPr>
                    <m:sty m:val="p"/>
                  </m:rPr>
                  <w:rPr>
                    <w:rFonts w:ascii="Cambria Math" w:hAnsi="Cambria Math"/>
                    <w:sz w:val="20"/>
                    <w:szCs w:val="20"/>
                    <w:lang w:val="en-US"/>
                  </w:rPr>
                  <m:t>i</m:t>
                </m:r>
                <m:r>
                  <m:rPr>
                    <m:sty m:val="p"/>
                  </m:rPr>
                  <w:rPr>
                    <w:rFonts w:ascii="Cambria Math" w:hAnsi="Cambria Math"/>
                    <w:sz w:val="20"/>
                    <w:szCs w:val="20"/>
                    <w:vertAlign w:val="subscript"/>
                    <w:lang w:val="en-US"/>
                  </w:rPr>
                  <m:t>j</m:t>
                </m:r>
              </m:sub>
            </m:sSub>
          </m:num>
          <m:den>
            <m:f>
              <m:fPr>
                <m:type m:val="skw"/>
                <m:ctrlPr>
                  <w:rPr>
                    <w:rFonts w:ascii="Cambria Math" w:hAnsi="Cambria Math"/>
                    <w:sz w:val="20"/>
                    <w:szCs w:val="20"/>
                  </w:rPr>
                </m:ctrlPr>
              </m:fPr>
              <m:num>
                <m:nary>
                  <m:naryPr>
                    <m:chr m:val="∑"/>
                    <m:limLoc m:val="undOvr"/>
                    <m:ctrlPr>
                      <w:rPr>
                        <w:rFonts w:ascii="Cambria Math" w:hAnsi="Cambria Math"/>
                        <w:sz w:val="20"/>
                        <w:szCs w:val="20"/>
                      </w:rPr>
                    </m:ctrlPr>
                  </m:naryPr>
                  <m:sub>
                    <m:r>
                      <m:rPr>
                        <m:sty m:val="p"/>
                      </m:rPr>
                      <w:rPr>
                        <w:rFonts w:ascii="Cambria Math" w:hAnsi="Cambria Math"/>
                        <w:sz w:val="20"/>
                        <w:szCs w:val="20"/>
                        <w:lang w:val="en-US"/>
                      </w:rPr>
                      <m:t>j</m:t>
                    </m:r>
                    <m:r>
                      <m:rPr>
                        <m:sty m:val="p"/>
                      </m:rPr>
                      <w:rPr>
                        <w:rFonts w:ascii="Cambria Math" w:hAnsi="Cambria Math"/>
                        <w:sz w:val="20"/>
                        <w:szCs w:val="20"/>
                      </w:rPr>
                      <m:t>=1</m:t>
                    </m:r>
                  </m:sub>
                  <m:sup>
                    <m:r>
                      <m:rPr>
                        <m:sty m:val="p"/>
                      </m:rPr>
                      <w:rPr>
                        <w:rFonts w:ascii="Cambria Math" w:hAnsi="Cambria Math"/>
                        <w:sz w:val="20"/>
                        <w:szCs w:val="20"/>
                        <w:lang w:val="en-US"/>
                      </w:rPr>
                      <m:t>n</m:t>
                    </m:r>
                  </m:sup>
                  <m:e>
                    <m:d>
                      <m:dPr>
                        <m:ctrlPr>
                          <w:rPr>
                            <w:rFonts w:ascii="Cambria Math" w:hAnsi="Cambria Math"/>
                            <w:sz w:val="20"/>
                            <w:szCs w:val="20"/>
                          </w:rPr>
                        </m:ctrlPr>
                      </m:dPr>
                      <m:e>
                        <m:r>
                          <m:rPr>
                            <m:sty m:val="p"/>
                          </m:rPr>
                          <w:rPr>
                            <w:rFonts w:ascii="Cambria Math" w:hAnsi="Cambria Math"/>
                            <w:sz w:val="20"/>
                            <w:szCs w:val="20"/>
                          </w:rPr>
                          <m:t xml:space="preserve">а* </m:t>
                        </m:r>
                        <m:sSub>
                          <m:sSubPr>
                            <m:ctrlPr>
                              <w:rPr>
                                <w:rFonts w:ascii="Cambria Math" w:hAnsi="Cambria Math"/>
                                <w:sz w:val="20"/>
                                <w:szCs w:val="20"/>
                              </w:rPr>
                            </m:ctrlPr>
                          </m:sSubPr>
                          <m:e>
                            <m:r>
                              <m:rPr>
                                <m:sty m:val="p"/>
                              </m:rPr>
                              <w:rPr>
                                <w:rFonts w:ascii="Cambria Math" w:hAnsi="Cambria Math"/>
                                <w:sz w:val="20"/>
                                <w:szCs w:val="20"/>
                                <w:lang w:val="en-US"/>
                              </w:rPr>
                              <m:t>T</m:t>
                            </m:r>
                            <m:r>
                              <m:rPr>
                                <m:sty m:val="p"/>
                              </m:rPr>
                              <w:rPr>
                                <w:rFonts w:ascii="Cambria Math" w:hAnsi="Cambria Math"/>
                                <w:sz w:val="20"/>
                                <w:szCs w:val="20"/>
                                <w:vertAlign w:val="superscript"/>
                              </w:rPr>
                              <m:t>хвод</m:t>
                            </m:r>
                          </m:e>
                          <m:sub>
                            <m:r>
                              <m:rPr>
                                <m:sty m:val="p"/>
                              </m:rPr>
                              <w:rPr>
                                <w:rFonts w:ascii="Cambria Math" w:hAnsi="Cambria Math"/>
                                <w:sz w:val="20"/>
                                <w:szCs w:val="20"/>
                                <w:vertAlign w:val="superscript"/>
                                <w:lang w:val="en-US"/>
                              </w:rPr>
                              <m:t>i</m:t>
                            </m:r>
                            <m:r>
                              <m:rPr>
                                <m:sty m:val="p"/>
                              </m:rPr>
                              <w:rPr>
                                <w:rFonts w:ascii="Cambria Math" w:hAnsi="Cambria Math"/>
                                <w:sz w:val="20"/>
                                <w:szCs w:val="20"/>
                                <w:vertAlign w:val="subscript"/>
                                <w:lang w:val="en-US"/>
                              </w:rPr>
                              <m:t>j</m:t>
                            </m:r>
                          </m:sub>
                        </m:sSub>
                        <m:r>
                          <m:rPr>
                            <m:sty m:val="p"/>
                          </m:rPr>
                          <w:rPr>
                            <w:rFonts w:ascii="Cambria Math" w:hAnsi="Cambria Math"/>
                            <w:sz w:val="20"/>
                            <w:szCs w:val="20"/>
                          </w:rPr>
                          <m:t xml:space="preserve"> + </m:t>
                        </m:r>
                        <m:d>
                          <m:dPr>
                            <m:ctrlPr>
                              <w:rPr>
                                <w:rFonts w:ascii="Cambria Math" w:hAnsi="Cambria Math"/>
                                <w:sz w:val="20"/>
                                <w:szCs w:val="20"/>
                              </w:rPr>
                            </m:ctrlPr>
                          </m:dPr>
                          <m:e>
                            <m:r>
                              <m:rPr>
                                <m:sty m:val="p"/>
                              </m:rPr>
                              <w:rPr>
                                <w:rFonts w:ascii="Cambria Math" w:hAnsi="Cambria Math"/>
                                <w:sz w:val="20"/>
                                <w:szCs w:val="20"/>
                              </w:rPr>
                              <m:t>1-а</m:t>
                            </m:r>
                          </m:e>
                        </m:d>
                        <m:r>
                          <m:rPr>
                            <m:sty m:val="p"/>
                          </m:rPr>
                          <w:rPr>
                            <w:rFonts w:ascii="Cambria Math" w:hAnsi="Cambria Math"/>
                            <w:sz w:val="20"/>
                            <w:szCs w:val="20"/>
                          </w:rPr>
                          <m:t xml:space="preserve">* </m:t>
                        </m:r>
                        <m:sSub>
                          <m:sSubPr>
                            <m:ctrlPr>
                              <w:rPr>
                                <w:rFonts w:ascii="Cambria Math" w:hAnsi="Cambria Math"/>
                                <w:sz w:val="20"/>
                                <w:szCs w:val="20"/>
                              </w:rPr>
                            </m:ctrlPr>
                          </m:sSubPr>
                          <m:e>
                            <m:r>
                              <m:rPr>
                                <m:sty m:val="p"/>
                              </m:rPr>
                              <w:rPr>
                                <w:rFonts w:ascii="Cambria Math" w:hAnsi="Cambria Math"/>
                                <w:sz w:val="20"/>
                                <w:szCs w:val="20"/>
                                <w:lang w:val="en-US"/>
                              </w:rPr>
                              <m:t>T</m:t>
                            </m:r>
                            <m:r>
                              <m:rPr>
                                <m:sty m:val="p"/>
                              </m:rPr>
                              <w:rPr>
                                <w:rFonts w:ascii="Cambria Math" w:hAnsi="Cambria Math"/>
                                <w:sz w:val="20"/>
                                <w:szCs w:val="20"/>
                                <w:vertAlign w:val="superscript"/>
                              </w:rPr>
                              <m:t>гвод</m:t>
                            </m:r>
                          </m:e>
                          <m:sub>
                            <m:r>
                              <m:rPr>
                                <m:sty m:val="p"/>
                              </m:rPr>
                              <w:rPr>
                                <w:rFonts w:ascii="Cambria Math" w:hAnsi="Cambria Math"/>
                                <w:sz w:val="20"/>
                                <w:szCs w:val="20"/>
                                <w:lang w:val="en-US"/>
                              </w:rPr>
                              <m:t>i</m:t>
                            </m:r>
                            <m:r>
                              <m:rPr>
                                <m:sty m:val="p"/>
                              </m:rPr>
                              <w:rPr>
                                <w:rFonts w:ascii="Cambria Math" w:hAnsi="Cambria Math"/>
                                <w:sz w:val="20"/>
                                <w:szCs w:val="20"/>
                                <w:vertAlign w:val="subscript"/>
                                <w:lang w:val="en-US"/>
                              </w:rPr>
                              <m:t>j</m:t>
                            </m:r>
                          </m:sub>
                        </m:sSub>
                        <m:r>
                          <m:rPr>
                            <m:sty m:val="p"/>
                          </m:rPr>
                          <w:rPr>
                            <w:rFonts w:ascii="Cambria Math" w:hAnsi="Cambria Math"/>
                            <w:sz w:val="20"/>
                            <w:szCs w:val="20"/>
                          </w:rPr>
                          <m:t xml:space="preserve"> +</m:t>
                        </m:r>
                        <m:sSub>
                          <m:sSubPr>
                            <m:ctrlPr>
                              <w:rPr>
                                <w:rFonts w:ascii="Cambria Math" w:hAnsi="Cambria Math"/>
                                <w:sz w:val="20"/>
                                <w:szCs w:val="20"/>
                              </w:rPr>
                            </m:ctrlPr>
                          </m:sSubPr>
                          <m:e>
                            <m:r>
                              <m:rPr>
                                <m:sty m:val="p"/>
                              </m:rPr>
                              <w:rPr>
                                <w:rFonts w:ascii="Cambria Math" w:hAnsi="Cambria Math"/>
                                <w:sz w:val="20"/>
                                <w:szCs w:val="20"/>
                              </w:rPr>
                              <m:t xml:space="preserve"> </m:t>
                            </m:r>
                            <m:r>
                              <m:rPr>
                                <m:sty m:val="p"/>
                              </m:rPr>
                              <w:rPr>
                                <w:rFonts w:ascii="Cambria Math" w:hAnsi="Cambria Math"/>
                                <w:sz w:val="20"/>
                                <w:szCs w:val="20"/>
                                <w:lang w:val="en-US"/>
                              </w:rPr>
                              <m:t>T</m:t>
                            </m:r>
                            <m:r>
                              <m:rPr>
                                <m:sty m:val="p"/>
                              </m:rPr>
                              <w:rPr>
                                <w:rFonts w:ascii="Cambria Math" w:hAnsi="Cambria Math"/>
                                <w:sz w:val="20"/>
                                <w:szCs w:val="20"/>
                                <w:vertAlign w:val="superscript"/>
                              </w:rPr>
                              <m:t>вот</m:t>
                            </m:r>
                          </m:e>
                          <m:sub>
                            <m:r>
                              <m:rPr>
                                <m:sty m:val="p"/>
                              </m:rPr>
                              <w:rPr>
                                <w:rFonts w:ascii="Cambria Math" w:hAnsi="Cambria Math"/>
                                <w:sz w:val="20"/>
                                <w:szCs w:val="20"/>
                                <w:lang w:val="en-US"/>
                              </w:rPr>
                              <m:t>i</m:t>
                            </m:r>
                            <m:r>
                              <m:rPr>
                                <m:sty m:val="p"/>
                              </m:rPr>
                              <w:rPr>
                                <w:rFonts w:ascii="Cambria Math" w:hAnsi="Cambria Math"/>
                                <w:sz w:val="20"/>
                                <w:szCs w:val="20"/>
                                <w:vertAlign w:val="subscript"/>
                                <w:lang w:val="en-US"/>
                              </w:rPr>
                              <m:t>j</m:t>
                            </m:r>
                          </m:sub>
                        </m:sSub>
                      </m:e>
                    </m:d>
                  </m:e>
                </m:nary>
              </m:num>
              <m:den>
                <m:sSub>
                  <m:sSubPr>
                    <m:ctrlPr>
                      <w:rPr>
                        <w:rFonts w:ascii="Cambria Math" w:hAnsi="Cambria Math"/>
                        <w:sz w:val="20"/>
                        <w:szCs w:val="20"/>
                      </w:rPr>
                    </m:ctrlPr>
                  </m:sSubPr>
                  <m:e>
                    <m:r>
                      <m:rPr>
                        <m:sty m:val="p"/>
                      </m:rPr>
                      <w:rPr>
                        <w:rFonts w:ascii="Cambria Math" w:hAnsi="Cambria Math"/>
                        <w:sz w:val="20"/>
                        <w:szCs w:val="20"/>
                      </w:rPr>
                      <m:t>КП</m:t>
                    </m:r>
                  </m:e>
                  <m:sub>
                    <m:r>
                      <m:rPr>
                        <m:sty m:val="p"/>
                      </m:rPr>
                      <w:rPr>
                        <w:rFonts w:ascii="Cambria Math" w:hAnsi="Cambria Math"/>
                        <w:sz w:val="20"/>
                        <w:szCs w:val="20"/>
                        <w:lang w:val="en-US"/>
                      </w:rPr>
                      <m:t>i</m:t>
                    </m:r>
                  </m:sub>
                </m:sSub>
              </m:den>
            </m:f>
          </m:den>
        </m:f>
      </m:oMath>
      <w:r w:rsidRPr="008B6A75">
        <w:rPr>
          <w:sz w:val="20"/>
          <w:szCs w:val="20"/>
        </w:rPr>
        <w:instrText xml:space="preserve"> </w:instrText>
      </w:r>
      <w:r w:rsidRPr="008B6A75">
        <w:rPr>
          <w:sz w:val="20"/>
          <w:szCs w:val="20"/>
        </w:rPr>
        <w:fldChar w:fldCharType="separate"/>
      </w:r>
      <m:oMath>
        <m:sSub>
          <m:sSubPr>
            <m:ctrlPr>
              <w:rPr>
                <w:rFonts w:ascii="Cambria Math" w:hAnsi="Cambria Math"/>
                <w:sz w:val="20"/>
                <w:szCs w:val="20"/>
              </w:rPr>
            </m:ctrlPr>
          </m:sSubPr>
          <m:e>
            <m:r>
              <m:rPr>
                <m:sty m:val="p"/>
              </m:rPr>
              <w:rPr>
                <w:rFonts w:ascii="Cambria Math" w:hAnsi="Cambria Math"/>
                <w:sz w:val="20"/>
                <w:szCs w:val="20"/>
              </w:rPr>
              <m:t>К</m:t>
            </m:r>
            <m:r>
              <m:rPr>
                <m:sty m:val="p"/>
              </m:rPr>
              <w:rPr>
                <w:rFonts w:ascii="Cambria Math" w:hAnsi="Cambria Math"/>
                <w:sz w:val="20"/>
                <w:szCs w:val="20"/>
                <w:vertAlign w:val="superscript"/>
              </w:rPr>
              <m:t>вод</m:t>
            </m:r>
          </m:e>
          <m:sub>
            <m:r>
              <m:rPr>
                <m:sty m:val="p"/>
              </m:rPr>
              <w:rPr>
                <w:rFonts w:ascii="Cambria Math" w:hAnsi="Cambria Math"/>
                <w:sz w:val="20"/>
                <w:szCs w:val="20"/>
                <w:lang w:val="en-US"/>
              </w:rPr>
              <m:t>j</m:t>
            </m:r>
          </m:sub>
        </m:sSub>
        <m:r>
          <m:rPr>
            <m:sty m:val="p"/>
          </m:rPr>
          <w:rPr>
            <w:rFonts w:ascii="Cambria Math" w:hAnsi="Cambria Math"/>
            <w:sz w:val="20"/>
            <w:szCs w:val="20"/>
          </w:rPr>
          <m:t>=</m:t>
        </m:r>
        <m:f>
          <m:fPr>
            <m:ctrlPr>
              <w:rPr>
                <w:rFonts w:ascii="Cambria Math" w:hAnsi="Cambria Math"/>
                <w:sz w:val="20"/>
                <w:szCs w:val="20"/>
              </w:rPr>
            </m:ctrlPr>
          </m:fPr>
          <m:num>
            <m:r>
              <m:rPr>
                <m:sty m:val="p"/>
              </m:rPr>
              <w:rPr>
                <w:rFonts w:ascii="Cambria Math" w:hAnsi="Cambria Math"/>
                <w:sz w:val="20"/>
                <w:szCs w:val="20"/>
              </w:rPr>
              <m:t xml:space="preserve">а* </m:t>
            </m:r>
            <m:sSub>
              <m:sSubPr>
                <m:ctrlPr>
                  <w:rPr>
                    <w:rFonts w:ascii="Cambria Math" w:hAnsi="Cambria Math"/>
                    <w:sz w:val="20"/>
                    <w:szCs w:val="20"/>
                  </w:rPr>
                </m:ctrlPr>
              </m:sSubPr>
              <m:e>
                <m:r>
                  <m:rPr>
                    <m:sty m:val="p"/>
                  </m:rPr>
                  <w:rPr>
                    <w:rFonts w:ascii="Cambria Math" w:hAnsi="Cambria Math"/>
                    <w:sz w:val="20"/>
                    <w:szCs w:val="20"/>
                    <w:lang w:val="en-US"/>
                  </w:rPr>
                  <m:t>T</m:t>
                </m:r>
                <m:r>
                  <m:rPr>
                    <m:sty m:val="p"/>
                  </m:rPr>
                  <w:rPr>
                    <w:rFonts w:ascii="Cambria Math" w:hAnsi="Cambria Math"/>
                    <w:sz w:val="20"/>
                    <w:szCs w:val="20"/>
                    <w:vertAlign w:val="superscript"/>
                  </w:rPr>
                  <m:t>хвод</m:t>
                </m:r>
              </m:e>
              <m:sub>
                <m:r>
                  <m:rPr>
                    <m:sty m:val="p"/>
                  </m:rPr>
                  <w:rPr>
                    <w:rFonts w:ascii="Cambria Math" w:hAnsi="Cambria Math"/>
                    <w:sz w:val="20"/>
                    <w:szCs w:val="20"/>
                    <w:vertAlign w:val="subscript"/>
                    <w:lang w:val="en-US"/>
                  </w:rPr>
                  <m:t>j</m:t>
                </m:r>
              </m:sub>
            </m:sSub>
            <m:r>
              <m:rPr>
                <m:sty m:val="p"/>
              </m:rPr>
              <w:rPr>
                <w:rFonts w:ascii="Cambria Math" w:hAnsi="Cambria Math"/>
                <w:sz w:val="20"/>
                <w:szCs w:val="20"/>
              </w:rPr>
              <m:t xml:space="preserve"> + </m:t>
            </m:r>
            <m:d>
              <m:dPr>
                <m:ctrlPr>
                  <w:rPr>
                    <w:rFonts w:ascii="Cambria Math" w:hAnsi="Cambria Math"/>
                    <w:sz w:val="20"/>
                    <w:szCs w:val="20"/>
                  </w:rPr>
                </m:ctrlPr>
              </m:dPr>
              <m:e>
                <m:r>
                  <m:rPr>
                    <m:sty m:val="p"/>
                  </m:rPr>
                  <w:rPr>
                    <w:rFonts w:ascii="Cambria Math" w:hAnsi="Cambria Math"/>
                    <w:sz w:val="20"/>
                    <w:szCs w:val="20"/>
                  </w:rPr>
                  <m:t>1-а</m:t>
                </m:r>
              </m:e>
            </m:d>
            <m:r>
              <m:rPr>
                <m:sty m:val="p"/>
              </m:rPr>
              <w:rPr>
                <w:rFonts w:ascii="Cambria Math" w:hAnsi="Cambria Math"/>
                <w:sz w:val="20"/>
                <w:szCs w:val="20"/>
              </w:rPr>
              <m:t xml:space="preserve">* </m:t>
            </m:r>
            <m:sSub>
              <m:sSubPr>
                <m:ctrlPr>
                  <w:rPr>
                    <w:rFonts w:ascii="Cambria Math" w:hAnsi="Cambria Math"/>
                    <w:sz w:val="20"/>
                    <w:szCs w:val="20"/>
                  </w:rPr>
                </m:ctrlPr>
              </m:sSubPr>
              <m:e>
                <m:r>
                  <m:rPr>
                    <m:sty m:val="p"/>
                  </m:rPr>
                  <w:rPr>
                    <w:rFonts w:ascii="Cambria Math" w:hAnsi="Cambria Math"/>
                    <w:sz w:val="20"/>
                    <w:szCs w:val="20"/>
                    <w:lang w:val="en-US"/>
                  </w:rPr>
                  <m:t>T</m:t>
                </m:r>
                <m:r>
                  <m:rPr>
                    <m:sty m:val="p"/>
                  </m:rPr>
                  <w:rPr>
                    <w:rFonts w:ascii="Cambria Math" w:hAnsi="Cambria Math"/>
                    <w:sz w:val="20"/>
                    <w:szCs w:val="20"/>
                    <w:vertAlign w:val="superscript"/>
                  </w:rPr>
                  <m:t>гвод</m:t>
                </m:r>
              </m:e>
              <m:sub>
                <m:r>
                  <m:rPr>
                    <m:sty m:val="p"/>
                  </m:rPr>
                  <w:rPr>
                    <w:rFonts w:ascii="Cambria Math" w:hAnsi="Cambria Math"/>
                    <w:sz w:val="20"/>
                    <w:szCs w:val="20"/>
                    <w:vertAlign w:val="subscript"/>
                    <w:lang w:val="en-US"/>
                  </w:rPr>
                  <m:t>j</m:t>
                </m:r>
              </m:sub>
            </m:sSub>
            <m:r>
              <m:rPr>
                <m:sty m:val="p"/>
              </m:rPr>
              <w:rPr>
                <w:rFonts w:ascii="Cambria Math" w:hAnsi="Cambria Math"/>
                <w:sz w:val="20"/>
                <w:szCs w:val="20"/>
              </w:rPr>
              <m:t xml:space="preserve"> + </m:t>
            </m:r>
            <m:sSub>
              <m:sSubPr>
                <m:ctrlPr>
                  <w:rPr>
                    <w:rFonts w:ascii="Cambria Math" w:hAnsi="Cambria Math"/>
                    <w:sz w:val="20"/>
                    <w:szCs w:val="20"/>
                  </w:rPr>
                </m:ctrlPr>
              </m:sSubPr>
              <m:e>
                <m:r>
                  <m:rPr>
                    <m:sty m:val="p"/>
                  </m:rPr>
                  <w:rPr>
                    <w:rFonts w:ascii="Cambria Math" w:hAnsi="Cambria Math"/>
                    <w:sz w:val="20"/>
                    <w:szCs w:val="20"/>
                  </w:rPr>
                  <m:t xml:space="preserve"> </m:t>
                </m:r>
                <m:r>
                  <m:rPr>
                    <m:sty m:val="p"/>
                  </m:rPr>
                  <w:rPr>
                    <w:rFonts w:ascii="Cambria Math" w:hAnsi="Cambria Math"/>
                    <w:sz w:val="20"/>
                    <w:szCs w:val="20"/>
                    <w:lang w:val="en-US"/>
                  </w:rPr>
                  <m:t>T</m:t>
                </m:r>
                <m:r>
                  <m:rPr>
                    <m:sty m:val="p"/>
                  </m:rPr>
                  <w:rPr>
                    <w:rFonts w:ascii="Cambria Math" w:hAnsi="Cambria Math"/>
                    <w:sz w:val="20"/>
                    <w:szCs w:val="20"/>
                    <w:vertAlign w:val="superscript"/>
                  </w:rPr>
                  <m:t>вот</m:t>
                </m:r>
              </m:e>
              <m:sub>
                <m:r>
                  <m:rPr>
                    <m:sty m:val="p"/>
                  </m:rPr>
                  <w:rPr>
                    <w:rFonts w:ascii="Cambria Math" w:hAnsi="Cambria Math"/>
                    <w:sz w:val="20"/>
                    <w:szCs w:val="20"/>
                    <w:vertAlign w:val="subscript"/>
                    <w:lang w:val="en-US"/>
                  </w:rPr>
                  <m:t>j</m:t>
                </m:r>
              </m:sub>
            </m:sSub>
          </m:num>
          <m:den>
            <m:f>
              <m:fPr>
                <m:type m:val="skw"/>
                <m:ctrlPr>
                  <w:rPr>
                    <w:rFonts w:ascii="Cambria Math" w:hAnsi="Cambria Math"/>
                    <w:sz w:val="20"/>
                    <w:szCs w:val="20"/>
                  </w:rPr>
                </m:ctrlPr>
              </m:fPr>
              <m:num>
                <m:nary>
                  <m:naryPr>
                    <m:chr m:val="∑"/>
                    <m:limLoc m:val="undOvr"/>
                    <m:ctrlPr>
                      <w:rPr>
                        <w:rFonts w:ascii="Cambria Math" w:hAnsi="Cambria Math"/>
                        <w:sz w:val="20"/>
                        <w:szCs w:val="20"/>
                      </w:rPr>
                    </m:ctrlPr>
                  </m:naryPr>
                  <m:sub>
                    <m:r>
                      <m:rPr>
                        <m:sty m:val="p"/>
                      </m:rPr>
                      <w:rPr>
                        <w:rFonts w:ascii="Cambria Math" w:hAnsi="Cambria Math"/>
                        <w:sz w:val="20"/>
                        <w:szCs w:val="20"/>
                        <w:lang w:val="en-US"/>
                      </w:rPr>
                      <m:t>j</m:t>
                    </m:r>
                    <m:r>
                      <m:rPr>
                        <m:sty m:val="p"/>
                      </m:rPr>
                      <w:rPr>
                        <w:rFonts w:ascii="Cambria Math" w:hAnsi="Cambria Math"/>
                        <w:sz w:val="20"/>
                        <w:szCs w:val="20"/>
                      </w:rPr>
                      <m:t>=1</m:t>
                    </m:r>
                  </m:sub>
                  <m:sup>
                    <m:r>
                      <m:rPr>
                        <m:sty m:val="p"/>
                      </m:rPr>
                      <w:rPr>
                        <w:rFonts w:ascii="Cambria Math" w:hAnsi="Cambria Math"/>
                        <w:sz w:val="20"/>
                        <w:szCs w:val="20"/>
                        <w:lang w:val="en-US"/>
                      </w:rPr>
                      <m:t>n</m:t>
                    </m:r>
                  </m:sup>
                  <m:e>
                    <m:d>
                      <m:dPr>
                        <m:ctrlPr>
                          <w:rPr>
                            <w:rFonts w:ascii="Cambria Math" w:hAnsi="Cambria Math"/>
                            <w:sz w:val="20"/>
                            <w:szCs w:val="20"/>
                          </w:rPr>
                        </m:ctrlPr>
                      </m:dPr>
                      <m:e>
                        <m:r>
                          <m:rPr>
                            <m:sty m:val="p"/>
                          </m:rPr>
                          <w:rPr>
                            <w:rFonts w:ascii="Cambria Math" w:hAnsi="Cambria Math"/>
                            <w:sz w:val="20"/>
                            <w:szCs w:val="20"/>
                          </w:rPr>
                          <m:t xml:space="preserve">а* </m:t>
                        </m:r>
                        <m:sSub>
                          <m:sSubPr>
                            <m:ctrlPr>
                              <w:rPr>
                                <w:rFonts w:ascii="Cambria Math" w:hAnsi="Cambria Math"/>
                                <w:sz w:val="20"/>
                                <w:szCs w:val="20"/>
                              </w:rPr>
                            </m:ctrlPr>
                          </m:sSubPr>
                          <m:e>
                            <m:r>
                              <m:rPr>
                                <m:sty m:val="p"/>
                              </m:rPr>
                              <w:rPr>
                                <w:rFonts w:ascii="Cambria Math" w:hAnsi="Cambria Math"/>
                                <w:sz w:val="20"/>
                                <w:szCs w:val="20"/>
                                <w:lang w:val="en-US"/>
                              </w:rPr>
                              <m:t>T</m:t>
                            </m:r>
                            <m:r>
                              <m:rPr>
                                <m:sty m:val="p"/>
                              </m:rPr>
                              <w:rPr>
                                <w:rFonts w:ascii="Cambria Math" w:hAnsi="Cambria Math"/>
                                <w:sz w:val="20"/>
                                <w:szCs w:val="20"/>
                                <w:vertAlign w:val="superscript"/>
                              </w:rPr>
                              <m:t>хвод</m:t>
                            </m:r>
                          </m:e>
                          <m:sub>
                            <m:r>
                              <m:rPr>
                                <m:sty m:val="p"/>
                              </m:rPr>
                              <w:rPr>
                                <w:rFonts w:ascii="Cambria Math" w:hAnsi="Cambria Math"/>
                                <w:sz w:val="20"/>
                                <w:szCs w:val="20"/>
                                <w:vertAlign w:val="subscript"/>
                                <w:lang w:val="en-US"/>
                              </w:rPr>
                              <m:t>j</m:t>
                            </m:r>
                          </m:sub>
                        </m:sSub>
                        <m:r>
                          <m:rPr>
                            <m:sty m:val="p"/>
                          </m:rPr>
                          <w:rPr>
                            <w:rFonts w:ascii="Cambria Math" w:hAnsi="Cambria Math"/>
                            <w:sz w:val="20"/>
                            <w:szCs w:val="20"/>
                          </w:rPr>
                          <m:t xml:space="preserve"> + </m:t>
                        </m:r>
                        <m:d>
                          <m:dPr>
                            <m:ctrlPr>
                              <w:rPr>
                                <w:rFonts w:ascii="Cambria Math" w:hAnsi="Cambria Math"/>
                                <w:sz w:val="20"/>
                                <w:szCs w:val="20"/>
                              </w:rPr>
                            </m:ctrlPr>
                          </m:dPr>
                          <m:e>
                            <m:r>
                              <m:rPr>
                                <m:sty m:val="p"/>
                              </m:rPr>
                              <w:rPr>
                                <w:rFonts w:ascii="Cambria Math" w:hAnsi="Cambria Math"/>
                                <w:sz w:val="20"/>
                                <w:szCs w:val="20"/>
                              </w:rPr>
                              <m:t>1-а</m:t>
                            </m:r>
                          </m:e>
                        </m:d>
                        <m:r>
                          <m:rPr>
                            <m:sty m:val="p"/>
                          </m:rPr>
                          <w:rPr>
                            <w:rFonts w:ascii="Cambria Math" w:hAnsi="Cambria Math"/>
                            <w:sz w:val="20"/>
                            <w:szCs w:val="20"/>
                          </w:rPr>
                          <m:t xml:space="preserve">* </m:t>
                        </m:r>
                        <m:sSub>
                          <m:sSubPr>
                            <m:ctrlPr>
                              <w:rPr>
                                <w:rFonts w:ascii="Cambria Math" w:hAnsi="Cambria Math"/>
                                <w:sz w:val="20"/>
                                <w:szCs w:val="20"/>
                              </w:rPr>
                            </m:ctrlPr>
                          </m:sSubPr>
                          <m:e>
                            <m:r>
                              <m:rPr>
                                <m:sty m:val="p"/>
                              </m:rPr>
                              <w:rPr>
                                <w:rFonts w:ascii="Cambria Math" w:hAnsi="Cambria Math"/>
                                <w:sz w:val="20"/>
                                <w:szCs w:val="20"/>
                                <w:lang w:val="en-US"/>
                              </w:rPr>
                              <m:t>T</m:t>
                            </m:r>
                            <m:r>
                              <m:rPr>
                                <m:sty m:val="p"/>
                              </m:rPr>
                              <w:rPr>
                                <w:rFonts w:ascii="Cambria Math" w:hAnsi="Cambria Math"/>
                                <w:sz w:val="20"/>
                                <w:szCs w:val="20"/>
                                <w:vertAlign w:val="superscript"/>
                              </w:rPr>
                              <m:t>гвод</m:t>
                            </m:r>
                          </m:e>
                          <m:sub>
                            <m:r>
                              <m:rPr>
                                <m:sty m:val="p"/>
                              </m:rPr>
                              <w:rPr>
                                <w:rFonts w:ascii="Cambria Math" w:hAnsi="Cambria Math"/>
                                <w:sz w:val="20"/>
                                <w:szCs w:val="20"/>
                                <w:vertAlign w:val="subscript"/>
                                <w:lang w:val="en-US"/>
                              </w:rPr>
                              <m:t>j</m:t>
                            </m:r>
                          </m:sub>
                        </m:sSub>
                        <m:r>
                          <m:rPr>
                            <m:sty m:val="p"/>
                          </m:rPr>
                          <w:rPr>
                            <w:rFonts w:ascii="Cambria Math" w:hAnsi="Cambria Math"/>
                            <w:sz w:val="20"/>
                            <w:szCs w:val="20"/>
                          </w:rPr>
                          <m:t xml:space="preserve"> +</m:t>
                        </m:r>
                        <m:sSub>
                          <m:sSubPr>
                            <m:ctrlPr>
                              <w:rPr>
                                <w:rFonts w:ascii="Cambria Math" w:hAnsi="Cambria Math"/>
                                <w:sz w:val="20"/>
                                <w:szCs w:val="20"/>
                              </w:rPr>
                            </m:ctrlPr>
                          </m:sSubPr>
                          <m:e>
                            <m:r>
                              <m:rPr>
                                <m:sty m:val="p"/>
                              </m:rPr>
                              <w:rPr>
                                <w:rFonts w:ascii="Cambria Math" w:hAnsi="Cambria Math"/>
                                <w:sz w:val="20"/>
                                <w:szCs w:val="20"/>
                              </w:rPr>
                              <m:t xml:space="preserve"> </m:t>
                            </m:r>
                            <m:r>
                              <m:rPr>
                                <m:sty m:val="p"/>
                              </m:rPr>
                              <w:rPr>
                                <w:rFonts w:ascii="Cambria Math" w:hAnsi="Cambria Math"/>
                                <w:sz w:val="20"/>
                                <w:szCs w:val="20"/>
                                <w:lang w:val="en-US"/>
                              </w:rPr>
                              <m:t>T</m:t>
                            </m:r>
                            <m:r>
                              <m:rPr>
                                <m:sty m:val="p"/>
                              </m:rPr>
                              <w:rPr>
                                <w:rFonts w:ascii="Cambria Math" w:hAnsi="Cambria Math"/>
                                <w:sz w:val="20"/>
                                <w:szCs w:val="20"/>
                                <w:vertAlign w:val="superscript"/>
                              </w:rPr>
                              <m:t>вот</m:t>
                            </m:r>
                          </m:e>
                          <m:sub>
                            <m:r>
                              <m:rPr>
                                <m:sty m:val="p"/>
                              </m:rPr>
                              <w:rPr>
                                <w:rFonts w:ascii="Cambria Math" w:hAnsi="Cambria Math"/>
                                <w:sz w:val="20"/>
                                <w:szCs w:val="20"/>
                                <w:vertAlign w:val="subscript"/>
                                <w:lang w:val="en-US"/>
                              </w:rPr>
                              <m:t>j</m:t>
                            </m:r>
                          </m:sub>
                        </m:sSub>
                      </m:e>
                    </m:d>
                  </m:e>
                </m:nary>
              </m:num>
              <m:den>
                <m:r>
                  <m:rPr>
                    <m:sty m:val="p"/>
                  </m:rPr>
                  <w:rPr>
                    <w:rFonts w:ascii="Cambria Math" w:hAnsi="Cambria Math"/>
                    <w:sz w:val="20"/>
                    <w:szCs w:val="20"/>
                  </w:rPr>
                  <m:t>КП</m:t>
                </m:r>
              </m:den>
            </m:f>
          </m:den>
        </m:f>
      </m:oMath>
      <w:r w:rsidRPr="008B6A75">
        <w:rPr>
          <w:sz w:val="20"/>
          <w:szCs w:val="20"/>
        </w:rPr>
        <w:fldChar w:fldCharType="end"/>
      </w:r>
      <w:r w:rsidRPr="008B6A75">
        <w:rPr>
          <w:sz w:val="20"/>
          <w:szCs w:val="20"/>
        </w:rPr>
        <w:t>,</w:t>
      </w:r>
    </w:p>
    <w:p w14:paraId="722D47ED" w14:textId="33758FF9" w:rsidR="00387142" w:rsidRPr="008B6A75" w:rsidRDefault="00387142" w:rsidP="00387142">
      <w:pPr>
        <w:ind w:firstLine="709"/>
        <w:jc w:val="both"/>
        <w:rPr>
          <w:sz w:val="20"/>
          <w:szCs w:val="20"/>
        </w:rPr>
      </w:pPr>
      <w:proofErr w:type="gramStart"/>
      <w:r w:rsidRPr="008B6A75">
        <w:rPr>
          <w:sz w:val="20"/>
          <w:szCs w:val="20"/>
        </w:rPr>
        <w:t xml:space="preserve">где </w:t>
      </w:r>
      <m:oMath>
        <m:sSub>
          <m:sSubPr>
            <m:ctrlPr>
              <w:rPr>
                <w:rFonts w:ascii="Cambria Math" w:hAnsi="Cambria Math"/>
                <w:sz w:val="20"/>
                <w:szCs w:val="20"/>
              </w:rPr>
            </m:ctrlPr>
          </m:sSubPr>
          <m:e>
            <m:r>
              <m:rPr>
                <m:sty m:val="p"/>
              </m:rPr>
              <w:rPr>
                <w:rFonts w:ascii="Cambria Math" w:hAnsi="Cambria Math"/>
                <w:sz w:val="20"/>
                <w:szCs w:val="20"/>
              </w:rPr>
              <m:t>T</m:t>
            </m:r>
            <m:r>
              <m:rPr>
                <m:sty m:val="p"/>
              </m:rPr>
              <w:rPr>
                <w:rFonts w:ascii="Cambria Math" w:hAnsi="Cambria Math"/>
                <w:sz w:val="20"/>
                <w:szCs w:val="20"/>
                <w:vertAlign w:val="superscript"/>
              </w:rPr>
              <m:t>хвод</m:t>
            </m:r>
          </m:e>
          <m:sub>
            <m:r>
              <m:rPr>
                <m:sty m:val="p"/>
              </m:rPr>
              <w:rPr>
                <w:rFonts w:ascii="Cambria Math" w:hAnsi="Cambria Math"/>
                <w:sz w:val="20"/>
                <w:szCs w:val="20"/>
                <w:vertAlign w:val="subscript"/>
              </w:rPr>
              <m:t>j</m:t>
            </m:r>
          </m:sub>
        </m:sSub>
      </m:oMath>
      <w:r w:rsidRPr="008B6A75">
        <w:rPr>
          <w:sz w:val="20"/>
          <w:szCs w:val="20"/>
          <w:lang w:val="en-US"/>
        </w:rPr>
        <w:t> </w:t>
      </w:r>
      <w:r w:rsidRPr="008B6A75">
        <w:rPr>
          <w:sz w:val="20"/>
          <w:szCs w:val="20"/>
        </w:rPr>
        <w:t>––</w:t>
      </w:r>
      <w:proofErr w:type="gramEnd"/>
      <w:r w:rsidRPr="008B6A75">
        <w:rPr>
          <w:sz w:val="20"/>
          <w:szCs w:val="20"/>
        </w:rPr>
        <w:t xml:space="preserve"> тариф на холодное водоснабжение </w:t>
      </w:r>
      <w:r w:rsidRPr="008B6A75">
        <w:rPr>
          <w:sz w:val="20"/>
          <w:szCs w:val="20"/>
          <w:lang w:val="en-US"/>
        </w:rPr>
        <w:t>j</w:t>
      </w:r>
      <w:r w:rsidRPr="008B6A75">
        <w:rPr>
          <w:sz w:val="20"/>
          <w:szCs w:val="20"/>
        </w:rPr>
        <w:t>-го поселения Куйбышевского района;</w:t>
      </w:r>
    </w:p>
    <w:p w14:paraId="4E2D3753" w14:textId="40FC3CAF" w:rsidR="00387142" w:rsidRPr="008B6A75" w:rsidRDefault="00387142" w:rsidP="00387142">
      <w:pPr>
        <w:ind w:firstLine="709"/>
        <w:jc w:val="both"/>
        <w:rPr>
          <w:sz w:val="20"/>
          <w:szCs w:val="20"/>
        </w:rPr>
      </w:pPr>
      <m:oMath>
        <m:sSub>
          <m:sSubPr>
            <m:ctrlPr>
              <w:rPr>
                <w:rFonts w:ascii="Cambria Math" w:hAnsi="Cambria Math"/>
                <w:sz w:val="20"/>
                <w:szCs w:val="20"/>
              </w:rPr>
            </m:ctrlPr>
          </m:sSubPr>
          <m:e>
            <m:r>
              <m:rPr>
                <m:sty m:val="p"/>
              </m:rPr>
              <w:rPr>
                <w:rFonts w:ascii="Cambria Math" w:hAnsi="Cambria Math"/>
                <w:sz w:val="20"/>
                <w:szCs w:val="20"/>
              </w:rPr>
              <m:t>T</m:t>
            </m:r>
            <m:r>
              <m:rPr>
                <m:sty m:val="p"/>
              </m:rPr>
              <w:rPr>
                <w:rFonts w:ascii="Cambria Math" w:hAnsi="Cambria Math"/>
                <w:sz w:val="20"/>
                <w:szCs w:val="20"/>
                <w:vertAlign w:val="superscript"/>
              </w:rPr>
              <m:t>гвод</m:t>
            </m:r>
          </m:e>
          <m:sub>
            <m:r>
              <m:rPr>
                <m:sty m:val="p"/>
              </m:rPr>
              <w:rPr>
                <w:rFonts w:ascii="Cambria Math" w:hAnsi="Cambria Math"/>
                <w:sz w:val="20"/>
                <w:szCs w:val="20"/>
                <w:vertAlign w:val="subscript"/>
              </w:rPr>
              <m:t>j</m:t>
            </m:r>
          </m:sub>
        </m:sSub>
      </m:oMath>
      <w:r w:rsidRPr="008B6A75">
        <w:rPr>
          <w:sz w:val="20"/>
          <w:szCs w:val="20"/>
          <w:lang w:val="en-US"/>
        </w:rPr>
        <w:t> </w:t>
      </w:r>
      <w:r w:rsidRPr="008B6A75">
        <w:rPr>
          <w:sz w:val="20"/>
          <w:szCs w:val="20"/>
        </w:rPr>
        <w:t xml:space="preserve">– тариф на горячее водоснабжение </w:t>
      </w:r>
      <w:r w:rsidRPr="008B6A75">
        <w:rPr>
          <w:sz w:val="20"/>
          <w:szCs w:val="20"/>
          <w:lang w:val="en-US"/>
        </w:rPr>
        <w:t>j</w:t>
      </w:r>
      <w:r w:rsidRPr="008B6A75">
        <w:rPr>
          <w:sz w:val="20"/>
          <w:szCs w:val="20"/>
        </w:rPr>
        <w:t>-го поселения Куйбышевского района;</w:t>
      </w:r>
    </w:p>
    <w:p w14:paraId="37B0381B" w14:textId="6E884404" w:rsidR="00387142" w:rsidRPr="008B6A75" w:rsidRDefault="00387142" w:rsidP="00387142">
      <w:pPr>
        <w:ind w:firstLine="709"/>
        <w:jc w:val="both"/>
        <w:rPr>
          <w:sz w:val="20"/>
          <w:szCs w:val="20"/>
        </w:rPr>
      </w:pPr>
      <m:oMath>
        <m:sSub>
          <m:sSubPr>
            <m:ctrlPr>
              <w:rPr>
                <w:rFonts w:ascii="Cambria Math" w:hAnsi="Cambria Math"/>
                <w:sz w:val="20"/>
                <w:szCs w:val="20"/>
              </w:rPr>
            </m:ctrlPr>
          </m:sSubPr>
          <m:e>
            <m:r>
              <m:rPr>
                <m:sty m:val="p"/>
              </m:rPr>
              <w:rPr>
                <w:rFonts w:ascii="Cambria Math" w:hAnsi="Cambria Math"/>
                <w:sz w:val="20"/>
                <w:szCs w:val="20"/>
              </w:rPr>
              <m:t xml:space="preserve"> T</m:t>
            </m:r>
            <m:r>
              <m:rPr>
                <m:sty m:val="p"/>
              </m:rPr>
              <w:rPr>
                <w:rFonts w:ascii="Cambria Math" w:hAnsi="Cambria Math"/>
                <w:sz w:val="20"/>
                <w:szCs w:val="20"/>
                <w:vertAlign w:val="superscript"/>
              </w:rPr>
              <m:t>вот</m:t>
            </m:r>
          </m:e>
          <m:sub>
            <m:r>
              <m:rPr>
                <m:sty m:val="p"/>
              </m:rPr>
              <w:rPr>
                <w:rFonts w:ascii="Cambria Math" w:hAnsi="Cambria Math"/>
                <w:sz w:val="20"/>
                <w:szCs w:val="20"/>
                <w:vertAlign w:val="subscript"/>
              </w:rPr>
              <m:t>j</m:t>
            </m:r>
          </m:sub>
        </m:sSub>
      </m:oMath>
      <w:r w:rsidRPr="008B6A75">
        <w:rPr>
          <w:sz w:val="20"/>
          <w:szCs w:val="20"/>
          <w:lang w:val="en-US"/>
        </w:rPr>
        <w:t>  </w:t>
      </w:r>
      <w:r w:rsidRPr="008B6A75">
        <w:rPr>
          <w:sz w:val="20"/>
          <w:szCs w:val="20"/>
        </w:rPr>
        <w:t xml:space="preserve">– тариф на водоотведение для </w:t>
      </w:r>
      <w:r w:rsidRPr="008B6A75">
        <w:rPr>
          <w:sz w:val="20"/>
          <w:szCs w:val="20"/>
          <w:lang w:val="en-US"/>
        </w:rPr>
        <w:t>j</w:t>
      </w:r>
      <w:r w:rsidRPr="008B6A75">
        <w:rPr>
          <w:sz w:val="20"/>
          <w:szCs w:val="20"/>
        </w:rPr>
        <w:t>-го поселения Куйбышевского района;</w:t>
      </w:r>
    </w:p>
    <w:p w14:paraId="7E652C30" w14:textId="77777777" w:rsidR="00387142" w:rsidRPr="008B6A75" w:rsidRDefault="00387142" w:rsidP="00387142">
      <w:pPr>
        <w:ind w:firstLine="709"/>
        <w:jc w:val="both"/>
        <w:rPr>
          <w:sz w:val="20"/>
          <w:szCs w:val="20"/>
        </w:rPr>
      </w:pPr>
      <w:r w:rsidRPr="008B6A75">
        <w:rPr>
          <w:i/>
          <w:sz w:val="20"/>
          <w:szCs w:val="20"/>
          <w:lang w:val="en-US"/>
        </w:rPr>
        <w:t>a</w:t>
      </w:r>
      <w:r w:rsidRPr="008B6A75">
        <w:rPr>
          <w:i/>
          <w:sz w:val="20"/>
          <w:szCs w:val="20"/>
        </w:rPr>
        <w:t xml:space="preserve"> </w:t>
      </w:r>
      <w:r w:rsidRPr="008B6A75">
        <w:rPr>
          <w:sz w:val="20"/>
          <w:szCs w:val="20"/>
        </w:rPr>
        <w:t xml:space="preserve">– параметр, удовлетворяющий условию 0 ≤ </w:t>
      </w:r>
      <w:r w:rsidRPr="008B6A75">
        <w:rPr>
          <w:i/>
          <w:sz w:val="20"/>
          <w:szCs w:val="20"/>
          <w:lang w:val="en-US"/>
        </w:rPr>
        <w:t>a</w:t>
      </w:r>
      <w:r w:rsidRPr="008B6A75">
        <w:rPr>
          <w:sz w:val="20"/>
          <w:szCs w:val="20"/>
        </w:rPr>
        <w:t xml:space="preserve"> ≤ 1.</w:t>
      </w:r>
    </w:p>
    <w:p w14:paraId="0A5D191D" w14:textId="77777777" w:rsidR="00387142" w:rsidRPr="008B6A75" w:rsidRDefault="00387142" w:rsidP="00387142">
      <w:pPr>
        <w:ind w:firstLine="709"/>
        <w:jc w:val="both"/>
        <w:rPr>
          <w:sz w:val="20"/>
          <w:szCs w:val="20"/>
        </w:rPr>
      </w:pPr>
      <w:r w:rsidRPr="008B6A75">
        <w:rPr>
          <w:sz w:val="20"/>
          <w:szCs w:val="20"/>
        </w:rPr>
        <w:t>При наличии тарифа на водоотведение и вывоз жидких бытовых отходов рассчитывается средневзвешенный тариф на водоотведение и вывоз жидких бытовых отходов согласно формуле:</w:t>
      </w:r>
    </w:p>
    <w:p w14:paraId="309921C3" w14:textId="77777777" w:rsidR="00387142" w:rsidRPr="008B6A75" w:rsidRDefault="00387142" w:rsidP="00387142">
      <w:pPr>
        <w:ind w:firstLine="709"/>
        <w:jc w:val="both"/>
        <w:rPr>
          <w:sz w:val="20"/>
          <w:szCs w:val="20"/>
        </w:rPr>
      </w:pPr>
    </w:p>
    <w:p w14:paraId="7DB10077" w14:textId="6BAF1359" w:rsidR="00387142" w:rsidRPr="008B6A75" w:rsidRDefault="00387142" w:rsidP="00387142">
      <w:pPr>
        <w:ind w:firstLine="709"/>
        <w:jc w:val="center"/>
        <w:rPr>
          <w:sz w:val="20"/>
          <w:szCs w:val="20"/>
        </w:rPr>
      </w:pPr>
      <m:oMath>
        <m:sSub>
          <m:sSubPr>
            <m:ctrlPr>
              <w:rPr>
                <w:rFonts w:ascii="Cambria Math" w:hAnsi="Cambria Math"/>
                <w:i/>
                <w:iCs/>
                <w:sz w:val="20"/>
                <w:szCs w:val="20"/>
              </w:rPr>
            </m:ctrlPr>
          </m:sSubPr>
          <m:e>
            <m:r>
              <m:rPr>
                <m:sty m:val="p"/>
              </m:rPr>
              <w:rPr>
                <w:rFonts w:ascii="Cambria Math" w:hAnsi="Cambria Math"/>
                <w:sz w:val="20"/>
                <w:szCs w:val="20"/>
                <w:lang w:val="en-US"/>
              </w:rPr>
              <m:t>T</m:t>
            </m:r>
            <m:r>
              <m:rPr>
                <m:sty m:val="p"/>
              </m:rPr>
              <w:rPr>
                <w:rFonts w:ascii="Cambria Math" w:hAnsi="Cambria Math"/>
                <w:sz w:val="20"/>
                <w:szCs w:val="20"/>
                <w:vertAlign w:val="superscript"/>
              </w:rPr>
              <m:t>вот</m:t>
            </m:r>
          </m:e>
          <m:sub>
            <m:r>
              <w:rPr>
                <w:rFonts w:ascii="Cambria Math" w:hAnsi="Cambria Math"/>
                <w:sz w:val="20"/>
                <w:szCs w:val="20"/>
                <w:vertAlign w:val="superscript"/>
              </w:rPr>
              <m:t>СР</m:t>
            </m:r>
            <m:r>
              <m:rPr>
                <m:sty m:val="p"/>
              </m:rPr>
              <w:rPr>
                <w:rFonts w:ascii="Cambria Math" w:hAnsi="Cambria Math"/>
                <w:sz w:val="20"/>
                <w:szCs w:val="20"/>
                <w:vertAlign w:val="superscript"/>
                <w:lang w:val="en-US"/>
              </w:rPr>
              <m:t>j</m:t>
            </m:r>
          </m:sub>
        </m:sSub>
        <m:r>
          <m:rPr>
            <m:sty m:val="p"/>
          </m:rPr>
          <w:rPr>
            <w:rFonts w:ascii="Cambria Math" w:hAnsi="Cambria Math"/>
            <w:sz w:val="20"/>
            <w:szCs w:val="20"/>
          </w:rPr>
          <m:t>=</m:t>
        </m:r>
        <m:sSub>
          <m:sSubPr>
            <m:ctrlPr>
              <w:rPr>
                <w:rFonts w:ascii="Cambria Math" w:hAnsi="Cambria Math"/>
                <w:i/>
                <w:iCs/>
                <w:sz w:val="20"/>
                <w:szCs w:val="20"/>
              </w:rPr>
            </m:ctrlPr>
          </m:sSubPr>
          <m:e>
            <m:r>
              <m:rPr>
                <m:sty m:val="p"/>
              </m:rPr>
              <w:rPr>
                <w:rFonts w:ascii="Cambria Math" w:hAnsi="Cambria Math"/>
                <w:sz w:val="20"/>
                <w:szCs w:val="20"/>
                <w:lang w:val="en-US"/>
              </w:rPr>
              <m:t>d</m:t>
            </m:r>
            <m:r>
              <m:rPr>
                <m:sty m:val="p"/>
              </m:rPr>
              <w:rPr>
                <w:rFonts w:ascii="Cambria Math" w:hAnsi="Cambria Math"/>
                <w:sz w:val="20"/>
                <w:szCs w:val="20"/>
              </w:rPr>
              <m:t>1*</m:t>
            </m:r>
            <m:r>
              <m:rPr>
                <m:sty m:val="p"/>
              </m:rPr>
              <w:rPr>
                <w:rFonts w:ascii="Cambria Math" w:hAnsi="Cambria Math"/>
                <w:sz w:val="20"/>
                <w:szCs w:val="20"/>
                <w:lang w:val="en-US"/>
              </w:rPr>
              <m:t>T</m:t>
            </m:r>
            <m:r>
              <m:rPr>
                <m:sty m:val="p"/>
              </m:rPr>
              <w:rPr>
                <w:rFonts w:ascii="Cambria Math" w:hAnsi="Cambria Math"/>
                <w:sz w:val="20"/>
                <w:szCs w:val="20"/>
                <w:vertAlign w:val="superscript"/>
              </w:rPr>
              <m:t>вот</m:t>
            </m:r>
          </m:e>
          <m:sub>
            <m:r>
              <m:rPr>
                <m:sty m:val="p"/>
              </m:rPr>
              <w:rPr>
                <w:rFonts w:ascii="Cambria Math" w:hAnsi="Cambria Math"/>
                <w:sz w:val="20"/>
                <w:szCs w:val="20"/>
                <w:vertAlign w:val="superscript"/>
                <w:lang w:val="en-US"/>
              </w:rPr>
              <m:t>j</m:t>
            </m:r>
          </m:sub>
        </m:sSub>
        <m:r>
          <m:rPr>
            <m:nor/>
          </m:rPr>
          <w:rPr>
            <w:bCs/>
            <w:sz w:val="20"/>
            <w:szCs w:val="20"/>
          </w:rPr>
          <m:t>+</m:t>
        </m:r>
        <m:sSub>
          <m:sSubPr>
            <m:ctrlPr>
              <w:rPr>
                <w:rFonts w:ascii="Cambria Math" w:hAnsi="Cambria Math"/>
                <w:i/>
                <w:iCs/>
                <w:sz w:val="20"/>
                <w:szCs w:val="20"/>
              </w:rPr>
            </m:ctrlPr>
          </m:sSubPr>
          <m:e>
            <m:r>
              <m:rPr>
                <m:sty m:val="p"/>
              </m:rPr>
              <w:rPr>
                <w:rFonts w:ascii="Cambria Math" w:hAnsi="Cambria Math"/>
                <w:sz w:val="20"/>
                <w:szCs w:val="20"/>
                <w:lang w:val="en-US"/>
              </w:rPr>
              <m:t>d</m:t>
            </m:r>
            <m:r>
              <m:rPr>
                <m:sty m:val="p"/>
              </m:rPr>
              <w:rPr>
                <w:rFonts w:ascii="Cambria Math" w:hAnsi="Cambria Math"/>
                <w:sz w:val="20"/>
                <w:szCs w:val="20"/>
              </w:rPr>
              <m:t>2*</m:t>
            </m:r>
            <m:r>
              <m:rPr>
                <m:sty m:val="p"/>
              </m:rPr>
              <w:rPr>
                <w:rFonts w:ascii="Cambria Math" w:hAnsi="Cambria Math"/>
                <w:sz w:val="20"/>
                <w:szCs w:val="20"/>
                <w:lang w:val="en-US"/>
              </w:rPr>
              <m:t>T</m:t>
            </m:r>
            <m:r>
              <m:rPr>
                <m:sty m:val="p"/>
              </m:rPr>
              <w:rPr>
                <w:rFonts w:ascii="Cambria Math" w:hAnsi="Cambria Math"/>
                <w:sz w:val="20"/>
                <w:szCs w:val="20"/>
                <w:vertAlign w:val="superscript"/>
              </w:rPr>
              <m:t>ЖБО</m:t>
            </m:r>
          </m:e>
          <m:sub>
            <m:r>
              <m:rPr>
                <m:sty m:val="p"/>
              </m:rPr>
              <w:rPr>
                <w:rFonts w:ascii="Cambria Math" w:hAnsi="Cambria Math"/>
                <w:sz w:val="20"/>
                <w:szCs w:val="20"/>
                <w:vertAlign w:val="superscript"/>
                <w:lang w:val="en-US"/>
              </w:rPr>
              <m:t>j</m:t>
            </m:r>
          </m:sub>
        </m:sSub>
      </m:oMath>
      <w:r w:rsidRPr="008B6A75">
        <w:rPr>
          <w:sz w:val="20"/>
          <w:szCs w:val="20"/>
        </w:rPr>
        <w:t>,</w:t>
      </w:r>
    </w:p>
    <w:p w14:paraId="0A6BD224" w14:textId="7E36B27B" w:rsidR="00387142" w:rsidRPr="008B6A75" w:rsidRDefault="00387142" w:rsidP="00387142">
      <w:pPr>
        <w:ind w:firstLine="709"/>
        <w:jc w:val="center"/>
        <w:rPr>
          <w:iCs/>
          <w:sz w:val="20"/>
          <w:szCs w:val="20"/>
        </w:rPr>
      </w:pPr>
      <w:r w:rsidRPr="008B6A75">
        <w:rPr>
          <w:iCs/>
          <w:sz w:val="20"/>
          <w:szCs w:val="20"/>
        </w:rPr>
        <w:br/>
        <w:t xml:space="preserve">где </w:t>
      </w:r>
      <m:oMath>
        <m:sSub>
          <m:sSubPr>
            <m:ctrlPr>
              <w:rPr>
                <w:rFonts w:ascii="Cambria Math" w:hAnsi="Cambria Math"/>
                <w:sz w:val="20"/>
                <w:szCs w:val="20"/>
              </w:rPr>
            </m:ctrlPr>
          </m:sSubPr>
          <m:e>
            <m:r>
              <m:rPr>
                <m:sty m:val="p"/>
              </m:rPr>
              <w:rPr>
                <w:rFonts w:ascii="Cambria Math" w:hAnsi="Cambria Math"/>
                <w:sz w:val="20"/>
                <w:szCs w:val="20"/>
              </w:rPr>
              <m:t xml:space="preserve"> T</m:t>
            </m:r>
            <m:r>
              <m:rPr>
                <m:sty m:val="p"/>
              </m:rPr>
              <w:rPr>
                <w:rFonts w:ascii="Cambria Math" w:hAnsi="Cambria Math"/>
                <w:sz w:val="20"/>
                <w:szCs w:val="20"/>
                <w:vertAlign w:val="superscript"/>
              </w:rPr>
              <m:t>вот</m:t>
            </m:r>
          </m:e>
          <m:sub>
            <m:r>
              <m:rPr>
                <m:sty m:val="p"/>
              </m:rPr>
              <w:rPr>
                <w:rFonts w:ascii="Cambria Math" w:hAnsi="Cambria Math"/>
                <w:sz w:val="20"/>
                <w:szCs w:val="20"/>
                <w:vertAlign w:val="subscript"/>
              </w:rPr>
              <m:t>j</m:t>
            </m:r>
          </m:sub>
        </m:sSub>
      </m:oMath>
      <w:r w:rsidRPr="008B6A75">
        <w:rPr>
          <w:sz w:val="20"/>
          <w:szCs w:val="20"/>
          <w:lang w:val="en-US"/>
        </w:rPr>
        <w:t>  </w:t>
      </w:r>
      <w:r w:rsidRPr="008B6A75">
        <w:rPr>
          <w:sz w:val="20"/>
          <w:szCs w:val="20"/>
        </w:rPr>
        <w:t xml:space="preserve">– тариф на водоотведение для </w:t>
      </w:r>
      <w:r w:rsidRPr="008B6A75">
        <w:rPr>
          <w:sz w:val="20"/>
          <w:szCs w:val="20"/>
          <w:lang w:val="en-US"/>
        </w:rPr>
        <w:t>j</w:t>
      </w:r>
      <w:r w:rsidRPr="008B6A75">
        <w:rPr>
          <w:sz w:val="20"/>
          <w:szCs w:val="20"/>
        </w:rPr>
        <w:t>-го поселения Куйбышевского района</w:t>
      </w:r>
      <w:r w:rsidRPr="008B6A75">
        <w:rPr>
          <w:iCs/>
          <w:sz w:val="20"/>
          <w:szCs w:val="20"/>
        </w:rPr>
        <w:t>;</w:t>
      </w:r>
    </w:p>
    <w:p w14:paraId="65695AC2" w14:textId="77777777" w:rsidR="00387142" w:rsidRPr="008B6A75" w:rsidRDefault="00387142" w:rsidP="00387142">
      <w:pPr>
        <w:ind w:firstLine="709"/>
        <w:jc w:val="both"/>
        <w:rPr>
          <w:iCs/>
          <w:sz w:val="20"/>
          <w:szCs w:val="20"/>
        </w:rPr>
      </w:pPr>
      <w:r w:rsidRPr="008B6A75">
        <w:rPr>
          <w:iCs/>
          <w:sz w:val="20"/>
          <w:szCs w:val="20"/>
        </w:rPr>
        <w:t>ТЖБО</w:t>
      </w:r>
      <w:r w:rsidRPr="008B6A75">
        <w:rPr>
          <w:iCs/>
          <w:sz w:val="20"/>
          <w:szCs w:val="20"/>
          <w:lang w:val="en-US"/>
        </w:rPr>
        <w:t>j </w:t>
      </w:r>
      <w:r w:rsidRPr="008B6A75">
        <w:rPr>
          <w:iCs/>
          <w:sz w:val="20"/>
          <w:szCs w:val="20"/>
        </w:rPr>
        <w:t>– тариф на вывоз жидких бытовых отходов для j-</w:t>
      </w:r>
      <w:proofErr w:type="spellStart"/>
      <w:r w:rsidRPr="008B6A75">
        <w:rPr>
          <w:iCs/>
          <w:sz w:val="20"/>
          <w:szCs w:val="20"/>
        </w:rPr>
        <w:t>го</w:t>
      </w:r>
      <w:proofErr w:type="spellEnd"/>
      <w:r w:rsidRPr="008B6A75">
        <w:rPr>
          <w:iCs/>
          <w:sz w:val="20"/>
          <w:szCs w:val="20"/>
        </w:rPr>
        <w:t xml:space="preserve"> поселения </w:t>
      </w:r>
      <w:r w:rsidRPr="008B6A75">
        <w:rPr>
          <w:sz w:val="20"/>
          <w:szCs w:val="20"/>
        </w:rPr>
        <w:t>Куйбышевского</w:t>
      </w:r>
      <w:r w:rsidRPr="008B6A75">
        <w:rPr>
          <w:iCs/>
          <w:sz w:val="20"/>
          <w:szCs w:val="20"/>
        </w:rPr>
        <w:t xml:space="preserve"> района;</w:t>
      </w:r>
    </w:p>
    <w:p w14:paraId="15CBC0B6" w14:textId="3E52872B" w:rsidR="00387142" w:rsidRPr="008B6A75" w:rsidRDefault="008B6A75" w:rsidP="00387142">
      <w:pPr>
        <w:ind w:firstLine="709"/>
        <w:jc w:val="both"/>
        <w:rPr>
          <w:iCs/>
          <w:sz w:val="20"/>
          <w:szCs w:val="20"/>
        </w:rPr>
      </w:pPr>
      <m:oMath>
        <m:r>
          <m:rPr>
            <m:sty m:val="p"/>
          </m:rPr>
          <w:rPr>
            <w:rFonts w:ascii="Cambria Math" w:hAnsi="Cambria Math"/>
            <w:sz w:val="20"/>
            <w:szCs w:val="20"/>
            <w:lang w:val="en-US"/>
          </w:rPr>
          <m:t>d</m:t>
        </m:r>
      </m:oMath>
      <w:r w:rsidR="00387142" w:rsidRPr="008B6A75">
        <w:rPr>
          <w:iCs/>
          <w:sz w:val="20"/>
          <w:szCs w:val="20"/>
        </w:rPr>
        <w:t xml:space="preserve">1, </w:t>
      </w:r>
      <m:oMath>
        <m:r>
          <m:rPr>
            <m:sty m:val="p"/>
          </m:rPr>
          <w:rPr>
            <w:rFonts w:ascii="Cambria Math" w:hAnsi="Cambria Math"/>
            <w:sz w:val="20"/>
            <w:szCs w:val="20"/>
            <w:lang w:val="en-US"/>
          </w:rPr>
          <m:t>d</m:t>
        </m:r>
      </m:oMath>
      <w:r w:rsidR="00387142" w:rsidRPr="008B6A75">
        <w:rPr>
          <w:iCs/>
          <w:sz w:val="20"/>
          <w:szCs w:val="20"/>
        </w:rPr>
        <w:t>2 – доля расходов на водоотведение и на вывоз жидких бытовых отходов в общем объеме этих расходов поселения.</w:t>
      </w:r>
    </w:p>
    <w:p w14:paraId="44ACBFBD" w14:textId="77777777" w:rsidR="00387142" w:rsidRPr="008B6A75" w:rsidRDefault="00387142" w:rsidP="00387142">
      <w:pPr>
        <w:ind w:firstLine="709"/>
        <w:jc w:val="both"/>
        <w:rPr>
          <w:sz w:val="20"/>
          <w:szCs w:val="20"/>
        </w:rPr>
      </w:pPr>
    </w:p>
    <w:p w14:paraId="32448349" w14:textId="7AB5BB78" w:rsidR="00387142" w:rsidRPr="008B6A75" w:rsidRDefault="00387142" w:rsidP="00387142">
      <w:pPr>
        <w:ind w:firstLine="709"/>
        <w:jc w:val="both"/>
        <w:rPr>
          <w:sz w:val="20"/>
          <w:szCs w:val="20"/>
        </w:rPr>
      </w:pPr>
      <w:r w:rsidRPr="008B6A75">
        <w:rPr>
          <w:sz w:val="20"/>
          <w:szCs w:val="20"/>
        </w:rPr>
        <w:t xml:space="preserve">Коэффициент стоимости тепловой энергии </w:t>
      </w:r>
      <w:r w:rsidRPr="008B6A75">
        <w:rPr>
          <w:sz w:val="20"/>
          <w:szCs w:val="20"/>
          <w:lang w:val="en-US"/>
        </w:rPr>
        <w:t>j</w:t>
      </w:r>
      <w:r w:rsidRPr="008B6A75">
        <w:rPr>
          <w:sz w:val="20"/>
          <w:szCs w:val="20"/>
        </w:rPr>
        <w:t>-го поселения Куйбышевского района (</w:t>
      </w:r>
      <w:r w:rsidRPr="008B6A75">
        <w:rPr>
          <w:sz w:val="20"/>
          <w:szCs w:val="20"/>
        </w:rPr>
        <w:fldChar w:fldCharType="begin"/>
      </w:r>
      <w:r w:rsidRPr="008B6A75">
        <w:rPr>
          <w:sz w:val="20"/>
          <w:szCs w:val="20"/>
        </w:rPr>
        <w:instrText xml:space="preserve"> QUOTE </w:instrText>
      </w:r>
      <m:oMath>
        <m:sSub>
          <m:sSubPr>
            <m:ctrlPr>
              <w:rPr>
                <w:rFonts w:ascii="Cambria Math" w:hAnsi="Cambria Math"/>
                <w:sz w:val="20"/>
                <w:szCs w:val="20"/>
              </w:rPr>
            </m:ctrlPr>
          </m:sSubPr>
          <m:e>
            <m:r>
              <m:rPr>
                <m:sty m:val="p"/>
              </m:rPr>
              <w:rPr>
                <w:rFonts w:ascii="Cambria Math" w:hAnsi="Cambria Math"/>
                <w:sz w:val="20"/>
                <w:szCs w:val="20"/>
              </w:rPr>
              <m:t>К</m:t>
            </m:r>
            <m:r>
              <m:rPr>
                <m:sty m:val="p"/>
              </m:rPr>
              <w:rPr>
                <w:rFonts w:ascii="Cambria Math" w:hAnsi="Cambria Math"/>
                <w:sz w:val="20"/>
                <w:szCs w:val="20"/>
                <w:vertAlign w:val="superscript"/>
              </w:rPr>
              <m:t>стэ</m:t>
            </m:r>
          </m:e>
          <m:sub>
            <m:r>
              <m:rPr>
                <m:sty m:val="p"/>
              </m:rPr>
              <w:rPr>
                <w:rFonts w:ascii="Cambria Math" w:hAnsi="Cambria Math"/>
                <w:sz w:val="20"/>
                <w:szCs w:val="20"/>
                <w:lang w:val="en-US"/>
              </w:rPr>
              <m:t>ij</m:t>
            </m:r>
          </m:sub>
        </m:sSub>
      </m:oMath>
      <w:r w:rsidRPr="008B6A75">
        <w:rPr>
          <w:sz w:val="20"/>
          <w:szCs w:val="20"/>
        </w:rPr>
        <w:instrText xml:space="preserve"> </w:instrText>
      </w:r>
      <w:r w:rsidRPr="008B6A75">
        <w:rPr>
          <w:sz w:val="20"/>
          <w:szCs w:val="20"/>
        </w:rPr>
        <w:fldChar w:fldCharType="separate"/>
      </w:r>
      <m:oMath>
        <m:sSub>
          <m:sSubPr>
            <m:ctrlPr>
              <w:rPr>
                <w:rFonts w:ascii="Cambria Math" w:hAnsi="Cambria Math"/>
                <w:sz w:val="20"/>
                <w:szCs w:val="20"/>
              </w:rPr>
            </m:ctrlPr>
          </m:sSubPr>
          <m:e>
            <m:r>
              <m:rPr>
                <m:sty m:val="p"/>
              </m:rPr>
              <w:rPr>
                <w:rFonts w:ascii="Cambria Math" w:hAnsi="Cambria Math"/>
                <w:sz w:val="20"/>
                <w:szCs w:val="20"/>
              </w:rPr>
              <m:t>К</m:t>
            </m:r>
            <m:r>
              <m:rPr>
                <m:sty m:val="p"/>
              </m:rPr>
              <w:rPr>
                <w:rFonts w:ascii="Cambria Math" w:hAnsi="Cambria Math"/>
                <w:sz w:val="20"/>
                <w:szCs w:val="20"/>
                <w:vertAlign w:val="superscript"/>
              </w:rPr>
              <m:t>стэ</m:t>
            </m:r>
          </m:e>
          <m:sub>
            <m:r>
              <m:rPr>
                <m:sty m:val="p"/>
              </m:rPr>
              <w:rPr>
                <w:rFonts w:ascii="Cambria Math" w:hAnsi="Cambria Math"/>
                <w:sz w:val="20"/>
                <w:szCs w:val="20"/>
                <w:lang w:val="en-US"/>
              </w:rPr>
              <m:t>j</m:t>
            </m:r>
          </m:sub>
        </m:sSub>
      </m:oMath>
      <w:r w:rsidRPr="008B6A75">
        <w:rPr>
          <w:sz w:val="20"/>
          <w:szCs w:val="20"/>
        </w:rPr>
        <w:fldChar w:fldCharType="end"/>
      </w:r>
      <w:r w:rsidRPr="008B6A75">
        <w:rPr>
          <w:sz w:val="20"/>
          <w:szCs w:val="20"/>
        </w:rPr>
        <w:t>):</w:t>
      </w:r>
    </w:p>
    <w:p w14:paraId="096D6841" w14:textId="77777777" w:rsidR="00387142" w:rsidRPr="008B6A75" w:rsidRDefault="00387142" w:rsidP="00387142">
      <w:pPr>
        <w:ind w:firstLine="709"/>
        <w:jc w:val="both"/>
        <w:rPr>
          <w:sz w:val="20"/>
          <w:szCs w:val="20"/>
        </w:rPr>
      </w:pPr>
    </w:p>
    <w:p w14:paraId="45454C32" w14:textId="47C3D1D7" w:rsidR="00387142" w:rsidRPr="008B6A75" w:rsidRDefault="00387142" w:rsidP="00387142">
      <w:pPr>
        <w:ind w:firstLine="709"/>
        <w:jc w:val="center"/>
        <w:rPr>
          <w:sz w:val="20"/>
          <w:szCs w:val="20"/>
        </w:rPr>
      </w:pPr>
      <w:r w:rsidRPr="008B6A75">
        <w:rPr>
          <w:sz w:val="20"/>
          <w:szCs w:val="20"/>
        </w:rPr>
        <w:fldChar w:fldCharType="begin"/>
      </w:r>
      <w:r w:rsidRPr="008B6A75">
        <w:rPr>
          <w:sz w:val="20"/>
          <w:szCs w:val="20"/>
        </w:rPr>
        <w:instrText xml:space="preserve"> QUOTE </w:instrText>
      </w:r>
      <m:oMath>
        <m:sSub>
          <m:sSubPr>
            <m:ctrlPr>
              <w:rPr>
                <w:rFonts w:ascii="Cambria Math" w:hAnsi="Cambria Math"/>
                <w:sz w:val="20"/>
                <w:szCs w:val="20"/>
              </w:rPr>
            </m:ctrlPr>
          </m:sSubPr>
          <m:e>
            <m:r>
              <m:rPr>
                <m:sty m:val="p"/>
              </m:rPr>
              <w:rPr>
                <w:rFonts w:ascii="Cambria Math" w:hAnsi="Cambria Math"/>
                <w:sz w:val="20"/>
                <w:szCs w:val="20"/>
              </w:rPr>
              <m:t>К</m:t>
            </m:r>
            <m:r>
              <m:rPr>
                <m:sty m:val="p"/>
              </m:rPr>
              <w:rPr>
                <w:rFonts w:ascii="Cambria Math" w:hAnsi="Cambria Math"/>
                <w:sz w:val="20"/>
                <w:szCs w:val="20"/>
                <w:vertAlign w:val="superscript"/>
              </w:rPr>
              <m:t>стэ</m:t>
            </m:r>
          </m:e>
          <m:sub>
            <m:r>
              <m:rPr>
                <m:sty m:val="p"/>
              </m:rPr>
              <w:rPr>
                <w:rFonts w:ascii="Cambria Math" w:hAnsi="Cambria Math"/>
                <w:sz w:val="20"/>
                <w:szCs w:val="20"/>
                <w:lang w:val="en-US"/>
              </w:rPr>
              <m:t>ij</m:t>
            </m:r>
          </m:sub>
        </m:sSub>
        <m:r>
          <m:rPr>
            <m:sty m:val="p"/>
          </m:rPr>
          <w:rPr>
            <w:rFonts w:ascii="Cambria Math" w:hAnsi="Cambria Math"/>
            <w:sz w:val="20"/>
            <w:szCs w:val="20"/>
          </w:rPr>
          <m:t>=</m:t>
        </m:r>
        <m:f>
          <m:fPr>
            <m:ctrlPr>
              <w:rPr>
                <w:rFonts w:ascii="Cambria Math" w:hAnsi="Cambria Math"/>
                <w:sz w:val="20"/>
                <w:szCs w:val="20"/>
              </w:rPr>
            </m:ctrlPr>
          </m:fPr>
          <m:num>
            <m:sSub>
              <m:sSubPr>
                <m:ctrlPr>
                  <w:rPr>
                    <w:rFonts w:ascii="Cambria Math" w:hAnsi="Cambria Math"/>
                    <w:sz w:val="20"/>
                    <w:szCs w:val="20"/>
                  </w:rPr>
                </m:ctrlPr>
              </m:sSubPr>
              <m:e>
                <m:r>
                  <m:rPr>
                    <m:sty m:val="p"/>
                  </m:rPr>
                  <w:rPr>
                    <w:rFonts w:ascii="Cambria Math" w:hAnsi="Cambria Math"/>
                    <w:sz w:val="20"/>
                    <w:szCs w:val="20"/>
                  </w:rPr>
                  <m:t>Т</m:t>
                </m:r>
                <m:r>
                  <m:rPr>
                    <m:sty m:val="p"/>
                  </m:rPr>
                  <w:rPr>
                    <w:rFonts w:ascii="Cambria Math" w:hAnsi="Cambria Math"/>
                    <w:sz w:val="20"/>
                    <w:szCs w:val="20"/>
                    <w:vertAlign w:val="superscript"/>
                  </w:rPr>
                  <m:t>гкал</m:t>
                </m:r>
              </m:e>
              <m:sub>
                <m:r>
                  <m:rPr>
                    <m:sty m:val="p"/>
                  </m:rPr>
                  <w:rPr>
                    <w:rFonts w:ascii="Cambria Math" w:hAnsi="Cambria Math"/>
                    <w:sz w:val="20"/>
                    <w:szCs w:val="20"/>
                    <w:lang w:val="en-US"/>
                  </w:rPr>
                  <m:t>i</m:t>
                </m:r>
                <m:r>
                  <m:rPr>
                    <m:sty m:val="p"/>
                  </m:rPr>
                  <w:rPr>
                    <w:rFonts w:ascii="Cambria Math" w:hAnsi="Cambria Math"/>
                    <w:sz w:val="20"/>
                    <w:szCs w:val="20"/>
                    <w:vertAlign w:val="subscript"/>
                  </w:rPr>
                  <m:t>j</m:t>
                </m:r>
              </m:sub>
            </m:sSub>
          </m:num>
          <m:den>
            <m:r>
              <m:rPr>
                <m:sty m:val="p"/>
              </m:rPr>
              <w:rPr>
                <w:rFonts w:ascii="Cambria Math" w:hAnsi="Cambria Math"/>
                <w:sz w:val="20"/>
                <w:szCs w:val="20"/>
              </w:rPr>
              <m:t xml:space="preserve"> </m:t>
            </m:r>
            <m:sSub>
              <m:sSubPr>
                <m:ctrlPr>
                  <w:rPr>
                    <w:rFonts w:ascii="Cambria Math" w:hAnsi="Cambria Math"/>
                    <w:sz w:val="20"/>
                    <w:szCs w:val="20"/>
                  </w:rPr>
                </m:ctrlPr>
              </m:sSubPr>
              <m:e>
                <m:r>
                  <m:rPr>
                    <m:sty m:val="p"/>
                  </m:rPr>
                  <w:rPr>
                    <w:rFonts w:ascii="Cambria Math" w:hAnsi="Cambria Math"/>
                    <w:sz w:val="20"/>
                    <w:szCs w:val="20"/>
                  </w:rPr>
                  <m:t>Т</m:t>
                </m:r>
                <m:r>
                  <m:rPr>
                    <m:sty m:val="p"/>
                  </m:rPr>
                  <w:rPr>
                    <w:rFonts w:ascii="Cambria Math" w:hAnsi="Cambria Math"/>
                    <w:sz w:val="20"/>
                    <w:szCs w:val="20"/>
                    <w:vertAlign w:val="superscript"/>
                  </w:rPr>
                  <m:t>гкал</m:t>
                </m:r>
              </m:e>
              <m:sub>
                <m:r>
                  <m:rPr>
                    <m:sty m:val="p"/>
                  </m:rPr>
                  <w:rPr>
                    <w:rFonts w:ascii="Cambria Math" w:hAnsi="Cambria Math"/>
                    <w:sz w:val="20"/>
                    <w:szCs w:val="20"/>
                    <w:vertAlign w:val="subscript"/>
                  </w:rPr>
                  <m:t>i</m:t>
                </m:r>
              </m:sub>
            </m:sSub>
          </m:den>
        </m:f>
        <m:r>
          <m:rPr>
            <m:sty m:val="p"/>
          </m:rPr>
          <w:rPr>
            <w:rFonts w:ascii="Cambria Math" w:hAnsi="Cambria Math"/>
            <w:sz w:val="20"/>
            <w:szCs w:val="20"/>
          </w:rPr>
          <m:t xml:space="preserve"> </m:t>
        </m:r>
      </m:oMath>
      <w:r w:rsidRPr="008B6A75">
        <w:rPr>
          <w:sz w:val="20"/>
          <w:szCs w:val="20"/>
        </w:rPr>
        <w:instrText xml:space="preserve"> </w:instrText>
      </w:r>
      <w:r w:rsidRPr="008B6A75">
        <w:rPr>
          <w:sz w:val="20"/>
          <w:szCs w:val="20"/>
        </w:rPr>
        <w:fldChar w:fldCharType="separate"/>
      </w:r>
      <m:oMath>
        <m:sSub>
          <m:sSubPr>
            <m:ctrlPr>
              <w:rPr>
                <w:rFonts w:ascii="Cambria Math" w:hAnsi="Cambria Math"/>
                <w:sz w:val="20"/>
                <w:szCs w:val="20"/>
              </w:rPr>
            </m:ctrlPr>
          </m:sSubPr>
          <m:e>
            <m:r>
              <m:rPr>
                <m:sty m:val="p"/>
              </m:rPr>
              <w:rPr>
                <w:rFonts w:ascii="Cambria Math" w:hAnsi="Cambria Math"/>
                <w:sz w:val="20"/>
                <w:szCs w:val="20"/>
              </w:rPr>
              <m:t>К</m:t>
            </m:r>
            <m:r>
              <m:rPr>
                <m:sty m:val="p"/>
              </m:rPr>
              <w:rPr>
                <w:rFonts w:ascii="Cambria Math" w:hAnsi="Cambria Math"/>
                <w:sz w:val="20"/>
                <w:szCs w:val="20"/>
                <w:vertAlign w:val="superscript"/>
              </w:rPr>
              <m:t>стэ</m:t>
            </m:r>
          </m:e>
          <m:sub>
            <m:r>
              <m:rPr>
                <m:sty m:val="p"/>
              </m:rPr>
              <w:rPr>
                <w:rFonts w:ascii="Cambria Math" w:hAnsi="Cambria Math"/>
                <w:sz w:val="20"/>
                <w:szCs w:val="20"/>
                <w:lang w:val="en-US"/>
              </w:rPr>
              <m:t>j</m:t>
            </m:r>
          </m:sub>
        </m:sSub>
        <m:r>
          <m:rPr>
            <m:sty m:val="p"/>
          </m:rPr>
          <w:rPr>
            <w:rFonts w:ascii="Cambria Math" w:hAnsi="Cambria Math"/>
            <w:sz w:val="20"/>
            <w:szCs w:val="20"/>
          </w:rPr>
          <m:t>=</m:t>
        </m:r>
        <m:f>
          <m:fPr>
            <m:ctrlPr>
              <w:rPr>
                <w:rFonts w:ascii="Cambria Math" w:hAnsi="Cambria Math"/>
                <w:sz w:val="20"/>
                <w:szCs w:val="20"/>
              </w:rPr>
            </m:ctrlPr>
          </m:fPr>
          <m:num>
            <m:sSub>
              <m:sSubPr>
                <m:ctrlPr>
                  <w:rPr>
                    <w:rFonts w:ascii="Cambria Math" w:hAnsi="Cambria Math"/>
                    <w:sz w:val="20"/>
                    <w:szCs w:val="20"/>
                  </w:rPr>
                </m:ctrlPr>
              </m:sSubPr>
              <m:e>
                <m:r>
                  <m:rPr>
                    <m:sty m:val="p"/>
                  </m:rPr>
                  <w:rPr>
                    <w:rFonts w:ascii="Cambria Math" w:hAnsi="Cambria Math"/>
                    <w:sz w:val="20"/>
                    <w:szCs w:val="20"/>
                  </w:rPr>
                  <m:t>Т</m:t>
                </m:r>
                <m:r>
                  <m:rPr>
                    <m:sty m:val="p"/>
                  </m:rPr>
                  <w:rPr>
                    <w:rFonts w:ascii="Cambria Math" w:hAnsi="Cambria Math"/>
                    <w:sz w:val="20"/>
                    <w:szCs w:val="20"/>
                    <w:vertAlign w:val="superscript"/>
                  </w:rPr>
                  <m:t>гкал</m:t>
                </m:r>
              </m:e>
              <m:sub>
                <m:r>
                  <m:rPr>
                    <m:sty m:val="p"/>
                  </m:rPr>
                  <w:rPr>
                    <w:rFonts w:ascii="Cambria Math" w:hAnsi="Cambria Math"/>
                    <w:sz w:val="20"/>
                    <w:szCs w:val="20"/>
                    <w:vertAlign w:val="subscript"/>
                  </w:rPr>
                  <m:t>j</m:t>
                </m:r>
              </m:sub>
            </m:sSub>
          </m:num>
          <m:den>
            <m:r>
              <m:rPr>
                <m:sty m:val="p"/>
              </m:rPr>
              <w:rPr>
                <w:rFonts w:ascii="Cambria Math" w:hAnsi="Cambria Math"/>
                <w:sz w:val="20"/>
                <w:szCs w:val="20"/>
              </w:rPr>
              <m:t xml:space="preserve"> Т</m:t>
            </m:r>
            <m:r>
              <m:rPr>
                <m:sty m:val="p"/>
              </m:rPr>
              <w:rPr>
                <w:rFonts w:ascii="Cambria Math" w:hAnsi="Cambria Math"/>
                <w:sz w:val="20"/>
                <w:szCs w:val="20"/>
                <w:vertAlign w:val="superscript"/>
              </w:rPr>
              <m:t>гкал</m:t>
            </m:r>
          </m:den>
        </m:f>
        <m:r>
          <m:rPr>
            <m:sty m:val="p"/>
          </m:rPr>
          <w:rPr>
            <w:rFonts w:ascii="Cambria Math" w:hAnsi="Cambria Math"/>
            <w:sz w:val="20"/>
            <w:szCs w:val="20"/>
          </w:rPr>
          <m:t xml:space="preserve"> </m:t>
        </m:r>
      </m:oMath>
      <w:r w:rsidRPr="008B6A75">
        <w:rPr>
          <w:sz w:val="20"/>
          <w:szCs w:val="20"/>
        </w:rPr>
        <w:fldChar w:fldCharType="end"/>
      </w:r>
      <w:r w:rsidRPr="008B6A75">
        <w:rPr>
          <w:sz w:val="20"/>
          <w:szCs w:val="20"/>
        </w:rPr>
        <w:t>,</w:t>
      </w:r>
    </w:p>
    <w:p w14:paraId="0E88F80D" w14:textId="77777777" w:rsidR="00387142" w:rsidRPr="008B6A75" w:rsidRDefault="00387142" w:rsidP="00387142">
      <w:pPr>
        <w:ind w:firstLine="709"/>
        <w:jc w:val="both"/>
        <w:rPr>
          <w:sz w:val="20"/>
          <w:szCs w:val="20"/>
        </w:rPr>
      </w:pPr>
    </w:p>
    <w:p w14:paraId="37A0D50D" w14:textId="77CA9B53" w:rsidR="00387142" w:rsidRPr="008B6A75" w:rsidRDefault="00387142" w:rsidP="00387142">
      <w:pPr>
        <w:widowControl w:val="0"/>
        <w:autoSpaceDE w:val="0"/>
        <w:autoSpaceDN w:val="0"/>
        <w:adjustRightInd w:val="0"/>
        <w:ind w:firstLine="709"/>
        <w:jc w:val="both"/>
        <w:rPr>
          <w:sz w:val="20"/>
          <w:szCs w:val="20"/>
        </w:rPr>
      </w:pPr>
      <w:proofErr w:type="gramStart"/>
      <w:r w:rsidRPr="008B6A75">
        <w:rPr>
          <w:sz w:val="20"/>
          <w:szCs w:val="20"/>
        </w:rPr>
        <w:t xml:space="preserve">где </w:t>
      </w:r>
      <m:oMath>
        <m:sSub>
          <m:sSubPr>
            <m:ctrlPr>
              <w:rPr>
                <w:rFonts w:ascii="Cambria Math" w:hAnsi="Cambria Math"/>
                <w:sz w:val="20"/>
                <w:szCs w:val="20"/>
              </w:rPr>
            </m:ctrlPr>
          </m:sSubPr>
          <m:e>
            <m:r>
              <m:rPr>
                <m:sty m:val="p"/>
              </m:rPr>
              <w:rPr>
                <w:rFonts w:ascii="Cambria Math" w:hAnsi="Cambria Math"/>
                <w:sz w:val="20"/>
                <w:szCs w:val="20"/>
              </w:rPr>
              <m:t>Т</m:t>
            </m:r>
            <m:r>
              <m:rPr>
                <m:sty m:val="p"/>
              </m:rPr>
              <w:rPr>
                <w:rFonts w:ascii="Cambria Math" w:hAnsi="Cambria Math"/>
                <w:sz w:val="20"/>
                <w:szCs w:val="20"/>
                <w:vertAlign w:val="superscript"/>
              </w:rPr>
              <m:t>гкал</m:t>
            </m:r>
          </m:e>
          <m:sub>
            <m:r>
              <m:rPr>
                <m:sty m:val="p"/>
              </m:rPr>
              <w:rPr>
                <w:rFonts w:ascii="Cambria Math" w:hAnsi="Cambria Math"/>
                <w:sz w:val="20"/>
                <w:szCs w:val="20"/>
                <w:vertAlign w:val="subscript"/>
              </w:rPr>
              <m:t>j</m:t>
            </m:r>
          </m:sub>
        </m:sSub>
      </m:oMath>
      <w:r w:rsidRPr="008B6A75">
        <w:rPr>
          <w:sz w:val="20"/>
          <w:szCs w:val="20"/>
          <w:lang w:val="en-US"/>
        </w:rPr>
        <w:t> </w:t>
      </w:r>
      <w:r w:rsidRPr="008B6A75">
        <w:rPr>
          <w:sz w:val="20"/>
          <w:szCs w:val="20"/>
        </w:rPr>
        <w:t>–</w:t>
      </w:r>
      <w:proofErr w:type="gramEnd"/>
      <w:r w:rsidRPr="008B6A75">
        <w:rPr>
          <w:sz w:val="20"/>
          <w:szCs w:val="20"/>
        </w:rPr>
        <w:t xml:space="preserve"> средняя стоимость выработки одной </w:t>
      </w:r>
      <w:proofErr w:type="spellStart"/>
      <w:r w:rsidRPr="008B6A75">
        <w:rPr>
          <w:sz w:val="20"/>
          <w:szCs w:val="20"/>
        </w:rPr>
        <w:t>гигакалории</w:t>
      </w:r>
      <w:proofErr w:type="spellEnd"/>
      <w:r w:rsidRPr="008B6A75">
        <w:rPr>
          <w:sz w:val="20"/>
          <w:szCs w:val="20"/>
        </w:rPr>
        <w:t xml:space="preserve"> тепловой энергии в </w:t>
      </w:r>
      <w:r w:rsidRPr="008B6A75">
        <w:rPr>
          <w:sz w:val="20"/>
          <w:szCs w:val="20"/>
          <w:lang w:val="en-US"/>
        </w:rPr>
        <w:t>j</w:t>
      </w:r>
      <w:r w:rsidRPr="008B6A75">
        <w:rPr>
          <w:sz w:val="20"/>
          <w:szCs w:val="20"/>
        </w:rPr>
        <w:t>-м поселении Куйбышевского района;</w:t>
      </w:r>
    </w:p>
    <w:p w14:paraId="301A34C2" w14:textId="367EBB28" w:rsidR="00387142" w:rsidRPr="008B6A75" w:rsidRDefault="008B6A75" w:rsidP="00387142">
      <w:pPr>
        <w:widowControl w:val="0"/>
        <w:autoSpaceDE w:val="0"/>
        <w:autoSpaceDN w:val="0"/>
        <w:adjustRightInd w:val="0"/>
        <w:ind w:firstLine="709"/>
        <w:jc w:val="both"/>
        <w:rPr>
          <w:sz w:val="20"/>
          <w:szCs w:val="20"/>
        </w:rPr>
      </w:pPr>
      <m:oMath>
        <m:r>
          <m:rPr>
            <m:sty m:val="p"/>
          </m:rPr>
          <w:rPr>
            <w:rFonts w:ascii="Cambria Math" w:hAnsi="Cambria Math"/>
            <w:sz w:val="20"/>
            <w:szCs w:val="20"/>
          </w:rPr>
          <m:t>Т</m:t>
        </m:r>
        <m:r>
          <m:rPr>
            <m:sty m:val="p"/>
          </m:rPr>
          <w:rPr>
            <w:rFonts w:ascii="Cambria Math" w:hAnsi="Cambria Math"/>
            <w:sz w:val="20"/>
            <w:szCs w:val="20"/>
            <w:vertAlign w:val="superscript"/>
          </w:rPr>
          <m:t>гкал</m:t>
        </m:r>
      </m:oMath>
      <w:r w:rsidR="00387142" w:rsidRPr="008B6A75">
        <w:rPr>
          <w:sz w:val="20"/>
          <w:szCs w:val="20"/>
        </w:rPr>
        <w:t> – стоимость выработки одной гигакалории тепловой энергии в среднем по поселениям Куйбышевского района.</w:t>
      </w:r>
    </w:p>
    <w:p w14:paraId="7866B291" w14:textId="77777777" w:rsidR="00387142" w:rsidRPr="008B6A75" w:rsidRDefault="00387142" w:rsidP="00387142">
      <w:pPr>
        <w:widowControl w:val="0"/>
        <w:autoSpaceDE w:val="0"/>
        <w:autoSpaceDN w:val="0"/>
        <w:adjustRightInd w:val="0"/>
        <w:ind w:firstLine="709"/>
        <w:jc w:val="both"/>
        <w:rPr>
          <w:sz w:val="20"/>
          <w:szCs w:val="20"/>
        </w:rPr>
      </w:pPr>
      <w:r w:rsidRPr="008B6A75">
        <w:rPr>
          <w:sz w:val="20"/>
          <w:szCs w:val="20"/>
        </w:rPr>
        <w:t xml:space="preserve">Средняя стоимость выработки одной </w:t>
      </w:r>
      <w:proofErr w:type="spellStart"/>
      <w:r w:rsidRPr="008B6A75">
        <w:rPr>
          <w:sz w:val="20"/>
          <w:szCs w:val="20"/>
        </w:rPr>
        <w:t>гигакалории</w:t>
      </w:r>
      <w:proofErr w:type="spellEnd"/>
      <w:r w:rsidRPr="008B6A75">
        <w:rPr>
          <w:sz w:val="20"/>
          <w:szCs w:val="20"/>
        </w:rPr>
        <w:t xml:space="preserve"> тепловой энергии в j-м поселении Куйбышевского района может рассчитываться по следующей формуле:</w:t>
      </w:r>
    </w:p>
    <w:p w14:paraId="16DD5871" w14:textId="77777777" w:rsidR="00387142" w:rsidRPr="008B6A75" w:rsidRDefault="00387142" w:rsidP="00387142">
      <w:pPr>
        <w:widowControl w:val="0"/>
        <w:autoSpaceDE w:val="0"/>
        <w:autoSpaceDN w:val="0"/>
        <w:adjustRightInd w:val="0"/>
        <w:ind w:firstLine="709"/>
        <w:jc w:val="both"/>
        <w:rPr>
          <w:sz w:val="20"/>
          <w:szCs w:val="20"/>
        </w:rPr>
      </w:pPr>
    </w:p>
    <w:p w14:paraId="4496B2F4" w14:textId="380AA79D" w:rsidR="00387142" w:rsidRPr="008B6A75" w:rsidRDefault="00387142" w:rsidP="00387142">
      <w:pPr>
        <w:widowControl w:val="0"/>
        <w:autoSpaceDE w:val="0"/>
        <w:autoSpaceDN w:val="0"/>
        <w:adjustRightInd w:val="0"/>
        <w:ind w:firstLine="709"/>
        <w:jc w:val="center"/>
        <w:rPr>
          <w:sz w:val="20"/>
          <w:szCs w:val="20"/>
        </w:rPr>
      </w:pPr>
      <m:oMath>
        <m:sSub>
          <m:sSubPr>
            <m:ctrlPr>
              <w:rPr>
                <w:rFonts w:ascii="Cambria Math" w:hAnsi="Cambria Math"/>
                <w:iCs/>
                <w:sz w:val="20"/>
                <w:szCs w:val="20"/>
              </w:rPr>
            </m:ctrlPr>
          </m:sSubPr>
          <m:e>
            <m:r>
              <m:rPr>
                <m:sty m:val="p"/>
              </m:rPr>
              <w:rPr>
                <w:rFonts w:ascii="Cambria Math" w:hAnsi="Cambria Math"/>
                <w:sz w:val="20"/>
                <w:szCs w:val="20"/>
              </w:rPr>
              <m:t>Т</m:t>
            </m:r>
            <m:r>
              <m:rPr>
                <m:sty m:val="p"/>
              </m:rPr>
              <w:rPr>
                <w:rFonts w:ascii="Cambria Math" w:hAnsi="Cambria Math"/>
                <w:sz w:val="20"/>
                <w:szCs w:val="20"/>
                <w:vertAlign w:val="superscript"/>
              </w:rPr>
              <m:t>гкал</m:t>
            </m:r>
          </m:e>
          <m:sub>
            <m:r>
              <m:rPr>
                <m:sty m:val="p"/>
              </m:rPr>
              <w:rPr>
                <w:rFonts w:ascii="Cambria Math" w:hAnsi="Cambria Math"/>
                <w:sz w:val="20"/>
                <w:szCs w:val="20"/>
                <w:vertAlign w:val="subscript"/>
              </w:rPr>
              <m:t>j</m:t>
            </m:r>
          </m:sub>
        </m:sSub>
        <m:r>
          <m:rPr>
            <m:sty m:val="p"/>
          </m:rPr>
          <w:rPr>
            <w:rFonts w:ascii="Cambria Math" w:hAnsi="Cambria Math"/>
            <w:sz w:val="20"/>
            <w:szCs w:val="20"/>
          </w:rPr>
          <m:t>=</m:t>
        </m:r>
        <m:f>
          <m:fPr>
            <m:ctrlPr>
              <w:rPr>
                <w:rFonts w:ascii="Cambria Math" w:hAnsi="Cambria Math"/>
                <w:iCs/>
                <w:sz w:val="20"/>
                <w:szCs w:val="20"/>
              </w:rPr>
            </m:ctrlPr>
          </m:fPr>
          <m:num>
            <m:sSub>
              <m:sSubPr>
                <m:ctrlPr>
                  <w:rPr>
                    <w:rFonts w:ascii="Cambria Math" w:hAnsi="Cambria Math"/>
                    <w:iCs/>
                    <w:sz w:val="20"/>
                    <w:szCs w:val="20"/>
                  </w:rPr>
                </m:ctrlPr>
              </m:sSubPr>
              <m:e>
                <m:r>
                  <m:rPr>
                    <m:sty m:val="p"/>
                  </m:rPr>
                  <w:rPr>
                    <w:rFonts w:ascii="Cambria Math" w:hAnsi="Cambria Math"/>
                    <w:sz w:val="20"/>
                    <w:szCs w:val="20"/>
                  </w:rPr>
                  <m:t>Сс1</m:t>
                </m:r>
              </m:e>
              <m:sub>
                <m:r>
                  <m:rPr>
                    <m:sty m:val="p"/>
                  </m:rPr>
                  <w:rPr>
                    <w:rFonts w:ascii="Cambria Math" w:hAnsi="Cambria Math"/>
                    <w:sz w:val="20"/>
                    <w:szCs w:val="20"/>
                    <w:vertAlign w:val="subscript"/>
                  </w:rPr>
                  <m:t>j</m:t>
                </m:r>
              </m:sub>
            </m:sSub>
            <m:sSub>
              <m:sSubPr>
                <m:ctrlPr>
                  <w:rPr>
                    <w:rFonts w:ascii="Cambria Math" w:hAnsi="Cambria Math"/>
                    <w:iCs/>
                    <w:sz w:val="20"/>
                    <w:szCs w:val="20"/>
                  </w:rPr>
                </m:ctrlPr>
              </m:sSubPr>
              <m:e>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Сс2</m:t>
                    </m:r>
                  </m:e>
                  <m:sub>
                    <m:r>
                      <m:rPr>
                        <m:sty m:val="p"/>
                      </m:rPr>
                      <w:rPr>
                        <w:rFonts w:ascii="Cambria Math" w:hAnsi="Cambria Math"/>
                        <w:sz w:val="20"/>
                        <w:szCs w:val="20"/>
                        <w:vertAlign w:val="subscript"/>
                      </w:rPr>
                      <m:t>j</m:t>
                    </m:r>
                  </m:sub>
                </m:sSub>
                <m:r>
                  <m:rPr>
                    <m:sty m:val="p"/>
                  </m:rPr>
                  <w:rPr>
                    <w:rFonts w:ascii="Cambria Math" w:hAnsi="Cambria Math"/>
                    <w:sz w:val="20"/>
                    <w:szCs w:val="20"/>
                  </w:rPr>
                  <m:t>+Сс3</m:t>
                </m:r>
              </m:e>
              <m:sub>
                <m:r>
                  <m:rPr>
                    <m:sty m:val="p"/>
                  </m:rPr>
                  <w:rPr>
                    <w:rFonts w:ascii="Cambria Math" w:hAnsi="Cambria Math"/>
                    <w:sz w:val="20"/>
                    <w:szCs w:val="20"/>
                    <w:lang w:val="en-US"/>
                  </w:rPr>
                  <m:t>j</m:t>
                </m:r>
              </m:sub>
            </m:sSub>
          </m:num>
          <m:den>
            <m:sSub>
              <m:sSubPr>
                <m:ctrlPr>
                  <w:rPr>
                    <w:rFonts w:ascii="Cambria Math" w:hAnsi="Cambria Math"/>
                    <w:iCs/>
                    <w:sz w:val="20"/>
                    <w:szCs w:val="20"/>
                  </w:rPr>
                </m:ctrlPr>
              </m:sSubPr>
              <m:e>
                <m:r>
                  <m:rPr>
                    <m:sty m:val="p"/>
                  </m:rPr>
                  <w:rPr>
                    <w:rFonts w:ascii="Cambria Math" w:hAnsi="Cambria Math"/>
                    <w:sz w:val="20"/>
                    <w:szCs w:val="20"/>
                  </w:rPr>
                  <m:t>По1</m:t>
                </m:r>
              </m:e>
              <m:sub>
                <m:r>
                  <m:rPr>
                    <m:sty m:val="p"/>
                  </m:rPr>
                  <w:rPr>
                    <w:rFonts w:ascii="Cambria Math" w:hAnsi="Cambria Math"/>
                    <w:sz w:val="20"/>
                    <w:szCs w:val="20"/>
                    <w:vertAlign w:val="subscript"/>
                  </w:rPr>
                  <m:t>j</m:t>
                </m:r>
              </m:sub>
            </m:sSub>
            <m:sSub>
              <m:sSubPr>
                <m:ctrlPr>
                  <w:rPr>
                    <w:rFonts w:ascii="Cambria Math" w:hAnsi="Cambria Math"/>
                    <w:iCs/>
                    <w:sz w:val="20"/>
                    <w:szCs w:val="20"/>
                  </w:rPr>
                </m:ctrlPr>
              </m:sSubPr>
              <m:e>
                <m:r>
                  <m:rPr>
                    <m:sty m:val="p"/>
                  </m:rPr>
                  <w:rPr>
                    <w:rFonts w:ascii="Cambria Math" w:hAnsi="Cambria Math"/>
                    <w:sz w:val="20"/>
                    <w:szCs w:val="20"/>
                  </w:rPr>
                  <m:t>+По2</m:t>
                </m:r>
              </m:e>
              <m:sub>
                <m:r>
                  <m:rPr>
                    <m:sty m:val="p"/>
                  </m:rPr>
                  <w:rPr>
                    <w:rFonts w:ascii="Cambria Math" w:hAnsi="Cambria Math"/>
                    <w:sz w:val="20"/>
                    <w:szCs w:val="20"/>
                    <w:vertAlign w:val="subscript"/>
                  </w:rPr>
                  <m:t>j</m:t>
                </m:r>
              </m:sub>
            </m:sSub>
            <m:sSub>
              <m:sSubPr>
                <m:ctrlPr>
                  <w:rPr>
                    <w:rFonts w:ascii="Cambria Math" w:hAnsi="Cambria Math"/>
                    <w:iCs/>
                    <w:sz w:val="20"/>
                    <w:szCs w:val="20"/>
                  </w:rPr>
                </m:ctrlPr>
              </m:sSubPr>
              <m:e>
                <m:r>
                  <m:rPr>
                    <m:sty m:val="p"/>
                  </m:rPr>
                  <w:rPr>
                    <w:rFonts w:ascii="Cambria Math" w:hAnsi="Cambria Math"/>
                    <w:sz w:val="20"/>
                    <w:szCs w:val="20"/>
                  </w:rPr>
                  <m:t>+По3</m:t>
                </m:r>
              </m:e>
              <m:sub>
                <m:r>
                  <m:rPr>
                    <m:sty m:val="p"/>
                  </m:rPr>
                  <w:rPr>
                    <w:rFonts w:ascii="Cambria Math" w:hAnsi="Cambria Math"/>
                    <w:sz w:val="20"/>
                    <w:szCs w:val="20"/>
                    <w:vertAlign w:val="subscript"/>
                  </w:rPr>
                  <m:t>j</m:t>
                </m:r>
              </m:sub>
            </m:sSub>
          </m:den>
        </m:f>
      </m:oMath>
      <w:r w:rsidRPr="008B6A75">
        <w:rPr>
          <w:sz w:val="20"/>
          <w:szCs w:val="20"/>
        </w:rPr>
        <w:t>,</w:t>
      </w:r>
    </w:p>
    <w:p w14:paraId="645C148D" w14:textId="77777777" w:rsidR="00387142" w:rsidRPr="008B6A75" w:rsidRDefault="00387142" w:rsidP="00387142">
      <w:pPr>
        <w:widowControl w:val="0"/>
        <w:autoSpaceDE w:val="0"/>
        <w:autoSpaceDN w:val="0"/>
        <w:adjustRightInd w:val="0"/>
        <w:ind w:firstLine="709"/>
        <w:jc w:val="center"/>
        <w:rPr>
          <w:sz w:val="20"/>
          <w:szCs w:val="20"/>
        </w:rPr>
      </w:pPr>
    </w:p>
    <w:p w14:paraId="3B8D643A" w14:textId="2A2FCC1F" w:rsidR="00387142" w:rsidRPr="008B6A75" w:rsidRDefault="00387142" w:rsidP="00387142">
      <w:pPr>
        <w:widowControl w:val="0"/>
        <w:autoSpaceDE w:val="0"/>
        <w:autoSpaceDN w:val="0"/>
        <w:adjustRightInd w:val="0"/>
        <w:ind w:firstLine="709"/>
        <w:jc w:val="both"/>
        <w:rPr>
          <w:sz w:val="20"/>
          <w:szCs w:val="20"/>
        </w:rPr>
      </w:pPr>
      <w:r w:rsidRPr="008B6A75">
        <w:rPr>
          <w:sz w:val="20"/>
          <w:szCs w:val="20"/>
        </w:rPr>
        <w:t>где</w:t>
      </w:r>
      <w:r w:rsidRPr="008B6A75">
        <w:rPr>
          <w:sz w:val="20"/>
          <w:szCs w:val="20"/>
        </w:rPr>
        <w:br/>
        <w:t xml:space="preserve">          </w:t>
      </w:r>
      <m:oMath>
        <m:sSub>
          <m:sSubPr>
            <m:ctrlPr>
              <w:rPr>
                <w:rFonts w:ascii="Cambria Math" w:hAnsi="Cambria Math"/>
                <w:i/>
                <w:iCs/>
                <w:sz w:val="20"/>
                <w:szCs w:val="20"/>
              </w:rPr>
            </m:ctrlPr>
          </m:sSubPr>
          <m:e>
            <m:r>
              <w:rPr>
                <w:rFonts w:ascii="Cambria Math" w:hAnsi="Cambria Math"/>
                <w:sz w:val="20"/>
                <w:szCs w:val="20"/>
              </w:rPr>
              <m:t>Сс</m:t>
            </m:r>
          </m:e>
          <m:sub>
            <m:r>
              <m:rPr>
                <m:sty m:val="p"/>
              </m:rPr>
              <w:rPr>
                <w:rFonts w:ascii="Cambria Math" w:hAnsi="Cambria Math"/>
                <w:sz w:val="20"/>
                <w:szCs w:val="20"/>
              </w:rPr>
              <m:t>1</m:t>
            </m:r>
            <m:r>
              <m:rPr>
                <m:sty m:val="p"/>
              </m:rPr>
              <w:rPr>
                <w:rFonts w:ascii="Cambria Math" w:hAnsi="Cambria Math"/>
                <w:sz w:val="20"/>
                <w:szCs w:val="20"/>
                <w:vertAlign w:val="subscript"/>
              </w:rPr>
              <m:t>j</m:t>
            </m:r>
          </m:sub>
        </m:sSub>
        <m:r>
          <w:rPr>
            <w:rFonts w:ascii="Cambria Math" w:hAnsi="Cambria Math"/>
            <w:sz w:val="20"/>
            <w:szCs w:val="20"/>
          </w:rPr>
          <m:t>-</m:t>
        </m:r>
      </m:oMath>
      <w:r w:rsidRPr="008B6A75">
        <w:rPr>
          <w:sz w:val="20"/>
          <w:szCs w:val="20"/>
        </w:rPr>
        <w:t> – себестоимость выработки тепловой энергии (сумма расходов бюджета поселения</w:t>
      </w:r>
      <w:proofErr w:type="gramStart"/>
      <w:r w:rsidRPr="008B6A75">
        <w:rPr>
          <w:sz w:val="20"/>
          <w:szCs w:val="20"/>
        </w:rPr>
        <w:t>) ,</w:t>
      </w:r>
      <w:proofErr w:type="gramEnd"/>
      <w:r w:rsidRPr="008B6A75">
        <w:rPr>
          <w:sz w:val="20"/>
          <w:szCs w:val="20"/>
        </w:rPr>
        <w:t xml:space="preserve"> подтвержденная Департаментом по тарифам при защите тар</w:t>
      </w:r>
      <w:proofErr w:type="spellStart"/>
      <w:r w:rsidRPr="008B6A75">
        <w:rPr>
          <w:sz w:val="20"/>
          <w:szCs w:val="20"/>
        </w:rPr>
        <w:t>ифа</w:t>
      </w:r>
      <w:proofErr w:type="spellEnd"/>
      <w:r w:rsidRPr="008B6A75">
        <w:rPr>
          <w:sz w:val="20"/>
          <w:szCs w:val="20"/>
        </w:rPr>
        <w:t>;</w:t>
      </w:r>
    </w:p>
    <w:p w14:paraId="3A4ADA57" w14:textId="033B35C0" w:rsidR="00387142" w:rsidRPr="008B6A75" w:rsidRDefault="00387142" w:rsidP="00387142">
      <w:pPr>
        <w:widowControl w:val="0"/>
        <w:autoSpaceDE w:val="0"/>
        <w:autoSpaceDN w:val="0"/>
        <w:adjustRightInd w:val="0"/>
        <w:ind w:firstLine="709"/>
        <w:jc w:val="both"/>
        <w:rPr>
          <w:sz w:val="20"/>
          <w:szCs w:val="20"/>
        </w:rPr>
      </w:pPr>
      <m:oMath>
        <m:sSub>
          <m:sSubPr>
            <m:ctrlPr>
              <w:rPr>
                <w:rFonts w:ascii="Cambria Math" w:hAnsi="Cambria Math"/>
                <w:i/>
                <w:iCs/>
                <w:sz w:val="20"/>
                <w:szCs w:val="20"/>
              </w:rPr>
            </m:ctrlPr>
          </m:sSubPr>
          <m:e>
            <m:r>
              <w:rPr>
                <w:rFonts w:ascii="Cambria Math" w:hAnsi="Cambria Math"/>
                <w:sz w:val="20"/>
                <w:szCs w:val="20"/>
              </w:rPr>
              <m:t>Сс</m:t>
            </m:r>
          </m:e>
          <m:sub>
            <m:r>
              <m:rPr>
                <m:sty m:val="p"/>
              </m:rPr>
              <w:rPr>
                <w:rFonts w:ascii="Cambria Math" w:hAnsi="Cambria Math"/>
                <w:sz w:val="20"/>
                <w:szCs w:val="20"/>
              </w:rPr>
              <m:t>2</m:t>
            </m:r>
            <m:r>
              <m:rPr>
                <m:sty m:val="p"/>
              </m:rPr>
              <w:rPr>
                <w:rFonts w:ascii="Cambria Math" w:hAnsi="Cambria Math"/>
                <w:sz w:val="20"/>
                <w:szCs w:val="20"/>
                <w:vertAlign w:val="subscript"/>
              </w:rPr>
              <m:t>j</m:t>
            </m:r>
          </m:sub>
        </m:sSub>
      </m:oMath>
      <w:r w:rsidRPr="008B6A75">
        <w:rPr>
          <w:sz w:val="20"/>
          <w:szCs w:val="20"/>
        </w:rPr>
        <w:t> – себестоимость выработки тепловой энергии (сумма расходов бюджета поселения), фактически полученная по источникам теплоснабжения, где тариф не утвержден;</w:t>
      </w:r>
    </w:p>
    <w:p w14:paraId="64A70A34" w14:textId="05530E37" w:rsidR="00387142" w:rsidRPr="008B6A75" w:rsidRDefault="00387142" w:rsidP="00387142">
      <w:pPr>
        <w:widowControl w:val="0"/>
        <w:autoSpaceDE w:val="0"/>
        <w:autoSpaceDN w:val="0"/>
        <w:adjustRightInd w:val="0"/>
        <w:ind w:firstLine="709"/>
        <w:jc w:val="both"/>
        <w:rPr>
          <w:sz w:val="20"/>
          <w:szCs w:val="20"/>
        </w:rPr>
      </w:pPr>
      <m:oMath>
        <m:sSub>
          <m:sSubPr>
            <m:ctrlPr>
              <w:rPr>
                <w:rFonts w:ascii="Cambria Math" w:hAnsi="Cambria Math"/>
                <w:i/>
                <w:iCs/>
                <w:sz w:val="20"/>
                <w:szCs w:val="20"/>
              </w:rPr>
            </m:ctrlPr>
          </m:sSubPr>
          <m:e>
            <m:r>
              <w:rPr>
                <w:rFonts w:ascii="Cambria Math" w:hAnsi="Cambria Math"/>
                <w:sz w:val="20"/>
                <w:szCs w:val="20"/>
              </w:rPr>
              <m:t>Сс</m:t>
            </m:r>
          </m:e>
          <m:sub>
            <m:r>
              <m:rPr>
                <m:sty m:val="p"/>
              </m:rPr>
              <w:rPr>
                <w:rFonts w:ascii="Cambria Math" w:hAnsi="Cambria Math"/>
                <w:sz w:val="20"/>
                <w:szCs w:val="20"/>
              </w:rPr>
              <m:t>3</m:t>
            </m:r>
            <m:r>
              <m:rPr>
                <m:sty m:val="p"/>
              </m:rPr>
              <w:rPr>
                <w:rFonts w:ascii="Cambria Math" w:hAnsi="Cambria Math"/>
                <w:sz w:val="20"/>
                <w:szCs w:val="20"/>
                <w:vertAlign w:val="subscript"/>
              </w:rPr>
              <m:t>j</m:t>
            </m:r>
          </m:sub>
        </m:sSub>
      </m:oMath>
      <w:r w:rsidRPr="008B6A75">
        <w:rPr>
          <w:sz w:val="20"/>
          <w:szCs w:val="20"/>
        </w:rPr>
        <w:t> – себестоимость выработки тепловой энергии (сумма расходов бюджета поселения), фактически полученная с использованием электроэнергии;</w:t>
      </w:r>
    </w:p>
    <w:p w14:paraId="773F5B7B" w14:textId="6AE35402" w:rsidR="00387142" w:rsidRPr="008B6A75" w:rsidRDefault="00387142" w:rsidP="00387142">
      <w:pPr>
        <w:widowControl w:val="0"/>
        <w:autoSpaceDE w:val="0"/>
        <w:autoSpaceDN w:val="0"/>
        <w:adjustRightInd w:val="0"/>
        <w:ind w:firstLine="709"/>
        <w:jc w:val="both"/>
        <w:rPr>
          <w:sz w:val="20"/>
          <w:szCs w:val="20"/>
        </w:rPr>
      </w:pPr>
      <m:oMath>
        <m:sSub>
          <m:sSubPr>
            <m:ctrlPr>
              <w:rPr>
                <w:rFonts w:ascii="Cambria Math" w:hAnsi="Cambria Math"/>
                <w:i/>
                <w:iCs/>
                <w:sz w:val="20"/>
                <w:szCs w:val="20"/>
              </w:rPr>
            </m:ctrlPr>
          </m:sSubPr>
          <m:e>
            <m:r>
              <m:rPr>
                <m:sty m:val="p"/>
              </m:rPr>
              <w:rPr>
                <w:rFonts w:ascii="Cambria Math" w:hAnsi="Cambria Math"/>
                <w:sz w:val="20"/>
                <w:szCs w:val="20"/>
              </w:rPr>
              <m:t>По1</m:t>
            </m:r>
          </m:e>
          <m:sub>
            <m:r>
              <m:rPr>
                <m:sty m:val="p"/>
              </m:rPr>
              <w:rPr>
                <w:rFonts w:ascii="Cambria Math" w:hAnsi="Cambria Math"/>
                <w:sz w:val="20"/>
                <w:szCs w:val="20"/>
                <w:vertAlign w:val="subscript"/>
              </w:rPr>
              <m:t>j</m:t>
            </m:r>
          </m:sub>
        </m:sSub>
      </m:oMath>
      <w:r w:rsidRPr="008B6A75">
        <w:rPr>
          <w:sz w:val="20"/>
          <w:szCs w:val="20"/>
        </w:rPr>
        <w:t> – фактический объем полезного отпуска тепловой энергии, подтвержденный Департаментом по тарифам при защите тарифа;</w:t>
      </w:r>
    </w:p>
    <w:p w14:paraId="54A581C8" w14:textId="1DF20451" w:rsidR="00387142" w:rsidRPr="008B6A75" w:rsidRDefault="00387142" w:rsidP="00387142">
      <w:pPr>
        <w:widowControl w:val="0"/>
        <w:autoSpaceDE w:val="0"/>
        <w:autoSpaceDN w:val="0"/>
        <w:adjustRightInd w:val="0"/>
        <w:ind w:firstLine="709"/>
        <w:jc w:val="both"/>
        <w:rPr>
          <w:sz w:val="20"/>
          <w:szCs w:val="20"/>
        </w:rPr>
      </w:pPr>
      <m:oMath>
        <m:sSub>
          <m:sSubPr>
            <m:ctrlPr>
              <w:rPr>
                <w:rFonts w:ascii="Cambria Math" w:hAnsi="Cambria Math"/>
                <w:i/>
                <w:iCs/>
                <w:sz w:val="20"/>
                <w:szCs w:val="20"/>
              </w:rPr>
            </m:ctrlPr>
          </m:sSubPr>
          <m:e>
            <m:r>
              <m:rPr>
                <m:sty m:val="p"/>
              </m:rPr>
              <w:rPr>
                <w:rFonts w:ascii="Cambria Math" w:hAnsi="Cambria Math"/>
                <w:sz w:val="20"/>
                <w:szCs w:val="20"/>
              </w:rPr>
              <m:t>По</m:t>
            </m:r>
            <m:r>
              <w:rPr>
                <w:rFonts w:ascii="Cambria Math" w:hAnsi="Cambria Math"/>
                <w:sz w:val="20"/>
                <w:szCs w:val="20"/>
              </w:rPr>
              <m:t>2</m:t>
            </m:r>
          </m:e>
          <m:sub>
            <m:r>
              <m:rPr>
                <m:sty m:val="p"/>
              </m:rPr>
              <w:rPr>
                <w:rFonts w:ascii="Cambria Math" w:hAnsi="Cambria Math"/>
                <w:sz w:val="20"/>
                <w:szCs w:val="20"/>
                <w:vertAlign w:val="subscript"/>
              </w:rPr>
              <m:t>j</m:t>
            </m:r>
          </m:sub>
        </m:sSub>
      </m:oMath>
      <w:r w:rsidRPr="008B6A75">
        <w:rPr>
          <w:sz w:val="20"/>
          <w:szCs w:val="20"/>
        </w:rPr>
        <w:t> – фактический объем полезного отпуска тепловой энергии, полученный по источн</w:t>
      </w:r>
      <w:proofErr w:type="spellStart"/>
      <w:r w:rsidRPr="008B6A75">
        <w:rPr>
          <w:sz w:val="20"/>
          <w:szCs w:val="20"/>
        </w:rPr>
        <w:t>икам</w:t>
      </w:r>
      <w:proofErr w:type="spellEnd"/>
      <w:r w:rsidRPr="008B6A75">
        <w:rPr>
          <w:sz w:val="20"/>
          <w:szCs w:val="20"/>
        </w:rPr>
        <w:t xml:space="preserve"> теплоснабжения, где тариф не утвержден;</w:t>
      </w:r>
    </w:p>
    <w:p w14:paraId="6C70B87C" w14:textId="1C8115E3" w:rsidR="00387142" w:rsidRPr="008B6A75" w:rsidRDefault="00387142" w:rsidP="00387142">
      <w:pPr>
        <w:widowControl w:val="0"/>
        <w:autoSpaceDE w:val="0"/>
        <w:autoSpaceDN w:val="0"/>
        <w:adjustRightInd w:val="0"/>
        <w:ind w:firstLine="709"/>
        <w:jc w:val="both"/>
        <w:rPr>
          <w:sz w:val="20"/>
          <w:szCs w:val="20"/>
        </w:rPr>
      </w:pPr>
      <m:oMath>
        <m:sSub>
          <m:sSubPr>
            <m:ctrlPr>
              <w:rPr>
                <w:rFonts w:ascii="Cambria Math" w:hAnsi="Cambria Math"/>
                <w:i/>
                <w:iCs/>
                <w:sz w:val="20"/>
                <w:szCs w:val="20"/>
              </w:rPr>
            </m:ctrlPr>
          </m:sSubPr>
          <m:e>
            <m:r>
              <m:rPr>
                <m:sty m:val="p"/>
              </m:rPr>
              <w:rPr>
                <w:rFonts w:ascii="Cambria Math" w:hAnsi="Cambria Math"/>
                <w:sz w:val="20"/>
                <w:szCs w:val="20"/>
              </w:rPr>
              <m:t>По</m:t>
            </m:r>
            <m:r>
              <w:rPr>
                <w:rFonts w:ascii="Cambria Math" w:hAnsi="Cambria Math"/>
                <w:sz w:val="20"/>
                <w:szCs w:val="20"/>
              </w:rPr>
              <m:t>3</m:t>
            </m:r>
          </m:e>
          <m:sub>
            <m:r>
              <m:rPr>
                <m:sty m:val="p"/>
              </m:rPr>
              <w:rPr>
                <w:rFonts w:ascii="Cambria Math" w:hAnsi="Cambria Math"/>
                <w:sz w:val="20"/>
                <w:szCs w:val="20"/>
                <w:vertAlign w:val="subscript"/>
              </w:rPr>
              <m:t>j</m:t>
            </m:r>
          </m:sub>
        </m:sSub>
      </m:oMath>
      <w:r w:rsidRPr="008B6A75">
        <w:rPr>
          <w:sz w:val="20"/>
          <w:szCs w:val="20"/>
        </w:rPr>
        <w:t xml:space="preserve"> – фактический объем полезного отпуска тепловой энергии, полученный с использованием </w:t>
      </w:r>
      <w:r w:rsidRPr="008B6A75">
        <w:rPr>
          <w:sz w:val="20"/>
          <w:szCs w:val="20"/>
        </w:rPr>
        <w:lastRenderedPageBreak/>
        <w:t>электроэнергии.</w:t>
      </w:r>
    </w:p>
    <w:p w14:paraId="3B625D4A" w14:textId="4213403D" w:rsidR="00387142" w:rsidRPr="008B6A75" w:rsidRDefault="00387142" w:rsidP="00387142">
      <w:pPr>
        <w:widowControl w:val="0"/>
        <w:autoSpaceDE w:val="0"/>
        <w:autoSpaceDN w:val="0"/>
        <w:adjustRightInd w:val="0"/>
        <w:ind w:firstLine="709"/>
        <w:jc w:val="both"/>
        <w:rPr>
          <w:sz w:val="20"/>
          <w:szCs w:val="20"/>
        </w:rPr>
      </w:pPr>
      <w:r w:rsidRPr="008B6A75">
        <w:rPr>
          <w:sz w:val="20"/>
          <w:szCs w:val="20"/>
        </w:rPr>
        <w:t xml:space="preserve">В случае, если тариф на тепловую энергию установлен Департаментом по </w:t>
      </w:r>
      <w:proofErr w:type="gramStart"/>
      <w:r w:rsidRPr="008B6A75">
        <w:rPr>
          <w:sz w:val="20"/>
          <w:szCs w:val="20"/>
        </w:rPr>
        <w:t xml:space="preserve">тарифам, </w:t>
      </w:r>
      <m:oMath>
        <m:sSub>
          <m:sSubPr>
            <m:ctrlPr>
              <w:rPr>
                <w:rFonts w:ascii="Cambria Math" w:hAnsi="Cambria Math"/>
                <w:sz w:val="20"/>
                <w:szCs w:val="20"/>
              </w:rPr>
            </m:ctrlPr>
          </m:sSubPr>
          <m:e>
            <m:r>
              <m:rPr>
                <m:sty m:val="p"/>
              </m:rPr>
              <w:rPr>
                <w:rFonts w:ascii="Cambria Math" w:hAnsi="Cambria Math"/>
                <w:sz w:val="20"/>
                <w:szCs w:val="20"/>
              </w:rPr>
              <m:t>Т</m:t>
            </m:r>
            <m:r>
              <m:rPr>
                <m:sty m:val="p"/>
              </m:rPr>
              <w:rPr>
                <w:rFonts w:ascii="Cambria Math" w:hAnsi="Cambria Math"/>
                <w:sz w:val="20"/>
                <w:szCs w:val="20"/>
                <w:vertAlign w:val="superscript"/>
              </w:rPr>
              <m:t>гкал</m:t>
            </m:r>
          </m:e>
          <m:sub>
            <m:r>
              <m:rPr>
                <m:sty m:val="p"/>
              </m:rPr>
              <w:rPr>
                <w:rFonts w:ascii="Cambria Math" w:hAnsi="Cambria Math"/>
                <w:sz w:val="20"/>
                <w:szCs w:val="20"/>
                <w:vertAlign w:val="subscript"/>
              </w:rPr>
              <m:t>j</m:t>
            </m:r>
          </m:sub>
        </m:sSub>
      </m:oMath>
      <w:r w:rsidRPr="008B6A75">
        <w:rPr>
          <w:sz w:val="20"/>
          <w:szCs w:val="20"/>
        </w:rPr>
        <w:t xml:space="preserve"> берется</w:t>
      </w:r>
      <w:proofErr w:type="gramEnd"/>
      <w:r w:rsidRPr="008B6A75">
        <w:rPr>
          <w:sz w:val="20"/>
          <w:szCs w:val="20"/>
        </w:rPr>
        <w:t xml:space="preserve"> равным утвержденному тарифу. Для расчета стоимости выработки одной </w:t>
      </w:r>
      <w:proofErr w:type="spellStart"/>
      <w:r w:rsidRPr="008B6A75">
        <w:rPr>
          <w:sz w:val="20"/>
          <w:szCs w:val="20"/>
        </w:rPr>
        <w:t>гигакалории</w:t>
      </w:r>
      <w:proofErr w:type="spellEnd"/>
      <w:r w:rsidRPr="008B6A75">
        <w:rPr>
          <w:sz w:val="20"/>
          <w:szCs w:val="20"/>
        </w:rPr>
        <w:t xml:space="preserve"> тепловой энергии в среднем по поселениям Куйбышевского района (</w:t>
      </w:r>
      <m:oMath>
        <m:r>
          <m:rPr>
            <m:sty m:val="p"/>
          </m:rPr>
          <w:rPr>
            <w:rFonts w:ascii="Cambria Math" w:hAnsi="Cambria Math"/>
            <w:sz w:val="20"/>
            <w:szCs w:val="20"/>
          </w:rPr>
          <m:t>Т</m:t>
        </m:r>
        <m:r>
          <m:rPr>
            <m:sty m:val="p"/>
          </m:rPr>
          <w:rPr>
            <w:rFonts w:ascii="Cambria Math" w:hAnsi="Cambria Math"/>
            <w:sz w:val="20"/>
            <w:szCs w:val="20"/>
            <w:vertAlign w:val="superscript"/>
          </w:rPr>
          <m:t>гкал</m:t>
        </m:r>
      </m:oMath>
      <w:r w:rsidRPr="008B6A75">
        <w:rPr>
          <w:sz w:val="20"/>
          <w:szCs w:val="20"/>
        </w:rPr>
        <w:t>) берутся значения вышеуказанных показателей, подтвержденные Департаментом по тарифам при защите тарифа.</w:t>
      </w:r>
    </w:p>
    <w:p w14:paraId="47A1BD9E" w14:textId="77777777" w:rsidR="00387142" w:rsidRPr="008B6A75" w:rsidRDefault="00387142" w:rsidP="00387142">
      <w:pPr>
        <w:widowControl w:val="0"/>
        <w:autoSpaceDE w:val="0"/>
        <w:autoSpaceDN w:val="0"/>
        <w:adjustRightInd w:val="0"/>
        <w:ind w:firstLine="709"/>
        <w:jc w:val="both"/>
        <w:rPr>
          <w:sz w:val="20"/>
          <w:szCs w:val="20"/>
        </w:rPr>
      </w:pPr>
      <w:r w:rsidRPr="008B6A75">
        <w:rPr>
          <w:sz w:val="20"/>
          <w:szCs w:val="20"/>
        </w:rPr>
        <w:t xml:space="preserve">В случае, если в поселении не установлен тариф на тепловую энергию Департаментом по тарифам (отсутствует </w:t>
      </w:r>
      <w:proofErr w:type="spellStart"/>
      <w:r w:rsidRPr="008B6A75">
        <w:rPr>
          <w:sz w:val="20"/>
          <w:szCs w:val="20"/>
        </w:rPr>
        <w:t>энергоснабжающая</w:t>
      </w:r>
      <w:proofErr w:type="spellEnd"/>
      <w:r w:rsidRPr="008B6A75">
        <w:rPr>
          <w:sz w:val="20"/>
          <w:szCs w:val="20"/>
        </w:rPr>
        <w:t xml:space="preserve"> организация), берется фактическая себестоимость выработки тепловой энергии и фактический объем полезного отпуска тепловой энергии по источникам теплоснабжения, которые обслуживают учреждения.</w:t>
      </w:r>
    </w:p>
    <w:p w14:paraId="22F43928" w14:textId="77777777" w:rsidR="00387142" w:rsidRPr="008B6A75" w:rsidRDefault="00387142" w:rsidP="00387142">
      <w:pPr>
        <w:widowControl w:val="0"/>
        <w:autoSpaceDE w:val="0"/>
        <w:autoSpaceDN w:val="0"/>
        <w:adjustRightInd w:val="0"/>
        <w:ind w:firstLine="709"/>
        <w:jc w:val="both"/>
        <w:rPr>
          <w:sz w:val="20"/>
          <w:szCs w:val="20"/>
        </w:rPr>
      </w:pPr>
      <w:r w:rsidRPr="008B6A75">
        <w:rPr>
          <w:sz w:val="20"/>
          <w:szCs w:val="20"/>
        </w:rPr>
        <w:t xml:space="preserve">В случае, если в поселении отсутствует теплоснабжающая организация и отопление учреждений осуществляется за счет электроэнергии, то берется фактическая себестоимость выработки тепловой энергии и фактический объем полезного отпуска тепловой энергии по источнику электроэнергии. При этом киловатты нужно перевести в </w:t>
      </w:r>
      <w:proofErr w:type="spellStart"/>
      <w:r w:rsidRPr="008B6A75">
        <w:rPr>
          <w:sz w:val="20"/>
          <w:szCs w:val="20"/>
        </w:rPr>
        <w:t>гигакалории</w:t>
      </w:r>
      <w:proofErr w:type="spellEnd"/>
      <w:r w:rsidRPr="008B6A75">
        <w:rPr>
          <w:sz w:val="20"/>
          <w:szCs w:val="20"/>
        </w:rPr>
        <w:t>».</w:t>
      </w:r>
    </w:p>
    <w:p w14:paraId="0E417672" w14:textId="77777777" w:rsidR="00387142" w:rsidRPr="008B6A75" w:rsidRDefault="00387142" w:rsidP="00372B96">
      <w:pPr>
        <w:widowControl w:val="0"/>
        <w:numPr>
          <w:ilvl w:val="0"/>
          <w:numId w:val="27"/>
        </w:numPr>
        <w:autoSpaceDE w:val="0"/>
        <w:autoSpaceDN w:val="0"/>
        <w:adjustRightInd w:val="0"/>
        <w:ind w:left="0" w:firstLine="709"/>
        <w:jc w:val="both"/>
        <w:rPr>
          <w:sz w:val="20"/>
          <w:szCs w:val="20"/>
        </w:rPr>
      </w:pPr>
      <w:r w:rsidRPr="008B6A75">
        <w:rPr>
          <w:sz w:val="20"/>
          <w:szCs w:val="20"/>
        </w:rPr>
        <w:t>Утвердить Приложение 1 к Порядку «Показатели, используемые при расчете размера дотации на выравнивание бюджетной обеспеченности поселений» в прилагаемой редакции.</w:t>
      </w:r>
    </w:p>
    <w:p w14:paraId="0069AEC3" w14:textId="77777777" w:rsidR="00387142" w:rsidRPr="008B6A75" w:rsidRDefault="00387142" w:rsidP="00372B96">
      <w:pPr>
        <w:numPr>
          <w:ilvl w:val="0"/>
          <w:numId w:val="27"/>
        </w:numPr>
        <w:ind w:left="0" w:firstLine="709"/>
        <w:jc w:val="both"/>
        <w:outlineLvl w:val="0"/>
        <w:rPr>
          <w:sz w:val="20"/>
          <w:szCs w:val="20"/>
        </w:rPr>
      </w:pPr>
      <w:r w:rsidRPr="008B6A75">
        <w:rPr>
          <w:sz w:val="20"/>
          <w:szCs w:val="20"/>
        </w:rPr>
        <w:t>Решение вступает в силу со дня официального опубликования в периодическом печатном издании органов местного самоуправления Куйбышевского муниципального района Новосибирской области «Информационный вестник».</w:t>
      </w:r>
    </w:p>
    <w:p w14:paraId="71621CEB" w14:textId="77777777" w:rsidR="00387142" w:rsidRPr="008B6A75" w:rsidRDefault="00387142" w:rsidP="00387142">
      <w:pPr>
        <w:rPr>
          <w:sz w:val="20"/>
          <w:szCs w:val="20"/>
        </w:rPr>
      </w:pPr>
    </w:p>
    <w:p w14:paraId="5BFC5869" w14:textId="77777777" w:rsidR="00387142" w:rsidRPr="008B6A75" w:rsidRDefault="00387142" w:rsidP="00387142">
      <w:pPr>
        <w:rPr>
          <w:sz w:val="20"/>
          <w:szCs w:val="20"/>
        </w:rPr>
      </w:pPr>
      <w:r w:rsidRPr="008B6A75">
        <w:rPr>
          <w:sz w:val="20"/>
          <w:szCs w:val="20"/>
        </w:rPr>
        <w:t>Председатель Совета депутатов Куйбышевского</w:t>
      </w:r>
    </w:p>
    <w:p w14:paraId="7AD891BA" w14:textId="77777777" w:rsidR="00387142" w:rsidRPr="008B6A75" w:rsidRDefault="00387142" w:rsidP="00387142">
      <w:pPr>
        <w:rPr>
          <w:sz w:val="20"/>
          <w:szCs w:val="20"/>
        </w:rPr>
      </w:pPr>
      <w:r w:rsidRPr="008B6A75">
        <w:rPr>
          <w:sz w:val="20"/>
          <w:szCs w:val="20"/>
        </w:rPr>
        <w:t xml:space="preserve"> муниципального района Новосибирской области                                                                                      Р.В. </w:t>
      </w:r>
      <w:proofErr w:type="spellStart"/>
      <w:r w:rsidRPr="008B6A75">
        <w:rPr>
          <w:sz w:val="20"/>
          <w:szCs w:val="20"/>
        </w:rPr>
        <w:t>Булюктов</w:t>
      </w:r>
      <w:proofErr w:type="spellEnd"/>
      <w:r w:rsidRPr="008B6A75">
        <w:rPr>
          <w:sz w:val="20"/>
          <w:szCs w:val="20"/>
        </w:rPr>
        <w:t xml:space="preserve">                                                                </w:t>
      </w:r>
    </w:p>
    <w:p w14:paraId="615B87C0" w14:textId="77777777" w:rsidR="00387142" w:rsidRPr="008B6A75" w:rsidRDefault="00387142" w:rsidP="00387142">
      <w:pPr>
        <w:rPr>
          <w:sz w:val="20"/>
          <w:szCs w:val="20"/>
        </w:rPr>
      </w:pPr>
    </w:p>
    <w:p w14:paraId="0F73C245" w14:textId="77777777" w:rsidR="00387142" w:rsidRPr="008B6A75" w:rsidRDefault="00387142" w:rsidP="00387142">
      <w:pPr>
        <w:rPr>
          <w:sz w:val="20"/>
          <w:szCs w:val="20"/>
        </w:rPr>
      </w:pPr>
      <w:r w:rsidRPr="008B6A75">
        <w:rPr>
          <w:sz w:val="20"/>
          <w:szCs w:val="20"/>
        </w:rPr>
        <w:t xml:space="preserve">Глава Куйбышевского муниципального района    </w:t>
      </w:r>
    </w:p>
    <w:p w14:paraId="66F08BA9" w14:textId="77777777" w:rsidR="00387142" w:rsidRPr="008B6A75" w:rsidRDefault="00387142" w:rsidP="00387142">
      <w:pPr>
        <w:rPr>
          <w:sz w:val="20"/>
          <w:szCs w:val="20"/>
        </w:rPr>
      </w:pPr>
      <w:r w:rsidRPr="008B6A75">
        <w:rPr>
          <w:sz w:val="20"/>
          <w:szCs w:val="20"/>
        </w:rPr>
        <w:t>Новосибирской области                                                                                                                                    О.В. Караваев</w:t>
      </w:r>
    </w:p>
    <w:p w14:paraId="352AADE2" w14:textId="77777777" w:rsidR="00387142" w:rsidRPr="008B6A75" w:rsidRDefault="00387142" w:rsidP="00387142">
      <w:pPr>
        <w:rPr>
          <w:sz w:val="20"/>
          <w:szCs w:val="20"/>
        </w:rPr>
      </w:pPr>
    </w:p>
    <w:p w14:paraId="415D88A0" w14:textId="77777777" w:rsidR="00387142" w:rsidRPr="008B6A75" w:rsidRDefault="00387142" w:rsidP="00387142">
      <w:pPr>
        <w:rPr>
          <w:sz w:val="20"/>
          <w:szCs w:val="20"/>
        </w:rPr>
      </w:pPr>
    </w:p>
    <w:p w14:paraId="3C4F2D94" w14:textId="77777777" w:rsidR="00387142" w:rsidRPr="008B6A75" w:rsidRDefault="00387142" w:rsidP="00387142">
      <w:pPr>
        <w:jc w:val="right"/>
        <w:rPr>
          <w:sz w:val="20"/>
          <w:szCs w:val="20"/>
        </w:rPr>
      </w:pPr>
      <w:r w:rsidRPr="008B6A75">
        <w:rPr>
          <w:sz w:val="20"/>
          <w:szCs w:val="20"/>
        </w:rPr>
        <w:t xml:space="preserve">                         Приложение 1</w:t>
      </w:r>
    </w:p>
    <w:p w14:paraId="44945D3C" w14:textId="77777777" w:rsidR="00387142" w:rsidRPr="008B6A75" w:rsidRDefault="00387142" w:rsidP="00387142">
      <w:pPr>
        <w:ind w:firstLine="720"/>
        <w:jc w:val="right"/>
        <w:rPr>
          <w:sz w:val="20"/>
          <w:szCs w:val="20"/>
        </w:rPr>
      </w:pPr>
      <w:r w:rsidRPr="008B6A75">
        <w:rPr>
          <w:sz w:val="20"/>
          <w:szCs w:val="20"/>
        </w:rPr>
        <w:t xml:space="preserve">к Порядку расчета и предоставления </w:t>
      </w:r>
    </w:p>
    <w:p w14:paraId="0AC991CE" w14:textId="77777777" w:rsidR="00387142" w:rsidRPr="008B6A75" w:rsidRDefault="00387142" w:rsidP="00387142">
      <w:pPr>
        <w:ind w:firstLine="720"/>
        <w:jc w:val="right"/>
        <w:rPr>
          <w:sz w:val="20"/>
          <w:szCs w:val="20"/>
        </w:rPr>
      </w:pPr>
      <w:r w:rsidRPr="008B6A75">
        <w:rPr>
          <w:sz w:val="20"/>
          <w:szCs w:val="20"/>
        </w:rPr>
        <w:t xml:space="preserve">дотаций бюджетам поселений Куйбышевского района </w:t>
      </w:r>
    </w:p>
    <w:p w14:paraId="71EB387E" w14:textId="77777777" w:rsidR="00387142" w:rsidRPr="008B6A75" w:rsidRDefault="00387142" w:rsidP="00387142">
      <w:pPr>
        <w:ind w:firstLine="720"/>
        <w:jc w:val="right"/>
        <w:rPr>
          <w:sz w:val="20"/>
          <w:szCs w:val="20"/>
        </w:rPr>
      </w:pPr>
      <w:r w:rsidRPr="008B6A75">
        <w:rPr>
          <w:sz w:val="20"/>
          <w:szCs w:val="20"/>
        </w:rPr>
        <w:t>на выравнивание бюджетной обеспеченности</w:t>
      </w:r>
    </w:p>
    <w:p w14:paraId="67E31D80" w14:textId="77777777" w:rsidR="00387142" w:rsidRPr="008B6A75" w:rsidRDefault="00387142" w:rsidP="00387142">
      <w:pPr>
        <w:jc w:val="right"/>
        <w:rPr>
          <w:sz w:val="20"/>
          <w:szCs w:val="20"/>
        </w:rPr>
      </w:pPr>
    </w:p>
    <w:p w14:paraId="0EEFAEB7" w14:textId="77777777" w:rsidR="00387142" w:rsidRPr="008B6A75" w:rsidRDefault="00387142" w:rsidP="00387142">
      <w:pPr>
        <w:jc w:val="center"/>
        <w:rPr>
          <w:sz w:val="20"/>
          <w:szCs w:val="20"/>
        </w:rPr>
      </w:pPr>
      <w:r w:rsidRPr="008B6A75">
        <w:rPr>
          <w:sz w:val="20"/>
          <w:szCs w:val="20"/>
        </w:rPr>
        <w:t>Показатели, используемые при расчете размера дотации на выравнивание бюджетной обеспеченности поселений</w:t>
      </w:r>
    </w:p>
    <w:p w14:paraId="1C0E5596" w14:textId="77777777" w:rsidR="00387142" w:rsidRPr="008B6A75" w:rsidRDefault="00387142" w:rsidP="00387142">
      <w:pPr>
        <w:jc w:val="center"/>
        <w:rPr>
          <w:sz w:val="20"/>
          <w:szCs w:val="20"/>
        </w:rPr>
      </w:pPr>
    </w:p>
    <w:tbl>
      <w:tblPr>
        <w:tblW w:w="9351" w:type="dxa"/>
        <w:tblLayout w:type="fixed"/>
        <w:tblLook w:val="04A0" w:firstRow="1" w:lastRow="0" w:firstColumn="1" w:lastColumn="0" w:noHBand="0" w:noVBand="1"/>
      </w:tblPr>
      <w:tblGrid>
        <w:gridCol w:w="560"/>
        <w:gridCol w:w="3164"/>
        <w:gridCol w:w="1187"/>
        <w:gridCol w:w="1321"/>
        <w:gridCol w:w="3119"/>
      </w:tblGrid>
      <w:tr w:rsidR="00387142" w:rsidRPr="008B6A75" w14:paraId="1548264B" w14:textId="77777777" w:rsidTr="00387142">
        <w:trPr>
          <w:trHeight w:val="630"/>
          <w:tblHeader/>
        </w:trPr>
        <w:tc>
          <w:tcPr>
            <w:tcW w:w="5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CF60A52" w14:textId="77777777" w:rsidR="00387142" w:rsidRPr="008B6A75" w:rsidRDefault="00387142" w:rsidP="00387142">
            <w:pPr>
              <w:jc w:val="center"/>
              <w:rPr>
                <w:bCs/>
                <w:color w:val="000000"/>
                <w:sz w:val="20"/>
                <w:szCs w:val="20"/>
              </w:rPr>
            </w:pPr>
            <w:r w:rsidRPr="008B6A75">
              <w:rPr>
                <w:bCs/>
                <w:color w:val="000000"/>
                <w:sz w:val="20"/>
                <w:szCs w:val="20"/>
              </w:rPr>
              <w:t>№</w:t>
            </w:r>
            <w:r w:rsidRPr="008B6A75">
              <w:rPr>
                <w:bCs/>
                <w:color w:val="000000"/>
                <w:sz w:val="20"/>
                <w:szCs w:val="20"/>
              </w:rPr>
              <w:br/>
              <w:t>п/п</w:t>
            </w:r>
          </w:p>
        </w:tc>
        <w:tc>
          <w:tcPr>
            <w:tcW w:w="316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5F6D9C9" w14:textId="77777777" w:rsidR="00387142" w:rsidRPr="008B6A75" w:rsidRDefault="00387142" w:rsidP="00387142">
            <w:pPr>
              <w:jc w:val="center"/>
              <w:rPr>
                <w:bCs/>
                <w:color w:val="000000"/>
                <w:sz w:val="20"/>
                <w:szCs w:val="20"/>
              </w:rPr>
            </w:pPr>
            <w:r w:rsidRPr="008B6A75">
              <w:rPr>
                <w:bCs/>
                <w:color w:val="000000"/>
                <w:sz w:val="20"/>
                <w:szCs w:val="20"/>
              </w:rPr>
              <w:t>Показатель</w:t>
            </w:r>
          </w:p>
        </w:tc>
        <w:tc>
          <w:tcPr>
            <w:tcW w:w="118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A0DC05F" w14:textId="77777777" w:rsidR="00387142" w:rsidRPr="008B6A75" w:rsidRDefault="00387142" w:rsidP="00387142">
            <w:pPr>
              <w:jc w:val="center"/>
              <w:rPr>
                <w:bCs/>
                <w:color w:val="000000"/>
                <w:sz w:val="20"/>
                <w:szCs w:val="20"/>
              </w:rPr>
            </w:pPr>
            <w:r w:rsidRPr="008B6A75">
              <w:rPr>
                <w:bCs/>
                <w:color w:val="000000"/>
                <w:sz w:val="20"/>
                <w:szCs w:val="20"/>
              </w:rPr>
              <w:t xml:space="preserve">Единица </w:t>
            </w:r>
            <w:proofErr w:type="spellStart"/>
            <w:proofErr w:type="gramStart"/>
            <w:r w:rsidRPr="008B6A75">
              <w:rPr>
                <w:bCs/>
                <w:color w:val="000000"/>
                <w:sz w:val="20"/>
                <w:szCs w:val="20"/>
              </w:rPr>
              <w:t>измере-ния</w:t>
            </w:r>
            <w:proofErr w:type="spellEnd"/>
            <w:proofErr w:type="gramEnd"/>
          </w:p>
        </w:tc>
        <w:tc>
          <w:tcPr>
            <w:tcW w:w="4440" w:type="dxa"/>
            <w:gridSpan w:val="2"/>
            <w:tcBorders>
              <w:top w:val="single" w:sz="4" w:space="0" w:color="auto"/>
              <w:left w:val="nil"/>
              <w:bottom w:val="single" w:sz="4" w:space="0" w:color="auto"/>
              <w:right w:val="single" w:sz="4" w:space="0" w:color="auto"/>
            </w:tcBorders>
            <w:shd w:val="clear" w:color="auto" w:fill="auto"/>
            <w:vAlign w:val="center"/>
            <w:hideMark/>
          </w:tcPr>
          <w:p w14:paraId="5C99D9DF" w14:textId="77777777" w:rsidR="00387142" w:rsidRPr="008B6A75" w:rsidRDefault="00387142" w:rsidP="00387142">
            <w:pPr>
              <w:jc w:val="center"/>
              <w:rPr>
                <w:bCs/>
                <w:color w:val="000000"/>
                <w:sz w:val="20"/>
                <w:szCs w:val="20"/>
              </w:rPr>
            </w:pPr>
            <w:r w:rsidRPr="008B6A75">
              <w:rPr>
                <w:bCs/>
                <w:color w:val="000000"/>
                <w:sz w:val="20"/>
                <w:szCs w:val="20"/>
              </w:rPr>
              <w:t>Источник информации</w:t>
            </w:r>
          </w:p>
        </w:tc>
      </w:tr>
      <w:tr w:rsidR="00387142" w:rsidRPr="008B6A75" w14:paraId="4A95482D" w14:textId="77777777" w:rsidTr="00387142">
        <w:trPr>
          <w:trHeight w:val="315"/>
          <w:tblHeader/>
        </w:trPr>
        <w:tc>
          <w:tcPr>
            <w:tcW w:w="560" w:type="dxa"/>
            <w:vMerge/>
            <w:tcBorders>
              <w:top w:val="single" w:sz="4" w:space="0" w:color="auto"/>
              <w:left w:val="single" w:sz="4" w:space="0" w:color="auto"/>
              <w:bottom w:val="single" w:sz="4" w:space="0" w:color="000000"/>
              <w:right w:val="single" w:sz="4" w:space="0" w:color="auto"/>
            </w:tcBorders>
            <w:vAlign w:val="center"/>
            <w:hideMark/>
          </w:tcPr>
          <w:p w14:paraId="0BF1BC67" w14:textId="77777777" w:rsidR="00387142" w:rsidRPr="008B6A75" w:rsidRDefault="00387142" w:rsidP="00387142">
            <w:pPr>
              <w:rPr>
                <w:bCs/>
                <w:color w:val="000000"/>
                <w:sz w:val="20"/>
                <w:szCs w:val="20"/>
              </w:rPr>
            </w:pPr>
          </w:p>
        </w:tc>
        <w:tc>
          <w:tcPr>
            <w:tcW w:w="3164" w:type="dxa"/>
            <w:vMerge/>
            <w:tcBorders>
              <w:top w:val="single" w:sz="4" w:space="0" w:color="auto"/>
              <w:left w:val="single" w:sz="4" w:space="0" w:color="auto"/>
              <w:bottom w:val="single" w:sz="4" w:space="0" w:color="000000"/>
              <w:right w:val="single" w:sz="4" w:space="0" w:color="auto"/>
            </w:tcBorders>
            <w:vAlign w:val="center"/>
            <w:hideMark/>
          </w:tcPr>
          <w:p w14:paraId="53D574E3" w14:textId="77777777" w:rsidR="00387142" w:rsidRPr="008B6A75" w:rsidRDefault="00387142" w:rsidP="00387142">
            <w:pPr>
              <w:rPr>
                <w:bCs/>
                <w:color w:val="000000"/>
                <w:sz w:val="20"/>
                <w:szCs w:val="20"/>
              </w:rPr>
            </w:pPr>
          </w:p>
        </w:tc>
        <w:tc>
          <w:tcPr>
            <w:tcW w:w="1187" w:type="dxa"/>
            <w:vMerge/>
            <w:tcBorders>
              <w:top w:val="single" w:sz="4" w:space="0" w:color="auto"/>
              <w:left w:val="single" w:sz="4" w:space="0" w:color="auto"/>
              <w:bottom w:val="single" w:sz="4" w:space="0" w:color="000000"/>
              <w:right w:val="single" w:sz="4" w:space="0" w:color="auto"/>
            </w:tcBorders>
            <w:vAlign w:val="center"/>
            <w:hideMark/>
          </w:tcPr>
          <w:p w14:paraId="3EF20E84" w14:textId="77777777" w:rsidR="00387142" w:rsidRPr="008B6A75" w:rsidRDefault="00387142" w:rsidP="00387142">
            <w:pPr>
              <w:rPr>
                <w:bCs/>
                <w:color w:val="000000"/>
                <w:sz w:val="20"/>
                <w:szCs w:val="20"/>
              </w:rPr>
            </w:pPr>
          </w:p>
        </w:tc>
        <w:tc>
          <w:tcPr>
            <w:tcW w:w="1321" w:type="dxa"/>
            <w:tcBorders>
              <w:top w:val="nil"/>
              <w:left w:val="nil"/>
              <w:bottom w:val="single" w:sz="4" w:space="0" w:color="auto"/>
              <w:right w:val="single" w:sz="4" w:space="0" w:color="auto"/>
            </w:tcBorders>
            <w:shd w:val="clear" w:color="auto" w:fill="auto"/>
            <w:vAlign w:val="center"/>
            <w:hideMark/>
          </w:tcPr>
          <w:p w14:paraId="6723C6ED" w14:textId="77777777" w:rsidR="00387142" w:rsidRPr="008B6A75" w:rsidRDefault="00387142" w:rsidP="00387142">
            <w:pPr>
              <w:jc w:val="center"/>
              <w:rPr>
                <w:bCs/>
                <w:color w:val="000000"/>
                <w:sz w:val="20"/>
                <w:szCs w:val="20"/>
              </w:rPr>
            </w:pPr>
            <w:r w:rsidRPr="008B6A75">
              <w:rPr>
                <w:bCs/>
                <w:color w:val="000000"/>
                <w:sz w:val="20"/>
                <w:szCs w:val="20"/>
              </w:rPr>
              <w:t>Орган</w:t>
            </w:r>
          </w:p>
        </w:tc>
        <w:tc>
          <w:tcPr>
            <w:tcW w:w="3119" w:type="dxa"/>
            <w:tcBorders>
              <w:top w:val="nil"/>
              <w:left w:val="nil"/>
              <w:bottom w:val="single" w:sz="4" w:space="0" w:color="auto"/>
              <w:right w:val="single" w:sz="4" w:space="0" w:color="auto"/>
            </w:tcBorders>
            <w:shd w:val="clear" w:color="auto" w:fill="auto"/>
            <w:vAlign w:val="center"/>
            <w:hideMark/>
          </w:tcPr>
          <w:p w14:paraId="62935E4B" w14:textId="77777777" w:rsidR="00387142" w:rsidRPr="008B6A75" w:rsidRDefault="00387142" w:rsidP="00387142">
            <w:pPr>
              <w:jc w:val="center"/>
              <w:rPr>
                <w:bCs/>
                <w:color w:val="000000"/>
                <w:sz w:val="20"/>
                <w:szCs w:val="20"/>
              </w:rPr>
            </w:pPr>
            <w:r w:rsidRPr="008B6A75">
              <w:rPr>
                <w:bCs/>
                <w:color w:val="000000"/>
                <w:sz w:val="20"/>
                <w:szCs w:val="20"/>
              </w:rPr>
              <w:t>Вид документа</w:t>
            </w:r>
          </w:p>
        </w:tc>
      </w:tr>
      <w:tr w:rsidR="00387142" w:rsidRPr="008B6A75" w14:paraId="2274F641" w14:textId="77777777" w:rsidTr="00387142">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5BFEB386" w14:textId="77777777" w:rsidR="00387142" w:rsidRPr="008B6A75" w:rsidRDefault="00387142" w:rsidP="00387142">
            <w:pPr>
              <w:jc w:val="center"/>
              <w:rPr>
                <w:color w:val="000000"/>
                <w:sz w:val="20"/>
                <w:szCs w:val="20"/>
              </w:rPr>
            </w:pPr>
            <w:r w:rsidRPr="008B6A75">
              <w:rPr>
                <w:color w:val="000000"/>
                <w:sz w:val="20"/>
                <w:szCs w:val="20"/>
              </w:rPr>
              <w:t>1</w:t>
            </w:r>
          </w:p>
        </w:tc>
        <w:tc>
          <w:tcPr>
            <w:tcW w:w="3164" w:type="dxa"/>
            <w:tcBorders>
              <w:top w:val="nil"/>
              <w:left w:val="nil"/>
              <w:bottom w:val="single" w:sz="4" w:space="0" w:color="auto"/>
              <w:right w:val="single" w:sz="4" w:space="0" w:color="auto"/>
            </w:tcBorders>
            <w:shd w:val="clear" w:color="auto" w:fill="auto"/>
            <w:vAlign w:val="center"/>
            <w:hideMark/>
          </w:tcPr>
          <w:p w14:paraId="5539F8F7" w14:textId="77777777" w:rsidR="00387142" w:rsidRPr="008B6A75" w:rsidRDefault="00387142" w:rsidP="00387142">
            <w:pPr>
              <w:rPr>
                <w:color w:val="000000"/>
                <w:sz w:val="20"/>
                <w:szCs w:val="20"/>
              </w:rPr>
            </w:pPr>
            <w:r w:rsidRPr="008B6A75">
              <w:rPr>
                <w:color w:val="000000"/>
                <w:sz w:val="20"/>
                <w:szCs w:val="20"/>
              </w:rPr>
              <w:t>Численность жителей поселений на начало текущего года</w:t>
            </w:r>
          </w:p>
        </w:tc>
        <w:tc>
          <w:tcPr>
            <w:tcW w:w="1187" w:type="dxa"/>
            <w:tcBorders>
              <w:top w:val="nil"/>
              <w:left w:val="nil"/>
              <w:bottom w:val="single" w:sz="4" w:space="0" w:color="auto"/>
              <w:right w:val="single" w:sz="4" w:space="0" w:color="auto"/>
            </w:tcBorders>
            <w:shd w:val="clear" w:color="auto" w:fill="auto"/>
            <w:vAlign w:val="center"/>
            <w:hideMark/>
          </w:tcPr>
          <w:p w14:paraId="2C10FB0A" w14:textId="77777777" w:rsidR="00387142" w:rsidRPr="008B6A75" w:rsidRDefault="00387142" w:rsidP="00387142">
            <w:pPr>
              <w:jc w:val="center"/>
              <w:rPr>
                <w:color w:val="000000"/>
                <w:sz w:val="20"/>
                <w:szCs w:val="20"/>
              </w:rPr>
            </w:pPr>
            <w:r w:rsidRPr="008B6A75">
              <w:rPr>
                <w:color w:val="000000"/>
                <w:sz w:val="20"/>
                <w:szCs w:val="20"/>
              </w:rPr>
              <w:t>чел</w:t>
            </w:r>
          </w:p>
        </w:tc>
        <w:tc>
          <w:tcPr>
            <w:tcW w:w="1321" w:type="dxa"/>
            <w:tcBorders>
              <w:top w:val="nil"/>
              <w:left w:val="nil"/>
              <w:bottom w:val="single" w:sz="4" w:space="0" w:color="auto"/>
              <w:right w:val="single" w:sz="4" w:space="0" w:color="auto"/>
            </w:tcBorders>
            <w:shd w:val="clear" w:color="auto" w:fill="auto"/>
            <w:vAlign w:val="center"/>
            <w:hideMark/>
          </w:tcPr>
          <w:p w14:paraId="227B8A46" w14:textId="77777777" w:rsidR="00387142" w:rsidRPr="008B6A75" w:rsidRDefault="00387142" w:rsidP="00387142">
            <w:pPr>
              <w:jc w:val="center"/>
              <w:rPr>
                <w:color w:val="000000"/>
                <w:sz w:val="20"/>
                <w:szCs w:val="20"/>
              </w:rPr>
            </w:pPr>
            <w:proofErr w:type="spellStart"/>
            <w:r w:rsidRPr="008B6A75">
              <w:rPr>
                <w:color w:val="000000"/>
                <w:sz w:val="20"/>
                <w:szCs w:val="20"/>
              </w:rPr>
              <w:t>Новоси-бирскстат</w:t>
            </w:r>
            <w:proofErr w:type="spellEnd"/>
          </w:p>
        </w:tc>
        <w:tc>
          <w:tcPr>
            <w:tcW w:w="3119" w:type="dxa"/>
            <w:tcBorders>
              <w:top w:val="nil"/>
              <w:left w:val="nil"/>
              <w:bottom w:val="single" w:sz="4" w:space="0" w:color="auto"/>
              <w:right w:val="single" w:sz="4" w:space="0" w:color="auto"/>
            </w:tcBorders>
            <w:shd w:val="clear" w:color="auto" w:fill="auto"/>
            <w:noWrap/>
            <w:vAlign w:val="center"/>
            <w:hideMark/>
          </w:tcPr>
          <w:p w14:paraId="78745886" w14:textId="77777777" w:rsidR="00387142" w:rsidRPr="008B6A75" w:rsidRDefault="00387142" w:rsidP="00387142">
            <w:pPr>
              <w:jc w:val="center"/>
              <w:rPr>
                <w:color w:val="000000"/>
                <w:sz w:val="20"/>
                <w:szCs w:val="20"/>
              </w:rPr>
            </w:pPr>
            <w:proofErr w:type="spellStart"/>
            <w:r w:rsidRPr="008B6A75">
              <w:rPr>
                <w:color w:val="000000"/>
                <w:sz w:val="20"/>
                <w:szCs w:val="20"/>
              </w:rPr>
              <w:t>Статсборники</w:t>
            </w:r>
            <w:proofErr w:type="spellEnd"/>
          </w:p>
        </w:tc>
      </w:tr>
      <w:tr w:rsidR="00387142" w:rsidRPr="008B6A75" w14:paraId="030E7E95" w14:textId="77777777" w:rsidTr="00387142">
        <w:trPr>
          <w:trHeight w:val="189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7C17F2E7" w14:textId="77777777" w:rsidR="00387142" w:rsidRPr="008B6A75" w:rsidRDefault="00387142" w:rsidP="00387142">
            <w:pPr>
              <w:jc w:val="center"/>
              <w:rPr>
                <w:color w:val="000000"/>
                <w:sz w:val="20"/>
                <w:szCs w:val="20"/>
              </w:rPr>
            </w:pPr>
            <w:r w:rsidRPr="008B6A75">
              <w:rPr>
                <w:color w:val="000000"/>
                <w:sz w:val="20"/>
                <w:szCs w:val="20"/>
              </w:rPr>
              <w:t>2</w:t>
            </w:r>
          </w:p>
        </w:tc>
        <w:tc>
          <w:tcPr>
            <w:tcW w:w="3164" w:type="dxa"/>
            <w:tcBorders>
              <w:top w:val="nil"/>
              <w:left w:val="nil"/>
              <w:bottom w:val="single" w:sz="4" w:space="0" w:color="auto"/>
              <w:right w:val="single" w:sz="4" w:space="0" w:color="auto"/>
            </w:tcBorders>
            <w:shd w:val="clear" w:color="auto" w:fill="auto"/>
            <w:vAlign w:val="center"/>
            <w:hideMark/>
          </w:tcPr>
          <w:p w14:paraId="3DCE7936" w14:textId="77777777" w:rsidR="00387142" w:rsidRPr="008B6A75" w:rsidRDefault="00387142" w:rsidP="00387142">
            <w:pPr>
              <w:rPr>
                <w:color w:val="000000"/>
                <w:sz w:val="20"/>
                <w:szCs w:val="20"/>
              </w:rPr>
            </w:pPr>
            <w:r w:rsidRPr="008B6A75">
              <w:rPr>
                <w:color w:val="000000"/>
                <w:sz w:val="20"/>
                <w:szCs w:val="20"/>
              </w:rPr>
              <w:t xml:space="preserve">Налоговая база по поселениям в разрезе </w:t>
            </w:r>
            <w:proofErr w:type="gramStart"/>
            <w:r w:rsidRPr="008B6A75">
              <w:rPr>
                <w:color w:val="000000"/>
                <w:sz w:val="20"/>
                <w:szCs w:val="20"/>
              </w:rPr>
              <w:t>налогов:</w:t>
            </w:r>
            <w:r w:rsidRPr="008B6A75">
              <w:rPr>
                <w:color w:val="000000"/>
                <w:sz w:val="20"/>
                <w:szCs w:val="20"/>
              </w:rPr>
              <w:br/>
              <w:t>-</w:t>
            </w:r>
            <w:proofErr w:type="gramEnd"/>
            <w:r w:rsidRPr="008B6A75">
              <w:rPr>
                <w:color w:val="000000"/>
                <w:sz w:val="20"/>
                <w:szCs w:val="20"/>
              </w:rPr>
              <w:t xml:space="preserve"> НДФЛ;</w:t>
            </w:r>
            <w:r w:rsidRPr="008B6A75">
              <w:rPr>
                <w:color w:val="000000"/>
                <w:sz w:val="20"/>
                <w:szCs w:val="20"/>
              </w:rPr>
              <w:br/>
              <w:t>- земельный налог;</w:t>
            </w:r>
            <w:r w:rsidRPr="008B6A75">
              <w:rPr>
                <w:color w:val="000000"/>
                <w:sz w:val="20"/>
                <w:szCs w:val="20"/>
              </w:rPr>
              <w:br/>
              <w:t>- налог на имущество ФЛ;</w:t>
            </w:r>
            <w:r w:rsidRPr="008B6A75">
              <w:rPr>
                <w:color w:val="000000"/>
                <w:sz w:val="20"/>
                <w:szCs w:val="20"/>
              </w:rPr>
              <w:br/>
              <w:t>- ЕСН</w:t>
            </w:r>
          </w:p>
        </w:tc>
        <w:tc>
          <w:tcPr>
            <w:tcW w:w="1187" w:type="dxa"/>
            <w:tcBorders>
              <w:top w:val="nil"/>
              <w:left w:val="nil"/>
              <w:bottom w:val="single" w:sz="4" w:space="0" w:color="auto"/>
              <w:right w:val="single" w:sz="4" w:space="0" w:color="auto"/>
            </w:tcBorders>
            <w:shd w:val="clear" w:color="auto" w:fill="auto"/>
            <w:vAlign w:val="center"/>
            <w:hideMark/>
          </w:tcPr>
          <w:p w14:paraId="350CD8AC" w14:textId="77777777" w:rsidR="00387142" w:rsidRPr="008B6A75" w:rsidRDefault="00387142" w:rsidP="00387142">
            <w:pPr>
              <w:jc w:val="center"/>
              <w:rPr>
                <w:color w:val="000000"/>
                <w:sz w:val="20"/>
                <w:szCs w:val="20"/>
              </w:rPr>
            </w:pPr>
            <w:r w:rsidRPr="008B6A75">
              <w:rPr>
                <w:color w:val="000000"/>
                <w:sz w:val="20"/>
                <w:szCs w:val="20"/>
              </w:rPr>
              <w:t>рублей</w:t>
            </w:r>
          </w:p>
        </w:tc>
        <w:tc>
          <w:tcPr>
            <w:tcW w:w="1321" w:type="dxa"/>
            <w:tcBorders>
              <w:top w:val="nil"/>
              <w:left w:val="nil"/>
              <w:bottom w:val="single" w:sz="4" w:space="0" w:color="auto"/>
              <w:right w:val="single" w:sz="4" w:space="0" w:color="auto"/>
            </w:tcBorders>
            <w:shd w:val="clear" w:color="auto" w:fill="auto"/>
            <w:vAlign w:val="center"/>
            <w:hideMark/>
          </w:tcPr>
          <w:p w14:paraId="48E0FFF9" w14:textId="77777777" w:rsidR="00387142" w:rsidRPr="008B6A75" w:rsidRDefault="00387142" w:rsidP="00387142">
            <w:pPr>
              <w:jc w:val="center"/>
              <w:rPr>
                <w:color w:val="000000"/>
                <w:sz w:val="20"/>
                <w:szCs w:val="20"/>
              </w:rPr>
            </w:pPr>
            <w:r w:rsidRPr="008B6A75">
              <w:rPr>
                <w:color w:val="000000"/>
                <w:sz w:val="20"/>
                <w:szCs w:val="20"/>
              </w:rPr>
              <w:t>УФНС</w:t>
            </w:r>
          </w:p>
        </w:tc>
        <w:tc>
          <w:tcPr>
            <w:tcW w:w="3119" w:type="dxa"/>
            <w:tcBorders>
              <w:top w:val="nil"/>
              <w:left w:val="nil"/>
              <w:bottom w:val="single" w:sz="4" w:space="0" w:color="auto"/>
              <w:right w:val="single" w:sz="4" w:space="0" w:color="auto"/>
            </w:tcBorders>
            <w:shd w:val="clear" w:color="auto" w:fill="auto"/>
            <w:vAlign w:val="center"/>
            <w:hideMark/>
          </w:tcPr>
          <w:p w14:paraId="7AC8C3DA" w14:textId="77777777" w:rsidR="00387142" w:rsidRPr="008B6A75" w:rsidRDefault="00387142" w:rsidP="00387142">
            <w:pPr>
              <w:jc w:val="center"/>
              <w:rPr>
                <w:color w:val="000000"/>
                <w:sz w:val="20"/>
                <w:szCs w:val="20"/>
              </w:rPr>
            </w:pPr>
            <w:r w:rsidRPr="008B6A75">
              <w:rPr>
                <w:color w:val="000000"/>
                <w:sz w:val="20"/>
                <w:szCs w:val="20"/>
              </w:rPr>
              <w:t>Отчеты о налоговой базе и структуре начислений по налогам по формам статистической налоговой отчетности</w:t>
            </w:r>
            <w:r w:rsidRPr="008B6A75">
              <w:rPr>
                <w:color w:val="000000"/>
                <w:sz w:val="20"/>
                <w:szCs w:val="20"/>
              </w:rPr>
              <w:br/>
              <w:t xml:space="preserve"> № 5 </w:t>
            </w:r>
          </w:p>
        </w:tc>
      </w:tr>
      <w:tr w:rsidR="00387142" w:rsidRPr="008B6A75" w14:paraId="38908A94" w14:textId="77777777" w:rsidTr="00387142">
        <w:trPr>
          <w:trHeight w:val="120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5E1ABB52" w14:textId="77777777" w:rsidR="00387142" w:rsidRPr="008B6A75" w:rsidRDefault="00387142" w:rsidP="00387142">
            <w:pPr>
              <w:jc w:val="center"/>
              <w:rPr>
                <w:color w:val="000000"/>
                <w:sz w:val="20"/>
                <w:szCs w:val="20"/>
              </w:rPr>
            </w:pPr>
            <w:r w:rsidRPr="008B6A75">
              <w:rPr>
                <w:color w:val="000000"/>
                <w:sz w:val="20"/>
                <w:szCs w:val="20"/>
              </w:rPr>
              <w:t>3</w:t>
            </w:r>
          </w:p>
        </w:tc>
        <w:tc>
          <w:tcPr>
            <w:tcW w:w="3164" w:type="dxa"/>
            <w:tcBorders>
              <w:top w:val="nil"/>
              <w:left w:val="nil"/>
              <w:bottom w:val="single" w:sz="4" w:space="0" w:color="auto"/>
              <w:right w:val="single" w:sz="4" w:space="0" w:color="auto"/>
            </w:tcBorders>
            <w:shd w:val="clear" w:color="auto" w:fill="auto"/>
            <w:vAlign w:val="center"/>
            <w:hideMark/>
          </w:tcPr>
          <w:p w14:paraId="4291248A" w14:textId="77777777" w:rsidR="00387142" w:rsidRPr="008B6A75" w:rsidRDefault="00387142" w:rsidP="00387142">
            <w:pPr>
              <w:rPr>
                <w:color w:val="000000"/>
                <w:sz w:val="20"/>
                <w:szCs w:val="20"/>
              </w:rPr>
            </w:pPr>
            <w:r w:rsidRPr="008B6A75">
              <w:rPr>
                <w:color w:val="000000"/>
                <w:sz w:val="20"/>
                <w:szCs w:val="20"/>
              </w:rPr>
              <w:t>Индексы- дефляторы, индексы роста</w:t>
            </w:r>
          </w:p>
        </w:tc>
        <w:tc>
          <w:tcPr>
            <w:tcW w:w="1187" w:type="dxa"/>
            <w:tcBorders>
              <w:top w:val="nil"/>
              <w:left w:val="nil"/>
              <w:bottom w:val="single" w:sz="4" w:space="0" w:color="auto"/>
              <w:right w:val="single" w:sz="4" w:space="0" w:color="auto"/>
            </w:tcBorders>
            <w:shd w:val="clear" w:color="auto" w:fill="auto"/>
            <w:vAlign w:val="center"/>
            <w:hideMark/>
          </w:tcPr>
          <w:p w14:paraId="55339441" w14:textId="77777777" w:rsidR="00387142" w:rsidRPr="008B6A75" w:rsidRDefault="00387142" w:rsidP="00387142">
            <w:pPr>
              <w:jc w:val="center"/>
              <w:rPr>
                <w:color w:val="000000"/>
                <w:sz w:val="20"/>
                <w:szCs w:val="20"/>
              </w:rPr>
            </w:pPr>
            <w:r w:rsidRPr="008B6A75">
              <w:rPr>
                <w:color w:val="000000"/>
                <w:sz w:val="20"/>
                <w:szCs w:val="20"/>
              </w:rPr>
              <w:t>%</w:t>
            </w:r>
          </w:p>
        </w:tc>
        <w:tc>
          <w:tcPr>
            <w:tcW w:w="1321" w:type="dxa"/>
            <w:tcBorders>
              <w:top w:val="nil"/>
              <w:left w:val="nil"/>
              <w:bottom w:val="single" w:sz="4" w:space="0" w:color="auto"/>
              <w:right w:val="single" w:sz="4" w:space="0" w:color="auto"/>
            </w:tcBorders>
            <w:shd w:val="clear" w:color="auto" w:fill="auto"/>
            <w:vAlign w:val="center"/>
            <w:hideMark/>
          </w:tcPr>
          <w:p w14:paraId="36CB5E73" w14:textId="77777777" w:rsidR="00387142" w:rsidRPr="008B6A75" w:rsidRDefault="00387142" w:rsidP="00387142">
            <w:pPr>
              <w:jc w:val="center"/>
              <w:rPr>
                <w:color w:val="000000"/>
                <w:sz w:val="20"/>
                <w:szCs w:val="20"/>
              </w:rPr>
            </w:pPr>
            <w:r w:rsidRPr="008B6A75">
              <w:rPr>
                <w:color w:val="000000"/>
                <w:sz w:val="20"/>
                <w:szCs w:val="20"/>
              </w:rPr>
              <w:t xml:space="preserve"> СЭР       </w:t>
            </w:r>
          </w:p>
        </w:tc>
        <w:tc>
          <w:tcPr>
            <w:tcW w:w="3119" w:type="dxa"/>
            <w:tcBorders>
              <w:top w:val="nil"/>
              <w:left w:val="nil"/>
              <w:bottom w:val="single" w:sz="4" w:space="0" w:color="auto"/>
              <w:right w:val="single" w:sz="4" w:space="0" w:color="auto"/>
            </w:tcBorders>
            <w:shd w:val="clear" w:color="auto" w:fill="auto"/>
            <w:vAlign w:val="center"/>
            <w:hideMark/>
          </w:tcPr>
          <w:p w14:paraId="32F33DA4" w14:textId="77777777" w:rsidR="00387142" w:rsidRPr="008B6A75" w:rsidRDefault="00387142" w:rsidP="00387142">
            <w:pPr>
              <w:jc w:val="center"/>
              <w:rPr>
                <w:color w:val="000000"/>
                <w:sz w:val="20"/>
                <w:szCs w:val="20"/>
              </w:rPr>
            </w:pPr>
            <w:r w:rsidRPr="008B6A75">
              <w:rPr>
                <w:color w:val="000000"/>
                <w:sz w:val="20"/>
                <w:szCs w:val="20"/>
              </w:rPr>
              <w:t>Распоряжение администрации "О прогнозе социально-экономического развития на очередной год и плановый период"</w:t>
            </w:r>
          </w:p>
        </w:tc>
      </w:tr>
      <w:tr w:rsidR="00387142" w:rsidRPr="008B6A75" w14:paraId="1EF1104B" w14:textId="77777777" w:rsidTr="00387142">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1C212CFB" w14:textId="77777777" w:rsidR="00387142" w:rsidRPr="008B6A75" w:rsidRDefault="00387142" w:rsidP="00387142">
            <w:pPr>
              <w:jc w:val="center"/>
              <w:rPr>
                <w:color w:val="000000"/>
                <w:sz w:val="20"/>
                <w:szCs w:val="20"/>
              </w:rPr>
            </w:pPr>
            <w:r w:rsidRPr="008B6A75">
              <w:rPr>
                <w:color w:val="000000"/>
                <w:sz w:val="20"/>
                <w:szCs w:val="20"/>
              </w:rPr>
              <w:t>4</w:t>
            </w:r>
          </w:p>
        </w:tc>
        <w:tc>
          <w:tcPr>
            <w:tcW w:w="3164" w:type="dxa"/>
            <w:tcBorders>
              <w:top w:val="nil"/>
              <w:left w:val="nil"/>
              <w:bottom w:val="single" w:sz="4" w:space="0" w:color="auto"/>
              <w:right w:val="single" w:sz="4" w:space="0" w:color="auto"/>
            </w:tcBorders>
            <w:shd w:val="clear" w:color="auto" w:fill="auto"/>
            <w:vAlign w:val="center"/>
            <w:hideMark/>
          </w:tcPr>
          <w:p w14:paraId="3FC74B29" w14:textId="77777777" w:rsidR="00387142" w:rsidRPr="008B6A75" w:rsidRDefault="00387142" w:rsidP="00387142">
            <w:pPr>
              <w:rPr>
                <w:color w:val="000000"/>
                <w:sz w:val="20"/>
                <w:szCs w:val="20"/>
              </w:rPr>
            </w:pPr>
            <w:r w:rsidRPr="008B6A75">
              <w:rPr>
                <w:color w:val="000000"/>
                <w:sz w:val="20"/>
                <w:szCs w:val="20"/>
              </w:rPr>
              <w:t>Тариф на холодную воду по поселениям</w:t>
            </w:r>
          </w:p>
        </w:tc>
        <w:tc>
          <w:tcPr>
            <w:tcW w:w="1187" w:type="dxa"/>
            <w:tcBorders>
              <w:top w:val="nil"/>
              <w:left w:val="nil"/>
              <w:bottom w:val="single" w:sz="4" w:space="0" w:color="auto"/>
              <w:right w:val="single" w:sz="4" w:space="0" w:color="auto"/>
            </w:tcBorders>
            <w:shd w:val="clear" w:color="auto" w:fill="auto"/>
            <w:noWrap/>
            <w:vAlign w:val="center"/>
            <w:hideMark/>
          </w:tcPr>
          <w:p w14:paraId="5B9B43A7" w14:textId="77777777" w:rsidR="00387142" w:rsidRPr="008B6A75" w:rsidRDefault="00387142" w:rsidP="00387142">
            <w:pPr>
              <w:jc w:val="center"/>
              <w:rPr>
                <w:color w:val="000000"/>
                <w:sz w:val="20"/>
                <w:szCs w:val="20"/>
              </w:rPr>
            </w:pPr>
            <w:r w:rsidRPr="008B6A75">
              <w:rPr>
                <w:color w:val="000000"/>
                <w:sz w:val="20"/>
                <w:szCs w:val="20"/>
              </w:rPr>
              <w:t>руб./м3</w:t>
            </w:r>
          </w:p>
        </w:tc>
        <w:tc>
          <w:tcPr>
            <w:tcW w:w="1321" w:type="dxa"/>
            <w:tcBorders>
              <w:top w:val="nil"/>
              <w:left w:val="nil"/>
              <w:bottom w:val="single" w:sz="4" w:space="0" w:color="auto"/>
              <w:right w:val="single" w:sz="4" w:space="0" w:color="auto"/>
            </w:tcBorders>
            <w:shd w:val="clear" w:color="auto" w:fill="auto"/>
            <w:vAlign w:val="center"/>
            <w:hideMark/>
          </w:tcPr>
          <w:p w14:paraId="6E7F3CC0" w14:textId="77777777" w:rsidR="00387142" w:rsidRPr="008B6A75" w:rsidRDefault="00387142" w:rsidP="00387142">
            <w:pPr>
              <w:jc w:val="center"/>
              <w:rPr>
                <w:color w:val="000000"/>
                <w:sz w:val="20"/>
                <w:szCs w:val="20"/>
              </w:rPr>
            </w:pPr>
            <w:proofErr w:type="spellStart"/>
            <w:proofErr w:type="gramStart"/>
            <w:r w:rsidRPr="008B6A75">
              <w:rPr>
                <w:color w:val="000000"/>
                <w:sz w:val="20"/>
                <w:szCs w:val="20"/>
              </w:rPr>
              <w:t>Департа</w:t>
            </w:r>
            <w:proofErr w:type="spellEnd"/>
            <w:r w:rsidRPr="008B6A75">
              <w:rPr>
                <w:color w:val="000000"/>
                <w:sz w:val="20"/>
                <w:szCs w:val="20"/>
              </w:rPr>
              <w:t>-мент</w:t>
            </w:r>
            <w:proofErr w:type="gramEnd"/>
            <w:r w:rsidRPr="008B6A75">
              <w:rPr>
                <w:color w:val="000000"/>
                <w:sz w:val="20"/>
                <w:szCs w:val="20"/>
              </w:rPr>
              <w:t xml:space="preserve"> по тарифам</w:t>
            </w:r>
          </w:p>
        </w:tc>
        <w:tc>
          <w:tcPr>
            <w:tcW w:w="3119" w:type="dxa"/>
            <w:vMerge w:val="restart"/>
            <w:tcBorders>
              <w:top w:val="nil"/>
              <w:left w:val="single" w:sz="4" w:space="0" w:color="auto"/>
              <w:bottom w:val="single" w:sz="4" w:space="0" w:color="auto"/>
              <w:right w:val="single" w:sz="4" w:space="0" w:color="auto"/>
            </w:tcBorders>
            <w:shd w:val="clear" w:color="auto" w:fill="auto"/>
            <w:vAlign w:val="center"/>
            <w:hideMark/>
          </w:tcPr>
          <w:p w14:paraId="224A7ED9" w14:textId="77777777" w:rsidR="00387142" w:rsidRPr="008B6A75" w:rsidRDefault="00387142" w:rsidP="00387142">
            <w:pPr>
              <w:jc w:val="center"/>
              <w:rPr>
                <w:color w:val="000000"/>
                <w:sz w:val="20"/>
                <w:szCs w:val="20"/>
              </w:rPr>
            </w:pPr>
            <w:r w:rsidRPr="008B6A75">
              <w:rPr>
                <w:color w:val="000000"/>
                <w:sz w:val="20"/>
                <w:szCs w:val="20"/>
              </w:rPr>
              <w:t>Приказы "Об установлении тарифов в сфере водоснабжения и водоотведения" по организациям, в отношении которых департамент по тарифам Новосибирской области осуществляет регулирование в данной сфере</w:t>
            </w:r>
          </w:p>
        </w:tc>
      </w:tr>
      <w:tr w:rsidR="00387142" w:rsidRPr="008B6A75" w14:paraId="767B3307" w14:textId="77777777" w:rsidTr="00387142">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210ACF56" w14:textId="77777777" w:rsidR="00387142" w:rsidRPr="008B6A75" w:rsidRDefault="00387142" w:rsidP="00387142">
            <w:pPr>
              <w:jc w:val="center"/>
              <w:rPr>
                <w:color w:val="000000"/>
                <w:sz w:val="20"/>
                <w:szCs w:val="20"/>
              </w:rPr>
            </w:pPr>
            <w:r w:rsidRPr="008B6A75">
              <w:rPr>
                <w:color w:val="000000"/>
                <w:sz w:val="20"/>
                <w:szCs w:val="20"/>
              </w:rPr>
              <w:t>5</w:t>
            </w:r>
          </w:p>
        </w:tc>
        <w:tc>
          <w:tcPr>
            <w:tcW w:w="3164" w:type="dxa"/>
            <w:tcBorders>
              <w:top w:val="nil"/>
              <w:left w:val="nil"/>
              <w:bottom w:val="single" w:sz="4" w:space="0" w:color="auto"/>
              <w:right w:val="single" w:sz="4" w:space="0" w:color="auto"/>
            </w:tcBorders>
            <w:shd w:val="clear" w:color="auto" w:fill="auto"/>
            <w:vAlign w:val="center"/>
            <w:hideMark/>
          </w:tcPr>
          <w:p w14:paraId="36C0D1A9" w14:textId="77777777" w:rsidR="00387142" w:rsidRPr="008B6A75" w:rsidRDefault="00387142" w:rsidP="00387142">
            <w:pPr>
              <w:rPr>
                <w:color w:val="000000"/>
                <w:sz w:val="20"/>
                <w:szCs w:val="20"/>
              </w:rPr>
            </w:pPr>
            <w:r w:rsidRPr="008B6A75">
              <w:rPr>
                <w:color w:val="000000"/>
                <w:sz w:val="20"/>
                <w:szCs w:val="20"/>
              </w:rPr>
              <w:t>Тариф на горячую воду по поселениям</w:t>
            </w:r>
          </w:p>
        </w:tc>
        <w:tc>
          <w:tcPr>
            <w:tcW w:w="1187" w:type="dxa"/>
            <w:tcBorders>
              <w:top w:val="nil"/>
              <w:left w:val="nil"/>
              <w:bottom w:val="single" w:sz="4" w:space="0" w:color="auto"/>
              <w:right w:val="single" w:sz="4" w:space="0" w:color="auto"/>
            </w:tcBorders>
            <w:shd w:val="clear" w:color="auto" w:fill="auto"/>
            <w:noWrap/>
            <w:vAlign w:val="center"/>
            <w:hideMark/>
          </w:tcPr>
          <w:p w14:paraId="1E381BCF" w14:textId="77777777" w:rsidR="00387142" w:rsidRPr="008B6A75" w:rsidRDefault="00387142" w:rsidP="00387142">
            <w:pPr>
              <w:jc w:val="center"/>
              <w:rPr>
                <w:color w:val="000000"/>
                <w:sz w:val="20"/>
                <w:szCs w:val="20"/>
              </w:rPr>
            </w:pPr>
            <w:r w:rsidRPr="008B6A75">
              <w:rPr>
                <w:color w:val="000000"/>
                <w:sz w:val="20"/>
                <w:szCs w:val="20"/>
              </w:rPr>
              <w:t>руб./м3</w:t>
            </w:r>
          </w:p>
        </w:tc>
        <w:tc>
          <w:tcPr>
            <w:tcW w:w="1321" w:type="dxa"/>
            <w:tcBorders>
              <w:top w:val="nil"/>
              <w:left w:val="nil"/>
              <w:bottom w:val="single" w:sz="4" w:space="0" w:color="auto"/>
              <w:right w:val="single" w:sz="4" w:space="0" w:color="auto"/>
            </w:tcBorders>
            <w:shd w:val="clear" w:color="auto" w:fill="auto"/>
            <w:vAlign w:val="center"/>
            <w:hideMark/>
          </w:tcPr>
          <w:p w14:paraId="698F9EC0" w14:textId="77777777" w:rsidR="00387142" w:rsidRPr="008B6A75" w:rsidRDefault="00387142" w:rsidP="00387142">
            <w:pPr>
              <w:jc w:val="center"/>
              <w:rPr>
                <w:color w:val="000000"/>
                <w:sz w:val="20"/>
                <w:szCs w:val="20"/>
              </w:rPr>
            </w:pPr>
            <w:proofErr w:type="spellStart"/>
            <w:proofErr w:type="gramStart"/>
            <w:r w:rsidRPr="008B6A75">
              <w:rPr>
                <w:color w:val="000000"/>
                <w:sz w:val="20"/>
                <w:szCs w:val="20"/>
              </w:rPr>
              <w:t>Департа</w:t>
            </w:r>
            <w:proofErr w:type="spellEnd"/>
            <w:r w:rsidRPr="008B6A75">
              <w:rPr>
                <w:color w:val="000000"/>
                <w:sz w:val="20"/>
                <w:szCs w:val="20"/>
              </w:rPr>
              <w:t>-мент</w:t>
            </w:r>
            <w:proofErr w:type="gramEnd"/>
            <w:r w:rsidRPr="008B6A75">
              <w:rPr>
                <w:color w:val="000000"/>
                <w:sz w:val="20"/>
                <w:szCs w:val="20"/>
              </w:rPr>
              <w:t xml:space="preserve"> по тарифам</w:t>
            </w:r>
          </w:p>
        </w:tc>
        <w:tc>
          <w:tcPr>
            <w:tcW w:w="3119" w:type="dxa"/>
            <w:vMerge/>
            <w:tcBorders>
              <w:top w:val="nil"/>
              <w:left w:val="single" w:sz="4" w:space="0" w:color="auto"/>
              <w:bottom w:val="single" w:sz="4" w:space="0" w:color="auto"/>
              <w:right w:val="single" w:sz="4" w:space="0" w:color="auto"/>
            </w:tcBorders>
            <w:vAlign w:val="center"/>
            <w:hideMark/>
          </w:tcPr>
          <w:p w14:paraId="45CA21B0" w14:textId="77777777" w:rsidR="00387142" w:rsidRPr="008B6A75" w:rsidRDefault="00387142" w:rsidP="00387142">
            <w:pPr>
              <w:rPr>
                <w:color w:val="000000"/>
                <w:sz w:val="20"/>
                <w:szCs w:val="20"/>
              </w:rPr>
            </w:pPr>
          </w:p>
        </w:tc>
      </w:tr>
      <w:tr w:rsidR="00387142" w:rsidRPr="008B6A75" w14:paraId="5CFEDA28" w14:textId="77777777" w:rsidTr="00387142">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6F61886E" w14:textId="77777777" w:rsidR="00387142" w:rsidRPr="008B6A75" w:rsidRDefault="00387142" w:rsidP="00387142">
            <w:pPr>
              <w:jc w:val="center"/>
              <w:rPr>
                <w:color w:val="000000"/>
                <w:sz w:val="20"/>
                <w:szCs w:val="20"/>
              </w:rPr>
            </w:pPr>
            <w:r w:rsidRPr="008B6A75">
              <w:rPr>
                <w:color w:val="000000"/>
                <w:sz w:val="20"/>
                <w:szCs w:val="20"/>
              </w:rPr>
              <w:t>6</w:t>
            </w:r>
          </w:p>
        </w:tc>
        <w:tc>
          <w:tcPr>
            <w:tcW w:w="3164" w:type="dxa"/>
            <w:tcBorders>
              <w:top w:val="nil"/>
              <w:left w:val="nil"/>
              <w:bottom w:val="single" w:sz="4" w:space="0" w:color="auto"/>
              <w:right w:val="single" w:sz="4" w:space="0" w:color="auto"/>
            </w:tcBorders>
            <w:shd w:val="clear" w:color="auto" w:fill="auto"/>
            <w:vAlign w:val="center"/>
            <w:hideMark/>
          </w:tcPr>
          <w:p w14:paraId="0BBBCB97" w14:textId="77777777" w:rsidR="00387142" w:rsidRPr="008B6A75" w:rsidRDefault="00387142" w:rsidP="00387142">
            <w:pPr>
              <w:rPr>
                <w:color w:val="000000"/>
                <w:sz w:val="20"/>
                <w:szCs w:val="20"/>
              </w:rPr>
            </w:pPr>
            <w:r w:rsidRPr="008B6A75">
              <w:rPr>
                <w:color w:val="000000"/>
                <w:sz w:val="20"/>
                <w:szCs w:val="20"/>
              </w:rPr>
              <w:t>Тариф на водоотведение по поселениям</w:t>
            </w:r>
          </w:p>
        </w:tc>
        <w:tc>
          <w:tcPr>
            <w:tcW w:w="1187" w:type="dxa"/>
            <w:tcBorders>
              <w:top w:val="nil"/>
              <w:left w:val="nil"/>
              <w:bottom w:val="single" w:sz="4" w:space="0" w:color="auto"/>
              <w:right w:val="single" w:sz="4" w:space="0" w:color="auto"/>
            </w:tcBorders>
            <w:shd w:val="clear" w:color="auto" w:fill="auto"/>
            <w:noWrap/>
            <w:vAlign w:val="center"/>
            <w:hideMark/>
          </w:tcPr>
          <w:p w14:paraId="3E7E1B6D" w14:textId="77777777" w:rsidR="00387142" w:rsidRPr="008B6A75" w:rsidRDefault="00387142" w:rsidP="00387142">
            <w:pPr>
              <w:jc w:val="center"/>
              <w:rPr>
                <w:color w:val="000000"/>
                <w:sz w:val="20"/>
                <w:szCs w:val="20"/>
              </w:rPr>
            </w:pPr>
            <w:r w:rsidRPr="008B6A75">
              <w:rPr>
                <w:color w:val="000000"/>
                <w:sz w:val="20"/>
                <w:szCs w:val="20"/>
              </w:rPr>
              <w:t>руб./м3</w:t>
            </w:r>
          </w:p>
        </w:tc>
        <w:tc>
          <w:tcPr>
            <w:tcW w:w="1321" w:type="dxa"/>
            <w:tcBorders>
              <w:top w:val="nil"/>
              <w:left w:val="nil"/>
              <w:bottom w:val="single" w:sz="4" w:space="0" w:color="auto"/>
              <w:right w:val="single" w:sz="4" w:space="0" w:color="auto"/>
            </w:tcBorders>
            <w:shd w:val="clear" w:color="auto" w:fill="auto"/>
            <w:vAlign w:val="center"/>
            <w:hideMark/>
          </w:tcPr>
          <w:p w14:paraId="06EEE796" w14:textId="77777777" w:rsidR="00387142" w:rsidRPr="008B6A75" w:rsidRDefault="00387142" w:rsidP="00387142">
            <w:pPr>
              <w:jc w:val="center"/>
              <w:rPr>
                <w:color w:val="000000"/>
                <w:sz w:val="20"/>
                <w:szCs w:val="20"/>
              </w:rPr>
            </w:pPr>
            <w:proofErr w:type="spellStart"/>
            <w:proofErr w:type="gramStart"/>
            <w:r w:rsidRPr="008B6A75">
              <w:rPr>
                <w:color w:val="000000"/>
                <w:sz w:val="20"/>
                <w:szCs w:val="20"/>
              </w:rPr>
              <w:t>Департа</w:t>
            </w:r>
            <w:proofErr w:type="spellEnd"/>
            <w:r w:rsidRPr="008B6A75">
              <w:rPr>
                <w:color w:val="000000"/>
                <w:sz w:val="20"/>
                <w:szCs w:val="20"/>
              </w:rPr>
              <w:t>-мент</w:t>
            </w:r>
            <w:proofErr w:type="gramEnd"/>
            <w:r w:rsidRPr="008B6A75">
              <w:rPr>
                <w:color w:val="000000"/>
                <w:sz w:val="20"/>
                <w:szCs w:val="20"/>
              </w:rPr>
              <w:t xml:space="preserve"> по тарифам</w:t>
            </w:r>
          </w:p>
        </w:tc>
        <w:tc>
          <w:tcPr>
            <w:tcW w:w="3119" w:type="dxa"/>
            <w:vMerge/>
            <w:tcBorders>
              <w:top w:val="nil"/>
              <w:left w:val="single" w:sz="4" w:space="0" w:color="auto"/>
              <w:bottom w:val="single" w:sz="4" w:space="0" w:color="auto"/>
              <w:right w:val="single" w:sz="4" w:space="0" w:color="auto"/>
            </w:tcBorders>
            <w:vAlign w:val="center"/>
            <w:hideMark/>
          </w:tcPr>
          <w:p w14:paraId="163727CE" w14:textId="77777777" w:rsidR="00387142" w:rsidRPr="008B6A75" w:rsidRDefault="00387142" w:rsidP="00387142">
            <w:pPr>
              <w:rPr>
                <w:color w:val="000000"/>
                <w:sz w:val="20"/>
                <w:szCs w:val="20"/>
              </w:rPr>
            </w:pPr>
          </w:p>
        </w:tc>
      </w:tr>
      <w:tr w:rsidR="00387142" w:rsidRPr="008B6A75" w14:paraId="6F498085" w14:textId="77777777" w:rsidTr="00387142">
        <w:trPr>
          <w:trHeight w:val="150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380425F2" w14:textId="77777777" w:rsidR="00387142" w:rsidRPr="008B6A75" w:rsidRDefault="00387142" w:rsidP="00387142">
            <w:pPr>
              <w:jc w:val="center"/>
              <w:rPr>
                <w:color w:val="000000"/>
                <w:sz w:val="20"/>
                <w:szCs w:val="20"/>
              </w:rPr>
            </w:pPr>
            <w:r w:rsidRPr="008B6A75">
              <w:rPr>
                <w:color w:val="000000"/>
                <w:sz w:val="20"/>
                <w:szCs w:val="20"/>
              </w:rPr>
              <w:lastRenderedPageBreak/>
              <w:t>7</w:t>
            </w:r>
          </w:p>
        </w:tc>
        <w:tc>
          <w:tcPr>
            <w:tcW w:w="3164" w:type="dxa"/>
            <w:tcBorders>
              <w:top w:val="nil"/>
              <w:left w:val="nil"/>
              <w:bottom w:val="single" w:sz="4" w:space="0" w:color="auto"/>
              <w:right w:val="single" w:sz="4" w:space="0" w:color="auto"/>
            </w:tcBorders>
            <w:shd w:val="clear" w:color="auto" w:fill="auto"/>
            <w:vAlign w:val="center"/>
            <w:hideMark/>
          </w:tcPr>
          <w:p w14:paraId="12308098" w14:textId="77777777" w:rsidR="00387142" w:rsidRPr="008B6A75" w:rsidRDefault="00387142" w:rsidP="00387142">
            <w:pPr>
              <w:rPr>
                <w:color w:val="000000"/>
                <w:sz w:val="20"/>
                <w:szCs w:val="20"/>
              </w:rPr>
            </w:pPr>
            <w:r w:rsidRPr="008B6A75">
              <w:rPr>
                <w:color w:val="000000"/>
                <w:sz w:val="20"/>
                <w:szCs w:val="20"/>
              </w:rPr>
              <w:t xml:space="preserve">Тариф на тепловую энергию в разрезе </w:t>
            </w:r>
            <w:proofErr w:type="spellStart"/>
            <w:r w:rsidRPr="008B6A75">
              <w:rPr>
                <w:color w:val="000000"/>
                <w:sz w:val="20"/>
                <w:szCs w:val="20"/>
              </w:rPr>
              <w:t>энергоснабжающих</w:t>
            </w:r>
            <w:proofErr w:type="spellEnd"/>
            <w:r w:rsidRPr="008B6A75">
              <w:rPr>
                <w:color w:val="000000"/>
                <w:sz w:val="20"/>
                <w:szCs w:val="20"/>
              </w:rPr>
              <w:t xml:space="preserve"> организаций по поселениям</w:t>
            </w:r>
          </w:p>
        </w:tc>
        <w:tc>
          <w:tcPr>
            <w:tcW w:w="1187" w:type="dxa"/>
            <w:tcBorders>
              <w:top w:val="nil"/>
              <w:left w:val="nil"/>
              <w:bottom w:val="single" w:sz="4" w:space="0" w:color="auto"/>
              <w:right w:val="single" w:sz="4" w:space="0" w:color="auto"/>
            </w:tcBorders>
            <w:shd w:val="clear" w:color="auto" w:fill="auto"/>
            <w:noWrap/>
            <w:vAlign w:val="center"/>
            <w:hideMark/>
          </w:tcPr>
          <w:p w14:paraId="69C20C3A" w14:textId="77777777" w:rsidR="00387142" w:rsidRPr="008B6A75" w:rsidRDefault="00387142" w:rsidP="00387142">
            <w:pPr>
              <w:jc w:val="center"/>
              <w:rPr>
                <w:color w:val="000000"/>
                <w:sz w:val="20"/>
                <w:szCs w:val="20"/>
              </w:rPr>
            </w:pPr>
            <w:r w:rsidRPr="008B6A75">
              <w:rPr>
                <w:color w:val="000000"/>
                <w:sz w:val="20"/>
                <w:szCs w:val="20"/>
              </w:rPr>
              <w:t>руб./Гкал</w:t>
            </w:r>
          </w:p>
        </w:tc>
        <w:tc>
          <w:tcPr>
            <w:tcW w:w="1321" w:type="dxa"/>
            <w:tcBorders>
              <w:top w:val="nil"/>
              <w:left w:val="nil"/>
              <w:bottom w:val="single" w:sz="4" w:space="0" w:color="auto"/>
              <w:right w:val="single" w:sz="4" w:space="0" w:color="auto"/>
            </w:tcBorders>
            <w:shd w:val="clear" w:color="auto" w:fill="auto"/>
            <w:vAlign w:val="center"/>
            <w:hideMark/>
          </w:tcPr>
          <w:p w14:paraId="545BF213" w14:textId="77777777" w:rsidR="00387142" w:rsidRPr="008B6A75" w:rsidRDefault="00387142" w:rsidP="00387142">
            <w:pPr>
              <w:jc w:val="center"/>
              <w:rPr>
                <w:color w:val="000000"/>
                <w:sz w:val="20"/>
                <w:szCs w:val="20"/>
              </w:rPr>
            </w:pPr>
            <w:proofErr w:type="spellStart"/>
            <w:proofErr w:type="gramStart"/>
            <w:r w:rsidRPr="008B6A75">
              <w:rPr>
                <w:color w:val="000000"/>
                <w:sz w:val="20"/>
                <w:szCs w:val="20"/>
              </w:rPr>
              <w:t>Департа</w:t>
            </w:r>
            <w:proofErr w:type="spellEnd"/>
            <w:r w:rsidRPr="008B6A75">
              <w:rPr>
                <w:color w:val="000000"/>
                <w:sz w:val="20"/>
                <w:szCs w:val="20"/>
              </w:rPr>
              <w:t>-мент</w:t>
            </w:r>
            <w:proofErr w:type="gramEnd"/>
            <w:r w:rsidRPr="008B6A75">
              <w:rPr>
                <w:color w:val="000000"/>
                <w:sz w:val="20"/>
                <w:szCs w:val="20"/>
              </w:rPr>
              <w:t xml:space="preserve"> по тарифам</w:t>
            </w:r>
          </w:p>
        </w:tc>
        <w:tc>
          <w:tcPr>
            <w:tcW w:w="3119" w:type="dxa"/>
            <w:tcBorders>
              <w:top w:val="nil"/>
              <w:left w:val="nil"/>
              <w:bottom w:val="single" w:sz="4" w:space="0" w:color="auto"/>
              <w:right w:val="single" w:sz="4" w:space="0" w:color="auto"/>
            </w:tcBorders>
            <w:shd w:val="clear" w:color="auto" w:fill="auto"/>
            <w:vAlign w:val="center"/>
            <w:hideMark/>
          </w:tcPr>
          <w:p w14:paraId="6662970B" w14:textId="77777777" w:rsidR="00387142" w:rsidRPr="008B6A75" w:rsidRDefault="00387142" w:rsidP="00387142">
            <w:pPr>
              <w:jc w:val="center"/>
              <w:rPr>
                <w:color w:val="000000"/>
                <w:sz w:val="20"/>
                <w:szCs w:val="20"/>
              </w:rPr>
            </w:pPr>
            <w:r w:rsidRPr="008B6A75">
              <w:rPr>
                <w:color w:val="000000"/>
                <w:sz w:val="20"/>
                <w:szCs w:val="20"/>
              </w:rPr>
              <w:t>Приказ "Об установлении тарифов на тепловую энергию" по организациям, в отношении которых департамент по тарифам Новосибирской области осуществляет регулирование тарифов в сфере теплоснабжения</w:t>
            </w:r>
          </w:p>
        </w:tc>
      </w:tr>
      <w:tr w:rsidR="00387142" w:rsidRPr="008B6A75" w14:paraId="2AF1E64D" w14:textId="77777777" w:rsidTr="00387142">
        <w:trPr>
          <w:trHeight w:val="126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71D4745C" w14:textId="77777777" w:rsidR="00387142" w:rsidRPr="008B6A75" w:rsidRDefault="00387142" w:rsidP="00387142">
            <w:pPr>
              <w:jc w:val="center"/>
              <w:rPr>
                <w:color w:val="000000"/>
                <w:sz w:val="20"/>
                <w:szCs w:val="20"/>
              </w:rPr>
            </w:pPr>
            <w:r w:rsidRPr="008B6A75">
              <w:rPr>
                <w:color w:val="000000"/>
                <w:sz w:val="20"/>
                <w:szCs w:val="20"/>
              </w:rPr>
              <w:t>8</w:t>
            </w:r>
          </w:p>
        </w:tc>
        <w:tc>
          <w:tcPr>
            <w:tcW w:w="3164" w:type="dxa"/>
            <w:tcBorders>
              <w:top w:val="nil"/>
              <w:left w:val="nil"/>
              <w:bottom w:val="single" w:sz="4" w:space="0" w:color="auto"/>
              <w:right w:val="single" w:sz="4" w:space="0" w:color="auto"/>
            </w:tcBorders>
            <w:shd w:val="clear" w:color="auto" w:fill="auto"/>
            <w:vAlign w:val="center"/>
            <w:hideMark/>
          </w:tcPr>
          <w:p w14:paraId="7E80EBF9" w14:textId="77777777" w:rsidR="00387142" w:rsidRPr="008B6A75" w:rsidRDefault="00387142" w:rsidP="00387142">
            <w:pPr>
              <w:rPr>
                <w:color w:val="000000"/>
                <w:sz w:val="20"/>
                <w:szCs w:val="20"/>
              </w:rPr>
            </w:pPr>
            <w:r w:rsidRPr="008B6A75">
              <w:rPr>
                <w:color w:val="000000"/>
                <w:sz w:val="20"/>
                <w:szCs w:val="20"/>
              </w:rPr>
              <w:t xml:space="preserve">Фактический объем полезного отпуска тепловой энергии в разрезе </w:t>
            </w:r>
            <w:proofErr w:type="spellStart"/>
            <w:r w:rsidRPr="008B6A75">
              <w:rPr>
                <w:color w:val="000000"/>
                <w:sz w:val="20"/>
                <w:szCs w:val="20"/>
              </w:rPr>
              <w:t>энергоснабжающих</w:t>
            </w:r>
            <w:proofErr w:type="spellEnd"/>
            <w:r w:rsidRPr="008B6A75">
              <w:rPr>
                <w:color w:val="000000"/>
                <w:sz w:val="20"/>
                <w:szCs w:val="20"/>
              </w:rPr>
              <w:t xml:space="preserve"> организаций по поселениям</w:t>
            </w:r>
          </w:p>
        </w:tc>
        <w:tc>
          <w:tcPr>
            <w:tcW w:w="1187" w:type="dxa"/>
            <w:tcBorders>
              <w:top w:val="nil"/>
              <w:left w:val="nil"/>
              <w:bottom w:val="single" w:sz="4" w:space="0" w:color="auto"/>
              <w:right w:val="single" w:sz="4" w:space="0" w:color="auto"/>
            </w:tcBorders>
            <w:shd w:val="clear" w:color="auto" w:fill="auto"/>
            <w:noWrap/>
            <w:vAlign w:val="center"/>
            <w:hideMark/>
          </w:tcPr>
          <w:p w14:paraId="32E9A7B8" w14:textId="77777777" w:rsidR="00387142" w:rsidRPr="008B6A75" w:rsidRDefault="00387142" w:rsidP="00387142">
            <w:pPr>
              <w:jc w:val="center"/>
              <w:rPr>
                <w:color w:val="000000"/>
                <w:sz w:val="20"/>
                <w:szCs w:val="20"/>
              </w:rPr>
            </w:pPr>
            <w:r w:rsidRPr="008B6A75">
              <w:rPr>
                <w:color w:val="000000"/>
                <w:sz w:val="20"/>
                <w:szCs w:val="20"/>
              </w:rPr>
              <w:t>Гкал</w:t>
            </w:r>
          </w:p>
        </w:tc>
        <w:tc>
          <w:tcPr>
            <w:tcW w:w="1321" w:type="dxa"/>
            <w:tcBorders>
              <w:top w:val="nil"/>
              <w:left w:val="nil"/>
              <w:bottom w:val="single" w:sz="4" w:space="0" w:color="auto"/>
              <w:right w:val="single" w:sz="4" w:space="0" w:color="auto"/>
            </w:tcBorders>
            <w:shd w:val="clear" w:color="auto" w:fill="auto"/>
            <w:vAlign w:val="center"/>
            <w:hideMark/>
          </w:tcPr>
          <w:p w14:paraId="48D405DA" w14:textId="77777777" w:rsidR="00387142" w:rsidRPr="008B6A75" w:rsidRDefault="00387142" w:rsidP="00387142">
            <w:pPr>
              <w:jc w:val="center"/>
              <w:rPr>
                <w:color w:val="000000"/>
                <w:sz w:val="20"/>
                <w:szCs w:val="20"/>
              </w:rPr>
            </w:pPr>
            <w:proofErr w:type="spellStart"/>
            <w:proofErr w:type="gramStart"/>
            <w:r w:rsidRPr="008B6A75">
              <w:rPr>
                <w:color w:val="000000"/>
                <w:sz w:val="20"/>
                <w:szCs w:val="20"/>
              </w:rPr>
              <w:t>Департа</w:t>
            </w:r>
            <w:proofErr w:type="spellEnd"/>
            <w:r w:rsidRPr="008B6A75">
              <w:rPr>
                <w:color w:val="000000"/>
                <w:sz w:val="20"/>
                <w:szCs w:val="20"/>
              </w:rPr>
              <w:t>-мент</w:t>
            </w:r>
            <w:proofErr w:type="gramEnd"/>
            <w:r w:rsidRPr="008B6A75">
              <w:rPr>
                <w:color w:val="000000"/>
                <w:sz w:val="20"/>
                <w:szCs w:val="20"/>
              </w:rPr>
              <w:t xml:space="preserve"> по тарифам</w:t>
            </w:r>
          </w:p>
        </w:tc>
        <w:tc>
          <w:tcPr>
            <w:tcW w:w="3119" w:type="dxa"/>
            <w:tcBorders>
              <w:top w:val="nil"/>
              <w:left w:val="nil"/>
              <w:bottom w:val="single" w:sz="4" w:space="0" w:color="auto"/>
              <w:right w:val="single" w:sz="4" w:space="0" w:color="auto"/>
            </w:tcBorders>
            <w:shd w:val="clear" w:color="auto" w:fill="auto"/>
            <w:vAlign w:val="center"/>
            <w:hideMark/>
          </w:tcPr>
          <w:p w14:paraId="08F14508" w14:textId="77777777" w:rsidR="00387142" w:rsidRPr="008B6A75" w:rsidRDefault="00387142" w:rsidP="00387142">
            <w:pPr>
              <w:jc w:val="center"/>
              <w:rPr>
                <w:color w:val="000000"/>
                <w:sz w:val="20"/>
                <w:szCs w:val="20"/>
              </w:rPr>
            </w:pPr>
            <w:r w:rsidRPr="008B6A75">
              <w:rPr>
                <w:color w:val="000000"/>
                <w:sz w:val="20"/>
                <w:szCs w:val="20"/>
              </w:rPr>
              <w:t xml:space="preserve">Информация, предоставляемая </w:t>
            </w:r>
            <w:proofErr w:type="spellStart"/>
            <w:r w:rsidRPr="008B6A75">
              <w:rPr>
                <w:color w:val="000000"/>
                <w:sz w:val="20"/>
                <w:szCs w:val="20"/>
              </w:rPr>
              <w:t>энергоснабжающими</w:t>
            </w:r>
            <w:proofErr w:type="spellEnd"/>
            <w:r w:rsidRPr="008B6A75">
              <w:rPr>
                <w:color w:val="000000"/>
                <w:sz w:val="20"/>
                <w:szCs w:val="20"/>
              </w:rPr>
              <w:t xml:space="preserve"> организациями в департамент по тарифам</w:t>
            </w:r>
          </w:p>
        </w:tc>
      </w:tr>
      <w:tr w:rsidR="00387142" w:rsidRPr="008B6A75" w14:paraId="75E2ADBF" w14:textId="77777777" w:rsidTr="00387142">
        <w:trPr>
          <w:trHeight w:val="94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1D1CD9C3" w14:textId="77777777" w:rsidR="00387142" w:rsidRPr="008B6A75" w:rsidRDefault="00387142" w:rsidP="00387142">
            <w:pPr>
              <w:jc w:val="center"/>
              <w:rPr>
                <w:color w:val="000000"/>
                <w:sz w:val="20"/>
                <w:szCs w:val="20"/>
              </w:rPr>
            </w:pPr>
            <w:r w:rsidRPr="008B6A75">
              <w:rPr>
                <w:color w:val="000000"/>
                <w:sz w:val="20"/>
                <w:szCs w:val="20"/>
              </w:rPr>
              <w:t>9</w:t>
            </w:r>
          </w:p>
        </w:tc>
        <w:tc>
          <w:tcPr>
            <w:tcW w:w="3164" w:type="dxa"/>
            <w:tcBorders>
              <w:top w:val="nil"/>
              <w:left w:val="nil"/>
              <w:bottom w:val="single" w:sz="4" w:space="0" w:color="auto"/>
              <w:right w:val="single" w:sz="4" w:space="0" w:color="auto"/>
            </w:tcBorders>
            <w:shd w:val="clear" w:color="auto" w:fill="auto"/>
            <w:vAlign w:val="center"/>
            <w:hideMark/>
          </w:tcPr>
          <w:p w14:paraId="76DAD3BF" w14:textId="77777777" w:rsidR="00387142" w:rsidRPr="008B6A75" w:rsidRDefault="00387142" w:rsidP="00387142">
            <w:pPr>
              <w:rPr>
                <w:color w:val="000000"/>
                <w:sz w:val="20"/>
                <w:szCs w:val="20"/>
              </w:rPr>
            </w:pPr>
            <w:r w:rsidRPr="008B6A75">
              <w:rPr>
                <w:color w:val="000000"/>
                <w:sz w:val="20"/>
                <w:szCs w:val="20"/>
              </w:rPr>
              <w:t>Объем расходов поселений на водоснабжение (в том числе раздельно по горячей и холодной воде) и водоотведение</w:t>
            </w:r>
          </w:p>
        </w:tc>
        <w:tc>
          <w:tcPr>
            <w:tcW w:w="1187" w:type="dxa"/>
            <w:tcBorders>
              <w:top w:val="nil"/>
              <w:left w:val="nil"/>
              <w:bottom w:val="single" w:sz="4" w:space="0" w:color="auto"/>
              <w:right w:val="single" w:sz="4" w:space="0" w:color="auto"/>
            </w:tcBorders>
            <w:shd w:val="clear" w:color="auto" w:fill="auto"/>
            <w:noWrap/>
            <w:vAlign w:val="center"/>
            <w:hideMark/>
          </w:tcPr>
          <w:p w14:paraId="43FA3249" w14:textId="77777777" w:rsidR="00387142" w:rsidRPr="008B6A75" w:rsidRDefault="00387142" w:rsidP="00387142">
            <w:pPr>
              <w:jc w:val="center"/>
              <w:rPr>
                <w:color w:val="000000"/>
                <w:sz w:val="20"/>
                <w:szCs w:val="20"/>
              </w:rPr>
            </w:pPr>
            <w:r w:rsidRPr="008B6A75">
              <w:rPr>
                <w:color w:val="000000"/>
                <w:sz w:val="20"/>
                <w:szCs w:val="20"/>
              </w:rPr>
              <w:t>рублей</w:t>
            </w:r>
          </w:p>
        </w:tc>
        <w:tc>
          <w:tcPr>
            <w:tcW w:w="1321" w:type="dxa"/>
            <w:tcBorders>
              <w:top w:val="nil"/>
              <w:left w:val="nil"/>
              <w:bottom w:val="single" w:sz="4" w:space="0" w:color="auto"/>
              <w:right w:val="single" w:sz="4" w:space="0" w:color="auto"/>
            </w:tcBorders>
            <w:shd w:val="clear" w:color="auto" w:fill="auto"/>
            <w:vAlign w:val="center"/>
            <w:hideMark/>
          </w:tcPr>
          <w:p w14:paraId="7067E392" w14:textId="77777777" w:rsidR="00387142" w:rsidRPr="008B6A75" w:rsidRDefault="00387142" w:rsidP="00387142">
            <w:pPr>
              <w:jc w:val="center"/>
              <w:rPr>
                <w:color w:val="000000"/>
                <w:sz w:val="20"/>
                <w:szCs w:val="20"/>
              </w:rPr>
            </w:pPr>
            <w:proofErr w:type="spellStart"/>
            <w:proofErr w:type="gramStart"/>
            <w:r w:rsidRPr="008B6A75">
              <w:rPr>
                <w:color w:val="000000"/>
                <w:sz w:val="20"/>
                <w:szCs w:val="20"/>
              </w:rPr>
              <w:t>Адми-нистрация</w:t>
            </w:r>
            <w:proofErr w:type="spellEnd"/>
            <w:proofErr w:type="gramEnd"/>
            <w:r w:rsidRPr="008B6A75">
              <w:rPr>
                <w:color w:val="000000"/>
                <w:sz w:val="20"/>
                <w:szCs w:val="20"/>
              </w:rPr>
              <w:t xml:space="preserve"> района</w:t>
            </w:r>
          </w:p>
        </w:tc>
        <w:tc>
          <w:tcPr>
            <w:tcW w:w="3119" w:type="dxa"/>
            <w:tcBorders>
              <w:top w:val="nil"/>
              <w:left w:val="nil"/>
              <w:bottom w:val="single" w:sz="4" w:space="0" w:color="auto"/>
              <w:right w:val="single" w:sz="4" w:space="0" w:color="auto"/>
            </w:tcBorders>
            <w:shd w:val="clear" w:color="auto" w:fill="auto"/>
            <w:vAlign w:val="center"/>
            <w:hideMark/>
          </w:tcPr>
          <w:p w14:paraId="5C925C10" w14:textId="77777777" w:rsidR="00387142" w:rsidRPr="008B6A75" w:rsidRDefault="00387142" w:rsidP="00387142">
            <w:pPr>
              <w:jc w:val="center"/>
              <w:rPr>
                <w:color w:val="000000"/>
                <w:sz w:val="20"/>
                <w:szCs w:val="20"/>
              </w:rPr>
            </w:pPr>
            <w:r w:rsidRPr="008B6A75">
              <w:rPr>
                <w:color w:val="000000"/>
                <w:sz w:val="20"/>
                <w:szCs w:val="20"/>
              </w:rPr>
              <w:t>Сметы учреждений и планы ФХД</w:t>
            </w:r>
          </w:p>
        </w:tc>
      </w:tr>
      <w:tr w:rsidR="00387142" w:rsidRPr="008B6A75" w14:paraId="1FB72E9F" w14:textId="77777777" w:rsidTr="00387142">
        <w:trPr>
          <w:trHeight w:val="94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143073B9" w14:textId="77777777" w:rsidR="00387142" w:rsidRPr="008B6A75" w:rsidRDefault="00387142" w:rsidP="00387142">
            <w:pPr>
              <w:jc w:val="center"/>
              <w:rPr>
                <w:color w:val="000000"/>
                <w:sz w:val="20"/>
                <w:szCs w:val="20"/>
              </w:rPr>
            </w:pPr>
            <w:r w:rsidRPr="008B6A75">
              <w:rPr>
                <w:color w:val="000000"/>
                <w:sz w:val="20"/>
                <w:szCs w:val="20"/>
              </w:rPr>
              <w:t>10</w:t>
            </w:r>
          </w:p>
        </w:tc>
        <w:tc>
          <w:tcPr>
            <w:tcW w:w="3164" w:type="dxa"/>
            <w:tcBorders>
              <w:top w:val="nil"/>
              <w:left w:val="nil"/>
              <w:bottom w:val="single" w:sz="4" w:space="0" w:color="auto"/>
              <w:right w:val="single" w:sz="4" w:space="0" w:color="auto"/>
            </w:tcBorders>
            <w:shd w:val="clear" w:color="auto" w:fill="auto"/>
            <w:vAlign w:val="center"/>
            <w:hideMark/>
          </w:tcPr>
          <w:p w14:paraId="21D43316" w14:textId="77777777" w:rsidR="00387142" w:rsidRPr="008B6A75" w:rsidRDefault="00387142" w:rsidP="00387142">
            <w:pPr>
              <w:rPr>
                <w:color w:val="000000"/>
                <w:sz w:val="20"/>
                <w:szCs w:val="20"/>
              </w:rPr>
            </w:pPr>
            <w:r w:rsidRPr="008B6A75">
              <w:rPr>
                <w:color w:val="000000"/>
                <w:sz w:val="20"/>
                <w:szCs w:val="20"/>
              </w:rPr>
              <w:t xml:space="preserve">Себестоимость выработки тепловой энергии в разрезе </w:t>
            </w:r>
            <w:proofErr w:type="spellStart"/>
            <w:r w:rsidRPr="008B6A75">
              <w:rPr>
                <w:color w:val="000000"/>
                <w:sz w:val="20"/>
                <w:szCs w:val="20"/>
              </w:rPr>
              <w:t>энергоснабжающих</w:t>
            </w:r>
            <w:proofErr w:type="spellEnd"/>
            <w:r w:rsidRPr="008B6A75">
              <w:rPr>
                <w:color w:val="000000"/>
                <w:sz w:val="20"/>
                <w:szCs w:val="20"/>
              </w:rPr>
              <w:t xml:space="preserve"> организаций по поселениям</w:t>
            </w:r>
          </w:p>
        </w:tc>
        <w:tc>
          <w:tcPr>
            <w:tcW w:w="1187" w:type="dxa"/>
            <w:tcBorders>
              <w:top w:val="nil"/>
              <w:left w:val="nil"/>
              <w:bottom w:val="single" w:sz="4" w:space="0" w:color="auto"/>
              <w:right w:val="single" w:sz="4" w:space="0" w:color="auto"/>
            </w:tcBorders>
            <w:shd w:val="clear" w:color="auto" w:fill="auto"/>
            <w:noWrap/>
            <w:vAlign w:val="center"/>
            <w:hideMark/>
          </w:tcPr>
          <w:p w14:paraId="64B89347" w14:textId="77777777" w:rsidR="00387142" w:rsidRPr="008B6A75" w:rsidRDefault="00387142" w:rsidP="00387142">
            <w:pPr>
              <w:jc w:val="center"/>
              <w:rPr>
                <w:color w:val="000000"/>
                <w:sz w:val="20"/>
                <w:szCs w:val="20"/>
              </w:rPr>
            </w:pPr>
            <w:r w:rsidRPr="008B6A75">
              <w:rPr>
                <w:color w:val="000000"/>
                <w:sz w:val="20"/>
                <w:szCs w:val="20"/>
              </w:rPr>
              <w:t>рублей</w:t>
            </w:r>
          </w:p>
        </w:tc>
        <w:tc>
          <w:tcPr>
            <w:tcW w:w="1321" w:type="dxa"/>
            <w:tcBorders>
              <w:top w:val="nil"/>
              <w:left w:val="nil"/>
              <w:bottom w:val="single" w:sz="4" w:space="0" w:color="auto"/>
              <w:right w:val="single" w:sz="4" w:space="0" w:color="auto"/>
            </w:tcBorders>
            <w:shd w:val="clear" w:color="auto" w:fill="auto"/>
            <w:vAlign w:val="center"/>
            <w:hideMark/>
          </w:tcPr>
          <w:p w14:paraId="17F70527" w14:textId="77777777" w:rsidR="00387142" w:rsidRPr="008B6A75" w:rsidRDefault="00387142" w:rsidP="00387142">
            <w:pPr>
              <w:jc w:val="center"/>
              <w:rPr>
                <w:color w:val="000000"/>
                <w:sz w:val="20"/>
                <w:szCs w:val="20"/>
              </w:rPr>
            </w:pPr>
            <w:proofErr w:type="spellStart"/>
            <w:proofErr w:type="gramStart"/>
            <w:r w:rsidRPr="008B6A75">
              <w:rPr>
                <w:color w:val="000000"/>
                <w:sz w:val="20"/>
                <w:szCs w:val="20"/>
              </w:rPr>
              <w:t>Департа</w:t>
            </w:r>
            <w:proofErr w:type="spellEnd"/>
            <w:r w:rsidRPr="008B6A75">
              <w:rPr>
                <w:color w:val="000000"/>
                <w:sz w:val="20"/>
                <w:szCs w:val="20"/>
              </w:rPr>
              <w:t>-мент</w:t>
            </w:r>
            <w:proofErr w:type="gramEnd"/>
            <w:r w:rsidRPr="008B6A75">
              <w:rPr>
                <w:color w:val="000000"/>
                <w:sz w:val="20"/>
                <w:szCs w:val="20"/>
              </w:rPr>
              <w:t xml:space="preserve"> по тарифам</w:t>
            </w:r>
          </w:p>
        </w:tc>
        <w:tc>
          <w:tcPr>
            <w:tcW w:w="3119" w:type="dxa"/>
            <w:tcBorders>
              <w:top w:val="nil"/>
              <w:left w:val="nil"/>
              <w:bottom w:val="single" w:sz="4" w:space="0" w:color="auto"/>
              <w:right w:val="single" w:sz="4" w:space="0" w:color="auto"/>
            </w:tcBorders>
            <w:shd w:val="clear" w:color="auto" w:fill="auto"/>
            <w:vAlign w:val="center"/>
            <w:hideMark/>
          </w:tcPr>
          <w:p w14:paraId="7A8D7465" w14:textId="77777777" w:rsidR="00387142" w:rsidRPr="008B6A75" w:rsidRDefault="00387142" w:rsidP="00387142">
            <w:pPr>
              <w:jc w:val="center"/>
              <w:rPr>
                <w:color w:val="000000"/>
                <w:sz w:val="20"/>
                <w:szCs w:val="20"/>
              </w:rPr>
            </w:pPr>
            <w:r w:rsidRPr="008B6A75">
              <w:rPr>
                <w:color w:val="000000"/>
                <w:sz w:val="20"/>
                <w:szCs w:val="20"/>
              </w:rPr>
              <w:t xml:space="preserve">Информация, предоставляемая </w:t>
            </w:r>
            <w:proofErr w:type="spellStart"/>
            <w:r w:rsidRPr="008B6A75">
              <w:rPr>
                <w:color w:val="000000"/>
                <w:sz w:val="20"/>
                <w:szCs w:val="20"/>
              </w:rPr>
              <w:t>энергоснабжающими</w:t>
            </w:r>
            <w:proofErr w:type="spellEnd"/>
            <w:r w:rsidRPr="008B6A75">
              <w:rPr>
                <w:color w:val="000000"/>
                <w:sz w:val="20"/>
                <w:szCs w:val="20"/>
              </w:rPr>
              <w:t xml:space="preserve"> организациями в департамент по тарифам</w:t>
            </w:r>
          </w:p>
        </w:tc>
      </w:tr>
      <w:tr w:rsidR="00387142" w:rsidRPr="008B6A75" w14:paraId="016F157A" w14:textId="77777777" w:rsidTr="00387142">
        <w:trPr>
          <w:trHeight w:val="157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51843AD7" w14:textId="77777777" w:rsidR="00387142" w:rsidRPr="008B6A75" w:rsidRDefault="00387142" w:rsidP="00387142">
            <w:pPr>
              <w:jc w:val="center"/>
              <w:rPr>
                <w:color w:val="000000"/>
                <w:sz w:val="20"/>
                <w:szCs w:val="20"/>
              </w:rPr>
            </w:pPr>
            <w:r w:rsidRPr="008B6A75">
              <w:rPr>
                <w:color w:val="000000"/>
                <w:sz w:val="20"/>
                <w:szCs w:val="20"/>
              </w:rPr>
              <w:t>11</w:t>
            </w:r>
          </w:p>
        </w:tc>
        <w:tc>
          <w:tcPr>
            <w:tcW w:w="3164" w:type="dxa"/>
            <w:tcBorders>
              <w:top w:val="nil"/>
              <w:left w:val="nil"/>
              <w:bottom w:val="single" w:sz="4" w:space="0" w:color="auto"/>
              <w:right w:val="single" w:sz="4" w:space="0" w:color="auto"/>
            </w:tcBorders>
            <w:shd w:val="clear" w:color="auto" w:fill="auto"/>
            <w:vAlign w:val="center"/>
            <w:hideMark/>
          </w:tcPr>
          <w:p w14:paraId="58D222F8" w14:textId="77777777" w:rsidR="00387142" w:rsidRPr="008B6A75" w:rsidRDefault="00387142" w:rsidP="00387142">
            <w:pPr>
              <w:rPr>
                <w:color w:val="000000"/>
                <w:sz w:val="20"/>
                <w:szCs w:val="20"/>
              </w:rPr>
            </w:pPr>
            <w:r w:rsidRPr="008B6A75">
              <w:rPr>
                <w:color w:val="000000"/>
                <w:sz w:val="20"/>
                <w:szCs w:val="20"/>
              </w:rPr>
              <w:t xml:space="preserve">Себестоимость выработки тепловой энергии по источникам теплоснабжения, которые обслуживают учреждения (в случае, если в поселении не установлен тариф на тепловую </w:t>
            </w:r>
            <w:proofErr w:type="gramStart"/>
            <w:r w:rsidRPr="008B6A75">
              <w:rPr>
                <w:color w:val="000000"/>
                <w:sz w:val="20"/>
                <w:szCs w:val="20"/>
              </w:rPr>
              <w:t>энергию )</w:t>
            </w:r>
            <w:proofErr w:type="gramEnd"/>
          </w:p>
        </w:tc>
        <w:tc>
          <w:tcPr>
            <w:tcW w:w="1187" w:type="dxa"/>
            <w:tcBorders>
              <w:top w:val="nil"/>
              <w:left w:val="nil"/>
              <w:bottom w:val="single" w:sz="4" w:space="0" w:color="auto"/>
              <w:right w:val="single" w:sz="4" w:space="0" w:color="auto"/>
            </w:tcBorders>
            <w:shd w:val="clear" w:color="auto" w:fill="auto"/>
            <w:noWrap/>
            <w:vAlign w:val="center"/>
            <w:hideMark/>
          </w:tcPr>
          <w:p w14:paraId="10946E45" w14:textId="77777777" w:rsidR="00387142" w:rsidRPr="008B6A75" w:rsidRDefault="00387142" w:rsidP="00387142">
            <w:pPr>
              <w:jc w:val="center"/>
              <w:rPr>
                <w:color w:val="000000"/>
                <w:sz w:val="20"/>
                <w:szCs w:val="20"/>
              </w:rPr>
            </w:pPr>
            <w:r w:rsidRPr="008B6A75">
              <w:rPr>
                <w:color w:val="000000"/>
                <w:sz w:val="20"/>
                <w:szCs w:val="20"/>
              </w:rPr>
              <w:t>рублей</w:t>
            </w:r>
          </w:p>
        </w:tc>
        <w:tc>
          <w:tcPr>
            <w:tcW w:w="1321" w:type="dxa"/>
            <w:tcBorders>
              <w:top w:val="nil"/>
              <w:left w:val="nil"/>
              <w:bottom w:val="single" w:sz="4" w:space="0" w:color="auto"/>
              <w:right w:val="single" w:sz="4" w:space="0" w:color="auto"/>
            </w:tcBorders>
            <w:shd w:val="clear" w:color="auto" w:fill="auto"/>
            <w:vAlign w:val="center"/>
            <w:hideMark/>
          </w:tcPr>
          <w:p w14:paraId="29570F4E" w14:textId="77777777" w:rsidR="00387142" w:rsidRPr="008B6A75" w:rsidRDefault="00387142" w:rsidP="00387142">
            <w:pPr>
              <w:jc w:val="center"/>
              <w:rPr>
                <w:color w:val="000000"/>
                <w:sz w:val="20"/>
                <w:szCs w:val="20"/>
              </w:rPr>
            </w:pPr>
            <w:proofErr w:type="spellStart"/>
            <w:proofErr w:type="gramStart"/>
            <w:r w:rsidRPr="008B6A75">
              <w:rPr>
                <w:color w:val="000000"/>
                <w:sz w:val="20"/>
                <w:szCs w:val="20"/>
              </w:rPr>
              <w:t>Адми-нистрация</w:t>
            </w:r>
            <w:proofErr w:type="spellEnd"/>
            <w:proofErr w:type="gramEnd"/>
            <w:r w:rsidRPr="008B6A75">
              <w:rPr>
                <w:color w:val="000000"/>
                <w:sz w:val="20"/>
                <w:szCs w:val="20"/>
              </w:rPr>
              <w:t xml:space="preserve"> района</w:t>
            </w:r>
          </w:p>
        </w:tc>
        <w:tc>
          <w:tcPr>
            <w:tcW w:w="3119" w:type="dxa"/>
            <w:tcBorders>
              <w:top w:val="nil"/>
              <w:left w:val="nil"/>
              <w:bottom w:val="single" w:sz="4" w:space="0" w:color="auto"/>
              <w:right w:val="single" w:sz="4" w:space="0" w:color="auto"/>
            </w:tcBorders>
            <w:shd w:val="clear" w:color="auto" w:fill="auto"/>
            <w:vAlign w:val="center"/>
            <w:hideMark/>
          </w:tcPr>
          <w:p w14:paraId="0BF2ECB2" w14:textId="77777777" w:rsidR="00387142" w:rsidRPr="008B6A75" w:rsidRDefault="00387142" w:rsidP="00387142">
            <w:pPr>
              <w:jc w:val="center"/>
              <w:rPr>
                <w:color w:val="000000"/>
                <w:sz w:val="20"/>
                <w:szCs w:val="20"/>
              </w:rPr>
            </w:pPr>
            <w:r w:rsidRPr="008B6A75">
              <w:rPr>
                <w:color w:val="000000"/>
                <w:sz w:val="20"/>
                <w:szCs w:val="20"/>
              </w:rPr>
              <w:t>Данные, используемые администрацией района при формировании смет (планов ФХД) учреждений</w:t>
            </w:r>
          </w:p>
        </w:tc>
      </w:tr>
      <w:tr w:rsidR="00387142" w:rsidRPr="008B6A75" w14:paraId="0C6C8617" w14:textId="77777777" w:rsidTr="00387142">
        <w:trPr>
          <w:trHeight w:val="157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1D978E43" w14:textId="77777777" w:rsidR="00387142" w:rsidRPr="008B6A75" w:rsidRDefault="00387142" w:rsidP="00387142">
            <w:pPr>
              <w:jc w:val="center"/>
              <w:rPr>
                <w:color w:val="000000"/>
                <w:sz w:val="20"/>
                <w:szCs w:val="20"/>
              </w:rPr>
            </w:pPr>
            <w:r w:rsidRPr="008B6A75">
              <w:rPr>
                <w:color w:val="000000"/>
                <w:sz w:val="20"/>
                <w:szCs w:val="20"/>
              </w:rPr>
              <w:t>12</w:t>
            </w:r>
          </w:p>
        </w:tc>
        <w:tc>
          <w:tcPr>
            <w:tcW w:w="3164" w:type="dxa"/>
            <w:tcBorders>
              <w:top w:val="nil"/>
              <w:left w:val="nil"/>
              <w:bottom w:val="single" w:sz="4" w:space="0" w:color="auto"/>
              <w:right w:val="single" w:sz="4" w:space="0" w:color="auto"/>
            </w:tcBorders>
            <w:shd w:val="clear" w:color="auto" w:fill="auto"/>
            <w:vAlign w:val="center"/>
            <w:hideMark/>
          </w:tcPr>
          <w:p w14:paraId="5A3968DF" w14:textId="77777777" w:rsidR="00387142" w:rsidRPr="008B6A75" w:rsidRDefault="00387142" w:rsidP="00387142">
            <w:pPr>
              <w:rPr>
                <w:color w:val="000000"/>
                <w:sz w:val="20"/>
                <w:szCs w:val="20"/>
              </w:rPr>
            </w:pPr>
            <w:r w:rsidRPr="008B6A75">
              <w:rPr>
                <w:color w:val="000000"/>
                <w:sz w:val="20"/>
                <w:szCs w:val="20"/>
              </w:rPr>
              <w:t xml:space="preserve">Фактический объем полезного отпуска тепловой энергии по источникам теплоснабжения, которые обслуживают учреждения (в случае, если в поселении не установлен тариф на тепловую энергию) </w:t>
            </w:r>
          </w:p>
        </w:tc>
        <w:tc>
          <w:tcPr>
            <w:tcW w:w="1187" w:type="dxa"/>
            <w:tcBorders>
              <w:top w:val="nil"/>
              <w:left w:val="nil"/>
              <w:bottom w:val="single" w:sz="4" w:space="0" w:color="auto"/>
              <w:right w:val="single" w:sz="4" w:space="0" w:color="auto"/>
            </w:tcBorders>
            <w:shd w:val="clear" w:color="auto" w:fill="auto"/>
            <w:noWrap/>
            <w:vAlign w:val="center"/>
            <w:hideMark/>
          </w:tcPr>
          <w:p w14:paraId="677911C2" w14:textId="77777777" w:rsidR="00387142" w:rsidRPr="008B6A75" w:rsidRDefault="00387142" w:rsidP="00387142">
            <w:pPr>
              <w:jc w:val="center"/>
              <w:rPr>
                <w:color w:val="000000"/>
                <w:sz w:val="20"/>
                <w:szCs w:val="20"/>
              </w:rPr>
            </w:pPr>
            <w:r w:rsidRPr="008B6A75">
              <w:rPr>
                <w:color w:val="000000"/>
                <w:sz w:val="20"/>
                <w:szCs w:val="20"/>
              </w:rPr>
              <w:t>Гкал</w:t>
            </w:r>
          </w:p>
        </w:tc>
        <w:tc>
          <w:tcPr>
            <w:tcW w:w="1321" w:type="dxa"/>
            <w:tcBorders>
              <w:top w:val="nil"/>
              <w:left w:val="nil"/>
              <w:bottom w:val="single" w:sz="4" w:space="0" w:color="auto"/>
              <w:right w:val="single" w:sz="4" w:space="0" w:color="auto"/>
            </w:tcBorders>
            <w:shd w:val="clear" w:color="auto" w:fill="auto"/>
            <w:vAlign w:val="center"/>
            <w:hideMark/>
          </w:tcPr>
          <w:p w14:paraId="2AAB206F" w14:textId="77777777" w:rsidR="00387142" w:rsidRPr="008B6A75" w:rsidRDefault="00387142" w:rsidP="00387142">
            <w:pPr>
              <w:jc w:val="center"/>
              <w:rPr>
                <w:color w:val="000000"/>
                <w:sz w:val="20"/>
                <w:szCs w:val="20"/>
              </w:rPr>
            </w:pPr>
            <w:proofErr w:type="spellStart"/>
            <w:proofErr w:type="gramStart"/>
            <w:r w:rsidRPr="008B6A75">
              <w:rPr>
                <w:color w:val="000000"/>
                <w:sz w:val="20"/>
                <w:szCs w:val="20"/>
              </w:rPr>
              <w:t>Адми-нистрация</w:t>
            </w:r>
            <w:proofErr w:type="spellEnd"/>
            <w:proofErr w:type="gramEnd"/>
            <w:r w:rsidRPr="008B6A75">
              <w:rPr>
                <w:color w:val="000000"/>
                <w:sz w:val="20"/>
                <w:szCs w:val="20"/>
              </w:rPr>
              <w:t xml:space="preserve"> района</w:t>
            </w:r>
          </w:p>
        </w:tc>
        <w:tc>
          <w:tcPr>
            <w:tcW w:w="3119" w:type="dxa"/>
            <w:tcBorders>
              <w:top w:val="nil"/>
              <w:left w:val="nil"/>
              <w:bottom w:val="single" w:sz="4" w:space="0" w:color="auto"/>
              <w:right w:val="single" w:sz="4" w:space="0" w:color="auto"/>
            </w:tcBorders>
            <w:shd w:val="clear" w:color="auto" w:fill="auto"/>
            <w:vAlign w:val="center"/>
            <w:hideMark/>
          </w:tcPr>
          <w:p w14:paraId="02081DD1" w14:textId="77777777" w:rsidR="00387142" w:rsidRPr="008B6A75" w:rsidRDefault="00387142" w:rsidP="00387142">
            <w:pPr>
              <w:jc w:val="center"/>
              <w:rPr>
                <w:color w:val="000000"/>
                <w:sz w:val="20"/>
                <w:szCs w:val="20"/>
              </w:rPr>
            </w:pPr>
            <w:r w:rsidRPr="008B6A75">
              <w:rPr>
                <w:color w:val="000000"/>
                <w:sz w:val="20"/>
                <w:szCs w:val="20"/>
              </w:rPr>
              <w:t>Данные, используемые администрацией района, при формировании смет (планов ФХД) учреждений</w:t>
            </w:r>
          </w:p>
        </w:tc>
      </w:tr>
      <w:tr w:rsidR="00387142" w:rsidRPr="008B6A75" w14:paraId="6875DC97" w14:textId="77777777" w:rsidTr="00387142">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3A60C573" w14:textId="77777777" w:rsidR="00387142" w:rsidRPr="008B6A75" w:rsidRDefault="00387142" w:rsidP="00387142">
            <w:pPr>
              <w:jc w:val="center"/>
              <w:rPr>
                <w:color w:val="000000"/>
                <w:sz w:val="20"/>
                <w:szCs w:val="20"/>
              </w:rPr>
            </w:pPr>
            <w:r w:rsidRPr="008B6A75">
              <w:rPr>
                <w:color w:val="000000"/>
                <w:sz w:val="20"/>
                <w:szCs w:val="20"/>
              </w:rPr>
              <w:t>13</w:t>
            </w:r>
          </w:p>
        </w:tc>
        <w:tc>
          <w:tcPr>
            <w:tcW w:w="3164" w:type="dxa"/>
            <w:tcBorders>
              <w:top w:val="nil"/>
              <w:left w:val="nil"/>
              <w:bottom w:val="single" w:sz="4" w:space="0" w:color="auto"/>
              <w:right w:val="single" w:sz="4" w:space="0" w:color="auto"/>
            </w:tcBorders>
            <w:shd w:val="clear" w:color="auto" w:fill="auto"/>
            <w:vAlign w:val="center"/>
            <w:hideMark/>
          </w:tcPr>
          <w:p w14:paraId="2D8393E0" w14:textId="77777777" w:rsidR="00387142" w:rsidRPr="008B6A75" w:rsidRDefault="00387142" w:rsidP="00387142">
            <w:pPr>
              <w:rPr>
                <w:color w:val="000000"/>
                <w:sz w:val="20"/>
                <w:szCs w:val="20"/>
              </w:rPr>
            </w:pPr>
            <w:r w:rsidRPr="008B6A75">
              <w:rPr>
                <w:color w:val="000000"/>
                <w:sz w:val="20"/>
                <w:szCs w:val="20"/>
              </w:rPr>
              <w:t>Расходы на исполнение вопросов местного значения поселений по видам полномочий</w:t>
            </w:r>
          </w:p>
        </w:tc>
        <w:tc>
          <w:tcPr>
            <w:tcW w:w="1187" w:type="dxa"/>
            <w:tcBorders>
              <w:top w:val="nil"/>
              <w:left w:val="nil"/>
              <w:bottom w:val="single" w:sz="4" w:space="0" w:color="auto"/>
              <w:right w:val="single" w:sz="4" w:space="0" w:color="auto"/>
            </w:tcBorders>
            <w:shd w:val="clear" w:color="auto" w:fill="auto"/>
            <w:noWrap/>
            <w:vAlign w:val="center"/>
            <w:hideMark/>
          </w:tcPr>
          <w:p w14:paraId="2BCCD164" w14:textId="77777777" w:rsidR="00387142" w:rsidRPr="008B6A75" w:rsidRDefault="00387142" w:rsidP="00387142">
            <w:pPr>
              <w:jc w:val="center"/>
              <w:rPr>
                <w:color w:val="000000"/>
                <w:sz w:val="20"/>
                <w:szCs w:val="20"/>
              </w:rPr>
            </w:pPr>
            <w:r w:rsidRPr="008B6A75">
              <w:rPr>
                <w:color w:val="000000"/>
                <w:sz w:val="20"/>
                <w:szCs w:val="20"/>
              </w:rPr>
              <w:t>рублей</w:t>
            </w:r>
          </w:p>
        </w:tc>
        <w:tc>
          <w:tcPr>
            <w:tcW w:w="1321" w:type="dxa"/>
            <w:tcBorders>
              <w:top w:val="nil"/>
              <w:left w:val="nil"/>
              <w:bottom w:val="single" w:sz="4" w:space="0" w:color="auto"/>
              <w:right w:val="single" w:sz="4" w:space="0" w:color="auto"/>
            </w:tcBorders>
            <w:shd w:val="clear" w:color="auto" w:fill="auto"/>
            <w:vAlign w:val="center"/>
            <w:hideMark/>
          </w:tcPr>
          <w:p w14:paraId="6B89BB13" w14:textId="77777777" w:rsidR="00387142" w:rsidRPr="008B6A75" w:rsidRDefault="00387142" w:rsidP="00387142">
            <w:pPr>
              <w:jc w:val="center"/>
              <w:rPr>
                <w:color w:val="000000"/>
                <w:sz w:val="20"/>
                <w:szCs w:val="20"/>
              </w:rPr>
            </w:pPr>
            <w:proofErr w:type="spellStart"/>
            <w:proofErr w:type="gramStart"/>
            <w:r w:rsidRPr="008B6A75">
              <w:rPr>
                <w:color w:val="000000"/>
                <w:sz w:val="20"/>
                <w:szCs w:val="20"/>
              </w:rPr>
              <w:t>Адми-нистрация</w:t>
            </w:r>
            <w:proofErr w:type="spellEnd"/>
            <w:proofErr w:type="gramEnd"/>
            <w:r w:rsidRPr="008B6A75">
              <w:rPr>
                <w:color w:val="000000"/>
                <w:sz w:val="20"/>
                <w:szCs w:val="20"/>
              </w:rPr>
              <w:t xml:space="preserve"> района</w:t>
            </w:r>
          </w:p>
        </w:tc>
        <w:tc>
          <w:tcPr>
            <w:tcW w:w="3119" w:type="dxa"/>
            <w:tcBorders>
              <w:top w:val="nil"/>
              <w:left w:val="nil"/>
              <w:bottom w:val="single" w:sz="4" w:space="0" w:color="auto"/>
              <w:right w:val="single" w:sz="4" w:space="0" w:color="auto"/>
            </w:tcBorders>
            <w:shd w:val="clear" w:color="auto" w:fill="auto"/>
            <w:vAlign w:val="center"/>
            <w:hideMark/>
          </w:tcPr>
          <w:p w14:paraId="1DDAA843" w14:textId="77777777" w:rsidR="00387142" w:rsidRPr="008B6A75" w:rsidRDefault="00387142" w:rsidP="00387142">
            <w:pPr>
              <w:jc w:val="center"/>
              <w:rPr>
                <w:color w:val="000000"/>
                <w:sz w:val="20"/>
                <w:szCs w:val="20"/>
              </w:rPr>
            </w:pPr>
            <w:r w:rsidRPr="008B6A75">
              <w:rPr>
                <w:color w:val="000000"/>
                <w:sz w:val="20"/>
                <w:szCs w:val="20"/>
              </w:rPr>
              <w:t>Решения о бюджетах поселений (консолидированный бюджет поселений)</w:t>
            </w:r>
          </w:p>
        </w:tc>
      </w:tr>
      <w:tr w:rsidR="00387142" w:rsidRPr="008B6A75" w14:paraId="0A46589D" w14:textId="77777777" w:rsidTr="00387142">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0C9C8D49" w14:textId="77777777" w:rsidR="00387142" w:rsidRPr="008B6A75" w:rsidRDefault="00387142" w:rsidP="00387142">
            <w:pPr>
              <w:jc w:val="center"/>
              <w:rPr>
                <w:color w:val="000000"/>
                <w:sz w:val="20"/>
                <w:szCs w:val="20"/>
              </w:rPr>
            </w:pPr>
            <w:r w:rsidRPr="008B6A75">
              <w:rPr>
                <w:color w:val="000000"/>
                <w:sz w:val="20"/>
                <w:szCs w:val="20"/>
              </w:rPr>
              <w:t>14</w:t>
            </w:r>
          </w:p>
        </w:tc>
        <w:tc>
          <w:tcPr>
            <w:tcW w:w="3164" w:type="dxa"/>
            <w:tcBorders>
              <w:top w:val="nil"/>
              <w:left w:val="nil"/>
              <w:bottom w:val="single" w:sz="4" w:space="0" w:color="auto"/>
              <w:right w:val="single" w:sz="4" w:space="0" w:color="auto"/>
            </w:tcBorders>
            <w:shd w:val="clear" w:color="auto" w:fill="auto"/>
            <w:vAlign w:val="center"/>
            <w:hideMark/>
          </w:tcPr>
          <w:p w14:paraId="6CE4E9BB" w14:textId="77777777" w:rsidR="00387142" w:rsidRPr="008B6A75" w:rsidRDefault="00387142" w:rsidP="00387142">
            <w:pPr>
              <w:rPr>
                <w:color w:val="000000"/>
                <w:sz w:val="20"/>
                <w:szCs w:val="20"/>
              </w:rPr>
            </w:pPr>
            <w:r w:rsidRPr="008B6A75">
              <w:rPr>
                <w:color w:val="000000"/>
                <w:sz w:val="20"/>
                <w:szCs w:val="20"/>
              </w:rPr>
              <w:t>Количество населенных пунктов по поселениям</w:t>
            </w:r>
          </w:p>
        </w:tc>
        <w:tc>
          <w:tcPr>
            <w:tcW w:w="1187" w:type="dxa"/>
            <w:tcBorders>
              <w:top w:val="nil"/>
              <w:left w:val="nil"/>
              <w:bottom w:val="single" w:sz="4" w:space="0" w:color="auto"/>
              <w:right w:val="single" w:sz="4" w:space="0" w:color="auto"/>
            </w:tcBorders>
            <w:shd w:val="clear" w:color="auto" w:fill="auto"/>
            <w:noWrap/>
            <w:vAlign w:val="center"/>
            <w:hideMark/>
          </w:tcPr>
          <w:p w14:paraId="24E79E53" w14:textId="77777777" w:rsidR="00387142" w:rsidRPr="008B6A75" w:rsidRDefault="00387142" w:rsidP="00387142">
            <w:pPr>
              <w:jc w:val="center"/>
              <w:rPr>
                <w:color w:val="000000"/>
                <w:sz w:val="20"/>
                <w:szCs w:val="20"/>
              </w:rPr>
            </w:pPr>
            <w:r w:rsidRPr="008B6A75">
              <w:rPr>
                <w:color w:val="000000"/>
                <w:sz w:val="20"/>
                <w:szCs w:val="20"/>
              </w:rPr>
              <w:t>шт.</w:t>
            </w:r>
          </w:p>
        </w:tc>
        <w:tc>
          <w:tcPr>
            <w:tcW w:w="1321" w:type="dxa"/>
            <w:tcBorders>
              <w:top w:val="nil"/>
              <w:left w:val="nil"/>
              <w:bottom w:val="single" w:sz="4" w:space="0" w:color="auto"/>
              <w:right w:val="single" w:sz="4" w:space="0" w:color="auto"/>
            </w:tcBorders>
            <w:shd w:val="clear" w:color="auto" w:fill="auto"/>
            <w:vAlign w:val="center"/>
            <w:hideMark/>
          </w:tcPr>
          <w:p w14:paraId="64B1A580" w14:textId="77777777" w:rsidR="00387142" w:rsidRPr="008B6A75" w:rsidRDefault="00387142" w:rsidP="00387142">
            <w:pPr>
              <w:jc w:val="center"/>
              <w:rPr>
                <w:color w:val="000000"/>
                <w:sz w:val="20"/>
                <w:szCs w:val="20"/>
              </w:rPr>
            </w:pPr>
            <w:r w:rsidRPr="008B6A75">
              <w:rPr>
                <w:color w:val="000000"/>
                <w:sz w:val="20"/>
                <w:szCs w:val="20"/>
              </w:rPr>
              <w:t> </w:t>
            </w:r>
          </w:p>
        </w:tc>
        <w:tc>
          <w:tcPr>
            <w:tcW w:w="3119" w:type="dxa"/>
            <w:tcBorders>
              <w:top w:val="nil"/>
              <w:left w:val="nil"/>
              <w:bottom w:val="single" w:sz="4" w:space="0" w:color="auto"/>
              <w:right w:val="single" w:sz="4" w:space="0" w:color="auto"/>
            </w:tcBorders>
            <w:shd w:val="clear" w:color="auto" w:fill="auto"/>
            <w:vAlign w:val="center"/>
            <w:hideMark/>
          </w:tcPr>
          <w:p w14:paraId="0E27070E" w14:textId="77777777" w:rsidR="00387142" w:rsidRPr="008B6A75" w:rsidRDefault="00387142" w:rsidP="00387142">
            <w:pPr>
              <w:jc w:val="center"/>
              <w:rPr>
                <w:color w:val="000000"/>
                <w:sz w:val="20"/>
                <w:szCs w:val="20"/>
              </w:rPr>
            </w:pPr>
            <w:r w:rsidRPr="008B6A75">
              <w:rPr>
                <w:color w:val="000000"/>
                <w:sz w:val="20"/>
                <w:szCs w:val="20"/>
              </w:rPr>
              <w:t>Закон НСО от 02.06.2004 №200-ОЗ</w:t>
            </w:r>
          </w:p>
        </w:tc>
      </w:tr>
      <w:tr w:rsidR="00387142" w:rsidRPr="008B6A75" w14:paraId="503B8FC4" w14:textId="77777777" w:rsidTr="00387142">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47C23F2C" w14:textId="77777777" w:rsidR="00387142" w:rsidRPr="008B6A75" w:rsidRDefault="00387142" w:rsidP="00387142">
            <w:pPr>
              <w:jc w:val="center"/>
              <w:rPr>
                <w:color w:val="000000"/>
                <w:sz w:val="20"/>
                <w:szCs w:val="20"/>
              </w:rPr>
            </w:pPr>
            <w:r w:rsidRPr="008B6A75">
              <w:rPr>
                <w:color w:val="000000"/>
                <w:sz w:val="20"/>
                <w:szCs w:val="20"/>
              </w:rPr>
              <w:t>15</w:t>
            </w:r>
          </w:p>
        </w:tc>
        <w:tc>
          <w:tcPr>
            <w:tcW w:w="3164" w:type="dxa"/>
            <w:tcBorders>
              <w:top w:val="nil"/>
              <w:left w:val="nil"/>
              <w:bottom w:val="single" w:sz="4" w:space="0" w:color="auto"/>
              <w:right w:val="single" w:sz="4" w:space="0" w:color="auto"/>
            </w:tcBorders>
            <w:shd w:val="clear" w:color="auto" w:fill="auto"/>
            <w:vAlign w:val="center"/>
            <w:hideMark/>
          </w:tcPr>
          <w:p w14:paraId="01FE6769" w14:textId="77777777" w:rsidR="00387142" w:rsidRPr="008B6A75" w:rsidRDefault="00387142" w:rsidP="00387142">
            <w:pPr>
              <w:rPr>
                <w:color w:val="000000"/>
                <w:sz w:val="20"/>
                <w:szCs w:val="20"/>
              </w:rPr>
            </w:pPr>
            <w:r w:rsidRPr="008B6A75">
              <w:rPr>
                <w:color w:val="000000"/>
                <w:sz w:val="20"/>
                <w:szCs w:val="20"/>
              </w:rPr>
              <w:t>Количество поселений в муниципальном районе</w:t>
            </w:r>
          </w:p>
        </w:tc>
        <w:tc>
          <w:tcPr>
            <w:tcW w:w="1187" w:type="dxa"/>
            <w:tcBorders>
              <w:top w:val="nil"/>
              <w:left w:val="nil"/>
              <w:bottom w:val="single" w:sz="4" w:space="0" w:color="auto"/>
              <w:right w:val="single" w:sz="4" w:space="0" w:color="auto"/>
            </w:tcBorders>
            <w:shd w:val="clear" w:color="auto" w:fill="auto"/>
            <w:noWrap/>
            <w:vAlign w:val="center"/>
            <w:hideMark/>
          </w:tcPr>
          <w:p w14:paraId="17D1D441" w14:textId="77777777" w:rsidR="00387142" w:rsidRPr="008B6A75" w:rsidRDefault="00387142" w:rsidP="00387142">
            <w:pPr>
              <w:jc w:val="center"/>
              <w:rPr>
                <w:color w:val="000000"/>
                <w:sz w:val="20"/>
                <w:szCs w:val="20"/>
              </w:rPr>
            </w:pPr>
            <w:r w:rsidRPr="008B6A75">
              <w:rPr>
                <w:color w:val="000000"/>
                <w:sz w:val="20"/>
                <w:szCs w:val="20"/>
              </w:rPr>
              <w:t>шт.</w:t>
            </w:r>
          </w:p>
        </w:tc>
        <w:tc>
          <w:tcPr>
            <w:tcW w:w="1321" w:type="dxa"/>
            <w:tcBorders>
              <w:top w:val="nil"/>
              <w:left w:val="nil"/>
              <w:bottom w:val="single" w:sz="4" w:space="0" w:color="auto"/>
              <w:right w:val="single" w:sz="4" w:space="0" w:color="auto"/>
            </w:tcBorders>
            <w:shd w:val="clear" w:color="auto" w:fill="auto"/>
            <w:vAlign w:val="center"/>
            <w:hideMark/>
          </w:tcPr>
          <w:p w14:paraId="67C8826D" w14:textId="77777777" w:rsidR="00387142" w:rsidRPr="008B6A75" w:rsidRDefault="00387142" w:rsidP="00387142">
            <w:pPr>
              <w:jc w:val="center"/>
              <w:rPr>
                <w:color w:val="000000"/>
                <w:sz w:val="20"/>
                <w:szCs w:val="20"/>
              </w:rPr>
            </w:pPr>
            <w:r w:rsidRPr="008B6A75">
              <w:rPr>
                <w:color w:val="000000"/>
                <w:sz w:val="20"/>
                <w:szCs w:val="20"/>
              </w:rPr>
              <w:t> </w:t>
            </w:r>
          </w:p>
        </w:tc>
        <w:tc>
          <w:tcPr>
            <w:tcW w:w="3119" w:type="dxa"/>
            <w:tcBorders>
              <w:top w:val="nil"/>
              <w:left w:val="nil"/>
              <w:bottom w:val="single" w:sz="4" w:space="0" w:color="auto"/>
              <w:right w:val="single" w:sz="4" w:space="0" w:color="auto"/>
            </w:tcBorders>
            <w:shd w:val="clear" w:color="auto" w:fill="auto"/>
            <w:vAlign w:val="center"/>
            <w:hideMark/>
          </w:tcPr>
          <w:p w14:paraId="12408503" w14:textId="77777777" w:rsidR="00387142" w:rsidRPr="008B6A75" w:rsidRDefault="00387142" w:rsidP="00387142">
            <w:pPr>
              <w:jc w:val="center"/>
              <w:rPr>
                <w:color w:val="000000"/>
                <w:sz w:val="20"/>
                <w:szCs w:val="20"/>
              </w:rPr>
            </w:pPr>
            <w:r w:rsidRPr="008B6A75">
              <w:rPr>
                <w:color w:val="000000"/>
                <w:sz w:val="20"/>
                <w:szCs w:val="20"/>
              </w:rPr>
              <w:t>Закон НСО от 02.06.2004 №200-ОЗ</w:t>
            </w:r>
          </w:p>
        </w:tc>
      </w:tr>
      <w:tr w:rsidR="00387142" w:rsidRPr="008B6A75" w14:paraId="484AF74C" w14:textId="77777777" w:rsidTr="00387142">
        <w:trPr>
          <w:trHeight w:val="94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18073D94" w14:textId="77777777" w:rsidR="00387142" w:rsidRPr="008B6A75" w:rsidRDefault="00387142" w:rsidP="00387142">
            <w:pPr>
              <w:jc w:val="center"/>
              <w:rPr>
                <w:color w:val="000000"/>
                <w:sz w:val="20"/>
                <w:szCs w:val="20"/>
              </w:rPr>
            </w:pPr>
            <w:r w:rsidRPr="008B6A75">
              <w:rPr>
                <w:color w:val="000000"/>
                <w:sz w:val="20"/>
                <w:szCs w:val="20"/>
              </w:rPr>
              <w:t>16</w:t>
            </w:r>
          </w:p>
        </w:tc>
        <w:tc>
          <w:tcPr>
            <w:tcW w:w="3164" w:type="dxa"/>
            <w:tcBorders>
              <w:top w:val="nil"/>
              <w:left w:val="nil"/>
              <w:bottom w:val="single" w:sz="4" w:space="0" w:color="auto"/>
              <w:right w:val="single" w:sz="4" w:space="0" w:color="auto"/>
            </w:tcBorders>
            <w:shd w:val="clear" w:color="auto" w:fill="auto"/>
            <w:vAlign w:val="center"/>
            <w:hideMark/>
          </w:tcPr>
          <w:p w14:paraId="68D21567" w14:textId="77777777" w:rsidR="00387142" w:rsidRPr="008B6A75" w:rsidRDefault="00387142" w:rsidP="00387142">
            <w:pPr>
              <w:rPr>
                <w:color w:val="000000"/>
                <w:sz w:val="20"/>
                <w:szCs w:val="20"/>
              </w:rPr>
            </w:pPr>
            <w:r w:rsidRPr="008B6A75">
              <w:rPr>
                <w:color w:val="000000"/>
                <w:sz w:val="20"/>
                <w:szCs w:val="20"/>
              </w:rPr>
              <w:t>Удаленность административных центров поселений от административного центра муниципального района</w:t>
            </w:r>
          </w:p>
        </w:tc>
        <w:tc>
          <w:tcPr>
            <w:tcW w:w="1187" w:type="dxa"/>
            <w:tcBorders>
              <w:top w:val="nil"/>
              <w:left w:val="nil"/>
              <w:bottom w:val="single" w:sz="4" w:space="0" w:color="auto"/>
              <w:right w:val="single" w:sz="4" w:space="0" w:color="auto"/>
            </w:tcBorders>
            <w:shd w:val="clear" w:color="auto" w:fill="auto"/>
            <w:noWrap/>
            <w:vAlign w:val="center"/>
            <w:hideMark/>
          </w:tcPr>
          <w:p w14:paraId="5E8C0AED" w14:textId="77777777" w:rsidR="00387142" w:rsidRPr="008B6A75" w:rsidRDefault="00387142" w:rsidP="00387142">
            <w:pPr>
              <w:jc w:val="center"/>
              <w:rPr>
                <w:color w:val="000000"/>
                <w:sz w:val="20"/>
                <w:szCs w:val="20"/>
              </w:rPr>
            </w:pPr>
            <w:r w:rsidRPr="008B6A75">
              <w:rPr>
                <w:color w:val="000000"/>
                <w:sz w:val="20"/>
                <w:szCs w:val="20"/>
              </w:rPr>
              <w:t>км</w:t>
            </w:r>
          </w:p>
        </w:tc>
        <w:tc>
          <w:tcPr>
            <w:tcW w:w="1321" w:type="dxa"/>
            <w:tcBorders>
              <w:top w:val="nil"/>
              <w:left w:val="nil"/>
              <w:bottom w:val="single" w:sz="4" w:space="0" w:color="auto"/>
              <w:right w:val="single" w:sz="4" w:space="0" w:color="auto"/>
            </w:tcBorders>
            <w:shd w:val="clear" w:color="auto" w:fill="auto"/>
            <w:vAlign w:val="center"/>
            <w:hideMark/>
          </w:tcPr>
          <w:p w14:paraId="3D8BFF43" w14:textId="77777777" w:rsidR="00387142" w:rsidRPr="008B6A75" w:rsidRDefault="00387142" w:rsidP="00387142">
            <w:pPr>
              <w:jc w:val="center"/>
              <w:rPr>
                <w:color w:val="000000"/>
                <w:sz w:val="20"/>
                <w:szCs w:val="20"/>
              </w:rPr>
            </w:pPr>
            <w:r w:rsidRPr="008B6A75">
              <w:rPr>
                <w:color w:val="000000"/>
                <w:sz w:val="20"/>
                <w:szCs w:val="20"/>
              </w:rPr>
              <w:t>Минтранс НСО</w:t>
            </w:r>
          </w:p>
        </w:tc>
        <w:tc>
          <w:tcPr>
            <w:tcW w:w="3119" w:type="dxa"/>
            <w:tcBorders>
              <w:top w:val="nil"/>
              <w:left w:val="nil"/>
              <w:bottom w:val="single" w:sz="4" w:space="0" w:color="auto"/>
              <w:right w:val="single" w:sz="4" w:space="0" w:color="auto"/>
            </w:tcBorders>
            <w:shd w:val="clear" w:color="auto" w:fill="auto"/>
            <w:noWrap/>
            <w:vAlign w:val="center"/>
            <w:hideMark/>
          </w:tcPr>
          <w:p w14:paraId="3ECC8D06" w14:textId="77777777" w:rsidR="00387142" w:rsidRPr="008B6A75" w:rsidRDefault="00387142" w:rsidP="00387142">
            <w:pPr>
              <w:jc w:val="center"/>
              <w:rPr>
                <w:color w:val="000000"/>
                <w:sz w:val="20"/>
                <w:szCs w:val="20"/>
              </w:rPr>
            </w:pPr>
            <w:r w:rsidRPr="008B6A75">
              <w:rPr>
                <w:color w:val="000000"/>
                <w:sz w:val="20"/>
                <w:szCs w:val="20"/>
              </w:rPr>
              <w:t>Атлас автомобильных дорог</w:t>
            </w:r>
          </w:p>
        </w:tc>
      </w:tr>
      <w:tr w:rsidR="00387142" w:rsidRPr="008B6A75" w14:paraId="67143BF1" w14:textId="77777777" w:rsidTr="00387142">
        <w:trPr>
          <w:trHeight w:val="628"/>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7EFDE976" w14:textId="77777777" w:rsidR="00387142" w:rsidRPr="008B6A75" w:rsidRDefault="00387142" w:rsidP="00387142">
            <w:pPr>
              <w:jc w:val="center"/>
              <w:rPr>
                <w:color w:val="000000"/>
                <w:sz w:val="20"/>
                <w:szCs w:val="20"/>
              </w:rPr>
            </w:pPr>
            <w:r w:rsidRPr="008B6A75">
              <w:rPr>
                <w:color w:val="000000"/>
                <w:sz w:val="20"/>
                <w:szCs w:val="20"/>
              </w:rPr>
              <w:t>17</w:t>
            </w:r>
          </w:p>
        </w:tc>
        <w:tc>
          <w:tcPr>
            <w:tcW w:w="3164" w:type="dxa"/>
            <w:tcBorders>
              <w:top w:val="nil"/>
              <w:left w:val="nil"/>
              <w:bottom w:val="single" w:sz="4" w:space="0" w:color="auto"/>
              <w:right w:val="single" w:sz="4" w:space="0" w:color="auto"/>
            </w:tcBorders>
            <w:shd w:val="clear" w:color="auto" w:fill="auto"/>
            <w:vAlign w:val="center"/>
            <w:hideMark/>
          </w:tcPr>
          <w:p w14:paraId="6DF23F50" w14:textId="77777777" w:rsidR="00387142" w:rsidRPr="008B6A75" w:rsidRDefault="00387142" w:rsidP="00387142">
            <w:pPr>
              <w:rPr>
                <w:color w:val="000000"/>
                <w:sz w:val="20"/>
                <w:szCs w:val="20"/>
              </w:rPr>
            </w:pPr>
            <w:r w:rsidRPr="008B6A75">
              <w:rPr>
                <w:color w:val="000000"/>
                <w:sz w:val="20"/>
                <w:szCs w:val="20"/>
              </w:rPr>
              <w:t>Объём нежилого фонда, находящегося в муниципальной собственности в разрезе поселений</w:t>
            </w:r>
          </w:p>
        </w:tc>
        <w:tc>
          <w:tcPr>
            <w:tcW w:w="1187" w:type="dxa"/>
            <w:tcBorders>
              <w:top w:val="nil"/>
              <w:left w:val="nil"/>
              <w:bottom w:val="single" w:sz="4" w:space="0" w:color="auto"/>
              <w:right w:val="single" w:sz="4" w:space="0" w:color="auto"/>
            </w:tcBorders>
            <w:shd w:val="clear" w:color="auto" w:fill="auto"/>
            <w:noWrap/>
            <w:vAlign w:val="center"/>
            <w:hideMark/>
          </w:tcPr>
          <w:p w14:paraId="0173CC30" w14:textId="77777777" w:rsidR="00387142" w:rsidRPr="008B6A75" w:rsidRDefault="00387142" w:rsidP="00387142">
            <w:pPr>
              <w:jc w:val="center"/>
              <w:rPr>
                <w:color w:val="000000"/>
                <w:sz w:val="20"/>
                <w:szCs w:val="20"/>
              </w:rPr>
            </w:pPr>
            <w:r w:rsidRPr="008B6A75">
              <w:rPr>
                <w:color w:val="000000"/>
                <w:sz w:val="20"/>
                <w:szCs w:val="20"/>
              </w:rPr>
              <w:t>м3</w:t>
            </w:r>
          </w:p>
        </w:tc>
        <w:tc>
          <w:tcPr>
            <w:tcW w:w="1321" w:type="dxa"/>
            <w:tcBorders>
              <w:top w:val="nil"/>
              <w:left w:val="nil"/>
              <w:bottom w:val="single" w:sz="4" w:space="0" w:color="auto"/>
              <w:right w:val="single" w:sz="4" w:space="0" w:color="auto"/>
            </w:tcBorders>
            <w:shd w:val="clear" w:color="auto" w:fill="auto"/>
            <w:vAlign w:val="center"/>
            <w:hideMark/>
          </w:tcPr>
          <w:p w14:paraId="526D051C" w14:textId="77777777" w:rsidR="00387142" w:rsidRPr="008B6A75" w:rsidRDefault="00387142" w:rsidP="00387142">
            <w:pPr>
              <w:jc w:val="center"/>
              <w:rPr>
                <w:color w:val="000000"/>
                <w:sz w:val="20"/>
                <w:szCs w:val="20"/>
              </w:rPr>
            </w:pPr>
            <w:proofErr w:type="spellStart"/>
            <w:proofErr w:type="gramStart"/>
            <w:r w:rsidRPr="008B6A75">
              <w:rPr>
                <w:color w:val="000000"/>
                <w:sz w:val="20"/>
                <w:szCs w:val="20"/>
              </w:rPr>
              <w:t>Адми-нистрации</w:t>
            </w:r>
            <w:proofErr w:type="spellEnd"/>
            <w:proofErr w:type="gramEnd"/>
            <w:r w:rsidRPr="008B6A75">
              <w:rPr>
                <w:color w:val="000000"/>
                <w:sz w:val="20"/>
                <w:szCs w:val="20"/>
              </w:rPr>
              <w:t xml:space="preserve"> поселений</w:t>
            </w:r>
          </w:p>
        </w:tc>
        <w:tc>
          <w:tcPr>
            <w:tcW w:w="3119" w:type="dxa"/>
            <w:tcBorders>
              <w:top w:val="nil"/>
              <w:left w:val="nil"/>
              <w:bottom w:val="single" w:sz="4" w:space="0" w:color="auto"/>
              <w:right w:val="single" w:sz="4" w:space="0" w:color="auto"/>
            </w:tcBorders>
            <w:shd w:val="clear" w:color="auto" w:fill="auto"/>
            <w:noWrap/>
            <w:vAlign w:val="center"/>
            <w:hideMark/>
          </w:tcPr>
          <w:p w14:paraId="3B69DB70" w14:textId="77777777" w:rsidR="00387142" w:rsidRPr="008B6A75" w:rsidRDefault="00387142" w:rsidP="00387142">
            <w:pPr>
              <w:jc w:val="center"/>
              <w:rPr>
                <w:color w:val="000000"/>
                <w:sz w:val="20"/>
                <w:szCs w:val="20"/>
              </w:rPr>
            </w:pPr>
            <w:r w:rsidRPr="008B6A75">
              <w:rPr>
                <w:color w:val="000000"/>
                <w:sz w:val="20"/>
                <w:szCs w:val="20"/>
              </w:rPr>
              <w:t>Паспорта зданий</w:t>
            </w:r>
          </w:p>
        </w:tc>
      </w:tr>
      <w:tr w:rsidR="00387142" w:rsidRPr="008B6A75" w14:paraId="4870E3E6" w14:textId="77777777" w:rsidTr="00387142">
        <w:trPr>
          <w:trHeight w:val="94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0E4C67BE" w14:textId="77777777" w:rsidR="00387142" w:rsidRPr="008B6A75" w:rsidRDefault="00387142" w:rsidP="00387142">
            <w:pPr>
              <w:jc w:val="center"/>
              <w:rPr>
                <w:color w:val="000000"/>
                <w:sz w:val="20"/>
                <w:szCs w:val="20"/>
              </w:rPr>
            </w:pPr>
            <w:r w:rsidRPr="008B6A75">
              <w:rPr>
                <w:color w:val="000000"/>
                <w:sz w:val="20"/>
                <w:szCs w:val="20"/>
              </w:rPr>
              <w:t>18</w:t>
            </w:r>
          </w:p>
        </w:tc>
        <w:tc>
          <w:tcPr>
            <w:tcW w:w="3164" w:type="dxa"/>
            <w:tcBorders>
              <w:top w:val="nil"/>
              <w:left w:val="nil"/>
              <w:bottom w:val="single" w:sz="4" w:space="0" w:color="auto"/>
              <w:right w:val="single" w:sz="4" w:space="0" w:color="auto"/>
            </w:tcBorders>
            <w:shd w:val="clear" w:color="auto" w:fill="auto"/>
            <w:vAlign w:val="center"/>
            <w:hideMark/>
          </w:tcPr>
          <w:p w14:paraId="243499AD" w14:textId="77777777" w:rsidR="00387142" w:rsidRPr="008B6A75" w:rsidRDefault="00387142" w:rsidP="00387142">
            <w:pPr>
              <w:rPr>
                <w:sz w:val="20"/>
                <w:szCs w:val="20"/>
              </w:rPr>
            </w:pPr>
            <w:r w:rsidRPr="008B6A75">
              <w:rPr>
                <w:color w:val="000000"/>
                <w:sz w:val="20"/>
                <w:szCs w:val="20"/>
              </w:rPr>
              <w:t>Остаточная стоимость основных средств, находящихся в муниципальной собственности в разрезе поселений</w:t>
            </w:r>
          </w:p>
        </w:tc>
        <w:tc>
          <w:tcPr>
            <w:tcW w:w="1187" w:type="dxa"/>
            <w:tcBorders>
              <w:top w:val="nil"/>
              <w:left w:val="nil"/>
              <w:bottom w:val="single" w:sz="4" w:space="0" w:color="auto"/>
              <w:right w:val="single" w:sz="4" w:space="0" w:color="auto"/>
            </w:tcBorders>
            <w:shd w:val="clear" w:color="auto" w:fill="auto"/>
            <w:noWrap/>
            <w:vAlign w:val="center"/>
            <w:hideMark/>
          </w:tcPr>
          <w:p w14:paraId="10F8376D" w14:textId="77777777" w:rsidR="00387142" w:rsidRPr="008B6A75" w:rsidRDefault="00387142" w:rsidP="00387142">
            <w:pPr>
              <w:jc w:val="center"/>
              <w:rPr>
                <w:color w:val="000000"/>
                <w:sz w:val="20"/>
                <w:szCs w:val="20"/>
              </w:rPr>
            </w:pPr>
            <w:r w:rsidRPr="008B6A75">
              <w:rPr>
                <w:color w:val="000000"/>
                <w:sz w:val="20"/>
                <w:szCs w:val="20"/>
              </w:rPr>
              <w:t>рублей</w:t>
            </w:r>
          </w:p>
        </w:tc>
        <w:tc>
          <w:tcPr>
            <w:tcW w:w="1321" w:type="dxa"/>
            <w:tcBorders>
              <w:top w:val="nil"/>
              <w:left w:val="nil"/>
              <w:bottom w:val="single" w:sz="4" w:space="0" w:color="auto"/>
              <w:right w:val="single" w:sz="4" w:space="0" w:color="auto"/>
            </w:tcBorders>
            <w:shd w:val="clear" w:color="auto" w:fill="auto"/>
            <w:vAlign w:val="center"/>
            <w:hideMark/>
          </w:tcPr>
          <w:p w14:paraId="1D72FF35" w14:textId="77777777" w:rsidR="00387142" w:rsidRPr="008B6A75" w:rsidRDefault="00387142" w:rsidP="00387142">
            <w:pPr>
              <w:jc w:val="center"/>
              <w:rPr>
                <w:color w:val="000000"/>
                <w:sz w:val="20"/>
                <w:szCs w:val="20"/>
              </w:rPr>
            </w:pPr>
            <w:proofErr w:type="spellStart"/>
            <w:proofErr w:type="gramStart"/>
            <w:r w:rsidRPr="008B6A75">
              <w:rPr>
                <w:color w:val="000000"/>
                <w:sz w:val="20"/>
                <w:szCs w:val="20"/>
              </w:rPr>
              <w:t>Адми-нистрации</w:t>
            </w:r>
            <w:proofErr w:type="spellEnd"/>
            <w:proofErr w:type="gramEnd"/>
            <w:r w:rsidRPr="008B6A75">
              <w:rPr>
                <w:color w:val="000000"/>
                <w:sz w:val="20"/>
                <w:szCs w:val="20"/>
              </w:rPr>
              <w:t xml:space="preserve"> поселений</w:t>
            </w:r>
          </w:p>
        </w:tc>
        <w:tc>
          <w:tcPr>
            <w:tcW w:w="3119" w:type="dxa"/>
            <w:tcBorders>
              <w:top w:val="nil"/>
              <w:left w:val="nil"/>
              <w:bottom w:val="single" w:sz="4" w:space="0" w:color="auto"/>
              <w:right w:val="single" w:sz="4" w:space="0" w:color="auto"/>
            </w:tcBorders>
            <w:shd w:val="clear" w:color="auto" w:fill="auto"/>
            <w:noWrap/>
            <w:vAlign w:val="center"/>
            <w:hideMark/>
          </w:tcPr>
          <w:p w14:paraId="5FB546FB" w14:textId="77777777" w:rsidR="00387142" w:rsidRPr="008B6A75" w:rsidRDefault="00387142" w:rsidP="00387142">
            <w:pPr>
              <w:jc w:val="center"/>
              <w:rPr>
                <w:color w:val="000000"/>
                <w:sz w:val="20"/>
                <w:szCs w:val="20"/>
              </w:rPr>
            </w:pPr>
            <w:r w:rsidRPr="008B6A75">
              <w:rPr>
                <w:color w:val="000000"/>
                <w:sz w:val="20"/>
                <w:szCs w:val="20"/>
              </w:rPr>
              <w:t>Бухгалтерская отчетность</w:t>
            </w:r>
          </w:p>
        </w:tc>
      </w:tr>
    </w:tbl>
    <w:p w14:paraId="2DE3CACB" w14:textId="77777777" w:rsidR="00387142" w:rsidRPr="008B6A75" w:rsidRDefault="00387142" w:rsidP="00387142">
      <w:pPr>
        <w:ind w:firstLine="709"/>
        <w:jc w:val="both"/>
        <w:rPr>
          <w:sz w:val="20"/>
          <w:szCs w:val="20"/>
        </w:rPr>
      </w:pPr>
    </w:p>
    <w:p w14:paraId="16E7983A" w14:textId="77777777" w:rsidR="00387142" w:rsidRPr="008B6A75" w:rsidRDefault="00387142" w:rsidP="00387142">
      <w:pPr>
        <w:ind w:firstLine="709"/>
        <w:jc w:val="both"/>
        <w:rPr>
          <w:sz w:val="20"/>
          <w:szCs w:val="20"/>
          <w:u w:val="single"/>
        </w:rPr>
      </w:pPr>
      <w:r w:rsidRPr="008B6A75">
        <w:rPr>
          <w:sz w:val="20"/>
          <w:szCs w:val="20"/>
        </w:rPr>
        <w:t>Тарифы и все сопутствующие показатели (себестоимость, фактический полезный отпуск) должны быть сопоставимы.</w:t>
      </w:r>
    </w:p>
    <w:p w14:paraId="4DC7B1AD" w14:textId="77777777" w:rsidR="00387142" w:rsidRPr="008B6A75" w:rsidRDefault="00387142" w:rsidP="00387142">
      <w:pPr>
        <w:rPr>
          <w:sz w:val="20"/>
          <w:szCs w:val="20"/>
        </w:rPr>
      </w:pPr>
    </w:p>
    <w:p w14:paraId="00F81411" w14:textId="77777777" w:rsidR="00387142" w:rsidRPr="008B6A75" w:rsidRDefault="00387142" w:rsidP="00387142">
      <w:pPr>
        <w:spacing w:line="240" w:lineRule="atLeast"/>
        <w:jc w:val="center"/>
        <w:rPr>
          <w:sz w:val="20"/>
          <w:szCs w:val="20"/>
        </w:rPr>
      </w:pPr>
      <w:r w:rsidRPr="008B6A75">
        <w:rPr>
          <w:noProof/>
          <w:sz w:val="20"/>
          <w:szCs w:val="20"/>
        </w:rPr>
        <w:drawing>
          <wp:inline distT="0" distB="0" distL="0" distR="0" wp14:anchorId="36E532B3" wp14:editId="11D6C33D">
            <wp:extent cx="329741" cy="394412"/>
            <wp:effectExtent l="0" t="0" r="0" b="571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6670" cy="402700"/>
                    </a:xfrm>
                    <a:prstGeom prst="rect">
                      <a:avLst/>
                    </a:prstGeom>
                    <a:noFill/>
                    <a:ln>
                      <a:noFill/>
                    </a:ln>
                  </pic:spPr>
                </pic:pic>
              </a:graphicData>
            </a:graphic>
          </wp:inline>
        </w:drawing>
      </w:r>
    </w:p>
    <w:p w14:paraId="482677F6" w14:textId="77777777" w:rsidR="00387142" w:rsidRPr="008B6A75" w:rsidRDefault="00387142" w:rsidP="00387142">
      <w:pPr>
        <w:widowControl w:val="0"/>
        <w:autoSpaceDE w:val="0"/>
        <w:autoSpaceDN w:val="0"/>
        <w:adjustRightInd w:val="0"/>
        <w:spacing w:line="240" w:lineRule="atLeast"/>
        <w:jc w:val="center"/>
        <w:rPr>
          <w:bCs/>
          <w:sz w:val="20"/>
          <w:szCs w:val="20"/>
        </w:rPr>
      </w:pPr>
    </w:p>
    <w:p w14:paraId="06D50385" w14:textId="77777777" w:rsidR="00387142" w:rsidRPr="008B6A75" w:rsidRDefault="00387142" w:rsidP="00387142">
      <w:pPr>
        <w:widowControl w:val="0"/>
        <w:autoSpaceDE w:val="0"/>
        <w:autoSpaceDN w:val="0"/>
        <w:adjustRightInd w:val="0"/>
        <w:spacing w:line="240" w:lineRule="atLeast"/>
        <w:jc w:val="center"/>
        <w:rPr>
          <w:bCs/>
          <w:sz w:val="20"/>
          <w:szCs w:val="20"/>
        </w:rPr>
      </w:pPr>
      <w:r w:rsidRPr="008B6A75">
        <w:rPr>
          <w:bCs/>
          <w:sz w:val="20"/>
          <w:szCs w:val="20"/>
        </w:rPr>
        <w:t>СОВЕТ ДЕПУТАТОВ</w:t>
      </w:r>
    </w:p>
    <w:p w14:paraId="34F4BA84" w14:textId="77777777" w:rsidR="00387142" w:rsidRPr="008B6A75" w:rsidRDefault="00387142" w:rsidP="00387142">
      <w:pPr>
        <w:widowControl w:val="0"/>
        <w:autoSpaceDE w:val="0"/>
        <w:autoSpaceDN w:val="0"/>
        <w:adjustRightInd w:val="0"/>
        <w:spacing w:line="240" w:lineRule="atLeast"/>
        <w:jc w:val="center"/>
        <w:rPr>
          <w:bCs/>
          <w:sz w:val="20"/>
          <w:szCs w:val="20"/>
        </w:rPr>
      </w:pPr>
      <w:r w:rsidRPr="008B6A75">
        <w:rPr>
          <w:bCs/>
          <w:sz w:val="20"/>
          <w:szCs w:val="20"/>
        </w:rPr>
        <w:t>КУЙБЫШЕВСКОГО МУНИЦИПАЛЬНОГО РАЙОНА</w:t>
      </w:r>
    </w:p>
    <w:p w14:paraId="2BA43272" w14:textId="77777777" w:rsidR="00387142" w:rsidRPr="008B6A75" w:rsidRDefault="00387142" w:rsidP="00387142">
      <w:pPr>
        <w:widowControl w:val="0"/>
        <w:autoSpaceDE w:val="0"/>
        <w:autoSpaceDN w:val="0"/>
        <w:adjustRightInd w:val="0"/>
        <w:spacing w:line="240" w:lineRule="atLeast"/>
        <w:jc w:val="center"/>
        <w:rPr>
          <w:bCs/>
          <w:sz w:val="20"/>
          <w:szCs w:val="20"/>
        </w:rPr>
      </w:pPr>
      <w:r w:rsidRPr="008B6A75">
        <w:rPr>
          <w:bCs/>
          <w:sz w:val="20"/>
          <w:szCs w:val="20"/>
        </w:rPr>
        <w:t xml:space="preserve">НОВОСИБИРСКОЙ ОБЛАСТИ </w:t>
      </w:r>
    </w:p>
    <w:p w14:paraId="553006BF" w14:textId="77777777" w:rsidR="00387142" w:rsidRPr="008B6A75" w:rsidRDefault="00387142" w:rsidP="00387142">
      <w:pPr>
        <w:widowControl w:val="0"/>
        <w:autoSpaceDE w:val="0"/>
        <w:autoSpaceDN w:val="0"/>
        <w:adjustRightInd w:val="0"/>
        <w:spacing w:line="240" w:lineRule="atLeast"/>
        <w:jc w:val="center"/>
        <w:rPr>
          <w:bCs/>
          <w:sz w:val="20"/>
          <w:szCs w:val="20"/>
        </w:rPr>
      </w:pPr>
      <w:r w:rsidRPr="008B6A75">
        <w:rPr>
          <w:bCs/>
          <w:sz w:val="20"/>
          <w:szCs w:val="20"/>
        </w:rPr>
        <w:t>ЧЕТВЕРТОГО СОЗЫВА</w:t>
      </w:r>
    </w:p>
    <w:p w14:paraId="2E7FA43B" w14:textId="77777777" w:rsidR="00387142" w:rsidRPr="008B6A75" w:rsidRDefault="00387142" w:rsidP="00387142">
      <w:pPr>
        <w:widowControl w:val="0"/>
        <w:autoSpaceDE w:val="0"/>
        <w:autoSpaceDN w:val="0"/>
        <w:adjustRightInd w:val="0"/>
        <w:spacing w:line="240" w:lineRule="atLeast"/>
        <w:jc w:val="center"/>
        <w:rPr>
          <w:bCs/>
          <w:sz w:val="20"/>
          <w:szCs w:val="20"/>
        </w:rPr>
      </w:pPr>
    </w:p>
    <w:p w14:paraId="71CC32EA" w14:textId="77777777" w:rsidR="00387142" w:rsidRPr="008B6A75" w:rsidRDefault="00387142" w:rsidP="00387142">
      <w:pPr>
        <w:widowControl w:val="0"/>
        <w:autoSpaceDE w:val="0"/>
        <w:autoSpaceDN w:val="0"/>
        <w:adjustRightInd w:val="0"/>
        <w:spacing w:line="240" w:lineRule="atLeast"/>
        <w:jc w:val="center"/>
        <w:rPr>
          <w:bCs/>
          <w:sz w:val="20"/>
          <w:szCs w:val="20"/>
        </w:rPr>
      </w:pPr>
      <w:r w:rsidRPr="008B6A75">
        <w:rPr>
          <w:bCs/>
          <w:sz w:val="20"/>
          <w:szCs w:val="20"/>
        </w:rPr>
        <w:t>РЕШЕНИЕ</w:t>
      </w:r>
    </w:p>
    <w:p w14:paraId="41CA1FC9" w14:textId="77777777" w:rsidR="00387142" w:rsidRPr="008B6A75" w:rsidRDefault="00387142" w:rsidP="00387142">
      <w:pPr>
        <w:widowControl w:val="0"/>
        <w:autoSpaceDE w:val="0"/>
        <w:autoSpaceDN w:val="0"/>
        <w:adjustRightInd w:val="0"/>
        <w:spacing w:line="240" w:lineRule="atLeast"/>
        <w:jc w:val="center"/>
        <w:rPr>
          <w:bCs/>
          <w:sz w:val="20"/>
          <w:szCs w:val="20"/>
        </w:rPr>
      </w:pPr>
      <w:r w:rsidRPr="008B6A75">
        <w:rPr>
          <w:bCs/>
          <w:sz w:val="20"/>
          <w:szCs w:val="20"/>
        </w:rPr>
        <w:t>двадцать третьей сессии</w:t>
      </w:r>
    </w:p>
    <w:p w14:paraId="023247B4" w14:textId="77777777" w:rsidR="00387142" w:rsidRPr="008B6A75" w:rsidRDefault="00387142" w:rsidP="00387142">
      <w:pPr>
        <w:widowControl w:val="0"/>
        <w:autoSpaceDE w:val="0"/>
        <w:autoSpaceDN w:val="0"/>
        <w:adjustRightInd w:val="0"/>
        <w:spacing w:line="240" w:lineRule="atLeast"/>
        <w:jc w:val="center"/>
        <w:rPr>
          <w:bCs/>
          <w:sz w:val="20"/>
          <w:szCs w:val="20"/>
        </w:rPr>
      </w:pPr>
    </w:p>
    <w:p w14:paraId="5DF56429" w14:textId="77777777" w:rsidR="00387142" w:rsidRPr="008B6A75" w:rsidRDefault="00387142" w:rsidP="00387142">
      <w:pPr>
        <w:autoSpaceDE w:val="0"/>
        <w:autoSpaceDN w:val="0"/>
        <w:adjustRightInd w:val="0"/>
        <w:spacing w:line="240" w:lineRule="atLeast"/>
        <w:jc w:val="center"/>
        <w:rPr>
          <w:sz w:val="20"/>
          <w:szCs w:val="20"/>
        </w:rPr>
      </w:pPr>
      <w:r w:rsidRPr="008B6A75">
        <w:rPr>
          <w:sz w:val="20"/>
          <w:szCs w:val="20"/>
        </w:rPr>
        <w:t>03.11.2022 № 5</w:t>
      </w:r>
    </w:p>
    <w:p w14:paraId="2A105356" w14:textId="77777777" w:rsidR="00387142" w:rsidRPr="008B6A75" w:rsidRDefault="00387142" w:rsidP="00387142">
      <w:pPr>
        <w:autoSpaceDE w:val="0"/>
        <w:autoSpaceDN w:val="0"/>
        <w:adjustRightInd w:val="0"/>
        <w:jc w:val="center"/>
        <w:rPr>
          <w:sz w:val="20"/>
          <w:szCs w:val="20"/>
        </w:rPr>
      </w:pPr>
    </w:p>
    <w:p w14:paraId="4F59DDF0" w14:textId="77777777" w:rsidR="00387142" w:rsidRPr="008B6A75" w:rsidRDefault="00387142" w:rsidP="00387142">
      <w:pPr>
        <w:pStyle w:val="ConsPlusTitle"/>
        <w:widowControl/>
        <w:jc w:val="center"/>
        <w:rPr>
          <w:rFonts w:ascii="Times New Roman" w:hAnsi="Times New Roman" w:cs="Times New Roman"/>
          <w:b w:val="0"/>
          <w:sz w:val="20"/>
          <w:szCs w:val="20"/>
        </w:rPr>
      </w:pPr>
    </w:p>
    <w:p w14:paraId="45A415E8" w14:textId="77777777" w:rsidR="00387142" w:rsidRPr="008B6A75" w:rsidRDefault="00387142" w:rsidP="00387142">
      <w:pPr>
        <w:pStyle w:val="ConsPlusTitle"/>
        <w:widowControl/>
        <w:jc w:val="center"/>
        <w:rPr>
          <w:rFonts w:ascii="Times New Roman" w:eastAsia="Times New Roman" w:hAnsi="Times New Roman" w:cs="Times New Roman"/>
          <w:b w:val="0"/>
          <w:bCs w:val="0"/>
          <w:sz w:val="20"/>
          <w:szCs w:val="20"/>
        </w:rPr>
      </w:pPr>
      <w:r w:rsidRPr="008B6A75">
        <w:rPr>
          <w:rFonts w:ascii="Times New Roman" w:hAnsi="Times New Roman" w:cs="Times New Roman"/>
          <w:b w:val="0"/>
          <w:bCs w:val="0"/>
          <w:sz w:val="20"/>
          <w:szCs w:val="20"/>
        </w:rPr>
        <w:t xml:space="preserve">О внесении изменений в решение </w:t>
      </w:r>
      <w:r w:rsidRPr="008B6A75">
        <w:rPr>
          <w:rFonts w:ascii="Times New Roman" w:eastAsia="Times New Roman" w:hAnsi="Times New Roman" w:cs="Times New Roman"/>
          <w:b w:val="0"/>
          <w:bCs w:val="0"/>
          <w:sz w:val="20"/>
          <w:szCs w:val="20"/>
        </w:rPr>
        <w:t>№ 7 (внеочередной) тринадцатой сессии Совета депутатов Куйбышевского района от 23.12.2021 года «</w:t>
      </w:r>
      <w:r w:rsidRPr="008B6A75">
        <w:rPr>
          <w:rFonts w:ascii="Times New Roman" w:hAnsi="Times New Roman" w:cs="Times New Roman"/>
          <w:b w:val="0"/>
          <w:bCs w:val="0"/>
          <w:sz w:val="20"/>
          <w:szCs w:val="20"/>
        </w:rPr>
        <w:t>О бюджете Куйбышевского муниципального района Новосибирской области на 2022 год и плановый период 2023 и 2024 годов</w:t>
      </w:r>
      <w:r w:rsidRPr="008B6A75">
        <w:rPr>
          <w:rFonts w:ascii="Times New Roman" w:eastAsia="Times New Roman" w:hAnsi="Times New Roman" w:cs="Times New Roman"/>
          <w:b w:val="0"/>
          <w:bCs w:val="0"/>
          <w:sz w:val="20"/>
          <w:szCs w:val="20"/>
        </w:rPr>
        <w:t>»</w:t>
      </w:r>
    </w:p>
    <w:p w14:paraId="42E93754" w14:textId="77777777" w:rsidR="00387142" w:rsidRPr="008B6A75" w:rsidRDefault="00387142" w:rsidP="00387142">
      <w:pPr>
        <w:pStyle w:val="ConsPlusTitle"/>
        <w:widowControl/>
        <w:jc w:val="center"/>
        <w:rPr>
          <w:rFonts w:ascii="Times New Roman" w:hAnsi="Times New Roman" w:cs="Times New Roman"/>
          <w:b w:val="0"/>
          <w:sz w:val="20"/>
          <w:szCs w:val="20"/>
        </w:rPr>
      </w:pPr>
    </w:p>
    <w:p w14:paraId="07FC6763" w14:textId="77777777" w:rsidR="00387142" w:rsidRPr="008B6A75" w:rsidRDefault="00387142" w:rsidP="00387142">
      <w:pPr>
        <w:ind w:firstLine="540"/>
        <w:rPr>
          <w:sz w:val="20"/>
          <w:szCs w:val="20"/>
        </w:rPr>
      </w:pPr>
      <w:r w:rsidRPr="008B6A75">
        <w:rPr>
          <w:sz w:val="20"/>
          <w:szCs w:val="20"/>
        </w:rPr>
        <w:t>Совет депутатов Куйбышевского муниципального района Новосибирской области</w:t>
      </w:r>
    </w:p>
    <w:p w14:paraId="7916FA95" w14:textId="77777777" w:rsidR="00387142" w:rsidRPr="008B6A75" w:rsidRDefault="00387142" w:rsidP="00387142">
      <w:pPr>
        <w:ind w:firstLine="540"/>
        <w:rPr>
          <w:sz w:val="20"/>
          <w:szCs w:val="20"/>
        </w:rPr>
      </w:pPr>
      <w:r w:rsidRPr="008B6A75">
        <w:rPr>
          <w:sz w:val="20"/>
          <w:szCs w:val="20"/>
        </w:rPr>
        <w:t>РЕШИЛ:</w:t>
      </w:r>
    </w:p>
    <w:p w14:paraId="01981A1F" w14:textId="77777777" w:rsidR="00387142" w:rsidRPr="008B6A75" w:rsidRDefault="00387142" w:rsidP="00387142">
      <w:pPr>
        <w:jc w:val="both"/>
        <w:rPr>
          <w:sz w:val="20"/>
          <w:szCs w:val="20"/>
        </w:rPr>
      </w:pPr>
      <w:r w:rsidRPr="008B6A75">
        <w:rPr>
          <w:sz w:val="20"/>
          <w:szCs w:val="20"/>
        </w:rPr>
        <w:t>Внести в решение № 7 (внеочередной) тринадцатой сессии Совета депутатов Куйбышевского района от 23.12.2021 года «О бюджете Куйбышевского муниципального района Новосибирской области на 2022 год и плановый период 2023 и 2024 годов» следующие изменения:</w:t>
      </w:r>
    </w:p>
    <w:p w14:paraId="432ED1A2" w14:textId="77777777" w:rsidR="00387142" w:rsidRPr="008B6A75" w:rsidRDefault="00387142" w:rsidP="00387142">
      <w:pPr>
        <w:jc w:val="both"/>
        <w:rPr>
          <w:sz w:val="20"/>
          <w:szCs w:val="20"/>
        </w:rPr>
      </w:pPr>
      <w:r w:rsidRPr="008B6A75">
        <w:rPr>
          <w:sz w:val="20"/>
          <w:szCs w:val="20"/>
        </w:rPr>
        <w:t xml:space="preserve">  1. В статье 1:</w:t>
      </w:r>
    </w:p>
    <w:p w14:paraId="762CFA6F" w14:textId="77777777" w:rsidR="00387142" w:rsidRPr="008B6A75" w:rsidRDefault="00387142" w:rsidP="00387142">
      <w:pPr>
        <w:jc w:val="both"/>
        <w:rPr>
          <w:sz w:val="20"/>
          <w:szCs w:val="20"/>
        </w:rPr>
      </w:pPr>
      <w:r w:rsidRPr="008B6A75">
        <w:rPr>
          <w:sz w:val="20"/>
          <w:szCs w:val="20"/>
        </w:rPr>
        <w:t>- пункте 1:</w:t>
      </w:r>
    </w:p>
    <w:p w14:paraId="36905DAD" w14:textId="77777777" w:rsidR="00387142" w:rsidRPr="008B6A75" w:rsidRDefault="00387142" w:rsidP="00387142">
      <w:pPr>
        <w:jc w:val="both"/>
        <w:rPr>
          <w:sz w:val="20"/>
          <w:szCs w:val="20"/>
        </w:rPr>
      </w:pPr>
      <w:r w:rsidRPr="008B6A75">
        <w:rPr>
          <w:sz w:val="20"/>
          <w:szCs w:val="20"/>
        </w:rPr>
        <w:t>-части 1 цифры «2 941 582 792,82» заменить цифрами «2 854 295 578,63», цифры «2 492 176 520,31» заменить цифрами «2 408 921 055,41», цифры «2 492 176 520,31» заменить цифрами «2 408 906 055,41</w:t>
      </w:r>
      <w:proofErr w:type="gramStart"/>
      <w:r w:rsidRPr="008B6A75">
        <w:rPr>
          <w:sz w:val="20"/>
          <w:szCs w:val="20"/>
        </w:rPr>
        <w:t>»,цифры</w:t>
      </w:r>
      <w:proofErr w:type="gramEnd"/>
      <w:r w:rsidRPr="008B6A75">
        <w:rPr>
          <w:sz w:val="20"/>
          <w:szCs w:val="20"/>
        </w:rPr>
        <w:t xml:space="preserve"> «2 409 594 220,31» заменить цифрами «2 326 323 755,41»;</w:t>
      </w:r>
    </w:p>
    <w:p w14:paraId="5B66784F" w14:textId="77777777" w:rsidR="00387142" w:rsidRPr="008B6A75" w:rsidRDefault="00387142" w:rsidP="00387142">
      <w:pPr>
        <w:jc w:val="both"/>
        <w:rPr>
          <w:sz w:val="20"/>
          <w:szCs w:val="20"/>
        </w:rPr>
      </w:pPr>
      <w:r w:rsidRPr="008B6A75">
        <w:rPr>
          <w:sz w:val="20"/>
          <w:szCs w:val="20"/>
        </w:rPr>
        <w:t>- части 2 цифры «3 015 375 389,51» заменить цифрами «2 928 088 175,32»;</w:t>
      </w:r>
    </w:p>
    <w:p w14:paraId="05224CF7" w14:textId="77777777" w:rsidR="00387142" w:rsidRPr="008B6A75" w:rsidRDefault="00387142" w:rsidP="00387142">
      <w:pPr>
        <w:jc w:val="both"/>
        <w:rPr>
          <w:sz w:val="20"/>
          <w:szCs w:val="20"/>
        </w:rPr>
      </w:pPr>
      <w:r w:rsidRPr="008B6A75">
        <w:rPr>
          <w:sz w:val="20"/>
          <w:szCs w:val="20"/>
        </w:rPr>
        <w:t>- пункте 2:</w:t>
      </w:r>
    </w:p>
    <w:p w14:paraId="0FEF402D" w14:textId="77777777" w:rsidR="00387142" w:rsidRPr="008B6A75" w:rsidRDefault="00387142" w:rsidP="00387142">
      <w:pPr>
        <w:jc w:val="both"/>
        <w:rPr>
          <w:sz w:val="20"/>
          <w:szCs w:val="20"/>
        </w:rPr>
      </w:pPr>
      <w:r w:rsidRPr="008B6A75">
        <w:rPr>
          <w:sz w:val="20"/>
          <w:szCs w:val="20"/>
        </w:rPr>
        <w:t xml:space="preserve">- части 1 цифры «1 949 437 408,60» заменить цифрами «1 950 517 508,60», цифры «1 555 128 088,60» заменить цифрами «1 556 208 188,60», цифры «1 457 833 088,60» заменить цифрами «1 458 913 188,60», цифры </w:t>
      </w:r>
    </w:p>
    <w:p w14:paraId="687DCAC6" w14:textId="77777777" w:rsidR="00387142" w:rsidRPr="008B6A75" w:rsidRDefault="00387142" w:rsidP="00387142">
      <w:pPr>
        <w:jc w:val="both"/>
        <w:rPr>
          <w:sz w:val="20"/>
          <w:szCs w:val="20"/>
        </w:rPr>
      </w:pPr>
      <w:r w:rsidRPr="008B6A75">
        <w:rPr>
          <w:sz w:val="20"/>
          <w:szCs w:val="20"/>
        </w:rPr>
        <w:t>- части 2 цифры «1 949 437 408,60» заменить цифрами «1 950 517 508,60».</w:t>
      </w:r>
    </w:p>
    <w:p w14:paraId="3CD8F242" w14:textId="77777777" w:rsidR="00387142" w:rsidRPr="008B6A75" w:rsidRDefault="00387142" w:rsidP="00387142">
      <w:pPr>
        <w:jc w:val="both"/>
        <w:rPr>
          <w:sz w:val="20"/>
          <w:szCs w:val="20"/>
        </w:rPr>
      </w:pPr>
      <w:r w:rsidRPr="008B6A75">
        <w:rPr>
          <w:sz w:val="20"/>
          <w:szCs w:val="20"/>
        </w:rPr>
        <w:t xml:space="preserve">  2. В статье 4:</w:t>
      </w:r>
    </w:p>
    <w:p w14:paraId="69D2B021" w14:textId="77777777" w:rsidR="00387142" w:rsidRPr="008B6A75" w:rsidRDefault="00387142" w:rsidP="00387142">
      <w:pPr>
        <w:jc w:val="both"/>
        <w:rPr>
          <w:sz w:val="20"/>
          <w:szCs w:val="20"/>
        </w:rPr>
      </w:pPr>
      <w:r w:rsidRPr="008B6A75">
        <w:rPr>
          <w:sz w:val="20"/>
          <w:szCs w:val="20"/>
        </w:rPr>
        <w:t>- в пункте 3 цифры «1 831 321,62» заменить цифрами «654 517,08».</w:t>
      </w:r>
    </w:p>
    <w:p w14:paraId="52BBE03E" w14:textId="77777777" w:rsidR="00387142" w:rsidRPr="008B6A75" w:rsidRDefault="00387142" w:rsidP="00387142">
      <w:pPr>
        <w:jc w:val="both"/>
        <w:rPr>
          <w:sz w:val="20"/>
          <w:szCs w:val="20"/>
        </w:rPr>
      </w:pPr>
      <w:r w:rsidRPr="008B6A75">
        <w:rPr>
          <w:sz w:val="20"/>
          <w:szCs w:val="20"/>
        </w:rPr>
        <w:t>- в пункте 7:</w:t>
      </w:r>
    </w:p>
    <w:p w14:paraId="0C9686D7" w14:textId="77777777" w:rsidR="00387142" w:rsidRPr="008B6A75" w:rsidRDefault="00387142" w:rsidP="00387142">
      <w:pPr>
        <w:jc w:val="both"/>
        <w:rPr>
          <w:sz w:val="20"/>
          <w:szCs w:val="20"/>
        </w:rPr>
      </w:pPr>
      <w:r w:rsidRPr="008B6A75">
        <w:rPr>
          <w:sz w:val="20"/>
          <w:szCs w:val="20"/>
        </w:rPr>
        <w:t>- цифры «24 628 905,21» заменить цифрами «28 450 517,93»;</w:t>
      </w:r>
    </w:p>
    <w:p w14:paraId="05BF9131" w14:textId="77777777" w:rsidR="00387142" w:rsidRPr="008B6A75" w:rsidRDefault="00387142" w:rsidP="00387142">
      <w:pPr>
        <w:jc w:val="both"/>
        <w:rPr>
          <w:sz w:val="20"/>
          <w:szCs w:val="20"/>
        </w:rPr>
      </w:pPr>
      <w:r w:rsidRPr="008B6A75">
        <w:rPr>
          <w:sz w:val="20"/>
          <w:szCs w:val="20"/>
        </w:rPr>
        <w:t>- части 1 цифры «1 265 900» заменить цифрами «1 297 690»;</w:t>
      </w:r>
    </w:p>
    <w:p w14:paraId="2131C94A" w14:textId="77777777" w:rsidR="00387142" w:rsidRPr="008B6A75" w:rsidRDefault="00387142" w:rsidP="00387142">
      <w:pPr>
        <w:jc w:val="both"/>
        <w:rPr>
          <w:sz w:val="20"/>
          <w:szCs w:val="20"/>
        </w:rPr>
      </w:pPr>
      <w:r w:rsidRPr="008B6A75">
        <w:rPr>
          <w:sz w:val="20"/>
          <w:szCs w:val="20"/>
        </w:rPr>
        <w:t>- части 2 цифры «23 108 184,93» заменить цифрами «27 152 827,93».</w:t>
      </w:r>
    </w:p>
    <w:p w14:paraId="0E03D01C" w14:textId="77777777" w:rsidR="00387142" w:rsidRPr="008B6A75" w:rsidRDefault="00387142" w:rsidP="00387142">
      <w:pPr>
        <w:jc w:val="both"/>
        <w:rPr>
          <w:sz w:val="20"/>
          <w:szCs w:val="20"/>
        </w:rPr>
      </w:pPr>
      <w:r w:rsidRPr="008B6A75">
        <w:rPr>
          <w:sz w:val="20"/>
          <w:szCs w:val="20"/>
        </w:rPr>
        <w:t xml:space="preserve">  3. В статье 7:</w:t>
      </w:r>
    </w:p>
    <w:p w14:paraId="43538CCD" w14:textId="77777777" w:rsidR="00387142" w:rsidRPr="008B6A75" w:rsidRDefault="00387142" w:rsidP="00387142">
      <w:pPr>
        <w:jc w:val="both"/>
        <w:rPr>
          <w:sz w:val="20"/>
          <w:szCs w:val="20"/>
        </w:rPr>
      </w:pPr>
      <w:r w:rsidRPr="008B6A75">
        <w:rPr>
          <w:sz w:val="20"/>
          <w:szCs w:val="20"/>
        </w:rPr>
        <w:t>-в пункте 1 цифры «1 161 769 850,45» заменить цифрами «1 120 474 035,25»;</w:t>
      </w:r>
    </w:p>
    <w:p w14:paraId="774D6B03" w14:textId="77777777" w:rsidR="00387142" w:rsidRPr="008B6A75" w:rsidRDefault="00387142" w:rsidP="00387142">
      <w:pPr>
        <w:jc w:val="both"/>
        <w:rPr>
          <w:sz w:val="20"/>
          <w:szCs w:val="20"/>
        </w:rPr>
      </w:pPr>
      <w:r w:rsidRPr="008B6A75">
        <w:rPr>
          <w:sz w:val="20"/>
          <w:szCs w:val="20"/>
        </w:rPr>
        <w:t xml:space="preserve">-в пункте 2 цифры «1 201 065 680,12» заменить цифрами «1 155 393 210,12»; </w:t>
      </w:r>
    </w:p>
    <w:p w14:paraId="700F4A6C" w14:textId="77777777" w:rsidR="00387142" w:rsidRPr="008B6A75" w:rsidRDefault="00387142" w:rsidP="00387142">
      <w:pPr>
        <w:jc w:val="both"/>
        <w:rPr>
          <w:sz w:val="20"/>
          <w:szCs w:val="20"/>
        </w:rPr>
      </w:pPr>
      <w:r w:rsidRPr="008B6A75">
        <w:rPr>
          <w:sz w:val="20"/>
          <w:szCs w:val="20"/>
        </w:rPr>
        <w:t>-в пункте 3 цифры «43 327 500» заменить цифрами «44 061 500», цифры «43 706 914,52» заменить цифрами «44 787 014,52».</w:t>
      </w:r>
    </w:p>
    <w:p w14:paraId="15A706A6" w14:textId="77777777" w:rsidR="00387142" w:rsidRPr="008B6A75" w:rsidRDefault="00387142" w:rsidP="00387142">
      <w:pPr>
        <w:jc w:val="both"/>
        <w:rPr>
          <w:sz w:val="20"/>
          <w:szCs w:val="20"/>
        </w:rPr>
      </w:pPr>
      <w:r w:rsidRPr="008B6A75">
        <w:rPr>
          <w:sz w:val="20"/>
          <w:szCs w:val="20"/>
        </w:rPr>
        <w:t xml:space="preserve">  4. В статье 10:</w:t>
      </w:r>
    </w:p>
    <w:p w14:paraId="43B6DA0F" w14:textId="77777777" w:rsidR="00387142" w:rsidRPr="008B6A75" w:rsidRDefault="00387142" w:rsidP="00387142">
      <w:pPr>
        <w:jc w:val="both"/>
        <w:rPr>
          <w:sz w:val="20"/>
          <w:szCs w:val="20"/>
        </w:rPr>
      </w:pPr>
      <w:r w:rsidRPr="008B6A75">
        <w:rPr>
          <w:sz w:val="20"/>
          <w:szCs w:val="20"/>
        </w:rPr>
        <w:t>- в пункте 2 цифры «181 353 500» заменить цифрами «198 918 424», цифры «11 797 581,59» заменить цифрами «27 006 288,59»,</w:t>
      </w:r>
    </w:p>
    <w:p w14:paraId="58D83D6D" w14:textId="77777777" w:rsidR="00387142" w:rsidRPr="008B6A75" w:rsidRDefault="00387142" w:rsidP="00387142">
      <w:pPr>
        <w:jc w:val="both"/>
        <w:rPr>
          <w:sz w:val="20"/>
          <w:szCs w:val="20"/>
        </w:rPr>
      </w:pPr>
      <w:r w:rsidRPr="008B6A75">
        <w:rPr>
          <w:sz w:val="20"/>
          <w:szCs w:val="20"/>
        </w:rPr>
        <w:t>дополнить абзацем следующего содержания:</w:t>
      </w:r>
    </w:p>
    <w:p w14:paraId="7AB95F7A" w14:textId="77777777" w:rsidR="00387142" w:rsidRPr="008B6A75" w:rsidRDefault="00387142" w:rsidP="00387142">
      <w:pPr>
        <w:jc w:val="both"/>
        <w:rPr>
          <w:sz w:val="20"/>
          <w:szCs w:val="20"/>
        </w:rPr>
      </w:pPr>
      <w:r w:rsidRPr="008B6A75">
        <w:rPr>
          <w:sz w:val="20"/>
          <w:szCs w:val="20"/>
        </w:rPr>
        <w:t>«-на осуществление полномочий по организации регулярных перевозок пассажиров и багажа по муниципальным маршрутам государственной программы Новосибирской области "Обеспечение доступности услуг общественного пассажирского транспорта, в том числе Новосибирского метрополитена, для населения Новосибирской области" согласно приложению 11 таблица 7».</w:t>
      </w:r>
    </w:p>
    <w:p w14:paraId="3490C634" w14:textId="77777777" w:rsidR="00387142" w:rsidRPr="008B6A75" w:rsidRDefault="00387142" w:rsidP="00387142">
      <w:pPr>
        <w:jc w:val="both"/>
        <w:rPr>
          <w:sz w:val="20"/>
          <w:szCs w:val="20"/>
        </w:rPr>
      </w:pPr>
      <w:r w:rsidRPr="008B6A75">
        <w:rPr>
          <w:sz w:val="20"/>
          <w:szCs w:val="20"/>
        </w:rPr>
        <w:t>- в пункте 3 цифры «2 243 761,21» заменить цифрами «2 246 246,01»</w:t>
      </w:r>
    </w:p>
    <w:p w14:paraId="31108E89" w14:textId="77777777" w:rsidR="00387142" w:rsidRPr="008B6A75" w:rsidRDefault="00387142" w:rsidP="00387142">
      <w:pPr>
        <w:jc w:val="both"/>
        <w:rPr>
          <w:sz w:val="20"/>
          <w:szCs w:val="20"/>
        </w:rPr>
      </w:pPr>
      <w:r w:rsidRPr="008B6A75">
        <w:rPr>
          <w:sz w:val="20"/>
          <w:szCs w:val="20"/>
        </w:rPr>
        <w:t>- в пункте 4 цифры «149 800 137,74» заменить цифрами «146 713 756,75», исключить абзац следующего содержания:</w:t>
      </w:r>
    </w:p>
    <w:p w14:paraId="6338E8D9" w14:textId="77777777" w:rsidR="00387142" w:rsidRPr="008B6A75" w:rsidRDefault="00387142" w:rsidP="00387142">
      <w:pPr>
        <w:jc w:val="both"/>
        <w:rPr>
          <w:sz w:val="20"/>
          <w:szCs w:val="20"/>
        </w:rPr>
      </w:pPr>
      <w:r w:rsidRPr="008B6A75">
        <w:rPr>
          <w:sz w:val="20"/>
          <w:szCs w:val="20"/>
        </w:rPr>
        <w:t>«-на осуществление полномочий по организации регулярных перевозок пассажиров и багажа по муниципальным маршрутам государственной программы Новосибирской области "Обеспечение доступности услуг общественного пассажирского транспорта, в том числе Новосибирского метрополитена, для населения Новосибирской области" согласно приложению 13 таблица 4».</w:t>
      </w:r>
    </w:p>
    <w:p w14:paraId="1949A6D3" w14:textId="77777777" w:rsidR="00387142" w:rsidRPr="008B6A75" w:rsidRDefault="00387142" w:rsidP="00387142">
      <w:pPr>
        <w:jc w:val="both"/>
        <w:rPr>
          <w:sz w:val="20"/>
          <w:szCs w:val="20"/>
        </w:rPr>
      </w:pPr>
      <w:r w:rsidRPr="008B6A75">
        <w:rPr>
          <w:sz w:val="20"/>
          <w:szCs w:val="20"/>
        </w:rPr>
        <w:t xml:space="preserve">  5. Утвердить Приложение 3 «Объем и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(группам </w:t>
      </w:r>
      <w:r w:rsidRPr="008B6A75">
        <w:rPr>
          <w:sz w:val="20"/>
          <w:szCs w:val="20"/>
        </w:rPr>
        <w:lastRenderedPageBreak/>
        <w:t>и подгруппам) видов расходов классификации расходов бюджета Куйбышевского муниципального района на 2022 год и плановый период 2023 и 2024 годов» в прилагаемой редакции.</w:t>
      </w:r>
    </w:p>
    <w:p w14:paraId="3991A5E6" w14:textId="77777777" w:rsidR="00387142" w:rsidRPr="008B6A75" w:rsidRDefault="00387142" w:rsidP="00387142">
      <w:pPr>
        <w:jc w:val="both"/>
        <w:rPr>
          <w:sz w:val="20"/>
          <w:szCs w:val="20"/>
        </w:rPr>
      </w:pPr>
      <w:r w:rsidRPr="008B6A75">
        <w:rPr>
          <w:sz w:val="20"/>
          <w:szCs w:val="20"/>
        </w:rPr>
        <w:t xml:space="preserve">  6. Утвердить Приложение 4 «Распределение бюджетных ассигнований по целевым статьям (муниципальным программам и непрограммным направлениям деятельности), группам и подгруппам видов расходов на 2022 и плановый период 2023 и 2024 годов» в прилагаемой редакции.</w:t>
      </w:r>
    </w:p>
    <w:p w14:paraId="239639B4" w14:textId="77777777" w:rsidR="00387142" w:rsidRPr="008B6A75" w:rsidRDefault="00387142" w:rsidP="00387142">
      <w:pPr>
        <w:jc w:val="both"/>
        <w:rPr>
          <w:sz w:val="20"/>
          <w:szCs w:val="20"/>
        </w:rPr>
      </w:pPr>
      <w:r w:rsidRPr="008B6A75">
        <w:rPr>
          <w:sz w:val="20"/>
          <w:szCs w:val="20"/>
        </w:rPr>
        <w:t xml:space="preserve">  7. Утвердить Приложение 5 «Ведомственная структура расходов бюджета Куйбышевского муниципального района на 2022 год и плановый период 2023 и 2024 годов» в прилагаемой редакции.</w:t>
      </w:r>
    </w:p>
    <w:p w14:paraId="55307D5D" w14:textId="77777777" w:rsidR="00387142" w:rsidRPr="008B6A75" w:rsidRDefault="00387142" w:rsidP="00387142">
      <w:pPr>
        <w:jc w:val="both"/>
        <w:rPr>
          <w:sz w:val="20"/>
          <w:szCs w:val="20"/>
        </w:rPr>
      </w:pPr>
      <w:r w:rsidRPr="008B6A75">
        <w:rPr>
          <w:sz w:val="20"/>
          <w:szCs w:val="20"/>
        </w:rPr>
        <w:t xml:space="preserve">  8. Утвердить Приложение 7 «Субвенции, получаемые из областного бюджета в 2022г.и плановый период 2023 и 2024 годов» в прилагаемой редакции.</w:t>
      </w:r>
    </w:p>
    <w:p w14:paraId="404643DC" w14:textId="77777777" w:rsidR="00387142" w:rsidRPr="008B6A75" w:rsidRDefault="00387142" w:rsidP="00387142">
      <w:pPr>
        <w:jc w:val="both"/>
        <w:rPr>
          <w:sz w:val="20"/>
          <w:szCs w:val="20"/>
        </w:rPr>
      </w:pPr>
      <w:r w:rsidRPr="008B6A75">
        <w:rPr>
          <w:sz w:val="20"/>
          <w:szCs w:val="20"/>
        </w:rPr>
        <w:t xml:space="preserve">  9. Утвердить Приложение 8 «Субсидии, получаемые из областного бюджета на 2022 год и плановый период 2023 и 2024 годов» в прилагаемой редакции.</w:t>
      </w:r>
    </w:p>
    <w:p w14:paraId="62A6180D" w14:textId="77777777" w:rsidR="00387142" w:rsidRPr="008B6A75" w:rsidRDefault="00387142" w:rsidP="00387142">
      <w:pPr>
        <w:jc w:val="both"/>
        <w:rPr>
          <w:sz w:val="20"/>
          <w:szCs w:val="20"/>
        </w:rPr>
      </w:pPr>
      <w:r w:rsidRPr="008B6A75">
        <w:rPr>
          <w:sz w:val="20"/>
          <w:szCs w:val="20"/>
        </w:rPr>
        <w:t xml:space="preserve">  10. Утвердить Приложение 9 «Иные межбюджетные трансферты, получаемые из областного бюджета на 2022 год и плановый период 2023 и 2024 годов» в прилагаемой редакции.</w:t>
      </w:r>
    </w:p>
    <w:p w14:paraId="18F58F5B" w14:textId="77777777" w:rsidR="00387142" w:rsidRPr="008B6A75" w:rsidRDefault="00387142" w:rsidP="00387142">
      <w:pPr>
        <w:jc w:val="both"/>
        <w:rPr>
          <w:sz w:val="20"/>
          <w:szCs w:val="20"/>
        </w:rPr>
      </w:pPr>
      <w:r w:rsidRPr="008B6A75">
        <w:rPr>
          <w:sz w:val="20"/>
          <w:szCs w:val="20"/>
        </w:rPr>
        <w:t xml:space="preserve">  11. Утвердить приложение 11 «Субсидии, предоставляемые из бюджета муниципального района бюджетам поселений в 2022 году и плановом периоде 2023 и 2024 годов» в прилагаемой редакции:</w:t>
      </w:r>
    </w:p>
    <w:p w14:paraId="1F89475D" w14:textId="77777777" w:rsidR="00387142" w:rsidRPr="008B6A75" w:rsidRDefault="00387142" w:rsidP="00387142">
      <w:pPr>
        <w:jc w:val="both"/>
        <w:rPr>
          <w:sz w:val="20"/>
          <w:szCs w:val="20"/>
        </w:rPr>
      </w:pPr>
      <w:r w:rsidRPr="008B6A75">
        <w:rPr>
          <w:sz w:val="20"/>
          <w:szCs w:val="20"/>
        </w:rPr>
        <w:t>1) таблица 4 «Субсидии на реализацию мероприятий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 в прилагаемой редакции;</w:t>
      </w:r>
    </w:p>
    <w:p w14:paraId="70838230" w14:textId="77777777" w:rsidR="00387142" w:rsidRPr="008B6A75" w:rsidRDefault="00387142" w:rsidP="00387142">
      <w:pPr>
        <w:jc w:val="both"/>
        <w:rPr>
          <w:sz w:val="20"/>
          <w:szCs w:val="20"/>
        </w:rPr>
      </w:pPr>
      <w:r w:rsidRPr="008B6A75">
        <w:rPr>
          <w:sz w:val="20"/>
          <w:szCs w:val="20"/>
        </w:rPr>
        <w:t>2) таблица 7 «Субсидии на осуществление полномочий по организации регулярных перевозок пассажиров и багажа по муниципальным маршрутам государственной программы Новосибирской области "Обеспечение доступности услуг общественного пассажирского транспорта, в том числе Новосибирского метрополитена, для населения Новосибирской области"» в прилагаемой редакции;</w:t>
      </w:r>
    </w:p>
    <w:p w14:paraId="00266F9D" w14:textId="77777777" w:rsidR="00387142" w:rsidRPr="008B6A75" w:rsidRDefault="00387142" w:rsidP="00387142">
      <w:pPr>
        <w:jc w:val="both"/>
        <w:rPr>
          <w:sz w:val="20"/>
          <w:szCs w:val="20"/>
        </w:rPr>
      </w:pPr>
      <w:r w:rsidRPr="008B6A75">
        <w:rPr>
          <w:sz w:val="20"/>
          <w:szCs w:val="20"/>
        </w:rPr>
        <w:t xml:space="preserve">   12. Утвердить Приложение 12 «Субвенции, передаваемые из районного бюджета в 2022 году и плановом периоде 2023 и 2024 годов» в прилагаемой редакции;</w:t>
      </w:r>
    </w:p>
    <w:p w14:paraId="5D949D65" w14:textId="77777777" w:rsidR="00387142" w:rsidRPr="008B6A75" w:rsidRDefault="00387142" w:rsidP="00387142">
      <w:pPr>
        <w:jc w:val="both"/>
        <w:rPr>
          <w:sz w:val="20"/>
          <w:szCs w:val="20"/>
        </w:rPr>
      </w:pPr>
      <w:r w:rsidRPr="008B6A75">
        <w:rPr>
          <w:sz w:val="20"/>
          <w:szCs w:val="20"/>
        </w:rPr>
        <w:t xml:space="preserve">  13. Утвердить Приложение 13:</w:t>
      </w:r>
    </w:p>
    <w:p w14:paraId="296710D9" w14:textId="77777777" w:rsidR="00387142" w:rsidRPr="008B6A75" w:rsidRDefault="00387142" w:rsidP="00387142">
      <w:pPr>
        <w:jc w:val="both"/>
        <w:rPr>
          <w:sz w:val="20"/>
          <w:szCs w:val="20"/>
        </w:rPr>
      </w:pPr>
      <w:r w:rsidRPr="008B6A75">
        <w:rPr>
          <w:sz w:val="20"/>
          <w:szCs w:val="20"/>
        </w:rPr>
        <w:t>1) таблица 2 «Иные межбюджетные трансферты на решение вопросов местного значения за счет средств районного бюджета» в прилагаемой редакции;</w:t>
      </w:r>
    </w:p>
    <w:p w14:paraId="71FE1EEF" w14:textId="77777777" w:rsidR="00387142" w:rsidRPr="008B6A75" w:rsidRDefault="00387142" w:rsidP="00387142">
      <w:pPr>
        <w:jc w:val="both"/>
        <w:rPr>
          <w:sz w:val="20"/>
          <w:szCs w:val="20"/>
        </w:rPr>
      </w:pPr>
      <w:r w:rsidRPr="008B6A75">
        <w:rPr>
          <w:sz w:val="20"/>
          <w:szCs w:val="20"/>
        </w:rPr>
        <w:t>2) таблица 3 «Иные межбюджетные трансферты на реализацию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 в прилагаемой редакции;</w:t>
      </w:r>
    </w:p>
    <w:p w14:paraId="3CF5A951" w14:textId="77777777" w:rsidR="00387142" w:rsidRPr="008B6A75" w:rsidRDefault="00387142" w:rsidP="00387142">
      <w:pPr>
        <w:jc w:val="both"/>
        <w:rPr>
          <w:sz w:val="20"/>
          <w:szCs w:val="20"/>
        </w:rPr>
      </w:pPr>
      <w:r w:rsidRPr="008B6A75">
        <w:rPr>
          <w:sz w:val="20"/>
          <w:szCs w:val="20"/>
        </w:rPr>
        <w:t>3) таблица 4 «Иные межбюджетные трансферты на осуществление полномочий по организации регулярных перевозок пассажиров и багажа по муниципальным маршрутам государственной программы Новосибирской области "Обеспечение доступности услуг общественного пассажирского транспорта, в том числе Новосибирского метрополитена, для населения Новосибирской области"» исключить.</w:t>
      </w:r>
    </w:p>
    <w:p w14:paraId="376D50E2" w14:textId="77777777" w:rsidR="00387142" w:rsidRPr="008B6A75" w:rsidRDefault="00387142" w:rsidP="00387142">
      <w:pPr>
        <w:jc w:val="both"/>
        <w:rPr>
          <w:sz w:val="20"/>
          <w:szCs w:val="20"/>
        </w:rPr>
      </w:pPr>
      <w:r w:rsidRPr="008B6A75">
        <w:rPr>
          <w:sz w:val="20"/>
          <w:szCs w:val="20"/>
        </w:rPr>
        <w:t xml:space="preserve">  14. Утвердить Приложение 14 «Перечень муниципальных программ Куйбышевского муниципального района, предусмотренных к финансированию в 2022 году и плановом периоде 2023 и 2024 годах» в прилагаемой редакции.</w:t>
      </w:r>
    </w:p>
    <w:p w14:paraId="77C4BA60" w14:textId="77777777" w:rsidR="00387142" w:rsidRPr="008B6A75" w:rsidRDefault="00387142" w:rsidP="00387142">
      <w:pPr>
        <w:jc w:val="both"/>
        <w:rPr>
          <w:sz w:val="20"/>
          <w:szCs w:val="20"/>
        </w:rPr>
      </w:pPr>
      <w:r w:rsidRPr="008B6A75">
        <w:rPr>
          <w:sz w:val="20"/>
          <w:szCs w:val="20"/>
        </w:rPr>
        <w:t xml:space="preserve">  15. Утвердить Приложение 15 «Распределение ассигнований на капитальные вложения из районного бюджета по направлениям и объектам в 2022 году и плановом периоде 2023 и 2024 годов» в прилагаемой редакции. </w:t>
      </w:r>
    </w:p>
    <w:p w14:paraId="512EF1A1" w14:textId="77777777" w:rsidR="00387142" w:rsidRPr="008B6A75" w:rsidRDefault="00387142" w:rsidP="00387142">
      <w:pPr>
        <w:jc w:val="both"/>
        <w:rPr>
          <w:sz w:val="20"/>
          <w:szCs w:val="20"/>
        </w:rPr>
      </w:pPr>
      <w:r w:rsidRPr="008B6A75">
        <w:rPr>
          <w:sz w:val="20"/>
          <w:szCs w:val="20"/>
        </w:rPr>
        <w:t xml:space="preserve">  16. Утвердить Приложение 16 «Источники финансирования дефицита бюджета на 2022 год и плановый период 2023 и 2024 годов» в прилагаемой редакции.</w:t>
      </w:r>
    </w:p>
    <w:p w14:paraId="10F897F7" w14:textId="77777777" w:rsidR="00387142" w:rsidRPr="008B6A75" w:rsidRDefault="00387142" w:rsidP="00387142">
      <w:pPr>
        <w:jc w:val="both"/>
        <w:rPr>
          <w:sz w:val="20"/>
          <w:szCs w:val="20"/>
        </w:rPr>
      </w:pPr>
      <w:r w:rsidRPr="008B6A75">
        <w:rPr>
          <w:sz w:val="20"/>
          <w:szCs w:val="20"/>
        </w:rPr>
        <w:t xml:space="preserve">  17. Решение вступает в силу со дня официального опубликования в периодическом печатном издании органов местного самоуправления Куйбышевского муниципального района Новосибирской области «Информационный вестник».</w:t>
      </w:r>
    </w:p>
    <w:p w14:paraId="2BEA967B" w14:textId="77777777" w:rsidR="00387142" w:rsidRPr="008B6A75" w:rsidRDefault="00387142" w:rsidP="00387142">
      <w:pPr>
        <w:jc w:val="both"/>
        <w:rPr>
          <w:sz w:val="20"/>
          <w:szCs w:val="20"/>
        </w:rPr>
      </w:pPr>
    </w:p>
    <w:p w14:paraId="619BA58D" w14:textId="77777777" w:rsidR="00387142" w:rsidRPr="008B6A75" w:rsidRDefault="00387142" w:rsidP="00387142">
      <w:pPr>
        <w:rPr>
          <w:sz w:val="20"/>
          <w:szCs w:val="20"/>
        </w:rPr>
      </w:pPr>
      <w:r w:rsidRPr="008B6A75">
        <w:rPr>
          <w:sz w:val="20"/>
          <w:szCs w:val="20"/>
        </w:rPr>
        <w:t>Председатель Совета депутатов Куйбышевского</w:t>
      </w:r>
    </w:p>
    <w:p w14:paraId="2B2B0D42" w14:textId="77777777" w:rsidR="00387142" w:rsidRPr="008B6A75" w:rsidRDefault="00387142" w:rsidP="00387142">
      <w:pPr>
        <w:rPr>
          <w:sz w:val="20"/>
          <w:szCs w:val="20"/>
        </w:rPr>
      </w:pPr>
      <w:r w:rsidRPr="008B6A75">
        <w:rPr>
          <w:sz w:val="20"/>
          <w:szCs w:val="20"/>
        </w:rPr>
        <w:t>муниципального района Новосибирской области</w:t>
      </w:r>
      <w:r w:rsidRPr="008B6A75">
        <w:rPr>
          <w:sz w:val="20"/>
          <w:szCs w:val="20"/>
        </w:rPr>
        <w:tab/>
      </w:r>
      <w:r w:rsidRPr="008B6A75">
        <w:rPr>
          <w:sz w:val="20"/>
          <w:szCs w:val="20"/>
        </w:rPr>
        <w:tab/>
      </w:r>
      <w:r w:rsidRPr="008B6A75">
        <w:rPr>
          <w:sz w:val="20"/>
          <w:szCs w:val="20"/>
        </w:rPr>
        <w:tab/>
        <w:t xml:space="preserve">                                                         Р.В. </w:t>
      </w:r>
      <w:proofErr w:type="spellStart"/>
      <w:r w:rsidRPr="008B6A75">
        <w:rPr>
          <w:sz w:val="20"/>
          <w:szCs w:val="20"/>
        </w:rPr>
        <w:t>Булюктов</w:t>
      </w:r>
      <w:proofErr w:type="spellEnd"/>
      <w:r w:rsidRPr="008B6A75">
        <w:rPr>
          <w:sz w:val="20"/>
          <w:szCs w:val="20"/>
        </w:rPr>
        <w:t xml:space="preserve">   </w:t>
      </w:r>
      <w:r w:rsidRPr="008B6A75">
        <w:rPr>
          <w:sz w:val="20"/>
          <w:szCs w:val="20"/>
        </w:rPr>
        <w:tab/>
        <w:t xml:space="preserve">  </w:t>
      </w:r>
    </w:p>
    <w:p w14:paraId="2DA85A32" w14:textId="77777777" w:rsidR="00387142" w:rsidRPr="008B6A75" w:rsidRDefault="00387142" w:rsidP="00387142">
      <w:pPr>
        <w:rPr>
          <w:sz w:val="20"/>
          <w:szCs w:val="20"/>
        </w:rPr>
      </w:pPr>
    </w:p>
    <w:p w14:paraId="2E98F300" w14:textId="77777777" w:rsidR="00387142" w:rsidRPr="008B6A75" w:rsidRDefault="00387142" w:rsidP="00387142">
      <w:pPr>
        <w:rPr>
          <w:sz w:val="20"/>
          <w:szCs w:val="20"/>
        </w:rPr>
      </w:pPr>
      <w:r w:rsidRPr="008B6A75">
        <w:rPr>
          <w:sz w:val="20"/>
          <w:szCs w:val="20"/>
        </w:rPr>
        <w:t xml:space="preserve">Глава Куйбышевского муниципального </w:t>
      </w:r>
    </w:p>
    <w:p w14:paraId="3CAF21BD" w14:textId="77777777" w:rsidR="00387142" w:rsidRPr="008B6A75" w:rsidRDefault="00387142" w:rsidP="00387142">
      <w:pPr>
        <w:rPr>
          <w:sz w:val="20"/>
          <w:szCs w:val="20"/>
        </w:rPr>
      </w:pPr>
      <w:r w:rsidRPr="008B6A75">
        <w:rPr>
          <w:sz w:val="20"/>
          <w:szCs w:val="20"/>
        </w:rPr>
        <w:t>района Новосибирской области                                                                                                                   О.В. Караваев</w:t>
      </w:r>
    </w:p>
    <w:p w14:paraId="25AE283A" w14:textId="77777777" w:rsidR="00387142" w:rsidRPr="008B6A75" w:rsidRDefault="00387142" w:rsidP="00387142">
      <w:pPr>
        <w:rPr>
          <w:sz w:val="20"/>
          <w:szCs w:val="20"/>
        </w:rPr>
      </w:pPr>
    </w:p>
    <w:tbl>
      <w:tblPr>
        <w:tblW w:w="10916" w:type="dxa"/>
        <w:tblInd w:w="-851" w:type="dxa"/>
        <w:tblLook w:val="04A0" w:firstRow="1" w:lastRow="0" w:firstColumn="1" w:lastColumn="0" w:noHBand="0" w:noVBand="1"/>
      </w:tblPr>
      <w:tblGrid>
        <w:gridCol w:w="3261"/>
        <w:gridCol w:w="720"/>
        <w:gridCol w:w="600"/>
        <w:gridCol w:w="1516"/>
        <w:gridCol w:w="708"/>
        <w:gridCol w:w="992"/>
        <w:gridCol w:w="992"/>
        <w:gridCol w:w="2127"/>
      </w:tblGrid>
      <w:tr w:rsidR="00387142" w:rsidRPr="008B6A75" w14:paraId="51320540" w14:textId="77777777" w:rsidTr="00387142">
        <w:trPr>
          <w:trHeight w:val="420"/>
        </w:trPr>
        <w:tc>
          <w:tcPr>
            <w:tcW w:w="3261" w:type="dxa"/>
            <w:tcBorders>
              <w:top w:val="nil"/>
              <w:left w:val="nil"/>
              <w:bottom w:val="nil"/>
              <w:right w:val="nil"/>
            </w:tcBorders>
            <w:shd w:val="clear" w:color="auto" w:fill="auto"/>
            <w:noWrap/>
            <w:vAlign w:val="bottom"/>
            <w:hideMark/>
          </w:tcPr>
          <w:p w14:paraId="254A075F" w14:textId="77777777" w:rsidR="00387142" w:rsidRPr="008B6A75" w:rsidRDefault="00387142" w:rsidP="00387142">
            <w:pPr>
              <w:rPr>
                <w:sz w:val="20"/>
                <w:szCs w:val="20"/>
              </w:rPr>
            </w:pPr>
          </w:p>
        </w:tc>
        <w:tc>
          <w:tcPr>
            <w:tcW w:w="720" w:type="dxa"/>
            <w:tcBorders>
              <w:top w:val="nil"/>
              <w:left w:val="nil"/>
              <w:bottom w:val="nil"/>
              <w:right w:val="nil"/>
            </w:tcBorders>
            <w:shd w:val="clear" w:color="auto" w:fill="auto"/>
            <w:noWrap/>
            <w:vAlign w:val="bottom"/>
            <w:hideMark/>
          </w:tcPr>
          <w:p w14:paraId="24099A3C" w14:textId="77777777" w:rsidR="00387142" w:rsidRPr="008B6A75" w:rsidRDefault="00387142" w:rsidP="00387142">
            <w:pPr>
              <w:rPr>
                <w:sz w:val="20"/>
                <w:szCs w:val="20"/>
              </w:rPr>
            </w:pPr>
          </w:p>
        </w:tc>
        <w:tc>
          <w:tcPr>
            <w:tcW w:w="600" w:type="dxa"/>
            <w:tcBorders>
              <w:top w:val="nil"/>
              <w:left w:val="nil"/>
              <w:bottom w:val="nil"/>
              <w:right w:val="nil"/>
            </w:tcBorders>
            <w:shd w:val="clear" w:color="auto" w:fill="auto"/>
            <w:noWrap/>
            <w:vAlign w:val="bottom"/>
            <w:hideMark/>
          </w:tcPr>
          <w:p w14:paraId="1F6EB7A8" w14:textId="77777777" w:rsidR="00387142" w:rsidRPr="008B6A75" w:rsidRDefault="00387142" w:rsidP="00387142">
            <w:pPr>
              <w:rPr>
                <w:sz w:val="20"/>
                <w:szCs w:val="20"/>
              </w:rPr>
            </w:pPr>
          </w:p>
        </w:tc>
        <w:tc>
          <w:tcPr>
            <w:tcW w:w="1516" w:type="dxa"/>
            <w:tcBorders>
              <w:top w:val="nil"/>
              <w:left w:val="nil"/>
              <w:bottom w:val="nil"/>
              <w:right w:val="nil"/>
            </w:tcBorders>
            <w:shd w:val="clear" w:color="auto" w:fill="auto"/>
            <w:noWrap/>
            <w:vAlign w:val="bottom"/>
            <w:hideMark/>
          </w:tcPr>
          <w:p w14:paraId="758862EC" w14:textId="77777777" w:rsidR="00387142" w:rsidRPr="008B6A75" w:rsidRDefault="00387142" w:rsidP="00387142">
            <w:pPr>
              <w:rPr>
                <w:sz w:val="20"/>
                <w:szCs w:val="20"/>
              </w:rPr>
            </w:pPr>
          </w:p>
        </w:tc>
        <w:tc>
          <w:tcPr>
            <w:tcW w:w="708" w:type="dxa"/>
            <w:tcBorders>
              <w:top w:val="nil"/>
              <w:left w:val="nil"/>
              <w:bottom w:val="nil"/>
              <w:right w:val="nil"/>
            </w:tcBorders>
            <w:shd w:val="clear" w:color="auto" w:fill="auto"/>
            <w:noWrap/>
            <w:vAlign w:val="bottom"/>
            <w:hideMark/>
          </w:tcPr>
          <w:p w14:paraId="0C47EF19" w14:textId="77777777" w:rsidR="00387142" w:rsidRPr="008B6A75" w:rsidRDefault="00387142" w:rsidP="00387142">
            <w:pPr>
              <w:rPr>
                <w:sz w:val="20"/>
                <w:szCs w:val="20"/>
              </w:rPr>
            </w:pPr>
          </w:p>
        </w:tc>
        <w:tc>
          <w:tcPr>
            <w:tcW w:w="992" w:type="dxa"/>
            <w:tcBorders>
              <w:top w:val="nil"/>
              <w:left w:val="nil"/>
              <w:bottom w:val="nil"/>
              <w:right w:val="nil"/>
            </w:tcBorders>
            <w:shd w:val="clear" w:color="auto" w:fill="auto"/>
            <w:noWrap/>
            <w:vAlign w:val="bottom"/>
            <w:hideMark/>
          </w:tcPr>
          <w:p w14:paraId="3EAC5332" w14:textId="77777777" w:rsidR="00387142" w:rsidRPr="008B6A75" w:rsidRDefault="00387142" w:rsidP="00387142">
            <w:pPr>
              <w:rPr>
                <w:sz w:val="20"/>
                <w:szCs w:val="20"/>
              </w:rPr>
            </w:pPr>
          </w:p>
        </w:tc>
        <w:tc>
          <w:tcPr>
            <w:tcW w:w="3119" w:type="dxa"/>
            <w:gridSpan w:val="2"/>
            <w:vMerge w:val="restart"/>
            <w:tcBorders>
              <w:top w:val="nil"/>
              <w:left w:val="nil"/>
              <w:bottom w:val="nil"/>
              <w:right w:val="nil"/>
            </w:tcBorders>
            <w:shd w:val="clear" w:color="auto" w:fill="auto"/>
            <w:hideMark/>
          </w:tcPr>
          <w:p w14:paraId="74007915" w14:textId="77777777" w:rsidR="00387142" w:rsidRPr="008B6A75" w:rsidRDefault="00387142" w:rsidP="00387142">
            <w:pPr>
              <w:jc w:val="right"/>
              <w:rPr>
                <w:sz w:val="20"/>
                <w:szCs w:val="20"/>
              </w:rPr>
            </w:pPr>
            <w:r w:rsidRPr="008B6A75">
              <w:rPr>
                <w:sz w:val="20"/>
                <w:szCs w:val="20"/>
              </w:rPr>
              <w:t>Приложение 3 к решению сессии Совета депутатов Куйбышевского муниципального района Новосибирской области "О бюджете Куйбышевского муниципального района Новосибирской области на 2022 год и плановый период 2023 и 2024 годов"</w:t>
            </w:r>
          </w:p>
        </w:tc>
      </w:tr>
      <w:tr w:rsidR="00387142" w:rsidRPr="008B6A75" w14:paraId="46CB8388" w14:textId="77777777" w:rsidTr="00387142">
        <w:trPr>
          <w:trHeight w:val="390"/>
        </w:trPr>
        <w:tc>
          <w:tcPr>
            <w:tcW w:w="3261" w:type="dxa"/>
            <w:tcBorders>
              <w:top w:val="nil"/>
              <w:left w:val="nil"/>
              <w:bottom w:val="nil"/>
              <w:right w:val="nil"/>
            </w:tcBorders>
            <w:shd w:val="clear" w:color="auto" w:fill="auto"/>
            <w:noWrap/>
            <w:vAlign w:val="bottom"/>
            <w:hideMark/>
          </w:tcPr>
          <w:p w14:paraId="07005460" w14:textId="77777777" w:rsidR="00387142" w:rsidRPr="008B6A75" w:rsidRDefault="00387142" w:rsidP="00387142">
            <w:pPr>
              <w:jc w:val="right"/>
              <w:rPr>
                <w:sz w:val="20"/>
                <w:szCs w:val="20"/>
              </w:rPr>
            </w:pPr>
          </w:p>
        </w:tc>
        <w:tc>
          <w:tcPr>
            <w:tcW w:w="720" w:type="dxa"/>
            <w:tcBorders>
              <w:top w:val="nil"/>
              <w:left w:val="nil"/>
              <w:bottom w:val="nil"/>
              <w:right w:val="nil"/>
            </w:tcBorders>
            <w:shd w:val="clear" w:color="auto" w:fill="auto"/>
            <w:noWrap/>
            <w:vAlign w:val="bottom"/>
            <w:hideMark/>
          </w:tcPr>
          <w:p w14:paraId="32B19E79" w14:textId="77777777" w:rsidR="00387142" w:rsidRPr="008B6A75" w:rsidRDefault="00387142" w:rsidP="00387142">
            <w:pPr>
              <w:rPr>
                <w:sz w:val="20"/>
                <w:szCs w:val="20"/>
              </w:rPr>
            </w:pPr>
          </w:p>
        </w:tc>
        <w:tc>
          <w:tcPr>
            <w:tcW w:w="600" w:type="dxa"/>
            <w:tcBorders>
              <w:top w:val="nil"/>
              <w:left w:val="nil"/>
              <w:bottom w:val="nil"/>
              <w:right w:val="nil"/>
            </w:tcBorders>
            <w:shd w:val="clear" w:color="auto" w:fill="auto"/>
            <w:noWrap/>
            <w:vAlign w:val="bottom"/>
            <w:hideMark/>
          </w:tcPr>
          <w:p w14:paraId="63195941" w14:textId="77777777" w:rsidR="00387142" w:rsidRPr="008B6A75" w:rsidRDefault="00387142" w:rsidP="00387142">
            <w:pPr>
              <w:rPr>
                <w:sz w:val="20"/>
                <w:szCs w:val="20"/>
              </w:rPr>
            </w:pPr>
          </w:p>
        </w:tc>
        <w:tc>
          <w:tcPr>
            <w:tcW w:w="1516" w:type="dxa"/>
            <w:tcBorders>
              <w:top w:val="nil"/>
              <w:left w:val="nil"/>
              <w:bottom w:val="nil"/>
              <w:right w:val="nil"/>
            </w:tcBorders>
            <w:shd w:val="clear" w:color="auto" w:fill="auto"/>
            <w:noWrap/>
            <w:vAlign w:val="bottom"/>
            <w:hideMark/>
          </w:tcPr>
          <w:p w14:paraId="5E81EF86" w14:textId="77777777" w:rsidR="00387142" w:rsidRPr="008B6A75" w:rsidRDefault="00387142" w:rsidP="00387142">
            <w:pPr>
              <w:rPr>
                <w:sz w:val="20"/>
                <w:szCs w:val="20"/>
              </w:rPr>
            </w:pPr>
          </w:p>
        </w:tc>
        <w:tc>
          <w:tcPr>
            <w:tcW w:w="708" w:type="dxa"/>
            <w:tcBorders>
              <w:top w:val="nil"/>
              <w:left w:val="nil"/>
              <w:bottom w:val="nil"/>
              <w:right w:val="nil"/>
            </w:tcBorders>
            <w:shd w:val="clear" w:color="auto" w:fill="auto"/>
            <w:noWrap/>
            <w:vAlign w:val="bottom"/>
            <w:hideMark/>
          </w:tcPr>
          <w:p w14:paraId="39CECA83" w14:textId="77777777" w:rsidR="00387142" w:rsidRPr="008B6A75" w:rsidRDefault="00387142" w:rsidP="00387142">
            <w:pPr>
              <w:rPr>
                <w:sz w:val="20"/>
                <w:szCs w:val="20"/>
              </w:rPr>
            </w:pPr>
          </w:p>
        </w:tc>
        <w:tc>
          <w:tcPr>
            <w:tcW w:w="992" w:type="dxa"/>
            <w:tcBorders>
              <w:top w:val="nil"/>
              <w:left w:val="nil"/>
              <w:bottom w:val="nil"/>
              <w:right w:val="nil"/>
            </w:tcBorders>
            <w:shd w:val="clear" w:color="auto" w:fill="auto"/>
            <w:noWrap/>
            <w:vAlign w:val="bottom"/>
            <w:hideMark/>
          </w:tcPr>
          <w:p w14:paraId="4D3BCD78" w14:textId="77777777" w:rsidR="00387142" w:rsidRPr="008B6A75" w:rsidRDefault="00387142" w:rsidP="00387142">
            <w:pPr>
              <w:rPr>
                <w:sz w:val="20"/>
                <w:szCs w:val="20"/>
              </w:rPr>
            </w:pPr>
          </w:p>
        </w:tc>
        <w:tc>
          <w:tcPr>
            <w:tcW w:w="3119" w:type="dxa"/>
            <w:gridSpan w:val="2"/>
            <w:vMerge/>
            <w:tcBorders>
              <w:top w:val="nil"/>
              <w:left w:val="nil"/>
              <w:bottom w:val="nil"/>
              <w:right w:val="nil"/>
            </w:tcBorders>
            <w:vAlign w:val="center"/>
            <w:hideMark/>
          </w:tcPr>
          <w:p w14:paraId="0A46522F" w14:textId="77777777" w:rsidR="00387142" w:rsidRPr="008B6A75" w:rsidRDefault="00387142" w:rsidP="00387142">
            <w:pPr>
              <w:rPr>
                <w:sz w:val="20"/>
                <w:szCs w:val="20"/>
              </w:rPr>
            </w:pPr>
          </w:p>
        </w:tc>
      </w:tr>
      <w:tr w:rsidR="00387142" w:rsidRPr="008B6A75" w14:paraId="6198502A" w14:textId="77777777" w:rsidTr="00387142">
        <w:trPr>
          <w:trHeight w:val="360"/>
        </w:trPr>
        <w:tc>
          <w:tcPr>
            <w:tcW w:w="3261" w:type="dxa"/>
            <w:tcBorders>
              <w:top w:val="nil"/>
              <w:left w:val="nil"/>
              <w:bottom w:val="nil"/>
              <w:right w:val="nil"/>
            </w:tcBorders>
            <w:shd w:val="clear" w:color="auto" w:fill="auto"/>
            <w:noWrap/>
            <w:vAlign w:val="bottom"/>
            <w:hideMark/>
          </w:tcPr>
          <w:p w14:paraId="0881C390" w14:textId="77777777" w:rsidR="00387142" w:rsidRPr="008B6A75" w:rsidRDefault="00387142" w:rsidP="00387142">
            <w:pPr>
              <w:rPr>
                <w:sz w:val="20"/>
                <w:szCs w:val="20"/>
              </w:rPr>
            </w:pPr>
          </w:p>
        </w:tc>
        <w:tc>
          <w:tcPr>
            <w:tcW w:w="720" w:type="dxa"/>
            <w:tcBorders>
              <w:top w:val="nil"/>
              <w:left w:val="nil"/>
              <w:bottom w:val="nil"/>
              <w:right w:val="nil"/>
            </w:tcBorders>
            <w:shd w:val="clear" w:color="auto" w:fill="auto"/>
            <w:noWrap/>
            <w:vAlign w:val="bottom"/>
            <w:hideMark/>
          </w:tcPr>
          <w:p w14:paraId="753825E7" w14:textId="77777777" w:rsidR="00387142" w:rsidRPr="008B6A75" w:rsidRDefault="00387142" w:rsidP="00387142">
            <w:pPr>
              <w:rPr>
                <w:sz w:val="20"/>
                <w:szCs w:val="20"/>
              </w:rPr>
            </w:pPr>
          </w:p>
        </w:tc>
        <w:tc>
          <w:tcPr>
            <w:tcW w:w="600" w:type="dxa"/>
            <w:tcBorders>
              <w:top w:val="nil"/>
              <w:left w:val="nil"/>
              <w:bottom w:val="nil"/>
              <w:right w:val="nil"/>
            </w:tcBorders>
            <w:shd w:val="clear" w:color="auto" w:fill="auto"/>
            <w:noWrap/>
            <w:vAlign w:val="bottom"/>
            <w:hideMark/>
          </w:tcPr>
          <w:p w14:paraId="061310C6" w14:textId="77777777" w:rsidR="00387142" w:rsidRPr="008B6A75" w:rsidRDefault="00387142" w:rsidP="00387142">
            <w:pPr>
              <w:rPr>
                <w:sz w:val="20"/>
                <w:szCs w:val="20"/>
              </w:rPr>
            </w:pPr>
          </w:p>
        </w:tc>
        <w:tc>
          <w:tcPr>
            <w:tcW w:w="1516" w:type="dxa"/>
            <w:tcBorders>
              <w:top w:val="nil"/>
              <w:left w:val="nil"/>
              <w:bottom w:val="nil"/>
              <w:right w:val="nil"/>
            </w:tcBorders>
            <w:shd w:val="clear" w:color="auto" w:fill="auto"/>
            <w:noWrap/>
            <w:vAlign w:val="bottom"/>
            <w:hideMark/>
          </w:tcPr>
          <w:p w14:paraId="2477272A" w14:textId="77777777" w:rsidR="00387142" w:rsidRPr="008B6A75" w:rsidRDefault="00387142" w:rsidP="00387142">
            <w:pPr>
              <w:rPr>
                <w:sz w:val="20"/>
                <w:szCs w:val="20"/>
              </w:rPr>
            </w:pPr>
          </w:p>
        </w:tc>
        <w:tc>
          <w:tcPr>
            <w:tcW w:w="708" w:type="dxa"/>
            <w:tcBorders>
              <w:top w:val="nil"/>
              <w:left w:val="nil"/>
              <w:bottom w:val="nil"/>
              <w:right w:val="nil"/>
            </w:tcBorders>
            <w:shd w:val="clear" w:color="auto" w:fill="auto"/>
            <w:noWrap/>
            <w:vAlign w:val="bottom"/>
            <w:hideMark/>
          </w:tcPr>
          <w:p w14:paraId="0A2648AF" w14:textId="77777777" w:rsidR="00387142" w:rsidRPr="008B6A75" w:rsidRDefault="00387142" w:rsidP="00387142">
            <w:pPr>
              <w:rPr>
                <w:sz w:val="20"/>
                <w:szCs w:val="20"/>
              </w:rPr>
            </w:pPr>
          </w:p>
        </w:tc>
        <w:tc>
          <w:tcPr>
            <w:tcW w:w="992" w:type="dxa"/>
            <w:tcBorders>
              <w:top w:val="nil"/>
              <w:left w:val="nil"/>
              <w:bottom w:val="nil"/>
              <w:right w:val="nil"/>
            </w:tcBorders>
            <w:shd w:val="clear" w:color="auto" w:fill="auto"/>
            <w:noWrap/>
            <w:vAlign w:val="bottom"/>
            <w:hideMark/>
          </w:tcPr>
          <w:p w14:paraId="79BF0D8E" w14:textId="77777777" w:rsidR="00387142" w:rsidRPr="008B6A75" w:rsidRDefault="00387142" w:rsidP="00387142">
            <w:pPr>
              <w:rPr>
                <w:sz w:val="20"/>
                <w:szCs w:val="20"/>
              </w:rPr>
            </w:pPr>
          </w:p>
        </w:tc>
        <w:tc>
          <w:tcPr>
            <w:tcW w:w="3119" w:type="dxa"/>
            <w:gridSpan w:val="2"/>
            <w:vMerge/>
            <w:tcBorders>
              <w:top w:val="nil"/>
              <w:left w:val="nil"/>
              <w:bottom w:val="nil"/>
              <w:right w:val="nil"/>
            </w:tcBorders>
            <w:vAlign w:val="center"/>
            <w:hideMark/>
          </w:tcPr>
          <w:p w14:paraId="3177F254" w14:textId="77777777" w:rsidR="00387142" w:rsidRPr="008B6A75" w:rsidRDefault="00387142" w:rsidP="00387142">
            <w:pPr>
              <w:rPr>
                <w:sz w:val="20"/>
                <w:szCs w:val="20"/>
              </w:rPr>
            </w:pPr>
          </w:p>
        </w:tc>
      </w:tr>
      <w:tr w:rsidR="00387142" w:rsidRPr="008B6A75" w14:paraId="58614B26" w14:textId="77777777" w:rsidTr="00387142">
        <w:trPr>
          <w:trHeight w:val="1365"/>
        </w:trPr>
        <w:tc>
          <w:tcPr>
            <w:tcW w:w="3261" w:type="dxa"/>
            <w:tcBorders>
              <w:top w:val="nil"/>
              <w:left w:val="nil"/>
              <w:bottom w:val="nil"/>
              <w:right w:val="nil"/>
            </w:tcBorders>
            <w:shd w:val="clear" w:color="auto" w:fill="auto"/>
            <w:noWrap/>
            <w:vAlign w:val="bottom"/>
            <w:hideMark/>
          </w:tcPr>
          <w:p w14:paraId="2B483852" w14:textId="77777777" w:rsidR="00387142" w:rsidRPr="008B6A75" w:rsidRDefault="00387142" w:rsidP="00387142">
            <w:pPr>
              <w:rPr>
                <w:sz w:val="20"/>
                <w:szCs w:val="20"/>
              </w:rPr>
            </w:pPr>
          </w:p>
        </w:tc>
        <w:tc>
          <w:tcPr>
            <w:tcW w:w="720" w:type="dxa"/>
            <w:tcBorders>
              <w:top w:val="nil"/>
              <w:left w:val="nil"/>
              <w:bottom w:val="nil"/>
              <w:right w:val="nil"/>
            </w:tcBorders>
            <w:shd w:val="clear" w:color="auto" w:fill="auto"/>
            <w:noWrap/>
            <w:vAlign w:val="bottom"/>
            <w:hideMark/>
          </w:tcPr>
          <w:p w14:paraId="0CA56C32" w14:textId="77777777" w:rsidR="00387142" w:rsidRPr="008B6A75" w:rsidRDefault="00387142" w:rsidP="00387142">
            <w:pPr>
              <w:rPr>
                <w:sz w:val="20"/>
                <w:szCs w:val="20"/>
              </w:rPr>
            </w:pPr>
          </w:p>
        </w:tc>
        <w:tc>
          <w:tcPr>
            <w:tcW w:w="600" w:type="dxa"/>
            <w:tcBorders>
              <w:top w:val="nil"/>
              <w:left w:val="nil"/>
              <w:bottom w:val="nil"/>
              <w:right w:val="nil"/>
            </w:tcBorders>
            <w:shd w:val="clear" w:color="auto" w:fill="auto"/>
            <w:noWrap/>
            <w:vAlign w:val="bottom"/>
            <w:hideMark/>
          </w:tcPr>
          <w:p w14:paraId="41347BCD" w14:textId="77777777" w:rsidR="00387142" w:rsidRPr="008B6A75" w:rsidRDefault="00387142" w:rsidP="00387142">
            <w:pPr>
              <w:rPr>
                <w:sz w:val="20"/>
                <w:szCs w:val="20"/>
              </w:rPr>
            </w:pPr>
          </w:p>
        </w:tc>
        <w:tc>
          <w:tcPr>
            <w:tcW w:w="1516" w:type="dxa"/>
            <w:tcBorders>
              <w:top w:val="nil"/>
              <w:left w:val="nil"/>
              <w:bottom w:val="nil"/>
              <w:right w:val="nil"/>
            </w:tcBorders>
            <w:shd w:val="clear" w:color="auto" w:fill="auto"/>
            <w:noWrap/>
            <w:vAlign w:val="bottom"/>
            <w:hideMark/>
          </w:tcPr>
          <w:p w14:paraId="157E45CF" w14:textId="77777777" w:rsidR="00387142" w:rsidRPr="008B6A75" w:rsidRDefault="00387142" w:rsidP="00387142">
            <w:pPr>
              <w:rPr>
                <w:sz w:val="20"/>
                <w:szCs w:val="20"/>
              </w:rPr>
            </w:pPr>
          </w:p>
        </w:tc>
        <w:tc>
          <w:tcPr>
            <w:tcW w:w="708" w:type="dxa"/>
            <w:tcBorders>
              <w:top w:val="nil"/>
              <w:left w:val="nil"/>
              <w:bottom w:val="nil"/>
              <w:right w:val="nil"/>
            </w:tcBorders>
            <w:shd w:val="clear" w:color="auto" w:fill="auto"/>
            <w:noWrap/>
            <w:vAlign w:val="bottom"/>
            <w:hideMark/>
          </w:tcPr>
          <w:p w14:paraId="2848E3FA" w14:textId="77777777" w:rsidR="00387142" w:rsidRPr="008B6A75" w:rsidRDefault="00387142" w:rsidP="00387142">
            <w:pPr>
              <w:rPr>
                <w:sz w:val="20"/>
                <w:szCs w:val="20"/>
              </w:rPr>
            </w:pPr>
          </w:p>
        </w:tc>
        <w:tc>
          <w:tcPr>
            <w:tcW w:w="992" w:type="dxa"/>
            <w:tcBorders>
              <w:top w:val="nil"/>
              <w:left w:val="nil"/>
              <w:bottom w:val="nil"/>
              <w:right w:val="nil"/>
            </w:tcBorders>
            <w:shd w:val="clear" w:color="auto" w:fill="auto"/>
            <w:noWrap/>
            <w:vAlign w:val="bottom"/>
            <w:hideMark/>
          </w:tcPr>
          <w:p w14:paraId="0F5EB621" w14:textId="77777777" w:rsidR="00387142" w:rsidRPr="008B6A75" w:rsidRDefault="00387142" w:rsidP="00387142">
            <w:pPr>
              <w:rPr>
                <w:sz w:val="20"/>
                <w:szCs w:val="20"/>
              </w:rPr>
            </w:pPr>
          </w:p>
        </w:tc>
        <w:tc>
          <w:tcPr>
            <w:tcW w:w="3119" w:type="dxa"/>
            <w:gridSpan w:val="2"/>
            <w:vMerge/>
            <w:tcBorders>
              <w:top w:val="nil"/>
              <w:left w:val="nil"/>
              <w:bottom w:val="nil"/>
              <w:right w:val="nil"/>
            </w:tcBorders>
            <w:vAlign w:val="center"/>
            <w:hideMark/>
          </w:tcPr>
          <w:p w14:paraId="3F7DCE54" w14:textId="77777777" w:rsidR="00387142" w:rsidRPr="008B6A75" w:rsidRDefault="00387142" w:rsidP="00387142">
            <w:pPr>
              <w:rPr>
                <w:sz w:val="20"/>
                <w:szCs w:val="20"/>
              </w:rPr>
            </w:pPr>
          </w:p>
        </w:tc>
      </w:tr>
      <w:tr w:rsidR="00387142" w:rsidRPr="008B6A75" w14:paraId="1B7FD58A" w14:textId="77777777" w:rsidTr="00387142">
        <w:trPr>
          <w:trHeight w:val="405"/>
        </w:trPr>
        <w:tc>
          <w:tcPr>
            <w:tcW w:w="3261" w:type="dxa"/>
            <w:tcBorders>
              <w:top w:val="nil"/>
              <w:left w:val="nil"/>
              <w:bottom w:val="nil"/>
              <w:right w:val="nil"/>
            </w:tcBorders>
            <w:shd w:val="clear" w:color="auto" w:fill="auto"/>
            <w:noWrap/>
            <w:vAlign w:val="bottom"/>
            <w:hideMark/>
          </w:tcPr>
          <w:p w14:paraId="278CDA75" w14:textId="77777777" w:rsidR="00387142" w:rsidRPr="008B6A75" w:rsidRDefault="00387142" w:rsidP="00387142">
            <w:pPr>
              <w:rPr>
                <w:sz w:val="20"/>
                <w:szCs w:val="20"/>
              </w:rPr>
            </w:pPr>
          </w:p>
        </w:tc>
        <w:tc>
          <w:tcPr>
            <w:tcW w:w="720" w:type="dxa"/>
            <w:tcBorders>
              <w:top w:val="nil"/>
              <w:left w:val="nil"/>
              <w:bottom w:val="nil"/>
              <w:right w:val="nil"/>
            </w:tcBorders>
            <w:shd w:val="clear" w:color="auto" w:fill="auto"/>
            <w:noWrap/>
            <w:vAlign w:val="bottom"/>
            <w:hideMark/>
          </w:tcPr>
          <w:p w14:paraId="61A57253" w14:textId="77777777" w:rsidR="00387142" w:rsidRPr="008B6A75" w:rsidRDefault="00387142" w:rsidP="00387142">
            <w:pPr>
              <w:rPr>
                <w:sz w:val="20"/>
                <w:szCs w:val="20"/>
              </w:rPr>
            </w:pPr>
          </w:p>
        </w:tc>
        <w:tc>
          <w:tcPr>
            <w:tcW w:w="600" w:type="dxa"/>
            <w:tcBorders>
              <w:top w:val="nil"/>
              <w:left w:val="nil"/>
              <w:bottom w:val="nil"/>
              <w:right w:val="nil"/>
            </w:tcBorders>
            <w:shd w:val="clear" w:color="auto" w:fill="auto"/>
            <w:noWrap/>
            <w:vAlign w:val="bottom"/>
            <w:hideMark/>
          </w:tcPr>
          <w:p w14:paraId="231FC05B" w14:textId="77777777" w:rsidR="00387142" w:rsidRPr="008B6A75" w:rsidRDefault="00387142" w:rsidP="00387142">
            <w:pPr>
              <w:rPr>
                <w:sz w:val="20"/>
                <w:szCs w:val="20"/>
              </w:rPr>
            </w:pPr>
          </w:p>
        </w:tc>
        <w:tc>
          <w:tcPr>
            <w:tcW w:w="1516" w:type="dxa"/>
            <w:tcBorders>
              <w:top w:val="nil"/>
              <w:left w:val="nil"/>
              <w:bottom w:val="nil"/>
              <w:right w:val="nil"/>
            </w:tcBorders>
            <w:shd w:val="clear" w:color="auto" w:fill="auto"/>
            <w:noWrap/>
            <w:vAlign w:val="bottom"/>
            <w:hideMark/>
          </w:tcPr>
          <w:p w14:paraId="1423339C" w14:textId="77777777" w:rsidR="00387142" w:rsidRPr="008B6A75" w:rsidRDefault="00387142" w:rsidP="00387142">
            <w:pPr>
              <w:rPr>
                <w:sz w:val="20"/>
                <w:szCs w:val="20"/>
              </w:rPr>
            </w:pPr>
          </w:p>
        </w:tc>
        <w:tc>
          <w:tcPr>
            <w:tcW w:w="708" w:type="dxa"/>
            <w:tcBorders>
              <w:top w:val="nil"/>
              <w:left w:val="nil"/>
              <w:bottom w:val="nil"/>
              <w:right w:val="nil"/>
            </w:tcBorders>
            <w:shd w:val="clear" w:color="auto" w:fill="auto"/>
            <w:noWrap/>
            <w:vAlign w:val="bottom"/>
            <w:hideMark/>
          </w:tcPr>
          <w:p w14:paraId="257FA544" w14:textId="77777777" w:rsidR="00387142" w:rsidRPr="008B6A75" w:rsidRDefault="00387142" w:rsidP="00387142">
            <w:pPr>
              <w:rPr>
                <w:sz w:val="20"/>
                <w:szCs w:val="20"/>
              </w:rPr>
            </w:pPr>
          </w:p>
        </w:tc>
        <w:tc>
          <w:tcPr>
            <w:tcW w:w="992" w:type="dxa"/>
            <w:tcBorders>
              <w:top w:val="nil"/>
              <w:left w:val="nil"/>
              <w:bottom w:val="nil"/>
              <w:right w:val="nil"/>
            </w:tcBorders>
            <w:shd w:val="clear" w:color="auto" w:fill="auto"/>
            <w:noWrap/>
            <w:vAlign w:val="bottom"/>
            <w:hideMark/>
          </w:tcPr>
          <w:p w14:paraId="2CF3E105" w14:textId="77777777" w:rsidR="00387142" w:rsidRPr="008B6A75" w:rsidRDefault="00387142" w:rsidP="00387142">
            <w:pPr>
              <w:rPr>
                <w:sz w:val="20"/>
                <w:szCs w:val="20"/>
              </w:rPr>
            </w:pPr>
          </w:p>
        </w:tc>
        <w:tc>
          <w:tcPr>
            <w:tcW w:w="992" w:type="dxa"/>
            <w:tcBorders>
              <w:top w:val="nil"/>
              <w:left w:val="nil"/>
              <w:bottom w:val="nil"/>
              <w:right w:val="nil"/>
            </w:tcBorders>
            <w:shd w:val="clear" w:color="auto" w:fill="auto"/>
            <w:noWrap/>
            <w:vAlign w:val="bottom"/>
            <w:hideMark/>
          </w:tcPr>
          <w:p w14:paraId="230C42F4" w14:textId="77777777" w:rsidR="00387142" w:rsidRPr="008B6A75" w:rsidRDefault="00387142" w:rsidP="00387142">
            <w:pPr>
              <w:rPr>
                <w:sz w:val="20"/>
                <w:szCs w:val="20"/>
              </w:rPr>
            </w:pPr>
          </w:p>
        </w:tc>
        <w:tc>
          <w:tcPr>
            <w:tcW w:w="2127" w:type="dxa"/>
            <w:tcBorders>
              <w:top w:val="nil"/>
              <w:left w:val="nil"/>
              <w:bottom w:val="nil"/>
              <w:right w:val="nil"/>
            </w:tcBorders>
            <w:shd w:val="clear" w:color="auto" w:fill="auto"/>
            <w:noWrap/>
            <w:vAlign w:val="bottom"/>
            <w:hideMark/>
          </w:tcPr>
          <w:p w14:paraId="28713EB8" w14:textId="77777777" w:rsidR="00387142" w:rsidRPr="008B6A75" w:rsidRDefault="00387142" w:rsidP="00387142">
            <w:pPr>
              <w:rPr>
                <w:sz w:val="20"/>
                <w:szCs w:val="20"/>
              </w:rPr>
            </w:pPr>
          </w:p>
        </w:tc>
      </w:tr>
      <w:tr w:rsidR="00387142" w:rsidRPr="008B6A75" w14:paraId="4E0763CF" w14:textId="77777777" w:rsidTr="00387142">
        <w:trPr>
          <w:trHeight w:val="1110"/>
        </w:trPr>
        <w:tc>
          <w:tcPr>
            <w:tcW w:w="10916" w:type="dxa"/>
            <w:gridSpan w:val="8"/>
            <w:tcBorders>
              <w:top w:val="nil"/>
              <w:left w:val="nil"/>
              <w:bottom w:val="nil"/>
              <w:right w:val="nil"/>
            </w:tcBorders>
            <w:shd w:val="clear" w:color="auto" w:fill="auto"/>
            <w:hideMark/>
          </w:tcPr>
          <w:p w14:paraId="122FC78F" w14:textId="77777777" w:rsidR="00387142" w:rsidRPr="008B6A75" w:rsidRDefault="00387142" w:rsidP="00387142">
            <w:pPr>
              <w:jc w:val="center"/>
              <w:rPr>
                <w:bCs/>
                <w:sz w:val="20"/>
                <w:szCs w:val="20"/>
              </w:rPr>
            </w:pPr>
            <w:r w:rsidRPr="008B6A75">
              <w:rPr>
                <w:bCs/>
                <w:sz w:val="20"/>
                <w:szCs w:val="20"/>
              </w:rPr>
              <w:lastRenderedPageBreak/>
              <w:t>Объем и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 Куйбышевского муниципального района на 2022 год и плановый период 2023 и 2024 годов</w:t>
            </w:r>
          </w:p>
        </w:tc>
      </w:tr>
      <w:tr w:rsidR="00387142" w:rsidRPr="008B6A75" w14:paraId="53D1233A" w14:textId="77777777" w:rsidTr="00387142">
        <w:trPr>
          <w:trHeight w:val="435"/>
        </w:trPr>
        <w:tc>
          <w:tcPr>
            <w:tcW w:w="3261" w:type="dxa"/>
            <w:tcBorders>
              <w:top w:val="nil"/>
              <w:left w:val="nil"/>
              <w:bottom w:val="nil"/>
              <w:right w:val="nil"/>
            </w:tcBorders>
            <w:shd w:val="clear" w:color="auto" w:fill="auto"/>
            <w:hideMark/>
          </w:tcPr>
          <w:p w14:paraId="0C8CD225" w14:textId="77777777" w:rsidR="00387142" w:rsidRPr="008B6A75" w:rsidRDefault="00387142" w:rsidP="00387142">
            <w:pPr>
              <w:jc w:val="center"/>
              <w:rPr>
                <w:bCs/>
                <w:sz w:val="20"/>
                <w:szCs w:val="20"/>
              </w:rPr>
            </w:pPr>
          </w:p>
        </w:tc>
        <w:tc>
          <w:tcPr>
            <w:tcW w:w="720" w:type="dxa"/>
            <w:tcBorders>
              <w:top w:val="nil"/>
              <w:left w:val="nil"/>
              <w:bottom w:val="nil"/>
              <w:right w:val="nil"/>
            </w:tcBorders>
            <w:shd w:val="clear" w:color="auto" w:fill="auto"/>
            <w:hideMark/>
          </w:tcPr>
          <w:p w14:paraId="11669608" w14:textId="77777777" w:rsidR="00387142" w:rsidRPr="008B6A75" w:rsidRDefault="00387142" w:rsidP="00387142">
            <w:pPr>
              <w:jc w:val="center"/>
              <w:rPr>
                <w:sz w:val="20"/>
                <w:szCs w:val="20"/>
              </w:rPr>
            </w:pPr>
          </w:p>
        </w:tc>
        <w:tc>
          <w:tcPr>
            <w:tcW w:w="600" w:type="dxa"/>
            <w:tcBorders>
              <w:top w:val="nil"/>
              <w:left w:val="nil"/>
              <w:bottom w:val="nil"/>
              <w:right w:val="nil"/>
            </w:tcBorders>
            <w:shd w:val="clear" w:color="auto" w:fill="auto"/>
            <w:hideMark/>
          </w:tcPr>
          <w:p w14:paraId="27967A6A" w14:textId="77777777" w:rsidR="00387142" w:rsidRPr="008B6A75" w:rsidRDefault="00387142" w:rsidP="00387142">
            <w:pPr>
              <w:jc w:val="center"/>
              <w:rPr>
                <w:sz w:val="20"/>
                <w:szCs w:val="20"/>
              </w:rPr>
            </w:pPr>
          </w:p>
        </w:tc>
        <w:tc>
          <w:tcPr>
            <w:tcW w:w="1516" w:type="dxa"/>
            <w:tcBorders>
              <w:top w:val="nil"/>
              <w:left w:val="nil"/>
              <w:bottom w:val="nil"/>
              <w:right w:val="nil"/>
            </w:tcBorders>
            <w:shd w:val="clear" w:color="auto" w:fill="auto"/>
            <w:hideMark/>
          </w:tcPr>
          <w:p w14:paraId="52E2EF40" w14:textId="77777777" w:rsidR="00387142" w:rsidRPr="008B6A75" w:rsidRDefault="00387142" w:rsidP="00387142">
            <w:pPr>
              <w:jc w:val="center"/>
              <w:rPr>
                <w:sz w:val="20"/>
                <w:szCs w:val="20"/>
              </w:rPr>
            </w:pPr>
          </w:p>
        </w:tc>
        <w:tc>
          <w:tcPr>
            <w:tcW w:w="708" w:type="dxa"/>
            <w:tcBorders>
              <w:top w:val="nil"/>
              <w:left w:val="nil"/>
              <w:bottom w:val="nil"/>
              <w:right w:val="nil"/>
            </w:tcBorders>
            <w:shd w:val="clear" w:color="auto" w:fill="auto"/>
            <w:hideMark/>
          </w:tcPr>
          <w:p w14:paraId="670153AC" w14:textId="77777777" w:rsidR="00387142" w:rsidRPr="008B6A75" w:rsidRDefault="00387142" w:rsidP="00387142">
            <w:pPr>
              <w:jc w:val="center"/>
              <w:rPr>
                <w:sz w:val="20"/>
                <w:szCs w:val="20"/>
              </w:rPr>
            </w:pPr>
          </w:p>
        </w:tc>
        <w:tc>
          <w:tcPr>
            <w:tcW w:w="992" w:type="dxa"/>
            <w:tcBorders>
              <w:top w:val="nil"/>
              <w:left w:val="nil"/>
              <w:bottom w:val="nil"/>
              <w:right w:val="nil"/>
            </w:tcBorders>
            <w:shd w:val="clear" w:color="auto" w:fill="auto"/>
            <w:hideMark/>
          </w:tcPr>
          <w:p w14:paraId="38F3DD21" w14:textId="77777777" w:rsidR="00387142" w:rsidRPr="008B6A75" w:rsidRDefault="00387142" w:rsidP="00387142">
            <w:pPr>
              <w:jc w:val="center"/>
              <w:rPr>
                <w:sz w:val="20"/>
                <w:szCs w:val="20"/>
              </w:rPr>
            </w:pPr>
          </w:p>
        </w:tc>
        <w:tc>
          <w:tcPr>
            <w:tcW w:w="992" w:type="dxa"/>
            <w:tcBorders>
              <w:top w:val="nil"/>
              <w:left w:val="nil"/>
              <w:bottom w:val="nil"/>
              <w:right w:val="nil"/>
            </w:tcBorders>
            <w:shd w:val="clear" w:color="auto" w:fill="auto"/>
            <w:hideMark/>
          </w:tcPr>
          <w:p w14:paraId="7E770730" w14:textId="77777777" w:rsidR="00387142" w:rsidRPr="008B6A75" w:rsidRDefault="00387142" w:rsidP="00387142">
            <w:pPr>
              <w:jc w:val="center"/>
              <w:rPr>
                <w:sz w:val="20"/>
                <w:szCs w:val="20"/>
              </w:rPr>
            </w:pPr>
          </w:p>
        </w:tc>
        <w:tc>
          <w:tcPr>
            <w:tcW w:w="2127" w:type="dxa"/>
            <w:tcBorders>
              <w:top w:val="nil"/>
              <w:left w:val="nil"/>
              <w:bottom w:val="nil"/>
              <w:right w:val="nil"/>
            </w:tcBorders>
            <w:shd w:val="clear" w:color="auto" w:fill="auto"/>
            <w:hideMark/>
          </w:tcPr>
          <w:p w14:paraId="375BB23A" w14:textId="77777777" w:rsidR="00387142" w:rsidRPr="008B6A75" w:rsidRDefault="00387142" w:rsidP="00387142">
            <w:pPr>
              <w:jc w:val="center"/>
              <w:rPr>
                <w:sz w:val="20"/>
                <w:szCs w:val="20"/>
              </w:rPr>
            </w:pPr>
            <w:r w:rsidRPr="008B6A75">
              <w:rPr>
                <w:sz w:val="20"/>
                <w:szCs w:val="20"/>
              </w:rPr>
              <w:t>руб.</w:t>
            </w:r>
          </w:p>
        </w:tc>
      </w:tr>
      <w:tr w:rsidR="00387142" w:rsidRPr="008B6A75" w14:paraId="08186C25" w14:textId="77777777" w:rsidTr="00387142">
        <w:trPr>
          <w:trHeight w:val="375"/>
        </w:trPr>
        <w:tc>
          <w:tcPr>
            <w:tcW w:w="3261" w:type="dxa"/>
            <w:tcBorders>
              <w:top w:val="single" w:sz="4" w:space="0" w:color="auto"/>
              <w:left w:val="single" w:sz="4" w:space="0" w:color="auto"/>
              <w:bottom w:val="nil"/>
              <w:right w:val="nil"/>
            </w:tcBorders>
            <w:shd w:val="clear" w:color="auto" w:fill="auto"/>
            <w:noWrap/>
            <w:vAlign w:val="center"/>
            <w:hideMark/>
          </w:tcPr>
          <w:p w14:paraId="19413ED7" w14:textId="77777777" w:rsidR="00387142" w:rsidRPr="008B6A75" w:rsidRDefault="00387142" w:rsidP="00387142">
            <w:pPr>
              <w:jc w:val="center"/>
              <w:rPr>
                <w:bCs/>
                <w:sz w:val="20"/>
                <w:szCs w:val="20"/>
              </w:rPr>
            </w:pPr>
            <w:r w:rsidRPr="008B6A75">
              <w:rPr>
                <w:bCs/>
                <w:sz w:val="20"/>
                <w:szCs w:val="20"/>
              </w:rPr>
              <w:t> </w:t>
            </w:r>
          </w:p>
        </w:tc>
        <w:tc>
          <w:tcPr>
            <w:tcW w:w="720" w:type="dxa"/>
            <w:tcBorders>
              <w:top w:val="single" w:sz="4" w:space="0" w:color="auto"/>
              <w:left w:val="single" w:sz="4" w:space="0" w:color="auto"/>
              <w:bottom w:val="nil"/>
              <w:right w:val="nil"/>
            </w:tcBorders>
            <w:shd w:val="clear" w:color="auto" w:fill="auto"/>
            <w:noWrap/>
            <w:vAlign w:val="center"/>
            <w:hideMark/>
          </w:tcPr>
          <w:p w14:paraId="77147E9E" w14:textId="77777777" w:rsidR="00387142" w:rsidRPr="008B6A75" w:rsidRDefault="00387142" w:rsidP="00387142">
            <w:pPr>
              <w:jc w:val="center"/>
              <w:rPr>
                <w:bCs/>
                <w:sz w:val="20"/>
                <w:szCs w:val="20"/>
              </w:rPr>
            </w:pPr>
            <w:r w:rsidRPr="008B6A75">
              <w:rPr>
                <w:bCs/>
                <w:sz w:val="20"/>
                <w:szCs w:val="20"/>
              </w:rPr>
              <w:t> </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684A5C4C" w14:textId="77777777" w:rsidR="00387142" w:rsidRPr="008B6A75" w:rsidRDefault="00387142" w:rsidP="00387142">
            <w:pPr>
              <w:jc w:val="center"/>
              <w:rPr>
                <w:bCs/>
                <w:sz w:val="20"/>
                <w:szCs w:val="20"/>
              </w:rPr>
            </w:pPr>
            <w:r w:rsidRPr="008B6A75">
              <w:rPr>
                <w:bCs/>
                <w:sz w:val="20"/>
                <w:szCs w:val="20"/>
              </w:rPr>
              <w:t> </w:t>
            </w:r>
          </w:p>
        </w:tc>
        <w:tc>
          <w:tcPr>
            <w:tcW w:w="1516" w:type="dxa"/>
            <w:tcBorders>
              <w:top w:val="single" w:sz="4" w:space="0" w:color="auto"/>
              <w:left w:val="single" w:sz="4" w:space="0" w:color="auto"/>
              <w:bottom w:val="nil"/>
              <w:right w:val="nil"/>
            </w:tcBorders>
            <w:shd w:val="clear" w:color="auto" w:fill="auto"/>
            <w:noWrap/>
            <w:vAlign w:val="center"/>
            <w:hideMark/>
          </w:tcPr>
          <w:p w14:paraId="07C3B4D7" w14:textId="77777777" w:rsidR="00387142" w:rsidRPr="008B6A75" w:rsidRDefault="00387142" w:rsidP="00387142">
            <w:pPr>
              <w:jc w:val="center"/>
              <w:rPr>
                <w:bCs/>
                <w:sz w:val="20"/>
                <w:szCs w:val="20"/>
              </w:rPr>
            </w:pPr>
            <w:r w:rsidRPr="008B6A75">
              <w:rPr>
                <w:bCs/>
                <w:sz w:val="20"/>
                <w:szCs w:val="20"/>
              </w:rPr>
              <w:t> </w:t>
            </w:r>
          </w:p>
        </w:tc>
        <w:tc>
          <w:tcPr>
            <w:tcW w:w="708" w:type="dxa"/>
            <w:tcBorders>
              <w:top w:val="single" w:sz="4" w:space="0" w:color="auto"/>
              <w:left w:val="single" w:sz="4" w:space="0" w:color="auto"/>
              <w:bottom w:val="nil"/>
              <w:right w:val="single" w:sz="4" w:space="0" w:color="auto"/>
            </w:tcBorders>
            <w:shd w:val="clear" w:color="auto" w:fill="auto"/>
            <w:noWrap/>
            <w:vAlign w:val="center"/>
            <w:hideMark/>
          </w:tcPr>
          <w:p w14:paraId="79FD5ECA" w14:textId="77777777" w:rsidR="00387142" w:rsidRPr="008B6A75" w:rsidRDefault="00387142" w:rsidP="00387142">
            <w:pPr>
              <w:jc w:val="center"/>
              <w:rPr>
                <w:bCs/>
                <w:sz w:val="20"/>
                <w:szCs w:val="20"/>
              </w:rPr>
            </w:pPr>
            <w:r w:rsidRPr="008B6A75">
              <w:rPr>
                <w:bCs/>
                <w:sz w:val="20"/>
                <w:szCs w:val="20"/>
              </w:rPr>
              <w:t> </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82A5E8D" w14:textId="77777777" w:rsidR="00387142" w:rsidRPr="008B6A75" w:rsidRDefault="00387142" w:rsidP="00387142">
            <w:pPr>
              <w:jc w:val="center"/>
              <w:rPr>
                <w:bCs/>
                <w:sz w:val="20"/>
                <w:szCs w:val="20"/>
              </w:rPr>
            </w:pPr>
            <w:r w:rsidRPr="008B6A75">
              <w:rPr>
                <w:bCs/>
                <w:sz w:val="20"/>
                <w:szCs w:val="20"/>
              </w:rPr>
              <w:t>Сумма на 2022 год</w:t>
            </w:r>
          </w:p>
        </w:tc>
        <w:tc>
          <w:tcPr>
            <w:tcW w:w="992" w:type="dxa"/>
            <w:vMerge w:val="restart"/>
            <w:tcBorders>
              <w:top w:val="single" w:sz="4" w:space="0" w:color="auto"/>
              <w:left w:val="nil"/>
              <w:bottom w:val="single" w:sz="4" w:space="0" w:color="auto"/>
              <w:right w:val="nil"/>
            </w:tcBorders>
            <w:shd w:val="clear" w:color="auto" w:fill="auto"/>
            <w:vAlign w:val="center"/>
            <w:hideMark/>
          </w:tcPr>
          <w:p w14:paraId="5C7A01BE" w14:textId="77777777" w:rsidR="00387142" w:rsidRPr="008B6A75" w:rsidRDefault="00387142" w:rsidP="00387142">
            <w:pPr>
              <w:jc w:val="center"/>
              <w:rPr>
                <w:bCs/>
                <w:sz w:val="20"/>
                <w:szCs w:val="20"/>
              </w:rPr>
            </w:pPr>
            <w:r w:rsidRPr="008B6A75">
              <w:rPr>
                <w:bCs/>
                <w:sz w:val="20"/>
                <w:szCs w:val="20"/>
              </w:rPr>
              <w:t>Сумма на 2023 год</w:t>
            </w:r>
          </w:p>
        </w:tc>
        <w:tc>
          <w:tcPr>
            <w:tcW w:w="21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FA1AA8B" w14:textId="77777777" w:rsidR="00387142" w:rsidRPr="008B6A75" w:rsidRDefault="00387142" w:rsidP="00387142">
            <w:pPr>
              <w:jc w:val="center"/>
              <w:rPr>
                <w:bCs/>
                <w:sz w:val="20"/>
                <w:szCs w:val="20"/>
              </w:rPr>
            </w:pPr>
            <w:r w:rsidRPr="008B6A75">
              <w:rPr>
                <w:bCs/>
                <w:sz w:val="20"/>
                <w:szCs w:val="20"/>
              </w:rPr>
              <w:t>Сумма на 2024 год</w:t>
            </w:r>
          </w:p>
        </w:tc>
      </w:tr>
      <w:tr w:rsidR="00387142" w:rsidRPr="008B6A75" w14:paraId="0D7E5B6B" w14:textId="77777777" w:rsidTr="00387142">
        <w:trPr>
          <w:trHeight w:val="840"/>
        </w:trPr>
        <w:tc>
          <w:tcPr>
            <w:tcW w:w="3261" w:type="dxa"/>
            <w:tcBorders>
              <w:top w:val="nil"/>
              <w:left w:val="single" w:sz="4" w:space="0" w:color="auto"/>
              <w:bottom w:val="nil"/>
              <w:right w:val="nil"/>
            </w:tcBorders>
            <w:shd w:val="clear" w:color="auto" w:fill="auto"/>
            <w:noWrap/>
            <w:vAlign w:val="center"/>
            <w:hideMark/>
          </w:tcPr>
          <w:p w14:paraId="2BF96C28" w14:textId="77777777" w:rsidR="00387142" w:rsidRPr="008B6A75" w:rsidRDefault="00387142" w:rsidP="00387142">
            <w:pPr>
              <w:jc w:val="center"/>
              <w:rPr>
                <w:bCs/>
                <w:sz w:val="20"/>
                <w:szCs w:val="20"/>
              </w:rPr>
            </w:pPr>
            <w:r w:rsidRPr="008B6A75">
              <w:rPr>
                <w:bCs/>
                <w:sz w:val="20"/>
                <w:szCs w:val="20"/>
              </w:rPr>
              <w:t>Наименование</w:t>
            </w:r>
          </w:p>
        </w:tc>
        <w:tc>
          <w:tcPr>
            <w:tcW w:w="720" w:type="dxa"/>
            <w:tcBorders>
              <w:top w:val="nil"/>
              <w:left w:val="single" w:sz="4" w:space="0" w:color="auto"/>
              <w:bottom w:val="nil"/>
              <w:right w:val="nil"/>
            </w:tcBorders>
            <w:shd w:val="clear" w:color="auto" w:fill="auto"/>
            <w:noWrap/>
            <w:vAlign w:val="center"/>
            <w:hideMark/>
          </w:tcPr>
          <w:p w14:paraId="1AB71486" w14:textId="77777777" w:rsidR="00387142" w:rsidRPr="008B6A75" w:rsidRDefault="00387142" w:rsidP="00387142">
            <w:pPr>
              <w:jc w:val="center"/>
              <w:rPr>
                <w:bCs/>
                <w:sz w:val="20"/>
                <w:szCs w:val="20"/>
              </w:rPr>
            </w:pPr>
            <w:r w:rsidRPr="008B6A75">
              <w:rPr>
                <w:bCs/>
                <w:sz w:val="20"/>
                <w:szCs w:val="20"/>
              </w:rPr>
              <w:t>РЗ</w:t>
            </w:r>
          </w:p>
        </w:tc>
        <w:tc>
          <w:tcPr>
            <w:tcW w:w="600" w:type="dxa"/>
            <w:tcBorders>
              <w:top w:val="nil"/>
              <w:left w:val="single" w:sz="4" w:space="0" w:color="auto"/>
              <w:bottom w:val="nil"/>
              <w:right w:val="single" w:sz="4" w:space="0" w:color="auto"/>
            </w:tcBorders>
            <w:shd w:val="clear" w:color="auto" w:fill="auto"/>
            <w:noWrap/>
            <w:vAlign w:val="center"/>
            <w:hideMark/>
          </w:tcPr>
          <w:p w14:paraId="7C9B11EC" w14:textId="77777777" w:rsidR="00387142" w:rsidRPr="008B6A75" w:rsidRDefault="00387142" w:rsidP="00387142">
            <w:pPr>
              <w:jc w:val="center"/>
              <w:rPr>
                <w:bCs/>
                <w:sz w:val="20"/>
                <w:szCs w:val="20"/>
              </w:rPr>
            </w:pPr>
            <w:r w:rsidRPr="008B6A75">
              <w:rPr>
                <w:bCs/>
                <w:sz w:val="20"/>
                <w:szCs w:val="20"/>
              </w:rPr>
              <w:t>ПР</w:t>
            </w:r>
          </w:p>
        </w:tc>
        <w:tc>
          <w:tcPr>
            <w:tcW w:w="1516" w:type="dxa"/>
            <w:tcBorders>
              <w:top w:val="nil"/>
              <w:left w:val="single" w:sz="4" w:space="0" w:color="auto"/>
              <w:bottom w:val="nil"/>
              <w:right w:val="nil"/>
            </w:tcBorders>
            <w:shd w:val="clear" w:color="auto" w:fill="auto"/>
            <w:noWrap/>
            <w:vAlign w:val="center"/>
            <w:hideMark/>
          </w:tcPr>
          <w:p w14:paraId="640B823E" w14:textId="77777777" w:rsidR="00387142" w:rsidRPr="008B6A75" w:rsidRDefault="00387142" w:rsidP="00387142">
            <w:pPr>
              <w:jc w:val="center"/>
              <w:rPr>
                <w:bCs/>
                <w:sz w:val="20"/>
                <w:szCs w:val="20"/>
              </w:rPr>
            </w:pPr>
            <w:r w:rsidRPr="008B6A75">
              <w:rPr>
                <w:bCs/>
                <w:sz w:val="20"/>
                <w:szCs w:val="20"/>
              </w:rPr>
              <w:t>КЦСР</w:t>
            </w:r>
          </w:p>
        </w:tc>
        <w:tc>
          <w:tcPr>
            <w:tcW w:w="708" w:type="dxa"/>
            <w:tcBorders>
              <w:top w:val="nil"/>
              <w:left w:val="single" w:sz="4" w:space="0" w:color="auto"/>
              <w:bottom w:val="nil"/>
              <w:right w:val="single" w:sz="4" w:space="0" w:color="auto"/>
            </w:tcBorders>
            <w:shd w:val="clear" w:color="auto" w:fill="auto"/>
            <w:noWrap/>
            <w:vAlign w:val="center"/>
            <w:hideMark/>
          </w:tcPr>
          <w:p w14:paraId="289079F0" w14:textId="77777777" w:rsidR="00387142" w:rsidRPr="008B6A75" w:rsidRDefault="00387142" w:rsidP="00387142">
            <w:pPr>
              <w:jc w:val="center"/>
              <w:rPr>
                <w:bCs/>
                <w:sz w:val="20"/>
                <w:szCs w:val="20"/>
              </w:rPr>
            </w:pPr>
            <w:r w:rsidRPr="008B6A75">
              <w:rPr>
                <w:bCs/>
                <w:sz w:val="20"/>
                <w:szCs w:val="20"/>
              </w:rPr>
              <w:t>КВР</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9A2B7DD" w14:textId="77777777" w:rsidR="00387142" w:rsidRPr="008B6A75" w:rsidRDefault="00387142" w:rsidP="00387142">
            <w:pPr>
              <w:rPr>
                <w:bCs/>
                <w:sz w:val="20"/>
                <w:szCs w:val="20"/>
              </w:rPr>
            </w:pPr>
          </w:p>
        </w:tc>
        <w:tc>
          <w:tcPr>
            <w:tcW w:w="992" w:type="dxa"/>
            <w:vMerge/>
            <w:tcBorders>
              <w:top w:val="single" w:sz="4" w:space="0" w:color="auto"/>
              <w:left w:val="nil"/>
              <w:bottom w:val="single" w:sz="4" w:space="0" w:color="auto"/>
              <w:right w:val="nil"/>
            </w:tcBorders>
            <w:vAlign w:val="center"/>
            <w:hideMark/>
          </w:tcPr>
          <w:p w14:paraId="027484A9" w14:textId="77777777" w:rsidR="00387142" w:rsidRPr="008B6A75" w:rsidRDefault="00387142" w:rsidP="00387142">
            <w:pPr>
              <w:rPr>
                <w:bCs/>
                <w:sz w:val="20"/>
                <w:szCs w:val="20"/>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14:paraId="4B120609" w14:textId="77777777" w:rsidR="00387142" w:rsidRPr="008B6A75" w:rsidRDefault="00387142" w:rsidP="00387142">
            <w:pPr>
              <w:rPr>
                <w:bCs/>
                <w:sz w:val="20"/>
                <w:szCs w:val="20"/>
              </w:rPr>
            </w:pPr>
          </w:p>
        </w:tc>
      </w:tr>
      <w:tr w:rsidR="00387142" w:rsidRPr="008B6A75" w14:paraId="175A5CF4" w14:textId="77777777" w:rsidTr="00387142">
        <w:trPr>
          <w:trHeight w:val="300"/>
        </w:trPr>
        <w:tc>
          <w:tcPr>
            <w:tcW w:w="3261" w:type="dxa"/>
            <w:tcBorders>
              <w:top w:val="single" w:sz="4" w:space="0" w:color="auto"/>
              <w:left w:val="single" w:sz="4" w:space="0" w:color="auto"/>
              <w:bottom w:val="single" w:sz="4" w:space="0" w:color="auto"/>
              <w:right w:val="nil"/>
            </w:tcBorders>
            <w:shd w:val="clear" w:color="auto" w:fill="auto"/>
            <w:noWrap/>
            <w:vAlign w:val="center"/>
            <w:hideMark/>
          </w:tcPr>
          <w:p w14:paraId="4385E1AD" w14:textId="77777777" w:rsidR="00387142" w:rsidRPr="008B6A75" w:rsidRDefault="00387142" w:rsidP="00387142">
            <w:pPr>
              <w:jc w:val="center"/>
              <w:rPr>
                <w:bCs/>
                <w:sz w:val="20"/>
                <w:szCs w:val="20"/>
              </w:rPr>
            </w:pPr>
            <w:r w:rsidRPr="008B6A75">
              <w:rPr>
                <w:bCs/>
                <w:sz w:val="20"/>
                <w:szCs w:val="20"/>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2F8078" w14:textId="77777777" w:rsidR="00387142" w:rsidRPr="008B6A75" w:rsidRDefault="00387142" w:rsidP="00387142">
            <w:pPr>
              <w:jc w:val="center"/>
              <w:rPr>
                <w:bCs/>
                <w:sz w:val="20"/>
                <w:szCs w:val="20"/>
              </w:rPr>
            </w:pPr>
            <w:r w:rsidRPr="008B6A75">
              <w:rPr>
                <w:bCs/>
                <w:sz w:val="20"/>
                <w:szCs w:val="20"/>
              </w:rPr>
              <w:t>2</w:t>
            </w:r>
          </w:p>
        </w:tc>
        <w:tc>
          <w:tcPr>
            <w:tcW w:w="600" w:type="dxa"/>
            <w:tcBorders>
              <w:top w:val="single" w:sz="4" w:space="0" w:color="auto"/>
              <w:left w:val="nil"/>
              <w:bottom w:val="single" w:sz="4" w:space="0" w:color="auto"/>
              <w:right w:val="single" w:sz="4" w:space="0" w:color="auto"/>
            </w:tcBorders>
            <w:shd w:val="clear" w:color="auto" w:fill="auto"/>
            <w:noWrap/>
            <w:vAlign w:val="center"/>
            <w:hideMark/>
          </w:tcPr>
          <w:p w14:paraId="73602E2B" w14:textId="77777777" w:rsidR="00387142" w:rsidRPr="008B6A75" w:rsidRDefault="00387142" w:rsidP="00387142">
            <w:pPr>
              <w:jc w:val="center"/>
              <w:rPr>
                <w:bCs/>
                <w:sz w:val="20"/>
                <w:szCs w:val="20"/>
              </w:rPr>
            </w:pPr>
            <w:r w:rsidRPr="008B6A75">
              <w:rPr>
                <w:bCs/>
                <w:sz w:val="20"/>
                <w:szCs w:val="20"/>
              </w:rPr>
              <w:t>3</w:t>
            </w:r>
          </w:p>
        </w:tc>
        <w:tc>
          <w:tcPr>
            <w:tcW w:w="1516" w:type="dxa"/>
            <w:tcBorders>
              <w:top w:val="single" w:sz="4" w:space="0" w:color="auto"/>
              <w:left w:val="single" w:sz="4" w:space="0" w:color="auto"/>
              <w:bottom w:val="single" w:sz="4" w:space="0" w:color="auto"/>
              <w:right w:val="nil"/>
            </w:tcBorders>
            <w:shd w:val="clear" w:color="auto" w:fill="auto"/>
            <w:noWrap/>
            <w:vAlign w:val="center"/>
            <w:hideMark/>
          </w:tcPr>
          <w:p w14:paraId="4BD818C4" w14:textId="77777777" w:rsidR="00387142" w:rsidRPr="008B6A75" w:rsidRDefault="00387142" w:rsidP="00387142">
            <w:pPr>
              <w:jc w:val="center"/>
              <w:rPr>
                <w:bCs/>
                <w:sz w:val="20"/>
                <w:szCs w:val="20"/>
              </w:rPr>
            </w:pPr>
            <w:r w:rsidRPr="008B6A75">
              <w:rPr>
                <w:bCs/>
                <w:sz w:val="20"/>
                <w:szCs w:val="20"/>
              </w:rPr>
              <w:t>4</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3AEC66" w14:textId="77777777" w:rsidR="00387142" w:rsidRPr="008B6A75" w:rsidRDefault="00387142" w:rsidP="00387142">
            <w:pPr>
              <w:jc w:val="center"/>
              <w:rPr>
                <w:bCs/>
                <w:sz w:val="20"/>
                <w:szCs w:val="20"/>
              </w:rPr>
            </w:pPr>
            <w:r w:rsidRPr="008B6A75">
              <w:rPr>
                <w:bCs/>
                <w:sz w:val="20"/>
                <w:szCs w:val="20"/>
              </w:rPr>
              <w:t>5</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B8BCCB0" w14:textId="77777777" w:rsidR="00387142" w:rsidRPr="008B6A75" w:rsidRDefault="00387142" w:rsidP="00387142">
            <w:pPr>
              <w:jc w:val="center"/>
              <w:rPr>
                <w:bCs/>
                <w:sz w:val="20"/>
                <w:szCs w:val="20"/>
              </w:rPr>
            </w:pPr>
            <w:r w:rsidRPr="008B6A75">
              <w:rPr>
                <w:bCs/>
                <w:sz w:val="20"/>
                <w:szCs w:val="20"/>
              </w:rPr>
              <w:t>6</w:t>
            </w:r>
          </w:p>
        </w:tc>
        <w:tc>
          <w:tcPr>
            <w:tcW w:w="992" w:type="dxa"/>
            <w:tcBorders>
              <w:top w:val="nil"/>
              <w:left w:val="nil"/>
              <w:bottom w:val="single" w:sz="4" w:space="0" w:color="auto"/>
              <w:right w:val="single" w:sz="4" w:space="0" w:color="auto"/>
            </w:tcBorders>
            <w:shd w:val="clear" w:color="auto" w:fill="auto"/>
            <w:vAlign w:val="center"/>
            <w:hideMark/>
          </w:tcPr>
          <w:p w14:paraId="7D384849" w14:textId="77777777" w:rsidR="00387142" w:rsidRPr="008B6A75" w:rsidRDefault="00387142" w:rsidP="00387142">
            <w:pPr>
              <w:jc w:val="center"/>
              <w:rPr>
                <w:bCs/>
                <w:sz w:val="20"/>
                <w:szCs w:val="20"/>
              </w:rPr>
            </w:pPr>
            <w:r w:rsidRPr="008B6A75">
              <w:rPr>
                <w:bCs/>
                <w:sz w:val="20"/>
                <w:szCs w:val="20"/>
              </w:rPr>
              <w:t>7</w:t>
            </w:r>
          </w:p>
        </w:tc>
        <w:tc>
          <w:tcPr>
            <w:tcW w:w="2127" w:type="dxa"/>
            <w:tcBorders>
              <w:top w:val="nil"/>
              <w:left w:val="nil"/>
              <w:bottom w:val="single" w:sz="4" w:space="0" w:color="auto"/>
              <w:right w:val="single" w:sz="4" w:space="0" w:color="auto"/>
            </w:tcBorders>
            <w:shd w:val="clear" w:color="auto" w:fill="auto"/>
            <w:vAlign w:val="center"/>
            <w:hideMark/>
          </w:tcPr>
          <w:p w14:paraId="733A1C3E" w14:textId="77777777" w:rsidR="00387142" w:rsidRPr="008B6A75" w:rsidRDefault="00387142" w:rsidP="00387142">
            <w:pPr>
              <w:jc w:val="center"/>
              <w:rPr>
                <w:bCs/>
                <w:sz w:val="20"/>
                <w:szCs w:val="20"/>
              </w:rPr>
            </w:pPr>
            <w:r w:rsidRPr="008B6A75">
              <w:rPr>
                <w:bCs/>
                <w:sz w:val="20"/>
                <w:szCs w:val="20"/>
              </w:rPr>
              <w:t>8</w:t>
            </w:r>
          </w:p>
        </w:tc>
      </w:tr>
      <w:tr w:rsidR="00387142" w:rsidRPr="008B6A75" w14:paraId="1A336254" w14:textId="77777777" w:rsidTr="00387142">
        <w:trPr>
          <w:trHeight w:val="345"/>
        </w:trPr>
        <w:tc>
          <w:tcPr>
            <w:tcW w:w="3261" w:type="dxa"/>
            <w:tcBorders>
              <w:top w:val="nil"/>
              <w:left w:val="single" w:sz="4" w:space="0" w:color="auto"/>
              <w:bottom w:val="single" w:sz="4" w:space="0" w:color="auto"/>
              <w:right w:val="nil"/>
            </w:tcBorders>
            <w:shd w:val="clear" w:color="auto" w:fill="auto"/>
            <w:vAlign w:val="center"/>
            <w:hideMark/>
          </w:tcPr>
          <w:p w14:paraId="00ACBBCF" w14:textId="77777777" w:rsidR="00387142" w:rsidRPr="008B6A75" w:rsidRDefault="00387142" w:rsidP="00387142">
            <w:pPr>
              <w:rPr>
                <w:bCs/>
                <w:sz w:val="20"/>
                <w:szCs w:val="20"/>
              </w:rPr>
            </w:pPr>
            <w:r w:rsidRPr="008B6A75">
              <w:rPr>
                <w:bCs/>
                <w:sz w:val="20"/>
                <w:szCs w:val="20"/>
              </w:rPr>
              <w:t>ОБЩЕГОСУДАРСТВЕННЫЕ ВОПРОСЫ</w:t>
            </w:r>
          </w:p>
        </w:tc>
        <w:tc>
          <w:tcPr>
            <w:tcW w:w="720" w:type="dxa"/>
            <w:tcBorders>
              <w:top w:val="nil"/>
              <w:left w:val="single" w:sz="4" w:space="0" w:color="auto"/>
              <w:bottom w:val="single" w:sz="4" w:space="0" w:color="auto"/>
              <w:right w:val="nil"/>
            </w:tcBorders>
            <w:shd w:val="clear" w:color="auto" w:fill="auto"/>
            <w:noWrap/>
            <w:vAlign w:val="center"/>
            <w:hideMark/>
          </w:tcPr>
          <w:p w14:paraId="7DADAC64" w14:textId="77777777" w:rsidR="00387142" w:rsidRPr="008B6A75" w:rsidRDefault="00387142" w:rsidP="00387142">
            <w:pPr>
              <w:jc w:val="center"/>
              <w:rPr>
                <w:bCs/>
                <w:sz w:val="20"/>
                <w:szCs w:val="20"/>
              </w:rPr>
            </w:pPr>
            <w:r w:rsidRPr="008B6A75">
              <w:rPr>
                <w:bCs/>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ABB8160" w14:textId="77777777" w:rsidR="00387142" w:rsidRPr="008B6A75" w:rsidRDefault="00387142" w:rsidP="00387142">
            <w:pPr>
              <w:jc w:val="center"/>
              <w:rPr>
                <w:bCs/>
                <w:sz w:val="20"/>
                <w:szCs w:val="20"/>
              </w:rPr>
            </w:pPr>
            <w:r w:rsidRPr="008B6A75">
              <w:rPr>
                <w:bCs/>
                <w:sz w:val="20"/>
                <w:szCs w:val="20"/>
              </w:rPr>
              <w:t> </w:t>
            </w:r>
          </w:p>
        </w:tc>
        <w:tc>
          <w:tcPr>
            <w:tcW w:w="1516" w:type="dxa"/>
            <w:tcBorders>
              <w:top w:val="nil"/>
              <w:left w:val="single" w:sz="4" w:space="0" w:color="auto"/>
              <w:bottom w:val="single" w:sz="4" w:space="0" w:color="auto"/>
              <w:right w:val="nil"/>
            </w:tcBorders>
            <w:shd w:val="clear" w:color="auto" w:fill="auto"/>
            <w:noWrap/>
            <w:vAlign w:val="center"/>
            <w:hideMark/>
          </w:tcPr>
          <w:p w14:paraId="565F076E" w14:textId="77777777" w:rsidR="00387142" w:rsidRPr="008B6A75" w:rsidRDefault="00387142" w:rsidP="00387142">
            <w:pPr>
              <w:jc w:val="center"/>
              <w:rPr>
                <w:bCs/>
                <w:sz w:val="20"/>
                <w:szCs w:val="20"/>
              </w:rPr>
            </w:pPr>
            <w:r w:rsidRPr="008B6A75">
              <w:rPr>
                <w:bCs/>
                <w:sz w:val="20"/>
                <w:szCs w:val="20"/>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6ACF2B6"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3E7EB3D" w14:textId="77777777" w:rsidR="00387142" w:rsidRPr="008B6A75" w:rsidRDefault="00387142" w:rsidP="00387142">
            <w:pPr>
              <w:jc w:val="right"/>
              <w:rPr>
                <w:bCs/>
                <w:sz w:val="20"/>
                <w:szCs w:val="20"/>
              </w:rPr>
            </w:pPr>
            <w:r w:rsidRPr="008B6A75">
              <w:rPr>
                <w:bCs/>
                <w:sz w:val="20"/>
                <w:szCs w:val="20"/>
              </w:rPr>
              <w:t>111 100 457,59</w:t>
            </w:r>
          </w:p>
        </w:tc>
        <w:tc>
          <w:tcPr>
            <w:tcW w:w="992" w:type="dxa"/>
            <w:tcBorders>
              <w:top w:val="nil"/>
              <w:left w:val="single" w:sz="4" w:space="0" w:color="auto"/>
              <w:bottom w:val="single" w:sz="4" w:space="0" w:color="auto"/>
              <w:right w:val="nil"/>
            </w:tcBorders>
            <w:shd w:val="clear" w:color="auto" w:fill="auto"/>
            <w:vAlign w:val="center"/>
            <w:hideMark/>
          </w:tcPr>
          <w:p w14:paraId="733842B2" w14:textId="77777777" w:rsidR="00387142" w:rsidRPr="008B6A75" w:rsidRDefault="00387142" w:rsidP="00387142">
            <w:pPr>
              <w:jc w:val="right"/>
              <w:rPr>
                <w:bCs/>
                <w:sz w:val="20"/>
                <w:szCs w:val="20"/>
              </w:rPr>
            </w:pPr>
            <w:r w:rsidRPr="008B6A75">
              <w:rPr>
                <w:bCs/>
                <w:sz w:val="20"/>
                <w:szCs w:val="20"/>
              </w:rPr>
              <w:t>57 536 644,18</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5063A811" w14:textId="77777777" w:rsidR="00387142" w:rsidRPr="008B6A75" w:rsidRDefault="00387142" w:rsidP="00387142">
            <w:pPr>
              <w:jc w:val="right"/>
              <w:rPr>
                <w:bCs/>
                <w:sz w:val="20"/>
                <w:szCs w:val="20"/>
              </w:rPr>
            </w:pPr>
            <w:r w:rsidRPr="008B6A75">
              <w:rPr>
                <w:bCs/>
                <w:sz w:val="20"/>
                <w:szCs w:val="20"/>
              </w:rPr>
              <w:t>42 180 321,97</w:t>
            </w:r>
          </w:p>
        </w:tc>
      </w:tr>
      <w:tr w:rsidR="00387142" w:rsidRPr="008B6A75" w14:paraId="49C8D277" w14:textId="77777777" w:rsidTr="00387142">
        <w:trPr>
          <w:trHeight w:val="870"/>
        </w:trPr>
        <w:tc>
          <w:tcPr>
            <w:tcW w:w="3261" w:type="dxa"/>
            <w:tcBorders>
              <w:top w:val="nil"/>
              <w:left w:val="single" w:sz="4" w:space="0" w:color="auto"/>
              <w:bottom w:val="single" w:sz="4" w:space="0" w:color="auto"/>
              <w:right w:val="nil"/>
            </w:tcBorders>
            <w:shd w:val="clear" w:color="auto" w:fill="auto"/>
            <w:vAlign w:val="center"/>
            <w:hideMark/>
          </w:tcPr>
          <w:p w14:paraId="404FF54D" w14:textId="77777777" w:rsidR="00387142" w:rsidRPr="008B6A75" w:rsidRDefault="00387142" w:rsidP="00387142">
            <w:pPr>
              <w:rPr>
                <w:bCs/>
                <w:sz w:val="20"/>
                <w:szCs w:val="20"/>
              </w:rPr>
            </w:pPr>
            <w:r w:rsidRPr="008B6A75">
              <w:rPr>
                <w:bCs/>
                <w:sz w:val="20"/>
                <w:szCs w:val="20"/>
              </w:rPr>
              <w:t>Функционирование высшего должностного лица субъекта Российской Федерации и муниципального образования</w:t>
            </w:r>
          </w:p>
        </w:tc>
        <w:tc>
          <w:tcPr>
            <w:tcW w:w="720" w:type="dxa"/>
            <w:tcBorders>
              <w:top w:val="nil"/>
              <w:left w:val="single" w:sz="4" w:space="0" w:color="auto"/>
              <w:bottom w:val="single" w:sz="4" w:space="0" w:color="auto"/>
              <w:right w:val="nil"/>
            </w:tcBorders>
            <w:shd w:val="clear" w:color="auto" w:fill="auto"/>
            <w:noWrap/>
            <w:vAlign w:val="center"/>
            <w:hideMark/>
          </w:tcPr>
          <w:p w14:paraId="56825B12" w14:textId="77777777" w:rsidR="00387142" w:rsidRPr="008B6A75" w:rsidRDefault="00387142" w:rsidP="00387142">
            <w:pPr>
              <w:jc w:val="center"/>
              <w:rPr>
                <w:bCs/>
                <w:sz w:val="20"/>
                <w:szCs w:val="20"/>
              </w:rPr>
            </w:pPr>
            <w:r w:rsidRPr="008B6A75">
              <w:rPr>
                <w:bCs/>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1ECA20C" w14:textId="77777777" w:rsidR="00387142" w:rsidRPr="008B6A75" w:rsidRDefault="00387142" w:rsidP="00387142">
            <w:pPr>
              <w:jc w:val="center"/>
              <w:rPr>
                <w:bCs/>
                <w:sz w:val="20"/>
                <w:szCs w:val="20"/>
              </w:rPr>
            </w:pPr>
            <w:r w:rsidRPr="008B6A75">
              <w:rPr>
                <w:bCs/>
                <w:sz w:val="20"/>
                <w:szCs w:val="20"/>
              </w:rPr>
              <w:t>02</w:t>
            </w:r>
          </w:p>
        </w:tc>
        <w:tc>
          <w:tcPr>
            <w:tcW w:w="1516" w:type="dxa"/>
            <w:tcBorders>
              <w:top w:val="nil"/>
              <w:left w:val="single" w:sz="4" w:space="0" w:color="auto"/>
              <w:bottom w:val="single" w:sz="4" w:space="0" w:color="auto"/>
              <w:right w:val="nil"/>
            </w:tcBorders>
            <w:shd w:val="clear" w:color="auto" w:fill="auto"/>
            <w:noWrap/>
            <w:vAlign w:val="center"/>
            <w:hideMark/>
          </w:tcPr>
          <w:p w14:paraId="4E117E66" w14:textId="77777777" w:rsidR="00387142" w:rsidRPr="008B6A75" w:rsidRDefault="00387142" w:rsidP="00387142">
            <w:pPr>
              <w:jc w:val="center"/>
              <w:rPr>
                <w:bCs/>
                <w:sz w:val="20"/>
                <w:szCs w:val="20"/>
              </w:rPr>
            </w:pPr>
            <w:r w:rsidRPr="008B6A75">
              <w:rPr>
                <w:bCs/>
                <w:sz w:val="20"/>
                <w:szCs w:val="20"/>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02AF94E"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BAAEE8A" w14:textId="77777777" w:rsidR="00387142" w:rsidRPr="008B6A75" w:rsidRDefault="00387142" w:rsidP="00387142">
            <w:pPr>
              <w:jc w:val="right"/>
              <w:rPr>
                <w:bCs/>
                <w:sz w:val="20"/>
                <w:szCs w:val="20"/>
              </w:rPr>
            </w:pPr>
            <w:r w:rsidRPr="008B6A75">
              <w:rPr>
                <w:bCs/>
                <w:sz w:val="20"/>
                <w:szCs w:val="20"/>
              </w:rPr>
              <w:t>4 465 990,45</w:t>
            </w:r>
          </w:p>
        </w:tc>
        <w:tc>
          <w:tcPr>
            <w:tcW w:w="992" w:type="dxa"/>
            <w:tcBorders>
              <w:top w:val="nil"/>
              <w:left w:val="single" w:sz="4" w:space="0" w:color="auto"/>
              <w:bottom w:val="single" w:sz="4" w:space="0" w:color="auto"/>
              <w:right w:val="nil"/>
            </w:tcBorders>
            <w:shd w:val="clear" w:color="auto" w:fill="auto"/>
            <w:vAlign w:val="center"/>
            <w:hideMark/>
          </w:tcPr>
          <w:p w14:paraId="478E0FBB" w14:textId="77777777" w:rsidR="00387142" w:rsidRPr="008B6A75" w:rsidRDefault="00387142" w:rsidP="00387142">
            <w:pPr>
              <w:jc w:val="right"/>
              <w:rPr>
                <w:bCs/>
                <w:sz w:val="20"/>
                <w:szCs w:val="20"/>
              </w:rPr>
            </w:pPr>
            <w:r w:rsidRPr="008B6A75">
              <w:rPr>
                <w:bCs/>
                <w:sz w:val="20"/>
                <w:szCs w:val="20"/>
              </w:rPr>
              <w:t>2 389 500,00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2FFE4C7B" w14:textId="77777777" w:rsidR="00387142" w:rsidRPr="008B6A75" w:rsidRDefault="00387142" w:rsidP="00387142">
            <w:pPr>
              <w:jc w:val="right"/>
              <w:rPr>
                <w:bCs/>
                <w:sz w:val="20"/>
                <w:szCs w:val="20"/>
              </w:rPr>
            </w:pPr>
            <w:r w:rsidRPr="008B6A75">
              <w:rPr>
                <w:bCs/>
                <w:sz w:val="20"/>
                <w:szCs w:val="20"/>
              </w:rPr>
              <w:t>2 389 500,00</w:t>
            </w:r>
          </w:p>
        </w:tc>
      </w:tr>
      <w:tr w:rsidR="00387142" w:rsidRPr="008B6A75" w14:paraId="473BFBAE" w14:textId="77777777" w:rsidTr="00387142">
        <w:trPr>
          <w:trHeight w:val="345"/>
        </w:trPr>
        <w:tc>
          <w:tcPr>
            <w:tcW w:w="3261" w:type="dxa"/>
            <w:tcBorders>
              <w:top w:val="nil"/>
              <w:left w:val="single" w:sz="4" w:space="0" w:color="auto"/>
              <w:bottom w:val="single" w:sz="4" w:space="0" w:color="auto"/>
              <w:right w:val="nil"/>
            </w:tcBorders>
            <w:shd w:val="clear" w:color="auto" w:fill="auto"/>
            <w:vAlign w:val="center"/>
            <w:hideMark/>
          </w:tcPr>
          <w:p w14:paraId="383EF985" w14:textId="77777777" w:rsidR="00387142" w:rsidRPr="008B6A75" w:rsidRDefault="00387142" w:rsidP="00387142">
            <w:pPr>
              <w:rPr>
                <w:bCs/>
                <w:sz w:val="20"/>
                <w:szCs w:val="20"/>
              </w:rPr>
            </w:pPr>
            <w:r w:rsidRPr="008B6A75">
              <w:rPr>
                <w:bCs/>
                <w:sz w:val="20"/>
                <w:szCs w:val="20"/>
              </w:rPr>
              <w:t>Непрограммные направления бюджета</w:t>
            </w:r>
          </w:p>
        </w:tc>
        <w:tc>
          <w:tcPr>
            <w:tcW w:w="720" w:type="dxa"/>
            <w:tcBorders>
              <w:top w:val="nil"/>
              <w:left w:val="single" w:sz="4" w:space="0" w:color="auto"/>
              <w:bottom w:val="single" w:sz="4" w:space="0" w:color="auto"/>
              <w:right w:val="nil"/>
            </w:tcBorders>
            <w:shd w:val="clear" w:color="auto" w:fill="auto"/>
            <w:noWrap/>
            <w:vAlign w:val="center"/>
            <w:hideMark/>
          </w:tcPr>
          <w:p w14:paraId="62F7386F" w14:textId="77777777" w:rsidR="00387142" w:rsidRPr="008B6A75" w:rsidRDefault="00387142" w:rsidP="00387142">
            <w:pPr>
              <w:jc w:val="center"/>
              <w:rPr>
                <w:bCs/>
                <w:sz w:val="20"/>
                <w:szCs w:val="20"/>
              </w:rPr>
            </w:pPr>
            <w:r w:rsidRPr="008B6A75">
              <w:rPr>
                <w:bCs/>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13CE15A" w14:textId="77777777" w:rsidR="00387142" w:rsidRPr="008B6A75" w:rsidRDefault="00387142" w:rsidP="00387142">
            <w:pPr>
              <w:jc w:val="center"/>
              <w:rPr>
                <w:bCs/>
                <w:sz w:val="20"/>
                <w:szCs w:val="20"/>
              </w:rPr>
            </w:pPr>
            <w:r w:rsidRPr="008B6A75">
              <w:rPr>
                <w:bCs/>
                <w:sz w:val="20"/>
                <w:szCs w:val="20"/>
              </w:rPr>
              <w:t>02</w:t>
            </w:r>
          </w:p>
        </w:tc>
        <w:tc>
          <w:tcPr>
            <w:tcW w:w="1516" w:type="dxa"/>
            <w:tcBorders>
              <w:top w:val="nil"/>
              <w:left w:val="single" w:sz="4" w:space="0" w:color="auto"/>
              <w:bottom w:val="single" w:sz="4" w:space="0" w:color="auto"/>
              <w:right w:val="nil"/>
            </w:tcBorders>
            <w:shd w:val="clear" w:color="auto" w:fill="auto"/>
            <w:noWrap/>
            <w:vAlign w:val="center"/>
            <w:hideMark/>
          </w:tcPr>
          <w:p w14:paraId="579E0A2B" w14:textId="77777777" w:rsidR="00387142" w:rsidRPr="008B6A75" w:rsidRDefault="00387142" w:rsidP="00387142">
            <w:pPr>
              <w:jc w:val="center"/>
              <w:rPr>
                <w:bCs/>
                <w:sz w:val="20"/>
                <w:szCs w:val="20"/>
              </w:rPr>
            </w:pPr>
            <w:r w:rsidRPr="008B6A75">
              <w:rPr>
                <w:bCs/>
                <w:sz w:val="20"/>
                <w:szCs w:val="20"/>
              </w:rPr>
              <w:t>99.0.00.00000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4F8F09B"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D33541C" w14:textId="77777777" w:rsidR="00387142" w:rsidRPr="008B6A75" w:rsidRDefault="00387142" w:rsidP="00387142">
            <w:pPr>
              <w:jc w:val="right"/>
              <w:rPr>
                <w:bCs/>
                <w:sz w:val="20"/>
                <w:szCs w:val="20"/>
              </w:rPr>
            </w:pPr>
            <w:r w:rsidRPr="008B6A75">
              <w:rPr>
                <w:bCs/>
                <w:sz w:val="20"/>
                <w:szCs w:val="20"/>
              </w:rPr>
              <w:t>4 465 990,45</w:t>
            </w:r>
          </w:p>
        </w:tc>
        <w:tc>
          <w:tcPr>
            <w:tcW w:w="992" w:type="dxa"/>
            <w:tcBorders>
              <w:top w:val="nil"/>
              <w:left w:val="single" w:sz="4" w:space="0" w:color="auto"/>
              <w:bottom w:val="single" w:sz="4" w:space="0" w:color="auto"/>
              <w:right w:val="nil"/>
            </w:tcBorders>
            <w:shd w:val="clear" w:color="auto" w:fill="auto"/>
            <w:vAlign w:val="center"/>
            <w:hideMark/>
          </w:tcPr>
          <w:p w14:paraId="752E7BED" w14:textId="77777777" w:rsidR="00387142" w:rsidRPr="008B6A75" w:rsidRDefault="00387142" w:rsidP="00387142">
            <w:pPr>
              <w:jc w:val="right"/>
              <w:rPr>
                <w:bCs/>
                <w:sz w:val="20"/>
                <w:szCs w:val="20"/>
              </w:rPr>
            </w:pPr>
            <w:r w:rsidRPr="008B6A75">
              <w:rPr>
                <w:bCs/>
                <w:sz w:val="20"/>
                <w:szCs w:val="20"/>
              </w:rPr>
              <w:t>2 389 500,00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1355376D" w14:textId="77777777" w:rsidR="00387142" w:rsidRPr="008B6A75" w:rsidRDefault="00387142" w:rsidP="00387142">
            <w:pPr>
              <w:jc w:val="right"/>
              <w:rPr>
                <w:bCs/>
                <w:sz w:val="20"/>
                <w:szCs w:val="20"/>
              </w:rPr>
            </w:pPr>
            <w:r w:rsidRPr="008B6A75">
              <w:rPr>
                <w:bCs/>
                <w:sz w:val="20"/>
                <w:szCs w:val="20"/>
              </w:rPr>
              <w:t>2 389 500,00</w:t>
            </w:r>
          </w:p>
        </w:tc>
      </w:tr>
      <w:tr w:rsidR="00387142" w:rsidRPr="008B6A75" w14:paraId="655FFC13" w14:textId="77777777" w:rsidTr="00387142">
        <w:trPr>
          <w:trHeight w:val="585"/>
        </w:trPr>
        <w:tc>
          <w:tcPr>
            <w:tcW w:w="3261" w:type="dxa"/>
            <w:tcBorders>
              <w:top w:val="nil"/>
              <w:left w:val="single" w:sz="4" w:space="0" w:color="auto"/>
              <w:bottom w:val="single" w:sz="4" w:space="0" w:color="auto"/>
              <w:right w:val="nil"/>
            </w:tcBorders>
            <w:shd w:val="clear" w:color="auto" w:fill="auto"/>
            <w:vAlign w:val="center"/>
            <w:hideMark/>
          </w:tcPr>
          <w:p w14:paraId="63332D0F" w14:textId="77777777" w:rsidR="00387142" w:rsidRPr="008B6A75" w:rsidRDefault="00387142" w:rsidP="00387142">
            <w:pPr>
              <w:rPr>
                <w:bCs/>
                <w:sz w:val="20"/>
                <w:szCs w:val="20"/>
              </w:rPr>
            </w:pPr>
            <w:r w:rsidRPr="008B6A75">
              <w:rPr>
                <w:bCs/>
                <w:sz w:val="20"/>
                <w:szCs w:val="20"/>
              </w:rPr>
              <w:t>Высшее должностное лицо органа местного самоуправления</w:t>
            </w:r>
          </w:p>
        </w:tc>
        <w:tc>
          <w:tcPr>
            <w:tcW w:w="720" w:type="dxa"/>
            <w:tcBorders>
              <w:top w:val="nil"/>
              <w:left w:val="single" w:sz="4" w:space="0" w:color="auto"/>
              <w:bottom w:val="single" w:sz="4" w:space="0" w:color="auto"/>
              <w:right w:val="nil"/>
            </w:tcBorders>
            <w:shd w:val="clear" w:color="auto" w:fill="auto"/>
            <w:noWrap/>
            <w:vAlign w:val="center"/>
            <w:hideMark/>
          </w:tcPr>
          <w:p w14:paraId="3D54730A" w14:textId="77777777" w:rsidR="00387142" w:rsidRPr="008B6A75" w:rsidRDefault="00387142" w:rsidP="00387142">
            <w:pPr>
              <w:jc w:val="center"/>
              <w:rPr>
                <w:bCs/>
                <w:sz w:val="20"/>
                <w:szCs w:val="20"/>
              </w:rPr>
            </w:pPr>
            <w:r w:rsidRPr="008B6A75">
              <w:rPr>
                <w:bCs/>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BCE1142" w14:textId="77777777" w:rsidR="00387142" w:rsidRPr="008B6A75" w:rsidRDefault="00387142" w:rsidP="00387142">
            <w:pPr>
              <w:jc w:val="center"/>
              <w:rPr>
                <w:bCs/>
                <w:sz w:val="20"/>
                <w:szCs w:val="20"/>
              </w:rPr>
            </w:pPr>
            <w:r w:rsidRPr="008B6A75">
              <w:rPr>
                <w:bCs/>
                <w:sz w:val="20"/>
                <w:szCs w:val="20"/>
              </w:rPr>
              <w:t>02</w:t>
            </w:r>
          </w:p>
        </w:tc>
        <w:tc>
          <w:tcPr>
            <w:tcW w:w="1516" w:type="dxa"/>
            <w:tcBorders>
              <w:top w:val="nil"/>
              <w:left w:val="single" w:sz="4" w:space="0" w:color="auto"/>
              <w:bottom w:val="single" w:sz="4" w:space="0" w:color="auto"/>
              <w:right w:val="nil"/>
            </w:tcBorders>
            <w:shd w:val="clear" w:color="auto" w:fill="auto"/>
            <w:noWrap/>
            <w:vAlign w:val="center"/>
            <w:hideMark/>
          </w:tcPr>
          <w:p w14:paraId="5B790DE1" w14:textId="77777777" w:rsidR="00387142" w:rsidRPr="008B6A75" w:rsidRDefault="00387142" w:rsidP="00387142">
            <w:pPr>
              <w:jc w:val="center"/>
              <w:rPr>
                <w:bCs/>
                <w:sz w:val="20"/>
                <w:szCs w:val="20"/>
              </w:rPr>
            </w:pPr>
            <w:r w:rsidRPr="008B6A75">
              <w:rPr>
                <w:bCs/>
                <w:sz w:val="20"/>
                <w:szCs w:val="20"/>
              </w:rPr>
              <w:t>99.0.00.01100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E166926"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CCCACAC" w14:textId="77777777" w:rsidR="00387142" w:rsidRPr="008B6A75" w:rsidRDefault="00387142" w:rsidP="00387142">
            <w:pPr>
              <w:jc w:val="right"/>
              <w:rPr>
                <w:bCs/>
                <w:sz w:val="20"/>
                <w:szCs w:val="20"/>
              </w:rPr>
            </w:pPr>
            <w:r w:rsidRPr="008B6A75">
              <w:rPr>
                <w:bCs/>
                <w:sz w:val="20"/>
                <w:szCs w:val="20"/>
              </w:rPr>
              <w:t>2 602 591,20</w:t>
            </w:r>
          </w:p>
        </w:tc>
        <w:tc>
          <w:tcPr>
            <w:tcW w:w="992" w:type="dxa"/>
            <w:tcBorders>
              <w:top w:val="nil"/>
              <w:left w:val="single" w:sz="4" w:space="0" w:color="auto"/>
              <w:bottom w:val="single" w:sz="4" w:space="0" w:color="auto"/>
              <w:right w:val="nil"/>
            </w:tcBorders>
            <w:shd w:val="clear" w:color="auto" w:fill="auto"/>
            <w:vAlign w:val="center"/>
            <w:hideMark/>
          </w:tcPr>
          <w:p w14:paraId="63092277" w14:textId="77777777" w:rsidR="00387142" w:rsidRPr="008B6A75" w:rsidRDefault="00387142" w:rsidP="00387142">
            <w:pPr>
              <w:jc w:val="right"/>
              <w:rPr>
                <w:bCs/>
                <w:sz w:val="20"/>
                <w:szCs w:val="20"/>
              </w:rPr>
            </w:pPr>
            <w:r w:rsidRPr="008B6A75">
              <w:rPr>
                <w:bCs/>
                <w:sz w:val="20"/>
                <w:szCs w:val="20"/>
              </w:rPr>
              <w:t>2 389 500,00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707C2338" w14:textId="77777777" w:rsidR="00387142" w:rsidRPr="008B6A75" w:rsidRDefault="00387142" w:rsidP="00387142">
            <w:pPr>
              <w:jc w:val="right"/>
              <w:rPr>
                <w:bCs/>
                <w:sz w:val="20"/>
                <w:szCs w:val="20"/>
              </w:rPr>
            </w:pPr>
            <w:r w:rsidRPr="008B6A75">
              <w:rPr>
                <w:bCs/>
                <w:sz w:val="20"/>
                <w:szCs w:val="20"/>
              </w:rPr>
              <w:t>2 389 500,00</w:t>
            </w:r>
          </w:p>
        </w:tc>
      </w:tr>
      <w:tr w:rsidR="00387142" w:rsidRPr="008B6A75" w14:paraId="062C562A" w14:textId="77777777" w:rsidTr="00387142">
        <w:trPr>
          <w:trHeight w:val="1440"/>
        </w:trPr>
        <w:tc>
          <w:tcPr>
            <w:tcW w:w="3261" w:type="dxa"/>
            <w:tcBorders>
              <w:top w:val="nil"/>
              <w:left w:val="single" w:sz="4" w:space="0" w:color="auto"/>
              <w:bottom w:val="single" w:sz="4" w:space="0" w:color="auto"/>
              <w:right w:val="nil"/>
            </w:tcBorders>
            <w:shd w:val="clear" w:color="auto" w:fill="auto"/>
            <w:vAlign w:val="center"/>
            <w:hideMark/>
          </w:tcPr>
          <w:p w14:paraId="2E5651ED" w14:textId="77777777" w:rsidR="00387142" w:rsidRPr="008B6A75" w:rsidRDefault="00387142" w:rsidP="00387142">
            <w:pPr>
              <w:rPr>
                <w:sz w:val="20"/>
                <w:szCs w:val="20"/>
              </w:rPr>
            </w:pPr>
            <w:r w:rsidRPr="008B6A7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14:paraId="4091AF97" w14:textId="77777777" w:rsidR="00387142" w:rsidRPr="008B6A75" w:rsidRDefault="00387142" w:rsidP="00387142">
            <w:pPr>
              <w:jc w:val="center"/>
              <w:rPr>
                <w:sz w:val="20"/>
                <w:szCs w:val="20"/>
              </w:rPr>
            </w:pPr>
            <w:r w:rsidRPr="008B6A75">
              <w:rPr>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009FA11" w14:textId="77777777" w:rsidR="00387142" w:rsidRPr="008B6A75" w:rsidRDefault="00387142" w:rsidP="00387142">
            <w:pPr>
              <w:jc w:val="center"/>
              <w:rPr>
                <w:sz w:val="20"/>
                <w:szCs w:val="20"/>
              </w:rPr>
            </w:pPr>
            <w:r w:rsidRPr="008B6A75">
              <w:rPr>
                <w:sz w:val="20"/>
                <w:szCs w:val="20"/>
              </w:rPr>
              <w:t>02</w:t>
            </w:r>
          </w:p>
        </w:tc>
        <w:tc>
          <w:tcPr>
            <w:tcW w:w="1516" w:type="dxa"/>
            <w:tcBorders>
              <w:top w:val="nil"/>
              <w:left w:val="single" w:sz="4" w:space="0" w:color="auto"/>
              <w:bottom w:val="single" w:sz="4" w:space="0" w:color="auto"/>
              <w:right w:val="nil"/>
            </w:tcBorders>
            <w:shd w:val="clear" w:color="auto" w:fill="auto"/>
            <w:noWrap/>
            <w:vAlign w:val="center"/>
            <w:hideMark/>
          </w:tcPr>
          <w:p w14:paraId="09CB1939" w14:textId="77777777" w:rsidR="00387142" w:rsidRPr="008B6A75" w:rsidRDefault="00387142" w:rsidP="00387142">
            <w:pPr>
              <w:jc w:val="center"/>
              <w:rPr>
                <w:sz w:val="20"/>
                <w:szCs w:val="20"/>
              </w:rPr>
            </w:pPr>
            <w:r w:rsidRPr="008B6A75">
              <w:rPr>
                <w:sz w:val="20"/>
                <w:szCs w:val="20"/>
              </w:rPr>
              <w:t>99.0.00.01100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F935847" w14:textId="77777777" w:rsidR="00387142" w:rsidRPr="008B6A75" w:rsidRDefault="00387142" w:rsidP="00387142">
            <w:pPr>
              <w:jc w:val="center"/>
              <w:rPr>
                <w:sz w:val="20"/>
                <w:szCs w:val="20"/>
              </w:rPr>
            </w:pPr>
            <w:r w:rsidRPr="008B6A75">
              <w:rPr>
                <w:sz w:val="20"/>
                <w:szCs w:val="20"/>
              </w:rPr>
              <w:t>100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2AE7AF3" w14:textId="77777777" w:rsidR="00387142" w:rsidRPr="008B6A75" w:rsidRDefault="00387142" w:rsidP="00387142">
            <w:pPr>
              <w:jc w:val="right"/>
              <w:rPr>
                <w:sz w:val="20"/>
                <w:szCs w:val="20"/>
              </w:rPr>
            </w:pPr>
            <w:r w:rsidRPr="008B6A75">
              <w:rPr>
                <w:sz w:val="20"/>
                <w:szCs w:val="20"/>
              </w:rPr>
              <w:t>2 602 591,20</w:t>
            </w:r>
          </w:p>
        </w:tc>
        <w:tc>
          <w:tcPr>
            <w:tcW w:w="992" w:type="dxa"/>
            <w:tcBorders>
              <w:top w:val="nil"/>
              <w:left w:val="single" w:sz="4" w:space="0" w:color="auto"/>
              <w:bottom w:val="single" w:sz="4" w:space="0" w:color="auto"/>
              <w:right w:val="nil"/>
            </w:tcBorders>
            <w:shd w:val="clear" w:color="auto" w:fill="auto"/>
            <w:vAlign w:val="center"/>
            <w:hideMark/>
          </w:tcPr>
          <w:p w14:paraId="5AAFB057" w14:textId="77777777" w:rsidR="00387142" w:rsidRPr="008B6A75" w:rsidRDefault="00387142" w:rsidP="00387142">
            <w:pPr>
              <w:jc w:val="right"/>
              <w:rPr>
                <w:sz w:val="20"/>
                <w:szCs w:val="20"/>
              </w:rPr>
            </w:pPr>
            <w:r w:rsidRPr="008B6A75">
              <w:rPr>
                <w:sz w:val="20"/>
                <w:szCs w:val="20"/>
              </w:rPr>
              <w:t>2 389 500,00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210CE14F" w14:textId="77777777" w:rsidR="00387142" w:rsidRPr="008B6A75" w:rsidRDefault="00387142" w:rsidP="00387142">
            <w:pPr>
              <w:jc w:val="right"/>
              <w:rPr>
                <w:sz w:val="20"/>
                <w:szCs w:val="20"/>
              </w:rPr>
            </w:pPr>
            <w:r w:rsidRPr="008B6A75">
              <w:rPr>
                <w:sz w:val="20"/>
                <w:szCs w:val="20"/>
              </w:rPr>
              <w:t>2 389 500,00</w:t>
            </w:r>
          </w:p>
        </w:tc>
      </w:tr>
      <w:tr w:rsidR="00387142" w:rsidRPr="008B6A75" w14:paraId="635D932A" w14:textId="77777777" w:rsidTr="00387142">
        <w:trPr>
          <w:trHeight w:val="585"/>
        </w:trPr>
        <w:tc>
          <w:tcPr>
            <w:tcW w:w="3261" w:type="dxa"/>
            <w:tcBorders>
              <w:top w:val="nil"/>
              <w:left w:val="single" w:sz="4" w:space="0" w:color="auto"/>
              <w:bottom w:val="single" w:sz="4" w:space="0" w:color="auto"/>
              <w:right w:val="nil"/>
            </w:tcBorders>
            <w:shd w:val="clear" w:color="auto" w:fill="auto"/>
            <w:vAlign w:val="center"/>
            <w:hideMark/>
          </w:tcPr>
          <w:p w14:paraId="6DF24127" w14:textId="77777777" w:rsidR="00387142" w:rsidRPr="008B6A75" w:rsidRDefault="00387142" w:rsidP="00387142">
            <w:pPr>
              <w:rPr>
                <w:sz w:val="20"/>
                <w:szCs w:val="20"/>
              </w:rPr>
            </w:pPr>
            <w:r w:rsidRPr="008B6A75">
              <w:rPr>
                <w:sz w:val="20"/>
                <w:szCs w:val="20"/>
              </w:rPr>
              <w:t>Расходы на выплаты персоналу государственных (муниципальных) органов</w:t>
            </w:r>
          </w:p>
        </w:tc>
        <w:tc>
          <w:tcPr>
            <w:tcW w:w="720" w:type="dxa"/>
            <w:tcBorders>
              <w:top w:val="nil"/>
              <w:left w:val="single" w:sz="4" w:space="0" w:color="auto"/>
              <w:bottom w:val="single" w:sz="4" w:space="0" w:color="auto"/>
              <w:right w:val="nil"/>
            </w:tcBorders>
            <w:shd w:val="clear" w:color="auto" w:fill="auto"/>
            <w:noWrap/>
            <w:vAlign w:val="center"/>
            <w:hideMark/>
          </w:tcPr>
          <w:p w14:paraId="01BA6258" w14:textId="77777777" w:rsidR="00387142" w:rsidRPr="008B6A75" w:rsidRDefault="00387142" w:rsidP="00387142">
            <w:pPr>
              <w:jc w:val="center"/>
              <w:rPr>
                <w:sz w:val="20"/>
                <w:szCs w:val="20"/>
              </w:rPr>
            </w:pPr>
            <w:r w:rsidRPr="008B6A75">
              <w:rPr>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65B701B" w14:textId="77777777" w:rsidR="00387142" w:rsidRPr="008B6A75" w:rsidRDefault="00387142" w:rsidP="00387142">
            <w:pPr>
              <w:jc w:val="center"/>
              <w:rPr>
                <w:sz w:val="20"/>
                <w:szCs w:val="20"/>
              </w:rPr>
            </w:pPr>
            <w:r w:rsidRPr="008B6A75">
              <w:rPr>
                <w:sz w:val="20"/>
                <w:szCs w:val="20"/>
              </w:rPr>
              <w:t>02</w:t>
            </w:r>
          </w:p>
        </w:tc>
        <w:tc>
          <w:tcPr>
            <w:tcW w:w="1516" w:type="dxa"/>
            <w:tcBorders>
              <w:top w:val="nil"/>
              <w:left w:val="single" w:sz="4" w:space="0" w:color="auto"/>
              <w:bottom w:val="single" w:sz="4" w:space="0" w:color="auto"/>
              <w:right w:val="nil"/>
            </w:tcBorders>
            <w:shd w:val="clear" w:color="auto" w:fill="auto"/>
            <w:noWrap/>
            <w:vAlign w:val="center"/>
            <w:hideMark/>
          </w:tcPr>
          <w:p w14:paraId="5CE8A71B" w14:textId="77777777" w:rsidR="00387142" w:rsidRPr="008B6A75" w:rsidRDefault="00387142" w:rsidP="00387142">
            <w:pPr>
              <w:jc w:val="center"/>
              <w:rPr>
                <w:sz w:val="20"/>
                <w:szCs w:val="20"/>
              </w:rPr>
            </w:pPr>
            <w:r w:rsidRPr="008B6A75">
              <w:rPr>
                <w:sz w:val="20"/>
                <w:szCs w:val="20"/>
              </w:rPr>
              <w:t>99.0.00.01100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45FABD8" w14:textId="77777777" w:rsidR="00387142" w:rsidRPr="008B6A75" w:rsidRDefault="00387142" w:rsidP="00387142">
            <w:pPr>
              <w:jc w:val="center"/>
              <w:rPr>
                <w:sz w:val="20"/>
                <w:szCs w:val="20"/>
              </w:rPr>
            </w:pPr>
            <w:r w:rsidRPr="008B6A75">
              <w:rPr>
                <w:sz w:val="20"/>
                <w:szCs w:val="20"/>
              </w:rPr>
              <w:t>120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5507308" w14:textId="77777777" w:rsidR="00387142" w:rsidRPr="008B6A75" w:rsidRDefault="00387142" w:rsidP="00387142">
            <w:pPr>
              <w:jc w:val="right"/>
              <w:rPr>
                <w:sz w:val="20"/>
                <w:szCs w:val="20"/>
              </w:rPr>
            </w:pPr>
            <w:r w:rsidRPr="008B6A75">
              <w:rPr>
                <w:sz w:val="20"/>
                <w:szCs w:val="20"/>
              </w:rPr>
              <w:t>2 602 591,20</w:t>
            </w:r>
          </w:p>
        </w:tc>
        <w:tc>
          <w:tcPr>
            <w:tcW w:w="992" w:type="dxa"/>
            <w:tcBorders>
              <w:top w:val="nil"/>
              <w:left w:val="single" w:sz="4" w:space="0" w:color="auto"/>
              <w:bottom w:val="single" w:sz="4" w:space="0" w:color="auto"/>
              <w:right w:val="nil"/>
            </w:tcBorders>
            <w:shd w:val="clear" w:color="auto" w:fill="auto"/>
            <w:vAlign w:val="center"/>
            <w:hideMark/>
          </w:tcPr>
          <w:p w14:paraId="3A59D385" w14:textId="77777777" w:rsidR="00387142" w:rsidRPr="008B6A75" w:rsidRDefault="00387142" w:rsidP="00387142">
            <w:pPr>
              <w:jc w:val="right"/>
              <w:rPr>
                <w:sz w:val="20"/>
                <w:szCs w:val="20"/>
              </w:rPr>
            </w:pPr>
            <w:r w:rsidRPr="008B6A75">
              <w:rPr>
                <w:sz w:val="20"/>
                <w:szCs w:val="20"/>
              </w:rPr>
              <w:t>2 389 500,00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23147873" w14:textId="77777777" w:rsidR="00387142" w:rsidRPr="008B6A75" w:rsidRDefault="00387142" w:rsidP="00387142">
            <w:pPr>
              <w:jc w:val="right"/>
              <w:rPr>
                <w:sz w:val="20"/>
                <w:szCs w:val="20"/>
              </w:rPr>
            </w:pPr>
            <w:r w:rsidRPr="008B6A75">
              <w:rPr>
                <w:sz w:val="20"/>
                <w:szCs w:val="20"/>
              </w:rPr>
              <w:t>2 389 500,00</w:t>
            </w:r>
          </w:p>
        </w:tc>
      </w:tr>
      <w:tr w:rsidR="00387142" w:rsidRPr="008B6A75" w14:paraId="23F57987" w14:textId="77777777" w:rsidTr="00387142">
        <w:trPr>
          <w:trHeight w:val="870"/>
        </w:trPr>
        <w:tc>
          <w:tcPr>
            <w:tcW w:w="3261" w:type="dxa"/>
            <w:tcBorders>
              <w:top w:val="nil"/>
              <w:left w:val="single" w:sz="4" w:space="0" w:color="auto"/>
              <w:bottom w:val="single" w:sz="4" w:space="0" w:color="auto"/>
              <w:right w:val="nil"/>
            </w:tcBorders>
            <w:shd w:val="clear" w:color="auto" w:fill="auto"/>
            <w:vAlign w:val="center"/>
            <w:hideMark/>
          </w:tcPr>
          <w:p w14:paraId="17E3A5BA" w14:textId="77777777" w:rsidR="00387142" w:rsidRPr="008B6A75" w:rsidRDefault="00387142" w:rsidP="00387142">
            <w:pPr>
              <w:rPr>
                <w:bCs/>
                <w:sz w:val="20"/>
                <w:szCs w:val="20"/>
              </w:rPr>
            </w:pPr>
            <w:r w:rsidRPr="008B6A75">
              <w:rPr>
                <w:bCs/>
                <w:sz w:val="20"/>
                <w:szCs w:val="20"/>
              </w:rPr>
              <w:t>Средства, передаваемые местным бюджетам из резервного фонда Правительства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14:paraId="13598087" w14:textId="77777777" w:rsidR="00387142" w:rsidRPr="008B6A75" w:rsidRDefault="00387142" w:rsidP="00387142">
            <w:pPr>
              <w:jc w:val="center"/>
              <w:rPr>
                <w:bCs/>
                <w:sz w:val="20"/>
                <w:szCs w:val="20"/>
              </w:rPr>
            </w:pPr>
            <w:r w:rsidRPr="008B6A75">
              <w:rPr>
                <w:bCs/>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BA4781B" w14:textId="77777777" w:rsidR="00387142" w:rsidRPr="008B6A75" w:rsidRDefault="00387142" w:rsidP="00387142">
            <w:pPr>
              <w:jc w:val="center"/>
              <w:rPr>
                <w:bCs/>
                <w:sz w:val="20"/>
                <w:szCs w:val="20"/>
              </w:rPr>
            </w:pPr>
            <w:r w:rsidRPr="008B6A75">
              <w:rPr>
                <w:bCs/>
                <w:sz w:val="20"/>
                <w:szCs w:val="20"/>
              </w:rPr>
              <w:t>02</w:t>
            </w:r>
          </w:p>
        </w:tc>
        <w:tc>
          <w:tcPr>
            <w:tcW w:w="1516" w:type="dxa"/>
            <w:tcBorders>
              <w:top w:val="nil"/>
              <w:left w:val="single" w:sz="4" w:space="0" w:color="auto"/>
              <w:bottom w:val="single" w:sz="4" w:space="0" w:color="auto"/>
              <w:right w:val="nil"/>
            </w:tcBorders>
            <w:shd w:val="clear" w:color="auto" w:fill="auto"/>
            <w:noWrap/>
            <w:vAlign w:val="center"/>
            <w:hideMark/>
          </w:tcPr>
          <w:p w14:paraId="1FA0A570" w14:textId="77777777" w:rsidR="00387142" w:rsidRPr="008B6A75" w:rsidRDefault="00387142" w:rsidP="00387142">
            <w:pPr>
              <w:jc w:val="center"/>
              <w:rPr>
                <w:bCs/>
                <w:sz w:val="20"/>
                <w:szCs w:val="20"/>
              </w:rPr>
            </w:pPr>
            <w:r w:rsidRPr="008B6A75">
              <w:rPr>
                <w:bCs/>
                <w:sz w:val="20"/>
                <w:szCs w:val="20"/>
              </w:rPr>
              <w:t>99.0.00.20540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0F77674"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08825E4" w14:textId="77777777" w:rsidR="00387142" w:rsidRPr="008B6A75" w:rsidRDefault="00387142" w:rsidP="00387142">
            <w:pPr>
              <w:jc w:val="right"/>
              <w:rPr>
                <w:bCs/>
                <w:sz w:val="20"/>
                <w:szCs w:val="20"/>
              </w:rPr>
            </w:pPr>
            <w:r w:rsidRPr="008B6A75">
              <w:rPr>
                <w:bCs/>
                <w:sz w:val="20"/>
                <w:szCs w:val="20"/>
              </w:rPr>
              <w:t>784 860,00</w:t>
            </w:r>
          </w:p>
        </w:tc>
        <w:tc>
          <w:tcPr>
            <w:tcW w:w="992" w:type="dxa"/>
            <w:tcBorders>
              <w:top w:val="nil"/>
              <w:left w:val="single" w:sz="4" w:space="0" w:color="auto"/>
              <w:bottom w:val="single" w:sz="4" w:space="0" w:color="auto"/>
              <w:right w:val="nil"/>
            </w:tcBorders>
            <w:shd w:val="clear" w:color="auto" w:fill="auto"/>
            <w:vAlign w:val="center"/>
            <w:hideMark/>
          </w:tcPr>
          <w:p w14:paraId="62228F71" w14:textId="77777777" w:rsidR="00387142" w:rsidRPr="008B6A75" w:rsidRDefault="00387142" w:rsidP="00387142">
            <w:pPr>
              <w:jc w:val="right"/>
              <w:rPr>
                <w:bCs/>
                <w:sz w:val="20"/>
                <w:szCs w:val="20"/>
              </w:rPr>
            </w:pPr>
            <w:r w:rsidRPr="008B6A75">
              <w:rPr>
                <w:bCs/>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62E5C64E" w14:textId="77777777" w:rsidR="00387142" w:rsidRPr="008B6A75" w:rsidRDefault="00387142" w:rsidP="00387142">
            <w:pPr>
              <w:jc w:val="right"/>
              <w:rPr>
                <w:bCs/>
                <w:sz w:val="20"/>
                <w:szCs w:val="20"/>
              </w:rPr>
            </w:pPr>
            <w:r w:rsidRPr="008B6A75">
              <w:rPr>
                <w:bCs/>
                <w:sz w:val="20"/>
                <w:szCs w:val="20"/>
              </w:rPr>
              <w:t>0,00</w:t>
            </w:r>
          </w:p>
        </w:tc>
      </w:tr>
      <w:tr w:rsidR="00387142" w:rsidRPr="008B6A75" w14:paraId="52781B34" w14:textId="77777777" w:rsidTr="00387142">
        <w:trPr>
          <w:trHeight w:val="1440"/>
        </w:trPr>
        <w:tc>
          <w:tcPr>
            <w:tcW w:w="3261" w:type="dxa"/>
            <w:tcBorders>
              <w:top w:val="nil"/>
              <w:left w:val="single" w:sz="4" w:space="0" w:color="auto"/>
              <w:bottom w:val="single" w:sz="4" w:space="0" w:color="auto"/>
              <w:right w:val="nil"/>
            </w:tcBorders>
            <w:shd w:val="clear" w:color="auto" w:fill="auto"/>
            <w:vAlign w:val="center"/>
            <w:hideMark/>
          </w:tcPr>
          <w:p w14:paraId="1B43E5B2" w14:textId="77777777" w:rsidR="00387142" w:rsidRPr="008B6A75" w:rsidRDefault="00387142" w:rsidP="00387142">
            <w:pPr>
              <w:rPr>
                <w:sz w:val="20"/>
                <w:szCs w:val="20"/>
              </w:rPr>
            </w:pPr>
            <w:r w:rsidRPr="008B6A7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14:paraId="16CF933E" w14:textId="77777777" w:rsidR="00387142" w:rsidRPr="008B6A75" w:rsidRDefault="00387142" w:rsidP="00387142">
            <w:pPr>
              <w:jc w:val="center"/>
              <w:rPr>
                <w:sz w:val="20"/>
                <w:szCs w:val="20"/>
              </w:rPr>
            </w:pPr>
            <w:r w:rsidRPr="008B6A75">
              <w:rPr>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4506021" w14:textId="77777777" w:rsidR="00387142" w:rsidRPr="008B6A75" w:rsidRDefault="00387142" w:rsidP="00387142">
            <w:pPr>
              <w:jc w:val="center"/>
              <w:rPr>
                <w:sz w:val="20"/>
                <w:szCs w:val="20"/>
              </w:rPr>
            </w:pPr>
            <w:r w:rsidRPr="008B6A75">
              <w:rPr>
                <w:sz w:val="20"/>
                <w:szCs w:val="20"/>
              </w:rPr>
              <w:t>02</w:t>
            </w:r>
          </w:p>
        </w:tc>
        <w:tc>
          <w:tcPr>
            <w:tcW w:w="1516" w:type="dxa"/>
            <w:tcBorders>
              <w:top w:val="nil"/>
              <w:left w:val="single" w:sz="4" w:space="0" w:color="auto"/>
              <w:bottom w:val="single" w:sz="4" w:space="0" w:color="auto"/>
              <w:right w:val="nil"/>
            </w:tcBorders>
            <w:shd w:val="clear" w:color="auto" w:fill="auto"/>
            <w:noWrap/>
            <w:vAlign w:val="center"/>
            <w:hideMark/>
          </w:tcPr>
          <w:p w14:paraId="0A84AB15" w14:textId="77777777" w:rsidR="00387142" w:rsidRPr="008B6A75" w:rsidRDefault="00387142" w:rsidP="00387142">
            <w:pPr>
              <w:jc w:val="center"/>
              <w:rPr>
                <w:sz w:val="20"/>
                <w:szCs w:val="20"/>
              </w:rPr>
            </w:pPr>
            <w:r w:rsidRPr="008B6A75">
              <w:rPr>
                <w:sz w:val="20"/>
                <w:szCs w:val="20"/>
              </w:rPr>
              <w:t>99.0.00.20540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EA3F6FC" w14:textId="77777777" w:rsidR="00387142" w:rsidRPr="008B6A75" w:rsidRDefault="00387142" w:rsidP="00387142">
            <w:pPr>
              <w:jc w:val="center"/>
              <w:rPr>
                <w:sz w:val="20"/>
                <w:szCs w:val="20"/>
              </w:rPr>
            </w:pPr>
            <w:r w:rsidRPr="008B6A75">
              <w:rPr>
                <w:sz w:val="20"/>
                <w:szCs w:val="20"/>
              </w:rPr>
              <w:t>100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346D76C" w14:textId="77777777" w:rsidR="00387142" w:rsidRPr="008B6A75" w:rsidRDefault="00387142" w:rsidP="00387142">
            <w:pPr>
              <w:jc w:val="right"/>
              <w:rPr>
                <w:sz w:val="20"/>
                <w:szCs w:val="20"/>
              </w:rPr>
            </w:pPr>
            <w:r w:rsidRPr="008B6A75">
              <w:rPr>
                <w:sz w:val="20"/>
                <w:szCs w:val="20"/>
              </w:rPr>
              <w:t>784 860,00</w:t>
            </w:r>
          </w:p>
        </w:tc>
        <w:tc>
          <w:tcPr>
            <w:tcW w:w="992" w:type="dxa"/>
            <w:tcBorders>
              <w:top w:val="nil"/>
              <w:left w:val="single" w:sz="4" w:space="0" w:color="auto"/>
              <w:bottom w:val="single" w:sz="4" w:space="0" w:color="auto"/>
              <w:right w:val="nil"/>
            </w:tcBorders>
            <w:shd w:val="clear" w:color="auto" w:fill="auto"/>
            <w:vAlign w:val="center"/>
            <w:hideMark/>
          </w:tcPr>
          <w:p w14:paraId="1FC314B7" w14:textId="77777777" w:rsidR="00387142" w:rsidRPr="008B6A75" w:rsidRDefault="00387142" w:rsidP="00387142">
            <w:pPr>
              <w:jc w:val="right"/>
              <w:rPr>
                <w:sz w:val="20"/>
                <w:szCs w:val="20"/>
              </w:rPr>
            </w:pPr>
            <w:r w:rsidRPr="008B6A75">
              <w:rPr>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19FE7917" w14:textId="77777777" w:rsidR="00387142" w:rsidRPr="008B6A75" w:rsidRDefault="00387142" w:rsidP="00387142">
            <w:pPr>
              <w:jc w:val="right"/>
              <w:rPr>
                <w:sz w:val="20"/>
                <w:szCs w:val="20"/>
              </w:rPr>
            </w:pPr>
            <w:r w:rsidRPr="008B6A75">
              <w:rPr>
                <w:sz w:val="20"/>
                <w:szCs w:val="20"/>
              </w:rPr>
              <w:t>0,00</w:t>
            </w:r>
          </w:p>
        </w:tc>
      </w:tr>
      <w:tr w:rsidR="00387142" w:rsidRPr="008B6A75" w14:paraId="29E3E50F" w14:textId="77777777" w:rsidTr="00387142">
        <w:trPr>
          <w:trHeight w:val="585"/>
        </w:trPr>
        <w:tc>
          <w:tcPr>
            <w:tcW w:w="3261" w:type="dxa"/>
            <w:tcBorders>
              <w:top w:val="nil"/>
              <w:left w:val="single" w:sz="4" w:space="0" w:color="auto"/>
              <w:bottom w:val="single" w:sz="4" w:space="0" w:color="auto"/>
              <w:right w:val="nil"/>
            </w:tcBorders>
            <w:shd w:val="clear" w:color="auto" w:fill="auto"/>
            <w:vAlign w:val="center"/>
            <w:hideMark/>
          </w:tcPr>
          <w:p w14:paraId="64B88E67" w14:textId="77777777" w:rsidR="00387142" w:rsidRPr="008B6A75" w:rsidRDefault="00387142" w:rsidP="00387142">
            <w:pPr>
              <w:rPr>
                <w:sz w:val="20"/>
                <w:szCs w:val="20"/>
              </w:rPr>
            </w:pPr>
            <w:r w:rsidRPr="008B6A75">
              <w:rPr>
                <w:sz w:val="20"/>
                <w:szCs w:val="20"/>
              </w:rPr>
              <w:t>Расходы на выплаты персоналу государственных (муниципальных) органов</w:t>
            </w:r>
          </w:p>
        </w:tc>
        <w:tc>
          <w:tcPr>
            <w:tcW w:w="720" w:type="dxa"/>
            <w:tcBorders>
              <w:top w:val="nil"/>
              <w:left w:val="single" w:sz="4" w:space="0" w:color="auto"/>
              <w:bottom w:val="single" w:sz="4" w:space="0" w:color="auto"/>
              <w:right w:val="nil"/>
            </w:tcBorders>
            <w:shd w:val="clear" w:color="auto" w:fill="auto"/>
            <w:noWrap/>
            <w:vAlign w:val="center"/>
            <w:hideMark/>
          </w:tcPr>
          <w:p w14:paraId="173BF091" w14:textId="77777777" w:rsidR="00387142" w:rsidRPr="008B6A75" w:rsidRDefault="00387142" w:rsidP="00387142">
            <w:pPr>
              <w:jc w:val="center"/>
              <w:rPr>
                <w:sz w:val="20"/>
                <w:szCs w:val="20"/>
              </w:rPr>
            </w:pPr>
            <w:r w:rsidRPr="008B6A75">
              <w:rPr>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188BAC5" w14:textId="77777777" w:rsidR="00387142" w:rsidRPr="008B6A75" w:rsidRDefault="00387142" w:rsidP="00387142">
            <w:pPr>
              <w:jc w:val="center"/>
              <w:rPr>
                <w:sz w:val="20"/>
                <w:szCs w:val="20"/>
              </w:rPr>
            </w:pPr>
            <w:r w:rsidRPr="008B6A75">
              <w:rPr>
                <w:sz w:val="20"/>
                <w:szCs w:val="20"/>
              </w:rPr>
              <w:t>02</w:t>
            </w:r>
          </w:p>
        </w:tc>
        <w:tc>
          <w:tcPr>
            <w:tcW w:w="1516" w:type="dxa"/>
            <w:tcBorders>
              <w:top w:val="nil"/>
              <w:left w:val="single" w:sz="4" w:space="0" w:color="auto"/>
              <w:bottom w:val="single" w:sz="4" w:space="0" w:color="auto"/>
              <w:right w:val="nil"/>
            </w:tcBorders>
            <w:shd w:val="clear" w:color="auto" w:fill="auto"/>
            <w:noWrap/>
            <w:vAlign w:val="center"/>
            <w:hideMark/>
          </w:tcPr>
          <w:p w14:paraId="25721E70" w14:textId="77777777" w:rsidR="00387142" w:rsidRPr="008B6A75" w:rsidRDefault="00387142" w:rsidP="00387142">
            <w:pPr>
              <w:jc w:val="center"/>
              <w:rPr>
                <w:sz w:val="20"/>
                <w:szCs w:val="20"/>
              </w:rPr>
            </w:pPr>
            <w:r w:rsidRPr="008B6A75">
              <w:rPr>
                <w:sz w:val="20"/>
                <w:szCs w:val="20"/>
              </w:rPr>
              <w:t>99.0.00.20540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60686BB" w14:textId="77777777" w:rsidR="00387142" w:rsidRPr="008B6A75" w:rsidRDefault="00387142" w:rsidP="00387142">
            <w:pPr>
              <w:jc w:val="center"/>
              <w:rPr>
                <w:sz w:val="20"/>
                <w:szCs w:val="20"/>
              </w:rPr>
            </w:pPr>
            <w:r w:rsidRPr="008B6A75">
              <w:rPr>
                <w:sz w:val="20"/>
                <w:szCs w:val="20"/>
              </w:rPr>
              <w:t>120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36B77D1" w14:textId="77777777" w:rsidR="00387142" w:rsidRPr="008B6A75" w:rsidRDefault="00387142" w:rsidP="00387142">
            <w:pPr>
              <w:jc w:val="right"/>
              <w:rPr>
                <w:sz w:val="20"/>
                <w:szCs w:val="20"/>
              </w:rPr>
            </w:pPr>
            <w:r w:rsidRPr="008B6A75">
              <w:rPr>
                <w:sz w:val="20"/>
                <w:szCs w:val="20"/>
              </w:rPr>
              <w:t>784 860,00</w:t>
            </w:r>
          </w:p>
        </w:tc>
        <w:tc>
          <w:tcPr>
            <w:tcW w:w="992" w:type="dxa"/>
            <w:tcBorders>
              <w:top w:val="nil"/>
              <w:left w:val="single" w:sz="4" w:space="0" w:color="auto"/>
              <w:bottom w:val="single" w:sz="4" w:space="0" w:color="auto"/>
              <w:right w:val="nil"/>
            </w:tcBorders>
            <w:shd w:val="clear" w:color="auto" w:fill="auto"/>
            <w:vAlign w:val="center"/>
            <w:hideMark/>
          </w:tcPr>
          <w:p w14:paraId="2CE07C7F" w14:textId="77777777" w:rsidR="00387142" w:rsidRPr="008B6A75" w:rsidRDefault="00387142" w:rsidP="00387142">
            <w:pPr>
              <w:jc w:val="right"/>
              <w:rPr>
                <w:sz w:val="20"/>
                <w:szCs w:val="20"/>
              </w:rPr>
            </w:pPr>
            <w:r w:rsidRPr="008B6A75">
              <w:rPr>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3B14D95F" w14:textId="77777777" w:rsidR="00387142" w:rsidRPr="008B6A75" w:rsidRDefault="00387142" w:rsidP="00387142">
            <w:pPr>
              <w:jc w:val="right"/>
              <w:rPr>
                <w:sz w:val="20"/>
                <w:szCs w:val="20"/>
              </w:rPr>
            </w:pPr>
            <w:r w:rsidRPr="008B6A75">
              <w:rPr>
                <w:sz w:val="20"/>
                <w:szCs w:val="20"/>
              </w:rPr>
              <w:t>0,00</w:t>
            </w:r>
          </w:p>
        </w:tc>
      </w:tr>
      <w:tr w:rsidR="00387142" w:rsidRPr="008B6A75" w14:paraId="5C6497AF" w14:textId="77777777" w:rsidTr="00387142">
        <w:trPr>
          <w:trHeight w:val="1440"/>
        </w:trPr>
        <w:tc>
          <w:tcPr>
            <w:tcW w:w="3261" w:type="dxa"/>
            <w:tcBorders>
              <w:top w:val="nil"/>
              <w:left w:val="single" w:sz="4" w:space="0" w:color="auto"/>
              <w:bottom w:val="single" w:sz="4" w:space="0" w:color="auto"/>
              <w:right w:val="nil"/>
            </w:tcBorders>
            <w:shd w:val="clear" w:color="auto" w:fill="auto"/>
            <w:vAlign w:val="center"/>
            <w:hideMark/>
          </w:tcPr>
          <w:p w14:paraId="26D7383B" w14:textId="77777777" w:rsidR="00387142" w:rsidRPr="008B6A75" w:rsidRDefault="00387142" w:rsidP="00387142">
            <w:pPr>
              <w:rPr>
                <w:bCs/>
                <w:sz w:val="20"/>
                <w:szCs w:val="20"/>
              </w:rPr>
            </w:pPr>
            <w:r w:rsidRPr="008B6A75">
              <w:rPr>
                <w:bCs/>
                <w:sz w:val="20"/>
                <w:szCs w:val="20"/>
              </w:rPr>
              <w:t xml:space="preserve">Реализация мероприятий по обеспечению сбалансированности местных </w:t>
            </w:r>
            <w:proofErr w:type="gramStart"/>
            <w:r w:rsidRPr="008B6A75">
              <w:rPr>
                <w:bCs/>
                <w:sz w:val="20"/>
                <w:szCs w:val="20"/>
              </w:rPr>
              <w:t>бюджетов  государственной</w:t>
            </w:r>
            <w:proofErr w:type="gramEnd"/>
            <w:r w:rsidRPr="008B6A75">
              <w:rPr>
                <w:bCs/>
                <w:sz w:val="20"/>
                <w:szCs w:val="20"/>
              </w:rPr>
              <w:t xml:space="preserve"> программы Новосибирской области "Управление  финансами в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14:paraId="299509B9" w14:textId="77777777" w:rsidR="00387142" w:rsidRPr="008B6A75" w:rsidRDefault="00387142" w:rsidP="00387142">
            <w:pPr>
              <w:jc w:val="center"/>
              <w:rPr>
                <w:bCs/>
                <w:sz w:val="20"/>
                <w:szCs w:val="20"/>
              </w:rPr>
            </w:pPr>
            <w:r w:rsidRPr="008B6A75">
              <w:rPr>
                <w:bCs/>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5A2D353" w14:textId="77777777" w:rsidR="00387142" w:rsidRPr="008B6A75" w:rsidRDefault="00387142" w:rsidP="00387142">
            <w:pPr>
              <w:jc w:val="center"/>
              <w:rPr>
                <w:bCs/>
                <w:sz w:val="20"/>
                <w:szCs w:val="20"/>
              </w:rPr>
            </w:pPr>
            <w:r w:rsidRPr="008B6A75">
              <w:rPr>
                <w:bCs/>
                <w:sz w:val="20"/>
                <w:szCs w:val="20"/>
              </w:rPr>
              <w:t>02</w:t>
            </w:r>
          </w:p>
        </w:tc>
        <w:tc>
          <w:tcPr>
            <w:tcW w:w="1516" w:type="dxa"/>
            <w:tcBorders>
              <w:top w:val="nil"/>
              <w:left w:val="single" w:sz="4" w:space="0" w:color="auto"/>
              <w:bottom w:val="single" w:sz="4" w:space="0" w:color="auto"/>
              <w:right w:val="nil"/>
            </w:tcBorders>
            <w:shd w:val="clear" w:color="auto" w:fill="auto"/>
            <w:noWrap/>
            <w:vAlign w:val="center"/>
            <w:hideMark/>
          </w:tcPr>
          <w:p w14:paraId="6291FE2D" w14:textId="77777777" w:rsidR="00387142" w:rsidRPr="008B6A75" w:rsidRDefault="00387142" w:rsidP="00387142">
            <w:pPr>
              <w:jc w:val="center"/>
              <w:rPr>
                <w:bCs/>
                <w:sz w:val="20"/>
                <w:szCs w:val="20"/>
              </w:rPr>
            </w:pPr>
            <w:r w:rsidRPr="008B6A75">
              <w:rPr>
                <w:bCs/>
                <w:sz w:val="20"/>
                <w:szCs w:val="20"/>
              </w:rPr>
              <w:t>99.0.00.70510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5D0FB30"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D411710" w14:textId="77777777" w:rsidR="00387142" w:rsidRPr="008B6A75" w:rsidRDefault="00387142" w:rsidP="00387142">
            <w:pPr>
              <w:jc w:val="right"/>
              <w:rPr>
                <w:bCs/>
                <w:sz w:val="20"/>
                <w:szCs w:val="20"/>
              </w:rPr>
            </w:pPr>
            <w:r w:rsidRPr="008B6A75">
              <w:rPr>
                <w:bCs/>
                <w:sz w:val="20"/>
                <w:szCs w:val="20"/>
              </w:rPr>
              <w:t>1 078 539,25</w:t>
            </w:r>
          </w:p>
        </w:tc>
        <w:tc>
          <w:tcPr>
            <w:tcW w:w="992" w:type="dxa"/>
            <w:tcBorders>
              <w:top w:val="nil"/>
              <w:left w:val="single" w:sz="4" w:space="0" w:color="auto"/>
              <w:bottom w:val="single" w:sz="4" w:space="0" w:color="auto"/>
              <w:right w:val="nil"/>
            </w:tcBorders>
            <w:shd w:val="clear" w:color="auto" w:fill="auto"/>
            <w:vAlign w:val="center"/>
            <w:hideMark/>
          </w:tcPr>
          <w:p w14:paraId="151E8440" w14:textId="77777777" w:rsidR="00387142" w:rsidRPr="008B6A75" w:rsidRDefault="00387142" w:rsidP="00387142">
            <w:pPr>
              <w:jc w:val="right"/>
              <w:rPr>
                <w:bCs/>
                <w:sz w:val="20"/>
                <w:szCs w:val="20"/>
              </w:rPr>
            </w:pPr>
            <w:r w:rsidRPr="008B6A75">
              <w:rPr>
                <w:bCs/>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4EC45102" w14:textId="77777777" w:rsidR="00387142" w:rsidRPr="008B6A75" w:rsidRDefault="00387142" w:rsidP="00387142">
            <w:pPr>
              <w:jc w:val="right"/>
              <w:rPr>
                <w:bCs/>
                <w:sz w:val="20"/>
                <w:szCs w:val="20"/>
              </w:rPr>
            </w:pPr>
            <w:r w:rsidRPr="008B6A75">
              <w:rPr>
                <w:bCs/>
                <w:sz w:val="20"/>
                <w:szCs w:val="20"/>
              </w:rPr>
              <w:t>0,00</w:t>
            </w:r>
          </w:p>
        </w:tc>
      </w:tr>
      <w:tr w:rsidR="00387142" w:rsidRPr="008B6A75" w14:paraId="040C68A1" w14:textId="77777777" w:rsidTr="00387142">
        <w:trPr>
          <w:trHeight w:val="1440"/>
        </w:trPr>
        <w:tc>
          <w:tcPr>
            <w:tcW w:w="3261" w:type="dxa"/>
            <w:tcBorders>
              <w:top w:val="nil"/>
              <w:left w:val="single" w:sz="4" w:space="0" w:color="auto"/>
              <w:bottom w:val="single" w:sz="4" w:space="0" w:color="auto"/>
              <w:right w:val="nil"/>
            </w:tcBorders>
            <w:shd w:val="clear" w:color="auto" w:fill="auto"/>
            <w:vAlign w:val="center"/>
            <w:hideMark/>
          </w:tcPr>
          <w:p w14:paraId="1A1C0C3D" w14:textId="77777777" w:rsidR="00387142" w:rsidRPr="008B6A75" w:rsidRDefault="00387142" w:rsidP="00387142">
            <w:pPr>
              <w:rPr>
                <w:sz w:val="20"/>
                <w:szCs w:val="20"/>
              </w:rPr>
            </w:pPr>
            <w:r w:rsidRPr="008B6A75">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14:paraId="410E36B5" w14:textId="77777777" w:rsidR="00387142" w:rsidRPr="008B6A75" w:rsidRDefault="00387142" w:rsidP="00387142">
            <w:pPr>
              <w:jc w:val="center"/>
              <w:rPr>
                <w:sz w:val="20"/>
                <w:szCs w:val="20"/>
              </w:rPr>
            </w:pPr>
            <w:r w:rsidRPr="008B6A75">
              <w:rPr>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955A095" w14:textId="77777777" w:rsidR="00387142" w:rsidRPr="008B6A75" w:rsidRDefault="00387142" w:rsidP="00387142">
            <w:pPr>
              <w:jc w:val="center"/>
              <w:rPr>
                <w:sz w:val="20"/>
                <w:szCs w:val="20"/>
              </w:rPr>
            </w:pPr>
            <w:r w:rsidRPr="008B6A75">
              <w:rPr>
                <w:sz w:val="20"/>
                <w:szCs w:val="20"/>
              </w:rPr>
              <w:t>02</w:t>
            </w:r>
          </w:p>
        </w:tc>
        <w:tc>
          <w:tcPr>
            <w:tcW w:w="1516" w:type="dxa"/>
            <w:tcBorders>
              <w:top w:val="nil"/>
              <w:left w:val="single" w:sz="4" w:space="0" w:color="auto"/>
              <w:bottom w:val="single" w:sz="4" w:space="0" w:color="auto"/>
              <w:right w:val="nil"/>
            </w:tcBorders>
            <w:shd w:val="clear" w:color="auto" w:fill="auto"/>
            <w:noWrap/>
            <w:vAlign w:val="center"/>
            <w:hideMark/>
          </w:tcPr>
          <w:p w14:paraId="44FE645F" w14:textId="77777777" w:rsidR="00387142" w:rsidRPr="008B6A75" w:rsidRDefault="00387142" w:rsidP="00387142">
            <w:pPr>
              <w:jc w:val="center"/>
              <w:rPr>
                <w:sz w:val="20"/>
                <w:szCs w:val="20"/>
              </w:rPr>
            </w:pPr>
            <w:r w:rsidRPr="008B6A75">
              <w:rPr>
                <w:sz w:val="20"/>
                <w:szCs w:val="20"/>
              </w:rPr>
              <w:t>99.0.00.70510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E5D6E18" w14:textId="77777777" w:rsidR="00387142" w:rsidRPr="008B6A75" w:rsidRDefault="00387142" w:rsidP="00387142">
            <w:pPr>
              <w:jc w:val="center"/>
              <w:rPr>
                <w:sz w:val="20"/>
                <w:szCs w:val="20"/>
              </w:rPr>
            </w:pPr>
            <w:r w:rsidRPr="008B6A75">
              <w:rPr>
                <w:sz w:val="20"/>
                <w:szCs w:val="20"/>
              </w:rPr>
              <w:t>100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15589E7" w14:textId="77777777" w:rsidR="00387142" w:rsidRPr="008B6A75" w:rsidRDefault="00387142" w:rsidP="00387142">
            <w:pPr>
              <w:jc w:val="right"/>
              <w:rPr>
                <w:sz w:val="20"/>
                <w:szCs w:val="20"/>
              </w:rPr>
            </w:pPr>
            <w:r w:rsidRPr="008B6A75">
              <w:rPr>
                <w:sz w:val="20"/>
                <w:szCs w:val="20"/>
              </w:rPr>
              <w:t>1 078 539,25</w:t>
            </w:r>
          </w:p>
        </w:tc>
        <w:tc>
          <w:tcPr>
            <w:tcW w:w="992" w:type="dxa"/>
            <w:tcBorders>
              <w:top w:val="nil"/>
              <w:left w:val="single" w:sz="4" w:space="0" w:color="auto"/>
              <w:bottom w:val="single" w:sz="4" w:space="0" w:color="auto"/>
              <w:right w:val="nil"/>
            </w:tcBorders>
            <w:shd w:val="clear" w:color="auto" w:fill="auto"/>
            <w:vAlign w:val="center"/>
            <w:hideMark/>
          </w:tcPr>
          <w:p w14:paraId="19982E13" w14:textId="77777777" w:rsidR="00387142" w:rsidRPr="008B6A75" w:rsidRDefault="00387142" w:rsidP="00387142">
            <w:pPr>
              <w:jc w:val="right"/>
              <w:rPr>
                <w:sz w:val="20"/>
                <w:szCs w:val="20"/>
              </w:rPr>
            </w:pPr>
            <w:r w:rsidRPr="008B6A75">
              <w:rPr>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7E2C497E" w14:textId="77777777" w:rsidR="00387142" w:rsidRPr="008B6A75" w:rsidRDefault="00387142" w:rsidP="00387142">
            <w:pPr>
              <w:jc w:val="right"/>
              <w:rPr>
                <w:sz w:val="20"/>
                <w:szCs w:val="20"/>
              </w:rPr>
            </w:pPr>
            <w:r w:rsidRPr="008B6A75">
              <w:rPr>
                <w:sz w:val="20"/>
                <w:szCs w:val="20"/>
              </w:rPr>
              <w:t>0,00</w:t>
            </w:r>
          </w:p>
        </w:tc>
      </w:tr>
      <w:tr w:rsidR="00387142" w:rsidRPr="008B6A75" w14:paraId="04CF8528" w14:textId="77777777" w:rsidTr="00387142">
        <w:trPr>
          <w:trHeight w:val="585"/>
        </w:trPr>
        <w:tc>
          <w:tcPr>
            <w:tcW w:w="3261" w:type="dxa"/>
            <w:tcBorders>
              <w:top w:val="nil"/>
              <w:left w:val="single" w:sz="4" w:space="0" w:color="auto"/>
              <w:bottom w:val="single" w:sz="4" w:space="0" w:color="auto"/>
              <w:right w:val="nil"/>
            </w:tcBorders>
            <w:shd w:val="clear" w:color="auto" w:fill="auto"/>
            <w:vAlign w:val="center"/>
            <w:hideMark/>
          </w:tcPr>
          <w:p w14:paraId="6B1693B8" w14:textId="77777777" w:rsidR="00387142" w:rsidRPr="008B6A75" w:rsidRDefault="00387142" w:rsidP="00387142">
            <w:pPr>
              <w:rPr>
                <w:sz w:val="20"/>
                <w:szCs w:val="20"/>
              </w:rPr>
            </w:pPr>
            <w:r w:rsidRPr="008B6A75">
              <w:rPr>
                <w:sz w:val="20"/>
                <w:szCs w:val="20"/>
              </w:rPr>
              <w:t>Расходы на выплаты персоналу государственных (муниципальных) органов</w:t>
            </w:r>
          </w:p>
        </w:tc>
        <w:tc>
          <w:tcPr>
            <w:tcW w:w="720" w:type="dxa"/>
            <w:tcBorders>
              <w:top w:val="nil"/>
              <w:left w:val="single" w:sz="4" w:space="0" w:color="auto"/>
              <w:bottom w:val="single" w:sz="4" w:space="0" w:color="auto"/>
              <w:right w:val="nil"/>
            </w:tcBorders>
            <w:shd w:val="clear" w:color="auto" w:fill="auto"/>
            <w:noWrap/>
            <w:vAlign w:val="center"/>
            <w:hideMark/>
          </w:tcPr>
          <w:p w14:paraId="5C2DF2A0" w14:textId="77777777" w:rsidR="00387142" w:rsidRPr="008B6A75" w:rsidRDefault="00387142" w:rsidP="00387142">
            <w:pPr>
              <w:jc w:val="center"/>
              <w:rPr>
                <w:sz w:val="20"/>
                <w:szCs w:val="20"/>
              </w:rPr>
            </w:pPr>
            <w:r w:rsidRPr="008B6A75">
              <w:rPr>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9C1DCD5" w14:textId="77777777" w:rsidR="00387142" w:rsidRPr="008B6A75" w:rsidRDefault="00387142" w:rsidP="00387142">
            <w:pPr>
              <w:jc w:val="center"/>
              <w:rPr>
                <w:sz w:val="20"/>
                <w:szCs w:val="20"/>
              </w:rPr>
            </w:pPr>
            <w:r w:rsidRPr="008B6A75">
              <w:rPr>
                <w:sz w:val="20"/>
                <w:szCs w:val="20"/>
              </w:rPr>
              <w:t>02</w:t>
            </w:r>
          </w:p>
        </w:tc>
        <w:tc>
          <w:tcPr>
            <w:tcW w:w="1516" w:type="dxa"/>
            <w:tcBorders>
              <w:top w:val="nil"/>
              <w:left w:val="single" w:sz="4" w:space="0" w:color="auto"/>
              <w:bottom w:val="single" w:sz="4" w:space="0" w:color="auto"/>
              <w:right w:val="nil"/>
            </w:tcBorders>
            <w:shd w:val="clear" w:color="auto" w:fill="auto"/>
            <w:noWrap/>
            <w:vAlign w:val="center"/>
            <w:hideMark/>
          </w:tcPr>
          <w:p w14:paraId="4D41C91F" w14:textId="77777777" w:rsidR="00387142" w:rsidRPr="008B6A75" w:rsidRDefault="00387142" w:rsidP="00387142">
            <w:pPr>
              <w:jc w:val="center"/>
              <w:rPr>
                <w:sz w:val="20"/>
                <w:szCs w:val="20"/>
              </w:rPr>
            </w:pPr>
            <w:r w:rsidRPr="008B6A75">
              <w:rPr>
                <w:sz w:val="20"/>
                <w:szCs w:val="20"/>
              </w:rPr>
              <w:t>99.0.00.70510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FCD79C2" w14:textId="77777777" w:rsidR="00387142" w:rsidRPr="008B6A75" w:rsidRDefault="00387142" w:rsidP="00387142">
            <w:pPr>
              <w:jc w:val="center"/>
              <w:rPr>
                <w:sz w:val="20"/>
                <w:szCs w:val="20"/>
              </w:rPr>
            </w:pPr>
            <w:r w:rsidRPr="008B6A75">
              <w:rPr>
                <w:sz w:val="20"/>
                <w:szCs w:val="20"/>
              </w:rPr>
              <w:t>120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8C4FCF7" w14:textId="77777777" w:rsidR="00387142" w:rsidRPr="008B6A75" w:rsidRDefault="00387142" w:rsidP="00387142">
            <w:pPr>
              <w:jc w:val="right"/>
              <w:rPr>
                <w:sz w:val="20"/>
                <w:szCs w:val="20"/>
              </w:rPr>
            </w:pPr>
            <w:r w:rsidRPr="008B6A75">
              <w:rPr>
                <w:sz w:val="20"/>
                <w:szCs w:val="20"/>
              </w:rPr>
              <w:t>1 078 539,25</w:t>
            </w:r>
          </w:p>
        </w:tc>
        <w:tc>
          <w:tcPr>
            <w:tcW w:w="992" w:type="dxa"/>
            <w:tcBorders>
              <w:top w:val="nil"/>
              <w:left w:val="single" w:sz="4" w:space="0" w:color="auto"/>
              <w:bottom w:val="single" w:sz="4" w:space="0" w:color="auto"/>
              <w:right w:val="nil"/>
            </w:tcBorders>
            <w:shd w:val="clear" w:color="auto" w:fill="auto"/>
            <w:vAlign w:val="center"/>
            <w:hideMark/>
          </w:tcPr>
          <w:p w14:paraId="78296260" w14:textId="77777777" w:rsidR="00387142" w:rsidRPr="008B6A75" w:rsidRDefault="00387142" w:rsidP="00387142">
            <w:pPr>
              <w:jc w:val="right"/>
              <w:rPr>
                <w:sz w:val="20"/>
                <w:szCs w:val="20"/>
              </w:rPr>
            </w:pPr>
            <w:r w:rsidRPr="008B6A75">
              <w:rPr>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66AFE420" w14:textId="77777777" w:rsidR="00387142" w:rsidRPr="008B6A75" w:rsidRDefault="00387142" w:rsidP="00387142">
            <w:pPr>
              <w:jc w:val="right"/>
              <w:rPr>
                <w:sz w:val="20"/>
                <w:szCs w:val="20"/>
              </w:rPr>
            </w:pPr>
            <w:r w:rsidRPr="008B6A75">
              <w:rPr>
                <w:sz w:val="20"/>
                <w:szCs w:val="20"/>
              </w:rPr>
              <w:t>0,00</w:t>
            </w:r>
          </w:p>
        </w:tc>
      </w:tr>
      <w:tr w:rsidR="00387142" w:rsidRPr="008B6A75" w14:paraId="61D8E5F2" w14:textId="77777777" w:rsidTr="00387142">
        <w:trPr>
          <w:trHeight w:val="1155"/>
        </w:trPr>
        <w:tc>
          <w:tcPr>
            <w:tcW w:w="3261" w:type="dxa"/>
            <w:tcBorders>
              <w:top w:val="nil"/>
              <w:left w:val="single" w:sz="4" w:space="0" w:color="auto"/>
              <w:bottom w:val="single" w:sz="4" w:space="0" w:color="auto"/>
              <w:right w:val="nil"/>
            </w:tcBorders>
            <w:shd w:val="clear" w:color="auto" w:fill="auto"/>
            <w:vAlign w:val="center"/>
            <w:hideMark/>
          </w:tcPr>
          <w:p w14:paraId="283407BB" w14:textId="77777777" w:rsidR="00387142" w:rsidRPr="008B6A75" w:rsidRDefault="00387142" w:rsidP="00387142">
            <w:pPr>
              <w:rPr>
                <w:bCs/>
                <w:sz w:val="20"/>
                <w:szCs w:val="20"/>
              </w:rPr>
            </w:pPr>
            <w:r w:rsidRPr="008B6A75">
              <w:rPr>
                <w:bCs/>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20" w:type="dxa"/>
            <w:tcBorders>
              <w:top w:val="nil"/>
              <w:left w:val="single" w:sz="4" w:space="0" w:color="auto"/>
              <w:bottom w:val="single" w:sz="4" w:space="0" w:color="auto"/>
              <w:right w:val="nil"/>
            </w:tcBorders>
            <w:shd w:val="clear" w:color="auto" w:fill="auto"/>
            <w:noWrap/>
            <w:vAlign w:val="center"/>
            <w:hideMark/>
          </w:tcPr>
          <w:p w14:paraId="6F194D40" w14:textId="77777777" w:rsidR="00387142" w:rsidRPr="008B6A75" w:rsidRDefault="00387142" w:rsidP="00387142">
            <w:pPr>
              <w:jc w:val="center"/>
              <w:rPr>
                <w:bCs/>
                <w:sz w:val="20"/>
                <w:szCs w:val="20"/>
              </w:rPr>
            </w:pPr>
            <w:r w:rsidRPr="008B6A75">
              <w:rPr>
                <w:bCs/>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8B5728F" w14:textId="77777777" w:rsidR="00387142" w:rsidRPr="008B6A75" w:rsidRDefault="00387142" w:rsidP="00387142">
            <w:pPr>
              <w:jc w:val="center"/>
              <w:rPr>
                <w:bCs/>
                <w:sz w:val="20"/>
                <w:szCs w:val="20"/>
              </w:rPr>
            </w:pPr>
            <w:r w:rsidRPr="008B6A75">
              <w:rPr>
                <w:bCs/>
                <w:sz w:val="20"/>
                <w:szCs w:val="20"/>
              </w:rPr>
              <w:t>03</w:t>
            </w:r>
          </w:p>
        </w:tc>
        <w:tc>
          <w:tcPr>
            <w:tcW w:w="1516" w:type="dxa"/>
            <w:tcBorders>
              <w:top w:val="nil"/>
              <w:left w:val="single" w:sz="4" w:space="0" w:color="auto"/>
              <w:bottom w:val="single" w:sz="4" w:space="0" w:color="auto"/>
              <w:right w:val="nil"/>
            </w:tcBorders>
            <w:shd w:val="clear" w:color="auto" w:fill="auto"/>
            <w:noWrap/>
            <w:vAlign w:val="center"/>
            <w:hideMark/>
          </w:tcPr>
          <w:p w14:paraId="23F8976A" w14:textId="77777777" w:rsidR="00387142" w:rsidRPr="008B6A75" w:rsidRDefault="00387142" w:rsidP="00387142">
            <w:pPr>
              <w:jc w:val="center"/>
              <w:rPr>
                <w:bCs/>
                <w:sz w:val="20"/>
                <w:szCs w:val="20"/>
              </w:rPr>
            </w:pPr>
            <w:r w:rsidRPr="008B6A75">
              <w:rPr>
                <w:bCs/>
                <w:sz w:val="20"/>
                <w:szCs w:val="20"/>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2D59195"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63EACF7" w14:textId="77777777" w:rsidR="00387142" w:rsidRPr="008B6A75" w:rsidRDefault="00387142" w:rsidP="00387142">
            <w:pPr>
              <w:jc w:val="right"/>
              <w:rPr>
                <w:bCs/>
                <w:sz w:val="20"/>
                <w:szCs w:val="20"/>
              </w:rPr>
            </w:pPr>
            <w:r w:rsidRPr="008B6A75">
              <w:rPr>
                <w:bCs/>
                <w:sz w:val="20"/>
                <w:szCs w:val="20"/>
              </w:rPr>
              <w:t>1 940 415,41</w:t>
            </w:r>
          </w:p>
        </w:tc>
        <w:tc>
          <w:tcPr>
            <w:tcW w:w="992" w:type="dxa"/>
            <w:tcBorders>
              <w:top w:val="nil"/>
              <w:left w:val="single" w:sz="4" w:space="0" w:color="auto"/>
              <w:bottom w:val="single" w:sz="4" w:space="0" w:color="auto"/>
              <w:right w:val="nil"/>
            </w:tcBorders>
            <w:shd w:val="clear" w:color="auto" w:fill="auto"/>
            <w:vAlign w:val="center"/>
            <w:hideMark/>
          </w:tcPr>
          <w:p w14:paraId="4D7E3D2C" w14:textId="77777777" w:rsidR="00387142" w:rsidRPr="008B6A75" w:rsidRDefault="00387142" w:rsidP="00387142">
            <w:pPr>
              <w:jc w:val="right"/>
              <w:rPr>
                <w:bCs/>
                <w:sz w:val="20"/>
                <w:szCs w:val="20"/>
              </w:rPr>
            </w:pPr>
            <w:r w:rsidRPr="008B6A75">
              <w:rPr>
                <w:bCs/>
                <w:sz w:val="20"/>
                <w:szCs w:val="20"/>
              </w:rPr>
              <w:t>1 743 000,00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7EFD98B9" w14:textId="77777777" w:rsidR="00387142" w:rsidRPr="008B6A75" w:rsidRDefault="00387142" w:rsidP="00387142">
            <w:pPr>
              <w:jc w:val="right"/>
              <w:rPr>
                <w:bCs/>
                <w:sz w:val="20"/>
                <w:szCs w:val="20"/>
              </w:rPr>
            </w:pPr>
            <w:r w:rsidRPr="008B6A75">
              <w:rPr>
                <w:bCs/>
                <w:sz w:val="20"/>
                <w:szCs w:val="20"/>
              </w:rPr>
              <w:t>1 743 000,00</w:t>
            </w:r>
          </w:p>
        </w:tc>
      </w:tr>
      <w:tr w:rsidR="00387142" w:rsidRPr="008B6A75" w14:paraId="560223CD" w14:textId="77777777" w:rsidTr="00387142">
        <w:trPr>
          <w:trHeight w:val="345"/>
        </w:trPr>
        <w:tc>
          <w:tcPr>
            <w:tcW w:w="3261" w:type="dxa"/>
            <w:tcBorders>
              <w:top w:val="nil"/>
              <w:left w:val="single" w:sz="4" w:space="0" w:color="auto"/>
              <w:bottom w:val="single" w:sz="4" w:space="0" w:color="auto"/>
              <w:right w:val="nil"/>
            </w:tcBorders>
            <w:shd w:val="clear" w:color="auto" w:fill="auto"/>
            <w:vAlign w:val="center"/>
            <w:hideMark/>
          </w:tcPr>
          <w:p w14:paraId="58FA4EC0" w14:textId="77777777" w:rsidR="00387142" w:rsidRPr="008B6A75" w:rsidRDefault="00387142" w:rsidP="00387142">
            <w:pPr>
              <w:rPr>
                <w:bCs/>
                <w:sz w:val="20"/>
                <w:szCs w:val="20"/>
              </w:rPr>
            </w:pPr>
            <w:r w:rsidRPr="008B6A75">
              <w:rPr>
                <w:bCs/>
                <w:sz w:val="20"/>
                <w:szCs w:val="20"/>
              </w:rPr>
              <w:t>Непрограммные направления бюджета</w:t>
            </w:r>
          </w:p>
        </w:tc>
        <w:tc>
          <w:tcPr>
            <w:tcW w:w="720" w:type="dxa"/>
            <w:tcBorders>
              <w:top w:val="nil"/>
              <w:left w:val="single" w:sz="4" w:space="0" w:color="auto"/>
              <w:bottom w:val="single" w:sz="4" w:space="0" w:color="auto"/>
              <w:right w:val="nil"/>
            </w:tcBorders>
            <w:shd w:val="clear" w:color="auto" w:fill="auto"/>
            <w:noWrap/>
            <w:vAlign w:val="center"/>
            <w:hideMark/>
          </w:tcPr>
          <w:p w14:paraId="15AC13CA" w14:textId="77777777" w:rsidR="00387142" w:rsidRPr="008B6A75" w:rsidRDefault="00387142" w:rsidP="00387142">
            <w:pPr>
              <w:jc w:val="center"/>
              <w:rPr>
                <w:bCs/>
                <w:sz w:val="20"/>
                <w:szCs w:val="20"/>
              </w:rPr>
            </w:pPr>
            <w:r w:rsidRPr="008B6A75">
              <w:rPr>
                <w:bCs/>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57FDF6A" w14:textId="77777777" w:rsidR="00387142" w:rsidRPr="008B6A75" w:rsidRDefault="00387142" w:rsidP="00387142">
            <w:pPr>
              <w:jc w:val="center"/>
              <w:rPr>
                <w:bCs/>
                <w:sz w:val="20"/>
                <w:szCs w:val="20"/>
              </w:rPr>
            </w:pPr>
            <w:r w:rsidRPr="008B6A75">
              <w:rPr>
                <w:bCs/>
                <w:sz w:val="20"/>
                <w:szCs w:val="20"/>
              </w:rPr>
              <w:t>03</w:t>
            </w:r>
          </w:p>
        </w:tc>
        <w:tc>
          <w:tcPr>
            <w:tcW w:w="1516" w:type="dxa"/>
            <w:tcBorders>
              <w:top w:val="nil"/>
              <w:left w:val="single" w:sz="4" w:space="0" w:color="auto"/>
              <w:bottom w:val="single" w:sz="4" w:space="0" w:color="auto"/>
              <w:right w:val="nil"/>
            </w:tcBorders>
            <w:shd w:val="clear" w:color="auto" w:fill="auto"/>
            <w:noWrap/>
            <w:vAlign w:val="center"/>
            <w:hideMark/>
          </w:tcPr>
          <w:p w14:paraId="15AA8D5F" w14:textId="77777777" w:rsidR="00387142" w:rsidRPr="008B6A75" w:rsidRDefault="00387142" w:rsidP="00387142">
            <w:pPr>
              <w:jc w:val="center"/>
              <w:rPr>
                <w:bCs/>
                <w:sz w:val="20"/>
                <w:szCs w:val="20"/>
              </w:rPr>
            </w:pPr>
            <w:r w:rsidRPr="008B6A75">
              <w:rPr>
                <w:bCs/>
                <w:sz w:val="20"/>
                <w:szCs w:val="20"/>
              </w:rPr>
              <w:t>99.0.00.00000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AFE4144"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71A99AF" w14:textId="77777777" w:rsidR="00387142" w:rsidRPr="008B6A75" w:rsidRDefault="00387142" w:rsidP="00387142">
            <w:pPr>
              <w:jc w:val="right"/>
              <w:rPr>
                <w:bCs/>
                <w:sz w:val="20"/>
                <w:szCs w:val="20"/>
              </w:rPr>
            </w:pPr>
            <w:r w:rsidRPr="008B6A75">
              <w:rPr>
                <w:bCs/>
                <w:sz w:val="20"/>
                <w:szCs w:val="20"/>
              </w:rPr>
              <w:t>1 940 415,41</w:t>
            </w:r>
          </w:p>
        </w:tc>
        <w:tc>
          <w:tcPr>
            <w:tcW w:w="992" w:type="dxa"/>
            <w:tcBorders>
              <w:top w:val="nil"/>
              <w:left w:val="single" w:sz="4" w:space="0" w:color="auto"/>
              <w:bottom w:val="single" w:sz="4" w:space="0" w:color="auto"/>
              <w:right w:val="nil"/>
            </w:tcBorders>
            <w:shd w:val="clear" w:color="auto" w:fill="auto"/>
            <w:vAlign w:val="center"/>
            <w:hideMark/>
          </w:tcPr>
          <w:p w14:paraId="72868917" w14:textId="77777777" w:rsidR="00387142" w:rsidRPr="008B6A75" w:rsidRDefault="00387142" w:rsidP="00387142">
            <w:pPr>
              <w:jc w:val="right"/>
              <w:rPr>
                <w:bCs/>
                <w:sz w:val="20"/>
                <w:szCs w:val="20"/>
              </w:rPr>
            </w:pPr>
            <w:r w:rsidRPr="008B6A75">
              <w:rPr>
                <w:bCs/>
                <w:sz w:val="20"/>
                <w:szCs w:val="20"/>
              </w:rPr>
              <w:t>1 743 000,00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2E46323D" w14:textId="77777777" w:rsidR="00387142" w:rsidRPr="008B6A75" w:rsidRDefault="00387142" w:rsidP="00387142">
            <w:pPr>
              <w:jc w:val="right"/>
              <w:rPr>
                <w:bCs/>
                <w:sz w:val="20"/>
                <w:szCs w:val="20"/>
              </w:rPr>
            </w:pPr>
            <w:r w:rsidRPr="008B6A75">
              <w:rPr>
                <w:bCs/>
                <w:sz w:val="20"/>
                <w:szCs w:val="20"/>
              </w:rPr>
              <w:t>1 743 000,00</w:t>
            </w:r>
          </w:p>
        </w:tc>
      </w:tr>
      <w:tr w:rsidR="00387142" w:rsidRPr="008B6A75" w14:paraId="3804CD34" w14:textId="77777777" w:rsidTr="00387142">
        <w:trPr>
          <w:trHeight w:val="870"/>
        </w:trPr>
        <w:tc>
          <w:tcPr>
            <w:tcW w:w="3261" w:type="dxa"/>
            <w:tcBorders>
              <w:top w:val="nil"/>
              <w:left w:val="single" w:sz="4" w:space="0" w:color="auto"/>
              <w:bottom w:val="single" w:sz="4" w:space="0" w:color="auto"/>
              <w:right w:val="nil"/>
            </w:tcBorders>
            <w:shd w:val="clear" w:color="auto" w:fill="auto"/>
            <w:vAlign w:val="center"/>
            <w:hideMark/>
          </w:tcPr>
          <w:p w14:paraId="2B2460EA" w14:textId="77777777" w:rsidR="00387142" w:rsidRPr="008B6A75" w:rsidRDefault="00387142" w:rsidP="00387142">
            <w:pPr>
              <w:rPr>
                <w:bCs/>
                <w:sz w:val="20"/>
                <w:szCs w:val="20"/>
              </w:rPr>
            </w:pPr>
            <w:r w:rsidRPr="008B6A75">
              <w:rPr>
                <w:bCs/>
                <w:sz w:val="20"/>
                <w:szCs w:val="20"/>
              </w:rPr>
              <w:t>Содержание аппарата управления представительного органа местного самоуправления</w:t>
            </w:r>
          </w:p>
        </w:tc>
        <w:tc>
          <w:tcPr>
            <w:tcW w:w="720" w:type="dxa"/>
            <w:tcBorders>
              <w:top w:val="nil"/>
              <w:left w:val="single" w:sz="4" w:space="0" w:color="auto"/>
              <w:bottom w:val="single" w:sz="4" w:space="0" w:color="auto"/>
              <w:right w:val="nil"/>
            </w:tcBorders>
            <w:shd w:val="clear" w:color="auto" w:fill="auto"/>
            <w:noWrap/>
            <w:vAlign w:val="center"/>
            <w:hideMark/>
          </w:tcPr>
          <w:p w14:paraId="2DA6CB00" w14:textId="77777777" w:rsidR="00387142" w:rsidRPr="008B6A75" w:rsidRDefault="00387142" w:rsidP="00387142">
            <w:pPr>
              <w:jc w:val="center"/>
              <w:rPr>
                <w:bCs/>
                <w:sz w:val="20"/>
                <w:szCs w:val="20"/>
              </w:rPr>
            </w:pPr>
            <w:r w:rsidRPr="008B6A75">
              <w:rPr>
                <w:bCs/>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2C6783E" w14:textId="77777777" w:rsidR="00387142" w:rsidRPr="008B6A75" w:rsidRDefault="00387142" w:rsidP="00387142">
            <w:pPr>
              <w:jc w:val="center"/>
              <w:rPr>
                <w:bCs/>
                <w:sz w:val="20"/>
                <w:szCs w:val="20"/>
              </w:rPr>
            </w:pPr>
            <w:r w:rsidRPr="008B6A75">
              <w:rPr>
                <w:bCs/>
                <w:sz w:val="20"/>
                <w:szCs w:val="20"/>
              </w:rPr>
              <w:t>03</w:t>
            </w:r>
          </w:p>
        </w:tc>
        <w:tc>
          <w:tcPr>
            <w:tcW w:w="1516" w:type="dxa"/>
            <w:tcBorders>
              <w:top w:val="nil"/>
              <w:left w:val="single" w:sz="4" w:space="0" w:color="auto"/>
              <w:bottom w:val="single" w:sz="4" w:space="0" w:color="auto"/>
              <w:right w:val="nil"/>
            </w:tcBorders>
            <w:shd w:val="clear" w:color="auto" w:fill="auto"/>
            <w:noWrap/>
            <w:vAlign w:val="center"/>
            <w:hideMark/>
          </w:tcPr>
          <w:p w14:paraId="42FFDA09" w14:textId="77777777" w:rsidR="00387142" w:rsidRPr="008B6A75" w:rsidRDefault="00387142" w:rsidP="00387142">
            <w:pPr>
              <w:jc w:val="center"/>
              <w:rPr>
                <w:bCs/>
                <w:sz w:val="20"/>
                <w:szCs w:val="20"/>
              </w:rPr>
            </w:pPr>
            <w:r w:rsidRPr="008B6A75">
              <w:rPr>
                <w:bCs/>
                <w:sz w:val="20"/>
                <w:szCs w:val="20"/>
              </w:rPr>
              <w:t>99.0.00.01990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C5C5A51"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E01C778" w14:textId="77777777" w:rsidR="00387142" w:rsidRPr="008B6A75" w:rsidRDefault="00387142" w:rsidP="00387142">
            <w:pPr>
              <w:jc w:val="right"/>
              <w:rPr>
                <w:bCs/>
                <w:sz w:val="20"/>
                <w:szCs w:val="20"/>
              </w:rPr>
            </w:pPr>
            <w:r w:rsidRPr="008B6A75">
              <w:rPr>
                <w:bCs/>
                <w:sz w:val="20"/>
                <w:szCs w:val="20"/>
              </w:rPr>
              <w:t>37 198,00</w:t>
            </w:r>
          </w:p>
        </w:tc>
        <w:tc>
          <w:tcPr>
            <w:tcW w:w="992" w:type="dxa"/>
            <w:tcBorders>
              <w:top w:val="nil"/>
              <w:left w:val="single" w:sz="4" w:space="0" w:color="auto"/>
              <w:bottom w:val="single" w:sz="4" w:space="0" w:color="auto"/>
              <w:right w:val="nil"/>
            </w:tcBorders>
            <w:shd w:val="clear" w:color="auto" w:fill="auto"/>
            <w:vAlign w:val="center"/>
            <w:hideMark/>
          </w:tcPr>
          <w:p w14:paraId="154E0BC1" w14:textId="77777777" w:rsidR="00387142" w:rsidRPr="008B6A75" w:rsidRDefault="00387142" w:rsidP="00387142">
            <w:pPr>
              <w:jc w:val="right"/>
              <w:rPr>
                <w:bCs/>
                <w:sz w:val="20"/>
                <w:szCs w:val="20"/>
              </w:rPr>
            </w:pPr>
            <w:r w:rsidRPr="008B6A75">
              <w:rPr>
                <w:bCs/>
                <w:sz w:val="20"/>
                <w:szCs w:val="20"/>
              </w:rPr>
              <w:t>20 000,00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6E25B7B0" w14:textId="77777777" w:rsidR="00387142" w:rsidRPr="008B6A75" w:rsidRDefault="00387142" w:rsidP="00387142">
            <w:pPr>
              <w:jc w:val="right"/>
              <w:rPr>
                <w:bCs/>
                <w:sz w:val="20"/>
                <w:szCs w:val="20"/>
              </w:rPr>
            </w:pPr>
            <w:r w:rsidRPr="008B6A75">
              <w:rPr>
                <w:bCs/>
                <w:sz w:val="20"/>
                <w:szCs w:val="20"/>
              </w:rPr>
              <w:t>20 000,00</w:t>
            </w:r>
          </w:p>
        </w:tc>
      </w:tr>
      <w:tr w:rsidR="00387142" w:rsidRPr="008B6A75" w14:paraId="07374D89" w14:textId="77777777" w:rsidTr="00387142">
        <w:trPr>
          <w:trHeight w:val="585"/>
        </w:trPr>
        <w:tc>
          <w:tcPr>
            <w:tcW w:w="3261" w:type="dxa"/>
            <w:tcBorders>
              <w:top w:val="nil"/>
              <w:left w:val="single" w:sz="4" w:space="0" w:color="auto"/>
              <w:bottom w:val="single" w:sz="4" w:space="0" w:color="auto"/>
              <w:right w:val="nil"/>
            </w:tcBorders>
            <w:shd w:val="clear" w:color="auto" w:fill="auto"/>
            <w:vAlign w:val="center"/>
            <w:hideMark/>
          </w:tcPr>
          <w:p w14:paraId="2B411DE2" w14:textId="77777777" w:rsidR="00387142" w:rsidRPr="008B6A75" w:rsidRDefault="00387142" w:rsidP="00387142">
            <w:pPr>
              <w:rPr>
                <w:sz w:val="20"/>
                <w:szCs w:val="20"/>
              </w:rPr>
            </w:pPr>
            <w:r w:rsidRPr="008B6A75">
              <w:rPr>
                <w:sz w:val="20"/>
                <w:szCs w:val="20"/>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7C242058" w14:textId="77777777" w:rsidR="00387142" w:rsidRPr="008B6A75" w:rsidRDefault="00387142" w:rsidP="00387142">
            <w:pPr>
              <w:jc w:val="center"/>
              <w:rPr>
                <w:sz w:val="20"/>
                <w:szCs w:val="20"/>
              </w:rPr>
            </w:pPr>
            <w:r w:rsidRPr="008B6A75">
              <w:rPr>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0F9C77C" w14:textId="77777777" w:rsidR="00387142" w:rsidRPr="008B6A75" w:rsidRDefault="00387142" w:rsidP="00387142">
            <w:pPr>
              <w:jc w:val="center"/>
              <w:rPr>
                <w:sz w:val="20"/>
                <w:szCs w:val="20"/>
              </w:rPr>
            </w:pPr>
            <w:r w:rsidRPr="008B6A75">
              <w:rPr>
                <w:sz w:val="20"/>
                <w:szCs w:val="20"/>
              </w:rPr>
              <w:t>03</w:t>
            </w:r>
          </w:p>
        </w:tc>
        <w:tc>
          <w:tcPr>
            <w:tcW w:w="1516" w:type="dxa"/>
            <w:tcBorders>
              <w:top w:val="nil"/>
              <w:left w:val="single" w:sz="4" w:space="0" w:color="auto"/>
              <w:bottom w:val="single" w:sz="4" w:space="0" w:color="auto"/>
              <w:right w:val="nil"/>
            </w:tcBorders>
            <w:shd w:val="clear" w:color="auto" w:fill="auto"/>
            <w:noWrap/>
            <w:vAlign w:val="center"/>
            <w:hideMark/>
          </w:tcPr>
          <w:p w14:paraId="596688BB" w14:textId="77777777" w:rsidR="00387142" w:rsidRPr="008B6A75" w:rsidRDefault="00387142" w:rsidP="00387142">
            <w:pPr>
              <w:jc w:val="center"/>
              <w:rPr>
                <w:sz w:val="20"/>
                <w:szCs w:val="20"/>
              </w:rPr>
            </w:pPr>
            <w:r w:rsidRPr="008B6A75">
              <w:rPr>
                <w:sz w:val="20"/>
                <w:szCs w:val="20"/>
              </w:rPr>
              <w:t>99.0.00.01990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D985FF9" w14:textId="77777777" w:rsidR="00387142" w:rsidRPr="008B6A75" w:rsidRDefault="00387142" w:rsidP="00387142">
            <w:pPr>
              <w:jc w:val="center"/>
              <w:rPr>
                <w:sz w:val="20"/>
                <w:szCs w:val="20"/>
              </w:rPr>
            </w:pPr>
            <w:r w:rsidRPr="008B6A75">
              <w:rPr>
                <w:sz w:val="20"/>
                <w:szCs w:val="20"/>
              </w:rPr>
              <w:t>200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9A6BED4" w14:textId="77777777" w:rsidR="00387142" w:rsidRPr="008B6A75" w:rsidRDefault="00387142" w:rsidP="00387142">
            <w:pPr>
              <w:jc w:val="right"/>
              <w:rPr>
                <w:sz w:val="20"/>
                <w:szCs w:val="20"/>
              </w:rPr>
            </w:pPr>
            <w:r w:rsidRPr="008B6A75">
              <w:rPr>
                <w:sz w:val="20"/>
                <w:szCs w:val="20"/>
              </w:rPr>
              <w:t>37 198,00</w:t>
            </w:r>
          </w:p>
        </w:tc>
        <w:tc>
          <w:tcPr>
            <w:tcW w:w="992" w:type="dxa"/>
            <w:tcBorders>
              <w:top w:val="nil"/>
              <w:left w:val="single" w:sz="4" w:space="0" w:color="auto"/>
              <w:bottom w:val="single" w:sz="4" w:space="0" w:color="auto"/>
              <w:right w:val="nil"/>
            </w:tcBorders>
            <w:shd w:val="clear" w:color="auto" w:fill="auto"/>
            <w:vAlign w:val="center"/>
            <w:hideMark/>
          </w:tcPr>
          <w:p w14:paraId="3CF3B005" w14:textId="77777777" w:rsidR="00387142" w:rsidRPr="008B6A75" w:rsidRDefault="00387142" w:rsidP="00387142">
            <w:pPr>
              <w:jc w:val="right"/>
              <w:rPr>
                <w:sz w:val="20"/>
                <w:szCs w:val="20"/>
              </w:rPr>
            </w:pPr>
            <w:r w:rsidRPr="008B6A75">
              <w:rPr>
                <w:sz w:val="20"/>
                <w:szCs w:val="20"/>
              </w:rPr>
              <w:t>20 000,00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6BB483F5" w14:textId="77777777" w:rsidR="00387142" w:rsidRPr="008B6A75" w:rsidRDefault="00387142" w:rsidP="00387142">
            <w:pPr>
              <w:jc w:val="right"/>
              <w:rPr>
                <w:sz w:val="20"/>
                <w:szCs w:val="20"/>
              </w:rPr>
            </w:pPr>
            <w:r w:rsidRPr="008B6A75">
              <w:rPr>
                <w:sz w:val="20"/>
                <w:szCs w:val="20"/>
              </w:rPr>
              <w:t>20 000,00</w:t>
            </w:r>
          </w:p>
        </w:tc>
      </w:tr>
      <w:tr w:rsidR="00387142" w:rsidRPr="008B6A75" w14:paraId="3FC1F820" w14:textId="77777777" w:rsidTr="00387142">
        <w:trPr>
          <w:trHeight w:val="870"/>
        </w:trPr>
        <w:tc>
          <w:tcPr>
            <w:tcW w:w="3261" w:type="dxa"/>
            <w:tcBorders>
              <w:top w:val="nil"/>
              <w:left w:val="single" w:sz="4" w:space="0" w:color="auto"/>
              <w:bottom w:val="single" w:sz="4" w:space="0" w:color="auto"/>
              <w:right w:val="nil"/>
            </w:tcBorders>
            <w:shd w:val="clear" w:color="auto" w:fill="auto"/>
            <w:vAlign w:val="center"/>
            <w:hideMark/>
          </w:tcPr>
          <w:p w14:paraId="6FA63A3D" w14:textId="77777777" w:rsidR="00387142" w:rsidRPr="008B6A75" w:rsidRDefault="00387142" w:rsidP="00387142">
            <w:pPr>
              <w:rPr>
                <w:sz w:val="20"/>
                <w:szCs w:val="20"/>
              </w:rPr>
            </w:pPr>
            <w:r w:rsidRPr="008B6A75">
              <w:rPr>
                <w:sz w:val="20"/>
                <w:szCs w:val="20"/>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57151C36" w14:textId="77777777" w:rsidR="00387142" w:rsidRPr="008B6A75" w:rsidRDefault="00387142" w:rsidP="00387142">
            <w:pPr>
              <w:jc w:val="center"/>
              <w:rPr>
                <w:sz w:val="20"/>
                <w:szCs w:val="20"/>
              </w:rPr>
            </w:pPr>
            <w:r w:rsidRPr="008B6A75">
              <w:rPr>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FE82CBD" w14:textId="77777777" w:rsidR="00387142" w:rsidRPr="008B6A75" w:rsidRDefault="00387142" w:rsidP="00387142">
            <w:pPr>
              <w:jc w:val="center"/>
              <w:rPr>
                <w:sz w:val="20"/>
                <w:szCs w:val="20"/>
              </w:rPr>
            </w:pPr>
            <w:r w:rsidRPr="008B6A75">
              <w:rPr>
                <w:sz w:val="20"/>
                <w:szCs w:val="20"/>
              </w:rPr>
              <w:t>03</w:t>
            </w:r>
          </w:p>
        </w:tc>
        <w:tc>
          <w:tcPr>
            <w:tcW w:w="1516" w:type="dxa"/>
            <w:tcBorders>
              <w:top w:val="nil"/>
              <w:left w:val="single" w:sz="4" w:space="0" w:color="auto"/>
              <w:bottom w:val="single" w:sz="4" w:space="0" w:color="auto"/>
              <w:right w:val="nil"/>
            </w:tcBorders>
            <w:shd w:val="clear" w:color="auto" w:fill="auto"/>
            <w:noWrap/>
            <w:vAlign w:val="center"/>
            <w:hideMark/>
          </w:tcPr>
          <w:p w14:paraId="690948CB" w14:textId="77777777" w:rsidR="00387142" w:rsidRPr="008B6A75" w:rsidRDefault="00387142" w:rsidP="00387142">
            <w:pPr>
              <w:jc w:val="center"/>
              <w:rPr>
                <w:sz w:val="20"/>
                <w:szCs w:val="20"/>
              </w:rPr>
            </w:pPr>
            <w:r w:rsidRPr="008B6A75">
              <w:rPr>
                <w:sz w:val="20"/>
                <w:szCs w:val="20"/>
              </w:rPr>
              <w:t>99.0.00.01990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43A706F" w14:textId="77777777" w:rsidR="00387142" w:rsidRPr="008B6A75" w:rsidRDefault="00387142" w:rsidP="00387142">
            <w:pPr>
              <w:jc w:val="center"/>
              <w:rPr>
                <w:sz w:val="20"/>
                <w:szCs w:val="20"/>
              </w:rPr>
            </w:pPr>
            <w:r w:rsidRPr="008B6A75">
              <w:rPr>
                <w:sz w:val="20"/>
                <w:szCs w:val="20"/>
              </w:rPr>
              <w:t>240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0F8203F" w14:textId="77777777" w:rsidR="00387142" w:rsidRPr="008B6A75" w:rsidRDefault="00387142" w:rsidP="00387142">
            <w:pPr>
              <w:jc w:val="right"/>
              <w:rPr>
                <w:sz w:val="20"/>
                <w:szCs w:val="20"/>
              </w:rPr>
            </w:pPr>
            <w:r w:rsidRPr="008B6A75">
              <w:rPr>
                <w:sz w:val="20"/>
                <w:szCs w:val="20"/>
              </w:rPr>
              <w:t>37 198,00</w:t>
            </w:r>
          </w:p>
        </w:tc>
        <w:tc>
          <w:tcPr>
            <w:tcW w:w="992" w:type="dxa"/>
            <w:tcBorders>
              <w:top w:val="nil"/>
              <w:left w:val="single" w:sz="4" w:space="0" w:color="auto"/>
              <w:bottom w:val="single" w:sz="4" w:space="0" w:color="auto"/>
              <w:right w:val="nil"/>
            </w:tcBorders>
            <w:shd w:val="clear" w:color="auto" w:fill="auto"/>
            <w:vAlign w:val="center"/>
            <w:hideMark/>
          </w:tcPr>
          <w:p w14:paraId="79FA0D7D" w14:textId="77777777" w:rsidR="00387142" w:rsidRPr="008B6A75" w:rsidRDefault="00387142" w:rsidP="00387142">
            <w:pPr>
              <w:jc w:val="right"/>
              <w:rPr>
                <w:sz w:val="20"/>
                <w:szCs w:val="20"/>
              </w:rPr>
            </w:pPr>
            <w:r w:rsidRPr="008B6A75">
              <w:rPr>
                <w:sz w:val="20"/>
                <w:szCs w:val="20"/>
              </w:rPr>
              <w:t>20 000,00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08E47750" w14:textId="77777777" w:rsidR="00387142" w:rsidRPr="008B6A75" w:rsidRDefault="00387142" w:rsidP="00387142">
            <w:pPr>
              <w:jc w:val="right"/>
              <w:rPr>
                <w:sz w:val="20"/>
                <w:szCs w:val="20"/>
              </w:rPr>
            </w:pPr>
            <w:r w:rsidRPr="008B6A75">
              <w:rPr>
                <w:sz w:val="20"/>
                <w:szCs w:val="20"/>
              </w:rPr>
              <w:t>20 000,00</w:t>
            </w:r>
          </w:p>
        </w:tc>
      </w:tr>
      <w:tr w:rsidR="00387142" w:rsidRPr="008B6A75" w14:paraId="6A9AE0D1" w14:textId="77777777" w:rsidTr="00387142">
        <w:trPr>
          <w:trHeight w:val="870"/>
        </w:trPr>
        <w:tc>
          <w:tcPr>
            <w:tcW w:w="3261" w:type="dxa"/>
            <w:tcBorders>
              <w:top w:val="nil"/>
              <w:left w:val="single" w:sz="4" w:space="0" w:color="auto"/>
              <w:bottom w:val="single" w:sz="4" w:space="0" w:color="auto"/>
              <w:right w:val="nil"/>
            </w:tcBorders>
            <w:shd w:val="clear" w:color="auto" w:fill="auto"/>
            <w:vAlign w:val="center"/>
            <w:hideMark/>
          </w:tcPr>
          <w:p w14:paraId="0F58C915" w14:textId="77777777" w:rsidR="00387142" w:rsidRPr="008B6A75" w:rsidRDefault="00387142" w:rsidP="00387142">
            <w:pPr>
              <w:rPr>
                <w:bCs/>
                <w:sz w:val="20"/>
                <w:szCs w:val="20"/>
              </w:rPr>
            </w:pPr>
            <w:r w:rsidRPr="008B6A75">
              <w:rPr>
                <w:bCs/>
                <w:sz w:val="20"/>
                <w:szCs w:val="20"/>
              </w:rPr>
              <w:t>Председатель законодательного (представительного) органа муниципальной власти</w:t>
            </w:r>
          </w:p>
        </w:tc>
        <w:tc>
          <w:tcPr>
            <w:tcW w:w="720" w:type="dxa"/>
            <w:tcBorders>
              <w:top w:val="nil"/>
              <w:left w:val="single" w:sz="4" w:space="0" w:color="auto"/>
              <w:bottom w:val="single" w:sz="4" w:space="0" w:color="auto"/>
              <w:right w:val="nil"/>
            </w:tcBorders>
            <w:shd w:val="clear" w:color="auto" w:fill="auto"/>
            <w:noWrap/>
            <w:vAlign w:val="center"/>
            <w:hideMark/>
          </w:tcPr>
          <w:p w14:paraId="5C26DBDB" w14:textId="77777777" w:rsidR="00387142" w:rsidRPr="008B6A75" w:rsidRDefault="00387142" w:rsidP="00387142">
            <w:pPr>
              <w:jc w:val="center"/>
              <w:rPr>
                <w:bCs/>
                <w:sz w:val="20"/>
                <w:szCs w:val="20"/>
              </w:rPr>
            </w:pPr>
            <w:r w:rsidRPr="008B6A75">
              <w:rPr>
                <w:bCs/>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9CD475C" w14:textId="77777777" w:rsidR="00387142" w:rsidRPr="008B6A75" w:rsidRDefault="00387142" w:rsidP="00387142">
            <w:pPr>
              <w:jc w:val="center"/>
              <w:rPr>
                <w:bCs/>
                <w:sz w:val="20"/>
                <w:szCs w:val="20"/>
              </w:rPr>
            </w:pPr>
            <w:r w:rsidRPr="008B6A75">
              <w:rPr>
                <w:bCs/>
                <w:sz w:val="20"/>
                <w:szCs w:val="20"/>
              </w:rPr>
              <w:t>03</w:t>
            </w:r>
          </w:p>
        </w:tc>
        <w:tc>
          <w:tcPr>
            <w:tcW w:w="1516" w:type="dxa"/>
            <w:tcBorders>
              <w:top w:val="nil"/>
              <w:left w:val="single" w:sz="4" w:space="0" w:color="auto"/>
              <w:bottom w:val="single" w:sz="4" w:space="0" w:color="auto"/>
              <w:right w:val="nil"/>
            </w:tcBorders>
            <w:shd w:val="clear" w:color="auto" w:fill="auto"/>
            <w:noWrap/>
            <w:vAlign w:val="center"/>
            <w:hideMark/>
          </w:tcPr>
          <w:p w14:paraId="3337765B" w14:textId="77777777" w:rsidR="00387142" w:rsidRPr="008B6A75" w:rsidRDefault="00387142" w:rsidP="00387142">
            <w:pPr>
              <w:jc w:val="center"/>
              <w:rPr>
                <w:bCs/>
                <w:sz w:val="20"/>
                <w:szCs w:val="20"/>
              </w:rPr>
            </w:pPr>
            <w:r w:rsidRPr="008B6A75">
              <w:rPr>
                <w:bCs/>
                <w:sz w:val="20"/>
                <w:szCs w:val="20"/>
              </w:rPr>
              <w:t>99.0.00.04110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1C4440B"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17342AD" w14:textId="77777777" w:rsidR="00387142" w:rsidRPr="008B6A75" w:rsidRDefault="00387142" w:rsidP="00387142">
            <w:pPr>
              <w:jc w:val="right"/>
              <w:rPr>
                <w:bCs/>
                <w:sz w:val="20"/>
                <w:szCs w:val="20"/>
              </w:rPr>
            </w:pPr>
            <w:r w:rsidRPr="008B6A75">
              <w:rPr>
                <w:bCs/>
                <w:sz w:val="20"/>
                <w:szCs w:val="20"/>
              </w:rPr>
              <w:t>1 868 839,58</w:t>
            </w:r>
          </w:p>
        </w:tc>
        <w:tc>
          <w:tcPr>
            <w:tcW w:w="992" w:type="dxa"/>
            <w:tcBorders>
              <w:top w:val="nil"/>
              <w:left w:val="single" w:sz="4" w:space="0" w:color="auto"/>
              <w:bottom w:val="single" w:sz="4" w:space="0" w:color="auto"/>
              <w:right w:val="nil"/>
            </w:tcBorders>
            <w:shd w:val="clear" w:color="auto" w:fill="auto"/>
            <w:vAlign w:val="center"/>
            <w:hideMark/>
          </w:tcPr>
          <w:p w14:paraId="0DD190E3" w14:textId="77777777" w:rsidR="00387142" w:rsidRPr="008B6A75" w:rsidRDefault="00387142" w:rsidP="00387142">
            <w:pPr>
              <w:jc w:val="right"/>
              <w:rPr>
                <w:bCs/>
                <w:sz w:val="20"/>
                <w:szCs w:val="20"/>
              </w:rPr>
            </w:pPr>
            <w:r w:rsidRPr="008B6A75">
              <w:rPr>
                <w:bCs/>
                <w:sz w:val="20"/>
                <w:szCs w:val="20"/>
              </w:rPr>
              <w:t>1 723 000,00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3BB0041F" w14:textId="77777777" w:rsidR="00387142" w:rsidRPr="008B6A75" w:rsidRDefault="00387142" w:rsidP="00387142">
            <w:pPr>
              <w:jc w:val="right"/>
              <w:rPr>
                <w:bCs/>
                <w:sz w:val="20"/>
                <w:szCs w:val="20"/>
              </w:rPr>
            </w:pPr>
            <w:r w:rsidRPr="008B6A75">
              <w:rPr>
                <w:bCs/>
                <w:sz w:val="20"/>
                <w:szCs w:val="20"/>
              </w:rPr>
              <w:t>1 723 000,00</w:t>
            </w:r>
          </w:p>
        </w:tc>
      </w:tr>
      <w:tr w:rsidR="00387142" w:rsidRPr="008B6A75" w14:paraId="24DE6BBE" w14:textId="77777777" w:rsidTr="00387142">
        <w:trPr>
          <w:trHeight w:val="1440"/>
        </w:trPr>
        <w:tc>
          <w:tcPr>
            <w:tcW w:w="3261" w:type="dxa"/>
            <w:tcBorders>
              <w:top w:val="nil"/>
              <w:left w:val="single" w:sz="4" w:space="0" w:color="auto"/>
              <w:bottom w:val="single" w:sz="4" w:space="0" w:color="auto"/>
              <w:right w:val="nil"/>
            </w:tcBorders>
            <w:shd w:val="clear" w:color="auto" w:fill="auto"/>
            <w:vAlign w:val="center"/>
            <w:hideMark/>
          </w:tcPr>
          <w:p w14:paraId="52AF9DAC" w14:textId="77777777" w:rsidR="00387142" w:rsidRPr="008B6A75" w:rsidRDefault="00387142" w:rsidP="00387142">
            <w:pPr>
              <w:rPr>
                <w:sz w:val="20"/>
                <w:szCs w:val="20"/>
              </w:rPr>
            </w:pPr>
            <w:r w:rsidRPr="008B6A7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14:paraId="3640B0F8" w14:textId="77777777" w:rsidR="00387142" w:rsidRPr="008B6A75" w:rsidRDefault="00387142" w:rsidP="00387142">
            <w:pPr>
              <w:jc w:val="center"/>
              <w:rPr>
                <w:sz w:val="20"/>
                <w:szCs w:val="20"/>
              </w:rPr>
            </w:pPr>
            <w:r w:rsidRPr="008B6A75">
              <w:rPr>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AD1D9A1" w14:textId="77777777" w:rsidR="00387142" w:rsidRPr="008B6A75" w:rsidRDefault="00387142" w:rsidP="00387142">
            <w:pPr>
              <w:jc w:val="center"/>
              <w:rPr>
                <w:sz w:val="20"/>
                <w:szCs w:val="20"/>
              </w:rPr>
            </w:pPr>
            <w:r w:rsidRPr="008B6A75">
              <w:rPr>
                <w:sz w:val="20"/>
                <w:szCs w:val="20"/>
              </w:rPr>
              <w:t>03</w:t>
            </w:r>
          </w:p>
        </w:tc>
        <w:tc>
          <w:tcPr>
            <w:tcW w:w="1516" w:type="dxa"/>
            <w:tcBorders>
              <w:top w:val="nil"/>
              <w:left w:val="single" w:sz="4" w:space="0" w:color="auto"/>
              <w:bottom w:val="single" w:sz="4" w:space="0" w:color="auto"/>
              <w:right w:val="nil"/>
            </w:tcBorders>
            <w:shd w:val="clear" w:color="auto" w:fill="auto"/>
            <w:noWrap/>
            <w:vAlign w:val="center"/>
            <w:hideMark/>
          </w:tcPr>
          <w:p w14:paraId="0F96F6E5" w14:textId="77777777" w:rsidR="00387142" w:rsidRPr="008B6A75" w:rsidRDefault="00387142" w:rsidP="00387142">
            <w:pPr>
              <w:jc w:val="center"/>
              <w:rPr>
                <w:sz w:val="20"/>
                <w:szCs w:val="20"/>
              </w:rPr>
            </w:pPr>
            <w:r w:rsidRPr="008B6A75">
              <w:rPr>
                <w:sz w:val="20"/>
                <w:szCs w:val="20"/>
              </w:rPr>
              <w:t>99.0.00.04110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D8A56FB" w14:textId="77777777" w:rsidR="00387142" w:rsidRPr="008B6A75" w:rsidRDefault="00387142" w:rsidP="00387142">
            <w:pPr>
              <w:jc w:val="center"/>
              <w:rPr>
                <w:sz w:val="20"/>
                <w:szCs w:val="20"/>
              </w:rPr>
            </w:pPr>
            <w:r w:rsidRPr="008B6A75">
              <w:rPr>
                <w:sz w:val="20"/>
                <w:szCs w:val="20"/>
              </w:rPr>
              <w:t>100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F379FF8" w14:textId="77777777" w:rsidR="00387142" w:rsidRPr="008B6A75" w:rsidRDefault="00387142" w:rsidP="00387142">
            <w:pPr>
              <w:jc w:val="right"/>
              <w:rPr>
                <w:sz w:val="20"/>
                <w:szCs w:val="20"/>
              </w:rPr>
            </w:pPr>
            <w:r w:rsidRPr="008B6A75">
              <w:rPr>
                <w:sz w:val="20"/>
                <w:szCs w:val="20"/>
              </w:rPr>
              <w:t>1 868 839,58</w:t>
            </w:r>
          </w:p>
        </w:tc>
        <w:tc>
          <w:tcPr>
            <w:tcW w:w="992" w:type="dxa"/>
            <w:tcBorders>
              <w:top w:val="nil"/>
              <w:left w:val="single" w:sz="4" w:space="0" w:color="auto"/>
              <w:bottom w:val="single" w:sz="4" w:space="0" w:color="auto"/>
              <w:right w:val="nil"/>
            </w:tcBorders>
            <w:shd w:val="clear" w:color="auto" w:fill="auto"/>
            <w:vAlign w:val="center"/>
            <w:hideMark/>
          </w:tcPr>
          <w:p w14:paraId="0400BD32" w14:textId="77777777" w:rsidR="00387142" w:rsidRPr="008B6A75" w:rsidRDefault="00387142" w:rsidP="00387142">
            <w:pPr>
              <w:jc w:val="right"/>
              <w:rPr>
                <w:sz w:val="20"/>
                <w:szCs w:val="20"/>
              </w:rPr>
            </w:pPr>
            <w:r w:rsidRPr="008B6A75">
              <w:rPr>
                <w:sz w:val="20"/>
                <w:szCs w:val="20"/>
              </w:rPr>
              <w:t>1 723 000,00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2B66E14F" w14:textId="77777777" w:rsidR="00387142" w:rsidRPr="008B6A75" w:rsidRDefault="00387142" w:rsidP="00387142">
            <w:pPr>
              <w:jc w:val="right"/>
              <w:rPr>
                <w:sz w:val="20"/>
                <w:szCs w:val="20"/>
              </w:rPr>
            </w:pPr>
            <w:r w:rsidRPr="008B6A75">
              <w:rPr>
                <w:sz w:val="20"/>
                <w:szCs w:val="20"/>
              </w:rPr>
              <w:t>1 723 000,00</w:t>
            </w:r>
          </w:p>
        </w:tc>
      </w:tr>
      <w:tr w:rsidR="00387142" w:rsidRPr="008B6A75" w14:paraId="002F360F" w14:textId="77777777" w:rsidTr="00387142">
        <w:trPr>
          <w:trHeight w:val="585"/>
        </w:trPr>
        <w:tc>
          <w:tcPr>
            <w:tcW w:w="3261" w:type="dxa"/>
            <w:tcBorders>
              <w:top w:val="nil"/>
              <w:left w:val="single" w:sz="4" w:space="0" w:color="auto"/>
              <w:bottom w:val="single" w:sz="4" w:space="0" w:color="auto"/>
              <w:right w:val="nil"/>
            </w:tcBorders>
            <w:shd w:val="clear" w:color="auto" w:fill="auto"/>
            <w:vAlign w:val="center"/>
            <w:hideMark/>
          </w:tcPr>
          <w:p w14:paraId="03D81BEA" w14:textId="77777777" w:rsidR="00387142" w:rsidRPr="008B6A75" w:rsidRDefault="00387142" w:rsidP="00387142">
            <w:pPr>
              <w:rPr>
                <w:sz w:val="20"/>
                <w:szCs w:val="20"/>
              </w:rPr>
            </w:pPr>
            <w:r w:rsidRPr="008B6A75">
              <w:rPr>
                <w:sz w:val="20"/>
                <w:szCs w:val="20"/>
              </w:rPr>
              <w:t>Расходы на выплаты персоналу государственных (муниципальных) органов</w:t>
            </w:r>
          </w:p>
        </w:tc>
        <w:tc>
          <w:tcPr>
            <w:tcW w:w="720" w:type="dxa"/>
            <w:tcBorders>
              <w:top w:val="nil"/>
              <w:left w:val="single" w:sz="4" w:space="0" w:color="auto"/>
              <w:bottom w:val="single" w:sz="4" w:space="0" w:color="auto"/>
              <w:right w:val="nil"/>
            </w:tcBorders>
            <w:shd w:val="clear" w:color="auto" w:fill="auto"/>
            <w:noWrap/>
            <w:vAlign w:val="center"/>
            <w:hideMark/>
          </w:tcPr>
          <w:p w14:paraId="14B382DA" w14:textId="77777777" w:rsidR="00387142" w:rsidRPr="008B6A75" w:rsidRDefault="00387142" w:rsidP="00387142">
            <w:pPr>
              <w:jc w:val="center"/>
              <w:rPr>
                <w:sz w:val="20"/>
                <w:szCs w:val="20"/>
              </w:rPr>
            </w:pPr>
            <w:r w:rsidRPr="008B6A75">
              <w:rPr>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5AFAA6E" w14:textId="77777777" w:rsidR="00387142" w:rsidRPr="008B6A75" w:rsidRDefault="00387142" w:rsidP="00387142">
            <w:pPr>
              <w:jc w:val="center"/>
              <w:rPr>
                <w:sz w:val="20"/>
                <w:szCs w:val="20"/>
              </w:rPr>
            </w:pPr>
            <w:r w:rsidRPr="008B6A75">
              <w:rPr>
                <w:sz w:val="20"/>
                <w:szCs w:val="20"/>
              </w:rPr>
              <w:t>03</w:t>
            </w:r>
          </w:p>
        </w:tc>
        <w:tc>
          <w:tcPr>
            <w:tcW w:w="1516" w:type="dxa"/>
            <w:tcBorders>
              <w:top w:val="nil"/>
              <w:left w:val="single" w:sz="4" w:space="0" w:color="auto"/>
              <w:bottom w:val="single" w:sz="4" w:space="0" w:color="auto"/>
              <w:right w:val="nil"/>
            </w:tcBorders>
            <w:shd w:val="clear" w:color="auto" w:fill="auto"/>
            <w:noWrap/>
            <w:vAlign w:val="center"/>
            <w:hideMark/>
          </w:tcPr>
          <w:p w14:paraId="7F2A1181" w14:textId="77777777" w:rsidR="00387142" w:rsidRPr="008B6A75" w:rsidRDefault="00387142" w:rsidP="00387142">
            <w:pPr>
              <w:jc w:val="center"/>
              <w:rPr>
                <w:sz w:val="20"/>
                <w:szCs w:val="20"/>
              </w:rPr>
            </w:pPr>
            <w:r w:rsidRPr="008B6A75">
              <w:rPr>
                <w:sz w:val="20"/>
                <w:szCs w:val="20"/>
              </w:rPr>
              <w:t>99.0.00.04110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BEE7003" w14:textId="77777777" w:rsidR="00387142" w:rsidRPr="008B6A75" w:rsidRDefault="00387142" w:rsidP="00387142">
            <w:pPr>
              <w:jc w:val="center"/>
              <w:rPr>
                <w:sz w:val="20"/>
                <w:szCs w:val="20"/>
              </w:rPr>
            </w:pPr>
            <w:r w:rsidRPr="008B6A75">
              <w:rPr>
                <w:sz w:val="20"/>
                <w:szCs w:val="20"/>
              </w:rPr>
              <w:t>120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54BD72A" w14:textId="77777777" w:rsidR="00387142" w:rsidRPr="008B6A75" w:rsidRDefault="00387142" w:rsidP="00387142">
            <w:pPr>
              <w:jc w:val="right"/>
              <w:rPr>
                <w:sz w:val="20"/>
                <w:szCs w:val="20"/>
              </w:rPr>
            </w:pPr>
            <w:r w:rsidRPr="008B6A75">
              <w:rPr>
                <w:sz w:val="20"/>
                <w:szCs w:val="20"/>
              </w:rPr>
              <w:t>1 868 839,58</w:t>
            </w:r>
          </w:p>
        </w:tc>
        <w:tc>
          <w:tcPr>
            <w:tcW w:w="992" w:type="dxa"/>
            <w:tcBorders>
              <w:top w:val="nil"/>
              <w:left w:val="single" w:sz="4" w:space="0" w:color="auto"/>
              <w:bottom w:val="single" w:sz="4" w:space="0" w:color="auto"/>
              <w:right w:val="nil"/>
            </w:tcBorders>
            <w:shd w:val="clear" w:color="auto" w:fill="auto"/>
            <w:vAlign w:val="center"/>
            <w:hideMark/>
          </w:tcPr>
          <w:p w14:paraId="598A4950" w14:textId="77777777" w:rsidR="00387142" w:rsidRPr="008B6A75" w:rsidRDefault="00387142" w:rsidP="00387142">
            <w:pPr>
              <w:jc w:val="right"/>
              <w:rPr>
                <w:sz w:val="20"/>
                <w:szCs w:val="20"/>
              </w:rPr>
            </w:pPr>
            <w:r w:rsidRPr="008B6A75">
              <w:rPr>
                <w:sz w:val="20"/>
                <w:szCs w:val="20"/>
              </w:rPr>
              <w:t>1 723 000,00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292B60D9" w14:textId="77777777" w:rsidR="00387142" w:rsidRPr="008B6A75" w:rsidRDefault="00387142" w:rsidP="00387142">
            <w:pPr>
              <w:jc w:val="right"/>
              <w:rPr>
                <w:sz w:val="20"/>
                <w:szCs w:val="20"/>
              </w:rPr>
            </w:pPr>
            <w:r w:rsidRPr="008B6A75">
              <w:rPr>
                <w:sz w:val="20"/>
                <w:szCs w:val="20"/>
              </w:rPr>
              <w:t>1 723 000,00</w:t>
            </w:r>
          </w:p>
        </w:tc>
      </w:tr>
      <w:tr w:rsidR="00387142" w:rsidRPr="008B6A75" w14:paraId="53A46BEB" w14:textId="77777777" w:rsidTr="00387142">
        <w:trPr>
          <w:trHeight w:val="1440"/>
        </w:trPr>
        <w:tc>
          <w:tcPr>
            <w:tcW w:w="3261" w:type="dxa"/>
            <w:tcBorders>
              <w:top w:val="nil"/>
              <w:left w:val="single" w:sz="4" w:space="0" w:color="auto"/>
              <w:bottom w:val="single" w:sz="4" w:space="0" w:color="auto"/>
              <w:right w:val="nil"/>
            </w:tcBorders>
            <w:shd w:val="clear" w:color="auto" w:fill="auto"/>
            <w:vAlign w:val="center"/>
            <w:hideMark/>
          </w:tcPr>
          <w:p w14:paraId="2E398D08" w14:textId="77777777" w:rsidR="00387142" w:rsidRPr="008B6A75" w:rsidRDefault="00387142" w:rsidP="00387142">
            <w:pPr>
              <w:rPr>
                <w:bCs/>
                <w:sz w:val="20"/>
                <w:szCs w:val="20"/>
              </w:rPr>
            </w:pPr>
            <w:r w:rsidRPr="008B6A75">
              <w:rPr>
                <w:bCs/>
                <w:sz w:val="20"/>
                <w:szCs w:val="20"/>
              </w:rPr>
              <w:t xml:space="preserve">Оплата труда председателя представительного органа местного самоуправления в </w:t>
            </w:r>
            <w:proofErr w:type="gramStart"/>
            <w:r w:rsidRPr="008B6A75">
              <w:rPr>
                <w:bCs/>
                <w:sz w:val="20"/>
                <w:szCs w:val="20"/>
              </w:rPr>
              <w:t>рамках  государственной</w:t>
            </w:r>
            <w:proofErr w:type="gramEnd"/>
            <w:r w:rsidRPr="008B6A75">
              <w:rPr>
                <w:bCs/>
                <w:sz w:val="20"/>
                <w:szCs w:val="20"/>
              </w:rPr>
              <w:t xml:space="preserve"> программы Новосибирской области "Управление  финансами в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14:paraId="70E42C7E" w14:textId="77777777" w:rsidR="00387142" w:rsidRPr="008B6A75" w:rsidRDefault="00387142" w:rsidP="00387142">
            <w:pPr>
              <w:jc w:val="center"/>
              <w:rPr>
                <w:bCs/>
                <w:sz w:val="20"/>
                <w:szCs w:val="20"/>
              </w:rPr>
            </w:pPr>
            <w:r w:rsidRPr="008B6A75">
              <w:rPr>
                <w:bCs/>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C8BDC06" w14:textId="77777777" w:rsidR="00387142" w:rsidRPr="008B6A75" w:rsidRDefault="00387142" w:rsidP="00387142">
            <w:pPr>
              <w:jc w:val="center"/>
              <w:rPr>
                <w:bCs/>
                <w:sz w:val="20"/>
                <w:szCs w:val="20"/>
              </w:rPr>
            </w:pPr>
            <w:r w:rsidRPr="008B6A75">
              <w:rPr>
                <w:bCs/>
                <w:sz w:val="20"/>
                <w:szCs w:val="20"/>
              </w:rPr>
              <w:t>03</w:t>
            </w:r>
          </w:p>
        </w:tc>
        <w:tc>
          <w:tcPr>
            <w:tcW w:w="1516" w:type="dxa"/>
            <w:tcBorders>
              <w:top w:val="nil"/>
              <w:left w:val="single" w:sz="4" w:space="0" w:color="auto"/>
              <w:bottom w:val="single" w:sz="4" w:space="0" w:color="auto"/>
              <w:right w:val="nil"/>
            </w:tcBorders>
            <w:shd w:val="clear" w:color="auto" w:fill="auto"/>
            <w:noWrap/>
            <w:vAlign w:val="center"/>
            <w:hideMark/>
          </w:tcPr>
          <w:p w14:paraId="1C84D4EF" w14:textId="77777777" w:rsidR="00387142" w:rsidRPr="008B6A75" w:rsidRDefault="00387142" w:rsidP="00387142">
            <w:pPr>
              <w:jc w:val="center"/>
              <w:rPr>
                <w:bCs/>
                <w:sz w:val="20"/>
                <w:szCs w:val="20"/>
              </w:rPr>
            </w:pPr>
            <w:r w:rsidRPr="008B6A75">
              <w:rPr>
                <w:bCs/>
                <w:sz w:val="20"/>
                <w:szCs w:val="20"/>
              </w:rPr>
              <w:t>99.0.00.70512</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EE986F4"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FEB05F9" w14:textId="77777777" w:rsidR="00387142" w:rsidRPr="008B6A75" w:rsidRDefault="00387142" w:rsidP="00387142">
            <w:pPr>
              <w:jc w:val="right"/>
              <w:rPr>
                <w:bCs/>
                <w:sz w:val="20"/>
                <w:szCs w:val="20"/>
              </w:rPr>
            </w:pPr>
            <w:r w:rsidRPr="008B6A75">
              <w:rPr>
                <w:bCs/>
                <w:sz w:val="20"/>
                <w:szCs w:val="20"/>
              </w:rPr>
              <w:t>34 377,83</w:t>
            </w:r>
          </w:p>
        </w:tc>
        <w:tc>
          <w:tcPr>
            <w:tcW w:w="992" w:type="dxa"/>
            <w:tcBorders>
              <w:top w:val="nil"/>
              <w:left w:val="single" w:sz="4" w:space="0" w:color="auto"/>
              <w:bottom w:val="single" w:sz="4" w:space="0" w:color="auto"/>
              <w:right w:val="nil"/>
            </w:tcBorders>
            <w:shd w:val="clear" w:color="auto" w:fill="auto"/>
            <w:vAlign w:val="center"/>
            <w:hideMark/>
          </w:tcPr>
          <w:p w14:paraId="0650F84E" w14:textId="77777777" w:rsidR="00387142" w:rsidRPr="008B6A75" w:rsidRDefault="00387142" w:rsidP="00387142">
            <w:pPr>
              <w:jc w:val="right"/>
              <w:rPr>
                <w:bCs/>
                <w:sz w:val="20"/>
                <w:szCs w:val="20"/>
              </w:rPr>
            </w:pPr>
            <w:r w:rsidRPr="008B6A75">
              <w:rPr>
                <w:bCs/>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6B526974" w14:textId="77777777" w:rsidR="00387142" w:rsidRPr="008B6A75" w:rsidRDefault="00387142" w:rsidP="00387142">
            <w:pPr>
              <w:jc w:val="right"/>
              <w:rPr>
                <w:bCs/>
                <w:sz w:val="20"/>
                <w:szCs w:val="20"/>
              </w:rPr>
            </w:pPr>
            <w:r w:rsidRPr="008B6A75">
              <w:rPr>
                <w:bCs/>
                <w:sz w:val="20"/>
                <w:szCs w:val="20"/>
              </w:rPr>
              <w:t>0,00</w:t>
            </w:r>
          </w:p>
        </w:tc>
      </w:tr>
      <w:tr w:rsidR="00387142" w:rsidRPr="008B6A75" w14:paraId="6649F489" w14:textId="77777777" w:rsidTr="00387142">
        <w:trPr>
          <w:trHeight w:val="1440"/>
        </w:trPr>
        <w:tc>
          <w:tcPr>
            <w:tcW w:w="3261" w:type="dxa"/>
            <w:tcBorders>
              <w:top w:val="nil"/>
              <w:left w:val="single" w:sz="4" w:space="0" w:color="auto"/>
              <w:bottom w:val="single" w:sz="4" w:space="0" w:color="auto"/>
              <w:right w:val="nil"/>
            </w:tcBorders>
            <w:shd w:val="clear" w:color="auto" w:fill="auto"/>
            <w:vAlign w:val="center"/>
            <w:hideMark/>
          </w:tcPr>
          <w:p w14:paraId="65CCFC0C" w14:textId="77777777" w:rsidR="00387142" w:rsidRPr="008B6A75" w:rsidRDefault="00387142" w:rsidP="00387142">
            <w:pPr>
              <w:rPr>
                <w:sz w:val="20"/>
                <w:szCs w:val="20"/>
              </w:rPr>
            </w:pPr>
            <w:r w:rsidRPr="008B6A7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14:paraId="03EE44DC" w14:textId="77777777" w:rsidR="00387142" w:rsidRPr="008B6A75" w:rsidRDefault="00387142" w:rsidP="00387142">
            <w:pPr>
              <w:jc w:val="center"/>
              <w:rPr>
                <w:sz w:val="20"/>
                <w:szCs w:val="20"/>
              </w:rPr>
            </w:pPr>
            <w:r w:rsidRPr="008B6A75">
              <w:rPr>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6D45FFF" w14:textId="77777777" w:rsidR="00387142" w:rsidRPr="008B6A75" w:rsidRDefault="00387142" w:rsidP="00387142">
            <w:pPr>
              <w:jc w:val="center"/>
              <w:rPr>
                <w:sz w:val="20"/>
                <w:szCs w:val="20"/>
              </w:rPr>
            </w:pPr>
            <w:r w:rsidRPr="008B6A75">
              <w:rPr>
                <w:sz w:val="20"/>
                <w:szCs w:val="20"/>
              </w:rPr>
              <w:t>03</w:t>
            </w:r>
          </w:p>
        </w:tc>
        <w:tc>
          <w:tcPr>
            <w:tcW w:w="1516" w:type="dxa"/>
            <w:tcBorders>
              <w:top w:val="nil"/>
              <w:left w:val="single" w:sz="4" w:space="0" w:color="auto"/>
              <w:bottom w:val="single" w:sz="4" w:space="0" w:color="auto"/>
              <w:right w:val="nil"/>
            </w:tcBorders>
            <w:shd w:val="clear" w:color="auto" w:fill="auto"/>
            <w:noWrap/>
            <w:vAlign w:val="center"/>
            <w:hideMark/>
          </w:tcPr>
          <w:p w14:paraId="7C739CB0" w14:textId="77777777" w:rsidR="00387142" w:rsidRPr="008B6A75" w:rsidRDefault="00387142" w:rsidP="00387142">
            <w:pPr>
              <w:jc w:val="center"/>
              <w:rPr>
                <w:sz w:val="20"/>
                <w:szCs w:val="20"/>
              </w:rPr>
            </w:pPr>
            <w:r w:rsidRPr="008B6A75">
              <w:rPr>
                <w:sz w:val="20"/>
                <w:szCs w:val="20"/>
              </w:rPr>
              <w:t>99.0.00.70512</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A4F1115" w14:textId="77777777" w:rsidR="00387142" w:rsidRPr="008B6A75" w:rsidRDefault="00387142" w:rsidP="00387142">
            <w:pPr>
              <w:jc w:val="center"/>
              <w:rPr>
                <w:sz w:val="20"/>
                <w:szCs w:val="20"/>
              </w:rPr>
            </w:pPr>
            <w:r w:rsidRPr="008B6A75">
              <w:rPr>
                <w:sz w:val="20"/>
                <w:szCs w:val="20"/>
              </w:rPr>
              <w:t>100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64F4A4A" w14:textId="77777777" w:rsidR="00387142" w:rsidRPr="008B6A75" w:rsidRDefault="00387142" w:rsidP="00387142">
            <w:pPr>
              <w:jc w:val="right"/>
              <w:rPr>
                <w:sz w:val="20"/>
                <w:szCs w:val="20"/>
              </w:rPr>
            </w:pPr>
            <w:r w:rsidRPr="008B6A75">
              <w:rPr>
                <w:sz w:val="20"/>
                <w:szCs w:val="20"/>
              </w:rPr>
              <w:t>34 377,83</w:t>
            </w:r>
          </w:p>
        </w:tc>
        <w:tc>
          <w:tcPr>
            <w:tcW w:w="992" w:type="dxa"/>
            <w:tcBorders>
              <w:top w:val="nil"/>
              <w:left w:val="single" w:sz="4" w:space="0" w:color="auto"/>
              <w:bottom w:val="single" w:sz="4" w:space="0" w:color="auto"/>
              <w:right w:val="nil"/>
            </w:tcBorders>
            <w:shd w:val="clear" w:color="auto" w:fill="auto"/>
            <w:vAlign w:val="center"/>
            <w:hideMark/>
          </w:tcPr>
          <w:p w14:paraId="6AE1D5DE" w14:textId="77777777" w:rsidR="00387142" w:rsidRPr="008B6A75" w:rsidRDefault="00387142" w:rsidP="00387142">
            <w:pPr>
              <w:jc w:val="right"/>
              <w:rPr>
                <w:sz w:val="20"/>
                <w:szCs w:val="20"/>
              </w:rPr>
            </w:pPr>
            <w:r w:rsidRPr="008B6A75">
              <w:rPr>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74D68F72" w14:textId="77777777" w:rsidR="00387142" w:rsidRPr="008B6A75" w:rsidRDefault="00387142" w:rsidP="00387142">
            <w:pPr>
              <w:jc w:val="right"/>
              <w:rPr>
                <w:sz w:val="20"/>
                <w:szCs w:val="20"/>
              </w:rPr>
            </w:pPr>
            <w:r w:rsidRPr="008B6A75">
              <w:rPr>
                <w:sz w:val="20"/>
                <w:szCs w:val="20"/>
              </w:rPr>
              <w:t>0,00</w:t>
            </w:r>
          </w:p>
        </w:tc>
      </w:tr>
      <w:tr w:rsidR="00387142" w:rsidRPr="008B6A75" w14:paraId="26EF3037" w14:textId="77777777" w:rsidTr="00387142">
        <w:trPr>
          <w:trHeight w:val="585"/>
        </w:trPr>
        <w:tc>
          <w:tcPr>
            <w:tcW w:w="3261" w:type="dxa"/>
            <w:tcBorders>
              <w:top w:val="nil"/>
              <w:left w:val="single" w:sz="4" w:space="0" w:color="auto"/>
              <w:bottom w:val="single" w:sz="4" w:space="0" w:color="auto"/>
              <w:right w:val="nil"/>
            </w:tcBorders>
            <w:shd w:val="clear" w:color="auto" w:fill="auto"/>
            <w:vAlign w:val="center"/>
            <w:hideMark/>
          </w:tcPr>
          <w:p w14:paraId="3E3709CE" w14:textId="77777777" w:rsidR="00387142" w:rsidRPr="008B6A75" w:rsidRDefault="00387142" w:rsidP="00387142">
            <w:pPr>
              <w:rPr>
                <w:sz w:val="20"/>
                <w:szCs w:val="20"/>
              </w:rPr>
            </w:pPr>
            <w:r w:rsidRPr="008B6A75">
              <w:rPr>
                <w:sz w:val="20"/>
                <w:szCs w:val="20"/>
              </w:rPr>
              <w:t>Расходы на выплаты персоналу государственных (муниципальных) органов</w:t>
            </w:r>
          </w:p>
        </w:tc>
        <w:tc>
          <w:tcPr>
            <w:tcW w:w="720" w:type="dxa"/>
            <w:tcBorders>
              <w:top w:val="nil"/>
              <w:left w:val="single" w:sz="4" w:space="0" w:color="auto"/>
              <w:bottom w:val="single" w:sz="4" w:space="0" w:color="auto"/>
              <w:right w:val="nil"/>
            </w:tcBorders>
            <w:shd w:val="clear" w:color="auto" w:fill="auto"/>
            <w:noWrap/>
            <w:vAlign w:val="center"/>
            <w:hideMark/>
          </w:tcPr>
          <w:p w14:paraId="607FFC1A" w14:textId="77777777" w:rsidR="00387142" w:rsidRPr="008B6A75" w:rsidRDefault="00387142" w:rsidP="00387142">
            <w:pPr>
              <w:jc w:val="center"/>
              <w:rPr>
                <w:sz w:val="20"/>
                <w:szCs w:val="20"/>
              </w:rPr>
            </w:pPr>
            <w:r w:rsidRPr="008B6A75">
              <w:rPr>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8F74A3D" w14:textId="77777777" w:rsidR="00387142" w:rsidRPr="008B6A75" w:rsidRDefault="00387142" w:rsidP="00387142">
            <w:pPr>
              <w:jc w:val="center"/>
              <w:rPr>
                <w:sz w:val="20"/>
                <w:szCs w:val="20"/>
              </w:rPr>
            </w:pPr>
            <w:r w:rsidRPr="008B6A75">
              <w:rPr>
                <w:sz w:val="20"/>
                <w:szCs w:val="20"/>
              </w:rPr>
              <w:t>03</w:t>
            </w:r>
          </w:p>
        </w:tc>
        <w:tc>
          <w:tcPr>
            <w:tcW w:w="1516" w:type="dxa"/>
            <w:tcBorders>
              <w:top w:val="nil"/>
              <w:left w:val="single" w:sz="4" w:space="0" w:color="auto"/>
              <w:bottom w:val="single" w:sz="4" w:space="0" w:color="auto"/>
              <w:right w:val="nil"/>
            </w:tcBorders>
            <w:shd w:val="clear" w:color="auto" w:fill="auto"/>
            <w:noWrap/>
            <w:vAlign w:val="center"/>
            <w:hideMark/>
          </w:tcPr>
          <w:p w14:paraId="31E7C301" w14:textId="77777777" w:rsidR="00387142" w:rsidRPr="008B6A75" w:rsidRDefault="00387142" w:rsidP="00387142">
            <w:pPr>
              <w:jc w:val="center"/>
              <w:rPr>
                <w:sz w:val="20"/>
                <w:szCs w:val="20"/>
              </w:rPr>
            </w:pPr>
            <w:r w:rsidRPr="008B6A75">
              <w:rPr>
                <w:sz w:val="20"/>
                <w:szCs w:val="20"/>
              </w:rPr>
              <w:t>99.0.00.70512</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330C3B9" w14:textId="77777777" w:rsidR="00387142" w:rsidRPr="008B6A75" w:rsidRDefault="00387142" w:rsidP="00387142">
            <w:pPr>
              <w:jc w:val="center"/>
              <w:rPr>
                <w:sz w:val="20"/>
                <w:szCs w:val="20"/>
              </w:rPr>
            </w:pPr>
            <w:r w:rsidRPr="008B6A75">
              <w:rPr>
                <w:sz w:val="20"/>
                <w:szCs w:val="20"/>
              </w:rPr>
              <w:t>120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0D15930" w14:textId="77777777" w:rsidR="00387142" w:rsidRPr="008B6A75" w:rsidRDefault="00387142" w:rsidP="00387142">
            <w:pPr>
              <w:jc w:val="right"/>
              <w:rPr>
                <w:sz w:val="20"/>
                <w:szCs w:val="20"/>
              </w:rPr>
            </w:pPr>
            <w:r w:rsidRPr="008B6A75">
              <w:rPr>
                <w:sz w:val="20"/>
                <w:szCs w:val="20"/>
              </w:rPr>
              <w:t>34 377,83</w:t>
            </w:r>
          </w:p>
        </w:tc>
        <w:tc>
          <w:tcPr>
            <w:tcW w:w="992" w:type="dxa"/>
            <w:tcBorders>
              <w:top w:val="nil"/>
              <w:left w:val="single" w:sz="4" w:space="0" w:color="auto"/>
              <w:bottom w:val="single" w:sz="4" w:space="0" w:color="auto"/>
              <w:right w:val="nil"/>
            </w:tcBorders>
            <w:shd w:val="clear" w:color="auto" w:fill="auto"/>
            <w:vAlign w:val="center"/>
            <w:hideMark/>
          </w:tcPr>
          <w:p w14:paraId="1A575D22" w14:textId="77777777" w:rsidR="00387142" w:rsidRPr="008B6A75" w:rsidRDefault="00387142" w:rsidP="00387142">
            <w:pPr>
              <w:jc w:val="right"/>
              <w:rPr>
                <w:sz w:val="20"/>
                <w:szCs w:val="20"/>
              </w:rPr>
            </w:pPr>
            <w:r w:rsidRPr="008B6A75">
              <w:rPr>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249C9AE6" w14:textId="77777777" w:rsidR="00387142" w:rsidRPr="008B6A75" w:rsidRDefault="00387142" w:rsidP="00387142">
            <w:pPr>
              <w:jc w:val="right"/>
              <w:rPr>
                <w:sz w:val="20"/>
                <w:szCs w:val="20"/>
              </w:rPr>
            </w:pPr>
            <w:r w:rsidRPr="008B6A75">
              <w:rPr>
                <w:sz w:val="20"/>
                <w:szCs w:val="20"/>
              </w:rPr>
              <w:t>0,00</w:t>
            </w:r>
          </w:p>
        </w:tc>
      </w:tr>
      <w:tr w:rsidR="00387142" w:rsidRPr="008B6A75" w14:paraId="0D81627B" w14:textId="77777777" w:rsidTr="00387142">
        <w:trPr>
          <w:trHeight w:val="1440"/>
        </w:trPr>
        <w:tc>
          <w:tcPr>
            <w:tcW w:w="3261" w:type="dxa"/>
            <w:tcBorders>
              <w:top w:val="nil"/>
              <w:left w:val="single" w:sz="4" w:space="0" w:color="auto"/>
              <w:bottom w:val="single" w:sz="4" w:space="0" w:color="auto"/>
              <w:right w:val="nil"/>
            </w:tcBorders>
            <w:shd w:val="clear" w:color="auto" w:fill="auto"/>
            <w:vAlign w:val="center"/>
            <w:hideMark/>
          </w:tcPr>
          <w:p w14:paraId="41196C79" w14:textId="77777777" w:rsidR="00387142" w:rsidRPr="008B6A75" w:rsidRDefault="00387142" w:rsidP="00387142">
            <w:pPr>
              <w:rPr>
                <w:bCs/>
                <w:sz w:val="20"/>
                <w:szCs w:val="20"/>
              </w:rPr>
            </w:pPr>
            <w:r w:rsidRPr="008B6A75">
              <w:rPr>
                <w:bCs/>
                <w:sz w:val="20"/>
                <w:szCs w:val="20"/>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20" w:type="dxa"/>
            <w:tcBorders>
              <w:top w:val="nil"/>
              <w:left w:val="single" w:sz="4" w:space="0" w:color="auto"/>
              <w:bottom w:val="single" w:sz="4" w:space="0" w:color="auto"/>
              <w:right w:val="nil"/>
            </w:tcBorders>
            <w:shd w:val="clear" w:color="auto" w:fill="auto"/>
            <w:noWrap/>
            <w:vAlign w:val="center"/>
            <w:hideMark/>
          </w:tcPr>
          <w:p w14:paraId="0763242B" w14:textId="77777777" w:rsidR="00387142" w:rsidRPr="008B6A75" w:rsidRDefault="00387142" w:rsidP="00387142">
            <w:pPr>
              <w:jc w:val="center"/>
              <w:rPr>
                <w:bCs/>
                <w:sz w:val="20"/>
                <w:szCs w:val="20"/>
              </w:rPr>
            </w:pPr>
            <w:r w:rsidRPr="008B6A75">
              <w:rPr>
                <w:bCs/>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16F40AB" w14:textId="77777777" w:rsidR="00387142" w:rsidRPr="008B6A75" w:rsidRDefault="00387142" w:rsidP="00387142">
            <w:pPr>
              <w:jc w:val="center"/>
              <w:rPr>
                <w:bCs/>
                <w:sz w:val="20"/>
                <w:szCs w:val="20"/>
              </w:rPr>
            </w:pPr>
            <w:r w:rsidRPr="008B6A75">
              <w:rPr>
                <w:bCs/>
                <w:sz w:val="20"/>
                <w:szCs w:val="20"/>
              </w:rPr>
              <w:t>04</w:t>
            </w:r>
          </w:p>
        </w:tc>
        <w:tc>
          <w:tcPr>
            <w:tcW w:w="1516" w:type="dxa"/>
            <w:tcBorders>
              <w:top w:val="nil"/>
              <w:left w:val="single" w:sz="4" w:space="0" w:color="auto"/>
              <w:bottom w:val="single" w:sz="4" w:space="0" w:color="auto"/>
              <w:right w:val="nil"/>
            </w:tcBorders>
            <w:shd w:val="clear" w:color="auto" w:fill="auto"/>
            <w:noWrap/>
            <w:vAlign w:val="center"/>
            <w:hideMark/>
          </w:tcPr>
          <w:p w14:paraId="241098B2" w14:textId="77777777" w:rsidR="00387142" w:rsidRPr="008B6A75" w:rsidRDefault="00387142" w:rsidP="00387142">
            <w:pPr>
              <w:jc w:val="center"/>
              <w:rPr>
                <w:bCs/>
                <w:sz w:val="20"/>
                <w:szCs w:val="20"/>
              </w:rPr>
            </w:pPr>
            <w:r w:rsidRPr="008B6A75">
              <w:rPr>
                <w:bCs/>
                <w:sz w:val="20"/>
                <w:szCs w:val="20"/>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BBE9D76"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AAB9112" w14:textId="77777777" w:rsidR="00387142" w:rsidRPr="008B6A75" w:rsidRDefault="00387142" w:rsidP="00387142">
            <w:pPr>
              <w:jc w:val="right"/>
              <w:rPr>
                <w:bCs/>
                <w:sz w:val="20"/>
                <w:szCs w:val="20"/>
              </w:rPr>
            </w:pPr>
            <w:r w:rsidRPr="008B6A75">
              <w:rPr>
                <w:bCs/>
                <w:sz w:val="20"/>
                <w:szCs w:val="20"/>
              </w:rPr>
              <w:t>90 062 858,22</w:t>
            </w:r>
          </w:p>
        </w:tc>
        <w:tc>
          <w:tcPr>
            <w:tcW w:w="992" w:type="dxa"/>
            <w:tcBorders>
              <w:top w:val="nil"/>
              <w:left w:val="single" w:sz="4" w:space="0" w:color="auto"/>
              <w:bottom w:val="single" w:sz="4" w:space="0" w:color="auto"/>
              <w:right w:val="nil"/>
            </w:tcBorders>
            <w:shd w:val="clear" w:color="auto" w:fill="auto"/>
            <w:vAlign w:val="center"/>
            <w:hideMark/>
          </w:tcPr>
          <w:p w14:paraId="32E92F87" w14:textId="77777777" w:rsidR="00387142" w:rsidRPr="008B6A75" w:rsidRDefault="00387142" w:rsidP="00387142">
            <w:pPr>
              <w:jc w:val="right"/>
              <w:rPr>
                <w:bCs/>
                <w:sz w:val="20"/>
                <w:szCs w:val="20"/>
              </w:rPr>
            </w:pPr>
            <w:r w:rsidRPr="008B6A75">
              <w:rPr>
                <w:bCs/>
                <w:sz w:val="20"/>
                <w:szCs w:val="20"/>
              </w:rPr>
              <w:t>51 150 844,18</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36D110E1" w14:textId="77777777" w:rsidR="00387142" w:rsidRPr="008B6A75" w:rsidRDefault="00387142" w:rsidP="00387142">
            <w:pPr>
              <w:jc w:val="right"/>
              <w:rPr>
                <w:bCs/>
                <w:sz w:val="20"/>
                <w:szCs w:val="20"/>
              </w:rPr>
            </w:pPr>
            <w:r w:rsidRPr="008B6A75">
              <w:rPr>
                <w:bCs/>
                <w:sz w:val="20"/>
                <w:szCs w:val="20"/>
              </w:rPr>
              <w:t>35 795 321,97</w:t>
            </w:r>
          </w:p>
        </w:tc>
      </w:tr>
      <w:tr w:rsidR="00387142" w:rsidRPr="008B6A75" w14:paraId="1AE46FA6" w14:textId="77777777" w:rsidTr="00387142">
        <w:trPr>
          <w:trHeight w:val="345"/>
        </w:trPr>
        <w:tc>
          <w:tcPr>
            <w:tcW w:w="3261" w:type="dxa"/>
            <w:tcBorders>
              <w:top w:val="nil"/>
              <w:left w:val="single" w:sz="4" w:space="0" w:color="auto"/>
              <w:bottom w:val="single" w:sz="4" w:space="0" w:color="auto"/>
              <w:right w:val="nil"/>
            </w:tcBorders>
            <w:shd w:val="clear" w:color="auto" w:fill="auto"/>
            <w:vAlign w:val="center"/>
            <w:hideMark/>
          </w:tcPr>
          <w:p w14:paraId="37ABBAE3" w14:textId="77777777" w:rsidR="00387142" w:rsidRPr="008B6A75" w:rsidRDefault="00387142" w:rsidP="00387142">
            <w:pPr>
              <w:rPr>
                <w:bCs/>
                <w:sz w:val="20"/>
                <w:szCs w:val="20"/>
              </w:rPr>
            </w:pPr>
            <w:r w:rsidRPr="008B6A75">
              <w:rPr>
                <w:bCs/>
                <w:sz w:val="20"/>
                <w:szCs w:val="20"/>
              </w:rPr>
              <w:t>Непрограммные направления бюджета</w:t>
            </w:r>
          </w:p>
        </w:tc>
        <w:tc>
          <w:tcPr>
            <w:tcW w:w="720" w:type="dxa"/>
            <w:tcBorders>
              <w:top w:val="nil"/>
              <w:left w:val="single" w:sz="4" w:space="0" w:color="auto"/>
              <w:bottom w:val="single" w:sz="4" w:space="0" w:color="auto"/>
              <w:right w:val="nil"/>
            </w:tcBorders>
            <w:shd w:val="clear" w:color="auto" w:fill="auto"/>
            <w:noWrap/>
            <w:vAlign w:val="center"/>
            <w:hideMark/>
          </w:tcPr>
          <w:p w14:paraId="522D64C4" w14:textId="77777777" w:rsidR="00387142" w:rsidRPr="008B6A75" w:rsidRDefault="00387142" w:rsidP="00387142">
            <w:pPr>
              <w:jc w:val="center"/>
              <w:rPr>
                <w:bCs/>
                <w:sz w:val="20"/>
                <w:szCs w:val="20"/>
              </w:rPr>
            </w:pPr>
            <w:r w:rsidRPr="008B6A75">
              <w:rPr>
                <w:bCs/>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27F85ED" w14:textId="77777777" w:rsidR="00387142" w:rsidRPr="008B6A75" w:rsidRDefault="00387142" w:rsidP="00387142">
            <w:pPr>
              <w:jc w:val="center"/>
              <w:rPr>
                <w:bCs/>
                <w:sz w:val="20"/>
                <w:szCs w:val="20"/>
              </w:rPr>
            </w:pPr>
            <w:r w:rsidRPr="008B6A75">
              <w:rPr>
                <w:bCs/>
                <w:sz w:val="20"/>
                <w:szCs w:val="20"/>
              </w:rPr>
              <w:t>04</w:t>
            </w:r>
          </w:p>
        </w:tc>
        <w:tc>
          <w:tcPr>
            <w:tcW w:w="1516" w:type="dxa"/>
            <w:tcBorders>
              <w:top w:val="nil"/>
              <w:left w:val="single" w:sz="4" w:space="0" w:color="auto"/>
              <w:bottom w:val="single" w:sz="4" w:space="0" w:color="auto"/>
              <w:right w:val="nil"/>
            </w:tcBorders>
            <w:shd w:val="clear" w:color="auto" w:fill="auto"/>
            <w:noWrap/>
            <w:vAlign w:val="center"/>
            <w:hideMark/>
          </w:tcPr>
          <w:p w14:paraId="61419CF4" w14:textId="77777777" w:rsidR="00387142" w:rsidRPr="008B6A75" w:rsidRDefault="00387142" w:rsidP="00387142">
            <w:pPr>
              <w:jc w:val="center"/>
              <w:rPr>
                <w:bCs/>
                <w:sz w:val="20"/>
                <w:szCs w:val="20"/>
              </w:rPr>
            </w:pPr>
            <w:r w:rsidRPr="008B6A75">
              <w:rPr>
                <w:bCs/>
                <w:sz w:val="20"/>
                <w:szCs w:val="20"/>
              </w:rPr>
              <w:t>99.0.00.00000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D2F1DE6"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39AD18E" w14:textId="77777777" w:rsidR="00387142" w:rsidRPr="008B6A75" w:rsidRDefault="00387142" w:rsidP="00387142">
            <w:pPr>
              <w:jc w:val="right"/>
              <w:rPr>
                <w:bCs/>
                <w:sz w:val="20"/>
                <w:szCs w:val="20"/>
              </w:rPr>
            </w:pPr>
            <w:r w:rsidRPr="008B6A75">
              <w:rPr>
                <w:bCs/>
                <w:sz w:val="20"/>
                <w:szCs w:val="20"/>
              </w:rPr>
              <w:t>90 062 858,22</w:t>
            </w:r>
          </w:p>
        </w:tc>
        <w:tc>
          <w:tcPr>
            <w:tcW w:w="992" w:type="dxa"/>
            <w:tcBorders>
              <w:top w:val="nil"/>
              <w:left w:val="single" w:sz="4" w:space="0" w:color="auto"/>
              <w:bottom w:val="single" w:sz="4" w:space="0" w:color="auto"/>
              <w:right w:val="nil"/>
            </w:tcBorders>
            <w:shd w:val="clear" w:color="auto" w:fill="auto"/>
            <w:vAlign w:val="center"/>
            <w:hideMark/>
          </w:tcPr>
          <w:p w14:paraId="6565F59F" w14:textId="77777777" w:rsidR="00387142" w:rsidRPr="008B6A75" w:rsidRDefault="00387142" w:rsidP="00387142">
            <w:pPr>
              <w:jc w:val="right"/>
              <w:rPr>
                <w:bCs/>
                <w:sz w:val="20"/>
                <w:szCs w:val="20"/>
              </w:rPr>
            </w:pPr>
            <w:r w:rsidRPr="008B6A75">
              <w:rPr>
                <w:bCs/>
                <w:sz w:val="20"/>
                <w:szCs w:val="20"/>
              </w:rPr>
              <w:t>51 150 844,18</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138CC814" w14:textId="77777777" w:rsidR="00387142" w:rsidRPr="008B6A75" w:rsidRDefault="00387142" w:rsidP="00387142">
            <w:pPr>
              <w:jc w:val="right"/>
              <w:rPr>
                <w:bCs/>
                <w:sz w:val="20"/>
                <w:szCs w:val="20"/>
              </w:rPr>
            </w:pPr>
            <w:r w:rsidRPr="008B6A75">
              <w:rPr>
                <w:bCs/>
                <w:sz w:val="20"/>
                <w:szCs w:val="20"/>
              </w:rPr>
              <w:t>35 795 321,97</w:t>
            </w:r>
          </w:p>
        </w:tc>
      </w:tr>
      <w:tr w:rsidR="00387142" w:rsidRPr="008B6A75" w14:paraId="3CB54C17" w14:textId="77777777" w:rsidTr="00387142">
        <w:trPr>
          <w:trHeight w:val="585"/>
        </w:trPr>
        <w:tc>
          <w:tcPr>
            <w:tcW w:w="3261" w:type="dxa"/>
            <w:tcBorders>
              <w:top w:val="nil"/>
              <w:left w:val="single" w:sz="4" w:space="0" w:color="auto"/>
              <w:bottom w:val="single" w:sz="4" w:space="0" w:color="auto"/>
              <w:right w:val="nil"/>
            </w:tcBorders>
            <w:shd w:val="clear" w:color="auto" w:fill="auto"/>
            <w:vAlign w:val="center"/>
            <w:hideMark/>
          </w:tcPr>
          <w:p w14:paraId="489BF89D" w14:textId="77777777" w:rsidR="00387142" w:rsidRPr="008B6A75" w:rsidRDefault="00387142" w:rsidP="00387142">
            <w:pPr>
              <w:rPr>
                <w:bCs/>
                <w:sz w:val="20"/>
                <w:szCs w:val="20"/>
              </w:rPr>
            </w:pPr>
            <w:r w:rsidRPr="008B6A75">
              <w:rPr>
                <w:bCs/>
                <w:sz w:val="20"/>
                <w:szCs w:val="20"/>
              </w:rPr>
              <w:t>Расходы на обеспечение функций муниципальных органов</w:t>
            </w:r>
          </w:p>
        </w:tc>
        <w:tc>
          <w:tcPr>
            <w:tcW w:w="720" w:type="dxa"/>
            <w:tcBorders>
              <w:top w:val="nil"/>
              <w:left w:val="single" w:sz="4" w:space="0" w:color="auto"/>
              <w:bottom w:val="single" w:sz="4" w:space="0" w:color="auto"/>
              <w:right w:val="nil"/>
            </w:tcBorders>
            <w:shd w:val="clear" w:color="auto" w:fill="auto"/>
            <w:noWrap/>
            <w:vAlign w:val="center"/>
            <w:hideMark/>
          </w:tcPr>
          <w:p w14:paraId="229D798D" w14:textId="77777777" w:rsidR="00387142" w:rsidRPr="008B6A75" w:rsidRDefault="00387142" w:rsidP="00387142">
            <w:pPr>
              <w:jc w:val="center"/>
              <w:rPr>
                <w:bCs/>
                <w:sz w:val="20"/>
                <w:szCs w:val="20"/>
              </w:rPr>
            </w:pPr>
            <w:r w:rsidRPr="008B6A75">
              <w:rPr>
                <w:bCs/>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E4CD9E3" w14:textId="77777777" w:rsidR="00387142" w:rsidRPr="008B6A75" w:rsidRDefault="00387142" w:rsidP="00387142">
            <w:pPr>
              <w:jc w:val="center"/>
              <w:rPr>
                <w:bCs/>
                <w:sz w:val="20"/>
                <w:szCs w:val="20"/>
              </w:rPr>
            </w:pPr>
            <w:r w:rsidRPr="008B6A75">
              <w:rPr>
                <w:bCs/>
                <w:sz w:val="20"/>
                <w:szCs w:val="20"/>
              </w:rPr>
              <w:t>04</w:t>
            </w:r>
          </w:p>
        </w:tc>
        <w:tc>
          <w:tcPr>
            <w:tcW w:w="1516" w:type="dxa"/>
            <w:tcBorders>
              <w:top w:val="nil"/>
              <w:left w:val="single" w:sz="4" w:space="0" w:color="auto"/>
              <w:bottom w:val="single" w:sz="4" w:space="0" w:color="auto"/>
              <w:right w:val="nil"/>
            </w:tcBorders>
            <w:shd w:val="clear" w:color="auto" w:fill="auto"/>
            <w:noWrap/>
            <w:vAlign w:val="center"/>
            <w:hideMark/>
          </w:tcPr>
          <w:p w14:paraId="354F8DC4" w14:textId="77777777" w:rsidR="00387142" w:rsidRPr="008B6A75" w:rsidRDefault="00387142" w:rsidP="00387142">
            <w:pPr>
              <w:jc w:val="center"/>
              <w:rPr>
                <w:bCs/>
                <w:sz w:val="20"/>
                <w:szCs w:val="20"/>
              </w:rPr>
            </w:pPr>
            <w:r w:rsidRPr="008B6A75">
              <w:rPr>
                <w:bCs/>
                <w:sz w:val="20"/>
                <w:szCs w:val="20"/>
              </w:rPr>
              <w:t>99.0.00.01400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7FE69CD"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62DAFE6" w14:textId="77777777" w:rsidR="00387142" w:rsidRPr="008B6A75" w:rsidRDefault="00387142" w:rsidP="00387142">
            <w:pPr>
              <w:jc w:val="right"/>
              <w:rPr>
                <w:bCs/>
                <w:sz w:val="20"/>
                <w:szCs w:val="20"/>
              </w:rPr>
            </w:pPr>
            <w:r w:rsidRPr="008B6A75">
              <w:rPr>
                <w:bCs/>
                <w:sz w:val="20"/>
                <w:szCs w:val="20"/>
              </w:rPr>
              <w:t>69 488 265,09</w:t>
            </w:r>
          </w:p>
        </w:tc>
        <w:tc>
          <w:tcPr>
            <w:tcW w:w="992" w:type="dxa"/>
            <w:tcBorders>
              <w:top w:val="nil"/>
              <w:left w:val="single" w:sz="4" w:space="0" w:color="auto"/>
              <w:bottom w:val="single" w:sz="4" w:space="0" w:color="auto"/>
              <w:right w:val="nil"/>
            </w:tcBorders>
            <w:shd w:val="clear" w:color="auto" w:fill="auto"/>
            <w:vAlign w:val="center"/>
            <w:hideMark/>
          </w:tcPr>
          <w:p w14:paraId="21C1B68A" w14:textId="77777777" w:rsidR="00387142" w:rsidRPr="008B6A75" w:rsidRDefault="00387142" w:rsidP="00387142">
            <w:pPr>
              <w:jc w:val="right"/>
              <w:rPr>
                <w:bCs/>
                <w:sz w:val="20"/>
                <w:szCs w:val="20"/>
              </w:rPr>
            </w:pPr>
            <w:r w:rsidRPr="008B6A75">
              <w:rPr>
                <w:bCs/>
                <w:sz w:val="20"/>
                <w:szCs w:val="20"/>
              </w:rPr>
              <w:t>41 470 979,18</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1F849783" w14:textId="77777777" w:rsidR="00387142" w:rsidRPr="008B6A75" w:rsidRDefault="00387142" w:rsidP="00387142">
            <w:pPr>
              <w:jc w:val="right"/>
              <w:rPr>
                <w:bCs/>
                <w:sz w:val="20"/>
                <w:szCs w:val="20"/>
              </w:rPr>
            </w:pPr>
            <w:r w:rsidRPr="008B6A75">
              <w:rPr>
                <w:bCs/>
                <w:sz w:val="20"/>
                <w:szCs w:val="20"/>
              </w:rPr>
              <w:t>25 762 540,98</w:t>
            </w:r>
          </w:p>
        </w:tc>
      </w:tr>
      <w:tr w:rsidR="00387142" w:rsidRPr="008B6A75" w14:paraId="30B89EC8" w14:textId="77777777" w:rsidTr="00387142">
        <w:trPr>
          <w:trHeight w:val="1440"/>
        </w:trPr>
        <w:tc>
          <w:tcPr>
            <w:tcW w:w="3261" w:type="dxa"/>
            <w:tcBorders>
              <w:top w:val="nil"/>
              <w:left w:val="single" w:sz="4" w:space="0" w:color="auto"/>
              <w:bottom w:val="single" w:sz="4" w:space="0" w:color="auto"/>
              <w:right w:val="nil"/>
            </w:tcBorders>
            <w:shd w:val="clear" w:color="auto" w:fill="auto"/>
            <w:vAlign w:val="center"/>
            <w:hideMark/>
          </w:tcPr>
          <w:p w14:paraId="1234DD7C" w14:textId="77777777" w:rsidR="00387142" w:rsidRPr="008B6A75" w:rsidRDefault="00387142" w:rsidP="00387142">
            <w:pPr>
              <w:rPr>
                <w:sz w:val="20"/>
                <w:szCs w:val="20"/>
              </w:rPr>
            </w:pPr>
            <w:r w:rsidRPr="008B6A7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14:paraId="11218A55" w14:textId="77777777" w:rsidR="00387142" w:rsidRPr="008B6A75" w:rsidRDefault="00387142" w:rsidP="00387142">
            <w:pPr>
              <w:jc w:val="center"/>
              <w:rPr>
                <w:sz w:val="20"/>
                <w:szCs w:val="20"/>
              </w:rPr>
            </w:pPr>
            <w:r w:rsidRPr="008B6A75">
              <w:rPr>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EC49FC4" w14:textId="77777777" w:rsidR="00387142" w:rsidRPr="008B6A75" w:rsidRDefault="00387142" w:rsidP="00387142">
            <w:pPr>
              <w:jc w:val="center"/>
              <w:rPr>
                <w:sz w:val="20"/>
                <w:szCs w:val="20"/>
              </w:rPr>
            </w:pPr>
            <w:r w:rsidRPr="008B6A75">
              <w:rPr>
                <w:sz w:val="20"/>
                <w:szCs w:val="20"/>
              </w:rPr>
              <w:t>04</w:t>
            </w:r>
          </w:p>
        </w:tc>
        <w:tc>
          <w:tcPr>
            <w:tcW w:w="1516" w:type="dxa"/>
            <w:tcBorders>
              <w:top w:val="nil"/>
              <w:left w:val="single" w:sz="4" w:space="0" w:color="auto"/>
              <w:bottom w:val="single" w:sz="4" w:space="0" w:color="auto"/>
              <w:right w:val="nil"/>
            </w:tcBorders>
            <w:shd w:val="clear" w:color="auto" w:fill="auto"/>
            <w:noWrap/>
            <w:vAlign w:val="center"/>
            <w:hideMark/>
          </w:tcPr>
          <w:p w14:paraId="68320794" w14:textId="77777777" w:rsidR="00387142" w:rsidRPr="008B6A75" w:rsidRDefault="00387142" w:rsidP="00387142">
            <w:pPr>
              <w:jc w:val="center"/>
              <w:rPr>
                <w:sz w:val="20"/>
                <w:szCs w:val="20"/>
              </w:rPr>
            </w:pPr>
            <w:r w:rsidRPr="008B6A75">
              <w:rPr>
                <w:sz w:val="20"/>
                <w:szCs w:val="20"/>
              </w:rPr>
              <w:t>99.0.00.01400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259AFC0" w14:textId="77777777" w:rsidR="00387142" w:rsidRPr="008B6A75" w:rsidRDefault="00387142" w:rsidP="00387142">
            <w:pPr>
              <w:jc w:val="center"/>
              <w:rPr>
                <w:sz w:val="20"/>
                <w:szCs w:val="20"/>
              </w:rPr>
            </w:pPr>
            <w:r w:rsidRPr="008B6A75">
              <w:rPr>
                <w:sz w:val="20"/>
                <w:szCs w:val="20"/>
              </w:rPr>
              <w:t>100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5B843AD" w14:textId="77777777" w:rsidR="00387142" w:rsidRPr="008B6A75" w:rsidRDefault="00387142" w:rsidP="00387142">
            <w:pPr>
              <w:jc w:val="right"/>
              <w:rPr>
                <w:sz w:val="20"/>
                <w:szCs w:val="20"/>
              </w:rPr>
            </w:pPr>
            <w:r w:rsidRPr="008B6A75">
              <w:rPr>
                <w:sz w:val="20"/>
                <w:szCs w:val="20"/>
              </w:rPr>
              <w:t>57 134 651,79</w:t>
            </w:r>
          </w:p>
        </w:tc>
        <w:tc>
          <w:tcPr>
            <w:tcW w:w="992" w:type="dxa"/>
            <w:tcBorders>
              <w:top w:val="nil"/>
              <w:left w:val="single" w:sz="4" w:space="0" w:color="auto"/>
              <w:bottom w:val="single" w:sz="4" w:space="0" w:color="auto"/>
              <w:right w:val="nil"/>
            </w:tcBorders>
            <w:shd w:val="clear" w:color="auto" w:fill="auto"/>
            <w:vAlign w:val="center"/>
            <w:hideMark/>
          </w:tcPr>
          <w:p w14:paraId="2908FF0B" w14:textId="77777777" w:rsidR="00387142" w:rsidRPr="008B6A75" w:rsidRDefault="00387142" w:rsidP="00387142">
            <w:pPr>
              <w:jc w:val="right"/>
              <w:rPr>
                <w:sz w:val="20"/>
                <w:szCs w:val="20"/>
              </w:rPr>
            </w:pPr>
            <w:r w:rsidRPr="008B6A75">
              <w:rPr>
                <w:sz w:val="20"/>
                <w:szCs w:val="20"/>
              </w:rPr>
              <w:t>38 570 979,18</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592D0F81" w14:textId="77777777" w:rsidR="00387142" w:rsidRPr="008B6A75" w:rsidRDefault="00387142" w:rsidP="00387142">
            <w:pPr>
              <w:jc w:val="right"/>
              <w:rPr>
                <w:sz w:val="20"/>
                <w:szCs w:val="20"/>
              </w:rPr>
            </w:pPr>
            <w:r w:rsidRPr="008B6A75">
              <w:rPr>
                <w:sz w:val="20"/>
                <w:szCs w:val="20"/>
              </w:rPr>
              <w:t>24 562 540,98</w:t>
            </w:r>
          </w:p>
        </w:tc>
      </w:tr>
      <w:tr w:rsidR="00387142" w:rsidRPr="008B6A75" w14:paraId="6F880306" w14:textId="77777777" w:rsidTr="00387142">
        <w:trPr>
          <w:trHeight w:val="585"/>
        </w:trPr>
        <w:tc>
          <w:tcPr>
            <w:tcW w:w="3261" w:type="dxa"/>
            <w:tcBorders>
              <w:top w:val="nil"/>
              <w:left w:val="single" w:sz="4" w:space="0" w:color="auto"/>
              <w:bottom w:val="single" w:sz="4" w:space="0" w:color="auto"/>
              <w:right w:val="nil"/>
            </w:tcBorders>
            <w:shd w:val="clear" w:color="auto" w:fill="auto"/>
            <w:vAlign w:val="center"/>
            <w:hideMark/>
          </w:tcPr>
          <w:p w14:paraId="35B02D1B" w14:textId="77777777" w:rsidR="00387142" w:rsidRPr="008B6A75" w:rsidRDefault="00387142" w:rsidP="00387142">
            <w:pPr>
              <w:rPr>
                <w:sz w:val="20"/>
                <w:szCs w:val="20"/>
              </w:rPr>
            </w:pPr>
            <w:r w:rsidRPr="008B6A75">
              <w:rPr>
                <w:sz w:val="20"/>
                <w:szCs w:val="20"/>
              </w:rPr>
              <w:t>Расходы на выплаты персоналу государственных (муниципальных) органов</w:t>
            </w:r>
          </w:p>
        </w:tc>
        <w:tc>
          <w:tcPr>
            <w:tcW w:w="720" w:type="dxa"/>
            <w:tcBorders>
              <w:top w:val="nil"/>
              <w:left w:val="single" w:sz="4" w:space="0" w:color="auto"/>
              <w:bottom w:val="single" w:sz="4" w:space="0" w:color="auto"/>
              <w:right w:val="nil"/>
            </w:tcBorders>
            <w:shd w:val="clear" w:color="auto" w:fill="auto"/>
            <w:noWrap/>
            <w:vAlign w:val="center"/>
            <w:hideMark/>
          </w:tcPr>
          <w:p w14:paraId="42BF4577" w14:textId="77777777" w:rsidR="00387142" w:rsidRPr="008B6A75" w:rsidRDefault="00387142" w:rsidP="00387142">
            <w:pPr>
              <w:jc w:val="center"/>
              <w:rPr>
                <w:sz w:val="20"/>
                <w:szCs w:val="20"/>
              </w:rPr>
            </w:pPr>
            <w:r w:rsidRPr="008B6A75">
              <w:rPr>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ED8CC35" w14:textId="77777777" w:rsidR="00387142" w:rsidRPr="008B6A75" w:rsidRDefault="00387142" w:rsidP="00387142">
            <w:pPr>
              <w:jc w:val="center"/>
              <w:rPr>
                <w:sz w:val="20"/>
                <w:szCs w:val="20"/>
              </w:rPr>
            </w:pPr>
            <w:r w:rsidRPr="008B6A75">
              <w:rPr>
                <w:sz w:val="20"/>
                <w:szCs w:val="20"/>
              </w:rPr>
              <w:t>04</w:t>
            </w:r>
          </w:p>
        </w:tc>
        <w:tc>
          <w:tcPr>
            <w:tcW w:w="1516" w:type="dxa"/>
            <w:tcBorders>
              <w:top w:val="nil"/>
              <w:left w:val="single" w:sz="4" w:space="0" w:color="auto"/>
              <w:bottom w:val="single" w:sz="4" w:space="0" w:color="auto"/>
              <w:right w:val="nil"/>
            </w:tcBorders>
            <w:shd w:val="clear" w:color="auto" w:fill="auto"/>
            <w:noWrap/>
            <w:vAlign w:val="center"/>
            <w:hideMark/>
          </w:tcPr>
          <w:p w14:paraId="1E1EEF43" w14:textId="77777777" w:rsidR="00387142" w:rsidRPr="008B6A75" w:rsidRDefault="00387142" w:rsidP="00387142">
            <w:pPr>
              <w:jc w:val="center"/>
              <w:rPr>
                <w:sz w:val="20"/>
                <w:szCs w:val="20"/>
              </w:rPr>
            </w:pPr>
            <w:r w:rsidRPr="008B6A75">
              <w:rPr>
                <w:sz w:val="20"/>
                <w:szCs w:val="20"/>
              </w:rPr>
              <w:t>99.0.00.01400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3CDA74C" w14:textId="77777777" w:rsidR="00387142" w:rsidRPr="008B6A75" w:rsidRDefault="00387142" w:rsidP="00387142">
            <w:pPr>
              <w:jc w:val="center"/>
              <w:rPr>
                <w:sz w:val="20"/>
                <w:szCs w:val="20"/>
              </w:rPr>
            </w:pPr>
            <w:r w:rsidRPr="008B6A75">
              <w:rPr>
                <w:sz w:val="20"/>
                <w:szCs w:val="20"/>
              </w:rPr>
              <w:t>120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397CCCD" w14:textId="77777777" w:rsidR="00387142" w:rsidRPr="008B6A75" w:rsidRDefault="00387142" w:rsidP="00387142">
            <w:pPr>
              <w:jc w:val="right"/>
              <w:rPr>
                <w:sz w:val="20"/>
                <w:szCs w:val="20"/>
              </w:rPr>
            </w:pPr>
            <w:r w:rsidRPr="008B6A75">
              <w:rPr>
                <w:sz w:val="20"/>
                <w:szCs w:val="20"/>
              </w:rPr>
              <w:t>57 134 651,79</w:t>
            </w:r>
          </w:p>
        </w:tc>
        <w:tc>
          <w:tcPr>
            <w:tcW w:w="992" w:type="dxa"/>
            <w:tcBorders>
              <w:top w:val="nil"/>
              <w:left w:val="single" w:sz="4" w:space="0" w:color="auto"/>
              <w:bottom w:val="single" w:sz="4" w:space="0" w:color="auto"/>
              <w:right w:val="nil"/>
            </w:tcBorders>
            <w:shd w:val="clear" w:color="auto" w:fill="auto"/>
            <w:vAlign w:val="center"/>
            <w:hideMark/>
          </w:tcPr>
          <w:p w14:paraId="1198A52C" w14:textId="77777777" w:rsidR="00387142" w:rsidRPr="008B6A75" w:rsidRDefault="00387142" w:rsidP="00387142">
            <w:pPr>
              <w:jc w:val="right"/>
              <w:rPr>
                <w:sz w:val="20"/>
                <w:szCs w:val="20"/>
              </w:rPr>
            </w:pPr>
            <w:r w:rsidRPr="008B6A75">
              <w:rPr>
                <w:sz w:val="20"/>
                <w:szCs w:val="20"/>
              </w:rPr>
              <w:t>38 570 979,18</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28055484" w14:textId="77777777" w:rsidR="00387142" w:rsidRPr="008B6A75" w:rsidRDefault="00387142" w:rsidP="00387142">
            <w:pPr>
              <w:jc w:val="right"/>
              <w:rPr>
                <w:sz w:val="20"/>
                <w:szCs w:val="20"/>
              </w:rPr>
            </w:pPr>
            <w:r w:rsidRPr="008B6A75">
              <w:rPr>
                <w:sz w:val="20"/>
                <w:szCs w:val="20"/>
              </w:rPr>
              <w:t>24 562 540,98</w:t>
            </w:r>
          </w:p>
        </w:tc>
      </w:tr>
      <w:tr w:rsidR="00387142" w:rsidRPr="008B6A75" w14:paraId="3CBF0E21" w14:textId="77777777" w:rsidTr="00387142">
        <w:trPr>
          <w:trHeight w:val="585"/>
        </w:trPr>
        <w:tc>
          <w:tcPr>
            <w:tcW w:w="3261" w:type="dxa"/>
            <w:tcBorders>
              <w:top w:val="nil"/>
              <w:left w:val="single" w:sz="4" w:space="0" w:color="auto"/>
              <w:bottom w:val="single" w:sz="4" w:space="0" w:color="auto"/>
              <w:right w:val="nil"/>
            </w:tcBorders>
            <w:shd w:val="clear" w:color="auto" w:fill="auto"/>
            <w:vAlign w:val="center"/>
            <w:hideMark/>
          </w:tcPr>
          <w:p w14:paraId="4FE8EA6D" w14:textId="77777777" w:rsidR="00387142" w:rsidRPr="008B6A75" w:rsidRDefault="00387142" w:rsidP="00387142">
            <w:pPr>
              <w:rPr>
                <w:sz w:val="20"/>
                <w:szCs w:val="20"/>
              </w:rPr>
            </w:pPr>
            <w:r w:rsidRPr="008B6A75">
              <w:rPr>
                <w:sz w:val="20"/>
                <w:szCs w:val="20"/>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35762B25" w14:textId="77777777" w:rsidR="00387142" w:rsidRPr="008B6A75" w:rsidRDefault="00387142" w:rsidP="00387142">
            <w:pPr>
              <w:jc w:val="center"/>
              <w:rPr>
                <w:sz w:val="20"/>
                <w:szCs w:val="20"/>
              </w:rPr>
            </w:pPr>
            <w:r w:rsidRPr="008B6A75">
              <w:rPr>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161F23A" w14:textId="77777777" w:rsidR="00387142" w:rsidRPr="008B6A75" w:rsidRDefault="00387142" w:rsidP="00387142">
            <w:pPr>
              <w:jc w:val="center"/>
              <w:rPr>
                <w:sz w:val="20"/>
                <w:szCs w:val="20"/>
              </w:rPr>
            </w:pPr>
            <w:r w:rsidRPr="008B6A75">
              <w:rPr>
                <w:sz w:val="20"/>
                <w:szCs w:val="20"/>
              </w:rPr>
              <w:t>04</w:t>
            </w:r>
          </w:p>
        </w:tc>
        <w:tc>
          <w:tcPr>
            <w:tcW w:w="1516" w:type="dxa"/>
            <w:tcBorders>
              <w:top w:val="nil"/>
              <w:left w:val="single" w:sz="4" w:space="0" w:color="auto"/>
              <w:bottom w:val="single" w:sz="4" w:space="0" w:color="auto"/>
              <w:right w:val="nil"/>
            </w:tcBorders>
            <w:shd w:val="clear" w:color="auto" w:fill="auto"/>
            <w:noWrap/>
            <w:vAlign w:val="center"/>
            <w:hideMark/>
          </w:tcPr>
          <w:p w14:paraId="75964EFE" w14:textId="77777777" w:rsidR="00387142" w:rsidRPr="008B6A75" w:rsidRDefault="00387142" w:rsidP="00387142">
            <w:pPr>
              <w:jc w:val="center"/>
              <w:rPr>
                <w:sz w:val="20"/>
                <w:szCs w:val="20"/>
              </w:rPr>
            </w:pPr>
            <w:r w:rsidRPr="008B6A75">
              <w:rPr>
                <w:sz w:val="20"/>
                <w:szCs w:val="20"/>
              </w:rPr>
              <w:t>99.0.00.01400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26161C2" w14:textId="77777777" w:rsidR="00387142" w:rsidRPr="008B6A75" w:rsidRDefault="00387142" w:rsidP="00387142">
            <w:pPr>
              <w:jc w:val="center"/>
              <w:rPr>
                <w:sz w:val="20"/>
                <w:szCs w:val="20"/>
              </w:rPr>
            </w:pPr>
            <w:r w:rsidRPr="008B6A75">
              <w:rPr>
                <w:sz w:val="20"/>
                <w:szCs w:val="20"/>
              </w:rPr>
              <w:t>200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CF01025" w14:textId="77777777" w:rsidR="00387142" w:rsidRPr="008B6A75" w:rsidRDefault="00387142" w:rsidP="00387142">
            <w:pPr>
              <w:jc w:val="right"/>
              <w:rPr>
                <w:sz w:val="20"/>
                <w:szCs w:val="20"/>
              </w:rPr>
            </w:pPr>
            <w:r w:rsidRPr="008B6A75">
              <w:rPr>
                <w:sz w:val="20"/>
                <w:szCs w:val="20"/>
              </w:rPr>
              <w:t>12 141 557,53</w:t>
            </w:r>
          </w:p>
        </w:tc>
        <w:tc>
          <w:tcPr>
            <w:tcW w:w="992" w:type="dxa"/>
            <w:tcBorders>
              <w:top w:val="nil"/>
              <w:left w:val="single" w:sz="4" w:space="0" w:color="auto"/>
              <w:bottom w:val="single" w:sz="4" w:space="0" w:color="auto"/>
              <w:right w:val="nil"/>
            </w:tcBorders>
            <w:shd w:val="clear" w:color="auto" w:fill="auto"/>
            <w:vAlign w:val="center"/>
            <w:hideMark/>
          </w:tcPr>
          <w:p w14:paraId="70A8058C" w14:textId="77777777" w:rsidR="00387142" w:rsidRPr="008B6A75" w:rsidRDefault="00387142" w:rsidP="00387142">
            <w:pPr>
              <w:jc w:val="right"/>
              <w:rPr>
                <w:sz w:val="20"/>
                <w:szCs w:val="20"/>
              </w:rPr>
            </w:pPr>
            <w:r w:rsidRPr="008B6A75">
              <w:rPr>
                <w:sz w:val="20"/>
                <w:szCs w:val="20"/>
              </w:rPr>
              <w:t>2 900 000,00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78E9CF35" w14:textId="77777777" w:rsidR="00387142" w:rsidRPr="008B6A75" w:rsidRDefault="00387142" w:rsidP="00387142">
            <w:pPr>
              <w:jc w:val="right"/>
              <w:rPr>
                <w:sz w:val="20"/>
                <w:szCs w:val="20"/>
              </w:rPr>
            </w:pPr>
            <w:r w:rsidRPr="008B6A75">
              <w:rPr>
                <w:sz w:val="20"/>
                <w:szCs w:val="20"/>
              </w:rPr>
              <w:t>1 200 000,00</w:t>
            </w:r>
          </w:p>
        </w:tc>
      </w:tr>
      <w:tr w:rsidR="00387142" w:rsidRPr="008B6A75" w14:paraId="32A228AB" w14:textId="77777777" w:rsidTr="00387142">
        <w:trPr>
          <w:trHeight w:val="870"/>
        </w:trPr>
        <w:tc>
          <w:tcPr>
            <w:tcW w:w="3261" w:type="dxa"/>
            <w:tcBorders>
              <w:top w:val="nil"/>
              <w:left w:val="single" w:sz="4" w:space="0" w:color="auto"/>
              <w:bottom w:val="single" w:sz="4" w:space="0" w:color="auto"/>
              <w:right w:val="nil"/>
            </w:tcBorders>
            <w:shd w:val="clear" w:color="auto" w:fill="auto"/>
            <w:vAlign w:val="center"/>
            <w:hideMark/>
          </w:tcPr>
          <w:p w14:paraId="088DD4CB" w14:textId="77777777" w:rsidR="00387142" w:rsidRPr="008B6A75" w:rsidRDefault="00387142" w:rsidP="00387142">
            <w:pPr>
              <w:rPr>
                <w:sz w:val="20"/>
                <w:szCs w:val="20"/>
              </w:rPr>
            </w:pPr>
            <w:r w:rsidRPr="008B6A75">
              <w:rPr>
                <w:sz w:val="20"/>
                <w:szCs w:val="20"/>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44292A31" w14:textId="77777777" w:rsidR="00387142" w:rsidRPr="008B6A75" w:rsidRDefault="00387142" w:rsidP="00387142">
            <w:pPr>
              <w:jc w:val="center"/>
              <w:rPr>
                <w:sz w:val="20"/>
                <w:szCs w:val="20"/>
              </w:rPr>
            </w:pPr>
            <w:r w:rsidRPr="008B6A75">
              <w:rPr>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A446759" w14:textId="77777777" w:rsidR="00387142" w:rsidRPr="008B6A75" w:rsidRDefault="00387142" w:rsidP="00387142">
            <w:pPr>
              <w:jc w:val="center"/>
              <w:rPr>
                <w:sz w:val="20"/>
                <w:szCs w:val="20"/>
              </w:rPr>
            </w:pPr>
            <w:r w:rsidRPr="008B6A75">
              <w:rPr>
                <w:sz w:val="20"/>
                <w:szCs w:val="20"/>
              </w:rPr>
              <w:t>04</w:t>
            </w:r>
          </w:p>
        </w:tc>
        <w:tc>
          <w:tcPr>
            <w:tcW w:w="1516" w:type="dxa"/>
            <w:tcBorders>
              <w:top w:val="nil"/>
              <w:left w:val="single" w:sz="4" w:space="0" w:color="auto"/>
              <w:bottom w:val="single" w:sz="4" w:space="0" w:color="auto"/>
              <w:right w:val="nil"/>
            </w:tcBorders>
            <w:shd w:val="clear" w:color="auto" w:fill="auto"/>
            <w:noWrap/>
            <w:vAlign w:val="center"/>
            <w:hideMark/>
          </w:tcPr>
          <w:p w14:paraId="2D3DC176" w14:textId="77777777" w:rsidR="00387142" w:rsidRPr="008B6A75" w:rsidRDefault="00387142" w:rsidP="00387142">
            <w:pPr>
              <w:jc w:val="center"/>
              <w:rPr>
                <w:sz w:val="20"/>
                <w:szCs w:val="20"/>
              </w:rPr>
            </w:pPr>
            <w:r w:rsidRPr="008B6A75">
              <w:rPr>
                <w:sz w:val="20"/>
                <w:szCs w:val="20"/>
              </w:rPr>
              <w:t>99.0.00.01400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53396B9" w14:textId="77777777" w:rsidR="00387142" w:rsidRPr="008B6A75" w:rsidRDefault="00387142" w:rsidP="00387142">
            <w:pPr>
              <w:jc w:val="center"/>
              <w:rPr>
                <w:sz w:val="20"/>
                <w:szCs w:val="20"/>
              </w:rPr>
            </w:pPr>
            <w:r w:rsidRPr="008B6A75">
              <w:rPr>
                <w:sz w:val="20"/>
                <w:szCs w:val="20"/>
              </w:rPr>
              <w:t>240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729FC4B" w14:textId="77777777" w:rsidR="00387142" w:rsidRPr="008B6A75" w:rsidRDefault="00387142" w:rsidP="00387142">
            <w:pPr>
              <w:jc w:val="right"/>
              <w:rPr>
                <w:sz w:val="20"/>
                <w:szCs w:val="20"/>
              </w:rPr>
            </w:pPr>
            <w:r w:rsidRPr="008B6A75">
              <w:rPr>
                <w:sz w:val="20"/>
                <w:szCs w:val="20"/>
              </w:rPr>
              <w:t>12 141 557,53</w:t>
            </w:r>
          </w:p>
        </w:tc>
        <w:tc>
          <w:tcPr>
            <w:tcW w:w="992" w:type="dxa"/>
            <w:tcBorders>
              <w:top w:val="nil"/>
              <w:left w:val="single" w:sz="4" w:space="0" w:color="auto"/>
              <w:bottom w:val="single" w:sz="4" w:space="0" w:color="auto"/>
              <w:right w:val="nil"/>
            </w:tcBorders>
            <w:shd w:val="clear" w:color="auto" w:fill="auto"/>
            <w:vAlign w:val="center"/>
            <w:hideMark/>
          </w:tcPr>
          <w:p w14:paraId="40C08EDB" w14:textId="77777777" w:rsidR="00387142" w:rsidRPr="008B6A75" w:rsidRDefault="00387142" w:rsidP="00387142">
            <w:pPr>
              <w:jc w:val="right"/>
              <w:rPr>
                <w:sz w:val="20"/>
                <w:szCs w:val="20"/>
              </w:rPr>
            </w:pPr>
            <w:r w:rsidRPr="008B6A75">
              <w:rPr>
                <w:sz w:val="20"/>
                <w:szCs w:val="20"/>
              </w:rPr>
              <w:t>2 900 000,00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36353795" w14:textId="77777777" w:rsidR="00387142" w:rsidRPr="008B6A75" w:rsidRDefault="00387142" w:rsidP="00387142">
            <w:pPr>
              <w:jc w:val="right"/>
              <w:rPr>
                <w:sz w:val="20"/>
                <w:szCs w:val="20"/>
              </w:rPr>
            </w:pPr>
            <w:r w:rsidRPr="008B6A75">
              <w:rPr>
                <w:sz w:val="20"/>
                <w:szCs w:val="20"/>
              </w:rPr>
              <w:t>1 200 000,00</w:t>
            </w:r>
          </w:p>
        </w:tc>
      </w:tr>
      <w:tr w:rsidR="00387142" w:rsidRPr="008B6A75" w14:paraId="5EE37C92" w14:textId="77777777" w:rsidTr="00387142">
        <w:trPr>
          <w:trHeight w:val="345"/>
        </w:trPr>
        <w:tc>
          <w:tcPr>
            <w:tcW w:w="3261" w:type="dxa"/>
            <w:tcBorders>
              <w:top w:val="nil"/>
              <w:left w:val="single" w:sz="4" w:space="0" w:color="auto"/>
              <w:bottom w:val="single" w:sz="4" w:space="0" w:color="auto"/>
              <w:right w:val="nil"/>
            </w:tcBorders>
            <w:shd w:val="clear" w:color="auto" w:fill="auto"/>
            <w:vAlign w:val="center"/>
            <w:hideMark/>
          </w:tcPr>
          <w:p w14:paraId="11FF0449" w14:textId="77777777" w:rsidR="00387142" w:rsidRPr="008B6A75" w:rsidRDefault="00387142" w:rsidP="00387142">
            <w:pPr>
              <w:rPr>
                <w:sz w:val="20"/>
                <w:szCs w:val="20"/>
              </w:rPr>
            </w:pPr>
            <w:r w:rsidRPr="008B6A75">
              <w:rPr>
                <w:sz w:val="20"/>
                <w:szCs w:val="20"/>
              </w:rPr>
              <w:t>Иные бюджетные ассигнования</w:t>
            </w:r>
          </w:p>
        </w:tc>
        <w:tc>
          <w:tcPr>
            <w:tcW w:w="720" w:type="dxa"/>
            <w:tcBorders>
              <w:top w:val="nil"/>
              <w:left w:val="single" w:sz="4" w:space="0" w:color="auto"/>
              <w:bottom w:val="single" w:sz="4" w:space="0" w:color="auto"/>
              <w:right w:val="nil"/>
            </w:tcBorders>
            <w:shd w:val="clear" w:color="auto" w:fill="auto"/>
            <w:noWrap/>
            <w:vAlign w:val="center"/>
            <w:hideMark/>
          </w:tcPr>
          <w:p w14:paraId="7F542807" w14:textId="77777777" w:rsidR="00387142" w:rsidRPr="008B6A75" w:rsidRDefault="00387142" w:rsidP="00387142">
            <w:pPr>
              <w:jc w:val="center"/>
              <w:rPr>
                <w:sz w:val="20"/>
                <w:szCs w:val="20"/>
              </w:rPr>
            </w:pPr>
            <w:r w:rsidRPr="008B6A75">
              <w:rPr>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A9087A2" w14:textId="77777777" w:rsidR="00387142" w:rsidRPr="008B6A75" w:rsidRDefault="00387142" w:rsidP="00387142">
            <w:pPr>
              <w:jc w:val="center"/>
              <w:rPr>
                <w:sz w:val="20"/>
                <w:szCs w:val="20"/>
              </w:rPr>
            </w:pPr>
            <w:r w:rsidRPr="008B6A75">
              <w:rPr>
                <w:sz w:val="20"/>
                <w:szCs w:val="20"/>
              </w:rPr>
              <w:t>04</w:t>
            </w:r>
          </w:p>
        </w:tc>
        <w:tc>
          <w:tcPr>
            <w:tcW w:w="1516" w:type="dxa"/>
            <w:tcBorders>
              <w:top w:val="nil"/>
              <w:left w:val="single" w:sz="4" w:space="0" w:color="auto"/>
              <w:bottom w:val="single" w:sz="4" w:space="0" w:color="auto"/>
              <w:right w:val="nil"/>
            </w:tcBorders>
            <w:shd w:val="clear" w:color="auto" w:fill="auto"/>
            <w:noWrap/>
            <w:vAlign w:val="center"/>
            <w:hideMark/>
          </w:tcPr>
          <w:p w14:paraId="75B02BB0" w14:textId="77777777" w:rsidR="00387142" w:rsidRPr="008B6A75" w:rsidRDefault="00387142" w:rsidP="00387142">
            <w:pPr>
              <w:jc w:val="center"/>
              <w:rPr>
                <w:sz w:val="20"/>
                <w:szCs w:val="20"/>
              </w:rPr>
            </w:pPr>
            <w:r w:rsidRPr="008B6A75">
              <w:rPr>
                <w:sz w:val="20"/>
                <w:szCs w:val="20"/>
              </w:rPr>
              <w:t>99.0.00.01400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288F6FA" w14:textId="77777777" w:rsidR="00387142" w:rsidRPr="008B6A75" w:rsidRDefault="00387142" w:rsidP="00387142">
            <w:pPr>
              <w:jc w:val="center"/>
              <w:rPr>
                <w:sz w:val="20"/>
                <w:szCs w:val="20"/>
              </w:rPr>
            </w:pPr>
            <w:r w:rsidRPr="008B6A75">
              <w:rPr>
                <w:sz w:val="20"/>
                <w:szCs w:val="20"/>
              </w:rPr>
              <w:t>800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B7787FF" w14:textId="77777777" w:rsidR="00387142" w:rsidRPr="008B6A75" w:rsidRDefault="00387142" w:rsidP="00387142">
            <w:pPr>
              <w:jc w:val="right"/>
              <w:rPr>
                <w:sz w:val="20"/>
                <w:szCs w:val="20"/>
              </w:rPr>
            </w:pPr>
            <w:r w:rsidRPr="008B6A75">
              <w:rPr>
                <w:sz w:val="20"/>
                <w:szCs w:val="20"/>
              </w:rPr>
              <w:t>212 055,77</w:t>
            </w:r>
          </w:p>
        </w:tc>
        <w:tc>
          <w:tcPr>
            <w:tcW w:w="992" w:type="dxa"/>
            <w:tcBorders>
              <w:top w:val="nil"/>
              <w:left w:val="single" w:sz="4" w:space="0" w:color="auto"/>
              <w:bottom w:val="single" w:sz="4" w:space="0" w:color="auto"/>
              <w:right w:val="nil"/>
            </w:tcBorders>
            <w:shd w:val="clear" w:color="auto" w:fill="auto"/>
            <w:vAlign w:val="center"/>
            <w:hideMark/>
          </w:tcPr>
          <w:p w14:paraId="13A91DCE" w14:textId="77777777" w:rsidR="00387142" w:rsidRPr="008B6A75" w:rsidRDefault="00387142" w:rsidP="00387142">
            <w:pPr>
              <w:jc w:val="right"/>
              <w:rPr>
                <w:sz w:val="20"/>
                <w:szCs w:val="20"/>
              </w:rPr>
            </w:pPr>
            <w:r w:rsidRPr="008B6A75">
              <w:rPr>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59E91BFC" w14:textId="77777777" w:rsidR="00387142" w:rsidRPr="008B6A75" w:rsidRDefault="00387142" w:rsidP="00387142">
            <w:pPr>
              <w:jc w:val="right"/>
              <w:rPr>
                <w:sz w:val="20"/>
                <w:szCs w:val="20"/>
              </w:rPr>
            </w:pPr>
            <w:r w:rsidRPr="008B6A75">
              <w:rPr>
                <w:sz w:val="20"/>
                <w:szCs w:val="20"/>
              </w:rPr>
              <w:t>0,00</w:t>
            </w:r>
          </w:p>
        </w:tc>
      </w:tr>
      <w:tr w:rsidR="00387142" w:rsidRPr="008B6A75" w14:paraId="4A7A8FB4" w14:textId="77777777" w:rsidTr="00387142">
        <w:trPr>
          <w:trHeight w:val="345"/>
        </w:trPr>
        <w:tc>
          <w:tcPr>
            <w:tcW w:w="3261" w:type="dxa"/>
            <w:tcBorders>
              <w:top w:val="nil"/>
              <w:left w:val="single" w:sz="4" w:space="0" w:color="auto"/>
              <w:bottom w:val="single" w:sz="4" w:space="0" w:color="auto"/>
              <w:right w:val="nil"/>
            </w:tcBorders>
            <w:shd w:val="clear" w:color="auto" w:fill="auto"/>
            <w:vAlign w:val="center"/>
            <w:hideMark/>
          </w:tcPr>
          <w:p w14:paraId="582EC7B3" w14:textId="77777777" w:rsidR="00387142" w:rsidRPr="008B6A75" w:rsidRDefault="00387142" w:rsidP="00387142">
            <w:pPr>
              <w:rPr>
                <w:sz w:val="20"/>
                <w:szCs w:val="20"/>
              </w:rPr>
            </w:pPr>
            <w:r w:rsidRPr="008B6A75">
              <w:rPr>
                <w:sz w:val="20"/>
                <w:szCs w:val="20"/>
              </w:rPr>
              <w:t>Уплата налогов, сборов и иных платежей</w:t>
            </w:r>
          </w:p>
        </w:tc>
        <w:tc>
          <w:tcPr>
            <w:tcW w:w="720" w:type="dxa"/>
            <w:tcBorders>
              <w:top w:val="nil"/>
              <w:left w:val="single" w:sz="4" w:space="0" w:color="auto"/>
              <w:bottom w:val="single" w:sz="4" w:space="0" w:color="auto"/>
              <w:right w:val="nil"/>
            </w:tcBorders>
            <w:shd w:val="clear" w:color="auto" w:fill="auto"/>
            <w:noWrap/>
            <w:vAlign w:val="center"/>
            <w:hideMark/>
          </w:tcPr>
          <w:p w14:paraId="15B015FE" w14:textId="77777777" w:rsidR="00387142" w:rsidRPr="008B6A75" w:rsidRDefault="00387142" w:rsidP="00387142">
            <w:pPr>
              <w:jc w:val="center"/>
              <w:rPr>
                <w:sz w:val="20"/>
                <w:szCs w:val="20"/>
              </w:rPr>
            </w:pPr>
            <w:r w:rsidRPr="008B6A75">
              <w:rPr>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F485D55" w14:textId="77777777" w:rsidR="00387142" w:rsidRPr="008B6A75" w:rsidRDefault="00387142" w:rsidP="00387142">
            <w:pPr>
              <w:jc w:val="center"/>
              <w:rPr>
                <w:sz w:val="20"/>
                <w:szCs w:val="20"/>
              </w:rPr>
            </w:pPr>
            <w:r w:rsidRPr="008B6A75">
              <w:rPr>
                <w:sz w:val="20"/>
                <w:szCs w:val="20"/>
              </w:rPr>
              <w:t>04</w:t>
            </w:r>
          </w:p>
        </w:tc>
        <w:tc>
          <w:tcPr>
            <w:tcW w:w="1516" w:type="dxa"/>
            <w:tcBorders>
              <w:top w:val="nil"/>
              <w:left w:val="single" w:sz="4" w:space="0" w:color="auto"/>
              <w:bottom w:val="single" w:sz="4" w:space="0" w:color="auto"/>
              <w:right w:val="nil"/>
            </w:tcBorders>
            <w:shd w:val="clear" w:color="auto" w:fill="auto"/>
            <w:noWrap/>
            <w:vAlign w:val="center"/>
            <w:hideMark/>
          </w:tcPr>
          <w:p w14:paraId="3631583A" w14:textId="77777777" w:rsidR="00387142" w:rsidRPr="008B6A75" w:rsidRDefault="00387142" w:rsidP="00387142">
            <w:pPr>
              <w:jc w:val="center"/>
              <w:rPr>
                <w:sz w:val="20"/>
                <w:szCs w:val="20"/>
              </w:rPr>
            </w:pPr>
            <w:r w:rsidRPr="008B6A75">
              <w:rPr>
                <w:sz w:val="20"/>
                <w:szCs w:val="20"/>
              </w:rPr>
              <w:t>99.0.00.01400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E127473" w14:textId="77777777" w:rsidR="00387142" w:rsidRPr="008B6A75" w:rsidRDefault="00387142" w:rsidP="00387142">
            <w:pPr>
              <w:jc w:val="center"/>
              <w:rPr>
                <w:sz w:val="20"/>
                <w:szCs w:val="20"/>
              </w:rPr>
            </w:pPr>
            <w:r w:rsidRPr="008B6A75">
              <w:rPr>
                <w:sz w:val="20"/>
                <w:szCs w:val="20"/>
              </w:rPr>
              <w:t>850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50A2F47" w14:textId="77777777" w:rsidR="00387142" w:rsidRPr="008B6A75" w:rsidRDefault="00387142" w:rsidP="00387142">
            <w:pPr>
              <w:jc w:val="right"/>
              <w:rPr>
                <w:sz w:val="20"/>
                <w:szCs w:val="20"/>
              </w:rPr>
            </w:pPr>
            <w:r w:rsidRPr="008B6A75">
              <w:rPr>
                <w:sz w:val="20"/>
                <w:szCs w:val="20"/>
              </w:rPr>
              <w:t>212 055,77</w:t>
            </w:r>
          </w:p>
        </w:tc>
        <w:tc>
          <w:tcPr>
            <w:tcW w:w="992" w:type="dxa"/>
            <w:tcBorders>
              <w:top w:val="nil"/>
              <w:left w:val="single" w:sz="4" w:space="0" w:color="auto"/>
              <w:bottom w:val="single" w:sz="4" w:space="0" w:color="auto"/>
              <w:right w:val="nil"/>
            </w:tcBorders>
            <w:shd w:val="clear" w:color="auto" w:fill="auto"/>
            <w:vAlign w:val="center"/>
            <w:hideMark/>
          </w:tcPr>
          <w:p w14:paraId="32C485EB" w14:textId="77777777" w:rsidR="00387142" w:rsidRPr="008B6A75" w:rsidRDefault="00387142" w:rsidP="00387142">
            <w:pPr>
              <w:jc w:val="right"/>
              <w:rPr>
                <w:sz w:val="20"/>
                <w:szCs w:val="20"/>
              </w:rPr>
            </w:pPr>
            <w:r w:rsidRPr="008B6A75">
              <w:rPr>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38525B05" w14:textId="77777777" w:rsidR="00387142" w:rsidRPr="008B6A75" w:rsidRDefault="00387142" w:rsidP="00387142">
            <w:pPr>
              <w:jc w:val="right"/>
              <w:rPr>
                <w:sz w:val="20"/>
                <w:szCs w:val="20"/>
              </w:rPr>
            </w:pPr>
            <w:r w:rsidRPr="008B6A75">
              <w:rPr>
                <w:sz w:val="20"/>
                <w:szCs w:val="20"/>
              </w:rPr>
              <w:t>0,00</w:t>
            </w:r>
          </w:p>
        </w:tc>
      </w:tr>
      <w:tr w:rsidR="00387142" w:rsidRPr="008B6A75" w14:paraId="63E7B611" w14:textId="77777777" w:rsidTr="00387142">
        <w:trPr>
          <w:trHeight w:val="870"/>
        </w:trPr>
        <w:tc>
          <w:tcPr>
            <w:tcW w:w="3261" w:type="dxa"/>
            <w:tcBorders>
              <w:top w:val="nil"/>
              <w:left w:val="single" w:sz="4" w:space="0" w:color="auto"/>
              <w:bottom w:val="single" w:sz="4" w:space="0" w:color="auto"/>
              <w:right w:val="nil"/>
            </w:tcBorders>
            <w:shd w:val="clear" w:color="auto" w:fill="auto"/>
            <w:vAlign w:val="center"/>
            <w:hideMark/>
          </w:tcPr>
          <w:p w14:paraId="5AE7D1C4" w14:textId="77777777" w:rsidR="00387142" w:rsidRPr="008B6A75" w:rsidRDefault="00387142" w:rsidP="00387142">
            <w:pPr>
              <w:rPr>
                <w:bCs/>
                <w:sz w:val="20"/>
                <w:szCs w:val="20"/>
              </w:rPr>
            </w:pPr>
            <w:r w:rsidRPr="008B6A75">
              <w:rPr>
                <w:bCs/>
                <w:sz w:val="20"/>
                <w:szCs w:val="20"/>
              </w:rPr>
              <w:t>Образование и организация деятельности комиссий по делам несовершеннолетних и защите их прав</w:t>
            </w:r>
          </w:p>
        </w:tc>
        <w:tc>
          <w:tcPr>
            <w:tcW w:w="720" w:type="dxa"/>
            <w:tcBorders>
              <w:top w:val="nil"/>
              <w:left w:val="single" w:sz="4" w:space="0" w:color="auto"/>
              <w:bottom w:val="single" w:sz="4" w:space="0" w:color="auto"/>
              <w:right w:val="nil"/>
            </w:tcBorders>
            <w:shd w:val="clear" w:color="auto" w:fill="auto"/>
            <w:noWrap/>
            <w:vAlign w:val="center"/>
            <w:hideMark/>
          </w:tcPr>
          <w:p w14:paraId="0A674331" w14:textId="77777777" w:rsidR="00387142" w:rsidRPr="008B6A75" w:rsidRDefault="00387142" w:rsidP="00387142">
            <w:pPr>
              <w:jc w:val="center"/>
              <w:rPr>
                <w:bCs/>
                <w:sz w:val="20"/>
                <w:szCs w:val="20"/>
              </w:rPr>
            </w:pPr>
            <w:r w:rsidRPr="008B6A75">
              <w:rPr>
                <w:bCs/>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689735C" w14:textId="77777777" w:rsidR="00387142" w:rsidRPr="008B6A75" w:rsidRDefault="00387142" w:rsidP="00387142">
            <w:pPr>
              <w:jc w:val="center"/>
              <w:rPr>
                <w:bCs/>
                <w:sz w:val="20"/>
                <w:szCs w:val="20"/>
              </w:rPr>
            </w:pPr>
            <w:r w:rsidRPr="008B6A75">
              <w:rPr>
                <w:bCs/>
                <w:sz w:val="20"/>
                <w:szCs w:val="20"/>
              </w:rPr>
              <w:t>04</w:t>
            </w:r>
          </w:p>
        </w:tc>
        <w:tc>
          <w:tcPr>
            <w:tcW w:w="1516" w:type="dxa"/>
            <w:tcBorders>
              <w:top w:val="nil"/>
              <w:left w:val="single" w:sz="4" w:space="0" w:color="auto"/>
              <w:bottom w:val="single" w:sz="4" w:space="0" w:color="auto"/>
              <w:right w:val="nil"/>
            </w:tcBorders>
            <w:shd w:val="clear" w:color="auto" w:fill="auto"/>
            <w:noWrap/>
            <w:vAlign w:val="center"/>
            <w:hideMark/>
          </w:tcPr>
          <w:p w14:paraId="521B71FA" w14:textId="77777777" w:rsidR="00387142" w:rsidRPr="008B6A75" w:rsidRDefault="00387142" w:rsidP="00387142">
            <w:pPr>
              <w:jc w:val="center"/>
              <w:rPr>
                <w:bCs/>
                <w:sz w:val="20"/>
                <w:szCs w:val="20"/>
              </w:rPr>
            </w:pPr>
            <w:r w:rsidRPr="008B6A75">
              <w:rPr>
                <w:bCs/>
                <w:sz w:val="20"/>
                <w:szCs w:val="20"/>
              </w:rPr>
              <w:t>99.0.00.70159</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1F070B2"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0200D39" w14:textId="77777777" w:rsidR="00387142" w:rsidRPr="008B6A75" w:rsidRDefault="00387142" w:rsidP="00387142">
            <w:pPr>
              <w:jc w:val="right"/>
              <w:rPr>
                <w:bCs/>
                <w:sz w:val="20"/>
                <w:szCs w:val="20"/>
              </w:rPr>
            </w:pPr>
            <w:r w:rsidRPr="008B6A75">
              <w:rPr>
                <w:bCs/>
                <w:sz w:val="20"/>
                <w:szCs w:val="20"/>
              </w:rPr>
              <w:t>2 202 325,00</w:t>
            </w:r>
          </w:p>
        </w:tc>
        <w:tc>
          <w:tcPr>
            <w:tcW w:w="992" w:type="dxa"/>
            <w:tcBorders>
              <w:top w:val="nil"/>
              <w:left w:val="single" w:sz="4" w:space="0" w:color="auto"/>
              <w:bottom w:val="single" w:sz="4" w:space="0" w:color="auto"/>
              <w:right w:val="nil"/>
            </w:tcBorders>
            <w:shd w:val="clear" w:color="auto" w:fill="auto"/>
            <w:vAlign w:val="center"/>
            <w:hideMark/>
          </w:tcPr>
          <w:p w14:paraId="68A7EBCB" w14:textId="77777777" w:rsidR="00387142" w:rsidRPr="008B6A75" w:rsidRDefault="00387142" w:rsidP="00387142">
            <w:pPr>
              <w:jc w:val="right"/>
              <w:rPr>
                <w:bCs/>
                <w:sz w:val="20"/>
                <w:szCs w:val="20"/>
              </w:rPr>
            </w:pPr>
            <w:r w:rsidRPr="008B6A75">
              <w:rPr>
                <w:bCs/>
                <w:sz w:val="20"/>
                <w:szCs w:val="20"/>
              </w:rPr>
              <w:t>2 140 025,00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0D0DC268" w14:textId="77777777" w:rsidR="00387142" w:rsidRPr="008B6A75" w:rsidRDefault="00387142" w:rsidP="00387142">
            <w:pPr>
              <w:jc w:val="right"/>
              <w:rPr>
                <w:bCs/>
                <w:sz w:val="20"/>
                <w:szCs w:val="20"/>
              </w:rPr>
            </w:pPr>
            <w:r w:rsidRPr="008B6A75">
              <w:rPr>
                <w:bCs/>
                <w:sz w:val="20"/>
                <w:szCs w:val="20"/>
              </w:rPr>
              <w:t>2 220 775,00</w:t>
            </w:r>
          </w:p>
        </w:tc>
      </w:tr>
      <w:tr w:rsidR="00387142" w:rsidRPr="008B6A75" w14:paraId="7271483A" w14:textId="77777777" w:rsidTr="00387142">
        <w:trPr>
          <w:trHeight w:val="1440"/>
        </w:trPr>
        <w:tc>
          <w:tcPr>
            <w:tcW w:w="3261" w:type="dxa"/>
            <w:tcBorders>
              <w:top w:val="nil"/>
              <w:left w:val="single" w:sz="4" w:space="0" w:color="auto"/>
              <w:bottom w:val="single" w:sz="4" w:space="0" w:color="auto"/>
              <w:right w:val="nil"/>
            </w:tcBorders>
            <w:shd w:val="clear" w:color="auto" w:fill="auto"/>
            <w:vAlign w:val="center"/>
            <w:hideMark/>
          </w:tcPr>
          <w:p w14:paraId="4B40A369" w14:textId="77777777" w:rsidR="00387142" w:rsidRPr="008B6A75" w:rsidRDefault="00387142" w:rsidP="00387142">
            <w:pPr>
              <w:rPr>
                <w:sz w:val="20"/>
                <w:szCs w:val="20"/>
              </w:rPr>
            </w:pPr>
            <w:r w:rsidRPr="008B6A7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14:paraId="09C9C8F1" w14:textId="77777777" w:rsidR="00387142" w:rsidRPr="008B6A75" w:rsidRDefault="00387142" w:rsidP="00387142">
            <w:pPr>
              <w:jc w:val="center"/>
              <w:rPr>
                <w:sz w:val="20"/>
                <w:szCs w:val="20"/>
              </w:rPr>
            </w:pPr>
            <w:r w:rsidRPr="008B6A75">
              <w:rPr>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D2E7834" w14:textId="77777777" w:rsidR="00387142" w:rsidRPr="008B6A75" w:rsidRDefault="00387142" w:rsidP="00387142">
            <w:pPr>
              <w:jc w:val="center"/>
              <w:rPr>
                <w:sz w:val="20"/>
                <w:szCs w:val="20"/>
              </w:rPr>
            </w:pPr>
            <w:r w:rsidRPr="008B6A75">
              <w:rPr>
                <w:sz w:val="20"/>
                <w:szCs w:val="20"/>
              </w:rPr>
              <w:t>04</w:t>
            </w:r>
          </w:p>
        </w:tc>
        <w:tc>
          <w:tcPr>
            <w:tcW w:w="1516" w:type="dxa"/>
            <w:tcBorders>
              <w:top w:val="nil"/>
              <w:left w:val="single" w:sz="4" w:space="0" w:color="auto"/>
              <w:bottom w:val="single" w:sz="4" w:space="0" w:color="auto"/>
              <w:right w:val="nil"/>
            </w:tcBorders>
            <w:shd w:val="clear" w:color="auto" w:fill="auto"/>
            <w:noWrap/>
            <w:vAlign w:val="center"/>
            <w:hideMark/>
          </w:tcPr>
          <w:p w14:paraId="1AC634A4" w14:textId="77777777" w:rsidR="00387142" w:rsidRPr="008B6A75" w:rsidRDefault="00387142" w:rsidP="00387142">
            <w:pPr>
              <w:jc w:val="center"/>
              <w:rPr>
                <w:sz w:val="20"/>
                <w:szCs w:val="20"/>
              </w:rPr>
            </w:pPr>
            <w:r w:rsidRPr="008B6A75">
              <w:rPr>
                <w:sz w:val="20"/>
                <w:szCs w:val="20"/>
              </w:rPr>
              <w:t>99.0.00.70159</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0DE3193" w14:textId="77777777" w:rsidR="00387142" w:rsidRPr="008B6A75" w:rsidRDefault="00387142" w:rsidP="00387142">
            <w:pPr>
              <w:jc w:val="center"/>
              <w:rPr>
                <w:sz w:val="20"/>
                <w:szCs w:val="20"/>
              </w:rPr>
            </w:pPr>
            <w:r w:rsidRPr="008B6A75">
              <w:rPr>
                <w:sz w:val="20"/>
                <w:szCs w:val="20"/>
              </w:rPr>
              <w:t>100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7209E82" w14:textId="77777777" w:rsidR="00387142" w:rsidRPr="008B6A75" w:rsidRDefault="00387142" w:rsidP="00387142">
            <w:pPr>
              <w:jc w:val="right"/>
              <w:rPr>
                <w:sz w:val="20"/>
                <w:szCs w:val="20"/>
              </w:rPr>
            </w:pPr>
            <w:r w:rsidRPr="008B6A75">
              <w:rPr>
                <w:sz w:val="20"/>
                <w:szCs w:val="20"/>
              </w:rPr>
              <w:t>1 491 418,60</w:t>
            </w:r>
          </w:p>
        </w:tc>
        <w:tc>
          <w:tcPr>
            <w:tcW w:w="992" w:type="dxa"/>
            <w:tcBorders>
              <w:top w:val="nil"/>
              <w:left w:val="single" w:sz="4" w:space="0" w:color="auto"/>
              <w:bottom w:val="single" w:sz="4" w:space="0" w:color="auto"/>
              <w:right w:val="nil"/>
            </w:tcBorders>
            <w:shd w:val="clear" w:color="auto" w:fill="auto"/>
            <w:vAlign w:val="center"/>
            <w:hideMark/>
          </w:tcPr>
          <w:p w14:paraId="296DAD5B" w14:textId="77777777" w:rsidR="00387142" w:rsidRPr="008B6A75" w:rsidRDefault="00387142" w:rsidP="00387142">
            <w:pPr>
              <w:jc w:val="right"/>
              <w:rPr>
                <w:sz w:val="20"/>
                <w:szCs w:val="20"/>
              </w:rPr>
            </w:pPr>
            <w:r w:rsidRPr="008B6A75">
              <w:rPr>
                <w:sz w:val="20"/>
                <w:szCs w:val="20"/>
              </w:rPr>
              <w:t>1 447 959,18</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6FA04483" w14:textId="77777777" w:rsidR="00387142" w:rsidRPr="008B6A75" w:rsidRDefault="00387142" w:rsidP="00387142">
            <w:pPr>
              <w:jc w:val="right"/>
              <w:rPr>
                <w:sz w:val="20"/>
                <w:szCs w:val="20"/>
              </w:rPr>
            </w:pPr>
            <w:r w:rsidRPr="008B6A75">
              <w:rPr>
                <w:sz w:val="20"/>
                <w:szCs w:val="20"/>
              </w:rPr>
              <w:t>1 491 606,35</w:t>
            </w:r>
          </w:p>
        </w:tc>
      </w:tr>
      <w:tr w:rsidR="00387142" w:rsidRPr="008B6A75" w14:paraId="31D5676C" w14:textId="77777777" w:rsidTr="00387142">
        <w:trPr>
          <w:trHeight w:val="585"/>
        </w:trPr>
        <w:tc>
          <w:tcPr>
            <w:tcW w:w="3261" w:type="dxa"/>
            <w:tcBorders>
              <w:top w:val="nil"/>
              <w:left w:val="single" w:sz="4" w:space="0" w:color="auto"/>
              <w:bottom w:val="single" w:sz="4" w:space="0" w:color="auto"/>
              <w:right w:val="nil"/>
            </w:tcBorders>
            <w:shd w:val="clear" w:color="auto" w:fill="auto"/>
            <w:vAlign w:val="center"/>
            <w:hideMark/>
          </w:tcPr>
          <w:p w14:paraId="7EECD5F9" w14:textId="77777777" w:rsidR="00387142" w:rsidRPr="008B6A75" w:rsidRDefault="00387142" w:rsidP="00387142">
            <w:pPr>
              <w:rPr>
                <w:sz w:val="20"/>
                <w:szCs w:val="20"/>
              </w:rPr>
            </w:pPr>
            <w:r w:rsidRPr="008B6A75">
              <w:rPr>
                <w:sz w:val="20"/>
                <w:szCs w:val="20"/>
              </w:rPr>
              <w:t>Расходы на выплаты персоналу государственных (муниципальных) органов</w:t>
            </w:r>
          </w:p>
        </w:tc>
        <w:tc>
          <w:tcPr>
            <w:tcW w:w="720" w:type="dxa"/>
            <w:tcBorders>
              <w:top w:val="nil"/>
              <w:left w:val="single" w:sz="4" w:space="0" w:color="auto"/>
              <w:bottom w:val="single" w:sz="4" w:space="0" w:color="auto"/>
              <w:right w:val="nil"/>
            </w:tcBorders>
            <w:shd w:val="clear" w:color="auto" w:fill="auto"/>
            <w:noWrap/>
            <w:vAlign w:val="center"/>
            <w:hideMark/>
          </w:tcPr>
          <w:p w14:paraId="5ED9A9DE" w14:textId="77777777" w:rsidR="00387142" w:rsidRPr="008B6A75" w:rsidRDefault="00387142" w:rsidP="00387142">
            <w:pPr>
              <w:jc w:val="center"/>
              <w:rPr>
                <w:sz w:val="20"/>
                <w:szCs w:val="20"/>
              </w:rPr>
            </w:pPr>
            <w:r w:rsidRPr="008B6A75">
              <w:rPr>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F567F97" w14:textId="77777777" w:rsidR="00387142" w:rsidRPr="008B6A75" w:rsidRDefault="00387142" w:rsidP="00387142">
            <w:pPr>
              <w:jc w:val="center"/>
              <w:rPr>
                <w:sz w:val="20"/>
                <w:szCs w:val="20"/>
              </w:rPr>
            </w:pPr>
            <w:r w:rsidRPr="008B6A75">
              <w:rPr>
                <w:sz w:val="20"/>
                <w:szCs w:val="20"/>
              </w:rPr>
              <w:t>04</w:t>
            </w:r>
          </w:p>
        </w:tc>
        <w:tc>
          <w:tcPr>
            <w:tcW w:w="1516" w:type="dxa"/>
            <w:tcBorders>
              <w:top w:val="nil"/>
              <w:left w:val="single" w:sz="4" w:space="0" w:color="auto"/>
              <w:bottom w:val="single" w:sz="4" w:space="0" w:color="auto"/>
              <w:right w:val="nil"/>
            </w:tcBorders>
            <w:shd w:val="clear" w:color="auto" w:fill="auto"/>
            <w:noWrap/>
            <w:vAlign w:val="center"/>
            <w:hideMark/>
          </w:tcPr>
          <w:p w14:paraId="1469AACF" w14:textId="77777777" w:rsidR="00387142" w:rsidRPr="008B6A75" w:rsidRDefault="00387142" w:rsidP="00387142">
            <w:pPr>
              <w:jc w:val="center"/>
              <w:rPr>
                <w:sz w:val="20"/>
                <w:szCs w:val="20"/>
              </w:rPr>
            </w:pPr>
            <w:r w:rsidRPr="008B6A75">
              <w:rPr>
                <w:sz w:val="20"/>
                <w:szCs w:val="20"/>
              </w:rPr>
              <w:t>99.0.00.70159</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4CA90B4" w14:textId="77777777" w:rsidR="00387142" w:rsidRPr="008B6A75" w:rsidRDefault="00387142" w:rsidP="00387142">
            <w:pPr>
              <w:jc w:val="center"/>
              <w:rPr>
                <w:sz w:val="20"/>
                <w:szCs w:val="20"/>
              </w:rPr>
            </w:pPr>
            <w:r w:rsidRPr="008B6A75">
              <w:rPr>
                <w:sz w:val="20"/>
                <w:szCs w:val="20"/>
              </w:rPr>
              <w:t>120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A1E2A7F" w14:textId="77777777" w:rsidR="00387142" w:rsidRPr="008B6A75" w:rsidRDefault="00387142" w:rsidP="00387142">
            <w:pPr>
              <w:jc w:val="right"/>
              <w:rPr>
                <w:sz w:val="20"/>
                <w:szCs w:val="20"/>
              </w:rPr>
            </w:pPr>
            <w:r w:rsidRPr="008B6A75">
              <w:rPr>
                <w:sz w:val="20"/>
                <w:szCs w:val="20"/>
              </w:rPr>
              <w:t>1 491 418,60</w:t>
            </w:r>
          </w:p>
        </w:tc>
        <w:tc>
          <w:tcPr>
            <w:tcW w:w="992" w:type="dxa"/>
            <w:tcBorders>
              <w:top w:val="nil"/>
              <w:left w:val="single" w:sz="4" w:space="0" w:color="auto"/>
              <w:bottom w:val="single" w:sz="4" w:space="0" w:color="auto"/>
              <w:right w:val="nil"/>
            </w:tcBorders>
            <w:shd w:val="clear" w:color="auto" w:fill="auto"/>
            <w:vAlign w:val="center"/>
            <w:hideMark/>
          </w:tcPr>
          <w:p w14:paraId="5251338F" w14:textId="77777777" w:rsidR="00387142" w:rsidRPr="008B6A75" w:rsidRDefault="00387142" w:rsidP="00387142">
            <w:pPr>
              <w:jc w:val="right"/>
              <w:rPr>
                <w:sz w:val="20"/>
                <w:szCs w:val="20"/>
              </w:rPr>
            </w:pPr>
            <w:r w:rsidRPr="008B6A75">
              <w:rPr>
                <w:sz w:val="20"/>
                <w:szCs w:val="20"/>
              </w:rPr>
              <w:t>1 447 959,18</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1033E498" w14:textId="77777777" w:rsidR="00387142" w:rsidRPr="008B6A75" w:rsidRDefault="00387142" w:rsidP="00387142">
            <w:pPr>
              <w:jc w:val="right"/>
              <w:rPr>
                <w:sz w:val="20"/>
                <w:szCs w:val="20"/>
              </w:rPr>
            </w:pPr>
            <w:r w:rsidRPr="008B6A75">
              <w:rPr>
                <w:sz w:val="20"/>
                <w:szCs w:val="20"/>
              </w:rPr>
              <w:t>1 491 606,35</w:t>
            </w:r>
          </w:p>
        </w:tc>
      </w:tr>
      <w:tr w:rsidR="00387142" w:rsidRPr="008B6A75" w14:paraId="6C7B0679" w14:textId="77777777" w:rsidTr="00387142">
        <w:trPr>
          <w:trHeight w:val="585"/>
        </w:trPr>
        <w:tc>
          <w:tcPr>
            <w:tcW w:w="3261" w:type="dxa"/>
            <w:tcBorders>
              <w:top w:val="nil"/>
              <w:left w:val="single" w:sz="4" w:space="0" w:color="auto"/>
              <w:bottom w:val="single" w:sz="4" w:space="0" w:color="auto"/>
              <w:right w:val="nil"/>
            </w:tcBorders>
            <w:shd w:val="clear" w:color="auto" w:fill="auto"/>
            <w:vAlign w:val="center"/>
            <w:hideMark/>
          </w:tcPr>
          <w:p w14:paraId="62ED69A8" w14:textId="77777777" w:rsidR="00387142" w:rsidRPr="008B6A75" w:rsidRDefault="00387142" w:rsidP="00387142">
            <w:pPr>
              <w:rPr>
                <w:sz w:val="20"/>
                <w:szCs w:val="20"/>
              </w:rPr>
            </w:pPr>
            <w:r w:rsidRPr="008B6A75">
              <w:rPr>
                <w:sz w:val="20"/>
                <w:szCs w:val="20"/>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48FB408D" w14:textId="77777777" w:rsidR="00387142" w:rsidRPr="008B6A75" w:rsidRDefault="00387142" w:rsidP="00387142">
            <w:pPr>
              <w:jc w:val="center"/>
              <w:rPr>
                <w:sz w:val="20"/>
                <w:szCs w:val="20"/>
              </w:rPr>
            </w:pPr>
            <w:r w:rsidRPr="008B6A75">
              <w:rPr>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9E837FD" w14:textId="77777777" w:rsidR="00387142" w:rsidRPr="008B6A75" w:rsidRDefault="00387142" w:rsidP="00387142">
            <w:pPr>
              <w:jc w:val="center"/>
              <w:rPr>
                <w:sz w:val="20"/>
                <w:szCs w:val="20"/>
              </w:rPr>
            </w:pPr>
            <w:r w:rsidRPr="008B6A75">
              <w:rPr>
                <w:sz w:val="20"/>
                <w:szCs w:val="20"/>
              </w:rPr>
              <w:t>04</w:t>
            </w:r>
          </w:p>
        </w:tc>
        <w:tc>
          <w:tcPr>
            <w:tcW w:w="1516" w:type="dxa"/>
            <w:tcBorders>
              <w:top w:val="nil"/>
              <w:left w:val="single" w:sz="4" w:space="0" w:color="auto"/>
              <w:bottom w:val="single" w:sz="4" w:space="0" w:color="auto"/>
              <w:right w:val="nil"/>
            </w:tcBorders>
            <w:shd w:val="clear" w:color="auto" w:fill="auto"/>
            <w:noWrap/>
            <w:vAlign w:val="center"/>
            <w:hideMark/>
          </w:tcPr>
          <w:p w14:paraId="0CB8CBCA" w14:textId="77777777" w:rsidR="00387142" w:rsidRPr="008B6A75" w:rsidRDefault="00387142" w:rsidP="00387142">
            <w:pPr>
              <w:jc w:val="center"/>
              <w:rPr>
                <w:sz w:val="20"/>
                <w:szCs w:val="20"/>
              </w:rPr>
            </w:pPr>
            <w:r w:rsidRPr="008B6A75">
              <w:rPr>
                <w:sz w:val="20"/>
                <w:szCs w:val="20"/>
              </w:rPr>
              <w:t>99.0.00.70159</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86EC6EC" w14:textId="77777777" w:rsidR="00387142" w:rsidRPr="008B6A75" w:rsidRDefault="00387142" w:rsidP="00387142">
            <w:pPr>
              <w:jc w:val="center"/>
              <w:rPr>
                <w:sz w:val="20"/>
                <w:szCs w:val="20"/>
              </w:rPr>
            </w:pPr>
            <w:r w:rsidRPr="008B6A75">
              <w:rPr>
                <w:sz w:val="20"/>
                <w:szCs w:val="20"/>
              </w:rPr>
              <w:t>200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CD20A9A" w14:textId="77777777" w:rsidR="00387142" w:rsidRPr="008B6A75" w:rsidRDefault="00387142" w:rsidP="00387142">
            <w:pPr>
              <w:jc w:val="right"/>
              <w:rPr>
                <w:sz w:val="20"/>
                <w:szCs w:val="20"/>
              </w:rPr>
            </w:pPr>
            <w:r w:rsidRPr="008B6A75">
              <w:rPr>
                <w:sz w:val="20"/>
                <w:szCs w:val="20"/>
              </w:rPr>
              <w:t>710 906,40</w:t>
            </w:r>
          </w:p>
        </w:tc>
        <w:tc>
          <w:tcPr>
            <w:tcW w:w="992" w:type="dxa"/>
            <w:tcBorders>
              <w:top w:val="nil"/>
              <w:left w:val="single" w:sz="4" w:space="0" w:color="auto"/>
              <w:bottom w:val="single" w:sz="4" w:space="0" w:color="auto"/>
              <w:right w:val="nil"/>
            </w:tcBorders>
            <w:shd w:val="clear" w:color="auto" w:fill="auto"/>
            <w:vAlign w:val="center"/>
            <w:hideMark/>
          </w:tcPr>
          <w:p w14:paraId="60ED78A1" w14:textId="77777777" w:rsidR="00387142" w:rsidRPr="008B6A75" w:rsidRDefault="00387142" w:rsidP="00387142">
            <w:pPr>
              <w:jc w:val="right"/>
              <w:rPr>
                <w:sz w:val="20"/>
                <w:szCs w:val="20"/>
              </w:rPr>
            </w:pPr>
            <w:r w:rsidRPr="008B6A75">
              <w:rPr>
                <w:sz w:val="20"/>
                <w:szCs w:val="20"/>
              </w:rPr>
              <w:t>692 065,82</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1139ABA8" w14:textId="77777777" w:rsidR="00387142" w:rsidRPr="008B6A75" w:rsidRDefault="00387142" w:rsidP="00387142">
            <w:pPr>
              <w:jc w:val="right"/>
              <w:rPr>
                <w:sz w:val="20"/>
                <w:szCs w:val="20"/>
              </w:rPr>
            </w:pPr>
            <w:r w:rsidRPr="008B6A75">
              <w:rPr>
                <w:sz w:val="20"/>
                <w:szCs w:val="20"/>
              </w:rPr>
              <w:t>729 168,65</w:t>
            </w:r>
          </w:p>
        </w:tc>
      </w:tr>
      <w:tr w:rsidR="00387142" w:rsidRPr="008B6A75" w14:paraId="148213A9" w14:textId="77777777" w:rsidTr="00387142">
        <w:trPr>
          <w:trHeight w:val="870"/>
        </w:trPr>
        <w:tc>
          <w:tcPr>
            <w:tcW w:w="3261" w:type="dxa"/>
            <w:tcBorders>
              <w:top w:val="nil"/>
              <w:left w:val="single" w:sz="4" w:space="0" w:color="auto"/>
              <w:bottom w:val="single" w:sz="4" w:space="0" w:color="auto"/>
              <w:right w:val="nil"/>
            </w:tcBorders>
            <w:shd w:val="clear" w:color="auto" w:fill="auto"/>
            <w:vAlign w:val="center"/>
            <w:hideMark/>
          </w:tcPr>
          <w:p w14:paraId="46B443DF" w14:textId="77777777" w:rsidR="00387142" w:rsidRPr="008B6A75" w:rsidRDefault="00387142" w:rsidP="00387142">
            <w:pPr>
              <w:rPr>
                <w:sz w:val="20"/>
                <w:szCs w:val="20"/>
              </w:rPr>
            </w:pPr>
            <w:r w:rsidRPr="008B6A75">
              <w:rPr>
                <w:sz w:val="20"/>
                <w:szCs w:val="20"/>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0C9C9BDB" w14:textId="77777777" w:rsidR="00387142" w:rsidRPr="008B6A75" w:rsidRDefault="00387142" w:rsidP="00387142">
            <w:pPr>
              <w:jc w:val="center"/>
              <w:rPr>
                <w:sz w:val="20"/>
                <w:szCs w:val="20"/>
              </w:rPr>
            </w:pPr>
            <w:r w:rsidRPr="008B6A75">
              <w:rPr>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F13CBDD" w14:textId="77777777" w:rsidR="00387142" w:rsidRPr="008B6A75" w:rsidRDefault="00387142" w:rsidP="00387142">
            <w:pPr>
              <w:jc w:val="center"/>
              <w:rPr>
                <w:sz w:val="20"/>
                <w:szCs w:val="20"/>
              </w:rPr>
            </w:pPr>
            <w:r w:rsidRPr="008B6A75">
              <w:rPr>
                <w:sz w:val="20"/>
                <w:szCs w:val="20"/>
              </w:rPr>
              <w:t>04</w:t>
            </w:r>
          </w:p>
        </w:tc>
        <w:tc>
          <w:tcPr>
            <w:tcW w:w="1516" w:type="dxa"/>
            <w:tcBorders>
              <w:top w:val="nil"/>
              <w:left w:val="single" w:sz="4" w:space="0" w:color="auto"/>
              <w:bottom w:val="single" w:sz="4" w:space="0" w:color="auto"/>
              <w:right w:val="nil"/>
            </w:tcBorders>
            <w:shd w:val="clear" w:color="auto" w:fill="auto"/>
            <w:noWrap/>
            <w:vAlign w:val="center"/>
            <w:hideMark/>
          </w:tcPr>
          <w:p w14:paraId="6580DD09" w14:textId="77777777" w:rsidR="00387142" w:rsidRPr="008B6A75" w:rsidRDefault="00387142" w:rsidP="00387142">
            <w:pPr>
              <w:jc w:val="center"/>
              <w:rPr>
                <w:sz w:val="20"/>
                <w:szCs w:val="20"/>
              </w:rPr>
            </w:pPr>
            <w:r w:rsidRPr="008B6A75">
              <w:rPr>
                <w:sz w:val="20"/>
                <w:szCs w:val="20"/>
              </w:rPr>
              <w:t>99.0.00.70159</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BAC96EF" w14:textId="77777777" w:rsidR="00387142" w:rsidRPr="008B6A75" w:rsidRDefault="00387142" w:rsidP="00387142">
            <w:pPr>
              <w:jc w:val="center"/>
              <w:rPr>
                <w:sz w:val="20"/>
                <w:szCs w:val="20"/>
              </w:rPr>
            </w:pPr>
            <w:r w:rsidRPr="008B6A75">
              <w:rPr>
                <w:sz w:val="20"/>
                <w:szCs w:val="20"/>
              </w:rPr>
              <w:t>240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727218C" w14:textId="77777777" w:rsidR="00387142" w:rsidRPr="008B6A75" w:rsidRDefault="00387142" w:rsidP="00387142">
            <w:pPr>
              <w:jc w:val="right"/>
              <w:rPr>
                <w:sz w:val="20"/>
                <w:szCs w:val="20"/>
              </w:rPr>
            </w:pPr>
            <w:r w:rsidRPr="008B6A75">
              <w:rPr>
                <w:sz w:val="20"/>
                <w:szCs w:val="20"/>
              </w:rPr>
              <w:t>710 906,40</w:t>
            </w:r>
          </w:p>
        </w:tc>
        <w:tc>
          <w:tcPr>
            <w:tcW w:w="992" w:type="dxa"/>
            <w:tcBorders>
              <w:top w:val="nil"/>
              <w:left w:val="single" w:sz="4" w:space="0" w:color="auto"/>
              <w:bottom w:val="single" w:sz="4" w:space="0" w:color="auto"/>
              <w:right w:val="nil"/>
            </w:tcBorders>
            <w:shd w:val="clear" w:color="auto" w:fill="auto"/>
            <w:vAlign w:val="center"/>
            <w:hideMark/>
          </w:tcPr>
          <w:p w14:paraId="433EBFB7" w14:textId="77777777" w:rsidR="00387142" w:rsidRPr="008B6A75" w:rsidRDefault="00387142" w:rsidP="00387142">
            <w:pPr>
              <w:jc w:val="right"/>
              <w:rPr>
                <w:sz w:val="20"/>
                <w:szCs w:val="20"/>
              </w:rPr>
            </w:pPr>
            <w:r w:rsidRPr="008B6A75">
              <w:rPr>
                <w:sz w:val="20"/>
                <w:szCs w:val="20"/>
              </w:rPr>
              <w:t>692 065,82</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594DB0BC" w14:textId="77777777" w:rsidR="00387142" w:rsidRPr="008B6A75" w:rsidRDefault="00387142" w:rsidP="00387142">
            <w:pPr>
              <w:jc w:val="right"/>
              <w:rPr>
                <w:sz w:val="20"/>
                <w:szCs w:val="20"/>
              </w:rPr>
            </w:pPr>
            <w:r w:rsidRPr="008B6A75">
              <w:rPr>
                <w:sz w:val="20"/>
                <w:szCs w:val="20"/>
              </w:rPr>
              <w:t>729 168,65</w:t>
            </w:r>
          </w:p>
        </w:tc>
      </w:tr>
      <w:tr w:rsidR="00387142" w:rsidRPr="008B6A75" w14:paraId="1C27254C" w14:textId="77777777" w:rsidTr="00387142">
        <w:trPr>
          <w:trHeight w:val="1155"/>
        </w:trPr>
        <w:tc>
          <w:tcPr>
            <w:tcW w:w="3261" w:type="dxa"/>
            <w:tcBorders>
              <w:top w:val="nil"/>
              <w:left w:val="single" w:sz="4" w:space="0" w:color="auto"/>
              <w:bottom w:val="single" w:sz="4" w:space="0" w:color="auto"/>
              <w:right w:val="nil"/>
            </w:tcBorders>
            <w:shd w:val="clear" w:color="auto" w:fill="auto"/>
            <w:vAlign w:val="center"/>
            <w:hideMark/>
          </w:tcPr>
          <w:p w14:paraId="5D38FB6E" w14:textId="77777777" w:rsidR="00387142" w:rsidRPr="008B6A75" w:rsidRDefault="00387142" w:rsidP="00387142">
            <w:pPr>
              <w:rPr>
                <w:bCs/>
                <w:sz w:val="20"/>
                <w:szCs w:val="20"/>
              </w:rPr>
            </w:pPr>
            <w:r w:rsidRPr="008B6A75">
              <w:rPr>
                <w:bCs/>
                <w:sz w:val="20"/>
                <w:szCs w:val="20"/>
              </w:rPr>
              <w:t>Осуществление отдельных государственных полномочий Новосибирской области по обеспечению социального обслуживания отдельных категорий граждан</w:t>
            </w:r>
          </w:p>
        </w:tc>
        <w:tc>
          <w:tcPr>
            <w:tcW w:w="720" w:type="dxa"/>
            <w:tcBorders>
              <w:top w:val="nil"/>
              <w:left w:val="single" w:sz="4" w:space="0" w:color="auto"/>
              <w:bottom w:val="single" w:sz="4" w:space="0" w:color="auto"/>
              <w:right w:val="nil"/>
            </w:tcBorders>
            <w:shd w:val="clear" w:color="auto" w:fill="auto"/>
            <w:noWrap/>
            <w:vAlign w:val="center"/>
            <w:hideMark/>
          </w:tcPr>
          <w:p w14:paraId="6E129E46" w14:textId="77777777" w:rsidR="00387142" w:rsidRPr="008B6A75" w:rsidRDefault="00387142" w:rsidP="00387142">
            <w:pPr>
              <w:jc w:val="center"/>
              <w:rPr>
                <w:bCs/>
                <w:sz w:val="20"/>
                <w:szCs w:val="20"/>
              </w:rPr>
            </w:pPr>
            <w:r w:rsidRPr="008B6A75">
              <w:rPr>
                <w:bCs/>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B4ED22C" w14:textId="77777777" w:rsidR="00387142" w:rsidRPr="008B6A75" w:rsidRDefault="00387142" w:rsidP="00387142">
            <w:pPr>
              <w:jc w:val="center"/>
              <w:rPr>
                <w:bCs/>
                <w:sz w:val="20"/>
                <w:szCs w:val="20"/>
              </w:rPr>
            </w:pPr>
            <w:r w:rsidRPr="008B6A75">
              <w:rPr>
                <w:bCs/>
                <w:sz w:val="20"/>
                <w:szCs w:val="20"/>
              </w:rPr>
              <w:t>04</w:t>
            </w:r>
          </w:p>
        </w:tc>
        <w:tc>
          <w:tcPr>
            <w:tcW w:w="1516" w:type="dxa"/>
            <w:tcBorders>
              <w:top w:val="nil"/>
              <w:left w:val="single" w:sz="4" w:space="0" w:color="auto"/>
              <w:bottom w:val="single" w:sz="4" w:space="0" w:color="auto"/>
              <w:right w:val="nil"/>
            </w:tcBorders>
            <w:shd w:val="clear" w:color="auto" w:fill="auto"/>
            <w:noWrap/>
            <w:vAlign w:val="center"/>
            <w:hideMark/>
          </w:tcPr>
          <w:p w14:paraId="79E1CDCE" w14:textId="77777777" w:rsidR="00387142" w:rsidRPr="008B6A75" w:rsidRDefault="00387142" w:rsidP="00387142">
            <w:pPr>
              <w:jc w:val="center"/>
              <w:rPr>
                <w:bCs/>
                <w:sz w:val="20"/>
                <w:szCs w:val="20"/>
              </w:rPr>
            </w:pPr>
            <w:r w:rsidRPr="008B6A75">
              <w:rPr>
                <w:bCs/>
                <w:sz w:val="20"/>
                <w:szCs w:val="20"/>
              </w:rPr>
              <w:t>99.0.00.70180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6A14049"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32C1273" w14:textId="77777777" w:rsidR="00387142" w:rsidRPr="008B6A75" w:rsidRDefault="00387142" w:rsidP="00387142">
            <w:pPr>
              <w:jc w:val="right"/>
              <w:rPr>
                <w:bCs/>
                <w:sz w:val="20"/>
                <w:szCs w:val="20"/>
              </w:rPr>
            </w:pPr>
            <w:r w:rsidRPr="008B6A75">
              <w:rPr>
                <w:bCs/>
                <w:sz w:val="20"/>
                <w:szCs w:val="20"/>
              </w:rPr>
              <w:t>2 431 464,56</w:t>
            </w:r>
          </w:p>
        </w:tc>
        <w:tc>
          <w:tcPr>
            <w:tcW w:w="992" w:type="dxa"/>
            <w:tcBorders>
              <w:top w:val="nil"/>
              <w:left w:val="single" w:sz="4" w:space="0" w:color="auto"/>
              <w:bottom w:val="single" w:sz="4" w:space="0" w:color="auto"/>
              <w:right w:val="nil"/>
            </w:tcBorders>
            <w:shd w:val="clear" w:color="auto" w:fill="auto"/>
            <w:vAlign w:val="center"/>
            <w:hideMark/>
          </w:tcPr>
          <w:p w14:paraId="5CCCAF20" w14:textId="77777777" w:rsidR="00387142" w:rsidRPr="008B6A75" w:rsidRDefault="00387142" w:rsidP="00387142">
            <w:pPr>
              <w:jc w:val="right"/>
              <w:rPr>
                <w:bCs/>
                <w:sz w:val="20"/>
                <w:szCs w:val="20"/>
              </w:rPr>
            </w:pPr>
            <w:r w:rsidRPr="008B6A75">
              <w:rPr>
                <w:bCs/>
                <w:sz w:val="20"/>
                <w:szCs w:val="20"/>
              </w:rPr>
              <w:t>2 392 000,00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3367474D" w14:textId="77777777" w:rsidR="00387142" w:rsidRPr="008B6A75" w:rsidRDefault="00387142" w:rsidP="00387142">
            <w:pPr>
              <w:jc w:val="right"/>
              <w:rPr>
                <w:bCs/>
                <w:sz w:val="20"/>
                <w:szCs w:val="20"/>
              </w:rPr>
            </w:pPr>
            <w:r w:rsidRPr="008B6A75">
              <w:rPr>
                <w:bCs/>
                <w:sz w:val="20"/>
                <w:szCs w:val="20"/>
              </w:rPr>
              <w:t>2 488 095,99</w:t>
            </w:r>
          </w:p>
        </w:tc>
      </w:tr>
      <w:tr w:rsidR="00387142" w:rsidRPr="008B6A75" w14:paraId="55F13FDC" w14:textId="77777777" w:rsidTr="00387142">
        <w:trPr>
          <w:trHeight w:val="1440"/>
        </w:trPr>
        <w:tc>
          <w:tcPr>
            <w:tcW w:w="3261" w:type="dxa"/>
            <w:tcBorders>
              <w:top w:val="nil"/>
              <w:left w:val="single" w:sz="4" w:space="0" w:color="auto"/>
              <w:bottom w:val="single" w:sz="4" w:space="0" w:color="auto"/>
              <w:right w:val="nil"/>
            </w:tcBorders>
            <w:shd w:val="clear" w:color="auto" w:fill="auto"/>
            <w:vAlign w:val="center"/>
            <w:hideMark/>
          </w:tcPr>
          <w:p w14:paraId="24CEA3A9" w14:textId="77777777" w:rsidR="00387142" w:rsidRPr="008B6A75" w:rsidRDefault="00387142" w:rsidP="00387142">
            <w:pPr>
              <w:rPr>
                <w:sz w:val="20"/>
                <w:szCs w:val="20"/>
              </w:rPr>
            </w:pPr>
            <w:r w:rsidRPr="008B6A75">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14:paraId="26695613" w14:textId="77777777" w:rsidR="00387142" w:rsidRPr="008B6A75" w:rsidRDefault="00387142" w:rsidP="00387142">
            <w:pPr>
              <w:jc w:val="center"/>
              <w:rPr>
                <w:sz w:val="20"/>
                <w:szCs w:val="20"/>
              </w:rPr>
            </w:pPr>
            <w:r w:rsidRPr="008B6A75">
              <w:rPr>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217DBEA" w14:textId="77777777" w:rsidR="00387142" w:rsidRPr="008B6A75" w:rsidRDefault="00387142" w:rsidP="00387142">
            <w:pPr>
              <w:jc w:val="center"/>
              <w:rPr>
                <w:sz w:val="20"/>
                <w:szCs w:val="20"/>
              </w:rPr>
            </w:pPr>
            <w:r w:rsidRPr="008B6A75">
              <w:rPr>
                <w:sz w:val="20"/>
                <w:szCs w:val="20"/>
              </w:rPr>
              <w:t>04</w:t>
            </w:r>
          </w:p>
        </w:tc>
        <w:tc>
          <w:tcPr>
            <w:tcW w:w="1516" w:type="dxa"/>
            <w:tcBorders>
              <w:top w:val="nil"/>
              <w:left w:val="single" w:sz="4" w:space="0" w:color="auto"/>
              <w:bottom w:val="single" w:sz="4" w:space="0" w:color="auto"/>
              <w:right w:val="nil"/>
            </w:tcBorders>
            <w:shd w:val="clear" w:color="auto" w:fill="auto"/>
            <w:noWrap/>
            <w:vAlign w:val="center"/>
            <w:hideMark/>
          </w:tcPr>
          <w:p w14:paraId="585C5EA6" w14:textId="77777777" w:rsidR="00387142" w:rsidRPr="008B6A75" w:rsidRDefault="00387142" w:rsidP="00387142">
            <w:pPr>
              <w:jc w:val="center"/>
              <w:rPr>
                <w:sz w:val="20"/>
                <w:szCs w:val="20"/>
              </w:rPr>
            </w:pPr>
            <w:r w:rsidRPr="008B6A75">
              <w:rPr>
                <w:sz w:val="20"/>
                <w:szCs w:val="20"/>
              </w:rPr>
              <w:t>99.0.00.70180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AA7DA72" w14:textId="77777777" w:rsidR="00387142" w:rsidRPr="008B6A75" w:rsidRDefault="00387142" w:rsidP="00387142">
            <w:pPr>
              <w:jc w:val="center"/>
              <w:rPr>
                <w:sz w:val="20"/>
                <w:szCs w:val="20"/>
              </w:rPr>
            </w:pPr>
            <w:r w:rsidRPr="008B6A75">
              <w:rPr>
                <w:sz w:val="20"/>
                <w:szCs w:val="20"/>
              </w:rPr>
              <w:t>100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47446F1" w14:textId="77777777" w:rsidR="00387142" w:rsidRPr="008B6A75" w:rsidRDefault="00387142" w:rsidP="00387142">
            <w:pPr>
              <w:jc w:val="right"/>
              <w:rPr>
                <w:sz w:val="20"/>
                <w:szCs w:val="20"/>
              </w:rPr>
            </w:pPr>
            <w:r w:rsidRPr="008B6A75">
              <w:rPr>
                <w:sz w:val="20"/>
                <w:szCs w:val="20"/>
              </w:rPr>
              <w:t>2 285 902,71</w:t>
            </w:r>
          </w:p>
        </w:tc>
        <w:tc>
          <w:tcPr>
            <w:tcW w:w="992" w:type="dxa"/>
            <w:tcBorders>
              <w:top w:val="nil"/>
              <w:left w:val="single" w:sz="4" w:space="0" w:color="auto"/>
              <w:bottom w:val="single" w:sz="4" w:space="0" w:color="auto"/>
              <w:right w:val="nil"/>
            </w:tcBorders>
            <w:shd w:val="clear" w:color="auto" w:fill="auto"/>
            <w:vAlign w:val="center"/>
            <w:hideMark/>
          </w:tcPr>
          <w:p w14:paraId="3BD26B3C" w14:textId="77777777" w:rsidR="00387142" w:rsidRPr="008B6A75" w:rsidRDefault="00387142" w:rsidP="00387142">
            <w:pPr>
              <w:jc w:val="right"/>
              <w:rPr>
                <w:sz w:val="20"/>
                <w:szCs w:val="20"/>
              </w:rPr>
            </w:pPr>
            <w:r w:rsidRPr="008B6A75">
              <w:rPr>
                <w:sz w:val="20"/>
                <w:szCs w:val="20"/>
              </w:rPr>
              <w:t>2 131 970,90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1268B4EA" w14:textId="77777777" w:rsidR="00387142" w:rsidRPr="008B6A75" w:rsidRDefault="00387142" w:rsidP="00387142">
            <w:pPr>
              <w:jc w:val="right"/>
              <w:rPr>
                <w:sz w:val="20"/>
                <w:szCs w:val="20"/>
              </w:rPr>
            </w:pPr>
            <w:r w:rsidRPr="008B6A75">
              <w:rPr>
                <w:sz w:val="20"/>
                <w:szCs w:val="20"/>
              </w:rPr>
              <w:t>2 220 054,55</w:t>
            </w:r>
          </w:p>
        </w:tc>
      </w:tr>
      <w:tr w:rsidR="00387142" w:rsidRPr="008B6A75" w14:paraId="3F1DED8D" w14:textId="77777777" w:rsidTr="00387142">
        <w:trPr>
          <w:trHeight w:val="585"/>
        </w:trPr>
        <w:tc>
          <w:tcPr>
            <w:tcW w:w="3261" w:type="dxa"/>
            <w:tcBorders>
              <w:top w:val="nil"/>
              <w:left w:val="single" w:sz="4" w:space="0" w:color="auto"/>
              <w:bottom w:val="single" w:sz="4" w:space="0" w:color="auto"/>
              <w:right w:val="nil"/>
            </w:tcBorders>
            <w:shd w:val="clear" w:color="auto" w:fill="auto"/>
            <w:vAlign w:val="center"/>
            <w:hideMark/>
          </w:tcPr>
          <w:p w14:paraId="232BC65F" w14:textId="77777777" w:rsidR="00387142" w:rsidRPr="008B6A75" w:rsidRDefault="00387142" w:rsidP="00387142">
            <w:pPr>
              <w:rPr>
                <w:sz w:val="20"/>
                <w:szCs w:val="20"/>
              </w:rPr>
            </w:pPr>
            <w:r w:rsidRPr="008B6A75">
              <w:rPr>
                <w:sz w:val="20"/>
                <w:szCs w:val="20"/>
              </w:rPr>
              <w:t>Расходы на выплаты персоналу государственных (муниципальных) органов</w:t>
            </w:r>
          </w:p>
        </w:tc>
        <w:tc>
          <w:tcPr>
            <w:tcW w:w="720" w:type="dxa"/>
            <w:tcBorders>
              <w:top w:val="nil"/>
              <w:left w:val="single" w:sz="4" w:space="0" w:color="auto"/>
              <w:bottom w:val="single" w:sz="4" w:space="0" w:color="auto"/>
              <w:right w:val="nil"/>
            </w:tcBorders>
            <w:shd w:val="clear" w:color="auto" w:fill="auto"/>
            <w:noWrap/>
            <w:vAlign w:val="center"/>
            <w:hideMark/>
          </w:tcPr>
          <w:p w14:paraId="6165F01E" w14:textId="77777777" w:rsidR="00387142" w:rsidRPr="008B6A75" w:rsidRDefault="00387142" w:rsidP="00387142">
            <w:pPr>
              <w:jc w:val="center"/>
              <w:rPr>
                <w:sz w:val="20"/>
                <w:szCs w:val="20"/>
              </w:rPr>
            </w:pPr>
            <w:r w:rsidRPr="008B6A75">
              <w:rPr>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EB9A54A" w14:textId="77777777" w:rsidR="00387142" w:rsidRPr="008B6A75" w:rsidRDefault="00387142" w:rsidP="00387142">
            <w:pPr>
              <w:jc w:val="center"/>
              <w:rPr>
                <w:sz w:val="20"/>
                <w:szCs w:val="20"/>
              </w:rPr>
            </w:pPr>
            <w:r w:rsidRPr="008B6A75">
              <w:rPr>
                <w:sz w:val="20"/>
                <w:szCs w:val="20"/>
              </w:rPr>
              <w:t>04</w:t>
            </w:r>
          </w:p>
        </w:tc>
        <w:tc>
          <w:tcPr>
            <w:tcW w:w="1516" w:type="dxa"/>
            <w:tcBorders>
              <w:top w:val="nil"/>
              <w:left w:val="single" w:sz="4" w:space="0" w:color="auto"/>
              <w:bottom w:val="single" w:sz="4" w:space="0" w:color="auto"/>
              <w:right w:val="nil"/>
            </w:tcBorders>
            <w:shd w:val="clear" w:color="auto" w:fill="auto"/>
            <w:noWrap/>
            <w:vAlign w:val="center"/>
            <w:hideMark/>
          </w:tcPr>
          <w:p w14:paraId="5306BB0F" w14:textId="77777777" w:rsidR="00387142" w:rsidRPr="008B6A75" w:rsidRDefault="00387142" w:rsidP="00387142">
            <w:pPr>
              <w:jc w:val="center"/>
              <w:rPr>
                <w:sz w:val="20"/>
                <w:szCs w:val="20"/>
              </w:rPr>
            </w:pPr>
            <w:r w:rsidRPr="008B6A75">
              <w:rPr>
                <w:sz w:val="20"/>
                <w:szCs w:val="20"/>
              </w:rPr>
              <w:t>99.0.00.70180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4430A9C" w14:textId="77777777" w:rsidR="00387142" w:rsidRPr="008B6A75" w:rsidRDefault="00387142" w:rsidP="00387142">
            <w:pPr>
              <w:jc w:val="center"/>
              <w:rPr>
                <w:sz w:val="20"/>
                <w:szCs w:val="20"/>
              </w:rPr>
            </w:pPr>
            <w:r w:rsidRPr="008B6A75">
              <w:rPr>
                <w:sz w:val="20"/>
                <w:szCs w:val="20"/>
              </w:rPr>
              <w:t>120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AFAEC8B" w14:textId="77777777" w:rsidR="00387142" w:rsidRPr="008B6A75" w:rsidRDefault="00387142" w:rsidP="00387142">
            <w:pPr>
              <w:jc w:val="right"/>
              <w:rPr>
                <w:sz w:val="20"/>
                <w:szCs w:val="20"/>
              </w:rPr>
            </w:pPr>
            <w:r w:rsidRPr="008B6A75">
              <w:rPr>
                <w:sz w:val="20"/>
                <w:szCs w:val="20"/>
              </w:rPr>
              <w:t>2 285 902,71</w:t>
            </w:r>
          </w:p>
        </w:tc>
        <w:tc>
          <w:tcPr>
            <w:tcW w:w="992" w:type="dxa"/>
            <w:tcBorders>
              <w:top w:val="nil"/>
              <w:left w:val="single" w:sz="4" w:space="0" w:color="auto"/>
              <w:bottom w:val="single" w:sz="4" w:space="0" w:color="auto"/>
              <w:right w:val="nil"/>
            </w:tcBorders>
            <w:shd w:val="clear" w:color="auto" w:fill="auto"/>
            <w:vAlign w:val="center"/>
            <w:hideMark/>
          </w:tcPr>
          <w:p w14:paraId="67518395" w14:textId="77777777" w:rsidR="00387142" w:rsidRPr="008B6A75" w:rsidRDefault="00387142" w:rsidP="00387142">
            <w:pPr>
              <w:jc w:val="right"/>
              <w:rPr>
                <w:sz w:val="20"/>
                <w:szCs w:val="20"/>
              </w:rPr>
            </w:pPr>
            <w:r w:rsidRPr="008B6A75">
              <w:rPr>
                <w:sz w:val="20"/>
                <w:szCs w:val="20"/>
              </w:rPr>
              <w:t>2 131 970,90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3D31EB55" w14:textId="77777777" w:rsidR="00387142" w:rsidRPr="008B6A75" w:rsidRDefault="00387142" w:rsidP="00387142">
            <w:pPr>
              <w:jc w:val="right"/>
              <w:rPr>
                <w:sz w:val="20"/>
                <w:szCs w:val="20"/>
              </w:rPr>
            </w:pPr>
            <w:r w:rsidRPr="008B6A75">
              <w:rPr>
                <w:sz w:val="20"/>
                <w:szCs w:val="20"/>
              </w:rPr>
              <w:t>2 220 054,55</w:t>
            </w:r>
          </w:p>
        </w:tc>
      </w:tr>
      <w:tr w:rsidR="00387142" w:rsidRPr="008B6A75" w14:paraId="1E5CC29C" w14:textId="77777777" w:rsidTr="00387142">
        <w:trPr>
          <w:trHeight w:val="585"/>
        </w:trPr>
        <w:tc>
          <w:tcPr>
            <w:tcW w:w="3261" w:type="dxa"/>
            <w:tcBorders>
              <w:top w:val="nil"/>
              <w:left w:val="single" w:sz="4" w:space="0" w:color="auto"/>
              <w:bottom w:val="single" w:sz="4" w:space="0" w:color="auto"/>
              <w:right w:val="nil"/>
            </w:tcBorders>
            <w:shd w:val="clear" w:color="auto" w:fill="auto"/>
            <w:vAlign w:val="center"/>
            <w:hideMark/>
          </w:tcPr>
          <w:p w14:paraId="7A2F139C" w14:textId="77777777" w:rsidR="00387142" w:rsidRPr="008B6A75" w:rsidRDefault="00387142" w:rsidP="00387142">
            <w:pPr>
              <w:rPr>
                <w:sz w:val="20"/>
                <w:szCs w:val="20"/>
              </w:rPr>
            </w:pPr>
            <w:r w:rsidRPr="008B6A75">
              <w:rPr>
                <w:sz w:val="20"/>
                <w:szCs w:val="20"/>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7B103C42" w14:textId="77777777" w:rsidR="00387142" w:rsidRPr="008B6A75" w:rsidRDefault="00387142" w:rsidP="00387142">
            <w:pPr>
              <w:jc w:val="center"/>
              <w:rPr>
                <w:sz w:val="20"/>
                <w:szCs w:val="20"/>
              </w:rPr>
            </w:pPr>
            <w:r w:rsidRPr="008B6A75">
              <w:rPr>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8E4A218" w14:textId="77777777" w:rsidR="00387142" w:rsidRPr="008B6A75" w:rsidRDefault="00387142" w:rsidP="00387142">
            <w:pPr>
              <w:jc w:val="center"/>
              <w:rPr>
                <w:sz w:val="20"/>
                <w:szCs w:val="20"/>
              </w:rPr>
            </w:pPr>
            <w:r w:rsidRPr="008B6A75">
              <w:rPr>
                <w:sz w:val="20"/>
                <w:szCs w:val="20"/>
              </w:rPr>
              <w:t>04</w:t>
            </w:r>
          </w:p>
        </w:tc>
        <w:tc>
          <w:tcPr>
            <w:tcW w:w="1516" w:type="dxa"/>
            <w:tcBorders>
              <w:top w:val="nil"/>
              <w:left w:val="single" w:sz="4" w:space="0" w:color="auto"/>
              <w:bottom w:val="single" w:sz="4" w:space="0" w:color="auto"/>
              <w:right w:val="nil"/>
            </w:tcBorders>
            <w:shd w:val="clear" w:color="auto" w:fill="auto"/>
            <w:noWrap/>
            <w:vAlign w:val="center"/>
            <w:hideMark/>
          </w:tcPr>
          <w:p w14:paraId="362B3EC6" w14:textId="77777777" w:rsidR="00387142" w:rsidRPr="008B6A75" w:rsidRDefault="00387142" w:rsidP="00387142">
            <w:pPr>
              <w:jc w:val="center"/>
              <w:rPr>
                <w:sz w:val="20"/>
                <w:szCs w:val="20"/>
              </w:rPr>
            </w:pPr>
            <w:r w:rsidRPr="008B6A75">
              <w:rPr>
                <w:sz w:val="20"/>
                <w:szCs w:val="20"/>
              </w:rPr>
              <w:t>99.0.00.70180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413F36B" w14:textId="77777777" w:rsidR="00387142" w:rsidRPr="008B6A75" w:rsidRDefault="00387142" w:rsidP="00387142">
            <w:pPr>
              <w:jc w:val="center"/>
              <w:rPr>
                <w:sz w:val="20"/>
                <w:szCs w:val="20"/>
              </w:rPr>
            </w:pPr>
            <w:r w:rsidRPr="008B6A75">
              <w:rPr>
                <w:sz w:val="20"/>
                <w:szCs w:val="20"/>
              </w:rPr>
              <w:t>200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C6E2044" w14:textId="77777777" w:rsidR="00387142" w:rsidRPr="008B6A75" w:rsidRDefault="00387142" w:rsidP="00387142">
            <w:pPr>
              <w:jc w:val="right"/>
              <w:rPr>
                <w:sz w:val="20"/>
                <w:szCs w:val="20"/>
              </w:rPr>
            </w:pPr>
            <w:r w:rsidRPr="008B6A75">
              <w:rPr>
                <w:sz w:val="20"/>
                <w:szCs w:val="20"/>
              </w:rPr>
              <w:t>145 561,85</w:t>
            </w:r>
          </w:p>
        </w:tc>
        <w:tc>
          <w:tcPr>
            <w:tcW w:w="992" w:type="dxa"/>
            <w:tcBorders>
              <w:top w:val="nil"/>
              <w:left w:val="single" w:sz="4" w:space="0" w:color="auto"/>
              <w:bottom w:val="single" w:sz="4" w:space="0" w:color="auto"/>
              <w:right w:val="nil"/>
            </w:tcBorders>
            <w:shd w:val="clear" w:color="auto" w:fill="auto"/>
            <w:vAlign w:val="center"/>
            <w:hideMark/>
          </w:tcPr>
          <w:p w14:paraId="27D8CD16" w14:textId="77777777" w:rsidR="00387142" w:rsidRPr="008B6A75" w:rsidRDefault="00387142" w:rsidP="00387142">
            <w:pPr>
              <w:jc w:val="right"/>
              <w:rPr>
                <w:sz w:val="20"/>
                <w:szCs w:val="20"/>
              </w:rPr>
            </w:pPr>
            <w:r w:rsidRPr="008B6A75">
              <w:rPr>
                <w:sz w:val="20"/>
                <w:szCs w:val="20"/>
              </w:rPr>
              <w:t>260 029,10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43408C8D" w14:textId="77777777" w:rsidR="00387142" w:rsidRPr="008B6A75" w:rsidRDefault="00387142" w:rsidP="00387142">
            <w:pPr>
              <w:jc w:val="right"/>
              <w:rPr>
                <w:sz w:val="20"/>
                <w:szCs w:val="20"/>
              </w:rPr>
            </w:pPr>
            <w:r w:rsidRPr="008B6A75">
              <w:rPr>
                <w:sz w:val="20"/>
                <w:szCs w:val="20"/>
              </w:rPr>
              <w:t>268 041,44</w:t>
            </w:r>
          </w:p>
        </w:tc>
      </w:tr>
      <w:tr w:rsidR="00387142" w:rsidRPr="008B6A75" w14:paraId="0AB17871" w14:textId="77777777" w:rsidTr="00387142">
        <w:trPr>
          <w:trHeight w:val="870"/>
        </w:trPr>
        <w:tc>
          <w:tcPr>
            <w:tcW w:w="3261" w:type="dxa"/>
            <w:tcBorders>
              <w:top w:val="nil"/>
              <w:left w:val="single" w:sz="4" w:space="0" w:color="auto"/>
              <w:bottom w:val="single" w:sz="4" w:space="0" w:color="auto"/>
              <w:right w:val="nil"/>
            </w:tcBorders>
            <w:shd w:val="clear" w:color="auto" w:fill="auto"/>
            <w:vAlign w:val="center"/>
            <w:hideMark/>
          </w:tcPr>
          <w:p w14:paraId="67A295CA" w14:textId="77777777" w:rsidR="00387142" w:rsidRPr="008B6A75" w:rsidRDefault="00387142" w:rsidP="00387142">
            <w:pPr>
              <w:rPr>
                <w:sz w:val="20"/>
                <w:szCs w:val="20"/>
              </w:rPr>
            </w:pPr>
            <w:r w:rsidRPr="008B6A75">
              <w:rPr>
                <w:sz w:val="20"/>
                <w:szCs w:val="20"/>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63594C49" w14:textId="77777777" w:rsidR="00387142" w:rsidRPr="008B6A75" w:rsidRDefault="00387142" w:rsidP="00387142">
            <w:pPr>
              <w:jc w:val="center"/>
              <w:rPr>
                <w:sz w:val="20"/>
                <w:szCs w:val="20"/>
              </w:rPr>
            </w:pPr>
            <w:r w:rsidRPr="008B6A75">
              <w:rPr>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3D0678E" w14:textId="77777777" w:rsidR="00387142" w:rsidRPr="008B6A75" w:rsidRDefault="00387142" w:rsidP="00387142">
            <w:pPr>
              <w:jc w:val="center"/>
              <w:rPr>
                <w:sz w:val="20"/>
                <w:szCs w:val="20"/>
              </w:rPr>
            </w:pPr>
            <w:r w:rsidRPr="008B6A75">
              <w:rPr>
                <w:sz w:val="20"/>
                <w:szCs w:val="20"/>
              </w:rPr>
              <w:t>04</w:t>
            </w:r>
          </w:p>
        </w:tc>
        <w:tc>
          <w:tcPr>
            <w:tcW w:w="1516" w:type="dxa"/>
            <w:tcBorders>
              <w:top w:val="nil"/>
              <w:left w:val="single" w:sz="4" w:space="0" w:color="auto"/>
              <w:bottom w:val="single" w:sz="4" w:space="0" w:color="auto"/>
              <w:right w:val="nil"/>
            </w:tcBorders>
            <w:shd w:val="clear" w:color="auto" w:fill="auto"/>
            <w:noWrap/>
            <w:vAlign w:val="center"/>
            <w:hideMark/>
          </w:tcPr>
          <w:p w14:paraId="1D21A707" w14:textId="77777777" w:rsidR="00387142" w:rsidRPr="008B6A75" w:rsidRDefault="00387142" w:rsidP="00387142">
            <w:pPr>
              <w:jc w:val="center"/>
              <w:rPr>
                <w:sz w:val="20"/>
                <w:szCs w:val="20"/>
              </w:rPr>
            </w:pPr>
            <w:r w:rsidRPr="008B6A75">
              <w:rPr>
                <w:sz w:val="20"/>
                <w:szCs w:val="20"/>
              </w:rPr>
              <w:t>99.0.00.70180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F117583" w14:textId="77777777" w:rsidR="00387142" w:rsidRPr="008B6A75" w:rsidRDefault="00387142" w:rsidP="00387142">
            <w:pPr>
              <w:jc w:val="center"/>
              <w:rPr>
                <w:sz w:val="20"/>
                <w:szCs w:val="20"/>
              </w:rPr>
            </w:pPr>
            <w:r w:rsidRPr="008B6A75">
              <w:rPr>
                <w:sz w:val="20"/>
                <w:szCs w:val="20"/>
              </w:rPr>
              <w:t>240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BD5DE62" w14:textId="77777777" w:rsidR="00387142" w:rsidRPr="008B6A75" w:rsidRDefault="00387142" w:rsidP="00387142">
            <w:pPr>
              <w:jc w:val="right"/>
              <w:rPr>
                <w:sz w:val="20"/>
                <w:szCs w:val="20"/>
              </w:rPr>
            </w:pPr>
            <w:r w:rsidRPr="008B6A75">
              <w:rPr>
                <w:sz w:val="20"/>
                <w:szCs w:val="20"/>
              </w:rPr>
              <w:t>145 561,85</w:t>
            </w:r>
          </w:p>
        </w:tc>
        <w:tc>
          <w:tcPr>
            <w:tcW w:w="992" w:type="dxa"/>
            <w:tcBorders>
              <w:top w:val="nil"/>
              <w:left w:val="single" w:sz="4" w:space="0" w:color="auto"/>
              <w:bottom w:val="single" w:sz="4" w:space="0" w:color="auto"/>
              <w:right w:val="nil"/>
            </w:tcBorders>
            <w:shd w:val="clear" w:color="auto" w:fill="auto"/>
            <w:vAlign w:val="center"/>
            <w:hideMark/>
          </w:tcPr>
          <w:p w14:paraId="66C12D7E" w14:textId="77777777" w:rsidR="00387142" w:rsidRPr="008B6A75" w:rsidRDefault="00387142" w:rsidP="00387142">
            <w:pPr>
              <w:jc w:val="right"/>
              <w:rPr>
                <w:sz w:val="20"/>
                <w:szCs w:val="20"/>
              </w:rPr>
            </w:pPr>
            <w:r w:rsidRPr="008B6A75">
              <w:rPr>
                <w:sz w:val="20"/>
                <w:szCs w:val="20"/>
              </w:rPr>
              <w:t>260 029,10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1BFB1716" w14:textId="77777777" w:rsidR="00387142" w:rsidRPr="008B6A75" w:rsidRDefault="00387142" w:rsidP="00387142">
            <w:pPr>
              <w:jc w:val="right"/>
              <w:rPr>
                <w:sz w:val="20"/>
                <w:szCs w:val="20"/>
              </w:rPr>
            </w:pPr>
            <w:r w:rsidRPr="008B6A75">
              <w:rPr>
                <w:sz w:val="20"/>
                <w:szCs w:val="20"/>
              </w:rPr>
              <w:t>268 041,44</w:t>
            </w:r>
          </w:p>
        </w:tc>
      </w:tr>
      <w:tr w:rsidR="00387142" w:rsidRPr="008B6A75" w14:paraId="37A716CE" w14:textId="77777777" w:rsidTr="00387142">
        <w:trPr>
          <w:trHeight w:val="1155"/>
        </w:trPr>
        <w:tc>
          <w:tcPr>
            <w:tcW w:w="3261" w:type="dxa"/>
            <w:tcBorders>
              <w:top w:val="nil"/>
              <w:left w:val="single" w:sz="4" w:space="0" w:color="auto"/>
              <w:bottom w:val="single" w:sz="4" w:space="0" w:color="auto"/>
              <w:right w:val="nil"/>
            </w:tcBorders>
            <w:shd w:val="clear" w:color="auto" w:fill="auto"/>
            <w:vAlign w:val="center"/>
            <w:hideMark/>
          </w:tcPr>
          <w:p w14:paraId="55664B89" w14:textId="77777777" w:rsidR="00387142" w:rsidRPr="008B6A75" w:rsidRDefault="00387142" w:rsidP="00387142">
            <w:pPr>
              <w:rPr>
                <w:bCs/>
                <w:sz w:val="20"/>
                <w:szCs w:val="20"/>
              </w:rPr>
            </w:pPr>
            <w:r w:rsidRPr="008B6A75">
              <w:rPr>
                <w:bCs/>
                <w:sz w:val="20"/>
                <w:szCs w:val="20"/>
              </w:rPr>
              <w:t>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720" w:type="dxa"/>
            <w:tcBorders>
              <w:top w:val="nil"/>
              <w:left w:val="single" w:sz="4" w:space="0" w:color="auto"/>
              <w:bottom w:val="single" w:sz="4" w:space="0" w:color="auto"/>
              <w:right w:val="nil"/>
            </w:tcBorders>
            <w:shd w:val="clear" w:color="auto" w:fill="auto"/>
            <w:noWrap/>
            <w:vAlign w:val="center"/>
            <w:hideMark/>
          </w:tcPr>
          <w:p w14:paraId="506CA15B" w14:textId="77777777" w:rsidR="00387142" w:rsidRPr="008B6A75" w:rsidRDefault="00387142" w:rsidP="00387142">
            <w:pPr>
              <w:jc w:val="center"/>
              <w:rPr>
                <w:bCs/>
                <w:sz w:val="20"/>
                <w:szCs w:val="20"/>
              </w:rPr>
            </w:pPr>
            <w:r w:rsidRPr="008B6A75">
              <w:rPr>
                <w:bCs/>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277110C" w14:textId="77777777" w:rsidR="00387142" w:rsidRPr="008B6A75" w:rsidRDefault="00387142" w:rsidP="00387142">
            <w:pPr>
              <w:jc w:val="center"/>
              <w:rPr>
                <w:bCs/>
                <w:sz w:val="20"/>
                <w:szCs w:val="20"/>
              </w:rPr>
            </w:pPr>
            <w:r w:rsidRPr="008B6A75">
              <w:rPr>
                <w:bCs/>
                <w:sz w:val="20"/>
                <w:szCs w:val="20"/>
              </w:rPr>
              <w:t>04</w:t>
            </w:r>
          </w:p>
        </w:tc>
        <w:tc>
          <w:tcPr>
            <w:tcW w:w="1516" w:type="dxa"/>
            <w:tcBorders>
              <w:top w:val="nil"/>
              <w:left w:val="single" w:sz="4" w:space="0" w:color="auto"/>
              <w:bottom w:val="single" w:sz="4" w:space="0" w:color="auto"/>
              <w:right w:val="nil"/>
            </w:tcBorders>
            <w:shd w:val="clear" w:color="auto" w:fill="auto"/>
            <w:noWrap/>
            <w:vAlign w:val="center"/>
            <w:hideMark/>
          </w:tcPr>
          <w:p w14:paraId="5CD5F643" w14:textId="77777777" w:rsidR="00387142" w:rsidRPr="008B6A75" w:rsidRDefault="00387142" w:rsidP="00387142">
            <w:pPr>
              <w:jc w:val="center"/>
              <w:rPr>
                <w:bCs/>
                <w:sz w:val="20"/>
                <w:szCs w:val="20"/>
              </w:rPr>
            </w:pPr>
            <w:r w:rsidRPr="008B6A75">
              <w:rPr>
                <w:bCs/>
                <w:sz w:val="20"/>
                <w:szCs w:val="20"/>
              </w:rPr>
              <w:t>99.0.00.70190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75560C1"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16D7B9E" w14:textId="77777777" w:rsidR="00387142" w:rsidRPr="008B6A75" w:rsidRDefault="00387142" w:rsidP="00387142">
            <w:pPr>
              <w:jc w:val="right"/>
              <w:rPr>
                <w:bCs/>
                <w:sz w:val="20"/>
                <w:szCs w:val="20"/>
              </w:rPr>
            </w:pPr>
            <w:r w:rsidRPr="008B6A75">
              <w:rPr>
                <w:bCs/>
                <w:sz w:val="20"/>
                <w:szCs w:val="20"/>
              </w:rPr>
              <w:t>6 780,00</w:t>
            </w:r>
          </w:p>
        </w:tc>
        <w:tc>
          <w:tcPr>
            <w:tcW w:w="992" w:type="dxa"/>
            <w:tcBorders>
              <w:top w:val="nil"/>
              <w:left w:val="single" w:sz="4" w:space="0" w:color="auto"/>
              <w:bottom w:val="single" w:sz="4" w:space="0" w:color="auto"/>
              <w:right w:val="nil"/>
            </w:tcBorders>
            <w:shd w:val="clear" w:color="auto" w:fill="auto"/>
            <w:vAlign w:val="center"/>
            <w:hideMark/>
          </w:tcPr>
          <w:p w14:paraId="202C3C62" w14:textId="77777777" w:rsidR="00387142" w:rsidRPr="008B6A75" w:rsidRDefault="00387142" w:rsidP="00387142">
            <w:pPr>
              <w:jc w:val="right"/>
              <w:rPr>
                <w:bCs/>
                <w:sz w:val="20"/>
                <w:szCs w:val="20"/>
              </w:rPr>
            </w:pPr>
            <w:r w:rsidRPr="008B6A75">
              <w:rPr>
                <w:bCs/>
                <w:sz w:val="20"/>
                <w:szCs w:val="20"/>
              </w:rPr>
              <w:t>6 580,00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5C15493A" w14:textId="77777777" w:rsidR="00387142" w:rsidRPr="008B6A75" w:rsidRDefault="00387142" w:rsidP="00387142">
            <w:pPr>
              <w:jc w:val="right"/>
              <w:rPr>
                <w:bCs/>
                <w:sz w:val="20"/>
                <w:szCs w:val="20"/>
              </w:rPr>
            </w:pPr>
            <w:r w:rsidRPr="008B6A75">
              <w:rPr>
                <w:bCs/>
                <w:sz w:val="20"/>
                <w:szCs w:val="20"/>
              </w:rPr>
              <w:t>6 850,00</w:t>
            </w:r>
          </w:p>
        </w:tc>
      </w:tr>
      <w:tr w:rsidR="00387142" w:rsidRPr="008B6A75" w14:paraId="747C8D96" w14:textId="77777777" w:rsidTr="00387142">
        <w:trPr>
          <w:trHeight w:val="1440"/>
        </w:trPr>
        <w:tc>
          <w:tcPr>
            <w:tcW w:w="3261" w:type="dxa"/>
            <w:tcBorders>
              <w:top w:val="nil"/>
              <w:left w:val="single" w:sz="4" w:space="0" w:color="auto"/>
              <w:bottom w:val="single" w:sz="4" w:space="0" w:color="auto"/>
              <w:right w:val="nil"/>
            </w:tcBorders>
            <w:shd w:val="clear" w:color="auto" w:fill="auto"/>
            <w:vAlign w:val="center"/>
            <w:hideMark/>
          </w:tcPr>
          <w:p w14:paraId="2022A36C" w14:textId="77777777" w:rsidR="00387142" w:rsidRPr="008B6A75" w:rsidRDefault="00387142" w:rsidP="00387142">
            <w:pPr>
              <w:rPr>
                <w:sz w:val="20"/>
                <w:szCs w:val="20"/>
              </w:rPr>
            </w:pPr>
            <w:r w:rsidRPr="008B6A7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14:paraId="6BE41DC1" w14:textId="77777777" w:rsidR="00387142" w:rsidRPr="008B6A75" w:rsidRDefault="00387142" w:rsidP="00387142">
            <w:pPr>
              <w:jc w:val="center"/>
              <w:rPr>
                <w:sz w:val="20"/>
                <w:szCs w:val="20"/>
              </w:rPr>
            </w:pPr>
            <w:r w:rsidRPr="008B6A75">
              <w:rPr>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95665CF" w14:textId="77777777" w:rsidR="00387142" w:rsidRPr="008B6A75" w:rsidRDefault="00387142" w:rsidP="00387142">
            <w:pPr>
              <w:jc w:val="center"/>
              <w:rPr>
                <w:sz w:val="20"/>
                <w:szCs w:val="20"/>
              </w:rPr>
            </w:pPr>
            <w:r w:rsidRPr="008B6A75">
              <w:rPr>
                <w:sz w:val="20"/>
                <w:szCs w:val="20"/>
              </w:rPr>
              <w:t>04</w:t>
            </w:r>
          </w:p>
        </w:tc>
        <w:tc>
          <w:tcPr>
            <w:tcW w:w="1516" w:type="dxa"/>
            <w:tcBorders>
              <w:top w:val="nil"/>
              <w:left w:val="single" w:sz="4" w:space="0" w:color="auto"/>
              <w:bottom w:val="single" w:sz="4" w:space="0" w:color="auto"/>
              <w:right w:val="nil"/>
            </w:tcBorders>
            <w:shd w:val="clear" w:color="auto" w:fill="auto"/>
            <w:noWrap/>
            <w:vAlign w:val="center"/>
            <w:hideMark/>
          </w:tcPr>
          <w:p w14:paraId="728C70DE" w14:textId="77777777" w:rsidR="00387142" w:rsidRPr="008B6A75" w:rsidRDefault="00387142" w:rsidP="00387142">
            <w:pPr>
              <w:jc w:val="center"/>
              <w:rPr>
                <w:sz w:val="20"/>
                <w:szCs w:val="20"/>
              </w:rPr>
            </w:pPr>
            <w:r w:rsidRPr="008B6A75">
              <w:rPr>
                <w:sz w:val="20"/>
                <w:szCs w:val="20"/>
              </w:rPr>
              <w:t>99.0.00.70190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0D2D71C" w14:textId="77777777" w:rsidR="00387142" w:rsidRPr="008B6A75" w:rsidRDefault="00387142" w:rsidP="00387142">
            <w:pPr>
              <w:jc w:val="center"/>
              <w:rPr>
                <w:sz w:val="20"/>
                <w:szCs w:val="20"/>
              </w:rPr>
            </w:pPr>
            <w:r w:rsidRPr="008B6A75">
              <w:rPr>
                <w:sz w:val="20"/>
                <w:szCs w:val="20"/>
              </w:rPr>
              <w:t>100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392F45D" w14:textId="77777777" w:rsidR="00387142" w:rsidRPr="008B6A75" w:rsidRDefault="00387142" w:rsidP="00387142">
            <w:pPr>
              <w:jc w:val="right"/>
              <w:rPr>
                <w:sz w:val="20"/>
                <w:szCs w:val="20"/>
              </w:rPr>
            </w:pPr>
            <w:r w:rsidRPr="008B6A75">
              <w:rPr>
                <w:sz w:val="20"/>
                <w:szCs w:val="20"/>
              </w:rPr>
              <w:t>3 501,61</w:t>
            </w:r>
          </w:p>
        </w:tc>
        <w:tc>
          <w:tcPr>
            <w:tcW w:w="992" w:type="dxa"/>
            <w:tcBorders>
              <w:top w:val="nil"/>
              <w:left w:val="single" w:sz="4" w:space="0" w:color="auto"/>
              <w:bottom w:val="single" w:sz="4" w:space="0" w:color="auto"/>
              <w:right w:val="nil"/>
            </w:tcBorders>
            <w:shd w:val="clear" w:color="auto" w:fill="auto"/>
            <w:vAlign w:val="center"/>
            <w:hideMark/>
          </w:tcPr>
          <w:p w14:paraId="37B54730" w14:textId="77777777" w:rsidR="00387142" w:rsidRPr="008B6A75" w:rsidRDefault="00387142" w:rsidP="00387142">
            <w:pPr>
              <w:jc w:val="right"/>
              <w:rPr>
                <w:sz w:val="20"/>
                <w:szCs w:val="20"/>
              </w:rPr>
            </w:pPr>
            <w:r w:rsidRPr="008B6A75">
              <w:rPr>
                <w:sz w:val="20"/>
                <w:szCs w:val="20"/>
              </w:rPr>
              <w:t>3 288,07</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4078C724" w14:textId="77777777" w:rsidR="00387142" w:rsidRPr="008B6A75" w:rsidRDefault="00387142" w:rsidP="00387142">
            <w:pPr>
              <w:jc w:val="right"/>
              <w:rPr>
                <w:sz w:val="20"/>
                <w:szCs w:val="20"/>
              </w:rPr>
            </w:pPr>
            <w:r w:rsidRPr="008B6A75">
              <w:rPr>
                <w:sz w:val="20"/>
                <w:szCs w:val="20"/>
              </w:rPr>
              <w:t>3 419,59</w:t>
            </w:r>
          </w:p>
        </w:tc>
      </w:tr>
      <w:tr w:rsidR="00387142" w:rsidRPr="008B6A75" w14:paraId="47926E88" w14:textId="77777777" w:rsidTr="00387142">
        <w:trPr>
          <w:trHeight w:val="585"/>
        </w:trPr>
        <w:tc>
          <w:tcPr>
            <w:tcW w:w="3261" w:type="dxa"/>
            <w:tcBorders>
              <w:top w:val="nil"/>
              <w:left w:val="single" w:sz="4" w:space="0" w:color="auto"/>
              <w:bottom w:val="single" w:sz="4" w:space="0" w:color="auto"/>
              <w:right w:val="nil"/>
            </w:tcBorders>
            <w:shd w:val="clear" w:color="auto" w:fill="auto"/>
            <w:vAlign w:val="center"/>
            <w:hideMark/>
          </w:tcPr>
          <w:p w14:paraId="6950A7B4" w14:textId="77777777" w:rsidR="00387142" w:rsidRPr="008B6A75" w:rsidRDefault="00387142" w:rsidP="00387142">
            <w:pPr>
              <w:rPr>
                <w:sz w:val="20"/>
                <w:szCs w:val="20"/>
              </w:rPr>
            </w:pPr>
            <w:r w:rsidRPr="008B6A75">
              <w:rPr>
                <w:sz w:val="20"/>
                <w:szCs w:val="20"/>
              </w:rPr>
              <w:t>Расходы на выплаты персоналу государственных (муниципальных) органов</w:t>
            </w:r>
          </w:p>
        </w:tc>
        <w:tc>
          <w:tcPr>
            <w:tcW w:w="720" w:type="dxa"/>
            <w:tcBorders>
              <w:top w:val="nil"/>
              <w:left w:val="single" w:sz="4" w:space="0" w:color="auto"/>
              <w:bottom w:val="single" w:sz="4" w:space="0" w:color="auto"/>
              <w:right w:val="nil"/>
            </w:tcBorders>
            <w:shd w:val="clear" w:color="auto" w:fill="auto"/>
            <w:noWrap/>
            <w:vAlign w:val="center"/>
            <w:hideMark/>
          </w:tcPr>
          <w:p w14:paraId="563E9A1A" w14:textId="77777777" w:rsidR="00387142" w:rsidRPr="008B6A75" w:rsidRDefault="00387142" w:rsidP="00387142">
            <w:pPr>
              <w:jc w:val="center"/>
              <w:rPr>
                <w:sz w:val="20"/>
                <w:szCs w:val="20"/>
              </w:rPr>
            </w:pPr>
            <w:r w:rsidRPr="008B6A75">
              <w:rPr>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AAABEFF" w14:textId="77777777" w:rsidR="00387142" w:rsidRPr="008B6A75" w:rsidRDefault="00387142" w:rsidP="00387142">
            <w:pPr>
              <w:jc w:val="center"/>
              <w:rPr>
                <w:sz w:val="20"/>
                <w:szCs w:val="20"/>
              </w:rPr>
            </w:pPr>
            <w:r w:rsidRPr="008B6A75">
              <w:rPr>
                <w:sz w:val="20"/>
                <w:szCs w:val="20"/>
              </w:rPr>
              <w:t>04</w:t>
            </w:r>
          </w:p>
        </w:tc>
        <w:tc>
          <w:tcPr>
            <w:tcW w:w="1516" w:type="dxa"/>
            <w:tcBorders>
              <w:top w:val="nil"/>
              <w:left w:val="single" w:sz="4" w:space="0" w:color="auto"/>
              <w:bottom w:val="single" w:sz="4" w:space="0" w:color="auto"/>
              <w:right w:val="nil"/>
            </w:tcBorders>
            <w:shd w:val="clear" w:color="auto" w:fill="auto"/>
            <w:noWrap/>
            <w:vAlign w:val="center"/>
            <w:hideMark/>
          </w:tcPr>
          <w:p w14:paraId="436E1786" w14:textId="77777777" w:rsidR="00387142" w:rsidRPr="008B6A75" w:rsidRDefault="00387142" w:rsidP="00387142">
            <w:pPr>
              <w:jc w:val="center"/>
              <w:rPr>
                <w:sz w:val="20"/>
                <w:szCs w:val="20"/>
              </w:rPr>
            </w:pPr>
            <w:r w:rsidRPr="008B6A75">
              <w:rPr>
                <w:sz w:val="20"/>
                <w:szCs w:val="20"/>
              </w:rPr>
              <w:t>99.0.00.70190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189562E" w14:textId="77777777" w:rsidR="00387142" w:rsidRPr="008B6A75" w:rsidRDefault="00387142" w:rsidP="00387142">
            <w:pPr>
              <w:jc w:val="center"/>
              <w:rPr>
                <w:sz w:val="20"/>
                <w:szCs w:val="20"/>
              </w:rPr>
            </w:pPr>
            <w:r w:rsidRPr="008B6A75">
              <w:rPr>
                <w:sz w:val="20"/>
                <w:szCs w:val="20"/>
              </w:rPr>
              <w:t>120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CBC0F22" w14:textId="77777777" w:rsidR="00387142" w:rsidRPr="008B6A75" w:rsidRDefault="00387142" w:rsidP="00387142">
            <w:pPr>
              <w:jc w:val="right"/>
              <w:rPr>
                <w:sz w:val="20"/>
                <w:szCs w:val="20"/>
              </w:rPr>
            </w:pPr>
            <w:r w:rsidRPr="008B6A75">
              <w:rPr>
                <w:sz w:val="20"/>
                <w:szCs w:val="20"/>
              </w:rPr>
              <w:t>3 501,61</w:t>
            </w:r>
          </w:p>
        </w:tc>
        <w:tc>
          <w:tcPr>
            <w:tcW w:w="992" w:type="dxa"/>
            <w:tcBorders>
              <w:top w:val="nil"/>
              <w:left w:val="single" w:sz="4" w:space="0" w:color="auto"/>
              <w:bottom w:val="single" w:sz="4" w:space="0" w:color="auto"/>
              <w:right w:val="nil"/>
            </w:tcBorders>
            <w:shd w:val="clear" w:color="auto" w:fill="auto"/>
            <w:vAlign w:val="center"/>
            <w:hideMark/>
          </w:tcPr>
          <w:p w14:paraId="159D5EE6" w14:textId="77777777" w:rsidR="00387142" w:rsidRPr="008B6A75" w:rsidRDefault="00387142" w:rsidP="00387142">
            <w:pPr>
              <w:jc w:val="right"/>
              <w:rPr>
                <w:sz w:val="20"/>
                <w:szCs w:val="20"/>
              </w:rPr>
            </w:pPr>
            <w:r w:rsidRPr="008B6A75">
              <w:rPr>
                <w:sz w:val="20"/>
                <w:szCs w:val="20"/>
              </w:rPr>
              <w:t>3 288,07</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514E6556" w14:textId="77777777" w:rsidR="00387142" w:rsidRPr="008B6A75" w:rsidRDefault="00387142" w:rsidP="00387142">
            <w:pPr>
              <w:jc w:val="right"/>
              <w:rPr>
                <w:sz w:val="20"/>
                <w:szCs w:val="20"/>
              </w:rPr>
            </w:pPr>
            <w:r w:rsidRPr="008B6A75">
              <w:rPr>
                <w:sz w:val="20"/>
                <w:szCs w:val="20"/>
              </w:rPr>
              <w:t>3 419,59</w:t>
            </w:r>
          </w:p>
        </w:tc>
      </w:tr>
      <w:tr w:rsidR="00387142" w:rsidRPr="008B6A75" w14:paraId="6ADBA772" w14:textId="77777777" w:rsidTr="00387142">
        <w:trPr>
          <w:trHeight w:val="585"/>
        </w:trPr>
        <w:tc>
          <w:tcPr>
            <w:tcW w:w="3261" w:type="dxa"/>
            <w:tcBorders>
              <w:top w:val="nil"/>
              <w:left w:val="single" w:sz="4" w:space="0" w:color="auto"/>
              <w:bottom w:val="single" w:sz="4" w:space="0" w:color="auto"/>
              <w:right w:val="nil"/>
            </w:tcBorders>
            <w:shd w:val="clear" w:color="auto" w:fill="auto"/>
            <w:vAlign w:val="center"/>
            <w:hideMark/>
          </w:tcPr>
          <w:p w14:paraId="57A72C86" w14:textId="77777777" w:rsidR="00387142" w:rsidRPr="008B6A75" w:rsidRDefault="00387142" w:rsidP="00387142">
            <w:pPr>
              <w:rPr>
                <w:sz w:val="20"/>
                <w:szCs w:val="20"/>
              </w:rPr>
            </w:pPr>
            <w:r w:rsidRPr="008B6A75">
              <w:rPr>
                <w:sz w:val="20"/>
                <w:szCs w:val="20"/>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4363F7B5" w14:textId="77777777" w:rsidR="00387142" w:rsidRPr="008B6A75" w:rsidRDefault="00387142" w:rsidP="00387142">
            <w:pPr>
              <w:jc w:val="center"/>
              <w:rPr>
                <w:sz w:val="20"/>
                <w:szCs w:val="20"/>
              </w:rPr>
            </w:pPr>
            <w:r w:rsidRPr="008B6A75">
              <w:rPr>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D22AB39" w14:textId="77777777" w:rsidR="00387142" w:rsidRPr="008B6A75" w:rsidRDefault="00387142" w:rsidP="00387142">
            <w:pPr>
              <w:jc w:val="center"/>
              <w:rPr>
                <w:sz w:val="20"/>
                <w:szCs w:val="20"/>
              </w:rPr>
            </w:pPr>
            <w:r w:rsidRPr="008B6A75">
              <w:rPr>
                <w:sz w:val="20"/>
                <w:szCs w:val="20"/>
              </w:rPr>
              <w:t>04</w:t>
            </w:r>
          </w:p>
        </w:tc>
        <w:tc>
          <w:tcPr>
            <w:tcW w:w="1516" w:type="dxa"/>
            <w:tcBorders>
              <w:top w:val="nil"/>
              <w:left w:val="single" w:sz="4" w:space="0" w:color="auto"/>
              <w:bottom w:val="single" w:sz="4" w:space="0" w:color="auto"/>
              <w:right w:val="nil"/>
            </w:tcBorders>
            <w:shd w:val="clear" w:color="auto" w:fill="auto"/>
            <w:noWrap/>
            <w:vAlign w:val="center"/>
            <w:hideMark/>
          </w:tcPr>
          <w:p w14:paraId="660FAD0E" w14:textId="77777777" w:rsidR="00387142" w:rsidRPr="008B6A75" w:rsidRDefault="00387142" w:rsidP="00387142">
            <w:pPr>
              <w:jc w:val="center"/>
              <w:rPr>
                <w:sz w:val="20"/>
                <w:szCs w:val="20"/>
              </w:rPr>
            </w:pPr>
            <w:r w:rsidRPr="008B6A75">
              <w:rPr>
                <w:sz w:val="20"/>
                <w:szCs w:val="20"/>
              </w:rPr>
              <w:t>99.0.00.70190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26EDBF7" w14:textId="77777777" w:rsidR="00387142" w:rsidRPr="008B6A75" w:rsidRDefault="00387142" w:rsidP="00387142">
            <w:pPr>
              <w:jc w:val="center"/>
              <w:rPr>
                <w:sz w:val="20"/>
                <w:szCs w:val="20"/>
              </w:rPr>
            </w:pPr>
            <w:r w:rsidRPr="008B6A75">
              <w:rPr>
                <w:sz w:val="20"/>
                <w:szCs w:val="20"/>
              </w:rPr>
              <w:t>200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1F93917" w14:textId="77777777" w:rsidR="00387142" w:rsidRPr="008B6A75" w:rsidRDefault="00387142" w:rsidP="00387142">
            <w:pPr>
              <w:jc w:val="right"/>
              <w:rPr>
                <w:sz w:val="20"/>
                <w:szCs w:val="20"/>
              </w:rPr>
            </w:pPr>
            <w:r w:rsidRPr="008B6A75">
              <w:rPr>
                <w:sz w:val="20"/>
                <w:szCs w:val="20"/>
              </w:rPr>
              <w:t>1 478,39</w:t>
            </w:r>
          </w:p>
        </w:tc>
        <w:tc>
          <w:tcPr>
            <w:tcW w:w="992" w:type="dxa"/>
            <w:tcBorders>
              <w:top w:val="nil"/>
              <w:left w:val="single" w:sz="4" w:space="0" w:color="auto"/>
              <w:bottom w:val="single" w:sz="4" w:space="0" w:color="auto"/>
              <w:right w:val="nil"/>
            </w:tcBorders>
            <w:shd w:val="clear" w:color="auto" w:fill="auto"/>
            <w:vAlign w:val="center"/>
            <w:hideMark/>
          </w:tcPr>
          <w:p w14:paraId="01102790" w14:textId="77777777" w:rsidR="00387142" w:rsidRPr="008B6A75" w:rsidRDefault="00387142" w:rsidP="00387142">
            <w:pPr>
              <w:jc w:val="right"/>
              <w:rPr>
                <w:sz w:val="20"/>
                <w:szCs w:val="20"/>
              </w:rPr>
            </w:pPr>
            <w:r w:rsidRPr="008B6A75">
              <w:rPr>
                <w:sz w:val="20"/>
                <w:szCs w:val="20"/>
              </w:rPr>
              <w:t>3 291,93</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63CA819F" w14:textId="77777777" w:rsidR="00387142" w:rsidRPr="008B6A75" w:rsidRDefault="00387142" w:rsidP="00387142">
            <w:pPr>
              <w:jc w:val="right"/>
              <w:rPr>
                <w:sz w:val="20"/>
                <w:szCs w:val="20"/>
              </w:rPr>
            </w:pPr>
            <w:r w:rsidRPr="008B6A75">
              <w:rPr>
                <w:sz w:val="20"/>
                <w:szCs w:val="20"/>
              </w:rPr>
              <w:t>3 430,41</w:t>
            </w:r>
          </w:p>
        </w:tc>
      </w:tr>
      <w:tr w:rsidR="00387142" w:rsidRPr="008B6A75" w14:paraId="64CE4BF8" w14:textId="77777777" w:rsidTr="00387142">
        <w:trPr>
          <w:trHeight w:val="870"/>
        </w:trPr>
        <w:tc>
          <w:tcPr>
            <w:tcW w:w="3261" w:type="dxa"/>
            <w:tcBorders>
              <w:top w:val="nil"/>
              <w:left w:val="single" w:sz="4" w:space="0" w:color="auto"/>
              <w:bottom w:val="single" w:sz="4" w:space="0" w:color="auto"/>
              <w:right w:val="nil"/>
            </w:tcBorders>
            <w:shd w:val="clear" w:color="auto" w:fill="auto"/>
            <w:vAlign w:val="center"/>
            <w:hideMark/>
          </w:tcPr>
          <w:p w14:paraId="07B3C14B" w14:textId="77777777" w:rsidR="00387142" w:rsidRPr="008B6A75" w:rsidRDefault="00387142" w:rsidP="00387142">
            <w:pPr>
              <w:rPr>
                <w:sz w:val="20"/>
                <w:szCs w:val="20"/>
              </w:rPr>
            </w:pPr>
            <w:r w:rsidRPr="008B6A75">
              <w:rPr>
                <w:sz w:val="20"/>
                <w:szCs w:val="20"/>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160B1DE9" w14:textId="77777777" w:rsidR="00387142" w:rsidRPr="008B6A75" w:rsidRDefault="00387142" w:rsidP="00387142">
            <w:pPr>
              <w:jc w:val="center"/>
              <w:rPr>
                <w:sz w:val="20"/>
                <w:szCs w:val="20"/>
              </w:rPr>
            </w:pPr>
            <w:r w:rsidRPr="008B6A75">
              <w:rPr>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38727F2" w14:textId="77777777" w:rsidR="00387142" w:rsidRPr="008B6A75" w:rsidRDefault="00387142" w:rsidP="00387142">
            <w:pPr>
              <w:jc w:val="center"/>
              <w:rPr>
                <w:sz w:val="20"/>
                <w:szCs w:val="20"/>
              </w:rPr>
            </w:pPr>
            <w:r w:rsidRPr="008B6A75">
              <w:rPr>
                <w:sz w:val="20"/>
                <w:szCs w:val="20"/>
              </w:rPr>
              <w:t>04</w:t>
            </w:r>
          </w:p>
        </w:tc>
        <w:tc>
          <w:tcPr>
            <w:tcW w:w="1516" w:type="dxa"/>
            <w:tcBorders>
              <w:top w:val="nil"/>
              <w:left w:val="single" w:sz="4" w:space="0" w:color="auto"/>
              <w:bottom w:val="single" w:sz="4" w:space="0" w:color="auto"/>
              <w:right w:val="nil"/>
            </w:tcBorders>
            <w:shd w:val="clear" w:color="auto" w:fill="auto"/>
            <w:noWrap/>
            <w:vAlign w:val="center"/>
            <w:hideMark/>
          </w:tcPr>
          <w:p w14:paraId="33144083" w14:textId="77777777" w:rsidR="00387142" w:rsidRPr="008B6A75" w:rsidRDefault="00387142" w:rsidP="00387142">
            <w:pPr>
              <w:jc w:val="center"/>
              <w:rPr>
                <w:sz w:val="20"/>
                <w:szCs w:val="20"/>
              </w:rPr>
            </w:pPr>
            <w:r w:rsidRPr="008B6A75">
              <w:rPr>
                <w:sz w:val="20"/>
                <w:szCs w:val="20"/>
              </w:rPr>
              <w:t>99.0.00.70190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AFBB403" w14:textId="77777777" w:rsidR="00387142" w:rsidRPr="008B6A75" w:rsidRDefault="00387142" w:rsidP="00387142">
            <w:pPr>
              <w:jc w:val="center"/>
              <w:rPr>
                <w:sz w:val="20"/>
                <w:szCs w:val="20"/>
              </w:rPr>
            </w:pPr>
            <w:r w:rsidRPr="008B6A75">
              <w:rPr>
                <w:sz w:val="20"/>
                <w:szCs w:val="20"/>
              </w:rPr>
              <w:t>240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535A970" w14:textId="77777777" w:rsidR="00387142" w:rsidRPr="008B6A75" w:rsidRDefault="00387142" w:rsidP="00387142">
            <w:pPr>
              <w:jc w:val="right"/>
              <w:rPr>
                <w:sz w:val="20"/>
                <w:szCs w:val="20"/>
              </w:rPr>
            </w:pPr>
            <w:r w:rsidRPr="008B6A75">
              <w:rPr>
                <w:sz w:val="20"/>
                <w:szCs w:val="20"/>
              </w:rPr>
              <w:t>1 478,39</w:t>
            </w:r>
          </w:p>
        </w:tc>
        <w:tc>
          <w:tcPr>
            <w:tcW w:w="992" w:type="dxa"/>
            <w:tcBorders>
              <w:top w:val="nil"/>
              <w:left w:val="single" w:sz="4" w:space="0" w:color="auto"/>
              <w:bottom w:val="single" w:sz="4" w:space="0" w:color="auto"/>
              <w:right w:val="nil"/>
            </w:tcBorders>
            <w:shd w:val="clear" w:color="auto" w:fill="auto"/>
            <w:vAlign w:val="center"/>
            <w:hideMark/>
          </w:tcPr>
          <w:p w14:paraId="46B1F911" w14:textId="77777777" w:rsidR="00387142" w:rsidRPr="008B6A75" w:rsidRDefault="00387142" w:rsidP="00387142">
            <w:pPr>
              <w:jc w:val="right"/>
              <w:rPr>
                <w:sz w:val="20"/>
                <w:szCs w:val="20"/>
              </w:rPr>
            </w:pPr>
            <w:r w:rsidRPr="008B6A75">
              <w:rPr>
                <w:sz w:val="20"/>
                <w:szCs w:val="20"/>
              </w:rPr>
              <w:t>3 291,93</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34ACD0AD" w14:textId="77777777" w:rsidR="00387142" w:rsidRPr="008B6A75" w:rsidRDefault="00387142" w:rsidP="00387142">
            <w:pPr>
              <w:jc w:val="right"/>
              <w:rPr>
                <w:sz w:val="20"/>
                <w:szCs w:val="20"/>
              </w:rPr>
            </w:pPr>
            <w:r w:rsidRPr="008B6A75">
              <w:rPr>
                <w:sz w:val="20"/>
                <w:szCs w:val="20"/>
              </w:rPr>
              <w:t>3 430,41</w:t>
            </w:r>
          </w:p>
        </w:tc>
      </w:tr>
      <w:tr w:rsidR="00387142" w:rsidRPr="008B6A75" w14:paraId="536C40D5" w14:textId="77777777" w:rsidTr="00387142">
        <w:trPr>
          <w:trHeight w:val="345"/>
        </w:trPr>
        <w:tc>
          <w:tcPr>
            <w:tcW w:w="3261" w:type="dxa"/>
            <w:tcBorders>
              <w:top w:val="nil"/>
              <w:left w:val="single" w:sz="4" w:space="0" w:color="auto"/>
              <w:bottom w:val="single" w:sz="4" w:space="0" w:color="auto"/>
              <w:right w:val="nil"/>
            </w:tcBorders>
            <w:shd w:val="clear" w:color="auto" w:fill="auto"/>
            <w:vAlign w:val="center"/>
            <w:hideMark/>
          </w:tcPr>
          <w:p w14:paraId="5945621A" w14:textId="77777777" w:rsidR="00387142" w:rsidRPr="008B6A75" w:rsidRDefault="00387142" w:rsidP="00387142">
            <w:pPr>
              <w:rPr>
                <w:sz w:val="20"/>
                <w:szCs w:val="20"/>
              </w:rPr>
            </w:pPr>
            <w:r w:rsidRPr="008B6A75">
              <w:rPr>
                <w:sz w:val="20"/>
                <w:szCs w:val="20"/>
              </w:rPr>
              <w:t>Межбюджетные трансферты</w:t>
            </w:r>
          </w:p>
        </w:tc>
        <w:tc>
          <w:tcPr>
            <w:tcW w:w="720" w:type="dxa"/>
            <w:tcBorders>
              <w:top w:val="nil"/>
              <w:left w:val="single" w:sz="4" w:space="0" w:color="auto"/>
              <w:bottom w:val="single" w:sz="4" w:space="0" w:color="auto"/>
              <w:right w:val="nil"/>
            </w:tcBorders>
            <w:shd w:val="clear" w:color="auto" w:fill="auto"/>
            <w:noWrap/>
            <w:vAlign w:val="center"/>
            <w:hideMark/>
          </w:tcPr>
          <w:p w14:paraId="55D166B2" w14:textId="77777777" w:rsidR="00387142" w:rsidRPr="008B6A75" w:rsidRDefault="00387142" w:rsidP="00387142">
            <w:pPr>
              <w:jc w:val="center"/>
              <w:rPr>
                <w:sz w:val="20"/>
                <w:szCs w:val="20"/>
              </w:rPr>
            </w:pPr>
            <w:r w:rsidRPr="008B6A75">
              <w:rPr>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D5DA00A" w14:textId="77777777" w:rsidR="00387142" w:rsidRPr="008B6A75" w:rsidRDefault="00387142" w:rsidP="00387142">
            <w:pPr>
              <w:jc w:val="center"/>
              <w:rPr>
                <w:sz w:val="20"/>
                <w:szCs w:val="20"/>
              </w:rPr>
            </w:pPr>
            <w:r w:rsidRPr="008B6A75">
              <w:rPr>
                <w:sz w:val="20"/>
                <w:szCs w:val="20"/>
              </w:rPr>
              <w:t>04</w:t>
            </w:r>
          </w:p>
        </w:tc>
        <w:tc>
          <w:tcPr>
            <w:tcW w:w="1516" w:type="dxa"/>
            <w:tcBorders>
              <w:top w:val="nil"/>
              <w:left w:val="single" w:sz="4" w:space="0" w:color="auto"/>
              <w:bottom w:val="single" w:sz="4" w:space="0" w:color="auto"/>
              <w:right w:val="nil"/>
            </w:tcBorders>
            <w:shd w:val="clear" w:color="auto" w:fill="auto"/>
            <w:noWrap/>
            <w:vAlign w:val="center"/>
            <w:hideMark/>
          </w:tcPr>
          <w:p w14:paraId="6BD1969E" w14:textId="77777777" w:rsidR="00387142" w:rsidRPr="008B6A75" w:rsidRDefault="00387142" w:rsidP="00387142">
            <w:pPr>
              <w:jc w:val="center"/>
              <w:rPr>
                <w:sz w:val="20"/>
                <w:szCs w:val="20"/>
              </w:rPr>
            </w:pPr>
            <w:r w:rsidRPr="008B6A75">
              <w:rPr>
                <w:sz w:val="20"/>
                <w:szCs w:val="20"/>
              </w:rPr>
              <w:t>99.0.00.70190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28C1652" w14:textId="77777777" w:rsidR="00387142" w:rsidRPr="008B6A75" w:rsidRDefault="00387142" w:rsidP="00387142">
            <w:pPr>
              <w:jc w:val="center"/>
              <w:rPr>
                <w:sz w:val="20"/>
                <w:szCs w:val="20"/>
              </w:rPr>
            </w:pPr>
            <w:r w:rsidRPr="008B6A75">
              <w:rPr>
                <w:sz w:val="20"/>
                <w:szCs w:val="20"/>
              </w:rPr>
              <w:t>500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341296C" w14:textId="77777777" w:rsidR="00387142" w:rsidRPr="008B6A75" w:rsidRDefault="00387142" w:rsidP="00387142">
            <w:pPr>
              <w:jc w:val="right"/>
              <w:rPr>
                <w:sz w:val="20"/>
                <w:szCs w:val="20"/>
              </w:rPr>
            </w:pPr>
            <w:r w:rsidRPr="008B6A75">
              <w:rPr>
                <w:sz w:val="20"/>
                <w:szCs w:val="20"/>
              </w:rPr>
              <w:t>1 800,00</w:t>
            </w:r>
          </w:p>
        </w:tc>
        <w:tc>
          <w:tcPr>
            <w:tcW w:w="992" w:type="dxa"/>
            <w:tcBorders>
              <w:top w:val="nil"/>
              <w:left w:val="single" w:sz="4" w:space="0" w:color="auto"/>
              <w:bottom w:val="single" w:sz="4" w:space="0" w:color="auto"/>
              <w:right w:val="nil"/>
            </w:tcBorders>
            <w:shd w:val="clear" w:color="auto" w:fill="auto"/>
            <w:vAlign w:val="center"/>
            <w:hideMark/>
          </w:tcPr>
          <w:p w14:paraId="65DEE1B5" w14:textId="77777777" w:rsidR="00387142" w:rsidRPr="008B6A75" w:rsidRDefault="00387142" w:rsidP="00387142">
            <w:pPr>
              <w:jc w:val="right"/>
              <w:rPr>
                <w:sz w:val="20"/>
                <w:szCs w:val="20"/>
              </w:rPr>
            </w:pPr>
            <w:r w:rsidRPr="008B6A75">
              <w:rPr>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3285D5EA" w14:textId="77777777" w:rsidR="00387142" w:rsidRPr="008B6A75" w:rsidRDefault="00387142" w:rsidP="00387142">
            <w:pPr>
              <w:jc w:val="right"/>
              <w:rPr>
                <w:sz w:val="20"/>
                <w:szCs w:val="20"/>
              </w:rPr>
            </w:pPr>
            <w:r w:rsidRPr="008B6A75">
              <w:rPr>
                <w:sz w:val="20"/>
                <w:szCs w:val="20"/>
              </w:rPr>
              <w:t>0,00</w:t>
            </w:r>
          </w:p>
        </w:tc>
      </w:tr>
      <w:tr w:rsidR="00387142" w:rsidRPr="008B6A75" w14:paraId="0C112BEE" w14:textId="77777777" w:rsidTr="00387142">
        <w:trPr>
          <w:trHeight w:val="345"/>
        </w:trPr>
        <w:tc>
          <w:tcPr>
            <w:tcW w:w="3261" w:type="dxa"/>
            <w:tcBorders>
              <w:top w:val="nil"/>
              <w:left w:val="single" w:sz="4" w:space="0" w:color="auto"/>
              <w:bottom w:val="single" w:sz="4" w:space="0" w:color="auto"/>
              <w:right w:val="nil"/>
            </w:tcBorders>
            <w:shd w:val="clear" w:color="auto" w:fill="auto"/>
            <w:vAlign w:val="center"/>
            <w:hideMark/>
          </w:tcPr>
          <w:p w14:paraId="7B000883" w14:textId="77777777" w:rsidR="00387142" w:rsidRPr="008B6A75" w:rsidRDefault="00387142" w:rsidP="00387142">
            <w:pPr>
              <w:rPr>
                <w:sz w:val="20"/>
                <w:szCs w:val="20"/>
              </w:rPr>
            </w:pPr>
            <w:r w:rsidRPr="008B6A75">
              <w:rPr>
                <w:sz w:val="20"/>
                <w:szCs w:val="20"/>
              </w:rPr>
              <w:t>Субвенции</w:t>
            </w:r>
          </w:p>
        </w:tc>
        <w:tc>
          <w:tcPr>
            <w:tcW w:w="720" w:type="dxa"/>
            <w:tcBorders>
              <w:top w:val="nil"/>
              <w:left w:val="single" w:sz="4" w:space="0" w:color="auto"/>
              <w:bottom w:val="single" w:sz="4" w:space="0" w:color="auto"/>
              <w:right w:val="nil"/>
            </w:tcBorders>
            <w:shd w:val="clear" w:color="auto" w:fill="auto"/>
            <w:noWrap/>
            <w:vAlign w:val="center"/>
            <w:hideMark/>
          </w:tcPr>
          <w:p w14:paraId="4B538153" w14:textId="77777777" w:rsidR="00387142" w:rsidRPr="008B6A75" w:rsidRDefault="00387142" w:rsidP="00387142">
            <w:pPr>
              <w:jc w:val="center"/>
              <w:rPr>
                <w:sz w:val="20"/>
                <w:szCs w:val="20"/>
              </w:rPr>
            </w:pPr>
            <w:r w:rsidRPr="008B6A75">
              <w:rPr>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D95312E" w14:textId="77777777" w:rsidR="00387142" w:rsidRPr="008B6A75" w:rsidRDefault="00387142" w:rsidP="00387142">
            <w:pPr>
              <w:jc w:val="center"/>
              <w:rPr>
                <w:sz w:val="20"/>
                <w:szCs w:val="20"/>
              </w:rPr>
            </w:pPr>
            <w:r w:rsidRPr="008B6A75">
              <w:rPr>
                <w:sz w:val="20"/>
                <w:szCs w:val="20"/>
              </w:rPr>
              <w:t>04</w:t>
            </w:r>
          </w:p>
        </w:tc>
        <w:tc>
          <w:tcPr>
            <w:tcW w:w="1516" w:type="dxa"/>
            <w:tcBorders>
              <w:top w:val="nil"/>
              <w:left w:val="single" w:sz="4" w:space="0" w:color="auto"/>
              <w:bottom w:val="single" w:sz="4" w:space="0" w:color="auto"/>
              <w:right w:val="nil"/>
            </w:tcBorders>
            <w:shd w:val="clear" w:color="auto" w:fill="auto"/>
            <w:noWrap/>
            <w:vAlign w:val="center"/>
            <w:hideMark/>
          </w:tcPr>
          <w:p w14:paraId="3F8C9E5B" w14:textId="77777777" w:rsidR="00387142" w:rsidRPr="008B6A75" w:rsidRDefault="00387142" w:rsidP="00387142">
            <w:pPr>
              <w:jc w:val="center"/>
              <w:rPr>
                <w:sz w:val="20"/>
                <w:szCs w:val="20"/>
              </w:rPr>
            </w:pPr>
            <w:r w:rsidRPr="008B6A75">
              <w:rPr>
                <w:sz w:val="20"/>
                <w:szCs w:val="20"/>
              </w:rPr>
              <w:t>99.0.00.70190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0A3F170" w14:textId="77777777" w:rsidR="00387142" w:rsidRPr="008B6A75" w:rsidRDefault="00387142" w:rsidP="00387142">
            <w:pPr>
              <w:jc w:val="center"/>
              <w:rPr>
                <w:sz w:val="20"/>
                <w:szCs w:val="20"/>
              </w:rPr>
            </w:pPr>
            <w:r w:rsidRPr="008B6A75">
              <w:rPr>
                <w:sz w:val="20"/>
                <w:szCs w:val="20"/>
              </w:rPr>
              <w:t>530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C720A22" w14:textId="77777777" w:rsidR="00387142" w:rsidRPr="008B6A75" w:rsidRDefault="00387142" w:rsidP="00387142">
            <w:pPr>
              <w:jc w:val="right"/>
              <w:rPr>
                <w:sz w:val="20"/>
                <w:szCs w:val="20"/>
              </w:rPr>
            </w:pPr>
            <w:r w:rsidRPr="008B6A75">
              <w:rPr>
                <w:sz w:val="20"/>
                <w:szCs w:val="20"/>
              </w:rPr>
              <w:t>1 800,00</w:t>
            </w:r>
          </w:p>
        </w:tc>
        <w:tc>
          <w:tcPr>
            <w:tcW w:w="992" w:type="dxa"/>
            <w:tcBorders>
              <w:top w:val="nil"/>
              <w:left w:val="single" w:sz="4" w:space="0" w:color="auto"/>
              <w:bottom w:val="single" w:sz="4" w:space="0" w:color="auto"/>
              <w:right w:val="nil"/>
            </w:tcBorders>
            <w:shd w:val="clear" w:color="auto" w:fill="auto"/>
            <w:vAlign w:val="center"/>
            <w:hideMark/>
          </w:tcPr>
          <w:p w14:paraId="3DFBC040" w14:textId="77777777" w:rsidR="00387142" w:rsidRPr="008B6A75" w:rsidRDefault="00387142" w:rsidP="00387142">
            <w:pPr>
              <w:jc w:val="right"/>
              <w:rPr>
                <w:sz w:val="20"/>
                <w:szCs w:val="20"/>
              </w:rPr>
            </w:pPr>
            <w:r w:rsidRPr="008B6A75">
              <w:rPr>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7E0B2180" w14:textId="77777777" w:rsidR="00387142" w:rsidRPr="008B6A75" w:rsidRDefault="00387142" w:rsidP="00387142">
            <w:pPr>
              <w:jc w:val="right"/>
              <w:rPr>
                <w:sz w:val="20"/>
                <w:szCs w:val="20"/>
              </w:rPr>
            </w:pPr>
            <w:r w:rsidRPr="008B6A75">
              <w:rPr>
                <w:sz w:val="20"/>
                <w:szCs w:val="20"/>
              </w:rPr>
              <w:t>0,00</w:t>
            </w:r>
          </w:p>
        </w:tc>
      </w:tr>
      <w:tr w:rsidR="00387142" w:rsidRPr="008B6A75" w14:paraId="790C703D" w14:textId="77777777" w:rsidTr="00387142">
        <w:trPr>
          <w:trHeight w:val="1440"/>
        </w:trPr>
        <w:tc>
          <w:tcPr>
            <w:tcW w:w="3261" w:type="dxa"/>
            <w:tcBorders>
              <w:top w:val="nil"/>
              <w:left w:val="single" w:sz="4" w:space="0" w:color="auto"/>
              <w:bottom w:val="single" w:sz="4" w:space="0" w:color="auto"/>
              <w:right w:val="nil"/>
            </w:tcBorders>
            <w:shd w:val="clear" w:color="auto" w:fill="auto"/>
            <w:vAlign w:val="center"/>
            <w:hideMark/>
          </w:tcPr>
          <w:p w14:paraId="09CF09D4" w14:textId="77777777" w:rsidR="00387142" w:rsidRPr="008B6A75" w:rsidRDefault="00387142" w:rsidP="00387142">
            <w:pPr>
              <w:rPr>
                <w:bCs/>
                <w:sz w:val="20"/>
                <w:szCs w:val="20"/>
              </w:rPr>
            </w:pPr>
            <w:r w:rsidRPr="008B6A75">
              <w:rPr>
                <w:bCs/>
                <w:sz w:val="20"/>
                <w:szCs w:val="20"/>
              </w:rPr>
              <w:t>Реализация мероприятий на осуществление уведомительной регистрации коллективных договоров, территориальных соглашений и территориальных отраслевых (межотраслевых) соглашений</w:t>
            </w:r>
          </w:p>
        </w:tc>
        <w:tc>
          <w:tcPr>
            <w:tcW w:w="720" w:type="dxa"/>
            <w:tcBorders>
              <w:top w:val="nil"/>
              <w:left w:val="single" w:sz="4" w:space="0" w:color="auto"/>
              <w:bottom w:val="single" w:sz="4" w:space="0" w:color="auto"/>
              <w:right w:val="nil"/>
            </w:tcBorders>
            <w:shd w:val="clear" w:color="auto" w:fill="auto"/>
            <w:noWrap/>
            <w:vAlign w:val="center"/>
            <w:hideMark/>
          </w:tcPr>
          <w:p w14:paraId="66B8BE9D" w14:textId="77777777" w:rsidR="00387142" w:rsidRPr="008B6A75" w:rsidRDefault="00387142" w:rsidP="00387142">
            <w:pPr>
              <w:jc w:val="center"/>
              <w:rPr>
                <w:bCs/>
                <w:sz w:val="20"/>
                <w:szCs w:val="20"/>
              </w:rPr>
            </w:pPr>
            <w:r w:rsidRPr="008B6A75">
              <w:rPr>
                <w:bCs/>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8757A81" w14:textId="77777777" w:rsidR="00387142" w:rsidRPr="008B6A75" w:rsidRDefault="00387142" w:rsidP="00387142">
            <w:pPr>
              <w:jc w:val="center"/>
              <w:rPr>
                <w:bCs/>
                <w:sz w:val="20"/>
                <w:szCs w:val="20"/>
              </w:rPr>
            </w:pPr>
            <w:r w:rsidRPr="008B6A75">
              <w:rPr>
                <w:bCs/>
                <w:sz w:val="20"/>
                <w:szCs w:val="20"/>
              </w:rPr>
              <w:t>04</w:t>
            </w:r>
          </w:p>
        </w:tc>
        <w:tc>
          <w:tcPr>
            <w:tcW w:w="1516" w:type="dxa"/>
            <w:tcBorders>
              <w:top w:val="nil"/>
              <w:left w:val="single" w:sz="4" w:space="0" w:color="auto"/>
              <w:bottom w:val="single" w:sz="4" w:space="0" w:color="auto"/>
              <w:right w:val="nil"/>
            </w:tcBorders>
            <w:shd w:val="clear" w:color="auto" w:fill="auto"/>
            <w:noWrap/>
            <w:vAlign w:val="center"/>
            <w:hideMark/>
          </w:tcPr>
          <w:p w14:paraId="2DE98F2A" w14:textId="77777777" w:rsidR="00387142" w:rsidRPr="008B6A75" w:rsidRDefault="00387142" w:rsidP="00387142">
            <w:pPr>
              <w:jc w:val="center"/>
              <w:rPr>
                <w:bCs/>
                <w:sz w:val="20"/>
                <w:szCs w:val="20"/>
              </w:rPr>
            </w:pPr>
            <w:r w:rsidRPr="008B6A75">
              <w:rPr>
                <w:bCs/>
                <w:sz w:val="20"/>
                <w:szCs w:val="20"/>
              </w:rPr>
              <w:t>99.0.00.70210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426121A"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3915319" w14:textId="77777777" w:rsidR="00387142" w:rsidRPr="008B6A75" w:rsidRDefault="00387142" w:rsidP="00387142">
            <w:pPr>
              <w:jc w:val="right"/>
              <w:rPr>
                <w:bCs/>
                <w:sz w:val="20"/>
                <w:szCs w:val="20"/>
              </w:rPr>
            </w:pPr>
            <w:r w:rsidRPr="008B6A75">
              <w:rPr>
                <w:bCs/>
                <w:sz w:val="20"/>
                <w:szCs w:val="20"/>
              </w:rPr>
              <w:t>1 059 320,00</w:t>
            </w:r>
          </w:p>
        </w:tc>
        <w:tc>
          <w:tcPr>
            <w:tcW w:w="992" w:type="dxa"/>
            <w:tcBorders>
              <w:top w:val="nil"/>
              <w:left w:val="single" w:sz="4" w:space="0" w:color="auto"/>
              <w:bottom w:val="single" w:sz="4" w:space="0" w:color="auto"/>
              <w:right w:val="nil"/>
            </w:tcBorders>
            <w:shd w:val="clear" w:color="auto" w:fill="auto"/>
            <w:vAlign w:val="center"/>
            <w:hideMark/>
          </w:tcPr>
          <w:p w14:paraId="292DD667" w14:textId="77777777" w:rsidR="00387142" w:rsidRPr="008B6A75" w:rsidRDefault="00387142" w:rsidP="00387142">
            <w:pPr>
              <w:jc w:val="right"/>
              <w:rPr>
                <w:bCs/>
                <w:sz w:val="20"/>
                <w:szCs w:val="20"/>
              </w:rPr>
            </w:pPr>
            <w:r w:rsidRPr="008B6A75">
              <w:rPr>
                <w:bCs/>
                <w:sz w:val="20"/>
                <w:szCs w:val="20"/>
              </w:rPr>
              <w:t>1 041 760,00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5E86EBAF" w14:textId="77777777" w:rsidR="00387142" w:rsidRPr="008B6A75" w:rsidRDefault="00387142" w:rsidP="00387142">
            <w:pPr>
              <w:jc w:val="right"/>
              <w:rPr>
                <w:bCs/>
                <w:sz w:val="20"/>
                <w:szCs w:val="20"/>
              </w:rPr>
            </w:pPr>
            <w:r w:rsidRPr="008B6A75">
              <w:rPr>
                <w:bCs/>
                <w:sz w:val="20"/>
                <w:szCs w:val="20"/>
              </w:rPr>
              <w:t>1 082 460,00</w:t>
            </w:r>
          </w:p>
        </w:tc>
      </w:tr>
      <w:tr w:rsidR="00387142" w:rsidRPr="008B6A75" w14:paraId="189615E6" w14:textId="77777777" w:rsidTr="00387142">
        <w:trPr>
          <w:trHeight w:val="1440"/>
        </w:trPr>
        <w:tc>
          <w:tcPr>
            <w:tcW w:w="3261" w:type="dxa"/>
            <w:tcBorders>
              <w:top w:val="nil"/>
              <w:left w:val="single" w:sz="4" w:space="0" w:color="auto"/>
              <w:bottom w:val="single" w:sz="4" w:space="0" w:color="auto"/>
              <w:right w:val="nil"/>
            </w:tcBorders>
            <w:shd w:val="clear" w:color="auto" w:fill="auto"/>
            <w:vAlign w:val="center"/>
            <w:hideMark/>
          </w:tcPr>
          <w:p w14:paraId="6D3AC1ED" w14:textId="77777777" w:rsidR="00387142" w:rsidRPr="008B6A75" w:rsidRDefault="00387142" w:rsidP="00387142">
            <w:pPr>
              <w:rPr>
                <w:sz w:val="20"/>
                <w:szCs w:val="20"/>
              </w:rPr>
            </w:pPr>
            <w:r w:rsidRPr="008B6A7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14:paraId="022EA55A" w14:textId="77777777" w:rsidR="00387142" w:rsidRPr="008B6A75" w:rsidRDefault="00387142" w:rsidP="00387142">
            <w:pPr>
              <w:jc w:val="center"/>
              <w:rPr>
                <w:sz w:val="20"/>
                <w:szCs w:val="20"/>
              </w:rPr>
            </w:pPr>
            <w:r w:rsidRPr="008B6A75">
              <w:rPr>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28A11BC" w14:textId="77777777" w:rsidR="00387142" w:rsidRPr="008B6A75" w:rsidRDefault="00387142" w:rsidP="00387142">
            <w:pPr>
              <w:jc w:val="center"/>
              <w:rPr>
                <w:sz w:val="20"/>
                <w:szCs w:val="20"/>
              </w:rPr>
            </w:pPr>
            <w:r w:rsidRPr="008B6A75">
              <w:rPr>
                <w:sz w:val="20"/>
                <w:szCs w:val="20"/>
              </w:rPr>
              <w:t>04</w:t>
            </w:r>
          </w:p>
        </w:tc>
        <w:tc>
          <w:tcPr>
            <w:tcW w:w="1516" w:type="dxa"/>
            <w:tcBorders>
              <w:top w:val="nil"/>
              <w:left w:val="single" w:sz="4" w:space="0" w:color="auto"/>
              <w:bottom w:val="single" w:sz="4" w:space="0" w:color="auto"/>
              <w:right w:val="nil"/>
            </w:tcBorders>
            <w:shd w:val="clear" w:color="auto" w:fill="auto"/>
            <w:noWrap/>
            <w:vAlign w:val="center"/>
            <w:hideMark/>
          </w:tcPr>
          <w:p w14:paraId="15D7414D" w14:textId="77777777" w:rsidR="00387142" w:rsidRPr="008B6A75" w:rsidRDefault="00387142" w:rsidP="00387142">
            <w:pPr>
              <w:jc w:val="center"/>
              <w:rPr>
                <w:sz w:val="20"/>
                <w:szCs w:val="20"/>
              </w:rPr>
            </w:pPr>
            <w:r w:rsidRPr="008B6A75">
              <w:rPr>
                <w:sz w:val="20"/>
                <w:szCs w:val="20"/>
              </w:rPr>
              <w:t>99.0.00.70210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DF0F5F2" w14:textId="77777777" w:rsidR="00387142" w:rsidRPr="008B6A75" w:rsidRDefault="00387142" w:rsidP="00387142">
            <w:pPr>
              <w:jc w:val="center"/>
              <w:rPr>
                <w:sz w:val="20"/>
                <w:szCs w:val="20"/>
              </w:rPr>
            </w:pPr>
            <w:r w:rsidRPr="008B6A75">
              <w:rPr>
                <w:sz w:val="20"/>
                <w:szCs w:val="20"/>
              </w:rPr>
              <w:t>100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0182FFD" w14:textId="77777777" w:rsidR="00387142" w:rsidRPr="008B6A75" w:rsidRDefault="00387142" w:rsidP="00387142">
            <w:pPr>
              <w:jc w:val="right"/>
              <w:rPr>
                <w:sz w:val="20"/>
                <w:szCs w:val="20"/>
              </w:rPr>
            </w:pPr>
            <w:r w:rsidRPr="008B6A75">
              <w:rPr>
                <w:sz w:val="20"/>
                <w:szCs w:val="20"/>
              </w:rPr>
              <w:t>811 727,25</w:t>
            </w:r>
          </w:p>
        </w:tc>
        <w:tc>
          <w:tcPr>
            <w:tcW w:w="992" w:type="dxa"/>
            <w:tcBorders>
              <w:top w:val="nil"/>
              <w:left w:val="single" w:sz="4" w:space="0" w:color="auto"/>
              <w:bottom w:val="single" w:sz="4" w:space="0" w:color="auto"/>
              <w:right w:val="nil"/>
            </w:tcBorders>
            <w:shd w:val="clear" w:color="auto" w:fill="auto"/>
            <w:vAlign w:val="center"/>
            <w:hideMark/>
          </w:tcPr>
          <w:p w14:paraId="5AF5C61D" w14:textId="77777777" w:rsidR="00387142" w:rsidRPr="008B6A75" w:rsidRDefault="00387142" w:rsidP="00387142">
            <w:pPr>
              <w:jc w:val="right"/>
              <w:rPr>
                <w:sz w:val="20"/>
                <w:szCs w:val="20"/>
              </w:rPr>
            </w:pPr>
            <w:r w:rsidRPr="008B6A75">
              <w:rPr>
                <w:sz w:val="20"/>
                <w:szCs w:val="20"/>
              </w:rPr>
              <w:t>794 805,81</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21BE3222" w14:textId="77777777" w:rsidR="00387142" w:rsidRPr="008B6A75" w:rsidRDefault="00387142" w:rsidP="00387142">
            <w:pPr>
              <w:jc w:val="right"/>
              <w:rPr>
                <w:sz w:val="20"/>
                <w:szCs w:val="20"/>
              </w:rPr>
            </w:pPr>
            <w:r w:rsidRPr="008B6A75">
              <w:rPr>
                <w:sz w:val="20"/>
                <w:szCs w:val="20"/>
              </w:rPr>
              <w:t>826 598,05</w:t>
            </w:r>
          </w:p>
        </w:tc>
      </w:tr>
      <w:tr w:rsidR="00387142" w:rsidRPr="008B6A75" w14:paraId="4FE318AB" w14:textId="77777777" w:rsidTr="00387142">
        <w:trPr>
          <w:trHeight w:val="585"/>
        </w:trPr>
        <w:tc>
          <w:tcPr>
            <w:tcW w:w="3261" w:type="dxa"/>
            <w:tcBorders>
              <w:top w:val="nil"/>
              <w:left w:val="single" w:sz="4" w:space="0" w:color="auto"/>
              <w:bottom w:val="single" w:sz="4" w:space="0" w:color="auto"/>
              <w:right w:val="nil"/>
            </w:tcBorders>
            <w:shd w:val="clear" w:color="auto" w:fill="auto"/>
            <w:vAlign w:val="center"/>
            <w:hideMark/>
          </w:tcPr>
          <w:p w14:paraId="50D2E056" w14:textId="77777777" w:rsidR="00387142" w:rsidRPr="008B6A75" w:rsidRDefault="00387142" w:rsidP="00387142">
            <w:pPr>
              <w:rPr>
                <w:sz w:val="20"/>
                <w:szCs w:val="20"/>
              </w:rPr>
            </w:pPr>
            <w:r w:rsidRPr="008B6A75">
              <w:rPr>
                <w:sz w:val="20"/>
                <w:szCs w:val="20"/>
              </w:rPr>
              <w:t xml:space="preserve">Расходы на выплаты персоналу государственных (муниципальных) </w:t>
            </w:r>
            <w:r w:rsidRPr="008B6A75">
              <w:rPr>
                <w:sz w:val="20"/>
                <w:szCs w:val="20"/>
              </w:rPr>
              <w:lastRenderedPageBreak/>
              <w:t>органов</w:t>
            </w:r>
          </w:p>
        </w:tc>
        <w:tc>
          <w:tcPr>
            <w:tcW w:w="720" w:type="dxa"/>
            <w:tcBorders>
              <w:top w:val="nil"/>
              <w:left w:val="single" w:sz="4" w:space="0" w:color="auto"/>
              <w:bottom w:val="single" w:sz="4" w:space="0" w:color="auto"/>
              <w:right w:val="nil"/>
            </w:tcBorders>
            <w:shd w:val="clear" w:color="auto" w:fill="auto"/>
            <w:noWrap/>
            <w:vAlign w:val="center"/>
            <w:hideMark/>
          </w:tcPr>
          <w:p w14:paraId="44F51D88" w14:textId="77777777" w:rsidR="00387142" w:rsidRPr="008B6A75" w:rsidRDefault="00387142" w:rsidP="00387142">
            <w:pPr>
              <w:jc w:val="center"/>
              <w:rPr>
                <w:sz w:val="20"/>
                <w:szCs w:val="20"/>
              </w:rPr>
            </w:pPr>
            <w:r w:rsidRPr="008B6A75">
              <w:rPr>
                <w:sz w:val="20"/>
                <w:szCs w:val="20"/>
              </w:rPr>
              <w:lastRenderedPageBreak/>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A7ABF87" w14:textId="77777777" w:rsidR="00387142" w:rsidRPr="008B6A75" w:rsidRDefault="00387142" w:rsidP="00387142">
            <w:pPr>
              <w:jc w:val="center"/>
              <w:rPr>
                <w:sz w:val="20"/>
                <w:szCs w:val="20"/>
              </w:rPr>
            </w:pPr>
            <w:r w:rsidRPr="008B6A75">
              <w:rPr>
                <w:sz w:val="20"/>
                <w:szCs w:val="20"/>
              </w:rPr>
              <w:t>04</w:t>
            </w:r>
          </w:p>
        </w:tc>
        <w:tc>
          <w:tcPr>
            <w:tcW w:w="1516" w:type="dxa"/>
            <w:tcBorders>
              <w:top w:val="nil"/>
              <w:left w:val="single" w:sz="4" w:space="0" w:color="auto"/>
              <w:bottom w:val="single" w:sz="4" w:space="0" w:color="auto"/>
              <w:right w:val="nil"/>
            </w:tcBorders>
            <w:shd w:val="clear" w:color="auto" w:fill="auto"/>
            <w:noWrap/>
            <w:vAlign w:val="center"/>
            <w:hideMark/>
          </w:tcPr>
          <w:p w14:paraId="22125EB5" w14:textId="77777777" w:rsidR="00387142" w:rsidRPr="008B6A75" w:rsidRDefault="00387142" w:rsidP="00387142">
            <w:pPr>
              <w:jc w:val="center"/>
              <w:rPr>
                <w:sz w:val="20"/>
                <w:szCs w:val="20"/>
              </w:rPr>
            </w:pPr>
            <w:r w:rsidRPr="008B6A75">
              <w:rPr>
                <w:sz w:val="20"/>
                <w:szCs w:val="20"/>
              </w:rPr>
              <w:t>99.0.00.70210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5C8163A" w14:textId="77777777" w:rsidR="00387142" w:rsidRPr="008B6A75" w:rsidRDefault="00387142" w:rsidP="00387142">
            <w:pPr>
              <w:jc w:val="center"/>
              <w:rPr>
                <w:sz w:val="20"/>
                <w:szCs w:val="20"/>
              </w:rPr>
            </w:pPr>
            <w:r w:rsidRPr="008B6A75">
              <w:rPr>
                <w:sz w:val="20"/>
                <w:szCs w:val="20"/>
              </w:rPr>
              <w:t>120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8098C0E" w14:textId="77777777" w:rsidR="00387142" w:rsidRPr="008B6A75" w:rsidRDefault="00387142" w:rsidP="00387142">
            <w:pPr>
              <w:jc w:val="right"/>
              <w:rPr>
                <w:sz w:val="20"/>
                <w:szCs w:val="20"/>
              </w:rPr>
            </w:pPr>
            <w:r w:rsidRPr="008B6A75">
              <w:rPr>
                <w:sz w:val="20"/>
                <w:szCs w:val="20"/>
              </w:rPr>
              <w:t>811 727,25</w:t>
            </w:r>
          </w:p>
        </w:tc>
        <w:tc>
          <w:tcPr>
            <w:tcW w:w="992" w:type="dxa"/>
            <w:tcBorders>
              <w:top w:val="nil"/>
              <w:left w:val="single" w:sz="4" w:space="0" w:color="auto"/>
              <w:bottom w:val="single" w:sz="4" w:space="0" w:color="auto"/>
              <w:right w:val="nil"/>
            </w:tcBorders>
            <w:shd w:val="clear" w:color="auto" w:fill="auto"/>
            <w:vAlign w:val="center"/>
            <w:hideMark/>
          </w:tcPr>
          <w:p w14:paraId="014EDEE4" w14:textId="77777777" w:rsidR="00387142" w:rsidRPr="008B6A75" w:rsidRDefault="00387142" w:rsidP="00387142">
            <w:pPr>
              <w:jc w:val="right"/>
              <w:rPr>
                <w:sz w:val="20"/>
                <w:szCs w:val="20"/>
              </w:rPr>
            </w:pPr>
            <w:r w:rsidRPr="008B6A75">
              <w:rPr>
                <w:sz w:val="20"/>
                <w:szCs w:val="20"/>
              </w:rPr>
              <w:t>794 805,81</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49C97039" w14:textId="77777777" w:rsidR="00387142" w:rsidRPr="008B6A75" w:rsidRDefault="00387142" w:rsidP="00387142">
            <w:pPr>
              <w:jc w:val="right"/>
              <w:rPr>
                <w:sz w:val="20"/>
                <w:szCs w:val="20"/>
              </w:rPr>
            </w:pPr>
            <w:r w:rsidRPr="008B6A75">
              <w:rPr>
                <w:sz w:val="20"/>
                <w:szCs w:val="20"/>
              </w:rPr>
              <w:t>826 598,05</w:t>
            </w:r>
          </w:p>
        </w:tc>
      </w:tr>
      <w:tr w:rsidR="00387142" w:rsidRPr="008B6A75" w14:paraId="3EF4C240" w14:textId="77777777" w:rsidTr="00387142">
        <w:trPr>
          <w:trHeight w:val="585"/>
        </w:trPr>
        <w:tc>
          <w:tcPr>
            <w:tcW w:w="3261" w:type="dxa"/>
            <w:tcBorders>
              <w:top w:val="nil"/>
              <w:left w:val="single" w:sz="4" w:space="0" w:color="auto"/>
              <w:bottom w:val="single" w:sz="4" w:space="0" w:color="auto"/>
              <w:right w:val="nil"/>
            </w:tcBorders>
            <w:shd w:val="clear" w:color="auto" w:fill="auto"/>
            <w:vAlign w:val="center"/>
            <w:hideMark/>
          </w:tcPr>
          <w:p w14:paraId="563634E2" w14:textId="77777777" w:rsidR="00387142" w:rsidRPr="008B6A75" w:rsidRDefault="00387142" w:rsidP="00387142">
            <w:pPr>
              <w:rPr>
                <w:sz w:val="20"/>
                <w:szCs w:val="20"/>
              </w:rPr>
            </w:pPr>
            <w:r w:rsidRPr="008B6A75">
              <w:rPr>
                <w:sz w:val="20"/>
                <w:szCs w:val="20"/>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789796FE" w14:textId="77777777" w:rsidR="00387142" w:rsidRPr="008B6A75" w:rsidRDefault="00387142" w:rsidP="00387142">
            <w:pPr>
              <w:jc w:val="center"/>
              <w:rPr>
                <w:sz w:val="20"/>
                <w:szCs w:val="20"/>
              </w:rPr>
            </w:pPr>
            <w:r w:rsidRPr="008B6A75">
              <w:rPr>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A8886C1" w14:textId="77777777" w:rsidR="00387142" w:rsidRPr="008B6A75" w:rsidRDefault="00387142" w:rsidP="00387142">
            <w:pPr>
              <w:jc w:val="center"/>
              <w:rPr>
                <w:sz w:val="20"/>
                <w:szCs w:val="20"/>
              </w:rPr>
            </w:pPr>
            <w:r w:rsidRPr="008B6A75">
              <w:rPr>
                <w:sz w:val="20"/>
                <w:szCs w:val="20"/>
              </w:rPr>
              <w:t>04</w:t>
            </w:r>
          </w:p>
        </w:tc>
        <w:tc>
          <w:tcPr>
            <w:tcW w:w="1516" w:type="dxa"/>
            <w:tcBorders>
              <w:top w:val="nil"/>
              <w:left w:val="single" w:sz="4" w:space="0" w:color="auto"/>
              <w:bottom w:val="single" w:sz="4" w:space="0" w:color="auto"/>
              <w:right w:val="nil"/>
            </w:tcBorders>
            <w:shd w:val="clear" w:color="auto" w:fill="auto"/>
            <w:noWrap/>
            <w:vAlign w:val="center"/>
            <w:hideMark/>
          </w:tcPr>
          <w:p w14:paraId="12A69D51" w14:textId="77777777" w:rsidR="00387142" w:rsidRPr="008B6A75" w:rsidRDefault="00387142" w:rsidP="00387142">
            <w:pPr>
              <w:jc w:val="center"/>
              <w:rPr>
                <w:sz w:val="20"/>
                <w:szCs w:val="20"/>
              </w:rPr>
            </w:pPr>
            <w:r w:rsidRPr="008B6A75">
              <w:rPr>
                <w:sz w:val="20"/>
                <w:szCs w:val="20"/>
              </w:rPr>
              <w:t>99.0.00.70210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CEDE1ED" w14:textId="77777777" w:rsidR="00387142" w:rsidRPr="008B6A75" w:rsidRDefault="00387142" w:rsidP="00387142">
            <w:pPr>
              <w:jc w:val="center"/>
              <w:rPr>
                <w:sz w:val="20"/>
                <w:szCs w:val="20"/>
              </w:rPr>
            </w:pPr>
            <w:r w:rsidRPr="008B6A75">
              <w:rPr>
                <w:sz w:val="20"/>
                <w:szCs w:val="20"/>
              </w:rPr>
              <w:t>200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D010F18" w14:textId="77777777" w:rsidR="00387142" w:rsidRPr="008B6A75" w:rsidRDefault="00387142" w:rsidP="00387142">
            <w:pPr>
              <w:jc w:val="right"/>
              <w:rPr>
                <w:sz w:val="20"/>
                <w:szCs w:val="20"/>
              </w:rPr>
            </w:pPr>
            <w:r w:rsidRPr="008B6A75">
              <w:rPr>
                <w:sz w:val="20"/>
                <w:szCs w:val="20"/>
              </w:rPr>
              <w:t>247 592,75</w:t>
            </w:r>
          </w:p>
        </w:tc>
        <w:tc>
          <w:tcPr>
            <w:tcW w:w="992" w:type="dxa"/>
            <w:tcBorders>
              <w:top w:val="nil"/>
              <w:left w:val="single" w:sz="4" w:space="0" w:color="auto"/>
              <w:bottom w:val="single" w:sz="4" w:space="0" w:color="auto"/>
              <w:right w:val="nil"/>
            </w:tcBorders>
            <w:shd w:val="clear" w:color="auto" w:fill="auto"/>
            <w:vAlign w:val="center"/>
            <w:hideMark/>
          </w:tcPr>
          <w:p w14:paraId="5CAD0F4B" w14:textId="77777777" w:rsidR="00387142" w:rsidRPr="008B6A75" w:rsidRDefault="00387142" w:rsidP="00387142">
            <w:pPr>
              <w:jc w:val="right"/>
              <w:rPr>
                <w:sz w:val="20"/>
                <w:szCs w:val="20"/>
              </w:rPr>
            </w:pPr>
            <w:r w:rsidRPr="008B6A75">
              <w:rPr>
                <w:sz w:val="20"/>
                <w:szCs w:val="20"/>
              </w:rPr>
              <w:t>246 954,19</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76308895" w14:textId="77777777" w:rsidR="00387142" w:rsidRPr="008B6A75" w:rsidRDefault="00387142" w:rsidP="00387142">
            <w:pPr>
              <w:jc w:val="right"/>
              <w:rPr>
                <w:sz w:val="20"/>
                <w:szCs w:val="20"/>
              </w:rPr>
            </w:pPr>
            <w:r w:rsidRPr="008B6A75">
              <w:rPr>
                <w:sz w:val="20"/>
                <w:szCs w:val="20"/>
              </w:rPr>
              <w:t>255 861,95</w:t>
            </w:r>
          </w:p>
        </w:tc>
      </w:tr>
      <w:tr w:rsidR="00387142" w:rsidRPr="008B6A75" w14:paraId="4165A755" w14:textId="77777777" w:rsidTr="00387142">
        <w:trPr>
          <w:trHeight w:val="870"/>
        </w:trPr>
        <w:tc>
          <w:tcPr>
            <w:tcW w:w="3261" w:type="dxa"/>
            <w:tcBorders>
              <w:top w:val="nil"/>
              <w:left w:val="single" w:sz="4" w:space="0" w:color="auto"/>
              <w:bottom w:val="single" w:sz="4" w:space="0" w:color="auto"/>
              <w:right w:val="nil"/>
            </w:tcBorders>
            <w:shd w:val="clear" w:color="auto" w:fill="auto"/>
            <w:vAlign w:val="center"/>
            <w:hideMark/>
          </w:tcPr>
          <w:p w14:paraId="4ECCF07C" w14:textId="77777777" w:rsidR="00387142" w:rsidRPr="008B6A75" w:rsidRDefault="00387142" w:rsidP="00387142">
            <w:pPr>
              <w:rPr>
                <w:sz w:val="20"/>
                <w:szCs w:val="20"/>
              </w:rPr>
            </w:pPr>
            <w:r w:rsidRPr="008B6A75">
              <w:rPr>
                <w:sz w:val="20"/>
                <w:szCs w:val="20"/>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273299B8" w14:textId="77777777" w:rsidR="00387142" w:rsidRPr="008B6A75" w:rsidRDefault="00387142" w:rsidP="00387142">
            <w:pPr>
              <w:jc w:val="center"/>
              <w:rPr>
                <w:sz w:val="20"/>
                <w:szCs w:val="20"/>
              </w:rPr>
            </w:pPr>
            <w:r w:rsidRPr="008B6A75">
              <w:rPr>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B3FE50F" w14:textId="77777777" w:rsidR="00387142" w:rsidRPr="008B6A75" w:rsidRDefault="00387142" w:rsidP="00387142">
            <w:pPr>
              <w:jc w:val="center"/>
              <w:rPr>
                <w:sz w:val="20"/>
                <w:szCs w:val="20"/>
              </w:rPr>
            </w:pPr>
            <w:r w:rsidRPr="008B6A75">
              <w:rPr>
                <w:sz w:val="20"/>
                <w:szCs w:val="20"/>
              </w:rPr>
              <w:t>04</w:t>
            </w:r>
          </w:p>
        </w:tc>
        <w:tc>
          <w:tcPr>
            <w:tcW w:w="1516" w:type="dxa"/>
            <w:tcBorders>
              <w:top w:val="nil"/>
              <w:left w:val="single" w:sz="4" w:space="0" w:color="auto"/>
              <w:bottom w:val="single" w:sz="4" w:space="0" w:color="auto"/>
              <w:right w:val="nil"/>
            </w:tcBorders>
            <w:shd w:val="clear" w:color="auto" w:fill="auto"/>
            <w:noWrap/>
            <w:vAlign w:val="center"/>
            <w:hideMark/>
          </w:tcPr>
          <w:p w14:paraId="3D4359A6" w14:textId="77777777" w:rsidR="00387142" w:rsidRPr="008B6A75" w:rsidRDefault="00387142" w:rsidP="00387142">
            <w:pPr>
              <w:jc w:val="center"/>
              <w:rPr>
                <w:sz w:val="20"/>
                <w:szCs w:val="20"/>
              </w:rPr>
            </w:pPr>
            <w:r w:rsidRPr="008B6A75">
              <w:rPr>
                <w:sz w:val="20"/>
                <w:szCs w:val="20"/>
              </w:rPr>
              <w:t>99.0.00.70210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BD3100B" w14:textId="77777777" w:rsidR="00387142" w:rsidRPr="008B6A75" w:rsidRDefault="00387142" w:rsidP="00387142">
            <w:pPr>
              <w:jc w:val="center"/>
              <w:rPr>
                <w:sz w:val="20"/>
                <w:szCs w:val="20"/>
              </w:rPr>
            </w:pPr>
            <w:r w:rsidRPr="008B6A75">
              <w:rPr>
                <w:sz w:val="20"/>
                <w:szCs w:val="20"/>
              </w:rPr>
              <w:t>240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B1B4E90" w14:textId="77777777" w:rsidR="00387142" w:rsidRPr="008B6A75" w:rsidRDefault="00387142" w:rsidP="00387142">
            <w:pPr>
              <w:jc w:val="right"/>
              <w:rPr>
                <w:sz w:val="20"/>
                <w:szCs w:val="20"/>
              </w:rPr>
            </w:pPr>
            <w:r w:rsidRPr="008B6A75">
              <w:rPr>
                <w:sz w:val="20"/>
                <w:szCs w:val="20"/>
              </w:rPr>
              <w:t>247 592,75</w:t>
            </w:r>
          </w:p>
        </w:tc>
        <w:tc>
          <w:tcPr>
            <w:tcW w:w="992" w:type="dxa"/>
            <w:tcBorders>
              <w:top w:val="nil"/>
              <w:left w:val="single" w:sz="4" w:space="0" w:color="auto"/>
              <w:bottom w:val="single" w:sz="4" w:space="0" w:color="auto"/>
              <w:right w:val="nil"/>
            </w:tcBorders>
            <w:shd w:val="clear" w:color="auto" w:fill="auto"/>
            <w:vAlign w:val="center"/>
            <w:hideMark/>
          </w:tcPr>
          <w:p w14:paraId="71A1B89C" w14:textId="77777777" w:rsidR="00387142" w:rsidRPr="008B6A75" w:rsidRDefault="00387142" w:rsidP="00387142">
            <w:pPr>
              <w:jc w:val="right"/>
              <w:rPr>
                <w:sz w:val="20"/>
                <w:szCs w:val="20"/>
              </w:rPr>
            </w:pPr>
            <w:r w:rsidRPr="008B6A75">
              <w:rPr>
                <w:sz w:val="20"/>
                <w:szCs w:val="20"/>
              </w:rPr>
              <w:t>246 954,19</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643431C1" w14:textId="77777777" w:rsidR="00387142" w:rsidRPr="008B6A75" w:rsidRDefault="00387142" w:rsidP="00387142">
            <w:pPr>
              <w:jc w:val="right"/>
              <w:rPr>
                <w:sz w:val="20"/>
                <w:szCs w:val="20"/>
              </w:rPr>
            </w:pPr>
            <w:r w:rsidRPr="008B6A75">
              <w:rPr>
                <w:sz w:val="20"/>
                <w:szCs w:val="20"/>
              </w:rPr>
              <w:t>255 861,95</w:t>
            </w:r>
          </w:p>
        </w:tc>
      </w:tr>
      <w:tr w:rsidR="00387142" w:rsidRPr="008B6A75" w14:paraId="5C11F748" w14:textId="77777777" w:rsidTr="00387142">
        <w:trPr>
          <w:trHeight w:val="2010"/>
        </w:trPr>
        <w:tc>
          <w:tcPr>
            <w:tcW w:w="3261" w:type="dxa"/>
            <w:tcBorders>
              <w:top w:val="nil"/>
              <w:left w:val="single" w:sz="4" w:space="0" w:color="auto"/>
              <w:bottom w:val="single" w:sz="4" w:space="0" w:color="auto"/>
              <w:right w:val="nil"/>
            </w:tcBorders>
            <w:shd w:val="clear" w:color="auto" w:fill="auto"/>
            <w:vAlign w:val="center"/>
            <w:hideMark/>
          </w:tcPr>
          <w:p w14:paraId="73D14922" w14:textId="77777777" w:rsidR="00387142" w:rsidRPr="008B6A75" w:rsidRDefault="00387142" w:rsidP="00387142">
            <w:pPr>
              <w:rPr>
                <w:bCs/>
                <w:sz w:val="20"/>
                <w:szCs w:val="20"/>
              </w:rPr>
            </w:pPr>
            <w:r w:rsidRPr="008B6A75">
              <w:rPr>
                <w:bCs/>
                <w:sz w:val="20"/>
                <w:szCs w:val="20"/>
              </w:rPr>
              <w:t>Осуществление отдельных государственных полномочий Новосибирской области по сбору информации от поселений, входящих в муниципальный район, необходимой для ведения регистра муниципальных нормативных правовых актов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14:paraId="3EEF94B6" w14:textId="77777777" w:rsidR="00387142" w:rsidRPr="008B6A75" w:rsidRDefault="00387142" w:rsidP="00387142">
            <w:pPr>
              <w:jc w:val="center"/>
              <w:rPr>
                <w:bCs/>
                <w:sz w:val="20"/>
                <w:szCs w:val="20"/>
              </w:rPr>
            </w:pPr>
            <w:r w:rsidRPr="008B6A75">
              <w:rPr>
                <w:bCs/>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828F199" w14:textId="77777777" w:rsidR="00387142" w:rsidRPr="008B6A75" w:rsidRDefault="00387142" w:rsidP="00387142">
            <w:pPr>
              <w:jc w:val="center"/>
              <w:rPr>
                <w:bCs/>
                <w:sz w:val="20"/>
                <w:szCs w:val="20"/>
              </w:rPr>
            </w:pPr>
            <w:r w:rsidRPr="008B6A75">
              <w:rPr>
                <w:bCs/>
                <w:sz w:val="20"/>
                <w:szCs w:val="20"/>
              </w:rPr>
              <w:t>04</w:t>
            </w:r>
          </w:p>
        </w:tc>
        <w:tc>
          <w:tcPr>
            <w:tcW w:w="1516" w:type="dxa"/>
            <w:tcBorders>
              <w:top w:val="nil"/>
              <w:left w:val="single" w:sz="4" w:space="0" w:color="auto"/>
              <w:bottom w:val="single" w:sz="4" w:space="0" w:color="auto"/>
              <w:right w:val="nil"/>
            </w:tcBorders>
            <w:shd w:val="clear" w:color="auto" w:fill="auto"/>
            <w:noWrap/>
            <w:vAlign w:val="center"/>
            <w:hideMark/>
          </w:tcPr>
          <w:p w14:paraId="25C92824" w14:textId="77777777" w:rsidR="00387142" w:rsidRPr="008B6A75" w:rsidRDefault="00387142" w:rsidP="00387142">
            <w:pPr>
              <w:jc w:val="center"/>
              <w:rPr>
                <w:bCs/>
                <w:sz w:val="20"/>
                <w:szCs w:val="20"/>
              </w:rPr>
            </w:pPr>
            <w:r w:rsidRPr="008B6A75">
              <w:rPr>
                <w:bCs/>
                <w:sz w:val="20"/>
                <w:szCs w:val="20"/>
              </w:rPr>
              <w:t>99.0.00.70230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115B157"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8411C4A" w14:textId="77777777" w:rsidR="00387142" w:rsidRPr="008B6A75" w:rsidRDefault="00387142" w:rsidP="00387142">
            <w:pPr>
              <w:jc w:val="right"/>
              <w:rPr>
                <w:bCs/>
                <w:sz w:val="20"/>
                <w:szCs w:val="20"/>
              </w:rPr>
            </w:pPr>
            <w:r w:rsidRPr="008B6A75">
              <w:rPr>
                <w:bCs/>
                <w:sz w:val="20"/>
                <w:szCs w:val="20"/>
              </w:rPr>
              <w:t>123 620,00</w:t>
            </w:r>
          </w:p>
        </w:tc>
        <w:tc>
          <w:tcPr>
            <w:tcW w:w="992" w:type="dxa"/>
            <w:tcBorders>
              <w:top w:val="nil"/>
              <w:left w:val="single" w:sz="4" w:space="0" w:color="auto"/>
              <w:bottom w:val="single" w:sz="4" w:space="0" w:color="auto"/>
              <w:right w:val="nil"/>
            </w:tcBorders>
            <w:shd w:val="clear" w:color="auto" w:fill="auto"/>
            <w:vAlign w:val="center"/>
            <w:hideMark/>
          </w:tcPr>
          <w:p w14:paraId="64E719DF" w14:textId="77777777" w:rsidR="00387142" w:rsidRPr="008B6A75" w:rsidRDefault="00387142" w:rsidP="00387142">
            <w:pPr>
              <w:jc w:val="right"/>
              <w:rPr>
                <w:bCs/>
                <w:sz w:val="20"/>
                <w:szCs w:val="20"/>
              </w:rPr>
            </w:pPr>
            <w:r w:rsidRPr="008B6A75">
              <w:rPr>
                <w:bCs/>
                <w:sz w:val="20"/>
                <w:szCs w:val="20"/>
              </w:rPr>
              <w:t>122 500,00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10D87BCC" w14:textId="77777777" w:rsidR="00387142" w:rsidRPr="008B6A75" w:rsidRDefault="00387142" w:rsidP="00387142">
            <w:pPr>
              <w:jc w:val="right"/>
              <w:rPr>
                <w:bCs/>
                <w:sz w:val="20"/>
                <w:szCs w:val="20"/>
              </w:rPr>
            </w:pPr>
            <w:r w:rsidRPr="008B6A75">
              <w:rPr>
                <w:bCs/>
                <w:sz w:val="20"/>
                <w:szCs w:val="20"/>
              </w:rPr>
              <w:t>127 600,00</w:t>
            </w:r>
          </w:p>
        </w:tc>
      </w:tr>
      <w:tr w:rsidR="00387142" w:rsidRPr="008B6A75" w14:paraId="2FF69309" w14:textId="77777777" w:rsidTr="00387142">
        <w:trPr>
          <w:trHeight w:val="1440"/>
        </w:trPr>
        <w:tc>
          <w:tcPr>
            <w:tcW w:w="3261" w:type="dxa"/>
            <w:tcBorders>
              <w:top w:val="nil"/>
              <w:left w:val="single" w:sz="4" w:space="0" w:color="auto"/>
              <w:bottom w:val="single" w:sz="4" w:space="0" w:color="auto"/>
              <w:right w:val="nil"/>
            </w:tcBorders>
            <w:shd w:val="clear" w:color="auto" w:fill="auto"/>
            <w:vAlign w:val="center"/>
            <w:hideMark/>
          </w:tcPr>
          <w:p w14:paraId="38486B82" w14:textId="77777777" w:rsidR="00387142" w:rsidRPr="008B6A75" w:rsidRDefault="00387142" w:rsidP="00387142">
            <w:pPr>
              <w:rPr>
                <w:sz w:val="20"/>
                <w:szCs w:val="20"/>
              </w:rPr>
            </w:pPr>
            <w:r w:rsidRPr="008B6A7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14:paraId="4D5138B6" w14:textId="77777777" w:rsidR="00387142" w:rsidRPr="008B6A75" w:rsidRDefault="00387142" w:rsidP="00387142">
            <w:pPr>
              <w:jc w:val="center"/>
              <w:rPr>
                <w:sz w:val="20"/>
                <w:szCs w:val="20"/>
              </w:rPr>
            </w:pPr>
            <w:r w:rsidRPr="008B6A75">
              <w:rPr>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FF979D4" w14:textId="77777777" w:rsidR="00387142" w:rsidRPr="008B6A75" w:rsidRDefault="00387142" w:rsidP="00387142">
            <w:pPr>
              <w:jc w:val="center"/>
              <w:rPr>
                <w:sz w:val="20"/>
                <w:szCs w:val="20"/>
              </w:rPr>
            </w:pPr>
            <w:r w:rsidRPr="008B6A75">
              <w:rPr>
                <w:sz w:val="20"/>
                <w:szCs w:val="20"/>
              </w:rPr>
              <w:t>04</w:t>
            </w:r>
          </w:p>
        </w:tc>
        <w:tc>
          <w:tcPr>
            <w:tcW w:w="1516" w:type="dxa"/>
            <w:tcBorders>
              <w:top w:val="nil"/>
              <w:left w:val="single" w:sz="4" w:space="0" w:color="auto"/>
              <w:bottom w:val="single" w:sz="4" w:space="0" w:color="auto"/>
              <w:right w:val="nil"/>
            </w:tcBorders>
            <w:shd w:val="clear" w:color="auto" w:fill="auto"/>
            <w:noWrap/>
            <w:vAlign w:val="center"/>
            <w:hideMark/>
          </w:tcPr>
          <w:p w14:paraId="60C3A071" w14:textId="77777777" w:rsidR="00387142" w:rsidRPr="008B6A75" w:rsidRDefault="00387142" w:rsidP="00387142">
            <w:pPr>
              <w:jc w:val="center"/>
              <w:rPr>
                <w:sz w:val="20"/>
                <w:szCs w:val="20"/>
              </w:rPr>
            </w:pPr>
            <w:r w:rsidRPr="008B6A75">
              <w:rPr>
                <w:sz w:val="20"/>
                <w:szCs w:val="20"/>
              </w:rPr>
              <w:t>99.0.00.70230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BEEF481" w14:textId="77777777" w:rsidR="00387142" w:rsidRPr="008B6A75" w:rsidRDefault="00387142" w:rsidP="00387142">
            <w:pPr>
              <w:jc w:val="center"/>
              <w:rPr>
                <w:sz w:val="20"/>
                <w:szCs w:val="20"/>
              </w:rPr>
            </w:pPr>
            <w:r w:rsidRPr="008B6A75">
              <w:rPr>
                <w:sz w:val="20"/>
                <w:szCs w:val="20"/>
              </w:rPr>
              <w:t>100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926D075" w14:textId="77777777" w:rsidR="00387142" w:rsidRPr="008B6A75" w:rsidRDefault="00387142" w:rsidP="00387142">
            <w:pPr>
              <w:jc w:val="right"/>
              <w:rPr>
                <w:sz w:val="20"/>
                <w:szCs w:val="20"/>
              </w:rPr>
            </w:pPr>
            <w:r w:rsidRPr="008B6A75">
              <w:rPr>
                <w:sz w:val="20"/>
                <w:szCs w:val="20"/>
              </w:rPr>
              <w:t>104 663,33</w:t>
            </w:r>
          </w:p>
        </w:tc>
        <w:tc>
          <w:tcPr>
            <w:tcW w:w="992" w:type="dxa"/>
            <w:tcBorders>
              <w:top w:val="nil"/>
              <w:left w:val="single" w:sz="4" w:space="0" w:color="auto"/>
              <w:bottom w:val="single" w:sz="4" w:space="0" w:color="auto"/>
              <w:right w:val="nil"/>
            </w:tcBorders>
            <w:shd w:val="clear" w:color="auto" w:fill="auto"/>
            <w:vAlign w:val="center"/>
            <w:hideMark/>
          </w:tcPr>
          <w:p w14:paraId="5117D8F1" w14:textId="77777777" w:rsidR="00387142" w:rsidRPr="008B6A75" w:rsidRDefault="00387142" w:rsidP="00387142">
            <w:pPr>
              <w:jc w:val="right"/>
              <w:rPr>
                <w:sz w:val="20"/>
                <w:szCs w:val="20"/>
              </w:rPr>
            </w:pPr>
            <w:r w:rsidRPr="008B6A75">
              <w:rPr>
                <w:sz w:val="20"/>
                <w:szCs w:val="20"/>
              </w:rPr>
              <w:t>103 005,00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1AEA777C" w14:textId="77777777" w:rsidR="00387142" w:rsidRPr="008B6A75" w:rsidRDefault="00387142" w:rsidP="00387142">
            <w:pPr>
              <w:jc w:val="right"/>
              <w:rPr>
                <w:sz w:val="20"/>
                <w:szCs w:val="20"/>
              </w:rPr>
            </w:pPr>
            <w:r w:rsidRPr="008B6A75">
              <w:rPr>
                <w:sz w:val="20"/>
                <w:szCs w:val="20"/>
              </w:rPr>
              <w:t>107 125,00</w:t>
            </w:r>
          </w:p>
        </w:tc>
      </w:tr>
      <w:tr w:rsidR="00387142" w:rsidRPr="008B6A75" w14:paraId="17907385" w14:textId="77777777" w:rsidTr="00387142">
        <w:trPr>
          <w:trHeight w:val="585"/>
        </w:trPr>
        <w:tc>
          <w:tcPr>
            <w:tcW w:w="3261" w:type="dxa"/>
            <w:tcBorders>
              <w:top w:val="nil"/>
              <w:left w:val="single" w:sz="4" w:space="0" w:color="auto"/>
              <w:bottom w:val="single" w:sz="4" w:space="0" w:color="auto"/>
              <w:right w:val="nil"/>
            </w:tcBorders>
            <w:shd w:val="clear" w:color="auto" w:fill="auto"/>
            <w:vAlign w:val="center"/>
            <w:hideMark/>
          </w:tcPr>
          <w:p w14:paraId="21738295" w14:textId="77777777" w:rsidR="00387142" w:rsidRPr="008B6A75" w:rsidRDefault="00387142" w:rsidP="00387142">
            <w:pPr>
              <w:rPr>
                <w:sz w:val="20"/>
                <w:szCs w:val="20"/>
              </w:rPr>
            </w:pPr>
            <w:r w:rsidRPr="008B6A75">
              <w:rPr>
                <w:sz w:val="20"/>
                <w:szCs w:val="20"/>
              </w:rPr>
              <w:t>Расходы на выплаты персоналу государственных (муниципальных) органов</w:t>
            </w:r>
          </w:p>
        </w:tc>
        <w:tc>
          <w:tcPr>
            <w:tcW w:w="720" w:type="dxa"/>
            <w:tcBorders>
              <w:top w:val="nil"/>
              <w:left w:val="single" w:sz="4" w:space="0" w:color="auto"/>
              <w:bottom w:val="single" w:sz="4" w:space="0" w:color="auto"/>
              <w:right w:val="nil"/>
            </w:tcBorders>
            <w:shd w:val="clear" w:color="auto" w:fill="auto"/>
            <w:noWrap/>
            <w:vAlign w:val="center"/>
            <w:hideMark/>
          </w:tcPr>
          <w:p w14:paraId="67655E73" w14:textId="77777777" w:rsidR="00387142" w:rsidRPr="008B6A75" w:rsidRDefault="00387142" w:rsidP="00387142">
            <w:pPr>
              <w:jc w:val="center"/>
              <w:rPr>
                <w:sz w:val="20"/>
                <w:szCs w:val="20"/>
              </w:rPr>
            </w:pPr>
            <w:r w:rsidRPr="008B6A75">
              <w:rPr>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6E55731" w14:textId="77777777" w:rsidR="00387142" w:rsidRPr="008B6A75" w:rsidRDefault="00387142" w:rsidP="00387142">
            <w:pPr>
              <w:jc w:val="center"/>
              <w:rPr>
                <w:sz w:val="20"/>
                <w:szCs w:val="20"/>
              </w:rPr>
            </w:pPr>
            <w:r w:rsidRPr="008B6A75">
              <w:rPr>
                <w:sz w:val="20"/>
                <w:szCs w:val="20"/>
              </w:rPr>
              <w:t>04</w:t>
            </w:r>
          </w:p>
        </w:tc>
        <w:tc>
          <w:tcPr>
            <w:tcW w:w="1516" w:type="dxa"/>
            <w:tcBorders>
              <w:top w:val="nil"/>
              <w:left w:val="single" w:sz="4" w:space="0" w:color="auto"/>
              <w:bottom w:val="single" w:sz="4" w:space="0" w:color="auto"/>
              <w:right w:val="nil"/>
            </w:tcBorders>
            <w:shd w:val="clear" w:color="auto" w:fill="auto"/>
            <w:noWrap/>
            <w:vAlign w:val="center"/>
            <w:hideMark/>
          </w:tcPr>
          <w:p w14:paraId="174EBE7B" w14:textId="77777777" w:rsidR="00387142" w:rsidRPr="008B6A75" w:rsidRDefault="00387142" w:rsidP="00387142">
            <w:pPr>
              <w:jc w:val="center"/>
              <w:rPr>
                <w:sz w:val="20"/>
                <w:szCs w:val="20"/>
              </w:rPr>
            </w:pPr>
            <w:r w:rsidRPr="008B6A75">
              <w:rPr>
                <w:sz w:val="20"/>
                <w:szCs w:val="20"/>
              </w:rPr>
              <w:t>99.0.00.70230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2EE39B1" w14:textId="77777777" w:rsidR="00387142" w:rsidRPr="008B6A75" w:rsidRDefault="00387142" w:rsidP="00387142">
            <w:pPr>
              <w:jc w:val="center"/>
              <w:rPr>
                <w:sz w:val="20"/>
                <w:szCs w:val="20"/>
              </w:rPr>
            </w:pPr>
            <w:r w:rsidRPr="008B6A75">
              <w:rPr>
                <w:sz w:val="20"/>
                <w:szCs w:val="20"/>
              </w:rPr>
              <w:t>120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828204E" w14:textId="77777777" w:rsidR="00387142" w:rsidRPr="008B6A75" w:rsidRDefault="00387142" w:rsidP="00387142">
            <w:pPr>
              <w:jc w:val="right"/>
              <w:rPr>
                <w:sz w:val="20"/>
                <w:szCs w:val="20"/>
              </w:rPr>
            </w:pPr>
            <w:r w:rsidRPr="008B6A75">
              <w:rPr>
                <w:sz w:val="20"/>
                <w:szCs w:val="20"/>
              </w:rPr>
              <w:t>104 663,33</w:t>
            </w:r>
          </w:p>
        </w:tc>
        <w:tc>
          <w:tcPr>
            <w:tcW w:w="992" w:type="dxa"/>
            <w:tcBorders>
              <w:top w:val="nil"/>
              <w:left w:val="single" w:sz="4" w:space="0" w:color="auto"/>
              <w:bottom w:val="single" w:sz="4" w:space="0" w:color="auto"/>
              <w:right w:val="nil"/>
            </w:tcBorders>
            <w:shd w:val="clear" w:color="auto" w:fill="auto"/>
            <w:vAlign w:val="center"/>
            <w:hideMark/>
          </w:tcPr>
          <w:p w14:paraId="466C247B" w14:textId="77777777" w:rsidR="00387142" w:rsidRPr="008B6A75" w:rsidRDefault="00387142" w:rsidP="00387142">
            <w:pPr>
              <w:jc w:val="right"/>
              <w:rPr>
                <w:sz w:val="20"/>
                <w:szCs w:val="20"/>
              </w:rPr>
            </w:pPr>
            <w:r w:rsidRPr="008B6A75">
              <w:rPr>
                <w:sz w:val="20"/>
                <w:szCs w:val="20"/>
              </w:rPr>
              <w:t>103 005,00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3DC05BD9" w14:textId="77777777" w:rsidR="00387142" w:rsidRPr="008B6A75" w:rsidRDefault="00387142" w:rsidP="00387142">
            <w:pPr>
              <w:jc w:val="right"/>
              <w:rPr>
                <w:sz w:val="20"/>
                <w:szCs w:val="20"/>
              </w:rPr>
            </w:pPr>
            <w:r w:rsidRPr="008B6A75">
              <w:rPr>
                <w:sz w:val="20"/>
                <w:szCs w:val="20"/>
              </w:rPr>
              <w:t>107 125,00</w:t>
            </w:r>
          </w:p>
        </w:tc>
      </w:tr>
      <w:tr w:rsidR="00387142" w:rsidRPr="008B6A75" w14:paraId="211E4EBF" w14:textId="77777777" w:rsidTr="00387142">
        <w:trPr>
          <w:trHeight w:val="585"/>
        </w:trPr>
        <w:tc>
          <w:tcPr>
            <w:tcW w:w="3261" w:type="dxa"/>
            <w:tcBorders>
              <w:top w:val="nil"/>
              <w:left w:val="single" w:sz="4" w:space="0" w:color="auto"/>
              <w:bottom w:val="single" w:sz="4" w:space="0" w:color="auto"/>
              <w:right w:val="nil"/>
            </w:tcBorders>
            <w:shd w:val="clear" w:color="auto" w:fill="auto"/>
            <w:vAlign w:val="center"/>
            <w:hideMark/>
          </w:tcPr>
          <w:p w14:paraId="1BAC6712" w14:textId="77777777" w:rsidR="00387142" w:rsidRPr="008B6A75" w:rsidRDefault="00387142" w:rsidP="00387142">
            <w:pPr>
              <w:rPr>
                <w:sz w:val="20"/>
                <w:szCs w:val="20"/>
              </w:rPr>
            </w:pPr>
            <w:r w:rsidRPr="008B6A75">
              <w:rPr>
                <w:sz w:val="20"/>
                <w:szCs w:val="20"/>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3FFAE865" w14:textId="77777777" w:rsidR="00387142" w:rsidRPr="008B6A75" w:rsidRDefault="00387142" w:rsidP="00387142">
            <w:pPr>
              <w:jc w:val="center"/>
              <w:rPr>
                <w:sz w:val="20"/>
                <w:szCs w:val="20"/>
              </w:rPr>
            </w:pPr>
            <w:r w:rsidRPr="008B6A75">
              <w:rPr>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7B22FC7" w14:textId="77777777" w:rsidR="00387142" w:rsidRPr="008B6A75" w:rsidRDefault="00387142" w:rsidP="00387142">
            <w:pPr>
              <w:jc w:val="center"/>
              <w:rPr>
                <w:sz w:val="20"/>
                <w:szCs w:val="20"/>
              </w:rPr>
            </w:pPr>
            <w:r w:rsidRPr="008B6A75">
              <w:rPr>
                <w:sz w:val="20"/>
                <w:szCs w:val="20"/>
              </w:rPr>
              <w:t>04</w:t>
            </w:r>
          </w:p>
        </w:tc>
        <w:tc>
          <w:tcPr>
            <w:tcW w:w="1516" w:type="dxa"/>
            <w:tcBorders>
              <w:top w:val="nil"/>
              <w:left w:val="single" w:sz="4" w:space="0" w:color="auto"/>
              <w:bottom w:val="single" w:sz="4" w:space="0" w:color="auto"/>
              <w:right w:val="nil"/>
            </w:tcBorders>
            <w:shd w:val="clear" w:color="auto" w:fill="auto"/>
            <w:noWrap/>
            <w:vAlign w:val="center"/>
            <w:hideMark/>
          </w:tcPr>
          <w:p w14:paraId="29DFAAE7" w14:textId="77777777" w:rsidR="00387142" w:rsidRPr="008B6A75" w:rsidRDefault="00387142" w:rsidP="00387142">
            <w:pPr>
              <w:jc w:val="center"/>
              <w:rPr>
                <w:sz w:val="20"/>
                <w:szCs w:val="20"/>
              </w:rPr>
            </w:pPr>
            <w:r w:rsidRPr="008B6A75">
              <w:rPr>
                <w:sz w:val="20"/>
                <w:szCs w:val="20"/>
              </w:rPr>
              <w:t>99.0.00.70230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4AC2FF2" w14:textId="77777777" w:rsidR="00387142" w:rsidRPr="008B6A75" w:rsidRDefault="00387142" w:rsidP="00387142">
            <w:pPr>
              <w:jc w:val="center"/>
              <w:rPr>
                <w:sz w:val="20"/>
                <w:szCs w:val="20"/>
              </w:rPr>
            </w:pPr>
            <w:r w:rsidRPr="008B6A75">
              <w:rPr>
                <w:sz w:val="20"/>
                <w:szCs w:val="20"/>
              </w:rPr>
              <w:t>200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CB80A17" w14:textId="77777777" w:rsidR="00387142" w:rsidRPr="008B6A75" w:rsidRDefault="00387142" w:rsidP="00387142">
            <w:pPr>
              <w:jc w:val="right"/>
              <w:rPr>
                <w:sz w:val="20"/>
                <w:szCs w:val="20"/>
              </w:rPr>
            </w:pPr>
            <w:r w:rsidRPr="008B6A75">
              <w:rPr>
                <w:sz w:val="20"/>
                <w:szCs w:val="20"/>
              </w:rPr>
              <w:t>18 956,67</w:t>
            </w:r>
          </w:p>
        </w:tc>
        <w:tc>
          <w:tcPr>
            <w:tcW w:w="992" w:type="dxa"/>
            <w:tcBorders>
              <w:top w:val="nil"/>
              <w:left w:val="single" w:sz="4" w:space="0" w:color="auto"/>
              <w:bottom w:val="single" w:sz="4" w:space="0" w:color="auto"/>
              <w:right w:val="nil"/>
            </w:tcBorders>
            <w:shd w:val="clear" w:color="auto" w:fill="auto"/>
            <w:vAlign w:val="center"/>
            <w:hideMark/>
          </w:tcPr>
          <w:p w14:paraId="1B67F085" w14:textId="77777777" w:rsidR="00387142" w:rsidRPr="008B6A75" w:rsidRDefault="00387142" w:rsidP="00387142">
            <w:pPr>
              <w:jc w:val="right"/>
              <w:rPr>
                <w:sz w:val="20"/>
                <w:szCs w:val="20"/>
              </w:rPr>
            </w:pPr>
            <w:r w:rsidRPr="008B6A75">
              <w:rPr>
                <w:sz w:val="20"/>
                <w:szCs w:val="20"/>
              </w:rPr>
              <w:t>19 495,00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7D82E1D3" w14:textId="77777777" w:rsidR="00387142" w:rsidRPr="008B6A75" w:rsidRDefault="00387142" w:rsidP="00387142">
            <w:pPr>
              <w:jc w:val="right"/>
              <w:rPr>
                <w:sz w:val="20"/>
                <w:szCs w:val="20"/>
              </w:rPr>
            </w:pPr>
            <w:r w:rsidRPr="008B6A75">
              <w:rPr>
                <w:sz w:val="20"/>
                <w:szCs w:val="20"/>
              </w:rPr>
              <w:t>20 475,00</w:t>
            </w:r>
          </w:p>
        </w:tc>
      </w:tr>
      <w:tr w:rsidR="00387142" w:rsidRPr="008B6A75" w14:paraId="76E36F69" w14:textId="77777777" w:rsidTr="00387142">
        <w:trPr>
          <w:trHeight w:val="870"/>
        </w:trPr>
        <w:tc>
          <w:tcPr>
            <w:tcW w:w="3261" w:type="dxa"/>
            <w:tcBorders>
              <w:top w:val="nil"/>
              <w:left w:val="single" w:sz="4" w:space="0" w:color="auto"/>
              <w:bottom w:val="single" w:sz="4" w:space="0" w:color="auto"/>
              <w:right w:val="nil"/>
            </w:tcBorders>
            <w:shd w:val="clear" w:color="auto" w:fill="auto"/>
            <w:vAlign w:val="center"/>
            <w:hideMark/>
          </w:tcPr>
          <w:p w14:paraId="22BFA8DD" w14:textId="77777777" w:rsidR="00387142" w:rsidRPr="008B6A75" w:rsidRDefault="00387142" w:rsidP="00387142">
            <w:pPr>
              <w:rPr>
                <w:sz w:val="20"/>
                <w:szCs w:val="20"/>
              </w:rPr>
            </w:pPr>
            <w:r w:rsidRPr="008B6A75">
              <w:rPr>
                <w:sz w:val="20"/>
                <w:szCs w:val="20"/>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2DBDF7F5" w14:textId="77777777" w:rsidR="00387142" w:rsidRPr="008B6A75" w:rsidRDefault="00387142" w:rsidP="00387142">
            <w:pPr>
              <w:jc w:val="center"/>
              <w:rPr>
                <w:sz w:val="20"/>
                <w:szCs w:val="20"/>
              </w:rPr>
            </w:pPr>
            <w:r w:rsidRPr="008B6A75">
              <w:rPr>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BDE4B64" w14:textId="77777777" w:rsidR="00387142" w:rsidRPr="008B6A75" w:rsidRDefault="00387142" w:rsidP="00387142">
            <w:pPr>
              <w:jc w:val="center"/>
              <w:rPr>
                <w:sz w:val="20"/>
                <w:szCs w:val="20"/>
              </w:rPr>
            </w:pPr>
            <w:r w:rsidRPr="008B6A75">
              <w:rPr>
                <w:sz w:val="20"/>
                <w:szCs w:val="20"/>
              </w:rPr>
              <w:t>04</w:t>
            </w:r>
          </w:p>
        </w:tc>
        <w:tc>
          <w:tcPr>
            <w:tcW w:w="1516" w:type="dxa"/>
            <w:tcBorders>
              <w:top w:val="nil"/>
              <w:left w:val="single" w:sz="4" w:space="0" w:color="auto"/>
              <w:bottom w:val="single" w:sz="4" w:space="0" w:color="auto"/>
              <w:right w:val="nil"/>
            </w:tcBorders>
            <w:shd w:val="clear" w:color="auto" w:fill="auto"/>
            <w:noWrap/>
            <w:vAlign w:val="center"/>
            <w:hideMark/>
          </w:tcPr>
          <w:p w14:paraId="49FF2FEB" w14:textId="77777777" w:rsidR="00387142" w:rsidRPr="008B6A75" w:rsidRDefault="00387142" w:rsidP="00387142">
            <w:pPr>
              <w:jc w:val="center"/>
              <w:rPr>
                <w:sz w:val="20"/>
                <w:szCs w:val="20"/>
              </w:rPr>
            </w:pPr>
            <w:r w:rsidRPr="008B6A75">
              <w:rPr>
                <w:sz w:val="20"/>
                <w:szCs w:val="20"/>
              </w:rPr>
              <w:t>99.0.00.70230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DDE161F" w14:textId="77777777" w:rsidR="00387142" w:rsidRPr="008B6A75" w:rsidRDefault="00387142" w:rsidP="00387142">
            <w:pPr>
              <w:jc w:val="center"/>
              <w:rPr>
                <w:sz w:val="20"/>
                <w:szCs w:val="20"/>
              </w:rPr>
            </w:pPr>
            <w:r w:rsidRPr="008B6A75">
              <w:rPr>
                <w:sz w:val="20"/>
                <w:szCs w:val="20"/>
              </w:rPr>
              <w:t>240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C03959B" w14:textId="77777777" w:rsidR="00387142" w:rsidRPr="008B6A75" w:rsidRDefault="00387142" w:rsidP="00387142">
            <w:pPr>
              <w:jc w:val="right"/>
              <w:rPr>
                <w:sz w:val="20"/>
                <w:szCs w:val="20"/>
              </w:rPr>
            </w:pPr>
            <w:r w:rsidRPr="008B6A75">
              <w:rPr>
                <w:sz w:val="20"/>
                <w:szCs w:val="20"/>
              </w:rPr>
              <w:t>18 956,67</w:t>
            </w:r>
          </w:p>
        </w:tc>
        <w:tc>
          <w:tcPr>
            <w:tcW w:w="992" w:type="dxa"/>
            <w:tcBorders>
              <w:top w:val="nil"/>
              <w:left w:val="single" w:sz="4" w:space="0" w:color="auto"/>
              <w:bottom w:val="single" w:sz="4" w:space="0" w:color="auto"/>
              <w:right w:val="nil"/>
            </w:tcBorders>
            <w:shd w:val="clear" w:color="auto" w:fill="auto"/>
            <w:vAlign w:val="center"/>
            <w:hideMark/>
          </w:tcPr>
          <w:p w14:paraId="208F15D4" w14:textId="77777777" w:rsidR="00387142" w:rsidRPr="008B6A75" w:rsidRDefault="00387142" w:rsidP="00387142">
            <w:pPr>
              <w:jc w:val="right"/>
              <w:rPr>
                <w:sz w:val="20"/>
                <w:szCs w:val="20"/>
              </w:rPr>
            </w:pPr>
            <w:r w:rsidRPr="008B6A75">
              <w:rPr>
                <w:sz w:val="20"/>
                <w:szCs w:val="20"/>
              </w:rPr>
              <w:t>19 495,00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2C453A89" w14:textId="77777777" w:rsidR="00387142" w:rsidRPr="008B6A75" w:rsidRDefault="00387142" w:rsidP="00387142">
            <w:pPr>
              <w:jc w:val="right"/>
              <w:rPr>
                <w:sz w:val="20"/>
                <w:szCs w:val="20"/>
              </w:rPr>
            </w:pPr>
            <w:r w:rsidRPr="008B6A75">
              <w:rPr>
                <w:sz w:val="20"/>
                <w:szCs w:val="20"/>
              </w:rPr>
              <w:t>20 475,00</w:t>
            </w:r>
          </w:p>
        </w:tc>
      </w:tr>
      <w:tr w:rsidR="00387142" w:rsidRPr="008B6A75" w14:paraId="6E910712" w14:textId="77777777" w:rsidTr="00387142">
        <w:trPr>
          <w:trHeight w:val="1155"/>
        </w:trPr>
        <w:tc>
          <w:tcPr>
            <w:tcW w:w="3261" w:type="dxa"/>
            <w:tcBorders>
              <w:top w:val="nil"/>
              <w:left w:val="single" w:sz="4" w:space="0" w:color="auto"/>
              <w:bottom w:val="single" w:sz="4" w:space="0" w:color="auto"/>
              <w:right w:val="nil"/>
            </w:tcBorders>
            <w:shd w:val="clear" w:color="auto" w:fill="auto"/>
            <w:vAlign w:val="center"/>
            <w:hideMark/>
          </w:tcPr>
          <w:p w14:paraId="0E360097" w14:textId="77777777" w:rsidR="00387142" w:rsidRPr="008B6A75" w:rsidRDefault="00387142" w:rsidP="00387142">
            <w:pPr>
              <w:rPr>
                <w:bCs/>
                <w:sz w:val="20"/>
                <w:szCs w:val="20"/>
              </w:rPr>
            </w:pPr>
            <w:r w:rsidRPr="008B6A75">
              <w:rPr>
                <w:bCs/>
                <w:sz w:val="20"/>
                <w:szCs w:val="20"/>
              </w:rPr>
              <w:t>Организация и осуществление деятельности по опеке и попечительству, социальной поддержке детей-сирот и детей, оставшихся без попечения родителей</w:t>
            </w:r>
          </w:p>
        </w:tc>
        <w:tc>
          <w:tcPr>
            <w:tcW w:w="720" w:type="dxa"/>
            <w:tcBorders>
              <w:top w:val="nil"/>
              <w:left w:val="single" w:sz="4" w:space="0" w:color="auto"/>
              <w:bottom w:val="single" w:sz="4" w:space="0" w:color="auto"/>
              <w:right w:val="nil"/>
            </w:tcBorders>
            <w:shd w:val="clear" w:color="auto" w:fill="auto"/>
            <w:noWrap/>
            <w:vAlign w:val="center"/>
            <w:hideMark/>
          </w:tcPr>
          <w:p w14:paraId="48C154A1" w14:textId="77777777" w:rsidR="00387142" w:rsidRPr="008B6A75" w:rsidRDefault="00387142" w:rsidP="00387142">
            <w:pPr>
              <w:jc w:val="center"/>
              <w:rPr>
                <w:bCs/>
                <w:sz w:val="20"/>
                <w:szCs w:val="20"/>
              </w:rPr>
            </w:pPr>
            <w:r w:rsidRPr="008B6A75">
              <w:rPr>
                <w:bCs/>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BD89209" w14:textId="77777777" w:rsidR="00387142" w:rsidRPr="008B6A75" w:rsidRDefault="00387142" w:rsidP="00387142">
            <w:pPr>
              <w:jc w:val="center"/>
              <w:rPr>
                <w:bCs/>
                <w:sz w:val="20"/>
                <w:szCs w:val="20"/>
              </w:rPr>
            </w:pPr>
            <w:r w:rsidRPr="008B6A75">
              <w:rPr>
                <w:bCs/>
                <w:sz w:val="20"/>
                <w:szCs w:val="20"/>
              </w:rPr>
              <w:t>04</w:t>
            </w:r>
          </w:p>
        </w:tc>
        <w:tc>
          <w:tcPr>
            <w:tcW w:w="1516" w:type="dxa"/>
            <w:tcBorders>
              <w:top w:val="nil"/>
              <w:left w:val="single" w:sz="4" w:space="0" w:color="auto"/>
              <w:bottom w:val="single" w:sz="4" w:space="0" w:color="auto"/>
              <w:right w:val="nil"/>
            </w:tcBorders>
            <w:shd w:val="clear" w:color="auto" w:fill="auto"/>
            <w:noWrap/>
            <w:vAlign w:val="center"/>
            <w:hideMark/>
          </w:tcPr>
          <w:p w14:paraId="7E672C2C" w14:textId="77777777" w:rsidR="00387142" w:rsidRPr="008B6A75" w:rsidRDefault="00387142" w:rsidP="00387142">
            <w:pPr>
              <w:jc w:val="center"/>
              <w:rPr>
                <w:bCs/>
                <w:sz w:val="20"/>
                <w:szCs w:val="20"/>
              </w:rPr>
            </w:pPr>
            <w:r w:rsidRPr="008B6A75">
              <w:rPr>
                <w:bCs/>
                <w:sz w:val="20"/>
                <w:szCs w:val="20"/>
              </w:rPr>
              <w:t>99.0.00.70289</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7168A12"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6BBB892" w14:textId="77777777" w:rsidR="00387142" w:rsidRPr="008B6A75" w:rsidRDefault="00387142" w:rsidP="00387142">
            <w:pPr>
              <w:jc w:val="right"/>
              <w:rPr>
                <w:bCs/>
                <w:sz w:val="20"/>
                <w:szCs w:val="20"/>
              </w:rPr>
            </w:pPr>
            <w:r w:rsidRPr="008B6A75">
              <w:rPr>
                <w:bCs/>
                <w:sz w:val="20"/>
                <w:szCs w:val="20"/>
              </w:rPr>
              <w:t>4 266 534,77</w:t>
            </w:r>
          </w:p>
        </w:tc>
        <w:tc>
          <w:tcPr>
            <w:tcW w:w="992" w:type="dxa"/>
            <w:tcBorders>
              <w:top w:val="nil"/>
              <w:left w:val="single" w:sz="4" w:space="0" w:color="auto"/>
              <w:bottom w:val="single" w:sz="4" w:space="0" w:color="auto"/>
              <w:right w:val="nil"/>
            </w:tcBorders>
            <w:shd w:val="clear" w:color="auto" w:fill="auto"/>
            <w:vAlign w:val="center"/>
            <w:hideMark/>
          </w:tcPr>
          <w:p w14:paraId="3AA47F53" w14:textId="77777777" w:rsidR="00387142" w:rsidRPr="008B6A75" w:rsidRDefault="00387142" w:rsidP="00387142">
            <w:pPr>
              <w:jc w:val="right"/>
              <w:rPr>
                <w:bCs/>
                <w:sz w:val="20"/>
                <w:szCs w:val="20"/>
              </w:rPr>
            </w:pPr>
            <w:r w:rsidRPr="008B6A75">
              <w:rPr>
                <w:bCs/>
                <w:sz w:val="20"/>
                <w:szCs w:val="20"/>
              </w:rPr>
              <w:t>3 977 000,00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53B5552A" w14:textId="77777777" w:rsidR="00387142" w:rsidRPr="008B6A75" w:rsidRDefault="00387142" w:rsidP="00387142">
            <w:pPr>
              <w:jc w:val="right"/>
              <w:rPr>
                <w:bCs/>
                <w:sz w:val="20"/>
                <w:szCs w:val="20"/>
              </w:rPr>
            </w:pPr>
            <w:r w:rsidRPr="008B6A75">
              <w:rPr>
                <w:bCs/>
                <w:sz w:val="20"/>
                <w:szCs w:val="20"/>
              </w:rPr>
              <w:t>4 107 000,00</w:t>
            </w:r>
          </w:p>
        </w:tc>
      </w:tr>
      <w:tr w:rsidR="00387142" w:rsidRPr="008B6A75" w14:paraId="4A9935FC" w14:textId="77777777" w:rsidTr="00387142">
        <w:trPr>
          <w:trHeight w:val="1440"/>
        </w:trPr>
        <w:tc>
          <w:tcPr>
            <w:tcW w:w="3261" w:type="dxa"/>
            <w:tcBorders>
              <w:top w:val="nil"/>
              <w:left w:val="single" w:sz="4" w:space="0" w:color="auto"/>
              <w:bottom w:val="single" w:sz="4" w:space="0" w:color="auto"/>
              <w:right w:val="nil"/>
            </w:tcBorders>
            <w:shd w:val="clear" w:color="auto" w:fill="auto"/>
            <w:vAlign w:val="center"/>
            <w:hideMark/>
          </w:tcPr>
          <w:p w14:paraId="4CC91D12" w14:textId="77777777" w:rsidR="00387142" w:rsidRPr="008B6A75" w:rsidRDefault="00387142" w:rsidP="00387142">
            <w:pPr>
              <w:rPr>
                <w:sz w:val="20"/>
                <w:szCs w:val="20"/>
              </w:rPr>
            </w:pPr>
            <w:r w:rsidRPr="008B6A7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14:paraId="5A6D2C28" w14:textId="77777777" w:rsidR="00387142" w:rsidRPr="008B6A75" w:rsidRDefault="00387142" w:rsidP="00387142">
            <w:pPr>
              <w:jc w:val="center"/>
              <w:rPr>
                <w:sz w:val="20"/>
                <w:szCs w:val="20"/>
              </w:rPr>
            </w:pPr>
            <w:r w:rsidRPr="008B6A75">
              <w:rPr>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943D499" w14:textId="77777777" w:rsidR="00387142" w:rsidRPr="008B6A75" w:rsidRDefault="00387142" w:rsidP="00387142">
            <w:pPr>
              <w:jc w:val="center"/>
              <w:rPr>
                <w:sz w:val="20"/>
                <w:szCs w:val="20"/>
              </w:rPr>
            </w:pPr>
            <w:r w:rsidRPr="008B6A75">
              <w:rPr>
                <w:sz w:val="20"/>
                <w:szCs w:val="20"/>
              </w:rPr>
              <w:t>04</w:t>
            </w:r>
          </w:p>
        </w:tc>
        <w:tc>
          <w:tcPr>
            <w:tcW w:w="1516" w:type="dxa"/>
            <w:tcBorders>
              <w:top w:val="nil"/>
              <w:left w:val="single" w:sz="4" w:space="0" w:color="auto"/>
              <w:bottom w:val="single" w:sz="4" w:space="0" w:color="auto"/>
              <w:right w:val="nil"/>
            </w:tcBorders>
            <w:shd w:val="clear" w:color="auto" w:fill="auto"/>
            <w:noWrap/>
            <w:vAlign w:val="center"/>
            <w:hideMark/>
          </w:tcPr>
          <w:p w14:paraId="2A3FB1CC" w14:textId="77777777" w:rsidR="00387142" w:rsidRPr="008B6A75" w:rsidRDefault="00387142" w:rsidP="00387142">
            <w:pPr>
              <w:jc w:val="center"/>
              <w:rPr>
                <w:sz w:val="20"/>
                <w:szCs w:val="20"/>
              </w:rPr>
            </w:pPr>
            <w:r w:rsidRPr="008B6A75">
              <w:rPr>
                <w:sz w:val="20"/>
                <w:szCs w:val="20"/>
              </w:rPr>
              <w:t>99.0.00.70289</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894AC22" w14:textId="77777777" w:rsidR="00387142" w:rsidRPr="008B6A75" w:rsidRDefault="00387142" w:rsidP="00387142">
            <w:pPr>
              <w:jc w:val="center"/>
              <w:rPr>
                <w:sz w:val="20"/>
                <w:szCs w:val="20"/>
              </w:rPr>
            </w:pPr>
            <w:r w:rsidRPr="008B6A75">
              <w:rPr>
                <w:sz w:val="20"/>
                <w:szCs w:val="20"/>
              </w:rPr>
              <w:t>100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A9C8A11" w14:textId="77777777" w:rsidR="00387142" w:rsidRPr="008B6A75" w:rsidRDefault="00387142" w:rsidP="00387142">
            <w:pPr>
              <w:jc w:val="right"/>
              <w:rPr>
                <w:sz w:val="20"/>
                <w:szCs w:val="20"/>
              </w:rPr>
            </w:pPr>
            <w:r w:rsidRPr="008B6A75">
              <w:rPr>
                <w:sz w:val="20"/>
                <w:szCs w:val="20"/>
              </w:rPr>
              <w:t>3 878 628,85</w:t>
            </w:r>
          </w:p>
        </w:tc>
        <w:tc>
          <w:tcPr>
            <w:tcW w:w="992" w:type="dxa"/>
            <w:tcBorders>
              <w:top w:val="nil"/>
              <w:left w:val="single" w:sz="4" w:space="0" w:color="auto"/>
              <w:bottom w:val="single" w:sz="4" w:space="0" w:color="auto"/>
              <w:right w:val="nil"/>
            </w:tcBorders>
            <w:shd w:val="clear" w:color="auto" w:fill="auto"/>
            <w:vAlign w:val="center"/>
            <w:hideMark/>
          </w:tcPr>
          <w:p w14:paraId="52696F5D" w14:textId="77777777" w:rsidR="00387142" w:rsidRPr="008B6A75" w:rsidRDefault="00387142" w:rsidP="00387142">
            <w:pPr>
              <w:jc w:val="right"/>
              <w:rPr>
                <w:sz w:val="20"/>
                <w:szCs w:val="20"/>
              </w:rPr>
            </w:pPr>
            <w:r w:rsidRPr="008B6A75">
              <w:rPr>
                <w:sz w:val="20"/>
                <w:szCs w:val="20"/>
              </w:rPr>
              <w:t>3 627 032,24</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31E21DAD" w14:textId="77777777" w:rsidR="00387142" w:rsidRPr="008B6A75" w:rsidRDefault="00387142" w:rsidP="00387142">
            <w:pPr>
              <w:jc w:val="right"/>
              <w:rPr>
                <w:sz w:val="20"/>
                <w:szCs w:val="20"/>
              </w:rPr>
            </w:pPr>
            <w:r w:rsidRPr="008B6A75">
              <w:rPr>
                <w:sz w:val="20"/>
                <w:szCs w:val="20"/>
              </w:rPr>
              <w:t>3 773 843,93</w:t>
            </w:r>
          </w:p>
        </w:tc>
      </w:tr>
      <w:tr w:rsidR="00387142" w:rsidRPr="008B6A75" w14:paraId="6D8546DB" w14:textId="77777777" w:rsidTr="00387142">
        <w:trPr>
          <w:trHeight w:val="585"/>
        </w:trPr>
        <w:tc>
          <w:tcPr>
            <w:tcW w:w="3261" w:type="dxa"/>
            <w:tcBorders>
              <w:top w:val="nil"/>
              <w:left w:val="single" w:sz="4" w:space="0" w:color="auto"/>
              <w:bottom w:val="single" w:sz="4" w:space="0" w:color="auto"/>
              <w:right w:val="nil"/>
            </w:tcBorders>
            <w:shd w:val="clear" w:color="auto" w:fill="auto"/>
            <w:vAlign w:val="center"/>
            <w:hideMark/>
          </w:tcPr>
          <w:p w14:paraId="72B8F0F7" w14:textId="77777777" w:rsidR="00387142" w:rsidRPr="008B6A75" w:rsidRDefault="00387142" w:rsidP="00387142">
            <w:pPr>
              <w:rPr>
                <w:sz w:val="20"/>
                <w:szCs w:val="20"/>
              </w:rPr>
            </w:pPr>
            <w:r w:rsidRPr="008B6A75">
              <w:rPr>
                <w:sz w:val="20"/>
                <w:szCs w:val="20"/>
              </w:rPr>
              <w:t>Расходы на выплаты персоналу государственных (муниципальных) органов</w:t>
            </w:r>
          </w:p>
        </w:tc>
        <w:tc>
          <w:tcPr>
            <w:tcW w:w="720" w:type="dxa"/>
            <w:tcBorders>
              <w:top w:val="nil"/>
              <w:left w:val="single" w:sz="4" w:space="0" w:color="auto"/>
              <w:bottom w:val="single" w:sz="4" w:space="0" w:color="auto"/>
              <w:right w:val="nil"/>
            </w:tcBorders>
            <w:shd w:val="clear" w:color="auto" w:fill="auto"/>
            <w:noWrap/>
            <w:vAlign w:val="center"/>
            <w:hideMark/>
          </w:tcPr>
          <w:p w14:paraId="3C012D90" w14:textId="77777777" w:rsidR="00387142" w:rsidRPr="008B6A75" w:rsidRDefault="00387142" w:rsidP="00387142">
            <w:pPr>
              <w:jc w:val="center"/>
              <w:rPr>
                <w:sz w:val="20"/>
                <w:szCs w:val="20"/>
              </w:rPr>
            </w:pPr>
            <w:r w:rsidRPr="008B6A75">
              <w:rPr>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43DD4A4" w14:textId="77777777" w:rsidR="00387142" w:rsidRPr="008B6A75" w:rsidRDefault="00387142" w:rsidP="00387142">
            <w:pPr>
              <w:jc w:val="center"/>
              <w:rPr>
                <w:sz w:val="20"/>
                <w:szCs w:val="20"/>
              </w:rPr>
            </w:pPr>
            <w:r w:rsidRPr="008B6A75">
              <w:rPr>
                <w:sz w:val="20"/>
                <w:szCs w:val="20"/>
              </w:rPr>
              <w:t>04</w:t>
            </w:r>
          </w:p>
        </w:tc>
        <w:tc>
          <w:tcPr>
            <w:tcW w:w="1516" w:type="dxa"/>
            <w:tcBorders>
              <w:top w:val="nil"/>
              <w:left w:val="single" w:sz="4" w:space="0" w:color="auto"/>
              <w:bottom w:val="single" w:sz="4" w:space="0" w:color="auto"/>
              <w:right w:val="nil"/>
            </w:tcBorders>
            <w:shd w:val="clear" w:color="auto" w:fill="auto"/>
            <w:noWrap/>
            <w:vAlign w:val="center"/>
            <w:hideMark/>
          </w:tcPr>
          <w:p w14:paraId="23135D90" w14:textId="77777777" w:rsidR="00387142" w:rsidRPr="008B6A75" w:rsidRDefault="00387142" w:rsidP="00387142">
            <w:pPr>
              <w:jc w:val="center"/>
              <w:rPr>
                <w:sz w:val="20"/>
                <w:szCs w:val="20"/>
              </w:rPr>
            </w:pPr>
            <w:r w:rsidRPr="008B6A75">
              <w:rPr>
                <w:sz w:val="20"/>
                <w:szCs w:val="20"/>
              </w:rPr>
              <w:t>99.0.00.70289</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8F929D1" w14:textId="77777777" w:rsidR="00387142" w:rsidRPr="008B6A75" w:rsidRDefault="00387142" w:rsidP="00387142">
            <w:pPr>
              <w:jc w:val="center"/>
              <w:rPr>
                <w:sz w:val="20"/>
                <w:szCs w:val="20"/>
              </w:rPr>
            </w:pPr>
            <w:r w:rsidRPr="008B6A75">
              <w:rPr>
                <w:sz w:val="20"/>
                <w:szCs w:val="20"/>
              </w:rPr>
              <w:t>120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9C5FBDC" w14:textId="77777777" w:rsidR="00387142" w:rsidRPr="008B6A75" w:rsidRDefault="00387142" w:rsidP="00387142">
            <w:pPr>
              <w:jc w:val="right"/>
              <w:rPr>
                <w:sz w:val="20"/>
                <w:szCs w:val="20"/>
              </w:rPr>
            </w:pPr>
            <w:r w:rsidRPr="008B6A75">
              <w:rPr>
                <w:sz w:val="20"/>
                <w:szCs w:val="20"/>
              </w:rPr>
              <w:t>3 878 628,85</w:t>
            </w:r>
          </w:p>
        </w:tc>
        <w:tc>
          <w:tcPr>
            <w:tcW w:w="992" w:type="dxa"/>
            <w:tcBorders>
              <w:top w:val="nil"/>
              <w:left w:val="single" w:sz="4" w:space="0" w:color="auto"/>
              <w:bottom w:val="single" w:sz="4" w:space="0" w:color="auto"/>
              <w:right w:val="nil"/>
            </w:tcBorders>
            <w:shd w:val="clear" w:color="auto" w:fill="auto"/>
            <w:vAlign w:val="center"/>
            <w:hideMark/>
          </w:tcPr>
          <w:p w14:paraId="4B5C04F5" w14:textId="77777777" w:rsidR="00387142" w:rsidRPr="008B6A75" w:rsidRDefault="00387142" w:rsidP="00387142">
            <w:pPr>
              <w:jc w:val="right"/>
              <w:rPr>
                <w:sz w:val="20"/>
                <w:szCs w:val="20"/>
              </w:rPr>
            </w:pPr>
            <w:r w:rsidRPr="008B6A75">
              <w:rPr>
                <w:sz w:val="20"/>
                <w:szCs w:val="20"/>
              </w:rPr>
              <w:t>3 627 032,24</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24370345" w14:textId="77777777" w:rsidR="00387142" w:rsidRPr="008B6A75" w:rsidRDefault="00387142" w:rsidP="00387142">
            <w:pPr>
              <w:jc w:val="right"/>
              <w:rPr>
                <w:sz w:val="20"/>
                <w:szCs w:val="20"/>
              </w:rPr>
            </w:pPr>
            <w:r w:rsidRPr="008B6A75">
              <w:rPr>
                <w:sz w:val="20"/>
                <w:szCs w:val="20"/>
              </w:rPr>
              <w:t>3 773 843,93</w:t>
            </w:r>
          </w:p>
        </w:tc>
      </w:tr>
      <w:tr w:rsidR="00387142" w:rsidRPr="008B6A75" w14:paraId="701D6C57" w14:textId="77777777" w:rsidTr="00387142">
        <w:trPr>
          <w:trHeight w:val="585"/>
        </w:trPr>
        <w:tc>
          <w:tcPr>
            <w:tcW w:w="3261" w:type="dxa"/>
            <w:tcBorders>
              <w:top w:val="nil"/>
              <w:left w:val="single" w:sz="4" w:space="0" w:color="auto"/>
              <w:bottom w:val="single" w:sz="4" w:space="0" w:color="auto"/>
              <w:right w:val="nil"/>
            </w:tcBorders>
            <w:shd w:val="clear" w:color="auto" w:fill="auto"/>
            <w:vAlign w:val="center"/>
            <w:hideMark/>
          </w:tcPr>
          <w:p w14:paraId="2CFC22C4" w14:textId="77777777" w:rsidR="00387142" w:rsidRPr="008B6A75" w:rsidRDefault="00387142" w:rsidP="00387142">
            <w:pPr>
              <w:rPr>
                <w:sz w:val="20"/>
                <w:szCs w:val="20"/>
              </w:rPr>
            </w:pPr>
            <w:r w:rsidRPr="008B6A75">
              <w:rPr>
                <w:sz w:val="20"/>
                <w:szCs w:val="20"/>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5FCE7F8F" w14:textId="77777777" w:rsidR="00387142" w:rsidRPr="008B6A75" w:rsidRDefault="00387142" w:rsidP="00387142">
            <w:pPr>
              <w:jc w:val="center"/>
              <w:rPr>
                <w:sz w:val="20"/>
                <w:szCs w:val="20"/>
              </w:rPr>
            </w:pPr>
            <w:r w:rsidRPr="008B6A75">
              <w:rPr>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000804C" w14:textId="77777777" w:rsidR="00387142" w:rsidRPr="008B6A75" w:rsidRDefault="00387142" w:rsidP="00387142">
            <w:pPr>
              <w:jc w:val="center"/>
              <w:rPr>
                <w:sz w:val="20"/>
                <w:szCs w:val="20"/>
              </w:rPr>
            </w:pPr>
            <w:r w:rsidRPr="008B6A75">
              <w:rPr>
                <w:sz w:val="20"/>
                <w:szCs w:val="20"/>
              </w:rPr>
              <w:t>04</w:t>
            </w:r>
          </w:p>
        </w:tc>
        <w:tc>
          <w:tcPr>
            <w:tcW w:w="1516" w:type="dxa"/>
            <w:tcBorders>
              <w:top w:val="nil"/>
              <w:left w:val="single" w:sz="4" w:space="0" w:color="auto"/>
              <w:bottom w:val="single" w:sz="4" w:space="0" w:color="auto"/>
              <w:right w:val="nil"/>
            </w:tcBorders>
            <w:shd w:val="clear" w:color="auto" w:fill="auto"/>
            <w:noWrap/>
            <w:vAlign w:val="center"/>
            <w:hideMark/>
          </w:tcPr>
          <w:p w14:paraId="7E4693EF" w14:textId="77777777" w:rsidR="00387142" w:rsidRPr="008B6A75" w:rsidRDefault="00387142" w:rsidP="00387142">
            <w:pPr>
              <w:jc w:val="center"/>
              <w:rPr>
                <w:sz w:val="20"/>
                <w:szCs w:val="20"/>
              </w:rPr>
            </w:pPr>
            <w:r w:rsidRPr="008B6A75">
              <w:rPr>
                <w:sz w:val="20"/>
                <w:szCs w:val="20"/>
              </w:rPr>
              <w:t>99.0.00.70289</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4A63E18" w14:textId="77777777" w:rsidR="00387142" w:rsidRPr="008B6A75" w:rsidRDefault="00387142" w:rsidP="00387142">
            <w:pPr>
              <w:jc w:val="center"/>
              <w:rPr>
                <w:sz w:val="20"/>
                <w:szCs w:val="20"/>
              </w:rPr>
            </w:pPr>
            <w:r w:rsidRPr="008B6A75">
              <w:rPr>
                <w:sz w:val="20"/>
                <w:szCs w:val="20"/>
              </w:rPr>
              <w:t>200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8A90BBE" w14:textId="77777777" w:rsidR="00387142" w:rsidRPr="008B6A75" w:rsidRDefault="00387142" w:rsidP="00387142">
            <w:pPr>
              <w:jc w:val="right"/>
              <w:rPr>
                <w:sz w:val="20"/>
                <w:szCs w:val="20"/>
              </w:rPr>
            </w:pPr>
            <w:r w:rsidRPr="008B6A75">
              <w:rPr>
                <w:sz w:val="20"/>
                <w:szCs w:val="20"/>
              </w:rPr>
              <w:t>387 905,92</w:t>
            </w:r>
          </w:p>
        </w:tc>
        <w:tc>
          <w:tcPr>
            <w:tcW w:w="992" w:type="dxa"/>
            <w:tcBorders>
              <w:top w:val="nil"/>
              <w:left w:val="single" w:sz="4" w:space="0" w:color="auto"/>
              <w:bottom w:val="single" w:sz="4" w:space="0" w:color="auto"/>
              <w:right w:val="nil"/>
            </w:tcBorders>
            <w:shd w:val="clear" w:color="auto" w:fill="auto"/>
            <w:vAlign w:val="center"/>
            <w:hideMark/>
          </w:tcPr>
          <w:p w14:paraId="78343696" w14:textId="77777777" w:rsidR="00387142" w:rsidRPr="008B6A75" w:rsidRDefault="00387142" w:rsidP="00387142">
            <w:pPr>
              <w:jc w:val="right"/>
              <w:rPr>
                <w:sz w:val="20"/>
                <w:szCs w:val="20"/>
              </w:rPr>
            </w:pPr>
            <w:r w:rsidRPr="008B6A75">
              <w:rPr>
                <w:sz w:val="20"/>
                <w:szCs w:val="20"/>
              </w:rPr>
              <w:t>349 967,76</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061F0C09" w14:textId="77777777" w:rsidR="00387142" w:rsidRPr="008B6A75" w:rsidRDefault="00387142" w:rsidP="00387142">
            <w:pPr>
              <w:jc w:val="right"/>
              <w:rPr>
                <w:sz w:val="20"/>
                <w:szCs w:val="20"/>
              </w:rPr>
            </w:pPr>
            <w:r w:rsidRPr="008B6A75">
              <w:rPr>
                <w:sz w:val="20"/>
                <w:szCs w:val="20"/>
              </w:rPr>
              <w:t>333 156,07</w:t>
            </w:r>
          </w:p>
        </w:tc>
      </w:tr>
      <w:tr w:rsidR="00387142" w:rsidRPr="008B6A75" w14:paraId="4876929A" w14:textId="77777777" w:rsidTr="00387142">
        <w:trPr>
          <w:trHeight w:val="870"/>
        </w:trPr>
        <w:tc>
          <w:tcPr>
            <w:tcW w:w="3261" w:type="dxa"/>
            <w:tcBorders>
              <w:top w:val="nil"/>
              <w:left w:val="single" w:sz="4" w:space="0" w:color="auto"/>
              <w:bottom w:val="single" w:sz="4" w:space="0" w:color="auto"/>
              <w:right w:val="nil"/>
            </w:tcBorders>
            <w:shd w:val="clear" w:color="auto" w:fill="auto"/>
            <w:vAlign w:val="center"/>
            <w:hideMark/>
          </w:tcPr>
          <w:p w14:paraId="33D232DA" w14:textId="77777777" w:rsidR="00387142" w:rsidRPr="008B6A75" w:rsidRDefault="00387142" w:rsidP="00387142">
            <w:pPr>
              <w:rPr>
                <w:sz w:val="20"/>
                <w:szCs w:val="20"/>
              </w:rPr>
            </w:pPr>
            <w:r w:rsidRPr="008B6A75">
              <w:rPr>
                <w:sz w:val="20"/>
                <w:szCs w:val="20"/>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21F5A8BE" w14:textId="77777777" w:rsidR="00387142" w:rsidRPr="008B6A75" w:rsidRDefault="00387142" w:rsidP="00387142">
            <w:pPr>
              <w:jc w:val="center"/>
              <w:rPr>
                <w:sz w:val="20"/>
                <w:szCs w:val="20"/>
              </w:rPr>
            </w:pPr>
            <w:r w:rsidRPr="008B6A75">
              <w:rPr>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85748CD" w14:textId="77777777" w:rsidR="00387142" w:rsidRPr="008B6A75" w:rsidRDefault="00387142" w:rsidP="00387142">
            <w:pPr>
              <w:jc w:val="center"/>
              <w:rPr>
                <w:sz w:val="20"/>
                <w:szCs w:val="20"/>
              </w:rPr>
            </w:pPr>
            <w:r w:rsidRPr="008B6A75">
              <w:rPr>
                <w:sz w:val="20"/>
                <w:szCs w:val="20"/>
              </w:rPr>
              <w:t>04</w:t>
            </w:r>
          </w:p>
        </w:tc>
        <w:tc>
          <w:tcPr>
            <w:tcW w:w="1516" w:type="dxa"/>
            <w:tcBorders>
              <w:top w:val="nil"/>
              <w:left w:val="single" w:sz="4" w:space="0" w:color="auto"/>
              <w:bottom w:val="single" w:sz="4" w:space="0" w:color="auto"/>
              <w:right w:val="nil"/>
            </w:tcBorders>
            <w:shd w:val="clear" w:color="auto" w:fill="auto"/>
            <w:noWrap/>
            <w:vAlign w:val="center"/>
            <w:hideMark/>
          </w:tcPr>
          <w:p w14:paraId="7790E11F" w14:textId="77777777" w:rsidR="00387142" w:rsidRPr="008B6A75" w:rsidRDefault="00387142" w:rsidP="00387142">
            <w:pPr>
              <w:jc w:val="center"/>
              <w:rPr>
                <w:sz w:val="20"/>
                <w:szCs w:val="20"/>
              </w:rPr>
            </w:pPr>
            <w:r w:rsidRPr="008B6A75">
              <w:rPr>
                <w:sz w:val="20"/>
                <w:szCs w:val="20"/>
              </w:rPr>
              <w:t>99.0.00.70289</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C195DBF" w14:textId="77777777" w:rsidR="00387142" w:rsidRPr="008B6A75" w:rsidRDefault="00387142" w:rsidP="00387142">
            <w:pPr>
              <w:jc w:val="center"/>
              <w:rPr>
                <w:sz w:val="20"/>
                <w:szCs w:val="20"/>
              </w:rPr>
            </w:pPr>
            <w:r w:rsidRPr="008B6A75">
              <w:rPr>
                <w:sz w:val="20"/>
                <w:szCs w:val="20"/>
              </w:rPr>
              <w:t>240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42E290D" w14:textId="77777777" w:rsidR="00387142" w:rsidRPr="008B6A75" w:rsidRDefault="00387142" w:rsidP="00387142">
            <w:pPr>
              <w:jc w:val="right"/>
              <w:rPr>
                <w:sz w:val="20"/>
                <w:szCs w:val="20"/>
              </w:rPr>
            </w:pPr>
            <w:r w:rsidRPr="008B6A75">
              <w:rPr>
                <w:sz w:val="20"/>
                <w:szCs w:val="20"/>
              </w:rPr>
              <w:t>387 905,92</w:t>
            </w:r>
          </w:p>
        </w:tc>
        <w:tc>
          <w:tcPr>
            <w:tcW w:w="992" w:type="dxa"/>
            <w:tcBorders>
              <w:top w:val="nil"/>
              <w:left w:val="single" w:sz="4" w:space="0" w:color="auto"/>
              <w:bottom w:val="single" w:sz="4" w:space="0" w:color="auto"/>
              <w:right w:val="nil"/>
            </w:tcBorders>
            <w:shd w:val="clear" w:color="auto" w:fill="auto"/>
            <w:vAlign w:val="center"/>
            <w:hideMark/>
          </w:tcPr>
          <w:p w14:paraId="39E9A832" w14:textId="77777777" w:rsidR="00387142" w:rsidRPr="008B6A75" w:rsidRDefault="00387142" w:rsidP="00387142">
            <w:pPr>
              <w:jc w:val="right"/>
              <w:rPr>
                <w:sz w:val="20"/>
                <w:szCs w:val="20"/>
              </w:rPr>
            </w:pPr>
            <w:r w:rsidRPr="008B6A75">
              <w:rPr>
                <w:sz w:val="20"/>
                <w:szCs w:val="20"/>
              </w:rPr>
              <w:t>349 967,76</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53E66326" w14:textId="77777777" w:rsidR="00387142" w:rsidRPr="008B6A75" w:rsidRDefault="00387142" w:rsidP="00387142">
            <w:pPr>
              <w:jc w:val="right"/>
              <w:rPr>
                <w:sz w:val="20"/>
                <w:szCs w:val="20"/>
              </w:rPr>
            </w:pPr>
            <w:r w:rsidRPr="008B6A75">
              <w:rPr>
                <w:sz w:val="20"/>
                <w:szCs w:val="20"/>
              </w:rPr>
              <w:t>333 156,07</w:t>
            </w:r>
          </w:p>
        </w:tc>
      </w:tr>
      <w:tr w:rsidR="00387142" w:rsidRPr="008B6A75" w14:paraId="19463882" w14:textId="77777777" w:rsidTr="00387142">
        <w:trPr>
          <w:trHeight w:val="1440"/>
        </w:trPr>
        <w:tc>
          <w:tcPr>
            <w:tcW w:w="3261" w:type="dxa"/>
            <w:tcBorders>
              <w:top w:val="nil"/>
              <w:left w:val="single" w:sz="4" w:space="0" w:color="auto"/>
              <w:bottom w:val="single" w:sz="4" w:space="0" w:color="auto"/>
              <w:right w:val="nil"/>
            </w:tcBorders>
            <w:shd w:val="clear" w:color="auto" w:fill="auto"/>
            <w:vAlign w:val="center"/>
            <w:hideMark/>
          </w:tcPr>
          <w:p w14:paraId="07E30A12" w14:textId="77777777" w:rsidR="00387142" w:rsidRPr="008B6A75" w:rsidRDefault="00387142" w:rsidP="00387142">
            <w:pPr>
              <w:rPr>
                <w:bCs/>
                <w:sz w:val="20"/>
                <w:szCs w:val="20"/>
              </w:rPr>
            </w:pPr>
            <w:r w:rsidRPr="008B6A75">
              <w:rPr>
                <w:bCs/>
                <w:sz w:val="20"/>
                <w:szCs w:val="20"/>
              </w:rPr>
              <w:lastRenderedPageBreak/>
              <w:t xml:space="preserve">Реализация мероприятий по обеспечению сбалансированности местных </w:t>
            </w:r>
            <w:proofErr w:type="gramStart"/>
            <w:r w:rsidRPr="008B6A75">
              <w:rPr>
                <w:bCs/>
                <w:sz w:val="20"/>
                <w:szCs w:val="20"/>
              </w:rPr>
              <w:t>бюджетов  государственной</w:t>
            </w:r>
            <w:proofErr w:type="gramEnd"/>
            <w:r w:rsidRPr="008B6A75">
              <w:rPr>
                <w:bCs/>
                <w:sz w:val="20"/>
                <w:szCs w:val="20"/>
              </w:rPr>
              <w:t xml:space="preserve"> программы Новосибирской области "Управление  финансами в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14:paraId="2C060C23" w14:textId="77777777" w:rsidR="00387142" w:rsidRPr="008B6A75" w:rsidRDefault="00387142" w:rsidP="00387142">
            <w:pPr>
              <w:jc w:val="center"/>
              <w:rPr>
                <w:bCs/>
                <w:sz w:val="20"/>
                <w:szCs w:val="20"/>
              </w:rPr>
            </w:pPr>
            <w:r w:rsidRPr="008B6A75">
              <w:rPr>
                <w:bCs/>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F0C6C02" w14:textId="77777777" w:rsidR="00387142" w:rsidRPr="008B6A75" w:rsidRDefault="00387142" w:rsidP="00387142">
            <w:pPr>
              <w:jc w:val="center"/>
              <w:rPr>
                <w:bCs/>
                <w:sz w:val="20"/>
                <w:szCs w:val="20"/>
              </w:rPr>
            </w:pPr>
            <w:r w:rsidRPr="008B6A75">
              <w:rPr>
                <w:bCs/>
                <w:sz w:val="20"/>
                <w:szCs w:val="20"/>
              </w:rPr>
              <w:t>04</w:t>
            </w:r>
          </w:p>
        </w:tc>
        <w:tc>
          <w:tcPr>
            <w:tcW w:w="1516" w:type="dxa"/>
            <w:tcBorders>
              <w:top w:val="nil"/>
              <w:left w:val="single" w:sz="4" w:space="0" w:color="auto"/>
              <w:bottom w:val="single" w:sz="4" w:space="0" w:color="auto"/>
              <w:right w:val="nil"/>
            </w:tcBorders>
            <w:shd w:val="clear" w:color="auto" w:fill="auto"/>
            <w:noWrap/>
            <w:vAlign w:val="center"/>
            <w:hideMark/>
          </w:tcPr>
          <w:p w14:paraId="1A988C01" w14:textId="77777777" w:rsidR="00387142" w:rsidRPr="008B6A75" w:rsidRDefault="00387142" w:rsidP="00387142">
            <w:pPr>
              <w:jc w:val="center"/>
              <w:rPr>
                <w:bCs/>
                <w:sz w:val="20"/>
                <w:szCs w:val="20"/>
              </w:rPr>
            </w:pPr>
            <w:r w:rsidRPr="008B6A75">
              <w:rPr>
                <w:bCs/>
                <w:sz w:val="20"/>
                <w:szCs w:val="20"/>
              </w:rPr>
              <w:t>99.0.00.70510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93FBED4"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D88BB42" w14:textId="77777777" w:rsidR="00387142" w:rsidRPr="008B6A75" w:rsidRDefault="00387142" w:rsidP="00387142">
            <w:pPr>
              <w:jc w:val="right"/>
              <w:rPr>
                <w:bCs/>
                <w:sz w:val="20"/>
                <w:szCs w:val="20"/>
              </w:rPr>
            </w:pPr>
            <w:r w:rsidRPr="008B6A75">
              <w:rPr>
                <w:bCs/>
                <w:sz w:val="20"/>
                <w:szCs w:val="20"/>
              </w:rPr>
              <w:t>10 484 548,80</w:t>
            </w:r>
          </w:p>
        </w:tc>
        <w:tc>
          <w:tcPr>
            <w:tcW w:w="992" w:type="dxa"/>
            <w:tcBorders>
              <w:top w:val="nil"/>
              <w:left w:val="single" w:sz="4" w:space="0" w:color="auto"/>
              <w:bottom w:val="single" w:sz="4" w:space="0" w:color="auto"/>
              <w:right w:val="nil"/>
            </w:tcBorders>
            <w:shd w:val="clear" w:color="auto" w:fill="auto"/>
            <w:vAlign w:val="center"/>
            <w:hideMark/>
          </w:tcPr>
          <w:p w14:paraId="1184B091" w14:textId="77777777" w:rsidR="00387142" w:rsidRPr="008B6A75" w:rsidRDefault="00387142" w:rsidP="00387142">
            <w:pPr>
              <w:jc w:val="right"/>
              <w:rPr>
                <w:bCs/>
                <w:sz w:val="20"/>
                <w:szCs w:val="20"/>
              </w:rPr>
            </w:pPr>
            <w:r w:rsidRPr="008B6A75">
              <w:rPr>
                <w:bCs/>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2A765922" w14:textId="77777777" w:rsidR="00387142" w:rsidRPr="008B6A75" w:rsidRDefault="00387142" w:rsidP="00387142">
            <w:pPr>
              <w:jc w:val="right"/>
              <w:rPr>
                <w:bCs/>
                <w:sz w:val="20"/>
                <w:szCs w:val="20"/>
              </w:rPr>
            </w:pPr>
            <w:r w:rsidRPr="008B6A75">
              <w:rPr>
                <w:bCs/>
                <w:sz w:val="20"/>
                <w:szCs w:val="20"/>
              </w:rPr>
              <w:t>0,00</w:t>
            </w:r>
          </w:p>
        </w:tc>
      </w:tr>
      <w:tr w:rsidR="00387142" w:rsidRPr="008B6A75" w14:paraId="2846A26C" w14:textId="77777777" w:rsidTr="00387142">
        <w:trPr>
          <w:trHeight w:val="1440"/>
        </w:trPr>
        <w:tc>
          <w:tcPr>
            <w:tcW w:w="3261" w:type="dxa"/>
            <w:tcBorders>
              <w:top w:val="nil"/>
              <w:left w:val="single" w:sz="4" w:space="0" w:color="auto"/>
              <w:bottom w:val="single" w:sz="4" w:space="0" w:color="auto"/>
              <w:right w:val="nil"/>
            </w:tcBorders>
            <w:shd w:val="clear" w:color="auto" w:fill="auto"/>
            <w:vAlign w:val="center"/>
            <w:hideMark/>
          </w:tcPr>
          <w:p w14:paraId="35F28DD2" w14:textId="77777777" w:rsidR="00387142" w:rsidRPr="008B6A75" w:rsidRDefault="00387142" w:rsidP="00387142">
            <w:pPr>
              <w:rPr>
                <w:sz w:val="20"/>
                <w:szCs w:val="20"/>
              </w:rPr>
            </w:pPr>
            <w:r w:rsidRPr="008B6A7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14:paraId="35378CC7" w14:textId="77777777" w:rsidR="00387142" w:rsidRPr="008B6A75" w:rsidRDefault="00387142" w:rsidP="00387142">
            <w:pPr>
              <w:jc w:val="center"/>
              <w:rPr>
                <w:sz w:val="20"/>
                <w:szCs w:val="20"/>
              </w:rPr>
            </w:pPr>
            <w:r w:rsidRPr="008B6A75">
              <w:rPr>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F207FD1" w14:textId="77777777" w:rsidR="00387142" w:rsidRPr="008B6A75" w:rsidRDefault="00387142" w:rsidP="00387142">
            <w:pPr>
              <w:jc w:val="center"/>
              <w:rPr>
                <w:sz w:val="20"/>
                <w:szCs w:val="20"/>
              </w:rPr>
            </w:pPr>
            <w:r w:rsidRPr="008B6A75">
              <w:rPr>
                <w:sz w:val="20"/>
                <w:szCs w:val="20"/>
              </w:rPr>
              <w:t>04</w:t>
            </w:r>
          </w:p>
        </w:tc>
        <w:tc>
          <w:tcPr>
            <w:tcW w:w="1516" w:type="dxa"/>
            <w:tcBorders>
              <w:top w:val="nil"/>
              <w:left w:val="single" w:sz="4" w:space="0" w:color="auto"/>
              <w:bottom w:val="single" w:sz="4" w:space="0" w:color="auto"/>
              <w:right w:val="nil"/>
            </w:tcBorders>
            <w:shd w:val="clear" w:color="auto" w:fill="auto"/>
            <w:noWrap/>
            <w:vAlign w:val="center"/>
            <w:hideMark/>
          </w:tcPr>
          <w:p w14:paraId="0CD44062" w14:textId="77777777" w:rsidR="00387142" w:rsidRPr="008B6A75" w:rsidRDefault="00387142" w:rsidP="00387142">
            <w:pPr>
              <w:jc w:val="center"/>
              <w:rPr>
                <w:sz w:val="20"/>
                <w:szCs w:val="20"/>
              </w:rPr>
            </w:pPr>
            <w:r w:rsidRPr="008B6A75">
              <w:rPr>
                <w:sz w:val="20"/>
                <w:szCs w:val="20"/>
              </w:rPr>
              <w:t>99.0.00.70510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5B69FB5" w14:textId="77777777" w:rsidR="00387142" w:rsidRPr="008B6A75" w:rsidRDefault="00387142" w:rsidP="00387142">
            <w:pPr>
              <w:jc w:val="center"/>
              <w:rPr>
                <w:sz w:val="20"/>
                <w:szCs w:val="20"/>
              </w:rPr>
            </w:pPr>
            <w:r w:rsidRPr="008B6A75">
              <w:rPr>
                <w:sz w:val="20"/>
                <w:szCs w:val="20"/>
              </w:rPr>
              <w:t>100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A19ADC3" w14:textId="77777777" w:rsidR="00387142" w:rsidRPr="008B6A75" w:rsidRDefault="00387142" w:rsidP="00387142">
            <w:pPr>
              <w:jc w:val="right"/>
              <w:rPr>
                <w:sz w:val="20"/>
                <w:szCs w:val="20"/>
              </w:rPr>
            </w:pPr>
            <w:r w:rsidRPr="008B6A75">
              <w:rPr>
                <w:sz w:val="20"/>
                <w:szCs w:val="20"/>
              </w:rPr>
              <w:t>10 484 548,80</w:t>
            </w:r>
          </w:p>
        </w:tc>
        <w:tc>
          <w:tcPr>
            <w:tcW w:w="992" w:type="dxa"/>
            <w:tcBorders>
              <w:top w:val="nil"/>
              <w:left w:val="single" w:sz="4" w:space="0" w:color="auto"/>
              <w:bottom w:val="single" w:sz="4" w:space="0" w:color="auto"/>
              <w:right w:val="nil"/>
            </w:tcBorders>
            <w:shd w:val="clear" w:color="auto" w:fill="auto"/>
            <w:vAlign w:val="center"/>
            <w:hideMark/>
          </w:tcPr>
          <w:p w14:paraId="162BBE80" w14:textId="77777777" w:rsidR="00387142" w:rsidRPr="008B6A75" w:rsidRDefault="00387142" w:rsidP="00387142">
            <w:pPr>
              <w:jc w:val="right"/>
              <w:rPr>
                <w:sz w:val="20"/>
                <w:szCs w:val="20"/>
              </w:rPr>
            </w:pPr>
            <w:r w:rsidRPr="008B6A75">
              <w:rPr>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2737F1DE" w14:textId="77777777" w:rsidR="00387142" w:rsidRPr="008B6A75" w:rsidRDefault="00387142" w:rsidP="00387142">
            <w:pPr>
              <w:jc w:val="right"/>
              <w:rPr>
                <w:sz w:val="20"/>
                <w:szCs w:val="20"/>
              </w:rPr>
            </w:pPr>
            <w:r w:rsidRPr="008B6A75">
              <w:rPr>
                <w:sz w:val="20"/>
                <w:szCs w:val="20"/>
              </w:rPr>
              <w:t>0,00</w:t>
            </w:r>
          </w:p>
        </w:tc>
      </w:tr>
      <w:tr w:rsidR="00387142" w:rsidRPr="008B6A75" w14:paraId="39EF51ED" w14:textId="77777777" w:rsidTr="00387142">
        <w:trPr>
          <w:trHeight w:val="585"/>
        </w:trPr>
        <w:tc>
          <w:tcPr>
            <w:tcW w:w="3261" w:type="dxa"/>
            <w:tcBorders>
              <w:top w:val="nil"/>
              <w:left w:val="single" w:sz="4" w:space="0" w:color="auto"/>
              <w:bottom w:val="single" w:sz="4" w:space="0" w:color="auto"/>
              <w:right w:val="nil"/>
            </w:tcBorders>
            <w:shd w:val="clear" w:color="auto" w:fill="auto"/>
            <w:vAlign w:val="center"/>
            <w:hideMark/>
          </w:tcPr>
          <w:p w14:paraId="38D1DBBB" w14:textId="77777777" w:rsidR="00387142" w:rsidRPr="008B6A75" w:rsidRDefault="00387142" w:rsidP="00387142">
            <w:pPr>
              <w:rPr>
                <w:sz w:val="20"/>
                <w:szCs w:val="20"/>
              </w:rPr>
            </w:pPr>
            <w:r w:rsidRPr="008B6A75">
              <w:rPr>
                <w:sz w:val="20"/>
                <w:szCs w:val="20"/>
              </w:rPr>
              <w:t>Расходы на выплаты персоналу государственных (муниципальных) органов</w:t>
            </w:r>
          </w:p>
        </w:tc>
        <w:tc>
          <w:tcPr>
            <w:tcW w:w="720" w:type="dxa"/>
            <w:tcBorders>
              <w:top w:val="nil"/>
              <w:left w:val="single" w:sz="4" w:space="0" w:color="auto"/>
              <w:bottom w:val="single" w:sz="4" w:space="0" w:color="auto"/>
              <w:right w:val="nil"/>
            </w:tcBorders>
            <w:shd w:val="clear" w:color="auto" w:fill="auto"/>
            <w:noWrap/>
            <w:vAlign w:val="center"/>
            <w:hideMark/>
          </w:tcPr>
          <w:p w14:paraId="65E76E3F" w14:textId="77777777" w:rsidR="00387142" w:rsidRPr="008B6A75" w:rsidRDefault="00387142" w:rsidP="00387142">
            <w:pPr>
              <w:jc w:val="center"/>
              <w:rPr>
                <w:sz w:val="20"/>
                <w:szCs w:val="20"/>
              </w:rPr>
            </w:pPr>
            <w:r w:rsidRPr="008B6A75">
              <w:rPr>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A7D5481" w14:textId="77777777" w:rsidR="00387142" w:rsidRPr="008B6A75" w:rsidRDefault="00387142" w:rsidP="00387142">
            <w:pPr>
              <w:jc w:val="center"/>
              <w:rPr>
                <w:sz w:val="20"/>
                <w:szCs w:val="20"/>
              </w:rPr>
            </w:pPr>
            <w:r w:rsidRPr="008B6A75">
              <w:rPr>
                <w:sz w:val="20"/>
                <w:szCs w:val="20"/>
              </w:rPr>
              <w:t>04</w:t>
            </w:r>
          </w:p>
        </w:tc>
        <w:tc>
          <w:tcPr>
            <w:tcW w:w="1516" w:type="dxa"/>
            <w:tcBorders>
              <w:top w:val="nil"/>
              <w:left w:val="single" w:sz="4" w:space="0" w:color="auto"/>
              <w:bottom w:val="single" w:sz="4" w:space="0" w:color="auto"/>
              <w:right w:val="nil"/>
            </w:tcBorders>
            <w:shd w:val="clear" w:color="auto" w:fill="auto"/>
            <w:noWrap/>
            <w:vAlign w:val="center"/>
            <w:hideMark/>
          </w:tcPr>
          <w:p w14:paraId="351FCF1A" w14:textId="77777777" w:rsidR="00387142" w:rsidRPr="008B6A75" w:rsidRDefault="00387142" w:rsidP="00387142">
            <w:pPr>
              <w:jc w:val="center"/>
              <w:rPr>
                <w:sz w:val="20"/>
                <w:szCs w:val="20"/>
              </w:rPr>
            </w:pPr>
            <w:r w:rsidRPr="008B6A75">
              <w:rPr>
                <w:sz w:val="20"/>
                <w:szCs w:val="20"/>
              </w:rPr>
              <w:t>99.0.00.70510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058E433" w14:textId="77777777" w:rsidR="00387142" w:rsidRPr="008B6A75" w:rsidRDefault="00387142" w:rsidP="00387142">
            <w:pPr>
              <w:jc w:val="center"/>
              <w:rPr>
                <w:sz w:val="20"/>
                <w:szCs w:val="20"/>
              </w:rPr>
            </w:pPr>
            <w:r w:rsidRPr="008B6A75">
              <w:rPr>
                <w:sz w:val="20"/>
                <w:szCs w:val="20"/>
              </w:rPr>
              <w:t>120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D374482" w14:textId="77777777" w:rsidR="00387142" w:rsidRPr="008B6A75" w:rsidRDefault="00387142" w:rsidP="00387142">
            <w:pPr>
              <w:jc w:val="right"/>
              <w:rPr>
                <w:sz w:val="20"/>
                <w:szCs w:val="20"/>
              </w:rPr>
            </w:pPr>
            <w:r w:rsidRPr="008B6A75">
              <w:rPr>
                <w:sz w:val="20"/>
                <w:szCs w:val="20"/>
              </w:rPr>
              <w:t>10 484 548,80</w:t>
            </w:r>
          </w:p>
        </w:tc>
        <w:tc>
          <w:tcPr>
            <w:tcW w:w="992" w:type="dxa"/>
            <w:tcBorders>
              <w:top w:val="nil"/>
              <w:left w:val="single" w:sz="4" w:space="0" w:color="auto"/>
              <w:bottom w:val="single" w:sz="4" w:space="0" w:color="auto"/>
              <w:right w:val="nil"/>
            </w:tcBorders>
            <w:shd w:val="clear" w:color="auto" w:fill="auto"/>
            <w:vAlign w:val="center"/>
            <w:hideMark/>
          </w:tcPr>
          <w:p w14:paraId="1C4BE9C0" w14:textId="77777777" w:rsidR="00387142" w:rsidRPr="008B6A75" w:rsidRDefault="00387142" w:rsidP="00387142">
            <w:pPr>
              <w:jc w:val="right"/>
              <w:rPr>
                <w:sz w:val="20"/>
                <w:szCs w:val="20"/>
              </w:rPr>
            </w:pPr>
            <w:r w:rsidRPr="008B6A75">
              <w:rPr>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275318E8" w14:textId="77777777" w:rsidR="00387142" w:rsidRPr="008B6A75" w:rsidRDefault="00387142" w:rsidP="00387142">
            <w:pPr>
              <w:jc w:val="right"/>
              <w:rPr>
                <w:sz w:val="20"/>
                <w:szCs w:val="20"/>
              </w:rPr>
            </w:pPr>
            <w:r w:rsidRPr="008B6A75">
              <w:rPr>
                <w:sz w:val="20"/>
                <w:szCs w:val="20"/>
              </w:rPr>
              <w:t>0,00</w:t>
            </w:r>
          </w:p>
        </w:tc>
      </w:tr>
      <w:tr w:rsidR="00387142" w:rsidRPr="008B6A75" w14:paraId="54B35876" w14:textId="77777777" w:rsidTr="00387142">
        <w:trPr>
          <w:trHeight w:val="345"/>
        </w:trPr>
        <w:tc>
          <w:tcPr>
            <w:tcW w:w="3261" w:type="dxa"/>
            <w:tcBorders>
              <w:top w:val="nil"/>
              <w:left w:val="single" w:sz="4" w:space="0" w:color="auto"/>
              <w:bottom w:val="single" w:sz="4" w:space="0" w:color="auto"/>
              <w:right w:val="nil"/>
            </w:tcBorders>
            <w:shd w:val="clear" w:color="auto" w:fill="auto"/>
            <w:vAlign w:val="center"/>
            <w:hideMark/>
          </w:tcPr>
          <w:p w14:paraId="2D26BC2D" w14:textId="77777777" w:rsidR="00387142" w:rsidRPr="008B6A75" w:rsidRDefault="00387142" w:rsidP="00387142">
            <w:pPr>
              <w:rPr>
                <w:bCs/>
                <w:sz w:val="20"/>
                <w:szCs w:val="20"/>
              </w:rPr>
            </w:pPr>
            <w:r w:rsidRPr="008B6A75">
              <w:rPr>
                <w:bCs/>
                <w:sz w:val="20"/>
                <w:szCs w:val="20"/>
              </w:rPr>
              <w:t>Судебная система</w:t>
            </w:r>
          </w:p>
        </w:tc>
        <w:tc>
          <w:tcPr>
            <w:tcW w:w="720" w:type="dxa"/>
            <w:tcBorders>
              <w:top w:val="nil"/>
              <w:left w:val="single" w:sz="4" w:space="0" w:color="auto"/>
              <w:bottom w:val="single" w:sz="4" w:space="0" w:color="auto"/>
              <w:right w:val="nil"/>
            </w:tcBorders>
            <w:shd w:val="clear" w:color="auto" w:fill="auto"/>
            <w:noWrap/>
            <w:vAlign w:val="center"/>
            <w:hideMark/>
          </w:tcPr>
          <w:p w14:paraId="420DE456" w14:textId="77777777" w:rsidR="00387142" w:rsidRPr="008B6A75" w:rsidRDefault="00387142" w:rsidP="00387142">
            <w:pPr>
              <w:jc w:val="center"/>
              <w:rPr>
                <w:bCs/>
                <w:sz w:val="20"/>
                <w:szCs w:val="20"/>
              </w:rPr>
            </w:pPr>
            <w:r w:rsidRPr="008B6A75">
              <w:rPr>
                <w:bCs/>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9FD96DA" w14:textId="77777777" w:rsidR="00387142" w:rsidRPr="008B6A75" w:rsidRDefault="00387142" w:rsidP="00387142">
            <w:pPr>
              <w:jc w:val="center"/>
              <w:rPr>
                <w:bCs/>
                <w:sz w:val="20"/>
                <w:szCs w:val="20"/>
              </w:rPr>
            </w:pPr>
            <w:r w:rsidRPr="008B6A75">
              <w:rPr>
                <w:bCs/>
                <w:sz w:val="20"/>
                <w:szCs w:val="20"/>
              </w:rPr>
              <w:t>05</w:t>
            </w:r>
          </w:p>
        </w:tc>
        <w:tc>
          <w:tcPr>
            <w:tcW w:w="1516" w:type="dxa"/>
            <w:tcBorders>
              <w:top w:val="nil"/>
              <w:left w:val="single" w:sz="4" w:space="0" w:color="auto"/>
              <w:bottom w:val="single" w:sz="4" w:space="0" w:color="auto"/>
              <w:right w:val="nil"/>
            </w:tcBorders>
            <w:shd w:val="clear" w:color="auto" w:fill="auto"/>
            <w:noWrap/>
            <w:vAlign w:val="center"/>
            <w:hideMark/>
          </w:tcPr>
          <w:p w14:paraId="0090FA59" w14:textId="77777777" w:rsidR="00387142" w:rsidRPr="008B6A75" w:rsidRDefault="00387142" w:rsidP="00387142">
            <w:pPr>
              <w:jc w:val="center"/>
              <w:rPr>
                <w:bCs/>
                <w:sz w:val="20"/>
                <w:szCs w:val="20"/>
              </w:rPr>
            </w:pPr>
            <w:r w:rsidRPr="008B6A75">
              <w:rPr>
                <w:bCs/>
                <w:sz w:val="20"/>
                <w:szCs w:val="20"/>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4E0D0F1"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FBC98A0" w14:textId="77777777" w:rsidR="00387142" w:rsidRPr="008B6A75" w:rsidRDefault="00387142" w:rsidP="00387142">
            <w:pPr>
              <w:jc w:val="right"/>
              <w:rPr>
                <w:bCs/>
                <w:sz w:val="20"/>
                <w:szCs w:val="20"/>
              </w:rPr>
            </w:pPr>
            <w:r w:rsidRPr="008B6A75">
              <w:rPr>
                <w:bCs/>
                <w:sz w:val="20"/>
                <w:szCs w:val="20"/>
              </w:rPr>
              <w:t>182 300,00</w:t>
            </w:r>
          </w:p>
        </w:tc>
        <w:tc>
          <w:tcPr>
            <w:tcW w:w="992" w:type="dxa"/>
            <w:tcBorders>
              <w:top w:val="nil"/>
              <w:left w:val="single" w:sz="4" w:space="0" w:color="auto"/>
              <w:bottom w:val="single" w:sz="4" w:space="0" w:color="auto"/>
              <w:right w:val="nil"/>
            </w:tcBorders>
            <w:shd w:val="clear" w:color="auto" w:fill="auto"/>
            <w:vAlign w:val="center"/>
            <w:hideMark/>
          </w:tcPr>
          <w:p w14:paraId="113806B9" w14:textId="77777777" w:rsidR="00387142" w:rsidRPr="008B6A75" w:rsidRDefault="00387142" w:rsidP="00387142">
            <w:pPr>
              <w:jc w:val="right"/>
              <w:rPr>
                <w:bCs/>
                <w:sz w:val="20"/>
                <w:szCs w:val="20"/>
              </w:rPr>
            </w:pPr>
            <w:r w:rsidRPr="008B6A75">
              <w:rPr>
                <w:bCs/>
                <w:sz w:val="20"/>
                <w:szCs w:val="20"/>
              </w:rPr>
              <w:t>8 300,00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2D669D75" w14:textId="77777777" w:rsidR="00387142" w:rsidRPr="008B6A75" w:rsidRDefault="00387142" w:rsidP="00387142">
            <w:pPr>
              <w:jc w:val="right"/>
              <w:rPr>
                <w:bCs/>
                <w:sz w:val="20"/>
                <w:szCs w:val="20"/>
              </w:rPr>
            </w:pPr>
            <w:r w:rsidRPr="008B6A75">
              <w:rPr>
                <w:bCs/>
                <w:sz w:val="20"/>
                <w:szCs w:val="20"/>
              </w:rPr>
              <w:t>7 500,00</w:t>
            </w:r>
          </w:p>
        </w:tc>
      </w:tr>
      <w:tr w:rsidR="00387142" w:rsidRPr="008B6A75" w14:paraId="7A67EF4A" w14:textId="77777777" w:rsidTr="00387142">
        <w:trPr>
          <w:trHeight w:val="345"/>
        </w:trPr>
        <w:tc>
          <w:tcPr>
            <w:tcW w:w="3261" w:type="dxa"/>
            <w:tcBorders>
              <w:top w:val="nil"/>
              <w:left w:val="single" w:sz="4" w:space="0" w:color="auto"/>
              <w:bottom w:val="single" w:sz="4" w:space="0" w:color="auto"/>
              <w:right w:val="nil"/>
            </w:tcBorders>
            <w:shd w:val="clear" w:color="auto" w:fill="auto"/>
            <w:vAlign w:val="center"/>
            <w:hideMark/>
          </w:tcPr>
          <w:p w14:paraId="7F55813A" w14:textId="77777777" w:rsidR="00387142" w:rsidRPr="008B6A75" w:rsidRDefault="00387142" w:rsidP="00387142">
            <w:pPr>
              <w:rPr>
                <w:bCs/>
                <w:sz w:val="20"/>
                <w:szCs w:val="20"/>
              </w:rPr>
            </w:pPr>
            <w:r w:rsidRPr="008B6A75">
              <w:rPr>
                <w:bCs/>
                <w:sz w:val="20"/>
                <w:szCs w:val="20"/>
              </w:rPr>
              <w:t>Непрограммные направления бюджета</w:t>
            </w:r>
          </w:p>
        </w:tc>
        <w:tc>
          <w:tcPr>
            <w:tcW w:w="720" w:type="dxa"/>
            <w:tcBorders>
              <w:top w:val="nil"/>
              <w:left w:val="single" w:sz="4" w:space="0" w:color="auto"/>
              <w:bottom w:val="single" w:sz="4" w:space="0" w:color="auto"/>
              <w:right w:val="nil"/>
            </w:tcBorders>
            <w:shd w:val="clear" w:color="auto" w:fill="auto"/>
            <w:noWrap/>
            <w:vAlign w:val="center"/>
            <w:hideMark/>
          </w:tcPr>
          <w:p w14:paraId="0E4B9086" w14:textId="77777777" w:rsidR="00387142" w:rsidRPr="008B6A75" w:rsidRDefault="00387142" w:rsidP="00387142">
            <w:pPr>
              <w:jc w:val="center"/>
              <w:rPr>
                <w:bCs/>
                <w:sz w:val="20"/>
                <w:szCs w:val="20"/>
              </w:rPr>
            </w:pPr>
            <w:r w:rsidRPr="008B6A75">
              <w:rPr>
                <w:bCs/>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3F4214D" w14:textId="77777777" w:rsidR="00387142" w:rsidRPr="008B6A75" w:rsidRDefault="00387142" w:rsidP="00387142">
            <w:pPr>
              <w:jc w:val="center"/>
              <w:rPr>
                <w:bCs/>
                <w:sz w:val="20"/>
                <w:szCs w:val="20"/>
              </w:rPr>
            </w:pPr>
            <w:r w:rsidRPr="008B6A75">
              <w:rPr>
                <w:bCs/>
                <w:sz w:val="20"/>
                <w:szCs w:val="20"/>
              </w:rPr>
              <w:t>05</w:t>
            </w:r>
          </w:p>
        </w:tc>
        <w:tc>
          <w:tcPr>
            <w:tcW w:w="1516" w:type="dxa"/>
            <w:tcBorders>
              <w:top w:val="nil"/>
              <w:left w:val="single" w:sz="4" w:space="0" w:color="auto"/>
              <w:bottom w:val="single" w:sz="4" w:space="0" w:color="auto"/>
              <w:right w:val="nil"/>
            </w:tcBorders>
            <w:shd w:val="clear" w:color="auto" w:fill="auto"/>
            <w:noWrap/>
            <w:vAlign w:val="center"/>
            <w:hideMark/>
          </w:tcPr>
          <w:p w14:paraId="47AE386D" w14:textId="77777777" w:rsidR="00387142" w:rsidRPr="008B6A75" w:rsidRDefault="00387142" w:rsidP="00387142">
            <w:pPr>
              <w:jc w:val="center"/>
              <w:rPr>
                <w:bCs/>
                <w:sz w:val="20"/>
                <w:szCs w:val="20"/>
              </w:rPr>
            </w:pPr>
            <w:r w:rsidRPr="008B6A75">
              <w:rPr>
                <w:bCs/>
                <w:sz w:val="20"/>
                <w:szCs w:val="20"/>
              </w:rPr>
              <w:t>99.0.00.00000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1B782F2"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8272D1E" w14:textId="77777777" w:rsidR="00387142" w:rsidRPr="008B6A75" w:rsidRDefault="00387142" w:rsidP="00387142">
            <w:pPr>
              <w:jc w:val="right"/>
              <w:rPr>
                <w:bCs/>
                <w:sz w:val="20"/>
                <w:szCs w:val="20"/>
              </w:rPr>
            </w:pPr>
            <w:r w:rsidRPr="008B6A75">
              <w:rPr>
                <w:bCs/>
                <w:sz w:val="20"/>
                <w:szCs w:val="20"/>
              </w:rPr>
              <w:t>182 300,00</w:t>
            </w:r>
          </w:p>
        </w:tc>
        <w:tc>
          <w:tcPr>
            <w:tcW w:w="992" w:type="dxa"/>
            <w:tcBorders>
              <w:top w:val="nil"/>
              <w:left w:val="single" w:sz="4" w:space="0" w:color="auto"/>
              <w:bottom w:val="single" w:sz="4" w:space="0" w:color="auto"/>
              <w:right w:val="nil"/>
            </w:tcBorders>
            <w:shd w:val="clear" w:color="auto" w:fill="auto"/>
            <w:vAlign w:val="center"/>
            <w:hideMark/>
          </w:tcPr>
          <w:p w14:paraId="11FAC261" w14:textId="77777777" w:rsidR="00387142" w:rsidRPr="008B6A75" w:rsidRDefault="00387142" w:rsidP="00387142">
            <w:pPr>
              <w:jc w:val="right"/>
              <w:rPr>
                <w:bCs/>
                <w:sz w:val="20"/>
                <w:szCs w:val="20"/>
              </w:rPr>
            </w:pPr>
            <w:r w:rsidRPr="008B6A75">
              <w:rPr>
                <w:bCs/>
                <w:sz w:val="20"/>
                <w:szCs w:val="20"/>
              </w:rPr>
              <w:t>8 300,00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5BFFABA0" w14:textId="77777777" w:rsidR="00387142" w:rsidRPr="008B6A75" w:rsidRDefault="00387142" w:rsidP="00387142">
            <w:pPr>
              <w:jc w:val="right"/>
              <w:rPr>
                <w:bCs/>
                <w:sz w:val="20"/>
                <w:szCs w:val="20"/>
              </w:rPr>
            </w:pPr>
            <w:r w:rsidRPr="008B6A75">
              <w:rPr>
                <w:bCs/>
                <w:sz w:val="20"/>
                <w:szCs w:val="20"/>
              </w:rPr>
              <w:t>7 500,00</w:t>
            </w:r>
          </w:p>
        </w:tc>
      </w:tr>
      <w:tr w:rsidR="00387142" w:rsidRPr="008B6A75" w14:paraId="0EAF56F3" w14:textId="77777777" w:rsidTr="00387142">
        <w:trPr>
          <w:trHeight w:val="1155"/>
        </w:trPr>
        <w:tc>
          <w:tcPr>
            <w:tcW w:w="3261" w:type="dxa"/>
            <w:tcBorders>
              <w:top w:val="nil"/>
              <w:left w:val="single" w:sz="4" w:space="0" w:color="auto"/>
              <w:bottom w:val="single" w:sz="4" w:space="0" w:color="auto"/>
              <w:right w:val="nil"/>
            </w:tcBorders>
            <w:shd w:val="clear" w:color="auto" w:fill="auto"/>
            <w:vAlign w:val="center"/>
            <w:hideMark/>
          </w:tcPr>
          <w:p w14:paraId="0053E5BE" w14:textId="77777777" w:rsidR="00387142" w:rsidRPr="008B6A75" w:rsidRDefault="00387142" w:rsidP="00387142">
            <w:pPr>
              <w:rPr>
                <w:bCs/>
                <w:sz w:val="20"/>
                <w:szCs w:val="20"/>
              </w:rPr>
            </w:pPr>
            <w:r w:rsidRPr="008B6A75">
              <w:rPr>
                <w:bCs/>
                <w:sz w:val="20"/>
                <w:szCs w:val="20"/>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720" w:type="dxa"/>
            <w:tcBorders>
              <w:top w:val="nil"/>
              <w:left w:val="single" w:sz="4" w:space="0" w:color="auto"/>
              <w:bottom w:val="single" w:sz="4" w:space="0" w:color="auto"/>
              <w:right w:val="nil"/>
            </w:tcBorders>
            <w:shd w:val="clear" w:color="auto" w:fill="auto"/>
            <w:noWrap/>
            <w:vAlign w:val="center"/>
            <w:hideMark/>
          </w:tcPr>
          <w:p w14:paraId="2DA1673E" w14:textId="77777777" w:rsidR="00387142" w:rsidRPr="008B6A75" w:rsidRDefault="00387142" w:rsidP="00387142">
            <w:pPr>
              <w:jc w:val="center"/>
              <w:rPr>
                <w:bCs/>
                <w:sz w:val="20"/>
                <w:szCs w:val="20"/>
              </w:rPr>
            </w:pPr>
            <w:r w:rsidRPr="008B6A75">
              <w:rPr>
                <w:bCs/>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402785D" w14:textId="77777777" w:rsidR="00387142" w:rsidRPr="008B6A75" w:rsidRDefault="00387142" w:rsidP="00387142">
            <w:pPr>
              <w:jc w:val="center"/>
              <w:rPr>
                <w:bCs/>
                <w:sz w:val="20"/>
                <w:szCs w:val="20"/>
              </w:rPr>
            </w:pPr>
            <w:r w:rsidRPr="008B6A75">
              <w:rPr>
                <w:bCs/>
                <w:sz w:val="20"/>
                <w:szCs w:val="20"/>
              </w:rPr>
              <w:t>05</w:t>
            </w:r>
          </w:p>
        </w:tc>
        <w:tc>
          <w:tcPr>
            <w:tcW w:w="1516" w:type="dxa"/>
            <w:tcBorders>
              <w:top w:val="nil"/>
              <w:left w:val="single" w:sz="4" w:space="0" w:color="auto"/>
              <w:bottom w:val="single" w:sz="4" w:space="0" w:color="auto"/>
              <w:right w:val="nil"/>
            </w:tcBorders>
            <w:shd w:val="clear" w:color="auto" w:fill="auto"/>
            <w:noWrap/>
            <w:vAlign w:val="center"/>
            <w:hideMark/>
          </w:tcPr>
          <w:p w14:paraId="0DD04A8D" w14:textId="77777777" w:rsidR="00387142" w:rsidRPr="008B6A75" w:rsidRDefault="00387142" w:rsidP="00387142">
            <w:pPr>
              <w:jc w:val="center"/>
              <w:rPr>
                <w:bCs/>
                <w:sz w:val="20"/>
                <w:szCs w:val="20"/>
              </w:rPr>
            </w:pPr>
            <w:r w:rsidRPr="008B6A75">
              <w:rPr>
                <w:bCs/>
                <w:sz w:val="20"/>
                <w:szCs w:val="20"/>
              </w:rPr>
              <w:t>99.0.00.51200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AC8B0A2"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02CED2D" w14:textId="77777777" w:rsidR="00387142" w:rsidRPr="008B6A75" w:rsidRDefault="00387142" w:rsidP="00387142">
            <w:pPr>
              <w:jc w:val="right"/>
              <w:rPr>
                <w:bCs/>
                <w:sz w:val="20"/>
                <w:szCs w:val="20"/>
              </w:rPr>
            </w:pPr>
            <w:r w:rsidRPr="008B6A75">
              <w:rPr>
                <w:bCs/>
                <w:sz w:val="20"/>
                <w:szCs w:val="20"/>
              </w:rPr>
              <w:t>182 300,00</w:t>
            </w:r>
          </w:p>
        </w:tc>
        <w:tc>
          <w:tcPr>
            <w:tcW w:w="992" w:type="dxa"/>
            <w:tcBorders>
              <w:top w:val="nil"/>
              <w:left w:val="single" w:sz="4" w:space="0" w:color="auto"/>
              <w:bottom w:val="single" w:sz="4" w:space="0" w:color="auto"/>
              <w:right w:val="nil"/>
            </w:tcBorders>
            <w:shd w:val="clear" w:color="auto" w:fill="auto"/>
            <w:vAlign w:val="center"/>
            <w:hideMark/>
          </w:tcPr>
          <w:p w14:paraId="6693A545" w14:textId="77777777" w:rsidR="00387142" w:rsidRPr="008B6A75" w:rsidRDefault="00387142" w:rsidP="00387142">
            <w:pPr>
              <w:jc w:val="right"/>
              <w:rPr>
                <w:bCs/>
                <w:sz w:val="20"/>
                <w:szCs w:val="20"/>
              </w:rPr>
            </w:pPr>
            <w:r w:rsidRPr="008B6A75">
              <w:rPr>
                <w:bCs/>
                <w:sz w:val="20"/>
                <w:szCs w:val="20"/>
              </w:rPr>
              <w:t>8 300,00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493844AC" w14:textId="77777777" w:rsidR="00387142" w:rsidRPr="008B6A75" w:rsidRDefault="00387142" w:rsidP="00387142">
            <w:pPr>
              <w:jc w:val="right"/>
              <w:rPr>
                <w:bCs/>
                <w:sz w:val="20"/>
                <w:szCs w:val="20"/>
              </w:rPr>
            </w:pPr>
            <w:r w:rsidRPr="008B6A75">
              <w:rPr>
                <w:bCs/>
                <w:sz w:val="20"/>
                <w:szCs w:val="20"/>
              </w:rPr>
              <w:t>7 500,00</w:t>
            </w:r>
          </w:p>
        </w:tc>
      </w:tr>
      <w:tr w:rsidR="00387142" w:rsidRPr="008B6A75" w14:paraId="0468A456" w14:textId="77777777" w:rsidTr="00387142">
        <w:trPr>
          <w:trHeight w:val="585"/>
        </w:trPr>
        <w:tc>
          <w:tcPr>
            <w:tcW w:w="3261" w:type="dxa"/>
            <w:tcBorders>
              <w:top w:val="nil"/>
              <w:left w:val="single" w:sz="4" w:space="0" w:color="auto"/>
              <w:bottom w:val="single" w:sz="4" w:space="0" w:color="auto"/>
              <w:right w:val="nil"/>
            </w:tcBorders>
            <w:shd w:val="clear" w:color="auto" w:fill="auto"/>
            <w:vAlign w:val="center"/>
            <w:hideMark/>
          </w:tcPr>
          <w:p w14:paraId="77A7614B" w14:textId="77777777" w:rsidR="00387142" w:rsidRPr="008B6A75" w:rsidRDefault="00387142" w:rsidP="00387142">
            <w:pPr>
              <w:rPr>
                <w:sz w:val="20"/>
                <w:szCs w:val="20"/>
              </w:rPr>
            </w:pPr>
            <w:r w:rsidRPr="008B6A75">
              <w:rPr>
                <w:sz w:val="20"/>
                <w:szCs w:val="20"/>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6B4C8336" w14:textId="77777777" w:rsidR="00387142" w:rsidRPr="008B6A75" w:rsidRDefault="00387142" w:rsidP="00387142">
            <w:pPr>
              <w:jc w:val="center"/>
              <w:rPr>
                <w:sz w:val="20"/>
                <w:szCs w:val="20"/>
              </w:rPr>
            </w:pPr>
            <w:r w:rsidRPr="008B6A75">
              <w:rPr>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152B051" w14:textId="77777777" w:rsidR="00387142" w:rsidRPr="008B6A75" w:rsidRDefault="00387142" w:rsidP="00387142">
            <w:pPr>
              <w:jc w:val="center"/>
              <w:rPr>
                <w:sz w:val="20"/>
                <w:szCs w:val="20"/>
              </w:rPr>
            </w:pPr>
            <w:r w:rsidRPr="008B6A75">
              <w:rPr>
                <w:sz w:val="20"/>
                <w:szCs w:val="20"/>
              </w:rPr>
              <w:t>05</w:t>
            </w:r>
          </w:p>
        </w:tc>
        <w:tc>
          <w:tcPr>
            <w:tcW w:w="1516" w:type="dxa"/>
            <w:tcBorders>
              <w:top w:val="nil"/>
              <w:left w:val="single" w:sz="4" w:space="0" w:color="auto"/>
              <w:bottom w:val="single" w:sz="4" w:space="0" w:color="auto"/>
              <w:right w:val="nil"/>
            </w:tcBorders>
            <w:shd w:val="clear" w:color="auto" w:fill="auto"/>
            <w:noWrap/>
            <w:vAlign w:val="center"/>
            <w:hideMark/>
          </w:tcPr>
          <w:p w14:paraId="0C42FD74" w14:textId="77777777" w:rsidR="00387142" w:rsidRPr="008B6A75" w:rsidRDefault="00387142" w:rsidP="00387142">
            <w:pPr>
              <w:jc w:val="center"/>
              <w:rPr>
                <w:sz w:val="20"/>
                <w:szCs w:val="20"/>
              </w:rPr>
            </w:pPr>
            <w:r w:rsidRPr="008B6A75">
              <w:rPr>
                <w:sz w:val="20"/>
                <w:szCs w:val="20"/>
              </w:rPr>
              <w:t>99.0.00.51200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101FF85" w14:textId="77777777" w:rsidR="00387142" w:rsidRPr="008B6A75" w:rsidRDefault="00387142" w:rsidP="00387142">
            <w:pPr>
              <w:jc w:val="center"/>
              <w:rPr>
                <w:sz w:val="20"/>
                <w:szCs w:val="20"/>
              </w:rPr>
            </w:pPr>
            <w:r w:rsidRPr="008B6A75">
              <w:rPr>
                <w:sz w:val="20"/>
                <w:szCs w:val="20"/>
              </w:rPr>
              <w:t>200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4B44385" w14:textId="77777777" w:rsidR="00387142" w:rsidRPr="008B6A75" w:rsidRDefault="00387142" w:rsidP="00387142">
            <w:pPr>
              <w:jc w:val="right"/>
              <w:rPr>
                <w:sz w:val="20"/>
                <w:szCs w:val="20"/>
              </w:rPr>
            </w:pPr>
            <w:r w:rsidRPr="008B6A75">
              <w:rPr>
                <w:sz w:val="20"/>
                <w:szCs w:val="20"/>
              </w:rPr>
              <w:t>182 300,00</w:t>
            </w:r>
          </w:p>
        </w:tc>
        <w:tc>
          <w:tcPr>
            <w:tcW w:w="992" w:type="dxa"/>
            <w:tcBorders>
              <w:top w:val="nil"/>
              <w:left w:val="single" w:sz="4" w:space="0" w:color="auto"/>
              <w:bottom w:val="single" w:sz="4" w:space="0" w:color="auto"/>
              <w:right w:val="nil"/>
            </w:tcBorders>
            <w:shd w:val="clear" w:color="auto" w:fill="auto"/>
            <w:vAlign w:val="center"/>
            <w:hideMark/>
          </w:tcPr>
          <w:p w14:paraId="528F139E" w14:textId="77777777" w:rsidR="00387142" w:rsidRPr="008B6A75" w:rsidRDefault="00387142" w:rsidP="00387142">
            <w:pPr>
              <w:jc w:val="right"/>
              <w:rPr>
                <w:sz w:val="20"/>
                <w:szCs w:val="20"/>
              </w:rPr>
            </w:pPr>
            <w:r w:rsidRPr="008B6A75">
              <w:rPr>
                <w:sz w:val="20"/>
                <w:szCs w:val="20"/>
              </w:rPr>
              <w:t>8 300,00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55F07295" w14:textId="77777777" w:rsidR="00387142" w:rsidRPr="008B6A75" w:rsidRDefault="00387142" w:rsidP="00387142">
            <w:pPr>
              <w:jc w:val="right"/>
              <w:rPr>
                <w:sz w:val="20"/>
                <w:szCs w:val="20"/>
              </w:rPr>
            </w:pPr>
            <w:r w:rsidRPr="008B6A75">
              <w:rPr>
                <w:sz w:val="20"/>
                <w:szCs w:val="20"/>
              </w:rPr>
              <w:t>7 500,00</w:t>
            </w:r>
          </w:p>
        </w:tc>
      </w:tr>
      <w:tr w:rsidR="00387142" w:rsidRPr="008B6A75" w14:paraId="45C17315" w14:textId="77777777" w:rsidTr="00387142">
        <w:trPr>
          <w:trHeight w:val="870"/>
        </w:trPr>
        <w:tc>
          <w:tcPr>
            <w:tcW w:w="3261" w:type="dxa"/>
            <w:tcBorders>
              <w:top w:val="nil"/>
              <w:left w:val="single" w:sz="4" w:space="0" w:color="auto"/>
              <w:bottom w:val="single" w:sz="4" w:space="0" w:color="auto"/>
              <w:right w:val="nil"/>
            </w:tcBorders>
            <w:shd w:val="clear" w:color="auto" w:fill="auto"/>
            <w:vAlign w:val="center"/>
            <w:hideMark/>
          </w:tcPr>
          <w:p w14:paraId="3D75216D" w14:textId="77777777" w:rsidR="00387142" w:rsidRPr="008B6A75" w:rsidRDefault="00387142" w:rsidP="00387142">
            <w:pPr>
              <w:rPr>
                <w:sz w:val="20"/>
                <w:szCs w:val="20"/>
              </w:rPr>
            </w:pPr>
            <w:r w:rsidRPr="008B6A75">
              <w:rPr>
                <w:sz w:val="20"/>
                <w:szCs w:val="20"/>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5190368D" w14:textId="77777777" w:rsidR="00387142" w:rsidRPr="008B6A75" w:rsidRDefault="00387142" w:rsidP="00387142">
            <w:pPr>
              <w:jc w:val="center"/>
              <w:rPr>
                <w:sz w:val="20"/>
                <w:szCs w:val="20"/>
              </w:rPr>
            </w:pPr>
            <w:r w:rsidRPr="008B6A75">
              <w:rPr>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489A4E7" w14:textId="77777777" w:rsidR="00387142" w:rsidRPr="008B6A75" w:rsidRDefault="00387142" w:rsidP="00387142">
            <w:pPr>
              <w:jc w:val="center"/>
              <w:rPr>
                <w:sz w:val="20"/>
                <w:szCs w:val="20"/>
              </w:rPr>
            </w:pPr>
            <w:r w:rsidRPr="008B6A75">
              <w:rPr>
                <w:sz w:val="20"/>
                <w:szCs w:val="20"/>
              </w:rPr>
              <w:t>05</w:t>
            </w:r>
          </w:p>
        </w:tc>
        <w:tc>
          <w:tcPr>
            <w:tcW w:w="1516" w:type="dxa"/>
            <w:tcBorders>
              <w:top w:val="nil"/>
              <w:left w:val="single" w:sz="4" w:space="0" w:color="auto"/>
              <w:bottom w:val="single" w:sz="4" w:space="0" w:color="auto"/>
              <w:right w:val="nil"/>
            </w:tcBorders>
            <w:shd w:val="clear" w:color="auto" w:fill="auto"/>
            <w:noWrap/>
            <w:vAlign w:val="center"/>
            <w:hideMark/>
          </w:tcPr>
          <w:p w14:paraId="4F87F80D" w14:textId="77777777" w:rsidR="00387142" w:rsidRPr="008B6A75" w:rsidRDefault="00387142" w:rsidP="00387142">
            <w:pPr>
              <w:jc w:val="center"/>
              <w:rPr>
                <w:sz w:val="20"/>
                <w:szCs w:val="20"/>
              </w:rPr>
            </w:pPr>
            <w:r w:rsidRPr="008B6A75">
              <w:rPr>
                <w:sz w:val="20"/>
                <w:szCs w:val="20"/>
              </w:rPr>
              <w:t>99.0.00.51200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E43E52A" w14:textId="77777777" w:rsidR="00387142" w:rsidRPr="008B6A75" w:rsidRDefault="00387142" w:rsidP="00387142">
            <w:pPr>
              <w:jc w:val="center"/>
              <w:rPr>
                <w:sz w:val="20"/>
                <w:szCs w:val="20"/>
              </w:rPr>
            </w:pPr>
            <w:r w:rsidRPr="008B6A75">
              <w:rPr>
                <w:sz w:val="20"/>
                <w:szCs w:val="20"/>
              </w:rPr>
              <w:t>240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DBB38F2" w14:textId="77777777" w:rsidR="00387142" w:rsidRPr="008B6A75" w:rsidRDefault="00387142" w:rsidP="00387142">
            <w:pPr>
              <w:jc w:val="right"/>
              <w:rPr>
                <w:sz w:val="20"/>
                <w:szCs w:val="20"/>
              </w:rPr>
            </w:pPr>
            <w:r w:rsidRPr="008B6A75">
              <w:rPr>
                <w:sz w:val="20"/>
                <w:szCs w:val="20"/>
              </w:rPr>
              <w:t>182 300,00</w:t>
            </w:r>
          </w:p>
        </w:tc>
        <w:tc>
          <w:tcPr>
            <w:tcW w:w="992" w:type="dxa"/>
            <w:tcBorders>
              <w:top w:val="nil"/>
              <w:left w:val="single" w:sz="4" w:space="0" w:color="auto"/>
              <w:bottom w:val="single" w:sz="4" w:space="0" w:color="auto"/>
              <w:right w:val="nil"/>
            </w:tcBorders>
            <w:shd w:val="clear" w:color="auto" w:fill="auto"/>
            <w:vAlign w:val="center"/>
            <w:hideMark/>
          </w:tcPr>
          <w:p w14:paraId="1284A111" w14:textId="77777777" w:rsidR="00387142" w:rsidRPr="008B6A75" w:rsidRDefault="00387142" w:rsidP="00387142">
            <w:pPr>
              <w:jc w:val="right"/>
              <w:rPr>
                <w:sz w:val="20"/>
                <w:szCs w:val="20"/>
              </w:rPr>
            </w:pPr>
            <w:r w:rsidRPr="008B6A75">
              <w:rPr>
                <w:sz w:val="20"/>
                <w:szCs w:val="20"/>
              </w:rPr>
              <w:t>8 300,00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0523B41D" w14:textId="77777777" w:rsidR="00387142" w:rsidRPr="008B6A75" w:rsidRDefault="00387142" w:rsidP="00387142">
            <w:pPr>
              <w:jc w:val="right"/>
              <w:rPr>
                <w:sz w:val="20"/>
                <w:szCs w:val="20"/>
              </w:rPr>
            </w:pPr>
            <w:r w:rsidRPr="008B6A75">
              <w:rPr>
                <w:sz w:val="20"/>
                <w:szCs w:val="20"/>
              </w:rPr>
              <w:t>7 500,00</w:t>
            </w:r>
          </w:p>
        </w:tc>
      </w:tr>
      <w:tr w:rsidR="00387142" w:rsidRPr="008B6A75" w14:paraId="30384149" w14:textId="77777777" w:rsidTr="00387142">
        <w:trPr>
          <w:trHeight w:val="870"/>
        </w:trPr>
        <w:tc>
          <w:tcPr>
            <w:tcW w:w="3261" w:type="dxa"/>
            <w:tcBorders>
              <w:top w:val="nil"/>
              <w:left w:val="single" w:sz="4" w:space="0" w:color="auto"/>
              <w:bottom w:val="single" w:sz="4" w:space="0" w:color="auto"/>
              <w:right w:val="nil"/>
            </w:tcBorders>
            <w:shd w:val="clear" w:color="auto" w:fill="auto"/>
            <w:vAlign w:val="center"/>
            <w:hideMark/>
          </w:tcPr>
          <w:p w14:paraId="2968CF76" w14:textId="77777777" w:rsidR="00387142" w:rsidRPr="008B6A75" w:rsidRDefault="00387142" w:rsidP="00387142">
            <w:pPr>
              <w:rPr>
                <w:bCs/>
                <w:sz w:val="20"/>
                <w:szCs w:val="20"/>
              </w:rPr>
            </w:pPr>
            <w:r w:rsidRPr="008B6A75">
              <w:rPr>
                <w:bCs/>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720" w:type="dxa"/>
            <w:tcBorders>
              <w:top w:val="nil"/>
              <w:left w:val="single" w:sz="4" w:space="0" w:color="auto"/>
              <w:bottom w:val="single" w:sz="4" w:space="0" w:color="auto"/>
              <w:right w:val="nil"/>
            </w:tcBorders>
            <w:shd w:val="clear" w:color="auto" w:fill="auto"/>
            <w:noWrap/>
            <w:vAlign w:val="center"/>
            <w:hideMark/>
          </w:tcPr>
          <w:p w14:paraId="34EBABBF" w14:textId="77777777" w:rsidR="00387142" w:rsidRPr="008B6A75" w:rsidRDefault="00387142" w:rsidP="00387142">
            <w:pPr>
              <w:jc w:val="center"/>
              <w:rPr>
                <w:bCs/>
                <w:sz w:val="20"/>
                <w:szCs w:val="20"/>
              </w:rPr>
            </w:pPr>
            <w:r w:rsidRPr="008B6A75">
              <w:rPr>
                <w:bCs/>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0289BF9" w14:textId="77777777" w:rsidR="00387142" w:rsidRPr="008B6A75" w:rsidRDefault="00387142" w:rsidP="00387142">
            <w:pPr>
              <w:jc w:val="center"/>
              <w:rPr>
                <w:bCs/>
                <w:sz w:val="20"/>
                <w:szCs w:val="20"/>
              </w:rPr>
            </w:pPr>
            <w:r w:rsidRPr="008B6A75">
              <w:rPr>
                <w:bCs/>
                <w:sz w:val="20"/>
                <w:szCs w:val="20"/>
              </w:rPr>
              <w:t>06</w:t>
            </w:r>
          </w:p>
        </w:tc>
        <w:tc>
          <w:tcPr>
            <w:tcW w:w="1516" w:type="dxa"/>
            <w:tcBorders>
              <w:top w:val="nil"/>
              <w:left w:val="single" w:sz="4" w:space="0" w:color="auto"/>
              <w:bottom w:val="single" w:sz="4" w:space="0" w:color="auto"/>
              <w:right w:val="nil"/>
            </w:tcBorders>
            <w:shd w:val="clear" w:color="auto" w:fill="auto"/>
            <w:noWrap/>
            <w:vAlign w:val="center"/>
            <w:hideMark/>
          </w:tcPr>
          <w:p w14:paraId="40F47447" w14:textId="77777777" w:rsidR="00387142" w:rsidRPr="008B6A75" w:rsidRDefault="00387142" w:rsidP="00387142">
            <w:pPr>
              <w:jc w:val="center"/>
              <w:rPr>
                <w:bCs/>
                <w:sz w:val="20"/>
                <w:szCs w:val="20"/>
              </w:rPr>
            </w:pPr>
            <w:r w:rsidRPr="008B6A75">
              <w:rPr>
                <w:bCs/>
                <w:sz w:val="20"/>
                <w:szCs w:val="20"/>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D1D92F1"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29B2EDE" w14:textId="77777777" w:rsidR="00387142" w:rsidRPr="008B6A75" w:rsidRDefault="00387142" w:rsidP="00387142">
            <w:pPr>
              <w:jc w:val="right"/>
              <w:rPr>
                <w:bCs/>
                <w:sz w:val="20"/>
                <w:szCs w:val="20"/>
              </w:rPr>
            </w:pPr>
            <w:r w:rsidRPr="008B6A75">
              <w:rPr>
                <w:bCs/>
                <w:sz w:val="20"/>
                <w:szCs w:val="20"/>
              </w:rPr>
              <w:t>2 320 940,35</w:t>
            </w:r>
          </w:p>
        </w:tc>
        <w:tc>
          <w:tcPr>
            <w:tcW w:w="992" w:type="dxa"/>
            <w:tcBorders>
              <w:top w:val="nil"/>
              <w:left w:val="single" w:sz="4" w:space="0" w:color="auto"/>
              <w:bottom w:val="single" w:sz="4" w:space="0" w:color="auto"/>
              <w:right w:val="nil"/>
            </w:tcBorders>
            <w:shd w:val="clear" w:color="auto" w:fill="auto"/>
            <w:vAlign w:val="center"/>
            <w:hideMark/>
          </w:tcPr>
          <w:p w14:paraId="4661FCA6" w14:textId="77777777" w:rsidR="00387142" w:rsidRPr="008B6A75" w:rsidRDefault="00387142" w:rsidP="00387142">
            <w:pPr>
              <w:jc w:val="right"/>
              <w:rPr>
                <w:bCs/>
                <w:sz w:val="20"/>
                <w:szCs w:val="20"/>
              </w:rPr>
            </w:pPr>
            <w:r w:rsidRPr="008B6A75">
              <w:rPr>
                <w:bCs/>
                <w:sz w:val="20"/>
                <w:szCs w:val="20"/>
              </w:rPr>
              <w:t>53 000,00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38264BD7" w14:textId="77777777" w:rsidR="00387142" w:rsidRPr="008B6A75" w:rsidRDefault="00387142" w:rsidP="00387142">
            <w:pPr>
              <w:jc w:val="right"/>
              <w:rPr>
                <w:bCs/>
                <w:sz w:val="20"/>
                <w:szCs w:val="20"/>
              </w:rPr>
            </w:pPr>
            <w:r w:rsidRPr="008B6A75">
              <w:rPr>
                <w:bCs/>
                <w:sz w:val="20"/>
                <w:szCs w:val="20"/>
              </w:rPr>
              <w:t>53 000,00</w:t>
            </w:r>
          </w:p>
        </w:tc>
      </w:tr>
      <w:tr w:rsidR="00387142" w:rsidRPr="008B6A75" w14:paraId="75219B7A" w14:textId="77777777" w:rsidTr="00387142">
        <w:trPr>
          <w:trHeight w:val="345"/>
        </w:trPr>
        <w:tc>
          <w:tcPr>
            <w:tcW w:w="3261" w:type="dxa"/>
            <w:tcBorders>
              <w:top w:val="nil"/>
              <w:left w:val="single" w:sz="4" w:space="0" w:color="auto"/>
              <w:bottom w:val="single" w:sz="4" w:space="0" w:color="auto"/>
              <w:right w:val="nil"/>
            </w:tcBorders>
            <w:shd w:val="clear" w:color="auto" w:fill="auto"/>
            <w:vAlign w:val="center"/>
            <w:hideMark/>
          </w:tcPr>
          <w:p w14:paraId="792D609D" w14:textId="77777777" w:rsidR="00387142" w:rsidRPr="008B6A75" w:rsidRDefault="00387142" w:rsidP="00387142">
            <w:pPr>
              <w:rPr>
                <w:bCs/>
                <w:sz w:val="20"/>
                <w:szCs w:val="20"/>
              </w:rPr>
            </w:pPr>
            <w:r w:rsidRPr="008B6A75">
              <w:rPr>
                <w:bCs/>
                <w:sz w:val="20"/>
                <w:szCs w:val="20"/>
              </w:rPr>
              <w:t>Непрограммные направления бюджета</w:t>
            </w:r>
          </w:p>
        </w:tc>
        <w:tc>
          <w:tcPr>
            <w:tcW w:w="720" w:type="dxa"/>
            <w:tcBorders>
              <w:top w:val="nil"/>
              <w:left w:val="single" w:sz="4" w:space="0" w:color="auto"/>
              <w:bottom w:val="single" w:sz="4" w:space="0" w:color="auto"/>
              <w:right w:val="nil"/>
            </w:tcBorders>
            <w:shd w:val="clear" w:color="auto" w:fill="auto"/>
            <w:noWrap/>
            <w:vAlign w:val="center"/>
            <w:hideMark/>
          </w:tcPr>
          <w:p w14:paraId="5CE051BB" w14:textId="77777777" w:rsidR="00387142" w:rsidRPr="008B6A75" w:rsidRDefault="00387142" w:rsidP="00387142">
            <w:pPr>
              <w:jc w:val="center"/>
              <w:rPr>
                <w:bCs/>
                <w:sz w:val="20"/>
                <w:szCs w:val="20"/>
              </w:rPr>
            </w:pPr>
            <w:r w:rsidRPr="008B6A75">
              <w:rPr>
                <w:bCs/>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4AC65F3" w14:textId="77777777" w:rsidR="00387142" w:rsidRPr="008B6A75" w:rsidRDefault="00387142" w:rsidP="00387142">
            <w:pPr>
              <w:jc w:val="center"/>
              <w:rPr>
                <w:bCs/>
                <w:sz w:val="20"/>
                <w:szCs w:val="20"/>
              </w:rPr>
            </w:pPr>
            <w:r w:rsidRPr="008B6A75">
              <w:rPr>
                <w:bCs/>
                <w:sz w:val="20"/>
                <w:szCs w:val="20"/>
              </w:rPr>
              <w:t>06</w:t>
            </w:r>
          </w:p>
        </w:tc>
        <w:tc>
          <w:tcPr>
            <w:tcW w:w="1516" w:type="dxa"/>
            <w:tcBorders>
              <w:top w:val="nil"/>
              <w:left w:val="single" w:sz="4" w:space="0" w:color="auto"/>
              <w:bottom w:val="single" w:sz="4" w:space="0" w:color="auto"/>
              <w:right w:val="nil"/>
            </w:tcBorders>
            <w:shd w:val="clear" w:color="auto" w:fill="auto"/>
            <w:noWrap/>
            <w:vAlign w:val="center"/>
            <w:hideMark/>
          </w:tcPr>
          <w:p w14:paraId="04CFEE27" w14:textId="77777777" w:rsidR="00387142" w:rsidRPr="008B6A75" w:rsidRDefault="00387142" w:rsidP="00387142">
            <w:pPr>
              <w:jc w:val="center"/>
              <w:rPr>
                <w:bCs/>
                <w:sz w:val="20"/>
                <w:szCs w:val="20"/>
              </w:rPr>
            </w:pPr>
            <w:r w:rsidRPr="008B6A75">
              <w:rPr>
                <w:bCs/>
                <w:sz w:val="20"/>
                <w:szCs w:val="20"/>
              </w:rPr>
              <w:t>99.0.00.00000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7EFFD99"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CE0AF9A" w14:textId="77777777" w:rsidR="00387142" w:rsidRPr="008B6A75" w:rsidRDefault="00387142" w:rsidP="00387142">
            <w:pPr>
              <w:jc w:val="right"/>
              <w:rPr>
                <w:bCs/>
                <w:sz w:val="20"/>
                <w:szCs w:val="20"/>
              </w:rPr>
            </w:pPr>
            <w:r w:rsidRPr="008B6A75">
              <w:rPr>
                <w:bCs/>
                <w:sz w:val="20"/>
                <w:szCs w:val="20"/>
              </w:rPr>
              <w:t>2 320 940,35</w:t>
            </w:r>
          </w:p>
        </w:tc>
        <w:tc>
          <w:tcPr>
            <w:tcW w:w="992" w:type="dxa"/>
            <w:tcBorders>
              <w:top w:val="nil"/>
              <w:left w:val="single" w:sz="4" w:space="0" w:color="auto"/>
              <w:bottom w:val="single" w:sz="4" w:space="0" w:color="auto"/>
              <w:right w:val="nil"/>
            </w:tcBorders>
            <w:shd w:val="clear" w:color="auto" w:fill="auto"/>
            <w:vAlign w:val="center"/>
            <w:hideMark/>
          </w:tcPr>
          <w:p w14:paraId="22BD5255" w14:textId="77777777" w:rsidR="00387142" w:rsidRPr="008B6A75" w:rsidRDefault="00387142" w:rsidP="00387142">
            <w:pPr>
              <w:jc w:val="right"/>
              <w:rPr>
                <w:bCs/>
                <w:sz w:val="20"/>
                <w:szCs w:val="20"/>
              </w:rPr>
            </w:pPr>
            <w:r w:rsidRPr="008B6A75">
              <w:rPr>
                <w:bCs/>
                <w:sz w:val="20"/>
                <w:szCs w:val="20"/>
              </w:rPr>
              <w:t>53 000,00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540C40DF" w14:textId="77777777" w:rsidR="00387142" w:rsidRPr="008B6A75" w:rsidRDefault="00387142" w:rsidP="00387142">
            <w:pPr>
              <w:jc w:val="right"/>
              <w:rPr>
                <w:bCs/>
                <w:sz w:val="20"/>
                <w:szCs w:val="20"/>
              </w:rPr>
            </w:pPr>
            <w:r w:rsidRPr="008B6A75">
              <w:rPr>
                <w:bCs/>
                <w:sz w:val="20"/>
                <w:szCs w:val="20"/>
              </w:rPr>
              <w:t>53 000,00</w:t>
            </w:r>
          </w:p>
        </w:tc>
      </w:tr>
      <w:tr w:rsidR="00387142" w:rsidRPr="008B6A75" w14:paraId="7D27B210" w14:textId="77777777" w:rsidTr="00387142">
        <w:trPr>
          <w:trHeight w:val="585"/>
        </w:trPr>
        <w:tc>
          <w:tcPr>
            <w:tcW w:w="3261" w:type="dxa"/>
            <w:tcBorders>
              <w:top w:val="nil"/>
              <w:left w:val="single" w:sz="4" w:space="0" w:color="auto"/>
              <w:bottom w:val="single" w:sz="4" w:space="0" w:color="auto"/>
              <w:right w:val="nil"/>
            </w:tcBorders>
            <w:shd w:val="clear" w:color="auto" w:fill="auto"/>
            <w:vAlign w:val="center"/>
            <w:hideMark/>
          </w:tcPr>
          <w:p w14:paraId="255689D0" w14:textId="77777777" w:rsidR="00387142" w:rsidRPr="008B6A75" w:rsidRDefault="00387142" w:rsidP="00387142">
            <w:pPr>
              <w:rPr>
                <w:bCs/>
                <w:sz w:val="20"/>
                <w:szCs w:val="20"/>
              </w:rPr>
            </w:pPr>
            <w:r w:rsidRPr="008B6A75">
              <w:rPr>
                <w:bCs/>
                <w:sz w:val="20"/>
                <w:szCs w:val="20"/>
              </w:rPr>
              <w:t>Расходы на обеспечение функций муниципальных органов</w:t>
            </w:r>
          </w:p>
        </w:tc>
        <w:tc>
          <w:tcPr>
            <w:tcW w:w="720" w:type="dxa"/>
            <w:tcBorders>
              <w:top w:val="nil"/>
              <w:left w:val="single" w:sz="4" w:space="0" w:color="auto"/>
              <w:bottom w:val="single" w:sz="4" w:space="0" w:color="auto"/>
              <w:right w:val="nil"/>
            </w:tcBorders>
            <w:shd w:val="clear" w:color="auto" w:fill="auto"/>
            <w:noWrap/>
            <w:vAlign w:val="center"/>
            <w:hideMark/>
          </w:tcPr>
          <w:p w14:paraId="03F1B906" w14:textId="77777777" w:rsidR="00387142" w:rsidRPr="008B6A75" w:rsidRDefault="00387142" w:rsidP="00387142">
            <w:pPr>
              <w:jc w:val="center"/>
              <w:rPr>
                <w:bCs/>
                <w:sz w:val="20"/>
                <w:szCs w:val="20"/>
              </w:rPr>
            </w:pPr>
            <w:r w:rsidRPr="008B6A75">
              <w:rPr>
                <w:bCs/>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B53C117" w14:textId="77777777" w:rsidR="00387142" w:rsidRPr="008B6A75" w:rsidRDefault="00387142" w:rsidP="00387142">
            <w:pPr>
              <w:jc w:val="center"/>
              <w:rPr>
                <w:bCs/>
                <w:sz w:val="20"/>
                <w:szCs w:val="20"/>
              </w:rPr>
            </w:pPr>
            <w:r w:rsidRPr="008B6A75">
              <w:rPr>
                <w:bCs/>
                <w:sz w:val="20"/>
                <w:szCs w:val="20"/>
              </w:rPr>
              <w:t>06</w:t>
            </w:r>
          </w:p>
        </w:tc>
        <w:tc>
          <w:tcPr>
            <w:tcW w:w="1516" w:type="dxa"/>
            <w:tcBorders>
              <w:top w:val="nil"/>
              <w:left w:val="single" w:sz="4" w:space="0" w:color="auto"/>
              <w:bottom w:val="single" w:sz="4" w:space="0" w:color="auto"/>
              <w:right w:val="nil"/>
            </w:tcBorders>
            <w:shd w:val="clear" w:color="auto" w:fill="auto"/>
            <w:noWrap/>
            <w:vAlign w:val="center"/>
            <w:hideMark/>
          </w:tcPr>
          <w:p w14:paraId="07238C1D" w14:textId="77777777" w:rsidR="00387142" w:rsidRPr="008B6A75" w:rsidRDefault="00387142" w:rsidP="00387142">
            <w:pPr>
              <w:jc w:val="center"/>
              <w:rPr>
                <w:bCs/>
                <w:sz w:val="20"/>
                <w:szCs w:val="20"/>
              </w:rPr>
            </w:pPr>
            <w:r w:rsidRPr="008B6A75">
              <w:rPr>
                <w:bCs/>
                <w:sz w:val="20"/>
                <w:szCs w:val="20"/>
              </w:rPr>
              <w:t>99.0.00.01400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9C2F8A4"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7C9B00D" w14:textId="77777777" w:rsidR="00387142" w:rsidRPr="008B6A75" w:rsidRDefault="00387142" w:rsidP="00387142">
            <w:pPr>
              <w:jc w:val="right"/>
              <w:rPr>
                <w:bCs/>
                <w:sz w:val="20"/>
                <w:szCs w:val="20"/>
              </w:rPr>
            </w:pPr>
            <w:r w:rsidRPr="008B6A75">
              <w:rPr>
                <w:bCs/>
                <w:sz w:val="20"/>
                <w:szCs w:val="20"/>
              </w:rPr>
              <w:t>2 212 412,61</w:t>
            </w:r>
          </w:p>
        </w:tc>
        <w:tc>
          <w:tcPr>
            <w:tcW w:w="992" w:type="dxa"/>
            <w:tcBorders>
              <w:top w:val="nil"/>
              <w:left w:val="single" w:sz="4" w:space="0" w:color="auto"/>
              <w:bottom w:val="single" w:sz="4" w:space="0" w:color="auto"/>
              <w:right w:val="nil"/>
            </w:tcBorders>
            <w:shd w:val="clear" w:color="auto" w:fill="auto"/>
            <w:vAlign w:val="center"/>
            <w:hideMark/>
          </w:tcPr>
          <w:p w14:paraId="1F73C1F5" w14:textId="77777777" w:rsidR="00387142" w:rsidRPr="008B6A75" w:rsidRDefault="00387142" w:rsidP="00387142">
            <w:pPr>
              <w:jc w:val="right"/>
              <w:rPr>
                <w:bCs/>
                <w:sz w:val="20"/>
                <w:szCs w:val="20"/>
              </w:rPr>
            </w:pPr>
            <w:r w:rsidRPr="008B6A75">
              <w:rPr>
                <w:bCs/>
                <w:sz w:val="20"/>
                <w:szCs w:val="20"/>
              </w:rPr>
              <w:t>53 000,00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36E4A8AC" w14:textId="77777777" w:rsidR="00387142" w:rsidRPr="008B6A75" w:rsidRDefault="00387142" w:rsidP="00387142">
            <w:pPr>
              <w:jc w:val="right"/>
              <w:rPr>
                <w:bCs/>
                <w:sz w:val="20"/>
                <w:szCs w:val="20"/>
              </w:rPr>
            </w:pPr>
            <w:r w:rsidRPr="008B6A75">
              <w:rPr>
                <w:bCs/>
                <w:sz w:val="20"/>
                <w:szCs w:val="20"/>
              </w:rPr>
              <w:t>53 000,00</w:t>
            </w:r>
          </w:p>
        </w:tc>
      </w:tr>
      <w:tr w:rsidR="00387142" w:rsidRPr="008B6A75" w14:paraId="7BF0634F" w14:textId="77777777" w:rsidTr="00387142">
        <w:trPr>
          <w:trHeight w:val="1440"/>
        </w:trPr>
        <w:tc>
          <w:tcPr>
            <w:tcW w:w="3261" w:type="dxa"/>
            <w:tcBorders>
              <w:top w:val="nil"/>
              <w:left w:val="single" w:sz="4" w:space="0" w:color="auto"/>
              <w:bottom w:val="single" w:sz="4" w:space="0" w:color="auto"/>
              <w:right w:val="nil"/>
            </w:tcBorders>
            <w:shd w:val="clear" w:color="auto" w:fill="auto"/>
            <w:vAlign w:val="center"/>
            <w:hideMark/>
          </w:tcPr>
          <w:p w14:paraId="76E6F902" w14:textId="77777777" w:rsidR="00387142" w:rsidRPr="008B6A75" w:rsidRDefault="00387142" w:rsidP="00387142">
            <w:pPr>
              <w:rPr>
                <w:sz w:val="20"/>
                <w:szCs w:val="20"/>
              </w:rPr>
            </w:pPr>
            <w:r w:rsidRPr="008B6A7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14:paraId="15EBC2D5" w14:textId="77777777" w:rsidR="00387142" w:rsidRPr="008B6A75" w:rsidRDefault="00387142" w:rsidP="00387142">
            <w:pPr>
              <w:jc w:val="center"/>
              <w:rPr>
                <w:sz w:val="20"/>
                <w:szCs w:val="20"/>
              </w:rPr>
            </w:pPr>
            <w:r w:rsidRPr="008B6A75">
              <w:rPr>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09E17A9" w14:textId="77777777" w:rsidR="00387142" w:rsidRPr="008B6A75" w:rsidRDefault="00387142" w:rsidP="00387142">
            <w:pPr>
              <w:jc w:val="center"/>
              <w:rPr>
                <w:sz w:val="20"/>
                <w:szCs w:val="20"/>
              </w:rPr>
            </w:pPr>
            <w:r w:rsidRPr="008B6A75">
              <w:rPr>
                <w:sz w:val="20"/>
                <w:szCs w:val="20"/>
              </w:rPr>
              <w:t>06</w:t>
            </w:r>
          </w:p>
        </w:tc>
        <w:tc>
          <w:tcPr>
            <w:tcW w:w="1516" w:type="dxa"/>
            <w:tcBorders>
              <w:top w:val="nil"/>
              <w:left w:val="single" w:sz="4" w:space="0" w:color="auto"/>
              <w:bottom w:val="single" w:sz="4" w:space="0" w:color="auto"/>
              <w:right w:val="nil"/>
            </w:tcBorders>
            <w:shd w:val="clear" w:color="auto" w:fill="auto"/>
            <w:noWrap/>
            <w:vAlign w:val="center"/>
            <w:hideMark/>
          </w:tcPr>
          <w:p w14:paraId="1BFE5D4D" w14:textId="77777777" w:rsidR="00387142" w:rsidRPr="008B6A75" w:rsidRDefault="00387142" w:rsidP="00387142">
            <w:pPr>
              <w:jc w:val="center"/>
              <w:rPr>
                <w:sz w:val="20"/>
                <w:szCs w:val="20"/>
              </w:rPr>
            </w:pPr>
            <w:r w:rsidRPr="008B6A75">
              <w:rPr>
                <w:sz w:val="20"/>
                <w:szCs w:val="20"/>
              </w:rPr>
              <w:t>99.0.00.01400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84E2193" w14:textId="77777777" w:rsidR="00387142" w:rsidRPr="008B6A75" w:rsidRDefault="00387142" w:rsidP="00387142">
            <w:pPr>
              <w:jc w:val="center"/>
              <w:rPr>
                <w:sz w:val="20"/>
                <w:szCs w:val="20"/>
              </w:rPr>
            </w:pPr>
            <w:r w:rsidRPr="008B6A75">
              <w:rPr>
                <w:sz w:val="20"/>
                <w:szCs w:val="20"/>
              </w:rPr>
              <w:t>100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86ACCA2" w14:textId="77777777" w:rsidR="00387142" w:rsidRPr="008B6A75" w:rsidRDefault="00387142" w:rsidP="00387142">
            <w:pPr>
              <w:jc w:val="right"/>
              <w:rPr>
                <w:sz w:val="20"/>
                <w:szCs w:val="20"/>
              </w:rPr>
            </w:pPr>
            <w:r w:rsidRPr="008B6A75">
              <w:rPr>
                <w:sz w:val="20"/>
                <w:szCs w:val="20"/>
              </w:rPr>
              <w:t>2 172 656,61</w:t>
            </w:r>
          </w:p>
        </w:tc>
        <w:tc>
          <w:tcPr>
            <w:tcW w:w="992" w:type="dxa"/>
            <w:tcBorders>
              <w:top w:val="nil"/>
              <w:left w:val="single" w:sz="4" w:space="0" w:color="auto"/>
              <w:bottom w:val="single" w:sz="4" w:space="0" w:color="auto"/>
              <w:right w:val="nil"/>
            </w:tcBorders>
            <w:shd w:val="clear" w:color="auto" w:fill="auto"/>
            <w:vAlign w:val="center"/>
            <w:hideMark/>
          </w:tcPr>
          <w:p w14:paraId="74394096" w14:textId="77777777" w:rsidR="00387142" w:rsidRPr="008B6A75" w:rsidRDefault="00387142" w:rsidP="00387142">
            <w:pPr>
              <w:jc w:val="right"/>
              <w:rPr>
                <w:sz w:val="20"/>
                <w:szCs w:val="20"/>
              </w:rPr>
            </w:pPr>
            <w:r w:rsidRPr="008B6A75">
              <w:rPr>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536F9D3F" w14:textId="77777777" w:rsidR="00387142" w:rsidRPr="008B6A75" w:rsidRDefault="00387142" w:rsidP="00387142">
            <w:pPr>
              <w:jc w:val="right"/>
              <w:rPr>
                <w:sz w:val="20"/>
                <w:szCs w:val="20"/>
              </w:rPr>
            </w:pPr>
            <w:r w:rsidRPr="008B6A75">
              <w:rPr>
                <w:sz w:val="20"/>
                <w:szCs w:val="20"/>
              </w:rPr>
              <w:t>0,00</w:t>
            </w:r>
          </w:p>
        </w:tc>
      </w:tr>
      <w:tr w:rsidR="00387142" w:rsidRPr="008B6A75" w14:paraId="7201FA98" w14:textId="77777777" w:rsidTr="00387142">
        <w:trPr>
          <w:trHeight w:val="585"/>
        </w:trPr>
        <w:tc>
          <w:tcPr>
            <w:tcW w:w="3261" w:type="dxa"/>
            <w:tcBorders>
              <w:top w:val="nil"/>
              <w:left w:val="single" w:sz="4" w:space="0" w:color="auto"/>
              <w:bottom w:val="single" w:sz="4" w:space="0" w:color="auto"/>
              <w:right w:val="nil"/>
            </w:tcBorders>
            <w:shd w:val="clear" w:color="auto" w:fill="auto"/>
            <w:vAlign w:val="center"/>
            <w:hideMark/>
          </w:tcPr>
          <w:p w14:paraId="501EBD57" w14:textId="77777777" w:rsidR="00387142" w:rsidRPr="008B6A75" w:rsidRDefault="00387142" w:rsidP="00387142">
            <w:pPr>
              <w:rPr>
                <w:sz w:val="20"/>
                <w:szCs w:val="20"/>
              </w:rPr>
            </w:pPr>
            <w:r w:rsidRPr="008B6A75">
              <w:rPr>
                <w:sz w:val="20"/>
                <w:szCs w:val="20"/>
              </w:rPr>
              <w:t>Расходы на выплаты персоналу государственных (муниципальных) органов</w:t>
            </w:r>
          </w:p>
        </w:tc>
        <w:tc>
          <w:tcPr>
            <w:tcW w:w="720" w:type="dxa"/>
            <w:tcBorders>
              <w:top w:val="nil"/>
              <w:left w:val="single" w:sz="4" w:space="0" w:color="auto"/>
              <w:bottom w:val="single" w:sz="4" w:space="0" w:color="auto"/>
              <w:right w:val="nil"/>
            </w:tcBorders>
            <w:shd w:val="clear" w:color="auto" w:fill="auto"/>
            <w:noWrap/>
            <w:vAlign w:val="center"/>
            <w:hideMark/>
          </w:tcPr>
          <w:p w14:paraId="4652A552" w14:textId="77777777" w:rsidR="00387142" w:rsidRPr="008B6A75" w:rsidRDefault="00387142" w:rsidP="00387142">
            <w:pPr>
              <w:jc w:val="center"/>
              <w:rPr>
                <w:sz w:val="20"/>
                <w:szCs w:val="20"/>
              </w:rPr>
            </w:pPr>
            <w:r w:rsidRPr="008B6A75">
              <w:rPr>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B9D1826" w14:textId="77777777" w:rsidR="00387142" w:rsidRPr="008B6A75" w:rsidRDefault="00387142" w:rsidP="00387142">
            <w:pPr>
              <w:jc w:val="center"/>
              <w:rPr>
                <w:sz w:val="20"/>
                <w:szCs w:val="20"/>
              </w:rPr>
            </w:pPr>
            <w:r w:rsidRPr="008B6A75">
              <w:rPr>
                <w:sz w:val="20"/>
                <w:szCs w:val="20"/>
              </w:rPr>
              <w:t>06</w:t>
            </w:r>
          </w:p>
        </w:tc>
        <w:tc>
          <w:tcPr>
            <w:tcW w:w="1516" w:type="dxa"/>
            <w:tcBorders>
              <w:top w:val="nil"/>
              <w:left w:val="single" w:sz="4" w:space="0" w:color="auto"/>
              <w:bottom w:val="single" w:sz="4" w:space="0" w:color="auto"/>
              <w:right w:val="nil"/>
            </w:tcBorders>
            <w:shd w:val="clear" w:color="auto" w:fill="auto"/>
            <w:noWrap/>
            <w:vAlign w:val="center"/>
            <w:hideMark/>
          </w:tcPr>
          <w:p w14:paraId="04B45016" w14:textId="77777777" w:rsidR="00387142" w:rsidRPr="008B6A75" w:rsidRDefault="00387142" w:rsidP="00387142">
            <w:pPr>
              <w:jc w:val="center"/>
              <w:rPr>
                <w:sz w:val="20"/>
                <w:szCs w:val="20"/>
              </w:rPr>
            </w:pPr>
            <w:r w:rsidRPr="008B6A75">
              <w:rPr>
                <w:sz w:val="20"/>
                <w:szCs w:val="20"/>
              </w:rPr>
              <w:t>99.0.00.01400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4710D39" w14:textId="77777777" w:rsidR="00387142" w:rsidRPr="008B6A75" w:rsidRDefault="00387142" w:rsidP="00387142">
            <w:pPr>
              <w:jc w:val="center"/>
              <w:rPr>
                <w:sz w:val="20"/>
                <w:szCs w:val="20"/>
              </w:rPr>
            </w:pPr>
            <w:r w:rsidRPr="008B6A75">
              <w:rPr>
                <w:sz w:val="20"/>
                <w:szCs w:val="20"/>
              </w:rPr>
              <w:t>120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0150425" w14:textId="77777777" w:rsidR="00387142" w:rsidRPr="008B6A75" w:rsidRDefault="00387142" w:rsidP="00387142">
            <w:pPr>
              <w:jc w:val="right"/>
              <w:rPr>
                <w:sz w:val="20"/>
                <w:szCs w:val="20"/>
              </w:rPr>
            </w:pPr>
            <w:r w:rsidRPr="008B6A75">
              <w:rPr>
                <w:sz w:val="20"/>
                <w:szCs w:val="20"/>
              </w:rPr>
              <w:t>2 172 656,61</w:t>
            </w:r>
          </w:p>
        </w:tc>
        <w:tc>
          <w:tcPr>
            <w:tcW w:w="992" w:type="dxa"/>
            <w:tcBorders>
              <w:top w:val="nil"/>
              <w:left w:val="single" w:sz="4" w:space="0" w:color="auto"/>
              <w:bottom w:val="single" w:sz="4" w:space="0" w:color="auto"/>
              <w:right w:val="nil"/>
            </w:tcBorders>
            <w:shd w:val="clear" w:color="auto" w:fill="auto"/>
            <w:vAlign w:val="center"/>
            <w:hideMark/>
          </w:tcPr>
          <w:p w14:paraId="514CE15F" w14:textId="77777777" w:rsidR="00387142" w:rsidRPr="008B6A75" w:rsidRDefault="00387142" w:rsidP="00387142">
            <w:pPr>
              <w:jc w:val="right"/>
              <w:rPr>
                <w:sz w:val="20"/>
                <w:szCs w:val="20"/>
              </w:rPr>
            </w:pPr>
            <w:r w:rsidRPr="008B6A75">
              <w:rPr>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0D6EE2DD" w14:textId="77777777" w:rsidR="00387142" w:rsidRPr="008B6A75" w:rsidRDefault="00387142" w:rsidP="00387142">
            <w:pPr>
              <w:jc w:val="right"/>
              <w:rPr>
                <w:sz w:val="20"/>
                <w:szCs w:val="20"/>
              </w:rPr>
            </w:pPr>
            <w:r w:rsidRPr="008B6A75">
              <w:rPr>
                <w:sz w:val="20"/>
                <w:szCs w:val="20"/>
              </w:rPr>
              <w:t>0,00</w:t>
            </w:r>
          </w:p>
        </w:tc>
      </w:tr>
      <w:tr w:rsidR="00387142" w:rsidRPr="008B6A75" w14:paraId="17B120D7" w14:textId="77777777" w:rsidTr="00387142">
        <w:trPr>
          <w:trHeight w:val="585"/>
        </w:trPr>
        <w:tc>
          <w:tcPr>
            <w:tcW w:w="3261" w:type="dxa"/>
            <w:tcBorders>
              <w:top w:val="nil"/>
              <w:left w:val="single" w:sz="4" w:space="0" w:color="auto"/>
              <w:bottom w:val="single" w:sz="4" w:space="0" w:color="auto"/>
              <w:right w:val="nil"/>
            </w:tcBorders>
            <w:shd w:val="clear" w:color="auto" w:fill="auto"/>
            <w:vAlign w:val="center"/>
            <w:hideMark/>
          </w:tcPr>
          <w:p w14:paraId="50F78FE8" w14:textId="77777777" w:rsidR="00387142" w:rsidRPr="008B6A75" w:rsidRDefault="00387142" w:rsidP="00387142">
            <w:pPr>
              <w:rPr>
                <w:sz w:val="20"/>
                <w:szCs w:val="20"/>
              </w:rPr>
            </w:pPr>
            <w:r w:rsidRPr="008B6A75">
              <w:rPr>
                <w:sz w:val="20"/>
                <w:szCs w:val="20"/>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44588655" w14:textId="77777777" w:rsidR="00387142" w:rsidRPr="008B6A75" w:rsidRDefault="00387142" w:rsidP="00387142">
            <w:pPr>
              <w:jc w:val="center"/>
              <w:rPr>
                <w:sz w:val="20"/>
                <w:szCs w:val="20"/>
              </w:rPr>
            </w:pPr>
            <w:r w:rsidRPr="008B6A75">
              <w:rPr>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326368F" w14:textId="77777777" w:rsidR="00387142" w:rsidRPr="008B6A75" w:rsidRDefault="00387142" w:rsidP="00387142">
            <w:pPr>
              <w:jc w:val="center"/>
              <w:rPr>
                <w:sz w:val="20"/>
                <w:szCs w:val="20"/>
              </w:rPr>
            </w:pPr>
            <w:r w:rsidRPr="008B6A75">
              <w:rPr>
                <w:sz w:val="20"/>
                <w:szCs w:val="20"/>
              </w:rPr>
              <w:t>06</w:t>
            </w:r>
          </w:p>
        </w:tc>
        <w:tc>
          <w:tcPr>
            <w:tcW w:w="1516" w:type="dxa"/>
            <w:tcBorders>
              <w:top w:val="nil"/>
              <w:left w:val="single" w:sz="4" w:space="0" w:color="auto"/>
              <w:bottom w:val="single" w:sz="4" w:space="0" w:color="auto"/>
              <w:right w:val="nil"/>
            </w:tcBorders>
            <w:shd w:val="clear" w:color="auto" w:fill="auto"/>
            <w:noWrap/>
            <w:vAlign w:val="center"/>
            <w:hideMark/>
          </w:tcPr>
          <w:p w14:paraId="3C07D0F5" w14:textId="77777777" w:rsidR="00387142" w:rsidRPr="008B6A75" w:rsidRDefault="00387142" w:rsidP="00387142">
            <w:pPr>
              <w:jc w:val="center"/>
              <w:rPr>
                <w:sz w:val="20"/>
                <w:szCs w:val="20"/>
              </w:rPr>
            </w:pPr>
            <w:r w:rsidRPr="008B6A75">
              <w:rPr>
                <w:sz w:val="20"/>
                <w:szCs w:val="20"/>
              </w:rPr>
              <w:t>99.0.00.01400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2E82C03" w14:textId="77777777" w:rsidR="00387142" w:rsidRPr="008B6A75" w:rsidRDefault="00387142" w:rsidP="00387142">
            <w:pPr>
              <w:jc w:val="center"/>
              <w:rPr>
                <w:sz w:val="20"/>
                <w:szCs w:val="20"/>
              </w:rPr>
            </w:pPr>
            <w:r w:rsidRPr="008B6A75">
              <w:rPr>
                <w:sz w:val="20"/>
                <w:szCs w:val="20"/>
              </w:rPr>
              <w:t>200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FED1CDE" w14:textId="77777777" w:rsidR="00387142" w:rsidRPr="008B6A75" w:rsidRDefault="00387142" w:rsidP="00387142">
            <w:pPr>
              <w:jc w:val="right"/>
              <w:rPr>
                <w:sz w:val="20"/>
                <w:szCs w:val="20"/>
              </w:rPr>
            </w:pPr>
            <w:r w:rsidRPr="008B6A75">
              <w:rPr>
                <w:sz w:val="20"/>
                <w:szCs w:val="20"/>
              </w:rPr>
              <w:t>39 756,00</w:t>
            </w:r>
          </w:p>
        </w:tc>
        <w:tc>
          <w:tcPr>
            <w:tcW w:w="992" w:type="dxa"/>
            <w:tcBorders>
              <w:top w:val="nil"/>
              <w:left w:val="single" w:sz="4" w:space="0" w:color="auto"/>
              <w:bottom w:val="single" w:sz="4" w:space="0" w:color="auto"/>
              <w:right w:val="nil"/>
            </w:tcBorders>
            <w:shd w:val="clear" w:color="auto" w:fill="auto"/>
            <w:vAlign w:val="center"/>
            <w:hideMark/>
          </w:tcPr>
          <w:p w14:paraId="7679702C" w14:textId="77777777" w:rsidR="00387142" w:rsidRPr="008B6A75" w:rsidRDefault="00387142" w:rsidP="00387142">
            <w:pPr>
              <w:jc w:val="right"/>
              <w:rPr>
                <w:sz w:val="20"/>
                <w:szCs w:val="20"/>
              </w:rPr>
            </w:pPr>
            <w:r w:rsidRPr="008B6A75">
              <w:rPr>
                <w:sz w:val="20"/>
                <w:szCs w:val="20"/>
              </w:rPr>
              <w:t>53 000,00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2BD14E2F" w14:textId="77777777" w:rsidR="00387142" w:rsidRPr="008B6A75" w:rsidRDefault="00387142" w:rsidP="00387142">
            <w:pPr>
              <w:jc w:val="right"/>
              <w:rPr>
                <w:sz w:val="20"/>
                <w:szCs w:val="20"/>
              </w:rPr>
            </w:pPr>
            <w:r w:rsidRPr="008B6A75">
              <w:rPr>
                <w:sz w:val="20"/>
                <w:szCs w:val="20"/>
              </w:rPr>
              <w:t>53 000,00</w:t>
            </w:r>
          </w:p>
        </w:tc>
      </w:tr>
      <w:tr w:rsidR="00387142" w:rsidRPr="008B6A75" w14:paraId="2F11E3F5" w14:textId="77777777" w:rsidTr="00387142">
        <w:trPr>
          <w:trHeight w:val="870"/>
        </w:trPr>
        <w:tc>
          <w:tcPr>
            <w:tcW w:w="3261" w:type="dxa"/>
            <w:tcBorders>
              <w:top w:val="nil"/>
              <w:left w:val="single" w:sz="4" w:space="0" w:color="auto"/>
              <w:bottom w:val="single" w:sz="4" w:space="0" w:color="auto"/>
              <w:right w:val="nil"/>
            </w:tcBorders>
            <w:shd w:val="clear" w:color="auto" w:fill="auto"/>
            <w:vAlign w:val="center"/>
            <w:hideMark/>
          </w:tcPr>
          <w:p w14:paraId="0145A1B0" w14:textId="77777777" w:rsidR="00387142" w:rsidRPr="008B6A75" w:rsidRDefault="00387142" w:rsidP="00387142">
            <w:pPr>
              <w:rPr>
                <w:sz w:val="20"/>
                <w:szCs w:val="20"/>
              </w:rPr>
            </w:pPr>
            <w:r w:rsidRPr="008B6A75">
              <w:rPr>
                <w:sz w:val="20"/>
                <w:szCs w:val="20"/>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67589EA6" w14:textId="77777777" w:rsidR="00387142" w:rsidRPr="008B6A75" w:rsidRDefault="00387142" w:rsidP="00387142">
            <w:pPr>
              <w:jc w:val="center"/>
              <w:rPr>
                <w:sz w:val="20"/>
                <w:szCs w:val="20"/>
              </w:rPr>
            </w:pPr>
            <w:r w:rsidRPr="008B6A75">
              <w:rPr>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DCB2B9C" w14:textId="77777777" w:rsidR="00387142" w:rsidRPr="008B6A75" w:rsidRDefault="00387142" w:rsidP="00387142">
            <w:pPr>
              <w:jc w:val="center"/>
              <w:rPr>
                <w:sz w:val="20"/>
                <w:szCs w:val="20"/>
              </w:rPr>
            </w:pPr>
            <w:r w:rsidRPr="008B6A75">
              <w:rPr>
                <w:sz w:val="20"/>
                <w:szCs w:val="20"/>
              </w:rPr>
              <w:t>06</w:t>
            </w:r>
          </w:p>
        </w:tc>
        <w:tc>
          <w:tcPr>
            <w:tcW w:w="1516" w:type="dxa"/>
            <w:tcBorders>
              <w:top w:val="nil"/>
              <w:left w:val="single" w:sz="4" w:space="0" w:color="auto"/>
              <w:bottom w:val="single" w:sz="4" w:space="0" w:color="auto"/>
              <w:right w:val="nil"/>
            </w:tcBorders>
            <w:shd w:val="clear" w:color="auto" w:fill="auto"/>
            <w:noWrap/>
            <w:vAlign w:val="center"/>
            <w:hideMark/>
          </w:tcPr>
          <w:p w14:paraId="0654D4CB" w14:textId="77777777" w:rsidR="00387142" w:rsidRPr="008B6A75" w:rsidRDefault="00387142" w:rsidP="00387142">
            <w:pPr>
              <w:jc w:val="center"/>
              <w:rPr>
                <w:sz w:val="20"/>
                <w:szCs w:val="20"/>
              </w:rPr>
            </w:pPr>
            <w:r w:rsidRPr="008B6A75">
              <w:rPr>
                <w:sz w:val="20"/>
                <w:szCs w:val="20"/>
              </w:rPr>
              <w:t>99.0.00.01400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F743068" w14:textId="77777777" w:rsidR="00387142" w:rsidRPr="008B6A75" w:rsidRDefault="00387142" w:rsidP="00387142">
            <w:pPr>
              <w:jc w:val="center"/>
              <w:rPr>
                <w:sz w:val="20"/>
                <w:szCs w:val="20"/>
              </w:rPr>
            </w:pPr>
            <w:r w:rsidRPr="008B6A75">
              <w:rPr>
                <w:sz w:val="20"/>
                <w:szCs w:val="20"/>
              </w:rPr>
              <w:t>240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771FC9F" w14:textId="77777777" w:rsidR="00387142" w:rsidRPr="008B6A75" w:rsidRDefault="00387142" w:rsidP="00387142">
            <w:pPr>
              <w:jc w:val="right"/>
              <w:rPr>
                <w:sz w:val="20"/>
                <w:szCs w:val="20"/>
              </w:rPr>
            </w:pPr>
            <w:r w:rsidRPr="008B6A75">
              <w:rPr>
                <w:sz w:val="20"/>
                <w:szCs w:val="20"/>
              </w:rPr>
              <w:t>39 756,00</w:t>
            </w:r>
          </w:p>
        </w:tc>
        <w:tc>
          <w:tcPr>
            <w:tcW w:w="992" w:type="dxa"/>
            <w:tcBorders>
              <w:top w:val="nil"/>
              <w:left w:val="single" w:sz="4" w:space="0" w:color="auto"/>
              <w:bottom w:val="single" w:sz="4" w:space="0" w:color="auto"/>
              <w:right w:val="nil"/>
            </w:tcBorders>
            <w:shd w:val="clear" w:color="auto" w:fill="auto"/>
            <w:vAlign w:val="center"/>
            <w:hideMark/>
          </w:tcPr>
          <w:p w14:paraId="5AF51688" w14:textId="77777777" w:rsidR="00387142" w:rsidRPr="008B6A75" w:rsidRDefault="00387142" w:rsidP="00387142">
            <w:pPr>
              <w:jc w:val="right"/>
              <w:rPr>
                <w:sz w:val="20"/>
                <w:szCs w:val="20"/>
              </w:rPr>
            </w:pPr>
            <w:r w:rsidRPr="008B6A75">
              <w:rPr>
                <w:sz w:val="20"/>
                <w:szCs w:val="20"/>
              </w:rPr>
              <w:t>53 000,00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076E5725" w14:textId="77777777" w:rsidR="00387142" w:rsidRPr="008B6A75" w:rsidRDefault="00387142" w:rsidP="00387142">
            <w:pPr>
              <w:jc w:val="right"/>
              <w:rPr>
                <w:sz w:val="20"/>
                <w:szCs w:val="20"/>
              </w:rPr>
            </w:pPr>
            <w:r w:rsidRPr="008B6A75">
              <w:rPr>
                <w:sz w:val="20"/>
                <w:szCs w:val="20"/>
              </w:rPr>
              <w:t>53 000,00</w:t>
            </w:r>
          </w:p>
        </w:tc>
      </w:tr>
      <w:tr w:rsidR="00387142" w:rsidRPr="008B6A75" w14:paraId="289F4C21" w14:textId="77777777" w:rsidTr="00387142">
        <w:trPr>
          <w:trHeight w:val="1440"/>
        </w:trPr>
        <w:tc>
          <w:tcPr>
            <w:tcW w:w="3261" w:type="dxa"/>
            <w:tcBorders>
              <w:top w:val="nil"/>
              <w:left w:val="single" w:sz="4" w:space="0" w:color="auto"/>
              <w:bottom w:val="single" w:sz="4" w:space="0" w:color="auto"/>
              <w:right w:val="nil"/>
            </w:tcBorders>
            <w:shd w:val="clear" w:color="auto" w:fill="auto"/>
            <w:vAlign w:val="center"/>
            <w:hideMark/>
          </w:tcPr>
          <w:p w14:paraId="5C630CB6" w14:textId="77777777" w:rsidR="00387142" w:rsidRPr="008B6A75" w:rsidRDefault="00387142" w:rsidP="00387142">
            <w:pPr>
              <w:rPr>
                <w:bCs/>
                <w:sz w:val="20"/>
                <w:szCs w:val="20"/>
              </w:rPr>
            </w:pPr>
            <w:r w:rsidRPr="008B6A75">
              <w:rPr>
                <w:bCs/>
                <w:sz w:val="20"/>
                <w:szCs w:val="20"/>
              </w:rPr>
              <w:lastRenderedPageBreak/>
              <w:t xml:space="preserve">Реализация мероприятий по обеспечению сбалансированности местных </w:t>
            </w:r>
            <w:proofErr w:type="gramStart"/>
            <w:r w:rsidRPr="008B6A75">
              <w:rPr>
                <w:bCs/>
                <w:sz w:val="20"/>
                <w:szCs w:val="20"/>
              </w:rPr>
              <w:t>бюджетов  государственной</w:t>
            </w:r>
            <w:proofErr w:type="gramEnd"/>
            <w:r w:rsidRPr="008B6A75">
              <w:rPr>
                <w:bCs/>
                <w:sz w:val="20"/>
                <w:szCs w:val="20"/>
              </w:rPr>
              <w:t xml:space="preserve"> программы Новосибирской области "Управление  финансами в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14:paraId="5EEB92BC" w14:textId="77777777" w:rsidR="00387142" w:rsidRPr="008B6A75" w:rsidRDefault="00387142" w:rsidP="00387142">
            <w:pPr>
              <w:jc w:val="center"/>
              <w:rPr>
                <w:bCs/>
                <w:sz w:val="20"/>
                <w:szCs w:val="20"/>
              </w:rPr>
            </w:pPr>
            <w:r w:rsidRPr="008B6A75">
              <w:rPr>
                <w:bCs/>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E69105D" w14:textId="77777777" w:rsidR="00387142" w:rsidRPr="008B6A75" w:rsidRDefault="00387142" w:rsidP="00387142">
            <w:pPr>
              <w:jc w:val="center"/>
              <w:rPr>
                <w:bCs/>
                <w:sz w:val="20"/>
                <w:szCs w:val="20"/>
              </w:rPr>
            </w:pPr>
            <w:r w:rsidRPr="008B6A75">
              <w:rPr>
                <w:bCs/>
                <w:sz w:val="20"/>
                <w:szCs w:val="20"/>
              </w:rPr>
              <w:t>06</w:t>
            </w:r>
          </w:p>
        </w:tc>
        <w:tc>
          <w:tcPr>
            <w:tcW w:w="1516" w:type="dxa"/>
            <w:tcBorders>
              <w:top w:val="nil"/>
              <w:left w:val="single" w:sz="4" w:space="0" w:color="auto"/>
              <w:bottom w:val="single" w:sz="4" w:space="0" w:color="auto"/>
              <w:right w:val="nil"/>
            </w:tcBorders>
            <w:shd w:val="clear" w:color="auto" w:fill="auto"/>
            <w:noWrap/>
            <w:vAlign w:val="center"/>
            <w:hideMark/>
          </w:tcPr>
          <w:p w14:paraId="6FA57FFF" w14:textId="77777777" w:rsidR="00387142" w:rsidRPr="008B6A75" w:rsidRDefault="00387142" w:rsidP="00387142">
            <w:pPr>
              <w:jc w:val="center"/>
              <w:rPr>
                <w:bCs/>
                <w:sz w:val="20"/>
                <w:szCs w:val="20"/>
              </w:rPr>
            </w:pPr>
            <w:r w:rsidRPr="008B6A75">
              <w:rPr>
                <w:bCs/>
                <w:sz w:val="20"/>
                <w:szCs w:val="20"/>
              </w:rPr>
              <w:t>99.0.00.70510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B2C4D07"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D93D4E5" w14:textId="77777777" w:rsidR="00387142" w:rsidRPr="008B6A75" w:rsidRDefault="00387142" w:rsidP="00387142">
            <w:pPr>
              <w:jc w:val="right"/>
              <w:rPr>
                <w:bCs/>
                <w:sz w:val="20"/>
                <w:szCs w:val="20"/>
              </w:rPr>
            </w:pPr>
            <w:r w:rsidRPr="008B6A75">
              <w:rPr>
                <w:bCs/>
                <w:sz w:val="20"/>
                <w:szCs w:val="20"/>
              </w:rPr>
              <w:t>108 527,74</w:t>
            </w:r>
          </w:p>
        </w:tc>
        <w:tc>
          <w:tcPr>
            <w:tcW w:w="992" w:type="dxa"/>
            <w:tcBorders>
              <w:top w:val="nil"/>
              <w:left w:val="single" w:sz="4" w:space="0" w:color="auto"/>
              <w:bottom w:val="single" w:sz="4" w:space="0" w:color="auto"/>
              <w:right w:val="nil"/>
            </w:tcBorders>
            <w:shd w:val="clear" w:color="auto" w:fill="auto"/>
            <w:vAlign w:val="center"/>
            <w:hideMark/>
          </w:tcPr>
          <w:p w14:paraId="1B5B1662" w14:textId="77777777" w:rsidR="00387142" w:rsidRPr="008B6A75" w:rsidRDefault="00387142" w:rsidP="00387142">
            <w:pPr>
              <w:jc w:val="right"/>
              <w:rPr>
                <w:bCs/>
                <w:sz w:val="20"/>
                <w:szCs w:val="20"/>
              </w:rPr>
            </w:pPr>
            <w:r w:rsidRPr="008B6A75">
              <w:rPr>
                <w:bCs/>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10766221" w14:textId="77777777" w:rsidR="00387142" w:rsidRPr="008B6A75" w:rsidRDefault="00387142" w:rsidP="00387142">
            <w:pPr>
              <w:jc w:val="right"/>
              <w:rPr>
                <w:bCs/>
                <w:sz w:val="20"/>
                <w:szCs w:val="20"/>
              </w:rPr>
            </w:pPr>
            <w:r w:rsidRPr="008B6A75">
              <w:rPr>
                <w:bCs/>
                <w:sz w:val="20"/>
                <w:szCs w:val="20"/>
              </w:rPr>
              <w:t>0,00</w:t>
            </w:r>
          </w:p>
        </w:tc>
      </w:tr>
      <w:tr w:rsidR="00387142" w:rsidRPr="008B6A75" w14:paraId="62A83267" w14:textId="77777777" w:rsidTr="00387142">
        <w:trPr>
          <w:trHeight w:val="1440"/>
        </w:trPr>
        <w:tc>
          <w:tcPr>
            <w:tcW w:w="3261" w:type="dxa"/>
            <w:tcBorders>
              <w:top w:val="nil"/>
              <w:left w:val="single" w:sz="4" w:space="0" w:color="auto"/>
              <w:bottom w:val="single" w:sz="4" w:space="0" w:color="auto"/>
              <w:right w:val="nil"/>
            </w:tcBorders>
            <w:shd w:val="clear" w:color="auto" w:fill="auto"/>
            <w:vAlign w:val="center"/>
            <w:hideMark/>
          </w:tcPr>
          <w:p w14:paraId="0238540D" w14:textId="77777777" w:rsidR="00387142" w:rsidRPr="008B6A75" w:rsidRDefault="00387142" w:rsidP="00387142">
            <w:pPr>
              <w:rPr>
                <w:sz w:val="20"/>
                <w:szCs w:val="20"/>
              </w:rPr>
            </w:pPr>
            <w:r w:rsidRPr="008B6A7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14:paraId="45FD23D4" w14:textId="77777777" w:rsidR="00387142" w:rsidRPr="008B6A75" w:rsidRDefault="00387142" w:rsidP="00387142">
            <w:pPr>
              <w:jc w:val="center"/>
              <w:rPr>
                <w:sz w:val="20"/>
                <w:szCs w:val="20"/>
              </w:rPr>
            </w:pPr>
            <w:r w:rsidRPr="008B6A75">
              <w:rPr>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B546332" w14:textId="77777777" w:rsidR="00387142" w:rsidRPr="008B6A75" w:rsidRDefault="00387142" w:rsidP="00387142">
            <w:pPr>
              <w:jc w:val="center"/>
              <w:rPr>
                <w:sz w:val="20"/>
                <w:szCs w:val="20"/>
              </w:rPr>
            </w:pPr>
            <w:r w:rsidRPr="008B6A75">
              <w:rPr>
                <w:sz w:val="20"/>
                <w:szCs w:val="20"/>
              </w:rPr>
              <w:t>06</w:t>
            </w:r>
          </w:p>
        </w:tc>
        <w:tc>
          <w:tcPr>
            <w:tcW w:w="1516" w:type="dxa"/>
            <w:tcBorders>
              <w:top w:val="nil"/>
              <w:left w:val="single" w:sz="4" w:space="0" w:color="auto"/>
              <w:bottom w:val="single" w:sz="4" w:space="0" w:color="auto"/>
              <w:right w:val="nil"/>
            </w:tcBorders>
            <w:shd w:val="clear" w:color="auto" w:fill="auto"/>
            <w:noWrap/>
            <w:vAlign w:val="center"/>
            <w:hideMark/>
          </w:tcPr>
          <w:p w14:paraId="0F6E4437" w14:textId="77777777" w:rsidR="00387142" w:rsidRPr="008B6A75" w:rsidRDefault="00387142" w:rsidP="00387142">
            <w:pPr>
              <w:jc w:val="center"/>
              <w:rPr>
                <w:sz w:val="20"/>
                <w:szCs w:val="20"/>
              </w:rPr>
            </w:pPr>
            <w:r w:rsidRPr="008B6A75">
              <w:rPr>
                <w:sz w:val="20"/>
                <w:szCs w:val="20"/>
              </w:rPr>
              <w:t>99.0.00.70510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43BBDA9" w14:textId="77777777" w:rsidR="00387142" w:rsidRPr="008B6A75" w:rsidRDefault="00387142" w:rsidP="00387142">
            <w:pPr>
              <w:jc w:val="center"/>
              <w:rPr>
                <w:sz w:val="20"/>
                <w:szCs w:val="20"/>
              </w:rPr>
            </w:pPr>
            <w:r w:rsidRPr="008B6A75">
              <w:rPr>
                <w:sz w:val="20"/>
                <w:szCs w:val="20"/>
              </w:rPr>
              <w:t>100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2E7C167" w14:textId="77777777" w:rsidR="00387142" w:rsidRPr="008B6A75" w:rsidRDefault="00387142" w:rsidP="00387142">
            <w:pPr>
              <w:jc w:val="right"/>
              <w:rPr>
                <w:sz w:val="20"/>
                <w:szCs w:val="20"/>
              </w:rPr>
            </w:pPr>
            <w:r w:rsidRPr="008B6A75">
              <w:rPr>
                <w:sz w:val="20"/>
                <w:szCs w:val="20"/>
              </w:rPr>
              <w:t>108 527,74</w:t>
            </w:r>
          </w:p>
        </w:tc>
        <w:tc>
          <w:tcPr>
            <w:tcW w:w="992" w:type="dxa"/>
            <w:tcBorders>
              <w:top w:val="nil"/>
              <w:left w:val="single" w:sz="4" w:space="0" w:color="auto"/>
              <w:bottom w:val="single" w:sz="4" w:space="0" w:color="auto"/>
              <w:right w:val="nil"/>
            </w:tcBorders>
            <w:shd w:val="clear" w:color="auto" w:fill="auto"/>
            <w:vAlign w:val="center"/>
            <w:hideMark/>
          </w:tcPr>
          <w:p w14:paraId="1FF3716C" w14:textId="77777777" w:rsidR="00387142" w:rsidRPr="008B6A75" w:rsidRDefault="00387142" w:rsidP="00387142">
            <w:pPr>
              <w:jc w:val="right"/>
              <w:rPr>
                <w:sz w:val="20"/>
                <w:szCs w:val="20"/>
              </w:rPr>
            </w:pPr>
            <w:r w:rsidRPr="008B6A75">
              <w:rPr>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59531061" w14:textId="77777777" w:rsidR="00387142" w:rsidRPr="008B6A75" w:rsidRDefault="00387142" w:rsidP="00387142">
            <w:pPr>
              <w:jc w:val="right"/>
              <w:rPr>
                <w:sz w:val="20"/>
                <w:szCs w:val="20"/>
              </w:rPr>
            </w:pPr>
            <w:r w:rsidRPr="008B6A75">
              <w:rPr>
                <w:sz w:val="20"/>
                <w:szCs w:val="20"/>
              </w:rPr>
              <w:t>0,00</w:t>
            </w:r>
          </w:p>
        </w:tc>
      </w:tr>
      <w:tr w:rsidR="00387142" w:rsidRPr="008B6A75" w14:paraId="6AB4F54F" w14:textId="77777777" w:rsidTr="00387142">
        <w:trPr>
          <w:trHeight w:val="585"/>
        </w:trPr>
        <w:tc>
          <w:tcPr>
            <w:tcW w:w="3261" w:type="dxa"/>
            <w:tcBorders>
              <w:top w:val="nil"/>
              <w:left w:val="single" w:sz="4" w:space="0" w:color="auto"/>
              <w:bottom w:val="single" w:sz="4" w:space="0" w:color="auto"/>
              <w:right w:val="nil"/>
            </w:tcBorders>
            <w:shd w:val="clear" w:color="auto" w:fill="auto"/>
            <w:vAlign w:val="center"/>
            <w:hideMark/>
          </w:tcPr>
          <w:p w14:paraId="69A27919" w14:textId="77777777" w:rsidR="00387142" w:rsidRPr="008B6A75" w:rsidRDefault="00387142" w:rsidP="00387142">
            <w:pPr>
              <w:rPr>
                <w:sz w:val="20"/>
                <w:szCs w:val="20"/>
              </w:rPr>
            </w:pPr>
            <w:r w:rsidRPr="008B6A75">
              <w:rPr>
                <w:sz w:val="20"/>
                <w:szCs w:val="20"/>
              </w:rPr>
              <w:t>Расходы на выплаты персоналу государственных (муниципальных) органов</w:t>
            </w:r>
          </w:p>
        </w:tc>
        <w:tc>
          <w:tcPr>
            <w:tcW w:w="720" w:type="dxa"/>
            <w:tcBorders>
              <w:top w:val="nil"/>
              <w:left w:val="single" w:sz="4" w:space="0" w:color="auto"/>
              <w:bottom w:val="single" w:sz="4" w:space="0" w:color="auto"/>
              <w:right w:val="nil"/>
            </w:tcBorders>
            <w:shd w:val="clear" w:color="auto" w:fill="auto"/>
            <w:noWrap/>
            <w:vAlign w:val="center"/>
            <w:hideMark/>
          </w:tcPr>
          <w:p w14:paraId="190CB290" w14:textId="77777777" w:rsidR="00387142" w:rsidRPr="008B6A75" w:rsidRDefault="00387142" w:rsidP="00387142">
            <w:pPr>
              <w:jc w:val="center"/>
              <w:rPr>
                <w:sz w:val="20"/>
                <w:szCs w:val="20"/>
              </w:rPr>
            </w:pPr>
            <w:r w:rsidRPr="008B6A75">
              <w:rPr>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72B092B" w14:textId="77777777" w:rsidR="00387142" w:rsidRPr="008B6A75" w:rsidRDefault="00387142" w:rsidP="00387142">
            <w:pPr>
              <w:jc w:val="center"/>
              <w:rPr>
                <w:sz w:val="20"/>
                <w:szCs w:val="20"/>
              </w:rPr>
            </w:pPr>
            <w:r w:rsidRPr="008B6A75">
              <w:rPr>
                <w:sz w:val="20"/>
                <w:szCs w:val="20"/>
              </w:rPr>
              <w:t>06</w:t>
            </w:r>
          </w:p>
        </w:tc>
        <w:tc>
          <w:tcPr>
            <w:tcW w:w="1516" w:type="dxa"/>
            <w:tcBorders>
              <w:top w:val="nil"/>
              <w:left w:val="single" w:sz="4" w:space="0" w:color="auto"/>
              <w:bottom w:val="single" w:sz="4" w:space="0" w:color="auto"/>
              <w:right w:val="nil"/>
            </w:tcBorders>
            <w:shd w:val="clear" w:color="auto" w:fill="auto"/>
            <w:noWrap/>
            <w:vAlign w:val="center"/>
            <w:hideMark/>
          </w:tcPr>
          <w:p w14:paraId="690B7BB4" w14:textId="77777777" w:rsidR="00387142" w:rsidRPr="008B6A75" w:rsidRDefault="00387142" w:rsidP="00387142">
            <w:pPr>
              <w:jc w:val="center"/>
              <w:rPr>
                <w:sz w:val="20"/>
                <w:szCs w:val="20"/>
              </w:rPr>
            </w:pPr>
            <w:r w:rsidRPr="008B6A75">
              <w:rPr>
                <w:sz w:val="20"/>
                <w:szCs w:val="20"/>
              </w:rPr>
              <w:t>99.0.00.70510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895945C" w14:textId="77777777" w:rsidR="00387142" w:rsidRPr="008B6A75" w:rsidRDefault="00387142" w:rsidP="00387142">
            <w:pPr>
              <w:jc w:val="center"/>
              <w:rPr>
                <w:sz w:val="20"/>
                <w:szCs w:val="20"/>
              </w:rPr>
            </w:pPr>
            <w:r w:rsidRPr="008B6A75">
              <w:rPr>
                <w:sz w:val="20"/>
                <w:szCs w:val="20"/>
              </w:rPr>
              <w:t>120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D6983D0" w14:textId="77777777" w:rsidR="00387142" w:rsidRPr="008B6A75" w:rsidRDefault="00387142" w:rsidP="00387142">
            <w:pPr>
              <w:jc w:val="right"/>
              <w:rPr>
                <w:sz w:val="20"/>
                <w:szCs w:val="20"/>
              </w:rPr>
            </w:pPr>
            <w:r w:rsidRPr="008B6A75">
              <w:rPr>
                <w:sz w:val="20"/>
                <w:szCs w:val="20"/>
              </w:rPr>
              <w:t>108 527,74</w:t>
            </w:r>
          </w:p>
        </w:tc>
        <w:tc>
          <w:tcPr>
            <w:tcW w:w="992" w:type="dxa"/>
            <w:tcBorders>
              <w:top w:val="nil"/>
              <w:left w:val="single" w:sz="4" w:space="0" w:color="auto"/>
              <w:bottom w:val="single" w:sz="4" w:space="0" w:color="auto"/>
              <w:right w:val="nil"/>
            </w:tcBorders>
            <w:shd w:val="clear" w:color="auto" w:fill="auto"/>
            <w:vAlign w:val="center"/>
            <w:hideMark/>
          </w:tcPr>
          <w:p w14:paraId="73F275BC" w14:textId="77777777" w:rsidR="00387142" w:rsidRPr="008B6A75" w:rsidRDefault="00387142" w:rsidP="00387142">
            <w:pPr>
              <w:jc w:val="right"/>
              <w:rPr>
                <w:sz w:val="20"/>
                <w:szCs w:val="20"/>
              </w:rPr>
            </w:pPr>
            <w:r w:rsidRPr="008B6A75">
              <w:rPr>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379BAFD3" w14:textId="77777777" w:rsidR="00387142" w:rsidRPr="008B6A75" w:rsidRDefault="00387142" w:rsidP="00387142">
            <w:pPr>
              <w:jc w:val="right"/>
              <w:rPr>
                <w:sz w:val="20"/>
                <w:szCs w:val="20"/>
              </w:rPr>
            </w:pPr>
            <w:r w:rsidRPr="008B6A75">
              <w:rPr>
                <w:sz w:val="20"/>
                <w:szCs w:val="20"/>
              </w:rPr>
              <w:t>0,00</w:t>
            </w:r>
          </w:p>
        </w:tc>
      </w:tr>
      <w:tr w:rsidR="00387142" w:rsidRPr="008B6A75" w14:paraId="02BE2BDA" w14:textId="77777777" w:rsidTr="00387142">
        <w:trPr>
          <w:trHeight w:val="345"/>
        </w:trPr>
        <w:tc>
          <w:tcPr>
            <w:tcW w:w="3261" w:type="dxa"/>
            <w:tcBorders>
              <w:top w:val="nil"/>
              <w:left w:val="single" w:sz="4" w:space="0" w:color="auto"/>
              <w:bottom w:val="single" w:sz="4" w:space="0" w:color="auto"/>
              <w:right w:val="nil"/>
            </w:tcBorders>
            <w:shd w:val="clear" w:color="auto" w:fill="auto"/>
            <w:vAlign w:val="center"/>
            <w:hideMark/>
          </w:tcPr>
          <w:p w14:paraId="3B33D8BA" w14:textId="77777777" w:rsidR="00387142" w:rsidRPr="008B6A75" w:rsidRDefault="00387142" w:rsidP="00387142">
            <w:pPr>
              <w:rPr>
                <w:bCs/>
                <w:sz w:val="20"/>
                <w:szCs w:val="20"/>
              </w:rPr>
            </w:pPr>
            <w:r w:rsidRPr="008B6A75">
              <w:rPr>
                <w:bCs/>
                <w:sz w:val="20"/>
                <w:szCs w:val="20"/>
              </w:rPr>
              <w:t>Резервные фонды</w:t>
            </w:r>
          </w:p>
        </w:tc>
        <w:tc>
          <w:tcPr>
            <w:tcW w:w="720" w:type="dxa"/>
            <w:tcBorders>
              <w:top w:val="nil"/>
              <w:left w:val="single" w:sz="4" w:space="0" w:color="auto"/>
              <w:bottom w:val="single" w:sz="4" w:space="0" w:color="auto"/>
              <w:right w:val="nil"/>
            </w:tcBorders>
            <w:shd w:val="clear" w:color="auto" w:fill="auto"/>
            <w:noWrap/>
            <w:vAlign w:val="center"/>
            <w:hideMark/>
          </w:tcPr>
          <w:p w14:paraId="4F0E292B" w14:textId="77777777" w:rsidR="00387142" w:rsidRPr="008B6A75" w:rsidRDefault="00387142" w:rsidP="00387142">
            <w:pPr>
              <w:jc w:val="center"/>
              <w:rPr>
                <w:bCs/>
                <w:sz w:val="20"/>
                <w:szCs w:val="20"/>
              </w:rPr>
            </w:pPr>
            <w:r w:rsidRPr="008B6A75">
              <w:rPr>
                <w:bCs/>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D4E290A" w14:textId="77777777" w:rsidR="00387142" w:rsidRPr="008B6A75" w:rsidRDefault="00387142" w:rsidP="00387142">
            <w:pPr>
              <w:jc w:val="center"/>
              <w:rPr>
                <w:bCs/>
                <w:sz w:val="20"/>
                <w:szCs w:val="20"/>
              </w:rPr>
            </w:pPr>
            <w:r w:rsidRPr="008B6A75">
              <w:rPr>
                <w:bCs/>
                <w:sz w:val="20"/>
                <w:szCs w:val="20"/>
              </w:rPr>
              <w:t>11</w:t>
            </w:r>
          </w:p>
        </w:tc>
        <w:tc>
          <w:tcPr>
            <w:tcW w:w="1516" w:type="dxa"/>
            <w:tcBorders>
              <w:top w:val="nil"/>
              <w:left w:val="single" w:sz="4" w:space="0" w:color="auto"/>
              <w:bottom w:val="single" w:sz="4" w:space="0" w:color="auto"/>
              <w:right w:val="nil"/>
            </w:tcBorders>
            <w:shd w:val="clear" w:color="auto" w:fill="auto"/>
            <w:noWrap/>
            <w:vAlign w:val="center"/>
            <w:hideMark/>
          </w:tcPr>
          <w:p w14:paraId="6A895D57" w14:textId="77777777" w:rsidR="00387142" w:rsidRPr="008B6A75" w:rsidRDefault="00387142" w:rsidP="00387142">
            <w:pPr>
              <w:jc w:val="center"/>
              <w:rPr>
                <w:bCs/>
                <w:sz w:val="20"/>
                <w:szCs w:val="20"/>
              </w:rPr>
            </w:pPr>
            <w:r w:rsidRPr="008B6A75">
              <w:rPr>
                <w:bCs/>
                <w:sz w:val="20"/>
                <w:szCs w:val="20"/>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2CEC46C"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15239B4" w14:textId="77777777" w:rsidR="00387142" w:rsidRPr="008B6A75" w:rsidRDefault="00387142" w:rsidP="00387142">
            <w:pPr>
              <w:jc w:val="right"/>
              <w:rPr>
                <w:bCs/>
                <w:sz w:val="20"/>
                <w:szCs w:val="20"/>
              </w:rPr>
            </w:pPr>
            <w:r w:rsidRPr="008B6A75">
              <w:rPr>
                <w:bCs/>
                <w:sz w:val="20"/>
                <w:szCs w:val="20"/>
              </w:rPr>
              <w:t>954 517,08</w:t>
            </w:r>
          </w:p>
        </w:tc>
        <w:tc>
          <w:tcPr>
            <w:tcW w:w="992" w:type="dxa"/>
            <w:tcBorders>
              <w:top w:val="nil"/>
              <w:left w:val="single" w:sz="4" w:space="0" w:color="auto"/>
              <w:bottom w:val="single" w:sz="4" w:space="0" w:color="auto"/>
              <w:right w:val="nil"/>
            </w:tcBorders>
            <w:shd w:val="clear" w:color="auto" w:fill="auto"/>
            <w:vAlign w:val="center"/>
            <w:hideMark/>
          </w:tcPr>
          <w:p w14:paraId="0A7C7966" w14:textId="77777777" w:rsidR="00387142" w:rsidRPr="008B6A75" w:rsidRDefault="00387142" w:rsidP="00387142">
            <w:pPr>
              <w:jc w:val="right"/>
              <w:rPr>
                <w:bCs/>
                <w:sz w:val="20"/>
                <w:szCs w:val="20"/>
              </w:rPr>
            </w:pPr>
            <w:r w:rsidRPr="008B6A75">
              <w:rPr>
                <w:bCs/>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6449EAB6" w14:textId="77777777" w:rsidR="00387142" w:rsidRPr="008B6A75" w:rsidRDefault="00387142" w:rsidP="00387142">
            <w:pPr>
              <w:jc w:val="right"/>
              <w:rPr>
                <w:bCs/>
                <w:sz w:val="20"/>
                <w:szCs w:val="20"/>
              </w:rPr>
            </w:pPr>
            <w:r w:rsidRPr="008B6A75">
              <w:rPr>
                <w:bCs/>
                <w:sz w:val="20"/>
                <w:szCs w:val="20"/>
              </w:rPr>
              <w:t>0,00</w:t>
            </w:r>
          </w:p>
        </w:tc>
      </w:tr>
      <w:tr w:rsidR="00387142" w:rsidRPr="008B6A75" w14:paraId="7DE98FAD" w14:textId="77777777" w:rsidTr="00387142">
        <w:trPr>
          <w:trHeight w:val="345"/>
        </w:trPr>
        <w:tc>
          <w:tcPr>
            <w:tcW w:w="3261" w:type="dxa"/>
            <w:tcBorders>
              <w:top w:val="nil"/>
              <w:left w:val="single" w:sz="4" w:space="0" w:color="auto"/>
              <w:bottom w:val="single" w:sz="4" w:space="0" w:color="auto"/>
              <w:right w:val="nil"/>
            </w:tcBorders>
            <w:shd w:val="clear" w:color="auto" w:fill="auto"/>
            <w:vAlign w:val="center"/>
            <w:hideMark/>
          </w:tcPr>
          <w:p w14:paraId="54A4F49B" w14:textId="77777777" w:rsidR="00387142" w:rsidRPr="008B6A75" w:rsidRDefault="00387142" w:rsidP="00387142">
            <w:pPr>
              <w:rPr>
                <w:bCs/>
                <w:sz w:val="20"/>
                <w:szCs w:val="20"/>
              </w:rPr>
            </w:pPr>
            <w:r w:rsidRPr="008B6A75">
              <w:rPr>
                <w:bCs/>
                <w:sz w:val="20"/>
                <w:szCs w:val="20"/>
              </w:rPr>
              <w:t>Непрограммные направления бюджета</w:t>
            </w:r>
          </w:p>
        </w:tc>
        <w:tc>
          <w:tcPr>
            <w:tcW w:w="720" w:type="dxa"/>
            <w:tcBorders>
              <w:top w:val="nil"/>
              <w:left w:val="single" w:sz="4" w:space="0" w:color="auto"/>
              <w:bottom w:val="single" w:sz="4" w:space="0" w:color="auto"/>
              <w:right w:val="nil"/>
            </w:tcBorders>
            <w:shd w:val="clear" w:color="auto" w:fill="auto"/>
            <w:noWrap/>
            <w:vAlign w:val="center"/>
            <w:hideMark/>
          </w:tcPr>
          <w:p w14:paraId="5748B0CE" w14:textId="77777777" w:rsidR="00387142" w:rsidRPr="008B6A75" w:rsidRDefault="00387142" w:rsidP="00387142">
            <w:pPr>
              <w:jc w:val="center"/>
              <w:rPr>
                <w:bCs/>
                <w:sz w:val="20"/>
                <w:szCs w:val="20"/>
              </w:rPr>
            </w:pPr>
            <w:r w:rsidRPr="008B6A75">
              <w:rPr>
                <w:bCs/>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AB3BF28" w14:textId="77777777" w:rsidR="00387142" w:rsidRPr="008B6A75" w:rsidRDefault="00387142" w:rsidP="00387142">
            <w:pPr>
              <w:jc w:val="center"/>
              <w:rPr>
                <w:bCs/>
                <w:sz w:val="20"/>
                <w:szCs w:val="20"/>
              </w:rPr>
            </w:pPr>
            <w:r w:rsidRPr="008B6A75">
              <w:rPr>
                <w:bCs/>
                <w:sz w:val="20"/>
                <w:szCs w:val="20"/>
              </w:rPr>
              <w:t>11</w:t>
            </w:r>
          </w:p>
        </w:tc>
        <w:tc>
          <w:tcPr>
            <w:tcW w:w="1516" w:type="dxa"/>
            <w:tcBorders>
              <w:top w:val="nil"/>
              <w:left w:val="single" w:sz="4" w:space="0" w:color="auto"/>
              <w:bottom w:val="single" w:sz="4" w:space="0" w:color="auto"/>
              <w:right w:val="nil"/>
            </w:tcBorders>
            <w:shd w:val="clear" w:color="auto" w:fill="auto"/>
            <w:noWrap/>
            <w:vAlign w:val="center"/>
            <w:hideMark/>
          </w:tcPr>
          <w:p w14:paraId="7CB91FB8" w14:textId="77777777" w:rsidR="00387142" w:rsidRPr="008B6A75" w:rsidRDefault="00387142" w:rsidP="00387142">
            <w:pPr>
              <w:jc w:val="center"/>
              <w:rPr>
                <w:bCs/>
                <w:sz w:val="20"/>
                <w:szCs w:val="20"/>
              </w:rPr>
            </w:pPr>
            <w:r w:rsidRPr="008B6A75">
              <w:rPr>
                <w:bCs/>
                <w:sz w:val="20"/>
                <w:szCs w:val="20"/>
              </w:rPr>
              <w:t>99.0.00.00000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502CCE7"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77BABE2" w14:textId="77777777" w:rsidR="00387142" w:rsidRPr="008B6A75" w:rsidRDefault="00387142" w:rsidP="00387142">
            <w:pPr>
              <w:jc w:val="right"/>
              <w:rPr>
                <w:bCs/>
                <w:sz w:val="20"/>
                <w:szCs w:val="20"/>
              </w:rPr>
            </w:pPr>
            <w:r w:rsidRPr="008B6A75">
              <w:rPr>
                <w:bCs/>
                <w:sz w:val="20"/>
                <w:szCs w:val="20"/>
              </w:rPr>
              <w:t>954 517,08</w:t>
            </w:r>
          </w:p>
        </w:tc>
        <w:tc>
          <w:tcPr>
            <w:tcW w:w="992" w:type="dxa"/>
            <w:tcBorders>
              <w:top w:val="nil"/>
              <w:left w:val="single" w:sz="4" w:space="0" w:color="auto"/>
              <w:bottom w:val="single" w:sz="4" w:space="0" w:color="auto"/>
              <w:right w:val="nil"/>
            </w:tcBorders>
            <w:shd w:val="clear" w:color="auto" w:fill="auto"/>
            <w:vAlign w:val="center"/>
            <w:hideMark/>
          </w:tcPr>
          <w:p w14:paraId="1E7DE182" w14:textId="77777777" w:rsidR="00387142" w:rsidRPr="008B6A75" w:rsidRDefault="00387142" w:rsidP="00387142">
            <w:pPr>
              <w:jc w:val="right"/>
              <w:rPr>
                <w:bCs/>
                <w:sz w:val="20"/>
                <w:szCs w:val="20"/>
              </w:rPr>
            </w:pPr>
            <w:r w:rsidRPr="008B6A75">
              <w:rPr>
                <w:bCs/>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5E40FAFC" w14:textId="77777777" w:rsidR="00387142" w:rsidRPr="008B6A75" w:rsidRDefault="00387142" w:rsidP="00387142">
            <w:pPr>
              <w:jc w:val="right"/>
              <w:rPr>
                <w:bCs/>
                <w:sz w:val="20"/>
                <w:szCs w:val="20"/>
              </w:rPr>
            </w:pPr>
            <w:r w:rsidRPr="008B6A75">
              <w:rPr>
                <w:bCs/>
                <w:sz w:val="20"/>
                <w:szCs w:val="20"/>
              </w:rPr>
              <w:t>0,00</w:t>
            </w:r>
          </w:p>
        </w:tc>
      </w:tr>
      <w:tr w:rsidR="00387142" w:rsidRPr="008B6A75" w14:paraId="4BDA6DEA" w14:textId="77777777" w:rsidTr="00387142">
        <w:trPr>
          <w:trHeight w:val="345"/>
        </w:trPr>
        <w:tc>
          <w:tcPr>
            <w:tcW w:w="3261" w:type="dxa"/>
            <w:tcBorders>
              <w:top w:val="nil"/>
              <w:left w:val="single" w:sz="4" w:space="0" w:color="auto"/>
              <w:bottom w:val="single" w:sz="4" w:space="0" w:color="auto"/>
              <w:right w:val="nil"/>
            </w:tcBorders>
            <w:shd w:val="clear" w:color="auto" w:fill="auto"/>
            <w:vAlign w:val="center"/>
            <w:hideMark/>
          </w:tcPr>
          <w:p w14:paraId="0439E2E7" w14:textId="77777777" w:rsidR="00387142" w:rsidRPr="008B6A75" w:rsidRDefault="00387142" w:rsidP="00387142">
            <w:pPr>
              <w:rPr>
                <w:bCs/>
                <w:sz w:val="20"/>
                <w:szCs w:val="20"/>
              </w:rPr>
            </w:pPr>
            <w:r w:rsidRPr="008B6A75">
              <w:rPr>
                <w:bCs/>
                <w:sz w:val="20"/>
                <w:szCs w:val="20"/>
              </w:rPr>
              <w:t>Резервные фонды местного бюджета</w:t>
            </w:r>
          </w:p>
        </w:tc>
        <w:tc>
          <w:tcPr>
            <w:tcW w:w="720" w:type="dxa"/>
            <w:tcBorders>
              <w:top w:val="nil"/>
              <w:left w:val="single" w:sz="4" w:space="0" w:color="auto"/>
              <w:bottom w:val="single" w:sz="4" w:space="0" w:color="auto"/>
              <w:right w:val="nil"/>
            </w:tcBorders>
            <w:shd w:val="clear" w:color="auto" w:fill="auto"/>
            <w:noWrap/>
            <w:vAlign w:val="center"/>
            <w:hideMark/>
          </w:tcPr>
          <w:p w14:paraId="3BC25F8E" w14:textId="77777777" w:rsidR="00387142" w:rsidRPr="008B6A75" w:rsidRDefault="00387142" w:rsidP="00387142">
            <w:pPr>
              <w:jc w:val="center"/>
              <w:rPr>
                <w:bCs/>
                <w:sz w:val="20"/>
                <w:szCs w:val="20"/>
              </w:rPr>
            </w:pPr>
            <w:r w:rsidRPr="008B6A75">
              <w:rPr>
                <w:bCs/>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AD8A7CC" w14:textId="77777777" w:rsidR="00387142" w:rsidRPr="008B6A75" w:rsidRDefault="00387142" w:rsidP="00387142">
            <w:pPr>
              <w:jc w:val="center"/>
              <w:rPr>
                <w:bCs/>
                <w:sz w:val="20"/>
                <w:szCs w:val="20"/>
              </w:rPr>
            </w:pPr>
            <w:r w:rsidRPr="008B6A75">
              <w:rPr>
                <w:bCs/>
                <w:sz w:val="20"/>
                <w:szCs w:val="20"/>
              </w:rPr>
              <w:t>11</w:t>
            </w:r>
          </w:p>
        </w:tc>
        <w:tc>
          <w:tcPr>
            <w:tcW w:w="1516" w:type="dxa"/>
            <w:tcBorders>
              <w:top w:val="nil"/>
              <w:left w:val="single" w:sz="4" w:space="0" w:color="auto"/>
              <w:bottom w:val="single" w:sz="4" w:space="0" w:color="auto"/>
              <w:right w:val="nil"/>
            </w:tcBorders>
            <w:shd w:val="clear" w:color="auto" w:fill="auto"/>
            <w:noWrap/>
            <w:vAlign w:val="center"/>
            <w:hideMark/>
          </w:tcPr>
          <w:p w14:paraId="54AA1573" w14:textId="77777777" w:rsidR="00387142" w:rsidRPr="008B6A75" w:rsidRDefault="00387142" w:rsidP="00387142">
            <w:pPr>
              <w:jc w:val="center"/>
              <w:rPr>
                <w:bCs/>
                <w:sz w:val="20"/>
                <w:szCs w:val="20"/>
              </w:rPr>
            </w:pPr>
            <w:r w:rsidRPr="008B6A75">
              <w:rPr>
                <w:bCs/>
                <w:sz w:val="20"/>
                <w:szCs w:val="20"/>
              </w:rPr>
              <w:t>99.0.00.01700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C05BC8A"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31EB2DB" w14:textId="77777777" w:rsidR="00387142" w:rsidRPr="008B6A75" w:rsidRDefault="00387142" w:rsidP="00387142">
            <w:pPr>
              <w:jc w:val="right"/>
              <w:rPr>
                <w:bCs/>
                <w:sz w:val="20"/>
                <w:szCs w:val="20"/>
              </w:rPr>
            </w:pPr>
            <w:r w:rsidRPr="008B6A75">
              <w:rPr>
                <w:bCs/>
                <w:sz w:val="20"/>
                <w:szCs w:val="20"/>
              </w:rPr>
              <w:t>954 517,08</w:t>
            </w:r>
          </w:p>
        </w:tc>
        <w:tc>
          <w:tcPr>
            <w:tcW w:w="992" w:type="dxa"/>
            <w:tcBorders>
              <w:top w:val="nil"/>
              <w:left w:val="single" w:sz="4" w:space="0" w:color="auto"/>
              <w:bottom w:val="single" w:sz="4" w:space="0" w:color="auto"/>
              <w:right w:val="nil"/>
            </w:tcBorders>
            <w:shd w:val="clear" w:color="auto" w:fill="auto"/>
            <w:vAlign w:val="center"/>
            <w:hideMark/>
          </w:tcPr>
          <w:p w14:paraId="6BC0424A" w14:textId="77777777" w:rsidR="00387142" w:rsidRPr="008B6A75" w:rsidRDefault="00387142" w:rsidP="00387142">
            <w:pPr>
              <w:jc w:val="right"/>
              <w:rPr>
                <w:bCs/>
                <w:sz w:val="20"/>
                <w:szCs w:val="20"/>
              </w:rPr>
            </w:pPr>
            <w:r w:rsidRPr="008B6A75">
              <w:rPr>
                <w:bCs/>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49BBFCB4" w14:textId="77777777" w:rsidR="00387142" w:rsidRPr="008B6A75" w:rsidRDefault="00387142" w:rsidP="00387142">
            <w:pPr>
              <w:jc w:val="right"/>
              <w:rPr>
                <w:bCs/>
                <w:sz w:val="20"/>
                <w:szCs w:val="20"/>
              </w:rPr>
            </w:pPr>
            <w:r w:rsidRPr="008B6A75">
              <w:rPr>
                <w:bCs/>
                <w:sz w:val="20"/>
                <w:szCs w:val="20"/>
              </w:rPr>
              <w:t>0,00</w:t>
            </w:r>
          </w:p>
        </w:tc>
      </w:tr>
      <w:tr w:rsidR="00387142" w:rsidRPr="008B6A75" w14:paraId="7B5B69BD" w14:textId="77777777" w:rsidTr="00387142">
        <w:trPr>
          <w:trHeight w:val="345"/>
        </w:trPr>
        <w:tc>
          <w:tcPr>
            <w:tcW w:w="3261" w:type="dxa"/>
            <w:tcBorders>
              <w:top w:val="nil"/>
              <w:left w:val="single" w:sz="4" w:space="0" w:color="auto"/>
              <w:bottom w:val="single" w:sz="4" w:space="0" w:color="auto"/>
              <w:right w:val="nil"/>
            </w:tcBorders>
            <w:shd w:val="clear" w:color="auto" w:fill="auto"/>
            <w:vAlign w:val="center"/>
            <w:hideMark/>
          </w:tcPr>
          <w:p w14:paraId="15B792C3" w14:textId="77777777" w:rsidR="00387142" w:rsidRPr="008B6A75" w:rsidRDefault="00387142" w:rsidP="00387142">
            <w:pPr>
              <w:rPr>
                <w:sz w:val="20"/>
                <w:szCs w:val="20"/>
              </w:rPr>
            </w:pPr>
            <w:r w:rsidRPr="008B6A75">
              <w:rPr>
                <w:sz w:val="20"/>
                <w:szCs w:val="20"/>
              </w:rPr>
              <w:t>Иные бюджетные ассигнования</w:t>
            </w:r>
          </w:p>
        </w:tc>
        <w:tc>
          <w:tcPr>
            <w:tcW w:w="720" w:type="dxa"/>
            <w:tcBorders>
              <w:top w:val="nil"/>
              <w:left w:val="single" w:sz="4" w:space="0" w:color="auto"/>
              <w:bottom w:val="single" w:sz="4" w:space="0" w:color="auto"/>
              <w:right w:val="nil"/>
            </w:tcBorders>
            <w:shd w:val="clear" w:color="auto" w:fill="auto"/>
            <w:noWrap/>
            <w:vAlign w:val="center"/>
            <w:hideMark/>
          </w:tcPr>
          <w:p w14:paraId="3E85F3C5" w14:textId="77777777" w:rsidR="00387142" w:rsidRPr="008B6A75" w:rsidRDefault="00387142" w:rsidP="00387142">
            <w:pPr>
              <w:jc w:val="center"/>
              <w:rPr>
                <w:sz w:val="20"/>
                <w:szCs w:val="20"/>
              </w:rPr>
            </w:pPr>
            <w:r w:rsidRPr="008B6A75">
              <w:rPr>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3E5977F" w14:textId="77777777" w:rsidR="00387142" w:rsidRPr="008B6A75" w:rsidRDefault="00387142" w:rsidP="00387142">
            <w:pPr>
              <w:jc w:val="center"/>
              <w:rPr>
                <w:sz w:val="20"/>
                <w:szCs w:val="20"/>
              </w:rPr>
            </w:pPr>
            <w:r w:rsidRPr="008B6A75">
              <w:rPr>
                <w:sz w:val="20"/>
                <w:szCs w:val="20"/>
              </w:rPr>
              <w:t>11</w:t>
            </w:r>
          </w:p>
        </w:tc>
        <w:tc>
          <w:tcPr>
            <w:tcW w:w="1516" w:type="dxa"/>
            <w:tcBorders>
              <w:top w:val="nil"/>
              <w:left w:val="single" w:sz="4" w:space="0" w:color="auto"/>
              <w:bottom w:val="single" w:sz="4" w:space="0" w:color="auto"/>
              <w:right w:val="nil"/>
            </w:tcBorders>
            <w:shd w:val="clear" w:color="auto" w:fill="auto"/>
            <w:noWrap/>
            <w:vAlign w:val="center"/>
            <w:hideMark/>
          </w:tcPr>
          <w:p w14:paraId="09F1AF31" w14:textId="77777777" w:rsidR="00387142" w:rsidRPr="008B6A75" w:rsidRDefault="00387142" w:rsidP="00387142">
            <w:pPr>
              <w:jc w:val="center"/>
              <w:rPr>
                <w:sz w:val="20"/>
                <w:szCs w:val="20"/>
              </w:rPr>
            </w:pPr>
            <w:r w:rsidRPr="008B6A75">
              <w:rPr>
                <w:sz w:val="20"/>
                <w:szCs w:val="20"/>
              </w:rPr>
              <w:t>99.0.00.01700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7DAAC4A" w14:textId="77777777" w:rsidR="00387142" w:rsidRPr="008B6A75" w:rsidRDefault="00387142" w:rsidP="00387142">
            <w:pPr>
              <w:jc w:val="center"/>
              <w:rPr>
                <w:sz w:val="20"/>
                <w:szCs w:val="20"/>
              </w:rPr>
            </w:pPr>
            <w:r w:rsidRPr="008B6A75">
              <w:rPr>
                <w:sz w:val="20"/>
                <w:szCs w:val="20"/>
              </w:rPr>
              <w:t>800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B106348" w14:textId="77777777" w:rsidR="00387142" w:rsidRPr="008B6A75" w:rsidRDefault="00387142" w:rsidP="00387142">
            <w:pPr>
              <w:jc w:val="right"/>
              <w:rPr>
                <w:sz w:val="20"/>
                <w:szCs w:val="20"/>
              </w:rPr>
            </w:pPr>
            <w:r w:rsidRPr="008B6A75">
              <w:rPr>
                <w:sz w:val="20"/>
                <w:szCs w:val="20"/>
              </w:rPr>
              <w:t>954 517,08</w:t>
            </w:r>
          </w:p>
        </w:tc>
        <w:tc>
          <w:tcPr>
            <w:tcW w:w="992" w:type="dxa"/>
            <w:tcBorders>
              <w:top w:val="nil"/>
              <w:left w:val="single" w:sz="4" w:space="0" w:color="auto"/>
              <w:bottom w:val="single" w:sz="4" w:space="0" w:color="auto"/>
              <w:right w:val="nil"/>
            </w:tcBorders>
            <w:shd w:val="clear" w:color="auto" w:fill="auto"/>
            <w:vAlign w:val="center"/>
            <w:hideMark/>
          </w:tcPr>
          <w:p w14:paraId="7EBD972C" w14:textId="77777777" w:rsidR="00387142" w:rsidRPr="008B6A75" w:rsidRDefault="00387142" w:rsidP="00387142">
            <w:pPr>
              <w:jc w:val="right"/>
              <w:rPr>
                <w:sz w:val="20"/>
                <w:szCs w:val="20"/>
              </w:rPr>
            </w:pPr>
            <w:r w:rsidRPr="008B6A75">
              <w:rPr>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4A5D60E7" w14:textId="77777777" w:rsidR="00387142" w:rsidRPr="008B6A75" w:rsidRDefault="00387142" w:rsidP="00387142">
            <w:pPr>
              <w:jc w:val="right"/>
              <w:rPr>
                <w:sz w:val="20"/>
                <w:szCs w:val="20"/>
              </w:rPr>
            </w:pPr>
            <w:r w:rsidRPr="008B6A75">
              <w:rPr>
                <w:sz w:val="20"/>
                <w:szCs w:val="20"/>
              </w:rPr>
              <w:t>0,00</w:t>
            </w:r>
          </w:p>
        </w:tc>
      </w:tr>
      <w:tr w:rsidR="00387142" w:rsidRPr="008B6A75" w14:paraId="1DED2A81" w14:textId="77777777" w:rsidTr="00387142">
        <w:trPr>
          <w:trHeight w:val="345"/>
        </w:trPr>
        <w:tc>
          <w:tcPr>
            <w:tcW w:w="3261" w:type="dxa"/>
            <w:tcBorders>
              <w:top w:val="nil"/>
              <w:left w:val="single" w:sz="4" w:space="0" w:color="auto"/>
              <w:bottom w:val="single" w:sz="4" w:space="0" w:color="auto"/>
              <w:right w:val="nil"/>
            </w:tcBorders>
            <w:shd w:val="clear" w:color="auto" w:fill="auto"/>
            <w:vAlign w:val="center"/>
            <w:hideMark/>
          </w:tcPr>
          <w:p w14:paraId="7CF4601B" w14:textId="77777777" w:rsidR="00387142" w:rsidRPr="008B6A75" w:rsidRDefault="00387142" w:rsidP="00387142">
            <w:pPr>
              <w:rPr>
                <w:sz w:val="20"/>
                <w:szCs w:val="20"/>
              </w:rPr>
            </w:pPr>
            <w:r w:rsidRPr="008B6A75">
              <w:rPr>
                <w:sz w:val="20"/>
                <w:szCs w:val="20"/>
              </w:rPr>
              <w:t>Резервные средства</w:t>
            </w:r>
          </w:p>
        </w:tc>
        <w:tc>
          <w:tcPr>
            <w:tcW w:w="720" w:type="dxa"/>
            <w:tcBorders>
              <w:top w:val="nil"/>
              <w:left w:val="single" w:sz="4" w:space="0" w:color="auto"/>
              <w:bottom w:val="single" w:sz="4" w:space="0" w:color="auto"/>
              <w:right w:val="nil"/>
            </w:tcBorders>
            <w:shd w:val="clear" w:color="auto" w:fill="auto"/>
            <w:noWrap/>
            <w:vAlign w:val="center"/>
            <w:hideMark/>
          </w:tcPr>
          <w:p w14:paraId="4617F41A" w14:textId="77777777" w:rsidR="00387142" w:rsidRPr="008B6A75" w:rsidRDefault="00387142" w:rsidP="00387142">
            <w:pPr>
              <w:jc w:val="center"/>
              <w:rPr>
                <w:sz w:val="20"/>
                <w:szCs w:val="20"/>
              </w:rPr>
            </w:pPr>
            <w:r w:rsidRPr="008B6A75">
              <w:rPr>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FFC72DF" w14:textId="77777777" w:rsidR="00387142" w:rsidRPr="008B6A75" w:rsidRDefault="00387142" w:rsidP="00387142">
            <w:pPr>
              <w:jc w:val="center"/>
              <w:rPr>
                <w:sz w:val="20"/>
                <w:szCs w:val="20"/>
              </w:rPr>
            </w:pPr>
            <w:r w:rsidRPr="008B6A75">
              <w:rPr>
                <w:sz w:val="20"/>
                <w:szCs w:val="20"/>
              </w:rPr>
              <w:t>11</w:t>
            </w:r>
          </w:p>
        </w:tc>
        <w:tc>
          <w:tcPr>
            <w:tcW w:w="1516" w:type="dxa"/>
            <w:tcBorders>
              <w:top w:val="nil"/>
              <w:left w:val="single" w:sz="4" w:space="0" w:color="auto"/>
              <w:bottom w:val="single" w:sz="4" w:space="0" w:color="auto"/>
              <w:right w:val="nil"/>
            </w:tcBorders>
            <w:shd w:val="clear" w:color="auto" w:fill="auto"/>
            <w:noWrap/>
            <w:vAlign w:val="center"/>
            <w:hideMark/>
          </w:tcPr>
          <w:p w14:paraId="32CF9E4B" w14:textId="77777777" w:rsidR="00387142" w:rsidRPr="008B6A75" w:rsidRDefault="00387142" w:rsidP="00387142">
            <w:pPr>
              <w:jc w:val="center"/>
              <w:rPr>
                <w:sz w:val="20"/>
                <w:szCs w:val="20"/>
              </w:rPr>
            </w:pPr>
            <w:r w:rsidRPr="008B6A75">
              <w:rPr>
                <w:sz w:val="20"/>
                <w:szCs w:val="20"/>
              </w:rPr>
              <w:t>99.0.00.01700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1F86F72" w14:textId="77777777" w:rsidR="00387142" w:rsidRPr="008B6A75" w:rsidRDefault="00387142" w:rsidP="00387142">
            <w:pPr>
              <w:jc w:val="center"/>
              <w:rPr>
                <w:sz w:val="20"/>
                <w:szCs w:val="20"/>
              </w:rPr>
            </w:pPr>
            <w:r w:rsidRPr="008B6A75">
              <w:rPr>
                <w:sz w:val="20"/>
                <w:szCs w:val="20"/>
              </w:rPr>
              <w:t>870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2D85E34" w14:textId="77777777" w:rsidR="00387142" w:rsidRPr="008B6A75" w:rsidRDefault="00387142" w:rsidP="00387142">
            <w:pPr>
              <w:jc w:val="right"/>
              <w:rPr>
                <w:sz w:val="20"/>
                <w:szCs w:val="20"/>
              </w:rPr>
            </w:pPr>
            <w:r w:rsidRPr="008B6A75">
              <w:rPr>
                <w:sz w:val="20"/>
                <w:szCs w:val="20"/>
              </w:rPr>
              <w:t>954 517,08</w:t>
            </w:r>
          </w:p>
        </w:tc>
        <w:tc>
          <w:tcPr>
            <w:tcW w:w="992" w:type="dxa"/>
            <w:tcBorders>
              <w:top w:val="nil"/>
              <w:left w:val="single" w:sz="4" w:space="0" w:color="auto"/>
              <w:bottom w:val="single" w:sz="4" w:space="0" w:color="auto"/>
              <w:right w:val="nil"/>
            </w:tcBorders>
            <w:shd w:val="clear" w:color="auto" w:fill="auto"/>
            <w:vAlign w:val="center"/>
            <w:hideMark/>
          </w:tcPr>
          <w:p w14:paraId="11A2B90D" w14:textId="77777777" w:rsidR="00387142" w:rsidRPr="008B6A75" w:rsidRDefault="00387142" w:rsidP="00387142">
            <w:pPr>
              <w:jc w:val="right"/>
              <w:rPr>
                <w:sz w:val="20"/>
                <w:szCs w:val="20"/>
              </w:rPr>
            </w:pPr>
            <w:r w:rsidRPr="008B6A75">
              <w:rPr>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2AA1D821" w14:textId="77777777" w:rsidR="00387142" w:rsidRPr="008B6A75" w:rsidRDefault="00387142" w:rsidP="00387142">
            <w:pPr>
              <w:jc w:val="right"/>
              <w:rPr>
                <w:sz w:val="20"/>
                <w:szCs w:val="20"/>
              </w:rPr>
            </w:pPr>
            <w:r w:rsidRPr="008B6A75">
              <w:rPr>
                <w:sz w:val="20"/>
                <w:szCs w:val="20"/>
              </w:rPr>
              <w:t>0,00</w:t>
            </w:r>
          </w:p>
        </w:tc>
      </w:tr>
      <w:tr w:rsidR="00387142" w:rsidRPr="008B6A75" w14:paraId="50265A81" w14:textId="77777777" w:rsidTr="00387142">
        <w:trPr>
          <w:trHeight w:val="345"/>
        </w:trPr>
        <w:tc>
          <w:tcPr>
            <w:tcW w:w="3261" w:type="dxa"/>
            <w:tcBorders>
              <w:top w:val="nil"/>
              <w:left w:val="single" w:sz="4" w:space="0" w:color="auto"/>
              <w:bottom w:val="single" w:sz="4" w:space="0" w:color="auto"/>
              <w:right w:val="nil"/>
            </w:tcBorders>
            <w:shd w:val="clear" w:color="auto" w:fill="auto"/>
            <w:vAlign w:val="center"/>
            <w:hideMark/>
          </w:tcPr>
          <w:p w14:paraId="2E845967" w14:textId="77777777" w:rsidR="00387142" w:rsidRPr="008B6A75" w:rsidRDefault="00387142" w:rsidP="00387142">
            <w:pPr>
              <w:rPr>
                <w:bCs/>
                <w:sz w:val="20"/>
                <w:szCs w:val="20"/>
              </w:rPr>
            </w:pPr>
            <w:r w:rsidRPr="008B6A75">
              <w:rPr>
                <w:bCs/>
                <w:sz w:val="20"/>
                <w:szCs w:val="20"/>
              </w:rPr>
              <w:t>Другие общегосударственные вопросы</w:t>
            </w:r>
          </w:p>
        </w:tc>
        <w:tc>
          <w:tcPr>
            <w:tcW w:w="720" w:type="dxa"/>
            <w:tcBorders>
              <w:top w:val="nil"/>
              <w:left w:val="single" w:sz="4" w:space="0" w:color="auto"/>
              <w:bottom w:val="single" w:sz="4" w:space="0" w:color="auto"/>
              <w:right w:val="nil"/>
            </w:tcBorders>
            <w:shd w:val="clear" w:color="auto" w:fill="auto"/>
            <w:noWrap/>
            <w:vAlign w:val="center"/>
            <w:hideMark/>
          </w:tcPr>
          <w:p w14:paraId="26668349" w14:textId="77777777" w:rsidR="00387142" w:rsidRPr="008B6A75" w:rsidRDefault="00387142" w:rsidP="00387142">
            <w:pPr>
              <w:jc w:val="center"/>
              <w:rPr>
                <w:bCs/>
                <w:sz w:val="20"/>
                <w:szCs w:val="20"/>
              </w:rPr>
            </w:pPr>
            <w:r w:rsidRPr="008B6A75">
              <w:rPr>
                <w:bCs/>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5C74A35" w14:textId="77777777" w:rsidR="00387142" w:rsidRPr="008B6A75" w:rsidRDefault="00387142" w:rsidP="00387142">
            <w:pPr>
              <w:jc w:val="center"/>
              <w:rPr>
                <w:bCs/>
                <w:sz w:val="20"/>
                <w:szCs w:val="20"/>
              </w:rPr>
            </w:pPr>
            <w:r w:rsidRPr="008B6A75">
              <w:rPr>
                <w:bCs/>
                <w:sz w:val="20"/>
                <w:szCs w:val="20"/>
              </w:rPr>
              <w:t>13</w:t>
            </w:r>
          </w:p>
        </w:tc>
        <w:tc>
          <w:tcPr>
            <w:tcW w:w="1516" w:type="dxa"/>
            <w:tcBorders>
              <w:top w:val="nil"/>
              <w:left w:val="single" w:sz="4" w:space="0" w:color="auto"/>
              <w:bottom w:val="single" w:sz="4" w:space="0" w:color="auto"/>
              <w:right w:val="nil"/>
            </w:tcBorders>
            <w:shd w:val="clear" w:color="auto" w:fill="auto"/>
            <w:noWrap/>
            <w:vAlign w:val="center"/>
            <w:hideMark/>
          </w:tcPr>
          <w:p w14:paraId="0976A00F" w14:textId="77777777" w:rsidR="00387142" w:rsidRPr="008B6A75" w:rsidRDefault="00387142" w:rsidP="00387142">
            <w:pPr>
              <w:jc w:val="center"/>
              <w:rPr>
                <w:bCs/>
                <w:sz w:val="20"/>
                <w:szCs w:val="20"/>
              </w:rPr>
            </w:pPr>
            <w:r w:rsidRPr="008B6A75">
              <w:rPr>
                <w:bCs/>
                <w:sz w:val="20"/>
                <w:szCs w:val="20"/>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6E719E5"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AD933BF" w14:textId="77777777" w:rsidR="00387142" w:rsidRPr="008B6A75" w:rsidRDefault="00387142" w:rsidP="00387142">
            <w:pPr>
              <w:jc w:val="right"/>
              <w:rPr>
                <w:bCs/>
                <w:sz w:val="20"/>
                <w:szCs w:val="20"/>
              </w:rPr>
            </w:pPr>
            <w:r w:rsidRPr="008B6A75">
              <w:rPr>
                <w:bCs/>
                <w:sz w:val="20"/>
                <w:szCs w:val="20"/>
              </w:rPr>
              <w:t>11 173 436,08</w:t>
            </w:r>
          </w:p>
        </w:tc>
        <w:tc>
          <w:tcPr>
            <w:tcW w:w="992" w:type="dxa"/>
            <w:tcBorders>
              <w:top w:val="nil"/>
              <w:left w:val="single" w:sz="4" w:space="0" w:color="auto"/>
              <w:bottom w:val="single" w:sz="4" w:space="0" w:color="auto"/>
              <w:right w:val="nil"/>
            </w:tcBorders>
            <w:shd w:val="clear" w:color="auto" w:fill="auto"/>
            <w:vAlign w:val="center"/>
            <w:hideMark/>
          </w:tcPr>
          <w:p w14:paraId="49A2D9CA" w14:textId="77777777" w:rsidR="00387142" w:rsidRPr="008B6A75" w:rsidRDefault="00387142" w:rsidP="00387142">
            <w:pPr>
              <w:jc w:val="right"/>
              <w:rPr>
                <w:bCs/>
                <w:sz w:val="20"/>
                <w:szCs w:val="20"/>
              </w:rPr>
            </w:pPr>
            <w:r w:rsidRPr="008B6A75">
              <w:rPr>
                <w:bCs/>
                <w:sz w:val="20"/>
                <w:szCs w:val="20"/>
              </w:rPr>
              <w:t>2 192 000,00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0789E517" w14:textId="77777777" w:rsidR="00387142" w:rsidRPr="008B6A75" w:rsidRDefault="00387142" w:rsidP="00387142">
            <w:pPr>
              <w:jc w:val="right"/>
              <w:rPr>
                <w:bCs/>
                <w:sz w:val="20"/>
                <w:szCs w:val="20"/>
              </w:rPr>
            </w:pPr>
            <w:r w:rsidRPr="008B6A75">
              <w:rPr>
                <w:bCs/>
                <w:sz w:val="20"/>
                <w:szCs w:val="20"/>
              </w:rPr>
              <w:t>2 192 000,00</w:t>
            </w:r>
          </w:p>
        </w:tc>
      </w:tr>
      <w:tr w:rsidR="00387142" w:rsidRPr="008B6A75" w14:paraId="3CAAA62E" w14:textId="77777777" w:rsidTr="00387142">
        <w:trPr>
          <w:trHeight w:val="1155"/>
        </w:trPr>
        <w:tc>
          <w:tcPr>
            <w:tcW w:w="3261" w:type="dxa"/>
            <w:tcBorders>
              <w:top w:val="nil"/>
              <w:left w:val="single" w:sz="4" w:space="0" w:color="auto"/>
              <w:bottom w:val="single" w:sz="4" w:space="0" w:color="auto"/>
              <w:right w:val="nil"/>
            </w:tcBorders>
            <w:shd w:val="clear" w:color="auto" w:fill="auto"/>
            <w:vAlign w:val="center"/>
            <w:hideMark/>
          </w:tcPr>
          <w:p w14:paraId="6A6AD4B6" w14:textId="77777777" w:rsidR="00387142" w:rsidRPr="008B6A75" w:rsidRDefault="00387142" w:rsidP="00387142">
            <w:pPr>
              <w:rPr>
                <w:bCs/>
                <w:sz w:val="20"/>
                <w:szCs w:val="20"/>
              </w:rPr>
            </w:pPr>
            <w:r w:rsidRPr="008B6A75">
              <w:rPr>
                <w:bCs/>
                <w:sz w:val="20"/>
                <w:szCs w:val="20"/>
              </w:rPr>
              <w:t>Муниципальная программа "Развитие и поддержка территориального общественного самоуправления в Куйбышевском районе Новосибирской области "</w:t>
            </w:r>
          </w:p>
        </w:tc>
        <w:tc>
          <w:tcPr>
            <w:tcW w:w="720" w:type="dxa"/>
            <w:tcBorders>
              <w:top w:val="nil"/>
              <w:left w:val="single" w:sz="4" w:space="0" w:color="auto"/>
              <w:bottom w:val="single" w:sz="4" w:space="0" w:color="auto"/>
              <w:right w:val="nil"/>
            </w:tcBorders>
            <w:shd w:val="clear" w:color="auto" w:fill="auto"/>
            <w:noWrap/>
            <w:vAlign w:val="center"/>
            <w:hideMark/>
          </w:tcPr>
          <w:p w14:paraId="1F6F3FC2" w14:textId="77777777" w:rsidR="00387142" w:rsidRPr="008B6A75" w:rsidRDefault="00387142" w:rsidP="00387142">
            <w:pPr>
              <w:jc w:val="center"/>
              <w:rPr>
                <w:bCs/>
                <w:sz w:val="20"/>
                <w:szCs w:val="20"/>
              </w:rPr>
            </w:pPr>
            <w:r w:rsidRPr="008B6A75">
              <w:rPr>
                <w:bCs/>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9EDAFB3" w14:textId="77777777" w:rsidR="00387142" w:rsidRPr="008B6A75" w:rsidRDefault="00387142" w:rsidP="00387142">
            <w:pPr>
              <w:jc w:val="center"/>
              <w:rPr>
                <w:bCs/>
                <w:sz w:val="20"/>
                <w:szCs w:val="20"/>
              </w:rPr>
            </w:pPr>
            <w:r w:rsidRPr="008B6A75">
              <w:rPr>
                <w:bCs/>
                <w:sz w:val="20"/>
                <w:szCs w:val="20"/>
              </w:rPr>
              <w:t>13</w:t>
            </w:r>
          </w:p>
        </w:tc>
        <w:tc>
          <w:tcPr>
            <w:tcW w:w="1516" w:type="dxa"/>
            <w:tcBorders>
              <w:top w:val="nil"/>
              <w:left w:val="single" w:sz="4" w:space="0" w:color="auto"/>
              <w:bottom w:val="single" w:sz="4" w:space="0" w:color="auto"/>
              <w:right w:val="nil"/>
            </w:tcBorders>
            <w:shd w:val="clear" w:color="auto" w:fill="auto"/>
            <w:noWrap/>
            <w:vAlign w:val="center"/>
            <w:hideMark/>
          </w:tcPr>
          <w:p w14:paraId="7E7A1EAB" w14:textId="77777777" w:rsidR="00387142" w:rsidRPr="008B6A75" w:rsidRDefault="00387142" w:rsidP="00387142">
            <w:pPr>
              <w:jc w:val="center"/>
              <w:rPr>
                <w:bCs/>
                <w:sz w:val="20"/>
                <w:szCs w:val="20"/>
              </w:rPr>
            </w:pPr>
            <w:r w:rsidRPr="008B6A75">
              <w:rPr>
                <w:bCs/>
                <w:sz w:val="20"/>
                <w:szCs w:val="20"/>
              </w:rPr>
              <w:t>15.0.00.00000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DF7929D"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DC05AB1" w14:textId="77777777" w:rsidR="00387142" w:rsidRPr="008B6A75" w:rsidRDefault="00387142" w:rsidP="00387142">
            <w:pPr>
              <w:jc w:val="right"/>
              <w:rPr>
                <w:bCs/>
                <w:sz w:val="20"/>
                <w:szCs w:val="20"/>
              </w:rPr>
            </w:pPr>
            <w:r w:rsidRPr="008B6A75">
              <w:rPr>
                <w:bCs/>
                <w:sz w:val="20"/>
                <w:szCs w:val="20"/>
              </w:rPr>
              <w:t>945 900,00</w:t>
            </w:r>
          </w:p>
        </w:tc>
        <w:tc>
          <w:tcPr>
            <w:tcW w:w="992" w:type="dxa"/>
            <w:tcBorders>
              <w:top w:val="nil"/>
              <w:left w:val="single" w:sz="4" w:space="0" w:color="auto"/>
              <w:bottom w:val="single" w:sz="4" w:space="0" w:color="auto"/>
              <w:right w:val="nil"/>
            </w:tcBorders>
            <w:shd w:val="clear" w:color="auto" w:fill="auto"/>
            <w:vAlign w:val="center"/>
            <w:hideMark/>
          </w:tcPr>
          <w:p w14:paraId="276400FC" w14:textId="77777777" w:rsidR="00387142" w:rsidRPr="008B6A75" w:rsidRDefault="00387142" w:rsidP="00387142">
            <w:pPr>
              <w:jc w:val="right"/>
              <w:rPr>
                <w:bCs/>
                <w:sz w:val="20"/>
                <w:szCs w:val="20"/>
              </w:rPr>
            </w:pPr>
            <w:r w:rsidRPr="008B6A75">
              <w:rPr>
                <w:bCs/>
                <w:sz w:val="20"/>
                <w:szCs w:val="20"/>
              </w:rPr>
              <w:t>927 000,00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42867E5E" w14:textId="77777777" w:rsidR="00387142" w:rsidRPr="008B6A75" w:rsidRDefault="00387142" w:rsidP="00387142">
            <w:pPr>
              <w:jc w:val="right"/>
              <w:rPr>
                <w:bCs/>
                <w:sz w:val="20"/>
                <w:szCs w:val="20"/>
              </w:rPr>
            </w:pPr>
            <w:r w:rsidRPr="008B6A75">
              <w:rPr>
                <w:bCs/>
                <w:sz w:val="20"/>
                <w:szCs w:val="20"/>
              </w:rPr>
              <w:t>927 000,00</w:t>
            </w:r>
          </w:p>
        </w:tc>
      </w:tr>
      <w:tr w:rsidR="00387142" w:rsidRPr="008B6A75" w14:paraId="36266136" w14:textId="77777777" w:rsidTr="00387142">
        <w:trPr>
          <w:trHeight w:val="1440"/>
        </w:trPr>
        <w:tc>
          <w:tcPr>
            <w:tcW w:w="3261" w:type="dxa"/>
            <w:tcBorders>
              <w:top w:val="nil"/>
              <w:left w:val="single" w:sz="4" w:space="0" w:color="auto"/>
              <w:bottom w:val="single" w:sz="4" w:space="0" w:color="auto"/>
              <w:right w:val="nil"/>
            </w:tcBorders>
            <w:shd w:val="clear" w:color="auto" w:fill="auto"/>
            <w:vAlign w:val="center"/>
            <w:hideMark/>
          </w:tcPr>
          <w:p w14:paraId="79B5F7DE" w14:textId="77777777" w:rsidR="00387142" w:rsidRPr="008B6A75" w:rsidRDefault="00387142" w:rsidP="00387142">
            <w:pPr>
              <w:rPr>
                <w:bCs/>
                <w:sz w:val="20"/>
                <w:szCs w:val="20"/>
              </w:rPr>
            </w:pPr>
            <w:r w:rsidRPr="008B6A75">
              <w:rPr>
                <w:bCs/>
                <w:sz w:val="20"/>
                <w:szCs w:val="20"/>
              </w:rPr>
              <w:t>Реализация мероприятий в рамках МП "Развитие и поддержка территориального общественного самоуправления в Куйбышевском районе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14:paraId="54F2F296" w14:textId="77777777" w:rsidR="00387142" w:rsidRPr="008B6A75" w:rsidRDefault="00387142" w:rsidP="00387142">
            <w:pPr>
              <w:jc w:val="center"/>
              <w:rPr>
                <w:bCs/>
                <w:sz w:val="20"/>
                <w:szCs w:val="20"/>
              </w:rPr>
            </w:pPr>
            <w:r w:rsidRPr="008B6A75">
              <w:rPr>
                <w:bCs/>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75156E9" w14:textId="77777777" w:rsidR="00387142" w:rsidRPr="008B6A75" w:rsidRDefault="00387142" w:rsidP="00387142">
            <w:pPr>
              <w:jc w:val="center"/>
              <w:rPr>
                <w:bCs/>
                <w:sz w:val="20"/>
                <w:szCs w:val="20"/>
              </w:rPr>
            </w:pPr>
            <w:r w:rsidRPr="008B6A75">
              <w:rPr>
                <w:bCs/>
                <w:sz w:val="20"/>
                <w:szCs w:val="20"/>
              </w:rPr>
              <w:t>13</w:t>
            </w:r>
          </w:p>
        </w:tc>
        <w:tc>
          <w:tcPr>
            <w:tcW w:w="1516" w:type="dxa"/>
            <w:tcBorders>
              <w:top w:val="nil"/>
              <w:left w:val="single" w:sz="4" w:space="0" w:color="auto"/>
              <w:bottom w:val="single" w:sz="4" w:space="0" w:color="auto"/>
              <w:right w:val="nil"/>
            </w:tcBorders>
            <w:shd w:val="clear" w:color="auto" w:fill="auto"/>
            <w:noWrap/>
            <w:vAlign w:val="center"/>
            <w:hideMark/>
          </w:tcPr>
          <w:p w14:paraId="567FEA21" w14:textId="77777777" w:rsidR="00387142" w:rsidRPr="008B6A75" w:rsidRDefault="00387142" w:rsidP="00387142">
            <w:pPr>
              <w:jc w:val="center"/>
              <w:rPr>
                <w:bCs/>
                <w:sz w:val="20"/>
                <w:szCs w:val="20"/>
              </w:rPr>
            </w:pPr>
            <w:r w:rsidRPr="008B6A75">
              <w:rPr>
                <w:bCs/>
                <w:sz w:val="20"/>
                <w:szCs w:val="20"/>
              </w:rPr>
              <w:t>15.0.00.19500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445EAC1"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94B9DC5" w14:textId="77777777" w:rsidR="00387142" w:rsidRPr="008B6A75" w:rsidRDefault="00387142" w:rsidP="00387142">
            <w:pPr>
              <w:jc w:val="right"/>
              <w:rPr>
                <w:bCs/>
                <w:sz w:val="20"/>
                <w:szCs w:val="20"/>
              </w:rPr>
            </w:pPr>
            <w:r w:rsidRPr="008B6A75">
              <w:rPr>
                <w:bCs/>
                <w:sz w:val="20"/>
                <w:szCs w:val="20"/>
              </w:rPr>
              <w:t>18 900,00</w:t>
            </w:r>
          </w:p>
        </w:tc>
        <w:tc>
          <w:tcPr>
            <w:tcW w:w="992" w:type="dxa"/>
            <w:tcBorders>
              <w:top w:val="nil"/>
              <w:left w:val="single" w:sz="4" w:space="0" w:color="auto"/>
              <w:bottom w:val="single" w:sz="4" w:space="0" w:color="auto"/>
              <w:right w:val="nil"/>
            </w:tcBorders>
            <w:shd w:val="clear" w:color="auto" w:fill="auto"/>
            <w:vAlign w:val="center"/>
            <w:hideMark/>
          </w:tcPr>
          <w:p w14:paraId="34F05620" w14:textId="77777777" w:rsidR="00387142" w:rsidRPr="008B6A75" w:rsidRDefault="00387142" w:rsidP="00387142">
            <w:pPr>
              <w:jc w:val="right"/>
              <w:rPr>
                <w:bCs/>
                <w:sz w:val="20"/>
                <w:szCs w:val="20"/>
              </w:rPr>
            </w:pPr>
            <w:r w:rsidRPr="008B6A75">
              <w:rPr>
                <w:bCs/>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0324CF03" w14:textId="77777777" w:rsidR="00387142" w:rsidRPr="008B6A75" w:rsidRDefault="00387142" w:rsidP="00387142">
            <w:pPr>
              <w:jc w:val="right"/>
              <w:rPr>
                <w:bCs/>
                <w:sz w:val="20"/>
                <w:szCs w:val="20"/>
              </w:rPr>
            </w:pPr>
            <w:r w:rsidRPr="008B6A75">
              <w:rPr>
                <w:bCs/>
                <w:sz w:val="20"/>
                <w:szCs w:val="20"/>
              </w:rPr>
              <w:t>0,00</w:t>
            </w:r>
          </w:p>
        </w:tc>
      </w:tr>
      <w:tr w:rsidR="00387142" w:rsidRPr="008B6A75" w14:paraId="768A80AB" w14:textId="77777777" w:rsidTr="00387142">
        <w:trPr>
          <w:trHeight w:val="870"/>
        </w:trPr>
        <w:tc>
          <w:tcPr>
            <w:tcW w:w="3261" w:type="dxa"/>
            <w:tcBorders>
              <w:top w:val="nil"/>
              <w:left w:val="single" w:sz="4" w:space="0" w:color="auto"/>
              <w:bottom w:val="single" w:sz="4" w:space="0" w:color="auto"/>
              <w:right w:val="nil"/>
            </w:tcBorders>
            <w:shd w:val="clear" w:color="auto" w:fill="auto"/>
            <w:vAlign w:val="center"/>
            <w:hideMark/>
          </w:tcPr>
          <w:p w14:paraId="796C1428" w14:textId="77777777" w:rsidR="00387142" w:rsidRPr="008B6A75" w:rsidRDefault="00387142" w:rsidP="00387142">
            <w:pPr>
              <w:rPr>
                <w:sz w:val="20"/>
                <w:szCs w:val="20"/>
              </w:rPr>
            </w:pPr>
            <w:r w:rsidRPr="008B6A75">
              <w:rPr>
                <w:sz w:val="20"/>
                <w:szCs w:val="20"/>
              </w:rPr>
              <w:t>Предоставление субсидий бюджетным, автономным учреждениям и иным некоммерческим организациям</w:t>
            </w:r>
          </w:p>
        </w:tc>
        <w:tc>
          <w:tcPr>
            <w:tcW w:w="720" w:type="dxa"/>
            <w:tcBorders>
              <w:top w:val="nil"/>
              <w:left w:val="single" w:sz="4" w:space="0" w:color="auto"/>
              <w:bottom w:val="single" w:sz="4" w:space="0" w:color="auto"/>
              <w:right w:val="nil"/>
            </w:tcBorders>
            <w:shd w:val="clear" w:color="auto" w:fill="auto"/>
            <w:noWrap/>
            <w:vAlign w:val="center"/>
            <w:hideMark/>
          </w:tcPr>
          <w:p w14:paraId="424E3493" w14:textId="77777777" w:rsidR="00387142" w:rsidRPr="008B6A75" w:rsidRDefault="00387142" w:rsidP="00387142">
            <w:pPr>
              <w:jc w:val="center"/>
              <w:rPr>
                <w:sz w:val="20"/>
                <w:szCs w:val="20"/>
              </w:rPr>
            </w:pPr>
            <w:r w:rsidRPr="008B6A75">
              <w:rPr>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D43B090" w14:textId="77777777" w:rsidR="00387142" w:rsidRPr="008B6A75" w:rsidRDefault="00387142" w:rsidP="00387142">
            <w:pPr>
              <w:jc w:val="center"/>
              <w:rPr>
                <w:sz w:val="20"/>
                <w:szCs w:val="20"/>
              </w:rPr>
            </w:pPr>
            <w:r w:rsidRPr="008B6A75">
              <w:rPr>
                <w:sz w:val="20"/>
                <w:szCs w:val="20"/>
              </w:rPr>
              <w:t>13</w:t>
            </w:r>
          </w:p>
        </w:tc>
        <w:tc>
          <w:tcPr>
            <w:tcW w:w="1516" w:type="dxa"/>
            <w:tcBorders>
              <w:top w:val="nil"/>
              <w:left w:val="single" w:sz="4" w:space="0" w:color="auto"/>
              <w:bottom w:val="single" w:sz="4" w:space="0" w:color="auto"/>
              <w:right w:val="nil"/>
            </w:tcBorders>
            <w:shd w:val="clear" w:color="auto" w:fill="auto"/>
            <w:noWrap/>
            <w:vAlign w:val="center"/>
            <w:hideMark/>
          </w:tcPr>
          <w:p w14:paraId="38D950E4" w14:textId="77777777" w:rsidR="00387142" w:rsidRPr="008B6A75" w:rsidRDefault="00387142" w:rsidP="00387142">
            <w:pPr>
              <w:jc w:val="center"/>
              <w:rPr>
                <w:sz w:val="20"/>
                <w:szCs w:val="20"/>
              </w:rPr>
            </w:pPr>
            <w:r w:rsidRPr="008B6A75">
              <w:rPr>
                <w:sz w:val="20"/>
                <w:szCs w:val="20"/>
              </w:rPr>
              <w:t>15.0.00.19500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40106BC" w14:textId="77777777" w:rsidR="00387142" w:rsidRPr="008B6A75" w:rsidRDefault="00387142" w:rsidP="00387142">
            <w:pPr>
              <w:jc w:val="center"/>
              <w:rPr>
                <w:sz w:val="20"/>
                <w:szCs w:val="20"/>
              </w:rPr>
            </w:pPr>
            <w:r w:rsidRPr="008B6A75">
              <w:rPr>
                <w:sz w:val="20"/>
                <w:szCs w:val="20"/>
              </w:rPr>
              <w:t>600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66C0DD9" w14:textId="77777777" w:rsidR="00387142" w:rsidRPr="008B6A75" w:rsidRDefault="00387142" w:rsidP="00387142">
            <w:pPr>
              <w:jc w:val="right"/>
              <w:rPr>
                <w:sz w:val="20"/>
                <w:szCs w:val="20"/>
              </w:rPr>
            </w:pPr>
            <w:r w:rsidRPr="008B6A75">
              <w:rPr>
                <w:sz w:val="20"/>
                <w:szCs w:val="20"/>
              </w:rPr>
              <w:t>18 900,00</w:t>
            </w:r>
          </w:p>
        </w:tc>
        <w:tc>
          <w:tcPr>
            <w:tcW w:w="992" w:type="dxa"/>
            <w:tcBorders>
              <w:top w:val="nil"/>
              <w:left w:val="single" w:sz="4" w:space="0" w:color="auto"/>
              <w:bottom w:val="single" w:sz="4" w:space="0" w:color="auto"/>
              <w:right w:val="nil"/>
            </w:tcBorders>
            <w:shd w:val="clear" w:color="auto" w:fill="auto"/>
            <w:vAlign w:val="center"/>
            <w:hideMark/>
          </w:tcPr>
          <w:p w14:paraId="6A5C1678" w14:textId="77777777" w:rsidR="00387142" w:rsidRPr="008B6A75" w:rsidRDefault="00387142" w:rsidP="00387142">
            <w:pPr>
              <w:jc w:val="right"/>
              <w:rPr>
                <w:sz w:val="20"/>
                <w:szCs w:val="20"/>
              </w:rPr>
            </w:pPr>
            <w:r w:rsidRPr="008B6A75">
              <w:rPr>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69D6F539" w14:textId="77777777" w:rsidR="00387142" w:rsidRPr="008B6A75" w:rsidRDefault="00387142" w:rsidP="00387142">
            <w:pPr>
              <w:jc w:val="right"/>
              <w:rPr>
                <w:sz w:val="20"/>
                <w:szCs w:val="20"/>
              </w:rPr>
            </w:pPr>
            <w:r w:rsidRPr="008B6A75">
              <w:rPr>
                <w:sz w:val="20"/>
                <w:szCs w:val="20"/>
              </w:rPr>
              <w:t>0,00</w:t>
            </w:r>
          </w:p>
        </w:tc>
      </w:tr>
      <w:tr w:rsidR="00387142" w:rsidRPr="008B6A75" w14:paraId="22D02E23" w14:textId="77777777" w:rsidTr="00387142">
        <w:trPr>
          <w:trHeight w:val="870"/>
        </w:trPr>
        <w:tc>
          <w:tcPr>
            <w:tcW w:w="3261" w:type="dxa"/>
            <w:tcBorders>
              <w:top w:val="nil"/>
              <w:left w:val="single" w:sz="4" w:space="0" w:color="auto"/>
              <w:bottom w:val="single" w:sz="4" w:space="0" w:color="auto"/>
              <w:right w:val="nil"/>
            </w:tcBorders>
            <w:shd w:val="clear" w:color="auto" w:fill="auto"/>
            <w:vAlign w:val="center"/>
            <w:hideMark/>
          </w:tcPr>
          <w:p w14:paraId="3A770EB7" w14:textId="77777777" w:rsidR="00387142" w:rsidRPr="008B6A75" w:rsidRDefault="00387142" w:rsidP="00387142">
            <w:pPr>
              <w:rPr>
                <w:sz w:val="20"/>
                <w:szCs w:val="20"/>
              </w:rPr>
            </w:pPr>
            <w:r w:rsidRPr="008B6A75">
              <w:rPr>
                <w:sz w:val="20"/>
                <w:szCs w:val="20"/>
              </w:rPr>
              <w:t>Субсидии некоммерческим организациям (за исключением государственных (муниципальных) учреждений)</w:t>
            </w:r>
          </w:p>
        </w:tc>
        <w:tc>
          <w:tcPr>
            <w:tcW w:w="720" w:type="dxa"/>
            <w:tcBorders>
              <w:top w:val="nil"/>
              <w:left w:val="single" w:sz="4" w:space="0" w:color="auto"/>
              <w:bottom w:val="single" w:sz="4" w:space="0" w:color="auto"/>
              <w:right w:val="nil"/>
            </w:tcBorders>
            <w:shd w:val="clear" w:color="auto" w:fill="auto"/>
            <w:noWrap/>
            <w:vAlign w:val="center"/>
            <w:hideMark/>
          </w:tcPr>
          <w:p w14:paraId="047C6038" w14:textId="77777777" w:rsidR="00387142" w:rsidRPr="008B6A75" w:rsidRDefault="00387142" w:rsidP="00387142">
            <w:pPr>
              <w:jc w:val="center"/>
              <w:rPr>
                <w:sz w:val="20"/>
                <w:szCs w:val="20"/>
              </w:rPr>
            </w:pPr>
            <w:r w:rsidRPr="008B6A75">
              <w:rPr>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28400BD" w14:textId="77777777" w:rsidR="00387142" w:rsidRPr="008B6A75" w:rsidRDefault="00387142" w:rsidP="00387142">
            <w:pPr>
              <w:jc w:val="center"/>
              <w:rPr>
                <w:sz w:val="20"/>
                <w:szCs w:val="20"/>
              </w:rPr>
            </w:pPr>
            <w:r w:rsidRPr="008B6A75">
              <w:rPr>
                <w:sz w:val="20"/>
                <w:szCs w:val="20"/>
              </w:rPr>
              <w:t>13</w:t>
            </w:r>
          </w:p>
        </w:tc>
        <w:tc>
          <w:tcPr>
            <w:tcW w:w="1516" w:type="dxa"/>
            <w:tcBorders>
              <w:top w:val="nil"/>
              <w:left w:val="single" w:sz="4" w:space="0" w:color="auto"/>
              <w:bottom w:val="single" w:sz="4" w:space="0" w:color="auto"/>
              <w:right w:val="nil"/>
            </w:tcBorders>
            <w:shd w:val="clear" w:color="auto" w:fill="auto"/>
            <w:noWrap/>
            <w:vAlign w:val="center"/>
            <w:hideMark/>
          </w:tcPr>
          <w:p w14:paraId="0D1D1593" w14:textId="77777777" w:rsidR="00387142" w:rsidRPr="008B6A75" w:rsidRDefault="00387142" w:rsidP="00387142">
            <w:pPr>
              <w:jc w:val="center"/>
              <w:rPr>
                <w:sz w:val="20"/>
                <w:szCs w:val="20"/>
              </w:rPr>
            </w:pPr>
            <w:r w:rsidRPr="008B6A75">
              <w:rPr>
                <w:sz w:val="20"/>
                <w:szCs w:val="20"/>
              </w:rPr>
              <w:t>15.0.00.19500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FD163BF" w14:textId="77777777" w:rsidR="00387142" w:rsidRPr="008B6A75" w:rsidRDefault="00387142" w:rsidP="00387142">
            <w:pPr>
              <w:jc w:val="center"/>
              <w:rPr>
                <w:sz w:val="20"/>
                <w:szCs w:val="20"/>
              </w:rPr>
            </w:pPr>
            <w:r w:rsidRPr="008B6A75">
              <w:rPr>
                <w:sz w:val="20"/>
                <w:szCs w:val="20"/>
              </w:rPr>
              <w:t>630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EEC6AD6" w14:textId="77777777" w:rsidR="00387142" w:rsidRPr="008B6A75" w:rsidRDefault="00387142" w:rsidP="00387142">
            <w:pPr>
              <w:jc w:val="right"/>
              <w:rPr>
                <w:sz w:val="20"/>
                <w:szCs w:val="20"/>
              </w:rPr>
            </w:pPr>
            <w:r w:rsidRPr="008B6A75">
              <w:rPr>
                <w:sz w:val="20"/>
                <w:szCs w:val="20"/>
              </w:rPr>
              <w:t>18 900,00</w:t>
            </w:r>
          </w:p>
        </w:tc>
        <w:tc>
          <w:tcPr>
            <w:tcW w:w="992" w:type="dxa"/>
            <w:tcBorders>
              <w:top w:val="nil"/>
              <w:left w:val="single" w:sz="4" w:space="0" w:color="auto"/>
              <w:bottom w:val="single" w:sz="4" w:space="0" w:color="auto"/>
              <w:right w:val="nil"/>
            </w:tcBorders>
            <w:shd w:val="clear" w:color="auto" w:fill="auto"/>
            <w:vAlign w:val="center"/>
            <w:hideMark/>
          </w:tcPr>
          <w:p w14:paraId="1ECB3C0E" w14:textId="77777777" w:rsidR="00387142" w:rsidRPr="008B6A75" w:rsidRDefault="00387142" w:rsidP="00387142">
            <w:pPr>
              <w:jc w:val="right"/>
              <w:rPr>
                <w:sz w:val="20"/>
                <w:szCs w:val="20"/>
              </w:rPr>
            </w:pPr>
            <w:r w:rsidRPr="008B6A75">
              <w:rPr>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75CBB448" w14:textId="77777777" w:rsidR="00387142" w:rsidRPr="008B6A75" w:rsidRDefault="00387142" w:rsidP="00387142">
            <w:pPr>
              <w:jc w:val="right"/>
              <w:rPr>
                <w:sz w:val="20"/>
                <w:szCs w:val="20"/>
              </w:rPr>
            </w:pPr>
            <w:r w:rsidRPr="008B6A75">
              <w:rPr>
                <w:sz w:val="20"/>
                <w:szCs w:val="20"/>
              </w:rPr>
              <w:t>0,00</w:t>
            </w:r>
          </w:p>
        </w:tc>
      </w:tr>
      <w:tr w:rsidR="00387142" w:rsidRPr="008B6A75" w14:paraId="5358DF1E" w14:textId="77777777" w:rsidTr="00387142">
        <w:trPr>
          <w:trHeight w:val="2865"/>
        </w:trPr>
        <w:tc>
          <w:tcPr>
            <w:tcW w:w="3261" w:type="dxa"/>
            <w:tcBorders>
              <w:top w:val="nil"/>
              <w:left w:val="single" w:sz="4" w:space="0" w:color="auto"/>
              <w:bottom w:val="single" w:sz="4" w:space="0" w:color="auto"/>
              <w:right w:val="nil"/>
            </w:tcBorders>
            <w:shd w:val="clear" w:color="auto" w:fill="auto"/>
            <w:vAlign w:val="center"/>
            <w:hideMark/>
          </w:tcPr>
          <w:p w14:paraId="2786B17C" w14:textId="77777777" w:rsidR="00387142" w:rsidRPr="008B6A75" w:rsidRDefault="00387142" w:rsidP="00387142">
            <w:pPr>
              <w:rPr>
                <w:bCs/>
                <w:sz w:val="20"/>
                <w:szCs w:val="20"/>
              </w:rPr>
            </w:pPr>
            <w:proofErr w:type="spellStart"/>
            <w:r w:rsidRPr="008B6A75">
              <w:rPr>
                <w:bCs/>
                <w:sz w:val="20"/>
                <w:szCs w:val="20"/>
              </w:rPr>
              <w:t>Софинансирование</w:t>
            </w:r>
            <w:proofErr w:type="spellEnd"/>
            <w:r w:rsidRPr="008B6A75">
              <w:rPr>
                <w:bCs/>
                <w:sz w:val="20"/>
                <w:szCs w:val="20"/>
              </w:rPr>
              <w:t xml:space="preserve"> мероприятий муниципальных программ развития территориального общественного самоуправления в Новосибирской области подпрограммы «Содействие развитию местного самоуправления» государственной программы Новосибирской области "Развитие институтов региональной политики и гражданского общества в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14:paraId="7553A16F" w14:textId="77777777" w:rsidR="00387142" w:rsidRPr="008B6A75" w:rsidRDefault="00387142" w:rsidP="00387142">
            <w:pPr>
              <w:jc w:val="center"/>
              <w:rPr>
                <w:bCs/>
                <w:sz w:val="20"/>
                <w:szCs w:val="20"/>
              </w:rPr>
            </w:pPr>
            <w:r w:rsidRPr="008B6A75">
              <w:rPr>
                <w:bCs/>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46512CA" w14:textId="77777777" w:rsidR="00387142" w:rsidRPr="008B6A75" w:rsidRDefault="00387142" w:rsidP="00387142">
            <w:pPr>
              <w:jc w:val="center"/>
              <w:rPr>
                <w:bCs/>
                <w:sz w:val="20"/>
                <w:szCs w:val="20"/>
              </w:rPr>
            </w:pPr>
            <w:r w:rsidRPr="008B6A75">
              <w:rPr>
                <w:bCs/>
                <w:sz w:val="20"/>
                <w:szCs w:val="20"/>
              </w:rPr>
              <w:t>13</w:t>
            </w:r>
          </w:p>
        </w:tc>
        <w:tc>
          <w:tcPr>
            <w:tcW w:w="1516" w:type="dxa"/>
            <w:tcBorders>
              <w:top w:val="nil"/>
              <w:left w:val="single" w:sz="4" w:space="0" w:color="auto"/>
              <w:bottom w:val="single" w:sz="4" w:space="0" w:color="auto"/>
              <w:right w:val="nil"/>
            </w:tcBorders>
            <w:shd w:val="clear" w:color="auto" w:fill="auto"/>
            <w:noWrap/>
            <w:vAlign w:val="center"/>
            <w:hideMark/>
          </w:tcPr>
          <w:p w14:paraId="548EA5C6" w14:textId="77777777" w:rsidR="00387142" w:rsidRPr="008B6A75" w:rsidRDefault="00387142" w:rsidP="00387142">
            <w:pPr>
              <w:jc w:val="center"/>
              <w:rPr>
                <w:bCs/>
                <w:sz w:val="20"/>
                <w:szCs w:val="20"/>
              </w:rPr>
            </w:pPr>
            <w:r w:rsidRPr="008B6A75">
              <w:rPr>
                <w:bCs/>
                <w:sz w:val="20"/>
                <w:szCs w:val="20"/>
              </w:rPr>
              <w:t>15.0.00.70610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F7A8753"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AA678A9" w14:textId="77777777" w:rsidR="00387142" w:rsidRPr="008B6A75" w:rsidRDefault="00387142" w:rsidP="00387142">
            <w:pPr>
              <w:jc w:val="right"/>
              <w:rPr>
                <w:bCs/>
                <w:sz w:val="20"/>
                <w:szCs w:val="20"/>
              </w:rPr>
            </w:pPr>
            <w:r w:rsidRPr="008B6A75">
              <w:rPr>
                <w:bCs/>
                <w:sz w:val="20"/>
                <w:szCs w:val="20"/>
              </w:rPr>
              <w:t>927 000,00</w:t>
            </w:r>
          </w:p>
        </w:tc>
        <w:tc>
          <w:tcPr>
            <w:tcW w:w="992" w:type="dxa"/>
            <w:tcBorders>
              <w:top w:val="nil"/>
              <w:left w:val="single" w:sz="4" w:space="0" w:color="auto"/>
              <w:bottom w:val="single" w:sz="4" w:space="0" w:color="auto"/>
              <w:right w:val="nil"/>
            </w:tcBorders>
            <w:shd w:val="clear" w:color="auto" w:fill="auto"/>
            <w:vAlign w:val="center"/>
            <w:hideMark/>
          </w:tcPr>
          <w:p w14:paraId="7F6FA875" w14:textId="77777777" w:rsidR="00387142" w:rsidRPr="008B6A75" w:rsidRDefault="00387142" w:rsidP="00387142">
            <w:pPr>
              <w:jc w:val="right"/>
              <w:rPr>
                <w:bCs/>
                <w:sz w:val="20"/>
                <w:szCs w:val="20"/>
              </w:rPr>
            </w:pPr>
            <w:r w:rsidRPr="008B6A75">
              <w:rPr>
                <w:bCs/>
                <w:sz w:val="20"/>
                <w:szCs w:val="20"/>
              </w:rPr>
              <w:t>927 000,00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799E9220" w14:textId="77777777" w:rsidR="00387142" w:rsidRPr="008B6A75" w:rsidRDefault="00387142" w:rsidP="00387142">
            <w:pPr>
              <w:jc w:val="right"/>
              <w:rPr>
                <w:bCs/>
                <w:sz w:val="20"/>
                <w:szCs w:val="20"/>
              </w:rPr>
            </w:pPr>
            <w:r w:rsidRPr="008B6A75">
              <w:rPr>
                <w:bCs/>
                <w:sz w:val="20"/>
                <w:szCs w:val="20"/>
              </w:rPr>
              <w:t>927 000,00</w:t>
            </w:r>
          </w:p>
        </w:tc>
      </w:tr>
      <w:tr w:rsidR="00387142" w:rsidRPr="008B6A75" w14:paraId="21CAD0D9" w14:textId="77777777" w:rsidTr="00387142">
        <w:trPr>
          <w:trHeight w:val="870"/>
        </w:trPr>
        <w:tc>
          <w:tcPr>
            <w:tcW w:w="3261" w:type="dxa"/>
            <w:tcBorders>
              <w:top w:val="nil"/>
              <w:left w:val="single" w:sz="4" w:space="0" w:color="auto"/>
              <w:bottom w:val="single" w:sz="4" w:space="0" w:color="auto"/>
              <w:right w:val="nil"/>
            </w:tcBorders>
            <w:shd w:val="clear" w:color="auto" w:fill="auto"/>
            <w:vAlign w:val="center"/>
            <w:hideMark/>
          </w:tcPr>
          <w:p w14:paraId="137467BB" w14:textId="77777777" w:rsidR="00387142" w:rsidRPr="008B6A75" w:rsidRDefault="00387142" w:rsidP="00387142">
            <w:pPr>
              <w:rPr>
                <w:sz w:val="20"/>
                <w:szCs w:val="20"/>
              </w:rPr>
            </w:pPr>
            <w:r w:rsidRPr="008B6A75">
              <w:rPr>
                <w:sz w:val="20"/>
                <w:szCs w:val="20"/>
              </w:rPr>
              <w:lastRenderedPageBreak/>
              <w:t>Предоставление субсидий бюджетным, автономным учреждениям и иным некоммерческим организациям</w:t>
            </w:r>
          </w:p>
        </w:tc>
        <w:tc>
          <w:tcPr>
            <w:tcW w:w="720" w:type="dxa"/>
            <w:tcBorders>
              <w:top w:val="nil"/>
              <w:left w:val="single" w:sz="4" w:space="0" w:color="auto"/>
              <w:bottom w:val="single" w:sz="4" w:space="0" w:color="auto"/>
              <w:right w:val="nil"/>
            </w:tcBorders>
            <w:shd w:val="clear" w:color="auto" w:fill="auto"/>
            <w:noWrap/>
            <w:vAlign w:val="center"/>
            <w:hideMark/>
          </w:tcPr>
          <w:p w14:paraId="73BC1EA3" w14:textId="77777777" w:rsidR="00387142" w:rsidRPr="008B6A75" w:rsidRDefault="00387142" w:rsidP="00387142">
            <w:pPr>
              <w:jc w:val="center"/>
              <w:rPr>
                <w:sz w:val="20"/>
                <w:szCs w:val="20"/>
              </w:rPr>
            </w:pPr>
            <w:r w:rsidRPr="008B6A75">
              <w:rPr>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2F04BC7" w14:textId="77777777" w:rsidR="00387142" w:rsidRPr="008B6A75" w:rsidRDefault="00387142" w:rsidP="00387142">
            <w:pPr>
              <w:jc w:val="center"/>
              <w:rPr>
                <w:sz w:val="20"/>
                <w:szCs w:val="20"/>
              </w:rPr>
            </w:pPr>
            <w:r w:rsidRPr="008B6A75">
              <w:rPr>
                <w:sz w:val="20"/>
                <w:szCs w:val="20"/>
              </w:rPr>
              <w:t>13</w:t>
            </w:r>
          </w:p>
        </w:tc>
        <w:tc>
          <w:tcPr>
            <w:tcW w:w="1516" w:type="dxa"/>
            <w:tcBorders>
              <w:top w:val="nil"/>
              <w:left w:val="single" w:sz="4" w:space="0" w:color="auto"/>
              <w:bottom w:val="single" w:sz="4" w:space="0" w:color="auto"/>
              <w:right w:val="nil"/>
            </w:tcBorders>
            <w:shd w:val="clear" w:color="auto" w:fill="auto"/>
            <w:noWrap/>
            <w:vAlign w:val="center"/>
            <w:hideMark/>
          </w:tcPr>
          <w:p w14:paraId="2797CED0" w14:textId="77777777" w:rsidR="00387142" w:rsidRPr="008B6A75" w:rsidRDefault="00387142" w:rsidP="00387142">
            <w:pPr>
              <w:jc w:val="center"/>
              <w:rPr>
                <w:sz w:val="20"/>
                <w:szCs w:val="20"/>
              </w:rPr>
            </w:pPr>
            <w:r w:rsidRPr="008B6A75">
              <w:rPr>
                <w:sz w:val="20"/>
                <w:szCs w:val="20"/>
              </w:rPr>
              <w:t>15.0.00.70610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5E5B9EA" w14:textId="77777777" w:rsidR="00387142" w:rsidRPr="008B6A75" w:rsidRDefault="00387142" w:rsidP="00387142">
            <w:pPr>
              <w:jc w:val="center"/>
              <w:rPr>
                <w:sz w:val="20"/>
                <w:szCs w:val="20"/>
              </w:rPr>
            </w:pPr>
            <w:r w:rsidRPr="008B6A75">
              <w:rPr>
                <w:sz w:val="20"/>
                <w:szCs w:val="20"/>
              </w:rPr>
              <w:t>600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919E9E6" w14:textId="77777777" w:rsidR="00387142" w:rsidRPr="008B6A75" w:rsidRDefault="00387142" w:rsidP="00387142">
            <w:pPr>
              <w:jc w:val="right"/>
              <w:rPr>
                <w:sz w:val="20"/>
                <w:szCs w:val="20"/>
              </w:rPr>
            </w:pPr>
            <w:r w:rsidRPr="008B6A75">
              <w:rPr>
                <w:sz w:val="20"/>
                <w:szCs w:val="20"/>
              </w:rPr>
              <w:t>927 000,00</w:t>
            </w:r>
          </w:p>
        </w:tc>
        <w:tc>
          <w:tcPr>
            <w:tcW w:w="992" w:type="dxa"/>
            <w:tcBorders>
              <w:top w:val="nil"/>
              <w:left w:val="single" w:sz="4" w:space="0" w:color="auto"/>
              <w:bottom w:val="single" w:sz="4" w:space="0" w:color="auto"/>
              <w:right w:val="nil"/>
            </w:tcBorders>
            <w:shd w:val="clear" w:color="auto" w:fill="auto"/>
            <w:vAlign w:val="center"/>
            <w:hideMark/>
          </w:tcPr>
          <w:p w14:paraId="522EF69E" w14:textId="77777777" w:rsidR="00387142" w:rsidRPr="008B6A75" w:rsidRDefault="00387142" w:rsidP="00387142">
            <w:pPr>
              <w:jc w:val="right"/>
              <w:rPr>
                <w:sz w:val="20"/>
                <w:szCs w:val="20"/>
              </w:rPr>
            </w:pPr>
            <w:r w:rsidRPr="008B6A75">
              <w:rPr>
                <w:sz w:val="20"/>
                <w:szCs w:val="20"/>
              </w:rPr>
              <w:t>927 000,00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6EB7F1F9" w14:textId="77777777" w:rsidR="00387142" w:rsidRPr="008B6A75" w:rsidRDefault="00387142" w:rsidP="00387142">
            <w:pPr>
              <w:jc w:val="right"/>
              <w:rPr>
                <w:sz w:val="20"/>
                <w:szCs w:val="20"/>
              </w:rPr>
            </w:pPr>
            <w:r w:rsidRPr="008B6A75">
              <w:rPr>
                <w:sz w:val="20"/>
                <w:szCs w:val="20"/>
              </w:rPr>
              <w:t>927 000,00</w:t>
            </w:r>
          </w:p>
        </w:tc>
      </w:tr>
      <w:tr w:rsidR="00387142" w:rsidRPr="008B6A75" w14:paraId="0A26B315" w14:textId="77777777" w:rsidTr="00387142">
        <w:trPr>
          <w:trHeight w:val="870"/>
        </w:trPr>
        <w:tc>
          <w:tcPr>
            <w:tcW w:w="3261" w:type="dxa"/>
            <w:tcBorders>
              <w:top w:val="nil"/>
              <w:left w:val="single" w:sz="4" w:space="0" w:color="auto"/>
              <w:bottom w:val="single" w:sz="4" w:space="0" w:color="auto"/>
              <w:right w:val="nil"/>
            </w:tcBorders>
            <w:shd w:val="clear" w:color="auto" w:fill="auto"/>
            <w:vAlign w:val="center"/>
            <w:hideMark/>
          </w:tcPr>
          <w:p w14:paraId="7CBAE42D" w14:textId="77777777" w:rsidR="00387142" w:rsidRPr="008B6A75" w:rsidRDefault="00387142" w:rsidP="00387142">
            <w:pPr>
              <w:rPr>
                <w:sz w:val="20"/>
                <w:szCs w:val="20"/>
              </w:rPr>
            </w:pPr>
            <w:r w:rsidRPr="008B6A75">
              <w:rPr>
                <w:sz w:val="20"/>
                <w:szCs w:val="20"/>
              </w:rPr>
              <w:t>Субсидии некоммерческим организациям (за исключением государственных (муниципальных) учреждений)</w:t>
            </w:r>
          </w:p>
        </w:tc>
        <w:tc>
          <w:tcPr>
            <w:tcW w:w="720" w:type="dxa"/>
            <w:tcBorders>
              <w:top w:val="nil"/>
              <w:left w:val="single" w:sz="4" w:space="0" w:color="auto"/>
              <w:bottom w:val="single" w:sz="4" w:space="0" w:color="auto"/>
              <w:right w:val="nil"/>
            </w:tcBorders>
            <w:shd w:val="clear" w:color="auto" w:fill="auto"/>
            <w:noWrap/>
            <w:vAlign w:val="center"/>
            <w:hideMark/>
          </w:tcPr>
          <w:p w14:paraId="28D0A043" w14:textId="77777777" w:rsidR="00387142" w:rsidRPr="008B6A75" w:rsidRDefault="00387142" w:rsidP="00387142">
            <w:pPr>
              <w:jc w:val="center"/>
              <w:rPr>
                <w:sz w:val="20"/>
                <w:szCs w:val="20"/>
              </w:rPr>
            </w:pPr>
            <w:r w:rsidRPr="008B6A75">
              <w:rPr>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6A10560" w14:textId="77777777" w:rsidR="00387142" w:rsidRPr="008B6A75" w:rsidRDefault="00387142" w:rsidP="00387142">
            <w:pPr>
              <w:jc w:val="center"/>
              <w:rPr>
                <w:sz w:val="20"/>
                <w:szCs w:val="20"/>
              </w:rPr>
            </w:pPr>
            <w:r w:rsidRPr="008B6A75">
              <w:rPr>
                <w:sz w:val="20"/>
                <w:szCs w:val="20"/>
              </w:rPr>
              <w:t>13</w:t>
            </w:r>
          </w:p>
        </w:tc>
        <w:tc>
          <w:tcPr>
            <w:tcW w:w="1516" w:type="dxa"/>
            <w:tcBorders>
              <w:top w:val="nil"/>
              <w:left w:val="single" w:sz="4" w:space="0" w:color="auto"/>
              <w:bottom w:val="single" w:sz="4" w:space="0" w:color="auto"/>
              <w:right w:val="nil"/>
            </w:tcBorders>
            <w:shd w:val="clear" w:color="auto" w:fill="auto"/>
            <w:noWrap/>
            <w:vAlign w:val="center"/>
            <w:hideMark/>
          </w:tcPr>
          <w:p w14:paraId="4A582850" w14:textId="77777777" w:rsidR="00387142" w:rsidRPr="008B6A75" w:rsidRDefault="00387142" w:rsidP="00387142">
            <w:pPr>
              <w:jc w:val="center"/>
              <w:rPr>
                <w:sz w:val="20"/>
                <w:szCs w:val="20"/>
              </w:rPr>
            </w:pPr>
            <w:r w:rsidRPr="008B6A75">
              <w:rPr>
                <w:sz w:val="20"/>
                <w:szCs w:val="20"/>
              </w:rPr>
              <w:t>15.0.00.70610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30F693E" w14:textId="77777777" w:rsidR="00387142" w:rsidRPr="008B6A75" w:rsidRDefault="00387142" w:rsidP="00387142">
            <w:pPr>
              <w:jc w:val="center"/>
              <w:rPr>
                <w:sz w:val="20"/>
                <w:szCs w:val="20"/>
              </w:rPr>
            </w:pPr>
            <w:r w:rsidRPr="008B6A75">
              <w:rPr>
                <w:sz w:val="20"/>
                <w:szCs w:val="20"/>
              </w:rPr>
              <w:t>630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14543BD" w14:textId="77777777" w:rsidR="00387142" w:rsidRPr="008B6A75" w:rsidRDefault="00387142" w:rsidP="00387142">
            <w:pPr>
              <w:jc w:val="right"/>
              <w:rPr>
                <w:sz w:val="20"/>
                <w:szCs w:val="20"/>
              </w:rPr>
            </w:pPr>
            <w:r w:rsidRPr="008B6A75">
              <w:rPr>
                <w:sz w:val="20"/>
                <w:szCs w:val="20"/>
              </w:rPr>
              <w:t>927 000,00</w:t>
            </w:r>
          </w:p>
        </w:tc>
        <w:tc>
          <w:tcPr>
            <w:tcW w:w="992" w:type="dxa"/>
            <w:tcBorders>
              <w:top w:val="nil"/>
              <w:left w:val="single" w:sz="4" w:space="0" w:color="auto"/>
              <w:bottom w:val="single" w:sz="4" w:space="0" w:color="auto"/>
              <w:right w:val="nil"/>
            </w:tcBorders>
            <w:shd w:val="clear" w:color="auto" w:fill="auto"/>
            <w:vAlign w:val="center"/>
            <w:hideMark/>
          </w:tcPr>
          <w:p w14:paraId="0944B029" w14:textId="77777777" w:rsidR="00387142" w:rsidRPr="008B6A75" w:rsidRDefault="00387142" w:rsidP="00387142">
            <w:pPr>
              <w:jc w:val="right"/>
              <w:rPr>
                <w:sz w:val="20"/>
                <w:szCs w:val="20"/>
              </w:rPr>
            </w:pPr>
            <w:r w:rsidRPr="008B6A75">
              <w:rPr>
                <w:sz w:val="20"/>
                <w:szCs w:val="20"/>
              </w:rPr>
              <w:t>927 000,00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2B26CA2C" w14:textId="77777777" w:rsidR="00387142" w:rsidRPr="008B6A75" w:rsidRDefault="00387142" w:rsidP="00387142">
            <w:pPr>
              <w:jc w:val="right"/>
              <w:rPr>
                <w:sz w:val="20"/>
                <w:szCs w:val="20"/>
              </w:rPr>
            </w:pPr>
            <w:r w:rsidRPr="008B6A75">
              <w:rPr>
                <w:sz w:val="20"/>
                <w:szCs w:val="20"/>
              </w:rPr>
              <w:t>927 000,00</w:t>
            </w:r>
          </w:p>
        </w:tc>
      </w:tr>
      <w:tr w:rsidR="00387142" w:rsidRPr="008B6A75" w14:paraId="6DF5FEF2" w14:textId="77777777" w:rsidTr="00387142">
        <w:trPr>
          <w:trHeight w:val="345"/>
        </w:trPr>
        <w:tc>
          <w:tcPr>
            <w:tcW w:w="3261" w:type="dxa"/>
            <w:tcBorders>
              <w:top w:val="nil"/>
              <w:left w:val="single" w:sz="4" w:space="0" w:color="auto"/>
              <w:bottom w:val="single" w:sz="4" w:space="0" w:color="auto"/>
              <w:right w:val="nil"/>
            </w:tcBorders>
            <w:shd w:val="clear" w:color="auto" w:fill="auto"/>
            <w:vAlign w:val="center"/>
            <w:hideMark/>
          </w:tcPr>
          <w:p w14:paraId="09B0EFD8" w14:textId="77777777" w:rsidR="00387142" w:rsidRPr="008B6A75" w:rsidRDefault="00387142" w:rsidP="00387142">
            <w:pPr>
              <w:rPr>
                <w:bCs/>
                <w:sz w:val="20"/>
                <w:szCs w:val="20"/>
              </w:rPr>
            </w:pPr>
            <w:r w:rsidRPr="008B6A75">
              <w:rPr>
                <w:bCs/>
                <w:sz w:val="20"/>
                <w:szCs w:val="20"/>
              </w:rPr>
              <w:t>Непрограммные направления бюджета</w:t>
            </w:r>
          </w:p>
        </w:tc>
        <w:tc>
          <w:tcPr>
            <w:tcW w:w="720" w:type="dxa"/>
            <w:tcBorders>
              <w:top w:val="nil"/>
              <w:left w:val="single" w:sz="4" w:space="0" w:color="auto"/>
              <w:bottom w:val="single" w:sz="4" w:space="0" w:color="auto"/>
              <w:right w:val="nil"/>
            </w:tcBorders>
            <w:shd w:val="clear" w:color="auto" w:fill="auto"/>
            <w:noWrap/>
            <w:vAlign w:val="center"/>
            <w:hideMark/>
          </w:tcPr>
          <w:p w14:paraId="63EDE252" w14:textId="77777777" w:rsidR="00387142" w:rsidRPr="008B6A75" w:rsidRDefault="00387142" w:rsidP="00387142">
            <w:pPr>
              <w:jc w:val="center"/>
              <w:rPr>
                <w:bCs/>
                <w:sz w:val="20"/>
                <w:szCs w:val="20"/>
              </w:rPr>
            </w:pPr>
            <w:r w:rsidRPr="008B6A75">
              <w:rPr>
                <w:bCs/>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8104E1D" w14:textId="77777777" w:rsidR="00387142" w:rsidRPr="008B6A75" w:rsidRDefault="00387142" w:rsidP="00387142">
            <w:pPr>
              <w:jc w:val="center"/>
              <w:rPr>
                <w:bCs/>
                <w:sz w:val="20"/>
                <w:szCs w:val="20"/>
              </w:rPr>
            </w:pPr>
            <w:r w:rsidRPr="008B6A75">
              <w:rPr>
                <w:bCs/>
                <w:sz w:val="20"/>
                <w:szCs w:val="20"/>
              </w:rPr>
              <w:t>13</w:t>
            </w:r>
          </w:p>
        </w:tc>
        <w:tc>
          <w:tcPr>
            <w:tcW w:w="1516" w:type="dxa"/>
            <w:tcBorders>
              <w:top w:val="nil"/>
              <w:left w:val="single" w:sz="4" w:space="0" w:color="auto"/>
              <w:bottom w:val="single" w:sz="4" w:space="0" w:color="auto"/>
              <w:right w:val="nil"/>
            </w:tcBorders>
            <w:shd w:val="clear" w:color="auto" w:fill="auto"/>
            <w:noWrap/>
            <w:vAlign w:val="center"/>
            <w:hideMark/>
          </w:tcPr>
          <w:p w14:paraId="64917EB5" w14:textId="77777777" w:rsidR="00387142" w:rsidRPr="008B6A75" w:rsidRDefault="00387142" w:rsidP="00387142">
            <w:pPr>
              <w:jc w:val="center"/>
              <w:rPr>
                <w:bCs/>
                <w:sz w:val="20"/>
                <w:szCs w:val="20"/>
              </w:rPr>
            </w:pPr>
            <w:r w:rsidRPr="008B6A75">
              <w:rPr>
                <w:bCs/>
                <w:sz w:val="20"/>
                <w:szCs w:val="20"/>
              </w:rPr>
              <w:t>99.0.00.00000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CB6CD3B"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BEC245A" w14:textId="77777777" w:rsidR="00387142" w:rsidRPr="008B6A75" w:rsidRDefault="00387142" w:rsidP="00387142">
            <w:pPr>
              <w:jc w:val="right"/>
              <w:rPr>
                <w:bCs/>
                <w:sz w:val="20"/>
                <w:szCs w:val="20"/>
              </w:rPr>
            </w:pPr>
            <w:r w:rsidRPr="008B6A75">
              <w:rPr>
                <w:bCs/>
                <w:sz w:val="20"/>
                <w:szCs w:val="20"/>
              </w:rPr>
              <w:t>10 227 536,08</w:t>
            </w:r>
          </w:p>
        </w:tc>
        <w:tc>
          <w:tcPr>
            <w:tcW w:w="992" w:type="dxa"/>
            <w:tcBorders>
              <w:top w:val="nil"/>
              <w:left w:val="single" w:sz="4" w:space="0" w:color="auto"/>
              <w:bottom w:val="single" w:sz="4" w:space="0" w:color="auto"/>
              <w:right w:val="nil"/>
            </w:tcBorders>
            <w:shd w:val="clear" w:color="auto" w:fill="auto"/>
            <w:vAlign w:val="center"/>
            <w:hideMark/>
          </w:tcPr>
          <w:p w14:paraId="3D3B7B52" w14:textId="77777777" w:rsidR="00387142" w:rsidRPr="008B6A75" w:rsidRDefault="00387142" w:rsidP="00387142">
            <w:pPr>
              <w:jc w:val="right"/>
              <w:rPr>
                <w:bCs/>
                <w:sz w:val="20"/>
                <w:szCs w:val="20"/>
              </w:rPr>
            </w:pPr>
            <w:r w:rsidRPr="008B6A75">
              <w:rPr>
                <w:bCs/>
                <w:sz w:val="20"/>
                <w:szCs w:val="20"/>
              </w:rPr>
              <w:t>1 265 000,00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2DF6BE79" w14:textId="77777777" w:rsidR="00387142" w:rsidRPr="008B6A75" w:rsidRDefault="00387142" w:rsidP="00387142">
            <w:pPr>
              <w:jc w:val="right"/>
              <w:rPr>
                <w:bCs/>
                <w:sz w:val="20"/>
                <w:szCs w:val="20"/>
              </w:rPr>
            </w:pPr>
            <w:r w:rsidRPr="008B6A75">
              <w:rPr>
                <w:bCs/>
                <w:sz w:val="20"/>
                <w:szCs w:val="20"/>
              </w:rPr>
              <w:t>1 265 000,00</w:t>
            </w:r>
          </w:p>
        </w:tc>
      </w:tr>
      <w:tr w:rsidR="00387142" w:rsidRPr="008B6A75" w14:paraId="7671FB37" w14:textId="77777777" w:rsidTr="00387142">
        <w:trPr>
          <w:trHeight w:val="870"/>
        </w:trPr>
        <w:tc>
          <w:tcPr>
            <w:tcW w:w="3261" w:type="dxa"/>
            <w:tcBorders>
              <w:top w:val="nil"/>
              <w:left w:val="single" w:sz="4" w:space="0" w:color="auto"/>
              <w:bottom w:val="single" w:sz="4" w:space="0" w:color="auto"/>
              <w:right w:val="nil"/>
            </w:tcBorders>
            <w:shd w:val="clear" w:color="auto" w:fill="auto"/>
            <w:vAlign w:val="center"/>
            <w:hideMark/>
          </w:tcPr>
          <w:p w14:paraId="114285B3" w14:textId="77777777" w:rsidR="00387142" w:rsidRPr="008B6A75" w:rsidRDefault="00387142" w:rsidP="00387142">
            <w:pPr>
              <w:rPr>
                <w:bCs/>
                <w:sz w:val="20"/>
                <w:szCs w:val="20"/>
              </w:rPr>
            </w:pPr>
            <w:r w:rsidRPr="008B6A75">
              <w:rPr>
                <w:bCs/>
                <w:sz w:val="20"/>
                <w:szCs w:val="20"/>
              </w:rPr>
              <w:t>Оценка недвижимости, признание прав и регулирование отношений по государственной собственности</w:t>
            </w:r>
          </w:p>
        </w:tc>
        <w:tc>
          <w:tcPr>
            <w:tcW w:w="720" w:type="dxa"/>
            <w:tcBorders>
              <w:top w:val="nil"/>
              <w:left w:val="single" w:sz="4" w:space="0" w:color="auto"/>
              <w:bottom w:val="single" w:sz="4" w:space="0" w:color="auto"/>
              <w:right w:val="nil"/>
            </w:tcBorders>
            <w:shd w:val="clear" w:color="auto" w:fill="auto"/>
            <w:noWrap/>
            <w:vAlign w:val="center"/>
            <w:hideMark/>
          </w:tcPr>
          <w:p w14:paraId="400FDA33" w14:textId="77777777" w:rsidR="00387142" w:rsidRPr="008B6A75" w:rsidRDefault="00387142" w:rsidP="00387142">
            <w:pPr>
              <w:jc w:val="center"/>
              <w:rPr>
                <w:bCs/>
                <w:sz w:val="20"/>
                <w:szCs w:val="20"/>
              </w:rPr>
            </w:pPr>
            <w:r w:rsidRPr="008B6A75">
              <w:rPr>
                <w:bCs/>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B32BCE1" w14:textId="77777777" w:rsidR="00387142" w:rsidRPr="008B6A75" w:rsidRDefault="00387142" w:rsidP="00387142">
            <w:pPr>
              <w:jc w:val="center"/>
              <w:rPr>
                <w:bCs/>
                <w:sz w:val="20"/>
                <w:szCs w:val="20"/>
              </w:rPr>
            </w:pPr>
            <w:r w:rsidRPr="008B6A75">
              <w:rPr>
                <w:bCs/>
                <w:sz w:val="20"/>
                <w:szCs w:val="20"/>
              </w:rPr>
              <w:t>13</w:t>
            </w:r>
          </w:p>
        </w:tc>
        <w:tc>
          <w:tcPr>
            <w:tcW w:w="1516" w:type="dxa"/>
            <w:tcBorders>
              <w:top w:val="nil"/>
              <w:left w:val="single" w:sz="4" w:space="0" w:color="auto"/>
              <w:bottom w:val="single" w:sz="4" w:space="0" w:color="auto"/>
              <w:right w:val="nil"/>
            </w:tcBorders>
            <w:shd w:val="clear" w:color="auto" w:fill="auto"/>
            <w:noWrap/>
            <w:vAlign w:val="center"/>
            <w:hideMark/>
          </w:tcPr>
          <w:p w14:paraId="2484E23A" w14:textId="77777777" w:rsidR="00387142" w:rsidRPr="008B6A75" w:rsidRDefault="00387142" w:rsidP="00387142">
            <w:pPr>
              <w:jc w:val="center"/>
              <w:rPr>
                <w:bCs/>
                <w:sz w:val="20"/>
                <w:szCs w:val="20"/>
              </w:rPr>
            </w:pPr>
            <w:r w:rsidRPr="008B6A75">
              <w:rPr>
                <w:bCs/>
                <w:sz w:val="20"/>
                <w:szCs w:val="20"/>
              </w:rPr>
              <w:t>99.0.00.01610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8E7806C"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4366F4D" w14:textId="77777777" w:rsidR="00387142" w:rsidRPr="008B6A75" w:rsidRDefault="00387142" w:rsidP="00387142">
            <w:pPr>
              <w:jc w:val="right"/>
              <w:rPr>
                <w:bCs/>
                <w:sz w:val="20"/>
                <w:szCs w:val="20"/>
              </w:rPr>
            </w:pPr>
            <w:r w:rsidRPr="008B6A75">
              <w:rPr>
                <w:bCs/>
                <w:sz w:val="20"/>
                <w:szCs w:val="20"/>
              </w:rPr>
              <w:t>65 000,00</w:t>
            </w:r>
          </w:p>
        </w:tc>
        <w:tc>
          <w:tcPr>
            <w:tcW w:w="992" w:type="dxa"/>
            <w:tcBorders>
              <w:top w:val="nil"/>
              <w:left w:val="single" w:sz="4" w:space="0" w:color="auto"/>
              <w:bottom w:val="single" w:sz="4" w:space="0" w:color="auto"/>
              <w:right w:val="nil"/>
            </w:tcBorders>
            <w:shd w:val="clear" w:color="auto" w:fill="auto"/>
            <w:vAlign w:val="center"/>
            <w:hideMark/>
          </w:tcPr>
          <w:p w14:paraId="37589C10" w14:textId="77777777" w:rsidR="00387142" w:rsidRPr="008B6A75" w:rsidRDefault="00387142" w:rsidP="00387142">
            <w:pPr>
              <w:jc w:val="right"/>
              <w:rPr>
                <w:bCs/>
                <w:sz w:val="20"/>
                <w:szCs w:val="20"/>
              </w:rPr>
            </w:pPr>
            <w:r w:rsidRPr="008B6A75">
              <w:rPr>
                <w:bCs/>
                <w:sz w:val="20"/>
                <w:szCs w:val="20"/>
              </w:rPr>
              <w:t>65 000,00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5D67E967" w14:textId="77777777" w:rsidR="00387142" w:rsidRPr="008B6A75" w:rsidRDefault="00387142" w:rsidP="00387142">
            <w:pPr>
              <w:jc w:val="right"/>
              <w:rPr>
                <w:bCs/>
                <w:sz w:val="20"/>
                <w:szCs w:val="20"/>
              </w:rPr>
            </w:pPr>
            <w:r w:rsidRPr="008B6A75">
              <w:rPr>
                <w:bCs/>
                <w:sz w:val="20"/>
                <w:szCs w:val="20"/>
              </w:rPr>
              <w:t>65 000,00</w:t>
            </w:r>
          </w:p>
        </w:tc>
      </w:tr>
      <w:tr w:rsidR="00387142" w:rsidRPr="008B6A75" w14:paraId="5025B625" w14:textId="77777777" w:rsidTr="00387142">
        <w:trPr>
          <w:trHeight w:val="585"/>
        </w:trPr>
        <w:tc>
          <w:tcPr>
            <w:tcW w:w="3261" w:type="dxa"/>
            <w:tcBorders>
              <w:top w:val="nil"/>
              <w:left w:val="single" w:sz="4" w:space="0" w:color="auto"/>
              <w:bottom w:val="single" w:sz="4" w:space="0" w:color="auto"/>
              <w:right w:val="nil"/>
            </w:tcBorders>
            <w:shd w:val="clear" w:color="auto" w:fill="auto"/>
            <w:vAlign w:val="center"/>
            <w:hideMark/>
          </w:tcPr>
          <w:p w14:paraId="0DBF7547" w14:textId="77777777" w:rsidR="00387142" w:rsidRPr="008B6A75" w:rsidRDefault="00387142" w:rsidP="00387142">
            <w:pPr>
              <w:rPr>
                <w:sz w:val="20"/>
                <w:szCs w:val="20"/>
              </w:rPr>
            </w:pPr>
            <w:r w:rsidRPr="008B6A75">
              <w:rPr>
                <w:sz w:val="20"/>
                <w:szCs w:val="20"/>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0502E7DC" w14:textId="77777777" w:rsidR="00387142" w:rsidRPr="008B6A75" w:rsidRDefault="00387142" w:rsidP="00387142">
            <w:pPr>
              <w:jc w:val="center"/>
              <w:rPr>
                <w:sz w:val="20"/>
                <w:szCs w:val="20"/>
              </w:rPr>
            </w:pPr>
            <w:r w:rsidRPr="008B6A75">
              <w:rPr>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B8585D6" w14:textId="77777777" w:rsidR="00387142" w:rsidRPr="008B6A75" w:rsidRDefault="00387142" w:rsidP="00387142">
            <w:pPr>
              <w:jc w:val="center"/>
              <w:rPr>
                <w:sz w:val="20"/>
                <w:szCs w:val="20"/>
              </w:rPr>
            </w:pPr>
            <w:r w:rsidRPr="008B6A75">
              <w:rPr>
                <w:sz w:val="20"/>
                <w:szCs w:val="20"/>
              </w:rPr>
              <w:t>13</w:t>
            </w:r>
          </w:p>
        </w:tc>
        <w:tc>
          <w:tcPr>
            <w:tcW w:w="1516" w:type="dxa"/>
            <w:tcBorders>
              <w:top w:val="nil"/>
              <w:left w:val="single" w:sz="4" w:space="0" w:color="auto"/>
              <w:bottom w:val="single" w:sz="4" w:space="0" w:color="auto"/>
              <w:right w:val="nil"/>
            </w:tcBorders>
            <w:shd w:val="clear" w:color="auto" w:fill="auto"/>
            <w:noWrap/>
            <w:vAlign w:val="center"/>
            <w:hideMark/>
          </w:tcPr>
          <w:p w14:paraId="2C6C554F" w14:textId="77777777" w:rsidR="00387142" w:rsidRPr="008B6A75" w:rsidRDefault="00387142" w:rsidP="00387142">
            <w:pPr>
              <w:jc w:val="center"/>
              <w:rPr>
                <w:sz w:val="20"/>
                <w:szCs w:val="20"/>
              </w:rPr>
            </w:pPr>
            <w:r w:rsidRPr="008B6A75">
              <w:rPr>
                <w:sz w:val="20"/>
                <w:szCs w:val="20"/>
              </w:rPr>
              <w:t>99.0.00.01610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311871F" w14:textId="77777777" w:rsidR="00387142" w:rsidRPr="008B6A75" w:rsidRDefault="00387142" w:rsidP="00387142">
            <w:pPr>
              <w:jc w:val="center"/>
              <w:rPr>
                <w:sz w:val="20"/>
                <w:szCs w:val="20"/>
              </w:rPr>
            </w:pPr>
            <w:r w:rsidRPr="008B6A75">
              <w:rPr>
                <w:sz w:val="20"/>
                <w:szCs w:val="20"/>
              </w:rPr>
              <w:t>200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2799EC7" w14:textId="77777777" w:rsidR="00387142" w:rsidRPr="008B6A75" w:rsidRDefault="00387142" w:rsidP="00387142">
            <w:pPr>
              <w:jc w:val="right"/>
              <w:rPr>
                <w:sz w:val="20"/>
                <w:szCs w:val="20"/>
              </w:rPr>
            </w:pPr>
            <w:r w:rsidRPr="008B6A75">
              <w:rPr>
                <w:sz w:val="20"/>
                <w:szCs w:val="20"/>
              </w:rPr>
              <w:t>65 000,00</w:t>
            </w:r>
          </w:p>
        </w:tc>
        <w:tc>
          <w:tcPr>
            <w:tcW w:w="992" w:type="dxa"/>
            <w:tcBorders>
              <w:top w:val="nil"/>
              <w:left w:val="single" w:sz="4" w:space="0" w:color="auto"/>
              <w:bottom w:val="single" w:sz="4" w:space="0" w:color="auto"/>
              <w:right w:val="nil"/>
            </w:tcBorders>
            <w:shd w:val="clear" w:color="auto" w:fill="auto"/>
            <w:vAlign w:val="center"/>
            <w:hideMark/>
          </w:tcPr>
          <w:p w14:paraId="6ECD356C" w14:textId="77777777" w:rsidR="00387142" w:rsidRPr="008B6A75" w:rsidRDefault="00387142" w:rsidP="00387142">
            <w:pPr>
              <w:jc w:val="right"/>
              <w:rPr>
                <w:sz w:val="20"/>
                <w:szCs w:val="20"/>
              </w:rPr>
            </w:pPr>
            <w:r w:rsidRPr="008B6A75">
              <w:rPr>
                <w:sz w:val="20"/>
                <w:szCs w:val="20"/>
              </w:rPr>
              <w:t>65 000,00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5187571C" w14:textId="77777777" w:rsidR="00387142" w:rsidRPr="008B6A75" w:rsidRDefault="00387142" w:rsidP="00387142">
            <w:pPr>
              <w:jc w:val="right"/>
              <w:rPr>
                <w:sz w:val="20"/>
                <w:szCs w:val="20"/>
              </w:rPr>
            </w:pPr>
            <w:r w:rsidRPr="008B6A75">
              <w:rPr>
                <w:sz w:val="20"/>
                <w:szCs w:val="20"/>
              </w:rPr>
              <w:t>65 000,00</w:t>
            </w:r>
          </w:p>
        </w:tc>
      </w:tr>
      <w:tr w:rsidR="00387142" w:rsidRPr="008B6A75" w14:paraId="117B012D" w14:textId="77777777" w:rsidTr="00387142">
        <w:trPr>
          <w:trHeight w:val="870"/>
        </w:trPr>
        <w:tc>
          <w:tcPr>
            <w:tcW w:w="3261" w:type="dxa"/>
            <w:tcBorders>
              <w:top w:val="nil"/>
              <w:left w:val="single" w:sz="4" w:space="0" w:color="auto"/>
              <w:bottom w:val="single" w:sz="4" w:space="0" w:color="auto"/>
              <w:right w:val="nil"/>
            </w:tcBorders>
            <w:shd w:val="clear" w:color="auto" w:fill="auto"/>
            <w:vAlign w:val="center"/>
            <w:hideMark/>
          </w:tcPr>
          <w:p w14:paraId="51C995A3" w14:textId="77777777" w:rsidR="00387142" w:rsidRPr="008B6A75" w:rsidRDefault="00387142" w:rsidP="00387142">
            <w:pPr>
              <w:rPr>
                <w:sz w:val="20"/>
                <w:szCs w:val="20"/>
              </w:rPr>
            </w:pPr>
            <w:r w:rsidRPr="008B6A75">
              <w:rPr>
                <w:sz w:val="20"/>
                <w:szCs w:val="20"/>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3D7E7325" w14:textId="77777777" w:rsidR="00387142" w:rsidRPr="008B6A75" w:rsidRDefault="00387142" w:rsidP="00387142">
            <w:pPr>
              <w:jc w:val="center"/>
              <w:rPr>
                <w:sz w:val="20"/>
                <w:szCs w:val="20"/>
              </w:rPr>
            </w:pPr>
            <w:r w:rsidRPr="008B6A75">
              <w:rPr>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7141F9E" w14:textId="77777777" w:rsidR="00387142" w:rsidRPr="008B6A75" w:rsidRDefault="00387142" w:rsidP="00387142">
            <w:pPr>
              <w:jc w:val="center"/>
              <w:rPr>
                <w:sz w:val="20"/>
                <w:szCs w:val="20"/>
              </w:rPr>
            </w:pPr>
            <w:r w:rsidRPr="008B6A75">
              <w:rPr>
                <w:sz w:val="20"/>
                <w:szCs w:val="20"/>
              </w:rPr>
              <w:t>13</w:t>
            </w:r>
          </w:p>
        </w:tc>
        <w:tc>
          <w:tcPr>
            <w:tcW w:w="1516" w:type="dxa"/>
            <w:tcBorders>
              <w:top w:val="nil"/>
              <w:left w:val="single" w:sz="4" w:space="0" w:color="auto"/>
              <w:bottom w:val="single" w:sz="4" w:space="0" w:color="auto"/>
              <w:right w:val="nil"/>
            </w:tcBorders>
            <w:shd w:val="clear" w:color="auto" w:fill="auto"/>
            <w:noWrap/>
            <w:vAlign w:val="center"/>
            <w:hideMark/>
          </w:tcPr>
          <w:p w14:paraId="1A0DCDB0" w14:textId="77777777" w:rsidR="00387142" w:rsidRPr="008B6A75" w:rsidRDefault="00387142" w:rsidP="00387142">
            <w:pPr>
              <w:jc w:val="center"/>
              <w:rPr>
                <w:sz w:val="20"/>
                <w:szCs w:val="20"/>
              </w:rPr>
            </w:pPr>
            <w:r w:rsidRPr="008B6A75">
              <w:rPr>
                <w:sz w:val="20"/>
                <w:szCs w:val="20"/>
              </w:rPr>
              <w:t>99.0.00.01610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E9891E3" w14:textId="77777777" w:rsidR="00387142" w:rsidRPr="008B6A75" w:rsidRDefault="00387142" w:rsidP="00387142">
            <w:pPr>
              <w:jc w:val="center"/>
              <w:rPr>
                <w:sz w:val="20"/>
                <w:szCs w:val="20"/>
              </w:rPr>
            </w:pPr>
            <w:r w:rsidRPr="008B6A75">
              <w:rPr>
                <w:sz w:val="20"/>
                <w:szCs w:val="20"/>
              </w:rPr>
              <w:t>240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E2166BD" w14:textId="77777777" w:rsidR="00387142" w:rsidRPr="008B6A75" w:rsidRDefault="00387142" w:rsidP="00387142">
            <w:pPr>
              <w:jc w:val="right"/>
              <w:rPr>
                <w:sz w:val="20"/>
                <w:szCs w:val="20"/>
              </w:rPr>
            </w:pPr>
            <w:r w:rsidRPr="008B6A75">
              <w:rPr>
                <w:sz w:val="20"/>
                <w:szCs w:val="20"/>
              </w:rPr>
              <w:t>65 000,00</w:t>
            </w:r>
          </w:p>
        </w:tc>
        <w:tc>
          <w:tcPr>
            <w:tcW w:w="992" w:type="dxa"/>
            <w:tcBorders>
              <w:top w:val="nil"/>
              <w:left w:val="single" w:sz="4" w:space="0" w:color="auto"/>
              <w:bottom w:val="single" w:sz="4" w:space="0" w:color="auto"/>
              <w:right w:val="nil"/>
            </w:tcBorders>
            <w:shd w:val="clear" w:color="auto" w:fill="auto"/>
            <w:vAlign w:val="center"/>
            <w:hideMark/>
          </w:tcPr>
          <w:p w14:paraId="426F401E" w14:textId="77777777" w:rsidR="00387142" w:rsidRPr="008B6A75" w:rsidRDefault="00387142" w:rsidP="00387142">
            <w:pPr>
              <w:jc w:val="right"/>
              <w:rPr>
                <w:sz w:val="20"/>
                <w:szCs w:val="20"/>
              </w:rPr>
            </w:pPr>
            <w:r w:rsidRPr="008B6A75">
              <w:rPr>
                <w:sz w:val="20"/>
                <w:szCs w:val="20"/>
              </w:rPr>
              <w:t>65 000,00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40FBA879" w14:textId="77777777" w:rsidR="00387142" w:rsidRPr="008B6A75" w:rsidRDefault="00387142" w:rsidP="00387142">
            <w:pPr>
              <w:jc w:val="right"/>
              <w:rPr>
                <w:sz w:val="20"/>
                <w:szCs w:val="20"/>
              </w:rPr>
            </w:pPr>
            <w:r w:rsidRPr="008B6A75">
              <w:rPr>
                <w:sz w:val="20"/>
                <w:szCs w:val="20"/>
              </w:rPr>
              <w:t>65 000,00</w:t>
            </w:r>
          </w:p>
        </w:tc>
      </w:tr>
      <w:tr w:rsidR="00387142" w:rsidRPr="008B6A75" w14:paraId="4C73AAD9" w14:textId="77777777" w:rsidTr="00387142">
        <w:trPr>
          <w:trHeight w:val="870"/>
        </w:trPr>
        <w:tc>
          <w:tcPr>
            <w:tcW w:w="3261" w:type="dxa"/>
            <w:tcBorders>
              <w:top w:val="nil"/>
              <w:left w:val="single" w:sz="4" w:space="0" w:color="auto"/>
              <w:bottom w:val="single" w:sz="4" w:space="0" w:color="auto"/>
              <w:right w:val="nil"/>
            </w:tcBorders>
            <w:shd w:val="clear" w:color="auto" w:fill="auto"/>
            <w:vAlign w:val="center"/>
            <w:hideMark/>
          </w:tcPr>
          <w:p w14:paraId="36E8DF4F" w14:textId="77777777" w:rsidR="00387142" w:rsidRPr="008B6A75" w:rsidRDefault="00387142" w:rsidP="00387142">
            <w:pPr>
              <w:rPr>
                <w:bCs/>
                <w:sz w:val="20"/>
                <w:szCs w:val="20"/>
              </w:rPr>
            </w:pPr>
            <w:r w:rsidRPr="008B6A75">
              <w:rPr>
                <w:bCs/>
                <w:sz w:val="20"/>
                <w:szCs w:val="20"/>
              </w:rPr>
              <w:t>Реализация государственных функций, связанных с общегосударственным управлением</w:t>
            </w:r>
          </w:p>
        </w:tc>
        <w:tc>
          <w:tcPr>
            <w:tcW w:w="720" w:type="dxa"/>
            <w:tcBorders>
              <w:top w:val="nil"/>
              <w:left w:val="single" w:sz="4" w:space="0" w:color="auto"/>
              <w:bottom w:val="single" w:sz="4" w:space="0" w:color="auto"/>
              <w:right w:val="nil"/>
            </w:tcBorders>
            <w:shd w:val="clear" w:color="auto" w:fill="auto"/>
            <w:noWrap/>
            <w:vAlign w:val="center"/>
            <w:hideMark/>
          </w:tcPr>
          <w:p w14:paraId="1ECBA9E0" w14:textId="77777777" w:rsidR="00387142" w:rsidRPr="008B6A75" w:rsidRDefault="00387142" w:rsidP="00387142">
            <w:pPr>
              <w:jc w:val="center"/>
              <w:rPr>
                <w:bCs/>
                <w:sz w:val="20"/>
                <w:szCs w:val="20"/>
              </w:rPr>
            </w:pPr>
            <w:r w:rsidRPr="008B6A75">
              <w:rPr>
                <w:bCs/>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640B77E" w14:textId="77777777" w:rsidR="00387142" w:rsidRPr="008B6A75" w:rsidRDefault="00387142" w:rsidP="00387142">
            <w:pPr>
              <w:jc w:val="center"/>
              <w:rPr>
                <w:bCs/>
                <w:sz w:val="20"/>
                <w:szCs w:val="20"/>
              </w:rPr>
            </w:pPr>
            <w:r w:rsidRPr="008B6A75">
              <w:rPr>
                <w:bCs/>
                <w:sz w:val="20"/>
                <w:szCs w:val="20"/>
              </w:rPr>
              <w:t>13</w:t>
            </w:r>
          </w:p>
        </w:tc>
        <w:tc>
          <w:tcPr>
            <w:tcW w:w="1516" w:type="dxa"/>
            <w:tcBorders>
              <w:top w:val="nil"/>
              <w:left w:val="single" w:sz="4" w:space="0" w:color="auto"/>
              <w:bottom w:val="single" w:sz="4" w:space="0" w:color="auto"/>
              <w:right w:val="nil"/>
            </w:tcBorders>
            <w:shd w:val="clear" w:color="auto" w:fill="auto"/>
            <w:noWrap/>
            <w:vAlign w:val="center"/>
            <w:hideMark/>
          </w:tcPr>
          <w:p w14:paraId="7BCC0A54" w14:textId="77777777" w:rsidR="00387142" w:rsidRPr="008B6A75" w:rsidRDefault="00387142" w:rsidP="00387142">
            <w:pPr>
              <w:jc w:val="center"/>
              <w:rPr>
                <w:bCs/>
                <w:sz w:val="20"/>
                <w:szCs w:val="20"/>
              </w:rPr>
            </w:pPr>
            <w:r w:rsidRPr="008B6A75">
              <w:rPr>
                <w:bCs/>
                <w:sz w:val="20"/>
                <w:szCs w:val="20"/>
              </w:rPr>
              <w:t>99.0.00.01620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DB52323"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911E1D7" w14:textId="77777777" w:rsidR="00387142" w:rsidRPr="008B6A75" w:rsidRDefault="00387142" w:rsidP="00387142">
            <w:pPr>
              <w:jc w:val="right"/>
              <w:rPr>
                <w:bCs/>
                <w:sz w:val="20"/>
                <w:szCs w:val="20"/>
              </w:rPr>
            </w:pPr>
            <w:r w:rsidRPr="008B6A75">
              <w:rPr>
                <w:bCs/>
                <w:sz w:val="20"/>
                <w:szCs w:val="20"/>
              </w:rPr>
              <w:t>8 298 336,08</w:t>
            </w:r>
          </w:p>
        </w:tc>
        <w:tc>
          <w:tcPr>
            <w:tcW w:w="992" w:type="dxa"/>
            <w:tcBorders>
              <w:top w:val="nil"/>
              <w:left w:val="single" w:sz="4" w:space="0" w:color="auto"/>
              <w:bottom w:val="single" w:sz="4" w:space="0" w:color="auto"/>
              <w:right w:val="nil"/>
            </w:tcBorders>
            <w:shd w:val="clear" w:color="auto" w:fill="auto"/>
            <w:vAlign w:val="center"/>
            <w:hideMark/>
          </w:tcPr>
          <w:p w14:paraId="0E11ACB5" w14:textId="77777777" w:rsidR="00387142" w:rsidRPr="008B6A75" w:rsidRDefault="00387142" w:rsidP="00387142">
            <w:pPr>
              <w:jc w:val="right"/>
              <w:rPr>
                <w:bCs/>
                <w:sz w:val="20"/>
                <w:szCs w:val="20"/>
              </w:rPr>
            </w:pPr>
            <w:r w:rsidRPr="008B6A75">
              <w:rPr>
                <w:bCs/>
                <w:sz w:val="20"/>
                <w:szCs w:val="20"/>
              </w:rPr>
              <w:t>1 200 000,00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571B46B0" w14:textId="77777777" w:rsidR="00387142" w:rsidRPr="008B6A75" w:rsidRDefault="00387142" w:rsidP="00387142">
            <w:pPr>
              <w:jc w:val="right"/>
              <w:rPr>
                <w:bCs/>
                <w:sz w:val="20"/>
                <w:szCs w:val="20"/>
              </w:rPr>
            </w:pPr>
            <w:r w:rsidRPr="008B6A75">
              <w:rPr>
                <w:bCs/>
                <w:sz w:val="20"/>
                <w:szCs w:val="20"/>
              </w:rPr>
              <w:t>1 200 000,00</w:t>
            </w:r>
          </w:p>
        </w:tc>
      </w:tr>
      <w:tr w:rsidR="00387142" w:rsidRPr="008B6A75" w14:paraId="0EA22AFD" w14:textId="77777777" w:rsidTr="00387142">
        <w:trPr>
          <w:trHeight w:val="585"/>
        </w:trPr>
        <w:tc>
          <w:tcPr>
            <w:tcW w:w="3261" w:type="dxa"/>
            <w:tcBorders>
              <w:top w:val="nil"/>
              <w:left w:val="single" w:sz="4" w:space="0" w:color="auto"/>
              <w:bottom w:val="single" w:sz="4" w:space="0" w:color="auto"/>
              <w:right w:val="nil"/>
            </w:tcBorders>
            <w:shd w:val="clear" w:color="auto" w:fill="auto"/>
            <w:vAlign w:val="center"/>
            <w:hideMark/>
          </w:tcPr>
          <w:p w14:paraId="0C6E29AA" w14:textId="77777777" w:rsidR="00387142" w:rsidRPr="008B6A75" w:rsidRDefault="00387142" w:rsidP="00387142">
            <w:pPr>
              <w:rPr>
                <w:sz w:val="20"/>
                <w:szCs w:val="20"/>
              </w:rPr>
            </w:pPr>
            <w:r w:rsidRPr="008B6A75">
              <w:rPr>
                <w:sz w:val="20"/>
                <w:szCs w:val="20"/>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794128A2" w14:textId="77777777" w:rsidR="00387142" w:rsidRPr="008B6A75" w:rsidRDefault="00387142" w:rsidP="00387142">
            <w:pPr>
              <w:jc w:val="center"/>
              <w:rPr>
                <w:sz w:val="20"/>
                <w:szCs w:val="20"/>
              </w:rPr>
            </w:pPr>
            <w:r w:rsidRPr="008B6A75">
              <w:rPr>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3C0D2CD" w14:textId="77777777" w:rsidR="00387142" w:rsidRPr="008B6A75" w:rsidRDefault="00387142" w:rsidP="00387142">
            <w:pPr>
              <w:jc w:val="center"/>
              <w:rPr>
                <w:sz w:val="20"/>
                <w:szCs w:val="20"/>
              </w:rPr>
            </w:pPr>
            <w:r w:rsidRPr="008B6A75">
              <w:rPr>
                <w:sz w:val="20"/>
                <w:szCs w:val="20"/>
              </w:rPr>
              <w:t>13</w:t>
            </w:r>
          </w:p>
        </w:tc>
        <w:tc>
          <w:tcPr>
            <w:tcW w:w="1516" w:type="dxa"/>
            <w:tcBorders>
              <w:top w:val="nil"/>
              <w:left w:val="single" w:sz="4" w:space="0" w:color="auto"/>
              <w:bottom w:val="single" w:sz="4" w:space="0" w:color="auto"/>
              <w:right w:val="nil"/>
            </w:tcBorders>
            <w:shd w:val="clear" w:color="auto" w:fill="auto"/>
            <w:noWrap/>
            <w:vAlign w:val="center"/>
            <w:hideMark/>
          </w:tcPr>
          <w:p w14:paraId="2763D75E" w14:textId="77777777" w:rsidR="00387142" w:rsidRPr="008B6A75" w:rsidRDefault="00387142" w:rsidP="00387142">
            <w:pPr>
              <w:jc w:val="center"/>
              <w:rPr>
                <w:sz w:val="20"/>
                <w:szCs w:val="20"/>
              </w:rPr>
            </w:pPr>
            <w:r w:rsidRPr="008B6A75">
              <w:rPr>
                <w:sz w:val="20"/>
                <w:szCs w:val="20"/>
              </w:rPr>
              <w:t>99.0.00.01620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C4A0345" w14:textId="77777777" w:rsidR="00387142" w:rsidRPr="008B6A75" w:rsidRDefault="00387142" w:rsidP="00387142">
            <w:pPr>
              <w:jc w:val="center"/>
              <w:rPr>
                <w:sz w:val="20"/>
                <w:szCs w:val="20"/>
              </w:rPr>
            </w:pPr>
            <w:r w:rsidRPr="008B6A75">
              <w:rPr>
                <w:sz w:val="20"/>
                <w:szCs w:val="20"/>
              </w:rPr>
              <w:t>200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E6C4AE6" w14:textId="77777777" w:rsidR="00387142" w:rsidRPr="008B6A75" w:rsidRDefault="00387142" w:rsidP="00387142">
            <w:pPr>
              <w:jc w:val="right"/>
              <w:rPr>
                <w:sz w:val="20"/>
                <w:szCs w:val="20"/>
              </w:rPr>
            </w:pPr>
            <w:r w:rsidRPr="008B6A75">
              <w:rPr>
                <w:sz w:val="20"/>
                <w:szCs w:val="20"/>
              </w:rPr>
              <w:t>2 885 610,00</w:t>
            </w:r>
          </w:p>
        </w:tc>
        <w:tc>
          <w:tcPr>
            <w:tcW w:w="992" w:type="dxa"/>
            <w:tcBorders>
              <w:top w:val="nil"/>
              <w:left w:val="single" w:sz="4" w:space="0" w:color="auto"/>
              <w:bottom w:val="single" w:sz="4" w:space="0" w:color="auto"/>
              <w:right w:val="nil"/>
            </w:tcBorders>
            <w:shd w:val="clear" w:color="auto" w:fill="auto"/>
            <w:vAlign w:val="center"/>
            <w:hideMark/>
          </w:tcPr>
          <w:p w14:paraId="1B825BC8" w14:textId="77777777" w:rsidR="00387142" w:rsidRPr="008B6A75" w:rsidRDefault="00387142" w:rsidP="00387142">
            <w:pPr>
              <w:jc w:val="right"/>
              <w:rPr>
                <w:sz w:val="20"/>
                <w:szCs w:val="20"/>
              </w:rPr>
            </w:pPr>
            <w:r w:rsidRPr="008B6A75">
              <w:rPr>
                <w:sz w:val="20"/>
                <w:szCs w:val="20"/>
              </w:rPr>
              <w:t>1 200 000,00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7307D5CE" w14:textId="77777777" w:rsidR="00387142" w:rsidRPr="008B6A75" w:rsidRDefault="00387142" w:rsidP="00387142">
            <w:pPr>
              <w:jc w:val="right"/>
              <w:rPr>
                <w:sz w:val="20"/>
                <w:szCs w:val="20"/>
              </w:rPr>
            </w:pPr>
            <w:r w:rsidRPr="008B6A75">
              <w:rPr>
                <w:sz w:val="20"/>
                <w:szCs w:val="20"/>
              </w:rPr>
              <w:t>1 200 000,00</w:t>
            </w:r>
          </w:p>
        </w:tc>
      </w:tr>
      <w:tr w:rsidR="00387142" w:rsidRPr="008B6A75" w14:paraId="75EB63DF" w14:textId="77777777" w:rsidTr="00387142">
        <w:trPr>
          <w:trHeight w:val="870"/>
        </w:trPr>
        <w:tc>
          <w:tcPr>
            <w:tcW w:w="3261" w:type="dxa"/>
            <w:tcBorders>
              <w:top w:val="nil"/>
              <w:left w:val="single" w:sz="4" w:space="0" w:color="auto"/>
              <w:bottom w:val="single" w:sz="4" w:space="0" w:color="auto"/>
              <w:right w:val="nil"/>
            </w:tcBorders>
            <w:shd w:val="clear" w:color="auto" w:fill="auto"/>
            <w:vAlign w:val="center"/>
            <w:hideMark/>
          </w:tcPr>
          <w:p w14:paraId="7E57D5CB" w14:textId="77777777" w:rsidR="00387142" w:rsidRPr="008B6A75" w:rsidRDefault="00387142" w:rsidP="00387142">
            <w:pPr>
              <w:rPr>
                <w:sz w:val="20"/>
                <w:szCs w:val="20"/>
              </w:rPr>
            </w:pPr>
            <w:r w:rsidRPr="008B6A75">
              <w:rPr>
                <w:sz w:val="20"/>
                <w:szCs w:val="20"/>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0AB1BB32" w14:textId="77777777" w:rsidR="00387142" w:rsidRPr="008B6A75" w:rsidRDefault="00387142" w:rsidP="00387142">
            <w:pPr>
              <w:jc w:val="center"/>
              <w:rPr>
                <w:sz w:val="20"/>
                <w:szCs w:val="20"/>
              </w:rPr>
            </w:pPr>
            <w:r w:rsidRPr="008B6A75">
              <w:rPr>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F6716BF" w14:textId="77777777" w:rsidR="00387142" w:rsidRPr="008B6A75" w:rsidRDefault="00387142" w:rsidP="00387142">
            <w:pPr>
              <w:jc w:val="center"/>
              <w:rPr>
                <w:sz w:val="20"/>
                <w:szCs w:val="20"/>
              </w:rPr>
            </w:pPr>
            <w:r w:rsidRPr="008B6A75">
              <w:rPr>
                <w:sz w:val="20"/>
                <w:szCs w:val="20"/>
              </w:rPr>
              <w:t>13</w:t>
            </w:r>
          </w:p>
        </w:tc>
        <w:tc>
          <w:tcPr>
            <w:tcW w:w="1516" w:type="dxa"/>
            <w:tcBorders>
              <w:top w:val="nil"/>
              <w:left w:val="single" w:sz="4" w:space="0" w:color="auto"/>
              <w:bottom w:val="single" w:sz="4" w:space="0" w:color="auto"/>
              <w:right w:val="nil"/>
            </w:tcBorders>
            <w:shd w:val="clear" w:color="auto" w:fill="auto"/>
            <w:noWrap/>
            <w:vAlign w:val="center"/>
            <w:hideMark/>
          </w:tcPr>
          <w:p w14:paraId="10E09653" w14:textId="77777777" w:rsidR="00387142" w:rsidRPr="008B6A75" w:rsidRDefault="00387142" w:rsidP="00387142">
            <w:pPr>
              <w:jc w:val="center"/>
              <w:rPr>
                <w:sz w:val="20"/>
                <w:szCs w:val="20"/>
              </w:rPr>
            </w:pPr>
            <w:r w:rsidRPr="008B6A75">
              <w:rPr>
                <w:sz w:val="20"/>
                <w:szCs w:val="20"/>
              </w:rPr>
              <w:t>99.0.00.01620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2F3A813" w14:textId="77777777" w:rsidR="00387142" w:rsidRPr="008B6A75" w:rsidRDefault="00387142" w:rsidP="00387142">
            <w:pPr>
              <w:jc w:val="center"/>
              <w:rPr>
                <w:sz w:val="20"/>
                <w:szCs w:val="20"/>
              </w:rPr>
            </w:pPr>
            <w:r w:rsidRPr="008B6A75">
              <w:rPr>
                <w:sz w:val="20"/>
                <w:szCs w:val="20"/>
              </w:rPr>
              <w:t>240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883A40A" w14:textId="77777777" w:rsidR="00387142" w:rsidRPr="008B6A75" w:rsidRDefault="00387142" w:rsidP="00387142">
            <w:pPr>
              <w:jc w:val="right"/>
              <w:rPr>
                <w:sz w:val="20"/>
                <w:szCs w:val="20"/>
              </w:rPr>
            </w:pPr>
            <w:r w:rsidRPr="008B6A75">
              <w:rPr>
                <w:sz w:val="20"/>
                <w:szCs w:val="20"/>
              </w:rPr>
              <w:t>2 885 610,00</w:t>
            </w:r>
          </w:p>
        </w:tc>
        <w:tc>
          <w:tcPr>
            <w:tcW w:w="992" w:type="dxa"/>
            <w:tcBorders>
              <w:top w:val="nil"/>
              <w:left w:val="single" w:sz="4" w:space="0" w:color="auto"/>
              <w:bottom w:val="single" w:sz="4" w:space="0" w:color="auto"/>
              <w:right w:val="nil"/>
            </w:tcBorders>
            <w:shd w:val="clear" w:color="auto" w:fill="auto"/>
            <w:vAlign w:val="center"/>
            <w:hideMark/>
          </w:tcPr>
          <w:p w14:paraId="5D38E3E1" w14:textId="77777777" w:rsidR="00387142" w:rsidRPr="008B6A75" w:rsidRDefault="00387142" w:rsidP="00387142">
            <w:pPr>
              <w:jc w:val="right"/>
              <w:rPr>
                <w:sz w:val="20"/>
                <w:szCs w:val="20"/>
              </w:rPr>
            </w:pPr>
            <w:r w:rsidRPr="008B6A75">
              <w:rPr>
                <w:sz w:val="20"/>
                <w:szCs w:val="20"/>
              </w:rPr>
              <w:t>1 200 000,00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6A8B1D2E" w14:textId="77777777" w:rsidR="00387142" w:rsidRPr="008B6A75" w:rsidRDefault="00387142" w:rsidP="00387142">
            <w:pPr>
              <w:jc w:val="right"/>
              <w:rPr>
                <w:sz w:val="20"/>
                <w:szCs w:val="20"/>
              </w:rPr>
            </w:pPr>
            <w:r w:rsidRPr="008B6A75">
              <w:rPr>
                <w:sz w:val="20"/>
                <w:szCs w:val="20"/>
              </w:rPr>
              <w:t>1 200 000,00</w:t>
            </w:r>
          </w:p>
        </w:tc>
      </w:tr>
      <w:tr w:rsidR="00387142" w:rsidRPr="008B6A75" w14:paraId="08D6E83B" w14:textId="77777777" w:rsidTr="00387142">
        <w:trPr>
          <w:trHeight w:val="585"/>
        </w:trPr>
        <w:tc>
          <w:tcPr>
            <w:tcW w:w="3261" w:type="dxa"/>
            <w:tcBorders>
              <w:top w:val="nil"/>
              <w:left w:val="single" w:sz="4" w:space="0" w:color="auto"/>
              <w:bottom w:val="single" w:sz="4" w:space="0" w:color="auto"/>
              <w:right w:val="nil"/>
            </w:tcBorders>
            <w:shd w:val="clear" w:color="auto" w:fill="auto"/>
            <w:vAlign w:val="center"/>
            <w:hideMark/>
          </w:tcPr>
          <w:p w14:paraId="62634D02" w14:textId="77777777" w:rsidR="00387142" w:rsidRPr="008B6A75" w:rsidRDefault="00387142" w:rsidP="00387142">
            <w:pPr>
              <w:rPr>
                <w:sz w:val="20"/>
                <w:szCs w:val="20"/>
              </w:rPr>
            </w:pPr>
            <w:r w:rsidRPr="008B6A75">
              <w:rPr>
                <w:sz w:val="20"/>
                <w:szCs w:val="20"/>
              </w:rPr>
              <w:t>Социальное обеспечение и иные выплаты населению</w:t>
            </w:r>
          </w:p>
        </w:tc>
        <w:tc>
          <w:tcPr>
            <w:tcW w:w="720" w:type="dxa"/>
            <w:tcBorders>
              <w:top w:val="nil"/>
              <w:left w:val="single" w:sz="4" w:space="0" w:color="auto"/>
              <w:bottom w:val="single" w:sz="4" w:space="0" w:color="auto"/>
              <w:right w:val="nil"/>
            </w:tcBorders>
            <w:shd w:val="clear" w:color="auto" w:fill="auto"/>
            <w:noWrap/>
            <w:vAlign w:val="center"/>
            <w:hideMark/>
          </w:tcPr>
          <w:p w14:paraId="168E2E41" w14:textId="77777777" w:rsidR="00387142" w:rsidRPr="008B6A75" w:rsidRDefault="00387142" w:rsidP="00387142">
            <w:pPr>
              <w:jc w:val="center"/>
              <w:rPr>
                <w:sz w:val="20"/>
                <w:szCs w:val="20"/>
              </w:rPr>
            </w:pPr>
            <w:r w:rsidRPr="008B6A75">
              <w:rPr>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79135FF" w14:textId="77777777" w:rsidR="00387142" w:rsidRPr="008B6A75" w:rsidRDefault="00387142" w:rsidP="00387142">
            <w:pPr>
              <w:jc w:val="center"/>
              <w:rPr>
                <w:sz w:val="20"/>
                <w:szCs w:val="20"/>
              </w:rPr>
            </w:pPr>
            <w:r w:rsidRPr="008B6A75">
              <w:rPr>
                <w:sz w:val="20"/>
                <w:szCs w:val="20"/>
              </w:rPr>
              <w:t>13</w:t>
            </w:r>
          </w:p>
        </w:tc>
        <w:tc>
          <w:tcPr>
            <w:tcW w:w="1516" w:type="dxa"/>
            <w:tcBorders>
              <w:top w:val="nil"/>
              <w:left w:val="single" w:sz="4" w:space="0" w:color="auto"/>
              <w:bottom w:val="single" w:sz="4" w:space="0" w:color="auto"/>
              <w:right w:val="nil"/>
            </w:tcBorders>
            <w:shd w:val="clear" w:color="auto" w:fill="auto"/>
            <w:noWrap/>
            <w:vAlign w:val="center"/>
            <w:hideMark/>
          </w:tcPr>
          <w:p w14:paraId="48D1754B" w14:textId="77777777" w:rsidR="00387142" w:rsidRPr="008B6A75" w:rsidRDefault="00387142" w:rsidP="00387142">
            <w:pPr>
              <w:jc w:val="center"/>
              <w:rPr>
                <w:sz w:val="20"/>
                <w:szCs w:val="20"/>
              </w:rPr>
            </w:pPr>
            <w:r w:rsidRPr="008B6A75">
              <w:rPr>
                <w:sz w:val="20"/>
                <w:szCs w:val="20"/>
              </w:rPr>
              <w:t>99.0.00.01620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68D892D" w14:textId="77777777" w:rsidR="00387142" w:rsidRPr="008B6A75" w:rsidRDefault="00387142" w:rsidP="00387142">
            <w:pPr>
              <w:jc w:val="center"/>
              <w:rPr>
                <w:sz w:val="20"/>
                <w:szCs w:val="20"/>
              </w:rPr>
            </w:pPr>
            <w:r w:rsidRPr="008B6A75">
              <w:rPr>
                <w:sz w:val="20"/>
                <w:szCs w:val="20"/>
              </w:rPr>
              <w:t>300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ED44F67" w14:textId="77777777" w:rsidR="00387142" w:rsidRPr="008B6A75" w:rsidRDefault="00387142" w:rsidP="00387142">
            <w:pPr>
              <w:jc w:val="right"/>
              <w:rPr>
                <w:sz w:val="20"/>
                <w:szCs w:val="20"/>
              </w:rPr>
            </w:pPr>
            <w:r w:rsidRPr="008B6A75">
              <w:rPr>
                <w:sz w:val="20"/>
                <w:szCs w:val="20"/>
              </w:rPr>
              <w:t>114 940,00</w:t>
            </w:r>
          </w:p>
        </w:tc>
        <w:tc>
          <w:tcPr>
            <w:tcW w:w="992" w:type="dxa"/>
            <w:tcBorders>
              <w:top w:val="nil"/>
              <w:left w:val="single" w:sz="4" w:space="0" w:color="auto"/>
              <w:bottom w:val="single" w:sz="4" w:space="0" w:color="auto"/>
              <w:right w:val="nil"/>
            </w:tcBorders>
            <w:shd w:val="clear" w:color="auto" w:fill="auto"/>
            <w:vAlign w:val="center"/>
            <w:hideMark/>
          </w:tcPr>
          <w:p w14:paraId="51F6E3E8" w14:textId="77777777" w:rsidR="00387142" w:rsidRPr="008B6A75" w:rsidRDefault="00387142" w:rsidP="00387142">
            <w:pPr>
              <w:jc w:val="right"/>
              <w:rPr>
                <w:sz w:val="20"/>
                <w:szCs w:val="20"/>
              </w:rPr>
            </w:pPr>
            <w:r w:rsidRPr="008B6A75">
              <w:rPr>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07920BAF" w14:textId="77777777" w:rsidR="00387142" w:rsidRPr="008B6A75" w:rsidRDefault="00387142" w:rsidP="00387142">
            <w:pPr>
              <w:jc w:val="right"/>
              <w:rPr>
                <w:sz w:val="20"/>
                <w:szCs w:val="20"/>
              </w:rPr>
            </w:pPr>
            <w:r w:rsidRPr="008B6A75">
              <w:rPr>
                <w:sz w:val="20"/>
                <w:szCs w:val="20"/>
              </w:rPr>
              <w:t>0,00</w:t>
            </w:r>
          </w:p>
        </w:tc>
      </w:tr>
      <w:tr w:rsidR="00387142" w:rsidRPr="008B6A75" w14:paraId="09BC92C8" w14:textId="77777777" w:rsidTr="00387142">
        <w:trPr>
          <w:trHeight w:val="345"/>
        </w:trPr>
        <w:tc>
          <w:tcPr>
            <w:tcW w:w="3261" w:type="dxa"/>
            <w:tcBorders>
              <w:top w:val="nil"/>
              <w:left w:val="single" w:sz="4" w:space="0" w:color="auto"/>
              <w:bottom w:val="single" w:sz="4" w:space="0" w:color="auto"/>
              <w:right w:val="nil"/>
            </w:tcBorders>
            <w:shd w:val="clear" w:color="auto" w:fill="auto"/>
            <w:vAlign w:val="center"/>
            <w:hideMark/>
          </w:tcPr>
          <w:p w14:paraId="3797E6FE" w14:textId="77777777" w:rsidR="00387142" w:rsidRPr="008B6A75" w:rsidRDefault="00387142" w:rsidP="00387142">
            <w:pPr>
              <w:rPr>
                <w:sz w:val="20"/>
                <w:szCs w:val="20"/>
              </w:rPr>
            </w:pPr>
            <w:r w:rsidRPr="008B6A75">
              <w:rPr>
                <w:sz w:val="20"/>
                <w:szCs w:val="20"/>
              </w:rPr>
              <w:t>Иные выплаты населению</w:t>
            </w:r>
          </w:p>
        </w:tc>
        <w:tc>
          <w:tcPr>
            <w:tcW w:w="720" w:type="dxa"/>
            <w:tcBorders>
              <w:top w:val="nil"/>
              <w:left w:val="single" w:sz="4" w:space="0" w:color="auto"/>
              <w:bottom w:val="single" w:sz="4" w:space="0" w:color="auto"/>
              <w:right w:val="nil"/>
            </w:tcBorders>
            <w:shd w:val="clear" w:color="auto" w:fill="auto"/>
            <w:noWrap/>
            <w:vAlign w:val="center"/>
            <w:hideMark/>
          </w:tcPr>
          <w:p w14:paraId="598563A8" w14:textId="77777777" w:rsidR="00387142" w:rsidRPr="008B6A75" w:rsidRDefault="00387142" w:rsidP="00387142">
            <w:pPr>
              <w:jc w:val="center"/>
              <w:rPr>
                <w:sz w:val="20"/>
                <w:szCs w:val="20"/>
              </w:rPr>
            </w:pPr>
            <w:r w:rsidRPr="008B6A75">
              <w:rPr>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D4D0583" w14:textId="77777777" w:rsidR="00387142" w:rsidRPr="008B6A75" w:rsidRDefault="00387142" w:rsidP="00387142">
            <w:pPr>
              <w:jc w:val="center"/>
              <w:rPr>
                <w:sz w:val="20"/>
                <w:szCs w:val="20"/>
              </w:rPr>
            </w:pPr>
            <w:r w:rsidRPr="008B6A75">
              <w:rPr>
                <w:sz w:val="20"/>
                <w:szCs w:val="20"/>
              </w:rPr>
              <w:t>13</w:t>
            </w:r>
          </w:p>
        </w:tc>
        <w:tc>
          <w:tcPr>
            <w:tcW w:w="1516" w:type="dxa"/>
            <w:tcBorders>
              <w:top w:val="nil"/>
              <w:left w:val="single" w:sz="4" w:space="0" w:color="auto"/>
              <w:bottom w:val="single" w:sz="4" w:space="0" w:color="auto"/>
              <w:right w:val="nil"/>
            </w:tcBorders>
            <w:shd w:val="clear" w:color="auto" w:fill="auto"/>
            <w:noWrap/>
            <w:vAlign w:val="center"/>
            <w:hideMark/>
          </w:tcPr>
          <w:p w14:paraId="3ED9587E" w14:textId="77777777" w:rsidR="00387142" w:rsidRPr="008B6A75" w:rsidRDefault="00387142" w:rsidP="00387142">
            <w:pPr>
              <w:jc w:val="center"/>
              <w:rPr>
                <w:sz w:val="20"/>
                <w:szCs w:val="20"/>
              </w:rPr>
            </w:pPr>
            <w:r w:rsidRPr="008B6A75">
              <w:rPr>
                <w:sz w:val="20"/>
                <w:szCs w:val="20"/>
              </w:rPr>
              <w:t>99.0.00.01620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324B4D0" w14:textId="77777777" w:rsidR="00387142" w:rsidRPr="008B6A75" w:rsidRDefault="00387142" w:rsidP="00387142">
            <w:pPr>
              <w:jc w:val="center"/>
              <w:rPr>
                <w:sz w:val="20"/>
                <w:szCs w:val="20"/>
              </w:rPr>
            </w:pPr>
            <w:r w:rsidRPr="008B6A75">
              <w:rPr>
                <w:sz w:val="20"/>
                <w:szCs w:val="20"/>
              </w:rPr>
              <w:t>360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2395DA4" w14:textId="77777777" w:rsidR="00387142" w:rsidRPr="008B6A75" w:rsidRDefault="00387142" w:rsidP="00387142">
            <w:pPr>
              <w:jc w:val="right"/>
              <w:rPr>
                <w:sz w:val="20"/>
                <w:szCs w:val="20"/>
              </w:rPr>
            </w:pPr>
            <w:r w:rsidRPr="008B6A75">
              <w:rPr>
                <w:sz w:val="20"/>
                <w:szCs w:val="20"/>
              </w:rPr>
              <w:t>114 940,00</w:t>
            </w:r>
          </w:p>
        </w:tc>
        <w:tc>
          <w:tcPr>
            <w:tcW w:w="992" w:type="dxa"/>
            <w:tcBorders>
              <w:top w:val="nil"/>
              <w:left w:val="single" w:sz="4" w:space="0" w:color="auto"/>
              <w:bottom w:val="single" w:sz="4" w:space="0" w:color="auto"/>
              <w:right w:val="nil"/>
            </w:tcBorders>
            <w:shd w:val="clear" w:color="auto" w:fill="auto"/>
            <w:vAlign w:val="center"/>
            <w:hideMark/>
          </w:tcPr>
          <w:p w14:paraId="0DCA1A66" w14:textId="77777777" w:rsidR="00387142" w:rsidRPr="008B6A75" w:rsidRDefault="00387142" w:rsidP="00387142">
            <w:pPr>
              <w:jc w:val="right"/>
              <w:rPr>
                <w:sz w:val="20"/>
                <w:szCs w:val="20"/>
              </w:rPr>
            </w:pPr>
            <w:r w:rsidRPr="008B6A75">
              <w:rPr>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1D6368EA" w14:textId="77777777" w:rsidR="00387142" w:rsidRPr="008B6A75" w:rsidRDefault="00387142" w:rsidP="00387142">
            <w:pPr>
              <w:jc w:val="right"/>
              <w:rPr>
                <w:sz w:val="20"/>
                <w:szCs w:val="20"/>
              </w:rPr>
            </w:pPr>
            <w:r w:rsidRPr="008B6A75">
              <w:rPr>
                <w:sz w:val="20"/>
                <w:szCs w:val="20"/>
              </w:rPr>
              <w:t>0,00</w:t>
            </w:r>
          </w:p>
        </w:tc>
      </w:tr>
      <w:tr w:rsidR="00387142" w:rsidRPr="008B6A75" w14:paraId="290BB0A9" w14:textId="77777777" w:rsidTr="00387142">
        <w:trPr>
          <w:trHeight w:val="870"/>
        </w:trPr>
        <w:tc>
          <w:tcPr>
            <w:tcW w:w="3261" w:type="dxa"/>
            <w:tcBorders>
              <w:top w:val="nil"/>
              <w:left w:val="single" w:sz="4" w:space="0" w:color="auto"/>
              <w:bottom w:val="single" w:sz="4" w:space="0" w:color="auto"/>
              <w:right w:val="nil"/>
            </w:tcBorders>
            <w:shd w:val="clear" w:color="auto" w:fill="auto"/>
            <w:vAlign w:val="center"/>
            <w:hideMark/>
          </w:tcPr>
          <w:p w14:paraId="2257B7DC" w14:textId="77777777" w:rsidR="00387142" w:rsidRPr="008B6A75" w:rsidRDefault="00387142" w:rsidP="00387142">
            <w:pPr>
              <w:rPr>
                <w:sz w:val="20"/>
                <w:szCs w:val="20"/>
              </w:rPr>
            </w:pPr>
            <w:r w:rsidRPr="008B6A75">
              <w:rPr>
                <w:sz w:val="20"/>
                <w:szCs w:val="20"/>
              </w:rPr>
              <w:t>Капитальные вложения в объекты государственной (муниципальной) собственности</w:t>
            </w:r>
          </w:p>
        </w:tc>
        <w:tc>
          <w:tcPr>
            <w:tcW w:w="720" w:type="dxa"/>
            <w:tcBorders>
              <w:top w:val="nil"/>
              <w:left w:val="single" w:sz="4" w:space="0" w:color="auto"/>
              <w:bottom w:val="single" w:sz="4" w:space="0" w:color="auto"/>
              <w:right w:val="nil"/>
            </w:tcBorders>
            <w:shd w:val="clear" w:color="auto" w:fill="auto"/>
            <w:noWrap/>
            <w:vAlign w:val="center"/>
            <w:hideMark/>
          </w:tcPr>
          <w:p w14:paraId="1A35250D" w14:textId="77777777" w:rsidR="00387142" w:rsidRPr="008B6A75" w:rsidRDefault="00387142" w:rsidP="00387142">
            <w:pPr>
              <w:jc w:val="center"/>
              <w:rPr>
                <w:sz w:val="20"/>
                <w:szCs w:val="20"/>
              </w:rPr>
            </w:pPr>
            <w:r w:rsidRPr="008B6A75">
              <w:rPr>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3DB2B0F" w14:textId="77777777" w:rsidR="00387142" w:rsidRPr="008B6A75" w:rsidRDefault="00387142" w:rsidP="00387142">
            <w:pPr>
              <w:jc w:val="center"/>
              <w:rPr>
                <w:sz w:val="20"/>
                <w:szCs w:val="20"/>
              </w:rPr>
            </w:pPr>
            <w:r w:rsidRPr="008B6A75">
              <w:rPr>
                <w:sz w:val="20"/>
                <w:szCs w:val="20"/>
              </w:rPr>
              <w:t>13</w:t>
            </w:r>
          </w:p>
        </w:tc>
        <w:tc>
          <w:tcPr>
            <w:tcW w:w="1516" w:type="dxa"/>
            <w:tcBorders>
              <w:top w:val="nil"/>
              <w:left w:val="single" w:sz="4" w:space="0" w:color="auto"/>
              <w:bottom w:val="single" w:sz="4" w:space="0" w:color="auto"/>
              <w:right w:val="nil"/>
            </w:tcBorders>
            <w:shd w:val="clear" w:color="auto" w:fill="auto"/>
            <w:noWrap/>
            <w:vAlign w:val="center"/>
            <w:hideMark/>
          </w:tcPr>
          <w:p w14:paraId="0A0F8EEE" w14:textId="77777777" w:rsidR="00387142" w:rsidRPr="008B6A75" w:rsidRDefault="00387142" w:rsidP="00387142">
            <w:pPr>
              <w:jc w:val="center"/>
              <w:rPr>
                <w:sz w:val="20"/>
                <w:szCs w:val="20"/>
              </w:rPr>
            </w:pPr>
            <w:r w:rsidRPr="008B6A75">
              <w:rPr>
                <w:sz w:val="20"/>
                <w:szCs w:val="20"/>
              </w:rPr>
              <w:t>99.0.00.01620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1EB07F2" w14:textId="77777777" w:rsidR="00387142" w:rsidRPr="008B6A75" w:rsidRDefault="00387142" w:rsidP="00387142">
            <w:pPr>
              <w:jc w:val="center"/>
              <w:rPr>
                <w:sz w:val="20"/>
                <w:szCs w:val="20"/>
              </w:rPr>
            </w:pPr>
            <w:r w:rsidRPr="008B6A75">
              <w:rPr>
                <w:sz w:val="20"/>
                <w:szCs w:val="20"/>
              </w:rPr>
              <w:t>400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09C8D55" w14:textId="77777777" w:rsidR="00387142" w:rsidRPr="008B6A75" w:rsidRDefault="00387142" w:rsidP="00387142">
            <w:pPr>
              <w:jc w:val="right"/>
              <w:rPr>
                <w:sz w:val="20"/>
                <w:szCs w:val="20"/>
              </w:rPr>
            </w:pPr>
            <w:r w:rsidRPr="008B6A75">
              <w:rPr>
                <w:sz w:val="20"/>
                <w:szCs w:val="20"/>
              </w:rPr>
              <w:t>5 241 686,08</w:t>
            </w:r>
          </w:p>
        </w:tc>
        <w:tc>
          <w:tcPr>
            <w:tcW w:w="992" w:type="dxa"/>
            <w:tcBorders>
              <w:top w:val="nil"/>
              <w:left w:val="single" w:sz="4" w:space="0" w:color="auto"/>
              <w:bottom w:val="single" w:sz="4" w:space="0" w:color="auto"/>
              <w:right w:val="nil"/>
            </w:tcBorders>
            <w:shd w:val="clear" w:color="auto" w:fill="auto"/>
            <w:vAlign w:val="center"/>
            <w:hideMark/>
          </w:tcPr>
          <w:p w14:paraId="10E6B51F" w14:textId="77777777" w:rsidR="00387142" w:rsidRPr="008B6A75" w:rsidRDefault="00387142" w:rsidP="00387142">
            <w:pPr>
              <w:jc w:val="right"/>
              <w:rPr>
                <w:sz w:val="20"/>
                <w:szCs w:val="20"/>
              </w:rPr>
            </w:pPr>
            <w:r w:rsidRPr="008B6A75">
              <w:rPr>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7DBF256D" w14:textId="77777777" w:rsidR="00387142" w:rsidRPr="008B6A75" w:rsidRDefault="00387142" w:rsidP="00387142">
            <w:pPr>
              <w:jc w:val="right"/>
              <w:rPr>
                <w:sz w:val="20"/>
                <w:szCs w:val="20"/>
              </w:rPr>
            </w:pPr>
            <w:r w:rsidRPr="008B6A75">
              <w:rPr>
                <w:sz w:val="20"/>
                <w:szCs w:val="20"/>
              </w:rPr>
              <w:t>0,00</w:t>
            </w:r>
          </w:p>
        </w:tc>
      </w:tr>
      <w:tr w:rsidR="00387142" w:rsidRPr="008B6A75" w14:paraId="7902C9DE" w14:textId="77777777" w:rsidTr="00387142">
        <w:trPr>
          <w:trHeight w:val="345"/>
        </w:trPr>
        <w:tc>
          <w:tcPr>
            <w:tcW w:w="3261" w:type="dxa"/>
            <w:tcBorders>
              <w:top w:val="nil"/>
              <w:left w:val="single" w:sz="4" w:space="0" w:color="auto"/>
              <w:bottom w:val="single" w:sz="4" w:space="0" w:color="auto"/>
              <w:right w:val="nil"/>
            </w:tcBorders>
            <w:shd w:val="clear" w:color="auto" w:fill="auto"/>
            <w:vAlign w:val="center"/>
            <w:hideMark/>
          </w:tcPr>
          <w:p w14:paraId="40850E66" w14:textId="77777777" w:rsidR="00387142" w:rsidRPr="008B6A75" w:rsidRDefault="00387142" w:rsidP="00387142">
            <w:pPr>
              <w:rPr>
                <w:sz w:val="20"/>
                <w:szCs w:val="20"/>
              </w:rPr>
            </w:pPr>
            <w:r w:rsidRPr="008B6A75">
              <w:rPr>
                <w:sz w:val="20"/>
                <w:szCs w:val="20"/>
              </w:rPr>
              <w:t>Бюджетные инвестиции</w:t>
            </w:r>
          </w:p>
        </w:tc>
        <w:tc>
          <w:tcPr>
            <w:tcW w:w="720" w:type="dxa"/>
            <w:tcBorders>
              <w:top w:val="nil"/>
              <w:left w:val="single" w:sz="4" w:space="0" w:color="auto"/>
              <w:bottom w:val="single" w:sz="4" w:space="0" w:color="auto"/>
              <w:right w:val="nil"/>
            </w:tcBorders>
            <w:shd w:val="clear" w:color="auto" w:fill="auto"/>
            <w:noWrap/>
            <w:vAlign w:val="center"/>
            <w:hideMark/>
          </w:tcPr>
          <w:p w14:paraId="4B863213" w14:textId="77777777" w:rsidR="00387142" w:rsidRPr="008B6A75" w:rsidRDefault="00387142" w:rsidP="00387142">
            <w:pPr>
              <w:jc w:val="center"/>
              <w:rPr>
                <w:sz w:val="20"/>
                <w:szCs w:val="20"/>
              </w:rPr>
            </w:pPr>
            <w:r w:rsidRPr="008B6A75">
              <w:rPr>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63BE6A1" w14:textId="77777777" w:rsidR="00387142" w:rsidRPr="008B6A75" w:rsidRDefault="00387142" w:rsidP="00387142">
            <w:pPr>
              <w:jc w:val="center"/>
              <w:rPr>
                <w:sz w:val="20"/>
                <w:szCs w:val="20"/>
              </w:rPr>
            </w:pPr>
            <w:r w:rsidRPr="008B6A75">
              <w:rPr>
                <w:sz w:val="20"/>
                <w:szCs w:val="20"/>
              </w:rPr>
              <w:t>13</w:t>
            </w:r>
          </w:p>
        </w:tc>
        <w:tc>
          <w:tcPr>
            <w:tcW w:w="1516" w:type="dxa"/>
            <w:tcBorders>
              <w:top w:val="nil"/>
              <w:left w:val="single" w:sz="4" w:space="0" w:color="auto"/>
              <w:bottom w:val="single" w:sz="4" w:space="0" w:color="auto"/>
              <w:right w:val="nil"/>
            </w:tcBorders>
            <w:shd w:val="clear" w:color="auto" w:fill="auto"/>
            <w:noWrap/>
            <w:vAlign w:val="center"/>
            <w:hideMark/>
          </w:tcPr>
          <w:p w14:paraId="730BA59F" w14:textId="77777777" w:rsidR="00387142" w:rsidRPr="008B6A75" w:rsidRDefault="00387142" w:rsidP="00387142">
            <w:pPr>
              <w:jc w:val="center"/>
              <w:rPr>
                <w:sz w:val="20"/>
                <w:szCs w:val="20"/>
              </w:rPr>
            </w:pPr>
            <w:r w:rsidRPr="008B6A75">
              <w:rPr>
                <w:sz w:val="20"/>
                <w:szCs w:val="20"/>
              </w:rPr>
              <w:t>99.0.00.01620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0DDBDC6" w14:textId="77777777" w:rsidR="00387142" w:rsidRPr="008B6A75" w:rsidRDefault="00387142" w:rsidP="00387142">
            <w:pPr>
              <w:jc w:val="center"/>
              <w:rPr>
                <w:sz w:val="20"/>
                <w:szCs w:val="20"/>
              </w:rPr>
            </w:pPr>
            <w:r w:rsidRPr="008B6A75">
              <w:rPr>
                <w:sz w:val="20"/>
                <w:szCs w:val="20"/>
              </w:rPr>
              <w:t>410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5C615E4" w14:textId="77777777" w:rsidR="00387142" w:rsidRPr="008B6A75" w:rsidRDefault="00387142" w:rsidP="00387142">
            <w:pPr>
              <w:jc w:val="right"/>
              <w:rPr>
                <w:sz w:val="20"/>
                <w:szCs w:val="20"/>
              </w:rPr>
            </w:pPr>
            <w:r w:rsidRPr="008B6A75">
              <w:rPr>
                <w:sz w:val="20"/>
                <w:szCs w:val="20"/>
              </w:rPr>
              <w:t>5 241 686,08</w:t>
            </w:r>
          </w:p>
        </w:tc>
        <w:tc>
          <w:tcPr>
            <w:tcW w:w="992" w:type="dxa"/>
            <w:tcBorders>
              <w:top w:val="nil"/>
              <w:left w:val="single" w:sz="4" w:space="0" w:color="auto"/>
              <w:bottom w:val="single" w:sz="4" w:space="0" w:color="auto"/>
              <w:right w:val="nil"/>
            </w:tcBorders>
            <w:shd w:val="clear" w:color="auto" w:fill="auto"/>
            <w:vAlign w:val="center"/>
            <w:hideMark/>
          </w:tcPr>
          <w:p w14:paraId="4B42B82D" w14:textId="77777777" w:rsidR="00387142" w:rsidRPr="008B6A75" w:rsidRDefault="00387142" w:rsidP="00387142">
            <w:pPr>
              <w:jc w:val="right"/>
              <w:rPr>
                <w:sz w:val="20"/>
                <w:szCs w:val="20"/>
              </w:rPr>
            </w:pPr>
            <w:r w:rsidRPr="008B6A75">
              <w:rPr>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59A06300" w14:textId="77777777" w:rsidR="00387142" w:rsidRPr="008B6A75" w:rsidRDefault="00387142" w:rsidP="00387142">
            <w:pPr>
              <w:jc w:val="right"/>
              <w:rPr>
                <w:sz w:val="20"/>
                <w:szCs w:val="20"/>
              </w:rPr>
            </w:pPr>
            <w:r w:rsidRPr="008B6A75">
              <w:rPr>
                <w:sz w:val="20"/>
                <w:szCs w:val="20"/>
              </w:rPr>
              <w:t>0,00</w:t>
            </w:r>
          </w:p>
        </w:tc>
      </w:tr>
      <w:tr w:rsidR="00387142" w:rsidRPr="008B6A75" w14:paraId="2948FA65" w14:textId="77777777" w:rsidTr="00387142">
        <w:trPr>
          <w:trHeight w:val="345"/>
        </w:trPr>
        <w:tc>
          <w:tcPr>
            <w:tcW w:w="3261" w:type="dxa"/>
            <w:tcBorders>
              <w:top w:val="nil"/>
              <w:left w:val="single" w:sz="4" w:space="0" w:color="auto"/>
              <w:bottom w:val="single" w:sz="4" w:space="0" w:color="auto"/>
              <w:right w:val="nil"/>
            </w:tcBorders>
            <w:shd w:val="clear" w:color="auto" w:fill="auto"/>
            <w:vAlign w:val="center"/>
            <w:hideMark/>
          </w:tcPr>
          <w:p w14:paraId="7B0745CD" w14:textId="77777777" w:rsidR="00387142" w:rsidRPr="008B6A75" w:rsidRDefault="00387142" w:rsidP="00387142">
            <w:pPr>
              <w:rPr>
                <w:sz w:val="20"/>
                <w:szCs w:val="20"/>
              </w:rPr>
            </w:pPr>
            <w:r w:rsidRPr="008B6A75">
              <w:rPr>
                <w:sz w:val="20"/>
                <w:szCs w:val="20"/>
              </w:rPr>
              <w:t>Иные бюджетные ассигнования</w:t>
            </w:r>
          </w:p>
        </w:tc>
        <w:tc>
          <w:tcPr>
            <w:tcW w:w="720" w:type="dxa"/>
            <w:tcBorders>
              <w:top w:val="nil"/>
              <w:left w:val="single" w:sz="4" w:space="0" w:color="auto"/>
              <w:bottom w:val="single" w:sz="4" w:space="0" w:color="auto"/>
              <w:right w:val="nil"/>
            </w:tcBorders>
            <w:shd w:val="clear" w:color="auto" w:fill="auto"/>
            <w:noWrap/>
            <w:vAlign w:val="center"/>
            <w:hideMark/>
          </w:tcPr>
          <w:p w14:paraId="610DC8ED" w14:textId="77777777" w:rsidR="00387142" w:rsidRPr="008B6A75" w:rsidRDefault="00387142" w:rsidP="00387142">
            <w:pPr>
              <w:jc w:val="center"/>
              <w:rPr>
                <w:sz w:val="20"/>
                <w:szCs w:val="20"/>
              </w:rPr>
            </w:pPr>
            <w:r w:rsidRPr="008B6A75">
              <w:rPr>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8E204E3" w14:textId="77777777" w:rsidR="00387142" w:rsidRPr="008B6A75" w:rsidRDefault="00387142" w:rsidP="00387142">
            <w:pPr>
              <w:jc w:val="center"/>
              <w:rPr>
                <w:sz w:val="20"/>
                <w:szCs w:val="20"/>
              </w:rPr>
            </w:pPr>
            <w:r w:rsidRPr="008B6A75">
              <w:rPr>
                <w:sz w:val="20"/>
                <w:szCs w:val="20"/>
              </w:rPr>
              <w:t>13</w:t>
            </w:r>
          </w:p>
        </w:tc>
        <w:tc>
          <w:tcPr>
            <w:tcW w:w="1516" w:type="dxa"/>
            <w:tcBorders>
              <w:top w:val="nil"/>
              <w:left w:val="single" w:sz="4" w:space="0" w:color="auto"/>
              <w:bottom w:val="single" w:sz="4" w:space="0" w:color="auto"/>
              <w:right w:val="nil"/>
            </w:tcBorders>
            <w:shd w:val="clear" w:color="auto" w:fill="auto"/>
            <w:noWrap/>
            <w:vAlign w:val="center"/>
            <w:hideMark/>
          </w:tcPr>
          <w:p w14:paraId="41E25BAC" w14:textId="77777777" w:rsidR="00387142" w:rsidRPr="008B6A75" w:rsidRDefault="00387142" w:rsidP="00387142">
            <w:pPr>
              <w:jc w:val="center"/>
              <w:rPr>
                <w:sz w:val="20"/>
                <w:szCs w:val="20"/>
              </w:rPr>
            </w:pPr>
            <w:r w:rsidRPr="008B6A75">
              <w:rPr>
                <w:sz w:val="20"/>
                <w:szCs w:val="20"/>
              </w:rPr>
              <w:t>99.0.00.01620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3E39BD8" w14:textId="77777777" w:rsidR="00387142" w:rsidRPr="008B6A75" w:rsidRDefault="00387142" w:rsidP="00387142">
            <w:pPr>
              <w:jc w:val="center"/>
              <w:rPr>
                <w:sz w:val="20"/>
                <w:szCs w:val="20"/>
              </w:rPr>
            </w:pPr>
            <w:r w:rsidRPr="008B6A75">
              <w:rPr>
                <w:sz w:val="20"/>
                <w:szCs w:val="20"/>
              </w:rPr>
              <w:t>800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DDE7672" w14:textId="77777777" w:rsidR="00387142" w:rsidRPr="008B6A75" w:rsidRDefault="00387142" w:rsidP="00387142">
            <w:pPr>
              <w:jc w:val="right"/>
              <w:rPr>
                <w:sz w:val="20"/>
                <w:szCs w:val="20"/>
              </w:rPr>
            </w:pPr>
            <w:r w:rsidRPr="008B6A75">
              <w:rPr>
                <w:sz w:val="20"/>
                <w:szCs w:val="20"/>
              </w:rPr>
              <w:t>56 100,00</w:t>
            </w:r>
          </w:p>
        </w:tc>
        <w:tc>
          <w:tcPr>
            <w:tcW w:w="992" w:type="dxa"/>
            <w:tcBorders>
              <w:top w:val="nil"/>
              <w:left w:val="single" w:sz="4" w:space="0" w:color="auto"/>
              <w:bottom w:val="single" w:sz="4" w:space="0" w:color="auto"/>
              <w:right w:val="nil"/>
            </w:tcBorders>
            <w:shd w:val="clear" w:color="auto" w:fill="auto"/>
            <w:vAlign w:val="center"/>
            <w:hideMark/>
          </w:tcPr>
          <w:p w14:paraId="0A72F079" w14:textId="77777777" w:rsidR="00387142" w:rsidRPr="008B6A75" w:rsidRDefault="00387142" w:rsidP="00387142">
            <w:pPr>
              <w:jc w:val="right"/>
              <w:rPr>
                <w:sz w:val="20"/>
                <w:szCs w:val="20"/>
              </w:rPr>
            </w:pPr>
            <w:r w:rsidRPr="008B6A75">
              <w:rPr>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76800B93" w14:textId="77777777" w:rsidR="00387142" w:rsidRPr="008B6A75" w:rsidRDefault="00387142" w:rsidP="00387142">
            <w:pPr>
              <w:jc w:val="right"/>
              <w:rPr>
                <w:sz w:val="20"/>
                <w:szCs w:val="20"/>
              </w:rPr>
            </w:pPr>
            <w:r w:rsidRPr="008B6A75">
              <w:rPr>
                <w:sz w:val="20"/>
                <w:szCs w:val="20"/>
              </w:rPr>
              <w:t>0,00</w:t>
            </w:r>
          </w:p>
        </w:tc>
      </w:tr>
      <w:tr w:rsidR="00387142" w:rsidRPr="008B6A75" w14:paraId="13D1E52E" w14:textId="77777777" w:rsidTr="00387142">
        <w:trPr>
          <w:trHeight w:val="345"/>
        </w:trPr>
        <w:tc>
          <w:tcPr>
            <w:tcW w:w="3261" w:type="dxa"/>
            <w:tcBorders>
              <w:top w:val="nil"/>
              <w:left w:val="single" w:sz="4" w:space="0" w:color="auto"/>
              <w:bottom w:val="single" w:sz="4" w:space="0" w:color="auto"/>
              <w:right w:val="nil"/>
            </w:tcBorders>
            <w:shd w:val="clear" w:color="auto" w:fill="auto"/>
            <w:vAlign w:val="center"/>
            <w:hideMark/>
          </w:tcPr>
          <w:p w14:paraId="6FBAAF0F" w14:textId="77777777" w:rsidR="00387142" w:rsidRPr="008B6A75" w:rsidRDefault="00387142" w:rsidP="00387142">
            <w:pPr>
              <w:rPr>
                <w:sz w:val="20"/>
                <w:szCs w:val="20"/>
              </w:rPr>
            </w:pPr>
            <w:r w:rsidRPr="008B6A75">
              <w:rPr>
                <w:sz w:val="20"/>
                <w:szCs w:val="20"/>
              </w:rPr>
              <w:t>Исполнение судебных актов</w:t>
            </w:r>
          </w:p>
        </w:tc>
        <w:tc>
          <w:tcPr>
            <w:tcW w:w="720" w:type="dxa"/>
            <w:tcBorders>
              <w:top w:val="nil"/>
              <w:left w:val="single" w:sz="4" w:space="0" w:color="auto"/>
              <w:bottom w:val="single" w:sz="4" w:space="0" w:color="auto"/>
              <w:right w:val="nil"/>
            </w:tcBorders>
            <w:shd w:val="clear" w:color="auto" w:fill="auto"/>
            <w:noWrap/>
            <w:vAlign w:val="center"/>
            <w:hideMark/>
          </w:tcPr>
          <w:p w14:paraId="67DABF65" w14:textId="77777777" w:rsidR="00387142" w:rsidRPr="008B6A75" w:rsidRDefault="00387142" w:rsidP="00387142">
            <w:pPr>
              <w:jc w:val="center"/>
              <w:rPr>
                <w:sz w:val="20"/>
                <w:szCs w:val="20"/>
              </w:rPr>
            </w:pPr>
            <w:r w:rsidRPr="008B6A75">
              <w:rPr>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DED63BA" w14:textId="77777777" w:rsidR="00387142" w:rsidRPr="008B6A75" w:rsidRDefault="00387142" w:rsidP="00387142">
            <w:pPr>
              <w:jc w:val="center"/>
              <w:rPr>
                <w:sz w:val="20"/>
                <w:szCs w:val="20"/>
              </w:rPr>
            </w:pPr>
            <w:r w:rsidRPr="008B6A75">
              <w:rPr>
                <w:sz w:val="20"/>
                <w:szCs w:val="20"/>
              </w:rPr>
              <w:t>13</w:t>
            </w:r>
          </w:p>
        </w:tc>
        <w:tc>
          <w:tcPr>
            <w:tcW w:w="1516" w:type="dxa"/>
            <w:tcBorders>
              <w:top w:val="nil"/>
              <w:left w:val="single" w:sz="4" w:space="0" w:color="auto"/>
              <w:bottom w:val="single" w:sz="4" w:space="0" w:color="auto"/>
              <w:right w:val="nil"/>
            </w:tcBorders>
            <w:shd w:val="clear" w:color="auto" w:fill="auto"/>
            <w:noWrap/>
            <w:vAlign w:val="center"/>
            <w:hideMark/>
          </w:tcPr>
          <w:p w14:paraId="2717AED6" w14:textId="77777777" w:rsidR="00387142" w:rsidRPr="008B6A75" w:rsidRDefault="00387142" w:rsidP="00387142">
            <w:pPr>
              <w:jc w:val="center"/>
              <w:rPr>
                <w:sz w:val="20"/>
                <w:szCs w:val="20"/>
              </w:rPr>
            </w:pPr>
            <w:r w:rsidRPr="008B6A75">
              <w:rPr>
                <w:sz w:val="20"/>
                <w:szCs w:val="20"/>
              </w:rPr>
              <w:t>99.0.00.01620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29B2088" w14:textId="77777777" w:rsidR="00387142" w:rsidRPr="008B6A75" w:rsidRDefault="00387142" w:rsidP="00387142">
            <w:pPr>
              <w:jc w:val="center"/>
              <w:rPr>
                <w:sz w:val="20"/>
                <w:szCs w:val="20"/>
              </w:rPr>
            </w:pPr>
            <w:r w:rsidRPr="008B6A75">
              <w:rPr>
                <w:sz w:val="20"/>
                <w:szCs w:val="20"/>
              </w:rPr>
              <w:t>830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43BE49D" w14:textId="77777777" w:rsidR="00387142" w:rsidRPr="008B6A75" w:rsidRDefault="00387142" w:rsidP="00387142">
            <w:pPr>
              <w:jc w:val="right"/>
              <w:rPr>
                <w:sz w:val="20"/>
                <w:szCs w:val="20"/>
              </w:rPr>
            </w:pPr>
            <w:r w:rsidRPr="008B6A75">
              <w:rPr>
                <w:sz w:val="20"/>
                <w:szCs w:val="20"/>
              </w:rPr>
              <w:t>16 100,00</w:t>
            </w:r>
          </w:p>
        </w:tc>
        <w:tc>
          <w:tcPr>
            <w:tcW w:w="992" w:type="dxa"/>
            <w:tcBorders>
              <w:top w:val="nil"/>
              <w:left w:val="single" w:sz="4" w:space="0" w:color="auto"/>
              <w:bottom w:val="single" w:sz="4" w:space="0" w:color="auto"/>
              <w:right w:val="nil"/>
            </w:tcBorders>
            <w:shd w:val="clear" w:color="auto" w:fill="auto"/>
            <w:vAlign w:val="center"/>
            <w:hideMark/>
          </w:tcPr>
          <w:p w14:paraId="28BE2165" w14:textId="77777777" w:rsidR="00387142" w:rsidRPr="008B6A75" w:rsidRDefault="00387142" w:rsidP="00387142">
            <w:pPr>
              <w:jc w:val="right"/>
              <w:rPr>
                <w:sz w:val="20"/>
                <w:szCs w:val="20"/>
              </w:rPr>
            </w:pPr>
            <w:r w:rsidRPr="008B6A75">
              <w:rPr>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2113E8AC" w14:textId="77777777" w:rsidR="00387142" w:rsidRPr="008B6A75" w:rsidRDefault="00387142" w:rsidP="00387142">
            <w:pPr>
              <w:jc w:val="right"/>
              <w:rPr>
                <w:sz w:val="20"/>
                <w:szCs w:val="20"/>
              </w:rPr>
            </w:pPr>
            <w:r w:rsidRPr="008B6A75">
              <w:rPr>
                <w:sz w:val="20"/>
                <w:szCs w:val="20"/>
              </w:rPr>
              <w:t>0,00</w:t>
            </w:r>
          </w:p>
        </w:tc>
      </w:tr>
      <w:tr w:rsidR="00387142" w:rsidRPr="008B6A75" w14:paraId="4B64418A" w14:textId="77777777" w:rsidTr="00387142">
        <w:trPr>
          <w:trHeight w:val="345"/>
        </w:trPr>
        <w:tc>
          <w:tcPr>
            <w:tcW w:w="3261" w:type="dxa"/>
            <w:tcBorders>
              <w:top w:val="nil"/>
              <w:left w:val="single" w:sz="4" w:space="0" w:color="auto"/>
              <w:bottom w:val="single" w:sz="4" w:space="0" w:color="auto"/>
              <w:right w:val="nil"/>
            </w:tcBorders>
            <w:shd w:val="clear" w:color="auto" w:fill="auto"/>
            <w:vAlign w:val="center"/>
            <w:hideMark/>
          </w:tcPr>
          <w:p w14:paraId="7651CF41" w14:textId="77777777" w:rsidR="00387142" w:rsidRPr="008B6A75" w:rsidRDefault="00387142" w:rsidP="00387142">
            <w:pPr>
              <w:rPr>
                <w:sz w:val="20"/>
                <w:szCs w:val="20"/>
              </w:rPr>
            </w:pPr>
            <w:r w:rsidRPr="008B6A75">
              <w:rPr>
                <w:sz w:val="20"/>
                <w:szCs w:val="20"/>
              </w:rPr>
              <w:t>Уплата налогов, сборов и иных платежей</w:t>
            </w:r>
          </w:p>
        </w:tc>
        <w:tc>
          <w:tcPr>
            <w:tcW w:w="720" w:type="dxa"/>
            <w:tcBorders>
              <w:top w:val="nil"/>
              <w:left w:val="single" w:sz="4" w:space="0" w:color="auto"/>
              <w:bottom w:val="single" w:sz="4" w:space="0" w:color="auto"/>
              <w:right w:val="nil"/>
            </w:tcBorders>
            <w:shd w:val="clear" w:color="auto" w:fill="auto"/>
            <w:noWrap/>
            <w:vAlign w:val="center"/>
            <w:hideMark/>
          </w:tcPr>
          <w:p w14:paraId="3B88DDA2" w14:textId="77777777" w:rsidR="00387142" w:rsidRPr="008B6A75" w:rsidRDefault="00387142" w:rsidP="00387142">
            <w:pPr>
              <w:jc w:val="center"/>
              <w:rPr>
                <w:sz w:val="20"/>
                <w:szCs w:val="20"/>
              </w:rPr>
            </w:pPr>
            <w:r w:rsidRPr="008B6A75">
              <w:rPr>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CAB74C9" w14:textId="77777777" w:rsidR="00387142" w:rsidRPr="008B6A75" w:rsidRDefault="00387142" w:rsidP="00387142">
            <w:pPr>
              <w:jc w:val="center"/>
              <w:rPr>
                <w:sz w:val="20"/>
                <w:szCs w:val="20"/>
              </w:rPr>
            </w:pPr>
            <w:r w:rsidRPr="008B6A75">
              <w:rPr>
                <w:sz w:val="20"/>
                <w:szCs w:val="20"/>
              </w:rPr>
              <w:t>13</w:t>
            </w:r>
          </w:p>
        </w:tc>
        <w:tc>
          <w:tcPr>
            <w:tcW w:w="1516" w:type="dxa"/>
            <w:tcBorders>
              <w:top w:val="nil"/>
              <w:left w:val="single" w:sz="4" w:space="0" w:color="auto"/>
              <w:bottom w:val="single" w:sz="4" w:space="0" w:color="auto"/>
              <w:right w:val="nil"/>
            </w:tcBorders>
            <w:shd w:val="clear" w:color="auto" w:fill="auto"/>
            <w:noWrap/>
            <w:vAlign w:val="center"/>
            <w:hideMark/>
          </w:tcPr>
          <w:p w14:paraId="28ABE9D6" w14:textId="77777777" w:rsidR="00387142" w:rsidRPr="008B6A75" w:rsidRDefault="00387142" w:rsidP="00387142">
            <w:pPr>
              <w:jc w:val="center"/>
              <w:rPr>
                <w:sz w:val="20"/>
                <w:szCs w:val="20"/>
              </w:rPr>
            </w:pPr>
            <w:r w:rsidRPr="008B6A75">
              <w:rPr>
                <w:sz w:val="20"/>
                <w:szCs w:val="20"/>
              </w:rPr>
              <w:t>99.0.00.01620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6366DAA" w14:textId="77777777" w:rsidR="00387142" w:rsidRPr="008B6A75" w:rsidRDefault="00387142" w:rsidP="00387142">
            <w:pPr>
              <w:jc w:val="center"/>
              <w:rPr>
                <w:sz w:val="20"/>
                <w:szCs w:val="20"/>
              </w:rPr>
            </w:pPr>
            <w:r w:rsidRPr="008B6A75">
              <w:rPr>
                <w:sz w:val="20"/>
                <w:szCs w:val="20"/>
              </w:rPr>
              <w:t>850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119F211" w14:textId="77777777" w:rsidR="00387142" w:rsidRPr="008B6A75" w:rsidRDefault="00387142" w:rsidP="00387142">
            <w:pPr>
              <w:jc w:val="right"/>
              <w:rPr>
                <w:sz w:val="20"/>
                <w:szCs w:val="20"/>
              </w:rPr>
            </w:pPr>
            <w:r w:rsidRPr="008B6A75">
              <w:rPr>
                <w:sz w:val="20"/>
                <w:szCs w:val="20"/>
              </w:rPr>
              <w:t>40 000,00</w:t>
            </w:r>
          </w:p>
        </w:tc>
        <w:tc>
          <w:tcPr>
            <w:tcW w:w="992" w:type="dxa"/>
            <w:tcBorders>
              <w:top w:val="nil"/>
              <w:left w:val="single" w:sz="4" w:space="0" w:color="auto"/>
              <w:bottom w:val="single" w:sz="4" w:space="0" w:color="auto"/>
              <w:right w:val="nil"/>
            </w:tcBorders>
            <w:shd w:val="clear" w:color="auto" w:fill="auto"/>
            <w:vAlign w:val="center"/>
            <w:hideMark/>
          </w:tcPr>
          <w:p w14:paraId="6B6851D0" w14:textId="77777777" w:rsidR="00387142" w:rsidRPr="008B6A75" w:rsidRDefault="00387142" w:rsidP="00387142">
            <w:pPr>
              <w:jc w:val="right"/>
              <w:rPr>
                <w:sz w:val="20"/>
                <w:szCs w:val="20"/>
              </w:rPr>
            </w:pPr>
            <w:r w:rsidRPr="008B6A75">
              <w:rPr>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1C177806" w14:textId="77777777" w:rsidR="00387142" w:rsidRPr="008B6A75" w:rsidRDefault="00387142" w:rsidP="00387142">
            <w:pPr>
              <w:jc w:val="right"/>
              <w:rPr>
                <w:sz w:val="20"/>
                <w:szCs w:val="20"/>
              </w:rPr>
            </w:pPr>
            <w:r w:rsidRPr="008B6A75">
              <w:rPr>
                <w:sz w:val="20"/>
                <w:szCs w:val="20"/>
              </w:rPr>
              <w:t>0,00</w:t>
            </w:r>
          </w:p>
        </w:tc>
      </w:tr>
      <w:tr w:rsidR="00387142" w:rsidRPr="008B6A75" w14:paraId="75C3A87E" w14:textId="77777777" w:rsidTr="00387142">
        <w:trPr>
          <w:trHeight w:val="1440"/>
        </w:trPr>
        <w:tc>
          <w:tcPr>
            <w:tcW w:w="3261" w:type="dxa"/>
            <w:tcBorders>
              <w:top w:val="nil"/>
              <w:left w:val="single" w:sz="4" w:space="0" w:color="auto"/>
              <w:bottom w:val="single" w:sz="4" w:space="0" w:color="auto"/>
              <w:right w:val="nil"/>
            </w:tcBorders>
            <w:shd w:val="clear" w:color="auto" w:fill="auto"/>
            <w:vAlign w:val="center"/>
            <w:hideMark/>
          </w:tcPr>
          <w:p w14:paraId="60333049" w14:textId="77777777" w:rsidR="00387142" w:rsidRPr="008B6A75" w:rsidRDefault="00387142" w:rsidP="00387142">
            <w:pPr>
              <w:rPr>
                <w:bCs/>
                <w:sz w:val="20"/>
                <w:szCs w:val="20"/>
              </w:rPr>
            </w:pPr>
            <w:r w:rsidRPr="008B6A75">
              <w:rPr>
                <w:bCs/>
                <w:sz w:val="20"/>
                <w:szCs w:val="20"/>
              </w:rPr>
              <w:t xml:space="preserve">Реализация мероприятий по обеспечению сбалансированности местных </w:t>
            </w:r>
            <w:proofErr w:type="gramStart"/>
            <w:r w:rsidRPr="008B6A75">
              <w:rPr>
                <w:bCs/>
                <w:sz w:val="20"/>
                <w:szCs w:val="20"/>
              </w:rPr>
              <w:t>бюджетов  государственной</w:t>
            </w:r>
            <w:proofErr w:type="gramEnd"/>
            <w:r w:rsidRPr="008B6A75">
              <w:rPr>
                <w:bCs/>
                <w:sz w:val="20"/>
                <w:szCs w:val="20"/>
              </w:rPr>
              <w:t xml:space="preserve"> программы Новосибирской области "Управление  финансами в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14:paraId="26D0429A" w14:textId="77777777" w:rsidR="00387142" w:rsidRPr="008B6A75" w:rsidRDefault="00387142" w:rsidP="00387142">
            <w:pPr>
              <w:jc w:val="center"/>
              <w:rPr>
                <w:bCs/>
                <w:sz w:val="20"/>
                <w:szCs w:val="20"/>
              </w:rPr>
            </w:pPr>
            <w:r w:rsidRPr="008B6A75">
              <w:rPr>
                <w:bCs/>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E97DEDF" w14:textId="77777777" w:rsidR="00387142" w:rsidRPr="008B6A75" w:rsidRDefault="00387142" w:rsidP="00387142">
            <w:pPr>
              <w:jc w:val="center"/>
              <w:rPr>
                <w:bCs/>
                <w:sz w:val="20"/>
                <w:szCs w:val="20"/>
              </w:rPr>
            </w:pPr>
            <w:r w:rsidRPr="008B6A75">
              <w:rPr>
                <w:bCs/>
                <w:sz w:val="20"/>
                <w:szCs w:val="20"/>
              </w:rPr>
              <w:t>13</w:t>
            </w:r>
          </w:p>
        </w:tc>
        <w:tc>
          <w:tcPr>
            <w:tcW w:w="1516" w:type="dxa"/>
            <w:tcBorders>
              <w:top w:val="nil"/>
              <w:left w:val="single" w:sz="4" w:space="0" w:color="auto"/>
              <w:bottom w:val="single" w:sz="4" w:space="0" w:color="auto"/>
              <w:right w:val="nil"/>
            </w:tcBorders>
            <w:shd w:val="clear" w:color="auto" w:fill="auto"/>
            <w:noWrap/>
            <w:vAlign w:val="center"/>
            <w:hideMark/>
          </w:tcPr>
          <w:p w14:paraId="434DCB15" w14:textId="77777777" w:rsidR="00387142" w:rsidRPr="008B6A75" w:rsidRDefault="00387142" w:rsidP="00387142">
            <w:pPr>
              <w:jc w:val="center"/>
              <w:rPr>
                <w:bCs/>
                <w:sz w:val="20"/>
                <w:szCs w:val="20"/>
              </w:rPr>
            </w:pPr>
            <w:r w:rsidRPr="008B6A75">
              <w:rPr>
                <w:bCs/>
                <w:sz w:val="20"/>
                <w:szCs w:val="20"/>
              </w:rPr>
              <w:t>99.0.00.70510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A74B5B4"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A6B8266" w14:textId="77777777" w:rsidR="00387142" w:rsidRPr="008B6A75" w:rsidRDefault="00387142" w:rsidP="00387142">
            <w:pPr>
              <w:jc w:val="right"/>
              <w:rPr>
                <w:bCs/>
                <w:sz w:val="20"/>
                <w:szCs w:val="20"/>
              </w:rPr>
            </w:pPr>
            <w:r w:rsidRPr="008B6A75">
              <w:rPr>
                <w:bCs/>
                <w:sz w:val="20"/>
                <w:szCs w:val="20"/>
              </w:rPr>
              <w:t>1 864 200,00</w:t>
            </w:r>
          </w:p>
        </w:tc>
        <w:tc>
          <w:tcPr>
            <w:tcW w:w="992" w:type="dxa"/>
            <w:tcBorders>
              <w:top w:val="nil"/>
              <w:left w:val="single" w:sz="4" w:space="0" w:color="auto"/>
              <w:bottom w:val="single" w:sz="4" w:space="0" w:color="auto"/>
              <w:right w:val="nil"/>
            </w:tcBorders>
            <w:shd w:val="clear" w:color="auto" w:fill="auto"/>
            <w:vAlign w:val="center"/>
            <w:hideMark/>
          </w:tcPr>
          <w:p w14:paraId="59764BE2" w14:textId="77777777" w:rsidR="00387142" w:rsidRPr="008B6A75" w:rsidRDefault="00387142" w:rsidP="00387142">
            <w:pPr>
              <w:jc w:val="right"/>
              <w:rPr>
                <w:bCs/>
                <w:sz w:val="20"/>
                <w:szCs w:val="20"/>
              </w:rPr>
            </w:pPr>
            <w:r w:rsidRPr="008B6A75">
              <w:rPr>
                <w:bCs/>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2A4A0C39" w14:textId="77777777" w:rsidR="00387142" w:rsidRPr="008B6A75" w:rsidRDefault="00387142" w:rsidP="00387142">
            <w:pPr>
              <w:jc w:val="right"/>
              <w:rPr>
                <w:bCs/>
                <w:sz w:val="20"/>
                <w:szCs w:val="20"/>
              </w:rPr>
            </w:pPr>
            <w:r w:rsidRPr="008B6A75">
              <w:rPr>
                <w:bCs/>
                <w:sz w:val="20"/>
                <w:szCs w:val="20"/>
              </w:rPr>
              <w:t>0,00</w:t>
            </w:r>
          </w:p>
        </w:tc>
      </w:tr>
      <w:tr w:rsidR="00387142" w:rsidRPr="008B6A75" w14:paraId="5BFF8427" w14:textId="77777777" w:rsidTr="00387142">
        <w:trPr>
          <w:trHeight w:val="585"/>
        </w:trPr>
        <w:tc>
          <w:tcPr>
            <w:tcW w:w="3261" w:type="dxa"/>
            <w:tcBorders>
              <w:top w:val="nil"/>
              <w:left w:val="single" w:sz="4" w:space="0" w:color="auto"/>
              <w:bottom w:val="single" w:sz="4" w:space="0" w:color="auto"/>
              <w:right w:val="nil"/>
            </w:tcBorders>
            <w:shd w:val="clear" w:color="auto" w:fill="auto"/>
            <w:vAlign w:val="center"/>
            <w:hideMark/>
          </w:tcPr>
          <w:p w14:paraId="6E23D60B" w14:textId="77777777" w:rsidR="00387142" w:rsidRPr="008B6A75" w:rsidRDefault="00387142" w:rsidP="00387142">
            <w:pPr>
              <w:rPr>
                <w:sz w:val="20"/>
                <w:szCs w:val="20"/>
              </w:rPr>
            </w:pPr>
            <w:r w:rsidRPr="008B6A75">
              <w:rPr>
                <w:sz w:val="20"/>
                <w:szCs w:val="20"/>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6FD74FF7" w14:textId="77777777" w:rsidR="00387142" w:rsidRPr="008B6A75" w:rsidRDefault="00387142" w:rsidP="00387142">
            <w:pPr>
              <w:jc w:val="center"/>
              <w:rPr>
                <w:sz w:val="20"/>
                <w:szCs w:val="20"/>
              </w:rPr>
            </w:pPr>
            <w:r w:rsidRPr="008B6A75">
              <w:rPr>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223AD31" w14:textId="77777777" w:rsidR="00387142" w:rsidRPr="008B6A75" w:rsidRDefault="00387142" w:rsidP="00387142">
            <w:pPr>
              <w:jc w:val="center"/>
              <w:rPr>
                <w:sz w:val="20"/>
                <w:szCs w:val="20"/>
              </w:rPr>
            </w:pPr>
            <w:r w:rsidRPr="008B6A75">
              <w:rPr>
                <w:sz w:val="20"/>
                <w:szCs w:val="20"/>
              </w:rPr>
              <w:t>13</w:t>
            </w:r>
          </w:p>
        </w:tc>
        <w:tc>
          <w:tcPr>
            <w:tcW w:w="1516" w:type="dxa"/>
            <w:tcBorders>
              <w:top w:val="nil"/>
              <w:left w:val="single" w:sz="4" w:space="0" w:color="auto"/>
              <w:bottom w:val="single" w:sz="4" w:space="0" w:color="auto"/>
              <w:right w:val="nil"/>
            </w:tcBorders>
            <w:shd w:val="clear" w:color="auto" w:fill="auto"/>
            <w:noWrap/>
            <w:vAlign w:val="center"/>
            <w:hideMark/>
          </w:tcPr>
          <w:p w14:paraId="1DB81163" w14:textId="77777777" w:rsidR="00387142" w:rsidRPr="008B6A75" w:rsidRDefault="00387142" w:rsidP="00387142">
            <w:pPr>
              <w:jc w:val="center"/>
              <w:rPr>
                <w:sz w:val="20"/>
                <w:szCs w:val="20"/>
              </w:rPr>
            </w:pPr>
            <w:r w:rsidRPr="008B6A75">
              <w:rPr>
                <w:sz w:val="20"/>
                <w:szCs w:val="20"/>
              </w:rPr>
              <w:t>99.0.00.70510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97FBB9D" w14:textId="77777777" w:rsidR="00387142" w:rsidRPr="008B6A75" w:rsidRDefault="00387142" w:rsidP="00387142">
            <w:pPr>
              <w:jc w:val="center"/>
              <w:rPr>
                <w:sz w:val="20"/>
                <w:szCs w:val="20"/>
              </w:rPr>
            </w:pPr>
            <w:r w:rsidRPr="008B6A75">
              <w:rPr>
                <w:sz w:val="20"/>
                <w:szCs w:val="20"/>
              </w:rPr>
              <w:t>200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44D35CC" w14:textId="77777777" w:rsidR="00387142" w:rsidRPr="008B6A75" w:rsidRDefault="00387142" w:rsidP="00387142">
            <w:pPr>
              <w:jc w:val="right"/>
              <w:rPr>
                <w:sz w:val="20"/>
                <w:szCs w:val="20"/>
              </w:rPr>
            </w:pPr>
            <w:r w:rsidRPr="008B6A75">
              <w:rPr>
                <w:sz w:val="20"/>
                <w:szCs w:val="20"/>
              </w:rPr>
              <w:t>1 864 200,00</w:t>
            </w:r>
          </w:p>
        </w:tc>
        <w:tc>
          <w:tcPr>
            <w:tcW w:w="992" w:type="dxa"/>
            <w:tcBorders>
              <w:top w:val="nil"/>
              <w:left w:val="single" w:sz="4" w:space="0" w:color="auto"/>
              <w:bottom w:val="single" w:sz="4" w:space="0" w:color="auto"/>
              <w:right w:val="nil"/>
            </w:tcBorders>
            <w:shd w:val="clear" w:color="auto" w:fill="auto"/>
            <w:vAlign w:val="center"/>
            <w:hideMark/>
          </w:tcPr>
          <w:p w14:paraId="5115C30D" w14:textId="77777777" w:rsidR="00387142" w:rsidRPr="008B6A75" w:rsidRDefault="00387142" w:rsidP="00387142">
            <w:pPr>
              <w:jc w:val="right"/>
              <w:rPr>
                <w:sz w:val="20"/>
                <w:szCs w:val="20"/>
              </w:rPr>
            </w:pPr>
            <w:r w:rsidRPr="008B6A75">
              <w:rPr>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4AE8B1F3" w14:textId="77777777" w:rsidR="00387142" w:rsidRPr="008B6A75" w:rsidRDefault="00387142" w:rsidP="00387142">
            <w:pPr>
              <w:jc w:val="right"/>
              <w:rPr>
                <w:sz w:val="20"/>
                <w:szCs w:val="20"/>
              </w:rPr>
            </w:pPr>
            <w:r w:rsidRPr="008B6A75">
              <w:rPr>
                <w:sz w:val="20"/>
                <w:szCs w:val="20"/>
              </w:rPr>
              <w:t>0,00</w:t>
            </w:r>
          </w:p>
        </w:tc>
      </w:tr>
      <w:tr w:rsidR="00387142" w:rsidRPr="008B6A75" w14:paraId="5D55B1F3" w14:textId="77777777" w:rsidTr="00387142">
        <w:trPr>
          <w:trHeight w:val="870"/>
        </w:trPr>
        <w:tc>
          <w:tcPr>
            <w:tcW w:w="3261" w:type="dxa"/>
            <w:tcBorders>
              <w:top w:val="nil"/>
              <w:left w:val="single" w:sz="4" w:space="0" w:color="auto"/>
              <w:bottom w:val="single" w:sz="4" w:space="0" w:color="auto"/>
              <w:right w:val="nil"/>
            </w:tcBorders>
            <w:shd w:val="clear" w:color="auto" w:fill="auto"/>
            <w:vAlign w:val="center"/>
            <w:hideMark/>
          </w:tcPr>
          <w:p w14:paraId="747DB3F1" w14:textId="77777777" w:rsidR="00387142" w:rsidRPr="008B6A75" w:rsidRDefault="00387142" w:rsidP="00387142">
            <w:pPr>
              <w:rPr>
                <w:sz w:val="20"/>
                <w:szCs w:val="20"/>
              </w:rPr>
            </w:pPr>
            <w:r w:rsidRPr="008B6A75">
              <w:rPr>
                <w:sz w:val="20"/>
                <w:szCs w:val="20"/>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156D1459" w14:textId="77777777" w:rsidR="00387142" w:rsidRPr="008B6A75" w:rsidRDefault="00387142" w:rsidP="00387142">
            <w:pPr>
              <w:jc w:val="center"/>
              <w:rPr>
                <w:sz w:val="20"/>
                <w:szCs w:val="20"/>
              </w:rPr>
            </w:pPr>
            <w:r w:rsidRPr="008B6A75">
              <w:rPr>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4B24E1C" w14:textId="77777777" w:rsidR="00387142" w:rsidRPr="008B6A75" w:rsidRDefault="00387142" w:rsidP="00387142">
            <w:pPr>
              <w:jc w:val="center"/>
              <w:rPr>
                <w:sz w:val="20"/>
                <w:szCs w:val="20"/>
              </w:rPr>
            </w:pPr>
            <w:r w:rsidRPr="008B6A75">
              <w:rPr>
                <w:sz w:val="20"/>
                <w:szCs w:val="20"/>
              </w:rPr>
              <w:t>13</w:t>
            </w:r>
          </w:p>
        </w:tc>
        <w:tc>
          <w:tcPr>
            <w:tcW w:w="1516" w:type="dxa"/>
            <w:tcBorders>
              <w:top w:val="nil"/>
              <w:left w:val="single" w:sz="4" w:space="0" w:color="auto"/>
              <w:bottom w:val="single" w:sz="4" w:space="0" w:color="auto"/>
              <w:right w:val="nil"/>
            </w:tcBorders>
            <w:shd w:val="clear" w:color="auto" w:fill="auto"/>
            <w:noWrap/>
            <w:vAlign w:val="center"/>
            <w:hideMark/>
          </w:tcPr>
          <w:p w14:paraId="176B4F5B" w14:textId="77777777" w:rsidR="00387142" w:rsidRPr="008B6A75" w:rsidRDefault="00387142" w:rsidP="00387142">
            <w:pPr>
              <w:jc w:val="center"/>
              <w:rPr>
                <w:sz w:val="20"/>
                <w:szCs w:val="20"/>
              </w:rPr>
            </w:pPr>
            <w:r w:rsidRPr="008B6A75">
              <w:rPr>
                <w:sz w:val="20"/>
                <w:szCs w:val="20"/>
              </w:rPr>
              <w:t>99.0.00.70510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AD01EF8" w14:textId="77777777" w:rsidR="00387142" w:rsidRPr="008B6A75" w:rsidRDefault="00387142" w:rsidP="00387142">
            <w:pPr>
              <w:jc w:val="center"/>
              <w:rPr>
                <w:sz w:val="20"/>
                <w:szCs w:val="20"/>
              </w:rPr>
            </w:pPr>
            <w:r w:rsidRPr="008B6A75">
              <w:rPr>
                <w:sz w:val="20"/>
                <w:szCs w:val="20"/>
              </w:rPr>
              <w:t>240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D40B974" w14:textId="77777777" w:rsidR="00387142" w:rsidRPr="008B6A75" w:rsidRDefault="00387142" w:rsidP="00387142">
            <w:pPr>
              <w:jc w:val="right"/>
              <w:rPr>
                <w:sz w:val="20"/>
                <w:szCs w:val="20"/>
              </w:rPr>
            </w:pPr>
            <w:r w:rsidRPr="008B6A75">
              <w:rPr>
                <w:sz w:val="20"/>
                <w:szCs w:val="20"/>
              </w:rPr>
              <w:t>1 864 200,00</w:t>
            </w:r>
          </w:p>
        </w:tc>
        <w:tc>
          <w:tcPr>
            <w:tcW w:w="992" w:type="dxa"/>
            <w:tcBorders>
              <w:top w:val="nil"/>
              <w:left w:val="single" w:sz="4" w:space="0" w:color="auto"/>
              <w:bottom w:val="single" w:sz="4" w:space="0" w:color="auto"/>
              <w:right w:val="nil"/>
            </w:tcBorders>
            <w:shd w:val="clear" w:color="auto" w:fill="auto"/>
            <w:vAlign w:val="center"/>
            <w:hideMark/>
          </w:tcPr>
          <w:p w14:paraId="67177B2B" w14:textId="77777777" w:rsidR="00387142" w:rsidRPr="008B6A75" w:rsidRDefault="00387142" w:rsidP="00387142">
            <w:pPr>
              <w:jc w:val="right"/>
              <w:rPr>
                <w:sz w:val="20"/>
                <w:szCs w:val="20"/>
              </w:rPr>
            </w:pPr>
            <w:r w:rsidRPr="008B6A75">
              <w:rPr>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0ADD0D58" w14:textId="77777777" w:rsidR="00387142" w:rsidRPr="008B6A75" w:rsidRDefault="00387142" w:rsidP="00387142">
            <w:pPr>
              <w:jc w:val="right"/>
              <w:rPr>
                <w:sz w:val="20"/>
                <w:szCs w:val="20"/>
              </w:rPr>
            </w:pPr>
            <w:r w:rsidRPr="008B6A75">
              <w:rPr>
                <w:sz w:val="20"/>
                <w:szCs w:val="20"/>
              </w:rPr>
              <w:t>0,00</w:t>
            </w:r>
          </w:p>
        </w:tc>
      </w:tr>
      <w:tr w:rsidR="00387142" w:rsidRPr="008B6A75" w14:paraId="39A284A7" w14:textId="77777777" w:rsidTr="00387142">
        <w:trPr>
          <w:trHeight w:val="345"/>
        </w:trPr>
        <w:tc>
          <w:tcPr>
            <w:tcW w:w="3261" w:type="dxa"/>
            <w:tcBorders>
              <w:top w:val="nil"/>
              <w:left w:val="single" w:sz="4" w:space="0" w:color="auto"/>
              <w:bottom w:val="single" w:sz="4" w:space="0" w:color="auto"/>
              <w:right w:val="nil"/>
            </w:tcBorders>
            <w:shd w:val="clear" w:color="auto" w:fill="auto"/>
            <w:vAlign w:val="center"/>
            <w:hideMark/>
          </w:tcPr>
          <w:p w14:paraId="3B988DF8" w14:textId="77777777" w:rsidR="00387142" w:rsidRPr="008B6A75" w:rsidRDefault="00387142" w:rsidP="00387142">
            <w:pPr>
              <w:rPr>
                <w:bCs/>
                <w:sz w:val="20"/>
                <w:szCs w:val="20"/>
              </w:rPr>
            </w:pPr>
            <w:r w:rsidRPr="008B6A75">
              <w:rPr>
                <w:bCs/>
                <w:sz w:val="20"/>
                <w:szCs w:val="20"/>
              </w:rPr>
              <w:lastRenderedPageBreak/>
              <w:t>НАЦИОНАЛЬНАЯ ОБОРОНА</w:t>
            </w:r>
          </w:p>
        </w:tc>
        <w:tc>
          <w:tcPr>
            <w:tcW w:w="720" w:type="dxa"/>
            <w:tcBorders>
              <w:top w:val="nil"/>
              <w:left w:val="single" w:sz="4" w:space="0" w:color="auto"/>
              <w:bottom w:val="single" w:sz="4" w:space="0" w:color="auto"/>
              <w:right w:val="nil"/>
            </w:tcBorders>
            <w:shd w:val="clear" w:color="auto" w:fill="auto"/>
            <w:noWrap/>
            <w:vAlign w:val="center"/>
            <w:hideMark/>
          </w:tcPr>
          <w:p w14:paraId="668B4300" w14:textId="77777777" w:rsidR="00387142" w:rsidRPr="008B6A75" w:rsidRDefault="00387142" w:rsidP="00387142">
            <w:pPr>
              <w:jc w:val="center"/>
              <w:rPr>
                <w:bCs/>
                <w:sz w:val="20"/>
                <w:szCs w:val="20"/>
              </w:rPr>
            </w:pPr>
            <w:r w:rsidRPr="008B6A75">
              <w:rPr>
                <w:bCs/>
                <w:sz w:val="20"/>
                <w:szCs w:val="20"/>
              </w:rPr>
              <w:t>02</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7964406" w14:textId="77777777" w:rsidR="00387142" w:rsidRPr="008B6A75" w:rsidRDefault="00387142" w:rsidP="00387142">
            <w:pPr>
              <w:jc w:val="center"/>
              <w:rPr>
                <w:bCs/>
                <w:sz w:val="20"/>
                <w:szCs w:val="20"/>
              </w:rPr>
            </w:pPr>
            <w:r w:rsidRPr="008B6A75">
              <w:rPr>
                <w:bCs/>
                <w:sz w:val="20"/>
                <w:szCs w:val="20"/>
              </w:rPr>
              <w:t> </w:t>
            </w:r>
          </w:p>
        </w:tc>
        <w:tc>
          <w:tcPr>
            <w:tcW w:w="1516" w:type="dxa"/>
            <w:tcBorders>
              <w:top w:val="nil"/>
              <w:left w:val="single" w:sz="4" w:space="0" w:color="auto"/>
              <w:bottom w:val="single" w:sz="4" w:space="0" w:color="auto"/>
              <w:right w:val="nil"/>
            </w:tcBorders>
            <w:shd w:val="clear" w:color="auto" w:fill="auto"/>
            <w:noWrap/>
            <w:vAlign w:val="center"/>
            <w:hideMark/>
          </w:tcPr>
          <w:p w14:paraId="2ABC58AC" w14:textId="77777777" w:rsidR="00387142" w:rsidRPr="008B6A75" w:rsidRDefault="00387142" w:rsidP="00387142">
            <w:pPr>
              <w:jc w:val="center"/>
              <w:rPr>
                <w:bCs/>
                <w:sz w:val="20"/>
                <w:szCs w:val="20"/>
              </w:rPr>
            </w:pPr>
            <w:r w:rsidRPr="008B6A75">
              <w:rPr>
                <w:bCs/>
                <w:sz w:val="20"/>
                <w:szCs w:val="20"/>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6A284B2"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3C95BB4" w14:textId="77777777" w:rsidR="00387142" w:rsidRPr="008B6A75" w:rsidRDefault="00387142" w:rsidP="00387142">
            <w:pPr>
              <w:jc w:val="right"/>
              <w:rPr>
                <w:bCs/>
                <w:sz w:val="20"/>
                <w:szCs w:val="20"/>
              </w:rPr>
            </w:pPr>
            <w:r w:rsidRPr="008B6A75">
              <w:rPr>
                <w:bCs/>
                <w:sz w:val="20"/>
                <w:szCs w:val="20"/>
              </w:rPr>
              <w:t>2 244 446,01</w:t>
            </w:r>
          </w:p>
        </w:tc>
        <w:tc>
          <w:tcPr>
            <w:tcW w:w="992" w:type="dxa"/>
            <w:tcBorders>
              <w:top w:val="nil"/>
              <w:left w:val="single" w:sz="4" w:space="0" w:color="auto"/>
              <w:bottom w:val="single" w:sz="4" w:space="0" w:color="auto"/>
              <w:right w:val="nil"/>
            </w:tcBorders>
            <w:shd w:val="clear" w:color="auto" w:fill="auto"/>
            <w:vAlign w:val="center"/>
            <w:hideMark/>
          </w:tcPr>
          <w:p w14:paraId="0ED00DB1" w14:textId="77777777" w:rsidR="00387142" w:rsidRPr="008B6A75" w:rsidRDefault="00387142" w:rsidP="00387142">
            <w:pPr>
              <w:jc w:val="right"/>
              <w:rPr>
                <w:bCs/>
                <w:sz w:val="20"/>
                <w:szCs w:val="20"/>
              </w:rPr>
            </w:pPr>
            <w:r w:rsidRPr="008B6A75">
              <w:rPr>
                <w:bCs/>
                <w:sz w:val="20"/>
                <w:szCs w:val="20"/>
              </w:rPr>
              <w:t>2 176 627,79</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5EA9F82B" w14:textId="77777777" w:rsidR="00387142" w:rsidRPr="008B6A75" w:rsidRDefault="00387142" w:rsidP="00387142">
            <w:pPr>
              <w:jc w:val="right"/>
              <w:rPr>
                <w:bCs/>
                <w:sz w:val="20"/>
                <w:szCs w:val="20"/>
              </w:rPr>
            </w:pPr>
            <w:r w:rsidRPr="008B6A75">
              <w:rPr>
                <w:bCs/>
                <w:sz w:val="20"/>
                <w:szCs w:val="20"/>
              </w:rPr>
              <w:t>2 253 758,06</w:t>
            </w:r>
          </w:p>
        </w:tc>
      </w:tr>
      <w:tr w:rsidR="00387142" w:rsidRPr="008B6A75" w14:paraId="6F66ABC5" w14:textId="77777777" w:rsidTr="00387142">
        <w:trPr>
          <w:trHeight w:val="345"/>
        </w:trPr>
        <w:tc>
          <w:tcPr>
            <w:tcW w:w="3261" w:type="dxa"/>
            <w:tcBorders>
              <w:top w:val="nil"/>
              <w:left w:val="single" w:sz="4" w:space="0" w:color="auto"/>
              <w:bottom w:val="single" w:sz="4" w:space="0" w:color="auto"/>
              <w:right w:val="nil"/>
            </w:tcBorders>
            <w:shd w:val="clear" w:color="auto" w:fill="auto"/>
            <w:vAlign w:val="center"/>
            <w:hideMark/>
          </w:tcPr>
          <w:p w14:paraId="2AC7DE40" w14:textId="77777777" w:rsidR="00387142" w:rsidRPr="008B6A75" w:rsidRDefault="00387142" w:rsidP="00387142">
            <w:pPr>
              <w:rPr>
                <w:bCs/>
                <w:sz w:val="20"/>
                <w:szCs w:val="20"/>
              </w:rPr>
            </w:pPr>
            <w:r w:rsidRPr="008B6A75">
              <w:rPr>
                <w:bCs/>
                <w:sz w:val="20"/>
                <w:szCs w:val="20"/>
              </w:rPr>
              <w:t>Мобилизационная и вневойсковая подготовка</w:t>
            </w:r>
          </w:p>
        </w:tc>
        <w:tc>
          <w:tcPr>
            <w:tcW w:w="720" w:type="dxa"/>
            <w:tcBorders>
              <w:top w:val="nil"/>
              <w:left w:val="single" w:sz="4" w:space="0" w:color="auto"/>
              <w:bottom w:val="single" w:sz="4" w:space="0" w:color="auto"/>
              <w:right w:val="nil"/>
            </w:tcBorders>
            <w:shd w:val="clear" w:color="auto" w:fill="auto"/>
            <w:noWrap/>
            <w:vAlign w:val="center"/>
            <w:hideMark/>
          </w:tcPr>
          <w:p w14:paraId="50A60016" w14:textId="77777777" w:rsidR="00387142" w:rsidRPr="008B6A75" w:rsidRDefault="00387142" w:rsidP="00387142">
            <w:pPr>
              <w:jc w:val="center"/>
              <w:rPr>
                <w:bCs/>
                <w:sz w:val="20"/>
                <w:szCs w:val="20"/>
              </w:rPr>
            </w:pPr>
            <w:r w:rsidRPr="008B6A75">
              <w:rPr>
                <w:bCs/>
                <w:sz w:val="20"/>
                <w:szCs w:val="20"/>
              </w:rPr>
              <w:t>02</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B5E26BC" w14:textId="77777777" w:rsidR="00387142" w:rsidRPr="008B6A75" w:rsidRDefault="00387142" w:rsidP="00387142">
            <w:pPr>
              <w:jc w:val="center"/>
              <w:rPr>
                <w:bCs/>
                <w:sz w:val="20"/>
                <w:szCs w:val="20"/>
              </w:rPr>
            </w:pPr>
            <w:r w:rsidRPr="008B6A75">
              <w:rPr>
                <w:bCs/>
                <w:sz w:val="20"/>
                <w:szCs w:val="20"/>
              </w:rPr>
              <w:t>03</w:t>
            </w:r>
          </w:p>
        </w:tc>
        <w:tc>
          <w:tcPr>
            <w:tcW w:w="1516" w:type="dxa"/>
            <w:tcBorders>
              <w:top w:val="nil"/>
              <w:left w:val="single" w:sz="4" w:space="0" w:color="auto"/>
              <w:bottom w:val="single" w:sz="4" w:space="0" w:color="auto"/>
              <w:right w:val="nil"/>
            </w:tcBorders>
            <w:shd w:val="clear" w:color="auto" w:fill="auto"/>
            <w:noWrap/>
            <w:vAlign w:val="center"/>
            <w:hideMark/>
          </w:tcPr>
          <w:p w14:paraId="3600AC80" w14:textId="77777777" w:rsidR="00387142" w:rsidRPr="008B6A75" w:rsidRDefault="00387142" w:rsidP="00387142">
            <w:pPr>
              <w:jc w:val="center"/>
              <w:rPr>
                <w:bCs/>
                <w:sz w:val="20"/>
                <w:szCs w:val="20"/>
              </w:rPr>
            </w:pPr>
            <w:r w:rsidRPr="008B6A75">
              <w:rPr>
                <w:bCs/>
                <w:sz w:val="20"/>
                <w:szCs w:val="20"/>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2E678CD"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EB52331" w14:textId="77777777" w:rsidR="00387142" w:rsidRPr="008B6A75" w:rsidRDefault="00387142" w:rsidP="00387142">
            <w:pPr>
              <w:jc w:val="right"/>
              <w:rPr>
                <w:bCs/>
                <w:sz w:val="20"/>
                <w:szCs w:val="20"/>
              </w:rPr>
            </w:pPr>
            <w:r w:rsidRPr="008B6A75">
              <w:rPr>
                <w:bCs/>
                <w:sz w:val="20"/>
                <w:szCs w:val="20"/>
              </w:rPr>
              <w:t>2 244 446,01</w:t>
            </w:r>
          </w:p>
        </w:tc>
        <w:tc>
          <w:tcPr>
            <w:tcW w:w="992" w:type="dxa"/>
            <w:tcBorders>
              <w:top w:val="nil"/>
              <w:left w:val="single" w:sz="4" w:space="0" w:color="auto"/>
              <w:bottom w:val="single" w:sz="4" w:space="0" w:color="auto"/>
              <w:right w:val="nil"/>
            </w:tcBorders>
            <w:shd w:val="clear" w:color="auto" w:fill="auto"/>
            <w:vAlign w:val="center"/>
            <w:hideMark/>
          </w:tcPr>
          <w:p w14:paraId="3613FD05" w14:textId="77777777" w:rsidR="00387142" w:rsidRPr="008B6A75" w:rsidRDefault="00387142" w:rsidP="00387142">
            <w:pPr>
              <w:jc w:val="right"/>
              <w:rPr>
                <w:bCs/>
                <w:sz w:val="20"/>
                <w:szCs w:val="20"/>
              </w:rPr>
            </w:pPr>
            <w:r w:rsidRPr="008B6A75">
              <w:rPr>
                <w:bCs/>
                <w:sz w:val="20"/>
                <w:szCs w:val="20"/>
              </w:rPr>
              <w:t>2 176 627,79</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37DE8A26" w14:textId="77777777" w:rsidR="00387142" w:rsidRPr="008B6A75" w:rsidRDefault="00387142" w:rsidP="00387142">
            <w:pPr>
              <w:jc w:val="right"/>
              <w:rPr>
                <w:bCs/>
                <w:sz w:val="20"/>
                <w:szCs w:val="20"/>
              </w:rPr>
            </w:pPr>
            <w:r w:rsidRPr="008B6A75">
              <w:rPr>
                <w:bCs/>
                <w:sz w:val="20"/>
                <w:szCs w:val="20"/>
              </w:rPr>
              <w:t>2 253 758,06</w:t>
            </w:r>
          </w:p>
        </w:tc>
      </w:tr>
      <w:tr w:rsidR="00387142" w:rsidRPr="008B6A75" w14:paraId="43CACB48" w14:textId="77777777" w:rsidTr="00387142">
        <w:trPr>
          <w:trHeight w:val="345"/>
        </w:trPr>
        <w:tc>
          <w:tcPr>
            <w:tcW w:w="3261" w:type="dxa"/>
            <w:tcBorders>
              <w:top w:val="nil"/>
              <w:left w:val="single" w:sz="4" w:space="0" w:color="auto"/>
              <w:bottom w:val="single" w:sz="4" w:space="0" w:color="auto"/>
              <w:right w:val="nil"/>
            </w:tcBorders>
            <w:shd w:val="clear" w:color="auto" w:fill="auto"/>
            <w:vAlign w:val="center"/>
            <w:hideMark/>
          </w:tcPr>
          <w:p w14:paraId="50D887D8" w14:textId="77777777" w:rsidR="00387142" w:rsidRPr="008B6A75" w:rsidRDefault="00387142" w:rsidP="00387142">
            <w:pPr>
              <w:rPr>
                <w:bCs/>
                <w:sz w:val="20"/>
                <w:szCs w:val="20"/>
              </w:rPr>
            </w:pPr>
            <w:r w:rsidRPr="008B6A75">
              <w:rPr>
                <w:bCs/>
                <w:sz w:val="20"/>
                <w:szCs w:val="20"/>
              </w:rPr>
              <w:t>Непрограммные направления бюджета</w:t>
            </w:r>
          </w:p>
        </w:tc>
        <w:tc>
          <w:tcPr>
            <w:tcW w:w="720" w:type="dxa"/>
            <w:tcBorders>
              <w:top w:val="nil"/>
              <w:left w:val="single" w:sz="4" w:space="0" w:color="auto"/>
              <w:bottom w:val="single" w:sz="4" w:space="0" w:color="auto"/>
              <w:right w:val="nil"/>
            </w:tcBorders>
            <w:shd w:val="clear" w:color="auto" w:fill="auto"/>
            <w:noWrap/>
            <w:vAlign w:val="center"/>
            <w:hideMark/>
          </w:tcPr>
          <w:p w14:paraId="1DE05D3C" w14:textId="77777777" w:rsidR="00387142" w:rsidRPr="008B6A75" w:rsidRDefault="00387142" w:rsidP="00387142">
            <w:pPr>
              <w:jc w:val="center"/>
              <w:rPr>
                <w:bCs/>
                <w:sz w:val="20"/>
                <w:szCs w:val="20"/>
              </w:rPr>
            </w:pPr>
            <w:r w:rsidRPr="008B6A75">
              <w:rPr>
                <w:bCs/>
                <w:sz w:val="20"/>
                <w:szCs w:val="20"/>
              </w:rPr>
              <w:t>02</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36592A0" w14:textId="77777777" w:rsidR="00387142" w:rsidRPr="008B6A75" w:rsidRDefault="00387142" w:rsidP="00387142">
            <w:pPr>
              <w:jc w:val="center"/>
              <w:rPr>
                <w:bCs/>
                <w:sz w:val="20"/>
                <w:szCs w:val="20"/>
              </w:rPr>
            </w:pPr>
            <w:r w:rsidRPr="008B6A75">
              <w:rPr>
                <w:bCs/>
                <w:sz w:val="20"/>
                <w:szCs w:val="20"/>
              </w:rPr>
              <w:t>03</w:t>
            </w:r>
          </w:p>
        </w:tc>
        <w:tc>
          <w:tcPr>
            <w:tcW w:w="1516" w:type="dxa"/>
            <w:tcBorders>
              <w:top w:val="nil"/>
              <w:left w:val="single" w:sz="4" w:space="0" w:color="auto"/>
              <w:bottom w:val="single" w:sz="4" w:space="0" w:color="auto"/>
              <w:right w:val="nil"/>
            </w:tcBorders>
            <w:shd w:val="clear" w:color="auto" w:fill="auto"/>
            <w:noWrap/>
            <w:vAlign w:val="center"/>
            <w:hideMark/>
          </w:tcPr>
          <w:p w14:paraId="2AB6D712" w14:textId="77777777" w:rsidR="00387142" w:rsidRPr="008B6A75" w:rsidRDefault="00387142" w:rsidP="00387142">
            <w:pPr>
              <w:jc w:val="center"/>
              <w:rPr>
                <w:bCs/>
                <w:sz w:val="20"/>
                <w:szCs w:val="20"/>
              </w:rPr>
            </w:pPr>
            <w:r w:rsidRPr="008B6A75">
              <w:rPr>
                <w:bCs/>
                <w:sz w:val="20"/>
                <w:szCs w:val="20"/>
              </w:rPr>
              <w:t>99.0.00.00000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365AA4D"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E4320DE" w14:textId="77777777" w:rsidR="00387142" w:rsidRPr="008B6A75" w:rsidRDefault="00387142" w:rsidP="00387142">
            <w:pPr>
              <w:jc w:val="right"/>
              <w:rPr>
                <w:bCs/>
                <w:sz w:val="20"/>
                <w:szCs w:val="20"/>
              </w:rPr>
            </w:pPr>
            <w:r w:rsidRPr="008B6A75">
              <w:rPr>
                <w:bCs/>
                <w:sz w:val="20"/>
                <w:szCs w:val="20"/>
              </w:rPr>
              <w:t>2 244 446,01</w:t>
            </w:r>
          </w:p>
        </w:tc>
        <w:tc>
          <w:tcPr>
            <w:tcW w:w="992" w:type="dxa"/>
            <w:tcBorders>
              <w:top w:val="nil"/>
              <w:left w:val="single" w:sz="4" w:space="0" w:color="auto"/>
              <w:bottom w:val="single" w:sz="4" w:space="0" w:color="auto"/>
              <w:right w:val="nil"/>
            </w:tcBorders>
            <w:shd w:val="clear" w:color="auto" w:fill="auto"/>
            <w:vAlign w:val="center"/>
            <w:hideMark/>
          </w:tcPr>
          <w:p w14:paraId="6050B6C5" w14:textId="77777777" w:rsidR="00387142" w:rsidRPr="008B6A75" w:rsidRDefault="00387142" w:rsidP="00387142">
            <w:pPr>
              <w:jc w:val="right"/>
              <w:rPr>
                <w:bCs/>
                <w:sz w:val="20"/>
                <w:szCs w:val="20"/>
              </w:rPr>
            </w:pPr>
            <w:r w:rsidRPr="008B6A75">
              <w:rPr>
                <w:bCs/>
                <w:sz w:val="20"/>
                <w:szCs w:val="20"/>
              </w:rPr>
              <w:t>2 176 627,79</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13808068" w14:textId="77777777" w:rsidR="00387142" w:rsidRPr="008B6A75" w:rsidRDefault="00387142" w:rsidP="00387142">
            <w:pPr>
              <w:jc w:val="right"/>
              <w:rPr>
                <w:bCs/>
                <w:sz w:val="20"/>
                <w:szCs w:val="20"/>
              </w:rPr>
            </w:pPr>
            <w:r w:rsidRPr="008B6A75">
              <w:rPr>
                <w:bCs/>
                <w:sz w:val="20"/>
                <w:szCs w:val="20"/>
              </w:rPr>
              <w:t>2 253 758,06</w:t>
            </w:r>
          </w:p>
        </w:tc>
      </w:tr>
      <w:tr w:rsidR="00387142" w:rsidRPr="008B6A75" w14:paraId="41265ABD" w14:textId="77777777" w:rsidTr="00387142">
        <w:trPr>
          <w:trHeight w:val="1440"/>
        </w:trPr>
        <w:tc>
          <w:tcPr>
            <w:tcW w:w="3261" w:type="dxa"/>
            <w:tcBorders>
              <w:top w:val="nil"/>
              <w:left w:val="single" w:sz="4" w:space="0" w:color="auto"/>
              <w:bottom w:val="single" w:sz="4" w:space="0" w:color="auto"/>
              <w:right w:val="nil"/>
            </w:tcBorders>
            <w:shd w:val="clear" w:color="auto" w:fill="auto"/>
            <w:vAlign w:val="center"/>
            <w:hideMark/>
          </w:tcPr>
          <w:p w14:paraId="55E55728" w14:textId="77777777" w:rsidR="00387142" w:rsidRPr="008B6A75" w:rsidRDefault="00387142" w:rsidP="00387142">
            <w:pPr>
              <w:rPr>
                <w:bCs/>
                <w:sz w:val="20"/>
                <w:szCs w:val="20"/>
              </w:rPr>
            </w:pPr>
            <w:r w:rsidRPr="008B6A75">
              <w:rPr>
                <w:bCs/>
                <w:sz w:val="20"/>
                <w:szCs w:val="20"/>
              </w:rPr>
              <w:t>Осуществление первичного воинского учета на территориях, где отсутствуют военные комиссариаты в рамках непрограммных расходов федеральных органов исполнительной власти</w:t>
            </w:r>
          </w:p>
        </w:tc>
        <w:tc>
          <w:tcPr>
            <w:tcW w:w="720" w:type="dxa"/>
            <w:tcBorders>
              <w:top w:val="nil"/>
              <w:left w:val="single" w:sz="4" w:space="0" w:color="auto"/>
              <w:bottom w:val="single" w:sz="4" w:space="0" w:color="auto"/>
              <w:right w:val="nil"/>
            </w:tcBorders>
            <w:shd w:val="clear" w:color="auto" w:fill="auto"/>
            <w:noWrap/>
            <w:vAlign w:val="center"/>
            <w:hideMark/>
          </w:tcPr>
          <w:p w14:paraId="5A4D76BE" w14:textId="77777777" w:rsidR="00387142" w:rsidRPr="008B6A75" w:rsidRDefault="00387142" w:rsidP="00387142">
            <w:pPr>
              <w:jc w:val="center"/>
              <w:rPr>
                <w:bCs/>
                <w:sz w:val="20"/>
                <w:szCs w:val="20"/>
              </w:rPr>
            </w:pPr>
            <w:r w:rsidRPr="008B6A75">
              <w:rPr>
                <w:bCs/>
                <w:sz w:val="20"/>
                <w:szCs w:val="20"/>
              </w:rPr>
              <w:t>02</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8D12F5D" w14:textId="77777777" w:rsidR="00387142" w:rsidRPr="008B6A75" w:rsidRDefault="00387142" w:rsidP="00387142">
            <w:pPr>
              <w:jc w:val="center"/>
              <w:rPr>
                <w:bCs/>
                <w:sz w:val="20"/>
                <w:szCs w:val="20"/>
              </w:rPr>
            </w:pPr>
            <w:r w:rsidRPr="008B6A75">
              <w:rPr>
                <w:bCs/>
                <w:sz w:val="20"/>
                <w:szCs w:val="20"/>
              </w:rPr>
              <w:t>03</w:t>
            </w:r>
          </w:p>
        </w:tc>
        <w:tc>
          <w:tcPr>
            <w:tcW w:w="1516" w:type="dxa"/>
            <w:tcBorders>
              <w:top w:val="nil"/>
              <w:left w:val="single" w:sz="4" w:space="0" w:color="auto"/>
              <w:bottom w:val="single" w:sz="4" w:space="0" w:color="auto"/>
              <w:right w:val="nil"/>
            </w:tcBorders>
            <w:shd w:val="clear" w:color="auto" w:fill="auto"/>
            <w:noWrap/>
            <w:vAlign w:val="center"/>
            <w:hideMark/>
          </w:tcPr>
          <w:p w14:paraId="3C12E28B" w14:textId="77777777" w:rsidR="00387142" w:rsidRPr="008B6A75" w:rsidRDefault="00387142" w:rsidP="00387142">
            <w:pPr>
              <w:jc w:val="center"/>
              <w:rPr>
                <w:bCs/>
                <w:sz w:val="20"/>
                <w:szCs w:val="20"/>
              </w:rPr>
            </w:pPr>
            <w:r w:rsidRPr="008B6A75">
              <w:rPr>
                <w:bCs/>
                <w:sz w:val="20"/>
                <w:szCs w:val="20"/>
              </w:rPr>
              <w:t>99.0.00.51180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B89CD95"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0A093DD" w14:textId="77777777" w:rsidR="00387142" w:rsidRPr="008B6A75" w:rsidRDefault="00387142" w:rsidP="00387142">
            <w:pPr>
              <w:jc w:val="right"/>
              <w:rPr>
                <w:bCs/>
                <w:sz w:val="20"/>
                <w:szCs w:val="20"/>
              </w:rPr>
            </w:pPr>
            <w:r w:rsidRPr="008B6A75">
              <w:rPr>
                <w:bCs/>
                <w:sz w:val="20"/>
                <w:szCs w:val="20"/>
              </w:rPr>
              <w:t>2 244 446,01</w:t>
            </w:r>
          </w:p>
        </w:tc>
        <w:tc>
          <w:tcPr>
            <w:tcW w:w="992" w:type="dxa"/>
            <w:tcBorders>
              <w:top w:val="nil"/>
              <w:left w:val="single" w:sz="4" w:space="0" w:color="auto"/>
              <w:bottom w:val="single" w:sz="4" w:space="0" w:color="auto"/>
              <w:right w:val="nil"/>
            </w:tcBorders>
            <w:shd w:val="clear" w:color="auto" w:fill="auto"/>
            <w:vAlign w:val="center"/>
            <w:hideMark/>
          </w:tcPr>
          <w:p w14:paraId="1B554ABF" w14:textId="77777777" w:rsidR="00387142" w:rsidRPr="008B6A75" w:rsidRDefault="00387142" w:rsidP="00387142">
            <w:pPr>
              <w:jc w:val="right"/>
              <w:rPr>
                <w:bCs/>
                <w:sz w:val="20"/>
                <w:szCs w:val="20"/>
              </w:rPr>
            </w:pPr>
            <w:r w:rsidRPr="008B6A75">
              <w:rPr>
                <w:bCs/>
                <w:sz w:val="20"/>
                <w:szCs w:val="20"/>
              </w:rPr>
              <w:t>2 176 627,79</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3221437A" w14:textId="77777777" w:rsidR="00387142" w:rsidRPr="008B6A75" w:rsidRDefault="00387142" w:rsidP="00387142">
            <w:pPr>
              <w:jc w:val="right"/>
              <w:rPr>
                <w:bCs/>
                <w:sz w:val="20"/>
                <w:szCs w:val="20"/>
              </w:rPr>
            </w:pPr>
            <w:r w:rsidRPr="008B6A75">
              <w:rPr>
                <w:bCs/>
                <w:sz w:val="20"/>
                <w:szCs w:val="20"/>
              </w:rPr>
              <w:t>2 253 758,06</w:t>
            </w:r>
          </w:p>
        </w:tc>
      </w:tr>
      <w:tr w:rsidR="00387142" w:rsidRPr="008B6A75" w14:paraId="26D94CD6" w14:textId="77777777" w:rsidTr="00387142">
        <w:trPr>
          <w:trHeight w:val="345"/>
        </w:trPr>
        <w:tc>
          <w:tcPr>
            <w:tcW w:w="3261" w:type="dxa"/>
            <w:tcBorders>
              <w:top w:val="nil"/>
              <w:left w:val="single" w:sz="4" w:space="0" w:color="auto"/>
              <w:bottom w:val="single" w:sz="4" w:space="0" w:color="auto"/>
              <w:right w:val="nil"/>
            </w:tcBorders>
            <w:shd w:val="clear" w:color="auto" w:fill="auto"/>
            <w:vAlign w:val="center"/>
            <w:hideMark/>
          </w:tcPr>
          <w:p w14:paraId="7773E012" w14:textId="77777777" w:rsidR="00387142" w:rsidRPr="008B6A75" w:rsidRDefault="00387142" w:rsidP="00387142">
            <w:pPr>
              <w:rPr>
                <w:sz w:val="20"/>
                <w:szCs w:val="20"/>
              </w:rPr>
            </w:pPr>
            <w:r w:rsidRPr="008B6A75">
              <w:rPr>
                <w:sz w:val="20"/>
                <w:szCs w:val="20"/>
              </w:rPr>
              <w:t>Межбюджетные трансферты</w:t>
            </w:r>
          </w:p>
        </w:tc>
        <w:tc>
          <w:tcPr>
            <w:tcW w:w="720" w:type="dxa"/>
            <w:tcBorders>
              <w:top w:val="nil"/>
              <w:left w:val="single" w:sz="4" w:space="0" w:color="auto"/>
              <w:bottom w:val="single" w:sz="4" w:space="0" w:color="auto"/>
              <w:right w:val="nil"/>
            </w:tcBorders>
            <w:shd w:val="clear" w:color="auto" w:fill="auto"/>
            <w:noWrap/>
            <w:vAlign w:val="center"/>
            <w:hideMark/>
          </w:tcPr>
          <w:p w14:paraId="33680375" w14:textId="77777777" w:rsidR="00387142" w:rsidRPr="008B6A75" w:rsidRDefault="00387142" w:rsidP="00387142">
            <w:pPr>
              <w:jc w:val="center"/>
              <w:rPr>
                <w:sz w:val="20"/>
                <w:szCs w:val="20"/>
              </w:rPr>
            </w:pPr>
            <w:r w:rsidRPr="008B6A75">
              <w:rPr>
                <w:sz w:val="20"/>
                <w:szCs w:val="20"/>
              </w:rPr>
              <w:t>02</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8596F27" w14:textId="77777777" w:rsidR="00387142" w:rsidRPr="008B6A75" w:rsidRDefault="00387142" w:rsidP="00387142">
            <w:pPr>
              <w:jc w:val="center"/>
              <w:rPr>
                <w:sz w:val="20"/>
                <w:szCs w:val="20"/>
              </w:rPr>
            </w:pPr>
            <w:r w:rsidRPr="008B6A75">
              <w:rPr>
                <w:sz w:val="20"/>
                <w:szCs w:val="20"/>
              </w:rPr>
              <w:t>03</w:t>
            </w:r>
          </w:p>
        </w:tc>
        <w:tc>
          <w:tcPr>
            <w:tcW w:w="1516" w:type="dxa"/>
            <w:tcBorders>
              <w:top w:val="nil"/>
              <w:left w:val="single" w:sz="4" w:space="0" w:color="auto"/>
              <w:bottom w:val="single" w:sz="4" w:space="0" w:color="auto"/>
              <w:right w:val="nil"/>
            </w:tcBorders>
            <w:shd w:val="clear" w:color="auto" w:fill="auto"/>
            <w:noWrap/>
            <w:vAlign w:val="center"/>
            <w:hideMark/>
          </w:tcPr>
          <w:p w14:paraId="5A0A083A" w14:textId="77777777" w:rsidR="00387142" w:rsidRPr="008B6A75" w:rsidRDefault="00387142" w:rsidP="00387142">
            <w:pPr>
              <w:jc w:val="center"/>
              <w:rPr>
                <w:sz w:val="20"/>
                <w:szCs w:val="20"/>
              </w:rPr>
            </w:pPr>
            <w:r w:rsidRPr="008B6A75">
              <w:rPr>
                <w:sz w:val="20"/>
                <w:szCs w:val="20"/>
              </w:rPr>
              <w:t>99.0.00.51180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DEA89D6" w14:textId="77777777" w:rsidR="00387142" w:rsidRPr="008B6A75" w:rsidRDefault="00387142" w:rsidP="00387142">
            <w:pPr>
              <w:jc w:val="center"/>
              <w:rPr>
                <w:sz w:val="20"/>
                <w:szCs w:val="20"/>
              </w:rPr>
            </w:pPr>
            <w:r w:rsidRPr="008B6A75">
              <w:rPr>
                <w:sz w:val="20"/>
                <w:szCs w:val="20"/>
              </w:rPr>
              <w:t>500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9B6BEBE" w14:textId="77777777" w:rsidR="00387142" w:rsidRPr="008B6A75" w:rsidRDefault="00387142" w:rsidP="00387142">
            <w:pPr>
              <w:jc w:val="right"/>
              <w:rPr>
                <w:sz w:val="20"/>
                <w:szCs w:val="20"/>
              </w:rPr>
            </w:pPr>
            <w:r w:rsidRPr="008B6A75">
              <w:rPr>
                <w:sz w:val="20"/>
                <w:szCs w:val="20"/>
              </w:rPr>
              <w:t>2 244 446,01</w:t>
            </w:r>
          </w:p>
        </w:tc>
        <w:tc>
          <w:tcPr>
            <w:tcW w:w="992" w:type="dxa"/>
            <w:tcBorders>
              <w:top w:val="nil"/>
              <w:left w:val="single" w:sz="4" w:space="0" w:color="auto"/>
              <w:bottom w:val="single" w:sz="4" w:space="0" w:color="auto"/>
              <w:right w:val="nil"/>
            </w:tcBorders>
            <w:shd w:val="clear" w:color="auto" w:fill="auto"/>
            <w:vAlign w:val="center"/>
            <w:hideMark/>
          </w:tcPr>
          <w:p w14:paraId="32C05D5C" w14:textId="77777777" w:rsidR="00387142" w:rsidRPr="008B6A75" w:rsidRDefault="00387142" w:rsidP="00387142">
            <w:pPr>
              <w:jc w:val="right"/>
              <w:rPr>
                <w:sz w:val="20"/>
                <w:szCs w:val="20"/>
              </w:rPr>
            </w:pPr>
            <w:r w:rsidRPr="008B6A75">
              <w:rPr>
                <w:sz w:val="20"/>
                <w:szCs w:val="20"/>
              </w:rPr>
              <w:t>2 176 627,79</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18CA6033" w14:textId="77777777" w:rsidR="00387142" w:rsidRPr="008B6A75" w:rsidRDefault="00387142" w:rsidP="00387142">
            <w:pPr>
              <w:jc w:val="right"/>
              <w:rPr>
                <w:sz w:val="20"/>
                <w:szCs w:val="20"/>
              </w:rPr>
            </w:pPr>
            <w:r w:rsidRPr="008B6A75">
              <w:rPr>
                <w:sz w:val="20"/>
                <w:szCs w:val="20"/>
              </w:rPr>
              <w:t>2 253 758,06</w:t>
            </w:r>
          </w:p>
        </w:tc>
      </w:tr>
      <w:tr w:rsidR="00387142" w:rsidRPr="008B6A75" w14:paraId="2CFF117C" w14:textId="77777777" w:rsidTr="00387142">
        <w:trPr>
          <w:trHeight w:val="345"/>
        </w:trPr>
        <w:tc>
          <w:tcPr>
            <w:tcW w:w="3261" w:type="dxa"/>
            <w:tcBorders>
              <w:top w:val="nil"/>
              <w:left w:val="single" w:sz="4" w:space="0" w:color="auto"/>
              <w:bottom w:val="single" w:sz="4" w:space="0" w:color="auto"/>
              <w:right w:val="nil"/>
            </w:tcBorders>
            <w:shd w:val="clear" w:color="auto" w:fill="auto"/>
            <w:vAlign w:val="center"/>
            <w:hideMark/>
          </w:tcPr>
          <w:p w14:paraId="79656C14" w14:textId="77777777" w:rsidR="00387142" w:rsidRPr="008B6A75" w:rsidRDefault="00387142" w:rsidP="00387142">
            <w:pPr>
              <w:rPr>
                <w:sz w:val="20"/>
                <w:szCs w:val="20"/>
              </w:rPr>
            </w:pPr>
            <w:r w:rsidRPr="008B6A75">
              <w:rPr>
                <w:sz w:val="20"/>
                <w:szCs w:val="20"/>
              </w:rPr>
              <w:t>Субвенции</w:t>
            </w:r>
          </w:p>
        </w:tc>
        <w:tc>
          <w:tcPr>
            <w:tcW w:w="720" w:type="dxa"/>
            <w:tcBorders>
              <w:top w:val="nil"/>
              <w:left w:val="single" w:sz="4" w:space="0" w:color="auto"/>
              <w:bottom w:val="single" w:sz="4" w:space="0" w:color="auto"/>
              <w:right w:val="nil"/>
            </w:tcBorders>
            <w:shd w:val="clear" w:color="auto" w:fill="auto"/>
            <w:noWrap/>
            <w:vAlign w:val="center"/>
            <w:hideMark/>
          </w:tcPr>
          <w:p w14:paraId="42F04043" w14:textId="77777777" w:rsidR="00387142" w:rsidRPr="008B6A75" w:rsidRDefault="00387142" w:rsidP="00387142">
            <w:pPr>
              <w:jc w:val="center"/>
              <w:rPr>
                <w:sz w:val="20"/>
                <w:szCs w:val="20"/>
              </w:rPr>
            </w:pPr>
            <w:r w:rsidRPr="008B6A75">
              <w:rPr>
                <w:sz w:val="20"/>
                <w:szCs w:val="20"/>
              </w:rPr>
              <w:t>02</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5DE3411" w14:textId="77777777" w:rsidR="00387142" w:rsidRPr="008B6A75" w:rsidRDefault="00387142" w:rsidP="00387142">
            <w:pPr>
              <w:jc w:val="center"/>
              <w:rPr>
                <w:sz w:val="20"/>
                <w:szCs w:val="20"/>
              </w:rPr>
            </w:pPr>
            <w:r w:rsidRPr="008B6A75">
              <w:rPr>
                <w:sz w:val="20"/>
                <w:szCs w:val="20"/>
              </w:rPr>
              <w:t>03</w:t>
            </w:r>
          </w:p>
        </w:tc>
        <w:tc>
          <w:tcPr>
            <w:tcW w:w="1516" w:type="dxa"/>
            <w:tcBorders>
              <w:top w:val="nil"/>
              <w:left w:val="single" w:sz="4" w:space="0" w:color="auto"/>
              <w:bottom w:val="single" w:sz="4" w:space="0" w:color="auto"/>
              <w:right w:val="nil"/>
            </w:tcBorders>
            <w:shd w:val="clear" w:color="auto" w:fill="auto"/>
            <w:noWrap/>
            <w:vAlign w:val="center"/>
            <w:hideMark/>
          </w:tcPr>
          <w:p w14:paraId="08802EF8" w14:textId="77777777" w:rsidR="00387142" w:rsidRPr="008B6A75" w:rsidRDefault="00387142" w:rsidP="00387142">
            <w:pPr>
              <w:jc w:val="center"/>
              <w:rPr>
                <w:sz w:val="20"/>
                <w:szCs w:val="20"/>
              </w:rPr>
            </w:pPr>
            <w:r w:rsidRPr="008B6A75">
              <w:rPr>
                <w:sz w:val="20"/>
                <w:szCs w:val="20"/>
              </w:rPr>
              <w:t>99.0.00.51180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8969BD0" w14:textId="77777777" w:rsidR="00387142" w:rsidRPr="008B6A75" w:rsidRDefault="00387142" w:rsidP="00387142">
            <w:pPr>
              <w:jc w:val="center"/>
              <w:rPr>
                <w:sz w:val="20"/>
                <w:szCs w:val="20"/>
              </w:rPr>
            </w:pPr>
            <w:r w:rsidRPr="008B6A75">
              <w:rPr>
                <w:sz w:val="20"/>
                <w:szCs w:val="20"/>
              </w:rPr>
              <w:t>530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4E44B7D" w14:textId="77777777" w:rsidR="00387142" w:rsidRPr="008B6A75" w:rsidRDefault="00387142" w:rsidP="00387142">
            <w:pPr>
              <w:jc w:val="right"/>
              <w:rPr>
                <w:sz w:val="20"/>
                <w:szCs w:val="20"/>
              </w:rPr>
            </w:pPr>
            <w:r w:rsidRPr="008B6A75">
              <w:rPr>
                <w:sz w:val="20"/>
                <w:szCs w:val="20"/>
              </w:rPr>
              <w:t>2 244 446,01</w:t>
            </w:r>
          </w:p>
        </w:tc>
        <w:tc>
          <w:tcPr>
            <w:tcW w:w="992" w:type="dxa"/>
            <w:tcBorders>
              <w:top w:val="nil"/>
              <w:left w:val="single" w:sz="4" w:space="0" w:color="auto"/>
              <w:bottom w:val="single" w:sz="4" w:space="0" w:color="auto"/>
              <w:right w:val="nil"/>
            </w:tcBorders>
            <w:shd w:val="clear" w:color="auto" w:fill="auto"/>
            <w:vAlign w:val="center"/>
            <w:hideMark/>
          </w:tcPr>
          <w:p w14:paraId="4530B47B" w14:textId="77777777" w:rsidR="00387142" w:rsidRPr="008B6A75" w:rsidRDefault="00387142" w:rsidP="00387142">
            <w:pPr>
              <w:jc w:val="right"/>
              <w:rPr>
                <w:sz w:val="20"/>
                <w:szCs w:val="20"/>
              </w:rPr>
            </w:pPr>
            <w:r w:rsidRPr="008B6A75">
              <w:rPr>
                <w:sz w:val="20"/>
                <w:szCs w:val="20"/>
              </w:rPr>
              <w:t>2 176 627,79</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7888A3C1" w14:textId="77777777" w:rsidR="00387142" w:rsidRPr="008B6A75" w:rsidRDefault="00387142" w:rsidP="00387142">
            <w:pPr>
              <w:jc w:val="right"/>
              <w:rPr>
                <w:sz w:val="20"/>
                <w:szCs w:val="20"/>
              </w:rPr>
            </w:pPr>
            <w:r w:rsidRPr="008B6A75">
              <w:rPr>
                <w:sz w:val="20"/>
                <w:szCs w:val="20"/>
              </w:rPr>
              <w:t>2 253 758,06</w:t>
            </w:r>
          </w:p>
        </w:tc>
      </w:tr>
      <w:tr w:rsidR="00387142" w:rsidRPr="008B6A75" w14:paraId="3850BAC9" w14:textId="77777777" w:rsidTr="00387142">
        <w:trPr>
          <w:trHeight w:val="585"/>
        </w:trPr>
        <w:tc>
          <w:tcPr>
            <w:tcW w:w="3261" w:type="dxa"/>
            <w:tcBorders>
              <w:top w:val="nil"/>
              <w:left w:val="single" w:sz="4" w:space="0" w:color="auto"/>
              <w:bottom w:val="single" w:sz="4" w:space="0" w:color="auto"/>
              <w:right w:val="nil"/>
            </w:tcBorders>
            <w:shd w:val="clear" w:color="auto" w:fill="auto"/>
            <w:vAlign w:val="center"/>
            <w:hideMark/>
          </w:tcPr>
          <w:p w14:paraId="504E8AF4" w14:textId="77777777" w:rsidR="00387142" w:rsidRPr="008B6A75" w:rsidRDefault="00387142" w:rsidP="00387142">
            <w:pPr>
              <w:rPr>
                <w:bCs/>
                <w:sz w:val="20"/>
                <w:szCs w:val="20"/>
              </w:rPr>
            </w:pPr>
            <w:r w:rsidRPr="008B6A75">
              <w:rPr>
                <w:bCs/>
                <w:sz w:val="20"/>
                <w:szCs w:val="20"/>
              </w:rPr>
              <w:t>НАЦИОНАЛЬНАЯ БЕЗОПАСНОСТЬ И ПРАВООХРАНИТЕЛЬНАЯ ДЕЯТЕЛЬНОСТЬ</w:t>
            </w:r>
          </w:p>
        </w:tc>
        <w:tc>
          <w:tcPr>
            <w:tcW w:w="720" w:type="dxa"/>
            <w:tcBorders>
              <w:top w:val="nil"/>
              <w:left w:val="single" w:sz="4" w:space="0" w:color="auto"/>
              <w:bottom w:val="single" w:sz="4" w:space="0" w:color="auto"/>
              <w:right w:val="nil"/>
            </w:tcBorders>
            <w:shd w:val="clear" w:color="auto" w:fill="auto"/>
            <w:noWrap/>
            <w:vAlign w:val="center"/>
            <w:hideMark/>
          </w:tcPr>
          <w:p w14:paraId="7035825D" w14:textId="77777777" w:rsidR="00387142" w:rsidRPr="008B6A75" w:rsidRDefault="00387142" w:rsidP="00387142">
            <w:pPr>
              <w:jc w:val="center"/>
              <w:rPr>
                <w:bCs/>
                <w:sz w:val="20"/>
                <w:szCs w:val="20"/>
              </w:rPr>
            </w:pPr>
            <w:r w:rsidRPr="008B6A75">
              <w:rPr>
                <w:bCs/>
                <w:sz w:val="20"/>
                <w:szCs w:val="20"/>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FD70DD0" w14:textId="77777777" w:rsidR="00387142" w:rsidRPr="008B6A75" w:rsidRDefault="00387142" w:rsidP="00387142">
            <w:pPr>
              <w:jc w:val="center"/>
              <w:rPr>
                <w:bCs/>
                <w:sz w:val="20"/>
                <w:szCs w:val="20"/>
              </w:rPr>
            </w:pPr>
            <w:r w:rsidRPr="008B6A75">
              <w:rPr>
                <w:bCs/>
                <w:sz w:val="20"/>
                <w:szCs w:val="20"/>
              </w:rPr>
              <w:t> </w:t>
            </w:r>
          </w:p>
        </w:tc>
        <w:tc>
          <w:tcPr>
            <w:tcW w:w="1516" w:type="dxa"/>
            <w:tcBorders>
              <w:top w:val="nil"/>
              <w:left w:val="single" w:sz="4" w:space="0" w:color="auto"/>
              <w:bottom w:val="single" w:sz="4" w:space="0" w:color="auto"/>
              <w:right w:val="nil"/>
            </w:tcBorders>
            <w:shd w:val="clear" w:color="auto" w:fill="auto"/>
            <w:noWrap/>
            <w:vAlign w:val="center"/>
            <w:hideMark/>
          </w:tcPr>
          <w:p w14:paraId="0839D14A" w14:textId="77777777" w:rsidR="00387142" w:rsidRPr="008B6A75" w:rsidRDefault="00387142" w:rsidP="00387142">
            <w:pPr>
              <w:jc w:val="center"/>
              <w:rPr>
                <w:bCs/>
                <w:sz w:val="20"/>
                <w:szCs w:val="20"/>
              </w:rPr>
            </w:pPr>
            <w:r w:rsidRPr="008B6A75">
              <w:rPr>
                <w:bCs/>
                <w:sz w:val="20"/>
                <w:szCs w:val="20"/>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D1EA680"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BE65332" w14:textId="77777777" w:rsidR="00387142" w:rsidRPr="008B6A75" w:rsidRDefault="00387142" w:rsidP="00387142">
            <w:pPr>
              <w:jc w:val="right"/>
              <w:rPr>
                <w:bCs/>
                <w:sz w:val="20"/>
                <w:szCs w:val="20"/>
              </w:rPr>
            </w:pPr>
            <w:r w:rsidRPr="008B6A75">
              <w:rPr>
                <w:bCs/>
                <w:sz w:val="20"/>
                <w:szCs w:val="20"/>
              </w:rPr>
              <w:t>19 330 883,36</w:t>
            </w:r>
          </w:p>
        </w:tc>
        <w:tc>
          <w:tcPr>
            <w:tcW w:w="992" w:type="dxa"/>
            <w:tcBorders>
              <w:top w:val="nil"/>
              <w:left w:val="single" w:sz="4" w:space="0" w:color="auto"/>
              <w:bottom w:val="single" w:sz="4" w:space="0" w:color="auto"/>
              <w:right w:val="nil"/>
            </w:tcBorders>
            <w:shd w:val="clear" w:color="auto" w:fill="auto"/>
            <w:vAlign w:val="center"/>
            <w:hideMark/>
          </w:tcPr>
          <w:p w14:paraId="1E125EB6" w14:textId="77777777" w:rsidR="00387142" w:rsidRPr="008B6A75" w:rsidRDefault="00387142" w:rsidP="00387142">
            <w:pPr>
              <w:jc w:val="right"/>
              <w:rPr>
                <w:bCs/>
                <w:sz w:val="20"/>
                <w:szCs w:val="20"/>
              </w:rPr>
            </w:pPr>
            <w:r w:rsidRPr="008B6A75">
              <w:rPr>
                <w:bCs/>
                <w:sz w:val="20"/>
                <w:szCs w:val="20"/>
              </w:rPr>
              <w:t>6 650 000,00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41C832C6" w14:textId="77777777" w:rsidR="00387142" w:rsidRPr="008B6A75" w:rsidRDefault="00387142" w:rsidP="00387142">
            <w:pPr>
              <w:jc w:val="right"/>
              <w:rPr>
                <w:bCs/>
                <w:sz w:val="20"/>
                <w:szCs w:val="20"/>
              </w:rPr>
            </w:pPr>
            <w:r w:rsidRPr="008B6A75">
              <w:rPr>
                <w:bCs/>
                <w:sz w:val="20"/>
                <w:szCs w:val="20"/>
              </w:rPr>
              <w:t>6 650 000,00</w:t>
            </w:r>
          </w:p>
        </w:tc>
      </w:tr>
      <w:tr w:rsidR="00387142" w:rsidRPr="008B6A75" w14:paraId="3A55A407" w14:textId="77777777" w:rsidTr="00387142">
        <w:trPr>
          <w:trHeight w:val="1155"/>
        </w:trPr>
        <w:tc>
          <w:tcPr>
            <w:tcW w:w="3261" w:type="dxa"/>
            <w:tcBorders>
              <w:top w:val="nil"/>
              <w:left w:val="single" w:sz="4" w:space="0" w:color="auto"/>
              <w:bottom w:val="single" w:sz="4" w:space="0" w:color="auto"/>
              <w:right w:val="nil"/>
            </w:tcBorders>
            <w:shd w:val="clear" w:color="auto" w:fill="auto"/>
            <w:vAlign w:val="center"/>
            <w:hideMark/>
          </w:tcPr>
          <w:p w14:paraId="0C1A773B" w14:textId="77777777" w:rsidR="00387142" w:rsidRPr="008B6A75" w:rsidRDefault="00387142" w:rsidP="00387142">
            <w:pPr>
              <w:rPr>
                <w:bCs/>
                <w:sz w:val="20"/>
                <w:szCs w:val="20"/>
              </w:rPr>
            </w:pPr>
            <w:r w:rsidRPr="008B6A75">
              <w:rPr>
                <w:bCs/>
                <w:sz w:val="20"/>
                <w:szCs w:val="20"/>
              </w:rPr>
              <w:t>Защита населения и территории от чрезвычайных ситуаций природного и техногенного характера, пожарная безопасность</w:t>
            </w:r>
          </w:p>
        </w:tc>
        <w:tc>
          <w:tcPr>
            <w:tcW w:w="720" w:type="dxa"/>
            <w:tcBorders>
              <w:top w:val="nil"/>
              <w:left w:val="single" w:sz="4" w:space="0" w:color="auto"/>
              <w:bottom w:val="single" w:sz="4" w:space="0" w:color="auto"/>
              <w:right w:val="nil"/>
            </w:tcBorders>
            <w:shd w:val="clear" w:color="auto" w:fill="auto"/>
            <w:noWrap/>
            <w:vAlign w:val="center"/>
            <w:hideMark/>
          </w:tcPr>
          <w:p w14:paraId="6E5CCD79" w14:textId="77777777" w:rsidR="00387142" w:rsidRPr="008B6A75" w:rsidRDefault="00387142" w:rsidP="00387142">
            <w:pPr>
              <w:jc w:val="center"/>
              <w:rPr>
                <w:bCs/>
                <w:sz w:val="20"/>
                <w:szCs w:val="20"/>
              </w:rPr>
            </w:pPr>
            <w:r w:rsidRPr="008B6A75">
              <w:rPr>
                <w:bCs/>
                <w:sz w:val="20"/>
                <w:szCs w:val="20"/>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943A040" w14:textId="77777777" w:rsidR="00387142" w:rsidRPr="008B6A75" w:rsidRDefault="00387142" w:rsidP="00387142">
            <w:pPr>
              <w:jc w:val="center"/>
              <w:rPr>
                <w:bCs/>
                <w:sz w:val="20"/>
                <w:szCs w:val="20"/>
              </w:rPr>
            </w:pPr>
            <w:r w:rsidRPr="008B6A75">
              <w:rPr>
                <w:bCs/>
                <w:sz w:val="20"/>
                <w:szCs w:val="20"/>
              </w:rPr>
              <w:t>10</w:t>
            </w:r>
          </w:p>
        </w:tc>
        <w:tc>
          <w:tcPr>
            <w:tcW w:w="1516" w:type="dxa"/>
            <w:tcBorders>
              <w:top w:val="nil"/>
              <w:left w:val="single" w:sz="4" w:space="0" w:color="auto"/>
              <w:bottom w:val="single" w:sz="4" w:space="0" w:color="auto"/>
              <w:right w:val="nil"/>
            </w:tcBorders>
            <w:shd w:val="clear" w:color="auto" w:fill="auto"/>
            <w:noWrap/>
            <w:vAlign w:val="center"/>
            <w:hideMark/>
          </w:tcPr>
          <w:p w14:paraId="3267BCD9" w14:textId="77777777" w:rsidR="00387142" w:rsidRPr="008B6A75" w:rsidRDefault="00387142" w:rsidP="00387142">
            <w:pPr>
              <w:jc w:val="center"/>
              <w:rPr>
                <w:bCs/>
                <w:sz w:val="20"/>
                <w:szCs w:val="20"/>
              </w:rPr>
            </w:pPr>
            <w:r w:rsidRPr="008B6A75">
              <w:rPr>
                <w:bCs/>
                <w:sz w:val="20"/>
                <w:szCs w:val="20"/>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0C4A593"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310E2F4" w14:textId="77777777" w:rsidR="00387142" w:rsidRPr="008B6A75" w:rsidRDefault="00387142" w:rsidP="00387142">
            <w:pPr>
              <w:jc w:val="right"/>
              <w:rPr>
                <w:bCs/>
                <w:sz w:val="20"/>
                <w:szCs w:val="20"/>
              </w:rPr>
            </w:pPr>
            <w:r w:rsidRPr="008B6A75">
              <w:rPr>
                <w:bCs/>
                <w:sz w:val="20"/>
                <w:szCs w:val="20"/>
              </w:rPr>
              <w:t>19 330 883,36</w:t>
            </w:r>
          </w:p>
        </w:tc>
        <w:tc>
          <w:tcPr>
            <w:tcW w:w="992" w:type="dxa"/>
            <w:tcBorders>
              <w:top w:val="nil"/>
              <w:left w:val="single" w:sz="4" w:space="0" w:color="auto"/>
              <w:bottom w:val="single" w:sz="4" w:space="0" w:color="auto"/>
              <w:right w:val="nil"/>
            </w:tcBorders>
            <w:shd w:val="clear" w:color="auto" w:fill="auto"/>
            <w:vAlign w:val="center"/>
            <w:hideMark/>
          </w:tcPr>
          <w:p w14:paraId="59DF695B" w14:textId="77777777" w:rsidR="00387142" w:rsidRPr="008B6A75" w:rsidRDefault="00387142" w:rsidP="00387142">
            <w:pPr>
              <w:jc w:val="right"/>
              <w:rPr>
                <w:bCs/>
                <w:sz w:val="20"/>
                <w:szCs w:val="20"/>
              </w:rPr>
            </w:pPr>
            <w:r w:rsidRPr="008B6A75">
              <w:rPr>
                <w:bCs/>
                <w:sz w:val="20"/>
                <w:szCs w:val="20"/>
              </w:rPr>
              <w:t>6 650 000,00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6AD9A32B" w14:textId="77777777" w:rsidR="00387142" w:rsidRPr="008B6A75" w:rsidRDefault="00387142" w:rsidP="00387142">
            <w:pPr>
              <w:jc w:val="right"/>
              <w:rPr>
                <w:bCs/>
                <w:sz w:val="20"/>
                <w:szCs w:val="20"/>
              </w:rPr>
            </w:pPr>
            <w:r w:rsidRPr="008B6A75">
              <w:rPr>
                <w:bCs/>
                <w:sz w:val="20"/>
                <w:szCs w:val="20"/>
              </w:rPr>
              <w:t>6 650 000,00</w:t>
            </w:r>
          </w:p>
        </w:tc>
      </w:tr>
      <w:tr w:rsidR="00387142" w:rsidRPr="008B6A75" w14:paraId="548C0F6D" w14:textId="77777777" w:rsidTr="00387142">
        <w:trPr>
          <w:trHeight w:val="870"/>
        </w:trPr>
        <w:tc>
          <w:tcPr>
            <w:tcW w:w="3261" w:type="dxa"/>
            <w:tcBorders>
              <w:top w:val="nil"/>
              <w:left w:val="single" w:sz="4" w:space="0" w:color="auto"/>
              <w:bottom w:val="single" w:sz="4" w:space="0" w:color="auto"/>
              <w:right w:val="nil"/>
            </w:tcBorders>
            <w:shd w:val="clear" w:color="auto" w:fill="auto"/>
            <w:vAlign w:val="center"/>
            <w:hideMark/>
          </w:tcPr>
          <w:p w14:paraId="028280AE" w14:textId="77777777" w:rsidR="00387142" w:rsidRPr="008B6A75" w:rsidRDefault="00387142" w:rsidP="00387142">
            <w:pPr>
              <w:rPr>
                <w:bCs/>
                <w:sz w:val="20"/>
                <w:szCs w:val="20"/>
              </w:rPr>
            </w:pPr>
            <w:r w:rsidRPr="008B6A75">
              <w:rPr>
                <w:bCs/>
                <w:sz w:val="20"/>
                <w:szCs w:val="20"/>
              </w:rPr>
              <w:t>Муниципальная программа "Профилактика правонарушений, терроризма и экстремизма на территории Куйбышевского района"</w:t>
            </w:r>
          </w:p>
        </w:tc>
        <w:tc>
          <w:tcPr>
            <w:tcW w:w="720" w:type="dxa"/>
            <w:tcBorders>
              <w:top w:val="nil"/>
              <w:left w:val="single" w:sz="4" w:space="0" w:color="auto"/>
              <w:bottom w:val="single" w:sz="4" w:space="0" w:color="auto"/>
              <w:right w:val="nil"/>
            </w:tcBorders>
            <w:shd w:val="clear" w:color="auto" w:fill="auto"/>
            <w:noWrap/>
            <w:vAlign w:val="center"/>
            <w:hideMark/>
          </w:tcPr>
          <w:p w14:paraId="638F4868" w14:textId="77777777" w:rsidR="00387142" w:rsidRPr="008B6A75" w:rsidRDefault="00387142" w:rsidP="00387142">
            <w:pPr>
              <w:jc w:val="center"/>
              <w:rPr>
                <w:bCs/>
                <w:sz w:val="20"/>
                <w:szCs w:val="20"/>
              </w:rPr>
            </w:pPr>
            <w:r w:rsidRPr="008B6A75">
              <w:rPr>
                <w:bCs/>
                <w:sz w:val="20"/>
                <w:szCs w:val="20"/>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AD9BCA4" w14:textId="77777777" w:rsidR="00387142" w:rsidRPr="008B6A75" w:rsidRDefault="00387142" w:rsidP="00387142">
            <w:pPr>
              <w:jc w:val="center"/>
              <w:rPr>
                <w:bCs/>
                <w:sz w:val="20"/>
                <w:szCs w:val="20"/>
              </w:rPr>
            </w:pPr>
            <w:r w:rsidRPr="008B6A75">
              <w:rPr>
                <w:bCs/>
                <w:sz w:val="20"/>
                <w:szCs w:val="20"/>
              </w:rPr>
              <w:t>10</w:t>
            </w:r>
          </w:p>
        </w:tc>
        <w:tc>
          <w:tcPr>
            <w:tcW w:w="1516" w:type="dxa"/>
            <w:tcBorders>
              <w:top w:val="nil"/>
              <w:left w:val="single" w:sz="4" w:space="0" w:color="auto"/>
              <w:bottom w:val="single" w:sz="4" w:space="0" w:color="auto"/>
              <w:right w:val="nil"/>
            </w:tcBorders>
            <w:shd w:val="clear" w:color="auto" w:fill="auto"/>
            <w:noWrap/>
            <w:vAlign w:val="center"/>
            <w:hideMark/>
          </w:tcPr>
          <w:p w14:paraId="5E26978C" w14:textId="77777777" w:rsidR="00387142" w:rsidRPr="008B6A75" w:rsidRDefault="00387142" w:rsidP="00387142">
            <w:pPr>
              <w:jc w:val="center"/>
              <w:rPr>
                <w:bCs/>
                <w:sz w:val="20"/>
                <w:szCs w:val="20"/>
              </w:rPr>
            </w:pPr>
            <w:r w:rsidRPr="008B6A75">
              <w:rPr>
                <w:bCs/>
                <w:sz w:val="20"/>
                <w:szCs w:val="20"/>
              </w:rPr>
              <w:t>16.0.00.00000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990CA00"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2A22A4F" w14:textId="77777777" w:rsidR="00387142" w:rsidRPr="008B6A75" w:rsidRDefault="00387142" w:rsidP="00387142">
            <w:pPr>
              <w:jc w:val="right"/>
              <w:rPr>
                <w:bCs/>
                <w:sz w:val="20"/>
                <w:szCs w:val="20"/>
              </w:rPr>
            </w:pPr>
            <w:r w:rsidRPr="008B6A75">
              <w:rPr>
                <w:bCs/>
                <w:sz w:val="20"/>
                <w:szCs w:val="20"/>
              </w:rPr>
              <w:t>800 000,00</w:t>
            </w:r>
          </w:p>
        </w:tc>
        <w:tc>
          <w:tcPr>
            <w:tcW w:w="992" w:type="dxa"/>
            <w:tcBorders>
              <w:top w:val="nil"/>
              <w:left w:val="single" w:sz="4" w:space="0" w:color="auto"/>
              <w:bottom w:val="single" w:sz="4" w:space="0" w:color="auto"/>
              <w:right w:val="nil"/>
            </w:tcBorders>
            <w:shd w:val="clear" w:color="auto" w:fill="auto"/>
            <w:vAlign w:val="center"/>
            <w:hideMark/>
          </w:tcPr>
          <w:p w14:paraId="723DD709" w14:textId="77777777" w:rsidR="00387142" w:rsidRPr="008B6A75" w:rsidRDefault="00387142" w:rsidP="00387142">
            <w:pPr>
              <w:jc w:val="right"/>
              <w:rPr>
                <w:bCs/>
                <w:sz w:val="20"/>
                <w:szCs w:val="20"/>
              </w:rPr>
            </w:pPr>
            <w:r w:rsidRPr="008B6A75">
              <w:rPr>
                <w:bCs/>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496F7944" w14:textId="77777777" w:rsidR="00387142" w:rsidRPr="008B6A75" w:rsidRDefault="00387142" w:rsidP="00387142">
            <w:pPr>
              <w:jc w:val="right"/>
              <w:rPr>
                <w:bCs/>
                <w:sz w:val="20"/>
                <w:szCs w:val="20"/>
              </w:rPr>
            </w:pPr>
            <w:r w:rsidRPr="008B6A75">
              <w:rPr>
                <w:bCs/>
                <w:sz w:val="20"/>
                <w:szCs w:val="20"/>
              </w:rPr>
              <w:t>0,00</w:t>
            </w:r>
          </w:p>
        </w:tc>
      </w:tr>
      <w:tr w:rsidR="00387142" w:rsidRPr="008B6A75" w14:paraId="5E72F855" w14:textId="77777777" w:rsidTr="00387142">
        <w:trPr>
          <w:trHeight w:val="1155"/>
        </w:trPr>
        <w:tc>
          <w:tcPr>
            <w:tcW w:w="3261" w:type="dxa"/>
            <w:tcBorders>
              <w:top w:val="nil"/>
              <w:left w:val="single" w:sz="4" w:space="0" w:color="auto"/>
              <w:bottom w:val="single" w:sz="4" w:space="0" w:color="auto"/>
              <w:right w:val="nil"/>
            </w:tcBorders>
            <w:shd w:val="clear" w:color="auto" w:fill="auto"/>
            <w:vAlign w:val="center"/>
            <w:hideMark/>
          </w:tcPr>
          <w:p w14:paraId="1C38ADC1" w14:textId="77777777" w:rsidR="00387142" w:rsidRPr="008B6A75" w:rsidRDefault="00387142" w:rsidP="00387142">
            <w:pPr>
              <w:rPr>
                <w:bCs/>
                <w:sz w:val="20"/>
                <w:szCs w:val="20"/>
              </w:rPr>
            </w:pPr>
            <w:r w:rsidRPr="008B6A75">
              <w:rPr>
                <w:bCs/>
                <w:sz w:val="20"/>
                <w:szCs w:val="20"/>
              </w:rPr>
              <w:t>Реализация мероприятий муниципальной программы "Профилактика правонарушений, терроризма и экстремизма на территории Куйбышевского района"</w:t>
            </w:r>
          </w:p>
        </w:tc>
        <w:tc>
          <w:tcPr>
            <w:tcW w:w="720" w:type="dxa"/>
            <w:tcBorders>
              <w:top w:val="nil"/>
              <w:left w:val="single" w:sz="4" w:space="0" w:color="auto"/>
              <w:bottom w:val="single" w:sz="4" w:space="0" w:color="auto"/>
              <w:right w:val="nil"/>
            </w:tcBorders>
            <w:shd w:val="clear" w:color="auto" w:fill="auto"/>
            <w:noWrap/>
            <w:vAlign w:val="center"/>
            <w:hideMark/>
          </w:tcPr>
          <w:p w14:paraId="456E80D5" w14:textId="77777777" w:rsidR="00387142" w:rsidRPr="008B6A75" w:rsidRDefault="00387142" w:rsidP="00387142">
            <w:pPr>
              <w:jc w:val="center"/>
              <w:rPr>
                <w:bCs/>
                <w:sz w:val="20"/>
                <w:szCs w:val="20"/>
              </w:rPr>
            </w:pPr>
            <w:r w:rsidRPr="008B6A75">
              <w:rPr>
                <w:bCs/>
                <w:sz w:val="20"/>
                <w:szCs w:val="20"/>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B513C4D" w14:textId="77777777" w:rsidR="00387142" w:rsidRPr="008B6A75" w:rsidRDefault="00387142" w:rsidP="00387142">
            <w:pPr>
              <w:jc w:val="center"/>
              <w:rPr>
                <w:bCs/>
                <w:sz w:val="20"/>
                <w:szCs w:val="20"/>
              </w:rPr>
            </w:pPr>
            <w:r w:rsidRPr="008B6A75">
              <w:rPr>
                <w:bCs/>
                <w:sz w:val="20"/>
                <w:szCs w:val="20"/>
              </w:rPr>
              <w:t>10</w:t>
            </w:r>
          </w:p>
        </w:tc>
        <w:tc>
          <w:tcPr>
            <w:tcW w:w="1516" w:type="dxa"/>
            <w:tcBorders>
              <w:top w:val="nil"/>
              <w:left w:val="single" w:sz="4" w:space="0" w:color="auto"/>
              <w:bottom w:val="single" w:sz="4" w:space="0" w:color="auto"/>
              <w:right w:val="nil"/>
            </w:tcBorders>
            <w:shd w:val="clear" w:color="auto" w:fill="auto"/>
            <w:noWrap/>
            <w:vAlign w:val="center"/>
            <w:hideMark/>
          </w:tcPr>
          <w:p w14:paraId="36833668" w14:textId="77777777" w:rsidR="00387142" w:rsidRPr="008B6A75" w:rsidRDefault="00387142" w:rsidP="00387142">
            <w:pPr>
              <w:jc w:val="center"/>
              <w:rPr>
                <w:bCs/>
                <w:sz w:val="20"/>
                <w:szCs w:val="20"/>
              </w:rPr>
            </w:pPr>
            <w:r w:rsidRPr="008B6A75">
              <w:rPr>
                <w:bCs/>
                <w:sz w:val="20"/>
                <w:szCs w:val="20"/>
              </w:rPr>
              <w:t>16.0.00.79500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2CB04DA"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1860D91" w14:textId="77777777" w:rsidR="00387142" w:rsidRPr="008B6A75" w:rsidRDefault="00387142" w:rsidP="00387142">
            <w:pPr>
              <w:jc w:val="right"/>
              <w:rPr>
                <w:bCs/>
                <w:sz w:val="20"/>
                <w:szCs w:val="20"/>
              </w:rPr>
            </w:pPr>
            <w:r w:rsidRPr="008B6A75">
              <w:rPr>
                <w:bCs/>
                <w:sz w:val="20"/>
                <w:szCs w:val="20"/>
              </w:rPr>
              <w:t>800 000,00</w:t>
            </w:r>
          </w:p>
        </w:tc>
        <w:tc>
          <w:tcPr>
            <w:tcW w:w="992" w:type="dxa"/>
            <w:tcBorders>
              <w:top w:val="nil"/>
              <w:left w:val="single" w:sz="4" w:space="0" w:color="auto"/>
              <w:bottom w:val="single" w:sz="4" w:space="0" w:color="auto"/>
              <w:right w:val="nil"/>
            </w:tcBorders>
            <w:shd w:val="clear" w:color="auto" w:fill="auto"/>
            <w:vAlign w:val="center"/>
            <w:hideMark/>
          </w:tcPr>
          <w:p w14:paraId="2EC33C82" w14:textId="77777777" w:rsidR="00387142" w:rsidRPr="008B6A75" w:rsidRDefault="00387142" w:rsidP="00387142">
            <w:pPr>
              <w:jc w:val="right"/>
              <w:rPr>
                <w:bCs/>
                <w:sz w:val="20"/>
                <w:szCs w:val="20"/>
              </w:rPr>
            </w:pPr>
            <w:r w:rsidRPr="008B6A75">
              <w:rPr>
                <w:bCs/>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12F50FFC" w14:textId="77777777" w:rsidR="00387142" w:rsidRPr="008B6A75" w:rsidRDefault="00387142" w:rsidP="00387142">
            <w:pPr>
              <w:jc w:val="right"/>
              <w:rPr>
                <w:bCs/>
                <w:sz w:val="20"/>
                <w:szCs w:val="20"/>
              </w:rPr>
            </w:pPr>
            <w:r w:rsidRPr="008B6A75">
              <w:rPr>
                <w:bCs/>
                <w:sz w:val="20"/>
                <w:szCs w:val="20"/>
              </w:rPr>
              <w:t>0,00</w:t>
            </w:r>
          </w:p>
        </w:tc>
      </w:tr>
      <w:tr w:rsidR="00387142" w:rsidRPr="008B6A75" w14:paraId="30F09848" w14:textId="77777777" w:rsidTr="00387142">
        <w:trPr>
          <w:trHeight w:val="585"/>
        </w:trPr>
        <w:tc>
          <w:tcPr>
            <w:tcW w:w="3261" w:type="dxa"/>
            <w:tcBorders>
              <w:top w:val="nil"/>
              <w:left w:val="single" w:sz="4" w:space="0" w:color="auto"/>
              <w:bottom w:val="single" w:sz="4" w:space="0" w:color="auto"/>
              <w:right w:val="nil"/>
            </w:tcBorders>
            <w:shd w:val="clear" w:color="auto" w:fill="auto"/>
            <w:vAlign w:val="center"/>
            <w:hideMark/>
          </w:tcPr>
          <w:p w14:paraId="7BADC126" w14:textId="77777777" w:rsidR="00387142" w:rsidRPr="008B6A75" w:rsidRDefault="00387142" w:rsidP="00387142">
            <w:pPr>
              <w:rPr>
                <w:sz w:val="20"/>
                <w:szCs w:val="20"/>
              </w:rPr>
            </w:pPr>
            <w:r w:rsidRPr="008B6A75">
              <w:rPr>
                <w:sz w:val="20"/>
                <w:szCs w:val="20"/>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53D7BAB3" w14:textId="77777777" w:rsidR="00387142" w:rsidRPr="008B6A75" w:rsidRDefault="00387142" w:rsidP="00387142">
            <w:pPr>
              <w:jc w:val="center"/>
              <w:rPr>
                <w:sz w:val="20"/>
                <w:szCs w:val="20"/>
              </w:rPr>
            </w:pPr>
            <w:r w:rsidRPr="008B6A75">
              <w:rPr>
                <w:sz w:val="20"/>
                <w:szCs w:val="20"/>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6225473" w14:textId="77777777" w:rsidR="00387142" w:rsidRPr="008B6A75" w:rsidRDefault="00387142" w:rsidP="00387142">
            <w:pPr>
              <w:jc w:val="center"/>
              <w:rPr>
                <w:sz w:val="20"/>
                <w:szCs w:val="20"/>
              </w:rPr>
            </w:pPr>
            <w:r w:rsidRPr="008B6A75">
              <w:rPr>
                <w:sz w:val="20"/>
                <w:szCs w:val="20"/>
              </w:rPr>
              <w:t>10</w:t>
            </w:r>
          </w:p>
        </w:tc>
        <w:tc>
          <w:tcPr>
            <w:tcW w:w="1516" w:type="dxa"/>
            <w:tcBorders>
              <w:top w:val="nil"/>
              <w:left w:val="single" w:sz="4" w:space="0" w:color="auto"/>
              <w:bottom w:val="single" w:sz="4" w:space="0" w:color="auto"/>
              <w:right w:val="nil"/>
            </w:tcBorders>
            <w:shd w:val="clear" w:color="auto" w:fill="auto"/>
            <w:noWrap/>
            <w:vAlign w:val="center"/>
            <w:hideMark/>
          </w:tcPr>
          <w:p w14:paraId="3E0E7713" w14:textId="77777777" w:rsidR="00387142" w:rsidRPr="008B6A75" w:rsidRDefault="00387142" w:rsidP="00387142">
            <w:pPr>
              <w:jc w:val="center"/>
              <w:rPr>
                <w:sz w:val="20"/>
                <w:szCs w:val="20"/>
              </w:rPr>
            </w:pPr>
            <w:r w:rsidRPr="008B6A75">
              <w:rPr>
                <w:sz w:val="20"/>
                <w:szCs w:val="20"/>
              </w:rPr>
              <w:t>16.0.00.79500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BFAEFB0" w14:textId="77777777" w:rsidR="00387142" w:rsidRPr="008B6A75" w:rsidRDefault="00387142" w:rsidP="00387142">
            <w:pPr>
              <w:jc w:val="center"/>
              <w:rPr>
                <w:sz w:val="20"/>
                <w:szCs w:val="20"/>
              </w:rPr>
            </w:pPr>
            <w:r w:rsidRPr="008B6A75">
              <w:rPr>
                <w:sz w:val="20"/>
                <w:szCs w:val="20"/>
              </w:rPr>
              <w:t>200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4CA2054" w14:textId="77777777" w:rsidR="00387142" w:rsidRPr="008B6A75" w:rsidRDefault="00387142" w:rsidP="00387142">
            <w:pPr>
              <w:jc w:val="right"/>
              <w:rPr>
                <w:sz w:val="20"/>
                <w:szCs w:val="20"/>
              </w:rPr>
            </w:pPr>
            <w:r w:rsidRPr="008B6A75">
              <w:rPr>
                <w:sz w:val="20"/>
                <w:szCs w:val="20"/>
              </w:rPr>
              <w:t>800 000,00</w:t>
            </w:r>
          </w:p>
        </w:tc>
        <w:tc>
          <w:tcPr>
            <w:tcW w:w="992" w:type="dxa"/>
            <w:tcBorders>
              <w:top w:val="nil"/>
              <w:left w:val="single" w:sz="4" w:space="0" w:color="auto"/>
              <w:bottom w:val="single" w:sz="4" w:space="0" w:color="auto"/>
              <w:right w:val="nil"/>
            </w:tcBorders>
            <w:shd w:val="clear" w:color="auto" w:fill="auto"/>
            <w:vAlign w:val="center"/>
            <w:hideMark/>
          </w:tcPr>
          <w:p w14:paraId="09473E37" w14:textId="77777777" w:rsidR="00387142" w:rsidRPr="008B6A75" w:rsidRDefault="00387142" w:rsidP="00387142">
            <w:pPr>
              <w:jc w:val="right"/>
              <w:rPr>
                <w:sz w:val="20"/>
                <w:szCs w:val="20"/>
              </w:rPr>
            </w:pPr>
            <w:r w:rsidRPr="008B6A75">
              <w:rPr>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0D2A75A9" w14:textId="77777777" w:rsidR="00387142" w:rsidRPr="008B6A75" w:rsidRDefault="00387142" w:rsidP="00387142">
            <w:pPr>
              <w:jc w:val="right"/>
              <w:rPr>
                <w:sz w:val="20"/>
                <w:szCs w:val="20"/>
              </w:rPr>
            </w:pPr>
            <w:r w:rsidRPr="008B6A75">
              <w:rPr>
                <w:sz w:val="20"/>
                <w:szCs w:val="20"/>
              </w:rPr>
              <w:t>0,00</w:t>
            </w:r>
          </w:p>
        </w:tc>
      </w:tr>
      <w:tr w:rsidR="00387142" w:rsidRPr="008B6A75" w14:paraId="035E8F4A" w14:textId="77777777" w:rsidTr="00387142">
        <w:trPr>
          <w:trHeight w:val="870"/>
        </w:trPr>
        <w:tc>
          <w:tcPr>
            <w:tcW w:w="3261" w:type="dxa"/>
            <w:tcBorders>
              <w:top w:val="nil"/>
              <w:left w:val="single" w:sz="4" w:space="0" w:color="auto"/>
              <w:bottom w:val="single" w:sz="4" w:space="0" w:color="auto"/>
              <w:right w:val="nil"/>
            </w:tcBorders>
            <w:shd w:val="clear" w:color="auto" w:fill="auto"/>
            <w:vAlign w:val="center"/>
            <w:hideMark/>
          </w:tcPr>
          <w:p w14:paraId="190ECB5D" w14:textId="77777777" w:rsidR="00387142" w:rsidRPr="008B6A75" w:rsidRDefault="00387142" w:rsidP="00387142">
            <w:pPr>
              <w:rPr>
                <w:sz w:val="20"/>
                <w:szCs w:val="20"/>
              </w:rPr>
            </w:pPr>
            <w:r w:rsidRPr="008B6A75">
              <w:rPr>
                <w:sz w:val="20"/>
                <w:szCs w:val="20"/>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679C7404" w14:textId="77777777" w:rsidR="00387142" w:rsidRPr="008B6A75" w:rsidRDefault="00387142" w:rsidP="00387142">
            <w:pPr>
              <w:jc w:val="center"/>
              <w:rPr>
                <w:sz w:val="20"/>
                <w:szCs w:val="20"/>
              </w:rPr>
            </w:pPr>
            <w:r w:rsidRPr="008B6A75">
              <w:rPr>
                <w:sz w:val="20"/>
                <w:szCs w:val="20"/>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81BB75C" w14:textId="77777777" w:rsidR="00387142" w:rsidRPr="008B6A75" w:rsidRDefault="00387142" w:rsidP="00387142">
            <w:pPr>
              <w:jc w:val="center"/>
              <w:rPr>
                <w:sz w:val="20"/>
                <w:szCs w:val="20"/>
              </w:rPr>
            </w:pPr>
            <w:r w:rsidRPr="008B6A75">
              <w:rPr>
                <w:sz w:val="20"/>
                <w:szCs w:val="20"/>
              </w:rPr>
              <w:t>10</w:t>
            </w:r>
          </w:p>
        </w:tc>
        <w:tc>
          <w:tcPr>
            <w:tcW w:w="1516" w:type="dxa"/>
            <w:tcBorders>
              <w:top w:val="nil"/>
              <w:left w:val="single" w:sz="4" w:space="0" w:color="auto"/>
              <w:bottom w:val="single" w:sz="4" w:space="0" w:color="auto"/>
              <w:right w:val="nil"/>
            </w:tcBorders>
            <w:shd w:val="clear" w:color="auto" w:fill="auto"/>
            <w:noWrap/>
            <w:vAlign w:val="center"/>
            <w:hideMark/>
          </w:tcPr>
          <w:p w14:paraId="5A563291" w14:textId="77777777" w:rsidR="00387142" w:rsidRPr="008B6A75" w:rsidRDefault="00387142" w:rsidP="00387142">
            <w:pPr>
              <w:jc w:val="center"/>
              <w:rPr>
                <w:sz w:val="20"/>
                <w:szCs w:val="20"/>
              </w:rPr>
            </w:pPr>
            <w:r w:rsidRPr="008B6A75">
              <w:rPr>
                <w:sz w:val="20"/>
                <w:szCs w:val="20"/>
              </w:rPr>
              <w:t>16.0.00.79500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7DEBF1D" w14:textId="77777777" w:rsidR="00387142" w:rsidRPr="008B6A75" w:rsidRDefault="00387142" w:rsidP="00387142">
            <w:pPr>
              <w:jc w:val="center"/>
              <w:rPr>
                <w:sz w:val="20"/>
                <w:szCs w:val="20"/>
              </w:rPr>
            </w:pPr>
            <w:r w:rsidRPr="008B6A75">
              <w:rPr>
                <w:sz w:val="20"/>
                <w:szCs w:val="20"/>
              </w:rPr>
              <w:t>240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7569E96" w14:textId="77777777" w:rsidR="00387142" w:rsidRPr="008B6A75" w:rsidRDefault="00387142" w:rsidP="00387142">
            <w:pPr>
              <w:jc w:val="right"/>
              <w:rPr>
                <w:sz w:val="20"/>
                <w:szCs w:val="20"/>
              </w:rPr>
            </w:pPr>
            <w:r w:rsidRPr="008B6A75">
              <w:rPr>
                <w:sz w:val="20"/>
                <w:szCs w:val="20"/>
              </w:rPr>
              <w:t>800 000,00</w:t>
            </w:r>
          </w:p>
        </w:tc>
        <w:tc>
          <w:tcPr>
            <w:tcW w:w="992" w:type="dxa"/>
            <w:tcBorders>
              <w:top w:val="nil"/>
              <w:left w:val="single" w:sz="4" w:space="0" w:color="auto"/>
              <w:bottom w:val="single" w:sz="4" w:space="0" w:color="auto"/>
              <w:right w:val="nil"/>
            </w:tcBorders>
            <w:shd w:val="clear" w:color="auto" w:fill="auto"/>
            <w:vAlign w:val="center"/>
            <w:hideMark/>
          </w:tcPr>
          <w:p w14:paraId="510EE5A4" w14:textId="77777777" w:rsidR="00387142" w:rsidRPr="008B6A75" w:rsidRDefault="00387142" w:rsidP="00387142">
            <w:pPr>
              <w:jc w:val="right"/>
              <w:rPr>
                <w:sz w:val="20"/>
                <w:szCs w:val="20"/>
              </w:rPr>
            </w:pPr>
            <w:r w:rsidRPr="008B6A75">
              <w:rPr>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438C95E0" w14:textId="77777777" w:rsidR="00387142" w:rsidRPr="008B6A75" w:rsidRDefault="00387142" w:rsidP="00387142">
            <w:pPr>
              <w:jc w:val="right"/>
              <w:rPr>
                <w:sz w:val="20"/>
                <w:szCs w:val="20"/>
              </w:rPr>
            </w:pPr>
            <w:r w:rsidRPr="008B6A75">
              <w:rPr>
                <w:sz w:val="20"/>
                <w:szCs w:val="20"/>
              </w:rPr>
              <w:t>0,00</w:t>
            </w:r>
          </w:p>
        </w:tc>
      </w:tr>
      <w:tr w:rsidR="00387142" w:rsidRPr="008B6A75" w14:paraId="235A3306" w14:textId="77777777" w:rsidTr="00387142">
        <w:trPr>
          <w:trHeight w:val="870"/>
        </w:trPr>
        <w:tc>
          <w:tcPr>
            <w:tcW w:w="3261" w:type="dxa"/>
            <w:tcBorders>
              <w:top w:val="nil"/>
              <w:left w:val="single" w:sz="4" w:space="0" w:color="auto"/>
              <w:bottom w:val="single" w:sz="4" w:space="0" w:color="auto"/>
              <w:right w:val="nil"/>
            </w:tcBorders>
            <w:shd w:val="clear" w:color="auto" w:fill="auto"/>
            <w:vAlign w:val="center"/>
            <w:hideMark/>
          </w:tcPr>
          <w:p w14:paraId="5DABC659" w14:textId="77777777" w:rsidR="00387142" w:rsidRPr="008B6A75" w:rsidRDefault="00387142" w:rsidP="00387142">
            <w:pPr>
              <w:rPr>
                <w:bCs/>
                <w:sz w:val="20"/>
                <w:szCs w:val="20"/>
              </w:rPr>
            </w:pPr>
            <w:r w:rsidRPr="008B6A75">
              <w:rPr>
                <w:bCs/>
                <w:sz w:val="20"/>
                <w:szCs w:val="20"/>
              </w:rPr>
              <w:t>Муниципальная программа «Обеспечение безопасности жизнедеятельности населения Куйбышевского района»</w:t>
            </w:r>
          </w:p>
        </w:tc>
        <w:tc>
          <w:tcPr>
            <w:tcW w:w="720" w:type="dxa"/>
            <w:tcBorders>
              <w:top w:val="nil"/>
              <w:left w:val="single" w:sz="4" w:space="0" w:color="auto"/>
              <w:bottom w:val="single" w:sz="4" w:space="0" w:color="auto"/>
              <w:right w:val="nil"/>
            </w:tcBorders>
            <w:shd w:val="clear" w:color="auto" w:fill="auto"/>
            <w:noWrap/>
            <w:vAlign w:val="center"/>
            <w:hideMark/>
          </w:tcPr>
          <w:p w14:paraId="21E53494" w14:textId="77777777" w:rsidR="00387142" w:rsidRPr="008B6A75" w:rsidRDefault="00387142" w:rsidP="00387142">
            <w:pPr>
              <w:jc w:val="center"/>
              <w:rPr>
                <w:bCs/>
                <w:sz w:val="20"/>
                <w:szCs w:val="20"/>
              </w:rPr>
            </w:pPr>
            <w:r w:rsidRPr="008B6A75">
              <w:rPr>
                <w:bCs/>
                <w:sz w:val="20"/>
                <w:szCs w:val="20"/>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11EC8FC" w14:textId="77777777" w:rsidR="00387142" w:rsidRPr="008B6A75" w:rsidRDefault="00387142" w:rsidP="00387142">
            <w:pPr>
              <w:jc w:val="center"/>
              <w:rPr>
                <w:bCs/>
                <w:sz w:val="20"/>
                <w:szCs w:val="20"/>
              </w:rPr>
            </w:pPr>
            <w:r w:rsidRPr="008B6A75">
              <w:rPr>
                <w:bCs/>
                <w:sz w:val="20"/>
                <w:szCs w:val="20"/>
              </w:rPr>
              <w:t>10</w:t>
            </w:r>
          </w:p>
        </w:tc>
        <w:tc>
          <w:tcPr>
            <w:tcW w:w="1516" w:type="dxa"/>
            <w:tcBorders>
              <w:top w:val="nil"/>
              <w:left w:val="single" w:sz="4" w:space="0" w:color="auto"/>
              <w:bottom w:val="single" w:sz="4" w:space="0" w:color="auto"/>
              <w:right w:val="nil"/>
            </w:tcBorders>
            <w:shd w:val="clear" w:color="auto" w:fill="auto"/>
            <w:noWrap/>
            <w:vAlign w:val="center"/>
            <w:hideMark/>
          </w:tcPr>
          <w:p w14:paraId="451166BB" w14:textId="77777777" w:rsidR="00387142" w:rsidRPr="008B6A75" w:rsidRDefault="00387142" w:rsidP="00387142">
            <w:pPr>
              <w:jc w:val="center"/>
              <w:rPr>
                <w:bCs/>
                <w:sz w:val="20"/>
                <w:szCs w:val="20"/>
              </w:rPr>
            </w:pPr>
            <w:r w:rsidRPr="008B6A75">
              <w:rPr>
                <w:bCs/>
                <w:sz w:val="20"/>
                <w:szCs w:val="20"/>
              </w:rPr>
              <w:t>18.0.00.00000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79EDF16"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4E12FF3" w14:textId="77777777" w:rsidR="00387142" w:rsidRPr="008B6A75" w:rsidRDefault="00387142" w:rsidP="00387142">
            <w:pPr>
              <w:jc w:val="right"/>
              <w:rPr>
                <w:bCs/>
                <w:sz w:val="20"/>
                <w:szCs w:val="20"/>
              </w:rPr>
            </w:pPr>
            <w:r w:rsidRPr="008B6A75">
              <w:rPr>
                <w:bCs/>
                <w:sz w:val="20"/>
                <w:szCs w:val="20"/>
              </w:rPr>
              <w:t>18 530 883,36</w:t>
            </w:r>
          </w:p>
        </w:tc>
        <w:tc>
          <w:tcPr>
            <w:tcW w:w="992" w:type="dxa"/>
            <w:tcBorders>
              <w:top w:val="nil"/>
              <w:left w:val="single" w:sz="4" w:space="0" w:color="auto"/>
              <w:bottom w:val="single" w:sz="4" w:space="0" w:color="auto"/>
              <w:right w:val="nil"/>
            </w:tcBorders>
            <w:shd w:val="clear" w:color="auto" w:fill="auto"/>
            <w:vAlign w:val="center"/>
            <w:hideMark/>
          </w:tcPr>
          <w:p w14:paraId="3DF958C4" w14:textId="77777777" w:rsidR="00387142" w:rsidRPr="008B6A75" w:rsidRDefault="00387142" w:rsidP="00387142">
            <w:pPr>
              <w:jc w:val="right"/>
              <w:rPr>
                <w:bCs/>
                <w:sz w:val="20"/>
                <w:szCs w:val="20"/>
              </w:rPr>
            </w:pPr>
            <w:r w:rsidRPr="008B6A75">
              <w:rPr>
                <w:bCs/>
                <w:sz w:val="20"/>
                <w:szCs w:val="20"/>
              </w:rPr>
              <w:t>6 650 000,00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21CF28BA" w14:textId="77777777" w:rsidR="00387142" w:rsidRPr="008B6A75" w:rsidRDefault="00387142" w:rsidP="00387142">
            <w:pPr>
              <w:jc w:val="right"/>
              <w:rPr>
                <w:bCs/>
                <w:sz w:val="20"/>
                <w:szCs w:val="20"/>
              </w:rPr>
            </w:pPr>
            <w:r w:rsidRPr="008B6A75">
              <w:rPr>
                <w:bCs/>
                <w:sz w:val="20"/>
                <w:szCs w:val="20"/>
              </w:rPr>
              <w:t>6 650 000,00</w:t>
            </w:r>
          </w:p>
        </w:tc>
      </w:tr>
      <w:tr w:rsidR="00387142" w:rsidRPr="008B6A75" w14:paraId="627041AA" w14:textId="77777777" w:rsidTr="00387142">
        <w:trPr>
          <w:trHeight w:val="870"/>
        </w:trPr>
        <w:tc>
          <w:tcPr>
            <w:tcW w:w="3261" w:type="dxa"/>
            <w:tcBorders>
              <w:top w:val="nil"/>
              <w:left w:val="single" w:sz="4" w:space="0" w:color="auto"/>
              <w:bottom w:val="single" w:sz="4" w:space="0" w:color="auto"/>
              <w:right w:val="nil"/>
            </w:tcBorders>
            <w:shd w:val="clear" w:color="auto" w:fill="auto"/>
            <w:vAlign w:val="center"/>
            <w:hideMark/>
          </w:tcPr>
          <w:p w14:paraId="566443A5" w14:textId="77777777" w:rsidR="00387142" w:rsidRPr="008B6A75" w:rsidRDefault="00387142" w:rsidP="00387142">
            <w:pPr>
              <w:rPr>
                <w:bCs/>
                <w:sz w:val="20"/>
                <w:szCs w:val="20"/>
              </w:rPr>
            </w:pPr>
            <w:r w:rsidRPr="008B6A75">
              <w:rPr>
                <w:bCs/>
                <w:sz w:val="20"/>
                <w:szCs w:val="20"/>
              </w:rPr>
              <w:t>Расходы на обеспечение деятельности (оказание услуг) единой диспетчерской службы</w:t>
            </w:r>
          </w:p>
        </w:tc>
        <w:tc>
          <w:tcPr>
            <w:tcW w:w="720" w:type="dxa"/>
            <w:tcBorders>
              <w:top w:val="nil"/>
              <w:left w:val="single" w:sz="4" w:space="0" w:color="auto"/>
              <w:bottom w:val="single" w:sz="4" w:space="0" w:color="auto"/>
              <w:right w:val="nil"/>
            </w:tcBorders>
            <w:shd w:val="clear" w:color="auto" w:fill="auto"/>
            <w:noWrap/>
            <w:vAlign w:val="center"/>
            <w:hideMark/>
          </w:tcPr>
          <w:p w14:paraId="5F84024E" w14:textId="77777777" w:rsidR="00387142" w:rsidRPr="008B6A75" w:rsidRDefault="00387142" w:rsidP="00387142">
            <w:pPr>
              <w:jc w:val="center"/>
              <w:rPr>
                <w:bCs/>
                <w:sz w:val="20"/>
                <w:szCs w:val="20"/>
              </w:rPr>
            </w:pPr>
            <w:r w:rsidRPr="008B6A75">
              <w:rPr>
                <w:bCs/>
                <w:sz w:val="20"/>
                <w:szCs w:val="20"/>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65963B8" w14:textId="77777777" w:rsidR="00387142" w:rsidRPr="008B6A75" w:rsidRDefault="00387142" w:rsidP="00387142">
            <w:pPr>
              <w:jc w:val="center"/>
              <w:rPr>
                <w:bCs/>
                <w:sz w:val="20"/>
                <w:szCs w:val="20"/>
              </w:rPr>
            </w:pPr>
            <w:r w:rsidRPr="008B6A75">
              <w:rPr>
                <w:bCs/>
                <w:sz w:val="20"/>
                <w:szCs w:val="20"/>
              </w:rPr>
              <w:t>10</w:t>
            </w:r>
          </w:p>
        </w:tc>
        <w:tc>
          <w:tcPr>
            <w:tcW w:w="1516" w:type="dxa"/>
            <w:tcBorders>
              <w:top w:val="nil"/>
              <w:left w:val="single" w:sz="4" w:space="0" w:color="auto"/>
              <w:bottom w:val="single" w:sz="4" w:space="0" w:color="auto"/>
              <w:right w:val="nil"/>
            </w:tcBorders>
            <w:shd w:val="clear" w:color="auto" w:fill="auto"/>
            <w:noWrap/>
            <w:vAlign w:val="center"/>
            <w:hideMark/>
          </w:tcPr>
          <w:p w14:paraId="0E536D94" w14:textId="77777777" w:rsidR="00387142" w:rsidRPr="008B6A75" w:rsidRDefault="00387142" w:rsidP="00387142">
            <w:pPr>
              <w:jc w:val="center"/>
              <w:rPr>
                <w:bCs/>
                <w:sz w:val="20"/>
                <w:szCs w:val="20"/>
              </w:rPr>
            </w:pPr>
            <w:r w:rsidRPr="008B6A75">
              <w:rPr>
                <w:bCs/>
                <w:sz w:val="20"/>
                <w:szCs w:val="20"/>
              </w:rPr>
              <w:t>18.0.00.03190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19F712D"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CC59DD8" w14:textId="77777777" w:rsidR="00387142" w:rsidRPr="008B6A75" w:rsidRDefault="00387142" w:rsidP="00387142">
            <w:pPr>
              <w:jc w:val="right"/>
              <w:rPr>
                <w:bCs/>
                <w:sz w:val="20"/>
                <w:szCs w:val="20"/>
              </w:rPr>
            </w:pPr>
            <w:r w:rsidRPr="008B6A75">
              <w:rPr>
                <w:bCs/>
                <w:sz w:val="20"/>
                <w:szCs w:val="20"/>
              </w:rPr>
              <w:t>11 357 273,76</w:t>
            </w:r>
          </w:p>
        </w:tc>
        <w:tc>
          <w:tcPr>
            <w:tcW w:w="992" w:type="dxa"/>
            <w:tcBorders>
              <w:top w:val="nil"/>
              <w:left w:val="single" w:sz="4" w:space="0" w:color="auto"/>
              <w:bottom w:val="single" w:sz="4" w:space="0" w:color="auto"/>
              <w:right w:val="nil"/>
            </w:tcBorders>
            <w:shd w:val="clear" w:color="auto" w:fill="auto"/>
            <w:vAlign w:val="center"/>
            <w:hideMark/>
          </w:tcPr>
          <w:p w14:paraId="544540C8" w14:textId="77777777" w:rsidR="00387142" w:rsidRPr="008B6A75" w:rsidRDefault="00387142" w:rsidP="00387142">
            <w:pPr>
              <w:jc w:val="right"/>
              <w:rPr>
                <w:bCs/>
                <w:sz w:val="20"/>
                <w:szCs w:val="20"/>
              </w:rPr>
            </w:pPr>
            <w:r w:rsidRPr="008B6A75">
              <w:rPr>
                <w:bCs/>
                <w:sz w:val="20"/>
                <w:szCs w:val="20"/>
              </w:rPr>
              <w:t>6 650 000,00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7FD32646" w14:textId="77777777" w:rsidR="00387142" w:rsidRPr="008B6A75" w:rsidRDefault="00387142" w:rsidP="00387142">
            <w:pPr>
              <w:jc w:val="right"/>
              <w:rPr>
                <w:bCs/>
                <w:sz w:val="20"/>
                <w:szCs w:val="20"/>
              </w:rPr>
            </w:pPr>
            <w:r w:rsidRPr="008B6A75">
              <w:rPr>
                <w:bCs/>
                <w:sz w:val="20"/>
                <w:szCs w:val="20"/>
              </w:rPr>
              <w:t>6 650 000,00</w:t>
            </w:r>
          </w:p>
        </w:tc>
      </w:tr>
      <w:tr w:rsidR="00387142" w:rsidRPr="008B6A75" w14:paraId="6366D6EC" w14:textId="77777777" w:rsidTr="00387142">
        <w:trPr>
          <w:trHeight w:val="1440"/>
        </w:trPr>
        <w:tc>
          <w:tcPr>
            <w:tcW w:w="3261" w:type="dxa"/>
            <w:tcBorders>
              <w:top w:val="nil"/>
              <w:left w:val="single" w:sz="4" w:space="0" w:color="auto"/>
              <w:bottom w:val="single" w:sz="4" w:space="0" w:color="auto"/>
              <w:right w:val="nil"/>
            </w:tcBorders>
            <w:shd w:val="clear" w:color="auto" w:fill="auto"/>
            <w:vAlign w:val="center"/>
            <w:hideMark/>
          </w:tcPr>
          <w:p w14:paraId="079408E1" w14:textId="77777777" w:rsidR="00387142" w:rsidRPr="008B6A75" w:rsidRDefault="00387142" w:rsidP="00387142">
            <w:pPr>
              <w:rPr>
                <w:sz w:val="20"/>
                <w:szCs w:val="20"/>
              </w:rPr>
            </w:pPr>
            <w:r w:rsidRPr="008B6A7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14:paraId="5525455A" w14:textId="77777777" w:rsidR="00387142" w:rsidRPr="008B6A75" w:rsidRDefault="00387142" w:rsidP="00387142">
            <w:pPr>
              <w:jc w:val="center"/>
              <w:rPr>
                <w:sz w:val="20"/>
                <w:szCs w:val="20"/>
              </w:rPr>
            </w:pPr>
            <w:r w:rsidRPr="008B6A75">
              <w:rPr>
                <w:sz w:val="20"/>
                <w:szCs w:val="20"/>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1E26E95" w14:textId="77777777" w:rsidR="00387142" w:rsidRPr="008B6A75" w:rsidRDefault="00387142" w:rsidP="00387142">
            <w:pPr>
              <w:jc w:val="center"/>
              <w:rPr>
                <w:sz w:val="20"/>
                <w:szCs w:val="20"/>
              </w:rPr>
            </w:pPr>
            <w:r w:rsidRPr="008B6A75">
              <w:rPr>
                <w:sz w:val="20"/>
                <w:szCs w:val="20"/>
              </w:rPr>
              <w:t>10</w:t>
            </w:r>
          </w:p>
        </w:tc>
        <w:tc>
          <w:tcPr>
            <w:tcW w:w="1516" w:type="dxa"/>
            <w:tcBorders>
              <w:top w:val="nil"/>
              <w:left w:val="single" w:sz="4" w:space="0" w:color="auto"/>
              <w:bottom w:val="single" w:sz="4" w:space="0" w:color="auto"/>
              <w:right w:val="nil"/>
            </w:tcBorders>
            <w:shd w:val="clear" w:color="auto" w:fill="auto"/>
            <w:noWrap/>
            <w:vAlign w:val="center"/>
            <w:hideMark/>
          </w:tcPr>
          <w:p w14:paraId="36B8F849" w14:textId="77777777" w:rsidR="00387142" w:rsidRPr="008B6A75" w:rsidRDefault="00387142" w:rsidP="00387142">
            <w:pPr>
              <w:jc w:val="center"/>
              <w:rPr>
                <w:sz w:val="20"/>
                <w:szCs w:val="20"/>
              </w:rPr>
            </w:pPr>
            <w:r w:rsidRPr="008B6A75">
              <w:rPr>
                <w:sz w:val="20"/>
                <w:szCs w:val="20"/>
              </w:rPr>
              <w:t>18.0.00.03190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119DE29" w14:textId="77777777" w:rsidR="00387142" w:rsidRPr="008B6A75" w:rsidRDefault="00387142" w:rsidP="00387142">
            <w:pPr>
              <w:jc w:val="center"/>
              <w:rPr>
                <w:sz w:val="20"/>
                <w:szCs w:val="20"/>
              </w:rPr>
            </w:pPr>
            <w:r w:rsidRPr="008B6A75">
              <w:rPr>
                <w:sz w:val="20"/>
                <w:szCs w:val="20"/>
              </w:rPr>
              <w:t>100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86CBC57" w14:textId="77777777" w:rsidR="00387142" w:rsidRPr="008B6A75" w:rsidRDefault="00387142" w:rsidP="00387142">
            <w:pPr>
              <w:jc w:val="right"/>
              <w:rPr>
                <w:sz w:val="20"/>
                <w:szCs w:val="20"/>
              </w:rPr>
            </w:pPr>
            <w:r w:rsidRPr="008B6A75">
              <w:rPr>
                <w:sz w:val="20"/>
                <w:szCs w:val="20"/>
              </w:rPr>
              <w:t>7 692 988,80</w:t>
            </w:r>
          </w:p>
        </w:tc>
        <w:tc>
          <w:tcPr>
            <w:tcW w:w="992" w:type="dxa"/>
            <w:tcBorders>
              <w:top w:val="nil"/>
              <w:left w:val="single" w:sz="4" w:space="0" w:color="auto"/>
              <w:bottom w:val="single" w:sz="4" w:space="0" w:color="auto"/>
              <w:right w:val="nil"/>
            </w:tcBorders>
            <w:shd w:val="clear" w:color="auto" w:fill="auto"/>
            <w:vAlign w:val="center"/>
            <w:hideMark/>
          </w:tcPr>
          <w:p w14:paraId="4E820961" w14:textId="77777777" w:rsidR="00387142" w:rsidRPr="008B6A75" w:rsidRDefault="00387142" w:rsidP="00387142">
            <w:pPr>
              <w:jc w:val="right"/>
              <w:rPr>
                <w:sz w:val="20"/>
                <w:szCs w:val="20"/>
              </w:rPr>
            </w:pPr>
            <w:r w:rsidRPr="008B6A75">
              <w:rPr>
                <w:sz w:val="20"/>
                <w:szCs w:val="20"/>
              </w:rPr>
              <w:t>5 350 000,00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6DAEBBC8" w14:textId="77777777" w:rsidR="00387142" w:rsidRPr="008B6A75" w:rsidRDefault="00387142" w:rsidP="00387142">
            <w:pPr>
              <w:jc w:val="right"/>
              <w:rPr>
                <w:sz w:val="20"/>
                <w:szCs w:val="20"/>
              </w:rPr>
            </w:pPr>
            <w:r w:rsidRPr="008B6A75">
              <w:rPr>
                <w:sz w:val="20"/>
                <w:szCs w:val="20"/>
              </w:rPr>
              <w:t>6 000 000,00</w:t>
            </w:r>
          </w:p>
        </w:tc>
      </w:tr>
      <w:tr w:rsidR="00387142" w:rsidRPr="008B6A75" w14:paraId="18CE8D75" w14:textId="77777777" w:rsidTr="00387142">
        <w:trPr>
          <w:trHeight w:val="585"/>
        </w:trPr>
        <w:tc>
          <w:tcPr>
            <w:tcW w:w="3261" w:type="dxa"/>
            <w:tcBorders>
              <w:top w:val="nil"/>
              <w:left w:val="single" w:sz="4" w:space="0" w:color="auto"/>
              <w:bottom w:val="single" w:sz="4" w:space="0" w:color="auto"/>
              <w:right w:val="nil"/>
            </w:tcBorders>
            <w:shd w:val="clear" w:color="auto" w:fill="auto"/>
            <w:vAlign w:val="center"/>
            <w:hideMark/>
          </w:tcPr>
          <w:p w14:paraId="7B5011E5" w14:textId="77777777" w:rsidR="00387142" w:rsidRPr="008B6A75" w:rsidRDefault="00387142" w:rsidP="00387142">
            <w:pPr>
              <w:rPr>
                <w:sz w:val="20"/>
                <w:szCs w:val="20"/>
              </w:rPr>
            </w:pPr>
            <w:r w:rsidRPr="008B6A75">
              <w:rPr>
                <w:sz w:val="20"/>
                <w:szCs w:val="20"/>
              </w:rPr>
              <w:t>Расходы на выплаты персоналу казенных учреждений</w:t>
            </w:r>
          </w:p>
        </w:tc>
        <w:tc>
          <w:tcPr>
            <w:tcW w:w="720" w:type="dxa"/>
            <w:tcBorders>
              <w:top w:val="nil"/>
              <w:left w:val="single" w:sz="4" w:space="0" w:color="auto"/>
              <w:bottom w:val="single" w:sz="4" w:space="0" w:color="auto"/>
              <w:right w:val="nil"/>
            </w:tcBorders>
            <w:shd w:val="clear" w:color="auto" w:fill="auto"/>
            <w:noWrap/>
            <w:vAlign w:val="center"/>
            <w:hideMark/>
          </w:tcPr>
          <w:p w14:paraId="49CB6930" w14:textId="77777777" w:rsidR="00387142" w:rsidRPr="008B6A75" w:rsidRDefault="00387142" w:rsidP="00387142">
            <w:pPr>
              <w:jc w:val="center"/>
              <w:rPr>
                <w:sz w:val="20"/>
                <w:szCs w:val="20"/>
              </w:rPr>
            </w:pPr>
            <w:r w:rsidRPr="008B6A75">
              <w:rPr>
                <w:sz w:val="20"/>
                <w:szCs w:val="20"/>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B8F3EF7" w14:textId="77777777" w:rsidR="00387142" w:rsidRPr="008B6A75" w:rsidRDefault="00387142" w:rsidP="00387142">
            <w:pPr>
              <w:jc w:val="center"/>
              <w:rPr>
                <w:sz w:val="20"/>
                <w:szCs w:val="20"/>
              </w:rPr>
            </w:pPr>
            <w:r w:rsidRPr="008B6A75">
              <w:rPr>
                <w:sz w:val="20"/>
                <w:szCs w:val="20"/>
              </w:rPr>
              <w:t>10</w:t>
            </w:r>
          </w:p>
        </w:tc>
        <w:tc>
          <w:tcPr>
            <w:tcW w:w="1516" w:type="dxa"/>
            <w:tcBorders>
              <w:top w:val="nil"/>
              <w:left w:val="single" w:sz="4" w:space="0" w:color="auto"/>
              <w:bottom w:val="single" w:sz="4" w:space="0" w:color="auto"/>
              <w:right w:val="nil"/>
            </w:tcBorders>
            <w:shd w:val="clear" w:color="auto" w:fill="auto"/>
            <w:noWrap/>
            <w:vAlign w:val="center"/>
            <w:hideMark/>
          </w:tcPr>
          <w:p w14:paraId="616F4C1D" w14:textId="77777777" w:rsidR="00387142" w:rsidRPr="008B6A75" w:rsidRDefault="00387142" w:rsidP="00387142">
            <w:pPr>
              <w:jc w:val="center"/>
              <w:rPr>
                <w:sz w:val="20"/>
                <w:szCs w:val="20"/>
              </w:rPr>
            </w:pPr>
            <w:r w:rsidRPr="008B6A75">
              <w:rPr>
                <w:sz w:val="20"/>
                <w:szCs w:val="20"/>
              </w:rPr>
              <w:t>18.0.00.03190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5C7F232" w14:textId="77777777" w:rsidR="00387142" w:rsidRPr="008B6A75" w:rsidRDefault="00387142" w:rsidP="00387142">
            <w:pPr>
              <w:jc w:val="center"/>
              <w:rPr>
                <w:sz w:val="20"/>
                <w:szCs w:val="20"/>
              </w:rPr>
            </w:pPr>
            <w:r w:rsidRPr="008B6A75">
              <w:rPr>
                <w:sz w:val="20"/>
                <w:szCs w:val="20"/>
              </w:rPr>
              <w:t>110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2A30CBA" w14:textId="77777777" w:rsidR="00387142" w:rsidRPr="008B6A75" w:rsidRDefault="00387142" w:rsidP="00387142">
            <w:pPr>
              <w:jc w:val="right"/>
              <w:rPr>
                <w:sz w:val="20"/>
                <w:szCs w:val="20"/>
              </w:rPr>
            </w:pPr>
            <w:r w:rsidRPr="008B6A75">
              <w:rPr>
                <w:sz w:val="20"/>
                <w:szCs w:val="20"/>
              </w:rPr>
              <w:t>7 692 988,80</w:t>
            </w:r>
          </w:p>
        </w:tc>
        <w:tc>
          <w:tcPr>
            <w:tcW w:w="992" w:type="dxa"/>
            <w:tcBorders>
              <w:top w:val="nil"/>
              <w:left w:val="single" w:sz="4" w:space="0" w:color="auto"/>
              <w:bottom w:val="single" w:sz="4" w:space="0" w:color="auto"/>
              <w:right w:val="nil"/>
            </w:tcBorders>
            <w:shd w:val="clear" w:color="auto" w:fill="auto"/>
            <w:vAlign w:val="center"/>
            <w:hideMark/>
          </w:tcPr>
          <w:p w14:paraId="242C2DFD" w14:textId="77777777" w:rsidR="00387142" w:rsidRPr="008B6A75" w:rsidRDefault="00387142" w:rsidP="00387142">
            <w:pPr>
              <w:jc w:val="right"/>
              <w:rPr>
                <w:sz w:val="20"/>
                <w:szCs w:val="20"/>
              </w:rPr>
            </w:pPr>
            <w:r w:rsidRPr="008B6A75">
              <w:rPr>
                <w:sz w:val="20"/>
                <w:szCs w:val="20"/>
              </w:rPr>
              <w:t>5 350 000,00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4DED0466" w14:textId="77777777" w:rsidR="00387142" w:rsidRPr="008B6A75" w:rsidRDefault="00387142" w:rsidP="00387142">
            <w:pPr>
              <w:jc w:val="right"/>
              <w:rPr>
                <w:sz w:val="20"/>
                <w:szCs w:val="20"/>
              </w:rPr>
            </w:pPr>
            <w:r w:rsidRPr="008B6A75">
              <w:rPr>
                <w:sz w:val="20"/>
                <w:szCs w:val="20"/>
              </w:rPr>
              <w:t>6 000 000,00</w:t>
            </w:r>
          </w:p>
        </w:tc>
      </w:tr>
      <w:tr w:rsidR="00387142" w:rsidRPr="008B6A75" w14:paraId="72FE5696" w14:textId="77777777" w:rsidTr="00387142">
        <w:trPr>
          <w:trHeight w:val="585"/>
        </w:trPr>
        <w:tc>
          <w:tcPr>
            <w:tcW w:w="3261" w:type="dxa"/>
            <w:tcBorders>
              <w:top w:val="nil"/>
              <w:left w:val="single" w:sz="4" w:space="0" w:color="auto"/>
              <w:bottom w:val="single" w:sz="4" w:space="0" w:color="auto"/>
              <w:right w:val="nil"/>
            </w:tcBorders>
            <w:shd w:val="clear" w:color="auto" w:fill="auto"/>
            <w:vAlign w:val="center"/>
            <w:hideMark/>
          </w:tcPr>
          <w:p w14:paraId="47157128" w14:textId="77777777" w:rsidR="00387142" w:rsidRPr="008B6A75" w:rsidRDefault="00387142" w:rsidP="00387142">
            <w:pPr>
              <w:rPr>
                <w:sz w:val="20"/>
                <w:szCs w:val="20"/>
              </w:rPr>
            </w:pPr>
            <w:r w:rsidRPr="008B6A75">
              <w:rPr>
                <w:sz w:val="20"/>
                <w:szCs w:val="20"/>
              </w:rPr>
              <w:lastRenderedPageBreak/>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1CA2F974" w14:textId="77777777" w:rsidR="00387142" w:rsidRPr="008B6A75" w:rsidRDefault="00387142" w:rsidP="00387142">
            <w:pPr>
              <w:jc w:val="center"/>
              <w:rPr>
                <w:sz w:val="20"/>
                <w:szCs w:val="20"/>
              </w:rPr>
            </w:pPr>
            <w:r w:rsidRPr="008B6A75">
              <w:rPr>
                <w:sz w:val="20"/>
                <w:szCs w:val="20"/>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3489C86" w14:textId="77777777" w:rsidR="00387142" w:rsidRPr="008B6A75" w:rsidRDefault="00387142" w:rsidP="00387142">
            <w:pPr>
              <w:jc w:val="center"/>
              <w:rPr>
                <w:sz w:val="20"/>
                <w:szCs w:val="20"/>
              </w:rPr>
            </w:pPr>
            <w:r w:rsidRPr="008B6A75">
              <w:rPr>
                <w:sz w:val="20"/>
                <w:szCs w:val="20"/>
              </w:rPr>
              <w:t>10</w:t>
            </w:r>
          </w:p>
        </w:tc>
        <w:tc>
          <w:tcPr>
            <w:tcW w:w="1516" w:type="dxa"/>
            <w:tcBorders>
              <w:top w:val="nil"/>
              <w:left w:val="single" w:sz="4" w:space="0" w:color="auto"/>
              <w:bottom w:val="single" w:sz="4" w:space="0" w:color="auto"/>
              <w:right w:val="nil"/>
            </w:tcBorders>
            <w:shd w:val="clear" w:color="auto" w:fill="auto"/>
            <w:noWrap/>
            <w:vAlign w:val="center"/>
            <w:hideMark/>
          </w:tcPr>
          <w:p w14:paraId="03A9A22A" w14:textId="77777777" w:rsidR="00387142" w:rsidRPr="008B6A75" w:rsidRDefault="00387142" w:rsidP="00387142">
            <w:pPr>
              <w:jc w:val="center"/>
              <w:rPr>
                <w:sz w:val="20"/>
                <w:szCs w:val="20"/>
              </w:rPr>
            </w:pPr>
            <w:r w:rsidRPr="008B6A75">
              <w:rPr>
                <w:sz w:val="20"/>
                <w:szCs w:val="20"/>
              </w:rPr>
              <w:t>18.0.00.03190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DBEE4CD" w14:textId="77777777" w:rsidR="00387142" w:rsidRPr="008B6A75" w:rsidRDefault="00387142" w:rsidP="00387142">
            <w:pPr>
              <w:jc w:val="center"/>
              <w:rPr>
                <w:sz w:val="20"/>
                <w:szCs w:val="20"/>
              </w:rPr>
            </w:pPr>
            <w:r w:rsidRPr="008B6A75">
              <w:rPr>
                <w:sz w:val="20"/>
                <w:szCs w:val="20"/>
              </w:rPr>
              <w:t>200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F5C4126" w14:textId="77777777" w:rsidR="00387142" w:rsidRPr="008B6A75" w:rsidRDefault="00387142" w:rsidP="00387142">
            <w:pPr>
              <w:jc w:val="right"/>
              <w:rPr>
                <w:sz w:val="20"/>
                <w:szCs w:val="20"/>
              </w:rPr>
            </w:pPr>
            <w:r w:rsidRPr="008B6A75">
              <w:rPr>
                <w:sz w:val="20"/>
                <w:szCs w:val="20"/>
              </w:rPr>
              <w:t>3 654 302,80</w:t>
            </w:r>
          </w:p>
        </w:tc>
        <w:tc>
          <w:tcPr>
            <w:tcW w:w="992" w:type="dxa"/>
            <w:tcBorders>
              <w:top w:val="nil"/>
              <w:left w:val="single" w:sz="4" w:space="0" w:color="auto"/>
              <w:bottom w:val="single" w:sz="4" w:space="0" w:color="auto"/>
              <w:right w:val="nil"/>
            </w:tcBorders>
            <w:shd w:val="clear" w:color="auto" w:fill="auto"/>
            <w:vAlign w:val="center"/>
            <w:hideMark/>
          </w:tcPr>
          <w:p w14:paraId="513C1CE1" w14:textId="77777777" w:rsidR="00387142" w:rsidRPr="008B6A75" w:rsidRDefault="00387142" w:rsidP="00387142">
            <w:pPr>
              <w:jc w:val="right"/>
              <w:rPr>
                <w:sz w:val="20"/>
                <w:szCs w:val="20"/>
              </w:rPr>
            </w:pPr>
            <w:r w:rsidRPr="008B6A75">
              <w:rPr>
                <w:sz w:val="20"/>
                <w:szCs w:val="20"/>
              </w:rPr>
              <w:t>1 300 000,00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0A2CC7EC" w14:textId="77777777" w:rsidR="00387142" w:rsidRPr="008B6A75" w:rsidRDefault="00387142" w:rsidP="00387142">
            <w:pPr>
              <w:jc w:val="right"/>
              <w:rPr>
                <w:sz w:val="20"/>
                <w:szCs w:val="20"/>
              </w:rPr>
            </w:pPr>
            <w:r w:rsidRPr="008B6A75">
              <w:rPr>
                <w:sz w:val="20"/>
                <w:szCs w:val="20"/>
              </w:rPr>
              <w:t>650 000,00</w:t>
            </w:r>
          </w:p>
        </w:tc>
      </w:tr>
      <w:tr w:rsidR="00387142" w:rsidRPr="008B6A75" w14:paraId="5A5AB61F" w14:textId="77777777" w:rsidTr="00387142">
        <w:trPr>
          <w:trHeight w:val="870"/>
        </w:trPr>
        <w:tc>
          <w:tcPr>
            <w:tcW w:w="3261" w:type="dxa"/>
            <w:tcBorders>
              <w:top w:val="nil"/>
              <w:left w:val="single" w:sz="4" w:space="0" w:color="auto"/>
              <w:bottom w:val="single" w:sz="4" w:space="0" w:color="auto"/>
              <w:right w:val="nil"/>
            </w:tcBorders>
            <w:shd w:val="clear" w:color="auto" w:fill="auto"/>
            <w:vAlign w:val="center"/>
            <w:hideMark/>
          </w:tcPr>
          <w:p w14:paraId="224CBEFE" w14:textId="77777777" w:rsidR="00387142" w:rsidRPr="008B6A75" w:rsidRDefault="00387142" w:rsidP="00387142">
            <w:pPr>
              <w:rPr>
                <w:sz w:val="20"/>
                <w:szCs w:val="20"/>
              </w:rPr>
            </w:pPr>
            <w:r w:rsidRPr="008B6A75">
              <w:rPr>
                <w:sz w:val="20"/>
                <w:szCs w:val="20"/>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7547CB8B" w14:textId="77777777" w:rsidR="00387142" w:rsidRPr="008B6A75" w:rsidRDefault="00387142" w:rsidP="00387142">
            <w:pPr>
              <w:jc w:val="center"/>
              <w:rPr>
                <w:sz w:val="20"/>
                <w:szCs w:val="20"/>
              </w:rPr>
            </w:pPr>
            <w:r w:rsidRPr="008B6A75">
              <w:rPr>
                <w:sz w:val="20"/>
                <w:szCs w:val="20"/>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E589951" w14:textId="77777777" w:rsidR="00387142" w:rsidRPr="008B6A75" w:rsidRDefault="00387142" w:rsidP="00387142">
            <w:pPr>
              <w:jc w:val="center"/>
              <w:rPr>
                <w:sz w:val="20"/>
                <w:szCs w:val="20"/>
              </w:rPr>
            </w:pPr>
            <w:r w:rsidRPr="008B6A75">
              <w:rPr>
                <w:sz w:val="20"/>
                <w:szCs w:val="20"/>
              </w:rPr>
              <w:t>10</w:t>
            </w:r>
          </w:p>
        </w:tc>
        <w:tc>
          <w:tcPr>
            <w:tcW w:w="1516" w:type="dxa"/>
            <w:tcBorders>
              <w:top w:val="nil"/>
              <w:left w:val="single" w:sz="4" w:space="0" w:color="auto"/>
              <w:bottom w:val="single" w:sz="4" w:space="0" w:color="auto"/>
              <w:right w:val="nil"/>
            </w:tcBorders>
            <w:shd w:val="clear" w:color="auto" w:fill="auto"/>
            <w:noWrap/>
            <w:vAlign w:val="center"/>
            <w:hideMark/>
          </w:tcPr>
          <w:p w14:paraId="07FEA227" w14:textId="77777777" w:rsidR="00387142" w:rsidRPr="008B6A75" w:rsidRDefault="00387142" w:rsidP="00387142">
            <w:pPr>
              <w:jc w:val="center"/>
              <w:rPr>
                <w:sz w:val="20"/>
                <w:szCs w:val="20"/>
              </w:rPr>
            </w:pPr>
            <w:r w:rsidRPr="008B6A75">
              <w:rPr>
                <w:sz w:val="20"/>
                <w:szCs w:val="20"/>
              </w:rPr>
              <w:t>18.0.00.03190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E9F70F5" w14:textId="77777777" w:rsidR="00387142" w:rsidRPr="008B6A75" w:rsidRDefault="00387142" w:rsidP="00387142">
            <w:pPr>
              <w:jc w:val="center"/>
              <w:rPr>
                <w:sz w:val="20"/>
                <w:szCs w:val="20"/>
              </w:rPr>
            </w:pPr>
            <w:r w:rsidRPr="008B6A75">
              <w:rPr>
                <w:sz w:val="20"/>
                <w:szCs w:val="20"/>
              </w:rPr>
              <w:t>240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5BD4916" w14:textId="77777777" w:rsidR="00387142" w:rsidRPr="008B6A75" w:rsidRDefault="00387142" w:rsidP="00387142">
            <w:pPr>
              <w:jc w:val="right"/>
              <w:rPr>
                <w:sz w:val="20"/>
                <w:szCs w:val="20"/>
              </w:rPr>
            </w:pPr>
            <w:r w:rsidRPr="008B6A75">
              <w:rPr>
                <w:sz w:val="20"/>
                <w:szCs w:val="20"/>
              </w:rPr>
              <w:t>3 654 302,80</w:t>
            </w:r>
          </w:p>
        </w:tc>
        <w:tc>
          <w:tcPr>
            <w:tcW w:w="992" w:type="dxa"/>
            <w:tcBorders>
              <w:top w:val="nil"/>
              <w:left w:val="single" w:sz="4" w:space="0" w:color="auto"/>
              <w:bottom w:val="single" w:sz="4" w:space="0" w:color="auto"/>
              <w:right w:val="nil"/>
            </w:tcBorders>
            <w:shd w:val="clear" w:color="auto" w:fill="auto"/>
            <w:vAlign w:val="center"/>
            <w:hideMark/>
          </w:tcPr>
          <w:p w14:paraId="59A9A1EA" w14:textId="77777777" w:rsidR="00387142" w:rsidRPr="008B6A75" w:rsidRDefault="00387142" w:rsidP="00387142">
            <w:pPr>
              <w:jc w:val="right"/>
              <w:rPr>
                <w:sz w:val="20"/>
                <w:szCs w:val="20"/>
              </w:rPr>
            </w:pPr>
            <w:r w:rsidRPr="008B6A75">
              <w:rPr>
                <w:sz w:val="20"/>
                <w:szCs w:val="20"/>
              </w:rPr>
              <w:t>1 300 000,00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5BB56E70" w14:textId="77777777" w:rsidR="00387142" w:rsidRPr="008B6A75" w:rsidRDefault="00387142" w:rsidP="00387142">
            <w:pPr>
              <w:jc w:val="right"/>
              <w:rPr>
                <w:sz w:val="20"/>
                <w:szCs w:val="20"/>
              </w:rPr>
            </w:pPr>
            <w:r w:rsidRPr="008B6A75">
              <w:rPr>
                <w:sz w:val="20"/>
                <w:szCs w:val="20"/>
              </w:rPr>
              <w:t>650 000,00</w:t>
            </w:r>
          </w:p>
        </w:tc>
      </w:tr>
      <w:tr w:rsidR="00387142" w:rsidRPr="008B6A75" w14:paraId="61A0A4B4" w14:textId="77777777" w:rsidTr="00387142">
        <w:trPr>
          <w:trHeight w:val="345"/>
        </w:trPr>
        <w:tc>
          <w:tcPr>
            <w:tcW w:w="3261" w:type="dxa"/>
            <w:tcBorders>
              <w:top w:val="nil"/>
              <w:left w:val="single" w:sz="4" w:space="0" w:color="auto"/>
              <w:bottom w:val="single" w:sz="4" w:space="0" w:color="auto"/>
              <w:right w:val="nil"/>
            </w:tcBorders>
            <w:shd w:val="clear" w:color="auto" w:fill="auto"/>
            <w:vAlign w:val="center"/>
            <w:hideMark/>
          </w:tcPr>
          <w:p w14:paraId="6509B1A1" w14:textId="77777777" w:rsidR="00387142" w:rsidRPr="008B6A75" w:rsidRDefault="00387142" w:rsidP="00387142">
            <w:pPr>
              <w:rPr>
                <w:sz w:val="20"/>
                <w:szCs w:val="20"/>
              </w:rPr>
            </w:pPr>
            <w:r w:rsidRPr="008B6A75">
              <w:rPr>
                <w:sz w:val="20"/>
                <w:szCs w:val="20"/>
              </w:rPr>
              <w:t>Иные бюджетные ассигнования</w:t>
            </w:r>
          </w:p>
        </w:tc>
        <w:tc>
          <w:tcPr>
            <w:tcW w:w="720" w:type="dxa"/>
            <w:tcBorders>
              <w:top w:val="nil"/>
              <w:left w:val="single" w:sz="4" w:space="0" w:color="auto"/>
              <w:bottom w:val="single" w:sz="4" w:space="0" w:color="auto"/>
              <w:right w:val="nil"/>
            </w:tcBorders>
            <w:shd w:val="clear" w:color="auto" w:fill="auto"/>
            <w:noWrap/>
            <w:vAlign w:val="center"/>
            <w:hideMark/>
          </w:tcPr>
          <w:p w14:paraId="3FF05CAF" w14:textId="77777777" w:rsidR="00387142" w:rsidRPr="008B6A75" w:rsidRDefault="00387142" w:rsidP="00387142">
            <w:pPr>
              <w:jc w:val="center"/>
              <w:rPr>
                <w:sz w:val="20"/>
                <w:szCs w:val="20"/>
              </w:rPr>
            </w:pPr>
            <w:r w:rsidRPr="008B6A75">
              <w:rPr>
                <w:sz w:val="20"/>
                <w:szCs w:val="20"/>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3206E55" w14:textId="77777777" w:rsidR="00387142" w:rsidRPr="008B6A75" w:rsidRDefault="00387142" w:rsidP="00387142">
            <w:pPr>
              <w:jc w:val="center"/>
              <w:rPr>
                <w:sz w:val="20"/>
                <w:szCs w:val="20"/>
              </w:rPr>
            </w:pPr>
            <w:r w:rsidRPr="008B6A75">
              <w:rPr>
                <w:sz w:val="20"/>
                <w:szCs w:val="20"/>
              </w:rPr>
              <w:t>10</w:t>
            </w:r>
          </w:p>
        </w:tc>
        <w:tc>
          <w:tcPr>
            <w:tcW w:w="1516" w:type="dxa"/>
            <w:tcBorders>
              <w:top w:val="nil"/>
              <w:left w:val="single" w:sz="4" w:space="0" w:color="auto"/>
              <w:bottom w:val="single" w:sz="4" w:space="0" w:color="auto"/>
              <w:right w:val="nil"/>
            </w:tcBorders>
            <w:shd w:val="clear" w:color="auto" w:fill="auto"/>
            <w:noWrap/>
            <w:vAlign w:val="center"/>
            <w:hideMark/>
          </w:tcPr>
          <w:p w14:paraId="0E3574AB" w14:textId="77777777" w:rsidR="00387142" w:rsidRPr="008B6A75" w:rsidRDefault="00387142" w:rsidP="00387142">
            <w:pPr>
              <w:jc w:val="center"/>
              <w:rPr>
                <w:sz w:val="20"/>
                <w:szCs w:val="20"/>
              </w:rPr>
            </w:pPr>
            <w:r w:rsidRPr="008B6A75">
              <w:rPr>
                <w:sz w:val="20"/>
                <w:szCs w:val="20"/>
              </w:rPr>
              <w:t>18.0.00.03190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3C98A08" w14:textId="77777777" w:rsidR="00387142" w:rsidRPr="008B6A75" w:rsidRDefault="00387142" w:rsidP="00387142">
            <w:pPr>
              <w:jc w:val="center"/>
              <w:rPr>
                <w:sz w:val="20"/>
                <w:szCs w:val="20"/>
              </w:rPr>
            </w:pPr>
            <w:r w:rsidRPr="008B6A75">
              <w:rPr>
                <w:sz w:val="20"/>
                <w:szCs w:val="20"/>
              </w:rPr>
              <w:t>800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5C13171" w14:textId="77777777" w:rsidR="00387142" w:rsidRPr="008B6A75" w:rsidRDefault="00387142" w:rsidP="00387142">
            <w:pPr>
              <w:jc w:val="right"/>
              <w:rPr>
                <w:sz w:val="20"/>
                <w:szCs w:val="20"/>
              </w:rPr>
            </w:pPr>
            <w:r w:rsidRPr="008B6A75">
              <w:rPr>
                <w:sz w:val="20"/>
                <w:szCs w:val="20"/>
              </w:rPr>
              <w:t>9 982,16</w:t>
            </w:r>
          </w:p>
        </w:tc>
        <w:tc>
          <w:tcPr>
            <w:tcW w:w="992" w:type="dxa"/>
            <w:tcBorders>
              <w:top w:val="nil"/>
              <w:left w:val="single" w:sz="4" w:space="0" w:color="auto"/>
              <w:bottom w:val="single" w:sz="4" w:space="0" w:color="auto"/>
              <w:right w:val="nil"/>
            </w:tcBorders>
            <w:shd w:val="clear" w:color="auto" w:fill="auto"/>
            <w:vAlign w:val="center"/>
            <w:hideMark/>
          </w:tcPr>
          <w:p w14:paraId="6F92A266" w14:textId="77777777" w:rsidR="00387142" w:rsidRPr="008B6A75" w:rsidRDefault="00387142" w:rsidP="00387142">
            <w:pPr>
              <w:jc w:val="right"/>
              <w:rPr>
                <w:sz w:val="20"/>
                <w:szCs w:val="20"/>
              </w:rPr>
            </w:pPr>
            <w:r w:rsidRPr="008B6A75">
              <w:rPr>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676D27E7" w14:textId="77777777" w:rsidR="00387142" w:rsidRPr="008B6A75" w:rsidRDefault="00387142" w:rsidP="00387142">
            <w:pPr>
              <w:jc w:val="right"/>
              <w:rPr>
                <w:sz w:val="20"/>
                <w:szCs w:val="20"/>
              </w:rPr>
            </w:pPr>
            <w:r w:rsidRPr="008B6A75">
              <w:rPr>
                <w:sz w:val="20"/>
                <w:szCs w:val="20"/>
              </w:rPr>
              <w:t>0,00</w:t>
            </w:r>
          </w:p>
        </w:tc>
      </w:tr>
      <w:tr w:rsidR="00387142" w:rsidRPr="008B6A75" w14:paraId="118F3974" w14:textId="77777777" w:rsidTr="00387142">
        <w:trPr>
          <w:trHeight w:val="345"/>
        </w:trPr>
        <w:tc>
          <w:tcPr>
            <w:tcW w:w="3261" w:type="dxa"/>
            <w:tcBorders>
              <w:top w:val="nil"/>
              <w:left w:val="single" w:sz="4" w:space="0" w:color="auto"/>
              <w:bottom w:val="single" w:sz="4" w:space="0" w:color="auto"/>
              <w:right w:val="nil"/>
            </w:tcBorders>
            <w:shd w:val="clear" w:color="auto" w:fill="auto"/>
            <w:vAlign w:val="center"/>
            <w:hideMark/>
          </w:tcPr>
          <w:p w14:paraId="6ADB7AC9" w14:textId="77777777" w:rsidR="00387142" w:rsidRPr="008B6A75" w:rsidRDefault="00387142" w:rsidP="00387142">
            <w:pPr>
              <w:rPr>
                <w:sz w:val="20"/>
                <w:szCs w:val="20"/>
              </w:rPr>
            </w:pPr>
            <w:r w:rsidRPr="008B6A75">
              <w:rPr>
                <w:sz w:val="20"/>
                <w:szCs w:val="20"/>
              </w:rPr>
              <w:t>Уплата налогов, сборов и иных платежей</w:t>
            </w:r>
          </w:p>
        </w:tc>
        <w:tc>
          <w:tcPr>
            <w:tcW w:w="720" w:type="dxa"/>
            <w:tcBorders>
              <w:top w:val="nil"/>
              <w:left w:val="single" w:sz="4" w:space="0" w:color="auto"/>
              <w:bottom w:val="single" w:sz="4" w:space="0" w:color="auto"/>
              <w:right w:val="nil"/>
            </w:tcBorders>
            <w:shd w:val="clear" w:color="auto" w:fill="auto"/>
            <w:noWrap/>
            <w:vAlign w:val="center"/>
            <w:hideMark/>
          </w:tcPr>
          <w:p w14:paraId="0102525B" w14:textId="77777777" w:rsidR="00387142" w:rsidRPr="008B6A75" w:rsidRDefault="00387142" w:rsidP="00387142">
            <w:pPr>
              <w:jc w:val="center"/>
              <w:rPr>
                <w:sz w:val="20"/>
                <w:szCs w:val="20"/>
              </w:rPr>
            </w:pPr>
            <w:r w:rsidRPr="008B6A75">
              <w:rPr>
                <w:sz w:val="20"/>
                <w:szCs w:val="20"/>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11E1EBC" w14:textId="77777777" w:rsidR="00387142" w:rsidRPr="008B6A75" w:rsidRDefault="00387142" w:rsidP="00387142">
            <w:pPr>
              <w:jc w:val="center"/>
              <w:rPr>
                <w:sz w:val="20"/>
                <w:szCs w:val="20"/>
              </w:rPr>
            </w:pPr>
            <w:r w:rsidRPr="008B6A75">
              <w:rPr>
                <w:sz w:val="20"/>
                <w:szCs w:val="20"/>
              </w:rPr>
              <w:t>10</w:t>
            </w:r>
          </w:p>
        </w:tc>
        <w:tc>
          <w:tcPr>
            <w:tcW w:w="1516" w:type="dxa"/>
            <w:tcBorders>
              <w:top w:val="nil"/>
              <w:left w:val="single" w:sz="4" w:space="0" w:color="auto"/>
              <w:bottom w:val="single" w:sz="4" w:space="0" w:color="auto"/>
              <w:right w:val="nil"/>
            </w:tcBorders>
            <w:shd w:val="clear" w:color="auto" w:fill="auto"/>
            <w:noWrap/>
            <w:vAlign w:val="center"/>
            <w:hideMark/>
          </w:tcPr>
          <w:p w14:paraId="0B8DFC8D" w14:textId="77777777" w:rsidR="00387142" w:rsidRPr="008B6A75" w:rsidRDefault="00387142" w:rsidP="00387142">
            <w:pPr>
              <w:jc w:val="center"/>
              <w:rPr>
                <w:sz w:val="20"/>
                <w:szCs w:val="20"/>
              </w:rPr>
            </w:pPr>
            <w:r w:rsidRPr="008B6A75">
              <w:rPr>
                <w:sz w:val="20"/>
                <w:szCs w:val="20"/>
              </w:rPr>
              <w:t>18.0.00.03190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11E5B87" w14:textId="77777777" w:rsidR="00387142" w:rsidRPr="008B6A75" w:rsidRDefault="00387142" w:rsidP="00387142">
            <w:pPr>
              <w:jc w:val="center"/>
              <w:rPr>
                <w:sz w:val="20"/>
                <w:szCs w:val="20"/>
              </w:rPr>
            </w:pPr>
            <w:r w:rsidRPr="008B6A75">
              <w:rPr>
                <w:sz w:val="20"/>
                <w:szCs w:val="20"/>
              </w:rPr>
              <w:t>850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4AA2D9F" w14:textId="77777777" w:rsidR="00387142" w:rsidRPr="008B6A75" w:rsidRDefault="00387142" w:rsidP="00387142">
            <w:pPr>
              <w:jc w:val="right"/>
              <w:rPr>
                <w:sz w:val="20"/>
                <w:szCs w:val="20"/>
              </w:rPr>
            </w:pPr>
            <w:r w:rsidRPr="008B6A75">
              <w:rPr>
                <w:sz w:val="20"/>
                <w:szCs w:val="20"/>
              </w:rPr>
              <w:t>9 982,16</w:t>
            </w:r>
          </w:p>
        </w:tc>
        <w:tc>
          <w:tcPr>
            <w:tcW w:w="992" w:type="dxa"/>
            <w:tcBorders>
              <w:top w:val="nil"/>
              <w:left w:val="single" w:sz="4" w:space="0" w:color="auto"/>
              <w:bottom w:val="single" w:sz="4" w:space="0" w:color="auto"/>
              <w:right w:val="nil"/>
            </w:tcBorders>
            <w:shd w:val="clear" w:color="auto" w:fill="auto"/>
            <w:vAlign w:val="center"/>
            <w:hideMark/>
          </w:tcPr>
          <w:p w14:paraId="6FA515F5" w14:textId="77777777" w:rsidR="00387142" w:rsidRPr="008B6A75" w:rsidRDefault="00387142" w:rsidP="00387142">
            <w:pPr>
              <w:jc w:val="right"/>
              <w:rPr>
                <w:sz w:val="20"/>
                <w:szCs w:val="20"/>
              </w:rPr>
            </w:pPr>
            <w:r w:rsidRPr="008B6A75">
              <w:rPr>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2B48591B" w14:textId="77777777" w:rsidR="00387142" w:rsidRPr="008B6A75" w:rsidRDefault="00387142" w:rsidP="00387142">
            <w:pPr>
              <w:jc w:val="right"/>
              <w:rPr>
                <w:sz w:val="20"/>
                <w:szCs w:val="20"/>
              </w:rPr>
            </w:pPr>
            <w:r w:rsidRPr="008B6A75">
              <w:rPr>
                <w:sz w:val="20"/>
                <w:szCs w:val="20"/>
              </w:rPr>
              <w:t>0,00</w:t>
            </w:r>
          </w:p>
        </w:tc>
      </w:tr>
      <w:tr w:rsidR="00387142" w:rsidRPr="008B6A75" w14:paraId="0C66977F" w14:textId="77777777" w:rsidTr="00387142">
        <w:trPr>
          <w:trHeight w:val="1155"/>
        </w:trPr>
        <w:tc>
          <w:tcPr>
            <w:tcW w:w="3261" w:type="dxa"/>
            <w:tcBorders>
              <w:top w:val="nil"/>
              <w:left w:val="single" w:sz="4" w:space="0" w:color="auto"/>
              <w:bottom w:val="single" w:sz="4" w:space="0" w:color="auto"/>
              <w:right w:val="nil"/>
            </w:tcBorders>
            <w:shd w:val="clear" w:color="auto" w:fill="auto"/>
            <w:vAlign w:val="center"/>
            <w:hideMark/>
          </w:tcPr>
          <w:p w14:paraId="3E9BC60C" w14:textId="77777777" w:rsidR="00387142" w:rsidRPr="008B6A75" w:rsidRDefault="00387142" w:rsidP="00387142">
            <w:pPr>
              <w:rPr>
                <w:bCs/>
                <w:sz w:val="20"/>
                <w:szCs w:val="20"/>
              </w:rPr>
            </w:pPr>
            <w:r w:rsidRPr="008B6A75">
              <w:rPr>
                <w:bCs/>
                <w:sz w:val="20"/>
                <w:szCs w:val="20"/>
              </w:rPr>
              <w:t>Реализация мероприятий муниципальной программы «Обеспечение безопасности жизнедеятельности населения Куйбышевского района»</w:t>
            </w:r>
          </w:p>
        </w:tc>
        <w:tc>
          <w:tcPr>
            <w:tcW w:w="720" w:type="dxa"/>
            <w:tcBorders>
              <w:top w:val="nil"/>
              <w:left w:val="single" w:sz="4" w:space="0" w:color="auto"/>
              <w:bottom w:val="single" w:sz="4" w:space="0" w:color="auto"/>
              <w:right w:val="nil"/>
            </w:tcBorders>
            <w:shd w:val="clear" w:color="auto" w:fill="auto"/>
            <w:noWrap/>
            <w:vAlign w:val="center"/>
            <w:hideMark/>
          </w:tcPr>
          <w:p w14:paraId="790988F5" w14:textId="77777777" w:rsidR="00387142" w:rsidRPr="008B6A75" w:rsidRDefault="00387142" w:rsidP="00387142">
            <w:pPr>
              <w:jc w:val="center"/>
              <w:rPr>
                <w:bCs/>
                <w:sz w:val="20"/>
                <w:szCs w:val="20"/>
              </w:rPr>
            </w:pPr>
            <w:r w:rsidRPr="008B6A75">
              <w:rPr>
                <w:bCs/>
                <w:sz w:val="20"/>
                <w:szCs w:val="20"/>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DD80D98" w14:textId="77777777" w:rsidR="00387142" w:rsidRPr="008B6A75" w:rsidRDefault="00387142" w:rsidP="00387142">
            <w:pPr>
              <w:jc w:val="center"/>
              <w:rPr>
                <w:bCs/>
                <w:sz w:val="20"/>
                <w:szCs w:val="20"/>
              </w:rPr>
            </w:pPr>
            <w:r w:rsidRPr="008B6A75">
              <w:rPr>
                <w:bCs/>
                <w:sz w:val="20"/>
                <w:szCs w:val="20"/>
              </w:rPr>
              <w:t>10</w:t>
            </w:r>
          </w:p>
        </w:tc>
        <w:tc>
          <w:tcPr>
            <w:tcW w:w="1516" w:type="dxa"/>
            <w:tcBorders>
              <w:top w:val="nil"/>
              <w:left w:val="single" w:sz="4" w:space="0" w:color="auto"/>
              <w:bottom w:val="single" w:sz="4" w:space="0" w:color="auto"/>
              <w:right w:val="nil"/>
            </w:tcBorders>
            <w:shd w:val="clear" w:color="auto" w:fill="auto"/>
            <w:noWrap/>
            <w:vAlign w:val="center"/>
            <w:hideMark/>
          </w:tcPr>
          <w:p w14:paraId="648E8451" w14:textId="77777777" w:rsidR="00387142" w:rsidRPr="008B6A75" w:rsidRDefault="00387142" w:rsidP="00387142">
            <w:pPr>
              <w:jc w:val="center"/>
              <w:rPr>
                <w:bCs/>
                <w:sz w:val="20"/>
                <w:szCs w:val="20"/>
              </w:rPr>
            </w:pPr>
            <w:r w:rsidRPr="008B6A75">
              <w:rPr>
                <w:bCs/>
                <w:sz w:val="20"/>
                <w:szCs w:val="20"/>
              </w:rPr>
              <w:t>18.0.00.03950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A76FA42"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16B7FDB" w14:textId="77777777" w:rsidR="00387142" w:rsidRPr="008B6A75" w:rsidRDefault="00387142" w:rsidP="00387142">
            <w:pPr>
              <w:jc w:val="right"/>
              <w:rPr>
                <w:bCs/>
                <w:sz w:val="20"/>
                <w:szCs w:val="20"/>
              </w:rPr>
            </w:pPr>
            <w:r w:rsidRPr="008B6A75">
              <w:rPr>
                <w:bCs/>
                <w:sz w:val="20"/>
                <w:szCs w:val="20"/>
              </w:rPr>
              <w:t>4 978 118,89</w:t>
            </w:r>
          </w:p>
        </w:tc>
        <w:tc>
          <w:tcPr>
            <w:tcW w:w="992" w:type="dxa"/>
            <w:tcBorders>
              <w:top w:val="nil"/>
              <w:left w:val="single" w:sz="4" w:space="0" w:color="auto"/>
              <w:bottom w:val="single" w:sz="4" w:space="0" w:color="auto"/>
              <w:right w:val="nil"/>
            </w:tcBorders>
            <w:shd w:val="clear" w:color="auto" w:fill="auto"/>
            <w:vAlign w:val="center"/>
            <w:hideMark/>
          </w:tcPr>
          <w:p w14:paraId="2414D225" w14:textId="77777777" w:rsidR="00387142" w:rsidRPr="008B6A75" w:rsidRDefault="00387142" w:rsidP="00387142">
            <w:pPr>
              <w:jc w:val="right"/>
              <w:rPr>
                <w:bCs/>
                <w:sz w:val="20"/>
                <w:szCs w:val="20"/>
              </w:rPr>
            </w:pPr>
            <w:r w:rsidRPr="008B6A75">
              <w:rPr>
                <w:bCs/>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4DCEAA42" w14:textId="77777777" w:rsidR="00387142" w:rsidRPr="008B6A75" w:rsidRDefault="00387142" w:rsidP="00387142">
            <w:pPr>
              <w:jc w:val="right"/>
              <w:rPr>
                <w:bCs/>
                <w:sz w:val="20"/>
                <w:szCs w:val="20"/>
              </w:rPr>
            </w:pPr>
            <w:r w:rsidRPr="008B6A75">
              <w:rPr>
                <w:bCs/>
                <w:sz w:val="20"/>
                <w:szCs w:val="20"/>
              </w:rPr>
              <w:t>0,00</w:t>
            </w:r>
          </w:p>
        </w:tc>
      </w:tr>
      <w:tr w:rsidR="00387142" w:rsidRPr="008B6A75" w14:paraId="2D60A5D9" w14:textId="77777777" w:rsidTr="00387142">
        <w:trPr>
          <w:trHeight w:val="1440"/>
        </w:trPr>
        <w:tc>
          <w:tcPr>
            <w:tcW w:w="3261" w:type="dxa"/>
            <w:tcBorders>
              <w:top w:val="nil"/>
              <w:left w:val="single" w:sz="4" w:space="0" w:color="auto"/>
              <w:bottom w:val="single" w:sz="4" w:space="0" w:color="auto"/>
              <w:right w:val="nil"/>
            </w:tcBorders>
            <w:shd w:val="clear" w:color="auto" w:fill="auto"/>
            <w:vAlign w:val="center"/>
            <w:hideMark/>
          </w:tcPr>
          <w:p w14:paraId="56CE9DBB" w14:textId="77777777" w:rsidR="00387142" w:rsidRPr="008B6A75" w:rsidRDefault="00387142" w:rsidP="00387142">
            <w:pPr>
              <w:rPr>
                <w:sz w:val="20"/>
                <w:szCs w:val="20"/>
              </w:rPr>
            </w:pPr>
            <w:r w:rsidRPr="008B6A7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14:paraId="4F85EA6C" w14:textId="77777777" w:rsidR="00387142" w:rsidRPr="008B6A75" w:rsidRDefault="00387142" w:rsidP="00387142">
            <w:pPr>
              <w:jc w:val="center"/>
              <w:rPr>
                <w:sz w:val="20"/>
                <w:szCs w:val="20"/>
              </w:rPr>
            </w:pPr>
            <w:r w:rsidRPr="008B6A75">
              <w:rPr>
                <w:sz w:val="20"/>
                <w:szCs w:val="20"/>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F7F02C1" w14:textId="77777777" w:rsidR="00387142" w:rsidRPr="008B6A75" w:rsidRDefault="00387142" w:rsidP="00387142">
            <w:pPr>
              <w:jc w:val="center"/>
              <w:rPr>
                <w:sz w:val="20"/>
                <w:szCs w:val="20"/>
              </w:rPr>
            </w:pPr>
            <w:r w:rsidRPr="008B6A75">
              <w:rPr>
                <w:sz w:val="20"/>
                <w:szCs w:val="20"/>
              </w:rPr>
              <w:t>10</w:t>
            </w:r>
          </w:p>
        </w:tc>
        <w:tc>
          <w:tcPr>
            <w:tcW w:w="1516" w:type="dxa"/>
            <w:tcBorders>
              <w:top w:val="nil"/>
              <w:left w:val="single" w:sz="4" w:space="0" w:color="auto"/>
              <w:bottom w:val="single" w:sz="4" w:space="0" w:color="auto"/>
              <w:right w:val="nil"/>
            </w:tcBorders>
            <w:shd w:val="clear" w:color="auto" w:fill="auto"/>
            <w:noWrap/>
            <w:vAlign w:val="center"/>
            <w:hideMark/>
          </w:tcPr>
          <w:p w14:paraId="269997EE" w14:textId="77777777" w:rsidR="00387142" w:rsidRPr="008B6A75" w:rsidRDefault="00387142" w:rsidP="00387142">
            <w:pPr>
              <w:jc w:val="center"/>
              <w:rPr>
                <w:sz w:val="20"/>
                <w:szCs w:val="20"/>
              </w:rPr>
            </w:pPr>
            <w:r w:rsidRPr="008B6A75">
              <w:rPr>
                <w:sz w:val="20"/>
                <w:szCs w:val="20"/>
              </w:rPr>
              <w:t>18.0.00.03950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D665BED" w14:textId="77777777" w:rsidR="00387142" w:rsidRPr="008B6A75" w:rsidRDefault="00387142" w:rsidP="00387142">
            <w:pPr>
              <w:jc w:val="center"/>
              <w:rPr>
                <w:sz w:val="20"/>
                <w:szCs w:val="20"/>
              </w:rPr>
            </w:pPr>
            <w:r w:rsidRPr="008B6A75">
              <w:rPr>
                <w:sz w:val="20"/>
                <w:szCs w:val="20"/>
              </w:rPr>
              <w:t>100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AE18478" w14:textId="77777777" w:rsidR="00387142" w:rsidRPr="008B6A75" w:rsidRDefault="00387142" w:rsidP="00387142">
            <w:pPr>
              <w:jc w:val="right"/>
              <w:rPr>
                <w:sz w:val="20"/>
                <w:szCs w:val="20"/>
              </w:rPr>
            </w:pPr>
            <w:r w:rsidRPr="008B6A75">
              <w:rPr>
                <w:sz w:val="20"/>
                <w:szCs w:val="20"/>
              </w:rPr>
              <w:t>896 715,44</w:t>
            </w:r>
          </w:p>
        </w:tc>
        <w:tc>
          <w:tcPr>
            <w:tcW w:w="992" w:type="dxa"/>
            <w:tcBorders>
              <w:top w:val="nil"/>
              <w:left w:val="single" w:sz="4" w:space="0" w:color="auto"/>
              <w:bottom w:val="single" w:sz="4" w:space="0" w:color="auto"/>
              <w:right w:val="nil"/>
            </w:tcBorders>
            <w:shd w:val="clear" w:color="auto" w:fill="auto"/>
            <w:vAlign w:val="center"/>
            <w:hideMark/>
          </w:tcPr>
          <w:p w14:paraId="08A39C54" w14:textId="77777777" w:rsidR="00387142" w:rsidRPr="008B6A75" w:rsidRDefault="00387142" w:rsidP="00387142">
            <w:pPr>
              <w:jc w:val="right"/>
              <w:rPr>
                <w:sz w:val="20"/>
                <w:szCs w:val="20"/>
              </w:rPr>
            </w:pPr>
            <w:r w:rsidRPr="008B6A75">
              <w:rPr>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07B106DB" w14:textId="77777777" w:rsidR="00387142" w:rsidRPr="008B6A75" w:rsidRDefault="00387142" w:rsidP="00387142">
            <w:pPr>
              <w:jc w:val="right"/>
              <w:rPr>
                <w:sz w:val="20"/>
                <w:szCs w:val="20"/>
              </w:rPr>
            </w:pPr>
            <w:r w:rsidRPr="008B6A75">
              <w:rPr>
                <w:sz w:val="20"/>
                <w:szCs w:val="20"/>
              </w:rPr>
              <w:t>0,00</w:t>
            </w:r>
          </w:p>
        </w:tc>
      </w:tr>
      <w:tr w:rsidR="00387142" w:rsidRPr="008B6A75" w14:paraId="0DBE448E" w14:textId="77777777" w:rsidTr="00387142">
        <w:trPr>
          <w:trHeight w:val="585"/>
        </w:trPr>
        <w:tc>
          <w:tcPr>
            <w:tcW w:w="3261" w:type="dxa"/>
            <w:tcBorders>
              <w:top w:val="nil"/>
              <w:left w:val="single" w:sz="4" w:space="0" w:color="auto"/>
              <w:bottom w:val="single" w:sz="4" w:space="0" w:color="auto"/>
              <w:right w:val="nil"/>
            </w:tcBorders>
            <w:shd w:val="clear" w:color="auto" w:fill="auto"/>
            <w:vAlign w:val="center"/>
            <w:hideMark/>
          </w:tcPr>
          <w:p w14:paraId="6FC748B3" w14:textId="77777777" w:rsidR="00387142" w:rsidRPr="008B6A75" w:rsidRDefault="00387142" w:rsidP="00387142">
            <w:pPr>
              <w:rPr>
                <w:sz w:val="20"/>
                <w:szCs w:val="20"/>
              </w:rPr>
            </w:pPr>
            <w:r w:rsidRPr="008B6A75">
              <w:rPr>
                <w:sz w:val="20"/>
                <w:szCs w:val="20"/>
              </w:rPr>
              <w:t>Расходы на выплаты персоналу казенных учреждений</w:t>
            </w:r>
          </w:p>
        </w:tc>
        <w:tc>
          <w:tcPr>
            <w:tcW w:w="720" w:type="dxa"/>
            <w:tcBorders>
              <w:top w:val="nil"/>
              <w:left w:val="single" w:sz="4" w:space="0" w:color="auto"/>
              <w:bottom w:val="single" w:sz="4" w:space="0" w:color="auto"/>
              <w:right w:val="nil"/>
            </w:tcBorders>
            <w:shd w:val="clear" w:color="auto" w:fill="auto"/>
            <w:noWrap/>
            <w:vAlign w:val="center"/>
            <w:hideMark/>
          </w:tcPr>
          <w:p w14:paraId="4B3CF72F" w14:textId="77777777" w:rsidR="00387142" w:rsidRPr="008B6A75" w:rsidRDefault="00387142" w:rsidP="00387142">
            <w:pPr>
              <w:jc w:val="center"/>
              <w:rPr>
                <w:sz w:val="20"/>
                <w:szCs w:val="20"/>
              </w:rPr>
            </w:pPr>
            <w:r w:rsidRPr="008B6A75">
              <w:rPr>
                <w:sz w:val="20"/>
                <w:szCs w:val="20"/>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CE39F29" w14:textId="77777777" w:rsidR="00387142" w:rsidRPr="008B6A75" w:rsidRDefault="00387142" w:rsidP="00387142">
            <w:pPr>
              <w:jc w:val="center"/>
              <w:rPr>
                <w:sz w:val="20"/>
                <w:szCs w:val="20"/>
              </w:rPr>
            </w:pPr>
            <w:r w:rsidRPr="008B6A75">
              <w:rPr>
                <w:sz w:val="20"/>
                <w:szCs w:val="20"/>
              </w:rPr>
              <w:t>10</w:t>
            </w:r>
          </w:p>
        </w:tc>
        <w:tc>
          <w:tcPr>
            <w:tcW w:w="1516" w:type="dxa"/>
            <w:tcBorders>
              <w:top w:val="nil"/>
              <w:left w:val="single" w:sz="4" w:space="0" w:color="auto"/>
              <w:bottom w:val="single" w:sz="4" w:space="0" w:color="auto"/>
              <w:right w:val="nil"/>
            </w:tcBorders>
            <w:shd w:val="clear" w:color="auto" w:fill="auto"/>
            <w:noWrap/>
            <w:vAlign w:val="center"/>
            <w:hideMark/>
          </w:tcPr>
          <w:p w14:paraId="435DE6F9" w14:textId="77777777" w:rsidR="00387142" w:rsidRPr="008B6A75" w:rsidRDefault="00387142" w:rsidP="00387142">
            <w:pPr>
              <w:jc w:val="center"/>
              <w:rPr>
                <w:sz w:val="20"/>
                <w:szCs w:val="20"/>
              </w:rPr>
            </w:pPr>
            <w:r w:rsidRPr="008B6A75">
              <w:rPr>
                <w:sz w:val="20"/>
                <w:szCs w:val="20"/>
              </w:rPr>
              <w:t>18.0.00.03950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472BAB3" w14:textId="77777777" w:rsidR="00387142" w:rsidRPr="008B6A75" w:rsidRDefault="00387142" w:rsidP="00387142">
            <w:pPr>
              <w:jc w:val="center"/>
              <w:rPr>
                <w:sz w:val="20"/>
                <w:szCs w:val="20"/>
              </w:rPr>
            </w:pPr>
            <w:r w:rsidRPr="008B6A75">
              <w:rPr>
                <w:sz w:val="20"/>
                <w:szCs w:val="20"/>
              </w:rPr>
              <w:t>110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0710925" w14:textId="77777777" w:rsidR="00387142" w:rsidRPr="008B6A75" w:rsidRDefault="00387142" w:rsidP="00387142">
            <w:pPr>
              <w:jc w:val="right"/>
              <w:rPr>
                <w:sz w:val="20"/>
                <w:szCs w:val="20"/>
              </w:rPr>
            </w:pPr>
            <w:r w:rsidRPr="008B6A75">
              <w:rPr>
                <w:sz w:val="20"/>
                <w:szCs w:val="20"/>
              </w:rPr>
              <w:t>896 715,44</w:t>
            </w:r>
          </w:p>
        </w:tc>
        <w:tc>
          <w:tcPr>
            <w:tcW w:w="992" w:type="dxa"/>
            <w:tcBorders>
              <w:top w:val="nil"/>
              <w:left w:val="single" w:sz="4" w:space="0" w:color="auto"/>
              <w:bottom w:val="single" w:sz="4" w:space="0" w:color="auto"/>
              <w:right w:val="nil"/>
            </w:tcBorders>
            <w:shd w:val="clear" w:color="auto" w:fill="auto"/>
            <w:vAlign w:val="center"/>
            <w:hideMark/>
          </w:tcPr>
          <w:p w14:paraId="4B78990C" w14:textId="77777777" w:rsidR="00387142" w:rsidRPr="008B6A75" w:rsidRDefault="00387142" w:rsidP="00387142">
            <w:pPr>
              <w:jc w:val="right"/>
              <w:rPr>
                <w:sz w:val="20"/>
                <w:szCs w:val="20"/>
              </w:rPr>
            </w:pPr>
            <w:r w:rsidRPr="008B6A75">
              <w:rPr>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6C943B92" w14:textId="77777777" w:rsidR="00387142" w:rsidRPr="008B6A75" w:rsidRDefault="00387142" w:rsidP="00387142">
            <w:pPr>
              <w:jc w:val="right"/>
              <w:rPr>
                <w:sz w:val="20"/>
                <w:szCs w:val="20"/>
              </w:rPr>
            </w:pPr>
            <w:r w:rsidRPr="008B6A75">
              <w:rPr>
                <w:sz w:val="20"/>
                <w:szCs w:val="20"/>
              </w:rPr>
              <w:t>0,00</w:t>
            </w:r>
          </w:p>
        </w:tc>
      </w:tr>
      <w:tr w:rsidR="00387142" w:rsidRPr="008B6A75" w14:paraId="0428E4DE" w14:textId="77777777" w:rsidTr="00387142">
        <w:trPr>
          <w:trHeight w:val="585"/>
        </w:trPr>
        <w:tc>
          <w:tcPr>
            <w:tcW w:w="3261" w:type="dxa"/>
            <w:tcBorders>
              <w:top w:val="nil"/>
              <w:left w:val="single" w:sz="4" w:space="0" w:color="auto"/>
              <w:bottom w:val="single" w:sz="4" w:space="0" w:color="auto"/>
              <w:right w:val="nil"/>
            </w:tcBorders>
            <w:shd w:val="clear" w:color="auto" w:fill="auto"/>
            <w:vAlign w:val="center"/>
            <w:hideMark/>
          </w:tcPr>
          <w:p w14:paraId="5758C072" w14:textId="77777777" w:rsidR="00387142" w:rsidRPr="008B6A75" w:rsidRDefault="00387142" w:rsidP="00387142">
            <w:pPr>
              <w:rPr>
                <w:sz w:val="20"/>
                <w:szCs w:val="20"/>
              </w:rPr>
            </w:pPr>
            <w:r w:rsidRPr="008B6A75">
              <w:rPr>
                <w:sz w:val="20"/>
                <w:szCs w:val="20"/>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02DBAC7C" w14:textId="77777777" w:rsidR="00387142" w:rsidRPr="008B6A75" w:rsidRDefault="00387142" w:rsidP="00387142">
            <w:pPr>
              <w:jc w:val="center"/>
              <w:rPr>
                <w:sz w:val="20"/>
                <w:szCs w:val="20"/>
              </w:rPr>
            </w:pPr>
            <w:r w:rsidRPr="008B6A75">
              <w:rPr>
                <w:sz w:val="20"/>
                <w:szCs w:val="20"/>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074C712" w14:textId="77777777" w:rsidR="00387142" w:rsidRPr="008B6A75" w:rsidRDefault="00387142" w:rsidP="00387142">
            <w:pPr>
              <w:jc w:val="center"/>
              <w:rPr>
                <w:sz w:val="20"/>
                <w:szCs w:val="20"/>
              </w:rPr>
            </w:pPr>
            <w:r w:rsidRPr="008B6A75">
              <w:rPr>
                <w:sz w:val="20"/>
                <w:szCs w:val="20"/>
              </w:rPr>
              <w:t>10</w:t>
            </w:r>
          </w:p>
        </w:tc>
        <w:tc>
          <w:tcPr>
            <w:tcW w:w="1516" w:type="dxa"/>
            <w:tcBorders>
              <w:top w:val="nil"/>
              <w:left w:val="single" w:sz="4" w:space="0" w:color="auto"/>
              <w:bottom w:val="single" w:sz="4" w:space="0" w:color="auto"/>
              <w:right w:val="nil"/>
            </w:tcBorders>
            <w:shd w:val="clear" w:color="auto" w:fill="auto"/>
            <w:noWrap/>
            <w:vAlign w:val="center"/>
            <w:hideMark/>
          </w:tcPr>
          <w:p w14:paraId="5B05D5F5" w14:textId="77777777" w:rsidR="00387142" w:rsidRPr="008B6A75" w:rsidRDefault="00387142" w:rsidP="00387142">
            <w:pPr>
              <w:jc w:val="center"/>
              <w:rPr>
                <w:sz w:val="20"/>
                <w:szCs w:val="20"/>
              </w:rPr>
            </w:pPr>
            <w:r w:rsidRPr="008B6A75">
              <w:rPr>
                <w:sz w:val="20"/>
                <w:szCs w:val="20"/>
              </w:rPr>
              <w:t>18.0.00.03950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9EDEF60" w14:textId="77777777" w:rsidR="00387142" w:rsidRPr="008B6A75" w:rsidRDefault="00387142" w:rsidP="00387142">
            <w:pPr>
              <w:jc w:val="center"/>
              <w:rPr>
                <w:sz w:val="20"/>
                <w:szCs w:val="20"/>
              </w:rPr>
            </w:pPr>
            <w:r w:rsidRPr="008B6A75">
              <w:rPr>
                <w:sz w:val="20"/>
                <w:szCs w:val="20"/>
              </w:rPr>
              <w:t>200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804E169" w14:textId="77777777" w:rsidR="00387142" w:rsidRPr="008B6A75" w:rsidRDefault="00387142" w:rsidP="00387142">
            <w:pPr>
              <w:jc w:val="right"/>
              <w:rPr>
                <w:sz w:val="20"/>
                <w:szCs w:val="20"/>
              </w:rPr>
            </w:pPr>
            <w:r w:rsidRPr="008B6A75">
              <w:rPr>
                <w:sz w:val="20"/>
                <w:szCs w:val="20"/>
              </w:rPr>
              <w:t>2 912 603,45</w:t>
            </w:r>
          </w:p>
        </w:tc>
        <w:tc>
          <w:tcPr>
            <w:tcW w:w="992" w:type="dxa"/>
            <w:tcBorders>
              <w:top w:val="nil"/>
              <w:left w:val="single" w:sz="4" w:space="0" w:color="auto"/>
              <w:bottom w:val="single" w:sz="4" w:space="0" w:color="auto"/>
              <w:right w:val="nil"/>
            </w:tcBorders>
            <w:shd w:val="clear" w:color="auto" w:fill="auto"/>
            <w:vAlign w:val="center"/>
            <w:hideMark/>
          </w:tcPr>
          <w:p w14:paraId="3E484113" w14:textId="77777777" w:rsidR="00387142" w:rsidRPr="008B6A75" w:rsidRDefault="00387142" w:rsidP="00387142">
            <w:pPr>
              <w:jc w:val="right"/>
              <w:rPr>
                <w:sz w:val="20"/>
                <w:szCs w:val="20"/>
              </w:rPr>
            </w:pPr>
            <w:r w:rsidRPr="008B6A75">
              <w:rPr>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74F55E20" w14:textId="77777777" w:rsidR="00387142" w:rsidRPr="008B6A75" w:rsidRDefault="00387142" w:rsidP="00387142">
            <w:pPr>
              <w:jc w:val="right"/>
              <w:rPr>
                <w:sz w:val="20"/>
                <w:szCs w:val="20"/>
              </w:rPr>
            </w:pPr>
            <w:r w:rsidRPr="008B6A75">
              <w:rPr>
                <w:sz w:val="20"/>
                <w:szCs w:val="20"/>
              </w:rPr>
              <w:t>0,00</w:t>
            </w:r>
          </w:p>
        </w:tc>
      </w:tr>
      <w:tr w:rsidR="00387142" w:rsidRPr="008B6A75" w14:paraId="71FEE68A" w14:textId="77777777" w:rsidTr="00387142">
        <w:trPr>
          <w:trHeight w:val="870"/>
        </w:trPr>
        <w:tc>
          <w:tcPr>
            <w:tcW w:w="3261" w:type="dxa"/>
            <w:tcBorders>
              <w:top w:val="nil"/>
              <w:left w:val="single" w:sz="4" w:space="0" w:color="auto"/>
              <w:bottom w:val="single" w:sz="4" w:space="0" w:color="auto"/>
              <w:right w:val="nil"/>
            </w:tcBorders>
            <w:shd w:val="clear" w:color="auto" w:fill="auto"/>
            <w:vAlign w:val="center"/>
            <w:hideMark/>
          </w:tcPr>
          <w:p w14:paraId="2FE0DA36" w14:textId="77777777" w:rsidR="00387142" w:rsidRPr="008B6A75" w:rsidRDefault="00387142" w:rsidP="00387142">
            <w:pPr>
              <w:rPr>
                <w:sz w:val="20"/>
                <w:szCs w:val="20"/>
              </w:rPr>
            </w:pPr>
            <w:r w:rsidRPr="008B6A75">
              <w:rPr>
                <w:sz w:val="20"/>
                <w:szCs w:val="20"/>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602020FB" w14:textId="77777777" w:rsidR="00387142" w:rsidRPr="008B6A75" w:rsidRDefault="00387142" w:rsidP="00387142">
            <w:pPr>
              <w:jc w:val="center"/>
              <w:rPr>
                <w:sz w:val="20"/>
                <w:szCs w:val="20"/>
              </w:rPr>
            </w:pPr>
            <w:r w:rsidRPr="008B6A75">
              <w:rPr>
                <w:sz w:val="20"/>
                <w:szCs w:val="20"/>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B9E3571" w14:textId="77777777" w:rsidR="00387142" w:rsidRPr="008B6A75" w:rsidRDefault="00387142" w:rsidP="00387142">
            <w:pPr>
              <w:jc w:val="center"/>
              <w:rPr>
                <w:sz w:val="20"/>
                <w:szCs w:val="20"/>
              </w:rPr>
            </w:pPr>
            <w:r w:rsidRPr="008B6A75">
              <w:rPr>
                <w:sz w:val="20"/>
                <w:szCs w:val="20"/>
              </w:rPr>
              <w:t>10</w:t>
            </w:r>
          </w:p>
        </w:tc>
        <w:tc>
          <w:tcPr>
            <w:tcW w:w="1516" w:type="dxa"/>
            <w:tcBorders>
              <w:top w:val="nil"/>
              <w:left w:val="single" w:sz="4" w:space="0" w:color="auto"/>
              <w:bottom w:val="single" w:sz="4" w:space="0" w:color="auto"/>
              <w:right w:val="nil"/>
            </w:tcBorders>
            <w:shd w:val="clear" w:color="auto" w:fill="auto"/>
            <w:noWrap/>
            <w:vAlign w:val="center"/>
            <w:hideMark/>
          </w:tcPr>
          <w:p w14:paraId="0F751E59" w14:textId="77777777" w:rsidR="00387142" w:rsidRPr="008B6A75" w:rsidRDefault="00387142" w:rsidP="00387142">
            <w:pPr>
              <w:jc w:val="center"/>
              <w:rPr>
                <w:sz w:val="20"/>
                <w:szCs w:val="20"/>
              </w:rPr>
            </w:pPr>
            <w:r w:rsidRPr="008B6A75">
              <w:rPr>
                <w:sz w:val="20"/>
                <w:szCs w:val="20"/>
              </w:rPr>
              <w:t>18.0.00.03950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B19FE32" w14:textId="77777777" w:rsidR="00387142" w:rsidRPr="008B6A75" w:rsidRDefault="00387142" w:rsidP="00387142">
            <w:pPr>
              <w:jc w:val="center"/>
              <w:rPr>
                <w:sz w:val="20"/>
                <w:szCs w:val="20"/>
              </w:rPr>
            </w:pPr>
            <w:r w:rsidRPr="008B6A75">
              <w:rPr>
                <w:sz w:val="20"/>
                <w:szCs w:val="20"/>
              </w:rPr>
              <w:t>240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F39910A" w14:textId="77777777" w:rsidR="00387142" w:rsidRPr="008B6A75" w:rsidRDefault="00387142" w:rsidP="00387142">
            <w:pPr>
              <w:jc w:val="right"/>
              <w:rPr>
                <w:sz w:val="20"/>
                <w:szCs w:val="20"/>
              </w:rPr>
            </w:pPr>
            <w:r w:rsidRPr="008B6A75">
              <w:rPr>
                <w:sz w:val="20"/>
                <w:szCs w:val="20"/>
              </w:rPr>
              <w:t>2 912 603,45</w:t>
            </w:r>
          </w:p>
        </w:tc>
        <w:tc>
          <w:tcPr>
            <w:tcW w:w="992" w:type="dxa"/>
            <w:tcBorders>
              <w:top w:val="nil"/>
              <w:left w:val="single" w:sz="4" w:space="0" w:color="auto"/>
              <w:bottom w:val="single" w:sz="4" w:space="0" w:color="auto"/>
              <w:right w:val="nil"/>
            </w:tcBorders>
            <w:shd w:val="clear" w:color="auto" w:fill="auto"/>
            <w:vAlign w:val="center"/>
            <w:hideMark/>
          </w:tcPr>
          <w:p w14:paraId="6E7E1468" w14:textId="77777777" w:rsidR="00387142" w:rsidRPr="008B6A75" w:rsidRDefault="00387142" w:rsidP="00387142">
            <w:pPr>
              <w:jc w:val="right"/>
              <w:rPr>
                <w:sz w:val="20"/>
                <w:szCs w:val="20"/>
              </w:rPr>
            </w:pPr>
            <w:r w:rsidRPr="008B6A75">
              <w:rPr>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75E1C992" w14:textId="77777777" w:rsidR="00387142" w:rsidRPr="008B6A75" w:rsidRDefault="00387142" w:rsidP="00387142">
            <w:pPr>
              <w:jc w:val="right"/>
              <w:rPr>
                <w:sz w:val="20"/>
                <w:szCs w:val="20"/>
              </w:rPr>
            </w:pPr>
            <w:r w:rsidRPr="008B6A75">
              <w:rPr>
                <w:sz w:val="20"/>
                <w:szCs w:val="20"/>
              </w:rPr>
              <w:t>0,00</w:t>
            </w:r>
          </w:p>
        </w:tc>
      </w:tr>
      <w:tr w:rsidR="00387142" w:rsidRPr="008B6A75" w14:paraId="42C05201" w14:textId="77777777" w:rsidTr="00387142">
        <w:trPr>
          <w:trHeight w:val="345"/>
        </w:trPr>
        <w:tc>
          <w:tcPr>
            <w:tcW w:w="3261" w:type="dxa"/>
            <w:tcBorders>
              <w:top w:val="nil"/>
              <w:left w:val="single" w:sz="4" w:space="0" w:color="auto"/>
              <w:bottom w:val="single" w:sz="4" w:space="0" w:color="auto"/>
              <w:right w:val="nil"/>
            </w:tcBorders>
            <w:shd w:val="clear" w:color="auto" w:fill="auto"/>
            <w:vAlign w:val="center"/>
            <w:hideMark/>
          </w:tcPr>
          <w:p w14:paraId="5ADF29C0" w14:textId="77777777" w:rsidR="00387142" w:rsidRPr="008B6A75" w:rsidRDefault="00387142" w:rsidP="00387142">
            <w:pPr>
              <w:rPr>
                <w:sz w:val="20"/>
                <w:szCs w:val="20"/>
              </w:rPr>
            </w:pPr>
            <w:r w:rsidRPr="008B6A75">
              <w:rPr>
                <w:sz w:val="20"/>
                <w:szCs w:val="20"/>
              </w:rPr>
              <w:t>Межбюджетные трансферты</w:t>
            </w:r>
          </w:p>
        </w:tc>
        <w:tc>
          <w:tcPr>
            <w:tcW w:w="720" w:type="dxa"/>
            <w:tcBorders>
              <w:top w:val="nil"/>
              <w:left w:val="single" w:sz="4" w:space="0" w:color="auto"/>
              <w:bottom w:val="single" w:sz="4" w:space="0" w:color="auto"/>
              <w:right w:val="nil"/>
            </w:tcBorders>
            <w:shd w:val="clear" w:color="auto" w:fill="auto"/>
            <w:noWrap/>
            <w:vAlign w:val="center"/>
            <w:hideMark/>
          </w:tcPr>
          <w:p w14:paraId="3E51A110" w14:textId="77777777" w:rsidR="00387142" w:rsidRPr="008B6A75" w:rsidRDefault="00387142" w:rsidP="00387142">
            <w:pPr>
              <w:jc w:val="center"/>
              <w:rPr>
                <w:sz w:val="20"/>
                <w:szCs w:val="20"/>
              </w:rPr>
            </w:pPr>
            <w:r w:rsidRPr="008B6A75">
              <w:rPr>
                <w:sz w:val="20"/>
                <w:szCs w:val="20"/>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C9CB562" w14:textId="77777777" w:rsidR="00387142" w:rsidRPr="008B6A75" w:rsidRDefault="00387142" w:rsidP="00387142">
            <w:pPr>
              <w:jc w:val="center"/>
              <w:rPr>
                <w:sz w:val="20"/>
                <w:szCs w:val="20"/>
              </w:rPr>
            </w:pPr>
            <w:r w:rsidRPr="008B6A75">
              <w:rPr>
                <w:sz w:val="20"/>
                <w:szCs w:val="20"/>
              </w:rPr>
              <w:t>10</w:t>
            </w:r>
          </w:p>
        </w:tc>
        <w:tc>
          <w:tcPr>
            <w:tcW w:w="1516" w:type="dxa"/>
            <w:tcBorders>
              <w:top w:val="nil"/>
              <w:left w:val="single" w:sz="4" w:space="0" w:color="auto"/>
              <w:bottom w:val="single" w:sz="4" w:space="0" w:color="auto"/>
              <w:right w:val="nil"/>
            </w:tcBorders>
            <w:shd w:val="clear" w:color="auto" w:fill="auto"/>
            <w:noWrap/>
            <w:vAlign w:val="center"/>
            <w:hideMark/>
          </w:tcPr>
          <w:p w14:paraId="02E750E3" w14:textId="77777777" w:rsidR="00387142" w:rsidRPr="008B6A75" w:rsidRDefault="00387142" w:rsidP="00387142">
            <w:pPr>
              <w:jc w:val="center"/>
              <w:rPr>
                <w:sz w:val="20"/>
                <w:szCs w:val="20"/>
              </w:rPr>
            </w:pPr>
            <w:r w:rsidRPr="008B6A75">
              <w:rPr>
                <w:sz w:val="20"/>
                <w:szCs w:val="20"/>
              </w:rPr>
              <w:t>18.0.00.03950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F16D799" w14:textId="77777777" w:rsidR="00387142" w:rsidRPr="008B6A75" w:rsidRDefault="00387142" w:rsidP="00387142">
            <w:pPr>
              <w:jc w:val="center"/>
              <w:rPr>
                <w:sz w:val="20"/>
                <w:szCs w:val="20"/>
              </w:rPr>
            </w:pPr>
            <w:r w:rsidRPr="008B6A75">
              <w:rPr>
                <w:sz w:val="20"/>
                <w:szCs w:val="20"/>
              </w:rPr>
              <w:t>500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A59FF33" w14:textId="77777777" w:rsidR="00387142" w:rsidRPr="008B6A75" w:rsidRDefault="00387142" w:rsidP="00387142">
            <w:pPr>
              <w:jc w:val="right"/>
              <w:rPr>
                <w:sz w:val="20"/>
                <w:szCs w:val="20"/>
              </w:rPr>
            </w:pPr>
            <w:r w:rsidRPr="008B6A75">
              <w:rPr>
                <w:sz w:val="20"/>
                <w:szCs w:val="20"/>
              </w:rPr>
              <w:t>1 168 800,00</w:t>
            </w:r>
          </w:p>
        </w:tc>
        <w:tc>
          <w:tcPr>
            <w:tcW w:w="992" w:type="dxa"/>
            <w:tcBorders>
              <w:top w:val="nil"/>
              <w:left w:val="single" w:sz="4" w:space="0" w:color="auto"/>
              <w:bottom w:val="single" w:sz="4" w:space="0" w:color="auto"/>
              <w:right w:val="nil"/>
            </w:tcBorders>
            <w:shd w:val="clear" w:color="auto" w:fill="auto"/>
            <w:vAlign w:val="center"/>
            <w:hideMark/>
          </w:tcPr>
          <w:p w14:paraId="59A0003F" w14:textId="77777777" w:rsidR="00387142" w:rsidRPr="008B6A75" w:rsidRDefault="00387142" w:rsidP="00387142">
            <w:pPr>
              <w:jc w:val="right"/>
              <w:rPr>
                <w:sz w:val="20"/>
                <w:szCs w:val="20"/>
              </w:rPr>
            </w:pPr>
            <w:r w:rsidRPr="008B6A75">
              <w:rPr>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6A365DFB" w14:textId="77777777" w:rsidR="00387142" w:rsidRPr="008B6A75" w:rsidRDefault="00387142" w:rsidP="00387142">
            <w:pPr>
              <w:jc w:val="right"/>
              <w:rPr>
                <w:sz w:val="20"/>
                <w:szCs w:val="20"/>
              </w:rPr>
            </w:pPr>
            <w:r w:rsidRPr="008B6A75">
              <w:rPr>
                <w:sz w:val="20"/>
                <w:szCs w:val="20"/>
              </w:rPr>
              <w:t>0,00</w:t>
            </w:r>
          </w:p>
        </w:tc>
      </w:tr>
      <w:tr w:rsidR="00387142" w:rsidRPr="008B6A75" w14:paraId="2B73B113" w14:textId="77777777" w:rsidTr="00387142">
        <w:trPr>
          <w:trHeight w:val="345"/>
        </w:trPr>
        <w:tc>
          <w:tcPr>
            <w:tcW w:w="3261" w:type="dxa"/>
            <w:tcBorders>
              <w:top w:val="nil"/>
              <w:left w:val="single" w:sz="4" w:space="0" w:color="auto"/>
              <w:bottom w:val="single" w:sz="4" w:space="0" w:color="auto"/>
              <w:right w:val="nil"/>
            </w:tcBorders>
            <w:shd w:val="clear" w:color="auto" w:fill="auto"/>
            <w:vAlign w:val="center"/>
            <w:hideMark/>
          </w:tcPr>
          <w:p w14:paraId="6716D8D0" w14:textId="77777777" w:rsidR="00387142" w:rsidRPr="008B6A75" w:rsidRDefault="00387142" w:rsidP="00387142">
            <w:pPr>
              <w:rPr>
                <w:sz w:val="20"/>
                <w:szCs w:val="20"/>
              </w:rPr>
            </w:pPr>
            <w:r w:rsidRPr="008B6A75">
              <w:rPr>
                <w:sz w:val="20"/>
                <w:szCs w:val="20"/>
              </w:rPr>
              <w:t>Иные межбюджетные трансферты</w:t>
            </w:r>
          </w:p>
        </w:tc>
        <w:tc>
          <w:tcPr>
            <w:tcW w:w="720" w:type="dxa"/>
            <w:tcBorders>
              <w:top w:val="nil"/>
              <w:left w:val="single" w:sz="4" w:space="0" w:color="auto"/>
              <w:bottom w:val="single" w:sz="4" w:space="0" w:color="auto"/>
              <w:right w:val="nil"/>
            </w:tcBorders>
            <w:shd w:val="clear" w:color="auto" w:fill="auto"/>
            <w:noWrap/>
            <w:vAlign w:val="center"/>
            <w:hideMark/>
          </w:tcPr>
          <w:p w14:paraId="72888557" w14:textId="77777777" w:rsidR="00387142" w:rsidRPr="008B6A75" w:rsidRDefault="00387142" w:rsidP="00387142">
            <w:pPr>
              <w:jc w:val="center"/>
              <w:rPr>
                <w:sz w:val="20"/>
                <w:szCs w:val="20"/>
              </w:rPr>
            </w:pPr>
            <w:r w:rsidRPr="008B6A75">
              <w:rPr>
                <w:sz w:val="20"/>
                <w:szCs w:val="20"/>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A705C61" w14:textId="77777777" w:rsidR="00387142" w:rsidRPr="008B6A75" w:rsidRDefault="00387142" w:rsidP="00387142">
            <w:pPr>
              <w:jc w:val="center"/>
              <w:rPr>
                <w:sz w:val="20"/>
                <w:szCs w:val="20"/>
              </w:rPr>
            </w:pPr>
            <w:r w:rsidRPr="008B6A75">
              <w:rPr>
                <w:sz w:val="20"/>
                <w:szCs w:val="20"/>
              </w:rPr>
              <w:t>10</w:t>
            </w:r>
          </w:p>
        </w:tc>
        <w:tc>
          <w:tcPr>
            <w:tcW w:w="1516" w:type="dxa"/>
            <w:tcBorders>
              <w:top w:val="nil"/>
              <w:left w:val="single" w:sz="4" w:space="0" w:color="auto"/>
              <w:bottom w:val="single" w:sz="4" w:space="0" w:color="auto"/>
              <w:right w:val="nil"/>
            </w:tcBorders>
            <w:shd w:val="clear" w:color="auto" w:fill="auto"/>
            <w:noWrap/>
            <w:vAlign w:val="center"/>
            <w:hideMark/>
          </w:tcPr>
          <w:p w14:paraId="4394E628" w14:textId="77777777" w:rsidR="00387142" w:rsidRPr="008B6A75" w:rsidRDefault="00387142" w:rsidP="00387142">
            <w:pPr>
              <w:jc w:val="center"/>
              <w:rPr>
                <w:sz w:val="20"/>
                <w:szCs w:val="20"/>
              </w:rPr>
            </w:pPr>
            <w:r w:rsidRPr="008B6A75">
              <w:rPr>
                <w:sz w:val="20"/>
                <w:szCs w:val="20"/>
              </w:rPr>
              <w:t>18.0.00.03950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24E5C2E" w14:textId="77777777" w:rsidR="00387142" w:rsidRPr="008B6A75" w:rsidRDefault="00387142" w:rsidP="00387142">
            <w:pPr>
              <w:jc w:val="center"/>
              <w:rPr>
                <w:sz w:val="20"/>
                <w:szCs w:val="20"/>
              </w:rPr>
            </w:pPr>
            <w:r w:rsidRPr="008B6A75">
              <w:rPr>
                <w:sz w:val="20"/>
                <w:szCs w:val="20"/>
              </w:rPr>
              <w:t>540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3332DC5" w14:textId="77777777" w:rsidR="00387142" w:rsidRPr="008B6A75" w:rsidRDefault="00387142" w:rsidP="00387142">
            <w:pPr>
              <w:jc w:val="right"/>
              <w:rPr>
                <w:sz w:val="20"/>
                <w:szCs w:val="20"/>
              </w:rPr>
            </w:pPr>
            <w:r w:rsidRPr="008B6A75">
              <w:rPr>
                <w:sz w:val="20"/>
                <w:szCs w:val="20"/>
              </w:rPr>
              <w:t>1 168 800,00</w:t>
            </w:r>
          </w:p>
        </w:tc>
        <w:tc>
          <w:tcPr>
            <w:tcW w:w="992" w:type="dxa"/>
            <w:tcBorders>
              <w:top w:val="nil"/>
              <w:left w:val="single" w:sz="4" w:space="0" w:color="auto"/>
              <w:bottom w:val="single" w:sz="4" w:space="0" w:color="auto"/>
              <w:right w:val="nil"/>
            </w:tcBorders>
            <w:shd w:val="clear" w:color="auto" w:fill="auto"/>
            <w:vAlign w:val="center"/>
            <w:hideMark/>
          </w:tcPr>
          <w:p w14:paraId="6D6FCF55" w14:textId="77777777" w:rsidR="00387142" w:rsidRPr="008B6A75" w:rsidRDefault="00387142" w:rsidP="00387142">
            <w:pPr>
              <w:jc w:val="right"/>
              <w:rPr>
                <w:sz w:val="20"/>
                <w:szCs w:val="20"/>
              </w:rPr>
            </w:pPr>
            <w:r w:rsidRPr="008B6A75">
              <w:rPr>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7571D7E0" w14:textId="77777777" w:rsidR="00387142" w:rsidRPr="008B6A75" w:rsidRDefault="00387142" w:rsidP="00387142">
            <w:pPr>
              <w:jc w:val="right"/>
              <w:rPr>
                <w:sz w:val="20"/>
                <w:szCs w:val="20"/>
              </w:rPr>
            </w:pPr>
            <w:r w:rsidRPr="008B6A75">
              <w:rPr>
                <w:sz w:val="20"/>
                <w:szCs w:val="20"/>
              </w:rPr>
              <w:t>0,00</w:t>
            </w:r>
          </w:p>
        </w:tc>
      </w:tr>
      <w:tr w:rsidR="00387142" w:rsidRPr="008B6A75" w14:paraId="649A9B77" w14:textId="77777777" w:rsidTr="00387142">
        <w:trPr>
          <w:trHeight w:val="1440"/>
        </w:trPr>
        <w:tc>
          <w:tcPr>
            <w:tcW w:w="3261" w:type="dxa"/>
            <w:tcBorders>
              <w:top w:val="nil"/>
              <w:left w:val="single" w:sz="4" w:space="0" w:color="auto"/>
              <w:bottom w:val="single" w:sz="4" w:space="0" w:color="auto"/>
              <w:right w:val="nil"/>
            </w:tcBorders>
            <w:shd w:val="clear" w:color="auto" w:fill="auto"/>
            <w:vAlign w:val="center"/>
            <w:hideMark/>
          </w:tcPr>
          <w:p w14:paraId="105CF3C2" w14:textId="77777777" w:rsidR="00387142" w:rsidRPr="008B6A75" w:rsidRDefault="00387142" w:rsidP="00387142">
            <w:pPr>
              <w:rPr>
                <w:bCs/>
                <w:sz w:val="20"/>
                <w:szCs w:val="20"/>
              </w:rPr>
            </w:pPr>
            <w:r w:rsidRPr="008B6A75">
              <w:rPr>
                <w:bCs/>
                <w:sz w:val="20"/>
                <w:szCs w:val="20"/>
              </w:rPr>
              <w:t xml:space="preserve">Реализация мероприятий по обеспечению сбалансированности местных </w:t>
            </w:r>
            <w:proofErr w:type="gramStart"/>
            <w:r w:rsidRPr="008B6A75">
              <w:rPr>
                <w:bCs/>
                <w:sz w:val="20"/>
                <w:szCs w:val="20"/>
              </w:rPr>
              <w:t>бюджетов  государственной</w:t>
            </w:r>
            <w:proofErr w:type="gramEnd"/>
            <w:r w:rsidRPr="008B6A75">
              <w:rPr>
                <w:bCs/>
                <w:sz w:val="20"/>
                <w:szCs w:val="20"/>
              </w:rPr>
              <w:t xml:space="preserve"> программы Новосибирской области "Управление  финансами в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14:paraId="59000263" w14:textId="77777777" w:rsidR="00387142" w:rsidRPr="008B6A75" w:rsidRDefault="00387142" w:rsidP="00387142">
            <w:pPr>
              <w:jc w:val="center"/>
              <w:rPr>
                <w:bCs/>
                <w:sz w:val="20"/>
                <w:szCs w:val="20"/>
              </w:rPr>
            </w:pPr>
            <w:r w:rsidRPr="008B6A75">
              <w:rPr>
                <w:bCs/>
                <w:sz w:val="20"/>
                <w:szCs w:val="20"/>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068708B" w14:textId="77777777" w:rsidR="00387142" w:rsidRPr="008B6A75" w:rsidRDefault="00387142" w:rsidP="00387142">
            <w:pPr>
              <w:jc w:val="center"/>
              <w:rPr>
                <w:bCs/>
                <w:sz w:val="20"/>
                <w:szCs w:val="20"/>
              </w:rPr>
            </w:pPr>
            <w:r w:rsidRPr="008B6A75">
              <w:rPr>
                <w:bCs/>
                <w:sz w:val="20"/>
                <w:szCs w:val="20"/>
              </w:rPr>
              <w:t>10</w:t>
            </w:r>
          </w:p>
        </w:tc>
        <w:tc>
          <w:tcPr>
            <w:tcW w:w="1516" w:type="dxa"/>
            <w:tcBorders>
              <w:top w:val="nil"/>
              <w:left w:val="single" w:sz="4" w:space="0" w:color="auto"/>
              <w:bottom w:val="single" w:sz="4" w:space="0" w:color="auto"/>
              <w:right w:val="nil"/>
            </w:tcBorders>
            <w:shd w:val="clear" w:color="auto" w:fill="auto"/>
            <w:noWrap/>
            <w:vAlign w:val="center"/>
            <w:hideMark/>
          </w:tcPr>
          <w:p w14:paraId="71B289DE" w14:textId="77777777" w:rsidR="00387142" w:rsidRPr="008B6A75" w:rsidRDefault="00387142" w:rsidP="00387142">
            <w:pPr>
              <w:jc w:val="center"/>
              <w:rPr>
                <w:bCs/>
                <w:sz w:val="20"/>
                <w:szCs w:val="20"/>
              </w:rPr>
            </w:pPr>
            <w:r w:rsidRPr="008B6A75">
              <w:rPr>
                <w:bCs/>
                <w:sz w:val="20"/>
                <w:szCs w:val="20"/>
              </w:rPr>
              <w:t>18.0.00.70510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95FEFC6"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07E6EF3" w14:textId="77777777" w:rsidR="00387142" w:rsidRPr="008B6A75" w:rsidRDefault="00387142" w:rsidP="00387142">
            <w:pPr>
              <w:jc w:val="right"/>
              <w:rPr>
                <w:bCs/>
                <w:sz w:val="20"/>
                <w:szCs w:val="20"/>
              </w:rPr>
            </w:pPr>
            <w:r w:rsidRPr="008B6A75">
              <w:rPr>
                <w:bCs/>
                <w:sz w:val="20"/>
                <w:szCs w:val="20"/>
              </w:rPr>
              <w:t>2 195 490,71</w:t>
            </w:r>
          </w:p>
        </w:tc>
        <w:tc>
          <w:tcPr>
            <w:tcW w:w="992" w:type="dxa"/>
            <w:tcBorders>
              <w:top w:val="nil"/>
              <w:left w:val="single" w:sz="4" w:space="0" w:color="auto"/>
              <w:bottom w:val="single" w:sz="4" w:space="0" w:color="auto"/>
              <w:right w:val="nil"/>
            </w:tcBorders>
            <w:shd w:val="clear" w:color="auto" w:fill="auto"/>
            <w:vAlign w:val="center"/>
            <w:hideMark/>
          </w:tcPr>
          <w:p w14:paraId="2D7328F6" w14:textId="77777777" w:rsidR="00387142" w:rsidRPr="008B6A75" w:rsidRDefault="00387142" w:rsidP="00387142">
            <w:pPr>
              <w:jc w:val="right"/>
              <w:rPr>
                <w:bCs/>
                <w:sz w:val="20"/>
                <w:szCs w:val="20"/>
              </w:rPr>
            </w:pPr>
            <w:r w:rsidRPr="008B6A75">
              <w:rPr>
                <w:bCs/>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35F72030" w14:textId="77777777" w:rsidR="00387142" w:rsidRPr="008B6A75" w:rsidRDefault="00387142" w:rsidP="00387142">
            <w:pPr>
              <w:jc w:val="right"/>
              <w:rPr>
                <w:bCs/>
                <w:sz w:val="20"/>
                <w:szCs w:val="20"/>
              </w:rPr>
            </w:pPr>
            <w:r w:rsidRPr="008B6A75">
              <w:rPr>
                <w:bCs/>
                <w:sz w:val="20"/>
                <w:szCs w:val="20"/>
              </w:rPr>
              <w:t>0,00</w:t>
            </w:r>
          </w:p>
        </w:tc>
      </w:tr>
      <w:tr w:rsidR="00387142" w:rsidRPr="008B6A75" w14:paraId="35799608" w14:textId="77777777" w:rsidTr="00387142">
        <w:trPr>
          <w:trHeight w:val="1440"/>
        </w:trPr>
        <w:tc>
          <w:tcPr>
            <w:tcW w:w="3261" w:type="dxa"/>
            <w:tcBorders>
              <w:top w:val="nil"/>
              <w:left w:val="single" w:sz="4" w:space="0" w:color="auto"/>
              <w:bottom w:val="single" w:sz="4" w:space="0" w:color="auto"/>
              <w:right w:val="nil"/>
            </w:tcBorders>
            <w:shd w:val="clear" w:color="auto" w:fill="auto"/>
            <w:vAlign w:val="center"/>
            <w:hideMark/>
          </w:tcPr>
          <w:p w14:paraId="1A4B0FC1" w14:textId="77777777" w:rsidR="00387142" w:rsidRPr="008B6A75" w:rsidRDefault="00387142" w:rsidP="00387142">
            <w:pPr>
              <w:rPr>
                <w:sz w:val="20"/>
                <w:szCs w:val="20"/>
              </w:rPr>
            </w:pPr>
            <w:r w:rsidRPr="008B6A7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14:paraId="4CA82BB1" w14:textId="77777777" w:rsidR="00387142" w:rsidRPr="008B6A75" w:rsidRDefault="00387142" w:rsidP="00387142">
            <w:pPr>
              <w:jc w:val="center"/>
              <w:rPr>
                <w:sz w:val="20"/>
                <w:szCs w:val="20"/>
              </w:rPr>
            </w:pPr>
            <w:r w:rsidRPr="008B6A75">
              <w:rPr>
                <w:sz w:val="20"/>
                <w:szCs w:val="20"/>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AA0F133" w14:textId="77777777" w:rsidR="00387142" w:rsidRPr="008B6A75" w:rsidRDefault="00387142" w:rsidP="00387142">
            <w:pPr>
              <w:jc w:val="center"/>
              <w:rPr>
                <w:sz w:val="20"/>
                <w:szCs w:val="20"/>
              </w:rPr>
            </w:pPr>
            <w:r w:rsidRPr="008B6A75">
              <w:rPr>
                <w:sz w:val="20"/>
                <w:szCs w:val="20"/>
              </w:rPr>
              <w:t>10</w:t>
            </w:r>
          </w:p>
        </w:tc>
        <w:tc>
          <w:tcPr>
            <w:tcW w:w="1516" w:type="dxa"/>
            <w:tcBorders>
              <w:top w:val="nil"/>
              <w:left w:val="single" w:sz="4" w:space="0" w:color="auto"/>
              <w:bottom w:val="single" w:sz="4" w:space="0" w:color="auto"/>
              <w:right w:val="nil"/>
            </w:tcBorders>
            <w:shd w:val="clear" w:color="auto" w:fill="auto"/>
            <w:noWrap/>
            <w:vAlign w:val="center"/>
            <w:hideMark/>
          </w:tcPr>
          <w:p w14:paraId="3B5231CE" w14:textId="77777777" w:rsidR="00387142" w:rsidRPr="008B6A75" w:rsidRDefault="00387142" w:rsidP="00387142">
            <w:pPr>
              <w:jc w:val="center"/>
              <w:rPr>
                <w:sz w:val="20"/>
                <w:szCs w:val="20"/>
              </w:rPr>
            </w:pPr>
            <w:r w:rsidRPr="008B6A75">
              <w:rPr>
                <w:sz w:val="20"/>
                <w:szCs w:val="20"/>
              </w:rPr>
              <w:t>18.0.00.70510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B4D847A" w14:textId="77777777" w:rsidR="00387142" w:rsidRPr="008B6A75" w:rsidRDefault="00387142" w:rsidP="00387142">
            <w:pPr>
              <w:jc w:val="center"/>
              <w:rPr>
                <w:sz w:val="20"/>
                <w:szCs w:val="20"/>
              </w:rPr>
            </w:pPr>
            <w:r w:rsidRPr="008B6A75">
              <w:rPr>
                <w:sz w:val="20"/>
                <w:szCs w:val="20"/>
              </w:rPr>
              <w:t>100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7E01197" w14:textId="77777777" w:rsidR="00387142" w:rsidRPr="008B6A75" w:rsidRDefault="00387142" w:rsidP="00387142">
            <w:pPr>
              <w:jc w:val="right"/>
              <w:rPr>
                <w:sz w:val="20"/>
                <w:szCs w:val="20"/>
              </w:rPr>
            </w:pPr>
            <w:r w:rsidRPr="008B6A75">
              <w:rPr>
                <w:sz w:val="20"/>
                <w:szCs w:val="20"/>
              </w:rPr>
              <w:t>2 195 490,71</w:t>
            </w:r>
          </w:p>
        </w:tc>
        <w:tc>
          <w:tcPr>
            <w:tcW w:w="992" w:type="dxa"/>
            <w:tcBorders>
              <w:top w:val="nil"/>
              <w:left w:val="single" w:sz="4" w:space="0" w:color="auto"/>
              <w:bottom w:val="single" w:sz="4" w:space="0" w:color="auto"/>
              <w:right w:val="nil"/>
            </w:tcBorders>
            <w:shd w:val="clear" w:color="auto" w:fill="auto"/>
            <w:vAlign w:val="center"/>
            <w:hideMark/>
          </w:tcPr>
          <w:p w14:paraId="7A0F9C74" w14:textId="77777777" w:rsidR="00387142" w:rsidRPr="008B6A75" w:rsidRDefault="00387142" w:rsidP="00387142">
            <w:pPr>
              <w:jc w:val="right"/>
              <w:rPr>
                <w:sz w:val="20"/>
                <w:szCs w:val="20"/>
              </w:rPr>
            </w:pPr>
            <w:r w:rsidRPr="008B6A75">
              <w:rPr>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43F1FCBC" w14:textId="77777777" w:rsidR="00387142" w:rsidRPr="008B6A75" w:rsidRDefault="00387142" w:rsidP="00387142">
            <w:pPr>
              <w:jc w:val="right"/>
              <w:rPr>
                <w:sz w:val="20"/>
                <w:szCs w:val="20"/>
              </w:rPr>
            </w:pPr>
            <w:r w:rsidRPr="008B6A75">
              <w:rPr>
                <w:sz w:val="20"/>
                <w:szCs w:val="20"/>
              </w:rPr>
              <w:t>0,00</w:t>
            </w:r>
          </w:p>
        </w:tc>
      </w:tr>
      <w:tr w:rsidR="00387142" w:rsidRPr="008B6A75" w14:paraId="6EA6007C" w14:textId="77777777" w:rsidTr="00387142">
        <w:trPr>
          <w:trHeight w:val="585"/>
        </w:trPr>
        <w:tc>
          <w:tcPr>
            <w:tcW w:w="3261" w:type="dxa"/>
            <w:tcBorders>
              <w:top w:val="nil"/>
              <w:left w:val="single" w:sz="4" w:space="0" w:color="auto"/>
              <w:bottom w:val="single" w:sz="4" w:space="0" w:color="auto"/>
              <w:right w:val="nil"/>
            </w:tcBorders>
            <w:shd w:val="clear" w:color="auto" w:fill="auto"/>
            <w:vAlign w:val="center"/>
            <w:hideMark/>
          </w:tcPr>
          <w:p w14:paraId="147D93AA" w14:textId="77777777" w:rsidR="00387142" w:rsidRPr="008B6A75" w:rsidRDefault="00387142" w:rsidP="00387142">
            <w:pPr>
              <w:rPr>
                <w:sz w:val="20"/>
                <w:szCs w:val="20"/>
              </w:rPr>
            </w:pPr>
            <w:r w:rsidRPr="008B6A75">
              <w:rPr>
                <w:sz w:val="20"/>
                <w:szCs w:val="20"/>
              </w:rPr>
              <w:t>Расходы на выплаты персоналу казенных учреждений</w:t>
            </w:r>
          </w:p>
        </w:tc>
        <w:tc>
          <w:tcPr>
            <w:tcW w:w="720" w:type="dxa"/>
            <w:tcBorders>
              <w:top w:val="nil"/>
              <w:left w:val="single" w:sz="4" w:space="0" w:color="auto"/>
              <w:bottom w:val="single" w:sz="4" w:space="0" w:color="auto"/>
              <w:right w:val="nil"/>
            </w:tcBorders>
            <w:shd w:val="clear" w:color="auto" w:fill="auto"/>
            <w:noWrap/>
            <w:vAlign w:val="center"/>
            <w:hideMark/>
          </w:tcPr>
          <w:p w14:paraId="3096A3AC" w14:textId="77777777" w:rsidR="00387142" w:rsidRPr="008B6A75" w:rsidRDefault="00387142" w:rsidP="00387142">
            <w:pPr>
              <w:jc w:val="center"/>
              <w:rPr>
                <w:sz w:val="20"/>
                <w:szCs w:val="20"/>
              </w:rPr>
            </w:pPr>
            <w:r w:rsidRPr="008B6A75">
              <w:rPr>
                <w:sz w:val="20"/>
                <w:szCs w:val="20"/>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E11B8D4" w14:textId="77777777" w:rsidR="00387142" w:rsidRPr="008B6A75" w:rsidRDefault="00387142" w:rsidP="00387142">
            <w:pPr>
              <w:jc w:val="center"/>
              <w:rPr>
                <w:sz w:val="20"/>
                <w:szCs w:val="20"/>
              </w:rPr>
            </w:pPr>
            <w:r w:rsidRPr="008B6A75">
              <w:rPr>
                <w:sz w:val="20"/>
                <w:szCs w:val="20"/>
              </w:rPr>
              <w:t>10</w:t>
            </w:r>
          </w:p>
        </w:tc>
        <w:tc>
          <w:tcPr>
            <w:tcW w:w="1516" w:type="dxa"/>
            <w:tcBorders>
              <w:top w:val="nil"/>
              <w:left w:val="single" w:sz="4" w:space="0" w:color="auto"/>
              <w:bottom w:val="single" w:sz="4" w:space="0" w:color="auto"/>
              <w:right w:val="nil"/>
            </w:tcBorders>
            <w:shd w:val="clear" w:color="auto" w:fill="auto"/>
            <w:noWrap/>
            <w:vAlign w:val="center"/>
            <w:hideMark/>
          </w:tcPr>
          <w:p w14:paraId="28EC7176" w14:textId="77777777" w:rsidR="00387142" w:rsidRPr="008B6A75" w:rsidRDefault="00387142" w:rsidP="00387142">
            <w:pPr>
              <w:jc w:val="center"/>
              <w:rPr>
                <w:sz w:val="20"/>
                <w:szCs w:val="20"/>
              </w:rPr>
            </w:pPr>
            <w:r w:rsidRPr="008B6A75">
              <w:rPr>
                <w:sz w:val="20"/>
                <w:szCs w:val="20"/>
              </w:rPr>
              <w:t>18.0.00.70510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1C98A8C" w14:textId="77777777" w:rsidR="00387142" w:rsidRPr="008B6A75" w:rsidRDefault="00387142" w:rsidP="00387142">
            <w:pPr>
              <w:jc w:val="center"/>
              <w:rPr>
                <w:sz w:val="20"/>
                <w:szCs w:val="20"/>
              </w:rPr>
            </w:pPr>
            <w:r w:rsidRPr="008B6A75">
              <w:rPr>
                <w:sz w:val="20"/>
                <w:szCs w:val="20"/>
              </w:rPr>
              <w:t>110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BD4C5B1" w14:textId="77777777" w:rsidR="00387142" w:rsidRPr="008B6A75" w:rsidRDefault="00387142" w:rsidP="00387142">
            <w:pPr>
              <w:jc w:val="right"/>
              <w:rPr>
                <w:sz w:val="20"/>
                <w:szCs w:val="20"/>
              </w:rPr>
            </w:pPr>
            <w:r w:rsidRPr="008B6A75">
              <w:rPr>
                <w:sz w:val="20"/>
                <w:szCs w:val="20"/>
              </w:rPr>
              <w:t>2 195 490,71</w:t>
            </w:r>
          </w:p>
        </w:tc>
        <w:tc>
          <w:tcPr>
            <w:tcW w:w="992" w:type="dxa"/>
            <w:tcBorders>
              <w:top w:val="nil"/>
              <w:left w:val="single" w:sz="4" w:space="0" w:color="auto"/>
              <w:bottom w:val="single" w:sz="4" w:space="0" w:color="auto"/>
              <w:right w:val="nil"/>
            </w:tcBorders>
            <w:shd w:val="clear" w:color="auto" w:fill="auto"/>
            <w:vAlign w:val="center"/>
            <w:hideMark/>
          </w:tcPr>
          <w:p w14:paraId="2CB11748" w14:textId="77777777" w:rsidR="00387142" w:rsidRPr="008B6A75" w:rsidRDefault="00387142" w:rsidP="00387142">
            <w:pPr>
              <w:jc w:val="right"/>
              <w:rPr>
                <w:sz w:val="20"/>
                <w:szCs w:val="20"/>
              </w:rPr>
            </w:pPr>
            <w:r w:rsidRPr="008B6A75">
              <w:rPr>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20D6E1ED" w14:textId="77777777" w:rsidR="00387142" w:rsidRPr="008B6A75" w:rsidRDefault="00387142" w:rsidP="00387142">
            <w:pPr>
              <w:jc w:val="right"/>
              <w:rPr>
                <w:sz w:val="20"/>
                <w:szCs w:val="20"/>
              </w:rPr>
            </w:pPr>
            <w:r w:rsidRPr="008B6A75">
              <w:rPr>
                <w:sz w:val="20"/>
                <w:szCs w:val="20"/>
              </w:rPr>
              <w:t>0,00</w:t>
            </w:r>
          </w:p>
        </w:tc>
      </w:tr>
      <w:tr w:rsidR="00387142" w:rsidRPr="008B6A75" w14:paraId="78E3D0C9" w14:textId="77777777" w:rsidTr="00387142">
        <w:trPr>
          <w:trHeight w:val="345"/>
        </w:trPr>
        <w:tc>
          <w:tcPr>
            <w:tcW w:w="3261" w:type="dxa"/>
            <w:tcBorders>
              <w:top w:val="nil"/>
              <w:left w:val="single" w:sz="4" w:space="0" w:color="auto"/>
              <w:bottom w:val="single" w:sz="4" w:space="0" w:color="auto"/>
              <w:right w:val="nil"/>
            </w:tcBorders>
            <w:shd w:val="clear" w:color="auto" w:fill="auto"/>
            <w:vAlign w:val="center"/>
            <w:hideMark/>
          </w:tcPr>
          <w:p w14:paraId="716D8882" w14:textId="77777777" w:rsidR="00387142" w:rsidRPr="008B6A75" w:rsidRDefault="00387142" w:rsidP="00387142">
            <w:pPr>
              <w:rPr>
                <w:bCs/>
                <w:sz w:val="20"/>
                <w:szCs w:val="20"/>
              </w:rPr>
            </w:pPr>
            <w:r w:rsidRPr="008B6A75">
              <w:rPr>
                <w:bCs/>
                <w:sz w:val="20"/>
                <w:szCs w:val="20"/>
              </w:rPr>
              <w:t>НАЦИОНАЛЬНАЯ ЭКОНОМИКА</w:t>
            </w:r>
          </w:p>
        </w:tc>
        <w:tc>
          <w:tcPr>
            <w:tcW w:w="720" w:type="dxa"/>
            <w:tcBorders>
              <w:top w:val="nil"/>
              <w:left w:val="single" w:sz="4" w:space="0" w:color="auto"/>
              <w:bottom w:val="single" w:sz="4" w:space="0" w:color="auto"/>
              <w:right w:val="nil"/>
            </w:tcBorders>
            <w:shd w:val="clear" w:color="auto" w:fill="auto"/>
            <w:noWrap/>
            <w:vAlign w:val="center"/>
            <w:hideMark/>
          </w:tcPr>
          <w:p w14:paraId="121ADFFC" w14:textId="77777777" w:rsidR="00387142" w:rsidRPr="008B6A75" w:rsidRDefault="00387142" w:rsidP="00387142">
            <w:pPr>
              <w:jc w:val="center"/>
              <w:rPr>
                <w:bCs/>
                <w:sz w:val="20"/>
                <w:szCs w:val="20"/>
              </w:rPr>
            </w:pPr>
            <w:r w:rsidRPr="008B6A75">
              <w:rPr>
                <w:bCs/>
                <w:sz w:val="20"/>
                <w:szCs w:val="20"/>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C0F8AA9" w14:textId="77777777" w:rsidR="00387142" w:rsidRPr="008B6A75" w:rsidRDefault="00387142" w:rsidP="00387142">
            <w:pPr>
              <w:jc w:val="center"/>
              <w:rPr>
                <w:bCs/>
                <w:sz w:val="20"/>
                <w:szCs w:val="20"/>
              </w:rPr>
            </w:pPr>
            <w:r w:rsidRPr="008B6A75">
              <w:rPr>
                <w:bCs/>
                <w:sz w:val="20"/>
                <w:szCs w:val="20"/>
              </w:rPr>
              <w:t> </w:t>
            </w:r>
          </w:p>
        </w:tc>
        <w:tc>
          <w:tcPr>
            <w:tcW w:w="1516" w:type="dxa"/>
            <w:tcBorders>
              <w:top w:val="nil"/>
              <w:left w:val="single" w:sz="4" w:space="0" w:color="auto"/>
              <w:bottom w:val="single" w:sz="4" w:space="0" w:color="auto"/>
              <w:right w:val="nil"/>
            </w:tcBorders>
            <w:shd w:val="clear" w:color="auto" w:fill="auto"/>
            <w:noWrap/>
            <w:vAlign w:val="center"/>
            <w:hideMark/>
          </w:tcPr>
          <w:p w14:paraId="6B472D24" w14:textId="77777777" w:rsidR="00387142" w:rsidRPr="008B6A75" w:rsidRDefault="00387142" w:rsidP="00387142">
            <w:pPr>
              <w:jc w:val="center"/>
              <w:rPr>
                <w:bCs/>
                <w:sz w:val="20"/>
                <w:szCs w:val="20"/>
              </w:rPr>
            </w:pPr>
            <w:r w:rsidRPr="008B6A75">
              <w:rPr>
                <w:bCs/>
                <w:sz w:val="20"/>
                <w:szCs w:val="20"/>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49B9D50"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0EEDAD0" w14:textId="77777777" w:rsidR="00387142" w:rsidRPr="008B6A75" w:rsidRDefault="00387142" w:rsidP="00387142">
            <w:pPr>
              <w:jc w:val="right"/>
              <w:rPr>
                <w:bCs/>
                <w:sz w:val="20"/>
                <w:szCs w:val="20"/>
              </w:rPr>
            </w:pPr>
            <w:r w:rsidRPr="008B6A75">
              <w:rPr>
                <w:bCs/>
                <w:sz w:val="20"/>
                <w:szCs w:val="20"/>
              </w:rPr>
              <w:t>74 965 882,58</w:t>
            </w:r>
          </w:p>
        </w:tc>
        <w:tc>
          <w:tcPr>
            <w:tcW w:w="992" w:type="dxa"/>
            <w:tcBorders>
              <w:top w:val="nil"/>
              <w:left w:val="single" w:sz="4" w:space="0" w:color="auto"/>
              <w:bottom w:val="single" w:sz="4" w:space="0" w:color="auto"/>
              <w:right w:val="nil"/>
            </w:tcBorders>
            <w:shd w:val="clear" w:color="auto" w:fill="auto"/>
            <w:vAlign w:val="center"/>
            <w:hideMark/>
          </w:tcPr>
          <w:p w14:paraId="664CFB62" w14:textId="77777777" w:rsidR="00387142" w:rsidRPr="008B6A75" w:rsidRDefault="00387142" w:rsidP="00387142">
            <w:pPr>
              <w:jc w:val="right"/>
              <w:rPr>
                <w:bCs/>
                <w:sz w:val="20"/>
                <w:szCs w:val="20"/>
              </w:rPr>
            </w:pPr>
            <w:r w:rsidRPr="008B6A75">
              <w:rPr>
                <w:bCs/>
                <w:sz w:val="20"/>
                <w:szCs w:val="20"/>
              </w:rPr>
              <w:t>73 428 153,32</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3254C3AF" w14:textId="77777777" w:rsidR="00387142" w:rsidRPr="008B6A75" w:rsidRDefault="00387142" w:rsidP="00387142">
            <w:pPr>
              <w:jc w:val="right"/>
              <w:rPr>
                <w:bCs/>
                <w:sz w:val="20"/>
                <w:szCs w:val="20"/>
              </w:rPr>
            </w:pPr>
            <w:r w:rsidRPr="008B6A75">
              <w:rPr>
                <w:bCs/>
                <w:sz w:val="20"/>
                <w:szCs w:val="20"/>
              </w:rPr>
              <w:t>75 647 797,00</w:t>
            </w:r>
          </w:p>
        </w:tc>
      </w:tr>
      <w:tr w:rsidR="00387142" w:rsidRPr="008B6A75" w14:paraId="1D074F97" w14:textId="77777777" w:rsidTr="00387142">
        <w:trPr>
          <w:trHeight w:val="345"/>
        </w:trPr>
        <w:tc>
          <w:tcPr>
            <w:tcW w:w="3261" w:type="dxa"/>
            <w:tcBorders>
              <w:top w:val="nil"/>
              <w:left w:val="single" w:sz="4" w:space="0" w:color="auto"/>
              <w:bottom w:val="single" w:sz="4" w:space="0" w:color="auto"/>
              <w:right w:val="nil"/>
            </w:tcBorders>
            <w:shd w:val="clear" w:color="auto" w:fill="auto"/>
            <w:vAlign w:val="center"/>
            <w:hideMark/>
          </w:tcPr>
          <w:p w14:paraId="56CDA268" w14:textId="77777777" w:rsidR="00387142" w:rsidRPr="008B6A75" w:rsidRDefault="00387142" w:rsidP="00387142">
            <w:pPr>
              <w:rPr>
                <w:bCs/>
                <w:sz w:val="20"/>
                <w:szCs w:val="20"/>
              </w:rPr>
            </w:pPr>
            <w:r w:rsidRPr="008B6A75">
              <w:rPr>
                <w:bCs/>
                <w:sz w:val="20"/>
                <w:szCs w:val="20"/>
              </w:rPr>
              <w:t>Сельское хозяйство и рыболовство</w:t>
            </w:r>
          </w:p>
        </w:tc>
        <w:tc>
          <w:tcPr>
            <w:tcW w:w="720" w:type="dxa"/>
            <w:tcBorders>
              <w:top w:val="nil"/>
              <w:left w:val="single" w:sz="4" w:space="0" w:color="auto"/>
              <w:bottom w:val="single" w:sz="4" w:space="0" w:color="auto"/>
              <w:right w:val="nil"/>
            </w:tcBorders>
            <w:shd w:val="clear" w:color="auto" w:fill="auto"/>
            <w:noWrap/>
            <w:vAlign w:val="center"/>
            <w:hideMark/>
          </w:tcPr>
          <w:p w14:paraId="29DC657F" w14:textId="77777777" w:rsidR="00387142" w:rsidRPr="008B6A75" w:rsidRDefault="00387142" w:rsidP="00387142">
            <w:pPr>
              <w:jc w:val="center"/>
              <w:rPr>
                <w:bCs/>
                <w:sz w:val="20"/>
                <w:szCs w:val="20"/>
              </w:rPr>
            </w:pPr>
            <w:r w:rsidRPr="008B6A75">
              <w:rPr>
                <w:bCs/>
                <w:sz w:val="20"/>
                <w:szCs w:val="20"/>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72E7A54" w14:textId="77777777" w:rsidR="00387142" w:rsidRPr="008B6A75" w:rsidRDefault="00387142" w:rsidP="00387142">
            <w:pPr>
              <w:jc w:val="center"/>
              <w:rPr>
                <w:bCs/>
                <w:sz w:val="20"/>
                <w:szCs w:val="20"/>
              </w:rPr>
            </w:pPr>
            <w:r w:rsidRPr="008B6A75">
              <w:rPr>
                <w:bCs/>
                <w:sz w:val="20"/>
                <w:szCs w:val="20"/>
              </w:rPr>
              <w:t>05</w:t>
            </w:r>
          </w:p>
        </w:tc>
        <w:tc>
          <w:tcPr>
            <w:tcW w:w="1516" w:type="dxa"/>
            <w:tcBorders>
              <w:top w:val="nil"/>
              <w:left w:val="single" w:sz="4" w:space="0" w:color="auto"/>
              <w:bottom w:val="single" w:sz="4" w:space="0" w:color="auto"/>
              <w:right w:val="nil"/>
            </w:tcBorders>
            <w:shd w:val="clear" w:color="auto" w:fill="auto"/>
            <w:noWrap/>
            <w:vAlign w:val="center"/>
            <w:hideMark/>
          </w:tcPr>
          <w:p w14:paraId="1D179D0B" w14:textId="77777777" w:rsidR="00387142" w:rsidRPr="008B6A75" w:rsidRDefault="00387142" w:rsidP="00387142">
            <w:pPr>
              <w:jc w:val="center"/>
              <w:rPr>
                <w:bCs/>
                <w:sz w:val="20"/>
                <w:szCs w:val="20"/>
              </w:rPr>
            </w:pPr>
            <w:r w:rsidRPr="008B6A75">
              <w:rPr>
                <w:bCs/>
                <w:sz w:val="20"/>
                <w:szCs w:val="20"/>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DF06F23"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BE457C5" w14:textId="77777777" w:rsidR="00387142" w:rsidRPr="008B6A75" w:rsidRDefault="00387142" w:rsidP="00387142">
            <w:pPr>
              <w:jc w:val="right"/>
              <w:rPr>
                <w:bCs/>
                <w:sz w:val="20"/>
                <w:szCs w:val="20"/>
              </w:rPr>
            </w:pPr>
            <w:r w:rsidRPr="008B6A75">
              <w:rPr>
                <w:bCs/>
                <w:sz w:val="20"/>
                <w:szCs w:val="20"/>
              </w:rPr>
              <w:t>728 300,00</w:t>
            </w:r>
          </w:p>
        </w:tc>
        <w:tc>
          <w:tcPr>
            <w:tcW w:w="992" w:type="dxa"/>
            <w:tcBorders>
              <w:top w:val="nil"/>
              <w:left w:val="single" w:sz="4" w:space="0" w:color="auto"/>
              <w:bottom w:val="single" w:sz="4" w:space="0" w:color="auto"/>
              <w:right w:val="nil"/>
            </w:tcBorders>
            <w:shd w:val="clear" w:color="auto" w:fill="auto"/>
            <w:vAlign w:val="center"/>
            <w:hideMark/>
          </w:tcPr>
          <w:p w14:paraId="02081A67" w14:textId="77777777" w:rsidR="00387142" w:rsidRPr="008B6A75" w:rsidRDefault="00387142" w:rsidP="00387142">
            <w:pPr>
              <w:jc w:val="right"/>
              <w:rPr>
                <w:bCs/>
                <w:sz w:val="20"/>
                <w:szCs w:val="20"/>
              </w:rPr>
            </w:pPr>
            <w:r w:rsidRPr="008B6A75">
              <w:rPr>
                <w:bCs/>
                <w:sz w:val="20"/>
                <w:szCs w:val="20"/>
              </w:rPr>
              <w:t>728 300,00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0BE9A262" w14:textId="77777777" w:rsidR="00387142" w:rsidRPr="008B6A75" w:rsidRDefault="00387142" w:rsidP="00387142">
            <w:pPr>
              <w:jc w:val="right"/>
              <w:rPr>
                <w:bCs/>
                <w:sz w:val="20"/>
                <w:szCs w:val="20"/>
              </w:rPr>
            </w:pPr>
            <w:r w:rsidRPr="008B6A75">
              <w:rPr>
                <w:bCs/>
                <w:sz w:val="20"/>
                <w:szCs w:val="20"/>
              </w:rPr>
              <w:t>728 300,00</w:t>
            </w:r>
          </w:p>
        </w:tc>
      </w:tr>
      <w:tr w:rsidR="00387142" w:rsidRPr="008B6A75" w14:paraId="730CDD9D" w14:textId="77777777" w:rsidTr="00387142">
        <w:trPr>
          <w:trHeight w:val="345"/>
        </w:trPr>
        <w:tc>
          <w:tcPr>
            <w:tcW w:w="3261" w:type="dxa"/>
            <w:tcBorders>
              <w:top w:val="nil"/>
              <w:left w:val="single" w:sz="4" w:space="0" w:color="auto"/>
              <w:bottom w:val="single" w:sz="4" w:space="0" w:color="auto"/>
              <w:right w:val="nil"/>
            </w:tcBorders>
            <w:shd w:val="clear" w:color="auto" w:fill="auto"/>
            <w:vAlign w:val="center"/>
            <w:hideMark/>
          </w:tcPr>
          <w:p w14:paraId="3C8510FD" w14:textId="77777777" w:rsidR="00387142" w:rsidRPr="008B6A75" w:rsidRDefault="00387142" w:rsidP="00387142">
            <w:pPr>
              <w:rPr>
                <w:bCs/>
                <w:sz w:val="20"/>
                <w:szCs w:val="20"/>
              </w:rPr>
            </w:pPr>
            <w:r w:rsidRPr="008B6A75">
              <w:rPr>
                <w:bCs/>
                <w:sz w:val="20"/>
                <w:szCs w:val="20"/>
              </w:rPr>
              <w:t>Непрограммные направления бюджета</w:t>
            </w:r>
          </w:p>
        </w:tc>
        <w:tc>
          <w:tcPr>
            <w:tcW w:w="720" w:type="dxa"/>
            <w:tcBorders>
              <w:top w:val="nil"/>
              <w:left w:val="single" w:sz="4" w:space="0" w:color="auto"/>
              <w:bottom w:val="single" w:sz="4" w:space="0" w:color="auto"/>
              <w:right w:val="nil"/>
            </w:tcBorders>
            <w:shd w:val="clear" w:color="auto" w:fill="auto"/>
            <w:noWrap/>
            <w:vAlign w:val="center"/>
            <w:hideMark/>
          </w:tcPr>
          <w:p w14:paraId="57E98CE4" w14:textId="77777777" w:rsidR="00387142" w:rsidRPr="008B6A75" w:rsidRDefault="00387142" w:rsidP="00387142">
            <w:pPr>
              <w:jc w:val="center"/>
              <w:rPr>
                <w:bCs/>
                <w:sz w:val="20"/>
                <w:szCs w:val="20"/>
              </w:rPr>
            </w:pPr>
            <w:r w:rsidRPr="008B6A75">
              <w:rPr>
                <w:bCs/>
                <w:sz w:val="20"/>
                <w:szCs w:val="20"/>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5CEFA38" w14:textId="77777777" w:rsidR="00387142" w:rsidRPr="008B6A75" w:rsidRDefault="00387142" w:rsidP="00387142">
            <w:pPr>
              <w:jc w:val="center"/>
              <w:rPr>
                <w:bCs/>
                <w:sz w:val="20"/>
                <w:szCs w:val="20"/>
              </w:rPr>
            </w:pPr>
            <w:r w:rsidRPr="008B6A75">
              <w:rPr>
                <w:bCs/>
                <w:sz w:val="20"/>
                <w:szCs w:val="20"/>
              </w:rPr>
              <w:t>05</w:t>
            </w:r>
          </w:p>
        </w:tc>
        <w:tc>
          <w:tcPr>
            <w:tcW w:w="1516" w:type="dxa"/>
            <w:tcBorders>
              <w:top w:val="nil"/>
              <w:left w:val="single" w:sz="4" w:space="0" w:color="auto"/>
              <w:bottom w:val="single" w:sz="4" w:space="0" w:color="auto"/>
              <w:right w:val="nil"/>
            </w:tcBorders>
            <w:shd w:val="clear" w:color="auto" w:fill="auto"/>
            <w:noWrap/>
            <w:vAlign w:val="center"/>
            <w:hideMark/>
          </w:tcPr>
          <w:p w14:paraId="606205B1" w14:textId="77777777" w:rsidR="00387142" w:rsidRPr="008B6A75" w:rsidRDefault="00387142" w:rsidP="00387142">
            <w:pPr>
              <w:jc w:val="center"/>
              <w:rPr>
                <w:bCs/>
                <w:sz w:val="20"/>
                <w:szCs w:val="20"/>
              </w:rPr>
            </w:pPr>
            <w:r w:rsidRPr="008B6A75">
              <w:rPr>
                <w:bCs/>
                <w:sz w:val="20"/>
                <w:szCs w:val="20"/>
              </w:rPr>
              <w:t>99.0.00.00000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B813EDA"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8550C16" w14:textId="77777777" w:rsidR="00387142" w:rsidRPr="008B6A75" w:rsidRDefault="00387142" w:rsidP="00387142">
            <w:pPr>
              <w:jc w:val="right"/>
              <w:rPr>
                <w:bCs/>
                <w:sz w:val="20"/>
                <w:szCs w:val="20"/>
              </w:rPr>
            </w:pPr>
            <w:r w:rsidRPr="008B6A75">
              <w:rPr>
                <w:bCs/>
                <w:sz w:val="20"/>
                <w:szCs w:val="20"/>
              </w:rPr>
              <w:t>728 300,00</w:t>
            </w:r>
          </w:p>
        </w:tc>
        <w:tc>
          <w:tcPr>
            <w:tcW w:w="992" w:type="dxa"/>
            <w:tcBorders>
              <w:top w:val="nil"/>
              <w:left w:val="single" w:sz="4" w:space="0" w:color="auto"/>
              <w:bottom w:val="single" w:sz="4" w:space="0" w:color="auto"/>
              <w:right w:val="nil"/>
            </w:tcBorders>
            <w:shd w:val="clear" w:color="auto" w:fill="auto"/>
            <w:vAlign w:val="center"/>
            <w:hideMark/>
          </w:tcPr>
          <w:p w14:paraId="11BD6822" w14:textId="77777777" w:rsidR="00387142" w:rsidRPr="008B6A75" w:rsidRDefault="00387142" w:rsidP="00387142">
            <w:pPr>
              <w:jc w:val="right"/>
              <w:rPr>
                <w:bCs/>
                <w:sz w:val="20"/>
                <w:szCs w:val="20"/>
              </w:rPr>
            </w:pPr>
            <w:r w:rsidRPr="008B6A75">
              <w:rPr>
                <w:bCs/>
                <w:sz w:val="20"/>
                <w:szCs w:val="20"/>
              </w:rPr>
              <w:t>728 300,00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2A50A669" w14:textId="77777777" w:rsidR="00387142" w:rsidRPr="008B6A75" w:rsidRDefault="00387142" w:rsidP="00387142">
            <w:pPr>
              <w:jc w:val="right"/>
              <w:rPr>
                <w:bCs/>
                <w:sz w:val="20"/>
                <w:szCs w:val="20"/>
              </w:rPr>
            </w:pPr>
            <w:r w:rsidRPr="008B6A75">
              <w:rPr>
                <w:bCs/>
                <w:sz w:val="20"/>
                <w:szCs w:val="20"/>
              </w:rPr>
              <w:t>728 300,00</w:t>
            </w:r>
          </w:p>
        </w:tc>
      </w:tr>
      <w:tr w:rsidR="00387142" w:rsidRPr="008B6A75" w14:paraId="4AB00F4F" w14:textId="77777777" w:rsidTr="00387142">
        <w:trPr>
          <w:trHeight w:val="870"/>
        </w:trPr>
        <w:tc>
          <w:tcPr>
            <w:tcW w:w="3261" w:type="dxa"/>
            <w:tcBorders>
              <w:top w:val="nil"/>
              <w:left w:val="single" w:sz="4" w:space="0" w:color="auto"/>
              <w:bottom w:val="single" w:sz="4" w:space="0" w:color="auto"/>
              <w:right w:val="nil"/>
            </w:tcBorders>
            <w:shd w:val="clear" w:color="auto" w:fill="auto"/>
            <w:vAlign w:val="center"/>
            <w:hideMark/>
          </w:tcPr>
          <w:p w14:paraId="4F9EB736" w14:textId="77777777" w:rsidR="00387142" w:rsidRPr="008B6A75" w:rsidRDefault="00387142" w:rsidP="00387142">
            <w:pPr>
              <w:rPr>
                <w:bCs/>
                <w:sz w:val="20"/>
                <w:szCs w:val="20"/>
              </w:rPr>
            </w:pPr>
            <w:r w:rsidRPr="008B6A75">
              <w:rPr>
                <w:bCs/>
                <w:sz w:val="20"/>
                <w:szCs w:val="20"/>
              </w:rPr>
              <w:lastRenderedPageBreak/>
              <w:t>Организация мероприятий при осуществлении деятельности по обращению с животными без владельцев</w:t>
            </w:r>
          </w:p>
        </w:tc>
        <w:tc>
          <w:tcPr>
            <w:tcW w:w="720" w:type="dxa"/>
            <w:tcBorders>
              <w:top w:val="nil"/>
              <w:left w:val="single" w:sz="4" w:space="0" w:color="auto"/>
              <w:bottom w:val="single" w:sz="4" w:space="0" w:color="auto"/>
              <w:right w:val="nil"/>
            </w:tcBorders>
            <w:shd w:val="clear" w:color="auto" w:fill="auto"/>
            <w:noWrap/>
            <w:vAlign w:val="center"/>
            <w:hideMark/>
          </w:tcPr>
          <w:p w14:paraId="16E7711B" w14:textId="77777777" w:rsidR="00387142" w:rsidRPr="008B6A75" w:rsidRDefault="00387142" w:rsidP="00387142">
            <w:pPr>
              <w:jc w:val="center"/>
              <w:rPr>
                <w:bCs/>
                <w:sz w:val="20"/>
                <w:szCs w:val="20"/>
              </w:rPr>
            </w:pPr>
            <w:r w:rsidRPr="008B6A75">
              <w:rPr>
                <w:bCs/>
                <w:sz w:val="20"/>
                <w:szCs w:val="20"/>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7EACE28" w14:textId="77777777" w:rsidR="00387142" w:rsidRPr="008B6A75" w:rsidRDefault="00387142" w:rsidP="00387142">
            <w:pPr>
              <w:jc w:val="center"/>
              <w:rPr>
                <w:bCs/>
                <w:sz w:val="20"/>
                <w:szCs w:val="20"/>
              </w:rPr>
            </w:pPr>
            <w:r w:rsidRPr="008B6A75">
              <w:rPr>
                <w:bCs/>
                <w:sz w:val="20"/>
                <w:szCs w:val="20"/>
              </w:rPr>
              <w:t>05</w:t>
            </w:r>
          </w:p>
        </w:tc>
        <w:tc>
          <w:tcPr>
            <w:tcW w:w="1516" w:type="dxa"/>
            <w:tcBorders>
              <w:top w:val="nil"/>
              <w:left w:val="single" w:sz="4" w:space="0" w:color="auto"/>
              <w:bottom w:val="single" w:sz="4" w:space="0" w:color="auto"/>
              <w:right w:val="nil"/>
            </w:tcBorders>
            <w:shd w:val="clear" w:color="auto" w:fill="auto"/>
            <w:noWrap/>
            <w:vAlign w:val="center"/>
            <w:hideMark/>
          </w:tcPr>
          <w:p w14:paraId="15F3BAF6" w14:textId="77777777" w:rsidR="00387142" w:rsidRPr="008B6A75" w:rsidRDefault="00387142" w:rsidP="00387142">
            <w:pPr>
              <w:jc w:val="center"/>
              <w:rPr>
                <w:bCs/>
                <w:sz w:val="20"/>
                <w:szCs w:val="20"/>
              </w:rPr>
            </w:pPr>
            <w:r w:rsidRPr="008B6A75">
              <w:rPr>
                <w:bCs/>
                <w:sz w:val="20"/>
                <w:szCs w:val="20"/>
              </w:rPr>
              <w:t>99.0.00.70160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2582E75"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BFB1618" w14:textId="77777777" w:rsidR="00387142" w:rsidRPr="008B6A75" w:rsidRDefault="00387142" w:rsidP="00387142">
            <w:pPr>
              <w:jc w:val="right"/>
              <w:rPr>
                <w:bCs/>
                <w:sz w:val="20"/>
                <w:szCs w:val="20"/>
              </w:rPr>
            </w:pPr>
            <w:r w:rsidRPr="008B6A75">
              <w:rPr>
                <w:bCs/>
                <w:sz w:val="20"/>
                <w:szCs w:val="20"/>
              </w:rPr>
              <w:t>728 300,00</w:t>
            </w:r>
          </w:p>
        </w:tc>
        <w:tc>
          <w:tcPr>
            <w:tcW w:w="992" w:type="dxa"/>
            <w:tcBorders>
              <w:top w:val="nil"/>
              <w:left w:val="single" w:sz="4" w:space="0" w:color="auto"/>
              <w:bottom w:val="single" w:sz="4" w:space="0" w:color="auto"/>
              <w:right w:val="nil"/>
            </w:tcBorders>
            <w:shd w:val="clear" w:color="auto" w:fill="auto"/>
            <w:vAlign w:val="center"/>
            <w:hideMark/>
          </w:tcPr>
          <w:p w14:paraId="7A8B7D84" w14:textId="77777777" w:rsidR="00387142" w:rsidRPr="008B6A75" w:rsidRDefault="00387142" w:rsidP="00387142">
            <w:pPr>
              <w:jc w:val="right"/>
              <w:rPr>
                <w:bCs/>
                <w:sz w:val="20"/>
                <w:szCs w:val="20"/>
              </w:rPr>
            </w:pPr>
            <w:r w:rsidRPr="008B6A75">
              <w:rPr>
                <w:bCs/>
                <w:sz w:val="20"/>
                <w:szCs w:val="20"/>
              </w:rPr>
              <w:t>728 300,00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545B393F" w14:textId="77777777" w:rsidR="00387142" w:rsidRPr="008B6A75" w:rsidRDefault="00387142" w:rsidP="00387142">
            <w:pPr>
              <w:jc w:val="right"/>
              <w:rPr>
                <w:bCs/>
                <w:sz w:val="20"/>
                <w:szCs w:val="20"/>
              </w:rPr>
            </w:pPr>
            <w:r w:rsidRPr="008B6A75">
              <w:rPr>
                <w:bCs/>
                <w:sz w:val="20"/>
                <w:szCs w:val="20"/>
              </w:rPr>
              <w:t>728 300,00</w:t>
            </w:r>
          </w:p>
        </w:tc>
      </w:tr>
      <w:tr w:rsidR="00387142" w:rsidRPr="008B6A75" w14:paraId="01999CC1" w14:textId="77777777" w:rsidTr="00387142">
        <w:trPr>
          <w:trHeight w:val="585"/>
        </w:trPr>
        <w:tc>
          <w:tcPr>
            <w:tcW w:w="3261" w:type="dxa"/>
            <w:tcBorders>
              <w:top w:val="nil"/>
              <w:left w:val="single" w:sz="4" w:space="0" w:color="auto"/>
              <w:bottom w:val="single" w:sz="4" w:space="0" w:color="auto"/>
              <w:right w:val="nil"/>
            </w:tcBorders>
            <w:shd w:val="clear" w:color="auto" w:fill="auto"/>
            <w:vAlign w:val="center"/>
            <w:hideMark/>
          </w:tcPr>
          <w:p w14:paraId="5F483957" w14:textId="77777777" w:rsidR="00387142" w:rsidRPr="008B6A75" w:rsidRDefault="00387142" w:rsidP="00387142">
            <w:pPr>
              <w:rPr>
                <w:sz w:val="20"/>
                <w:szCs w:val="20"/>
              </w:rPr>
            </w:pPr>
            <w:r w:rsidRPr="008B6A75">
              <w:rPr>
                <w:sz w:val="20"/>
                <w:szCs w:val="20"/>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70CCB12B" w14:textId="77777777" w:rsidR="00387142" w:rsidRPr="008B6A75" w:rsidRDefault="00387142" w:rsidP="00387142">
            <w:pPr>
              <w:jc w:val="center"/>
              <w:rPr>
                <w:sz w:val="20"/>
                <w:szCs w:val="20"/>
              </w:rPr>
            </w:pPr>
            <w:r w:rsidRPr="008B6A75">
              <w:rPr>
                <w:sz w:val="20"/>
                <w:szCs w:val="20"/>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7B5B468" w14:textId="77777777" w:rsidR="00387142" w:rsidRPr="008B6A75" w:rsidRDefault="00387142" w:rsidP="00387142">
            <w:pPr>
              <w:jc w:val="center"/>
              <w:rPr>
                <w:sz w:val="20"/>
                <w:szCs w:val="20"/>
              </w:rPr>
            </w:pPr>
            <w:r w:rsidRPr="008B6A75">
              <w:rPr>
                <w:sz w:val="20"/>
                <w:szCs w:val="20"/>
              </w:rPr>
              <w:t>05</w:t>
            </w:r>
          </w:p>
        </w:tc>
        <w:tc>
          <w:tcPr>
            <w:tcW w:w="1516" w:type="dxa"/>
            <w:tcBorders>
              <w:top w:val="nil"/>
              <w:left w:val="single" w:sz="4" w:space="0" w:color="auto"/>
              <w:bottom w:val="single" w:sz="4" w:space="0" w:color="auto"/>
              <w:right w:val="nil"/>
            </w:tcBorders>
            <w:shd w:val="clear" w:color="auto" w:fill="auto"/>
            <w:noWrap/>
            <w:vAlign w:val="center"/>
            <w:hideMark/>
          </w:tcPr>
          <w:p w14:paraId="10D6E84E" w14:textId="77777777" w:rsidR="00387142" w:rsidRPr="008B6A75" w:rsidRDefault="00387142" w:rsidP="00387142">
            <w:pPr>
              <w:jc w:val="center"/>
              <w:rPr>
                <w:sz w:val="20"/>
                <w:szCs w:val="20"/>
              </w:rPr>
            </w:pPr>
            <w:r w:rsidRPr="008B6A75">
              <w:rPr>
                <w:sz w:val="20"/>
                <w:szCs w:val="20"/>
              </w:rPr>
              <w:t>99.0.00.70160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F9AA8D1" w14:textId="77777777" w:rsidR="00387142" w:rsidRPr="008B6A75" w:rsidRDefault="00387142" w:rsidP="00387142">
            <w:pPr>
              <w:jc w:val="center"/>
              <w:rPr>
                <w:sz w:val="20"/>
                <w:szCs w:val="20"/>
              </w:rPr>
            </w:pPr>
            <w:r w:rsidRPr="008B6A75">
              <w:rPr>
                <w:sz w:val="20"/>
                <w:szCs w:val="20"/>
              </w:rPr>
              <w:t>200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B4B2169" w14:textId="77777777" w:rsidR="00387142" w:rsidRPr="008B6A75" w:rsidRDefault="00387142" w:rsidP="00387142">
            <w:pPr>
              <w:jc w:val="right"/>
              <w:rPr>
                <w:sz w:val="20"/>
                <w:szCs w:val="20"/>
              </w:rPr>
            </w:pPr>
            <w:r w:rsidRPr="008B6A75">
              <w:rPr>
                <w:sz w:val="20"/>
                <w:szCs w:val="20"/>
              </w:rPr>
              <w:t>728 300,00</w:t>
            </w:r>
          </w:p>
        </w:tc>
        <w:tc>
          <w:tcPr>
            <w:tcW w:w="992" w:type="dxa"/>
            <w:tcBorders>
              <w:top w:val="nil"/>
              <w:left w:val="single" w:sz="4" w:space="0" w:color="auto"/>
              <w:bottom w:val="single" w:sz="4" w:space="0" w:color="auto"/>
              <w:right w:val="nil"/>
            </w:tcBorders>
            <w:shd w:val="clear" w:color="auto" w:fill="auto"/>
            <w:vAlign w:val="center"/>
            <w:hideMark/>
          </w:tcPr>
          <w:p w14:paraId="5C4D778F" w14:textId="77777777" w:rsidR="00387142" w:rsidRPr="008B6A75" w:rsidRDefault="00387142" w:rsidP="00387142">
            <w:pPr>
              <w:jc w:val="right"/>
              <w:rPr>
                <w:sz w:val="20"/>
                <w:szCs w:val="20"/>
              </w:rPr>
            </w:pPr>
            <w:r w:rsidRPr="008B6A75">
              <w:rPr>
                <w:sz w:val="20"/>
                <w:szCs w:val="20"/>
              </w:rPr>
              <w:t>728 300,00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22F08E8E" w14:textId="77777777" w:rsidR="00387142" w:rsidRPr="008B6A75" w:rsidRDefault="00387142" w:rsidP="00387142">
            <w:pPr>
              <w:jc w:val="right"/>
              <w:rPr>
                <w:sz w:val="20"/>
                <w:szCs w:val="20"/>
              </w:rPr>
            </w:pPr>
            <w:r w:rsidRPr="008B6A75">
              <w:rPr>
                <w:sz w:val="20"/>
                <w:szCs w:val="20"/>
              </w:rPr>
              <w:t>728 300,00</w:t>
            </w:r>
          </w:p>
        </w:tc>
      </w:tr>
      <w:tr w:rsidR="00387142" w:rsidRPr="008B6A75" w14:paraId="1EB8EBCC" w14:textId="77777777" w:rsidTr="00387142">
        <w:trPr>
          <w:trHeight w:val="870"/>
        </w:trPr>
        <w:tc>
          <w:tcPr>
            <w:tcW w:w="3261" w:type="dxa"/>
            <w:tcBorders>
              <w:top w:val="nil"/>
              <w:left w:val="single" w:sz="4" w:space="0" w:color="auto"/>
              <w:bottom w:val="single" w:sz="4" w:space="0" w:color="auto"/>
              <w:right w:val="nil"/>
            </w:tcBorders>
            <w:shd w:val="clear" w:color="auto" w:fill="auto"/>
            <w:vAlign w:val="center"/>
            <w:hideMark/>
          </w:tcPr>
          <w:p w14:paraId="7D1F504E" w14:textId="77777777" w:rsidR="00387142" w:rsidRPr="008B6A75" w:rsidRDefault="00387142" w:rsidP="00387142">
            <w:pPr>
              <w:rPr>
                <w:sz w:val="20"/>
                <w:szCs w:val="20"/>
              </w:rPr>
            </w:pPr>
            <w:r w:rsidRPr="008B6A75">
              <w:rPr>
                <w:sz w:val="20"/>
                <w:szCs w:val="20"/>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3558C962" w14:textId="77777777" w:rsidR="00387142" w:rsidRPr="008B6A75" w:rsidRDefault="00387142" w:rsidP="00387142">
            <w:pPr>
              <w:jc w:val="center"/>
              <w:rPr>
                <w:sz w:val="20"/>
                <w:szCs w:val="20"/>
              </w:rPr>
            </w:pPr>
            <w:r w:rsidRPr="008B6A75">
              <w:rPr>
                <w:sz w:val="20"/>
                <w:szCs w:val="20"/>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A327C29" w14:textId="77777777" w:rsidR="00387142" w:rsidRPr="008B6A75" w:rsidRDefault="00387142" w:rsidP="00387142">
            <w:pPr>
              <w:jc w:val="center"/>
              <w:rPr>
                <w:sz w:val="20"/>
                <w:szCs w:val="20"/>
              </w:rPr>
            </w:pPr>
            <w:r w:rsidRPr="008B6A75">
              <w:rPr>
                <w:sz w:val="20"/>
                <w:szCs w:val="20"/>
              </w:rPr>
              <w:t>05</w:t>
            </w:r>
          </w:p>
        </w:tc>
        <w:tc>
          <w:tcPr>
            <w:tcW w:w="1516" w:type="dxa"/>
            <w:tcBorders>
              <w:top w:val="nil"/>
              <w:left w:val="single" w:sz="4" w:space="0" w:color="auto"/>
              <w:bottom w:val="single" w:sz="4" w:space="0" w:color="auto"/>
              <w:right w:val="nil"/>
            </w:tcBorders>
            <w:shd w:val="clear" w:color="auto" w:fill="auto"/>
            <w:noWrap/>
            <w:vAlign w:val="center"/>
            <w:hideMark/>
          </w:tcPr>
          <w:p w14:paraId="6DD1F647" w14:textId="77777777" w:rsidR="00387142" w:rsidRPr="008B6A75" w:rsidRDefault="00387142" w:rsidP="00387142">
            <w:pPr>
              <w:jc w:val="center"/>
              <w:rPr>
                <w:sz w:val="20"/>
                <w:szCs w:val="20"/>
              </w:rPr>
            </w:pPr>
            <w:r w:rsidRPr="008B6A75">
              <w:rPr>
                <w:sz w:val="20"/>
                <w:szCs w:val="20"/>
              </w:rPr>
              <w:t>99.0.00.70160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AE1E347" w14:textId="77777777" w:rsidR="00387142" w:rsidRPr="008B6A75" w:rsidRDefault="00387142" w:rsidP="00387142">
            <w:pPr>
              <w:jc w:val="center"/>
              <w:rPr>
                <w:sz w:val="20"/>
                <w:szCs w:val="20"/>
              </w:rPr>
            </w:pPr>
            <w:r w:rsidRPr="008B6A75">
              <w:rPr>
                <w:sz w:val="20"/>
                <w:szCs w:val="20"/>
              </w:rPr>
              <w:t>240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6D8DA68" w14:textId="77777777" w:rsidR="00387142" w:rsidRPr="008B6A75" w:rsidRDefault="00387142" w:rsidP="00387142">
            <w:pPr>
              <w:jc w:val="right"/>
              <w:rPr>
                <w:sz w:val="20"/>
                <w:szCs w:val="20"/>
              </w:rPr>
            </w:pPr>
            <w:r w:rsidRPr="008B6A75">
              <w:rPr>
                <w:sz w:val="20"/>
                <w:szCs w:val="20"/>
              </w:rPr>
              <w:t>728 300,00</w:t>
            </w:r>
          </w:p>
        </w:tc>
        <w:tc>
          <w:tcPr>
            <w:tcW w:w="992" w:type="dxa"/>
            <w:tcBorders>
              <w:top w:val="nil"/>
              <w:left w:val="single" w:sz="4" w:space="0" w:color="auto"/>
              <w:bottom w:val="single" w:sz="4" w:space="0" w:color="auto"/>
              <w:right w:val="nil"/>
            </w:tcBorders>
            <w:shd w:val="clear" w:color="auto" w:fill="auto"/>
            <w:vAlign w:val="center"/>
            <w:hideMark/>
          </w:tcPr>
          <w:p w14:paraId="383FA9CA" w14:textId="77777777" w:rsidR="00387142" w:rsidRPr="008B6A75" w:rsidRDefault="00387142" w:rsidP="00387142">
            <w:pPr>
              <w:jc w:val="right"/>
              <w:rPr>
                <w:sz w:val="20"/>
                <w:szCs w:val="20"/>
              </w:rPr>
            </w:pPr>
            <w:r w:rsidRPr="008B6A75">
              <w:rPr>
                <w:sz w:val="20"/>
                <w:szCs w:val="20"/>
              </w:rPr>
              <w:t>728 300,00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7D617455" w14:textId="77777777" w:rsidR="00387142" w:rsidRPr="008B6A75" w:rsidRDefault="00387142" w:rsidP="00387142">
            <w:pPr>
              <w:jc w:val="right"/>
              <w:rPr>
                <w:sz w:val="20"/>
                <w:szCs w:val="20"/>
              </w:rPr>
            </w:pPr>
            <w:r w:rsidRPr="008B6A75">
              <w:rPr>
                <w:sz w:val="20"/>
                <w:szCs w:val="20"/>
              </w:rPr>
              <w:t>728 300,00</w:t>
            </w:r>
          </w:p>
        </w:tc>
      </w:tr>
      <w:tr w:rsidR="00387142" w:rsidRPr="008B6A75" w14:paraId="587D07B6" w14:textId="77777777" w:rsidTr="00387142">
        <w:trPr>
          <w:trHeight w:val="345"/>
        </w:trPr>
        <w:tc>
          <w:tcPr>
            <w:tcW w:w="3261" w:type="dxa"/>
            <w:tcBorders>
              <w:top w:val="nil"/>
              <w:left w:val="single" w:sz="4" w:space="0" w:color="auto"/>
              <w:bottom w:val="single" w:sz="4" w:space="0" w:color="auto"/>
              <w:right w:val="nil"/>
            </w:tcBorders>
            <w:shd w:val="clear" w:color="auto" w:fill="auto"/>
            <w:vAlign w:val="center"/>
            <w:hideMark/>
          </w:tcPr>
          <w:p w14:paraId="373AC1F5" w14:textId="77777777" w:rsidR="00387142" w:rsidRPr="008B6A75" w:rsidRDefault="00387142" w:rsidP="00387142">
            <w:pPr>
              <w:rPr>
                <w:bCs/>
                <w:sz w:val="20"/>
                <w:szCs w:val="20"/>
              </w:rPr>
            </w:pPr>
            <w:r w:rsidRPr="008B6A75">
              <w:rPr>
                <w:bCs/>
                <w:sz w:val="20"/>
                <w:szCs w:val="20"/>
              </w:rPr>
              <w:t>Водное хозяйство</w:t>
            </w:r>
          </w:p>
        </w:tc>
        <w:tc>
          <w:tcPr>
            <w:tcW w:w="720" w:type="dxa"/>
            <w:tcBorders>
              <w:top w:val="nil"/>
              <w:left w:val="single" w:sz="4" w:space="0" w:color="auto"/>
              <w:bottom w:val="single" w:sz="4" w:space="0" w:color="auto"/>
              <w:right w:val="nil"/>
            </w:tcBorders>
            <w:shd w:val="clear" w:color="auto" w:fill="auto"/>
            <w:noWrap/>
            <w:vAlign w:val="center"/>
            <w:hideMark/>
          </w:tcPr>
          <w:p w14:paraId="642FAD77" w14:textId="77777777" w:rsidR="00387142" w:rsidRPr="008B6A75" w:rsidRDefault="00387142" w:rsidP="00387142">
            <w:pPr>
              <w:jc w:val="center"/>
              <w:rPr>
                <w:bCs/>
                <w:sz w:val="20"/>
                <w:szCs w:val="20"/>
              </w:rPr>
            </w:pPr>
            <w:r w:rsidRPr="008B6A75">
              <w:rPr>
                <w:bCs/>
                <w:sz w:val="20"/>
                <w:szCs w:val="20"/>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41EA9CA" w14:textId="77777777" w:rsidR="00387142" w:rsidRPr="008B6A75" w:rsidRDefault="00387142" w:rsidP="00387142">
            <w:pPr>
              <w:jc w:val="center"/>
              <w:rPr>
                <w:bCs/>
                <w:sz w:val="20"/>
                <w:szCs w:val="20"/>
              </w:rPr>
            </w:pPr>
            <w:r w:rsidRPr="008B6A75">
              <w:rPr>
                <w:bCs/>
                <w:sz w:val="20"/>
                <w:szCs w:val="20"/>
              </w:rPr>
              <w:t>06</w:t>
            </w:r>
          </w:p>
        </w:tc>
        <w:tc>
          <w:tcPr>
            <w:tcW w:w="1516" w:type="dxa"/>
            <w:tcBorders>
              <w:top w:val="nil"/>
              <w:left w:val="single" w:sz="4" w:space="0" w:color="auto"/>
              <w:bottom w:val="single" w:sz="4" w:space="0" w:color="auto"/>
              <w:right w:val="nil"/>
            </w:tcBorders>
            <w:shd w:val="clear" w:color="auto" w:fill="auto"/>
            <w:noWrap/>
            <w:vAlign w:val="center"/>
            <w:hideMark/>
          </w:tcPr>
          <w:p w14:paraId="77647203" w14:textId="77777777" w:rsidR="00387142" w:rsidRPr="008B6A75" w:rsidRDefault="00387142" w:rsidP="00387142">
            <w:pPr>
              <w:jc w:val="center"/>
              <w:rPr>
                <w:bCs/>
                <w:sz w:val="20"/>
                <w:szCs w:val="20"/>
              </w:rPr>
            </w:pPr>
            <w:r w:rsidRPr="008B6A75">
              <w:rPr>
                <w:bCs/>
                <w:sz w:val="20"/>
                <w:szCs w:val="20"/>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376CFCE"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00EEF45" w14:textId="77777777" w:rsidR="00387142" w:rsidRPr="008B6A75" w:rsidRDefault="00387142" w:rsidP="00387142">
            <w:pPr>
              <w:jc w:val="right"/>
              <w:rPr>
                <w:bCs/>
                <w:sz w:val="20"/>
                <w:szCs w:val="20"/>
              </w:rPr>
            </w:pPr>
            <w:r w:rsidRPr="008B6A75">
              <w:rPr>
                <w:bCs/>
                <w:sz w:val="20"/>
                <w:szCs w:val="20"/>
              </w:rPr>
              <w:t>2 000 000,00</w:t>
            </w:r>
          </w:p>
        </w:tc>
        <w:tc>
          <w:tcPr>
            <w:tcW w:w="992" w:type="dxa"/>
            <w:tcBorders>
              <w:top w:val="nil"/>
              <w:left w:val="single" w:sz="4" w:space="0" w:color="auto"/>
              <w:bottom w:val="single" w:sz="4" w:space="0" w:color="auto"/>
              <w:right w:val="nil"/>
            </w:tcBorders>
            <w:shd w:val="clear" w:color="auto" w:fill="auto"/>
            <w:vAlign w:val="center"/>
            <w:hideMark/>
          </w:tcPr>
          <w:p w14:paraId="37FE1750" w14:textId="77777777" w:rsidR="00387142" w:rsidRPr="008B6A75" w:rsidRDefault="00387142" w:rsidP="00387142">
            <w:pPr>
              <w:jc w:val="right"/>
              <w:rPr>
                <w:bCs/>
                <w:sz w:val="20"/>
                <w:szCs w:val="20"/>
              </w:rPr>
            </w:pPr>
            <w:r w:rsidRPr="008B6A75">
              <w:rPr>
                <w:bCs/>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29D12B76" w14:textId="77777777" w:rsidR="00387142" w:rsidRPr="008B6A75" w:rsidRDefault="00387142" w:rsidP="00387142">
            <w:pPr>
              <w:jc w:val="right"/>
              <w:rPr>
                <w:bCs/>
                <w:sz w:val="20"/>
                <w:szCs w:val="20"/>
              </w:rPr>
            </w:pPr>
            <w:r w:rsidRPr="008B6A75">
              <w:rPr>
                <w:bCs/>
                <w:sz w:val="20"/>
                <w:szCs w:val="20"/>
              </w:rPr>
              <w:t>0,00</w:t>
            </w:r>
          </w:p>
        </w:tc>
      </w:tr>
      <w:tr w:rsidR="00387142" w:rsidRPr="008B6A75" w14:paraId="751D71D2" w14:textId="77777777" w:rsidTr="00387142">
        <w:trPr>
          <w:trHeight w:val="870"/>
        </w:trPr>
        <w:tc>
          <w:tcPr>
            <w:tcW w:w="3261" w:type="dxa"/>
            <w:tcBorders>
              <w:top w:val="nil"/>
              <w:left w:val="single" w:sz="4" w:space="0" w:color="auto"/>
              <w:bottom w:val="single" w:sz="4" w:space="0" w:color="auto"/>
              <w:right w:val="nil"/>
            </w:tcBorders>
            <w:shd w:val="clear" w:color="auto" w:fill="auto"/>
            <w:vAlign w:val="center"/>
            <w:hideMark/>
          </w:tcPr>
          <w:p w14:paraId="4F9DB3A6" w14:textId="77777777" w:rsidR="00387142" w:rsidRPr="008B6A75" w:rsidRDefault="00387142" w:rsidP="00387142">
            <w:pPr>
              <w:rPr>
                <w:bCs/>
                <w:sz w:val="20"/>
                <w:szCs w:val="20"/>
              </w:rPr>
            </w:pPr>
            <w:r w:rsidRPr="008B6A75">
              <w:rPr>
                <w:bCs/>
                <w:sz w:val="20"/>
                <w:szCs w:val="20"/>
              </w:rPr>
              <w:t>Муниципальная программа "Охрана окружающей среды Куйбышевского района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14:paraId="7001BBAC" w14:textId="77777777" w:rsidR="00387142" w:rsidRPr="008B6A75" w:rsidRDefault="00387142" w:rsidP="00387142">
            <w:pPr>
              <w:jc w:val="center"/>
              <w:rPr>
                <w:bCs/>
                <w:sz w:val="20"/>
                <w:szCs w:val="20"/>
              </w:rPr>
            </w:pPr>
            <w:r w:rsidRPr="008B6A75">
              <w:rPr>
                <w:bCs/>
                <w:sz w:val="20"/>
                <w:szCs w:val="20"/>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D89A38F" w14:textId="77777777" w:rsidR="00387142" w:rsidRPr="008B6A75" w:rsidRDefault="00387142" w:rsidP="00387142">
            <w:pPr>
              <w:jc w:val="center"/>
              <w:rPr>
                <w:bCs/>
                <w:sz w:val="20"/>
                <w:szCs w:val="20"/>
              </w:rPr>
            </w:pPr>
            <w:r w:rsidRPr="008B6A75">
              <w:rPr>
                <w:bCs/>
                <w:sz w:val="20"/>
                <w:szCs w:val="20"/>
              </w:rPr>
              <w:t>06</w:t>
            </w:r>
          </w:p>
        </w:tc>
        <w:tc>
          <w:tcPr>
            <w:tcW w:w="1516" w:type="dxa"/>
            <w:tcBorders>
              <w:top w:val="nil"/>
              <w:left w:val="single" w:sz="4" w:space="0" w:color="auto"/>
              <w:bottom w:val="single" w:sz="4" w:space="0" w:color="auto"/>
              <w:right w:val="nil"/>
            </w:tcBorders>
            <w:shd w:val="clear" w:color="auto" w:fill="auto"/>
            <w:noWrap/>
            <w:vAlign w:val="center"/>
            <w:hideMark/>
          </w:tcPr>
          <w:p w14:paraId="745451FA" w14:textId="77777777" w:rsidR="00387142" w:rsidRPr="008B6A75" w:rsidRDefault="00387142" w:rsidP="00387142">
            <w:pPr>
              <w:jc w:val="center"/>
              <w:rPr>
                <w:bCs/>
                <w:sz w:val="20"/>
                <w:szCs w:val="20"/>
              </w:rPr>
            </w:pPr>
            <w:r w:rsidRPr="008B6A75">
              <w:rPr>
                <w:bCs/>
                <w:sz w:val="20"/>
                <w:szCs w:val="20"/>
              </w:rPr>
              <w:t>12.0.00.00000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1D9EA64"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001E0DD" w14:textId="77777777" w:rsidR="00387142" w:rsidRPr="008B6A75" w:rsidRDefault="00387142" w:rsidP="00387142">
            <w:pPr>
              <w:jc w:val="right"/>
              <w:rPr>
                <w:bCs/>
                <w:sz w:val="20"/>
                <w:szCs w:val="20"/>
              </w:rPr>
            </w:pPr>
            <w:r w:rsidRPr="008B6A75">
              <w:rPr>
                <w:bCs/>
                <w:sz w:val="20"/>
                <w:szCs w:val="20"/>
              </w:rPr>
              <w:t>2 000 000,00</w:t>
            </w:r>
          </w:p>
        </w:tc>
        <w:tc>
          <w:tcPr>
            <w:tcW w:w="992" w:type="dxa"/>
            <w:tcBorders>
              <w:top w:val="nil"/>
              <w:left w:val="single" w:sz="4" w:space="0" w:color="auto"/>
              <w:bottom w:val="single" w:sz="4" w:space="0" w:color="auto"/>
              <w:right w:val="nil"/>
            </w:tcBorders>
            <w:shd w:val="clear" w:color="auto" w:fill="auto"/>
            <w:vAlign w:val="center"/>
            <w:hideMark/>
          </w:tcPr>
          <w:p w14:paraId="631C2C4A" w14:textId="77777777" w:rsidR="00387142" w:rsidRPr="008B6A75" w:rsidRDefault="00387142" w:rsidP="00387142">
            <w:pPr>
              <w:jc w:val="right"/>
              <w:rPr>
                <w:bCs/>
                <w:sz w:val="20"/>
                <w:szCs w:val="20"/>
              </w:rPr>
            </w:pPr>
            <w:r w:rsidRPr="008B6A75">
              <w:rPr>
                <w:bCs/>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4ADC00F4" w14:textId="77777777" w:rsidR="00387142" w:rsidRPr="008B6A75" w:rsidRDefault="00387142" w:rsidP="00387142">
            <w:pPr>
              <w:jc w:val="right"/>
              <w:rPr>
                <w:bCs/>
                <w:sz w:val="20"/>
                <w:szCs w:val="20"/>
              </w:rPr>
            </w:pPr>
            <w:r w:rsidRPr="008B6A75">
              <w:rPr>
                <w:bCs/>
                <w:sz w:val="20"/>
                <w:szCs w:val="20"/>
              </w:rPr>
              <w:t>0,00</w:t>
            </w:r>
          </w:p>
        </w:tc>
      </w:tr>
      <w:tr w:rsidR="00387142" w:rsidRPr="008B6A75" w14:paraId="61676110" w14:textId="77777777" w:rsidTr="00387142">
        <w:trPr>
          <w:trHeight w:val="1725"/>
        </w:trPr>
        <w:tc>
          <w:tcPr>
            <w:tcW w:w="3261" w:type="dxa"/>
            <w:tcBorders>
              <w:top w:val="nil"/>
              <w:left w:val="single" w:sz="4" w:space="0" w:color="auto"/>
              <w:bottom w:val="single" w:sz="4" w:space="0" w:color="auto"/>
              <w:right w:val="nil"/>
            </w:tcBorders>
            <w:shd w:val="clear" w:color="auto" w:fill="auto"/>
            <w:vAlign w:val="center"/>
            <w:hideMark/>
          </w:tcPr>
          <w:p w14:paraId="05A475AF" w14:textId="77777777" w:rsidR="00387142" w:rsidRPr="008B6A75" w:rsidRDefault="00387142" w:rsidP="00387142">
            <w:pPr>
              <w:rPr>
                <w:bCs/>
                <w:sz w:val="20"/>
                <w:szCs w:val="20"/>
              </w:rPr>
            </w:pPr>
            <w:r w:rsidRPr="008B6A75">
              <w:rPr>
                <w:bCs/>
                <w:sz w:val="20"/>
                <w:szCs w:val="20"/>
              </w:rPr>
              <w:t xml:space="preserve">Реализация </w:t>
            </w:r>
            <w:proofErr w:type="spellStart"/>
            <w:r w:rsidRPr="008B6A75">
              <w:rPr>
                <w:bCs/>
                <w:sz w:val="20"/>
                <w:szCs w:val="20"/>
              </w:rPr>
              <w:t>мероприятиий</w:t>
            </w:r>
            <w:proofErr w:type="spellEnd"/>
            <w:r w:rsidRPr="008B6A75">
              <w:rPr>
                <w:bCs/>
                <w:sz w:val="20"/>
                <w:szCs w:val="20"/>
              </w:rPr>
              <w:t xml:space="preserve"> на поддержание безопасного технического состояния гидротехнических сооружений Новосибирской области государственной программы Новосибирской области "Охрана окружающей среды"</w:t>
            </w:r>
          </w:p>
        </w:tc>
        <w:tc>
          <w:tcPr>
            <w:tcW w:w="720" w:type="dxa"/>
            <w:tcBorders>
              <w:top w:val="nil"/>
              <w:left w:val="single" w:sz="4" w:space="0" w:color="auto"/>
              <w:bottom w:val="single" w:sz="4" w:space="0" w:color="auto"/>
              <w:right w:val="nil"/>
            </w:tcBorders>
            <w:shd w:val="clear" w:color="auto" w:fill="auto"/>
            <w:noWrap/>
            <w:vAlign w:val="center"/>
            <w:hideMark/>
          </w:tcPr>
          <w:p w14:paraId="11437FBC" w14:textId="77777777" w:rsidR="00387142" w:rsidRPr="008B6A75" w:rsidRDefault="00387142" w:rsidP="00387142">
            <w:pPr>
              <w:jc w:val="center"/>
              <w:rPr>
                <w:bCs/>
                <w:sz w:val="20"/>
                <w:szCs w:val="20"/>
              </w:rPr>
            </w:pPr>
            <w:r w:rsidRPr="008B6A75">
              <w:rPr>
                <w:bCs/>
                <w:sz w:val="20"/>
                <w:szCs w:val="20"/>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5881BDF" w14:textId="77777777" w:rsidR="00387142" w:rsidRPr="008B6A75" w:rsidRDefault="00387142" w:rsidP="00387142">
            <w:pPr>
              <w:jc w:val="center"/>
              <w:rPr>
                <w:bCs/>
                <w:sz w:val="20"/>
                <w:szCs w:val="20"/>
              </w:rPr>
            </w:pPr>
            <w:r w:rsidRPr="008B6A75">
              <w:rPr>
                <w:bCs/>
                <w:sz w:val="20"/>
                <w:szCs w:val="20"/>
              </w:rPr>
              <w:t>06</w:t>
            </w:r>
          </w:p>
        </w:tc>
        <w:tc>
          <w:tcPr>
            <w:tcW w:w="1516" w:type="dxa"/>
            <w:tcBorders>
              <w:top w:val="nil"/>
              <w:left w:val="single" w:sz="4" w:space="0" w:color="auto"/>
              <w:bottom w:val="single" w:sz="4" w:space="0" w:color="auto"/>
              <w:right w:val="nil"/>
            </w:tcBorders>
            <w:shd w:val="clear" w:color="auto" w:fill="auto"/>
            <w:noWrap/>
            <w:vAlign w:val="center"/>
            <w:hideMark/>
          </w:tcPr>
          <w:p w14:paraId="31A22C47" w14:textId="77777777" w:rsidR="00387142" w:rsidRPr="008B6A75" w:rsidRDefault="00387142" w:rsidP="00387142">
            <w:pPr>
              <w:jc w:val="center"/>
              <w:rPr>
                <w:bCs/>
                <w:sz w:val="20"/>
                <w:szCs w:val="20"/>
              </w:rPr>
            </w:pPr>
            <w:r w:rsidRPr="008B6A75">
              <w:rPr>
                <w:bCs/>
                <w:sz w:val="20"/>
                <w:szCs w:val="20"/>
              </w:rPr>
              <w:t>12.0.00.70860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58979B5"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60EED64" w14:textId="77777777" w:rsidR="00387142" w:rsidRPr="008B6A75" w:rsidRDefault="00387142" w:rsidP="00387142">
            <w:pPr>
              <w:jc w:val="right"/>
              <w:rPr>
                <w:bCs/>
                <w:sz w:val="20"/>
                <w:szCs w:val="20"/>
              </w:rPr>
            </w:pPr>
            <w:r w:rsidRPr="008B6A75">
              <w:rPr>
                <w:bCs/>
                <w:sz w:val="20"/>
                <w:szCs w:val="20"/>
              </w:rPr>
              <w:t>2 000 000,00</w:t>
            </w:r>
          </w:p>
        </w:tc>
        <w:tc>
          <w:tcPr>
            <w:tcW w:w="992" w:type="dxa"/>
            <w:tcBorders>
              <w:top w:val="nil"/>
              <w:left w:val="single" w:sz="4" w:space="0" w:color="auto"/>
              <w:bottom w:val="single" w:sz="4" w:space="0" w:color="auto"/>
              <w:right w:val="nil"/>
            </w:tcBorders>
            <w:shd w:val="clear" w:color="auto" w:fill="auto"/>
            <w:vAlign w:val="center"/>
            <w:hideMark/>
          </w:tcPr>
          <w:p w14:paraId="35B610F6" w14:textId="77777777" w:rsidR="00387142" w:rsidRPr="008B6A75" w:rsidRDefault="00387142" w:rsidP="00387142">
            <w:pPr>
              <w:jc w:val="right"/>
              <w:rPr>
                <w:bCs/>
                <w:sz w:val="20"/>
                <w:szCs w:val="20"/>
              </w:rPr>
            </w:pPr>
            <w:r w:rsidRPr="008B6A75">
              <w:rPr>
                <w:bCs/>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24B57C1E" w14:textId="77777777" w:rsidR="00387142" w:rsidRPr="008B6A75" w:rsidRDefault="00387142" w:rsidP="00387142">
            <w:pPr>
              <w:jc w:val="right"/>
              <w:rPr>
                <w:bCs/>
                <w:sz w:val="20"/>
                <w:szCs w:val="20"/>
              </w:rPr>
            </w:pPr>
            <w:r w:rsidRPr="008B6A75">
              <w:rPr>
                <w:bCs/>
                <w:sz w:val="20"/>
                <w:szCs w:val="20"/>
              </w:rPr>
              <w:t>0,00</w:t>
            </w:r>
          </w:p>
        </w:tc>
      </w:tr>
      <w:tr w:rsidR="00387142" w:rsidRPr="008B6A75" w14:paraId="3B3799AB" w14:textId="77777777" w:rsidTr="00387142">
        <w:trPr>
          <w:trHeight w:val="345"/>
        </w:trPr>
        <w:tc>
          <w:tcPr>
            <w:tcW w:w="3261" w:type="dxa"/>
            <w:tcBorders>
              <w:top w:val="nil"/>
              <w:left w:val="single" w:sz="4" w:space="0" w:color="auto"/>
              <w:bottom w:val="single" w:sz="4" w:space="0" w:color="auto"/>
              <w:right w:val="nil"/>
            </w:tcBorders>
            <w:shd w:val="clear" w:color="auto" w:fill="auto"/>
            <w:vAlign w:val="center"/>
            <w:hideMark/>
          </w:tcPr>
          <w:p w14:paraId="56039EAB" w14:textId="77777777" w:rsidR="00387142" w:rsidRPr="008B6A75" w:rsidRDefault="00387142" w:rsidP="00387142">
            <w:pPr>
              <w:rPr>
                <w:sz w:val="20"/>
                <w:szCs w:val="20"/>
              </w:rPr>
            </w:pPr>
            <w:r w:rsidRPr="008B6A75">
              <w:rPr>
                <w:sz w:val="20"/>
                <w:szCs w:val="20"/>
              </w:rPr>
              <w:t>Межбюджетные трансферты</w:t>
            </w:r>
          </w:p>
        </w:tc>
        <w:tc>
          <w:tcPr>
            <w:tcW w:w="720" w:type="dxa"/>
            <w:tcBorders>
              <w:top w:val="nil"/>
              <w:left w:val="single" w:sz="4" w:space="0" w:color="auto"/>
              <w:bottom w:val="single" w:sz="4" w:space="0" w:color="auto"/>
              <w:right w:val="nil"/>
            </w:tcBorders>
            <w:shd w:val="clear" w:color="auto" w:fill="auto"/>
            <w:noWrap/>
            <w:vAlign w:val="center"/>
            <w:hideMark/>
          </w:tcPr>
          <w:p w14:paraId="63EAE9A0" w14:textId="77777777" w:rsidR="00387142" w:rsidRPr="008B6A75" w:rsidRDefault="00387142" w:rsidP="00387142">
            <w:pPr>
              <w:jc w:val="center"/>
              <w:rPr>
                <w:sz w:val="20"/>
                <w:szCs w:val="20"/>
              </w:rPr>
            </w:pPr>
            <w:r w:rsidRPr="008B6A75">
              <w:rPr>
                <w:sz w:val="20"/>
                <w:szCs w:val="20"/>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611815B" w14:textId="77777777" w:rsidR="00387142" w:rsidRPr="008B6A75" w:rsidRDefault="00387142" w:rsidP="00387142">
            <w:pPr>
              <w:jc w:val="center"/>
              <w:rPr>
                <w:sz w:val="20"/>
                <w:szCs w:val="20"/>
              </w:rPr>
            </w:pPr>
            <w:r w:rsidRPr="008B6A75">
              <w:rPr>
                <w:sz w:val="20"/>
                <w:szCs w:val="20"/>
              </w:rPr>
              <w:t>06</w:t>
            </w:r>
          </w:p>
        </w:tc>
        <w:tc>
          <w:tcPr>
            <w:tcW w:w="1516" w:type="dxa"/>
            <w:tcBorders>
              <w:top w:val="nil"/>
              <w:left w:val="single" w:sz="4" w:space="0" w:color="auto"/>
              <w:bottom w:val="single" w:sz="4" w:space="0" w:color="auto"/>
              <w:right w:val="nil"/>
            </w:tcBorders>
            <w:shd w:val="clear" w:color="auto" w:fill="auto"/>
            <w:noWrap/>
            <w:vAlign w:val="center"/>
            <w:hideMark/>
          </w:tcPr>
          <w:p w14:paraId="289C5EEB" w14:textId="77777777" w:rsidR="00387142" w:rsidRPr="008B6A75" w:rsidRDefault="00387142" w:rsidP="00387142">
            <w:pPr>
              <w:jc w:val="center"/>
              <w:rPr>
                <w:sz w:val="20"/>
                <w:szCs w:val="20"/>
              </w:rPr>
            </w:pPr>
            <w:r w:rsidRPr="008B6A75">
              <w:rPr>
                <w:sz w:val="20"/>
                <w:szCs w:val="20"/>
              </w:rPr>
              <w:t>12.0.00.70860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1F23591" w14:textId="77777777" w:rsidR="00387142" w:rsidRPr="008B6A75" w:rsidRDefault="00387142" w:rsidP="00387142">
            <w:pPr>
              <w:jc w:val="center"/>
              <w:rPr>
                <w:sz w:val="20"/>
                <w:szCs w:val="20"/>
              </w:rPr>
            </w:pPr>
            <w:r w:rsidRPr="008B6A75">
              <w:rPr>
                <w:sz w:val="20"/>
                <w:szCs w:val="20"/>
              </w:rPr>
              <w:t>500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3FDA723" w14:textId="77777777" w:rsidR="00387142" w:rsidRPr="008B6A75" w:rsidRDefault="00387142" w:rsidP="00387142">
            <w:pPr>
              <w:jc w:val="right"/>
              <w:rPr>
                <w:sz w:val="20"/>
                <w:szCs w:val="20"/>
              </w:rPr>
            </w:pPr>
            <w:r w:rsidRPr="008B6A75">
              <w:rPr>
                <w:sz w:val="20"/>
                <w:szCs w:val="20"/>
              </w:rPr>
              <w:t>2 000 000,00</w:t>
            </w:r>
          </w:p>
        </w:tc>
        <w:tc>
          <w:tcPr>
            <w:tcW w:w="992" w:type="dxa"/>
            <w:tcBorders>
              <w:top w:val="nil"/>
              <w:left w:val="single" w:sz="4" w:space="0" w:color="auto"/>
              <w:bottom w:val="single" w:sz="4" w:space="0" w:color="auto"/>
              <w:right w:val="nil"/>
            </w:tcBorders>
            <w:shd w:val="clear" w:color="auto" w:fill="auto"/>
            <w:vAlign w:val="center"/>
            <w:hideMark/>
          </w:tcPr>
          <w:p w14:paraId="0501AAAE" w14:textId="77777777" w:rsidR="00387142" w:rsidRPr="008B6A75" w:rsidRDefault="00387142" w:rsidP="00387142">
            <w:pPr>
              <w:jc w:val="right"/>
              <w:rPr>
                <w:sz w:val="20"/>
                <w:szCs w:val="20"/>
              </w:rPr>
            </w:pPr>
            <w:r w:rsidRPr="008B6A75">
              <w:rPr>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2BFD9B32" w14:textId="77777777" w:rsidR="00387142" w:rsidRPr="008B6A75" w:rsidRDefault="00387142" w:rsidP="00387142">
            <w:pPr>
              <w:jc w:val="right"/>
              <w:rPr>
                <w:sz w:val="20"/>
                <w:szCs w:val="20"/>
              </w:rPr>
            </w:pPr>
            <w:r w:rsidRPr="008B6A75">
              <w:rPr>
                <w:sz w:val="20"/>
                <w:szCs w:val="20"/>
              </w:rPr>
              <w:t>0,00</w:t>
            </w:r>
          </w:p>
        </w:tc>
      </w:tr>
      <w:tr w:rsidR="00387142" w:rsidRPr="008B6A75" w14:paraId="49B0B56E" w14:textId="77777777" w:rsidTr="00387142">
        <w:trPr>
          <w:trHeight w:val="345"/>
        </w:trPr>
        <w:tc>
          <w:tcPr>
            <w:tcW w:w="3261" w:type="dxa"/>
            <w:tcBorders>
              <w:top w:val="nil"/>
              <w:left w:val="single" w:sz="4" w:space="0" w:color="auto"/>
              <w:bottom w:val="single" w:sz="4" w:space="0" w:color="auto"/>
              <w:right w:val="nil"/>
            </w:tcBorders>
            <w:shd w:val="clear" w:color="auto" w:fill="auto"/>
            <w:vAlign w:val="center"/>
            <w:hideMark/>
          </w:tcPr>
          <w:p w14:paraId="5F0EFA0E" w14:textId="77777777" w:rsidR="00387142" w:rsidRPr="008B6A75" w:rsidRDefault="00387142" w:rsidP="00387142">
            <w:pPr>
              <w:rPr>
                <w:sz w:val="20"/>
                <w:szCs w:val="20"/>
              </w:rPr>
            </w:pPr>
            <w:r w:rsidRPr="008B6A75">
              <w:rPr>
                <w:sz w:val="20"/>
                <w:szCs w:val="20"/>
              </w:rPr>
              <w:t>Субсидии</w:t>
            </w:r>
          </w:p>
        </w:tc>
        <w:tc>
          <w:tcPr>
            <w:tcW w:w="720" w:type="dxa"/>
            <w:tcBorders>
              <w:top w:val="nil"/>
              <w:left w:val="single" w:sz="4" w:space="0" w:color="auto"/>
              <w:bottom w:val="single" w:sz="4" w:space="0" w:color="auto"/>
              <w:right w:val="nil"/>
            </w:tcBorders>
            <w:shd w:val="clear" w:color="auto" w:fill="auto"/>
            <w:noWrap/>
            <w:vAlign w:val="center"/>
            <w:hideMark/>
          </w:tcPr>
          <w:p w14:paraId="5C9BC91F" w14:textId="77777777" w:rsidR="00387142" w:rsidRPr="008B6A75" w:rsidRDefault="00387142" w:rsidP="00387142">
            <w:pPr>
              <w:jc w:val="center"/>
              <w:rPr>
                <w:sz w:val="20"/>
                <w:szCs w:val="20"/>
              </w:rPr>
            </w:pPr>
            <w:r w:rsidRPr="008B6A75">
              <w:rPr>
                <w:sz w:val="20"/>
                <w:szCs w:val="20"/>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F7F8287" w14:textId="77777777" w:rsidR="00387142" w:rsidRPr="008B6A75" w:rsidRDefault="00387142" w:rsidP="00387142">
            <w:pPr>
              <w:jc w:val="center"/>
              <w:rPr>
                <w:sz w:val="20"/>
                <w:szCs w:val="20"/>
              </w:rPr>
            </w:pPr>
            <w:r w:rsidRPr="008B6A75">
              <w:rPr>
                <w:sz w:val="20"/>
                <w:szCs w:val="20"/>
              </w:rPr>
              <w:t>06</w:t>
            </w:r>
          </w:p>
        </w:tc>
        <w:tc>
          <w:tcPr>
            <w:tcW w:w="1516" w:type="dxa"/>
            <w:tcBorders>
              <w:top w:val="nil"/>
              <w:left w:val="single" w:sz="4" w:space="0" w:color="auto"/>
              <w:bottom w:val="single" w:sz="4" w:space="0" w:color="auto"/>
              <w:right w:val="nil"/>
            </w:tcBorders>
            <w:shd w:val="clear" w:color="auto" w:fill="auto"/>
            <w:noWrap/>
            <w:vAlign w:val="center"/>
            <w:hideMark/>
          </w:tcPr>
          <w:p w14:paraId="39BF4DD5" w14:textId="77777777" w:rsidR="00387142" w:rsidRPr="008B6A75" w:rsidRDefault="00387142" w:rsidP="00387142">
            <w:pPr>
              <w:jc w:val="center"/>
              <w:rPr>
                <w:sz w:val="20"/>
                <w:szCs w:val="20"/>
              </w:rPr>
            </w:pPr>
            <w:r w:rsidRPr="008B6A75">
              <w:rPr>
                <w:sz w:val="20"/>
                <w:szCs w:val="20"/>
              </w:rPr>
              <w:t>12.0.00.70860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B19C795" w14:textId="77777777" w:rsidR="00387142" w:rsidRPr="008B6A75" w:rsidRDefault="00387142" w:rsidP="00387142">
            <w:pPr>
              <w:jc w:val="center"/>
              <w:rPr>
                <w:sz w:val="20"/>
                <w:szCs w:val="20"/>
              </w:rPr>
            </w:pPr>
            <w:r w:rsidRPr="008B6A75">
              <w:rPr>
                <w:sz w:val="20"/>
                <w:szCs w:val="20"/>
              </w:rPr>
              <w:t>520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70A8BDA" w14:textId="77777777" w:rsidR="00387142" w:rsidRPr="008B6A75" w:rsidRDefault="00387142" w:rsidP="00387142">
            <w:pPr>
              <w:jc w:val="right"/>
              <w:rPr>
                <w:sz w:val="20"/>
                <w:szCs w:val="20"/>
              </w:rPr>
            </w:pPr>
            <w:r w:rsidRPr="008B6A75">
              <w:rPr>
                <w:sz w:val="20"/>
                <w:szCs w:val="20"/>
              </w:rPr>
              <w:t>2 000 000,00</w:t>
            </w:r>
          </w:p>
        </w:tc>
        <w:tc>
          <w:tcPr>
            <w:tcW w:w="992" w:type="dxa"/>
            <w:tcBorders>
              <w:top w:val="nil"/>
              <w:left w:val="single" w:sz="4" w:space="0" w:color="auto"/>
              <w:bottom w:val="single" w:sz="4" w:space="0" w:color="auto"/>
              <w:right w:val="nil"/>
            </w:tcBorders>
            <w:shd w:val="clear" w:color="auto" w:fill="auto"/>
            <w:vAlign w:val="center"/>
            <w:hideMark/>
          </w:tcPr>
          <w:p w14:paraId="5AA3F340" w14:textId="77777777" w:rsidR="00387142" w:rsidRPr="008B6A75" w:rsidRDefault="00387142" w:rsidP="00387142">
            <w:pPr>
              <w:jc w:val="right"/>
              <w:rPr>
                <w:sz w:val="20"/>
                <w:szCs w:val="20"/>
              </w:rPr>
            </w:pPr>
            <w:r w:rsidRPr="008B6A75">
              <w:rPr>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5EB7BBE9" w14:textId="77777777" w:rsidR="00387142" w:rsidRPr="008B6A75" w:rsidRDefault="00387142" w:rsidP="00387142">
            <w:pPr>
              <w:jc w:val="right"/>
              <w:rPr>
                <w:sz w:val="20"/>
                <w:szCs w:val="20"/>
              </w:rPr>
            </w:pPr>
            <w:r w:rsidRPr="008B6A75">
              <w:rPr>
                <w:sz w:val="20"/>
                <w:szCs w:val="20"/>
              </w:rPr>
              <w:t>0,00</w:t>
            </w:r>
          </w:p>
        </w:tc>
      </w:tr>
      <w:tr w:rsidR="00387142" w:rsidRPr="008B6A75" w14:paraId="27A41C54" w14:textId="77777777" w:rsidTr="00387142">
        <w:trPr>
          <w:trHeight w:val="345"/>
        </w:trPr>
        <w:tc>
          <w:tcPr>
            <w:tcW w:w="3261" w:type="dxa"/>
            <w:tcBorders>
              <w:top w:val="nil"/>
              <w:left w:val="single" w:sz="4" w:space="0" w:color="auto"/>
              <w:bottom w:val="single" w:sz="4" w:space="0" w:color="auto"/>
              <w:right w:val="nil"/>
            </w:tcBorders>
            <w:shd w:val="clear" w:color="auto" w:fill="auto"/>
            <w:vAlign w:val="center"/>
            <w:hideMark/>
          </w:tcPr>
          <w:p w14:paraId="1B2D2A5C" w14:textId="77777777" w:rsidR="00387142" w:rsidRPr="008B6A75" w:rsidRDefault="00387142" w:rsidP="00387142">
            <w:pPr>
              <w:rPr>
                <w:bCs/>
                <w:sz w:val="20"/>
                <w:szCs w:val="20"/>
              </w:rPr>
            </w:pPr>
            <w:r w:rsidRPr="008B6A75">
              <w:rPr>
                <w:bCs/>
                <w:sz w:val="20"/>
                <w:szCs w:val="20"/>
              </w:rPr>
              <w:t>Транспорт</w:t>
            </w:r>
          </w:p>
        </w:tc>
        <w:tc>
          <w:tcPr>
            <w:tcW w:w="720" w:type="dxa"/>
            <w:tcBorders>
              <w:top w:val="nil"/>
              <w:left w:val="single" w:sz="4" w:space="0" w:color="auto"/>
              <w:bottom w:val="single" w:sz="4" w:space="0" w:color="auto"/>
              <w:right w:val="nil"/>
            </w:tcBorders>
            <w:shd w:val="clear" w:color="auto" w:fill="auto"/>
            <w:noWrap/>
            <w:vAlign w:val="center"/>
            <w:hideMark/>
          </w:tcPr>
          <w:p w14:paraId="2EBEC664" w14:textId="77777777" w:rsidR="00387142" w:rsidRPr="008B6A75" w:rsidRDefault="00387142" w:rsidP="00387142">
            <w:pPr>
              <w:jc w:val="center"/>
              <w:rPr>
                <w:bCs/>
                <w:sz w:val="20"/>
                <w:szCs w:val="20"/>
              </w:rPr>
            </w:pPr>
            <w:r w:rsidRPr="008B6A75">
              <w:rPr>
                <w:bCs/>
                <w:sz w:val="20"/>
                <w:szCs w:val="20"/>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7CDC24B" w14:textId="77777777" w:rsidR="00387142" w:rsidRPr="008B6A75" w:rsidRDefault="00387142" w:rsidP="00387142">
            <w:pPr>
              <w:jc w:val="center"/>
              <w:rPr>
                <w:bCs/>
                <w:sz w:val="20"/>
                <w:szCs w:val="20"/>
              </w:rPr>
            </w:pPr>
            <w:r w:rsidRPr="008B6A75">
              <w:rPr>
                <w:bCs/>
                <w:sz w:val="20"/>
                <w:szCs w:val="20"/>
              </w:rPr>
              <w:t>08</w:t>
            </w:r>
          </w:p>
        </w:tc>
        <w:tc>
          <w:tcPr>
            <w:tcW w:w="1516" w:type="dxa"/>
            <w:tcBorders>
              <w:top w:val="nil"/>
              <w:left w:val="single" w:sz="4" w:space="0" w:color="auto"/>
              <w:bottom w:val="single" w:sz="4" w:space="0" w:color="auto"/>
              <w:right w:val="nil"/>
            </w:tcBorders>
            <w:shd w:val="clear" w:color="auto" w:fill="auto"/>
            <w:noWrap/>
            <w:vAlign w:val="center"/>
            <w:hideMark/>
          </w:tcPr>
          <w:p w14:paraId="5BA39A86" w14:textId="77777777" w:rsidR="00387142" w:rsidRPr="008B6A75" w:rsidRDefault="00387142" w:rsidP="00387142">
            <w:pPr>
              <w:jc w:val="center"/>
              <w:rPr>
                <w:bCs/>
                <w:sz w:val="20"/>
                <w:szCs w:val="20"/>
              </w:rPr>
            </w:pPr>
            <w:r w:rsidRPr="008B6A75">
              <w:rPr>
                <w:bCs/>
                <w:sz w:val="20"/>
                <w:szCs w:val="20"/>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E6BFA5F"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F70D35E" w14:textId="77777777" w:rsidR="00387142" w:rsidRPr="008B6A75" w:rsidRDefault="00387142" w:rsidP="00387142">
            <w:pPr>
              <w:jc w:val="right"/>
              <w:rPr>
                <w:bCs/>
                <w:sz w:val="20"/>
                <w:szCs w:val="20"/>
              </w:rPr>
            </w:pPr>
            <w:r w:rsidRPr="008B6A75">
              <w:rPr>
                <w:bCs/>
                <w:sz w:val="20"/>
                <w:szCs w:val="20"/>
              </w:rPr>
              <w:t>18 337 577,00</w:t>
            </w:r>
          </w:p>
        </w:tc>
        <w:tc>
          <w:tcPr>
            <w:tcW w:w="992" w:type="dxa"/>
            <w:tcBorders>
              <w:top w:val="nil"/>
              <w:left w:val="single" w:sz="4" w:space="0" w:color="auto"/>
              <w:bottom w:val="single" w:sz="4" w:space="0" w:color="auto"/>
              <w:right w:val="nil"/>
            </w:tcBorders>
            <w:shd w:val="clear" w:color="auto" w:fill="auto"/>
            <w:vAlign w:val="center"/>
            <w:hideMark/>
          </w:tcPr>
          <w:p w14:paraId="2669BA95" w14:textId="77777777" w:rsidR="00387142" w:rsidRPr="008B6A75" w:rsidRDefault="00387142" w:rsidP="00387142">
            <w:pPr>
              <w:jc w:val="right"/>
              <w:rPr>
                <w:bCs/>
                <w:sz w:val="20"/>
                <w:szCs w:val="20"/>
              </w:rPr>
            </w:pPr>
            <w:r w:rsidRPr="008B6A75">
              <w:rPr>
                <w:bCs/>
                <w:sz w:val="20"/>
                <w:szCs w:val="20"/>
              </w:rPr>
              <w:t>15 208 707,00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41279C4D" w14:textId="77777777" w:rsidR="00387142" w:rsidRPr="008B6A75" w:rsidRDefault="00387142" w:rsidP="00387142">
            <w:pPr>
              <w:jc w:val="right"/>
              <w:rPr>
                <w:bCs/>
                <w:sz w:val="20"/>
                <w:szCs w:val="20"/>
              </w:rPr>
            </w:pPr>
            <w:r w:rsidRPr="008B6A75">
              <w:rPr>
                <w:bCs/>
                <w:sz w:val="20"/>
                <w:szCs w:val="20"/>
              </w:rPr>
              <w:t>15 208 707,00</w:t>
            </w:r>
          </w:p>
        </w:tc>
      </w:tr>
      <w:tr w:rsidR="00387142" w:rsidRPr="008B6A75" w14:paraId="30EFF0A2" w14:textId="77777777" w:rsidTr="00387142">
        <w:trPr>
          <w:trHeight w:val="1440"/>
        </w:trPr>
        <w:tc>
          <w:tcPr>
            <w:tcW w:w="3261" w:type="dxa"/>
            <w:tcBorders>
              <w:top w:val="nil"/>
              <w:left w:val="single" w:sz="4" w:space="0" w:color="auto"/>
              <w:bottom w:val="single" w:sz="4" w:space="0" w:color="auto"/>
              <w:right w:val="nil"/>
            </w:tcBorders>
            <w:shd w:val="clear" w:color="auto" w:fill="auto"/>
            <w:vAlign w:val="center"/>
            <w:hideMark/>
          </w:tcPr>
          <w:p w14:paraId="5DDF7AA3" w14:textId="77777777" w:rsidR="00387142" w:rsidRPr="008B6A75" w:rsidRDefault="00387142" w:rsidP="00387142">
            <w:pPr>
              <w:rPr>
                <w:bCs/>
                <w:sz w:val="20"/>
                <w:szCs w:val="20"/>
              </w:rPr>
            </w:pPr>
            <w:r w:rsidRPr="008B6A75">
              <w:rPr>
                <w:bCs/>
                <w:sz w:val="20"/>
                <w:szCs w:val="20"/>
              </w:rPr>
              <w:t>Муниципальная программа «Обеспечение доступности услуг автобусного пассажирского транспорта, осуществляющего перевозки по муниципальным маршрутам внутрирайонного сообщения в Куйбышевском районе»</w:t>
            </w:r>
          </w:p>
        </w:tc>
        <w:tc>
          <w:tcPr>
            <w:tcW w:w="720" w:type="dxa"/>
            <w:tcBorders>
              <w:top w:val="nil"/>
              <w:left w:val="single" w:sz="4" w:space="0" w:color="auto"/>
              <w:bottom w:val="single" w:sz="4" w:space="0" w:color="auto"/>
              <w:right w:val="nil"/>
            </w:tcBorders>
            <w:shd w:val="clear" w:color="auto" w:fill="auto"/>
            <w:noWrap/>
            <w:vAlign w:val="center"/>
            <w:hideMark/>
          </w:tcPr>
          <w:p w14:paraId="61709AED" w14:textId="77777777" w:rsidR="00387142" w:rsidRPr="008B6A75" w:rsidRDefault="00387142" w:rsidP="00387142">
            <w:pPr>
              <w:jc w:val="center"/>
              <w:rPr>
                <w:bCs/>
                <w:sz w:val="20"/>
                <w:szCs w:val="20"/>
              </w:rPr>
            </w:pPr>
            <w:r w:rsidRPr="008B6A75">
              <w:rPr>
                <w:bCs/>
                <w:sz w:val="20"/>
                <w:szCs w:val="20"/>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7F45C87" w14:textId="77777777" w:rsidR="00387142" w:rsidRPr="008B6A75" w:rsidRDefault="00387142" w:rsidP="00387142">
            <w:pPr>
              <w:jc w:val="center"/>
              <w:rPr>
                <w:bCs/>
                <w:sz w:val="20"/>
                <w:szCs w:val="20"/>
              </w:rPr>
            </w:pPr>
            <w:r w:rsidRPr="008B6A75">
              <w:rPr>
                <w:bCs/>
                <w:sz w:val="20"/>
                <w:szCs w:val="20"/>
              </w:rPr>
              <w:t>08</w:t>
            </w:r>
          </w:p>
        </w:tc>
        <w:tc>
          <w:tcPr>
            <w:tcW w:w="1516" w:type="dxa"/>
            <w:tcBorders>
              <w:top w:val="nil"/>
              <w:left w:val="single" w:sz="4" w:space="0" w:color="auto"/>
              <w:bottom w:val="single" w:sz="4" w:space="0" w:color="auto"/>
              <w:right w:val="nil"/>
            </w:tcBorders>
            <w:shd w:val="clear" w:color="auto" w:fill="auto"/>
            <w:noWrap/>
            <w:vAlign w:val="center"/>
            <w:hideMark/>
          </w:tcPr>
          <w:p w14:paraId="348E6622" w14:textId="77777777" w:rsidR="00387142" w:rsidRPr="008B6A75" w:rsidRDefault="00387142" w:rsidP="00387142">
            <w:pPr>
              <w:jc w:val="center"/>
              <w:rPr>
                <w:bCs/>
                <w:sz w:val="20"/>
                <w:szCs w:val="20"/>
              </w:rPr>
            </w:pPr>
            <w:r w:rsidRPr="008B6A75">
              <w:rPr>
                <w:bCs/>
                <w:sz w:val="20"/>
                <w:szCs w:val="20"/>
              </w:rPr>
              <w:t>32.0.00.00000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5F0FDF1"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94AED5B" w14:textId="77777777" w:rsidR="00387142" w:rsidRPr="008B6A75" w:rsidRDefault="00387142" w:rsidP="00387142">
            <w:pPr>
              <w:jc w:val="right"/>
              <w:rPr>
                <w:bCs/>
                <w:sz w:val="20"/>
                <w:szCs w:val="20"/>
              </w:rPr>
            </w:pPr>
            <w:r w:rsidRPr="008B6A75">
              <w:rPr>
                <w:bCs/>
                <w:sz w:val="20"/>
                <w:szCs w:val="20"/>
              </w:rPr>
              <w:t>18 337 577,00</w:t>
            </w:r>
          </w:p>
        </w:tc>
        <w:tc>
          <w:tcPr>
            <w:tcW w:w="992" w:type="dxa"/>
            <w:tcBorders>
              <w:top w:val="nil"/>
              <w:left w:val="single" w:sz="4" w:space="0" w:color="auto"/>
              <w:bottom w:val="single" w:sz="4" w:space="0" w:color="auto"/>
              <w:right w:val="nil"/>
            </w:tcBorders>
            <w:shd w:val="clear" w:color="auto" w:fill="auto"/>
            <w:vAlign w:val="center"/>
            <w:hideMark/>
          </w:tcPr>
          <w:p w14:paraId="6A8077A0" w14:textId="77777777" w:rsidR="00387142" w:rsidRPr="008B6A75" w:rsidRDefault="00387142" w:rsidP="00387142">
            <w:pPr>
              <w:jc w:val="right"/>
              <w:rPr>
                <w:bCs/>
                <w:sz w:val="20"/>
                <w:szCs w:val="20"/>
              </w:rPr>
            </w:pPr>
            <w:r w:rsidRPr="008B6A75">
              <w:rPr>
                <w:bCs/>
                <w:sz w:val="20"/>
                <w:szCs w:val="20"/>
              </w:rPr>
              <w:t>15 208 707,00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5D7A1E79" w14:textId="77777777" w:rsidR="00387142" w:rsidRPr="008B6A75" w:rsidRDefault="00387142" w:rsidP="00387142">
            <w:pPr>
              <w:jc w:val="right"/>
              <w:rPr>
                <w:bCs/>
                <w:sz w:val="20"/>
                <w:szCs w:val="20"/>
              </w:rPr>
            </w:pPr>
            <w:r w:rsidRPr="008B6A75">
              <w:rPr>
                <w:bCs/>
                <w:sz w:val="20"/>
                <w:szCs w:val="20"/>
              </w:rPr>
              <w:t>15 208 707,00</w:t>
            </w:r>
          </w:p>
        </w:tc>
      </w:tr>
      <w:tr w:rsidR="00387142" w:rsidRPr="008B6A75" w14:paraId="41BD5A41" w14:textId="77777777" w:rsidTr="00387142">
        <w:trPr>
          <w:trHeight w:val="1725"/>
        </w:trPr>
        <w:tc>
          <w:tcPr>
            <w:tcW w:w="3261" w:type="dxa"/>
            <w:tcBorders>
              <w:top w:val="nil"/>
              <w:left w:val="single" w:sz="4" w:space="0" w:color="auto"/>
              <w:bottom w:val="single" w:sz="4" w:space="0" w:color="auto"/>
              <w:right w:val="nil"/>
            </w:tcBorders>
            <w:shd w:val="clear" w:color="auto" w:fill="auto"/>
            <w:vAlign w:val="center"/>
            <w:hideMark/>
          </w:tcPr>
          <w:p w14:paraId="7FEF472C" w14:textId="77777777" w:rsidR="00387142" w:rsidRPr="008B6A75" w:rsidRDefault="00387142" w:rsidP="00387142">
            <w:pPr>
              <w:rPr>
                <w:bCs/>
                <w:sz w:val="20"/>
                <w:szCs w:val="20"/>
              </w:rPr>
            </w:pPr>
            <w:r w:rsidRPr="008B6A75">
              <w:rPr>
                <w:bCs/>
                <w:sz w:val="20"/>
                <w:szCs w:val="20"/>
              </w:rPr>
              <w:t>Реализация мероприятий муниципальной программы «Обеспечение доступности услуг автобусного пассажирского транспорта, осуществляющего перевозки по муниципальным маршрутам внутрирайонного сообщения в Куйбышевском районе»</w:t>
            </w:r>
          </w:p>
        </w:tc>
        <w:tc>
          <w:tcPr>
            <w:tcW w:w="720" w:type="dxa"/>
            <w:tcBorders>
              <w:top w:val="nil"/>
              <w:left w:val="single" w:sz="4" w:space="0" w:color="auto"/>
              <w:bottom w:val="single" w:sz="4" w:space="0" w:color="auto"/>
              <w:right w:val="nil"/>
            </w:tcBorders>
            <w:shd w:val="clear" w:color="auto" w:fill="auto"/>
            <w:noWrap/>
            <w:vAlign w:val="center"/>
            <w:hideMark/>
          </w:tcPr>
          <w:p w14:paraId="198A5866" w14:textId="77777777" w:rsidR="00387142" w:rsidRPr="008B6A75" w:rsidRDefault="00387142" w:rsidP="00387142">
            <w:pPr>
              <w:jc w:val="center"/>
              <w:rPr>
                <w:bCs/>
                <w:sz w:val="20"/>
                <w:szCs w:val="20"/>
              </w:rPr>
            </w:pPr>
            <w:r w:rsidRPr="008B6A75">
              <w:rPr>
                <w:bCs/>
                <w:sz w:val="20"/>
                <w:szCs w:val="20"/>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B6E0CCE" w14:textId="77777777" w:rsidR="00387142" w:rsidRPr="008B6A75" w:rsidRDefault="00387142" w:rsidP="00387142">
            <w:pPr>
              <w:jc w:val="center"/>
              <w:rPr>
                <w:bCs/>
                <w:sz w:val="20"/>
                <w:szCs w:val="20"/>
              </w:rPr>
            </w:pPr>
            <w:r w:rsidRPr="008B6A75">
              <w:rPr>
                <w:bCs/>
                <w:sz w:val="20"/>
                <w:szCs w:val="20"/>
              </w:rPr>
              <w:t>08</w:t>
            </w:r>
          </w:p>
        </w:tc>
        <w:tc>
          <w:tcPr>
            <w:tcW w:w="1516" w:type="dxa"/>
            <w:tcBorders>
              <w:top w:val="nil"/>
              <w:left w:val="single" w:sz="4" w:space="0" w:color="auto"/>
              <w:bottom w:val="single" w:sz="4" w:space="0" w:color="auto"/>
              <w:right w:val="nil"/>
            </w:tcBorders>
            <w:shd w:val="clear" w:color="auto" w:fill="auto"/>
            <w:noWrap/>
            <w:vAlign w:val="center"/>
            <w:hideMark/>
          </w:tcPr>
          <w:p w14:paraId="77EE2D2C" w14:textId="77777777" w:rsidR="00387142" w:rsidRPr="008B6A75" w:rsidRDefault="00387142" w:rsidP="00387142">
            <w:pPr>
              <w:jc w:val="center"/>
              <w:rPr>
                <w:bCs/>
                <w:sz w:val="20"/>
                <w:szCs w:val="20"/>
              </w:rPr>
            </w:pPr>
            <w:r w:rsidRPr="008B6A75">
              <w:rPr>
                <w:bCs/>
                <w:sz w:val="20"/>
                <w:szCs w:val="20"/>
              </w:rPr>
              <w:t>32.0.00.49532</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747F862"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F1083C4" w14:textId="77777777" w:rsidR="00387142" w:rsidRPr="008B6A75" w:rsidRDefault="00387142" w:rsidP="00387142">
            <w:pPr>
              <w:jc w:val="right"/>
              <w:rPr>
                <w:bCs/>
                <w:sz w:val="20"/>
                <w:szCs w:val="20"/>
              </w:rPr>
            </w:pPr>
            <w:r w:rsidRPr="008B6A75">
              <w:rPr>
                <w:bCs/>
                <w:sz w:val="20"/>
                <w:szCs w:val="20"/>
              </w:rPr>
              <w:t>207 470,00</w:t>
            </w:r>
          </w:p>
        </w:tc>
        <w:tc>
          <w:tcPr>
            <w:tcW w:w="992" w:type="dxa"/>
            <w:tcBorders>
              <w:top w:val="nil"/>
              <w:left w:val="single" w:sz="4" w:space="0" w:color="auto"/>
              <w:bottom w:val="single" w:sz="4" w:space="0" w:color="auto"/>
              <w:right w:val="nil"/>
            </w:tcBorders>
            <w:shd w:val="clear" w:color="auto" w:fill="auto"/>
            <w:vAlign w:val="center"/>
            <w:hideMark/>
          </w:tcPr>
          <w:p w14:paraId="679BF0EF" w14:textId="77777777" w:rsidR="00387142" w:rsidRPr="008B6A75" w:rsidRDefault="00387142" w:rsidP="00387142">
            <w:pPr>
              <w:jc w:val="right"/>
              <w:rPr>
                <w:bCs/>
                <w:sz w:val="20"/>
                <w:szCs w:val="20"/>
              </w:rPr>
            </w:pPr>
            <w:r w:rsidRPr="008B6A75">
              <w:rPr>
                <w:bCs/>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6476EF0B" w14:textId="77777777" w:rsidR="00387142" w:rsidRPr="008B6A75" w:rsidRDefault="00387142" w:rsidP="00387142">
            <w:pPr>
              <w:jc w:val="right"/>
              <w:rPr>
                <w:bCs/>
                <w:sz w:val="20"/>
                <w:szCs w:val="20"/>
              </w:rPr>
            </w:pPr>
            <w:r w:rsidRPr="008B6A75">
              <w:rPr>
                <w:bCs/>
                <w:sz w:val="20"/>
                <w:szCs w:val="20"/>
              </w:rPr>
              <w:t>0,00</w:t>
            </w:r>
          </w:p>
        </w:tc>
      </w:tr>
      <w:tr w:rsidR="00387142" w:rsidRPr="008B6A75" w14:paraId="6470EA3B" w14:textId="77777777" w:rsidTr="00387142">
        <w:trPr>
          <w:trHeight w:val="585"/>
        </w:trPr>
        <w:tc>
          <w:tcPr>
            <w:tcW w:w="3261" w:type="dxa"/>
            <w:tcBorders>
              <w:top w:val="nil"/>
              <w:left w:val="single" w:sz="4" w:space="0" w:color="auto"/>
              <w:bottom w:val="single" w:sz="4" w:space="0" w:color="auto"/>
              <w:right w:val="nil"/>
            </w:tcBorders>
            <w:shd w:val="clear" w:color="auto" w:fill="auto"/>
            <w:vAlign w:val="center"/>
            <w:hideMark/>
          </w:tcPr>
          <w:p w14:paraId="183C409D" w14:textId="77777777" w:rsidR="00387142" w:rsidRPr="008B6A75" w:rsidRDefault="00387142" w:rsidP="00387142">
            <w:pPr>
              <w:rPr>
                <w:sz w:val="20"/>
                <w:szCs w:val="20"/>
              </w:rPr>
            </w:pPr>
            <w:r w:rsidRPr="008B6A75">
              <w:rPr>
                <w:sz w:val="20"/>
                <w:szCs w:val="20"/>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5A878812" w14:textId="77777777" w:rsidR="00387142" w:rsidRPr="008B6A75" w:rsidRDefault="00387142" w:rsidP="00387142">
            <w:pPr>
              <w:jc w:val="center"/>
              <w:rPr>
                <w:sz w:val="20"/>
                <w:szCs w:val="20"/>
              </w:rPr>
            </w:pPr>
            <w:r w:rsidRPr="008B6A75">
              <w:rPr>
                <w:sz w:val="20"/>
                <w:szCs w:val="20"/>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C7C0DDB" w14:textId="77777777" w:rsidR="00387142" w:rsidRPr="008B6A75" w:rsidRDefault="00387142" w:rsidP="00387142">
            <w:pPr>
              <w:jc w:val="center"/>
              <w:rPr>
                <w:sz w:val="20"/>
                <w:szCs w:val="20"/>
              </w:rPr>
            </w:pPr>
            <w:r w:rsidRPr="008B6A75">
              <w:rPr>
                <w:sz w:val="20"/>
                <w:szCs w:val="20"/>
              </w:rPr>
              <w:t>08</w:t>
            </w:r>
          </w:p>
        </w:tc>
        <w:tc>
          <w:tcPr>
            <w:tcW w:w="1516" w:type="dxa"/>
            <w:tcBorders>
              <w:top w:val="nil"/>
              <w:left w:val="single" w:sz="4" w:space="0" w:color="auto"/>
              <w:bottom w:val="single" w:sz="4" w:space="0" w:color="auto"/>
              <w:right w:val="nil"/>
            </w:tcBorders>
            <w:shd w:val="clear" w:color="auto" w:fill="auto"/>
            <w:noWrap/>
            <w:vAlign w:val="center"/>
            <w:hideMark/>
          </w:tcPr>
          <w:p w14:paraId="5E2C52F0" w14:textId="77777777" w:rsidR="00387142" w:rsidRPr="008B6A75" w:rsidRDefault="00387142" w:rsidP="00387142">
            <w:pPr>
              <w:jc w:val="center"/>
              <w:rPr>
                <w:sz w:val="20"/>
                <w:szCs w:val="20"/>
              </w:rPr>
            </w:pPr>
            <w:r w:rsidRPr="008B6A75">
              <w:rPr>
                <w:sz w:val="20"/>
                <w:szCs w:val="20"/>
              </w:rPr>
              <w:t>32.0.00.49532</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576ACDC" w14:textId="77777777" w:rsidR="00387142" w:rsidRPr="008B6A75" w:rsidRDefault="00387142" w:rsidP="00387142">
            <w:pPr>
              <w:jc w:val="center"/>
              <w:rPr>
                <w:sz w:val="20"/>
                <w:szCs w:val="20"/>
              </w:rPr>
            </w:pPr>
            <w:r w:rsidRPr="008B6A75">
              <w:rPr>
                <w:sz w:val="20"/>
                <w:szCs w:val="20"/>
              </w:rPr>
              <w:t>200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4D24E70" w14:textId="77777777" w:rsidR="00387142" w:rsidRPr="008B6A75" w:rsidRDefault="00387142" w:rsidP="00387142">
            <w:pPr>
              <w:jc w:val="right"/>
              <w:rPr>
                <w:sz w:val="20"/>
                <w:szCs w:val="20"/>
              </w:rPr>
            </w:pPr>
            <w:r w:rsidRPr="008B6A75">
              <w:rPr>
                <w:sz w:val="20"/>
                <w:szCs w:val="20"/>
              </w:rPr>
              <w:t>207 470,00</w:t>
            </w:r>
          </w:p>
        </w:tc>
        <w:tc>
          <w:tcPr>
            <w:tcW w:w="992" w:type="dxa"/>
            <w:tcBorders>
              <w:top w:val="nil"/>
              <w:left w:val="single" w:sz="4" w:space="0" w:color="auto"/>
              <w:bottom w:val="single" w:sz="4" w:space="0" w:color="auto"/>
              <w:right w:val="nil"/>
            </w:tcBorders>
            <w:shd w:val="clear" w:color="auto" w:fill="auto"/>
            <w:vAlign w:val="center"/>
            <w:hideMark/>
          </w:tcPr>
          <w:p w14:paraId="6317E259" w14:textId="77777777" w:rsidR="00387142" w:rsidRPr="008B6A75" w:rsidRDefault="00387142" w:rsidP="00387142">
            <w:pPr>
              <w:jc w:val="right"/>
              <w:rPr>
                <w:sz w:val="20"/>
                <w:szCs w:val="20"/>
              </w:rPr>
            </w:pPr>
            <w:r w:rsidRPr="008B6A75">
              <w:rPr>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26534AFF" w14:textId="77777777" w:rsidR="00387142" w:rsidRPr="008B6A75" w:rsidRDefault="00387142" w:rsidP="00387142">
            <w:pPr>
              <w:jc w:val="right"/>
              <w:rPr>
                <w:sz w:val="20"/>
                <w:szCs w:val="20"/>
              </w:rPr>
            </w:pPr>
            <w:r w:rsidRPr="008B6A75">
              <w:rPr>
                <w:sz w:val="20"/>
                <w:szCs w:val="20"/>
              </w:rPr>
              <w:t>0,00</w:t>
            </w:r>
          </w:p>
        </w:tc>
      </w:tr>
      <w:tr w:rsidR="00387142" w:rsidRPr="008B6A75" w14:paraId="509F1D99" w14:textId="77777777" w:rsidTr="00387142">
        <w:trPr>
          <w:trHeight w:val="870"/>
        </w:trPr>
        <w:tc>
          <w:tcPr>
            <w:tcW w:w="3261" w:type="dxa"/>
            <w:tcBorders>
              <w:top w:val="nil"/>
              <w:left w:val="single" w:sz="4" w:space="0" w:color="auto"/>
              <w:bottom w:val="single" w:sz="4" w:space="0" w:color="auto"/>
              <w:right w:val="nil"/>
            </w:tcBorders>
            <w:shd w:val="clear" w:color="auto" w:fill="auto"/>
            <w:vAlign w:val="center"/>
            <w:hideMark/>
          </w:tcPr>
          <w:p w14:paraId="5AD6D237" w14:textId="77777777" w:rsidR="00387142" w:rsidRPr="008B6A75" w:rsidRDefault="00387142" w:rsidP="00387142">
            <w:pPr>
              <w:rPr>
                <w:sz w:val="20"/>
                <w:szCs w:val="20"/>
              </w:rPr>
            </w:pPr>
            <w:r w:rsidRPr="008B6A75">
              <w:rPr>
                <w:sz w:val="20"/>
                <w:szCs w:val="20"/>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7E4B80B0" w14:textId="77777777" w:rsidR="00387142" w:rsidRPr="008B6A75" w:rsidRDefault="00387142" w:rsidP="00387142">
            <w:pPr>
              <w:jc w:val="center"/>
              <w:rPr>
                <w:sz w:val="20"/>
                <w:szCs w:val="20"/>
              </w:rPr>
            </w:pPr>
            <w:r w:rsidRPr="008B6A75">
              <w:rPr>
                <w:sz w:val="20"/>
                <w:szCs w:val="20"/>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194D1AE" w14:textId="77777777" w:rsidR="00387142" w:rsidRPr="008B6A75" w:rsidRDefault="00387142" w:rsidP="00387142">
            <w:pPr>
              <w:jc w:val="center"/>
              <w:rPr>
                <w:sz w:val="20"/>
                <w:szCs w:val="20"/>
              </w:rPr>
            </w:pPr>
            <w:r w:rsidRPr="008B6A75">
              <w:rPr>
                <w:sz w:val="20"/>
                <w:szCs w:val="20"/>
              </w:rPr>
              <w:t>08</w:t>
            </w:r>
          </w:p>
        </w:tc>
        <w:tc>
          <w:tcPr>
            <w:tcW w:w="1516" w:type="dxa"/>
            <w:tcBorders>
              <w:top w:val="nil"/>
              <w:left w:val="single" w:sz="4" w:space="0" w:color="auto"/>
              <w:bottom w:val="single" w:sz="4" w:space="0" w:color="auto"/>
              <w:right w:val="nil"/>
            </w:tcBorders>
            <w:shd w:val="clear" w:color="auto" w:fill="auto"/>
            <w:noWrap/>
            <w:vAlign w:val="center"/>
            <w:hideMark/>
          </w:tcPr>
          <w:p w14:paraId="353CCFDC" w14:textId="77777777" w:rsidR="00387142" w:rsidRPr="008B6A75" w:rsidRDefault="00387142" w:rsidP="00387142">
            <w:pPr>
              <w:jc w:val="center"/>
              <w:rPr>
                <w:sz w:val="20"/>
                <w:szCs w:val="20"/>
              </w:rPr>
            </w:pPr>
            <w:r w:rsidRPr="008B6A75">
              <w:rPr>
                <w:sz w:val="20"/>
                <w:szCs w:val="20"/>
              </w:rPr>
              <w:t>32.0.00.49532</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8FF07FB" w14:textId="77777777" w:rsidR="00387142" w:rsidRPr="008B6A75" w:rsidRDefault="00387142" w:rsidP="00387142">
            <w:pPr>
              <w:jc w:val="center"/>
              <w:rPr>
                <w:sz w:val="20"/>
                <w:szCs w:val="20"/>
              </w:rPr>
            </w:pPr>
            <w:r w:rsidRPr="008B6A75">
              <w:rPr>
                <w:sz w:val="20"/>
                <w:szCs w:val="20"/>
              </w:rPr>
              <w:t>240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AE218F3" w14:textId="77777777" w:rsidR="00387142" w:rsidRPr="008B6A75" w:rsidRDefault="00387142" w:rsidP="00387142">
            <w:pPr>
              <w:jc w:val="right"/>
              <w:rPr>
                <w:sz w:val="20"/>
                <w:szCs w:val="20"/>
              </w:rPr>
            </w:pPr>
            <w:r w:rsidRPr="008B6A75">
              <w:rPr>
                <w:sz w:val="20"/>
                <w:szCs w:val="20"/>
              </w:rPr>
              <w:t>207 470,00</w:t>
            </w:r>
          </w:p>
        </w:tc>
        <w:tc>
          <w:tcPr>
            <w:tcW w:w="992" w:type="dxa"/>
            <w:tcBorders>
              <w:top w:val="nil"/>
              <w:left w:val="single" w:sz="4" w:space="0" w:color="auto"/>
              <w:bottom w:val="single" w:sz="4" w:space="0" w:color="auto"/>
              <w:right w:val="nil"/>
            </w:tcBorders>
            <w:shd w:val="clear" w:color="auto" w:fill="auto"/>
            <w:vAlign w:val="center"/>
            <w:hideMark/>
          </w:tcPr>
          <w:p w14:paraId="7EE40A59" w14:textId="77777777" w:rsidR="00387142" w:rsidRPr="008B6A75" w:rsidRDefault="00387142" w:rsidP="00387142">
            <w:pPr>
              <w:jc w:val="right"/>
              <w:rPr>
                <w:sz w:val="20"/>
                <w:szCs w:val="20"/>
              </w:rPr>
            </w:pPr>
            <w:r w:rsidRPr="008B6A75">
              <w:rPr>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0D6E0414" w14:textId="77777777" w:rsidR="00387142" w:rsidRPr="008B6A75" w:rsidRDefault="00387142" w:rsidP="00387142">
            <w:pPr>
              <w:jc w:val="right"/>
              <w:rPr>
                <w:sz w:val="20"/>
                <w:szCs w:val="20"/>
              </w:rPr>
            </w:pPr>
            <w:r w:rsidRPr="008B6A75">
              <w:rPr>
                <w:sz w:val="20"/>
                <w:szCs w:val="20"/>
              </w:rPr>
              <w:t>0,00</w:t>
            </w:r>
          </w:p>
        </w:tc>
      </w:tr>
      <w:tr w:rsidR="00387142" w:rsidRPr="008B6A75" w14:paraId="29F18D61" w14:textId="77777777" w:rsidTr="00387142">
        <w:trPr>
          <w:trHeight w:val="2580"/>
        </w:trPr>
        <w:tc>
          <w:tcPr>
            <w:tcW w:w="3261" w:type="dxa"/>
            <w:tcBorders>
              <w:top w:val="nil"/>
              <w:left w:val="single" w:sz="4" w:space="0" w:color="auto"/>
              <w:bottom w:val="single" w:sz="4" w:space="0" w:color="auto"/>
              <w:right w:val="nil"/>
            </w:tcBorders>
            <w:shd w:val="clear" w:color="auto" w:fill="auto"/>
            <w:vAlign w:val="center"/>
            <w:hideMark/>
          </w:tcPr>
          <w:p w14:paraId="033F687A" w14:textId="77777777" w:rsidR="00387142" w:rsidRPr="008B6A75" w:rsidRDefault="00387142" w:rsidP="00387142">
            <w:pPr>
              <w:rPr>
                <w:bCs/>
                <w:sz w:val="20"/>
                <w:szCs w:val="20"/>
              </w:rPr>
            </w:pPr>
            <w:r w:rsidRPr="008B6A75">
              <w:rPr>
                <w:bCs/>
                <w:sz w:val="20"/>
                <w:szCs w:val="20"/>
              </w:rPr>
              <w:lastRenderedPageBreak/>
              <w:t>Приобретение (обновление) транспортных средств автомобильного и наземного электрического общественного пассажирского транспорта государственной программы Новосибирской области "Обеспечение доступности услуг общественного пассажирского транспорта, в том числе Новосибирского метрополитена, для населения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14:paraId="3297C765" w14:textId="77777777" w:rsidR="00387142" w:rsidRPr="008B6A75" w:rsidRDefault="00387142" w:rsidP="00387142">
            <w:pPr>
              <w:jc w:val="center"/>
              <w:rPr>
                <w:bCs/>
                <w:sz w:val="20"/>
                <w:szCs w:val="20"/>
              </w:rPr>
            </w:pPr>
            <w:r w:rsidRPr="008B6A75">
              <w:rPr>
                <w:bCs/>
                <w:sz w:val="20"/>
                <w:szCs w:val="20"/>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3C93494" w14:textId="77777777" w:rsidR="00387142" w:rsidRPr="008B6A75" w:rsidRDefault="00387142" w:rsidP="00387142">
            <w:pPr>
              <w:jc w:val="center"/>
              <w:rPr>
                <w:bCs/>
                <w:sz w:val="20"/>
                <w:szCs w:val="20"/>
              </w:rPr>
            </w:pPr>
            <w:r w:rsidRPr="008B6A75">
              <w:rPr>
                <w:bCs/>
                <w:sz w:val="20"/>
                <w:szCs w:val="20"/>
              </w:rPr>
              <w:t>08</w:t>
            </w:r>
          </w:p>
        </w:tc>
        <w:tc>
          <w:tcPr>
            <w:tcW w:w="1516" w:type="dxa"/>
            <w:tcBorders>
              <w:top w:val="nil"/>
              <w:left w:val="single" w:sz="4" w:space="0" w:color="auto"/>
              <w:bottom w:val="single" w:sz="4" w:space="0" w:color="auto"/>
              <w:right w:val="nil"/>
            </w:tcBorders>
            <w:shd w:val="clear" w:color="auto" w:fill="auto"/>
            <w:noWrap/>
            <w:vAlign w:val="center"/>
            <w:hideMark/>
          </w:tcPr>
          <w:p w14:paraId="58F2D5CD" w14:textId="77777777" w:rsidR="00387142" w:rsidRPr="008B6A75" w:rsidRDefault="00387142" w:rsidP="00387142">
            <w:pPr>
              <w:jc w:val="center"/>
              <w:rPr>
                <w:bCs/>
                <w:sz w:val="20"/>
                <w:szCs w:val="20"/>
              </w:rPr>
            </w:pPr>
            <w:r w:rsidRPr="008B6A75">
              <w:rPr>
                <w:bCs/>
                <w:sz w:val="20"/>
                <w:szCs w:val="20"/>
              </w:rPr>
              <w:t>32.0.00.70170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700F09C"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A1B9A63" w14:textId="77777777" w:rsidR="00387142" w:rsidRPr="008B6A75" w:rsidRDefault="00387142" w:rsidP="00387142">
            <w:pPr>
              <w:jc w:val="right"/>
              <w:rPr>
                <w:bCs/>
                <w:sz w:val="20"/>
                <w:szCs w:val="20"/>
              </w:rPr>
            </w:pPr>
            <w:r w:rsidRPr="008B6A75">
              <w:rPr>
                <w:bCs/>
                <w:sz w:val="20"/>
                <w:szCs w:val="20"/>
              </w:rPr>
              <w:t>1 752 800,00</w:t>
            </w:r>
          </w:p>
        </w:tc>
        <w:tc>
          <w:tcPr>
            <w:tcW w:w="992" w:type="dxa"/>
            <w:tcBorders>
              <w:top w:val="nil"/>
              <w:left w:val="single" w:sz="4" w:space="0" w:color="auto"/>
              <w:bottom w:val="single" w:sz="4" w:space="0" w:color="auto"/>
              <w:right w:val="nil"/>
            </w:tcBorders>
            <w:shd w:val="clear" w:color="auto" w:fill="auto"/>
            <w:vAlign w:val="center"/>
            <w:hideMark/>
          </w:tcPr>
          <w:p w14:paraId="0FFEC2C7" w14:textId="77777777" w:rsidR="00387142" w:rsidRPr="008B6A75" w:rsidRDefault="00387142" w:rsidP="00387142">
            <w:pPr>
              <w:jc w:val="right"/>
              <w:rPr>
                <w:bCs/>
                <w:sz w:val="20"/>
                <w:szCs w:val="20"/>
              </w:rPr>
            </w:pPr>
            <w:r w:rsidRPr="008B6A75">
              <w:rPr>
                <w:bCs/>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3B82F4AE" w14:textId="77777777" w:rsidR="00387142" w:rsidRPr="008B6A75" w:rsidRDefault="00387142" w:rsidP="00387142">
            <w:pPr>
              <w:jc w:val="right"/>
              <w:rPr>
                <w:bCs/>
                <w:sz w:val="20"/>
                <w:szCs w:val="20"/>
              </w:rPr>
            </w:pPr>
            <w:r w:rsidRPr="008B6A75">
              <w:rPr>
                <w:bCs/>
                <w:sz w:val="20"/>
                <w:szCs w:val="20"/>
              </w:rPr>
              <w:t>0,00</w:t>
            </w:r>
          </w:p>
        </w:tc>
      </w:tr>
      <w:tr w:rsidR="00387142" w:rsidRPr="008B6A75" w14:paraId="6CD4FFA2" w14:textId="77777777" w:rsidTr="00387142">
        <w:trPr>
          <w:trHeight w:val="585"/>
        </w:trPr>
        <w:tc>
          <w:tcPr>
            <w:tcW w:w="3261" w:type="dxa"/>
            <w:tcBorders>
              <w:top w:val="nil"/>
              <w:left w:val="single" w:sz="4" w:space="0" w:color="auto"/>
              <w:bottom w:val="single" w:sz="4" w:space="0" w:color="auto"/>
              <w:right w:val="nil"/>
            </w:tcBorders>
            <w:shd w:val="clear" w:color="auto" w:fill="auto"/>
            <w:vAlign w:val="center"/>
            <w:hideMark/>
          </w:tcPr>
          <w:p w14:paraId="32C997BC" w14:textId="77777777" w:rsidR="00387142" w:rsidRPr="008B6A75" w:rsidRDefault="00387142" w:rsidP="00387142">
            <w:pPr>
              <w:rPr>
                <w:sz w:val="20"/>
                <w:szCs w:val="20"/>
              </w:rPr>
            </w:pPr>
            <w:r w:rsidRPr="008B6A75">
              <w:rPr>
                <w:sz w:val="20"/>
                <w:szCs w:val="20"/>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7ACEC46F" w14:textId="77777777" w:rsidR="00387142" w:rsidRPr="008B6A75" w:rsidRDefault="00387142" w:rsidP="00387142">
            <w:pPr>
              <w:jc w:val="center"/>
              <w:rPr>
                <w:sz w:val="20"/>
                <w:szCs w:val="20"/>
              </w:rPr>
            </w:pPr>
            <w:r w:rsidRPr="008B6A75">
              <w:rPr>
                <w:sz w:val="20"/>
                <w:szCs w:val="20"/>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952DEEB" w14:textId="77777777" w:rsidR="00387142" w:rsidRPr="008B6A75" w:rsidRDefault="00387142" w:rsidP="00387142">
            <w:pPr>
              <w:jc w:val="center"/>
              <w:rPr>
                <w:sz w:val="20"/>
                <w:szCs w:val="20"/>
              </w:rPr>
            </w:pPr>
            <w:r w:rsidRPr="008B6A75">
              <w:rPr>
                <w:sz w:val="20"/>
                <w:szCs w:val="20"/>
              </w:rPr>
              <w:t>08</w:t>
            </w:r>
          </w:p>
        </w:tc>
        <w:tc>
          <w:tcPr>
            <w:tcW w:w="1516" w:type="dxa"/>
            <w:tcBorders>
              <w:top w:val="nil"/>
              <w:left w:val="single" w:sz="4" w:space="0" w:color="auto"/>
              <w:bottom w:val="single" w:sz="4" w:space="0" w:color="auto"/>
              <w:right w:val="nil"/>
            </w:tcBorders>
            <w:shd w:val="clear" w:color="auto" w:fill="auto"/>
            <w:noWrap/>
            <w:vAlign w:val="center"/>
            <w:hideMark/>
          </w:tcPr>
          <w:p w14:paraId="2B3EBC4F" w14:textId="77777777" w:rsidR="00387142" w:rsidRPr="008B6A75" w:rsidRDefault="00387142" w:rsidP="00387142">
            <w:pPr>
              <w:jc w:val="center"/>
              <w:rPr>
                <w:sz w:val="20"/>
                <w:szCs w:val="20"/>
              </w:rPr>
            </w:pPr>
            <w:r w:rsidRPr="008B6A75">
              <w:rPr>
                <w:sz w:val="20"/>
                <w:szCs w:val="20"/>
              </w:rPr>
              <w:t>32.0.00.70170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0CADB7F" w14:textId="77777777" w:rsidR="00387142" w:rsidRPr="008B6A75" w:rsidRDefault="00387142" w:rsidP="00387142">
            <w:pPr>
              <w:jc w:val="center"/>
              <w:rPr>
                <w:sz w:val="20"/>
                <w:szCs w:val="20"/>
              </w:rPr>
            </w:pPr>
            <w:r w:rsidRPr="008B6A75">
              <w:rPr>
                <w:sz w:val="20"/>
                <w:szCs w:val="20"/>
              </w:rPr>
              <w:t>200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15364D7" w14:textId="77777777" w:rsidR="00387142" w:rsidRPr="008B6A75" w:rsidRDefault="00387142" w:rsidP="00387142">
            <w:pPr>
              <w:jc w:val="right"/>
              <w:rPr>
                <w:sz w:val="20"/>
                <w:szCs w:val="20"/>
              </w:rPr>
            </w:pPr>
            <w:r w:rsidRPr="008B6A75">
              <w:rPr>
                <w:sz w:val="20"/>
                <w:szCs w:val="20"/>
              </w:rPr>
              <w:t>1 752 800,00</w:t>
            </w:r>
          </w:p>
        </w:tc>
        <w:tc>
          <w:tcPr>
            <w:tcW w:w="992" w:type="dxa"/>
            <w:tcBorders>
              <w:top w:val="nil"/>
              <w:left w:val="single" w:sz="4" w:space="0" w:color="auto"/>
              <w:bottom w:val="single" w:sz="4" w:space="0" w:color="auto"/>
              <w:right w:val="nil"/>
            </w:tcBorders>
            <w:shd w:val="clear" w:color="auto" w:fill="auto"/>
            <w:vAlign w:val="center"/>
            <w:hideMark/>
          </w:tcPr>
          <w:p w14:paraId="17504D72" w14:textId="77777777" w:rsidR="00387142" w:rsidRPr="008B6A75" w:rsidRDefault="00387142" w:rsidP="00387142">
            <w:pPr>
              <w:jc w:val="right"/>
              <w:rPr>
                <w:sz w:val="20"/>
                <w:szCs w:val="20"/>
              </w:rPr>
            </w:pPr>
            <w:r w:rsidRPr="008B6A75">
              <w:rPr>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7EB7D0DF" w14:textId="77777777" w:rsidR="00387142" w:rsidRPr="008B6A75" w:rsidRDefault="00387142" w:rsidP="00387142">
            <w:pPr>
              <w:jc w:val="right"/>
              <w:rPr>
                <w:sz w:val="20"/>
                <w:szCs w:val="20"/>
              </w:rPr>
            </w:pPr>
            <w:r w:rsidRPr="008B6A75">
              <w:rPr>
                <w:sz w:val="20"/>
                <w:szCs w:val="20"/>
              </w:rPr>
              <w:t>0,00</w:t>
            </w:r>
          </w:p>
        </w:tc>
      </w:tr>
      <w:tr w:rsidR="00387142" w:rsidRPr="008B6A75" w14:paraId="796745E1" w14:textId="77777777" w:rsidTr="00387142">
        <w:trPr>
          <w:trHeight w:val="870"/>
        </w:trPr>
        <w:tc>
          <w:tcPr>
            <w:tcW w:w="3261" w:type="dxa"/>
            <w:tcBorders>
              <w:top w:val="nil"/>
              <w:left w:val="single" w:sz="4" w:space="0" w:color="auto"/>
              <w:bottom w:val="single" w:sz="4" w:space="0" w:color="auto"/>
              <w:right w:val="nil"/>
            </w:tcBorders>
            <w:shd w:val="clear" w:color="auto" w:fill="auto"/>
            <w:vAlign w:val="center"/>
            <w:hideMark/>
          </w:tcPr>
          <w:p w14:paraId="425FD72C" w14:textId="77777777" w:rsidR="00387142" w:rsidRPr="008B6A75" w:rsidRDefault="00387142" w:rsidP="00387142">
            <w:pPr>
              <w:rPr>
                <w:sz w:val="20"/>
                <w:szCs w:val="20"/>
              </w:rPr>
            </w:pPr>
            <w:r w:rsidRPr="008B6A75">
              <w:rPr>
                <w:sz w:val="20"/>
                <w:szCs w:val="20"/>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71CE8D6C" w14:textId="77777777" w:rsidR="00387142" w:rsidRPr="008B6A75" w:rsidRDefault="00387142" w:rsidP="00387142">
            <w:pPr>
              <w:jc w:val="center"/>
              <w:rPr>
                <w:sz w:val="20"/>
                <w:szCs w:val="20"/>
              </w:rPr>
            </w:pPr>
            <w:r w:rsidRPr="008B6A75">
              <w:rPr>
                <w:sz w:val="20"/>
                <w:szCs w:val="20"/>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C144B4B" w14:textId="77777777" w:rsidR="00387142" w:rsidRPr="008B6A75" w:rsidRDefault="00387142" w:rsidP="00387142">
            <w:pPr>
              <w:jc w:val="center"/>
              <w:rPr>
                <w:sz w:val="20"/>
                <w:szCs w:val="20"/>
              </w:rPr>
            </w:pPr>
            <w:r w:rsidRPr="008B6A75">
              <w:rPr>
                <w:sz w:val="20"/>
                <w:szCs w:val="20"/>
              </w:rPr>
              <w:t>08</w:t>
            </w:r>
          </w:p>
        </w:tc>
        <w:tc>
          <w:tcPr>
            <w:tcW w:w="1516" w:type="dxa"/>
            <w:tcBorders>
              <w:top w:val="nil"/>
              <w:left w:val="single" w:sz="4" w:space="0" w:color="auto"/>
              <w:bottom w:val="single" w:sz="4" w:space="0" w:color="auto"/>
              <w:right w:val="nil"/>
            </w:tcBorders>
            <w:shd w:val="clear" w:color="auto" w:fill="auto"/>
            <w:noWrap/>
            <w:vAlign w:val="center"/>
            <w:hideMark/>
          </w:tcPr>
          <w:p w14:paraId="519934D1" w14:textId="77777777" w:rsidR="00387142" w:rsidRPr="008B6A75" w:rsidRDefault="00387142" w:rsidP="00387142">
            <w:pPr>
              <w:jc w:val="center"/>
              <w:rPr>
                <w:sz w:val="20"/>
                <w:szCs w:val="20"/>
              </w:rPr>
            </w:pPr>
            <w:r w:rsidRPr="008B6A75">
              <w:rPr>
                <w:sz w:val="20"/>
                <w:szCs w:val="20"/>
              </w:rPr>
              <w:t>32.0.00.70170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D8C1515" w14:textId="77777777" w:rsidR="00387142" w:rsidRPr="008B6A75" w:rsidRDefault="00387142" w:rsidP="00387142">
            <w:pPr>
              <w:jc w:val="center"/>
              <w:rPr>
                <w:sz w:val="20"/>
                <w:szCs w:val="20"/>
              </w:rPr>
            </w:pPr>
            <w:r w:rsidRPr="008B6A75">
              <w:rPr>
                <w:sz w:val="20"/>
                <w:szCs w:val="20"/>
              </w:rPr>
              <w:t>240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211BAB2" w14:textId="77777777" w:rsidR="00387142" w:rsidRPr="008B6A75" w:rsidRDefault="00387142" w:rsidP="00387142">
            <w:pPr>
              <w:jc w:val="right"/>
              <w:rPr>
                <w:sz w:val="20"/>
                <w:szCs w:val="20"/>
              </w:rPr>
            </w:pPr>
            <w:r w:rsidRPr="008B6A75">
              <w:rPr>
                <w:sz w:val="20"/>
                <w:szCs w:val="20"/>
              </w:rPr>
              <w:t>1 752 800,00</w:t>
            </w:r>
          </w:p>
        </w:tc>
        <w:tc>
          <w:tcPr>
            <w:tcW w:w="992" w:type="dxa"/>
            <w:tcBorders>
              <w:top w:val="nil"/>
              <w:left w:val="single" w:sz="4" w:space="0" w:color="auto"/>
              <w:bottom w:val="single" w:sz="4" w:space="0" w:color="auto"/>
              <w:right w:val="nil"/>
            </w:tcBorders>
            <w:shd w:val="clear" w:color="auto" w:fill="auto"/>
            <w:vAlign w:val="center"/>
            <w:hideMark/>
          </w:tcPr>
          <w:p w14:paraId="7D340013" w14:textId="77777777" w:rsidR="00387142" w:rsidRPr="008B6A75" w:rsidRDefault="00387142" w:rsidP="00387142">
            <w:pPr>
              <w:jc w:val="right"/>
              <w:rPr>
                <w:sz w:val="20"/>
                <w:szCs w:val="20"/>
              </w:rPr>
            </w:pPr>
            <w:r w:rsidRPr="008B6A75">
              <w:rPr>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4EF3C8B2" w14:textId="77777777" w:rsidR="00387142" w:rsidRPr="008B6A75" w:rsidRDefault="00387142" w:rsidP="00387142">
            <w:pPr>
              <w:jc w:val="right"/>
              <w:rPr>
                <w:sz w:val="20"/>
                <w:szCs w:val="20"/>
              </w:rPr>
            </w:pPr>
            <w:r w:rsidRPr="008B6A75">
              <w:rPr>
                <w:sz w:val="20"/>
                <w:szCs w:val="20"/>
              </w:rPr>
              <w:t>0,00</w:t>
            </w:r>
          </w:p>
        </w:tc>
      </w:tr>
      <w:tr w:rsidR="00387142" w:rsidRPr="008B6A75" w14:paraId="2D34B5A7" w14:textId="77777777" w:rsidTr="00387142">
        <w:trPr>
          <w:trHeight w:val="2295"/>
        </w:trPr>
        <w:tc>
          <w:tcPr>
            <w:tcW w:w="3261" w:type="dxa"/>
            <w:tcBorders>
              <w:top w:val="nil"/>
              <w:left w:val="single" w:sz="4" w:space="0" w:color="auto"/>
              <w:bottom w:val="single" w:sz="4" w:space="0" w:color="auto"/>
              <w:right w:val="nil"/>
            </w:tcBorders>
            <w:shd w:val="clear" w:color="auto" w:fill="auto"/>
            <w:vAlign w:val="center"/>
            <w:hideMark/>
          </w:tcPr>
          <w:p w14:paraId="09F0B430" w14:textId="77777777" w:rsidR="00387142" w:rsidRPr="008B6A75" w:rsidRDefault="00387142" w:rsidP="00387142">
            <w:pPr>
              <w:rPr>
                <w:bCs/>
                <w:sz w:val="20"/>
                <w:szCs w:val="20"/>
              </w:rPr>
            </w:pPr>
            <w:r w:rsidRPr="008B6A75">
              <w:rPr>
                <w:bCs/>
                <w:sz w:val="20"/>
                <w:szCs w:val="20"/>
              </w:rPr>
              <w:t>Осуществление полномочий по организации регулярных перевозок пассажиров и багажа по муниципальным маршрутам государственной программы Новосибирской области "Обеспечение доступности услуг общественного пассажирского транспорта, в том числе Новосибирского метрополитена, для населения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14:paraId="723D5B31" w14:textId="77777777" w:rsidR="00387142" w:rsidRPr="008B6A75" w:rsidRDefault="00387142" w:rsidP="00387142">
            <w:pPr>
              <w:jc w:val="center"/>
              <w:rPr>
                <w:bCs/>
                <w:sz w:val="20"/>
                <w:szCs w:val="20"/>
              </w:rPr>
            </w:pPr>
            <w:r w:rsidRPr="008B6A75">
              <w:rPr>
                <w:bCs/>
                <w:sz w:val="20"/>
                <w:szCs w:val="20"/>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6E06B20" w14:textId="77777777" w:rsidR="00387142" w:rsidRPr="008B6A75" w:rsidRDefault="00387142" w:rsidP="00387142">
            <w:pPr>
              <w:jc w:val="center"/>
              <w:rPr>
                <w:bCs/>
                <w:sz w:val="20"/>
                <w:szCs w:val="20"/>
              </w:rPr>
            </w:pPr>
            <w:r w:rsidRPr="008B6A75">
              <w:rPr>
                <w:bCs/>
                <w:sz w:val="20"/>
                <w:szCs w:val="20"/>
              </w:rPr>
              <w:t>08</w:t>
            </w:r>
          </w:p>
        </w:tc>
        <w:tc>
          <w:tcPr>
            <w:tcW w:w="1516" w:type="dxa"/>
            <w:tcBorders>
              <w:top w:val="nil"/>
              <w:left w:val="single" w:sz="4" w:space="0" w:color="auto"/>
              <w:bottom w:val="single" w:sz="4" w:space="0" w:color="auto"/>
              <w:right w:val="nil"/>
            </w:tcBorders>
            <w:shd w:val="clear" w:color="auto" w:fill="auto"/>
            <w:noWrap/>
            <w:vAlign w:val="center"/>
            <w:hideMark/>
          </w:tcPr>
          <w:p w14:paraId="5A7A7C12" w14:textId="77777777" w:rsidR="00387142" w:rsidRPr="008B6A75" w:rsidRDefault="00387142" w:rsidP="00387142">
            <w:pPr>
              <w:jc w:val="center"/>
              <w:rPr>
                <w:bCs/>
                <w:sz w:val="20"/>
                <w:szCs w:val="20"/>
              </w:rPr>
            </w:pPr>
            <w:r w:rsidRPr="008B6A75">
              <w:rPr>
                <w:bCs/>
                <w:sz w:val="20"/>
                <w:szCs w:val="20"/>
              </w:rPr>
              <w:t>32.0.00.71100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7F6A963"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CCD158E" w14:textId="77777777" w:rsidR="00387142" w:rsidRPr="008B6A75" w:rsidRDefault="00387142" w:rsidP="00387142">
            <w:pPr>
              <w:jc w:val="right"/>
              <w:rPr>
                <w:bCs/>
                <w:sz w:val="20"/>
                <w:szCs w:val="20"/>
              </w:rPr>
            </w:pPr>
            <w:r w:rsidRPr="008B6A75">
              <w:rPr>
                <w:bCs/>
                <w:sz w:val="20"/>
                <w:szCs w:val="20"/>
              </w:rPr>
              <w:t>15 208 707,00</w:t>
            </w:r>
          </w:p>
        </w:tc>
        <w:tc>
          <w:tcPr>
            <w:tcW w:w="992" w:type="dxa"/>
            <w:tcBorders>
              <w:top w:val="nil"/>
              <w:left w:val="single" w:sz="4" w:space="0" w:color="auto"/>
              <w:bottom w:val="single" w:sz="4" w:space="0" w:color="auto"/>
              <w:right w:val="nil"/>
            </w:tcBorders>
            <w:shd w:val="clear" w:color="auto" w:fill="auto"/>
            <w:vAlign w:val="center"/>
            <w:hideMark/>
          </w:tcPr>
          <w:p w14:paraId="22C0B337" w14:textId="77777777" w:rsidR="00387142" w:rsidRPr="008B6A75" w:rsidRDefault="00387142" w:rsidP="00387142">
            <w:pPr>
              <w:jc w:val="right"/>
              <w:rPr>
                <w:bCs/>
                <w:sz w:val="20"/>
                <w:szCs w:val="20"/>
              </w:rPr>
            </w:pPr>
            <w:r w:rsidRPr="008B6A75">
              <w:rPr>
                <w:bCs/>
                <w:sz w:val="20"/>
                <w:szCs w:val="20"/>
              </w:rPr>
              <w:t>15 208 707,00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55A81B86" w14:textId="77777777" w:rsidR="00387142" w:rsidRPr="008B6A75" w:rsidRDefault="00387142" w:rsidP="00387142">
            <w:pPr>
              <w:jc w:val="right"/>
              <w:rPr>
                <w:bCs/>
                <w:sz w:val="20"/>
                <w:szCs w:val="20"/>
              </w:rPr>
            </w:pPr>
            <w:r w:rsidRPr="008B6A75">
              <w:rPr>
                <w:bCs/>
                <w:sz w:val="20"/>
                <w:szCs w:val="20"/>
              </w:rPr>
              <w:t>15 208 707,00</w:t>
            </w:r>
          </w:p>
        </w:tc>
      </w:tr>
      <w:tr w:rsidR="00387142" w:rsidRPr="008B6A75" w14:paraId="363A26F3" w14:textId="77777777" w:rsidTr="00387142">
        <w:trPr>
          <w:trHeight w:val="585"/>
        </w:trPr>
        <w:tc>
          <w:tcPr>
            <w:tcW w:w="3261" w:type="dxa"/>
            <w:tcBorders>
              <w:top w:val="nil"/>
              <w:left w:val="single" w:sz="4" w:space="0" w:color="auto"/>
              <w:bottom w:val="single" w:sz="4" w:space="0" w:color="auto"/>
              <w:right w:val="nil"/>
            </w:tcBorders>
            <w:shd w:val="clear" w:color="auto" w:fill="auto"/>
            <w:vAlign w:val="center"/>
            <w:hideMark/>
          </w:tcPr>
          <w:p w14:paraId="5A299691" w14:textId="77777777" w:rsidR="00387142" w:rsidRPr="008B6A75" w:rsidRDefault="00387142" w:rsidP="00387142">
            <w:pPr>
              <w:rPr>
                <w:sz w:val="20"/>
                <w:szCs w:val="20"/>
              </w:rPr>
            </w:pPr>
            <w:r w:rsidRPr="008B6A75">
              <w:rPr>
                <w:sz w:val="20"/>
                <w:szCs w:val="20"/>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08821CC9" w14:textId="77777777" w:rsidR="00387142" w:rsidRPr="008B6A75" w:rsidRDefault="00387142" w:rsidP="00387142">
            <w:pPr>
              <w:jc w:val="center"/>
              <w:rPr>
                <w:sz w:val="20"/>
                <w:szCs w:val="20"/>
              </w:rPr>
            </w:pPr>
            <w:r w:rsidRPr="008B6A75">
              <w:rPr>
                <w:sz w:val="20"/>
                <w:szCs w:val="20"/>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296F1E9" w14:textId="77777777" w:rsidR="00387142" w:rsidRPr="008B6A75" w:rsidRDefault="00387142" w:rsidP="00387142">
            <w:pPr>
              <w:jc w:val="center"/>
              <w:rPr>
                <w:sz w:val="20"/>
                <w:szCs w:val="20"/>
              </w:rPr>
            </w:pPr>
            <w:r w:rsidRPr="008B6A75">
              <w:rPr>
                <w:sz w:val="20"/>
                <w:szCs w:val="20"/>
              </w:rPr>
              <w:t>08</w:t>
            </w:r>
          </w:p>
        </w:tc>
        <w:tc>
          <w:tcPr>
            <w:tcW w:w="1516" w:type="dxa"/>
            <w:tcBorders>
              <w:top w:val="nil"/>
              <w:left w:val="single" w:sz="4" w:space="0" w:color="auto"/>
              <w:bottom w:val="single" w:sz="4" w:space="0" w:color="auto"/>
              <w:right w:val="nil"/>
            </w:tcBorders>
            <w:shd w:val="clear" w:color="auto" w:fill="auto"/>
            <w:noWrap/>
            <w:vAlign w:val="center"/>
            <w:hideMark/>
          </w:tcPr>
          <w:p w14:paraId="73CB3588" w14:textId="77777777" w:rsidR="00387142" w:rsidRPr="008B6A75" w:rsidRDefault="00387142" w:rsidP="00387142">
            <w:pPr>
              <w:jc w:val="center"/>
              <w:rPr>
                <w:sz w:val="20"/>
                <w:szCs w:val="20"/>
              </w:rPr>
            </w:pPr>
            <w:r w:rsidRPr="008B6A75">
              <w:rPr>
                <w:sz w:val="20"/>
                <w:szCs w:val="20"/>
              </w:rPr>
              <w:t>32.0.00.71100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5D1A3F5" w14:textId="77777777" w:rsidR="00387142" w:rsidRPr="008B6A75" w:rsidRDefault="00387142" w:rsidP="00387142">
            <w:pPr>
              <w:jc w:val="center"/>
              <w:rPr>
                <w:sz w:val="20"/>
                <w:szCs w:val="20"/>
              </w:rPr>
            </w:pPr>
            <w:r w:rsidRPr="008B6A75">
              <w:rPr>
                <w:sz w:val="20"/>
                <w:szCs w:val="20"/>
              </w:rPr>
              <w:t>200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68BE104" w14:textId="77777777" w:rsidR="00387142" w:rsidRPr="008B6A75" w:rsidRDefault="00387142" w:rsidP="00387142">
            <w:pPr>
              <w:jc w:val="right"/>
              <w:rPr>
                <w:sz w:val="20"/>
                <w:szCs w:val="20"/>
              </w:rPr>
            </w:pPr>
            <w:r w:rsidRPr="008B6A75">
              <w:rPr>
                <w:sz w:val="20"/>
                <w:szCs w:val="20"/>
              </w:rPr>
              <w:t>0,00</w:t>
            </w:r>
          </w:p>
        </w:tc>
        <w:tc>
          <w:tcPr>
            <w:tcW w:w="992" w:type="dxa"/>
            <w:tcBorders>
              <w:top w:val="nil"/>
              <w:left w:val="single" w:sz="4" w:space="0" w:color="auto"/>
              <w:bottom w:val="single" w:sz="4" w:space="0" w:color="auto"/>
              <w:right w:val="nil"/>
            </w:tcBorders>
            <w:shd w:val="clear" w:color="auto" w:fill="auto"/>
            <w:vAlign w:val="center"/>
            <w:hideMark/>
          </w:tcPr>
          <w:p w14:paraId="1F444FB0" w14:textId="77777777" w:rsidR="00387142" w:rsidRPr="008B6A75" w:rsidRDefault="00387142" w:rsidP="00387142">
            <w:pPr>
              <w:jc w:val="right"/>
              <w:rPr>
                <w:sz w:val="20"/>
                <w:szCs w:val="20"/>
              </w:rPr>
            </w:pPr>
            <w:r w:rsidRPr="008B6A75">
              <w:rPr>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1AB1E8BC" w14:textId="77777777" w:rsidR="00387142" w:rsidRPr="008B6A75" w:rsidRDefault="00387142" w:rsidP="00387142">
            <w:pPr>
              <w:jc w:val="right"/>
              <w:rPr>
                <w:sz w:val="20"/>
                <w:szCs w:val="20"/>
              </w:rPr>
            </w:pPr>
            <w:r w:rsidRPr="008B6A75">
              <w:rPr>
                <w:sz w:val="20"/>
                <w:szCs w:val="20"/>
              </w:rPr>
              <w:t>15 208 707,00</w:t>
            </w:r>
          </w:p>
        </w:tc>
      </w:tr>
      <w:tr w:rsidR="00387142" w:rsidRPr="008B6A75" w14:paraId="3F2757A3" w14:textId="77777777" w:rsidTr="00387142">
        <w:trPr>
          <w:trHeight w:val="870"/>
        </w:trPr>
        <w:tc>
          <w:tcPr>
            <w:tcW w:w="3261" w:type="dxa"/>
            <w:tcBorders>
              <w:top w:val="nil"/>
              <w:left w:val="single" w:sz="4" w:space="0" w:color="auto"/>
              <w:bottom w:val="single" w:sz="4" w:space="0" w:color="auto"/>
              <w:right w:val="nil"/>
            </w:tcBorders>
            <w:shd w:val="clear" w:color="auto" w:fill="auto"/>
            <w:vAlign w:val="center"/>
            <w:hideMark/>
          </w:tcPr>
          <w:p w14:paraId="6FF50A06" w14:textId="77777777" w:rsidR="00387142" w:rsidRPr="008B6A75" w:rsidRDefault="00387142" w:rsidP="00387142">
            <w:pPr>
              <w:rPr>
                <w:sz w:val="20"/>
                <w:szCs w:val="20"/>
              </w:rPr>
            </w:pPr>
            <w:r w:rsidRPr="008B6A75">
              <w:rPr>
                <w:sz w:val="20"/>
                <w:szCs w:val="20"/>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268E688A" w14:textId="77777777" w:rsidR="00387142" w:rsidRPr="008B6A75" w:rsidRDefault="00387142" w:rsidP="00387142">
            <w:pPr>
              <w:jc w:val="center"/>
              <w:rPr>
                <w:sz w:val="20"/>
                <w:szCs w:val="20"/>
              </w:rPr>
            </w:pPr>
            <w:r w:rsidRPr="008B6A75">
              <w:rPr>
                <w:sz w:val="20"/>
                <w:szCs w:val="20"/>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04D4063" w14:textId="77777777" w:rsidR="00387142" w:rsidRPr="008B6A75" w:rsidRDefault="00387142" w:rsidP="00387142">
            <w:pPr>
              <w:jc w:val="center"/>
              <w:rPr>
                <w:sz w:val="20"/>
                <w:szCs w:val="20"/>
              </w:rPr>
            </w:pPr>
            <w:r w:rsidRPr="008B6A75">
              <w:rPr>
                <w:sz w:val="20"/>
                <w:szCs w:val="20"/>
              </w:rPr>
              <w:t>08</w:t>
            </w:r>
          </w:p>
        </w:tc>
        <w:tc>
          <w:tcPr>
            <w:tcW w:w="1516" w:type="dxa"/>
            <w:tcBorders>
              <w:top w:val="nil"/>
              <w:left w:val="single" w:sz="4" w:space="0" w:color="auto"/>
              <w:bottom w:val="single" w:sz="4" w:space="0" w:color="auto"/>
              <w:right w:val="nil"/>
            </w:tcBorders>
            <w:shd w:val="clear" w:color="auto" w:fill="auto"/>
            <w:noWrap/>
            <w:vAlign w:val="center"/>
            <w:hideMark/>
          </w:tcPr>
          <w:p w14:paraId="6EABF007" w14:textId="77777777" w:rsidR="00387142" w:rsidRPr="008B6A75" w:rsidRDefault="00387142" w:rsidP="00387142">
            <w:pPr>
              <w:jc w:val="center"/>
              <w:rPr>
                <w:sz w:val="20"/>
                <w:szCs w:val="20"/>
              </w:rPr>
            </w:pPr>
            <w:r w:rsidRPr="008B6A75">
              <w:rPr>
                <w:sz w:val="20"/>
                <w:szCs w:val="20"/>
              </w:rPr>
              <w:t>32.0.00.71100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524231E" w14:textId="77777777" w:rsidR="00387142" w:rsidRPr="008B6A75" w:rsidRDefault="00387142" w:rsidP="00387142">
            <w:pPr>
              <w:jc w:val="center"/>
              <w:rPr>
                <w:sz w:val="20"/>
                <w:szCs w:val="20"/>
              </w:rPr>
            </w:pPr>
            <w:r w:rsidRPr="008B6A75">
              <w:rPr>
                <w:sz w:val="20"/>
                <w:szCs w:val="20"/>
              </w:rPr>
              <w:t>240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664295C" w14:textId="77777777" w:rsidR="00387142" w:rsidRPr="008B6A75" w:rsidRDefault="00387142" w:rsidP="00387142">
            <w:pPr>
              <w:jc w:val="right"/>
              <w:rPr>
                <w:sz w:val="20"/>
                <w:szCs w:val="20"/>
              </w:rPr>
            </w:pPr>
            <w:r w:rsidRPr="008B6A75">
              <w:rPr>
                <w:sz w:val="20"/>
                <w:szCs w:val="20"/>
              </w:rPr>
              <w:t>0,00</w:t>
            </w:r>
          </w:p>
        </w:tc>
        <w:tc>
          <w:tcPr>
            <w:tcW w:w="992" w:type="dxa"/>
            <w:tcBorders>
              <w:top w:val="nil"/>
              <w:left w:val="single" w:sz="4" w:space="0" w:color="auto"/>
              <w:bottom w:val="single" w:sz="4" w:space="0" w:color="auto"/>
              <w:right w:val="nil"/>
            </w:tcBorders>
            <w:shd w:val="clear" w:color="auto" w:fill="auto"/>
            <w:vAlign w:val="center"/>
            <w:hideMark/>
          </w:tcPr>
          <w:p w14:paraId="2B93AB1B" w14:textId="77777777" w:rsidR="00387142" w:rsidRPr="008B6A75" w:rsidRDefault="00387142" w:rsidP="00387142">
            <w:pPr>
              <w:jc w:val="right"/>
              <w:rPr>
                <w:sz w:val="20"/>
                <w:szCs w:val="20"/>
              </w:rPr>
            </w:pPr>
            <w:r w:rsidRPr="008B6A75">
              <w:rPr>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5B17E7E0" w14:textId="77777777" w:rsidR="00387142" w:rsidRPr="008B6A75" w:rsidRDefault="00387142" w:rsidP="00387142">
            <w:pPr>
              <w:jc w:val="right"/>
              <w:rPr>
                <w:sz w:val="20"/>
                <w:szCs w:val="20"/>
              </w:rPr>
            </w:pPr>
            <w:r w:rsidRPr="008B6A75">
              <w:rPr>
                <w:sz w:val="20"/>
                <w:szCs w:val="20"/>
              </w:rPr>
              <w:t>15 208 707,00</w:t>
            </w:r>
          </w:p>
        </w:tc>
      </w:tr>
      <w:tr w:rsidR="00387142" w:rsidRPr="008B6A75" w14:paraId="25714291" w14:textId="77777777" w:rsidTr="00387142">
        <w:trPr>
          <w:trHeight w:val="345"/>
        </w:trPr>
        <w:tc>
          <w:tcPr>
            <w:tcW w:w="3261" w:type="dxa"/>
            <w:tcBorders>
              <w:top w:val="nil"/>
              <w:left w:val="single" w:sz="4" w:space="0" w:color="auto"/>
              <w:bottom w:val="single" w:sz="4" w:space="0" w:color="auto"/>
              <w:right w:val="nil"/>
            </w:tcBorders>
            <w:shd w:val="clear" w:color="auto" w:fill="auto"/>
            <w:vAlign w:val="center"/>
            <w:hideMark/>
          </w:tcPr>
          <w:p w14:paraId="6359EB31" w14:textId="77777777" w:rsidR="00387142" w:rsidRPr="008B6A75" w:rsidRDefault="00387142" w:rsidP="00387142">
            <w:pPr>
              <w:rPr>
                <w:sz w:val="20"/>
                <w:szCs w:val="20"/>
              </w:rPr>
            </w:pPr>
            <w:r w:rsidRPr="008B6A75">
              <w:rPr>
                <w:sz w:val="20"/>
                <w:szCs w:val="20"/>
              </w:rPr>
              <w:t>Межбюджетные трансферты</w:t>
            </w:r>
          </w:p>
        </w:tc>
        <w:tc>
          <w:tcPr>
            <w:tcW w:w="720" w:type="dxa"/>
            <w:tcBorders>
              <w:top w:val="nil"/>
              <w:left w:val="single" w:sz="4" w:space="0" w:color="auto"/>
              <w:bottom w:val="single" w:sz="4" w:space="0" w:color="auto"/>
              <w:right w:val="nil"/>
            </w:tcBorders>
            <w:shd w:val="clear" w:color="auto" w:fill="auto"/>
            <w:noWrap/>
            <w:vAlign w:val="center"/>
            <w:hideMark/>
          </w:tcPr>
          <w:p w14:paraId="0BA0B4FC" w14:textId="77777777" w:rsidR="00387142" w:rsidRPr="008B6A75" w:rsidRDefault="00387142" w:rsidP="00387142">
            <w:pPr>
              <w:jc w:val="center"/>
              <w:rPr>
                <w:sz w:val="20"/>
                <w:szCs w:val="20"/>
              </w:rPr>
            </w:pPr>
            <w:r w:rsidRPr="008B6A75">
              <w:rPr>
                <w:sz w:val="20"/>
                <w:szCs w:val="20"/>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F4BD687" w14:textId="77777777" w:rsidR="00387142" w:rsidRPr="008B6A75" w:rsidRDefault="00387142" w:rsidP="00387142">
            <w:pPr>
              <w:jc w:val="center"/>
              <w:rPr>
                <w:sz w:val="20"/>
                <w:szCs w:val="20"/>
              </w:rPr>
            </w:pPr>
            <w:r w:rsidRPr="008B6A75">
              <w:rPr>
                <w:sz w:val="20"/>
                <w:szCs w:val="20"/>
              </w:rPr>
              <w:t>08</w:t>
            </w:r>
          </w:p>
        </w:tc>
        <w:tc>
          <w:tcPr>
            <w:tcW w:w="1516" w:type="dxa"/>
            <w:tcBorders>
              <w:top w:val="nil"/>
              <w:left w:val="single" w:sz="4" w:space="0" w:color="auto"/>
              <w:bottom w:val="single" w:sz="4" w:space="0" w:color="auto"/>
              <w:right w:val="nil"/>
            </w:tcBorders>
            <w:shd w:val="clear" w:color="auto" w:fill="auto"/>
            <w:noWrap/>
            <w:vAlign w:val="center"/>
            <w:hideMark/>
          </w:tcPr>
          <w:p w14:paraId="0B71CE9D" w14:textId="77777777" w:rsidR="00387142" w:rsidRPr="008B6A75" w:rsidRDefault="00387142" w:rsidP="00387142">
            <w:pPr>
              <w:jc w:val="center"/>
              <w:rPr>
                <w:sz w:val="20"/>
                <w:szCs w:val="20"/>
              </w:rPr>
            </w:pPr>
            <w:r w:rsidRPr="008B6A75">
              <w:rPr>
                <w:sz w:val="20"/>
                <w:szCs w:val="20"/>
              </w:rPr>
              <w:t>32.0.00.71100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8102126" w14:textId="77777777" w:rsidR="00387142" w:rsidRPr="008B6A75" w:rsidRDefault="00387142" w:rsidP="00387142">
            <w:pPr>
              <w:jc w:val="center"/>
              <w:rPr>
                <w:sz w:val="20"/>
                <w:szCs w:val="20"/>
              </w:rPr>
            </w:pPr>
            <w:r w:rsidRPr="008B6A75">
              <w:rPr>
                <w:sz w:val="20"/>
                <w:szCs w:val="20"/>
              </w:rPr>
              <w:t>500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DD4668E" w14:textId="77777777" w:rsidR="00387142" w:rsidRPr="008B6A75" w:rsidRDefault="00387142" w:rsidP="00387142">
            <w:pPr>
              <w:jc w:val="right"/>
              <w:rPr>
                <w:sz w:val="20"/>
                <w:szCs w:val="20"/>
              </w:rPr>
            </w:pPr>
            <w:r w:rsidRPr="008B6A75">
              <w:rPr>
                <w:sz w:val="20"/>
                <w:szCs w:val="20"/>
              </w:rPr>
              <w:t>15 208 707,00</w:t>
            </w:r>
          </w:p>
        </w:tc>
        <w:tc>
          <w:tcPr>
            <w:tcW w:w="992" w:type="dxa"/>
            <w:tcBorders>
              <w:top w:val="nil"/>
              <w:left w:val="single" w:sz="4" w:space="0" w:color="auto"/>
              <w:bottom w:val="single" w:sz="4" w:space="0" w:color="auto"/>
              <w:right w:val="nil"/>
            </w:tcBorders>
            <w:shd w:val="clear" w:color="auto" w:fill="auto"/>
            <w:vAlign w:val="center"/>
            <w:hideMark/>
          </w:tcPr>
          <w:p w14:paraId="286F0E75" w14:textId="77777777" w:rsidR="00387142" w:rsidRPr="008B6A75" w:rsidRDefault="00387142" w:rsidP="00387142">
            <w:pPr>
              <w:jc w:val="right"/>
              <w:rPr>
                <w:sz w:val="20"/>
                <w:szCs w:val="20"/>
              </w:rPr>
            </w:pPr>
            <w:r w:rsidRPr="008B6A75">
              <w:rPr>
                <w:sz w:val="20"/>
                <w:szCs w:val="20"/>
              </w:rPr>
              <w:t>15 208 707,00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478A732C" w14:textId="77777777" w:rsidR="00387142" w:rsidRPr="008B6A75" w:rsidRDefault="00387142" w:rsidP="00387142">
            <w:pPr>
              <w:jc w:val="right"/>
              <w:rPr>
                <w:sz w:val="20"/>
                <w:szCs w:val="20"/>
              </w:rPr>
            </w:pPr>
            <w:r w:rsidRPr="008B6A75">
              <w:rPr>
                <w:sz w:val="20"/>
                <w:szCs w:val="20"/>
              </w:rPr>
              <w:t>0,00</w:t>
            </w:r>
          </w:p>
        </w:tc>
      </w:tr>
      <w:tr w:rsidR="00387142" w:rsidRPr="008B6A75" w14:paraId="76B6E8BE" w14:textId="77777777" w:rsidTr="00387142">
        <w:trPr>
          <w:trHeight w:val="345"/>
        </w:trPr>
        <w:tc>
          <w:tcPr>
            <w:tcW w:w="3261" w:type="dxa"/>
            <w:tcBorders>
              <w:top w:val="nil"/>
              <w:left w:val="single" w:sz="4" w:space="0" w:color="auto"/>
              <w:bottom w:val="single" w:sz="4" w:space="0" w:color="auto"/>
              <w:right w:val="nil"/>
            </w:tcBorders>
            <w:shd w:val="clear" w:color="auto" w:fill="auto"/>
            <w:vAlign w:val="center"/>
            <w:hideMark/>
          </w:tcPr>
          <w:p w14:paraId="05137784" w14:textId="77777777" w:rsidR="00387142" w:rsidRPr="008B6A75" w:rsidRDefault="00387142" w:rsidP="00387142">
            <w:pPr>
              <w:rPr>
                <w:sz w:val="20"/>
                <w:szCs w:val="20"/>
              </w:rPr>
            </w:pPr>
            <w:r w:rsidRPr="008B6A75">
              <w:rPr>
                <w:sz w:val="20"/>
                <w:szCs w:val="20"/>
              </w:rPr>
              <w:t>Субсидии</w:t>
            </w:r>
          </w:p>
        </w:tc>
        <w:tc>
          <w:tcPr>
            <w:tcW w:w="720" w:type="dxa"/>
            <w:tcBorders>
              <w:top w:val="nil"/>
              <w:left w:val="single" w:sz="4" w:space="0" w:color="auto"/>
              <w:bottom w:val="single" w:sz="4" w:space="0" w:color="auto"/>
              <w:right w:val="nil"/>
            </w:tcBorders>
            <w:shd w:val="clear" w:color="auto" w:fill="auto"/>
            <w:noWrap/>
            <w:vAlign w:val="center"/>
            <w:hideMark/>
          </w:tcPr>
          <w:p w14:paraId="56DCB754" w14:textId="77777777" w:rsidR="00387142" w:rsidRPr="008B6A75" w:rsidRDefault="00387142" w:rsidP="00387142">
            <w:pPr>
              <w:jc w:val="center"/>
              <w:rPr>
                <w:sz w:val="20"/>
                <w:szCs w:val="20"/>
              </w:rPr>
            </w:pPr>
            <w:r w:rsidRPr="008B6A75">
              <w:rPr>
                <w:sz w:val="20"/>
                <w:szCs w:val="20"/>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C71EA14" w14:textId="77777777" w:rsidR="00387142" w:rsidRPr="008B6A75" w:rsidRDefault="00387142" w:rsidP="00387142">
            <w:pPr>
              <w:jc w:val="center"/>
              <w:rPr>
                <w:sz w:val="20"/>
                <w:szCs w:val="20"/>
              </w:rPr>
            </w:pPr>
            <w:r w:rsidRPr="008B6A75">
              <w:rPr>
                <w:sz w:val="20"/>
                <w:szCs w:val="20"/>
              </w:rPr>
              <w:t>08</w:t>
            </w:r>
          </w:p>
        </w:tc>
        <w:tc>
          <w:tcPr>
            <w:tcW w:w="1516" w:type="dxa"/>
            <w:tcBorders>
              <w:top w:val="nil"/>
              <w:left w:val="single" w:sz="4" w:space="0" w:color="auto"/>
              <w:bottom w:val="single" w:sz="4" w:space="0" w:color="auto"/>
              <w:right w:val="nil"/>
            </w:tcBorders>
            <w:shd w:val="clear" w:color="auto" w:fill="auto"/>
            <w:noWrap/>
            <w:vAlign w:val="center"/>
            <w:hideMark/>
          </w:tcPr>
          <w:p w14:paraId="692DF5ED" w14:textId="77777777" w:rsidR="00387142" w:rsidRPr="008B6A75" w:rsidRDefault="00387142" w:rsidP="00387142">
            <w:pPr>
              <w:jc w:val="center"/>
              <w:rPr>
                <w:sz w:val="20"/>
                <w:szCs w:val="20"/>
              </w:rPr>
            </w:pPr>
            <w:r w:rsidRPr="008B6A75">
              <w:rPr>
                <w:sz w:val="20"/>
                <w:szCs w:val="20"/>
              </w:rPr>
              <w:t>32.0.00.71100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3407E42" w14:textId="77777777" w:rsidR="00387142" w:rsidRPr="008B6A75" w:rsidRDefault="00387142" w:rsidP="00387142">
            <w:pPr>
              <w:jc w:val="center"/>
              <w:rPr>
                <w:sz w:val="20"/>
                <w:szCs w:val="20"/>
              </w:rPr>
            </w:pPr>
            <w:r w:rsidRPr="008B6A75">
              <w:rPr>
                <w:sz w:val="20"/>
                <w:szCs w:val="20"/>
              </w:rPr>
              <w:t>520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C3878CC" w14:textId="77777777" w:rsidR="00387142" w:rsidRPr="008B6A75" w:rsidRDefault="00387142" w:rsidP="00387142">
            <w:pPr>
              <w:jc w:val="right"/>
              <w:rPr>
                <w:sz w:val="20"/>
                <w:szCs w:val="20"/>
              </w:rPr>
            </w:pPr>
            <w:r w:rsidRPr="008B6A75">
              <w:rPr>
                <w:sz w:val="20"/>
                <w:szCs w:val="20"/>
              </w:rPr>
              <w:t>15 208 707,00</w:t>
            </w:r>
          </w:p>
        </w:tc>
        <w:tc>
          <w:tcPr>
            <w:tcW w:w="992" w:type="dxa"/>
            <w:tcBorders>
              <w:top w:val="nil"/>
              <w:left w:val="single" w:sz="4" w:space="0" w:color="auto"/>
              <w:bottom w:val="single" w:sz="4" w:space="0" w:color="auto"/>
              <w:right w:val="nil"/>
            </w:tcBorders>
            <w:shd w:val="clear" w:color="auto" w:fill="auto"/>
            <w:vAlign w:val="center"/>
            <w:hideMark/>
          </w:tcPr>
          <w:p w14:paraId="1D7F2D9C" w14:textId="77777777" w:rsidR="00387142" w:rsidRPr="008B6A75" w:rsidRDefault="00387142" w:rsidP="00387142">
            <w:pPr>
              <w:jc w:val="right"/>
              <w:rPr>
                <w:sz w:val="20"/>
                <w:szCs w:val="20"/>
              </w:rPr>
            </w:pPr>
            <w:r w:rsidRPr="008B6A75">
              <w:rPr>
                <w:sz w:val="20"/>
                <w:szCs w:val="20"/>
              </w:rPr>
              <w:t>15 208 707,00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33058B1F" w14:textId="77777777" w:rsidR="00387142" w:rsidRPr="008B6A75" w:rsidRDefault="00387142" w:rsidP="00387142">
            <w:pPr>
              <w:jc w:val="right"/>
              <w:rPr>
                <w:sz w:val="20"/>
                <w:szCs w:val="20"/>
              </w:rPr>
            </w:pPr>
            <w:r w:rsidRPr="008B6A75">
              <w:rPr>
                <w:sz w:val="20"/>
                <w:szCs w:val="20"/>
              </w:rPr>
              <w:t>0,00</w:t>
            </w:r>
          </w:p>
        </w:tc>
      </w:tr>
      <w:tr w:rsidR="00387142" w:rsidRPr="008B6A75" w14:paraId="7AEB8148" w14:textId="77777777" w:rsidTr="00387142">
        <w:trPr>
          <w:trHeight w:val="2865"/>
        </w:trPr>
        <w:tc>
          <w:tcPr>
            <w:tcW w:w="3261" w:type="dxa"/>
            <w:tcBorders>
              <w:top w:val="nil"/>
              <w:left w:val="single" w:sz="4" w:space="0" w:color="auto"/>
              <w:bottom w:val="single" w:sz="4" w:space="0" w:color="auto"/>
              <w:right w:val="nil"/>
            </w:tcBorders>
            <w:shd w:val="clear" w:color="auto" w:fill="auto"/>
            <w:vAlign w:val="center"/>
            <w:hideMark/>
          </w:tcPr>
          <w:p w14:paraId="620BC1F9" w14:textId="77777777" w:rsidR="00387142" w:rsidRPr="008B6A75" w:rsidRDefault="00387142" w:rsidP="00387142">
            <w:pPr>
              <w:rPr>
                <w:bCs/>
                <w:sz w:val="20"/>
                <w:szCs w:val="20"/>
              </w:rPr>
            </w:pPr>
            <w:proofErr w:type="spellStart"/>
            <w:r w:rsidRPr="008B6A75">
              <w:rPr>
                <w:bCs/>
                <w:sz w:val="20"/>
                <w:szCs w:val="20"/>
              </w:rPr>
              <w:t>Софинансирование</w:t>
            </w:r>
            <w:proofErr w:type="spellEnd"/>
            <w:r w:rsidRPr="008B6A75">
              <w:rPr>
                <w:bCs/>
                <w:sz w:val="20"/>
                <w:szCs w:val="20"/>
              </w:rPr>
              <w:t xml:space="preserve"> местного </w:t>
            </w:r>
            <w:proofErr w:type="spellStart"/>
            <w:r w:rsidRPr="008B6A75">
              <w:rPr>
                <w:bCs/>
                <w:sz w:val="20"/>
                <w:szCs w:val="20"/>
              </w:rPr>
              <w:t>бюджетна</w:t>
            </w:r>
            <w:proofErr w:type="spellEnd"/>
            <w:r w:rsidRPr="008B6A75">
              <w:rPr>
                <w:bCs/>
                <w:sz w:val="20"/>
                <w:szCs w:val="20"/>
              </w:rPr>
              <w:t xml:space="preserve"> на приобретение (обновление) транспортных средств автомобильного и наземного электрического общественного пассажирского транспорта государственной программы Новосибирской области "Обеспечение доступности услуг общественного пассажирского транспорта, в том числе Новосибирского метрополитена, для населения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14:paraId="781D5E85" w14:textId="77777777" w:rsidR="00387142" w:rsidRPr="008B6A75" w:rsidRDefault="00387142" w:rsidP="00387142">
            <w:pPr>
              <w:jc w:val="center"/>
              <w:rPr>
                <w:bCs/>
                <w:sz w:val="20"/>
                <w:szCs w:val="20"/>
              </w:rPr>
            </w:pPr>
            <w:r w:rsidRPr="008B6A75">
              <w:rPr>
                <w:bCs/>
                <w:sz w:val="20"/>
                <w:szCs w:val="20"/>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9C01831" w14:textId="77777777" w:rsidR="00387142" w:rsidRPr="008B6A75" w:rsidRDefault="00387142" w:rsidP="00387142">
            <w:pPr>
              <w:jc w:val="center"/>
              <w:rPr>
                <w:bCs/>
                <w:sz w:val="20"/>
                <w:szCs w:val="20"/>
              </w:rPr>
            </w:pPr>
            <w:r w:rsidRPr="008B6A75">
              <w:rPr>
                <w:bCs/>
                <w:sz w:val="20"/>
                <w:szCs w:val="20"/>
              </w:rPr>
              <w:t>08</w:t>
            </w:r>
          </w:p>
        </w:tc>
        <w:tc>
          <w:tcPr>
            <w:tcW w:w="1516" w:type="dxa"/>
            <w:tcBorders>
              <w:top w:val="nil"/>
              <w:left w:val="single" w:sz="4" w:space="0" w:color="auto"/>
              <w:bottom w:val="single" w:sz="4" w:space="0" w:color="auto"/>
              <w:right w:val="nil"/>
            </w:tcBorders>
            <w:shd w:val="clear" w:color="auto" w:fill="auto"/>
            <w:noWrap/>
            <w:vAlign w:val="center"/>
            <w:hideMark/>
          </w:tcPr>
          <w:p w14:paraId="796CDDA6" w14:textId="77777777" w:rsidR="00387142" w:rsidRPr="008B6A75" w:rsidRDefault="00387142" w:rsidP="00387142">
            <w:pPr>
              <w:jc w:val="center"/>
              <w:rPr>
                <w:bCs/>
                <w:sz w:val="20"/>
                <w:szCs w:val="20"/>
              </w:rPr>
            </w:pPr>
            <w:r w:rsidRPr="008B6A75">
              <w:rPr>
                <w:bCs/>
                <w:sz w:val="20"/>
                <w:szCs w:val="20"/>
              </w:rPr>
              <w:t>32.0.00.S0170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0801EF1"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E2FE449" w14:textId="77777777" w:rsidR="00387142" w:rsidRPr="008B6A75" w:rsidRDefault="00387142" w:rsidP="00387142">
            <w:pPr>
              <w:jc w:val="right"/>
              <w:rPr>
                <w:bCs/>
                <w:sz w:val="20"/>
                <w:szCs w:val="20"/>
              </w:rPr>
            </w:pPr>
            <w:r w:rsidRPr="008B6A75">
              <w:rPr>
                <w:bCs/>
                <w:sz w:val="20"/>
                <w:szCs w:val="20"/>
              </w:rPr>
              <w:t>1 168 600,00</w:t>
            </w:r>
          </w:p>
        </w:tc>
        <w:tc>
          <w:tcPr>
            <w:tcW w:w="992" w:type="dxa"/>
            <w:tcBorders>
              <w:top w:val="nil"/>
              <w:left w:val="single" w:sz="4" w:space="0" w:color="auto"/>
              <w:bottom w:val="single" w:sz="4" w:space="0" w:color="auto"/>
              <w:right w:val="nil"/>
            </w:tcBorders>
            <w:shd w:val="clear" w:color="auto" w:fill="auto"/>
            <w:vAlign w:val="center"/>
            <w:hideMark/>
          </w:tcPr>
          <w:p w14:paraId="7E558B19" w14:textId="77777777" w:rsidR="00387142" w:rsidRPr="008B6A75" w:rsidRDefault="00387142" w:rsidP="00387142">
            <w:pPr>
              <w:jc w:val="right"/>
              <w:rPr>
                <w:bCs/>
                <w:sz w:val="20"/>
                <w:szCs w:val="20"/>
              </w:rPr>
            </w:pPr>
            <w:r w:rsidRPr="008B6A75">
              <w:rPr>
                <w:bCs/>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32C64255" w14:textId="77777777" w:rsidR="00387142" w:rsidRPr="008B6A75" w:rsidRDefault="00387142" w:rsidP="00387142">
            <w:pPr>
              <w:jc w:val="right"/>
              <w:rPr>
                <w:bCs/>
                <w:sz w:val="20"/>
                <w:szCs w:val="20"/>
              </w:rPr>
            </w:pPr>
            <w:r w:rsidRPr="008B6A75">
              <w:rPr>
                <w:bCs/>
                <w:sz w:val="20"/>
                <w:szCs w:val="20"/>
              </w:rPr>
              <w:t>0,00</w:t>
            </w:r>
          </w:p>
        </w:tc>
      </w:tr>
      <w:tr w:rsidR="00387142" w:rsidRPr="008B6A75" w14:paraId="5E611E79" w14:textId="77777777" w:rsidTr="00387142">
        <w:trPr>
          <w:trHeight w:val="585"/>
        </w:trPr>
        <w:tc>
          <w:tcPr>
            <w:tcW w:w="3261" w:type="dxa"/>
            <w:tcBorders>
              <w:top w:val="nil"/>
              <w:left w:val="single" w:sz="4" w:space="0" w:color="auto"/>
              <w:bottom w:val="single" w:sz="4" w:space="0" w:color="auto"/>
              <w:right w:val="nil"/>
            </w:tcBorders>
            <w:shd w:val="clear" w:color="auto" w:fill="auto"/>
            <w:vAlign w:val="center"/>
            <w:hideMark/>
          </w:tcPr>
          <w:p w14:paraId="37CB8F28" w14:textId="77777777" w:rsidR="00387142" w:rsidRPr="008B6A75" w:rsidRDefault="00387142" w:rsidP="00387142">
            <w:pPr>
              <w:rPr>
                <w:sz w:val="20"/>
                <w:szCs w:val="20"/>
              </w:rPr>
            </w:pPr>
            <w:r w:rsidRPr="008B6A75">
              <w:rPr>
                <w:sz w:val="20"/>
                <w:szCs w:val="20"/>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173FCFDE" w14:textId="77777777" w:rsidR="00387142" w:rsidRPr="008B6A75" w:rsidRDefault="00387142" w:rsidP="00387142">
            <w:pPr>
              <w:jc w:val="center"/>
              <w:rPr>
                <w:sz w:val="20"/>
                <w:szCs w:val="20"/>
              </w:rPr>
            </w:pPr>
            <w:r w:rsidRPr="008B6A75">
              <w:rPr>
                <w:sz w:val="20"/>
                <w:szCs w:val="20"/>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616456E" w14:textId="77777777" w:rsidR="00387142" w:rsidRPr="008B6A75" w:rsidRDefault="00387142" w:rsidP="00387142">
            <w:pPr>
              <w:jc w:val="center"/>
              <w:rPr>
                <w:sz w:val="20"/>
                <w:szCs w:val="20"/>
              </w:rPr>
            </w:pPr>
            <w:r w:rsidRPr="008B6A75">
              <w:rPr>
                <w:sz w:val="20"/>
                <w:szCs w:val="20"/>
              </w:rPr>
              <w:t>08</w:t>
            </w:r>
          </w:p>
        </w:tc>
        <w:tc>
          <w:tcPr>
            <w:tcW w:w="1516" w:type="dxa"/>
            <w:tcBorders>
              <w:top w:val="nil"/>
              <w:left w:val="single" w:sz="4" w:space="0" w:color="auto"/>
              <w:bottom w:val="single" w:sz="4" w:space="0" w:color="auto"/>
              <w:right w:val="nil"/>
            </w:tcBorders>
            <w:shd w:val="clear" w:color="auto" w:fill="auto"/>
            <w:noWrap/>
            <w:vAlign w:val="center"/>
            <w:hideMark/>
          </w:tcPr>
          <w:p w14:paraId="1F722EE8" w14:textId="77777777" w:rsidR="00387142" w:rsidRPr="008B6A75" w:rsidRDefault="00387142" w:rsidP="00387142">
            <w:pPr>
              <w:jc w:val="center"/>
              <w:rPr>
                <w:sz w:val="20"/>
                <w:szCs w:val="20"/>
              </w:rPr>
            </w:pPr>
            <w:r w:rsidRPr="008B6A75">
              <w:rPr>
                <w:sz w:val="20"/>
                <w:szCs w:val="20"/>
              </w:rPr>
              <w:t>32.0.00.S0170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A7E389E" w14:textId="77777777" w:rsidR="00387142" w:rsidRPr="008B6A75" w:rsidRDefault="00387142" w:rsidP="00387142">
            <w:pPr>
              <w:jc w:val="center"/>
              <w:rPr>
                <w:sz w:val="20"/>
                <w:szCs w:val="20"/>
              </w:rPr>
            </w:pPr>
            <w:r w:rsidRPr="008B6A75">
              <w:rPr>
                <w:sz w:val="20"/>
                <w:szCs w:val="20"/>
              </w:rPr>
              <w:t>200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74F0A65" w14:textId="77777777" w:rsidR="00387142" w:rsidRPr="008B6A75" w:rsidRDefault="00387142" w:rsidP="00387142">
            <w:pPr>
              <w:jc w:val="right"/>
              <w:rPr>
                <w:sz w:val="20"/>
                <w:szCs w:val="20"/>
              </w:rPr>
            </w:pPr>
            <w:r w:rsidRPr="008B6A75">
              <w:rPr>
                <w:sz w:val="20"/>
                <w:szCs w:val="20"/>
              </w:rPr>
              <w:t>1 168 600,00</w:t>
            </w:r>
          </w:p>
        </w:tc>
        <w:tc>
          <w:tcPr>
            <w:tcW w:w="992" w:type="dxa"/>
            <w:tcBorders>
              <w:top w:val="nil"/>
              <w:left w:val="single" w:sz="4" w:space="0" w:color="auto"/>
              <w:bottom w:val="single" w:sz="4" w:space="0" w:color="auto"/>
              <w:right w:val="nil"/>
            </w:tcBorders>
            <w:shd w:val="clear" w:color="auto" w:fill="auto"/>
            <w:vAlign w:val="center"/>
            <w:hideMark/>
          </w:tcPr>
          <w:p w14:paraId="0E4EAE6B" w14:textId="77777777" w:rsidR="00387142" w:rsidRPr="008B6A75" w:rsidRDefault="00387142" w:rsidP="00387142">
            <w:pPr>
              <w:jc w:val="right"/>
              <w:rPr>
                <w:sz w:val="20"/>
                <w:szCs w:val="20"/>
              </w:rPr>
            </w:pPr>
            <w:r w:rsidRPr="008B6A75">
              <w:rPr>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7B85FDA8" w14:textId="77777777" w:rsidR="00387142" w:rsidRPr="008B6A75" w:rsidRDefault="00387142" w:rsidP="00387142">
            <w:pPr>
              <w:jc w:val="right"/>
              <w:rPr>
                <w:sz w:val="20"/>
                <w:szCs w:val="20"/>
              </w:rPr>
            </w:pPr>
            <w:r w:rsidRPr="008B6A75">
              <w:rPr>
                <w:sz w:val="20"/>
                <w:szCs w:val="20"/>
              </w:rPr>
              <w:t>0,00</w:t>
            </w:r>
          </w:p>
        </w:tc>
      </w:tr>
      <w:tr w:rsidR="00387142" w:rsidRPr="008B6A75" w14:paraId="671C9210" w14:textId="77777777" w:rsidTr="00387142">
        <w:trPr>
          <w:trHeight w:val="870"/>
        </w:trPr>
        <w:tc>
          <w:tcPr>
            <w:tcW w:w="3261" w:type="dxa"/>
            <w:tcBorders>
              <w:top w:val="nil"/>
              <w:left w:val="single" w:sz="4" w:space="0" w:color="auto"/>
              <w:bottom w:val="single" w:sz="4" w:space="0" w:color="auto"/>
              <w:right w:val="nil"/>
            </w:tcBorders>
            <w:shd w:val="clear" w:color="auto" w:fill="auto"/>
            <w:vAlign w:val="center"/>
            <w:hideMark/>
          </w:tcPr>
          <w:p w14:paraId="4EDAFF51" w14:textId="77777777" w:rsidR="00387142" w:rsidRPr="008B6A75" w:rsidRDefault="00387142" w:rsidP="00387142">
            <w:pPr>
              <w:rPr>
                <w:sz w:val="20"/>
                <w:szCs w:val="20"/>
              </w:rPr>
            </w:pPr>
            <w:r w:rsidRPr="008B6A75">
              <w:rPr>
                <w:sz w:val="20"/>
                <w:szCs w:val="20"/>
              </w:rPr>
              <w:lastRenderedPageBreak/>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4281ADD4" w14:textId="77777777" w:rsidR="00387142" w:rsidRPr="008B6A75" w:rsidRDefault="00387142" w:rsidP="00387142">
            <w:pPr>
              <w:jc w:val="center"/>
              <w:rPr>
                <w:sz w:val="20"/>
                <w:szCs w:val="20"/>
              </w:rPr>
            </w:pPr>
            <w:r w:rsidRPr="008B6A75">
              <w:rPr>
                <w:sz w:val="20"/>
                <w:szCs w:val="20"/>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3F66AF9" w14:textId="77777777" w:rsidR="00387142" w:rsidRPr="008B6A75" w:rsidRDefault="00387142" w:rsidP="00387142">
            <w:pPr>
              <w:jc w:val="center"/>
              <w:rPr>
                <w:sz w:val="20"/>
                <w:szCs w:val="20"/>
              </w:rPr>
            </w:pPr>
            <w:r w:rsidRPr="008B6A75">
              <w:rPr>
                <w:sz w:val="20"/>
                <w:szCs w:val="20"/>
              </w:rPr>
              <w:t>08</w:t>
            </w:r>
          </w:p>
        </w:tc>
        <w:tc>
          <w:tcPr>
            <w:tcW w:w="1516" w:type="dxa"/>
            <w:tcBorders>
              <w:top w:val="nil"/>
              <w:left w:val="single" w:sz="4" w:space="0" w:color="auto"/>
              <w:bottom w:val="single" w:sz="4" w:space="0" w:color="auto"/>
              <w:right w:val="nil"/>
            </w:tcBorders>
            <w:shd w:val="clear" w:color="auto" w:fill="auto"/>
            <w:noWrap/>
            <w:vAlign w:val="center"/>
            <w:hideMark/>
          </w:tcPr>
          <w:p w14:paraId="1F72747A" w14:textId="77777777" w:rsidR="00387142" w:rsidRPr="008B6A75" w:rsidRDefault="00387142" w:rsidP="00387142">
            <w:pPr>
              <w:jc w:val="center"/>
              <w:rPr>
                <w:sz w:val="20"/>
                <w:szCs w:val="20"/>
              </w:rPr>
            </w:pPr>
            <w:r w:rsidRPr="008B6A75">
              <w:rPr>
                <w:sz w:val="20"/>
                <w:szCs w:val="20"/>
              </w:rPr>
              <w:t>32.0.00.S0170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4EB31A2" w14:textId="77777777" w:rsidR="00387142" w:rsidRPr="008B6A75" w:rsidRDefault="00387142" w:rsidP="00387142">
            <w:pPr>
              <w:jc w:val="center"/>
              <w:rPr>
                <w:sz w:val="20"/>
                <w:szCs w:val="20"/>
              </w:rPr>
            </w:pPr>
            <w:r w:rsidRPr="008B6A75">
              <w:rPr>
                <w:sz w:val="20"/>
                <w:szCs w:val="20"/>
              </w:rPr>
              <w:t>240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DDBC800" w14:textId="77777777" w:rsidR="00387142" w:rsidRPr="008B6A75" w:rsidRDefault="00387142" w:rsidP="00387142">
            <w:pPr>
              <w:jc w:val="right"/>
              <w:rPr>
                <w:sz w:val="20"/>
                <w:szCs w:val="20"/>
              </w:rPr>
            </w:pPr>
            <w:r w:rsidRPr="008B6A75">
              <w:rPr>
                <w:sz w:val="20"/>
                <w:szCs w:val="20"/>
              </w:rPr>
              <w:t>1 168 600,00</w:t>
            </w:r>
          </w:p>
        </w:tc>
        <w:tc>
          <w:tcPr>
            <w:tcW w:w="992" w:type="dxa"/>
            <w:tcBorders>
              <w:top w:val="nil"/>
              <w:left w:val="single" w:sz="4" w:space="0" w:color="auto"/>
              <w:bottom w:val="single" w:sz="4" w:space="0" w:color="auto"/>
              <w:right w:val="nil"/>
            </w:tcBorders>
            <w:shd w:val="clear" w:color="auto" w:fill="auto"/>
            <w:vAlign w:val="center"/>
            <w:hideMark/>
          </w:tcPr>
          <w:p w14:paraId="03949207" w14:textId="77777777" w:rsidR="00387142" w:rsidRPr="008B6A75" w:rsidRDefault="00387142" w:rsidP="00387142">
            <w:pPr>
              <w:jc w:val="right"/>
              <w:rPr>
                <w:sz w:val="20"/>
                <w:szCs w:val="20"/>
              </w:rPr>
            </w:pPr>
            <w:r w:rsidRPr="008B6A75">
              <w:rPr>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75B2CAD7" w14:textId="77777777" w:rsidR="00387142" w:rsidRPr="008B6A75" w:rsidRDefault="00387142" w:rsidP="00387142">
            <w:pPr>
              <w:jc w:val="right"/>
              <w:rPr>
                <w:sz w:val="20"/>
                <w:szCs w:val="20"/>
              </w:rPr>
            </w:pPr>
            <w:r w:rsidRPr="008B6A75">
              <w:rPr>
                <w:sz w:val="20"/>
                <w:szCs w:val="20"/>
              </w:rPr>
              <w:t>0,00</w:t>
            </w:r>
          </w:p>
        </w:tc>
      </w:tr>
      <w:tr w:rsidR="00387142" w:rsidRPr="008B6A75" w14:paraId="26477EA0" w14:textId="77777777" w:rsidTr="00387142">
        <w:trPr>
          <w:trHeight w:val="345"/>
        </w:trPr>
        <w:tc>
          <w:tcPr>
            <w:tcW w:w="3261" w:type="dxa"/>
            <w:tcBorders>
              <w:top w:val="nil"/>
              <w:left w:val="single" w:sz="4" w:space="0" w:color="auto"/>
              <w:bottom w:val="single" w:sz="4" w:space="0" w:color="auto"/>
              <w:right w:val="nil"/>
            </w:tcBorders>
            <w:shd w:val="clear" w:color="auto" w:fill="auto"/>
            <w:vAlign w:val="center"/>
            <w:hideMark/>
          </w:tcPr>
          <w:p w14:paraId="4E1C68AC" w14:textId="77777777" w:rsidR="00387142" w:rsidRPr="008B6A75" w:rsidRDefault="00387142" w:rsidP="00387142">
            <w:pPr>
              <w:rPr>
                <w:bCs/>
                <w:sz w:val="20"/>
                <w:szCs w:val="20"/>
              </w:rPr>
            </w:pPr>
            <w:r w:rsidRPr="008B6A75">
              <w:rPr>
                <w:bCs/>
                <w:sz w:val="20"/>
                <w:szCs w:val="20"/>
              </w:rPr>
              <w:t>Дорожное хозяйство (дорожные фонды)</w:t>
            </w:r>
          </w:p>
        </w:tc>
        <w:tc>
          <w:tcPr>
            <w:tcW w:w="720" w:type="dxa"/>
            <w:tcBorders>
              <w:top w:val="nil"/>
              <w:left w:val="single" w:sz="4" w:space="0" w:color="auto"/>
              <w:bottom w:val="single" w:sz="4" w:space="0" w:color="auto"/>
              <w:right w:val="nil"/>
            </w:tcBorders>
            <w:shd w:val="clear" w:color="auto" w:fill="auto"/>
            <w:noWrap/>
            <w:vAlign w:val="center"/>
            <w:hideMark/>
          </w:tcPr>
          <w:p w14:paraId="32E867CD" w14:textId="77777777" w:rsidR="00387142" w:rsidRPr="008B6A75" w:rsidRDefault="00387142" w:rsidP="00387142">
            <w:pPr>
              <w:jc w:val="center"/>
              <w:rPr>
                <w:bCs/>
                <w:sz w:val="20"/>
                <w:szCs w:val="20"/>
              </w:rPr>
            </w:pPr>
            <w:r w:rsidRPr="008B6A75">
              <w:rPr>
                <w:bCs/>
                <w:sz w:val="20"/>
                <w:szCs w:val="20"/>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8E2EABB" w14:textId="77777777" w:rsidR="00387142" w:rsidRPr="008B6A75" w:rsidRDefault="00387142" w:rsidP="00387142">
            <w:pPr>
              <w:jc w:val="center"/>
              <w:rPr>
                <w:bCs/>
                <w:sz w:val="20"/>
                <w:szCs w:val="20"/>
              </w:rPr>
            </w:pPr>
            <w:r w:rsidRPr="008B6A75">
              <w:rPr>
                <w:bCs/>
                <w:sz w:val="20"/>
                <w:szCs w:val="20"/>
              </w:rPr>
              <w:t>09</w:t>
            </w:r>
          </w:p>
        </w:tc>
        <w:tc>
          <w:tcPr>
            <w:tcW w:w="1516" w:type="dxa"/>
            <w:tcBorders>
              <w:top w:val="nil"/>
              <w:left w:val="single" w:sz="4" w:space="0" w:color="auto"/>
              <w:bottom w:val="single" w:sz="4" w:space="0" w:color="auto"/>
              <w:right w:val="nil"/>
            </w:tcBorders>
            <w:shd w:val="clear" w:color="auto" w:fill="auto"/>
            <w:noWrap/>
            <w:vAlign w:val="center"/>
            <w:hideMark/>
          </w:tcPr>
          <w:p w14:paraId="5453D7CE" w14:textId="77777777" w:rsidR="00387142" w:rsidRPr="008B6A75" w:rsidRDefault="00387142" w:rsidP="00387142">
            <w:pPr>
              <w:jc w:val="center"/>
              <w:rPr>
                <w:bCs/>
                <w:sz w:val="20"/>
                <w:szCs w:val="20"/>
              </w:rPr>
            </w:pPr>
            <w:r w:rsidRPr="008B6A75">
              <w:rPr>
                <w:bCs/>
                <w:sz w:val="20"/>
                <w:szCs w:val="20"/>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F8AEBCE"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F84FBDF" w14:textId="77777777" w:rsidR="00387142" w:rsidRPr="008B6A75" w:rsidRDefault="00387142" w:rsidP="00387142">
            <w:pPr>
              <w:jc w:val="right"/>
              <w:rPr>
                <w:bCs/>
                <w:sz w:val="20"/>
                <w:szCs w:val="20"/>
              </w:rPr>
            </w:pPr>
            <w:r w:rsidRPr="008B6A75">
              <w:rPr>
                <w:bCs/>
                <w:sz w:val="20"/>
                <w:szCs w:val="20"/>
              </w:rPr>
              <w:t>51 995 805,58</w:t>
            </w:r>
          </w:p>
        </w:tc>
        <w:tc>
          <w:tcPr>
            <w:tcW w:w="992" w:type="dxa"/>
            <w:tcBorders>
              <w:top w:val="nil"/>
              <w:left w:val="single" w:sz="4" w:space="0" w:color="auto"/>
              <w:bottom w:val="single" w:sz="4" w:space="0" w:color="auto"/>
              <w:right w:val="nil"/>
            </w:tcBorders>
            <w:shd w:val="clear" w:color="auto" w:fill="auto"/>
            <w:vAlign w:val="center"/>
            <w:hideMark/>
          </w:tcPr>
          <w:p w14:paraId="2BBFA980" w14:textId="77777777" w:rsidR="00387142" w:rsidRPr="008B6A75" w:rsidRDefault="00387142" w:rsidP="00387142">
            <w:pPr>
              <w:jc w:val="right"/>
              <w:rPr>
                <w:bCs/>
                <w:sz w:val="20"/>
                <w:szCs w:val="20"/>
              </w:rPr>
            </w:pPr>
            <w:r w:rsidRPr="008B6A75">
              <w:rPr>
                <w:bCs/>
                <w:sz w:val="20"/>
                <w:szCs w:val="20"/>
              </w:rPr>
              <w:t>53 076 420,00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72D66758" w14:textId="77777777" w:rsidR="00387142" w:rsidRPr="008B6A75" w:rsidRDefault="00387142" w:rsidP="00387142">
            <w:pPr>
              <w:jc w:val="right"/>
              <w:rPr>
                <w:bCs/>
                <w:sz w:val="20"/>
                <w:szCs w:val="20"/>
              </w:rPr>
            </w:pPr>
            <w:r w:rsidRPr="008B6A75">
              <w:rPr>
                <w:bCs/>
                <w:sz w:val="20"/>
                <w:szCs w:val="20"/>
              </w:rPr>
              <w:t>59 506 590,00</w:t>
            </w:r>
          </w:p>
        </w:tc>
      </w:tr>
      <w:tr w:rsidR="00387142" w:rsidRPr="008B6A75" w14:paraId="110203E8" w14:textId="77777777" w:rsidTr="00387142">
        <w:trPr>
          <w:trHeight w:val="870"/>
        </w:trPr>
        <w:tc>
          <w:tcPr>
            <w:tcW w:w="3261" w:type="dxa"/>
            <w:tcBorders>
              <w:top w:val="nil"/>
              <w:left w:val="single" w:sz="4" w:space="0" w:color="auto"/>
              <w:bottom w:val="single" w:sz="4" w:space="0" w:color="auto"/>
              <w:right w:val="nil"/>
            </w:tcBorders>
            <w:shd w:val="clear" w:color="auto" w:fill="auto"/>
            <w:vAlign w:val="center"/>
            <w:hideMark/>
          </w:tcPr>
          <w:p w14:paraId="1FD18A15" w14:textId="77777777" w:rsidR="00387142" w:rsidRPr="008B6A75" w:rsidRDefault="00387142" w:rsidP="00387142">
            <w:pPr>
              <w:rPr>
                <w:bCs/>
                <w:sz w:val="20"/>
                <w:szCs w:val="20"/>
              </w:rPr>
            </w:pPr>
            <w:r w:rsidRPr="008B6A75">
              <w:rPr>
                <w:bCs/>
                <w:sz w:val="20"/>
                <w:szCs w:val="20"/>
              </w:rPr>
              <w:t>Муниципальная программа "Развитие автомобильных дорог местного значения в Куйбышевском районе "</w:t>
            </w:r>
          </w:p>
        </w:tc>
        <w:tc>
          <w:tcPr>
            <w:tcW w:w="720" w:type="dxa"/>
            <w:tcBorders>
              <w:top w:val="nil"/>
              <w:left w:val="single" w:sz="4" w:space="0" w:color="auto"/>
              <w:bottom w:val="single" w:sz="4" w:space="0" w:color="auto"/>
              <w:right w:val="nil"/>
            </w:tcBorders>
            <w:shd w:val="clear" w:color="auto" w:fill="auto"/>
            <w:noWrap/>
            <w:vAlign w:val="center"/>
            <w:hideMark/>
          </w:tcPr>
          <w:p w14:paraId="44AB05D2" w14:textId="77777777" w:rsidR="00387142" w:rsidRPr="008B6A75" w:rsidRDefault="00387142" w:rsidP="00387142">
            <w:pPr>
              <w:jc w:val="center"/>
              <w:rPr>
                <w:bCs/>
                <w:sz w:val="20"/>
                <w:szCs w:val="20"/>
              </w:rPr>
            </w:pPr>
            <w:r w:rsidRPr="008B6A75">
              <w:rPr>
                <w:bCs/>
                <w:sz w:val="20"/>
                <w:szCs w:val="20"/>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00B19FC" w14:textId="77777777" w:rsidR="00387142" w:rsidRPr="008B6A75" w:rsidRDefault="00387142" w:rsidP="00387142">
            <w:pPr>
              <w:jc w:val="center"/>
              <w:rPr>
                <w:bCs/>
                <w:sz w:val="20"/>
                <w:szCs w:val="20"/>
              </w:rPr>
            </w:pPr>
            <w:r w:rsidRPr="008B6A75">
              <w:rPr>
                <w:bCs/>
                <w:sz w:val="20"/>
                <w:szCs w:val="20"/>
              </w:rPr>
              <w:t>09</w:t>
            </w:r>
          </w:p>
        </w:tc>
        <w:tc>
          <w:tcPr>
            <w:tcW w:w="1516" w:type="dxa"/>
            <w:tcBorders>
              <w:top w:val="nil"/>
              <w:left w:val="single" w:sz="4" w:space="0" w:color="auto"/>
              <w:bottom w:val="single" w:sz="4" w:space="0" w:color="auto"/>
              <w:right w:val="nil"/>
            </w:tcBorders>
            <w:shd w:val="clear" w:color="auto" w:fill="auto"/>
            <w:noWrap/>
            <w:vAlign w:val="center"/>
            <w:hideMark/>
          </w:tcPr>
          <w:p w14:paraId="74F0CA6F" w14:textId="77777777" w:rsidR="00387142" w:rsidRPr="008B6A75" w:rsidRDefault="00387142" w:rsidP="00387142">
            <w:pPr>
              <w:jc w:val="center"/>
              <w:rPr>
                <w:bCs/>
                <w:sz w:val="20"/>
                <w:szCs w:val="20"/>
              </w:rPr>
            </w:pPr>
            <w:r w:rsidRPr="008B6A75">
              <w:rPr>
                <w:bCs/>
                <w:sz w:val="20"/>
                <w:szCs w:val="20"/>
              </w:rPr>
              <w:t>10.0.00.00000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493081F"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7AB7A95" w14:textId="77777777" w:rsidR="00387142" w:rsidRPr="008B6A75" w:rsidRDefault="00387142" w:rsidP="00387142">
            <w:pPr>
              <w:jc w:val="right"/>
              <w:rPr>
                <w:bCs/>
                <w:sz w:val="20"/>
                <w:szCs w:val="20"/>
              </w:rPr>
            </w:pPr>
            <w:r w:rsidRPr="008B6A75">
              <w:rPr>
                <w:bCs/>
                <w:sz w:val="20"/>
                <w:szCs w:val="20"/>
              </w:rPr>
              <w:t>51 995 805,58</w:t>
            </w:r>
          </w:p>
        </w:tc>
        <w:tc>
          <w:tcPr>
            <w:tcW w:w="992" w:type="dxa"/>
            <w:tcBorders>
              <w:top w:val="nil"/>
              <w:left w:val="single" w:sz="4" w:space="0" w:color="auto"/>
              <w:bottom w:val="single" w:sz="4" w:space="0" w:color="auto"/>
              <w:right w:val="nil"/>
            </w:tcBorders>
            <w:shd w:val="clear" w:color="auto" w:fill="auto"/>
            <w:vAlign w:val="center"/>
            <w:hideMark/>
          </w:tcPr>
          <w:p w14:paraId="788A807D" w14:textId="77777777" w:rsidR="00387142" w:rsidRPr="008B6A75" w:rsidRDefault="00387142" w:rsidP="00387142">
            <w:pPr>
              <w:jc w:val="right"/>
              <w:rPr>
                <w:bCs/>
                <w:sz w:val="20"/>
                <w:szCs w:val="20"/>
              </w:rPr>
            </w:pPr>
            <w:r w:rsidRPr="008B6A75">
              <w:rPr>
                <w:bCs/>
                <w:sz w:val="20"/>
                <w:szCs w:val="20"/>
              </w:rPr>
              <w:t>53 076 420,00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74703DDC" w14:textId="77777777" w:rsidR="00387142" w:rsidRPr="008B6A75" w:rsidRDefault="00387142" w:rsidP="00387142">
            <w:pPr>
              <w:jc w:val="right"/>
              <w:rPr>
                <w:bCs/>
                <w:sz w:val="20"/>
                <w:szCs w:val="20"/>
              </w:rPr>
            </w:pPr>
            <w:r w:rsidRPr="008B6A75">
              <w:rPr>
                <w:bCs/>
                <w:sz w:val="20"/>
                <w:szCs w:val="20"/>
              </w:rPr>
              <w:t>59 506 590,00</w:t>
            </w:r>
          </w:p>
        </w:tc>
      </w:tr>
      <w:tr w:rsidR="00387142" w:rsidRPr="008B6A75" w14:paraId="1F0335E5" w14:textId="77777777" w:rsidTr="00387142">
        <w:trPr>
          <w:trHeight w:val="585"/>
        </w:trPr>
        <w:tc>
          <w:tcPr>
            <w:tcW w:w="3261" w:type="dxa"/>
            <w:tcBorders>
              <w:top w:val="nil"/>
              <w:left w:val="single" w:sz="4" w:space="0" w:color="auto"/>
              <w:bottom w:val="single" w:sz="4" w:space="0" w:color="auto"/>
              <w:right w:val="nil"/>
            </w:tcBorders>
            <w:shd w:val="clear" w:color="auto" w:fill="auto"/>
            <w:vAlign w:val="center"/>
            <w:hideMark/>
          </w:tcPr>
          <w:p w14:paraId="155C8CD0" w14:textId="77777777" w:rsidR="00387142" w:rsidRPr="008B6A75" w:rsidRDefault="00387142" w:rsidP="00387142">
            <w:pPr>
              <w:rPr>
                <w:bCs/>
                <w:sz w:val="20"/>
                <w:szCs w:val="20"/>
              </w:rPr>
            </w:pPr>
            <w:r w:rsidRPr="008B6A75">
              <w:rPr>
                <w:bCs/>
                <w:sz w:val="20"/>
                <w:szCs w:val="20"/>
              </w:rPr>
              <w:t>Содержание автомобильных дорог и дорожных сооружений</w:t>
            </w:r>
          </w:p>
        </w:tc>
        <w:tc>
          <w:tcPr>
            <w:tcW w:w="720" w:type="dxa"/>
            <w:tcBorders>
              <w:top w:val="nil"/>
              <w:left w:val="single" w:sz="4" w:space="0" w:color="auto"/>
              <w:bottom w:val="single" w:sz="4" w:space="0" w:color="auto"/>
              <w:right w:val="nil"/>
            </w:tcBorders>
            <w:shd w:val="clear" w:color="auto" w:fill="auto"/>
            <w:noWrap/>
            <w:vAlign w:val="center"/>
            <w:hideMark/>
          </w:tcPr>
          <w:p w14:paraId="1A92BD83" w14:textId="77777777" w:rsidR="00387142" w:rsidRPr="008B6A75" w:rsidRDefault="00387142" w:rsidP="00387142">
            <w:pPr>
              <w:jc w:val="center"/>
              <w:rPr>
                <w:bCs/>
                <w:sz w:val="20"/>
                <w:szCs w:val="20"/>
              </w:rPr>
            </w:pPr>
            <w:r w:rsidRPr="008B6A75">
              <w:rPr>
                <w:bCs/>
                <w:sz w:val="20"/>
                <w:szCs w:val="20"/>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A7D1C0A" w14:textId="77777777" w:rsidR="00387142" w:rsidRPr="008B6A75" w:rsidRDefault="00387142" w:rsidP="00387142">
            <w:pPr>
              <w:jc w:val="center"/>
              <w:rPr>
                <w:bCs/>
                <w:sz w:val="20"/>
                <w:szCs w:val="20"/>
              </w:rPr>
            </w:pPr>
            <w:r w:rsidRPr="008B6A75">
              <w:rPr>
                <w:bCs/>
                <w:sz w:val="20"/>
                <w:szCs w:val="20"/>
              </w:rPr>
              <w:t>09</w:t>
            </w:r>
          </w:p>
        </w:tc>
        <w:tc>
          <w:tcPr>
            <w:tcW w:w="1516" w:type="dxa"/>
            <w:tcBorders>
              <w:top w:val="nil"/>
              <w:left w:val="single" w:sz="4" w:space="0" w:color="auto"/>
              <w:bottom w:val="single" w:sz="4" w:space="0" w:color="auto"/>
              <w:right w:val="nil"/>
            </w:tcBorders>
            <w:shd w:val="clear" w:color="auto" w:fill="auto"/>
            <w:noWrap/>
            <w:vAlign w:val="center"/>
            <w:hideMark/>
          </w:tcPr>
          <w:p w14:paraId="7CA9701D" w14:textId="77777777" w:rsidR="00387142" w:rsidRPr="008B6A75" w:rsidRDefault="00387142" w:rsidP="00387142">
            <w:pPr>
              <w:jc w:val="center"/>
              <w:rPr>
                <w:bCs/>
                <w:sz w:val="20"/>
                <w:szCs w:val="20"/>
              </w:rPr>
            </w:pPr>
            <w:r w:rsidRPr="008B6A75">
              <w:rPr>
                <w:bCs/>
                <w:sz w:val="20"/>
                <w:szCs w:val="20"/>
              </w:rPr>
              <w:t>10.0.00.04310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B3F097E"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C5BCB1E" w14:textId="77777777" w:rsidR="00387142" w:rsidRPr="008B6A75" w:rsidRDefault="00387142" w:rsidP="00387142">
            <w:pPr>
              <w:jc w:val="right"/>
              <w:rPr>
                <w:bCs/>
                <w:sz w:val="20"/>
                <w:szCs w:val="20"/>
              </w:rPr>
            </w:pPr>
            <w:r w:rsidRPr="008B6A75">
              <w:rPr>
                <w:bCs/>
                <w:sz w:val="20"/>
                <w:szCs w:val="20"/>
              </w:rPr>
              <w:t>3 403 093,98</w:t>
            </w:r>
          </w:p>
        </w:tc>
        <w:tc>
          <w:tcPr>
            <w:tcW w:w="992" w:type="dxa"/>
            <w:tcBorders>
              <w:top w:val="nil"/>
              <w:left w:val="single" w:sz="4" w:space="0" w:color="auto"/>
              <w:bottom w:val="single" w:sz="4" w:space="0" w:color="auto"/>
              <w:right w:val="nil"/>
            </w:tcBorders>
            <w:shd w:val="clear" w:color="auto" w:fill="auto"/>
            <w:vAlign w:val="center"/>
            <w:hideMark/>
          </w:tcPr>
          <w:p w14:paraId="388BF50C" w14:textId="77777777" w:rsidR="00387142" w:rsidRPr="008B6A75" w:rsidRDefault="00387142" w:rsidP="00387142">
            <w:pPr>
              <w:jc w:val="right"/>
              <w:rPr>
                <w:bCs/>
                <w:sz w:val="20"/>
                <w:szCs w:val="20"/>
              </w:rPr>
            </w:pPr>
            <w:r w:rsidRPr="008B6A75">
              <w:rPr>
                <w:bCs/>
                <w:sz w:val="20"/>
                <w:szCs w:val="20"/>
              </w:rPr>
              <w:t>4 039 420,00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6C449B35" w14:textId="77777777" w:rsidR="00387142" w:rsidRPr="008B6A75" w:rsidRDefault="00387142" w:rsidP="00387142">
            <w:pPr>
              <w:jc w:val="right"/>
              <w:rPr>
                <w:bCs/>
                <w:sz w:val="20"/>
                <w:szCs w:val="20"/>
              </w:rPr>
            </w:pPr>
            <w:r w:rsidRPr="008B6A75">
              <w:rPr>
                <w:bCs/>
                <w:sz w:val="20"/>
                <w:szCs w:val="20"/>
              </w:rPr>
              <w:t>4 258 990,00</w:t>
            </w:r>
          </w:p>
        </w:tc>
      </w:tr>
      <w:tr w:rsidR="00387142" w:rsidRPr="008B6A75" w14:paraId="5B6B725E" w14:textId="77777777" w:rsidTr="00387142">
        <w:trPr>
          <w:trHeight w:val="585"/>
        </w:trPr>
        <w:tc>
          <w:tcPr>
            <w:tcW w:w="3261" w:type="dxa"/>
            <w:tcBorders>
              <w:top w:val="nil"/>
              <w:left w:val="single" w:sz="4" w:space="0" w:color="auto"/>
              <w:bottom w:val="single" w:sz="4" w:space="0" w:color="auto"/>
              <w:right w:val="nil"/>
            </w:tcBorders>
            <w:shd w:val="clear" w:color="auto" w:fill="auto"/>
            <w:vAlign w:val="center"/>
            <w:hideMark/>
          </w:tcPr>
          <w:p w14:paraId="59374C8F" w14:textId="77777777" w:rsidR="00387142" w:rsidRPr="008B6A75" w:rsidRDefault="00387142" w:rsidP="00387142">
            <w:pPr>
              <w:rPr>
                <w:sz w:val="20"/>
                <w:szCs w:val="20"/>
              </w:rPr>
            </w:pPr>
            <w:r w:rsidRPr="008B6A75">
              <w:rPr>
                <w:sz w:val="20"/>
                <w:szCs w:val="20"/>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3980F6E5" w14:textId="77777777" w:rsidR="00387142" w:rsidRPr="008B6A75" w:rsidRDefault="00387142" w:rsidP="00387142">
            <w:pPr>
              <w:jc w:val="center"/>
              <w:rPr>
                <w:sz w:val="20"/>
                <w:szCs w:val="20"/>
              </w:rPr>
            </w:pPr>
            <w:r w:rsidRPr="008B6A75">
              <w:rPr>
                <w:sz w:val="20"/>
                <w:szCs w:val="20"/>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38C8D14" w14:textId="77777777" w:rsidR="00387142" w:rsidRPr="008B6A75" w:rsidRDefault="00387142" w:rsidP="00387142">
            <w:pPr>
              <w:jc w:val="center"/>
              <w:rPr>
                <w:sz w:val="20"/>
                <w:szCs w:val="20"/>
              </w:rPr>
            </w:pPr>
            <w:r w:rsidRPr="008B6A75">
              <w:rPr>
                <w:sz w:val="20"/>
                <w:szCs w:val="20"/>
              </w:rPr>
              <w:t>09</w:t>
            </w:r>
          </w:p>
        </w:tc>
        <w:tc>
          <w:tcPr>
            <w:tcW w:w="1516" w:type="dxa"/>
            <w:tcBorders>
              <w:top w:val="nil"/>
              <w:left w:val="single" w:sz="4" w:space="0" w:color="auto"/>
              <w:bottom w:val="single" w:sz="4" w:space="0" w:color="auto"/>
              <w:right w:val="nil"/>
            </w:tcBorders>
            <w:shd w:val="clear" w:color="auto" w:fill="auto"/>
            <w:noWrap/>
            <w:vAlign w:val="center"/>
            <w:hideMark/>
          </w:tcPr>
          <w:p w14:paraId="620D0298" w14:textId="77777777" w:rsidR="00387142" w:rsidRPr="008B6A75" w:rsidRDefault="00387142" w:rsidP="00387142">
            <w:pPr>
              <w:jc w:val="center"/>
              <w:rPr>
                <w:sz w:val="20"/>
                <w:szCs w:val="20"/>
              </w:rPr>
            </w:pPr>
            <w:r w:rsidRPr="008B6A75">
              <w:rPr>
                <w:sz w:val="20"/>
                <w:szCs w:val="20"/>
              </w:rPr>
              <w:t>10.0.00.04310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8296241" w14:textId="77777777" w:rsidR="00387142" w:rsidRPr="008B6A75" w:rsidRDefault="00387142" w:rsidP="00387142">
            <w:pPr>
              <w:jc w:val="center"/>
              <w:rPr>
                <w:sz w:val="20"/>
                <w:szCs w:val="20"/>
              </w:rPr>
            </w:pPr>
            <w:r w:rsidRPr="008B6A75">
              <w:rPr>
                <w:sz w:val="20"/>
                <w:szCs w:val="20"/>
              </w:rPr>
              <w:t>200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6AB13B4" w14:textId="77777777" w:rsidR="00387142" w:rsidRPr="008B6A75" w:rsidRDefault="00387142" w:rsidP="00387142">
            <w:pPr>
              <w:jc w:val="right"/>
              <w:rPr>
                <w:sz w:val="20"/>
                <w:szCs w:val="20"/>
              </w:rPr>
            </w:pPr>
            <w:r w:rsidRPr="008B6A75">
              <w:rPr>
                <w:sz w:val="20"/>
                <w:szCs w:val="20"/>
              </w:rPr>
              <w:t>3 133 093,98</w:t>
            </w:r>
          </w:p>
        </w:tc>
        <w:tc>
          <w:tcPr>
            <w:tcW w:w="992" w:type="dxa"/>
            <w:tcBorders>
              <w:top w:val="nil"/>
              <w:left w:val="single" w:sz="4" w:space="0" w:color="auto"/>
              <w:bottom w:val="single" w:sz="4" w:space="0" w:color="auto"/>
              <w:right w:val="nil"/>
            </w:tcBorders>
            <w:shd w:val="clear" w:color="auto" w:fill="auto"/>
            <w:vAlign w:val="center"/>
            <w:hideMark/>
          </w:tcPr>
          <w:p w14:paraId="7C1FD427" w14:textId="77777777" w:rsidR="00387142" w:rsidRPr="008B6A75" w:rsidRDefault="00387142" w:rsidP="00387142">
            <w:pPr>
              <w:jc w:val="right"/>
              <w:rPr>
                <w:sz w:val="20"/>
                <w:szCs w:val="20"/>
              </w:rPr>
            </w:pPr>
            <w:r w:rsidRPr="008B6A75">
              <w:rPr>
                <w:sz w:val="20"/>
                <w:szCs w:val="20"/>
              </w:rPr>
              <w:t>4 039 420,00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6C1ACE5B" w14:textId="77777777" w:rsidR="00387142" w:rsidRPr="008B6A75" w:rsidRDefault="00387142" w:rsidP="00387142">
            <w:pPr>
              <w:jc w:val="right"/>
              <w:rPr>
                <w:sz w:val="20"/>
                <w:szCs w:val="20"/>
              </w:rPr>
            </w:pPr>
            <w:r w:rsidRPr="008B6A75">
              <w:rPr>
                <w:sz w:val="20"/>
                <w:szCs w:val="20"/>
              </w:rPr>
              <w:t>4 258 990,00</w:t>
            </w:r>
          </w:p>
        </w:tc>
      </w:tr>
      <w:tr w:rsidR="00387142" w:rsidRPr="008B6A75" w14:paraId="6A18BC73" w14:textId="77777777" w:rsidTr="00387142">
        <w:trPr>
          <w:trHeight w:val="870"/>
        </w:trPr>
        <w:tc>
          <w:tcPr>
            <w:tcW w:w="3261" w:type="dxa"/>
            <w:tcBorders>
              <w:top w:val="nil"/>
              <w:left w:val="single" w:sz="4" w:space="0" w:color="auto"/>
              <w:bottom w:val="single" w:sz="4" w:space="0" w:color="auto"/>
              <w:right w:val="nil"/>
            </w:tcBorders>
            <w:shd w:val="clear" w:color="auto" w:fill="auto"/>
            <w:vAlign w:val="center"/>
            <w:hideMark/>
          </w:tcPr>
          <w:p w14:paraId="440F5CFC" w14:textId="77777777" w:rsidR="00387142" w:rsidRPr="008B6A75" w:rsidRDefault="00387142" w:rsidP="00387142">
            <w:pPr>
              <w:rPr>
                <w:sz w:val="20"/>
                <w:szCs w:val="20"/>
              </w:rPr>
            </w:pPr>
            <w:r w:rsidRPr="008B6A75">
              <w:rPr>
                <w:sz w:val="20"/>
                <w:szCs w:val="20"/>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1C6F0B69" w14:textId="77777777" w:rsidR="00387142" w:rsidRPr="008B6A75" w:rsidRDefault="00387142" w:rsidP="00387142">
            <w:pPr>
              <w:jc w:val="center"/>
              <w:rPr>
                <w:sz w:val="20"/>
                <w:szCs w:val="20"/>
              </w:rPr>
            </w:pPr>
            <w:r w:rsidRPr="008B6A75">
              <w:rPr>
                <w:sz w:val="20"/>
                <w:szCs w:val="20"/>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B158925" w14:textId="77777777" w:rsidR="00387142" w:rsidRPr="008B6A75" w:rsidRDefault="00387142" w:rsidP="00387142">
            <w:pPr>
              <w:jc w:val="center"/>
              <w:rPr>
                <w:sz w:val="20"/>
                <w:szCs w:val="20"/>
              </w:rPr>
            </w:pPr>
            <w:r w:rsidRPr="008B6A75">
              <w:rPr>
                <w:sz w:val="20"/>
                <w:szCs w:val="20"/>
              </w:rPr>
              <w:t>09</w:t>
            </w:r>
          </w:p>
        </w:tc>
        <w:tc>
          <w:tcPr>
            <w:tcW w:w="1516" w:type="dxa"/>
            <w:tcBorders>
              <w:top w:val="nil"/>
              <w:left w:val="single" w:sz="4" w:space="0" w:color="auto"/>
              <w:bottom w:val="single" w:sz="4" w:space="0" w:color="auto"/>
              <w:right w:val="nil"/>
            </w:tcBorders>
            <w:shd w:val="clear" w:color="auto" w:fill="auto"/>
            <w:noWrap/>
            <w:vAlign w:val="center"/>
            <w:hideMark/>
          </w:tcPr>
          <w:p w14:paraId="343B2DA7" w14:textId="77777777" w:rsidR="00387142" w:rsidRPr="008B6A75" w:rsidRDefault="00387142" w:rsidP="00387142">
            <w:pPr>
              <w:jc w:val="center"/>
              <w:rPr>
                <w:sz w:val="20"/>
                <w:szCs w:val="20"/>
              </w:rPr>
            </w:pPr>
            <w:r w:rsidRPr="008B6A75">
              <w:rPr>
                <w:sz w:val="20"/>
                <w:szCs w:val="20"/>
              </w:rPr>
              <w:t>10.0.00.04310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D533802" w14:textId="77777777" w:rsidR="00387142" w:rsidRPr="008B6A75" w:rsidRDefault="00387142" w:rsidP="00387142">
            <w:pPr>
              <w:jc w:val="center"/>
              <w:rPr>
                <w:sz w:val="20"/>
                <w:szCs w:val="20"/>
              </w:rPr>
            </w:pPr>
            <w:r w:rsidRPr="008B6A75">
              <w:rPr>
                <w:sz w:val="20"/>
                <w:szCs w:val="20"/>
              </w:rPr>
              <w:t>240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C98847C" w14:textId="77777777" w:rsidR="00387142" w:rsidRPr="008B6A75" w:rsidRDefault="00387142" w:rsidP="00387142">
            <w:pPr>
              <w:jc w:val="right"/>
              <w:rPr>
                <w:sz w:val="20"/>
                <w:szCs w:val="20"/>
              </w:rPr>
            </w:pPr>
            <w:r w:rsidRPr="008B6A75">
              <w:rPr>
                <w:sz w:val="20"/>
                <w:szCs w:val="20"/>
              </w:rPr>
              <w:t>3 133 093,98</w:t>
            </w:r>
          </w:p>
        </w:tc>
        <w:tc>
          <w:tcPr>
            <w:tcW w:w="992" w:type="dxa"/>
            <w:tcBorders>
              <w:top w:val="nil"/>
              <w:left w:val="single" w:sz="4" w:space="0" w:color="auto"/>
              <w:bottom w:val="single" w:sz="4" w:space="0" w:color="auto"/>
              <w:right w:val="nil"/>
            </w:tcBorders>
            <w:shd w:val="clear" w:color="auto" w:fill="auto"/>
            <w:vAlign w:val="center"/>
            <w:hideMark/>
          </w:tcPr>
          <w:p w14:paraId="621F6821" w14:textId="77777777" w:rsidR="00387142" w:rsidRPr="008B6A75" w:rsidRDefault="00387142" w:rsidP="00387142">
            <w:pPr>
              <w:jc w:val="right"/>
              <w:rPr>
                <w:sz w:val="20"/>
                <w:szCs w:val="20"/>
              </w:rPr>
            </w:pPr>
            <w:r w:rsidRPr="008B6A75">
              <w:rPr>
                <w:sz w:val="20"/>
                <w:szCs w:val="20"/>
              </w:rPr>
              <w:t>4 039 420,00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69EAA715" w14:textId="77777777" w:rsidR="00387142" w:rsidRPr="008B6A75" w:rsidRDefault="00387142" w:rsidP="00387142">
            <w:pPr>
              <w:jc w:val="right"/>
              <w:rPr>
                <w:sz w:val="20"/>
                <w:szCs w:val="20"/>
              </w:rPr>
            </w:pPr>
            <w:r w:rsidRPr="008B6A75">
              <w:rPr>
                <w:sz w:val="20"/>
                <w:szCs w:val="20"/>
              </w:rPr>
              <w:t>4 258 990,00</w:t>
            </w:r>
          </w:p>
        </w:tc>
      </w:tr>
      <w:tr w:rsidR="00387142" w:rsidRPr="008B6A75" w14:paraId="24988372" w14:textId="77777777" w:rsidTr="00387142">
        <w:trPr>
          <w:trHeight w:val="345"/>
        </w:trPr>
        <w:tc>
          <w:tcPr>
            <w:tcW w:w="3261" w:type="dxa"/>
            <w:tcBorders>
              <w:top w:val="nil"/>
              <w:left w:val="single" w:sz="4" w:space="0" w:color="auto"/>
              <w:bottom w:val="single" w:sz="4" w:space="0" w:color="auto"/>
              <w:right w:val="nil"/>
            </w:tcBorders>
            <w:shd w:val="clear" w:color="auto" w:fill="auto"/>
            <w:vAlign w:val="center"/>
            <w:hideMark/>
          </w:tcPr>
          <w:p w14:paraId="5202703A" w14:textId="77777777" w:rsidR="00387142" w:rsidRPr="008B6A75" w:rsidRDefault="00387142" w:rsidP="00387142">
            <w:pPr>
              <w:rPr>
                <w:sz w:val="20"/>
                <w:szCs w:val="20"/>
              </w:rPr>
            </w:pPr>
            <w:r w:rsidRPr="008B6A75">
              <w:rPr>
                <w:sz w:val="20"/>
                <w:szCs w:val="20"/>
              </w:rPr>
              <w:t>Межбюджетные трансферты</w:t>
            </w:r>
          </w:p>
        </w:tc>
        <w:tc>
          <w:tcPr>
            <w:tcW w:w="720" w:type="dxa"/>
            <w:tcBorders>
              <w:top w:val="nil"/>
              <w:left w:val="single" w:sz="4" w:space="0" w:color="auto"/>
              <w:bottom w:val="single" w:sz="4" w:space="0" w:color="auto"/>
              <w:right w:val="nil"/>
            </w:tcBorders>
            <w:shd w:val="clear" w:color="auto" w:fill="auto"/>
            <w:noWrap/>
            <w:vAlign w:val="center"/>
            <w:hideMark/>
          </w:tcPr>
          <w:p w14:paraId="429842DA" w14:textId="77777777" w:rsidR="00387142" w:rsidRPr="008B6A75" w:rsidRDefault="00387142" w:rsidP="00387142">
            <w:pPr>
              <w:jc w:val="center"/>
              <w:rPr>
                <w:sz w:val="20"/>
                <w:szCs w:val="20"/>
              </w:rPr>
            </w:pPr>
            <w:r w:rsidRPr="008B6A75">
              <w:rPr>
                <w:sz w:val="20"/>
                <w:szCs w:val="20"/>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649809B" w14:textId="77777777" w:rsidR="00387142" w:rsidRPr="008B6A75" w:rsidRDefault="00387142" w:rsidP="00387142">
            <w:pPr>
              <w:jc w:val="center"/>
              <w:rPr>
                <w:sz w:val="20"/>
                <w:szCs w:val="20"/>
              </w:rPr>
            </w:pPr>
            <w:r w:rsidRPr="008B6A75">
              <w:rPr>
                <w:sz w:val="20"/>
                <w:szCs w:val="20"/>
              </w:rPr>
              <w:t>09</w:t>
            </w:r>
          </w:p>
        </w:tc>
        <w:tc>
          <w:tcPr>
            <w:tcW w:w="1516" w:type="dxa"/>
            <w:tcBorders>
              <w:top w:val="nil"/>
              <w:left w:val="single" w:sz="4" w:space="0" w:color="auto"/>
              <w:bottom w:val="single" w:sz="4" w:space="0" w:color="auto"/>
              <w:right w:val="nil"/>
            </w:tcBorders>
            <w:shd w:val="clear" w:color="auto" w:fill="auto"/>
            <w:noWrap/>
            <w:vAlign w:val="center"/>
            <w:hideMark/>
          </w:tcPr>
          <w:p w14:paraId="2CD7AB3A" w14:textId="77777777" w:rsidR="00387142" w:rsidRPr="008B6A75" w:rsidRDefault="00387142" w:rsidP="00387142">
            <w:pPr>
              <w:jc w:val="center"/>
              <w:rPr>
                <w:sz w:val="20"/>
                <w:szCs w:val="20"/>
              </w:rPr>
            </w:pPr>
            <w:r w:rsidRPr="008B6A75">
              <w:rPr>
                <w:sz w:val="20"/>
                <w:szCs w:val="20"/>
              </w:rPr>
              <w:t>10.0.00.04310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8D09FA4" w14:textId="77777777" w:rsidR="00387142" w:rsidRPr="008B6A75" w:rsidRDefault="00387142" w:rsidP="00387142">
            <w:pPr>
              <w:jc w:val="center"/>
              <w:rPr>
                <w:sz w:val="20"/>
                <w:szCs w:val="20"/>
              </w:rPr>
            </w:pPr>
            <w:r w:rsidRPr="008B6A75">
              <w:rPr>
                <w:sz w:val="20"/>
                <w:szCs w:val="20"/>
              </w:rPr>
              <w:t>500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6895309" w14:textId="77777777" w:rsidR="00387142" w:rsidRPr="008B6A75" w:rsidRDefault="00387142" w:rsidP="00387142">
            <w:pPr>
              <w:jc w:val="right"/>
              <w:rPr>
                <w:sz w:val="20"/>
                <w:szCs w:val="20"/>
              </w:rPr>
            </w:pPr>
            <w:r w:rsidRPr="008B6A75">
              <w:rPr>
                <w:sz w:val="20"/>
                <w:szCs w:val="20"/>
              </w:rPr>
              <w:t>270 000,00</w:t>
            </w:r>
          </w:p>
        </w:tc>
        <w:tc>
          <w:tcPr>
            <w:tcW w:w="992" w:type="dxa"/>
            <w:tcBorders>
              <w:top w:val="nil"/>
              <w:left w:val="single" w:sz="4" w:space="0" w:color="auto"/>
              <w:bottom w:val="single" w:sz="4" w:space="0" w:color="auto"/>
              <w:right w:val="nil"/>
            </w:tcBorders>
            <w:shd w:val="clear" w:color="auto" w:fill="auto"/>
            <w:vAlign w:val="center"/>
            <w:hideMark/>
          </w:tcPr>
          <w:p w14:paraId="7D434ECA" w14:textId="77777777" w:rsidR="00387142" w:rsidRPr="008B6A75" w:rsidRDefault="00387142" w:rsidP="00387142">
            <w:pPr>
              <w:jc w:val="right"/>
              <w:rPr>
                <w:sz w:val="20"/>
                <w:szCs w:val="20"/>
              </w:rPr>
            </w:pPr>
            <w:r w:rsidRPr="008B6A75">
              <w:rPr>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1A32A960" w14:textId="77777777" w:rsidR="00387142" w:rsidRPr="008B6A75" w:rsidRDefault="00387142" w:rsidP="00387142">
            <w:pPr>
              <w:jc w:val="right"/>
              <w:rPr>
                <w:sz w:val="20"/>
                <w:szCs w:val="20"/>
              </w:rPr>
            </w:pPr>
            <w:r w:rsidRPr="008B6A75">
              <w:rPr>
                <w:sz w:val="20"/>
                <w:szCs w:val="20"/>
              </w:rPr>
              <w:t>0,00</w:t>
            </w:r>
          </w:p>
        </w:tc>
      </w:tr>
      <w:tr w:rsidR="00387142" w:rsidRPr="008B6A75" w14:paraId="7415EE1D" w14:textId="77777777" w:rsidTr="00387142">
        <w:trPr>
          <w:trHeight w:val="345"/>
        </w:trPr>
        <w:tc>
          <w:tcPr>
            <w:tcW w:w="3261" w:type="dxa"/>
            <w:tcBorders>
              <w:top w:val="nil"/>
              <w:left w:val="single" w:sz="4" w:space="0" w:color="auto"/>
              <w:bottom w:val="single" w:sz="4" w:space="0" w:color="auto"/>
              <w:right w:val="nil"/>
            </w:tcBorders>
            <w:shd w:val="clear" w:color="auto" w:fill="auto"/>
            <w:vAlign w:val="center"/>
            <w:hideMark/>
          </w:tcPr>
          <w:p w14:paraId="09F76F67" w14:textId="77777777" w:rsidR="00387142" w:rsidRPr="008B6A75" w:rsidRDefault="00387142" w:rsidP="00387142">
            <w:pPr>
              <w:rPr>
                <w:sz w:val="20"/>
                <w:szCs w:val="20"/>
              </w:rPr>
            </w:pPr>
            <w:r w:rsidRPr="008B6A75">
              <w:rPr>
                <w:sz w:val="20"/>
                <w:szCs w:val="20"/>
              </w:rPr>
              <w:t>Иные межбюджетные трансферты</w:t>
            </w:r>
          </w:p>
        </w:tc>
        <w:tc>
          <w:tcPr>
            <w:tcW w:w="720" w:type="dxa"/>
            <w:tcBorders>
              <w:top w:val="nil"/>
              <w:left w:val="single" w:sz="4" w:space="0" w:color="auto"/>
              <w:bottom w:val="single" w:sz="4" w:space="0" w:color="auto"/>
              <w:right w:val="nil"/>
            </w:tcBorders>
            <w:shd w:val="clear" w:color="auto" w:fill="auto"/>
            <w:noWrap/>
            <w:vAlign w:val="center"/>
            <w:hideMark/>
          </w:tcPr>
          <w:p w14:paraId="747984BA" w14:textId="77777777" w:rsidR="00387142" w:rsidRPr="008B6A75" w:rsidRDefault="00387142" w:rsidP="00387142">
            <w:pPr>
              <w:jc w:val="center"/>
              <w:rPr>
                <w:sz w:val="20"/>
                <w:szCs w:val="20"/>
              </w:rPr>
            </w:pPr>
            <w:r w:rsidRPr="008B6A75">
              <w:rPr>
                <w:sz w:val="20"/>
                <w:szCs w:val="20"/>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4E5CA41" w14:textId="77777777" w:rsidR="00387142" w:rsidRPr="008B6A75" w:rsidRDefault="00387142" w:rsidP="00387142">
            <w:pPr>
              <w:jc w:val="center"/>
              <w:rPr>
                <w:sz w:val="20"/>
                <w:szCs w:val="20"/>
              </w:rPr>
            </w:pPr>
            <w:r w:rsidRPr="008B6A75">
              <w:rPr>
                <w:sz w:val="20"/>
                <w:szCs w:val="20"/>
              </w:rPr>
              <w:t>09</w:t>
            </w:r>
          </w:p>
        </w:tc>
        <w:tc>
          <w:tcPr>
            <w:tcW w:w="1516" w:type="dxa"/>
            <w:tcBorders>
              <w:top w:val="nil"/>
              <w:left w:val="single" w:sz="4" w:space="0" w:color="auto"/>
              <w:bottom w:val="single" w:sz="4" w:space="0" w:color="auto"/>
              <w:right w:val="nil"/>
            </w:tcBorders>
            <w:shd w:val="clear" w:color="auto" w:fill="auto"/>
            <w:noWrap/>
            <w:vAlign w:val="center"/>
            <w:hideMark/>
          </w:tcPr>
          <w:p w14:paraId="2E8D1507" w14:textId="77777777" w:rsidR="00387142" w:rsidRPr="008B6A75" w:rsidRDefault="00387142" w:rsidP="00387142">
            <w:pPr>
              <w:jc w:val="center"/>
              <w:rPr>
                <w:sz w:val="20"/>
                <w:szCs w:val="20"/>
              </w:rPr>
            </w:pPr>
            <w:r w:rsidRPr="008B6A75">
              <w:rPr>
                <w:sz w:val="20"/>
                <w:szCs w:val="20"/>
              </w:rPr>
              <w:t>10.0.00.04310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56C794B" w14:textId="77777777" w:rsidR="00387142" w:rsidRPr="008B6A75" w:rsidRDefault="00387142" w:rsidP="00387142">
            <w:pPr>
              <w:jc w:val="center"/>
              <w:rPr>
                <w:sz w:val="20"/>
                <w:szCs w:val="20"/>
              </w:rPr>
            </w:pPr>
            <w:r w:rsidRPr="008B6A75">
              <w:rPr>
                <w:sz w:val="20"/>
                <w:szCs w:val="20"/>
              </w:rPr>
              <w:t>540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D762496" w14:textId="77777777" w:rsidR="00387142" w:rsidRPr="008B6A75" w:rsidRDefault="00387142" w:rsidP="00387142">
            <w:pPr>
              <w:jc w:val="right"/>
              <w:rPr>
                <w:sz w:val="20"/>
                <w:szCs w:val="20"/>
              </w:rPr>
            </w:pPr>
            <w:r w:rsidRPr="008B6A75">
              <w:rPr>
                <w:sz w:val="20"/>
                <w:szCs w:val="20"/>
              </w:rPr>
              <w:t>270 000,00</w:t>
            </w:r>
          </w:p>
        </w:tc>
        <w:tc>
          <w:tcPr>
            <w:tcW w:w="992" w:type="dxa"/>
            <w:tcBorders>
              <w:top w:val="nil"/>
              <w:left w:val="single" w:sz="4" w:space="0" w:color="auto"/>
              <w:bottom w:val="single" w:sz="4" w:space="0" w:color="auto"/>
              <w:right w:val="nil"/>
            </w:tcBorders>
            <w:shd w:val="clear" w:color="auto" w:fill="auto"/>
            <w:vAlign w:val="center"/>
            <w:hideMark/>
          </w:tcPr>
          <w:p w14:paraId="18666F87" w14:textId="77777777" w:rsidR="00387142" w:rsidRPr="008B6A75" w:rsidRDefault="00387142" w:rsidP="00387142">
            <w:pPr>
              <w:jc w:val="right"/>
              <w:rPr>
                <w:sz w:val="20"/>
                <w:szCs w:val="20"/>
              </w:rPr>
            </w:pPr>
            <w:r w:rsidRPr="008B6A75">
              <w:rPr>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2CD14A23" w14:textId="77777777" w:rsidR="00387142" w:rsidRPr="008B6A75" w:rsidRDefault="00387142" w:rsidP="00387142">
            <w:pPr>
              <w:jc w:val="right"/>
              <w:rPr>
                <w:sz w:val="20"/>
                <w:szCs w:val="20"/>
              </w:rPr>
            </w:pPr>
            <w:r w:rsidRPr="008B6A75">
              <w:rPr>
                <w:sz w:val="20"/>
                <w:szCs w:val="20"/>
              </w:rPr>
              <w:t>0,00</w:t>
            </w:r>
          </w:p>
        </w:tc>
      </w:tr>
      <w:tr w:rsidR="00387142" w:rsidRPr="008B6A75" w14:paraId="75B16518" w14:textId="77777777" w:rsidTr="00387142">
        <w:trPr>
          <w:trHeight w:val="870"/>
        </w:trPr>
        <w:tc>
          <w:tcPr>
            <w:tcW w:w="3261" w:type="dxa"/>
            <w:tcBorders>
              <w:top w:val="nil"/>
              <w:left w:val="single" w:sz="4" w:space="0" w:color="auto"/>
              <w:bottom w:val="single" w:sz="4" w:space="0" w:color="auto"/>
              <w:right w:val="nil"/>
            </w:tcBorders>
            <w:shd w:val="clear" w:color="auto" w:fill="auto"/>
            <w:vAlign w:val="center"/>
            <w:hideMark/>
          </w:tcPr>
          <w:p w14:paraId="085CC0BB" w14:textId="77777777" w:rsidR="00387142" w:rsidRPr="008B6A75" w:rsidRDefault="00387142" w:rsidP="00387142">
            <w:pPr>
              <w:rPr>
                <w:bCs/>
                <w:sz w:val="20"/>
                <w:szCs w:val="20"/>
              </w:rPr>
            </w:pPr>
            <w:r w:rsidRPr="008B6A75">
              <w:rPr>
                <w:bCs/>
                <w:sz w:val="20"/>
                <w:szCs w:val="20"/>
              </w:rPr>
              <w:t>Капитальный ремонт и ремонт сети автомобильных дорог общего пользования и искусственных сооружений на них</w:t>
            </w:r>
          </w:p>
        </w:tc>
        <w:tc>
          <w:tcPr>
            <w:tcW w:w="720" w:type="dxa"/>
            <w:tcBorders>
              <w:top w:val="nil"/>
              <w:left w:val="single" w:sz="4" w:space="0" w:color="auto"/>
              <w:bottom w:val="single" w:sz="4" w:space="0" w:color="auto"/>
              <w:right w:val="nil"/>
            </w:tcBorders>
            <w:shd w:val="clear" w:color="auto" w:fill="auto"/>
            <w:noWrap/>
            <w:vAlign w:val="center"/>
            <w:hideMark/>
          </w:tcPr>
          <w:p w14:paraId="695A7284" w14:textId="77777777" w:rsidR="00387142" w:rsidRPr="008B6A75" w:rsidRDefault="00387142" w:rsidP="00387142">
            <w:pPr>
              <w:jc w:val="center"/>
              <w:rPr>
                <w:bCs/>
                <w:sz w:val="20"/>
                <w:szCs w:val="20"/>
              </w:rPr>
            </w:pPr>
            <w:r w:rsidRPr="008B6A75">
              <w:rPr>
                <w:bCs/>
                <w:sz w:val="20"/>
                <w:szCs w:val="20"/>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DE80EB7" w14:textId="77777777" w:rsidR="00387142" w:rsidRPr="008B6A75" w:rsidRDefault="00387142" w:rsidP="00387142">
            <w:pPr>
              <w:jc w:val="center"/>
              <w:rPr>
                <w:bCs/>
                <w:sz w:val="20"/>
                <w:szCs w:val="20"/>
              </w:rPr>
            </w:pPr>
            <w:r w:rsidRPr="008B6A75">
              <w:rPr>
                <w:bCs/>
                <w:sz w:val="20"/>
                <w:szCs w:val="20"/>
              </w:rPr>
              <w:t>09</w:t>
            </w:r>
          </w:p>
        </w:tc>
        <w:tc>
          <w:tcPr>
            <w:tcW w:w="1516" w:type="dxa"/>
            <w:tcBorders>
              <w:top w:val="nil"/>
              <w:left w:val="single" w:sz="4" w:space="0" w:color="auto"/>
              <w:bottom w:val="single" w:sz="4" w:space="0" w:color="auto"/>
              <w:right w:val="nil"/>
            </w:tcBorders>
            <w:shd w:val="clear" w:color="auto" w:fill="auto"/>
            <w:noWrap/>
            <w:vAlign w:val="center"/>
            <w:hideMark/>
          </w:tcPr>
          <w:p w14:paraId="5A89575F" w14:textId="77777777" w:rsidR="00387142" w:rsidRPr="008B6A75" w:rsidRDefault="00387142" w:rsidP="00387142">
            <w:pPr>
              <w:jc w:val="center"/>
              <w:rPr>
                <w:bCs/>
                <w:sz w:val="20"/>
                <w:szCs w:val="20"/>
              </w:rPr>
            </w:pPr>
            <w:r w:rsidRPr="008B6A75">
              <w:rPr>
                <w:bCs/>
                <w:sz w:val="20"/>
                <w:szCs w:val="20"/>
              </w:rPr>
              <w:t>10.0.00.04330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1E9CFFF"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1DD4679" w14:textId="77777777" w:rsidR="00387142" w:rsidRPr="008B6A75" w:rsidRDefault="00387142" w:rsidP="00387142">
            <w:pPr>
              <w:jc w:val="right"/>
              <w:rPr>
                <w:bCs/>
                <w:sz w:val="20"/>
                <w:szCs w:val="20"/>
              </w:rPr>
            </w:pPr>
            <w:r w:rsidRPr="008B6A75">
              <w:rPr>
                <w:bCs/>
                <w:sz w:val="20"/>
                <w:szCs w:val="20"/>
              </w:rPr>
              <w:t>15 974 211,60</w:t>
            </w:r>
          </w:p>
        </w:tc>
        <w:tc>
          <w:tcPr>
            <w:tcW w:w="992" w:type="dxa"/>
            <w:tcBorders>
              <w:top w:val="nil"/>
              <w:left w:val="single" w:sz="4" w:space="0" w:color="auto"/>
              <w:bottom w:val="single" w:sz="4" w:space="0" w:color="auto"/>
              <w:right w:val="nil"/>
            </w:tcBorders>
            <w:shd w:val="clear" w:color="auto" w:fill="auto"/>
            <w:vAlign w:val="center"/>
            <w:hideMark/>
          </w:tcPr>
          <w:p w14:paraId="00E56BD3" w14:textId="77777777" w:rsidR="00387142" w:rsidRPr="008B6A75" w:rsidRDefault="00387142" w:rsidP="00387142">
            <w:pPr>
              <w:jc w:val="right"/>
              <w:rPr>
                <w:bCs/>
                <w:sz w:val="20"/>
                <w:szCs w:val="20"/>
              </w:rPr>
            </w:pPr>
            <w:r w:rsidRPr="008B6A75">
              <w:rPr>
                <w:bCs/>
                <w:sz w:val="20"/>
                <w:szCs w:val="20"/>
              </w:rPr>
              <w:t>15 471 200,00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7C662549" w14:textId="77777777" w:rsidR="00387142" w:rsidRPr="008B6A75" w:rsidRDefault="00387142" w:rsidP="00387142">
            <w:pPr>
              <w:jc w:val="right"/>
              <w:rPr>
                <w:bCs/>
                <w:sz w:val="20"/>
                <w:szCs w:val="20"/>
              </w:rPr>
            </w:pPr>
            <w:r w:rsidRPr="008B6A75">
              <w:rPr>
                <w:bCs/>
                <w:sz w:val="20"/>
                <w:szCs w:val="20"/>
              </w:rPr>
              <w:t>15 584 000,00</w:t>
            </w:r>
          </w:p>
        </w:tc>
      </w:tr>
      <w:tr w:rsidR="00387142" w:rsidRPr="008B6A75" w14:paraId="6708BF30" w14:textId="77777777" w:rsidTr="00387142">
        <w:trPr>
          <w:trHeight w:val="585"/>
        </w:trPr>
        <w:tc>
          <w:tcPr>
            <w:tcW w:w="3261" w:type="dxa"/>
            <w:tcBorders>
              <w:top w:val="nil"/>
              <w:left w:val="single" w:sz="4" w:space="0" w:color="auto"/>
              <w:bottom w:val="single" w:sz="4" w:space="0" w:color="auto"/>
              <w:right w:val="nil"/>
            </w:tcBorders>
            <w:shd w:val="clear" w:color="auto" w:fill="auto"/>
            <w:vAlign w:val="center"/>
            <w:hideMark/>
          </w:tcPr>
          <w:p w14:paraId="31802D99" w14:textId="77777777" w:rsidR="00387142" w:rsidRPr="008B6A75" w:rsidRDefault="00387142" w:rsidP="00387142">
            <w:pPr>
              <w:rPr>
                <w:sz w:val="20"/>
                <w:szCs w:val="20"/>
              </w:rPr>
            </w:pPr>
            <w:r w:rsidRPr="008B6A75">
              <w:rPr>
                <w:sz w:val="20"/>
                <w:szCs w:val="20"/>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1D62255E" w14:textId="77777777" w:rsidR="00387142" w:rsidRPr="008B6A75" w:rsidRDefault="00387142" w:rsidP="00387142">
            <w:pPr>
              <w:jc w:val="center"/>
              <w:rPr>
                <w:sz w:val="20"/>
                <w:szCs w:val="20"/>
              </w:rPr>
            </w:pPr>
            <w:r w:rsidRPr="008B6A75">
              <w:rPr>
                <w:sz w:val="20"/>
                <w:szCs w:val="20"/>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940585F" w14:textId="77777777" w:rsidR="00387142" w:rsidRPr="008B6A75" w:rsidRDefault="00387142" w:rsidP="00387142">
            <w:pPr>
              <w:jc w:val="center"/>
              <w:rPr>
                <w:sz w:val="20"/>
                <w:szCs w:val="20"/>
              </w:rPr>
            </w:pPr>
            <w:r w:rsidRPr="008B6A75">
              <w:rPr>
                <w:sz w:val="20"/>
                <w:szCs w:val="20"/>
              </w:rPr>
              <w:t>09</w:t>
            </w:r>
          </w:p>
        </w:tc>
        <w:tc>
          <w:tcPr>
            <w:tcW w:w="1516" w:type="dxa"/>
            <w:tcBorders>
              <w:top w:val="nil"/>
              <w:left w:val="single" w:sz="4" w:space="0" w:color="auto"/>
              <w:bottom w:val="single" w:sz="4" w:space="0" w:color="auto"/>
              <w:right w:val="nil"/>
            </w:tcBorders>
            <w:shd w:val="clear" w:color="auto" w:fill="auto"/>
            <w:noWrap/>
            <w:vAlign w:val="center"/>
            <w:hideMark/>
          </w:tcPr>
          <w:p w14:paraId="148B0A75" w14:textId="77777777" w:rsidR="00387142" w:rsidRPr="008B6A75" w:rsidRDefault="00387142" w:rsidP="00387142">
            <w:pPr>
              <w:jc w:val="center"/>
              <w:rPr>
                <w:sz w:val="20"/>
                <w:szCs w:val="20"/>
              </w:rPr>
            </w:pPr>
            <w:r w:rsidRPr="008B6A75">
              <w:rPr>
                <w:sz w:val="20"/>
                <w:szCs w:val="20"/>
              </w:rPr>
              <w:t>10.0.00.04330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51CEB18" w14:textId="77777777" w:rsidR="00387142" w:rsidRPr="008B6A75" w:rsidRDefault="00387142" w:rsidP="00387142">
            <w:pPr>
              <w:jc w:val="center"/>
              <w:rPr>
                <w:sz w:val="20"/>
                <w:szCs w:val="20"/>
              </w:rPr>
            </w:pPr>
            <w:r w:rsidRPr="008B6A75">
              <w:rPr>
                <w:sz w:val="20"/>
                <w:szCs w:val="20"/>
              </w:rPr>
              <w:t>200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173C13A" w14:textId="77777777" w:rsidR="00387142" w:rsidRPr="008B6A75" w:rsidRDefault="00387142" w:rsidP="00387142">
            <w:pPr>
              <w:jc w:val="right"/>
              <w:rPr>
                <w:sz w:val="20"/>
                <w:szCs w:val="20"/>
              </w:rPr>
            </w:pPr>
            <w:r w:rsidRPr="008B6A75">
              <w:rPr>
                <w:sz w:val="20"/>
                <w:szCs w:val="20"/>
              </w:rPr>
              <w:t>0,00</w:t>
            </w:r>
          </w:p>
        </w:tc>
        <w:tc>
          <w:tcPr>
            <w:tcW w:w="992" w:type="dxa"/>
            <w:tcBorders>
              <w:top w:val="nil"/>
              <w:left w:val="single" w:sz="4" w:space="0" w:color="auto"/>
              <w:bottom w:val="single" w:sz="4" w:space="0" w:color="auto"/>
              <w:right w:val="nil"/>
            </w:tcBorders>
            <w:shd w:val="clear" w:color="auto" w:fill="auto"/>
            <w:vAlign w:val="center"/>
            <w:hideMark/>
          </w:tcPr>
          <w:p w14:paraId="40C888D0" w14:textId="77777777" w:rsidR="00387142" w:rsidRPr="008B6A75" w:rsidRDefault="00387142" w:rsidP="00387142">
            <w:pPr>
              <w:jc w:val="right"/>
              <w:rPr>
                <w:sz w:val="20"/>
                <w:szCs w:val="20"/>
              </w:rPr>
            </w:pPr>
            <w:r w:rsidRPr="008B6A75">
              <w:rPr>
                <w:sz w:val="20"/>
                <w:szCs w:val="20"/>
              </w:rPr>
              <w:t>15 471 200,00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68357CFC" w14:textId="77777777" w:rsidR="00387142" w:rsidRPr="008B6A75" w:rsidRDefault="00387142" w:rsidP="00387142">
            <w:pPr>
              <w:jc w:val="right"/>
              <w:rPr>
                <w:sz w:val="20"/>
                <w:szCs w:val="20"/>
              </w:rPr>
            </w:pPr>
            <w:r w:rsidRPr="008B6A75">
              <w:rPr>
                <w:sz w:val="20"/>
                <w:szCs w:val="20"/>
              </w:rPr>
              <w:t>15 584 000,00</w:t>
            </w:r>
          </w:p>
        </w:tc>
      </w:tr>
      <w:tr w:rsidR="00387142" w:rsidRPr="008B6A75" w14:paraId="4146405C" w14:textId="77777777" w:rsidTr="00387142">
        <w:trPr>
          <w:trHeight w:val="870"/>
        </w:trPr>
        <w:tc>
          <w:tcPr>
            <w:tcW w:w="3261" w:type="dxa"/>
            <w:tcBorders>
              <w:top w:val="nil"/>
              <w:left w:val="single" w:sz="4" w:space="0" w:color="auto"/>
              <w:bottom w:val="single" w:sz="4" w:space="0" w:color="auto"/>
              <w:right w:val="nil"/>
            </w:tcBorders>
            <w:shd w:val="clear" w:color="auto" w:fill="auto"/>
            <w:vAlign w:val="center"/>
            <w:hideMark/>
          </w:tcPr>
          <w:p w14:paraId="559B8700" w14:textId="77777777" w:rsidR="00387142" w:rsidRPr="008B6A75" w:rsidRDefault="00387142" w:rsidP="00387142">
            <w:pPr>
              <w:rPr>
                <w:sz w:val="20"/>
                <w:szCs w:val="20"/>
              </w:rPr>
            </w:pPr>
            <w:r w:rsidRPr="008B6A75">
              <w:rPr>
                <w:sz w:val="20"/>
                <w:szCs w:val="20"/>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4A9700C9" w14:textId="77777777" w:rsidR="00387142" w:rsidRPr="008B6A75" w:rsidRDefault="00387142" w:rsidP="00387142">
            <w:pPr>
              <w:jc w:val="center"/>
              <w:rPr>
                <w:sz w:val="20"/>
                <w:szCs w:val="20"/>
              </w:rPr>
            </w:pPr>
            <w:r w:rsidRPr="008B6A75">
              <w:rPr>
                <w:sz w:val="20"/>
                <w:szCs w:val="20"/>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E060D8B" w14:textId="77777777" w:rsidR="00387142" w:rsidRPr="008B6A75" w:rsidRDefault="00387142" w:rsidP="00387142">
            <w:pPr>
              <w:jc w:val="center"/>
              <w:rPr>
                <w:sz w:val="20"/>
                <w:szCs w:val="20"/>
              </w:rPr>
            </w:pPr>
            <w:r w:rsidRPr="008B6A75">
              <w:rPr>
                <w:sz w:val="20"/>
                <w:szCs w:val="20"/>
              </w:rPr>
              <w:t>09</w:t>
            </w:r>
          </w:p>
        </w:tc>
        <w:tc>
          <w:tcPr>
            <w:tcW w:w="1516" w:type="dxa"/>
            <w:tcBorders>
              <w:top w:val="nil"/>
              <w:left w:val="single" w:sz="4" w:space="0" w:color="auto"/>
              <w:bottom w:val="single" w:sz="4" w:space="0" w:color="auto"/>
              <w:right w:val="nil"/>
            </w:tcBorders>
            <w:shd w:val="clear" w:color="auto" w:fill="auto"/>
            <w:noWrap/>
            <w:vAlign w:val="center"/>
            <w:hideMark/>
          </w:tcPr>
          <w:p w14:paraId="69423DE6" w14:textId="77777777" w:rsidR="00387142" w:rsidRPr="008B6A75" w:rsidRDefault="00387142" w:rsidP="00387142">
            <w:pPr>
              <w:jc w:val="center"/>
              <w:rPr>
                <w:sz w:val="20"/>
                <w:szCs w:val="20"/>
              </w:rPr>
            </w:pPr>
            <w:r w:rsidRPr="008B6A75">
              <w:rPr>
                <w:sz w:val="20"/>
                <w:szCs w:val="20"/>
              </w:rPr>
              <w:t>10.0.00.04330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D4D876F" w14:textId="77777777" w:rsidR="00387142" w:rsidRPr="008B6A75" w:rsidRDefault="00387142" w:rsidP="00387142">
            <w:pPr>
              <w:jc w:val="center"/>
              <w:rPr>
                <w:sz w:val="20"/>
                <w:szCs w:val="20"/>
              </w:rPr>
            </w:pPr>
            <w:r w:rsidRPr="008B6A75">
              <w:rPr>
                <w:sz w:val="20"/>
                <w:szCs w:val="20"/>
              </w:rPr>
              <w:t>240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2516FDD" w14:textId="77777777" w:rsidR="00387142" w:rsidRPr="008B6A75" w:rsidRDefault="00387142" w:rsidP="00387142">
            <w:pPr>
              <w:jc w:val="right"/>
              <w:rPr>
                <w:sz w:val="20"/>
                <w:szCs w:val="20"/>
              </w:rPr>
            </w:pPr>
            <w:r w:rsidRPr="008B6A75">
              <w:rPr>
                <w:sz w:val="20"/>
                <w:szCs w:val="20"/>
              </w:rPr>
              <w:t>0,00</w:t>
            </w:r>
          </w:p>
        </w:tc>
        <w:tc>
          <w:tcPr>
            <w:tcW w:w="992" w:type="dxa"/>
            <w:tcBorders>
              <w:top w:val="nil"/>
              <w:left w:val="single" w:sz="4" w:space="0" w:color="auto"/>
              <w:bottom w:val="single" w:sz="4" w:space="0" w:color="auto"/>
              <w:right w:val="nil"/>
            </w:tcBorders>
            <w:shd w:val="clear" w:color="auto" w:fill="auto"/>
            <w:vAlign w:val="center"/>
            <w:hideMark/>
          </w:tcPr>
          <w:p w14:paraId="593D3026" w14:textId="77777777" w:rsidR="00387142" w:rsidRPr="008B6A75" w:rsidRDefault="00387142" w:rsidP="00387142">
            <w:pPr>
              <w:jc w:val="right"/>
              <w:rPr>
                <w:sz w:val="20"/>
                <w:szCs w:val="20"/>
              </w:rPr>
            </w:pPr>
            <w:r w:rsidRPr="008B6A75">
              <w:rPr>
                <w:sz w:val="20"/>
                <w:szCs w:val="20"/>
              </w:rPr>
              <w:t>15 471 200,00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1B6D0ADB" w14:textId="77777777" w:rsidR="00387142" w:rsidRPr="008B6A75" w:rsidRDefault="00387142" w:rsidP="00387142">
            <w:pPr>
              <w:jc w:val="right"/>
              <w:rPr>
                <w:sz w:val="20"/>
                <w:szCs w:val="20"/>
              </w:rPr>
            </w:pPr>
            <w:r w:rsidRPr="008B6A75">
              <w:rPr>
                <w:sz w:val="20"/>
                <w:szCs w:val="20"/>
              </w:rPr>
              <w:t>15 584 000,00</w:t>
            </w:r>
          </w:p>
        </w:tc>
      </w:tr>
      <w:tr w:rsidR="00387142" w:rsidRPr="008B6A75" w14:paraId="01E3C061" w14:textId="77777777" w:rsidTr="00387142">
        <w:trPr>
          <w:trHeight w:val="345"/>
        </w:trPr>
        <w:tc>
          <w:tcPr>
            <w:tcW w:w="3261" w:type="dxa"/>
            <w:tcBorders>
              <w:top w:val="nil"/>
              <w:left w:val="single" w:sz="4" w:space="0" w:color="auto"/>
              <w:bottom w:val="single" w:sz="4" w:space="0" w:color="auto"/>
              <w:right w:val="nil"/>
            </w:tcBorders>
            <w:shd w:val="clear" w:color="auto" w:fill="auto"/>
            <w:vAlign w:val="center"/>
            <w:hideMark/>
          </w:tcPr>
          <w:p w14:paraId="3F1FEA3B" w14:textId="77777777" w:rsidR="00387142" w:rsidRPr="008B6A75" w:rsidRDefault="00387142" w:rsidP="00387142">
            <w:pPr>
              <w:rPr>
                <w:sz w:val="20"/>
                <w:szCs w:val="20"/>
              </w:rPr>
            </w:pPr>
            <w:r w:rsidRPr="008B6A75">
              <w:rPr>
                <w:sz w:val="20"/>
                <w:szCs w:val="20"/>
              </w:rPr>
              <w:t>Межбюджетные трансферты</w:t>
            </w:r>
          </w:p>
        </w:tc>
        <w:tc>
          <w:tcPr>
            <w:tcW w:w="720" w:type="dxa"/>
            <w:tcBorders>
              <w:top w:val="nil"/>
              <w:left w:val="single" w:sz="4" w:space="0" w:color="auto"/>
              <w:bottom w:val="single" w:sz="4" w:space="0" w:color="auto"/>
              <w:right w:val="nil"/>
            </w:tcBorders>
            <w:shd w:val="clear" w:color="auto" w:fill="auto"/>
            <w:noWrap/>
            <w:vAlign w:val="center"/>
            <w:hideMark/>
          </w:tcPr>
          <w:p w14:paraId="4669A6FC" w14:textId="77777777" w:rsidR="00387142" w:rsidRPr="008B6A75" w:rsidRDefault="00387142" w:rsidP="00387142">
            <w:pPr>
              <w:jc w:val="center"/>
              <w:rPr>
                <w:sz w:val="20"/>
                <w:szCs w:val="20"/>
              </w:rPr>
            </w:pPr>
            <w:r w:rsidRPr="008B6A75">
              <w:rPr>
                <w:sz w:val="20"/>
                <w:szCs w:val="20"/>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E37EB4F" w14:textId="77777777" w:rsidR="00387142" w:rsidRPr="008B6A75" w:rsidRDefault="00387142" w:rsidP="00387142">
            <w:pPr>
              <w:jc w:val="center"/>
              <w:rPr>
                <w:sz w:val="20"/>
                <w:szCs w:val="20"/>
              </w:rPr>
            </w:pPr>
            <w:r w:rsidRPr="008B6A75">
              <w:rPr>
                <w:sz w:val="20"/>
                <w:szCs w:val="20"/>
              </w:rPr>
              <w:t>09</w:t>
            </w:r>
          </w:p>
        </w:tc>
        <w:tc>
          <w:tcPr>
            <w:tcW w:w="1516" w:type="dxa"/>
            <w:tcBorders>
              <w:top w:val="nil"/>
              <w:left w:val="single" w:sz="4" w:space="0" w:color="auto"/>
              <w:bottom w:val="single" w:sz="4" w:space="0" w:color="auto"/>
              <w:right w:val="nil"/>
            </w:tcBorders>
            <w:shd w:val="clear" w:color="auto" w:fill="auto"/>
            <w:noWrap/>
            <w:vAlign w:val="center"/>
            <w:hideMark/>
          </w:tcPr>
          <w:p w14:paraId="224B26C5" w14:textId="77777777" w:rsidR="00387142" w:rsidRPr="008B6A75" w:rsidRDefault="00387142" w:rsidP="00387142">
            <w:pPr>
              <w:jc w:val="center"/>
              <w:rPr>
                <w:sz w:val="20"/>
                <w:szCs w:val="20"/>
              </w:rPr>
            </w:pPr>
            <w:r w:rsidRPr="008B6A75">
              <w:rPr>
                <w:sz w:val="20"/>
                <w:szCs w:val="20"/>
              </w:rPr>
              <w:t>10.0.00.04330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81B0AB7" w14:textId="77777777" w:rsidR="00387142" w:rsidRPr="008B6A75" w:rsidRDefault="00387142" w:rsidP="00387142">
            <w:pPr>
              <w:jc w:val="center"/>
              <w:rPr>
                <w:sz w:val="20"/>
                <w:szCs w:val="20"/>
              </w:rPr>
            </w:pPr>
            <w:r w:rsidRPr="008B6A75">
              <w:rPr>
                <w:sz w:val="20"/>
                <w:szCs w:val="20"/>
              </w:rPr>
              <w:t>500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076DC56" w14:textId="77777777" w:rsidR="00387142" w:rsidRPr="008B6A75" w:rsidRDefault="00387142" w:rsidP="00387142">
            <w:pPr>
              <w:jc w:val="right"/>
              <w:rPr>
                <w:sz w:val="20"/>
                <w:szCs w:val="20"/>
              </w:rPr>
            </w:pPr>
            <w:r w:rsidRPr="008B6A75">
              <w:rPr>
                <w:sz w:val="20"/>
                <w:szCs w:val="20"/>
              </w:rPr>
              <w:t>15 974 211,60</w:t>
            </w:r>
          </w:p>
        </w:tc>
        <w:tc>
          <w:tcPr>
            <w:tcW w:w="992" w:type="dxa"/>
            <w:tcBorders>
              <w:top w:val="nil"/>
              <w:left w:val="single" w:sz="4" w:space="0" w:color="auto"/>
              <w:bottom w:val="single" w:sz="4" w:space="0" w:color="auto"/>
              <w:right w:val="nil"/>
            </w:tcBorders>
            <w:shd w:val="clear" w:color="auto" w:fill="auto"/>
            <w:vAlign w:val="center"/>
            <w:hideMark/>
          </w:tcPr>
          <w:p w14:paraId="6AEF7827" w14:textId="77777777" w:rsidR="00387142" w:rsidRPr="008B6A75" w:rsidRDefault="00387142" w:rsidP="00387142">
            <w:pPr>
              <w:jc w:val="right"/>
              <w:rPr>
                <w:sz w:val="20"/>
                <w:szCs w:val="20"/>
              </w:rPr>
            </w:pPr>
            <w:r w:rsidRPr="008B6A75">
              <w:rPr>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7FE150C0" w14:textId="77777777" w:rsidR="00387142" w:rsidRPr="008B6A75" w:rsidRDefault="00387142" w:rsidP="00387142">
            <w:pPr>
              <w:jc w:val="right"/>
              <w:rPr>
                <w:sz w:val="20"/>
                <w:szCs w:val="20"/>
              </w:rPr>
            </w:pPr>
            <w:r w:rsidRPr="008B6A75">
              <w:rPr>
                <w:sz w:val="20"/>
                <w:szCs w:val="20"/>
              </w:rPr>
              <w:t>0,00</w:t>
            </w:r>
          </w:p>
        </w:tc>
      </w:tr>
      <w:tr w:rsidR="00387142" w:rsidRPr="008B6A75" w14:paraId="58130765" w14:textId="77777777" w:rsidTr="00387142">
        <w:trPr>
          <w:trHeight w:val="345"/>
        </w:trPr>
        <w:tc>
          <w:tcPr>
            <w:tcW w:w="3261" w:type="dxa"/>
            <w:tcBorders>
              <w:top w:val="nil"/>
              <w:left w:val="single" w:sz="4" w:space="0" w:color="auto"/>
              <w:bottom w:val="single" w:sz="4" w:space="0" w:color="auto"/>
              <w:right w:val="nil"/>
            </w:tcBorders>
            <w:shd w:val="clear" w:color="auto" w:fill="auto"/>
            <w:vAlign w:val="center"/>
            <w:hideMark/>
          </w:tcPr>
          <w:p w14:paraId="1957E8A3" w14:textId="77777777" w:rsidR="00387142" w:rsidRPr="008B6A75" w:rsidRDefault="00387142" w:rsidP="00387142">
            <w:pPr>
              <w:rPr>
                <w:sz w:val="20"/>
                <w:szCs w:val="20"/>
              </w:rPr>
            </w:pPr>
            <w:r w:rsidRPr="008B6A75">
              <w:rPr>
                <w:sz w:val="20"/>
                <w:szCs w:val="20"/>
              </w:rPr>
              <w:t>Иные межбюджетные трансферты</w:t>
            </w:r>
          </w:p>
        </w:tc>
        <w:tc>
          <w:tcPr>
            <w:tcW w:w="720" w:type="dxa"/>
            <w:tcBorders>
              <w:top w:val="nil"/>
              <w:left w:val="single" w:sz="4" w:space="0" w:color="auto"/>
              <w:bottom w:val="single" w:sz="4" w:space="0" w:color="auto"/>
              <w:right w:val="nil"/>
            </w:tcBorders>
            <w:shd w:val="clear" w:color="auto" w:fill="auto"/>
            <w:noWrap/>
            <w:vAlign w:val="center"/>
            <w:hideMark/>
          </w:tcPr>
          <w:p w14:paraId="5C846CD0" w14:textId="77777777" w:rsidR="00387142" w:rsidRPr="008B6A75" w:rsidRDefault="00387142" w:rsidP="00387142">
            <w:pPr>
              <w:jc w:val="center"/>
              <w:rPr>
                <w:sz w:val="20"/>
                <w:szCs w:val="20"/>
              </w:rPr>
            </w:pPr>
            <w:r w:rsidRPr="008B6A75">
              <w:rPr>
                <w:sz w:val="20"/>
                <w:szCs w:val="20"/>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F4F4FDC" w14:textId="77777777" w:rsidR="00387142" w:rsidRPr="008B6A75" w:rsidRDefault="00387142" w:rsidP="00387142">
            <w:pPr>
              <w:jc w:val="center"/>
              <w:rPr>
                <w:sz w:val="20"/>
                <w:szCs w:val="20"/>
              </w:rPr>
            </w:pPr>
            <w:r w:rsidRPr="008B6A75">
              <w:rPr>
                <w:sz w:val="20"/>
                <w:szCs w:val="20"/>
              </w:rPr>
              <w:t>09</w:t>
            </w:r>
          </w:p>
        </w:tc>
        <w:tc>
          <w:tcPr>
            <w:tcW w:w="1516" w:type="dxa"/>
            <w:tcBorders>
              <w:top w:val="nil"/>
              <w:left w:val="single" w:sz="4" w:space="0" w:color="auto"/>
              <w:bottom w:val="single" w:sz="4" w:space="0" w:color="auto"/>
              <w:right w:val="nil"/>
            </w:tcBorders>
            <w:shd w:val="clear" w:color="auto" w:fill="auto"/>
            <w:noWrap/>
            <w:vAlign w:val="center"/>
            <w:hideMark/>
          </w:tcPr>
          <w:p w14:paraId="00B7A522" w14:textId="77777777" w:rsidR="00387142" w:rsidRPr="008B6A75" w:rsidRDefault="00387142" w:rsidP="00387142">
            <w:pPr>
              <w:jc w:val="center"/>
              <w:rPr>
                <w:sz w:val="20"/>
                <w:szCs w:val="20"/>
              </w:rPr>
            </w:pPr>
            <w:r w:rsidRPr="008B6A75">
              <w:rPr>
                <w:sz w:val="20"/>
                <w:szCs w:val="20"/>
              </w:rPr>
              <w:t>10.0.00.04330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046C6A5" w14:textId="77777777" w:rsidR="00387142" w:rsidRPr="008B6A75" w:rsidRDefault="00387142" w:rsidP="00387142">
            <w:pPr>
              <w:jc w:val="center"/>
              <w:rPr>
                <w:sz w:val="20"/>
                <w:szCs w:val="20"/>
              </w:rPr>
            </w:pPr>
            <w:r w:rsidRPr="008B6A75">
              <w:rPr>
                <w:sz w:val="20"/>
                <w:szCs w:val="20"/>
              </w:rPr>
              <w:t>540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63F71BF" w14:textId="77777777" w:rsidR="00387142" w:rsidRPr="008B6A75" w:rsidRDefault="00387142" w:rsidP="00387142">
            <w:pPr>
              <w:jc w:val="right"/>
              <w:rPr>
                <w:sz w:val="20"/>
                <w:szCs w:val="20"/>
              </w:rPr>
            </w:pPr>
            <w:r w:rsidRPr="008B6A75">
              <w:rPr>
                <w:sz w:val="20"/>
                <w:szCs w:val="20"/>
              </w:rPr>
              <w:t>15 974 211,60</w:t>
            </w:r>
          </w:p>
        </w:tc>
        <w:tc>
          <w:tcPr>
            <w:tcW w:w="992" w:type="dxa"/>
            <w:tcBorders>
              <w:top w:val="nil"/>
              <w:left w:val="single" w:sz="4" w:space="0" w:color="auto"/>
              <w:bottom w:val="single" w:sz="4" w:space="0" w:color="auto"/>
              <w:right w:val="nil"/>
            </w:tcBorders>
            <w:shd w:val="clear" w:color="auto" w:fill="auto"/>
            <w:vAlign w:val="center"/>
            <w:hideMark/>
          </w:tcPr>
          <w:p w14:paraId="5AFB8E81" w14:textId="77777777" w:rsidR="00387142" w:rsidRPr="008B6A75" w:rsidRDefault="00387142" w:rsidP="00387142">
            <w:pPr>
              <w:jc w:val="right"/>
              <w:rPr>
                <w:sz w:val="20"/>
                <w:szCs w:val="20"/>
              </w:rPr>
            </w:pPr>
            <w:r w:rsidRPr="008B6A75">
              <w:rPr>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7F96D269" w14:textId="77777777" w:rsidR="00387142" w:rsidRPr="008B6A75" w:rsidRDefault="00387142" w:rsidP="00387142">
            <w:pPr>
              <w:jc w:val="right"/>
              <w:rPr>
                <w:sz w:val="20"/>
                <w:szCs w:val="20"/>
              </w:rPr>
            </w:pPr>
            <w:r w:rsidRPr="008B6A75">
              <w:rPr>
                <w:sz w:val="20"/>
                <w:szCs w:val="20"/>
              </w:rPr>
              <w:t>0,00</w:t>
            </w:r>
          </w:p>
        </w:tc>
      </w:tr>
      <w:tr w:rsidR="00387142" w:rsidRPr="008B6A75" w14:paraId="7066E931" w14:textId="77777777" w:rsidTr="00387142">
        <w:trPr>
          <w:trHeight w:val="2865"/>
        </w:trPr>
        <w:tc>
          <w:tcPr>
            <w:tcW w:w="3261" w:type="dxa"/>
            <w:tcBorders>
              <w:top w:val="nil"/>
              <w:left w:val="single" w:sz="4" w:space="0" w:color="auto"/>
              <w:bottom w:val="single" w:sz="4" w:space="0" w:color="auto"/>
              <w:right w:val="nil"/>
            </w:tcBorders>
            <w:shd w:val="clear" w:color="auto" w:fill="auto"/>
            <w:vAlign w:val="center"/>
            <w:hideMark/>
          </w:tcPr>
          <w:p w14:paraId="6D0F9444" w14:textId="77777777" w:rsidR="00387142" w:rsidRPr="008B6A75" w:rsidRDefault="00387142" w:rsidP="00387142">
            <w:pPr>
              <w:rPr>
                <w:bCs/>
                <w:sz w:val="20"/>
                <w:szCs w:val="20"/>
              </w:rPr>
            </w:pPr>
            <w:r w:rsidRPr="008B6A75">
              <w:rPr>
                <w:bCs/>
                <w:sz w:val="20"/>
                <w:szCs w:val="20"/>
              </w:rPr>
              <w:t>Реализация мероприятий по устойчивому функционированию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14:paraId="09B7E819" w14:textId="77777777" w:rsidR="00387142" w:rsidRPr="008B6A75" w:rsidRDefault="00387142" w:rsidP="00387142">
            <w:pPr>
              <w:jc w:val="center"/>
              <w:rPr>
                <w:bCs/>
                <w:sz w:val="20"/>
                <w:szCs w:val="20"/>
              </w:rPr>
            </w:pPr>
            <w:r w:rsidRPr="008B6A75">
              <w:rPr>
                <w:bCs/>
                <w:sz w:val="20"/>
                <w:szCs w:val="20"/>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F4FB011" w14:textId="77777777" w:rsidR="00387142" w:rsidRPr="008B6A75" w:rsidRDefault="00387142" w:rsidP="00387142">
            <w:pPr>
              <w:jc w:val="center"/>
              <w:rPr>
                <w:bCs/>
                <w:sz w:val="20"/>
                <w:szCs w:val="20"/>
              </w:rPr>
            </w:pPr>
            <w:r w:rsidRPr="008B6A75">
              <w:rPr>
                <w:bCs/>
                <w:sz w:val="20"/>
                <w:szCs w:val="20"/>
              </w:rPr>
              <w:t>09</w:t>
            </w:r>
          </w:p>
        </w:tc>
        <w:tc>
          <w:tcPr>
            <w:tcW w:w="1516" w:type="dxa"/>
            <w:tcBorders>
              <w:top w:val="nil"/>
              <w:left w:val="single" w:sz="4" w:space="0" w:color="auto"/>
              <w:bottom w:val="single" w:sz="4" w:space="0" w:color="auto"/>
              <w:right w:val="nil"/>
            </w:tcBorders>
            <w:shd w:val="clear" w:color="auto" w:fill="auto"/>
            <w:noWrap/>
            <w:vAlign w:val="center"/>
            <w:hideMark/>
          </w:tcPr>
          <w:p w14:paraId="5F2263BA" w14:textId="77777777" w:rsidR="00387142" w:rsidRPr="008B6A75" w:rsidRDefault="00387142" w:rsidP="00387142">
            <w:pPr>
              <w:jc w:val="center"/>
              <w:rPr>
                <w:bCs/>
                <w:sz w:val="20"/>
                <w:szCs w:val="20"/>
              </w:rPr>
            </w:pPr>
            <w:r w:rsidRPr="008B6A75">
              <w:rPr>
                <w:bCs/>
                <w:sz w:val="20"/>
                <w:szCs w:val="20"/>
              </w:rPr>
              <w:t>10.0.00.70760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558B19C"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6A27BBF" w14:textId="77777777" w:rsidR="00387142" w:rsidRPr="008B6A75" w:rsidRDefault="00387142" w:rsidP="00387142">
            <w:pPr>
              <w:jc w:val="right"/>
              <w:rPr>
                <w:bCs/>
                <w:sz w:val="20"/>
                <w:szCs w:val="20"/>
              </w:rPr>
            </w:pPr>
            <w:r w:rsidRPr="008B6A75">
              <w:rPr>
                <w:bCs/>
                <w:sz w:val="20"/>
                <w:szCs w:val="20"/>
              </w:rPr>
              <w:t>32 578 500,00</w:t>
            </w:r>
          </w:p>
        </w:tc>
        <w:tc>
          <w:tcPr>
            <w:tcW w:w="992" w:type="dxa"/>
            <w:tcBorders>
              <w:top w:val="nil"/>
              <w:left w:val="single" w:sz="4" w:space="0" w:color="auto"/>
              <w:bottom w:val="single" w:sz="4" w:space="0" w:color="auto"/>
              <w:right w:val="nil"/>
            </w:tcBorders>
            <w:shd w:val="clear" w:color="auto" w:fill="auto"/>
            <w:vAlign w:val="center"/>
            <w:hideMark/>
          </w:tcPr>
          <w:p w14:paraId="52723291" w14:textId="77777777" w:rsidR="00387142" w:rsidRPr="008B6A75" w:rsidRDefault="00387142" w:rsidP="00387142">
            <w:pPr>
              <w:jc w:val="right"/>
              <w:rPr>
                <w:bCs/>
                <w:sz w:val="20"/>
                <w:szCs w:val="20"/>
              </w:rPr>
            </w:pPr>
            <w:r w:rsidRPr="008B6A75">
              <w:rPr>
                <w:bCs/>
                <w:sz w:val="20"/>
                <w:szCs w:val="20"/>
              </w:rPr>
              <w:t>33 565 800,00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020AB8F9" w14:textId="77777777" w:rsidR="00387142" w:rsidRPr="008B6A75" w:rsidRDefault="00387142" w:rsidP="00387142">
            <w:pPr>
              <w:jc w:val="right"/>
              <w:rPr>
                <w:bCs/>
                <w:sz w:val="20"/>
                <w:szCs w:val="20"/>
              </w:rPr>
            </w:pPr>
            <w:r w:rsidRPr="008B6A75">
              <w:rPr>
                <w:bCs/>
                <w:sz w:val="20"/>
                <w:szCs w:val="20"/>
              </w:rPr>
              <w:t>39 663 600,00</w:t>
            </w:r>
          </w:p>
        </w:tc>
      </w:tr>
      <w:tr w:rsidR="00387142" w:rsidRPr="008B6A75" w14:paraId="15D5C011" w14:textId="77777777" w:rsidTr="00387142">
        <w:trPr>
          <w:trHeight w:val="585"/>
        </w:trPr>
        <w:tc>
          <w:tcPr>
            <w:tcW w:w="3261" w:type="dxa"/>
            <w:tcBorders>
              <w:top w:val="nil"/>
              <w:left w:val="single" w:sz="4" w:space="0" w:color="auto"/>
              <w:bottom w:val="single" w:sz="4" w:space="0" w:color="auto"/>
              <w:right w:val="nil"/>
            </w:tcBorders>
            <w:shd w:val="clear" w:color="auto" w:fill="auto"/>
            <w:vAlign w:val="center"/>
            <w:hideMark/>
          </w:tcPr>
          <w:p w14:paraId="370CFA9C" w14:textId="77777777" w:rsidR="00387142" w:rsidRPr="008B6A75" w:rsidRDefault="00387142" w:rsidP="00387142">
            <w:pPr>
              <w:rPr>
                <w:sz w:val="20"/>
                <w:szCs w:val="20"/>
              </w:rPr>
            </w:pPr>
            <w:r w:rsidRPr="008B6A75">
              <w:rPr>
                <w:sz w:val="20"/>
                <w:szCs w:val="20"/>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07F6FC2E" w14:textId="77777777" w:rsidR="00387142" w:rsidRPr="008B6A75" w:rsidRDefault="00387142" w:rsidP="00387142">
            <w:pPr>
              <w:jc w:val="center"/>
              <w:rPr>
                <w:sz w:val="20"/>
                <w:szCs w:val="20"/>
              </w:rPr>
            </w:pPr>
            <w:r w:rsidRPr="008B6A75">
              <w:rPr>
                <w:sz w:val="20"/>
                <w:szCs w:val="20"/>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9352B75" w14:textId="77777777" w:rsidR="00387142" w:rsidRPr="008B6A75" w:rsidRDefault="00387142" w:rsidP="00387142">
            <w:pPr>
              <w:jc w:val="center"/>
              <w:rPr>
                <w:sz w:val="20"/>
                <w:szCs w:val="20"/>
              </w:rPr>
            </w:pPr>
            <w:r w:rsidRPr="008B6A75">
              <w:rPr>
                <w:sz w:val="20"/>
                <w:szCs w:val="20"/>
              </w:rPr>
              <w:t>09</w:t>
            </w:r>
          </w:p>
        </w:tc>
        <w:tc>
          <w:tcPr>
            <w:tcW w:w="1516" w:type="dxa"/>
            <w:tcBorders>
              <w:top w:val="nil"/>
              <w:left w:val="single" w:sz="4" w:space="0" w:color="auto"/>
              <w:bottom w:val="single" w:sz="4" w:space="0" w:color="auto"/>
              <w:right w:val="nil"/>
            </w:tcBorders>
            <w:shd w:val="clear" w:color="auto" w:fill="auto"/>
            <w:noWrap/>
            <w:vAlign w:val="center"/>
            <w:hideMark/>
          </w:tcPr>
          <w:p w14:paraId="77D0EA90" w14:textId="77777777" w:rsidR="00387142" w:rsidRPr="008B6A75" w:rsidRDefault="00387142" w:rsidP="00387142">
            <w:pPr>
              <w:jc w:val="center"/>
              <w:rPr>
                <w:sz w:val="20"/>
                <w:szCs w:val="20"/>
              </w:rPr>
            </w:pPr>
            <w:r w:rsidRPr="008B6A75">
              <w:rPr>
                <w:sz w:val="20"/>
                <w:szCs w:val="20"/>
              </w:rPr>
              <w:t>10.0.00.70760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4C385F5" w14:textId="77777777" w:rsidR="00387142" w:rsidRPr="008B6A75" w:rsidRDefault="00387142" w:rsidP="00387142">
            <w:pPr>
              <w:jc w:val="center"/>
              <w:rPr>
                <w:sz w:val="20"/>
                <w:szCs w:val="20"/>
              </w:rPr>
            </w:pPr>
            <w:r w:rsidRPr="008B6A75">
              <w:rPr>
                <w:sz w:val="20"/>
                <w:szCs w:val="20"/>
              </w:rPr>
              <w:t>200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BF6D45A" w14:textId="77777777" w:rsidR="00387142" w:rsidRPr="008B6A75" w:rsidRDefault="00387142" w:rsidP="00387142">
            <w:pPr>
              <w:jc w:val="right"/>
              <w:rPr>
                <w:sz w:val="20"/>
                <w:szCs w:val="20"/>
              </w:rPr>
            </w:pPr>
            <w:r w:rsidRPr="008B6A75">
              <w:rPr>
                <w:sz w:val="20"/>
                <w:szCs w:val="20"/>
              </w:rPr>
              <w:t>1 960 000,00</w:t>
            </w:r>
          </w:p>
        </w:tc>
        <w:tc>
          <w:tcPr>
            <w:tcW w:w="992" w:type="dxa"/>
            <w:tcBorders>
              <w:top w:val="nil"/>
              <w:left w:val="single" w:sz="4" w:space="0" w:color="auto"/>
              <w:bottom w:val="single" w:sz="4" w:space="0" w:color="auto"/>
              <w:right w:val="nil"/>
            </w:tcBorders>
            <w:shd w:val="clear" w:color="auto" w:fill="auto"/>
            <w:vAlign w:val="center"/>
            <w:hideMark/>
          </w:tcPr>
          <w:p w14:paraId="473D846B" w14:textId="77777777" w:rsidR="00387142" w:rsidRPr="008B6A75" w:rsidRDefault="00387142" w:rsidP="00387142">
            <w:pPr>
              <w:jc w:val="right"/>
              <w:rPr>
                <w:sz w:val="20"/>
                <w:szCs w:val="20"/>
              </w:rPr>
            </w:pPr>
            <w:r w:rsidRPr="008B6A75">
              <w:rPr>
                <w:sz w:val="20"/>
                <w:szCs w:val="20"/>
              </w:rPr>
              <w:t>33 565 800,00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1E0DE34D" w14:textId="77777777" w:rsidR="00387142" w:rsidRPr="008B6A75" w:rsidRDefault="00387142" w:rsidP="00387142">
            <w:pPr>
              <w:jc w:val="right"/>
              <w:rPr>
                <w:sz w:val="20"/>
                <w:szCs w:val="20"/>
              </w:rPr>
            </w:pPr>
            <w:r w:rsidRPr="008B6A75">
              <w:rPr>
                <w:sz w:val="20"/>
                <w:szCs w:val="20"/>
              </w:rPr>
              <w:t>39 663 600,00</w:t>
            </w:r>
          </w:p>
        </w:tc>
      </w:tr>
      <w:tr w:rsidR="00387142" w:rsidRPr="008B6A75" w14:paraId="615282F3" w14:textId="77777777" w:rsidTr="00387142">
        <w:trPr>
          <w:trHeight w:val="870"/>
        </w:trPr>
        <w:tc>
          <w:tcPr>
            <w:tcW w:w="3261" w:type="dxa"/>
            <w:tcBorders>
              <w:top w:val="nil"/>
              <w:left w:val="single" w:sz="4" w:space="0" w:color="auto"/>
              <w:bottom w:val="single" w:sz="4" w:space="0" w:color="auto"/>
              <w:right w:val="nil"/>
            </w:tcBorders>
            <w:shd w:val="clear" w:color="auto" w:fill="auto"/>
            <w:vAlign w:val="center"/>
            <w:hideMark/>
          </w:tcPr>
          <w:p w14:paraId="4435FD67" w14:textId="77777777" w:rsidR="00387142" w:rsidRPr="008B6A75" w:rsidRDefault="00387142" w:rsidP="00387142">
            <w:pPr>
              <w:rPr>
                <w:sz w:val="20"/>
                <w:szCs w:val="20"/>
              </w:rPr>
            </w:pPr>
            <w:r w:rsidRPr="008B6A75">
              <w:rPr>
                <w:sz w:val="20"/>
                <w:szCs w:val="20"/>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66473F38" w14:textId="77777777" w:rsidR="00387142" w:rsidRPr="008B6A75" w:rsidRDefault="00387142" w:rsidP="00387142">
            <w:pPr>
              <w:jc w:val="center"/>
              <w:rPr>
                <w:sz w:val="20"/>
                <w:szCs w:val="20"/>
              </w:rPr>
            </w:pPr>
            <w:r w:rsidRPr="008B6A75">
              <w:rPr>
                <w:sz w:val="20"/>
                <w:szCs w:val="20"/>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6512946" w14:textId="77777777" w:rsidR="00387142" w:rsidRPr="008B6A75" w:rsidRDefault="00387142" w:rsidP="00387142">
            <w:pPr>
              <w:jc w:val="center"/>
              <w:rPr>
                <w:sz w:val="20"/>
                <w:szCs w:val="20"/>
              </w:rPr>
            </w:pPr>
            <w:r w:rsidRPr="008B6A75">
              <w:rPr>
                <w:sz w:val="20"/>
                <w:szCs w:val="20"/>
              </w:rPr>
              <w:t>09</w:t>
            </w:r>
          </w:p>
        </w:tc>
        <w:tc>
          <w:tcPr>
            <w:tcW w:w="1516" w:type="dxa"/>
            <w:tcBorders>
              <w:top w:val="nil"/>
              <w:left w:val="single" w:sz="4" w:space="0" w:color="auto"/>
              <w:bottom w:val="single" w:sz="4" w:space="0" w:color="auto"/>
              <w:right w:val="nil"/>
            </w:tcBorders>
            <w:shd w:val="clear" w:color="auto" w:fill="auto"/>
            <w:noWrap/>
            <w:vAlign w:val="center"/>
            <w:hideMark/>
          </w:tcPr>
          <w:p w14:paraId="02A94BC8" w14:textId="77777777" w:rsidR="00387142" w:rsidRPr="008B6A75" w:rsidRDefault="00387142" w:rsidP="00387142">
            <w:pPr>
              <w:jc w:val="center"/>
              <w:rPr>
                <w:sz w:val="20"/>
                <w:szCs w:val="20"/>
              </w:rPr>
            </w:pPr>
            <w:r w:rsidRPr="008B6A75">
              <w:rPr>
                <w:sz w:val="20"/>
                <w:szCs w:val="20"/>
              </w:rPr>
              <w:t>10.0.00.70760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3CCF9F8" w14:textId="77777777" w:rsidR="00387142" w:rsidRPr="008B6A75" w:rsidRDefault="00387142" w:rsidP="00387142">
            <w:pPr>
              <w:jc w:val="center"/>
              <w:rPr>
                <w:sz w:val="20"/>
                <w:szCs w:val="20"/>
              </w:rPr>
            </w:pPr>
            <w:r w:rsidRPr="008B6A75">
              <w:rPr>
                <w:sz w:val="20"/>
                <w:szCs w:val="20"/>
              </w:rPr>
              <w:t>240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99E6F6B" w14:textId="77777777" w:rsidR="00387142" w:rsidRPr="008B6A75" w:rsidRDefault="00387142" w:rsidP="00387142">
            <w:pPr>
              <w:jc w:val="right"/>
              <w:rPr>
                <w:sz w:val="20"/>
                <w:szCs w:val="20"/>
              </w:rPr>
            </w:pPr>
            <w:r w:rsidRPr="008B6A75">
              <w:rPr>
                <w:sz w:val="20"/>
                <w:szCs w:val="20"/>
              </w:rPr>
              <w:t>1 960 000,00</w:t>
            </w:r>
          </w:p>
        </w:tc>
        <w:tc>
          <w:tcPr>
            <w:tcW w:w="992" w:type="dxa"/>
            <w:tcBorders>
              <w:top w:val="nil"/>
              <w:left w:val="single" w:sz="4" w:space="0" w:color="auto"/>
              <w:bottom w:val="single" w:sz="4" w:space="0" w:color="auto"/>
              <w:right w:val="nil"/>
            </w:tcBorders>
            <w:shd w:val="clear" w:color="auto" w:fill="auto"/>
            <w:vAlign w:val="center"/>
            <w:hideMark/>
          </w:tcPr>
          <w:p w14:paraId="2E2541ED" w14:textId="77777777" w:rsidR="00387142" w:rsidRPr="008B6A75" w:rsidRDefault="00387142" w:rsidP="00387142">
            <w:pPr>
              <w:jc w:val="right"/>
              <w:rPr>
                <w:sz w:val="20"/>
                <w:szCs w:val="20"/>
              </w:rPr>
            </w:pPr>
            <w:r w:rsidRPr="008B6A75">
              <w:rPr>
                <w:sz w:val="20"/>
                <w:szCs w:val="20"/>
              </w:rPr>
              <w:t>33 565 800,00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665EE3B5" w14:textId="77777777" w:rsidR="00387142" w:rsidRPr="008B6A75" w:rsidRDefault="00387142" w:rsidP="00387142">
            <w:pPr>
              <w:jc w:val="right"/>
              <w:rPr>
                <w:sz w:val="20"/>
                <w:szCs w:val="20"/>
              </w:rPr>
            </w:pPr>
            <w:r w:rsidRPr="008B6A75">
              <w:rPr>
                <w:sz w:val="20"/>
                <w:szCs w:val="20"/>
              </w:rPr>
              <w:t>39 663 600,00</w:t>
            </w:r>
          </w:p>
        </w:tc>
      </w:tr>
      <w:tr w:rsidR="00387142" w:rsidRPr="008B6A75" w14:paraId="181C3F5F" w14:textId="77777777" w:rsidTr="00387142">
        <w:trPr>
          <w:trHeight w:val="345"/>
        </w:trPr>
        <w:tc>
          <w:tcPr>
            <w:tcW w:w="3261" w:type="dxa"/>
            <w:tcBorders>
              <w:top w:val="nil"/>
              <w:left w:val="single" w:sz="4" w:space="0" w:color="auto"/>
              <w:bottom w:val="single" w:sz="4" w:space="0" w:color="auto"/>
              <w:right w:val="nil"/>
            </w:tcBorders>
            <w:shd w:val="clear" w:color="auto" w:fill="auto"/>
            <w:vAlign w:val="center"/>
            <w:hideMark/>
          </w:tcPr>
          <w:p w14:paraId="35768935" w14:textId="77777777" w:rsidR="00387142" w:rsidRPr="008B6A75" w:rsidRDefault="00387142" w:rsidP="00387142">
            <w:pPr>
              <w:rPr>
                <w:sz w:val="20"/>
                <w:szCs w:val="20"/>
              </w:rPr>
            </w:pPr>
            <w:r w:rsidRPr="008B6A75">
              <w:rPr>
                <w:sz w:val="20"/>
                <w:szCs w:val="20"/>
              </w:rPr>
              <w:t>Межбюджетные трансферты</w:t>
            </w:r>
          </w:p>
        </w:tc>
        <w:tc>
          <w:tcPr>
            <w:tcW w:w="720" w:type="dxa"/>
            <w:tcBorders>
              <w:top w:val="nil"/>
              <w:left w:val="single" w:sz="4" w:space="0" w:color="auto"/>
              <w:bottom w:val="single" w:sz="4" w:space="0" w:color="auto"/>
              <w:right w:val="nil"/>
            </w:tcBorders>
            <w:shd w:val="clear" w:color="auto" w:fill="auto"/>
            <w:noWrap/>
            <w:vAlign w:val="center"/>
            <w:hideMark/>
          </w:tcPr>
          <w:p w14:paraId="1F7A836F" w14:textId="77777777" w:rsidR="00387142" w:rsidRPr="008B6A75" w:rsidRDefault="00387142" w:rsidP="00387142">
            <w:pPr>
              <w:jc w:val="center"/>
              <w:rPr>
                <w:sz w:val="20"/>
                <w:szCs w:val="20"/>
              </w:rPr>
            </w:pPr>
            <w:r w:rsidRPr="008B6A75">
              <w:rPr>
                <w:sz w:val="20"/>
                <w:szCs w:val="20"/>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A10F03F" w14:textId="77777777" w:rsidR="00387142" w:rsidRPr="008B6A75" w:rsidRDefault="00387142" w:rsidP="00387142">
            <w:pPr>
              <w:jc w:val="center"/>
              <w:rPr>
                <w:sz w:val="20"/>
                <w:szCs w:val="20"/>
              </w:rPr>
            </w:pPr>
            <w:r w:rsidRPr="008B6A75">
              <w:rPr>
                <w:sz w:val="20"/>
                <w:szCs w:val="20"/>
              </w:rPr>
              <w:t>09</w:t>
            </w:r>
          </w:p>
        </w:tc>
        <w:tc>
          <w:tcPr>
            <w:tcW w:w="1516" w:type="dxa"/>
            <w:tcBorders>
              <w:top w:val="nil"/>
              <w:left w:val="single" w:sz="4" w:space="0" w:color="auto"/>
              <w:bottom w:val="single" w:sz="4" w:space="0" w:color="auto"/>
              <w:right w:val="nil"/>
            </w:tcBorders>
            <w:shd w:val="clear" w:color="auto" w:fill="auto"/>
            <w:noWrap/>
            <w:vAlign w:val="center"/>
            <w:hideMark/>
          </w:tcPr>
          <w:p w14:paraId="36DD8032" w14:textId="77777777" w:rsidR="00387142" w:rsidRPr="008B6A75" w:rsidRDefault="00387142" w:rsidP="00387142">
            <w:pPr>
              <w:jc w:val="center"/>
              <w:rPr>
                <w:sz w:val="20"/>
                <w:szCs w:val="20"/>
              </w:rPr>
            </w:pPr>
            <w:r w:rsidRPr="008B6A75">
              <w:rPr>
                <w:sz w:val="20"/>
                <w:szCs w:val="20"/>
              </w:rPr>
              <w:t>10.0.00.70760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A8BD9CD" w14:textId="77777777" w:rsidR="00387142" w:rsidRPr="008B6A75" w:rsidRDefault="00387142" w:rsidP="00387142">
            <w:pPr>
              <w:jc w:val="center"/>
              <w:rPr>
                <w:sz w:val="20"/>
                <w:szCs w:val="20"/>
              </w:rPr>
            </w:pPr>
            <w:r w:rsidRPr="008B6A75">
              <w:rPr>
                <w:sz w:val="20"/>
                <w:szCs w:val="20"/>
              </w:rPr>
              <w:t>500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22F6CEF" w14:textId="77777777" w:rsidR="00387142" w:rsidRPr="008B6A75" w:rsidRDefault="00387142" w:rsidP="00387142">
            <w:pPr>
              <w:jc w:val="right"/>
              <w:rPr>
                <w:sz w:val="20"/>
                <w:szCs w:val="20"/>
              </w:rPr>
            </w:pPr>
            <w:r w:rsidRPr="008B6A75">
              <w:rPr>
                <w:sz w:val="20"/>
                <w:szCs w:val="20"/>
              </w:rPr>
              <w:t>30 618 500,00</w:t>
            </w:r>
          </w:p>
        </w:tc>
        <w:tc>
          <w:tcPr>
            <w:tcW w:w="992" w:type="dxa"/>
            <w:tcBorders>
              <w:top w:val="nil"/>
              <w:left w:val="single" w:sz="4" w:space="0" w:color="auto"/>
              <w:bottom w:val="single" w:sz="4" w:space="0" w:color="auto"/>
              <w:right w:val="nil"/>
            </w:tcBorders>
            <w:shd w:val="clear" w:color="auto" w:fill="auto"/>
            <w:vAlign w:val="center"/>
            <w:hideMark/>
          </w:tcPr>
          <w:p w14:paraId="4072D009" w14:textId="77777777" w:rsidR="00387142" w:rsidRPr="008B6A75" w:rsidRDefault="00387142" w:rsidP="00387142">
            <w:pPr>
              <w:jc w:val="right"/>
              <w:rPr>
                <w:sz w:val="20"/>
                <w:szCs w:val="20"/>
              </w:rPr>
            </w:pPr>
            <w:r w:rsidRPr="008B6A75">
              <w:rPr>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0FA3C07D" w14:textId="77777777" w:rsidR="00387142" w:rsidRPr="008B6A75" w:rsidRDefault="00387142" w:rsidP="00387142">
            <w:pPr>
              <w:jc w:val="right"/>
              <w:rPr>
                <w:sz w:val="20"/>
                <w:szCs w:val="20"/>
              </w:rPr>
            </w:pPr>
            <w:r w:rsidRPr="008B6A75">
              <w:rPr>
                <w:sz w:val="20"/>
                <w:szCs w:val="20"/>
              </w:rPr>
              <w:t>0,00</w:t>
            </w:r>
          </w:p>
        </w:tc>
      </w:tr>
      <w:tr w:rsidR="00387142" w:rsidRPr="008B6A75" w14:paraId="438FA16B" w14:textId="77777777" w:rsidTr="00387142">
        <w:trPr>
          <w:trHeight w:val="345"/>
        </w:trPr>
        <w:tc>
          <w:tcPr>
            <w:tcW w:w="3261" w:type="dxa"/>
            <w:tcBorders>
              <w:top w:val="nil"/>
              <w:left w:val="single" w:sz="4" w:space="0" w:color="auto"/>
              <w:bottom w:val="single" w:sz="4" w:space="0" w:color="auto"/>
              <w:right w:val="nil"/>
            </w:tcBorders>
            <w:shd w:val="clear" w:color="auto" w:fill="auto"/>
            <w:vAlign w:val="center"/>
            <w:hideMark/>
          </w:tcPr>
          <w:p w14:paraId="0EB7EFB0" w14:textId="77777777" w:rsidR="00387142" w:rsidRPr="008B6A75" w:rsidRDefault="00387142" w:rsidP="00387142">
            <w:pPr>
              <w:rPr>
                <w:sz w:val="20"/>
                <w:szCs w:val="20"/>
              </w:rPr>
            </w:pPr>
            <w:r w:rsidRPr="008B6A75">
              <w:rPr>
                <w:sz w:val="20"/>
                <w:szCs w:val="20"/>
              </w:rPr>
              <w:lastRenderedPageBreak/>
              <w:t>Субсидии</w:t>
            </w:r>
          </w:p>
        </w:tc>
        <w:tc>
          <w:tcPr>
            <w:tcW w:w="720" w:type="dxa"/>
            <w:tcBorders>
              <w:top w:val="nil"/>
              <w:left w:val="single" w:sz="4" w:space="0" w:color="auto"/>
              <w:bottom w:val="single" w:sz="4" w:space="0" w:color="auto"/>
              <w:right w:val="nil"/>
            </w:tcBorders>
            <w:shd w:val="clear" w:color="auto" w:fill="auto"/>
            <w:noWrap/>
            <w:vAlign w:val="center"/>
            <w:hideMark/>
          </w:tcPr>
          <w:p w14:paraId="4172F40D" w14:textId="77777777" w:rsidR="00387142" w:rsidRPr="008B6A75" w:rsidRDefault="00387142" w:rsidP="00387142">
            <w:pPr>
              <w:jc w:val="center"/>
              <w:rPr>
                <w:sz w:val="20"/>
                <w:szCs w:val="20"/>
              </w:rPr>
            </w:pPr>
            <w:r w:rsidRPr="008B6A75">
              <w:rPr>
                <w:sz w:val="20"/>
                <w:szCs w:val="20"/>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2096AA4" w14:textId="77777777" w:rsidR="00387142" w:rsidRPr="008B6A75" w:rsidRDefault="00387142" w:rsidP="00387142">
            <w:pPr>
              <w:jc w:val="center"/>
              <w:rPr>
                <w:sz w:val="20"/>
                <w:szCs w:val="20"/>
              </w:rPr>
            </w:pPr>
            <w:r w:rsidRPr="008B6A75">
              <w:rPr>
                <w:sz w:val="20"/>
                <w:szCs w:val="20"/>
              </w:rPr>
              <w:t>09</w:t>
            </w:r>
          </w:p>
        </w:tc>
        <w:tc>
          <w:tcPr>
            <w:tcW w:w="1516" w:type="dxa"/>
            <w:tcBorders>
              <w:top w:val="nil"/>
              <w:left w:val="single" w:sz="4" w:space="0" w:color="auto"/>
              <w:bottom w:val="single" w:sz="4" w:space="0" w:color="auto"/>
              <w:right w:val="nil"/>
            </w:tcBorders>
            <w:shd w:val="clear" w:color="auto" w:fill="auto"/>
            <w:noWrap/>
            <w:vAlign w:val="center"/>
            <w:hideMark/>
          </w:tcPr>
          <w:p w14:paraId="6E4D0033" w14:textId="77777777" w:rsidR="00387142" w:rsidRPr="008B6A75" w:rsidRDefault="00387142" w:rsidP="00387142">
            <w:pPr>
              <w:jc w:val="center"/>
              <w:rPr>
                <w:sz w:val="20"/>
                <w:szCs w:val="20"/>
              </w:rPr>
            </w:pPr>
            <w:r w:rsidRPr="008B6A75">
              <w:rPr>
                <w:sz w:val="20"/>
                <w:szCs w:val="20"/>
              </w:rPr>
              <w:t>10.0.00.70760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B0D90A7" w14:textId="77777777" w:rsidR="00387142" w:rsidRPr="008B6A75" w:rsidRDefault="00387142" w:rsidP="00387142">
            <w:pPr>
              <w:jc w:val="center"/>
              <w:rPr>
                <w:sz w:val="20"/>
                <w:szCs w:val="20"/>
              </w:rPr>
            </w:pPr>
            <w:r w:rsidRPr="008B6A75">
              <w:rPr>
                <w:sz w:val="20"/>
                <w:szCs w:val="20"/>
              </w:rPr>
              <w:t>520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2730E56" w14:textId="77777777" w:rsidR="00387142" w:rsidRPr="008B6A75" w:rsidRDefault="00387142" w:rsidP="00387142">
            <w:pPr>
              <w:jc w:val="right"/>
              <w:rPr>
                <w:sz w:val="20"/>
                <w:szCs w:val="20"/>
              </w:rPr>
            </w:pPr>
            <w:r w:rsidRPr="008B6A75">
              <w:rPr>
                <w:sz w:val="20"/>
                <w:szCs w:val="20"/>
              </w:rPr>
              <w:t>30 618 500,00</w:t>
            </w:r>
          </w:p>
        </w:tc>
        <w:tc>
          <w:tcPr>
            <w:tcW w:w="992" w:type="dxa"/>
            <w:tcBorders>
              <w:top w:val="nil"/>
              <w:left w:val="single" w:sz="4" w:space="0" w:color="auto"/>
              <w:bottom w:val="single" w:sz="4" w:space="0" w:color="auto"/>
              <w:right w:val="nil"/>
            </w:tcBorders>
            <w:shd w:val="clear" w:color="auto" w:fill="auto"/>
            <w:vAlign w:val="center"/>
            <w:hideMark/>
          </w:tcPr>
          <w:p w14:paraId="42F9F7DF" w14:textId="77777777" w:rsidR="00387142" w:rsidRPr="008B6A75" w:rsidRDefault="00387142" w:rsidP="00387142">
            <w:pPr>
              <w:jc w:val="right"/>
              <w:rPr>
                <w:sz w:val="20"/>
                <w:szCs w:val="20"/>
              </w:rPr>
            </w:pPr>
            <w:r w:rsidRPr="008B6A75">
              <w:rPr>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0AA6FEF5" w14:textId="77777777" w:rsidR="00387142" w:rsidRPr="008B6A75" w:rsidRDefault="00387142" w:rsidP="00387142">
            <w:pPr>
              <w:jc w:val="right"/>
              <w:rPr>
                <w:sz w:val="20"/>
                <w:szCs w:val="20"/>
              </w:rPr>
            </w:pPr>
            <w:r w:rsidRPr="008B6A75">
              <w:rPr>
                <w:sz w:val="20"/>
                <w:szCs w:val="20"/>
              </w:rPr>
              <w:t>0,00</w:t>
            </w:r>
          </w:p>
        </w:tc>
      </w:tr>
      <w:tr w:rsidR="00387142" w:rsidRPr="008B6A75" w14:paraId="716C5715" w14:textId="77777777" w:rsidTr="00387142">
        <w:trPr>
          <w:trHeight w:val="1725"/>
        </w:trPr>
        <w:tc>
          <w:tcPr>
            <w:tcW w:w="3261" w:type="dxa"/>
            <w:tcBorders>
              <w:top w:val="nil"/>
              <w:left w:val="single" w:sz="4" w:space="0" w:color="auto"/>
              <w:bottom w:val="single" w:sz="4" w:space="0" w:color="auto"/>
              <w:right w:val="nil"/>
            </w:tcBorders>
            <w:shd w:val="clear" w:color="auto" w:fill="auto"/>
            <w:vAlign w:val="center"/>
            <w:hideMark/>
          </w:tcPr>
          <w:p w14:paraId="78306A59" w14:textId="77777777" w:rsidR="00387142" w:rsidRPr="008B6A75" w:rsidRDefault="00387142" w:rsidP="00387142">
            <w:pPr>
              <w:rPr>
                <w:bCs/>
                <w:sz w:val="20"/>
                <w:szCs w:val="20"/>
              </w:rPr>
            </w:pPr>
            <w:proofErr w:type="spellStart"/>
            <w:r w:rsidRPr="008B6A75">
              <w:rPr>
                <w:bCs/>
                <w:sz w:val="20"/>
                <w:szCs w:val="20"/>
              </w:rPr>
              <w:t>Софинансирование</w:t>
            </w:r>
            <w:proofErr w:type="spellEnd"/>
            <w:r w:rsidRPr="008B6A75">
              <w:rPr>
                <w:bCs/>
                <w:sz w:val="20"/>
                <w:szCs w:val="20"/>
              </w:rPr>
              <w:t xml:space="preserve"> местного бюджета на реализацию мероприятий государственной программы Новосибирской </w:t>
            </w:r>
            <w:proofErr w:type="gramStart"/>
            <w:r w:rsidRPr="008B6A75">
              <w:rPr>
                <w:bCs/>
                <w:sz w:val="20"/>
                <w:szCs w:val="20"/>
              </w:rPr>
              <w:t>области  "</w:t>
            </w:r>
            <w:proofErr w:type="gramEnd"/>
            <w:r w:rsidRPr="008B6A75">
              <w:rPr>
                <w:bCs/>
                <w:sz w:val="20"/>
                <w:szCs w:val="20"/>
              </w:rPr>
              <w:t>Развитие автомобильных дорог регионального, межмуниципального и местного значения в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14:paraId="746CC86C" w14:textId="77777777" w:rsidR="00387142" w:rsidRPr="008B6A75" w:rsidRDefault="00387142" w:rsidP="00387142">
            <w:pPr>
              <w:jc w:val="center"/>
              <w:rPr>
                <w:bCs/>
                <w:sz w:val="20"/>
                <w:szCs w:val="20"/>
              </w:rPr>
            </w:pPr>
            <w:r w:rsidRPr="008B6A75">
              <w:rPr>
                <w:bCs/>
                <w:sz w:val="20"/>
                <w:szCs w:val="20"/>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C51CD40" w14:textId="77777777" w:rsidR="00387142" w:rsidRPr="008B6A75" w:rsidRDefault="00387142" w:rsidP="00387142">
            <w:pPr>
              <w:jc w:val="center"/>
              <w:rPr>
                <w:bCs/>
                <w:sz w:val="20"/>
                <w:szCs w:val="20"/>
              </w:rPr>
            </w:pPr>
            <w:r w:rsidRPr="008B6A75">
              <w:rPr>
                <w:bCs/>
                <w:sz w:val="20"/>
                <w:szCs w:val="20"/>
              </w:rPr>
              <w:t>09</w:t>
            </w:r>
          </w:p>
        </w:tc>
        <w:tc>
          <w:tcPr>
            <w:tcW w:w="1516" w:type="dxa"/>
            <w:tcBorders>
              <w:top w:val="nil"/>
              <w:left w:val="single" w:sz="4" w:space="0" w:color="auto"/>
              <w:bottom w:val="single" w:sz="4" w:space="0" w:color="auto"/>
              <w:right w:val="nil"/>
            </w:tcBorders>
            <w:shd w:val="clear" w:color="auto" w:fill="auto"/>
            <w:noWrap/>
            <w:vAlign w:val="center"/>
            <w:hideMark/>
          </w:tcPr>
          <w:p w14:paraId="393BC706" w14:textId="77777777" w:rsidR="00387142" w:rsidRPr="008B6A75" w:rsidRDefault="00387142" w:rsidP="00387142">
            <w:pPr>
              <w:jc w:val="center"/>
              <w:rPr>
                <w:bCs/>
                <w:sz w:val="20"/>
                <w:szCs w:val="20"/>
              </w:rPr>
            </w:pPr>
            <w:r w:rsidRPr="008B6A75">
              <w:rPr>
                <w:bCs/>
                <w:sz w:val="20"/>
                <w:szCs w:val="20"/>
              </w:rPr>
              <w:t>10.0.00.S0760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54F028D"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321BF1B" w14:textId="77777777" w:rsidR="00387142" w:rsidRPr="008B6A75" w:rsidRDefault="00387142" w:rsidP="00387142">
            <w:pPr>
              <w:jc w:val="right"/>
              <w:rPr>
                <w:bCs/>
                <w:sz w:val="20"/>
                <w:szCs w:val="20"/>
              </w:rPr>
            </w:pPr>
            <w:r w:rsidRPr="008B6A75">
              <w:rPr>
                <w:bCs/>
                <w:sz w:val="20"/>
                <w:szCs w:val="20"/>
              </w:rPr>
              <w:t>40 000,00</w:t>
            </w:r>
          </w:p>
        </w:tc>
        <w:tc>
          <w:tcPr>
            <w:tcW w:w="992" w:type="dxa"/>
            <w:tcBorders>
              <w:top w:val="nil"/>
              <w:left w:val="single" w:sz="4" w:space="0" w:color="auto"/>
              <w:bottom w:val="single" w:sz="4" w:space="0" w:color="auto"/>
              <w:right w:val="nil"/>
            </w:tcBorders>
            <w:shd w:val="clear" w:color="auto" w:fill="auto"/>
            <w:vAlign w:val="center"/>
            <w:hideMark/>
          </w:tcPr>
          <w:p w14:paraId="40AD2728" w14:textId="77777777" w:rsidR="00387142" w:rsidRPr="008B6A75" w:rsidRDefault="00387142" w:rsidP="00387142">
            <w:pPr>
              <w:jc w:val="right"/>
              <w:rPr>
                <w:bCs/>
                <w:sz w:val="20"/>
                <w:szCs w:val="20"/>
              </w:rPr>
            </w:pPr>
            <w:r w:rsidRPr="008B6A75">
              <w:rPr>
                <w:bCs/>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4DC3F3C9" w14:textId="77777777" w:rsidR="00387142" w:rsidRPr="008B6A75" w:rsidRDefault="00387142" w:rsidP="00387142">
            <w:pPr>
              <w:jc w:val="right"/>
              <w:rPr>
                <w:bCs/>
                <w:sz w:val="20"/>
                <w:szCs w:val="20"/>
              </w:rPr>
            </w:pPr>
            <w:r w:rsidRPr="008B6A75">
              <w:rPr>
                <w:bCs/>
                <w:sz w:val="20"/>
                <w:szCs w:val="20"/>
              </w:rPr>
              <w:t>0,00</w:t>
            </w:r>
          </w:p>
        </w:tc>
      </w:tr>
      <w:tr w:rsidR="00387142" w:rsidRPr="008B6A75" w14:paraId="6181BE79" w14:textId="77777777" w:rsidTr="00387142">
        <w:trPr>
          <w:trHeight w:val="585"/>
        </w:trPr>
        <w:tc>
          <w:tcPr>
            <w:tcW w:w="3261" w:type="dxa"/>
            <w:tcBorders>
              <w:top w:val="nil"/>
              <w:left w:val="single" w:sz="4" w:space="0" w:color="auto"/>
              <w:bottom w:val="single" w:sz="4" w:space="0" w:color="auto"/>
              <w:right w:val="nil"/>
            </w:tcBorders>
            <w:shd w:val="clear" w:color="auto" w:fill="auto"/>
            <w:vAlign w:val="center"/>
            <w:hideMark/>
          </w:tcPr>
          <w:p w14:paraId="6455C480" w14:textId="77777777" w:rsidR="00387142" w:rsidRPr="008B6A75" w:rsidRDefault="00387142" w:rsidP="00387142">
            <w:pPr>
              <w:rPr>
                <w:sz w:val="20"/>
                <w:szCs w:val="20"/>
              </w:rPr>
            </w:pPr>
            <w:r w:rsidRPr="008B6A75">
              <w:rPr>
                <w:sz w:val="20"/>
                <w:szCs w:val="20"/>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496056B7" w14:textId="77777777" w:rsidR="00387142" w:rsidRPr="008B6A75" w:rsidRDefault="00387142" w:rsidP="00387142">
            <w:pPr>
              <w:jc w:val="center"/>
              <w:rPr>
                <w:sz w:val="20"/>
                <w:szCs w:val="20"/>
              </w:rPr>
            </w:pPr>
            <w:r w:rsidRPr="008B6A75">
              <w:rPr>
                <w:sz w:val="20"/>
                <w:szCs w:val="20"/>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FEB79C2" w14:textId="77777777" w:rsidR="00387142" w:rsidRPr="008B6A75" w:rsidRDefault="00387142" w:rsidP="00387142">
            <w:pPr>
              <w:jc w:val="center"/>
              <w:rPr>
                <w:sz w:val="20"/>
                <w:szCs w:val="20"/>
              </w:rPr>
            </w:pPr>
            <w:r w:rsidRPr="008B6A75">
              <w:rPr>
                <w:sz w:val="20"/>
                <w:szCs w:val="20"/>
              </w:rPr>
              <w:t>09</w:t>
            </w:r>
          </w:p>
        </w:tc>
        <w:tc>
          <w:tcPr>
            <w:tcW w:w="1516" w:type="dxa"/>
            <w:tcBorders>
              <w:top w:val="nil"/>
              <w:left w:val="single" w:sz="4" w:space="0" w:color="auto"/>
              <w:bottom w:val="single" w:sz="4" w:space="0" w:color="auto"/>
              <w:right w:val="nil"/>
            </w:tcBorders>
            <w:shd w:val="clear" w:color="auto" w:fill="auto"/>
            <w:noWrap/>
            <w:vAlign w:val="center"/>
            <w:hideMark/>
          </w:tcPr>
          <w:p w14:paraId="57AAC1B2" w14:textId="77777777" w:rsidR="00387142" w:rsidRPr="008B6A75" w:rsidRDefault="00387142" w:rsidP="00387142">
            <w:pPr>
              <w:jc w:val="center"/>
              <w:rPr>
                <w:sz w:val="20"/>
                <w:szCs w:val="20"/>
              </w:rPr>
            </w:pPr>
            <w:r w:rsidRPr="008B6A75">
              <w:rPr>
                <w:sz w:val="20"/>
                <w:szCs w:val="20"/>
              </w:rPr>
              <w:t>10.0.00.S0760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CD5A8AC" w14:textId="77777777" w:rsidR="00387142" w:rsidRPr="008B6A75" w:rsidRDefault="00387142" w:rsidP="00387142">
            <w:pPr>
              <w:jc w:val="center"/>
              <w:rPr>
                <w:sz w:val="20"/>
                <w:szCs w:val="20"/>
              </w:rPr>
            </w:pPr>
            <w:r w:rsidRPr="008B6A75">
              <w:rPr>
                <w:sz w:val="20"/>
                <w:szCs w:val="20"/>
              </w:rPr>
              <w:t>200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BB4B49D" w14:textId="77777777" w:rsidR="00387142" w:rsidRPr="008B6A75" w:rsidRDefault="00387142" w:rsidP="00387142">
            <w:pPr>
              <w:jc w:val="right"/>
              <w:rPr>
                <w:sz w:val="20"/>
                <w:szCs w:val="20"/>
              </w:rPr>
            </w:pPr>
            <w:r w:rsidRPr="008B6A75">
              <w:rPr>
                <w:sz w:val="20"/>
                <w:szCs w:val="20"/>
              </w:rPr>
              <w:t>40 000,00</w:t>
            </w:r>
          </w:p>
        </w:tc>
        <w:tc>
          <w:tcPr>
            <w:tcW w:w="992" w:type="dxa"/>
            <w:tcBorders>
              <w:top w:val="nil"/>
              <w:left w:val="single" w:sz="4" w:space="0" w:color="auto"/>
              <w:bottom w:val="single" w:sz="4" w:space="0" w:color="auto"/>
              <w:right w:val="nil"/>
            </w:tcBorders>
            <w:shd w:val="clear" w:color="auto" w:fill="auto"/>
            <w:vAlign w:val="center"/>
            <w:hideMark/>
          </w:tcPr>
          <w:p w14:paraId="1E81B49E" w14:textId="77777777" w:rsidR="00387142" w:rsidRPr="008B6A75" w:rsidRDefault="00387142" w:rsidP="00387142">
            <w:pPr>
              <w:jc w:val="right"/>
              <w:rPr>
                <w:sz w:val="20"/>
                <w:szCs w:val="20"/>
              </w:rPr>
            </w:pPr>
            <w:r w:rsidRPr="008B6A75">
              <w:rPr>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70FAD31C" w14:textId="77777777" w:rsidR="00387142" w:rsidRPr="008B6A75" w:rsidRDefault="00387142" w:rsidP="00387142">
            <w:pPr>
              <w:jc w:val="right"/>
              <w:rPr>
                <w:sz w:val="20"/>
                <w:szCs w:val="20"/>
              </w:rPr>
            </w:pPr>
            <w:r w:rsidRPr="008B6A75">
              <w:rPr>
                <w:sz w:val="20"/>
                <w:szCs w:val="20"/>
              </w:rPr>
              <w:t>0,00</w:t>
            </w:r>
          </w:p>
        </w:tc>
      </w:tr>
      <w:tr w:rsidR="00387142" w:rsidRPr="008B6A75" w14:paraId="597AB9E1" w14:textId="77777777" w:rsidTr="00387142">
        <w:trPr>
          <w:trHeight w:val="870"/>
        </w:trPr>
        <w:tc>
          <w:tcPr>
            <w:tcW w:w="3261" w:type="dxa"/>
            <w:tcBorders>
              <w:top w:val="nil"/>
              <w:left w:val="single" w:sz="4" w:space="0" w:color="auto"/>
              <w:bottom w:val="single" w:sz="4" w:space="0" w:color="auto"/>
              <w:right w:val="nil"/>
            </w:tcBorders>
            <w:shd w:val="clear" w:color="auto" w:fill="auto"/>
            <w:vAlign w:val="center"/>
            <w:hideMark/>
          </w:tcPr>
          <w:p w14:paraId="497517F9" w14:textId="77777777" w:rsidR="00387142" w:rsidRPr="008B6A75" w:rsidRDefault="00387142" w:rsidP="00387142">
            <w:pPr>
              <w:rPr>
                <w:sz w:val="20"/>
                <w:szCs w:val="20"/>
              </w:rPr>
            </w:pPr>
            <w:r w:rsidRPr="008B6A75">
              <w:rPr>
                <w:sz w:val="20"/>
                <w:szCs w:val="20"/>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2C259A81" w14:textId="77777777" w:rsidR="00387142" w:rsidRPr="008B6A75" w:rsidRDefault="00387142" w:rsidP="00387142">
            <w:pPr>
              <w:jc w:val="center"/>
              <w:rPr>
                <w:sz w:val="20"/>
                <w:szCs w:val="20"/>
              </w:rPr>
            </w:pPr>
            <w:r w:rsidRPr="008B6A75">
              <w:rPr>
                <w:sz w:val="20"/>
                <w:szCs w:val="20"/>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9A501AF" w14:textId="77777777" w:rsidR="00387142" w:rsidRPr="008B6A75" w:rsidRDefault="00387142" w:rsidP="00387142">
            <w:pPr>
              <w:jc w:val="center"/>
              <w:rPr>
                <w:sz w:val="20"/>
                <w:szCs w:val="20"/>
              </w:rPr>
            </w:pPr>
            <w:r w:rsidRPr="008B6A75">
              <w:rPr>
                <w:sz w:val="20"/>
                <w:szCs w:val="20"/>
              </w:rPr>
              <w:t>09</w:t>
            </w:r>
          </w:p>
        </w:tc>
        <w:tc>
          <w:tcPr>
            <w:tcW w:w="1516" w:type="dxa"/>
            <w:tcBorders>
              <w:top w:val="nil"/>
              <w:left w:val="single" w:sz="4" w:space="0" w:color="auto"/>
              <w:bottom w:val="single" w:sz="4" w:space="0" w:color="auto"/>
              <w:right w:val="nil"/>
            </w:tcBorders>
            <w:shd w:val="clear" w:color="auto" w:fill="auto"/>
            <w:noWrap/>
            <w:vAlign w:val="center"/>
            <w:hideMark/>
          </w:tcPr>
          <w:p w14:paraId="0A3E609B" w14:textId="77777777" w:rsidR="00387142" w:rsidRPr="008B6A75" w:rsidRDefault="00387142" w:rsidP="00387142">
            <w:pPr>
              <w:jc w:val="center"/>
              <w:rPr>
                <w:sz w:val="20"/>
                <w:szCs w:val="20"/>
              </w:rPr>
            </w:pPr>
            <w:r w:rsidRPr="008B6A75">
              <w:rPr>
                <w:sz w:val="20"/>
                <w:szCs w:val="20"/>
              </w:rPr>
              <w:t>10.0.00.S0760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60CDF78" w14:textId="77777777" w:rsidR="00387142" w:rsidRPr="008B6A75" w:rsidRDefault="00387142" w:rsidP="00387142">
            <w:pPr>
              <w:jc w:val="center"/>
              <w:rPr>
                <w:sz w:val="20"/>
                <w:szCs w:val="20"/>
              </w:rPr>
            </w:pPr>
            <w:r w:rsidRPr="008B6A75">
              <w:rPr>
                <w:sz w:val="20"/>
                <w:szCs w:val="20"/>
              </w:rPr>
              <w:t>240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6E5CB2D" w14:textId="77777777" w:rsidR="00387142" w:rsidRPr="008B6A75" w:rsidRDefault="00387142" w:rsidP="00387142">
            <w:pPr>
              <w:jc w:val="right"/>
              <w:rPr>
                <w:sz w:val="20"/>
                <w:szCs w:val="20"/>
              </w:rPr>
            </w:pPr>
            <w:r w:rsidRPr="008B6A75">
              <w:rPr>
                <w:sz w:val="20"/>
                <w:szCs w:val="20"/>
              </w:rPr>
              <w:t>40 000,00</w:t>
            </w:r>
          </w:p>
        </w:tc>
        <w:tc>
          <w:tcPr>
            <w:tcW w:w="992" w:type="dxa"/>
            <w:tcBorders>
              <w:top w:val="nil"/>
              <w:left w:val="single" w:sz="4" w:space="0" w:color="auto"/>
              <w:bottom w:val="single" w:sz="4" w:space="0" w:color="auto"/>
              <w:right w:val="nil"/>
            </w:tcBorders>
            <w:shd w:val="clear" w:color="auto" w:fill="auto"/>
            <w:vAlign w:val="center"/>
            <w:hideMark/>
          </w:tcPr>
          <w:p w14:paraId="38B022E3" w14:textId="77777777" w:rsidR="00387142" w:rsidRPr="008B6A75" w:rsidRDefault="00387142" w:rsidP="00387142">
            <w:pPr>
              <w:jc w:val="right"/>
              <w:rPr>
                <w:sz w:val="20"/>
                <w:szCs w:val="20"/>
              </w:rPr>
            </w:pPr>
            <w:r w:rsidRPr="008B6A75">
              <w:rPr>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58373861" w14:textId="77777777" w:rsidR="00387142" w:rsidRPr="008B6A75" w:rsidRDefault="00387142" w:rsidP="00387142">
            <w:pPr>
              <w:jc w:val="right"/>
              <w:rPr>
                <w:sz w:val="20"/>
                <w:szCs w:val="20"/>
              </w:rPr>
            </w:pPr>
            <w:r w:rsidRPr="008B6A75">
              <w:rPr>
                <w:sz w:val="20"/>
                <w:szCs w:val="20"/>
              </w:rPr>
              <w:t>0,00</w:t>
            </w:r>
          </w:p>
        </w:tc>
      </w:tr>
      <w:tr w:rsidR="00387142" w:rsidRPr="008B6A75" w14:paraId="53D7663D" w14:textId="77777777" w:rsidTr="00387142">
        <w:trPr>
          <w:trHeight w:val="345"/>
        </w:trPr>
        <w:tc>
          <w:tcPr>
            <w:tcW w:w="3261" w:type="dxa"/>
            <w:tcBorders>
              <w:top w:val="nil"/>
              <w:left w:val="single" w:sz="4" w:space="0" w:color="auto"/>
              <w:bottom w:val="single" w:sz="4" w:space="0" w:color="auto"/>
              <w:right w:val="nil"/>
            </w:tcBorders>
            <w:shd w:val="clear" w:color="auto" w:fill="auto"/>
            <w:vAlign w:val="center"/>
            <w:hideMark/>
          </w:tcPr>
          <w:p w14:paraId="5439C201" w14:textId="77777777" w:rsidR="00387142" w:rsidRPr="008B6A75" w:rsidRDefault="00387142" w:rsidP="00387142">
            <w:pPr>
              <w:rPr>
                <w:bCs/>
                <w:sz w:val="20"/>
                <w:szCs w:val="20"/>
              </w:rPr>
            </w:pPr>
            <w:r w:rsidRPr="008B6A75">
              <w:rPr>
                <w:bCs/>
                <w:sz w:val="20"/>
                <w:szCs w:val="20"/>
              </w:rPr>
              <w:t>Связь и информатика</w:t>
            </w:r>
          </w:p>
        </w:tc>
        <w:tc>
          <w:tcPr>
            <w:tcW w:w="720" w:type="dxa"/>
            <w:tcBorders>
              <w:top w:val="nil"/>
              <w:left w:val="single" w:sz="4" w:space="0" w:color="auto"/>
              <w:bottom w:val="single" w:sz="4" w:space="0" w:color="auto"/>
              <w:right w:val="nil"/>
            </w:tcBorders>
            <w:shd w:val="clear" w:color="auto" w:fill="auto"/>
            <w:noWrap/>
            <w:vAlign w:val="center"/>
            <w:hideMark/>
          </w:tcPr>
          <w:p w14:paraId="46D49554" w14:textId="77777777" w:rsidR="00387142" w:rsidRPr="008B6A75" w:rsidRDefault="00387142" w:rsidP="00387142">
            <w:pPr>
              <w:jc w:val="center"/>
              <w:rPr>
                <w:bCs/>
                <w:sz w:val="20"/>
                <w:szCs w:val="20"/>
              </w:rPr>
            </w:pPr>
            <w:r w:rsidRPr="008B6A75">
              <w:rPr>
                <w:bCs/>
                <w:sz w:val="20"/>
                <w:szCs w:val="20"/>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4717FBF" w14:textId="77777777" w:rsidR="00387142" w:rsidRPr="008B6A75" w:rsidRDefault="00387142" w:rsidP="00387142">
            <w:pPr>
              <w:jc w:val="center"/>
              <w:rPr>
                <w:bCs/>
                <w:sz w:val="20"/>
                <w:szCs w:val="20"/>
              </w:rPr>
            </w:pPr>
            <w:r w:rsidRPr="008B6A75">
              <w:rPr>
                <w:bCs/>
                <w:sz w:val="20"/>
                <w:szCs w:val="20"/>
              </w:rPr>
              <w:t>10</w:t>
            </w:r>
          </w:p>
        </w:tc>
        <w:tc>
          <w:tcPr>
            <w:tcW w:w="1516" w:type="dxa"/>
            <w:tcBorders>
              <w:top w:val="nil"/>
              <w:left w:val="single" w:sz="4" w:space="0" w:color="auto"/>
              <w:bottom w:val="single" w:sz="4" w:space="0" w:color="auto"/>
              <w:right w:val="nil"/>
            </w:tcBorders>
            <w:shd w:val="clear" w:color="auto" w:fill="auto"/>
            <w:noWrap/>
            <w:vAlign w:val="center"/>
            <w:hideMark/>
          </w:tcPr>
          <w:p w14:paraId="713EA01F" w14:textId="77777777" w:rsidR="00387142" w:rsidRPr="008B6A75" w:rsidRDefault="00387142" w:rsidP="00387142">
            <w:pPr>
              <w:jc w:val="center"/>
              <w:rPr>
                <w:bCs/>
                <w:sz w:val="20"/>
                <w:szCs w:val="20"/>
              </w:rPr>
            </w:pPr>
            <w:r w:rsidRPr="008B6A75">
              <w:rPr>
                <w:bCs/>
                <w:sz w:val="20"/>
                <w:szCs w:val="20"/>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A91A805"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0E78AE1" w14:textId="77777777" w:rsidR="00387142" w:rsidRPr="008B6A75" w:rsidRDefault="00387142" w:rsidP="00387142">
            <w:pPr>
              <w:jc w:val="right"/>
              <w:rPr>
                <w:bCs/>
                <w:sz w:val="20"/>
                <w:szCs w:val="20"/>
              </w:rPr>
            </w:pPr>
            <w:r w:rsidRPr="008B6A75">
              <w:rPr>
                <w:bCs/>
                <w:sz w:val="20"/>
                <w:szCs w:val="20"/>
              </w:rPr>
              <w:t>0,00</w:t>
            </w:r>
          </w:p>
        </w:tc>
        <w:tc>
          <w:tcPr>
            <w:tcW w:w="992" w:type="dxa"/>
            <w:tcBorders>
              <w:top w:val="nil"/>
              <w:left w:val="single" w:sz="4" w:space="0" w:color="auto"/>
              <w:bottom w:val="single" w:sz="4" w:space="0" w:color="auto"/>
              <w:right w:val="nil"/>
            </w:tcBorders>
            <w:shd w:val="clear" w:color="auto" w:fill="auto"/>
            <w:vAlign w:val="center"/>
            <w:hideMark/>
          </w:tcPr>
          <w:p w14:paraId="1DC7A305" w14:textId="77777777" w:rsidR="00387142" w:rsidRPr="008B6A75" w:rsidRDefault="00387142" w:rsidP="00387142">
            <w:pPr>
              <w:jc w:val="right"/>
              <w:rPr>
                <w:bCs/>
                <w:sz w:val="20"/>
                <w:szCs w:val="20"/>
              </w:rPr>
            </w:pPr>
            <w:r w:rsidRPr="008B6A75">
              <w:rPr>
                <w:bCs/>
                <w:sz w:val="20"/>
                <w:szCs w:val="20"/>
              </w:rPr>
              <w:t>4 210 526,32</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0EC5C306" w14:textId="77777777" w:rsidR="00387142" w:rsidRPr="008B6A75" w:rsidRDefault="00387142" w:rsidP="00387142">
            <w:pPr>
              <w:jc w:val="right"/>
              <w:rPr>
                <w:bCs/>
                <w:sz w:val="20"/>
                <w:szCs w:val="20"/>
              </w:rPr>
            </w:pPr>
            <w:r w:rsidRPr="008B6A75">
              <w:rPr>
                <w:bCs/>
                <w:sz w:val="20"/>
                <w:szCs w:val="20"/>
              </w:rPr>
              <w:t>0,00</w:t>
            </w:r>
          </w:p>
        </w:tc>
      </w:tr>
      <w:tr w:rsidR="00387142" w:rsidRPr="008B6A75" w14:paraId="4E16F07F" w14:textId="77777777" w:rsidTr="00387142">
        <w:trPr>
          <w:trHeight w:val="345"/>
        </w:trPr>
        <w:tc>
          <w:tcPr>
            <w:tcW w:w="3261" w:type="dxa"/>
            <w:tcBorders>
              <w:top w:val="nil"/>
              <w:left w:val="single" w:sz="4" w:space="0" w:color="auto"/>
              <w:bottom w:val="single" w:sz="4" w:space="0" w:color="auto"/>
              <w:right w:val="nil"/>
            </w:tcBorders>
            <w:shd w:val="clear" w:color="auto" w:fill="auto"/>
            <w:vAlign w:val="center"/>
            <w:hideMark/>
          </w:tcPr>
          <w:p w14:paraId="097A20AF" w14:textId="77777777" w:rsidR="00387142" w:rsidRPr="008B6A75" w:rsidRDefault="00387142" w:rsidP="00387142">
            <w:pPr>
              <w:rPr>
                <w:bCs/>
                <w:sz w:val="20"/>
                <w:szCs w:val="20"/>
              </w:rPr>
            </w:pPr>
            <w:r w:rsidRPr="008B6A75">
              <w:rPr>
                <w:bCs/>
                <w:sz w:val="20"/>
                <w:szCs w:val="20"/>
              </w:rPr>
              <w:t>Непрограммные направления бюджета</w:t>
            </w:r>
          </w:p>
        </w:tc>
        <w:tc>
          <w:tcPr>
            <w:tcW w:w="720" w:type="dxa"/>
            <w:tcBorders>
              <w:top w:val="nil"/>
              <w:left w:val="single" w:sz="4" w:space="0" w:color="auto"/>
              <w:bottom w:val="single" w:sz="4" w:space="0" w:color="auto"/>
              <w:right w:val="nil"/>
            </w:tcBorders>
            <w:shd w:val="clear" w:color="auto" w:fill="auto"/>
            <w:noWrap/>
            <w:vAlign w:val="center"/>
            <w:hideMark/>
          </w:tcPr>
          <w:p w14:paraId="2D4489FB" w14:textId="77777777" w:rsidR="00387142" w:rsidRPr="008B6A75" w:rsidRDefault="00387142" w:rsidP="00387142">
            <w:pPr>
              <w:jc w:val="center"/>
              <w:rPr>
                <w:bCs/>
                <w:sz w:val="20"/>
                <w:szCs w:val="20"/>
              </w:rPr>
            </w:pPr>
            <w:r w:rsidRPr="008B6A75">
              <w:rPr>
                <w:bCs/>
                <w:sz w:val="20"/>
                <w:szCs w:val="20"/>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96E22B3" w14:textId="77777777" w:rsidR="00387142" w:rsidRPr="008B6A75" w:rsidRDefault="00387142" w:rsidP="00387142">
            <w:pPr>
              <w:jc w:val="center"/>
              <w:rPr>
                <w:bCs/>
                <w:sz w:val="20"/>
                <w:szCs w:val="20"/>
              </w:rPr>
            </w:pPr>
            <w:r w:rsidRPr="008B6A75">
              <w:rPr>
                <w:bCs/>
                <w:sz w:val="20"/>
                <w:szCs w:val="20"/>
              </w:rPr>
              <w:t>10</w:t>
            </w:r>
          </w:p>
        </w:tc>
        <w:tc>
          <w:tcPr>
            <w:tcW w:w="1516" w:type="dxa"/>
            <w:tcBorders>
              <w:top w:val="nil"/>
              <w:left w:val="single" w:sz="4" w:space="0" w:color="auto"/>
              <w:bottom w:val="single" w:sz="4" w:space="0" w:color="auto"/>
              <w:right w:val="nil"/>
            </w:tcBorders>
            <w:shd w:val="clear" w:color="auto" w:fill="auto"/>
            <w:noWrap/>
            <w:vAlign w:val="center"/>
            <w:hideMark/>
          </w:tcPr>
          <w:p w14:paraId="5135EF90" w14:textId="77777777" w:rsidR="00387142" w:rsidRPr="008B6A75" w:rsidRDefault="00387142" w:rsidP="00387142">
            <w:pPr>
              <w:jc w:val="center"/>
              <w:rPr>
                <w:bCs/>
                <w:sz w:val="20"/>
                <w:szCs w:val="20"/>
              </w:rPr>
            </w:pPr>
            <w:r w:rsidRPr="008B6A75">
              <w:rPr>
                <w:bCs/>
                <w:sz w:val="20"/>
                <w:szCs w:val="20"/>
              </w:rPr>
              <w:t>99.0.00.00000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D344C8B"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A69332E" w14:textId="77777777" w:rsidR="00387142" w:rsidRPr="008B6A75" w:rsidRDefault="00387142" w:rsidP="00387142">
            <w:pPr>
              <w:jc w:val="right"/>
              <w:rPr>
                <w:bCs/>
                <w:sz w:val="20"/>
                <w:szCs w:val="20"/>
              </w:rPr>
            </w:pPr>
            <w:r w:rsidRPr="008B6A75">
              <w:rPr>
                <w:bCs/>
                <w:sz w:val="20"/>
                <w:szCs w:val="20"/>
              </w:rPr>
              <w:t>0,00</w:t>
            </w:r>
          </w:p>
        </w:tc>
        <w:tc>
          <w:tcPr>
            <w:tcW w:w="992" w:type="dxa"/>
            <w:tcBorders>
              <w:top w:val="nil"/>
              <w:left w:val="single" w:sz="4" w:space="0" w:color="auto"/>
              <w:bottom w:val="single" w:sz="4" w:space="0" w:color="auto"/>
              <w:right w:val="nil"/>
            </w:tcBorders>
            <w:shd w:val="clear" w:color="auto" w:fill="auto"/>
            <w:vAlign w:val="center"/>
            <w:hideMark/>
          </w:tcPr>
          <w:p w14:paraId="30DD5EE1" w14:textId="77777777" w:rsidR="00387142" w:rsidRPr="008B6A75" w:rsidRDefault="00387142" w:rsidP="00387142">
            <w:pPr>
              <w:jc w:val="right"/>
              <w:rPr>
                <w:bCs/>
                <w:sz w:val="20"/>
                <w:szCs w:val="20"/>
              </w:rPr>
            </w:pPr>
            <w:r w:rsidRPr="008B6A75">
              <w:rPr>
                <w:bCs/>
                <w:sz w:val="20"/>
                <w:szCs w:val="20"/>
              </w:rPr>
              <w:t>4 210 526,32</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378D9842" w14:textId="77777777" w:rsidR="00387142" w:rsidRPr="008B6A75" w:rsidRDefault="00387142" w:rsidP="00387142">
            <w:pPr>
              <w:jc w:val="right"/>
              <w:rPr>
                <w:bCs/>
                <w:sz w:val="20"/>
                <w:szCs w:val="20"/>
              </w:rPr>
            </w:pPr>
            <w:r w:rsidRPr="008B6A75">
              <w:rPr>
                <w:bCs/>
                <w:sz w:val="20"/>
                <w:szCs w:val="20"/>
              </w:rPr>
              <w:t>0,00</w:t>
            </w:r>
          </w:p>
        </w:tc>
      </w:tr>
      <w:tr w:rsidR="00387142" w:rsidRPr="008B6A75" w14:paraId="7BE508D9" w14:textId="77777777" w:rsidTr="00387142">
        <w:trPr>
          <w:trHeight w:val="585"/>
        </w:trPr>
        <w:tc>
          <w:tcPr>
            <w:tcW w:w="3261" w:type="dxa"/>
            <w:tcBorders>
              <w:top w:val="nil"/>
              <w:left w:val="single" w:sz="4" w:space="0" w:color="auto"/>
              <w:bottom w:val="single" w:sz="4" w:space="0" w:color="auto"/>
              <w:right w:val="nil"/>
            </w:tcBorders>
            <w:shd w:val="clear" w:color="auto" w:fill="auto"/>
            <w:vAlign w:val="center"/>
            <w:hideMark/>
          </w:tcPr>
          <w:p w14:paraId="61150DC7" w14:textId="77777777" w:rsidR="00387142" w:rsidRPr="008B6A75" w:rsidRDefault="00387142" w:rsidP="00387142">
            <w:pPr>
              <w:rPr>
                <w:bCs/>
                <w:sz w:val="20"/>
                <w:szCs w:val="20"/>
              </w:rPr>
            </w:pPr>
            <w:r w:rsidRPr="008B6A75">
              <w:rPr>
                <w:bCs/>
                <w:sz w:val="20"/>
                <w:szCs w:val="20"/>
              </w:rPr>
              <w:t>Региональный проект "Информационная инфраструктура"</w:t>
            </w:r>
          </w:p>
        </w:tc>
        <w:tc>
          <w:tcPr>
            <w:tcW w:w="720" w:type="dxa"/>
            <w:tcBorders>
              <w:top w:val="nil"/>
              <w:left w:val="single" w:sz="4" w:space="0" w:color="auto"/>
              <w:bottom w:val="single" w:sz="4" w:space="0" w:color="auto"/>
              <w:right w:val="nil"/>
            </w:tcBorders>
            <w:shd w:val="clear" w:color="auto" w:fill="auto"/>
            <w:noWrap/>
            <w:vAlign w:val="center"/>
            <w:hideMark/>
          </w:tcPr>
          <w:p w14:paraId="7FBE7CBB" w14:textId="77777777" w:rsidR="00387142" w:rsidRPr="008B6A75" w:rsidRDefault="00387142" w:rsidP="00387142">
            <w:pPr>
              <w:jc w:val="center"/>
              <w:rPr>
                <w:bCs/>
                <w:sz w:val="20"/>
                <w:szCs w:val="20"/>
              </w:rPr>
            </w:pPr>
            <w:r w:rsidRPr="008B6A75">
              <w:rPr>
                <w:bCs/>
                <w:sz w:val="20"/>
                <w:szCs w:val="20"/>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9C41249" w14:textId="77777777" w:rsidR="00387142" w:rsidRPr="008B6A75" w:rsidRDefault="00387142" w:rsidP="00387142">
            <w:pPr>
              <w:jc w:val="center"/>
              <w:rPr>
                <w:bCs/>
                <w:sz w:val="20"/>
                <w:szCs w:val="20"/>
              </w:rPr>
            </w:pPr>
            <w:r w:rsidRPr="008B6A75">
              <w:rPr>
                <w:bCs/>
                <w:sz w:val="20"/>
                <w:szCs w:val="20"/>
              </w:rPr>
              <w:t>10</w:t>
            </w:r>
          </w:p>
        </w:tc>
        <w:tc>
          <w:tcPr>
            <w:tcW w:w="1516" w:type="dxa"/>
            <w:tcBorders>
              <w:top w:val="nil"/>
              <w:left w:val="single" w:sz="4" w:space="0" w:color="auto"/>
              <w:bottom w:val="single" w:sz="4" w:space="0" w:color="auto"/>
              <w:right w:val="nil"/>
            </w:tcBorders>
            <w:shd w:val="clear" w:color="auto" w:fill="auto"/>
            <w:noWrap/>
            <w:vAlign w:val="center"/>
            <w:hideMark/>
          </w:tcPr>
          <w:p w14:paraId="01FE5A35" w14:textId="77777777" w:rsidR="00387142" w:rsidRPr="008B6A75" w:rsidRDefault="00387142" w:rsidP="00387142">
            <w:pPr>
              <w:jc w:val="center"/>
              <w:rPr>
                <w:bCs/>
                <w:sz w:val="20"/>
                <w:szCs w:val="20"/>
              </w:rPr>
            </w:pPr>
            <w:r w:rsidRPr="008B6A75">
              <w:rPr>
                <w:bCs/>
                <w:sz w:val="20"/>
                <w:szCs w:val="20"/>
              </w:rPr>
              <w:t>99.0.D2.00000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5D75502"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0E4F896" w14:textId="77777777" w:rsidR="00387142" w:rsidRPr="008B6A75" w:rsidRDefault="00387142" w:rsidP="00387142">
            <w:pPr>
              <w:jc w:val="right"/>
              <w:rPr>
                <w:bCs/>
                <w:sz w:val="20"/>
                <w:szCs w:val="20"/>
              </w:rPr>
            </w:pPr>
            <w:r w:rsidRPr="008B6A75">
              <w:rPr>
                <w:bCs/>
                <w:sz w:val="20"/>
                <w:szCs w:val="20"/>
              </w:rPr>
              <w:t>0,00</w:t>
            </w:r>
          </w:p>
        </w:tc>
        <w:tc>
          <w:tcPr>
            <w:tcW w:w="992" w:type="dxa"/>
            <w:tcBorders>
              <w:top w:val="nil"/>
              <w:left w:val="single" w:sz="4" w:space="0" w:color="auto"/>
              <w:bottom w:val="single" w:sz="4" w:space="0" w:color="auto"/>
              <w:right w:val="nil"/>
            </w:tcBorders>
            <w:shd w:val="clear" w:color="auto" w:fill="auto"/>
            <w:vAlign w:val="center"/>
            <w:hideMark/>
          </w:tcPr>
          <w:p w14:paraId="6B214837" w14:textId="77777777" w:rsidR="00387142" w:rsidRPr="008B6A75" w:rsidRDefault="00387142" w:rsidP="00387142">
            <w:pPr>
              <w:jc w:val="right"/>
              <w:rPr>
                <w:bCs/>
                <w:sz w:val="20"/>
                <w:szCs w:val="20"/>
              </w:rPr>
            </w:pPr>
            <w:r w:rsidRPr="008B6A75">
              <w:rPr>
                <w:bCs/>
                <w:sz w:val="20"/>
                <w:szCs w:val="20"/>
              </w:rPr>
              <w:t>4 210 526,32</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76DC48E2" w14:textId="77777777" w:rsidR="00387142" w:rsidRPr="008B6A75" w:rsidRDefault="00387142" w:rsidP="00387142">
            <w:pPr>
              <w:jc w:val="right"/>
              <w:rPr>
                <w:bCs/>
                <w:sz w:val="20"/>
                <w:szCs w:val="20"/>
              </w:rPr>
            </w:pPr>
            <w:r w:rsidRPr="008B6A75">
              <w:rPr>
                <w:bCs/>
                <w:sz w:val="20"/>
                <w:szCs w:val="20"/>
              </w:rPr>
              <w:t>0,00</w:t>
            </w:r>
          </w:p>
        </w:tc>
      </w:tr>
      <w:tr w:rsidR="00387142" w:rsidRPr="008B6A75" w14:paraId="220A5DD1" w14:textId="77777777" w:rsidTr="00387142">
        <w:trPr>
          <w:trHeight w:val="1725"/>
        </w:trPr>
        <w:tc>
          <w:tcPr>
            <w:tcW w:w="3261" w:type="dxa"/>
            <w:tcBorders>
              <w:top w:val="nil"/>
              <w:left w:val="single" w:sz="4" w:space="0" w:color="auto"/>
              <w:bottom w:val="single" w:sz="4" w:space="0" w:color="auto"/>
              <w:right w:val="nil"/>
            </w:tcBorders>
            <w:shd w:val="clear" w:color="auto" w:fill="auto"/>
            <w:vAlign w:val="center"/>
            <w:hideMark/>
          </w:tcPr>
          <w:p w14:paraId="1C916BB0" w14:textId="77777777" w:rsidR="00387142" w:rsidRPr="008B6A75" w:rsidRDefault="00387142" w:rsidP="00387142">
            <w:pPr>
              <w:rPr>
                <w:bCs/>
                <w:sz w:val="20"/>
                <w:szCs w:val="20"/>
              </w:rPr>
            </w:pPr>
            <w:r w:rsidRPr="008B6A75">
              <w:rPr>
                <w:bCs/>
                <w:sz w:val="20"/>
                <w:szCs w:val="20"/>
              </w:rPr>
              <w:t>Реализация мероприятий по модернизации и развитию инфраструктуры связи на территории Новосибирской области государственной программы Новосибирской области "Цифровая трансформация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14:paraId="11DD0659" w14:textId="77777777" w:rsidR="00387142" w:rsidRPr="008B6A75" w:rsidRDefault="00387142" w:rsidP="00387142">
            <w:pPr>
              <w:jc w:val="center"/>
              <w:rPr>
                <w:bCs/>
                <w:sz w:val="20"/>
                <w:szCs w:val="20"/>
              </w:rPr>
            </w:pPr>
            <w:r w:rsidRPr="008B6A75">
              <w:rPr>
                <w:bCs/>
                <w:sz w:val="20"/>
                <w:szCs w:val="20"/>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7493BC7" w14:textId="77777777" w:rsidR="00387142" w:rsidRPr="008B6A75" w:rsidRDefault="00387142" w:rsidP="00387142">
            <w:pPr>
              <w:jc w:val="center"/>
              <w:rPr>
                <w:bCs/>
                <w:sz w:val="20"/>
                <w:szCs w:val="20"/>
              </w:rPr>
            </w:pPr>
            <w:r w:rsidRPr="008B6A75">
              <w:rPr>
                <w:bCs/>
                <w:sz w:val="20"/>
                <w:szCs w:val="20"/>
              </w:rPr>
              <w:t>10</w:t>
            </w:r>
          </w:p>
        </w:tc>
        <w:tc>
          <w:tcPr>
            <w:tcW w:w="1516" w:type="dxa"/>
            <w:tcBorders>
              <w:top w:val="nil"/>
              <w:left w:val="single" w:sz="4" w:space="0" w:color="auto"/>
              <w:bottom w:val="single" w:sz="4" w:space="0" w:color="auto"/>
              <w:right w:val="nil"/>
            </w:tcBorders>
            <w:shd w:val="clear" w:color="auto" w:fill="auto"/>
            <w:noWrap/>
            <w:vAlign w:val="center"/>
            <w:hideMark/>
          </w:tcPr>
          <w:p w14:paraId="7F872B03" w14:textId="77777777" w:rsidR="00387142" w:rsidRPr="008B6A75" w:rsidRDefault="00387142" w:rsidP="00387142">
            <w:pPr>
              <w:jc w:val="center"/>
              <w:rPr>
                <w:bCs/>
                <w:sz w:val="20"/>
                <w:szCs w:val="20"/>
              </w:rPr>
            </w:pPr>
            <w:r w:rsidRPr="008B6A75">
              <w:rPr>
                <w:bCs/>
                <w:sz w:val="20"/>
                <w:szCs w:val="20"/>
              </w:rPr>
              <w:t>99.0.D2.70570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F8A1D9A"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09EA589" w14:textId="77777777" w:rsidR="00387142" w:rsidRPr="008B6A75" w:rsidRDefault="00387142" w:rsidP="00387142">
            <w:pPr>
              <w:jc w:val="right"/>
              <w:rPr>
                <w:bCs/>
                <w:sz w:val="20"/>
                <w:szCs w:val="20"/>
              </w:rPr>
            </w:pPr>
            <w:r w:rsidRPr="008B6A75">
              <w:rPr>
                <w:bCs/>
                <w:sz w:val="20"/>
                <w:szCs w:val="20"/>
              </w:rPr>
              <w:t>0,00</w:t>
            </w:r>
          </w:p>
        </w:tc>
        <w:tc>
          <w:tcPr>
            <w:tcW w:w="992" w:type="dxa"/>
            <w:tcBorders>
              <w:top w:val="nil"/>
              <w:left w:val="single" w:sz="4" w:space="0" w:color="auto"/>
              <w:bottom w:val="single" w:sz="4" w:space="0" w:color="auto"/>
              <w:right w:val="nil"/>
            </w:tcBorders>
            <w:shd w:val="clear" w:color="auto" w:fill="auto"/>
            <w:vAlign w:val="center"/>
            <w:hideMark/>
          </w:tcPr>
          <w:p w14:paraId="11417E12" w14:textId="77777777" w:rsidR="00387142" w:rsidRPr="008B6A75" w:rsidRDefault="00387142" w:rsidP="00387142">
            <w:pPr>
              <w:jc w:val="right"/>
              <w:rPr>
                <w:bCs/>
                <w:sz w:val="20"/>
                <w:szCs w:val="20"/>
              </w:rPr>
            </w:pPr>
            <w:r w:rsidRPr="008B6A75">
              <w:rPr>
                <w:bCs/>
                <w:sz w:val="20"/>
                <w:szCs w:val="20"/>
              </w:rPr>
              <w:t>4 210 526,32</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188E316A" w14:textId="77777777" w:rsidR="00387142" w:rsidRPr="008B6A75" w:rsidRDefault="00387142" w:rsidP="00387142">
            <w:pPr>
              <w:jc w:val="right"/>
              <w:rPr>
                <w:bCs/>
                <w:sz w:val="20"/>
                <w:szCs w:val="20"/>
              </w:rPr>
            </w:pPr>
            <w:r w:rsidRPr="008B6A75">
              <w:rPr>
                <w:bCs/>
                <w:sz w:val="20"/>
                <w:szCs w:val="20"/>
              </w:rPr>
              <w:t>0,00</w:t>
            </w:r>
          </w:p>
        </w:tc>
      </w:tr>
      <w:tr w:rsidR="00387142" w:rsidRPr="008B6A75" w14:paraId="3A2E6946" w14:textId="77777777" w:rsidTr="00387142">
        <w:trPr>
          <w:trHeight w:val="585"/>
        </w:trPr>
        <w:tc>
          <w:tcPr>
            <w:tcW w:w="3261" w:type="dxa"/>
            <w:tcBorders>
              <w:top w:val="nil"/>
              <w:left w:val="single" w:sz="4" w:space="0" w:color="auto"/>
              <w:bottom w:val="single" w:sz="4" w:space="0" w:color="auto"/>
              <w:right w:val="nil"/>
            </w:tcBorders>
            <w:shd w:val="clear" w:color="auto" w:fill="auto"/>
            <w:vAlign w:val="center"/>
            <w:hideMark/>
          </w:tcPr>
          <w:p w14:paraId="02BDD825" w14:textId="77777777" w:rsidR="00387142" w:rsidRPr="008B6A75" w:rsidRDefault="00387142" w:rsidP="00387142">
            <w:pPr>
              <w:rPr>
                <w:sz w:val="20"/>
                <w:szCs w:val="20"/>
              </w:rPr>
            </w:pPr>
            <w:r w:rsidRPr="008B6A75">
              <w:rPr>
                <w:sz w:val="20"/>
                <w:szCs w:val="20"/>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4819C647" w14:textId="77777777" w:rsidR="00387142" w:rsidRPr="008B6A75" w:rsidRDefault="00387142" w:rsidP="00387142">
            <w:pPr>
              <w:jc w:val="center"/>
              <w:rPr>
                <w:sz w:val="20"/>
                <w:szCs w:val="20"/>
              </w:rPr>
            </w:pPr>
            <w:r w:rsidRPr="008B6A75">
              <w:rPr>
                <w:sz w:val="20"/>
                <w:szCs w:val="20"/>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FD86C89" w14:textId="77777777" w:rsidR="00387142" w:rsidRPr="008B6A75" w:rsidRDefault="00387142" w:rsidP="00387142">
            <w:pPr>
              <w:jc w:val="center"/>
              <w:rPr>
                <w:sz w:val="20"/>
                <w:szCs w:val="20"/>
              </w:rPr>
            </w:pPr>
            <w:r w:rsidRPr="008B6A75">
              <w:rPr>
                <w:sz w:val="20"/>
                <w:szCs w:val="20"/>
              </w:rPr>
              <w:t>10</w:t>
            </w:r>
          </w:p>
        </w:tc>
        <w:tc>
          <w:tcPr>
            <w:tcW w:w="1516" w:type="dxa"/>
            <w:tcBorders>
              <w:top w:val="nil"/>
              <w:left w:val="single" w:sz="4" w:space="0" w:color="auto"/>
              <w:bottom w:val="single" w:sz="4" w:space="0" w:color="auto"/>
              <w:right w:val="nil"/>
            </w:tcBorders>
            <w:shd w:val="clear" w:color="auto" w:fill="auto"/>
            <w:noWrap/>
            <w:vAlign w:val="center"/>
            <w:hideMark/>
          </w:tcPr>
          <w:p w14:paraId="4CC88CF9" w14:textId="77777777" w:rsidR="00387142" w:rsidRPr="008B6A75" w:rsidRDefault="00387142" w:rsidP="00387142">
            <w:pPr>
              <w:jc w:val="center"/>
              <w:rPr>
                <w:sz w:val="20"/>
                <w:szCs w:val="20"/>
              </w:rPr>
            </w:pPr>
            <w:r w:rsidRPr="008B6A75">
              <w:rPr>
                <w:sz w:val="20"/>
                <w:szCs w:val="20"/>
              </w:rPr>
              <w:t>99.0.D2.70570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4D5180E" w14:textId="77777777" w:rsidR="00387142" w:rsidRPr="008B6A75" w:rsidRDefault="00387142" w:rsidP="00387142">
            <w:pPr>
              <w:jc w:val="center"/>
              <w:rPr>
                <w:sz w:val="20"/>
                <w:szCs w:val="20"/>
              </w:rPr>
            </w:pPr>
            <w:r w:rsidRPr="008B6A75">
              <w:rPr>
                <w:sz w:val="20"/>
                <w:szCs w:val="20"/>
              </w:rPr>
              <w:t>200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E08A4A2" w14:textId="77777777" w:rsidR="00387142" w:rsidRPr="008B6A75" w:rsidRDefault="00387142" w:rsidP="00387142">
            <w:pPr>
              <w:jc w:val="right"/>
              <w:rPr>
                <w:sz w:val="20"/>
                <w:szCs w:val="20"/>
              </w:rPr>
            </w:pPr>
            <w:r w:rsidRPr="008B6A75">
              <w:rPr>
                <w:sz w:val="20"/>
                <w:szCs w:val="20"/>
              </w:rPr>
              <w:t>0,00</w:t>
            </w:r>
          </w:p>
        </w:tc>
        <w:tc>
          <w:tcPr>
            <w:tcW w:w="992" w:type="dxa"/>
            <w:tcBorders>
              <w:top w:val="nil"/>
              <w:left w:val="single" w:sz="4" w:space="0" w:color="auto"/>
              <w:bottom w:val="single" w:sz="4" w:space="0" w:color="auto"/>
              <w:right w:val="nil"/>
            </w:tcBorders>
            <w:shd w:val="clear" w:color="auto" w:fill="auto"/>
            <w:vAlign w:val="center"/>
            <w:hideMark/>
          </w:tcPr>
          <w:p w14:paraId="6CA0A2A1" w14:textId="77777777" w:rsidR="00387142" w:rsidRPr="008B6A75" w:rsidRDefault="00387142" w:rsidP="00387142">
            <w:pPr>
              <w:jc w:val="right"/>
              <w:rPr>
                <w:sz w:val="20"/>
                <w:szCs w:val="20"/>
              </w:rPr>
            </w:pPr>
            <w:r w:rsidRPr="008B6A75">
              <w:rPr>
                <w:sz w:val="20"/>
                <w:szCs w:val="20"/>
              </w:rPr>
              <w:t>4 210 526,32</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698BFB23" w14:textId="77777777" w:rsidR="00387142" w:rsidRPr="008B6A75" w:rsidRDefault="00387142" w:rsidP="00387142">
            <w:pPr>
              <w:jc w:val="right"/>
              <w:rPr>
                <w:sz w:val="20"/>
                <w:szCs w:val="20"/>
              </w:rPr>
            </w:pPr>
            <w:r w:rsidRPr="008B6A75">
              <w:rPr>
                <w:sz w:val="20"/>
                <w:szCs w:val="20"/>
              </w:rPr>
              <w:t>0,00</w:t>
            </w:r>
          </w:p>
        </w:tc>
      </w:tr>
      <w:tr w:rsidR="00387142" w:rsidRPr="008B6A75" w14:paraId="752B02F2" w14:textId="77777777" w:rsidTr="00387142">
        <w:trPr>
          <w:trHeight w:val="870"/>
        </w:trPr>
        <w:tc>
          <w:tcPr>
            <w:tcW w:w="3261" w:type="dxa"/>
            <w:tcBorders>
              <w:top w:val="nil"/>
              <w:left w:val="single" w:sz="4" w:space="0" w:color="auto"/>
              <w:bottom w:val="single" w:sz="4" w:space="0" w:color="auto"/>
              <w:right w:val="nil"/>
            </w:tcBorders>
            <w:shd w:val="clear" w:color="auto" w:fill="auto"/>
            <w:vAlign w:val="center"/>
            <w:hideMark/>
          </w:tcPr>
          <w:p w14:paraId="21896A10" w14:textId="77777777" w:rsidR="00387142" w:rsidRPr="008B6A75" w:rsidRDefault="00387142" w:rsidP="00387142">
            <w:pPr>
              <w:rPr>
                <w:sz w:val="20"/>
                <w:szCs w:val="20"/>
              </w:rPr>
            </w:pPr>
            <w:r w:rsidRPr="008B6A75">
              <w:rPr>
                <w:sz w:val="20"/>
                <w:szCs w:val="20"/>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2FB6B42A" w14:textId="77777777" w:rsidR="00387142" w:rsidRPr="008B6A75" w:rsidRDefault="00387142" w:rsidP="00387142">
            <w:pPr>
              <w:jc w:val="center"/>
              <w:rPr>
                <w:sz w:val="20"/>
                <w:szCs w:val="20"/>
              </w:rPr>
            </w:pPr>
            <w:r w:rsidRPr="008B6A75">
              <w:rPr>
                <w:sz w:val="20"/>
                <w:szCs w:val="20"/>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F2A8C9F" w14:textId="77777777" w:rsidR="00387142" w:rsidRPr="008B6A75" w:rsidRDefault="00387142" w:rsidP="00387142">
            <w:pPr>
              <w:jc w:val="center"/>
              <w:rPr>
                <w:sz w:val="20"/>
                <w:szCs w:val="20"/>
              </w:rPr>
            </w:pPr>
            <w:r w:rsidRPr="008B6A75">
              <w:rPr>
                <w:sz w:val="20"/>
                <w:szCs w:val="20"/>
              </w:rPr>
              <w:t>10</w:t>
            </w:r>
          </w:p>
        </w:tc>
        <w:tc>
          <w:tcPr>
            <w:tcW w:w="1516" w:type="dxa"/>
            <w:tcBorders>
              <w:top w:val="nil"/>
              <w:left w:val="single" w:sz="4" w:space="0" w:color="auto"/>
              <w:bottom w:val="single" w:sz="4" w:space="0" w:color="auto"/>
              <w:right w:val="nil"/>
            </w:tcBorders>
            <w:shd w:val="clear" w:color="auto" w:fill="auto"/>
            <w:noWrap/>
            <w:vAlign w:val="center"/>
            <w:hideMark/>
          </w:tcPr>
          <w:p w14:paraId="6E616FAC" w14:textId="77777777" w:rsidR="00387142" w:rsidRPr="008B6A75" w:rsidRDefault="00387142" w:rsidP="00387142">
            <w:pPr>
              <w:jc w:val="center"/>
              <w:rPr>
                <w:sz w:val="20"/>
                <w:szCs w:val="20"/>
              </w:rPr>
            </w:pPr>
            <w:r w:rsidRPr="008B6A75">
              <w:rPr>
                <w:sz w:val="20"/>
                <w:szCs w:val="20"/>
              </w:rPr>
              <w:t>99.0.D2.70570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B06175E" w14:textId="77777777" w:rsidR="00387142" w:rsidRPr="008B6A75" w:rsidRDefault="00387142" w:rsidP="00387142">
            <w:pPr>
              <w:jc w:val="center"/>
              <w:rPr>
                <w:sz w:val="20"/>
                <w:szCs w:val="20"/>
              </w:rPr>
            </w:pPr>
            <w:r w:rsidRPr="008B6A75">
              <w:rPr>
                <w:sz w:val="20"/>
                <w:szCs w:val="20"/>
              </w:rPr>
              <w:t>240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3BB2A9F" w14:textId="77777777" w:rsidR="00387142" w:rsidRPr="008B6A75" w:rsidRDefault="00387142" w:rsidP="00387142">
            <w:pPr>
              <w:jc w:val="right"/>
              <w:rPr>
                <w:sz w:val="20"/>
                <w:szCs w:val="20"/>
              </w:rPr>
            </w:pPr>
            <w:r w:rsidRPr="008B6A75">
              <w:rPr>
                <w:sz w:val="20"/>
                <w:szCs w:val="20"/>
              </w:rPr>
              <w:t>0,00</w:t>
            </w:r>
          </w:p>
        </w:tc>
        <w:tc>
          <w:tcPr>
            <w:tcW w:w="992" w:type="dxa"/>
            <w:tcBorders>
              <w:top w:val="nil"/>
              <w:left w:val="single" w:sz="4" w:space="0" w:color="auto"/>
              <w:bottom w:val="single" w:sz="4" w:space="0" w:color="auto"/>
              <w:right w:val="nil"/>
            </w:tcBorders>
            <w:shd w:val="clear" w:color="auto" w:fill="auto"/>
            <w:vAlign w:val="center"/>
            <w:hideMark/>
          </w:tcPr>
          <w:p w14:paraId="5E5ED573" w14:textId="77777777" w:rsidR="00387142" w:rsidRPr="008B6A75" w:rsidRDefault="00387142" w:rsidP="00387142">
            <w:pPr>
              <w:jc w:val="right"/>
              <w:rPr>
                <w:sz w:val="20"/>
                <w:szCs w:val="20"/>
              </w:rPr>
            </w:pPr>
            <w:r w:rsidRPr="008B6A75">
              <w:rPr>
                <w:sz w:val="20"/>
                <w:szCs w:val="20"/>
              </w:rPr>
              <w:t>4 210 526,32</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772F85C0" w14:textId="77777777" w:rsidR="00387142" w:rsidRPr="008B6A75" w:rsidRDefault="00387142" w:rsidP="00387142">
            <w:pPr>
              <w:jc w:val="right"/>
              <w:rPr>
                <w:sz w:val="20"/>
                <w:szCs w:val="20"/>
              </w:rPr>
            </w:pPr>
            <w:r w:rsidRPr="008B6A75">
              <w:rPr>
                <w:sz w:val="20"/>
                <w:szCs w:val="20"/>
              </w:rPr>
              <w:t>0,00</w:t>
            </w:r>
          </w:p>
        </w:tc>
      </w:tr>
      <w:tr w:rsidR="00387142" w:rsidRPr="008B6A75" w14:paraId="6616D3CE" w14:textId="77777777" w:rsidTr="00387142">
        <w:trPr>
          <w:trHeight w:val="585"/>
        </w:trPr>
        <w:tc>
          <w:tcPr>
            <w:tcW w:w="3261" w:type="dxa"/>
            <w:tcBorders>
              <w:top w:val="nil"/>
              <w:left w:val="single" w:sz="4" w:space="0" w:color="auto"/>
              <w:bottom w:val="single" w:sz="4" w:space="0" w:color="auto"/>
              <w:right w:val="nil"/>
            </w:tcBorders>
            <w:shd w:val="clear" w:color="auto" w:fill="auto"/>
            <w:vAlign w:val="center"/>
            <w:hideMark/>
          </w:tcPr>
          <w:p w14:paraId="0E1CE2D9" w14:textId="77777777" w:rsidR="00387142" w:rsidRPr="008B6A75" w:rsidRDefault="00387142" w:rsidP="00387142">
            <w:pPr>
              <w:rPr>
                <w:bCs/>
                <w:sz w:val="20"/>
                <w:szCs w:val="20"/>
              </w:rPr>
            </w:pPr>
            <w:r w:rsidRPr="008B6A75">
              <w:rPr>
                <w:bCs/>
                <w:sz w:val="20"/>
                <w:szCs w:val="20"/>
              </w:rPr>
              <w:t>Другие вопросы в области национальной экономики</w:t>
            </w:r>
          </w:p>
        </w:tc>
        <w:tc>
          <w:tcPr>
            <w:tcW w:w="720" w:type="dxa"/>
            <w:tcBorders>
              <w:top w:val="nil"/>
              <w:left w:val="single" w:sz="4" w:space="0" w:color="auto"/>
              <w:bottom w:val="single" w:sz="4" w:space="0" w:color="auto"/>
              <w:right w:val="nil"/>
            </w:tcBorders>
            <w:shd w:val="clear" w:color="auto" w:fill="auto"/>
            <w:noWrap/>
            <w:vAlign w:val="center"/>
            <w:hideMark/>
          </w:tcPr>
          <w:p w14:paraId="053745B9" w14:textId="77777777" w:rsidR="00387142" w:rsidRPr="008B6A75" w:rsidRDefault="00387142" w:rsidP="00387142">
            <w:pPr>
              <w:jc w:val="center"/>
              <w:rPr>
                <w:bCs/>
                <w:sz w:val="20"/>
                <w:szCs w:val="20"/>
              </w:rPr>
            </w:pPr>
            <w:r w:rsidRPr="008B6A75">
              <w:rPr>
                <w:bCs/>
                <w:sz w:val="20"/>
                <w:szCs w:val="20"/>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47A8819" w14:textId="77777777" w:rsidR="00387142" w:rsidRPr="008B6A75" w:rsidRDefault="00387142" w:rsidP="00387142">
            <w:pPr>
              <w:jc w:val="center"/>
              <w:rPr>
                <w:bCs/>
                <w:sz w:val="20"/>
                <w:szCs w:val="20"/>
              </w:rPr>
            </w:pPr>
            <w:r w:rsidRPr="008B6A75">
              <w:rPr>
                <w:bCs/>
                <w:sz w:val="20"/>
                <w:szCs w:val="20"/>
              </w:rPr>
              <w:t>12</w:t>
            </w:r>
          </w:p>
        </w:tc>
        <w:tc>
          <w:tcPr>
            <w:tcW w:w="1516" w:type="dxa"/>
            <w:tcBorders>
              <w:top w:val="nil"/>
              <w:left w:val="single" w:sz="4" w:space="0" w:color="auto"/>
              <w:bottom w:val="single" w:sz="4" w:space="0" w:color="auto"/>
              <w:right w:val="nil"/>
            </w:tcBorders>
            <w:shd w:val="clear" w:color="auto" w:fill="auto"/>
            <w:noWrap/>
            <w:vAlign w:val="center"/>
            <w:hideMark/>
          </w:tcPr>
          <w:p w14:paraId="5BC40245" w14:textId="77777777" w:rsidR="00387142" w:rsidRPr="008B6A75" w:rsidRDefault="00387142" w:rsidP="00387142">
            <w:pPr>
              <w:jc w:val="center"/>
              <w:rPr>
                <w:bCs/>
                <w:sz w:val="20"/>
                <w:szCs w:val="20"/>
              </w:rPr>
            </w:pPr>
            <w:r w:rsidRPr="008B6A75">
              <w:rPr>
                <w:bCs/>
                <w:sz w:val="20"/>
                <w:szCs w:val="20"/>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997ED15"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46EF434" w14:textId="77777777" w:rsidR="00387142" w:rsidRPr="008B6A75" w:rsidRDefault="00387142" w:rsidP="00387142">
            <w:pPr>
              <w:jc w:val="right"/>
              <w:rPr>
                <w:bCs/>
                <w:sz w:val="20"/>
                <w:szCs w:val="20"/>
              </w:rPr>
            </w:pPr>
            <w:r w:rsidRPr="008B6A75">
              <w:rPr>
                <w:bCs/>
                <w:sz w:val="20"/>
                <w:szCs w:val="20"/>
              </w:rPr>
              <w:t>1 904 200,00</w:t>
            </w:r>
          </w:p>
        </w:tc>
        <w:tc>
          <w:tcPr>
            <w:tcW w:w="992" w:type="dxa"/>
            <w:tcBorders>
              <w:top w:val="nil"/>
              <w:left w:val="single" w:sz="4" w:space="0" w:color="auto"/>
              <w:bottom w:val="single" w:sz="4" w:space="0" w:color="auto"/>
              <w:right w:val="nil"/>
            </w:tcBorders>
            <w:shd w:val="clear" w:color="auto" w:fill="auto"/>
            <w:vAlign w:val="center"/>
            <w:hideMark/>
          </w:tcPr>
          <w:p w14:paraId="4F9B43DC" w14:textId="77777777" w:rsidR="00387142" w:rsidRPr="008B6A75" w:rsidRDefault="00387142" w:rsidP="00387142">
            <w:pPr>
              <w:jc w:val="right"/>
              <w:rPr>
                <w:bCs/>
                <w:sz w:val="20"/>
                <w:szCs w:val="20"/>
              </w:rPr>
            </w:pPr>
            <w:r w:rsidRPr="008B6A75">
              <w:rPr>
                <w:bCs/>
                <w:sz w:val="20"/>
                <w:szCs w:val="20"/>
              </w:rPr>
              <w:t>204 200,00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12872804" w14:textId="77777777" w:rsidR="00387142" w:rsidRPr="008B6A75" w:rsidRDefault="00387142" w:rsidP="00387142">
            <w:pPr>
              <w:jc w:val="right"/>
              <w:rPr>
                <w:bCs/>
                <w:sz w:val="20"/>
                <w:szCs w:val="20"/>
              </w:rPr>
            </w:pPr>
            <w:r w:rsidRPr="008B6A75">
              <w:rPr>
                <w:bCs/>
                <w:sz w:val="20"/>
                <w:szCs w:val="20"/>
              </w:rPr>
              <w:t>204 200,00</w:t>
            </w:r>
          </w:p>
        </w:tc>
      </w:tr>
      <w:tr w:rsidR="00387142" w:rsidRPr="008B6A75" w14:paraId="528AA1C1" w14:textId="77777777" w:rsidTr="00387142">
        <w:trPr>
          <w:trHeight w:val="1155"/>
        </w:trPr>
        <w:tc>
          <w:tcPr>
            <w:tcW w:w="3261" w:type="dxa"/>
            <w:tcBorders>
              <w:top w:val="nil"/>
              <w:left w:val="single" w:sz="4" w:space="0" w:color="auto"/>
              <w:bottom w:val="single" w:sz="4" w:space="0" w:color="auto"/>
              <w:right w:val="nil"/>
            </w:tcBorders>
            <w:shd w:val="clear" w:color="auto" w:fill="auto"/>
            <w:vAlign w:val="center"/>
            <w:hideMark/>
          </w:tcPr>
          <w:p w14:paraId="14C86213" w14:textId="77777777" w:rsidR="00387142" w:rsidRPr="008B6A75" w:rsidRDefault="00387142" w:rsidP="00387142">
            <w:pPr>
              <w:rPr>
                <w:bCs/>
                <w:sz w:val="20"/>
                <w:szCs w:val="20"/>
              </w:rPr>
            </w:pPr>
            <w:r w:rsidRPr="008B6A75">
              <w:rPr>
                <w:bCs/>
                <w:sz w:val="20"/>
                <w:szCs w:val="20"/>
              </w:rPr>
              <w:t>Муниципальная программа "Развитие и поддержка малого и среднего предпринимательства в Куйбышевском районе"</w:t>
            </w:r>
          </w:p>
        </w:tc>
        <w:tc>
          <w:tcPr>
            <w:tcW w:w="720" w:type="dxa"/>
            <w:tcBorders>
              <w:top w:val="nil"/>
              <w:left w:val="single" w:sz="4" w:space="0" w:color="auto"/>
              <w:bottom w:val="single" w:sz="4" w:space="0" w:color="auto"/>
              <w:right w:val="nil"/>
            </w:tcBorders>
            <w:shd w:val="clear" w:color="auto" w:fill="auto"/>
            <w:noWrap/>
            <w:vAlign w:val="center"/>
            <w:hideMark/>
          </w:tcPr>
          <w:p w14:paraId="66673D61" w14:textId="77777777" w:rsidR="00387142" w:rsidRPr="008B6A75" w:rsidRDefault="00387142" w:rsidP="00387142">
            <w:pPr>
              <w:jc w:val="center"/>
              <w:rPr>
                <w:bCs/>
                <w:sz w:val="20"/>
                <w:szCs w:val="20"/>
              </w:rPr>
            </w:pPr>
            <w:r w:rsidRPr="008B6A75">
              <w:rPr>
                <w:bCs/>
                <w:sz w:val="20"/>
                <w:szCs w:val="20"/>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1AAA136" w14:textId="77777777" w:rsidR="00387142" w:rsidRPr="008B6A75" w:rsidRDefault="00387142" w:rsidP="00387142">
            <w:pPr>
              <w:jc w:val="center"/>
              <w:rPr>
                <w:bCs/>
                <w:sz w:val="20"/>
                <w:szCs w:val="20"/>
              </w:rPr>
            </w:pPr>
            <w:r w:rsidRPr="008B6A75">
              <w:rPr>
                <w:bCs/>
                <w:sz w:val="20"/>
                <w:szCs w:val="20"/>
              </w:rPr>
              <w:t>12</w:t>
            </w:r>
          </w:p>
        </w:tc>
        <w:tc>
          <w:tcPr>
            <w:tcW w:w="1516" w:type="dxa"/>
            <w:tcBorders>
              <w:top w:val="nil"/>
              <w:left w:val="single" w:sz="4" w:space="0" w:color="auto"/>
              <w:bottom w:val="single" w:sz="4" w:space="0" w:color="auto"/>
              <w:right w:val="nil"/>
            </w:tcBorders>
            <w:shd w:val="clear" w:color="auto" w:fill="auto"/>
            <w:noWrap/>
            <w:vAlign w:val="center"/>
            <w:hideMark/>
          </w:tcPr>
          <w:p w14:paraId="29F74878" w14:textId="77777777" w:rsidR="00387142" w:rsidRPr="008B6A75" w:rsidRDefault="00387142" w:rsidP="00387142">
            <w:pPr>
              <w:jc w:val="center"/>
              <w:rPr>
                <w:bCs/>
                <w:sz w:val="20"/>
                <w:szCs w:val="20"/>
              </w:rPr>
            </w:pPr>
            <w:r w:rsidRPr="008B6A75">
              <w:rPr>
                <w:bCs/>
                <w:sz w:val="20"/>
                <w:szCs w:val="20"/>
              </w:rPr>
              <w:t>02.0.00.00000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EA3F1BF"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27DF12C" w14:textId="77777777" w:rsidR="00387142" w:rsidRPr="008B6A75" w:rsidRDefault="00387142" w:rsidP="00387142">
            <w:pPr>
              <w:jc w:val="right"/>
              <w:rPr>
                <w:bCs/>
                <w:sz w:val="20"/>
                <w:szCs w:val="20"/>
              </w:rPr>
            </w:pPr>
            <w:r w:rsidRPr="008B6A75">
              <w:rPr>
                <w:bCs/>
                <w:sz w:val="20"/>
                <w:szCs w:val="20"/>
              </w:rPr>
              <w:t>1 904 200,00</w:t>
            </w:r>
          </w:p>
        </w:tc>
        <w:tc>
          <w:tcPr>
            <w:tcW w:w="992" w:type="dxa"/>
            <w:tcBorders>
              <w:top w:val="nil"/>
              <w:left w:val="single" w:sz="4" w:space="0" w:color="auto"/>
              <w:bottom w:val="single" w:sz="4" w:space="0" w:color="auto"/>
              <w:right w:val="nil"/>
            </w:tcBorders>
            <w:shd w:val="clear" w:color="auto" w:fill="auto"/>
            <w:vAlign w:val="center"/>
            <w:hideMark/>
          </w:tcPr>
          <w:p w14:paraId="7499F514" w14:textId="77777777" w:rsidR="00387142" w:rsidRPr="008B6A75" w:rsidRDefault="00387142" w:rsidP="00387142">
            <w:pPr>
              <w:jc w:val="right"/>
              <w:rPr>
                <w:bCs/>
                <w:sz w:val="20"/>
                <w:szCs w:val="20"/>
              </w:rPr>
            </w:pPr>
            <w:r w:rsidRPr="008B6A75">
              <w:rPr>
                <w:bCs/>
                <w:sz w:val="20"/>
                <w:szCs w:val="20"/>
              </w:rPr>
              <w:t>204 200,00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515C0723" w14:textId="77777777" w:rsidR="00387142" w:rsidRPr="008B6A75" w:rsidRDefault="00387142" w:rsidP="00387142">
            <w:pPr>
              <w:jc w:val="right"/>
              <w:rPr>
                <w:bCs/>
                <w:sz w:val="20"/>
                <w:szCs w:val="20"/>
              </w:rPr>
            </w:pPr>
            <w:r w:rsidRPr="008B6A75">
              <w:rPr>
                <w:bCs/>
                <w:sz w:val="20"/>
                <w:szCs w:val="20"/>
              </w:rPr>
              <w:t>204 200,00</w:t>
            </w:r>
          </w:p>
        </w:tc>
      </w:tr>
      <w:tr w:rsidR="00387142" w:rsidRPr="008B6A75" w14:paraId="3FEB559A" w14:textId="77777777" w:rsidTr="00387142">
        <w:trPr>
          <w:trHeight w:val="1155"/>
        </w:trPr>
        <w:tc>
          <w:tcPr>
            <w:tcW w:w="3261" w:type="dxa"/>
            <w:tcBorders>
              <w:top w:val="nil"/>
              <w:left w:val="single" w:sz="4" w:space="0" w:color="auto"/>
              <w:bottom w:val="single" w:sz="4" w:space="0" w:color="auto"/>
              <w:right w:val="nil"/>
            </w:tcBorders>
            <w:shd w:val="clear" w:color="auto" w:fill="auto"/>
            <w:vAlign w:val="center"/>
            <w:hideMark/>
          </w:tcPr>
          <w:p w14:paraId="2B6C535D" w14:textId="77777777" w:rsidR="00387142" w:rsidRPr="008B6A75" w:rsidRDefault="00387142" w:rsidP="00387142">
            <w:pPr>
              <w:rPr>
                <w:bCs/>
                <w:sz w:val="20"/>
                <w:szCs w:val="20"/>
              </w:rPr>
            </w:pPr>
            <w:r w:rsidRPr="008B6A75">
              <w:rPr>
                <w:bCs/>
                <w:sz w:val="20"/>
                <w:szCs w:val="20"/>
              </w:rPr>
              <w:t>Реализация мероприятий в рамках МП "Развитие и поддержка малого и среднего предпринимательства в Куйбышевском районе"</w:t>
            </w:r>
          </w:p>
        </w:tc>
        <w:tc>
          <w:tcPr>
            <w:tcW w:w="720" w:type="dxa"/>
            <w:tcBorders>
              <w:top w:val="nil"/>
              <w:left w:val="single" w:sz="4" w:space="0" w:color="auto"/>
              <w:bottom w:val="single" w:sz="4" w:space="0" w:color="auto"/>
              <w:right w:val="nil"/>
            </w:tcBorders>
            <w:shd w:val="clear" w:color="auto" w:fill="auto"/>
            <w:noWrap/>
            <w:vAlign w:val="center"/>
            <w:hideMark/>
          </w:tcPr>
          <w:p w14:paraId="75C6DFFD" w14:textId="77777777" w:rsidR="00387142" w:rsidRPr="008B6A75" w:rsidRDefault="00387142" w:rsidP="00387142">
            <w:pPr>
              <w:jc w:val="center"/>
              <w:rPr>
                <w:bCs/>
                <w:sz w:val="20"/>
                <w:szCs w:val="20"/>
              </w:rPr>
            </w:pPr>
            <w:r w:rsidRPr="008B6A75">
              <w:rPr>
                <w:bCs/>
                <w:sz w:val="20"/>
                <w:szCs w:val="20"/>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98BD881" w14:textId="77777777" w:rsidR="00387142" w:rsidRPr="008B6A75" w:rsidRDefault="00387142" w:rsidP="00387142">
            <w:pPr>
              <w:jc w:val="center"/>
              <w:rPr>
                <w:bCs/>
                <w:sz w:val="20"/>
                <w:szCs w:val="20"/>
              </w:rPr>
            </w:pPr>
            <w:r w:rsidRPr="008B6A75">
              <w:rPr>
                <w:bCs/>
                <w:sz w:val="20"/>
                <w:szCs w:val="20"/>
              </w:rPr>
              <w:t>12</w:t>
            </w:r>
          </w:p>
        </w:tc>
        <w:tc>
          <w:tcPr>
            <w:tcW w:w="1516" w:type="dxa"/>
            <w:tcBorders>
              <w:top w:val="nil"/>
              <w:left w:val="single" w:sz="4" w:space="0" w:color="auto"/>
              <w:bottom w:val="single" w:sz="4" w:space="0" w:color="auto"/>
              <w:right w:val="nil"/>
            </w:tcBorders>
            <w:shd w:val="clear" w:color="auto" w:fill="auto"/>
            <w:noWrap/>
            <w:vAlign w:val="center"/>
            <w:hideMark/>
          </w:tcPr>
          <w:p w14:paraId="34FDC6C6" w14:textId="77777777" w:rsidR="00387142" w:rsidRPr="008B6A75" w:rsidRDefault="00387142" w:rsidP="00387142">
            <w:pPr>
              <w:jc w:val="center"/>
              <w:rPr>
                <w:bCs/>
                <w:sz w:val="20"/>
                <w:szCs w:val="20"/>
              </w:rPr>
            </w:pPr>
            <w:r w:rsidRPr="008B6A75">
              <w:rPr>
                <w:bCs/>
                <w:sz w:val="20"/>
                <w:szCs w:val="20"/>
              </w:rPr>
              <w:t>02.0.00.49500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6BF61B7"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7145D67" w14:textId="77777777" w:rsidR="00387142" w:rsidRPr="008B6A75" w:rsidRDefault="00387142" w:rsidP="00387142">
            <w:pPr>
              <w:jc w:val="right"/>
              <w:rPr>
                <w:bCs/>
                <w:sz w:val="20"/>
                <w:szCs w:val="20"/>
              </w:rPr>
            </w:pPr>
            <w:r w:rsidRPr="008B6A75">
              <w:rPr>
                <w:bCs/>
                <w:sz w:val="20"/>
                <w:szCs w:val="20"/>
              </w:rPr>
              <w:t>1 700 000,00</w:t>
            </w:r>
          </w:p>
        </w:tc>
        <w:tc>
          <w:tcPr>
            <w:tcW w:w="992" w:type="dxa"/>
            <w:tcBorders>
              <w:top w:val="nil"/>
              <w:left w:val="single" w:sz="4" w:space="0" w:color="auto"/>
              <w:bottom w:val="single" w:sz="4" w:space="0" w:color="auto"/>
              <w:right w:val="nil"/>
            </w:tcBorders>
            <w:shd w:val="clear" w:color="auto" w:fill="auto"/>
            <w:vAlign w:val="center"/>
            <w:hideMark/>
          </w:tcPr>
          <w:p w14:paraId="635033E6" w14:textId="77777777" w:rsidR="00387142" w:rsidRPr="008B6A75" w:rsidRDefault="00387142" w:rsidP="00387142">
            <w:pPr>
              <w:jc w:val="right"/>
              <w:rPr>
                <w:bCs/>
                <w:sz w:val="20"/>
                <w:szCs w:val="20"/>
              </w:rPr>
            </w:pPr>
            <w:r w:rsidRPr="008B6A75">
              <w:rPr>
                <w:bCs/>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16E3E595" w14:textId="77777777" w:rsidR="00387142" w:rsidRPr="008B6A75" w:rsidRDefault="00387142" w:rsidP="00387142">
            <w:pPr>
              <w:jc w:val="right"/>
              <w:rPr>
                <w:bCs/>
                <w:sz w:val="20"/>
                <w:szCs w:val="20"/>
              </w:rPr>
            </w:pPr>
            <w:r w:rsidRPr="008B6A75">
              <w:rPr>
                <w:bCs/>
                <w:sz w:val="20"/>
                <w:szCs w:val="20"/>
              </w:rPr>
              <w:t>0,00</w:t>
            </w:r>
          </w:p>
        </w:tc>
      </w:tr>
      <w:tr w:rsidR="00387142" w:rsidRPr="008B6A75" w14:paraId="28C41C58" w14:textId="77777777" w:rsidTr="00387142">
        <w:trPr>
          <w:trHeight w:val="345"/>
        </w:trPr>
        <w:tc>
          <w:tcPr>
            <w:tcW w:w="3261" w:type="dxa"/>
            <w:tcBorders>
              <w:top w:val="nil"/>
              <w:left w:val="single" w:sz="4" w:space="0" w:color="auto"/>
              <w:bottom w:val="single" w:sz="4" w:space="0" w:color="auto"/>
              <w:right w:val="nil"/>
            </w:tcBorders>
            <w:shd w:val="clear" w:color="auto" w:fill="auto"/>
            <w:vAlign w:val="center"/>
            <w:hideMark/>
          </w:tcPr>
          <w:p w14:paraId="423FD1EE" w14:textId="77777777" w:rsidR="00387142" w:rsidRPr="008B6A75" w:rsidRDefault="00387142" w:rsidP="00387142">
            <w:pPr>
              <w:rPr>
                <w:sz w:val="20"/>
                <w:szCs w:val="20"/>
              </w:rPr>
            </w:pPr>
            <w:r w:rsidRPr="008B6A75">
              <w:rPr>
                <w:sz w:val="20"/>
                <w:szCs w:val="20"/>
              </w:rPr>
              <w:t>Иные бюджетные ассигнования</w:t>
            </w:r>
          </w:p>
        </w:tc>
        <w:tc>
          <w:tcPr>
            <w:tcW w:w="720" w:type="dxa"/>
            <w:tcBorders>
              <w:top w:val="nil"/>
              <w:left w:val="single" w:sz="4" w:space="0" w:color="auto"/>
              <w:bottom w:val="single" w:sz="4" w:space="0" w:color="auto"/>
              <w:right w:val="nil"/>
            </w:tcBorders>
            <w:shd w:val="clear" w:color="auto" w:fill="auto"/>
            <w:noWrap/>
            <w:vAlign w:val="center"/>
            <w:hideMark/>
          </w:tcPr>
          <w:p w14:paraId="25658143" w14:textId="77777777" w:rsidR="00387142" w:rsidRPr="008B6A75" w:rsidRDefault="00387142" w:rsidP="00387142">
            <w:pPr>
              <w:jc w:val="center"/>
              <w:rPr>
                <w:sz w:val="20"/>
                <w:szCs w:val="20"/>
              </w:rPr>
            </w:pPr>
            <w:r w:rsidRPr="008B6A75">
              <w:rPr>
                <w:sz w:val="20"/>
                <w:szCs w:val="20"/>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21CAD19" w14:textId="77777777" w:rsidR="00387142" w:rsidRPr="008B6A75" w:rsidRDefault="00387142" w:rsidP="00387142">
            <w:pPr>
              <w:jc w:val="center"/>
              <w:rPr>
                <w:sz w:val="20"/>
                <w:szCs w:val="20"/>
              </w:rPr>
            </w:pPr>
            <w:r w:rsidRPr="008B6A75">
              <w:rPr>
                <w:sz w:val="20"/>
                <w:szCs w:val="20"/>
              </w:rPr>
              <w:t>12</w:t>
            </w:r>
          </w:p>
        </w:tc>
        <w:tc>
          <w:tcPr>
            <w:tcW w:w="1516" w:type="dxa"/>
            <w:tcBorders>
              <w:top w:val="nil"/>
              <w:left w:val="single" w:sz="4" w:space="0" w:color="auto"/>
              <w:bottom w:val="single" w:sz="4" w:space="0" w:color="auto"/>
              <w:right w:val="nil"/>
            </w:tcBorders>
            <w:shd w:val="clear" w:color="auto" w:fill="auto"/>
            <w:noWrap/>
            <w:vAlign w:val="center"/>
            <w:hideMark/>
          </w:tcPr>
          <w:p w14:paraId="6129760A" w14:textId="77777777" w:rsidR="00387142" w:rsidRPr="008B6A75" w:rsidRDefault="00387142" w:rsidP="00387142">
            <w:pPr>
              <w:jc w:val="center"/>
              <w:rPr>
                <w:sz w:val="20"/>
                <w:szCs w:val="20"/>
              </w:rPr>
            </w:pPr>
            <w:r w:rsidRPr="008B6A75">
              <w:rPr>
                <w:sz w:val="20"/>
                <w:szCs w:val="20"/>
              </w:rPr>
              <w:t>02.0.00.49500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EA2554C" w14:textId="77777777" w:rsidR="00387142" w:rsidRPr="008B6A75" w:rsidRDefault="00387142" w:rsidP="00387142">
            <w:pPr>
              <w:jc w:val="center"/>
              <w:rPr>
                <w:sz w:val="20"/>
                <w:szCs w:val="20"/>
              </w:rPr>
            </w:pPr>
            <w:r w:rsidRPr="008B6A75">
              <w:rPr>
                <w:sz w:val="20"/>
                <w:szCs w:val="20"/>
              </w:rPr>
              <w:t>800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4AEFB29" w14:textId="77777777" w:rsidR="00387142" w:rsidRPr="008B6A75" w:rsidRDefault="00387142" w:rsidP="00387142">
            <w:pPr>
              <w:jc w:val="right"/>
              <w:rPr>
                <w:sz w:val="20"/>
                <w:szCs w:val="20"/>
              </w:rPr>
            </w:pPr>
            <w:r w:rsidRPr="008B6A75">
              <w:rPr>
                <w:sz w:val="20"/>
                <w:szCs w:val="20"/>
              </w:rPr>
              <w:t>1 700 000,00</w:t>
            </w:r>
          </w:p>
        </w:tc>
        <w:tc>
          <w:tcPr>
            <w:tcW w:w="992" w:type="dxa"/>
            <w:tcBorders>
              <w:top w:val="nil"/>
              <w:left w:val="single" w:sz="4" w:space="0" w:color="auto"/>
              <w:bottom w:val="single" w:sz="4" w:space="0" w:color="auto"/>
              <w:right w:val="nil"/>
            </w:tcBorders>
            <w:shd w:val="clear" w:color="auto" w:fill="auto"/>
            <w:vAlign w:val="center"/>
            <w:hideMark/>
          </w:tcPr>
          <w:p w14:paraId="47E6105D" w14:textId="77777777" w:rsidR="00387142" w:rsidRPr="008B6A75" w:rsidRDefault="00387142" w:rsidP="00387142">
            <w:pPr>
              <w:jc w:val="right"/>
              <w:rPr>
                <w:sz w:val="20"/>
                <w:szCs w:val="20"/>
              </w:rPr>
            </w:pPr>
            <w:r w:rsidRPr="008B6A75">
              <w:rPr>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600E89AA" w14:textId="77777777" w:rsidR="00387142" w:rsidRPr="008B6A75" w:rsidRDefault="00387142" w:rsidP="00387142">
            <w:pPr>
              <w:jc w:val="right"/>
              <w:rPr>
                <w:sz w:val="20"/>
                <w:szCs w:val="20"/>
              </w:rPr>
            </w:pPr>
            <w:r w:rsidRPr="008B6A75">
              <w:rPr>
                <w:sz w:val="20"/>
                <w:szCs w:val="20"/>
              </w:rPr>
              <w:t>0,00</w:t>
            </w:r>
          </w:p>
        </w:tc>
      </w:tr>
      <w:tr w:rsidR="00387142" w:rsidRPr="008B6A75" w14:paraId="2F277C56" w14:textId="77777777" w:rsidTr="00387142">
        <w:trPr>
          <w:trHeight w:val="1155"/>
        </w:trPr>
        <w:tc>
          <w:tcPr>
            <w:tcW w:w="3261" w:type="dxa"/>
            <w:tcBorders>
              <w:top w:val="nil"/>
              <w:left w:val="single" w:sz="4" w:space="0" w:color="auto"/>
              <w:bottom w:val="single" w:sz="4" w:space="0" w:color="auto"/>
              <w:right w:val="nil"/>
            </w:tcBorders>
            <w:shd w:val="clear" w:color="auto" w:fill="auto"/>
            <w:vAlign w:val="center"/>
            <w:hideMark/>
          </w:tcPr>
          <w:p w14:paraId="068030CB" w14:textId="77777777" w:rsidR="00387142" w:rsidRPr="008B6A75" w:rsidRDefault="00387142" w:rsidP="00387142">
            <w:pPr>
              <w:rPr>
                <w:sz w:val="20"/>
                <w:szCs w:val="20"/>
              </w:rPr>
            </w:pPr>
            <w:r w:rsidRPr="008B6A75">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20" w:type="dxa"/>
            <w:tcBorders>
              <w:top w:val="nil"/>
              <w:left w:val="single" w:sz="4" w:space="0" w:color="auto"/>
              <w:bottom w:val="single" w:sz="4" w:space="0" w:color="auto"/>
              <w:right w:val="nil"/>
            </w:tcBorders>
            <w:shd w:val="clear" w:color="auto" w:fill="auto"/>
            <w:noWrap/>
            <w:vAlign w:val="center"/>
            <w:hideMark/>
          </w:tcPr>
          <w:p w14:paraId="7EDC8088" w14:textId="77777777" w:rsidR="00387142" w:rsidRPr="008B6A75" w:rsidRDefault="00387142" w:rsidP="00387142">
            <w:pPr>
              <w:jc w:val="center"/>
              <w:rPr>
                <w:sz w:val="20"/>
                <w:szCs w:val="20"/>
              </w:rPr>
            </w:pPr>
            <w:r w:rsidRPr="008B6A75">
              <w:rPr>
                <w:sz w:val="20"/>
                <w:szCs w:val="20"/>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C3BE8B9" w14:textId="77777777" w:rsidR="00387142" w:rsidRPr="008B6A75" w:rsidRDefault="00387142" w:rsidP="00387142">
            <w:pPr>
              <w:jc w:val="center"/>
              <w:rPr>
                <w:sz w:val="20"/>
                <w:szCs w:val="20"/>
              </w:rPr>
            </w:pPr>
            <w:r w:rsidRPr="008B6A75">
              <w:rPr>
                <w:sz w:val="20"/>
                <w:szCs w:val="20"/>
              </w:rPr>
              <w:t>12</w:t>
            </w:r>
          </w:p>
        </w:tc>
        <w:tc>
          <w:tcPr>
            <w:tcW w:w="1516" w:type="dxa"/>
            <w:tcBorders>
              <w:top w:val="nil"/>
              <w:left w:val="single" w:sz="4" w:space="0" w:color="auto"/>
              <w:bottom w:val="single" w:sz="4" w:space="0" w:color="auto"/>
              <w:right w:val="nil"/>
            </w:tcBorders>
            <w:shd w:val="clear" w:color="auto" w:fill="auto"/>
            <w:noWrap/>
            <w:vAlign w:val="center"/>
            <w:hideMark/>
          </w:tcPr>
          <w:p w14:paraId="515C0335" w14:textId="77777777" w:rsidR="00387142" w:rsidRPr="008B6A75" w:rsidRDefault="00387142" w:rsidP="00387142">
            <w:pPr>
              <w:jc w:val="center"/>
              <w:rPr>
                <w:sz w:val="20"/>
                <w:szCs w:val="20"/>
              </w:rPr>
            </w:pPr>
            <w:r w:rsidRPr="008B6A75">
              <w:rPr>
                <w:sz w:val="20"/>
                <w:szCs w:val="20"/>
              </w:rPr>
              <w:t>02.0.00.49500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1F3E7C9" w14:textId="77777777" w:rsidR="00387142" w:rsidRPr="008B6A75" w:rsidRDefault="00387142" w:rsidP="00387142">
            <w:pPr>
              <w:jc w:val="center"/>
              <w:rPr>
                <w:sz w:val="20"/>
                <w:szCs w:val="20"/>
              </w:rPr>
            </w:pPr>
            <w:r w:rsidRPr="008B6A75">
              <w:rPr>
                <w:sz w:val="20"/>
                <w:szCs w:val="20"/>
              </w:rPr>
              <w:t>810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50FFA91" w14:textId="77777777" w:rsidR="00387142" w:rsidRPr="008B6A75" w:rsidRDefault="00387142" w:rsidP="00387142">
            <w:pPr>
              <w:jc w:val="right"/>
              <w:rPr>
                <w:sz w:val="20"/>
                <w:szCs w:val="20"/>
              </w:rPr>
            </w:pPr>
            <w:r w:rsidRPr="008B6A75">
              <w:rPr>
                <w:sz w:val="20"/>
                <w:szCs w:val="20"/>
              </w:rPr>
              <w:t>1 700 000,00</w:t>
            </w:r>
          </w:p>
        </w:tc>
        <w:tc>
          <w:tcPr>
            <w:tcW w:w="992" w:type="dxa"/>
            <w:tcBorders>
              <w:top w:val="nil"/>
              <w:left w:val="single" w:sz="4" w:space="0" w:color="auto"/>
              <w:bottom w:val="single" w:sz="4" w:space="0" w:color="auto"/>
              <w:right w:val="nil"/>
            </w:tcBorders>
            <w:shd w:val="clear" w:color="auto" w:fill="auto"/>
            <w:vAlign w:val="center"/>
            <w:hideMark/>
          </w:tcPr>
          <w:p w14:paraId="210C3969" w14:textId="77777777" w:rsidR="00387142" w:rsidRPr="008B6A75" w:rsidRDefault="00387142" w:rsidP="00387142">
            <w:pPr>
              <w:jc w:val="right"/>
              <w:rPr>
                <w:sz w:val="20"/>
                <w:szCs w:val="20"/>
              </w:rPr>
            </w:pPr>
            <w:r w:rsidRPr="008B6A75">
              <w:rPr>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6D03357A" w14:textId="77777777" w:rsidR="00387142" w:rsidRPr="008B6A75" w:rsidRDefault="00387142" w:rsidP="00387142">
            <w:pPr>
              <w:jc w:val="right"/>
              <w:rPr>
                <w:sz w:val="20"/>
                <w:szCs w:val="20"/>
              </w:rPr>
            </w:pPr>
            <w:r w:rsidRPr="008B6A75">
              <w:rPr>
                <w:sz w:val="20"/>
                <w:szCs w:val="20"/>
              </w:rPr>
              <w:t>0,00</w:t>
            </w:r>
          </w:p>
        </w:tc>
      </w:tr>
      <w:tr w:rsidR="00387142" w:rsidRPr="008B6A75" w14:paraId="066CE2AB" w14:textId="77777777" w:rsidTr="00387142">
        <w:trPr>
          <w:trHeight w:val="2295"/>
        </w:trPr>
        <w:tc>
          <w:tcPr>
            <w:tcW w:w="3261" w:type="dxa"/>
            <w:tcBorders>
              <w:top w:val="nil"/>
              <w:left w:val="single" w:sz="4" w:space="0" w:color="auto"/>
              <w:bottom w:val="single" w:sz="4" w:space="0" w:color="auto"/>
              <w:right w:val="nil"/>
            </w:tcBorders>
            <w:shd w:val="clear" w:color="auto" w:fill="auto"/>
            <w:vAlign w:val="center"/>
            <w:hideMark/>
          </w:tcPr>
          <w:p w14:paraId="18D9C231" w14:textId="77777777" w:rsidR="00387142" w:rsidRPr="008B6A75" w:rsidRDefault="00387142" w:rsidP="00387142">
            <w:pPr>
              <w:rPr>
                <w:bCs/>
                <w:sz w:val="20"/>
                <w:szCs w:val="20"/>
              </w:rPr>
            </w:pPr>
            <w:r w:rsidRPr="008B6A75">
              <w:rPr>
                <w:bCs/>
                <w:sz w:val="20"/>
                <w:szCs w:val="20"/>
              </w:rPr>
              <w:lastRenderedPageBreak/>
              <w:t xml:space="preserve">Реализация мероприятий на </w:t>
            </w:r>
            <w:proofErr w:type="spellStart"/>
            <w:r w:rsidRPr="008B6A75">
              <w:rPr>
                <w:bCs/>
                <w:sz w:val="20"/>
                <w:szCs w:val="20"/>
              </w:rPr>
              <w:t>софинансирование</w:t>
            </w:r>
            <w:proofErr w:type="spellEnd"/>
            <w:r w:rsidRPr="008B6A75">
              <w:rPr>
                <w:bCs/>
                <w:sz w:val="20"/>
                <w:szCs w:val="20"/>
              </w:rPr>
              <w:t xml:space="preserve"> муниципальных программ развития малого и среднего предпринимательства государственной программы Новосибирской области «Развитие субъектов малого и среднего предпринимательства в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14:paraId="74FB8832" w14:textId="77777777" w:rsidR="00387142" w:rsidRPr="008B6A75" w:rsidRDefault="00387142" w:rsidP="00387142">
            <w:pPr>
              <w:jc w:val="center"/>
              <w:rPr>
                <w:bCs/>
                <w:sz w:val="20"/>
                <w:szCs w:val="20"/>
              </w:rPr>
            </w:pPr>
            <w:r w:rsidRPr="008B6A75">
              <w:rPr>
                <w:bCs/>
                <w:sz w:val="20"/>
                <w:szCs w:val="20"/>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0A4E16B" w14:textId="77777777" w:rsidR="00387142" w:rsidRPr="008B6A75" w:rsidRDefault="00387142" w:rsidP="00387142">
            <w:pPr>
              <w:jc w:val="center"/>
              <w:rPr>
                <w:bCs/>
                <w:sz w:val="20"/>
                <w:szCs w:val="20"/>
              </w:rPr>
            </w:pPr>
            <w:r w:rsidRPr="008B6A75">
              <w:rPr>
                <w:bCs/>
                <w:sz w:val="20"/>
                <w:szCs w:val="20"/>
              </w:rPr>
              <w:t>12</w:t>
            </w:r>
          </w:p>
        </w:tc>
        <w:tc>
          <w:tcPr>
            <w:tcW w:w="1516" w:type="dxa"/>
            <w:tcBorders>
              <w:top w:val="nil"/>
              <w:left w:val="single" w:sz="4" w:space="0" w:color="auto"/>
              <w:bottom w:val="single" w:sz="4" w:space="0" w:color="auto"/>
              <w:right w:val="nil"/>
            </w:tcBorders>
            <w:shd w:val="clear" w:color="auto" w:fill="auto"/>
            <w:noWrap/>
            <w:vAlign w:val="center"/>
            <w:hideMark/>
          </w:tcPr>
          <w:p w14:paraId="0068BE6F" w14:textId="77777777" w:rsidR="00387142" w:rsidRPr="008B6A75" w:rsidRDefault="00387142" w:rsidP="00387142">
            <w:pPr>
              <w:jc w:val="center"/>
              <w:rPr>
                <w:bCs/>
                <w:sz w:val="20"/>
                <w:szCs w:val="20"/>
              </w:rPr>
            </w:pPr>
            <w:r w:rsidRPr="008B6A75">
              <w:rPr>
                <w:bCs/>
                <w:sz w:val="20"/>
                <w:szCs w:val="20"/>
              </w:rPr>
              <w:t>02.0.00.70690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D5E65D7"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975C7D1" w14:textId="77777777" w:rsidR="00387142" w:rsidRPr="008B6A75" w:rsidRDefault="00387142" w:rsidP="00387142">
            <w:pPr>
              <w:jc w:val="right"/>
              <w:rPr>
                <w:bCs/>
                <w:sz w:val="20"/>
                <w:szCs w:val="20"/>
              </w:rPr>
            </w:pPr>
            <w:r w:rsidRPr="008B6A75">
              <w:rPr>
                <w:bCs/>
                <w:sz w:val="20"/>
                <w:szCs w:val="20"/>
              </w:rPr>
              <w:t>204 200,00</w:t>
            </w:r>
          </w:p>
        </w:tc>
        <w:tc>
          <w:tcPr>
            <w:tcW w:w="992" w:type="dxa"/>
            <w:tcBorders>
              <w:top w:val="nil"/>
              <w:left w:val="single" w:sz="4" w:space="0" w:color="auto"/>
              <w:bottom w:val="single" w:sz="4" w:space="0" w:color="auto"/>
              <w:right w:val="nil"/>
            </w:tcBorders>
            <w:shd w:val="clear" w:color="auto" w:fill="auto"/>
            <w:vAlign w:val="center"/>
            <w:hideMark/>
          </w:tcPr>
          <w:p w14:paraId="767F7590" w14:textId="77777777" w:rsidR="00387142" w:rsidRPr="008B6A75" w:rsidRDefault="00387142" w:rsidP="00387142">
            <w:pPr>
              <w:jc w:val="right"/>
              <w:rPr>
                <w:bCs/>
                <w:sz w:val="20"/>
                <w:szCs w:val="20"/>
              </w:rPr>
            </w:pPr>
            <w:r w:rsidRPr="008B6A75">
              <w:rPr>
                <w:bCs/>
                <w:sz w:val="20"/>
                <w:szCs w:val="20"/>
              </w:rPr>
              <w:t>204 200,00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12CE10F3" w14:textId="77777777" w:rsidR="00387142" w:rsidRPr="008B6A75" w:rsidRDefault="00387142" w:rsidP="00387142">
            <w:pPr>
              <w:jc w:val="right"/>
              <w:rPr>
                <w:bCs/>
                <w:sz w:val="20"/>
                <w:szCs w:val="20"/>
              </w:rPr>
            </w:pPr>
            <w:r w:rsidRPr="008B6A75">
              <w:rPr>
                <w:bCs/>
                <w:sz w:val="20"/>
                <w:szCs w:val="20"/>
              </w:rPr>
              <w:t>204 200,00</w:t>
            </w:r>
          </w:p>
        </w:tc>
      </w:tr>
      <w:tr w:rsidR="00387142" w:rsidRPr="008B6A75" w14:paraId="4471CD8E" w14:textId="77777777" w:rsidTr="00387142">
        <w:trPr>
          <w:trHeight w:val="345"/>
        </w:trPr>
        <w:tc>
          <w:tcPr>
            <w:tcW w:w="3261" w:type="dxa"/>
            <w:tcBorders>
              <w:top w:val="nil"/>
              <w:left w:val="single" w:sz="4" w:space="0" w:color="auto"/>
              <w:bottom w:val="single" w:sz="4" w:space="0" w:color="auto"/>
              <w:right w:val="nil"/>
            </w:tcBorders>
            <w:shd w:val="clear" w:color="auto" w:fill="auto"/>
            <w:vAlign w:val="center"/>
            <w:hideMark/>
          </w:tcPr>
          <w:p w14:paraId="1A4069EE" w14:textId="77777777" w:rsidR="00387142" w:rsidRPr="008B6A75" w:rsidRDefault="00387142" w:rsidP="00387142">
            <w:pPr>
              <w:rPr>
                <w:sz w:val="20"/>
                <w:szCs w:val="20"/>
              </w:rPr>
            </w:pPr>
            <w:r w:rsidRPr="008B6A75">
              <w:rPr>
                <w:sz w:val="20"/>
                <w:szCs w:val="20"/>
              </w:rPr>
              <w:t>Иные бюджетные ассигнования</w:t>
            </w:r>
          </w:p>
        </w:tc>
        <w:tc>
          <w:tcPr>
            <w:tcW w:w="720" w:type="dxa"/>
            <w:tcBorders>
              <w:top w:val="nil"/>
              <w:left w:val="single" w:sz="4" w:space="0" w:color="auto"/>
              <w:bottom w:val="single" w:sz="4" w:space="0" w:color="auto"/>
              <w:right w:val="nil"/>
            </w:tcBorders>
            <w:shd w:val="clear" w:color="auto" w:fill="auto"/>
            <w:noWrap/>
            <w:vAlign w:val="center"/>
            <w:hideMark/>
          </w:tcPr>
          <w:p w14:paraId="342C7E98" w14:textId="77777777" w:rsidR="00387142" w:rsidRPr="008B6A75" w:rsidRDefault="00387142" w:rsidP="00387142">
            <w:pPr>
              <w:jc w:val="center"/>
              <w:rPr>
                <w:sz w:val="20"/>
                <w:szCs w:val="20"/>
              </w:rPr>
            </w:pPr>
            <w:r w:rsidRPr="008B6A75">
              <w:rPr>
                <w:sz w:val="20"/>
                <w:szCs w:val="20"/>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A014A5D" w14:textId="77777777" w:rsidR="00387142" w:rsidRPr="008B6A75" w:rsidRDefault="00387142" w:rsidP="00387142">
            <w:pPr>
              <w:jc w:val="center"/>
              <w:rPr>
                <w:sz w:val="20"/>
                <w:szCs w:val="20"/>
              </w:rPr>
            </w:pPr>
            <w:r w:rsidRPr="008B6A75">
              <w:rPr>
                <w:sz w:val="20"/>
                <w:szCs w:val="20"/>
              </w:rPr>
              <w:t>12</w:t>
            </w:r>
          </w:p>
        </w:tc>
        <w:tc>
          <w:tcPr>
            <w:tcW w:w="1516" w:type="dxa"/>
            <w:tcBorders>
              <w:top w:val="nil"/>
              <w:left w:val="single" w:sz="4" w:space="0" w:color="auto"/>
              <w:bottom w:val="single" w:sz="4" w:space="0" w:color="auto"/>
              <w:right w:val="nil"/>
            </w:tcBorders>
            <w:shd w:val="clear" w:color="auto" w:fill="auto"/>
            <w:noWrap/>
            <w:vAlign w:val="center"/>
            <w:hideMark/>
          </w:tcPr>
          <w:p w14:paraId="0E8E8DA8" w14:textId="77777777" w:rsidR="00387142" w:rsidRPr="008B6A75" w:rsidRDefault="00387142" w:rsidP="00387142">
            <w:pPr>
              <w:jc w:val="center"/>
              <w:rPr>
                <w:sz w:val="20"/>
                <w:szCs w:val="20"/>
              </w:rPr>
            </w:pPr>
            <w:r w:rsidRPr="008B6A75">
              <w:rPr>
                <w:sz w:val="20"/>
                <w:szCs w:val="20"/>
              </w:rPr>
              <w:t>02.0.00.70690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DDD1E88" w14:textId="77777777" w:rsidR="00387142" w:rsidRPr="008B6A75" w:rsidRDefault="00387142" w:rsidP="00387142">
            <w:pPr>
              <w:jc w:val="center"/>
              <w:rPr>
                <w:sz w:val="20"/>
                <w:szCs w:val="20"/>
              </w:rPr>
            </w:pPr>
            <w:r w:rsidRPr="008B6A75">
              <w:rPr>
                <w:sz w:val="20"/>
                <w:szCs w:val="20"/>
              </w:rPr>
              <w:t>800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6E8F93B" w14:textId="77777777" w:rsidR="00387142" w:rsidRPr="008B6A75" w:rsidRDefault="00387142" w:rsidP="00387142">
            <w:pPr>
              <w:jc w:val="right"/>
              <w:rPr>
                <w:sz w:val="20"/>
                <w:szCs w:val="20"/>
              </w:rPr>
            </w:pPr>
            <w:r w:rsidRPr="008B6A75">
              <w:rPr>
                <w:sz w:val="20"/>
                <w:szCs w:val="20"/>
              </w:rPr>
              <w:t>204 200,00</w:t>
            </w:r>
          </w:p>
        </w:tc>
        <w:tc>
          <w:tcPr>
            <w:tcW w:w="992" w:type="dxa"/>
            <w:tcBorders>
              <w:top w:val="nil"/>
              <w:left w:val="single" w:sz="4" w:space="0" w:color="auto"/>
              <w:bottom w:val="single" w:sz="4" w:space="0" w:color="auto"/>
              <w:right w:val="nil"/>
            </w:tcBorders>
            <w:shd w:val="clear" w:color="auto" w:fill="auto"/>
            <w:vAlign w:val="center"/>
            <w:hideMark/>
          </w:tcPr>
          <w:p w14:paraId="62AE449E" w14:textId="77777777" w:rsidR="00387142" w:rsidRPr="008B6A75" w:rsidRDefault="00387142" w:rsidP="00387142">
            <w:pPr>
              <w:jc w:val="right"/>
              <w:rPr>
                <w:sz w:val="20"/>
                <w:szCs w:val="20"/>
              </w:rPr>
            </w:pPr>
            <w:r w:rsidRPr="008B6A75">
              <w:rPr>
                <w:sz w:val="20"/>
                <w:szCs w:val="20"/>
              </w:rPr>
              <w:t>204 200,00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528B48B9" w14:textId="77777777" w:rsidR="00387142" w:rsidRPr="008B6A75" w:rsidRDefault="00387142" w:rsidP="00387142">
            <w:pPr>
              <w:jc w:val="right"/>
              <w:rPr>
                <w:sz w:val="20"/>
                <w:szCs w:val="20"/>
              </w:rPr>
            </w:pPr>
            <w:r w:rsidRPr="008B6A75">
              <w:rPr>
                <w:sz w:val="20"/>
                <w:szCs w:val="20"/>
              </w:rPr>
              <w:t>204 200,00</w:t>
            </w:r>
          </w:p>
        </w:tc>
      </w:tr>
      <w:tr w:rsidR="00387142" w:rsidRPr="008B6A75" w14:paraId="458DC1B3" w14:textId="77777777" w:rsidTr="00387142">
        <w:trPr>
          <w:trHeight w:val="1155"/>
        </w:trPr>
        <w:tc>
          <w:tcPr>
            <w:tcW w:w="3261" w:type="dxa"/>
            <w:tcBorders>
              <w:top w:val="nil"/>
              <w:left w:val="single" w:sz="4" w:space="0" w:color="auto"/>
              <w:bottom w:val="single" w:sz="4" w:space="0" w:color="auto"/>
              <w:right w:val="nil"/>
            </w:tcBorders>
            <w:shd w:val="clear" w:color="auto" w:fill="auto"/>
            <w:vAlign w:val="center"/>
            <w:hideMark/>
          </w:tcPr>
          <w:p w14:paraId="5CE78D16" w14:textId="77777777" w:rsidR="00387142" w:rsidRPr="008B6A75" w:rsidRDefault="00387142" w:rsidP="00387142">
            <w:pPr>
              <w:rPr>
                <w:sz w:val="20"/>
                <w:szCs w:val="20"/>
              </w:rPr>
            </w:pPr>
            <w:r w:rsidRPr="008B6A75">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20" w:type="dxa"/>
            <w:tcBorders>
              <w:top w:val="nil"/>
              <w:left w:val="single" w:sz="4" w:space="0" w:color="auto"/>
              <w:bottom w:val="single" w:sz="4" w:space="0" w:color="auto"/>
              <w:right w:val="nil"/>
            </w:tcBorders>
            <w:shd w:val="clear" w:color="auto" w:fill="auto"/>
            <w:noWrap/>
            <w:vAlign w:val="center"/>
            <w:hideMark/>
          </w:tcPr>
          <w:p w14:paraId="3A1C704A" w14:textId="77777777" w:rsidR="00387142" w:rsidRPr="008B6A75" w:rsidRDefault="00387142" w:rsidP="00387142">
            <w:pPr>
              <w:jc w:val="center"/>
              <w:rPr>
                <w:sz w:val="20"/>
                <w:szCs w:val="20"/>
              </w:rPr>
            </w:pPr>
            <w:r w:rsidRPr="008B6A75">
              <w:rPr>
                <w:sz w:val="20"/>
                <w:szCs w:val="20"/>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00CA4EA" w14:textId="77777777" w:rsidR="00387142" w:rsidRPr="008B6A75" w:rsidRDefault="00387142" w:rsidP="00387142">
            <w:pPr>
              <w:jc w:val="center"/>
              <w:rPr>
                <w:sz w:val="20"/>
                <w:szCs w:val="20"/>
              </w:rPr>
            </w:pPr>
            <w:r w:rsidRPr="008B6A75">
              <w:rPr>
                <w:sz w:val="20"/>
                <w:szCs w:val="20"/>
              </w:rPr>
              <w:t>12</w:t>
            </w:r>
          </w:p>
        </w:tc>
        <w:tc>
          <w:tcPr>
            <w:tcW w:w="1516" w:type="dxa"/>
            <w:tcBorders>
              <w:top w:val="nil"/>
              <w:left w:val="single" w:sz="4" w:space="0" w:color="auto"/>
              <w:bottom w:val="single" w:sz="4" w:space="0" w:color="auto"/>
              <w:right w:val="nil"/>
            </w:tcBorders>
            <w:shd w:val="clear" w:color="auto" w:fill="auto"/>
            <w:noWrap/>
            <w:vAlign w:val="center"/>
            <w:hideMark/>
          </w:tcPr>
          <w:p w14:paraId="301FA3A3" w14:textId="77777777" w:rsidR="00387142" w:rsidRPr="008B6A75" w:rsidRDefault="00387142" w:rsidP="00387142">
            <w:pPr>
              <w:jc w:val="center"/>
              <w:rPr>
                <w:sz w:val="20"/>
                <w:szCs w:val="20"/>
              </w:rPr>
            </w:pPr>
            <w:r w:rsidRPr="008B6A75">
              <w:rPr>
                <w:sz w:val="20"/>
                <w:szCs w:val="20"/>
              </w:rPr>
              <w:t>02.0.00.70690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8D57D28" w14:textId="77777777" w:rsidR="00387142" w:rsidRPr="008B6A75" w:rsidRDefault="00387142" w:rsidP="00387142">
            <w:pPr>
              <w:jc w:val="center"/>
              <w:rPr>
                <w:sz w:val="20"/>
                <w:szCs w:val="20"/>
              </w:rPr>
            </w:pPr>
            <w:r w:rsidRPr="008B6A75">
              <w:rPr>
                <w:sz w:val="20"/>
                <w:szCs w:val="20"/>
              </w:rPr>
              <w:t>810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12F324F" w14:textId="77777777" w:rsidR="00387142" w:rsidRPr="008B6A75" w:rsidRDefault="00387142" w:rsidP="00387142">
            <w:pPr>
              <w:jc w:val="right"/>
              <w:rPr>
                <w:sz w:val="20"/>
                <w:szCs w:val="20"/>
              </w:rPr>
            </w:pPr>
            <w:r w:rsidRPr="008B6A75">
              <w:rPr>
                <w:sz w:val="20"/>
                <w:szCs w:val="20"/>
              </w:rPr>
              <w:t>204 200,00</w:t>
            </w:r>
          </w:p>
        </w:tc>
        <w:tc>
          <w:tcPr>
            <w:tcW w:w="992" w:type="dxa"/>
            <w:tcBorders>
              <w:top w:val="nil"/>
              <w:left w:val="single" w:sz="4" w:space="0" w:color="auto"/>
              <w:bottom w:val="single" w:sz="4" w:space="0" w:color="auto"/>
              <w:right w:val="nil"/>
            </w:tcBorders>
            <w:shd w:val="clear" w:color="auto" w:fill="auto"/>
            <w:vAlign w:val="center"/>
            <w:hideMark/>
          </w:tcPr>
          <w:p w14:paraId="4AA9E52D" w14:textId="77777777" w:rsidR="00387142" w:rsidRPr="008B6A75" w:rsidRDefault="00387142" w:rsidP="00387142">
            <w:pPr>
              <w:jc w:val="right"/>
              <w:rPr>
                <w:sz w:val="20"/>
                <w:szCs w:val="20"/>
              </w:rPr>
            </w:pPr>
            <w:r w:rsidRPr="008B6A75">
              <w:rPr>
                <w:sz w:val="20"/>
                <w:szCs w:val="20"/>
              </w:rPr>
              <w:t>204 200,00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72C9DF70" w14:textId="77777777" w:rsidR="00387142" w:rsidRPr="008B6A75" w:rsidRDefault="00387142" w:rsidP="00387142">
            <w:pPr>
              <w:jc w:val="right"/>
              <w:rPr>
                <w:sz w:val="20"/>
                <w:szCs w:val="20"/>
              </w:rPr>
            </w:pPr>
            <w:r w:rsidRPr="008B6A75">
              <w:rPr>
                <w:sz w:val="20"/>
                <w:szCs w:val="20"/>
              </w:rPr>
              <w:t>204 200,00</w:t>
            </w:r>
          </w:p>
        </w:tc>
      </w:tr>
      <w:tr w:rsidR="00387142" w:rsidRPr="008B6A75" w14:paraId="2F5B5BEE" w14:textId="77777777" w:rsidTr="00387142">
        <w:trPr>
          <w:trHeight w:val="585"/>
        </w:trPr>
        <w:tc>
          <w:tcPr>
            <w:tcW w:w="3261" w:type="dxa"/>
            <w:tcBorders>
              <w:top w:val="nil"/>
              <w:left w:val="single" w:sz="4" w:space="0" w:color="auto"/>
              <w:bottom w:val="single" w:sz="4" w:space="0" w:color="auto"/>
              <w:right w:val="nil"/>
            </w:tcBorders>
            <w:shd w:val="clear" w:color="auto" w:fill="auto"/>
            <w:vAlign w:val="center"/>
            <w:hideMark/>
          </w:tcPr>
          <w:p w14:paraId="6A4CCD29" w14:textId="77777777" w:rsidR="00387142" w:rsidRPr="008B6A75" w:rsidRDefault="00387142" w:rsidP="00387142">
            <w:pPr>
              <w:rPr>
                <w:bCs/>
                <w:sz w:val="20"/>
                <w:szCs w:val="20"/>
              </w:rPr>
            </w:pPr>
            <w:r w:rsidRPr="008B6A75">
              <w:rPr>
                <w:bCs/>
                <w:sz w:val="20"/>
                <w:szCs w:val="20"/>
              </w:rPr>
              <w:t>ЖИЛИЩНО-КОММУНАЛЬНОЕ ХОЗЯЙСТВО</w:t>
            </w:r>
          </w:p>
        </w:tc>
        <w:tc>
          <w:tcPr>
            <w:tcW w:w="720" w:type="dxa"/>
            <w:tcBorders>
              <w:top w:val="nil"/>
              <w:left w:val="single" w:sz="4" w:space="0" w:color="auto"/>
              <w:bottom w:val="single" w:sz="4" w:space="0" w:color="auto"/>
              <w:right w:val="nil"/>
            </w:tcBorders>
            <w:shd w:val="clear" w:color="auto" w:fill="auto"/>
            <w:noWrap/>
            <w:vAlign w:val="center"/>
            <w:hideMark/>
          </w:tcPr>
          <w:p w14:paraId="1F6795A2" w14:textId="77777777" w:rsidR="00387142" w:rsidRPr="008B6A75" w:rsidRDefault="00387142" w:rsidP="00387142">
            <w:pPr>
              <w:jc w:val="center"/>
              <w:rPr>
                <w:bCs/>
                <w:sz w:val="20"/>
                <w:szCs w:val="20"/>
              </w:rPr>
            </w:pPr>
            <w:r w:rsidRPr="008B6A75">
              <w:rPr>
                <w:bCs/>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3E4255E" w14:textId="77777777" w:rsidR="00387142" w:rsidRPr="008B6A75" w:rsidRDefault="00387142" w:rsidP="00387142">
            <w:pPr>
              <w:jc w:val="center"/>
              <w:rPr>
                <w:bCs/>
                <w:sz w:val="20"/>
                <w:szCs w:val="20"/>
              </w:rPr>
            </w:pPr>
            <w:r w:rsidRPr="008B6A75">
              <w:rPr>
                <w:bCs/>
                <w:sz w:val="20"/>
                <w:szCs w:val="20"/>
              </w:rPr>
              <w:t> </w:t>
            </w:r>
          </w:p>
        </w:tc>
        <w:tc>
          <w:tcPr>
            <w:tcW w:w="1516" w:type="dxa"/>
            <w:tcBorders>
              <w:top w:val="nil"/>
              <w:left w:val="single" w:sz="4" w:space="0" w:color="auto"/>
              <w:bottom w:val="single" w:sz="4" w:space="0" w:color="auto"/>
              <w:right w:val="nil"/>
            </w:tcBorders>
            <w:shd w:val="clear" w:color="auto" w:fill="auto"/>
            <w:noWrap/>
            <w:vAlign w:val="center"/>
            <w:hideMark/>
          </w:tcPr>
          <w:p w14:paraId="427A65DC" w14:textId="77777777" w:rsidR="00387142" w:rsidRPr="008B6A75" w:rsidRDefault="00387142" w:rsidP="00387142">
            <w:pPr>
              <w:jc w:val="center"/>
              <w:rPr>
                <w:bCs/>
                <w:sz w:val="20"/>
                <w:szCs w:val="20"/>
              </w:rPr>
            </w:pPr>
            <w:r w:rsidRPr="008B6A75">
              <w:rPr>
                <w:bCs/>
                <w:sz w:val="20"/>
                <w:szCs w:val="20"/>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CA2732C"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F295F6A" w14:textId="77777777" w:rsidR="00387142" w:rsidRPr="008B6A75" w:rsidRDefault="00387142" w:rsidP="00387142">
            <w:pPr>
              <w:jc w:val="right"/>
              <w:rPr>
                <w:bCs/>
                <w:sz w:val="20"/>
                <w:szCs w:val="20"/>
              </w:rPr>
            </w:pPr>
            <w:r w:rsidRPr="008B6A75">
              <w:rPr>
                <w:bCs/>
                <w:sz w:val="20"/>
                <w:szCs w:val="20"/>
              </w:rPr>
              <w:t>274 224 999,76</w:t>
            </w:r>
          </w:p>
        </w:tc>
        <w:tc>
          <w:tcPr>
            <w:tcW w:w="992" w:type="dxa"/>
            <w:tcBorders>
              <w:top w:val="nil"/>
              <w:left w:val="single" w:sz="4" w:space="0" w:color="auto"/>
              <w:bottom w:val="single" w:sz="4" w:space="0" w:color="auto"/>
              <w:right w:val="nil"/>
            </w:tcBorders>
            <w:shd w:val="clear" w:color="auto" w:fill="auto"/>
            <w:vAlign w:val="center"/>
            <w:hideMark/>
          </w:tcPr>
          <w:p w14:paraId="613E25DF" w14:textId="77777777" w:rsidR="00387142" w:rsidRPr="008B6A75" w:rsidRDefault="00387142" w:rsidP="00387142">
            <w:pPr>
              <w:jc w:val="right"/>
              <w:rPr>
                <w:bCs/>
                <w:sz w:val="20"/>
                <w:szCs w:val="20"/>
              </w:rPr>
            </w:pPr>
            <w:r w:rsidRPr="008B6A75">
              <w:rPr>
                <w:bCs/>
                <w:sz w:val="20"/>
                <w:szCs w:val="20"/>
              </w:rPr>
              <w:t>143 985 969,03</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283FB6FA" w14:textId="77777777" w:rsidR="00387142" w:rsidRPr="008B6A75" w:rsidRDefault="00387142" w:rsidP="00387142">
            <w:pPr>
              <w:jc w:val="right"/>
              <w:rPr>
                <w:bCs/>
                <w:sz w:val="20"/>
                <w:szCs w:val="20"/>
              </w:rPr>
            </w:pPr>
            <w:r w:rsidRPr="008B6A75">
              <w:rPr>
                <w:bCs/>
                <w:sz w:val="20"/>
                <w:szCs w:val="20"/>
              </w:rPr>
              <w:t>77 057 396,84</w:t>
            </w:r>
          </w:p>
        </w:tc>
      </w:tr>
      <w:tr w:rsidR="00387142" w:rsidRPr="008B6A75" w14:paraId="73D50657" w14:textId="77777777" w:rsidTr="00387142">
        <w:trPr>
          <w:trHeight w:val="345"/>
        </w:trPr>
        <w:tc>
          <w:tcPr>
            <w:tcW w:w="3261" w:type="dxa"/>
            <w:tcBorders>
              <w:top w:val="nil"/>
              <w:left w:val="single" w:sz="4" w:space="0" w:color="auto"/>
              <w:bottom w:val="single" w:sz="4" w:space="0" w:color="auto"/>
              <w:right w:val="nil"/>
            </w:tcBorders>
            <w:shd w:val="clear" w:color="auto" w:fill="auto"/>
            <w:vAlign w:val="center"/>
            <w:hideMark/>
          </w:tcPr>
          <w:p w14:paraId="5EE27B65" w14:textId="77777777" w:rsidR="00387142" w:rsidRPr="008B6A75" w:rsidRDefault="00387142" w:rsidP="00387142">
            <w:pPr>
              <w:rPr>
                <w:bCs/>
                <w:sz w:val="20"/>
                <w:szCs w:val="20"/>
              </w:rPr>
            </w:pPr>
            <w:r w:rsidRPr="008B6A75">
              <w:rPr>
                <w:bCs/>
                <w:sz w:val="20"/>
                <w:szCs w:val="20"/>
              </w:rPr>
              <w:t>Жилищное хозяйство</w:t>
            </w:r>
          </w:p>
        </w:tc>
        <w:tc>
          <w:tcPr>
            <w:tcW w:w="720" w:type="dxa"/>
            <w:tcBorders>
              <w:top w:val="nil"/>
              <w:left w:val="single" w:sz="4" w:space="0" w:color="auto"/>
              <w:bottom w:val="single" w:sz="4" w:space="0" w:color="auto"/>
              <w:right w:val="nil"/>
            </w:tcBorders>
            <w:shd w:val="clear" w:color="auto" w:fill="auto"/>
            <w:noWrap/>
            <w:vAlign w:val="center"/>
            <w:hideMark/>
          </w:tcPr>
          <w:p w14:paraId="31A4CBE7" w14:textId="77777777" w:rsidR="00387142" w:rsidRPr="008B6A75" w:rsidRDefault="00387142" w:rsidP="00387142">
            <w:pPr>
              <w:jc w:val="center"/>
              <w:rPr>
                <w:bCs/>
                <w:sz w:val="20"/>
                <w:szCs w:val="20"/>
              </w:rPr>
            </w:pPr>
            <w:r w:rsidRPr="008B6A75">
              <w:rPr>
                <w:bCs/>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A2F1A36" w14:textId="77777777" w:rsidR="00387142" w:rsidRPr="008B6A75" w:rsidRDefault="00387142" w:rsidP="00387142">
            <w:pPr>
              <w:jc w:val="center"/>
              <w:rPr>
                <w:bCs/>
                <w:sz w:val="20"/>
                <w:szCs w:val="20"/>
              </w:rPr>
            </w:pPr>
            <w:r w:rsidRPr="008B6A75">
              <w:rPr>
                <w:bCs/>
                <w:sz w:val="20"/>
                <w:szCs w:val="20"/>
              </w:rPr>
              <w:t>01</w:t>
            </w:r>
          </w:p>
        </w:tc>
        <w:tc>
          <w:tcPr>
            <w:tcW w:w="1516" w:type="dxa"/>
            <w:tcBorders>
              <w:top w:val="nil"/>
              <w:left w:val="single" w:sz="4" w:space="0" w:color="auto"/>
              <w:bottom w:val="single" w:sz="4" w:space="0" w:color="auto"/>
              <w:right w:val="nil"/>
            </w:tcBorders>
            <w:shd w:val="clear" w:color="auto" w:fill="auto"/>
            <w:noWrap/>
            <w:vAlign w:val="center"/>
            <w:hideMark/>
          </w:tcPr>
          <w:p w14:paraId="1C0D536D" w14:textId="77777777" w:rsidR="00387142" w:rsidRPr="008B6A75" w:rsidRDefault="00387142" w:rsidP="00387142">
            <w:pPr>
              <w:jc w:val="center"/>
              <w:rPr>
                <w:bCs/>
                <w:sz w:val="20"/>
                <w:szCs w:val="20"/>
              </w:rPr>
            </w:pPr>
            <w:r w:rsidRPr="008B6A75">
              <w:rPr>
                <w:bCs/>
                <w:sz w:val="20"/>
                <w:szCs w:val="20"/>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6462CDA"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D338023" w14:textId="77777777" w:rsidR="00387142" w:rsidRPr="008B6A75" w:rsidRDefault="00387142" w:rsidP="00387142">
            <w:pPr>
              <w:jc w:val="right"/>
              <w:rPr>
                <w:bCs/>
                <w:sz w:val="20"/>
                <w:szCs w:val="20"/>
              </w:rPr>
            </w:pPr>
            <w:r w:rsidRPr="008B6A75">
              <w:rPr>
                <w:bCs/>
                <w:sz w:val="20"/>
                <w:szCs w:val="20"/>
              </w:rPr>
              <w:t>95 438 965,18</w:t>
            </w:r>
          </w:p>
        </w:tc>
        <w:tc>
          <w:tcPr>
            <w:tcW w:w="992" w:type="dxa"/>
            <w:tcBorders>
              <w:top w:val="nil"/>
              <w:left w:val="single" w:sz="4" w:space="0" w:color="auto"/>
              <w:bottom w:val="single" w:sz="4" w:space="0" w:color="auto"/>
              <w:right w:val="nil"/>
            </w:tcBorders>
            <w:shd w:val="clear" w:color="auto" w:fill="auto"/>
            <w:vAlign w:val="center"/>
            <w:hideMark/>
          </w:tcPr>
          <w:p w14:paraId="0BC7897F" w14:textId="77777777" w:rsidR="00387142" w:rsidRPr="008B6A75" w:rsidRDefault="00387142" w:rsidP="00387142">
            <w:pPr>
              <w:jc w:val="right"/>
              <w:rPr>
                <w:bCs/>
                <w:sz w:val="20"/>
                <w:szCs w:val="20"/>
              </w:rPr>
            </w:pPr>
            <w:r w:rsidRPr="008B6A75">
              <w:rPr>
                <w:bCs/>
                <w:sz w:val="20"/>
                <w:szCs w:val="20"/>
              </w:rPr>
              <w:t>25 976 894,74</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00F28B42" w14:textId="77777777" w:rsidR="00387142" w:rsidRPr="008B6A75" w:rsidRDefault="00387142" w:rsidP="00387142">
            <w:pPr>
              <w:jc w:val="right"/>
              <w:rPr>
                <w:bCs/>
                <w:sz w:val="20"/>
                <w:szCs w:val="20"/>
              </w:rPr>
            </w:pPr>
            <w:r w:rsidRPr="008B6A75">
              <w:rPr>
                <w:bCs/>
                <w:sz w:val="20"/>
                <w:szCs w:val="20"/>
              </w:rPr>
              <w:t>21 591 336,84</w:t>
            </w:r>
          </w:p>
        </w:tc>
      </w:tr>
      <w:tr w:rsidR="00387142" w:rsidRPr="008B6A75" w14:paraId="0C0DAF6D" w14:textId="77777777" w:rsidTr="00387142">
        <w:trPr>
          <w:trHeight w:val="345"/>
        </w:trPr>
        <w:tc>
          <w:tcPr>
            <w:tcW w:w="3261" w:type="dxa"/>
            <w:tcBorders>
              <w:top w:val="nil"/>
              <w:left w:val="single" w:sz="4" w:space="0" w:color="auto"/>
              <w:bottom w:val="single" w:sz="4" w:space="0" w:color="auto"/>
              <w:right w:val="nil"/>
            </w:tcBorders>
            <w:shd w:val="clear" w:color="auto" w:fill="auto"/>
            <w:vAlign w:val="center"/>
            <w:hideMark/>
          </w:tcPr>
          <w:p w14:paraId="4E612D9E" w14:textId="77777777" w:rsidR="00387142" w:rsidRPr="008B6A75" w:rsidRDefault="00387142" w:rsidP="00387142">
            <w:pPr>
              <w:rPr>
                <w:bCs/>
                <w:sz w:val="20"/>
                <w:szCs w:val="20"/>
              </w:rPr>
            </w:pPr>
            <w:r w:rsidRPr="008B6A75">
              <w:rPr>
                <w:bCs/>
                <w:sz w:val="20"/>
                <w:szCs w:val="20"/>
              </w:rPr>
              <w:t>Непрограммные направления бюджета</w:t>
            </w:r>
          </w:p>
        </w:tc>
        <w:tc>
          <w:tcPr>
            <w:tcW w:w="720" w:type="dxa"/>
            <w:tcBorders>
              <w:top w:val="nil"/>
              <w:left w:val="single" w:sz="4" w:space="0" w:color="auto"/>
              <w:bottom w:val="single" w:sz="4" w:space="0" w:color="auto"/>
              <w:right w:val="nil"/>
            </w:tcBorders>
            <w:shd w:val="clear" w:color="auto" w:fill="auto"/>
            <w:noWrap/>
            <w:vAlign w:val="center"/>
            <w:hideMark/>
          </w:tcPr>
          <w:p w14:paraId="011FEF14" w14:textId="77777777" w:rsidR="00387142" w:rsidRPr="008B6A75" w:rsidRDefault="00387142" w:rsidP="00387142">
            <w:pPr>
              <w:jc w:val="center"/>
              <w:rPr>
                <w:bCs/>
                <w:sz w:val="20"/>
                <w:szCs w:val="20"/>
              </w:rPr>
            </w:pPr>
            <w:r w:rsidRPr="008B6A75">
              <w:rPr>
                <w:bCs/>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1237C3A" w14:textId="77777777" w:rsidR="00387142" w:rsidRPr="008B6A75" w:rsidRDefault="00387142" w:rsidP="00387142">
            <w:pPr>
              <w:jc w:val="center"/>
              <w:rPr>
                <w:bCs/>
                <w:sz w:val="20"/>
                <w:szCs w:val="20"/>
              </w:rPr>
            </w:pPr>
            <w:r w:rsidRPr="008B6A75">
              <w:rPr>
                <w:bCs/>
                <w:sz w:val="20"/>
                <w:szCs w:val="20"/>
              </w:rPr>
              <w:t>01</w:t>
            </w:r>
          </w:p>
        </w:tc>
        <w:tc>
          <w:tcPr>
            <w:tcW w:w="1516" w:type="dxa"/>
            <w:tcBorders>
              <w:top w:val="nil"/>
              <w:left w:val="single" w:sz="4" w:space="0" w:color="auto"/>
              <w:bottom w:val="single" w:sz="4" w:space="0" w:color="auto"/>
              <w:right w:val="nil"/>
            </w:tcBorders>
            <w:shd w:val="clear" w:color="auto" w:fill="auto"/>
            <w:noWrap/>
            <w:vAlign w:val="center"/>
            <w:hideMark/>
          </w:tcPr>
          <w:p w14:paraId="09618C20" w14:textId="77777777" w:rsidR="00387142" w:rsidRPr="008B6A75" w:rsidRDefault="00387142" w:rsidP="00387142">
            <w:pPr>
              <w:jc w:val="center"/>
              <w:rPr>
                <w:bCs/>
                <w:sz w:val="20"/>
                <w:szCs w:val="20"/>
              </w:rPr>
            </w:pPr>
            <w:r w:rsidRPr="008B6A75">
              <w:rPr>
                <w:bCs/>
                <w:sz w:val="20"/>
                <w:szCs w:val="20"/>
              </w:rPr>
              <w:t>99.0.00.00000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E495866"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ED14AC5" w14:textId="77777777" w:rsidR="00387142" w:rsidRPr="008B6A75" w:rsidRDefault="00387142" w:rsidP="00387142">
            <w:pPr>
              <w:jc w:val="right"/>
              <w:rPr>
                <w:bCs/>
                <w:sz w:val="20"/>
                <w:szCs w:val="20"/>
              </w:rPr>
            </w:pPr>
            <w:r w:rsidRPr="008B6A75">
              <w:rPr>
                <w:bCs/>
                <w:sz w:val="20"/>
                <w:szCs w:val="20"/>
              </w:rPr>
              <w:t>95 438 965,18</w:t>
            </w:r>
          </w:p>
        </w:tc>
        <w:tc>
          <w:tcPr>
            <w:tcW w:w="992" w:type="dxa"/>
            <w:tcBorders>
              <w:top w:val="nil"/>
              <w:left w:val="single" w:sz="4" w:space="0" w:color="auto"/>
              <w:bottom w:val="single" w:sz="4" w:space="0" w:color="auto"/>
              <w:right w:val="nil"/>
            </w:tcBorders>
            <w:shd w:val="clear" w:color="auto" w:fill="auto"/>
            <w:vAlign w:val="center"/>
            <w:hideMark/>
          </w:tcPr>
          <w:p w14:paraId="1E2E6260" w14:textId="77777777" w:rsidR="00387142" w:rsidRPr="008B6A75" w:rsidRDefault="00387142" w:rsidP="00387142">
            <w:pPr>
              <w:jc w:val="right"/>
              <w:rPr>
                <w:bCs/>
                <w:sz w:val="20"/>
                <w:szCs w:val="20"/>
              </w:rPr>
            </w:pPr>
            <w:r w:rsidRPr="008B6A75">
              <w:rPr>
                <w:bCs/>
                <w:sz w:val="20"/>
                <w:szCs w:val="20"/>
              </w:rPr>
              <w:t>25 976 894,74</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7480CB8C" w14:textId="77777777" w:rsidR="00387142" w:rsidRPr="008B6A75" w:rsidRDefault="00387142" w:rsidP="00387142">
            <w:pPr>
              <w:jc w:val="right"/>
              <w:rPr>
                <w:bCs/>
                <w:sz w:val="20"/>
                <w:szCs w:val="20"/>
              </w:rPr>
            </w:pPr>
            <w:r w:rsidRPr="008B6A75">
              <w:rPr>
                <w:bCs/>
                <w:sz w:val="20"/>
                <w:szCs w:val="20"/>
              </w:rPr>
              <w:t>21 591 336,84</w:t>
            </w:r>
          </w:p>
        </w:tc>
      </w:tr>
      <w:tr w:rsidR="00387142" w:rsidRPr="008B6A75" w14:paraId="77D554B7" w14:textId="77777777" w:rsidTr="00387142">
        <w:trPr>
          <w:trHeight w:val="585"/>
        </w:trPr>
        <w:tc>
          <w:tcPr>
            <w:tcW w:w="3261" w:type="dxa"/>
            <w:tcBorders>
              <w:top w:val="nil"/>
              <w:left w:val="single" w:sz="4" w:space="0" w:color="auto"/>
              <w:bottom w:val="single" w:sz="4" w:space="0" w:color="auto"/>
              <w:right w:val="nil"/>
            </w:tcBorders>
            <w:shd w:val="clear" w:color="auto" w:fill="auto"/>
            <w:vAlign w:val="center"/>
            <w:hideMark/>
          </w:tcPr>
          <w:p w14:paraId="040F9BED" w14:textId="77777777" w:rsidR="00387142" w:rsidRPr="008B6A75" w:rsidRDefault="00387142" w:rsidP="00387142">
            <w:pPr>
              <w:rPr>
                <w:bCs/>
                <w:sz w:val="20"/>
                <w:szCs w:val="20"/>
              </w:rPr>
            </w:pPr>
            <w:r w:rsidRPr="008B6A75">
              <w:rPr>
                <w:bCs/>
                <w:sz w:val="20"/>
                <w:szCs w:val="20"/>
              </w:rPr>
              <w:t>Мероприятия в области строительства муниципального жилого фонда</w:t>
            </w:r>
          </w:p>
        </w:tc>
        <w:tc>
          <w:tcPr>
            <w:tcW w:w="720" w:type="dxa"/>
            <w:tcBorders>
              <w:top w:val="nil"/>
              <w:left w:val="single" w:sz="4" w:space="0" w:color="auto"/>
              <w:bottom w:val="single" w:sz="4" w:space="0" w:color="auto"/>
              <w:right w:val="nil"/>
            </w:tcBorders>
            <w:shd w:val="clear" w:color="auto" w:fill="auto"/>
            <w:noWrap/>
            <w:vAlign w:val="center"/>
            <w:hideMark/>
          </w:tcPr>
          <w:p w14:paraId="65DD96D5" w14:textId="77777777" w:rsidR="00387142" w:rsidRPr="008B6A75" w:rsidRDefault="00387142" w:rsidP="00387142">
            <w:pPr>
              <w:jc w:val="center"/>
              <w:rPr>
                <w:bCs/>
                <w:sz w:val="20"/>
                <w:szCs w:val="20"/>
              </w:rPr>
            </w:pPr>
            <w:r w:rsidRPr="008B6A75">
              <w:rPr>
                <w:bCs/>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0F04B04" w14:textId="77777777" w:rsidR="00387142" w:rsidRPr="008B6A75" w:rsidRDefault="00387142" w:rsidP="00387142">
            <w:pPr>
              <w:jc w:val="center"/>
              <w:rPr>
                <w:bCs/>
                <w:sz w:val="20"/>
                <w:szCs w:val="20"/>
              </w:rPr>
            </w:pPr>
            <w:r w:rsidRPr="008B6A75">
              <w:rPr>
                <w:bCs/>
                <w:sz w:val="20"/>
                <w:szCs w:val="20"/>
              </w:rPr>
              <w:t>01</w:t>
            </w:r>
          </w:p>
        </w:tc>
        <w:tc>
          <w:tcPr>
            <w:tcW w:w="1516" w:type="dxa"/>
            <w:tcBorders>
              <w:top w:val="nil"/>
              <w:left w:val="single" w:sz="4" w:space="0" w:color="auto"/>
              <w:bottom w:val="single" w:sz="4" w:space="0" w:color="auto"/>
              <w:right w:val="nil"/>
            </w:tcBorders>
            <w:shd w:val="clear" w:color="auto" w:fill="auto"/>
            <w:noWrap/>
            <w:vAlign w:val="center"/>
            <w:hideMark/>
          </w:tcPr>
          <w:p w14:paraId="1D7A7F91" w14:textId="77777777" w:rsidR="00387142" w:rsidRPr="008B6A75" w:rsidRDefault="00387142" w:rsidP="00387142">
            <w:pPr>
              <w:jc w:val="center"/>
              <w:rPr>
                <w:bCs/>
                <w:sz w:val="20"/>
                <w:szCs w:val="20"/>
              </w:rPr>
            </w:pPr>
            <w:r w:rsidRPr="008B6A75">
              <w:rPr>
                <w:bCs/>
                <w:sz w:val="20"/>
                <w:szCs w:val="20"/>
              </w:rPr>
              <w:t>99.0.00.05130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F7CB078"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D8AEC48" w14:textId="77777777" w:rsidR="00387142" w:rsidRPr="008B6A75" w:rsidRDefault="00387142" w:rsidP="00387142">
            <w:pPr>
              <w:jc w:val="right"/>
              <w:rPr>
                <w:bCs/>
                <w:sz w:val="20"/>
                <w:szCs w:val="20"/>
              </w:rPr>
            </w:pPr>
            <w:r w:rsidRPr="008B6A75">
              <w:rPr>
                <w:bCs/>
                <w:sz w:val="20"/>
                <w:szCs w:val="20"/>
              </w:rPr>
              <w:t>2 000 000,00</w:t>
            </w:r>
          </w:p>
        </w:tc>
        <w:tc>
          <w:tcPr>
            <w:tcW w:w="992" w:type="dxa"/>
            <w:tcBorders>
              <w:top w:val="nil"/>
              <w:left w:val="single" w:sz="4" w:space="0" w:color="auto"/>
              <w:bottom w:val="single" w:sz="4" w:space="0" w:color="auto"/>
              <w:right w:val="nil"/>
            </w:tcBorders>
            <w:shd w:val="clear" w:color="auto" w:fill="auto"/>
            <w:vAlign w:val="center"/>
            <w:hideMark/>
          </w:tcPr>
          <w:p w14:paraId="059771FB" w14:textId="77777777" w:rsidR="00387142" w:rsidRPr="008B6A75" w:rsidRDefault="00387142" w:rsidP="00387142">
            <w:pPr>
              <w:jc w:val="right"/>
              <w:rPr>
                <w:bCs/>
                <w:sz w:val="20"/>
                <w:szCs w:val="20"/>
              </w:rPr>
            </w:pPr>
            <w:r w:rsidRPr="008B6A75">
              <w:rPr>
                <w:bCs/>
                <w:sz w:val="20"/>
                <w:szCs w:val="20"/>
              </w:rPr>
              <w:t>5 000 000,00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1DFC6C59" w14:textId="77777777" w:rsidR="00387142" w:rsidRPr="008B6A75" w:rsidRDefault="00387142" w:rsidP="00387142">
            <w:pPr>
              <w:jc w:val="right"/>
              <w:rPr>
                <w:bCs/>
                <w:sz w:val="20"/>
                <w:szCs w:val="20"/>
              </w:rPr>
            </w:pPr>
            <w:r w:rsidRPr="008B6A75">
              <w:rPr>
                <w:bCs/>
                <w:sz w:val="20"/>
                <w:szCs w:val="20"/>
              </w:rPr>
              <w:t>0,00</w:t>
            </w:r>
          </w:p>
        </w:tc>
      </w:tr>
      <w:tr w:rsidR="00387142" w:rsidRPr="008B6A75" w14:paraId="6FC4F247" w14:textId="77777777" w:rsidTr="00387142">
        <w:trPr>
          <w:trHeight w:val="870"/>
        </w:trPr>
        <w:tc>
          <w:tcPr>
            <w:tcW w:w="3261" w:type="dxa"/>
            <w:tcBorders>
              <w:top w:val="nil"/>
              <w:left w:val="single" w:sz="4" w:space="0" w:color="auto"/>
              <w:bottom w:val="single" w:sz="4" w:space="0" w:color="auto"/>
              <w:right w:val="nil"/>
            </w:tcBorders>
            <w:shd w:val="clear" w:color="auto" w:fill="auto"/>
            <w:vAlign w:val="center"/>
            <w:hideMark/>
          </w:tcPr>
          <w:p w14:paraId="4E1FEE22" w14:textId="77777777" w:rsidR="00387142" w:rsidRPr="008B6A75" w:rsidRDefault="00387142" w:rsidP="00387142">
            <w:pPr>
              <w:rPr>
                <w:sz w:val="20"/>
                <w:szCs w:val="20"/>
              </w:rPr>
            </w:pPr>
            <w:r w:rsidRPr="008B6A75">
              <w:rPr>
                <w:sz w:val="20"/>
                <w:szCs w:val="20"/>
              </w:rPr>
              <w:t>Капитальные вложения в объекты государственной (муниципальной) собственности</w:t>
            </w:r>
          </w:p>
        </w:tc>
        <w:tc>
          <w:tcPr>
            <w:tcW w:w="720" w:type="dxa"/>
            <w:tcBorders>
              <w:top w:val="nil"/>
              <w:left w:val="single" w:sz="4" w:space="0" w:color="auto"/>
              <w:bottom w:val="single" w:sz="4" w:space="0" w:color="auto"/>
              <w:right w:val="nil"/>
            </w:tcBorders>
            <w:shd w:val="clear" w:color="auto" w:fill="auto"/>
            <w:noWrap/>
            <w:vAlign w:val="center"/>
            <w:hideMark/>
          </w:tcPr>
          <w:p w14:paraId="39FF7FB8" w14:textId="77777777" w:rsidR="00387142" w:rsidRPr="008B6A75" w:rsidRDefault="00387142" w:rsidP="00387142">
            <w:pPr>
              <w:jc w:val="center"/>
              <w:rPr>
                <w:sz w:val="20"/>
                <w:szCs w:val="20"/>
              </w:rPr>
            </w:pPr>
            <w:r w:rsidRPr="008B6A75">
              <w:rPr>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9D388DE" w14:textId="77777777" w:rsidR="00387142" w:rsidRPr="008B6A75" w:rsidRDefault="00387142" w:rsidP="00387142">
            <w:pPr>
              <w:jc w:val="center"/>
              <w:rPr>
                <w:sz w:val="20"/>
                <w:szCs w:val="20"/>
              </w:rPr>
            </w:pPr>
            <w:r w:rsidRPr="008B6A75">
              <w:rPr>
                <w:sz w:val="20"/>
                <w:szCs w:val="20"/>
              </w:rPr>
              <w:t>01</w:t>
            </w:r>
          </w:p>
        </w:tc>
        <w:tc>
          <w:tcPr>
            <w:tcW w:w="1516" w:type="dxa"/>
            <w:tcBorders>
              <w:top w:val="nil"/>
              <w:left w:val="single" w:sz="4" w:space="0" w:color="auto"/>
              <w:bottom w:val="single" w:sz="4" w:space="0" w:color="auto"/>
              <w:right w:val="nil"/>
            </w:tcBorders>
            <w:shd w:val="clear" w:color="auto" w:fill="auto"/>
            <w:noWrap/>
            <w:vAlign w:val="center"/>
            <w:hideMark/>
          </w:tcPr>
          <w:p w14:paraId="63366A03" w14:textId="77777777" w:rsidR="00387142" w:rsidRPr="008B6A75" w:rsidRDefault="00387142" w:rsidP="00387142">
            <w:pPr>
              <w:jc w:val="center"/>
              <w:rPr>
                <w:sz w:val="20"/>
                <w:szCs w:val="20"/>
              </w:rPr>
            </w:pPr>
            <w:r w:rsidRPr="008B6A75">
              <w:rPr>
                <w:sz w:val="20"/>
                <w:szCs w:val="20"/>
              </w:rPr>
              <w:t>99.0.00.05130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98DEC3A" w14:textId="77777777" w:rsidR="00387142" w:rsidRPr="008B6A75" w:rsidRDefault="00387142" w:rsidP="00387142">
            <w:pPr>
              <w:jc w:val="center"/>
              <w:rPr>
                <w:sz w:val="20"/>
                <w:szCs w:val="20"/>
              </w:rPr>
            </w:pPr>
            <w:r w:rsidRPr="008B6A75">
              <w:rPr>
                <w:sz w:val="20"/>
                <w:szCs w:val="20"/>
              </w:rPr>
              <w:t>400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4AC3F92" w14:textId="77777777" w:rsidR="00387142" w:rsidRPr="008B6A75" w:rsidRDefault="00387142" w:rsidP="00387142">
            <w:pPr>
              <w:jc w:val="right"/>
              <w:rPr>
                <w:sz w:val="20"/>
                <w:szCs w:val="20"/>
              </w:rPr>
            </w:pPr>
            <w:r w:rsidRPr="008B6A75">
              <w:rPr>
                <w:sz w:val="20"/>
                <w:szCs w:val="20"/>
              </w:rPr>
              <w:t>2 000 000,00</w:t>
            </w:r>
          </w:p>
        </w:tc>
        <w:tc>
          <w:tcPr>
            <w:tcW w:w="992" w:type="dxa"/>
            <w:tcBorders>
              <w:top w:val="nil"/>
              <w:left w:val="single" w:sz="4" w:space="0" w:color="auto"/>
              <w:bottom w:val="single" w:sz="4" w:space="0" w:color="auto"/>
              <w:right w:val="nil"/>
            </w:tcBorders>
            <w:shd w:val="clear" w:color="auto" w:fill="auto"/>
            <w:vAlign w:val="center"/>
            <w:hideMark/>
          </w:tcPr>
          <w:p w14:paraId="2F0F76FE" w14:textId="77777777" w:rsidR="00387142" w:rsidRPr="008B6A75" w:rsidRDefault="00387142" w:rsidP="00387142">
            <w:pPr>
              <w:jc w:val="right"/>
              <w:rPr>
                <w:sz w:val="20"/>
                <w:szCs w:val="20"/>
              </w:rPr>
            </w:pPr>
            <w:r w:rsidRPr="008B6A75">
              <w:rPr>
                <w:sz w:val="20"/>
                <w:szCs w:val="20"/>
              </w:rPr>
              <w:t>5 000 000,00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7F54B587" w14:textId="77777777" w:rsidR="00387142" w:rsidRPr="008B6A75" w:rsidRDefault="00387142" w:rsidP="00387142">
            <w:pPr>
              <w:jc w:val="right"/>
              <w:rPr>
                <w:sz w:val="20"/>
                <w:szCs w:val="20"/>
              </w:rPr>
            </w:pPr>
            <w:r w:rsidRPr="008B6A75">
              <w:rPr>
                <w:sz w:val="20"/>
                <w:szCs w:val="20"/>
              </w:rPr>
              <w:t>0,00</w:t>
            </w:r>
          </w:p>
        </w:tc>
      </w:tr>
      <w:tr w:rsidR="00387142" w:rsidRPr="008B6A75" w14:paraId="26F6939F" w14:textId="77777777" w:rsidTr="00387142">
        <w:trPr>
          <w:trHeight w:val="345"/>
        </w:trPr>
        <w:tc>
          <w:tcPr>
            <w:tcW w:w="3261" w:type="dxa"/>
            <w:tcBorders>
              <w:top w:val="nil"/>
              <w:left w:val="single" w:sz="4" w:space="0" w:color="auto"/>
              <w:bottom w:val="single" w:sz="4" w:space="0" w:color="auto"/>
              <w:right w:val="nil"/>
            </w:tcBorders>
            <w:shd w:val="clear" w:color="auto" w:fill="auto"/>
            <w:vAlign w:val="center"/>
            <w:hideMark/>
          </w:tcPr>
          <w:p w14:paraId="718F7FE8" w14:textId="77777777" w:rsidR="00387142" w:rsidRPr="008B6A75" w:rsidRDefault="00387142" w:rsidP="00387142">
            <w:pPr>
              <w:rPr>
                <w:sz w:val="20"/>
                <w:szCs w:val="20"/>
              </w:rPr>
            </w:pPr>
            <w:r w:rsidRPr="008B6A75">
              <w:rPr>
                <w:sz w:val="20"/>
                <w:szCs w:val="20"/>
              </w:rPr>
              <w:t>Бюджетные инвестиции</w:t>
            </w:r>
          </w:p>
        </w:tc>
        <w:tc>
          <w:tcPr>
            <w:tcW w:w="720" w:type="dxa"/>
            <w:tcBorders>
              <w:top w:val="nil"/>
              <w:left w:val="single" w:sz="4" w:space="0" w:color="auto"/>
              <w:bottom w:val="single" w:sz="4" w:space="0" w:color="auto"/>
              <w:right w:val="nil"/>
            </w:tcBorders>
            <w:shd w:val="clear" w:color="auto" w:fill="auto"/>
            <w:noWrap/>
            <w:vAlign w:val="center"/>
            <w:hideMark/>
          </w:tcPr>
          <w:p w14:paraId="292AD9B3" w14:textId="77777777" w:rsidR="00387142" w:rsidRPr="008B6A75" w:rsidRDefault="00387142" w:rsidP="00387142">
            <w:pPr>
              <w:jc w:val="center"/>
              <w:rPr>
                <w:sz w:val="20"/>
                <w:szCs w:val="20"/>
              </w:rPr>
            </w:pPr>
            <w:r w:rsidRPr="008B6A75">
              <w:rPr>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BEE6996" w14:textId="77777777" w:rsidR="00387142" w:rsidRPr="008B6A75" w:rsidRDefault="00387142" w:rsidP="00387142">
            <w:pPr>
              <w:jc w:val="center"/>
              <w:rPr>
                <w:sz w:val="20"/>
                <w:szCs w:val="20"/>
              </w:rPr>
            </w:pPr>
            <w:r w:rsidRPr="008B6A75">
              <w:rPr>
                <w:sz w:val="20"/>
                <w:szCs w:val="20"/>
              </w:rPr>
              <w:t>01</w:t>
            </w:r>
          </w:p>
        </w:tc>
        <w:tc>
          <w:tcPr>
            <w:tcW w:w="1516" w:type="dxa"/>
            <w:tcBorders>
              <w:top w:val="nil"/>
              <w:left w:val="single" w:sz="4" w:space="0" w:color="auto"/>
              <w:bottom w:val="single" w:sz="4" w:space="0" w:color="auto"/>
              <w:right w:val="nil"/>
            </w:tcBorders>
            <w:shd w:val="clear" w:color="auto" w:fill="auto"/>
            <w:noWrap/>
            <w:vAlign w:val="center"/>
            <w:hideMark/>
          </w:tcPr>
          <w:p w14:paraId="34559D39" w14:textId="77777777" w:rsidR="00387142" w:rsidRPr="008B6A75" w:rsidRDefault="00387142" w:rsidP="00387142">
            <w:pPr>
              <w:jc w:val="center"/>
              <w:rPr>
                <w:sz w:val="20"/>
                <w:szCs w:val="20"/>
              </w:rPr>
            </w:pPr>
            <w:r w:rsidRPr="008B6A75">
              <w:rPr>
                <w:sz w:val="20"/>
                <w:szCs w:val="20"/>
              </w:rPr>
              <w:t>99.0.00.05130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37D65C1" w14:textId="77777777" w:rsidR="00387142" w:rsidRPr="008B6A75" w:rsidRDefault="00387142" w:rsidP="00387142">
            <w:pPr>
              <w:jc w:val="center"/>
              <w:rPr>
                <w:sz w:val="20"/>
                <w:szCs w:val="20"/>
              </w:rPr>
            </w:pPr>
            <w:r w:rsidRPr="008B6A75">
              <w:rPr>
                <w:sz w:val="20"/>
                <w:szCs w:val="20"/>
              </w:rPr>
              <w:t>410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CB572FC" w14:textId="77777777" w:rsidR="00387142" w:rsidRPr="008B6A75" w:rsidRDefault="00387142" w:rsidP="00387142">
            <w:pPr>
              <w:jc w:val="right"/>
              <w:rPr>
                <w:sz w:val="20"/>
                <w:szCs w:val="20"/>
              </w:rPr>
            </w:pPr>
            <w:r w:rsidRPr="008B6A75">
              <w:rPr>
                <w:sz w:val="20"/>
                <w:szCs w:val="20"/>
              </w:rPr>
              <w:t>2 000 000,00</w:t>
            </w:r>
          </w:p>
        </w:tc>
        <w:tc>
          <w:tcPr>
            <w:tcW w:w="992" w:type="dxa"/>
            <w:tcBorders>
              <w:top w:val="nil"/>
              <w:left w:val="single" w:sz="4" w:space="0" w:color="auto"/>
              <w:bottom w:val="single" w:sz="4" w:space="0" w:color="auto"/>
              <w:right w:val="nil"/>
            </w:tcBorders>
            <w:shd w:val="clear" w:color="auto" w:fill="auto"/>
            <w:vAlign w:val="center"/>
            <w:hideMark/>
          </w:tcPr>
          <w:p w14:paraId="2808E72B" w14:textId="77777777" w:rsidR="00387142" w:rsidRPr="008B6A75" w:rsidRDefault="00387142" w:rsidP="00387142">
            <w:pPr>
              <w:jc w:val="right"/>
              <w:rPr>
                <w:sz w:val="20"/>
                <w:szCs w:val="20"/>
              </w:rPr>
            </w:pPr>
            <w:r w:rsidRPr="008B6A75">
              <w:rPr>
                <w:sz w:val="20"/>
                <w:szCs w:val="20"/>
              </w:rPr>
              <w:t>5 000 000,00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78992A3E" w14:textId="77777777" w:rsidR="00387142" w:rsidRPr="008B6A75" w:rsidRDefault="00387142" w:rsidP="00387142">
            <w:pPr>
              <w:jc w:val="right"/>
              <w:rPr>
                <w:sz w:val="20"/>
                <w:szCs w:val="20"/>
              </w:rPr>
            </w:pPr>
            <w:r w:rsidRPr="008B6A75">
              <w:rPr>
                <w:sz w:val="20"/>
                <w:szCs w:val="20"/>
              </w:rPr>
              <w:t>0,00</w:t>
            </w:r>
          </w:p>
        </w:tc>
      </w:tr>
      <w:tr w:rsidR="00387142" w:rsidRPr="008B6A75" w14:paraId="18342D3D" w14:textId="77777777" w:rsidTr="00387142">
        <w:trPr>
          <w:trHeight w:val="1440"/>
        </w:trPr>
        <w:tc>
          <w:tcPr>
            <w:tcW w:w="3261" w:type="dxa"/>
            <w:tcBorders>
              <w:top w:val="nil"/>
              <w:left w:val="single" w:sz="4" w:space="0" w:color="auto"/>
              <w:bottom w:val="single" w:sz="4" w:space="0" w:color="auto"/>
              <w:right w:val="nil"/>
            </w:tcBorders>
            <w:shd w:val="clear" w:color="auto" w:fill="auto"/>
            <w:vAlign w:val="center"/>
            <w:hideMark/>
          </w:tcPr>
          <w:p w14:paraId="5C8A016B" w14:textId="77777777" w:rsidR="00387142" w:rsidRPr="008B6A75" w:rsidRDefault="00387142" w:rsidP="00387142">
            <w:pPr>
              <w:rPr>
                <w:bCs/>
                <w:sz w:val="20"/>
                <w:szCs w:val="20"/>
              </w:rPr>
            </w:pPr>
            <w:r w:rsidRPr="008B6A75">
              <w:rPr>
                <w:bCs/>
                <w:sz w:val="20"/>
                <w:szCs w:val="2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720" w:type="dxa"/>
            <w:tcBorders>
              <w:top w:val="nil"/>
              <w:left w:val="single" w:sz="4" w:space="0" w:color="auto"/>
              <w:bottom w:val="single" w:sz="4" w:space="0" w:color="auto"/>
              <w:right w:val="nil"/>
            </w:tcBorders>
            <w:shd w:val="clear" w:color="auto" w:fill="auto"/>
            <w:noWrap/>
            <w:vAlign w:val="center"/>
            <w:hideMark/>
          </w:tcPr>
          <w:p w14:paraId="35654ABA" w14:textId="77777777" w:rsidR="00387142" w:rsidRPr="008B6A75" w:rsidRDefault="00387142" w:rsidP="00387142">
            <w:pPr>
              <w:jc w:val="center"/>
              <w:rPr>
                <w:bCs/>
                <w:sz w:val="20"/>
                <w:szCs w:val="20"/>
              </w:rPr>
            </w:pPr>
            <w:r w:rsidRPr="008B6A75">
              <w:rPr>
                <w:bCs/>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9F087C8" w14:textId="77777777" w:rsidR="00387142" w:rsidRPr="008B6A75" w:rsidRDefault="00387142" w:rsidP="00387142">
            <w:pPr>
              <w:jc w:val="center"/>
              <w:rPr>
                <w:bCs/>
                <w:sz w:val="20"/>
                <w:szCs w:val="20"/>
              </w:rPr>
            </w:pPr>
            <w:r w:rsidRPr="008B6A75">
              <w:rPr>
                <w:bCs/>
                <w:sz w:val="20"/>
                <w:szCs w:val="20"/>
              </w:rPr>
              <w:t>01</w:t>
            </w:r>
          </w:p>
        </w:tc>
        <w:tc>
          <w:tcPr>
            <w:tcW w:w="1516" w:type="dxa"/>
            <w:tcBorders>
              <w:top w:val="nil"/>
              <w:left w:val="single" w:sz="4" w:space="0" w:color="auto"/>
              <w:bottom w:val="single" w:sz="4" w:space="0" w:color="auto"/>
              <w:right w:val="nil"/>
            </w:tcBorders>
            <w:shd w:val="clear" w:color="auto" w:fill="auto"/>
            <w:noWrap/>
            <w:vAlign w:val="center"/>
            <w:hideMark/>
          </w:tcPr>
          <w:p w14:paraId="6B95BEB3" w14:textId="77777777" w:rsidR="00387142" w:rsidRPr="008B6A75" w:rsidRDefault="00387142" w:rsidP="00387142">
            <w:pPr>
              <w:jc w:val="center"/>
              <w:rPr>
                <w:bCs/>
                <w:sz w:val="20"/>
                <w:szCs w:val="20"/>
              </w:rPr>
            </w:pPr>
            <w:r w:rsidRPr="008B6A75">
              <w:rPr>
                <w:bCs/>
                <w:sz w:val="20"/>
                <w:szCs w:val="20"/>
              </w:rPr>
              <w:t>99.0.00.70139</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AC1B7F6"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4BB379A" w14:textId="77777777" w:rsidR="00387142" w:rsidRPr="008B6A75" w:rsidRDefault="00387142" w:rsidP="00387142">
            <w:pPr>
              <w:jc w:val="right"/>
              <w:rPr>
                <w:bCs/>
                <w:sz w:val="20"/>
                <w:szCs w:val="20"/>
              </w:rPr>
            </w:pPr>
            <w:r w:rsidRPr="008B6A75">
              <w:rPr>
                <w:bCs/>
                <w:sz w:val="20"/>
                <w:szCs w:val="20"/>
              </w:rPr>
              <w:t>3 716 023,00</w:t>
            </w:r>
          </w:p>
        </w:tc>
        <w:tc>
          <w:tcPr>
            <w:tcW w:w="992" w:type="dxa"/>
            <w:tcBorders>
              <w:top w:val="nil"/>
              <w:left w:val="single" w:sz="4" w:space="0" w:color="auto"/>
              <w:bottom w:val="single" w:sz="4" w:space="0" w:color="auto"/>
              <w:right w:val="nil"/>
            </w:tcBorders>
            <w:shd w:val="clear" w:color="auto" w:fill="auto"/>
            <w:vAlign w:val="center"/>
            <w:hideMark/>
          </w:tcPr>
          <w:p w14:paraId="3D50E39D" w14:textId="77777777" w:rsidR="00387142" w:rsidRPr="008B6A75" w:rsidRDefault="00387142" w:rsidP="00387142">
            <w:pPr>
              <w:jc w:val="right"/>
              <w:rPr>
                <w:bCs/>
                <w:sz w:val="20"/>
                <w:szCs w:val="20"/>
              </w:rPr>
            </w:pPr>
            <w:r w:rsidRPr="008B6A75">
              <w:rPr>
                <w:bCs/>
                <w:sz w:val="20"/>
                <w:szCs w:val="20"/>
              </w:rPr>
              <w:t>2 305 300,00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6338E19D" w14:textId="77777777" w:rsidR="00387142" w:rsidRPr="008B6A75" w:rsidRDefault="00387142" w:rsidP="00387142">
            <w:pPr>
              <w:jc w:val="right"/>
              <w:rPr>
                <w:bCs/>
                <w:sz w:val="20"/>
                <w:szCs w:val="20"/>
              </w:rPr>
            </w:pPr>
            <w:r w:rsidRPr="008B6A75">
              <w:rPr>
                <w:bCs/>
                <w:sz w:val="20"/>
                <w:szCs w:val="20"/>
              </w:rPr>
              <w:t>0,00</w:t>
            </w:r>
          </w:p>
        </w:tc>
      </w:tr>
      <w:tr w:rsidR="00387142" w:rsidRPr="008B6A75" w14:paraId="38F38862" w14:textId="77777777" w:rsidTr="00387142">
        <w:trPr>
          <w:trHeight w:val="585"/>
        </w:trPr>
        <w:tc>
          <w:tcPr>
            <w:tcW w:w="3261" w:type="dxa"/>
            <w:tcBorders>
              <w:top w:val="nil"/>
              <w:left w:val="single" w:sz="4" w:space="0" w:color="auto"/>
              <w:bottom w:val="single" w:sz="4" w:space="0" w:color="auto"/>
              <w:right w:val="nil"/>
            </w:tcBorders>
            <w:shd w:val="clear" w:color="auto" w:fill="auto"/>
            <w:vAlign w:val="center"/>
            <w:hideMark/>
          </w:tcPr>
          <w:p w14:paraId="24B83189" w14:textId="77777777" w:rsidR="00387142" w:rsidRPr="008B6A75" w:rsidRDefault="00387142" w:rsidP="00387142">
            <w:pPr>
              <w:rPr>
                <w:sz w:val="20"/>
                <w:szCs w:val="20"/>
              </w:rPr>
            </w:pPr>
            <w:r w:rsidRPr="008B6A75">
              <w:rPr>
                <w:sz w:val="20"/>
                <w:szCs w:val="20"/>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49512D56" w14:textId="77777777" w:rsidR="00387142" w:rsidRPr="008B6A75" w:rsidRDefault="00387142" w:rsidP="00387142">
            <w:pPr>
              <w:jc w:val="center"/>
              <w:rPr>
                <w:sz w:val="20"/>
                <w:szCs w:val="20"/>
              </w:rPr>
            </w:pPr>
            <w:r w:rsidRPr="008B6A75">
              <w:rPr>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A450A8B" w14:textId="77777777" w:rsidR="00387142" w:rsidRPr="008B6A75" w:rsidRDefault="00387142" w:rsidP="00387142">
            <w:pPr>
              <w:jc w:val="center"/>
              <w:rPr>
                <w:sz w:val="20"/>
                <w:szCs w:val="20"/>
              </w:rPr>
            </w:pPr>
            <w:r w:rsidRPr="008B6A75">
              <w:rPr>
                <w:sz w:val="20"/>
                <w:szCs w:val="20"/>
              </w:rPr>
              <w:t>01</w:t>
            </w:r>
          </w:p>
        </w:tc>
        <w:tc>
          <w:tcPr>
            <w:tcW w:w="1516" w:type="dxa"/>
            <w:tcBorders>
              <w:top w:val="nil"/>
              <w:left w:val="single" w:sz="4" w:space="0" w:color="auto"/>
              <w:bottom w:val="single" w:sz="4" w:space="0" w:color="auto"/>
              <w:right w:val="nil"/>
            </w:tcBorders>
            <w:shd w:val="clear" w:color="auto" w:fill="auto"/>
            <w:noWrap/>
            <w:vAlign w:val="center"/>
            <w:hideMark/>
          </w:tcPr>
          <w:p w14:paraId="55B24937" w14:textId="77777777" w:rsidR="00387142" w:rsidRPr="008B6A75" w:rsidRDefault="00387142" w:rsidP="00387142">
            <w:pPr>
              <w:jc w:val="center"/>
              <w:rPr>
                <w:sz w:val="20"/>
                <w:szCs w:val="20"/>
              </w:rPr>
            </w:pPr>
            <w:r w:rsidRPr="008B6A75">
              <w:rPr>
                <w:sz w:val="20"/>
                <w:szCs w:val="20"/>
              </w:rPr>
              <w:t>99.0.00.70139</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3AFB133" w14:textId="77777777" w:rsidR="00387142" w:rsidRPr="008B6A75" w:rsidRDefault="00387142" w:rsidP="00387142">
            <w:pPr>
              <w:jc w:val="center"/>
              <w:rPr>
                <w:sz w:val="20"/>
                <w:szCs w:val="20"/>
              </w:rPr>
            </w:pPr>
            <w:r w:rsidRPr="008B6A75">
              <w:rPr>
                <w:sz w:val="20"/>
                <w:szCs w:val="20"/>
              </w:rPr>
              <w:t>200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62DD2C8" w14:textId="77777777" w:rsidR="00387142" w:rsidRPr="008B6A75" w:rsidRDefault="00387142" w:rsidP="00387142">
            <w:pPr>
              <w:jc w:val="right"/>
              <w:rPr>
                <w:sz w:val="20"/>
                <w:szCs w:val="20"/>
              </w:rPr>
            </w:pPr>
            <w:r w:rsidRPr="008B6A75">
              <w:rPr>
                <w:sz w:val="20"/>
                <w:szCs w:val="20"/>
              </w:rPr>
              <w:t>310 900,00</w:t>
            </w:r>
          </w:p>
        </w:tc>
        <w:tc>
          <w:tcPr>
            <w:tcW w:w="992" w:type="dxa"/>
            <w:tcBorders>
              <w:top w:val="nil"/>
              <w:left w:val="single" w:sz="4" w:space="0" w:color="auto"/>
              <w:bottom w:val="single" w:sz="4" w:space="0" w:color="auto"/>
              <w:right w:val="nil"/>
            </w:tcBorders>
            <w:shd w:val="clear" w:color="auto" w:fill="auto"/>
            <w:vAlign w:val="center"/>
            <w:hideMark/>
          </w:tcPr>
          <w:p w14:paraId="56FC3A04" w14:textId="77777777" w:rsidR="00387142" w:rsidRPr="008B6A75" w:rsidRDefault="00387142" w:rsidP="00387142">
            <w:pPr>
              <w:jc w:val="right"/>
              <w:rPr>
                <w:sz w:val="20"/>
                <w:szCs w:val="20"/>
              </w:rPr>
            </w:pPr>
            <w:r w:rsidRPr="008B6A75">
              <w:rPr>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254A92EE" w14:textId="77777777" w:rsidR="00387142" w:rsidRPr="008B6A75" w:rsidRDefault="00387142" w:rsidP="00387142">
            <w:pPr>
              <w:jc w:val="right"/>
              <w:rPr>
                <w:sz w:val="20"/>
                <w:szCs w:val="20"/>
              </w:rPr>
            </w:pPr>
            <w:r w:rsidRPr="008B6A75">
              <w:rPr>
                <w:sz w:val="20"/>
                <w:szCs w:val="20"/>
              </w:rPr>
              <w:t>0,00</w:t>
            </w:r>
          </w:p>
        </w:tc>
      </w:tr>
      <w:tr w:rsidR="00387142" w:rsidRPr="008B6A75" w14:paraId="6DD4F50C" w14:textId="77777777" w:rsidTr="00387142">
        <w:trPr>
          <w:trHeight w:val="870"/>
        </w:trPr>
        <w:tc>
          <w:tcPr>
            <w:tcW w:w="3261" w:type="dxa"/>
            <w:tcBorders>
              <w:top w:val="nil"/>
              <w:left w:val="single" w:sz="4" w:space="0" w:color="auto"/>
              <w:bottom w:val="single" w:sz="4" w:space="0" w:color="auto"/>
              <w:right w:val="nil"/>
            </w:tcBorders>
            <w:shd w:val="clear" w:color="auto" w:fill="auto"/>
            <w:vAlign w:val="center"/>
            <w:hideMark/>
          </w:tcPr>
          <w:p w14:paraId="71C3DBDC" w14:textId="77777777" w:rsidR="00387142" w:rsidRPr="008B6A75" w:rsidRDefault="00387142" w:rsidP="00387142">
            <w:pPr>
              <w:rPr>
                <w:sz w:val="20"/>
                <w:szCs w:val="20"/>
              </w:rPr>
            </w:pPr>
            <w:r w:rsidRPr="008B6A75">
              <w:rPr>
                <w:sz w:val="20"/>
                <w:szCs w:val="20"/>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01D672F9" w14:textId="77777777" w:rsidR="00387142" w:rsidRPr="008B6A75" w:rsidRDefault="00387142" w:rsidP="00387142">
            <w:pPr>
              <w:jc w:val="center"/>
              <w:rPr>
                <w:sz w:val="20"/>
                <w:szCs w:val="20"/>
              </w:rPr>
            </w:pPr>
            <w:r w:rsidRPr="008B6A75">
              <w:rPr>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B056B3D" w14:textId="77777777" w:rsidR="00387142" w:rsidRPr="008B6A75" w:rsidRDefault="00387142" w:rsidP="00387142">
            <w:pPr>
              <w:jc w:val="center"/>
              <w:rPr>
                <w:sz w:val="20"/>
                <w:szCs w:val="20"/>
              </w:rPr>
            </w:pPr>
            <w:r w:rsidRPr="008B6A75">
              <w:rPr>
                <w:sz w:val="20"/>
                <w:szCs w:val="20"/>
              </w:rPr>
              <w:t>01</w:t>
            </w:r>
          </w:p>
        </w:tc>
        <w:tc>
          <w:tcPr>
            <w:tcW w:w="1516" w:type="dxa"/>
            <w:tcBorders>
              <w:top w:val="nil"/>
              <w:left w:val="single" w:sz="4" w:space="0" w:color="auto"/>
              <w:bottom w:val="single" w:sz="4" w:space="0" w:color="auto"/>
              <w:right w:val="nil"/>
            </w:tcBorders>
            <w:shd w:val="clear" w:color="auto" w:fill="auto"/>
            <w:noWrap/>
            <w:vAlign w:val="center"/>
            <w:hideMark/>
          </w:tcPr>
          <w:p w14:paraId="39EFC028" w14:textId="77777777" w:rsidR="00387142" w:rsidRPr="008B6A75" w:rsidRDefault="00387142" w:rsidP="00387142">
            <w:pPr>
              <w:jc w:val="center"/>
              <w:rPr>
                <w:sz w:val="20"/>
                <w:szCs w:val="20"/>
              </w:rPr>
            </w:pPr>
            <w:r w:rsidRPr="008B6A75">
              <w:rPr>
                <w:sz w:val="20"/>
                <w:szCs w:val="20"/>
              </w:rPr>
              <w:t>99.0.00.70139</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DAB8377" w14:textId="77777777" w:rsidR="00387142" w:rsidRPr="008B6A75" w:rsidRDefault="00387142" w:rsidP="00387142">
            <w:pPr>
              <w:jc w:val="center"/>
              <w:rPr>
                <w:sz w:val="20"/>
                <w:szCs w:val="20"/>
              </w:rPr>
            </w:pPr>
            <w:r w:rsidRPr="008B6A75">
              <w:rPr>
                <w:sz w:val="20"/>
                <w:szCs w:val="20"/>
              </w:rPr>
              <w:t>240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7DF4A43" w14:textId="77777777" w:rsidR="00387142" w:rsidRPr="008B6A75" w:rsidRDefault="00387142" w:rsidP="00387142">
            <w:pPr>
              <w:jc w:val="right"/>
              <w:rPr>
                <w:sz w:val="20"/>
                <w:szCs w:val="20"/>
              </w:rPr>
            </w:pPr>
            <w:r w:rsidRPr="008B6A75">
              <w:rPr>
                <w:sz w:val="20"/>
                <w:szCs w:val="20"/>
              </w:rPr>
              <w:t>310 900,00</w:t>
            </w:r>
          </w:p>
        </w:tc>
        <w:tc>
          <w:tcPr>
            <w:tcW w:w="992" w:type="dxa"/>
            <w:tcBorders>
              <w:top w:val="nil"/>
              <w:left w:val="single" w:sz="4" w:space="0" w:color="auto"/>
              <w:bottom w:val="single" w:sz="4" w:space="0" w:color="auto"/>
              <w:right w:val="nil"/>
            </w:tcBorders>
            <w:shd w:val="clear" w:color="auto" w:fill="auto"/>
            <w:vAlign w:val="center"/>
            <w:hideMark/>
          </w:tcPr>
          <w:p w14:paraId="4C30EAF8" w14:textId="77777777" w:rsidR="00387142" w:rsidRPr="008B6A75" w:rsidRDefault="00387142" w:rsidP="00387142">
            <w:pPr>
              <w:jc w:val="right"/>
              <w:rPr>
                <w:sz w:val="20"/>
                <w:szCs w:val="20"/>
              </w:rPr>
            </w:pPr>
            <w:r w:rsidRPr="008B6A75">
              <w:rPr>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0BB3050A" w14:textId="77777777" w:rsidR="00387142" w:rsidRPr="008B6A75" w:rsidRDefault="00387142" w:rsidP="00387142">
            <w:pPr>
              <w:jc w:val="right"/>
              <w:rPr>
                <w:sz w:val="20"/>
                <w:szCs w:val="20"/>
              </w:rPr>
            </w:pPr>
            <w:r w:rsidRPr="008B6A75">
              <w:rPr>
                <w:sz w:val="20"/>
                <w:szCs w:val="20"/>
              </w:rPr>
              <w:t>0,00</w:t>
            </w:r>
          </w:p>
        </w:tc>
      </w:tr>
      <w:tr w:rsidR="00387142" w:rsidRPr="008B6A75" w14:paraId="6312963D" w14:textId="77777777" w:rsidTr="00387142">
        <w:trPr>
          <w:trHeight w:val="870"/>
        </w:trPr>
        <w:tc>
          <w:tcPr>
            <w:tcW w:w="3261" w:type="dxa"/>
            <w:tcBorders>
              <w:top w:val="nil"/>
              <w:left w:val="single" w:sz="4" w:space="0" w:color="auto"/>
              <w:bottom w:val="single" w:sz="4" w:space="0" w:color="auto"/>
              <w:right w:val="nil"/>
            </w:tcBorders>
            <w:shd w:val="clear" w:color="auto" w:fill="auto"/>
            <w:vAlign w:val="center"/>
            <w:hideMark/>
          </w:tcPr>
          <w:p w14:paraId="1DC9B1D7" w14:textId="77777777" w:rsidR="00387142" w:rsidRPr="008B6A75" w:rsidRDefault="00387142" w:rsidP="00387142">
            <w:pPr>
              <w:rPr>
                <w:sz w:val="20"/>
                <w:szCs w:val="20"/>
              </w:rPr>
            </w:pPr>
            <w:r w:rsidRPr="008B6A75">
              <w:rPr>
                <w:sz w:val="20"/>
                <w:szCs w:val="20"/>
              </w:rPr>
              <w:t>Капитальные вложения в объекты государственной (муниципальной) собственности</w:t>
            </w:r>
          </w:p>
        </w:tc>
        <w:tc>
          <w:tcPr>
            <w:tcW w:w="720" w:type="dxa"/>
            <w:tcBorders>
              <w:top w:val="nil"/>
              <w:left w:val="single" w:sz="4" w:space="0" w:color="auto"/>
              <w:bottom w:val="single" w:sz="4" w:space="0" w:color="auto"/>
              <w:right w:val="nil"/>
            </w:tcBorders>
            <w:shd w:val="clear" w:color="auto" w:fill="auto"/>
            <w:noWrap/>
            <w:vAlign w:val="center"/>
            <w:hideMark/>
          </w:tcPr>
          <w:p w14:paraId="5DB84EE9" w14:textId="77777777" w:rsidR="00387142" w:rsidRPr="008B6A75" w:rsidRDefault="00387142" w:rsidP="00387142">
            <w:pPr>
              <w:jc w:val="center"/>
              <w:rPr>
                <w:sz w:val="20"/>
                <w:szCs w:val="20"/>
              </w:rPr>
            </w:pPr>
            <w:r w:rsidRPr="008B6A75">
              <w:rPr>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2B81744" w14:textId="77777777" w:rsidR="00387142" w:rsidRPr="008B6A75" w:rsidRDefault="00387142" w:rsidP="00387142">
            <w:pPr>
              <w:jc w:val="center"/>
              <w:rPr>
                <w:sz w:val="20"/>
                <w:szCs w:val="20"/>
              </w:rPr>
            </w:pPr>
            <w:r w:rsidRPr="008B6A75">
              <w:rPr>
                <w:sz w:val="20"/>
                <w:szCs w:val="20"/>
              </w:rPr>
              <w:t>01</w:t>
            </w:r>
          </w:p>
        </w:tc>
        <w:tc>
          <w:tcPr>
            <w:tcW w:w="1516" w:type="dxa"/>
            <w:tcBorders>
              <w:top w:val="nil"/>
              <w:left w:val="single" w:sz="4" w:space="0" w:color="auto"/>
              <w:bottom w:val="single" w:sz="4" w:space="0" w:color="auto"/>
              <w:right w:val="nil"/>
            </w:tcBorders>
            <w:shd w:val="clear" w:color="auto" w:fill="auto"/>
            <w:noWrap/>
            <w:vAlign w:val="center"/>
            <w:hideMark/>
          </w:tcPr>
          <w:p w14:paraId="6B613E47" w14:textId="77777777" w:rsidR="00387142" w:rsidRPr="008B6A75" w:rsidRDefault="00387142" w:rsidP="00387142">
            <w:pPr>
              <w:jc w:val="center"/>
              <w:rPr>
                <w:sz w:val="20"/>
                <w:szCs w:val="20"/>
              </w:rPr>
            </w:pPr>
            <w:r w:rsidRPr="008B6A75">
              <w:rPr>
                <w:sz w:val="20"/>
                <w:szCs w:val="20"/>
              </w:rPr>
              <w:t>99.0.00.70139</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C9F1AF1" w14:textId="77777777" w:rsidR="00387142" w:rsidRPr="008B6A75" w:rsidRDefault="00387142" w:rsidP="00387142">
            <w:pPr>
              <w:jc w:val="center"/>
              <w:rPr>
                <w:sz w:val="20"/>
                <w:szCs w:val="20"/>
              </w:rPr>
            </w:pPr>
            <w:r w:rsidRPr="008B6A75">
              <w:rPr>
                <w:sz w:val="20"/>
                <w:szCs w:val="20"/>
              </w:rPr>
              <w:t>400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ED93E61" w14:textId="77777777" w:rsidR="00387142" w:rsidRPr="008B6A75" w:rsidRDefault="00387142" w:rsidP="00387142">
            <w:pPr>
              <w:jc w:val="right"/>
              <w:rPr>
                <w:sz w:val="20"/>
                <w:szCs w:val="20"/>
              </w:rPr>
            </w:pPr>
            <w:r w:rsidRPr="008B6A75">
              <w:rPr>
                <w:sz w:val="20"/>
                <w:szCs w:val="20"/>
              </w:rPr>
              <w:t>3 405 123,00</w:t>
            </w:r>
          </w:p>
        </w:tc>
        <w:tc>
          <w:tcPr>
            <w:tcW w:w="992" w:type="dxa"/>
            <w:tcBorders>
              <w:top w:val="nil"/>
              <w:left w:val="single" w:sz="4" w:space="0" w:color="auto"/>
              <w:bottom w:val="single" w:sz="4" w:space="0" w:color="auto"/>
              <w:right w:val="nil"/>
            </w:tcBorders>
            <w:shd w:val="clear" w:color="auto" w:fill="auto"/>
            <w:vAlign w:val="center"/>
            <w:hideMark/>
          </w:tcPr>
          <w:p w14:paraId="7F3AFD3B" w14:textId="77777777" w:rsidR="00387142" w:rsidRPr="008B6A75" w:rsidRDefault="00387142" w:rsidP="00387142">
            <w:pPr>
              <w:jc w:val="right"/>
              <w:rPr>
                <w:sz w:val="20"/>
                <w:szCs w:val="20"/>
              </w:rPr>
            </w:pPr>
            <w:r w:rsidRPr="008B6A75">
              <w:rPr>
                <w:sz w:val="20"/>
                <w:szCs w:val="20"/>
              </w:rPr>
              <w:t>2 305 300,00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1511B327" w14:textId="77777777" w:rsidR="00387142" w:rsidRPr="008B6A75" w:rsidRDefault="00387142" w:rsidP="00387142">
            <w:pPr>
              <w:jc w:val="right"/>
              <w:rPr>
                <w:sz w:val="20"/>
                <w:szCs w:val="20"/>
              </w:rPr>
            </w:pPr>
            <w:r w:rsidRPr="008B6A75">
              <w:rPr>
                <w:sz w:val="20"/>
                <w:szCs w:val="20"/>
              </w:rPr>
              <w:t>0,00</w:t>
            </w:r>
          </w:p>
        </w:tc>
      </w:tr>
      <w:tr w:rsidR="00387142" w:rsidRPr="008B6A75" w14:paraId="4D8B64FE" w14:textId="77777777" w:rsidTr="00387142">
        <w:trPr>
          <w:trHeight w:val="345"/>
        </w:trPr>
        <w:tc>
          <w:tcPr>
            <w:tcW w:w="3261" w:type="dxa"/>
            <w:tcBorders>
              <w:top w:val="nil"/>
              <w:left w:val="single" w:sz="4" w:space="0" w:color="auto"/>
              <w:bottom w:val="single" w:sz="4" w:space="0" w:color="auto"/>
              <w:right w:val="nil"/>
            </w:tcBorders>
            <w:shd w:val="clear" w:color="auto" w:fill="auto"/>
            <w:vAlign w:val="center"/>
            <w:hideMark/>
          </w:tcPr>
          <w:p w14:paraId="5B1A8F67" w14:textId="77777777" w:rsidR="00387142" w:rsidRPr="008B6A75" w:rsidRDefault="00387142" w:rsidP="00387142">
            <w:pPr>
              <w:rPr>
                <w:sz w:val="20"/>
                <w:szCs w:val="20"/>
              </w:rPr>
            </w:pPr>
            <w:r w:rsidRPr="008B6A75">
              <w:rPr>
                <w:sz w:val="20"/>
                <w:szCs w:val="20"/>
              </w:rPr>
              <w:t>Бюджетные инвестиции</w:t>
            </w:r>
          </w:p>
        </w:tc>
        <w:tc>
          <w:tcPr>
            <w:tcW w:w="720" w:type="dxa"/>
            <w:tcBorders>
              <w:top w:val="nil"/>
              <w:left w:val="single" w:sz="4" w:space="0" w:color="auto"/>
              <w:bottom w:val="single" w:sz="4" w:space="0" w:color="auto"/>
              <w:right w:val="nil"/>
            </w:tcBorders>
            <w:shd w:val="clear" w:color="auto" w:fill="auto"/>
            <w:noWrap/>
            <w:vAlign w:val="center"/>
            <w:hideMark/>
          </w:tcPr>
          <w:p w14:paraId="24FC5C2E" w14:textId="77777777" w:rsidR="00387142" w:rsidRPr="008B6A75" w:rsidRDefault="00387142" w:rsidP="00387142">
            <w:pPr>
              <w:jc w:val="center"/>
              <w:rPr>
                <w:sz w:val="20"/>
                <w:szCs w:val="20"/>
              </w:rPr>
            </w:pPr>
            <w:r w:rsidRPr="008B6A75">
              <w:rPr>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0690A8F" w14:textId="77777777" w:rsidR="00387142" w:rsidRPr="008B6A75" w:rsidRDefault="00387142" w:rsidP="00387142">
            <w:pPr>
              <w:jc w:val="center"/>
              <w:rPr>
                <w:sz w:val="20"/>
                <w:szCs w:val="20"/>
              </w:rPr>
            </w:pPr>
            <w:r w:rsidRPr="008B6A75">
              <w:rPr>
                <w:sz w:val="20"/>
                <w:szCs w:val="20"/>
              </w:rPr>
              <w:t>01</w:t>
            </w:r>
          </w:p>
        </w:tc>
        <w:tc>
          <w:tcPr>
            <w:tcW w:w="1516" w:type="dxa"/>
            <w:tcBorders>
              <w:top w:val="nil"/>
              <w:left w:val="single" w:sz="4" w:space="0" w:color="auto"/>
              <w:bottom w:val="single" w:sz="4" w:space="0" w:color="auto"/>
              <w:right w:val="nil"/>
            </w:tcBorders>
            <w:shd w:val="clear" w:color="auto" w:fill="auto"/>
            <w:noWrap/>
            <w:vAlign w:val="center"/>
            <w:hideMark/>
          </w:tcPr>
          <w:p w14:paraId="58C6CC1E" w14:textId="77777777" w:rsidR="00387142" w:rsidRPr="008B6A75" w:rsidRDefault="00387142" w:rsidP="00387142">
            <w:pPr>
              <w:jc w:val="center"/>
              <w:rPr>
                <w:sz w:val="20"/>
                <w:szCs w:val="20"/>
              </w:rPr>
            </w:pPr>
            <w:r w:rsidRPr="008B6A75">
              <w:rPr>
                <w:sz w:val="20"/>
                <w:szCs w:val="20"/>
              </w:rPr>
              <w:t>99.0.00.70139</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D916F45" w14:textId="77777777" w:rsidR="00387142" w:rsidRPr="008B6A75" w:rsidRDefault="00387142" w:rsidP="00387142">
            <w:pPr>
              <w:jc w:val="center"/>
              <w:rPr>
                <w:sz w:val="20"/>
                <w:szCs w:val="20"/>
              </w:rPr>
            </w:pPr>
            <w:r w:rsidRPr="008B6A75">
              <w:rPr>
                <w:sz w:val="20"/>
                <w:szCs w:val="20"/>
              </w:rPr>
              <w:t>410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F668029" w14:textId="77777777" w:rsidR="00387142" w:rsidRPr="008B6A75" w:rsidRDefault="00387142" w:rsidP="00387142">
            <w:pPr>
              <w:jc w:val="right"/>
              <w:rPr>
                <w:sz w:val="20"/>
                <w:szCs w:val="20"/>
              </w:rPr>
            </w:pPr>
            <w:r w:rsidRPr="008B6A75">
              <w:rPr>
                <w:sz w:val="20"/>
                <w:szCs w:val="20"/>
              </w:rPr>
              <w:t>3 405 123,00</w:t>
            </w:r>
          </w:p>
        </w:tc>
        <w:tc>
          <w:tcPr>
            <w:tcW w:w="992" w:type="dxa"/>
            <w:tcBorders>
              <w:top w:val="nil"/>
              <w:left w:val="single" w:sz="4" w:space="0" w:color="auto"/>
              <w:bottom w:val="single" w:sz="4" w:space="0" w:color="auto"/>
              <w:right w:val="nil"/>
            </w:tcBorders>
            <w:shd w:val="clear" w:color="auto" w:fill="auto"/>
            <w:vAlign w:val="center"/>
            <w:hideMark/>
          </w:tcPr>
          <w:p w14:paraId="0A4F736C" w14:textId="77777777" w:rsidR="00387142" w:rsidRPr="008B6A75" w:rsidRDefault="00387142" w:rsidP="00387142">
            <w:pPr>
              <w:jc w:val="right"/>
              <w:rPr>
                <w:sz w:val="20"/>
                <w:szCs w:val="20"/>
              </w:rPr>
            </w:pPr>
            <w:r w:rsidRPr="008B6A75">
              <w:rPr>
                <w:sz w:val="20"/>
                <w:szCs w:val="20"/>
              </w:rPr>
              <w:t>2 305 300,00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250BB780" w14:textId="77777777" w:rsidR="00387142" w:rsidRPr="008B6A75" w:rsidRDefault="00387142" w:rsidP="00387142">
            <w:pPr>
              <w:jc w:val="right"/>
              <w:rPr>
                <w:sz w:val="20"/>
                <w:szCs w:val="20"/>
              </w:rPr>
            </w:pPr>
            <w:r w:rsidRPr="008B6A75">
              <w:rPr>
                <w:sz w:val="20"/>
                <w:szCs w:val="20"/>
              </w:rPr>
              <w:t>0,00</w:t>
            </w:r>
          </w:p>
        </w:tc>
      </w:tr>
      <w:tr w:rsidR="00387142" w:rsidRPr="008B6A75" w14:paraId="570F8FAC" w14:textId="77777777" w:rsidTr="00387142">
        <w:trPr>
          <w:trHeight w:val="2865"/>
        </w:trPr>
        <w:tc>
          <w:tcPr>
            <w:tcW w:w="3261" w:type="dxa"/>
            <w:tcBorders>
              <w:top w:val="nil"/>
              <w:left w:val="single" w:sz="4" w:space="0" w:color="auto"/>
              <w:bottom w:val="single" w:sz="4" w:space="0" w:color="auto"/>
              <w:right w:val="nil"/>
            </w:tcBorders>
            <w:shd w:val="clear" w:color="auto" w:fill="auto"/>
            <w:vAlign w:val="center"/>
            <w:hideMark/>
          </w:tcPr>
          <w:p w14:paraId="77AE46A7" w14:textId="77777777" w:rsidR="00387142" w:rsidRPr="008B6A75" w:rsidRDefault="00387142" w:rsidP="00387142">
            <w:pPr>
              <w:rPr>
                <w:bCs/>
                <w:sz w:val="20"/>
                <w:szCs w:val="20"/>
              </w:rPr>
            </w:pPr>
            <w:r w:rsidRPr="008B6A75">
              <w:rPr>
                <w:bCs/>
                <w:sz w:val="20"/>
                <w:szCs w:val="20"/>
              </w:rPr>
              <w:lastRenderedPageBreak/>
              <w:t>Строительство (приобретение на первичном рынке) служебного жилья подпрограммы "Строительство (приобретение на первичном рынке) служебного жилья для отдельных категорий граждан, проживающих и работающих на территории Новосибирской области" государственной программы Новосибирской области "Стимулирование развития жилищного строительства в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14:paraId="73D96176" w14:textId="77777777" w:rsidR="00387142" w:rsidRPr="008B6A75" w:rsidRDefault="00387142" w:rsidP="00387142">
            <w:pPr>
              <w:jc w:val="center"/>
              <w:rPr>
                <w:bCs/>
                <w:sz w:val="20"/>
                <w:szCs w:val="20"/>
              </w:rPr>
            </w:pPr>
            <w:r w:rsidRPr="008B6A75">
              <w:rPr>
                <w:bCs/>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57CE22D" w14:textId="77777777" w:rsidR="00387142" w:rsidRPr="008B6A75" w:rsidRDefault="00387142" w:rsidP="00387142">
            <w:pPr>
              <w:jc w:val="center"/>
              <w:rPr>
                <w:bCs/>
                <w:sz w:val="20"/>
                <w:szCs w:val="20"/>
              </w:rPr>
            </w:pPr>
            <w:r w:rsidRPr="008B6A75">
              <w:rPr>
                <w:bCs/>
                <w:sz w:val="20"/>
                <w:szCs w:val="20"/>
              </w:rPr>
              <w:t>01</w:t>
            </w:r>
          </w:p>
        </w:tc>
        <w:tc>
          <w:tcPr>
            <w:tcW w:w="1516" w:type="dxa"/>
            <w:tcBorders>
              <w:top w:val="nil"/>
              <w:left w:val="single" w:sz="4" w:space="0" w:color="auto"/>
              <w:bottom w:val="single" w:sz="4" w:space="0" w:color="auto"/>
              <w:right w:val="nil"/>
            </w:tcBorders>
            <w:shd w:val="clear" w:color="auto" w:fill="auto"/>
            <w:noWrap/>
            <w:vAlign w:val="center"/>
            <w:hideMark/>
          </w:tcPr>
          <w:p w14:paraId="52FDD15B" w14:textId="77777777" w:rsidR="00387142" w:rsidRPr="008B6A75" w:rsidRDefault="00387142" w:rsidP="00387142">
            <w:pPr>
              <w:jc w:val="center"/>
              <w:rPr>
                <w:bCs/>
                <w:sz w:val="20"/>
                <w:szCs w:val="20"/>
              </w:rPr>
            </w:pPr>
            <w:r w:rsidRPr="008B6A75">
              <w:rPr>
                <w:bCs/>
                <w:sz w:val="20"/>
                <w:szCs w:val="20"/>
              </w:rPr>
              <w:t>99.0.00.70650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E557762"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FD1D6F2" w14:textId="77777777" w:rsidR="00387142" w:rsidRPr="008B6A75" w:rsidRDefault="00387142" w:rsidP="00387142">
            <w:pPr>
              <w:jc w:val="right"/>
              <w:rPr>
                <w:bCs/>
                <w:sz w:val="20"/>
                <w:szCs w:val="20"/>
              </w:rPr>
            </w:pPr>
            <w:r w:rsidRPr="008B6A75">
              <w:rPr>
                <w:bCs/>
                <w:sz w:val="20"/>
                <w:szCs w:val="20"/>
              </w:rPr>
              <w:t>48 431 800,00</w:t>
            </w:r>
          </w:p>
        </w:tc>
        <w:tc>
          <w:tcPr>
            <w:tcW w:w="992" w:type="dxa"/>
            <w:tcBorders>
              <w:top w:val="nil"/>
              <w:left w:val="single" w:sz="4" w:space="0" w:color="auto"/>
              <w:bottom w:val="single" w:sz="4" w:space="0" w:color="auto"/>
              <w:right w:val="nil"/>
            </w:tcBorders>
            <w:shd w:val="clear" w:color="auto" w:fill="auto"/>
            <w:vAlign w:val="center"/>
            <w:hideMark/>
          </w:tcPr>
          <w:p w14:paraId="102FF4EF" w14:textId="77777777" w:rsidR="00387142" w:rsidRPr="008B6A75" w:rsidRDefault="00387142" w:rsidP="00387142">
            <w:pPr>
              <w:jc w:val="right"/>
              <w:rPr>
                <w:bCs/>
                <w:sz w:val="20"/>
                <w:szCs w:val="20"/>
              </w:rPr>
            </w:pPr>
            <w:r w:rsidRPr="008B6A75">
              <w:rPr>
                <w:bCs/>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1AD42156" w14:textId="77777777" w:rsidR="00387142" w:rsidRPr="008B6A75" w:rsidRDefault="00387142" w:rsidP="00387142">
            <w:pPr>
              <w:jc w:val="right"/>
              <w:rPr>
                <w:bCs/>
                <w:sz w:val="20"/>
                <w:szCs w:val="20"/>
              </w:rPr>
            </w:pPr>
            <w:r w:rsidRPr="008B6A75">
              <w:rPr>
                <w:bCs/>
                <w:sz w:val="20"/>
                <w:szCs w:val="20"/>
              </w:rPr>
              <w:t>0,00</w:t>
            </w:r>
          </w:p>
        </w:tc>
      </w:tr>
      <w:tr w:rsidR="00387142" w:rsidRPr="008B6A75" w14:paraId="7AF993D8" w14:textId="77777777" w:rsidTr="00387142">
        <w:trPr>
          <w:trHeight w:val="870"/>
        </w:trPr>
        <w:tc>
          <w:tcPr>
            <w:tcW w:w="3261" w:type="dxa"/>
            <w:tcBorders>
              <w:top w:val="nil"/>
              <w:left w:val="single" w:sz="4" w:space="0" w:color="auto"/>
              <w:bottom w:val="single" w:sz="4" w:space="0" w:color="auto"/>
              <w:right w:val="nil"/>
            </w:tcBorders>
            <w:shd w:val="clear" w:color="auto" w:fill="auto"/>
            <w:vAlign w:val="center"/>
            <w:hideMark/>
          </w:tcPr>
          <w:p w14:paraId="0B079281" w14:textId="77777777" w:rsidR="00387142" w:rsidRPr="008B6A75" w:rsidRDefault="00387142" w:rsidP="00387142">
            <w:pPr>
              <w:rPr>
                <w:sz w:val="20"/>
                <w:szCs w:val="20"/>
              </w:rPr>
            </w:pPr>
            <w:r w:rsidRPr="008B6A75">
              <w:rPr>
                <w:sz w:val="20"/>
                <w:szCs w:val="20"/>
              </w:rPr>
              <w:t>Капитальные вложения в объекты государственной (муниципальной) собственности</w:t>
            </w:r>
          </w:p>
        </w:tc>
        <w:tc>
          <w:tcPr>
            <w:tcW w:w="720" w:type="dxa"/>
            <w:tcBorders>
              <w:top w:val="nil"/>
              <w:left w:val="single" w:sz="4" w:space="0" w:color="auto"/>
              <w:bottom w:val="single" w:sz="4" w:space="0" w:color="auto"/>
              <w:right w:val="nil"/>
            </w:tcBorders>
            <w:shd w:val="clear" w:color="auto" w:fill="auto"/>
            <w:noWrap/>
            <w:vAlign w:val="center"/>
            <w:hideMark/>
          </w:tcPr>
          <w:p w14:paraId="3C8C0A3F" w14:textId="77777777" w:rsidR="00387142" w:rsidRPr="008B6A75" w:rsidRDefault="00387142" w:rsidP="00387142">
            <w:pPr>
              <w:jc w:val="center"/>
              <w:rPr>
                <w:sz w:val="20"/>
                <w:szCs w:val="20"/>
              </w:rPr>
            </w:pPr>
            <w:r w:rsidRPr="008B6A75">
              <w:rPr>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371F33E" w14:textId="77777777" w:rsidR="00387142" w:rsidRPr="008B6A75" w:rsidRDefault="00387142" w:rsidP="00387142">
            <w:pPr>
              <w:jc w:val="center"/>
              <w:rPr>
                <w:sz w:val="20"/>
                <w:szCs w:val="20"/>
              </w:rPr>
            </w:pPr>
            <w:r w:rsidRPr="008B6A75">
              <w:rPr>
                <w:sz w:val="20"/>
                <w:szCs w:val="20"/>
              </w:rPr>
              <w:t>01</w:t>
            </w:r>
          </w:p>
        </w:tc>
        <w:tc>
          <w:tcPr>
            <w:tcW w:w="1516" w:type="dxa"/>
            <w:tcBorders>
              <w:top w:val="nil"/>
              <w:left w:val="single" w:sz="4" w:space="0" w:color="auto"/>
              <w:bottom w:val="single" w:sz="4" w:space="0" w:color="auto"/>
              <w:right w:val="nil"/>
            </w:tcBorders>
            <w:shd w:val="clear" w:color="auto" w:fill="auto"/>
            <w:noWrap/>
            <w:vAlign w:val="center"/>
            <w:hideMark/>
          </w:tcPr>
          <w:p w14:paraId="258D81FE" w14:textId="77777777" w:rsidR="00387142" w:rsidRPr="008B6A75" w:rsidRDefault="00387142" w:rsidP="00387142">
            <w:pPr>
              <w:jc w:val="center"/>
              <w:rPr>
                <w:sz w:val="20"/>
                <w:szCs w:val="20"/>
              </w:rPr>
            </w:pPr>
            <w:r w:rsidRPr="008B6A75">
              <w:rPr>
                <w:sz w:val="20"/>
                <w:szCs w:val="20"/>
              </w:rPr>
              <w:t>99.0.00.70650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0C0B967" w14:textId="77777777" w:rsidR="00387142" w:rsidRPr="008B6A75" w:rsidRDefault="00387142" w:rsidP="00387142">
            <w:pPr>
              <w:jc w:val="center"/>
              <w:rPr>
                <w:sz w:val="20"/>
                <w:szCs w:val="20"/>
              </w:rPr>
            </w:pPr>
            <w:r w:rsidRPr="008B6A75">
              <w:rPr>
                <w:sz w:val="20"/>
                <w:szCs w:val="20"/>
              </w:rPr>
              <w:t>400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C956CE0" w14:textId="77777777" w:rsidR="00387142" w:rsidRPr="008B6A75" w:rsidRDefault="00387142" w:rsidP="00387142">
            <w:pPr>
              <w:jc w:val="right"/>
              <w:rPr>
                <w:sz w:val="20"/>
                <w:szCs w:val="20"/>
              </w:rPr>
            </w:pPr>
            <w:r w:rsidRPr="008B6A75">
              <w:rPr>
                <w:sz w:val="20"/>
                <w:szCs w:val="20"/>
              </w:rPr>
              <w:t>48 431 800,00</w:t>
            </w:r>
          </w:p>
        </w:tc>
        <w:tc>
          <w:tcPr>
            <w:tcW w:w="992" w:type="dxa"/>
            <w:tcBorders>
              <w:top w:val="nil"/>
              <w:left w:val="single" w:sz="4" w:space="0" w:color="auto"/>
              <w:bottom w:val="single" w:sz="4" w:space="0" w:color="auto"/>
              <w:right w:val="nil"/>
            </w:tcBorders>
            <w:shd w:val="clear" w:color="auto" w:fill="auto"/>
            <w:vAlign w:val="center"/>
            <w:hideMark/>
          </w:tcPr>
          <w:p w14:paraId="4B7E99A7" w14:textId="77777777" w:rsidR="00387142" w:rsidRPr="008B6A75" w:rsidRDefault="00387142" w:rsidP="00387142">
            <w:pPr>
              <w:jc w:val="right"/>
              <w:rPr>
                <w:sz w:val="20"/>
                <w:szCs w:val="20"/>
              </w:rPr>
            </w:pPr>
            <w:r w:rsidRPr="008B6A75">
              <w:rPr>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52D9720F" w14:textId="77777777" w:rsidR="00387142" w:rsidRPr="008B6A75" w:rsidRDefault="00387142" w:rsidP="00387142">
            <w:pPr>
              <w:jc w:val="right"/>
              <w:rPr>
                <w:sz w:val="20"/>
                <w:szCs w:val="20"/>
              </w:rPr>
            </w:pPr>
            <w:r w:rsidRPr="008B6A75">
              <w:rPr>
                <w:sz w:val="20"/>
                <w:szCs w:val="20"/>
              </w:rPr>
              <w:t>0,00</w:t>
            </w:r>
          </w:p>
        </w:tc>
      </w:tr>
      <w:tr w:rsidR="00387142" w:rsidRPr="008B6A75" w14:paraId="23AAFBB1" w14:textId="77777777" w:rsidTr="00387142">
        <w:trPr>
          <w:trHeight w:val="345"/>
        </w:trPr>
        <w:tc>
          <w:tcPr>
            <w:tcW w:w="3261" w:type="dxa"/>
            <w:tcBorders>
              <w:top w:val="nil"/>
              <w:left w:val="single" w:sz="4" w:space="0" w:color="auto"/>
              <w:bottom w:val="single" w:sz="4" w:space="0" w:color="auto"/>
              <w:right w:val="nil"/>
            </w:tcBorders>
            <w:shd w:val="clear" w:color="auto" w:fill="auto"/>
            <w:vAlign w:val="center"/>
            <w:hideMark/>
          </w:tcPr>
          <w:p w14:paraId="53A9C2F9" w14:textId="77777777" w:rsidR="00387142" w:rsidRPr="008B6A75" w:rsidRDefault="00387142" w:rsidP="00387142">
            <w:pPr>
              <w:rPr>
                <w:sz w:val="20"/>
                <w:szCs w:val="20"/>
              </w:rPr>
            </w:pPr>
            <w:r w:rsidRPr="008B6A75">
              <w:rPr>
                <w:sz w:val="20"/>
                <w:szCs w:val="20"/>
              </w:rPr>
              <w:t>Бюджетные инвестиции</w:t>
            </w:r>
          </w:p>
        </w:tc>
        <w:tc>
          <w:tcPr>
            <w:tcW w:w="720" w:type="dxa"/>
            <w:tcBorders>
              <w:top w:val="nil"/>
              <w:left w:val="single" w:sz="4" w:space="0" w:color="auto"/>
              <w:bottom w:val="single" w:sz="4" w:space="0" w:color="auto"/>
              <w:right w:val="nil"/>
            </w:tcBorders>
            <w:shd w:val="clear" w:color="auto" w:fill="auto"/>
            <w:noWrap/>
            <w:vAlign w:val="center"/>
            <w:hideMark/>
          </w:tcPr>
          <w:p w14:paraId="32A9ADE3" w14:textId="77777777" w:rsidR="00387142" w:rsidRPr="008B6A75" w:rsidRDefault="00387142" w:rsidP="00387142">
            <w:pPr>
              <w:jc w:val="center"/>
              <w:rPr>
                <w:sz w:val="20"/>
                <w:szCs w:val="20"/>
              </w:rPr>
            </w:pPr>
            <w:r w:rsidRPr="008B6A75">
              <w:rPr>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280B8BB" w14:textId="77777777" w:rsidR="00387142" w:rsidRPr="008B6A75" w:rsidRDefault="00387142" w:rsidP="00387142">
            <w:pPr>
              <w:jc w:val="center"/>
              <w:rPr>
                <w:sz w:val="20"/>
                <w:szCs w:val="20"/>
              </w:rPr>
            </w:pPr>
            <w:r w:rsidRPr="008B6A75">
              <w:rPr>
                <w:sz w:val="20"/>
                <w:szCs w:val="20"/>
              </w:rPr>
              <w:t>01</w:t>
            </w:r>
          </w:p>
        </w:tc>
        <w:tc>
          <w:tcPr>
            <w:tcW w:w="1516" w:type="dxa"/>
            <w:tcBorders>
              <w:top w:val="nil"/>
              <w:left w:val="single" w:sz="4" w:space="0" w:color="auto"/>
              <w:bottom w:val="single" w:sz="4" w:space="0" w:color="auto"/>
              <w:right w:val="nil"/>
            </w:tcBorders>
            <w:shd w:val="clear" w:color="auto" w:fill="auto"/>
            <w:noWrap/>
            <w:vAlign w:val="center"/>
            <w:hideMark/>
          </w:tcPr>
          <w:p w14:paraId="0F3B9A8E" w14:textId="77777777" w:rsidR="00387142" w:rsidRPr="008B6A75" w:rsidRDefault="00387142" w:rsidP="00387142">
            <w:pPr>
              <w:jc w:val="center"/>
              <w:rPr>
                <w:sz w:val="20"/>
                <w:szCs w:val="20"/>
              </w:rPr>
            </w:pPr>
            <w:r w:rsidRPr="008B6A75">
              <w:rPr>
                <w:sz w:val="20"/>
                <w:szCs w:val="20"/>
              </w:rPr>
              <w:t>99.0.00.70650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CA4EB09" w14:textId="77777777" w:rsidR="00387142" w:rsidRPr="008B6A75" w:rsidRDefault="00387142" w:rsidP="00387142">
            <w:pPr>
              <w:jc w:val="center"/>
              <w:rPr>
                <w:sz w:val="20"/>
                <w:szCs w:val="20"/>
              </w:rPr>
            </w:pPr>
            <w:r w:rsidRPr="008B6A75">
              <w:rPr>
                <w:sz w:val="20"/>
                <w:szCs w:val="20"/>
              </w:rPr>
              <w:t>410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DD9B3FA" w14:textId="77777777" w:rsidR="00387142" w:rsidRPr="008B6A75" w:rsidRDefault="00387142" w:rsidP="00387142">
            <w:pPr>
              <w:jc w:val="right"/>
              <w:rPr>
                <w:sz w:val="20"/>
                <w:szCs w:val="20"/>
              </w:rPr>
            </w:pPr>
            <w:r w:rsidRPr="008B6A75">
              <w:rPr>
                <w:sz w:val="20"/>
                <w:szCs w:val="20"/>
              </w:rPr>
              <w:t>48 431 800,00</w:t>
            </w:r>
          </w:p>
        </w:tc>
        <w:tc>
          <w:tcPr>
            <w:tcW w:w="992" w:type="dxa"/>
            <w:tcBorders>
              <w:top w:val="nil"/>
              <w:left w:val="single" w:sz="4" w:space="0" w:color="auto"/>
              <w:bottom w:val="single" w:sz="4" w:space="0" w:color="auto"/>
              <w:right w:val="nil"/>
            </w:tcBorders>
            <w:shd w:val="clear" w:color="auto" w:fill="auto"/>
            <w:vAlign w:val="center"/>
            <w:hideMark/>
          </w:tcPr>
          <w:p w14:paraId="03DA5378" w14:textId="77777777" w:rsidR="00387142" w:rsidRPr="008B6A75" w:rsidRDefault="00387142" w:rsidP="00387142">
            <w:pPr>
              <w:jc w:val="right"/>
              <w:rPr>
                <w:sz w:val="20"/>
                <w:szCs w:val="20"/>
              </w:rPr>
            </w:pPr>
            <w:r w:rsidRPr="008B6A75">
              <w:rPr>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69C0C74E" w14:textId="77777777" w:rsidR="00387142" w:rsidRPr="008B6A75" w:rsidRDefault="00387142" w:rsidP="00387142">
            <w:pPr>
              <w:jc w:val="right"/>
              <w:rPr>
                <w:sz w:val="20"/>
                <w:szCs w:val="20"/>
              </w:rPr>
            </w:pPr>
            <w:r w:rsidRPr="008B6A75">
              <w:rPr>
                <w:sz w:val="20"/>
                <w:szCs w:val="20"/>
              </w:rPr>
              <w:t>0,00</w:t>
            </w:r>
          </w:p>
        </w:tc>
      </w:tr>
      <w:tr w:rsidR="00387142" w:rsidRPr="008B6A75" w14:paraId="7AFDF2AE" w14:textId="77777777" w:rsidTr="00387142">
        <w:trPr>
          <w:trHeight w:val="2295"/>
        </w:trPr>
        <w:tc>
          <w:tcPr>
            <w:tcW w:w="3261" w:type="dxa"/>
            <w:tcBorders>
              <w:top w:val="nil"/>
              <w:left w:val="single" w:sz="4" w:space="0" w:color="auto"/>
              <w:bottom w:val="single" w:sz="4" w:space="0" w:color="auto"/>
              <w:right w:val="nil"/>
            </w:tcBorders>
            <w:shd w:val="clear" w:color="auto" w:fill="auto"/>
            <w:vAlign w:val="center"/>
            <w:hideMark/>
          </w:tcPr>
          <w:p w14:paraId="71866E8B" w14:textId="77777777" w:rsidR="00387142" w:rsidRPr="008B6A75" w:rsidRDefault="00387142" w:rsidP="00387142">
            <w:pPr>
              <w:rPr>
                <w:bCs/>
                <w:sz w:val="20"/>
                <w:szCs w:val="20"/>
              </w:rPr>
            </w:pPr>
            <w:r w:rsidRPr="008B6A75">
              <w:rPr>
                <w:bCs/>
                <w:sz w:val="20"/>
                <w:szCs w:val="20"/>
              </w:rPr>
              <w:t>Реализация мероприятий на оплату расходов, связанных со строительством специализированного жилищного фонда для предоставления отдельным категориям граждан, государственной программы Новосибирской области «Стимулирование развития жилищного строительства в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14:paraId="4D4BC202" w14:textId="77777777" w:rsidR="00387142" w:rsidRPr="008B6A75" w:rsidRDefault="00387142" w:rsidP="00387142">
            <w:pPr>
              <w:jc w:val="center"/>
              <w:rPr>
                <w:bCs/>
                <w:sz w:val="20"/>
                <w:szCs w:val="20"/>
              </w:rPr>
            </w:pPr>
            <w:r w:rsidRPr="008B6A75">
              <w:rPr>
                <w:bCs/>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E5E95C6" w14:textId="77777777" w:rsidR="00387142" w:rsidRPr="008B6A75" w:rsidRDefault="00387142" w:rsidP="00387142">
            <w:pPr>
              <w:jc w:val="center"/>
              <w:rPr>
                <w:bCs/>
                <w:sz w:val="20"/>
                <w:szCs w:val="20"/>
              </w:rPr>
            </w:pPr>
            <w:r w:rsidRPr="008B6A75">
              <w:rPr>
                <w:bCs/>
                <w:sz w:val="20"/>
                <w:szCs w:val="20"/>
              </w:rPr>
              <w:t>01</w:t>
            </w:r>
          </w:p>
        </w:tc>
        <w:tc>
          <w:tcPr>
            <w:tcW w:w="1516" w:type="dxa"/>
            <w:tcBorders>
              <w:top w:val="nil"/>
              <w:left w:val="single" w:sz="4" w:space="0" w:color="auto"/>
              <w:bottom w:val="single" w:sz="4" w:space="0" w:color="auto"/>
              <w:right w:val="nil"/>
            </w:tcBorders>
            <w:shd w:val="clear" w:color="auto" w:fill="auto"/>
            <w:noWrap/>
            <w:vAlign w:val="center"/>
            <w:hideMark/>
          </w:tcPr>
          <w:p w14:paraId="3DA4BEF9" w14:textId="77777777" w:rsidR="00387142" w:rsidRPr="008B6A75" w:rsidRDefault="00387142" w:rsidP="00387142">
            <w:pPr>
              <w:jc w:val="center"/>
              <w:rPr>
                <w:bCs/>
                <w:sz w:val="20"/>
                <w:szCs w:val="20"/>
              </w:rPr>
            </w:pPr>
            <w:r w:rsidRPr="008B6A75">
              <w:rPr>
                <w:bCs/>
                <w:sz w:val="20"/>
                <w:szCs w:val="20"/>
              </w:rPr>
              <w:t>99.0.00.70830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43F1B9D"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41348FA" w14:textId="77777777" w:rsidR="00387142" w:rsidRPr="008B6A75" w:rsidRDefault="00387142" w:rsidP="00387142">
            <w:pPr>
              <w:jc w:val="right"/>
              <w:rPr>
                <w:bCs/>
                <w:sz w:val="20"/>
                <w:szCs w:val="20"/>
              </w:rPr>
            </w:pPr>
            <w:r w:rsidRPr="008B6A75">
              <w:rPr>
                <w:bCs/>
                <w:sz w:val="20"/>
                <w:szCs w:val="20"/>
              </w:rPr>
              <w:t>15 781 000,00</w:t>
            </w:r>
          </w:p>
        </w:tc>
        <w:tc>
          <w:tcPr>
            <w:tcW w:w="992" w:type="dxa"/>
            <w:tcBorders>
              <w:top w:val="nil"/>
              <w:left w:val="single" w:sz="4" w:space="0" w:color="auto"/>
              <w:bottom w:val="single" w:sz="4" w:space="0" w:color="auto"/>
              <w:right w:val="nil"/>
            </w:tcBorders>
            <w:shd w:val="clear" w:color="auto" w:fill="auto"/>
            <w:vAlign w:val="center"/>
            <w:hideMark/>
          </w:tcPr>
          <w:p w14:paraId="62E36ADF" w14:textId="77777777" w:rsidR="00387142" w:rsidRPr="008B6A75" w:rsidRDefault="00387142" w:rsidP="00387142">
            <w:pPr>
              <w:jc w:val="right"/>
              <w:rPr>
                <w:bCs/>
                <w:sz w:val="20"/>
                <w:szCs w:val="20"/>
              </w:rPr>
            </w:pPr>
            <w:r w:rsidRPr="008B6A75">
              <w:rPr>
                <w:bCs/>
                <w:sz w:val="20"/>
                <w:szCs w:val="20"/>
              </w:rPr>
              <w:t>7 590 400,00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4987D4DD" w14:textId="77777777" w:rsidR="00387142" w:rsidRPr="008B6A75" w:rsidRDefault="00387142" w:rsidP="00387142">
            <w:pPr>
              <w:jc w:val="right"/>
              <w:rPr>
                <w:bCs/>
                <w:sz w:val="20"/>
                <w:szCs w:val="20"/>
              </w:rPr>
            </w:pPr>
            <w:r w:rsidRPr="008B6A75">
              <w:rPr>
                <w:bCs/>
                <w:sz w:val="20"/>
                <w:szCs w:val="20"/>
              </w:rPr>
              <w:t>5 290 300,00</w:t>
            </w:r>
          </w:p>
        </w:tc>
      </w:tr>
      <w:tr w:rsidR="00387142" w:rsidRPr="008B6A75" w14:paraId="6C1E6C6C" w14:textId="77777777" w:rsidTr="00387142">
        <w:trPr>
          <w:trHeight w:val="870"/>
        </w:trPr>
        <w:tc>
          <w:tcPr>
            <w:tcW w:w="3261" w:type="dxa"/>
            <w:tcBorders>
              <w:top w:val="nil"/>
              <w:left w:val="single" w:sz="4" w:space="0" w:color="auto"/>
              <w:bottom w:val="single" w:sz="4" w:space="0" w:color="auto"/>
              <w:right w:val="nil"/>
            </w:tcBorders>
            <w:shd w:val="clear" w:color="auto" w:fill="auto"/>
            <w:vAlign w:val="center"/>
            <w:hideMark/>
          </w:tcPr>
          <w:p w14:paraId="7B53F997" w14:textId="77777777" w:rsidR="00387142" w:rsidRPr="008B6A75" w:rsidRDefault="00387142" w:rsidP="00387142">
            <w:pPr>
              <w:rPr>
                <w:sz w:val="20"/>
                <w:szCs w:val="20"/>
              </w:rPr>
            </w:pPr>
            <w:r w:rsidRPr="008B6A75">
              <w:rPr>
                <w:sz w:val="20"/>
                <w:szCs w:val="20"/>
              </w:rPr>
              <w:t>Капитальные вложения в объекты государственной (муниципальной) собственности</w:t>
            </w:r>
          </w:p>
        </w:tc>
        <w:tc>
          <w:tcPr>
            <w:tcW w:w="720" w:type="dxa"/>
            <w:tcBorders>
              <w:top w:val="nil"/>
              <w:left w:val="single" w:sz="4" w:space="0" w:color="auto"/>
              <w:bottom w:val="single" w:sz="4" w:space="0" w:color="auto"/>
              <w:right w:val="nil"/>
            </w:tcBorders>
            <w:shd w:val="clear" w:color="auto" w:fill="auto"/>
            <w:noWrap/>
            <w:vAlign w:val="center"/>
            <w:hideMark/>
          </w:tcPr>
          <w:p w14:paraId="5F9B03C6" w14:textId="77777777" w:rsidR="00387142" w:rsidRPr="008B6A75" w:rsidRDefault="00387142" w:rsidP="00387142">
            <w:pPr>
              <w:jc w:val="center"/>
              <w:rPr>
                <w:sz w:val="20"/>
                <w:szCs w:val="20"/>
              </w:rPr>
            </w:pPr>
            <w:r w:rsidRPr="008B6A75">
              <w:rPr>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8ECAEC0" w14:textId="77777777" w:rsidR="00387142" w:rsidRPr="008B6A75" w:rsidRDefault="00387142" w:rsidP="00387142">
            <w:pPr>
              <w:jc w:val="center"/>
              <w:rPr>
                <w:sz w:val="20"/>
                <w:szCs w:val="20"/>
              </w:rPr>
            </w:pPr>
            <w:r w:rsidRPr="008B6A75">
              <w:rPr>
                <w:sz w:val="20"/>
                <w:szCs w:val="20"/>
              </w:rPr>
              <w:t>01</w:t>
            </w:r>
          </w:p>
        </w:tc>
        <w:tc>
          <w:tcPr>
            <w:tcW w:w="1516" w:type="dxa"/>
            <w:tcBorders>
              <w:top w:val="nil"/>
              <w:left w:val="single" w:sz="4" w:space="0" w:color="auto"/>
              <w:bottom w:val="single" w:sz="4" w:space="0" w:color="auto"/>
              <w:right w:val="nil"/>
            </w:tcBorders>
            <w:shd w:val="clear" w:color="auto" w:fill="auto"/>
            <w:noWrap/>
            <w:vAlign w:val="center"/>
            <w:hideMark/>
          </w:tcPr>
          <w:p w14:paraId="0AF8E434" w14:textId="77777777" w:rsidR="00387142" w:rsidRPr="008B6A75" w:rsidRDefault="00387142" w:rsidP="00387142">
            <w:pPr>
              <w:jc w:val="center"/>
              <w:rPr>
                <w:sz w:val="20"/>
                <w:szCs w:val="20"/>
              </w:rPr>
            </w:pPr>
            <w:r w:rsidRPr="008B6A75">
              <w:rPr>
                <w:sz w:val="20"/>
                <w:szCs w:val="20"/>
              </w:rPr>
              <w:t>99.0.00.70830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9575A50" w14:textId="77777777" w:rsidR="00387142" w:rsidRPr="008B6A75" w:rsidRDefault="00387142" w:rsidP="00387142">
            <w:pPr>
              <w:jc w:val="center"/>
              <w:rPr>
                <w:sz w:val="20"/>
                <w:szCs w:val="20"/>
              </w:rPr>
            </w:pPr>
            <w:r w:rsidRPr="008B6A75">
              <w:rPr>
                <w:sz w:val="20"/>
                <w:szCs w:val="20"/>
              </w:rPr>
              <w:t>400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730641C" w14:textId="77777777" w:rsidR="00387142" w:rsidRPr="008B6A75" w:rsidRDefault="00387142" w:rsidP="00387142">
            <w:pPr>
              <w:jc w:val="right"/>
              <w:rPr>
                <w:sz w:val="20"/>
                <w:szCs w:val="20"/>
              </w:rPr>
            </w:pPr>
            <w:r w:rsidRPr="008B6A75">
              <w:rPr>
                <w:sz w:val="20"/>
                <w:szCs w:val="20"/>
              </w:rPr>
              <w:t>15 781 000,00</w:t>
            </w:r>
          </w:p>
        </w:tc>
        <w:tc>
          <w:tcPr>
            <w:tcW w:w="992" w:type="dxa"/>
            <w:tcBorders>
              <w:top w:val="nil"/>
              <w:left w:val="single" w:sz="4" w:space="0" w:color="auto"/>
              <w:bottom w:val="single" w:sz="4" w:space="0" w:color="auto"/>
              <w:right w:val="nil"/>
            </w:tcBorders>
            <w:shd w:val="clear" w:color="auto" w:fill="auto"/>
            <w:vAlign w:val="center"/>
            <w:hideMark/>
          </w:tcPr>
          <w:p w14:paraId="167D7717" w14:textId="77777777" w:rsidR="00387142" w:rsidRPr="008B6A75" w:rsidRDefault="00387142" w:rsidP="00387142">
            <w:pPr>
              <w:jc w:val="right"/>
              <w:rPr>
                <w:sz w:val="20"/>
                <w:szCs w:val="20"/>
              </w:rPr>
            </w:pPr>
            <w:r w:rsidRPr="008B6A75">
              <w:rPr>
                <w:sz w:val="20"/>
                <w:szCs w:val="20"/>
              </w:rPr>
              <w:t>7 590 400,00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664E7D01" w14:textId="77777777" w:rsidR="00387142" w:rsidRPr="008B6A75" w:rsidRDefault="00387142" w:rsidP="00387142">
            <w:pPr>
              <w:jc w:val="right"/>
              <w:rPr>
                <w:sz w:val="20"/>
                <w:szCs w:val="20"/>
              </w:rPr>
            </w:pPr>
            <w:r w:rsidRPr="008B6A75">
              <w:rPr>
                <w:sz w:val="20"/>
                <w:szCs w:val="20"/>
              </w:rPr>
              <w:t>5 290 300,00</w:t>
            </w:r>
          </w:p>
        </w:tc>
      </w:tr>
      <w:tr w:rsidR="00387142" w:rsidRPr="008B6A75" w14:paraId="58A59882" w14:textId="77777777" w:rsidTr="00387142">
        <w:trPr>
          <w:trHeight w:val="345"/>
        </w:trPr>
        <w:tc>
          <w:tcPr>
            <w:tcW w:w="3261" w:type="dxa"/>
            <w:tcBorders>
              <w:top w:val="nil"/>
              <w:left w:val="single" w:sz="4" w:space="0" w:color="auto"/>
              <w:bottom w:val="single" w:sz="4" w:space="0" w:color="auto"/>
              <w:right w:val="nil"/>
            </w:tcBorders>
            <w:shd w:val="clear" w:color="auto" w:fill="auto"/>
            <w:vAlign w:val="center"/>
            <w:hideMark/>
          </w:tcPr>
          <w:p w14:paraId="66325C00" w14:textId="77777777" w:rsidR="00387142" w:rsidRPr="008B6A75" w:rsidRDefault="00387142" w:rsidP="00387142">
            <w:pPr>
              <w:rPr>
                <w:sz w:val="20"/>
                <w:szCs w:val="20"/>
              </w:rPr>
            </w:pPr>
            <w:r w:rsidRPr="008B6A75">
              <w:rPr>
                <w:sz w:val="20"/>
                <w:szCs w:val="20"/>
              </w:rPr>
              <w:t>Бюджетные инвестиции</w:t>
            </w:r>
          </w:p>
        </w:tc>
        <w:tc>
          <w:tcPr>
            <w:tcW w:w="720" w:type="dxa"/>
            <w:tcBorders>
              <w:top w:val="nil"/>
              <w:left w:val="single" w:sz="4" w:space="0" w:color="auto"/>
              <w:bottom w:val="single" w:sz="4" w:space="0" w:color="auto"/>
              <w:right w:val="nil"/>
            </w:tcBorders>
            <w:shd w:val="clear" w:color="auto" w:fill="auto"/>
            <w:noWrap/>
            <w:vAlign w:val="center"/>
            <w:hideMark/>
          </w:tcPr>
          <w:p w14:paraId="35005414" w14:textId="77777777" w:rsidR="00387142" w:rsidRPr="008B6A75" w:rsidRDefault="00387142" w:rsidP="00387142">
            <w:pPr>
              <w:jc w:val="center"/>
              <w:rPr>
                <w:sz w:val="20"/>
                <w:szCs w:val="20"/>
              </w:rPr>
            </w:pPr>
            <w:r w:rsidRPr="008B6A75">
              <w:rPr>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8A64234" w14:textId="77777777" w:rsidR="00387142" w:rsidRPr="008B6A75" w:rsidRDefault="00387142" w:rsidP="00387142">
            <w:pPr>
              <w:jc w:val="center"/>
              <w:rPr>
                <w:sz w:val="20"/>
                <w:szCs w:val="20"/>
              </w:rPr>
            </w:pPr>
            <w:r w:rsidRPr="008B6A75">
              <w:rPr>
                <w:sz w:val="20"/>
                <w:szCs w:val="20"/>
              </w:rPr>
              <w:t>01</w:t>
            </w:r>
          </w:p>
        </w:tc>
        <w:tc>
          <w:tcPr>
            <w:tcW w:w="1516" w:type="dxa"/>
            <w:tcBorders>
              <w:top w:val="nil"/>
              <w:left w:val="single" w:sz="4" w:space="0" w:color="auto"/>
              <w:bottom w:val="single" w:sz="4" w:space="0" w:color="auto"/>
              <w:right w:val="nil"/>
            </w:tcBorders>
            <w:shd w:val="clear" w:color="auto" w:fill="auto"/>
            <w:noWrap/>
            <w:vAlign w:val="center"/>
            <w:hideMark/>
          </w:tcPr>
          <w:p w14:paraId="4D46B4E8" w14:textId="77777777" w:rsidR="00387142" w:rsidRPr="008B6A75" w:rsidRDefault="00387142" w:rsidP="00387142">
            <w:pPr>
              <w:jc w:val="center"/>
              <w:rPr>
                <w:sz w:val="20"/>
                <w:szCs w:val="20"/>
              </w:rPr>
            </w:pPr>
            <w:r w:rsidRPr="008B6A75">
              <w:rPr>
                <w:sz w:val="20"/>
                <w:szCs w:val="20"/>
              </w:rPr>
              <w:t>99.0.00.70830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C971754" w14:textId="77777777" w:rsidR="00387142" w:rsidRPr="008B6A75" w:rsidRDefault="00387142" w:rsidP="00387142">
            <w:pPr>
              <w:jc w:val="center"/>
              <w:rPr>
                <w:sz w:val="20"/>
                <w:szCs w:val="20"/>
              </w:rPr>
            </w:pPr>
            <w:r w:rsidRPr="008B6A75">
              <w:rPr>
                <w:sz w:val="20"/>
                <w:szCs w:val="20"/>
              </w:rPr>
              <w:t>410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B66AC56" w14:textId="77777777" w:rsidR="00387142" w:rsidRPr="008B6A75" w:rsidRDefault="00387142" w:rsidP="00387142">
            <w:pPr>
              <w:jc w:val="right"/>
              <w:rPr>
                <w:sz w:val="20"/>
                <w:szCs w:val="20"/>
              </w:rPr>
            </w:pPr>
            <w:r w:rsidRPr="008B6A75">
              <w:rPr>
                <w:sz w:val="20"/>
                <w:szCs w:val="20"/>
              </w:rPr>
              <w:t>15 781 000,00</w:t>
            </w:r>
          </w:p>
        </w:tc>
        <w:tc>
          <w:tcPr>
            <w:tcW w:w="992" w:type="dxa"/>
            <w:tcBorders>
              <w:top w:val="nil"/>
              <w:left w:val="single" w:sz="4" w:space="0" w:color="auto"/>
              <w:bottom w:val="single" w:sz="4" w:space="0" w:color="auto"/>
              <w:right w:val="nil"/>
            </w:tcBorders>
            <w:shd w:val="clear" w:color="auto" w:fill="auto"/>
            <w:vAlign w:val="center"/>
            <w:hideMark/>
          </w:tcPr>
          <w:p w14:paraId="6CEE2945" w14:textId="77777777" w:rsidR="00387142" w:rsidRPr="008B6A75" w:rsidRDefault="00387142" w:rsidP="00387142">
            <w:pPr>
              <w:jc w:val="right"/>
              <w:rPr>
                <w:sz w:val="20"/>
                <w:szCs w:val="20"/>
              </w:rPr>
            </w:pPr>
            <w:r w:rsidRPr="008B6A75">
              <w:rPr>
                <w:sz w:val="20"/>
                <w:szCs w:val="20"/>
              </w:rPr>
              <w:t>7 590 400,00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07B22798" w14:textId="77777777" w:rsidR="00387142" w:rsidRPr="008B6A75" w:rsidRDefault="00387142" w:rsidP="00387142">
            <w:pPr>
              <w:jc w:val="right"/>
              <w:rPr>
                <w:sz w:val="20"/>
                <w:szCs w:val="20"/>
              </w:rPr>
            </w:pPr>
            <w:r w:rsidRPr="008B6A75">
              <w:rPr>
                <w:sz w:val="20"/>
                <w:szCs w:val="20"/>
              </w:rPr>
              <w:t>5 290 300,00</w:t>
            </w:r>
          </w:p>
        </w:tc>
      </w:tr>
      <w:tr w:rsidR="00387142" w:rsidRPr="008B6A75" w14:paraId="306B58FE" w14:textId="77777777" w:rsidTr="00387142">
        <w:trPr>
          <w:trHeight w:val="1440"/>
        </w:trPr>
        <w:tc>
          <w:tcPr>
            <w:tcW w:w="3261" w:type="dxa"/>
            <w:tcBorders>
              <w:top w:val="nil"/>
              <w:left w:val="single" w:sz="4" w:space="0" w:color="auto"/>
              <w:bottom w:val="single" w:sz="4" w:space="0" w:color="auto"/>
              <w:right w:val="nil"/>
            </w:tcBorders>
            <w:shd w:val="clear" w:color="auto" w:fill="auto"/>
            <w:vAlign w:val="center"/>
            <w:hideMark/>
          </w:tcPr>
          <w:p w14:paraId="63D88618" w14:textId="77777777" w:rsidR="00387142" w:rsidRPr="008B6A75" w:rsidRDefault="00387142" w:rsidP="00387142">
            <w:pPr>
              <w:rPr>
                <w:bCs/>
                <w:sz w:val="20"/>
                <w:szCs w:val="20"/>
              </w:rPr>
            </w:pPr>
            <w:r w:rsidRPr="008B6A75">
              <w:rPr>
                <w:bCs/>
                <w:sz w:val="20"/>
                <w:szCs w:val="2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(поддержка семьи и детей)</w:t>
            </w:r>
          </w:p>
        </w:tc>
        <w:tc>
          <w:tcPr>
            <w:tcW w:w="720" w:type="dxa"/>
            <w:tcBorders>
              <w:top w:val="nil"/>
              <w:left w:val="single" w:sz="4" w:space="0" w:color="auto"/>
              <w:bottom w:val="single" w:sz="4" w:space="0" w:color="auto"/>
              <w:right w:val="nil"/>
            </w:tcBorders>
            <w:shd w:val="clear" w:color="auto" w:fill="auto"/>
            <w:noWrap/>
            <w:vAlign w:val="center"/>
            <w:hideMark/>
          </w:tcPr>
          <w:p w14:paraId="049D42E1" w14:textId="77777777" w:rsidR="00387142" w:rsidRPr="008B6A75" w:rsidRDefault="00387142" w:rsidP="00387142">
            <w:pPr>
              <w:jc w:val="center"/>
              <w:rPr>
                <w:bCs/>
                <w:sz w:val="20"/>
                <w:szCs w:val="20"/>
              </w:rPr>
            </w:pPr>
            <w:r w:rsidRPr="008B6A75">
              <w:rPr>
                <w:bCs/>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01B6464" w14:textId="77777777" w:rsidR="00387142" w:rsidRPr="008B6A75" w:rsidRDefault="00387142" w:rsidP="00387142">
            <w:pPr>
              <w:jc w:val="center"/>
              <w:rPr>
                <w:bCs/>
                <w:sz w:val="20"/>
                <w:szCs w:val="20"/>
              </w:rPr>
            </w:pPr>
            <w:r w:rsidRPr="008B6A75">
              <w:rPr>
                <w:bCs/>
                <w:sz w:val="20"/>
                <w:szCs w:val="20"/>
              </w:rPr>
              <w:t>01</w:t>
            </w:r>
          </w:p>
        </w:tc>
        <w:tc>
          <w:tcPr>
            <w:tcW w:w="1516" w:type="dxa"/>
            <w:tcBorders>
              <w:top w:val="nil"/>
              <w:left w:val="single" w:sz="4" w:space="0" w:color="auto"/>
              <w:bottom w:val="single" w:sz="4" w:space="0" w:color="auto"/>
              <w:right w:val="nil"/>
            </w:tcBorders>
            <w:shd w:val="clear" w:color="auto" w:fill="auto"/>
            <w:noWrap/>
            <w:vAlign w:val="center"/>
            <w:hideMark/>
          </w:tcPr>
          <w:p w14:paraId="55E72213" w14:textId="77777777" w:rsidR="00387142" w:rsidRPr="008B6A75" w:rsidRDefault="00387142" w:rsidP="00387142">
            <w:pPr>
              <w:jc w:val="center"/>
              <w:rPr>
                <w:bCs/>
                <w:sz w:val="20"/>
                <w:szCs w:val="20"/>
              </w:rPr>
            </w:pPr>
            <w:r w:rsidRPr="008B6A75">
              <w:rPr>
                <w:bCs/>
                <w:sz w:val="20"/>
                <w:szCs w:val="20"/>
              </w:rPr>
              <w:t>99.0.00.R0829</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F131343"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9D6BB72" w14:textId="77777777" w:rsidR="00387142" w:rsidRPr="008B6A75" w:rsidRDefault="00387142" w:rsidP="00387142">
            <w:pPr>
              <w:jc w:val="right"/>
              <w:rPr>
                <w:bCs/>
                <w:sz w:val="20"/>
                <w:szCs w:val="20"/>
              </w:rPr>
            </w:pPr>
            <w:r w:rsidRPr="008B6A75">
              <w:rPr>
                <w:bCs/>
                <w:sz w:val="20"/>
                <w:szCs w:val="20"/>
              </w:rPr>
              <w:t>22 484 447,44</w:t>
            </w:r>
          </w:p>
        </w:tc>
        <w:tc>
          <w:tcPr>
            <w:tcW w:w="992" w:type="dxa"/>
            <w:tcBorders>
              <w:top w:val="nil"/>
              <w:left w:val="single" w:sz="4" w:space="0" w:color="auto"/>
              <w:bottom w:val="single" w:sz="4" w:space="0" w:color="auto"/>
              <w:right w:val="nil"/>
            </w:tcBorders>
            <w:shd w:val="clear" w:color="auto" w:fill="auto"/>
            <w:vAlign w:val="center"/>
            <w:hideMark/>
          </w:tcPr>
          <w:p w14:paraId="7DE1D08A" w14:textId="77777777" w:rsidR="00387142" w:rsidRPr="008B6A75" w:rsidRDefault="00387142" w:rsidP="00387142">
            <w:pPr>
              <w:jc w:val="right"/>
              <w:rPr>
                <w:bCs/>
                <w:sz w:val="20"/>
                <w:szCs w:val="20"/>
              </w:rPr>
            </w:pPr>
            <w:r w:rsidRPr="008B6A75">
              <w:rPr>
                <w:bCs/>
                <w:sz w:val="20"/>
                <w:szCs w:val="20"/>
              </w:rPr>
              <w:t>10 681 700,00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5B0A2CF3" w14:textId="77777777" w:rsidR="00387142" w:rsidRPr="008B6A75" w:rsidRDefault="00387142" w:rsidP="00387142">
            <w:pPr>
              <w:jc w:val="right"/>
              <w:rPr>
                <w:bCs/>
                <w:sz w:val="20"/>
                <w:szCs w:val="20"/>
              </w:rPr>
            </w:pPr>
            <w:r w:rsidRPr="008B6A75">
              <w:rPr>
                <w:bCs/>
                <w:sz w:val="20"/>
                <w:szCs w:val="20"/>
              </w:rPr>
              <w:t>16 022 600,00</w:t>
            </w:r>
          </w:p>
        </w:tc>
      </w:tr>
      <w:tr w:rsidR="00387142" w:rsidRPr="008B6A75" w14:paraId="0765A12A" w14:textId="77777777" w:rsidTr="00387142">
        <w:trPr>
          <w:trHeight w:val="870"/>
        </w:trPr>
        <w:tc>
          <w:tcPr>
            <w:tcW w:w="3261" w:type="dxa"/>
            <w:tcBorders>
              <w:top w:val="nil"/>
              <w:left w:val="single" w:sz="4" w:space="0" w:color="auto"/>
              <w:bottom w:val="single" w:sz="4" w:space="0" w:color="auto"/>
              <w:right w:val="nil"/>
            </w:tcBorders>
            <w:shd w:val="clear" w:color="auto" w:fill="auto"/>
            <w:vAlign w:val="center"/>
            <w:hideMark/>
          </w:tcPr>
          <w:p w14:paraId="2141E5A3" w14:textId="77777777" w:rsidR="00387142" w:rsidRPr="008B6A75" w:rsidRDefault="00387142" w:rsidP="00387142">
            <w:pPr>
              <w:rPr>
                <w:sz w:val="20"/>
                <w:szCs w:val="20"/>
              </w:rPr>
            </w:pPr>
            <w:r w:rsidRPr="008B6A75">
              <w:rPr>
                <w:sz w:val="20"/>
                <w:szCs w:val="20"/>
              </w:rPr>
              <w:t>Капитальные вложения в объекты государственной (муниципальной) собственности</w:t>
            </w:r>
          </w:p>
        </w:tc>
        <w:tc>
          <w:tcPr>
            <w:tcW w:w="720" w:type="dxa"/>
            <w:tcBorders>
              <w:top w:val="nil"/>
              <w:left w:val="single" w:sz="4" w:space="0" w:color="auto"/>
              <w:bottom w:val="single" w:sz="4" w:space="0" w:color="auto"/>
              <w:right w:val="nil"/>
            </w:tcBorders>
            <w:shd w:val="clear" w:color="auto" w:fill="auto"/>
            <w:noWrap/>
            <w:vAlign w:val="center"/>
            <w:hideMark/>
          </w:tcPr>
          <w:p w14:paraId="78135E20" w14:textId="77777777" w:rsidR="00387142" w:rsidRPr="008B6A75" w:rsidRDefault="00387142" w:rsidP="00387142">
            <w:pPr>
              <w:jc w:val="center"/>
              <w:rPr>
                <w:sz w:val="20"/>
                <w:szCs w:val="20"/>
              </w:rPr>
            </w:pPr>
            <w:r w:rsidRPr="008B6A75">
              <w:rPr>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A0EEF82" w14:textId="77777777" w:rsidR="00387142" w:rsidRPr="008B6A75" w:rsidRDefault="00387142" w:rsidP="00387142">
            <w:pPr>
              <w:jc w:val="center"/>
              <w:rPr>
                <w:sz w:val="20"/>
                <w:szCs w:val="20"/>
              </w:rPr>
            </w:pPr>
            <w:r w:rsidRPr="008B6A75">
              <w:rPr>
                <w:sz w:val="20"/>
                <w:szCs w:val="20"/>
              </w:rPr>
              <w:t>01</w:t>
            </w:r>
          </w:p>
        </w:tc>
        <w:tc>
          <w:tcPr>
            <w:tcW w:w="1516" w:type="dxa"/>
            <w:tcBorders>
              <w:top w:val="nil"/>
              <w:left w:val="single" w:sz="4" w:space="0" w:color="auto"/>
              <w:bottom w:val="single" w:sz="4" w:space="0" w:color="auto"/>
              <w:right w:val="nil"/>
            </w:tcBorders>
            <w:shd w:val="clear" w:color="auto" w:fill="auto"/>
            <w:noWrap/>
            <w:vAlign w:val="center"/>
            <w:hideMark/>
          </w:tcPr>
          <w:p w14:paraId="4A0707B2" w14:textId="77777777" w:rsidR="00387142" w:rsidRPr="008B6A75" w:rsidRDefault="00387142" w:rsidP="00387142">
            <w:pPr>
              <w:jc w:val="center"/>
              <w:rPr>
                <w:sz w:val="20"/>
                <w:szCs w:val="20"/>
              </w:rPr>
            </w:pPr>
            <w:r w:rsidRPr="008B6A75">
              <w:rPr>
                <w:sz w:val="20"/>
                <w:szCs w:val="20"/>
              </w:rPr>
              <w:t>99.0.00.R0829</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ABF1DB8" w14:textId="77777777" w:rsidR="00387142" w:rsidRPr="008B6A75" w:rsidRDefault="00387142" w:rsidP="00387142">
            <w:pPr>
              <w:jc w:val="center"/>
              <w:rPr>
                <w:sz w:val="20"/>
                <w:szCs w:val="20"/>
              </w:rPr>
            </w:pPr>
            <w:r w:rsidRPr="008B6A75">
              <w:rPr>
                <w:sz w:val="20"/>
                <w:szCs w:val="20"/>
              </w:rPr>
              <w:t>400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0E3DE74" w14:textId="77777777" w:rsidR="00387142" w:rsidRPr="008B6A75" w:rsidRDefault="00387142" w:rsidP="00387142">
            <w:pPr>
              <w:jc w:val="right"/>
              <w:rPr>
                <w:sz w:val="20"/>
                <w:szCs w:val="20"/>
              </w:rPr>
            </w:pPr>
            <w:r w:rsidRPr="008B6A75">
              <w:rPr>
                <w:sz w:val="20"/>
                <w:szCs w:val="20"/>
              </w:rPr>
              <w:t>22 484 447,44</w:t>
            </w:r>
          </w:p>
        </w:tc>
        <w:tc>
          <w:tcPr>
            <w:tcW w:w="992" w:type="dxa"/>
            <w:tcBorders>
              <w:top w:val="nil"/>
              <w:left w:val="single" w:sz="4" w:space="0" w:color="auto"/>
              <w:bottom w:val="single" w:sz="4" w:space="0" w:color="auto"/>
              <w:right w:val="nil"/>
            </w:tcBorders>
            <w:shd w:val="clear" w:color="auto" w:fill="auto"/>
            <w:vAlign w:val="center"/>
            <w:hideMark/>
          </w:tcPr>
          <w:p w14:paraId="20D9F457" w14:textId="77777777" w:rsidR="00387142" w:rsidRPr="008B6A75" w:rsidRDefault="00387142" w:rsidP="00387142">
            <w:pPr>
              <w:jc w:val="right"/>
              <w:rPr>
                <w:sz w:val="20"/>
                <w:szCs w:val="20"/>
              </w:rPr>
            </w:pPr>
            <w:r w:rsidRPr="008B6A75">
              <w:rPr>
                <w:sz w:val="20"/>
                <w:szCs w:val="20"/>
              </w:rPr>
              <w:t>10 681 700,00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647F6C2B" w14:textId="77777777" w:rsidR="00387142" w:rsidRPr="008B6A75" w:rsidRDefault="00387142" w:rsidP="00387142">
            <w:pPr>
              <w:jc w:val="right"/>
              <w:rPr>
                <w:sz w:val="20"/>
                <w:szCs w:val="20"/>
              </w:rPr>
            </w:pPr>
            <w:r w:rsidRPr="008B6A75">
              <w:rPr>
                <w:sz w:val="20"/>
                <w:szCs w:val="20"/>
              </w:rPr>
              <w:t>16 022 600,00</w:t>
            </w:r>
          </w:p>
        </w:tc>
      </w:tr>
      <w:tr w:rsidR="00387142" w:rsidRPr="008B6A75" w14:paraId="4F308082" w14:textId="77777777" w:rsidTr="00387142">
        <w:trPr>
          <w:trHeight w:val="345"/>
        </w:trPr>
        <w:tc>
          <w:tcPr>
            <w:tcW w:w="3261" w:type="dxa"/>
            <w:tcBorders>
              <w:top w:val="nil"/>
              <w:left w:val="single" w:sz="4" w:space="0" w:color="auto"/>
              <w:bottom w:val="single" w:sz="4" w:space="0" w:color="auto"/>
              <w:right w:val="nil"/>
            </w:tcBorders>
            <w:shd w:val="clear" w:color="auto" w:fill="auto"/>
            <w:vAlign w:val="center"/>
            <w:hideMark/>
          </w:tcPr>
          <w:p w14:paraId="60E47F2E" w14:textId="77777777" w:rsidR="00387142" w:rsidRPr="008B6A75" w:rsidRDefault="00387142" w:rsidP="00387142">
            <w:pPr>
              <w:rPr>
                <w:sz w:val="20"/>
                <w:szCs w:val="20"/>
              </w:rPr>
            </w:pPr>
            <w:r w:rsidRPr="008B6A75">
              <w:rPr>
                <w:sz w:val="20"/>
                <w:szCs w:val="20"/>
              </w:rPr>
              <w:t>Бюджетные инвестиции</w:t>
            </w:r>
          </w:p>
        </w:tc>
        <w:tc>
          <w:tcPr>
            <w:tcW w:w="720" w:type="dxa"/>
            <w:tcBorders>
              <w:top w:val="nil"/>
              <w:left w:val="single" w:sz="4" w:space="0" w:color="auto"/>
              <w:bottom w:val="single" w:sz="4" w:space="0" w:color="auto"/>
              <w:right w:val="nil"/>
            </w:tcBorders>
            <w:shd w:val="clear" w:color="auto" w:fill="auto"/>
            <w:noWrap/>
            <w:vAlign w:val="center"/>
            <w:hideMark/>
          </w:tcPr>
          <w:p w14:paraId="38EFE705" w14:textId="77777777" w:rsidR="00387142" w:rsidRPr="008B6A75" w:rsidRDefault="00387142" w:rsidP="00387142">
            <w:pPr>
              <w:jc w:val="center"/>
              <w:rPr>
                <w:sz w:val="20"/>
                <w:szCs w:val="20"/>
              </w:rPr>
            </w:pPr>
            <w:r w:rsidRPr="008B6A75">
              <w:rPr>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67E8674" w14:textId="77777777" w:rsidR="00387142" w:rsidRPr="008B6A75" w:rsidRDefault="00387142" w:rsidP="00387142">
            <w:pPr>
              <w:jc w:val="center"/>
              <w:rPr>
                <w:sz w:val="20"/>
                <w:szCs w:val="20"/>
              </w:rPr>
            </w:pPr>
            <w:r w:rsidRPr="008B6A75">
              <w:rPr>
                <w:sz w:val="20"/>
                <w:szCs w:val="20"/>
              </w:rPr>
              <w:t>01</w:t>
            </w:r>
          </w:p>
        </w:tc>
        <w:tc>
          <w:tcPr>
            <w:tcW w:w="1516" w:type="dxa"/>
            <w:tcBorders>
              <w:top w:val="nil"/>
              <w:left w:val="single" w:sz="4" w:space="0" w:color="auto"/>
              <w:bottom w:val="single" w:sz="4" w:space="0" w:color="auto"/>
              <w:right w:val="nil"/>
            </w:tcBorders>
            <w:shd w:val="clear" w:color="auto" w:fill="auto"/>
            <w:noWrap/>
            <w:vAlign w:val="center"/>
            <w:hideMark/>
          </w:tcPr>
          <w:p w14:paraId="1EF8EF9A" w14:textId="77777777" w:rsidR="00387142" w:rsidRPr="008B6A75" w:rsidRDefault="00387142" w:rsidP="00387142">
            <w:pPr>
              <w:jc w:val="center"/>
              <w:rPr>
                <w:sz w:val="20"/>
                <w:szCs w:val="20"/>
              </w:rPr>
            </w:pPr>
            <w:r w:rsidRPr="008B6A75">
              <w:rPr>
                <w:sz w:val="20"/>
                <w:szCs w:val="20"/>
              </w:rPr>
              <w:t>99.0.00.R0829</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F0CAA28" w14:textId="77777777" w:rsidR="00387142" w:rsidRPr="008B6A75" w:rsidRDefault="00387142" w:rsidP="00387142">
            <w:pPr>
              <w:jc w:val="center"/>
              <w:rPr>
                <w:sz w:val="20"/>
                <w:szCs w:val="20"/>
              </w:rPr>
            </w:pPr>
            <w:r w:rsidRPr="008B6A75">
              <w:rPr>
                <w:sz w:val="20"/>
                <w:szCs w:val="20"/>
              </w:rPr>
              <w:t>410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3E897C0" w14:textId="77777777" w:rsidR="00387142" w:rsidRPr="008B6A75" w:rsidRDefault="00387142" w:rsidP="00387142">
            <w:pPr>
              <w:jc w:val="right"/>
              <w:rPr>
                <w:sz w:val="20"/>
                <w:szCs w:val="20"/>
              </w:rPr>
            </w:pPr>
            <w:r w:rsidRPr="008B6A75">
              <w:rPr>
                <w:sz w:val="20"/>
                <w:szCs w:val="20"/>
              </w:rPr>
              <w:t>22 484 447,44</w:t>
            </w:r>
          </w:p>
        </w:tc>
        <w:tc>
          <w:tcPr>
            <w:tcW w:w="992" w:type="dxa"/>
            <w:tcBorders>
              <w:top w:val="nil"/>
              <w:left w:val="single" w:sz="4" w:space="0" w:color="auto"/>
              <w:bottom w:val="single" w:sz="4" w:space="0" w:color="auto"/>
              <w:right w:val="nil"/>
            </w:tcBorders>
            <w:shd w:val="clear" w:color="auto" w:fill="auto"/>
            <w:vAlign w:val="center"/>
            <w:hideMark/>
          </w:tcPr>
          <w:p w14:paraId="7D1264B5" w14:textId="77777777" w:rsidR="00387142" w:rsidRPr="008B6A75" w:rsidRDefault="00387142" w:rsidP="00387142">
            <w:pPr>
              <w:jc w:val="right"/>
              <w:rPr>
                <w:sz w:val="20"/>
                <w:szCs w:val="20"/>
              </w:rPr>
            </w:pPr>
            <w:r w:rsidRPr="008B6A75">
              <w:rPr>
                <w:sz w:val="20"/>
                <w:szCs w:val="20"/>
              </w:rPr>
              <w:t>10 681 700,00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45AE6A4A" w14:textId="77777777" w:rsidR="00387142" w:rsidRPr="008B6A75" w:rsidRDefault="00387142" w:rsidP="00387142">
            <w:pPr>
              <w:jc w:val="right"/>
              <w:rPr>
                <w:sz w:val="20"/>
                <w:szCs w:val="20"/>
              </w:rPr>
            </w:pPr>
            <w:r w:rsidRPr="008B6A75">
              <w:rPr>
                <w:sz w:val="20"/>
                <w:szCs w:val="20"/>
              </w:rPr>
              <w:t>16 022 600,00</w:t>
            </w:r>
          </w:p>
        </w:tc>
      </w:tr>
      <w:tr w:rsidR="00387142" w:rsidRPr="008B6A75" w14:paraId="0C92287D" w14:textId="77777777" w:rsidTr="00387142">
        <w:trPr>
          <w:trHeight w:val="3150"/>
        </w:trPr>
        <w:tc>
          <w:tcPr>
            <w:tcW w:w="3261" w:type="dxa"/>
            <w:tcBorders>
              <w:top w:val="nil"/>
              <w:left w:val="single" w:sz="4" w:space="0" w:color="auto"/>
              <w:bottom w:val="single" w:sz="4" w:space="0" w:color="auto"/>
              <w:right w:val="nil"/>
            </w:tcBorders>
            <w:shd w:val="clear" w:color="auto" w:fill="auto"/>
            <w:vAlign w:val="center"/>
            <w:hideMark/>
          </w:tcPr>
          <w:p w14:paraId="12BEDD16" w14:textId="77777777" w:rsidR="00387142" w:rsidRPr="008B6A75" w:rsidRDefault="00387142" w:rsidP="00387142">
            <w:pPr>
              <w:rPr>
                <w:bCs/>
                <w:sz w:val="20"/>
                <w:szCs w:val="20"/>
              </w:rPr>
            </w:pPr>
            <w:proofErr w:type="spellStart"/>
            <w:r w:rsidRPr="008B6A75">
              <w:rPr>
                <w:bCs/>
                <w:sz w:val="20"/>
                <w:szCs w:val="20"/>
              </w:rPr>
              <w:lastRenderedPageBreak/>
              <w:t>Софинансирование</w:t>
            </w:r>
            <w:proofErr w:type="spellEnd"/>
            <w:r w:rsidRPr="008B6A75">
              <w:rPr>
                <w:bCs/>
                <w:sz w:val="20"/>
                <w:szCs w:val="20"/>
              </w:rPr>
              <w:t xml:space="preserve"> местного бюджета на строительство (приобретение на первичном рынке) служебного жилья подпрограммы "Строительство (приобретение на первичном рынке) служебного жилья для отдельных категорий граждан, проживающих и работающих на территории Новосибирской области" государственной программы Новосибирской области "Стимулирование развития жилищного строительства в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14:paraId="3F345103" w14:textId="77777777" w:rsidR="00387142" w:rsidRPr="008B6A75" w:rsidRDefault="00387142" w:rsidP="00387142">
            <w:pPr>
              <w:jc w:val="center"/>
              <w:rPr>
                <w:bCs/>
                <w:sz w:val="20"/>
                <w:szCs w:val="20"/>
              </w:rPr>
            </w:pPr>
            <w:r w:rsidRPr="008B6A75">
              <w:rPr>
                <w:bCs/>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514A685" w14:textId="77777777" w:rsidR="00387142" w:rsidRPr="008B6A75" w:rsidRDefault="00387142" w:rsidP="00387142">
            <w:pPr>
              <w:jc w:val="center"/>
              <w:rPr>
                <w:bCs/>
                <w:sz w:val="20"/>
                <w:szCs w:val="20"/>
              </w:rPr>
            </w:pPr>
            <w:r w:rsidRPr="008B6A75">
              <w:rPr>
                <w:bCs/>
                <w:sz w:val="20"/>
                <w:szCs w:val="20"/>
              </w:rPr>
              <w:t>01</w:t>
            </w:r>
          </w:p>
        </w:tc>
        <w:tc>
          <w:tcPr>
            <w:tcW w:w="1516" w:type="dxa"/>
            <w:tcBorders>
              <w:top w:val="nil"/>
              <w:left w:val="single" w:sz="4" w:space="0" w:color="auto"/>
              <w:bottom w:val="single" w:sz="4" w:space="0" w:color="auto"/>
              <w:right w:val="nil"/>
            </w:tcBorders>
            <w:shd w:val="clear" w:color="auto" w:fill="auto"/>
            <w:noWrap/>
            <w:vAlign w:val="center"/>
            <w:hideMark/>
          </w:tcPr>
          <w:p w14:paraId="144532A2" w14:textId="77777777" w:rsidR="00387142" w:rsidRPr="008B6A75" w:rsidRDefault="00387142" w:rsidP="00387142">
            <w:pPr>
              <w:jc w:val="center"/>
              <w:rPr>
                <w:bCs/>
                <w:sz w:val="20"/>
                <w:szCs w:val="20"/>
              </w:rPr>
            </w:pPr>
            <w:r w:rsidRPr="008B6A75">
              <w:rPr>
                <w:bCs/>
                <w:sz w:val="20"/>
                <w:szCs w:val="20"/>
              </w:rPr>
              <w:t>99.0.00.S0650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DB41D0F"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1CBA8BB" w14:textId="77777777" w:rsidR="00387142" w:rsidRPr="008B6A75" w:rsidRDefault="00387142" w:rsidP="00387142">
            <w:pPr>
              <w:jc w:val="right"/>
              <w:rPr>
                <w:bCs/>
                <w:sz w:val="20"/>
                <w:szCs w:val="20"/>
              </w:rPr>
            </w:pPr>
            <w:r w:rsidRPr="008B6A75">
              <w:rPr>
                <w:bCs/>
                <w:sz w:val="20"/>
                <w:szCs w:val="20"/>
              </w:rPr>
              <w:t>2 315 978,95</w:t>
            </w:r>
          </w:p>
        </w:tc>
        <w:tc>
          <w:tcPr>
            <w:tcW w:w="992" w:type="dxa"/>
            <w:tcBorders>
              <w:top w:val="nil"/>
              <w:left w:val="single" w:sz="4" w:space="0" w:color="auto"/>
              <w:bottom w:val="single" w:sz="4" w:space="0" w:color="auto"/>
              <w:right w:val="nil"/>
            </w:tcBorders>
            <w:shd w:val="clear" w:color="auto" w:fill="auto"/>
            <w:vAlign w:val="center"/>
            <w:hideMark/>
          </w:tcPr>
          <w:p w14:paraId="3D14F76F" w14:textId="77777777" w:rsidR="00387142" w:rsidRPr="008B6A75" w:rsidRDefault="00387142" w:rsidP="00387142">
            <w:pPr>
              <w:jc w:val="right"/>
              <w:rPr>
                <w:bCs/>
                <w:sz w:val="20"/>
                <w:szCs w:val="20"/>
              </w:rPr>
            </w:pPr>
            <w:r w:rsidRPr="008B6A75">
              <w:rPr>
                <w:bCs/>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68652D92" w14:textId="77777777" w:rsidR="00387142" w:rsidRPr="008B6A75" w:rsidRDefault="00387142" w:rsidP="00387142">
            <w:pPr>
              <w:jc w:val="right"/>
              <w:rPr>
                <w:bCs/>
                <w:sz w:val="20"/>
                <w:szCs w:val="20"/>
              </w:rPr>
            </w:pPr>
            <w:r w:rsidRPr="008B6A75">
              <w:rPr>
                <w:bCs/>
                <w:sz w:val="20"/>
                <w:szCs w:val="20"/>
              </w:rPr>
              <w:t>0,00</w:t>
            </w:r>
          </w:p>
        </w:tc>
      </w:tr>
      <w:tr w:rsidR="00387142" w:rsidRPr="008B6A75" w14:paraId="6ECA2825" w14:textId="77777777" w:rsidTr="00387142">
        <w:trPr>
          <w:trHeight w:val="870"/>
        </w:trPr>
        <w:tc>
          <w:tcPr>
            <w:tcW w:w="3261" w:type="dxa"/>
            <w:tcBorders>
              <w:top w:val="nil"/>
              <w:left w:val="single" w:sz="4" w:space="0" w:color="auto"/>
              <w:bottom w:val="single" w:sz="4" w:space="0" w:color="auto"/>
              <w:right w:val="nil"/>
            </w:tcBorders>
            <w:shd w:val="clear" w:color="auto" w:fill="auto"/>
            <w:vAlign w:val="center"/>
            <w:hideMark/>
          </w:tcPr>
          <w:p w14:paraId="5E27ECD8" w14:textId="77777777" w:rsidR="00387142" w:rsidRPr="008B6A75" w:rsidRDefault="00387142" w:rsidP="00387142">
            <w:pPr>
              <w:rPr>
                <w:sz w:val="20"/>
                <w:szCs w:val="20"/>
              </w:rPr>
            </w:pPr>
            <w:r w:rsidRPr="008B6A75">
              <w:rPr>
                <w:sz w:val="20"/>
                <w:szCs w:val="20"/>
              </w:rPr>
              <w:t>Капитальные вложения в объекты государственной (муниципальной) собственности</w:t>
            </w:r>
          </w:p>
        </w:tc>
        <w:tc>
          <w:tcPr>
            <w:tcW w:w="720" w:type="dxa"/>
            <w:tcBorders>
              <w:top w:val="nil"/>
              <w:left w:val="single" w:sz="4" w:space="0" w:color="auto"/>
              <w:bottom w:val="single" w:sz="4" w:space="0" w:color="auto"/>
              <w:right w:val="nil"/>
            </w:tcBorders>
            <w:shd w:val="clear" w:color="auto" w:fill="auto"/>
            <w:noWrap/>
            <w:vAlign w:val="center"/>
            <w:hideMark/>
          </w:tcPr>
          <w:p w14:paraId="3CB60578" w14:textId="77777777" w:rsidR="00387142" w:rsidRPr="008B6A75" w:rsidRDefault="00387142" w:rsidP="00387142">
            <w:pPr>
              <w:jc w:val="center"/>
              <w:rPr>
                <w:sz w:val="20"/>
                <w:szCs w:val="20"/>
              </w:rPr>
            </w:pPr>
            <w:r w:rsidRPr="008B6A75">
              <w:rPr>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DFC8EC2" w14:textId="77777777" w:rsidR="00387142" w:rsidRPr="008B6A75" w:rsidRDefault="00387142" w:rsidP="00387142">
            <w:pPr>
              <w:jc w:val="center"/>
              <w:rPr>
                <w:sz w:val="20"/>
                <w:szCs w:val="20"/>
              </w:rPr>
            </w:pPr>
            <w:r w:rsidRPr="008B6A75">
              <w:rPr>
                <w:sz w:val="20"/>
                <w:szCs w:val="20"/>
              </w:rPr>
              <w:t>01</w:t>
            </w:r>
          </w:p>
        </w:tc>
        <w:tc>
          <w:tcPr>
            <w:tcW w:w="1516" w:type="dxa"/>
            <w:tcBorders>
              <w:top w:val="nil"/>
              <w:left w:val="single" w:sz="4" w:space="0" w:color="auto"/>
              <w:bottom w:val="single" w:sz="4" w:space="0" w:color="auto"/>
              <w:right w:val="nil"/>
            </w:tcBorders>
            <w:shd w:val="clear" w:color="auto" w:fill="auto"/>
            <w:noWrap/>
            <w:vAlign w:val="center"/>
            <w:hideMark/>
          </w:tcPr>
          <w:p w14:paraId="4CFD6ADD" w14:textId="77777777" w:rsidR="00387142" w:rsidRPr="008B6A75" w:rsidRDefault="00387142" w:rsidP="00387142">
            <w:pPr>
              <w:jc w:val="center"/>
              <w:rPr>
                <w:sz w:val="20"/>
                <w:szCs w:val="20"/>
              </w:rPr>
            </w:pPr>
            <w:r w:rsidRPr="008B6A75">
              <w:rPr>
                <w:sz w:val="20"/>
                <w:szCs w:val="20"/>
              </w:rPr>
              <w:t>99.0.00.S0650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0F97794" w14:textId="77777777" w:rsidR="00387142" w:rsidRPr="008B6A75" w:rsidRDefault="00387142" w:rsidP="00387142">
            <w:pPr>
              <w:jc w:val="center"/>
              <w:rPr>
                <w:sz w:val="20"/>
                <w:szCs w:val="20"/>
              </w:rPr>
            </w:pPr>
            <w:r w:rsidRPr="008B6A75">
              <w:rPr>
                <w:sz w:val="20"/>
                <w:szCs w:val="20"/>
              </w:rPr>
              <w:t>400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D6D33B1" w14:textId="77777777" w:rsidR="00387142" w:rsidRPr="008B6A75" w:rsidRDefault="00387142" w:rsidP="00387142">
            <w:pPr>
              <w:jc w:val="right"/>
              <w:rPr>
                <w:sz w:val="20"/>
                <w:szCs w:val="20"/>
              </w:rPr>
            </w:pPr>
            <w:r w:rsidRPr="008B6A75">
              <w:rPr>
                <w:sz w:val="20"/>
                <w:szCs w:val="20"/>
              </w:rPr>
              <w:t>2 315 978,95</w:t>
            </w:r>
          </w:p>
        </w:tc>
        <w:tc>
          <w:tcPr>
            <w:tcW w:w="992" w:type="dxa"/>
            <w:tcBorders>
              <w:top w:val="nil"/>
              <w:left w:val="single" w:sz="4" w:space="0" w:color="auto"/>
              <w:bottom w:val="single" w:sz="4" w:space="0" w:color="auto"/>
              <w:right w:val="nil"/>
            </w:tcBorders>
            <w:shd w:val="clear" w:color="auto" w:fill="auto"/>
            <w:vAlign w:val="center"/>
            <w:hideMark/>
          </w:tcPr>
          <w:p w14:paraId="1164FFB8" w14:textId="77777777" w:rsidR="00387142" w:rsidRPr="008B6A75" w:rsidRDefault="00387142" w:rsidP="00387142">
            <w:pPr>
              <w:jc w:val="right"/>
              <w:rPr>
                <w:sz w:val="20"/>
                <w:szCs w:val="20"/>
              </w:rPr>
            </w:pPr>
            <w:r w:rsidRPr="008B6A75">
              <w:rPr>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6AB2F767" w14:textId="77777777" w:rsidR="00387142" w:rsidRPr="008B6A75" w:rsidRDefault="00387142" w:rsidP="00387142">
            <w:pPr>
              <w:jc w:val="right"/>
              <w:rPr>
                <w:sz w:val="20"/>
                <w:szCs w:val="20"/>
              </w:rPr>
            </w:pPr>
            <w:r w:rsidRPr="008B6A75">
              <w:rPr>
                <w:sz w:val="20"/>
                <w:szCs w:val="20"/>
              </w:rPr>
              <w:t>0,00</w:t>
            </w:r>
          </w:p>
        </w:tc>
      </w:tr>
      <w:tr w:rsidR="00387142" w:rsidRPr="008B6A75" w14:paraId="1D394771" w14:textId="77777777" w:rsidTr="00387142">
        <w:trPr>
          <w:trHeight w:val="345"/>
        </w:trPr>
        <w:tc>
          <w:tcPr>
            <w:tcW w:w="3261" w:type="dxa"/>
            <w:tcBorders>
              <w:top w:val="nil"/>
              <w:left w:val="single" w:sz="4" w:space="0" w:color="auto"/>
              <w:bottom w:val="single" w:sz="4" w:space="0" w:color="auto"/>
              <w:right w:val="nil"/>
            </w:tcBorders>
            <w:shd w:val="clear" w:color="auto" w:fill="auto"/>
            <w:vAlign w:val="center"/>
            <w:hideMark/>
          </w:tcPr>
          <w:p w14:paraId="5C730BB3" w14:textId="77777777" w:rsidR="00387142" w:rsidRPr="008B6A75" w:rsidRDefault="00387142" w:rsidP="00387142">
            <w:pPr>
              <w:rPr>
                <w:sz w:val="20"/>
                <w:szCs w:val="20"/>
              </w:rPr>
            </w:pPr>
            <w:r w:rsidRPr="008B6A75">
              <w:rPr>
                <w:sz w:val="20"/>
                <w:szCs w:val="20"/>
              </w:rPr>
              <w:t>Бюджетные инвестиции</w:t>
            </w:r>
          </w:p>
        </w:tc>
        <w:tc>
          <w:tcPr>
            <w:tcW w:w="720" w:type="dxa"/>
            <w:tcBorders>
              <w:top w:val="nil"/>
              <w:left w:val="single" w:sz="4" w:space="0" w:color="auto"/>
              <w:bottom w:val="single" w:sz="4" w:space="0" w:color="auto"/>
              <w:right w:val="nil"/>
            </w:tcBorders>
            <w:shd w:val="clear" w:color="auto" w:fill="auto"/>
            <w:noWrap/>
            <w:vAlign w:val="center"/>
            <w:hideMark/>
          </w:tcPr>
          <w:p w14:paraId="4494C066" w14:textId="77777777" w:rsidR="00387142" w:rsidRPr="008B6A75" w:rsidRDefault="00387142" w:rsidP="00387142">
            <w:pPr>
              <w:jc w:val="center"/>
              <w:rPr>
                <w:sz w:val="20"/>
                <w:szCs w:val="20"/>
              </w:rPr>
            </w:pPr>
            <w:r w:rsidRPr="008B6A75">
              <w:rPr>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9A5D1E3" w14:textId="77777777" w:rsidR="00387142" w:rsidRPr="008B6A75" w:rsidRDefault="00387142" w:rsidP="00387142">
            <w:pPr>
              <w:jc w:val="center"/>
              <w:rPr>
                <w:sz w:val="20"/>
                <w:szCs w:val="20"/>
              </w:rPr>
            </w:pPr>
            <w:r w:rsidRPr="008B6A75">
              <w:rPr>
                <w:sz w:val="20"/>
                <w:szCs w:val="20"/>
              </w:rPr>
              <w:t>01</w:t>
            </w:r>
          </w:p>
        </w:tc>
        <w:tc>
          <w:tcPr>
            <w:tcW w:w="1516" w:type="dxa"/>
            <w:tcBorders>
              <w:top w:val="nil"/>
              <w:left w:val="single" w:sz="4" w:space="0" w:color="auto"/>
              <w:bottom w:val="single" w:sz="4" w:space="0" w:color="auto"/>
              <w:right w:val="nil"/>
            </w:tcBorders>
            <w:shd w:val="clear" w:color="auto" w:fill="auto"/>
            <w:noWrap/>
            <w:vAlign w:val="center"/>
            <w:hideMark/>
          </w:tcPr>
          <w:p w14:paraId="0971BA39" w14:textId="77777777" w:rsidR="00387142" w:rsidRPr="008B6A75" w:rsidRDefault="00387142" w:rsidP="00387142">
            <w:pPr>
              <w:jc w:val="center"/>
              <w:rPr>
                <w:sz w:val="20"/>
                <w:szCs w:val="20"/>
              </w:rPr>
            </w:pPr>
            <w:r w:rsidRPr="008B6A75">
              <w:rPr>
                <w:sz w:val="20"/>
                <w:szCs w:val="20"/>
              </w:rPr>
              <w:t>99.0.00.S0650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B01DE7E" w14:textId="77777777" w:rsidR="00387142" w:rsidRPr="008B6A75" w:rsidRDefault="00387142" w:rsidP="00387142">
            <w:pPr>
              <w:jc w:val="center"/>
              <w:rPr>
                <w:sz w:val="20"/>
                <w:szCs w:val="20"/>
              </w:rPr>
            </w:pPr>
            <w:r w:rsidRPr="008B6A75">
              <w:rPr>
                <w:sz w:val="20"/>
                <w:szCs w:val="20"/>
              </w:rPr>
              <w:t>410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1C1740C" w14:textId="77777777" w:rsidR="00387142" w:rsidRPr="008B6A75" w:rsidRDefault="00387142" w:rsidP="00387142">
            <w:pPr>
              <w:jc w:val="right"/>
              <w:rPr>
                <w:sz w:val="20"/>
                <w:szCs w:val="20"/>
              </w:rPr>
            </w:pPr>
            <w:r w:rsidRPr="008B6A75">
              <w:rPr>
                <w:sz w:val="20"/>
                <w:szCs w:val="20"/>
              </w:rPr>
              <w:t>2 315 978,95</w:t>
            </w:r>
          </w:p>
        </w:tc>
        <w:tc>
          <w:tcPr>
            <w:tcW w:w="992" w:type="dxa"/>
            <w:tcBorders>
              <w:top w:val="nil"/>
              <w:left w:val="single" w:sz="4" w:space="0" w:color="auto"/>
              <w:bottom w:val="single" w:sz="4" w:space="0" w:color="auto"/>
              <w:right w:val="nil"/>
            </w:tcBorders>
            <w:shd w:val="clear" w:color="auto" w:fill="auto"/>
            <w:vAlign w:val="center"/>
            <w:hideMark/>
          </w:tcPr>
          <w:p w14:paraId="358DB5F8" w14:textId="77777777" w:rsidR="00387142" w:rsidRPr="008B6A75" w:rsidRDefault="00387142" w:rsidP="00387142">
            <w:pPr>
              <w:jc w:val="right"/>
              <w:rPr>
                <w:sz w:val="20"/>
                <w:szCs w:val="20"/>
              </w:rPr>
            </w:pPr>
            <w:r w:rsidRPr="008B6A75">
              <w:rPr>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188ABB1F" w14:textId="77777777" w:rsidR="00387142" w:rsidRPr="008B6A75" w:rsidRDefault="00387142" w:rsidP="00387142">
            <w:pPr>
              <w:jc w:val="right"/>
              <w:rPr>
                <w:sz w:val="20"/>
                <w:szCs w:val="20"/>
              </w:rPr>
            </w:pPr>
            <w:r w:rsidRPr="008B6A75">
              <w:rPr>
                <w:sz w:val="20"/>
                <w:szCs w:val="20"/>
              </w:rPr>
              <w:t>0,00</w:t>
            </w:r>
          </w:p>
        </w:tc>
      </w:tr>
      <w:tr w:rsidR="00387142" w:rsidRPr="008B6A75" w14:paraId="64B70277" w14:textId="77777777" w:rsidTr="00387142">
        <w:trPr>
          <w:trHeight w:val="2580"/>
        </w:trPr>
        <w:tc>
          <w:tcPr>
            <w:tcW w:w="3261" w:type="dxa"/>
            <w:tcBorders>
              <w:top w:val="nil"/>
              <w:left w:val="single" w:sz="4" w:space="0" w:color="auto"/>
              <w:bottom w:val="single" w:sz="4" w:space="0" w:color="auto"/>
              <w:right w:val="nil"/>
            </w:tcBorders>
            <w:shd w:val="clear" w:color="auto" w:fill="auto"/>
            <w:vAlign w:val="center"/>
            <w:hideMark/>
          </w:tcPr>
          <w:p w14:paraId="39766FDA" w14:textId="77777777" w:rsidR="00387142" w:rsidRPr="008B6A75" w:rsidRDefault="00387142" w:rsidP="00387142">
            <w:pPr>
              <w:rPr>
                <w:bCs/>
                <w:sz w:val="20"/>
                <w:szCs w:val="20"/>
              </w:rPr>
            </w:pPr>
            <w:proofErr w:type="spellStart"/>
            <w:r w:rsidRPr="008B6A75">
              <w:rPr>
                <w:bCs/>
                <w:sz w:val="20"/>
                <w:szCs w:val="20"/>
              </w:rPr>
              <w:t>Софинансирование</w:t>
            </w:r>
            <w:proofErr w:type="spellEnd"/>
            <w:r w:rsidRPr="008B6A75">
              <w:rPr>
                <w:bCs/>
                <w:sz w:val="20"/>
                <w:szCs w:val="20"/>
              </w:rPr>
              <w:t xml:space="preserve"> местного бюджета на реализацию мероприятий на оплату расходов, связанных со строительством специализированного жилищного фонда для предоставления отдельным категориям граждан, государственной программы Новосибирской области «Стимулирование развития жилищного строительства в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14:paraId="0FADC1B5" w14:textId="77777777" w:rsidR="00387142" w:rsidRPr="008B6A75" w:rsidRDefault="00387142" w:rsidP="00387142">
            <w:pPr>
              <w:jc w:val="center"/>
              <w:rPr>
                <w:bCs/>
                <w:sz w:val="20"/>
                <w:szCs w:val="20"/>
              </w:rPr>
            </w:pPr>
            <w:r w:rsidRPr="008B6A75">
              <w:rPr>
                <w:bCs/>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7ED097C" w14:textId="77777777" w:rsidR="00387142" w:rsidRPr="008B6A75" w:rsidRDefault="00387142" w:rsidP="00387142">
            <w:pPr>
              <w:jc w:val="center"/>
              <w:rPr>
                <w:bCs/>
                <w:sz w:val="20"/>
                <w:szCs w:val="20"/>
              </w:rPr>
            </w:pPr>
            <w:r w:rsidRPr="008B6A75">
              <w:rPr>
                <w:bCs/>
                <w:sz w:val="20"/>
                <w:szCs w:val="20"/>
              </w:rPr>
              <w:t>01</w:t>
            </w:r>
          </w:p>
        </w:tc>
        <w:tc>
          <w:tcPr>
            <w:tcW w:w="1516" w:type="dxa"/>
            <w:tcBorders>
              <w:top w:val="nil"/>
              <w:left w:val="single" w:sz="4" w:space="0" w:color="auto"/>
              <w:bottom w:val="single" w:sz="4" w:space="0" w:color="auto"/>
              <w:right w:val="nil"/>
            </w:tcBorders>
            <w:shd w:val="clear" w:color="auto" w:fill="auto"/>
            <w:noWrap/>
            <w:vAlign w:val="center"/>
            <w:hideMark/>
          </w:tcPr>
          <w:p w14:paraId="7B918D85" w14:textId="77777777" w:rsidR="00387142" w:rsidRPr="008B6A75" w:rsidRDefault="00387142" w:rsidP="00387142">
            <w:pPr>
              <w:jc w:val="center"/>
              <w:rPr>
                <w:bCs/>
                <w:sz w:val="20"/>
                <w:szCs w:val="20"/>
              </w:rPr>
            </w:pPr>
            <w:r w:rsidRPr="008B6A75">
              <w:rPr>
                <w:bCs/>
                <w:sz w:val="20"/>
                <w:szCs w:val="20"/>
              </w:rPr>
              <w:t>99.0.00.S0830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9EF1F5B"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592993D" w14:textId="77777777" w:rsidR="00387142" w:rsidRPr="008B6A75" w:rsidRDefault="00387142" w:rsidP="00387142">
            <w:pPr>
              <w:jc w:val="right"/>
              <w:rPr>
                <w:bCs/>
                <w:sz w:val="20"/>
                <w:szCs w:val="20"/>
              </w:rPr>
            </w:pPr>
            <w:r w:rsidRPr="008B6A75">
              <w:rPr>
                <w:bCs/>
                <w:sz w:val="20"/>
                <w:szCs w:val="20"/>
              </w:rPr>
              <w:t>709 715,79</w:t>
            </w:r>
          </w:p>
        </w:tc>
        <w:tc>
          <w:tcPr>
            <w:tcW w:w="992" w:type="dxa"/>
            <w:tcBorders>
              <w:top w:val="nil"/>
              <w:left w:val="single" w:sz="4" w:space="0" w:color="auto"/>
              <w:bottom w:val="single" w:sz="4" w:space="0" w:color="auto"/>
              <w:right w:val="nil"/>
            </w:tcBorders>
            <w:shd w:val="clear" w:color="auto" w:fill="auto"/>
            <w:vAlign w:val="center"/>
            <w:hideMark/>
          </w:tcPr>
          <w:p w14:paraId="640D6EF5" w14:textId="77777777" w:rsidR="00387142" w:rsidRPr="008B6A75" w:rsidRDefault="00387142" w:rsidP="00387142">
            <w:pPr>
              <w:jc w:val="right"/>
              <w:rPr>
                <w:bCs/>
                <w:sz w:val="20"/>
                <w:szCs w:val="20"/>
              </w:rPr>
            </w:pPr>
            <w:r w:rsidRPr="008B6A75">
              <w:rPr>
                <w:bCs/>
                <w:sz w:val="20"/>
                <w:szCs w:val="20"/>
              </w:rPr>
              <w:t>399 494,74</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726696E0" w14:textId="77777777" w:rsidR="00387142" w:rsidRPr="008B6A75" w:rsidRDefault="00387142" w:rsidP="00387142">
            <w:pPr>
              <w:jc w:val="right"/>
              <w:rPr>
                <w:bCs/>
                <w:sz w:val="20"/>
                <w:szCs w:val="20"/>
              </w:rPr>
            </w:pPr>
            <w:r w:rsidRPr="008B6A75">
              <w:rPr>
                <w:bCs/>
                <w:sz w:val="20"/>
                <w:szCs w:val="20"/>
              </w:rPr>
              <w:t>278 436,84</w:t>
            </w:r>
          </w:p>
        </w:tc>
      </w:tr>
      <w:tr w:rsidR="00387142" w:rsidRPr="008B6A75" w14:paraId="57DC08BE" w14:textId="77777777" w:rsidTr="00387142">
        <w:trPr>
          <w:trHeight w:val="870"/>
        </w:trPr>
        <w:tc>
          <w:tcPr>
            <w:tcW w:w="3261" w:type="dxa"/>
            <w:tcBorders>
              <w:top w:val="nil"/>
              <w:left w:val="single" w:sz="4" w:space="0" w:color="auto"/>
              <w:bottom w:val="single" w:sz="4" w:space="0" w:color="auto"/>
              <w:right w:val="nil"/>
            </w:tcBorders>
            <w:shd w:val="clear" w:color="auto" w:fill="auto"/>
            <w:vAlign w:val="center"/>
            <w:hideMark/>
          </w:tcPr>
          <w:p w14:paraId="5BE66911" w14:textId="77777777" w:rsidR="00387142" w:rsidRPr="008B6A75" w:rsidRDefault="00387142" w:rsidP="00387142">
            <w:pPr>
              <w:rPr>
                <w:sz w:val="20"/>
                <w:szCs w:val="20"/>
              </w:rPr>
            </w:pPr>
            <w:r w:rsidRPr="008B6A75">
              <w:rPr>
                <w:sz w:val="20"/>
                <w:szCs w:val="20"/>
              </w:rPr>
              <w:t>Капитальные вложения в объекты государственной (муниципальной) собственности</w:t>
            </w:r>
          </w:p>
        </w:tc>
        <w:tc>
          <w:tcPr>
            <w:tcW w:w="720" w:type="dxa"/>
            <w:tcBorders>
              <w:top w:val="nil"/>
              <w:left w:val="single" w:sz="4" w:space="0" w:color="auto"/>
              <w:bottom w:val="single" w:sz="4" w:space="0" w:color="auto"/>
              <w:right w:val="nil"/>
            </w:tcBorders>
            <w:shd w:val="clear" w:color="auto" w:fill="auto"/>
            <w:noWrap/>
            <w:vAlign w:val="center"/>
            <w:hideMark/>
          </w:tcPr>
          <w:p w14:paraId="3159A936" w14:textId="77777777" w:rsidR="00387142" w:rsidRPr="008B6A75" w:rsidRDefault="00387142" w:rsidP="00387142">
            <w:pPr>
              <w:jc w:val="center"/>
              <w:rPr>
                <w:sz w:val="20"/>
                <w:szCs w:val="20"/>
              </w:rPr>
            </w:pPr>
            <w:r w:rsidRPr="008B6A75">
              <w:rPr>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7BD5601" w14:textId="77777777" w:rsidR="00387142" w:rsidRPr="008B6A75" w:rsidRDefault="00387142" w:rsidP="00387142">
            <w:pPr>
              <w:jc w:val="center"/>
              <w:rPr>
                <w:sz w:val="20"/>
                <w:szCs w:val="20"/>
              </w:rPr>
            </w:pPr>
            <w:r w:rsidRPr="008B6A75">
              <w:rPr>
                <w:sz w:val="20"/>
                <w:szCs w:val="20"/>
              </w:rPr>
              <w:t>01</w:t>
            </w:r>
          </w:p>
        </w:tc>
        <w:tc>
          <w:tcPr>
            <w:tcW w:w="1516" w:type="dxa"/>
            <w:tcBorders>
              <w:top w:val="nil"/>
              <w:left w:val="single" w:sz="4" w:space="0" w:color="auto"/>
              <w:bottom w:val="single" w:sz="4" w:space="0" w:color="auto"/>
              <w:right w:val="nil"/>
            </w:tcBorders>
            <w:shd w:val="clear" w:color="auto" w:fill="auto"/>
            <w:noWrap/>
            <w:vAlign w:val="center"/>
            <w:hideMark/>
          </w:tcPr>
          <w:p w14:paraId="159958F4" w14:textId="77777777" w:rsidR="00387142" w:rsidRPr="008B6A75" w:rsidRDefault="00387142" w:rsidP="00387142">
            <w:pPr>
              <w:jc w:val="center"/>
              <w:rPr>
                <w:sz w:val="20"/>
                <w:szCs w:val="20"/>
              </w:rPr>
            </w:pPr>
            <w:r w:rsidRPr="008B6A75">
              <w:rPr>
                <w:sz w:val="20"/>
                <w:szCs w:val="20"/>
              </w:rPr>
              <w:t>99.0.00.S0830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6F65465" w14:textId="77777777" w:rsidR="00387142" w:rsidRPr="008B6A75" w:rsidRDefault="00387142" w:rsidP="00387142">
            <w:pPr>
              <w:jc w:val="center"/>
              <w:rPr>
                <w:sz w:val="20"/>
                <w:szCs w:val="20"/>
              </w:rPr>
            </w:pPr>
            <w:r w:rsidRPr="008B6A75">
              <w:rPr>
                <w:sz w:val="20"/>
                <w:szCs w:val="20"/>
              </w:rPr>
              <w:t>400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31072AC" w14:textId="77777777" w:rsidR="00387142" w:rsidRPr="008B6A75" w:rsidRDefault="00387142" w:rsidP="00387142">
            <w:pPr>
              <w:jc w:val="right"/>
              <w:rPr>
                <w:sz w:val="20"/>
                <w:szCs w:val="20"/>
              </w:rPr>
            </w:pPr>
            <w:r w:rsidRPr="008B6A75">
              <w:rPr>
                <w:sz w:val="20"/>
                <w:szCs w:val="20"/>
              </w:rPr>
              <w:t>709 715,79</w:t>
            </w:r>
          </w:p>
        </w:tc>
        <w:tc>
          <w:tcPr>
            <w:tcW w:w="992" w:type="dxa"/>
            <w:tcBorders>
              <w:top w:val="nil"/>
              <w:left w:val="single" w:sz="4" w:space="0" w:color="auto"/>
              <w:bottom w:val="single" w:sz="4" w:space="0" w:color="auto"/>
              <w:right w:val="nil"/>
            </w:tcBorders>
            <w:shd w:val="clear" w:color="auto" w:fill="auto"/>
            <w:vAlign w:val="center"/>
            <w:hideMark/>
          </w:tcPr>
          <w:p w14:paraId="490BEB01" w14:textId="77777777" w:rsidR="00387142" w:rsidRPr="008B6A75" w:rsidRDefault="00387142" w:rsidP="00387142">
            <w:pPr>
              <w:jc w:val="right"/>
              <w:rPr>
                <w:sz w:val="20"/>
                <w:szCs w:val="20"/>
              </w:rPr>
            </w:pPr>
            <w:r w:rsidRPr="008B6A75">
              <w:rPr>
                <w:sz w:val="20"/>
                <w:szCs w:val="20"/>
              </w:rPr>
              <w:t>399 494,74</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694359E1" w14:textId="77777777" w:rsidR="00387142" w:rsidRPr="008B6A75" w:rsidRDefault="00387142" w:rsidP="00387142">
            <w:pPr>
              <w:jc w:val="right"/>
              <w:rPr>
                <w:sz w:val="20"/>
                <w:szCs w:val="20"/>
              </w:rPr>
            </w:pPr>
            <w:r w:rsidRPr="008B6A75">
              <w:rPr>
                <w:sz w:val="20"/>
                <w:szCs w:val="20"/>
              </w:rPr>
              <w:t>278 436,84</w:t>
            </w:r>
          </w:p>
        </w:tc>
      </w:tr>
      <w:tr w:rsidR="00387142" w:rsidRPr="008B6A75" w14:paraId="3E8C6D9F" w14:textId="77777777" w:rsidTr="00387142">
        <w:trPr>
          <w:trHeight w:val="345"/>
        </w:trPr>
        <w:tc>
          <w:tcPr>
            <w:tcW w:w="3261" w:type="dxa"/>
            <w:tcBorders>
              <w:top w:val="nil"/>
              <w:left w:val="single" w:sz="4" w:space="0" w:color="auto"/>
              <w:bottom w:val="single" w:sz="4" w:space="0" w:color="auto"/>
              <w:right w:val="nil"/>
            </w:tcBorders>
            <w:shd w:val="clear" w:color="auto" w:fill="auto"/>
            <w:vAlign w:val="center"/>
            <w:hideMark/>
          </w:tcPr>
          <w:p w14:paraId="2F485277" w14:textId="77777777" w:rsidR="00387142" w:rsidRPr="008B6A75" w:rsidRDefault="00387142" w:rsidP="00387142">
            <w:pPr>
              <w:rPr>
                <w:sz w:val="20"/>
                <w:szCs w:val="20"/>
              </w:rPr>
            </w:pPr>
            <w:r w:rsidRPr="008B6A75">
              <w:rPr>
                <w:sz w:val="20"/>
                <w:szCs w:val="20"/>
              </w:rPr>
              <w:t>Бюджетные инвестиции</w:t>
            </w:r>
          </w:p>
        </w:tc>
        <w:tc>
          <w:tcPr>
            <w:tcW w:w="720" w:type="dxa"/>
            <w:tcBorders>
              <w:top w:val="nil"/>
              <w:left w:val="single" w:sz="4" w:space="0" w:color="auto"/>
              <w:bottom w:val="single" w:sz="4" w:space="0" w:color="auto"/>
              <w:right w:val="nil"/>
            </w:tcBorders>
            <w:shd w:val="clear" w:color="auto" w:fill="auto"/>
            <w:noWrap/>
            <w:vAlign w:val="center"/>
            <w:hideMark/>
          </w:tcPr>
          <w:p w14:paraId="04907939" w14:textId="77777777" w:rsidR="00387142" w:rsidRPr="008B6A75" w:rsidRDefault="00387142" w:rsidP="00387142">
            <w:pPr>
              <w:jc w:val="center"/>
              <w:rPr>
                <w:sz w:val="20"/>
                <w:szCs w:val="20"/>
              </w:rPr>
            </w:pPr>
            <w:r w:rsidRPr="008B6A75">
              <w:rPr>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58738F4" w14:textId="77777777" w:rsidR="00387142" w:rsidRPr="008B6A75" w:rsidRDefault="00387142" w:rsidP="00387142">
            <w:pPr>
              <w:jc w:val="center"/>
              <w:rPr>
                <w:sz w:val="20"/>
                <w:szCs w:val="20"/>
              </w:rPr>
            </w:pPr>
            <w:r w:rsidRPr="008B6A75">
              <w:rPr>
                <w:sz w:val="20"/>
                <w:szCs w:val="20"/>
              </w:rPr>
              <w:t>01</w:t>
            </w:r>
          </w:p>
        </w:tc>
        <w:tc>
          <w:tcPr>
            <w:tcW w:w="1516" w:type="dxa"/>
            <w:tcBorders>
              <w:top w:val="nil"/>
              <w:left w:val="single" w:sz="4" w:space="0" w:color="auto"/>
              <w:bottom w:val="single" w:sz="4" w:space="0" w:color="auto"/>
              <w:right w:val="nil"/>
            </w:tcBorders>
            <w:shd w:val="clear" w:color="auto" w:fill="auto"/>
            <w:noWrap/>
            <w:vAlign w:val="center"/>
            <w:hideMark/>
          </w:tcPr>
          <w:p w14:paraId="1FA0B9CA" w14:textId="77777777" w:rsidR="00387142" w:rsidRPr="008B6A75" w:rsidRDefault="00387142" w:rsidP="00387142">
            <w:pPr>
              <w:jc w:val="center"/>
              <w:rPr>
                <w:sz w:val="20"/>
                <w:szCs w:val="20"/>
              </w:rPr>
            </w:pPr>
            <w:r w:rsidRPr="008B6A75">
              <w:rPr>
                <w:sz w:val="20"/>
                <w:szCs w:val="20"/>
              </w:rPr>
              <w:t>99.0.00.S0830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404495B" w14:textId="77777777" w:rsidR="00387142" w:rsidRPr="008B6A75" w:rsidRDefault="00387142" w:rsidP="00387142">
            <w:pPr>
              <w:jc w:val="center"/>
              <w:rPr>
                <w:sz w:val="20"/>
                <w:szCs w:val="20"/>
              </w:rPr>
            </w:pPr>
            <w:r w:rsidRPr="008B6A75">
              <w:rPr>
                <w:sz w:val="20"/>
                <w:szCs w:val="20"/>
              </w:rPr>
              <w:t>410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37F1321" w14:textId="77777777" w:rsidR="00387142" w:rsidRPr="008B6A75" w:rsidRDefault="00387142" w:rsidP="00387142">
            <w:pPr>
              <w:jc w:val="right"/>
              <w:rPr>
                <w:sz w:val="20"/>
                <w:szCs w:val="20"/>
              </w:rPr>
            </w:pPr>
            <w:r w:rsidRPr="008B6A75">
              <w:rPr>
                <w:sz w:val="20"/>
                <w:szCs w:val="20"/>
              </w:rPr>
              <w:t>709 715,79</w:t>
            </w:r>
          </w:p>
        </w:tc>
        <w:tc>
          <w:tcPr>
            <w:tcW w:w="992" w:type="dxa"/>
            <w:tcBorders>
              <w:top w:val="nil"/>
              <w:left w:val="single" w:sz="4" w:space="0" w:color="auto"/>
              <w:bottom w:val="single" w:sz="4" w:space="0" w:color="auto"/>
              <w:right w:val="nil"/>
            </w:tcBorders>
            <w:shd w:val="clear" w:color="auto" w:fill="auto"/>
            <w:vAlign w:val="center"/>
            <w:hideMark/>
          </w:tcPr>
          <w:p w14:paraId="1D0DC88F" w14:textId="77777777" w:rsidR="00387142" w:rsidRPr="008B6A75" w:rsidRDefault="00387142" w:rsidP="00387142">
            <w:pPr>
              <w:jc w:val="right"/>
              <w:rPr>
                <w:sz w:val="20"/>
                <w:szCs w:val="20"/>
              </w:rPr>
            </w:pPr>
            <w:r w:rsidRPr="008B6A75">
              <w:rPr>
                <w:sz w:val="20"/>
                <w:szCs w:val="20"/>
              </w:rPr>
              <w:t>399 494,74</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34D3DB2F" w14:textId="77777777" w:rsidR="00387142" w:rsidRPr="008B6A75" w:rsidRDefault="00387142" w:rsidP="00387142">
            <w:pPr>
              <w:jc w:val="right"/>
              <w:rPr>
                <w:sz w:val="20"/>
                <w:szCs w:val="20"/>
              </w:rPr>
            </w:pPr>
            <w:r w:rsidRPr="008B6A75">
              <w:rPr>
                <w:sz w:val="20"/>
                <w:szCs w:val="20"/>
              </w:rPr>
              <w:t>278 436,84</w:t>
            </w:r>
          </w:p>
        </w:tc>
      </w:tr>
      <w:tr w:rsidR="00387142" w:rsidRPr="008B6A75" w14:paraId="50D70C48" w14:textId="77777777" w:rsidTr="00387142">
        <w:trPr>
          <w:trHeight w:val="345"/>
        </w:trPr>
        <w:tc>
          <w:tcPr>
            <w:tcW w:w="3261" w:type="dxa"/>
            <w:tcBorders>
              <w:top w:val="nil"/>
              <w:left w:val="single" w:sz="4" w:space="0" w:color="auto"/>
              <w:bottom w:val="single" w:sz="4" w:space="0" w:color="auto"/>
              <w:right w:val="nil"/>
            </w:tcBorders>
            <w:shd w:val="clear" w:color="auto" w:fill="auto"/>
            <w:vAlign w:val="center"/>
            <w:hideMark/>
          </w:tcPr>
          <w:p w14:paraId="2C56348B" w14:textId="77777777" w:rsidR="00387142" w:rsidRPr="008B6A75" w:rsidRDefault="00387142" w:rsidP="00387142">
            <w:pPr>
              <w:rPr>
                <w:bCs/>
                <w:sz w:val="20"/>
                <w:szCs w:val="20"/>
              </w:rPr>
            </w:pPr>
            <w:r w:rsidRPr="008B6A75">
              <w:rPr>
                <w:bCs/>
                <w:sz w:val="20"/>
                <w:szCs w:val="20"/>
              </w:rPr>
              <w:t>Коммунальное хозяйство</w:t>
            </w:r>
          </w:p>
        </w:tc>
        <w:tc>
          <w:tcPr>
            <w:tcW w:w="720" w:type="dxa"/>
            <w:tcBorders>
              <w:top w:val="nil"/>
              <w:left w:val="single" w:sz="4" w:space="0" w:color="auto"/>
              <w:bottom w:val="single" w:sz="4" w:space="0" w:color="auto"/>
              <w:right w:val="nil"/>
            </w:tcBorders>
            <w:shd w:val="clear" w:color="auto" w:fill="auto"/>
            <w:noWrap/>
            <w:vAlign w:val="center"/>
            <w:hideMark/>
          </w:tcPr>
          <w:p w14:paraId="022A92CA" w14:textId="77777777" w:rsidR="00387142" w:rsidRPr="008B6A75" w:rsidRDefault="00387142" w:rsidP="00387142">
            <w:pPr>
              <w:jc w:val="center"/>
              <w:rPr>
                <w:bCs/>
                <w:sz w:val="20"/>
                <w:szCs w:val="20"/>
              </w:rPr>
            </w:pPr>
            <w:r w:rsidRPr="008B6A75">
              <w:rPr>
                <w:bCs/>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64DFE24" w14:textId="77777777" w:rsidR="00387142" w:rsidRPr="008B6A75" w:rsidRDefault="00387142" w:rsidP="00387142">
            <w:pPr>
              <w:jc w:val="center"/>
              <w:rPr>
                <w:bCs/>
                <w:sz w:val="20"/>
                <w:szCs w:val="20"/>
              </w:rPr>
            </w:pPr>
            <w:r w:rsidRPr="008B6A75">
              <w:rPr>
                <w:bCs/>
                <w:sz w:val="20"/>
                <w:szCs w:val="20"/>
              </w:rPr>
              <w:t>02</w:t>
            </w:r>
          </w:p>
        </w:tc>
        <w:tc>
          <w:tcPr>
            <w:tcW w:w="1516" w:type="dxa"/>
            <w:tcBorders>
              <w:top w:val="nil"/>
              <w:left w:val="single" w:sz="4" w:space="0" w:color="auto"/>
              <w:bottom w:val="single" w:sz="4" w:space="0" w:color="auto"/>
              <w:right w:val="nil"/>
            </w:tcBorders>
            <w:shd w:val="clear" w:color="auto" w:fill="auto"/>
            <w:noWrap/>
            <w:vAlign w:val="center"/>
            <w:hideMark/>
          </w:tcPr>
          <w:p w14:paraId="691B6BBE" w14:textId="77777777" w:rsidR="00387142" w:rsidRPr="008B6A75" w:rsidRDefault="00387142" w:rsidP="00387142">
            <w:pPr>
              <w:jc w:val="center"/>
              <w:rPr>
                <w:bCs/>
                <w:sz w:val="20"/>
                <w:szCs w:val="20"/>
              </w:rPr>
            </w:pPr>
            <w:r w:rsidRPr="008B6A75">
              <w:rPr>
                <w:bCs/>
                <w:sz w:val="20"/>
                <w:szCs w:val="20"/>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C013F7F"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6EDE56C" w14:textId="77777777" w:rsidR="00387142" w:rsidRPr="008B6A75" w:rsidRDefault="00387142" w:rsidP="00387142">
            <w:pPr>
              <w:jc w:val="right"/>
              <w:rPr>
                <w:bCs/>
                <w:sz w:val="20"/>
                <w:szCs w:val="20"/>
              </w:rPr>
            </w:pPr>
            <w:r w:rsidRPr="008B6A75">
              <w:rPr>
                <w:bCs/>
                <w:sz w:val="20"/>
                <w:szCs w:val="20"/>
              </w:rPr>
              <w:t>141 812 890,91</w:t>
            </w:r>
          </w:p>
        </w:tc>
        <w:tc>
          <w:tcPr>
            <w:tcW w:w="992" w:type="dxa"/>
            <w:tcBorders>
              <w:top w:val="nil"/>
              <w:left w:val="single" w:sz="4" w:space="0" w:color="auto"/>
              <w:bottom w:val="single" w:sz="4" w:space="0" w:color="auto"/>
              <w:right w:val="nil"/>
            </w:tcBorders>
            <w:shd w:val="clear" w:color="auto" w:fill="auto"/>
            <w:vAlign w:val="center"/>
            <w:hideMark/>
          </w:tcPr>
          <w:p w14:paraId="5F87247E" w14:textId="77777777" w:rsidR="00387142" w:rsidRPr="008B6A75" w:rsidRDefault="00387142" w:rsidP="00387142">
            <w:pPr>
              <w:jc w:val="right"/>
              <w:rPr>
                <w:bCs/>
                <w:sz w:val="20"/>
                <w:szCs w:val="20"/>
              </w:rPr>
            </w:pPr>
            <w:r w:rsidRPr="008B6A75">
              <w:rPr>
                <w:bCs/>
                <w:sz w:val="20"/>
                <w:szCs w:val="20"/>
              </w:rPr>
              <w:t>100 580 874,29</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5E8FE1D2" w14:textId="77777777" w:rsidR="00387142" w:rsidRPr="008B6A75" w:rsidRDefault="00387142" w:rsidP="00387142">
            <w:pPr>
              <w:jc w:val="right"/>
              <w:rPr>
                <w:bCs/>
                <w:sz w:val="20"/>
                <w:szCs w:val="20"/>
              </w:rPr>
            </w:pPr>
            <w:r w:rsidRPr="008B6A75">
              <w:rPr>
                <w:bCs/>
                <w:sz w:val="20"/>
                <w:szCs w:val="20"/>
              </w:rPr>
              <w:t>35 604 160,00</w:t>
            </w:r>
          </w:p>
        </w:tc>
      </w:tr>
      <w:tr w:rsidR="00387142" w:rsidRPr="008B6A75" w14:paraId="6447CD3E" w14:textId="77777777" w:rsidTr="00387142">
        <w:trPr>
          <w:trHeight w:val="870"/>
        </w:trPr>
        <w:tc>
          <w:tcPr>
            <w:tcW w:w="3261" w:type="dxa"/>
            <w:tcBorders>
              <w:top w:val="nil"/>
              <w:left w:val="single" w:sz="4" w:space="0" w:color="auto"/>
              <w:bottom w:val="single" w:sz="4" w:space="0" w:color="auto"/>
              <w:right w:val="nil"/>
            </w:tcBorders>
            <w:shd w:val="clear" w:color="auto" w:fill="auto"/>
            <w:vAlign w:val="center"/>
            <w:hideMark/>
          </w:tcPr>
          <w:p w14:paraId="64FEFB93" w14:textId="77777777" w:rsidR="00387142" w:rsidRPr="008B6A75" w:rsidRDefault="00387142" w:rsidP="00387142">
            <w:pPr>
              <w:rPr>
                <w:bCs/>
                <w:sz w:val="20"/>
                <w:szCs w:val="20"/>
              </w:rPr>
            </w:pPr>
            <w:r w:rsidRPr="008B6A75">
              <w:rPr>
                <w:bCs/>
                <w:sz w:val="20"/>
                <w:szCs w:val="20"/>
              </w:rPr>
              <w:t>Муниципальная программа "Комплексное развитие сельских территорий в Куйбышевском районе"</w:t>
            </w:r>
          </w:p>
        </w:tc>
        <w:tc>
          <w:tcPr>
            <w:tcW w:w="720" w:type="dxa"/>
            <w:tcBorders>
              <w:top w:val="nil"/>
              <w:left w:val="single" w:sz="4" w:space="0" w:color="auto"/>
              <w:bottom w:val="single" w:sz="4" w:space="0" w:color="auto"/>
              <w:right w:val="nil"/>
            </w:tcBorders>
            <w:shd w:val="clear" w:color="auto" w:fill="auto"/>
            <w:noWrap/>
            <w:vAlign w:val="center"/>
            <w:hideMark/>
          </w:tcPr>
          <w:p w14:paraId="250612F1" w14:textId="77777777" w:rsidR="00387142" w:rsidRPr="008B6A75" w:rsidRDefault="00387142" w:rsidP="00387142">
            <w:pPr>
              <w:jc w:val="center"/>
              <w:rPr>
                <w:bCs/>
                <w:sz w:val="20"/>
                <w:szCs w:val="20"/>
              </w:rPr>
            </w:pPr>
            <w:r w:rsidRPr="008B6A75">
              <w:rPr>
                <w:bCs/>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5116789" w14:textId="77777777" w:rsidR="00387142" w:rsidRPr="008B6A75" w:rsidRDefault="00387142" w:rsidP="00387142">
            <w:pPr>
              <w:jc w:val="center"/>
              <w:rPr>
                <w:bCs/>
                <w:sz w:val="20"/>
                <w:szCs w:val="20"/>
              </w:rPr>
            </w:pPr>
            <w:r w:rsidRPr="008B6A75">
              <w:rPr>
                <w:bCs/>
                <w:sz w:val="20"/>
                <w:szCs w:val="20"/>
              </w:rPr>
              <w:t>02</w:t>
            </w:r>
          </w:p>
        </w:tc>
        <w:tc>
          <w:tcPr>
            <w:tcW w:w="1516" w:type="dxa"/>
            <w:tcBorders>
              <w:top w:val="nil"/>
              <w:left w:val="single" w:sz="4" w:space="0" w:color="auto"/>
              <w:bottom w:val="single" w:sz="4" w:space="0" w:color="auto"/>
              <w:right w:val="nil"/>
            </w:tcBorders>
            <w:shd w:val="clear" w:color="auto" w:fill="auto"/>
            <w:noWrap/>
            <w:vAlign w:val="center"/>
            <w:hideMark/>
          </w:tcPr>
          <w:p w14:paraId="37BDF79E" w14:textId="77777777" w:rsidR="00387142" w:rsidRPr="008B6A75" w:rsidRDefault="00387142" w:rsidP="00387142">
            <w:pPr>
              <w:jc w:val="center"/>
              <w:rPr>
                <w:bCs/>
                <w:sz w:val="20"/>
                <w:szCs w:val="20"/>
              </w:rPr>
            </w:pPr>
            <w:r w:rsidRPr="008B6A75">
              <w:rPr>
                <w:bCs/>
                <w:sz w:val="20"/>
                <w:szCs w:val="20"/>
              </w:rPr>
              <w:t>06.0.00.00000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DD14430"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031AC79" w14:textId="77777777" w:rsidR="00387142" w:rsidRPr="008B6A75" w:rsidRDefault="00387142" w:rsidP="00387142">
            <w:pPr>
              <w:jc w:val="right"/>
              <w:rPr>
                <w:bCs/>
                <w:sz w:val="20"/>
                <w:szCs w:val="20"/>
              </w:rPr>
            </w:pPr>
            <w:r w:rsidRPr="008B6A75">
              <w:rPr>
                <w:bCs/>
                <w:sz w:val="20"/>
                <w:szCs w:val="20"/>
              </w:rPr>
              <w:t>16 567 817,28</w:t>
            </w:r>
          </w:p>
        </w:tc>
        <w:tc>
          <w:tcPr>
            <w:tcW w:w="992" w:type="dxa"/>
            <w:tcBorders>
              <w:top w:val="nil"/>
              <w:left w:val="single" w:sz="4" w:space="0" w:color="auto"/>
              <w:bottom w:val="single" w:sz="4" w:space="0" w:color="auto"/>
              <w:right w:val="nil"/>
            </w:tcBorders>
            <w:shd w:val="clear" w:color="auto" w:fill="auto"/>
            <w:vAlign w:val="center"/>
            <w:hideMark/>
          </w:tcPr>
          <w:p w14:paraId="7CB258EC" w14:textId="77777777" w:rsidR="00387142" w:rsidRPr="008B6A75" w:rsidRDefault="00387142" w:rsidP="00387142">
            <w:pPr>
              <w:jc w:val="right"/>
              <w:rPr>
                <w:bCs/>
                <w:sz w:val="20"/>
                <w:szCs w:val="20"/>
              </w:rPr>
            </w:pPr>
            <w:r w:rsidRPr="008B6A75">
              <w:rPr>
                <w:bCs/>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610A5410" w14:textId="77777777" w:rsidR="00387142" w:rsidRPr="008B6A75" w:rsidRDefault="00387142" w:rsidP="00387142">
            <w:pPr>
              <w:jc w:val="right"/>
              <w:rPr>
                <w:bCs/>
                <w:sz w:val="20"/>
                <w:szCs w:val="20"/>
              </w:rPr>
            </w:pPr>
            <w:r w:rsidRPr="008B6A75">
              <w:rPr>
                <w:bCs/>
                <w:sz w:val="20"/>
                <w:szCs w:val="20"/>
              </w:rPr>
              <w:t>0,00</w:t>
            </w:r>
          </w:p>
        </w:tc>
      </w:tr>
      <w:tr w:rsidR="00387142" w:rsidRPr="008B6A75" w14:paraId="71EDABF6" w14:textId="77777777" w:rsidTr="00387142">
        <w:trPr>
          <w:trHeight w:val="870"/>
        </w:trPr>
        <w:tc>
          <w:tcPr>
            <w:tcW w:w="3261" w:type="dxa"/>
            <w:tcBorders>
              <w:top w:val="nil"/>
              <w:left w:val="single" w:sz="4" w:space="0" w:color="auto"/>
              <w:bottom w:val="single" w:sz="4" w:space="0" w:color="auto"/>
              <w:right w:val="nil"/>
            </w:tcBorders>
            <w:shd w:val="clear" w:color="auto" w:fill="auto"/>
            <w:vAlign w:val="center"/>
            <w:hideMark/>
          </w:tcPr>
          <w:p w14:paraId="31999ECA" w14:textId="77777777" w:rsidR="00387142" w:rsidRPr="008B6A75" w:rsidRDefault="00387142" w:rsidP="00387142">
            <w:pPr>
              <w:rPr>
                <w:bCs/>
                <w:sz w:val="20"/>
                <w:szCs w:val="20"/>
              </w:rPr>
            </w:pPr>
            <w:r w:rsidRPr="008B6A75">
              <w:rPr>
                <w:bCs/>
                <w:sz w:val="20"/>
                <w:szCs w:val="20"/>
              </w:rPr>
              <w:t>Реализация мероприятий муниципальной программы «Комплексное развитие сельских территорий в Куйбышевском районе»</w:t>
            </w:r>
          </w:p>
        </w:tc>
        <w:tc>
          <w:tcPr>
            <w:tcW w:w="720" w:type="dxa"/>
            <w:tcBorders>
              <w:top w:val="nil"/>
              <w:left w:val="single" w:sz="4" w:space="0" w:color="auto"/>
              <w:bottom w:val="single" w:sz="4" w:space="0" w:color="auto"/>
              <w:right w:val="nil"/>
            </w:tcBorders>
            <w:shd w:val="clear" w:color="auto" w:fill="auto"/>
            <w:noWrap/>
            <w:vAlign w:val="center"/>
            <w:hideMark/>
          </w:tcPr>
          <w:p w14:paraId="6D6D67FF" w14:textId="77777777" w:rsidR="00387142" w:rsidRPr="008B6A75" w:rsidRDefault="00387142" w:rsidP="00387142">
            <w:pPr>
              <w:jc w:val="center"/>
              <w:rPr>
                <w:bCs/>
                <w:sz w:val="20"/>
                <w:szCs w:val="20"/>
              </w:rPr>
            </w:pPr>
            <w:r w:rsidRPr="008B6A75">
              <w:rPr>
                <w:bCs/>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93B9FD2" w14:textId="77777777" w:rsidR="00387142" w:rsidRPr="008B6A75" w:rsidRDefault="00387142" w:rsidP="00387142">
            <w:pPr>
              <w:jc w:val="center"/>
              <w:rPr>
                <w:bCs/>
                <w:sz w:val="20"/>
                <w:szCs w:val="20"/>
              </w:rPr>
            </w:pPr>
            <w:r w:rsidRPr="008B6A75">
              <w:rPr>
                <w:bCs/>
                <w:sz w:val="20"/>
                <w:szCs w:val="20"/>
              </w:rPr>
              <w:t>02</w:t>
            </w:r>
          </w:p>
        </w:tc>
        <w:tc>
          <w:tcPr>
            <w:tcW w:w="1516" w:type="dxa"/>
            <w:tcBorders>
              <w:top w:val="nil"/>
              <w:left w:val="single" w:sz="4" w:space="0" w:color="auto"/>
              <w:bottom w:val="single" w:sz="4" w:space="0" w:color="auto"/>
              <w:right w:val="nil"/>
            </w:tcBorders>
            <w:shd w:val="clear" w:color="auto" w:fill="auto"/>
            <w:noWrap/>
            <w:vAlign w:val="center"/>
            <w:hideMark/>
          </w:tcPr>
          <w:p w14:paraId="1F6EEA45" w14:textId="77777777" w:rsidR="00387142" w:rsidRPr="008B6A75" w:rsidRDefault="00387142" w:rsidP="00387142">
            <w:pPr>
              <w:jc w:val="center"/>
              <w:rPr>
                <w:bCs/>
                <w:sz w:val="20"/>
                <w:szCs w:val="20"/>
              </w:rPr>
            </w:pPr>
            <w:r w:rsidRPr="008B6A75">
              <w:rPr>
                <w:bCs/>
                <w:sz w:val="20"/>
                <w:szCs w:val="20"/>
              </w:rPr>
              <w:t>06.0.00.05956</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D1E2EA2"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9EFE754" w14:textId="77777777" w:rsidR="00387142" w:rsidRPr="008B6A75" w:rsidRDefault="00387142" w:rsidP="00387142">
            <w:pPr>
              <w:jc w:val="right"/>
              <w:rPr>
                <w:bCs/>
                <w:sz w:val="20"/>
                <w:szCs w:val="20"/>
              </w:rPr>
            </w:pPr>
            <w:r w:rsidRPr="008B6A75">
              <w:rPr>
                <w:bCs/>
                <w:sz w:val="20"/>
                <w:szCs w:val="20"/>
              </w:rPr>
              <w:t>1 047 494,78</w:t>
            </w:r>
          </w:p>
        </w:tc>
        <w:tc>
          <w:tcPr>
            <w:tcW w:w="992" w:type="dxa"/>
            <w:tcBorders>
              <w:top w:val="nil"/>
              <w:left w:val="single" w:sz="4" w:space="0" w:color="auto"/>
              <w:bottom w:val="single" w:sz="4" w:space="0" w:color="auto"/>
              <w:right w:val="nil"/>
            </w:tcBorders>
            <w:shd w:val="clear" w:color="auto" w:fill="auto"/>
            <w:vAlign w:val="center"/>
            <w:hideMark/>
          </w:tcPr>
          <w:p w14:paraId="538A3956" w14:textId="77777777" w:rsidR="00387142" w:rsidRPr="008B6A75" w:rsidRDefault="00387142" w:rsidP="00387142">
            <w:pPr>
              <w:jc w:val="right"/>
              <w:rPr>
                <w:bCs/>
                <w:sz w:val="20"/>
                <w:szCs w:val="20"/>
              </w:rPr>
            </w:pPr>
            <w:r w:rsidRPr="008B6A75">
              <w:rPr>
                <w:bCs/>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78C67E71" w14:textId="77777777" w:rsidR="00387142" w:rsidRPr="008B6A75" w:rsidRDefault="00387142" w:rsidP="00387142">
            <w:pPr>
              <w:jc w:val="right"/>
              <w:rPr>
                <w:bCs/>
                <w:sz w:val="20"/>
                <w:szCs w:val="20"/>
              </w:rPr>
            </w:pPr>
            <w:r w:rsidRPr="008B6A75">
              <w:rPr>
                <w:bCs/>
                <w:sz w:val="20"/>
                <w:szCs w:val="20"/>
              </w:rPr>
              <w:t>0,00</w:t>
            </w:r>
          </w:p>
        </w:tc>
      </w:tr>
      <w:tr w:rsidR="00387142" w:rsidRPr="008B6A75" w14:paraId="2B4EF543" w14:textId="77777777" w:rsidTr="00387142">
        <w:trPr>
          <w:trHeight w:val="345"/>
        </w:trPr>
        <w:tc>
          <w:tcPr>
            <w:tcW w:w="3261" w:type="dxa"/>
            <w:tcBorders>
              <w:top w:val="nil"/>
              <w:left w:val="single" w:sz="4" w:space="0" w:color="auto"/>
              <w:bottom w:val="single" w:sz="4" w:space="0" w:color="auto"/>
              <w:right w:val="nil"/>
            </w:tcBorders>
            <w:shd w:val="clear" w:color="auto" w:fill="auto"/>
            <w:vAlign w:val="center"/>
            <w:hideMark/>
          </w:tcPr>
          <w:p w14:paraId="45EAE065" w14:textId="77777777" w:rsidR="00387142" w:rsidRPr="008B6A75" w:rsidRDefault="00387142" w:rsidP="00387142">
            <w:pPr>
              <w:rPr>
                <w:sz w:val="20"/>
                <w:szCs w:val="20"/>
              </w:rPr>
            </w:pPr>
            <w:r w:rsidRPr="008B6A75">
              <w:rPr>
                <w:sz w:val="20"/>
                <w:szCs w:val="20"/>
              </w:rPr>
              <w:t>Межбюджетные трансферты</w:t>
            </w:r>
          </w:p>
        </w:tc>
        <w:tc>
          <w:tcPr>
            <w:tcW w:w="720" w:type="dxa"/>
            <w:tcBorders>
              <w:top w:val="nil"/>
              <w:left w:val="single" w:sz="4" w:space="0" w:color="auto"/>
              <w:bottom w:val="single" w:sz="4" w:space="0" w:color="auto"/>
              <w:right w:val="nil"/>
            </w:tcBorders>
            <w:shd w:val="clear" w:color="auto" w:fill="auto"/>
            <w:noWrap/>
            <w:vAlign w:val="center"/>
            <w:hideMark/>
          </w:tcPr>
          <w:p w14:paraId="5EAF6F69" w14:textId="77777777" w:rsidR="00387142" w:rsidRPr="008B6A75" w:rsidRDefault="00387142" w:rsidP="00387142">
            <w:pPr>
              <w:jc w:val="center"/>
              <w:rPr>
                <w:sz w:val="20"/>
                <w:szCs w:val="20"/>
              </w:rPr>
            </w:pPr>
            <w:r w:rsidRPr="008B6A75">
              <w:rPr>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B51FE7E" w14:textId="77777777" w:rsidR="00387142" w:rsidRPr="008B6A75" w:rsidRDefault="00387142" w:rsidP="00387142">
            <w:pPr>
              <w:jc w:val="center"/>
              <w:rPr>
                <w:sz w:val="20"/>
                <w:szCs w:val="20"/>
              </w:rPr>
            </w:pPr>
            <w:r w:rsidRPr="008B6A75">
              <w:rPr>
                <w:sz w:val="20"/>
                <w:szCs w:val="20"/>
              </w:rPr>
              <w:t>02</w:t>
            </w:r>
          </w:p>
        </w:tc>
        <w:tc>
          <w:tcPr>
            <w:tcW w:w="1516" w:type="dxa"/>
            <w:tcBorders>
              <w:top w:val="nil"/>
              <w:left w:val="single" w:sz="4" w:space="0" w:color="auto"/>
              <w:bottom w:val="single" w:sz="4" w:space="0" w:color="auto"/>
              <w:right w:val="nil"/>
            </w:tcBorders>
            <w:shd w:val="clear" w:color="auto" w:fill="auto"/>
            <w:noWrap/>
            <w:vAlign w:val="center"/>
            <w:hideMark/>
          </w:tcPr>
          <w:p w14:paraId="639CD81A" w14:textId="77777777" w:rsidR="00387142" w:rsidRPr="008B6A75" w:rsidRDefault="00387142" w:rsidP="00387142">
            <w:pPr>
              <w:jc w:val="center"/>
              <w:rPr>
                <w:sz w:val="20"/>
                <w:szCs w:val="20"/>
              </w:rPr>
            </w:pPr>
            <w:r w:rsidRPr="008B6A75">
              <w:rPr>
                <w:sz w:val="20"/>
                <w:szCs w:val="20"/>
              </w:rPr>
              <w:t>06.0.00.05956</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31B3D5B" w14:textId="77777777" w:rsidR="00387142" w:rsidRPr="008B6A75" w:rsidRDefault="00387142" w:rsidP="00387142">
            <w:pPr>
              <w:jc w:val="center"/>
              <w:rPr>
                <w:sz w:val="20"/>
                <w:szCs w:val="20"/>
              </w:rPr>
            </w:pPr>
            <w:r w:rsidRPr="008B6A75">
              <w:rPr>
                <w:sz w:val="20"/>
                <w:szCs w:val="20"/>
              </w:rPr>
              <w:t>500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70D92B8" w14:textId="77777777" w:rsidR="00387142" w:rsidRPr="008B6A75" w:rsidRDefault="00387142" w:rsidP="00387142">
            <w:pPr>
              <w:jc w:val="right"/>
              <w:rPr>
                <w:sz w:val="20"/>
                <w:szCs w:val="20"/>
              </w:rPr>
            </w:pPr>
            <w:r w:rsidRPr="008B6A75">
              <w:rPr>
                <w:sz w:val="20"/>
                <w:szCs w:val="20"/>
              </w:rPr>
              <w:t>1 047 494,78</w:t>
            </w:r>
          </w:p>
        </w:tc>
        <w:tc>
          <w:tcPr>
            <w:tcW w:w="992" w:type="dxa"/>
            <w:tcBorders>
              <w:top w:val="nil"/>
              <w:left w:val="single" w:sz="4" w:space="0" w:color="auto"/>
              <w:bottom w:val="single" w:sz="4" w:space="0" w:color="auto"/>
              <w:right w:val="nil"/>
            </w:tcBorders>
            <w:shd w:val="clear" w:color="auto" w:fill="auto"/>
            <w:vAlign w:val="center"/>
            <w:hideMark/>
          </w:tcPr>
          <w:p w14:paraId="7EC25B55" w14:textId="77777777" w:rsidR="00387142" w:rsidRPr="008B6A75" w:rsidRDefault="00387142" w:rsidP="00387142">
            <w:pPr>
              <w:jc w:val="right"/>
              <w:rPr>
                <w:sz w:val="20"/>
                <w:szCs w:val="20"/>
              </w:rPr>
            </w:pPr>
            <w:r w:rsidRPr="008B6A75">
              <w:rPr>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0136B874" w14:textId="77777777" w:rsidR="00387142" w:rsidRPr="008B6A75" w:rsidRDefault="00387142" w:rsidP="00387142">
            <w:pPr>
              <w:jc w:val="right"/>
              <w:rPr>
                <w:sz w:val="20"/>
                <w:szCs w:val="20"/>
              </w:rPr>
            </w:pPr>
            <w:r w:rsidRPr="008B6A75">
              <w:rPr>
                <w:sz w:val="20"/>
                <w:szCs w:val="20"/>
              </w:rPr>
              <w:t>0,00</w:t>
            </w:r>
          </w:p>
        </w:tc>
      </w:tr>
      <w:tr w:rsidR="00387142" w:rsidRPr="008B6A75" w14:paraId="0155CBD7" w14:textId="77777777" w:rsidTr="00387142">
        <w:trPr>
          <w:trHeight w:val="345"/>
        </w:trPr>
        <w:tc>
          <w:tcPr>
            <w:tcW w:w="3261" w:type="dxa"/>
            <w:tcBorders>
              <w:top w:val="nil"/>
              <w:left w:val="single" w:sz="4" w:space="0" w:color="auto"/>
              <w:bottom w:val="single" w:sz="4" w:space="0" w:color="auto"/>
              <w:right w:val="nil"/>
            </w:tcBorders>
            <w:shd w:val="clear" w:color="auto" w:fill="auto"/>
            <w:vAlign w:val="center"/>
            <w:hideMark/>
          </w:tcPr>
          <w:p w14:paraId="0F23CAE2" w14:textId="77777777" w:rsidR="00387142" w:rsidRPr="008B6A75" w:rsidRDefault="00387142" w:rsidP="00387142">
            <w:pPr>
              <w:rPr>
                <w:sz w:val="20"/>
                <w:szCs w:val="20"/>
              </w:rPr>
            </w:pPr>
            <w:r w:rsidRPr="008B6A75">
              <w:rPr>
                <w:sz w:val="20"/>
                <w:szCs w:val="20"/>
              </w:rPr>
              <w:t>Иные межбюджетные трансферты</w:t>
            </w:r>
          </w:p>
        </w:tc>
        <w:tc>
          <w:tcPr>
            <w:tcW w:w="720" w:type="dxa"/>
            <w:tcBorders>
              <w:top w:val="nil"/>
              <w:left w:val="single" w:sz="4" w:space="0" w:color="auto"/>
              <w:bottom w:val="single" w:sz="4" w:space="0" w:color="auto"/>
              <w:right w:val="nil"/>
            </w:tcBorders>
            <w:shd w:val="clear" w:color="auto" w:fill="auto"/>
            <w:noWrap/>
            <w:vAlign w:val="center"/>
            <w:hideMark/>
          </w:tcPr>
          <w:p w14:paraId="6B2B0046" w14:textId="77777777" w:rsidR="00387142" w:rsidRPr="008B6A75" w:rsidRDefault="00387142" w:rsidP="00387142">
            <w:pPr>
              <w:jc w:val="center"/>
              <w:rPr>
                <w:sz w:val="20"/>
                <w:szCs w:val="20"/>
              </w:rPr>
            </w:pPr>
            <w:r w:rsidRPr="008B6A75">
              <w:rPr>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BB68084" w14:textId="77777777" w:rsidR="00387142" w:rsidRPr="008B6A75" w:rsidRDefault="00387142" w:rsidP="00387142">
            <w:pPr>
              <w:jc w:val="center"/>
              <w:rPr>
                <w:sz w:val="20"/>
                <w:szCs w:val="20"/>
              </w:rPr>
            </w:pPr>
            <w:r w:rsidRPr="008B6A75">
              <w:rPr>
                <w:sz w:val="20"/>
                <w:szCs w:val="20"/>
              </w:rPr>
              <w:t>02</w:t>
            </w:r>
          </w:p>
        </w:tc>
        <w:tc>
          <w:tcPr>
            <w:tcW w:w="1516" w:type="dxa"/>
            <w:tcBorders>
              <w:top w:val="nil"/>
              <w:left w:val="single" w:sz="4" w:space="0" w:color="auto"/>
              <w:bottom w:val="single" w:sz="4" w:space="0" w:color="auto"/>
              <w:right w:val="nil"/>
            </w:tcBorders>
            <w:shd w:val="clear" w:color="auto" w:fill="auto"/>
            <w:noWrap/>
            <w:vAlign w:val="center"/>
            <w:hideMark/>
          </w:tcPr>
          <w:p w14:paraId="536D2C95" w14:textId="77777777" w:rsidR="00387142" w:rsidRPr="008B6A75" w:rsidRDefault="00387142" w:rsidP="00387142">
            <w:pPr>
              <w:jc w:val="center"/>
              <w:rPr>
                <w:sz w:val="20"/>
                <w:szCs w:val="20"/>
              </w:rPr>
            </w:pPr>
            <w:r w:rsidRPr="008B6A75">
              <w:rPr>
                <w:sz w:val="20"/>
                <w:szCs w:val="20"/>
              </w:rPr>
              <w:t>06.0.00.05956</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E5427DF" w14:textId="77777777" w:rsidR="00387142" w:rsidRPr="008B6A75" w:rsidRDefault="00387142" w:rsidP="00387142">
            <w:pPr>
              <w:jc w:val="center"/>
              <w:rPr>
                <w:sz w:val="20"/>
                <w:szCs w:val="20"/>
              </w:rPr>
            </w:pPr>
            <w:r w:rsidRPr="008B6A75">
              <w:rPr>
                <w:sz w:val="20"/>
                <w:szCs w:val="20"/>
              </w:rPr>
              <w:t>540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D8A6464" w14:textId="77777777" w:rsidR="00387142" w:rsidRPr="008B6A75" w:rsidRDefault="00387142" w:rsidP="00387142">
            <w:pPr>
              <w:jc w:val="right"/>
              <w:rPr>
                <w:sz w:val="20"/>
                <w:szCs w:val="20"/>
              </w:rPr>
            </w:pPr>
            <w:r w:rsidRPr="008B6A75">
              <w:rPr>
                <w:sz w:val="20"/>
                <w:szCs w:val="20"/>
              </w:rPr>
              <w:t>1 047 494,78</w:t>
            </w:r>
          </w:p>
        </w:tc>
        <w:tc>
          <w:tcPr>
            <w:tcW w:w="992" w:type="dxa"/>
            <w:tcBorders>
              <w:top w:val="nil"/>
              <w:left w:val="single" w:sz="4" w:space="0" w:color="auto"/>
              <w:bottom w:val="single" w:sz="4" w:space="0" w:color="auto"/>
              <w:right w:val="nil"/>
            </w:tcBorders>
            <w:shd w:val="clear" w:color="auto" w:fill="auto"/>
            <w:vAlign w:val="center"/>
            <w:hideMark/>
          </w:tcPr>
          <w:p w14:paraId="613A03A7" w14:textId="77777777" w:rsidR="00387142" w:rsidRPr="008B6A75" w:rsidRDefault="00387142" w:rsidP="00387142">
            <w:pPr>
              <w:jc w:val="right"/>
              <w:rPr>
                <w:sz w:val="20"/>
                <w:szCs w:val="20"/>
              </w:rPr>
            </w:pPr>
            <w:r w:rsidRPr="008B6A75">
              <w:rPr>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09AB07C5" w14:textId="77777777" w:rsidR="00387142" w:rsidRPr="008B6A75" w:rsidRDefault="00387142" w:rsidP="00387142">
            <w:pPr>
              <w:jc w:val="right"/>
              <w:rPr>
                <w:sz w:val="20"/>
                <w:szCs w:val="20"/>
              </w:rPr>
            </w:pPr>
            <w:r w:rsidRPr="008B6A75">
              <w:rPr>
                <w:sz w:val="20"/>
                <w:szCs w:val="20"/>
              </w:rPr>
              <w:t>0,00</w:t>
            </w:r>
          </w:p>
        </w:tc>
      </w:tr>
      <w:tr w:rsidR="00387142" w:rsidRPr="008B6A75" w14:paraId="007D376D" w14:textId="77777777" w:rsidTr="00387142">
        <w:trPr>
          <w:trHeight w:val="2295"/>
        </w:trPr>
        <w:tc>
          <w:tcPr>
            <w:tcW w:w="3261" w:type="dxa"/>
            <w:tcBorders>
              <w:top w:val="nil"/>
              <w:left w:val="single" w:sz="4" w:space="0" w:color="auto"/>
              <w:bottom w:val="single" w:sz="4" w:space="0" w:color="auto"/>
              <w:right w:val="nil"/>
            </w:tcBorders>
            <w:shd w:val="clear" w:color="auto" w:fill="auto"/>
            <w:vAlign w:val="center"/>
            <w:hideMark/>
          </w:tcPr>
          <w:p w14:paraId="53799E38" w14:textId="77777777" w:rsidR="00387142" w:rsidRPr="008B6A75" w:rsidRDefault="00387142" w:rsidP="00387142">
            <w:pPr>
              <w:rPr>
                <w:bCs/>
                <w:sz w:val="20"/>
                <w:szCs w:val="20"/>
              </w:rPr>
            </w:pPr>
            <w:r w:rsidRPr="008B6A75">
              <w:rPr>
                <w:bCs/>
                <w:sz w:val="20"/>
                <w:szCs w:val="20"/>
              </w:rPr>
              <w:lastRenderedPageBreak/>
              <w:t>Обеспечение комплексного развития сельских территорий (формирование современного облика сельских территорий, направленных на создание и развитие инфраструктуры в сельской местности), государственной программы Новосибирской области "Комплексное развитие сельских территорий в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14:paraId="7BB79D23" w14:textId="77777777" w:rsidR="00387142" w:rsidRPr="008B6A75" w:rsidRDefault="00387142" w:rsidP="00387142">
            <w:pPr>
              <w:jc w:val="center"/>
              <w:rPr>
                <w:bCs/>
                <w:sz w:val="20"/>
                <w:szCs w:val="20"/>
              </w:rPr>
            </w:pPr>
            <w:r w:rsidRPr="008B6A75">
              <w:rPr>
                <w:bCs/>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E14485E" w14:textId="77777777" w:rsidR="00387142" w:rsidRPr="008B6A75" w:rsidRDefault="00387142" w:rsidP="00387142">
            <w:pPr>
              <w:jc w:val="center"/>
              <w:rPr>
                <w:bCs/>
                <w:sz w:val="20"/>
                <w:szCs w:val="20"/>
              </w:rPr>
            </w:pPr>
            <w:r w:rsidRPr="008B6A75">
              <w:rPr>
                <w:bCs/>
                <w:sz w:val="20"/>
                <w:szCs w:val="20"/>
              </w:rPr>
              <w:t>02</w:t>
            </w:r>
          </w:p>
        </w:tc>
        <w:tc>
          <w:tcPr>
            <w:tcW w:w="1516" w:type="dxa"/>
            <w:tcBorders>
              <w:top w:val="nil"/>
              <w:left w:val="single" w:sz="4" w:space="0" w:color="auto"/>
              <w:bottom w:val="single" w:sz="4" w:space="0" w:color="auto"/>
              <w:right w:val="nil"/>
            </w:tcBorders>
            <w:shd w:val="clear" w:color="auto" w:fill="auto"/>
            <w:noWrap/>
            <w:vAlign w:val="center"/>
            <w:hideMark/>
          </w:tcPr>
          <w:p w14:paraId="7B291357" w14:textId="77777777" w:rsidR="00387142" w:rsidRPr="008B6A75" w:rsidRDefault="00387142" w:rsidP="00387142">
            <w:pPr>
              <w:jc w:val="center"/>
              <w:rPr>
                <w:bCs/>
                <w:sz w:val="20"/>
                <w:szCs w:val="20"/>
              </w:rPr>
            </w:pPr>
            <w:r w:rsidRPr="008B6A75">
              <w:rPr>
                <w:bCs/>
                <w:sz w:val="20"/>
                <w:szCs w:val="20"/>
              </w:rPr>
              <w:t>06.0.00.L5766</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1D7DE99"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183864D" w14:textId="77777777" w:rsidR="00387142" w:rsidRPr="008B6A75" w:rsidRDefault="00387142" w:rsidP="00387142">
            <w:pPr>
              <w:jc w:val="right"/>
              <w:rPr>
                <w:bCs/>
                <w:sz w:val="20"/>
                <w:szCs w:val="20"/>
              </w:rPr>
            </w:pPr>
            <w:r w:rsidRPr="008B6A75">
              <w:rPr>
                <w:bCs/>
                <w:sz w:val="20"/>
                <w:szCs w:val="20"/>
              </w:rPr>
              <w:t>15 520 322,50</w:t>
            </w:r>
          </w:p>
        </w:tc>
        <w:tc>
          <w:tcPr>
            <w:tcW w:w="992" w:type="dxa"/>
            <w:tcBorders>
              <w:top w:val="nil"/>
              <w:left w:val="single" w:sz="4" w:space="0" w:color="auto"/>
              <w:bottom w:val="single" w:sz="4" w:space="0" w:color="auto"/>
              <w:right w:val="nil"/>
            </w:tcBorders>
            <w:shd w:val="clear" w:color="auto" w:fill="auto"/>
            <w:vAlign w:val="center"/>
            <w:hideMark/>
          </w:tcPr>
          <w:p w14:paraId="2DC3EF0C" w14:textId="77777777" w:rsidR="00387142" w:rsidRPr="008B6A75" w:rsidRDefault="00387142" w:rsidP="00387142">
            <w:pPr>
              <w:jc w:val="right"/>
              <w:rPr>
                <w:bCs/>
                <w:sz w:val="20"/>
                <w:szCs w:val="20"/>
              </w:rPr>
            </w:pPr>
            <w:r w:rsidRPr="008B6A75">
              <w:rPr>
                <w:bCs/>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50B6663E" w14:textId="77777777" w:rsidR="00387142" w:rsidRPr="008B6A75" w:rsidRDefault="00387142" w:rsidP="00387142">
            <w:pPr>
              <w:jc w:val="right"/>
              <w:rPr>
                <w:bCs/>
                <w:sz w:val="20"/>
                <w:szCs w:val="20"/>
              </w:rPr>
            </w:pPr>
            <w:r w:rsidRPr="008B6A75">
              <w:rPr>
                <w:bCs/>
                <w:sz w:val="20"/>
                <w:szCs w:val="20"/>
              </w:rPr>
              <w:t>0,00</w:t>
            </w:r>
          </w:p>
        </w:tc>
      </w:tr>
      <w:tr w:rsidR="00387142" w:rsidRPr="008B6A75" w14:paraId="35EFD8B5" w14:textId="77777777" w:rsidTr="00387142">
        <w:trPr>
          <w:trHeight w:val="345"/>
        </w:trPr>
        <w:tc>
          <w:tcPr>
            <w:tcW w:w="3261" w:type="dxa"/>
            <w:tcBorders>
              <w:top w:val="nil"/>
              <w:left w:val="single" w:sz="4" w:space="0" w:color="auto"/>
              <w:bottom w:val="single" w:sz="4" w:space="0" w:color="auto"/>
              <w:right w:val="nil"/>
            </w:tcBorders>
            <w:shd w:val="clear" w:color="auto" w:fill="auto"/>
            <w:vAlign w:val="center"/>
            <w:hideMark/>
          </w:tcPr>
          <w:p w14:paraId="5EC3F2C3" w14:textId="77777777" w:rsidR="00387142" w:rsidRPr="008B6A75" w:rsidRDefault="00387142" w:rsidP="00387142">
            <w:pPr>
              <w:rPr>
                <w:sz w:val="20"/>
                <w:szCs w:val="20"/>
              </w:rPr>
            </w:pPr>
            <w:r w:rsidRPr="008B6A75">
              <w:rPr>
                <w:sz w:val="20"/>
                <w:szCs w:val="20"/>
              </w:rPr>
              <w:t>Межбюджетные трансферты</w:t>
            </w:r>
          </w:p>
        </w:tc>
        <w:tc>
          <w:tcPr>
            <w:tcW w:w="720" w:type="dxa"/>
            <w:tcBorders>
              <w:top w:val="nil"/>
              <w:left w:val="single" w:sz="4" w:space="0" w:color="auto"/>
              <w:bottom w:val="single" w:sz="4" w:space="0" w:color="auto"/>
              <w:right w:val="nil"/>
            </w:tcBorders>
            <w:shd w:val="clear" w:color="auto" w:fill="auto"/>
            <w:noWrap/>
            <w:vAlign w:val="center"/>
            <w:hideMark/>
          </w:tcPr>
          <w:p w14:paraId="1E451C74" w14:textId="77777777" w:rsidR="00387142" w:rsidRPr="008B6A75" w:rsidRDefault="00387142" w:rsidP="00387142">
            <w:pPr>
              <w:jc w:val="center"/>
              <w:rPr>
                <w:sz w:val="20"/>
                <w:szCs w:val="20"/>
              </w:rPr>
            </w:pPr>
            <w:r w:rsidRPr="008B6A75">
              <w:rPr>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C614583" w14:textId="77777777" w:rsidR="00387142" w:rsidRPr="008B6A75" w:rsidRDefault="00387142" w:rsidP="00387142">
            <w:pPr>
              <w:jc w:val="center"/>
              <w:rPr>
                <w:sz w:val="20"/>
                <w:szCs w:val="20"/>
              </w:rPr>
            </w:pPr>
            <w:r w:rsidRPr="008B6A75">
              <w:rPr>
                <w:sz w:val="20"/>
                <w:szCs w:val="20"/>
              </w:rPr>
              <w:t>02</w:t>
            </w:r>
          </w:p>
        </w:tc>
        <w:tc>
          <w:tcPr>
            <w:tcW w:w="1516" w:type="dxa"/>
            <w:tcBorders>
              <w:top w:val="nil"/>
              <w:left w:val="single" w:sz="4" w:space="0" w:color="auto"/>
              <w:bottom w:val="single" w:sz="4" w:space="0" w:color="auto"/>
              <w:right w:val="nil"/>
            </w:tcBorders>
            <w:shd w:val="clear" w:color="auto" w:fill="auto"/>
            <w:noWrap/>
            <w:vAlign w:val="center"/>
            <w:hideMark/>
          </w:tcPr>
          <w:p w14:paraId="1AB49559" w14:textId="77777777" w:rsidR="00387142" w:rsidRPr="008B6A75" w:rsidRDefault="00387142" w:rsidP="00387142">
            <w:pPr>
              <w:jc w:val="center"/>
              <w:rPr>
                <w:sz w:val="20"/>
                <w:szCs w:val="20"/>
              </w:rPr>
            </w:pPr>
            <w:r w:rsidRPr="008B6A75">
              <w:rPr>
                <w:sz w:val="20"/>
                <w:szCs w:val="20"/>
              </w:rPr>
              <w:t>06.0.00.L5766</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CD23A3F" w14:textId="77777777" w:rsidR="00387142" w:rsidRPr="008B6A75" w:rsidRDefault="00387142" w:rsidP="00387142">
            <w:pPr>
              <w:jc w:val="center"/>
              <w:rPr>
                <w:sz w:val="20"/>
                <w:szCs w:val="20"/>
              </w:rPr>
            </w:pPr>
            <w:r w:rsidRPr="008B6A75">
              <w:rPr>
                <w:sz w:val="20"/>
                <w:szCs w:val="20"/>
              </w:rPr>
              <w:t>500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8113E3B" w14:textId="77777777" w:rsidR="00387142" w:rsidRPr="008B6A75" w:rsidRDefault="00387142" w:rsidP="00387142">
            <w:pPr>
              <w:jc w:val="right"/>
              <w:rPr>
                <w:sz w:val="20"/>
                <w:szCs w:val="20"/>
              </w:rPr>
            </w:pPr>
            <w:r w:rsidRPr="008B6A75">
              <w:rPr>
                <w:sz w:val="20"/>
                <w:szCs w:val="20"/>
              </w:rPr>
              <w:t>15 520 322,50</w:t>
            </w:r>
          </w:p>
        </w:tc>
        <w:tc>
          <w:tcPr>
            <w:tcW w:w="992" w:type="dxa"/>
            <w:tcBorders>
              <w:top w:val="nil"/>
              <w:left w:val="single" w:sz="4" w:space="0" w:color="auto"/>
              <w:bottom w:val="single" w:sz="4" w:space="0" w:color="auto"/>
              <w:right w:val="nil"/>
            </w:tcBorders>
            <w:shd w:val="clear" w:color="auto" w:fill="auto"/>
            <w:vAlign w:val="center"/>
            <w:hideMark/>
          </w:tcPr>
          <w:p w14:paraId="588D31E0" w14:textId="77777777" w:rsidR="00387142" w:rsidRPr="008B6A75" w:rsidRDefault="00387142" w:rsidP="00387142">
            <w:pPr>
              <w:jc w:val="right"/>
              <w:rPr>
                <w:sz w:val="20"/>
                <w:szCs w:val="20"/>
              </w:rPr>
            </w:pPr>
            <w:r w:rsidRPr="008B6A75">
              <w:rPr>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3BBF536A" w14:textId="77777777" w:rsidR="00387142" w:rsidRPr="008B6A75" w:rsidRDefault="00387142" w:rsidP="00387142">
            <w:pPr>
              <w:jc w:val="right"/>
              <w:rPr>
                <w:sz w:val="20"/>
                <w:szCs w:val="20"/>
              </w:rPr>
            </w:pPr>
            <w:r w:rsidRPr="008B6A75">
              <w:rPr>
                <w:sz w:val="20"/>
                <w:szCs w:val="20"/>
              </w:rPr>
              <w:t>0,00</w:t>
            </w:r>
          </w:p>
        </w:tc>
      </w:tr>
      <w:tr w:rsidR="00387142" w:rsidRPr="008B6A75" w14:paraId="2D93339B" w14:textId="77777777" w:rsidTr="00387142">
        <w:trPr>
          <w:trHeight w:val="345"/>
        </w:trPr>
        <w:tc>
          <w:tcPr>
            <w:tcW w:w="3261" w:type="dxa"/>
            <w:tcBorders>
              <w:top w:val="nil"/>
              <w:left w:val="single" w:sz="4" w:space="0" w:color="auto"/>
              <w:bottom w:val="single" w:sz="4" w:space="0" w:color="auto"/>
              <w:right w:val="nil"/>
            </w:tcBorders>
            <w:shd w:val="clear" w:color="auto" w:fill="auto"/>
            <w:vAlign w:val="center"/>
            <w:hideMark/>
          </w:tcPr>
          <w:p w14:paraId="4D59715E" w14:textId="77777777" w:rsidR="00387142" w:rsidRPr="008B6A75" w:rsidRDefault="00387142" w:rsidP="00387142">
            <w:pPr>
              <w:rPr>
                <w:sz w:val="20"/>
                <w:szCs w:val="20"/>
              </w:rPr>
            </w:pPr>
            <w:r w:rsidRPr="008B6A75">
              <w:rPr>
                <w:sz w:val="20"/>
                <w:szCs w:val="20"/>
              </w:rPr>
              <w:t>Иные межбюджетные трансферты</w:t>
            </w:r>
          </w:p>
        </w:tc>
        <w:tc>
          <w:tcPr>
            <w:tcW w:w="720" w:type="dxa"/>
            <w:tcBorders>
              <w:top w:val="nil"/>
              <w:left w:val="single" w:sz="4" w:space="0" w:color="auto"/>
              <w:bottom w:val="single" w:sz="4" w:space="0" w:color="auto"/>
              <w:right w:val="nil"/>
            </w:tcBorders>
            <w:shd w:val="clear" w:color="auto" w:fill="auto"/>
            <w:noWrap/>
            <w:vAlign w:val="center"/>
            <w:hideMark/>
          </w:tcPr>
          <w:p w14:paraId="7B5F0646" w14:textId="77777777" w:rsidR="00387142" w:rsidRPr="008B6A75" w:rsidRDefault="00387142" w:rsidP="00387142">
            <w:pPr>
              <w:jc w:val="center"/>
              <w:rPr>
                <w:sz w:val="20"/>
                <w:szCs w:val="20"/>
              </w:rPr>
            </w:pPr>
            <w:r w:rsidRPr="008B6A75">
              <w:rPr>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780B78D" w14:textId="77777777" w:rsidR="00387142" w:rsidRPr="008B6A75" w:rsidRDefault="00387142" w:rsidP="00387142">
            <w:pPr>
              <w:jc w:val="center"/>
              <w:rPr>
                <w:sz w:val="20"/>
                <w:szCs w:val="20"/>
              </w:rPr>
            </w:pPr>
            <w:r w:rsidRPr="008B6A75">
              <w:rPr>
                <w:sz w:val="20"/>
                <w:szCs w:val="20"/>
              </w:rPr>
              <w:t>02</w:t>
            </w:r>
          </w:p>
        </w:tc>
        <w:tc>
          <w:tcPr>
            <w:tcW w:w="1516" w:type="dxa"/>
            <w:tcBorders>
              <w:top w:val="nil"/>
              <w:left w:val="single" w:sz="4" w:space="0" w:color="auto"/>
              <w:bottom w:val="single" w:sz="4" w:space="0" w:color="auto"/>
              <w:right w:val="nil"/>
            </w:tcBorders>
            <w:shd w:val="clear" w:color="auto" w:fill="auto"/>
            <w:noWrap/>
            <w:vAlign w:val="center"/>
            <w:hideMark/>
          </w:tcPr>
          <w:p w14:paraId="700E431C" w14:textId="77777777" w:rsidR="00387142" w:rsidRPr="008B6A75" w:rsidRDefault="00387142" w:rsidP="00387142">
            <w:pPr>
              <w:jc w:val="center"/>
              <w:rPr>
                <w:sz w:val="20"/>
                <w:szCs w:val="20"/>
              </w:rPr>
            </w:pPr>
            <w:r w:rsidRPr="008B6A75">
              <w:rPr>
                <w:sz w:val="20"/>
                <w:szCs w:val="20"/>
              </w:rPr>
              <w:t>06.0.00.L5766</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E316D6C" w14:textId="77777777" w:rsidR="00387142" w:rsidRPr="008B6A75" w:rsidRDefault="00387142" w:rsidP="00387142">
            <w:pPr>
              <w:jc w:val="center"/>
              <w:rPr>
                <w:sz w:val="20"/>
                <w:szCs w:val="20"/>
              </w:rPr>
            </w:pPr>
            <w:r w:rsidRPr="008B6A75">
              <w:rPr>
                <w:sz w:val="20"/>
                <w:szCs w:val="20"/>
              </w:rPr>
              <w:t>540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93FC9EF" w14:textId="77777777" w:rsidR="00387142" w:rsidRPr="008B6A75" w:rsidRDefault="00387142" w:rsidP="00387142">
            <w:pPr>
              <w:jc w:val="right"/>
              <w:rPr>
                <w:sz w:val="20"/>
                <w:szCs w:val="20"/>
              </w:rPr>
            </w:pPr>
            <w:r w:rsidRPr="008B6A75">
              <w:rPr>
                <w:sz w:val="20"/>
                <w:szCs w:val="20"/>
              </w:rPr>
              <w:t>15 520 322,50</w:t>
            </w:r>
          </w:p>
        </w:tc>
        <w:tc>
          <w:tcPr>
            <w:tcW w:w="992" w:type="dxa"/>
            <w:tcBorders>
              <w:top w:val="nil"/>
              <w:left w:val="single" w:sz="4" w:space="0" w:color="auto"/>
              <w:bottom w:val="single" w:sz="4" w:space="0" w:color="auto"/>
              <w:right w:val="nil"/>
            </w:tcBorders>
            <w:shd w:val="clear" w:color="auto" w:fill="auto"/>
            <w:vAlign w:val="center"/>
            <w:hideMark/>
          </w:tcPr>
          <w:p w14:paraId="1F32BFDA" w14:textId="77777777" w:rsidR="00387142" w:rsidRPr="008B6A75" w:rsidRDefault="00387142" w:rsidP="00387142">
            <w:pPr>
              <w:jc w:val="right"/>
              <w:rPr>
                <w:sz w:val="20"/>
                <w:szCs w:val="20"/>
              </w:rPr>
            </w:pPr>
            <w:r w:rsidRPr="008B6A75">
              <w:rPr>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78F6C291" w14:textId="77777777" w:rsidR="00387142" w:rsidRPr="008B6A75" w:rsidRDefault="00387142" w:rsidP="00387142">
            <w:pPr>
              <w:jc w:val="right"/>
              <w:rPr>
                <w:sz w:val="20"/>
                <w:szCs w:val="20"/>
              </w:rPr>
            </w:pPr>
            <w:r w:rsidRPr="008B6A75">
              <w:rPr>
                <w:sz w:val="20"/>
                <w:szCs w:val="20"/>
              </w:rPr>
              <w:t>0,00</w:t>
            </w:r>
          </w:p>
        </w:tc>
      </w:tr>
      <w:tr w:rsidR="00387142" w:rsidRPr="008B6A75" w14:paraId="54BBF549" w14:textId="77777777" w:rsidTr="00387142">
        <w:trPr>
          <w:trHeight w:val="870"/>
        </w:trPr>
        <w:tc>
          <w:tcPr>
            <w:tcW w:w="3261" w:type="dxa"/>
            <w:tcBorders>
              <w:top w:val="nil"/>
              <w:left w:val="single" w:sz="4" w:space="0" w:color="auto"/>
              <w:bottom w:val="single" w:sz="4" w:space="0" w:color="auto"/>
              <w:right w:val="nil"/>
            </w:tcBorders>
            <w:shd w:val="clear" w:color="auto" w:fill="auto"/>
            <w:vAlign w:val="center"/>
            <w:hideMark/>
          </w:tcPr>
          <w:p w14:paraId="032F8FC3" w14:textId="77777777" w:rsidR="00387142" w:rsidRPr="008B6A75" w:rsidRDefault="00387142" w:rsidP="00387142">
            <w:pPr>
              <w:rPr>
                <w:bCs/>
                <w:sz w:val="20"/>
                <w:szCs w:val="20"/>
              </w:rPr>
            </w:pPr>
            <w:r w:rsidRPr="008B6A75">
              <w:rPr>
                <w:bCs/>
                <w:sz w:val="20"/>
                <w:szCs w:val="20"/>
              </w:rPr>
              <w:t>Муниципальная программа "Жилищно-коммунальное хозяйство Куйбышевского района"</w:t>
            </w:r>
          </w:p>
        </w:tc>
        <w:tc>
          <w:tcPr>
            <w:tcW w:w="720" w:type="dxa"/>
            <w:tcBorders>
              <w:top w:val="nil"/>
              <w:left w:val="single" w:sz="4" w:space="0" w:color="auto"/>
              <w:bottom w:val="single" w:sz="4" w:space="0" w:color="auto"/>
              <w:right w:val="nil"/>
            </w:tcBorders>
            <w:shd w:val="clear" w:color="auto" w:fill="auto"/>
            <w:noWrap/>
            <w:vAlign w:val="center"/>
            <w:hideMark/>
          </w:tcPr>
          <w:p w14:paraId="52AAE622" w14:textId="77777777" w:rsidR="00387142" w:rsidRPr="008B6A75" w:rsidRDefault="00387142" w:rsidP="00387142">
            <w:pPr>
              <w:jc w:val="center"/>
              <w:rPr>
                <w:bCs/>
                <w:sz w:val="20"/>
                <w:szCs w:val="20"/>
              </w:rPr>
            </w:pPr>
            <w:r w:rsidRPr="008B6A75">
              <w:rPr>
                <w:bCs/>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14B8C56" w14:textId="77777777" w:rsidR="00387142" w:rsidRPr="008B6A75" w:rsidRDefault="00387142" w:rsidP="00387142">
            <w:pPr>
              <w:jc w:val="center"/>
              <w:rPr>
                <w:bCs/>
                <w:sz w:val="20"/>
                <w:szCs w:val="20"/>
              </w:rPr>
            </w:pPr>
            <w:r w:rsidRPr="008B6A75">
              <w:rPr>
                <w:bCs/>
                <w:sz w:val="20"/>
                <w:szCs w:val="20"/>
              </w:rPr>
              <w:t>02</w:t>
            </w:r>
          </w:p>
        </w:tc>
        <w:tc>
          <w:tcPr>
            <w:tcW w:w="1516" w:type="dxa"/>
            <w:tcBorders>
              <w:top w:val="nil"/>
              <w:left w:val="single" w:sz="4" w:space="0" w:color="auto"/>
              <w:bottom w:val="single" w:sz="4" w:space="0" w:color="auto"/>
              <w:right w:val="nil"/>
            </w:tcBorders>
            <w:shd w:val="clear" w:color="auto" w:fill="auto"/>
            <w:noWrap/>
            <w:vAlign w:val="center"/>
            <w:hideMark/>
          </w:tcPr>
          <w:p w14:paraId="4A536B86" w14:textId="77777777" w:rsidR="00387142" w:rsidRPr="008B6A75" w:rsidRDefault="00387142" w:rsidP="00387142">
            <w:pPr>
              <w:jc w:val="center"/>
              <w:rPr>
                <w:bCs/>
                <w:sz w:val="20"/>
                <w:szCs w:val="20"/>
              </w:rPr>
            </w:pPr>
            <w:r w:rsidRPr="008B6A75">
              <w:rPr>
                <w:bCs/>
                <w:sz w:val="20"/>
                <w:szCs w:val="20"/>
              </w:rPr>
              <w:t>17.0.00.00000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D50DAEE"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1EBCD4E" w14:textId="77777777" w:rsidR="00387142" w:rsidRPr="008B6A75" w:rsidRDefault="00387142" w:rsidP="00387142">
            <w:pPr>
              <w:jc w:val="right"/>
              <w:rPr>
                <w:bCs/>
                <w:sz w:val="20"/>
                <w:szCs w:val="20"/>
              </w:rPr>
            </w:pPr>
            <w:r w:rsidRPr="008B6A75">
              <w:rPr>
                <w:bCs/>
                <w:sz w:val="20"/>
                <w:szCs w:val="20"/>
              </w:rPr>
              <w:t>121 202 659,22</w:t>
            </w:r>
          </w:p>
        </w:tc>
        <w:tc>
          <w:tcPr>
            <w:tcW w:w="992" w:type="dxa"/>
            <w:tcBorders>
              <w:top w:val="nil"/>
              <w:left w:val="single" w:sz="4" w:space="0" w:color="auto"/>
              <w:bottom w:val="single" w:sz="4" w:space="0" w:color="auto"/>
              <w:right w:val="nil"/>
            </w:tcBorders>
            <w:shd w:val="clear" w:color="auto" w:fill="auto"/>
            <w:vAlign w:val="center"/>
            <w:hideMark/>
          </w:tcPr>
          <w:p w14:paraId="6E2FF217" w14:textId="77777777" w:rsidR="00387142" w:rsidRPr="008B6A75" w:rsidRDefault="00387142" w:rsidP="00387142">
            <w:pPr>
              <w:jc w:val="right"/>
              <w:rPr>
                <w:bCs/>
                <w:sz w:val="20"/>
                <w:szCs w:val="20"/>
              </w:rPr>
            </w:pPr>
            <w:r w:rsidRPr="008B6A75">
              <w:rPr>
                <w:bCs/>
                <w:sz w:val="20"/>
                <w:szCs w:val="20"/>
              </w:rPr>
              <w:t>100 580 874,29</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40674482" w14:textId="77777777" w:rsidR="00387142" w:rsidRPr="008B6A75" w:rsidRDefault="00387142" w:rsidP="00387142">
            <w:pPr>
              <w:jc w:val="right"/>
              <w:rPr>
                <w:bCs/>
                <w:sz w:val="20"/>
                <w:szCs w:val="20"/>
              </w:rPr>
            </w:pPr>
            <w:r w:rsidRPr="008B6A75">
              <w:rPr>
                <w:bCs/>
                <w:sz w:val="20"/>
                <w:szCs w:val="20"/>
              </w:rPr>
              <w:t>35 604 160,00</w:t>
            </w:r>
          </w:p>
        </w:tc>
      </w:tr>
      <w:tr w:rsidR="00387142" w:rsidRPr="008B6A75" w14:paraId="3220FC78" w14:textId="77777777" w:rsidTr="00387142">
        <w:trPr>
          <w:trHeight w:val="585"/>
        </w:trPr>
        <w:tc>
          <w:tcPr>
            <w:tcW w:w="3261" w:type="dxa"/>
            <w:tcBorders>
              <w:top w:val="nil"/>
              <w:left w:val="single" w:sz="4" w:space="0" w:color="auto"/>
              <w:bottom w:val="single" w:sz="4" w:space="0" w:color="auto"/>
              <w:right w:val="nil"/>
            </w:tcBorders>
            <w:shd w:val="clear" w:color="auto" w:fill="auto"/>
            <w:vAlign w:val="center"/>
            <w:hideMark/>
          </w:tcPr>
          <w:p w14:paraId="49BDC4FD" w14:textId="77777777" w:rsidR="00387142" w:rsidRPr="008B6A75" w:rsidRDefault="00387142" w:rsidP="00387142">
            <w:pPr>
              <w:rPr>
                <w:bCs/>
                <w:sz w:val="20"/>
                <w:szCs w:val="20"/>
              </w:rPr>
            </w:pPr>
            <w:r w:rsidRPr="008B6A75">
              <w:rPr>
                <w:bCs/>
                <w:sz w:val="20"/>
                <w:szCs w:val="20"/>
              </w:rPr>
              <w:t>Подпрограмма "Чистая вода Куйбышевского района"</w:t>
            </w:r>
          </w:p>
        </w:tc>
        <w:tc>
          <w:tcPr>
            <w:tcW w:w="720" w:type="dxa"/>
            <w:tcBorders>
              <w:top w:val="nil"/>
              <w:left w:val="single" w:sz="4" w:space="0" w:color="auto"/>
              <w:bottom w:val="single" w:sz="4" w:space="0" w:color="auto"/>
              <w:right w:val="nil"/>
            </w:tcBorders>
            <w:shd w:val="clear" w:color="auto" w:fill="auto"/>
            <w:noWrap/>
            <w:vAlign w:val="center"/>
            <w:hideMark/>
          </w:tcPr>
          <w:p w14:paraId="103B0517" w14:textId="77777777" w:rsidR="00387142" w:rsidRPr="008B6A75" w:rsidRDefault="00387142" w:rsidP="00387142">
            <w:pPr>
              <w:jc w:val="center"/>
              <w:rPr>
                <w:bCs/>
                <w:sz w:val="20"/>
                <w:szCs w:val="20"/>
              </w:rPr>
            </w:pPr>
            <w:r w:rsidRPr="008B6A75">
              <w:rPr>
                <w:bCs/>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33EFB67" w14:textId="77777777" w:rsidR="00387142" w:rsidRPr="008B6A75" w:rsidRDefault="00387142" w:rsidP="00387142">
            <w:pPr>
              <w:jc w:val="center"/>
              <w:rPr>
                <w:bCs/>
                <w:sz w:val="20"/>
                <w:szCs w:val="20"/>
              </w:rPr>
            </w:pPr>
            <w:r w:rsidRPr="008B6A75">
              <w:rPr>
                <w:bCs/>
                <w:sz w:val="20"/>
                <w:szCs w:val="20"/>
              </w:rPr>
              <w:t>02</w:t>
            </w:r>
          </w:p>
        </w:tc>
        <w:tc>
          <w:tcPr>
            <w:tcW w:w="1516" w:type="dxa"/>
            <w:tcBorders>
              <w:top w:val="nil"/>
              <w:left w:val="single" w:sz="4" w:space="0" w:color="auto"/>
              <w:bottom w:val="single" w:sz="4" w:space="0" w:color="auto"/>
              <w:right w:val="nil"/>
            </w:tcBorders>
            <w:shd w:val="clear" w:color="auto" w:fill="auto"/>
            <w:noWrap/>
            <w:vAlign w:val="center"/>
            <w:hideMark/>
          </w:tcPr>
          <w:p w14:paraId="623F7329" w14:textId="77777777" w:rsidR="00387142" w:rsidRPr="008B6A75" w:rsidRDefault="00387142" w:rsidP="00387142">
            <w:pPr>
              <w:jc w:val="center"/>
              <w:rPr>
                <w:bCs/>
                <w:sz w:val="20"/>
                <w:szCs w:val="20"/>
              </w:rPr>
            </w:pPr>
            <w:r w:rsidRPr="008B6A75">
              <w:rPr>
                <w:bCs/>
                <w:sz w:val="20"/>
                <w:szCs w:val="20"/>
              </w:rPr>
              <w:t>17.1.00.00000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731D672"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DFC9222" w14:textId="77777777" w:rsidR="00387142" w:rsidRPr="008B6A75" w:rsidRDefault="00387142" w:rsidP="00387142">
            <w:pPr>
              <w:jc w:val="right"/>
              <w:rPr>
                <w:bCs/>
                <w:sz w:val="20"/>
                <w:szCs w:val="20"/>
              </w:rPr>
            </w:pPr>
            <w:r w:rsidRPr="008B6A75">
              <w:rPr>
                <w:bCs/>
                <w:sz w:val="20"/>
                <w:szCs w:val="20"/>
              </w:rPr>
              <w:t>81 165 314,29</w:t>
            </w:r>
          </w:p>
        </w:tc>
        <w:tc>
          <w:tcPr>
            <w:tcW w:w="992" w:type="dxa"/>
            <w:tcBorders>
              <w:top w:val="nil"/>
              <w:left w:val="single" w:sz="4" w:space="0" w:color="auto"/>
              <w:bottom w:val="single" w:sz="4" w:space="0" w:color="auto"/>
              <w:right w:val="nil"/>
            </w:tcBorders>
            <w:shd w:val="clear" w:color="auto" w:fill="auto"/>
            <w:vAlign w:val="center"/>
            <w:hideMark/>
          </w:tcPr>
          <w:p w14:paraId="2D7ED71A" w14:textId="77777777" w:rsidR="00387142" w:rsidRPr="008B6A75" w:rsidRDefault="00387142" w:rsidP="00387142">
            <w:pPr>
              <w:jc w:val="right"/>
              <w:rPr>
                <w:bCs/>
                <w:sz w:val="20"/>
                <w:szCs w:val="20"/>
              </w:rPr>
            </w:pPr>
            <w:r w:rsidRPr="008B6A75">
              <w:rPr>
                <w:bCs/>
                <w:sz w:val="20"/>
                <w:szCs w:val="20"/>
              </w:rPr>
              <w:t>64 976 714,29</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760ED57C" w14:textId="77777777" w:rsidR="00387142" w:rsidRPr="008B6A75" w:rsidRDefault="00387142" w:rsidP="00387142">
            <w:pPr>
              <w:jc w:val="right"/>
              <w:rPr>
                <w:bCs/>
                <w:sz w:val="20"/>
                <w:szCs w:val="20"/>
              </w:rPr>
            </w:pPr>
            <w:r w:rsidRPr="008B6A75">
              <w:rPr>
                <w:bCs/>
                <w:sz w:val="20"/>
                <w:szCs w:val="20"/>
              </w:rPr>
              <w:t>0,00</w:t>
            </w:r>
          </w:p>
        </w:tc>
      </w:tr>
      <w:tr w:rsidR="00387142" w:rsidRPr="008B6A75" w14:paraId="1029A8FC" w14:textId="77777777" w:rsidTr="00387142">
        <w:trPr>
          <w:trHeight w:val="2010"/>
        </w:trPr>
        <w:tc>
          <w:tcPr>
            <w:tcW w:w="3261" w:type="dxa"/>
            <w:tcBorders>
              <w:top w:val="nil"/>
              <w:left w:val="single" w:sz="4" w:space="0" w:color="auto"/>
              <w:bottom w:val="single" w:sz="4" w:space="0" w:color="auto"/>
              <w:right w:val="nil"/>
            </w:tcBorders>
            <w:shd w:val="clear" w:color="auto" w:fill="auto"/>
            <w:vAlign w:val="center"/>
            <w:hideMark/>
          </w:tcPr>
          <w:p w14:paraId="36825C57" w14:textId="77777777" w:rsidR="00387142" w:rsidRPr="008B6A75" w:rsidRDefault="00387142" w:rsidP="00387142">
            <w:pPr>
              <w:rPr>
                <w:bCs/>
                <w:sz w:val="20"/>
                <w:szCs w:val="20"/>
              </w:rPr>
            </w:pPr>
            <w:r w:rsidRPr="008B6A75">
              <w:rPr>
                <w:bCs/>
                <w:sz w:val="20"/>
                <w:szCs w:val="20"/>
              </w:rPr>
              <w:t>Реализация мероприятий по строительству и реконструкции объектов централизованных систем холодного водоснабжения и водоотведения подпрограммы "Чистая вода" государственной программы Новосибирской области "Жилищно-коммунальное хозяйство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14:paraId="421D39CA" w14:textId="77777777" w:rsidR="00387142" w:rsidRPr="008B6A75" w:rsidRDefault="00387142" w:rsidP="00387142">
            <w:pPr>
              <w:jc w:val="center"/>
              <w:rPr>
                <w:bCs/>
                <w:sz w:val="20"/>
                <w:szCs w:val="20"/>
              </w:rPr>
            </w:pPr>
            <w:r w:rsidRPr="008B6A75">
              <w:rPr>
                <w:bCs/>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63EDF75" w14:textId="77777777" w:rsidR="00387142" w:rsidRPr="008B6A75" w:rsidRDefault="00387142" w:rsidP="00387142">
            <w:pPr>
              <w:jc w:val="center"/>
              <w:rPr>
                <w:bCs/>
                <w:sz w:val="20"/>
                <w:szCs w:val="20"/>
              </w:rPr>
            </w:pPr>
            <w:r w:rsidRPr="008B6A75">
              <w:rPr>
                <w:bCs/>
                <w:sz w:val="20"/>
                <w:szCs w:val="20"/>
              </w:rPr>
              <w:t>02</w:t>
            </w:r>
          </w:p>
        </w:tc>
        <w:tc>
          <w:tcPr>
            <w:tcW w:w="1516" w:type="dxa"/>
            <w:tcBorders>
              <w:top w:val="nil"/>
              <w:left w:val="single" w:sz="4" w:space="0" w:color="auto"/>
              <w:bottom w:val="single" w:sz="4" w:space="0" w:color="auto"/>
              <w:right w:val="nil"/>
            </w:tcBorders>
            <w:shd w:val="clear" w:color="auto" w:fill="auto"/>
            <w:noWrap/>
            <w:vAlign w:val="center"/>
            <w:hideMark/>
          </w:tcPr>
          <w:p w14:paraId="650F8CFA" w14:textId="77777777" w:rsidR="00387142" w:rsidRPr="008B6A75" w:rsidRDefault="00387142" w:rsidP="00387142">
            <w:pPr>
              <w:jc w:val="center"/>
              <w:rPr>
                <w:bCs/>
                <w:sz w:val="20"/>
                <w:szCs w:val="20"/>
              </w:rPr>
            </w:pPr>
            <w:r w:rsidRPr="008B6A75">
              <w:rPr>
                <w:bCs/>
                <w:sz w:val="20"/>
                <w:szCs w:val="20"/>
              </w:rPr>
              <w:t>17.1.00.70640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0A04E3B"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0E5E721" w14:textId="77777777" w:rsidR="00387142" w:rsidRPr="008B6A75" w:rsidRDefault="00387142" w:rsidP="00387142">
            <w:pPr>
              <w:jc w:val="right"/>
              <w:rPr>
                <w:bCs/>
                <w:sz w:val="20"/>
                <w:szCs w:val="20"/>
              </w:rPr>
            </w:pPr>
            <w:r w:rsidRPr="008B6A75">
              <w:rPr>
                <w:bCs/>
                <w:sz w:val="20"/>
                <w:szCs w:val="20"/>
              </w:rPr>
              <w:t>79 541 980,00</w:t>
            </w:r>
          </w:p>
        </w:tc>
        <w:tc>
          <w:tcPr>
            <w:tcW w:w="992" w:type="dxa"/>
            <w:tcBorders>
              <w:top w:val="nil"/>
              <w:left w:val="single" w:sz="4" w:space="0" w:color="auto"/>
              <w:bottom w:val="single" w:sz="4" w:space="0" w:color="auto"/>
              <w:right w:val="nil"/>
            </w:tcBorders>
            <w:shd w:val="clear" w:color="auto" w:fill="auto"/>
            <w:vAlign w:val="center"/>
            <w:hideMark/>
          </w:tcPr>
          <w:p w14:paraId="4EE0B195" w14:textId="77777777" w:rsidR="00387142" w:rsidRPr="008B6A75" w:rsidRDefault="00387142" w:rsidP="00387142">
            <w:pPr>
              <w:jc w:val="right"/>
              <w:rPr>
                <w:bCs/>
                <w:sz w:val="20"/>
                <w:szCs w:val="20"/>
              </w:rPr>
            </w:pPr>
            <w:r w:rsidRPr="008B6A75">
              <w:rPr>
                <w:bCs/>
                <w:sz w:val="20"/>
                <w:szCs w:val="20"/>
              </w:rPr>
              <w:t>63 677 180,00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1D097DBE" w14:textId="77777777" w:rsidR="00387142" w:rsidRPr="008B6A75" w:rsidRDefault="00387142" w:rsidP="00387142">
            <w:pPr>
              <w:jc w:val="right"/>
              <w:rPr>
                <w:bCs/>
                <w:sz w:val="20"/>
                <w:szCs w:val="20"/>
              </w:rPr>
            </w:pPr>
            <w:r w:rsidRPr="008B6A75">
              <w:rPr>
                <w:bCs/>
                <w:sz w:val="20"/>
                <w:szCs w:val="20"/>
              </w:rPr>
              <w:t>0,00</w:t>
            </w:r>
          </w:p>
        </w:tc>
      </w:tr>
      <w:tr w:rsidR="00387142" w:rsidRPr="008B6A75" w14:paraId="3E5E783B" w14:textId="77777777" w:rsidTr="00387142">
        <w:trPr>
          <w:trHeight w:val="870"/>
        </w:trPr>
        <w:tc>
          <w:tcPr>
            <w:tcW w:w="3261" w:type="dxa"/>
            <w:tcBorders>
              <w:top w:val="nil"/>
              <w:left w:val="single" w:sz="4" w:space="0" w:color="auto"/>
              <w:bottom w:val="single" w:sz="4" w:space="0" w:color="auto"/>
              <w:right w:val="nil"/>
            </w:tcBorders>
            <w:shd w:val="clear" w:color="auto" w:fill="auto"/>
            <w:vAlign w:val="center"/>
            <w:hideMark/>
          </w:tcPr>
          <w:p w14:paraId="29447F8C" w14:textId="77777777" w:rsidR="00387142" w:rsidRPr="008B6A75" w:rsidRDefault="00387142" w:rsidP="00387142">
            <w:pPr>
              <w:rPr>
                <w:sz w:val="20"/>
                <w:szCs w:val="20"/>
              </w:rPr>
            </w:pPr>
            <w:r w:rsidRPr="008B6A75">
              <w:rPr>
                <w:sz w:val="20"/>
                <w:szCs w:val="20"/>
              </w:rPr>
              <w:t>Капитальные вложения в объекты государственной (муниципальной) собственности</w:t>
            </w:r>
          </w:p>
        </w:tc>
        <w:tc>
          <w:tcPr>
            <w:tcW w:w="720" w:type="dxa"/>
            <w:tcBorders>
              <w:top w:val="nil"/>
              <w:left w:val="single" w:sz="4" w:space="0" w:color="auto"/>
              <w:bottom w:val="single" w:sz="4" w:space="0" w:color="auto"/>
              <w:right w:val="nil"/>
            </w:tcBorders>
            <w:shd w:val="clear" w:color="auto" w:fill="auto"/>
            <w:noWrap/>
            <w:vAlign w:val="center"/>
            <w:hideMark/>
          </w:tcPr>
          <w:p w14:paraId="43DDF9F2" w14:textId="77777777" w:rsidR="00387142" w:rsidRPr="008B6A75" w:rsidRDefault="00387142" w:rsidP="00387142">
            <w:pPr>
              <w:jc w:val="center"/>
              <w:rPr>
                <w:sz w:val="20"/>
                <w:szCs w:val="20"/>
              </w:rPr>
            </w:pPr>
            <w:r w:rsidRPr="008B6A75">
              <w:rPr>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5CA9BD2" w14:textId="77777777" w:rsidR="00387142" w:rsidRPr="008B6A75" w:rsidRDefault="00387142" w:rsidP="00387142">
            <w:pPr>
              <w:jc w:val="center"/>
              <w:rPr>
                <w:sz w:val="20"/>
                <w:szCs w:val="20"/>
              </w:rPr>
            </w:pPr>
            <w:r w:rsidRPr="008B6A75">
              <w:rPr>
                <w:sz w:val="20"/>
                <w:szCs w:val="20"/>
              </w:rPr>
              <w:t>02</w:t>
            </w:r>
          </w:p>
        </w:tc>
        <w:tc>
          <w:tcPr>
            <w:tcW w:w="1516" w:type="dxa"/>
            <w:tcBorders>
              <w:top w:val="nil"/>
              <w:left w:val="single" w:sz="4" w:space="0" w:color="auto"/>
              <w:bottom w:val="single" w:sz="4" w:space="0" w:color="auto"/>
              <w:right w:val="nil"/>
            </w:tcBorders>
            <w:shd w:val="clear" w:color="auto" w:fill="auto"/>
            <w:noWrap/>
            <w:vAlign w:val="center"/>
            <w:hideMark/>
          </w:tcPr>
          <w:p w14:paraId="38C89823" w14:textId="77777777" w:rsidR="00387142" w:rsidRPr="008B6A75" w:rsidRDefault="00387142" w:rsidP="00387142">
            <w:pPr>
              <w:jc w:val="center"/>
              <w:rPr>
                <w:sz w:val="20"/>
                <w:szCs w:val="20"/>
              </w:rPr>
            </w:pPr>
            <w:r w:rsidRPr="008B6A75">
              <w:rPr>
                <w:sz w:val="20"/>
                <w:szCs w:val="20"/>
              </w:rPr>
              <w:t>17.1.00.70640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281502F" w14:textId="77777777" w:rsidR="00387142" w:rsidRPr="008B6A75" w:rsidRDefault="00387142" w:rsidP="00387142">
            <w:pPr>
              <w:jc w:val="center"/>
              <w:rPr>
                <w:sz w:val="20"/>
                <w:szCs w:val="20"/>
              </w:rPr>
            </w:pPr>
            <w:r w:rsidRPr="008B6A75">
              <w:rPr>
                <w:sz w:val="20"/>
                <w:szCs w:val="20"/>
              </w:rPr>
              <w:t>400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5EDC9E8" w14:textId="77777777" w:rsidR="00387142" w:rsidRPr="008B6A75" w:rsidRDefault="00387142" w:rsidP="00387142">
            <w:pPr>
              <w:jc w:val="right"/>
              <w:rPr>
                <w:sz w:val="20"/>
                <w:szCs w:val="20"/>
              </w:rPr>
            </w:pPr>
            <w:r w:rsidRPr="008B6A75">
              <w:rPr>
                <w:sz w:val="20"/>
                <w:szCs w:val="20"/>
              </w:rPr>
              <w:t>79 541 980,00</w:t>
            </w:r>
          </w:p>
        </w:tc>
        <w:tc>
          <w:tcPr>
            <w:tcW w:w="992" w:type="dxa"/>
            <w:tcBorders>
              <w:top w:val="nil"/>
              <w:left w:val="single" w:sz="4" w:space="0" w:color="auto"/>
              <w:bottom w:val="single" w:sz="4" w:space="0" w:color="auto"/>
              <w:right w:val="nil"/>
            </w:tcBorders>
            <w:shd w:val="clear" w:color="auto" w:fill="auto"/>
            <w:vAlign w:val="center"/>
            <w:hideMark/>
          </w:tcPr>
          <w:p w14:paraId="7E6790E9" w14:textId="77777777" w:rsidR="00387142" w:rsidRPr="008B6A75" w:rsidRDefault="00387142" w:rsidP="00387142">
            <w:pPr>
              <w:jc w:val="right"/>
              <w:rPr>
                <w:sz w:val="20"/>
                <w:szCs w:val="20"/>
              </w:rPr>
            </w:pPr>
            <w:r w:rsidRPr="008B6A75">
              <w:rPr>
                <w:sz w:val="20"/>
                <w:szCs w:val="20"/>
              </w:rPr>
              <w:t>63 677 180,00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662F445C" w14:textId="77777777" w:rsidR="00387142" w:rsidRPr="008B6A75" w:rsidRDefault="00387142" w:rsidP="00387142">
            <w:pPr>
              <w:jc w:val="right"/>
              <w:rPr>
                <w:sz w:val="20"/>
                <w:szCs w:val="20"/>
              </w:rPr>
            </w:pPr>
            <w:r w:rsidRPr="008B6A75">
              <w:rPr>
                <w:sz w:val="20"/>
                <w:szCs w:val="20"/>
              </w:rPr>
              <w:t>0,00</w:t>
            </w:r>
          </w:p>
        </w:tc>
      </w:tr>
      <w:tr w:rsidR="00387142" w:rsidRPr="008B6A75" w14:paraId="6B8800F0" w14:textId="77777777" w:rsidTr="00387142">
        <w:trPr>
          <w:trHeight w:val="345"/>
        </w:trPr>
        <w:tc>
          <w:tcPr>
            <w:tcW w:w="3261" w:type="dxa"/>
            <w:tcBorders>
              <w:top w:val="nil"/>
              <w:left w:val="single" w:sz="4" w:space="0" w:color="auto"/>
              <w:bottom w:val="single" w:sz="4" w:space="0" w:color="auto"/>
              <w:right w:val="nil"/>
            </w:tcBorders>
            <w:shd w:val="clear" w:color="auto" w:fill="auto"/>
            <w:vAlign w:val="center"/>
            <w:hideMark/>
          </w:tcPr>
          <w:p w14:paraId="49373E1C" w14:textId="77777777" w:rsidR="00387142" w:rsidRPr="008B6A75" w:rsidRDefault="00387142" w:rsidP="00387142">
            <w:pPr>
              <w:rPr>
                <w:sz w:val="20"/>
                <w:szCs w:val="20"/>
              </w:rPr>
            </w:pPr>
            <w:r w:rsidRPr="008B6A75">
              <w:rPr>
                <w:sz w:val="20"/>
                <w:szCs w:val="20"/>
              </w:rPr>
              <w:t>Бюджетные инвестиции</w:t>
            </w:r>
          </w:p>
        </w:tc>
        <w:tc>
          <w:tcPr>
            <w:tcW w:w="720" w:type="dxa"/>
            <w:tcBorders>
              <w:top w:val="nil"/>
              <w:left w:val="single" w:sz="4" w:space="0" w:color="auto"/>
              <w:bottom w:val="single" w:sz="4" w:space="0" w:color="auto"/>
              <w:right w:val="nil"/>
            </w:tcBorders>
            <w:shd w:val="clear" w:color="auto" w:fill="auto"/>
            <w:noWrap/>
            <w:vAlign w:val="center"/>
            <w:hideMark/>
          </w:tcPr>
          <w:p w14:paraId="6756875E" w14:textId="77777777" w:rsidR="00387142" w:rsidRPr="008B6A75" w:rsidRDefault="00387142" w:rsidP="00387142">
            <w:pPr>
              <w:jc w:val="center"/>
              <w:rPr>
                <w:sz w:val="20"/>
                <w:szCs w:val="20"/>
              </w:rPr>
            </w:pPr>
            <w:r w:rsidRPr="008B6A75">
              <w:rPr>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D94211F" w14:textId="77777777" w:rsidR="00387142" w:rsidRPr="008B6A75" w:rsidRDefault="00387142" w:rsidP="00387142">
            <w:pPr>
              <w:jc w:val="center"/>
              <w:rPr>
                <w:sz w:val="20"/>
                <w:szCs w:val="20"/>
              </w:rPr>
            </w:pPr>
            <w:r w:rsidRPr="008B6A75">
              <w:rPr>
                <w:sz w:val="20"/>
                <w:szCs w:val="20"/>
              </w:rPr>
              <w:t>02</w:t>
            </w:r>
          </w:p>
        </w:tc>
        <w:tc>
          <w:tcPr>
            <w:tcW w:w="1516" w:type="dxa"/>
            <w:tcBorders>
              <w:top w:val="nil"/>
              <w:left w:val="single" w:sz="4" w:space="0" w:color="auto"/>
              <w:bottom w:val="single" w:sz="4" w:space="0" w:color="auto"/>
              <w:right w:val="nil"/>
            </w:tcBorders>
            <w:shd w:val="clear" w:color="auto" w:fill="auto"/>
            <w:noWrap/>
            <w:vAlign w:val="center"/>
            <w:hideMark/>
          </w:tcPr>
          <w:p w14:paraId="36C7ABC2" w14:textId="77777777" w:rsidR="00387142" w:rsidRPr="008B6A75" w:rsidRDefault="00387142" w:rsidP="00387142">
            <w:pPr>
              <w:jc w:val="center"/>
              <w:rPr>
                <w:sz w:val="20"/>
                <w:szCs w:val="20"/>
              </w:rPr>
            </w:pPr>
            <w:r w:rsidRPr="008B6A75">
              <w:rPr>
                <w:sz w:val="20"/>
                <w:szCs w:val="20"/>
              </w:rPr>
              <w:t>17.1.00.70640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514F0F1" w14:textId="77777777" w:rsidR="00387142" w:rsidRPr="008B6A75" w:rsidRDefault="00387142" w:rsidP="00387142">
            <w:pPr>
              <w:jc w:val="center"/>
              <w:rPr>
                <w:sz w:val="20"/>
                <w:szCs w:val="20"/>
              </w:rPr>
            </w:pPr>
            <w:r w:rsidRPr="008B6A75">
              <w:rPr>
                <w:sz w:val="20"/>
                <w:szCs w:val="20"/>
              </w:rPr>
              <w:t>410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F6C219F" w14:textId="77777777" w:rsidR="00387142" w:rsidRPr="008B6A75" w:rsidRDefault="00387142" w:rsidP="00387142">
            <w:pPr>
              <w:jc w:val="right"/>
              <w:rPr>
                <w:sz w:val="20"/>
                <w:szCs w:val="20"/>
              </w:rPr>
            </w:pPr>
            <w:r w:rsidRPr="008B6A75">
              <w:rPr>
                <w:sz w:val="20"/>
                <w:szCs w:val="20"/>
              </w:rPr>
              <w:t>79 541 980,00</w:t>
            </w:r>
          </w:p>
        </w:tc>
        <w:tc>
          <w:tcPr>
            <w:tcW w:w="992" w:type="dxa"/>
            <w:tcBorders>
              <w:top w:val="nil"/>
              <w:left w:val="single" w:sz="4" w:space="0" w:color="auto"/>
              <w:bottom w:val="single" w:sz="4" w:space="0" w:color="auto"/>
              <w:right w:val="nil"/>
            </w:tcBorders>
            <w:shd w:val="clear" w:color="auto" w:fill="auto"/>
            <w:vAlign w:val="center"/>
            <w:hideMark/>
          </w:tcPr>
          <w:p w14:paraId="6252A2F5" w14:textId="77777777" w:rsidR="00387142" w:rsidRPr="008B6A75" w:rsidRDefault="00387142" w:rsidP="00387142">
            <w:pPr>
              <w:jc w:val="right"/>
              <w:rPr>
                <w:sz w:val="20"/>
                <w:szCs w:val="20"/>
              </w:rPr>
            </w:pPr>
            <w:r w:rsidRPr="008B6A75">
              <w:rPr>
                <w:sz w:val="20"/>
                <w:szCs w:val="20"/>
              </w:rPr>
              <w:t>63 677 180,00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174274D0" w14:textId="77777777" w:rsidR="00387142" w:rsidRPr="008B6A75" w:rsidRDefault="00387142" w:rsidP="00387142">
            <w:pPr>
              <w:jc w:val="right"/>
              <w:rPr>
                <w:sz w:val="20"/>
                <w:szCs w:val="20"/>
              </w:rPr>
            </w:pPr>
            <w:r w:rsidRPr="008B6A75">
              <w:rPr>
                <w:sz w:val="20"/>
                <w:szCs w:val="20"/>
              </w:rPr>
              <w:t>0,00</w:t>
            </w:r>
          </w:p>
        </w:tc>
      </w:tr>
      <w:tr w:rsidR="00387142" w:rsidRPr="008B6A75" w14:paraId="41CB3564" w14:textId="77777777" w:rsidTr="00387142">
        <w:trPr>
          <w:trHeight w:val="2295"/>
        </w:trPr>
        <w:tc>
          <w:tcPr>
            <w:tcW w:w="3261" w:type="dxa"/>
            <w:tcBorders>
              <w:top w:val="nil"/>
              <w:left w:val="single" w:sz="4" w:space="0" w:color="auto"/>
              <w:bottom w:val="single" w:sz="4" w:space="0" w:color="auto"/>
              <w:right w:val="nil"/>
            </w:tcBorders>
            <w:shd w:val="clear" w:color="auto" w:fill="auto"/>
            <w:vAlign w:val="center"/>
            <w:hideMark/>
          </w:tcPr>
          <w:p w14:paraId="5B98EBED" w14:textId="77777777" w:rsidR="00387142" w:rsidRPr="008B6A75" w:rsidRDefault="00387142" w:rsidP="00387142">
            <w:pPr>
              <w:rPr>
                <w:bCs/>
                <w:sz w:val="20"/>
                <w:szCs w:val="20"/>
              </w:rPr>
            </w:pPr>
            <w:proofErr w:type="spellStart"/>
            <w:r w:rsidRPr="008B6A75">
              <w:rPr>
                <w:bCs/>
                <w:sz w:val="20"/>
                <w:szCs w:val="20"/>
              </w:rPr>
              <w:t>Софинансирование</w:t>
            </w:r>
            <w:proofErr w:type="spellEnd"/>
            <w:r w:rsidRPr="008B6A75">
              <w:rPr>
                <w:bCs/>
                <w:sz w:val="20"/>
                <w:szCs w:val="20"/>
              </w:rPr>
              <w:t xml:space="preserve"> местного бюджета на реализацию мероприятий по строительству и реконструкции объектов централизованных систем холодного водоснабжения и водоотведения подпрограммы "Чистая вода" государственной программы Новосибирской области "Жилищно-коммунальное хозяйство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14:paraId="149FBCF1" w14:textId="77777777" w:rsidR="00387142" w:rsidRPr="008B6A75" w:rsidRDefault="00387142" w:rsidP="00387142">
            <w:pPr>
              <w:jc w:val="center"/>
              <w:rPr>
                <w:bCs/>
                <w:sz w:val="20"/>
                <w:szCs w:val="20"/>
              </w:rPr>
            </w:pPr>
            <w:r w:rsidRPr="008B6A75">
              <w:rPr>
                <w:bCs/>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F2014DC" w14:textId="77777777" w:rsidR="00387142" w:rsidRPr="008B6A75" w:rsidRDefault="00387142" w:rsidP="00387142">
            <w:pPr>
              <w:jc w:val="center"/>
              <w:rPr>
                <w:bCs/>
                <w:sz w:val="20"/>
                <w:szCs w:val="20"/>
              </w:rPr>
            </w:pPr>
            <w:r w:rsidRPr="008B6A75">
              <w:rPr>
                <w:bCs/>
                <w:sz w:val="20"/>
                <w:szCs w:val="20"/>
              </w:rPr>
              <w:t>02</w:t>
            </w:r>
          </w:p>
        </w:tc>
        <w:tc>
          <w:tcPr>
            <w:tcW w:w="1516" w:type="dxa"/>
            <w:tcBorders>
              <w:top w:val="nil"/>
              <w:left w:val="single" w:sz="4" w:space="0" w:color="auto"/>
              <w:bottom w:val="single" w:sz="4" w:space="0" w:color="auto"/>
              <w:right w:val="nil"/>
            </w:tcBorders>
            <w:shd w:val="clear" w:color="auto" w:fill="auto"/>
            <w:noWrap/>
            <w:vAlign w:val="center"/>
            <w:hideMark/>
          </w:tcPr>
          <w:p w14:paraId="1CCD1550" w14:textId="77777777" w:rsidR="00387142" w:rsidRPr="008B6A75" w:rsidRDefault="00387142" w:rsidP="00387142">
            <w:pPr>
              <w:jc w:val="center"/>
              <w:rPr>
                <w:bCs/>
                <w:sz w:val="20"/>
                <w:szCs w:val="20"/>
              </w:rPr>
            </w:pPr>
            <w:r w:rsidRPr="008B6A75">
              <w:rPr>
                <w:bCs/>
                <w:sz w:val="20"/>
                <w:szCs w:val="20"/>
              </w:rPr>
              <w:t>17.1.00.S0640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2B76C4B"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1C21EA2" w14:textId="77777777" w:rsidR="00387142" w:rsidRPr="008B6A75" w:rsidRDefault="00387142" w:rsidP="00387142">
            <w:pPr>
              <w:jc w:val="right"/>
              <w:rPr>
                <w:bCs/>
                <w:sz w:val="20"/>
                <w:szCs w:val="20"/>
              </w:rPr>
            </w:pPr>
            <w:r w:rsidRPr="008B6A75">
              <w:rPr>
                <w:bCs/>
                <w:sz w:val="20"/>
                <w:szCs w:val="20"/>
              </w:rPr>
              <w:t>1 623 334,29</w:t>
            </w:r>
          </w:p>
        </w:tc>
        <w:tc>
          <w:tcPr>
            <w:tcW w:w="992" w:type="dxa"/>
            <w:tcBorders>
              <w:top w:val="nil"/>
              <w:left w:val="single" w:sz="4" w:space="0" w:color="auto"/>
              <w:bottom w:val="single" w:sz="4" w:space="0" w:color="auto"/>
              <w:right w:val="nil"/>
            </w:tcBorders>
            <w:shd w:val="clear" w:color="auto" w:fill="auto"/>
            <w:vAlign w:val="center"/>
            <w:hideMark/>
          </w:tcPr>
          <w:p w14:paraId="1F1E1F32" w14:textId="77777777" w:rsidR="00387142" w:rsidRPr="008B6A75" w:rsidRDefault="00387142" w:rsidP="00387142">
            <w:pPr>
              <w:jc w:val="right"/>
              <w:rPr>
                <w:bCs/>
                <w:sz w:val="20"/>
                <w:szCs w:val="20"/>
              </w:rPr>
            </w:pPr>
            <w:r w:rsidRPr="008B6A75">
              <w:rPr>
                <w:bCs/>
                <w:sz w:val="20"/>
                <w:szCs w:val="20"/>
              </w:rPr>
              <w:t>1 299 534,29</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619F92AF" w14:textId="77777777" w:rsidR="00387142" w:rsidRPr="008B6A75" w:rsidRDefault="00387142" w:rsidP="00387142">
            <w:pPr>
              <w:jc w:val="right"/>
              <w:rPr>
                <w:bCs/>
                <w:sz w:val="20"/>
                <w:szCs w:val="20"/>
              </w:rPr>
            </w:pPr>
            <w:r w:rsidRPr="008B6A75">
              <w:rPr>
                <w:bCs/>
                <w:sz w:val="20"/>
                <w:szCs w:val="20"/>
              </w:rPr>
              <w:t>0,00</w:t>
            </w:r>
          </w:p>
        </w:tc>
      </w:tr>
      <w:tr w:rsidR="00387142" w:rsidRPr="008B6A75" w14:paraId="279039A4" w14:textId="77777777" w:rsidTr="00387142">
        <w:trPr>
          <w:trHeight w:val="870"/>
        </w:trPr>
        <w:tc>
          <w:tcPr>
            <w:tcW w:w="3261" w:type="dxa"/>
            <w:tcBorders>
              <w:top w:val="nil"/>
              <w:left w:val="single" w:sz="4" w:space="0" w:color="auto"/>
              <w:bottom w:val="single" w:sz="4" w:space="0" w:color="auto"/>
              <w:right w:val="nil"/>
            </w:tcBorders>
            <w:shd w:val="clear" w:color="auto" w:fill="auto"/>
            <w:vAlign w:val="center"/>
            <w:hideMark/>
          </w:tcPr>
          <w:p w14:paraId="2BCC13CC" w14:textId="77777777" w:rsidR="00387142" w:rsidRPr="008B6A75" w:rsidRDefault="00387142" w:rsidP="00387142">
            <w:pPr>
              <w:rPr>
                <w:sz w:val="20"/>
                <w:szCs w:val="20"/>
              </w:rPr>
            </w:pPr>
            <w:r w:rsidRPr="008B6A75">
              <w:rPr>
                <w:sz w:val="20"/>
                <w:szCs w:val="20"/>
              </w:rPr>
              <w:t>Капитальные вложения в объекты государственной (муниципальной) собственности</w:t>
            </w:r>
          </w:p>
        </w:tc>
        <w:tc>
          <w:tcPr>
            <w:tcW w:w="720" w:type="dxa"/>
            <w:tcBorders>
              <w:top w:val="nil"/>
              <w:left w:val="single" w:sz="4" w:space="0" w:color="auto"/>
              <w:bottom w:val="single" w:sz="4" w:space="0" w:color="auto"/>
              <w:right w:val="nil"/>
            </w:tcBorders>
            <w:shd w:val="clear" w:color="auto" w:fill="auto"/>
            <w:noWrap/>
            <w:vAlign w:val="center"/>
            <w:hideMark/>
          </w:tcPr>
          <w:p w14:paraId="4F20441D" w14:textId="77777777" w:rsidR="00387142" w:rsidRPr="008B6A75" w:rsidRDefault="00387142" w:rsidP="00387142">
            <w:pPr>
              <w:jc w:val="center"/>
              <w:rPr>
                <w:sz w:val="20"/>
                <w:szCs w:val="20"/>
              </w:rPr>
            </w:pPr>
            <w:r w:rsidRPr="008B6A75">
              <w:rPr>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3E1DF8F" w14:textId="77777777" w:rsidR="00387142" w:rsidRPr="008B6A75" w:rsidRDefault="00387142" w:rsidP="00387142">
            <w:pPr>
              <w:jc w:val="center"/>
              <w:rPr>
                <w:sz w:val="20"/>
                <w:szCs w:val="20"/>
              </w:rPr>
            </w:pPr>
            <w:r w:rsidRPr="008B6A75">
              <w:rPr>
                <w:sz w:val="20"/>
                <w:szCs w:val="20"/>
              </w:rPr>
              <w:t>02</w:t>
            </w:r>
          </w:p>
        </w:tc>
        <w:tc>
          <w:tcPr>
            <w:tcW w:w="1516" w:type="dxa"/>
            <w:tcBorders>
              <w:top w:val="nil"/>
              <w:left w:val="single" w:sz="4" w:space="0" w:color="auto"/>
              <w:bottom w:val="single" w:sz="4" w:space="0" w:color="auto"/>
              <w:right w:val="nil"/>
            </w:tcBorders>
            <w:shd w:val="clear" w:color="auto" w:fill="auto"/>
            <w:noWrap/>
            <w:vAlign w:val="center"/>
            <w:hideMark/>
          </w:tcPr>
          <w:p w14:paraId="2B4A2E51" w14:textId="77777777" w:rsidR="00387142" w:rsidRPr="008B6A75" w:rsidRDefault="00387142" w:rsidP="00387142">
            <w:pPr>
              <w:jc w:val="center"/>
              <w:rPr>
                <w:sz w:val="20"/>
                <w:szCs w:val="20"/>
              </w:rPr>
            </w:pPr>
            <w:r w:rsidRPr="008B6A75">
              <w:rPr>
                <w:sz w:val="20"/>
                <w:szCs w:val="20"/>
              </w:rPr>
              <w:t>17.1.00.S0640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7DFAA33" w14:textId="77777777" w:rsidR="00387142" w:rsidRPr="008B6A75" w:rsidRDefault="00387142" w:rsidP="00387142">
            <w:pPr>
              <w:jc w:val="center"/>
              <w:rPr>
                <w:sz w:val="20"/>
                <w:szCs w:val="20"/>
              </w:rPr>
            </w:pPr>
            <w:r w:rsidRPr="008B6A75">
              <w:rPr>
                <w:sz w:val="20"/>
                <w:szCs w:val="20"/>
              </w:rPr>
              <w:t>400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A913906" w14:textId="77777777" w:rsidR="00387142" w:rsidRPr="008B6A75" w:rsidRDefault="00387142" w:rsidP="00387142">
            <w:pPr>
              <w:jc w:val="right"/>
              <w:rPr>
                <w:sz w:val="20"/>
                <w:szCs w:val="20"/>
              </w:rPr>
            </w:pPr>
            <w:r w:rsidRPr="008B6A75">
              <w:rPr>
                <w:sz w:val="20"/>
                <w:szCs w:val="20"/>
              </w:rPr>
              <w:t>1 623 334,29</w:t>
            </w:r>
          </w:p>
        </w:tc>
        <w:tc>
          <w:tcPr>
            <w:tcW w:w="992" w:type="dxa"/>
            <w:tcBorders>
              <w:top w:val="nil"/>
              <w:left w:val="single" w:sz="4" w:space="0" w:color="auto"/>
              <w:bottom w:val="single" w:sz="4" w:space="0" w:color="auto"/>
              <w:right w:val="nil"/>
            </w:tcBorders>
            <w:shd w:val="clear" w:color="auto" w:fill="auto"/>
            <w:vAlign w:val="center"/>
            <w:hideMark/>
          </w:tcPr>
          <w:p w14:paraId="7045747E" w14:textId="77777777" w:rsidR="00387142" w:rsidRPr="008B6A75" w:rsidRDefault="00387142" w:rsidP="00387142">
            <w:pPr>
              <w:jc w:val="right"/>
              <w:rPr>
                <w:sz w:val="20"/>
                <w:szCs w:val="20"/>
              </w:rPr>
            </w:pPr>
            <w:r w:rsidRPr="008B6A75">
              <w:rPr>
                <w:sz w:val="20"/>
                <w:szCs w:val="20"/>
              </w:rPr>
              <w:t>1 299 534,29</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3392F365" w14:textId="77777777" w:rsidR="00387142" w:rsidRPr="008B6A75" w:rsidRDefault="00387142" w:rsidP="00387142">
            <w:pPr>
              <w:jc w:val="right"/>
              <w:rPr>
                <w:sz w:val="20"/>
                <w:szCs w:val="20"/>
              </w:rPr>
            </w:pPr>
            <w:r w:rsidRPr="008B6A75">
              <w:rPr>
                <w:sz w:val="20"/>
                <w:szCs w:val="20"/>
              </w:rPr>
              <w:t>0,00</w:t>
            </w:r>
          </w:p>
        </w:tc>
      </w:tr>
      <w:tr w:rsidR="00387142" w:rsidRPr="008B6A75" w14:paraId="2FD1BABA" w14:textId="77777777" w:rsidTr="00387142">
        <w:trPr>
          <w:trHeight w:val="345"/>
        </w:trPr>
        <w:tc>
          <w:tcPr>
            <w:tcW w:w="3261" w:type="dxa"/>
            <w:tcBorders>
              <w:top w:val="nil"/>
              <w:left w:val="single" w:sz="4" w:space="0" w:color="auto"/>
              <w:bottom w:val="single" w:sz="4" w:space="0" w:color="auto"/>
              <w:right w:val="nil"/>
            </w:tcBorders>
            <w:shd w:val="clear" w:color="auto" w:fill="auto"/>
            <w:vAlign w:val="center"/>
            <w:hideMark/>
          </w:tcPr>
          <w:p w14:paraId="63001B26" w14:textId="77777777" w:rsidR="00387142" w:rsidRPr="008B6A75" w:rsidRDefault="00387142" w:rsidP="00387142">
            <w:pPr>
              <w:rPr>
                <w:sz w:val="20"/>
                <w:szCs w:val="20"/>
              </w:rPr>
            </w:pPr>
            <w:r w:rsidRPr="008B6A75">
              <w:rPr>
                <w:sz w:val="20"/>
                <w:szCs w:val="20"/>
              </w:rPr>
              <w:t>Бюджетные инвестиции</w:t>
            </w:r>
          </w:p>
        </w:tc>
        <w:tc>
          <w:tcPr>
            <w:tcW w:w="720" w:type="dxa"/>
            <w:tcBorders>
              <w:top w:val="nil"/>
              <w:left w:val="single" w:sz="4" w:space="0" w:color="auto"/>
              <w:bottom w:val="single" w:sz="4" w:space="0" w:color="auto"/>
              <w:right w:val="nil"/>
            </w:tcBorders>
            <w:shd w:val="clear" w:color="auto" w:fill="auto"/>
            <w:noWrap/>
            <w:vAlign w:val="center"/>
            <w:hideMark/>
          </w:tcPr>
          <w:p w14:paraId="161E6117" w14:textId="77777777" w:rsidR="00387142" w:rsidRPr="008B6A75" w:rsidRDefault="00387142" w:rsidP="00387142">
            <w:pPr>
              <w:jc w:val="center"/>
              <w:rPr>
                <w:sz w:val="20"/>
                <w:szCs w:val="20"/>
              </w:rPr>
            </w:pPr>
            <w:r w:rsidRPr="008B6A75">
              <w:rPr>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67F727E" w14:textId="77777777" w:rsidR="00387142" w:rsidRPr="008B6A75" w:rsidRDefault="00387142" w:rsidP="00387142">
            <w:pPr>
              <w:jc w:val="center"/>
              <w:rPr>
                <w:sz w:val="20"/>
                <w:szCs w:val="20"/>
              </w:rPr>
            </w:pPr>
            <w:r w:rsidRPr="008B6A75">
              <w:rPr>
                <w:sz w:val="20"/>
                <w:szCs w:val="20"/>
              </w:rPr>
              <w:t>02</w:t>
            </w:r>
          </w:p>
        </w:tc>
        <w:tc>
          <w:tcPr>
            <w:tcW w:w="1516" w:type="dxa"/>
            <w:tcBorders>
              <w:top w:val="nil"/>
              <w:left w:val="single" w:sz="4" w:space="0" w:color="auto"/>
              <w:bottom w:val="single" w:sz="4" w:space="0" w:color="auto"/>
              <w:right w:val="nil"/>
            </w:tcBorders>
            <w:shd w:val="clear" w:color="auto" w:fill="auto"/>
            <w:noWrap/>
            <w:vAlign w:val="center"/>
            <w:hideMark/>
          </w:tcPr>
          <w:p w14:paraId="02581C07" w14:textId="77777777" w:rsidR="00387142" w:rsidRPr="008B6A75" w:rsidRDefault="00387142" w:rsidP="00387142">
            <w:pPr>
              <w:jc w:val="center"/>
              <w:rPr>
                <w:sz w:val="20"/>
                <w:szCs w:val="20"/>
              </w:rPr>
            </w:pPr>
            <w:r w:rsidRPr="008B6A75">
              <w:rPr>
                <w:sz w:val="20"/>
                <w:szCs w:val="20"/>
              </w:rPr>
              <w:t>17.1.00.S0640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937DA44" w14:textId="77777777" w:rsidR="00387142" w:rsidRPr="008B6A75" w:rsidRDefault="00387142" w:rsidP="00387142">
            <w:pPr>
              <w:jc w:val="center"/>
              <w:rPr>
                <w:sz w:val="20"/>
                <w:szCs w:val="20"/>
              </w:rPr>
            </w:pPr>
            <w:r w:rsidRPr="008B6A75">
              <w:rPr>
                <w:sz w:val="20"/>
                <w:szCs w:val="20"/>
              </w:rPr>
              <w:t>410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EBD0C24" w14:textId="77777777" w:rsidR="00387142" w:rsidRPr="008B6A75" w:rsidRDefault="00387142" w:rsidP="00387142">
            <w:pPr>
              <w:jc w:val="right"/>
              <w:rPr>
                <w:sz w:val="20"/>
                <w:szCs w:val="20"/>
              </w:rPr>
            </w:pPr>
            <w:r w:rsidRPr="008B6A75">
              <w:rPr>
                <w:sz w:val="20"/>
                <w:szCs w:val="20"/>
              </w:rPr>
              <w:t>1 623 334,29</w:t>
            </w:r>
          </w:p>
        </w:tc>
        <w:tc>
          <w:tcPr>
            <w:tcW w:w="992" w:type="dxa"/>
            <w:tcBorders>
              <w:top w:val="nil"/>
              <w:left w:val="single" w:sz="4" w:space="0" w:color="auto"/>
              <w:bottom w:val="single" w:sz="4" w:space="0" w:color="auto"/>
              <w:right w:val="nil"/>
            </w:tcBorders>
            <w:shd w:val="clear" w:color="auto" w:fill="auto"/>
            <w:vAlign w:val="center"/>
            <w:hideMark/>
          </w:tcPr>
          <w:p w14:paraId="75879CB4" w14:textId="77777777" w:rsidR="00387142" w:rsidRPr="008B6A75" w:rsidRDefault="00387142" w:rsidP="00387142">
            <w:pPr>
              <w:jc w:val="right"/>
              <w:rPr>
                <w:sz w:val="20"/>
                <w:szCs w:val="20"/>
              </w:rPr>
            </w:pPr>
            <w:r w:rsidRPr="008B6A75">
              <w:rPr>
                <w:sz w:val="20"/>
                <w:szCs w:val="20"/>
              </w:rPr>
              <w:t>1 299 534,29</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6E939BED" w14:textId="77777777" w:rsidR="00387142" w:rsidRPr="008B6A75" w:rsidRDefault="00387142" w:rsidP="00387142">
            <w:pPr>
              <w:jc w:val="right"/>
              <w:rPr>
                <w:sz w:val="20"/>
                <w:szCs w:val="20"/>
              </w:rPr>
            </w:pPr>
            <w:r w:rsidRPr="008B6A75">
              <w:rPr>
                <w:sz w:val="20"/>
                <w:szCs w:val="20"/>
              </w:rPr>
              <w:t>0,00</w:t>
            </w:r>
          </w:p>
        </w:tc>
      </w:tr>
      <w:tr w:rsidR="00387142" w:rsidRPr="008B6A75" w14:paraId="76D62322" w14:textId="77777777" w:rsidTr="00387142">
        <w:trPr>
          <w:trHeight w:val="870"/>
        </w:trPr>
        <w:tc>
          <w:tcPr>
            <w:tcW w:w="3261" w:type="dxa"/>
            <w:tcBorders>
              <w:top w:val="nil"/>
              <w:left w:val="single" w:sz="4" w:space="0" w:color="auto"/>
              <w:bottom w:val="single" w:sz="4" w:space="0" w:color="auto"/>
              <w:right w:val="nil"/>
            </w:tcBorders>
            <w:shd w:val="clear" w:color="auto" w:fill="auto"/>
            <w:vAlign w:val="center"/>
            <w:hideMark/>
          </w:tcPr>
          <w:p w14:paraId="1BF52D24" w14:textId="77777777" w:rsidR="00387142" w:rsidRPr="008B6A75" w:rsidRDefault="00387142" w:rsidP="00387142">
            <w:pPr>
              <w:rPr>
                <w:bCs/>
                <w:sz w:val="20"/>
                <w:szCs w:val="20"/>
              </w:rPr>
            </w:pPr>
            <w:r w:rsidRPr="008B6A75">
              <w:rPr>
                <w:bCs/>
                <w:sz w:val="20"/>
                <w:szCs w:val="20"/>
              </w:rPr>
              <w:t>Подпрограмма "Безопасность жилищно-коммунального хозяйства Куйбышевского района"</w:t>
            </w:r>
          </w:p>
        </w:tc>
        <w:tc>
          <w:tcPr>
            <w:tcW w:w="720" w:type="dxa"/>
            <w:tcBorders>
              <w:top w:val="nil"/>
              <w:left w:val="single" w:sz="4" w:space="0" w:color="auto"/>
              <w:bottom w:val="single" w:sz="4" w:space="0" w:color="auto"/>
              <w:right w:val="nil"/>
            </w:tcBorders>
            <w:shd w:val="clear" w:color="auto" w:fill="auto"/>
            <w:noWrap/>
            <w:vAlign w:val="center"/>
            <w:hideMark/>
          </w:tcPr>
          <w:p w14:paraId="27D18111" w14:textId="77777777" w:rsidR="00387142" w:rsidRPr="008B6A75" w:rsidRDefault="00387142" w:rsidP="00387142">
            <w:pPr>
              <w:jc w:val="center"/>
              <w:rPr>
                <w:bCs/>
                <w:sz w:val="20"/>
                <w:szCs w:val="20"/>
              </w:rPr>
            </w:pPr>
            <w:r w:rsidRPr="008B6A75">
              <w:rPr>
                <w:bCs/>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B512B7D" w14:textId="77777777" w:rsidR="00387142" w:rsidRPr="008B6A75" w:rsidRDefault="00387142" w:rsidP="00387142">
            <w:pPr>
              <w:jc w:val="center"/>
              <w:rPr>
                <w:bCs/>
                <w:sz w:val="20"/>
                <w:szCs w:val="20"/>
              </w:rPr>
            </w:pPr>
            <w:r w:rsidRPr="008B6A75">
              <w:rPr>
                <w:bCs/>
                <w:sz w:val="20"/>
                <w:szCs w:val="20"/>
              </w:rPr>
              <w:t>02</w:t>
            </w:r>
          </w:p>
        </w:tc>
        <w:tc>
          <w:tcPr>
            <w:tcW w:w="1516" w:type="dxa"/>
            <w:tcBorders>
              <w:top w:val="nil"/>
              <w:left w:val="single" w:sz="4" w:space="0" w:color="auto"/>
              <w:bottom w:val="single" w:sz="4" w:space="0" w:color="auto"/>
              <w:right w:val="nil"/>
            </w:tcBorders>
            <w:shd w:val="clear" w:color="auto" w:fill="auto"/>
            <w:noWrap/>
            <w:vAlign w:val="center"/>
            <w:hideMark/>
          </w:tcPr>
          <w:p w14:paraId="63FE2ABB" w14:textId="77777777" w:rsidR="00387142" w:rsidRPr="008B6A75" w:rsidRDefault="00387142" w:rsidP="00387142">
            <w:pPr>
              <w:jc w:val="center"/>
              <w:rPr>
                <w:bCs/>
                <w:sz w:val="20"/>
                <w:szCs w:val="20"/>
              </w:rPr>
            </w:pPr>
            <w:r w:rsidRPr="008B6A75">
              <w:rPr>
                <w:bCs/>
                <w:sz w:val="20"/>
                <w:szCs w:val="20"/>
              </w:rPr>
              <w:t>17.3.00.00000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8BA3D59"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BD04B03" w14:textId="77777777" w:rsidR="00387142" w:rsidRPr="008B6A75" w:rsidRDefault="00387142" w:rsidP="00387142">
            <w:pPr>
              <w:jc w:val="right"/>
              <w:rPr>
                <w:bCs/>
                <w:sz w:val="20"/>
                <w:szCs w:val="20"/>
              </w:rPr>
            </w:pPr>
            <w:r w:rsidRPr="008B6A75">
              <w:rPr>
                <w:bCs/>
                <w:sz w:val="20"/>
                <w:szCs w:val="20"/>
              </w:rPr>
              <w:t>40 037 344,93</w:t>
            </w:r>
          </w:p>
        </w:tc>
        <w:tc>
          <w:tcPr>
            <w:tcW w:w="992" w:type="dxa"/>
            <w:tcBorders>
              <w:top w:val="nil"/>
              <w:left w:val="single" w:sz="4" w:space="0" w:color="auto"/>
              <w:bottom w:val="single" w:sz="4" w:space="0" w:color="auto"/>
              <w:right w:val="nil"/>
            </w:tcBorders>
            <w:shd w:val="clear" w:color="auto" w:fill="auto"/>
            <w:vAlign w:val="center"/>
            <w:hideMark/>
          </w:tcPr>
          <w:p w14:paraId="50DA7719" w14:textId="77777777" w:rsidR="00387142" w:rsidRPr="008B6A75" w:rsidRDefault="00387142" w:rsidP="00387142">
            <w:pPr>
              <w:jc w:val="right"/>
              <w:rPr>
                <w:bCs/>
                <w:sz w:val="20"/>
                <w:szCs w:val="20"/>
              </w:rPr>
            </w:pPr>
            <w:r w:rsidRPr="008B6A75">
              <w:rPr>
                <w:bCs/>
                <w:sz w:val="20"/>
                <w:szCs w:val="20"/>
              </w:rPr>
              <w:t>35 604 160,00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6817DF15" w14:textId="77777777" w:rsidR="00387142" w:rsidRPr="008B6A75" w:rsidRDefault="00387142" w:rsidP="00387142">
            <w:pPr>
              <w:jc w:val="right"/>
              <w:rPr>
                <w:bCs/>
                <w:sz w:val="20"/>
                <w:szCs w:val="20"/>
              </w:rPr>
            </w:pPr>
            <w:r w:rsidRPr="008B6A75">
              <w:rPr>
                <w:bCs/>
                <w:sz w:val="20"/>
                <w:szCs w:val="20"/>
              </w:rPr>
              <w:t>35 604 160,00</w:t>
            </w:r>
          </w:p>
        </w:tc>
      </w:tr>
      <w:tr w:rsidR="00387142" w:rsidRPr="008B6A75" w14:paraId="1BB46279" w14:textId="77777777" w:rsidTr="00387142">
        <w:trPr>
          <w:trHeight w:val="2295"/>
        </w:trPr>
        <w:tc>
          <w:tcPr>
            <w:tcW w:w="3261" w:type="dxa"/>
            <w:tcBorders>
              <w:top w:val="nil"/>
              <w:left w:val="single" w:sz="4" w:space="0" w:color="auto"/>
              <w:bottom w:val="single" w:sz="4" w:space="0" w:color="auto"/>
              <w:right w:val="nil"/>
            </w:tcBorders>
            <w:shd w:val="clear" w:color="auto" w:fill="auto"/>
            <w:vAlign w:val="center"/>
            <w:hideMark/>
          </w:tcPr>
          <w:p w14:paraId="100ECEE2" w14:textId="77777777" w:rsidR="00387142" w:rsidRPr="008B6A75" w:rsidRDefault="00387142" w:rsidP="00387142">
            <w:pPr>
              <w:rPr>
                <w:bCs/>
                <w:sz w:val="20"/>
                <w:szCs w:val="20"/>
              </w:rPr>
            </w:pPr>
            <w:r w:rsidRPr="008B6A75">
              <w:rPr>
                <w:bCs/>
                <w:sz w:val="20"/>
                <w:szCs w:val="20"/>
              </w:rPr>
              <w:lastRenderedPageBreak/>
              <w:t>Реализация мероприятий по организации функционирования систем жизнеобеспечения и снабжению населения топливом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14:paraId="23236D93" w14:textId="77777777" w:rsidR="00387142" w:rsidRPr="008B6A75" w:rsidRDefault="00387142" w:rsidP="00387142">
            <w:pPr>
              <w:jc w:val="center"/>
              <w:rPr>
                <w:bCs/>
                <w:sz w:val="20"/>
                <w:szCs w:val="20"/>
              </w:rPr>
            </w:pPr>
            <w:r w:rsidRPr="008B6A75">
              <w:rPr>
                <w:bCs/>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12F6018" w14:textId="77777777" w:rsidR="00387142" w:rsidRPr="008B6A75" w:rsidRDefault="00387142" w:rsidP="00387142">
            <w:pPr>
              <w:jc w:val="center"/>
              <w:rPr>
                <w:bCs/>
                <w:sz w:val="20"/>
                <w:szCs w:val="20"/>
              </w:rPr>
            </w:pPr>
            <w:r w:rsidRPr="008B6A75">
              <w:rPr>
                <w:bCs/>
                <w:sz w:val="20"/>
                <w:szCs w:val="20"/>
              </w:rPr>
              <w:t>02</w:t>
            </w:r>
          </w:p>
        </w:tc>
        <w:tc>
          <w:tcPr>
            <w:tcW w:w="1516" w:type="dxa"/>
            <w:tcBorders>
              <w:top w:val="nil"/>
              <w:left w:val="single" w:sz="4" w:space="0" w:color="auto"/>
              <w:bottom w:val="single" w:sz="4" w:space="0" w:color="auto"/>
              <w:right w:val="nil"/>
            </w:tcBorders>
            <w:shd w:val="clear" w:color="auto" w:fill="auto"/>
            <w:noWrap/>
            <w:vAlign w:val="center"/>
            <w:hideMark/>
          </w:tcPr>
          <w:p w14:paraId="31863B55" w14:textId="77777777" w:rsidR="00387142" w:rsidRPr="008B6A75" w:rsidRDefault="00387142" w:rsidP="00387142">
            <w:pPr>
              <w:jc w:val="center"/>
              <w:rPr>
                <w:bCs/>
                <w:sz w:val="20"/>
                <w:szCs w:val="20"/>
              </w:rPr>
            </w:pPr>
            <w:r w:rsidRPr="008B6A75">
              <w:rPr>
                <w:bCs/>
                <w:sz w:val="20"/>
                <w:szCs w:val="20"/>
              </w:rPr>
              <w:t>17.3.00.70490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59EF1B7"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DABB80C" w14:textId="77777777" w:rsidR="00387142" w:rsidRPr="008B6A75" w:rsidRDefault="00387142" w:rsidP="00387142">
            <w:pPr>
              <w:jc w:val="right"/>
              <w:rPr>
                <w:bCs/>
                <w:sz w:val="20"/>
                <w:szCs w:val="20"/>
              </w:rPr>
            </w:pPr>
            <w:r w:rsidRPr="008B6A75">
              <w:rPr>
                <w:bCs/>
                <w:sz w:val="20"/>
                <w:szCs w:val="20"/>
              </w:rPr>
              <w:t>29 962 877,00</w:t>
            </w:r>
          </w:p>
        </w:tc>
        <w:tc>
          <w:tcPr>
            <w:tcW w:w="992" w:type="dxa"/>
            <w:tcBorders>
              <w:top w:val="nil"/>
              <w:left w:val="single" w:sz="4" w:space="0" w:color="auto"/>
              <w:bottom w:val="single" w:sz="4" w:space="0" w:color="auto"/>
              <w:right w:val="nil"/>
            </w:tcBorders>
            <w:shd w:val="clear" w:color="auto" w:fill="auto"/>
            <w:vAlign w:val="center"/>
            <w:hideMark/>
          </w:tcPr>
          <w:p w14:paraId="7FC07188" w14:textId="77777777" w:rsidR="00387142" w:rsidRPr="008B6A75" w:rsidRDefault="00387142" w:rsidP="00387142">
            <w:pPr>
              <w:jc w:val="right"/>
              <w:rPr>
                <w:bCs/>
                <w:sz w:val="20"/>
                <w:szCs w:val="20"/>
              </w:rPr>
            </w:pPr>
            <w:r w:rsidRPr="008B6A75">
              <w:rPr>
                <w:bCs/>
                <w:sz w:val="20"/>
                <w:szCs w:val="20"/>
              </w:rPr>
              <w:t>25 952 760,00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14D0720F" w14:textId="77777777" w:rsidR="00387142" w:rsidRPr="008B6A75" w:rsidRDefault="00387142" w:rsidP="00387142">
            <w:pPr>
              <w:jc w:val="right"/>
              <w:rPr>
                <w:bCs/>
                <w:sz w:val="20"/>
                <w:szCs w:val="20"/>
              </w:rPr>
            </w:pPr>
            <w:r w:rsidRPr="008B6A75">
              <w:rPr>
                <w:bCs/>
                <w:sz w:val="20"/>
                <w:szCs w:val="20"/>
              </w:rPr>
              <w:t>25 952 760,00</w:t>
            </w:r>
          </w:p>
        </w:tc>
      </w:tr>
      <w:tr w:rsidR="00387142" w:rsidRPr="008B6A75" w14:paraId="272AF679" w14:textId="77777777" w:rsidTr="00387142">
        <w:trPr>
          <w:trHeight w:val="345"/>
        </w:trPr>
        <w:tc>
          <w:tcPr>
            <w:tcW w:w="3261" w:type="dxa"/>
            <w:tcBorders>
              <w:top w:val="nil"/>
              <w:left w:val="single" w:sz="4" w:space="0" w:color="auto"/>
              <w:bottom w:val="single" w:sz="4" w:space="0" w:color="auto"/>
              <w:right w:val="nil"/>
            </w:tcBorders>
            <w:shd w:val="clear" w:color="auto" w:fill="auto"/>
            <w:vAlign w:val="center"/>
            <w:hideMark/>
          </w:tcPr>
          <w:p w14:paraId="72327832" w14:textId="77777777" w:rsidR="00387142" w:rsidRPr="008B6A75" w:rsidRDefault="00387142" w:rsidP="00387142">
            <w:pPr>
              <w:rPr>
                <w:sz w:val="20"/>
                <w:szCs w:val="20"/>
              </w:rPr>
            </w:pPr>
            <w:r w:rsidRPr="008B6A75">
              <w:rPr>
                <w:sz w:val="20"/>
                <w:szCs w:val="20"/>
              </w:rPr>
              <w:t>Межбюджетные трансферты</w:t>
            </w:r>
          </w:p>
        </w:tc>
        <w:tc>
          <w:tcPr>
            <w:tcW w:w="720" w:type="dxa"/>
            <w:tcBorders>
              <w:top w:val="nil"/>
              <w:left w:val="single" w:sz="4" w:space="0" w:color="auto"/>
              <w:bottom w:val="single" w:sz="4" w:space="0" w:color="auto"/>
              <w:right w:val="nil"/>
            </w:tcBorders>
            <w:shd w:val="clear" w:color="auto" w:fill="auto"/>
            <w:noWrap/>
            <w:vAlign w:val="center"/>
            <w:hideMark/>
          </w:tcPr>
          <w:p w14:paraId="153A17DE" w14:textId="77777777" w:rsidR="00387142" w:rsidRPr="008B6A75" w:rsidRDefault="00387142" w:rsidP="00387142">
            <w:pPr>
              <w:jc w:val="center"/>
              <w:rPr>
                <w:sz w:val="20"/>
                <w:szCs w:val="20"/>
              </w:rPr>
            </w:pPr>
            <w:r w:rsidRPr="008B6A75">
              <w:rPr>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0B2634E" w14:textId="77777777" w:rsidR="00387142" w:rsidRPr="008B6A75" w:rsidRDefault="00387142" w:rsidP="00387142">
            <w:pPr>
              <w:jc w:val="center"/>
              <w:rPr>
                <w:sz w:val="20"/>
                <w:szCs w:val="20"/>
              </w:rPr>
            </w:pPr>
            <w:r w:rsidRPr="008B6A75">
              <w:rPr>
                <w:sz w:val="20"/>
                <w:szCs w:val="20"/>
              </w:rPr>
              <w:t>02</w:t>
            </w:r>
          </w:p>
        </w:tc>
        <w:tc>
          <w:tcPr>
            <w:tcW w:w="1516" w:type="dxa"/>
            <w:tcBorders>
              <w:top w:val="nil"/>
              <w:left w:val="single" w:sz="4" w:space="0" w:color="auto"/>
              <w:bottom w:val="single" w:sz="4" w:space="0" w:color="auto"/>
              <w:right w:val="nil"/>
            </w:tcBorders>
            <w:shd w:val="clear" w:color="auto" w:fill="auto"/>
            <w:noWrap/>
            <w:vAlign w:val="center"/>
            <w:hideMark/>
          </w:tcPr>
          <w:p w14:paraId="0698A85E" w14:textId="77777777" w:rsidR="00387142" w:rsidRPr="008B6A75" w:rsidRDefault="00387142" w:rsidP="00387142">
            <w:pPr>
              <w:jc w:val="center"/>
              <w:rPr>
                <w:sz w:val="20"/>
                <w:szCs w:val="20"/>
              </w:rPr>
            </w:pPr>
            <w:r w:rsidRPr="008B6A75">
              <w:rPr>
                <w:sz w:val="20"/>
                <w:szCs w:val="20"/>
              </w:rPr>
              <w:t>17.3.00.70490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97FC989" w14:textId="77777777" w:rsidR="00387142" w:rsidRPr="008B6A75" w:rsidRDefault="00387142" w:rsidP="00387142">
            <w:pPr>
              <w:jc w:val="center"/>
              <w:rPr>
                <w:sz w:val="20"/>
                <w:szCs w:val="20"/>
              </w:rPr>
            </w:pPr>
            <w:r w:rsidRPr="008B6A75">
              <w:rPr>
                <w:sz w:val="20"/>
                <w:szCs w:val="20"/>
              </w:rPr>
              <w:t>500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66346C4" w14:textId="77777777" w:rsidR="00387142" w:rsidRPr="008B6A75" w:rsidRDefault="00387142" w:rsidP="00387142">
            <w:pPr>
              <w:jc w:val="right"/>
              <w:rPr>
                <w:sz w:val="20"/>
                <w:szCs w:val="20"/>
              </w:rPr>
            </w:pPr>
            <w:r w:rsidRPr="008B6A75">
              <w:rPr>
                <w:sz w:val="20"/>
                <w:szCs w:val="20"/>
              </w:rPr>
              <w:t>12 916 217,00</w:t>
            </w:r>
          </w:p>
        </w:tc>
        <w:tc>
          <w:tcPr>
            <w:tcW w:w="992" w:type="dxa"/>
            <w:tcBorders>
              <w:top w:val="nil"/>
              <w:left w:val="single" w:sz="4" w:space="0" w:color="auto"/>
              <w:bottom w:val="single" w:sz="4" w:space="0" w:color="auto"/>
              <w:right w:val="nil"/>
            </w:tcBorders>
            <w:shd w:val="clear" w:color="auto" w:fill="auto"/>
            <w:vAlign w:val="center"/>
            <w:hideMark/>
          </w:tcPr>
          <w:p w14:paraId="499E974F" w14:textId="77777777" w:rsidR="00387142" w:rsidRPr="008B6A75" w:rsidRDefault="00387142" w:rsidP="00387142">
            <w:pPr>
              <w:jc w:val="right"/>
              <w:rPr>
                <w:sz w:val="20"/>
                <w:szCs w:val="20"/>
              </w:rPr>
            </w:pPr>
            <w:r w:rsidRPr="008B6A75">
              <w:rPr>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641F7DD3" w14:textId="77777777" w:rsidR="00387142" w:rsidRPr="008B6A75" w:rsidRDefault="00387142" w:rsidP="00387142">
            <w:pPr>
              <w:jc w:val="right"/>
              <w:rPr>
                <w:sz w:val="20"/>
                <w:szCs w:val="20"/>
              </w:rPr>
            </w:pPr>
            <w:r w:rsidRPr="008B6A75">
              <w:rPr>
                <w:sz w:val="20"/>
                <w:szCs w:val="20"/>
              </w:rPr>
              <w:t>0,00</w:t>
            </w:r>
          </w:p>
        </w:tc>
      </w:tr>
      <w:tr w:rsidR="00387142" w:rsidRPr="008B6A75" w14:paraId="5FE3BBAE" w14:textId="77777777" w:rsidTr="00387142">
        <w:trPr>
          <w:trHeight w:val="345"/>
        </w:trPr>
        <w:tc>
          <w:tcPr>
            <w:tcW w:w="3261" w:type="dxa"/>
            <w:tcBorders>
              <w:top w:val="nil"/>
              <w:left w:val="single" w:sz="4" w:space="0" w:color="auto"/>
              <w:bottom w:val="single" w:sz="4" w:space="0" w:color="auto"/>
              <w:right w:val="nil"/>
            </w:tcBorders>
            <w:shd w:val="clear" w:color="auto" w:fill="auto"/>
            <w:vAlign w:val="center"/>
            <w:hideMark/>
          </w:tcPr>
          <w:p w14:paraId="363E4C3C" w14:textId="77777777" w:rsidR="00387142" w:rsidRPr="008B6A75" w:rsidRDefault="00387142" w:rsidP="00387142">
            <w:pPr>
              <w:rPr>
                <w:sz w:val="20"/>
                <w:szCs w:val="20"/>
              </w:rPr>
            </w:pPr>
            <w:r w:rsidRPr="008B6A75">
              <w:rPr>
                <w:sz w:val="20"/>
                <w:szCs w:val="20"/>
              </w:rPr>
              <w:t>Субсидии</w:t>
            </w:r>
          </w:p>
        </w:tc>
        <w:tc>
          <w:tcPr>
            <w:tcW w:w="720" w:type="dxa"/>
            <w:tcBorders>
              <w:top w:val="nil"/>
              <w:left w:val="single" w:sz="4" w:space="0" w:color="auto"/>
              <w:bottom w:val="single" w:sz="4" w:space="0" w:color="auto"/>
              <w:right w:val="nil"/>
            </w:tcBorders>
            <w:shd w:val="clear" w:color="auto" w:fill="auto"/>
            <w:noWrap/>
            <w:vAlign w:val="center"/>
            <w:hideMark/>
          </w:tcPr>
          <w:p w14:paraId="0EFF7031" w14:textId="77777777" w:rsidR="00387142" w:rsidRPr="008B6A75" w:rsidRDefault="00387142" w:rsidP="00387142">
            <w:pPr>
              <w:jc w:val="center"/>
              <w:rPr>
                <w:sz w:val="20"/>
                <w:szCs w:val="20"/>
              </w:rPr>
            </w:pPr>
            <w:r w:rsidRPr="008B6A75">
              <w:rPr>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87FCBD5" w14:textId="77777777" w:rsidR="00387142" w:rsidRPr="008B6A75" w:rsidRDefault="00387142" w:rsidP="00387142">
            <w:pPr>
              <w:jc w:val="center"/>
              <w:rPr>
                <w:sz w:val="20"/>
                <w:szCs w:val="20"/>
              </w:rPr>
            </w:pPr>
            <w:r w:rsidRPr="008B6A75">
              <w:rPr>
                <w:sz w:val="20"/>
                <w:szCs w:val="20"/>
              </w:rPr>
              <w:t>02</w:t>
            </w:r>
          </w:p>
        </w:tc>
        <w:tc>
          <w:tcPr>
            <w:tcW w:w="1516" w:type="dxa"/>
            <w:tcBorders>
              <w:top w:val="nil"/>
              <w:left w:val="single" w:sz="4" w:space="0" w:color="auto"/>
              <w:bottom w:val="single" w:sz="4" w:space="0" w:color="auto"/>
              <w:right w:val="nil"/>
            </w:tcBorders>
            <w:shd w:val="clear" w:color="auto" w:fill="auto"/>
            <w:noWrap/>
            <w:vAlign w:val="center"/>
            <w:hideMark/>
          </w:tcPr>
          <w:p w14:paraId="59BBA7E2" w14:textId="77777777" w:rsidR="00387142" w:rsidRPr="008B6A75" w:rsidRDefault="00387142" w:rsidP="00387142">
            <w:pPr>
              <w:jc w:val="center"/>
              <w:rPr>
                <w:sz w:val="20"/>
                <w:szCs w:val="20"/>
              </w:rPr>
            </w:pPr>
            <w:r w:rsidRPr="008B6A75">
              <w:rPr>
                <w:sz w:val="20"/>
                <w:szCs w:val="20"/>
              </w:rPr>
              <w:t>17.3.00.70490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F246C89" w14:textId="77777777" w:rsidR="00387142" w:rsidRPr="008B6A75" w:rsidRDefault="00387142" w:rsidP="00387142">
            <w:pPr>
              <w:jc w:val="center"/>
              <w:rPr>
                <w:sz w:val="20"/>
                <w:szCs w:val="20"/>
              </w:rPr>
            </w:pPr>
            <w:r w:rsidRPr="008B6A75">
              <w:rPr>
                <w:sz w:val="20"/>
                <w:szCs w:val="20"/>
              </w:rPr>
              <w:t>520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36478AC" w14:textId="77777777" w:rsidR="00387142" w:rsidRPr="008B6A75" w:rsidRDefault="00387142" w:rsidP="00387142">
            <w:pPr>
              <w:jc w:val="right"/>
              <w:rPr>
                <w:sz w:val="20"/>
                <w:szCs w:val="20"/>
              </w:rPr>
            </w:pPr>
            <w:r w:rsidRPr="008B6A75">
              <w:rPr>
                <w:sz w:val="20"/>
                <w:szCs w:val="20"/>
              </w:rPr>
              <w:t>12 916 217,00</w:t>
            </w:r>
          </w:p>
        </w:tc>
        <w:tc>
          <w:tcPr>
            <w:tcW w:w="992" w:type="dxa"/>
            <w:tcBorders>
              <w:top w:val="nil"/>
              <w:left w:val="single" w:sz="4" w:space="0" w:color="auto"/>
              <w:bottom w:val="single" w:sz="4" w:space="0" w:color="auto"/>
              <w:right w:val="nil"/>
            </w:tcBorders>
            <w:shd w:val="clear" w:color="auto" w:fill="auto"/>
            <w:vAlign w:val="center"/>
            <w:hideMark/>
          </w:tcPr>
          <w:p w14:paraId="40761B1A" w14:textId="77777777" w:rsidR="00387142" w:rsidRPr="008B6A75" w:rsidRDefault="00387142" w:rsidP="00387142">
            <w:pPr>
              <w:jc w:val="right"/>
              <w:rPr>
                <w:sz w:val="20"/>
                <w:szCs w:val="20"/>
              </w:rPr>
            </w:pPr>
            <w:r w:rsidRPr="008B6A75">
              <w:rPr>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0DFA8C44" w14:textId="77777777" w:rsidR="00387142" w:rsidRPr="008B6A75" w:rsidRDefault="00387142" w:rsidP="00387142">
            <w:pPr>
              <w:jc w:val="right"/>
              <w:rPr>
                <w:sz w:val="20"/>
                <w:szCs w:val="20"/>
              </w:rPr>
            </w:pPr>
            <w:r w:rsidRPr="008B6A75">
              <w:rPr>
                <w:sz w:val="20"/>
                <w:szCs w:val="20"/>
              </w:rPr>
              <w:t>0,00</w:t>
            </w:r>
          </w:p>
        </w:tc>
      </w:tr>
      <w:tr w:rsidR="00387142" w:rsidRPr="008B6A75" w14:paraId="7C0565FA" w14:textId="77777777" w:rsidTr="00387142">
        <w:trPr>
          <w:trHeight w:val="345"/>
        </w:trPr>
        <w:tc>
          <w:tcPr>
            <w:tcW w:w="3261" w:type="dxa"/>
            <w:tcBorders>
              <w:top w:val="nil"/>
              <w:left w:val="single" w:sz="4" w:space="0" w:color="auto"/>
              <w:bottom w:val="single" w:sz="4" w:space="0" w:color="auto"/>
              <w:right w:val="nil"/>
            </w:tcBorders>
            <w:shd w:val="clear" w:color="auto" w:fill="auto"/>
            <w:vAlign w:val="center"/>
            <w:hideMark/>
          </w:tcPr>
          <w:p w14:paraId="3EA3FE25" w14:textId="77777777" w:rsidR="00387142" w:rsidRPr="008B6A75" w:rsidRDefault="00387142" w:rsidP="00387142">
            <w:pPr>
              <w:rPr>
                <w:sz w:val="20"/>
                <w:szCs w:val="20"/>
              </w:rPr>
            </w:pPr>
            <w:r w:rsidRPr="008B6A75">
              <w:rPr>
                <w:sz w:val="20"/>
                <w:szCs w:val="20"/>
              </w:rPr>
              <w:t>Иные бюджетные ассигнования</w:t>
            </w:r>
          </w:p>
        </w:tc>
        <w:tc>
          <w:tcPr>
            <w:tcW w:w="720" w:type="dxa"/>
            <w:tcBorders>
              <w:top w:val="nil"/>
              <w:left w:val="single" w:sz="4" w:space="0" w:color="auto"/>
              <w:bottom w:val="single" w:sz="4" w:space="0" w:color="auto"/>
              <w:right w:val="nil"/>
            </w:tcBorders>
            <w:shd w:val="clear" w:color="auto" w:fill="auto"/>
            <w:noWrap/>
            <w:vAlign w:val="center"/>
            <w:hideMark/>
          </w:tcPr>
          <w:p w14:paraId="3459958D" w14:textId="77777777" w:rsidR="00387142" w:rsidRPr="008B6A75" w:rsidRDefault="00387142" w:rsidP="00387142">
            <w:pPr>
              <w:jc w:val="center"/>
              <w:rPr>
                <w:sz w:val="20"/>
                <w:szCs w:val="20"/>
              </w:rPr>
            </w:pPr>
            <w:r w:rsidRPr="008B6A75">
              <w:rPr>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BCB2055" w14:textId="77777777" w:rsidR="00387142" w:rsidRPr="008B6A75" w:rsidRDefault="00387142" w:rsidP="00387142">
            <w:pPr>
              <w:jc w:val="center"/>
              <w:rPr>
                <w:sz w:val="20"/>
                <w:szCs w:val="20"/>
              </w:rPr>
            </w:pPr>
            <w:r w:rsidRPr="008B6A75">
              <w:rPr>
                <w:sz w:val="20"/>
                <w:szCs w:val="20"/>
              </w:rPr>
              <w:t>02</w:t>
            </w:r>
          </w:p>
        </w:tc>
        <w:tc>
          <w:tcPr>
            <w:tcW w:w="1516" w:type="dxa"/>
            <w:tcBorders>
              <w:top w:val="nil"/>
              <w:left w:val="single" w:sz="4" w:space="0" w:color="auto"/>
              <w:bottom w:val="single" w:sz="4" w:space="0" w:color="auto"/>
              <w:right w:val="nil"/>
            </w:tcBorders>
            <w:shd w:val="clear" w:color="auto" w:fill="auto"/>
            <w:noWrap/>
            <w:vAlign w:val="center"/>
            <w:hideMark/>
          </w:tcPr>
          <w:p w14:paraId="6AA43C1C" w14:textId="77777777" w:rsidR="00387142" w:rsidRPr="008B6A75" w:rsidRDefault="00387142" w:rsidP="00387142">
            <w:pPr>
              <w:jc w:val="center"/>
              <w:rPr>
                <w:sz w:val="20"/>
                <w:szCs w:val="20"/>
              </w:rPr>
            </w:pPr>
            <w:r w:rsidRPr="008B6A75">
              <w:rPr>
                <w:sz w:val="20"/>
                <w:szCs w:val="20"/>
              </w:rPr>
              <w:t>17.3.00.70490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9A2F948" w14:textId="77777777" w:rsidR="00387142" w:rsidRPr="008B6A75" w:rsidRDefault="00387142" w:rsidP="00387142">
            <w:pPr>
              <w:jc w:val="center"/>
              <w:rPr>
                <w:sz w:val="20"/>
                <w:szCs w:val="20"/>
              </w:rPr>
            </w:pPr>
            <w:r w:rsidRPr="008B6A75">
              <w:rPr>
                <w:sz w:val="20"/>
                <w:szCs w:val="20"/>
              </w:rPr>
              <w:t>800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C420357" w14:textId="77777777" w:rsidR="00387142" w:rsidRPr="008B6A75" w:rsidRDefault="00387142" w:rsidP="00387142">
            <w:pPr>
              <w:jc w:val="right"/>
              <w:rPr>
                <w:sz w:val="20"/>
                <w:szCs w:val="20"/>
              </w:rPr>
            </w:pPr>
            <w:r w:rsidRPr="008B6A75">
              <w:rPr>
                <w:sz w:val="20"/>
                <w:szCs w:val="20"/>
              </w:rPr>
              <w:t>17 046 660,00</w:t>
            </w:r>
          </w:p>
        </w:tc>
        <w:tc>
          <w:tcPr>
            <w:tcW w:w="992" w:type="dxa"/>
            <w:tcBorders>
              <w:top w:val="nil"/>
              <w:left w:val="single" w:sz="4" w:space="0" w:color="auto"/>
              <w:bottom w:val="single" w:sz="4" w:space="0" w:color="auto"/>
              <w:right w:val="nil"/>
            </w:tcBorders>
            <w:shd w:val="clear" w:color="auto" w:fill="auto"/>
            <w:vAlign w:val="center"/>
            <w:hideMark/>
          </w:tcPr>
          <w:p w14:paraId="4B8705AF" w14:textId="77777777" w:rsidR="00387142" w:rsidRPr="008B6A75" w:rsidRDefault="00387142" w:rsidP="00387142">
            <w:pPr>
              <w:jc w:val="right"/>
              <w:rPr>
                <w:sz w:val="20"/>
                <w:szCs w:val="20"/>
              </w:rPr>
            </w:pPr>
            <w:r w:rsidRPr="008B6A75">
              <w:rPr>
                <w:sz w:val="20"/>
                <w:szCs w:val="20"/>
              </w:rPr>
              <w:t>25 952 760,00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15F1E5B1" w14:textId="77777777" w:rsidR="00387142" w:rsidRPr="008B6A75" w:rsidRDefault="00387142" w:rsidP="00387142">
            <w:pPr>
              <w:jc w:val="right"/>
              <w:rPr>
                <w:sz w:val="20"/>
                <w:szCs w:val="20"/>
              </w:rPr>
            </w:pPr>
            <w:r w:rsidRPr="008B6A75">
              <w:rPr>
                <w:sz w:val="20"/>
                <w:szCs w:val="20"/>
              </w:rPr>
              <w:t>25 952 760,00</w:t>
            </w:r>
          </w:p>
        </w:tc>
      </w:tr>
      <w:tr w:rsidR="00387142" w:rsidRPr="008B6A75" w14:paraId="4379B281" w14:textId="77777777" w:rsidTr="00387142">
        <w:trPr>
          <w:trHeight w:val="1155"/>
        </w:trPr>
        <w:tc>
          <w:tcPr>
            <w:tcW w:w="3261" w:type="dxa"/>
            <w:tcBorders>
              <w:top w:val="nil"/>
              <w:left w:val="single" w:sz="4" w:space="0" w:color="auto"/>
              <w:bottom w:val="single" w:sz="4" w:space="0" w:color="auto"/>
              <w:right w:val="nil"/>
            </w:tcBorders>
            <w:shd w:val="clear" w:color="auto" w:fill="auto"/>
            <w:vAlign w:val="center"/>
            <w:hideMark/>
          </w:tcPr>
          <w:p w14:paraId="76262E3D" w14:textId="77777777" w:rsidR="00387142" w:rsidRPr="008B6A75" w:rsidRDefault="00387142" w:rsidP="00387142">
            <w:pPr>
              <w:rPr>
                <w:sz w:val="20"/>
                <w:szCs w:val="20"/>
              </w:rPr>
            </w:pPr>
            <w:r w:rsidRPr="008B6A75">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20" w:type="dxa"/>
            <w:tcBorders>
              <w:top w:val="nil"/>
              <w:left w:val="single" w:sz="4" w:space="0" w:color="auto"/>
              <w:bottom w:val="single" w:sz="4" w:space="0" w:color="auto"/>
              <w:right w:val="nil"/>
            </w:tcBorders>
            <w:shd w:val="clear" w:color="auto" w:fill="auto"/>
            <w:noWrap/>
            <w:vAlign w:val="center"/>
            <w:hideMark/>
          </w:tcPr>
          <w:p w14:paraId="31C8D545" w14:textId="77777777" w:rsidR="00387142" w:rsidRPr="008B6A75" w:rsidRDefault="00387142" w:rsidP="00387142">
            <w:pPr>
              <w:jc w:val="center"/>
              <w:rPr>
                <w:sz w:val="20"/>
                <w:szCs w:val="20"/>
              </w:rPr>
            </w:pPr>
            <w:r w:rsidRPr="008B6A75">
              <w:rPr>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0AA7C55" w14:textId="77777777" w:rsidR="00387142" w:rsidRPr="008B6A75" w:rsidRDefault="00387142" w:rsidP="00387142">
            <w:pPr>
              <w:jc w:val="center"/>
              <w:rPr>
                <w:sz w:val="20"/>
                <w:szCs w:val="20"/>
              </w:rPr>
            </w:pPr>
            <w:r w:rsidRPr="008B6A75">
              <w:rPr>
                <w:sz w:val="20"/>
                <w:szCs w:val="20"/>
              </w:rPr>
              <w:t>02</w:t>
            </w:r>
          </w:p>
        </w:tc>
        <w:tc>
          <w:tcPr>
            <w:tcW w:w="1516" w:type="dxa"/>
            <w:tcBorders>
              <w:top w:val="nil"/>
              <w:left w:val="single" w:sz="4" w:space="0" w:color="auto"/>
              <w:bottom w:val="single" w:sz="4" w:space="0" w:color="auto"/>
              <w:right w:val="nil"/>
            </w:tcBorders>
            <w:shd w:val="clear" w:color="auto" w:fill="auto"/>
            <w:noWrap/>
            <w:vAlign w:val="center"/>
            <w:hideMark/>
          </w:tcPr>
          <w:p w14:paraId="27706833" w14:textId="77777777" w:rsidR="00387142" w:rsidRPr="008B6A75" w:rsidRDefault="00387142" w:rsidP="00387142">
            <w:pPr>
              <w:jc w:val="center"/>
              <w:rPr>
                <w:sz w:val="20"/>
                <w:szCs w:val="20"/>
              </w:rPr>
            </w:pPr>
            <w:r w:rsidRPr="008B6A75">
              <w:rPr>
                <w:sz w:val="20"/>
                <w:szCs w:val="20"/>
              </w:rPr>
              <w:t>17.3.00.70490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E5A4386" w14:textId="77777777" w:rsidR="00387142" w:rsidRPr="008B6A75" w:rsidRDefault="00387142" w:rsidP="00387142">
            <w:pPr>
              <w:jc w:val="center"/>
              <w:rPr>
                <w:sz w:val="20"/>
                <w:szCs w:val="20"/>
              </w:rPr>
            </w:pPr>
            <w:r w:rsidRPr="008B6A75">
              <w:rPr>
                <w:sz w:val="20"/>
                <w:szCs w:val="20"/>
              </w:rPr>
              <w:t>810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7DD263D" w14:textId="77777777" w:rsidR="00387142" w:rsidRPr="008B6A75" w:rsidRDefault="00387142" w:rsidP="00387142">
            <w:pPr>
              <w:jc w:val="right"/>
              <w:rPr>
                <w:sz w:val="20"/>
                <w:szCs w:val="20"/>
              </w:rPr>
            </w:pPr>
            <w:r w:rsidRPr="008B6A75">
              <w:rPr>
                <w:sz w:val="20"/>
                <w:szCs w:val="20"/>
              </w:rPr>
              <w:t>17 046 660,00</w:t>
            </w:r>
          </w:p>
        </w:tc>
        <w:tc>
          <w:tcPr>
            <w:tcW w:w="992" w:type="dxa"/>
            <w:tcBorders>
              <w:top w:val="nil"/>
              <w:left w:val="single" w:sz="4" w:space="0" w:color="auto"/>
              <w:bottom w:val="single" w:sz="4" w:space="0" w:color="auto"/>
              <w:right w:val="nil"/>
            </w:tcBorders>
            <w:shd w:val="clear" w:color="auto" w:fill="auto"/>
            <w:vAlign w:val="center"/>
            <w:hideMark/>
          </w:tcPr>
          <w:p w14:paraId="4A10B6FB" w14:textId="77777777" w:rsidR="00387142" w:rsidRPr="008B6A75" w:rsidRDefault="00387142" w:rsidP="00387142">
            <w:pPr>
              <w:jc w:val="right"/>
              <w:rPr>
                <w:sz w:val="20"/>
                <w:szCs w:val="20"/>
              </w:rPr>
            </w:pPr>
            <w:r w:rsidRPr="008B6A75">
              <w:rPr>
                <w:sz w:val="20"/>
                <w:szCs w:val="20"/>
              </w:rPr>
              <w:t>25 952 760,00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7E48A1F2" w14:textId="77777777" w:rsidR="00387142" w:rsidRPr="008B6A75" w:rsidRDefault="00387142" w:rsidP="00387142">
            <w:pPr>
              <w:jc w:val="right"/>
              <w:rPr>
                <w:sz w:val="20"/>
                <w:szCs w:val="20"/>
              </w:rPr>
            </w:pPr>
            <w:r w:rsidRPr="008B6A75">
              <w:rPr>
                <w:sz w:val="20"/>
                <w:szCs w:val="20"/>
              </w:rPr>
              <w:t>25 952 760,00</w:t>
            </w:r>
          </w:p>
        </w:tc>
      </w:tr>
      <w:tr w:rsidR="00387142" w:rsidRPr="008B6A75" w14:paraId="48258366" w14:textId="77777777" w:rsidTr="00387142">
        <w:trPr>
          <w:trHeight w:val="2295"/>
        </w:trPr>
        <w:tc>
          <w:tcPr>
            <w:tcW w:w="3261" w:type="dxa"/>
            <w:tcBorders>
              <w:top w:val="nil"/>
              <w:left w:val="single" w:sz="4" w:space="0" w:color="auto"/>
              <w:bottom w:val="single" w:sz="4" w:space="0" w:color="auto"/>
              <w:right w:val="nil"/>
            </w:tcBorders>
            <w:shd w:val="clear" w:color="auto" w:fill="auto"/>
            <w:vAlign w:val="center"/>
            <w:hideMark/>
          </w:tcPr>
          <w:p w14:paraId="2EC1E6CA" w14:textId="77777777" w:rsidR="00387142" w:rsidRPr="008B6A75" w:rsidRDefault="00387142" w:rsidP="00387142">
            <w:pPr>
              <w:rPr>
                <w:bCs/>
                <w:sz w:val="20"/>
                <w:szCs w:val="20"/>
              </w:rPr>
            </w:pPr>
            <w:r w:rsidRPr="008B6A75">
              <w:rPr>
                <w:bCs/>
                <w:sz w:val="20"/>
                <w:szCs w:val="20"/>
              </w:rPr>
              <w:t>Реализация мероприятий по организации бесперебойной работы объектов жизнедеятельности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14:paraId="5FBFAABF" w14:textId="77777777" w:rsidR="00387142" w:rsidRPr="008B6A75" w:rsidRDefault="00387142" w:rsidP="00387142">
            <w:pPr>
              <w:jc w:val="center"/>
              <w:rPr>
                <w:bCs/>
                <w:sz w:val="20"/>
                <w:szCs w:val="20"/>
              </w:rPr>
            </w:pPr>
            <w:r w:rsidRPr="008B6A75">
              <w:rPr>
                <w:bCs/>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70659A5" w14:textId="77777777" w:rsidR="00387142" w:rsidRPr="008B6A75" w:rsidRDefault="00387142" w:rsidP="00387142">
            <w:pPr>
              <w:jc w:val="center"/>
              <w:rPr>
                <w:bCs/>
                <w:sz w:val="20"/>
                <w:szCs w:val="20"/>
              </w:rPr>
            </w:pPr>
            <w:r w:rsidRPr="008B6A75">
              <w:rPr>
                <w:bCs/>
                <w:sz w:val="20"/>
                <w:szCs w:val="20"/>
              </w:rPr>
              <w:t>02</w:t>
            </w:r>
          </w:p>
        </w:tc>
        <w:tc>
          <w:tcPr>
            <w:tcW w:w="1516" w:type="dxa"/>
            <w:tcBorders>
              <w:top w:val="nil"/>
              <w:left w:val="single" w:sz="4" w:space="0" w:color="auto"/>
              <w:bottom w:val="single" w:sz="4" w:space="0" w:color="auto"/>
              <w:right w:val="nil"/>
            </w:tcBorders>
            <w:shd w:val="clear" w:color="auto" w:fill="auto"/>
            <w:noWrap/>
            <w:vAlign w:val="center"/>
            <w:hideMark/>
          </w:tcPr>
          <w:p w14:paraId="29A9FD3D" w14:textId="77777777" w:rsidR="00387142" w:rsidRPr="008B6A75" w:rsidRDefault="00387142" w:rsidP="00387142">
            <w:pPr>
              <w:jc w:val="center"/>
              <w:rPr>
                <w:bCs/>
                <w:sz w:val="20"/>
                <w:szCs w:val="20"/>
              </w:rPr>
            </w:pPr>
            <w:r w:rsidRPr="008B6A75">
              <w:rPr>
                <w:bCs/>
                <w:sz w:val="20"/>
                <w:szCs w:val="20"/>
              </w:rPr>
              <w:t>17.3.00.70600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964CF05"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B66E60F" w14:textId="77777777" w:rsidR="00387142" w:rsidRPr="008B6A75" w:rsidRDefault="00387142" w:rsidP="00387142">
            <w:pPr>
              <w:jc w:val="right"/>
              <w:rPr>
                <w:bCs/>
                <w:sz w:val="20"/>
                <w:szCs w:val="20"/>
              </w:rPr>
            </w:pPr>
            <w:r w:rsidRPr="008B6A75">
              <w:rPr>
                <w:bCs/>
                <w:sz w:val="20"/>
                <w:szCs w:val="20"/>
              </w:rPr>
              <w:t>9 651 388,21</w:t>
            </w:r>
          </w:p>
        </w:tc>
        <w:tc>
          <w:tcPr>
            <w:tcW w:w="992" w:type="dxa"/>
            <w:tcBorders>
              <w:top w:val="nil"/>
              <w:left w:val="single" w:sz="4" w:space="0" w:color="auto"/>
              <w:bottom w:val="single" w:sz="4" w:space="0" w:color="auto"/>
              <w:right w:val="nil"/>
            </w:tcBorders>
            <w:shd w:val="clear" w:color="auto" w:fill="auto"/>
            <w:vAlign w:val="center"/>
            <w:hideMark/>
          </w:tcPr>
          <w:p w14:paraId="25948F03" w14:textId="77777777" w:rsidR="00387142" w:rsidRPr="008B6A75" w:rsidRDefault="00387142" w:rsidP="00387142">
            <w:pPr>
              <w:jc w:val="right"/>
              <w:rPr>
                <w:bCs/>
                <w:sz w:val="20"/>
                <w:szCs w:val="20"/>
              </w:rPr>
            </w:pPr>
            <w:r w:rsidRPr="008B6A75">
              <w:rPr>
                <w:bCs/>
                <w:sz w:val="20"/>
                <w:szCs w:val="20"/>
              </w:rPr>
              <w:t>9 651 400,00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4F3F3D75" w14:textId="77777777" w:rsidR="00387142" w:rsidRPr="008B6A75" w:rsidRDefault="00387142" w:rsidP="00387142">
            <w:pPr>
              <w:jc w:val="right"/>
              <w:rPr>
                <w:bCs/>
                <w:sz w:val="20"/>
                <w:szCs w:val="20"/>
              </w:rPr>
            </w:pPr>
            <w:r w:rsidRPr="008B6A75">
              <w:rPr>
                <w:bCs/>
                <w:sz w:val="20"/>
                <w:szCs w:val="20"/>
              </w:rPr>
              <w:t>9 651 400,00</w:t>
            </w:r>
          </w:p>
        </w:tc>
      </w:tr>
      <w:tr w:rsidR="00387142" w:rsidRPr="008B6A75" w14:paraId="70F4F440" w14:textId="77777777" w:rsidTr="00387142">
        <w:trPr>
          <w:trHeight w:val="345"/>
        </w:trPr>
        <w:tc>
          <w:tcPr>
            <w:tcW w:w="3261" w:type="dxa"/>
            <w:tcBorders>
              <w:top w:val="nil"/>
              <w:left w:val="single" w:sz="4" w:space="0" w:color="auto"/>
              <w:bottom w:val="single" w:sz="4" w:space="0" w:color="auto"/>
              <w:right w:val="nil"/>
            </w:tcBorders>
            <w:shd w:val="clear" w:color="auto" w:fill="auto"/>
            <w:vAlign w:val="center"/>
            <w:hideMark/>
          </w:tcPr>
          <w:p w14:paraId="622ECE59" w14:textId="77777777" w:rsidR="00387142" w:rsidRPr="008B6A75" w:rsidRDefault="00387142" w:rsidP="00387142">
            <w:pPr>
              <w:rPr>
                <w:sz w:val="20"/>
                <w:szCs w:val="20"/>
              </w:rPr>
            </w:pPr>
            <w:r w:rsidRPr="008B6A75">
              <w:rPr>
                <w:sz w:val="20"/>
                <w:szCs w:val="20"/>
              </w:rPr>
              <w:t>Межбюджетные трансферты</w:t>
            </w:r>
          </w:p>
        </w:tc>
        <w:tc>
          <w:tcPr>
            <w:tcW w:w="720" w:type="dxa"/>
            <w:tcBorders>
              <w:top w:val="nil"/>
              <w:left w:val="single" w:sz="4" w:space="0" w:color="auto"/>
              <w:bottom w:val="single" w:sz="4" w:space="0" w:color="auto"/>
              <w:right w:val="nil"/>
            </w:tcBorders>
            <w:shd w:val="clear" w:color="auto" w:fill="auto"/>
            <w:noWrap/>
            <w:vAlign w:val="center"/>
            <w:hideMark/>
          </w:tcPr>
          <w:p w14:paraId="38AF148F" w14:textId="77777777" w:rsidR="00387142" w:rsidRPr="008B6A75" w:rsidRDefault="00387142" w:rsidP="00387142">
            <w:pPr>
              <w:jc w:val="center"/>
              <w:rPr>
                <w:sz w:val="20"/>
                <w:szCs w:val="20"/>
              </w:rPr>
            </w:pPr>
            <w:r w:rsidRPr="008B6A75">
              <w:rPr>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FB47ED4" w14:textId="77777777" w:rsidR="00387142" w:rsidRPr="008B6A75" w:rsidRDefault="00387142" w:rsidP="00387142">
            <w:pPr>
              <w:jc w:val="center"/>
              <w:rPr>
                <w:sz w:val="20"/>
                <w:szCs w:val="20"/>
              </w:rPr>
            </w:pPr>
            <w:r w:rsidRPr="008B6A75">
              <w:rPr>
                <w:sz w:val="20"/>
                <w:szCs w:val="20"/>
              </w:rPr>
              <w:t>02</w:t>
            </w:r>
          </w:p>
        </w:tc>
        <w:tc>
          <w:tcPr>
            <w:tcW w:w="1516" w:type="dxa"/>
            <w:tcBorders>
              <w:top w:val="nil"/>
              <w:left w:val="single" w:sz="4" w:space="0" w:color="auto"/>
              <w:bottom w:val="single" w:sz="4" w:space="0" w:color="auto"/>
              <w:right w:val="nil"/>
            </w:tcBorders>
            <w:shd w:val="clear" w:color="auto" w:fill="auto"/>
            <w:noWrap/>
            <w:vAlign w:val="center"/>
            <w:hideMark/>
          </w:tcPr>
          <w:p w14:paraId="3A724C6E" w14:textId="77777777" w:rsidR="00387142" w:rsidRPr="008B6A75" w:rsidRDefault="00387142" w:rsidP="00387142">
            <w:pPr>
              <w:jc w:val="center"/>
              <w:rPr>
                <w:sz w:val="20"/>
                <w:szCs w:val="20"/>
              </w:rPr>
            </w:pPr>
            <w:r w:rsidRPr="008B6A75">
              <w:rPr>
                <w:sz w:val="20"/>
                <w:szCs w:val="20"/>
              </w:rPr>
              <w:t>17.3.00.70600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DEAE164" w14:textId="77777777" w:rsidR="00387142" w:rsidRPr="008B6A75" w:rsidRDefault="00387142" w:rsidP="00387142">
            <w:pPr>
              <w:jc w:val="center"/>
              <w:rPr>
                <w:sz w:val="20"/>
                <w:szCs w:val="20"/>
              </w:rPr>
            </w:pPr>
            <w:r w:rsidRPr="008B6A75">
              <w:rPr>
                <w:sz w:val="20"/>
                <w:szCs w:val="20"/>
              </w:rPr>
              <w:t>500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6D59377" w14:textId="77777777" w:rsidR="00387142" w:rsidRPr="008B6A75" w:rsidRDefault="00387142" w:rsidP="00387142">
            <w:pPr>
              <w:jc w:val="right"/>
              <w:rPr>
                <w:sz w:val="20"/>
                <w:szCs w:val="20"/>
              </w:rPr>
            </w:pPr>
            <w:r w:rsidRPr="008B6A75">
              <w:rPr>
                <w:sz w:val="20"/>
                <w:szCs w:val="20"/>
              </w:rPr>
              <w:t>1 922 500,00</w:t>
            </w:r>
          </w:p>
        </w:tc>
        <w:tc>
          <w:tcPr>
            <w:tcW w:w="992" w:type="dxa"/>
            <w:tcBorders>
              <w:top w:val="nil"/>
              <w:left w:val="single" w:sz="4" w:space="0" w:color="auto"/>
              <w:bottom w:val="single" w:sz="4" w:space="0" w:color="auto"/>
              <w:right w:val="nil"/>
            </w:tcBorders>
            <w:shd w:val="clear" w:color="auto" w:fill="auto"/>
            <w:vAlign w:val="center"/>
            <w:hideMark/>
          </w:tcPr>
          <w:p w14:paraId="0A8729C7" w14:textId="77777777" w:rsidR="00387142" w:rsidRPr="008B6A75" w:rsidRDefault="00387142" w:rsidP="00387142">
            <w:pPr>
              <w:jc w:val="right"/>
              <w:rPr>
                <w:sz w:val="20"/>
                <w:szCs w:val="20"/>
              </w:rPr>
            </w:pPr>
            <w:r w:rsidRPr="008B6A75">
              <w:rPr>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7E5A8032" w14:textId="77777777" w:rsidR="00387142" w:rsidRPr="008B6A75" w:rsidRDefault="00387142" w:rsidP="00387142">
            <w:pPr>
              <w:jc w:val="right"/>
              <w:rPr>
                <w:sz w:val="20"/>
                <w:szCs w:val="20"/>
              </w:rPr>
            </w:pPr>
            <w:r w:rsidRPr="008B6A75">
              <w:rPr>
                <w:sz w:val="20"/>
                <w:szCs w:val="20"/>
              </w:rPr>
              <w:t>0,00</w:t>
            </w:r>
          </w:p>
        </w:tc>
      </w:tr>
      <w:tr w:rsidR="00387142" w:rsidRPr="008B6A75" w14:paraId="0C6FC93F" w14:textId="77777777" w:rsidTr="00387142">
        <w:trPr>
          <w:trHeight w:val="345"/>
        </w:trPr>
        <w:tc>
          <w:tcPr>
            <w:tcW w:w="3261" w:type="dxa"/>
            <w:tcBorders>
              <w:top w:val="nil"/>
              <w:left w:val="single" w:sz="4" w:space="0" w:color="auto"/>
              <w:bottom w:val="single" w:sz="4" w:space="0" w:color="auto"/>
              <w:right w:val="nil"/>
            </w:tcBorders>
            <w:shd w:val="clear" w:color="auto" w:fill="auto"/>
            <w:vAlign w:val="center"/>
            <w:hideMark/>
          </w:tcPr>
          <w:p w14:paraId="004B1F49" w14:textId="77777777" w:rsidR="00387142" w:rsidRPr="008B6A75" w:rsidRDefault="00387142" w:rsidP="00387142">
            <w:pPr>
              <w:rPr>
                <w:sz w:val="20"/>
                <w:szCs w:val="20"/>
              </w:rPr>
            </w:pPr>
            <w:r w:rsidRPr="008B6A75">
              <w:rPr>
                <w:sz w:val="20"/>
                <w:szCs w:val="20"/>
              </w:rPr>
              <w:t>Субсидии</w:t>
            </w:r>
          </w:p>
        </w:tc>
        <w:tc>
          <w:tcPr>
            <w:tcW w:w="720" w:type="dxa"/>
            <w:tcBorders>
              <w:top w:val="nil"/>
              <w:left w:val="single" w:sz="4" w:space="0" w:color="auto"/>
              <w:bottom w:val="single" w:sz="4" w:space="0" w:color="auto"/>
              <w:right w:val="nil"/>
            </w:tcBorders>
            <w:shd w:val="clear" w:color="auto" w:fill="auto"/>
            <w:noWrap/>
            <w:vAlign w:val="center"/>
            <w:hideMark/>
          </w:tcPr>
          <w:p w14:paraId="5CFBD383" w14:textId="77777777" w:rsidR="00387142" w:rsidRPr="008B6A75" w:rsidRDefault="00387142" w:rsidP="00387142">
            <w:pPr>
              <w:jc w:val="center"/>
              <w:rPr>
                <w:sz w:val="20"/>
                <w:szCs w:val="20"/>
              </w:rPr>
            </w:pPr>
            <w:r w:rsidRPr="008B6A75">
              <w:rPr>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3EE37EF" w14:textId="77777777" w:rsidR="00387142" w:rsidRPr="008B6A75" w:rsidRDefault="00387142" w:rsidP="00387142">
            <w:pPr>
              <w:jc w:val="center"/>
              <w:rPr>
                <w:sz w:val="20"/>
                <w:szCs w:val="20"/>
              </w:rPr>
            </w:pPr>
            <w:r w:rsidRPr="008B6A75">
              <w:rPr>
                <w:sz w:val="20"/>
                <w:szCs w:val="20"/>
              </w:rPr>
              <w:t>02</w:t>
            </w:r>
          </w:p>
        </w:tc>
        <w:tc>
          <w:tcPr>
            <w:tcW w:w="1516" w:type="dxa"/>
            <w:tcBorders>
              <w:top w:val="nil"/>
              <w:left w:val="single" w:sz="4" w:space="0" w:color="auto"/>
              <w:bottom w:val="single" w:sz="4" w:space="0" w:color="auto"/>
              <w:right w:val="nil"/>
            </w:tcBorders>
            <w:shd w:val="clear" w:color="auto" w:fill="auto"/>
            <w:noWrap/>
            <w:vAlign w:val="center"/>
            <w:hideMark/>
          </w:tcPr>
          <w:p w14:paraId="24E4B0E8" w14:textId="77777777" w:rsidR="00387142" w:rsidRPr="008B6A75" w:rsidRDefault="00387142" w:rsidP="00387142">
            <w:pPr>
              <w:jc w:val="center"/>
              <w:rPr>
                <w:sz w:val="20"/>
                <w:szCs w:val="20"/>
              </w:rPr>
            </w:pPr>
            <w:r w:rsidRPr="008B6A75">
              <w:rPr>
                <w:sz w:val="20"/>
                <w:szCs w:val="20"/>
              </w:rPr>
              <w:t>17.3.00.70600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4636907" w14:textId="77777777" w:rsidR="00387142" w:rsidRPr="008B6A75" w:rsidRDefault="00387142" w:rsidP="00387142">
            <w:pPr>
              <w:jc w:val="center"/>
              <w:rPr>
                <w:sz w:val="20"/>
                <w:szCs w:val="20"/>
              </w:rPr>
            </w:pPr>
            <w:r w:rsidRPr="008B6A75">
              <w:rPr>
                <w:sz w:val="20"/>
                <w:szCs w:val="20"/>
              </w:rPr>
              <w:t>520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4C12CF4" w14:textId="77777777" w:rsidR="00387142" w:rsidRPr="008B6A75" w:rsidRDefault="00387142" w:rsidP="00387142">
            <w:pPr>
              <w:jc w:val="right"/>
              <w:rPr>
                <w:sz w:val="20"/>
                <w:szCs w:val="20"/>
              </w:rPr>
            </w:pPr>
            <w:r w:rsidRPr="008B6A75">
              <w:rPr>
                <w:sz w:val="20"/>
                <w:szCs w:val="20"/>
              </w:rPr>
              <w:t>1 922 500,00</w:t>
            </w:r>
          </w:p>
        </w:tc>
        <w:tc>
          <w:tcPr>
            <w:tcW w:w="992" w:type="dxa"/>
            <w:tcBorders>
              <w:top w:val="nil"/>
              <w:left w:val="single" w:sz="4" w:space="0" w:color="auto"/>
              <w:bottom w:val="single" w:sz="4" w:space="0" w:color="auto"/>
              <w:right w:val="nil"/>
            </w:tcBorders>
            <w:shd w:val="clear" w:color="auto" w:fill="auto"/>
            <w:vAlign w:val="center"/>
            <w:hideMark/>
          </w:tcPr>
          <w:p w14:paraId="21E6466A" w14:textId="77777777" w:rsidR="00387142" w:rsidRPr="008B6A75" w:rsidRDefault="00387142" w:rsidP="00387142">
            <w:pPr>
              <w:jc w:val="right"/>
              <w:rPr>
                <w:sz w:val="20"/>
                <w:szCs w:val="20"/>
              </w:rPr>
            </w:pPr>
            <w:r w:rsidRPr="008B6A75">
              <w:rPr>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1A2805B6" w14:textId="77777777" w:rsidR="00387142" w:rsidRPr="008B6A75" w:rsidRDefault="00387142" w:rsidP="00387142">
            <w:pPr>
              <w:jc w:val="right"/>
              <w:rPr>
                <w:sz w:val="20"/>
                <w:szCs w:val="20"/>
              </w:rPr>
            </w:pPr>
            <w:r w:rsidRPr="008B6A75">
              <w:rPr>
                <w:sz w:val="20"/>
                <w:szCs w:val="20"/>
              </w:rPr>
              <w:t>0,00</w:t>
            </w:r>
          </w:p>
        </w:tc>
      </w:tr>
      <w:tr w:rsidR="00387142" w:rsidRPr="008B6A75" w14:paraId="1035B7AB" w14:textId="77777777" w:rsidTr="00387142">
        <w:trPr>
          <w:trHeight w:val="345"/>
        </w:trPr>
        <w:tc>
          <w:tcPr>
            <w:tcW w:w="3261" w:type="dxa"/>
            <w:tcBorders>
              <w:top w:val="nil"/>
              <w:left w:val="single" w:sz="4" w:space="0" w:color="auto"/>
              <w:bottom w:val="single" w:sz="4" w:space="0" w:color="auto"/>
              <w:right w:val="nil"/>
            </w:tcBorders>
            <w:shd w:val="clear" w:color="auto" w:fill="auto"/>
            <w:vAlign w:val="center"/>
            <w:hideMark/>
          </w:tcPr>
          <w:p w14:paraId="37883D38" w14:textId="77777777" w:rsidR="00387142" w:rsidRPr="008B6A75" w:rsidRDefault="00387142" w:rsidP="00387142">
            <w:pPr>
              <w:rPr>
                <w:sz w:val="20"/>
                <w:szCs w:val="20"/>
              </w:rPr>
            </w:pPr>
            <w:r w:rsidRPr="008B6A75">
              <w:rPr>
                <w:sz w:val="20"/>
                <w:szCs w:val="20"/>
              </w:rPr>
              <w:t>Иные бюджетные ассигнования</w:t>
            </w:r>
          </w:p>
        </w:tc>
        <w:tc>
          <w:tcPr>
            <w:tcW w:w="720" w:type="dxa"/>
            <w:tcBorders>
              <w:top w:val="nil"/>
              <w:left w:val="single" w:sz="4" w:space="0" w:color="auto"/>
              <w:bottom w:val="single" w:sz="4" w:space="0" w:color="auto"/>
              <w:right w:val="nil"/>
            </w:tcBorders>
            <w:shd w:val="clear" w:color="auto" w:fill="auto"/>
            <w:noWrap/>
            <w:vAlign w:val="center"/>
            <w:hideMark/>
          </w:tcPr>
          <w:p w14:paraId="00A16431" w14:textId="77777777" w:rsidR="00387142" w:rsidRPr="008B6A75" w:rsidRDefault="00387142" w:rsidP="00387142">
            <w:pPr>
              <w:jc w:val="center"/>
              <w:rPr>
                <w:sz w:val="20"/>
                <w:szCs w:val="20"/>
              </w:rPr>
            </w:pPr>
            <w:r w:rsidRPr="008B6A75">
              <w:rPr>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A8D4CEB" w14:textId="77777777" w:rsidR="00387142" w:rsidRPr="008B6A75" w:rsidRDefault="00387142" w:rsidP="00387142">
            <w:pPr>
              <w:jc w:val="center"/>
              <w:rPr>
                <w:sz w:val="20"/>
                <w:szCs w:val="20"/>
              </w:rPr>
            </w:pPr>
            <w:r w:rsidRPr="008B6A75">
              <w:rPr>
                <w:sz w:val="20"/>
                <w:szCs w:val="20"/>
              </w:rPr>
              <w:t>02</w:t>
            </w:r>
          </w:p>
        </w:tc>
        <w:tc>
          <w:tcPr>
            <w:tcW w:w="1516" w:type="dxa"/>
            <w:tcBorders>
              <w:top w:val="nil"/>
              <w:left w:val="single" w:sz="4" w:space="0" w:color="auto"/>
              <w:bottom w:val="single" w:sz="4" w:space="0" w:color="auto"/>
              <w:right w:val="nil"/>
            </w:tcBorders>
            <w:shd w:val="clear" w:color="auto" w:fill="auto"/>
            <w:noWrap/>
            <w:vAlign w:val="center"/>
            <w:hideMark/>
          </w:tcPr>
          <w:p w14:paraId="29CCB827" w14:textId="77777777" w:rsidR="00387142" w:rsidRPr="008B6A75" w:rsidRDefault="00387142" w:rsidP="00387142">
            <w:pPr>
              <w:jc w:val="center"/>
              <w:rPr>
                <w:sz w:val="20"/>
                <w:szCs w:val="20"/>
              </w:rPr>
            </w:pPr>
            <w:r w:rsidRPr="008B6A75">
              <w:rPr>
                <w:sz w:val="20"/>
                <w:szCs w:val="20"/>
              </w:rPr>
              <w:t>17.3.00.70600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DC17ADF" w14:textId="77777777" w:rsidR="00387142" w:rsidRPr="008B6A75" w:rsidRDefault="00387142" w:rsidP="00387142">
            <w:pPr>
              <w:jc w:val="center"/>
              <w:rPr>
                <w:sz w:val="20"/>
                <w:szCs w:val="20"/>
              </w:rPr>
            </w:pPr>
            <w:r w:rsidRPr="008B6A75">
              <w:rPr>
                <w:sz w:val="20"/>
                <w:szCs w:val="20"/>
              </w:rPr>
              <w:t>800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2939A85" w14:textId="77777777" w:rsidR="00387142" w:rsidRPr="008B6A75" w:rsidRDefault="00387142" w:rsidP="00387142">
            <w:pPr>
              <w:jc w:val="right"/>
              <w:rPr>
                <w:sz w:val="20"/>
                <w:szCs w:val="20"/>
              </w:rPr>
            </w:pPr>
            <w:r w:rsidRPr="008B6A75">
              <w:rPr>
                <w:sz w:val="20"/>
                <w:szCs w:val="20"/>
              </w:rPr>
              <w:t>7 728 888,21</w:t>
            </w:r>
          </w:p>
        </w:tc>
        <w:tc>
          <w:tcPr>
            <w:tcW w:w="992" w:type="dxa"/>
            <w:tcBorders>
              <w:top w:val="nil"/>
              <w:left w:val="single" w:sz="4" w:space="0" w:color="auto"/>
              <w:bottom w:val="single" w:sz="4" w:space="0" w:color="auto"/>
              <w:right w:val="nil"/>
            </w:tcBorders>
            <w:shd w:val="clear" w:color="auto" w:fill="auto"/>
            <w:vAlign w:val="center"/>
            <w:hideMark/>
          </w:tcPr>
          <w:p w14:paraId="239BD488" w14:textId="77777777" w:rsidR="00387142" w:rsidRPr="008B6A75" w:rsidRDefault="00387142" w:rsidP="00387142">
            <w:pPr>
              <w:jc w:val="right"/>
              <w:rPr>
                <w:sz w:val="20"/>
                <w:szCs w:val="20"/>
              </w:rPr>
            </w:pPr>
            <w:r w:rsidRPr="008B6A75">
              <w:rPr>
                <w:sz w:val="20"/>
                <w:szCs w:val="20"/>
              </w:rPr>
              <w:t>9 651 400,00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2C3534C2" w14:textId="77777777" w:rsidR="00387142" w:rsidRPr="008B6A75" w:rsidRDefault="00387142" w:rsidP="00387142">
            <w:pPr>
              <w:jc w:val="right"/>
              <w:rPr>
                <w:sz w:val="20"/>
                <w:szCs w:val="20"/>
              </w:rPr>
            </w:pPr>
            <w:r w:rsidRPr="008B6A75">
              <w:rPr>
                <w:sz w:val="20"/>
                <w:szCs w:val="20"/>
              </w:rPr>
              <w:t>9 651 400,00</w:t>
            </w:r>
          </w:p>
        </w:tc>
      </w:tr>
      <w:tr w:rsidR="00387142" w:rsidRPr="008B6A75" w14:paraId="3ED146AA" w14:textId="77777777" w:rsidTr="00387142">
        <w:trPr>
          <w:trHeight w:val="1155"/>
        </w:trPr>
        <w:tc>
          <w:tcPr>
            <w:tcW w:w="3261" w:type="dxa"/>
            <w:tcBorders>
              <w:top w:val="nil"/>
              <w:left w:val="single" w:sz="4" w:space="0" w:color="auto"/>
              <w:bottom w:val="single" w:sz="4" w:space="0" w:color="auto"/>
              <w:right w:val="nil"/>
            </w:tcBorders>
            <w:shd w:val="clear" w:color="auto" w:fill="auto"/>
            <w:vAlign w:val="center"/>
            <w:hideMark/>
          </w:tcPr>
          <w:p w14:paraId="77D3CFA5" w14:textId="77777777" w:rsidR="00387142" w:rsidRPr="008B6A75" w:rsidRDefault="00387142" w:rsidP="00387142">
            <w:pPr>
              <w:rPr>
                <w:sz w:val="20"/>
                <w:szCs w:val="20"/>
              </w:rPr>
            </w:pPr>
            <w:r w:rsidRPr="008B6A75">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20" w:type="dxa"/>
            <w:tcBorders>
              <w:top w:val="nil"/>
              <w:left w:val="single" w:sz="4" w:space="0" w:color="auto"/>
              <w:bottom w:val="single" w:sz="4" w:space="0" w:color="auto"/>
              <w:right w:val="nil"/>
            </w:tcBorders>
            <w:shd w:val="clear" w:color="auto" w:fill="auto"/>
            <w:noWrap/>
            <w:vAlign w:val="center"/>
            <w:hideMark/>
          </w:tcPr>
          <w:p w14:paraId="13D1D372" w14:textId="77777777" w:rsidR="00387142" w:rsidRPr="008B6A75" w:rsidRDefault="00387142" w:rsidP="00387142">
            <w:pPr>
              <w:jc w:val="center"/>
              <w:rPr>
                <w:sz w:val="20"/>
                <w:szCs w:val="20"/>
              </w:rPr>
            </w:pPr>
            <w:r w:rsidRPr="008B6A75">
              <w:rPr>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3A98278" w14:textId="77777777" w:rsidR="00387142" w:rsidRPr="008B6A75" w:rsidRDefault="00387142" w:rsidP="00387142">
            <w:pPr>
              <w:jc w:val="center"/>
              <w:rPr>
                <w:sz w:val="20"/>
                <w:szCs w:val="20"/>
              </w:rPr>
            </w:pPr>
            <w:r w:rsidRPr="008B6A75">
              <w:rPr>
                <w:sz w:val="20"/>
                <w:szCs w:val="20"/>
              </w:rPr>
              <w:t>02</w:t>
            </w:r>
          </w:p>
        </w:tc>
        <w:tc>
          <w:tcPr>
            <w:tcW w:w="1516" w:type="dxa"/>
            <w:tcBorders>
              <w:top w:val="nil"/>
              <w:left w:val="single" w:sz="4" w:space="0" w:color="auto"/>
              <w:bottom w:val="single" w:sz="4" w:space="0" w:color="auto"/>
              <w:right w:val="nil"/>
            </w:tcBorders>
            <w:shd w:val="clear" w:color="auto" w:fill="auto"/>
            <w:noWrap/>
            <w:vAlign w:val="center"/>
            <w:hideMark/>
          </w:tcPr>
          <w:p w14:paraId="48FF2F6D" w14:textId="77777777" w:rsidR="00387142" w:rsidRPr="008B6A75" w:rsidRDefault="00387142" w:rsidP="00387142">
            <w:pPr>
              <w:jc w:val="center"/>
              <w:rPr>
                <w:sz w:val="20"/>
                <w:szCs w:val="20"/>
              </w:rPr>
            </w:pPr>
            <w:r w:rsidRPr="008B6A75">
              <w:rPr>
                <w:sz w:val="20"/>
                <w:szCs w:val="20"/>
              </w:rPr>
              <w:t>17.3.00.70600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0CB4FEE" w14:textId="77777777" w:rsidR="00387142" w:rsidRPr="008B6A75" w:rsidRDefault="00387142" w:rsidP="00387142">
            <w:pPr>
              <w:jc w:val="center"/>
              <w:rPr>
                <w:sz w:val="20"/>
                <w:szCs w:val="20"/>
              </w:rPr>
            </w:pPr>
            <w:r w:rsidRPr="008B6A75">
              <w:rPr>
                <w:sz w:val="20"/>
                <w:szCs w:val="20"/>
              </w:rPr>
              <w:t>810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2C5FD15" w14:textId="77777777" w:rsidR="00387142" w:rsidRPr="008B6A75" w:rsidRDefault="00387142" w:rsidP="00387142">
            <w:pPr>
              <w:jc w:val="right"/>
              <w:rPr>
                <w:sz w:val="20"/>
                <w:szCs w:val="20"/>
              </w:rPr>
            </w:pPr>
            <w:r w:rsidRPr="008B6A75">
              <w:rPr>
                <w:sz w:val="20"/>
                <w:szCs w:val="20"/>
              </w:rPr>
              <w:t>7 728 888,21</w:t>
            </w:r>
          </w:p>
        </w:tc>
        <w:tc>
          <w:tcPr>
            <w:tcW w:w="992" w:type="dxa"/>
            <w:tcBorders>
              <w:top w:val="nil"/>
              <w:left w:val="single" w:sz="4" w:space="0" w:color="auto"/>
              <w:bottom w:val="single" w:sz="4" w:space="0" w:color="auto"/>
              <w:right w:val="nil"/>
            </w:tcBorders>
            <w:shd w:val="clear" w:color="auto" w:fill="auto"/>
            <w:vAlign w:val="center"/>
            <w:hideMark/>
          </w:tcPr>
          <w:p w14:paraId="508ADB22" w14:textId="77777777" w:rsidR="00387142" w:rsidRPr="008B6A75" w:rsidRDefault="00387142" w:rsidP="00387142">
            <w:pPr>
              <w:jc w:val="right"/>
              <w:rPr>
                <w:sz w:val="20"/>
                <w:szCs w:val="20"/>
              </w:rPr>
            </w:pPr>
            <w:r w:rsidRPr="008B6A75">
              <w:rPr>
                <w:sz w:val="20"/>
                <w:szCs w:val="20"/>
              </w:rPr>
              <w:t>9 651 400,00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7A0577C9" w14:textId="77777777" w:rsidR="00387142" w:rsidRPr="008B6A75" w:rsidRDefault="00387142" w:rsidP="00387142">
            <w:pPr>
              <w:jc w:val="right"/>
              <w:rPr>
                <w:sz w:val="20"/>
                <w:szCs w:val="20"/>
              </w:rPr>
            </w:pPr>
            <w:r w:rsidRPr="008B6A75">
              <w:rPr>
                <w:sz w:val="20"/>
                <w:szCs w:val="20"/>
              </w:rPr>
              <w:t>9 651 400,00</w:t>
            </w:r>
          </w:p>
        </w:tc>
      </w:tr>
      <w:tr w:rsidR="00387142" w:rsidRPr="008B6A75" w14:paraId="7BE80E54" w14:textId="77777777" w:rsidTr="00387142">
        <w:trPr>
          <w:trHeight w:val="2580"/>
        </w:trPr>
        <w:tc>
          <w:tcPr>
            <w:tcW w:w="3261" w:type="dxa"/>
            <w:tcBorders>
              <w:top w:val="nil"/>
              <w:left w:val="single" w:sz="4" w:space="0" w:color="auto"/>
              <w:bottom w:val="single" w:sz="4" w:space="0" w:color="auto"/>
              <w:right w:val="nil"/>
            </w:tcBorders>
            <w:shd w:val="clear" w:color="auto" w:fill="auto"/>
            <w:vAlign w:val="center"/>
            <w:hideMark/>
          </w:tcPr>
          <w:p w14:paraId="7D90D048" w14:textId="77777777" w:rsidR="00387142" w:rsidRPr="008B6A75" w:rsidRDefault="00387142" w:rsidP="00387142">
            <w:pPr>
              <w:rPr>
                <w:bCs/>
                <w:sz w:val="20"/>
                <w:szCs w:val="20"/>
              </w:rPr>
            </w:pPr>
            <w:proofErr w:type="spellStart"/>
            <w:r w:rsidRPr="008B6A75">
              <w:rPr>
                <w:bCs/>
                <w:sz w:val="20"/>
                <w:szCs w:val="20"/>
              </w:rPr>
              <w:t>Софинансирование</w:t>
            </w:r>
            <w:proofErr w:type="spellEnd"/>
            <w:r w:rsidRPr="008B6A75">
              <w:rPr>
                <w:bCs/>
                <w:sz w:val="20"/>
                <w:szCs w:val="20"/>
              </w:rPr>
              <w:t xml:space="preserve"> местного бюджета на реализацию мероприятий по организации функционирования систем жизнеобеспечения и снабжению населения топливом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14:paraId="379342E8" w14:textId="77777777" w:rsidR="00387142" w:rsidRPr="008B6A75" w:rsidRDefault="00387142" w:rsidP="00387142">
            <w:pPr>
              <w:jc w:val="center"/>
              <w:rPr>
                <w:bCs/>
                <w:sz w:val="20"/>
                <w:szCs w:val="20"/>
              </w:rPr>
            </w:pPr>
            <w:r w:rsidRPr="008B6A75">
              <w:rPr>
                <w:bCs/>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77A95B9" w14:textId="77777777" w:rsidR="00387142" w:rsidRPr="008B6A75" w:rsidRDefault="00387142" w:rsidP="00387142">
            <w:pPr>
              <w:jc w:val="center"/>
              <w:rPr>
                <w:bCs/>
                <w:sz w:val="20"/>
                <w:szCs w:val="20"/>
              </w:rPr>
            </w:pPr>
            <w:r w:rsidRPr="008B6A75">
              <w:rPr>
                <w:bCs/>
                <w:sz w:val="20"/>
                <w:szCs w:val="20"/>
              </w:rPr>
              <w:t>02</w:t>
            </w:r>
          </w:p>
        </w:tc>
        <w:tc>
          <w:tcPr>
            <w:tcW w:w="1516" w:type="dxa"/>
            <w:tcBorders>
              <w:top w:val="nil"/>
              <w:left w:val="single" w:sz="4" w:space="0" w:color="auto"/>
              <w:bottom w:val="single" w:sz="4" w:space="0" w:color="auto"/>
              <w:right w:val="nil"/>
            </w:tcBorders>
            <w:shd w:val="clear" w:color="auto" w:fill="auto"/>
            <w:noWrap/>
            <w:vAlign w:val="center"/>
            <w:hideMark/>
          </w:tcPr>
          <w:p w14:paraId="24CEB313" w14:textId="77777777" w:rsidR="00387142" w:rsidRPr="008B6A75" w:rsidRDefault="00387142" w:rsidP="00387142">
            <w:pPr>
              <w:jc w:val="center"/>
              <w:rPr>
                <w:bCs/>
                <w:sz w:val="20"/>
                <w:szCs w:val="20"/>
              </w:rPr>
            </w:pPr>
            <w:r w:rsidRPr="008B6A75">
              <w:rPr>
                <w:bCs/>
                <w:sz w:val="20"/>
                <w:szCs w:val="20"/>
              </w:rPr>
              <w:t>17.3.00.S0490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8B8A3B7"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E6D65B7" w14:textId="77777777" w:rsidR="00387142" w:rsidRPr="008B6A75" w:rsidRDefault="00387142" w:rsidP="00387142">
            <w:pPr>
              <w:jc w:val="right"/>
              <w:rPr>
                <w:bCs/>
                <w:sz w:val="20"/>
                <w:szCs w:val="20"/>
              </w:rPr>
            </w:pPr>
            <w:r w:rsidRPr="008B6A75">
              <w:rPr>
                <w:bCs/>
                <w:sz w:val="20"/>
                <w:szCs w:val="20"/>
              </w:rPr>
              <w:t>265 347,30</w:t>
            </w:r>
          </w:p>
        </w:tc>
        <w:tc>
          <w:tcPr>
            <w:tcW w:w="992" w:type="dxa"/>
            <w:tcBorders>
              <w:top w:val="nil"/>
              <w:left w:val="single" w:sz="4" w:space="0" w:color="auto"/>
              <w:bottom w:val="single" w:sz="4" w:space="0" w:color="auto"/>
              <w:right w:val="nil"/>
            </w:tcBorders>
            <w:shd w:val="clear" w:color="auto" w:fill="auto"/>
            <w:vAlign w:val="center"/>
            <w:hideMark/>
          </w:tcPr>
          <w:p w14:paraId="55E40D33" w14:textId="77777777" w:rsidR="00387142" w:rsidRPr="008B6A75" w:rsidRDefault="00387142" w:rsidP="00387142">
            <w:pPr>
              <w:jc w:val="right"/>
              <w:rPr>
                <w:bCs/>
                <w:sz w:val="20"/>
                <w:szCs w:val="20"/>
              </w:rPr>
            </w:pPr>
            <w:r w:rsidRPr="008B6A75">
              <w:rPr>
                <w:bCs/>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28DB30B3" w14:textId="77777777" w:rsidR="00387142" w:rsidRPr="008B6A75" w:rsidRDefault="00387142" w:rsidP="00387142">
            <w:pPr>
              <w:jc w:val="right"/>
              <w:rPr>
                <w:bCs/>
                <w:sz w:val="20"/>
                <w:szCs w:val="20"/>
              </w:rPr>
            </w:pPr>
            <w:r w:rsidRPr="008B6A75">
              <w:rPr>
                <w:bCs/>
                <w:sz w:val="20"/>
                <w:szCs w:val="20"/>
              </w:rPr>
              <w:t>0,00</w:t>
            </w:r>
          </w:p>
        </w:tc>
      </w:tr>
      <w:tr w:rsidR="00387142" w:rsidRPr="008B6A75" w14:paraId="444B36FF" w14:textId="77777777" w:rsidTr="00387142">
        <w:trPr>
          <w:trHeight w:val="345"/>
        </w:trPr>
        <w:tc>
          <w:tcPr>
            <w:tcW w:w="3261" w:type="dxa"/>
            <w:tcBorders>
              <w:top w:val="nil"/>
              <w:left w:val="single" w:sz="4" w:space="0" w:color="auto"/>
              <w:bottom w:val="single" w:sz="4" w:space="0" w:color="auto"/>
              <w:right w:val="nil"/>
            </w:tcBorders>
            <w:shd w:val="clear" w:color="auto" w:fill="auto"/>
            <w:vAlign w:val="center"/>
            <w:hideMark/>
          </w:tcPr>
          <w:p w14:paraId="107A9B6A" w14:textId="77777777" w:rsidR="00387142" w:rsidRPr="008B6A75" w:rsidRDefault="00387142" w:rsidP="00387142">
            <w:pPr>
              <w:rPr>
                <w:sz w:val="20"/>
                <w:szCs w:val="20"/>
              </w:rPr>
            </w:pPr>
            <w:r w:rsidRPr="008B6A75">
              <w:rPr>
                <w:sz w:val="20"/>
                <w:szCs w:val="20"/>
              </w:rPr>
              <w:t>Иные бюджетные ассигнования</w:t>
            </w:r>
          </w:p>
        </w:tc>
        <w:tc>
          <w:tcPr>
            <w:tcW w:w="720" w:type="dxa"/>
            <w:tcBorders>
              <w:top w:val="nil"/>
              <w:left w:val="single" w:sz="4" w:space="0" w:color="auto"/>
              <w:bottom w:val="single" w:sz="4" w:space="0" w:color="auto"/>
              <w:right w:val="nil"/>
            </w:tcBorders>
            <w:shd w:val="clear" w:color="auto" w:fill="auto"/>
            <w:noWrap/>
            <w:vAlign w:val="center"/>
            <w:hideMark/>
          </w:tcPr>
          <w:p w14:paraId="4AA8DE64" w14:textId="77777777" w:rsidR="00387142" w:rsidRPr="008B6A75" w:rsidRDefault="00387142" w:rsidP="00387142">
            <w:pPr>
              <w:jc w:val="center"/>
              <w:rPr>
                <w:sz w:val="20"/>
                <w:szCs w:val="20"/>
              </w:rPr>
            </w:pPr>
            <w:r w:rsidRPr="008B6A75">
              <w:rPr>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B687499" w14:textId="77777777" w:rsidR="00387142" w:rsidRPr="008B6A75" w:rsidRDefault="00387142" w:rsidP="00387142">
            <w:pPr>
              <w:jc w:val="center"/>
              <w:rPr>
                <w:sz w:val="20"/>
                <w:szCs w:val="20"/>
              </w:rPr>
            </w:pPr>
            <w:r w:rsidRPr="008B6A75">
              <w:rPr>
                <w:sz w:val="20"/>
                <w:szCs w:val="20"/>
              </w:rPr>
              <w:t>02</w:t>
            </w:r>
          </w:p>
        </w:tc>
        <w:tc>
          <w:tcPr>
            <w:tcW w:w="1516" w:type="dxa"/>
            <w:tcBorders>
              <w:top w:val="nil"/>
              <w:left w:val="single" w:sz="4" w:space="0" w:color="auto"/>
              <w:bottom w:val="single" w:sz="4" w:space="0" w:color="auto"/>
              <w:right w:val="nil"/>
            </w:tcBorders>
            <w:shd w:val="clear" w:color="auto" w:fill="auto"/>
            <w:noWrap/>
            <w:vAlign w:val="center"/>
            <w:hideMark/>
          </w:tcPr>
          <w:p w14:paraId="014DFC5C" w14:textId="77777777" w:rsidR="00387142" w:rsidRPr="008B6A75" w:rsidRDefault="00387142" w:rsidP="00387142">
            <w:pPr>
              <w:jc w:val="center"/>
              <w:rPr>
                <w:sz w:val="20"/>
                <w:szCs w:val="20"/>
              </w:rPr>
            </w:pPr>
            <w:r w:rsidRPr="008B6A75">
              <w:rPr>
                <w:sz w:val="20"/>
                <w:szCs w:val="20"/>
              </w:rPr>
              <w:t>17.3.00.S0490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7D702AE" w14:textId="77777777" w:rsidR="00387142" w:rsidRPr="008B6A75" w:rsidRDefault="00387142" w:rsidP="00387142">
            <w:pPr>
              <w:jc w:val="center"/>
              <w:rPr>
                <w:sz w:val="20"/>
                <w:szCs w:val="20"/>
              </w:rPr>
            </w:pPr>
            <w:r w:rsidRPr="008B6A75">
              <w:rPr>
                <w:sz w:val="20"/>
                <w:szCs w:val="20"/>
              </w:rPr>
              <w:t>800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E8E9BF5" w14:textId="77777777" w:rsidR="00387142" w:rsidRPr="008B6A75" w:rsidRDefault="00387142" w:rsidP="00387142">
            <w:pPr>
              <w:jc w:val="right"/>
              <w:rPr>
                <w:sz w:val="20"/>
                <w:szCs w:val="20"/>
              </w:rPr>
            </w:pPr>
            <w:r w:rsidRPr="008B6A75">
              <w:rPr>
                <w:sz w:val="20"/>
                <w:szCs w:val="20"/>
              </w:rPr>
              <w:t>265 347,30</w:t>
            </w:r>
          </w:p>
        </w:tc>
        <w:tc>
          <w:tcPr>
            <w:tcW w:w="992" w:type="dxa"/>
            <w:tcBorders>
              <w:top w:val="nil"/>
              <w:left w:val="single" w:sz="4" w:space="0" w:color="auto"/>
              <w:bottom w:val="single" w:sz="4" w:space="0" w:color="auto"/>
              <w:right w:val="nil"/>
            </w:tcBorders>
            <w:shd w:val="clear" w:color="auto" w:fill="auto"/>
            <w:vAlign w:val="center"/>
            <w:hideMark/>
          </w:tcPr>
          <w:p w14:paraId="40020E09" w14:textId="77777777" w:rsidR="00387142" w:rsidRPr="008B6A75" w:rsidRDefault="00387142" w:rsidP="00387142">
            <w:pPr>
              <w:jc w:val="right"/>
              <w:rPr>
                <w:sz w:val="20"/>
                <w:szCs w:val="20"/>
              </w:rPr>
            </w:pPr>
            <w:r w:rsidRPr="008B6A75">
              <w:rPr>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29E15373" w14:textId="77777777" w:rsidR="00387142" w:rsidRPr="008B6A75" w:rsidRDefault="00387142" w:rsidP="00387142">
            <w:pPr>
              <w:jc w:val="right"/>
              <w:rPr>
                <w:sz w:val="20"/>
                <w:szCs w:val="20"/>
              </w:rPr>
            </w:pPr>
            <w:r w:rsidRPr="008B6A75">
              <w:rPr>
                <w:sz w:val="20"/>
                <w:szCs w:val="20"/>
              </w:rPr>
              <w:t>0,00</w:t>
            </w:r>
          </w:p>
        </w:tc>
      </w:tr>
      <w:tr w:rsidR="00387142" w:rsidRPr="008B6A75" w14:paraId="51E68657" w14:textId="77777777" w:rsidTr="00387142">
        <w:trPr>
          <w:trHeight w:val="1155"/>
        </w:trPr>
        <w:tc>
          <w:tcPr>
            <w:tcW w:w="3261" w:type="dxa"/>
            <w:tcBorders>
              <w:top w:val="nil"/>
              <w:left w:val="single" w:sz="4" w:space="0" w:color="auto"/>
              <w:bottom w:val="single" w:sz="4" w:space="0" w:color="auto"/>
              <w:right w:val="nil"/>
            </w:tcBorders>
            <w:shd w:val="clear" w:color="auto" w:fill="auto"/>
            <w:vAlign w:val="center"/>
            <w:hideMark/>
          </w:tcPr>
          <w:p w14:paraId="1489B4C6" w14:textId="77777777" w:rsidR="00387142" w:rsidRPr="008B6A75" w:rsidRDefault="00387142" w:rsidP="00387142">
            <w:pPr>
              <w:rPr>
                <w:sz w:val="20"/>
                <w:szCs w:val="20"/>
              </w:rPr>
            </w:pPr>
            <w:r w:rsidRPr="008B6A75">
              <w:rPr>
                <w:sz w:val="20"/>
                <w:szCs w:val="20"/>
              </w:rP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20" w:type="dxa"/>
            <w:tcBorders>
              <w:top w:val="nil"/>
              <w:left w:val="single" w:sz="4" w:space="0" w:color="auto"/>
              <w:bottom w:val="single" w:sz="4" w:space="0" w:color="auto"/>
              <w:right w:val="nil"/>
            </w:tcBorders>
            <w:shd w:val="clear" w:color="auto" w:fill="auto"/>
            <w:noWrap/>
            <w:vAlign w:val="center"/>
            <w:hideMark/>
          </w:tcPr>
          <w:p w14:paraId="01E8C522" w14:textId="77777777" w:rsidR="00387142" w:rsidRPr="008B6A75" w:rsidRDefault="00387142" w:rsidP="00387142">
            <w:pPr>
              <w:jc w:val="center"/>
              <w:rPr>
                <w:sz w:val="20"/>
                <w:szCs w:val="20"/>
              </w:rPr>
            </w:pPr>
            <w:r w:rsidRPr="008B6A75">
              <w:rPr>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9DF5B7A" w14:textId="77777777" w:rsidR="00387142" w:rsidRPr="008B6A75" w:rsidRDefault="00387142" w:rsidP="00387142">
            <w:pPr>
              <w:jc w:val="center"/>
              <w:rPr>
                <w:sz w:val="20"/>
                <w:szCs w:val="20"/>
              </w:rPr>
            </w:pPr>
            <w:r w:rsidRPr="008B6A75">
              <w:rPr>
                <w:sz w:val="20"/>
                <w:szCs w:val="20"/>
              </w:rPr>
              <w:t>02</w:t>
            </w:r>
          </w:p>
        </w:tc>
        <w:tc>
          <w:tcPr>
            <w:tcW w:w="1516" w:type="dxa"/>
            <w:tcBorders>
              <w:top w:val="nil"/>
              <w:left w:val="single" w:sz="4" w:space="0" w:color="auto"/>
              <w:bottom w:val="single" w:sz="4" w:space="0" w:color="auto"/>
              <w:right w:val="nil"/>
            </w:tcBorders>
            <w:shd w:val="clear" w:color="auto" w:fill="auto"/>
            <w:noWrap/>
            <w:vAlign w:val="center"/>
            <w:hideMark/>
          </w:tcPr>
          <w:p w14:paraId="68C54504" w14:textId="77777777" w:rsidR="00387142" w:rsidRPr="008B6A75" w:rsidRDefault="00387142" w:rsidP="00387142">
            <w:pPr>
              <w:jc w:val="center"/>
              <w:rPr>
                <w:sz w:val="20"/>
                <w:szCs w:val="20"/>
              </w:rPr>
            </w:pPr>
            <w:r w:rsidRPr="008B6A75">
              <w:rPr>
                <w:sz w:val="20"/>
                <w:szCs w:val="20"/>
              </w:rPr>
              <w:t>17.3.00.S0490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2F5984C" w14:textId="77777777" w:rsidR="00387142" w:rsidRPr="008B6A75" w:rsidRDefault="00387142" w:rsidP="00387142">
            <w:pPr>
              <w:jc w:val="center"/>
              <w:rPr>
                <w:sz w:val="20"/>
                <w:szCs w:val="20"/>
              </w:rPr>
            </w:pPr>
            <w:r w:rsidRPr="008B6A75">
              <w:rPr>
                <w:sz w:val="20"/>
                <w:szCs w:val="20"/>
              </w:rPr>
              <w:t>810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2E08063" w14:textId="77777777" w:rsidR="00387142" w:rsidRPr="008B6A75" w:rsidRDefault="00387142" w:rsidP="00387142">
            <w:pPr>
              <w:jc w:val="right"/>
              <w:rPr>
                <w:sz w:val="20"/>
                <w:szCs w:val="20"/>
              </w:rPr>
            </w:pPr>
            <w:r w:rsidRPr="008B6A75">
              <w:rPr>
                <w:sz w:val="20"/>
                <w:szCs w:val="20"/>
              </w:rPr>
              <w:t>265 347,30</w:t>
            </w:r>
          </w:p>
        </w:tc>
        <w:tc>
          <w:tcPr>
            <w:tcW w:w="992" w:type="dxa"/>
            <w:tcBorders>
              <w:top w:val="nil"/>
              <w:left w:val="single" w:sz="4" w:space="0" w:color="auto"/>
              <w:bottom w:val="single" w:sz="4" w:space="0" w:color="auto"/>
              <w:right w:val="nil"/>
            </w:tcBorders>
            <w:shd w:val="clear" w:color="auto" w:fill="auto"/>
            <w:vAlign w:val="center"/>
            <w:hideMark/>
          </w:tcPr>
          <w:p w14:paraId="09AA3BA5" w14:textId="77777777" w:rsidR="00387142" w:rsidRPr="008B6A75" w:rsidRDefault="00387142" w:rsidP="00387142">
            <w:pPr>
              <w:jc w:val="right"/>
              <w:rPr>
                <w:sz w:val="20"/>
                <w:szCs w:val="20"/>
              </w:rPr>
            </w:pPr>
            <w:r w:rsidRPr="008B6A75">
              <w:rPr>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62BEEF13" w14:textId="77777777" w:rsidR="00387142" w:rsidRPr="008B6A75" w:rsidRDefault="00387142" w:rsidP="00387142">
            <w:pPr>
              <w:jc w:val="right"/>
              <w:rPr>
                <w:sz w:val="20"/>
                <w:szCs w:val="20"/>
              </w:rPr>
            </w:pPr>
            <w:r w:rsidRPr="008B6A75">
              <w:rPr>
                <w:sz w:val="20"/>
                <w:szCs w:val="20"/>
              </w:rPr>
              <w:t>0,00</w:t>
            </w:r>
          </w:p>
        </w:tc>
      </w:tr>
      <w:tr w:rsidR="00387142" w:rsidRPr="008B6A75" w14:paraId="059ED642" w14:textId="77777777" w:rsidTr="00387142">
        <w:trPr>
          <w:trHeight w:val="2580"/>
        </w:trPr>
        <w:tc>
          <w:tcPr>
            <w:tcW w:w="3261" w:type="dxa"/>
            <w:tcBorders>
              <w:top w:val="nil"/>
              <w:left w:val="single" w:sz="4" w:space="0" w:color="auto"/>
              <w:bottom w:val="single" w:sz="4" w:space="0" w:color="auto"/>
              <w:right w:val="nil"/>
            </w:tcBorders>
            <w:shd w:val="clear" w:color="auto" w:fill="auto"/>
            <w:vAlign w:val="center"/>
            <w:hideMark/>
          </w:tcPr>
          <w:p w14:paraId="13BC9AAA" w14:textId="77777777" w:rsidR="00387142" w:rsidRPr="008B6A75" w:rsidRDefault="00387142" w:rsidP="00387142">
            <w:pPr>
              <w:rPr>
                <w:bCs/>
                <w:sz w:val="20"/>
                <w:szCs w:val="20"/>
              </w:rPr>
            </w:pPr>
            <w:proofErr w:type="spellStart"/>
            <w:r w:rsidRPr="008B6A75">
              <w:rPr>
                <w:bCs/>
                <w:sz w:val="20"/>
                <w:szCs w:val="20"/>
              </w:rPr>
              <w:t>Софинансирование</w:t>
            </w:r>
            <w:proofErr w:type="spellEnd"/>
            <w:r w:rsidRPr="008B6A75">
              <w:rPr>
                <w:bCs/>
                <w:sz w:val="20"/>
                <w:szCs w:val="20"/>
              </w:rPr>
              <w:t xml:space="preserve"> местного бюджета на реализацию мероприятий по организации бесперебойной работы объектов жизнедеятельности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14:paraId="4586242E" w14:textId="77777777" w:rsidR="00387142" w:rsidRPr="008B6A75" w:rsidRDefault="00387142" w:rsidP="00387142">
            <w:pPr>
              <w:jc w:val="center"/>
              <w:rPr>
                <w:bCs/>
                <w:sz w:val="20"/>
                <w:szCs w:val="20"/>
              </w:rPr>
            </w:pPr>
            <w:r w:rsidRPr="008B6A75">
              <w:rPr>
                <w:bCs/>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626C9EF" w14:textId="77777777" w:rsidR="00387142" w:rsidRPr="008B6A75" w:rsidRDefault="00387142" w:rsidP="00387142">
            <w:pPr>
              <w:jc w:val="center"/>
              <w:rPr>
                <w:bCs/>
                <w:sz w:val="20"/>
                <w:szCs w:val="20"/>
              </w:rPr>
            </w:pPr>
            <w:r w:rsidRPr="008B6A75">
              <w:rPr>
                <w:bCs/>
                <w:sz w:val="20"/>
                <w:szCs w:val="20"/>
              </w:rPr>
              <w:t>02</w:t>
            </w:r>
          </w:p>
        </w:tc>
        <w:tc>
          <w:tcPr>
            <w:tcW w:w="1516" w:type="dxa"/>
            <w:tcBorders>
              <w:top w:val="nil"/>
              <w:left w:val="single" w:sz="4" w:space="0" w:color="auto"/>
              <w:bottom w:val="single" w:sz="4" w:space="0" w:color="auto"/>
              <w:right w:val="nil"/>
            </w:tcBorders>
            <w:shd w:val="clear" w:color="auto" w:fill="auto"/>
            <w:noWrap/>
            <w:vAlign w:val="center"/>
            <w:hideMark/>
          </w:tcPr>
          <w:p w14:paraId="591DABC4" w14:textId="77777777" w:rsidR="00387142" w:rsidRPr="008B6A75" w:rsidRDefault="00387142" w:rsidP="00387142">
            <w:pPr>
              <w:jc w:val="center"/>
              <w:rPr>
                <w:bCs/>
                <w:sz w:val="20"/>
                <w:szCs w:val="20"/>
              </w:rPr>
            </w:pPr>
            <w:r w:rsidRPr="008B6A75">
              <w:rPr>
                <w:bCs/>
                <w:sz w:val="20"/>
                <w:szCs w:val="20"/>
              </w:rPr>
              <w:t>17.3.00.S0600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2536527"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45C7909" w14:textId="77777777" w:rsidR="00387142" w:rsidRPr="008B6A75" w:rsidRDefault="00387142" w:rsidP="00387142">
            <w:pPr>
              <w:jc w:val="right"/>
              <w:rPr>
                <w:bCs/>
                <w:sz w:val="20"/>
                <w:szCs w:val="20"/>
              </w:rPr>
            </w:pPr>
            <w:r w:rsidRPr="008B6A75">
              <w:rPr>
                <w:bCs/>
                <w:sz w:val="20"/>
                <w:szCs w:val="20"/>
              </w:rPr>
              <w:t>157 732,42</w:t>
            </w:r>
          </w:p>
        </w:tc>
        <w:tc>
          <w:tcPr>
            <w:tcW w:w="992" w:type="dxa"/>
            <w:tcBorders>
              <w:top w:val="nil"/>
              <w:left w:val="single" w:sz="4" w:space="0" w:color="auto"/>
              <w:bottom w:val="single" w:sz="4" w:space="0" w:color="auto"/>
              <w:right w:val="nil"/>
            </w:tcBorders>
            <w:shd w:val="clear" w:color="auto" w:fill="auto"/>
            <w:vAlign w:val="center"/>
            <w:hideMark/>
          </w:tcPr>
          <w:p w14:paraId="5A9C2F60" w14:textId="77777777" w:rsidR="00387142" w:rsidRPr="008B6A75" w:rsidRDefault="00387142" w:rsidP="00387142">
            <w:pPr>
              <w:jc w:val="right"/>
              <w:rPr>
                <w:bCs/>
                <w:sz w:val="20"/>
                <w:szCs w:val="20"/>
              </w:rPr>
            </w:pPr>
            <w:r w:rsidRPr="008B6A75">
              <w:rPr>
                <w:bCs/>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34D25F4D" w14:textId="77777777" w:rsidR="00387142" w:rsidRPr="008B6A75" w:rsidRDefault="00387142" w:rsidP="00387142">
            <w:pPr>
              <w:jc w:val="right"/>
              <w:rPr>
                <w:bCs/>
                <w:sz w:val="20"/>
                <w:szCs w:val="20"/>
              </w:rPr>
            </w:pPr>
            <w:r w:rsidRPr="008B6A75">
              <w:rPr>
                <w:bCs/>
                <w:sz w:val="20"/>
                <w:szCs w:val="20"/>
              </w:rPr>
              <w:t>0,00</w:t>
            </w:r>
          </w:p>
        </w:tc>
      </w:tr>
      <w:tr w:rsidR="00387142" w:rsidRPr="008B6A75" w14:paraId="27F1032D" w14:textId="77777777" w:rsidTr="00387142">
        <w:trPr>
          <w:trHeight w:val="345"/>
        </w:trPr>
        <w:tc>
          <w:tcPr>
            <w:tcW w:w="3261" w:type="dxa"/>
            <w:tcBorders>
              <w:top w:val="nil"/>
              <w:left w:val="single" w:sz="4" w:space="0" w:color="auto"/>
              <w:bottom w:val="single" w:sz="4" w:space="0" w:color="auto"/>
              <w:right w:val="nil"/>
            </w:tcBorders>
            <w:shd w:val="clear" w:color="auto" w:fill="auto"/>
            <w:vAlign w:val="center"/>
            <w:hideMark/>
          </w:tcPr>
          <w:p w14:paraId="398E47D1" w14:textId="77777777" w:rsidR="00387142" w:rsidRPr="008B6A75" w:rsidRDefault="00387142" w:rsidP="00387142">
            <w:pPr>
              <w:rPr>
                <w:sz w:val="20"/>
                <w:szCs w:val="20"/>
              </w:rPr>
            </w:pPr>
            <w:r w:rsidRPr="008B6A75">
              <w:rPr>
                <w:sz w:val="20"/>
                <w:szCs w:val="20"/>
              </w:rPr>
              <w:t>Иные бюджетные ассигнования</w:t>
            </w:r>
          </w:p>
        </w:tc>
        <w:tc>
          <w:tcPr>
            <w:tcW w:w="720" w:type="dxa"/>
            <w:tcBorders>
              <w:top w:val="nil"/>
              <w:left w:val="single" w:sz="4" w:space="0" w:color="auto"/>
              <w:bottom w:val="single" w:sz="4" w:space="0" w:color="auto"/>
              <w:right w:val="nil"/>
            </w:tcBorders>
            <w:shd w:val="clear" w:color="auto" w:fill="auto"/>
            <w:noWrap/>
            <w:vAlign w:val="center"/>
            <w:hideMark/>
          </w:tcPr>
          <w:p w14:paraId="2265EC5A" w14:textId="77777777" w:rsidR="00387142" w:rsidRPr="008B6A75" w:rsidRDefault="00387142" w:rsidP="00387142">
            <w:pPr>
              <w:jc w:val="center"/>
              <w:rPr>
                <w:sz w:val="20"/>
                <w:szCs w:val="20"/>
              </w:rPr>
            </w:pPr>
            <w:r w:rsidRPr="008B6A75">
              <w:rPr>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B2900DA" w14:textId="77777777" w:rsidR="00387142" w:rsidRPr="008B6A75" w:rsidRDefault="00387142" w:rsidP="00387142">
            <w:pPr>
              <w:jc w:val="center"/>
              <w:rPr>
                <w:sz w:val="20"/>
                <w:szCs w:val="20"/>
              </w:rPr>
            </w:pPr>
            <w:r w:rsidRPr="008B6A75">
              <w:rPr>
                <w:sz w:val="20"/>
                <w:szCs w:val="20"/>
              </w:rPr>
              <w:t>02</w:t>
            </w:r>
          </w:p>
        </w:tc>
        <w:tc>
          <w:tcPr>
            <w:tcW w:w="1516" w:type="dxa"/>
            <w:tcBorders>
              <w:top w:val="nil"/>
              <w:left w:val="single" w:sz="4" w:space="0" w:color="auto"/>
              <w:bottom w:val="single" w:sz="4" w:space="0" w:color="auto"/>
              <w:right w:val="nil"/>
            </w:tcBorders>
            <w:shd w:val="clear" w:color="auto" w:fill="auto"/>
            <w:noWrap/>
            <w:vAlign w:val="center"/>
            <w:hideMark/>
          </w:tcPr>
          <w:p w14:paraId="2F1281F7" w14:textId="77777777" w:rsidR="00387142" w:rsidRPr="008B6A75" w:rsidRDefault="00387142" w:rsidP="00387142">
            <w:pPr>
              <w:jc w:val="center"/>
              <w:rPr>
                <w:sz w:val="20"/>
                <w:szCs w:val="20"/>
              </w:rPr>
            </w:pPr>
            <w:r w:rsidRPr="008B6A75">
              <w:rPr>
                <w:sz w:val="20"/>
                <w:szCs w:val="20"/>
              </w:rPr>
              <w:t>17.3.00.S0600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410A13E" w14:textId="77777777" w:rsidR="00387142" w:rsidRPr="008B6A75" w:rsidRDefault="00387142" w:rsidP="00387142">
            <w:pPr>
              <w:jc w:val="center"/>
              <w:rPr>
                <w:sz w:val="20"/>
                <w:szCs w:val="20"/>
              </w:rPr>
            </w:pPr>
            <w:r w:rsidRPr="008B6A75">
              <w:rPr>
                <w:sz w:val="20"/>
                <w:szCs w:val="20"/>
              </w:rPr>
              <w:t>800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D06B06C" w14:textId="77777777" w:rsidR="00387142" w:rsidRPr="008B6A75" w:rsidRDefault="00387142" w:rsidP="00387142">
            <w:pPr>
              <w:jc w:val="right"/>
              <w:rPr>
                <w:sz w:val="20"/>
                <w:szCs w:val="20"/>
              </w:rPr>
            </w:pPr>
            <w:r w:rsidRPr="008B6A75">
              <w:rPr>
                <w:sz w:val="20"/>
                <w:szCs w:val="20"/>
              </w:rPr>
              <w:t>157 732,42</w:t>
            </w:r>
          </w:p>
        </w:tc>
        <w:tc>
          <w:tcPr>
            <w:tcW w:w="992" w:type="dxa"/>
            <w:tcBorders>
              <w:top w:val="nil"/>
              <w:left w:val="single" w:sz="4" w:space="0" w:color="auto"/>
              <w:bottom w:val="single" w:sz="4" w:space="0" w:color="auto"/>
              <w:right w:val="nil"/>
            </w:tcBorders>
            <w:shd w:val="clear" w:color="auto" w:fill="auto"/>
            <w:vAlign w:val="center"/>
            <w:hideMark/>
          </w:tcPr>
          <w:p w14:paraId="44AB0476" w14:textId="77777777" w:rsidR="00387142" w:rsidRPr="008B6A75" w:rsidRDefault="00387142" w:rsidP="00387142">
            <w:pPr>
              <w:jc w:val="right"/>
              <w:rPr>
                <w:sz w:val="20"/>
                <w:szCs w:val="20"/>
              </w:rPr>
            </w:pPr>
            <w:r w:rsidRPr="008B6A75">
              <w:rPr>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6FD70BEA" w14:textId="77777777" w:rsidR="00387142" w:rsidRPr="008B6A75" w:rsidRDefault="00387142" w:rsidP="00387142">
            <w:pPr>
              <w:jc w:val="right"/>
              <w:rPr>
                <w:sz w:val="20"/>
                <w:szCs w:val="20"/>
              </w:rPr>
            </w:pPr>
            <w:r w:rsidRPr="008B6A75">
              <w:rPr>
                <w:sz w:val="20"/>
                <w:szCs w:val="20"/>
              </w:rPr>
              <w:t>0,00</w:t>
            </w:r>
          </w:p>
        </w:tc>
      </w:tr>
      <w:tr w:rsidR="00387142" w:rsidRPr="008B6A75" w14:paraId="5BCFF436" w14:textId="77777777" w:rsidTr="00387142">
        <w:trPr>
          <w:trHeight w:val="1155"/>
        </w:trPr>
        <w:tc>
          <w:tcPr>
            <w:tcW w:w="3261" w:type="dxa"/>
            <w:tcBorders>
              <w:top w:val="nil"/>
              <w:left w:val="single" w:sz="4" w:space="0" w:color="auto"/>
              <w:bottom w:val="single" w:sz="4" w:space="0" w:color="auto"/>
              <w:right w:val="nil"/>
            </w:tcBorders>
            <w:shd w:val="clear" w:color="auto" w:fill="auto"/>
            <w:vAlign w:val="center"/>
            <w:hideMark/>
          </w:tcPr>
          <w:p w14:paraId="64138FDD" w14:textId="77777777" w:rsidR="00387142" w:rsidRPr="008B6A75" w:rsidRDefault="00387142" w:rsidP="00387142">
            <w:pPr>
              <w:rPr>
                <w:sz w:val="20"/>
                <w:szCs w:val="20"/>
              </w:rPr>
            </w:pPr>
            <w:r w:rsidRPr="008B6A75">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20" w:type="dxa"/>
            <w:tcBorders>
              <w:top w:val="nil"/>
              <w:left w:val="single" w:sz="4" w:space="0" w:color="auto"/>
              <w:bottom w:val="single" w:sz="4" w:space="0" w:color="auto"/>
              <w:right w:val="nil"/>
            </w:tcBorders>
            <w:shd w:val="clear" w:color="auto" w:fill="auto"/>
            <w:noWrap/>
            <w:vAlign w:val="center"/>
            <w:hideMark/>
          </w:tcPr>
          <w:p w14:paraId="5D830C2B" w14:textId="77777777" w:rsidR="00387142" w:rsidRPr="008B6A75" w:rsidRDefault="00387142" w:rsidP="00387142">
            <w:pPr>
              <w:jc w:val="center"/>
              <w:rPr>
                <w:sz w:val="20"/>
                <w:szCs w:val="20"/>
              </w:rPr>
            </w:pPr>
            <w:r w:rsidRPr="008B6A75">
              <w:rPr>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776A345" w14:textId="77777777" w:rsidR="00387142" w:rsidRPr="008B6A75" w:rsidRDefault="00387142" w:rsidP="00387142">
            <w:pPr>
              <w:jc w:val="center"/>
              <w:rPr>
                <w:sz w:val="20"/>
                <w:szCs w:val="20"/>
              </w:rPr>
            </w:pPr>
            <w:r w:rsidRPr="008B6A75">
              <w:rPr>
                <w:sz w:val="20"/>
                <w:szCs w:val="20"/>
              </w:rPr>
              <w:t>02</w:t>
            </w:r>
          </w:p>
        </w:tc>
        <w:tc>
          <w:tcPr>
            <w:tcW w:w="1516" w:type="dxa"/>
            <w:tcBorders>
              <w:top w:val="nil"/>
              <w:left w:val="single" w:sz="4" w:space="0" w:color="auto"/>
              <w:bottom w:val="single" w:sz="4" w:space="0" w:color="auto"/>
              <w:right w:val="nil"/>
            </w:tcBorders>
            <w:shd w:val="clear" w:color="auto" w:fill="auto"/>
            <w:noWrap/>
            <w:vAlign w:val="center"/>
            <w:hideMark/>
          </w:tcPr>
          <w:p w14:paraId="6D6232C7" w14:textId="77777777" w:rsidR="00387142" w:rsidRPr="008B6A75" w:rsidRDefault="00387142" w:rsidP="00387142">
            <w:pPr>
              <w:jc w:val="center"/>
              <w:rPr>
                <w:sz w:val="20"/>
                <w:szCs w:val="20"/>
              </w:rPr>
            </w:pPr>
            <w:r w:rsidRPr="008B6A75">
              <w:rPr>
                <w:sz w:val="20"/>
                <w:szCs w:val="20"/>
              </w:rPr>
              <w:t>17.3.00.S0600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B42FCA5" w14:textId="77777777" w:rsidR="00387142" w:rsidRPr="008B6A75" w:rsidRDefault="00387142" w:rsidP="00387142">
            <w:pPr>
              <w:jc w:val="center"/>
              <w:rPr>
                <w:sz w:val="20"/>
                <w:szCs w:val="20"/>
              </w:rPr>
            </w:pPr>
            <w:r w:rsidRPr="008B6A75">
              <w:rPr>
                <w:sz w:val="20"/>
                <w:szCs w:val="20"/>
              </w:rPr>
              <w:t>810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3E325A1" w14:textId="77777777" w:rsidR="00387142" w:rsidRPr="008B6A75" w:rsidRDefault="00387142" w:rsidP="00387142">
            <w:pPr>
              <w:jc w:val="right"/>
              <w:rPr>
                <w:sz w:val="20"/>
                <w:szCs w:val="20"/>
              </w:rPr>
            </w:pPr>
            <w:r w:rsidRPr="008B6A75">
              <w:rPr>
                <w:sz w:val="20"/>
                <w:szCs w:val="20"/>
              </w:rPr>
              <w:t>157 732,42</w:t>
            </w:r>
          </w:p>
        </w:tc>
        <w:tc>
          <w:tcPr>
            <w:tcW w:w="992" w:type="dxa"/>
            <w:tcBorders>
              <w:top w:val="nil"/>
              <w:left w:val="single" w:sz="4" w:space="0" w:color="auto"/>
              <w:bottom w:val="single" w:sz="4" w:space="0" w:color="auto"/>
              <w:right w:val="nil"/>
            </w:tcBorders>
            <w:shd w:val="clear" w:color="auto" w:fill="auto"/>
            <w:vAlign w:val="center"/>
            <w:hideMark/>
          </w:tcPr>
          <w:p w14:paraId="3C274351" w14:textId="77777777" w:rsidR="00387142" w:rsidRPr="008B6A75" w:rsidRDefault="00387142" w:rsidP="00387142">
            <w:pPr>
              <w:jc w:val="right"/>
              <w:rPr>
                <w:sz w:val="20"/>
                <w:szCs w:val="20"/>
              </w:rPr>
            </w:pPr>
            <w:r w:rsidRPr="008B6A75">
              <w:rPr>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494E4C3F" w14:textId="77777777" w:rsidR="00387142" w:rsidRPr="008B6A75" w:rsidRDefault="00387142" w:rsidP="00387142">
            <w:pPr>
              <w:jc w:val="right"/>
              <w:rPr>
                <w:sz w:val="20"/>
                <w:szCs w:val="20"/>
              </w:rPr>
            </w:pPr>
            <w:r w:rsidRPr="008B6A75">
              <w:rPr>
                <w:sz w:val="20"/>
                <w:szCs w:val="20"/>
              </w:rPr>
              <w:t>0,00</w:t>
            </w:r>
          </w:p>
        </w:tc>
      </w:tr>
      <w:tr w:rsidR="00387142" w:rsidRPr="008B6A75" w14:paraId="77F09CF5" w14:textId="77777777" w:rsidTr="00387142">
        <w:trPr>
          <w:trHeight w:val="345"/>
        </w:trPr>
        <w:tc>
          <w:tcPr>
            <w:tcW w:w="3261" w:type="dxa"/>
            <w:tcBorders>
              <w:top w:val="nil"/>
              <w:left w:val="single" w:sz="4" w:space="0" w:color="auto"/>
              <w:bottom w:val="single" w:sz="4" w:space="0" w:color="auto"/>
              <w:right w:val="nil"/>
            </w:tcBorders>
            <w:shd w:val="clear" w:color="auto" w:fill="auto"/>
            <w:vAlign w:val="center"/>
            <w:hideMark/>
          </w:tcPr>
          <w:p w14:paraId="53D8A7F6" w14:textId="77777777" w:rsidR="00387142" w:rsidRPr="008B6A75" w:rsidRDefault="00387142" w:rsidP="00387142">
            <w:pPr>
              <w:rPr>
                <w:bCs/>
                <w:sz w:val="20"/>
                <w:szCs w:val="20"/>
              </w:rPr>
            </w:pPr>
            <w:r w:rsidRPr="008B6A75">
              <w:rPr>
                <w:bCs/>
                <w:sz w:val="20"/>
                <w:szCs w:val="20"/>
              </w:rPr>
              <w:t>Непрограммные направления бюджета</w:t>
            </w:r>
          </w:p>
        </w:tc>
        <w:tc>
          <w:tcPr>
            <w:tcW w:w="720" w:type="dxa"/>
            <w:tcBorders>
              <w:top w:val="nil"/>
              <w:left w:val="single" w:sz="4" w:space="0" w:color="auto"/>
              <w:bottom w:val="single" w:sz="4" w:space="0" w:color="auto"/>
              <w:right w:val="nil"/>
            </w:tcBorders>
            <w:shd w:val="clear" w:color="auto" w:fill="auto"/>
            <w:noWrap/>
            <w:vAlign w:val="center"/>
            <w:hideMark/>
          </w:tcPr>
          <w:p w14:paraId="39B07B3C" w14:textId="77777777" w:rsidR="00387142" w:rsidRPr="008B6A75" w:rsidRDefault="00387142" w:rsidP="00387142">
            <w:pPr>
              <w:jc w:val="center"/>
              <w:rPr>
                <w:bCs/>
                <w:sz w:val="20"/>
                <w:szCs w:val="20"/>
              </w:rPr>
            </w:pPr>
            <w:r w:rsidRPr="008B6A75">
              <w:rPr>
                <w:bCs/>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27471BB" w14:textId="77777777" w:rsidR="00387142" w:rsidRPr="008B6A75" w:rsidRDefault="00387142" w:rsidP="00387142">
            <w:pPr>
              <w:jc w:val="center"/>
              <w:rPr>
                <w:bCs/>
                <w:sz w:val="20"/>
                <w:szCs w:val="20"/>
              </w:rPr>
            </w:pPr>
            <w:r w:rsidRPr="008B6A75">
              <w:rPr>
                <w:bCs/>
                <w:sz w:val="20"/>
                <w:szCs w:val="20"/>
              </w:rPr>
              <w:t>02</w:t>
            </w:r>
          </w:p>
        </w:tc>
        <w:tc>
          <w:tcPr>
            <w:tcW w:w="1516" w:type="dxa"/>
            <w:tcBorders>
              <w:top w:val="nil"/>
              <w:left w:val="single" w:sz="4" w:space="0" w:color="auto"/>
              <w:bottom w:val="single" w:sz="4" w:space="0" w:color="auto"/>
              <w:right w:val="nil"/>
            </w:tcBorders>
            <w:shd w:val="clear" w:color="auto" w:fill="auto"/>
            <w:noWrap/>
            <w:vAlign w:val="center"/>
            <w:hideMark/>
          </w:tcPr>
          <w:p w14:paraId="083BF0F9" w14:textId="77777777" w:rsidR="00387142" w:rsidRPr="008B6A75" w:rsidRDefault="00387142" w:rsidP="00387142">
            <w:pPr>
              <w:jc w:val="center"/>
              <w:rPr>
                <w:bCs/>
                <w:sz w:val="20"/>
                <w:szCs w:val="20"/>
              </w:rPr>
            </w:pPr>
            <w:r w:rsidRPr="008B6A75">
              <w:rPr>
                <w:bCs/>
                <w:sz w:val="20"/>
                <w:szCs w:val="20"/>
              </w:rPr>
              <w:t>99.0.00.00000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E98325B"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FD0CC37" w14:textId="77777777" w:rsidR="00387142" w:rsidRPr="008B6A75" w:rsidRDefault="00387142" w:rsidP="00387142">
            <w:pPr>
              <w:jc w:val="right"/>
              <w:rPr>
                <w:bCs/>
                <w:sz w:val="20"/>
                <w:szCs w:val="20"/>
              </w:rPr>
            </w:pPr>
            <w:r w:rsidRPr="008B6A75">
              <w:rPr>
                <w:bCs/>
                <w:sz w:val="20"/>
                <w:szCs w:val="20"/>
              </w:rPr>
              <w:t>4 042 414,41</w:t>
            </w:r>
          </w:p>
        </w:tc>
        <w:tc>
          <w:tcPr>
            <w:tcW w:w="992" w:type="dxa"/>
            <w:tcBorders>
              <w:top w:val="nil"/>
              <w:left w:val="single" w:sz="4" w:space="0" w:color="auto"/>
              <w:bottom w:val="single" w:sz="4" w:space="0" w:color="auto"/>
              <w:right w:val="nil"/>
            </w:tcBorders>
            <w:shd w:val="clear" w:color="auto" w:fill="auto"/>
            <w:vAlign w:val="center"/>
            <w:hideMark/>
          </w:tcPr>
          <w:p w14:paraId="783716E5" w14:textId="77777777" w:rsidR="00387142" w:rsidRPr="008B6A75" w:rsidRDefault="00387142" w:rsidP="00387142">
            <w:pPr>
              <w:jc w:val="right"/>
              <w:rPr>
                <w:bCs/>
                <w:sz w:val="20"/>
                <w:szCs w:val="20"/>
              </w:rPr>
            </w:pPr>
            <w:r w:rsidRPr="008B6A75">
              <w:rPr>
                <w:bCs/>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747642E1" w14:textId="77777777" w:rsidR="00387142" w:rsidRPr="008B6A75" w:rsidRDefault="00387142" w:rsidP="00387142">
            <w:pPr>
              <w:jc w:val="right"/>
              <w:rPr>
                <w:bCs/>
                <w:sz w:val="20"/>
                <w:szCs w:val="20"/>
              </w:rPr>
            </w:pPr>
            <w:r w:rsidRPr="008B6A75">
              <w:rPr>
                <w:bCs/>
                <w:sz w:val="20"/>
                <w:szCs w:val="20"/>
              </w:rPr>
              <w:t>0,00</w:t>
            </w:r>
          </w:p>
        </w:tc>
      </w:tr>
      <w:tr w:rsidR="00387142" w:rsidRPr="008B6A75" w14:paraId="0F082BFC" w14:textId="77777777" w:rsidTr="00387142">
        <w:trPr>
          <w:trHeight w:val="345"/>
        </w:trPr>
        <w:tc>
          <w:tcPr>
            <w:tcW w:w="3261" w:type="dxa"/>
            <w:tcBorders>
              <w:top w:val="nil"/>
              <w:left w:val="single" w:sz="4" w:space="0" w:color="auto"/>
              <w:bottom w:val="single" w:sz="4" w:space="0" w:color="auto"/>
              <w:right w:val="nil"/>
            </w:tcBorders>
            <w:shd w:val="clear" w:color="auto" w:fill="auto"/>
            <w:vAlign w:val="center"/>
            <w:hideMark/>
          </w:tcPr>
          <w:p w14:paraId="64C26082" w14:textId="77777777" w:rsidR="00387142" w:rsidRPr="008B6A75" w:rsidRDefault="00387142" w:rsidP="00387142">
            <w:pPr>
              <w:rPr>
                <w:bCs/>
                <w:sz w:val="20"/>
                <w:szCs w:val="20"/>
              </w:rPr>
            </w:pPr>
            <w:r w:rsidRPr="008B6A75">
              <w:rPr>
                <w:bCs/>
                <w:sz w:val="20"/>
                <w:szCs w:val="20"/>
              </w:rPr>
              <w:t>Резервные фонды местного бюджета</w:t>
            </w:r>
          </w:p>
        </w:tc>
        <w:tc>
          <w:tcPr>
            <w:tcW w:w="720" w:type="dxa"/>
            <w:tcBorders>
              <w:top w:val="nil"/>
              <w:left w:val="single" w:sz="4" w:space="0" w:color="auto"/>
              <w:bottom w:val="single" w:sz="4" w:space="0" w:color="auto"/>
              <w:right w:val="nil"/>
            </w:tcBorders>
            <w:shd w:val="clear" w:color="auto" w:fill="auto"/>
            <w:noWrap/>
            <w:vAlign w:val="center"/>
            <w:hideMark/>
          </w:tcPr>
          <w:p w14:paraId="0FFD3EA9" w14:textId="77777777" w:rsidR="00387142" w:rsidRPr="008B6A75" w:rsidRDefault="00387142" w:rsidP="00387142">
            <w:pPr>
              <w:jc w:val="center"/>
              <w:rPr>
                <w:bCs/>
                <w:sz w:val="20"/>
                <w:szCs w:val="20"/>
              </w:rPr>
            </w:pPr>
            <w:r w:rsidRPr="008B6A75">
              <w:rPr>
                <w:bCs/>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1598E4C" w14:textId="77777777" w:rsidR="00387142" w:rsidRPr="008B6A75" w:rsidRDefault="00387142" w:rsidP="00387142">
            <w:pPr>
              <w:jc w:val="center"/>
              <w:rPr>
                <w:bCs/>
                <w:sz w:val="20"/>
                <w:szCs w:val="20"/>
              </w:rPr>
            </w:pPr>
            <w:r w:rsidRPr="008B6A75">
              <w:rPr>
                <w:bCs/>
                <w:sz w:val="20"/>
                <w:szCs w:val="20"/>
              </w:rPr>
              <w:t>02</w:t>
            </w:r>
          </w:p>
        </w:tc>
        <w:tc>
          <w:tcPr>
            <w:tcW w:w="1516" w:type="dxa"/>
            <w:tcBorders>
              <w:top w:val="nil"/>
              <w:left w:val="single" w:sz="4" w:space="0" w:color="auto"/>
              <w:bottom w:val="single" w:sz="4" w:space="0" w:color="auto"/>
              <w:right w:val="nil"/>
            </w:tcBorders>
            <w:shd w:val="clear" w:color="auto" w:fill="auto"/>
            <w:noWrap/>
            <w:vAlign w:val="center"/>
            <w:hideMark/>
          </w:tcPr>
          <w:p w14:paraId="63B4B639" w14:textId="77777777" w:rsidR="00387142" w:rsidRPr="008B6A75" w:rsidRDefault="00387142" w:rsidP="00387142">
            <w:pPr>
              <w:jc w:val="center"/>
              <w:rPr>
                <w:bCs/>
                <w:sz w:val="20"/>
                <w:szCs w:val="20"/>
              </w:rPr>
            </w:pPr>
            <w:r w:rsidRPr="008B6A75">
              <w:rPr>
                <w:bCs/>
                <w:sz w:val="20"/>
                <w:szCs w:val="20"/>
              </w:rPr>
              <w:t>99.0.00.01700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6BFA6E4"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1723346" w14:textId="77777777" w:rsidR="00387142" w:rsidRPr="008B6A75" w:rsidRDefault="00387142" w:rsidP="00387142">
            <w:pPr>
              <w:jc w:val="right"/>
              <w:rPr>
                <w:bCs/>
                <w:sz w:val="20"/>
                <w:szCs w:val="20"/>
              </w:rPr>
            </w:pPr>
            <w:r w:rsidRPr="008B6A75">
              <w:rPr>
                <w:bCs/>
                <w:sz w:val="20"/>
                <w:szCs w:val="20"/>
              </w:rPr>
              <w:t>3 002 300,00</w:t>
            </w:r>
          </w:p>
        </w:tc>
        <w:tc>
          <w:tcPr>
            <w:tcW w:w="992" w:type="dxa"/>
            <w:tcBorders>
              <w:top w:val="nil"/>
              <w:left w:val="single" w:sz="4" w:space="0" w:color="auto"/>
              <w:bottom w:val="single" w:sz="4" w:space="0" w:color="auto"/>
              <w:right w:val="nil"/>
            </w:tcBorders>
            <w:shd w:val="clear" w:color="auto" w:fill="auto"/>
            <w:vAlign w:val="center"/>
            <w:hideMark/>
          </w:tcPr>
          <w:p w14:paraId="3525D1FB" w14:textId="77777777" w:rsidR="00387142" w:rsidRPr="008B6A75" w:rsidRDefault="00387142" w:rsidP="00387142">
            <w:pPr>
              <w:jc w:val="right"/>
              <w:rPr>
                <w:bCs/>
                <w:sz w:val="20"/>
                <w:szCs w:val="20"/>
              </w:rPr>
            </w:pPr>
            <w:r w:rsidRPr="008B6A75">
              <w:rPr>
                <w:bCs/>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06F563F4" w14:textId="77777777" w:rsidR="00387142" w:rsidRPr="008B6A75" w:rsidRDefault="00387142" w:rsidP="00387142">
            <w:pPr>
              <w:jc w:val="right"/>
              <w:rPr>
                <w:bCs/>
                <w:sz w:val="20"/>
                <w:szCs w:val="20"/>
              </w:rPr>
            </w:pPr>
            <w:r w:rsidRPr="008B6A75">
              <w:rPr>
                <w:bCs/>
                <w:sz w:val="20"/>
                <w:szCs w:val="20"/>
              </w:rPr>
              <w:t>0,00</w:t>
            </w:r>
          </w:p>
        </w:tc>
      </w:tr>
      <w:tr w:rsidR="00387142" w:rsidRPr="008B6A75" w14:paraId="19DE142F" w14:textId="77777777" w:rsidTr="00387142">
        <w:trPr>
          <w:trHeight w:val="345"/>
        </w:trPr>
        <w:tc>
          <w:tcPr>
            <w:tcW w:w="3261" w:type="dxa"/>
            <w:tcBorders>
              <w:top w:val="nil"/>
              <w:left w:val="single" w:sz="4" w:space="0" w:color="auto"/>
              <w:bottom w:val="single" w:sz="4" w:space="0" w:color="auto"/>
              <w:right w:val="nil"/>
            </w:tcBorders>
            <w:shd w:val="clear" w:color="auto" w:fill="auto"/>
            <w:vAlign w:val="center"/>
            <w:hideMark/>
          </w:tcPr>
          <w:p w14:paraId="478C19B2" w14:textId="77777777" w:rsidR="00387142" w:rsidRPr="008B6A75" w:rsidRDefault="00387142" w:rsidP="00387142">
            <w:pPr>
              <w:rPr>
                <w:sz w:val="20"/>
                <w:szCs w:val="20"/>
              </w:rPr>
            </w:pPr>
            <w:r w:rsidRPr="008B6A75">
              <w:rPr>
                <w:sz w:val="20"/>
                <w:szCs w:val="20"/>
              </w:rPr>
              <w:t>Межбюджетные трансферты</w:t>
            </w:r>
          </w:p>
        </w:tc>
        <w:tc>
          <w:tcPr>
            <w:tcW w:w="720" w:type="dxa"/>
            <w:tcBorders>
              <w:top w:val="nil"/>
              <w:left w:val="single" w:sz="4" w:space="0" w:color="auto"/>
              <w:bottom w:val="single" w:sz="4" w:space="0" w:color="auto"/>
              <w:right w:val="nil"/>
            </w:tcBorders>
            <w:shd w:val="clear" w:color="auto" w:fill="auto"/>
            <w:noWrap/>
            <w:vAlign w:val="center"/>
            <w:hideMark/>
          </w:tcPr>
          <w:p w14:paraId="64C28F83" w14:textId="77777777" w:rsidR="00387142" w:rsidRPr="008B6A75" w:rsidRDefault="00387142" w:rsidP="00387142">
            <w:pPr>
              <w:jc w:val="center"/>
              <w:rPr>
                <w:sz w:val="20"/>
                <w:szCs w:val="20"/>
              </w:rPr>
            </w:pPr>
            <w:r w:rsidRPr="008B6A75">
              <w:rPr>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7088A3B" w14:textId="77777777" w:rsidR="00387142" w:rsidRPr="008B6A75" w:rsidRDefault="00387142" w:rsidP="00387142">
            <w:pPr>
              <w:jc w:val="center"/>
              <w:rPr>
                <w:sz w:val="20"/>
                <w:szCs w:val="20"/>
              </w:rPr>
            </w:pPr>
            <w:r w:rsidRPr="008B6A75">
              <w:rPr>
                <w:sz w:val="20"/>
                <w:szCs w:val="20"/>
              </w:rPr>
              <w:t>02</w:t>
            </w:r>
          </w:p>
        </w:tc>
        <w:tc>
          <w:tcPr>
            <w:tcW w:w="1516" w:type="dxa"/>
            <w:tcBorders>
              <w:top w:val="nil"/>
              <w:left w:val="single" w:sz="4" w:space="0" w:color="auto"/>
              <w:bottom w:val="single" w:sz="4" w:space="0" w:color="auto"/>
              <w:right w:val="nil"/>
            </w:tcBorders>
            <w:shd w:val="clear" w:color="auto" w:fill="auto"/>
            <w:noWrap/>
            <w:vAlign w:val="center"/>
            <w:hideMark/>
          </w:tcPr>
          <w:p w14:paraId="3DABB3A7" w14:textId="77777777" w:rsidR="00387142" w:rsidRPr="008B6A75" w:rsidRDefault="00387142" w:rsidP="00387142">
            <w:pPr>
              <w:jc w:val="center"/>
              <w:rPr>
                <w:sz w:val="20"/>
                <w:szCs w:val="20"/>
              </w:rPr>
            </w:pPr>
            <w:r w:rsidRPr="008B6A75">
              <w:rPr>
                <w:sz w:val="20"/>
                <w:szCs w:val="20"/>
              </w:rPr>
              <w:t>99.0.00.01700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F17ECAC" w14:textId="77777777" w:rsidR="00387142" w:rsidRPr="008B6A75" w:rsidRDefault="00387142" w:rsidP="00387142">
            <w:pPr>
              <w:jc w:val="center"/>
              <w:rPr>
                <w:sz w:val="20"/>
                <w:szCs w:val="20"/>
              </w:rPr>
            </w:pPr>
            <w:r w:rsidRPr="008B6A75">
              <w:rPr>
                <w:sz w:val="20"/>
                <w:szCs w:val="20"/>
              </w:rPr>
              <w:t>500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3DF8EF9" w14:textId="77777777" w:rsidR="00387142" w:rsidRPr="008B6A75" w:rsidRDefault="00387142" w:rsidP="00387142">
            <w:pPr>
              <w:jc w:val="right"/>
              <w:rPr>
                <w:sz w:val="20"/>
                <w:szCs w:val="20"/>
              </w:rPr>
            </w:pPr>
            <w:r w:rsidRPr="008B6A75">
              <w:rPr>
                <w:sz w:val="20"/>
                <w:szCs w:val="20"/>
              </w:rPr>
              <w:t>3 002 300,00</w:t>
            </w:r>
          </w:p>
        </w:tc>
        <w:tc>
          <w:tcPr>
            <w:tcW w:w="992" w:type="dxa"/>
            <w:tcBorders>
              <w:top w:val="nil"/>
              <w:left w:val="single" w:sz="4" w:space="0" w:color="auto"/>
              <w:bottom w:val="single" w:sz="4" w:space="0" w:color="auto"/>
              <w:right w:val="nil"/>
            </w:tcBorders>
            <w:shd w:val="clear" w:color="auto" w:fill="auto"/>
            <w:vAlign w:val="center"/>
            <w:hideMark/>
          </w:tcPr>
          <w:p w14:paraId="427CD67A" w14:textId="77777777" w:rsidR="00387142" w:rsidRPr="008B6A75" w:rsidRDefault="00387142" w:rsidP="00387142">
            <w:pPr>
              <w:jc w:val="right"/>
              <w:rPr>
                <w:sz w:val="20"/>
                <w:szCs w:val="20"/>
              </w:rPr>
            </w:pPr>
            <w:r w:rsidRPr="008B6A75">
              <w:rPr>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4A3CCF00" w14:textId="77777777" w:rsidR="00387142" w:rsidRPr="008B6A75" w:rsidRDefault="00387142" w:rsidP="00387142">
            <w:pPr>
              <w:jc w:val="right"/>
              <w:rPr>
                <w:sz w:val="20"/>
                <w:szCs w:val="20"/>
              </w:rPr>
            </w:pPr>
            <w:r w:rsidRPr="008B6A75">
              <w:rPr>
                <w:sz w:val="20"/>
                <w:szCs w:val="20"/>
              </w:rPr>
              <w:t>0,00</w:t>
            </w:r>
          </w:p>
        </w:tc>
      </w:tr>
      <w:tr w:rsidR="00387142" w:rsidRPr="008B6A75" w14:paraId="69E04866" w14:textId="77777777" w:rsidTr="00387142">
        <w:trPr>
          <w:trHeight w:val="345"/>
        </w:trPr>
        <w:tc>
          <w:tcPr>
            <w:tcW w:w="3261" w:type="dxa"/>
            <w:tcBorders>
              <w:top w:val="nil"/>
              <w:left w:val="single" w:sz="4" w:space="0" w:color="auto"/>
              <w:bottom w:val="single" w:sz="4" w:space="0" w:color="auto"/>
              <w:right w:val="nil"/>
            </w:tcBorders>
            <w:shd w:val="clear" w:color="auto" w:fill="auto"/>
            <w:vAlign w:val="center"/>
            <w:hideMark/>
          </w:tcPr>
          <w:p w14:paraId="77B9191A" w14:textId="77777777" w:rsidR="00387142" w:rsidRPr="008B6A75" w:rsidRDefault="00387142" w:rsidP="00387142">
            <w:pPr>
              <w:rPr>
                <w:sz w:val="20"/>
                <w:szCs w:val="20"/>
              </w:rPr>
            </w:pPr>
            <w:r w:rsidRPr="008B6A75">
              <w:rPr>
                <w:sz w:val="20"/>
                <w:szCs w:val="20"/>
              </w:rPr>
              <w:t>Иные межбюджетные трансферты</w:t>
            </w:r>
          </w:p>
        </w:tc>
        <w:tc>
          <w:tcPr>
            <w:tcW w:w="720" w:type="dxa"/>
            <w:tcBorders>
              <w:top w:val="nil"/>
              <w:left w:val="single" w:sz="4" w:space="0" w:color="auto"/>
              <w:bottom w:val="single" w:sz="4" w:space="0" w:color="auto"/>
              <w:right w:val="nil"/>
            </w:tcBorders>
            <w:shd w:val="clear" w:color="auto" w:fill="auto"/>
            <w:noWrap/>
            <w:vAlign w:val="center"/>
            <w:hideMark/>
          </w:tcPr>
          <w:p w14:paraId="1304E5F8" w14:textId="77777777" w:rsidR="00387142" w:rsidRPr="008B6A75" w:rsidRDefault="00387142" w:rsidP="00387142">
            <w:pPr>
              <w:jc w:val="center"/>
              <w:rPr>
                <w:sz w:val="20"/>
                <w:szCs w:val="20"/>
              </w:rPr>
            </w:pPr>
            <w:r w:rsidRPr="008B6A75">
              <w:rPr>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DF727BF" w14:textId="77777777" w:rsidR="00387142" w:rsidRPr="008B6A75" w:rsidRDefault="00387142" w:rsidP="00387142">
            <w:pPr>
              <w:jc w:val="center"/>
              <w:rPr>
                <w:sz w:val="20"/>
                <w:szCs w:val="20"/>
              </w:rPr>
            </w:pPr>
            <w:r w:rsidRPr="008B6A75">
              <w:rPr>
                <w:sz w:val="20"/>
                <w:szCs w:val="20"/>
              </w:rPr>
              <w:t>02</w:t>
            </w:r>
          </w:p>
        </w:tc>
        <w:tc>
          <w:tcPr>
            <w:tcW w:w="1516" w:type="dxa"/>
            <w:tcBorders>
              <w:top w:val="nil"/>
              <w:left w:val="single" w:sz="4" w:space="0" w:color="auto"/>
              <w:bottom w:val="single" w:sz="4" w:space="0" w:color="auto"/>
              <w:right w:val="nil"/>
            </w:tcBorders>
            <w:shd w:val="clear" w:color="auto" w:fill="auto"/>
            <w:noWrap/>
            <w:vAlign w:val="center"/>
            <w:hideMark/>
          </w:tcPr>
          <w:p w14:paraId="4DBC9D42" w14:textId="77777777" w:rsidR="00387142" w:rsidRPr="008B6A75" w:rsidRDefault="00387142" w:rsidP="00387142">
            <w:pPr>
              <w:jc w:val="center"/>
              <w:rPr>
                <w:sz w:val="20"/>
                <w:szCs w:val="20"/>
              </w:rPr>
            </w:pPr>
            <w:r w:rsidRPr="008B6A75">
              <w:rPr>
                <w:sz w:val="20"/>
                <w:szCs w:val="20"/>
              </w:rPr>
              <w:t>99.0.00.01700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7E9C2C5" w14:textId="77777777" w:rsidR="00387142" w:rsidRPr="008B6A75" w:rsidRDefault="00387142" w:rsidP="00387142">
            <w:pPr>
              <w:jc w:val="center"/>
              <w:rPr>
                <w:sz w:val="20"/>
                <w:szCs w:val="20"/>
              </w:rPr>
            </w:pPr>
            <w:r w:rsidRPr="008B6A75">
              <w:rPr>
                <w:sz w:val="20"/>
                <w:szCs w:val="20"/>
              </w:rPr>
              <w:t>540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DE1D895" w14:textId="77777777" w:rsidR="00387142" w:rsidRPr="008B6A75" w:rsidRDefault="00387142" w:rsidP="00387142">
            <w:pPr>
              <w:jc w:val="right"/>
              <w:rPr>
                <w:sz w:val="20"/>
                <w:szCs w:val="20"/>
              </w:rPr>
            </w:pPr>
            <w:r w:rsidRPr="008B6A75">
              <w:rPr>
                <w:sz w:val="20"/>
                <w:szCs w:val="20"/>
              </w:rPr>
              <w:t>3 002 300,00</w:t>
            </w:r>
          </w:p>
        </w:tc>
        <w:tc>
          <w:tcPr>
            <w:tcW w:w="992" w:type="dxa"/>
            <w:tcBorders>
              <w:top w:val="nil"/>
              <w:left w:val="single" w:sz="4" w:space="0" w:color="auto"/>
              <w:bottom w:val="single" w:sz="4" w:space="0" w:color="auto"/>
              <w:right w:val="nil"/>
            </w:tcBorders>
            <w:shd w:val="clear" w:color="auto" w:fill="auto"/>
            <w:vAlign w:val="center"/>
            <w:hideMark/>
          </w:tcPr>
          <w:p w14:paraId="1C3E9DE1" w14:textId="77777777" w:rsidR="00387142" w:rsidRPr="008B6A75" w:rsidRDefault="00387142" w:rsidP="00387142">
            <w:pPr>
              <w:jc w:val="right"/>
              <w:rPr>
                <w:sz w:val="20"/>
                <w:szCs w:val="20"/>
              </w:rPr>
            </w:pPr>
            <w:r w:rsidRPr="008B6A75">
              <w:rPr>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293B7ABC" w14:textId="77777777" w:rsidR="00387142" w:rsidRPr="008B6A75" w:rsidRDefault="00387142" w:rsidP="00387142">
            <w:pPr>
              <w:jc w:val="right"/>
              <w:rPr>
                <w:sz w:val="20"/>
                <w:szCs w:val="20"/>
              </w:rPr>
            </w:pPr>
            <w:r w:rsidRPr="008B6A75">
              <w:rPr>
                <w:sz w:val="20"/>
                <w:szCs w:val="20"/>
              </w:rPr>
              <w:t>0,00</w:t>
            </w:r>
          </w:p>
        </w:tc>
      </w:tr>
      <w:tr w:rsidR="00387142" w:rsidRPr="008B6A75" w14:paraId="59717564" w14:textId="77777777" w:rsidTr="00387142">
        <w:trPr>
          <w:trHeight w:val="585"/>
        </w:trPr>
        <w:tc>
          <w:tcPr>
            <w:tcW w:w="3261" w:type="dxa"/>
            <w:tcBorders>
              <w:top w:val="nil"/>
              <w:left w:val="single" w:sz="4" w:space="0" w:color="auto"/>
              <w:bottom w:val="single" w:sz="4" w:space="0" w:color="auto"/>
              <w:right w:val="nil"/>
            </w:tcBorders>
            <w:shd w:val="clear" w:color="auto" w:fill="auto"/>
            <w:vAlign w:val="center"/>
            <w:hideMark/>
          </w:tcPr>
          <w:p w14:paraId="5C46638B" w14:textId="77777777" w:rsidR="00387142" w:rsidRPr="008B6A75" w:rsidRDefault="00387142" w:rsidP="00387142">
            <w:pPr>
              <w:rPr>
                <w:bCs/>
                <w:sz w:val="20"/>
                <w:szCs w:val="20"/>
              </w:rPr>
            </w:pPr>
            <w:r w:rsidRPr="008B6A75">
              <w:rPr>
                <w:bCs/>
                <w:sz w:val="20"/>
                <w:szCs w:val="20"/>
              </w:rPr>
              <w:t>Мероприятия в области коммунального хозяйства</w:t>
            </w:r>
          </w:p>
        </w:tc>
        <w:tc>
          <w:tcPr>
            <w:tcW w:w="720" w:type="dxa"/>
            <w:tcBorders>
              <w:top w:val="nil"/>
              <w:left w:val="single" w:sz="4" w:space="0" w:color="auto"/>
              <w:bottom w:val="single" w:sz="4" w:space="0" w:color="auto"/>
              <w:right w:val="nil"/>
            </w:tcBorders>
            <w:shd w:val="clear" w:color="auto" w:fill="auto"/>
            <w:noWrap/>
            <w:vAlign w:val="center"/>
            <w:hideMark/>
          </w:tcPr>
          <w:p w14:paraId="1365BA51" w14:textId="77777777" w:rsidR="00387142" w:rsidRPr="008B6A75" w:rsidRDefault="00387142" w:rsidP="00387142">
            <w:pPr>
              <w:jc w:val="center"/>
              <w:rPr>
                <w:bCs/>
                <w:sz w:val="20"/>
                <w:szCs w:val="20"/>
              </w:rPr>
            </w:pPr>
            <w:r w:rsidRPr="008B6A75">
              <w:rPr>
                <w:bCs/>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0A981B4" w14:textId="77777777" w:rsidR="00387142" w:rsidRPr="008B6A75" w:rsidRDefault="00387142" w:rsidP="00387142">
            <w:pPr>
              <w:jc w:val="center"/>
              <w:rPr>
                <w:bCs/>
                <w:sz w:val="20"/>
                <w:szCs w:val="20"/>
              </w:rPr>
            </w:pPr>
            <w:r w:rsidRPr="008B6A75">
              <w:rPr>
                <w:bCs/>
                <w:sz w:val="20"/>
                <w:szCs w:val="20"/>
              </w:rPr>
              <w:t>02</w:t>
            </w:r>
          </w:p>
        </w:tc>
        <w:tc>
          <w:tcPr>
            <w:tcW w:w="1516" w:type="dxa"/>
            <w:tcBorders>
              <w:top w:val="nil"/>
              <w:left w:val="single" w:sz="4" w:space="0" w:color="auto"/>
              <w:bottom w:val="single" w:sz="4" w:space="0" w:color="auto"/>
              <w:right w:val="nil"/>
            </w:tcBorders>
            <w:shd w:val="clear" w:color="auto" w:fill="auto"/>
            <w:noWrap/>
            <w:vAlign w:val="center"/>
            <w:hideMark/>
          </w:tcPr>
          <w:p w14:paraId="41E1ACC8" w14:textId="77777777" w:rsidR="00387142" w:rsidRPr="008B6A75" w:rsidRDefault="00387142" w:rsidP="00387142">
            <w:pPr>
              <w:jc w:val="center"/>
              <w:rPr>
                <w:bCs/>
                <w:sz w:val="20"/>
                <w:szCs w:val="20"/>
              </w:rPr>
            </w:pPr>
            <w:r w:rsidRPr="008B6A75">
              <w:rPr>
                <w:bCs/>
                <w:sz w:val="20"/>
                <w:szCs w:val="20"/>
              </w:rPr>
              <w:t>99.0.00.05220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9AE5F0F"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181733B" w14:textId="77777777" w:rsidR="00387142" w:rsidRPr="008B6A75" w:rsidRDefault="00387142" w:rsidP="00387142">
            <w:pPr>
              <w:jc w:val="right"/>
              <w:rPr>
                <w:bCs/>
                <w:sz w:val="20"/>
                <w:szCs w:val="20"/>
              </w:rPr>
            </w:pPr>
            <w:r w:rsidRPr="008B6A75">
              <w:rPr>
                <w:bCs/>
                <w:sz w:val="20"/>
                <w:szCs w:val="20"/>
              </w:rPr>
              <w:t>46 880,00</w:t>
            </w:r>
          </w:p>
        </w:tc>
        <w:tc>
          <w:tcPr>
            <w:tcW w:w="992" w:type="dxa"/>
            <w:tcBorders>
              <w:top w:val="nil"/>
              <w:left w:val="single" w:sz="4" w:space="0" w:color="auto"/>
              <w:bottom w:val="single" w:sz="4" w:space="0" w:color="auto"/>
              <w:right w:val="nil"/>
            </w:tcBorders>
            <w:shd w:val="clear" w:color="auto" w:fill="auto"/>
            <w:vAlign w:val="center"/>
            <w:hideMark/>
          </w:tcPr>
          <w:p w14:paraId="5E2E5B6C" w14:textId="77777777" w:rsidR="00387142" w:rsidRPr="008B6A75" w:rsidRDefault="00387142" w:rsidP="00387142">
            <w:pPr>
              <w:jc w:val="right"/>
              <w:rPr>
                <w:bCs/>
                <w:sz w:val="20"/>
                <w:szCs w:val="20"/>
              </w:rPr>
            </w:pPr>
            <w:r w:rsidRPr="008B6A75">
              <w:rPr>
                <w:bCs/>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337638E5" w14:textId="77777777" w:rsidR="00387142" w:rsidRPr="008B6A75" w:rsidRDefault="00387142" w:rsidP="00387142">
            <w:pPr>
              <w:jc w:val="right"/>
              <w:rPr>
                <w:bCs/>
                <w:sz w:val="20"/>
                <w:szCs w:val="20"/>
              </w:rPr>
            </w:pPr>
            <w:r w:rsidRPr="008B6A75">
              <w:rPr>
                <w:bCs/>
                <w:sz w:val="20"/>
                <w:szCs w:val="20"/>
              </w:rPr>
              <w:t>0,00</w:t>
            </w:r>
          </w:p>
        </w:tc>
      </w:tr>
      <w:tr w:rsidR="00387142" w:rsidRPr="008B6A75" w14:paraId="6C817136" w14:textId="77777777" w:rsidTr="00387142">
        <w:trPr>
          <w:trHeight w:val="585"/>
        </w:trPr>
        <w:tc>
          <w:tcPr>
            <w:tcW w:w="3261" w:type="dxa"/>
            <w:tcBorders>
              <w:top w:val="nil"/>
              <w:left w:val="single" w:sz="4" w:space="0" w:color="auto"/>
              <w:bottom w:val="single" w:sz="4" w:space="0" w:color="auto"/>
              <w:right w:val="nil"/>
            </w:tcBorders>
            <w:shd w:val="clear" w:color="auto" w:fill="auto"/>
            <w:vAlign w:val="center"/>
            <w:hideMark/>
          </w:tcPr>
          <w:p w14:paraId="70B1731D" w14:textId="77777777" w:rsidR="00387142" w:rsidRPr="008B6A75" w:rsidRDefault="00387142" w:rsidP="00387142">
            <w:pPr>
              <w:rPr>
                <w:sz w:val="20"/>
                <w:szCs w:val="20"/>
              </w:rPr>
            </w:pPr>
            <w:r w:rsidRPr="008B6A75">
              <w:rPr>
                <w:sz w:val="20"/>
                <w:szCs w:val="20"/>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629A0E0D" w14:textId="77777777" w:rsidR="00387142" w:rsidRPr="008B6A75" w:rsidRDefault="00387142" w:rsidP="00387142">
            <w:pPr>
              <w:jc w:val="center"/>
              <w:rPr>
                <w:sz w:val="20"/>
                <w:szCs w:val="20"/>
              </w:rPr>
            </w:pPr>
            <w:r w:rsidRPr="008B6A75">
              <w:rPr>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B1A05ED" w14:textId="77777777" w:rsidR="00387142" w:rsidRPr="008B6A75" w:rsidRDefault="00387142" w:rsidP="00387142">
            <w:pPr>
              <w:jc w:val="center"/>
              <w:rPr>
                <w:sz w:val="20"/>
                <w:szCs w:val="20"/>
              </w:rPr>
            </w:pPr>
            <w:r w:rsidRPr="008B6A75">
              <w:rPr>
                <w:sz w:val="20"/>
                <w:szCs w:val="20"/>
              </w:rPr>
              <w:t>02</w:t>
            </w:r>
          </w:p>
        </w:tc>
        <w:tc>
          <w:tcPr>
            <w:tcW w:w="1516" w:type="dxa"/>
            <w:tcBorders>
              <w:top w:val="nil"/>
              <w:left w:val="single" w:sz="4" w:space="0" w:color="auto"/>
              <w:bottom w:val="single" w:sz="4" w:space="0" w:color="auto"/>
              <w:right w:val="nil"/>
            </w:tcBorders>
            <w:shd w:val="clear" w:color="auto" w:fill="auto"/>
            <w:noWrap/>
            <w:vAlign w:val="center"/>
            <w:hideMark/>
          </w:tcPr>
          <w:p w14:paraId="406242F1" w14:textId="77777777" w:rsidR="00387142" w:rsidRPr="008B6A75" w:rsidRDefault="00387142" w:rsidP="00387142">
            <w:pPr>
              <w:jc w:val="center"/>
              <w:rPr>
                <w:sz w:val="20"/>
                <w:szCs w:val="20"/>
              </w:rPr>
            </w:pPr>
            <w:r w:rsidRPr="008B6A75">
              <w:rPr>
                <w:sz w:val="20"/>
                <w:szCs w:val="20"/>
              </w:rPr>
              <w:t>99.0.00.05220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4AEFC55" w14:textId="77777777" w:rsidR="00387142" w:rsidRPr="008B6A75" w:rsidRDefault="00387142" w:rsidP="00387142">
            <w:pPr>
              <w:jc w:val="center"/>
              <w:rPr>
                <w:sz w:val="20"/>
                <w:szCs w:val="20"/>
              </w:rPr>
            </w:pPr>
            <w:r w:rsidRPr="008B6A75">
              <w:rPr>
                <w:sz w:val="20"/>
                <w:szCs w:val="20"/>
              </w:rPr>
              <w:t>200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813081F" w14:textId="77777777" w:rsidR="00387142" w:rsidRPr="008B6A75" w:rsidRDefault="00387142" w:rsidP="00387142">
            <w:pPr>
              <w:jc w:val="right"/>
              <w:rPr>
                <w:sz w:val="20"/>
                <w:szCs w:val="20"/>
              </w:rPr>
            </w:pPr>
            <w:r w:rsidRPr="008B6A75">
              <w:rPr>
                <w:sz w:val="20"/>
                <w:szCs w:val="20"/>
              </w:rPr>
              <w:t>46 880,00</w:t>
            </w:r>
          </w:p>
        </w:tc>
        <w:tc>
          <w:tcPr>
            <w:tcW w:w="992" w:type="dxa"/>
            <w:tcBorders>
              <w:top w:val="nil"/>
              <w:left w:val="single" w:sz="4" w:space="0" w:color="auto"/>
              <w:bottom w:val="single" w:sz="4" w:space="0" w:color="auto"/>
              <w:right w:val="nil"/>
            </w:tcBorders>
            <w:shd w:val="clear" w:color="auto" w:fill="auto"/>
            <w:vAlign w:val="center"/>
            <w:hideMark/>
          </w:tcPr>
          <w:p w14:paraId="2D2B4C6E" w14:textId="77777777" w:rsidR="00387142" w:rsidRPr="008B6A75" w:rsidRDefault="00387142" w:rsidP="00387142">
            <w:pPr>
              <w:jc w:val="right"/>
              <w:rPr>
                <w:sz w:val="20"/>
                <w:szCs w:val="20"/>
              </w:rPr>
            </w:pPr>
            <w:r w:rsidRPr="008B6A75">
              <w:rPr>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711FD028" w14:textId="77777777" w:rsidR="00387142" w:rsidRPr="008B6A75" w:rsidRDefault="00387142" w:rsidP="00387142">
            <w:pPr>
              <w:jc w:val="right"/>
              <w:rPr>
                <w:sz w:val="20"/>
                <w:szCs w:val="20"/>
              </w:rPr>
            </w:pPr>
            <w:r w:rsidRPr="008B6A75">
              <w:rPr>
                <w:sz w:val="20"/>
                <w:szCs w:val="20"/>
              </w:rPr>
              <w:t>0,00</w:t>
            </w:r>
          </w:p>
        </w:tc>
      </w:tr>
      <w:tr w:rsidR="00387142" w:rsidRPr="008B6A75" w14:paraId="5AF95D40" w14:textId="77777777" w:rsidTr="00387142">
        <w:trPr>
          <w:trHeight w:val="870"/>
        </w:trPr>
        <w:tc>
          <w:tcPr>
            <w:tcW w:w="3261" w:type="dxa"/>
            <w:tcBorders>
              <w:top w:val="nil"/>
              <w:left w:val="single" w:sz="4" w:space="0" w:color="auto"/>
              <w:bottom w:val="single" w:sz="4" w:space="0" w:color="auto"/>
              <w:right w:val="nil"/>
            </w:tcBorders>
            <w:shd w:val="clear" w:color="auto" w:fill="auto"/>
            <w:vAlign w:val="center"/>
            <w:hideMark/>
          </w:tcPr>
          <w:p w14:paraId="3CE10700" w14:textId="77777777" w:rsidR="00387142" w:rsidRPr="008B6A75" w:rsidRDefault="00387142" w:rsidP="00387142">
            <w:pPr>
              <w:rPr>
                <w:sz w:val="20"/>
                <w:szCs w:val="20"/>
              </w:rPr>
            </w:pPr>
            <w:r w:rsidRPr="008B6A75">
              <w:rPr>
                <w:sz w:val="20"/>
                <w:szCs w:val="20"/>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1FD65183" w14:textId="77777777" w:rsidR="00387142" w:rsidRPr="008B6A75" w:rsidRDefault="00387142" w:rsidP="00387142">
            <w:pPr>
              <w:jc w:val="center"/>
              <w:rPr>
                <w:sz w:val="20"/>
                <w:szCs w:val="20"/>
              </w:rPr>
            </w:pPr>
            <w:r w:rsidRPr="008B6A75">
              <w:rPr>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C01BF24" w14:textId="77777777" w:rsidR="00387142" w:rsidRPr="008B6A75" w:rsidRDefault="00387142" w:rsidP="00387142">
            <w:pPr>
              <w:jc w:val="center"/>
              <w:rPr>
                <w:sz w:val="20"/>
                <w:szCs w:val="20"/>
              </w:rPr>
            </w:pPr>
            <w:r w:rsidRPr="008B6A75">
              <w:rPr>
                <w:sz w:val="20"/>
                <w:szCs w:val="20"/>
              </w:rPr>
              <w:t>02</w:t>
            </w:r>
          </w:p>
        </w:tc>
        <w:tc>
          <w:tcPr>
            <w:tcW w:w="1516" w:type="dxa"/>
            <w:tcBorders>
              <w:top w:val="nil"/>
              <w:left w:val="single" w:sz="4" w:space="0" w:color="auto"/>
              <w:bottom w:val="single" w:sz="4" w:space="0" w:color="auto"/>
              <w:right w:val="nil"/>
            </w:tcBorders>
            <w:shd w:val="clear" w:color="auto" w:fill="auto"/>
            <w:noWrap/>
            <w:vAlign w:val="center"/>
            <w:hideMark/>
          </w:tcPr>
          <w:p w14:paraId="6A0EBCE4" w14:textId="77777777" w:rsidR="00387142" w:rsidRPr="008B6A75" w:rsidRDefault="00387142" w:rsidP="00387142">
            <w:pPr>
              <w:jc w:val="center"/>
              <w:rPr>
                <w:sz w:val="20"/>
                <w:szCs w:val="20"/>
              </w:rPr>
            </w:pPr>
            <w:r w:rsidRPr="008B6A75">
              <w:rPr>
                <w:sz w:val="20"/>
                <w:szCs w:val="20"/>
              </w:rPr>
              <w:t>99.0.00.05220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271578F" w14:textId="77777777" w:rsidR="00387142" w:rsidRPr="008B6A75" w:rsidRDefault="00387142" w:rsidP="00387142">
            <w:pPr>
              <w:jc w:val="center"/>
              <w:rPr>
                <w:sz w:val="20"/>
                <w:szCs w:val="20"/>
              </w:rPr>
            </w:pPr>
            <w:r w:rsidRPr="008B6A75">
              <w:rPr>
                <w:sz w:val="20"/>
                <w:szCs w:val="20"/>
              </w:rPr>
              <w:t>240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138F5E5" w14:textId="77777777" w:rsidR="00387142" w:rsidRPr="008B6A75" w:rsidRDefault="00387142" w:rsidP="00387142">
            <w:pPr>
              <w:jc w:val="right"/>
              <w:rPr>
                <w:sz w:val="20"/>
                <w:szCs w:val="20"/>
              </w:rPr>
            </w:pPr>
            <w:r w:rsidRPr="008B6A75">
              <w:rPr>
                <w:sz w:val="20"/>
                <w:szCs w:val="20"/>
              </w:rPr>
              <w:t>46 880,00</w:t>
            </w:r>
          </w:p>
        </w:tc>
        <w:tc>
          <w:tcPr>
            <w:tcW w:w="992" w:type="dxa"/>
            <w:tcBorders>
              <w:top w:val="nil"/>
              <w:left w:val="single" w:sz="4" w:space="0" w:color="auto"/>
              <w:bottom w:val="single" w:sz="4" w:space="0" w:color="auto"/>
              <w:right w:val="nil"/>
            </w:tcBorders>
            <w:shd w:val="clear" w:color="auto" w:fill="auto"/>
            <w:vAlign w:val="center"/>
            <w:hideMark/>
          </w:tcPr>
          <w:p w14:paraId="613E3013" w14:textId="77777777" w:rsidR="00387142" w:rsidRPr="008B6A75" w:rsidRDefault="00387142" w:rsidP="00387142">
            <w:pPr>
              <w:jc w:val="right"/>
              <w:rPr>
                <w:sz w:val="20"/>
                <w:szCs w:val="20"/>
              </w:rPr>
            </w:pPr>
            <w:r w:rsidRPr="008B6A75">
              <w:rPr>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29C73999" w14:textId="77777777" w:rsidR="00387142" w:rsidRPr="008B6A75" w:rsidRDefault="00387142" w:rsidP="00387142">
            <w:pPr>
              <w:jc w:val="right"/>
              <w:rPr>
                <w:sz w:val="20"/>
                <w:szCs w:val="20"/>
              </w:rPr>
            </w:pPr>
            <w:r w:rsidRPr="008B6A75">
              <w:rPr>
                <w:sz w:val="20"/>
                <w:szCs w:val="20"/>
              </w:rPr>
              <w:t>0,00</w:t>
            </w:r>
          </w:p>
        </w:tc>
      </w:tr>
      <w:tr w:rsidR="00387142" w:rsidRPr="008B6A75" w14:paraId="2C47EFA4" w14:textId="77777777" w:rsidTr="00387142">
        <w:trPr>
          <w:trHeight w:val="870"/>
        </w:trPr>
        <w:tc>
          <w:tcPr>
            <w:tcW w:w="3261" w:type="dxa"/>
            <w:tcBorders>
              <w:top w:val="nil"/>
              <w:left w:val="single" w:sz="4" w:space="0" w:color="auto"/>
              <w:bottom w:val="single" w:sz="4" w:space="0" w:color="auto"/>
              <w:right w:val="nil"/>
            </w:tcBorders>
            <w:shd w:val="clear" w:color="auto" w:fill="auto"/>
            <w:vAlign w:val="center"/>
            <w:hideMark/>
          </w:tcPr>
          <w:p w14:paraId="2B7B42B5" w14:textId="77777777" w:rsidR="00387142" w:rsidRPr="008B6A75" w:rsidRDefault="00387142" w:rsidP="00387142">
            <w:pPr>
              <w:rPr>
                <w:bCs/>
                <w:sz w:val="20"/>
                <w:szCs w:val="20"/>
              </w:rPr>
            </w:pPr>
            <w:r w:rsidRPr="008B6A75">
              <w:rPr>
                <w:bCs/>
                <w:sz w:val="20"/>
                <w:szCs w:val="20"/>
              </w:rPr>
              <w:t>Расходы на реализацию мероприятий по модернизации объектов теплоснабжения и сопутствующего холодного водоснабжения</w:t>
            </w:r>
          </w:p>
        </w:tc>
        <w:tc>
          <w:tcPr>
            <w:tcW w:w="720" w:type="dxa"/>
            <w:tcBorders>
              <w:top w:val="nil"/>
              <w:left w:val="single" w:sz="4" w:space="0" w:color="auto"/>
              <w:bottom w:val="single" w:sz="4" w:space="0" w:color="auto"/>
              <w:right w:val="nil"/>
            </w:tcBorders>
            <w:shd w:val="clear" w:color="auto" w:fill="auto"/>
            <w:noWrap/>
            <w:vAlign w:val="center"/>
            <w:hideMark/>
          </w:tcPr>
          <w:p w14:paraId="32BAE728" w14:textId="77777777" w:rsidR="00387142" w:rsidRPr="008B6A75" w:rsidRDefault="00387142" w:rsidP="00387142">
            <w:pPr>
              <w:jc w:val="center"/>
              <w:rPr>
                <w:bCs/>
                <w:sz w:val="20"/>
                <w:szCs w:val="20"/>
              </w:rPr>
            </w:pPr>
            <w:r w:rsidRPr="008B6A75">
              <w:rPr>
                <w:bCs/>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742B55C" w14:textId="77777777" w:rsidR="00387142" w:rsidRPr="008B6A75" w:rsidRDefault="00387142" w:rsidP="00387142">
            <w:pPr>
              <w:jc w:val="center"/>
              <w:rPr>
                <w:bCs/>
                <w:sz w:val="20"/>
                <w:szCs w:val="20"/>
              </w:rPr>
            </w:pPr>
            <w:r w:rsidRPr="008B6A75">
              <w:rPr>
                <w:bCs/>
                <w:sz w:val="20"/>
                <w:szCs w:val="20"/>
              </w:rPr>
              <w:t>02</w:t>
            </w:r>
          </w:p>
        </w:tc>
        <w:tc>
          <w:tcPr>
            <w:tcW w:w="1516" w:type="dxa"/>
            <w:tcBorders>
              <w:top w:val="nil"/>
              <w:left w:val="single" w:sz="4" w:space="0" w:color="auto"/>
              <w:bottom w:val="single" w:sz="4" w:space="0" w:color="auto"/>
              <w:right w:val="nil"/>
            </w:tcBorders>
            <w:shd w:val="clear" w:color="auto" w:fill="auto"/>
            <w:noWrap/>
            <w:vAlign w:val="center"/>
            <w:hideMark/>
          </w:tcPr>
          <w:p w14:paraId="65345D5E" w14:textId="77777777" w:rsidR="00387142" w:rsidRPr="008B6A75" w:rsidRDefault="00387142" w:rsidP="00387142">
            <w:pPr>
              <w:jc w:val="center"/>
              <w:rPr>
                <w:bCs/>
                <w:sz w:val="20"/>
                <w:szCs w:val="20"/>
              </w:rPr>
            </w:pPr>
            <w:r w:rsidRPr="008B6A75">
              <w:rPr>
                <w:bCs/>
                <w:sz w:val="20"/>
                <w:szCs w:val="20"/>
              </w:rPr>
              <w:t>99.0.00.05240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4EEBBE9"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5ABAE89" w14:textId="77777777" w:rsidR="00387142" w:rsidRPr="008B6A75" w:rsidRDefault="00387142" w:rsidP="00387142">
            <w:pPr>
              <w:jc w:val="right"/>
              <w:rPr>
                <w:bCs/>
                <w:sz w:val="20"/>
                <w:szCs w:val="20"/>
              </w:rPr>
            </w:pPr>
            <w:r w:rsidRPr="008B6A75">
              <w:rPr>
                <w:bCs/>
                <w:sz w:val="20"/>
                <w:szCs w:val="20"/>
              </w:rPr>
              <w:t>993 234,41</w:t>
            </w:r>
          </w:p>
        </w:tc>
        <w:tc>
          <w:tcPr>
            <w:tcW w:w="992" w:type="dxa"/>
            <w:tcBorders>
              <w:top w:val="nil"/>
              <w:left w:val="single" w:sz="4" w:space="0" w:color="auto"/>
              <w:bottom w:val="single" w:sz="4" w:space="0" w:color="auto"/>
              <w:right w:val="nil"/>
            </w:tcBorders>
            <w:shd w:val="clear" w:color="auto" w:fill="auto"/>
            <w:vAlign w:val="center"/>
            <w:hideMark/>
          </w:tcPr>
          <w:p w14:paraId="5653B641" w14:textId="77777777" w:rsidR="00387142" w:rsidRPr="008B6A75" w:rsidRDefault="00387142" w:rsidP="00387142">
            <w:pPr>
              <w:jc w:val="right"/>
              <w:rPr>
                <w:bCs/>
                <w:sz w:val="20"/>
                <w:szCs w:val="20"/>
              </w:rPr>
            </w:pPr>
            <w:r w:rsidRPr="008B6A75">
              <w:rPr>
                <w:bCs/>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6483B873" w14:textId="77777777" w:rsidR="00387142" w:rsidRPr="008B6A75" w:rsidRDefault="00387142" w:rsidP="00387142">
            <w:pPr>
              <w:jc w:val="right"/>
              <w:rPr>
                <w:bCs/>
                <w:sz w:val="20"/>
                <w:szCs w:val="20"/>
              </w:rPr>
            </w:pPr>
            <w:r w:rsidRPr="008B6A75">
              <w:rPr>
                <w:bCs/>
                <w:sz w:val="20"/>
                <w:szCs w:val="20"/>
              </w:rPr>
              <w:t>0,00</w:t>
            </w:r>
          </w:p>
        </w:tc>
      </w:tr>
      <w:tr w:rsidR="00387142" w:rsidRPr="008B6A75" w14:paraId="4E9A3E2E" w14:textId="77777777" w:rsidTr="00387142">
        <w:trPr>
          <w:trHeight w:val="870"/>
        </w:trPr>
        <w:tc>
          <w:tcPr>
            <w:tcW w:w="3261" w:type="dxa"/>
            <w:tcBorders>
              <w:top w:val="nil"/>
              <w:left w:val="single" w:sz="4" w:space="0" w:color="auto"/>
              <w:bottom w:val="single" w:sz="4" w:space="0" w:color="auto"/>
              <w:right w:val="nil"/>
            </w:tcBorders>
            <w:shd w:val="clear" w:color="auto" w:fill="auto"/>
            <w:vAlign w:val="center"/>
            <w:hideMark/>
          </w:tcPr>
          <w:p w14:paraId="5EC13494" w14:textId="77777777" w:rsidR="00387142" w:rsidRPr="008B6A75" w:rsidRDefault="00387142" w:rsidP="00387142">
            <w:pPr>
              <w:rPr>
                <w:sz w:val="20"/>
                <w:szCs w:val="20"/>
              </w:rPr>
            </w:pPr>
            <w:r w:rsidRPr="008B6A75">
              <w:rPr>
                <w:sz w:val="20"/>
                <w:szCs w:val="20"/>
              </w:rPr>
              <w:t>Капитальные вложения в объекты государственной (муниципальной) собственности</w:t>
            </w:r>
          </w:p>
        </w:tc>
        <w:tc>
          <w:tcPr>
            <w:tcW w:w="720" w:type="dxa"/>
            <w:tcBorders>
              <w:top w:val="nil"/>
              <w:left w:val="single" w:sz="4" w:space="0" w:color="auto"/>
              <w:bottom w:val="single" w:sz="4" w:space="0" w:color="auto"/>
              <w:right w:val="nil"/>
            </w:tcBorders>
            <w:shd w:val="clear" w:color="auto" w:fill="auto"/>
            <w:noWrap/>
            <w:vAlign w:val="center"/>
            <w:hideMark/>
          </w:tcPr>
          <w:p w14:paraId="350AEEFA" w14:textId="77777777" w:rsidR="00387142" w:rsidRPr="008B6A75" w:rsidRDefault="00387142" w:rsidP="00387142">
            <w:pPr>
              <w:jc w:val="center"/>
              <w:rPr>
                <w:sz w:val="20"/>
                <w:szCs w:val="20"/>
              </w:rPr>
            </w:pPr>
            <w:r w:rsidRPr="008B6A75">
              <w:rPr>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F7EC528" w14:textId="77777777" w:rsidR="00387142" w:rsidRPr="008B6A75" w:rsidRDefault="00387142" w:rsidP="00387142">
            <w:pPr>
              <w:jc w:val="center"/>
              <w:rPr>
                <w:sz w:val="20"/>
                <w:szCs w:val="20"/>
              </w:rPr>
            </w:pPr>
            <w:r w:rsidRPr="008B6A75">
              <w:rPr>
                <w:sz w:val="20"/>
                <w:szCs w:val="20"/>
              </w:rPr>
              <w:t>02</w:t>
            </w:r>
          </w:p>
        </w:tc>
        <w:tc>
          <w:tcPr>
            <w:tcW w:w="1516" w:type="dxa"/>
            <w:tcBorders>
              <w:top w:val="nil"/>
              <w:left w:val="single" w:sz="4" w:space="0" w:color="auto"/>
              <w:bottom w:val="single" w:sz="4" w:space="0" w:color="auto"/>
              <w:right w:val="nil"/>
            </w:tcBorders>
            <w:shd w:val="clear" w:color="auto" w:fill="auto"/>
            <w:noWrap/>
            <w:vAlign w:val="center"/>
            <w:hideMark/>
          </w:tcPr>
          <w:p w14:paraId="3D5E95A7" w14:textId="77777777" w:rsidR="00387142" w:rsidRPr="008B6A75" w:rsidRDefault="00387142" w:rsidP="00387142">
            <w:pPr>
              <w:jc w:val="center"/>
              <w:rPr>
                <w:sz w:val="20"/>
                <w:szCs w:val="20"/>
              </w:rPr>
            </w:pPr>
            <w:r w:rsidRPr="008B6A75">
              <w:rPr>
                <w:sz w:val="20"/>
                <w:szCs w:val="20"/>
              </w:rPr>
              <w:t>99.0.00.05240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0A006E6" w14:textId="77777777" w:rsidR="00387142" w:rsidRPr="008B6A75" w:rsidRDefault="00387142" w:rsidP="00387142">
            <w:pPr>
              <w:jc w:val="center"/>
              <w:rPr>
                <w:sz w:val="20"/>
                <w:szCs w:val="20"/>
              </w:rPr>
            </w:pPr>
            <w:r w:rsidRPr="008B6A75">
              <w:rPr>
                <w:sz w:val="20"/>
                <w:szCs w:val="20"/>
              </w:rPr>
              <w:t>400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635A096" w14:textId="77777777" w:rsidR="00387142" w:rsidRPr="008B6A75" w:rsidRDefault="00387142" w:rsidP="00387142">
            <w:pPr>
              <w:jc w:val="right"/>
              <w:rPr>
                <w:sz w:val="20"/>
                <w:szCs w:val="20"/>
              </w:rPr>
            </w:pPr>
            <w:r w:rsidRPr="008B6A75">
              <w:rPr>
                <w:sz w:val="20"/>
                <w:szCs w:val="20"/>
              </w:rPr>
              <w:t>993 234,41</w:t>
            </w:r>
          </w:p>
        </w:tc>
        <w:tc>
          <w:tcPr>
            <w:tcW w:w="992" w:type="dxa"/>
            <w:tcBorders>
              <w:top w:val="nil"/>
              <w:left w:val="single" w:sz="4" w:space="0" w:color="auto"/>
              <w:bottom w:val="single" w:sz="4" w:space="0" w:color="auto"/>
              <w:right w:val="nil"/>
            </w:tcBorders>
            <w:shd w:val="clear" w:color="auto" w:fill="auto"/>
            <w:vAlign w:val="center"/>
            <w:hideMark/>
          </w:tcPr>
          <w:p w14:paraId="125E7E3A" w14:textId="77777777" w:rsidR="00387142" w:rsidRPr="008B6A75" w:rsidRDefault="00387142" w:rsidP="00387142">
            <w:pPr>
              <w:jc w:val="right"/>
              <w:rPr>
                <w:sz w:val="20"/>
                <w:szCs w:val="20"/>
              </w:rPr>
            </w:pPr>
            <w:r w:rsidRPr="008B6A75">
              <w:rPr>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4E1D217B" w14:textId="77777777" w:rsidR="00387142" w:rsidRPr="008B6A75" w:rsidRDefault="00387142" w:rsidP="00387142">
            <w:pPr>
              <w:jc w:val="right"/>
              <w:rPr>
                <w:sz w:val="20"/>
                <w:szCs w:val="20"/>
              </w:rPr>
            </w:pPr>
            <w:r w:rsidRPr="008B6A75">
              <w:rPr>
                <w:sz w:val="20"/>
                <w:szCs w:val="20"/>
              </w:rPr>
              <w:t>0,00</w:t>
            </w:r>
          </w:p>
        </w:tc>
      </w:tr>
      <w:tr w:rsidR="00387142" w:rsidRPr="008B6A75" w14:paraId="5420DA47" w14:textId="77777777" w:rsidTr="00387142">
        <w:trPr>
          <w:trHeight w:val="345"/>
        </w:trPr>
        <w:tc>
          <w:tcPr>
            <w:tcW w:w="3261" w:type="dxa"/>
            <w:tcBorders>
              <w:top w:val="nil"/>
              <w:left w:val="single" w:sz="4" w:space="0" w:color="auto"/>
              <w:bottom w:val="single" w:sz="4" w:space="0" w:color="auto"/>
              <w:right w:val="nil"/>
            </w:tcBorders>
            <w:shd w:val="clear" w:color="auto" w:fill="auto"/>
            <w:vAlign w:val="center"/>
            <w:hideMark/>
          </w:tcPr>
          <w:p w14:paraId="0E504407" w14:textId="77777777" w:rsidR="00387142" w:rsidRPr="008B6A75" w:rsidRDefault="00387142" w:rsidP="00387142">
            <w:pPr>
              <w:rPr>
                <w:sz w:val="20"/>
                <w:szCs w:val="20"/>
              </w:rPr>
            </w:pPr>
            <w:r w:rsidRPr="008B6A75">
              <w:rPr>
                <w:sz w:val="20"/>
                <w:szCs w:val="20"/>
              </w:rPr>
              <w:t>Бюджетные инвестиции</w:t>
            </w:r>
          </w:p>
        </w:tc>
        <w:tc>
          <w:tcPr>
            <w:tcW w:w="720" w:type="dxa"/>
            <w:tcBorders>
              <w:top w:val="nil"/>
              <w:left w:val="single" w:sz="4" w:space="0" w:color="auto"/>
              <w:bottom w:val="single" w:sz="4" w:space="0" w:color="auto"/>
              <w:right w:val="nil"/>
            </w:tcBorders>
            <w:shd w:val="clear" w:color="auto" w:fill="auto"/>
            <w:noWrap/>
            <w:vAlign w:val="center"/>
            <w:hideMark/>
          </w:tcPr>
          <w:p w14:paraId="384E87CD" w14:textId="77777777" w:rsidR="00387142" w:rsidRPr="008B6A75" w:rsidRDefault="00387142" w:rsidP="00387142">
            <w:pPr>
              <w:jc w:val="center"/>
              <w:rPr>
                <w:sz w:val="20"/>
                <w:szCs w:val="20"/>
              </w:rPr>
            </w:pPr>
            <w:r w:rsidRPr="008B6A75">
              <w:rPr>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7BC9359" w14:textId="77777777" w:rsidR="00387142" w:rsidRPr="008B6A75" w:rsidRDefault="00387142" w:rsidP="00387142">
            <w:pPr>
              <w:jc w:val="center"/>
              <w:rPr>
                <w:sz w:val="20"/>
                <w:szCs w:val="20"/>
              </w:rPr>
            </w:pPr>
            <w:r w:rsidRPr="008B6A75">
              <w:rPr>
                <w:sz w:val="20"/>
                <w:szCs w:val="20"/>
              </w:rPr>
              <w:t>02</w:t>
            </w:r>
          </w:p>
        </w:tc>
        <w:tc>
          <w:tcPr>
            <w:tcW w:w="1516" w:type="dxa"/>
            <w:tcBorders>
              <w:top w:val="nil"/>
              <w:left w:val="single" w:sz="4" w:space="0" w:color="auto"/>
              <w:bottom w:val="single" w:sz="4" w:space="0" w:color="auto"/>
              <w:right w:val="nil"/>
            </w:tcBorders>
            <w:shd w:val="clear" w:color="auto" w:fill="auto"/>
            <w:noWrap/>
            <w:vAlign w:val="center"/>
            <w:hideMark/>
          </w:tcPr>
          <w:p w14:paraId="586D88EF" w14:textId="77777777" w:rsidR="00387142" w:rsidRPr="008B6A75" w:rsidRDefault="00387142" w:rsidP="00387142">
            <w:pPr>
              <w:jc w:val="center"/>
              <w:rPr>
                <w:sz w:val="20"/>
                <w:szCs w:val="20"/>
              </w:rPr>
            </w:pPr>
            <w:r w:rsidRPr="008B6A75">
              <w:rPr>
                <w:sz w:val="20"/>
                <w:szCs w:val="20"/>
              </w:rPr>
              <w:t>99.0.00.05240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D2B1D3A" w14:textId="77777777" w:rsidR="00387142" w:rsidRPr="008B6A75" w:rsidRDefault="00387142" w:rsidP="00387142">
            <w:pPr>
              <w:jc w:val="center"/>
              <w:rPr>
                <w:sz w:val="20"/>
                <w:szCs w:val="20"/>
              </w:rPr>
            </w:pPr>
            <w:r w:rsidRPr="008B6A75">
              <w:rPr>
                <w:sz w:val="20"/>
                <w:szCs w:val="20"/>
              </w:rPr>
              <w:t>410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A0D2331" w14:textId="77777777" w:rsidR="00387142" w:rsidRPr="008B6A75" w:rsidRDefault="00387142" w:rsidP="00387142">
            <w:pPr>
              <w:jc w:val="right"/>
              <w:rPr>
                <w:sz w:val="20"/>
                <w:szCs w:val="20"/>
              </w:rPr>
            </w:pPr>
            <w:r w:rsidRPr="008B6A75">
              <w:rPr>
                <w:sz w:val="20"/>
                <w:szCs w:val="20"/>
              </w:rPr>
              <w:t>993 234,41</w:t>
            </w:r>
          </w:p>
        </w:tc>
        <w:tc>
          <w:tcPr>
            <w:tcW w:w="992" w:type="dxa"/>
            <w:tcBorders>
              <w:top w:val="nil"/>
              <w:left w:val="single" w:sz="4" w:space="0" w:color="auto"/>
              <w:bottom w:val="single" w:sz="4" w:space="0" w:color="auto"/>
              <w:right w:val="nil"/>
            </w:tcBorders>
            <w:shd w:val="clear" w:color="auto" w:fill="auto"/>
            <w:vAlign w:val="center"/>
            <w:hideMark/>
          </w:tcPr>
          <w:p w14:paraId="650C0902" w14:textId="77777777" w:rsidR="00387142" w:rsidRPr="008B6A75" w:rsidRDefault="00387142" w:rsidP="00387142">
            <w:pPr>
              <w:jc w:val="right"/>
              <w:rPr>
                <w:sz w:val="20"/>
                <w:szCs w:val="20"/>
              </w:rPr>
            </w:pPr>
            <w:r w:rsidRPr="008B6A75">
              <w:rPr>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19C27575" w14:textId="77777777" w:rsidR="00387142" w:rsidRPr="008B6A75" w:rsidRDefault="00387142" w:rsidP="00387142">
            <w:pPr>
              <w:jc w:val="right"/>
              <w:rPr>
                <w:sz w:val="20"/>
                <w:szCs w:val="20"/>
              </w:rPr>
            </w:pPr>
            <w:r w:rsidRPr="008B6A75">
              <w:rPr>
                <w:sz w:val="20"/>
                <w:szCs w:val="20"/>
              </w:rPr>
              <w:t>0,00</w:t>
            </w:r>
          </w:p>
        </w:tc>
      </w:tr>
      <w:tr w:rsidR="00387142" w:rsidRPr="008B6A75" w14:paraId="350DF11F" w14:textId="77777777" w:rsidTr="00387142">
        <w:trPr>
          <w:trHeight w:val="345"/>
        </w:trPr>
        <w:tc>
          <w:tcPr>
            <w:tcW w:w="3261" w:type="dxa"/>
            <w:tcBorders>
              <w:top w:val="nil"/>
              <w:left w:val="single" w:sz="4" w:space="0" w:color="auto"/>
              <w:bottom w:val="single" w:sz="4" w:space="0" w:color="auto"/>
              <w:right w:val="nil"/>
            </w:tcBorders>
            <w:shd w:val="clear" w:color="auto" w:fill="auto"/>
            <w:vAlign w:val="center"/>
            <w:hideMark/>
          </w:tcPr>
          <w:p w14:paraId="0B62A84B" w14:textId="77777777" w:rsidR="00387142" w:rsidRPr="008B6A75" w:rsidRDefault="00387142" w:rsidP="00387142">
            <w:pPr>
              <w:rPr>
                <w:bCs/>
                <w:sz w:val="20"/>
                <w:szCs w:val="20"/>
              </w:rPr>
            </w:pPr>
            <w:r w:rsidRPr="008B6A75">
              <w:rPr>
                <w:bCs/>
                <w:sz w:val="20"/>
                <w:szCs w:val="20"/>
              </w:rPr>
              <w:t>Благоустройство</w:t>
            </w:r>
          </w:p>
        </w:tc>
        <w:tc>
          <w:tcPr>
            <w:tcW w:w="720" w:type="dxa"/>
            <w:tcBorders>
              <w:top w:val="nil"/>
              <w:left w:val="single" w:sz="4" w:space="0" w:color="auto"/>
              <w:bottom w:val="single" w:sz="4" w:space="0" w:color="auto"/>
              <w:right w:val="nil"/>
            </w:tcBorders>
            <w:shd w:val="clear" w:color="auto" w:fill="auto"/>
            <w:noWrap/>
            <w:vAlign w:val="center"/>
            <w:hideMark/>
          </w:tcPr>
          <w:p w14:paraId="62DEF832" w14:textId="77777777" w:rsidR="00387142" w:rsidRPr="008B6A75" w:rsidRDefault="00387142" w:rsidP="00387142">
            <w:pPr>
              <w:jc w:val="center"/>
              <w:rPr>
                <w:bCs/>
                <w:sz w:val="20"/>
                <w:szCs w:val="20"/>
              </w:rPr>
            </w:pPr>
            <w:r w:rsidRPr="008B6A75">
              <w:rPr>
                <w:bCs/>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EE483C9" w14:textId="77777777" w:rsidR="00387142" w:rsidRPr="008B6A75" w:rsidRDefault="00387142" w:rsidP="00387142">
            <w:pPr>
              <w:jc w:val="center"/>
              <w:rPr>
                <w:bCs/>
                <w:sz w:val="20"/>
                <w:szCs w:val="20"/>
              </w:rPr>
            </w:pPr>
            <w:r w:rsidRPr="008B6A75">
              <w:rPr>
                <w:bCs/>
                <w:sz w:val="20"/>
                <w:szCs w:val="20"/>
              </w:rPr>
              <w:t>03</w:t>
            </w:r>
          </w:p>
        </w:tc>
        <w:tc>
          <w:tcPr>
            <w:tcW w:w="1516" w:type="dxa"/>
            <w:tcBorders>
              <w:top w:val="nil"/>
              <w:left w:val="single" w:sz="4" w:space="0" w:color="auto"/>
              <w:bottom w:val="single" w:sz="4" w:space="0" w:color="auto"/>
              <w:right w:val="nil"/>
            </w:tcBorders>
            <w:shd w:val="clear" w:color="auto" w:fill="auto"/>
            <w:noWrap/>
            <w:vAlign w:val="center"/>
            <w:hideMark/>
          </w:tcPr>
          <w:p w14:paraId="3FA085E5" w14:textId="77777777" w:rsidR="00387142" w:rsidRPr="008B6A75" w:rsidRDefault="00387142" w:rsidP="00387142">
            <w:pPr>
              <w:jc w:val="center"/>
              <w:rPr>
                <w:bCs/>
                <w:sz w:val="20"/>
                <w:szCs w:val="20"/>
              </w:rPr>
            </w:pPr>
            <w:r w:rsidRPr="008B6A75">
              <w:rPr>
                <w:bCs/>
                <w:sz w:val="20"/>
                <w:szCs w:val="20"/>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C3D6DCC"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BA9E927" w14:textId="77777777" w:rsidR="00387142" w:rsidRPr="008B6A75" w:rsidRDefault="00387142" w:rsidP="00387142">
            <w:pPr>
              <w:jc w:val="right"/>
              <w:rPr>
                <w:bCs/>
                <w:sz w:val="20"/>
                <w:szCs w:val="20"/>
              </w:rPr>
            </w:pPr>
            <w:r w:rsidRPr="008B6A75">
              <w:rPr>
                <w:bCs/>
                <w:sz w:val="20"/>
                <w:szCs w:val="20"/>
              </w:rPr>
              <w:t>36 916 703,67</w:t>
            </w:r>
          </w:p>
        </w:tc>
        <w:tc>
          <w:tcPr>
            <w:tcW w:w="992" w:type="dxa"/>
            <w:tcBorders>
              <w:top w:val="nil"/>
              <w:left w:val="single" w:sz="4" w:space="0" w:color="auto"/>
              <w:bottom w:val="single" w:sz="4" w:space="0" w:color="auto"/>
              <w:right w:val="nil"/>
            </w:tcBorders>
            <w:shd w:val="clear" w:color="auto" w:fill="auto"/>
            <w:vAlign w:val="center"/>
            <w:hideMark/>
          </w:tcPr>
          <w:p w14:paraId="30623FEE" w14:textId="77777777" w:rsidR="00387142" w:rsidRPr="008B6A75" w:rsidRDefault="00387142" w:rsidP="00387142">
            <w:pPr>
              <w:jc w:val="right"/>
              <w:rPr>
                <w:bCs/>
                <w:sz w:val="20"/>
                <w:szCs w:val="20"/>
              </w:rPr>
            </w:pPr>
            <w:r w:rsidRPr="008B6A75">
              <w:rPr>
                <w:bCs/>
                <w:sz w:val="20"/>
                <w:szCs w:val="20"/>
              </w:rPr>
              <w:t>17 428 200,00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443B613B" w14:textId="77777777" w:rsidR="00387142" w:rsidRPr="008B6A75" w:rsidRDefault="00387142" w:rsidP="00387142">
            <w:pPr>
              <w:jc w:val="right"/>
              <w:rPr>
                <w:bCs/>
                <w:sz w:val="20"/>
                <w:szCs w:val="20"/>
              </w:rPr>
            </w:pPr>
            <w:r w:rsidRPr="008B6A75">
              <w:rPr>
                <w:bCs/>
                <w:sz w:val="20"/>
                <w:szCs w:val="20"/>
              </w:rPr>
              <w:t>19 861 900,00</w:t>
            </w:r>
          </w:p>
        </w:tc>
      </w:tr>
      <w:tr w:rsidR="00387142" w:rsidRPr="008B6A75" w14:paraId="6F0D5382" w14:textId="77777777" w:rsidTr="00387142">
        <w:trPr>
          <w:trHeight w:val="585"/>
        </w:trPr>
        <w:tc>
          <w:tcPr>
            <w:tcW w:w="3261" w:type="dxa"/>
            <w:tcBorders>
              <w:top w:val="nil"/>
              <w:left w:val="single" w:sz="4" w:space="0" w:color="auto"/>
              <w:bottom w:val="single" w:sz="4" w:space="0" w:color="auto"/>
              <w:right w:val="nil"/>
            </w:tcBorders>
            <w:shd w:val="clear" w:color="auto" w:fill="auto"/>
            <w:vAlign w:val="center"/>
            <w:hideMark/>
          </w:tcPr>
          <w:p w14:paraId="72E8002F" w14:textId="77777777" w:rsidR="00387142" w:rsidRPr="008B6A75" w:rsidRDefault="00387142" w:rsidP="00387142">
            <w:pPr>
              <w:rPr>
                <w:bCs/>
                <w:sz w:val="20"/>
                <w:szCs w:val="20"/>
              </w:rPr>
            </w:pPr>
            <w:r w:rsidRPr="008B6A75">
              <w:rPr>
                <w:bCs/>
                <w:sz w:val="20"/>
                <w:szCs w:val="20"/>
              </w:rPr>
              <w:t>Муниципальная программа "Содействие занятости населения Куйбышевского района"</w:t>
            </w:r>
          </w:p>
        </w:tc>
        <w:tc>
          <w:tcPr>
            <w:tcW w:w="720" w:type="dxa"/>
            <w:tcBorders>
              <w:top w:val="nil"/>
              <w:left w:val="single" w:sz="4" w:space="0" w:color="auto"/>
              <w:bottom w:val="single" w:sz="4" w:space="0" w:color="auto"/>
              <w:right w:val="nil"/>
            </w:tcBorders>
            <w:shd w:val="clear" w:color="auto" w:fill="auto"/>
            <w:noWrap/>
            <w:vAlign w:val="center"/>
            <w:hideMark/>
          </w:tcPr>
          <w:p w14:paraId="495C07AE" w14:textId="77777777" w:rsidR="00387142" w:rsidRPr="008B6A75" w:rsidRDefault="00387142" w:rsidP="00387142">
            <w:pPr>
              <w:jc w:val="center"/>
              <w:rPr>
                <w:bCs/>
                <w:sz w:val="20"/>
                <w:szCs w:val="20"/>
              </w:rPr>
            </w:pPr>
            <w:r w:rsidRPr="008B6A75">
              <w:rPr>
                <w:bCs/>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A9F7ABF" w14:textId="77777777" w:rsidR="00387142" w:rsidRPr="008B6A75" w:rsidRDefault="00387142" w:rsidP="00387142">
            <w:pPr>
              <w:jc w:val="center"/>
              <w:rPr>
                <w:bCs/>
                <w:sz w:val="20"/>
                <w:szCs w:val="20"/>
              </w:rPr>
            </w:pPr>
            <w:r w:rsidRPr="008B6A75">
              <w:rPr>
                <w:bCs/>
                <w:sz w:val="20"/>
                <w:szCs w:val="20"/>
              </w:rPr>
              <w:t>03</w:t>
            </w:r>
          </w:p>
        </w:tc>
        <w:tc>
          <w:tcPr>
            <w:tcW w:w="1516" w:type="dxa"/>
            <w:tcBorders>
              <w:top w:val="nil"/>
              <w:left w:val="single" w:sz="4" w:space="0" w:color="auto"/>
              <w:bottom w:val="single" w:sz="4" w:space="0" w:color="auto"/>
              <w:right w:val="nil"/>
            </w:tcBorders>
            <w:shd w:val="clear" w:color="auto" w:fill="auto"/>
            <w:noWrap/>
            <w:vAlign w:val="center"/>
            <w:hideMark/>
          </w:tcPr>
          <w:p w14:paraId="0334D7BE" w14:textId="77777777" w:rsidR="00387142" w:rsidRPr="008B6A75" w:rsidRDefault="00387142" w:rsidP="00387142">
            <w:pPr>
              <w:jc w:val="center"/>
              <w:rPr>
                <w:bCs/>
                <w:sz w:val="20"/>
                <w:szCs w:val="20"/>
              </w:rPr>
            </w:pPr>
            <w:r w:rsidRPr="008B6A75">
              <w:rPr>
                <w:bCs/>
                <w:sz w:val="20"/>
                <w:szCs w:val="20"/>
              </w:rPr>
              <w:t>01.0.00.00000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D454C26"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6870329" w14:textId="77777777" w:rsidR="00387142" w:rsidRPr="008B6A75" w:rsidRDefault="00387142" w:rsidP="00387142">
            <w:pPr>
              <w:jc w:val="right"/>
              <w:rPr>
                <w:bCs/>
                <w:sz w:val="20"/>
                <w:szCs w:val="20"/>
              </w:rPr>
            </w:pPr>
            <w:r w:rsidRPr="008B6A75">
              <w:rPr>
                <w:bCs/>
                <w:sz w:val="20"/>
                <w:szCs w:val="20"/>
              </w:rPr>
              <w:t>167 666,22</w:t>
            </w:r>
          </w:p>
        </w:tc>
        <w:tc>
          <w:tcPr>
            <w:tcW w:w="992" w:type="dxa"/>
            <w:tcBorders>
              <w:top w:val="nil"/>
              <w:left w:val="single" w:sz="4" w:space="0" w:color="auto"/>
              <w:bottom w:val="single" w:sz="4" w:space="0" w:color="auto"/>
              <w:right w:val="nil"/>
            </w:tcBorders>
            <w:shd w:val="clear" w:color="auto" w:fill="auto"/>
            <w:vAlign w:val="center"/>
            <w:hideMark/>
          </w:tcPr>
          <w:p w14:paraId="0490EC9A" w14:textId="77777777" w:rsidR="00387142" w:rsidRPr="008B6A75" w:rsidRDefault="00387142" w:rsidP="00387142">
            <w:pPr>
              <w:jc w:val="right"/>
              <w:rPr>
                <w:bCs/>
                <w:sz w:val="20"/>
                <w:szCs w:val="20"/>
              </w:rPr>
            </w:pPr>
            <w:r w:rsidRPr="008B6A75">
              <w:rPr>
                <w:bCs/>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46D185F8" w14:textId="77777777" w:rsidR="00387142" w:rsidRPr="008B6A75" w:rsidRDefault="00387142" w:rsidP="00387142">
            <w:pPr>
              <w:jc w:val="right"/>
              <w:rPr>
                <w:bCs/>
                <w:sz w:val="20"/>
                <w:szCs w:val="20"/>
              </w:rPr>
            </w:pPr>
            <w:r w:rsidRPr="008B6A75">
              <w:rPr>
                <w:bCs/>
                <w:sz w:val="20"/>
                <w:szCs w:val="20"/>
              </w:rPr>
              <w:t>0,00</w:t>
            </w:r>
          </w:p>
        </w:tc>
      </w:tr>
      <w:tr w:rsidR="00387142" w:rsidRPr="008B6A75" w14:paraId="7F67F56B" w14:textId="77777777" w:rsidTr="00387142">
        <w:trPr>
          <w:trHeight w:val="870"/>
        </w:trPr>
        <w:tc>
          <w:tcPr>
            <w:tcW w:w="3261" w:type="dxa"/>
            <w:tcBorders>
              <w:top w:val="nil"/>
              <w:left w:val="single" w:sz="4" w:space="0" w:color="auto"/>
              <w:bottom w:val="single" w:sz="4" w:space="0" w:color="auto"/>
              <w:right w:val="nil"/>
            </w:tcBorders>
            <w:shd w:val="clear" w:color="auto" w:fill="auto"/>
            <w:vAlign w:val="center"/>
            <w:hideMark/>
          </w:tcPr>
          <w:p w14:paraId="6D4988F3" w14:textId="77777777" w:rsidR="00387142" w:rsidRPr="008B6A75" w:rsidRDefault="00387142" w:rsidP="00387142">
            <w:pPr>
              <w:rPr>
                <w:bCs/>
                <w:sz w:val="20"/>
                <w:szCs w:val="20"/>
              </w:rPr>
            </w:pPr>
            <w:r w:rsidRPr="008B6A75">
              <w:rPr>
                <w:bCs/>
                <w:sz w:val="20"/>
                <w:szCs w:val="20"/>
              </w:rPr>
              <w:t>Реализация мероприятий в рамках МП "Содействие занятости населения Куйбышевского района"</w:t>
            </w:r>
          </w:p>
        </w:tc>
        <w:tc>
          <w:tcPr>
            <w:tcW w:w="720" w:type="dxa"/>
            <w:tcBorders>
              <w:top w:val="nil"/>
              <w:left w:val="single" w:sz="4" w:space="0" w:color="auto"/>
              <w:bottom w:val="single" w:sz="4" w:space="0" w:color="auto"/>
              <w:right w:val="nil"/>
            </w:tcBorders>
            <w:shd w:val="clear" w:color="auto" w:fill="auto"/>
            <w:noWrap/>
            <w:vAlign w:val="center"/>
            <w:hideMark/>
          </w:tcPr>
          <w:p w14:paraId="3917D3AE" w14:textId="77777777" w:rsidR="00387142" w:rsidRPr="008B6A75" w:rsidRDefault="00387142" w:rsidP="00387142">
            <w:pPr>
              <w:jc w:val="center"/>
              <w:rPr>
                <w:bCs/>
                <w:sz w:val="20"/>
                <w:szCs w:val="20"/>
              </w:rPr>
            </w:pPr>
            <w:r w:rsidRPr="008B6A75">
              <w:rPr>
                <w:bCs/>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220885C" w14:textId="77777777" w:rsidR="00387142" w:rsidRPr="008B6A75" w:rsidRDefault="00387142" w:rsidP="00387142">
            <w:pPr>
              <w:jc w:val="center"/>
              <w:rPr>
                <w:bCs/>
                <w:sz w:val="20"/>
                <w:szCs w:val="20"/>
              </w:rPr>
            </w:pPr>
            <w:r w:rsidRPr="008B6A75">
              <w:rPr>
                <w:bCs/>
                <w:sz w:val="20"/>
                <w:szCs w:val="20"/>
              </w:rPr>
              <w:t>03</w:t>
            </w:r>
          </w:p>
        </w:tc>
        <w:tc>
          <w:tcPr>
            <w:tcW w:w="1516" w:type="dxa"/>
            <w:tcBorders>
              <w:top w:val="nil"/>
              <w:left w:val="single" w:sz="4" w:space="0" w:color="auto"/>
              <w:bottom w:val="single" w:sz="4" w:space="0" w:color="auto"/>
              <w:right w:val="nil"/>
            </w:tcBorders>
            <w:shd w:val="clear" w:color="auto" w:fill="auto"/>
            <w:noWrap/>
            <w:vAlign w:val="center"/>
            <w:hideMark/>
          </w:tcPr>
          <w:p w14:paraId="151C1C93" w14:textId="77777777" w:rsidR="00387142" w:rsidRPr="008B6A75" w:rsidRDefault="00387142" w:rsidP="00387142">
            <w:pPr>
              <w:jc w:val="center"/>
              <w:rPr>
                <w:bCs/>
                <w:sz w:val="20"/>
                <w:szCs w:val="20"/>
              </w:rPr>
            </w:pPr>
            <w:r w:rsidRPr="008B6A75">
              <w:rPr>
                <w:bCs/>
                <w:sz w:val="20"/>
                <w:szCs w:val="20"/>
              </w:rPr>
              <w:t>01.0.00.79500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280DD22"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4B06839" w14:textId="77777777" w:rsidR="00387142" w:rsidRPr="008B6A75" w:rsidRDefault="00387142" w:rsidP="00387142">
            <w:pPr>
              <w:jc w:val="right"/>
              <w:rPr>
                <w:bCs/>
                <w:sz w:val="20"/>
                <w:szCs w:val="20"/>
              </w:rPr>
            </w:pPr>
            <w:r w:rsidRPr="008B6A75">
              <w:rPr>
                <w:bCs/>
                <w:sz w:val="20"/>
                <w:szCs w:val="20"/>
              </w:rPr>
              <w:t>167 666,22</w:t>
            </w:r>
          </w:p>
        </w:tc>
        <w:tc>
          <w:tcPr>
            <w:tcW w:w="992" w:type="dxa"/>
            <w:tcBorders>
              <w:top w:val="nil"/>
              <w:left w:val="single" w:sz="4" w:space="0" w:color="auto"/>
              <w:bottom w:val="single" w:sz="4" w:space="0" w:color="auto"/>
              <w:right w:val="nil"/>
            </w:tcBorders>
            <w:shd w:val="clear" w:color="auto" w:fill="auto"/>
            <w:vAlign w:val="center"/>
            <w:hideMark/>
          </w:tcPr>
          <w:p w14:paraId="0E9B2AC0" w14:textId="77777777" w:rsidR="00387142" w:rsidRPr="008B6A75" w:rsidRDefault="00387142" w:rsidP="00387142">
            <w:pPr>
              <w:jc w:val="right"/>
              <w:rPr>
                <w:bCs/>
                <w:sz w:val="20"/>
                <w:szCs w:val="20"/>
              </w:rPr>
            </w:pPr>
            <w:r w:rsidRPr="008B6A75">
              <w:rPr>
                <w:bCs/>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71C3CBA2" w14:textId="77777777" w:rsidR="00387142" w:rsidRPr="008B6A75" w:rsidRDefault="00387142" w:rsidP="00387142">
            <w:pPr>
              <w:jc w:val="right"/>
              <w:rPr>
                <w:bCs/>
                <w:sz w:val="20"/>
                <w:szCs w:val="20"/>
              </w:rPr>
            </w:pPr>
            <w:r w:rsidRPr="008B6A75">
              <w:rPr>
                <w:bCs/>
                <w:sz w:val="20"/>
                <w:szCs w:val="20"/>
              </w:rPr>
              <w:t>0,00</w:t>
            </w:r>
          </w:p>
        </w:tc>
      </w:tr>
      <w:tr w:rsidR="00387142" w:rsidRPr="008B6A75" w14:paraId="5D6CF1B1" w14:textId="77777777" w:rsidTr="00387142">
        <w:trPr>
          <w:trHeight w:val="345"/>
        </w:trPr>
        <w:tc>
          <w:tcPr>
            <w:tcW w:w="3261" w:type="dxa"/>
            <w:tcBorders>
              <w:top w:val="nil"/>
              <w:left w:val="single" w:sz="4" w:space="0" w:color="auto"/>
              <w:bottom w:val="single" w:sz="4" w:space="0" w:color="auto"/>
              <w:right w:val="nil"/>
            </w:tcBorders>
            <w:shd w:val="clear" w:color="auto" w:fill="auto"/>
            <w:vAlign w:val="center"/>
            <w:hideMark/>
          </w:tcPr>
          <w:p w14:paraId="523EF58B" w14:textId="77777777" w:rsidR="00387142" w:rsidRPr="008B6A75" w:rsidRDefault="00387142" w:rsidP="00387142">
            <w:pPr>
              <w:rPr>
                <w:sz w:val="20"/>
                <w:szCs w:val="20"/>
              </w:rPr>
            </w:pPr>
            <w:r w:rsidRPr="008B6A75">
              <w:rPr>
                <w:sz w:val="20"/>
                <w:szCs w:val="20"/>
              </w:rPr>
              <w:lastRenderedPageBreak/>
              <w:t>Межбюджетные трансферты</w:t>
            </w:r>
          </w:p>
        </w:tc>
        <w:tc>
          <w:tcPr>
            <w:tcW w:w="720" w:type="dxa"/>
            <w:tcBorders>
              <w:top w:val="nil"/>
              <w:left w:val="single" w:sz="4" w:space="0" w:color="auto"/>
              <w:bottom w:val="single" w:sz="4" w:space="0" w:color="auto"/>
              <w:right w:val="nil"/>
            </w:tcBorders>
            <w:shd w:val="clear" w:color="auto" w:fill="auto"/>
            <w:noWrap/>
            <w:vAlign w:val="center"/>
            <w:hideMark/>
          </w:tcPr>
          <w:p w14:paraId="545EB015" w14:textId="77777777" w:rsidR="00387142" w:rsidRPr="008B6A75" w:rsidRDefault="00387142" w:rsidP="00387142">
            <w:pPr>
              <w:jc w:val="center"/>
              <w:rPr>
                <w:sz w:val="20"/>
                <w:szCs w:val="20"/>
              </w:rPr>
            </w:pPr>
            <w:r w:rsidRPr="008B6A75">
              <w:rPr>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F96069F" w14:textId="77777777" w:rsidR="00387142" w:rsidRPr="008B6A75" w:rsidRDefault="00387142" w:rsidP="00387142">
            <w:pPr>
              <w:jc w:val="center"/>
              <w:rPr>
                <w:sz w:val="20"/>
                <w:szCs w:val="20"/>
              </w:rPr>
            </w:pPr>
            <w:r w:rsidRPr="008B6A75">
              <w:rPr>
                <w:sz w:val="20"/>
                <w:szCs w:val="20"/>
              </w:rPr>
              <w:t>03</w:t>
            </w:r>
          </w:p>
        </w:tc>
        <w:tc>
          <w:tcPr>
            <w:tcW w:w="1516" w:type="dxa"/>
            <w:tcBorders>
              <w:top w:val="nil"/>
              <w:left w:val="single" w:sz="4" w:space="0" w:color="auto"/>
              <w:bottom w:val="single" w:sz="4" w:space="0" w:color="auto"/>
              <w:right w:val="nil"/>
            </w:tcBorders>
            <w:shd w:val="clear" w:color="auto" w:fill="auto"/>
            <w:noWrap/>
            <w:vAlign w:val="center"/>
            <w:hideMark/>
          </w:tcPr>
          <w:p w14:paraId="4988D84E" w14:textId="77777777" w:rsidR="00387142" w:rsidRPr="008B6A75" w:rsidRDefault="00387142" w:rsidP="00387142">
            <w:pPr>
              <w:jc w:val="center"/>
              <w:rPr>
                <w:sz w:val="20"/>
                <w:szCs w:val="20"/>
              </w:rPr>
            </w:pPr>
            <w:r w:rsidRPr="008B6A75">
              <w:rPr>
                <w:sz w:val="20"/>
                <w:szCs w:val="20"/>
              </w:rPr>
              <w:t>01.0.00.79500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1DEFA4F" w14:textId="77777777" w:rsidR="00387142" w:rsidRPr="008B6A75" w:rsidRDefault="00387142" w:rsidP="00387142">
            <w:pPr>
              <w:jc w:val="center"/>
              <w:rPr>
                <w:sz w:val="20"/>
                <w:szCs w:val="20"/>
              </w:rPr>
            </w:pPr>
            <w:r w:rsidRPr="008B6A75">
              <w:rPr>
                <w:sz w:val="20"/>
                <w:szCs w:val="20"/>
              </w:rPr>
              <w:t>500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235779A" w14:textId="77777777" w:rsidR="00387142" w:rsidRPr="008B6A75" w:rsidRDefault="00387142" w:rsidP="00387142">
            <w:pPr>
              <w:jc w:val="right"/>
              <w:rPr>
                <w:sz w:val="20"/>
                <w:szCs w:val="20"/>
              </w:rPr>
            </w:pPr>
            <w:r w:rsidRPr="008B6A75">
              <w:rPr>
                <w:sz w:val="20"/>
                <w:szCs w:val="20"/>
              </w:rPr>
              <w:t>167 666,22</w:t>
            </w:r>
          </w:p>
        </w:tc>
        <w:tc>
          <w:tcPr>
            <w:tcW w:w="992" w:type="dxa"/>
            <w:tcBorders>
              <w:top w:val="nil"/>
              <w:left w:val="single" w:sz="4" w:space="0" w:color="auto"/>
              <w:bottom w:val="single" w:sz="4" w:space="0" w:color="auto"/>
              <w:right w:val="nil"/>
            </w:tcBorders>
            <w:shd w:val="clear" w:color="auto" w:fill="auto"/>
            <w:vAlign w:val="center"/>
            <w:hideMark/>
          </w:tcPr>
          <w:p w14:paraId="583A0CAF" w14:textId="77777777" w:rsidR="00387142" w:rsidRPr="008B6A75" w:rsidRDefault="00387142" w:rsidP="00387142">
            <w:pPr>
              <w:jc w:val="right"/>
              <w:rPr>
                <w:sz w:val="20"/>
                <w:szCs w:val="20"/>
              </w:rPr>
            </w:pPr>
            <w:r w:rsidRPr="008B6A75">
              <w:rPr>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46058931" w14:textId="77777777" w:rsidR="00387142" w:rsidRPr="008B6A75" w:rsidRDefault="00387142" w:rsidP="00387142">
            <w:pPr>
              <w:jc w:val="right"/>
              <w:rPr>
                <w:sz w:val="20"/>
                <w:szCs w:val="20"/>
              </w:rPr>
            </w:pPr>
            <w:r w:rsidRPr="008B6A75">
              <w:rPr>
                <w:sz w:val="20"/>
                <w:szCs w:val="20"/>
              </w:rPr>
              <w:t>0,00</w:t>
            </w:r>
          </w:p>
        </w:tc>
      </w:tr>
      <w:tr w:rsidR="00387142" w:rsidRPr="008B6A75" w14:paraId="57385B14" w14:textId="77777777" w:rsidTr="00387142">
        <w:trPr>
          <w:trHeight w:val="345"/>
        </w:trPr>
        <w:tc>
          <w:tcPr>
            <w:tcW w:w="3261" w:type="dxa"/>
            <w:tcBorders>
              <w:top w:val="nil"/>
              <w:left w:val="single" w:sz="4" w:space="0" w:color="auto"/>
              <w:bottom w:val="single" w:sz="4" w:space="0" w:color="auto"/>
              <w:right w:val="nil"/>
            </w:tcBorders>
            <w:shd w:val="clear" w:color="auto" w:fill="auto"/>
            <w:vAlign w:val="center"/>
            <w:hideMark/>
          </w:tcPr>
          <w:p w14:paraId="37810BC9" w14:textId="77777777" w:rsidR="00387142" w:rsidRPr="008B6A75" w:rsidRDefault="00387142" w:rsidP="00387142">
            <w:pPr>
              <w:rPr>
                <w:sz w:val="20"/>
                <w:szCs w:val="20"/>
              </w:rPr>
            </w:pPr>
            <w:r w:rsidRPr="008B6A75">
              <w:rPr>
                <w:sz w:val="20"/>
                <w:szCs w:val="20"/>
              </w:rPr>
              <w:t>Иные межбюджетные трансферты</w:t>
            </w:r>
          </w:p>
        </w:tc>
        <w:tc>
          <w:tcPr>
            <w:tcW w:w="720" w:type="dxa"/>
            <w:tcBorders>
              <w:top w:val="nil"/>
              <w:left w:val="single" w:sz="4" w:space="0" w:color="auto"/>
              <w:bottom w:val="single" w:sz="4" w:space="0" w:color="auto"/>
              <w:right w:val="nil"/>
            </w:tcBorders>
            <w:shd w:val="clear" w:color="auto" w:fill="auto"/>
            <w:noWrap/>
            <w:vAlign w:val="center"/>
            <w:hideMark/>
          </w:tcPr>
          <w:p w14:paraId="6CADFADA" w14:textId="77777777" w:rsidR="00387142" w:rsidRPr="008B6A75" w:rsidRDefault="00387142" w:rsidP="00387142">
            <w:pPr>
              <w:jc w:val="center"/>
              <w:rPr>
                <w:sz w:val="20"/>
                <w:szCs w:val="20"/>
              </w:rPr>
            </w:pPr>
            <w:r w:rsidRPr="008B6A75">
              <w:rPr>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97D7F6B" w14:textId="77777777" w:rsidR="00387142" w:rsidRPr="008B6A75" w:rsidRDefault="00387142" w:rsidP="00387142">
            <w:pPr>
              <w:jc w:val="center"/>
              <w:rPr>
                <w:sz w:val="20"/>
                <w:szCs w:val="20"/>
              </w:rPr>
            </w:pPr>
            <w:r w:rsidRPr="008B6A75">
              <w:rPr>
                <w:sz w:val="20"/>
                <w:szCs w:val="20"/>
              </w:rPr>
              <w:t>03</w:t>
            </w:r>
          </w:p>
        </w:tc>
        <w:tc>
          <w:tcPr>
            <w:tcW w:w="1516" w:type="dxa"/>
            <w:tcBorders>
              <w:top w:val="nil"/>
              <w:left w:val="single" w:sz="4" w:space="0" w:color="auto"/>
              <w:bottom w:val="single" w:sz="4" w:space="0" w:color="auto"/>
              <w:right w:val="nil"/>
            </w:tcBorders>
            <w:shd w:val="clear" w:color="auto" w:fill="auto"/>
            <w:noWrap/>
            <w:vAlign w:val="center"/>
            <w:hideMark/>
          </w:tcPr>
          <w:p w14:paraId="0E8E2063" w14:textId="77777777" w:rsidR="00387142" w:rsidRPr="008B6A75" w:rsidRDefault="00387142" w:rsidP="00387142">
            <w:pPr>
              <w:jc w:val="center"/>
              <w:rPr>
                <w:sz w:val="20"/>
                <w:szCs w:val="20"/>
              </w:rPr>
            </w:pPr>
            <w:r w:rsidRPr="008B6A75">
              <w:rPr>
                <w:sz w:val="20"/>
                <w:szCs w:val="20"/>
              </w:rPr>
              <w:t>01.0.00.79500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D7D3ABF" w14:textId="77777777" w:rsidR="00387142" w:rsidRPr="008B6A75" w:rsidRDefault="00387142" w:rsidP="00387142">
            <w:pPr>
              <w:jc w:val="center"/>
              <w:rPr>
                <w:sz w:val="20"/>
                <w:szCs w:val="20"/>
              </w:rPr>
            </w:pPr>
            <w:r w:rsidRPr="008B6A75">
              <w:rPr>
                <w:sz w:val="20"/>
                <w:szCs w:val="20"/>
              </w:rPr>
              <w:t>540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843A7D9" w14:textId="77777777" w:rsidR="00387142" w:rsidRPr="008B6A75" w:rsidRDefault="00387142" w:rsidP="00387142">
            <w:pPr>
              <w:jc w:val="right"/>
              <w:rPr>
                <w:sz w:val="20"/>
                <w:szCs w:val="20"/>
              </w:rPr>
            </w:pPr>
            <w:r w:rsidRPr="008B6A75">
              <w:rPr>
                <w:sz w:val="20"/>
                <w:szCs w:val="20"/>
              </w:rPr>
              <w:t>167 666,22</w:t>
            </w:r>
          </w:p>
        </w:tc>
        <w:tc>
          <w:tcPr>
            <w:tcW w:w="992" w:type="dxa"/>
            <w:tcBorders>
              <w:top w:val="nil"/>
              <w:left w:val="single" w:sz="4" w:space="0" w:color="auto"/>
              <w:bottom w:val="single" w:sz="4" w:space="0" w:color="auto"/>
              <w:right w:val="nil"/>
            </w:tcBorders>
            <w:shd w:val="clear" w:color="auto" w:fill="auto"/>
            <w:vAlign w:val="center"/>
            <w:hideMark/>
          </w:tcPr>
          <w:p w14:paraId="668B106A" w14:textId="77777777" w:rsidR="00387142" w:rsidRPr="008B6A75" w:rsidRDefault="00387142" w:rsidP="00387142">
            <w:pPr>
              <w:jc w:val="right"/>
              <w:rPr>
                <w:sz w:val="20"/>
                <w:szCs w:val="20"/>
              </w:rPr>
            </w:pPr>
            <w:r w:rsidRPr="008B6A75">
              <w:rPr>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00019185" w14:textId="77777777" w:rsidR="00387142" w:rsidRPr="008B6A75" w:rsidRDefault="00387142" w:rsidP="00387142">
            <w:pPr>
              <w:jc w:val="right"/>
              <w:rPr>
                <w:sz w:val="20"/>
                <w:szCs w:val="20"/>
              </w:rPr>
            </w:pPr>
            <w:r w:rsidRPr="008B6A75">
              <w:rPr>
                <w:sz w:val="20"/>
                <w:szCs w:val="20"/>
              </w:rPr>
              <w:t>0,00</w:t>
            </w:r>
          </w:p>
        </w:tc>
      </w:tr>
      <w:tr w:rsidR="00387142" w:rsidRPr="008B6A75" w14:paraId="18814A8B" w14:textId="77777777" w:rsidTr="00387142">
        <w:trPr>
          <w:trHeight w:val="870"/>
        </w:trPr>
        <w:tc>
          <w:tcPr>
            <w:tcW w:w="3261" w:type="dxa"/>
            <w:tcBorders>
              <w:top w:val="nil"/>
              <w:left w:val="single" w:sz="4" w:space="0" w:color="auto"/>
              <w:bottom w:val="single" w:sz="4" w:space="0" w:color="auto"/>
              <w:right w:val="nil"/>
            </w:tcBorders>
            <w:shd w:val="clear" w:color="auto" w:fill="auto"/>
            <w:vAlign w:val="center"/>
            <w:hideMark/>
          </w:tcPr>
          <w:p w14:paraId="280AFE36" w14:textId="77777777" w:rsidR="00387142" w:rsidRPr="008B6A75" w:rsidRDefault="00387142" w:rsidP="00387142">
            <w:pPr>
              <w:rPr>
                <w:bCs/>
                <w:sz w:val="20"/>
                <w:szCs w:val="20"/>
              </w:rPr>
            </w:pPr>
            <w:r w:rsidRPr="008B6A75">
              <w:rPr>
                <w:bCs/>
                <w:sz w:val="20"/>
                <w:szCs w:val="20"/>
              </w:rPr>
              <w:t>Муниципальная программа "Комплексное развитие сельских территорий в Куйбышевском районе"</w:t>
            </w:r>
          </w:p>
        </w:tc>
        <w:tc>
          <w:tcPr>
            <w:tcW w:w="720" w:type="dxa"/>
            <w:tcBorders>
              <w:top w:val="nil"/>
              <w:left w:val="single" w:sz="4" w:space="0" w:color="auto"/>
              <w:bottom w:val="single" w:sz="4" w:space="0" w:color="auto"/>
              <w:right w:val="nil"/>
            </w:tcBorders>
            <w:shd w:val="clear" w:color="auto" w:fill="auto"/>
            <w:noWrap/>
            <w:vAlign w:val="center"/>
            <w:hideMark/>
          </w:tcPr>
          <w:p w14:paraId="48C72D31" w14:textId="77777777" w:rsidR="00387142" w:rsidRPr="008B6A75" w:rsidRDefault="00387142" w:rsidP="00387142">
            <w:pPr>
              <w:jc w:val="center"/>
              <w:rPr>
                <w:bCs/>
                <w:sz w:val="20"/>
                <w:szCs w:val="20"/>
              </w:rPr>
            </w:pPr>
            <w:r w:rsidRPr="008B6A75">
              <w:rPr>
                <w:bCs/>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C1D86E5" w14:textId="77777777" w:rsidR="00387142" w:rsidRPr="008B6A75" w:rsidRDefault="00387142" w:rsidP="00387142">
            <w:pPr>
              <w:jc w:val="center"/>
              <w:rPr>
                <w:bCs/>
                <w:sz w:val="20"/>
                <w:szCs w:val="20"/>
              </w:rPr>
            </w:pPr>
            <w:r w:rsidRPr="008B6A75">
              <w:rPr>
                <w:bCs/>
                <w:sz w:val="20"/>
                <w:szCs w:val="20"/>
              </w:rPr>
              <w:t>03</w:t>
            </w:r>
          </w:p>
        </w:tc>
        <w:tc>
          <w:tcPr>
            <w:tcW w:w="1516" w:type="dxa"/>
            <w:tcBorders>
              <w:top w:val="nil"/>
              <w:left w:val="single" w:sz="4" w:space="0" w:color="auto"/>
              <w:bottom w:val="single" w:sz="4" w:space="0" w:color="auto"/>
              <w:right w:val="nil"/>
            </w:tcBorders>
            <w:shd w:val="clear" w:color="auto" w:fill="auto"/>
            <w:noWrap/>
            <w:vAlign w:val="center"/>
            <w:hideMark/>
          </w:tcPr>
          <w:p w14:paraId="33CCCDB8" w14:textId="77777777" w:rsidR="00387142" w:rsidRPr="008B6A75" w:rsidRDefault="00387142" w:rsidP="00387142">
            <w:pPr>
              <w:jc w:val="center"/>
              <w:rPr>
                <w:bCs/>
                <w:sz w:val="20"/>
                <w:szCs w:val="20"/>
              </w:rPr>
            </w:pPr>
            <w:r w:rsidRPr="008B6A75">
              <w:rPr>
                <w:bCs/>
                <w:sz w:val="20"/>
                <w:szCs w:val="20"/>
              </w:rPr>
              <w:t>06.0.00.00000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2FCCD1B"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75566AA" w14:textId="77777777" w:rsidR="00387142" w:rsidRPr="008B6A75" w:rsidRDefault="00387142" w:rsidP="00387142">
            <w:pPr>
              <w:jc w:val="right"/>
              <w:rPr>
                <w:bCs/>
                <w:sz w:val="20"/>
                <w:szCs w:val="20"/>
              </w:rPr>
            </w:pPr>
            <w:r w:rsidRPr="008B6A75">
              <w:rPr>
                <w:bCs/>
                <w:sz w:val="20"/>
                <w:szCs w:val="20"/>
              </w:rPr>
              <w:t>2 998 172,91</w:t>
            </w:r>
          </w:p>
        </w:tc>
        <w:tc>
          <w:tcPr>
            <w:tcW w:w="992" w:type="dxa"/>
            <w:tcBorders>
              <w:top w:val="nil"/>
              <w:left w:val="single" w:sz="4" w:space="0" w:color="auto"/>
              <w:bottom w:val="single" w:sz="4" w:space="0" w:color="auto"/>
              <w:right w:val="nil"/>
            </w:tcBorders>
            <w:shd w:val="clear" w:color="auto" w:fill="auto"/>
            <w:vAlign w:val="center"/>
            <w:hideMark/>
          </w:tcPr>
          <w:p w14:paraId="32506A24" w14:textId="77777777" w:rsidR="00387142" w:rsidRPr="008B6A75" w:rsidRDefault="00387142" w:rsidP="00387142">
            <w:pPr>
              <w:jc w:val="right"/>
              <w:rPr>
                <w:bCs/>
                <w:sz w:val="20"/>
                <w:szCs w:val="20"/>
              </w:rPr>
            </w:pPr>
            <w:r w:rsidRPr="008B6A75">
              <w:rPr>
                <w:bCs/>
                <w:sz w:val="20"/>
                <w:szCs w:val="20"/>
              </w:rPr>
              <w:t>500 000,00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5204AD83" w14:textId="77777777" w:rsidR="00387142" w:rsidRPr="008B6A75" w:rsidRDefault="00387142" w:rsidP="00387142">
            <w:pPr>
              <w:jc w:val="right"/>
              <w:rPr>
                <w:bCs/>
                <w:sz w:val="20"/>
                <w:szCs w:val="20"/>
              </w:rPr>
            </w:pPr>
            <w:r w:rsidRPr="008B6A75">
              <w:rPr>
                <w:bCs/>
                <w:sz w:val="20"/>
                <w:szCs w:val="20"/>
              </w:rPr>
              <w:t>500 000,00</w:t>
            </w:r>
          </w:p>
        </w:tc>
      </w:tr>
      <w:tr w:rsidR="00387142" w:rsidRPr="008B6A75" w14:paraId="66BCE7ED" w14:textId="77777777" w:rsidTr="00387142">
        <w:trPr>
          <w:trHeight w:val="870"/>
        </w:trPr>
        <w:tc>
          <w:tcPr>
            <w:tcW w:w="3261" w:type="dxa"/>
            <w:tcBorders>
              <w:top w:val="nil"/>
              <w:left w:val="single" w:sz="4" w:space="0" w:color="auto"/>
              <w:bottom w:val="single" w:sz="4" w:space="0" w:color="auto"/>
              <w:right w:val="nil"/>
            </w:tcBorders>
            <w:shd w:val="clear" w:color="auto" w:fill="auto"/>
            <w:vAlign w:val="center"/>
            <w:hideMark/>
          </w:tcPr>
          <w:p w14:paraId="331562B4" w14:textId="77777777" w:rsidR="00387142" w:rsidRPr="008B6A75" w:rsidRDefault="00387142" w:rsidP="00387142">
            <w:pPr>
              <w:rPr>
                <w:bCs/>
                <w:sz w:val="20"/>
                <w:szCs w:val="20"/>
              </w:rPr>
            </w:pPr>
            <w:r w:rsidRPr="008B6A75">
              <w:rPr>
                <w:bCs/>
                <w:sz w:val="20"/>
                <w:szCs w:val="20"/>
              </w:rPr>
              <w:t>Реализация мероприятий муниципальной программы «Комплексное развитие сельских территорий в Куйбышевском районе»</w:t>
            </w:r>
          </w:p>
        </w:tc>
        <w:tc>
          <w:tcPr>
            <w:tcW w:w="720" w:type="dxa"/>
            <w:tcBorders>
              <w:top w:val="nil"/>
              <w:left w:val="single" w:sz="4" w:space="0" w:color="auto"/>
              <w:bottom w:val="single" w:sz="4" w:space="0" w:color="auto"/>
              <w:right w:val="nil"/>
            </w:tcBorders>
            <w:shd w:val="clear" w:color="auto" w:fill="auto"/>
            <w:noWrap/>
            <w:vAlign w:val="center"/>
            <w:hideMark/>
          </w:tcPr>
          <w:p w14:paraId="567873AC" w14:textId="77777777" w:rsidR="00387142" w:rsidRPr="008B6A75" w:rsidRDefault="00387142" w:rsidP="00387142">
            <w:pPr>
              <w:jc w:val="center"/>
              <w:rPr>
                <w:bCs/>
                <w:sz w:val="20"/>
                <w:szCs w:val="20"/>
              </w:rPr>
            </w:pPr>
            <w:r w:rsidRPr="008B6A75">
              <w:rPr>
                <w:bCs/>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5FA76FB" w14:textId="77777777" w:rsidR="00387142" w:rsidRPr="008B6A75" w:rsidRDefault="00387142" w:rsidP="00387142">
            <w:pPr>
              <w:jc w:val="center"/>
              <w:rPr>
                <w:bCs/>
                <w:sz w:val="20"/>
                <w:szCs w:val="20"/>
              </w:rPr>
            </w:pPr>
            <w:r w:rsidRPr="008B6A75">
              <w:rPr>
                <w:bCs/>
                <w:sz w:val="20"/>
                <w:szCs w:val="20"/>
              </w:rPr>
              <w:t>03</w:t>
            </w:r>
          </w:p>
        </w:tc>
        <w:tc>
          <w:tcPr>
            <w:tcW w:w="1516" w:type="dxa"/>
            <w:tcBorders>
              <w:top w:val="nil"/>
              <w:left w:val="single" w:sz="4" w:space="0" w:color="auto"/>
              <w:bottom w:val="single" w:sz="4" w:space="0" w:color="auto"/>
              <w:right w:val="nil"/>
            </w:tcBorders>
            <w:shd w:val="clear" w:color="auto" w:fill="auto"/>
            <w:noWrap/>
            <w:vAlign w:val="center"/>
            <w:hideMark/>
          </w:tcPr>
          <w:p w14:paraId="54B371CB" w14:textId="77777777" w:rsidR="00387142" w:rsidRPr="008B6A75" w:rsidRDefault="00387142" w:rsidP="00387142">
            <w:pPr>
              <w:jc w:val="center"/>
              <w:rPr>
                <w:bCs/>
                <w:sz w:val="20"/>
                <w:szCs w:val="20"/>
              </w:rPr>
            </w:pPr>
            <w:r w:rsidRPr="008B6A75">
              <w:rPr>
                <w:bCs/>
                <w:sz w:val="20"/>
                <w:szCs w:val="20"/>
              </w:rPr>
              <w:t>06.0.00.05956</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3216732"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380929A" w14:textId="77777777" w:rsidR="00387142" w:rsidRPr="008B6A75" w:rsidRDefault="00387142" w:rsidP="00387142">
            <w:pPr>
              <w:jc w:val="right"/>
              <w:rPr>
                <w:bCs/>
                <w:sz w:val="20"/>
                <w:szCs w:val="20"/>
              </w:rPr>
            </w:pPr>
            <w:r w:rsidRPr="008B6A75">
              <w:rPr>
                <w:bCs/>
                <w:sz w:val="20"/>
                <w:szCs w:val="20"/>
              </w:rPr>
              <w:t>553 835,00</w:t>
            </w:r>
          </w:p>
        </w:tc>
        <w:tc>
          <w:tcPr>
            <w:tcW w:w="992" w:type="dxa"/>
            <w:tcBorders>
              <w:top w:val="nil"/>
              <w:left w:val="single" w:sz="4" w:space="0" w:color="auto"/>
              <w:bottom w:val="single" w:sz="4" w:space="0" w:color="auto"/>
              <w:right w:val="nil"/>
            </w:tcBorders>
            <w:shd w:val="clear" w:color="auto" w:fill="auto"/>
            <w:vAlign w:val="center"/>
            <w:hideMark/>
          </w:tcPr>
          <w:p w14:paraId="6684E294" w14:textId="77777777" w:rsidR="00387142" w:rsidRPr="008B6A75" w:rsidRDefault="00387142" w:rsidP="00387142">
            <w:pPr>
              <w:jc w:val="right"/>
              <w:rPr>
                <w:bCs/>
                <w:sz w:val="20"/>
                <w:szCs w:val="20"/>
              </w:rPr>
            </w:pPr>
            <w:r w:rsidRPr="008B6A75">
              <w:rPr>
                <w:bCs/>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12F5474C" w14:textId="77777777" w:rsidR="00387142" w:rsidRPr="008B6A75" w:rsidRDefault="00387142" w:rsidP="00387142">
            <w:pPr>
              <w:jc w:val="right"/>
              <w:rPr>
                <w:bCs/>
                <w:sz w:val="20"/>
                <w:szCs w:val="20"/>
              </w:rPr>
            </w:pPr>
            <w:r w:rsidRPr="008B6A75">
              <w:rPr>
                <w:bCs/>
                <w:sz w:val="20"/>
                <w:szCs w:val="20"/>
              </w:rPr>
              <w:t>0,00</w:t>
            </w:r>
          </w:p>
        </w:tc>
      </w:tr>
      <w:tr w:rsidR="00387142" w:rsidRPr="008B6A75" w14:paraId="1414D6A8" w14:textId="77777777" w:rsidTr="00387142">
        <w:trPr>
          <w:trHeight w:val="345"/>
        </w:trPr>
        <w:tc>
          <w:tcPr>
            <w:tcW w:w="3261" w:type="dxa"/>
            <w:tcBorders>
              <w:top w:val="nil"/>
              <w:left w:val="single" w:sz="4" w:space="0" w:color="auto"/>
              <w:bottom w:val="single" w:sz="4" w:space="0" w:color="auto"/>
              <w:right w:val="nil"/>
            </w:tcBorders>
            <w:shd w:val="clear" w:color="auto" w:fill="auto"/>
            <w:vAlign w:val="center"/>
            <w:hideMark/>
          </w:tcPr>
          <w:p w14:paraId="781A6D93" w14:textId="77777777" w:rsidR="00387142" w:rsidRPr="008B6A75" w:rsidRDefault="00387142" w:rsidP="00387142">
            <w:pPr>
              <w:rPr>
                <w:sz w:val="20"/>
                <w:szCs w:val="20"/>
              </w:rPr>
            </w:pPr>
            <w:r w:rsidRPr="008B6A75">
              <w:rPr>
                <w:sz w:val="20"/>
                <w:szCs w:val="20"/>
              </w:rPr>
              <w:t>Межбюджетные трансферты</w:t>
            </w:r>
          </w:p>
        </w:tc>
        <w:tc>
          <w:tcPr>
            <w:tcW w:w="720" w:type="dxa"/>
            <w:tcBorders>
              <w:top w:val="nil"/>
              <w:left w:val="single" w:sz="4" w:space="0" w:color="auto"/>
              <w:bottom w:val="single" w:sz="4" w:space="0" w:color="auto"/>
              <w:right w:val="nil"/>
            </w:tcBorders>
            <w:shd w:val="clear" w:color="auto" w:fill="auto"/>
            <w:noWrap/>
            <w:vAlign w:val="center"/>
            <w:hideMark/>
          </w:tcPr>
          <w:p w14:paraId="28EA919F" w14:textId="77777777" w:rsidR="00387142" w:rsidRPr="008B6A75" w:rsidRDefault="00387142" w:rsidP="00387142">
            <w:pPr>
              <w:jc w:val="center"/>
              <w:rPr>
                <w:sz w:val="20"/>
                <w:szCs w:val="20"/>
              </w:rPr>
            </w:pPr>
            <w:r w:rsidRPr="008B6A75">
              <w:rPr>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9E145EC" w14:textId="77777777" w:rsidR="00387142" w:rsidRPr="008B6A75" w:rsidRDefault="00387142" w:rsidP="00387142">
            <w:pPr>
              <w:jc w:val="center"/>
              <w:rPr>
                <w:sz w:val="20"/>
                <w:szCs w:val="20"/>
              </w:rPr>
            </w:pPr>
            <w:r w:rsidRPr="008B6A75">
              <w:rPr>
                <w:sz w:val="20"/>
                <w:szCs w:val="20"/>
              </w:rPr>
              <w:t>03</w:t>
            </w:r>
          </w:p>
        </w:tc>
        <w:tc>
          <w:tcPr>
            <w:tcW w:w="1516" w:type="dxa"/>
            <w:tcBorders>
              <w:top w:val="nil"/>
              <w:left w:val="single" w:sz="4" w:space="0" w:color="auto"/>
              <w:bottom w:val="single" w:sz="4" w:space="0" w:color="auto"/>
              <w:right w:val="nil"/>
            </w:tcBorders>
            <w:shd w:val="clear" w:color="auto" w:fill="auto"/>
            <w:noWrap/>
            <w:vAlign w:val="center"/>
            <w:hideMark/>
          </w:tcPr>
          <w:p w14:paraId="62443B4F" w14:textId="77777777" w:rsidR="00387142" w:rsidRPr="008B6A75" w:rsidRDefault="00387142" w:rsidP="00387142">
            <w:pPr>
              <w:jc w:val="center"/>
              <w:rPr>
                <w:sz w:val="20"/>
                <w:szCs w:val="20"/>
              </w:rPr>
            </w:pPr>
            <w:r w:rsidRPr="008B6A75">
              <w:rPr>
                <w:sz w:val="20"/>
                <w:szCs w:val="20"/>
              </w:rPr>
              <w:t>06.0.00.05956</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EA437F6" w14:textId="77777777" w:rsidR="00387142" w:rsidRPr="008B6A75" w:rsidRDefault="00387142" w:rsidP="00387142">
            <w:pPr>
              <w:jc w:val="center"/>
              <w:rPr>
                <w:sz w:val="20"/>
                <w:szCs w:val="20"/>
              </w:rPr>
            </w:pPr>
            <w:r w:rsidRPr="008B6A75">
              <w:rPr>
                <w:sz w:val="20"/>
                <w:szCs w:val="20"/>
              </w:rPr>
              <w:t>500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D03D8A5" w14:textId="77777777" w:rsidR="00387142" w:rsidRPr="008B6A75" w:rsidRDefault="00387142" w:rsidP="00387142">
            <w:pPr>
              <w:jc w:val="right"/>
              <w:rPr>
                <w:sz w:val="20"/>
                <w:szCs w:val="20"/>
              </w:rPr>
            </w:pPr>
            <w:r w:rsidRPr="008B6A75">
              <w:rPr>
                <w:sz w:val="20"/>
                <w:szCs w:val="20"/>
              </w:rPr>
              <w:t>553 835,00</w:t>
            </w:r>
          </w:p>
        </w:tc>
        <w:tc>
          <w:tcPr>
            <w:tcW w:w="992" w:type="dxa"/>
            <w:tcBorders>
              <w:top w:val="nil"/>
              <w:left w:val="single" w:sz="4" w:space="0" w:color="auto"/>
              <w:bottom w:val="single" w:sz="4" w:space="0" w:color="auto"/>
              <w:right w:val="nil"/>
            </w:tcBorders>
            <w:shd w:val="clear" w:color="auto" w:fill="auto"/>
            <w:vAlign w:val="center"/>
            <w:hideMark/>
          </w:tcPr>
          <w:p w14:paraId="079B0A96" w14:textId="77777777" w:rsidR="00387142" w:rsidRPr="008B6A75" w:rsidRDefault="00387142" w:rsidP="00387142">
            <w:pPr>
              <w:jc w:val="right"/>
              <w:rPr>
                <w:sz w:val="20"/>
                <w:szCs w:val="20"/>
              </w:rPr>
            </w:pPr>
            <w:r w:rsidRPr="008B6A75">
              <w:rPr>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61F1CB65" w14:textId="77777777" w:rsidR="00387142" w:rsidRPr="008B6A75" w:rsidRDefault="00387142" w:rsidP="00387142">
            <w:pPr>
              <w:jc w:val="right"/>
              <w:rPr>
                <w:sz w:val="20"/>
                <w:szCs w:val="20"/>
              </w:rPr>
            </w:pPr>
            <w:r w:rsidRPr="008B6A75">
              <w:rPr>
                <w:sz w:val="20"/>
                <w:szCs w:val="20"/>
              </w:rPr>
              <w:t>0,00</w:t>
            </w:r>
          </w:p>
        </w:tc>
      </w:tr>
      <w:tr w:rsidR="00387142" w:rsidRPr="008B6A75" w14:paraId="78528A55" w14:textId="77777777" w:rsidTr="00387142">
        <w:trPr>
          <w:trHeight w:val="345"/>
        </w:trPr>
        <w:tc>
          <w:tcPr>
            <w:tcW w:w="3261" w:type="dxa"/>
            <w:tcBorders>
              <w:top w:val="nil"/>
              <w:left w:val="single" w:sz="4" w:space="0" w:color="auto"/>
              <w:bottom w:val="single" w:sz="4" w:space="0" w:color="auto"/>
              <w:right w:val="nil"/>
            </w:tcBorders>
            <w:shd w:val="clear" w:color="auto" w:fill="auto"/>
            <w:vAlign w:val="center"/>
            <w:hideMark/>
          </w:tcPr>
          <w:p w14:paraId="7E7BB342" w14:textId="77777777" w:rsidR="00387142" w:rsidRPr="008B6A75" w:rsidRDefault="00387142" w:rsidP="00387142">
            <w:pPr>
              <w:rPr>
                <w:sz w:val="20"/>
                <w:szCs w:val="20"/>
              </w:rPr>
            </w:pPr>
            <w:r w:rsidRPr="008B6A75">
              <w:rPr>
                <w:sz w:val="20"/>
                <w:szCs w:val="20"/>
              </w:rPr>
              <w:t>Иные межбюджетные трансферты</w:t>
            </w:r>
          </w:p>
        </w:tc>
        <w:tc>
          <w:tcPr>
            <w:tcW w:w="720" w:type="dxa"/>
            <w:tcBorders>
              <w:top w:val="nil"/>
              <w:left w:val="single" w:sz="4" w:space="0" w:color="auto"/>
              <w:bottom w:val="single" w:sz="4" w:space="0" w:color="auto"/>
              <w:right w:val="nil"/>
            </w:tcBorders>
            <w:shd w:val="clear" w:color="auto" w:fill="auto"/>
            <w:noWrap/>
            <w:vAlign w:val="center"/>
            <w:hideMark/>
          </w:tcPr>
          <w:p w14:paraId="6A98EF13" w14:textId="77777777" w:rsidR="00387142" w:rsidRPr="008B6A75" w:rsidRDefault="00387142" w:rsidP="00387142">
            <w:pPr>
              <w:jc w:val="center"/>
              <w:rPr>
                <w:sz w:val="20"/>
                <w:szCs w:val="20"/>
              </w:rPr>
            </w:pPr>
            <w:r w:rsidRPr="008B6A75">
              <w:rPr>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8188EBD" w14:textId="77777777" w:rsidR="00387142" w:rsidRPr="008B6A75" w:rsidRDefault="00387142" w:rsidP="00387142">
            <w:pPr>
              <w:jc w:val="center"/>
              <w:rPr>
                <w:sz w:val="20"/>
                <w:szCs w:val="20"/>
              </w:rPr>
            </w:pPr>
            <w:r w:rsidRPr="008B6A75">
              <w:rPr>
                <w:sz w:val="20"/>
                <w:szCs w:val="20"/>
              </w:rPr>
              <w:t>03</w:t>
            </w:r>
          </w:p>
        </w:tc>
        <w:tc>
          <w:tcPr>
            <w:tcW w:w="1516" w:type="dxa"/>
            <w:tcBorders>
              <w:top w:val="nil"/>
              <w:left w:val="single" w:sz="4" w:space="0" w:color="auto"/>
              <w:bottom w:val="single" w:sz="4" w:space="0" w:color="auto"/>
              <w:right w:val="nil"/>
            </w:tcBorders>
            <w:shd w:val="clear" w:color="auto" w:fill="auto"/>
            <w:noWrap/>
            <w:vAlign w:val="center"/>
            <w:hideMark/>
          </w:tcPr>
          <w:p w14:paraId="31288C2D" w14:textId="77777777" w:rsidR="00387142" w:rsidRPr="008B6A75" w:rsidRDefault="00387142" w:rsidP="00387142">
            <w:pPr>
              <w:jc w:val="center"/>
              <w:rPr>
                <w:sz w:val="20"/>
                <w:szCs w:val="20"/>
              </w:rPr>
            </w:pPr>
            <w:r w:rsidRPr="008B6A75">
              <w:rPr>
                <w:sz w:val="20"/>
                <w:szCs w:val="20"/>
              </w:rPr>
              <w:t>06.0.00.05956</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B9677EE" w14:textId="77777777" w:rsidR="00387142" w:rsidRPr="008B6A75" w:rsidRDefault="00387142" w:rsidP="00387142">
            <w:pPr>
              <w:jc w:val="center"/>
              <w:rPr>
                <w:sz w:val="20"/>
                <w:szCs w:val="20"/>
              </w:rPr>
            </w:pPr>
            <w:r w:rsidRPr="008B6A75">
              <w:rPr>
                <w:sz w:val="20"/>
                <w:szCs w:val="20"/>
              </w:rPr>
              <w:t>540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683E0A4" w14:textId="77777777" w:rsidR="00387142" w:rsidRPr="008B6A75" w:rsidRDefault="00387142" w:rsidP="00387142">
            <w:pPr>
              <w:jc w:val="right"/>
              <w:rPr>
                <w:sz w:val="20"/>
                <w:szCs w:val="20"/>
              </w:rPr>
            </w:pPr>
            <w:r w:rsidRPr="008B6A75">
              <w:rPr>
                <w:sz w:val="20"/>
                <w:szCs w:val="20"/>
              </w:rPr>
              <w:t>553 835,00</w:t>
            </w:r>
          </w:p>
        </w:tc>
        <w:tc>
          <w:tcPr>
            <w:tcW w:w="992" w:type="dxa"/>
            <w:tcBorders>
              <w:top w:val="nil"/>
              <w:left w:val="single" w:sz="4" w:space="0" w:color="auto"/>
              <w:bottom w:val="single" w:sz="4" w:space="0" w:color="auto"/>
              <w:right w:val="nil"/>
            </w:tcBorders>
            <w:shd w:val="clear" w:color="auto" w:fill="auto"/>
            <w:vAlign w:val="center"/>
            <w:hideMark/>
          </w:tcPr>
          <w:p w14:paraId="1C4DE519" w14:textId="77777777" w:rsidR="00387142" w:rsidRPr="008B6A75" w:rsidRDefault="00387142" w:rsidP="00387142">
            <w:pPr>
              <w:jc w:val="right"/>
              <w:rPr>
                <w:sz w:val="20"/>
                <w:szCs w:val="20"/>
              </w:rPr>
            </w:pPr>
            <w:r w:rsidRPr="008B6A75">
              <w:rPr>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735AAAAC" w14:textId="77777777" w:rsidR="00387142" w:rsidRPr="008B6A75" w:rsidRDefault="00387142" w:rsidP="00387142">
            <w:pPr>
              <w:jc w:val="right"/>
              <w:rPr>
                <w:sz w:val="20"/>
                <w:szCs w:val="20"/>
              </w:rPr>
            </w:pPr>
            <w:r w:rsidRPr="008B6A75">
              <w:rPr>
                <w:sz w:val="20"/>
                <w:szCs w:val="20"/>
              </w:rPr>
              <w:t>0,00</w:t>
            </w:r>
          </w:p>
        </w:tc>
      </w:tr>
      <w:tr w:rsidR="00387142" w:rsidRPr="008B6A75" w14:paraId="39E4B461" w14:textId="77777777" w:rsidTr="00387142">
        <w:trPr>
          <w:trHeight w:val="1725"/>
        </w:trPr>
        <w:tc>
          <w:tcPr>
            <w:tcW w:w="3261" w:type="dxa"/>
            <w:tcBorders>
              <w:top w:val="nil"/>
              <w:left w:val="single" w:sz="4" w:space="0" w:color="auto"/>
              <w:bottom w:val="single" w:sz="4" w:space="0" w:color="auto"/>
              <w:right w:val="nil"/>
            </w:tcBorders>
            <w:shd w:val="clear" w:color="auto" w:fill="auto"/>
            <w:vAlign w:val="center"/>
            <w:hideMark/>
          </w:tcPr>
          <w:p w14:paraId="1191D6D8" w14:textId="77777777" w:rsidR="00387142" w:rsidRPr="008B6A75" w:rsidRDefault="00387142" w:rsidP="00387142">
            <w:pPr>
              <w:rPr>
                <w:bCs/>
                <w:sz w:val="20"/>
                <w:szCs w:val="20"/>
              </w:rPr>
            </w:pPr>
            <w:r w:rsidRPr="008B6A75">
              <w:rPr>
                <w:bCs/>
                <w:sz w:val="20"/>
                <w:szCs w:val="20"/>
              </w:rPr>
              <w:t xml:space="preserve">Реализация проектов, направленных на создание комфортных условий проживания в сельской местности, государственной программы Новосибирской области "Комплексное развитие сельских территорий в Новосибирской области" </w:t>
            </w:r>
          </w:p>
        </w:tc>
        <w:tc>
          <w:tcPr>
            <w:tcW w:w="720" w:type="dxa"/>
            <w:tcBorders>
              <w:top w:val="nil"/>
              <w:left w:val="single" w:sz="4" w:space="0" w:color="auto"/>
              <w:bottom w:val="single" w:sz="4" w:space="0" w:color="auto"/>
              <w:right w:val="nil"/>
            </w:tcBorders>
            <w:shd w:val="clear" w:color="auto" w:fill="auto"/>
            <w:noWrap/>
            <w:vAlign w:val="center"/>
            <w:hideMark/>
          </w:tcPr>
          <w:p w14:paraId="22EBC89B" w14:textId="77777777" w:rsidR="00387142" w:rsidRPr="008B6A75" w:rsidRDefault="00387142" w:rsidP="00387142">
            <w:pPr>
              <w:jc w:val="center"/>
              <w:rPr>
                <w:bCs/>
                <w:sz w:val="20"/>
                <w:szCs w:val="20"/>
              </w:rPr>
            </w:pPr>
            <w:r w:rsidRPr="008B6A75">
              <w:rPr>
                <w:bCs/>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A7B9542" w14:textId="77777777" w:rsidR="00387142" w:rsidRPr="008B6A75" w:rsidRDefault="00387142" w:rsidP="00387142">
            <w:pPr>
              <w:jc w:val="center"/>
              <w:rPr>
                <w:bCs/>
                <w:sz w:val="20"/>
                <w:szCs w:val="20"/>
              </w:rPr>
            </w:pPr>
            <w:r w:rsidRPr="008B6A75">
              <w:rPr>
                <w:bCs/>
                <w:sz w:val="20"/>
                <w:szCs w:val="20"/>
              </w:rPr>
              <w:t>03</w:t>
            </w:r>
          </w:p>
        </w:tc>
        <w:tc>
          <w:tcPr>
            <w:tcW w:w="1516" w:type="dxa"/>
            <w:tcBorders>
              <w:top w:val="nil"/>
              <w:left w:val="single" w:sz="4" w:space="0" w:color="auto"/>
              <w:bottom w:val="single" w:sz="4" w:space="0" w:color="auto"/>
              <w:right w:val="nil"/>
            </w:tcBorders>
            <w:shd w:val="clear" w:color="auto" w:fill="auto"/>
            <w:noWrap/>
            <w:vAlign w:val="center"/>
            <w:hideMark/>
          </w:tcPr>
          <w:p w14:paraId="0219F29A" w14:textId="77777777" w:rsidR="00387142" w:rsidRPr="008B6A75" w:rsidRDefault="00387142" w:rsidP="00387142">
            <w:pPr>
              <w:jc w:val="center"/>
              <w:rPr>
                <w:bCs/>
                <w:sz w:val="20"/>
                <w:szCs w:val="20"/>
              </w:rPr>
            </w:pPr>
            <w:r w:rsidRPr="008B6A75">
              <w:rPr>
                <w:bCs/>
                <w:sz w:val="20"/>
                <w:szCs w:val="20"/>
              </w:rPr>
              <w:t>06.0.00.L5765</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87CA775"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130FF1C" w14:textId="77777777" w:rsidR="00387142" w:rsidRPr="008B6A75" w:rsidRDefault="00387142" w:rsidP="00387142">
            <w:pPr>
              <w:jc w:val="right"/>
              <w:rPr>
                <w:bCs/>
                <w:sz w:val="20"/>
                <w:szCs w:val="20"/>
              </w:rPr>
            </w:pPr>
            <w:r w:rsidRPr="008B6A75">
              <w:rPr>
                <w:bCs/>
                <w:sz w:val="20"/>
                <w:szCs w:val="20"/>
              </w:rPr>
              <w:t>2 427 130,00</w:t>
            </w:r>
          </w:p>
        </w:tc>
        <w:tc>
          <w:tcPr>
            <w:tcW w:w="992" w:type="dxa"/>
            <w:tcBorders>
              <w:top w:val="nil"/>
              <w:left w:val="single" w:sz="4" w:space="0" w:color="auto"/>
              <w:bottom w:val="single" w:sz="4" w:space="0" w:color="auto"/>
              <w:right w:val="nil"/>
            </w:tcBorders>
            <w:shd w:val="clear" w:color="auto" w:fill="auto"/>
            <w:vAlign w:val="center"/>
            <w:hideMark/>
          </w:tcPr>
          <w:p w14:paraId="6FB7AA37" w14:textId="77777777" w:rsidR="00387142" w:rsidRPr="008B6A75" w:rsidRDefault="00387142" w:rsidP="00387142">
            <w:pPr>
              <w:jc w:val="right"/>
              <w:rPr>
                <w:bCs/>
                <w:sz w:val="20"/>
                <w:szCs w:val="20"/>
              </w:rPr>
            </w:pPr>
            <w:r w:rsidRPr="008B6A75">
              <w:rPr>
                <w:bCs/>
                <w:sz w:val="20"/>
                <w:szCs w:val="20"/>
              </w:rPr>
              <w:t>500 000,00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7409E009" w14:textId="77777777" w:rsidR="00387142" w:rsidRPr="008B6A75" w:rsidRDefault="00387142" w:rsidP="00387142">
            <w:pPr>
              <w:jc w:val="right"/>
              <w:rPr>
                <w:bCs/>
                <w:sz w:val="20"/>
                <w:szCs w:val="20"/>
              </w:rPr>
            </w:pPr>
            <w:r w:rsidRPr="008B6A75">
              <w:rPr>
                <w:bCs/>
                <w:sz w:val="20"/>
                <w:szCs w:val="20"/>
              </w:rPr>
              <w:t>500 000,00</w:t>
            </w:r>
          </w:p>
        </w:tc>
      </w:tr>
      <w:tr w:rsidR="00387142" w:rsidRPr="008B6A75" w14:paraId="5D98BEB7" w14:textId="77777777" w:rsidTr="00387142">
        <w:trPr>
          <w:trHeight w:val="585"/>
        </w:trPr>
        <w:tc>
          <w:tcPr>
            <w:tcW w:w="3261" w:type="dxa"/>
            <w:tcBorders>
              <w:top w:val="nil"/>
              <w:left w:val="single" w:sz="4" w:space="0" w:color="auto"/>
              <w:bottom w:val="single" w:sz="4" w:space="0" w:color="auto"/>
              <w:right w:val="nil"/>
            </w:tcBorders>
            <w:shd w:val="clear" w:color="auto" w:fill="auto"/>
            <w:vAlign w:val="center"/>
            <w:hideMark/>
          </w:tcPr>
          <w:p w14:paraId="15E8B180" w14:textId="77777777" w:rsidR="00387142" w:rsidRPr="008B6A75" w:rsidRDefault="00387142" w:rsidP="00387142">
            <w:pPr>
              <w:rPr>
                <w:sz w:val="20"/>
                <w:szCs w:val="20"/>
              </w:rPr>
            </w:pPr>
            <w:r w:rsidRPr="008B6A75">
              <w:rPr>
                <w:sz w:val="20"/>
                <w:szCs w:val="20"/>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1AEE4130" w14:textId="77777777" w:rsidR="00387142" w:rsidRPr="008B6A75" w:rsidRDefault="00387142" w:rsidP="00387142">
            <w:pPr>
              <w:jc w:val="center"/>
              <w:rPr>
                <w:sz w:val="20"/>
                <w:szCs w:val="20"/>
              </w:rPr>
            </w:pPr>
            <w:r w:rsidRPr="008B6A75">
              <w:rPr>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1477F11" w14:textId="77777777" w:rsidR="00387142" w:rsidRPr="008B6A75" w:rsidRDefault="00387142" w:rsidP="00387142">
            <w:pPr>
              <w:jc w:val="center"/>
              <w:rPr>
                <w:sz w:val="20"/>
                <w:szCs w:val="20"/>
              </w:rPr>
            </w:pPr>
            <w:r w:rsidRPr="008B6A75">
              <w:rPr>
                <w:sz w:val="20"/>
                <w:szCs w:val="20"/>
              </w:rPr>
              <w:t>03</w:t>
            </w:r>
          </w:p>
        </w:tc>
        <w:tc>
          <w:tcPr>
            <w:tcW w:w="1516" w:type="dxa"/>
            <w:tcBorders>
              <w:top w:val="nil"/>
              <w:left w:val="single" w:sz="4" w:space="0" w:color="auto"/>
              <w:bottom w:val="single" w:sz="4" w:space="0" w:color="auto"/>
              <w:right w:val="nil"/>
            </w:tcBorders>
            <w:shd w:val="clear" w:color="auto" w:fill="auto"/>
            <w:noWrap/>
            <w:vAlign w:val="center"/>
            <w:hideMark/>
          </w:tcPr>
          <w:p w14:paraId="6EE28497" w14:textId="77777777" w:rsidR="00387142" w:rsidRPr="008B6A75" w:rsidRDefault="00387142" w:rsidP="00387142">
            <w:pPr>
              <w:jc w:val="center"/>
              <w:rPr>
                <w:sz w:val="20"/>
                <w:szCs w:val="20"/>
              </w:rPr>
            </w:pPr>
            <w:r w:rsidRPr="008B6A75">
              <w:rPr>
                <w:sz w:val="20"/>
                <w:szCs w:val="20"/>
              </w:rPr>
              <w:t>06.0.00.L5765</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30597C2" w14:textId="77777777" w:rsidR="00387142" w:rsidRPr="008B6A75" w:rsidRDefault="00387142" w:rsidP="00387142">
            <w:pPr>
              <w:jc w:val="center"/>
              <w:rPr>
                <w:sz w:val="20"/>
                <w:szCs w:val="20"/>
              </w:rPr>
            </w:pPr>
            <w:r w:rsidRPr="008B6A75">
              <w:rPr>
                <w:sz w:val="20"/>
                <w:szCs w:val="20"/>
              </w:rPr>
              <w:t>200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89BAD8B" w14:textId="77777777" w:rsidR="00387142" w:rsidRPr="008B6A75" w:rsidRDefault="00387142" w:rsidP="00387142">
            <w:pPr>
              <w:jc w:val="right"/>
              <w:rPr>
                <w:sz w:val="20"/>
                <w:szCs w:val="20"/>
              </w:rPr>
            </w:pPr>
            <w:r w:rsidRPr="008B6A75">
              <w:rPr>
                <w:sz w:val="20"/>
                <w:szCs w:val="20"/>
              </w:rPr>
              <w:t>0,00</w:t>
            </w:r>
          </w:p>
        </w:tc>
        <w:tc>
          <w:tcPr>
            <w:tcW w:w="992" w:type="dxa"/>
            <w:tcBorders>
              <w:top w:val="nil"/>
              <w:left w:val="single" w:sz="4" w:space="0" w:color="auto"/>
              <w:bottom w:val="single" w:sz="4" w:space="0" w:color="auto"/>
              <w:right w:val="nil"/>
            </w:tcBorders>
            <w:shd w:val="clear" w:color="auto" w:fill="auto"/>
            <w:vAlign w:val="center"/>
            <w:hideMark/>
          </w:tcPr>
          <w:p w14:paraId="575D6C96" w14:textId="77777777" w:rsidR="00387142" w:rsidRPr="008B6A75" w:rsidRDefault="00387142" w:rsidP="00387142">
            <w:pPr>
              <w:jc w:val="right"/>
              <w:rPr>
                <w:sz w:val="20"/>
                <w:szCs w:val="20"/>
              </w:rPr>
            </w:pPr>
            <w:r w:rsidRPr="008B6A75">
              <w:rPr>
                <w:sz w:val="20"/>
                <w:szCs w:val="20"/>
              </w:rPr>
              <w:t>500 000,00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361BA514" w14:textId="77777777" w:rsidR="00387142" w:rsidRPr="008B6A75" w:rsidRDefault="00387142" w:rsidP="00387142">
            <w:pPr>
              <w:jc w:val="right"/>
              <w:rPr>
                <w:sz w:val="20"/>
                <w:szCs w:val="20"/>
              </w:rPr>
            </w:pPr>
            <w:r w:rsidRPr="008B6A75">
              <w:rPr>
                <w:sz w:val="20"/>
                <w:szCs w:val="20"/>
              </w:rPr>
              <w:t>500 000,00</w:t>
            </w:r>
          </w:p>
        </w:tc>
      </w:tr>
      <w:tr w:rsidR="00387142" w:rsidRPr="008B6A75" w14:paraId="0DD43536" w14:textId="77777777" w:rsidTr="00387142">
        <w:trPr>
          <w:trHeight w:val="870"/>
        </w:trPr>
        <w:tc>
          <w:tcPr>
            <w:tcW w:w="3261" w:type="dxa"/>
            <w:tcBorders>
              <w:top w:val="nil"/>
              <w:left w:val="single" w:sz="4" w:space="0" w:color="auto"/>
              <w:bottom w:val="single" w:sz="4" w:space="0" w:color="auto"/>
              <w:right w:val="nil"/>
            </w:tcBorders>
            <w:shd w:val="clear" w:color="auto" w:fill="auto"/>
            <w:vAlign w:val="center"/>
            <w:hideMark/>
          </w:tcPr>
          <w:p w14:paraId="47D95323" w14:textId="77777777" w:rsidR="00387142" w:rsidRPr="008B6A75" w:rsidRDefault="00387142" w:rsidP="00387142">
            <w:pPr>
              <w:rPr>
                <w:sz w:val="20"/>
                <w:szCs w:val="20"/>
              </w:rPr>
            </w:pPr>
            <w:r w:rsidRPr="008B6A75">
              <w:rPr>
                <w:sz w:val="20"/>
                <w:szCs w:val="20"/>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77574BB0" w14:textId="77777777" w:rsidR="00387142" w:rsidRPr="008B6A75" w:rsidRDefault="00387142" w:rsidP="00387142">
            <w:pPr>
              <w:jc w:val="center"/>
              <w:rPr>
                <w:sz w:val="20"/>
                <w:szCs w:val="20"/>
              </w:rPr>
            </w:pPr>
            <w:r w:rsidRPr="008B6A75">
              <w:rPr>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AFFA74E" w14:textId="77777777" w:rsidR="00387142" w:rsidRPr="008B6A75" w:rsidRDefault="00387142" w:rsidP="00387142">
            <w:pPr>
              <w:jc w:val="center"/>
              <w:rPr>
                <w:sz w:val="20"/>
                <w:szCs w:val="20"/>
              </w:rPr>
            </w:pPr>
            <w:r w:rsidRPr="008B6A75">
              <w:rPr>
                <w:sz w:val="20"/>
                <w:szCs w:val="20"/>
              </w:rPr>
              <w:t>03</w:t>
            </w:r>
          </w:p>
        </w:tc>
        <w:tc>
          <w:tcPr>
            <w:tcW w:w="1516" w:type="dxa"/>
            <w:tcBorders>
              <w:top w:val="nil"/>
              <w:left w:val="single" w:sz="4" w:space="0" w:color="auto"/>
              <w:bottom w:val="single" w:sz="4" w:space="0" w:color="auto"/>
              <w:right w:val="nil"/>
            </w:tcBorders>
            <w:shd w:val="clear" w:color="auto" w:fill="auto"/>
            <w:noWrap/>
            <w:vAlign w:val="center"/>
            <w:hideMark/>
          </w:tcPr>
          <w:p w14:paraId="6CC24BA7" w14:textId="77777777" w:rsidR="00387142" w:rsidRPr="008B6A75" w:rsidRDefault="00387142" w:rsidP="00387142">
            <w:pPr>
              <w:jc w:val="center"/>
              <w:rPr>
                <w:sz w:val="20"/>
                <w:szCs w:val="20"/>
              </w:rPr>
            </w:pPr>
            <w:r w:rsidRPr="008B6A75">
              <w:rPr>
                <w:sz w:val="20"/>
                <w:szCs w:val="20"/>
              </w:rPr>
              <w:t>06.0.00.L5765</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4DD2A4B" w14:textId="77777777" w:rsidR="00387142" w:rsidRPr="008B6A75" w:rsidRDefault="00387142" w:rsidP="00387142">
            <w:pPr>
              <w:jc w:val="center"/>
              <w:rPr>
                <w:sz w:val="20"/>
                <w:szCs w:val="20"/>
              </w:rPr>
            </w:pPr>
            <w:r w:rsidRPr="008B6A75">
              <w:rPr>
                <w:sz w:val="20"/>
                <w:szCs w:val="20"/>
              </w:rPr>
              <w:t>240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3AC7D59" w14:textId="77777777" w:rsidR="00387142" w:rsidRPr="008B6A75" w:rsidRDefault="00387142" w:rsidP="00387142">
            <w:pPr>
              <w:jc w:val="right"/>
              <w:rPr>
                <w:sz w:val="20"/>
                <w:szCs w:val="20"/>
              </w:rPr>
            </w:pPr>
            <w:r w:rsidRPr="008B6A75">
              <w:rPr>
                <w:sz w:val="20"/>
                <w:szCs w:val="20"/>
              </w:rPr>
              <w:t>0,00</w:t>
            </w:r>
          </w:p>
        </w:tc>
        <w:tc>
          <w:tcPr>
            <w:tcW w:w="992" w:type="dxa"/>
            <w:tcBorders>
              <w:top w:val="nil"/>
              <w:left w:val="single" w:sz="4" w:space="0" w:color="auto"/>
              <w:bottom w:val="single" w:sz="4" w:space="0" w:color="auto"/>
              <w:right w:val="nil"/>
            </w:tcBorders>
            <w:shd w:val="clear" w:color="auto" w:fill="auto"/>
            <w:vAlign w:val="center"/>
            <w:hideMark/>
          </w:tcPr>
          <w:p w14:paraId="6B51B425" w14:textId="77777777" w:rsidR="00387142" w:rsidRPr="008B6A75" w:rsidRDefault="00387142" w:rsidP="00387142">
            <w:pPr>
              <w:jc w:val="right"/>
              <w:rPr>
                <w:sz w:val="20"/>
                <w:szCs w:val="20"/>
              </w:rPr>
            </w:pPr>
            <w:r w:rsidRPr="008B6A75">
              <w:rPr>
                <w:sz w:val="20"/>
                <w:szCs w:val="20"/>
              </w:rPr>
              <w:t>500 000,00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3878D01A" w14:textId="77777777" w:rsidR="00387142" w:rsidRPr="008B6A75" w:rsidRDefault="00387142" w:rsidP="00387142">
            <w:pPr>
              <w:jc w:val="right"/>
              <w:rPr>
                <w:sz w:val="20"/>
                <w:szCs w:val="20"/>
              </w:rPr>
            </w:pPr>
            <w:r w:rsidRPr="008B6A75">
              <w:rPr>
                <w:sz w:val="20"/>
                <w:szCs w:val="20"/>
              </w:rPr>
              <w:t>500 000,00</w:t>
            </w:r>
          </w:p>
        </w:tc>
      </w:tr>
      <w:tr w:rsidR="00387142" w:rsidRPr="008B6A75" w14:paraId="5EF56DE0" w14:textId="77777777" w:rsidTr="00387142">
        <w:trPr>
          <w:trHeight w:val="345"/>
        </w:trPr>
        <w:tc>
          <w:tcPr>
            <w:tcW w:w="3261" w:type="dxa"/>
            <w:tcBorders>
              <w:top w:val="nil"/>
              <w:left w:val="single" w:sz="4" w:space="0" w:color="auto"/>
              <w:bottom w:val="single" w:sz="4" w:space="0" w:color="auto"/>
              <w:right w:val="nil"/>
            </w:tcBorders>
            <w:shd w:val="clear" w:color="auto" w:fill="auto"/>
            <w:vAlign w:val="center"/>
            <w:hideMark/>
          </w:tcPr>
          <w:p w14:paraId="210A2233" w14:textId="77777777" w:rsidR="00387142" w:rsidRPr="008B6A75" w:rsidRDefault="00387142" w:rsidP="00387142">
            <w:pPr>
              <w:rPr>
                <w:sz w:val="20"/>
                <w:szCs w:val="20"/>
              </w:rPr>
            </w:pPr>
            <w:r w:rsidRPr="008B6A75">
              <w:rPr>
                <w:sz w:val="20"/>
                <w:szCs w:val="20"/>
              </w:rPr>
              <w:t>Межбюджетные трансферты</w:t>
            </w:r>
          </w:p>
        </w:tc>
        <w:tc>
          <w:tcPr>
            <w:tcW w:w="720" w:type="dxa"/>
            <w:tcBorders>
              <w:top w:val="nil"/>
              <w:left w:val="single" w:sz="4" w:space="0" w:color="auto"/>
              <w:bottom w:val="single" w:sz="4" w:space="0" w:color="auto"/>
              <w:right w:val="nil"/>
            </w:tcBorders>
            <w:shd w:val="clear" w:color="auto" w:fill="auto"/>
            <w:noWrap/>
            <w:vAlign w:val="center"/>
            <w:hideMark/>
          </w:tcPr>
          <w:p w14:paraId="1CCEC03E" w14:textId="77777777" w:rsidR="00387142" w:rsidRPr="008B6A75" w:rsidRDefault="00387142" w:rsidP="00387142">
            <w:pPr>
              <w:jc w:val="center"/>
              <w:rPr>
                <w:sz w:val="20"/>
                <w:szCs w:val="20"/>
              </w:rPr>
            </w:pPr>
            <w:r w:rsidRPr="008B6A75">
              <w:rPr>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2B1C977" w14:textId="77777777" w:rsidR="00387142" w:rsidRPr="008B6A75" w:rsidRDefault="00387142" w:rsidP="00387142">
            <w:pPr>
              <w:jc w:val="center"/>
              <w:rPr>
                <w:sz w:val="20"/>
                <w:szCs w:val="20"/>
              </w:rPr>
            </w:pPr>
            <w:r w:rsidRPr="008B6A75">
              <w:rPr>
                <w:sz w:val="20"/>
                <w:szCs w:val="20"/>
              </w:rPr>
              <w:t>03</w:t>
            </w:r>
          </w:p>
        </w:tc>
        <w:tc>
          <w:tcPr>
            <w:tcW w:w="1516" w:type="dxa"/>
            <w:tcBorders>
              <w:top w:val="nil"/>
              <w:left w:val="single" w:sz="4" w:space="0" w:color="auto"/>
              <w:bottom w:val="single" w:sz="4" w:space="0" w:color="auto"/>
              <w:right w:val="nil"/>
            </w:tcBorders>
            <w:shd w:val="clear" w:color="auto" w:fill="auto"/>
            <w:noWrap/>
            <w:vAlign w:val="center"/>
            <w:hideMark/>
          </w:tcPr>
          <w:p w14:paraId="398AA3E3" w14:textId="77777777" w:rsidR="00387142" w:rsidRPr="008B6A75" w:rsidRDefault="00387142" w:rsidP="00387142">
            <w:pPr>
              <w:jc w:val="center"/>
              <w:rPr>
                <w:sz w:val="20"/>
                <w:szCs w:val="20"/>
              </w:rPr>
            </w:pPr>
            <w:r w:rsidRPr="008B6A75">
              <w:rPr>
                <w:sz w:val="20"/>
                <w:szCs w:val="20"/>
              </w:rPr>
              <w:t>06.0.00.L5765</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6BE0426" w14:textId="77777777" w:rsidR="00387142" w:rsidRPr="008B6A75" w:rsidRDefault="00387142" w:rsidP="00387142">
            <w:pPr>
              <w:jc w:val="center"/>
              <w:rPr>
                <w:sz w:val="20"/>
                <w:szCs w:val="20"/>
              </w:rPr>
            </w:pPr>
            <w:r w:rsidRPr="008B6A75">
              <w:rPr>
                <w:sz w:val="20"/>
                <w:szCs w:val="20"/>
              </w:rPr>
              <w:t>500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2B1E0A0" w14:textId="77777777" w:rsidR="00387142" w:rsidRPr="008B6A75" w:rsidRDefault="00387142" w:rsidP="00387142">
            <w:pPr>
              <w:jc w:val="right"/>
              <w:rPr>
                <w:sz w:val="20"/>
                <w:szCs w:val="20"/>
              </w:rPr>
            </w:pPr>
            <w:r w:rsidRPr="008B6A75">
              <w:rPr>
                <w:sz w:val="20"/>
                <w:szCs w:val="20"/>
              </w:rPr>
              <w:t>2 427 130,00</w:t>
            </w:r>
          </w:p>
        </w:tc>
        <w:tc>
          <w:tcPr>
            <w:tcW w:w="992" w:type="dxa"/>
            <w:tcBorders>
              <w:top w:val="nil"/>
              <w:left w:val="single" w:sz="4" w:space="0" w:color="auto"/>
              <w:bottom w:val="single" w:sz="4" w:space="0" w:color="auto"/>
              <w:right w:val="nil"/>
            </w:tcBorders>
            <w:shd w:val="clear" w:color="auto" w:fill="auto"/>
            <w:vAlign w:val="center"/>
            <w:hideMark/>
          </w:tcPr>
          <w:p w14:paraId="4D032427" w14:textId="77777777" w:rsidR="00387142" w:rsidRPr="008B6A75" w:rsidRDefault="00387142" w:rsidP="00387142">
            <w:pPr>
              <w:jc w:val="right"/>
              <w:rPr>
                <w:sz w:val="20"/>
                <w:szCs w:val="20"/>
              </w:rPr>
            </w:pPr>
            <w:r w:rsidRPr="008B6A75">
              <w:rPr>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0C8ED7B2" w14:textId="77777777" w:rsidR="00387142" w:rsidRPr="008B6A75" w:rsidRDefault="00387142" w:rsidP="00387142">
            <w:pPr>
              <w:jc w:val="right"/>
              <w:rPr>
                <w:sz w:val="20"/>
                <w:szCs w:val="20"/>
              </w:rPr>
            </w:pPr>
            <w:r w:rsidRPr="008B6A75">
              <w:rPr>
                <w:sz w:val="20"/>
                <w:szCs w:val="20"/>
              </w:rPr>
              <w:t>0,00</w:t>
            </w:r>
          </w:p>
        </w:tc>
      </w:tr>
      <w:tr w:rsidR="00387142" w:rsidRPr="008B6A75" w14:paraId="7412B803" w14:textId="77777777" w:rsidTr="00387142">
        <w:trPr>
          <w:trHeight w:val="345"/>
        </w:trPr>
        <w:tc>
          <w:tcPr>
            <w:tcW w:w="3261" w:type="dxa"/>
            <w:tcBorders>
              <w:top w:val="nil"/>
              <w:left w:val="single" w:sz="4" w:space="0" w:color="auto"/>
              <w:bottom w:val="single" w:sz="4" w:space="0" w:color="auto"/>
              <w:right w:val="nil"/>
            </w:tcBorders>
            <w:shd w:val="clear" w:color="auto" w:fill="auto"/>
            <w:vAlign w:val="center"/>
            <w:hideMark/>
          </w:tcPr>
          <w:p w14:paraId="08851CA5" w14:textId="77777777" w:rsidR="00387142" w:rsidRPr="008B6A75" w:rsidRDefault="00387142" w:rsidP="00387142">
            <w:pPr>
              <w:rPr>
                <w:sz w:val="20"/>
                <w:szCs w:val="20"/>
              </w:rPr>
            </w:pPr>
            <w:r w:rsidRPr="008B6A75">
              <w:rPr>
                <w:sz w:val="20"/>
                <w:szCs w:val="20"/>
              </w:rPr>
              <w:t>Иные межбюджетные трансферты</w:t>
            </w:r>
          </w:p>
        </w:tc>
        <w:tc>
          <w:tcPr>
            <w:tcW w:w="720" w:type="dxa"/>
            <w:tcBorders>
              <w:top w:val="nil"/>
              <w:left w:val="single" w:sz="4" w:space="0" w:color="auto"/>
              <w:bottom w:val="single" w:sz="4" w:space="0" w:color="auto"/>
              <w:right w:val="nil"/>
            </w:tcBorders>
            <w:shd w:val="clear" w:color="auto" w:fill="auto"/>
            <w:noWrap/>
            <w:vAlign w:val="center"/>
            <w:hideMark/>
          </w:tcPr>
          <w:p w14:paraId="75A8997D" w14:textId="77777777" w:rsidR="00387142" w:rsidRPr="008B6A75" w:rsidRDefault="00387142" w:rsidP="00387142">
            <w:pPr>
              <w:jc w:val="center"/>
              <w:rPr>
                <w:sz w:val="20"/>
                <w:szCs w:val="20"/>
              </w:rPr>
            </w:pPr>
            <w:r w:rsidRPr="008B6A75">
              <w:rPr>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0154F69" w14:textId="77777777" w:rsidR="00387142" w:rsidRPr="008B6A75" w:rsidRDefault="00387142" w:rsidP="00387142">
            <w:pPr>
              <w:jc w:val="center"/>
              <w:rPr>
                <w:sz w:val="20"/>
                <w:szCs w:val="20"/>
              </w:rPr>
            </w:pPr>
            <w:r w:rsidRPr="008B6A75">
              <w:rPr>
                <w:sz w:val="20"/>
                <w:szCs w:val="20"/>
              </w:rPr>
              <w:t>03</w:t>
            </w:r>
          </w:p>
        </w:tc>
        <w:tc>
          <w:tcPr>
            <w:tcW w:w="1516" w:type="dxa"/>
            <w:tcBorders>
              <w:top w:val="nil"/>
              <w:left w:val="single" w:sz="4" w:space="0" w:color="auto"/>
              <w:bottom w:val="single" w:sz="4" w:space="0" w:color="auto"/>
              <w:right w:val="nil"/>
            </w:tcBorders>
            <w:shd w:val="clear" w:color="auto" w:fill="auto"/>
            <w:noWrap/>
            <w:vAlign w:val="center"/>
            <w:hideMark/>
          </w:tcPr>
          <w:p w14:paraId="2C946ADA" w14:textId="77777777" w:rsidR="00387142" w:rsidRPr="008B6A75" w:rsidRDefault="00387142" w:rsidP="00387142">
            <w:pPr>
              <w:jc w:val="center"/>
              <w:rPr>
                <w:sz w:val="20"/>
                <w:szCs w:val="20"/>
              </w:rPr>
            </w:pPr>
            <w:r w:rsidRPr="008B6A75">
              <w:rPr>
                <w:sz w:val="20"/>
                <w:szCs w:val="20"/>
              </w:rPr>
              <w:t>06.0.00.L5765</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4D402C3" w14:textId="77777777" w:rsidR="00387142" w:rsidRPr="008B6A75" w:rsidRDefault="00387142" w:rsidP="00387142">
            <w:pPr>
              <w:jc w:val="center"/>
              <w:rPr>
                <w:sz w:val="20"/>
                <w:szCs w:val="20"/>
              </w:rPr>
            </w:pPr>
            <w:r w:rsidRPr="008B6A75">
              <w:rPr>
                <w:sz w:val="20"/>
                <w:szCs w:val="20"/>
              </w:rPr>
              <w:t>540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47ADD50" w14:textId="77777777" w:rsidR="00387142" w:rsidRPr="008B6A75" w:rsidRDefault="00387142" w:rsidP="00387142">
            <w:pPr>
              <w:jc w:val="right"/>
              <w:rPr>
                <w:sz w:val="20"/>
                <w:szCs w:val="20"/>
              </w:rPr>
            </w:pPr>
            <w:r w:rsidRPr="008B6A75">
              <w:rPr>
                <w:sz w:val="20"/>
                <w:szCs w:val="20"/>
              </w:rPr>
              <w:t>2 427 130,00</w:t>
            </w:r>
          </w:p>
        </w:tc>
        <w:tc>
          <w:tcPr>
            <w:tcW w:w="992" w:type="dxa"/>
            <w:tcBorders>
              <w:top w:val="nil"/>
              <w:left w:val="single" w:sz="4" w:space="0" w:color="auto"/>
              <w:bottom w:val="single" w:sz="4" w:space="0" w:color="auto"/>
              <w:right w:val="nil"/>
            </w:tcBorders>
            <w:shd w:val="clear" w:color="auto" w:fill="auto"/>
            <w:vAlign w:val="center"/>
            <w:hideMark/>
          </w:tcPr>
          <w:p w14:paraId="5889242C" w14:textId="77777777" w:rsidR="00387142" w:rsidRPr="008B6A75" w:rsidRDefault="00387142" w:rsidP="00387142">
            <w:pPr>
              <w:jc w:val="right"/>
              <w:rPr>
                <w:sz w:val="20"/>
                <w:szCs w:val="20"/>
              </w:rPr>
            </w:pPr>
            <w:r w:rsidRPr="008B6A75">
              <w:rPr>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203D8B38" w14:textId="77777777" w:rsidR="00387142" w:rsidRPr="008B6A75" w:rsidRDefault="00387142" w:rsidP="00387142">
            <w:pPr>
              <w:jc w:val="right"/>
              <w:rPr>
                <w:sz w:val="20"/>
                <w:szCs w:val="20"/>
              </w:rPr>
            </w:pPr>
            <w:r w:rsidRPr="008B6A75">
              <w:rPr>
                <w:sz w:val="20"/>
                <w:szCs w:val="20"/>
              </w:rPr>
              <w:t>0,00</w:t>
            </w:r>
          </w:p>
        </w:tc>
      </w:tr>
      <w:tr w:rsidR="00387142" w:rsidRPr="008B6A75" w14:paraId="1E50041E" w14:textId="77777777" w:rsidTr="00387142">
        <w:trPr>
          <w:trHeight w:val="2295"/>
        </w:trPr>
        <w:tc>
          <w:tcPr>
            <w:tcW w:w="3261" w:type="dxa"/>
            <w:tcBorders>
              <w:top w:val="nil"/>
              <w:left w:val="single" w:sz="4" w:space="0" w:color="auto"/>
              <w:bottom w:val="single" w:sz="4" w:space="0" w:color="auto"/>
              <w:right w:val="nil"/>
            </w:tcBorders>
            <w:shd w:val="clear" w:color="auto" w:fill="auto"/>
            <w:vAlign w:val="center"/>
            <w:hideMark/>
          </w:tcPr>
          <w:p w14:paraId="0D2A2EAC" w14:textId="77777777" w:rsidR="00387142" w:rsidRPr="008B6A75" w:rsidRDefault="00387142" w:rsidP="00387142">
            <w:pPr>
              <w:rPr>
                <w:bCs/>
                <w:sz w:val="20"/>
                <w:szCs w:val="20"/>
              </w:rPr>
            </w:pPr>
            <w:r w:rsidRPr="008B6A75">
              <w:rPr>
                <w:bCs/>
                <w:sz w:val="20"/>
                <w:szCs w:val="20"/>
              </w:rPr>
              <w:t>Обеспечение комплексного развития сельских территорий (формирование современного облика сельских территорий, направленных на создание и развитие инфраструктуры в сельской местности), государственной программы Новосибирской области "Комплексное развитие сельских территорий в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14:paraId="264D3F66" w14:textId="77777777" w:rsidR="00387142" w:rsidRPr="008B6A75" w:rsidRDefault="00387142" w:rsidP="00387142">
            <w:pPr>
              <w:jc w:val="center"/>
              <w:rPr>
                <w:bCs/>
                <w:sz w:val="20"/>
                <w:szCs w:val="20"/>
              </w:rPr>
            </w:pPr>
            <w:r w:rsidRPr="008B6A75">
              <w:rPr>
                <w:bCs/>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C85E765" w14:textId="77777777" w:rsidR="00387142" w:rsidRPr="008B6A75" w:rsidRDefault="00387142" w:rsidP="00387142">
            <w:pPr>
              <w:jc w:val="center"/>
              <w:rPr>
                <w:bCs/>
                <w:sz w:val="20"/>
                <w:szCs w:val="20"/>
              </w:rPr>
            </w:pPr>
            <w:r w:rsidRPr="008B6A75">
              <w:rPr>
                <w:bCs/>
                <w:sz w:val="20"/>
                <w:szCs w:val="20"/>
              </w:rPr>
              <w:t>03</w:t>
            </w:r>
          </w:p>
        </w:tc>
        <w:tc>
          <w:tcPr>
            <w:tcW w:w="1516" w:type="dxa"/>
            <w:tcBorders>
              <w:top w:val="nil"/>
              <w:left w:val="single" w:sz="4" w:space="0" w:color="auto"/>
              <w:bottom w:val="single" w:sz="4" w:space="0" w:color="auto"/>
              <w:right w:val="nil"/>
            </w:tcBorders>
            <w:shd w:val="clear" w:color="auto" w:fill="auto"/>
            <w:noWrap/>
            <w:vAlign w:val="center"/>
            <w:hideMark/>
          </w:tcPr>
          <w:p w14:paraId="380B0880" w14:textId="77777777" w:rsidR="00387142" w:rsidRPr="008B6A75" w:rsidRDefault="00387142" w:rsidP="00387142">
            <w:pPr>
              <w:jc w:val="center"/>
              <w:rPr>
                <w:bCs/>
                <w:sz w:val="20"/>
                <w:szCs w:val="20"/>
              </w:rPr>
            </w:pPr>
            <w:r w:rsidRPr="008B6A75">
              <w:rPr>
                <w:bCs/>
                <w:sz w:val="20"/>
                <w:szCs w:val="20"/>
              </w:rPr>
              <w:t>06.0.00.L5766</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A51E541"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2D49E6B" w14:textId="77777777" w:rsidR="00387142" w:rsidRPr="008B6A75" w:rsidRDefault="00387142" w:rsidP="00387142">
            <w:pPr>
              <w:jc w:val="right"/>
              <w:rPr>
                <w:bCs/>
                <w:sz w:val="20"/>
                <w:szCs w:val="20"/>
              </w:rPr>
            </w:pPr>
            <w:r w:rsidRPr="008B6A75">
              <w:rPr>
                <w:bCs/>
                <w:sz w:val="20"/>
                <w:szCs w:val="20"/>
              </w:rPr>
              <w:t>17 207,91</w:t>
            </w:r>
          </w:p>
        </w:tc>
        <w:tc>
          <w:tcPr>
            <w:tcW w:w="992" w:type="dxa"/>
            <w:tcBorders>
              <w:top w:val="nil"/>
              <w:left w:val="single" w:sz="4" w:space="0" w:color="auto"/>
              <w:bottom w:val="single" w:sz="4" w:space="0" w:color="auto"/>
              <w:right w:val="nil"/>
            </w:tcBorders>
            <w:shd w:val="clear" w:color="auto" w:fill="auto"/>
            <w:vAlign w:val="center"/>
            <w:hideMark/>
          </w:tcPr>
          <w:p w14:paraId="41CE445D" w14:textId="77777777" w:rsidR="00387142" w:rsidRPr="008B6A75" w:rsidRDefault="00387142" w:rsidP="00387142">
            <w:pPr>
              <w:jc w:val="right"/>
              <w:rPr>
                <w:bCs/>
                <w:sz w:val="20"/>
                <w:szCs w:val="20"/>
              </w:rPr>
            </w:pPr>
            <w:r w:rsidRPr="008B6A75">
              <w:rPr>
                <w:bCs/>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2121874B" w14:textId="77777777" w:rsidR="00387142" w:rsidRPr="008B6A75" w:rsidRDefault="00387142" w:rsidP="00387142">
            <w:pPr>
              <w:jc w:val="right"/>
              <w:rPr>
                <w:bCs/>
                <w:sz w:val="20"/>
                <w:szCs w:val="20"/>
              </w:rPr>
            </w:pPr>
            <w:r w:rsidRPr="008B6A75">
              <w:rPr>
                <w:bCs/>
                <w:sz w:val="20"/>
                <w:szCs w:val="20"/>
              </w:rPr>
              <w:t>0,00</w:t>
            </w:r>
          </w:p>
        </w:tc>
      </w:tr>
      <w:tr w:rsidR="00387142" w:rsidRPr="008B6A75" w14:paraId="73B22D96" w14:textId="77777777" w:rsidTr="00387142">
        <w:trPr>
          <w:trHeight w:val="585"/>
        </w:trPr>
        <w:tc>
          <w:tcPr>
            <w:tcW w:w="3261" w:type="dxa"/>
            <w:tcBorders>
              <w:top w:val="nil"/>
              <w:left w:val="single" w:sz="4" w:space="0" w:color="auto"/>
              <w:bottom w:val="single" w:sz="4" w:space="0" w:color="auto"/>
              <w:right w:val="nil"/>
            </w:tcBorders>
            <w:shd w:val="clear" w:color="auto" w:fill="auto"/>
            <w:vAlign w:val="center"/>
            <w:hideMark/>
          </w:tcPr>
          <w:p w14:paraId="7EBAAB64" w14:textId="77777777" w:rsidR="00387142" w:rsidRPr="008B6A75" w:rsidRDefault="00387142" w:rsidP="00387142">
            <w:pPr>
              <w:rPr>
                <w:sz w:val="20"/>
                <w:szCs w:val="20"/>
              </w:rPr>
            </w:pPr>
            <w:r w:rsidRPr="008B6A75">
              <w:rPr>
                <w:sz w:val="20"/>
                <w:szCs w:val="20"/>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5A4E19E1" w14:textId="77777777" w:rsidR="00387142" w:rsidRPr="008B6A75" w:rsidRDefault="00387142" w:rsidP="00387142">
            <w:pPr>
              <w:jc w:val="center"/>
              <w:rPr>
                <w:sz w:val="20"/>
                <w:szCs w:val="20"/>
              </w:rPr>
            </w:pPr>
            <w:r w:rsidRPr="008B6A75">
              <w:rPr>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143C501" w14:textId="77777777" w:rsidR="00387142" w:rsidRPr="008B6A75" w:rsidRDefault="00387142" w:rsidP="00387142">
            <w:pPr>
              <w:jc w:val="center"/>
              <w:rPr>
                <w:sz w:val="20"/>
                <w:szCs w:val="20"/>
              </w:rPr>
            </w:pPr>
            <w:r w:rsidRPr="008B6A75">
              <w:rPr>
                <w:sz w:val="20"/>
                <w:szCs w:val="20"/>
              </w:rPr>
              <w:t>03</w:t>
            </w:r>
          </w:p>
        </w:tc>
        <w:tc>
          <w:tcPr>
            <w:tcW w:w="1516" w:type="dxa"/>
            <w:tcBorders>
              <w:top w:val="nil"/>
              <w:left w:val="single" w:sz="4" w:space="0" w:color="auto"/>
              <w:bottom w:val="single" w:sz="4" w:space="0" w:color="auto"/>
              <w:right w:val="nil"/>
            </w:tcBorders>
            <w:shd w:val="clear" w:color="auto" w:fill="auto"/>
            <w:noWrap/>
            <w:vAlign w:val="center"/>
            <w:hideMark/>
          </w:tcPr>
          <w:p w14:paraId="1FE958EF" w14:textId="77777777" w:rsidR="00387142" w:rsidRPr="008B6A75" w:rsidRDefault="00387142" w:rsidP="00387142">
            <w:pPr>
              <w:jc w:val="center"/>
              <w:rPr>
                <w:sz w:val="20"/>
                <w:szCs w:val="20"/>
              </w:rPr>
            </w:pPr>
            <w:r w:rsidRPr="008B6A75">
              <w:rPr>
                <w:sz w:val="20"/>
                <w:szCs w:val="20"/>
              </w:rPr>
              <w:t>06.0.00.L5766</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6058AB0" w14:textId="77777777" w:rsidR="00387142" w:rsidRPr="008B6A75" w:rsidRDefault="00387142" w:rsidP="00387142">
            <w:pPr>
              <w:jc w:val="center"/>
              <w:rPr>
                <w:sz w:val="20"/>
                <w:szCs w:val="20"/>
              </w:rPr>
            </w:pPr>
            <w:r w:rsidRPr="008B6A75">
              <w:rPr>
                <w:sz w:val="20"/>
                <w:szCs w:val="20"/>
              </w:rPr>
              <w:t>200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DA65A51" w14:textId="77777777" w:rsidR="00387142" w:rsidRPr="008B6A75" w:rsidRDefault="00387142" w:rsidP="00387142">
            <w:pPr>
              <w:jc w:val="right"/>
              <w:rPr>
                <w:sz w:val="20"/>
                <w:szCs w:val="20"/>
              </w:rPr>
            </w:pPr>
            <w:r w:rsidRPr="008B6A75">
              <w:rPr>
                <w:sz w:val="20"/>
                <w:szCs w:val="20"/>
              </w:rPr>
              <w:t>17 207,91</w:t>
            </w:r>
          </w:p>
        </w:tc>
        <w:tc>
          <w:tcPr>
            <w:tcW w:w="992" w:type="dxa"/>
            <w:tcBorders>
              <w:top w:val="nil"/>
              <w:left w:val="single" w:sz="4" w:space="0" w:color="auto"/>
              <w:bottom w:val="single" w:sz="4" w:space="0" w:color="auto"/>
              <w:right w:val="nil"/>
            </w:tcBorders>
            <w:shd w:val="clear" w:color="auto" w:fill="auto"/>
            <w:vAlign w:val="center"/>
            <w:hideMark/>
          </w:tcPr>
          <w:p w14:paraId="61E3A573" w14:textId="77777777" w:rsidR="00387142" w:rsidRPr="008B6A75" w:rsidRDefault="00387142" w:rsidP="00387142">
            <w:pPr>
              <w:jc w:val="right"/>
              <w:rPr>
                <w:sz w:val="20"/>
                <w:szCs w:val="20"/>
              </w:rPr>
            </w:pPr>
            <w:r w:rsidRPr="008B6A75">
              <w:rPr>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754F0650" w14:textId="77777777" w:rsidR="00387142" w:rsidRPr="008B6A75" w:rsidRDefault="00387142" w:rsidP="00387142">
            <w:pPr>
              <w:jc w:val="right"/>
              <w:rPr>
                <w:sz w:val="20"/>
                <w:szCs w:val="20"/>
              </w:rPr>
            </w:pPr>
            <w:r w:rsidRPr="008B6A75">
              <w:rPr>
                <w:sz w:val="20"/>
                <w:szCs w:val="20"/>
              </w:rPr>
              <w:t>0,00</w:t>
            </w:r>
          </w:p>
        </w:tc>
      </w:tr>
      <w:tr w:rsidR="00387142" w:rsidRPr="008B6A75" w14:paraId="3C211023" w14:textId="77777777" w:rsidTr="00387142">
        <w:trPr>
          <w:trHeight w:val="870"/>
        </w:trPr>
        <w:tc>
          <w:tcPr>
            <w:tcW w:w="3261" w:type="dxa"/>
            <w:tcBorders>
              <w:top w:val="nil"/>
              <w:left w:val="single" w:sz="4" w:space="0" w:color="auto"/>
              <w:bottom w:val="single" w:sz="4" w:space="0" w:color="auto"/>
              <w:right w:val="nil"/>
            </w:tcBorders>
            <w:shd w:val="clear" w:color="auto" w:fill="auto"/>
            <w:vAlign w:val="center"/>
            <w:hideMark/>
          </w:tcPr>
          <w:p w14:paraId="158BBD85" w14:textId="77777777" w:rsidR="00387142" w:rsidRPr="008B6A75" w:rsidRDefault="00387142" w:rsidP="00387142">
            <w:pPr>
              <w:rPr>
                <w:sz w:val="20"/>
                <w:szCs w:val="20"/>
              </w:rPr>
            </w:pPr>
            <w:r w:rsidRPr="008B6A75">
              <w:rPr>
                <w:sz w:val="20"/>
                <w:szCs w:val="20"/>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2CF24BB1" w14:textId="77777777" w:rsidR="00387142" w:rsidRPr="008B6A75" w:rsidRDefault="00387142" w:rsidP="00387142">
            <w:pPr>
              <w:jc w:val="center"/>
              <w:rPr>
                <w:sz w:val="20"/>
                <w:szCs w:val="20"/>
              </w:rPr>
            </w:pPr>
            <w:r w:rsidRPr="008B6A75">
              <w:rPr>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64E9DDD" w14:textId="77777777" w:rsidR="00387142" w:rsidRPr="008B6A75" w:rsidRDefault="00387142" w:rsidP="00387142">
            <w:pPr>
              <w:jc w:val="center"/>
              <w:rPr>
                <w:sz w:val="20"/>
                <w:szCs w:val="20"/>
              </w:rPr>
            </w:pPr>
            <w:r w:rsidRPr="008B6A75">
              <w:rPr>
                <w:sz w:val="20"/>
                <w:szCs w:val="20"/>
              </w:rPr>
              <w:t>03</w:t>
            </w:r>
          </w:p>
        </w:tc>
        <w:tc>
          <w:tcPr>
            <w:tcW w:w="1516" w:type="dxa"/>
            <w:tcBorders>
              <w:top w:val="nil"/>
              <w:left w:val="single" w:sz="4" w:space="0" w:color="auto"/>
              <w:bottom w:val="single" w:sz="4" w:space="0" w:color="auto"/>
              <w:right w:val="nil"/>
            </w:tcBorders>
            <w:shd w:val="clear" w:color="auto" w:fill="auto"/>
            <w:noWrap/>
            <w:vAlign w:val="center"/>
            <w:hideMark/>
          </w:tcPr>
          <w:p w14:paraId="710B1BF2" w14:textId="77777777" w:rsidR="00387142" w:rsidRPr="008B6A75" w:rsidRDefault="00387142" w:rsidP="00387142">
            <w:pPr>
              <w:jc w:val="center"/>
              <w:rPr>
                <w:sz w:val="20"/>
                <w:szCs w:val="20"/>
              </w:rPr>
            </w:pPr>
            <w:r w:rsidRPr="008B6A75">
              <w:rPr>
                <w:sz w:val="20"/>
                <w:szCs w:val="20"/>
              </w:rPr>
              <w:t>06.0.00.L5766</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23C0BFF" w14:textId="77777777" w:rsidR="00387142" w:rsidRPr="008B6A75" w:rsidRDefault="00387142" w:rsidP="00387142">
            <w:pPr>
              <w:jc w:val="center"/>
              <w:rPr>
                <w:sz w:val="20"/>
                <w:szCs w:val="20"/>
              </w:rPr>
            </w:pPr>
            <w:r w:rsidRPr="008B6A75">
              <w:rPr>
                <w:sz w:val="20"/>
                <w:szCs w:val="20"/>
              </w:rPr>
              <w:t>240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4A523DB" w14:textId="77777777" w:rsidR="00387142" w:rsidRPr="008B6A75" w:rsidRDefault="00387142" w:rsidP="00387142">
            <w:pPr>
              <w:jc w:val="right"/>
              <w:rPr>
                <w:sz w:val="20"/>
                <w:szCs w:val="20"/>
              </w:rPr>
            </w:pPr>
            <w:r w:rsidRPr="008B6A75">
              <w:rPr>
                <w:sz w:val="20"/>
                <w:szCs w:val="20"/>
              </w:rPr>
              <w:t>17 207,91</w:t>
            </w:r>
          </w:p>
        </w:tc>
        <w:tc>
          <w:tcPr>
            <w:tcW w:w="992" w:type="dxa"/>
            <w:tcBorders>
              <w:top w:val="nil"/>
              <w:left w:val="single" w:sz="4" w:space="0" w:color="auto"/>
              <w:bottom w:val="single" w:sz="4" w:space="0" w:color="auto"/>
              <w:right w:val="nil"/>
            </w:tcBorders>
            <w:shd w:val="clear" w:color="auto" w:fill="auto"/>
            <w:vAlign w:val="center"/>
            <w:hideMark/>
          </w:tcPr>
          <w:p w14:paraId="2E5D69D1" w14:textId="77777777" w:rsidR="00387142" w:rsidRPr="008B6A75" w:rsidRDefault="00387142" w:rsidP="00387142">
            <w:pPr>
              <w:jc w:val="right"/>
              <w:rPr>
                <w:sz w:val="20"/>
                <w:szCs w:val="20"/>
              </w:rPr>
            </w:pPr>
            <w:r w:rsidRPr="008B6A75">
              <w:rPr>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50B147EC" w14:textId="77777777" w:rsidR="00387142" w:rsidRPr="008B6A75" w:rsidRDefault="00387142" w:rsidP="00387142">
            <w:pPr>
              <w:jc w:val="right"/>
              <w:rPr>
                <w:sz w:val="20"/>
                <w:szCs w:val="20"/>
              </w:rPr>
            </w:pPr>
            <w:r w:rsidRPr="008B6A75">
              <w:rPr>
                <w:sz w:val="20"/>
                <w:szCs w:val="20"/>
              </w:rPr>
              <w:t>0,00</w:t>
            </w:r>
          </w:p>
        </w:tc>
      </w:tr>
      <w:tr w:rsidR="00387142" w:rsidRPr="008B6A75" w14:paraId="43BC7081" w14:textId="77777777" w:rsidTr="00387142">
        <w:trPr>
          <w:trHeight w:val="870"/>
        </w:trPr>
        <w:tc>
          <w:tcPr>
            <w:tcW w:w="3261" w:type="dxa"/>
            <w:tcBorders>
              <w:top w:val="nil"/>
              <w:left w:val="single" w:sz="4" w:space="0" w:color="auto"/>
              <w:bottom w:val="single" w:sz="4" w:space="0" w:color="auto"/>
              <w:right w:val="nil"/>
            </w:tcBorders>
            <w:shd w:val="clear" w:color="auto" w:fill="auto"/>
            <w:vAlign w:val="center"/>
            <w:hideMark/>
          </w:tcPr>
          <w:p w14:paraId="5B74DBAA" w14:textId="77777777" w:rsidR="00387142" w:rsidRPr="008B6A75" w:rsidRDefault="00387142" w:rsidP="00387142">
            <w:pPr>
              <w:rPr>
                <w:bCs/>
                <w:sz w:val="20"/>
                <w:szCs w:val="20"/>
              </w:rPr>
            </w:pPr>
            <w:r w:rsidRPr="008B6A75">
              <w:rPr>
                <w:bCs/>
                <w:sz w:val="20"/>
                <w:szCs w:val="20"/>
              </w:rPr>
              <w:t>Муниципальная программа "Охрана окружающей среды Куйбышевского района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14:paraId="2D1BF781" w14:textId="77777777" w:rsidR="00387142" w:rsidRPr="008B6A75" w:rsidRDefault="00387142" w:rsidP="00387142">
            <w:pPr>
              <w:jc w:val="center"/>
              <w:rPr>
                <w:bCs/>
                <w:sz w:val="20"/>
                <w:szCs w:val="20"/>
              </w:rPr>
            </w:pPr>
            <w:r w:rsidRPr="008B6A75">
              <w:rPr>
                <w:bCs/>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4F2D52D" w14:textId="77777777" w:rsidR="00387142" w:rsidRPr="008B6A75" w:rsidRDefault="00387142" w:rsidP="00387142">
            <w:pPr>
              <w:jc w:val="center"/>
              <w:rPr>
                <w:bCs/>
                <w:sz w:val="20"/>
                <w:szCs w:val="20"/>
              </w:rPr>
            </w:pPr>
            <w:r w:rsidRPr="008B6A75">
              <w:rPr>
                <w:bCs/>
                <w:sz w:val="20"/>
                <w:szCs w:val="20"/>
              </w:rPr>
              <w:t>03</w:t>
            </w:r>
          </w:p>
        </w:tc>
        <w:tc>
          <w:tcPr>
            <w:tcW w:w="1516" w:type="dxa"/>
            <w:tcBorders>
              <w:top w:val="nil"/>
              <w:left w:val="single" w:sz="4" w:space="0" w:color="auto"/>
              <w:bottom w:val="single" w:sz="4" w:space="0" w:color="auto"/>
              <w:right w:val="nil"/>
            </w:tcBorders>
            <w:shd w:val="clear" w:color="auto" w:fill="auto"/>
            <w:noWrap/>
            <w:vAlign w:val="center"/>
            <w:hideMark/>
          </w:tcPr>
          <w:p w14:paraId="12E8D380" w14:textId="77777777" w:rsidR="00387142" w:rsidRPr="008B6A75" w:rsidRDefault="00387142" w:rsidP="00387142">
            <w:pPr>
              <w:jc w:val="center"/>
              <w:rPr>
                <w:bCs/>
                <w:sz w:val="20"/>
                <w:szCs w:val="20"/>
              </w:rPr>
            </w:pPr>
            <w:r w:rsidRPr="008B6A75">
              <w:rPr>
                <w:bCs/>
                <w:sz w:val="20"/>
                <w:szCs w:val="20"/>
              </w:rPr>
              <w:t>12.0.00.00000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906992A"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D2E948E" w14:textId="77777777" w:rsidR="00387142" w:rsidRPr="008B6A75" w:rsidRDefault="00387142" w:rsidP="00387142">
            <w:pPr>
              <w:jc w:val="right"/>
              <w:rPr>
                <w:bCs/>
                <w:sz w:val="20"/>
                <w:szCs w:val="20"/>
              </w:rPr>
            </w:pPr>
            <w:r w:rsidRPr="008B6A75">
              <w:rPr>
                <w:bCs/>
                <w:sz w:val="20"/>
                <w:szCs w:val="20"/>
              </w:rPr>
              <w:t>200 000,00</w:t>
            </w:r>
          </w:p>
        </w:tc>
        <w:tc>
          <w:tcPr>
            <w:tcW w:w="992" w:type="dxa"/>
            <w:tcBorders>
              <w:top w:val="nil"/>
              <w:left w:val="single" w:sz="4" w:space="0" w:color="auto"/>
              <w:bottom w:val="single" w:sz="4" w:space="0" w:color="auto"/>
              <w:right w:val="nil"/>
            </w:tcBorders>
            <w:shd w:val="clear" w:color="auto" w:fill="auto"/>
            <w:vAlign w:val="center"/>
            <w:hideMark/>
          </w:tcPr>
          <w:p w14:paraId="5F06038B" w14:textId="77777777" w:rsidR="00387142" w:rsidRPr="008B6A75" w:rsidRDefault="00387142" w:rsidP="00387142">
            <w:pPr>
              <w:jc w:val="right"/>
              <w:rPr>
                <w:bCs/>
                <w:sz w:val="20"/>
                <w:szCs w:val="20"/>
              </w:rPr>
            </w:pPr>
            <w:r w:rsidRPr="008B6A75">
              <w:rPr>
                <w:bCs/>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04C2E449" w14:textId="77777777" w:rsidR="00387142" w:rsidRPr="008B6A75" w:rsidRDefault="00387142" w:rsidP="00387142">
            <w:pPr>
              <w:jc w:val="right"/>
              <w:rPr>
                <w:bCs/>
                <w:sz w:val="20"/>
                <w:szCs w:val="20"/>
              </w:rPr>
            </w:pPr>
            <w:r w:rsidRPr="008B6A75">
              <w:rPr>
                <w:bCs/>
                <w:sz w:val="20"/>
                <w:szCs w:val="20"/>
              </w:rPr>
              <w:t>0,00</w:t>
            </w:r>
          </w:p>
        </w:tc>
      </w:tr>
      <w:tr w:rsidR="00387142" w:rsidRPr="008B6A75" w14:paraId="1D16183B" w14:textId="77777777" w:rsidTr="00387142">
        <w:trPr>
          <w:trHeight w:val="1155"/>
        </w:trPr>
        <w:tc>
          <w:tcPr>
            <w:tcW w:w="3261" w:type="dxa"/>
            <w:tcBorders>
              <w:top w:val="nil"/>
              <w:left w:val="single" w:sz="4" w:space="0" w:color="auto"/>
              <w:bottom w:val="single" w:sz="4" w:space="0" w:color="auto"/>
              <w:right w:val="nil"/>
            </w:tcBorders>
            <w:shd w:val="clear" w:color="auto" w:fill="auto"/>
            <w:vAlign w:val="center"/>
            <w:hideMark/>
          </w:tcPr>
          <w:p w14:paraId="2F34D03E" w14:textId="77777777" w:rsidR="00387142" w:rsidRPr="008B6A75" w:rsidRDefault="00387142" w:rsidP="00387142">
            <w:pPr>
              <w:rPr>
                <w:bCs/>
                <w:sz w:val="20"/>
                <w:szCs w:val="20"/>
              </w:rPr>
            </w:pPr>
            <w:r w:rsidRPr="008B6A75">
              <w:rPr>
                <w:bCs/>
                <w:sz w:val="20"/>
                <w:szCs w:val="20"/>
              </w:rPr>
              <w:lastRenderedPageBreak/>
              <w:t>Реализация мероприятий муниципальной программы "Охрана окружающей среды Куйбышевского района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14:paraId="1825AA06" w14:textId="77777777" w:rsidR="00387142" w:rsidRPr="008B6A75" w:rsidRDefault="00387142" w:rsidP="00387142">
            <w:pPr>
              <w:jc w:val="center"/>
              <w:rPr>
                <w:bCs/>
                <w:sz w:val="20"/>
                <w:szCs w:val="20"/>
              </w:rPr>
            </w:pPr>
            <w:r w:rsidRPr="008B6A75">
              <w:rPr>
                <w:bCs/>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7F8774D" w14:textId="77777777" w:rsidR="00387142" w:rsidRPr="008B6A75" w:rsidRDefault="00387142" w:rsidP="00387142">
            <w:pPr>
              <w:jc w:val="center"/>
              <w:rPr>
                <w:bCs/>
                <w:sz w:val="20"/>
                <w:szCs w:val="20"/>
              </w:rPr>
            </w:pPr>
            <w:r w:rsidRPr="008B6A75">
              <w:rPr>
                <w:bCs/>
                <w:sz w:val="20"/>
                <w:szCs w:val="20"/>
              </w:rPr>
              <w:t>03</w:t>
            </w:r>
          </w:p>
        </w:tc>
        <w:tc>
          <w:tcPr>
            <w:tcW w:w="1516" w:type="dxa"/>
            <w:tcBorders>
              <w:top w:val="nil"/>
              <w:left w:val="single" w:sz="4" w:space="0" w:color="auto"/>
              <w:bottom w:val="single" w:sz="4" w:space="0" w:color="auto"/>
              <w:right w:val="nil"/>
            </w:tcBorders>
            <w:shd w:val="clear" w:color="auto" w:fill="auto"/>
            <w:noWrap/>
            <w:vAlign w:val="center"/>
            <w:hideMark/>
          </w:tcPr>
          <w:p w14:paraId="1205BDFC" w14:textId="77777777" w:rsidR="00387142" w:rsidRPr="008B6A75" w:rsidRDefault="00387142" w:rsidP="00387142">
            <w:pPr>
              <w:jc w:val="center"/>
              <w:rPr>
                <w:bCs/>
                <w:sz w:val="20"/>
                <w:szCs w:val="20"/>
              </w:rPr>
            </w:pPr>
            <w:r w:rsidRPr="008B6A75">
              <w:rPr>
                <w:bCs/>
                <w:sz w:val="20"/>
                <w:szCs w:val="20"/>
              </w:rPr>
              <w:t>12.0.00.49500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1562D84"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21CC092" w14:textId="77777777" w:rsidR="00387142" w:rsidRPr="008B6A75" w:rsidRDefault="00387142" w:rsidP="00387142">
            <w:pPr>
              <w:jc w:val="right"/>
              <w:rPr>
                <w:bCs/>
                <w:sz w:val="20"/>
                <w:szCs w:val="20"/>
              </w:rPr>
            </w:pPr>
            <w:r w:rsidRPr="008B6A75">
              <w:rPr>
                <w:bCs/>
                <w:sz w:val="20"/>
                <w:szCs w:val="20"/>
              </w:rPr>
              <w:t>200 000,00</w:t>
            </w:r>
          </w:p>
        </w:tc>
        <w:tc>
          <w:tcPr>
            <w:tcW w:w="992" w:type="dxa"/>
            <w:tcBorders>
              <w:top w:val="nil"/>
              <w:left w:val="single" w:sz="4" w:space="0" w:color="auto"/>
              <w:bottom w:val="single" w:sz="4" w:space="0" w:color="auto"/>
              <w:right w:val="nil"/>
            </w:tcBorders>
            <w:shd w:val="clear" w:color="auto" w:fill="auto"/>
            <w:vAlign w:val="center"/>
            <w:hideMark/>
          </w:tcPr>
          <w:p w14:paraId="041493E9" w14:textId="77777777" w:rsidR="00387142" w:rsidRPr="008B6A75" w:rsidRDefault="00387142" w:rsidP="00387142">
            <w:pPr>
              <w:jc w:val="right"/>
              <w:rPr>
                <w:bCs/>
                <w:sz w:val="20"/>
                <w:szCs w:val="20"/>
              </w:rPr>
            </w:pPr>
            <w:r w:rsidRPr="008B6A75">
              <w:rPr>
                <w:bCs/>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247AFBAE" w14:textId="77777777" w:rsidR="00387142" w:rsidRPr="008B6A75" w:rsidRDefault="00387142" w:rsidP="00387142">
            <w:pPr>
              <w:jc w:val="right"/>
              <w:rPr>
                <w:bCs/>
                <w:sz w:val="20"/>
                <w:szCs w:val="20"/>
              </w:rPr>
            </w:pPr>
            <w:r w:rsidRPr="008B6A75">
              <w:rPr>
                <w:bCs/>
                <w:sz w:val="20"/>
                <w:szCs w:val="20"/>
              </w:rPr>
              <w:t>0,00</w:t>
            </w:r>
          </w:p>
        </w:tc>
      </w:tr>
      <w:tr w:rsidR="00387142" w:rsidRPr="008B6A75" w14:paraId="77408315" w14:textId="77777777" w:rsidTr="00387142">
        <w:trPr>
          <w:trHeight w:val="345"/>
        </w:trPr>
        <w:tc>
          <w:tcPr>
            <w:tcW w:w="3261" w:type="dxa"/>
            <w:tcBorders>
              <w:top w:val="nil"/>
              <w:left w:val="single" w:sz="4" w:space="0" w:color="auto"/>
              <w:bottom w:val="single" w:sz="4" w:space="0" w:color="auto"/>
              <w:right w:val="nil"/>
            </w:tcBorders>
            <w:shd w:val="clear" w:color="auto" w:fill="auto"/>
            <w:vAlign w:val="center"/>
            <w:hideMark/>
          </w:tcPr>
          <w:p w14:paraId="73AC56FD" w14:textId="77777777" w:rsidR="00387142" w:rsidRPr="008B6A75" w:rsidRDefault="00387142" w:rsidP="00387142">
            <w:pPr>
              <w:rPr>
                <w:sz w:val="20"/>
                <w:szCs w:val="20"/>
              </w:rPr>
            </w:pPr>
            <w:r w:rsidRPr="008B6A75">
              <w:rPr>
                <w:sz w:val="20"/>
                <w:szCs w:val="20"/>
              </w:rPr>
              <w:t>Межбюджетные трансферты</w:t>
            </w:r>
          </w:p>
        </w:tc>
        <w:tc>
          <w:tcPr>
            <w:tcW w:w="720" w:type="dxa"/>
            <w:tcBorders>
              <w:top w:val="nil"/>
              <w:left w:val="single" w:sz="4" w:space="0" w:color="auto"/>
              <w:bottom w:val="single" w:sz="4" w:space="0" w:color="auto"/>
              <w:right w:val="nil"/>
            </w:tcBorders>
            <w:shd w:val="clear" w:color="auto" w:fill="auto"/>
            <w:noWrap/>
            <w:vAlign w:val="center"/>
            <w:hideMark/>
          </w:tcPr>
          <w:p w14:paraId="359213A8" w14:textId="77777777" w:rsidR="00387142" w:rsidRPr="008B6A75" w:rsidRDefault="00387142" w:rsidP="00387142">
            <w:pPr>
              <w:jc w:val="center"/>
              <w:rPr>
                <w:sz w:val="20"/>
                <w:szCs w:val="20"/>
              </w:rPr>
            </w:pPr>
            <w:r w:rsidRPr="008B6A75">
              <w:rPr>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008F5AA" w14:textId="77777777" w:rsidR="00387142" w:rsidRPr="008B6A75" w:rsidRDefault="00387142" w:rsidP="00387142">
            <w:pPr>
              <w:jc w:val="center"/>
              <w:rPr>
                <w:sz w:val="20"/>
                <w:szCs w:val="20"/>
              </w:rPr>
            </w:pPr>
            <w:r w:rsidRPr="008B6A75">
              <w:rPr>
                <w:sz w:val="20"/>
                <w:szCs w:val="20"/>
              </w:rPr>
              <w:t>03</w:t>
            </w:r>
          </w:p>
        </w:tc>
        <w:tc>
          <w:tcPr>
            <w:tcW w:w="1516" w:type="dxa"/>
            <w:tcBorders>
              <w:top w:val="nil"/>
              <w:left w:val="single" w:sz="4" w:space="0" w:color="auto"/>
              <w:bottom w:val="single" w:sz="4" w:space="0" w:color="auto"/>
              <w:right w:val="nil"/>
            </w:tcBorders>
            <w:shd w:val="clear" w:color="auto" w:fill="auto"/>
            <w:noWrap/>
            <w:vAlign w:val="center"/>
            <w:hideMark/>
          </w:tcPr>
          <w:p w14:paraId="32C5483C" w14:textId="77777777" w:rsidR="00387142" w:rsidRPr="008B6A75" w:rsidRDefault="00387142" w:rsidP="00387142">
            <w:pPr>
              <w:jc w:val="center"/>
              <w:rPr>
                <w:sz w:val="20"/>
                <w:szCs w:val="20"/>
              </w:rPr>
            </w:pPr>
            <w:r w:rsidRPr="008B6A75">
              <w:rPr>
                <w:sz w:val="20"/>
                <w:szCs w:val="20"/>
              </w:rPr>
              <w:t>12.0.00.49500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570F897" w14:textId="77777777" w:rsidR="00387142" w:rsidRPr="008B6A75" w:rsidRDefault="00387142" w:rsidP="00387142">
            <w:pPr>
              <w:jc w:val="center"/>
              <w:rPr>
                <w:sz w:val="20"/>
                <w:szCs w:val="20"/>
              </w:rPr>
            </w:pPr>
            <w:r w:rsidRPr="008B6A75">
              <w:rPr>
                <w:sz w:val="20"/>
                <w:szCs w:val="20"/>
              </w:rPr>
              <w:t>500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9FDAE0B" w14:textId="77777777" w:rsidR="00387142" w:rsidRPr="008B6A75" w:rsidRDefault="00387142" w:rsidP="00387142">
            <w:pPr>
              <w:jc w:val="right"/>
              <w:rPr>
                <w:sz w:val="20"/>
                <w:szCs w:val="20"/>
              </w:rPr>
            </w:pPr>
            <w:r w:rsidRPr="008B6A75">
              <w:rPr>
                <w:sz w:val="20"/>
                <w:szCs w:val="20"/>
              </w:rPr>
              <w:t>200 000,00</w:t>
            </w:r>
          </w:p>
        </w:tc>
        <w:tc>
          <w:tcPr>
            <w:tcW w:w="992" w:type="dxa"/>
            <w:tcBorders>
              <w:top w:val="nil"/>
              <w:left w:val="single" w:sz="4" w:space="0" w:color="auto"/>
              <w:bottom w:val="single" w:sz="4" w:space="0" w:color="auto"/>
              <w:right w:val="nil"/>
            </w:tcBorders>
            <w:shd w:val="clear" w:color="auto" w:fill="auto"/>
            <w:vAlign w:val="center"/>
            <w:hideMark/>
          </w:tcPr>
          <w:p w14:paraId="440AB922" w14:textId="77777777" w:rsidR="00387142" w:rsidRPr="008B6A75" w:rsidRDefault="00387142" w:rsidP="00387142">
            <w:pPr>
              <w:jc w:val="right"/>
              <w:rPr>
                <w:sz w:val="20"/>
                <w:szCs w:val="20"/>
              </w:rPr>
            </w:pPr>
            <w:r w:rsidRPr="008B6A75">
              <w:rPr>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6A6D1EB9" w14:textId="77777777" w:rsidR="00387142" w:rsidRPr="008B6A75" w:rsidRDefault="00387142" w:rsidP="00387142">
            <w:pPr>
              <w:jc w:val="right"/>
              <w:rPr>
                <w:sz w:val="20"/>
                <w:szCs w:val="20"/>
              </w:rPr>
            </w:pPr>
            <w:r w:rsidRPr="008B6A75">
              <w:rPr>
                <w:sz w:val="20"/>
                <w:szCs w:val="20"/>
              </w:rPr>
              <w:t>0,00</w:t>
            </w:r>
          </w:p>
        </w:tc>
      </w:tr>
      <w:tr w:rsidR="00387142" w:rsidRPr="008B6A75" w14:paraId="632A73CB" w14:textId="77777777" w:rsidTr="00387142">
        <w:trPr>
          <w:trHeight w:val="345"/>
        </w:trPr>
        <w:tc>
          <w:tcPr>
            <w:tcW w:w="3261" w:type="dxa"/>
            <w:tcBorders>
              <w:top w:val="nil"/>
              <w:left w:val="single" w:sz="4" w:space="0" w:color="auto"/>
              <w:bottom w:val="single" w:sz="4" w:space="0" w:color="auto"/>
              <w:right w:val="nil"/>
            </w:tcBorders>
            <w:shd w:val="clear" w:color="auto" w:fill="auto"/>
            <w:vAlign w:val="center"/>
            <w:hideMark/>
          </w:tcPr>
          <w:p w14:paraId="00F1C1B5" w14:textId="77777777" w:rsidR="00387142" w:rsidRPr="008B6A75" w:rsidRDefault="00387142" w:rsidP="00387142">
            <w:pPr>
              <w:rPr>
                <w:sz w:val="20"/>
                <w:szCs w:val="20"/>
              </w:rPr>
            </w:pPr>
            <w:r w:rsidRPr="008B6A75">
              <w:rPr>
                <w:sz w:val="20"/>
                <w:szCs w:val="20"/>
              </w:rPr>
              <w:t>Иные межбюджетные трансферты</w:t>
            </w:r>
          </w:p>
        </w:tc>
        <w:tc>
          <w:tcPr>
            <w:tcW w:w="720" w:type="dxa"/>
            <w:tcBorders>
              <w:top w:val="nil"/>
              <w:left w:val="single" w:sz="4" w:space="0" w:color="auto"/>
              <w:bottom w:val="single" w:sz="4" w:space="0" w:color="auto"/>
              <w:right w:val="nil"/>
            </w:tcBorders>
            <w:shd w:val="clear" w:color="auto" w:fill="auto"/>
            <w:noWrap/>
            <w:vAlign w:val="center"/>
            <w:hideMark/>
          </w:tcPr>
          <w:p w14:paraId="55A0E0A5" w14:textId="77777777" w:rsidR="00387142" w:rsidRPr="008B6A75" w:rsidRDefault="00387142" w:rsidP="00387142">
            <w:pPr>
              <w:jc w:val="center"/>
              <w:rPr>
                <w:sz w:val="20"/>
                <w:szCs w:val="20"/>
              </w:rPr>
            </w:pPr>
            <w:r w:rsidRPr="008B6A75">
              <w:rPr>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7D6F402" w14:textId="77777777" w:rsidR="00387142" w:rsidRPr="008B6A75" w:rsidRDefault="00387142" w:rsidP="00387142">
            <w:pPr>
              <w:jc w:val="center"/>
              <w:rPr>
                <w:sz w:val="20"/>
                <w:szCs w:val="20"/>
              </w:rPr>
            </w:pPr>
            <w:r w:rsidRPr="008B6A75">
              <w:rPr>
                <w:sz w:val="20"/>
                <w:szCs w:val="20"/>
              </w:rPr>
              <w:t>03</w:t>
            </w:r>
          </w:p>
        </w:tc>
        <w:tc>
          <w:tcPr>
            <w:tcW w:w="1516" w:type="dxa"/>
            <w:tcBorders>
              <w:top w:val="nil"/>
              <w:left w:val="single" w:sz="4" w:space="0" w:color="auto"/>
              <w:bottom w:val="single" w:sz="4" w:space="0" w:color="auto"/>
              <w:right w:val="nil"/>
            </w:tcBorders>
            <w:shd w:val="clear" w:color="auto" w:fill="auto"/>
            <w:noWrap/>
            <w:vAlign w:val="center"/>
            <w:hideMark/>
          </w:tcPr>
          <w:p w14:paraId="2C5BBC68" w14:textId="77777777" w:rsidR="00387142" w:rsidRPr="008B6A75" w:rsidRDefault="00387142" w:rsidP="00387142">
            <w:pPr>
              <w:jc w:val="center"/>
              <w:rPr>
                <w:sz w:val="20"/>
                <w:szCs w:val="20"/>
              </w:rPr>
            </w:pPr>
            <w:r w:rsidRPr="008B6A75">
              <w:rPr>
                <w:sz w:val="20"/>
                <w:szCs w:val="20"/>
              </w:rPr>
              <w:t>12.0.00.49500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657A6CA" w14:textId="77777777" w:rsidR="00387142" w:rsidRPr="008B6A75" w:rsidRDefault="00387142" w:rsidP="00387142">
            <w:pPr>
              <w:jc w:val="center"/>
              <w:rPr>
                <w:sz w:val="20"/>
                <w:szCs w:val="20"/>
              </w:rPr>
            </w:pPr>
            <w:r w:rsidRPr="008B6A75">
              <w:rPr>
                <w:sz w:val="20"/>
                <w:szCs w:val="20"/>
              </w:rPr>
              <w:t>540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BA67862" w14:textId="77777777" w:rsidR="00387142" w:rsidRPr="008B6A75" w:rsidRDefault="00387142" w:rsidP="00387142">
            <w:pPr>
              <w:jc w:val="right"/>
              <w:rPr>
                <w:sz w:val="20"/>
                <w:szCs w:val="20"/>
              </w:rPr>
            </w:pPr>
            <w:r w:rsidRPr="008B6A75">
              <w:rPr>
                <w:sz w:val="20"/>
                <w:szCs w:val="20"/>
              </w:rPr>
              <w:t>200 000,00</w:t>
            </w:r>
          </w:p>
        </w:tc>
        <w:tc>
          <w:tcPr>
            <w:tcW w:w="992" w:type="dxa"/>
            <w:tcBorders>
              <w:top w:val="nil"/>
              <w:left w:val="single" w:sz="4" w:space="0" w:color="auto"/>
              <w:bottom w:val="single" w:sz="4" w:space="0" w:color="auto"/>
              <w:right w:val="nil"/>
            </w:tcBorders>
            <w:shd w:val="clear" w:color="auto" w:fill="auto"/>
            <w:vAlign w:val="center"/>
            <w:hideMark/>
          </w:tcPr>
          <w:p w14:paraId="3C65421C" w14:textId="77777777" w:rsidR="00387142" w:rsidRPr="008B6A75" w:rsidRDefault="00387142" w:rsidP="00387142">
            <w:pPr>
              <w:jc w:val="right"/>
              <w:rPr>
                <w:sz w:val="20"/>
                <w:szCs w:val="20"/>
              </w:rPr>
            </w:pPr>
            <w:r w:rsidRPr="008B6A75">
              <w:rPr>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13A6056A" w14:textId="77777777" w:rsidR="00387142" w:rsidRPr="008B6A75" w:rsidRDefault="00387142" w:rsidP="00387142">
            <w:pPr>
              <w:jc w:val="right"/>
              <w:rPr>
                <w:sz w:val="20"/>
                <w:szCs w:val="20"/>
              </w:rPr>
            </w:pPr>
            <w:r w:rsidRPr="008B6A75">
              <w:rPr>
                <w:sz w:val="20"/>
                <w:szCs w:val="20"/>
              </w:rPr>
              <w:t>0,00</w:t>
            </w:r>
          </w:p>
        </w:tc>
      </w:tr>
      <w:tr w:rsidR="00387142" w:rsidRPr="008B6A75" w14:paraId="490415ED" w14:textId="77777777" w:rsidTr="00387142">
        <w:trPr>
          <w:trHeight w:val="870"/>
        </w:trPr>
        <w:tc>
          <w:tcPr>
            <w:tcW w:w="3261" w:type="dxa"/>
            <w:tcBorders>
              <w:top w:val="nil"/>
              <w:left w:val="single" w:sz="4" w:space="0" w:color="auto"/>
              <w:bottom w:val="single" w:sz="4" w:space="0" w:color="auto"/>
              <w:right w:val="nil"/>
            </w:tcBorders>
            <w:shd w:val="clear" w:color="auto" w:fill="auto"/>
            <w:vAlign w:val="center"/>
            <w:hideMark/>
          </w:tcPr>
          <w:p w14:paraId="6EA92D1A" w14:textId="77777777" w:rsidR="00387142" w:rsidRPr="008B6A75" w:rsidRDefault="00387142" w:rsidP="00387142">
            <w:pPr>
              <w:rPr>
                <w:bCs/>
                <w:sz w:val="20"/>
                <w:szCs w:val="20"/>
              </w:rPr>
            </w:pPr>
            <w:r w:rsidRPr="008B6A75">
              <w:rPr>
                <w:bCs/>
                <w:sz w:val="20"/>
                <w:szCs w:val="20"/>
              </w:rPr>
              <w:t>Муниципальная программа "Комплексные меры профилактики наркомании в Куйбышевском районе"</w:t>
            </w:r>
          </w:p>
        </w:tc>
        <w:tc>
          <w:tcPr>
            <w:tcW w:w="720" w:type="dxa"/>
            <w:tcBorders>
              <w:top w:val="nil"/>
              <w:left w:val="single" w:sz="4" w:space="0" w:color="auto"/>
              <w:bottom w:val="single" w:sz="4" w:space="0" w:color="auto"/>
              <w:right w:val="nil"/>
            </w:tcBorders>
            <w:shd w:val="clear" w:color="auto" w:fill="auto"/>
            <w:noWrap/>
            <w:vAlign w:val="center"/>
            <w:hideMark/>
          </w:tcPr>
          <w:p w14:paraId="6B343009" w14:textId="77777777" w:rsidR="00387142" w:rsidRPr="008B6A75" w:rsidRDefault="00387142" w:rsidP="00387142">
            <w:pPr>
              <w:jc w:val="center"/>
              <w:rPr>
                <w:bCs/>
                <w:sz w:val="20"/>
                <w:szCs w:val="20"/>
              </w:rPr>
            </w:pPr>
            <w:r w:rsidRPr="008B6A75">
              <w:rPr>
                <w:bCs/>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C23B132" w14:textId="77777777" w:rsidR="00387142" w:rsidRPr="008B6A75" w:rsidRDefault="00387142" w:rsidP="00387142">
            <w:pPr>
              <w:jc w:val="center"/>
              <w:rPr>
                <w:bCs/>
                <w:sz w:val="20"/>
                <w:szCs w:val="20"/>
              </w:rPr>
            </w:pPr>
            <w:r w:rsidRPr="008B6A75">
              <w:rPr>
                <w:bCs/>
                <w:sz w:val="20"/>
                <w:szCs w:val="20"/>
              </w:rPr>
              <w:t>03</w:t>
            </w:r>
          </w:p>
        </w:tc>
        <w:tc>
          <w:tcPr>
            <w:tcW w:w="1516" w:type="dxa"/>
            <w:tcBorders>
              <w:top w:val="nil"/>
              <w:left w:val="single" w:sz="4" w:space="0" w:color="auto"/>
              <w:bottom w:val="single" w:sz="4" w:space="0" w:color="auto"/>
              <w:right w:val="nil"/>
            </w:tcBorders>
            <w:shd w:val="clear" w:color="auto" w:fill="auto"/>
            <w:noWrap/>
            <w:vAlign w:val="center"/>
            <w:hideMark/>
          </w:tcPr>
          <w:p w14:paraId="1051A29C" w14:textId="77777777" w:rsidR="00387142" w:rsidRPr="008B6A75" w:rsidRDefault="00387142" w:rsidP="00387142">
            <w:pPr>
              <w:jc w:val="center"/>
              <w:rPr>
                <w:bCs/>
                <w:sz w:val="20"/>
                <w:szCs w:val="20"/>
              </w:rPr>
            </w:pPr>
            <w:r w:rsidRPr="008B6A75">
              <w:rPr>
                <w:bCs/>
                <w:sz w:val="20"/>
                <w:szCs w:val="20"/>
              </w:rPr>
              <w:t>14.0.00.00000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6D7ED2D"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4B29B28" w14:textId="77777777" w:rsidR="00387142" w:rsidRPr="008B6A75" w:rsidRDefault="00387142" w:rsidP="00387142">
            <w:pPr>
              <w:jc w:val="right"/>
              <w:rPr>
                <w:bCs/>
                <w:sz w:val="20"/>
                <w:szCs w:val="20"/>
              </w:rPr>
            </w:pPr>
            <w:r w:rsidRPr="008B6A75">
              <w:rPr>
                <w:bCs/>
                <w:sz w:val="20"/>
                <w:szCs w:val="20"/>
              </w:rPr>
              <w:t>118 791,00</w:t>
            </w:r>
          </w:p>
        </w:tc>
        <w:tc>
          <w:tcPr>
            <w:tcW w:w="992" w:type="dxa"/>
            <w:tcBorders>
              <w:top w:val="nil"/>
              <w:left w:val="single" w:sz="4" w:space="0" w:color="auto"/>
              <w:bottom w:val="single" w:sz="4" w:space="0" w:color="auto"/>
              <w:right w:val="nil"/>
            </w:tcBorders>
            <w:shd w:val="clear" w:color="auto" w:fill="auto"/>
            <w:vAlign w:val="center"/>
            <w:hideMark/>
          </w:tcPr>
          <w:p w14:paraId="12F73622" w14:textId="77777777" w:rsidR="00387142" w:rsidRPr="008B6A75" w:rsidRDefault="00387142" w:rsidP="00387142">
            <w:pPr>
              <w:jc w:val="right"/>
              <w:rPr>
                <w:bCs/>
                <w:sz w:val="20"/>
                <w:szCs w:val="20"/>
              </w:rPr>
            </w:pPr>
            <w:r w:rsidRPr="008B6A75">
              <w:rPr>
                <w:bCs/>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30E47FB5" w14:textId="77777777" w:rsidR="00387142" w:rsidRPr="008B6A75" w:rsidRDefault="00387142" w:rsidP="00387142">
            <w:pPr>
              <w:jc w:val="right"/>
              <w:rPr>
                <w:bCs/>
                <w:sz w:val="20"/>
                <w:szCs w:val="20"/>
              </w:rPr>
            </w:pPr>
            <w:r w:rsidRPr="008B6A75">
              <w:rPr>
                <w:bCs/>
                <w:sz w:val="20"/>
                <w:szCs w:val="20"/>
              </w:rPr>
              <w:t>0,00</w:t>
            </w:r>
          </w:p>
        </w:tc>
      </w:tr>
      <w:tr w:rsidR="00387142" w:rsidRPr="008B6A75" w14:paraId="53387495" w14:textId="77777777" w:rsidTr="00387142">
        <w:trPr>
          <w:trHeight w:val="870"/>
        </w:trPr>
        <w:tc>
          <w:tcPr>
            <w:tcW w:w="3261" w:type="dxa"/>
            <w:tcBorders>
              <w:top w:val="nil"/>
              <w:left w:val="single" w:sz="4" w:space="0" w:color="auto"/>
              <w:bottom w:val="single" w:sz="4" w:space="0" w:color="auto"/>
              <w:right w:val="nil"/>
            </w:tcBorders>
            <w:shd w:val="clear" w:color="auto" w:fill="auto"/>
            <w:vAlign w:val="center"/>
            <w:hideMark/>
          </w:tcPr>
          <w:p w14:paraId="3CC9F067" w14:textId="77777777" w:rsidR="00387142" w:rsidRPr="008B6A75" w:rsidRDefault="00387142" w:rsidP="00387142">
            <w:pPr>
              <w:rPr>
                <w:bCs/>
                <w:sz w:val="20"/>
                <w:szCs w:val="20"/>
              </w:rPr>
            </w:pPr>
            <w:r w:rsidRPr="008B6A75">
              <w:rPr>
                <w:bCs/>
                <w:sz w:val="20"/>
                <w:szCs w:val="20"/>
              </w:rPr>
              <w:t>Реализация мероприятий в рамках МП "Комплексные меры профилактики наркомании в Куйбышевском районе"</w:t>
            </w:r>
          </w:p>
        </w:tc>
        <w:tc>
          <w:tcPr>
            <w:tcW w:w="720" w:type="dxa"/>
            <w:tcBorders>
              <w:top w:val="nil"/>
              <w:left w:val="single" w:sz="4" w:space="0" w:color="auto"/>
              <w:bottom w:val="single" w:sz="4" w:space="0" w:color="auto"/>
              <w:right w:val="nil"/>
            </w:tcBorders>
            <w:shd w:val="clear" w:color="auto" w:fill="auto"/>
            <w:noWrap/>
            <w:vAlign w:val="center"/>
            <w:hideMark/>
          </w:tcPr>
          <w:p w14:paraId="2A1867F3" w14:textId="77777777" w:rsidR="00387142" w:rsidRPr="008B6A75" w:rsidRDefault="00387142" w:rsidP="00387142">
            <w:pPr>
              <w:jc w:val="center"/>
              <w:rPr>
                <w:bCs/>
                <w:sz w:val="20"/>
                <w:szCs w:val="20"/>
              </w:rPr>
            </w:pPr>
            <w:r w:rsidRPr="008B6A75">
              <w:rPr>
                <w:bCs/>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558A887" w14:textId="77777777" w:rsidR="00387142" w:rsidRPr="008B6A75" w:rsidRDefault="00387142" w:rsidP="00387142">
            <w:pPr>
              <w:jc w:val="center"/>
              <w:rPr>
                <w:bCs/>
                <w:sz w:val="20"/>
                <w:szCs w:val="20"/>
              </w:rPr>
            </w:pPr>
            <w:r w:rsidRPr="008B6A75">
              <w:rPr>
                <w:bCs/>
                <w:sz w:val="20"/>
                <w:szCs w:val="20"/>
              </w:rPr>
              <w:t>03</w:t>
            </w:r>
          </w:p>
        </w:tc>
        <w:tc>
          <w:tcPr>
            <w:tcW w:w="1516" w:type="dxa"/>
            <w:tcBorders>
              <w:top w:val="nil"/>
              <w:left w:val="single" w:sz="4" w:space="0" w:color="auto"/>
              <w:bottom w:val="single" w:sz="4" w:space="0" w:color="auto"/>
              <w:right w:val="nil"/>
            </w:tcBorders>
            <w:shd w:val="clear" w:color="auto" w:fill="auto"/>
            <w:noWrap/>
            <w:vAlign w:val="center"/>
            <w:hideMark/>
          </w:tcPr>
          <w:p w14:paraId="3545EEF4" w14:textId="77777777" w:rsidR="00387142" w:rsidRPr="008B6A75" w:rsidRDefault="00387142" w:rsidP="00387142">
            <w:pPr>
              <w:jc w:val="center"/>
              <w:rPr>
                <w:bCs/>
                <w:sz w:val="20"/>
                <w:szCs w:val="20"/>
              </w:rPr>
            </w:pPr>
            <w:r w:rsidRPr="008B6A75">
              <w:rPr>
                <w:bCs/>
                <w:sz w:val="20"/>
                <w:szCs w:val="20"/>
              </w:rPr>
              <w:t>14.0.00.79570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6ECCB0D"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5368557" w14:textId="77777777" w:rsidR="00387142" w:rsidRPr="008B6A75" w:rsidRDefault="00387142" w:rsidP="00387142">
            <w:pPr>
              <w:jc w:val="right"/>
              <w:rPr>
                <w:bCs/>
                <w:sz w:val="20"/>
                <w:szCs w:val="20"/>
              </w:rPr>
            </w:pPr>
            <w:r w:rsidRPr="008B6A75">
              <w:rPr>
                <w:bCs/>
                <w:sz w:val="20"/>
                <w:szCs w:val="20"/>
              </w:rPr>
              <w:t>118 791,00</w:t>
            </w:r>
          </w:p>
        </w:tc>
        <w:tc>
          <w:tcPr>
            <w:tcW w:w="992" w:type="dxa"/>
            <w:tcBorders>
              <w:top w:val="nil"/>
              <w:left w:val="single" w:sz="4" w:space="0" w:color="auto"/>
              <w:bottom w:val="single" w:sz="4" w:space="0" w:color="auto"/>
              <w:right w:val="nil"/>
            </w:tcBorders>
            <w:shd w:val="clear" w:color="auto" w:fill="auto"/>
            <w:vAlign w:val="center"/>
            <w:hideMark/>
          </w:tcPr>
          <w:p w14:paraId="27A64FB8" w14:textId="77777777" w:rsidR="00387142" w:rsidRPr="008B6A75" w:rsidRDefault="00387142" w:rsidP="00387142">
            <w:pPr>
              <w:jc w:val="right"/>
              <w:rPr>
                <w:bCs/>
                <w:sz w:val="20"/>
                <w:szCs w:val="20"/>
              </w:rPr>
            </w:pPr>
            <w:r w:rsidRPr="008B6A75">
              <w:rPr>
                <w:bCs/>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324D1C03" w14:textId="77777777" w:rsidR="00387142" w:rsidRPr="008B6A75" w:rsidRDefault="00387142" w:rsidP="00387142">
            <w:pPr>
              <w:jc w:val="right"/>
              <w:rPr>
                <w:bCs/>
                <w:sz w:val="20"/>
                <w:szCs w:val="20"/>
              </w:rPr>
            </w:pPr>
            <w:r w:rsidRPr="008B6A75">
              <w:rPr>
                <w:bCs/>
                <w:sz w:val="20"/>
                <w:szCs w:val="20"/>
              </w:rPr>
              <w:t>0,00</w:t>
            </w:r>
          </w:p>
        </w:tc>
      </w:tr>
      <w:tr w:rsidR="00387142" w:rsidRPr="008B6A75" w14:paraId="1B6C5D51" w14:textId="77777777" w:rsidTr="00387142">
        <w:trPr>
          <w:trHeight w:val="345"/>
        </w:trPr>
        <w:tc>
          <w:tcPr>
            <w:tcW w:w="3261" w:type="dxa"/>
            <w:tcBorders>
              <w:top w:val="nil"/>
              <w:left w:val="single" w:sz="4" w:space="0" w:color="auto"/>
              <w:bottom w:val="single" w:sz="4" w:space="0" w:color="auto"/>
              <w:right w:val="nil"/>
            </w:tcBorders>
            <w:shd w:val="clear" w:color="auto" w:fill="auto"/>
            <w:vAlign w:val="center"/>
            <w:hideMark/>
          </w:tcPr>
          <w:p w14:paraId="37DD5BA2" w14:textId="77777777" w:rsidR="00387142" w:rsidRPr="008B6A75" w:rsidRDefault="00387142" w:rsidP="00387142">
            <w:pPr>
              <w:rPr>
                <w:sz w:val="20"/>
                <w:szCs w:val="20"/>
              </w:rPr>
            </w:pPr>
            <w:r w:rsidRPr="008B6A75">
              <w:rPr>
                <w:sz w:val="20"/>
                <w:szCs w:val="20"/>
              </w:rPr>
              <w:t>Межбюджетные трансферты</w:t>
            </w:r>
          </w:p>
        </w:tc>
        <w:tc>
          <w:tcPr>
            <w:tcW w:w="720" w:type="dxa"/>
            <w:tcBorders>
              <w:top w:val="nil"/>
              <w:left w:val="single" w:sz="4" w:space="0" w:color="auto"/>
              <w:bottom w:val="single" w:sz="4" w:space="0" w:color="auto"/>
              <w:right w:val="nil"/>
            </w:tcBorders>
            <w:shd w:val="clear" w:color="auto" w:fill="auto"/>
            <w:noWrap/>
            <w:vAlign w:val="center"/>
            <w:hideMark/>
          </w:tcPr>
          <w:p w14:paraId="42113815" w14:textId="77777777" w:rsidR="00387142" w:rsidRPr="008B6A75" w:rsidRDefault="00387142" w:rsidP="00387142">
            <w:pPr>
              <w:jc w:val="center"/>
              <w:rPr>
                <w:sz w:val="20"/>
                <w:szCs w:val="20"/>
              </w:rPr>
            </w:pPr>
            <w:r w:rsidRPr="008B6A75">
              <w:rPr>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9A15C7D" w14:textId="77777777" w:rsidR="00387142" w:rsidRPr="008B6A75" w:rsidRDefault="00387142" w:rsidP="00387142">
            <w:pPr>
              <w:jc w:val="center"/>
              <w:rPr>
                <w:sz w:val="20"/>
                <w:szCs w:val="20"/>
              </w:rPr>
            </w:pPr>
            <w:r w:rsidRPr="008B6A75">
              <w:rPr>
                <w:sz w:val="20"/>
                <w:szCs w:val="20"/>
              </w:rPr>
              <w:t>03</w:t>
            </w:r>
          </w:p>
        </w:tc>
        <w:tc>
          <w:tcPr>
            <w:tcW w:w="1516" w:type="dxa"/>
            <w:tcBorders>
              <w:top w:val="nil"/>
              <w:left w:val="single" w:sz="4" w:space="0" w:color="auto"/>
              <w:bottom w:val="single" w:sz="4" w:space="0" w:color="auto"/>
              <w:right w:val="nil"/>
            </w:tcBorders>
            <w:shd w:val="clear" w:color="auto" w:fill="auto"/>
            <w:noWrap/>
            <w:vAlign w:val="center"/>
            <w:hideMark/>
          </w:tcPr>
          <w:p w14:paraId="2E65FF9A" w14:textId="77777777" w:rsidR="00387142" w:rsidRPr="008B6A75" w:rsidRDefault="00387142" w:rsidP="00387142">
            <w:pPr>
              <w:jc w:val="center"/>
              <w:rPr>
                <w:sz w:val="20"/>
                <w:szCs w:val="20"/>
              </w:rPr>
            </w:pPr>
            <w:r w:rsidRPr="008B6A75">
              <w:rPr>
                <w:sz w:val="20"/>
                <w:szCs w:val="20"/>
              </w:rPr>
              <w:t>14.0.00.79570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A0B88C5" w14:textId="77777777" w:rsidR="00387142" w:rsidRPr="008B6A75" w:rsidRDefault="00387142" w:rsidP="00387142">
            <w:pPr>
              <w:jc w:val="center"/>
              <w:rPr>
                <w:sz w:val="20"/>
                <w:szCs w:val="20"/>
              </w:rPr>
            </w:pPr>
            <w:r w:rsidRPr="008B6A75">
              <w:rPr>
                <w:sz w:val="20"/>
                <w:szCs w:val="20"/>
              </w:rPr>
              <w:t>500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78AAE87" w14:textId="77777777" w:rsidR="00387142" w:rsidRPr="008B6A75" w:rsidRDefault="00387142" w:rsidP="00387142">
            <w:pPr>
              <w:jc w:val="right"/>
              <w:rPr>
                <w:sz w:val="20"/>
                <w:szCs w:val="20"/>
              </w:rPr>
            </w:pPr>
            <w:r w:rsidRPr="008B6A75">
              <w:rPr>
                <w:sz w:val="20"/>
                <w:szCs w:val="20"/>
              </w:rPr>
              <w:t>118 791,00</w:t>
            </w:r>
          </w:p>
        </w:tc>
        <w:tc>
          <w:tcPr>
            <w:tcW w:w="992" w:type="dxa"/>
            <w:tcBorders>
              <w:top w:val="nil"/>
              <w:left w:val="single" w:sz="4" w:space="0" w:color="auto"/>
              <w:bottom w:val="single" w:sz="4" w:space="0" w:color="auto"/>
              <w:right w:val="nil"/>
            </w:tcBorders>
            <w:shd w:val="clear" w:color="auto" w:fill="auto"/>
            <w:vAlign w:val="center"/>
            <w:hideMark/>
          </w:tcPr>
          <w:p w14:paraId="2E565D64" w14:textId="77777777" w:rsidR="00387142" w:rsidRPr="008B6A75" w:rsidRDefault="00387142" w:rsidP="00387142">
            <w:pPr>
              <w:jc w:val="right"/>
              <w:rPr>
                <w:sz w:val="20"/>
                <w:szCs w:val="20"/>
              </w:rPr>
            </w:pPr>
            <w:r w:rsidRPr="008B6A75">
              <w:rPr>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424991D5" w14:textId="77777777" w:rsidR="00387142" w:rsidRPr="008B6A75" w:rsidRDefault="00387142" w:rsidP="00387142">
            <w:pPr>
              <w:jc w:val="right"/>
              <w:rPr>
                <w:sz w:val="20"/>
                <w:szCs w:val="20"/>
              </w:rPr>
            </w:pPr>
            <w:r w:rsidRPr="008B6A75">
              <w:rPr>
                <w:sz w:val="20"/>
                <w:szCs w:val="20"/>
              </w:rPr>
              <w:t>0,00</w:t>
            </w:r>
          </w:p>
        </w:tc>
      </w:tr>
      <w:tr w:rsidR="00387142" w:rsidRPr="008B6A75" w14:paraId="6BBF8161" w14:textId="77777777" w:rsidTr="00387142">
        <w:trPr>
          <w:trHeight w:val="345"/>
        </w:trPr>
        <w:tc>
          <w:tcPr>
            <w:tcW w:w="3261" w:type="dxa"/>
            <w:tcBorders>
              <w:top w:val="nil"/>
              <w:left w:val="single" w:sz="4" w:space="0" w:color="auto"/>
              <w:bottom w:val="single" w:sz="4" w:space="0" w:color="auto"/>
              <w:right w:val="nil"/>
            </w:tcBorders>
            <w:shd w:val="clear" w:color="auto" w:fill="auto"/>
            <w:vAlign w:val="center"/>
            <w:hideMark/>
          </w:tcPr>
          <w:p w14:paraId="2744A419" w14:textId="77777777" w:rsidR="00387142" w:rsidRPr="008B6A75" w:rsidRDefault="00387142" w:rsidP="00387142">
            <w:pPr>
              <w:rPr>
                <w:sz w:val="20"/>
                <w:szCs w:val="20"/>
              </w:rPr>
            </w:pPr>
            <w:r w:rsidRPr="008B6A75">
              <w:rPr>
                <w:sz w:val="20"/>
                <w:szCs w:val="20"/>
              </w:rPr>
              <w:t>Иные межбюджетные трансферты</w:t>
            </w:r>
          </w:p>
        </w:tc>
        <w:tc>
          <w:tcPr>
            <w:tcW w:w="720" w:type="dxa"/>
            <w:tcBorders>
              <w:top w:val="nil"/>
              <w:left w:val="single" w:sz="4" w:space="0" w:color="auto"/>
              <w:bottom w:val="single" w:sz="4" w:space="0" w:color="auto"/>
              <w:right w:val="nil"/>
            </w:tcBorders>
            <w:shd w:val="clear" w:color="auto" w:fill="auto"/>
            <w:noWrap/>
            <w:vAlign w:val="center"/>
            <w:hideMark/>
          </w:tcPr>
          <w:p w14:paraId="0F582B5A" w14:textId="77777777" w:rsidR="00387142" w:rsidRPr="008B6A75" w:rsidRDefault="00387142" w:rsidP="00387142">
            <w:pPr>
              <w:jc w:val="center"/>
              <w:rPr>
                <w:sz w:val="20"/>
                <w:szCs w:val="20"/>
              </w:rPr>
            </w:pPr>
            <w:r w:rsidRPr="008B6A75">
              <w:rPr>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483CE1F" w14:textId="77777777" w:rsidR="00387142" w:rsidRPr="008B6A75" w:rsidRDefault="00387142" w:rsidP="00387142">
            <w:pPr>
              <w:jc w:val="center"/>
              <w:rPr>
                <w:sz w:val="20"/>
                <w:szCs w:val="20"/>
              </w:rPr>
            </w:pPr>
            <w:r w:rsidRPr="008B6A75">
              <w:rPr>
                <w:sz w:val="20"/>
                <w:szCs w:val="20"/>
              </w:rPr>
              <w:t>03</w:t>
            </w:r>
          </w:p>
        </w:tc>
        <w:tc>
          <w:tcPr>
            <w:tcW w:w="1516" w:type="dxa"/>
            <w:tcBorders>
              <w:top w:val="nil"/>
              <w:left w:val="single" w:sz="4" w:space="0" w:color="auto"/>
              <w:bottom w:val="single" w:sz="4" w:space="0" w:color="auto"/>
              <w:right w:val="nil"/>
            </w:tcBorders>
            <w:shd w:val="clear" w:color="auto" w:fill="auto"/>
            <w:noWrap/>
            <w:vAlign w:val="center"/>
            <w:hideMark/>
          </w:tcPr>
          <w:p w14:paraId="0F875E78" w14:textId="77777777" w:rsidR="00387142" w:rsidRPr="008B6A75" w:rsidRDefault="00387142" w:rsidP="00387142">
            <w:pPr>
              <w:jc w:val="center"/>
              <w:rPr>
                <w:sz w:val="20"/>
                <w:szCs w:val="20"/>
              </w:rPr>
            </w:pPr>
            <w:r w:rsidRPr="008B6A75">
              <w:rPr>
                <w:sz w:val="20"/>
                <w:szCs w:val="20"/>
              </w:rPr>
              <w:t>14.0.00.79570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73FE7F3" w14:textId="77777777" w:rsidR="00387142" w:rsidRPr="008B6A75" w:rsidRDefault="00387142" w:rsidP="00387142">
            <w:pPr>
              <w:jc w:val="center"/>
              <w:rPr>
                <w:sz w:val="20"/>
                <w:szCs w:val="20"/>
              </w:rPr>
            </w:pPr>
            <w:r w:rsidRPr="008B6A75">
              <w:rPr>
                <w:sz w:val="20"/>
                <w:szCs w:val="20"/>
              </w:rPr>
              <w:t>540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9B2449F" w14:textId="77777777" w:rsidR="00387142" w:rsidRPr="008B6A75" w:rsidRDefault="00387142" w:rsidP="00387142">
            <w:pPr>
              <w:jc w:val="right"/>
              <w:rPr>
                <w:sz w:val="20"/>
                <w:szCs w:val="20"/>
              </w:rPr>
            </w:pPr>
            <w:r w:rsidRPr="008B6A75">
              <w:rPr>
                <w:sz w:val="20"/>
                <w:szCs w:val="20"/>
              </w:rPr>
              <w:t>118 791,00</w:t>
            </w:r>
          </w:p>
        </w:tc>
        <w:tc>
          <w:tcPr>
            <w:tcW w:w="992" w:type="dxa"/>
            <w:tcBorders>
              <w:top w:val="nil"/>
              <w:left w:val="single" w:sz="4" w:space="0" w:color="auto"/>
              <w:bottom w:val="single" w:sz="4" w:space="0" w:color="auto"/>
              <w:right w:val="nil"/>
            </w:tcBorders>
            <w:shd w:val="clear" w:color="auto" w:fill="auto"/>
            <w:vAlign w:val="center"/>
            <w:hideMark/>
          </w:tcPr>
          <w:p w14:paraId="56FF5E74" w14:textId="77777777" w:rsidR="00387142" w:rsidRPr="008B6A75" w:rsidRDefault="00387142" w:rsidP="00387142">
            <w:pPr>
              <w:jc w:val="right"/>
              <w:rPr>
                <w:sz w:val="20"/>
                <w:szCs w:val="20"/>
              </w:rPr>
            </w:pPr>
            <w:r w:rsidRPr="008B6A75">
              <w:rPr>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1DD7680D" w14:textId="77777777" w:rsidR="00387142" w:rsidRPr="008B6A75" w:rsidRDefault="00387142" w:rsidP="00387142">
            <w:pPr>
              <w:jc w:val="right"/>
              <w:rPr>
                <w:sz w:val="20"/>
                <w:szCs w:val="20"/>
              </w:rPr>
            </w:pPr>
            <w:r w:rsidRPr="008B6A75">
              <w:rPr>
                <w:sz w:val="20"/>
                <w:szCs w:val="20"/>
              </w:rPr>
              <w:t>0,00</w:t>
            </w:r>
          </w:p>
        </w:tc>
      </w:tr>
      <w:tr w:rsidR="00387142" w:rsidRPr="008B6A75" w14:paraId="11A8A906" w14:textId="77777777" w:rsidTr="00387142">
        <w:trPr>
          <w:trHeight w:val="870"/>
        </w:trPr>
        <w:tc>
          <w:tcPr>
            <w:tcW w:w="3261" w:type="dxa"/>
            <w:tcBorders>
              <w:top w:val="nil"/>
              <w:left w:val="single" w:sz="4" w:space="0" w:color="auto"/>
              <w:bottom w:val="single" w:sz="4" w:space="0" w:color="auto"/>
              <w:right w:val="nil"/>
            </w:tcBorders>
            <w:shd w:val="clear" w:color="auto" w:fill="auto"/>
            <w:vAlign w:val="center"/>
            <w:hideMark/>
          </w:tcPr>
          <w:p w14:paraId="2CD34B18" w14:textId="77777777" w:rsidR="00387142" w:rsidRPr="008B6A75" w:rsidRDefault="00387142" w:rsidP="00387142">
            <w:pPr>
              <w:rPr>
                <w:bCs/>
                <w:sz w:val="20"/>
                <w:szCs w:val="20"/>
              </w:rPr>
            </w:pPr>
            <w:r w:rsidRPr="008B6A75">
              <w:rPr>
                <w:bCs/>
                <w:sz w:val="20"/>
                <w:szCs w:val="20"/>
              </w:rPr>
              <w:t>Муниципальная программа "Жилищно-коммунальное хозяйство Куйбышевского района"</w:t>
            </w:r>
          </w:p>
        </w:tc>
        <w:tc>
          <w:tcPr>
            <w:tcW w:w="720" w:type="dxa"/>
            <w:tcBorders>
              <w:top w:val="nil"/>
              <w:left w:val="single" w:sz="4" w:space="0" w:color="auto"/>
              <w:bottom w:val="single" w:sz="4" w:space="0" w:color="auto"/>
              <w:right w:val="nil"/>
            </w:tcBorders>
            <w:shd w:val="clear" w:color="auto" w:fill="auto"/>
            <w:noWrap/>
            <w:vAlign w:val="center"/>
            <w:hideMark/>
          </w:tcPr>
          <w:p w14:paraId="40F49E14" w14:textId="77777777" w:rsidR="00387142" w:rsidRPr="008B6A75" w:rsidRDefault="00387142" w:rsidP="00387142">
            <w:pPr>
              <w:jc w:val="center"/>
              <w:rPr>
                <w:bCs/>
                <w:sz w:val="20"/>
                <w:szCs w:val="20"/>
              </w:rPr>
            </w:pPr>
            <w:r w:rsidRPr="008B6A75">
              <w:rPr>
                <w:bCs/>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3612E40" w14:textId="77777777" w:rsidR="00387142" w:rsidRPr="008B6A75" w:rsidRDefault="00387142" w:rsidP="00387142">
            <w:pPr>
              <w:jc w:val="center"/>
              <w:rPr>
                <w:bCs/>
                <w:sz w:val="20"/>
                <w:szCs w:val="20"/>
              </w:rPr>
            </w:pPr>
            <w:r w:rsidRPr="008B6A75">
              <w:rPr>
                <w:bCs/>
                <w:sz w:val="20"/>
                <w:szCs w:val="20"/>
              </w:rPr>
              <w:t>03</w:t>
            </w:r>
          </w:p>
        </w:tc>
        <w:tc>
          <w:tcPr>
            <w:tcW w:w="1516" w:type="dxa"/>
            <w:tcBorders>
              <w:top w:val="nil"/>
              <w:left w:val="single" w:sz="4" w:space="0" w:color="auto"/>
              <w:bottom w:val="single" w:sz="4" w:space="0" w:color="auto"/>
              <w:right w:val="nil"/>
            </w:tcBorders>
            <w:shd w:val="clear" w:color="auto" w:fill="auto"/>
            <w:noWrap/>
            <w:vAlign w:val="center"/>
            <w:hideMark/>
          </w:tcPr>
          <w:p w14:paraId="4237FD94" w14:textId="77777777" w:rsidR="00387142" w:rsidRPr="008B6A75" w:rsidRDefault="00387142" w:rsidP="00387142">
            <w:pPr>
              <w:jc w:val="center"/>
              <w:rPr>
                <w:bCs/>
                <w:sz w:val="20"/>
                <w:szCs w:val="20"/>
              </w:rPr>
            </w:pPr>
            <w:r w:rsidRPr="008B6A75">
              <w:rPr>
                <w:bCs/>
                <w:sz w:val="20"/>
                <w:szCs w:val="20"/>
              </w:rPr>
              <w:t>17.0.00.00000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907F6AC"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18F1181" w14:textId="77777777" w:rsidR="00387142" w:rsidRPr="008B6A75" w:rsidRDefault="00387142" w:rsidP="00387142">
            <w:pPr>
              <w:jc w:val="right"/>
              <w:rPr>
                <w:bCs/>
                <w:sz w:val="20"/>
                <w:szCs w:val="20"/>
              </w:rPr>
            </w:pPr>
            <w:r w:rsidRPr="008B6A75">
              <w:rPr>
                <w:bCs/>
                <w:sz w:val="20"/>
                <w:szCs w:val="20"/>
              </w:rPr>
              <w:t>33 432 073,54</w:t>
            </w:r>
          </w:p>
        </w:tc>
        <w:tc>
          <w:tcPr>
            <w:tcW w:w="992" w:type="dxa"/>
            <w:tcBorders>
              <w:top w:val="nil"/>
              <w:left w:val="single" w:sz="4" w:space="0" w:color="auto"/>
              <w:bottom w:val="single" w:sz="4" w:space="0" w:color="auto"/>
              <w:right w:val="nil"/>
            </w:tcBorders>
            <w:shd w:val="clear" w:color="auto" w:fill="auto"/>
            <w:vAlign w:val="center"/>
            <w:hideMark/>
          </w:tcPr>
          <w:p w14:paraId="289F66CB" w14:textId="77777777" w:rsidR="00387142" w:rsidRPr="008B6A75" w:rsidRDefault="00387142" w:rsidP="00387142">
            <w:pPr>
              <w:jc w:val="right"/>
              <w:rPr>
                <w:bCs/>
                <w:sz w:val="20"/>
                <w:szCs w:val="20"/>
              </w:rPr>
            </w:pPr>
            <w:r w:rsidRPr="008B6A75">
              <w:rPr>
                <w:bCs/>
                <w:sz w:val="20"/>
                <w:szCs w:val="20"/>
              </w:rPr>
              <w:t>16 928 200,00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063746ED" w14:textId="77777777" w:rsidR="00387142" w:rsidRPr="008B6A75" w:rsidRDefault="00387142" w:rsidP="00387142">
            <w:pPr>
              <w:jc w:val="right"/>
              <w:rPr>
                <w:bCs/>
                <w:sz w:val="20"/>
                <w:szCs w:val="20"/>
              </w:rPr>
            </w:pPr>
            <w:r w:rsidRPr="008B6A75">
              <w:rPr>
                <w:bCs/>
                <w:sz w:val="20"/>
                <w:szCs w:val="20"/>
              </w:rPr>
              <w:t>19 361 900,00</w:t>
            </w:r>
          </w:p>
        </w:tc>
      </w:tr>
      <w:tr w:rsidR="00387142" w:rsidRPr="008B6A75" w14:paraId="66E92306" w14:textId="77777777" w:rsidTr="00387142">
        <w:trPr>
          <w:trHeight w:val="585"/>
        </w:trPr>
        <w:tc>
          <w:tcPr>
            <w:tcW w:w="3261" w:type="dxa"/>
            <w:tcBorders>
              <w:top w:val="nil"/>
              <w:left w:val="single" w:sz="4" w:space="0" w:color="auto"/>
              <w:bottom w:val="single" w:sz="4" w:space="0" w:color="auto"/>
              <w:right w:val="nil"/>
            </w:tcBorders>
            <w:shd w:val="clear" w:color="auto" w:fill="auto"/>
            <w:vAlign w:val="center"/>
            <w:hideMark/>
          </w:tcPr>
          <w:p w14:paraId="0E690421" w14:textId="77777777" w:rsidR="00387142" w:rsidRPr="008B6A75" w:rsidRDefault="00387142" w:rsidP="00387142">
            <w:pPr>
              <w:rPr>
                <w:bCs/>
                <w:sz w:val="20"/>
                <w:szCs w:val="20"/>
              </w:rPr>
            </w:pPr>
            <w:r w:rsidRPr="008B6A75">
              <w:rPr>
                <w:bCs/>
                <w:sz w:val="20"/>
                <w:szCs w:val="20"/>
              </w:rPr>
              <w:t>Подпрограмма "Благоустройство территории населённых пунктов Куйбышевского района"</w:t>
            </w:r>
          </w:p>
        </w:tc>
        <w:tc>
          <w:tcPr>
            <w:tcW w:w="720" w:type="dxa"/>
            <w:tcBorders>
              <w:top w:val="nil"/>
              <w:left w:val="single" w:sz="4" w:space="0" w:color="auto"/>
              <w:bottom w:val="single" w:sz="4" w:space="0" w:color="auto"/>
              <w:right w:val="nil"/>
            </w:tcBorders>
            <w:shd w:val="clear" w:color="auto" w:fill="auto"/>
            <w:noWrap/>
            <w:vAlign w:val="center"/>
            <w:hideMark/>
          </w:tcPr>
          <w:p w14:paraId="6DD01B43" w14:textId="77777777" w:rsidR="00387142" w:rsidRPr="008B6A75" w:rsidRDefault="00387142" w:rsidP="00387142">
            <w:pPr>
              <w:jc w:val="center"/>
              <w:rPr>
                <w:bCs/>
                <w:sz w:val="20"/>
                <w:szCs w:val="20"/>
              </w:rPr>
            </w:pPr>
            <w:r w:rsidRPr="008B6A75">
              <w:rPr>
                <w:bCs/>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3B2B8CC" w14:textId="77777777" w:rsidR="00387142" w:rsidRPr="008B6A75" w:rsidRDefault="00387142" w:rsidP="00387142">
            <w:pPr>
              <w:jc w:val="center"/>
              <w:rPr>
                <w:bCs/>
                <w:sz w:val="20"/>
                <w:szCs w:val="20"/>
              </w:rPr>
            </w:pPr>
            <w:r w:rsidRPr="008B6A75">
              <w:rPr>
                <w:bCs/>
                <w:sz w:val="20"/>
                <w:szCs w:val="20"/>
              </w:rPr>
              <w:t>03</w:t>
            </w:r>
          </w:p>
        </w:tc>
        <w:tc>
          <w:tcPr>
            <w:tcW w:w="1516" w:type="dxa"/>
            <w:tcBorders>
              <w:top w:val="nil"/>
              <w:left w:val="single" w:sz="4" w:space="0" w:color="auto"/>
              <w:bottom w:val="single" w:sz="4" w:space="0" w:color="auto"/>
              <w:right w:val="nil"/>
            </w:tcBorders>
            <w:shd w:val="clear" w:color="auto" w:fill="auto"/>
            <w:noWrap/>
            <w:vAlign w:val="center"/>
            <w:hideMark/>
          </w:tcPr>
          <w:p w14:paraId="5A6853D5" w14:textId="77777777" w:rsidR="00387142" w:rsidRPr="008B6A75" w:rsidRDefault="00387142" w:rsidP="00387142">
            <w:pPr>
              <w:jc w:val="center"/>
              <w:rPr>
                <w:bCs/>
                <w:sz w:val="20"/>
                <w:szCs w:val="20"/>
              </w:rPr>
            </w:pPr>
            <w:r w:rsidRPr="008B6A75">
              <w:rPr>
                <w:bCs/>
                <w:sz w:val="20"/>
                <w:szCs w:val="20"/>
              </w:rPr>
              <w:t>17.2.00.00000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F64F788"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F78FE7E" w14:textId="77777777" w:rsidR="00387142" w:rsidRPr="008B6A75" w:rsidRDefault="00387142" w:rsidP="00387142">
            <w:pPr>
              <w:jc w:val="right"/>
              <w:rPr>
                <w:bCs/>
                <w:sz w:val="20"/>
                <w:szCs w:val="20"/>
              </w:rPr>
            </w:pPr>
            <w:r w:rsidRPr="008B6A75">
              <w:rPr>
                <w:bCs/>
                <w:sz w:val="20"/>
                <w:szCs w:val="20"/>
              </w:rPr>
              <w:t>33 432 073,54</w:t>
            </w:r>
          </w:p>
        </w:tc>
        <w:tc>
          <w:tcPr>
            <w:tcW w:w="992" w:type="dxa"/>
            <w:tcBorders>
              <w:top w:val="nil"/>
              <w:left w:val="single" w:sz="4" w:space="0" w:color="auto"/>
              <w:bottom w:val="single" w:sz="4" w:space="0" w:color="auto"/>
              <w:right w:val="nil"/>
            </w:tcBorders>
            <w:shd w:val="clear" w:color="auto" w:fill="auto"/>
            <w:vAlign w:val="center"/>
            <w:hideMark/>
          </w:tcPr>
          <w:p w14:paraId="2FC7D269" w14:textId="77777777" w:rsidR="00387142" w:rsidRPr="008B6A75" w:rsidRDefault="00387142" w:rsidP="00387142">
            <w:pPr>
              <w:jc w:val="right"/>
              <w:rPr>
                <w:bCs/>
                <w:sz w:val="20"/>
                <w:szCs w:val="20"/>
              </w:rPr>
            </w:pPr>
            <w:r w:rsidRPr="008B6A75">
              <w:rPr>
                <w:bCs/>
                <w:sz w:val="20"/>
                <w:szCs w:val="20"/>
              </w:rPr>
              <w:t>16 928 200,00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1FDFC72F" w14:textId="77777777" w:rsidR="00387142" w:rsidRPr="008B6A75" w:rsidRDefault="00387142" w:rsidP="00387142">
            <w:pPr>
              <w:jc w:val="right"/>
              <w:rPr>
                <w:bCs/>
                <w:sz w:val="20"/>
                <w:szCs w:val="20"/>
              </w:rPr>
            </w:pPr>
            <w:r w:rsidRPr="008B6A75">
              <w:rPr>
                <w:bCs/>
                <w:sz w:val="20"/>
                <w:szCs w:val="20"/>
              </w:rPr>
              <w:t>19 361 900,00</w:t>
            </w:r>
          </w:p>
        </w:tc>
      </w:tr>
      <w:tr w:rsidR="00387142" w:rsidRPr="008B6A75" w14:paraId="634E4829" w14:textId="77777777" w:rsidTr="00387142">
        <w:trPr>
          <w:trHeight w:val="870"/>
        </w:trPr>
        <w:tc>
          <w:tcPr>
            <w:tcW w:w="3261" w:type="dxa"/>
            <w:tcBorders>
              <w:top w:val="nil"/>
              <w:left w:val="single" w:sz="4" w:space="0" w:color="auto"/>
              <w:bottom w:val="single" w:sz="4" w:space="0" w:color="auto"/>
              <w:right w:val="nil"/>
            </w:tcBorders>
            <w:shd w:val="clear" w:color="auto" w:fill="auto"/>
            <w:vAlign w:val="center"/>
            <w:hideMark/>
          </w:tcPr>
          <w:p w14:paraId="18F18BED" w14:textId="77777777" w:rsidR="00387142" w:rsidRPr="008B6A75" w:rsidRDefault="00387142" w:rsidP="00387142">
            <w:pPr>
              <w:rPr>
                <w:bCs/>
                <w:sz w:val="20"/>
                <w:szCs w:val="20"/>
              </w:rPr>
            </w:pPr>
            <w:r w:rsidRPr="008B6A75">
              <w:rPr>
                <w:bCs/>
                <w:sz w:val="20"/>
                <w:szCs w:val="20"/>
              </w:rPr>
              <w:t>Реализация мероприятий подпрограммы "Благоустройство территории населённых пунктов Куйбышевского района"</w:t>
            </w:r>
          </w:p>
        </w:tc>
        <w:tc>
          <w:tcPr>
            <w:tcW w:w="720" w:type="dxa"/>
            <w:tcBorders>
              <w:top w:val="nil"/>
              <w:left w:val="single" w:sz="4" w:space="0" w:color="auto"/>
              <w:bottom w:val="single" w:sz="4" w:space="0" w:color="auto"/>
              <w:right w:val="nil"/>
            </w:tcBorders>
            <w:shd w:val="clear" w:color="auto" w:fill="auto"/>
            <w:noWrap/>
            <w:vAlign w:val="center"/>
            <w:hideMark/>
          </w:tcPr>
          <w:p w14:paraId="0591C869" w14:textId="77777777" w:rsidR="00387142" w:rsidRPr="008B6A75" w:rsidRDefault="00387142" w:rsidP="00387142">
            <w:pPr>
              <w:jc w:val="center"/>
              <w:rPr>
                <w:bCs/>
                <w:sz w:val="20"/>
                <w:szCs w:val="20"/>
              </w:rPr>
            </w:pPr>
            <w:r w:rsidRPr="008B6A75">
              <w:rPr>
                <w:bCs/>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4C2184B" w14:textId="77777777" w:rsidR="00387142" w:rsidRPr="008B6A75" w:rsidRDefault="00387142" w:rsidP="00387142">
            <w:pPr>
              <w:jc w:val="center"/>
              <w:rPr>
                <w:bCs/>
                <w:sz w:val="20"/>
                <w:szCs w:val="20"/>
              </w:rPr>
            </w:pPr>
            <w:r w:rsidRPr="008B6A75">
              <w:rPr>
                <w:bCs/>
                <w:sz w:val="20"/>
                <w:szCs w:val="20"/>
              </w:rPr>
              <w:t>03</w:t>
            </w:r>
          </w:p>
        </w:tc>
        <w:tc>
          <w:tcPr>
            <w:tcW w:w="1516" w:type="dxa"/>
            <w:tcBorders>
              <w:top w:val="nil"/>
              <w:left w:val="single" w:sz="4" w:space="0" w:color="auto"/>
              <w:bottom w:val="single" w:sz="4" w:space="0" w:color="auto"/>
              <w:right w:val="nil"/>
            </w:tcBorders>
            <w:shd w:val="clear" w:color="auto" w:fill="auto"/>
            <w:noWrap/>
            <w:vAlign w:val="center"/>
            <w:hideMark/>
          </w:tcPr>
          <w:p w14:paraId="652ADF45" w14:textId="77777777" w:rsidR="00387142" w:rsidRPr="008B6A75" w:rsidRDefault="00387142" w:rsidP="00387142">
            <w:pPr>
              <w:jc w:val="center"/>
              <w:rPr>
                <w:bCs/>
                <w:sz w:val="20"/>
                <w:szCs w:val="20"/>
              </w:rPr>
            </w:pPr>
            <w:r w:rsidRPr="008B6A75">
              <w:rPr>
                <w:bCs/>
                <w:sz w:val="20"/>
                <w:szCs w:val="20"/>
              </w:rPr>
              <w:t>17.2.00.05952</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8C434BB"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A27BB87" w14:textId="77777777" w:rsidR="00387142" w:rsidRPr="008B6A75" w:rsidRDefault="00387142" w:rsidP="00387142">
            <w:pPr>
              <w:jc w:val="right"/>
              <w:rPr>
                <w:bCs/>
                <w:sz w:val="20"/>
                <w:szCs w:val="20"/>
              </w:rPr>
            </w:pPr>
            <w:r w:rsidRPr="008B6A75">
              <w:rPr>
                <w:bCs/>
                <w:sz w:val="20"/>
                <w:szCs w:val="20"/>
              </w:rPr>
              <w:t>988 900,00</w:t>
            </w:r>
          </w:p>
        </w:tc>
        <w:tc>
          <w:tcPr>
            <w:tcW w:w="992" w:type="dxa"/>
            <w:tcBorders>
              <w:top w:val="nil"/>
              <w:left w:val="single" w:sz="4" w:space="0" w:color="auto"/>
              <w:bottom w:val="single" w:sz="4" w:space="0" w:color="auto"/>
              <w:right w:val="nil"/>
            </w:tcBorders>
            <w:shd w:val="clear" w:color="auto" w:fill="auto"/>
            <w:vAlign w:val="center"/>
            <w:hideMark/>
          </w:tcPr>
          <w:p w14:paraId="415222D4" w14:textId="77777777" w:rsidR="00387142" w:rsidRPr="008B6A75" w:rsidRDefault="00387142" w:rsidP="00387142">
            <w:pPr>
              <w:jc w:val="right"/>
              <w:rPr>
                <w:bCs/>
                <w:sz w:val="20"/>
                <w:szCs w:val="20"/>
              </w:rPr>
            </w:pPr>
            <w:r w:rsidRPr="008B6A75">
              <w:rPr>
                <w:bCs/>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070EF15E" w14:textId="77777777" w:rsidR="00387142" w:rsidRPr="008B6A75" w:rsidRDefault="00387142" w:rsidP="00387142">
            <w:pPr>
              <w:jc w:val="right"/>
              <w:rPr>
                <w:bCs/>
                <w:sz w:val="20"/>
                <w:szCs w:val="20"/>
              </w:rPr>
            </w:pPr>
            <w:r w:rsidRPr="008B6A75">
              <w:rPr>
                <w:bCs/>
                <w:sz w:val="20"/>
                <w:szCs w:val="20"/>
              </w:rPr>
              <w:t>0,00</w:t>
            </w:r>
          </w:p>
        </w:tc>
      </w:tr>
      <w:tr w:rsidR="00387142" w:rsidRPr="008B6A75" w14:paraId="76F8790B" w14:textId="77777777" w:rsidTr="00387142">
        <w:trPr>
          <w:trHeight w:val="345"/>
        </w:trPr>
        <w:tc>
          <w:tcPr>
            <w:tcW w:w="3261" w:type="dxa"/>
            <w:tcBorders>
              <w:top w:val="nil"/>
              <w:left w:val="single" w:sz="4" w:space="0" w:color="auto"/>
              <w:bottom w:val="single" w:sz="4" w:space="0" w:color="auto"/>
              <w:right w:val="nil"/>
            </w:tcBorders>
            <w:shd w:val="clear" w:color="auto" w:fill="auto"/>
            <w:vAlign w:val="center"/>
            <w:hideMark/>
          </w:tcPr>
          <w:p w14:paraId="4D3342C2" w14:textId="77777777" w:rsidR="00387142" w:rsidRPr="008B6A75" w:rsidRDefault="00387142" w:rsidP="00387142">
            <w:pPr>
              <w:rPr>
                <w:sz w:val="20"/>
                <w:szCs w:val="20"/>
              </w:rPr>
            </w:pPr>
            <w:r w:rsidRPr="008B6A75">
              <w:rPr>
                <w:sz w:val="20"/>
                <w:szCs w:val="20"/>
              </w:rPr>
              <w:t>Межбюджетные трансферты</w:t>
            </w:r>
          </w:p>
        </w:tc>
        <w:tc>
          <w:tcPr>
            <w:tcW w:w="720" w:type="dxa"/>
            <w:tcBorders>
              <w:top w:val="nil"/>
              <w:left w:val="single" w:sz="4" w:space="0" w:color="auto"/>
              <w:bottom w:val="single" w:sz="4" w:space="0" w:color="auto"/>
              <w:right w:val="nil"/>
            </w:tcBorders>
            <w:shd w:val="clear" w:color="auto" w:fill="auto"/>
            <w:noWrap/>
            <w:vAlign w:val="center"/>
            <w:hideMark/>
          </w:tcPr>
          <w:p w14:paraId="4294DB9A" w14:textId="77777777" w:rsidR="00387142" w:rsidRPr="008B6A75" w:rsidRDefault="00387142" w:rsidP="00387142">
            <w:pPr>
              <w:jc w:val="center"/>
              <w:rPr>
                <w:sz w:val="20"/>
                <w:szCs w:val="20"/>
              </w:rPr>
            </w:pPr>
            <w:r w:rsidRPr="008B6A75">
              <w:rPr>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3B97597" w14:textId="77777777" w:rsidR="00387142" w:rsidRPr="008B6A75" w:rsidRDefault="00387142" w:rsidP="00387142">
            <w:pPr>
              <w:jc w:val="center"/>
              <w:rPr>
                <w:sz w:val="20"/>
                <w:szCs w:val="20"/>
              </w:rPr>
            </w:pPr>
            <w:r w:rsidRPr="008B6A75">
              <w:rPr>
                <w:sz w:val="20"/>
                <w:szCs w:val="20"/>
              </w:rPr>
              <w:t>03</w:t>
            </w:r>
          </w:p>
        </w:tc>
        <w:tc>
          <w:tcPr>
            <w:tcW w:w="1516" w:type="dxa"/>
            <w:tcBorders>
              <w:top w:val="nil"/>
              <w:left w:val="single" w:sz="4" w:space="0" w:color="auto"/>
              <w:bottom w:val="single" w:sz="4" w:space="0" w:color="auto"/>
              <w:right w:val="nil"/>
            </w:tcBorders>
            <w:shd w:val="clear" w:color="auto" w:fill="auto"/>
            <w:noWrap/>
            <w:vAlign w:val="center"/>
            <w:hideMark/>
          </w:tcPr>
          <w:p w14:paraId="5CE1091B" w14:textId="77777777" w:rsidR="00387142" w:rsidRPr="008B6A75" w:rsidRDefault="00387142" w:rsidP="00387142">
            <w:pPr>
              <w:jc w:val="center"/>
              <w:rPr>
                <w:sz w:val="20"/>
                <w:szCs w:val="20"/>
              </w:rPr>
            </w:pPr>
            <w:r w:rsidRPr="008B6A75">
              <w:rPr>
                <w:sz w:val="20"/>
                <w:szCs w:val="20"/>
              </w:rPr>
              <w:t>17.2.00.05952</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0273630" w14:textId="77777777" w:rsidR="00387142" w:rsidRPr="008B6A75" w:rsidRDefault="00387142" w:rsidP="00387142">
            <w:pPr>
              <w:jc w:val="center"/>
              <w:rPr>
                <w:sz w:val="20"/>
                <w:szCs w:val="20"/>
              </w:rPr>
            </w:pPr>
            <w:r w:rsidRPr="008B6A75">
              <w:rPr>
                <w:sz w:val="20"/>
                <w:szCs w:val="20"/>
              </w:rPr>
              <w:t>500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B56A010" w14:textId="77777777" w:rsidR="00387142" w:rsidRPr="008B6A75" w:rsidRDefault="00387142" w:rsidP="00387142">
            <w:pPr>
              <w:jc w:val="right"/>
              <w:rPr>
                <w:sz w:val="20"/>
                <w:szCs w:val="20"/>
              </w:rPr>
            </w:pPr>
            <w:r w:rsidRPr="008B6A75">
              <w:rPr>
                <w:sz w:val="20"/>
                <w:szCs w:val="20"/>
              </w:rPr>
              <w:t>988 900,00</w:t>
            </w:r>
          </w:p>
        </w:tc>
        <w:tc>
          <w:tcPr>
            <w:tcW w:w="992" w:type="dxa"/>
            <w:tcBorders>
              <w:top w:val="nil"/>
              <w:left w:val="single" w:sz="4" w:space="0" w:color="auto"/>
              <w:bottom w:val="single" w:sz="4" w:space="0" w:color="auto"/>
              <w:right w:val="nil"/>
            </w:tcBorders>
            <w:shd w:val="clear" w:color="auto" w:fill="auto"/>
            <w:vAlign w:val="center"/>
            <w:hideMark/>
          </w:tcPr>
          <w:p w14:paraId="05474A60" w14:textId="77777777" w:rsidR="00387142" w:rsidRPr="008B6A75" w:rsidRDefault="00387142" w:rsidP="00387142">
            <w:pPr>
              <w:jc w:val="right"/>
              <w:rPr>
                <w:sz w:val="20"/>
                <w:szCs w:val="20"/>
              </w:rPr>
            </w:pPr>
            <w:r w:rsidRPr="008B6A75">
              <w:rPr>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1AFD0012" w14:textId="77777777" w:rsidR="00387142" w:rsidRPr="008B6A75" w:rsidRDefault="00387142" w:rsidP="00387142">
            <w:pPr>
              <w:jc w:val="right"/>
              <w:rPr>
                <w:sz w:val="20"/>
                <w:szCs w:val="20"/>
              </w:rPr>
            </w:pPr>
            <w:r w:rsidRPr="008B6A75">
              <w:rPr>
                <w:sz w:val="20"/>
                <w:szCs w:val="20"/>
              </w:rPr>
              <w:t>0,00</w:t>
            </w:r>
          </w:p>
        </w:tc>
      </w:tr>
      <w:tr w:rsidR="00387142" w:rsidRPr="008B6A75" w14:paraId="1F412520" w14:textId="77777777" w:rsidTr="00387142">
        <w:trPr>
          <w:trHeight w:val="345"/>
        </w:trPr>
        <w:tc>
          <w:tcPr>
            <w:tcW w:w="3261" w:type="dxa"/>
            <w:tcBorders>
              <w:top w:val="nil"/>
              <w:left w:val="single" w:sz="4" w:space="0" w:color="auto"/>
              <w:bottom w:val="single" w:sz="4" w:space="0" w:color="auto"/>
              <w:right w:val="nil"/>
            </w:tcBorders>
            <w:shd w:val="clear" w:color="auto" w:fill="auto"/>
            <w:vAlign w:val="center"/>
            <w:hideMark/>
          </w:tcPr>
          <w:p w14:paraId="35489847" w14:textId="77777777" w:rsidR="00387142" w:rsidRPr="008B6A75" w:rsidRDefault="00387142" w:rsidP="00387142">
            <w:pPr>
              <w:rPr>
                <w:sz w:val="20"/>
                <w:szCs w:val="20"/>
              </w:rPr>
            </w:pPr>
            <w:r w:rsidRPr="008B6A75">
              <w:rPr>
                <w:sz w:val="20"/>
                <w:szCs w:val="20"/>
              </w:rPr>
              <w:t>Иные межбюджетные трансферты</w:t>
            </w:r>
          </w:p>
        </w:tc>
        <w:tc>
          <w:tcPr>
            <w:tcW w:w="720" w:type="dxa"/>
            <w:tcBorders>
              <w:top w:val="nil"/>
              <w:left w:val="single" w:sz="4" w:space="0" w:color="auto"/>
              <w:bottom w:val="single" w:sz="4" w:space="0" w:color="auto"/>
              <w:right w:val="nil"/>
            </w:tcBorders>
            <w:shd w:val="clear" w:color="auto" w:fill="auto"/>
            <w:noWrap/>
            <w:vAlign w:val="center"/>
            <w:hideMark/>
          </w:tcPr>
          <w:p w14:paraId="3D06AA3E" w14:textId="77777777" w:rsidR="00387142" w:rsidRPr="008B6A75" w:rsidRDefault="00387142" w:rsidP="00387142">
            <w:pPr>
              <w:jc w:val="center"/>
              <w:rPr>
                <w:sz w:val="20"/>
                <w:szCs w:val="20"/>
              </w:rPr>
            </w:pPr>
            <w:r w:rsidRPr="008B6A75">
              <w:rPr>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3BDED2E" w14:textId="77777777" w:rsidR="00387142" w:rsidRPr="008B6A75" w:rsidRDefault="00387142" w:rsidP="00387142">
            <w:pPr>
              <w:jc w:val="center"/>
              <w:rPr>
                <w:sz w:val="20"/>
                <w:szCs w:val="20"/>
              </w:rPr>
            </w:pPr>
            <w:r w:rsidRPr="008B6A75">
              <w:rPr>
                <w:sz w:val="20"/>
                <w:szCs w:val="20"/>
              </w:rPr>
              <w:t>03</w:t>
            </w:r>
          </w:p>
        </w:tc>
        <w:tc>
          <w:tcPr>
            <w:tcW w:w="1516" w:type="dxa"/>
            <w:tcBorders>
              <w:top w:val="nil"/>
              <w:left w:val="single" w:sz="4" w:space="0" w:color="auto"/>
              <w:bottom w:val="single" w:sz="4" w:space="0" w:color="auto"/>
              <w:right w:val="nil"/>
            </w:tcBorders>
            <w:shd w:val="clear" w:color="auto" w:fill="auto"/>
            <w:noWrap/>
            <w:vAlign w:val="center"/>
            <w:hideMark/>
          </w:tcPr>
          <w:p w14:paraId="6840E3B0" w14:textId="77777777" w:rsidR="00387142" w:rsidRPr="008B6A75" w:rsidRDefault="00387142" w:rsidP="00387142">
            <w:pPr>
              <w:jc w:val="center"/>
              <w:rPr>
                <w:sz w:val="20"/>
                <w:szCs w:val="20"/>
              </w:rPr>
            </w:pPr>
            <w:r w:rsidRPr="008B6A75">
              <w:rPr>
                <w:sz w:val="20"/>
                <w:szCs w:val="20"/>
              </w:rPr>
              <w:t>17.2.00.05952</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C6BB8F2" w14:textId="77777777" w:rsidR="00387142" w:rsidRPr="008B6A75" w:rsidRDefault="00387142" w:rsidP="00387142">
            <w:pPr>
              <w:jc w:val="center"/>
              <w:rPr>
                <w:sz w:val="20"/>
                <w:szCs w:val="20"/>
              </w:rPr>
            </w:pPr>
            <w:r w:rsidRPr="008B6A75">
              <w:rPr>
                <w:sz w:val="20"/>
                <w:szCs w:val="20"/>
              </w:rPr>
              <w:t>540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BA2E5DE" w14:textId="77777777" w:rsidR="00387142" w:rsidRPr="008B6A75" w:rsidRDefault="00387142" w:rsidP="00387142">
            <w:pPr>
              <w:jc w:val="right"/>
              <w:rPr>
                <w:sz w:val="20"/>
                <w:szCs w:val="20"/>
              </w:rPr>
            </w:pPr>
            <w:r w:rsidRPr="008B6A75">
              <w:rPr>
                <w:sz w:val="20"/>
                <w:szCs w:val="20"/>
              </w:rPr>
              <w:t>988 900,00</w:t>
            </w:r>
          </w:p>
        </w:tc>
        <w:tc>
          <w:tcPr>
            <w:tcW w:w="992" w:type="dxa"/>
            <w:tcBorders>
              <w:top w:val="nil"/>
              <w:left w:val="single" w:sz="4" w:space="0" w:color="auto"/>
              <w:bottom w:val="single" w:sz="4" w:space="0" w:color="auto"/>
              <w:right w:val="nil"/>
            </w:tcBorders>
            <w:shd w:val="clear" w:color="auto" w:fill="auto"/>
            <w:vAlign w:val="center"/>
            <w:hideMark/>
          </w:tcPr>
          <w:p w14:paraId="63595A33" w14:textId="77777777" w:rsidR="00387142" w:rsidRPr="008B6A75" w:rsidRDefault="00387142" w:rsidP="00387142">
            <w:pPr>
              <w:jc w:val="right"/>
              <w:rPr>
                <w:sz w:val="20"/>
                <w:szCs w:val="20"/>
              </w:rPr>
            </w:pPr>
            <w:r w:rsidRPr="008B6A75">
              <w:rPr>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75E64DBC" w14:textId="77777777" w:rsidR="00387142" w:rsidRPr="008B6A75" w:rsidRDefault="00387142" w:rsidP="00387142">
            <w:pPr>
              <w:jc w:val="right"/>
              <w:rPr>
                <w:sz w:val="20"/>
                <w:szCs w:val="20"/>
              </w:rPr>
            </w:pPr>
            <w:r w:rsidRPr="008B6A75">
              <w:rPr>
                <w:sz w:val="20"/>
                <w:szCs w:val="20"/>
              </w:rPr>
              <w:t>0,00</w:t>
            </w:r>
          </w:p>
        </w:tc>
      </w:tr>
      <w:tr w:rsidR="00387142" w:rsidRPr="008B6A75" w14:paraId="59207165" w14:textId="77777777" w:rsidTr="00387142">
        <w:trPr>
          <w:trHeight w:val="585"/>
        </w:trPr>
        <w:tc>
          <w:tcPr>
            <w:tcW w:w="3261" w:type="dxa"/>
            <w:tcBorders>
              <w:top w:val="nil"/>
              <w:left w:val="single" w:sz="4" w:space="0" w:color="auto"/>
              <w:bottom w:val="single" w:sz="4" w:space="0" w:color="auto"/>
              <w:right w:val="nil"/>
            </w:tcBorders>
            <w:shd w:val="clear" w:color="auto" w:fill="auto"/>
            <w:vAlign w:val="center"/>
            <w:hideMark/>
          </w:tcPr>
          <w:p w14:paraId="213A11F8" w14:textId="77777777" w:rsidR="00387142" w:rsidRPr="008B6A75" w:rsidRDefault="00387142" w:rsidP="00387142">
            <w:pPr>
              <w:rPr>
                <w:bCs/>
                <w:sz w:val="20"/>
                <w:szCs w:val="20"/>
              </w:rPr>
            </w:pPr>
            <w:r w:rsidRPr="008B6A75">
              <w:rPr>
                <w:bCs/>
                <w:sz w:val="20"/>
                <w:szCs w:val="20"/>
              </w:rPr>
              <w:t>Региональный проект "Формирование комфортной городской среды"</w:t>
            </w:r>
          </w:p>
        </w:tc>
        <w:tc>
          <w:tcPr>
            <w:tcW w:w="720" w:type="dxa"/>
            <w:tcBorders>
              <w:top w:val="nil"/>
              <w:left w:val="single" w:sz="4" w:space="0" w:color="auto"/>
              <w:bottom w:val="single" w:sz="4" w:space="0" w:color="auto"/>
              <w:right w:val="nil"/>
            </w:tcBorders>
            <w:shd w:val="clear" w:color="auto" w:fill="auto"/>
            <w:noWrap/>
            <w:vAlign w:val="center"/>
            <w:hideMark/>
          </w:tcPr>
          <w:p w14:paraId="4BD02CA9" w14:textId="77777777" w:rsidR="00387142" w:rsidRPr="008B6A75" w:rsidRDefault="00387142" w:rsidP="00387142">
            <w:pPr>
              <w:jc w:val="center"/>
              <w:rPr>
                <w:bCs/>
                <w:sz w:val="20"/>
                <w:szCs w:val="20"/>
              </w:rPr>
            </w:pPr>
            <w:r w:rsidRPr="008B6A75">
              <w:rPr>
                <w:bCs/>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C4E39DF" w14:textId="77777777" w:rsidR="00387142" w:rsidRPr="008B6A75" w:rsidRDefault="00387142" w:rsidP="00387142">
            <w:pPr>
              <w:jc w:val="center"/>
              <w:rPr>
                <w:bCs/>
                <w:sz w:val="20"/>
                <w:szCs w:val="20"/>
              </w:rPr>
            </w:pPr>
            <w:r w:rsidRPr="008B6A75">
              <w:rPr>
                <w:bCs/>
                <w:sz w:val="20"/>
                <w:szCs w:val="20"/>
              </w:rPr>
              <w:t>03</w:t>
            </w:r>
          </w:p>
        </w:tc>
        <w:tc>
          <w:tcPr>
            <w:tcW w:w="1516" w:type="dxa"/>
            <w:tcBorders>
              <w:top w:val="nil"/>
              <w:left w:val="single" w:sz="4" w:space="0" w:color="auto"/>
              <w:bottom w:val="single" w:sz="4" w:space="0" w:color="auto"/>
              <w:right w:val="nil"/>
            </w:tcBorders>
            <w:shd w:val="clear" w:color="auto" w:fill="auto"/>
            <w:noWrap/>
            <w:vAlign w:val="center"/>
            <w:hideMark/>
          </w:tcPr>
          <w:p w14:paraId="300ED7C2" w14:textId="77777777" w:rsidR="00387142" w:rsidRPr="008B6A75" w:rsidRDefault="00387142" w:rsidP="00387142">
            <w:pPr>
              <w:jc w:val="center"/>
              <w:rPr>
                <w:bCs/>
                <w:sz w:val="20"/>
                <w:szCs w:val="20"/>
              </w:rPr>
            </w:pPr>
            <w:r w:rsidRPr="008B6A75">
              <w:rPr>
                <w:bCs/>
                <w:sz w:val="20"/>
                <w:szCs w:val="20"/>
              </w:rPr>
              <w:t>17.2.F2.00000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4780CB6"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C8C76C9" w14:textId="77777777" w:rsidR="00387142" w:rsidRPr="008B6A75" w:rsidRDefault="00387142" w:rsidP="00387142">
            <w:pPr>
              <w:jc w:val="right"/>
              <w:rPr>
                <w:bCs/>
                <w:sz w:val="20"/>
                <w:szCs w:val="20"/>
              </w:rPr>
            </w:pPr>
            <w:r w:rsidRPr="008B6A75">
              <w:rPr>
                <w:bCs/>
                <w:sz w:val="20"/>
                <w:szCs w:val="20"/>
              </w:rPr>
              <w:t>32 443 173,54</w:t>
            </w:r>
          </w:p>
        </w:tc>
        <w:tc>
          <w:tcPr>
            <w:tcW w:w="992" w:type="dxa"/>
            <w:tcBorders>
              <w:top w:val="nil"/>
              <w:left w:val="single" w:sz="4" w:space="0" w:color="auto"/>
              <w:bottom w:val="single" w:sz="4" w:space="0" w:color="auto"/>
              <w:right w:val="nil"/>
            </w:tcBorders>
            <w:shd w:val="clear" w:color="auto" w:fill="auto"/>
            <w:vAlign w:val="center"/>
            <w:hideMark/>
          </w:tcPr>
          <w:p w14:paraId="43B5E099" w14:textId="77777777" w:rsidR="00387142" w:rsidRPr="008B6A75" w:rsidRDefault="00387142" w:rsidP="00387142">
            <w:pPr>
              <w:jc w:val="right"/>
              <w:rPr>
                <w:bCs/>
                <w:sz w:val="20"/>
                <w:szCs w:val="20"/>
              </w:rPr>
            </w:pPr>
            <w:r w:rsidRPr="008B6A75">
              <w:rPr>
                <w:bCs/>
                <w:sz w:val="20"/>
                <w:szCs w:val="20"/>
              </w:rPr>
              <w:t>16 928 200,00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337636C8" w14:textId="77777777" w:rsidR="00387142" w:rsidRPr="008B6A75" w:rsidRDefault="00387142" w:rsidP="00387142">
            <w:pPr>
              <w:jc w:val="right"/>
              <w:rPr>
                <w:bCs/>
                <w:sz w:val="20"/>
                <w:szCs w:val="20"/>
              </w:rPr>
            </w:pPr>
            <w:r w:rsidRPr="008B6A75">
              <w:rPr>
                <w:bCs/>
                <w:sz w:val="20"/>
                <w:szCs w:val="20"/>
              </w:rPr>
              <w:t>19 361 900,00</w:t>
            </w:r>
          </w:p>
        </w:tc>
      </w:tr>
      <w:tr w:rsidR="00387142" w:rsidRPr="008B6A75" w14:paraId="265BE0CD" w14:textId="77777777" w:rsidTr="00387142">
        <w:trPr>
          <w:trHeight w:val="2580"/>
        </w:trPr>
        <w:tc>
          <w:tcPr>
            <w:tcW w:w="3261" w:type="dxa"/>
            <w:tcBorders>
              <w:top w:val="nil"/>
              <w:left w:val="single" w:sz="4" w:space="0" w:color="auto"/>
              <w:bottom w:val="single" w:sz="4" w:space="0" w:color="auto"/>
              <w:right w:val="nil"/>
            </w:tcBorders>
            <w:shd w:val="clear" w:color="auto" w:fill="auto"/>
            <w:vAlign w:val="center"/>
            <w:hideMark/>
          </w:tcPr>
          <w:p w14:paraId="4CAB0842" w14:textId="77777777" w:rsidR="00387142" w:rsidRPr="008B6A75" w:rsidRDefault="00387142" w:rsidP="00387142">
            <w:pPr>
              <w:rPr>
                <w:bCs/>
                <w:sz w:val="20"/>
                <w:szCs w:val="20"/>
              </w:rPr>
            </w:pPr>
            <w:r w:rsidRPr="008B6A75">
              <w:rPr>
                <w:bCs/>
                <w:sz w:val="20"/>
                <w:szCs w:val="20"/>
              </w:rPr>
              <w:t>Реализация мероприятий по формированию комфортной городской среды подпрограммы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 (благоустройство дворовых территорий многоквартирных домов населенных пунктов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14:paraId="58689A47" w14:textId="77777777" w:rsidR="00387142" w:rsidRPr="008B6A75" w:rsidRDefault="00387142" w:rsidP="00387142">
            <w:pPr>
              <w:jc w:val="center"/>
              <w:rPr>
                <w:bCs/>
                <w:sz w:val="20"/>
                <w:szCs w:val="20"/>
              </w:rPr>
            </w:pPr>
            <w:r w:rsidRPr="008B6A75">
              <w:rPr>
                <w:bCs/>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FF36884" w14:textId="77777777" w:rsidR="00387142" w:rsidRPr="008B6A75" w:rsidRDefault="00387142" w:rsidP="00387142">
            <w:pPr>
              <w:jc w:val="center"/>
              <w:rPr>
                <w:bCs/>
                <w:sz w:val="20"/>
                <w:szCs w:val="20"/>
              </w:rPr>
            </w:pPr>
            <w:r w:rsidRPr="008B6A75">
              <w:rPr>
                <w:bCs/>
                <w:sz w:val="20"/>
                <w:szCs w:val="20"/>
              </w:rPr>
              <w:t>03</w:t>
            </w:r>
          </w:p>
        </w:tc>
        <w:tc>
          <w:tcPr>
            <w:tcW w:w="1516" w:type="dxa"/>
            <w:tcBorders>
              <w:top w:val="nil"/>
              <w:left w:val="single" w:sz="4" w:space="0" w:color="auto"/>
              <w:bottom w:val="single" w:sz="4" w:space="0" w:color="auto"/>
              <w:right w:val="nil"/>
            </w:tcBorders>
            <w:shd w:val="clear" w:color="auto" w:fill="auto"/>
            <w:noWrap/>
            <w:vAlign w:val="center"/>
            <w:hideMark/>
          </w:tcPr>
          <w:p w14:paraId="77FD57CE" w14:textId="77777777" w:rsidR="00387142" w:rsidRPr="008B6A75" w:rsidRDefault="00387142" w:rsidP="00387142">
            <w:pPr>
              <w:jc w:val="center"/>
              <w:rPr>
                <w:bCs/>
                <w:sz w:val="20"/>
                <w:szCs w:val="20"/>
              </w:rPr>
            </w:pPr>
            <w:r w:rsidRPr="008B6A75">
              <w:rPr>
                <w:bCs/>
                <w:sz w:val="20"/>
                <w:szCs w:val="20"/>
              </w:rPr>
              <w:t>17.2.F2.55551</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D1E8175"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65936A7" w14:textId="77777777" w:rsidR="00387142" w:rsidRPr="008B6A75" w:rsidRDefault="00387142" w:rsidP="00387142">
            <w:pPr>
              <w:jc w:val="right"/>
              <w:rPr>
                <w:bCs/>
                <w:sz w:val="20"/>
                <w:szCs w:val="20"/>
              </w:rPr>
            </w:pPr>
            <w:r w:rsidRPr="008B6A75">
              <w:rPr>
                <w:bCs/>
                <w:sz w:val="20"/>
                <w:szCs w:val="20"/>
              </w:rPr>
              <w:t>5 311 600,00</w:t>
            </w:r>
          </w:p>
        </w:tc>
        <w:tc>
          <w:tcPr>
            <w:tcW w:w="992" w:type="dxa"/>
            <w:tcBorders>
              <w:top w:val="nil"/>
              <w:left w:val="single" w:sz="4" w:space="0" w:color="auto"/>
              <w:bottom w:val="single" w:sz="4" w:space="0" w:color="auto"/>
              <w:right w:val="nil"/>
            </w:tcBorders>
            <w:shd w:val="clear" w:color="auto" w:fill="auto"/>
            <w:vAlign w:val="center"/>
            <w:hideMark/>
          </w:tcPr>
          <w:p w14:paraId="479273A4" w14:textId="77777777" w:rsidR="00387142" w:rsidRPr="008B6A75" w:rsidRDefault="00387142" w:rsidP="00387142">
            <w:pPr>
              <w:jc w:val="right"/>
              <w:rPr>
                <w:bCs/>
                <w:sz w:val="20"/>
                <w:szCs w:val="20"/>
              </w:rPr>
            </w:pPr>
            <w:r w:rsidRPr="008B6A75">
              <w:rPr>
                <w:bCs/>
                <w:sz w:val="20"/>
                <w:szCs w:val="20"/>
              </w:rPr>
              <w:t>4 488 200,00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586B45A6" w14:textId="77777777" w:rsidR="00387142" w:rsidRPr="008B6A75" w:rsidRDefault="00387142" w:rsidP="00387142">
            <w:pPr>
              <w:jc w:val="right"/>
              <w:rPr>
                <w:bCs/>
                <w:sz w:val="20"/>
                <w:szCs w:val="20"/>
              </w:rPr>
            </w:pPr>
            <w:r w:rsidRPr="008B6A75">
              <w:rPr>
                <w:bCs/>
                <w:sz w:val="20"/>
                <w:szCs w:val="20"/>
              </w:rPr>
              <w:t>6 921 900,00</w:t>
            </w:r>
          </w:p>
        </w:tc>
      </w:tr>
      <w:tr w:rsidR="00387142" w:rsidRPr="008B6A75" w14:paraId="6EB3FFEE" w14:textId="77777777" w:rsidTr="00387142">
        <w:trPr>
          <w:trHeight w:val="585"/>
        </w:trPr>
        <w:tc>
          <w:tcPr>
            <w:tcW w:w="3261" w:type="dxa"/>
            <w:tcBorders>
              <w:top w:val="nil"/>
              <w:left w:val="single" w:sz="4" w:space="0" w:color="auto"/>
              <w:bottom w:val="single" w:sz="4" w:space="0" w:color="auto"/>
              <w:right w:val="nil"/>
            </w:tcBorders>
            <w:shd w:val="clear" w:color="auto" w:fill="auto"/>
            <w:vAlign w:val="center"/>
            <w:hideMark/>
          </w:tcPr>
          <w:p w14:paraId="2DCBD6BD" w14:textId="77777777" w:rsidR="00387142" w:rsidRPr="008B6A75" w:rsidRDefault="00387142" w:rsidP="00387142">
            <w:pPr>
              <w:rPr>
                <w:sz w:val="20"/>
                <w:szCs w:val="20"/>
              </w:rPr>
            </w:pPr>
            <w:r w:rsidRPr="008B6A75">
              <w:rPr>
                <w:sz w:val="20"/>
                <w:szCs w:val="20"/>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7FF9E853" w14:textId="77777777" w:rsidR="00387142" w:rsidRPr="008B6A75" w:rsidRDefault="00387142" w:rsidP="00387142">
            <w:pPr>
              <w:jc w:val="center"/>
              <w:rPr>
                <w:sz w:val="20"/>
                <w:szCs w:val="20"/>
              </w:rPr>
            </w:pPr>
            <w:r w:rsidRPr="008B6A75">
              <w:rPr>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152A5EC" w14:textId="77777777" w:rsidR="00387142" w:rsidRPr="008B6A75" w:rsidRDefault="00387142" w:rsidP="00387142">
            <w:pPr>
              <w:jc w:val="center"/>
              <w:rPr>
                <w:sz w:val="20"/>
                <w:szCs w:val="20"/>
              </w:rPr>
            </w:pPr>
            <w:r w:rsidRPr="008B6A75">
              <w:rPr>
                <w:sz w:val="20"/>
                <w:szCs w:val="20"/>
              </w:rPr>
              <w:t>03</w:t>
            </w:r>
          </w:p>
        </w:tc>
        <w:tc>
          <w:tcPr>
            <w:tcW w:w="1516" w:type="dxa"/>
            <w:tcBorders>
              <w:top w:val="nil"/>
              <w:left w:val="single" w:sz="4" w:space="0" w:color="auto"/>
              <w:bottom w:val="single" w:sz="4" w:space="0" w:color="auto"/>
              <w:right w:val="nil"/>
            </w:tcBorders>
            <w:shd w:val="clear" w:color="auto" w:fill="auto"/>
            <w:noWrap/>
            <w:vAlign w:val="center"/>
            <w:hideMark/>
          </w:tcPr>
          <w:p w14:paraId="4AB42C9F" w14:textId="77777777" w:rsidR="00387142" w:rsidRPr="008B6A75" w:rsidRDefault="00387142" w:rsidP="00387142">
            <w:pPr>
              <w:jc w:val="center"/>
              <w:rPr>
                <w:sz w:val="20"/>
                <w:szCs w:val="20"/>
              </w:rPr>
            </w:pPr>
            <w:r w:rsidRPr="008B6A75">
              <w:rPr>
                <w:sz w:val="20"/>
                <w:szCs w:val="20"/>
              </w:rPr>
              <w:t>17.2.F2.55551</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D209A16" w14:textId="77777777" w:rsidR="00387142" w:rsidRPr="008B6A75" w:rsidRDefault="00387142" w:rsidP="00387142">
            <w:pPr>
              <w:jc w:val="center"/>
              <w:rPr>
                <w:sz w:val="20"/>
                <w:szCs w:val="20"/>
              </w:rPr>
            </w:pPr>
            <w:r w:rsidRPr="008B6A75">
              <w:rPr>
                <w:sz w:val="20"/>
                <w:szCs w:val="20"/>
              </w:rPr>
              <w:t>200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6C44563" w14:textId="77777777" w:rsidR="00387142" w:rsidRPr="008B6A75" w:rsidRDefault="00387142" w:rsidP="00387142">
            <w:pPr>
              <w:jc w:val="right"/>
              <w:rPr>
                <w:sz w:val="20"/>
                <w:szCs w:val="20"/>
              </w:rPr>
            </w:pPr>
            <w:r w:rsidRPr="008B6A75">
              <w:rPr>
                <w:sz w:val="20"/>
                <w:szCs w:val="20"/>
              </w:rPr>
              <w:t>0,00</w:t>
            </w:r>
          </w:p>
        </w:tc>
        <w:tc>
          <w:tcPr>
            <w:tcW w:w="992" w:type="dxa"/>
            <w:tcBorders>
              <w:top w:val="nil"/>
              <w:left w:val="single" w:sz="4" w:space="0" w:color="auto"/>
              <w:bottom w:val="single" w:sz="4" w:space="0" w:color="auto"/>
              <w:right w:val="nil"/>
            </w:tcBorders>
            <w:shd w:val="clear" w:color="auto" w:fill="auto"/>
            <w:vAlign w:val="center"/>
            <w:hideMark/>
          </w:tcPr>
          <w:p w14:paraId="12A6C980" w14:textId="77777777" w:rsidR="00387142" w:rsidRPr="008B6A75" w:rsidRDefault="00387142" w:rsidP="00387142">
            <w:pPr>
              <w:jc w:val="right"/>
              <w:rPr>
                <w:sz w:val="20"/>
                <w:szCs w:val="20"/>
              </w:rPr>
            </w:pPr>
            <w:r w:rsidRPr="008B6A75">
              <w:rPr>
                <w:sz w:val="20"/>
                <w:szCs w:val="20"/>
              </w:rPr>
              <w:t>4 488 200,00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238CE182" w14:textId="77777777" w:rsidR="00387142" w:rsidRPr="008B6A75" w:rsidRDefault="00387142" w:rsidP="00387142">
            <w:pPr>
              <w:jc w:val="right"/>
              <w:rPr>
                <w:sz w:val="20"/>
                <w:szCs w:val="20"/>
              </w:rPr>
            </w:pPr>
            <w:r w:rsidRPr="008B6A75">
              <w:rPr>
                <w:sz w:val="20"/>
                <w:szCs w:val="20"/>
              </w:rPr>
              <w:t>6 921 900,00</w:t>
            </w:r>
          </w:p>
        </w:tc>
      </w:tr>
      <w:tr w:rsidR="00387142" w:rsidRPr="008B6A75" w14:paraId="5D78F3ED" w14:textId="77777777" w:rsidTr="00387142">
        <w:trPr>
          <w:trHeight w:val="870"/>
        </w:trPr>
        <w:tc>
          <w:tcPr>
            <w:tcW w:w="3261" w:type="dxa"/>
            <w:tcBorders>
              <w:top w:val="nil"/>
              <w:left w:val="single" w:sz="4" w:space="0" w:color="auto"/>
              <w:bottom w:val="single" w:sz="4" w:space="0" w:color="auto"/>
              <w:right w:val="nil"/>
            </w:tcBorders>
            <w:shd w:val="clear" w:color="auto" w:fill="auto"/>
            <w:vAlign w:val="center"/>
            <w:hideMark/>
          </w:tcPr>
          <w:p w14:paraId="0A6E4726" w14:textId="77777777" w:rsidR="00387142" w:rsidRPr="008B6A75" w:rsidRDefault="00387142" w:rsidP="00387142">
            <w:pPr>
              <w:rPr>
                <w:sz w:val="20"/>
                <w:szCs w:val="20"/>
              </w:rPr>
            </w:pPr>
            <w:r w:rsidRPr="008B6A75">
              <w:rPr>
                <w:sz w:val="20"/>
                <w:szCs w:val="20"/>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43AC2FAE" w14:textId="77777777" w:rsidR="00387142" w:rsidRPr="008B6A75" w:rsidRDefault="00387142" w:rsidP="00387142">
            <w:pPr>
              <w:jc w:val="center"/>
              <w:rPr>
                <w:sz w:val="20"/>
                <w:szCs w:val="20"/>
              </w:rPr>
            </w:pPr>
            <w:r w:rsidRPr="008B6A75">
              <w:rPr>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FAE0CDD" w14:textId="77777777" w:rsidR="00387142" w:rsidRPr="008B6A75" w:rsidRDefault="00387142" w:rsidP="00387142">
            <w:pPr>
              <w:jc w:val="center"/>
              <w:rPr>
                <w:sz w:val="20"/>
                <w:szCs w:val="20"/>
              </w:rPr>
            </w:pPr>
            <w:r w:rsidRPr="008B6A75">
              <w:rPr>
                <w:sz w:val="20"/>
                <w:szCs w:val="20"/>
              </w:rPr>
              <w:t>03</w:t>
            </w:r>
          </w:p>
        </w:tc>
        <w:tc>
          <w:tcPr>
            <w:tcW w:w="1516" w:type="dxa"/>
            <w:tcBorders>
              <w:top w:val="nil"/>
              <w:left w:val="single" w:sz="4" w:space="0" w:color="auto"/>
              <w:bottom w:val="single" w:sz="4" w:space="0" w:color="auto"/>
              <w:right w:val="nil"/>
            </w:tcBorders>
            <w:shd w:val="clear" w:color="auto" w:fill="auto"/>
            <w:noWrap/>
            <w:vAlign w:val="center"/>
            <w:hideMark/>
          </w:tcPr>
          <w:p w14:paraId="13304E48" w14:textId="77777777" w:rsidR="00387142" w:rsidRPr="008B6A75" w:rsidRDefault="00387142" w:rsidP="00387142">
            <w:pPr>
              <w:jc w:val="center"/>
              <w:rPr>
                <w:sz w:val="20"/>
                <w:szCs w:val="20"/>
              </w:rPr>
            </w:pPr>
            <w:r w:rsidRPr="008B6A75">
              <w:rPr>
                <w:sz w:val="20"/>
                <w:szCs w:val="20"/>
              </w:rPr>
              <w:t>17.2.F2.55551</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F37EB62" w14:textId="77777777" w:rsidR="00387142" w:rsidRPr="008B6A75" w:rsidRDefault="00387142" w:rsidP="00387142">
            <w:pPr>
              <w:jc w:val="center"/>
              <w:rPr>
                <w:sz w:val="20"/>
                <w:szCs w:val="20"/>
              </w:rPr>
            </w:pPr>
            <w:r w:rsidRPr="008B6A75">
              <w:rPr>
                <w:sz w:val="20"/>
                <w:szCs w:val="20"/>
              </w:rPr>
              <w:t>240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F4DF687" w14:textId="77777777" w:rsidR="00387142" w:rsidRPr="008B6A75" w:rsidRDefault="00387142" w:rsidP="00387142">
            <w:pPr>
              <w:jc w:val="right"/>
              <w:rPr>
                <w:sz w:val="20"/>
                <w:szCs w:val="20"/>
              </w:rPr>
            </w:pPr>
            <w:r w:rsidRPr="008B6A75">
              <w:rPr>
                <w:sz w:val="20"/>
                <w:szCs w:val="20"/>
              </w:rPr>
              <w:t>0,00</w:t>
            </w:r>
          </w:p>
        </w:tc>
        <w:tc>
          <w:tcPr>
            <w:tcW w:w="992" w:type="dxa"/>
            <w:tcBorders>
              <w:top w:val="nil"/>
              <w:left w:val="single" w:sz="4" w:space="0" w:color="auto"/>
              <w:bottom w:val="single" w:sz="4" w:space="0" w:color="auto"/>
              <w:right w:val="nil"/>
            </w:tcBorders>
            <w:shd w:val="clear" w:color="auto" w:fill="auto"/>
            <w:vAlign w:val="center"/>
            <w:hideMark/>
          </w:tcPr>
          <w:p w14:paraId="4CF77069" w14:textId="77777777" w:rsidR="00387142" w:rsidRPr="008B6A75" w:rsidRDefault="00387142" w:rsidP="00387142">
            <w:pPr>
              <w:jc w:val="right"/>
              <w:rPr>
                <w:sz w:val="20"/>
                <w:szCs w:val="20"/>
              </w:rPr>
            </w:pPr>
            <w:r w:rsidRPr="008B6A75">
              <w:rPr>
                <w:sz w:val="20"/>
                <w:szCs w:val="20"/>
              </w:rPr>
              <w:t>4 488 200,00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4BA03E0A" w14:textId="77777777" w:rsidR="00387142" w:rsidRPr="008B6A75" w:rsidRDefault="00387142" w:rsidP="00387142">
            <w:pPr>
              <w:jc w:val="right"/>
              <w:rPr>
                <w:sz w:val="20"/>
                <w:szCs w:val="20"/>
              </w:rPr>
            </w:pPr>
            <w:r w:rsidRPr="008B6A75">
              <w:rPr>
                <w:sz w:val="20"/>
                <w:szCs w:val="20"/>
              </w:rPr>
              <w:t>6 921 900,00</w:t>
            </w:r>
          </w:p>
        </w:tc>
      </w:tr>
      <w:tr w:rsidR="00387142" w:rsidRPr="008B6A75" w14:paraId="56B82C7A" w14:textId="77777777" w:rsidTr="00387142">
        <w:trPr>
          <w:trHeight w:val="345"/>
        </w:trPr>
        <w:tc>
          <w:tcPr>
            <w:tcW w:w="3261" w:type="dxa"/>
            <w:tcBorders>
              <w:top w:val="nil"/>
              <w:left w:val="single" w:sz="4" w:space="0" w:color="auto"/>
              <w:bottom w:val="single" w:sz="4" w:space="0" w:color="auto"/>
              <w:right w:val="nil"/>
            </w:tcBorders>
            <w:shd w:val="clear" w:color="auto" w:fill="auto"/>
            <w:vAlign w:val="center"/>
            <w:hideMark/>
          </w:tcPr>
          <w:p w14:paraId="0432B354" w14:textId="77777777" w:rsidR="00387142" w:rsidRPr="008B6A75" w:rsidRDefault="00387142" w:rsidP="00387142">
            <w:pPr>
              <w:rPr>
                <w:sz w:val="20"/>
                <w:szCs w:val="20"/>
              </w:rPr>
            </w:pPr>
            <w:r w:rsidRPr="008B6A75">
              <w:rPr>
                <w:sz w:val="20"/>
                <w:szCs w:val="20"/>
              </w:rPr>
              <w:t>Межбюджетные трансферты</w:t>
            </w:r>
          </w:p>
        </w:tc>
        <w:tc>
          <w:tcPr>
            <w:tcW w:w="720" w:type="dxa"/>
            <w:tcBorders>
              <w:top w:val="nil"/>
              <w:left w:val="single" w:sz="4" w:space="0" w:color="auto"/>
              <w:bottom w:val="single" w:sz="4" w:space="0" w:color="auto"/>
              <w:right w:val="nil"/>
            </w:tcBorders>
            <w:shd w:val="clear" w:color="auto" w:fill="auto"/>
            <w:noWrap/>
            <w:vAlign w:val="center"/>
            <w:hideMark/>
          </w:tcPr>
          <w:p w14:paraId="28164408" w14:textId="77777777" w:rsidR="00387142" w:rsidRPr="008B6A75" w:rsidRDefault="00387142" w:rsidP="00387142">
            <w:pPr>
              <w:jc w:val="center"/>
              <w:rPr>
                <w:sz w:val="20"/>
                <w:szCs w:val="20"/>
              </w:rPr>
            </w:pPr>
            <w:r w:rsidRPr="008B6A75">
              <w:rPr>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93CA851" w14:textId="77777777" w:rsidR="00387142" w:rsidRPr="008B6A75" w:rsidRDefault="00387142" w:rsidP="00387142">
            <w:pPr>
              <w:jc w:val="center"/>
              <w:rPr>
                <w:sz w:val="20"/>
                <w:szCs w:val="20"/>
              </w:rPr>
            </w:pPr>
            <w:r w:rsidRPr="008B6A75">
              <w:rPr>
                <w:sz w:val="20"/>
                <w:szCs w:val="20"/>
              </w:rPr>
              <w:t>03</w:t>
            </w:r>
          </w:p>
        </w:tc>
        <w:tc>
          <w:tcPr>
            <w:tcW w:w="1516" w:type="dxa"/>
            <w:tcBorders>
              <w:top w:val="nil"/>
              <w:left w:val="single" w:sz="4" w:space="0" w:color="auto"/>
              <w:bottom w:val="single" w:sz="4" w:space="0" w:color="auto"/>
              <w:right w:val="nil"/>
            </w:tcBorders>
            <w:shd w:val="clear" w:color="auto" w:fill="auto"/>
            <w:noWrap/>
            <w:vAlign w:val="center"/>
            <w:hideMark/>
          </w:tcPr>
          <w:p w14:paraId="27121B38" w14:textId="77777777" w:rsidR="00387142" w:rsidRPr="008B6A75" w:rsidRDefault="00387142" w:rsidP="00387142">
            <w:pPr>
              <w:jc w:val="center"/>
              <w:rPr>
                <w:sz w:val="20"/>
                <w:szCs w:val="20"/>
              </w:rPr>
            </w:pPr>
            <w:r w:rsidRPr="008B6A75">
              <w:rPr>
                <w:sz w:val="20"/>
                <w:szCs w:val="20"/>
              </w:rPr>
              <w:t>17.2.F2.55551</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CAB0D7B" w14:textId="77777777" w:rsidR="00387142" w:rsidRPr="008B6A75" w:rsidRDefault="00387142" w:rsidP="00387142">
            <w:pPr>
              <w:jc w:val="center"/>
              <w:rPr>
                <w:sz w:val="20"/>
                <w:szCs w:val="20"/>
              </w:rPr>
            </w:pPr>
            <w:r w:rsidRPr="008B6A75">
              <w:rPr>
                <w:sz w:val="20"/>
                <w:szCs w:val="20"/>
              </w:rPr>
              <w:t>500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931153B" w14:textId="77777777" w:rsidR="00387142" w:rsidRPr="008B6A75" w:rsidRDefault="00387142" w:rsidP="00387142">
            <w:pPr>
              <w:jc w:val="right"/>
              <w:rPr>
                <w:sz w:val="20"/>
                <w:szCs w:val="20"/>
              </w:rPr>
            </w:pPr>
            <w:r w:rsidRPr="008B6A75">
              <w:rPr>
                <w:sz w:val="20"/>
                <w:szCs w:val="20"/>
              </w:rPr>
              <w:t>5 311 600,00</w:t>
            </w:r>
          </w:p>
        </w:tc>
        <w:tc>
          <w:tcPr>
            <w:tcW w:w="992" w:type="dxa"/>
            <w:tcBorders>
              <w:top w:val="nil"/>
              <w:left w:val="single" w:sz="4" w:space="0" w:color="auto"/>
              <w:bottom w:val="single" w:sz="4" w:space="0" w:color="auto"/>
              <w:right w:val="nil"/>
            </w:tcBorders>
            <w:shd w:val="clear" w:color="auto" w:fill="auto"/>
            <w:vAlign w:val="center"/>
            <w:hideMark/>
          </w:tcPr>
          <w:p w14:paraId="7B08417C" w14:textId="77777777" w:rsidR="00387142" w:rsidRPr="008B6A75" w:rsidRDefault="00387142" w:rsidP="00387142">
            <w:pPr>
              <w:jc w:val="right"/>
              <w:rPr>
                <w:sz w:val="20"/>
                <w:szCs w:val="20"/>
              </w:rPr>
            </w:pPr>
            <w:r w:rsidRPr="008B6A75">
              <w:rPr>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06C53613" w14:textId="77777777" w:rsidR="00387142" w:rsidRPr="008B6A75" w:rsidRDefault="00387142" w:rsidP="00387142">
            <w:pPr>
              <w:jc w:val="right"/>
              <w:rPr>
                <w:sz w:val="20"/>
                <w:szCs w:val="20"/>
              </w:rPr>
            </w:pPr>
            <w:r w:rsidRPr="008B6A75">
              <w:rPr>
                <w:sz w:val="20"/>
                <w:szCs w:val="20"/>
              </w:rPr>
              <w:t>0,00</w:t>
            </w:r>
          </w:p>
        </w:tc>
      </w:tr>
      <w:tr w:rsidR="00387142" w:rsidRPr="008B6A75" w14:paraId="42AABE27" w14:textId="77777777" w:rsidTr="00387142">
        <w:trPr>
          <w:trHeight w:val="345"/>
        </w:trPr>
        <w:tc>
          <w:tcPr>
            <w:tcW w:w="3261" w:type="dxa"/>
            <w:tcBorders>
              <w:top w:val="nil"/>
              <w:left w:val="single" w:sz="4" w:space="0" w:color="auto"/>
              <w:bottom w:val="single" w:sz="4" w:space="0" w:color="auto"/>
              <w:right w:val="nil"/>
            </w:tcBorders>
            <w:shd w:val="clear" w:color="auto" w:fill="auto"/>
            <w:vAlign w:val="center"/>
            <w:hideMark/>
          </w:tcPr>
          <w:p w14:paraId="728F1949" w14:textId="77777777" w:rsidR="00387142" w:rsidRPr="008B6A75" w:rsidRDefault="00387142" w:rsidP="00387142">
            <w:pPr>
              <w:rPr>
                <w:sz w:val="20"/>
                <w:szCs w:val="20"/>
              </w:rPr>
            </w:pPr>
            <w:r w:rsidRPr="008B6A75">
              <w:rPr>
                <w:sz w:val="20"/>
                <w:szCs w:val="20"/>
              </w:rPr>
              <w:lastRenderedPageBreak/>
              <w:t>Субсидии</w:t>
            </w:r>
          </w:p>
        </w:tc>
        <w:tc>
          <w:tcPr>
            <w:tcW w:w="720" w:type="dxa"/>
            <w:tcBorders>
              <w:top w:val="nil"/>
              <w:left w:val="single" w:sz="4" w:space="0" w:color="auto"/>
              <w:bottom w:val="single" w:sz="4" w:space="0" w:color="auto"/>
              <w:right w:val="nil"/>
            </w:tcBorders>
            <w:shd w:val="clear" w:color="auto" w:fill="auto"/>
            <w:noWrap/>
            <w:vAlign w:val="center"/>
            <w:hideMark/>
          </w:tcPr>
          <w:p w14:paraId="76CA04F8" w14:textId="77777777" w:rsidR="00387142" w:rsidRPr="008B6A75" w:rsidRDefault="00387142" w:rsidP="00387142">
            <w:pPr>
              <w:jc w:val="center"/>
              <w:rPr>
                <w:sz w:val="20"/>
                <w:szCs w:val="20"/>
              </w:rPr>
            </w:pPr>
            <w:r w:rsidRPr="008B6A75">
              <w:rPr>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F2D9D3F" w14:textId="77777777" w:rsidR="00387142" w:rsidRPr="008B6A75" w:rsidRDefault="00387142" w:rsidP="00387142">
            <w:pPr>
              <w:jc w:val="center"/>
              <w:rPr>
                <w:sz w:val="20"/>
                <w:szCs w:val="20"/>
              </w:rPr>
            </w:pPr>
            <w:r w:rsidRPr="008B6A75">
              <w:rPr>
                <w:sz w:val="20"/>
                <w:szCs w:val="20"/>
              </w:rPr>
              <w:t>03</w:t>
            </w:r>
          </w:p>
        </w:tc>
        <w:tc>
          <w:tcPr>
            <w:tcW w:w="1516" w:type="dxa"/>
            <w:tcBorders>
              <w:top w:val="nil"/>
              <w:left w:val="single" w:sz="4" w:space="0" w:color="auto"/>
              <w:bottom w:val="single" w:sz="4" w:space="0" w:color="auto"/>
              <w:right w:val="nil"/>
            </w:tcBorders>
            <w:shd w:val="clear" w:color="auto" w:fill="auto"/>
            <w:noWrap/>
            <w:vAlign w:val="center"/>
            <w:hideMark/>
          </w:tcPr>
          <w:p w14:paraId="53F65D2A" w14:textId="77777777" w:rsidR="00387142" w:rsidRPr="008B6A75" w:rsidRDefault="00387142" w:rsidP="00387142">
            <w:pPr>
              <w:jc w:val="center"/>
              <w:rPr>
                <w:sz w:val="20"/>
                <w:szCs w:val="20"/>
              </w:rPr>
            </w:pPr>
            <w:r w:rsidRPr="008B6A75">
              <w:rPr>
                <w:sz w:val="20"/>
                <w:szCs w:val="20"/>
              </w:rPr>
              <w:t>17.2.F2.55551</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D6107F3" w14:textId="77777777" w:rsidR="00387142" w:rsidRPr="008B6A75" w:rsidRDefault="00387142" w:rsidP="00387142">
            <w:pPr>
              <w:jc w:val="center"/>
              <w:rPr>
                <w:sz w:val="20"/>
                <w:szCs w:val="20"/>
              </w:rPr>
            </w:pPr>
            <w:r w:rsidRPr="008B6A75">
              <w:rPr>
                <w:sz w:val="20"/>
                <w:szCs w:val="20"/>
              </w:rPr>
              <w:t>520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E7ABA22" w14:textId="77777777" w:rsidR="00387142" w:rsidRPr="008B6A75" w:rsidRDefault="00387142" w:rsidP="00387142">
            <w:pPr>
              <w:jc w:val="right"/>
              <w:rPr>
                <w:sz w:val="20"/>
                <w:szCs w:val="20"/>
              </w:rPr>
            </w:pPr>
            <w:r w:rsidRPr="008B6A75">
              <w:rPr>
                <w:sz w:val="20"/>
                <w:szCs w:val="20"/>
              </w:rPr>
              <w:t>5 311 600,00</w:t>
            </w:r>
          </w:p>
        </w:tc>
        <w:tc>
          <w:tcPr>
            <w:tcW w:w="992" w:type="dxa"/>
            <w:tcBorders>
              <w:top w:val="nil"/>
              <w:left w:val="single" w:sz="4" w:space="0" w:color="auto"/>
              <w:bottom w:val="single" w:sz="4" w:space="0" w:color="auto"/>
              <w:right w:val="nil"/>
            </w:tcBorders>
            <w:shd w:val="clear" w:color="auto" w:fill="auto"/>
            <w:vAlign w:val="center"/>
            <w:hideMark/>
          </w:tcPr>
          <w:p w14:paraId="4543A7C8" w14:textId="77777777" w:rsidR="00387142" w:rsidRPr="008B6A75" w:rsidRDefault="00387142" w:rsidP="00387142">
            <w:pPr>
              <w:jc w:val="right"/>
              <w:rPr>
                <w:sz w:val="20"/>
                <w:szCs w:val="20"/>
              </w:rPr>
            </w:pPr>
            <w:r w:rsidRPr="008B6A75">
              <w:rPr>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4F888031" w14:textId="77777777" w:rsidR="00387142" w:rsidRPr="008B6A75" w:rsidRDefault="00387142" w:rsidP="00387142">
            <w:pPr>
              <w:jc w:val="right"/>
              <w:rPr>
                <w:sz w:val="20"/>
                <w:szCs w:val="20"/>
              </w:rPr>
            </w:pPr>
            <w:r w:rsidRPr="008B6A75">
              <w:rPr>
                <w:sz w:val="20"/>
                <w:szCs w:val="20"/>
              </w:rPr>
              <w:t>0,00</w:t>
            </w:r>
          </w:p>
        </w:tc>
      </w:tr>
      <w:tr w:rsidR="00387142" w:rsidRPr="008B6A75" w14:paraId="5DAB2559" w14:textId="77777777" w:rsidTr="00387142">
        <w:trPr>
          <w:trHeight w:val="2580"/>
        </w:trPr>
        <w:tc>
          <w:tcPr>
            <w:tcW w:w="3261" w:type="dxa"/>
            <w:tcBorders>
              <w:top w:val="nil"/>
              <w:left w:val="single" w:sz="4" w:space="0" w:color="auto"/>
              <w:bottom w:val="single" w:sz="4" w:space="0" w:color="auto"/>
              <w:right w:val="nil"/>
            </w:tcBorders>
            <w:shd w:val="clear" w:color="auto" w:fill="auto"/>
            <w:vAlign w:val="center"/>
            <w:hideMark/>
          </w:tcPr>
          <w:p w14:paraId="2B4DBCA7" w14:textId="77777777" w:rsidR="00387142" w:rsidRPr="008B6A75" w:rsidRDefault="00387142" w:rsidP="00387142">
            <w:pPr>
              <w:rPr>
                <w:bCs/>
                <w:sz w:val="20"/>
                <w:szCs w:val="20"/>
              </w:rPr>
            </w:pPr>
            <w:r w:rsidRPr="008B6A75">
              <w:rPr>
                <w:bCs/>
                <w:sz w:val="20"/>
                <w:szCs w:val="20"/>
              </w:rPr>
              <w:t>Реализация мероприятий по формированию комфортной городской среды подпрограммы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 в» (благоустройство общественных пространств населенных пунктов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14:paraId="604B2E61" w14:textId="77777777" w:rsidR="00387142" w:rsidRPr="008B6A75" w:rsidRDefault="00387142" w:rsidP="00387142">
            <w:pPr>
              <w:jc w:val="center"/>
              <w:rPr>
                <w:bCs/>
                <w:sz w:val="20"/>
                <w:szCs w:val="20"/>
              </w:rPr>
            </w:pPr>
            <w:r w:rsidRPr="008B6A75">
              <w:rPr>
                <w:bCs/>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F3F25AA" w14:textId="77777777" w:rsidR="00387142" w:rsidRPr="008B6A75" w:rsidRDefault="00387142" w:rsidP="00387142">
            <w:pPr>
              <w:jc w:val="center"/>
              <w:rPr>
                <w:bCs/>
                <w:sz w:val="20"/>
                <w:szCs w:val="20"/>
              </w:rPr>
            </w:pPr>
            <w:r w:rsidRPr="008B6A75">
              <w:rPr>
                <w:bCs/>
                <w:sz w:val="20"/>
                <w:szCs w:val="20"/>
              </w:rPr>
              <w:t>03</w:t>
            </w:r>
          </w:p>
        </w:tc>
        <w:tc>
          <w:tcPr>
            <w:tcW w:w="1516" w:type="dxa"/>
            <w:tcBorders>
              <w:top w:val="nil"/>
              <w:left w:val="single" w:sz="4" w:space="0" w:color="auto"/>
              <w:bottom w:val="single" w:sz="4" w:space="0" w:color="auto"/>
              <w:right w:val="nil"/>
            </w:tcBorders>
            <w:shd w:val="clear" w:color="auto" w:fill="auto"/>
            <w:noWrap/>
            <w:vAlign w:val="center"/>
            <w:hideMark/>
          </w:tcPr>
          <w:p w14:paraId="7494D035" w14:textId="77777777" w:rsidR="00387142" w:rsidRPr="008B6A75" w:rsidRDefault="00387142" w:rsidP="00387142">
            <w:pPr>
              <w:jc w:val="center"/>
              <w:rPr>
                <w:bCs/>
                <w:sz w:val="20"/>
                <w:szCs w:val="20"/>
              </w:rPr>
            </w:pPr>
            <w:r w:rsidRPr="008B6A75">
              <w:rPr>
                <w:bCs/>
                <w:sz w:val="20"/>
                <w:szCs w:val="20"/>
              </w:rPr>
              <w:t>17.2.F2.55552</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C047F36"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390FB22" w14:textId="77777777" w:rsidR="00387142" w:rsidRPr="008B6A75" w:rsidRDefault="00387142" w:rsidP="00387142">
            <w:pPr>
              <w:jc w:val="right"/>
              <w:rPr>
                <w:bCs/>
                <w:sz w:val="20"/>
                <w:szCs w:val="20"/>
              </w:rPr>
            </w:pPr>
            <w:r w:rsidRPr="008B6A75">
              <w:rPr>
                <w:bCs/>
                <w:sz w:val="20"/>
                <w:szCs w:val="20"/>
              </w:rPr>
              <w:t>22 014 773,54</w:t>
            </w:r>
          </w:p>
        </w:tc>
        <w:tc>
          <w:tcPr>
            <w:tcW w:w="992" w:type="dxa"/>
            <w:tcBorders>
              <w:top w:val="nil"/>
              <w:left w:val="single" w:sz="4" w:space="0" w:color="auto"/>
              <w:bottom w:val="single" w:sz="4" w:space="0" w:color="auto"/>
              <w:right w:val="nil"/>
            </w:tcBorders>
            <w:shd w:val="clear" w:color="auto" w:fill="auto"/>
            <w:vAlign w:val="center"/>
            <w:hideMark/>
          </w:tcPr>
          <w:p w14:paraId="0BFF09E4" w14:textId="77777777" w:rsidR="00387142" w:rsidRPr="008B6A75" w:rsidRDefault="00387142" w:rsidP="00387142">
            <w:pPr>
              <w:jc w:val="right"/>
              <w:rPr>
                <w:bCs/>
                <w:sz w:val="20"/>
                <w:szCs w:val="20"/>
              </w:rPr>
            </w:pPr>
            <w:r w:rsidRPr="008B6A75">
              <w:rPr>
                <w:bCs/>
                <w:sz w:val="20"/>
                <w:szCs w:val="20"/>
              </w:rPr>
              <w:t>12 440 000,00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522B2EB1" w14:textId="77777777" w:rsidR="00387142" w:rsidRPr="008B6A75" w:rsidRDefault="00387142" w:rsidP="00387142">
            <w:pPr>
              <w:jc w:val="right"/>
              <w:rPr>
                <w:bCs/>
                <w:sz w:val="20"/>
                <w:szCs w:val="20"/>
              </w:rPr>
            </w:pPr>
            <w:r w:rsidRPr="008B6A75">
              <w:rPr>
                <w:bCs/>
                <w:sz w:val="20"/>
                <w:szCs w:val="20"/>
              </w:rPr>
              <w:t>12 440 000,00</w:t>
            </w:r>
          </w:p>
        </w:tc>
      </w:tr>
      <w:tr w:rsidR="00387142" w:rsidRPr="008B6A75" w14:paraId="01A4A8C4" w14:textId="77777777" w:rsidTr="00387142">
        <w:trPr>
          <w:trHeight w:val="585"/>
        </w:trPr>
        <w:tc>
          <w:tcPr>
            <w:tcW w:w="3261" w:type="dxa"/>
            <w:tcBorders>
              <w:top w:val="nil"/>
              <w:left w:val="single" w:sz="4" w:space="0" w:color="auto"/>
              <w:bottom w:val="single" w:sz="4" w:space="0" w:color="auto"/>
              <w:right w:val="nil"/>
            </w:tcBorders>
            <w:shd w:val="clear" w:color="auto" w:fill="auto"/>
            <w:vAlign w:val="center"/>
            <w:hideMark/>
          </w:tcPr>
          <w:p w14:paraId="09C4BA80" w14:textId="77777777" w:rsidR="00387142" w:rsidRPr="008B6A75" w:rsidRDefault="00387142" w:rsidP="00387142">
            <w:pPr>
              <w:rPr>
                <w:sz w:val="20"/>
                <w:szCs w:val="20"/>
              </w:rPr>
            </w:pPr>
            <w:r w:rsidRPr="008B6A75">
              <w:rPr>
                <w:sz w:val="20"/>
                <w:szCs w:val="20"/>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5B337AF1" w14:textId="77777777" w:rsidR="00387142" w:rsidRPr="008B6A75" w:rsidRDefault="00387142" w:rsidP="00387142">
            <w:pPr>
              <w:jc w:val="center"/>
              <w:rPr>
                <w:sz w:val="20"/>
                <w:szCs w:val="20"/>
              </w:rPr>
            </w:pPr>
            <w:r w:rsidRPr="008B6A75">
              <w:rPr>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1006377" w14:textId="77777777" w:rsidR="00387142" w:rsidRPr="008B6A75" w:rsidRDefault="00387142" w:rsidP="00387142">
            <w:pPr>
              <w:jc w:val="center"/>
              <w:rPr>
                <w:sz w:val="20"/>
                <w:szCs w:val="20"/>
              </w:rPr>
            </w:pPr>
            <w:r w:rsidRPr="008B6A75">
              <w:rPr>
                <w:sz w:val="20"/>
                <w:szCs w:val="20"/>
              </w:rPr>
              <w:t>03</w:t>
            </w:r>
          </w:p>
        </w:tc>
        <w:tc>
          <w:tcPr>
            <w:tcW w:w="1516" w:type="dxa"/>
            <w:tcBorders>
              <w:top w:val="nil"/>
              <w:left w:val="single" w:sz="4" w:space="0" w:color="auto"/>
              <w:bottom w:val="single" w:sz="4" w:space="0" w:color="auto"/>
              <w:right w:val="nil"/>
            </w:tcBorders>
            <w:shd w:val="clear" w:color="auto" w:fill="auto"/>
            <w:noWrap/>
            <w:vAlign w:val="center"/>
            <w:hideMark/>
          </w:tcPr>
          <w:p w14:paraId="66F4A5FE" w14:textId="77777777" w:rsidR="00387142" w:rsidRPr="008B6A75" w:rsidRDefault="00387142" w:rsidP="00387142">
            <w:pPr>
              <w:jc w:val="center"/>
              <w:rPr>
                <w:sz w:val="20"/>
                <w:szCs w:val="20"/>
              </w:rPr>
            </w:pPr>
            <w:r w:rsidRPr="008B6A75">
              <w:rPr>
                <w:sz w:val="20"/>
                <w:szCs w:val="20"/>
              </w:rPr>
              <w:t>17.2.F2.55552</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290F257" w14:textId="77777777" w:rsidR="00387142" w:rsidRPr="008B6A75" w:rsidRDefault="00387142" w:rsidP="00387142">
            <w:pPr>
              <w:jc w:val="center"/>
              <w:rPr>
                <w:sz w:val="20"/>
                <w:szCs w:val="20"/>
              </w:rPr>
            </w:pPr>
            <w:r w:rsidRPr="008B6A75">
              <w:rPr>
                <w:sz w:val="20"/>
                <w:szCs w:val="20"/>
              </w:rPr>
              <w:t>200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DADD11E" w14:textId="77777777" w:rsidR="00387142" w:rsidRPr="008B6A75" w:rsidRDefault="00387142" w:rsidP="00387142">
            <w:pPr>
              <w:jc w:val="right"/>
              <w:rPr>
                <w:sz w:val="20"/>
                <w:szCs w:val="20"/>
              </w:rPr>
            </w:pPr>
            <w:r w:rsidRPr="008B6A75">
              <w:rPr>
                <w:sz w:val="20"/>
                <w:szCs w:val="20"/>
              </w:rPr>
              <w:t>0,00</w:t>
            </w:r>
          </w:p>
        </w:tc>
        <w:tc>
          <w:tcPr>
            <w:tcW w:w="992" w:type="dxa"/>
            <w:tcBorders>
              <w:top w:val="nil"/>
              <w:left w:val="single" w:sz="4" w:space="0" w:color="auto"/>
              <w:bottom w:val="single" w:sz="4" w:space="0" w:color="auto"/>
              <w:right w:val="nil"/>
            </w:tcBorders>
            <w:shd w:val="clear" w:color="auto" w:fill="auto"/>
            <w:vAlign w:val="center"/>
            <w:hideMark/>
          </w:tcPr>
          <w:p w14:paraId="303C39C0" w14:textId="77777777" w:rsidR="00387142" w:rsidRPr="008B6A75" w:rsidRDefault="00387142" w:rsidP="00387142">
            <w:pPr>
              <w:jc w:val="right"/>
              <w:rPr>
                <w:sz w:val="20"/>
                <w:szCs w:val="20"/>
              </w:rPr>
            </w:pPr>
            <w:r w:rsidRPr="008B6A75">
              <w:rPr>
                <w:sz w:val="20"/>
                <w:szCs w:val="20"/>
              </w:rPr>
              <w:t>2 908 618,41</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11804A07" w14:textId="77777777" w:rsidR="00387142" w:rsidRPr="008B6A75" w:rsidRDefault="00387142" w:rsidP="00387142">
            <w:pPr>
              <w:jc w:val="right"/>
              <w:rPr>
                <w:sz w:val="20"/>
                <w:szCs w:val="20"/>
              </w:rPr>
            </w:pPr>
            <w:r w:rsidRPr="008B6A75">
              <w:rPr>
                <w:sz w:val="20"/>
                <w:szCs w:val="20"/>
              </w:rPr>
              <w:t>12 440 000,00</w:t>
            </w:r>
          </w:p>
        </w:tc>
      </w:tr>
      <w:tr w:rsidR="00387142" w:rsidRPr="008B6A75" w14:paraId="65B95C4E" w14:textId="77777777" w:rsidTr="00387142">
        <w:trPr>
          <w:trHeight w:val="870"/>
        </w:trPr>
        <w:tc>
          <w:tcPr>
            <w:tcW w:w="3261" w:type="dxa"/>
            <w:tcBorders>
              <w:top w:val="nil"/>
              <w:left w:val="single" w:sz="4" w:space="0" w:color="auto"/>
              <w:bottom w:val="single" w:sz="4" w:space="0" w:color="auto"/>
              <w:right w:val="nil"/>
            </w:tcBorders>
            <w:shd w:val="clear" w:color="auto" w:fill="auto"/>
            <w:vAlign w:val="center"/>
            <w:hideMark/>
          </w:tcPr>
          <w:p w14:paraId="24EB1FDA" w14:textId="77777777" w:rsidR="00387142" w:rsidRPr="008B6A75" w:rsidRDefault="00387142" w:rsidP="00387142">
            <w:pPr>
              <w:rPr>
                <w:sz w:val="20"/>
                <w:szCs w:val="20"/>
              </w:rPr>
            </w:pPr>
            <w:r w:rsidRPr="008B6A75">
              <w:rPr>
                <w:sz w:val="20"/>
                <w:szCs w:val="20"/>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6B31ADF5" w14:textId="77777777" w:rsidR="00387142" w:rsidRPr="008B6A75" w:rsidRDefault="00387142" w:rsidP="00387142">
            <w:pPr>
              <w:jc w:val="center"/>
              <w:rPr>
                <w:sz w:val="20"/>
                <w:szCs w:val="20"/>
              </w:rPr>
            </w:pPr>
            <w:r w:rsidRPr="008B6A75">
              <w:rPr>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BEB8B72" w14:textId="77777777" w:rsidR="00387142" w:rsidRPr="008B6A75" w:rsidRDefault="00387142" w:rsidP="00387142">
            <w:pPr>
              <w:jc w:val="center"/>
              <w:rPr>
                <w:sz w:val="20"/>
                <w:szCs w:val="20"/>
              </w:rPr>
            </w:pPr>
            <w:r w:rsidRPr="008B6A75">
              <w:rPr>
                <w:sz w:val="20"/>
                <w:szCs w:val="20"/>
              </w:rPr>
              <w:t>03</w:t>
            </w:r>
          </w:p>
        </w:tc>
        <w:tc>
          <w:tcPr>
            <w:tcW w:w="1516" w:type="dxa"/>
            <w:tcBorders>
              <w:top w:val="nil"/>
              <w:left w:val="single" w:sz="4" w:space="0" w:color="auto"/>
              <w:bottom w:val="single" w:sz="4" w:space="0" w:color="auto"/>
              <w:right w:val="nil"/>
            </w:tcBorders>
            <w:shd w:val="clear" w:color="auto" w:fill="auto"/>
            <w:noWrap/>
            <w:vAlign w:val="center"/>
            <w:hideMark/>
          </w:tcPr>
          <w:p w14:paraId="46518B2D" w14:textId="77777777" w:rsidR="00387142" w:rsidRPr="008B6A75" w:rsidRDefault="00387142" w:rsidP="00387142">
            <w:pPr>
              <w:jc w:val="center"/>
              <w:rPr>
                <w:sz w:val="20"/>
                <w:szCs w:val="20"/>
              </w:rPr>
            </w:pPr>
            <w:r w:rsidRPr="008B6A75">
              <w:rPr>
                <w:sz w:val="20"/>
                <w:szCs w:val="20"/>
              </w:rPr>
              <w:t>17.2.F2.55552</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1551371" w14:textId="77777777" w:rsidR="00387142" w:rsidRPr="008B6A75" w:rsidRDefault="00387142" w:rsidP="00387142">
            <w:pPr>
              <w:jc w:val="center"/>
              <w:rPr>
                <w:sz w:val="20"/>
                <w:szCs w:val="20"/>
              </w:rPr>
            </w:pPr>
            <w:r w:rsidRPr="008B6A75">
              <w:rPr>
                <w:sz w:val="20"/>
                <w:szCs w:val="20"/>
              </w:rPr>
              <w:t>240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7D7A493" w14:textId="77777777" w:rsidR="00387142" w:rsidRPr="008B6A75" w:rsidRDefault="00387142" w:rsidP="00387142">
            <w:pPr>
              <w:jc w:val="right"/>
              <w:rPr>
                <w:sz w:val="20"/>
                <w:szCs w:val="20"/>
              </w:rPr>
            </w:pPr>
            <w:r w:rsidRPr="008B6A75">
              <w:rPr>
                <w:sz w:val="20"/>
                <w:szCs w:val="20"/>
              </w:rPr>
              <w:t>0,00</w:t>
            </w:r>
          </w:p>
        </w:tc>
        <w:tc>
          <w:tcPr>
            <w:tcW w:w="992" w:type="dxa"/>
            <w:tcBorders>
              <w:top w:val="nil"/>
              <w:left w:val="single" w:sz="4" w:space="0" w:color="auto"/>
              <w:bottom w:val="single" w:sz="4" w:space="0" w:color="auto"/>
              <w:right w:val="nil"/>
            </w:tcBorders>
            <w:shd w:val="clear" w:color="auto" w:fill="auto"/>
            <w:vAlign w:val="center"/>
            <w:hideMark/>
          </w:tcPr>
          <w:p w14:paraId="26D18308" w14:textId="77777777" w:rsidR="00387142" w:rsidRPr="008B6A75" w:rsidRDefault="00387142" w:rsidP="00387142">
            <w:pPr>
              <w:jc w:val="right"/>
              <w:rPr>
                <w:sz w:val="20"/>
                <w:szCs w:val="20"/>
              </w:rPr>
            </w:pPr>
            <w:r w:rsidRPr="008B6A75">
              <w:rPr>
                <w:sz w:val="20"/>
                <w:szCs w:val="20"/>
              </w:rPr>
              <w:t>2 908 618,41</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4E9C8579" w14:textId="77777777" w:rsidR="00387142" w:rsidRPr="008B6A75" w:rsidRDefault="00387142" w:rsidP="00387142">
            <w:pPr>
              <w:jc w:val="right"/>
              <w:rPr>
                <w:sz w:val="20"/>
                <w:szCs w:val="20"/>
              </w:rPr>
            </w:pPr>
            <w:r w:rsidRPr="008B6A75">
              <w:rPr>
                <w:sz w:val="20"/>
                <w:szCs w:val="20"/>
              </w:rPr>
              <w:t>12 440 000,00</w:t>
            </w:r>
          </w:p>
        </w:tc>
      </w:tr>
      <w:tr w:rsidR="00387142" w:rsidRPr="008B6A75" w14:paraId="78168D99" w14:textId="77777777" w:rsidTr="00387142">
        <w:trPr>
          <w:trHeight w:val="345"/>
        </w:trPr>
        <w:tc>
          <w:tcPr>
            <w:tcW w:w="3261" w:type="dxa"/>
            <w:tcBorders>
              <w:top w:val="nil"/>
              <w:left w:val="single" w:sz="4" w:space="0" w:color="auto"/>
              <w:bottom w:val="single" w:sz="4" w:space="0" w:color="auto"/>
              <w:right w:val="nil"/>
            </w:tcBorders>
            <w:shd w:val="clear" w:color="auto" w:fill="auto"/>
            <w:vAlign w:val="center"/>
            <w:hideMark/>
          </w:tcPr>
          <w:p w14:paraId="13170504" w14:textId="77777777" w:rsidR="00387142" w:rsidRPr="008B6A75" w:rsidRDefault="00387142" w:rsidP="00387142">
            <w:pPr>
              <w:rPr>
                <w:sz w:val="20"/>
                <w:szCs w:val="20"/>
              </w:rPr>
            </w:pPr>
            <w:r w:rsidRPr="008B6A75">
              <w:rPr>
                <w:sz w:val="20"/>
                <w:szCs w:val="20"/>
              </w:rPr>
              <w:t>Межбюджетные трансферты</w:t>
            </w:r>
          </w:p>
        </w:tc>
        <w:tc>
          <w:tcPr>
            <w:tcW w:w="720" w:type="dxa"/>
            <w:tcBorders>
              <w:top w:val="nil"/>
              <w:left w:val="single" w:sz="4" w:space="0" w:color="auto"/>
              <w:bottom w:val="single" w:sz="4" w:space="0" w:color="auto"/>
              <w:right w:val="nil"/>
            </w:tcBorders>
            <w:shd w:val="clear" w:color="auto" w:fill="auto"/>
            <w:noWrap/>
            <w:vAlign w:val="center"/>
            <w:hideMark/>
          </w:tcPr>
          <w:p w14:paraId="75281469" w14:textId="77777777" w:rsidR="00387142" w:rsidRPr="008B6A75" w:rsidRDefault="00387142" w:rsidP="00387142">
            <w:pPr>
              <w:jc w:val="center"/>
              <w:rPr>
                <w:sz w:val="20"/>
                <w:szCs w:val="20"/>
              </w:rPr>
            </w:pPr>
            <w:r w:rsidRPr="008B6A75">
              <w:rPr>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DA3F58F" w14:textId="77777777" w:rsidR="00387142" w:rsidRPr="008B6A75" w:rsidRDefault="00387142" w:rsidP="00387142">
            <w:pPr>
              <w:jc w:val="center"/>
              <w:rPr>
                <w:sz w:val="20"/>
                <w:szCs w:val="20"/>
              </w:rPr>
            </w:pPr>
            <w:r w:rsidRPr="008B6A75">
              <w:rPr>
                <w:sz w:val="20"/>
                <w:szCs w:val="20"/>
              </w:rPr>
              <w:t>03</w:t>
            </w:r>
          </w:p>
        </w:tc>
        <w:tc>
          <w:tcPr>
            <w:tcW w:w="1516" w:type="dxa"/>
            <w:tcBorders>
              <w:top w:val="nil"/>
              <w:left w:val="single" w:sz="4" w:space="0" w:color="auto"/>
              <w:bottom w:val="single" w:sz="4" w:space="0" w:color="auto"/>
              <w:right w:val="nil"/>
            </w:tcBorders>
            <w:shd w:val="clear" w:color="auto" w:fill="auto"/>
            <w:noWrap/>
            <w:vAlign w:val="center"/>
            <w:hideMark/>
          </w:tcPr>
          <w:p w14:paraId="36103AB4" w14:textId="77777777" w:rsidR="00387142" w:rsidRPr="008B6A75" w:rsidRDefault="00387142" w:rsidP="00387142">
            <w:pPr>
              <w:jc w:val="center"/>
              <w:rPr>
                <w:sz w:val="20"/>
                <w:szCs w:val="20"/>
              </w:rPr>
            </w:pPr>
            <w:r w:rsidRPr="008B6A75">
              <w:rPr>
                <w:sz w:val="20"/>
                <w:szCs w:val="20"/>
              </w:rPr>
              <w:t>17.2.F2.55552</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7A8D75F" w14:textId="77777777" w:rsidR="00387142" w:rsidRPr="008B6A75" w:rsidRDefault="00387142" w:rsidP="00387142">
            <w:pPr>
              <w:jc w:val="center"/>
              <w:rPr>
                <w:sz w:val="20"/>
                <w:szCs w:val="20"/>
              </w:rPr>
            </w:pPr>
            <w:r w:rsidRPr="008B6A75">
              <w:rPr>
                <w:sz w:val="20"/>
                <w:szCs w:val="20"/>
              </w:rPr>
              <w:t>500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35B1209" w14:textId="77777777" w:rsidR="00387142" w:rsidRPr="008B6A75" w:rsidRDefault="00387142" w:rsidP="00387142">
            <w:pPr>
              <w:jc w:val="right"/>
              <w:rPr>
                <w:sz w:val="20"/>
                <w:szCs w:val="20"/>
              </w:rPr>
            </w:pPr>
            <w:r w:rsidRPr="008B6A75">
              <w:rPr>
                <w:sz w:val="20"/>
                <w:szCs w:val="20"/>
              </w:rPr>
              <w:t>22 014 773,54</w:t>
            </w:r>
          </w:p>
        </w:tc>
        <w:tc>
          <w:tcPr>
            <w:tcW w:w="992" w:type="dxa"/>
            <w:tcBorders>
              <w:top w:val="nil"/>
              <w:left w:val="single" w:sz="4" w:space="0" w:color="auto"/>
              <w:bottom w:val="single" w:sz="4" w:space="0" w:color="auto"/>
              <w:right w:val="nil"/>
            </w:tcBorders>
            <w:shd w:val="clear" w:color="auto" w:fill="auto"/>
            <w:vAlign w:val="center"/>
            <w:hideMark/>
          </w:tcPr>
          <w:p w14:paraId="27CF916D" w14:textId="77777777" w:rsidR="00387142" w:rsidRPr="008B6A75" w:rsidRDefault="00387142" w:rsidP="00387142">
            <w:pPr>
              <w:jc w:val="right"/>
              <w:rPr>
                <w:sz w:val="20"/>
                <w:szCs w:val="20"/>
              </w:rPr>
            </w:pPr>
            <w:r w:rsidRPr="008B6A75">
              <w:rPr>
                <w:sz w:val="20"/>
                <w:szCs w:val="20"/>
              </w:rPr>
              <w:t>9 531 381,59</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610AD83D" w14:textId="77777777" w:rsidR="00387142" w:rsidRPr="008B6A75" w:rsidRDefault="00387142" w:rsidP="00387142">
            <w:pPr>
              <w:jc w:val="right"/>
              <w:rPr>
                <w:sz w:val="20"/>
                <w:szCs w:val="20"/>
              </w:rPr>
            </w:pPr>
            <w:r w:rsidRPr="008B6A75">
              <w:rPr>
                <w:sz w:val="20"/>
                <w:szCs w:val="20"/>
              </w:rPr>
              <w:t>0,00</w:t>
            </w:r>
          </w:p>
        </w:tc>
      </w:tr>
      <w:tr w:rsidR="00387142" w:rsidRPr="008B6A75" w14:paraId="23AA395B" w14:textId="77777777" w:rsidTr="00387142">
        <w:trPr>
          <w:trHeight w:val="345"/>
        </w:trPr>
        <w:tc>
          <w:tcPr>
            <w:tcW w:w="3261" w:type="dxa"/>
            <w:tcBorders>
              <w:top w:val="nil"/>
              <w:left w:val="single" w:sz="4" w:space="0" w:color="auto"/>
              <w:bottom w:val="single" w:sz="4" w:space="0" w:color="auto"/>
              <w:right w:val="nil"/>
            </w:tcBorders>
            <w:shd w:val="clear" w:color="auto" w:fill="auto"/>
            <w:vAlign w:val="center"/>
            <w:hideMark/>
          </w:tcPr>
          <w:p w14:paraId="144326F0" w14:textId="77777777" w:rsidR="00387142" w:rsidRPr="008B6A75" w:rsidRDefault="00387142" w:rsidP="00387142">
            <w:pPr>
              <w:rPr>
                <w:sz w:val="20"/>
                <w:szCs w:val="20"/>
              </w:rPr>
            </w:pPr>
            <w:r w:rsidRPr="008B6A75">
              <w:rPr>
                <w:sz w:val="20"/>
                <w:szCs w:val="20"/>
              </w:rPr>
              <w:t>Субсидии</w:t>
            </w:r>
          </w:p>
        </w:tc>
        <w:tc>
          <w:tcPr>
            <w:tcW w:w="720" w:type="dxa"/>
            <w:tcBorders>
              <w:top w:val="nil"/>
              <w:left w:val="single" w:sz="4" w:space="0" w:color="auto"/>
              <w:bottom w:val="single" w:sz="4" w:space="0" w:color="auto"/>
              <w:right w:val="nil"/>
            </w:tcBorders>
            <w:shd w:val="clear" w:color="auto" w:fill="auto"/>
            <w:noWrap/>
            <w:vAlign w:val="center"/>
            <w:hideMark/>
          </w:tcPr>
          <w:p w14:paraId="6F397E81" w14:textId="77777777" w:rsidR="00387142" w:rsidRPr="008B6A75" w:rsidRDefault="00387142" w:rsidP="00387142">
            <w:pPr>
              <w:jc w:val="center"/>
              <w:rPr>
                <w:sz w:val="20"/>
                <w:szCs w:val="20"/>
              </w:rPr>
            </w:pPr>
            <w:r w:rsidRPr="008B6A75">
              <w:rPr>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BB71959" w14:textId="77777777" w:rsidR="00387142" w:rsidRPr="008B6A75" w:rsidRDefault="00387142" w:rsidP="00387142">
            <w:pPr>
              <w:jc w:val="center"/>
              <w:rPr>
                <w:sz w:val="20"/>
                <w:szCs w:val="20"/>
              </w:rPr>
            </w:pPr>
            <w:r w:rsidRPr="008B6A75">
              <w:rPr>
                <w:sz w:val="20"/>
                <w:szCs w:val="20"/>
              </w:rPr>
              <w:t>03</w:t>
            </w:r>
          </w:p>
        </w:tc>
        <w:tc>
          <w:tcPr>
            <w:tcW w:w="1516" w:type="dxa"/>
            <w:tcBorders>
              <w:top w:val="nil"/>
              <w:left w:val="single" w:sz="4" w:space="0" w:color="auto"/>
              <w:bottom w:val="single" w:sz="4" w:space="0" w:color="auto"/>
              <w:right w:val="nil"/>
            </w:tcBorders>
            <w:shd w:val="clear" w:color="auto" w:fill="auto"/>
            <w:noWrap/>
            <w:vAlign w:val="center"/>
            <w:hideMark/>
          </w:tcPr>
          <w:p w14:paraId="0A540FD3" w14:textId="77777777" w:rsidR="00387142" w:rsidRPr="008B6A75" w:rsidRDefault="00387142" w:rsidP="00387142">
            <w:pPr>
              <w:jc w:val="center"/>
              <w:rPr>
                <w:sz w:val="20"/>
                <w:szCs w:val="20"/>
              </w:rPr>
            </w:pPr>
            <w:r w:rsidRPr="008B6A75">
              <w:rPr>
                <w:sz w:val="20"/>
                <w:szCs w:val="20"/>
              </w:rPr>
              <w:t>17.2.F2.55552</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5EFD6BC" w14:textId="77777777" w:rsidR="00387142" w:rsidRPr="008B6A75" w:rsidRDefault="00387142" w:rsidP="00387142">
            <w:pPr>
              <w:jc w:val="center"/>
              <w:rPr>
                <w:sz w:val="20"/>
                <w:szCs w:val="20"/>
              </w:rPr>
            </w:pPr>
            <w:r w:rsidRPr="008B6A75">
              <w:rPr>
                <w:sz w:val="20"/>
                <w:szCs w:val="20"/>
              </w:rPr>
              <w:t>520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D0DD644" w14:textId="77777777" w:rsidR="00387142" w:rsidRPr="008B6A75" w:rsidRDefault="00387142" w:rsidP="00387142">
            <w:pPr>
              <w:jc w:val="right"/>
              <w:rPr>
                <w:sz w:val="20"/>
                <w:szCs w:val="20"/>
              </w:rPr>
            </w:pPr>
            <w:r w:rsidRPr="008B6A75">
              <w:rPr>
                <w:sz w:val="20"/>
                <w:szCs w:val="20"/>
              </w:rPr>
              <w:t>21 971 300,00</w:t>
            </w:r>
          </w:p>
        </w:tc>
        <w:tc>
          <w:tcPr>
            <w:tcW w:w="992" w:type="dxa"/>
            <w:tcBorders>
              <w:top w:val="nil"/>
              <w:left w:val="single" w:sz="4" w:space="0" w:color="auto"/>
              <w:bottom w:val="single" w:sz="4" w:space="0" w:color="auto"/>
              <w:right w:val="nil"/>
            </w:tcBorders>
            <w:shd w:val="clear" w:color="auto" w:fill="auto"/>
            <w:vAlign w:val="center"/>
            <w:hideMark/>
          </w:tcPr>
          <w:p w14:paraId="46E1E517" w14:textId="77777777" w:rsidR="00387142" w:rsidRPr="008B6A75" w:rsidRDefault="00387142" w:rsidP="00387142">
            <w:pPr>
              <w:jc w:val="right"/>
              <w:rPr>
                <w:sz w:val="20"/>
                <w:szCs w:val="20"/>
              </w:rPr>
            </w:pPr>
            <w:r w:rsidRPr="008B6A75">
              <w:rPr>
                <w:sz w:val="20"/>
                <w:szCs w:val="20"/>
              </w:rPr>
              <w:t>9 531 381,59</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631E7CE5" w14:textId="77777777" w:rsidR="00387142" w:rsidRPr="008B6A75" w:rsidRDefault="00387142" w:rsidP="00387142">
            <w:pPr>
              <w:jc w:val="right"/>
              <w:rPr>
                <w:sz w:val="20"/>
                <w:szCs w:val="20"/>
              </w:rPr>
            </w:pPr>
            <w:r w:rsidRPr="008B6A75">
              <w:rPr>
                <w:sz w:val="20"/>
                <w:szCs w:val="20"/>
              </w:rPr>
              <w:t>0,00</w:t>
            </w:r>
          </w:p>
        </w:tc>
      </w:tr>
      <w:tr w:rsidR="00387142" w:rsidRPr="008B6A75" w14:paraId="6BDDB651" w14:textId="77777777" w:rsidTr="00387142">
        <w:trPr>
          <w:trHeight w:val="345"/>
        </w:trPr>
        <w:tc>
          <w:tcPr>
            <w:tcW w:w="3261" w:type="dxa"/>
            <w:tcBorders>
              <w:top w:val="nil"/>
              <w:left w:val="single" w:sz="4" w:space="0" w:color="auto"/>
              <w:bottom w:val="single" w:sz="4" w:space="0" w:color="auto"/>
              <w:right w:val="nil"/>
            </w:tcBorders>
            <w:shd w:val="clear" w:color="auto" w:fill="auto"/>
            <w:vAlign w:val="center"/>
            <w:hideMark/>
          </w:tcPr>
          <w:p w14:paraId="54671B91" w14:textId="77777777" w:rsidR="00387142" w:rsidRPr="008B6A75" w:rsidRDefault="00387142" w:rsidP="00387142">
            <w:pPr>
              <w:rPr>
                <w:sz w:val="20"/>
                <w:szCs w:val="20"/>
              </w:rPr>
            </w:pPr>
            <w:r w:rsidRPr="008B6A75">
              <w:rPr>
                <w:sz w:val="20"/>
                <w:szCs w:val="20"/>
              </w:rPr>
              <w:t>Иные межбюджетные трансферты</w:t>
            </w:r>
          </w:p>
        </w:tc>
        <w:tc>
          <w:tcPr>
            <w:tcW w:w="720" w:type="dxa"/>
            <w:tcBorders>
              <w:top w:val="nil"/>
              <w:left w:val="single" w:sz="4" w:space="0" w:color="auto"/>
              <w:bottom w:val="single" w:sz="4" w:space="0" w:color="auto"/>
              <w:right w:val="nil"/>
            </w:tcBorders>
            <w:shd w:val="clear" w:color="auto" w:fill="auto"/>
            <w:noWrap/>
            <w:vAlign w:val="center"/>
            <w:hideMark/>
          </w:tcPr>
          <w:p w14:paraId="12997CC5" w14:textId="77777777" w:rsidR="00387142" w:rsidRPr="008B6A75" w:rsidRDefault="00387142" w:rsidP="00387142">
            <w:pPr>
              <w:jc w:val="center"/>
              <w:rPr>
                <w:sz w:val="20"/>
                <w:szCs w:val="20"/>
              </w:rPr>
            </w:pPr>
            <w:r w:rsidRPr="008B6A75">
              <w:rPr>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554450B" w14:textId="77777777" w:rsidR="00387142" w:rsidRPr="008B6A75" w:rsidRDefault="00387142" w:rsidP="00387142">
            <w:pPr>
              <w:jc w:val="center"/>
              <w:rPr>
                <w:sz w:val="20"/>
                <w:szCs w:val="20"/>
              </w:rPr>
            </w:pPr>
            <w:r w:rsidRPr="008B6A75">
              <w:rPr>
                <w:sz w:val="20"/>
                <w:szCs w:val="20"/>
              </w:rPr>
              <w:t>03</w:t>
            </w:r>
          </w:p>
        </w:tc>
        <w:tc>
          <w:tcPr>
            <w:tcW w:w="1516" w:type="dxa"/>
            <w:tcBorders>
              <w:top w:val="nil"/>
              <w:left w:val="single" w:sz="4" w:space="0" w:color="auto"/>
              <w:bottom w:val="single" w:sz="4" w:space="0" w:color="auto"/>
              <w:right w:val="nil"/>
            </w:tcBorders>
            <w:shd w:val="clear" w:color="auto" w:fill="auto"/>
            <w:noWrap/>
            <w:vAlign w:val="center"/>
            <w:hideMark/>
          </w:tcPr>
          <w:p w14:paraId="2CE988AB" w14:textId="77777777" w:rsidR="00387142" w:rsidRPr="008B6A75" w:rsidRDefault="00387142" w:rsidP="00387142">
            <w:pPr>
              <w:jc w:val="center"/>
              <w:rPr>
                <w:sz w:val="20"/>
                <w:szCs w:val="20"/>
              </w:rPr>
            </w:pPr>
            <w:r w:rsidRPr="008B6A75">
              <w:rPr>
                <w:sz w:val="20"/>
                <w:szCs w:val="20"/>
              </w:rPr>
              <w:t>17.2.F2.55552</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62CE183" w14:textId="77777777" w:rsidR="00387142" w:rsidRPr="008B6A75" w:rsidRDefault="00387142" w:rsidP="00387142">
            <w:pPr>
              <w:jc w:val="center"/>
              <w:rPr>
                <w:sz w:val="20"/>
                <w:szCs w:val="20"/>
              </w:rPr>
            </w:pPr>
            <w:r w:rsidRPr="008B6A75">
              <w:rPr>
                <w:sz w:val="20"/>
                <w:szCs w:val="20"/>
              </w:rPr>
              <w:t>540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2D42CD0" w14:textId="77777777" w:rsidR="00387142" w:rsidRPr="008B6A75" w:rsidRDefault="00387142" w:rsidP="00387142">
            <w:pPr>
              <w:jc w:val="right"/>
              <w:rPr>
                <w:sz w:val="20"/>
                <w:szCs w:val="20"/>
              </w:rPr>
            </w:pPr>
            <w:r w:rsidRPr="008B6A75">
              <w:rPr>
                <w:sz w:val="20"/>
                <w:szCs w:val="20"/>
              </w:rPr>
              <w:t>43 473,54</w:t>
            </w:r>
          </w:p>
        </w:tc>
        <w:tc>
          <w:tcPr>
            <w:tcW w:w="992" w:type="dxa"/>
            <w:tcBorders>
              <w:top w:val="nil"/>
              <w:left w:val="single" w:sz="4" w:space="0" w:color="auto"/>
              <w:bottom w:val="single" w:sz="4" w:space="0" w:color="auto"/>
              <w:right w:val="nil"/>
            </w:tcBorders>
            <w:shd w:val="clear" w:color="auto" w:fill="auto"/>
            <w:vAlign w:val="center"/>
            <w:hideMark/>
          </w:tcPr>
          <w:p w14:paraId="30C819AE" w14:textId="77777777" w:rsidR="00387142" w:rsidRPr="008B6A75" w:rsidRDefault="00387142" w:rsidP="00387142">
            <w:pPr>
              <w:jc w:val="right"/>
              <w:rPr>
                <w:sz w:val="20"/>
                <w:szCs w:val="20"/>
              </w:rPr>
            </w:pPr>
            <w:r w:rsidRPr="008B6A75">
              <w:rPr>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078DF431" w14:textId="77777777" w:rsidR="00387142" w:rsidRPr="008B6A75" w:rsidRDefault="00387142" w:rsidP="00387142">
            <w:pPr>
              <w:jc w:val="right"/>
              <w:rPr>
                <w:sz w:val="20"/>
                <w:szCs w:val="20"/>
              </w:rPr>
            </w:pPr>
            <w:r w:rsidRPr="008B6A75">
              <w:rPr>
                <w:sz w:val="20"/>
                <w:szCs w:val="20"/>
              </w:rPr>
              <w:t>0,00</w:t>
            </w:r>
          </w:p>
        </w:tc>
      </w:tr>
      <w:tr w:rsidR="00387142" w:rsidRPr="008B6A75" w14:paraId="70712708" w14:textId="77777777" w:rsidTr="00387142">
        <w:trPr>
          <w:trHeight w:val="2580"/>
        </w:trPr>
        <w:tc>
          <w:tcPr>
            <w:tcW w:w="3261" w:type="dxa"/>
            <w:tcBorders>
              <w:top w:val="nil"/>
              <w:left w:val="single" w:sz="4" w:space="0" w:color="auto"/>
              <w:bottom w:val="single" w:sz="4" w:space="0" w:color="auto"/>
              <w:right w:val="nil"/>
            </w:tcBorders>
            <w:shd w:val="clear" w:color="auto" w:fill="auto"/>
            <w:vAlign w:val="center"/>
            <w:hideMark/>
          </w:tcPr>
          <w:p w14:paraId="33A83C4F" w14:textId="77777777" w:rsidR="00387142" w:rsidRPr="008B6A75" w:rsidRDefault="00387142" w:rsidP="00387142">
            <w:pPr>
              <w:rPr>
                <w:bCs/>
                <w:sz w:val="20"/>
                <w:szCs w:val="20"/>
              </w:rPr>
            </w:pPr>
            <w:r w:rsidRPr="008B6A75">
              <w:rPr>
                <w:bCs/>
                <w:sz w:val="20"/>
                <w:szCs w:val="20"/>
              </w:rPr>
              <w:t>Реализация мероприятий по формированию комфортной городской среды подпрограммы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 в» (организация общественных пространств и дворовых территорий многоквартирных домов)</w:t>
            </w:r>
          </w:p>
        </w:tc>
        <w:tc>
          <w:tcPr>
            <w:tcW w:w="720" w:type="dxa"/>
            <w:tcBorders>
              <w:top w:val="nil"/>
              <w:left w:val="single" w:sz="4" w:space="0" w:color="auto"/>
              <w:bottom w:val="single" w:sz="4" w:space="0" w:color="auto"/>
              <w:right w:val="nil"/>
            </w:tcBorders>
            <w:shd w:val="clear" w:color="auto" w:fill="auto"/>
            <w:noWrap/>
            <w:vAlign w:val="center"/>
            <w:hideMark/>
          </w:tcPr>
          <w:p w14:paraId="581E7857" w14:textId="77777777" w:rsidR="00387142" w:rsidRPr="008B6A75" w:rsidRDefault="00387142" w:rsidP="00387142">
            <w:pPr>
              <w:jc w:val="center"/>
              <w:rPr>
                <w:bCs/>
                <w:sz w:val="20"/>
                <w:szCs w:val="20"/>
              </w:rPr>
            </w:pPr>
            <w:r w:rsidRPr="008B6A75">
              <w:rPr>
                <w:bCs/>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3FB930D" w14:textId="77777777" w:rsidR="00387142" w:rsidRPr="008B6A75" w:rsidRDefault="00387142" w:rsidP="00387142">
            <w:pPr>
              <w:jc w:val="center"/>
              <w:rPr>
                <w:bCs/>
                <w:sz w:val="20"/>
                <w:szCs w:val="20"/>
              </w:rPr>
            </w:pPr>
            <w:r w:rsidRPr="008B6A75">
              <w:rPr>
                <w:bCs/>
                <w:sz w:val="20"/>
                <w:szCs w:val="20"/>
              </w:rPr>
              <w:t>03</w:t>
            </w:r>
          </w:p>
        </w:tc>
        <w:tc>
          <w:tcPr>
            <w:tcW w:w="1516" w:type="dxa"/>
            <w:tcBorders>
              <w:top w:val="nil"/>
              <w:left w:val="single" w:sz="4" w:space="0" w:color="auto"/>
              <w:bottom w:val="single" w:sz="4" w:space="0" w:color="auto"/>
              <w:right w:val="nil"/>
            </w:tcBorders>
            <w:shd w:val="clear" w:color="auto" w:fill="auto"/>
            <w:noWrap/>
            <w:vAlign w:val="center"/>
            <w:hideMark/>
          </w:tcPr>
          <w:p w14:paraId="05450D5A" w14:textId="77777777" w:rsidR="00387142" w:rsidRPr="008B6A75" w:rsidRDefault="00387142" w:rsidP="00387142">
            <w:pPr>
              <w:jc w:val="center"/>
              <w:rPr>
                <w:bCs/>
                <w:sz w:val="20"/>
                <w:szCs w:val="20"/>
              </w:rPr>
            </w:pPr>
            <w:r w:rsidRPr="008B6A75">
              <w:rPr>
                <w:bCs/>
                <w:sz w:val="20"/>
                <w:szCs w:val="20"/>
              </w:rPr>
              <w:t>17.2.F2.55553</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51DEEF1"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86464B3" w14:textId="77777777" w:rsidR="00387142" w:rsidRPr="008B6A75" w:rsidRDefault="00387142" w:rsidP="00387142">
            <w:pPr>
              <w:jc w:val="right"/>
              <w:rPr>
                <w:bCs/>
                <w:sz w:val="20"/>
                <w:szCs w:val="20"/>
              </w:rPr>
            </w:pPr>
            <w:r w:rsidRPr="008B6A75">
              <w:rPr>
                <w:bCs/>
                <w:sz w:val="20"/>
                <w:szCs w:val="20"/>
              </w:rPr>
              <w:t>5 116 800,00</w:t>
            </w:r>
          </w:p>
        </w:tc>
        <w:tc>
          <w:tcPr>
            <w:tcW w:w="992" w:type="dxa"/>
            <w:tcBorders>
              <w:top w:val="nil"/>
              <w:left w:val="single" w:sz="4" w:space="0" w:color="auto"/>
              <w:bottom w:val="single" w:sz="4" w:space="0" w:color="auto"/>
              <w:right w:val="nil"/>
            </w:tcBorders>
            <w:shd w:val="clear" w:color="auto" w:fill="auto"/>
            <w:vAlign w:val="center"/>
            <w:hideMark/>
          </w:tcPr>
          <w:p w14:paraId="2E77F601" w14:textId="77777777" w:rsidR="00387142" w:rsidRPr="008B6A75" w:rsidRDefault="00387142" w:rsidP="00387142">
            <w:pPr>
              <w:jc w:val="right"/>
              <w:rPr>
                <w:bCs/>
                <w:sz w:val="20"/>
                <w:szCs w:val="20"/>
              </w:rPr>
            </w:pPr>
            <w:r w:rsidRPr="008B6A75">
              <w:rPr>
                <w:bCs/>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4B254912" w14:textId="77777777" w:rsidR="00387142" w:rsidRPr="008B6A75" w:rsidRDefault="00387142" w:rsidP="00387142">
            <w:pPr>
              <w:jc w:val="right"/>
              <w:rPr>
                <w:bCs/>
                <w:sz w:val="20"/>
                <w:szCs w:val="20"/>
              </w:rPr>
            </w:pPr>
            <w:r w:rsidRPr="008B6A75">
              <w:rPr>
                <w:bCs/>
                <w:sz w:val="20"/>
                <w:szCs w:val="20"/>
              </w:rPr>
              <w:t>0,00</w:t>
            </w:r>
          </w:p>
        </w:tc>
      </w:tr>
      <w:tr w:rsidR="00387142" w:rsidRPr="008B6A75" w14:paraId="762F4889" w14:textId="77777777" w:rsidTr="00387142">
        <w:trPr>
          <w:trHeight w:val="345"/>
        </w:trPr>
        <w:tc>
          <w:tcPr>
            <w:tcW w:w="3261" w:type="dxa"/>
            <w:tcBorders>
              <w:top w:val="nil"/>
              <w:left w:val="single" w:sz="4" w:space="0" w:color="auto"/>
              <w:bottom w:val="single" w:sz="4" w:space="0" w:color="auto"/>
              <w:right w:val="nil"/>
            </w:tcBorders>
            <w:shd w:val="clear" w:color="auto" w:fill="auto"/>
            <w:vAlign w:val="center"/>
            <w:hideMark/>
          </w:tcPr>
          <w:p w14:paraId="3FF34289" w14:textId="77777777" w:rsidR="00387142" w:rsidRPr="008B6A75" w:rsidRDefault="00387142" w:rsidP="00387142">
            <w:pPr>
              <w:rPr>
                <w:sz w:val="20"/>
                <w:szCs w:val="20"/>
              </w:rPr>
            </w:pPr>
            <w:r w:rsidRPr="008B6A75">
              <w:rPr>
                <w:sz w:val="20"/>
                <w:szCs w:val="20"/>
              </w:rPr>
              <w:t>Межбюджетные трансферты</w:t>
            </w:r>
          </w:p>
        </w:tc>
        <w:tc>
          <w:tcPr>
            <w:tcW w:w="720" w:type="dxa"/>
            <w:tcBorders>
              <w:top w:val="nil"/>
              <w:left w:val="single" w:sz="4" w:space="0" w:color="auto"/>
              <w:bottom w:val="single" w:sz="4" w:space="0" w:color="auto"/>
              <w:right w:val="nil"/>
            </w:tcBorders>
            <w:shd w:val="clear" w:color="auto" w:fill="auto"/>
            <w:noWrap/>
            <w:vAlign w:val="center"/>
            <w:hideMark/>
          </w:tcPr>
          <w:p w14:paraId="724C5982" w14:textId="77777777" w:rsidR="00387142" w:rsidRPr="008B6A75" w:rsidRDefault="00387142" w:rsidP="00387142">
            <w:pPr>
              <w:jc w:val="center"/>
              <w:rPr>
                <w:sz w:val="20"/>
                <w:szCs w:val="20"/>
              </w:rPr>
            </w:pPr>
            <w:r w:rsidRPr="008B6A75">
              <w:rPr>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612C4F6" w14:textId="77777777" w:rsidR="00387142" w:rsidRPr="008B6A75" w:rsidRDefault="00387142" w:rsidP="00387142">
            <w:pPr>
              <w:jc w:val="center"/>
              <w:rPr>
                <w:sz w:val="20"/>
                <w:szCs w:val="20"/>
              </w:rPr>
            </w:pPr>
            <w:r w:rsidRPr="008B6A75">
              <w:rPr>
                <w:sz w:val="20"/>
                <w:szCs w:val="20"/>
              </w:rPr>
              <w:t>03</w:t>
            </w:r>
          </w:p>
        </w:tc>
        <w:tc>
          <w:tcPr>
            <w:tcW w:w="1516" w:type="dxa"/>
            <w:tcBorders>
              <w:top w:val="nil"/>
              <w:left w:val="single" w:sz="4" w:space="0" w:color="auto"/>
              <w:bottom w:val="single" w:sz="4" w:space="0" w:color="auto"/>
              <w:right w:val="nil"/>
            </w:tcBorders>
            <w:shd w:val="clear" w:color="auto" w:fill="auto"/>
            <w:noWrap/>
            <w:vAlign w:val="center"/>
            <w:hideMark/>
          </w:tcPr>
          <w:p w14:paraId="491B1192" w14:textId="77777777" w:rsidR="00387142" w:rsidRPr="008B6A75" w:rsidRDefault="00387142" w:rsidP="00387142">
            <w:pPr>
              <w:jc w:val="center"/>
              <w:rPr>
                <w:sz w:val="20"/>
                <w:szCs w:val="20"/>
              </w:rPr>
            </w:pPr>
            <w:r w:rsidRPr="008B6A75">
              <w:rPr>
                <w:sz w:val="20"/>
                <w:szCs w:val="20"/>
              </w:rPr>
              <w:t>17.2.F2.55553</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E7DDFCA" w14:textId="77777777" w:rsidR="00387142" w:rsidRPr="008B6A75" w:rsidRDefault="00387142" w:rsidP="00387142">
            <w:pPr>
              <w:jc w:val="center"/>
              <w:rPr>
                <w:sz w:val="20"/>
                <w:szCs w:val="20"/>
              </w:rPr>
            </w:pPr>
            <w:r w:rsidRPr="008B6A75">
              <w:rPr>
                <w:sz w:val="20"/>
                <w:szCs w:val="20"/>
              </w:rPr>
              <w:t>500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DFF0261" w14:textId="77777777" w:rsidR="00387142" w:rsidRPr="008B6A75" w:rsidRDefault="00387142" w:rsidP="00387142">
            <w:pPr>
              <w:jc w:val="right"/>
              <w:rPr>
                <w:sz w:val="20"/>
                <w:szCs w:val="20"/>
              </w:rPr>
            </w:pPr>
            <w:r w:rsidRPr="008B6A75">
              <w:rPr>
                <w:sz w:val="20"/>
                <w:szCs w:val="20"/>
              </w:rPr>
              <w:t>5 116 800,00</w:t>
            </w:r>
          </w:p>
        </w:tc>
        <w:tc>
          <w:tcPr>
            <w:tcW w:w="992" w:type="dxa"/>
            <w:tcBorders>
              <w:top w:val="nil"/>
              <w:left w:val="single" w:sz="4" w:space="0" w:color="auto"/>
              <w:bottom w:val="single" w:sz="4" w:space="0" w:color="auto"/>
              <w:right w:val="nil"/>
            </w:tcBorders>
            <w:shd w:val="clear" w:color="auto" w:fill="auto"/>
            <w:vAlign w:val="center"/>
            <w:hideMark/>
          </w:tcPr>
          <w:p w14:paraId="2B0B0D58" w14:textId="77777777" w:rsidR="00387142" w:rsidRPr="008B6A75" w:rsidRDefault="00387142" w:rsidP="00387142">
            <w:pPr>
              <w:jc w:val="right"/>
              <w:rPr>
                <w:sz w:val="20"/>
                <w:szCs w:val="20"/>
              </w:rPr>
            </w:pPr>
            <w:r w:rsidRPr="008B6A75">
              <w:rPr>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620BB518" w14:textId="77777777" w:rsidR="00387142" w:rsidRPr="008B6A75" w:rsidRDefault="00387142" w:rsidP="00387142">
            <w:pPr>
              <w:jc w:val="right"/>
              <w:rPr>
                <w:sz w:val="20"/>
                <w:szCs w:val="20"/>
              </w:rPr>
            </w:pPr>
            <w:r w:rsidRPr="008B6A75">
              <w:rPr>
                <w:sz w:val="20"/>
                <w:szCs w:val="20"/>
              </w:rPr>
              <w:t>0,00</w:t>
            </w:r>
          </w:p>
        </w:tc>
      </w:tr>
      <w:tr w:rsidR="00387142" w:rsidRPr="008B6A75" w14:paraId="736E149E" w14:textId="77777777" w:rsidTr="00387142">
        <w:trPr>
          <w:trHeight w:val="345"/>
        </w:trPr>
        <w:tc>
          <w:tcPr>
            <w:tcW w:w="3261" w:type="dxa"/>
            <w:tcBorders>
              <w:top w:val="nil"/>
              <w:left w:val="single" w:sz="4" w:space="0" w:color="auto"/>
              <w:bottom w:val="single" w:sz="4" w:space="0" w:color="auto"/>
              <w:right w:val="nil"/>
            </w:tcBorders>
            <w:shd w:val="clear" w:color="auto" w:fill="auto"/>
            <w:vAlign w:val="center"/>
            <w:hideMark/>
          </w:tcPr>
          <w:p w14:paraId="0EFEA26A" w14:textId="77777777" w:rsidR="00387142" w:rsidRPr="008B6A75" w:rsidRDefault="00387142" w:rsidP="00387142">
            <w:pPr>
              <w:rPr>
                <w:sz w:val="20"/>
                <w:szCs w:val="20"/>
              </w:rPr>
            </w:pPr>
            <w:r w:rsidRPr="008B6A75">
              <w:rPr>
                <w:sz w:val="20"/>
                <w:szCs w:val="20"/>
              </w:rPr>
              <w:t>Субсидии</w:t>
            </w:r>
          </w:p>
        </w:tc>
        <w:tc>
          <w:tcPr>
            <w:tcW w:w="720" w:type="dxa"/>
            <w:tcBorders>
              <w:top w:val="nil"/>
              <w:left w:val="single" w:sz="4" w:space="0" w:color="auto"/>
              <w:bottom w:val="single" w:sz="4" w:space="0" w:color="auto"/>
              <w:right w:val="nil"/>
            </w:tcBorders>
            <w:shd w:val="clear" w:color="auto" w:fill="auto"/>
            <w:noWrap/>
            <w:vAlign w:val="center"/>
            <w:hideMark/>
          </w:tcPr>
          <w:p w14:paraId="59A96CAF" w14:textId="77777777" w:rsidR="00387142" w:rsidRPr="008B6A75" w:rsidRDefault="00387142" w:rsidP="00387142">
            <w:pPr>
              <w:jc w:val="center"/>
              <w:rPr>
                <w:sz w:val="20"/>
                <w:szCs w:val="20"/>
              </w:rPr>
            </w:pPr>
            <w:r w:rsidRPr="008B6A75">
              <w:rPr>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3BB6DE8" w14:textId="77777777" w:rsidR="00387142" w:rsidRPr="008B6A75" w:rsidRDefault="00387142" w:rsidP="00387142">
            <w:pPr>
              <w:jc w:val="center"/>
              <w:rPr>
                <w:sz w:val="20"/>
                <w:szCs w:val="20"/>
              </w:rPr>
            </w:pPr>
            <w:r w:rsidRPr="008B6A75">
              <w:rPr>
                <w:sz w:val="20"/>
                <w:szCs w:val="20"/>
              </w:rPr>
              <w:t>03</w:t>
            </w:r>
          </w:p>
        </w:tc>
        <w:tc>
          <w:tcPr>
            <w:tcW w:w="1516" w:type="dxa"/>
            <w:tcBorders>
              <w:top w:val="nil"/>
              <w:left w:val="single" w:sz="4" w:space="0" w:color="auto"/>
              <w:bottom w:val="single" w:sz="4" w:space="0" w:color="auto"/>
              <w:right w:val="nil"/>
            </w:tcBorders>
            <w:shd w:val="clear" w:color="auto" w:fill="auto"/>
            <w:noWrap/>
            <w:vAlign w:val="center"/>
            <w:hideMark/>
          </w:tcPr>
          <w:p w14:paraId="5874528B" w14:textId="77777777" w:rsidR="00387142" w:rsidRPr="008B6A75" w:rsidRDefault="00387142" w:rsidP="00387142">
            <w:pPr>
              <w:jc w:val="center"/>
              <w:rPr>
                <w:sz w:val="20"/>
                <w:szCs w:val="20"/>
              </w:rPr>
            </w:pPr>
            <w:r w:rsidRPr="008B6A75">
              <w:rPr>
                <w:sz w:val="20"/>
                <w:szCs w:val="20"/>
              </w:rPr>
              <w:t>17.2.F2.55553</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18F829B" w14:textId="77777777" w:rsidR="00387142" w:rsidRPr="008B6A75" w:rsidRDefault="00387142" w:rsidP="00387142">
            <w:pPr>
              <w:jc w:val="center"/>
              <w:rPr>
                <w:sz w:val="20"/>
                <w:szCs w:val="20"/>
              </w:rPr>
            </w:pPr>
            <w:r w:rsidRPr="008B6A75">
              <w:rPr>
                <w:sz w:val="20"/>
                <w:szCs w:val="20"/>
              </w:rPr>
              <w:t>520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9921B31" w14:textId="77777777" w:rsidR="00387142" w:rsidRPr="008B6A75" w:rsidRDefault="00387142" w:rsidP="00387142">
            <w:pPr>
              <w:jc w:val="right"/>
              <w:rPr>
                <w:sz w:val="20"/>
                <w:szCs w:val="20"/>
              </w:rPr>
            </w:pPr>
            <w:r w:rsidRPr="008B6A75">
              <w:rPr>
                <w:sz w:val="20"/>
                <w:szCs w:val="20"/>
              </w:rPr>
              <w:t>5 116 800,00</w:t>
            </w:r>
          </w:p>
        </w:tc>
        <w:tc>
          <w:tcPr>
            <w:tcW w:w="992" w:type="dxa"/>
            <w:tcBorders>
              <w:top w:val="nil"/>
              <w:left w:val="single" w:sz="4" w:space="0" w:color="auto"/>
              <w:bottom w:val="single" w:sz="4" w:space="0" w:color="auto"/>
              <w:right w:val="nil"/>
            </w:tcBorders>
            <w:shd w:val="clear" w:color="auto" w:fill="auto"/>
            <w:vAlign w:val="center"/>
            <w:hideMark/>
          </w:tcPr>
          <w:p w14:paraId="752A316B" w14:textId="77777777" w:rsidR="00387142" w:rsidRPr="008B6A75" w:rsidRDefault="00387142" w:rsidP="00387142">
            <w:pPr>
              <w:jc w:val="right"/>
              <w:rPr>
                <w:sz w:val="20"/>
                <w:szCs w:val="20"/>
              </w:rPr>
            </w:pPr>
            <w:r w:rsidRPr="008B6A75">
              <w:rPr>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6EB6BC98" w14:textId="77777777" w:rsidR="00387142" w:rsidRPr="008B6A75" w:rsidRDefault="00387142" w:rsidP="00387142">
            <w:pPr>
              <w:jc w:val="right"/>
              <w:rPr>
                <w:sz w:val="20"/>
                <w:szCs w:val="20"/>
              </w:rPr>
            </w:pPr>
            <w:r w:rsidRPr="008B6A75">
              <w:rPr>
                <w:sz w:val="20"/>
                <w:szCs w:val="20"/>
              </w:rPr>
              <w:t>0,00</w:t>
            </w:r>
          </w:p>
        </w:tc>
      </w:tr>
      <w:tr w:rsidR="00387142" w:rsidRPr="008B6A75" w14:paraId="7A334ABC" w14:textId="77777777" w:rsidTr="00387142">
        <w:trPr>
          <w:trHeight w:val="585"/>
        </w:trPr>
        <w:tc>
          <w:tcPr>
            <w:tcW w:w="3261" w:type="dxa"/>
            <w:tcBorders>
              <w:top w:val="nil"/>
              <w:left w:val="single" w:sz="4" w:space="0" w:color="auto"/>
              <w:bottom w:val="single" w:sz="4" w:space="0" w:color="auto"/>
              <w:right w:val="nil"/>
            </w:tcBorders>
            <w:shd w:val="clear" w:color="auto" w:fill="auto"/>
            <w:vAlign w:val="center"/>
            <w:hideMark/>
          </w:tcPr>
          <w:p w14:paraId="6119E5E9" w14:textId="77777777" w:rsidR="00387142" w:rsidRPr="008B6A75" w:rsidRDefault="00387142" w:rsidP="00387142">
            <w:pPr>
              <w:rPr>
                <w:bCs/>
                <w:sz w:val="20"/>
                <w:szCs w:val="20"/>
              </w:rPr>
            </w:pPr>
            <w:r w:rsidRPr="008B6A75">
              <w:rPr>
                <w:bCs/>
                <w:sz w:val="20"/>
                <w:szCs w:val="20"/>
              </w:rPr>
              <w:t>Другие вопросы в области жилищно-коммунального хозяйства</w:t>
            </w:r>
          </w:p>
        </w:tc>
        <w:tc>
          <w:tcPr>
            <w:tcW w:w="720" w:type="dxa"/>
            <w:tcBorders>
              <w:top w:val="nil"/>
              <w:left w:val="single" w:sz="4" w:space="0" w:color="auto"/>
              <w:bottom w:val="single" w:sz="4" w:space="0" w:color="auto"/>
              <w:right w:val="nil"/>
            </w:tcBorders>
            <w:shd w:val="clear" w:color="auto" w:fill="auto"/>
            <w:noWrap/>
            <w:vAlign w:val="center"/>
            <w:hideMark/>
          </w:tcPr>
          <w:p w14:paraId="399606DE" w14:textId="77777777" w:rsidR="00387142" w:rsidRPr="008B6A75" w:rsidRDefault="00387142" w:rsidP="00387142">
            <w:pPr>
              <w:jc w:val="center"/>
              <w:rPr>
                <w:bCs/>
                <w:sz w:val="20"/>
                <w:szCs w:val="20"/>
              </w:rPr>
            </w:pPr>
            <w:r w:rsidRPr="008B6A75">
              <w:rPr>
                <w:bCs/>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B9249B7" w14:textId="77777777" w:rsidR="00387142" w:rsidRPr="008B6A75" w:rsidRDefault="00387142" w:rsidP="00387142">
            <w:pPr>
              <w:jc w:val="center"/>
              <w:rPr>
                <w:bCs/>
                <w:sz w:val="20"/>
                <w:szCs w:val="20"/>
              </w:rPr>
            </w:pPr>
            <w:r w:rsidRPr="008B6A75">
              <w:rPr>
                <w:bCs/>
                <w:sz w:val="20"/>
                <w:szCs w:val="20"/>
              </w:rPr>
              <w:t>05</w:t>
            </w:r>
          </w:p>
        </w:tc>
        <w:tc>
          <w:tcPr>
            <w:tcW w:w="1516" w:type="dxa"/>
            <w:tcBorders>
              <w:top w:val="nil"/>
              <w:left w:val="single" w:sz="4" w:space="0" w:color="auto"/>
              <w:bottom w:val="single" w:sz="4" w:space="0" w:color="auto"/>
              <w:right w:val="nil"/>
            </w:tcBorders>
            <w:shd w:val="clear" w:color="auto" w:fill="auto"/>
            <w:noWrap/>
            <w:vAlign w:val="center"/>
            <w:hideMark/>
          </w:tcPr>
          <w:p w14:paraId="4622CDDE" w14:textId="77777777" w:rsidR="00387142" w:rsidRPr="008B6A75" w:rsidRDefault="00387142" w:rsidP="00387142">
            <w:pPr>
              <w:jc w:val="center"/>
              <w:rPr>
                <w:bCs/>
                <w:sz w:val="20"/>
                <w:szCs w:val="20"/>
              </w:rPr>
            </w:pPr>
            <w:r w:rsidRPr="008B6A75">
              <w:rPr>
                <w:bCs/>
                <w:sz w:val="20"/>
                <w:szCs w:val="20"/>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0409610"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8C9CA8B" w14:textId="77777777" w:rsidR="00387142" w:rsidRPr="008B6A75" w:rsidRDefault="00387142" w:rsidP="00387142">
            <w:pPr>
              <w:jc w:val="right"/>
              <w:rPr>
                <w:bCs/>
                <w:sz w:val="20"/>
                <w:szCs w:val="20"/>
              </w:rPr>
            </w:pPr>
            <w:r w:rsidRPr="008B6A75">
              <w:rPr>
                <w:bCs/>
                <w:sz w:val="20"/>
                <w:szCs w:val="20"/>
              </w:rPr>
              <w:t>56 440,00</w:t>
            </w:r>
          </w:p>
        </w:tc>
        <w:tc>
          <w:tcPr>
            <w:tcW w:w="992" w:type="dxa"/>
            <w:tcBorders>
              <w:top w:val="nil"/>
              <w:left w:val="single" w:sz="4" w:space="0" w:color="auto"/>
              <w:bottom w:val="single" w:sz="4" w:space="0" w:color="auto"/>
              <w:right w:val="nil"/>
            </w:tcBorders>
            <w:shd w:val="clear" w:color="auto" w:fill="auto"/>
            <w:vAlign w:val="center"/>
            <w:hideMark/>
          </w:tcPr>
          <w:p w14:paraId="406BEB19" w14:textId="77777777" w:rsidR="00387142" w:rsidRPr="008B6A75" w:rsidRDefault="00387142" w:rsidP="00387142">
            <w:pPr>
              <w:jc w:val="right"/>
              <w:rPr>
                <w:bCs/>
                <w:sz w:val="20"/>
                <w:szCs w:val="20"/>
              </w:rPr>
            </w:pPr>
            <w:r w:rsidRPr="008B6A75">
              <w:rPr>
                <w:bCs/>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0726E531" w14:textId="77777777" w:rsidR="00387142" w:rsidRPr="008B6A75" w:rsidRDefault="00387142" w:rsidP="00387142">
            <w:pPr>
              <w:jc w:val="right"/>
              <w:rPr>
                <w:bCs/>
                <w:sz w:val="20"/>
                <w:szCs w:val="20"/>
              </w:rPr>
            </w:pPr>
            <w:r w:rsidRPr="008B6A75">
              <w:rPr>
                <w:bCs/>
                <w:sz w:val="20"/>
                <w:szCs w:val="20"/>
              </w:rPr>
              <w:t>0,00</w:t>
            </w:r>
          </w:p>
        </w:tc>
      </w:tr>
      <w:tr w:rsidR="00387142" w:rsidRPr="008B6A75" w14:paraId="34047FC3" w14:textId="77777777" w:rsidTr="00387142">
        <w:trPr>
          <w:trHeight w:val="345"/>
        </w:trPr>
        <w:tc>
          <w:tcPr>
            <w:tcW w:w="3261" w:type="dxa"/>
            <w:tcBorders>
              <w:top w:val="nil"/>
              <w:left w:val="single" w:sz="4" w:space="0" w:color="auto"/>
              <w:bottom w:val="single" w:sz="4" w:space="0" w:color="auto"/>
              <w:right w:val="nil"/>
            </w:tcBorders>
            <w:shd w:val="clear" w:color="auto" w:fill="auto"/>
            <w:vAlign w:val="center"/>
            <w:hideMark/>
          </w:tcPr>
          <w:p w14:paraId="1CC70882" w14:textId="77777777" w:rsidR="00387142" w:rsidRPr="008B6A75" w:rsidRDefault="00387142" w:rsidP="00387142">
            <w:pPr>
              <w:rPr>
                <w:bCs/>
                <w:sz w:val="20"/>
                <w:szCs w:val="20"/>
              </w:rPr>
            </w:pPr>
            <w:r w:rsidRPr="008B6A75">
              <w:rPr>
                <w:bCs/>
                <w:sz w:val="20"/>
                <w:szCs w:val="20"/>
              </w:rPr>
              <w:t>Непрограммные направления бюджета</w:t>
            </w:r>
          </w:p>
        </w:tc>
        <w:tc>
          <w:tcPr>
            <w:tcW w:w="720" w:type="dxa"/>
            <w:tcBorders>
              <w:top w:val="nil"/>
              <w:left w:val="single" w:sz="4" w:space="0" w:color="auto"/>
              <w:bottom w:val="single" w:sz="4" w:space="0" w:color="auto"/>
              <w:right w:val="nil"/>
            </w:tcBorders>
            <w:shd w:val="clear" w:color="auto" w:fill="auto"/>
            <w:noWrap/>
            <w:vAlign w:val="center"/>
            <w:hideMark/>
          </w:tcPr>
          <w:p w14:paraId="1A9E2098" w14:textId="77777777" w:rsidR="00387142" w:rsidRPr="008B6A75" w:rsidRDefault="00387142" w:rsidP="00387142">
            <w:pPr>
              <w:jc w:val="center"/>
              <w:rPr>
                <w:bCs/>
                <w:sz w:val="20"/>
                <w:szCs w:val="20"/>
              </w:rPr>
            </w:pPr>
            <w:r w:rsidRPr="008B6A75">
              <w:rPr>
                <w:bCs/>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F5537FE" w14:textId="77777777" w:rsidR="00387142" w:rsidRPr="008B6A75" w:rsidRDefault="00387142" w:rsidP="00387142">
            <w:pPr>
              <w:jc w:val="center"/>
              <w:rPr>
                <w:bCs/>
                <w:sz w:val="20"/>
                <w:szCs w:val="20"/>
              </w:rPr>
            </w:pPr>
            <w:r w:rsidRPr="008B6A75">
              <w:rPr>
                <w:bCs/>
                <w:sz w:val="20"/>
                <w:szCs w:val="20"/>
              </w:rPr>
              <w:t>05</w:t>
            </w:r>
          </w:p>
        </w:tc>
        <w:tc>
          <w:tcPr>
            <w:tcW w:w="1516" w:type="dxa"/>
            <w:tcBorders>
              <w:top w:val="nil"/>
              <w:left w:val="single" w:sz="4" w:space="0" w:color="auto"/>
              <w:bottom w:val="single" w:sz="4" w:space="0" w:color="auto"/>
              <w:right w:val="nil"/>
            </w:tcBorders>
            <w:shd w:val="clear" w:color="auto" w:fill="auto"/>
            <w:noWrap/>
            <w:vAlign w:val="center"/>
            <w:hideMark/>
          </w:tcPr>
          <w:p w14:paraId="4351DDC5" w14:textId="77777777" w:rsidR="00387142" w:rsidRPr="008B6A75" w:rsidRDefault="00387142" w:rsidP="00387142">
            <w:pPr>
              <w:jc w:val="center"/>
              <w:rPr>
                <w:bCs/>
                <w:sz w:val="20"/>
                <w:szCs w:val="20"/>
              </w:rPr>
            </w:pPr>
            <w:r w:rsidRPr="008B6A75">
              <w:rPr>
                <w:bCs/>
                <w:sz w:val="20"/>
                <w:szCs w:val="20"/>
              </w:rPr>
              <w:t>99.0.00.00000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6B5A7E2"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1F6505B" w14:textId="77777777" w:rsidR="00387142" w:rsidRPr="008B6A75" w:rsidRDefault="00387142" w:rsidP="00387142">
            <w:pPr>
              <w:jc w:val="right"/>
              <w:rPr>
                <w:bCs/>
                <w:sz w:val="20"/>
                <w:szCs w:val="20"/>
              </w:rPr>
            </w:pPr>
            <w:r w:rsidRPr="008B6A75">
              <w:rPr>
                <w:bCs/>
                <w:sz w:val="20"/>
                <w:szCs w:val="20"/>
              </w:rPr>
              <w:t>56 440,00</w:t>
            </w:r>
          </w:p>
        </w:tc>
        <w:tc>
          <w:tcPr>
            <w:tcW w:w="992" w:type="dxa"/>
            <w:tcBorders>
              <w:top w:val="nil"/>
              <w:left w:val="single" w:sz="4" w:space="0" w:color="auto"/>
              <w:bottom w:val="single" w:sz="4" w:space="0" w:color="auto"/>
              <w:right w:val="nil"/>
            </w:tcBorders>
            <w:shd w:val="clear" w:color="auto" w:fill="auto"/>
            <w:vAlign w:val="center"/>
            <w:hideMark/>
          </w:tcPr>
          <w:p w14:paraId="1175A94C" w14:textId="77777777" w:rsidR="00387142" w:rsidRPr="008B6A75" w:rsidRDefault="00387142" w:rsidP="00387142">
            <w:pPr>
              <w:jc w:val="right"/>
              <w:rPr>
                <w:bCs/>
                <w:sz w:val="20"/>
                <w:szCs w:val="20"/>
              </w:rPr>
            </w:pPr>
            <w:r w:rsidRPr="008B6A75">
              <w:rPr>
                <w:bCs/>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69EC945C" w14:textId="77777777" w:rsidR="00387142" w:rsidRPr="008B6A75" w:rsidRDefault="00387142" w:rsidP="00387142">
            <w:pPr>
              <w:jc w:val="right"/>
              <w:rPr>
                <w:bCs/>
                <w:sz w:val="20"/>
                <w:szCs w:val="20"/>
              </w:rPr>
            </w:pPr>
            <w:r w:rsidRPr="008B6A75">
              <w:rPr>
                <w:bCs/>
                <w:sz w:val="20"/>
                <w:szCs w:val="20"/>
              </w:rPr>
              <w:t>0,00</w:t>
            </w:r>
          </w:p>
        </w:tc>
      </w:tr>
      <w:tr w:rsidR="00387142" w:rsidRPr="008B6A75" w14:paraId="4C77B7D9" w14:textId="77777777" w:rsidTr="00387142">
        <w:trPr>
          <w:trHeight w:val="585"/>
        </w:trPr>
        <w:tc>
          <w:tcPr>
            <w:tcW w:w="3261" w:type="dxa"/>
            <w:tcBorders>
              <w:top w:val="nil"/>
              <w:left w:val="single" w:sz="4" w:space="0" w:color="auto"/>
              <w:bottom w:val="single" w:sz="4" w:space="0" w:color="auto"/>
              <w:right w:val="nil"/>
            </w:tcBorders>
            <w:shd w:val="clear" w:color="auto" w:fill="auto"/>
            <w:vAlign w:val="center"/>
            <w:hideMark/>
          </w:tcPr>
          <w:p w14:paraId="2BA63CB9" w14:textId="77777777" w:rsidR="00387142" w:rsidRPr="008B6A75" w:rsidRDefault="00387142" w:rsidP="00387142">
            <w:pPr>
              <w:rPr>
                <w:bCs/>
                <w:sz w:val="20"/>
                <w:szCs w:val="20"/>
              </w:rPr>
            </w:pPr>
            <w:r w:rsidRPr="008B6A75">
              <w:rPr>
                <w:bCs/>
                <w:sz w:val="20"/>
                <w:szCs w:val="20"/>
              </w:rPr>
              <w:t>Капитальный ремонт муниципального жилого фонда</w:t>
            </w:r>
          </w:p>
        </w:tc>
        <w:tc>
          <w:tcPr>
            <w:tcW w:w="720" w:type="dxa"/>
            <w:tcBorders>
              <w:top w:val="nil"/>
              <w:left w:val="single" w:sz="4" w:space="0" w:color="auto"/>
              <w:bottom w:val="single" w:sz="4" w:space="0" w:color="auto"/>
              <w:right w:val="nil"/>
            </w:tcBorders>
            <w:shd w:val="clear" w:color="auto" w:fill="auto"/>
            <w:noWrap/>
            <w:vAlign w:val="center"/>
            <w:hideMark/>
          </w:tcPr>
          <w:p w14:paraId="237459BA" w14:textId="77777777" w:rsidR="00387142" w:rsidRPr="008B6A75" w:rsidRDefault="00387142" w:rsidP="00387142">
            <w:pPr>
              <w:jc w:val="center"/>
              <w:rPr>
                <w:bCs/>
                <w:sz w:val="20"/>
                <w:szCs w:val="20"/>
              </w:rPr>
            </w:pPr>
            <w:r w:rsidRPr="008B6A75">
              <w:rPr>
                <w:bCs/>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1A30A37" w14:textId="77777777" w:rsidR="00387142" w:rsidRPr="008B6A75" w:rsidRDefault="00387142" w:rsidP="00387142">
            <w:pPr>
              <w:jc w:val="center"/>
              <w:rPr>
                <w:bCs/>
                <w:sz w:val="20"/>
                <w:szCs w:val="20"/>
              </w:rPr>
            </w:pPr>
            <w:r w:rsidRPr="008B6A75">
              <w:rPr>
                <w:bCs/>
                <w:sz w:val="20"/>
                <w:szCs w:val="20"/>
              </w:rPr>
              <w:t>05</w:t>
            </w:r>
          </w:p>
        </w:tc>
        <w:tc>
          <w:tcPr>
            <w:tcW w:w="1516" w:type="dxa"/>
            <w:tcBorders>
              <w:top w:val="nil"/>
              <w:left w:val="single" w:sz="4" w:space="0" w:color="auto"/>
              <w:bottom w:val="single" w:sz="4" w:space="0" w:color="auto"/>
              <w:right w:val="nil"/>
            </w:tcBorders>
            <w:shd w:val="clear" w:color="auto" w:fill="auto"/>
            <w:noWrap/>
            <w:vAlign w:val="center"/>
            <w:hideMark/>
          </w:tcPr>
          <w:p w14:paraId="26CBAB0F" w14:textId="77777777" w:rsidR="00387142" w:rsidRPr="008B6A75" w:rsidRDefault="00387142" w:rsidP="00387142">
            <w:pPr>
              <w:jc w:val="center"/>
              <w:rPr>
                <w:bCs/>
                <w:sz w:val="20"/>
                <w:szCs w:val="20"/>
              </w:rPr>
            </w:pPr>
            <w:r w:rsidRPr="008B6A75">
              <w:rPr>
                <w:bCs/>
                <w:sz w:val="20"/>
                <w:szCs w:val="20"/>
              </w:rPr>
              <w:t>99.0.00.05110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E6E3870"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578004D" w14:textId="77777777" w:rsidR="00387142" w:rsidRPr="008B6A75" w:rsidRDefault="00387142" w:rsidP="00387142">
            <w:pPr>
              <w:jc w:val="right"/>
              <w:rPr>
                <w:bCs/>
                <w:sz w:val="20"/>
                <w:szCs w:val="20"/>
              </w:rPr>
            </w:pPr>
            <w:r w:rsidRPr="008B6A75">
              <w:rPr>
                <w:bCs/>
                <w:sz w:val="20"/>
                <w:szCs w:val="20"/>
              </w:rPr>
              <w:t>56 440,00</w:t>
            </w:r>
          </w:p>
        </w:tc>
        <w:tc>
          <w:tcPr>
            <w:tcW w:w="992" w:type="dxa"/>
            <w:tcBorders>
              <w:top w:val="nil"/>
              <w:left w:val="single" w:sz="4" w:space="0" w:color="auto"/>
              <w:bottom w:val="single" w:sz="4" w:space="0" w:color="auto"/>
              <w:right w:val="nil"/>
            </w:tcBorders>
            <w:shd w:val="clear" w:color="auto" w:fill="auto"/>
            <w:vAlign w:val="center"/>
            <w:hideMark/>
          </w:tcPr>
          <w:p w14:paraId="37B034C2" w14:textId="77777777" w:rsidR="00387142" w:rsidRPr="008B6A75" w:rsidRDefault="00387142" w:rsidP="00387142">
            <w:pPr>
              <w:jc w:val="right"/>
              <w:rPr>
                <w:bCs/>
                <w:sz w:val="20"/>
                <w:szCs w:val="20"/>
              </w:rPr>
            </w:pPr>
            <w:r w:rsidRPr="008B6A75">
              <w:rPr>
                <w:bCs/>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7DE4C573" w14:textId="77777777" w:rsidR="00387142" w:rsidRPr="008B6A75" w:rsidRDefault="00387142" w:rsidP="00387142">
            <w:pPr>
              <w:jc w:val="right"/>
              <w:rPr>
                <w:bCs/>
                <w:sz w:val="20"/>
                <w:szCs w:val="20"/>
              </w:rPr>
            </w:pPr>
            <w:r w:rsidRPr="008B6A75">
              <w:rPr>
                <w:bCs/>
                <w:sz w:val="20"/>
                <w:szCs w:val="20"/>
              </w:rPr>
              <w:t>0,00</w:t>
            </w:r>
          </w:p>
        </w:tc>
      </w:tr>
      <w:tr w:rsidR="00387142" w:rsidRPr="008B6A75" w14:paraId="16679DA3" w14:textId="77777777" w:rsidTr="00387142">
        <w:trPr>
          <w:trHeight w:val="585"/>
        </w:trPr>
        <w:tc>
          <w:tcPr>
            <w:tcW w:w="3261" w:type="dxa"/>
            <w:tcBorders>
              <w:top w:val="nil"/>
              <w:left w:val="single" w:sz="4" w:space="0" w:color="auto"/>
              <w:bottom w:val="single" w:sz="4" w:space="0" w:color="auto"/>
              <w:right w:val="nil"/>
            </w:tcBorders>
            <w:shd w:val="clear" w:color="auto" w:fill="auto"/>
            <w:vAlign w:val="center"/>
            <w:hideMark/>
          </w:tcPr>
          <w:p w14:paraId="27D4EF67" w14:textId="77777777" w:rsidR="00387142" w:rsidRPr="008B6A75" w:rsidRDefault="00387142" w:rsidP="00387142">
            <w:pPr>
              <w:rPr>
                <w:sz w:val="20"/>
                <w:szCs w:val="20"/>
              </w:rPr>
            </w:pPr>
            <w:r w:rsidRPr="008B6A75">
              <w:rPr>
                <w:sz w:val="20"/>
                <w:szCs w:val="20"/>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2EF107A7" w14:textId="77777777" w:rsidR="00387142" w:rsidRPr="008B6A75" w:rsidRDefault="00387142" w:rsidP="00387142">
            <w:pPr>
              <w:jc w:val="center"/>
              <w:rPr>
                <w:sz w:val="20"/>
                <w:szCs w:val="20"/>
              </w:rPr>
            </w:pPr>
            <w:r w:rsidRPr="008B6A75">
              <w:rPr>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FBF6536" w14:textId="77777777" w:rsidR="00387142" w:rsidRPr="008B6A75" w:rsidRDefault="00387142" w:rsidP="00387142">
            <w:pPr>
              <w:jc w:val="center"/>
              <w:rPr>
                <w:sz w:val="20"/>
                <w:szCs w:val="20"/>
              </w:rPr>
            </w:pPr>
            <w:r w:rsidRPr="008B6A75">
              <w:rPr>
                <w:sz w:val="20"/>
                <w:szCs w:val="20"/>
              </w:rPr>
              <w:t>05</w:t>
            </w:r>
          </w:p>
        </w:tc>
        <w:tc>
          <w:tcPr>
            <w:tcW w:w="1516" w:type="dxa"/>
            <w:tcBorders>
              <w:top w:val="nil"/>
              <w:left w:val="single" w:sz="4" w:space="0" w:color="auto"/>
              <w:bottom w:val="single" w:sz="4" w:space="0" w:color="auto"/>
              <w:right w:val="nil"/>
            </w:tcBorders>
            <w:shd w:val="clear" w:color="auto" w:fill="auto"/>
            <w:noWrap/>
            <w:vAlign w:val="center"/>
            <w:hideMark/>
          </w:tcPr>
          <w:p w14:paraId="1C9AB6C4" w14:textId="77777777" w:rsidR="00387142" w:rsidRPr="008B6A75" w:rsidRDefault="00387142" w:rsidP="00387142">
            <w:pPr>
              <w:jc w:val="center"/>
              <w:rPr>
                <w:sz w:val="20"/>
                <w:szCs w:val="20"/>
              </w:rPr>
            </w:pPr>
            <w:r w:rsidRPr="008B6A75">
              <w:rPr>
                <w:sz w:val="20"/>
                <w:szCs w:val="20"/>
              </w:rPr>
              <w:t>99.0.00.05110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6623146" w14:textId="77777777" w:rsidR="00387142" w:rsidRPr="008B6A75" w:rsidRDefault="00387142" w:rsidP="00387142">
            <w:pPr>
              <w:jc w:val="center"/>
              <w:rPr>
                <w:sz w:val="20"/>
                <w:szCs w:val="20"/>
              </w:rPr>
            </w:pPr>
            <w:r w:rsidRPr="008B6A75">
              <w:rPr>
                <w:sz w:val="20"/>
                <w:szCs w:val="20"/>
              </w:rPr>
              <w:t>200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00953D9" w14:textId="77777777" w:rsidR="00387142" w:rsidRPr="008B6A75" w:rsidRDefault="00387142" w:rsidP="00387142">
            <w:pPr>
              <w:jc w:val="right"/>
              <w:rPr>
                <w:sz w:val="20"/>
                <w:szCs w:val="20"/>
              </w:rPr>
            </w:pPr>
            <w:r w:rsidRPr="008B6A75">
              <w:rPr>
                <w:sz w:val="20"/>
                <w:szCs w:val="20"/>
              </w:rPr>
              <w:t>56 440,00</w:t>
            </w:r>
          </w:p>
        </w:tc>
        <w:tc>
          <w:tcPr>
            <w:tcW w:w="992" w:type="dxa"/>
            <w:tcBorders>
              <w:top w:val="nil"/>
              <w:left w:val="single" w:sz="4" w:space="0" w:color="auto"/>
              <w:bottom w:val="single" w:sz="4" w:space="0" w:color="auto"/>
              <w:right w:val="nil"/>
            </w:tcBorders>
            <w:shd w:val="clear" w:color="auto" w:fill="auto"/>
            <w:vAlign w:val="center"/>
            <w:hideMark/>
          </w:tcPr>
          <w:p w14:paraId="70E28AC3" w14:textId="77777777" w:rsidR="00387142" w:rsidRPr="008B6A75" w:rsidRDefault="00387142" w:rsidP="00387142">
            <w:pPr>
              <w:jc w:val="right"/>
              <w:rPr>
                <w:sz w:val="20"/>
                <w:szCs w:val="20"/>
              </w:rPr>
            </w:pPr>
            <w:r w:rsidRPr="008B6A75">
              <w:rPr>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3DF2605D" w14:textId="77777777" w:rsidR="00387142" w:rsidRPr="008B6A75" w:rsidRDefault="00387142" w:rsidP="00387142">
            <w:pPr>
              <w:jc w:val="right"/>
              <w:rPr>
                <w:sz w:val="20"/>
                <w:szCs w:val="20"/>
              </w:rPr>
            </w:pPr>
            <w:r w:rsidRPr="008B6A75">
              <w:rPr>
                <w:sz w:val="20"/>
                <w:szCs w:val="20"/>
              </w:rPr>
              <w:t>0,00</w:t>
            </w:r>
          </w:p>
        </w:tc>
      </w:tr>
      <w:tr w:rsidR="00387142" w:rsidRPr="008B6A75" w14:paraId="5BC3DA30" w14:textId="77777777" w:rsidTr="00387142">
        <w:trPr>
          <w:trHeight w:val="870"/>
        </w:trPr>
        <w:tc>
          <w:tcPr>
            <w:tcW w:w="3261" w:type="dxa"/>
            <w:tcBorders>
              <w:top w:val="nil"/>
              <w:left w:val="single" w:sz="4" w:space="0" w:color="auto"/>
              <w:bottom w:val="single" w:sz="4" w:space="0" w:color="auto"/>
              <w:right w:val="nil"/>
            </w:tcBorders>
            <w:shd w:val="clear" w:color="auto" w:fill="auto"/>
            <w:vAlign w:val="center"/>
            <w:hideMark/>
          </w:tcPr>
          <w:p w14:paraId="2017457E" w14:textId="77777777" w:rsidR="00387142" w:rsidRPr="008B6A75" w:rsidRDefault="00387142" w:rsidP="00387142">
            <w:pPr>
              <w:rPr>
                <w:sz w:val="20"/>
                <w:szCs w:val="20"/>
              </w:rPr>
            </w:pPr>
            <w:r w:rsidRPr="008B6A75">
              <w:rPr>
                <w:sz w:val="20"/>
                <w:szCs w:val="20"/>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37D1ACFE" w14:textId="77777777" w:rsidR="00387142" w:rsidRPr="008B6A75" w:rsidRDefault="00387142" w:rsidP="00387142">
            <w:pPr>
              <w:jc w:val="center"/>
              <w:rPr>
                <w:sz w:val="20"/>
                <w:szCs w:val="20"/>
              </w:rPr>
            </w:pPr>
            <w:r w:rsidRPr="008B6A75">
              <w:rPr>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1E66B49" w14:textId="77777777" w:rsidR="00387142" w:rsidRPr="008B6A75" w:rsidRDefault="00387142" w:rsidP="00387142">
            <w:pPr>
              <w:jc w:val="center"/>
              <w:rPr>
                <w:sz w:val="20"/>
                <w:szCs w:val="20"/>
              </w:rPr>
            </w:pPr>
            <w:r w:rsidRPr="008B6A75">
              <w:rPr>
                <w:sz w:val="20"/>
                <w:szCs w:val="20"/>
              </w:rPr>
              <w:t>05</w:t>
            </w:r>
          </w:p>
        </w:tc>
        <w:tc>
          <w:tcPr>
            <w:tcW w:w="1516" w:type="dxa"/>
            <w:tcBorders>
              <w:top w:val="nil"/>
              <w:left w:val="single" w:sz="4" w:space="0" w:color="auto"/>
              <w:bottom w:val="single" w:sz="4" w:space="0" w:color="auto"/>
              <w:right w:val="nil"/>
            </w:tcBorders>
            <w:shd w:val="clear" w:color="auto" w:fill="auto"/>
            <w:noWrap/>
            <w:vAlign w:val="center"/>
            <w:hideMark/>
          </w:tcPr>
          <w:p w14:paraId="7FAE8F48" w14:textId="77777777" w:rsidR="00387142" w:rsidRPr="008B6A75" w:rsidRDefault="00387142" w:rsidP="00387142">
            <w:pPr>
              <w:jc w:val="center"/>
              <w:rPr>
                <w:sz w:val="20"/>
                <w:szCs w:val="20"/>
              </w:rPr>
            </w:pPr>
            <w:r w:rsidRPr="008B6A75">
              <w:rPr>
                <w:sz w:val="20"/>
                <w:szCs w:val="20"/>
              </w:rPr>
              <w:t>99.0.00.05110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6BBAD19" w14:textId="77777777" w:rsidR="00387142" w:rsidRPr="008B6A75" w:rsidRDefault="00387142" w:rsidP="00387142">
            <w:pPr>
              <w:jc w:val="center"/>
              <w:rPr>
                <w:sz w:val="20"/>
                <w:szCs w:val="20"/>
              </w:rPr>
            </w:pPr>
            <w:r w:rsidRPr="008B6A75">
              <w:rPr>
                <w:sz w:val="20"/>
                <w:szCs w:val="20"/>
              </w:rPr>
              <w:t>240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8EC973C" w14:textId="77777777" w:rsidR="00387142" w:rsidRPr="008B6A75" w:rsidRDefault="00387142" w:rsidP="00387142">
            <w:pPr>
              <w:jc w:val="right"/>
              <w:rPr>
                <w:sz w:val="20"/>
                <w:szCs w:val="20"/>
              </w:rPr>
            </w:pPr>
            <w:r w:rsidRPr="008B6A75">
              <w:rPr>
                <w:sz w:val="20"/>
                <w:szCs w:val="20"/>
              </w:rPr>
              <w:t>56 440,00</w:t>
            </w:r>
          </w:p>
        </w:tc>
        <w:tc>
          <w:tcPr>
            <w:tcW w:w="992" w:type="dxa"/>
            <w:tcBorders>
              <w:top w:val="nil"/>
              <w:left w:val="single" w:sz="4" w:space="0" w:color="auto"/>
              <w:bottom w:val="single" w:sz="4" w:space="0" w:color="auto"/>
              <w:right w:val="nil"/>
            </w:tcBorders>
            <w:shd w:val="clear" w:color="auto" w:fill="auto"/>
            <w:vAlign w:val="center"/>
            <w:hideMark/>
          </w:tcPr>
          <w:p w14:paraId="3772BC01" w14:textId="77777777" w:rsidR="00387142" w:rsidRPr="008B6A75" w:rsidRDefault="00387142" w:rsidP="00387142">
            <w:pPr>
              <w:jc w:val="right"/>
              <w:rPr>
                <w:sz w:val="20"/>
                <w:szCs w:val="20"/>
              </w:rPr>
            </w:pPr>
            <w:r w:rsidRPr="008B6A75">
              <w:rPr>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47A338B9" w14:textId="77777777" w:rsidR="00387142" w:rsidRPr="008B6A75" w:rsidRDefault="00387142" w:rsidP="00387142">
            <w:pPr>
              <w:jc w:val="right"/>
              <w:rPr>
                <w:sz w:val="20"/>
                <w:szCs w:val="20"/>
              </w:rPr>
            </w:pPr>
            <w:r w:rsidRPr="008B6A75">
              <w:rPr>
                <w:sz w:val="20"/>
                <w:szCs w:val="20"/>
              </w:rPr>
              <w:t>0,00</w:t>
            </w:r>
          </w:p>
        </w:tc>
      </w:tr>
      <w:tr w:rsidR="00387142" w:rsidRPr="008B6A75" w14:paraId="5AAC8291" w14:textId="77777777" w:rsidTr="00387142">
        <w:trPr>
          <w:trHeight w:val="345"/>
        </w:trPr>
        <w:tc>
          <w:tcPr>
            <w:tcW w:w="3261" w:type="dxa"/>
            <w:tcBorders>
              <w:top w:val="nil"/>
              <w:left w:val="single" w:sz="4" w:space="0" w:color="auto"/>
              <w:bottom w:val="single" w:sz="4" w:space="0" w:color="auto"/>
              <w:right w:val="nil"/>
            </w:tcBorders>
            <w:shd w:val="clear" w:color="auto" w:fill="auto"/>
            <w:vAlign w:val="center"/>
            <w:hideMark/>
          </w:tcPr>
          <w:p w14:paraId="03963A22" w14:textId="77777777" w:rsidR="00387142" w:rsidRPr="008B6A75" w:rsidRDefault="00387142" w:rsidP="00387142">
            <w:pPr>
              <w:rPr>
                <w:bCs/>
                <w:sz w:val="20"/>
                <w:szCs w:val="20"/>
              </w:rPr>
            </w:pPr>
            <w:r w:rsidRPr="008B6A75">
              <w:rPr>
                <w:bCs/>
                <w:sz w:val="20"/>
                <w:szCs w:val="20"/>
              </w:rPr>
              <w:t>ОБРАЗОВАНИЕ</w:t>
            </w:r>
          </w:p>
        </w:tc>
        <w:tc>
          <w:tcPr>
            <w:tcW w:w="720" w:type="dxa"/>
            <w:tcBorders>
              <w:top w:val="nil"/>
              <w:left w:val="single" w:sz="4" w:space="0" w:color="auto"/>
              <w:bottom w:val="single" w:sz="4" w:space="0" w:color="auto"/>
              <w:right w:val="nil"/>
            </w:tcBorders>
            <w:shd w:val="clear" w:color="auto" w:fill="auto"/>
            <w:noWrap/>
            <w:vAlign w:val="center"/>
            <w:hideMark/>
          </w:tcPr>
          <w:p w14:paraId="3540E3E6" w14:textId="77777777" w:rsidR="00387142" w:rsidRPr="008B6A75" w:rsidRDefault="00387142" w:rsidP="00387142">
            <w:pPr>
              <w:jc w:val="center"/>
              <w:rPr>
                <w:bCs/>
                <w:sz w:val="20"/>
                <w:szCs w:val="20"/>
              </w:rPr>
            </w:pPr>
            <w:r w:rsidRPr="008B6A75">
              <w:rPr>
                <w:bCs/>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573B537" w14:textId="77777777" w:rsidR="00387142" w:rsidRPr="008B6A75" w:rsidRDefault="00387142" w:rsidP="00387142">
            <w:pPr>
              <w:jc w:val="center"/>
              <w:rPr>
                <w:bCs/>
                <w:sz w:val="20"/>
                <w:szCs w:val="20"/>
              </w:rPr>
            </w:pPr>
            <w:r w:rsidRPr="008B6A75">
              <w:rPr>
                <w:bCs/>
                <w:sz w:val="20"/>
                <w:szCs w:val="20"/>
              </w:rPr>
              <w:t> </w:t>
            </w:r>
          </w:p>
        </w:tc>
        <w:tc>
          <w:tcPr>
            <w:tcW w:w="1516" w:type="dxa"/>
            <w:tcBorders>
              <w:top w:val="nil"/>
              <w:left w:val="single" w:sz="4" w:space="0" w:color="auto"/>
              <w:bottom w:val="single" w:sz="4" w:space="0" w:color="auto"/>
              <w:right w:val="nil"/>
            </w:tcBorders>
            <w:shd w:val="clear" w:color="auto" w:fill="auto"/>
            <w:noWrap/>
            <w:vAlign w:val="center"/>
            <w:hideMark/>
          </w:tcPr>
          <w:p w14:paraId="12FBBD79" w14:textId="77777777" w:rsidR="00387142" w:rsidRPr="008B6A75" w:rsidRDefault="00387142" w:rsidP="00387142">
            <w:pPr>
              <w:jc w:val="center"/>
              <w:rPr>
                <w:bCs/>
                <w:sz w:val="20"/>
                <w:szCs w:val="20"/>
              </w:rPr>
            </w:pPr>
            <w:r w:rsidRPr="008B6A75">
              <w:rPr>
                <w:bCs/>
                <w:sz w:val="20"/>
                <w:szCs w:val="20"/>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EA0912A"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0EDD9AA" w14:textId="77777777" w:rsidR="00387142" w:rsidRPr="008B6A75" w:rsidRDefault="00387142" w:rsidP="00387142">
            <w:pPr>
              <w:jc w:val="right"/>
              <w:rPr>
                <w:bCs/>
                <w:sz w:val="20"/>
                <w:szCs w:val="20"/>
              </w:rPr>
            </w:pPr>
            <w:r w:rsidRPr="008B6A75">
              <w:rPr>
                <w:bCs/>
                <w:sz w:val="20"/>
                <w:szCs w:val="20"/>
              </w:rPr>
              <w:t>1 763 615 304,30</w:t>
            </w:r>
          </w:p>
        </w:tc>
        <w:tc>
          <w:tcPr>
            <w:tcW w:w="992" w:type="dxa"/>
            <w:tcBorders>
              <w:top w:val="nil"/>
              <w:left w:val="single" w:sz="4" w:space="0" w:color="auto"/>
              <w:bottom w:val="single" w:sz="4" w:space="0" w:color="auto"/>
              <w:right w:val="nil"/>
            </w:tcBorders>
            <w:shd w:val="clear" w:color="auto" w:fill="auto"/>
            <w:vAlign w:val="center"/>
            <w:hideMark/>
          </w:tcPr>
          <w:p w14:paraId="4FC42DB1" w14:textId="77777777" w:rsidR="00387142" w:rsidRPr="008B6A75" w:rsidRDefault="00387142" w:rsidP="00387142">
            <w:pPr>
              <w:jc w:val="right"/>
              <w:rPr>
                <w:bCs/>
                <w:sz w:val="20"/>
                <w:szCs w:val="20"/>
              </w:rPr>
            </w:pPr>
            <w:r w:rsidRPr="008B6A75">
              <w:rPr>
                <w:bCs/>
                <w:sz w:val="20"/>
                <w:szCs w:val="20"/>
              </w:rPr>
              <w:t>1 266 827 500,00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3419BE76" w14:textId="77777777" w:rsidR="00387142" w:rsidRPr="008B6A75" w:rsidRDefault="00387142" w:rsidP="00387142">
            <w:pPr>
              <w:jc w:val="right"/>
              <w:rPr>
                <w:bCs/>
                <w:sz w:val="20"/>
                <w:szCs w:val="20"/>
              </w:rPr>
            </w:pPr>
            <w:r w:rsidRPr="008B6A75">
              <w:rPr>
                <w:bCs/>
                <w:sz w:val="20"/>
                <w:szCs w:val="20"/>
              </w:rPr>
              <w:t>1 281 643 600,00</w:t>
            </w:r>
          </w:p>
        </w:tc>
      </w:tr>
      <w:tr w:rsidR="00387142" w:rsidRPr="008B6A75" w14:paraId="352BED68" w14:textId="77777777" w:rsidTr="00387142">
        <w:trPr>
          <w:trHeight w:val="345"/>
        </w:trPr>
        <w:tc>
          <w:tcPr>
            <w:tcW w:w="3261" w:type="dxa"/>
            <w:tcBorders>
              <w:top w:val="nil"/>
              <w:left w:val="single" w:sz="4" w:space="0" w:color="auto"/>
              <w:bottom w:val="single" w:sz="4" w:space="0" w:color="auto"/>
              <w:right w:val="nil"/>
            </w:tcBorders>
            <w:shd w:val="clear" w:color="auto" w:fill="auto"/>
            <w:vAlign w:val="center"/>
            <w:hideMark/>
          </w:tcPr>
          <w:p w14:paraId="2719DC61" w14:textId="77777777" w:rsidR="00387142" w:rsidRPr="008B6A75" w:rsidRDefault="00387142" w:rsidP="00387142">
            <w:pPr>
              <w:rPr>
                <w:bCs/>
                <w:sz w:val="20"/>
                <w:szCs w:val="20"/>
              </w:rPr>
            </w:pPr>
            <w:r w:rsidRPr="008B6A75">
              <w:rPr>
                <w:bCs/>
                <w:sz w:val="20"/>
                <w:szCs w:val="20"/>
              </w:rPr>
              <w:lastRenderedPageBreak/>
              <w:t>Дошкольное образование</w:t>
            </w:r>
          </w:p>
        </w:tc>
        <w:tc>
          <w:tcPr>
            <w:tcW w:w="720" w:type="dxa"/>
            <w:tcBorders>
              <w:top w:val="nil"/>
              <w:left w:val="single" w:sz="4" w:space="0" w:color="auto"/>
              <w:bottom w:val="single" w:sz="4" w:space="0" w:color="auto"/>
              <w:right w:val="nil"/>
            </w:tcBorders>
            <w:shd w:val="clear" w:color="auto" w:fill="auto"/>
            <w:noWrap/>
            <w:vAlign w:val="center"/>
            <w:hideMark/>
          </w:tcPr>
          <w:p w14:paraId="262837B4" w14:textId="77777777" w:rsidR="00387142" w:rsidRPr="008B6A75" w:rsidRDefault="00387142" w:rsidP="00387142">
            <w:pPr>
              <w:jc w:val="center"/>
              <w:rPr>
                <w:bCs/>
                <w:sz w:val="20"/>
                <w:szCs w:val="20"/>
              </w:rPr>
            </w:pPr>
            <w:r w:rsidRPr="008B6A75">
              <w:rPr>
                <w:bCs/>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FEDAC49" w14:textId="77777777" w:rsidR="00387142" w:rsidRPr="008B6A75" w:rsidRDefault="00387142" w:rsidP="00387142">
            <w:pPr>
              <w:jc w:val="center"/>
              <w:rPr>
                <w:bCs/>
                <w:sz w:val="20"/>
                <w:szCs w:val="20"/>
              </w:rPr>
            </w:pPr>
            <w:r w:rsidRPr="008B6A75">
              <w:rPr>
                <w:bCs/>
                <w:sz w:val="20"/>
                <w:szCs w:val="20"/>
              </w:rPr>
              <w:t>01</w:t>
            </w:r>
          </w:p>
        </w:tc>
        <w:tc>
          <w:tcPr>
            <w:tcW w:w="1516" w:type="dxa"/>
            <w:tcBorders>
              <w:top w:val="nil"/>
              <w:left w:val="single" w:sz="4" w:space="0" w:color="auto"/>
              <w:bottom w:val="single" w:sz="4" w:space="0" w:color="auto"/>
              <w:right w:val="nil"/>
            </w:tcBorders>
            <w:shd w:val="clear" w:color="auto" w:fill="auto"/>
            <w:noWrap/>
            <w:vAlign w:val="center"/>
            <w:hideMark/>
          </w:tcPr>
          <w:p w14:paraId="0BF759B2" w14:textId="77777777" w:rsidR="00387142" w:rsidRPr="008B6A75" w:rsidRDefault="00387142" w:rsidP="00387142">
            <w:pPr>
              <w:jc w:val="center"/>
              <w:rPr>
                <w:bCs/>
                <w:sz w:val="20"/>
                <w:szCs w:val="20"/>
              </w:rPr>
            </w:pPr>
            <w:r w:rsidRPr="008B6A75">
              <w:rPr>
                <w:bCs/>
                <w:sz w:val="20"/>
                <w:szCs w:val="20"/>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B38A7CE"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78A4EC5" w14:textId="77777777" w:rsidR="00387142" w:rsidRPr="008B6A75" w:rsidRDefault="00387142" w:rsidP="00387142">
            <w:pPr>
              <w:jc w:val="right"/>
              <w:rPr>
                <w:bCs/>
                <w:sz w:val="20"/>
                <w:szCs w:val="20"/>
              </w:rPr>
            </w:pPr>
            <w:r w:rsidRPr="008B6A75">
              <w:rPr>
                <w:bCs/>
                <w:sz w:val="20"/>
                <w:szCs w:val="20"/>
              </w:rPr>
              <w:t>365 767 047,20</w:t>
            </w:r>
          </w:p>
        </w:tc>
        <w:tc>
          <w:tcPr>
            <w:tcW w:w="992" w:type="dxa"/>
            <w:tcBorders>
              <w:top w:val="nil"/>
              <w:left w:val="single" w:sz="4" w:space="0" w:color="auto"/>
              <w:bottom w:val="single" w:sz="4" w:space="0" w:color="auto"/>
              <w:right w:val="nil"/>
            </w:tcBorders>
            <w:shd w:val="clear" w:color="auto" w:fill="auto"/>
            <w:vAlign w:val="center"/>
            <w:hideMark/>
          </w:tcPr>
          <w:p w14:paraId="4FFCB99A" w14:textId="77777777" w:rsidR="00387142" w:rsidRPr="008B6A75" w:rsidRDefault="00387142" w:rsidP="00387142">
            <w:pPr>
              <w:jc w:val="right"/>
              <w:rPr>
                <w:bCs/>
                <w:sz w:val="20"/>
                <w:szCs w:val="20"/>
              </w:rPr>
            </w:pPr>
            <w:r w:rsidRPr="008B6A75">
              <w:rPr>
                <w:bCs/>
                <w:sz w:val="20"/>
                <w:szCs w:val="20"/>
              </w:rPr>
              <w:t>314 268 786,20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2D692136" w14:textId="77777777" w:rsidR="00387142" w:rsidRPr="008B6A75" w:rsidRDefault="00387142" w:rsidP="00387142">
            <w:pPr>
              <w:jc w:val="right"/>
              <w:rPr>
                <w:bCs/>
                <w:sz w:val="20"/>
                <w:szCs w:val="20"/>
              </w:rPr>
            </w:pPr>
            <w:r w:rsidRPr="008B6A75">
              <w:rPr>
                <w:bCs/>
                <w:sz w:val="20"/>
                <w:szCs w:val="20"/>
              </w:rPr>
              <w:t>329 524 883,78</w:t>
            </w:r>
          </w:p>
        </w:tc>
      </w:tr>
      <w:tr w:rsidR="00387142" w:rsidRPr="008B6A75" w14:paraId="6300AD2C" w14:textId="77777777" w:rsidTr="00387142">
        <w:trPr>
          <w:trHeight w:val="585"/>
        </w:trPr>
        <w:tc>
          <w:tcPr>
            <w:tcW w:w="3261" w:type="dxa"/>
            <w:tcBorders>
              <w:top w:val="nil"/>
              <w:left w:val="single" w:sz="4" w:space="0" w:color="auto"/>
              <w:bottom w:val="single" w:sz="4" w:space="0" w:color="auto"/>
              <w:right w:val="nil"/>
            </w:tcBorders>
            <w:shd w:val="clear" w:color="auto" w:fill="auto"/>
            <w:vAlign w:val="center"/>
            <w:hideMark/>
          </w:tcPr>
          <w:p w14:paraId="713F91FC" w14:textId="77777777" w:rsidR="00387142" w:rsidRPr="008B6A75" w:rsidRDefault="00387142" w:rsidP="00387142">
            <w:pPr>
              <w:rPr>
                <w:bCs/>
                <w:sz w:val="20"/>
                <w:szCs w:val="20"/>
              </w:rPr>
            </w:pPr>
            <w:r w:rsidRPr="008B6A75">
              <w:rPr>
                <w:bCs/>
                <w:sz w:val="20"/>
                <w:szCs w:val="20"/>
              </w:rPr>
              <w:t>Муниципальная программа "Развитие системы образования Куйбышевского района"</w:t>
            </w:r>
          </w:p>
        </w:tc>
        <w:tc>
          <w:tcPr>
            <w:tcW w:w="720" w:type="dxa"/>
            <w:tcBorders>
              <w:top w:val="nil"/>
              <w:left w:val="single" w:sz="4" w:space="0" w:color="auto"/>
              <w:bottom w:val="single" w:sz="4" w:space="0" w:color="auto"/>
              <w:right w:val="nil"/>
            </w:tcBorders>
            <w:shd w:val="clear" w:color="auto" w:fill="auto"/>
            <w:noWrap/>
            <w:vAlign w:val="center"/>
            <w:hideMark/>
          </w:tcPr>
          <w:p w14:paraId="2ED05D45" w14:textId="77777777" w:rsidR="00387142" w:rsidRPr="008B6A75" w:rsidRDefault="00387142" w:rsidP="00387142">
            <w:pPr>
              <w:jc w:val="center"/>
              <w:rPr>
                <w:bCs/>
                <w:sz w:val="20"/>
                <w:szCs w:val="20"/>
              </w:rPr>
            </w:pPr>
            <w:r w:rsidRPr="008B6A75">
              <w:rPr>
                <w:bCs/>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A96E920" w14:textId="77777777" w:rsidR="00387142" w:rsidRPr="008B6A75" w:rsidRDefault="00387142" w:rsidP="00387142">
            <w:pPr>
              <w:jc w:val="center"/>
              <w:rPr>
                <w:bCs/>
                <w:sz w:val="20"/>
                <w:szCs w:val="20"/>
              </w:rPr>
            </w:pPr>
            <w:r w:rsidRPr="008B6A75">
              <w:rPr>
                <w:bCs/>
                <w:sz w:val="20"/>
                <w:szCs w:val="20"/>
              </w:rPr>
              <w:t>01</w:t>
            </w:r>
          </w:p>
        </w:tc>
        <w:tc>
          <w:tcPr>
            <w:tcW w:w="1516" w:type="dxa"/>
            <w:tcBorders>
              <w:top w:val="nil"/>
              <w:left w:val="single" w:sz="4" w:space="0" w:color="auto"/>
              <w:bottom w:val="single" w:sz="4" w:space="0" w:color="auto"/>
              <w:right w:val="nil"/>
            </w:tcBorders>
            <w:shd w:val="clear" w:color="auto" w:fill="auto"/>
            <w:noWrap/>
            <w:vAlign w:val="center"/>
            <w:hideMark/>
          </w:tcPr>
          <w:p w14:paraId="5A7A27EC" w14:textId="77777777" w:rsidR="00387142" w:rsidRPr="008B6A75" w:rsidRDefault="00387142" w:rsidP="00387142">
            <w:pPr>
              <w:jc w:val="center"/>
              <w:rPr>
                <w:bCs/>
                <w:sz w:val="20"/>
                <w:szCs w:val="20"/>
              </w:rPr>
            </w:pPr>
            <w:r w:rsidRPr="008B6A75">
              <w:rPr>
                <w:bCs/>
                <w:sz w:val="20"/>
                <w:szCs w:val="20"/>
              </w:rPr>
              <w:t>07.0.00.00000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B5A6486"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5CF2FB5" w14:textId="77777777" w:rsidR="00387142" w:rsidRPr="008B6A75" w:rsidRDefault="00387142" w:rsidP="00387142">
            <w:pPr>
              <w:jc w:val="right"/>
              <w:rPr>
                <w:bCs/>
                <w:sz w:val="20"/>
                <w:szCs w:val="20"/>
              </w:rPr>
            </w:pPr>
            <w:r w:rsidRPr="008B6A75">
              <w:rPr>
                <w:bCs/>
                <w:sz w:val="20"/>
                <w:szCs w:val="20"/>
              </w:rPr>
              <w:t>365 767 047,20</w:t>
            </w:r>
          </w:p>
        </w:tc>
        <w:tc>
          <w:tcPr>
            <w:tcW w:w="992" w:type="dxa"/>
            <w:tcBorders>
              <w:top w:val="nil"/>
              <w:left w:val="single" w:sz="4" w:space="0" w:color="auto"/>
              <w:bottom w:val="single" w:sz="4" w:space="0" w:color="auto"/>
              <w:right w:val="nil"/>
            </w:tcBorders>
            <w:shd w:val="clear" w:color="auto" w:fill="auto"/>
            <w:vAlign w:val="center"/>
            <w:hideMark/>
          </w:tcPr>
          <w:p w14:paraId="28663A73" w14:textId="77777777" w:rsidR="00387142" w:rsidRPr="008B6A75" w:rsidRDefault="00387142" w:rsidP="00387142">
            <w:pPr>
              <w:jc w:val="right"/>
              <w:rPr>
                <w:bCs/>
                <w:sz w:val="20"/>
                <w:szCs w:val="20"/>
              </w:rPr>
            </w:pPr>
            <w:r w:rsidRPr="008B6A75">
              <w:rPr>
                <w:bCs/>
                <w:sz w:val="20"/>
                <w:szCs w:val="20"/>
              </w:rPr>
              <w:t>314 268 786,20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74DD25D1" w14:textId="77777777" w:rsidR="00387142" w:rsidRPr="008B6A75" w:rsidRDefault="00387142" w:rsidP="00387142">
            <w:pPr>
              <w:jc w:val="right"/>
              <w:rPr>
                <w:bCs/>
                <w:sz w:val="20"/>
                <w:szCs w:val="20"/>
              </w:rPr>
            </w:pPr>
            <w:r w:rsidRPr="008B6A75">
              <w:rPr>
                <w:bCs/>
                <w:sz w:val="20"/>
                <w:szCs w:val="20"/>
              </w:rPr>
              <w:t>329 524 883,78</w:t>
            </w:r>
          </w:p>
        </w:tc>
      </w:tr>
      <w:tr w:rsidR="00387142" w:rsidRPr="008B6A75" w14:paraId="33ACF817" w14:textId="77777777" w:rsidTr="00387142">
        <w:trPr>
          <w:trHeight w:val="585"/>
        </w:trPr>
        <w:tc>
          <w:tcPr>
            <w:tcW w:w="3261" w:type="dxa"/>
            <w:tcBorders>
              <w:top w:val="nil"/>
              <w:left w:val="single" w:sz="4" w:space="0" w:color="auto"/>
              <w:bottom w:val="single" w:sz="4" w:space="0" w:color="auto"/>
              <w:right w:val="nil"/>
            </w:tcBorders>
            <w:shd w:val="clear" w:color="auto" w:fill="auto"/>
            <w:vAlign w:val="center"/>
            <w:hideMark/>
          </w:tcPr>
          <w:p w14:paraId="2C0060B4" w14:textId="77777777" w:rsidR="00387142" w:rsidRPr="008B6A75" w:rsidRDefault="00387142" w:rsidP="00387142">
            <w:pPr>
              <w:rPr>
                <w:bCs/>
                <w:sz w:val="20"/>
                <w:szCs w:val="20"/>
              </w:rPr>
            </w:pPr>
            <w:r w:rsidRPr="008B6A75">
              <w:rPr>
                <w:bCs/>
                <w:sz w:val="20"/>
                <w:szCs w:val="20"/>
              </w:rPr>
              <w:t>Подпрограмма "Развитие дошкольного, общего и дополнительного образования детей"</w:t>
            </w:r>
          </w:p>
        </w:tc>
        <w:tc>
          <w:tcPr>
            <w:tcW w:w="720" w:type="dxa"/>
            <w:tcBorders>
              <w:top w:val="nil"/>
              <w:left w:val="single" w:sz="4" w:space="0" w:color="auto"/>
              <w:bottom w:val="single" w:sz="4" w:space="0" w:color="auto"/>
              <w:right w:val="nil"/>
            </w:tcBorders>
            <w:shd w:val="clear" w:color="auto" w:fill="auto"/>
            <w:noWrap/>
            <w:vAlign w:val="center"/>
            <w:hideMark/>
          </w:tcPr>
          <w:p w14:paraId="258AAC90" w14:textId="77777777" w:rsidR="00387142" w:rsidRPr="008B6A75" w:rsidRDefault="00387142" w:rsidP="00387142">
            <w:pPr>
              <w:jc w:val="center"/>
              <w:rPr>
                <w:bCs/>
                <w:sz w:val="20"/>
                <w:szCs w:val="20"/>
              </w:rPr>
            </w:pPr>
            <w:r w:rsidRPr="008B6A75">
              <w:rPr>
                <w:bCs/>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40ADB9D" w14:textId="77777777" w:rsidR="00387142" w:rsidRPr="008B6A75" w:rsidRDefault="00387142" w:rsidP="00387142">
            <w:pPr>
              <w:jc w:val="center"/>
              <w:rPr>
                <w:bCs/>
                <w:sz w:val="20"/>
                <w:szCs w:val="20"/>
              </w:rPr>
            </w:pPr>
            <w:r w:rsidRPr="008B6A75">
              <w:rPr>
                <w:bCs/>
                <w:sz w:val="20"/>
                <w:szCs w:val="20"/>
              </w:rPr>
              <w:t>01</w:t>
            </w:r>
          </w:p>
        </w:tc>
        <w:tc>
          <w:tcPr>
            <w:tcW w:w="1516" w:type="dxa"/>
            <w:tcBorders>
              <w:top w:val="nil"/>
              <w:left w:val="single" w:sz="4" w:space="0" w:color="auto"/>
              <w:bottom w:val="single" w:sz="4" w:space="0" w:color="auto"/>
              <w:right w:val="nil"/>
            </w:tcBorders>
            <w:shd w:val="clear" w:color="auto" w:fill="auto"/>
            <w:noWrap/>
            <w:vAlign w:val="center"/>
            <w:hideMark/>
          </w:tcPr>
          <w:p w14:paraId="3F9804EE" w14:textId="77777777" w:rsidR="00387142" w:rsidRPr="008B6A75" w:rsidRDefault="00387142" w:rsidP="00387142">
            <w:pPr>
              <w:jc w:val="center"/>
              <w:rPr>
                <w:bCs/>
                <w:sz w:val="20"/>
                <w:szCs w:val="20"/>
              </w:rPr>
            </w:pPr>
            <w:r w:rsidRPr="008B6A75">
              <w:rPr>
                <w:bCs/>
                <w:sz w:val="20"/>
                <w:szCs w:val="20"/>
              </w:rPr>
              <w:t>07.1.00.00000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601F1B5"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3A27F06" w14:textId="77777777" w:rsidR="00387142" w:rsidRPr="008B6A75" w:rsidRDefault="00387142" w:rsidP="00387142">
            <w:pPr>
              <w:jc w:val="right"/>
              <w:rPr>
                <w:bCs/>
                <w:sz w:val="20"/>
                <w:szCs w:val="20"/>
              </w:rPr>
            </w:pPr>
            <w:r w:rsidRPr="008B6A75">
              <w:rPr>
                <w:bCs/>
                <w:sz w:val="20"/>
                <w:szCs w:val="20"/>
              </w:rPr>
              <w:t>365 629 067,20</w:t>
            </w:r>
          </w:p>
        </w:tc>
        <w:tc>
          <w:tcPr>
            <w:tcW w:w="992" w:type="dxa"/>
            <w:tcBorders>
              <w:top w:val="nil"/>
              <w:left w:val="single" w:sz="4" w:space="0" w:color="auto"/>
              <w:bottom w:val="single" w:sz="4" w:space="0" w:color="auto"/>
              <w:right w:val="nil"/>
            </w:tcBorders>
            <w:shd w:val="clear" w:color="auto" w:fill="auto"/>
            <w:vAlign w:val="center"/>
            <w:hideMark/>
          </w:tcPr>
          <w:p w14:paraId="1BEFF3F4" w14:textId="77777777" w:rsidR="00387142" w:rsidRPr="008B6A75" w:rsidRDefault="00387142" w:rsidP="00387142">
            <w:pPr>
              <w:jc w:val="right"/>
              <w:rPr>
                <w:bCs/>
                <w:sz w:val="20"/>
                <w:szCs w:val="20"/>
              </w:rPr>
            </w:pPr>
            <w:r w:rsidRPr="008B6A75">
              <w:rPr>
                <w:bCs/>
                <w:sz w:val="20"/>
                <w:szCs w:val="20"/>
              </w:rPr>
              <w:t>314 268 786,20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5F6EAB42" w14:textId="77777777" w:rsidR="00387142" w:rsidRPr="008B6A75" w:rsidRDefault="00387142" w:rsidP="00387142">
            <w:pPr>
              <w:jc w:val="right"/>
              <w:rPr>
                <w:bCs/>
                <w:sz w:val="20"/>
                <w:szCs w:val="20"/>
              </w:rPr>
            </w:pPr>
            <w:r w:rsidRPr="008B6A75">
              <w:rPr>
                <w:bCs/>
                <w:sz w:val="20"/>
                <w:szCs w:val="20"/>
              </w:rPr>
              <w:t>329 524 883,78</w:t>
            </w:r>
          </w:p>
        </w:tc>
      </w:tr>
      <w:tr w:rsidR="00387142" w:rsidRPr="008B6A75" w14:paraId="2BE3FBC7" w14:textId="77777777" w:rsidTr="00387142">
        <w:trPr>
          <w:trHeight w:val="2295"/>
        </w:trPr>
        <w:tc>
          <w:tcPr>
            <w:tcW w:w="3261" w:type="dxa"/>
            <w:tcBorders>
              <w:top w:val="nil"/>
              <w:left w:val="single" w:sz="4" w:space="0" w:color="auto"/>
              <w:bottom w:val="single" w:sz="4" w:space="0" w:color="auto"/>
              <w:right w:val="nil"/>
            </w:tcBorders>
            <w:shd w:val="clear" w:color="auto" w:fill="auto"/>
            <w:vAlign w:val="center"/>
            <w:hideMark/>
          </w:tcPr>
          <w:p w14:paraId="0DB66087" w14:textId="77777777" w:rsidR="00387142" w:rsidRPr="008B6A75" w:rsidRDefault="00387142" w:rsidP="00387142">
            <w:pPr>
              <w:rPr>
                <w:bCs/>
                <w:sz w:val="20"/>
                <w:szCs w:val="20"/>
              </w:rPr>
            </w:pPr>
            <w:r w:rsidRPr="008B6A75">
              <w:rPr>
                <w:bCs/>
                <w:sz w:val="20"/>
                <w:szCs w:val="20"/>
              </w:rPr>
              <w:t>Реализация мероприятий по установке и модернизации систем видеонаблюдения, автоматической пожарной сигнализации и пожарного мониторинга государственной программы Новосибирской области "Построение и развитие аппаратно-программного комплекса "Безопасный город" в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14:paraId="28A1CA2D" w14:textId="77777777" w:rsidR="00387142" w:rsidRPr="008B6A75" w:rsidRDefault="00387142" w:rsidP="00387142">
            <w:pPr>
              <w:jc w:val="center"/>
              <w:rPr>
                <w:bCs/>
                <w:sz w:val="20"/>
                <w:szCs w:val="20"/>
              </w:rPr>
            </w:pPr>
            <w:r w:rsidRPr="008B6A75">
              <w:rPr>
                <w:bCs/>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1D5DD7D" w14:textId="77777777" w:rsidR="00387142" w:rsidRPr="008B6A75" w:rsidRDefault="00387142" w:rsidP="00387142">
            <w:pPr>
              <w:jc w:val="center"/>
              <w:rPr>
                <w:bCs/>
                <w:sz w:val="20"/>
                <w:szCs w:val="20"/>
              </w:rPr>
            </w:pPr>
            <w:r w:rsidRPr="008B6A75">
              <w:rPr>
                <w:bCs/>
                <w:sz w:val="20"/>
                <w:szCs w:val="20"/>
              </w:rPr>
              <w:t>01</w:t>
            </w:r>
          </w:p>
        </w:tc>
        <w:tc>
          <w:tcPr>
            <w:tcW w:w="1516" w:type="dxa"/>
            <w:tcBorders>
              <w:top w:val="nil"/>
              <w:left w:val="single" w:sz="4" w:space="0" w:color="auto"/>
              <w:bottom w:val="single" w:sz="4" w:space="0" w:color="auto"/>
              <w:right w:val="nil"/>
            </w:tcBorders>
            <w:shd w:val="clear" w:color="auto" w:fill="auto"/>
            <w:noWrap/>
            <w:vAlign w:val="center"/>
            <w:hideMark/>
          </w:tcPr>
          <w:p w14:paraId="649EE6A4" w14:textId="77777777" w:rsidR="00387142" w:rsidRPr="008B6A75" w:rsidRDefault="00387142" w:rsidP="00387142">
            <w:pPr>
              <w:jc w:val="center"/>
              <w:rPr>
                <w:bCs/>
                <w:sz w:val="20"/>
                <w:szCs w:val="20"/>
              </w:rPr>
            </w:pPr>
            <w:r w:rsidRPr="008B6A75">
              <w:rPr>
                <w:bCs/>
                <w:sz w:val="20"/>
                <w:szCs w:val="20"/>
              </w:rPr>
              <w:t>07.1.00.02590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F030070"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134A0E0" w14:textId="77777777" w:rsidR="00387142" w:rsidRPr="008B6A75" w:rsidRDefault="00387142" w:rsidP="00387142">
            <w:pPr>
              <w:jc w:val="right"/>
              <w:rPr>
                <w:bCs/>
                <w:sz w:val="20"/>
                <w:szCs w:val="20"/>
              </w:rPr>
            </w:pPr>
            <w:r w:rsidRPr="008B6A75">
              <w:rPr>
                <w:bCs/>
                <w:sz w:val="20"/>
                <w:szCs w:val="20"/>
              </w:rPr>
              <w:t>63 527,52</w:t>
            </w:r>
          </w:p>
        </w:tc>
        <w:tc>
          <w:tcPr>
            <w:tcW w:w="992" w:type="dxa"/>
            <w:tcBorders>
              <w:top w:val="nil"/>
              <w:left w:val="single" w:sz="4" w:space="0" w:color="auto"/>
              <w:bottom w:val="single" w:sz="4" w:space="0" w:color="auto"/>
              <w:right w:val="nil"/>
            </w:tcBorders>
            <w:shd w:val="clear" w:color="auto" w:fill="auto"/>
            <w:vAlign w:val="center"/>
            <w:hideMark/>
          </w:tcPr>
          <w:p w14:paraId="0B0CA990" w14:textId="77777777" w:rsidR="00387142" w:rsidRPr="008B6A75" w:rsidRDefault="00387142" w:rsidP="00387142">
            <w:pPr>
              <w:jc w:val="right"/>
              <w:rPr>
                <w:bCs/>
                <w:sz w:val="20"/>
                <w:szCs w:val="20"/>
              </w:rPr>
            </w:pPr>
            <w:r w:rsidRPr="008B6A75">
              <w:rPr>
                <w:bCs/>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7FD1BA46" w14:textId="77777777" w:rsidR="00387142" w:rsidRPr="008B6A75" w:rsidRDefault="00387142" w:rsidP="00387142">
            <w:pPr>
              <w:jc w:val="right"/>
              <w:rPr>
                <w:bCs/>
                <w:sz w:val="20"/>
                <w:szCs w:val="20"/>
              </w:rPr>
            </w:pPr>
            <w:r w:rsidRPr="008B6A75">
              <w:rPr>
                <w:bCs/>
                <w:sz w:val="20"/>
                <w:szCs w:val="20"/>
              </w:rPr>
              <w:t>0,00</w:t>
            </w:r>
          </w:p>
        </w:tc>
      </w:tr>
      <w:tr w:rsidR="00387142" w:rsidRPr="008B6A75" w14:paraId="0F6B4864" w14:textId="77777777" w:rsidTr="00387142">
        <w:trPr>
          <w:trHeight w:val="585"/>
        </w:trPr>
        <w:tc>
          <w:tcPr>
            <w:tcW w:w="3261" w:type="dxa"/>
            <w:tcBorders>
              <w:top w:val="nil"/>
              <w:left w:val="single" w:sz="4" w:space="0" w:color="auto"/>
              <w:bottom w:val="single" w:sz="4" w:space="0" w:color="auto"/>
              <w:right w:val="nil"/>
            </w:tcBorders>
            <w:shd w:val="clear" w:color="auto" w:fill="auto"/>
            <w:vAlign w:val="center"/>
            <w:hideMark/>
          </w:tcPr>
          <w:p w14:paraId="643ECDF1" w14:textId="77777777" w:rsidR="00387142" w:rsidRPr="008B6A75" w:rsidRDefault="00387142" w:rsidP="00387142">
            <w:pPr>
              <w:rPr>
                <w:sz w:val="20"/>
                <w:szCs w:val="20"/>
              </w:rPr>
            </w:pPr>
            <w:r w:rsidRPr="008B6A75">
              <w:rPr>
                <w:sz w:val="20"/>
                <w:szCs w:val="20"/>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586F8FC9" w14:textId="77777777" w:rsidR="00387142" w:rsidRPr="008B6A75" w:rsidRDefault="00387142" w:rsidP="00387142">
            <w:pPr>
              <w:jc w:val="center"/>
              <w:rPr>
                <w:sz w:val="20"/>
                <w:szCs w:val="20"/>
              </w:rPr>
            </w:pPr>
            <w:r w:rsidRPr="008B6A75">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AEBE7D0" w14:textId="77777777" w:rsidR="00387142" w:rsidRPr="008B6A75" w:rsidRDefault="00387142" w:rsidP="00387142">
            <w:pPr>
              <w:jc w:val="center"/>
              <w:rPr>
                <w:sz w:val="20"/>
                <w:szCs w:val="20"/>
              </w:rPr>
            </w:pPr>
            <w:r w:rsidRPr="008B6A75">
              <w:rPr>
                <w:sz w:val="20"/>
                <w:szCs w:val="20"/>
              </w:rPr>
              <w:t>01</w:t>
            </w:r>
          </w:p>
        </w:tc>
        <w:tc>
          <w:tcPr>
            <w:tcW w:w="1516" w:type="dxa"/>
            <w:tcBorders>
              <w:top w:val="nil"/>
              <w:left w:val="single" w:sz="4" w:space="0" w:color="auto"/>
              <w:bottom w:val="single" w:sz="4" w:space="0" w:color="auto"/>
              <w:right w:val="nil"/>
            </w:tcBorders>
            <w:shd w:val="clear" w:color="auto" w:fill="auto"/>
            <w:noWrap/>
            <w:vAlign w:val="center"/>
            <w:hideMark/>
          </w:tcPr>
          <w:p w14:paraId="5728EF94" w14:textId="77777777" w:rsidR="00387142" w:rsidRPr="008B6A75" w:rsidRDefault="00387142" w:rsidP="00387142">
            <w:pPr>
              <w:jc w:val="center"/>
              <w:rPr>
                <w:sz w:val="20"/>
                <w:szCs w:val="20"/>
              </w:rPr>
            </w:pPr>
            <w:r w:rsidRPr="008B6A75">
              <w:rPr>
                <w:sz w:val="20"/>
                <w:szCs w:val="20"/>
              </w:rPr>
              <w:t>07.1.00.02590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87BD283" w14:textId="77777777" w:rsidR="00387142" w:rsidRPr="008B6A75" w:rsidRDefault="00387142" w:rsidP="00387142">
            <w:pPr>
              <w:jc w:val="center"/>
              <w:rPr>
                <w:sz w:val="20"/>
                <w:szCs w:val="20"/>
              </w:rPr>
            </w:pPr>
            <w:r w:rsidRPr="008B6A75">
              <w:rPr>
                <w:sz w:val="20"/>
                <w:szCs w:val="20"/>
              </w:rPr>
              <w:t>200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147CBF3" w14:textId="77777777" w:rsidR="00387142" w:rsidRPr="008B6A75" w:rsidRDefault="00387142" w:rsidP="00387142">
            <w:pPr>
              <w:jc w:val="right"/>
              <w:rPr>
                <w:sz w:val="20"/>
                <w:szCs w:val="20"/>
              </w:rPr>
            </w:pPr>
            <w:r w:rsidRPr="008B6A75">
              <w:rPr>
                <w:sz w:val="20"/>
                <w:szCs w:val="20"/>
              </w:rPr>
              <w:t>63 527,52</w:t>
            </w:r>
          </w:p>
        </w:tc>
        <w:tc>
          <w:tcPr>
            <w:tcW w:w="992" w:type="dxa"/>
            <w:tcBorders>
              <w:top w:val="nil"/>
              <w:left w:val="single" w:sz="4" w:space="0" w:color="auto"/>
              <w:bottom w:val="single" w:sz="4" w:space="0" w:color="auto"/>
              <w:right w:val="nil"/>
            </w:tcBorders>
            <w:shd w:val="clear" w:color="auto" w:fill="auto"/>
            <w:vAlign w:val="center"/>
            <w:hideMark/>
          </w:tcPr>
          <w:p w14:paraId="5A67F361" w14:textId="77777777" w:rsidR="00387142" w:rsidRPr="008B6A75" w:rsidRDefault="00387142" w:rsidP="00387142">
            <w:pPr>
              <w:jc w:val="right"/>
              <w:rPr>
                <w:sz w:val="20"/>
                <w:szCs w:val="20"/>
              </w:rPr>
            </w:pPr>
            <w:r w:rsidRPr="008B6A75">
              <w:rPr>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60F0C2BA" w14:textId="77777777" w:rsidR="00387142" w:rsidRPr="008B6A75" w:rsidRDefault="00387142" w:rsidP="00387142">
            <w:pPr>
              <w:jc w:val="right"/>
              <w:rPr>
                <w:sz w:val="20"/>
                <w:szCs w:val="20"/>
              </w:rPr>
            </w:pPr>
            <w:r w:rsidRPr="008B6A75">
              <w:rPr>
                <w:sz w:val="20"/>
                <w:szCs w:val="20"/>
              </w:rPr>
              <w:t>0,00</w:t>
            </w:r>
          </w:p>
        </w:tc>
      </w:tr>
      <w:tr w:rsidR="00387142" w:rsidRPr="008B6A75" w14:paraId="39A76C10" w14:textId="77777777" w:rsidTr="00387142">
        <w:trPr>
          <w:trHeight w:val="870"/>
        </w:trPr>
        <w:tc>
          <w:tcPr>
            <w:tcW w:w="3261" w:type="dxa"/>
            <w:tcBorders>
              <w:top w:val="nil"/>
              <w:left w:val="single" w:sz="4" w:space="0" w:color="auto"/>
              <w:bottom w:val="single" w:sz="4" w:space="0" w:color="auto"/>
              <w:right w:val="nil"/>
            </w:tcBorders>
            <w:shd w:val="clear" w:color="auto" w:fill="auto"/>
            <w:vAlign w:val="center"/>
            <w:hideMark/>
          </w:tcPr>
          <w:p w14:paraId="21C4F09B" w14:textId="77777777" w:rsidR="00387142" w:rsidRPr="008B6A75" w:rsidRDefault="00387142" w:rsidP="00387142">
            <w:pPr>
              <w:rPr>
                <w:sz w:val="20"/>
                <w:szCs w:val="20"/>
              </w:rPr>
            </w:pPr>
            <w:r w:rsidRPr="008B6A75">
              <w:rPr>
                <w:sz w:val="20"/>
                <w:szCs w:val="20"/>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1B4F40B4" w14:textId="77777777" w:rsidR="00387142" w:rsidRPr="008B6A75" w:rsidRDefault="00387142" w:rsidP="00387142">
            <w:pPr>
              <w:jc w:val="center"/>
              <w:rPr>
                <w:sz w:val="20"/>
                <w:szCs w:val="20"/>
              </w:rPr>
            </w:pPr>
            <w:r w:rsidRPr="008B6A75">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A71FD6D" w14:textId="77777777" w:rsidR="00387142" w:rsidRPr="008B6A75" w:rsidRDefault="00387142" w:rsidP="00387142">
            <w:pPr>
              <w:jc w:val="center"/>
              <w:rPr>
                <w:sz w:val="20"/>
                <w:szCs w:val="20"/>
              </w:rPr>
            </w:pPr>
            <w:r w:rsidRPr="008B6A75">
              <w:rPr>
                <w:sz w:val="20"/>
                <w:szCs w:val="20"/>
              </w:rPr>
              <w:t>01</w:t>
            </w:r>
          </w:p>
        </w:tc>
        <w:tc>
          <w:tcPr>
            <w:tcW w:w="1516" w:type="dxa"/>
            <w:tcBorders>
              <w:top w:val="nil"/>
              <w:left w:val="single" w:sz="4" w:space="0" w:color="auto"/>
              <w:bottom w:val="single" w:sz="4" w:space="0" w:color="auto"/>
              <w:right w:val="nil"/>
            </w:tcBorders>
            <w:shd w:val="clear" w:color="auto" w:fill="auto"/>
            <w:noWrap/>
            <w:vAlign w:val="center"/>
            <w:hideMark/>
          </w:tcPr>
          <w:p w14:paraId="121415BE" w14:textId="77777777" w:rsidR="00387142" w:rsidRPr="008B6A75" w:rsidRDefault="00387142" w:rsidP="00387142">
            <w:pPr>
              <w:jc w:val="center"/>
              <w:rPr>
                <w:sz w:val="20"/>
                <w:szCs w:val="20"/>
              </w:rPr>
            </w:pPr>
            <w:r w:rsidRPr="008B6A75">
              <w:rPr>
                <w:sz w:val="20"/>
                <w:szCs w:val="20"/>
              </w:rPr>
              <w:t>07.1.00.02590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792D704" w14:textId="77777777" w:rsidR="00387142" w:rsidRPr="008B6A75" w:rsidRDefault="00387142" w:rsidP="00387142">
            <w:pPr>
              <w:jc w:val="center"/>
              <w:rPr>
                <w:sz w:val="20"/>
                <w:szCs w:val="20"/>
              </w:rPr>
            </w:pPr>
            <w:r w:rsidRPr="008B6A75">
              <w:rPr>
                <w:sz w:val="20"/>
                <w:szCs w:val="20"/>
              </w:rPr>
              <w:t>240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74F88BF" w14:textId="77777777" w:rsidR="00387142" w:rsidRPr="008B6A75" w:rsidRDefault="00387142" w:rsidP="00387142">
            <w:pPr>
              <w:jc w:val="right"/>
              <w:rPr>
                <w:sz w:val="20"/>
                <w:szCs w:val="20"/>
              </w:rPr>
            </w:pPr>
            <w:r w:rsidRPr="008B6A75">
              <w:rPr>
                <w:sz w:val="20"/>
                <w:szCs w:val="20"/>
              </w:rPr>
              <w:t>63 527,52</w:t>
            </w:r>
          </w:p>
        </w:tc>
        <w:tc>
          <w:tcPr>
            <w:tcW w:w="992" w:type="dxa"/>
            <w:tcBorders>
              <w:top w:val="nil"/>
              <w:left w:val="single" w:sz="4" w:space="0" w:color="auto"/>
              <w:bottom w:val="single" w:sz="4" w:space="0" w:color="auto"/>
              <w:right w:val="nil"/>
            </w:tcBorders>
            <w:shd w:val="clear" w:color="auto" w:fill="auto"/>
            <w:vAlign w:val="center"/>
            <w:hideMark/>
          </w:tcPr>
          <w:p w14:paraId="513DEE7D" w14:textId="77777777" w:rsidR="00387142" w:rsidRPr="008B6A75" w:rsidRDefault="00387142" w:rsidP="00387142">
            <w:pPr>
              <w:jc w:val="right"/>
              <w:rPr>
                <w:sz w:val="20"/>
                <w:szCs w:val="20"/>
              </w:rPr>
            </w:pPr>
            <w:r w:rsidRPr="008B6A75">
              <w:rPr>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4FF308DA" w14:textId="77777777" w:rsidR="00387142" w:rsidRPr="008B6A75" w:rsidRDefault="00387142" w:rsidP="00387142">
            <w:pPr>
              <w:jc w:val="right"/>
              <w:rPr>
                <w:sz w:val="20"/>
                <w:szCs w:val="20"/>
              </w:rPr>
            </w:pPr>
            <w:r w:rsidRPr="008B6A75">
              <w:rPr>
                <w:sz w:val="20"/>
                <w:szCs w:val="20"/>
              </w:rPr>
              <w:t>0,00</w:t>
            </w:r>
          </w:p>
        </w:tc>
      </w:tr>
      <w:tr w:rsidR="00387142" w:rsidRPr="008B6A75" w14:paraId="629587E3" w14:textId="77777777" w:rsidTr="00387142">
        <w:trPr>
          <w:trHeight w:val="870"/>
        </w:trPr>
        <w:tc>
          <w:tcPr>
            <w:tcW w:w="3261" w:type="dxa"/>
            <w:tcBorders>
              <w:top w:val="nil"/>
              <w:left w:val="single" w:sz="4" w:space="0" w:color="auto"/>
              <w:bottom w:val="single" w:sz="4" w:space="0" w:color="auto"/>
              <w:right w:val="nil"/>
            </w:tcBorders>
            <w:shd w:val="clear" w:color="auto" w:fill="auto"/>
            <w:vAlign w:val="center"/>
            <w:hideMark/>
          </w:tcPr>
          <w:p w14:paraId="66E9659F" w14:textId="77777777" w:rsidR="00387142" w:rsidRPr="008B6A75" w:rsidRDefault="00387142" w:rsidP="00387142">
            <w:pPr>
              <w:rPr>
                <w:bCs/>
                <w:sz w:val="20"/>
                <w:szCs w:val="20"/>
              </w:rPr>
            </w:pPr>
            <w:r w:rsidRPr="008B6A75">
              <w:rPr>
                <w:bCs/>
                <w:sz w:val="20"/>
                <w:szCs w:val="20"/>
              </w:rPr>
              <w:t>Реализация мероприятий на социальную поддержку отдельных категорий детей, обучающихся в образовательных организациях</w:t>
            </w:r>
          </w:p>
        </w:tc>
        <w:tc>
          <w:tcPr>
            <w:tcW w:w="720" w:type="dxa"/>
            <w:tcBorders>
              <w:top w:val="nil"/>
              <w:left w:val="single" w:sz="4" w:space="0" w:color="auto"/>
              <w:bottom w:val="single" w:sz="4" w:space="0" w:color="auto"/>
              <w:right w:val="nil"/>
            </w:tcBorders>
            <w:shd w:val="clear" w:color="auto" w:fill="auto"/>
            <w:noWrap/>
            <w:vAlign w:val="center"/>
            <w:hideMark/>
          </w:tcPr>
          <w:p w14:paraId="22EC6D5D" w14:textId="77777777" w:rsidR="00387142" w:rsidRPr="008B6A75" w:rsidRDefault="00387142" w:rsidP="00387142">
            <w:pPr>
              <w:jc w:val="center"/>
              <w:rPr>
                <w:bCs/>
                <w:sz w:val="20"/>
                <w:szCs w:val="20"/>
              </w:rPr>
            </w:pPr>
            <w:r w:rsidRPr="008B6A75">
              <w:rPr>
                <w:bCs/>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32C5223" w14:textId="77777777" w:rsidR="00387142" w:rsidRPr="008B6A75" w:rsidRDefault="00387142" w:rsidP="00387142">
            <w:pPr>
              <w:jc w:val="center"/>
              <w:rPr>
                <w:bCs/>
                <w:sz w:val="20"/>
                <w:szCs w:val="20"/>
              </w:rPr>
            </w:pPr>
            <w:r w:rsidRPr="008B6A75">
              <w:rPr>
                <w:bCs/>
                <w:sz w:val="20"/>
                <w:szCs w:val="20"/>
              </w:rPr>
              <w:t>01</w:t>
            </w:r>
          </w:p>
        </w:tc>
        <w:tc>
          <w:tcPr>
            <w:tcW w:w="1516" w:type="dxa"/>
            <w:tcBorders>
              <w:top w:val="nil"/>
              <w:left w:val="single" w:sz="4" w:space="0" w:color="auto"/>
              <w:bottom w:val="single" w:sz="4" w:space="0" w:color="auto"/>
              <w:right w:val="nil"/>
            </w:tcBorders>
            <w:shd w:val="clear" w:color="auto" w:fill="auto"/>
            <w:noWrap/>
            <w:vAlign w:val="center"/>
            <w:hideMark/>
          </w:tcPr>
          <w:p w14:paraId="36580240" w14:textId="77777777" w:rsidR="00387142" w:rsidRPr="008B6A75" w:rsidRDefault="00387142" w:rsidP="00387142">
            <w:pPr>
              <w:jc w:val="center"/>
              <w:rPr>
                <w:bCs/>
                <w:sz w:val="20"/>
                <w:szCs w:val="20"/>
              </w:rPr>
            </w:pPr>
            <w:r w:rsidRPr="008B6A75">
              <w:rPr>
                <w:bCs/>
                <w:sz w:val="20"/>
                <w:szCs w:val="20"/>
              </w:rPr>
              <w:t>07.1.00.03349</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95B1C8D"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7633C1D" w14:textId="77777777" w:rsidR="00387142" w:rsidRPr="008B6A75" w:rsidRDefault="00387142" w:rsidP="00387142">
            <w:pPr>
              <w:jc w:val="right"/>
              <w:rPr>
                <w:bCs/>
                <w:sz w:val="20"/>
                <w:szCs w:val="20"/>
              </w:rPr>
            </w:pPr>
            <w:r w:rsidRPr="008B6A75">
              <w:rPr>
                <w:bCs/>
                <w:sz w:val="20"/>
                <w:szCs w:val="20"/>
              </w:rPr>
              <w:t>3 596 379,08</w:t>
            </w:r>
          </w:p>
        </w:tc>
        <w:tc>
          <w:tcPr>
            <w:tcW w:w="992" w:type="dxa"/>
            <w:tcBorders>
              <w:top w:val="nil"/>
              <w:left w:val="single" w:sz="4" w:space="0" w:color="auto"/>
              <w:bottom w:val="single" w:sz="4" w:space="0" w:color="auto"/>
              <w:right w:val="nil"/>
            </w:tcBorders>
            <w:shd w:val="clear" w:color="auto" w:fill="auto"/>
            <w:vAlign w:val="center"/>
            <w:hideMark/>
          </w:tcPr>
          <w:p w14:paraId="65061E24" w14:textId="77777777" w:rsidR="00387142" w:rsidRPr="008B6A75" w:rsidRDefault="00387142" w:rsidP="00387142">
            <w:pPr>
              <w:jc w:val="right"/>
              <w:rPr>
                <w:bCs/>
                <w:sz w:val="20"/>
                <w:szCs w:val="20"/>
              </w:rPr>
            </w:pPr>
            <w:r w:rsidRPr="008B6A75">
              <w:rPr>
                <w:bCs/>
                <w:sz w:val="20"/>
                <w:szCs w:val="20"/>
              </w:rPr>
              <w:t>4 020 000,00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36BF43B7" w14:textId="77777777" w:rsidR="00387142" w:rsidRPr="008B6A75" w:rsidRDefault="00387142" w:rsidP="00387142">
            <w:pPr>
              <w:jc w:val="right"/>
              <w:rPr>
                <w:bCs/>
                <w:sz w:val="20"/>
                <w:szCs w:val="20"/>
              </w:rPr>
            </w:pPr>
            <w:r w:rsidRPr="008B6A75">
              <w:rPr>
                <w:bCs/>
                <w:sz w:val="20"/>
                <w:szCs w:val="20"/>
              </w:rPr>
              <w:t>4 020 000,00</w:t>
            </w:r>
          </w:p>
        </w:tc>
      </w:tr>
      <w:tr w:rsidR="00387142" w:rsidRPr="008B6A75" w14:paraId="3079C2EF" w14:textId="77777777" w:rsidTr="00387142">
        <w:trPr>
          <w:trHeight w:val="585"/>
        </w:trPr>
        <w:tc>
          <w:tcPr>
            <w:tcW w:w="3261" w:type="dxa"/>
            <w:tcBorders>
              <w:top w:val="nil"/>
              <w:left w:val="single" w:sz="4" w:space="0" w:color="auto"/>
              <w:bottom w:val="single" w:sz="4" w:space="0" w:color="auto"/>
              <w:right w:val="nil"/>
            </w:tcBorders>
            <w:shd w:val="clear" w:color="auto" w:fill="auto"/>
            <w:vAlign w:val="center"/>
            <w:hideMark/>
          </w:tcPr>
          <w:p w14:paraId="1D8B0973" w14:textId="77777777" w:rsidR="00387142" w:rsidRPr="008B6A75" w:rsidRDefault="00387142" w:rsidP="00387142">
            <w:pPr>
              <w:rPr>
                <w:sz w:val="20"/>
                <w:szCs w:val="20"/>
              </w:rPr>
            </w:pPr>
            <w:r w:rsidRPr="008B6A75">
              <w:rPr>
                <w:sz w:val="20"/>
                <w:szCs w:val="20"/>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79F64F86" w14:textId="77777777" w:rsidR="00387142" w:rsidRPr="008B6A75" w:rsidRDefault="00387142" w:rsidP="00387142">
            <w:pPr>
              <w:jc w:val="center"/>
              <w:rPr>
                <w:sz w:val="20"/>
                <w:szCs w:val="20"/>
              </w:rPr>
            </w:pPr>
            <w:r w:rsidRPr="008B6A75">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955C435" w14:textId="77777777" w:rsidR="00387142" w:rsidRPr="008B6A75" w:rsidRDefault="00387142" w:rsidP="00387142">
            <w:pPr>
              <w:jc w:val="center"/>
              <w:rPr>
                <w:sz w:val="20"/>
                <w:szCs w:val="20"/>
              </w:rPr>
            </w:pPr>
            <w:r w:rsidRPr="008B6A75">
              <w:rPr>
                <w:sz w:val="20"/>
                <w:szCs w:val="20"/>
              </w:rPr>
              <w:t>01</w:t>
            </w:r>
          </w:p>
        </w:tc>
        <w:tc>
          <w:tcPr>
            <w:tcW w:w="1516" w:type="dxa"/>
            <w:tcBorders>
              <w:top w:val="nil"/>
              <w:left w:val="single" w:sz="4" w:space="0" w:color="auto"/>
              <w:bottom w:val="single" w:sz="4" w:space="0" w:color="auto"/>
              <w:right w:val="nil"/>
            </w:tcBorders>
            <w:shd w:val="clear" w:color="auto" w:fill="auto"/>
            <w:noWrap/>
            <w:vAlign w:val="center"/>
            <w:hideMark/>
          </w:tcPr>
          <w:p w14:paraId="6A552142" w14:textId="77777777" w:rsidR="00387142" w:rsidRPr="008B6A75" w:rsidRDefault="00387142" w:rsidP="00387142">
            <w:pPr>
              <w:jc w:val="center"/>
              <w:rPr>
                <w:sz w:val="20"/>
                <w:szCs w:val="20"/>
              </w:rPr>
            </w:pPr>
            <w:r w:rsidRPr="008B6A75">
              <w:rPr>
                <w:sz w:val="20"/>
                <w:szCs w:val="20"/>
              </w:rPr>
              <w:t>07.1.00.03349</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EE9D27E" w14:textId="77777777" w:rsidR="00387142" w:rsidRPr="008B6A75" w:rsidRDefault="00387142" w:rsidP="00387142">
            <w:pPr>
              <w:jc w:val="center"/>
              <w:rPr>
                <w:sz w:val="20"/>
                <w:szCs w:val="20"/>
              </w:rPr>
            </w:pPr>
            <w:r w:rsidRPr="008B6A75">
              <w:rPr>
                <w:sz w:val="20"/>
                <w:szCs w:val="20"/>
              </w:rPr>
              <w:t>200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B3D0CBB" w14:textId="77777777" w:rsidR="00387142" w:rsidRPr="008B6A75" w:rsidRDefault="00387142" w:rsidP="00387142">
            <w:pPr>
              <w:jc w:val="right"/>
              <w:rPr>
                <w:sz w:val="20"/>
                <w:szCs w:val="20"/>
              </w:rPr>
            </w:pPr>
            <w:r w:rsidRPr="008B6A75">
              <w:rPr>
                <w:sz w:val="20"/>
                <w:szCs w:val="20"/>
              </w:rPr>
              <w:t>3 596 379,08</w:t>
            </w:r>
          </w:p>
        </w:tc>
        <w:tc>
          <w:tcPr>
            <w:tcW w:w="992" w:type="dxa"/>
            <w:tcBorders>
              <w:top w:val="nil"/>
              <w:left w:val="single" w:sz="4" w:space="0" w:color="auto"/>
              <w:bottom w:val="single" w:sz="4" w:space="0" w:color="auto"/>
              <w:right w:val="nil"/>
            </w:tcBorders>
            <w:shd w:val="clear" w:color="auto" w:fill="auto"/>
            <w:vAlign w:val="center"/>
            <w:hideMark/>
          </w:tcPr>
          <w:p w14:paraId="001E3D6D" w14:textId="77777777" w:rsidR="00387142" w:rsidRPr="008B6A75" w:rsidRDefault="00387142" w:rsidP="00387142">
            <w:pPr>
              <w:jc w:val="right"/>
              <w:rPr>
                <w:sz w:val="20"/>
                <w:szCs w:val="20"/>
              </w:rPr>
            </w:pPr>
            <w:r w:rsidRPr="008B6A75">
              <w:rPr>
                <w:sz w:val="20"/>
                <w:szCs w:val="20"/>
              </w:rPr>
              <w:t>4 020 000,00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232729C2" w14:textId="77777777" w:rsidR="00387142" w:rsidRPr="008B6A75" w:rsidRDefault="00387142" w:rsidP="00387142">
            <w:pPr>
              <w:jc w:val="right"/>
              <w:rPr>
                <w:sz w:val="20"/>
                <w:szCs w:val="20"/>
              </w:rPr>
            </w:pPr>
            <w:r w:rsidRPr="008B6A75">
              <w:rPr>
                <w:sz w:val="20"/>
                <w:szCs w:val="20"/>
              </w:rPr>
              <w:t>4 020 000,00</w:t>
            </w:r>
          </w:p>
        </w:tc>
      </w:tr>
      <w:tr w:rsidR="00387142" w:rsidRPr="008B6A75" w14:paraId="0454EB34" w14:textId="77777777" w:rsidTr="00387142">
        <w:trPr>
          <w:trHeight w:val="870"/>
        </w:trPr>
        <w:tc>
          <w:tcPr>
            <w:tcW w:w="3261" w:type="dxa"/>
            <w:tcBorders>
              <w:top w:val="nil"/>
              <w:left w:val="single" w:sz="4" w:space="0" w:color="auto"/>
              <w:bottom w:val="single" w:sz="4" w:space="0" w:color="auto"/>
              <w:right w:val="nil"/>
            </w:tcBorders>
            <w:shd w:val="clear" w:color="auto" w:fill="auto"/>
            <w:vAlign w:val="center"/>
            <w:hideMark/>
          </w:tcPr>
          <w:p w14:paraId="4A380950" w14:textId="77777777" w:rsidR="00387142" w:rsidRPr="008B6A75" w:rsidRDefault="00387142" w:rsidP="00387142">
            <w:pPr>
              <w:rPr>
                <w:sz w:val="20"/>
                <w:szCs w:val="20"/>
              </w:rPr>
            </w:pPr>
            <w:r w:rsidRPr="008B6A75">
              <w:rPr>
                <w:sz w:val="20"/>
                <w:szCs w:val="20"/>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62CA2EA2" w14:textId="77777777" w:rsidR="00387142" w:rsidRPr="008B6A75" w:rsidRDefault="00387142" w:rsidP="00387142">
            <w:pPr>
              <w:jc w:val="center"/>
              <w:rPr>
                <w:sz w:val="20"/>
                <w:szCs w:val="20"/>
              </w:rPr>
            </w:pPr>
            <w:r w:rsidRPr="008B6A75">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16BDE43" w14:textId="77777777" w:rsidR="00387142" w:rsidRPr="008B6A75" w:rsidRDefault="00387142" w:rsidP="00387142">
            <w:pPr>
              <w:jc w:val="center"/>
              <w:rPr>
                <w:sz w:val="20"/>
                <w:szCs w:val="20"/>
              </w:rPr>
            </w:pPr>
            <w:r w:rsidRPr="008B6A75">
              <w:rPr>
                <w:sz w:val="20"/>
                <w:szCs w:val="20"/>
              </w:rPr>
              <w:t>01</w:t>
            </w:r>
          </w:p>
        </w:tc>
        <w:tc>
          <w:tcPr>
            <w:tcW w:w="1516" w:type="dxa"/>
            <w:tcBorders>
              <w:top w:val="nil"/>
              <w:left w:val="single" w:sz="4" w:space="0" w:color="auto"/>
              <w:bottom w:val="single" w:sz="4" w:space="0" w:color="auto"/>
              <w:right w:val="nil"/>
            </w:tcBorders>
            <w:shd w:val="clear" w:color="auto" w:fill="auto"/>
            <w:noWrap/>
            <w:vAlign w:val="center"/>
            <w:hideMark/>
          </w:tcPr>
          <w:p w14:paraId="223A68EA" w14:textId="77777777" w:rsidR="00387142" w:rsidRPr="008B6A75" w:rsidRDefault="00387142" w:rsidP="00387142">
            <w:pPr>
              <w:jc w:val="center"/>
              <w:rPr>
                <w:sz w:val="20"/>
                <w:szCs w:val="20"/>
              </w:rPr>
            </w:pPr>
            <w:r w:rsidRPr="008B6A75">
              <w:rPr>
                <w:sz w:val="20"/>
                <w:szCs w:val="20"/>
              </w:rPr>
              <w:t>07.1.00.03349</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5D791CE" w14:textId="77777777" w:rsidR="00387142" w:rsidRPr="008B6A75" w:rsidRDefault="00387142" w:rsidP="00387142">
            <w:pPr>
              <w:jc w:val="center"/>
              <w:rPr>
                <w:sz w:val="20"/>
                <w:szCs w:val="20"/>
              </w:rPr>
            </w:pPr>
            <w:r w:rsidRPr="008B6A75">
              <w:rPr>
                <w:sz w:val="20"/>
                <w:szCs w:val="20"/>
              </w:rPr>
              <w:t>240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A01650A" w14:textId="77777777" w:rsidR="00387142" w:rsidRPr="008B6A75" w:rsidRDefault="00387142" w:rsidP="00387142">
            <w:pPr>
              <w:jc w:val="right"/>
              <w:rPr>
                <w:sz w:val="20"/>
                <w:szCs w:val="20"/>
              </w:rPr>
            </w:pPr>
            <w:r w:rsidRPr="008B6A75">
              <w:rPr>
                <w:sz w:val="20"/>
                <w:szCs w:val="20"/>
              </w:rPr>
              <w:t>3 596 379,08</w:t>
            </w:r>
          </w:p>
        </w:tc>
        <w:tc>
          <w:tcPr>
            <w:tcW w:w="992" w:type="dxa"/>
            <w:tcBorders>
              <w:top w:val="nil"/>
              <w:left w:val="single" w:sz="4" w:space="0" w:color="auto"/>
              <w:bottom w:val="single" w:sz="4" w:space="0" w:color="auto"/>
              <w:right w:val="nil"/>
            </w:tcBorders>
            <w:shd w:val="clear" w:color="auto" w:fill="auto"/>
            <w:vAlign w:val="center"/>
            <w:hideMark/>
          </w:tcPr>
          <w:p w14:paraId="128E00A9" w14:textId="77777777" w:rsidR="00387142" w:rsidRPr="008B6A75" w:rsidRDefault="00387142" w:rsidP="00387142">
            <w:pPr>
              <w:jc w:val="right"/>
              <w:rPr>
                <w:sz w:val="20"/>
                <w:szCs w:val="20"/>
              </w:rPr>
            </w:pPr>
            <w:r w:rsidRPr="008B6A75">
              <w:rPr>
                <w:sz w:val="20"/>
                <w:szCs w:val="20"/>
              </w:rPr>
              <w:t>4 020 000,00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6CBC0691" w14:textId="77777777" w:rsidR="00387142" w:rsidRPr="008B6A75" w:rsidRDefault="00387142" w:rsidP="00387142">
            <w:pPr>
              <w:jc w:val="right"/>
              <w:rPr>
                <w:sz w:val="20"/>
                <w:szCs w:val="20"/>
              </w:rPr>
            </w:pPr>
            <w:r w:rsidRPr="008B6A75">
              <w:rPr>
                <w:sz w:val="20"/>
                <w:szCs w:val="20"/>
              </w:rPr>
              <w:t>4 020 000,00</w:t>
            </w:r>
          </w:p>
        </w:tc>
      </w:tr>
      <w:tr w:rsidR="00387142" w:rsidRPr="008B6A75" w14:paraId="1B1375F6" w14:textId="77777777" w:rsidTr="00387142">
        <w:trPr>
          <w:trHeight w:val="2580"/>
        </w:trPr>
        <w:tc>
          <w:tcPr>
            <w:tcW w:w="3261" w:type="dxa"/>
            <w:tcBorders>
              <w:top w:val="nil"/>
              <w:left w:val="single" w:sz="4" w:space="0" w:color="auto"/>
              <w:bottom w:val="single" w:sz="4" w:space="0" w:color="auto"/>
              <w:right w:val="nil"/>
            </w:tcBorders>
            <w:shd w:val="clear" w:color="auto" w:fill="auto"/>
            <w:vAlign w:val="center"/>
            <w:hideMark/>
          </w:tcPr>
          <w:p w14:paraId="48CFED8D" w14:textId="77777777" w:rsidR="00387142" w:rsidRPr="008B6A75" w:rsidRDefault="00387142" w:rsidP="00387142">
            <w:pPr>
              <w:rPr>
                <w:bCs/>
                <w:sz w:val="20"/>
                <w:szCs w:val="20"/>
              </w:rPr>
            </w:pPr>
            <w:r w:rsidRPr="008B6A75">
              <w:rPr>
                <w:bCs/>
                <w:sz w:val="20"/>
                <w:szCs w:val="20"/>
              </w:rPr>
              <w:t xml:space="preserve">Реализация мероприятий по модернизации образования Новосибирской </w:t>
            </w:r>
            <w:proofErr w:type="gramStart"/>
            <w:r w:rsidRPr="008B6A75">
              <w:rPr>
                <w:bCs/>
                <w:sz w:val="20"/>
                <w:szCs w:val="20"/>
              </w:rPr>
              <w:t>области  подпрограммы</w:t>
            </w:r>
            <w:proofErr w:type="gramEnd"/>
            <w:r w:rsidRPr="008B6A75">
              <w:rPr>
                <w:bCs/>
                <w:sz w:val="20"/>
                <w:szCs w:val="20"/>
              </w:rPr>
              <w:t xml:space="preserve"> "Развитие дошкольного, общего и дополнительного образования детей" в рамках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14:paraId="6BD914E2" w14:textId="77777777" w:rsidR="00387142" w:rsidRPr="008B6A75" w:rsidRDefault="00387142" w:rsidP="00387142">
            <w:pPr>
              <w:jc w:val="center"/>
              <w:rPr>
                <w:bCs/>
                <w:sz w:val="20"/>
                <w:szCs w:val="20"/>
              </w:rPr>
            </w:pPr>
            <w:r w:rsidRPr="008B6A75">
              <w:rPr>
                <w:bCs/>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2031A11" w14:textId="77777777" w:rsidR="00387142" w:rsidRPr="008B6A75" w:rsidRDefault="00387142" w:rsidP="00387142">
            <w:pPr>
              <w:jc w:val="center"/>
              <w:rPr>
                <w:bCs/>
                <w:sz w:val="20"/>
                <w:szCs w:val="20"/>
              </w:rPr>
            </w:pPr>
            <w:r w:rsidRPr="008B6A75">
              <w:rPr>
                <w:bCs/>
                <w:sz w:val="20"/>
                <w:szCs w:val="20"/>
              </w:rPr>
              <w:t>01</w:t>
            </w:r>
          </w:p>
        </w:tc>
        <w:tc>
          <w:tcPr>
            <w:tcW w:w="1516" w:type="dxa"/>
            <w:tcBorders>
              <w:top w:val="nil"/>
              <w:left w:val="single" w:sz="4" w:space="0" w:color="auto"/>
              <w:bottom w:val="single" w:sz="4" w:space="0" w:color="auto"/>
              <w:right w:val="nil"/>
            </w:tcBorders>
            <w:shd w:val="clear" w:color="auto" w:fill="auto"/>
            <w:noWrap/>
            <w:vAlign w:val="center"/>
            <w:hideMark/>
          </w:tcPr>
          <w:p w14:paraId="4C0BAA4F" w14:textId="77777777" w:rsidR="00387142" w:rsidRPr="008B6A75" w:rsidRDefault="00387142" w:rsidP="00387142">
            <w:pPr>
              <w:jc w:val="center"/>
              <w:rPr>
                <w:bCs/>
                <w:sz w:val="20"/>
                <w:szCs w:val="20"/>
              </w:rPr>
            </w:pPr>
            <w:r w:rsidRPr="008B6A75">
              <w:rPr>
                <w:bCs/>
                <w:sz w:val="20"/>
                <w:szCs w:val="20"/>
              </w:rPr>
              <w:t>07.1.00.03470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6917203"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4CFE1B7" w14:textId="77777777" w:rsidR="00387142" w:rsidRPr="008B6A75" w:rsidRDefault="00387142" w:rsidP="00387142">
            <w:pPr>
              <w:jc w:val="right"/>
              <w:rPr>
                <w:bCs/>
                <w:sz w:val="20"/>
                <w:szCs w:val="20"/>
              </w:rPr>
            </w:pPr>
            <w:r w:rsidRPr="008B6A75">
              <w:rPr>
                <w:bCs/>
                <w:sz w:val="20"/>
                <w:szCs w:val="20"/>
              </w:rPr>
              <w:t>1 344 200,00</w:t>
            </w:r>
          </w:p>
        </w:tc>
        <w:tc>
          <w:tcPr>
            <w:tcW w:w="992" w:type="dxa"/>
            <w:tcBorders>
              <w:top w:val="nil"/>
              <w:left w:val="single" w:sz="4" w:space="0" w:color="auto"/>
              <w:bottom w:val="single" w:sz="4" w:space="0" w:color="auto"/>
              <w:right w:val="nil"/>
            </w:tcBorders>
            <w:shd w:val="clear" w:color="auto" w:fill="auto"/>
            <w:vAlign w:val="center"/>
            <w:hideMark/>
          </w:tcPr>
          <w:p w14:paraId="7612F06F" w14:textId="77777777" w:rsidR="00387142" w:rsidRPr="008B6A75" w:rsidRDefault="00387142" w:rsidP="00387142">
            <w:pPr>
              <w:jc w:val="right"/>
              <w:rPr>
                <w:bCs/>
                <w:sz w:val="20"/>
                <w:szCs w:val="20"/>
              </w:rPr>
            </w:pPr>
            <w:r w:rsidRPr="008B6A75">
              <w:rPr>
                <w:bCs/>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4F9ED30D" w14:textId="77777777" w:rsidR="00387142" w:rsidRPr="008B6A75" w:rsidRDefault="00387142" w:rsidP="00387142">
            <w:pPr>
              <w:jc w:val="right"/>
              <w:rPr>
                <w:bCs/>
                <w:sz w:val="20"/>
                <w:szCs w:val="20"/>
              </w:rPr>
            </w:pPr>
            <w:r w:rsidRPr="008B6A75">
              <w:rPr>
                <w:bCs/>
                <w:sz w:val="20"/>
                <w:szCs w:val="20"/>
              </w:rPr>
              <w:t>0,00</w:t>
            </w:r>
          </w:p>
        </w:tc>
      </w:tr>
      <w:tr w:rsidR="00387142" w:rsidRPr="008B6A75" w14:paraId="2885A892" w14:textId="77777777" w:rsidTr="00387142">
        <w:trPr>
          <w:trHeight w:val="585"/>
        </w:trPr>
        <w:tc>
          <w:tcPr>
            <w:tcW w:w="3261" w:type="dxa"/>
            <w:tcBorders>
              <w:top w:val="nil"/>
              <w:left w:val="single" w:sz="4" w:space="0" w:color="auto"/>
              <w:bottom w:val="single" w:sz="4" w:space="0" w:color="auto"/>
              <w:right w:val="nil"/>
            </w:tcBorders>
            <w:shd w:val="clear" w:color="auto" w:fill="auto"/>
            <w:vAlign w:val="center"/>
            <w:hideMark/>
          </w:tcPr>
          <w:p w14:paraId="54A128D8" w14:textId="77777777" w:rsidR="00387142" w:rsidRPr="008B6A75" w:rsidRDefault="00387142" w:rsidP="00387142">
            <w:pPr>
              <w:rPr>
                <w:sz w:val="20"/>
                <w:szCs w:val="20"/>
              </w:rPr>
            </w:pPr>
            <w:r w:rsidRPr="008B6A75">
              <w:rPr>
                <w:sz w:val="20"/>
                <w:szCs w:val="20"/>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45A8D570" w14:textId="77777777" w:rsidR="00387142" w:rsidRPr="008B6A75" w:rsidRDefault="00387142" w:rsidP="00387142">
            <w:pPr>
              <w:jc w:val="center"/>
              <w:rPr>
                <w:sz w:val="20"/>
                <w:szCs w:val="20"/>
              </w:rPr>
            </w:pPr>
            <w:r w:rsidRPr="008B6A75">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91103E6" w14:textId="77777777" w:rsidR="00387142" w:rsidRPr="008B6A75" w:rsidRDefault="00387142" w:rsidP="00387142">
            <w:pPr>
              <w:jc w:val="center"/>
              <w:rPr>
                <w:sz w:val="20"/>
                <w:szCs w:val="20"/>
              </w:rPr>
            </w:pPr>
            <w:r w:rsidRPr="008B6A75">
              <w:rPr>
                <w:sz w:val="20"/>
                <w:szCs w:val="20"/>
              </w:rPr>
              <w:t>01</w:t>
            </w:r>
          </w:p>
        </w:tc>
        <w:tc>
          <w:tcPr>
            <w:tcW w:w="1516" w:type="dxa"/>
            <w:tcBorders>
              <w:top w:val="nil"/>
              <w:left w:val="single" w:sz="4" w:space="0" w:color="auto"/>
              <w:bottom w:val="single" w:sz="4" w:space="0" w:color="auto"/>
              <w:right w:val="nil"/>
            </w:tcBorders>
            <w:shd w:val="clear" w:color="auto" w:fill="auto"/>
            <w:noWrap/>
            <w:vAlign w:val="center"/>
            <w:hideMark/>
          </w:tcPr>
          <w:p w14:paraId="1CCF8312" w14:textId="77777777" w:rsidR="00387142" w:rsidRPr="008B6A75" w:rsidRDefault="00387142" w:rsidP="00387142">
            <w:pPr>
              <w:jc w:val="center"/>
              <w:rPr>
                <w:sz w:val="20"/>
                <w:szCs w:val="20"/>
              </w:rPr>
            </w:pPr>
            <w:r w:rsidRPr="008B6A75">
              <w:rPr>
                <w:sz w:val="20"/>
                <w:szCs w:val="20"/>
              </w:rPr>
              <w:t>07.1.00.03470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FE40E66" w14:textId="77777777" w:rsidR="00387142" w:rsidRPr="008B6A75" w:rsidRDefault="00387142" w:rsidP="00387142">
            <w:pPr>
              <w:jc w:val="center"/>
              <w:rPr>
                <w:sz w:val="20"/>
                <w:szCs w:val="20"/>
              </w:rPr>
            </w:pPr>
            <w:r w:rsidRPr="008B6A75">
              <w:rPr>
                <w:sz w:val="20"/>
                <w:szCs w:val="20"/>
              </w:rPr>
              <w:t>200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B09361F" w14:textId="77777777" w:rsidR="00387142" w:rsidRPr="008B6A75" w:rsidRDefault="00387142" w:rsidP="00387142">
            <w:pPr>
              <w:jc w:val="right"/>
              <w:rPr>
                <w:sz w:val="20"/>
                <w:szCs w:val="20"/>
              </w:rPr>
            </w:pPr>
            <w:r w:rsidRPr="008B6A75">
              <w:rPr>
                <w:sz w:val="20"/>
                <w:szCs w:val="20"/>
              </w:rPr>
              <w:t>1 344 200,00</w:t>
            </w:r>
          </w:p>
        </w:tc>
        <w:tc>
          <w:tcPr>
            <w:tcW w:w="992" w:type="dxa"/>
            <w:tcBorders>
              <w:top w:val="nil"/>
              <w:left w:val="single" w:sz="4" w:space="0" w:color="auto"/>
              <w:bottom w:val="single" w:sz="4" w:space="0" w:color="auto"/>
              <w:right w:val="nil"/>
            </w:tcBorders>
            <w:shd w:val="clear" w:color="auto" w:fill="auto"/>
            <w:vAlign w:val="center"/>
            <w:hideMark/>
          </w:tcPr>
          <w:p w14:paraId="3B6E1FA6" w14:textId="77777777" w:rsidR="00387142" w:rsidRPr="008B6A75" w:rsidRDefault="00387142" w:rsidP="00387142">
            <w:pPr>
              <w:jc w:val="right"/>
              <w:rPr>
                <w:sz w:val="20"/>
                <w:szCs w:val="20"/>
              </w:rPr>
            </w:pPr>
            <w:r w:rsidRPr="008B6A75">
              <w:rPr>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0AC0FBB9" w14:textId="77777777" w:rsidR="00387142" w:rsidRPr="008B6A75" w:rsidRDefault="00387142" w:rsidP="00387142">
            <w:pPr>
              <w:jc w:val="right"/>
              <w:rPr>
                <w:sz w:val="20"/>
                <w:szCs w:val="20"/>
              </w:rPr>
            </w:pPr>
            <w:r w:rsidRPr="008B6A75">
              <w:rPr>
                <w:sz w:val="20"/>
                <w:szCs w:val="20"/>
              </w:rPr>
              <w:t>0,00</w:t>
            </w:r>
          </w:p>
        </w:tc>
      </w:tr>
      <w:tr w:rsidR="00387142" w:rsidRPr="008B6A75" w14:paraId="4E3DA2E5" w14:textId="77777777" w:rsidTr="00387142">
        <w:trPr>
          <w:trHeight w:val="870"/>
        </w:trPr>
        <w:tc>
          <w:tcPr>
            <w:tcW w:w="3261" w:type="dxa"/>
            <w:tcBorders>
              <w:top w:val="nil"/>
              <w:left w:val="single" w:sz="4" w:space="0" w:color="auto"/>
              <w:bottom w:val="single" w:sz="4" w:space="0" w:color="auto"/>
              <w:right w:val="nil"/>
            </w:tcBorders>
            <w:shd w:val="clear" w:color="auto" w:fill="auto"/>
            <w:vAlign w:val="center"/>
            <w:hideMark/>
          </w:tcPr>
          <w:p w14:paraId="2AA0C401" w14:textId="77777777" w:rsidR="00387142" w:rsidRPr="008B6A75" w:rsidRDefault="00387142" w:rsidP="00387142">
            <w:pPr>
              <w:rPr>
                <w:sz w:val="20"/>
                <w:szCs w:val="20"/>
              </w:rPr>
            </w:pPr>
            <w:r w:rsidRPr="008B6A75">
              <w:rPr>
                <w:sz w:val="20"/>
                <w:szCs w:val="20"/>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748C2178" w14:textId="77777777" w:rsidR="00387142" w:rsidRPr="008B6A75" w:rsidRDefault="00387142" w:rsidP="00387142">
            <w:pPr>
              <w:jc w:val="center"/>
              <w:rPr>
                <w:sz w:val="20"/>
                <w:szCs w:val="20"/>
              </w:rPr>
            </w:pPr>
            <w:r w:rsidRPr="008B6A75">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EECE0E5" w14:textId="77777777" w:rsidR="00387142" w:rsidRPr="008B6A75" w:rsidRDefault="00387142" w:rsidP="00387142">
            <w:pPr>
              <w:jc w:val="center"/>
              <w:rPr>
                <w:sz w:val="20"/>
                <w:szCs w:val="20"/>
              </w:rPr>
            </w:pPr>
            <w:r w:rsidRPr="008B6A75">
              <w:rPr>
                <w:sz w:val="20"/>
                <w:szCs w:val="20"/>
              </w:rPr>
              <w:t>01</w:t>
            </w:r>
          </w:p>
        </w:tc>
        <w:tc>
          <w:tcPr>
            <w:tcW w:w="1516" w:type="dxa"/>
            <w:tcBorders>
              <w:top w:val="nil"/>
              <w:left w:val="single" w:sz="4" w:space="0" w:color="auto"/>
              <w:bottom w:val="single" w:sz="4" w:space="0" w:color="auto"/>
              <w:right w:val="nil"/>
            </w:tcBorders>
            <w:shd w:val="clear" w:color="auto" w:fill="auto"/>
            <w:noWrap/>
            <w:vAlign w:val="center"/>
            <w:hideMark/>
          </w:tcPr>
          <w:p w14:paraId="207C850A" w14:textId="77777777" w:rsidR="00387142" w:rsidRPr="008B6A75" w:rsidRDefault="00387142" w:rsidP="00387142">
            <w:pPr>
              <w:jc w:val="center"/>
              <w:rPr>
                <w:sz w:val="20"/>
                <w:szCs w:val="20"/>
              </w:rPr>
            </w:pPr>
            <w:r w:rsidRPr="008B6A75">
              <w:rPr>
                <w:sz w:val="20"/>
                <w:szCs w:val="20"/>
              </w:rPr>
              <w:t>07.1.00.03470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4088DEC" w14:textId="77777777" w:rsidR="00387142" w:rsidRPr="008B6A75" w:rsidRDefault="00387142" w:rsidP="00387142">
            <w:pPr>
              <w:jc w:val="center"/>
              <w:rPr>
                <w:sz w:val="20"/>
                <w:szCs w:val="20"/>
              </w:rPr>
            </w:pPr>
            <w:r w:rsidRPr="008B6A75">
              <w:rPr>
                <w:sz w:val="20"/>
                <w:szCs w:val="20"/>
              </w:rPr>
              <w:t>240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73986E7" w14:textId="77777777" w:rsidR="00387142" w:rsidRPr="008B6A75" w:rsidRDefault="00387142" w:rsidP="00387142">
            <w:pPr>
              <w:jc w:val="right"/>
              <w:rPr>
                <w:sz w:val="20"/>
                <w:szCs w:val="20"/>
              </w:rPr>
            </w:pPr>
            <w:r w:rsidRPr="008B6A75">
              <w:rPr>
                <w:sz w:val="20"/>
                <w:szCs w:val="20"/>
              </w:rPr>
              <w:t>1 344 200,00</w:t>
            </w:r>
          </w:p>
        </w:tc>
        <w:tc>
          <w:tcPr>
            <w:tcW w:w="992" w:type="dxa"/>
            <w:tcBorders>
              <w:top w:val="nil"/>
              <w:left w:val="single" w:sz="4" w:space="0" w:color="auto"/>
              <w:bottom w:val="single" w:sz="4" w:space="0" w:color="auto"/>
              <w:right w:val="nil"/>
            </w:tcBorders>
            <w:shd w:val="clear" w:color="auto" w:fill="auto"/>
            <w:vAlign w:val="center"/>
            <w:hideMark/>
          </w:tcPr>
          <w:p w14:paraId="34F92289" w14:textId="77777777" w:rsidR="00387142" w:rsidRPr="008B6A75" w:rsidRDefault="00387142" w:rsidP="00387142">
            <w:pPr>
              <w:jc w:val="right"/>
              <w:rPr>
                <w:sz w:val="20"/>
                <w:szCs w:val="20"/>
              </w:rPr>
            </w:pPr>
            <w:r w:rsidRPr="008B6A75">
              <w:rPr>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54AEBAB5" w14:textId="77777777" w:rsidR="00387142" w:rsidRPr="008B6A75" w:rsidRDefault="00387142" w:rsidP="00387142">
            <w:pPr>
              <w:jc w:val="right"/>
              <w:rPr>
                <w:sz w:val="20"/>
                <w:szCs w:val="20"/>
              </w:rPr>
            </w:pPr>
            <w:r w:rsidRPr="008B6A75">
              <w:rPr>
                <w:sz w:val="20"/>
                <w:szCs w:val="20"/>
              </w:rPr>
              <w:t>0,00</w:t>
            </w:r>
          </w:p>
        </w:tc>
      </w:tr>
      <w:tr w:rsidR="00387142" w:rsidRPr="008B6A75" w14:paraId="069E059F" w14:textId="77777777" w:rsidTr="00387142">
        <w:trPr>
          <w:trHeight w:val="870"/>
        </w:trPr>
        <w:tc>
          <w:tcPr>
            <w:tcW w:w="3261" w:type="dxa"/>
            <w:tcBorders>
              <w:top w:val="nil"/>
              <w:left w:val="single" w:sz="4" w:space="0" w:color="auto"/>
              <w:bottom w:val="single" w:sz="4" w:space="0" w:color="auto"/>
              <w:right w:val="nil"/>
            </w:tcBorders>
            <w:shd w:val="clear" w:color="auto" w:fill="auto"/>
            <w:vAlign w:val="center"/>
            <w:hideMark/>
          </w:tcPr>
          <w:p w14:paraId="2D9F0FAC" w14:textId="77777777" w:rsidR="00387142" w:rsidRPr="008B6A75" w:rsidRDefault="00387142" w:rsidP="00387142">
            <w:pPr>
              <w:rPr>
                <w:bCs/>
                <w:sz w:val="20"/>
                <w:szCs w:val="20"/>
              </w:rPr>
            </w:pPr>
            <w:r w:rsidRPr="008B6A75">
              <w:rPr>
                <w:bCs/>
                <w:sz w:val="20"/>
                <w:szCs w:val="20"/>
              </w:rPr>
              <w:t>Расходы на обеспечение деятельности (оказание услуг) муниципальных учреждений дошкольного образования</w:t>
            </w:r>
          </w:p>
        </w:tc>
        <w:tc>
          <w:tcPr>
            <w:tcW w:w="720" w:type="dxa"/>
            <w:tcBorders>
              <w:top w:val="nil"/>
              <w:left w:val="single" w:sz="4" w:space="0" w:color="auto"/>
              <w:bottom w:val="single" w:sz="4" w:space="0" w:color="auto"/>
              <w:right w:val="nil"/>
            </w:tcBorders>
            <w:shd w:val="clear" w:color="auto" w:fill="auto"/>
            <w:noWrap/>
            <w:vAlign w:val="center"/>
            <w:hideMark/>
          </w:tcPr>
          <w:p w14:paraId="4A290337" w14:textId="77777777" w:rsidR="00387142" w:rsidRPr="008B6A75" w:rsidRDefault="00387142" w:rsidP="00387142">
            <w:pPr>
              <w:jc w:val="center"/>
              <w:rPr>
                <w:bCs/>
                <w:sz w:val="20"/>
                <w:szCs w:val="20"/>
              </w:rPr>
            </w:pPr>
            <w:r w:rsidRPr="008B6A75">
              <w:rPr>
                <w:bCs/>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26D24A2" w14:textId="77777777" w:rsidR="00387142" w:rsidRPr="008B6A75" w:rsidRDefault="00387142" w:rsidP="00387142">
            <w:pPr>
              <w:jc w:val="center"/>
              <w:rPr>
                <w:bCs/>
                <w:sz w:val="20"/>
                <w:szCs w:val="20"/>
              </w:rPr>
            </w:pPr>
            <w:r w:rsidRPr="008B6A75">
              <w:rPr>
                <w:bCs/>
                <w:sz w:val="20"/>
                <w:szCs w:val="20"/>
              </w:rPr>
              <w:t>01</w:t>
            </w:r>
          </w:p>
        </w:tc>
        <w:tc>
          <w:tcPr>
            <w:tcW w:w="1516" w:type="dxa"/>
            <w:tcBorders>
              <w:top w:val="nil"/>
              <w:left w:val="single" w:sz="4" w:space="0" w:color="auto"/>
              <w:bottom w:val="single" w:sz="4" w:space="0" w:color="auto"/>
              <w:right w:val="nil"/>
            </w:tcBorders>
            <w:shd w:val="clear" w:color="auto" w:fill="auto"/>
            <w:noWrap/>
            <w:vAlign w:val="center"/>
            <w:hideMark/>
          </w:tcPr>
          <w:p w14:paraId="5023118C" w14:textId="77777777" w:rsidR="00387142" w:rsidRPr="008B6A75" w:rsidRDefault="00387142" w:rsidP="00387142">
            <w:pPr>
              <w:jc w:val="center"/>
              <w:rPr>
                <w:bCs/>
                <w:sz w:val="20"/>
                <w:szCs w:val="20"/>
              </w:rPr>
            </w:pPr>
            <w:r w:rsidRPr="008B6A75">
              <w:rPr>
                <w:bCs/>
                <w:sz w:val="20"/>
                <w:szCs w:val="20"/>
              </w:rPr>
              <w:t>07.1.00.07190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C6518A0"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D6E9A1F" w14:textId="77777777" w:rsidR="00387142" w:rsidRPr="008B6A75" w:rsidRDefault="00387142" w:rsidP="00387142">
            <w:pPr>
              <w:jc w:val="right"/>
              <w:rPr>
                <w:bCs/>
                <w:sz w:val="20"/>
                <w:szCs w:val="20"/>
              </w:rPr>
            </w:pPr>
            <w:r w:rsidRPr="008B6A75">
              <w:rPr>
                <w:bCs/>
                <w:sz w:val="20"/>
                <w:szCs w:val="20"/>
              </w:rPr>
              <w:t>85 220 204,57</w:t>
            </w:r>
          </w:p>
        </w:tc>
        <w:tc>
          <w:tcPr>
            <w:tcW w:w="992" w:type="dxa"/>
            <w:tcBorders>
              <w:top w:val="nil"/>
              <w:left w:val="single" w:sz="4" w:space="0" w:color="auto"/>
              <w:bottom w:val="single" w:sz="4" w:space="0" w:color="auto"/>
              <w:right w:val="nil"/>
            </w:tcBorders>
            <w:shd w:val="clear" w:color="auto" w:fill="auto"/>
            <w:vAlign w:val="center"/>
            <w:hideMark/>
          </w:tcPr>
          <w:p w14:paraId="171B9BF6" w14:textId="77777777" w:rsidR="00387142" w:rsidRPr="008B6A75" w:rsidRDefault="00387142" w:rsidP="00387142">
            <w:pPr>
              <w:jc w:val="right"/>
              <w:rPr>
                <w:bCs/>
                <w:sz w:val="20"/>
                <w:szCs w:val="20"/>
              </w:rPr>
            </w:pPr>
            <w:r w:rsidRPr="008B6A75">
              <w:rPr>
                <w:bCs/>
                <w:sz w:val="20"/>
                <w:szCs w:val="20"/>
              </w:rPr>
              <w:t>99 125 681,00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193AFA38" w14:textId="77777777" w:rsidR="00387142" w:rsidRPr="008B6A75" w:rsidRDefault="00387142" w:rsidP="00387142">
            <w:pPr>
              <w:jc w:val="right"/>
              <w:rPr>
                <w:bCs/>
                <w:sz w:val="20"/>
                <w:szCs w:val="20"/>
              </w:rPr>
            </w:pPr>
            <w:r w:rsidRPr="008B6A75">
              <w:rPr>
                <w:bCs/>
                <w:sz w:val="20"/>
                <w:szCs w:val="20"/>
              </w:rPr>
              <w:t>101 229 581,00</w:t>
            </w:r>
          </w:p>
        </w:tc>
      </w:tr>
      <w:tr w:rsidR="00387142" w:rsidRPr="008B6A75" w14:paraId="1E1C67FB" w14:textId="77777777" w:rsidTr="00387142">
        <w:trPr>
          <w:trHeight w:val="1440"/>
        </w:trPr>
        <w:tc>
          <w:tcPr>
            <w:tcW w:w="3261" w:type="dxa"/>
            <w:tcBorders>
              <w:top w:val="nil"/>
              <w:left w:val="single" w:sz="4" w:space="0" w:color="auto"/>
              <w:bottom w:val="single" w:sz="4" w:space="0" w:color="auto"/>
              <w:right w:val="nil"/>
            </w:tcBorders>
            <w:shd w:val="clear" w:color="auto" w:fill="auto"/>
            <w:vAlign w:val="center"/>
            <w:hideMark/>
          </w:tcPr>
          <w:p w14:paraId="774A5EFA" w14:textId="77777777" w:rsidR="00387142" w:rsidRPr="008B6A75" w:rsidRDefault="00387142" w:rsidP="00387142">
            <w:pPr>
              <w:rPr>
                <w:sz w:val="20"/>
                <w:szCs w:val="20"/>
              </w:rPr>
            </w:pPr>
            <w:r w:rsidRPr="008B6A75">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14:paraId="7B2AA230" w14:textId="77777777" w:rsidR="00387142" w:rsidRPr="008B6A75" w:rsidRDefault="00387142" w:rsidP="00387142">
            <w:pPr>
              <w:jc w:val="center"/>
              <w:rPr>
                <w:sz w:val="20"/>
                <w:szCs w:val="20"/>
              </w:rPr>
            </w:pPr>
            <w:r w:rsidRPr="008B6A75">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D9D17EE" w14:textId="77777777" w:rsidR="00387142" w:rsidRPr="008B6A75" w:rsidRDefault="00387142" w:rsidP="00387142">
            <w:pPr>
              <w:jc w:val="center"/>
              <w:rPr>
                <w:sz w:val="20"/>
                <w:szCs w:val="20"/>
              </w:rPr>
            </w:pPr>
            <w:r w:rsidRPr="008B6A75">
              <w:rPr>
                <w:sz w:val="20"/>
                <w:szCs w:val="20"/>
              </w:rPr>
              <w:t>01</w:t>
            </w:r>
          </w:p>
        </w:tc>
        <w:tc>
          <w:tcPr>
            <w:tcW w:w="1516" w:type="dxa"/>
            <w:tcBorders>
              <w:top w:val="nil"/>
              <w:left w:val="single" w:sz="4" w:space="0" w:color="auto"/>
              <w:bottom w:val="single" w:sz="4" w:space="0" w:color="auto"/>
              <w:right w:val="nil"/>
            </w:tcBorders>
            <w:shd w:val="clear" w:color="auto" w:fill="auto"/>
            <w:noWrap/>
            <w:vAlign w:val="center"/>
            <w:hideMark/>
          </w:tcPr>
          <w:p w14:paraId="7EABCF1D" w14:textId="77777777" w:rsidR="00387142" w:rsidRPr="008B6A75" w:rsidRDefault="00387142" w:rsidP="00387142">
            <w:pPr>
              <w:jc w:val="center"/>
              <w:rPr>
                <w:sz w:val="20"/>
                <w:szCs w:val="20"/>
              </w:rPr>
            </w:pPr>
            <w:r w:rsidRPr="008B6A75">
              <w:rPr>
                <w:sz w:val="20"/>
                <w:szCs w:val="20"/>
              </w:rPr>
              <w:t>07.1.00.07190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0357A95" w14:textId="77777777" w:rsidR="00387142" w:rsidRPr="008B6A75" w:rsidRDefault="00387142" w:rsidP="00387142">
            <w:pPr>
              <w:jc w:val="center"/>
              <w:rPr>
                <w:sz w:val="20"/>
                <w:szCs w:val="20"/>
              </w:rPr>
            </w:pPr>
            <w:r w:rsidRPr="008B6A75">
              <w:rPr>
                <w:sz w:val="20"/>
                <w:szCs w:val="20"/>
              </w:rPr>
              <w:t>100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EAC6119" w14:textId="77777777" w:rsidR="00387142" w:rsidRPr="008B6A75" w:rsidRDefault="00387142" w:rsidP="00387142">
            <w:pPr>
              <w:jc w:val="right"/>
              <w:rPr>
                <w:sz w:val="20"/>
                <w:szCs w:val="20"/>
              </w:rPr>
            </w:pPr>
            <w:r w:rsidRPr="008B6A75">
              <w:rPr>
                <w:sz w:val="20"/>
                <w:szCs w:val="20"/>
              </w:rPr>
              <w:t>2 359 637,84</w:t>
            </w:r>
          </w:p>
        </w:tc>
        <w:tc>
          <w:tcPr>
            <w:tcW w:w="992" w:type="dxa"/>
            <w:tcBorders>
              <w:top w:val="nil"/>
              <w:left w:val="single" w:sz="4" w:space="0" w:color="auto"/>
              <w:bottom w:val="single" w:sz="4" w:space="0" w:color="auto"/>
              <w:right w:val="nil"/>
            </w:tcBorders>
            <w:shd w:val="clear" w:color="auto" w:fill="auto"/>
            <w:vAlign w:val="center"/>
            <w:hideMark/>
          </w:tcPr>
          <w:p w14:paraId="7615D40B" w14:textId="77777777" w:rsidR="00387142" w:rsidRPr="008B6A75" w:rsidRDefault="00387142" w:rsidP="00387142">
            <w:pPr>
              <w:jc w:val="right"/>
              <w:rPr>
                <w:sz w:val="20"/>
                <w:szCs w:val="20"/>
              </w:rPr>
            </w:pPr>
            <w:r w:rsidRPr="008B6A75">
              <w:rPr>
                <w:sz w:val="20"/>
                <w:szCs w:val="20"/>
              </w:rPr>
              <w:t>31 595 295,36</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3E74B3A4" w14:textId="77777777" w:rsidR="00387142" w:rsidRPr="008B6A75" w:rsidRDefault="00387142" w:rsidP="00387142">
            <w:pPr>
              <w:jc w:val="right"/>
              <w:rPr>
                <w:sz w:val="20"/>
                <w:szCs w:val="20"/>
              </w:rPr>
            </w:pPr>
            <w:r w:rsidRPr="008B6A75">
              <w:rPr>
                <w:sz w:val="20"/>
                <w:szCs w:val="20"/>
              </w:rPr>
              <w:t>32 126 162,00</w:t>
            </w:r>
          </w:p>
        </w:tc>
      </w:tr>
      <w:tr w:rsidR="00387142" w:rsidRPr="008B6A75" w14:paraId="1E6F4EF8" w14:textId="77777777" w:rsidTr="00387142">
        <w:trPr>
          <w:trHeight w:val="585"/>
        </w:trPr>
        <w:tc>
          <w:tcPr>
            <w:tcW w:w="3261" w:type="dxa"/>
            <w:tcBorders>
              <w:top w:val="nil"/>
              <w:left w:val="single" w:sz="4" w:space="0" w:color="auto"/>
              <w:bottom w:val="single" w:sz="4" w:space="0" w:color="auto"/>
              <w:right w:val="nil"/>
            </w:tcBorders>
            <w:shd w:val="clear" w:color="auto" w:fill="auto"/>
            <w:vAlign w:val="center"/>
            <w:hideMark/>
          </w:tcPr>
          <w:p w14:paraId="42CDD403" w14:textId="77777777" w:rsidR="00387142" w:rsidRPr="008B6A75" w:rsidRDefault="00387142" w:rsidP="00387142">
            <w:pPr>
              <w:rPr>
                <w:sz w:val="20"/>
                <w:szCs w:val="20"/>
              </w:rPr>
            </w:pPr>
            <w:r w:rsidRPr="008B6A75">
              <w:rPr>
                <w:sz w:val="20"/>
                <w:szCs w:val="20"/>
              </w:rPr>
              <w:t>Расходы на выплаты персоналу казенных учреждений</w:t>
            </w:r>
          </w:p>
        </w:tc>
        <w:tc>
          <w:tcPr>
            <w:tcW w:w="720" w:type="dxa"/>
            <w:tcBorders>
              <w:top w:val="nil"/>
              <w:left w:val="single" w:sz="4" w:space="0" w:color="auto"/>
              <w:bottom w:val="single" w:sz="4" w:space="0" w:color="auto"/>
              <w:right w:val="nil"/>
            </w:tcBorders>
            <w:shd w:val="clear" w:color="auto" w:fill="auto"/>
            <w:noWrap/>
            <w:vAlign w:val="center"/>
            <w:hideMark/>
          </w:tcPr>
          <w:p w14:paraId="6D4B4A08" w14:textId="77777777" w:rsidR="00387142" w:rsidRPr="008B6A75" w:rsidRDefault="00387142" w:rsidP="00387142">
            <w:pPr>
              <w:jc w:val="center"/>
              <w:rPr>
                <w:sz w:val="20"/>
                <w:szCs w:val="20"/>
              </w:rPr>
            </w:pPr>
            <w:r w:rsidRPr="008B6A75">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C641807" w14:textId="77777777" w:rsidR="00387142" w:rsidRPr="008B6A75" w:rsidRDefault="00387142" w:rsidP="00387142">
            <w:pPr>
              <w:jc w:val="center"/>
              <w:rPr>
                <w:sz w:val="20"/>
                <w:szCs w:val="20"/>
              </w:rPr>
            </w:pPr>
            <w:r w:rsidRPr="008B6A75">
              <w:rPr>
                <w:sz w:val="20"/>
                <w:szCs w:val="20"/>
              </w:rPr>
              <w:t>01</w:t>
            </w:r>
          </w:p>
        </w:tc>
        <w:tc>
          <w:tcPr>
            <w:tcW w:w="1516" w:type="dxa"/>
            <w:tcBorders>
              <w:top w:val="nil"/>
              <w:left w:val="single" w:sz="4" w:space="0" w:color="auto"/>
              <w:bottom w:val="single" w:sz="4" w:space="0" w:color="auto"/>
              <w:right w:val="nil"/>
            </w:tcBorders>
            <w:shd w:val="clear" w:color="auto" w:fill="auto"/>
            <w:noWrap/>
            <w:vAlign w:val="center"/>
            <w:hideMark/>
          </w:tcPr>
          <w:p w14:paraId="26FABFF4" w14:textId="77777777" w:rsidR="00387142" w:rsidRPr="008B6A75" w:rsidRDefault="00387142" w:rsidP="00387142">
            <w:pPr>
              <w:jc w:val="center"/>
              <w:rPr>
                <w:sz w:val="20"/>
                <w:szCs w:val="20"/>
              </w:rPr>
            </w:pPr>
            <w:r w:rsidRPr="008B6A75">
              <w:rPr>
                <w:sz w:val="20"/>
                <w:szCs w:val="20"/>
              </w:rPr>
              <w:t>07.1.00.07190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CA2AD68" w14:textId="77777777" w:rsidR="00387142" w:rsidRPr="008B6A75" w:rsidRDefault="00387142" w:rsidP="00387142">
            <w:pPr>
              <w:jc w:val="center"/>
              <w:rPr>
                <w:sz w:val="20"/>
                <w:szCs w:val="20"/>
              </w:rPr>
            </w:pPr>
            <w:r w:rsidRPr="008B6A75">
              <w:rPr>
                <w:sz w:val="20"/>
                <w:szCs w:val="20"/>
              </w:rPr>
              <w:t>110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7E370B6" w14:textId="77777777" w:rsidR="00387142" w:rsidRPr="008B6A75" w:rsidRDefault="00387142" w:rsidP="00387142">
            <w:pPr>
              <w:jc w:val="right"/>
              <w:rPr>
                <w:sz w:val="20"/>
                <w:szCs w:val="20"/>
              </w:rPr>
            </w:pPr>
            <w:r w:rsidRPr="008B6A75">
              <w:rPr>
                <w:sz w:val="20"/>
                <w:szCs w:val="20"/>
              </w:rPr>
              <w:t>2 359 637,84</w:t>
            </w:r>
          </w:p>
        </w:tc>
        <w:tc>
          <w:tcPr>
            <w:tcW w:w="992" w:type="dxa"/>
            <w:tcBorders>
              <w:top w:val="nil"/>
              <w:left w:val="single" w:sz="4" w:space="0" w:color="auto"/>
              <w:bottom w:val="single" w:sz="4" w:space="0" w:color="auto"/>
              <w:right w:val="nil"/>
            </w:tcBorders>
            <w:shd w:val="clear" w:color="auto" w:fill="auto"/>
            <w:vAlign w:val="center"/>
            <w:hideMark/>
          </w:tcPr>
          <w:p w14:paraId="3B67A865" w14:textId="77777777" w:rsidR="00387142" w:rsidRPr="008B6A75" w:rsidRDefault="00387142" w:rsidP="00387142">
            <w:pPr>
              <w:jc w:val="right"/>
              <w:rPr>
                <w:sz w:val="20"/>
                <w:szCs w:val="20"/>
              </w:rPr>
            </w:pPr>
            <w:r w:rsidRPr="008B6A75">
              <w:rPr>
                <w:sz w:val="20"/>
                <w:szCs w:val="20"/>
              </w:rPr>
              <w:t>31 595 295,36</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12B3FFF7" w14:textId="77777777" w:rsidR="00387142" w:rsidRPr="008B6A75" w:rsidRDefault="00387142" w:rsidP="00387142">
            <w:pPr>
              <w:jc w:val="right"/>
              <w:rPr>
                <w:sz w:val="20"/>
                <w:szCs w:val="20"/>
              </w:rPr>
            </w:pPr>
            <w:r w:rsidRPr="008B6A75">
              <w:rPr>
                <w:sz w:val="20"/>
                <w:szCs w:val="20"/>
              </w:rPr>
              <w:t>32 126 162,00</w:t>
            </w:r>
          </w:p>
        </w:tc>
      </w:tr>
      <w:tr w:rsidR="00387142" w:rsidRPr="008B6A75" w14:paraId="7A4A093D" w14:textId="77777777" w:rsidTr="00387142">
        <w:trPr>
          <w:trHeight w:val="585"/>
        </w:trPr>
        <w:tc>
          <w:tcPr>
            <w:tcW w:w="3261" w:type="dxa"/>
            <w:tcBorders>
              <w:top w:val="nil"/>
              <w:left w:val="single" w:sz="4" w:space="0" w:color="auto"/>
              <w:bottom w:val="single" w:sz="4" w:space="0" w:color="auto"/>
              <w:right w:val="nil"/>
            </w:tcBorders>
            <w:shd w:val="clear" w:color="auto" w:fill="auto"/>
            <w:vAlign w:val="center"/>
            <w:hideMark/>
          </w:tcPr>
          <w:p w14:paraId="2F354853" w14:textId="77777777" w:rsidR="00387142" w:rsidRPr="008B6A75" w:rsidRDefault="00387142" w:rsidP="00387142">
            <w:pPr>
              <w:rPr>
                <w:sz w:val="20"/>
                <w:szCs w:val="20"/>
              </w:rPr>
            </w:pPr>
            <w:r w:rsidRPr="008B6A75">
              <w:rPr>
                <w:sz w:val="20"/>
                <w:szCs w:val="20"/>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2A2475E4" w14:textId="77777777" w:rsidR="00387142" w:rsidRPr="008B6A75" w:rsidRDefault="00387142" w:rsidP="00387142">
            <w:pPr>
              <w:jc w:val="center"/>
              <w:rPr>
                <w:sz w:val="20"/>
                <w:szCs w:val="20"/>
              </w:rPr>
            </w:pPr>
            <w:r w:rsidRPr="008B6A75">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3CB6838" w14:textId="77777777" w:rsidR="00387142" w:rsidRPr="008B6A75" w:rsidRDefault="00387142" w:rsidP="00387142">
            <w:pPr>
              <w:jc w:val="center"/>
              <w:rPr>
                <w:sz w:val="20"/>
                <w:szCs w:val="20"/>
              </w:rPr>
            </w:pPr>
            <w:r w:rsidRPr="008B6A75">
              <w:rPr>
                <w:sz w:val="20"/>
                <w:szCs w:val="20"/>
              </w:rPr>
              <w:t>01</w:t>
            </w:r>
          </w:p>
        </w:tc>
        <w:tc>
          <w:tcPr>
            <w:tcW w:w="1516" w:type="dxa"/>
            <w:tcBorders>
              <w:top w:val="nil"/>
              <w:left w:val="single" w:sz="4" w:space="0" w:color="auto"/>
              <w:bottom w:val="single" w:sz="4" w:space="0" w:color="auto"/>
              <w:right w:val="nil"/>
            </w:tcBorders>
            <w:shd w:val="clear" w:color="auto" w:fill="auto"/>
            <w:noWrap/>
            <w:vAlign w:val="center"/>
            <w:hideMark/>
          </w:tcPr>
          <w:p w14:paraId="3D6A159E" w14:textId="77777777" w:rsidR="00387142" w:rsidRPr="008B6A75" w:rsidRDefault="00387142" w:rsidP="00387142">
            <w:pPr>
              <w:jc w:val="center"/>
              <w:rPr>
                <w:sz w:val="20"/>
                <w:szCs w:val="20"/>
              </w:rPr>
            </w:pPr>
            <w:r w:rsidRPr="008B6A75">
              <w:rPr>
                <w:sz w:val="20"/>
                <w:szCs w:val="20"/>
              </w:rPr>
              <w:t>07.1.00.07190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9CC301B" w14:textId="77777777" w:rsidR="00387142" w:rsidRPr="008B6A75" w:rsidRDefault="00387142" w:rsidP="00387142">
            <w:pPr>
              <w:jc w:val="center"/>
              <w:rPr>
                <w:sz w:val="20"/>
                <w:szCs w:val="20"/>
              </w:rPr>
            </w:pPr>
            <w:r w:rsidRPr="008B6A75">
              <w:rPr>
                <w:sz w:val="20"/>
                <w:szCs w:val="20"/>
              </w:rPr>
              <w:t>200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95E5041" w14:textId="77777777" w:rsidR="00387142" w:rsidRPr="008B6A75" w:rsidRDefault="00387142" w:rsidP="00387142">
            <w:pPr>
              <w:jc w:val="right"/>
              <w:rPr>
                <w:sz w:val="20"/>
                <w:szCs w:val="20"/>
              </w:rPr>
            </w:pPr>
            <w:r w:rsidRPr="008B6A75">
              <w:rPr>
                <w:sz w:val="20"/>
                <w:szCs w:val="20"/>
              </w:rPr>
              <w:t>79 486 543,02</w:t>
            </w:r>
          </w:p>
        </w:tc>
        <w:tc>
          <w:tcPr>
            <w:tcW w:w="992" w:type="dxa"/>
            <w:tcBorders>
              <w:top w:val="nil"/>
              <w:left w:val="single" w:sz="4" w:space="0" w:color="auto"/>
              <w:bottom w:val="single" w:sz="4" w:space="0" w:color="auto"/>
              <w:right w:val="nil"/>
            </w:tcBorders>
            <w:shd w:val="clear" w:color="auto" w:fill="auto"/>
            <w:vAlign w:val="center"/>
            <w:hideMark/>
          </w:tcPr>
          <w:p w14:paraId="52399C4A" w14:textId="77777777" w:rsidR="00387142" w:rsidRPr="008B6A75" w:rsidRDefault="00387142" w:rsidP="00387142">
            <w:pPr>
              <w:jc w:val="right"/>
              <w:rPr>
                <w:sz w:val="20"/>
                <w:szCs w:val="20"/>
              </w:rPr>
            </w:pPr>
            <w:r w:rsidRPr="008B6A75">
              <w:rPr>
                <w:sz w:val="20"/>
                <w:szCs w:val="20"/>
              </w:rPr>
              <w:t>67 530 385,64</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072D9216" w14:textId="77777777" w:rsidR="00387142" w:rsidRPr="008B6A75" w:rsidRDefault="00387142" w:rsidP="00387142">
            <w:pPr>
              <w:jc w:val="right"/>
              <w:rPr>
                <w:sz w:val="20"/>
                <w:szCs w:val="20"/>
              </w:rPr>
            </w:pPr>
            <w:r w:rsidRPr="008B6A75">
              <w:rPr>
                <w:sz w:val="20"/>
                <w:szCs w:val="20"/>
              </w:rPr>
              <w:t>69 103 419,00</w:t>
            </w:r>
          </w:p>
        </w:tc>
      </w:tr>
      <w:tr w:rsidR="00387142" w:rsidRPr="008B6A75" w14:paraId="7A295322" w14:textId="77777777" w:rsidTr="00387142">
        <w:trPr>
          <w:trHeight w:val="870"/>
        </w:trPr>
        <w:tc>
          <w:tcPr>
            <w:tcW w:w="3261" w:type="dxa"/>
            <w:tcBorders>
              <w:top w:val="nil"/>
              <w:left w:val="single" w:sz="4" w:space="0" w:color="auto"/>
              <w:bottom w:val="single" w:sz="4" w:space="0" w:color="auto"/>
              <w:right w:val="nil"/>
            </w:tcBorders>
            <w:shd w:val="clear" w:color="auto" w:fill="auto"/>
            <w:vAlign w:val="center"/>
            <w:hideMark/>
          </w:tcPr>
          <w:p w14:paraId="055172A8" w14:textId="77777777" w:rsidR="00387142" w:rsidRPr="008B6A75" w:rsidRDefault="00387142" w:rsidP="00387142">
            <w:pPr>
              <w:rPr>
                <w:sz w:val="20"/>
                <w:szCs w:val="20"/>
              </w:rPr>
            </w:pPr>
            <w:r w:rsidRPr="008B6A75">
              <w:rPr>
                <w:sz w:val="20"/>
                <w:szCs w:val="20"/>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20A8567F" w14:textId="77777777" w:rsidR="00387142" w:rsidRPr="008B6A75" w:rsidRDefault="00387142" w:rsidP="00387142">
            <w:pPr>
              <w:jc w:val="center"/>
              <w:rPr>
                <w:sz w:val="20"/>
                <w:szCs w:val="20"/>
              </w:rPr>
            </w:pPr>
            <w:r w:rsidRPr="008B6A75">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50B1A34" w14:textId="77777777" w:rsidR="00387142" w:rsidRPr="008B6A75" w:rsidRDefault="00387142" w:rsidP="00387142">
            <w:pPr>
              <w:jc w:val="center"/>
              <w:rPr>
                <w:sz w:val="20"/>
                <w:szCs w:val="20"/>
              </w:rPr>
            </w:pPr>
            <w:r w:rsidRPr="008B6A75">
              <w:rPr>
                <w:sz w:val="20"/>
                <w:szCs w:val="20"/>
              </w:rPr>
              <w:t>01</w:t>
            </w:r>
          </w:p>
        </w:tc>
        <w:tc>
          <w:tcPr>
            <w:tcW w:w="1516" w:type="dxa"/>
            <w:tcBorders>
              <w:top w:val="nil"/>
              <w:left w:val="single" w:sz="4" w:space="0" w:color="auto"/>
              <w:bottom w:val="single" w:sz="4" w:space="0" w:color="auto"/>
              <w:right w:val="nil"/>
            </w:tcBorders>
            <w:shd w:val="clear" w:color="auto" w:fill="auto"/>
            <w:noWrap/>
            <w:vAlign w:val="center"/>
            <w:hideMark/>
          </w:tcPr>
          <w:p w14:paraId="45F93573" w14:textId="77777777" w:rsidR="00387142" w:rsidRPr="008B6A75" w:rsidRDefault="00387142" w:rsidP="00387142">
            <w:pPr>
              <w:jc w:val="center"/>
              <w:rPr>
                <w:sz w:val="20"/>
                <w:szCs w:val="20"/>
              </w:rPr>
            </w:pPr>
            <w:r w:rsidRPr="008B6A75">
              <w:rPr>
                <w:sz w:val="20"/>
                <w:szCs w:val="20"/>
              </w:rPr>
              <w:t>07.1.00.07190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48460A9" w14:textId="77777777" w:rsidR="00387142" w:rsidRPr="008B6A75" w:rsidRDefault="00387142" w:rsidP="00387142">
            <w:pPr>
              <w:jc w:val="center"/>
              <w:rPr>
                <w:sz w:val="20"/>
                <w:szCs w:val="20"/>
              </w:rPr>
            </w:pPr>
            <w:r w:rsidRPr="008B6A75">
              <w:rPr>
                <w:sz w:val="20"/>
                <w:szCs w:val="20"/>
              </w:rPr>
              <w:t>240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57CEBBD" w14:textId="77777777" w:rsidR="00387142" w:rsidRPr="008B6A75" w:rsidRDefault="00387142" w:rsidP="00387142">
            <w:pPr>
              <w:jc w:val="right"/>
              <w:rPr>
                <w:sz w:val="20"/>
                <w:szCs w:val="20"/>
              </w:rPr>
            </w:pPr>
            <w:r w:rsidRPr="008B6A75">
              <w:rPr>
                <w:sz w:val="20"/>
                <w:szCs w:val="20"/>
              </w:rPr>
              <w:t>79 486 543,02</w:t>
            </w:r>
          </w:p>
        </w:tc>
        <w:tc>
          <w:tcPr>
            <w:tcW w:w="992" w:type="dxa"/>
            <w:tcBorders>
              <w:top w:val="nil"/>
              <w:left w:val="single" w:sz="4" w:space="0" w:color="auto"/>
              <w:bottom w:val="single" w:sz="4" w:space="0" w:color="auto"/>
              <w:right w:val="nil"/>
            </w:tcBorders>
            <w:shd w:val="clear" w:color="auto" w:fill="auto"/>
            <w:vAlign w:val="center"/>
            <w:hideMark/>
          </w:tcPr>
          <w:p w14:paraId="046CA248" w14:textId="77777777" w:rsidR="00387142" w:rsidRPr="008B6A75" w:rsidRDefault="00387142" w:rsidP="00387142">
            <w:pPr>
              <w:jc w:val="right"/>
              <w:rPr>
                <w:sz w:val="20"/>
                <w:szCs w:val="20"/>
              </w:rPr>
            </w:pPr>
            <w:r w:rsidRPr="008B6A75">
              <w:rPr>
                <w:sz w:val="20"/>
                <w:szCs w:val="20"/>
              </w:rPr>
              <w:t>67 530 385,64</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569A57DB" w14:textId="77777777" w:rsidR="00387142" w:rsidRPr="008B6A75" w:rsidRDefault="00387142" w:rsidP="00387142">
            <w:pPr>
              <w:jc w:val="right"/>
              <w:rPr>
                <w:sz w:val="20"/>
                <w:szCs w:val="20"/>
              </w:rPr>
            </w:pPr>
            <w:r w:rsidRPr="008B6A75">
              <w:rPr>
                <w:sz w:val="20"/>
                <w:szCs w:val="20"/>
              </w:rPr>
              <w:t>69 103 419,00</w:t>
            </w:r>
          </w:p>
        </w:tc>
      </w:tr>
      <w:tr w:rsidR="00387142" w:rsidRPr="008B6A75" w14:paraId="49A3BAC2" w14:textId="77777777" w:rsidTr="00387142">
        <w:trPr>
          <w:trHeight w:val="345"/>
        </w:trPr>
        <w:tc>
          <w:tcPr>
            <w:tcW w:w="3261" w:type="dxa"/>
            <w:tcBorders>
              <w:top w:val="nil"/>
              <w:left w:val="single" w:sz="4" w:space="0" w:color="auto"/>
              <w:bottom w:val="single" w:sz="4" w:space="0" w:color="auto"/>
              <w:right w:val="nil"/>
            </w:tcBorders>
            <w:shd w:val="clear" w:color="auto" w:fill="auto"/>
            <w:vAlign w:val="center"/>
            <w:hideMark/>
          </w:tcPr>
          <w:p w14:paraId="1E6732BE" w14:textId="77777777" w:rsidR="00387142" w:rsidRPr="008B6A75" w:rsidRDefault="00387142" w:rsidP="00387142">
            <w:pPr>
              <w:rPr>
                <w:sz w:val="20"/>
                <w:szCs w:val="20"/>
              </w:rPr>
            </w:pPr>
            <w:r w:rsidRPr="008B6A75">
              <w:rPr>
                <w:sz w:val="20"/>
                <w:szCs w:val="20"/>
              </w:rPr>
              <w:t>Иные бюджетные ассигнования</w:t>
            </w:r>
          </w:p>
        </w:tc>
        <w:tc>
          <w:tcPr>
            <w:tcW w:w="720" w:type="dxa"/>
            <w:tcBorders>
              <w:top w:val="nil"/>
              <w:left w:val="single" w:sz="4" w:space="0" w:color="auto"/>
              <w:bottom w:val="single" w:sz="4" w:space="0" w:color="auto"/>
              <w:right w:val="nil"/>
            </w:tcBorders>
            <w:shd w:val="clear" w:color="auto" w:fill="auto"/>
            <w:noWrap/>
            <w:vAlign w:val="center"/>
            <w:hideMark/>
          </w:tcPr>
          <w:p w14:paraId="7812725F" w14:textId="77777777" w:rsidR="00387142" w:rsidRPr="008B6A75" w:rsidRDefault="00387142" w:rsidP="00387142">
            <w:pPr>
              <w:jc w:val="center"/>
              <w:rPr>
                <w:sz w:val="20"/>
                <w:szCs w:val="20"/>
              </w:rPr>
            </w:pPr>
            <w:r w:rsidRPr="008B6A75">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6BA8E0F" w14:textId="77777777" w:rsidR="00387142" w:rsidRPr="008B6A75" w:rsidRDefault="00387142" w:rsidP="00387142">
            <w:pPr>
              <w:jc w:val="center"/>
              <w:rPr>
                <w:sz w:val="20"/>
                <w:szCs w:val="20"/>
              </w:rPr>
            </w:pPr>
            <w:r w:rsidRPr="008B6A75">
              <w:rPr>
                <w:sz w:val="20"/>
                <w:szCs w:val="20"/>
              </w:rPr>
              <w:t>01</w:t>
            </w:r>
          </w:p>
        </w:tc>
        <w:tc>
          <w:tcPr>
            <w:tcW w:w="1516" w:type="dxa"/>
            <w:tcBorders>
              <w:top w:val="nil"/>
              <w:left w:val="single" w:sz="4" w:space="0" w:color="auto"/>
              <w:bottom w:val="single" w:sz="4" w:space="0" w:color="auto"/>
              <w:right w:val="nil"/>
            </w:tcBorders>
            <w:shd w:val="clear" w:color="auto" w:fill="auto"/>
            <w:noWrap/>
            <w:vAlign w:val="center"/>
            <w:hideMark/>
          </w:tcPr>
          <w:p w14:paraId="6DE8D6D9" w14:textId="77777777" w:rsidR="00387142" w:rsidRPr="008B6A75" w:rsidRDefault="00387142" w:rsidP="00387142">
            <w:pPr>
              <w:jc w:val="center"/>
              <w:rPr>
                <w:sz w:val="20"/>
                <w:szCs w:val="20"/>
              </w:rPr>
            </w:pPr>
            <w:r w:rsidRPr="008B6A75">
              <w:rPr>
                <w:sz w:val="20"/>
                <w:szCs w:val="20"/>
              </w:rPr>
              <w:t>07.1.00.07190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8873759" w14:textId="77777777" w:rsidR="00387142" w:rsidRPr="008B6A75" w:rsidRDefault="00387142" w:rsidP="00387142">
            <w:pPr>
              <w:jc w:val="center"/>
              <w:rPr>
                <w:sz w:val="20"/>
                <w:szCs w:val="20"/>
              </w:rPr>
            </w:pPr>
            <w:r w:rsidRPr="008B6A75">
              <w:rPr>
                <w:sz w:val="20"/>
                <w:szCs w:val="20"/>
              </w:rPr>
              <w:t>800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6631632" w14:textId="77777777" w:rsidR="00387142" w:rsidRPr="008B6A75" w:rsidRDefault="00387142" w:rsidP="00387142">
            <w:pPr>
              <w:jc w:val="right"/>
              <w:rPr>
                <w:sz w:val="20"/>
                <w:szCs w:val="20"/>
              </w:rPr>
            </w:pPr>
            <w:r w:rsidRPr="008B6A75">
              <w:rPr>
                <w:sz w:val="20"/>
                <w:szCs w:val="20"/>
              </w:rPr>
              <w:t>3 374 023,71</w:t>
            </w:r>
          </w:p>
        </w:tc>
        <w:tc>
          <w:tcPr>
            <w:tcW w:w="992" w:type="dxa"/>
            <w:tcBorders>
              <w:top w:val="nil"/>
              <w:left w:val="single" w:sz="4" w:space="0" w:color="auto"/>
              <w:bottom w:val="single" w:sz="4" w:space="0" w:color="auto"/>
              <w:right w:val="nil"/>
            </w:tcBorders>
            <w:shd w:val="clear" w:color="auto" w:fill="auto"/>
            <w:vAlign w:val="center"/>
            <w:hideMark/>
          </w:tcPr>
          <w:p w14:paraId="72572CDD" w14:textId="77777777" w:rsidR="00387142" w:rsidRPr="008B6A75" w:rsidRDefault="00387142" w:rsidP="00387142">
            <w:pPr>
              <w:jc w:val="right"/>
              <w:rPr>
                <w:sz w:val="20"/>
                <w:szCs w:val="20"/>
              </w:rPr>
            </w:pPr>
            <w:r w:rsidRPr="008B6A75">
              <w:rPr>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15611D0A" w14:textId="77777777" w:rsidR="00387142" w:rsidRPr="008B6A75" w:rsidRDefault="00387142" w:rsidP="00387142">
            <w:pPr>
              <w:jc w:val="right"/>
              <w:rPr>
                <w:sz w:val="20"/>
                <w:szCs w:val="20"/>
              </w:rPr>
            </w:pPr>
            <w:r w:rsidRPr="008B6A75">
              <w:rPr>
                <w:sz w:val="20"/>
                <w:szCs w:val="20"/>
              </w:rPr>
              <w:t>0,00</w:t>
            </w:r>
          </w:p>
        </w:tc>
      </w:tr>
      <w:tr w:rsidR="00387142" w:rsidRPr="008B6A75" w14:paraId="3B816DCA" w14:textId="77777777" w:rsidTr="00387142">
        <w:trPr>
          <w:trHeight w:val="345"/>
        </w:trPr>
        <w:tc>
          <w:tcPr>
            <w:tcW w:w="3261" w:type="dxa"/>
            <w:tcBorders>
              <w:top w:val="nil"/>
              <w:left w:val="single" w:sz="4" w:space="0" w:color="auto"/>
              <w:bottom w:val="single" w:sz="4" w:space="0" w:color="auto"/>
              <w:right w:val="nil"/>
            </w:tcBorders>
            <w:shd w:val="clear" w:color="auto" w:fill="auto"/>
            <w:vAlign w:val="center"/>
            <w:hideMark/>
          </w:tcPr>
          <w:p w14:paraId="2940922C" w14:textId="77777777" w:rsidR="00387142" w:rsidRPr="008B6A75" w:rsidRDefault="00387142" w:rsidP="00387142">
            <w:pPr>
              <w:rPr>
                <w:sz w:val="20"/>
                <w:szCs w:val="20"/>
              </w:rPr>
            </w:pPr>
            <w:r w:rsidRPr="008B6A75">
              <w:rPr>
                <w:sz w:val="20"/>
                <w:szCs w:val="20"/>
              </w:rPr>
              <w:t>Уплата налогов, сборов и иных платежей</w:t>
            </w:r>
          </w:p>
        </w:tc>
        <w:tc>
          <w:tcPr>
            <w:tcW w:w="720" w:type="dxa"/>
            <w:tcBorders>
              <w:top w:val="nil"/>
              <w:left w:val="single" w:sz="4" w:space="0" w:color="auto"/>
              <w:bottom w:val="single" w:sz="4" w:space="0" w:color="auto"/>
              <w:right w:val="nil"/>
            </w:tcBorders>
            <w:shd w:val="clear" w:color="auto" w:fill="auto"/>
            <w:noWrap/>
            <w:vAlign w:val="center"/>
            <w:hideMark/>
          </w:tcPr>
          <w:p w14:paraId="2D3478D4" w14:textId="77777777" w:rsidR="00387142" w:rsidRPr="008B6A75" w:rsidRDefault="00387142" w:rsidP="00387142">
            <w:pPr>
              <w:jc w:val="center"/>
              <w:rPr>
                <w:sz w:val="20"/>
                <w:szCs w:val="20"/>
              </w:rPr>
            </w:pPr>
            <w:r w:rsidRPr="008B6A75">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10C247F" w14:textId="77777777" w:rsidR="00387142" w:rsidRPr="008B6A75" w:rsidRDefault="00387142" w:rsidP="00387142">
            <w:pPr>
              <w:jc w:val="center"/>
              <w:rPr>
                <w:sz w:val="20"/>
                <w:szCs w:val="20"/>
              </w:rPr>
            </w:pPr>
            <w:r w:rsidRPr="008B6A75">
              <w:rPr>
                <w:sz w:val="20"/>
                <w:szCs w:val="20"/>
              </w:rPr>
              <w:t>01</w:t>
            </w:r>
          </w:p>
        </w:tc>
        <w:tc>
          <w:tcPr>
            <w:tcW w:w="1516" w:type="dxa"/>
            <w:tcBorders>
              <w:top w:val="nil"/>
              <w:left w:val="single" w:sz="4" w:space="0" w:color="auto"/>
              <w:bottom w:val="single" w:sz="4" w:space="0" w:color="auto"/>
              <w:right w:val="nil"/>
            </w:tcBorders>
            <w:shd w:val="clear" w:color="auto" w:fill="auto"/>
            <w:noWrap/>
            <w:vAlign w:val="center"/>
            <w:hideMark/>
          </w:tcPr>
          <w:p w14:paraId="59E100EA" w14:textId="77777777" w:rsidR="00387142" w:rsidRPr="008B6A75" w:rsidRDefault="00387142" w:rsidP="00387142">
            <w:pPr>
              <w:jc w:val="center"/>
              <w:rPr>
                <w:sz w:val="20"/>
                <w:szCs w:val="20"/>
              </w:rPr>
            </w:pPr>
            <w:r w:rsidRPr="008B6A75">
              <w:rPr>
                <w:sz w:val="20"/>
                <w:szCs w:val="20"/>
              </w:rPr>
              <w:t>07.1.00.07190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7ECF69D" w14:textId="77777777" w:rsidR="00387142" w:rsidRPr="008B6A75" w:rsidRDefault="00387142" w:rsidP="00387142">
            <w:pPr>
              <w:jc w:val="center"/>
              <w:rPr>
                <w:sz w:val="20"/>
                <w:szCs w:val="20"/>
              </w:rPr>
            </w:pPr>
            <w:r w:rsidRPr="008B6A75">
              <w:rPr>
                <w:sz w:val="20"/>
                <w:szCs w:val="20"/>
              </w:rPr>
              <w:t>850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8BDA433" w14:textId="77777777" w:rsidR="00387142" w:rsidRPr="008B6A75" w:rsidRDefault="00387142" w:rsidP="00387142">
            <w:pPr>
              <w:jc w:val="right"/>
              <w:rPr>
                <w:sz w:val="20"/>
                <w:szCs w:val="20"/>
              </w:rPr>
            </w:pPr>
            <w:r w:rsidRPr="008B6A75">
              <w:rPr>
                <w:sz w:val="20"/>
                <w:szCs w:val="20"/>
              </w:rPr>
              <w:t>3 374 023,71</w:t>
            </w:r>
          </w:p>
        </w:tc>
        <w:tc>
          <w:tcPr>
            <w:tcW w:w="992" w:type="dxa"/>
            <w:tcBorders>
              <w:top w:val="nil"/>
              <w:left w:val="single" w:sz="4" w:space="0" w:color="auto"/>
              <w:bottom w:val="single" w:sz="4" w:space="0" w:color="auto"/>
              <w:right w:val="nil"/>
            </w:tcBorders>
            <w:shd w:val="clear" w:color="auto" w:fill="auto"/>
            <w:vAlign w:val="center"/>
            <w:hideMark/>
          </w:tcPr>
          <w:p w14:paraId="2E511717" w14:textId="77777777" w:rsidR="00387142" w:rsidRPr="008B6A75" w:rsidRDefault="00387142" w:rsidP="00387142">
            <w:pPr>
              <w:jc w:val="right"/>
              <w:rPr>
                <w:sz w:val="20"/>
                <w:szCs w:val="20"/>
              </w:rPr>
            </w:pPr>
            <w:r w:rsidRPr="008B6A75">
              <w:rPr>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77EF89AB" w14:textId="77777777" w:rsidR="00387142" w:rsidRPr="008B6A75" w:rsidRDefault="00387142" w:rsidP="00387142">
            <w:pPr>
              <w:jc w:val="right"/>
              <w:rPr>
                <w:sz w:val="20"/>
                <w:szCs w:val="20"/>
              </w:rPr>
            </w:pPr>
            <w:r w:rsidRPr="008B6A75">
              <w:rPr>
                <w:sz w:val="20"/>
                <w:szCs w:val="20"/>
              </w:rPr>
              <w:t>0,00</w:t>
            </w:r>
          </w:p>
        </w:tc>
      </w:tr>
      <w:tr w:rsidR="00387142" w:rsidRPr="008B6A75" w14:paraId="7D7CF281" w14:textId="77777777" w:rsidTr="00387142">
        <w:trPr>
          <w:trHeight w:val="870"/>
        </w:trPr>
        <w:tc>
          <w:tcPr>
            <w:tcW w:w="3261" w:type="dxa"/>
            <w:tcBorders>
              <w:top w:val="nil"/>
              <w:left w:val="single" w:sz="4" w:space="0" w:color="auto"/>
              <w:bottom w:val="single" w:sz="4" w:space="0" w:color="auto"/>
              <w:right w:val="nil"/>
            </w:tcBorders>
            <w:shd w:val="clear" w:color="auto" w:fill="auto"/>
            <w:vAlign w:val="center"/>
            <w:hideMark/>
          </w:tcPr>
          <w:p w14:paraId="6F5DC435" w14:textId="77777777" w:rsidR="00387142" w:rsidRPr="008B6A75" w:rsidRDefault="00387142" w:rsidP="00387142">
            <w:pPr>
              <w:rPr>
                <w:bCs/>
                <w:sz w:val="20"/>
                <w:szCs w:val="20"/>
              </w:rPr>
            </w:pPr>
            <w:r w:rsidRPr="008B6A75">
              <w:rPr>
                <w:bCs/>
                <w:sz w:val="20"/>
                <w:szCs w:val="20"/>
              </w:rPr>
              <w:t>Расходы на обеспечение деятельности (оказание услуг) муниципальных учреждений дополнительного образования</w:t>
            </w:r>
          </w:p>
        </w:tc>
        <w:tc>
          <w:tcPr>
            <w:tcW w:w="720" w:type="dxa"/>
            <w:tcBorders>
              <w:top w:val="nil"/>
              <w:left w:val="single" w:sz="4" w:space="0" w:color="auto"/>
              <w:bottom w:val="single" w:sz="4" w:space="0" w:color="auto"/>
              <w:right w:val="nil"/>
            </w:tcBorders>
            <w:shd w:val="clear" w:color="auto" w:fill="auto"/>
            <w:noWrap/>
            <w:vAlign w:val="center"/>
            <w:hideMark/>
          </w:tcPr>
          <w:p w14:paraId="7B3D1FAF" w14:textId="77777777" w:rsidR="00387142" w:rsidRPr="008B6A75" w:rsidRDefault="00387142" w:rsidP="00387142">
            <w:pPr>
              <w:jc w:val="center"/>
              <w:rPr>
                <w:bCs/>
                <w:sz w:val="20"/>
                <w:szCs w:val="20"/>
              </w:rPr>
            </w:pPr>
            <w:r w:rsidRPr="008B6A75">
              <w:rPr>
                <w:bCs/>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2F57548" w14:textId="77777777" w:rsidR="00387142" w:rsidRPr="008B6A75" w:rsidRDefault="00387142" w:rsidP="00387142">
            <w:pPr>
              <w:jc w:val="center"/>
              <w:rPr>
                <w:bCs/>
                <w:sz w:val="20"/>
                <w:szCs w:val="20"/>
              </w:rPr>
            </w:pPr>
            <w:r w:rsidRPr="008B6A75">
              <w:rPr>
                <w:bCs/>
                <w:sz w:val="20"/>
                <w:szCs w:val="20"/>
              </w:rPr>
              <w:t>01</w:t>
            </w:r>
          </w:p>
        </w:tc>
        <w:tc>
          <w:tcPr>
            <w:tcW w:w="1516" w:type="dxa"/>
            <w:tcBorders>
              <w:top w:val="nil"/>
              <w:left w:val="single" w:sz="4" w:space="0" w:color="auto"/>
              <w:bottom w:val="single" w:sz="4" w:space="0" w:color="auto"/>
              <w:right w:val="nil"/>
            </w:tcBorders>
            <w:shd w:val="clear" w:color="auto" w:fill="auto"/>
            <w:noWrap/>
            <w:vAlign w:val="center"/>
            <w:hideMark/>
          </w:tcPr>
          <w:p w14:paraId="4DA13CF9" w14:textId="77777777" w:rsidR="00387142" w:rsidRPr="008B6A75" w:rsidRDefault="00387142" w:rsidP="00387142">
            <w:pPr>
              <w:jc w:val="center"/>
              <w:rPr>
                <w:bCs/>
                <w:sz w:val="20"/>
                <w:szCs w:val="20"/>
              </w:rPr>
            </w:pPr>
            <w:r w:rsidRPr="008B6A75">
              <w:rPr>
                <w:bCs/>
                <w:sz w:val="20"/>
                <w:szCs w:val="20"/>
              </w:rPr>
              <w:t>07.1.00.07490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DACF300"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EF318F9" w14:textId="77777777" w:rsidR="00387142" w:rsidRPr="008B6A75" w:rsidRDefault="00387142" w:rsidP="00387142">
            <w:pPr>
              <w:jc w:val="right"/>
              <w:rPr>
                <w:bCs/>
                <w:sz w:val="20"/>
                <w:szCs w:val="20"/>
              </w:rPr>
            </w:pPr>
            <w:r w:rsidRPr="008B6A75">
              <w:rPr>
                <w:bCs/>
                <w:sz w:val="20"/>
                <w:szCs w:val="20"/>
              </w:rPr>
              <w:t>1 985 433,71</w:t>
            </w:r>
          </w:p>
        </w:tc>
        <w:tc>
          <w:tcPr>
            <w:tcW w:w="992" w:type="dxa"/>
            <w:tcBorders>
              <w:top w:val="nil"/>
              <w:left w:val="single" w:sz="4" w:space="0" w:color="auto"/>
              <w:bottom w:val="single" w:sz="4" w:space="0" w:color="auto"/>
              <w:right w:val="nil"/>
            </w:tcBorders>
            <w:shd w:val="clear" w:color="auto" w:fill="auto"/>
            <w:vAlign w:val="center"/>
            <w:hideMark/>
          </w:tcPr>
          <w:p w14:paraId="3F11D75B" w14:textId="77777777" w:rsidR="00387142" w:rsidRPr="008B6A75" w:rsidRDefault="00387142" w:rsidP="00387142">
            <w:pPr>
              <w:jc w:val="right"/>
              <w:rPr>
                <w:bCs/>
                <w:sz w:val="20"/>
                <w:szCs w:val="20"/>
              </w:rPr>
            </w:pPr>
            <w:r w:rsidRPr="008B6A75">
              <w:rPr>
                <w:bCs/>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2A7FA22A" w14:textId="77777777" w:rsidR="00387142" w:rsidRPr="008B6A75" w:rsidRDefault="00387142" w:rsidP="00387142">
            <w:pPr>
              <w:jc w:val="right"/>
              <w:rPr>
                <w:bCs/>
                <w:sz w:val="20"/>
                <w:szCs w:val="20"/>
              </w:rPr>
            </w:pPr>
            <w:r w:rsidRPr="008B6A75">
              <w:rPr>
                <w:bCs/>
                <w:sz w:val="20"/>
                <w:szCs w:val="20"/>
              </w:rPr>
              <w:t>0,00</w:t>
            </w:r>
          </w:p>
        </w:tc>
      </w:tr>
      <w:tr w:rsidR="00387142" w:rsidRPr="008B6A75" w14:paraId="1351E5DD" w14:textId="77777777" w:rsidTr="00387142">
        <w:trPr>
          <w:trHeight w:val="1440"/>
        </w:trPr>
        <w:tc>
          <w:tcPr>
            <w:tcW w:w="3261" w:type="dxa"/>
            <w:tcBorders>
              <w:top w:val="nil"/>
              <w:left w:val="single" w:sz="4" w:space="0" w:color="auto"/>
              <w:bottom w:val="single" w:sz="4" w:space="0" w:color="auto"/>
              <w:right w:val="nil"/>
            </w:tcBorders>
            <w:shd w:val="clear" w:color="auto" w:fill="auto"/>
            <w:vAlign w:val="center"/>
            <w:hideMark/>
          </w:tcPr>
          <w:p w14:paraId="3D70497B" w14:textId="77777777" w:rsidR="00387142" w:rsidRPr="008B6A75" w:rsidRDefault="00387142" w:rsidP="00387142">
            <w:pPr>
              <w:rPr>
                <w:sz w:val="20"/>
                <w:szCs w:val="20"/>
              </w:rPr>
            </w:pPr>
            <w:r w:rsidRPr="008B6A7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14:paraId="17BFCF06" w14:textId="77777777" w:rsidR="00387142" w:rsidRPr="008B6A75" w:rsidRDefault="00387142" w:rsidP="00387142">
            <w:pPr>
              <w:jc w:val="center"/>
              <w:rPr>
                <w:sz w:val="20"/>
                <w:szCs w:val="20"/>
              </w:rPr>
            </w:pPr>
            <w:r w:rsidRPr="008B6A75">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475DCC4" w14:textId="77777777" w:rsidR="00387142" w:rsidRPr="008B6A75" w:rsidRDefault="00387142" w:rsidP="00387142">
            <w:pPr>
              <w:jc w:val="center"/>
              <w:rPr>
                <w:sz w:val="20"/>
                <w:szCs w:val="20"/>
              </w:rPr>
            </w:pPr>
            <w:r w:rsidRPr="008B6A75">
              <w:rPr>
                <w:sz w:val="20"/>
                <w:szCs w:val="20"/>
              </w:rPr>
              <w:t>01</w:t>
            </w:r>
          </w:p>
        </w:tc>
        <w:tc>
          <w:tcPr>
            <w:tcW w:w="1516" w:type="dxa"/>
            <w:tcBorders>
              <w:top w:val="nil"/>
              <w:left w:val="single" w:sz="4" w:space="0" w:color="auto"/>
              <w:bottom w:val="single" w:sz="4" w:space="0" w:color="auto"/>
              <w:right w:val="nil"/>
            </w:tcBorders>
            <w:shd w:val="clear" w:color="auto" w:fill="auto"/>
            <w:noWrap/>
            <w:vAlign w:val="center"/>
            <w:hideMark/>
          </w:tcPr>
          <w:p w14:paraId="28A31EE6" w14:textId="77777777" w:rsidR="00387142" w:rsidRPr="008B6A75" w:rsidRDefault="00387142" w:rsidP="00387142">
            <w:pPr>
              <w:jc w:val="center"/>
              <w:rPr>
                <w:sz w:val="20"/>
                <w:szCs w:val="20"/>
              </w:rPr>
            </w:pPr>
            <w:r w:rsidRPr="008B6A75">
              <w:rPr>
                <w:sz w:val="20"/>
                <w:szCs w:val="20"/>
              </w:rPr>
              <w:t>07.1.00.07490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4E53347" w14:textId="77777777" w:rsidR="00387142" w:rsidRPr="008B6A75" w:rsidRDefault="00387142" w:rsidP="00387142">
            <w:pPr>
              <w:jc w:val="center"/>
              <w:rPr>
                <w:sz w:val="20"/>
                <w:szCs w:val="20"/>
              </w:rPr>
            </w:pPr>
            <w:r w:rsidRPr="008B6A75">
              <w:rPr>
                <w:sz w:val="20"/>
                <w:szCs w:val="20"/>
              </w:rPr>
              <w:t>100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7ECD67A" w14:textId="77777777" w:rsidR="00387142" w:rsidRPr="008B6A75" w:rsidRDefault="00387142" w:rsidP="00387142">
            <w:pPr>
              <w:jc w:val="right"/>
              <w:rPr>
                <w:sz w:val="20"/>
                <w:szCs w:val="20"/>
              </w:rPr>
            </w:pPr>
            <w:r w:rsidRPr="008B6A75">
              <w:rPr>
                <w:sz w:val="20"/>
                <w:szCs w:val="20"/>
              </w:rPr>
              <w:t>1 985 433,71</w:t>
            </w:r>
          </w:p>
        </w:tc>
        <w:tc>
          <w:tcPr>
            <w:tcW w:w="992" w:type="dxa"/>
            <w:tcBorders>
              <w:top w:val="nil"/>
              <w:left w:val="single" w:sz="4" w:space="0" w:color="auto"/>
              <w:bottom w:val="single" w:sz="4" w:space="0" w:color="auto"/>
              <w:right w:val="nil"/>
            </w:tcBorders>
            <w:shd w:val="clear" w:color="auto" w:fill="auto"/>
            <w:vAlign w:val="center"/>
            <w:hideMark/>
          </w:tcPr>
          <w:p w14:paraId="13ECDC31" w14:textId="77777777" w:rsidR="00387142" w:rsidRPr="008B6A75" w:rsidRDefault="00387142" w:rsidP="00387142">
            <w:pPr>
              <w:jc w:val="right"/>
              <w:rPr>
                <w:sz w:val="20"/>
                <w:szCs w:val="20"/>
              </w:rPr>
            </w:pPr>
            <w:r w:rsidRPr="008B6A75">
              <w:rPr>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00C7FD6D" w14:textId="77777777" w:rsidR="00387142" w:rsidRPr="008B6A75" w:rsidRDefault="00387142" w:rsidP="00387142">
            <w:pPr>
              <w:jc w:val="right"/>
              <w:rPr>
                <w:sz w:val="20"/>
                <w:szCs w:val="20"/>
              </w:rPr>
            </w:pPr>
            <w:r w:rsidRPr="008B6A75">
              <w:rPr>
                <w:sz w:val="20"/>
                <w:szCs w:val="20"/>
              </w:rPr>
              <w:t>0,00</w:t>
            </w:r>
          </w:p>
        </w:tc>
      </w:tr>
      <w:tr w:rsidR="00387142" w:rsidRPr="008B6A75" w14:paraId="24566E15" w14:textId="77777777" w:rsidTr="00387142">
        <w:trPr>
          <w:trHeight w:val="585"/>
        </w:trPr>
        <w:tc>
          <w:tcPr>
            <w:tcW w:w="3261" w:type="dxa"/>
            <w:tcBorders>
              <w:top w:val="nil"/>
              <w:left w:val="single" w:sz="4" w:space="0" w:color="auto"/>
              <w:bottom w:val="single" w:sz="4" w:space="0" w:color="auto"/>
              <w:right w:val="nil"/>
            </w:tcBorders>
            <w:shd w:val="clear" w:color="auto" w:fill="auto"/>
            <w:vAlign w:val="center"/>
            <w:hideMark/>
          </w:tcPr>
          <w:p w14:paraId="47EC09A8" w14:textId="77777777" w:rsidR="00387142" w:rsidRPr="008B6A75" w:rsidRDefault="00387142" w:rsidP="00387142">
            <w:pPr>
              <w:rPr>
                <w:sz w:val="20"/>
                <w:szCs w:val="20"/>
              </w:rPr>
            </w:pPr>
            <w:r w:rsidRPr="008B6A75">
              <w:rPr>
                <w:sz w:val="20"/>
                <w:szCs w:val="20"/>
              </w:rPr>
              <w:t>Расходы на выплаты персоналу казенных учреждений</w:t>
            </w:r>
          </w:p>
        </w:tc>
        <w:tc>
          <w:tcPr>
            <w:tcW w:w="720" w:type="dxa"/>
            <w:tcBorders>
              <w:top w:val="nil"/>
              <w:left w:val="single" w:sz="4" w:space="0" w:color="auto"/>
              <w:bottom w:val="single" w:sz="4" w:space="0" w:color="auto"/>
              <w:right w:val="nil"/>
            </w:tcBorders>
            <w:shd w:val="clear" w:color="auto" w:fill="auto"/>
            <w:noWrap/>
            <w:vAlign w:val="center"/>
            <w:hideMark/>
          </w:tcPr>
          <w:p w14:paraId="453B441D" w14:textId="77777777" w:rsidR="00387142" w:rsidRPr="008B6A75" w:rsidRDefault="00387142" w:rsidP="00387142">
            <w:pPr>
              <w:jc w:val="center"/>
              <w:rPr>
                <w:sz w:val="20"/>
                <w:szCs w:val="20"/>
              </w:rPr>
            </w:pPr>
            <w:r w:rsidRPr="008B6A75">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DB0F909" w14:textId="77777777" w:rsidR="00387142" w:rsidRPr="008B6A75" w:rsidRDefault="00387142" w:rsidP="00387142">
            <w:pPr>
              <w:jc w:val="center"/>
              <w:rPr>
                <w:sz w:val="20"/>
                <w:szCs w:val="20"/>
              </w:rPr>
            </w:pPr>
            <w:r w:rsidRPr="008B6A75">
              <w:rPr>
                <w:sz w:val="20"/>
                <w:szCs w:val="20"/>
              </w:rPr>
              <w:t>01</w:t>
            </w:r>
          </w:p>
        </w:tc>
        <w:tc>
          <w:tcPr>
            <w:tcW w:w="1516" w:type="dxa"/>
            <w:tcBorders>
              <w:top w:val="nil"/>
              <w:left w:val="single" w:sz="4" w:space="0" w:color="auto"/>
              <w:bottom w:val="single" w:sz="4" w:space="0" w:color="auto"/>
              <w:right w:val="nil"/>
            </w:tcBorders>
            <w:shd w:val="clear" w:color="auto" w:fill="auto"/>
            <w:noWrap/>
            <w:vAlign w:val="center"/>
            <w:hideMark/>
          </w:tcPr>
          <w:p w14:paraId="594E8258" w14:textId="77777777" w:rsidR="00387142" w:rsidRPr="008B6A75" w:rsidRDefault="00387142" w:rsidP="00387142">
            <w:pPr>
              <w:jc w:val="center"/>
              <w:rPr>
                <w:sz w:val="20"/>
                <w:szCs w:val="20"/>
              </w:rPr>
            </w:pPr>
            <w:r w:rsidRPr="008B6A75">
              <w:rPr>
                <w:sz w:val="20"/>
                <w:szCs w:val="20"/>
              </w:rPr>
              <w:t>07.1.00.07490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3EB4D06" w14:textId="77777777" w:rsidR="00387142" w:rsidRPr="008B6A75" w:rsidRDefault="00387142" w:rsidP="00387142">
            <w:pPr>
              <w:jc w:val="center"/>
              <w:rPr>
                <w:sz w:val="20"/>
                <w:szCs w:val="20"/>
              </w:rPr>
            </w:pPr>
            <w:r w:rsidRPr="008B6A75">
              <w:rPr>
                <w:sz w:val="20"/>
                <w:szCs w:val="20"/>
              </w:rPr>
              <w:t>110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4F6BDF6" w14:textId="77777777" w:rsidR="00387142" w:rsidRPr="008B6A75" w:rsidRDefault="00387142" w:rsidP="00387142">
            <w:pPr>
              <w:jc w:val="right"/>
              <w:rPr>
                <w:sz w:val="20"/>
                <w:szCs w:val="20"/>
              </w:rPr>
            </w:pPr>
            <w:r w:rsidRPr="008B6A75">
              <w:rPr>
                <w:sz w:val="20"/>
                <w:szCs w:val="20"/>
              </w:rPr>
              <w:t>1 985 433,71</w:t>
            </w:r>
          </w:p>
        </w:tc>
        <w:tc>
          <w:tcPr>
            <w:tcW w:w="992" w:type="dxa"/>
            <w:tcBorders>
              <w:top w:val="nil"/>
              <w:left w:val="single" w:sz="4" w:space="0" w:color="auto"/>
              <w:bottom w:val="single" w:sz="4" w:space="0" w:color="auto"/>
              <w:right w:val="nil"/>
            </w:tcBorders>
            <w:shd w:val="clear" w:color="auto" w:fill="auto"/>
            <w:vAlign w:val="center"/>
            <w:hideMark/>
          </w:tcPr>
          <w:p w14:paraId="68E27DF3" w14:textId="77777777" w:rsidR="00387142" w:rsidRPr="008B6A75" w:rsidRDefault="00387142" w:rsidP="00387142">
            <w:pPr>
              <w:jc w:val="right"/>
              <w:rPr>
                <w:sz w:val="20"/>
                <w:szCs w:val="20"/>
              </w:rPr>
            </w:pPr>
            <w:r w:rsidRPr="008B6A75">
              <w:rPr>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5406CF95" w14:textId="77777777" w:rsidR="00387142" w:rsidRPr="008B6A75" w:rsidRDefault="00387142" w:rsidP="00387142">
            <w:pPr>
              <w:jc w:val="right"/>
              <w:rPr>
                <w:sz w:val="20"/>
                <w:szCs w:val="20"/>
              </w:rPr>
            </w:pPr>
            <w:r w:rsidRPr="008B6A75">
              <w:rPr>
                <w:sz w:val="20"/>
                <w:szCs w:val="20"/>
              </w:rPr>
              <w:t>0,00</w:t>
            </w:r>
          </w:p>
        </w:tc>
      </w:tr>
      <w:tr w:rsidR="00387142" w:rsidRPr="008B6A75" w14:paraId="5914052B" w14:textId="77777777" w:rsidTr="00387142">
        <w:trPr>
          <w:trHeight w:val="1155"/>
        </w:trPr>
        <w:tc>
          <w:tcPr>
            <w:tcW w:w="3261" w:type="dxa"/>
            <w:tcBorders>
              <w:top w:val="nil"/>
              <w:left w:val="single" w:sz="4" w:space="0" w:color="auto"/>
              <w:bottom w:val="single" w:sz="4" w:space="0" w:color="auto"/>
              <w:right w:val="nil"/>
            </w:tcBorders>
            <w:shd w:val="clear" w:color="auto" w:fill="auto"/>
            <w:vAlign w:val="center"/>
            <w:hideMark/>
          </w:tcPr>
          <w:p w14:paraId="22C9E523" w14:textId="77777777" w:rsidR="00387142" w:rsidRPr="008B6A75" w:rsidRDefault="00387142" w:rsidP="00387142">
            <w:pPr>
              <w:rPr>
                <w:bCs/>
                <w:sz w:val="20"/>
                <w:szCs w:val="20"/>
              </w:rPr>
            </w:pPr>
            <w:r w:rsidRPr="008B6A75">
              <w:rPr>
                <w:bCs/>
                <w:sz w:val="20"/>
                <w:szCs w:val="20"/>
              </w:rPr>
              <w:t>Реализация основных общеобразовательных программ дошкольного образования в муниципальных образовательных организациях</w:t>
            </w:r>
          </w:p>
        </w:tc>
        <w:tc>
          <w:tcPr>
            <w:tcW w:w="720" w:type="dxa"/>
            <w:tcBorders>
              <w:top w:val="nil"/>
              <w:left w:val="single" w:sz="4" w:space="0" w:color="auto"/>
              <w:bottom w:val="single" w:sz="4" w:space="0" w:color="auto"/>
              <w:right w:val="nil"/>
            </w:tcBorders>
            <w:shd w:val="clear" w:color="auto" w:fill="auto"/>
            <w:noWrap/>
            <w:vAlign w:val="center"/>
            <w:hideMark/>
          </w:tcPr>
          <w:p w14:paraId="36682A76" w14:textId="77777777" w:rsidR="00387142" w:rsidRPr="008B6A75" w:rsidRDefault="00387142" w:rsidP="00387142">
            <w:pPr>
              <w:jc w:val="center"/>
              <w:rPr>
                <w:bCs/>
                <w:sz w:val="20"/>
                <w:szCs w:val="20"/>
              </w:rPr>
            </w:pPr>
            <w:r w:rsidRPr="008B6A75">
              <w:rPr>
                <w:bCs/>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531B3ED" w14:textId="77777777" w:rsidR="00387142" w:rsidRPr="008B6A75" w:rsidRDefault="00387142" w:rsidP="00387142">
            <w:pPr>
              <w:jc w:val="center"/>
              <w:rPr>
                <w:bCs/>
                <w:sz w:val="20"/>
                <w:szCs w:val="20"/>
              </w:rPr>
            </w:pPr>
            <w:r w:rsidRPr="008B6A75">
              <w:rPr>
                <w:bCs/>
                <w:sz w:val="20"/>
                <w:szCs w:val="20"/>
              </w:rPr>
              <w:t>01</w:t>
            </w:r>
          </w:p>
        </w:tc>
        <w:tc>
          <w:tcPr>
            <w:tcW w:w="1516" w:type="dxa"/>
            <w:tcBorders>
              <w:top w:val="nil"/>
              <w:left w:val="single" w:sz="4" w:space="0" w:color="auto"/>
              <w:bottom w:val="single" w:sz="4" w:space="0" w:color="auto"/>
              <w:right w:val="nil"/>
            </w:tcBorders>
            <w:shd w:val="clear" w:color="auto" w:fill="auto"/>
            <w:noWrap/>
            <w:vAlign w:val="center"/>
            <w:hideMark/>
          </w:tcPr>
          <w:p w14:paraId="6ED07ABD" w14:textId="77777777" w:rsidR="00387142" w:rsidRPr="008B6A75" w:rsidRDefault="00387142" w:rsidP="00387142">
            <w:pPr>
              <w:jc w:val="center"/>
              <w:rPr>
                <w:bCs/>
                <w:sz w:val="20"/>
                <w:szCs w:val="20"/>
              </w:rPr>
            </w:pPr>
            <w:r w:rsidRPr="008B6A75">
              <w:rPr>
                <w:bCs/>
                <w:sz w:val="20"/>
                <w:szCs w:val="20"/>
              </w:rPr>
              <w:t>07.1.00.70110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F01973A"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B135B93" w14:textId="77777777" w:rsidR="00387142" w:rsidRPr="008B6A75" w:rsidRDefault="00387142" w:rsidP="00387142">
            <w:pPr>
              <w:jc w:val="right"/>
              <w:rPr>
                <w:bCs/>
                <w:sz w:val="20"/>
                <w:szCs w:val="20"/>
              </w:rPr>
            </w:pPr>
            <w:r w:rsidRPr="008B6A75">
              <w:rPr>
                <w:bCs/>
                <w:sz w:val="20"/>
                <w:szCs w:val="20"/>
              </w:rPr>
              <w:t>202 509 500,00</w:t>
            </w:r>
          </w:p>
        </w:tc>
        <w:tc>
          <w:tcPr>
            <w:tcW w:w="992" w:type="dxa"/>
            <w:tcBorders>
              <w:top w:val="nil"/>
              <w:left w:val="single" w:sz="4" w:space="0" w:color="auto"/>
              <w:bottom w:val="single" w:sz="4" w:space="0" w:color="auto"/>
              <w:right w:val="nil"/>
            </w:tcBorders>
            <w:shd w:val="clear" w:color="auto" w:fill="auto"/>
            <w:vAlign w:val="center"/>
            <w:hideMark/>
          </w:tcPr>
          <w:p w14:paraId="00ACBF2B" w14:textId="77777777" w:rsidR="00387142" w:rsidRPr="008B6A75" w:rsidRDefault="00387142" w:rsidP="00387142">
            <w:pPr>
              <w:jc w:val="right"/>
              <w:rPr>
                <w:bCs/>
                <w:sz w:val="20"/>
                <w:szCs w:val="20"/>
              </w:rPr>
            </w:pPr>
            <w:r w:rsidRPr="008B6A75">
              <w:rPr>
                <w:bCs/>
                <w:sz w:val="20"/>
                <w:szCs w:val="20"/>
              </w:rPr>
              <w:t>211 123 105,20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7E2E80E6" w14:textId="77777777" w:rsidR="00387142" w:rsidRPr="008B6A75" w:rsidRDefault="00387142" w:rsidP="00387142">
            <w:pPr>
              <w:jc w:val="right"/>
              <w:rPr>
                <w:bCs/>
                <w:sz w:val="20"/>
                <w:szCs w:val="20"/>
              </w:rPr>
            </w:pPr>
            <w:r w:rsidRPr="008B6A75">
              <w:rPr>
                <w:bCs/>
                <w:sz w:val="20"/>
                <w:szCs w:val="20"/>
              </w:rPr>
              <w:t>224 275 302,78</w:t>
            </w:r>
          </w:p>
        </w:tc>
      </w:tr>
      <w:tr w:rsidR="00387142" w:rsidRPr="008B6A75" w14:paraId="618B34AC" w14:textId="77777777" w:rsidTr="00387142">
        <w:trPr>
          <w:trHeight w:val="1440"/>
        </w:trPr>
        <w:tc>
          <w:tcPr>
            <w:tcW w:w="3261" w:type="dxa"/>
            <w:tcBorders>
              <w:top w:val="nil"/>
              <w:left w:val="single" w:sz="4" w:space="0" w:color="auto"/>
              <w:bottom w:val="single" w:sz="4" w:space="0" w:color="auto"/>
              <w:right w:val="nil"/>
            </w:tcBorders>
            <w:shd w:val="clear" w:color="auto" w:fill="auto"/>
            <w:vAlign w:val="center"/>
            <w:hideMark/>
          </w:tcPr>
          <w:p w14:paraId="70173389" w14:textId="77777777" w:rsidR="00387142" w:rsidRPr="008B6A75" w:rsidRDefault="00387142" w:rsidP="00387142">
            <w:pPr>
              <w:rPr>
                <w:sz w:val="20"/>
                <w:szCs w:val="20"/>
              </w:rPr>
            </w:pPr>
            <w:r w:rsidRPr="008B6A7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14:paraId="452104B5" w14:textId="77777777" w:rsidR="00387142" w:rsidRPr="008B6A75" w:rsidRDefault="00387142" w:rsidP="00387142">
            <w:pPr>
              <w:jc w:val="center"/>
              <w:rPr>
                <w:sz w:val="20"/>
                <w:szCs w:val="20"/>
              </w:rPr>
            </w:pPr>
            <w:r w:rsidRPr="008B6A75">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EBE6A00" w14:textId="77777777" w:rsidR="00387142" w:rsidRPr="008B6A75" w:rsidRDefault="00387142" w:rsidP="00387142">
            <w:pPr>
              <w:jc w:val="center"/>
              <w:rPr>
                <w:sz w:val="20"/>
                <w:szCs w:val="20"/>
              </w:rPr>
            </w:pPr>
            <w:r w:rsidRPr="008B6A75">
              <w:rPr>
                <w:sz w:val="20"/>
                <w:szCs w:val="20"/>
              </w:rPr>
              <w:t>01</w:t>
            </w:r>
          </w:p>
        </w:tc>
        <w:tc>
          <w:tcPr>
            <w:tcW w:w="1516" w:type="dxa"/>
            <w:tcBorders>
              <w:top w:val="nil"/>
              <w:left w:val="single" w:sz="4" w:space="0" w:color="auto"/>
              <w:bottom w:val="single" w:sz="4" w:space="0" w:color="auto"/>
              <w:right w:val="nil"/>
            </w:tcBorders>
            <w:shd w:val="clear" w:color="auto" w:fill="auto"/>
            <w:noWrap/>
            <w:vAlign w:val="center"/>
            <w:hideMark/>
          </w:tcPr>
          <w:p w14:paraId="09F5381A" w14:textId="77777777" w:rsidR="00387142" w:rsidRPr="008B6A75" w:rsidRDefault="00387142" w:rsidP="00387142">
            <w:pPr>
              <w:jc w:val="center"/>
              <w:rPr>
                <w:sz w:val="20"/>
                <w:szCs w:val="20"/>
              </w:rPr>
            </w:pPr>
            <w:r w:rsidRPr="008B6A75">
              <w:rPr>
                <w:sz w:val="20"/>
                <w:szCs w:val="20"/>
              </w:rPr>
              <w:t>07.1.00.70110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F75F678" w14:textId="77777777" w:rsidR="00387142" w:rsidRPr="008B6A75" w:rsidRDefault="00387142" w:rsidP="00387142">
            <w:pPr>
              <w:jc w:val="center"/>
              <w:rPr>
                <w:sz w:val="20"/>
                <w:szCs w:val="20"/>
              </w:rPr>
            </w:pPr>
            <w:r w:rsidRPr="008B6A75">
              <w:rPr>
                <w:sz w:val="20"/>
                <w:szCs w:val="20"/>
              </w:rPr>
              <w:t>100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B7D15D7" w14:textId="77777777" w:rsidR="00387142" w:rsidRPr="008B6A75" w:rsidRDefault="00387142" w:rsidP="00387142">
            <w:pPr>
              <w:jc w:val="right"/>
              <w:rPr>
                <w:sz w:val="20"/>
                <w:szCs w:val="20"/>
              </w:rPr>
            </w:pPr>
            <w:r w:rsidRPr="008B6A75">
              <w:rPr>
                <w:sz w:val="20"/>
                <w:szCs w:val="20"/>
              </w:rPr>
              <w:t>200 796 200,00</w:t>
            </w:r>
          </w:p>
        </w:tc>
        <w:tc>
          <w:tcPr>
            <w:tcW w:w="992" w:type="dxa"/>
            <w:tcBorders>
              <w:top w:val="nil"/>
              <w:left w:val="single" w:sz="4" w:space="0" w:color="auto"/>
              <w:bottom w:val="single" w:sz="4" w:space="0" w:color="auto"/>
              <w:right w:val="nil"/>
            </w:tcBorders>
            <w:shd w:val="clear" w:color="auto" w:fill="auto"/>
            <w:vAlign w:val="center"/>
            <w:hideMark/>
          </w:tcPr>
          <w:p w14:paraId="58BB8E14" w14:textId="77777777" w:rsidR="00387142" w:rsidRPr="008B6A75" w:rsidRDefault="00387142" w:rsidP="00387142">
            <w:pPr>
              <w:jc w:val="right"/>
              <w:rPr>
                <w:sz w:val="20"/>
                <w:szCs w:val="20"/>
              </w:rPr>
            </w:pPr>
            <w:r w:rsidRPr="008B6A75">
              <w:rPr>
                <w:sz w:val="20"/>
                <w:szCs w:val="20"/>
              </w:rPr>
              <w:t>209 227 405,20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2E467F37" w14:textId="77777777" w:rsidR="00387142" w:rsidRPr="008B6A75" w:rsidRDefault="00387142" w:rsidP="00387142">
            <w:pPr>
              <w:jc w:val="right"/>
              <w:rPr>
                <w:sz w:val="20"/>
                <w:szCs w:val="20"/>
              </w:rPr>
            </w:pPr>
            <w:r w:rsidRPr="008B6A75">
              <w:rPr>
                <w:sz w:val="20"/>
                <w:szCs w:val="20"/>
              </w:rPr>
              <w:t>222 379 602,78</w:t>
            </w:r>
          </w:p>
        </w:tc>
      </w:tr>
      <w:tr w:rsidR="00387142" w:rsidRPr="008B6A75" w14:paraId="64253E3B" w14:textId="77777777" w:rsidTr="00387142">
        <w:trPr>
          <w:trHeight w:val="585"/>
        </w:trPr>
        <w:tc>
          <w:tcPr>
            <w:tcW w:w="3261" w:type="dxa"/>
            <w:tcBorders>
              <w:top w:val="nil"/>
              <w:left w:val="single" w:sz="4" w:space="0" w:color="auto"/>
              <w:bottom w:val="single" w:sz="4" w:space="0" w:color="auto"/>
              <w:right w:val="nil"/>
            </w:tcBorders>
            <w:shd w:val="clear" w:color="auto" w:fill="auto"/>
            <w:vAlign w:val="center"/>
            <w:hideMark/>
          </w:tcPr>
          <w:p w14:paraId="3470A691" w14:textId="77777777" w:rsidR="00387142" w:rsidRPr="008B6A75" w:rsidRDefault="00387142" w:rsidP="00387142">
            <w:pPr>
              <w:rPr>
                <w:sz w:val="20"/>
                <w:szCs w:val="20"/>
              </w:rPr>
            </w:pPr>
            <w:r w:rsidRPr="008B6A75">
              <w:rPr>
                <w:sz w:val="20"/>
                <w:szCs w:val="20"/>
              </w:rPr>
              <w:t>Расходы на выплаты персоналу казенных учреждений</w:t>
            </w:r>
          </w:p>
        </w:tc>
        <w:tc>
          <w:tcPr>
            <w:tcW w:w="720" w:type="dxa"/>
            <w:tcBorders>
              <w:top w:val="nil"/>
              <w:left w:val="single" w:sz="4" w:space="0" w:color="auto"/>
              <w:bottom w:val="single" w:sz="4" w:space="0" w:color="auto"/>
              <w:right w:val="nil"/>
            </w:tcBorders>
            <w:shd w:val="clear" w:color="auto" w:fill="auto"/>
            <w:noWrap/>
            <w:vAlign w:val="center"/>
            <w:hideMark/>
          </w:tcPr>
          <w:p w14:paraId="60B2DAB8" w14:textId="77777777" w:rsidR="00387142" w:rsidRPr="008B6A75" w:rsidRDefault="00387142" w:rsidP="00387142">
            <w:pPr>
              <w:jc w:val="center"/>
              <w:rPr>
                <w:sz w:val="20"/>
                <w:szCs w:val="20"/>
              </w:rPr>
            </w:pPr>
            <w:r w:rsidRPr="008B6A75">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87DC113" w14:textId="77777777" w:rsidR="00387142" w:rsidRPr="008B6A75" w:rsidRDefault="00387142" w:rsidP="00387142">
            <w:pPr>
              <w:jc w:val="center"/>
              <w:rPr>
                <w:sz w:val="20"/>
                <w:szCs w:val="20"/>
              </w:rPr>
            </w:pPr>
            <w:r w:rsidRPr="008B6A75">
              <w:rPr>
                <w:sz w:val="20"/>
                <w:szCs w:val="20"/>
              </w:rPr>
              <w:t>01</w:t>
            </w:r>
          </w:p>
        </w:tc>
        <w:tc>
          <w:tcPr>
            <w:tcW w:w="1516" w:type="dxa"/>
            <w:tcBorders>
              <w:top w:val="nil"/>
              <w:left w:val="single" w:sz="4" w:space="0" w:color="auto"/>
              <w:bottom w:val="single" w:sz="4" w:space="0" w:color="auto"/>
              <w:right w:val="nil"/>
            </w:tcBorders>
            <w:shd w:val="clear" w:color="auto" w:fill="auto"/>
            <w:noWrap/>
            <w:vAlign w:val="center"/>
            <w:hideMark/>
          </w:tcPr>
          <w:p w14:paraId="1B64D5E3" w14:textId="77777777" w:rsidR="00387142" w:rsidRPr="008B6A75" w:rsidRDefault="00387142" w:rsidP="00387142">
            <w:pPr>
              <w:jc w:val="center"/>
              <w:rPr>
                <w:sz w:val="20"/>
                <w:szCs w:val="20"/>
              </w:rPr>
            </w:pPr>
            <w:r w:rsidRPr="008B6A75">
              <w:rPr>
                <w:sz w:val="20"/>
                <w:szCs w:val="20"/>
              </w:rPr>
              <w:t>07.1.00.70110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66E3318" w14:textId="77777777" w:rsidR="00387142" w:rsidRPr="008B6A75" w:rsidRDefault="00387142" w:rsidP="00387142">
            <w:pPr>
              <w:jc w:val="center"/>
              <w:rPr>
                <w:sz w:val="20"/>
                <w:szCs w:val="20"/>
              </w:rPr>
            </w:pPr>
            <w:r w:rsidRPr="008B6A75">
              <w:rPr>
                <w:sz w:val="20"/>
                <w:szCs w:val="20"/>
              </w:rPr>
              <w:t>110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CAADA16" w14:textId="77777777" w:rsidR="00387142" w:rsidRPr="008B6A75" w:rsidRDefault="00387142" w:rsidP="00387142">
            <w:pPr>
              <w:jc w:val="right"/>
              <w:rPr>
                <w:sz w:val="20"/>
                <w:szCs w:val="20"/>
              </w:rPr>
            </w:pPr>
            <w:r w:rsidRPr="008B6A75">
              <w:rPr>
                <w:sz w:val="20"/>
                <w:szCs w:val="20"/>
              </w:rPr>
              <w:t>200 796 200,00</w:t>
            </w:r>
          </w:p>
        </w:tc>
        <w:tc>
          <w:tcPr>
            <w:tcW w:w="992" w:type="dxa"/>
            <w:tcBorders>
              <w:top w:val="nil"/>
              <w:left w:val="single" w:sz="4" w:space="0" w:color="auto"/>
              <w:bottom w:val="single" w:sz="4" w:space="0" w:color="auto"/>
              <w:right w:val="nil"/>
            </w:tcBorders>
            <w:shd w:val="clear" w:color="auto" w:fill="auto"/>
            <w:vAlign w:val="center"/>
            <w:hideMark/>
          </w:tcPr>
          <w:p w14:paraId="517D6AF0" w14:textId="77777777" w:rsidR="00387142" w:rsidRPr="008B6A75" w:rsidRDefault="00387142" w:rsidP="00387142">
            <w:pPr>
              <w:jc w:val="right"/>
              <w:rPr>
                <w:sz w:val="20"/>
                <w:szCs w:val="20"/>
              </w:rPr>
            </w:pPr>
            <w:r w:rsidRPr="008B6A75">
              <w:rPr>
                <w:sz w:val="20"/>
                <w:szCs w:val="20"/>
              </w:rPr>
              <w:t>209 227 405,20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537C5712" w14:textId="77777777" w:rsidR="00387142" w:rsidRPr="008B6A75" w:rsidRDefault="00387142" w:rsidP="00387142">
            <w:pPr>
              <w:jc w:val="right"/>
              <w:rPr>
                <w:sz w:val="20"/>
                <w:szCs w:val="20"/>
              </w:rPr>
            </w:pPr>
            <w:r w:rsidRPr="008B6A75">
              <w:rPr>
                <w:sz w:val="20"/>
                <w:szCs w:val="20"/>
              </w:rPr>
              <w:t>222 379 602,78</w:t>
            </w:r>
          </w:p>
        </w:tc>
      </w:tr>
      <w:tr w:rsidR="00387142" w:rsidRPr="008B6A75" w14:paraId="32BA143E" w14:textId="77777777" w:rsidTr="00387142">
        <w:trPr>
          <w:trHeight w:val="585"/>
        </w:trPr>
        <w:tc>
          <w:tcPr>
            <w:tcW w:w="3261" w:type="dxa"/>
            <w:tcBorders>
              <w:top w:val="nil"/>
              <w:left w:val="single" w:sz="4" w:space="0" w:color="auto"/>
              <w:bottom w:val="single" w:sz="4" w:space="0" w:color="auto"/>
              <w:right w:val="nil"/>
            </w:tcBorders>
            <w:shd w:val="clear" w:color="auto" w:fill="auto"/>
            <w:vAlign w:val="center"/>
            <w:hideMark/>
          </w:tcPr>
          <w:p w14:paraId="03D13E78" w14:textId="77777777" w:rsidR="00387142" w:rsidRPr="008B6A75" w:rsidRDefault="00387142" w:rsidP="00387142">
            <w:pPr>
              <w:rPr>
                <w:sz w:val="20"/>
                <w:szCs w:val="20"/>
              </w:rPr>
            </w:pPr>
            <w:r w:rsidRPr="008B6A75">
              <w:rPr>
                <w:sz w:val="20"/>
                <w:szCs w:val="20"/>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0D563DB1" w14:textId="77777777" w:rsidR="00387142" w:rsidRPr="008B6A75" w:rsidRDefault="00387142" w:rsidP="00387142">
            <w:pPr>
              <w:jc w:val="center"/>
              <w:rPr>
                <w:sz w:val="20"/>
                <w:szCs w:val="20"/>
              </w:rPr>
            </w:pPr>
            <w:r w:rsidRPr="008B6A75">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0895657" w14:textId="77777777" w:rsidR="00387142" w:rsidRPr="008B6A75" w:rsidRDefault="00387142" w:rsidP="00387142">
            <w:pPr>
              <w:jc w:val="center"/>
              <w:rPr>
                <w:sz w:val="20"/>
                <w:szCs w:val="20"/>
              </w:rPr>
            </w:pPr>
            <w:r w:rsidRPr="008B6A75">
              <w:rPr>
                <w:sz w:val="20"/>
                <w:szCs w:val="20"/>
              </w:rPr>
              <w:t>01</w:t>
            </w:r>
          </w:p>
        </w:tc>
        <w:tc>
          <w:tcPr>
            <w:tcW w:w="1516" w:type="dxa"/>
            <w:tcBorders>
              <w:top w:val="nil"/>
              <w:left w:val="single" w:sz="4" w:space="0" w:color="auto"/>
              <w:bottom w:val="single" w:sz="4" w:space="0" w:color="auto"/>
              <w:right w:val="nil"/>
            </w:tcBorders>
            <w:shd w:val="clear" w:color="auto" w:fill="auto"/>
            <w:noWrap/>
            <w:vAlign w:val="center"/>
            <w:hideMark/>
          </w:tcPr>
          <w:p w14:paraId="6FC2136E" w14:textId="77777777" w:rsidR="00387142" w:rsidRPr="008B6A75" w:rsidRDefault="00387142" w:rsidP="00387142">
            <w:pPr>
              <w:jc w:val="center"/>
              <w:rPr>
                <w:sz w:val="20"/>
                <w:szCs w:val="20"/>
              </w:rPr>
            </w:pPr>
            <w:r w:rsidRPr="008B6A75">
              <w:rPr>
                <w:sz w:val="20"/>
                <w:szCs w:val="20"/>
              </w:rPr>
              <w:t>07.1.00.70110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3705C46" w14:textId="77777777" w:rsidR="00387142" w:rsidRPr="008B6A75" w:rsidRDefault="00387142" w:rsidP="00387142">
            <w:pPr>
              <w:jc w:val="center"/>
              <w:rPr>
                <w:sz w:val="20"/>
                <w:szCs w:val="20"/>
              </w:rPr>
            </w:pPr>
            <w:r w:rsidRPr="008B6A75">
              <w:rPr>
                <w:sz w:val="20"/>
                <w:szCs w:val="20"/>
              </w:rPr>
              <w:t>200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8909FE8" w14:textId="77777777" w:rsidR="00387142" w:rsidRPr="008B6A75" w:rsidRDefault="00387142" w:rsidP="00387142">
            <w:pPr>
              <w:jc w:val="right"/>
              <w:rPr>
                <w:sz w:val="20"/>
                <w:szCs w:val="20"/>
              </w:rPr>
            </w:pPr>
            <w:r w:rsidRPr="008B6A75">
              <w:rPr>
                <w:sz w:val="20"/>
                <w:szCs w:val="20"/>
              </w:rPr>
              <w:t>1 713 300,00</w:t>
            </w:r>
          </w:p>
        </w:tc>
        <w:tc>
          <w:tcPr>
            <w:tcW w:w="992" w:type="dxa"/>
            <w:tcBorders>
              <w:top w:val="nil"/>
              <w:left w:val="single" w:sz="4" w:space="0" w:color="auto"/>
              <w:bottom w:val="single" w:sz="4" w:space="0" w:color="auto"/>
              <w:right w:val="nil"/>
            </w:tcBorders>
            <w:shd w:val="clear" w:color="auto" w:fill="auto"/>
            <w:vAlign w:val="center"/>
            <w:hideMark/>
          </w:tcPr>
          <w:p w14:paraId="2F533CC8" w14:textId="77777777" w:rsidR="00387142" w:rsidRPr="008B6A75" w:rsidRDefault="00387142" w:rsidP="00387142">
            <w:pPr>
              <w:jc w:val="right"/>
              <w:rPr>
                <w:sz w:val="20"/>
                <w:szCs w:val="20"/>
              </w:rPr>
            </w:pPr>
            <w:r w:rsidRPr="008B6A75">
              <w:rPr>
                <w:sz w:val="20"/>
                <w:szCs w:val="20"/>
              </w:rPr>
              <w:t>1 895 700,00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274F92A9" w14:textId="77777777" w:rsidR="00387142" w:rsidRPr="008B6A75" w:rsidRDefault="00387142" w:rsidP="00387142">
            <w:pPr>
              <w:jc w:val="right"/>
              <w:rPr>
                <w:sz w:val="20"/>
                <w:szCs w:val="20"/>
              </w:rPr>
            </w:pPr>
            <w:r w:rsidRPr="008B6A75">
              <w:rPr>
                <w:sz w:val="20"/>
                <w:szCs w:val="20"/>
              </w:rPr>
              <w:t>1 895 700,00</w:t>
            </w:r>
          </w:p>
        </w:tc>
      </w:tr>
      <w:tr w:rsidR="00387142" w:rsidRPr="008B6A75" w14:paraId="4274EAF5" w14:textId="77777777" w:rsidTr="00387142">
        <w:trPr>
          <w:trHeight w:val="870"/>
        </w:trPr>
        <w:tc>
          <w:tcPr>
            <w:tcW w:w="3261" w:type="dxa"/>
            <w:tcBorders>
              <w:top w:val="nil"/>
              <w:left w:val="single" w:sz="4" w:space="0" w:color="auto"/>
              <w:bottom w:val="single" w:sz="4" w:space="0" w:color="auto"/>
              <w:right w:val="nil"/>
            </w:tcBorders>
            <w:shd w:val="clear" w:color="auto" w:fill="auto"/>
            <w:vAlign w:val="center"/>
            <w:hideMark/>
          </w:tcPr>
          <w:p w14:paraId="27A766DE" w14:textId="77777777" w:rsidR="00387142" w:rsidRPr="008B6A75" w:rsidRDefault="00387142" w:rsidP="00387142">
            <w:pPr>
              <w:rPr>
                <w:sz w:val="20"/>
                <w:szCs w:val="20"/>
              </w:rPr>
            </w:pPr>
            <w:r w:rsidRPr="008B6A75">
              <w:rPr>
                <w:sz w:val="20"/>
                <w:szCs w:val="20"/>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5C220C0B" w14:textId="77777777" w:rsidR="00387142" w:rsidRPr="008B6A75" w:rsidRDefault="00387142" w:rsidP="00387142">
            <w:pPr>
              <w:jc w:val="center"/>
              <w:rPr>
                <w:sz w:val="20"/>
                <w:szCs w:val="20"/>
              </w:rPr>
            </w:pPr>
            <w:r w:rsidRPr="008B6A75">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134E115" w14:textId="77777777" w:rsidR="00387142" w:rsidRPr="008B6A75" w:rsidRDefault="00387142" w:rsidP="00387142">
            <w:pPr>
              <w:jc w:val="center"/>
              <w:rPr>
                <w:sz w:val="20"/>
                <w:szCs w:val="20"/>
              </w:rPr>
            </w:pPr>
            <w:r w:rsidRPr="008B6A75">
              <w:rPr>
                <w:sz w:val="20"/>
                <w:szCs w:val="20"/>
              </w:rPr>
              <w:t>01</w:t>
            </w:r>
          </w:p>
        </w:tc>
        <w:tc>
          <w:tcPr>
            <w:tcW w:w="1516" w:type="dxa"/>
            <w:tcBorders>
              <w:top w:val="nil"/>
              <w:left w:val="single" w:sz="4" w:space="0" w:color="auto"/>
              <w:bottom w:val="single" w:sz="4" w:space="0" w:color="auto"/>
              <w:right w:val="nil"/>
            </w:tcBorders>
            <w:shd w:val="clear" w:color="auto" w:fill="auto"/>
            <w:noWrap/>
            <w:vAlign w:val="center"/>
            <w:hideMark/>
          </w:tcPr>
          <w:p w14:paraId="04ABA95D" w14:textId="77777777" w:rsidR="00387142" w:rsidRPr="008B6A75" w:rsidRDefault="00387142" w:rsidP="00387142">
            <w:pPr>
              <w:jc w:val="center"/>
              <w:rPr>
                <w:sz w:val="20"/>
                <w:szCs w:val="20"/>
              </w:rPr>
            </w:pPr>
            <w:r w:rsidRPr="008B6A75">
              <w:rPr>
                <w:sz w:val="20"/>
                <w:szCs w:val="20"/>
              </w:rPr>
              <w:t>07.1.00.70110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88D1A3E" w14:textId="77777777" w:rsidR="00387142" w:rsidRPr="008B6A75" w:rsidRDefault="00387142" w:rsidP="00387142">
            <w:pPr>
              <w:jc w:val="center"/>
              <w:rPr>
                <w:sz w:val="20"/>
                <w:szCs w:val="20"/>
              </w:rPr>
            </w:pPr>
            <w:r w:rsidRPr="008B6A75">
              <w:rPr>
                <w:sz w:val="20"/>
                <w:szCs w:val="20"/>
              </w:rPr>
              <w:t>240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834A4F9" w14:textId="77777777" w:rsidR="00387142" w:rsidRPr="008B6A75" w:rsidRDefault="00387142" w:rsidP="00387142">
            <w:pPr>
              <w:jc w:val="right"/>
              <w:rPr>
                <w:sz w:val="20"/>
                <w:szCs w:val="20"/>
              </w:rPr>
            </w:pPr>
            <w:r w:rsidRPr="008B6A75">
              <w:rPr>
                <w:sz w:val="20"/>
                <w:szCs w:val="20"/>
              </w:rPr>
              <w:t>1 713 300,00</w:t>
            </w:r>
          </w:p>
        </w:tc>
        <w:tc>
          <w:tcPr>
            <w:tcW w:w="992" w:type="dxa"/>
            <w:tcBorders>
              <w:top w:val="nil"/>
              <w:left w:val="single" w:sz="4" w:space="0" w:color="auto"/>
              <w:bottom w:val="single" w:sz="4" w:space="0" w:color="auto"/>
              <w:right w:val="nil"/>
            </w:tcBorders>
            <w:shd w:val="clear" w:color="auto" w:fill="auto"/>
            <w:vAlign w:val="center"/>
            <w:hideMark/>
          </w:tcPr>
          <w:p w14:paraId="46A9C63D" w14:textId="77777777" w:rsidR="00387142" w:rsidRPr="008B6A75" w:rsidRDefault="00387142" w:rsidP="00387142">
            <w:pPr>
              <w:jc w:val="right"/>
              <w:rPr>
                <w:sz w:val="20"/>
                <w:szCs w:val="20"/>
              </w:rPr>
            </w:pPr>
            <w:r w:rsidRPr="008B6A75">
              <w:rPr>
                <w:sz w:val="20"/>
                <w:szCs w:val="20"/>
              </w:rPr>
              <w:t>1 895 700,00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7A26ED92" w14:textId="77777777" w:rsidR="00387142" w:rsidRPr="008B6A75" w:rsidRDefault="00387142" w:rsidP="00387142">
            <w:pPr>
              <w:jc w:val="right"/>
              <w:rPr>
                <w:sz w:val="20"/>
                <w:szCs w:val="20"/>
              </w:rPr>
            </w:pPr>
            <w:r w:rsidRPr="008B6A75">
              <w:rPr>
                <w:sz w:val="20"/>
                <w:szCs w:val="20"/>
              </w:rPr>
              <w:t>1 895 700,00</w:t>
            </w:r>
          </w:p>
        </w:tc>
      </w:tr>
      <w:tr w:rsidR="00387142" w:rsidRPr="008B6A75" w14:paraId="34BE1D8C" w14:textId="77777777" w:rsidTr="00387142">
        <w:trPr>
          <w:trHeight w:val="1440"/>
        </w:trPr>
        <w:tc>
          <w:tcPr>
            <w:tcW w:w="3261" w:type="dxa"/>
            <w:tcBorders>
              <w:top w:val="nil"/>
              <w:left w:val="single" w:sz="4" w:space="0" w:color="auto"/>
              <w:bottom w:val="single" w:sz="4" w:space="0" w:color="auto"/>
              <w:right w:val="nil"/>
            </w:tcBorders>
            <w:shd w:val="clear" w:color="auto" w:fill="auto"/>
            <w:vAlign w:val="center"/>
            <w:hideMark/>
          </w:tcPr>
          <w:p w14:paraId="1A6688A8" w14:textId="77777777" w:rsidR="00387142" w:rsidRPr="008B6A75" w:rsidRDefault="00387142" w:rsidP="00387142">
            <w:pPr>
              <w:rPr>
                <w:bCs/>
                <w:sz w:val="20"/>
                <w:szCs w:val="20"/>
              </w:rPr>
            </w:pPr>
            <w:r w:rsidRPr="008B6A75">
              <w:rPr>
                <w:bCs/>
                <w:sz w:val="20"/>
                <w:szCs w:val="20"/>
              </w:rPr>
              <w:lastRenderedPageBreak/>
              <w:t xml:space="preserve">Реализация мероприятий по обеспечению сбалансированности местных </w:t>
            </w:r>
            <w:proofErr w:type="gramStart"/>
            <w:r w:rsidRPr="008B6A75">
              <w:rPr>
                <w:bCs/>
                <w:sz w:val="20"/>
                <w:szCs w:val="20"/>
              </w:rPr>
              <w:t>бюджетов  государственной</w:t>
            </w:r>
            <w:proofErr w:type="gramEnd"/>
            <w:r w:rsidRPr="008B6A75">
              <w:rPr>
                <w:bCs/>
                <w:sz w:val="20"/>
                <w:szCs w:val="20"/>
              </w:rPr>
              <w:t xml:space="preserve"> программы Новосибирской области "Управление  финансами в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14:paraId="6A954BBA" w14:textId="77777777" w:rsidR="00387142" w:rsidRPr="008B6A75" w:rsidRDefault="00387142" w:rsidP="00387142">
            <w:pPr>
              <w:jc w:val="center"/>
              <w:rPr>
                <w:bCs/>
                <w:sz w:val="20"/>
                <w:szCs w:val="20"/>
              </w:rPr>
            </w:pPr>
            <w:r w:rsidRPr="008B6A75">
              <w:rPr>
                <w:bCs/>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C870F56" w14:textId="77777777" w:rsidR="00387142" w:rsidRPr="008B6A75" w:rsidRDefault="00387142" w:rsidP="00387142">
            <w:pPr>
              <w:jc w:val="center"/>
              <w:rPr>
                <w:bCs/>
                <w:sz w:val="20"/>
                <w:szCs w:val="20"/>
              </w:rPr>
            </w:pPr>
            <w:r w:rsidRPr="008B6A75">
              <w:rPr>
                <w:bCs/>
                <w:sz w:val="20"/>
                <w:szCs w:val="20"/>
              </w:rPr>
              <w:t>01</w:t>
            </w:r>
          </w:p>
        </w:tc>
        <w:tc>
          <w:tcPr>
            <w:tcW w:w="1516" w:type="dxa"/>
            <w:tcBorders>
              <w:top w:val="nil"/>
              <w:left w:val="single" w:sz="4" w:space="0" w:color="auto"/>
              <w:bottom w:val="single" w:sz="4" w:space="0" w:color="auto"/>
              <w:right w:val="nil"/>
            </w:tcBorders>
            <w:shd w:val="clear" w:color="auto" w:fill="auto"/>
            <w:noWrap/>
            <w:vAlign w:val="center"/>
            <w:hideMark/>
          </w:tcPr>
          <w:p w14:paraId="64643E3E" w14:textId="77777777" w:rsidR="00387142" w:rsidRPr="008B6A75" w:rsidRDefault="00387142" w:rsidP="00387142">
            <w:pPr>
              <w:jc w:val="center"/>
              <w:rPr>
                <w:bCs/>
                <w:sz w:val="20"/>
                <w:szCs w:val="20"/>
              </w:rPr>
            </w:pPr>
            <w:r w:rsidRPr="008B6A75">
              <w:rPr>
                <w:bCs/>
                <w:sz w:val="20"/>
                <w:szCs w:val="20"/>
              </w:rPr>
              <w:t>07.1.00.70510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4B4AEDB"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2A4FBB2" w14:textId="77777777" w:rsidR="00387142" w:rsidRPr="008B6A75" w:rsidRDefault="00387142" w:rsidP="00387142">
            <w:pPr>
              <w:jc w:val="right"/>
              <w:rPr>
                <w:bCs/>
                <w:sz w:val="20"/>
                <w:szCs w:val="20"/>
              </w:rPr>
            </w:pPr>
            <w:r w:rsidRPr="008B6A75">
              <w:rPr>
                <w:bCs/>
                <w:sz w:val="20"/>
                <w:szCs w:val="20"/>
              </w:rPr>
              <w:t>70 881 025,84</w:t>
            </w:r>
          </w:p>
        </w:tc>
        <w:tc>
          <w:tcPr>
            <w:tcW w:w="992" w:type="dxa"/>
            <w:tcBorders>
              <w:top w:val="nil"/>
              <w:left w:val="single" w:sz="4" w:space="0" w:color="auto"/>
              <w:bottom w:val="single" w:sz="4" w:space="0" w:color="auto"/>
              <w:right w:val="nil"/>
            </w:tcBorders>
            <w:shd w:val="clear" w:color="auto" w:fill="auto"/>
            <w:vAlign w:val="center"/>
            <w:hideMark/>
          </w:tcPr>
          <w:p w14:paraId="1E58CA7C" w14:textId="77777777" w:rsidR="00387142" w:rsidRPr="008B6A75" w:rsidRDefault="00387142" w:rsidP="00387142">
            <w:pPr>
              <w:jc w:val="right"/>
              <w:rPr>
                <w:bCs/>
                <w:sz w:val="20"/>
                <w:szCs w:val="20"/>
              </w:rPr>
            </w:pPr>
            <w:r w:rsidRPr="008B6A75">
              <w:rPr>
                <w:bCs/>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4F5CC353" w14:textId="77777777" w:rsidR="00387142" w:rsidRPr="008B6A75" w:rsidRDefault="00387142" w:rsidP="00387142">
            <w:pPr>
              <w:jc w:val="right"/>
              <w:rPr>
                <w:bCs/>
                <w:sz w:val="20"/>
                <w:szCs w:val="20"/>
              </w:rPr>
            </w:pPr>
            <w:r w:rsidRPr="008B6A75">
              <w:rPr>
                <w:bCs/>
                <w:sz w:val="20"/>
                <w:szCs w:val="20"/>
              </w:rPr>
              <w:t>0,00</w:t>
            </w:r>
          </w:p>
        </w:tc>
      </w:tr>
      <w:tr w:rsidR="00387142" w:rsidRPr="008B6A75" w14:paraId="16D79331" w14:textId="77777777" w:rsidTr="00387142">
        <w:trPr>
          <w:trHeight w:val="1440"/>
        </w:trPr>
        <w:tc>
          <w:tcPr>
            <w:tcW w:w="3261" w:type="dxa"/>
            <w:tcBorders>
              <w:top w:val="nil"/>
              <w:left w:val="single" w:sz="4" w:space="0" w:color="auto"/>
              <w:bottom w:val="single" w:sz="4" w:space="0" w:color="auto"/>
              <w:right w:val="nil"/>
            </w:tcBorders>
            <w:shd w:val="clear" w:color="auto" w:fill="auto"/>
            <w:vAlign w:val="center"/>
            <w:hideMark/>
          </w:tcPr>
          <w:p w14:paraId="7C8047E4" w14:textId="77777777" w:rsidR="00387142" w:rsidRPr="008B6A75" w:rsidRDefault="00387142" w:rsidP="00387142">
            <w:pPr>
              <w:rPr>
                <w:sz w:val="20"/>
                <w:szCs w:val="20"/>
              </w:rPr>
            </w:pPr>
            <w:r w:rsidRPr="008B6A7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14:paraId="6052F355" w14:textId="77777777" w:rsidR="00387142" w:rsidRPr="008B6A75" w:rsidRDefault="00387142" w:rsidP="00387142">
            <w:pPr>
              <w:jc w:val="center"/>
              <w:rPr>
                <w:sz w:val="20"/>
                <w:szCs w:val="20"/>
              </w:rPr>
            </w:pPr>
            <w:r w:rsidRPr="008B6A75">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94DE74E" w14:textId="77777777" w:rsidR="00387142" w:rsidRPr="008B6A75" w:rsidRDefault="00387142" w:rsidP="00387142">
            <w:pPr>
              <w:jc w:val="center"/>
              <w:rPr>
                <w:sz w:val="20"/>
                <w:szCs w:val="20"/>
              </w:rPr>
            </w:pPr>
            <w:r w:rsidRPr="008B6A75">
              <w:rPr>
                <w:sz w:val="20"/>
                <w:szCs w:val="20"/>
              </w:rPr>
              <w:t>01</w:t>
            </w:r>
          </w:p>
        </w:tc>
        <w:tc>
          <w:tcPr>
            <w:tcW w:w="1516" w:type="dxa"/>
            <w:tcBorders>
              <w:top w:val="nil"/>
              <w:left w:val="single" w:sz="4" w:space="0" w:color="auto"/>
              <w:bottom w:val="single" w:sz="4" w:space="0" w:color="auto"/>
              <w:right w:val="nil"/>
            </w:tcBorders>
            <w:shd w:val="clear" w:color="auto" w:fill="auto"/>
            <w:noWrap/>
            <w:vAlign w:val="center"/>
            <w:hideMark/>
          </w:tcPr>
          <w:p w14:paraId="6CAF9CF6" w14:textId="77777777" w:rsidR="00387142" w:rsidRPr="008B6A75" w:rsidRDefault="00387142" w:rsidP="00387142">
            <w:pPr>
              <w:jc w:val="center"/>
              <w:rPr>
                <w:sz w:val="20"/>
                <w:szCs w:val="20"/>
              </w:rPr>
            </w:pPr>
            <w:r w:rsidRPr="008B6A75">
              <w:rPr>
                <w:sz w:val="20"/>
                <w:szCs w:val="20"/>
              </w:rPr>
              <w:t>07.1.00.70510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8256C59" w14:textId="77777777" w:rsidR="00387142" w:rsidRPr="008B6A75" w:rsidRDefault="00387142" w:rsidP="00387142">
            <w:pPr>
              <w:jc w:val="center"/>
              <w:rPr>
                <w:sz w:val="20"/>
                <w:szCs w:val="20"/>
              </w:rPr>
            </w:pPr>
            <w:r w:rsidRPr="008B6A75">
              <w:rPr>
                <w:sz w:val="20"/>
                <w:szCs w:val="20"/>
              </w:rPr>
              <w:t>100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EBA6A39" w14:textId="77777777" w:rsidR="00387142" w:rsidRPr="008B6A75" w:rsidRDefault="00387142" w:rsidP="00387142">
            <w:pPr>
              <w:jc w:val="right"/>
              <w:rPr>
                <w:sz w:val="20"/>
                <w:szCs w:val="20"/>
              </w:rPr>
            </w:pPr>
            <w:r w:rsidRPr="008B6A75">
              <w:rPr>
                <w:sz w:val="20"/>
                <w:szCs w:val="20"/>
              </w:rPr>
              <w:t>69 864 793,66</w:t>
            </w:r>
          </w:p>
        </w:tc>
        <w:tc>
          <w:tcPr>
            <w:tcW w:w="992" w:type="dxa"/>
            <w:tcBorders>
              <w:top w:val="nil"/>
              <w:left w:val="single" w:sz="4" w:space="0" w:color="auto"/>
              <w:bottom w:val="single" w:sz="4" w:space="0" w:color="auto"/>
              <w:right w:val="nil"/>
            </w:tcBorders>
            <w:shd w:val="clear" w:color="auto" w:fill="auto"/>
            <w:vAlign w:val="center"/>
            <w:hideMark/>
          </w:tcPr>
          <w:p w14:paraId="1089E906" w14:textId="77777777" w:rsidR="00387142" w:rsidRPr="008B6A75" w:rsidRDefault="00387142" w:rsidP="00387142">
            <w:pPr>
              <w:jc w:val="right"/>
              <w:rPr>
                <w:sz w:val="20"/>
                <w:szCs w:val="20"/>
              </w:rPr>
            </w:pPr>
            <w:r w:rsidRPr="008B6A75">
              <w:rPr>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15BD3644" w14:textId="77777777" w:rsidR="00387142" w:rsidRPr="008B6A75" w:rsidRDefault="00387142" w:rsidP="00387142">
            <w:pPr>
              <w:jc w:val="right"/>
              <w:rPr>
                <w:sz w:val="20"/>
                <w:szCs w:val="20"/>
              </w:rPr>
            </w:pPr>
            <w:r w:rsidRPr="008B6A75">
              <w:rPr>
                <w:sz w:val="20"/>
                <w:szCs w:val="20"/>
              </w:rPr>
              <w:t>0,00</w:t>
            </w:r>
          </w:p>
        </w:tc>
      </w:tr>
      <w:tr w:rsidR="00387142" w:rsidRPr="008B6A75" w14:paraId="0F0764EE" w14:textId="77777777" w:rsidTr="00387142">
        <w:trPr>
          <w:trHeight w:val="585"/>
        </w:trPr>
        <w:tc>
          <w:tcPr>
            <w:tcW w:w="3261" w:type="dxa"/>
            <w:tcBorders>
              <w:top w:val="nil"/>
              <w:left w:val="single" w:sz="4" w:space="0" w:color="auto"/>
              <w:bottom w:val="single" w:sz="4" w:space="0" w:color="auto"/>
              <w:right w:val="nil"/>
            </w:tcBorders>
            <w:shd w:val="clear" w:color="auto" w:fill="auto"/>
            <w:vAlign w:val="center"/>
            <w:hideMark/>
          </w:tcPr>
          <w:p w14:paraId="67367306" w14:textId="77777777" w:rsidR="00387142" w:rsidRPr="008B6A75" w:rsidRDefault="00387142" w:rsidP="00387142">
            <w:pPr>
              <w:rPr>
                <w:sz w:val="20"/>
                <w:szCs w:val="20"/>
              </w:rPr>
            </w:pPr>
            <w:r w:rsidRPr="008B6A75">
              <w:rPr>
                <w:sz w:val="20"/>
                <w:szCs w:val="20"/>
              </w:rPr>
              <w:t>Расходы на выплаты персоналу казенных учреждений</w:t>
            </w:r>
          </w:p>
        </w:tc>
        <w:tc>
          <w:tcPr>
            <w:tcW w:w="720" w:type="dxa"/>
            <w:tcBorders>
              <w:top w:val="nil"/>
              <w:left w:val="single" w:sz="4" w:space="0" w:color="auto"/>
              <w:bottom w:val="single" w:sz="4" w:space="0" w:color="auto"/>
              <w:right w:val="nil"/>
            </w:tcBorders>
            <w:shd w:val="clear" w:color="auto" w:fill="auto"/>
            <w:noWrap/>
            <w:vAlign w:val="center"/>
            <w:hideMark/>
          </w:tcPr>
          <w:p w14:paraId="2EE79E2C" w14:textId="77777777" w:rsidR="00387142" w:rsidRPr="008B6A75" w:rsidRDefault="00387142" w:rsidP="00387142">
            <w:pPr>
              <w:jc w:val="center"/>
              <w:rPr>
                <w:sz w:val="20"/>
                <w:szCs w:val="20"/>
              </w:rPr>
            </w:pPr>
            <w:r w:rsidRPr="008B6A75">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6ABD488" w14:textId="77777777" w:rsidR="00387142" w:rsidRPr="008B6A75" w:rsidRDefault="00387142" w:rsidP="00387142">
            <w:pPr>
              <w:jc w:val="center"/>
              <w:rPr>
                <w:sz w:val="20"/>
                <w:szCs w:val="20"/>
              </w:rPr>
            </w:pPr>
            <w:r w:rsidRPr="008B6A75">
              <w:rPr>
                <w:sz w:val="20"/>
                <w:szCs w:val="20"/>
              </w:rPr>
              <w:t>01</w:t>
            </w:r>
          </w:p>
        </w:tc>
        <w:tc>
          <w:tcPr>
            <w:tcW w:w="1516" w:type="dxa"/>
            <w:tcBorders>
              <w:top w:val="nil"/>
              <w:left w:val="single" w:sz="4" w:space="0" w:color="auto"/>
              <w:bottom w:val="single" w:sz="4" w:space="0" w:color="auto"/>
              <w:right w:val="nil"/>
            </w:tcBorders>
            <w:shd w:val="clear" w:color="auto" w:fill="auto"/>
            <w:noWrap/>
            <w:vAlign w:val="center"/>
            <w:hideMark/>
          </w:tcPr>
          <w:p w14:paraId="09051105" w14:textId="77777777" w:rsidR="00387142" w:rsidRPr="008B6A75" w:rsidRDefault="00387142" w:rsidP="00387142">
            <w:pPr>
              <w:jc w:val="center"/>
              <w:rPr>
                <w:sz w:val="20"/>
                <w:szCs w:val="20"/>
              </w:rPr>
            </w:pPr>
            <w:r w:rsidRPr="008B6A75">
              <w:rPr>
                <w:sz w:val="20"/>
                <w:szCs w:val="20"/>
              </w:rPr>
              <w:t>07.1.00.70510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26A955B" w14:textId="77777777" w:rsidR="00387142" w:rsidRPr="008B6A75" w:rsidRDefault="00387142" w:rsidP="00387142">
            <w:pPr>
              <w:jc w:val="center"/>
              <w:rPr>
                <w:sz w:val="20"/>
                <w:szCs w:val="20"/>
              </w:rPr>
            </w:pPr>
            <w:r w:rsidRPr="008B6A75">
              <w:rPr>
                <w:sz w:val="20"/>
                <w:szCs w:val="20"/>
              </w:rPr>
              <w:t>110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DF081CC" w14:textId="77777777" w:rsidR="00387142" w:rsidRPr="008B6A75" w:rsidRDefault="00387142" w:rsidP="00387142">
            <w:pPr>
              <w:jc w:val="right"/>
              <w:rPr>
                <w:sz w:val="20"/>
                <w:szCs w:val="20"/>
              </w:rPr>
            </w:pPr>
            <w:r w:rsidRPr="008B6A75">
              <w:rPr>
                <w:sz w:val="20"/>
                <w:szCs w:val="20"/>
              </w:rPr>
              <w:t>69 864 793,66</w:t>
            </w:r>
          </w:p>
        </w:tc>
        <w:tc>
          <w:tcPr>
            <w:tcW w:w="992" w:type="dxa"/>
            <w:tcBorders>
              <w:top w:val="nil"/>
              <w:left w:val="single" w:sz="4" w:space="0" w:color="auto"/>
              <w:bottom w:val="single" w:sz="4" w:space="0" w:color="auto"/>
              <w:right w:val="nil"/>
            </w:tcBorders>
            <w:shd w:val="clear" w:color="auto" w:fill="auto"/>
            <w:vAlign w:val="center"/>
            <w:hideMark/>
          </w:tcPr>
          <w:p w14:paraId="3EB062B9" w14:textId="77777777" w:rsidR="00387142" w:rsidRPr="008B6A75" w:rsidRDefault="00387142" w:rsidP="00387142">
            <w:pPr>
              <w:jc w:val="right"/>
              <w:rPr>
                <w:sz w:val="20"/>
                <w:szCs w:val="20"/>
              </w:rPr>
            </w:pPr>
            <w:r w:rsidRPr="008B6A75">
              <w:rPr>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0FC8378A" w14:textId="77777777" w:rsidR="00387142" w:rsidRPr="008B6A75" w:rsidRDefault="00387142" w:rsidP="00387142">
            <w:pPr>
              <w:jc w:val="right"/>
              <w:rPr>
                <w:sz w:val="20"/>
                <w:szCs w:val="20"/>
              </w:rPr>
            </w:pPr>
            <w:r w:rsidRPr="008B6A75">
              <w:rPr>
                <w:sz w:val="20"/>
                <w:szCs w:val="20"/>
              </w:rPr>
              <w:t>0,00</w:t>
            </w:r>
          </w:p>
        </w:tc>
      </w:tr>
      <w:tr w:rsidR="00387142" w:rsidRPr="008B6A75" w14:paraId="28F6845C" w14:textId="77777777" w:rsidTr="00387142">
        <w:trPr>
          <w:trHeight w:val="585"/>
        </w:trPr>
        <w:tc>
          <w:tcPr>
            <w:tcW w:w="3261" w:type="dxa"/>
            <w:tcBorders>
              <w:top w:val="nil"/>
              <w:left w:val="single" w:sz="4" w:space="0" w:color="auto"/>
              <w:bottom w:val="single" w:sz="4" w:space="0" w:color="auto"/>
              <w:right w:val="nil"/>
            </w:tcBorders>
            <w:shd w:val="clear" w:color="auto" w:fill="auto"/>
            <w:vAlign w:val="center"/>
            <w:hideMark/>
          </w:tcPr>
          <w:p w14:paraId="29B7AFFD" w14:textId="77777777" w:rsidR="00387142" w:rsidRPr="008B6A75" w:rsidRDefault="00387142" w:rsidP="00387142">
            <w:pPr>
              <w:rPr>
                <w:sz w:val="20"/>
                <w:szCs w:val="20"/>
              </w:rPr>
            </w:pPr>
            <w:r w:rsidRPr="008B6A75">
              <w:rPr>
                <w:sz w:val="20"/>
                <w:szCs w:val="20"/>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06E7593A" w14:textId="77777777" w:rsidR="00387142" w:rsidRPr="008B6A75" w:rsidRDefault="00387142" w:rsidP="00387142">
            <w:pPr>
              <w:jc w:val="center"/>
              <w:rPr>
                <w:sz w:val="20"/>
                <w:szCs w:val="20"/>
              </w:rPr>
            </w:pPr>
            <w:r w:rsidRPr="008B6A75">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456B127" w14:textId="77777777" w:rsidR="00387142" w:rsidRPr="008B6A75" w:rsidRDefault="00387142" w:rsidP="00387142">
            <w:pPr>
              <w:jc w:val="center"/>
              <w:rPr>
                <w:sz w:val="20"/>
                <w:szCs w:val="20"/>
              </w:rPr>
            </w:pPr>
            <w:r w:rsidRPr="008B6A75">
              <w:rPr>
                <w:sz w:val="20"/>
                <w:szCs w:val="20"/>
              </w:rPr>
              <w:t>01</w:t>
            </w:r>
          </w:p>
        </w:tc>
        <w:tc>
          <w:tcPr>
            <w:tcW w:w="1516" w:type="dxa"/>
            <w:tcBorders>
              <w:top w:val="nil"/>
              <w:left w:val="single" w:sz="4" w:space="0" w:color="auto"/>
              <w:bottom w:val="single" w:sz="4" w:space="0" w:color="auto"/>
              <w:right w:val="nil"/>
            </w:tcBorders>
            <w:shd w:val="clear" w:color="auto" w:fill="auto"/>
            <w:noWrap/>
            <w:vAlign w:val="center"/>
            <w:hideMark/>
          </w:tcPr>
          <w:p w14:paraId="3CD71004" w14:textId="77777777" w:rsidR="00387142" w:rsidRPr="008B6A75" w:rsidRDefault="00387142" w:rsidP="00387142">
            <w:pPr>
              <w:jc w:val="center"/>
              <w:rPr>
                <w:sz w:val="20"/>
                <w:szCs w:val="20"/>
              </w:rPr>
            </w:pPr>
            <w:r w:rsidRPr="008B6A75">
              <w:rPr>
                <w:sz w:val="20"/>
                <w:szCs w:val="20"/>
              </w:rPr>
              <w:t>07.1.00.70510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18E4432" w14:textId="77777777" w:rsidR="00387142" w:rsidRPr="008B6A75" w:rsidRDefault="00387142" w:rsidP="00387142">
            <w:pPr>
              <w:jc w:val="center"/>
              <w:rPr>
                <w:sz w:val="20"/>
                <w:szCs w:val="20"/>
              </w:rPr>
            </w:pPr>
            <w:r w:rsidRPr="008B6A75">
              <w:rPr>
                <w:sz w:val="20"/>
                <w:szCs w:val="20"/>
              </w:rPr>
              <w:t>200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9DAE45D" w14:textId="77777777" w:rsidR="00387142" w:rsidRPr="008B6A75" w:rsidRDefault="00387142" w:rsidP="00387142">
            <w:pPr>
              <w:jc w:val="right"/>
              <w:rPr>
                <w:sz w:val="20"/>
                <w:szCs w:val="20"/>
              </w:rPr>
            </w:pPr>
            <w:r w:rsidRPr="008B6A75">
              <w:rPr>
                <w:sz w:val="20"/>
                <w:szCs w:val="20"/>
              </w:rPr>
              <w:t>1 016 232,18</w:t>
            </w:r>
          </w:p>
        </w:tc>
        <w:tc>
          <w:tcPr>
            <w:tcW w:w="992" w:type="dxa"/>
            <w:tcBorders>
              <w:top w:val="nil"/>
              <w:left w:val="single" w:sz="4" w:space="0" w:color="auto"/>
              <w:bottom w:val="single" w:sz="4" w:space="0" w:color="auto"/>
              <w:right w:val="nil"/>
            </w:tcBorders>
            <w:shd w:val="clear" w:color="auto" w:fill="auto"/>
            <w:vAlign w:val="center"/>
            <w:hideMark/>
          </w:tcPr>
          <w:p w14:paraId="0D77B874" w14:textId="77777777" w:rsidR="00387142" w:rsidRPr="008B6A75" w:rsidRDefault="00387142" w:rsidP="00387142">
            <w:pPr>
              <w:jc w:val="right"/>
              <w:rPr>
                <w:sz w:val="20"/>
                <w:szCs w:val="20"/>
              </w:rPr>
            </w:pPr>
            <w:r w:rsidRPr="008B6A75">
              <w:rPr>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44EBE680" w14:textId="77777777" w:rsidR="00387142" w:rsidRPr="008B6A75" w:rsidRDefault="00387142" w:rsidP="00387142">
            <w:pPr>
              <w:jc w:val="right"/>
              <w:rPr>
                <w:sz w:val="20"/>
                <w:szCs w:val="20"/>
              </w:rPr>
            </w:pPr>
            <w:r w:rsidRPr="008B6A75">
              <w:rPr>
                <w:sz w:val="20"/>
                <w:szCs w:val="20"/>
              </w:rPr>
              <w:t>0,00</w:t>
            </w:r>
          </w:p>
        </w:tc>
      </w:tr>
      <w:tr w:rsidR="00387142" w:rsidRPr="008B6A75" w14:paraId="0FB6B310" w14:textId="77777777" w:rsidTr="00387142">
        <w:trPr>
          <w:trHeight w:val="870"/>
        </w:trPr>
        <w:tc>
          <w:tcPr>
            <w:tcW w:w="3261" w:type="dxa"/>
            <w:tcBorders>
              <w:top w:val="nil"/>
              <w:left w:val="single" w:sz="4" w:space="0" w:color="auto"/>
              <w:bottom w:val="single" w:sz="4" w:space="0" w:color="auto"/>
              <w:right w:val="nil"/>
            </w:tcBorders>
            <w:shd w:val="clear" w:color="auto" w:fill="auto"/>
            <w:vAlign w:val="center"/>
            <w:hideMark/>
          </w:tcPr>
          <w:p w14:paraId="14407852" w14:textId="77777777" w:rsidR="00387142" w:rsidRPr="008B6A75" w:rsidRDefault="00387142" w:rsidP="00387142">
            <w:pPr>
              <w:rPr>
                <w:sz w:val="20"/>
                <w:szCs w:val="20"/>
              </w:rPr>
            </w:pPr>
            <w:r w:rsidRPr="008B6A75">
              <w:rPr>
                <w:sz w:val="20"/>
                <w:szCs w:val="20"/>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08548C6D" w14:textId="77777777" w:rsidR="00387142" w:rsidRPr="008B6A75" w:rsidRDefault="00387142" w:rsidP="00387142">
            <w:pPr>
              <w:jc w:val="center"/>
              <w:rPr>
                <w:sz w:val="20"/>
                <w:szCs w:val="20"/>
              </w:rPr>
            </w:pPr>
            <w:r w:rsidRPr="008B6A75">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E9BF2A3" w14:textId="77777777" w:rsidR="00387142" w:rsidRPr="008B6A75" w:rsidRDefault="00387142" w:rsidP="00387142">
            <w:pPr>
              <w:jc w:val="center"/>
              <w:rPr>
                <w:sz w:val="20"/>
                <w:szCs w:val="20"/>
              </w:rPr>
            </w:pPr>
            <w:r w:rsidRPr="008B6A75">
              <w:rPr>
                <w:sz w:val="20"/>
                <w:szCs w:val="20"/>
              </w:rPr>
              <w:t>01</w:t>
            </w:r>
          </w:p>
        </w:tc>
        <w:tc>
          <w:tcPr>
            <w:tcW w:w="1516" w:type="dxa"/>
            <w:tcBorders>
              <w:top w:val="nil"/>
              <w:left w:val="single" w:sz="4" w:space="0" w:color="auto"/>
              <w:bottom w:val="single" w:sz="4" w:space="0" w:color="auto"/>
              <w:right w:val="nil"/>
            </w:tcBorders>
            <w:shd w:val="clear" w:color="auto" w:fill="auto"/>
            <w:noWrap/>
            <w:vAlign w:val="center"/>
            <w:hideMark/>
          </w:tcPr>
          <w:p w14:paraId="2FB8242B" w14:textId="77777777" w:rsidR="00387142" w:rsidRPr="008B6A75" w:rsidRDefault="00387142" w:rsidP="00387142">
            <w:pPr>
              <w:jc w:val="center"/>
              <w:rPr>
                <w:sz w:val="20"/>
                <w:szCs w:val="20"/>
              </w:rPr>
            </w:pPr>
            <w:r w:rsidRPr="008B6A75">
              <w:rPr>
                <w:sz w:val="20"/>
                <w:szCs w:val="20"/>
              </w:rPr>
              <w:t>07.1.00.70510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6504E00" w14:textId="77777777" w:rsidR="00387142" w:rsidRPr="008B6A75" w:rsidRDefault="00387142" w:rsidP="00387142">
            <w:pPr>
              <w:jc w:val="center"/>
              <w:rPr>
                <w:sz w:val="20"/>
                <w:szCs w:val="20"/>
              </w:rPr>
            </w:pPr>
            <w:r w:rsidRPr="008B6A75">
              <w:rPr>
                <w:sz w:val="20"/>
                <w:szCs w:val="20"/>
              </w:rPr>
              <w:t>240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1CD41AD" w14:textId="77777777" w:rsidR="00387142" w:rsidRPr="008B6A75" w:rsidRDefault="00387142" w:rsidP="00387142">
            <w:pPr>
              <w:jc w:val="right"/>
              <w:rPr>
                <w:sz w:val="20"/>
                <w:szCs w:val="20"/>
              </w:rPr>
            </w:pPr>
            <w:r w:rsidRPr="008B6A75">
              <w:rPr>
                <w:sz w:val="20"/>
                <w:szCs w:val="20"/>
              </w:rPr>
              <w:t>1 016 232,18</w:t>
            </w:r>
          </w:p>
        </w:tc>
        <w:tc>
          <w:tcPr>
            <w:tcW w:w="992" w:type="dxa"/>
            <w:tcBorders>
              <w:top w:val="nil"/>
              <w:left w:val="single" w:sz="4" w:space="0" w:color="auto"/>
              <w:bottom w:val="single" w:sz="4" w:space="0" w:color="auto"/>
              <w:right w:val="nil"/>
            </w:tcBorders>
            <w:shd w:val="clear" w:color="auto" w:fill="auto"/>
            <w:vAlign w:val="center"/>
            <w:hideMark/>
          </w:tcPr>
          <w:p w14:paraId="0A5D3E00" w14:textId="77777777" w:rsidR="00387142" w:rsidRPr="008B6A75" w:rsidRDefault="00387142" w:rsidP="00387142">
            <w:pPr>
              <w:jc w:val="right"/>
              <w:rPr>
                <w:sz w:val="20"/>
                <w:szCs w:val="20"/>
              </w:rPr>
            </w:pPr>
            <w:r w:rsidRPr="008B6A75">
              <w:rPr>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362049A9" w14:textId="77777777" w:rsidR="00387142" w:rsidRPr="008B6A75" w:rsidRDefault="00387142" w:rsidP="00387142">
            <w:pPr>
              <w:jc w:val="right"/>
              <w:rPr>
                <w:sz w:val="20"/>
                <w:szCs w:val="20"/>
              </w:rPr>
            </w:pPr>
            <w:r w:rsidRPr="008B6A75">
              <w:rPr>
                <w:sz w:val="20"/>
                <w:szCs w:val="20"/>
              </w:rPr>
              <w:t>0,00</w:t>
            </w:r>
          </w:p>
        </w:tc>
      </w:tr>
      <w:tr w:rsidR="00387142" w:rsidRPr="008B6A75" w14:paraId="5893082F" w14:textId="77777777" w:rsidTr="00387142">
        <w:trPr>
          <w:trHeight w:val="2580"/>
        </w:trPr>
        <w:tc>
          <w:tcPr>
            <w:tcW w:w="3261" w:type="dxa"/>
            <w:tcBorders>
              <w:top w:val="nil"/>
              <w:left w:val="single" w:sz="4" w:space="0" w:color="auto"/>
              <w:bottom w:val="single" w:sz="4" w:space="0" w:color="auto"/>
              <w:right w:val="nil"/>
            </w:tcBorders>
            <w:shd w:val="clear" w:color="auto" w:fill="auto"/>
            <w:vAlign w:val="center"/>
            <w:hideMark/>
          </w:tcPr>
          <w:p w14:paraId="6F00180B" w14:textId="77777777" w:rsidR="00387142" w:rsidRPr="008B6A75" w:rsidRDefault="00387142" w:rsidP="00387142">
            <w:pPr>
              <w:rPr>
                <w:bCs/>
                <w:sz w:val="20"/>
                <w:szCs w:val="20"/>
              </w:rPr>
            </w:pPr>
            <w:proofErr w:type="spellStart"/>
            <w:r w:rsidRPr="008B6A75">
              <w:rPr>
                <w:bCs/>
                <w:sz w:val="20"/>
                <w:szCs w:val="20"/>
              </w:rPr>
              <w:t>Софинансирование</w:t>
            </w:r>
            <w:proofErr w:type="spellEnd"/>
            <w:r w:rsidRPr="008B6A75">
              <w:rPr>
                <w:bCs/>
                <w:sz w:val="20"/>
                <w:szCs w:val="20"/>
              </w:rPr>
              <w:t xml:space="preserve"> местного бюджета на реализацию мероприятий по установке и модернизации систем видеонаблюдения, автоматической пожарной сигнализации и пожарного мониторинга государственной программы Новосибирской области "Построение и развитие аппаратно-программного комплекса "Безопасный город" в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14:paraId="71A756C7" w14:textId="77777777" w:rsidR="00387142" w:rsidRPr="008B6A75" w:rsidRDefault="00387142" w:rsidP="00387142">
            <w:pPr>
              <w:jc w:val="center"/>
              <w:rPr>
                <w:bCs/>
                <w:sz w:val="20"/>
                <w:szCs w:val="20"/>
              </w:rPr>
            </w:pPr>
            <w:r w:rsidRPr="008B6A75">
              <w:rPr>
                <w:bCs/>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BB90901" w14:textId="77777777" w:rsidR="00387142" w:rsidRPr="008B6A75" w:rsidRDefault="00387142" w:rsidP="00387142">
            <w:pPr>
              <w:jc w:val="center"/>
              <w:rPr>
                <w:bCs/>
                <w:sz w:val="20"/>
                <w:szCs w:val="20"/>
              </w:rPr>
            </w:pPr>
            <w:r w:rsidRPr="008B6A75">
              <w:rPr>
                <w:bCs/>
                <w:sz w:val="20"/>
                <w:szCs w:val="20"/>
              </w:rPr>
              <w:t>01</w:t>
            </w:r>
          </w:p>
        </w:tc>
        <w:tc>
          <w:tcPr>
            <w:tcW w:w="1516" w:type="dxa"/>
            <w:tcBorders>
              <w:top w:val="nil"/>
              <w:left w:val="single" w:sz="4" w:space="0" w:color="auto"/>
              <w:bottom w:val="single" w:sz="4" w:space="0" w:color="auto"/>
              <w:right w:val="nil"/>
            </w:tcBorders>
            <w:shd w:val="clear" w:color="auto" w:fill="auto"/>
            <w:noWrap/>
            <w:vAlign w:val="center"/>
            <w:hideMark/>
          </w:tcPr>
          <w:p w14:paraId="449B36D1" w14:textId="77777777" w:rsidR="00387142" w:rsidRPr="008B6A75" w:rsidRDefault="00387142" w:rsidP="00387142">
            <w:pPr>
              <w:jc w:val="center"/>
              <w:rPr>
                <w:bCs/>
                <w:sz w:val="20"/>
                <w:szCs w:val="20"/>
              </w:rPr>
            </w:pPr>
            <w:r w:rsidRPr="008B6A75">
              <w:rPr>
                <w:bCs/>
                <w:sz w:val="20"/>
                <w:szCs w:val="20"/>
              </w:rPr>
              <w:t>07.1.00.S2590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192C665"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6D1DBB2" w14:textId="77777777" w:rsidR="00387142" w:rsidRPr="008B6A75" w:rsidRDefault="00387142" w:rsidP="00387142">
            <w:pPr>
              <w:jc w:val="right"/>
              <w:rPr>
                <w:bCs/>
                <w:sz w:val="20"/>
                <w:szCs w:val="20"/>
              </w:rPr>
            </w:pPr>
            <w:r w:rsidRPr="008B6A75">
              <w:rPr>
                <w:bCs/>
                <w:sz w:val="20"/>
                <w:szCs w:val="20"/>
              </w:rPr>
              <w:t>1 296,48</w:t>
            </w:r>
          </w:p>
        </w:tc>
        <w:tc>
          <w:tcPr>
            <w:tcW w:w="992" w:type="dxa"/>
            <w:tcBorders>
              <w:top w:val="nil"/>
              <w:left w:val="single" w:sz="4" w:space="0" w:color="auto"/>
              <w:bottom w:val="single" w:sz="4" w:space="0" w:color="auto"/>
              <w:right w:val="nil"/>
            </w:tcBorders>
            <w:shd w:val="clear" w:color="auto" w:fill="auto"/>
            <w:vAlign w:val="center"/>
            <w:hideMark/>
          </w:tcPr>
          <w:p w14:paraId="7BE60EAE" w14:textId="77777777" w:rsidR="00387142" w:rsidRPr="008B6A75" w:rsidRDefault="00387142" w:rsidP="00387142">
            <w:pPr>
              <w:jc w:val="right"/>
              <w:rPr>
                <w:bCs/>
                <w:sz w:val="20"/>
                <w:szCs w:val="20"/>
              </w:rPr>
            </w:pPr>
            <w:r w:rsidRPr="008B6A75">
              <w:rPr>
                <w:bCs/>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43CE334E" w14:textId="77777777" w:rsidR="00387142" w:rsidRPr="008B6A75" w:rsidRDefault="00387142" w:rsidP="00387142">
            <w:pPr>
              <w:jc w:val="right"/>
              <w:rPr>
                <w:bCs/>
                <w:sz w:val="20"/>
                <w:szCs w:val="20"/>
              </w:rPr>
            </w:pPr>
            <w:r w:rsidRPr="008B6A75">
              <w:rPr>
                <w:bCs/>
                <w:sz w:val="20"/>
                <w:szCs w:val="20"/>
              </w:rPr>
              <w:t>0,00</w:t>
            </w:r>
          </w:p>
        </w:tc>
      </w:tr>
      <w:tr w:rsidR="00387142" w:rsidRPr="008B6A75" w14:paraId="1B603702" w14:textId="77777777" w:rsidTr="00387142">
        <w:trPr>
          <w:trHeight w:val="585"/>
        </w:trPr>
        <w:tc>
          <w:tcPr>
            <w:tcW w:w="3261" w:type="dxa"/>
            <w:tcBorders>
              <w:top w:val="nil"/>
              <w:left w:val="single" w:sz="4" w:space="0" w:color="auto"/>
              <w:bottom w:val="single" w:sz="4" w:space="0" w:color="auto"/>
              <w:right w:val="nil"/>
            </w:tcBorders>
            <w:shd w:val="clear" w:color="auto" w:fill="auto"/>
            <w:vAlign w:val="center"/>
            <w:hideMark/>
          </w:tcPr>
          <w:p w14:paraId="1BADCC8B" w14:textId="77777777" w:rsidR="00387142" w:rsidRPr="008B6A75" w:rsidRDefault="00387142" w:rsidP="00387142">
            <w:pPr>
              <w:rPr>
                <w:sz w:val="20"/>
                <w:szCs w:val="20"/>
              </w:rPr>
            </w:pPr>
            <w:r w:rsidRPr="008B6A75">
              <w:rPr>
                <w:sz w:val="20"/>
                <w:szCs w:val="20"/>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758C9F53" w14:textId="77777777" w:rsidR="00387142" w:rsidRPr="008B6A75" w:rsidRDefault="00387142" w:rsidP="00387142">
            <w:pPr>
              <w:jc w:val="center"/>
              <w:rPr>
                <w:sz w:val="20"/>
                <w:szCs w:val="20"/>
              </w:rPr>
            </w:pPr>
            <w:r w:rsidRPr="008B6A75">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EC92126" w14:textId="77777777" w:rsidR="00387142" w:rsidRPr="008B6A75" w:rsidRDefault="00387142" w:rsidP="00387142">
            <w:pPr>
              <w:jc w:val="center"/>
              <w:rPr>
                <w:sz w:val="20"/>
                <w:szCs w:val="20"/>
              </w:rPr>
            </w:pPr>
            <w:r w:rsidRPr="008B6A75">
              <w:rPr>
                <w:sz w:val="20"/>
                <w:szCs w:val="20"/>
              </w:rPr>
              <w:t>01</w:t>
            </w:r>
          </w:p>
        </w:tc>
        <w:tc>
          <w:tcPr>
            <w:tcW w:w="1516" w:type="dxa"/>
            <w:tcBorders>
              <w:top w:val="nil"/>
              <w:left w:val="single" w:sz="4" w:space="0" w:color="auto"/>
              <w:bottom w:val="single" w:sz="4" w:space="0" w:color="auto"/>
              <w:right w:val="nil"/>
            </w:tcBorders>
            <w:shd w:val="clear" w:color="auto" w:fill="auto"/>
            <w:noWrap/>
            <w:vAlign w:val="center"/>
            <w:hideMark/>
          </w:tcPr>
          <w:p w14:paraId="75097B27" w14:textId="77777777" w:rsidR="00387142" w:rsidRPr="008B6A75" w:rsidRDefault="00387142" w:rsidP="00387142">
            <w:pPr>
              <w:jc w:val="center"/>
              <w:rPr>
                <w:sz w:val="20"/>
                <w:szCs w:val="20"/>
              </w:rPr>
            </w:pPr>
            <w:r w:rsidRPr="008B6A75">
              <w:rPr>
                <w:sz w:val="20"/>
                <w:szCs w:val="20"/>
              </w:rPr>
              <w:t>07.1.00.S2590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7C68AE5" w14:textId="77777777" w:rsidR="00387142" w:rsidRPr="008B6A75" w:rsidRDefault="00387142" w:rsidP="00387142">
            <w:pPr>
              <w:jc w:val="center"/>
              <w:rPr>
                <w:sz w:val="20"/>
                <w:szCs w:val="20"/>
              </w:rPr>
            </w:pPr>
            <w:r w:rsidRPr="008B6A75">
              <w:rPr>
                <w:sz w:val="20"/>
                <w:szCs w:val="20"/>
              </w:rPr>
              <w:t>200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6CB3341" w14:textId="77777777" w:rsidR="00387142" w:rsidRPr="008B6A75" w:rsidRDefault="00387142" w:rsidP="00387142">
            <w:pPr>
              <w:jc w:val="right"/>
              <w:rPr>
                <w:sz w:val="20"/>
                <w:szCs w:val="20"/>
              </w:rPr>
            </w:pPr>
            <w:r w:rsidRPr="008B6A75">
              <w:rPr>
                <w:sz w:val="20"/>
                <w:szCs w:val="20"/>
              </w:rPr>
              <w:t>1 296,48</w:t>
            </w:r>
          </w:p>
        </w:tc>
        <w:tc>
          <w:tcPr>
            <w:tcW w:w="992" w:type="dxa"/>
            <w:tcBorders>
              <w:top w:val="nil"/>
              <w:left w:val="single" w:sz="4" w:space="0" w:color="auto"/>
              <w:bottom w:val="single" w:sz="4" w:space="0" w:color="auto"/>
              <w:right w:val="nil"/>
            </w:tcBorders>
            <w:shd w:val="clear" w:color="auto" w:fill="auto"/>
            <w:vAlign w:val="center"/>
            <w:hideMark/>
          </w:tcPr>
          <w:p w14:paraId="1C7A2A12" w14:textId="77777777" w:rsidR="00387142" w:rsidRPr="008B6A75" w:rsidRDefault="00387142" w:rsidP="00387142">
            <w:pPr>
              <w:jc w:val="right"/>
              <w:rPr>
                <w:sz w:val="20"/>
                <w:szCs w:val="20"/>
              </w:rPr>
            </w:pPr>
            <w:r w:rsidRPr="008B6A75">
              <w:rPr>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15ACA5C5" w14:textId="77777777" w:rsidR="00387142" w:rsidRPr="008B6A75" w:rsidRDefault="00387142" w:rsidP="00387142">
            <w:pPr>
              <w:jc w:val="right"/>
              <w:rPr>
                <w:sz w:val="20"/>
                <w:szCs w:val="20"/>
              </w:rPr>
            </w:pPr>
            <w:r w:rsidRPr="008B6A75">
              <w:rPr>
                <w:sz w:val="20"/>
                <w:szCs w:val="20"/>
              </w:rPr>
              <w:t>0,00</w:t>
            </w:r>
          </w:p>
        </w:tc>
      </w:tr>
      <w:tr w:rsidR="00387142" w:rsidRPr="008B6A75" w14:paraId="72B1D532" w14:textId="77777777" w:rsidTr="00387142">
        <w:trPr>
          <w:trHeight w:val="870"/>
        </w:trPr>
        <w:tc>
          <w:tcPr>
            <w:tcW w:w="3261" w:type="dxa"/>
            <w:tcBorders>
              <w:top w:val="nil"/>
              <w:left w:val="single" w:sz="4" w:space="0" w:color="auto"/>
              <w:bottom w:val="single" w:sz="4" w:space="0" w:color="auto"/>
              <w:right w:val="nil"/>
            </w:tcBorders>
            <w:shd w:val="clear" w:color="auto" w:fill="auto"/>
            <w:vAlign w:val="center"/>
            <w:hideMark/>
          </w:tcPr>
          <w:p w14:paraId="552B034B" w14:textId="77777777" w:rsidR="00387142" w:rsidRPr="008B6A75" w:rsidRDefault="00387142" w:rsidP="00387142">
            <w:pPr>
              <w:rPr>
                <w:sz w:val="20"/>
                <w:szCs w:val="20"/>
              </w:rPr>
            </w:pPr>
            <w:r w:rsidRPr="008B6A75">
              <w:rPr>
                <w:sz w:val="20"/>
                <w:szCs w:val="20"/>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6E2A3D98" w14:textId="77777777" w:rsidR="00387142" w:rsidRPr="008B6A75" w:rsidRDefault="00387142" w:rsidP="00387142">
            <w:pPr>
              <w:jc w:val="center"/>
              <w:rPr>
                <w:sz w:val="20"/>
                <w:szCs w:val="20"/>
              </w:rPr>
            </w:pPr>
            <w:r w:rsidRPr="008B6A75">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589D8E4" w14:textId="77777777" w:rsidR="00387142" w:rsidRPr="008B6A75" w:rsidRDefault="00387142" w:rsidP="00387142">
            <w:pPr>
              <w:jc w:val="center"/>
              <w:rPr>
                <w:sz w:val="20"/>
                <w:szCs w:val="20"/>
              </w:rPr>
            </w:pPr>
            <w:r w:rsidRPr="008B6A75">
              <w:rPr>
                <w:sz w:val="20"/>
                <w:szCs w:val="20"/>
              </w:rPr>
              <w:t>01</w:t>
            </w:r>
          </w:p>
        </w:tc>
        <w:tc>
          <w:tcPr>
            <w:tcW w:w="1516" w:type="dxa"/>
            <w:tcBorders>
              <w:top w:val="nil"/>
              <w:left w:val="single" w:sz="4" w:space="0" w:color="auto"/>
              <w:bottom w:val="single" w:sz="4" w:space="0" w:color="auto"/>
              <w:right w:val="nil"/>
            </w:tcBorders>
            <w:shd w:val="clear" w:color="auto" w:fill="auto"/>
            <w:noWrap/>
            <w:vAlign w:val="center"/>
            <w:hideMark/>
          </w:tcPr>
          <w:p w14:paraId="74529996" w14:textId="77777777" w:rsidR="00387142" w:rsidRPr="008B6A75" w:rsidRDefault="00387142" w:rsidP="00387142">
            <w:pPr>
              <w:jc w:val="center"/>
              <w:rPr>
                <w:sz w:val="20"/>
                <w:szCs w:val="20"/>
              </w:rPr>
            </w:pPr>
            <w:r w:rsidRPr="008B6A75">
              <w:rPr>
                <w:sz w:val="20"/>
                <w:szCs w:val="20"/>
              </w:rPr>
              <w:t>07.1.00.S2590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FDB0BE0" w14:textId="77777777" w:rsidR="00387142" w:rsidRPr="008B6A75" w:rsidRDefault="00387142" w:rsidP="00387142">
            <w:pPr>
              <w:jc w:val="center"/>
              <w:rPr>
                <w:sz w:val="20"/>
                <w:szCs w:val="20"/>
              </w:rPr>
            </w:pPr>
            <w:r w:rsidRPr="008B6A75">
              <w:rPr>
                <w:sz w:val="20"/>
                <w:szCs w:val="20"/>
              </w:rPr>
              <w:t>240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16357EF" w14:textId="77777777" w:rsidR="00387142" w:rsidRPr="008B6A75" w:rsidRDefault="00387142" w:rsidP="00387142">
            <w:pPr>
              <w:jc w:val="right"/>
              <w:rPr>
                <w:sz w:val="20"/>
                <w:szCs w:val="20"/>
              </w:rPr>
            </w:pPr>
            <w:r w:rsidRPr="008B6A75">
              <w:rPr>
                <w:sz w:val="20"/>
                <w:szCs w:val="20"/>
              </w:rPr>
              <w:t>1 296,48</w:t>
            </w:r>
          </w:p>
        </w:tc>
        <w:tc>
          <w:tcPr>
            <w:tcW w:w="992" w:type="dxa"/>
            <w:tcBorders>
              <w:top w:val="nil"/>
              <w:left w:val="single" w:sz="4" w:space="0" w:color="auto"/>
              <w:bottom w:val="single" w:sz="4" w:space="0" w:color="auto"/>
              <w:right w:val="nil"/>
            </w:tcBorders>
            <w:shd w:val="clear" w:color="auto" w:fill="auto"/>
            <w:vAlign w:val="center"/>
            <w:hideMark/>
          </w:tcPr>
          <w:p w14:paraId="4B313135" w14:textId="77777777" w:rsidR="00387142" w:rsidRPr="008B6A75" w:rsidRDefault="00387142" w:rsidP="00387142">
            <w:pPr>
              <w:jc w:val="right"/>
              <w:rPr>
                <w:sz w:val="20"/>
                <w:szCs w:val="20"/>
              </w:rPr>
            </w:pPr>
            <w:r w:rsidRPr="008B6A75">
              <w:rPr>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39399FBD" w14:textId="77777777" w:rsidR="00387142" w:rsidRPr="008B6A75" w:rsidRDefault="00387142" w:rsidP="00387142">
            <w:pPr>
              <w:jc w:val="right"/>
              <w:rPr>
                <w:sz w:val="20"/>
                <w:szCs w:val="20"/>
              </w:rPr>
            </w:pPr>
            <w:r w:rsidRPr="008B6A75">
              <w:rPr>
                <w:sz w:val="20"/>
                <w:szCs w:val="20"/>
              </w:rPr>
              <w:t>0,00</w:t>
            </w:r>
          </w:p>
        </w:tc>
      </w:tr>
      <w:tr w:rsidR="00387142" w:rsidRPr="008B6A75" w14:paraId="67076F99" w14:textId="77777777" w:rsidTr="00387142">
        <w:trPr>
          <w:trHeight w:val="2865"/>
        </w:trPr>
        <w:tc>
          <w:tcPr>
            <w:tcW w:w="3261" w:type="dxa"/>
            <w:tcBorders>
              <w:top w:val="nil"/>
              <w:left w:val="single" w:sz="4" w:space="0" w:color="auto"/>
              <w:bottom w:val="single" w:sz="4" w:space="0" w:color="auto"/>
              <w:right w:val="nil"/>
            </w:tcBorders>
            <w:shd w:val="clear" w:color="auto" w:fill="auto"/>
            <w:vAlign w:val="center"/>
            <w:hideMark/>
          </w:tcPr>
          <w:p w14:paraId="2B4CE091" w14:textId="77777777" w:rsidR="00387142" w:rsidRPr="008B6A75" w:rsidRDefault="00387142" w:rsidP="00387142">
            <w:pPr>
              <w:rPr>
                <w:bCs/>
                <w:sz w:val="20"/>
                <w:szCs w:val="20"/>
              </w:rPr>
            </w:pPr>
            <w:proofErr w:type="spellStart"/>
            <w:r w:rsidRPr="008B6A75">
              <w:rPr>
                <w:bCs/>
                <w:sz w:val="20"/>
                <w:szCs w:val="20"/>
              </w:rPr>
              <w:t>Софинансирование</w:t>
            </w:r>
            <w:proofErr w:type="spellEnd"/>
            <w:r w:rsidRPr="008B6A75">
              <w:rPr>
                <w:bCs/>
                <w:sz w:val="20"/>
                <w:szCs w:val="20"/>
              </w:rPr>
              <w:t xml:space="preserve"> местного бюджета на реализацию мероприятий по модернизации образования Новосибирской </w:t>
            </w:r>
            <w:proofErr w:type="gramStart"/>
            <w:r w:rsidRPr="008B6A75">
              <w:rPr>
                <w:bCs/>
                <w:sz w:val="20"/>
                <w:szCs w:val="20"/>
              </w:rPr>
              <w:t>области  подпрограммы</w:t>
            </w:r>
            <w:proofErr w:type="gramEnd"/>
            <w:r w:rsidRPr="008B6A75">
              <w:rPr>
                <w:bCs/>
                <w:sz w:val="20"/>
                <w:szCs w:val="20"/>
              </w:rPr>
              <w:t xml:space="preserve"> "Развитие дошкольного, общего и дополнительного образования детей" в рамках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14:paraId="3F4FE8D4" w14:textId="77777777" w:rsidR="00387142" w:rsidRPr="008B6A75" w:rsidRDefault="00387142" w:rsidP="00387142">
            <w:pPr>
              <w:jc w:val="center"/>
              <w:rPr>
                <w:bCs/>
                <w:sz w:val="20"/>
                <w:szCs w:val="20"/>
              </w:rPr>
            </w:pPr>
            <w:r w:rsidRPr="008B6A75">
              <w:rPr>
                <w:bCs/>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7A3D1CC" w14:textId="77777777" w:rsidR="00387142" w:rsidRPr="008B6A75" w:rsidRDefault="00387142" w:rsidP="00387142">
            <w:pPr>
              <w:jc w:val="center"/>
              <w:rPr>
                <w:bCs/>
                <w:sz w:val="20"/>
                <w:szCs w:val="20"/>
              </w:rPr>
            </w:pPr>
            <w:r w:rsidRPr="008B6A75">
              <w:rPr>
                <w:bCs/>
                <w:sz w:val="20"/>
                <w:szCs w:val="20"/>
              </w:rPr>
              <w:t>01</w:t>
            </w:r>
          </w:p>
        </w:tc>
        <w:tc>
          <w:tcPr>
            <w:tcW w:w="1516" w:type="dxa"/>
            <w:tcBorders>
              <w:top w:val="nil"/>
              <w:left w:val="single" w:sz="4" w:space="0" w:color="auto"/>
              <w:bottom w:val="single" w:sz="4" w:space="0" w:color="auto"/>
              <w:right w:val="nil"/>
            </w:tcBorders>
            <w:shd w:val="clear" w:color="auto" w:fill="auto"/>
            <w:noWrap/>
            <w:vAlign w:val="center"/>
            <w:hideMark/>
          </w:tcPr>
          <w:p w14:paraId="62B47592" w14:textId="77777777" w:rsidR="00387142" w:rsidRPr="008B6A75" w:rsidRDefault="00387142" w:rsidP="00387142">
            <w:pPr>
              <w:jc w:val="center"/>
              <w:rPr>
                <w:bCs/>
                <w:sz w:val="20"/>
                <w:szCs w:val="20"/>
              </w:rPr>
            </w:pPr>
            <w:r w:rsidRPr="008B6A75">
              <w:rPr>
                <w:bCs/>
                <w:sz w:val="20"/>
                <w:szCs w:val="20"/>
              </w:rPr>
              <w:t>07.1.00.S3470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00F429F"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47BACC6" w14:textId="77777777" w:rsidR="00387142" w:rsidRPr="008B6A75" w:rsidRDefault="00387142" w:rsidP="00387142">
            <w:pPr>
              <w:jc w:val="right"/>
              <w:rPr>
                <w:bCs/>
                <w:sz w:val="20"/>
                <w:szCs w:val="20"/>
              </w:rPr>
            </w:pPr>
            <w:r w:rsidRPr="008B6A75">
              <w:rPr>
                <w:bCs/>
                <w:sz w:val="20"/>
                <w:szCs w:val="20"/>
              </w:rPr>
              <w:t>27 500,00</w:t>
            </w:r>
          </w:p>
        </w:tc>
        <w:tc>
          <w:tcPr>
            <w:tcW w:w="992" w:type="dxa"/>
            <w:tcBorders>
              <w:top w:val="nil"/>
              <w:left w:val="single" w:sz="4" w:space="0" w:color="auto"/>
              <w:bottom w:val="single" w:sz="4" w:space="0" w:color="auto"/>
              <w:right w:val="nil"/>
            </w:tcBorders>
            <w:shd w:val="clear" w:color="auto" w:fill="auto"/>
            <w:vAlign w:val="center"/>
            <w:hideMark/>
          </w:tcPr>
          <w:p w14:paraId="379FE7B2" w14:textId="77777777" w:rsidR="00387142" w:rsidRPr="008B6A75" w:rsidRDefault="00387142" w:rsidP="00387142">
            <w:pPr>
              <w:jc w:val="right"/>
              <w:rPr>
                <w:bCs/>
                <w:sz w:val="20"/>
                <w:szCs w:val="20"/>
              </w:rPr>
            </w:pPr>
            <w:r w:rsidRPr="008B6A75">
              <w:rPr>
                <w:bCs/>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0C88613F" w14:textId="77777777" w:rsidR="00387142" w:rsidRPr="008B6A75" w:rsidRDefault="00387142" w:rsidP="00387142">
            <w:pPr>
              <w:jc w:val="right"/>
              <w:rPr>
                <w:bCs/>
                <w:sz w:val="20"/>
                <w:szCs w:val="20"/>
              </w:rPr>
            </w:pPr>
            <w:r w:rsidRPr="008B6A75">
              <w:rPr>
                <w:bCs/>
                <w:sz w:val="20"/>
                <w:szCs w:val="20"/>
              </w:rPr>
              <w:t>0,00</w:t>
            </w:r>
          </w:p>
        </w:tc>
      </w:tr>
      <w:tr w:rsidR="00387142" w:rsidRPr="008B6A75" w14:paraId="76355F39" w14:textId="77777777" w:rsidTr="00387142">
        <w:trPr>
          <w:trHeight w:val="585"/>
        </w:trPr>
        <w:tc>
          <w:tcPr>
            <w:tcW w:w="3261" w:type="dxa"/>
            <w:tcBorders>
              <w:top w:val="nil"/>
              <w:left w:val="single" w:sz="4" w:space="0" w:color="auto"/>
              <w:bottom w:val="single" w:sz="4" w:space="0" w:color="auto"/>
              <w:right w:val="nil"/>
            </w:tcBorders>
            <w:shd w:val="clear" w:color="auto" w:fill="auto"/>
            <w:vAlign w:val="center"/>
            <w:hideMark/>
          </w:tcPr>
          <w:p w14:paraId="235125E3" w14:textId="77777777" w:rsidR="00387142" w:rsidRPr="008B6A75" w:rsidRDefault="00387142" w:rsidP="00387142">
            <w:pPr>
              <w:rPr>
                <w:sz w:val="20"/>
                <w:szCs w:val="20"/>
              </w:rPr>
            </w:pPr>
            <w:r w:rsidRPr="008B6A75">
              <w:rPr>
                <w:sz w:val="20"/>
                <w:szCs w:val="20"/>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7B273F1E" w14:textId="77777777" w:rsidR="00387142" w:rsidRPr="008B6A75" w:rsidRDefault="00387142" w:rsidP="00387142">
            <w:pPr>
              <w:jc w:val="center"/>
              <w:rPr>
                <w:sz w:val="20"/>
                <w:szCs w:val="20"/>
              </w:rPr>
            </w:pPr>
            <w:r w:rsidRPr="008B6A75">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BAD50F2" w14:textId="77777777" w:rsidR="00387142" w:rsidRPr="008B6A75" w:rsidRDefault="00387142" w:rsidP="00387142">
            <w:pPr>
              <w:jc w:val="center"/>
              <w:rPr>
                <w:sz w:val="20"/>
                <w:szCs w:val="20"/>
              </w:rPr>
            </w:pPr>
            <w:r w:rsidRPr="008B6A75">
              <w:rPr>
                <w:sz w:val="20"/>
                <w:szCs w:val="20"/>
              </w:rPr>
              <w:t>01</w:t>
            </w:r>
          </w:p>
        </w:tc>
        <w:tc>
          <w:tcPr>
            <w:tcW w:w="1516" w:type="dxa"/>
            <w:tcBorders>
              <w:top w:val="nil"/>
              <w:left w:val="single" w:sz="4" w:space="0" w:color="auto"/>
              <w:bottom w:val="single" w:sz="4" w:space="0" w:color="auto"/>
              <w:right w:val="nil"/>
            </w:tcBorders>
            <w:shd w:val="clear" w:color="auto" w:fill="auto"/>
            <w:noWrap/>
            <w:vAlign w:val="center"/>
            <w:hideMark/>
          </w:tcPr>
          <w:p w14:paraId="33070EE2" w14:textId="77777777" w:rsidR="00387142" w:rsidRPr="008B6A75" w:rsidRDefault="00387142" w:rsidP="00387142">
            <w:pPr>
              <w:jc w:val="center"/>
              <w:rPr>
                <w:sz w:val="20"/>
                <w:szCs w:val="20"/>
              </w:rPr>
            </w:pPr>
            <w:r w:rsidRPr="008B6A75">
              <w:rPr>
                <w:sz w:val="20"/>
                <w:szCs w:val="20"/>
              </w:rPr>
              <w:t>07.1.00.S3470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0D2CC12" w14:textId="77777777" w:rsidR="00387142" w:rsidRPr="008B6A75" w:rsidRDefault="00387142" w:rsidP="00387142">
            <w:pPr>
              <w:jc w:val="center"/>
              <w:rPr>
                <w:sz w:val="20"/>
                <w:szCs w:val="20"/>
              </w:rPr>
            </w:pPr>
            <w:r w:rsidRPr="008B6A75">
              <w:rPr>
                <w:sz w:val="20"/>
                <w:szCs w:val="20"/>
              </w:rPr>
              <w:t>200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1EB8B75" w14:textId="77777777" w:rsidR="00387142" w:rsidRPr="008B6A75" w:rsidRDefault="00387142" w:rsidP="00387142">
            <w:pPr>
              <w:jc w:val="right"/>
              <w:rPr>
                <w:sz w:val="20"/>
                <w:szCs w:val="20"/>
              </w:rPr>
            </w:pPr>
            <w:r w:rsidRPr="008B6A75">
              <w:rPr>
                <w:sz w:val="20"/>
                <w:szCs w:val="20"/>
              </w:rPr>
              <w:t>27 500,00</w:t>
            </w:r>
          </w:p>
        </w:tc>
        <w:tc>
          <w:tcPr>
            <w:tcW w:w="992" w:type="dxa"/>
            <w:tcBorders>
              <w:top w:val="nil"/>
              <w:left w:val="single" w:sz="4" w:space="0" w:color="auto"/>
              <w:bottom w:val="single" w:sz="4" w:space="0" w:color="auto"/>
              <w:right w:val="nil"/>
            </w:tcBorders>
            <w:shd w:val="clear" w:color="auto" w:fill="auto"/>
            <w:vAlign w:val="center"/>
            <w:hideMark/>
          </w:tcPr>
          <w:p w14:paraId="6451D4D4" w14:textId="77777777" w:rsidR="00387142" w:rsidRPr="008B6A75" w:rsidRDefault="00387142" w:rsidP="00387142">
            <w:pPr>
              <w:jc w:val="right"/>
              <w:rPr>
                <w:sz w:val="20"/>
                <w:szCs w:val="20"/>
              </w:rPr>
            </w:pPr>
            <w:r w:rsidRPr="008B6A75">
              <w:rPr>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325EB43D" w14:textId="77777777" w:rsidR="00387142" w:rsidRPr="008B6A75" w:rsidRDefault="00387142" w:rsidP="00387142">
            <w:pPr>
              <w:jc w:val="right"/>
              <w:rPr>
                <w:sz w:val="20"/>
                <w:szCs w:val="20"/>
              </w:rPr>
            </w:pPr>
            <w:r w:rsidRPr="008B6A75">
              <w:rPr>
                <w:sz w:val="20"/>
                <w:szCs w:val="20"/>
              </w:rPr>
              <w:t>0,00</w:t>
            </w:r>
          </w:p>
        </w:tc>
      </w:tr>
      <w:tr w:rsidR="00387142" w:rsidRPr="008B6A75" w14:paraId="65BF0E29" w14:textId="77777777" w:rsidTr="00387142">
        <w:trPr>
          <w:trHeight w:val="870"/>
        </w:trPr>
        <w:tc>
          <w:tcPr>
            <w:tcW w:w="3261" w:type="dxa"/>
            <w:tcBorders>
              <w:top w:val="nil"/>
              <w:left w:val="single" w:sz="4" w:space="0" w:color="auto"/>
              <w:bottom w:val="single" w:sz="4" w:space="0" w:color="auto"/>
              <w:right w:val="nil"/>
            </w:tcBorders>
            <w:shd w:val="clear" w:color="auto" w:fill="auto"/>
            <w:vAlign w:val="center"/>
            <w:hideMark/>
          </w:tcPr>
          <w:p w14:paraId="78931074" w14:textId="77777777" w:rsidR="00387142" w:rsidRPr="008B6A75" w:rsidRDefault="00387142" w:rsidP="00387142">
            <w:pPr>
              <w:rPr>
                <w:sz w:val="20"/>
                <w:szCs w:val="20"/>
              </w:rPr>
            </w:pPr>
            <w:r w:rsidRPr="008B6A75">
              <w:rPr>
                <w:sz w:val="20"/>
                <w:szCs w:val="20"/>
              </w:rPr>
              <w:lastRenderedPageBreak/>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3CEB30FF" w14:textId="77777777" w:rsidR="00387142" w:rsidRPr="008B6A75" w:rsidRDefault="00387142" w:rsidP="00387142">
            <w:pPr>
              <w:jc w:val="center"/>
              <w:rPr>
                <w:sz w:val="20"/>
                <w:szCs w:val="20"/>
              </w:rPr>
            </w:pPr>
            <w:r w:rsidRPr="008B6A75">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5C36E0C" w14:textId="77777777" w:rsidR="00387142" w:rsidRPr="008B6A75" w:rsidRDefault="00387142" w:rsidP="00387142">
            <w:pPr>
              <w:jc w:val="center"/>
              <w:rPr>
                <w:sz w:val="20"/>
                <w:szCs w:val="20"/>
              </w:rPr>
            </w:pPr>
            <w:r w:rsidRPr="008B6A75">
              <w:rPr>
                <w:sz w:val="20"/>
                <w:szCs w:val="20"/>
              </w:rPr>
              <w:t>01</w:t>
            </w:r>
          </w:p>
        </w:tc>
        <w:tc>
          <w:tcPr>
            <w:tcW w:w="1516" w:type="dxa"/>
            <w:tcBorders>
              <w:top w:val="nil"/>
              <w:left w:val="single" w:sz="4" w:space="0" w:color="auto"/>
              <w:bottom w:val="single" w:sz="4" w:space="0" w:color="auto"/>
              <w:right w:val="nil"/>
            </w:tcBorders>
            <w:shd w:val="clear" w:color="auto" w:fill="auto"/>
            <w:noWrap/>
            <w:vAlign w:val="center"/>
            <w:hideMark/>
          </w:tcPr>
          <w:p w14:paraId="556179CE" w14:textId="77777777" w:rsidR="00387142" w:rsidRPr="008B6A75" w:rsidRDefault="00387142" w:rsidP="00387142">
            <w:pPr>
              <w:jc w:val="center"/>
              <w:rPr>
                <w:sz w:val="20"/>
                <w:szCs w:val="20"/>
              </w:rPr>
            </w:pPr>
            <w:r w:rsidRPr="008B6A75">
              <w:rPr>
                <w:sz w:val="20"/>
                <w:szCs w:val="20"/>
              </w:rPr>
              <w:t>07.1.00.S3470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78ABD90" w14:textId="77777777" w:rsidR="00387142" w:rsidRPr="008B6A75" w:rsidRDefault="00387142" w:rsidP="00387142">
            <w:pPr>
              <w:jc w:val="center"/>
              <w:rPr>
                <w:sz w:val="20"/>
                <w:szCs w:val="20"/>
              </w:rPr>
            </w:pPr>
            <w:r w:rsidRPr="008B6A75">
              <w:rPr>
                <w:sz w:val="20"/>
                <w:szCs w:val="20"/>
              </w:rPr>
              <w:t>240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096FC1A" w14:textId="77777777" w:rsidR="00387142" w:rsidRPr="008B6A75" w:rsidRDefault="00387142" w:rsidP="00387142">
            <w:pPr>
              <w:jc w:val="right"/>
              <w:rPr>
                <w:sz w:val="20"/>
                <w:szCs w:val="20"/>
              </w:rPr>
            </w:pPr>
            <w:r w:rsidRPr="008B6A75">
              <w:rPr>
                <w:sz w:val="20"/>
                <w:szCs w:val="20"/>
              </w:rPr>
              <w:t>27 500,00</w:t>
            </w:r>
          </w:p>
        </w:tc>
        <w:tc>
          <w:tcPr>
            <w:tcW w:w="992" w:type="dxa"/>
            <w:tcBorders>
              <w:top w:val="nil"/>
              <w:left w:val="single" w:sz="4" w:space="0" w:color="auto"/>
              <w:bottom w:val="single" w:sz="4" w:space="0" w:color="auto"/>
              <w:right w:val="nil"/>
            </w:tcBorders>
            <w:shd w:val="clear" w:color="auto" w:fill="auto"/>
            <w:vAlign w:val="center"/>
            <w:hideMark/>
          </w:tcPr>
          <w:p w14:paraId="7B525386" w14:textId="77777777" w:rsidR="00387142" w:rsidRPr="008B6A75" w:rsidRDefault="00387142" w:rsidP="00387142">
            <w:pPr>
              <w:jc w:val="right"/>
              <w:rPr>
                <w:sz w:val="20"/>
                <w:szCs w:val="20"/>
              </w:rPr>
            </w:pPr>
            <w:r w:rsidRPr="008B6A75">
              <w:rPr>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205B32F8" w14:textId="77777777" w:rsidR="00387142" w:rsidRPr="008B6A75" w:rsidRDefault="00387142" w:rsidP="00387142">
            <w:pPr>
              <w:jc w:val="right"/>
              <w:rPr>
                <w:sz w:val="20"/>
                <w:szCs w:val="20"/>
              </w:rPr>
            </w:pPr>
            <w:r w:rsidRPr="008B6A75">
              <w:rPr>
                <w:sz w:val="20"/>
                <w:szCs w:val="20"/>
              </w:rPr>
              <w:t>0,00</w:t>
            </w:r>
          </w:p>
        </w:tc>
      </w:tr>
      <w:tr w:rsidR="00387142" w:rsidRPr="008B6A75" w14:paraId="1A4FA0D4" w14:textId="77777777" w:rsidTr="00387142">
        <w:trPr>
          <w:trHeight w:val="870"/>
        </w:trPr>
        <w:tc>
          <w:tcPr>
            <w:tcW w:w="3261" w:type="dxa"/>
            <w:tcBorders>
              <w:top w:val="nil"/>
              <w:left w:val="single" w:sz="4" w:space="0" w:color="auto"/>
              <w:bottom w:val="single" w:sz="4" w:space="0" w:color="auto"/>
              <w:right w:val="nil"/>
            </w:tcBorders>
            <w:shd w:val="clear" w:color="auto" w:fill="auto"/>
            <w:vAlign w:val="center"/>
            <w:hideMark/>
          </w:tcPr>
          <w:p w14:paraId="6D8F3254" w14:textId="77777777" w:rsidR="00387142" w:rsidRPr="008B6A75" w:rsidRDefault="00387142" w:rsidP="00387142">
            <w:pPr>
              <w:rPr>
                <w:bCs/>
                <w:sz w:val="20"/>
                <w:szCs w:val="20"/>
              </w:rPr>
            </w:pPr>
            <w:r w:rsidRPr="008B6A75">
              <w:rPr>
                <w:bCs/>
                <w:sz w:val="20"/>
                <w:szCs w:val="20"/>
              </w:rPr>
              <w:t>Подпрограмма "Выявление и поддержка одаренных детей и талантливой молодежи Куйбышевского района"</w:t>
            </w:r>
          </w:p>
        </w:tc>
        <w:tc>
          <w:tcPr>
            <w:tcW w:w="720" w:type="dxa"/>
            <w:tcBorders>
              <w:top w:val="nil"/>
              <w:left w:val="single" w:sz="4" w:space="0" w:color="auto"/>
              <w:bottom w:val="single" w:sz="4" w:space="0" w:color="auto"/>
              <w:right w:val="nil"/>
            </w:tcBorders>
            <w:shd w:val="clear" w:color="auto" w:fill="auto"/>
            <w:noWrap/>
            <w:vAlign w:val="center"/>
            <w:hideMark/>
          </w:tcPr>
          <w:p w14:paraId="298AAEE3" w14:textId="77777777" w:rsidR="00387142" w:rsidRPr="008B6A75" w:rsidRDefault="00387142" w:rsidP="00387142">
            <w:pPr>
              <w:jc w:val="center"/>
              <w:rPr>
                <w:bCs/>
                <w:sz w:val="20"/>
                <w:szCs w:val="20"/>
              </w:rPr>
            </w:pPr>
            <w:r w:rsidRPr="008B6A75">
              <w:rPr>
                <w:bCs/>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864035F" w14:textId="77777777" w:rsidR="00387142" w:rsidRPr="008B6A75" w:rsidRDefault="00387142" w:rsidP="00387142">
            <w:pPr>
              <w:jc w:val="center"/>
              <w:rPr>
                <w:bCs/>
                <w:sz w:val="20"/>
                <w:szCs w:val="20"/>
              </w:rPr>
            </w:pPr>
            <w:r w:rsidRPr="008B6A75">
              <w:rPr>
                <w:bCs/>
                <w:sz w:val="20"/>
                <w:szCs w:val="20"/>
              </w:rPr>
              <w:t>01</w:t>
            </w:r>
          </w:p>
        </w:tc>
        <w:tc>
          <w:tcPr>
            <w:tcW w:w="1516" w:type="dxa"/>
            <w:tcBorders>
              <w:top w:val="nil"/>
              <w:left w:val="single" w:sz="4" w:space="0" w:color="auto"/>
              <w:bottom w:val="single" w:sz="4" w:space="0" w:color="auto"/>
              <w:right w:val="nil"/>
            </w:tcBorders>
            <w:shd w:val="clear" w:color="auto" w:fill="auto"/>
            <w:noWrap/>
            <w:vAlign w:val="center"/>
            <w:hideMark/>
          </w:tcPr>
          <w:p w14:paraId="3FE2233C" w14:textId="77777777" w:rsidR="00387142" w:rsidRPr="008B6A75" w:rsidRDefault="00387142" w:rsidP="00387142">
            <w:pPr>
              <w:jc w:val="center"/>
              <w:rPr>
                <w:bCs/>
                <w:sz w:val="20"/>
                <w:szCs w:val="20"/>
              </w:rPr>
            </w:pPr>
            <w:r w:rsidRPr="008B6A75">
              <w:rPr>
                <w:bCs/>
                <w:sz w:val="20"/>
                <w:szCs w:val="20"/>
              </w:rPr>
              <w:t>07.2.00.00000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16E98D3"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AE9C34C" w14:textId="77777777" w:rsidR="00387142" w:rsidRPr="008B6A75" w:rsidRDefault="00387142" w:rsidP="00387142">
            <w:pPr>
              <w:jc w:val="right"/>
              <w:rPr>
                <w:bCs/>
                <w:sz w:val="20"/>
                <w:szCs w:val="20"/>
              </w:rPr>
            </w:pPr>
            <w:r w:rsidRPr="008B6A75">
              <w:rPr>
                <w:bCs/>
                <w:sz w:val="20"/>
                <w:szCs w:val="20"/>
              </w:rPr>
              <w:t>87 980,00</w:t>
            </w:r>
          </w:p>
        </w:tc>
        <w:tc>
          <w:tcPr>
            <w:tcW w:w="992" w:type="dxa"/>
            <w:tcBorders>
              <w:top w:val="nil"/>
              <w:left w:val="single" w:sz="4" w:space="0" w:color="auto"/>
              <w:bottom w:val="single" w:sz="4" w:space="0" w:color="auto"/>
              <w:right w:val="nil"/>
            </w:tcBorders>
            <w:shd w:val="clear" w:color="auto" w:fill="auto"/>
            <w:vAlign w:val="center"/>
            <w:hideMark/>
          </w:tcPr>
          <w:p w14:paraId="24F622FD" w14:textId="77777777" w:rsidR="00387142" w:rsidRPr="008B6A75" w:rsidRDefault="00387142" w:rsidP="00387142">
            <w:pPr>
              <w:jc w:val="right"/>
              <w:rPr>
                <w:bCs/>
                <w:sz w:val="20"/>
                <w:szCs w:val="20"/>
              </w:rPr>
            </w:pPr>
            <w:r w:rsidRPr="008B6A75">
              <w:rPr>
                <w:bCs/>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11A8F870" w14:textId="77777777" w:rsidR="00387142" w:rsidRPr="008B6A75" w:rsidRDefault="00387142" w:rsidP="00387142">
            <w:pPr>
              <w:jc w:val="right"/>
              <w:rPr>
                <w:bCs/>
                <w:sz w:val="20"/>
                <w:szCs w:val="20"/>
              </w:rPr>
            </w:pPr>
            <w:r w:rsidRPr="008B6A75">
              <w:rPr>
                <w:bCs/>
                <w:sz w:val="20"/>
                <w:szCs w:val="20"/>
              </w:rPr>
              <w:t>0,00</w:t>
            </w:r>
          </w:p>
        </w:tc>
      </w:tr>
      <w:tr w:rsidR="00387142" w:rsidRPr="008B6A75" w14:paraId="408419FD" w14:textId="77777777" w:rsidTr="00387142">
        <w:trPr>
          <w:trHeight w:val="1155"/>
        </w:trPr>
        <w:tc>
          <w:tcPr>
            <w:tcW w:w="3261" w:type="dxa"/>
            <w:tcBorders>
              <w:top w:val="nil"/>
              <w:left w:val="single" w:sz="4" w:space="0" w:color="auto"/>
              <w:bottom w:val="single" w:sz="4" w:space="0" w:color="auto"/>
              <w:right w:val="nil"/>
            </w:tcBorders>
            <w:shd w:val="clear" w:color="auto" w:fill="auto"/>
            <w:vAlign w:val="center"/>
            <w:hideMark/>
          </w:tcPr>
          <w:p w14:paraId="7BD9AB12" w14:textId="77777777" w:rsidR="00387142" w:rsidRPr="008B6A75" w:rsidRDefault="00387142" w:rsidP="00387142">
            <w:pPr>
              <w:rPr>
                <w:bCs/>
                <w:sz w:val="20"/>
                <w:szCs w:val="20"/>
              </w:rPr>
            </w:pPr>
            <w:r w:rsidRPr="008B6A75">
              <w:rPr>
                <w:bCs/>
                <w:sz w:val="20"/>
                <w:szCs w:val="20"/>
              </w:rPr>
              <w:t>Реализация мероприятий подпрограммы "Выявление и поддержка одаренных детей и талантливой молодежи Куйбышевского района"</w:t>
            </w:r>
          </w:p>
        </w:tc>
        <w:tc>
          <w:tcPr>
            <w:tcW w:w="720" w:type="dxa"/>
            <w:tcBorders>
              <w:top w:val="nil"/>
              <w:left w:val="single" w:sz="4" w:space="0" w:color="auto"/>
              <w:bottom w:val="single" w:sz="4" w:space="0" w:color="auto"/>
              <w:right w:val="nil"/>
            </w:tcBorders>
            <w:shd w:val="clear" w:color="auto" w:fill="auto"/>
            <w:noWrap/>
            <w:vAlign w:val="center"/>
            <w:hideMark/>
          </w:tcPr>
          <w:p w14:paraId="6884CB5F" w14:textId="77777777" w:rsidR="00387142" w:rsidRPr="008B6A75" w:rsidRDefault="00387142" w:rsidP="00387142">
            <w:pPr>
              <w:jc w:val="center"/>
              <w:rPr>
                <w:bCs/>
                <w:sz w:val="20"/>
                <w:szCs w:val="20"/>
              </w:rPr>
            </w:pPr>
            <w:r w:rsidRPr="008B6A75">
              <w:rPr>
                <w:bCs/>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97AE2D6" w14:textId="77777777" w:rsidR="00387142" w:rsidRPr="008B6A75" w:rsidRDefault="00387142" w:rsidP="00387142">
            <w:pPr>
              <w:jc w:val="center"/>
              <w:rPr>
                <w:bCs/>
                <w:sz w:val="20"/>
                <w:szCs w:val="20"/>
              </w:rPr>
            </w:pPr>
            <w:r w:rsidRPr="008B6A75">
              <w:rPr>
                <w:bCs/>
                <w:sz w:val="20"/>
                <w:szCs w:val="20"/>
              </w:rPr>
              <w:t>01</w:t>
            </w:r>
          </w:p>
        </w:tc>
        <w:tc>
          <w:tcPr>
            <w:tcW w:w="1516" w:type="dxa"/>
            <w:tcBorders>
              <w:top w:val="nil"/>
              <w:left w:val="single" w:sz="4" w:space="0" w:color="auto"/>
              <w:bottom w:val="single" w:sz="4" w:space="0" w:color="auto"/>
              <w:right w:val="nil"/>
            </w:tcBorders>
            <w:shd w:val="clear" w:color="auto" w:fill="auto"/>
            <w:noWrap/>
            <w:vAlign w:val="center"/>
            <w:hideMark/>
          </w:tcPr>
          <w:p w14:paraId="0A5D1818" w14:textId="77777777" w:rsidR="00387142" w:rsidRPr="008B6A75" w:rsidRDefault="00387142" w:rsidP="00387142">
            <w:pPr>
              <w:jc w:val="center"/>
              <w:rPr>
                <w:bCs/>
                <w:sz w:val="20"/>
                <w:szCs w:val="20"/>
              </w:rPr>
            </w:pPr>
            <w:r w:rsidRPr="008B6A75">
              <w:rPr>
                <w:bCs/>
                <w:sz w:val="20"/>
                <w:szCs w:val="20"/>
              </w:rPr>
              <w:t>07.2.00.79500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071F6DC"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F181ADC" w14:textId="77777777" w:rsidR="00387142" w:rsidRPr="008B6A75" w:rsidRDefault="00387142" w:rsidP="00387142">
            <w:pPr>
              <w:jc w:val="right"/>
              <w:rPr>
                <w:bCs/>
                <w:sz w:val="20"/>
                <w:szCs w:val="20"/>
              </w:rPr>
            </w:pPr>
            <w:r w:rsidRPr="008B6A75">
              <w:rPr>
                <w:bCs/>
                <w:sz w:val="20"/>
                <w:szCs w:val="20"/>
              </w:rPr>
              <w:t>87 980,00</w:t>
            </w:r>
          </w:p>
        </w:tc>
        <w:tc>
          <w:tcPr>
            <w:tcW w:w="992" w:type="dxa"/>
            <w:tcBorders>
              <w:top w:val="nil"/>
              <w:left w:val="single" w:sz="4" w:space="0" w:color="auto"/>
              <w:bottom w:val="single" w:sz="4" w:space="0" w:color="auto"/>
              <w:right w:val="nil"/>
            </w:tcBorders>
            <w:shd w:val="clear" w:color="auto" w:fill="auto"/>
            <w:vAlign w:val="center"/>
            <w:hideMark/>
          </w:tcPr>
          <w:p w14:paraId="7ACB2197" w14:textId="77777777" w:rsidR="00387142" w:rsidRPr="008B6A75" w:rsidRDefault="00387142" w:rsidP="00387142">
            <w:pPr>
              <w:jc w:val="right"/>
              <w:rPr>
                <w:bCs/>
                <w:sz w:val="20"/>
                <w:szCs w:val="20"/>
              </w:rPr>
            </w:pPr>
            <w:r w:rsidRPr="008B6A75">
              <w:rPr>
                <w:bCs/>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5DD49C7C" w14:textId="77777777" w:rsidR="00387142" w:rsidRPr="008B6A75" w:rsidRDefault="00387142" w:rsidP="00387142">
            <w:pPr>
              <w:jc w:val="right"/>
              <w:rPr>
                <w:bCs/>
                <w:sz w:val="20"/>
                <w:szCs w:val="20"/>
              </w:rPr>
            </w:pPr>
            <w:r w:rsidRPr="008B6A75">
              <w:rPr>
                <w:bCs/>
                <w:sz w:val="20"/>
                <w:szCs w:val="20"/>
              </w:rPr>
              <w:t>0,00</w:t>
            </w:r>
          </w:p>
        </w:tc>
      </w:tr>
      <w:tr w:rsidR="00387142" w:rsidRPr="008B6A75" w14:paraId="53EA7F2E" w14:textId="77777777" w:rsidTr="00387142">
        <w:trPr>
          <w:trHeight w:val="1440"/>
        </w:trPr>
        <w:tc>
          <w:tcPr>
            <w:tcW w:w="3261" w:type="dxa"/>
            <w:tcBorders>
              <w:top w:val="nil"/>
              <w:left w:val="single" w:sz="4" w:space="0" w:color="auto"/>
              <w:bottom w:val="single" w:sz="4" w:space="0" w:color="auto"/>
              <w:right w:val="nil"/>
            </w:tcBorders>
            <w:shd w:val="clear" w:color="auto" w:fill="auto"/>
            <w:vAlign w:val="center"/>
            <w:hideMark/>
          </w:tcPr>
          <w:p w14:paraId="26E5C9B1" w14:textId="77777777" w:rsidR="00387142" w:rsidRPr="008B6A75" w:rsidRDefault="00387142" w:rsidP="00387142">
            <w:pPr>
              <w:rPr>
                <w:sz w:val="20"/>
                <w:szCs w:val="20"/>
              </w:rPr>
            </w:pPr>
            <w:r w:rsidRPr="008B6A7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14:paraId="5877496A" w14:textId="77777777" w:rsidR="00387142" w:rsidRPr="008B6A75" w:rsidRDefault="00387142" w:rsidP="00387142">
            <w:pPr>
              <w:jc w:val="center"/>
              <w:rPr>
                <w:sz w:val="20"/>
                <w:szCs w:val="20"/>
              </w:rPr>
            </w:pPr>
            <w:r w:rsidRPr="008B6A75">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3485799" w14:textId="77777777" w:rsidR="00387142" w:rsidRPr="008B6A75" w:rsidRDefault="00387142" w:rsidP="00387142">
            <w:pPr>
              <w:jc w:val="center"/>
              <w:rPr>
                <w:sz w:val="20"/>
                <w:szCs w:val="20"/>
              </w:rPr>
            </w:pPr>
            <w:r w:rsidRPr="008B6A75">
              <w:rPr>
                <w:sz w:val="20"/>
                <w:szCs w:val="20"/>
              </w:rPr>
              <w:t>01</w:t>
            </w:r>
          </w:p>
        </w:tc>
        <w:tc>
          <w:tcPr>
            <w:tcW w:w="1516" w:type="dxa"/>
            <w:tcBorders>
              <w:top w:val="nil"/>
              <w:left w:val="single" w:sz="4" w:space="0" w:color="auto"/>
              <w:bottom w:val="single" w:sz="4" w:space="0" w:color="auto"/>
              <w:right w:val="nil"/>
            </w:tcBorders>
            <w:shd w:val="clear" w:color="auto" w:fill="auto"/>
            <w:noWrap/>
            <w:vAlign w:val="center"/>
            <w:hideMark/>
          </w:tcPr>
          <w:p w14:paraId="39557E98" w14:textId="77777777" w:rsidR="00387142" w:rsidRPr="008B6A75" w:rsidRDefault="00387142" w:rsidP="00387142">
            <w:pPr>
              <w:jc w:val="center"/>
              <w:rPr>
                <w:sz w:val="20"/>
                <w:szCs w:val="20"/>
              </w:rPr>
            </w:pPr>
            <w:r w:rsidRPr="008B6A75">
              <w:rPr>
                <w:sz w:val="20"/>
                <w:szCs w:val="20"/>
              </w:rPr>
              <w:t>07.2.00.79500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FE66A5B" w14:textId="77777777" w:rsidR="00387142" w:rsidRPr="008B6A75" w:rsidRDefault="00387142" w:rsidP="00387142">
            <w:pPr>
              <w:jc w:val="center"/>
              <w:rPr>
                <w:sz w:val="20"/>
                <w:szCs w:val="20"/>
              </w:rPr>
            </w:pPr>
            <w:r w:rsidRPr="008B6A75">
              <w:rPr>
                <w:sz w:val="20"/>
                <w:szCs w:val="20"/>
              </w:rPr>
              <w:t>100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58AF66E" w14:textId="77777777" w:rsidR="00387142" w:rsidRPr="008B6A75" w:rsidRDefault="00387142" w:rsidP="00387142">
            <w:pPr>
              <w:jc w:val="right"/>
              <w:rPr>
                <w:sz w:val="20"/>
                <w:szCs w:val="20"/>
              </w:rPr>
            </w:pPr>
            <w:r w:rsidRPr="008B6A75">
              <w:rPr>
                <w:sz w:val="20"/>
                <w:szCs w:val="20"/>
              </w:rPr>
              <w:t>87 980,00</w:t>
            </w:r>
          </w:p>
        </w:tc>
        <w:tc>
          <w:tcPr>
            <w:tcW w:w="992" w:type="dxa"/>
            <w:tcBorders>
              <w:top w:val="nil"/>
              <w:left w:val="single" w:sz="4" w:space="0" w:color="auto"/>
              <w:bottom w:val="single" w:sz="4" w:space="0" w:color="auto"/>
              <w:right w:val="nil"/>
            </w:tcBorders>
            <w:shd w:val="clear" w:color="auto" w:fill="auto"/>
            <w:vAlign w:val="center"/>
            <w:hideMark/>
          </w:tcPr>
          <w:p w14:paraId="1F1CBDD8" w14:textId="77777777" w:rsidR="00387142" w:rsidRPr="008B6A75" w:rsidRDefault="00387142" w:rsidP="00387142">
            <w:pPr>
              <w:jc w:val="right"/>
              <w:rPr>
                <w:sz w:val="20"/>
                <w:szCs w:val="20"/>
              </w:rPr>
            </w:pPr>
            <w:r w:rsidRPr="008B6A75">
              <w:rPr>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2CABBFD1" w14:textId="77777777" w:rsidR="00387142" w:rsidRPr="008B6A75" w:rsidRDefault="00387142" w:rsidP="00387142">
            <w:pPr>
              <w:jc w:val="right"/>
              <w:rPr>
                <w:sz w:val="20"/>
                <w:szCs w:val="20"/>
              </w:rPr>
            </w:pPr>
            <w:r w:rsidRPr="008B6A75">
              <w:rPr>
                <w:sz w:val="20"/>
                <w:szCs w:val="20"/>
              </w:rPr>
              <w:t>0,00</w:t>
            </w:r>
          </w:p>
        </w:tc>
      </w:tr>
      <w:tr w:rsidR="00387142" w:rsidRPr="008B6A75" w14:paraId="2340477F" w14:textId="77777777" w:rsidTr="00387142">
        <w:trPr>
          <w:trHeight w:val="585"/>
        </w:trPr>
        <w:tc>
          <w:tcPr>
            <w:tcW w:w="3261" w:type="dxa"/>
            <w:tcBorders>
              <w:top w:val="nil"/>
              <w:left w:val="single" w:sz="4" w:space="0" w:color="auto"/>
              <w:bottom w:val="single" w:sz="4" w:space="0" w:color="auto"/>
              <w:right w:val="nil"/>
            </w:tcBorders>
            <w:shd w:val="clear" w:color="auto" w:fill="auto"/>
            <w:vAlign w:val="center"/>
            <w:hideMark/>
          </w:tcPr>
          <w:p w14:paraId="661DE1C6" w14:textId="77777777" w:rsidR="00387142" w:rsidRPr="008B6A75" w:rsidRDefault="00387142" w:rsidP="00387142">
            <w:pPr>
              <w:rPr>
                <w:sz w:val="20"/>
                <w:szCs w:val="20"/>
              </w:rPr>
            </w:pPr>
            <w:r w:rsidRPr="008B6A75">
              <w:rPr>
                <w:sz w:val="20"/>
                <w:szCs w:val="20"/>
              </w:rPr>
              <w:t>Расходы на выплаты персоналу казенных учреждений</w:t>
            </w:r>
          </w:p>
        </w:tc>
        <w:tc>
          <w:tcPr>
            <w:tcW w:w="720" w:type="dxa"/>
            <w:tcBorders>
              <w:top w:val="nil"/>
              <w:left w:val="single" w:sz="4" w:space="0" w:color="auto"/>
              <w:bottom w:val="single" w:sz="4" w:space="0" w:color="auto"/>
              <w:right w:val="nil"/>
            </w:tcBorders>
            <w:shd w:val="clear" w:color="auto" w:fill="auto"/>
            <w:noWrap/>
            <w:vAlign w:val="center"/>
            <w:hideMark/>
          </w:tcPr>
          <w:p w14:paraId="236B4F82" w14:textId="77777777" w:rsidR="00387142" w:rsidRPr="008B6A75" w:rsidRDefault="00387142" w:rsidP="00387142">
            <w:pPr>
              <w:jc w:val="center"/>
              <w:rPr>
                <w:sz w:val="20"/>
                <w:szCs w:val="20"/>
              </w:rPr>
            </w:pPr>
            <w:r w:rsidRPr="008B6A75">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6D5FB40" w14:textId="77777777" w:rsidR="00387142" w:rsidRPr="008B6A75" w:rsidRDefault="00387142" w:rsidP="00387142">
            <w:pPr>
              <w:jc w:val="center"/>
              <w:rPr>
                <w:sz w:val="20"/>
                <w:szCs w:val="20"/>
              </w:rPr>
            </w:pPr>
            <w:r w:rsidRPr="008B6A75">
              <w:rPr>
                <w:sz w:val="20"/>
                <w:szCs w:val="20"/>
              </w:rPr>
              <w:t>01</w:t>
            </w:r>
          </w:p>
        </w:tc>
        <w:tc>
          <w:tcPr>
            <w:tcW w:w="1516" w:type="dxa"/>
            <w:tcBorders>
              <w:top w:val="nil"/>
              <w:left w:val="single" w:sz="4" w:space="0" w:color="auto"/>
              <w:bottom w:val="single" w:sz="4" w:space="0" w:color="auto"/>
              <w:right w:val="nil"/>
            </w:tcBorders>
            <w:shd w:val="clear" w:color="auto" w:fill="auto"/>
            <w:noWrap/>
            <w:vAlign w:val="center"/>
            <w:hideMark/>
          </w:tcPr>
          <w:p w14:paraId="3A14BBF7" w14:textId="77777777" w:rsidR="00387142" w:rsidRPr="008B6A75" w:rsidRDefault="00387142" w:rsidP="00387142">
            <w:pPr>
              <w:jc w:val="center"/>
              <w:rPr>
                <w:sz w:val="20"/>
                <w:szCs w:val="20"/>
              </w:rPr>
            </w:pPr>
            <w:r w:rsidRPr="008B6A75">
              <w:rPr>
                <w:sz w:val="20"/>
                <w:szCs w:val="20"/>
              </w:rPr>
              <w:t>07.2.00.79500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87BB3EB" w14:textId="77777777" w:rsidR="00387142" w:rsidRPr="008B6A75" w:rsidRDefault="00387142" w:rsidP="00387142">
            <w:pPr>
              <w:jc w:val="center"/>
              <w:rPr>
                <w:sz w:val="20"/>
                <w:szCs w:val="20"/>
              </w:rPr>
            </w:pPr>
            <w:r w:rsidRPr="008B6A75">
              <w:rPr>
                <w:sz w:val="20"/>
                <w:szCs w:val="20"/>
              </w:rPr>
              <w:t>110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CB21942" w14:textId="77777777" w:rsidR="00387142" w:rsidRPr="008B6A75" w:rsidRDefault="00387142" w:rsidP="00387142">
            <w:pPr>
              <w:jc w:val="right"/>
              <w:rPr>
                <w:sz w:val="20"/>
                <w:szCs w:val="20"/>
              </w:rPr>
            </w:pPr>
            <w:r w:rsidRPr="008B6A75">
              <w:rPr>
                <w:sz w:val="20"/>
                <w:szCs w:val="20"/>
              </w:rPr>
              <w:t>87 980,00</w:t>
            </w:r>
          </w:p>
        </w:tc>
        <w:tc>
          <w:tcPr>
            <w:tcW w:w="992" w:type="dxa"/>
            <w:tcBorders>
              <w:top w:val="nil"/>
              <w:left w:val="single" w:sz="4" w:space="0" w:color="auto"/>
              <w:bottom w:val="single" w:sz="4" w:space="0" w:color="auto"/>
              <w:right w:val="nil"/>
            </w:tcBorders>
            <w:shd w:val="clear" w:color="auto" w:fill="auto"/>
            <w:vAlign w:val="center"/>
            <w:hideMark/>
          </w:tcPr>
          <w:p w14:paraId="677FDF7A" w14:textId="77777777" w:rsidR="00387142" w:rsidRPr="008B6A75" w:rsidRDefault="00387142" w:rsidP="00387142">
            <w:pPr>
              <w:jc w:val="right"/>
              <w:rPr>
                <w:sz w:val="20"/>
                <w:szCs w:val="20"/>
              </w:rPr>
            </w:pPr>
            <w:r w:rsidRPr="008B6A75">
              <w:rPr>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2FAD37BE" w14:textId="77777777" w:rsidR="00387142" w:rsidRPr="008B6A75" w:rsidRDefault="00387142" w:rsidP="00387142">
            <w:pPr>
              <w:jc w:val="right"/>
              <w:rPr>
                <w:sz w:val="20"/>
                <w:szCs w:val="20"/>
              </w:rPr>
            </w:pPr>
            <w:r w:rsidRPr="008B6A75">
              <w:rPr>
                <w:sz w:val="20"/>
                <w:szCs w:val="20"/>
              </w:rPr>
              <w:t>0,00</w:t>
            </w:r>
          </w:p>
        </w:tc>
      </w:tr>
      <w:tr w:rsidR="00387142" w:rsidRPr="008B6A75" w14:paraId="214FFD75" w14:textId="77777777" w:rsidTr="00387142">
        <w:trPr>
          <w:trHeight w:val="870"/>
        </w:trPr>
        <w:tc>
          <w:tcPr>
            <w:tcW w:w="3261" w:type="dxa"/>
            <w:tcBorders>
              <w:top w:val="nil"/>
              <w:left w:val="single" w:sz="4" w:space="0" w:color="auto"/>
              <w:bottom w:val="single" w:sz="4" w:space="0" w:color="auto"/>
              <w:right w:val="nil"/>
            </w:tcBorders>
            <w:shd w:val="clear" w:color="auto" w:fill="auto"/>
            <w:vAlign w:val="center"/>
            <w:hideMark/>
          </w:tcPr>
          <w:p w14:paraId="740393F2" w14:textId="77777777" w:rsidR="00387142" w:rsidRPr="008B6A75" w:rsidRDefault="00387142" w:rsidP="00387142">
            <w:pPr>
              <w:rPr>
                <w:bCs/>
                <w:sz w:val="20"/>
                <w:szCs w:val="20"/>
              </w:rPr>
            </w:pPr>
            <w:proofErr w:type="spellStart"/>
            <w:r w:rsidRPr="008B6A75">
              <w:rPr>
                <w:bCs/>
                <w:sz w:val="20"/>
                <w:szCs w:val="20"/>
              </w:rPr>
              <w:t>Подпрограмма"Развитие</w:t>
            </w:r>
            <w:proofErr w:type="spellEnd"/>
            <w:r w:rsidRPr="008B6A75">
              <w:rPr>
                <w:bCs/>
                <w:sz w:val="20"/>
                <w:szCs w:val="20"/>
              </w:rPr>
              <w:t xml:space="preserve"> кадрового потенциала системы дошкольного, общего и дополнительного образования детей"</w:t>
            </w:r>
          </w:p>
        </w:tc>
        <w:tc>
          <w:tcPr>
            <w:tcW w:w="720" w:type="dxa"/>
            <w:tcBorders>
              <w:top w:val="nil"/>
              <w:left w:val="single" w:sz="4" w:space="0" w:color="auto"/>
              <w:bottom w:val="single" w:sz="4" w:space="0" w:color="auto"/>
              <w:right w:val="nil"/>
            </w:tcBorders>
            <w:shd w:val="clear" w:color="auto" w:fill="auto"/>
            <w:noWrap/>
            <w:vAlign w:val="center"/>
            <w:hideMark/>
          </w:tcPr>
          <w:p w14:paraId="484FAFB0" w14:textId="77777777" w:rsidR="00387142" w:rsidRPr="008B6A75" w:rsidRDefault="00387142" w:rsidP="00387142">
            <w:pPr>
              <w:jc w:val="center"/>
              <w:rPr>
                <w:bCs/>
                <w:sz w:val="20"/>
                <w:szCs w:val="20"/>
              </w:rPr>
            </w:pPr>
            <w:r w:rsidRPr="008B6A75">
              <w:rPr>
                <w:bCs/>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413C7AF" w14:textId="77777777" w:rsidR="00387142" w:rsidRPr="008B6A75" w:rsidRDefault="00387142" w:rsidP="00387142">
            <w:pPr>
              <w:jc w:val="center"/>
              <w:rPr>
                <w:bCs/>
                <w:sz w:val="20"/>
                <w:szCs w:val="20"/>
              </w:rPr>
            </w:pPr>
            <w:r w:rsidRPr="008B6A75">
              <w:rPr>
                <w:bCs/>
                <w:sz w:val="20"/>
                <w:szCs w:val="20"/>
              </w:rPr>
              <w:t>01</w:t>
            </w:r>
          </w:p>
        </w:tc>
        <w:tc>
          <w:tcPr>
            <w:tcW w:w="1516" w:type="dxa"/>
            <w:tcBorders>
              <w:top w:val="nil"/>
              <w:left w:val="single" w:sz="4" w:space="0" w:color="auto"/>
              <w:bottom w:val="single" w:sz="4" w:space="0" w:color="auto"/>
              <w:right w:val="nil"/>
            </w:tcBorders>
            <w:shd w:val="clear" w:color="auto" w:fill="auto"/>
            <w:noWrap/>
            <w:vAlign w:val="center"/>
            <w:hideMark/>
          </w:tcPr>
          <w:p w14:paraId="75E048C2" w14:textId="77777777" w:rsidR="00387142" w:rsidRPr="008B6A75" w:rsidRDefault="00387142" w:rsidP="00387142">
            <w:pPr>
              <w:jc w:val="center"/>
              <w:rPr>
                <w:bCs/>
                <w:sz w:val="20"/>
                <w:szCs w:val="20"/>
              </w:rPr>
            </w:pPr>
            <w:r w:rsidRPr="008B6A75">
              <w:rPr>
                <w:bCs/>
                <w:sz w:val="20"/>
                <w:szCs w:val="20"/>
              </w:rPr>
              <w:t>07.3.00.00000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8541F8E"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E4B65C7" w14:textId="77777777" w:rsidR="00387142" w:rsidRPr="008B6A75" w:rsidRDefault="00387142" w:rsidP="00387142">
            <w:pPr>
              <w:jc w:val="right"/>
              <w:rPr>
                <w:bCs/>
                <w:sz w:val="20"/>
                <w:szCs w:val="20"/>
              </w:rPr>
            </w:pPr>
            <w:r w:rsidRPr="008B6A75">
              <w:rPr>
                <w:bCs/>
                <w:sz w:val="20"/>
                <w:szCs w:val="20"/>
              </w:rPr>
              <w:t>50 000,00</w:t>
            </w:r>
          </w:p>
        </w:tc>
        <w:tc>
          <w:tcPr>
            <w:tcW w:w="992" w:type="dxa"/>
            <w:tcBorders>
              <w:top w:val="nil"/>
              <w:left w:val="single" w:sz="4" w:space="0" w:color="auto"/>
              <w:bottom w:val="single" w:sz="4" w:space="0" w:color="auto"/>
              <w:right w:val="nil"/>
            </w:tcBorders>
            <w:shd w:val="clear" w:color="auto" w:fill="auto"/>
            <w:vAlign w:val="center"/>
            <w:hideMark/>
          </w:tcPr>
          <w:p w14:paraId="7D8C38F0" w14:textId="77777777" w:rsidR="00387142" w:rsidRPr="008B6A75" w:rsidRDefault="00387142" w:rsidP="00387142">
            <w:pPr>
              <w:jc w:val="right"/>
              <w:rPr>
                <w:bCs/>
                <w:sz w:val="20"/>
                <w:szCs w:val="20"/>
              </w:rPr>
            </w:pPr>
            <w:r w:rsidRPr="008B6A75">
              <w:rPr>
                <w:bCs/>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0771517E" w14:textId="77777777" w:rsidR="00387142" w:rsidRPr="008B6A75" w:rsidRDefault="00387142" w:rsidP="00387142">
            <w:pPr>
              <w:jc w:val="right"/>
              <w:rPr>
                <w:bCs/>
                <w:sz w:val="20"/>
                <w:szCs w:val="20"/>
              </w:rPr>
            </w:pPr>
            <w:r w:rsidRPr="008B6A75">
              <w:rPr>
                <w:bCs/>
                <w:sz w:val="20"/>
                <w:szCs w:val="20"/>
              </w:rPr>
              <w:t>0,00</w:t>
            </w:r>
          </w:p>
        </w:tc>
      </w:tr>
      <w:tr w:rsidR="00387142" w:rsidRPr="008B6A75" w14:paraId="05524F81" w14:textId="77777777" w:rsidTr="00387142">
        <w:trPr>
          <w:trHeight w:val="1155"/>
        </w:trPr>
        <w:tc>
          <w:tcPr>
            <w:tcW w:w="3261" w:type="dxa"/>
            <w:tcBorders>
              <w:top w:val="nil"/>
              <w:left w:val="single" w:sz="4" w:space="0" w:color="auto"/>
              <w:bottom w:val="single" w:sz="4" w:space="0" w:color="auto"/>
              <w:right w:val="nil"/>
            </w:tcBorders>
            <w:shd w:val="clear" w:color="auto" w:fill="auto"/>
            <w:vAlign w:val="center"/>
            <w:hideMark/>
          </w:tcPr>
          <w:p w14:paraId="14BB2B34" w14:textId="77777777" w:rsidR="00387142" w:rsidRPr="008B6A75" w:rsidRDefault="00387142" w:rsidP="00387142">
            <w:pPr>
              <w:rPr>
                <w:bCs/>
                <w:sz w:val="20"/>
                <w:szCs w:val="20"/>
              </w:rPr>
            </w:pPr>
            <w:r w:rsidRPr="008B6A75">
              <w:rPr>
                <w:bCs/>
                <w:sz w:val="20"/>
                <w:szCs w:val="20"/>
              </w:rPr>
              <w:t>Реализация мероприятий подпрограммы "Развитие кадрового потенциала системы дошкольного, общего и дополнительного образования детей"</w:t>
            </w:r>
          </w:p>
        </w:tc>
        <w:tc>
          <w:tcPr>
            <w:tcW w:w="720" w:type="dxa"/>
            <w:tcBorders>
              <w:top w:val="nil"/>
              <w:left w:val="single" w:sz="4" w:space="0" w:color="auto"/>
              <w:bottom w:val="single" w:sz="4" w:space="0" w:color="auto"/>
              <w:right w:val="nil"/>
            </w:tcBorders>
            <w:shd w:val="clear" w:color="auto" w:fill="auto"/>
            <w:noWrap/>
            <w:vAlign w:val="center"/>
            <w:hideMark/>
          </w:tcPr>
          <w:p w14:paraId="6B75181E" w14:textId="77777777" w:rsidR="00387142" w:rsidRPr="008B6A75" w:rsidRDefault="00387142" w:rsidP="00387142">
            <w:pPr>
              <w:jc w:val="center"/>
              <w:rPr>
                <w:bCs/>
                <w:sz w:val="20"/>
                <w:szCs w:val="20"/>
              </w:rPr>
            </w:pPr>
            <w:r w:rsidRPr="008B6A75">
              <w:rPr>
                <w:bCs/>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62B39E0" w14:textId="77777777" w:rsidR="00387142" w:rsidRPr="008B6A75" w:rsidRDefault="00387142" w:rsidP="00387142">
            <w:pPr>
              <w:jc w:val="center"/>
              <w:rPr>
                <w:bCs/>
                <w:sz w:val="20"/>
                <w:szCs w:val="20"/>
              </w:rPr>
            </w:pPr>
            <w:r w:rsidRPr="008B6A75">
              <w:rPr>
                <w:bCs/>
                <w:sz w:val="20"/>
                <w:szCs w:val="20"/>
              </w:rPr>
              <w:t>01</w:t>
            </w:r>
          </w:p>
        </w:tc>
        <w:tc>
          <w:tcPr>
            <w:tcW w:w="1516" w:type="dxa"/>
            <w:tcBorders>
              <w:top w:val="nil"/>
              <w:left w:val="single" w:sz="4" w:space="0" w:color="auto"/>
              <w:bottom w:val="single" w:sz="4" w:space="0" w:color="auto"/>
              <w:right w:val="nil"/>
            </w:tcBorders>
            <w:shd w:val="clear" w:color="auto" w:fill="auto"/>
            <w:noWrap/>
            <w:vAlign w:val="center"/>
            <w:hideMark/>
          </w:tcPr>
          <w:p w14:paraId="43580D55" w14:textId="77777777" w:rsidR="00387142" w:rsidRPr="008B6A75" w:rsidRDefault="00387142" w:rsidP="00387142">
            <w:pPr>
              <w:jc w:val="center"/>
              <w:rPr>
                <w:bCs/>
                <w:sz w:val="20"/>
                <w:szCs w:val="20"/>
              </w:rPr>
            </w:pPr>
            <w:r w:rsidRPr="008B6A75">
              <w:rPr>
                <w:bCs/>
                <w:sz w:val="20"/>
                <w:szCs w:val="20"/>
              </w:rPr>
              <w:t>07.3.00.79500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404503F"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487369C" w14:textId="77777777" w:rsidR="00387142" w:rsidRPr="008B6A75" w:rsidRDefault="00387142" w:rsidP="00387142">
            <w:pPr>
              <w:jc w:val="right"/>
              <w:rPr>
                <w:bCs/>
                <w:sz w:val="20"/>
                <w:szCs w:val="20"/>
              </w:rPr>
            </w:pPr>
            <w:r w:rsidRPr="008B6A75">
              <w:rPr>
                <w:bCs/>
                <w:sz w:val="20"/>
                <w:szCs w:val="20"/>
              </w:rPr>
              <w:t>50 000,00</w:t>
            </w:r>
          </w:p>
        </w:tc>
        <w:tc>
          <w:tcPr>
            <w:tcW w:w="992" w:type="dxa"/>
            <w:tcBorders>
              <w:top w:val="nil"/>
              <w:left w:val="single" w:sz="4" w:space="0" w:color="auto"/>
              <w:bottom w:val="single" w:sz="4" w:space="0" w:color="auto"/>
              <w:right w:val="nil"/>
            </w:tcBorders>
            <w:shd w:val="clear" w:color="auto" w:fill="auto"/>
            <w:vAlign w:val="center"/>
            <w:hideMark/>
          </w:tcPr>
          <w:p w14:paraId="6246E193" w14:textId="77777777" w:rsidR="00387142" w:rsidRPr="008B6A75" w:rsidRDefault="00387142" w:rsidP="00387142">
            <w:pPr>
              <w:jc w:val="right"/>
              <w:rPr>
                <w:bCs/>
                <w:sz w:val="20"/>
                <w:szCs w:val="20"/>
              </w:rPr>
            </w:pPr>
            <w:r w:rsidRPr="008B6A75">
              <w:rPr>
                <w:bCs/>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5448BB9D" w14:textId="77777777" w:rsidR="00387142" w:rsidRPr="008B6A75" w:rsidRDefault="00387142" w:rsidP="00387142">
            <w:pPr>
              <w:jc w:val="right"/>
              <w:rPr>
                <w:bCs/>
                <w:sz w:val="20"/>
                <w:szCs w:val="20"/>
              </w:rPr>
            </w:pPr>
            <w:r w:rsidRPr="008B6A75">
              <w:rPr>
                <w:bCs/>
                <w:sz w:val="20"/>
                <w:szCs w:val="20"/>
              </w:rPr>
              <w:t>0,00</w:t>
            </w:r>
          </w:p>
        </w:tc>
      </w:tr>
      <w:tr w:rsidR="00387142" w:rsidRPr="008B6A75" w14:paraId="2A1156AD" w14:textId="77777777" w:rsidTr="00387142">
        <w:trPr>
          <w:trHeight w:val="585"/>
        </w:trPr>
        <w:tc>
          <w:tcPr>
            <w:tcW w:w="3261" w:type="dxa"/>
            <w:tcBorders>
              <w:top w:val="nil"/>
              <w:left w:val="single" w:sz="4" w:space="0" w:color="auto"/>
              <w:bottom w:val="single" w:sz="4" w:space="0" w:color="auto"/>
              <w:right w:val="nil"/>
            </w:tcBorders>
            <w:shd w:val="clear" w:color="auto" w:fill="auto"/>
            <w:vAlign w:val="center"/>
            <w:hideMark/>
          </w:tcPr>
          <w:p w14:paraId="41C0B6B2" w14:textId="77777777" w:rsidR="00387142" w:rsidRPr="008B6A75" w:rsidRDefault="00387142" w:rsidP="00387142">
            <w:pPr>
              <w:rPr>
                <w:sz w:val="20"/>
                <w:szCs w:val="20"/>
              </w:rPr>
            </w:pPr>
            <w:r w:rsidRPr="008B6A75">
              <w:rPr>
                <w:sz w:val="20"/>
                <w:szCs w:val="20"/>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192D924C" w14:textId="77777777" w:rsidR="00387142" w:rsidRPr="008B6A75" w:rsidRDefault="00387142" w:rsidP="00387142">
            <w:pPr>
              <w:jc w:val="center"/>
              <w:rPr>
                <w:sz w:val="20"/>
                <w:szCs w:val="20"/>
              </w:rPr>
            </w:pPr>
            <w:r w:rsidRPr="008B6A75">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45239F7" w14:textId="77777777" w:rsidR="00387142" w:rsidRPr="008B6A75" w:rsidRDefault="00387142" w:rsidP="00387142">
            <w:pPr>
              <w:jc w:val="center"/>
              <w:rPr>
                <w:sz w:val="20"/>
                <w:szCs w:val="20"/>
              </w:rPr>
            </w:pPr>
            <w:r w:rsidRPr="008B6A75">
              <w:rPr>
                <w:sz w:val="20"/>
                <w:szCs w:val="20"/>
              </w:rPr>
              <w:t>01</w:t>
            </w:r>
          </w:p>
        </w:tc>
        <w:tc>
          <w:tcPr>
            <w:tcW w:w="1516" w:type="dxa"/>
            <w:tcBorders>
              <w:top w:val="nil"/>
              <w:left w:val="single" w:sz="4" w:space="0" w:color="auto"/>
              <w:bottom w:val="single" w:sz="4" w:space="0" w:color="auto"/>
              <w:right w:val="nil"/>
            </w:tcBorders>
            <w:shd w:val="clear" w:color="auto" w:fill="auto"/>
            <w:noWrap/>
            <w:vAlign w:val="center"/>
            <w:hideMark/>
          </w:tcPr>
          <w:p w14:paraId="61866FBA" w14:textId="77777777" w:rsidR="00387142" w:rsidRPr="008B6A75" w:rsidRDefault="00387142" w:rsidP="00387142">
            <w:pPr>
              <w:jc w:val="center"/>
              <w:rPr>
                <w:sz w:val="20"/>
                <w:szCs w:val="20"/>
              </w:rPr>
            </w:pPr>
            <w:r w:rsidRPr="008B6A75">
              <w:rPr>
                <w:sz w:val="20"/>
                <w:szCs w:val="20"/>
              </w:rPr>
              <w:t>07.3.00.79500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D7918D8" w14:textId="77777777" w:rsidR="00387142" w:rsidRPr="008B6A75" w:rsidRDefault="00387142" w:rsidP="00387142">
            <w:pPr>
              <w:jc w:val="center"/>
              <w:rPr>
                <w:sz w:val="20"/>
                <w:szCs w:val="20"/>
              </w:rPr>
            </w:pPr>
            <w:r w:rsidRPr="008B6A75">
              <w:rPr>
                <w:sz w:val="20"/>
                <w:szCs w:val="20"/>
              </w:rPr>
              <w:t>200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9BB145A" w14:textId="77777777" w:rsidR="00387142" w:rsidRPr="008B6A75" w:rsidRDefault="00387142" w:rsidP="00387142">
            <w:pPr>
              <w:jc w:val="right"/>
              <w:rPr>
                <w:sz w:val="20"/>
                <w:szCs w:val="20"/>
              </w:rPr>
            </w:pPr>
            <w:r w:rsidRPr="008B6A75">
              <w:rPr>
                <w:sz w:val="20"/>
                <w:szCs w:val="20"/>
              </w:rPr>
              <w:t>50 000,00</w:t>
            </w:r>
          </w:p>
        </w:tc>
        <w:tc>
          <w:tcPr>
            <w:tcW w:w="992" w:type="dxa"/>
            <w:tcBorders>
              <w:top w:val="nil"/>
              <w:left w:val="single" w:sz="4" w:space="0" w:color="auto"/>
              <w:bottom w:val="single" w:sz="4" w:space="0" w:color="auto"/>
              <w:right w:val="nil"/>
            </w:tcBorders>
            <w:shd w:val="clear" w:color="auto" w:fill="auto"/>
            <w:vAlign w:val="center"/>
            <w:hideMark/>
          </w:tcPr>
          <w:p w14:paraId="09087A2B" w14:textId="77777777" w:rsidR="00387142" w:rsidRPr="008B6A75" w:rsidRDefault="00387142" w:rsidP="00387142">
            <w:pPr>
              <w:jc w:val="right"/>
              <w:rPr>
                <w:sz w:val="20"/>
                <w:szCs w:val="20"/>
              </w:rPr>
            </w:pPr>
            <w:r w:rsidRPr="008B6A75">
              <w:rPr>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25438350" w14:textId="77777777" w:rsidR="00387142" w:rsidRPr="008B6A75" w:rsidRDefault="00387142" w:rsidP="00387142">
            <w:pPr>
              <w:jc w:val="right"/>
              <w:rPr>
                <w:sz w:val="20"/>
                <w:szCs w:val="20"/>
              </w:rPr>
            </w:pPr>
            <w:r w:rsidRPr="008B6A75">
              <w:rPr>
                <w:sz w:val="20"/>
                <w:szCs w:val="20"/>
              </w:rPr>
              <w:t>0,00</w:t>
            </w:r>
          </w:p>
        </w:tc>
      </w:tr>
      <w:tr w:rsidR="00387142" w:rsidRPr="008B6A75" w14:paraId="35FA4B3F" w14:textId="77777777" w:rsidTr="00387142">
        <w:trPr>
          <w:trHeight w:val="870"/>
        </w:trPr>
        <w:tc>
          <w:tcPr>
            <w:tcW w:w="3261" w:type="dxa"/>
            <w:tcBorders>
              <w:top w:val="nil"/>
              <w:left w:val="single" w:sz="4" w:space="0" w:color="auto"/>
              <w:bottom w:val="single" w:sz="4" w:space="0" w:color="auto"/>
              <w:right w:val="nil"/>
            </w:tcBorders>
            <w:shd w:val="clear" w:color="auto" w:fill="auto"/>
            <w:vAlign w:val="center"/>
            <w:hideMark/>
          </w:tcPr>
          <w:p w14:paraId="7636F0AE" w14:textId="77777777" w:rsidR="00387142" w:rsidRPr="008B6A75" w:rsidRDefault="00387142" w:rsidP="00387142">
            <w:pPr>
              <w:rPr>
                <w:sz w:val="20"/>
                <w:szCs w:val="20"/>
              </w:rPr>
            </w:pPr>
            <w:r w:rsidRPr="008B6A75">
              <w:rPr>
                <w:sz w:val="20"/>
                <w:szCs w:val="20"/>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34BC2824" w14:textId="77777777" w:rsidR="00387142" w:rsidRPr="008B6A75" w:rsidRDefault="00387142" w:rsidP="00387142">
            <w:pPr>
              <w:jc w:val="center"/>
              <w:rPr>
                <w:sz w:val="20"/>
                <w:szCs w:val="20"/>
              </w:rPr>
            </w:pPr>
            <w:r w:rsidRPr="008B6A75">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15CBA55" w14:textId="77777777" w:rsidR="00387142" w:rsidRPr="008B6A75" w:rsidRDefault="00387142" w:rsidP="00387142">
            <w:pPr>
              <w:jc w:val="center"/>
              <w:rPr>
                <w:sz w:val="20"/>
                <w:szCs w:val="20"/>
              </w:rPr>
            </w:pPr>
            <w:r w:rsidRPr="008B6A75">
              <w:rPr>
                <w:sz w:val="20"/>
                <w:szCs w:val="20"/>
              </w:rPr>
              <w:t>01</w:t>
            </w:r>
          </w:p>
        </w:tc>
        <w:tc>
          <w:tcPr>
            <w:tcW w:w="1516" w:type="dxa"/>
            <w:tcBorders>
              <w:top w:val="nil"/>
              <w:left w:val="single" w:sz="4" w:space="0" w:color="auto"/>
              <w:bottom w:val="single" w:sz="4" w:space="0" w:color="auto"/>
              <w:right w:val="nil"/>
            </w:tcBorders>
            <w:shd w:val="clear" w:color="auto" w:fill="auto"/>
            <w:noWrap/>
            <w:vAlign w:val="center"/>
            <w:hideMark/>
          </w:tcPr>
          <w:p w14:paraId="4D650CC5" w14:textId="77777777" w:rsidR="00387142" w:rsidRPr="008B6A75" w:rsidRDefault="00387142" w:rsidP="00387142">
            <w:pPr>
              <w:jc w:val="center"/>
              <w:rPr>
                <w:sz w:val="20"/>
                <w:szCs w:val="20"/>
              </w:rPr>
            </w:pPr>
            <w:r w:rsidRPr="008B6A75">
              <w:rPr>
                <w:sz w:val="20"/>
                <w:szCs w:val="20"/>
              </w:rPr>
              <w:t>07.3.00.79500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8A7BCC1" w14:textId="77777777" w:rsidR="00387142" w:rsidRPr="008B6A75" w:rsidRDefault="00387142" w:rsidP="00387142">
            <w:pPr>
              <w:jc w:val="center"/>
              <w:rPr>
                <w:sz w:val="20"/>
                <w:szCs w:val="20"/>
              </w:rPr>
            </w:pPr>
            <w:r w:rsidRPr="008B6A75">
              <w:rPr>
                <w:sz w:val="20"/>
                <w:szCs w:val="20"/>
              </w:rPr>
              <w:t>240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6011421" w14:textId="77777777" w:rsidR="00387142" w:rsidRPr="008B6A75" w:rsidRDefault="00387142" w:rsidP="00387142">
            <w:pPr>
              <w:jc w:val="right"/>
              <w:rPr>
                <w:sz w:val="20"/>
                <w:szCs w:val="20"/>
              </w:rPr>
            </w:pPr>
            <w:r w:rsidRPr="008B6A75">
              <w:rPr>
                <w:sz w:val="20"/>
                <w:szCs w:val="20"/>
              </w:rPr>
              <w:t>50 000,00</w:t>
            </w:r>
          </w:p>
        </w:tc>
        <w:tc>
          <w:tcPr>
            <w:tcW w:w="992" w:type="dxa"/>
            <w:tcBorders>
              <w:top w:val="nil"/>
              <w:left w:val="single" w:sz="4" w:space="0" w:color="auto"/>
              <w:bottom w:val="single" w:sz="4" w:space="0" w:color="auto"/>
              <w:right w:val="nil"/>
            </w:tcBorders>
            <w:shd w:val="clear" w:color="auto" w:fill="auto"/>
            <w:vAlign w:val="center"/>
            <w:hideMark/>
          </w:tcPr>
          <w:p w14:paraId="426DEB90" w14:textId="77777777" w:rsidR="00387142" w:rsidRPr="008B6A75" w:rsidRDefault="00387142" w:rsidP="00387142">
            <w:pPr>
              <w:jc w:val="right"/>
              <w:rPr>
                <w:sz w:val="20"/>
                <w:szCs w:val="20"/>
              </w:rPr>
            </w:pPr>
            <w:r w:rsidRPr="008B6A75">
              <w:rPr>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0DF2C849" w14:textId="77777777" w:rsidR="00387142" w:rsidRPr="008B6A75" w:rsidRDefault="00387142" w:rsidP="00387142">
            <w:pPr>
              <w:jc w:val="right"/>
              <w:rPr>
                <w:sz w:val="20"/>
                <w:szCs w:val="20"/>
              </w:rPr>
            </w:pPr>
            <w:r w:rsidRPr="008B6A75">
              <w:rPr>
                <w:sz w:val="20"/>
                <w:szCs w:val="20"/>
              </w:rPr>
              <w:t>0,00</w:t>
            </w:r>
          </w:p>
        </w:tc>
      </w:tr>
      <w:tr w:rsidR="00387142" w:rsidRPr="008B6A75" w14:paraId="4A13DB82" w14:textId="77777777" w:rsidTr="00387142">
        <w:trPr>
          <w:trHeight w:val="345"/>
        </w:trPr>
        <w:tc>
          <w:tcPr>
            <w:tcW w:w="3261" w:type="dxa"/>
            <w:tcBorders>
              <w:top w:val="nil"/>
              <w:left w:val="single" w:sz="4" w:space="0" w:color="auto"/>
              <w:bottom w:val="single" w:sz="4" w:space="0" w:color="auto"/>
              <w:right w:val="nil"/>
            </w:tcBorders>
            <w:shd w:val="clear" w:color="auto" w:fill="auto"/>
            <w:vAlign w:val="center"/>
            <w:hideMark/>
          </w:tcPr>
          <w:p w14:paraId="5E25889A" w14:textId="77777777" w:rsidR="00387142" w:rsidRPr="008B6A75" w:rsidRDefault="00387142" w:rsidP="00387142">
            <w:pPr>
              <w:rPr>
                <w:bCs/>
                <w:sz w:val="20"/>
                <w:szCs w:val="20"/>
              </w:rPr>
            </w:pPr>
            <w:r w:rsidRPr="008B6A75">
              <w:rPr>
                <w:bCs/>
                <w:sz w:val="20"/>
                <w:szCs w:val="20"/>
              </w:rPr>
              <w:t>Общее образование</w:t>
            </w:r>
          </w:p>
        </w:tc>
        <w:tc>
          <w:tcPr>
            <w:tcW w:w="720" w:type="dxa"/>
            <w:tcBorders>
              <w:top w:val="nil"/>
              <w:left w:val="single" w:sz="4" w:space="0" w:color="auto"/>
              <w:bottom w:val="single" w:sz="4" w:space="0" w:color="auto"/>
              <w:right w:val="nil"/>
            </w:tcBorders>
            <w:shd w:val="clear" w:color="auto" w:fill="auto"/>
            <w:noWrap/>
            <w:vAlign w:val="center"/>
            <w:hideMark/>
          </w:tcPr>
          <w:p w14:paraId="60F6582E" w14:textId="77777777" w:rsidR="00387142" w:rsidRPr="008B6A75" w:rsidRDefault="00387142" w:rsidP="00387142">
            <w:pPr>
              <w:jc w:val="center"/>
              <w:rPr>
                <w:bCs/>
                <w:sz w:val="20"/>
                <w:szCs w:val="20"/>
              </w:rPr>
            </w:pPr>
            <w:r w:rsidRPr="008B6A75">
              <w:rPr>
                <w:bCs/>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5A1CD8D" w14:textId="77777777" w:rsidR="00387142" w:rsidRPr="008B6A75" w:rsidRDefault="00387142" w:rsidP="00387142">
            <w:pPr>
              <w:jc w:val="center"/>
              <w:rPr>
                <w:bCs/>
                <w:sz w:val="20"/>
                <w:szCs w:val="20"/>
              </w:rPr>
            </w:pPr>
            <w:r w:rsidRPr="008B6A75">
              <w:rPr>
                <w:bCs/>
                <w:sz w:val="20"/>
                <w:szCs w:val="20"/>
              </w:rPr>
              <w:t>02</w:t>
            </w:r>
          </w:p>
        </w:tc>
        <w:tc>
          <w:tcPr>
            <w:tcW w:w="1516" w:type="dxa"/>
            <w:tcBorders>
              <w:top w:val="nil"/>
              <w:left w:val="single" w:sz="4" w:space="0" w:color="auto"/>
              <w:bottom w:val="single" w:sz="4" w:space="0" w:color="auto"/>
              <w:right w:val="nil"/>
            </w:tcBorders>
            <w:shd w:val="clear" w:color="auto" w:fill="auto"/>
            <w:noWrap/>
            <w:vAlign w:val="center"/>
            <w:hideMark/>
          </w:tcPr>
          <w:p w14:paraId="0B578932" w14:textId="77777777" w:rsidR="00387142" w:rsidRPr="008B6A75" w:rsidRDefault="00387142" w:rsidP="00387142">
            <w:pPr>
              <w:jc w:val="center"/>
              <w:rPr>
                <w:bCs/>
                <w:sz w:val="20"/>
                <w:szCs w:val="20"/>
              </w:rPr>
            </w:pPr>
            <w:r w:rsidRPr="008B6A75">
              <w:rPr>
                <w:bCs/>
                <w:sz w:val="20"/>
                <w:szCs w:val="20"/>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836F704"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FAF229B" w14:textId="77777777" w:rsidR="00387142" w:rsidRPr="008B6A75" w:rsidRDefault="00387142" w:rsidP="00387142">
            <w:pPr>
              <w:jc w:val="right"/>
              <w:rPr>
                <w:bCs/>
                <w:sz w:val="20"/>
                <w:szCs w:val="20"/>
              </w:rPr>
            </w:pPr>
            <w:r w:rsidRPr="008B6A75">
              <w:rPr>
                <w:bCs/>
                <w:sz w:val="20"/>
                <w:szCs w:val="20"/>
              </w:rPr>
              <w:t>1 131 808 518,26</w:t>
            </w:r>
          </w:p>
        </w:tc>
        <w:tc>
          <w:tcPr>
            <w:tcW w:w="992" w:type="dxa"/>
            <w:tcBorders>
              <w:top w:val="nil"/>
              <w:left w:val="single" w:sz="4" w:space="0" w:color="auto"/>
              <w:bottom w:val="single" w:sz="4" w:space="0" w:color="auto"/>
              <w:right w:val="nil"/>
            </w:tcBorders>
            <w:shd w:val="clear" w:color="auto" w:fill="auto"/>
            <w:vAlign w:val="center"/>
            <w:hideMark/>
          </w:tcPr>
          <w:p w14:paraId="6CCF5917" w14:textId="77777777" w:rsidR="00387142" w:rsidRPr="008B6A75" w:rsidRDefault="00387142" w:rsidP="00387142">
            <w:pPr>
              <w:jc w:val="right"/>
              <w:rPr>
                <w:bCs/>
                <w:sz w:val="20"/>
                <w:szCs w:val="20"/>
              </w:rPr>
            </w:pPr>
            <w:r w:rsidRPr="008B6A75">
              <w:rPr>
                <w:bCs/>
                <w:sz w:val="20"/>
                <w:szCs w:val="20"/>
              </w:rPr>
              <w:t>833 338 563,80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6999BDD1" w14:textId="77777777" w:rsidR="00387142" w:rsidRPr="008B6A75" w:rsidRDefault="00387142" w:rsidP="00387142">
            <w:pPr>
              <w:jc w:val="right"/>
              <w:rPr>
                <w:bCs/>
                <w:sz w:val="20"/>
                <w:szCs w:val="20"/>
              </w:rPr>
            </w:pPr>
            <w:r w:rsidRPr="008B6A75">
              <w:rPr>
                <w:bCs/>
                <w:sz w:val="20"/>
                <w:szCs w:val="20"/>
              </w:rPr>
              <w:t>808 821 956,22</w:t>
            </w:r>
          </w:p>
        </w:tc>
      </w:tr>
      <w:tr w:rsidR="00387142" w:rsidRPr="008B6A75" w14:paraId="60F23577" w14:textId="77777777" w:rsidTr="00387142">
        <w:trPr>
          <w:trHeight w:val="870"/>
        </w:trPr>
        <w:tc>
          <w:tcPr>
            <w:tcW w:w="3261" w:type="dxa"/>
            <w:tcBorders>
              <w:top w:val="nil"/>
              <w:left w:val="single" w:sz="4" w:space="0" w:color="auto"/>
              <w:bottom w:val="single" w:sz="4" w:space="0" w:color="auto"/>
              <w:right w:val="nil"/>
            </w:tcBorders>
            <w:shd w:val="clear" w:color="auto" w:fill="auto"/>
            <w:vAlign w:val="center"/>
            <w:hideMark/>
          </w:tcPr>
          <w:p w14:paraId="76D8E93C" w14:textId="77777777" w:rsidR="00387142" w:rsidRPr="008B6A75" w:rsidRDefault="00387142" w:rsidP="00387142">
            <w:pPr>
              <w:rPr>
                <w:bCs/>
                <w:sz w:val="20"/>
                <w:szCs w:val="20"/>
              </w:rPr>
            </w:pPr>
            <w:r w:rsidRPr="008B6A75">
              <w:rPr>
                <w:bCs/>
                <w:sz w:val="20"/>
                <w:szCs w:val="20"/>
              </w:rPr>
              <w:t>Муниципальная программа "Комплексное развитие сельских территорий в Куйбышевском районе"</w:t>
            </w:r>
          </w:p>
        </w:tc>
        <w:tc>
          <w:tcPr>
            <w:tcW w:w="720" w:type="dxa"/>
            <w:tcBorders>
              <w:top w:val="nil"/>
              <w:left w:val="single" w:sz="4" w:space="0" w:color="auto"/>
              <w:bottom w:val="single" w:sz="4" w:space="0" w:color="auto"/>
              <w:right w:val="nil"/>
            </w:tcBorders>
            <w:shd w:val="clear" w:color="auto" w:fill="auto"/>
            <w:noWrap/>
            <w:vAlign w:val="center"/>
            <w:hideMark/>
          </w:tcPr>
          <w:p w14:paraId="7A7888EC" w14:textId="77777777" w:rsidR="00387142" w:rsidRPr="008B6A75" w:rsidRDefault="00387142" w:rsidP="00387142">
            <w:pPr>
              <w:jc w:val="center"/>
              <w:rPr>
                <w:bCs/>
                <w:sz w:val="20"/>
                <w:szCs w:val="20"/>
              </w:rPr>
            </w:pPr>
            <w:r w:rsidRPr="008B6A75">
              <w:rPr>
                <w:bCs/>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D29B5C0" w14:textId="77777777" w:rsidR="00387142" w:rsidRPr="008B6A75" w:rsidRDefault="00387142" w:rsidP="00387142">
            <w:pPr>
              <w:jc w:val="center"/>
              <w:rPr>
                <w:bCs/>
                <w:sz w:val="20"/>
                <w:szCs w:val="20"/>
              </w:rPr>
            </w:pPr>
            <w:r w:rsidRPr="008B6A75">
              <w:rPr>
                <w:bCs/>
                <w:sz w:val="20"/>
                <w:szCs w:val="20"/>
              </w:rPr>
              <w:t>02</w:t>
            </w:r>
          </w:p>
        </w:tc>
        <w:tc>
          <w:tcPr>
            <w:tcW w:w="1516" w:type="dxa"/>
            <w:tcBorders>
              <w:top w:val="nil"/>
              <w:left w:val="single" w:sz="4" w:space="0" w:color="auto"/>
              <w:bottom w:val="single" w:sz="4" w:space="0" w:color="auto"/>
              <w:right w:val="nil"/>
            </w:tcBorders>
            <w:shd w:val="clear" w:color="auto" w:fill="auto"/>
            <w:noWrap/>
            <w:vAlign w:val="center"/>
            <w:hideMark/>
          </w:tcPr>
          <w:p w14:paraId="442E75DE" w14:textId="77777777" w:rsidR="00387142" w:rsidRPr="008B6A75" w:rsidRDefault="00387142" w:rsidP="00387142">
            <w:pPr>
              <w:jc w:val="center"/>
              <w:rPr>
                <w:bCs/>
                <w:sz w:val="20"/>
                <w:szCs w:val="20"/>
              </w:rPr>
            </w:pPr>
            <w:r w:rsidRPr="008B6A75">
              <w:rPr>
                <w:bCs/>
                <w:sz w:val="20"/>
                <w:szCs w:val="20"/>
              </w:rPr>
              <w:t>06.0.00.00000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56CADE0"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5573740" w14:textId="77777777" w:rsidR="00387142" w:rsidRPr="008B6A75" w:rsidRDefault="00387142" w:rsidP="00387142">
            <w:pPr>
              <w:jc w:val="right"/>
              <w:rPr>
                <w:bCs/>
                <w:sz w:val="20"/>
                <w:szCs w:val="20"/>
              </w:rPr>
            </w:pPr>
            <w:r w:rsidRPr="008B6A75">
              <w:rPr>
                <w:bCs/>
                <w:sz w:val="20"/>
                <w:szCs w:val="20"/>
              </w:rPr>
              <w:t>31 958 072,35</w:t>
            </w:r>
          </w:p>
        </w:tc>
        <w:tc>
          <w:tcPr>
            <w:tcW w:w="992" w:type="dxa"/>
            <w:tcBorders>
              <w:top w:val="nil"/>
              <w:left w:val="single" w:sz="4" w:space="0" w:color="auto"/>
              <w:bottom w:val="single" w:sz="4" w:space="0" w:color="auto"/>
              <w:right w:val="nil"/>
            </w:tcBorders>
            <w:shd w:val="clear" w:color="auto" w:fill="auto"/>
            <w:vAlign w:val="center"/>
            <w:hideMark/>
          </w:tcPr>
          <w:p w14:paraId="2DEF7A07" w14:textId="77777777" w:rsidR="00387142" w:rsidRPr="008B6A75" w:rsidRDefault="00387142" w:rsidP="00387142">
            <w:pPr>
              <w:jc w:val="right"/>
              <w:rPr>
                <w:bCs/>
                <w:sz w:val="20"/>
                <w:szCs w:val="20"/>
              </w:rPr>
            </w:pPr>
            <w:r w:rsidRPr="008B6A75">
              <w:rPr>
                <w:bCs/>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5729280C" w14:textId="77777777" w:rsidR="00387142" w:rsidRPr="008B6A75" w:rsidRDefault="00387142" w:rsidP="00387142">
            <w:pPr>
              <w:jc w:val="right"/>
              <w:rPr>
                <w:bCs/>
                <w:sz w:val="20"/>
                <w:szCs w:val="20"/>
              </w:rPr>
            </w:pPr>
            <w:r w:rsidRPr="008B6A75">
              <w:rPr>
                <w:bCs/>
                <w:sz w:val="20"/>
                <w:szCs w:val="20"/>
              </w:rPr>
              <w:t>0,00</w:t>
            </w:r>
          </w:p>
        </w:tc>
      </w:tr>
      <w:tr w:rsidR="00387142" w:rsidRPr="008B6A75" w14:paraId="2BECE89A" w14:textId="77777777" w:rsidTr="00387142">
        <w:trPr>
          <w:trHeight w:val="870"/>
        </w:trPr>
        <w:tc>
          <w:tcPr>
            <w:tcW w:w="3261" w:type="dxa"/>
            <w:tcBorders>
              <w:top w:val="nil"/>
              <w:left w:val="single" w:sz="4" w:space="0" w:color="auto"/>
              <w:bottom w:val="single" w:sz="4" w:space="0" w:color="auto"/>
              <w:right w:val="nil"/>
            </w:tcBorders>
            <w:shd w:val="clear" w:color="auto" w:fill="auto"/>
            <w:vAlign w:val="center"/>
            <w:hideMark/>
          </w:tcPr>
          <w:p w14:paraId="46F9FFA8" w14:textId="77777777" w:rsidR="00387142" w:rsidRPr="008B6A75" w:rsidRDefault="00387142" w:rsidP="00387142">
            <w:pPr>
              <w:rPr>
                <w:bCs/>
                <w:sz w:val="20"/>
                <w:szCs w:val="20"/>
              </w:rPr>
            </w:pPr>
            <w:r w:rsidRPr="008B6A75">
              <w:rPr>
                <w:bCs/>
                <w:sz w:val="20"/>
                <w:szCs w:val="20"/>
              </w:rPr>
              <w:t>Реализация мероприятий муниципальной программы «Комплексное развитие сельских территорий в Куйбышевском районе»</w:t>
            </w:r>
          </w:p>
        </w:tc>
        <w:tc>
          <w:tcPr>
            <w:tcW w:w="720" w:type="dxa"/>
            <w:tcBorders>
              <w:top w:val="nil"/>
              <w:left w:val="single" w:sz="4" w:space="0" w:color="auto"/>
              <w:bottom w:val="single" w:sz="4" w:space="0" w:color="auto"/>
              <w:right w:val="nil"/>
            </w:tcBorders>
            <w:shd w:val="clear" w:color="auto" w:fill="auto"/>
            <w:noWrap/>
            <w:vAlign w:val="center"/>
            <w:hideMark/>
          </w:tcPr>
          <w:p w14:paraId="7FD1994F" w14:textId="77777777" w:rsidR="00387142" w:rsidRPr="008B6A75" w:rsidRDefault="00387142" w:rsidP="00387142">
            <w:pPr>
              <w:jc w:val="center"/>
              <w:rPr>
                <w:bCs/>
                <w:sz w:val="20"/>
                <w:szCs w:val="20"/>
              </w:rPr>
            </w:pPr>
            <w:r w:rsidRPr="008B6A75">
              <w:rPr>
                <w:bCs/>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6F35E44" w14:textId="77777777" w:rsidR="00387142" w:rsidRPr="008B6A75" w:rsidRDefault="00387142" w:rsidP="00387142">
            <w:pPr>
              <w:jc w:val="center"/>
              <w:rPr>
                <w:bCs/>
                <w:sz w:val="20"/>
                <w:szCs w:val="20"/>
              </w:rPr>
            </w:pPr>
            <w:r w:rsidRPr="008B6A75">
              <w:rPr>
                <w:bCs/>
                <w:sz w:val="20"/>
                <w:szCs w:val="20"/>
              </w:rPr>
              <w:t>02</w:t>
            </w:r>
          </w:p>
        </w:tc>
        <w:tc>
          <w:tcPr>
            <w:tcW w:w="1516" w:type="dxa"/>
            <w:tcBorders>
              <w:top w:val="nil"/>
              <w:left w:val="single" w:sz="4" w:space="0" w:color="auto"/>
              <w:bottom w:val="single" w:sz="4" w:space="0" w:color="auto"/>
              <w:right w:val="nil"/>
            </w:tcBorders>
            <w:shd w:val="clear" w:color="auto" w:fill="auto"/>
            <w:noWrap/>
            <w:vAlign w:val="center"/>
            <w:hideMark/>
          </w:tcPr>
          <w:p w14:paraId="61742633" w14:textId="77777777" w:rsidR="00387142" w:rsidRPr="008B6A75" w:rsidRDefault="00387142" w:rsidP="00387142">
            <w:pPr>
              <w:jc w:val="center"/>
              <w:rPr>
                <w:bCs/>
                <w:sz w:val="20"/>
                <w:szCs w:val="20"/>
              </w:rPr>
            </w:pPr>
            <w:r w:rsidRPr="008B6A75">
              <w:rPr>
                <w:bCs/>
                <w:sz w:val="20"/>
                <w:szCs w:val="20"/>
              </w:rPr>
              <w:t>06.0.00.05956</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FEA6804"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EA5341A" w14:textId="77777777" w:rsidR="00387142" w:rsidRPr="008B6A75" w:rsidRDefault="00387142" w:rsidP="00387142">
            <w:pPr>
              <w:jc w:val="right"/>
              <w:rPr>
                <w:bCs/>
                <w:sz w:val="20"/>
                <w:szCs w:val="20"/>
              </w:rPr>
            </w:pPr>
            <w:r w:rsidRPr="008B6A75">
              <w:rPr>
                <w:bCs/>
                <w:sz w:val="20"/>
                <w:szCs w:val="20"/>
              </w:rPr>
              <w:t>135 300,00</w:t>
            </w:r>
          </w:p>
        </w:tc>
        <w:tc>
          <w:tcPr>
            <w:tcW w:w="992" w:type="dxa"/>
            <w:tcBorders>
              <w:top w:val="nil"/>
              <w:left w:val="single" w:sz="4" w:space="0" w:color="auto"/>
              <w:bottom w:val="single" w:sz="4" w:space="0" w:color="auto"/>
              <w:right w:val="nil"/>
            </w:tcBorders>
            <w:shd w:val="clear" w:color="auto" w:fill="auto"/>
            <w:vAlign w:val="center"/>
            <w:hideMark/>
          </w:tcPr>
          <w:p w14:paraId="42CC8A55" w14:textId="77777777" w:rsidR="00387142" w:rsidRPr="008B6A75" w:rsidRDefault="00387142" w:rsidP="00387142">
            <w:pPr>
              <w:jc w:val="right"/>
              <w:rPr>
                <w:bCs/>
                <w:sz w:val="20"/>
                <w:szCs w:val="20"/>
              </w:rPr>
            </w:pPr>
            <w:r w:rsidRPr="008B6A75">
              <w:rPr>
                <w:bCs/>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3BE3C442" w14:textId="77777777" w:rsidR="00387142" w:rsidRPr="008B6A75" w:rsidRDefault="00387142" w:rsidP="00387142">
            <w:pPr>
              <w:jc w:val="right"/>
              <w:rPr>
                <w:bCs/>
                <w:sz w:val="20"/>
                <w:szCs w:val="20"/>
              </w:rPr>
            </w:pPr>
            <w:r w:rsidRPr="008B6A75">
              <w:rPr>
                <w:bCs/>
                <w:sz w:val="20"/>
                <w:szCs w:val="20"/>
              </w:rPr>
              <w:t>0,00</w:t>
            </w:r>
          </w:p>
        </w:tc>
      </w:tr>
      <w:tr w:rsidR="00387142" w:rsidRPr="008B6A75" w14:paraId="5F844140" w14:textId="77777777" w:rsidTr="00387142">
        <w:trPr>
          <w:trHeight w:val="585"/>
        </w:trPr>
        <w:tc>
          <w:tcPr>
            <w:tcW w:w="3261" w:type="dxa"/>
            <w:tcBorders>
              <w:top w:val="nil"/>
              <w:left w:val="single" w:sz="4" w:space="0" w:color="auto"/>
              <w:bottom w:val="single" w:sz="4" w:space="0" w:color="auto"/>
              <w:right w:val="nil"/>
            </w:tcBorders>
            <w:shd w:val="clear" w:color="auto" w:fill="auto"/>
            <w:vAlign w:val="center"/>
            <w:hideMark/>
          </w:tcPr>
          <w:p w14:paraId="3AA42081" w14:textId="77777777" w:rsidR="00387142" w:rsidRPr="008B6A75" w:rsidRDefault="00387142" w:rsidP="00387142">
            <w:pPr>
              <w:rPr>
                <w:sz w:val="20"/>
                <w:szCs w:val="20"/>
              </w:rPr>
            </w:pPr>
            <w:r w:rsidRPr="008B6A75">
              <w:rPr>
                <w:sz w:val="20"/>
                <w:szCs w:val="20"/>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457FD66B" w14:textId="77777777" w:rsidR="00387142" w:rsidRPr="008B6A75" w:rsidRDefault="00387142" w:rsidP="00387142">
            <w:pPr>
              <w:jc w:val="center"/>
              <w:rPr>
                <w:sz w:val="20"/>
                <w:szCs w:val="20"/>
              </w:rPr>
            </w:pPr>
            <w:r w:rsidRPr="008B6A75">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451B3BE" w14:textId="77777777" w:rsidR="00387142" w:rsidRPr="008B6A75" w:rsidRDefault="00387142" w:rsidP="00387142">
            <w:pPr>
              <w:jc w:val="center"/>
              <w:rPr>
                <w:sz w:val="20"/>
                <w:szCs w:val="20"/>
              </w:rPr>
            </w:pPr>
            <w:r w:rsidRPr="008B6A75">
              <w:rPr>
                <w:sz w:val="20"/>
                <w:szCs w:val="20"/>
              </w:rPr>
              <w:t>02</w:t>
            </w:r>
          </w:p>
        </w:tc>
        <w:tc>
          <w:tcPr>
            <w:tcW w:w="1516" w:type="dxa"/>
            <w:tcBorders>
              <w:top w:val="nil"/>
              <w:left w:val="single" w:sz="4" w:space="0" w:color="auto"/>
              <w:bottom w:val="single" w:sz="4" w:space="0" w:color="auto"/>
              <w:right w:val="nil"/>
            </w:tcBorders>
            <w:shd w:val="clear" w:color="auto" w:fill="auto"/>
            <w:noWrap/>
            <w:vAlign w:val="center"/>
            <w:hideMark/>
          </w:tcPr>
          <w:p w14:paraId="5D6956F0" w14:textId="77777777" w:rsidR="00387142" w:rsidRPr="008B6A75" w:rsidRDefault="00387142" w:rsidP="00387142">
            <w:pPr>
              <w:jc w:val="center"/>
              <w:rPr>
                <w:sz w:val="20"/>
                <w:szCs w:val="20"/>
              </w:rPr>
            </w:pPr>
            <w:r w:rsidRPr="008B6A75">
              <w:rPr>
                <w:sz w:val="20"/>
                <w:szCs w:val="20"/>
              </w:rPr>
              <w:t>06.0.00.05956</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D392A01" w14:textId="77777777" w:rsidR="00387142" w:rsidRPr="008B6A75" w:rsidRDefault="00387142" w:rsidP="00387142">
            <w:pPr>
              <w:jc w:val="center"/>
              <w:rPr>
                <w:sz w:val="20"/>
                <w:szCs w:val="20"/>
              </w:rPr>
            </w:pPr>
            <w:r w:rsidRPr="008B6A75">
              <w:rPr>
                <w:sz w:val="20"/>
                <w:szCs w:val="20"/>
              </w:rPr>
              <w:t>200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50D22A9" w14:textId="77777777" w:rsidR="00387142" w:rsidRPr="008B6A75" w:rsidRDefault="00387142" w:rsidP="00387142">
            <w:pPr>
              <w:jc w:val="right"/>
              <w:rPr>
                <w:sz w:val="20"/>
                <w:szCs w:val="20"/>
              </w:rPr>
            </w:pPr>
            <w:r w:rsidRPr="008B6A75">
              <w:rPr>
                <w:sz w:val="20"/>
                <w:szCs w:val="20"/>
              </w:rPr>
              <w:t>135 300,00</w:t>
            </w:r>
          </w:p>
        </w:tc>
        <w:tc>
          <w:tcPr>
            <w:tcW w:w="992" w:type="dxa"/>
            <w:tcBorders>
              <w:top w:val="nil"/>
              <w:left w:val="single" w:sz="4" w:space="0" w:color="auto"/>
              <w:bottom w:val="single" w:sz="4" w:space="0" w:color="auto"/>
              <w:right w:val="nil"/>
            </w:tcBorders>
            <w:shd w:val="clear" w:color="auto" w:fill="auto"/>
            <w:vAlign w:val="center"/>
            <w:hideMark/>
          </w:tcPr>
          <w:p w14:paraId="63F76D02" w14:textId="77777777" w:rsidR="00387142" w:rsidRPr="008B6A75" w:rsidRDefault="00387142" w:rsidP="00387142">
            <w:pPr>
              <w:jc w:val="right"/>
              <w:rPr>
                <w:sz w:val="20"/>
                <w:szCs w:val="20"/>
              </w:rPr>
            </w:pPr>
            <w:r w:rsidRPr="008B6A75">
              <w:rPr>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261DC7BC" w14:textId="77777777" w:rsidR="00387142" w:rsidRPr="008B6A75" w:rsidRDefault="00387142" w:rsidP="00387142">
            <w:pPr>
              <w:jc w:val="right"/>
              <w:rPr>
                <w:sz w:val="20"/>
                <w:szCs w:val="20"/>
              </w:rPr>
            </w:pPr>
            <w:r w:rsidRPr="008B6A75">
              <w:rPr>
                <w:sz w:val="20"/>
                <w:szCs w:val="20"/>
              </w:rPr>
              <w:t>0,00</w:t>
            </w:r>
          </w:p>
        </w:tc>
      </w:tr>
      <w:tr w:rsidR="00387142" w:rsidRPr="008B6A75" w14:paraId="2943F9EB" w14:textId="77777777" w:rsidTr="00387142">
        <w:trPr>
          <w:trHeight w:val="870"/>
        </w:trPr>
        <w:tc>
          <w:tcPr>
            <w:tcW w:w="3261" w:type="dxa"/>
            <w:tcBorders>
              <w:top w:val="nil"/>
              <w:left w:val="single" w:sz="4" w:space="0" w:color="auto"/>
              <w:bottom w:val="single" w:sz="4" w:space="0" w:color="auto"/>
              <w:right w:val="nil"/>
            </w:tcBorders>
            <w:shd w:val="clear" w:color="auto" w:fill="auto"/>
            <w:vAlign w:val="center"/>
            <w:hideMark/>
          </w:tcPr>
          <w:p w14:paraId="6FC818CD" w14:textId="77777777" w:rsidR="00387142" w:rsidRPr="008B6A75" w:rsidRDefault="00387142" w:rsidP="00387142">
            <w:pPr>
              <w:rPr>
                <w:sz w:val="20"/>
                <w:szCs w:val="20"/>
              </w:rPr>
            </w:pPr>
            <w:r w:rsidRPr="008B6A75">
              <w:rPr>
                <w:sz w:val="20"/>
                <w:szCs w:val="20"/>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6A6C6788" w14:textId="77777777" w:rsidR="00387142" w:rsidRPr="008B6A75" w:rsidRDefault="00387142" w:rsidP="00387142">
            <w:pPr>
              <w:jc w:val="center"/>
              <w:rPr>
                <w:sz w:val="20"/>
                <w:szCs w:val="20"/>
              </w:rPr>
            </w:pPr>
            <w:r w:rsidRPr="008B6A75">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BCCBE5F" w14:textId="77777777" w:rsidR="00387142" w:rsidRPr="008B6A75" w:rsidRDefault="00387142" w:rsidP="00387142">
            <w:pPr>
              <w:jc w:val="center"/>
              <w:rPr>
                <w:sz w:val="20"/>
                <w:szCs w:val="20"/>
              </w:rPr>
            </w:pPr>
            <w:r w:rsidRPr="008B6A75">
              <w:rPr>
                <w:sz w:val="20"/>
                <w:szCs w:val="20"/>
              </w:rPr>
              <w:t>02</w:t>
            </w:r>
          </w:p>
        </w:tc>
        <w:tc>
          <w:tcPr>
            <w:tcW w:w="1516" w:type="dxa"/>
            <w:tcBorders>
              <w:top w:val="nil"/>
              <w:left w:val="single" w:sz="4" w:space="0" w:color="auto"/>
              <w:bottom w:val="single" w:sz="4" w:space="0" w:color="auto"/>
              <w:right w:val="nil"/>
            </w:tcBorders>
            <w:shd w:val="clear" w:color="auto" w:fill="auto"/>
            <w:noWrap/>
            <w:vAlign w:val="center"/>
            <w:hideMark/>
          </w:tcPr>
          <w:p w14:paraId="58B026EA" w14:textId="77777777" w:rsidR="00387142" w:rsidRPr="008B6A75" w:rsidRDefault="00387142" w:rsidP="00387142">
            <w:pPr>
              <w:jc w:val="center"/>
              <w:rPr>
                <w:sz w:val="20"/>
                <w:szCs w:val="20"/>
              </w:rPr>
            </w:pPr>
            <w:r w:rsidRPr="008B6A75">
              <w:rPr>
                <w:sz w:val="20"/>
                <w:szCs w:val="20"/>
              </w:rPr>
              <w:t>06.0.00.05956</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8D1C821" w14:textId="77777777" w:rsidR="00387142" w:rsidRPr="008B6A75" w:rsidRDefault="00387142" w:rsidP="00387142">
            <w:pPr>
              <w:jc w:val="center"/>
              <w:rPr>
                <w:sz w:val="20"/>
                <w:szCs w:val="20"/>
              </w:rPr>
            </w:pPr>
            <w:r w:rsidRPr="008B6A75">
              <w:rPr>
                <w:sz w:val="20"/>
                <w:szCs w:val="20"/>
              </w:rPr>
              <w:t>240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2F79420" w14:textId="77777777" w:rsidR="00387142" w:rsidRPr="008B6A75" w:rsidRDefault="00387142" w:rsidP="00387142">
            <w:pPr>
              <w:jc w:val="right"/>
              <w:rPr>
                <w:sz w:val="20"/>
                <w:szCs w:val="20"/>
              </w:rPr>
            </w:pPr>
            <w:r w:rsidRPr="008B6A75">
              <w:rPr>
                <w:sz w:val="20"/>
                <w:szCs w:val="20"/>
              </w:rPr>
              <w:t>135 300,00</w:t>
            </w:r>
          </w:p>
        </w:tc>
        <w:tc>
          <w:tcPr>
            <w:tcW w:w="992" w:type="dxa"/>
            <w:tcBorders>
              <w:top w:val="nil"/>
              <w:left w:val="single" w:sz="4" w:space="0" w:color="auto"/>
              <w:bottom w:val="single" w:sz="4" w:space="0" w:color="auto"/>
              <w:right w:val="nil"/>
            </w:tcBorders>
            <w:shd w:val="clear" w:color="auto" w:fill="auto"/>
            <w:vAlign w:val="center"/>
            <w:hideMark/>
          </w:tcPr>
          <w:p w14:paraId="0EFA461A" w14:textId="77777777" w:rsidR="00387142" w:rsidRPr="008B6A75" w:rsidRDefault="00387142" w:rsidP="00387142">
            <w:pPr>
              <w:jc w:val="right"/>
              <w:rPr>
                <w:sz w:val="20"/>
                <w:szCs w:val="20"/>
              </w:rPr>
            </w:pPr>
            <w:r w:rsidRPr="008B6A75">
              <w:rPr>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326008F2" w14:textId="77777777" w:rsidR="00387142" w:rsidRPr="008B6A75" w:rsidRDefault="00387142" w:rsidP="00387142">
            <w:pPr>
              <w:jc w:val="right"/>
              <w:rPr>
                <w:sz w:val="20"/>
                <w:szCs w:val="20"/>
              </w:rPr>
            </w:pPr>
            <w:r w:rsidRPr="008B6A75">
              <w:rPr>
                <w:sz w:val="20"/>
                <w:szCs w:val="20"/>
              </w:rPr>
              <w:t>0,00</w:t>
            </w:r>
          </w:p>
        </w:tc>
      </w:tr>
      <w:tr w:rsidR="00387142" w:rsidRPr="008B6A75" w14:paraId="2FEF0E9D" w14:textId="77777777" w:rsidTr="00387142">
        <w:trPr>
          <w:trHeight w:val="2295"/>
        </w:trPr>
        <w:tc>
          <w:tcPr>
            <w:tcW w:w="3261" w:type="dxa"/>
            <w:tcBorders>
              <w:top w:val="nil"/>
              <w:left w:val="single" w:sz="4" w:space="0" w:color="auto"/>
              <w:bottom w:val="single" w:sz="4" w:space="0" w:color="auto"/>
              <w:right w:val="nil"/>
            </w:tcBorders>
            <w:shd w:val="clear" w:color="auto" w:fill="auto"/>
            <w:vAlign w:val="center"/>
            <w:hideMark/>
          </w:tcPr>
          <w:p w14:paraId="2FD76338" w14:textId="77777777" w:rsidR="00387142" w:rsidRPr="008B6A75" w:rsidRDefault="00387142" w:rsidP="00387142">
            <w:pPr>
              <w:rPr>
                <w:bCs/>
                <w:sz w:val="20"/>
                <w:szCs w:val="20"/>
              </w:rPr>
            </w:pPr>
            <w:r w:rsidRPr="008B6A75">
              <w:rPr>
                <w:bCs/>
                <w:sz w:val="20"/>
                <w:szCs w:val="20"/>
              </w:rPr>
              <w:lastRenderedPageBreak/>
              <w:t>Обеспечение комплексного развития сельских территорий (формирование современного облика сельских территорий, направленных на создание и развитие инфраструктуры в сельской местности), государственной программы Новосибирской области "Комплексное развитие сельских территорий в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14:paraId="750633AE" w14:textId="77777777" w:rsidR="00387142" w:rsidRPr="008B6A75" w:rsidRDefault="00387142" w:rsidP="00387142">
            <w:pPr>
              <w:jc w:val="center"/>
              <w:rPr>
                <w:bCs/>
                <w:sz w:val="20"/>
                <w:szCs w:val="20"/>
              </w:rPr>
            </w:pPr>
            <w:r w:rsidRPr="008B6A75">
              <w:rPr>
                <w:bCs/>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9F9A056" w14:textId="77777777" w:rsidR="00387142" w:rsidRPr="008B6A75" w:rsidRDefault="00387142" w:rsidP="00387142">
            <w:pPr>
              <w:jc w:val="center"/>
              <w:rPr>
                <w:bCs/>
                <w:sz w:val="20"/>
                <w:szCs w:val="20"/>
              </w:rPr>
            </w:pPr>
            <w:r w:rsidRPr="008B6A75">
              <w:rPr>
                <w:bCs/>
                <w:sz w:val="20"/>
                <w:szCs w:val="20"/>
              </w:rPr>
              <w:t>02</w:t>
            </w:r>
          </w:p>
        </w:tc>
        <w:tc>
          <w:tcPr>
            <w:tcW w:w="1516" w:type="dxa"/>
            <w:tcBorders>
              <w:top w:val="nil"/>
              <w:left w:val="single" w:sz="4" w:space="0" w:color="auto"/>
              <w:bottom w:val="single" w:sz="4" w:space="0" w:color="auto"/>
              <w:right w:val="nil"/>
            </w:tcBorders>
            <w:shd w:val="clear" w:color="auto" w:fill="auto"/>
            <w:noWrap/>
            <w:vAlign w:val="center"/>
            <w:hideMark/>
          </w:tcPr>
          <w:p w14:paraId="4888BC1D" w14:textId="77777777" w:rsidR="00387142" w:rsidRPr="008B6A75" w:rsidRDefault="00387142" w:rsidP="00387142">
            <w:pPr>
              <w:jc w:val="center"/>
              <w:rPr>
                <w:bCs/>
                <w:sz w:val="20"/>
                <w:szCs w:val="20"/>
              </w:rPr>
            </w:pPr>
            <w:r w:rsidRPr="008B6A75">
              <w:rPr>
                <w:bCs/>
                <w:sz w:val="20"/>
                <w:szCs w:val="20"/>
              </w:rPr>
              <w:t>06.0.00.L5766</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0A57934"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727A379" w14:textId="77777777" w:rsidR="00387142" w:rsidRPr="008B6A75" w:rsidRDefault="00387142" w:rsidP="00387142">
            <w:pPr>
              <w:jc w:val="right"/>
              <w:rPr>
                <w:bCs/>
                <w:sz w:val="20"/>
                <w:szCs w:val="20"/>
              </w:rPr>
            </w:pPr>
            <w:r w:rsidRPr="008B6A75">
              <w:rPr>
                <w:bCs/>
                <w:sz w:val="20"/>
                <w:szCs w:val="20"/>
              </w:rPr>
              <w:t>26 917 672,35</w:t>
            </w:r>
          </w:p>
        </w:tc>
        <w:tc>
          <w:tcPr>
            <w:tcW w:w="992" w:type="dxa"/>
            <w:tcBorders>
              <w:top w:val="nil"/>
              <w:left w:val="single" w:sz="4" w:space="0" w:color="auto"/>
              <w:bottom w:val="single" w:sz="4" w:space="0" w:color="auto"/>
              <w:right w:val="nil"/>
            </w:tcBorders>
            <w:shd w:val="clear" w:color="auto" w:fill="auto"/>
            <w:vAlign w:val="center"/>
            <w:hideMark/>
          </w:tcPr>
          <w:p w14:paraId="36B71BCB" w14:textId="77777777" w:rsidR="00387142" w:rsidRPr="008B6A75" w:rsidRDefault="00387142" w:rsidP="00387142">
            <w:pPr>
              <w:jc w:val="right"/>
              <w:rPr>
                <w:bCs/>
                <w:sz w:val="20"/>
                <w:szCs w:val="20"/>
              </w:rPr>
            </w:pPr>
            <w:r w:rsidRPr="008B6A75">
              <w:rPr>
                <w:bCs/>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29B2157C" w14:textId="77777777" w:rsidR="00387142" w:rsidRPr="008B6A75" w:rsidRDefault="00387142" w:rsidP="00387142">
            <w:pPr>
              <w:jc w:val="right"/>
              <w:rPr>
                <w:bCs/>
                <w:sz w:val="20"/>
                <w:szCs w:val="20"/>
              </w:rPr>
            </w:pPr>
            <w:r w:rsidRPr="008B6A75">
              <w:rPr>
                <w:bCs/>
                <w:sz w:val="20"/>
                <w:szCs w:val="20"/>
              </w:rPr>
              <w:t>0,00</w:t>
            </w:r>
          </w:p>
        </w:tc>
      </w:tr>
      <w:tr w:rsidR="00387142" w:rsidRPr="008B6A75" w14:paraId="0DE136D3" w14:textId="77777777" w:rsidTr="00387142">
        <w:trPr>
          <w:trHeight w:val="585"/>
        </w:trPr>
        <w:tc>
          <w:tcPr>
            <w:tcW w:w="3261" w:type="dxa"/>
            <w:tcBorders>
              <w:top w:val="nil"/>
              <w:left w:val="single" w:sz="4" w:space="0" w:color="auto"/>
              <w:bottom w:val="single" w:sz="4" w:space="0" w:color="auto"/>
              <w:right w:val="nil"/>
            </w:tcBorders>
            <w:shd w:val="clear" w:color="auto" w:fill="auto"/>
            <w:vAlign w:val="center"/>
            <w:hideMark/>
          </w:tcPr>
          <w:p w14:paraId="01106B57" w14:textId="77777777" w:rsidR="00387142" w:rsidRPr="008B6A75" w:rsidRDefault="00387142" w:rsidP="00387142">
            <w:pPr>
              <w:rPr>
                <w:sz w:val="20"/>
                <w:szCs w:val="20"/>
              </w:rPr>
            </w:pPr>
            <w:r w:rsidRPr="008B6A75">
              <w:rPr>
                <w:sz w:val="20"/>
                <w:szCs w:val="20"/>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6DF294F6" w14:textId="77777777" w:rsidR="00387142" w:rsidRPr="008B6A75" w:rsidRDefault="00387142" w:rsidP="00387142">
            <w:pPr>
              <w:jc w:val="center"/>
              <w:rPr>
                <w:sz w:val="20"/>
                <w:szCs w:val="20"/>
              </w:rPr>
            </w:pPr>
            <w:r w:rsidRPr="008B6A75">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E498F97" w14:textId="77777777" w:rsidR="00387142" w:rsidRPr="008B6A75" w:rsidRDefault="00387142" w:rsidP="00387142">
            <w:pPr>
              <w:jc w:val="center"/>
              <w:rPr>
                <w:sz w:val="20"/>
                <w:szCs w:val="20"/>
              </w:rPr>
            </w:pPr>
            <w:r w:rsidRPr="008B6A75">
              <w:rPr>
                <w:sz w:val="20"/>
                <w:szCs w:val="20"/>
              </w:rPr>
              <w:t>02</w:t>
            </w:r>
          </w:p>
        </w:tc>
        <w:tc>
          <w:tcPr>
            <w:tcW w:w="1516" w:type="dxa"/>
            <w:tcBorders>
              <w:top w:val="nil"/>
              <w:left w:val="single" w:sz="4" w:space="0" w:color="auto"/>
              <w:bottom w:val="single" w:sz="4" w:space="0" w:color="auto"/>
              <w:right w:val="nil"/>
            </w:tcBorders>
            <w:shd w:val="clear" w:color="auto" w:fill="auto"/>
            <w:noWrap/>
            <w:vAlign w:val="center"/>
            <w:hideMark/>
          </w:tcPr>
          <w:p w14:paraId="37165A5D" w14:textId="77777777" w:rsidR="00387142" w:rsidRPr="008B6A75" w:rsidRDefault="00387142" w:rsidP="00387142">
            <w:pPr>
              <w:jc w:val="center"/>
              <w:rPr>
                <w:sz w:val="20"/>
                <w:szCs w:val="20"/>
              </w:rPr>
            </w:pPr>
            <w:r w:rsidRPr="008B6A75">
              <w:rPr>
                <w:sz w:val="20"/>
                <w:szCs w:val="20"/>
              </w:rPr>
              <w:t>06.0.00.L5766</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F9578B3" w14:textId="77777777" w:rsidR="00387142" w:rsidRPr="008B6A75" w:rsidRDefault="00387142" w:rsidP="00387142">
            <w:pPr>
              <w:jc w:val="center"/>
              <w:rPr>
                <w:sz w:val="20"/>
                <w:szCs w:val="20"/>
              </w:rPr>
            </w:pPr>
            <w:r w:rsidRPr="008B6A75">
              <w:rPr>
                <w:sz w:val="20"/>
                <w:szCs w:val="20"/>
              </w:rPr>
              <w:t>200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4445FD7" w14:textId="77777777" w:rsidR="00387142" w:rsidRPr="008B6A75" w:rsidRDefault="00387142" w:rsidP="00387142">
            <w:pPr>
              <w:jc w:val="right"/>
              <w:rPr>
                <w:sz w:val="20"/>
                <w:szCs w:val="20"/>
              </w:rPr>
            </w:pPr>
            <w:r w:rsidRPr="008B6A75">
              <w:rPr>
                <w:sz w:val="20"/>
                <w:szCs w:val="20"/>
              </w:rPr>
              <w:t>26 917 672,35</w:t>
            </w:r>
          </w:p>
        </w:tc>
        <w:tc>
          <w:tcPr>
            <w:tcW w:w="992" w:type="dxa"/>
            <w:tcBorders>
              <w:top w:val="nil"/>
              <w:left w:val="single" w:sz="4" w:space="0" w:color="auto"/>
              <w:bottom w:val="single" w:sz="4" w:space="0" w:color="auto"/>
              <w:right w:val="nil"/>
            </w:tcBorders>
            <w:shd w:val="clear" w:color="auto" w:fill="auto"/>
            <w:vAlign w:val="center"/>
            <w:hideMark/>
          </w:tcPr>
          <w:p w14:paraId="5E1D9BD6" w14:textId="77777777" w:rsidR="00387142" w:rsidRPr="008B6A75" w:rsidRDefault="00387142" w:rsidP="00387142">
            <w:pPr>
              <w:jc w:val="right"/>
              <w:rPr>
                <w:sz w:val="20"/>
                <w:szCs w:val="20"/>
              </w:rPr>
            </w:pPr>
            <w:r w:rsidRPr="008B6A75">
              <w:rPr>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30F04DB0" w14:textId="77777777" w:rsidR="00387142" w:rsidRPr="008B6A75" w:rsidRDefault="00387142" w:rsidP="00387142">
            <w:pPr>
              <w:jc w:val="right"/>
              <w:rPr>
                <w:sz w:val="20"/>
                <w:szCs w:val="20"/>
              </w:rPr>
            </w:pPr>
            <w:r w:rsidRPr="008B6A75">
              <w:rPr>
                <w:sz w:val="20"/>
                <w:szCs w:val="20"/>
              </w:rPr>
              <w:t>0,00</w:t>
            </w:r>
          </w:p>
        </w:tc>
      </w:tr>
      <w:tr w:rsidR="00387142" w:rsidRPr="008B6A75" w14:paraId="550820C2" w14:textId="77777777" w:rsidTr="00387142">
        <w:trPr>
          <w:trHeight w:val="870"/>
        </w:trPr>
        <w:tc>
          <w:tcPr>
            <w:tcW w:w="3261" w:type="dxa"/>
            <w:tcBorders>
              <w:top w:val="nil"/>
              <w:left w:val="single" w:sz="4" w:space="0" w:color="auto"/>
              <w:bottom w:val="single" w:sz="4" w:space="0" w:color="auto"/>
              <w:right w:val="nil"/>
            </w:tcBorders>
            <w:shd w:val="clear" w:color="auto" w:fill="auto"/>
            <w:vAlign w:val="center"/>
            <w:hideMark/>
          </w:tcPr>
          <w:p w14:paraId="140106FC" w14:textId="77777777" w:rsidR="00387142" w:rsidRPr="008B6A75" w:rsidRDefault="00387142" w:rsidP="00387142">
            <w:pPr>
              <w:rPr>
                <w:sz w:val="20"/>
                <w:szCs w:val="20"/>
              </w:rPr>
            </w:pPr>
            <w:r w:rsidRPr="008B6A75">
              <w:rPr>
                <w:sz w:val="20"/>
                <w:szCs w:val="20"/>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0675AC38" w14:textId="77777777" w:rsidR="00387142" w:rsidRPr="008B6A75" w:rsidRDefault="00387142" w:rsidP="00387142">
            <w:pPr>
              <w:jc w:val="center"/>
              <w:rPr>
                <w:sz w:val="20"/>
                <w:szCs w:val="20"/>
              </w:rPr>
            </w:pPr>
            <w:r w:rsidRPr="008B6A75">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B5C9C6F" w14:textId="77777777" w:rsidR="00387142" w:rsidRPr="008B6A75" w:rsidRDefault="00387142" w:rsidP="00387142">
            <w:pPr>
              <w:jc w:val="center"/>
              <w:rPr>
                <w:sz w:val="20"/>
                <w:szCs w:val="20"/>
              </w:rPr>
            </w:pPr>
            <w:r w:rsidRPr="008B6A75">
              <w:rPr>
                <w:sz w:val="20"/>
                <w:szCs w:val="20"/>
              </w:rPr>
              <w:t>02</w:t>
            </w:r>
          </w:p>
        </w:tc>
        <w:tc>
          <w:tcPr>
            <w:tcW w:w="1516" w:type="dxa"/>
            <w:tcBorders>
              <w:top w:val="nil"/>
              <w:left w:val="single" w:sz="4" w:space="0" w:color="auto"/>
              <w:bottom w:val="single" w:sz="4" w:space="0" w:color="auto"/>
              <w:right w:val="nil"/>
            </w:tcBorders>
            <w:shd w:val="clear" w:color="auto" w:fill="auto"/>
            <w:noWrap/>
            <w:vAlign w:val="center"/>
            <w:hideMark/>
          </w:tcPr>
          <w:p w14:paraId="5AEA4216" w14:textId="77777777" w:rsidR="00387142" w:rsidRPr="008B6A75" w:rsidRDefault="00387142" w:rsidP="00387142">
            <w:pPr>
              <w:jc w:val="center"/>
              <w:rPr>
                <w:sz w:val="20"/>
                <w:szCs w:val="20"/>
              </w:rPr>
            </w:pPr>
            <w:r w:rsidRPr="008B6A75">
              <w:rPr>
                <w:sz w:val="20"/>
                <w:szCs w:val="20"/>
              </w:rPr>
              <w:t>06.0.00.L5766</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7F63841" w14:textId="77777777" w:rsidR="00387142" w:rsidRPr="008B6A75" w:rsidRDefault="00387142" w:rsidP="00387142">
            <w:pPr>
              <w:jc w:val="center"/>
              <w:rPr>
                <w:sz w:val="20"/>
                <w:szCs w:val="20"/>
              </w:rPr>
            </w:pPr>
            <w:r w:rsidRPr="008B6A75">
              <w:rPr>
                <w:sz w:val="20"/>
                <w:szCs w:val="20"/>
              </w:rPr>
              <w:t>240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BD915E3" w14:textId="77777777" w:rsidR="00387142" w:rsidRPr="008B6A75" w:rsidRDefault="00387142" w:rsidP="00387142">
            <w:pPr>
              <w:jc w:val="right"/>
              <w:rPr>
                <w:sz w:val="20"/>
                <w:szCs w:val="20"/>
              </w:rPr>
            </w:pPr>
            <w:r w:rsidRPr="008B6A75">
              <w:rPr>
                <w:sz w:val="20"/>
                <w:szCs w:val="20"/>
              </w:rPr>
              <w:t>26 917 672,35</w:t>
            </w:r>
          </w:p>
        </w:tc>
        <w:tc>
          <w:tcPr>
            <w:tcW w:w="992" w:type="dxa"/>
            <w:tcBorders>
              <w:top w:val="nil"/>
              <w:left w:val="single" w:sz="4" w:space="0" w:color="auto"/>
              <w:bottom w:val="single" w:sz="4" w:space="0" w:color="auto"/>
              <w:right w:val="nil"/>
            </w:tcBorders>
            <w:shd w:val="clear" w:color="auto" w:fill="auto"/>
            <w:vAlign w:val="center"/>
            <w:hideMark/>
          </w:tcPr>
          <w:p w14:paraId="0229A479" w14:textId="77777777" w:rsidR="00387142" w:rsidRPr="008B6A75" w:rsidRDefault="00387142" w:rsidP="00387142">
            <w:pPr>
              <w:jc w:val="right"/>
              <w:rPr>
                <w:sz w:val="20"/>
                <w:szCs w:val="20"/>
              </w:rPr>
            </w:pPr>
            <w:r w:rsidRPr="008B6A75">
              <w:rPr>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129764F1" w14:textId="77777777" w:rsidR="00387142" w:rsidRPr="008B6A75" w:rsidRDefault="00387142" w:rsidP="00387142">
            <w:pPr>
              <w:jc w:val="right"/>
              <w:rPr>
                <w:sz w:val="20"/>
                <w:szCs w:val="20"/>
              </w:rPr>
            </w:pPr>
            <w:r w:rsidRPr="008B6A75">
              <w:rPr>
                <w:sz w:val="20"/>
                <w:szCs w:val="20"/>
              </w:rPr>
              <w:t>0,00</w:t>
            </w:r>
          </w:p>
        </w:tc>
      </w:tr>
      <w:tr w:rsidR="00387142" w:rsidRPr="008B6A75" w14:paraId="30189DEE" w14:textId="77777777" w:rsidTr="00387142">
        <w:trPr>
          <w:trHeight w:val="2295"/>
        </w:trPr>
        <w:tc>
          <w:tcPr>
            <w:tcW w:w="3261" w:type="dxa"/>
            <w:tcBorders>
              <w:top w:val="nil"/>
              <w:left w:val="single" w:sz="4" w:space="0" w:color="auto"/>
              <w:bottom w:val="single" w:sz="4" w:space="0" w:color="auto"/>
              <w:right w:val="nil"/>
            </w:tcBorders>
            <w:shd w:val="clear" w:color="auto" w:fill="auto"/>
            <w:vAlign w:val="center"/>
            <w:hideMark/>
          </w:tcPr>
          <w:p w14:paraId="33DD8D97" w14:textId="77777777" w:rsidR="00387142" w:rsidRPr="008B6A75" w:rsidRDefault="00387142" w:rsidP="00387142">
            <w:pPr>
              <w:rPr>
                <w:bCs/>
                <w:sz w:val="20"/>
                <w:szCs w:val="20"/>
              </w:rPr>
            </w:pPr>
            <w:r w:rsidRPr="008B6A75">
              <w:rPr>
                <w:bCs/>
                <w:sz w:val="20"/>
                <w:szCs w:val="20"/>
              </w:rPr>
              <w:t xml:space="preserve">Реализация проектов комплексного развития сельских </w:t>
            </w:r>
            <w:proofErr w:type="spellStart"/>
            <w:r w:rsidRPr="008B6A75">
              <w:rPr>
                <w:bCs/>
                <w:sz w:val="20"/>
                <w:szCs w:val="20"/>
              </w:rPr>
              <w:t>територий</w:t>
            </w:r>
            <w:proofErr w:type="spellEnd"/>
            <w:r w:rsidRPr="008B6A75">
              <w:rPr>
                <w:bCs/>
                <w:sz w:val="20"/>
                <w:szCs w:val="20"/>
              </w:rPr>
              <w:t xml:space="preserve"> ведомственного проекта «Современный облик сельских территорий» за счет средств резервного фонда Правительства Российской Федерации государственной программы Новосибирской области «Комплексное развитие сельских территорий в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14:paraId="558DAEE6" w14:textId="77777777" w:rsidR="00387142" w:rsidRPr="008B6A75" w:rsidRDefault="00387142" w:rsidP="00387142">
            <w:pPr>
              <w:jc w:val="center"/>
              <w:rPr>
                <w:bCs/>
                <w:sz w:val="20"/>
                <w:szCs w:val="20"/>
              </w:rPr>
            </w:pPr>
            <w:r w:rsidRPr="008B6A75">
              <w:rPr>
                <w:bCs/>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77B8D9D" w14:textId="77777777" w:rsidR="00387142" w:rsidRPr="008B6A75" w:rsidRDefault="00387142" w:rsidP="00387142">
            <w:pPr>
              <w:jc w:val="center"/>
              <w:rPr>
                <w:bCs/>
                <w:sz w:val="20"/>
                <w:szCs w:val="20"/>
              </w:rPr>
            </w:pPr>
            <w:r w:rsidRPr="008B6A75">
              <w:rPr>
                <w:bCs/>
                <w:sz w:val="20"/>
                <w:szCs w:val="20"/>
              </w:rPr>
              <w:t>02</w:t>
            </w:r>
          </w:p>
        </w:tc>
        <w:tc>
          <w:tcPr>
            <w:tcW w:w="1516" w:type="dxa"/>
            <w:tcBorders>
              <w:top w:val="nil"/>
              <w:left w:val="single" w:sz="4" w:space="0" w:color="auto"/>
              <w:bottom w:val="single" w:sz="4" w:space="0" w:color="auto"/>
              <w:right w:val="nil"/>
            </w:tcBorders>
            <w:shd w:val="clear" w:color="auto" w:fill="auto"/>
            <w:noWrap/>
            <w:vAlign w:val="center"/>
            <w:hideMark/>
          </w:tcPr>
          <w:p w14:paraId="19F494A2" w14:textId="77777777" w:rsidR="00387142" w:rsidRPr="008B6A75" w:rsidRDefault="00387142" w:rsidP="00387142">
            <w:pPr>
              <w:jc w:val="center"/>
              <w:rPr>
                <w:bCs/>
                <w:sz w:val="20"/>
                <w:szCs w:val="20"/>
              </w:rPr>
            </w:pPr>
            <w:r w:rsidRPr="008B6A75">
              <w:rPr>
                <w:bCs/>
                <w:sz w:val="20"/>
                <w:szCs w:val="20"/>
              </w:rPr>
              <w:t>06.0.00.L6350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6F6C119"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35AC967" w14:textId="77777777" w:rsidR="00387142" w:rsidRPr="008B6A75" w:rsidRDefault="00387142" w:rsidP="00387142">
            <w:pPr>
              <w:jc w:val="right"/>
              <w:rPr>
                <w:bCs/>
                <w:sz w:val="20"/>
                <w:szCs w:val="20"/>
              </w:rPr>
            </w:pPr>
            <w:r w:rsidRPr="008B6A75">
              <w:rPr>
                <w:bCs/>
                <w:sz w:val="20"/>
                <w:szCs w:val="20"/>
              </w:rPr>
              <w:t>4 905 100,00</w:t>
            </w:r>
          </w:p>
        </w:tc>
        <w:tc>
          <w:tcPr>
            <w:tcW w:w="992" w:type="dxa"/>
            <w:tcBorders>
              <w:top w:val="nil"/>
              <w:left w:val="single" w:sz="4" w:space="0" w:color="auto"/>
              <w:bottom w:val="single" w:sz="4" w:space="0" w:color="auto"/>
              <w:right w:val="nil"/>
            </w:tcBorders>
            <w:shd w:val="clear" w:color="auto" w:fill="auto"/>
            <w:vAlign w:val="center"/>
            <w:hideMark/>
          </w:tcPr>
          <w:p w14:paraId="5CED4EC8" w14:textId="77777777" w:rsidR="00387142" w:rsidRPr="008B6A75" w:rsidRDefault="00387142" w:rsidP="00387142">
            <w:pPr>
              <w:jc w:val="right"/>
              <w:rPr>
                <w:bCs/>
                <w:sz w:val="20"/>
                <w:szCs w:val="20"/>
              </w:rPr>
            </w:pPr>
            <w:r w:rsidRPr="008B6A75">
              <w:rPr>
                <w:bCs/>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16F42ABF" w14:textId="77777777" w:rsidR="00387142" w:rsidRPr="008B6A75" w:rsidRDefault="00387142" w:rsidP="00387142">
            <w:pPr>
              <w:jc w:val="right"/>
              <w:rPr>
                <w:bCs/>
                <w:sz w:val="20"/>
                <w:szCs w:val="20"/>
              </w:rPr>
            </w:pPr>
            <w:r w:rsidRPr="008B6A75">
              <w:rPr>
                <w:bCs/>
                <w:sz w:val="20"/>
                <w:szCs w:val="20"/>
              </w:rPr>
              <w:t>0,00</w:t>
            </w:r>
          </w:p>
        </w:tc>
      </w:tr>
      <w:tr w:rsidR="00387142" w:rsidRPr="008B6A75" w14:paraId="523495C3" w14:textId="77777777" w:rsidTr="00387142">
        <w:trPr>
          <w:trHeight w:val="585"/>
        </w:trPr>
        <w:tc>
          <w:tcPr>
            <w:tcW w:w="3261" w:type="dxa"/>
            <w:tcBorders>
              <w:top w:val="nil"/>
              <w:left w:val="single" w:sz="4" w:space="0" w:color="auto"/>
              <w:bottom w:val="single" w:sz="4" w:space="0" w:color="auto"/>
              <w:right w:val="nil"/>
            </w:tcBorders>
            <w:shd w:val="clear" w:color="auto" w:fill="auto"/>
            <w:vAlign w:val="center"/>
            <w:hideMark/>
          </w:tcPr>
          <w:p w14:paraId="3B6F844F" w14:textId="77777777" w:rsidR="00387142" w:rsidRPr="008B6A75" w:rsidRDefault="00387142" w:rsidP="00387142">
            <w:pPr>
              <w:rPr>
                <w:sz w:val="20"/>
                <w:szCs w:val="20"/>
              </w:rPr>
            </w:pPr>
            <w:r w:rsidRPr="008B6A75">
              <w:rPr>
                <w:sz w:val="20"/>
                <w:szCs w:val="20"/>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4033A42A" w14:textId="77777777" w:rsidR="00387142" w:rsidRPr="008B6A75" w:rsidRDefault="00387142" w:rsidP="00387142">
            <w:pPr>
              <w:jc w:val="center"/>
              <w:rPr>
                <w:sz w:val="20"/>
                <w:szCs w:val="20"/>
              </w:rPr>
            </w:pPr>
            <w:r w:rsidRPr="008B6A75">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82DB474" w14:textId="77777777" w:rsidR="00387142" w:rsidRPr="008B6A75" w:rsidRDefault="00387142" w:rsidP="00387142">
            <w:pPr>
              <w:jc w:val="center"/>
              <w:rPr>
                <w:sz w:val="20"/>
                <w:szCs w:val="20"/>
              </w:rPr>
            </w:pPr>
            <w:r w:rsidRPr="008B6A75">
              <w:rPr>
                <w:sz w:val="20"/>
                <w:szCs w:val="20"/>
              </w:rPr>
              <w:t>02</w:t>
            </w:r>
          </w:p>
        </w:tc>
        <w:tc>
          <w:tcPr>
            <w:tcW w:w="1516" w:type="dxa"/>
            <w:tcBorders>
              <w:top w:val="nil"/>
              <w:left w:val="single" w:sz="4" w:space="0" w:color="auto"/>
              <w:bottom w:val="single" w:sz="4" w:space="0" w:color="auto"/>
              <w:right w:val="nil"/>
            </w:tcBorders>
            <w:shd w:val="clear" w:color="auto" w:fill="auto"/>
            <w:noWrap/>
            <w:vAlign w:val="center"/>
            <w:hideMark/>
          </w:tcPr>
          <w:p w14:paraId="2C708DC6" w14:textId="77777777" w:rsidR="00387142" w:rsidRPr="008B6A75" w:rsidRDefault="00387142" w:rsidP="00387142">
            <w:pPr>
              <w:jc w:val="center"/>
              <w:rPr>
                <w:sz w:val="20"/>
                <w:szCs w:val="20"/>
              </w:rPr>
            </w:pPr>
            <w:r w:rsidRPr="008B6A75">
              <w:rPr>
                <w:sz w:val="20"/>
                <w:szCs w:val="20"/>
              </w:rPr>
              <w:t>06.0.00.L6350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4FBB147" w14:textId="77777777" w:rsidR="00387142" w:rsidRPr="008B6A75" w:rsidRDefault="00387142" w:rsidP="00387142">
            <w:pPr>
              <w:jc w:val="center"/>
              <w:rPr>
                <w:sz w:val="20"/>
                <w:szCs w:val="20"/>
              </w:rPr>
            </w:pPr>
            <w:r w:rsidRPr="008B6A75">
              <w:rPr>
                <w:sz w:val="20"/>
                <w:szCs w:val="20"/>
              </w:rPr>
              <w:t>200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6CCF484" w14:textId="77777777" w:rsidR="00387142" w:rsidRPr="008B6A75" w:rsidRDefault="00387142" w:rsidP="00387142">
            <w:pPr>
              <w:jc w:val="right"/>
              <w:rPr>
                <w:sz w:val="20"/>
                <w:szCs w:val="20"/>
              </w:rPr>
            </w:pPr>
            <w:r w:rsidRPr="008B6A75">
              <w:rPr>
                <w:sz w:val="20"/>
                <w:szCs w:val="20"/>
              </w:rPr>
              <w:t>4 905 100,00</w:t>
            </w:r>
          </w:p>
        </w:tc>
        <w:tc>
          <w:tcPr>
            <w:tcW w:w="992" w:type="dxa"/>
            <w:tcBorders>
              <w:top w:val="nil"/>
              <w:left w:val="single" w:sz="4" w:space="0" w:color="auto"/>
              <w:bottom w:val="single" w:sz="4" w:space="0" w:color="auto"/>
              <w:right w:val="nil"/>
            </w:tcBorders>
            <w:shd w:val="clear" w:color="auto" w:fill="auto"/>
            <w:vAlign w:val="center"/>
            <w:hideMark/>
          </w:tcPr>
          <w:p w14:paraId="2FCD5262" w14:textId="77777777" w:rsidR="00387142" w:rsidRPr="008B6A75" w:rsidRDefault="00387142" w:rsidP="00387142">
            <w:pPr>
              <w:jc w:val="right"/>
              <w:rPr>
                <w:sz w:val="20"/>
                <w:szCs w:val="20"/>
              </w:rPr>
            </w:pPr>
            <w:r w:rsidRPr="008B6A75">
              <w:rPr>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72DE38C3" w14:textId="77777777" w:rsidR="00387142" w:rsidRPr="008B6A75" w:rsidRDefault="00387142" w:rsidP="00387142">
            <w:pPr>
              <w:jc w:val="right"/>
              <w:rPr>
                <w:sz w:val="20"/>
                <w:szCs w:val="20"/>
              </w:rPr>
            </w:pPr>
            <w:r w:rsidRPr="008B6A75">
              <w:rPr>
                <w:sz w:val="20"/>
                <w:szCs w:val="20"/>
              </w:rPr>
              <w:t>0,00</w:t>
            </w:r>
          </w:p>
        </w:tc>
      </w:tr>
      <w:tr w:rsidR="00387142" w:rsidRPr="008B6A75" w14:paraId="0271CC99" w14:textId="77777777" w:rsidTr="00387142">
        <w:trPr>
          <w:trHeight w:val="870"/>
        </w:trPr>
        <w:tc>
          <w:tcPr>
            <w:tcW w:w="3261" w:type="dxa"/>
            <w:tcBorders>
              <w:top w:val="nil"/>
              <w:left w:val="single" w:sz="4" w:space="0" w:color="auto"/>
              <w:bottom w:val="single" w:sz="4" w:space="0" w:color="auto"/>
              <w:right w:val="nil"/>
            </w:tcBorders>
            <w:shd w:val="clear" w:color="auto" w:fill="auto"/>
            <w:vAlign w:val="center"/>
            <w:hideMark/>
          </w:tcPr>
          <w:p w14:paraId="46623CAC" w14:textId="77777777" w:rsidR="00387142" w:rsidRPr="008B6A75" w:rsidRDefault="00387142" w:rsidP="00387142">
            <w:pPr>
              <w:rPr>
                <w:sz w:val="20"/>
                <w:szCs w:val="20"/>
              </w:rPr>
            </w:pPr>
            <w:r w:rsidRPr="008B6A75">
              <w:rPr>
                <w:sz w:val="20"/>
                <w:szCs w:val="20"/>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41BE5C5D" w14:textId="77777777" w:rsidR="00387142" w:rsidRPr="008B6A75" w:rsidRDefault="00387142" w:rsidP="00387142">
            <w:pPr>
              <w:jc w:val="center"/>
              <w:rPr>
                <w:sz w:val="20"/>
                <w:szCs w:val="20"/>
              </w:rPr>
            </w:pPr>
            <w:r w:rsidRPr="008B6A75">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EEA395F" w14:textId="77777777" w:rsidR="00387142" w:rsidRPr="008B6A75" w:rsidRDefault="00387142" w:rsidP="00387142">
            <w:pPr>
              <w:jc w:val="center"/>
              <w:rPr>
                <w:sz w:val="20"/>
                <w:szCs w:val="20"/>
              </w:rPr>
            </w:pPr>
            <w:r w:rsidRPr="008B6A75">
              <w:rPr>
                <w:sz w:val="20"/>
                <w:szCs w:val="20"/>
              </w:rPr>
              <w:t>02</w:t>
            </w:r>
          </w:p>
        </w:tc>
        <w:tc>
          <w:tcPr>
            <w:tcW w:w="1516" w:type="dxa"/>
            <w:tcBorders>
              <w:top w:val="nil"/>
              <w:left w:val="single" w:sz="4" w:space="0" w:color="auto"/>
              <w:bottom w:val="single" w:sz="4" w:space="0" w:color="auto"/>
              <w:right w:val="nil"/>
            </w:tcBorders>
            <w:shd w:val="clear" w:color="auto" w:fill="auto"/>
            <w:noWrap/>
            <w:vAlign w:val="center"/>
            <w:hideMark/>
          </w:tcPr>
          <w:p w14:paraId="3AA7C655" w14:textId="77777777" w:rsidR="00387142" w:rsidRPr="008B6A75" w:rsidRDefault="00387142" w:rsidP="00387142">
            <w:pPr>
              <w:jc w:val="center"/>
              <w:rPr>
                <w:sz w:val="20"/>
                <w:szCs w:val="20"/>
              </w:rPr>
            </w:pPr>
            <w:r w:rsidRPr="008B6A75">
              <w:rPr>
                <w:sz w:val="20"/>
                <w:szCs w:val="20"/>
              </w:rPr>
              <w:t>06.0.00.L6350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1707608" w14:textId="77777777" w:rsidR="00387142" w:rsidRPr="008B6A75" w:rsidRDefault="00387142" w:rsidP="00387142">
            <w:pPr>
              <w:jc w:val="center"/>
              <w:rPr>
                <w:sz w:val="20"/>
                <w:szCs w:val="20"/>
              </w:rPr>
            </w:pPr>
            <w:r w:rsidRPr="008B6A75">
              <w:rPr>
                <w:sz w:val="20"/>
                <w:szCs w:val="20"/>
              </w:rPr>
              <w:t>240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26CF1DD" w14:textId="77777777" w:rsidR="00387142" w:rsidRPr="008B6A75" w:rsidRDefault="00387142" w:rsidP="00387142">
            <w:pPr>
              <w:jc w:val="right"/>
              <w:rPr>
                <w:sz w:val="20"/>
                <w:szCs w:val="20"/>
              </w:rPr>
            </w:pPr>
            <w:r w:rsidRPr="008B6A75">
              <w:rPr>
                <w:sz w:val="20"/>
                <w:szCs w:val="20"/>
              </w:rPr>
              <w:t>4 905 100,00</w:t>
            </w:r>
          </w:p>
        </w:tc>
        <w:tc>
          <w:tcPr>
            <w:tcW w:w="992" w:type="dxa"/>
            <w:tcBorders>
              <w:top w:val="nil"/>
              <w:left w:val="single" w:sz="4" w:space="0" w:color="auto"/>
              <w:bottom w:val="single" w:sz="4" w:space="0" w:color="auto"/>
              <w:right w:val="nil"/>
            </w:tcBorders>
            <w:shd w:val="clear" w:color="auto" w:fill="auto"/>
            <w:vAlign w:val="center"/>
            <w:hideMark/>
          </w:tcPr>
          <w:p w14:paraId="088786C7" w14:textId="77777777" w:rsidR="00387142" w:rsidRPr="008B6A75" w:rsidRDefault="00387142" w:rsidP="00387142">
            <w:pPr>
              <w:jc w:val="right"/>
              <w:rPr>
                <w:sz w:val="20"/>
                <w:szCs w:val="20"/>
              </w:rPr>
            </w:pPr>
            <w:r w:rsidRPr="008B6A75">
              <w:rPr>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524A2B73" w14:textId="77777777" w:rsidR="00387142" w:rsidRPr="008B6A75" w:rsidRDefault="00387142" w:rsidP="00387142">
            <w:pPr>
              <w:jc w:val="right"/>
              <w:rPr>
                <w:sz w:val="20"/>
                <w:szCs w:val="20"/>
              </w:rPr>
            </w:pPr>
            <w:r w:rsidRPr="008B6A75">
              <w:rPr>
                <w:sz w:val="20"/>
                <w:szCs w:val="20"/>
              </w:rPr>
              <w:t>0,00</w:t>
            </w:r>
          </w:p>
        </w:tc>
      </w:tr>
      <w:tr w:rsidR="00387142" w:rsidRPr="008B6A75" w14:paraId="36CD5D60" w14:textId="77777777" w:rsidTr="00387142">
        <w:trPr>
          <w:trHeight w:val="585"/>
        </w:trPr>
        <w:tc>
          <w:tcPr>
            <w:tcW w:w="3261" w:type="dxa"/>
            <w:tcBorders>
              <w:top w:val="nil"/>
              <w:left w:val="single" w:sz="4" w:space="0" w:color="auto"/>
              <w:bottom w:val="single" w:sz="4" w:space="0" w:color="auto"/>
              <w:right w:val="nil"/>
            </w:tcBorders>
            <w:shd w:val="clear" w:color="auto" w:fill="auto"/>
            <w:vAlign w:val="center"/>
            <w:hideMark/>
          </w:tcPr>
          <w:p w14:paraId="62C2B9AF" w14:textId="77777777" w:rsidR="00387142" w:rsidRPr="008B6A75" w:rsidRDefault="00387142" w:rsidP="00387142">
            <w:pPr>
              <w:rPr>
                <w:bCs/>
                <w:sz w:val="20"/>
                <w:szCs w:val="20"/>
              </w:rPr>
            </w:pPr>
            <w:r w:rsidRPr="008B6A75">
              <w:rPr>
                <w:bCs/>
                <w:sz w:val="20"/>
                <w:szCs w:val="20"/>
              </w:rPr>
              <w:t>Муниципальная программа "Развитие системы образования Куйбышевского района"</w:t>
            </w:r>
          </w:p>
        </w:tc>
        <w:tc>
          <w:tcPr>
            <w:tcW w:w="720" w:type="dxa"/>
            <w:tcBorders>
              <w:top w:val="nil"/>
              <w:left w:val="single" w:sz="4" w:space="0" w:color="auto"/>
              <w:bottom w:val="single" w:sz="4" w:space="0" w:color="auto"/>
              <w:right w:val="nil"/>
            </w:tcBorders>
            <w:shd w:val="clear" w:color="auto" w:fill="auto"/>
            <w:noWrap/>
            <w:vAlign w:val="center"/>
            <w:hideMark/>
          </w:tcPr>
          <w:p w14:paraId="635A5FF1" w14:textId="77777777" w:rsidR="00387142" w:rsidRPr="008B6A75" w:rsidRDefault="00387142" w:rsidP="00387142">
            <w:pPr>
              <w:jc w:val="center"/>
              <w:rPr>
                <w:bCs/>
                <w:sz w:val="20"/>
                <w:szCs w:val="20"/>
              </w:rPr>
            </w:pPr>
            <w:r w:rsidRPr="008B6A75">
              <w:rPr>
                <w:bCs/>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D1F8A94" w14:textId="77777777" w:rsidR="00387142" w:rsidRPr="008B6A75" w:rsidRDefault="00387142" w:rsidP="00387142">
            <w:pPr>
              <w:jc w:val="center"/>
              <w:rPr>
                <w:bCs/>
                <w:sz w:val="20"/>
                <w:szCs w:val="20"/>
              </w:rPr>
            </w:pPr>
            <w:r w:rsidRPr="008B6A75">
              <w:rPr>
                <w:bCs/>
                <w:sz w:val="20"/>
                <w:szCs w:val="20"/>
              </w:rPr>
              <w:t>02</w:t>
            </w:r>
          </w:p>
        </w:tc>
        <w:tc>
          <w:tcPr>
            <w:tcW w:w="1516" w:type="dxa"/>
            <w:tcBorders>
              <w:top w:val="nil"/>
              <w:left w:val="single" w:sz="4" w:space="0" w:color="auto"/>
              <w:bottom w:val="single" w:sz="4" w:space="0" w:color="auto"/>
              <w:right w:val="nil"/>
            </w:tcBorders>
            <w:shd w:val="clear" w:color="auto" w:fill="auto"/>
            <w:noWrap/>
            <w:vAlign w:val="center"/>
            <w:hideMark/>
          </w:tcPr>
          <w:p w14:paraId="5E140410" w14:textId="77777777" w:rsidR="00387142" w:rsidRPr="008B6A75" w:rsidRDefault="00387142" w:rsidP="00387142">
            <w:pPr>
              <w:jc w:val="center"/>
              <w:rPr>
                <w:bCs/>
                <w:sz w:val="20"/>
                <w:szCs w:val="20"/>
              </w:rPr>
            </w:pPr>
            <w:r w:rsidRPr="008B6A75">
              <w:rPr>
                <w:bCs/>
                <w:sz w:val="20"/>
                <w:szCs w:val="20"/>
              </w:rPr>
              <w:t>07.0.00.00000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0ECD1C6"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8386B5A" w14:textId="77777777" w:rsidR="00387142" w:rsidRPr="008B6A75" w:rsidRDefault="00387142" w:rsidP="00387142">
            <w:pPr>
              <w:jc w:val="right"/>
              <w:rPr>
                <w:bCs/>
                <w:sz w:val="20"/>
                <w:szCs w:val="20"/>
              </w:rPr>
            </w:pPr>
            <w:r w:rsidRPr="008B6A75">
              <w:rPr>
                <w:bCs/>
                <w:sz w:val="20"/>
                <w:szCs w:val="20"/>
              </w:rPr>
              <w:t>1 088 426 490,20</w:t>
            </w:r>
          </w:p>
        </w:tc>
        <w:tc>
          <w:tcPr>
            <w:tcW w:w="992" w:type="dxa"/>
            <w:tcBorders>
              <w:top w:val="nil"/>
              <w:left w:val="single" w:sz="4" w:space="0" w:color="auto"/>
              <w:bottom w:val="single" w:sz="4" w:space="0" w:color="auto"/>
              <w:right w:val="nil"/>
            </w:tcBorders>
            <w:shd w:val="clear" w:color="auto" w:fill="auto"/>
            <w:vAlign w:val="center"/>
            <w:hideMark/>
          </w:tcPr>
          <w:p w14:paraId="077B2E0C" w14:textId="77777777" w:rsidR="00387142" w:rsidRPr="008B6A75" w:rsidRDefault="00387142" w:rsidP="00387142">
            <w:pPr>
              <w:jc w:val="right"/>
              <w:rPr>
                <w:bCs/>
                <w:sz w:val="20"/>
                <w:szCs w:val="20"/>
              </w:rPr>
            </w:pPr>
            <w:r w:rsidRPr="008B6A75">
              <w:rPr>
                <w:bCs/>
                <w:sz w:val="20"/>
                <w:szCs w:val="20"/>
              </w:rPr>
              <w:t>827 158 163,80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1BA22760" w14:textId="77777777" w:rsidR="00387142" w:rsidRPr="008B6A75" w:rsidRDefault="00387142" w:rsidP="00387142">
            <w:pPr>
              <w:jc w:val="right"/>
              <w:rPr>
                <w:bCs/>
                <w:sz w:val="20"/>
                <w:szCs w:val="20"/>
              </w:rPr>
            </w:pPr>
            <w:r w:rsidRPr="008B6A75">
              <w:rPr>
                <w:bCs/>
                <w:sz w:val="20"/>
                <w:szCs w:val="20"/>
              </w:rPr>
              <w:t>803 415 456,22</w:t>
            </w:r>
          </w:p>
        </w:tc>
      </w:tr>
      <w:tr w:rsidR="00387142" w:rsidRPr="008B6A75" w14:paraId="09B427BC" w14:textId="77777777" w:rsidTr="00387142">
        <w:trPr>
          <w:trHeight w:val="585"/>
        </w:trPr>
        <w:tc>
          <w:tcPr>
            <w:tcW w:w="3261" w:type="dxa"/>
            <w:tcBorders>
              <w:top w:val="nil"/>
              <w:left w:val="single" w:sz="4" w:space="0" w:color="auto"/>
              <w:bottom w:val="single" w:sz="4" w:space="0" w:color="auto"/>
              <w:right w:val="nil"/>
            </w:tcBorders>
            <w:shd w:val="clear" w:color="auto" w:fill="auto"/>
            <w:vAlign w:val="center"/>
            <w:hideMark/>
          </w:tcPr>
          <w:p w14:paraId="7F83FAFF" w14:textId="77777777" w:rsidR="00387142" w:rsidRPr="008B6A75" w:rsidRDefault="00387142" w:rsidP="00387142">
            <w:pPr>
              <w:rPr>
                <w:bCs/>
                <w:sz w:val="20"/>
                <w:szCs w:val="20"/>
              </w:rPr>
            </w:pPr>
            <w:r w:rsidRPr="008B6A75">
              <w:rPr>
                <w:bCs/>
                <w:sz w:val="20"/>
                <w:szCs w:val="20"/>
              </w:rPr>
              <w:t>Подпрограмма "Развитие дошкольного, общего и дополнительного образования детей"</w:t>
            </w:r>
          </w:p>
        </w:tc>
        <w:tc>
          <w:tcPr>
            <w:tcW w:w="720" w:type="dxa"/>
            <w:tcBorders>
              <w:top w:val="nil"/>
              <w:left w:val="single" w:sz="4" w:space="0" w:color="auto"/>
              <w:bottom w:val="single" w:sz="4" w:space="0" w:color="auto"/>
              <w:right w:val="nil"/>
            </w:tcBorders>
            <w:shd w:val="clear" w:color="auto" w:fill="auto"/>
            <w:noWrap/>
            <w:vAlign w:val="center"/>
            <w:hideMark/>
          </w:tcPr>
          <w:p w14:paraId="054101A6" w14:textId="77777777" w:rsidR="00387142" w:rsidRPr="008B6A75" w:rsidRDefault="00387142" w:rsidP="00387142">
            <w:pPr>
              <w:jc w:val="center"/>
              <w:rPr>
                <w:bCs/>
                <w:sz w:val="20"/>
                <w:szCs w:val="20"/>
              </w:rPr>
            </w:pPr>
            <w:r w:rsidRPr="008B6A75">
              <w:rPr>
                <w:bCs/>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9E8FE45" w14:textId="77777777" w:rsidR="00387142" w:rsidRPr="008B6A75" w:rsidRDefault="00387142" w:rsidP="00387142">
            <w:pPr>
              <w:jc w:val="center"/>
              <w:rPr>
                <w:bCs/>
                <w:sz w:val="20"/>
                <w:szCs w:val="20"/>
              </w:rPr>
            </w:pPr>
            <w:r w:rsidRPr="008B6A75">
              <w:rPr>
                <w:bCs/>
                <w:sz w:val="20"/>
                <w:szCs w:val="20"/>
              </w:rPr>
              <w:t>02</w:t>
            </w:r>
          </w:p>
        </w:tc>
        <w:tc>
          <w:tcPr>
            <w:tcW w:w="1516" w:type="dxa"/>
            <w:tcBorders>
              <w:top w:val="nil"/>
              <w:left w:val="single" w:sz="4" w:space="0" w:color="auto"/>
              <w:bottom w:val="single" w:sz="4" w:space="0" w:color="auto"/>
              <w:right w:val="nil"/>
            </w:tcBorders>
            <w:shd w:val="clear" w:color="auto" w:fill="auto"/>
            <w:noWrap/>
            <w:vAlign w:val="center"/>
            <w:hideMark/>
          </w:tcPr>
          <w:p w14:paraId="6A6F630C" w14:textId="77777777" w:rsidR="00387142" w:rsidRPr="008B6A75" w:rsidRDefault="00387142" w:rsidP="00387142">
            <w:pPr>
              <w:jc w:val="center"/>
              <w:rPr>
                <w:bCs/>
                <w:sz w:val="20"/>
                <w:szCs w:val="20"/>
              </w:rPr>
            </w:pPr>
            <w:r w:rsidRPr="008B6A75">
              <w:rPr>
                <w:bCs/>
                <w:sz w:val="20"/>
                <w:szCs w:val="20"/>
              </w:rPr>
              <w:t>07.1.00.00000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E37B639"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A569401" w14:textId="77777777" w:rsidR="00387142" w:rsidRPr="008B6A75" w:rsidRDefault="00387142" w:rsidP="00387142">
            <w:pPr>
              <w:jc w:val="right"/>
              <w:rPr>
                <w:bCs/>
                <w:sz w:val="20"/>
                <w:szCs w:val="20"/>
              </w:rPr>
            </w:pPr>
            <w:r w:rsidRPr="008B6A75">
              <w:rPr>
                <w:bCs/>
                <w:sz w:val="20"/>
                <w:szCs w:val="20"/>
              </w:rPr>
              <w:t>1 087 364 630,20</w:t>
            </w:r>
          </w:p>
        </w:tc>
        <w:tc>
          <w:tcPr>
            <w:tcW w:w="992" w:type="dxa"/>
            <w:tcBorders>
              <w:top w:val="nil"/>
              <w:left w:val="single" w:sz="4" w:space="0" w:color="auto"/>
              <w:bottom w:val="single" w:sz="4" w:space="0" w:color="auto"/>
              <w:right w:val="nil"/>
            </w:tcBorders>
            <w:shd w:val="clear" w:color="auto" w:fill="auto"/>
            <w:vAlign w:val="center"/>
            <w:hideMark/>
          </w:tcPr>
          <w:p w14:paraId="7678C865" w14:textId="77777777" w:rsidR="00387142" w:rsidRPr="008B6A75" w:rsidRDefault="00387142" w:rsidP="00387142">
            <w:pPr>
              <w:jc w:val="right"/>
              <w:rPr>
                <w:bCs/>
                <w:sz w:val="20"/>
                <w:szCs w:val="20"/>
              </w:rPr>
            </w:pPr>
            <w:r w:rsidRPr="008B6A75">
              <w:rPr>
                <w:bCs/>
                <w:sz w:val="20"/>
                <w:szCs w:val="20"/>
              </w:rPr>
              <w:t>827 158 163,80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12ACC953" w14:textId="77777777" w:rsidR="00387142" w:rsidRPr="008B6A75" w:rsidRDefault="00387142" w:rsidP="00387142">
            <w:pPr>
              <w:jc w:val="right"/>
              <w:rPr>
                <w:bCs/>
                <w:sz w:val="20"/>
                <w:szCs w:val="20"/>
              </w:rPr>
            </w:pPr>
            <w:r w:rsidRPr="008B6A75">
              <w:rPr>
                <w:bCs/>
                <w:sz w:val="20"/>
                <w:szCs w:val="20"/>
              </w:rPr>
              <w:t>803 415 456,22</w:t>
            </w:r>
          </w:p>
        </w:tc>
      </w:tr>
      <w:tr w:rsidR="00387142" w:rsidRPr="008B6A75" w14:paraId="45932D96" w14:textId="77777777" w:rsidTr="00387142">
        <w:trPr>
          <w:trHeight w:val="2295"/>
        </w:trPr>
        <w:tc>
          <w:tcPr>
            <w:tcW w:w="3261" w:type="dxa"/>
            <w:tcBorders>
              <w:top w:val="nil"/>
              <w:left w:val="single" w:sz="4" w:space="0" w:color="auto"/>
              <w:bottom w:val="single" w:sz="4" w:space="0" w:color="auto"/>
              <w:right w:val="nil"/>
            </w:tcBorders>
            <w:shd w:val="clear" w:color="auto" w:fill="auto"/>
            <w:vAlign w:val="center"/>
            <w:hideMark/>
          </w:tcPr>
          <w:p w14:paraId="5F64FBB6" w14:textId="77777777" w:rsidR="00387142" w:rsidRPr="008B6A75" w:rsidRDefault="00387142" w:rsidP="00387142">
            <w:pPr>
              <w:rPr>
                <w:bCs/>
                <w:sz w:val="20"/>
                <w:szCs w:val="20"/>
              </w:rPr>
            </w:pPr>
            <w:r w:rsidRPr="008B6A75">
              <w:rPr>
                <w:bCs/>
                <w:sz w:val="20"/>
                <w:szCs w:val="20"/>
              </w:rPr>
              <w:t>Реализация мероприятий по установке и модернизации систем видеонаблюдения, автоматической пожарной сигнализации и пожарного мониторинга государственной программы Новосибирской области "Построение и развитие аппаратно-программного комплекса "Безопасный город" в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14:paraId="40195999" w14:textId="77777777" w:rsidR="00387142" w:rsidRPr="008B6A75" w:rsidRDefault="00387142" w:rsidP="00387142">
            <w:pPr>
              <w:jc w:val="center"/>
              <w:rPr>
                <w:bCs/>
                <w:sz w:val="20"/>
                <w:szCs w:val="20"/>
              </w:rPr>
            </w:pPr>
            <w:r w:rsidRPr="008B6A75">
              <w:rPr>
                <w:bCs/>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78F0C50" w14:textId="77777777" w:rsidR="00387142" w:rsidRPr="008B6A75" w:rsidRDefault="00387142" w:rsidP="00387142">
            <w:pPr>
              <w:jc w:val="center"/>
              <w:rPr>
                <w:bCs/>
                <w:sz w:val="20"/>
                <w:szCs w:val="20"/>
              </w:rPr>
            </w:pPr>
            <w:r w:rsidRPr="008B6A75">
              <w:rPr>
                <w:bCs/>
                <w:sz w:val="20"/>
                <w:szCs w:val="20"/>
              </w:rPr>
              <w:t>02</w:t>
            </w:r>
          </w:p>
        </w:tc>
        <w:tc>
          <w:tcPr>
            <w:tcW w:w="1516" w:type="dxa"/>
            <w:tcBorders>
              <w:top w:val="nil"/>
              <w:left w:val="single" w:sz="4" w:space="0" w:color="auto"/>
              <w:bottom w:val="single" w:sz="4" w:space="0" w:color="auto"/>
              <w:right w:val="nil"/>
            </w:tcBorders>
            <w:shd w:val="clear" w:color="auto" w:fill="auto"/>
            <w:noWrap/>
            <w:vAlign w:val="center"/>
            <w:hideMark/>
          </w:tcPr>
          <w:p w14:paraId="35D828B6" w14:textId="77777777" w:rsidR="00387142" w:rsidRPr="008B6A75" w:rsidRDefault="00387142" w:rsidP="00387142">
            <w:pPr>
              <w:jc w:val="center"/>
              <w:rPr>
                <w:bCs/>
                <w:sz w:val="20"/>
                <w:szCs w:val="20"/>
              </w:rPr>
            </w:pPr>
            <w:r w:rsidRPr="008B6A75">
              <w:rPr>
                <w:bCs/>
                <w:sz w:val="20"/>
                <w:szCs w:val="20"/>
              </w:rPr>
              <w:t>07.1.00.02590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09EAB2E"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219CE1E" w14:textId="77777777" w:rsidR="00387142" w:rsidRPr="008B6A75" w:rsidRDefault="00387142" w:rsidP="00387142">
            <w:pPr>
              <w:jc w:val="right"/>
              <w:rPr>
                <w:bCs/>
                <w:sz w:val="20"/>
                <w:szCs w:val="20"/>
              </w:rPr>
            </w:pPr>
            <w:r w:rsidRPr="008B6A75">
              <w:rPr>
                <w:bCs/>
                <w:sz w:val="20"/>
                <w:szCs w:val="20"/>
              </w:rPr>
              <w:t>936 472,48</w:t>
            </w:r>
          </w:p>
        </w:tc>
        <w:tc>
          <w:tcPr>
            <w:tcW w:w="992" w:type="dxa"/>
            <w:tcBorders>
              <w:top w:val="nil"/>
              <w:left w:val="single" w:sz="4" w:space="0" w:color="auto"/>
              <w:bottom w:val="single" w:sz="4" w:space="0" w:color="auto"/>
              <w:right w:val="nil"/>
            </w:tcBorders>
            <w:shd w:val="clear" w:color="auto" w:fill="auto"/>
            <w:vAlign w:val="center"/>
            <w:hideMark/>
          </w:tcPr>
          <w:p w14:paraId="53051689" w14:textId="77777777" w:rsidR="00387142" w:rsidRPr="008B6A75" w:rsidRDefault="00387142" w:rsidP="00387142">
            <w:pPr>
              <w:jc w:val="right"/>
              <w:rPr>
                <w:bCs/>
                <w:sz w:val="20"/>
                <w:szCs w:val="20"/>
              </w:rPr>
            </w:pPr>
            <w:r w:rsidRPr="008B6A75">
              <w:rPr>
                <w:bCs/>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053E641C" w14:textId="77777777" w:rsidR="00387142" w:rsidRPr="008B6A75" w:rsidRDefault="00387142" w:rsidP="00387142">
            <w:pPr>
              <w:jc w:val="right"/>
              <w:rPr>
                <w:bCs/>
                <w:sz w:val="20"/>
                <w:szCs w:val="20"/>
              </w:rPr>
            </w:pPr>
            <w:r w:rsidRPr="008B6A75">
              <w:rPr>
                <w:bCs/>
                <w:sz w:val="20"/>
                <w:szCs w:val="20"/>
              </w:rPr>
              <w:t>0,00</w:t>
            </w:r>
          </w:p>
        </w:tc>
      </w:tr>
      <w:tr w:rsidR="00387142" w:rsidRPr="008B6A75" w14:paraId="3DE420EE" w14:textId="77777777" w:rsidTr="00387142">
        <w:trPr>
          <w:trHeight w:val="585"/>
        </w:trPr>
        <w:tc>
          <w:tcPr>
            <w:tcW w:w="3261" w:type="dxa"/>
            <w:tcBorders>
              <w:top w:val="nil"/>
              <w:left w:val="single" w:sz="4" w:space="0" w:color="auto"/>
              <w:bottom w:val="single" w:sz="4" w:space="0" w:color="auto"/>
              <w:right w:val="nil"/>
            </w:tcBorders>
            <w:shd w:val="clear" w:color="auto" w:fill="auto"/>
            <w:vAlign w:val="center"/>
            <w:hideMark/>
          </w:tcPr>
          <w:p w14:paraId="3A489BCC" w14:textId="77777777" w:rsidR="00387142" w:rsidRPr="008B6A75" w:rsidRDefault="00387142" w:rsidP="00387142">
            <w:pPr>
              <w:rPr>
                <w:sz w:val="20"/>
                <w:szCs w:val="20"/>
              </w:rPr>
            </w:pPr>
            <w:r w:rsidRPr="008B6A75">
              <w:rPr>
                <w:sz w:val="20"/>
                <w:szCs w:val="20"/>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0E8DC5D1" w14:textId="77777777" w:rsidR="00387142" w:rsidRPr="008B6A75" w:rsidRDefault="00387142" w:rsidP="00387142">
            <w:pPr>
              <w:jc w:val="center"/>
              <w:rPr>
                <w:sz w:val="20"/>
                <w:szCs w:val="20"/>
              </w:rPr>
            </w:pPr>
            <w:r w:rsidRPr="008B6A75">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FEA9B32" w14:textId="77777777" w:rsidR="00387142" w:rsidRPr="008B6A75" w:rsidRDefault="00387142" w:rsidP="00387142">
            <w:pPr>
              <w:jc w:val="center"/>
              <w:rPr>
                <w:sz w:val="20"/>
                <w:szCs w:val="20"/>
              </w:rPr>
            </w:pPr>
            <w:r w:rsidRPr="008B6A75">
              <w:rPr>
                <w:sz w:val="20"/>
                <w:szCs w:val="20"/>
              </w:rPr>
              <w:t>02</w:t>
            </w:r>
          </w:p>
        </w:tc>
        <w:tc>
          <w:tcPr>
            <w:tcW w:w="1516" w:type="dxa"/>
            <w:tcBorders>
              <w:top w:val="nil"/>
              <w:left w:val="single" w:sz="4" w:space="0" w:color="auto"/>
              <w:bottom w:val="single" w:sz="4" w:space="0" w:color="auto"/>
              <w:right w:val="nil"/>
            </w:tcBorders>
            <w:shd w:val="clear" w:color="auto" w:fill="auto"/>
            <w:noWrap/>
            <w:vAlign w:val="center"/>
            <w:hideMark/>
          </w:tcPr>
          <w:p w14:paraId="1650B6D1" w14:textId="77777777" w:rsidR="00387142" w:rsidRPr="008B6A75" w:rsidRDefault="00387142" w:rsidP="00387142">
            <w:pPr>
              <w:jc w:val="center"/>
              <w:rPr>
                <w:sz w:val="20"/>
                <w:szCs w:val="20"/>
              </w:rPr>
            </w:pPr>
            <w:r w:rsidRPr="008B6A75">
              <w:rPr>
                <w:sz w:val="20"/>
                <w:szCs w:val="20"/>
              </w:rPr>
              <w:t>07.1.00.02590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18227E6" w14:textId="77777777" w:rsidR="00387142" w:rsidRPr="008B6A75" w:rsidRDefault="00387142" w:rsidP="00387142">
            <w:pPr>
              <w:jc w:val="center"/>
              <w:rPr>
                <w:sz w:val="20"/>
                <w:szCs w:val="20"/>
              </w:rPr>
            </w:pPr>
            <w:r w:rsidRPr="008B6A75">
              <w:rPr>
                <w:sz w:val="20"/>
                <w:szCs w:val="20"/>
              </w:rPr>
              <w:t>200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9417054" w14:textId="77777777" w:rsidR="00387142" w:rsidRPr="008B6A75" w:rsidRDefault="00387142" w:rsidP="00387142">
            <w:pPr>
              <w:jc w:val="right"/>
              <w:rPr>
                <w:sz w:val="20"/>
                <w:szCs w:val="20"/>
              </w:rPr>
            </w:pPr>
            <w:r w:rsidRPr="008B6A75">
              <w:rPr>
                <w:sz w:val="20"/>
                <w:szCs w:val="20"/>
              </w:rPr>
              <w:t>555 307,36</w:t>
            </w:r>
          </w:p>
        </w:tc>
        <w:tc>
          <w:tcPr>
            <w:tcW w:w="992" w:type="dxa"/>
            <w:tcBorders>
              <w:top w:val="nil"/>
              <w:left w:val="single" w:sz="4" w:space="0" w:color="auto"/>
              <w:bottom w:val="single" w:sz="4" w:space="0" w:color="auto"/>
              <w:right w:val="nil"/>
            </w:tcBorders>
            <w:shd w:val="clear" w:color="auto" w:fill="auto"/>
            <w:vAlign w:val="center"/>
            <w:hideMark/>
          </w:tcPr>
          <w:p w14:paraId="0E7F3530" w14:textId="77777777" w:rsidR="00387142" w:rsidRPr="008B6A75" w:rsidRDefault="00387142" w:rsidP="00387142">
            <w:pPr>
              <w:jc w:val="right"/>
              <w:rPr>
                <w:sz w:val="20"/>
                <w:szCs w:val="20"/>
              </w:rPr>
            </w:pPr>
            <w:r w:rsidRPr="008B6A75">
              <w:rPr>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412830C7" w14:textId="77777777" w:rsidR="00387142" w:rsidRPr="008B6A75" w:rsidRDefault="00387142" w:rsidP="00387142">
            <w:pPr>
              <w:jc w:val="right"/>
              <w:rPr>
                <w:sz w:val="20"/>
                <w:szCs w:val="20"/>
              </w:rPr>
            </w:pPr>
            <w:r w:rsidRPr="008B6A75">
              <w:rPr>
                <w:sz w:val="20"/>
                <w:szCs w:val="20"/>
              </w:rPr>
              <w:t>0,00</w:t>
            </w:r>
          </w:p>
        </w:tc>
      </w:tr>
      <w:tr w:rsidR="00387142" w:rsidRPr="008B6A75" w14:paraId="06BEF3A5" w14:textId="77777777" w:rsidTr="00387142">
        <w:trPr>
          <w:trHeight w:val="870"/>
        </w:trPr>
        <w:tc>
          <w:tcPr>
            <w:tcW w:w="3261" w:type="dxa"/>
            <w:tcBorders>
              <w:top w:val="nil"/>
              <w:left w:val="single" w:sz="4" w:space="0" w:color="auto"/>
              <w:bottom w:val="single" w:sz="4" w:space="0" w:color="auto"/>
              <w:right w:val="nil"/>
            </w:tcBorders>
            <w:shd w:val="clear" w:color="auto" w:fill="auto"/>
            <w:vAlign w:val="center"/>
            <w:hideMark/>
          </w:tcPr>
          <w:p w14:paraId="73D00DBE" w14:textId="77777777" w:rsidR="00387142" w:rsidRPr="008B6A75" w:rsidRDefault="00387142" w:rsidP="00387142">
            <w:pPr>
              <w:rPr>
                <w:sz w:val="20"/>
                <w:szCs w:val="20"/>
              </w:rPr>
            </w:pPr>
            <w:r w:rsidRPr="008B6A75">
              <w:rPr>
                <w:sz w:val="20"/>
                <w:szCs w:val="20"/>
              </w:rPr>
              <w:t xml:space="preserve">Иные закупки товаров, работ и услуг для обеспечения государственных (муниципальных) </w:t>
            </w:r>
            <w:r w:rsidRPr="008B6A75">
              <w:rPr>
                <w:sz w:val="20"/>
                <w:szCs w:val="20"/>
              </w:rPr>
              <w:lastRenderedPageBreak/>
              <w:t>нужд</w:t>
            </w:r>
          </w:p>
        </w:tc>
        <w:tc>
          <w:tcPr>
            <w:tcW w:w="720" w:type="dxa"/>
            <w:tcBorders>
              <w:top w:val="nil"/>
              <w:left w:val="single" w:sz="4" w:space="0" w:color="auto"/>
              <w:bottom w:val="single" w:sz="4" w:space="0" w:color="auto"/>
              <w:right w:val="nil"/>
            </w:tcBorders>
            <w:shd w:val="clear" w:color="auto" w:fill="auto"/>
            <w:noWrap/>
            <w:vAlign w:val="center"/>
            <w:hideMark/>
          </w:tcPr>
          <w:p w14:paraId="0FAC3693" w14:textId="77777777" w:rsidR="00387142" w:rsidRPr="008B6A75" w:rsidRDefault="00387142" w:rsidP="00387142">
            <w:pPr>
              <w:jc w:val="center"/>
              <w:rPr>
                <w:sz w:val="20"/>
                <w:szCs w:val="20"/>
              </w:rPr>
            </w:pPr>
            <w:r w:rsidRPr="008B6A75">
              <w:rPr>
                <w:sz w:val="20"/>
                <w:szCs w:val="20"/>
              </w:rPr>
              <w:lastRenderedPageBreak/>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CB66551" w14:textId="77777777" w:rsidR="00387142" w:rsidRPr="008B6A75" w:rsidRDefault="00387142" w:rsidP="00387142">
            <w:pPr>
              <w:jc w:val="center"/>
              <w:rPr>
                <w:sz w:val="20"/>
                <w:szCs w:val="20"/>
              </w:rPr>
            </w:pPr>
            <w:r w:rsidRPr="008B6A75">
              <w:rPr>
                <w:sz w:val="20"/>
                <w:szCs w:val="20"/>
              </w:rPr>
              <w:t>02</w:t>
            </w:r>
          </w:p>
        </w:tc>
        <w:tc>
          <w:tcPr>
            <w:tcW w:w="1516" w:type="dxa"/>
            <w:tcBorders>
              <w:top w:val="nil"/>
              <w:left w:val="single" w:sz="4" w:space="0" w:color="auto"/>
              <w:bottom w:val="single" w:sz="4" w:space="0" w:color="auto"/>
              <w:right w:val="nil"/>
            </w:tcBorders>
            <w:shd w:val="clear" w:color="auto" w:fill="auto"/>
            <w:noWrap/>
            <w:vAlign w:val="center"/>
            <w:hideMark/>
          </w:tcPr>
          <w:p w14:paraId="5C59ABF1" w14:textId="77777777" w:rsidR="00387142" w:rsidRPr="008B6A75" w:rsidRDefault="00387142" w:rsidP="00387142">
            <w:pPr>
              <w:jc w:val="center"/>
              <w:rPr>
                <w:sz w:val="20"/>
                <w:szCs w:val="20"/>
              </w:rPr>
            </w:pPr>
            <w:r w:rsidRPr="008B6A75">
              <w:rPr>
                <w:sz w:val="20"/>
                <w:szCs w:val="20"/>
              </w:rPr>
              <w:t>07.1.00.02590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7261C62" w14:textId="77777777" w:rsidR="00387142" w:rsidRPr="008B6A75" w:rsidRDefault="00387142" w:rsidP="00387142">
            <w:pPr>
              <w:jc w:val="center"/>
              <w:rPr>
                <w:sz w:val="20"/>
                <w:szCs w:val="20"/>
              </w:rPr>
            </w:pPr>
            <w:r w:rsidRPr="008B6A75">
              <w:rPr>
                <w:sz w:val="20"/>
                <w:szCs w:val="20"/>
              </w:rPr>
              <w:t>240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C1BC1A8" w14:textId="77777777" w:rsidR="00387142" w:rsidRPr="008B6A75" w:rsidRDefault="00387142" w:rsidP="00387142">
            <w:pPr>
              <w:jc w:val="right"/>
              <w:rPr>
                <w:sz w:val="20"/>
                <w:szCs w:val="20"/>
              </w:rPr>
            </w:pPr>
            <w:r w:rsidRPr="008B6A75">
              <w:rPr>
                <w:sz w:val="20"/>
                <w:szCs w:val="20"/>
              </w:rPr>
              <w:t>555 307,36</w:t>
            </w:r>
          </w:p>
        </w:tc>
        <w:tc>
          <w:tcPr>
            <w:tcW w:w="992" w:type="dxa"/>
            <w:tcBorders>
              <w:top w:val="nil"/>
              <w:left w:val="single" w:sz="4" w:space="0" w:color="auto"/>
              <w:bottom w:val="single" w:sz="4" w:space="0" w:color="auto"/>
              <w:right w:val="nil"/>
            </w:tcBorders>
            <w:shd w:val="clear" w:color="auto" w:fill="auto"/>
            <w:vAlign w:val="center"/>
            <w:hideMark/>
          </w:tcPr>
          <w:p w14:paraId="1FE10CCB" w14:textId="77777777" w:rsidR="00387142" w:rsidRPr="008B6A75" w:rsidRDefault="00387142" w:rsidP="00387142">
            <w:pPr>
              <w:jc w:val="right"/>
              <w:rPr>
                <w:sz w:val="20"/>
                <w:szCs w:val="20"/>
              </w:rPr>
            </w:pPr>
            <w:r w:rsidRPr="008B6A75">
              <w:rPr>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17B49B85" w14:textId="77777777" w:rsidR="00387142" w:rsidRPr="008B6A75" w:rsidRDefault="00387142" w:rsidP="00387142">
            <w:pPr>
              <w:jc w:val="right"/>
              <w:rPr>
                <w:sz w:val="20"/>
                <w:szCs w:val="20"/>
              </w:rPr>
            </w:pPr>
            <w:r w:rsidRPr="008B6A75">
              <w:rPr>
                <w:sz w:val="20"/>
                <w:szCs w:val="20"/>
              </w:rPr>
              <w:t>0,00</w:t>
            </w:r>
          </w:p>
        </w:tc>
      </w:tr>
      <w:tr w:rsidR="00387142" w:rsidRPr="008B6A75" w14:paraId="4EEBC9DD" w14:textId="77777777" w:rsidTr="00387142">
        <w:trPr>
          <w:trHeight w:val="870"/>
        </w:trPr>
        <w:tc>
          <w:tcPr>
            <w:tcW w:w="3261" w:type="dxa"/>
            <w:tcBorders>
              <w:top w:val="nil"/>
              <w:left w:val="single" w:sz="4" w:space="0" w:color="auto"/>
              <w:bottom w:val="single" w:sz="4" w:space="0" w:color="auto"/>
              <w:right w:val="nil"/>
            </w:tcBorders>
            <w:shd w:val="clear" w:color="auto" w:fill="auto"/>
            <w:vAlign w:val="center"/>
            <w:hideMark/>
          </w:tcPr>
          <w:p w14:paraId="6695A880" w14:textId="77777777" w:rsidR="00387142" w:rsidRPr="008B6A75" w:rsidRDefault="00387142" w:rsidP="00387142">
            <w:pPr>
              <w:rPr>
                <w:sz w:val="20"/>
                <w:szCs w:val="20"/>
              </w:rPr>
            </w:pPr>
            <w:r w:rsidRPr="008B6A75">
              <w:rPr>
                <w:sz w:val="20"/>
                <w:szCs w:val="20"/>
              </w:rPr>
              <w:t>Предоставление субсидий бюджетным, автономным учреждениям и иным некоммерческим организациям</w:t>
            </w:r>
          </w:p>
        </w:tc>
        <w:tc>
          <w:tcPr>
            <w:tcW w:w="720" w:type="dxa"/>
            <w:tcBorders>
              <w:top w:val="nil"/>
              <w:left w:val="single" w:sz="4" w:space="0" w:color="auto"/>
              <w:bottom w:val="single" w:sz="4" w:space="0" w:color="auto"/>
              <w:right w:val="nil"/>
            </w:tcBorders>
            <w:shd w:val="clear" w:color="auto" w:fill="auto"/>
            <w:noWrap/>
            <w:vAlign w:val="center"/>
            <w:hideMark/>
          </w:tcPr>
          <w:p w14:paraId="166E331C" w14:textId="77777777" w:rsidR="00387142" w:rsidRPr="008B6A75" w:rsidRDefault="00387142" w:rsidP="00387142">
            <w:pPr>
              <w:jc w:val="center"/>
              <w:rPr>
                <w:sz w:val="20"/>
                <w:szCs w:val="20"/>
              </w:rPr>
            </w:pPr>
            <w:r w:rsidRPr="008B6A75">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CAB6F46" w14:textId="77777777" w:rsidR="00387142" w:rsidRPr="008B6A75" w:rsidRDefault="00387142" w:rsidP="00387142">
            <w:pPr>
              <w:jc w:val="center"/>
              <w:rPr>
                <w:sz w:val="20"/>
                <w:szCs w:val="20"/>
              </w:rPr>
            </w:pPr>
            <w:r w:rsidRPr="008B6A75">
              <w:rPr>
                <w:sz w:val="20"/>
                <w:szCs w:val="20"/>
              </w:rPr>
              <w:t>02</w:t>
            </w:r>
          </w:p>
        </w:tc>
        <w:tc>
          <w:tcPr>
            <w:tcW w:w="1516" w:type="dxa"/>
            <w:tcBorders>
              <w:top w:val="nil"/>
              <w:left w:val="single" w:sz="4" w:space="0" w:color="auto"/>
              <w:bottom w:val="single" w:sz="4" w:space="0" w:color="auto"/>
              <w:right w:val="nil"/>
            </w:tcBorders>
            <w:shd w:val="clear" w:color="auto" w:fill="auto"/>
            <w:noWrap/>
            <w:vAlign w:val="center"/>
            <w:hideMark/>
          </w:tcPr>
          <w:p w14:paraId="77D88972" w14:textId="77777777" w:rsidR="00387142" w:rsidRPr="008B6A75" w:rsidRDefault="00387142" w:rsidP="00387142">
            <w:pPr>
              <w:jc w:val="center"/>
              <w:rPr>
                <w:sz w:val="20"/>
                <w:szCs w:val="20"/>
              </w:rPr>
            </w:pPr>
            <w:r w:rsidRPr="008B6A75">
              <w:rPr>
                <w:sz w:val="20"/>
                <w:szCs w:val="20"/>
              </w:rPr>
              <w:t>07.1.00.02590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91DE362" w14:textId="77777777" w:rsidR="00387142" w:rsidRPr="008B6A75" w:rsidRDefault="00387142" w:rsidP="00387142">
            <w:pPr>
              <w:jc w:val="center"/>
              <w:rPr>
                <w:sz w:val="20"/>
                <w:szCs w:val="20"/>
              </w:rPr>
            </w:pPr>
            <w:r w:rsidRPr="008B6A75">
              <w:rPr>
                <w:sz w:val="20"/>
                <w:szCs w:val="20"/>
              </w:rPr>
              <w:t>600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AA901F1" w14:textId="77777777" w:rsidR="00387142" w:rsidRPr="008B6A75" w:rsidRDefault="00387142" w:rsidP="00387142">
            <w:pPr>
              <w:jc w:val="right"/>
              <w:rPr>
                <w:sz w:val="20"/>
                <w:szCs w:val="20"/>
              </w:rPr>
            </w:pPr>
            <w:r w:rsidRPr="008B6A75">
              <w:rPr>
                <w:sz w:val="20"/>
                <w:szCs w:val="20"/>
              </w:rPr>
              <w:t>381 165,12</w:t>
            </w:r>
          </w:p>
        </w:tc>
        <w:tc>
          <w:tcPr>
            <w:tcW w:w="992" w:type="dxa"/>
            <w:tcBorders>
              <w:top w:val="nil"/>
              <w:left w:val="single" w:sz="4" w:space="0" w:color="auto"/>
              <w:bottom w:val="single" w:sz="4" w:space="0" w:color="auto"/>
              <w:right w:val="nil"/>
            </w:tcBorders>
            <w:shd w:val="clear" w:color="auto" w:fill="auto"/>
            <w:vAlign w:val="center"/>
            <w:hideMark/>
          </w:tcPr>
          <w:p w14:paraId="60BC3E22" w14:textId="77777777" w:rsidR="00387142" w:rsidRPr="008B6A75" w:rsidRDefault="00387142" w:rsidP="00387142">
            <w:pPr>
              <w:jc w:val="right"/>
              <w:rPr>
                <w:sz w:val="20"/>
                <w:szCs w:val="20"/>
              </w:rPr>
            </w:pPr>
            <w:r w:rsidRPr="008B6A75">
              <w:rPr>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30A89869" w14:textId="77777777" w:rsidR="00387142" w:rsidRPr="008B6A75" w:rsidRDefault="00387142" w:rsidP="00387142">
            <w:pPr>
              <w:jc w:val="right"/>
              <w:rPr>
                <w:sz w:val="20"/>
                <w:szCs w:val="20"/>
              </w:rPr>
            </w:pPr>
            <w:r w:rsidRPr="008B6A75">
              <w:rPr>
                <w:sz w:val="20"/>
                <w:szCs w:val="20"/>
              </w:rPr>
              <w:t>0,00</w:t>
            </w:r>
          </w:p>
        </w:tc>
      </w:tr>
      <w:tr w:rsidR="00387142" w:rsidRPr="008B6A75" w14:paraId="782A9A92" w14:textId="77777777" w:rsidTr="00387142">
        <w:trPr>
          <w:trHeight w:val="345"/>
        </w:trPr>
        <w:tc>
          <w:tcPr>
            <w:tcW w:w="3261" w:type="dxa"/>
            <w:tcBorders>
              <w:top w:val="nil"/>
              <w:left w:val="single" w:sz="4" w:space="0" w:color="auto"/>
              <w:bottom w:val="single" w:sz="4" w:space="0" w:color="auto"/>
              <w:right w:val="nil"/>
            </w:tcBorders>
            <w:shd w:val="clear" w:color="auto" w:fill="auto"/>
            <w:vAlign w:val="center"/>
            <w:hideMark/>
          </w:tcPr>
          <w:p w14:paraId="46ABF555" w14:textId="77777777" w:rsidR="00387142" w:rsidRPr="008B6A75" w:rsidRDefault="00387142" w:rsidP="00387142">
            <w:pPr>
              <w:rPr>
                <w:sz w:val="20"/>
                <w:szCs w:val="20"/>
              </w:rPr>
            </w:pPr>
            <w:r w:rsidRPr="008B6A75">
              <w:rPr>
                <w:sz w:val="20"/>
                <w:szCs w:val="20"/>
              </w:rPr>
              <w:t>Субсидии бюджетным учреждениям</w:t>
            </w:r>
          </w:p>
        </w:tc>
        <w:tc>
          <w:tcPr>
            <w:tcW w:w="720" w:type="dxa"/>
            <w:tcBorders>
              <w:top w:val="nil"/>
              <w:left w:val="single" w:sz="4" w:space="0" w:color="auto"/>
              <w:bottom w:val="single" w:sz="4" w:space="0" w:color="auto"/>
              <w:right w:val="nil"/>
            </w:tcBorders>
            <w:shd w:val="clear" w:color="auto" w:fill="auto"/>
            <w:noWrap/>
            <w:vAlign w:val="center"/>
            <w:hideMark/>
          </w:tcPr>
          <w:p w14:paraId="4DEF93BF" w14:textId="77777777" w:rsidR="00387142" w:rsidRPr="008B6A75" w:rsidRDefault="00387142" w:rsidP="00387142">
            <w:pPr>
              <w:jc w:val="center"/>
              <w:rPr>
                <w:sz w:val="20"/>
                <w:szCs w:val="20"/>
              </w:rPr>
            </w:pPr>
            <w:r w:rsidRPr="008B6A75">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B03E65E" w14:textId="77777777" w:rsidR="00387142" w:rsidRPr="008B6A75" w:rsidRDefault="00387142" w:rsidP="00387142">
            <w:pPr>
              <w:jc w:val="center"/>
              <w:rPr>
                <w:sz w:val="20"/>
                <w:szCs w:val="20"/>
              </w:rPr>
            </w:pPr>
            <w:r w:rsidRPr="008B6A75">
              <w:rPr>
                <w:sz w:val="20"/>
                <w:szCs w:val="20"/>
              </w:rPr>
              <w:t>02</w:t>
            </w:r>
          </w:p>
        </w:tc>
        <w:tc>
          <w:tcPr>
            <w:tcW w:w="1516" w:type="dxa"/>
            <w:tcBorders>
              <w:top w:val="nil"/>
              <w:left w:val="single" w:sz="4" w:space="0" w:color="auto"/>
              <w:bottom w:val="single" w:sz="4" w:space="0" w:color="auto"/>
              <w:right w:val="nil"/>
            </w:tcBorders>
            <w:shd w:val="clear" w:color="auto" w:fill="auto"/>
            <w:noWrap/>
            <w:vAlign w:val="center"/>
            <w:hideMark/>
          </w:tcPr>
          <w:p w14:paraId="5FA99823" w14:textId="77777777" w:rsidR="00387142" w:rsidRPr="008B6A75" w:rsidRDefault="00387142" w:rsidP="00387142">
            <w:pPr>
              <w:jc w:val="center"/>
              <w:rPr>
                <w:sz w:val="20"/>
                <w:szCs w:val="20"/>
              </w:rPr>
            </w:pPr>
            <w:r w:rsidRPr="008B6A75">
              <w:rPr>
                <w:sz w:val="20"/>
                <w:szCs w:val="20"/>
              </w:rPr>
              <w:t>07.1.00.02590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83E5773" w14:textId="77777777" w:rsidR="00387142" w:rsidRPr="008B6A75" w:rsidRDefault="00387142" w:rsidP="00387142">
            <w:pPr>
              <w:jc w:val="center"/>
              <w:rPr>
                <w:sz w:val="20"/>
                <w:szCs w:val="20"/>
              </w:rPr>
            </w:pPr>
            <w:r w:rsidRPr="008B6A75">
              <w:rPr>
                <w:sz w:val="20"/>
                <w:szCs w:val="20"/>
              </w:rPr>
              <w:t>610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AAD9D5C" w14:textId="77777777" w:rsidR="00387142" w:rsidRPr="008B6A75" w:rsidRDefault="00387142" w:rsidP="00387142">
            <w:pPr>
              <w:jc w:val="right"/>
              <w:rPr>
                <w:sz w:val="20"/>
                <w:szCs w:val="20"/>
              </w:rPr>
            </w:pPr>
            <w:r w:rsidRPr="008B6A75">
              <w:rPr>
                <w:sz w:val="20"/>
                <w:szCs w:val="20"/>
              </w:rPr>
              <w:t>381 165,12</w:t>
            </w:r>
          </w:p>
        </w:tc>
        <w:tc>
          <w:tcPr>
            <w:tcW w:w="992" w:type="dxa"/>
            <w:tcBorders>
              <w:top w:val="nil"/>
              <w:left w:val="single" w:sz="4" w:space="0" w:color="auto"/>
              <w:bottom w:val="single" w:sz="4" w:space="0" w:color="auto"/>
              <w:right w:val="nil"/>
            </w:tcBorders>
            <w:shd w:val="clear" w:color="auto" w:fill="auto"/>
            <w:vAlign w:val="center"/>
            <w:hideMark/>
          </w:tcPr>
          <w:p w14:paraId="517AB04E" w14:textId="77777777" w:rsidR="00387142" w:rsidRPr="008B6A75" w:rsidRDefault="00387142" w:rsidP="00387142">
            <w:pPr>
              <w:jc w:val="right"/>
              <w:rPr>
                <w:sz w:val="20"/>
                <w:szCs w:val="20"/>
              </w:rPr>
            </w:pPr>
            <w:r w:rsidRPr="008B6A75">
              <w:rPr>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6ACA9107" w14:textId="77777777" w:rsidR="00387142" w:rsidRPr="008B6A75" w:rsidRDefault="00387142" w:rsidP="00387142">
            <w:pPr>
              <w:jc w:val="right"/>
              <w:rPr>
                <w:sz w:val="20"/>
                <w:szCs w:val="20"/>
              </w:rPr>
            </w:pPr>
            <w:r w:rsidRPr="008B6A75">
              <w:rPr>
                <w:sz w:val="20"/>
                <w:szCs w:val="20"/>
              </w:rPr>
              <w:t>0,00</w:t>
            </w:r>
          </w:p>
        </w:tc>
      </w:tr>
      <w:tr w:rsidR="00387142" w:rsidRPr="008B6A75" w14:paraId="28F9BBE4" w14:textId="77777777" w:rsidTr="00387142">
        <w:trPr>
          <w:trHeight w:val="870"/>
        </w:trPr>
        <w:tc>
          <w:tcPr>
            <w:tcW w:w="3261" w:type="dxa"/>
            <w:tcBorders>
              <w:top w:val="nil"/>
              <w:left w:val="single" w:sz="4" w:space="0" w:color="auto"/>
              <w:bottom w:val="single" w:sz="4" w:space="0" w:color="auto"/>
              <w:right w:val="nil"/>
            </w:tcBorders>
            <w:shd w:val="clear" w:color="auto" w:fill="auto"/>
            <w:vAlign w:val="center"/>
            <w:hideMark/>
          </w:tcPr>
          <w:p w14:paraId="1578DBF0" w14:textId="77777777" w:rsidR="00387142" w:rsidRPr="008B6A75" w:rsidRDefault="00387142" w:rsidP="00387142">
            <w:pPr>
              <w:rPr>
                <w:bCs/>
                <w:sz w:val="20"/>
                <w:szCs w:val="20"/>
              </w:rPr>
            </w:pPr>
            <w:r w:rsidRPr="008B6A75">
              <w:rPr>
                <w:bCs/>
                <w:sz w:val="20"/>
                <w:szCs w:val="20"/>
              </w:rPr>
              <w:t>Реализация мероприятий на социальную поддержку отдельных категорий детей, обучающихся в образовательных организациях</w:t>
            </w:r>
          </w:p>
        </w:tc>
        <w:tc>
          <w:tcPr>
            <w:tcW w:w="720" w:type="dxa"/>
            <w:tcBorders>
              <w:top w:val="nil"/>
              <w:left w:val="single" w:sz="4" w:space="0" w:color="auto"/>
              <w:bottom w:val="single" w:sz="4" w:space="0" w:color="auto"/>
              <w:right w:val="nil"/>
            </w:tcBorders>
            <w:shd w:val="clear" w:color="auto" w:fill="auto"/>
            <w:noWrap/>
            <w:vAlign w:val="center"/>
            <w:hideMark/>
          </w:tcPr>
          <w:p w14:paraId="589A3444" w14:textId="77777777" w:rsidR="00387142" w:rsidRPr="008B6A75" w:rsidRDefault="00387142" w:rsidP="00387142">
            <w:pPr>
              <w:jc w:val="center"/>
              <w:rPr>
                <w:bCs/>
                <w:sz w:val="20"/>
                <w:szCs w:val="20"/>
              </w:rPr>
            </w:pPr>
            <w:r w:rsidRPr="008B6A75">
              <w:rPr>
                <w:bCs/>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ED409BE" w14:textId="77777777" w:rsidR="00387142" w:rsidRPr="008B6A75" w:rsidRDefault="00387142" w:rsidP="00387142">
            <w:pPr>
              <w:jc w:val="center"/>
              <w:rPr>
                <w:bCs/>
                <w:sz w:val="20"/>
                <w:szCs w:val="20"/>
              </w:rPr>
            </w:pPr>
            <w:r w:rsidRPr="008B6A75">
              <w:rPr>
                <w:bCs/>
                <w:sz w:val="20"/>
                <w:szCs w:val="20"/>
              </w:rPr>
              <w:t>02</w:t>
            </w:r>
          </w:p>
        </w:tc>
        <w:tc>
          <w:tcPr>
            <w:tcW w:w="1516" w:type="dxa"/>
            <w:tcBorders>
              <w:top w:val="nil"/>
              <w:left w:val="single" w:sz="4" w:space="0" w:color="auto"/>
              <w:bottom w:val="single" w:sz="4" w:space="0" w:color="auto"/>
              <w:right w:val="nil"/>
            </w:tcBorders>
            <w:shd w:val="clear" w:color="auto" w:fill="auto"/>
            <w:noWrap/>
            <w:vAlign w:val="center"/>
            <w:hideMark/>
          </w:tcPr>
          <w:p w14:paraId="17868D3A" w14:textId="77777777" w:rsidR="00387142" w:rsidRPr="008B6A75" w:rsidRDefault="00387142" w:rsidP="00387142">
            <w:pPr>
              <w:jc w:val="center"/>
              <w:rPr>
                <w:bCs/>
                <w:sz w:val="20"/>
                <w:szCs w:val="20"/>
              </w:rPr>
            </w:pPr>
            <w:r w:rsidRPr="008B6A75">
              <w:rPr>
                <w:bCs/>
                <w:sz w:val="20"/>
                <w:szCs w:val="20"/>
              </w:rPr>
              <w:t>07.1.00.03349</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FE49D53"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07435EC" w14:textId="77777777" w:rsidR="00387142" w:rsidRPr="008B6A75" w:rsidRDefault="00387142" w:rsidP="00387142">
            <w:pPr>
              <w:jc w:val="right"/>
              <w:rPr>
                <w:bCs/>
                <w:sz w:val="20"/>
                <w:szCs w:val="20"/>
              </w:rPr>
            </w:pPr>
            <w:r w:rsidRPr="008B6A75">
              <w:rPr>
                <w:bCs/>
                <w:sz w:val="20"/>
                <w:szCs w:val="20"/>
              </w:rPr>
              <w:t>23 216 620,92</w:t>
            </w:r>
          </w:p>
        </w:tc>
        <w:tc>
          <w:tcPr>
            <w:tcW w:w="992" w:type="dxa"/>
            <w:tcBorders>
              <w:top w:val="nil"/>
              <w:left w:val="single" w:sz="4" w:space="0" w:color="auto"/>
              <w:bottom w:val="single" w:sz="4" w:space="0" w:color="auto"/>
              <w:right w:val="nil"/>
            </w:tcBorders>
            <w:shd w:val="clear" w:color="auto" w:fill="auto"/>
            <w:vAlign w:val="center"/>
            <w:hideMark/>
          </w:tcPr>
          <w:p w14:paraId="25455E20" w14:textId="77777777" w:rsidR="00387142" w:rsidRPr="008B6A75" w:rsidRDefault="00387142" w:rsidP="00387142">
            <w:pPr>
              <w:jc w:val="right"/>
              <w:rPr>
                <w:bCs/>
                <w:sz w:val="20"/>
                <w:szCs w:val="20"/>
              </w:rPr>
            </w:pPr>
            <w:r w:rsidRPr="008B6A75">
              <w:rPr>
                <w:bCs/>
                <w:sz w:val="20"/>
                <w:szCs w:val="20"/>
              </w:rPr>
              <w:t>19 010 900,00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7138BEB9" w14:textId="77777777" w:rsidR="00387142" w:rsidRPr="008B6A75" w:rsidRDefault="00387142" w:rsidP="00387142">
            <w:pPr>
              <w:jc w:val="right"/>
              <w:rPr>
                <w:bCs/>
                <w:sz w:val="20"/>
                <w:szCs w:val="20"/>
              </w:rPr>
            </w:pPr>
            <w:r w:rsidRPr="008B6A75">
              <w:rPr>
                <w:bCs/>
                <w:sz w:val="20"/>
                <w:szCs w:val="20"/>
              </w:rPr>
              <w:t>19 010 900,00</w:t>
            </w:r>
          </w:p>
        </w:tc>
      </w:tr>
      <w:tr w:rsidR="00387142" w:rsidRPr="008B6A75" w14:paraId="03C05023" w14:textId="77777777" w:rsidTr="00387142">
        <w:trPr>
          <w:trHeight w:val="585"/>
        </w:trPr>
        <w:tc>
          <w:tcPr>
            <w:tcW w:w="3261" w:type="dxa"/>
            <w:tcBorders>
              <w:top w:val="nil"/>
              <w:left w:val="single" w:sz="4" w:space="0" w:color="auto"/>
              <w:bottom w:val="single" w:sz="4" w:space="0" w:color="auto"/>
              <w:right w:val="nil"/>
            </w:tcBorders>
            <w:shd w:val="clear" w:color="auto" w:fill="auto"/>
            <w:vAlign w:val="center"/>
            <w:hideMark/>
          </w:tcPr>
          <w:p w14:paraId="0FA9D6E6" w14:textId="77777777" w:rsidR="00387142" w:rsidRPr="008B6A75" w:rsidRDefault="00387142" w:rsidP="00387142">
            <w:pPr>
              <w:rPr>
                <w:sz w:val="20"/>
                <w:szCs w:val="20"/>
              </w:rPr>
            </w:pPr>
            <w:r w:rsidRPr="008B6A75">
              <w:rPr>
                <w:sz w:val="20"/>
                <w:szCs w:val="20"/>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01A5EA75" w14:textId="77777777" w:rsidR="00387142" w:rsidRPr="008B6A75" w:rsidRDefault="00387142" w:rsidP="00387142">
            <w:pPr>
              <w:jc w:val="center"/>
              <w:rPr>
                <w:sz w:val="20"/>
                <w:szCs w:val="20"/>
              </w:rPr>
            </w:pPr>
            <w:r w:rsidRPr="008B6A75">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520471F" w14:textId="77777777" w:rsidR="00387142" w:rsidRPr="008B6A75" w:rsidRDefault="00387142" w:rsidP="00387142">
            <w:pPr>
              <w:jc w:val="center"/>
              <w:rPr>
                <w:sz w:val="20"/>
                <w:szCs w:val="20"/>
              </w:rPr>
            </w:pPr>
            <w:r w:rsidRPr="008B6A75">
              <w:rPr>
                <w:sz w:val="20"/>
                <w:szCs w:val="20"/>
              </w:rPr>
              <w:t>02</w:t>
            </w:r>
          </w:p>
        </w:tc>
        <w:tc>
          <w:tcPr>
            <w:tcW w:w="1516" w:type="dxa"/>
            <w:tcBorders>
              <w:top w:val="nil"/>
              <w:left w:val="single" w:sz="4" w:space="0" w:color="auto"/>
              <w:bottom w:val="single" w:sz="4" w:space="0" w:color="auto"/>
              <w:right w:val="nil"/>
            </w:tcBorders>
            <w:shd w:val="clear" w:color="auto" w:fill="auto"/>
            <w:noWrap/>
            <w:vAlign w:val="center"/>
            <w:hideMark/>
          </w:tcPr>
          <w:p w14:paraId="52554814" w14:textId="77777777" w:rsidR="00387142" w:rsidRPr="008B6A75" w:rsidRDefault="00387142" w:rsidP="00387142">
            <w:pPr>
              <w:jc w:val="center"/>
              <w:rPr>
                <w:sz w:val="20"/>
                <w:szCs w:val="20"/>
              </w:rPr>
            </w:pPr>
            <w:r w:rsidRPr="008B6A75">
              <w:rPr>
                <w:sz w:val="20"/>
                <w:szCs w:val="20"/>
              </w:rPr>
              <w:t>07.1.00.03349</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CBB0813" w14:textId="77777777" w:rsidR="00387142" w:rsidRPr="008B6A75" w:rsidRDefault="00387142" w:rsidP="00387142">
            <w:pPr>
              <w:jc w:val="center"/>
              <w:rPr>
                <w:sz w:val="20"/>
                <w:szCs w:val="20"/>
              </w:rPr>
            </w:pPr>
            <w:r w:rsidRPr="008B6A75">
              <w:rPr>
                <w:sz w:val="20"/>
                <w:szCs w:val="20"/>
              </w:rPr>
              <w:t>200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E318E75" w14:textId="77777777" w:rsidR="00387142" w:rsidRPr="008B6A75" w:rsidRDefault="00387142" w:rsidP="00387142">
            <w:pPr>
              <w:jc w:val="right"/>
              <w:rPr>
                <w:sz w:val="20"/>
                <w:szCs w:val="20"/>
              </w:rPr>
            </w:pPr>
            <w:r w:rsidRPr="008B6A75">
              <w:rPr>
                <w:sz w:val="20"/>
                <w:szCs w:val="20"/>
              </w:rPr>
              <w:t>13 932 054,92</w:t>
            </w:r>
          </w:p>
        </w:tc>
        <w:tc>
          <w:tcPr>
            <w:tcW w:w="992" w:type="dxa"/>
            <w:tcBorders>
              <w:top w:val="nil"/>
              <w:left w:val="single" w:sz="4" w:space="0" w:color="auto"/>
              <w:bottom w:val="single" w:sz="4" w:space="0" w:color="auto"/>
              <w:right w:val="nil"/>
            </w:tcBorders>
            <w:shd w:val="clear" w:color="auto" w:fill="auto"/>
            <w:vAlign w:val="center"/>
            <w:hideMark/>
          </w:tcPr>
          <w:p w14:paraId="6E32D1E7" w14:textId="77777777" w:rsidR="00387142" w:rsidRPr="008B6A75" w:rsidRDefault="00387142" w:rsidP="00387142">
            <w:pPr>
              <w:jc w:val="right"/>
              <w:rPr>
                <w:sz w:val="20"/>
                <w:szCs w:val="20"/>
              </w:rPr>
            </w:pPr>
            <w:r w:rsidRPr="008B6A75">
              <w:rPr>
                <w:sz w:val="20"/>
                <w:szCs w:val="20"/>
              </w:rPr>
              <w:t>12 180 700,00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2EAB7BFC" w14:textId="77777777" w:rsidR="00387142" w:rsidRPr="008B6A75" w:rsidRDefault="00387142" w:rsidP="00387142">
            <w:pPr>
              <w:jc w:val="right"/>
              <w:rPr>
                <w:sz w:val="20"/>
                <w:szCs w:val="20"/>
              </w:rPr>
            </w:pPr>
            <w:r w:rsidRPr="008B6A75">
              <w:rPr>
                <w:sz w:val="20"/>
                <w:szCs w:val="20"/>
              </w:rPr>
              <w:t>12 180 700,00</w:t>
            </w:r>
          </w:p>
        </w:tc>
      </w:tr>
      <w:tr w:rsidR="00387142" w:rsidRPr="008B6A75" w14:paraId="4ECD58C9" w14:textId="77777777" w:rsidTr="00387142">
        <w:trPr>
          <w:trHeight w:val="870"/>
        </w:trPr>
        <w:tc>
          <w:tcPr>
            <w:tcW w:w="3261" w:type="dxa"/>
            <w:tcBorders>
              <w:top w:val="nil"/>
              <w:left w:val="single" w:sz="4" w:space="0" w:color="auto"/>
              <w:bottom w:val="single" w:sz="4" w:space="0" w:color="auto"/>
              <w:right w:val="nil"/>
            </w:tcBorders>
            <w:shd w:val="clear" w:color="auto" w:fill="auto"/>
            <w:vAlign w:val="center"/>
            <w:hideMark/>
          </w:tcPr>
          <w:p w14:paraId="03CEFD2D" w14:textId="77777777" w:rsidR="00387142" w:rsidRPr="008B6A75" w:rsidRDefault="00387142" w:rsidP="00387142">
            <w:pPr>
              <w:rPr>
                <w:sz w:val="20"/>
                <w:szCs w:val="20"/>
              </w:rPr>
            </w:pPr>
            <w:r w:rsidRPr="008B6A75">
              <w:rPr>
                <w:sz w:val="20"/>
                <w:szCs w:val="20"/>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36D34C23" w14:textId="77777777" w:rsidR="00387142" w:rsidRPr="008B6A75" w:rsidRDefault="00387142" w:rsidP="00387142">
            <w:pPr>
              <w:jc w:val="center"/>
              <w:rPr>
                <w:sz w:val="20"/>
                <w:szCs w:val="20"/>
              </w:rPr>
            </w:pPr>
            <w:r w:rsidRPr="008B6A75">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31CBBAC" w14:textId="77777777" w:rsidR="00387142" w:rsidRPr="008B6A75" w:rsidRDefault="00387142" w:rsidP="00387142">
            <w:pPr>
              <w:jc w:val="center"/>
              <w:rPr>
                <w:sz w:val="20"/>
                <w:szCs w:val="20"/>
              </w:rPr>
            </w:pPr>
            <w:r w:rsidRPr="008B6A75">
              <w:rPr>
                <w:sz w:val="20"/>
                <w:szCs w:val="20"/>
              </w:rPr>
              <w:t>02</w:t>
            </w:r>
          </w:p>
        </w:tc>
        <w:tc>
          <w:tcPr>
            <w:tcW w:w="1516" w:type="dxa"/>
            <w:tcBorders>
              <w:top w:val="nil"/>
              <w:left w:val="single" w:sz="4" w:space="0" w:color="auto"/>
              <w:bottom w:val="single" w:sz="4" w:space="0" w:color="auto"/>
              <w:right w:val="nil"/>
            </w:tcBorders>
            <w:shd w:val="clear" w:color="auto" w:fill="auto"/>
            <w:noWrap/>
            <w:vAlign w:val="center"/>
            <w:hideMark/>
          </w:tcPr>
          <w:p w14:paraId="605890F8" w14:textId="77777777" w:rsidR="00387142" w:rsidRPr="008B6A75" w:rsidRDefault="00387142" w:rsidP="00387142">
            <w:pPr>
              <w:jc w:val="center"/>
              <w:rPr>
                <w:sz w:val="20"/>
                <w:szCs w:val="20"/>
              </w:rPr>
            </w:pPr>
            <w:r w:rsidRPr="008B6A75">
              <w:rPr>
                <w:sz w:val="20"/>
                <w:szCs w:val="20"/>
              </w:rPr>
              <w:t>07.1.00.03349</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0BE71FB" w14:textId="77777777" w:rsidR="00387142" w:rsidRPr="008B6A75" w:rsidRDefault="00387142" w:rsidP="00387142">
            <w:pPr>
              <w:jc w:val="center"/>
              <w:rPr>
                <w:sz w:val="20"/>
                <w:szCs w:val="20"/>
              </w:rPr>
            </w:pPr>
            <w:r w:rsidRPr="008B6A75">
              <w:rPr>
                <w:sz w:val="20"/>
                <w:szCs w:val="20"/>
              </w:rPr>
              <w:t>240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52775A2" w14:textId="77777777" w:rsidR="00387142" w:rsidRPr="008B6A75" w:rsidRDefault="00387142" w:rsidP="00387142">
            <w:pPr>
              <w:jc w:val="right"/>
              <w:rPr>
                <w:sz w:val="20"/>
                <w:szCs w:val="20"/>
              </w:rPr>
            </w:pPr>
            <w:r w:rsidRPr="008B6A75">
              <w:rPr>
                <w:sz w:val="20"/>
                <w:szCs w:val="20"/>
              </w:rPr>
              <w:t>13 932 054,92</w:t>
            </w:r>
          </w:p>
        </w:tc>
        <w:tc>
          <w:tcPr>
            <w:tcW w:w="992" w:type="dxa"/>
            <w:tcBorders>
              <w:top w:val="nil"/>
              <w:left w:val="single" w:sz="4" w:space="0" w:color="auto"/>
              <w:bottom w:val="single" w:sz="4" w:space="0" w:color="auto"/>
              <w:right w:val="nil"/>
            </w:tcBorders>
            <w:shd w:val="clear" w:color="auto" w:fill="auto"/>
            <w:vAlign w:val="center"/>
            <w:hideMark/>
          </w:tcPr>
          <w:p w14:paraId="35D8C4AF" w14:textId="77777777" w:rsidR="00387142" w:rsidRPr="008B6A75" w:rsidRDefault="00387142" w:rsidP="00387142">
            <w:pPr>
              <w:jc w:val="right"/>
              <w:rPr>
                <w:sz w:val="20"/>
                <w:szCs w:val="20"/>
              </w:rPr>
            </w:pPr>
            <w:r w:rsidRPr="008B6A75">
              <w:rPr>
                <w:sz w:val="20"/>
                <w:szCs w:val="20"/>
              </w:rPr>
              <w:t>12 180 700,00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57FE3894" w14:textId="77777777" w:rsidR="00387142" w:rsidRPr="008B6A75" w:rsidRDefault="00387142" w:rsidP="00387142">
            <w:pPr>
              <w:jc w:val="right"/>
              <w:rPr>
                <w:sz w:val="20"/>
                <w:szCs w:val="20"/>
              </w:rPr>
            </w:pPr>
            <w:r w:rsidRPr="008B6A75">
              <w:rPr>
                <w:sz w:val="20"/>
                <w:szCs w:val="20"/>
              </w:rPr>
              <w:t>12 180 700,00</w:t>
            </w:r>
          </w:p>
        </w:tc>
      </w:tr>
      <w:tr w:rsidR="00387142" w:rsidRPr="008B6A75" w14:paraId="75579F00" w14:textId="77777777" w:rsidTr="00387142">
        <w:trPr>
          <w:trHeight w:val="585"/>
        </w:trPr>
        <w:tc>
          <w:tcPr>
            <w:tcW w:w="3261" w:type="dxa"/>
            <w:tcBorders>
              <w:top w:val="nil"/>
              <w:left w:val="single" w:sz="4" w:space="0" w:color="auto"/>
              <w:bottom w:val="single" w:sz="4" w:space="0" w:color="auto"/>
              <w:right w:val="nil"/>
            </w:tcBorders>
            <w:shd w:val="clear" w:color="auto" w:fill="auto"/>
            <w:vAlign w:val="center"/>
            <w:hideMark/>
          </w:tcPr>
          <w:p w14:paraId="36D3FAC0" w14:textId="77777777" w:rsidR="00387142" w:rsidRPr="008B6A75" w:rsidRDefault="00387142" w:rsidP="00387142">
            <w:pPr>
              <w:rPr>
                <w:sz w:val="20"/>
                <w:szCs w:val="20"/>
              </w:rPr>
            </w:pPr>
            <w:r w:rsidRPr="008B6A75">
              <w:rPr>
                <w:sz w:val="20"/>
                <w:szCs w:val="20"/>
              </w:rPr>
              <w:t>Социальное обеспечение и иные выплаты населению</w:t>
            </w:r>
          </w:p>
        </w:tc>
        <w:tc>
          <w:tcPr>
            <w:tcW w:w="720" w:type="dxa"/>
            <w:tcBorders>
              <w:top w:val="nil"/>
              <w:left w:val="single" w:sz="4" w:space="0" w:color="auto"/>
              <w:bottom w:val="single" w:sz="4" w:space="0" w:color="auto"/>
              <w:right w:val="nil"/>
            </w:tcBorders>
            <w:shd w:val="clear" w:color="auto" w:fill="auto"/>
            <w:noWrap/>
            <w:vAlign w:val="center"/>
            <w:hideMark/>
          </w:tcPr>
          <w:p w14:paraId="7D476885" w14:textId="77777777" w:rsidR="00387142" w:rsidRPr="008B6A75" w:rsidRDefault="00387142" w:rsidP="00387142">
            <w:pPr>
              <w:jc w:val="center"/>
              <w:rPr>
                <w:sz w:val="20"/>
                <w:szCs w:val="20"/>
              </w:rPr>
            </w:pPr>
            <w:r w:rsidRPr="008B6A75">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781AF2D" w14:textId="77777777" w:rsidR="00387142" w:rsidRPr="008B6A75" w:rsidRDefault="00387142" w:rsidP="00387142">
            <w:pPr>
              <w:jc w:val="center"/>
              <w:rPr>
                <w:sz w:val="20"/>
                <w:szCs w:val="20"/>
              </w:rPr>
            </w:pPr>
            <w:r w:rsidRPr="008B6A75">
              <w:rPr>
                <w:sz w:val="20"/>
                <w:szCs w:val="20"/>
              </w:rPr>
              <w:t>02</w:t>
            </w:r>
          </w:p>
        </w:tc>
        <w:tc>
          <w:tcPr>
            <w:tcW w:w="1516" w:type="dxa"/>
            <w:tcBorders>
              <w:top w:val="nil"/>
              <w:left w:val="single" w:sz="4" w:space="0" w:color="auto"/>
              <w:bottom w:val="single" w:sz="4" w:space="0" w:color="auto"/>
              <w:right w:val="nil"/>
            </w:tcBorders>
            <w:shd w:val="clear" w:color="auto" w:fill="auto"/>
            <w:noWrap/>
            <w:vAlign w:val="center"/>
            <w:hideMark/>
          </w:tcPr>
          <w:p w14:paraId="052A2ABE" w14:textId="77777777" w:rsidR="00387142" w:rsidRPr="008B6A75" w:rsidRDefault="00387142" w:rsidP="00387142">
            <w:pPr>
              <w:jc w:val="center"/>
              <w:rPr>
                <w:sz w:val="20"/>
                <w:szCs w:val="20"/>
              </w:rPr>
            </w:pPr>
            <w:r w:rsidRPr="008B6A75">
              <w:rPr>
                <w:sz w:val="20"/>
                <w:szCs w:val="20"/>
              </w:rPr>
              <w:t>07.1.00.03349</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DB662E3" w14:textId="77777777" w:rsidR="00387142" w:rsidRPr="008B6A75" w:rsidRDefault="00387142" w:rsidP="00387142">
            <w:pPr>
              <w:jc w:val="center"/>
              <w:rPr>
                <w:sz w:val="20"/>
                <w:szCs w:val="20"/>
              </w:rPr>
            </w:pPr>
            <w:r w:rsidRPr="008B6A75">
              <w:rPr>
                <w:sz w:val="20"/>
                <w:szCs w:val="20"/>
              </w:rPr>
              <w:t>300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8FC6A38" w14:textId="77777777" w:rsidR="00387142" w:rsidRPr="008B6A75" w:rsidRDefault="00387142" w:rsidP="00387142">
            <w:pPr>
              <w:jc w:val="right"/>
              <w:rPr>
                <w:sz w:val="20"/>
                <w:szCs w:val="20"/>
              </w:rPr>
            </w:pPr>
            <w:r w:rsidRPr="008B6A75">
              <w:rPr>
                <w:sz w:val="20"/>
                <w:szCs w:val="20"/>
              </w:rPr>
              <w:t>126 466,00</w:t>
            </w:r>
          </w:p>
        </w:tc>
        <w:tc>
          <w:tcPr>
            <w:tcW w:w="992" w:type="dxa"/>
            <w:tcBorders>
              <w:top w:val="nil"/>
              <w:left w:val="single" w:sz="4" w:space="0" w:color="auto"/>
              <w:bottom w:val="single" w:sz="4" w:space="0" w:color="auto"/>
              <w:right w:val="nil"/>
            </w:tcBorders>
            <w:shd w:val="clear" w:color="auto" w:fill="auto"/>
            <w:vAlign w:val="center"/>
            <w:hideMark/>
          </w:tcPr>
          <w:p w14:paraId="2683B253" w14:textId="77777777" w:rsidR="00387142" w:rsidRPr="008B6A75" w:rsidRDefault="00387142" w:rsidP="00387142">
            <w:pPr>
              <w:jc w:val="right"/>
              <w:rPr>
                <w:sz w:val="20"/>
                <w:szCs w:val="20"/>
              </w:rPr>
            </w:pPr>
            <w:r w:rsidRPr="008B6A75">
              <w:rPr>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255CD4AC" w14:textId="77777777" w:rsidR="00387142" w:rsidRPr="008B6A75" w:rsidRDefault="00387142" w:rsidP="00387142">
            <w:pPr>
              <w:jc w:val="right"/>
              <w:rPr>
                <w:sz w:val="20"/>
                <w:szCs w:val="20"/>
              </w:rPr>
            </w:pPr>
            <w:r w:rsidRPr="008B6A75">
              <w:rPr>
                <w:sz w:val="20"/>
                <w:szCs w:val="20"/>
              </w:rPr>
              <w:t>0,00</w:t>
            </w:r>
          </w:p>
        </w:tc>
      </w:tr>
      <w:tr w:rsidR="00387142" w:rsidRPr="008B6A75" w14:paraId="2565D073" w14:textId="77777777" w:rsidTr="00387142">
        <w:trPr>
          <w:trHeight w:val="585"/>
        </w:trPr>
        <w:tc>
          <w:tcPr>
            <w:tcW w:w="3261" w:type="dxa"/>
            <w:tcBorders>
              <w:top w:val="nil"/>
              <w:left w:val="single" w:sz="4" w:space="0" w:color="auto"/>
              <w:bottom w:val="single" w:sz="4" w:space="0" w:color="auto"/>
              <w:right w:val="nil"/>
            </w:tcBorders>
            <w:shd w:val="clear" w:color="auto" w:fill="auto"/>
            <w:vAlign w:val="center"/>
            <w:hideMark/>
          </w:tcPr>
          <w:p w14:paraId="3D7BBF02" w14:textId="77777777" w:rsidR="00387142" w:rsidRPr="008B6A75" w:rsidRDefault="00387142" w:rsidP="00387142">
            <w:pPr>
              <w:rPr>
                <w:sz w:val="20"/>
                <w:szCs w:val="20"/>
              </w:rPr>
            </w:pPr>
            <w:r w:rsidRPr="008B6A75">
              <w:rPr>
                <w:sz w:val="20"/>
                <w:szCs w:val="20"/>
              </w:rPr>
              <w:t>Социальные выплаты гражданам, кроме публичных нормативных социальных выплат</w:t>
            </w:r>
          </w:p>
        </w:tc>
        <w:tc>
          <w:tcPr>
            <w:tcW w:w="720" w:type="dxa"/>
            <w:tcBorders>
              <w:top w:val="nil"/>
              <w:left w:val="single" w:sz="4" w:space="0" w:color="auto"/>
              <w:bottom w:val="single" w:sz="4" w:space="0" w:color="auto"/>
              <w:right w:val="nil"/>
            </w:tcBorders>
            <w:shd w:val="clear" w:color="auto" w:fill="auto"/>
            <w:noWrap/>
            <w:vAlign w:val="center"/>
            <w:hideMark/>
          </w:tcPr>
          <w:p w14:paraId="4F5B7AE1" w14:textId="77777777" w:rsidR="00387142" w:rsidRPr="008B6A75" w:rsidRDefault="00387142" w:rsidP="00387142">
            <w:pPr>
              <w:jc w:val="center"/>
              <w:rPr>
                <w:sz w:val="20"/>
                <w:szCs w:val="20"/>
              </w:rPr>
            </w:pPr>
            <w:r w:rsidRPr="008B6A75">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385EAB3" w14:textId="77777777" w:rsidR="00387142" w:rsidRPr="008B6A75" w:rsidRDefault="00387142" w:rsidP="00387142">
            <w:pPr>
              <w:jc w:val="center"/>
              <w:rPr>
                <w:sz w:val="20"/>
                <w:szCs w:val="20"/>
              </w:rPr>
            </w:pPr>
            <w:r w:rsidRPr="008B6A75">
              <w:rPr>
                <w:sz w:val="20"/>
                <w:szCs w:val="20"/>
              </w:rPr>
              <w:t>02</w:t>
            </w:r>
          </w:p>
        </w:tc>
        <w:tc>
          <w:tcPr>
            <w:tcW w:w="1516" w:type="dxa"/>
            <w:tcBorders>
              <w:top w:val="nil"/>
              <w:left w:val="single" w:sz="4" w:space="0" w:color="auto"/>
              <w:bottom w:val="single" w:sz="4" w:space="0" w:color="auto"/>
              <w:right w:val="nil"/>
            </w:tcBorders>
            <w:shd w:val="clear" w:color="auto" w:fill="auto"/>
            <w:noWrap/>
            <w:vAlign w:val="center"/>
            <w:hideMark/>
          </w:tcPr>
          <w:p w14:paraId="43898A27" w14:textId="77777777" w:rsidR="00387142" w:rsidRPr="008B6A75" w:rsidRDefault="00387142" w:rsidP="00387142">
            <w:pPr>
              <w:jc w:val="center"/>
              <w:rPr>
                <w:sz w:val="20"/>
                <w:szCs w:val="20"/>
              </w:rPr>
            </w:pPr>
            <w:r w:rsidRPr="008B6A75">
              <w:rPr>
                <w:sz w:val="20"/>
                <w:szCs w:val="20"/>
              </w:rPr>
              <w:t>07.1.00.03349</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E85CBB1" w14:textId="77777777" w:rsidR="00387142" w:rsidRPr="008B6A75" w:rsidRDefault="00387142" w:rsidP="00387142">
            <w:pPr>
              <w:jc w:val="center"/>
              <w:rPr>
                <w:sz w:val="20"/>
                <w:szCs w:val="20"/>
              </w:rPr>
            </w:pPr>
            <w:r w:rsidRPr="008B6A75">
              <w:rPr>
                <w:sz w:val="20"/>
                <w:szCs w:val="20"/>
              </w:rPr>
              <w:t>320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DE410C1" w14:textId="77777777" w:rsidR="00387142" w:rsidRPr="008B6A75" w:rsidRDefault="00387142" w:rsidP="00387142">
            <w:pPr>
              <w:jc w:val="right"/>
              <w:rPr>
                <w:sz w:val="20"/>
                <w:szCs w:val="20"/>
              </w:rPr>
            </w:pPr>
            <w:r w:rsidRPr="008B6A75">
              <w:rPr>
                <w:sz w:val="20"/>
                <w:szCs w:val="20"/>
              </w:rPr>
              <w:t>126 466,00</w:t>
            </w:r>
          </w:p>
        </w:tc>
        <w:tc>
          <w:tcPr>
            <w:tcW w:w="992" w:type="dxa"/>
            <w:tcBorders>
              <w:top w:val="nil"/>
              <w:left w:val="single" w:sz="4" w:space="0" w:color="auto"/>
              <w:bottom w:val="single" w:sz="4" w:space="0" w:color="auto"/>
              <w:right w:val="nil"/>
            </w:tcBorders>
            <w:shd w:val="clear" w:color="auto" w:fill="auto"/>
            <w:vAlign w:val="center"/>
            <w:hideMark/>
          </w:tcPr>
          <w:p w14:paraId="71639294" w14:textId="77777777" w:rsidR="00387142" w:rsidRPr="008B6A75" w:rsidRDefault="00387142" w:rsidP="00387142">
            <w:pPr>
              <w:jc w:val="right"/>
              <w:rPr>
                <w:sz w:val="20"/>
                <w:szCs w:val="20"/>
              </w:rPr>
            </w:pPr>
            <w:r w:rsidRPr="008B6A75">
              <w:rPr>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13FB2923" w14:textId="77777777" w:rsidR="00387142" w:rsidRPr="008B6A75" w:rsidRDefault="00387142" w:rsidP="00387142">
            <w:pPr>
              <w:jc w:val="right"/>
              <w:rPr>
                <w:sz w:val="20"/>
                <w:szCs w:val="20"/>
              </w:rPr>
            </w:pPr>
            <w:r w:rsidRPr="008B6A75">
              <w:rPr>
                <w:sz w:val="20"/>
                <w:szCs w:val="20"/>
              </w:rPr>
              <w:t>0,00</w:t>
            </w:r>
          </w:p>
        </w:tc>
      </w:tr>
      <w:tr w:rsidR="00387142" w:rsidRPr="008B6A75" w14:paraId="5A329CD0" w14:textId="77777777" w:rsidTr="00387142">
        <w:trPr>
          <w:trHeight w:val="870"/>
        </w:trPr>
        <w:tc>
          <w:tcPr>
            <w:tcW w:w="3261" w:type="dxa"/>
            <w:tcBorders>
              <w:top w:val="nil"/>
              <w:left w:val="single" w:sz="4" w:space="0" w:color="auto"/>
              <w:bottom w:val="single" w:sz="4" w:space="0" w:color="auto"/>
              <w:right w:val="nil"/>
            </w:tcBorders>
            <w:shd w:val="clear" w:color="auto" w:fill="auto"/>
            <w:vAlign w:val="center"/>
            <w:hideMark/>
          </w:tcPr>
          <w:p w14:paraId="4DFA901D" w14:textId="77777777" w:rsidR="00387142" w:rsidRPr="008B6A75" w:rsidRDefault="00387142" w:rsidP="00387142">
            <w:pPr>
              <w:rPr>
                <w:sz w:val="20"/>
                <w:szCs w:val="20"/>
              </w:rPr>
            </w:pPr>
            <w:r w:rsidRPr="008B6A75">
              <w:rPr>
                <w:sz w:val="20"/>
                <w:szCs w:val="20"/>
              </w:rPr>
              <w:t>Предоставление субсидий бюджетным, автономным учреждениям и иным некоммерческим организациям</w:t>
            </w:r>
          </w:p>
        </w:tc>
        <w:tc>
          <w:tcPr>
            <w:tcW w:w="720" w:type="dxa"/>
            <w:tcBorders>
              <w:top w:val="nil"/>
              <w:left w:val="single" w:sz="4" w:space="0" w:color="auto"/>
              <w:bottom w:val="single" w:sz="4" w:space="0" w:color="auto"/>
              <w:right w:val="nil"/>
            </w:tcBorders>
            <w:shd w:val="clear" w:color="auto" w:fill="auto"/>
            <w:noWrap/>
            <w:vAlign w:val="center"/>
            <w:hideMark/>
          </w:tcPr>
          <w:p w14:paraId="20777530" w14:textId="77777777" w:rsidR="00387142" w:rsidRPr="008B6A75" w:rsidRDefault="00387142" w:rsidP="00387142">
            <w:pPr>
              <w:jc w:val="center"/>
              <w:rPr>
                <w:sz w:val="20"/>
                <w:szCs w:val="20"/>
              </w:rPr>
            </w:pPr>
            <w:r w:rsidRPr="008B6A75">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1D7854F" w14:textId="77777777" w:rsidR="00387142" w:rsidRPr="008B6A75" w:rsidRDefault="00387142" w:rsidP="00387142">
            <w:pPr>
              <w:jc w:val="center"/>
              <w:rPr>
                <w:sz w:val="20"/>
                <w:szCs w:val="20"/>
              </w:rPr>
            </w:pPr>
            <w:r w:rsidRPr="008B6A75">
              <w:rPr>
                <w:sz w:val="20"/>
                <w:szCs w:val="20"/>
              </w:rPr>
              <w:t>02</w:t>
            </w:r>
          </w:p>
        </w:tc>
        <w:tc>
          <w:tcPr>
            <w:tcW w:w="1516" w:type="dxa"/>
            <w:tcBorders>
              <w:top w:val="nil"/>
              <w:left w:val="single" w:sz="4" w:space="0" w:color="auto"/>
              <w:bottom w:val="single" w:sz="4" w:space="0" w:color="auto"/>
              <w:right w:val="nil"/>
            </w:tcBorders>
            <w:shd w:val="clear" w:color="auto" w:fill="auto"/>
            <w:noWrap/>
            <w:vAlign w:val="center"/>
            <w:hideMark/>
          </w:tcPr>
          <w:p w14:paraId="6421FD7D" w14:textId="77777777" w:rsidR="00387142" w:rsidRPr="008B6A75" w:rsidRDefault="00387142" w:rsidP="00387142">
            <w:pPr>
              <w:jc w:val="center"/>
              <w:rPr>
                <w:sz w:val="20"/>
                <w:szCs w:val="20"/>
              </w:rPr>
            </w:pPr>
            <w:r w:rsidRPr="008B6A75">
              <w:rPr>
                <w:sz w:val="20"/>
                <w:szCs w:val="20"/>
              </w:rPr>
              <w:t>07.1.00.03349</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706A3CB" w14:textId="77777777" w:rsidR="00387142" w:rsidRPr="008B6A75" w:rsidRDefault="00387142" w:rsidP="00387142">
            <w:pPr>
              <w:jc w:val="center"/>
              <w:rPr>
                <w:sz w:val="20"/>
                <w:szCs w:val="20"/>
              </w:rPr>
            </w:pPr>
            <w:r w:rsidRPr="008B6A75">
              <w:rPr>
                <w:sz w:val="20"/>
                <w:szCs w:val="20"/>
              </w:rPr>
              <w:t>600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4C64E22" w14:textId="77777777" w:rsidR="00387142" w:rsidRPr="008B6A75" w:rsidRDefault="00387142" w:rsidP="00387142">
            <w:pPr>
              <w:jc w:val="right"/>
              <w:rPr>
                <w:sz w:val="20"/>
                <w:szCs w:val="20"/>
              </w:rPr>
            </w:pPr>
            <w:r w:rsidRPr="008B6A75">
              <w:rPr>
                <w:sz w:val="20"/>
                <w:szCs w:val="20"/>
              </w:rPr>
              <w:t>9 158 100,00</w:t>
            </w:r>
          </w:p>
        </w:tc>
        <w:tc>
          <w:tcPr>
            <w:tcW w:w="992" w:type="dxa"/>
            <w:tcBorders>
              <w:top w:val="nil"/>
              <w:left w:val="single" w:sz="4" w:space="0" w:color="auto"/>
              <w:bottom w:val="single" w:sz="4" w:space="0" w:color="auto"/>
              <w:right w:val="nil"/>
            </w:tcBorders>
            <w:shd w:val="clear" w:color="auto" w:fill="auto"/>
            <w:vAlign w:val="center"/>
            <w:hideMark/>
          </w:tcPr>
          <w:p w14:paraId="66B02858" w14:textId="77777777" w:rsidR="00387142" w:rsidRPr="008B6A75" w:rsidRDefault="00387142" w:rsidP="00387142">
            <w:pPr>
              <w:jc w:val="right"/>
              <w:rPr>
                <w:sz w:val="20"/>
                <w:szCs w:val="20"/>
              </w:rPr>
            </w:pPr>
            <w:r w:rsidRPr="008B6A75">
              <w:rPr>
                <w:sz w:val="20"/>
                <w:szCs w:val="20"/>
              </w:rPr>
              <w:t>6 830 200,00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0F08A870" w14:textId="77777777" w:rsidR="00387142" w:rsidRPr="008B6A75" w:rsidRDefault="00387142" w:rsidP="00387142">
            <w:pPr>
              <w:jc w:val="right"/>
              <w:rPr>
                <w:sz w:val="20"/>
                <w:szCs w:val="20"/>
              </w:rPr>
            </w:pPr>
            <w:r w:rsidRPr="008B6A75">
              <w:rPr>
                <w:sz w:val="20"/>
                <w:szCs w:val="20"/>
              </w:rPr>
              <w:t>6 830 200,00</w:t>
            </w:r>
          </w:p>
        </w:tc>
      </w:tr>
      <w:tr w:rsidR="00387142" w:rsidRPr="008B6A75" w14:paraId="75C161CE" w14:textId="77777777" w:rsidTr="00387142">
        <w:trPr>
          <w:trHeight w:val="345"/>
        </w:trPr>
        <w:tc>
          <w:tcPr>
            <w:tcW w:w="3261" w:type="dxa"/>
            <w:tcBorders>
              <w:top w:val="nil"/>
              <w:left w:val="single" w:sz="4" w:space="0" w:color="auto"/>
              <w:bottom w:val="single" w:sz="4" w:space="0" w:color="auto"/>
              <w:right w:val="nil"/>
            </w:tcBorders>
            <w:shd w:val="clear" w:color="auto" w:fill="auto"/>
            <w:vAlign w:val="center"/>
            <w:hideMark/>
          </w:tcPr>
          <w:p w14:paraId="62B6C661" w14:textId="77777777" w:rsidR="00387142" w:rsidRPr="008B6A75" w:rsidRDefault="00387142" w:rsidP="00387142">
            <w:pPr>
              <w:rPr>
                <w:sz w:val="20"/>
                <w:szCs w:val="20"/>
              </w:rPr>
            </w:pPr>
            <w:r w:rsidRPr="008B6A75">
              <w:rPr>
                <w:sz w:val="20"/>
                <w:szCs w:val="20"/>
              </w:rPr>
              <w:t>Субсидии бюджетным учреждениям</w:t>
            </w:r>
          </w:p>
        </w:tc>
        <w:tc>
          <w:tcPr>
            <w:tcW w:w="720" w:type="dxa"/>
            <w:tcBorders>
              <w:top w:val="nil"/>
              <w:left w:val="single" w:sz="4" w:space="0" w:color="auto"/>
              <w:bottom w:val="single" w:sz="4" w:space="0" w:color="auto"/>
              <w:right w:val="nil"/>
            </w:tcBorders>
            <w:shd w:val="clear" w:color="auto" w:fill="auto"/>
            <w:noWrap/>
            <w:vAlign w:val="center"/>
            <w:hideMark/>
          </w:tcPr>
          <w:p w14:paraId="18E569E2" w14:textId="77777777" w:rsidR="00387142" w:rsidRPr="008B6A75" w:rsidRDefault="00387142" w:rsidP="00387142">
            <w:pPr>
              <w:jc w:val="center"/>
              <w:rPr>
                <w:sz w:val="20"/>
                <w:szCs w:val="20"/>
              </w:rPr>
            </w:pPr>
            <w:r w:rsidRPr="008B6A75">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41BB322" w14:textId="77777777" w:rsidR="00387142" w:rsidRPr="008B6A75" w:rsidRDefault="00387142" w:rsidP="00387142">
            <w:pPr>
              <w:jc w:val="center"/>
              <w:rPr>
                <w:sz w:val="20"/>
                <w:szCs w:val="20"/>
              </w:rPr>
            </w:pPr>
            <w:r w:rsidRPr="008B6A75">
              <w:rPr>
                <w:sz w:val="20"/>
                <w:szCs w:val="20"/>
              </w:rPr>
              <w:t>02</w:t>
            </w:r>
          </w:p>
        </w:tc>
        <w:tc>
          <w:tcPr>
            <w:tcW w:w="1516" w:type="dxa"/>
            <w:tcBorders>
              <w:top w:val="nil"/>
              <w:left w:val="single" w:sz="4" w:space="0" w:color="auto"/>
              <w:bottom w:val="single" w:sz="4" w:space="0" w:color="auto"/>
              <w:right w:val="nil"/>
            </w:tcBorders>
            <w:shd w:val="clear" w:color="auto" w:fill="auto"/>
            <w:noWrap/>
            <w:vAlign w:val="center"/>
            <w:hideMark/>
          </w:tcPr>
          <w:p w14:paraId="25B3E363" w14:textId="77777777" w:rsidR="00387142" w:rsidRPr="008B6A75" w:rsidRDefault="00387142" w:rsidP="00387142">
            <w:pPr>
              <w:jc w:val="center"/>
              <w:rPr>
                <w:sz w:val="20"/>
                <w:szCs w:val="20"/>
              </w:rPr>
            </w:pPr>
            <w:r w:rsidRPr="008B6A75">
              <w:rPr>
                <w:sz w:val="20"/>
                <w:szCs w:val="20"/>
              </w:rPr>
              <w:t>07.1.00.03349</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127241C" w14:textId="77777777" w:rsidR="00387142" w:rsidRPr="008B6A75" w:rsidRDefault="00387142" w:rsidP="00387142">
            <w:pPr>
              <w:jc w:val="center"/>
              <w:rPr>
                <w:sz w:val="20"/>
                <w:szCs w:val="20"/>
              </w:rPr>
            </w:pPr>
            <w:r w:rsidRPr="008B6A75">
              <w:rPr>
                <w:sz w:val="20"/>
                <w:szCs w:val="20"/>
              </w:rPr>
              <w:t>610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5A1032A" w14:textId="77777777" w:rsidR="00387142" w:rsidRPr="008B6A75" w:rsidRDefault="00387142" w:rsidP="00387142">
            <w:pPr>
              <w:jc w:val="right"/>
              <w:rPr>
                <w:sz w:val="20"/>
                <w:szCs w:val="20"/>
              </w:rPr>
            </w:pPr>
            <w:r w:rsidRPr="008B6A75">
              <w:rPr>
                <w:sz w:val="20"/>
                <w:szCs w:val="20"/>
              </w:rPr>
              <w:t>9 158 100,00</w:t>
            </w:r>
          </w:p>
        </w:tc>
        <w:tc>
          <w:tcPr>
            <w:tcW w:w="992" w:type="dxa"/>
            <w:tcBorders>
              <w:top w:val="nil"/>
              <w:left w:val="single" w:sz="4" w:space="0" w:color="auto"/>
              <w:bottom w:val="single" w:sz="4" w:space="0" w:color="auto"/>
              <w:right w:val="nil"/>
            </w:tcBorders>
            <w:shd w:val="clear" w:color="auto" w:fill="auto"/>
            <w:vAlign w:val="center"/>
            <w:hideMark/>
          </w:tcPr>
          <w:p w14:paraId="1D03368E" w14:textId="77777777" w:rsidR="00387142" w:rsidRPr="008B6A75" w:rsidRDefault="00387142" w:rsidP="00387142">
            <w:pPr>
              <w:jc w:val="right"/>
              <w:rPr>
                <w:sz w:val="20"/>
                <w:szCs w:val="20"/>
              </w:rPr>
            </w:pPr>
            <w:r w:rsidRPr="008B6A75">
              <w:rPr>
                <w:sz w:val="20"/>
                <w:szCs w:val="20"/>
              </w:rPr>
              <w:t>6 830 200,00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1F50B1CA" w14:textId="77777777" w:rsidR="00387142" w:rsidRPr="008B6A75" w:rsidRDefault="00387142" w:rsidP="00387142">
            <w:pPr>
              <w:jc w:val="right"/>
              <w:rPr>
                <w:sz w:val="20"/>
                <w:szCs w:val="20"/>
              </w:rPr>
            </w:pPr>
            <w:r w:rsidRPr="008B6A75">
              <w:rPr>
                <w:sz w:val="20"/>
                <w:szCs w:val="20"/>
              </w:rPr>
              <w:t>6 830 200,00</w:t>
            </w:r>
          </w:p>
        </w:tc>
      </w:tr>
      <w:tr w:rsidR="00387142" w:rsidRPr="008B6A75" w14:paraId="5ABCAB6C" w14:textId="77777777" w:rsidTr="00387142">
        <w:trPr>
          <w:trHeight w:val="2580"/>
        </w:trPr>
        <w:tc>
          <w:tcPr>
            <w:tcW w:w="3261" w:type="dxa"/>
            <w:tcBorders>
              <w:top w:val="nil"/>
              <w:left w:val="single" w:sz="4" w:space="0" w:color="auto"/>
              <w:bottom w:val="single" w:sz="4" w:space="0" w:color="auto"/>
              <w:right w:val="nil"/>
            </w:tcBorders>
            <w:shd w:val="clear" w:color="auto" w:fill="auto"/>
            <w:vAlign w:val="center"/>
            <w:hideMark/>
          </w:tcPr>
          <w:p w14:paraId="16D20A5C" w14:textId="77777777" w:rsidR="00387142" w:rsidRPr="008B6A75" w:rsidRDefault="00387142" w:rsidP="00387142">
            <w:pPr>
              <w:rPr>
                <w:bCs/>
                <w:sz w:val="20"/>
                <w:szCs w:val="20"/>
              </w:rPr>
            </w:pPr>
            <w:r w:rsidRPr="008B6A75">
              <w:rPr>
                <w:bCs/>
                <w:sz w:val="20"/>
                <w:szCs w:val="20"/>
              </w:rPr>
              <w:t>Ежемесячное денежное вознаграждение за классное руководство педагогическим работникам муниципальных общеобразовательных организаций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за счет средств ОБ</w:t>
            </w:r>
          </w:p>
        </w:tc>
        <w:tc>
          <w:tcPr>
            <w:tcW w:w="720" w:type="dxa"/>
            <w:tcBorders>
              <w:top w:val="nil"/>
              <w:left w:val="single" w:sz="4" w:space="0" w:color="auto"/>
              <w:bottom w:val="single" w:sz="4" w:space="0" w:color="auto"/>
              <w:right w:val="nil"/>
            </w:tcBorders>
            <w:shd w:val="clear" w:color="auto" w:fill="auto"/>
            <w:noWrap/>
            <w:vAlign w:val="center"/>
            <w:hideMark/>
          </w:tcPr>
          <w:p w14:paraId="12E41BE7" w14:textId="77777777" w:rsidR="00387142" w:rsidRPr="008B6A75" w:rsidRDefault="00387142" w:rsidP="00387142">
            <w:pPr>
              <w:jc w:val="center"/>
              <w:rPr>
                <w:bCs/>
                <w:sz w:val="20"/>
                <w:szCs w:val="20"/>
              </w:rPr>
            </w:pPr>
            <w:r w:rsidRPr="008B6A75">
              <w:rPr>
                <w:bCs/>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40F3466" w14:textId="77777777" w:rsidR="00387142" w:rsidRPr="008B6A75" w:rsidRDefault="00387142" w:rsidP="00387142">
            <w:pPr>
              <w:jc w:val="center"/>
              <w:rPr>
                <w:bCs/>
                <w:sz w:val="20"/>
                <w:szCs w:val="20"/>
              </w:rPr>
            </w:pPr>
            <w:r w:rsidRPr="008B6A75">
              <w:rPr>
                <w:bCs/>
                <w:sz w:val="20"/>
                <w:szCs w:val="20"/>
              </w:rPr>
              <w:t>02</w:t>
            </w:r>
          </w:p>
        </w:tc>
        <w:tc>
          <w:tcPr>
            <w:tcW w:w="1516" w:type="dxa"/>
            <w:tcBorders>
              <w:top w:val="nil"/>
              <w:left w:val="single" w:sz="4" w:space="0" w:color="auto"/>
              <w:bottom w:val="single" w:sz="4" w:space="0" w:color="auto"/>
              <w:right w:val="nil"/>
            </w:tcBorders>
            <w:shd w:val="clear" w:color="auto" w:fill="auto"/>
            <w:noWrap/>
            <w:vAlign w:val="center"/>
            <w:hideMark/>
          </w:tcPr>
          <w:p w14:paraId="665A11D5" w14:textId="77777777" w:rsidR="00387142" w:rsidRPr="008B6A75" w:rsidRDefault="00387142" w:rsidP="00387142">
            <w:pPr>
              <w:jc w:val="center"/>
              <w:rPr>
                <w:bCs/>
                <w:sz w:val="20"/>
                <w:szCs w:val="20"/>
              </w:rPr>
            </w:pPr>
            <w:r w:rsidRPr="008B6A75">
              <w:rPr>
                <w:bCs/>
                <w:sz w:val="20"/>
                <w:szCs w:val="20"/>
              </w:rPr>
              <w:t>07.1.00.03350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86AFDFC"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B9E6BB7" w14:textId="77777777" w:rsidR="00387142" w:rsidRPr="008B6A75" w:rsidRDefault="00387142" w:rsidP="00387142">
            <w:pPr>
              <w:jc w:val="right"/>
              <w:rPr>
                <w:bCs/>
                <w:sz w:val="20"/>
                <w:szCs w:val="20"/>
              </w:rPr>
            </w:pPr>
            <w:r w:rsidRPr="008B6A75">
              <w:rPr>
                <w:bCs/>
                <w:sz w:val="20"/>
                <w:szCs w:val="20"/>
              </w:rPr>
              <w:t>1 484 300,00</w:t>
            </w:r>
          </w:p>
        </w:tc>
        <w:tc>
          <w:tcPr>
            <w:tcW w:w="992" w:type="dxa"/>
            <w:tcBorders>
              <w:top w:val="nil"/>
              <w:left w:val="single" w:sz="4" w:space="0" w:color="auto"/>
              <w:bottom w:val="single" w:sz="4" w:space="0" w:color="auto"/>
              <w:right w:val="nil"/>
            </w:tcBorders>
            <w:shd w:val="clear" w:color="auto" w:fill="auto"/>
            <w:vAlign w:val="center"/>
            <w:hideMark/>
          </w:tcPr>
          <w:p w14:paraId="779703AC" w14:textId="77777777" w:rsidR="00387142" w:rsidRPr="008B6A75" w:rsidRDefault="00387142" w:rsidP="00387142">
            <w:pPr>
              <w:jc w:val="right"/>
              <w:rPr>
                <w:bCs/>
                <w:sz w:val="20"/>
                <w:szCs w:val="20"/>
              </w:rPr>
            </w:pPr>
            <w:r w:rsidRPr="008B6A75">
              <w:rPr>
                <w:bCs/>
                <w:sz w:val="20"/>
                <w:szCs w:val="20"/>
              </w:rPr>
              <w:t>1 484 300,00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7774E686" w14:textId="77777777" w:rsidR="00387142" w:rsidRPr="008B6A75" w:rsidRDefault="00387142" w:rsidP="00387142">
            <w:pPr>
              <w:jc w:val="right"/>
              <w:rPr>
                <w:bCs/>
                <w:sz w:val="20"/>
                <w:szCs w:val="20"/>
              </w:rPr>
            </w:pPr>
            <w:r w:rsidRPr="008B6A75">
              <w:rPr>
                <w:bCs/>
                <w:sz w:val="20"/>
                <w:szCs w:val="20"/>
              </w:rPr>
              <w:t>1 484 300,00</w:t>
            </w:r>
          </w:p>
        </w:tc>
      </w:tr>
      <w:tr w:rsidR="00387142" w:rsidRPr="008B6A75" w14:paraId="08640107" w14:textId="77777777" w:rsidTr="00387142">
        <w:trPr>
          <w:trHeight w:val="1440"/>
        </w:trPr>
        <w:tc>
          <w:tcPr>
            <w:tcW w:w="3261" w:type="dxa"/>
            <w:tcBorders>
              <w:top w:val="nil"/>
              <w:left w:val="single" w:sz="4" w:space="0" w:color="auto"/>
              <w:bottom w:val="single" w:sz="4" w:space="0" w:color="auto"/>
              <w:right w:val="nil"/>
            </w:tcBorders>
            <w:shd w:val="clear" w:color="auto" w:fill="auto"/>
            <w:vAlign w:val="center"/>
            <w:hideMark/>
          </w:tcPr>
          <w:p w14:paraId="13093B1C" w14:textId="77777777" w:rsidR="00387142" w:rsidRPr="008B6A75" w:rsidRDefault="00387142" w:rsidP="00387142">
            <w:pPr>
              <w:rPr>
                <w:sz w:val="20"/>
                <w:szCs w:val="20"/>
              </w:rPr>
            </w:pPr>
            <w:r w:rsidRPr="008B6A7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14:paraId="642D51B9" w14:textId="77777777" w:rsidR="00387142" w:rsidRPr="008B6A75" w:rsidRDefault="00387142" w:rsidP="00387142">
            <w:pPr>
              <w:jc w:val="center"/>
              <w:rPr>
                <w:sz w:val="20"/>
                <w:szCs w:val="20"/>
              </w:rPr>
            </w:pPr>
            <w:r w:rsidRPr="008B6A75">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9A51B05" w14:textId="77777777" w:rsidR="00387142" w:rsidRPr="008B6A75" w:rsidRDefault="00387142" w:rsidP="00387142">
            <w:pPr>
              <w:jc w:val="center"/>
              <w:rPr>
                <w:sz w:val="20"/>
                <w:szCs w:val="20"/>
              </w:rPr>
            </w:pPr>
            <w:r w:rsidRPr="008B6A75">
              <w:rPr>
                <w:sz w:val="20"/>
                <w:szCs w:val="20"/>
              </w:rPr>
              <w:t>02</w:t>
            </w:r>
          </w:p>
        </w:tc>
        <w:tc>
          <w:tcPr>
            <w:tcW w:w="1516" w:type="dxa"/>
            <w:tcBorders>
              <w:top w:val="nil"/>
              <w:left w:val="single" w:sz="4" w:space="0" w:color="auto"/>
              <w:bottom w:val="single" w:sz="4" w:space="0" w:color="auto"/>
              <w:right w:val="nil"/>
            </w:tcBorders>
            <w:shd w:val="clear" w:color="auto" w:fill="auto"/>
            <w:noWrap/>
            <w:vAlign w:val="center"/>
            <w:hideMark/>
          </w:tcPr>
          <w:p w14:paraId="0E0A6F7A" w14:textId="77777777" w:rsidR="00387142" w:rsidRPr="008B6A75" w:rsidRDefault="00387142" w:rsidP="00387142">
            <w:pPr>
              <w:jc w:val="center"/>
              <w:rPr>
                <w:sz w:val="20"/>
                <w:szCs w:val="20"/>
              </w:rPr>
            </w:pPr>
            <w:r w:rsidRPr="008B6A75">
              <w:rPr>
                <w:sz w:val="20"/>
                <w:szCs w:val="20"/>
              </w:rPr>
              <w:t>07.1.00.03350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1635AEF" w14:textId="77777777" w:rsidR="00387142" w:rsidRPr="008B6A75" w:rsidRDefault="00387142" w:rsidP="00387142">
            <w:pPr>
              <w:jc w:val="center"/>
              <w:rPr>
                <w:sz w:val="20"/>
                <w:szCs w:val="20"/>
              </w:rPr>
            </w:pPr>
            <w:r w:rsidRPr="008B6A75">
              <w:rPr>
                <w:sz w:val="20"/>
                <w:szCs w:val="20"/>
              </w:rPr>
              <w:t>100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BA464D5" w14:textId="77777777" w:rsidR="00387142" w:rsidRPr="008B6A75" w:rsidRDefault="00387142" w:rsidP="00387142">
            <w:pPr>
              <w:jc w:val="right"/>
              <w:rPr>
                <w:sz w:val="20"/>
                <w:szCs w:val="20"/>
              </w:rPr>
            </w:pPr>
            <w:r w:rsidRPr="008B6A75">
              <w:rPr>
                <w:sz w:val="20"/>
                <w:szCs w:val="20"/>
              </w:rPr>
              <w:t>765 596,00</w:t>
            </w:r>
          </w:p>
        </w:tc>
        <w:tc>
          <w:tcPr>
            <w:tcW w:w="992" w:type="dxa"/>
            <w:tcBorders>
              <w:top w:val="nil"/>
              <w:left w:val="single" w:sz="4" w:space="0" w:color="auto"/>
              <w:bottom w:val="single" w:sz="4" w:space="0" w:color="auto"/>
              <w:right w:val="nil"/>
            </w:tcBorders>
            <w:shd w:val="clear" w:color="auto" w:fill="auto"/>
            <w:vAlign w:val="center"/>
            <w:hideMark/>
          </w:tcPr>
          <w:p w14:paraId="0CBD0956" w14:textId="77777777" w:rsidR="00387142" w:rsidRPr="008B6A75" w:rsidRDefault="00387142" w:rsidP="00387142">
            <w:pPr>
              <w:jc w:val="right"/>
              <w:rPr>
                <w:sz w:val="20"/>
                <w:szCs w:val="20"/>
              </w:rPr>
            </w:pPr>
            <w:r w:rsidRPr="008B6A75">
              <w:rPr>
                <w:sz w:val="20"/>
                <w:szCs w:val="20"/>
              </w:rPr>
              <w:t>765 600,00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4B1BE66F" w14:textId="77777777" w:rsidR="00387142" w:rsidRPr="008B6A75" w:rsidRDefault="00387142" w:rsidP="00387142">
            <w:pPr>
              <w:jc w:val="right"/>
              <w:rPr>
                <w:sz w:val="20"/>
                <w:szCs w:val="20"/>
              </w:rPr>
            </w:pPr>
            <w:r w:rsidRPr="008B6A75">
              <w:rPr>
                <w:sz w:val="20"/>
                <w:szCs w:val="20"/>
              </w:rPr>
              <w:t>765 600,00</w:t>
            </w:r>
          </w:p>
        </w:tc>
      </w:tr>
      <w:tr w:rsidR="00387142" w:rsidRPr="008B6A75" w14:paraId="07E53814" w14:textId="77777777" w:rsidTr="00387142">
        <w:trPr>
          <w:trHeight w:val="585"/>
        </w:trPr>
        <w:tc>
          <w:tcPr>
            <w:tcW w:w="3261" w:type="dxa"/>
            <w:tcBorders>
              <w:top w:val="nil"/>
              <w:left w:val="single" w:sz="4" w:space="0" w:color="auto"/>
              <w:bottom w:val="single" w:sz="4" w:space="0" w:color="auto"/>
              <w:right w:val="nil"/>
            </w:tcBorders>
            <w:shd w:val="clear" w:color="auto" w:fill="auto"/>
            <w:vAlign w:val="center"/>
            <w:hideMark/>
          </w:tcPr>
          <w:p w14:paraId="7F880EB4" w14:textId="77777777" w:rsidR="00387142" w:rsidRPr="008B6A75" w:rsidRDefault="00387142" w:rsidP="00387142">
            <w:pPr>
              <w:rPr>
                <w:sz w:val="20"/>
                <w:szCs w:val="20"/>
              </w:rPr>
            </w:pPr>
            <w:r w:rsidRPr="008B6A75">
              <w:rPr>
                <w:sz w:val="20"/>
                <w:szCs w:val="20"/>
              </w:rPr>
              <w:t>Расходы на выплаты персоналу казенных учреждений</w:t>
            </w:r>
          </w:p>
        </w:tc>
        <w:tc>
          <w:tcPr>
            <w:tcW w:w="720" w:type="dxa"/>
            <w:tcBorders>
              <w:top w:val="nil"/>
              <w:left w:val="single" w:sz="4" w:space="0" w:color="auto"/>
              <w:bottom w:val="single" w:sz="4" w:space="0" w:color="auto"/>
              <w:right w:val="nil"/>
            </w:tcBorders>
            <w:shd w:val="clear" w:color="auto" w:fill="auto"/>
            <w:noWrap/>
            <w:vAlign w:val="center"/>
            <w:hideMark/>
          </w:tcPr>
          <w:p w14:paraId="21A91331" w14:textId="77777777" w:rsidR="00387142" w:rsidRPr="008B6A75" w:rsidRDefault="00387142" w:rsidP="00387142">
            <w:pPr>
              <w:jc w:val="center"/>
              <w:rPr>
                <w:sz w:val="20"/>
                <w:szCs w:val="20"/>
              </w:rPr>
            </w:pPr>
            <w:r w:rsidRPr="008B6A75">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E5205C1" w14:textId="77777777" w:rsidR="00387142" w:rsidRPr="008B6A75" w:rsidRDefault="00387142" w:rsidP="00387142">
            <w:pPr>
              <w:jc w:val="center"/>
              <w:rPr>
                <w:sz w:val="20"/>
                <w:szCs w:val="20"/>
              </w:rPr>
            </w:pPr>
            <w:r w:rsidRPr="008B6A75">
              <w:rPr>
                <w:sz w:val="20"/>
                <w:szCs w:val="20"/>
              </w:rPr>
              <w:t>02</w:t>
            </w:r>
          </w:p>
        </w:tc>
        <w:tc>
          <w:tcPr>
            <w:tcW w:w="1516" w:type="dxa"/>
            <w:tcBorders>
              <w:top w:val="nil"/>
              <w:left w:val="single" w:sz="4" w:space="0" w:color="auto"/>
              <w:bottom w:val="single" w:sz="4" w:space="0" w:color="auto"/>
              <w:right w:val="nil"/>
            </w:tcBorders>
            <w:shd w:val="clear" w:color="auto" w:fill="auto"/>
            <w:noWrap/>
            <w:vAlign w:val="center"/>
            <w:hideMark/>
          </w:tcPr>
          <w:p w14:paraId="5BB3BDD7" w14:textId="77777777" w:rsidR="00387142" w:rsidRPr="008B6A75" w:rsidRDefault="00387142" w:rsidP="00387142">
            <w:pPr>
              <w:jc w:val="center"/>
              <w:rPr>
                <w:sz w:val="20"/>
                <w:szCs w:val="20"/>
              </w:rPr>
            </w:pPr>
            <w:r w:rsidRPr="008B6A75">
              <w:rPr>
                <w:sz w:val="20"/>
                <w:szCs w:val="20"/>
              </w:rPr>
              <w:t>07.1.00.03350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986BD58" w14:textId="77777777" w:rsidR="00387142" w:rsidRPr="008B6A75" w:rsidRDefault="00387142" w:rsidP="00387142">
            <w:pPr>
              <w:jc w:val="center"/>
              <w:rPr>
                <w:sz w:val="20"/>
                <w:szCs w:val="20"/>
              </w:rPr>
            </w:pPr>
            <w:r w:rsidRPr="008B6A75">
              <w:rPr>
                <w:sz w:val="20"/>
                <w:szCs w:val="20"/>
              </w:rPr>
              <w:t>110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11AA372" w14:textId="77777777" w:rsidR="00387142" w:rsidRPr="008B6A75" w:rsidRDefault="00387142" w:rsidP="00387142">
            <w:pPr>
              <w:jc w:val="right"/>
              <w:rPr>
                <w:sz w:val="20"/>
                <w:szCs w:val="20"/>
              </w:rPr>
            </w:pPr>
            <w:r w:rsidRPr="008B6A75">
              <w:rPr>
                <w:sz w:val="20"/>
                <w:szCs w:val="20"/>
              </w:rPr>
              <w:t>765 596,00</w:t>
            </w:r>
          </w:p>
        </w:tc>
        <w:tc>
          <w:tcPr>
            <w:tcW w:w="992" w:type="dxa"/>
            <w:tcBorders>
              <w:top w:val="nil"/>
              <w:left w:val="single" w:sz="4" w:space="0" w:color="auto"/>
              <w:bottom w:val="single" w:sz="4" w:space="0" w:color="auto"/>
              <w:right w:val="nil"/>
            </w:tcBorders>
            <w:shd w:val="clear" w:color="auto" w:fill="auto"/>
            <w:vAlign w:val="center"/>
            <w:hideMark/>
          </w:tcPr>
          <w:p w14:paraId="55FD3B62" w14:textId="77777777" w:rsidR="00387142" w:rsidRPr="008B6A75" w:rsidRDefault="00387142" w:rsidP="00387142">
            <w:pPr>
              <w:jc w:val="right"/>
              <w:rPr>
                <w:sz w:val="20"/>
                <w:szCs w:val="20"/>
              </w:rPr>
            </w:pPr>
            <w:r w:rsidRPr="008B6A75">
              <w:rPr>
                <w:sz w:val="20"/>
                <w:szCs w:val="20"/>
              </w:rPr>
              <w:t>765 600,00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6EDBF8D0" w14:textId="77777777" w:rsidR="00387142" w:rsidRPr="008B6A75" w:rsidRDefault="00387142" w:rsidP="00387142">
            <w:pPr>
              <w:jc w:val="right"/>
              <w:rPr>
                <w:sz w:val="20"/>
                <w:szCs w:val="20"/>
              </w:rPr>
            </w:pPr>
            <w:r w:rsidRPr="008B6A75">
              <w:rPr>
                <w:sz w:val="20"/>
                <w:szCs w:val="20"/>
              </w:rPr>
              <w:t>765 600,00</w:t>
            </w:r>
          </w:p>
        </w:tc>
      </w:tr>
      <w:tr w:rsidR="00387142" w:rsidRPr="008B6A75" w14:paraId="06B4DA3B" w14:textId="77777777" w:rsidTr="00387142">
        <w:trPr>
          <w:trHeight w:val="870"/>
        </w:trPr>
        <w:tc>
          <w:tcPr>
            <w:tcW w:w="3261" w:type="dxa"/>
            <w:tcBorders>
              <w:top w:val="nil"/>
              <w:left w:val="single" w:sz="4" w:space="0" w:color="auto"/>
              <w:bottom w:val="single" w:sz="4" w:space="0" w:color="auto"/>
              <w:right w:val="nil"/>
            </w:tcBorders>
            <w:shd w:val="clear" w:color="auto" w:fill="auto"/>
            <w:vAlign w:val="center"/>
            <w:hideMark/>
          </w:tcPr>
          <w:p w14:paraId="7FA51C1F" w14:textId="77777777" w:rsidR="00387142" w:rsidRPr="008B6A75" w:rsidRDefault="00387142" w:rsidP="00387142">
            <w:pPr>
              <w:rPr>
                <w:sz w:val="20"/>
                <w:szCs w:val="20"/>
              </w:rPr>
            </w:pPr>
            <w:r w:rsidRPr="008B6A75">
              <w:rPr>
                <w:sz w:val="20"/>
                <w:szCs w:val="20"/>
              </w:rPr>
              <w:t>Предоставление субсидий бюджетным, автономным учреждениям и иным некоммерческим организациям</w:t>
            </w:r>
          </w:p>
        </w:tc>
        <w:tc>
          <w:tcPr>
            <w:tcW w:w="720" w:type="dxa"/>
            <w:tcBorders>
              <w:top w:val="nil"/>
              <w:left w:val="single" w:sz="4" w:space="0" w:color="auto"/>
              <w:bottom w:val="single" w:sz="4" w:space="0" w:color="auto"/>
              <w:right w:val="nil"/>
            </w:tcBorders>
            <w:shd w:val="clear" w:color="auto" w:fill="auto"/>
            <w:noWrap/>
            <w:vAlign w:val="center"/>
            <w:hideMark/>
          </w:tcPr>
          <w:p w14:paraId="7C34CEB0" w14:textId="77777777" w:rsidR="00387142" w:rsidRPr="008B6A75" w:rsidRDefault="00387142" w:rsidP="00387142">
            <w:pPr>
              <w:jc w:val="center"/>
              <w:rPr>
                <w:sz w:val="20"/>
                <w:szCs w:val="20"/>
              </w:rPr>
            </w:pPr>
            <w:r w:rsidRPr="008B6A75">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0EA38D7" w14:textId="77777777" w:rsidR="00387142" w:rsidRPr="008B6A75" w:rsidRDefault="00387142" w:rsidP="00387142">
            <w:pPr>
              <w:jc w:val="center"/>
              <w:rPr>
                <w:sz w:val="20"/>
                <w:szCs w:val="20"/>
              </w:rPr>
            </w:pPr>
            <w:r w:rsidRPr="008B6A75">
              <w:rPr>
                <w:sz w:val="20"/>
                <w:szCs w:val="20"/>
              </w:rPr>
              <w:t>02</w:t>
            </w:r>
          </w:p>
        </w:tc>
        <w:tc>
          <w:tcPr>
            <w:tcW w:w="1516" w:type="dxa"/>
            <w:tcBorders>
              <w:top w:val="nil"/>
              <w:left w:val="single" w:sz="4" w:space="0" w:color="auto"/>
              <w:bottom w:val="single" w:sz="4" w:space="0" w:color="auto"/>
              <w:right w:val="nil"/>
            </w:tcBorders>
            <w:shd w:val="clear" w:color="auto" w:fill="auto"/>
            <w:noWrap/>
            <w:vAlign w:val="center"/>
            <w:hideMark/>
          </w:tcPr>
          <w:p w14:paraId="0493502C" w14:textId="77777777" w:rsidR="00387142" w:rsidRPr="008B6A75" w:rsidRDefault="00387142" w:rsidP="00387142">
            <w:pPr>
              <w:jc w:val="center"/>
              <w:rPr>
                <w:sz w:val="20"/>
                <w:szCs w:val="20"/>
              </w:rPr>
            </w:pPr>
            <w:r w:rsidRPr="008B6A75">
              <w:rPr>
                <w:sz w:val="20"/>
                <w:szCs w:val="20"/>
              </w:rPr>
              <w:t>07.1.00.03350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2776713" w14:textId="77777777" w:rsidR="00387142" w:rsidRPr="008B6A75" w:rsidRDefault="00387142" w:rsidP="00387142">
            <w:pPr>
              <w:jc w:val="center"/>
              <w:rPr>
                <w:sz w:val="20"/>
                <w:szCs w:val="20"/>
              </w:rPr>
            </w:pPr>
            <w:r w:rsidRPr="008B6A75">
              <w:rPr>
                <w:sz w:val="20"/>
                <w:szCs w:val="20"/>
              </w:rPr>
              <w:t>600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9BA1B7E" w14:textId="77777777" w:rsidR="00387142" w:rsidRPr="008B6A75" w:rsidRDefault="00387142" w:rsidP="00387142">
            <w:pPr>
              <w:jc w:val="right"/>
              <w:rPr>
                <w:sz w:val="20"/>
                <w:szCs w:val="20"/>
              </w:rPr>
            </w:pPr>
            <w:r w:rsidRPr="008B6A75">
              <w:rPr>
                <w:sz w:val="20"/>
                <w:szCs w:val="20"/>
              </w:rPr>
              <w:t>718 704,00</w:t>
            </w:r>
          </w:p>
        </w:tc>
        <w:tc>
          <w:tcPr>
            <w:tcW w:w="992" w:type="dxa"/>
            <w:tcBorders>
              <w:top w:val="nil"/>
              <w:left w:val="single" w:sz="4" w:space="0" w:color="auto"/>
              <w:bottom w:val="single" w:sz="4" w:space="0" w:color="auto"/>
              <w:right w:val="nil"/>
            </w:tcBorders>
            <w:shd w:val="clear" w:color="auto" w:fill="auto"/>
            <w:vAlign w:val="center"/>
            <w:hideMark/>
          </w:tcPr>
          <w:p w14:paraId="53BD9793" w14:textId="77777777" w:rsidR="00387142" w:rsidRPr="008B6A75" w:rsidRDefault="00387142" w:rsidP="00387142">
            <w:pPr>
              <w:jc w:val="right"/>
              <w:rPr>
                <w:sz w:val="20"/>
                <w:szCs w:val="20"/>
              </w:rPr>
            </w:pPr>
            <w:r w:rsidRPr="008B6A75">
              <w:rPr>
                <w:sz w:val="20"/>
                <w:szCs w:val="20"/>
              </w:rPr>
              <w:t>718 700,00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2B6CC456" w14:textId="77777777" w:rsidR="00387142" w:rsidRPr="008B6A75" w:rsidRDefault="00387142" w:rsidP="00387142">
            <w:pPr>
              <w:jc w:val="right"/>
              <w:rPr>
                <w:sz w:val="20"/>
                <w:szCs w:val="20"/>
              </w:rPr>
            </w:pPr>
            <w:r w:rsidRPr="008B6A75">
              <w:rPr>
                <w:sz w:val="20"/>
                <w:szCs w:val="20"/>
              </w:rPr>
              <w:t>718 700,00</w:t>
            </w:r>
          </w:p>
        </w:tc>
      </w:tr>
      <w:tr w:rsidR="00387142" w:rsidRPr="008B6A75" w14:paraId="0364E6EF" w14:textId="77777777" w:rsidTr="00387142">
        <w:trPr>
          <w:trHeight w:val="345"/>
        </w:trPr>
        <w:tc>
          <w:tcPr>
            <w:tcW w:w="3261" w:type="dxa"/>
            <w:tcBorders>
              <w:top w:val="nil"/>
              <w:left w:val="single" w:sz="4" w:space="0" w:color="auto"/>
              <w:bottom w:val="single" w:sz="4" w:space="0" w:color="auto"/>
              <w:right w:val="nil"/>
            </w:tcBorders>
            <w:shd w:val="clear" w:color="auto" w:fill="auto"/>
            <w:vAlign w:val="center"/>
            <w:hideMark/>
          </w:tcPr>
          <w:p w14:paraId="6324CBBE" w14:textId="77777777" w:rsidR="00387142" w:rsidRPr="008B6A75" w:rsidRDefault="00387142" w:rsidP="00387142">
            <w:pPr>
              <w:rPr>
                <w:sz w:val="20"/>
                <w:szCs w:val="20"/>
              </w:rPr>
            </w:pPr>
            <w:r w:rsidRPr="008B6A75">
              <w:rPr>
                <w:sz w:val="20"/>
                <w:szCs w:val="20"/>
              </w:rPr>
              <w:t>Субсидии бюджетным учреждениям</w:t>
            </w:r>
          </w:p>
        </w:tc>
        <w:tc>
          <w:tcPr>
            <w:tcW w:w="720" w:type="dxa"/>
            <w:tcBorders>
              <w:top w:val="nil"/>
              <w:left w:val="single" w:sz="4" w:space="0" w:color="auto"/>
              <w:bottom w:val="single" w:sz="4" w:space="0" w:color="auto"/>
              <w:right w:val="nil"/>
            </w:tcBorders>
            <w:shd w:val="clear" w:color="auto" w:fill="auto"/>
            <w:noWrap/>
            <w:vAlign w:val="center"/>
            <w:hideMark/>
          </w:tcPr>
          <w:p w14:paraId="15A92EB6" w14:textId="77777777" w:rsidR="00387142" w:rsidRPr="008B6A75" w:rsidRDefault="00387142" w:rsidP="00387142">
            <w:pPr>
              <w:jc w:val="center"/>
              <w:rPr>
                <w:sz w:val="20"/>
                <w:szCs w:val="20"/>
              </w:rPr>
            </w:pPr>
            <w:r w:rsidRPr="008B6A75">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671CB2B" w14:textId="77777777" w:rsidR="00387142" w:rsidRPr="008B6A75" w:rsidRDefault="00387142" w:rsidP="00387142">
            <w:pPr>
              <w:jc w:val="center"/>
              <w:rPr>
                <w:sz w:val="20"/>
                <w:szCs w:val="20"/>
              </w:rPr>
            </w:pPr>
            <w:r w:rsidRPr="008B6A75">
              <w:rPr>
                <w:sz w:val="20"/>
                <w:szCs w:val="20"/>
              </w:rPr>
              <w:t>02</w:t>
            </w:r>
          </w:p>
        </w:tc>
        <w:tc>
          <w:tcPr>
            <w:tcW w:w="1516" w:type="dxa"/>
            <w:tcBorders>
              <w:top w:val="nil"/>
              <w:left w:val="single" w:sz="4" w:space="0" w:color="auto"/>
              <w:bottom w:val="single" w:sz="4" w:space="0" w:color="auto"/>
              <w:right w:val="nil"/>
            </w:tcBorders>
            <w:shd w:val="clear" w:color="auto" w:fill="auto"/>
            <w:noWrap/>
            <w:vAlign w:val="center"/>
            <w:hideMark/>
          </w:tcPr>
          <w:p w14:paraId="268BFC4D" w14:textId="77777777" w:rsidR="00387142" w:rsidRPr="008B6A75" w:rsidRDefault="00387142" w:rsidP="00387142">
            <w:pPr>
              <w:jc w:val="center"/>
              <w:rPr>
                <w:sz w:val="20"/>
                <w:szCs w:val="20"/>
              </w:rPr>
            </w:pPr>
            <w:r w:rsidRPr="008B6A75">
              <w:rPr>
                <w:sz w:val="20"/>
                <w:szCs w:val="20"/>
              </w:rPr>
              <w:t>07.1.00.03350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35ADAFB" w14:textId="77777777" w:rsidR="00387142" w:rsidRPr="008B6A75" w:rsidRDefault="00387142" w:rsidP="00387142">
            <w:pPr>
              <w:jc w:val="center"/>
              <w:rPr>
                <w:sz w:val="20"/>
                <w:szCs w:val="20"/>
              </w:rPr>
            </w:pPr>
            <w:r w:rsidRPr="008B6A75">
              <w:rPr>
                <w:sz w:val="20"/>
                <w:szCs w:val="20"/>
              </w:rPr>
              <w:t>610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F8FB430" w14:textId="77777777" w:rsidR="00387142" w:rsidRPr="008B6A75" w:rsidRDefault="00387142" w:rsidP="00387142">
            <w:pPr>
              <w:jc w:val="right"/>
              <w:rPr>
                <w:sz w:val="20"/>
                <w:szCs w:val="20"/>
              </w:rPr>
            </w:pPr>
            <w:r w:rsidRPr="008B6A75">
              <w:rPr>
                <w:sz w:val="20"/>
                <w:szCs w:val="20"/>
              </w:rPr>
              <w:t>718 704,00</w:t>
            </w:r>
          </w:p>
        </w:tc>
        <w:tc>
          <w:tcPr>
            <w:tcW w:w="992" w:type="dxa"/>
            <w:tcBorders>
              <w:top w:val="nil"/>
              <w:left w:val="single" w:sz="4" w:space="0" w:color="auto"/>
              <w:bottom w:val="single" w:sz="4" w:space="0" w:color="auto"/>
              <w:right w:val="nil"/>
            </w:tcBorders>
            <w:shd w:val="clear" w:color="auto" w:fill="auto"/>
            <w:vAlign w:val="center"/>
            <w:hideMark/>
          </w:tcPr>
          <w:p w14:paraId="37006995" w14:textId="77777777" w:rsidR="00387142" w:rsidRPr="008B6A75" w:rsidRDefault="00387142" w:rsidP="00387142">
            <w:pPr>
              <w:jc w:val="right"/>
              <w:rPr>
                <w:sz w:val="20"/>
                <w:szCs w:val="20"/>
              </w:rPr>
            </w:pPr>
            <w:r w:rsidRPr="008B6A75">
              <w:rPr>
                <w:sz w:val="20"/>
                <w:szCs w:val="20"/>
              </w:rPr>
              <w:t>718 700,00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25DF524C" w14:textId="77777777" w:rsidR="00387142" w:rsidRPr="008B6A75" w:rsidRDefault="00387142" w:rsidP="00387142">
            <w:pPr>
              <w:jc w:val="right"/>
              <w:rPr>
                <w:sz w:val="20"/>
                <w:szCs w:val="20"/>
              </w:rPr>
            </w:pPr>
            <w:r w:rsidRPr="008B6A75">
              <w:rPr>
                <w:sz w:val="20"/>
                <w:szCs w:val="20"/>
              </w:rPr>
              <w:t>718 700,00</w:t>
            </w:r>
          </w:p>
        </w:tc>
      </w:tr>
      <w:tr w:rsidR="00387142" w:rsidRPr="008B6A75" w14:paraId="1C3C1F51" w14:textId="77777777" w:rsidTr="00387142">
        <w:trPr>
          <w:trHeight w:val="870"/>
        </w:trPr>
        <w:tc>
          <w:tcPr>
            <w:tcW w:w="3261" w:type="dxa"/>
            <w:tcBorders>
              <w:top w:val="nil"/>
              <w:left w:val="single" w:sz="4" w:space="0" w:color="auto"/>
              <w:bottom w:val="single" w:sz="4" w:space="0" w:color="auto"/>
              <w:right w:val="nil"/>
            </w:tcBorders>
            <w:shd w:val="clear" w:color="auto" w:fill="auto"/>
            <w:vAlign w:val="center"/>
            <w:hideMark/>
          </w:tcPr>
          <w:p w14:paraId="50FC1093" w14:textId="77777777" w:rsidR="00387142" w:rsidRPr="008B6A75" w:rsidRDefault="00387142" w:rsidP="00387142">
            <w:pPr>
              <w:rPr>
                <w:bCs/>
                <w:sz w:val="20"/>
                <w:szCs w:val="20"/>
              </w:rPr>
            </w:pPr>
            <w:r w:rsidRPr="008B6A75">
              <w:rPr>
                <w:bCs/>
                <w:sz w:val="20"/>
                <w:szCs w:val="20"/>
              </w:rPr>
              <w:lastRenderedPageBreak/>
              <w:t>Расходы на обеспечение деятельности (оказание услуг) дошкольных групп при школах, школах-интернатах</w:t>
            </w:r>
          </w:p>
        </w:tc>
        <w:tc>
          <w:tcPr>
            <w:tcW w:w="720" w:type="dxa"/>
            <w:tcBorders>
              <w:top w:val="nil"/>
              <w:left w:val="single" w:sz="4" w:space="0" w:color="auto"/>
              <w:bottom w:val="single" w:sz="4" w:space="0" w:color="auto"/>
              <w:right w:val="nil"/>
            </w:tcBorders>
            <w:shd w:val="clear" w:color="auto" w:fill="auto"/>
            <w:noWrap/>
            <w:vAlign w:val="center"/>
            <w:hideMark/>
          </w:tcPr>
          <w:p w14:paraId="7114C89E" w14:textId="77777777" w:rsidR="00387142" w:rsidRPr="008B6A75" w:rsidRDefault="00387142" w:rsidP="00387142">
            <w:pPr>
              <w:jc w:val="center"/>
              <w:rPr>
                <w:bCs/>
                <w:sz w:val="20"/>
                <w:szCs w:val="20"/>
              </w:rPr>
            </w:pPr>
            <w:r w:rsidRPr="008B6A75">
              <w:rPr>
                <w:bCs/>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56140D8" w14:textId="77777777" w:rsidR="00387142" w:rsidRPr="008B6A75" w:rsidRDefault="00387142" w:rsidP="00387142">
            <w:pPr>
              <w:jc w:val="center"/>
              <w:rPr>
                <w:bCs/>
                <w:sz w:val="20"/>
                <w:szCs w:val="20"/>
              </w:rPr>
            </w:pPr>
            <w:r w:rsidRPr="008B6A75">
              <w:rPr>
                <w:bCs/>
                <w:sz w:val="20"/>
                <w:szCs w:val="20"/>
              </w:rPr>
              <w:t>02</w:t>
            </w:r>
          </w:p>
        </w:tc>
        <w:tc>
          <w:tcPr>
            <w:tcW w:w="1516" w:type="dxa"/>
            <w:tcBorders>
              <w:top w:val="nil"/>
              <w:left w:val="single" w:sz="4" w:space="0" w:color="auto"/>
              <w:bottom w:val="single" w:sz="4" w:space="0" w:color="auto"/>
              <w:right w:val="nil"/>
            </w:tcBorders>
            <w:shd w:val="clear" w:color="auto" w:fill="auto"/>
            <w:noWrap/>
            <w:vAlign w:val="center"/>
            <w:hideMark/>
          </w:tcPr>
          <w:p w14:paraId="3F018A97" w14:textId="77777777" w:rsidR="00387142" w:rsidRPr="008B6A75" w:rsidRDefault="00387142" w:rsidP="00387142">
            <w:pPr>
              <w:jc w:val="center"/>
              <w:rPr>
                <w:bCs/>
                <w:sz w:val="20"/>
                <w:szCs w:val="20"/>
              </w:rPr>
            </w:pPr>
            <w:r w:rsidRPr="008B6A75">
              <w:rPr>
                <w:bCs/>
                <w:sz w:val="20"/>
                <w:szCs w:val="20"/>
              </w:rPr>
              <w:t>07.1.00.07210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92EA0D1"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CDC4339" w14:textId="77777777" w:rsidR="00387142" w:rsidRPr="008B6A75" w:rsidRDefault="00387142" w:rsidP="00387142">
            <w:pPr>
              <w:jc w:val="right"/>
              <w:rPr>
                <w:bCs/>
                <w:sz w:val="20"/>
                <w:szCs w:val="20"/>
              </w:rPr>
            </w:pPr>
            <w:r w:rsidRPr="008B6A75">
              <w:rPr>
                <w:bCs/>
                <w:sz w:val="20"/>
                <w:szCs w:val="20"/>
              </w:rPr>
              <w:t>5 285 533,80</w:t>
            </w:r>
          </w:p>
        </w:tc>
        <w:tc>
          <w:tcPr>
            <w:tcW w:w="992" w:type="dxa"/>
            <w:tcBorders>
              <w:top w:val="nil"/>
              <w:left w:val="single" w:sz="4" w:space="0" w:color="auto"/>
              <w:bottom w:val="single" w:sz="4" w:space="0" w:color="auto"/>
              <w:right w:val="nil"/>
            </w:tcBorders>
            <w:shd w:val="clear" w:color="auto" w:fill="auto"/>
            <w:vAlign w:val="center"/>
            <w:hideMark/>
          </w:tcPr>
          <w:p w14:paraId="390BBE9E" w14:textId="77777777" w:rsidR="00387142" w:rsidRPr="008B6A75" w:rsidRDefault="00387142" w:rsidP="00387142">
            <w:pPr>
              <w:jc w:val="right"/>
              <w:rPr>
                <w:bCs/>
                <w:sz w:val="20"/>
                <w:szCs w:val="20"/>
              </w:rPr>
            </w:pPr>
            <w:r w:rsidRPr="008B6A75">
              <w:rPr>
                <w:bCs/>
                <w:sz w:val="20"/>
                <w:szCs w:val="20"/>
              </w:rPr>
              <w:t>4 946 319,00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129C963B" w14:textId="77777777" w:rsidR="00387142" w:rsidRPr="008B6A75" w:rsidRDefault="00387142" w:rsidP="00387142">
            <w:pPr>
              <w:jc w:val="right"/>
              <w:rPr>
                <w:bCs/>
                <w:sz w:val="20"/>
                <w:szCs w:val="20"/>
              </w:rPr>
            </w:pPr>
            <w:r w:rsidRPr="008B6A75">
              <w:rPr>
                <w:bCs/>
                <w:sz w:val="20"/>
                <w:szCs w:val="20"/>
              </w:rPr>
              <w:t>4 946 319,00</w:t>
            </w:r>
          </w:p>
        </w:tc>
      </w:tr>
      <w:tr w:rsidR="00387142" w:rsidRPr="008B6A75" w14:paraId="738028CB" w14:textId="77777777" w:rsidTr="00387142">
        <w:trPr>
          <w:trHeight w:val="585"/>
        </w:trPr>
        <w:tc>
          <w:tcPr>
            <w:tcW w:w="3261" w:type="dxa"/>
            <w:tcBorders>
              <w:top w:val="nil"/>
              <w:left w:val="single" w:sz="4" w:space="0" w:color="auto"/>
              <w:bottom w:val="single" w:sz="4" w:space="0" w:color="auto"/>
              <w:right w:val="nil"/>
            </w:tcBorders>
            <w:shd w:val="clear" w:color="auto" w:fill="auto"/>
            <w:vAlign w:val="center"/>
            <w:hideMark/>
          </w:tcPr>
          <w:p w14:paraId="498A1DA6" w14:textId="77777777" w:rsidR="00387142" w:rsidRPr="008B6A75" w:rsidRDefault="00387142" w:rsidP="00387142">
            <w:pPr>
              <w:rPr>
                <w:sz w:val="20"/>
                <w:szCs w:val="20"/>
              </w:rPr>
            </w:pPr>
            <w:r w:rsidRPr="008B6A75">
              <w:rPr>
                <w:sz w:val="20"/>
                <w:szCs w:val="20"/>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52A03E1F" w14:textId="77777777" w:rsidR="00387142" w:rsidRPr="008B6A75" w:rsidRDefault="00387142" w:rsidP="00387142">
            <w:pPr>
              <w:jc w:val="center"/>
              <w:rPr>
                <w:sz w:val="20"/>
                <w:szCs w:val="20"/>
              </w:rPr>
            </w:pPr>
            <w:r w:rsidRPr="008B6A75">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87C1CC7" w14:textId="77777777" w:rsidR="00387142" w:rsidRPr="008B6A75" w:rsidRDefault="00387142" w:rsidP="00387142">
            <w:pPr>
              <w:jc w:val="center"/>
              <w:rPr>
                <w:sz w:val="20"/>
                <w:szCs w:val="20"/>
              </w:rPr>
            </w:pPr>
            <w:r w:rsidRPr="008B6A75">
              <w:rPr>
                <w:sz w:val="20"/>
                <w:szCs w:val="20"/>
              </w:rPr>
              <w:t>02</w:t>
            </w:r>
          </w:p>
        </w:tc>
        <w:tc>
          <w:tcPr>
            <w:tcW w:w="1516" w:type="dxa"/>
            <w:tcBorders>
              <w:top w:val="nil"/>
              <w:left w:val="single" w:sz="4" w:space="0" w:color="auto"/>
              <w:bottom w:val="single" w:sz="4" w:space="0" w:color="auto"/>
              <w:right w:val="nil"/>
            </w:tcBorders>
            <w:shd w:val="clear" w:color="auto" w:fill="auto"/>
            <w:noWrap/>
            <w:vAlign w:val="center"/>
            <w:hideMark/>
          </w:tcPr>
          <w:p w14:paraId="7C68DF3F" w14:textId="77777777" w:rsidR="00387142" w:rsidRPr="008B6A75" w:rsidRDefault="00387142" w:rsidP="00387142">
            <w:pPr>
              <w:jc w:val="center"/>
              <w:rPr>
                <w:sz w:val="20"/>
                <w:szCs w:val="20"/>
              </w:rPr>
            </w:pPr>
            <w:r w:rsidRPr="008B6A75">
              <w:rPr>
                <w:sz w:val="20"/>
                <w:szCs w:val="20"/>
              </w:rPr>
              <w:t>07.1.00.07210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E4975BC" w14:textId="77777777" w:rsidR="00387142" w:rsidRPr="008B6A75" w:rsidRDefault="00387142" w:rsidP="00387142">
            <w:pPr>
              <w:jc w:val="center"/>
              <w:rPr>
                <w:sz w:val="20"/>
                <w:szCs w:val="20"/>
              </w:rPr>
            </w:pPr>
            <w:r w:rsidRPr="008B6A75">
              <w:rPr>
                <w:sz w:val="20"/>
                <w:szCs w:val="20"/>
              </w:rPr>
              <w:t>200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336A542" w14:textId="77777777" w:rsidR="00387142" w:rsidRPr="008B6A75" w:rsidRDefault="00387142" w:rsidP="00387142">
            <w:pPr>
              <w:jc w:val="right"/>
              <w:rPr>
                <w:sz w:val="20"/>
                <w:szCs w:val="20"/>
              </w:rPr>
            </w:pPr>
            <w:r w:rsidRPr="008B6A75">
              <w:rPr>
                <w:sz w:val="20"/>
                <w:szCs w:val="20"/>
              </w:rPr>
              <w:t>5 207 966,80</w:t>
            </w:r>
          </w:p>
        </w:tc>
        <w:tc>
          <w:tcPr>
            <w:tcW w:w="992" w:type="dxa"/>
            <w:tcBorders>
              <w:top w:val="nil"/>
              <w:left w:val="single" w:sz="4" w:space="0" w:color="auto"/>
              <w:bottom w:val="single" w:sz="4" w:space="0" w:color="auto"/>
              <w:right w:val="nil"/>
            </w:tcBorders>
            <w:shd w:val="clear" w:color="auto" w:fill="auto"/>
            <w:vAlign w:val="center"/>
            <w:hideMark/>
          </w:tcPr>
          <w:p w14:paraId="226EA766" w14:textId="77777777" w:rsidR="00387142" w:rsidRPr="008B6A75" w:rsidRDefault="00387142" w:rsidP="00387142">
            <w:pPr>
              <w:jc w:val="right"/>
              <w:rPr>
                <w:sz w:val="20"/>
                <w:szCs w:val="20"/>
              </w:rPr>
            </w:pPr>
            <w:r w:rsidRPr="008B6A75">
              <w:rPr>
                <w:sz w:val="20"/>
                <w:szCs w:val="20"/>
              </w:rPr>
              <w:t>4 946 319,00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0A18C668" w14:textId="77777777" w:rsidR="00387142" w:rsidRPr="008B6A75" w:rsidRDefault="00387142" w:rsidP="00387142">
            <w:pPr>
              <w:jc w:val="right"/>
              <w:rPr>
                <w:sz w:val="20"/>
                <w:szCs w:val="20"/>
              </w:rPr>
            </w:pPr>
            <w:r w:rsidRPr="008B6A75">
              <w:rPr>
                <w:sz w:val="20"/>
                <w:szCs w:val="20"/>
              </w:rPr>
              <w:t>4 946 319,00</w:t>
            </w:r>
          </w:p>
        </w:tc>
      </w:tr>
      <w:tr w:rsidR="00387142" w:rsidRPr="008B6A75" w14:paraId="7A390511" w14:textId="77777777" w:rsidTr="00387142">
        <w:trPr>
          <w:trHeight w:val="870"/>
        </w:trPr>
        <w:tc>
          <w:tcPr>
            <w:tcW w:w="3261" w:type="dxa"/>
            <w:tcBorders>
              <w:top w:val="nil"/>
              <w:left w:val="single" w:sz="4" w:space="0" w:color="auto"/>
              <w:bottom w:val="single" w:sz="4" w:space="0" w:color="auto"/>
              <w:right w:val="nil"/>
            </w:tcBorders>
            <w:shd w:val="clear" w:color="auto" w:fill="auto"/>
            <w:vAlign w:val="center"/>
            <w:hideMark/>
          </w:tcPr>
          <w:p w14:paraId="16A9E99C" w14:textId="77777777" w:rsidR="00387142" w:rsidRPr="008B6A75" w:rsidRDefault="00387142" w:rsidP="00387142">
            <w:pPr>
              <w:rPr>
                <w:sz w:val="20"/>
                <w:szCs w:val="20"/>
              </w:rPr>
            </w:pPr>
            <w:r w:rsidRPr="008B6A75">
              <w:rPr>
                <w:sz w:val="20"/>
                <w:szCs w:val="20"/>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0F73D4E0" w14:textId="77777777" w:rsidR="00387142" w:rsidRPr="008B6A75" w:rsidRDefault="00387142" w:rsidP="00387142">
            <w:pPr>
              <w:jc w:val="center"/>
              <w:rPr>
                <w:sz w:val="20"/>
                <w:szCs w:val="20"/>
              </w:rPr>
            </w:pPr>
            <w:r w:rsidRPr="008B6A75">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9BA48A0" w14:textId="77777777" w:rsidR="00387142" w:rsidRPr="008B6A75" w:rsidRDefault="00387142" w:rsidP="00387142">
            <w:pPr>
              <w:jc w:val="center"/>
              <w:rPr>
                <w:sz w:val="20"/>
                <w:szCs w:val="20"/>
              </w:rPr>
            </w:pPr>
            <w:r w:rsidRPr="008B6A75">
              <w:rPr>
                <w:sz w:val="20"/>
                <w:szCs w:val="20"/>
              </w:rPr>
              <w:t>02</w:t>
            </w:r>
          </w:p>
        </w:tc>
        <w:tc>
          <w:tcPr>
            <w:tcW w:w="1516" w:type="dxa"/>
            <w:tcBorders>
              <w:top w:val="nil"/>
              <w:left w:val="single" w:sz="4" w:space="0" w:color="auto"/>
              <w:bottom w:val="single" w:sz="4" w:space="0" w:color="auto"/>
              <w:right w:val="nil"/>
            </w:tcBorders>
            <w:shd w:val="clear" w:color="auto" w:fill="auto"/>
            <w:noWrap/>
            <w:vAlign w:val="center"/>
            <w:hideMark/>
          </w:tcPr>
          <w:p w14:paraId="2A810542" w14:textId="77777777" w:rsidR="00387142" w:rsidRPr="008B6A75" w:rsidRDefault="00387142" w:rsidP="00387142">
            <w:pPr>
              <w:jc w:val="center"/>
              <w:rPr>
                <w:sz w:val="20"/>
                <w:szCs w:val="20"/>
              </w:rPr>
            </w:pPr>
            <w:r w:rsidRPr="008B6A75">
              <w:rPr>
                <w:sz w:val="20"/>
                <w:szCs w:val="20"/>
              </w:rPr>
              <w:t>07.1.00.07210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2B3745E" w14:textId="77777777" w:rsidR="00387142" w:rsidRPr="008B6A75" w:rsidRDefault="00387142" w:rsidP="00387142">
            <w:pPr>
              <w:jc w:val="center"/>
              <w:rPr>
                <w:sz w:val="20"/>
                <w:szCs w:val="20"/>
              </w:rPr>
            </w:pPr>
            <w:r w:rsidRPr="008B6A75">
              <w:rPr>
                <w:sz w:val="20"/>
                <w:szCs w:val="20"/>
              </w:rPr>
              <w:t>240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9840740" w14:textId="77777777" w:rsidR="00387142" w:rsidRPr="008B6A75" w:rsidRDefault="00387142" w:rsidP="00387142">
            <w:pPr>
              <w:jc w:val="right"/>
              <w:rPr>
                <w:sz w:val="20"/>
                <w:szCs w:val="20"/>
              </w:rPr>
            </w:pPr>
            <w:r w:rsidRPr="008B6A75">
              <w:rPr>
                <w:sz w:val="20"/>
                <w:szCs w:val="20"/>
              </w:rPr>
              <w:t>5 207 966,80</w:t>
            </w:r>
          </w:p>
        </w:tc>
        <w:tc>
          <w:tcPr>
            <w:tcW w:w="992" w:type="dxa"/>
            <w:tcBorders>
              <w:top w:val="nil"/>
              <w:left w:val="single" w:sz="4" w:space="0" w:color="auto"/>
              <w:bottom w:val="single" w:sz="4" w:space="0" w:color="auto"/>
              <w:right w:val="nil"/>
            </w:tcBorders>
            <w:shd w:val="clear" w:color="auto" w:fill="auto"/>
            <w:vAlign w:val="center"/>
            <w:hideMark/>
          </w:tcPr>
          <w:p w14:paraId="4916F891" w14:textId="77777777" w:rsidR="00387142" w:rsidRPr="008B6A75" w:rsidRDefault="00387142" w:rsidP="00387142">
            <w:pPr>
              <w:jc w:val="right"/>
              <w:rPr>
                <w:sz w:val="20"/>
                <w:szCs w:val="20"/>
              </w:rPr>
            </w:pPr>
            <w:r w:rsidRPr="008B6A75">
              <w:rPr>
                <w:sz w:val="20"/>
                <w:szCs w:val="20"/>
              </w:rPr>
              <w:t>4 946 319,00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114AB61C" w14:textId="77777777" w:rsidR="00387142" w:rsidRPr="008B6A75" w:rsidRDefault="00387142" w:rsidP="00387142">
            <w:pPr>
              <w:jc w:val="right"/>
              <w:rPr>
                <w:sz w:val="20"/>
                <w:szCs w:val="20"/>
              </w:rPr>
            </w:pPr>
            <w:r w:rsidRPr="008B6A75">
              <w:rPr>
                <w:sz w:val="20"/>
                <w:szCs w:val="20"/>
              </w:rPr>
              <w:t>4 946 319,00</w:t>
            </w:r>
          </w:p>
        </w:tc>
      </w:tr>
      <w:tr w:rsidR="00387142" w:rsidRPr="008B6A75" w14:paraId="003646D8" w14:textId="77777777" w:rsidTr="00387142">
        <w:trPr>
          <w:trHeight w:val="870"/>
        </w:trPr>
        <w:tc>
          <w:tcPr>
            <w:tcW w:w="3261" w:type="dxa"/>
            <w:tcBorders>
              <w:top w:val="nil"/>
              <w:left w:val="single" w:sz="4" w:space="0" w:color="auto"/>
              <w:bottom w:val="single" w:sz="4" w:space="0" w:color="auto"/>
              <w:right w:val="nil"/>
            </w:tcBorders>
            <w:shd w:val="clear" w:color="auto" w:fill="auto"/>
            <w:vAlign w:val="center"/>
            <w:hideMark/>
          </w:tcPr>
          <w:p w14:paraId="78846684" w14:textId="77777777" w:rsidR="00387142" w:rsidRPr="008B6A75" w:rsidRDefault="00387142" w:rsidP="00387142">
            <w:pPr>
              <w:rPr>
                <w:sz w:val="20"/>
                <w:szCs w:val="20"/>
              </w:rPr>
            </w:pPr>
            <w:r w:rsidRPr="008B6A75">
              <w:rPr>
                <w:sz w:val="20"/>
                <w:szCs w:val="20"/>
              </w:rPr>
              <w:t>Предоставление субсидий бюджетным, автономным учреждениям и иным некоммерческим организациям</w:t>
            </w:r>
          </w:p>
        </w:tc>
        <w:tc>
          <w:tcPr>
            <w:tcW w:w="720" w:type="dxa"/>
            <w:tcBorders>
              <w:top w:val="nil"/>
              <w:left w:val="single" w:sz="4" w:space="0" w:color="auto"/>
              <w:bottom w:val="single" w:sz="4" w:space="0" w:color="auto"/>
              <w:right w:val="nil"/>
            </w:tcBorders>
            <w:shd w:val="clear" w:color="auto" w:fill="auto"/>
            <w:noWrap/>
            <w:vAlign w:val="center"/>
            <w:hideMark/>
          </w:tcPr>
          <w:p w14:paraId="0A5DD436" w14:textId="77777777" w:rsidR="00387142" w:rsidRPr="008B6A75" w:rsidRDefault="00387142" w:rsidP="00387142">
            <w:pPr>
              <w:jc w:val="center"/>
              <w:rPr>
                <w:sz w:val="20"/>
                <w:szCs w:val="20"/>
              </w:rPr>
            </w:pPr>
            <w:r w:rsidRPr="008B6A75">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CA2D1A4" w14:textId="77777777" w:rsidR="00387142" w:rsidRPr="008B6A75" w:rsidRDefault="00387142" w:rsidP="00387142">
            <w:pPr>
              <w:jc w:val="center"/>
              <w:rPr>
                <w:sz w:val="20"/>
                <w:szCs w:val="20"/>
              </w:rPr>
            </w:pPr>
            <w:r w:rsidRPr="008B6A75">
              <w:rPr>
                <w:sz w:val="20"/>
                <w:szCs w:val="20"/>
              </w:rPr>
              <w:t>02</w:t>
            </w:r>
          </w:p>
        </w:tc>
        <w:tc>
          <w:tcPr>
            <w:tcW w:w="1516" w:type="dxa"/>
            <w:tcBorders>
              <w:top w:val="nil"/>
              <w:left w:val="single" w:sz="4" w:space="0" w:color="auto"/>
              <w:bottom w:val="single" w:sz="4" w:space="0" w:color="auto"/>
              <w:right w:val="nil"/>
            </w:tcBorders>
            <w:shd w:val="clear" w:color="auto" w:fill="auto"/>
            <w:noWrap/>
            <w:vAlign w:val="center"/>
            <w:hideMark/>
          </w:tcPr>
          <w:p w14:paraId="1D5158FF" w14:textId="77777777" w:rsidR="00387142" w:rsidRPr="008B6A75" w:rsidRDefault="00387142" w:rsidP="00387142">
            <w:pPr>
              <w:jc w:val="center"/>
              <w:rPr>
                <w:sz w:val="20"/>
                <w:szCs w:val="20"/>
              </w:rPr>
            </w:pPr>
            <w:r w:rsidRPr="008B6A75">
              <w:rPr>
                <w:sz w:val="20"/>
                <w:szCs w:val="20"/>
              </w:rPr>
              <w:t>07.1.00.07210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4CFEF00" w14:textId="77777777" w:rsidR="00387142" w:rsidRPr="008B6A75" w:rsidRDefault="00387142" w:rsidP="00387142">
            <w:pPr>
              <w:jc w:val="center"/>
              <w:rPr>
                <w:sz w:val="20"/>
                <w:szCs w:val="20"/>
              </w:rPr>
            </w:pPr>
            <w:r w:rsidRPr="008B6A75">
              <w:rPr>
                <w:sz w:val="20"/>
                <w:szCs w:val="20"/>
              </w:rPr>
              <w:t>600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810ADF6" w14:textId="77777777" w:rsidR="00387142" w:rsidRPr="008B6A75" w:rsidRDefault="00387142" w:rsidP="00387142">
            <w:pPr>
              <w:jc w:val="right"/>
              <w:rPr>
                <w:sz w:val="20"/>
                <w:szCs w:val="20"/>
              </w:rPr>
            </w:pPr>
            <w:r w:rsidRPr="008B6A75">
              <w:rPr>
                <w:sz w:val="20"/>
                <w:szCs w:val="20"/>
              </w:rPr>
              <w:t>77 567,00</w:t>
            </w:r>
          </w:p>
        </w:tc>
        <w:tc>
          <w:tcPr>
            <w:tcW w:w="992" w:type="dxa"/>
            <w:tcBorders>
              <w:top w:val="nil"/>
              <w:left w:val="single" w:sz="4" w:space="0" w:color="auto"/>
              <w:bottom w:val="single" w:sz="4" w:space="0" w:color="auto"/>
              <w:right w:val="nil"/>
            </w:tcBorders>
            <w:shd w:val="clear" w:color="auto" w:fill="auto"/>
            <w:vAlign w:val="center"/>
            <w:hideMark/>
          </w:tcPr>
          <w:p w14:paraId="42EEA3D6" w14:textId="77777777" w:rsidR="00387142" w:rsidRPr="008B6A75" w:rsidRDefault="00387142" w:rsidP="00387142">
            <w:pPr>
              <w:jc w:val="right"/>
              <w:rPr>
                <w:sz w:val="20"/>
                <w:szCs w:val="20"/>
              </w:rPr>
            </w:pPr>
            <w:r w:rsidRPr="008B6A75">
              <w:rPr>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5810310B" w14:textId="77777777" w:rsidR="00387142" w:rsidRPr="008B6A75" w:rsidRDefault="00387142" w:rsidP="00387142">
            <w:pPr>
              <w:jc w:val="right"/>
              <w:rPr>
                <w:sz w:val="20"/>
                <w:szCs w:val="20"/>
              </w:rPr>
            </w:pPr>
            <w:r w:rsidRPr="008B6A75">
              <w:rPr>
                <w:sz w:val="20"/>
                <w:szCs w:val="20"/>
              </w:rPr>
              <w:t>0,00</w:t>
            </w:r>
          </w:p>
        </w:tc>
      </w:tr>
      <w:tr w:rsidR="00387142" w:rsidRPr="008B6A75" w14:paraId="34D320CB" w14:textId="77777777" w:rsidTr="00387142">
        <w:trPr>
          <w:trHeight w:val="345"/>
        </w:trPr>
        <w:tc>
          <w:tcPr>
            <w:tcW w:w="3261" w:type="dxa"/>
            <w:tcBorders>
              <w:top w:val="nil"/>
              <w:left w:val="single" w:sz="4" w:space="0" w:color="auto"/>
              <w:bottom w:val="single" w:sz="4" w:space="0" w:color="auto"/>
              <w:right w:val="nil"/>
            </w:tcBorders>
            <w:shd w:val="clear" w:color="auto" w:fill="auto"/>
            <w:vAlign w:val="center"/>
            <w:hideMark/>
          </w:tcPr>
          <w:p w14:paraId="3D4889C3" w14:textId="77777777" w:rsidR="00387142" w:rsidRPr="008B6A75" w:rsidRDefault="00387142" w:rsidP="00387142">
            <w:pPr>
              <w:rPr>
                <w:sz w:val="20"/>
                <w:szCs w:val="20"/>
              </w:rPr>
            </w:pPr>
            <w:r w:rsidRPr="008B6A75">
              <w:rPr>
                <w:sz w:val="20"/>
                <w:szCs w:val="20"/>
              </w:rPr>
              <w:t>Субсидии бюджетным учреждениям</w:t>
            </w:r>
          </w:p>
        </w:tc>
        <w:tc>
          <w:tcPr>
            <w:tcW w:w="720" w:type="dxa"/>
            <w:tcBorders>
              <w:top w:val="nil"/>
              <w:left w:val="single" w:sz="4" w:space="0" w:color="auto"/>
              <w:bottom w:val="single" w:sz="4" w:space="0" w:color="auto"/>
              <w:right w:val="nil"/>
            </w:tcBorders>
            <w:shd w:val="clear" w:color="auto" w:fill="auto"/>
            <w:noWrap/>
            <w:vAlign w:val="center"/>
            <w:hideMark/>
          </w:tcPr>
          <w:p w14:paraId="22D9C7A6" w14:textId="77777777" w:rsidR="00387142" w:rsidRPr="008B6A75" w:rsidRDefault="00387142" w:rsidP="00387142">
            <w:pPr>
              <w:jc w:val="center"/>
              <w:rPr>
                <w:sz w:val="20"/>
                <w:szCs w:val="20"/>
              </w:rPr>
            </w:pPr>
            <w:r w:rsidRPr="008B6A75">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7CCE9F3" w14:textId="77777777" w:rsidR="00387142" w:rsidRPr="008B6A75" w:rsidRDefault="00387142" w:rsidP="00387142">
            <w:pPr>
              <w:jc w:val="center"/>
              <w:rPr>
                <w:sz w:val="20"/>
                <w:szCs w:val="20"/>
              </w:rPr>
            </w:pPr>
            <w:r w:rsidRPr="008B6A75">
              <w:rPr>
                <w:sz w:val="20"/>
                <w:szCs w:val="20"/>
              </w:rPr>
              <w:t>02</w:t>
            </w:r>
          </w:p>
        </w:tc>
        <w:tc>
          <w:tcPr>
            <w:tcW w:w="1516" w:type="dxa"/>
            <w:tcBorders>
              <w:top w:val="nil"/>
              <w:left w:val="single" w:sz="4" w:space="0" w:color="auto"/>
              <w:bottom w:val="single" w:sz="4" w:space="0" w:color="auto"/>
              <w:right w:val="nil"/>
            </w:tcBorders>
            <w:shd w:val="clear" w:color="auto" w:fill="auto"/>
            <w:noWrap/>
            <w:vAlign w:val="center"/>
            <w:hideMark/>
          </w:tcPr>
          <w:p w14:paraId="2B37BD0F" w14:textId="77777777" w:rsidR="00387142" w:rsidRPr="008B6A75" w:rsidRDefault="00387142" w:rsidP="00387142">
            <w:pPr>
              <w:jc w:val="center"/>
              <w:rPr>
                <w:sz w:val="20"/>
                <w:szCs w:val="20"/>
              </w:rPr>
            </w:pPr>
            <w:r w:rsidRPr="008B6A75">
              <w:rPr>
                <w:sz w:val="20"/>
                <w:szCs w:val="20"/>
              </w:rPr>
              <w:t>07.1.00.07210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45CC19E" w14:textId="77777777" w:rsidR="00387142" w:rsidRPr="008B6A75" w:rsidRDefault="00387142" w:rsidP="00387142">
            <w:pPr>
              <w:jc w:val="center"/>
              <w:rPr>
                <w:sz w:val="20"/>
                <w:szCs w:val="20"/>
              </w:rPr>
            </w:pPr>
            <w:r w:rsidRPr="008B6A75">
              <w:rPr>
                <w:sz w:val="20"/>
                <w:szCs w:val="20"/>
              </w:rPr>
              <w:t>610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57C83B8" w14:textId="77777777" w:rsidR="00387142" w:rsidRPr="008B6A75" w:rsidRDefault="00387142" w:rsidP="00387142">
            <w:pPr>
              <w:jc w:val="right"/>
              <w:rPr>
                <w:sz w:val="20"/>
                <w:szCs w:val="20"/>
              </w:rPr>
            </w:pPr>
            <w:r w:rsidRPr="008B6A75">
              <w:rPr>
                <w:sz w:val="20"/>
                <w:szCs w:val="20"/>
              </w:rPr>
              <w:t>77 567,00</w:t>
            </w:r>
          </w:p>
        </w:tc>
        <w:tc>
          <w:tcPr>
            <w:tcW w:w="992" w:type="dxa"/>
            <w:tcBorders>
              <w:top w:val="nil"/>
              <w:left w:val="single" w:sz="4" w:space="0" w:color="auto"/>
              <w:bottom w:val="single" w:sz="4" w:space="0" w:color="auto"/>
              <w:right w:val="nil"/>
            </w:tcBorders>
            <w:shd w:val="clear" w:color="auto" w:fill="auto"/>
            <w:vAlign w:val="center"/>
            <w:hideMark/>
          </w:tcPr>
          <w:p w14:paraId="54D601F5" w14:textId="77777777" w:rsidR="00387142" w:rsidRPr="008B6A75" w:rsidRDefault="00387142" w:rsidP="00387142">
            <w:pPr>
              <w:jc w:val="right"/>
              <w:rPr>
                <w:sz w:val="20"/>
                <w:szCs w:val="20"/>
              </w:rPr>
            </w:pPr>
            <w:r w:rsidRPr="008B6A75">
              <w:rPr>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31160539" w14:textId="77777777" w:rsidR="00387142" w:rsidRPr="008B6A75" w:rsidRDefault="00387142" w:rsidP="00387142">
            <w:pPr>
              <w:jc w:val="right"/>
              <w:rPr>
                <w:sz w:val="20"/>
                <w:szCs w:val="20"/>
              </w:rPr>
            </w:pPr>
            <w:r w:rsidRPr="008B6A75">
              <w:rPr>
                <w:sz w:val="20"/>
                <w:szCs w:val="20"/>
              </w:rPr>
              <w:t>0,00</w:t>
            </w:r>
          </w:p>
        </w:tc>
      </w:tr>
      <w:tr w:rsidR="00387142" w:rsidRPr="008B6A75" w14:paraId="279FA66B" w14:textId="77777777" w:rsidTr="00387142">
        <w:trPr>
          <w:trHeight w:val="870"/>
        </w:trPr>
        <w:tc>
          <w:tcPr>
            <w:tcW w:w="3261" w:type="dxa"/>
            <w:tcBorders>
              <w:top w:val="nil"/>
              <w:left w:val="single" w:sz="4" w:space="0" w:color="auto"/>
              <w:bottom w:val="single" w:sz="4" w:space="0" w:color="auto"/>
              <w:right w:val="nil"/>
            </w:tcBorders>
            <w:shd w:val="clear" w:color="auto" w:fill="auto"/>
            <w:vAlign w:val="center"/>
            <w:hideMark/>
          </w:tcPr>
          <w:p w14:paraId="229DD15B" w14:textId="77777777" w:rsidR="00387142" w:rsidRPr="008B6A75" w:rsidRDefault="00387142" w:rsidP="00387142">
            <w:pPr>
              <w:rPr>
                <w:bCs/>
                <w:sz w:val="20"/>
                <w:szCs w:val="20"/>
              </w:rPr>
            </w:pPr>
            <w:r w:rsidRPr="008B6A75">
              <w:rPr>
                <w:bCs/>
                <w:sz w:val="20"/>
                <w:szCs w:val="20"/>
              </w:rPr>
              <w:t>Расходы на обеспечение деятельности (оказание услуг) начальных, неполных средних и средних школ, школ-детских садов</w:t>
            </w:r>
          </w:p>
        </w:tc>
        <w:tc>
          <w:tcPr>
            <w:tcW w:w="720" w:type="dxa"/>
            <w:tcBorders>
              <w:top w:val="nil"/>
              <w:left w:val="single" w:sz="4" w:space="0" w:color="auto"/>
              <w:bottom w:val="single" w:sz="4" w:space="0" w:color="auto"/>
              <w:right w:val="nil"/>
            </w:tcBorders>
            <w:shd w:val="clear" w:color="auto" w:fill="auto"/>
            <w:noWrap/>
            <w:vAlign w:val="center"/>
            <w:hideMark/>
          </w:tcPr>
          <w:p w14:paraId="1B756016" w14:textId="77777777" w:rsidR="00387142" w:rsidRPr="008B6A75" w:rsidRDefault="00387142" w:rsidP="00387142">
            <w:pPr>
              <w:jc w:val="center"/>
              <w:rPr>
                <w:bCs/>
                <w:sz w:val="20"/>
                <w:szCs w:val="20"/>
              </w:rPr>
            </w:pPr>
            <w:r w:rsidRPr="008B6A75">
              <w:rPr>
                <w:bCs/>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0F3DF2C" w14:textId="77777777" w:rsidR="00387142" w:rsidRPr="008B6A75" w:rsidRDefault="00387142" w:rsidP="00387142">
            <w:pPr>
              <w:jc w:val="center"/>
              <w:rPr>
                <w:bCs/>
                <w:sz w:val="20"/>
                <w:szCs w:val="20"/>
              </w:rPr>
            </w:pPr>
            <w:r w:rsidRPr="008B6A75">
              <w:rPr>
                <w:bCs/>
                <w:sz w:val="20"/>
                <w:szCs w:val="20"/>
              </w:rPr>
              <w:t>02</w:t>
            </w:r>
          </w:p>
        </w:tc>
        <w:tc>
          <w:tcPr>
            <w:tcW w:w="1516" w:type="dxa"/>
            <w:tcBorders>
              <w:top w:val="nil"/>
              <w:left w:val="single" w:sz="4" w:space="0" w:color="auto"/>
              <w:bottom w:val="single" w:sz="4" w:space="0" w:color="auto"/>
              <w:right w:val="nil"/>
            </w:tcBorders>
            <w:shd w:val="clear" w:color="auto" w:fill="auto"/>
            <w:noWrap/>
            <w:vAlign w:val="center"/>
            <w:hideMark/>
          </w:tcPr>
          <w:p w14:paraId="26C550C9" w14:textId="77777777" w:rsidR="00387142" w:rsidRPr="008B6A75" w:rsidRDefault="00387142" w:rsidP="00387142">
            <w:pPr>
              <w:jc w:val="center"/>
              <w:rPr>
                <w:bCs/>
                <w:sz w:val="20"/>
                <w:szCs w:val="20"/>
              </w:rPr>
            </w:pPr>
            <w:r w:rsidRPr="008B6A75">
              <w:rPr>
                <w:bCs/>
                <w:sz w:val="20"/>
                <w:szCs w:val="20"/>
              </w:rPr>
              <w:t>07.1.00.07290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AB8F287"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43D23A3" w14:textId="77777777" w:rsidR="00387142" w:rsidRPr="008B6A75" w:rsidRDefault="00387142" w:rsidP="00387142">
            <w:pPr>
              <w:jc w:val="right"/>
              <w:rPr>
                <w:bCs/>
                <w:sz w:val="20"/>
                <w:szCs w:val="20"/>
              </w:rPr>
            </w:pPr>
            <w:r w:rsidRPr="008B6A75">
              <w:rPr>
                <w:bCs/>
                <w:sz w:val="20"/>
                <w:szCs w:val="20"/>
              </w:rPr>
              <w:t>122 031 819,99</w:t>
            </w:r>
          </w:p>
        </w:tc>
        <w:tc>
          <w:tcPr>
            <w:tcW w:w="992" w:type="dxa"/>
            <w:tcBorders>
              <w:top w:val="nil"/>
              <w:left w:val="single" w:sz="4" w:space="0" w:color="auto"/>
              <w:bottom w:val="single" w:sz="4" w:space="0" w:color="auto"/>
              <w:right w:val="nil"/>
            </w:tcBorders>
            <w:shd w:val="clear" w:color="auto" w:fill="auto"/>
            <w:vAlign w:val="center"/>
            <w:hideMark/>
          </w:tcPr>
          <w:p w14:paraId="588CE660" w14:textId="77777777" w:rsidR="00387142" w:rsidRPr="008B6A75" w:rsidRDefault="00387142" w:rsidP="00387142">
            <w:pPr>
              <w:jc w:val="right"/>
              <w:rPr>
                <w:bCs/>
                <w:sz w:val="20"/>
                <w:szCs w:val="20"/>
              </w:rPr>
            </w:pPr>
            <w:r w:rsidRPr="008B6A75">
              <w:rPr>
                <w:bCs/>
                <w:sz w:val="20"/>
                <w:szCs w:val="20"/>
              </w:rPr>
              <w:t>104 249 280,00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306ED9A0" w14:textId="77777777" w:rsidR="00387142" w:rsidRPr="008B6A75" w:rsidRDefault="00387142" w:rsidP="00387142">
            <w:pPr>
              <w:jc w:val="right"/>
              <w:rPr>
                <w:bCs/>
                <w:sz w:val="20"/>
                <w:szCs w:val="20"/>
              </w:rPr>
            </w:pPr>
            <w:r w:rsidRPr="008B6A75">
              <w:rPr>
                <w:bCs/>
                <w:sz w:val="20"/>
                <w:szCs w:val="20"/>
              </w:rPr>
              <w:t>119 857 890,00</w:t>
            </w:r>
          </w:p>
        </w:tc>
      </w:tr>
      <w:tr w:rsidR="00387142" w:rsidRPr="008B6A75" w14:paraId="0B125532" w14:textId="77777777" w:rsidTr="00387142">
        <w:trPr>
          <w:trHeight w:val="1440"/>
        </w:trPr>
        <w:tc>
          <w:tcPr>
            <w:tcW w:w="3261" w:type="dxa"/>
            <w:tcBorders>
              <w:top w:val="nil"/>
              <w:left w:val="single" w:sz="4" w:space="0" w:color="auto"/>
              <w:bottom w:val="single" w:sz="4" w:space="0" w:color="auto"/>
              <w:right w:val="nil"/>
            </w:tcBorders>
            <w:shd w:val="clear" w:color="auto" w:fill="auto"/>
            <w:vAlign w:val="center"/>
            <w:hideMark/>
          </w:tcPr>
          <w:p w14:paraId="32C021CD" w14:textId="77777777" w:rsidR="00387142" w:rsidRPr="008B6A75" w:rsidRDefault="00387142" w:rsidP="00387142">
            <w:pPr>
              <w:rPr>
                <w:sz w:val="20"/>
                <w:szCs w:val="20"/>
              </w:rPr>
            </w:pPr>
            <w:r w:rsidRPr="008B6A7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14:paraId="0FDD8187" w14:textId="77777777" w:rsidR="00387142" w:rsidRPr="008B6A75" w:rsidRDefault="00387142" w:rsidP="00387142">
            <w:pPr>
              <w:jc w:val="center"/>
              <w:rPr>
                <w:sz w:val="20"/>
                <w:szCs w:val="20"/>
              </w:rPr>
            </w:pPr>
            <w:r w:rsidRPr="008B6A75">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FBED988" w14:textId="77777777" w:rsidR="00387142" w:rsidRPr="008B6A75" w:rsidRDefault="00387142" w:rsidP="00387142">
            <w:pPr>
              <w:jc w:val="center"/>
              <w:rPr>
                <w:sz w:val="20"/>
                <w:szCs w:val="20"/>
              </w:rPr>
            </w:pPr>
            <w:r w:rsidRPr="008B6A75">
              <w:rPr>
                <w:sz w:val="20"/>
                <w:szCs w:val="20"/>
              </w:rPr>
              <w:t>02</w:t>
            </w:r>
          </w:p>
        </w:tc>
        <w:tc>
          <w:tcPr>
            <w:tcW w:w="1516" w:type="dxa"/>
            <w:tcBorders>
              <w:top w:val="nil"/>
              <w:left w:val="single" w:sz="4" w:space="0" w:color="auto"/>
              <w:bottom w:val="single" w:sz="4" w:space="0" w:color="auto"/>
              <w:right w:val="nil"/>
            </w:tcBorders>
            <w:shd w:val="clear" w:color="auto" w:fill="auto"/>
            <w:noWrap/>
            <w:vAlign w:val="center"/>
            <w:hideMark/>
          </w:tcPr>
          <w:p w14:paraId="17AC06CF" w14:textId="77777777" w:rsidR="00387142" w:rsidRPr="008B6A75" w:rsidRDefault="00387142" w:rsidP="00387142">
            <w:pPr>
              <w:jc w:val="center"/>
              <w:rPr>
                <w:sz w:val="20"/>
                <w:szCs w:val="20"/>
              </w:rPr>
            </w:pPr>
            <w:r w:rsidRPr="008B6A75">
              <w:rPr>
                <w:sz w:val="20"/>
                <w:szCs w:val="20"/>
              </w:rPr>
              <w:t>07.1.00.07290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D8DE2DB" w14:textId="77777777" w:rsidR="00387142" w:rsidRPr="008B6A75" w:rsidRDefault="00387142" w:rsidP="00387142">
            <w:pPr>
              <w:jc w:val="center"/>
              <w:rPr>
                <w:sz w:val="20"/>
                <w:szCs w:val="20"/>
              </w:rPr>
            </w:pPr>
            <w:r w:rsidRPr="008B6A75">
              <w:rPr>
                <w:sz w:val="20"/>
                <w:szCs w:val="20"/>
              </w:rPr>
              <w:t>100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744B31E" w14:textId="77777777" w:rsidR="00387142" w:rsidRPr="008B6A75" w:rsidRDefault="00387142" w:rsidP="00387142">
            <w:pPr>
              <w:jc w:val="right"/>
              <w:rPr>
                <w:sz w:val="20"/>
                <w:szCs w:val="20"/>
              </w:rPr>
            </w:pPr>
            <w:r w:rsidRPr="008B6A75">
              <w:rPr>
                <w:sz w:val="20"/>
                <w:szCs w:val="20"/>
              </w:rPr>
              <w:t>1 300,00</w:t>
            </w:r>
          </w:p>
        </w:tc>
        <w:tc>
          <w:tcPr>
            <w:tcW w:w="992" w:type="dxa"/>
            <w:tcBorders>
              <w:top w:val="nil"/>
              <w:left w:val="single" w:sz="4" w:space="0" w:color="auto"/>
              <w:bottom w:val="single" w:sz="4" w:space="0" w:color="auto"/>
              <w:right w:val="nil"/>
            </w:tcBorders>
            <w:shd w:val="clear" w:color="auto" w:fill="auto"/>
            <w:vAlign w:val="center"/>
            <w:hideMark/>
          </w:tcPr>
          <w:p w14:paraId="71984B48" w14:textId="77777777" w:rsidR="00387142" w:rsidRPr="008B6A75" w:rsidRDefault="00387142" w:rsidP="00387142">
            <w:pPr>
              <w:jc w:val="right"/>
              <w:rPr>
                <w:sz w:val="20"/>
                <w:szCs w:val="20"/>
              </w:rPr>
            </w:pPr>
            <w:r w:rsidRPr="008B6A75">
              <w:rPr>
                <w:sz w:val="20"/>
                <w:szCs w:val="20"/>
              </w:rPr>
              <w:t>1 722 500,00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7A8CEAA2" w14:textId="77777777" w:rsidR="00387142" w:rsidRPr="008B6A75" w:rsidRDefault="00387142" w:rsidP="00387142">
            <w:pPr>
              <w:jc w:val="right"/>
              <w:rPr>
                <w:sz w:val="20"/>
                <w:szCs w:val="20"/>
              </w:rPr>
            </w:pPr>
            <w:r w:rsidRPr="008B6A75">
              <w:rPr>
                <w:sz w:val="20"/>
                <w:szCs w:val="20"/>
              </w:rPr>
              <w:t>60 001 300,00</w:t>
            </w:r>
          </w:p>
        </w:tc>
      </w:tr>
      <w:tr w:rsidR="00387142" w:rsidRPr="008B6A75" w14:paraId="46FA9B53" w14:textId="77777777" w:rsidTr="00387142">
        <w:trPr>
          <w:trHeight w:val="585"/>
        </w:trPr>
        <w:tc>
          <w:tcPr>
            <w:tcW w:w="3261" w:type="dxa"/>
            <w:tcBorders>
              <w:top w:val="nil"/>
              <w:left w:val="single" w:sz="4" w:space="0" w:color="auto"/>
              <w:bottom w:val="single" w:sz="4" w:space="0" w:color="auto"/>
              <w:right w:val="nil"/>
            </w:tcBorders>
            <w:shd w:val="clear" w:color="auto" w:fill="auto"/>
            <w:vAlign w:val="center"/>
            <w:hideMark/>
          </w:tcPr>
          <w:p w14:paraId="595B1AE1" w14:textId="77777777" w:rsidR="00387142" w:rsidRPr="008B6A75" w:rsidRDefault="00387142" w:rsidP="00387142">
            <w:pPr>
              <w:rPr>
                <w:sz w:val="20"/>
                <w:szCs w:val="20"/>
              </w:rPr>
            </w:pPr>
            <w:r w:rsidRPr="008B6A75">
              <w:rPr>
                <w:sz w:val="20"/>
                <w:szCs w:val="20"/>
              </w:rPr>
              <w:t>Расходы на выплаты персоналу казенных учреждений</w:t>
            </w:r>
          </w:p>
        </w:tc>
        <w:tc>
          <w:tcPr>
            <w:tcW w:w="720" w:type="dxa"/>
            <w:tcBorders>
              <w:top w:val="nil"/>
              <w:left w:val="single" w:sz="4" w:space="0" w:color="auto"/>
              <w:bottom w:val="single" w:sz="4" w:space="0" w:color="auto"/>
              <w:right w:val="nil"/>
            </w:tcBorders>
            <w:shd w:val="clear" w:color="auto" w:fill="auto"/>
            <w:noWrap/>
            <w:vAlign w:val="center"/>
            <w:hideMark/>
          </w:tcPr>
          <w:p w14:paraId="17232107" w14:textId="77777777" w:rsidR="00387142" w:rsidRPr="008B6A75" w:rsidRDefault="00387142" w:rsidP="00387142">
            <w:pPr>
              <w:jc w:val="center"/>
              <w:rPr>
                <w:sz w:val="20"/>
                <w:szCs w:val="20"/>
              </w:rPr>
            </w:pPr>
            <w:r w:rsidRPr="008B6A75">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9B6C39D" w14:textId="77777777" w:rsidR="00387142" w:rsidRPr="008B6A75" w:rsidRDefault="00387142" w:rsidP="00387142">
            <w:pPr>
              <w:jc w:val="center"/>
              <w:rPr>
                <w:sz w:val="20"/>
                <w:szCs w:val="20"/>
              </w:rPr>
            </w:pPr>
            <w:r w:rsidRPr="008B6A75">
              <w:rPr>
                <w:sz w:val="20"/>
                <w:szCs w:val="20"/>
              </w:rPr>
              <w:t>02</w:t>
            </w:r>
          </w:p>
        </w:tc>
        <w:tc>
          <w:tcPr>
            <w:tcW w:w="1516" w:type="dxa"/>
            <w:tcBorders>
              <w:top w:val="nil"/>
              <w:left w:val="single" w:sz="4" w:space="0" w:color="auto"/>
              <w:bottom w:val="single" w:sz="4" w:space="0" w:color="auto"/>
              <w:right w:val="nil"/>
            </w:tcBorders>
            <w:shd w:val="clear" w:color="auto" w:fill="auto"/>
            <w:noWrap/>
            <w:vAlign w:val="center"/>
            <w:hideMark/>
          </w:tcPr>
          <w:p w14:paraId="337B2F1C" w14:textId="77777777" w:rsidR="00387142" w:rsidRPr="008B6A75" w:rsidRDefault="00387142" w:rsidP="00387142">
            <w:pPr>
              <w:jc w:val="center"/>
              <w:rPr>
                <w:sz w:val="20"/>
                <w:szCs w:val="20"/>
              </w:rPr>
            </w:pPr>
            <w:r w:rsidRPr="008B6A75">
              <w:rPr>
                <w:sz w:val="20"/>
                <w:szCs w:val="20"/>
              </w:rPr>
              <w:t>07.1.00.07290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7CB0D2E" w14:textId="77777777" w:rsidR="00387142" w:rsidRPr="008B6A75" w:rsidRDefault="00387142" w:rsidP="00387142">
            <w:pPr>
              <w:jc w:val="center"/>
              <w:rPr>
                <w:sz w:val="20"/>
                <w:szCs w:val="20"/>
              </w:rPr>
            </w:pPr>
            <w:r w:rsidRPr="008B6A75">
              <w:rPr>
                <w:sz w:val="20"/>
                <w:szCs w:val="20"/>
              </w:rPr>
              <w:t>110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3C5668A" w14:textId="77777777" w:rsidR="00387142" w:rsidRPr="008B6A75" w:rsidRDefault="00387142" w:rsidP="00387142">
            <w:pPr>
              <w:jc w:val="right"/>
              <w:rPr>
                <w:sz w:val="20"/>
                <w:szCs w:val="20"/>
              </w:rPr>
            </w:pPr>
            <w:r w:rsidRPr="008B6A75">
              <w:rPr>
                <w:sz w:val="20"/>
                <w:szCs w:val="20"/>
              </w:rPr>
              <w:t>1 300,00</w:t>
            </w:r>
          </w:p>
        </w:tc>
        <w:tc>
          <w:tcPr>
            <w:tcW w:w="992" w:type="dxa"/>
            <w:tcBorders>
              <w:top w:val="nil"/>
              <w:left w:val="single" w:sz="4" w:space="0" w:color="auto"/>
              <w:bottom w:val="single" w:sz="4" w:space="0" w:color="auto"/>
              <w:right w:val="nil"/>
            </w:tcBorders>
            <w:shd w:val="clear" w:color="auto" w:fill="auto"/>
            <w:vAlign w:val="center"/>
            <w:hideMark/>
          </w:tcPr>
          <w:p w14:paraId="26FBAB41" w14:textId="77777777" w:rsidR="00387142" w:rsidRPr="008B6A75" w:rsidRDefault="00387142" w:rsidP="00387142">
            <w:pPr>
              <w:jc w:val="right"/>
              <w:rPr>
                <w:sz w:val="20"/>
                <w:szCs w:val="20"/>
              </w:rPr>
            </w:pPr>
            <w:r w:rsidRPr="008B6A75">
              <w:rPr>
                <w:sz w:val="20"/>
                <w:szCs w:val="20"/>
              </w:rPr>
              <w:t>1 722 500,00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1FE59E67" w14:textId="77777777" w:rsidR="00387142" w:rsidRPr="008B6A75" w:rsidRDefault="00387142" w:rsidP="00387142">
            <w:pPr>
              <w:jc w:val="right"/>
              <w:rPr>
                <w:sz w:val="20"/>
                <w:szCs w:val="20"/>
              </w:rPr>
            </w:pPr>
            <w:r w:rsidRPr="008B6A75">
              <w:rPr>
                <w:sz w:val="20"/>
                <w:szCs w:val="20"/>
              </w:rPr>
              <w:t>60 001 300,00</w:t>
            </w:r>
          </w:p>
        </w:tc>
      </w:tr>
      <w:tr w:rsidR="00387142" w:rsidRPr="008B6A75" w14:paraId="1788A172" w14:textId="77777777" w:rsidTr="00387142">
        <w:trPr>
          <w:trHeight w:val="585"/>
        </w:trPr>
        <w:tc>
          <w:tcPr>
            <w:tcW w:w="3261" w:type="dxa"/>
            <w:tcBorders>
              <w:top w:val="nil"/>
              <w:left w:val="single" w:sz="4" w:space="0" w:color="auto"/>
              <w:bottom w:val="single" w:sz="4" w:space="0" w:color="auto"/>
              <w:right w:val="nil"/>
            </w:tcBorders>
            <w:shd w:val="clear" w:color="auto" w:fill="auto"/>
            <w:vAlign w:val="center"/>
            <w:hideMark/>
          </w:tcPr>
          <w:p w14:paraId="1725AB0D" w14:textId="77777777" w:rsidR="00387142" w:rsidRPr="008B6A75" w:rsidRDefault="00387142" w:rsidP="00387142">
            <w:pPr>
              <w:rPr>
                <w:sz w:val="20"/>
                <w:szCs w:val="20"/>
              </w:rPr>
            </w:pPr>
            <w:r w:rsidRPr="008B6A75">
              <w:rPr>
                <w:sz w:val="20"/>
                <w:szCs w:val="20"/>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1B1FDAC8" w14:textId="77777777" w:rsidR="00387142" w:rsidRPr="008B6A75" w:rsidRDefault="00387142" w:rsidP="00387142">
            <w:pPr>
              <w:jc w:val="center"/>
              <w:rPr>
                <w:sz w:val="20"/>
                <w:szCs w:val="20"/>
              </w:rPr>
            </w:pPr>
            <w:r w:rsidRPr="008B6A75">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018E1F4" w14:textId="77777777" w:rsidR="00387142" w:rsidRPr="008B6A75" w:rsidRDefault="00387142" w:rsidP="00387142">
            <w:pPr>
              <w:jc w:val="center"/>
              <w:rPr>
                <w:sz w:val="20"/>
                <w:szCs w:val="20"/>
              </w:rPr>
            </w:pPr>
            <w:r w:rsidRPr="008B6A75">
              <w:rPr>
                <w:sz w:val="20"/>
                <w:szCs w:val="20"/>
              </w:rPr>
              <w:t>02</w:t>
            </w:r>
          </w:p>
        </w:tc>
        <w:tc>
          <w:tcPr>
            <w:tcW w:w="1516" w:type="dxa"/>
            <w:tcBorders>
              <w:top w:val="nil"/>
              <w:left w:val="single" w:sz="4" w:space="0" w:color="auto"/>
              <w:bottom w:val="single" w:sz="4" w:space="0" w:color="auto"/>
              <w:right w:val="nil"/>
            </w:tcBorders>
            <w:shd w:val="clear" w:color="auto" w:fill="auto"/>
            <w:noWrap/>
            <w:vAlign w:val="center"/>
            <w:hideMark/>
          </w:tcPr>
          <w:p w14:paraId="45A1296E" w14:textId="77777777" w:rsidR="00387142" w:rsidRPr="008B6A75" w:rsidRDefault="00387142" w:rsidP="00387142">
            <w:pPr>
              <w:jc w:val="center"/>
              <w:rPr>
                <w:sz w:val="20"/>
                <w:szCs w:val="20"/>
              </w:rPr>
            </w:pPr>
            <w:r w:rsidRPr="008B6A75">
              <w:rPr>
                <w:sz w:val="20"/>
                <w:szCs w:val="20"/>
              </w:rPr>
              <w:t>07.1.00.07290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2BF27FE" w14:textId="77777777" w:rsidR="00387142" w:rsidRPr="008B6A75" w:rsidRDefault="00387142" w:rsidP="00387142">
            <w:pPr>
              <w:jc w:val="center"/>
              <w:rPr>
                <w:sz w:val="20"/>
                <w:szCs w:val="20"/>
              </w:rPr>
            </w:pPr>
            <w:r w:rsidRPr="008B6A75">
              <w:rPr>
                <w:sz w:val="20"/>
                <w:szCs w:val="20"/>
              </w:rPr>
              <w:t>200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A6E1C9C" w14:textId="77777777" w:rsidR="00387142" w:rsidRPr="008B6A75" w:rsidRDefault="00387142" w:rsidP="00387142">
            <w:pPr>
              <w:jc w:val="right"/>
              <w:rPr>
                <w:sz w:val="20"/>
                <w:szCs w:val="20"/>
              </w:rPr>
            </w:pPr>
            <w:r w:rsidRPr="008B6A75">
              <w:rPr>
                <w:sz w:val="20"/>
                <w:szCs w:val="20"/>
              </w:rPr>
              <w:t>60 836 006,27</w:t>
            </w:r>
          </w:p>
        </w:tc>
        <w:tc>
          <w:tcPr>
            <w:tcW w:w="992" w:type="dxa"/>
            <w:tcBorders>
              <w:top w:val="nil"/>
              <w:left w:val="single" w:sz="4" w:space="0" w:color="auto"/>
              <w:bottom w:val="single" w:sz="4" w:space="0" w:color="auto"/>
              <w:right w:val="nil"/>
            </w:tcBorders>
            <w:shd w:val="clear" w:color="auto" w:fill="auto"/>
            <w:vAlign w:val="center"/>
            <w:hideMark/>
          </w:tcPr>
          <w:p w14:paraId="3D4C3E46" w14:textId="77777777" w:rsidR="00387142" w:rsidRPr="008B6A75" w:rsidRDefault="00387142" w:rsidP="00387142">
            <w:pPr>
              <w:jc w:val="right"/>
              <w:rPr>
                <w:sz w:val="20"/>
                <w:szCs w:val="20"/>
              </w:rPr>
            </w:pPr>
            <w:r w:rsidRPr="008B6A75">
              <w:rPr>
                <w:sz w:val="20"/>
                <w:szCs w:val="20"/>
              </w:rPr>
              <w:t>55 941 928,09</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30FDE6B6" w14:textId="77777777" w:rsidR="00387142" w:rsidRPr="008B6A75" w:rsidRDefault="00387142" w:rsidP="00387142">
            <w:pPr>
              <w:jc w:val="right"/>
              <w:rPr>
                <w:sz w:val="20"/>
                <w:szCs w:val="20"/>
              </w:rPr>
            </w:pPr>
            <w:r w:rsidRPr="008B6A75">
              <w:rPr>
                <w:sz w:val="20"/>
                <w:szCs w:val="20"/>
              </w:rPr>
              <w:t>39 856 590,00</w:t>
            </w:r>
          </w:p>
        </w:tc>
      </w:tr>
      <w:tr w:rsidR="00387142" w:rsidRPr="008B6A75" w14:paraId="6332DA38" w14:textId="77777777" w:rsidTr="00387142">
        <w:trPr>
          <w:trHeight w:val="870"/>
        </w:trPr>
        <w:tc>
          <w:tcPr>
            <w:tcW w:w="3261" w:type="dxa"/>
            <w:tcBorders>
              <w:top w:val="nil"/>
              <w:left w:val="single" w:sz="4" w:space="0" w:color="auto"/>
              <w:bottom w:val="single" w:sz="4" w:space="0" w:color="auto"/>
              <w:right w:val="nil"/>
            </w:tcBorders>
            <w:shd w:val="clear" w:color="auto" w:fill="auto"/>
            <w:vAlign w:val="center"/>
            <w:hideMark/>
          </w:tcPr>
          <w:p w14:paraId="6FA65745" w14:textId="77777777" w:rsidR="00387142" w:rsidRPr="008B6A75" w:rsidRDefault="00387142" w:rsidP="00387142">
            <w:pPr>
              <w:rPr>
                <w:sz w:val="20"/>
                <w:szCs w:val="20"/>
              </w:rPr>
            </w:pPr>
            <w:r w:rsidRPr="008B6A75">
              <w:rPr>
                <w:sz w:val="20"/>
                <w:szCs w:val="20"/>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5B6EEF7F" w14:textId="77777777" w:rsidR="00387142" w:rsidRPr="008B6A75" w:rsidRDefault="00387142" w:rsidP="00387142">
            <w:pPr>
              <w:jc w:val="center"/>
              <w:rPr>
                <w:sz w:val="20"/>
                <w:szCs w:val="20"/>
              </w:rPr>
            </w:pPr>
            <w:r w:rsidRPr="008B6A75">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9E6B7AC" w14:textId="77777777" w:rsidR="00387142" w:rsidRPr="008B6A75" w:rsidRDefault="00387142" w:rsidP="00387142">
            <w:pPr>
              <w:jc w:val="center"/>
              <w:rPr>
                <w:sz w:val="20"/>
                <w:szCs w:val="20"/>
              </w:rPr>
            </w:pPr>
            <w:r w:rsidRPr="008B6A75">
              <w:rPr>
                <w:sz w:val="20"/>
                <w:szCs w:val="20"/>
              </w:rPr>
              <w:t>02</w:t>
            </w:r>
          </w:p>
        </w:tc>
        <w:tc>
          <w:tcPr>
            <w:tcW w:w="1516" w:type="dxa"/>
            <w:tcBorders>
              <w:top w:val="nil"/>
              <w:left w:val="single" w:sz="4" w:space="0" w:color="auto"/>
              <w:bottom w:val="single" w:sz="4" w:space="0" w:color="auto"/>
              <w:right w:val="nil"/>
            </w:tcBorders>
            <w:shd w:val="clear" w:color="auto" w:fill="auto"/>
            <w:noWrap/>
            <w:vAlign w:val="center"/>
            <w:hideMark/>
          </w:tcPr>
          <w:p w14:paraId="332127D6" w14:textId="77777777" w:rsidR="00387142" w:rsidRPr="008B6A75" w:rsidRDefault="00387142" w:rsidP="00387142">
            <w:pPr>
              <w:jc w:val="center"/>
              <w:rPr>
                <w:sz w:val="20"/>
                <w:szCs w:val="20"/>
              </w:rPr>
            </w:pPr>
            <w:r w:rsidRPr="008B6A75">
              <w:rPr>
                <w:sz w:val="20"/>
                <w:szCs w:val="20"/>
              </w:rPr>
              <w:t>07.1.00.07290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A021B3B" w14:textId="77777777" w:rsidR="00387142" w:rsidRPr="008B6A75" w:rsidRDefault="00387142" w:rsidP="00387142">
            <w:pPr>
              <w:jc w:val="center"/>
              <w:rPr>
                <w:sz w:val="20"/>
                <w:szCs w:val="20"/>
              </w:rPr>
            </w:pPr>
            <w:r w:rsidRPr="008B6A75">
              <w:rPr>
                <w:sz w:val="20"/>
                <w:szCs w:val="20"/>
              </w:rPr>
              <w:t>240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DDB5BC8" w14:textId="77777777" w:rsidR="00387142" w:rsidRPr="008B6A75" w:rsidRDefault="00387142" w:rsidP="00387142">
            <w:pPr>
              <w:jc w:val="right"/>
              <w:rPr>
                <w:sz w:val="20"/>
                <w:szCs w:val="20"/>
              </w:rPr>
            </w:pPr>
            <w:r w:rsidRPr="008B6A75">
              <w:rPr>
                <w:sz w:val="20"/>
                <w:szCs w:val="20"/>
              </w:rPr>
              <w:t>60 836 006,27</w:t>
            </w:r>
          </w:p>
        </w:tc>
        <w:tc>
          <w:tcPr>
            <w:tcW w:w="992" w:type="dxa"/>
            <w:tcBorders>
              <w:top w:val="nil"/>
              <w:left w:val="single" w:sz="4" w:space="0" w:color="auto"/>
              <w:bottom w:val="single" w:sz="4" w:space="0" w:color="auto"/>
              <w:right w:val="nil"/>
            </w:tcBorders>
            <w:shd w:val="clear" w:color="auto" w:fill="auto"/>
            <w:vAlign w:val="center"/>
            <w:hideMark/>
          </w:tcPr>
          <w:p w14:paraId="435CEE15" w14:textId="77777777" w:rsidR="00387142" w:rsidRPr="008B6A75" w:rsidRDefault="00387142" w:rsidP="00387142">
            <w:pPr>
              <w:jc w:val="right"/>
              <w:rPr>
                <w:sz w:val="20"/>
                <w:szCs w:val="20"/>
              </w:rPr>
            </w:pPr>
            <w:r w:rsidRPr="008B6A75">
              <w:rPr>
                <w:sz w:val="20"/>
                <w:szCs w:val="20"/>
              </w:rPr>
              <w:t>55 941 928,09</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5F268115" w14:textId="77777777" w:rsidR="00387142" w:rsidRPr="008B6A75" w:rsidRDefault="00387142" w:rsidP="00387142">
            <w:pPr>
              <w:jc w:val="right"/>
              <w:rPr>
                <w:sz w:val="20"/>
                <w:szCs w:val="20"/>
              </w:rPr>
            </w:pPr>
            <w:r w:rsidRPr="008B6A75">
              <w:rPr>
                <w:sz w:val="20"/>
                <w:szCs w:val="20"/>
              </w:rPr>
              <w:t>39 856 590,00</w:t>
            </w:r>
          </w:p>
        </w:tc>
      </w:tr>
      <w:tr w:rsidR="00387142" w:rsidRPr="008B6A75" w14:paraId="2EE4FC40" w14:textId="77777777" w:rsidTr="00387142">
        <w:trPr>
          <w:trHeight w:val="870"/>
        </w:trPr>
        <w:tc>
          <w:tcPr>
            <w:tcW w:w="3261" w:type="dxa"/>
            <w:tcBorders>
              <w:top w:val="nil"/>
              <w:left w:val="single" w:sz="4" w:space="0" w:color="auto"/>
              <w:bottom w:val="single" w:sz="4" w:space="0" w:color="auto"/>
              <w:right w:val="nil"/>
            </w:tcBorders>
            <w:shd w:val="clear" w:color="auto" w:fill="auto"/>
            <w:vAlign w:val="center"/>
            <w:hideMark/>
          </w:tcPr>
          <w:p w14:paraId="30EA7D26" w14:textId="77777777" w:rsidR="00387142" w:rsidRPr="008B6A75" w:rsidRDefault="00387142" w:rsidP="00387142">
            <w:pPr>
              <w:rPr>
                <w:sz w:val="20"/>
                <w:szCs w:val="20"/>
              </w:rPr>
            </w:pPr>
            <w:r w:rsidRPr="008B6A75">
              <w:rPr>
                <w:sz w:val="20"/>
                <w:szCs w:val="20"/>
              </w:rPr>
              <w:t>Предоставление субсидий бюджетным, автономным учреждениям и иным некоммерческим организациям</w:t>
            </w:r>
          </w:p>
        </w:tc>
        <w:tc>
          <w:tcPr>
            <w:tcW w:w="720" w:type="dxa"/>
            <w:tcBorders>
              <w:top w:val="nil"/>
              <w:left w:val="single" w:sz="4" w:space="0" w:color="auto"/>
              <w:bottom w:val="single" w:sz="4" w:space="0" w:color="auto"/>
              <w:right w:val="nil"/>
            </w:tcBorders>
            <w:shd w:val="clear" w:color="auto" w:fill="auto"/>
            <w:noWrap/>
            <w:vAlign w:val="center"/>
            <w:hideMark/>
          </w:tcPr>
          <w:p w14:paraId="2ECFD660" w14:textId="77777777" w:rsidR="00387142" w:rsidRPr="008B6A75" w:rsidRDefault="00387142" w:rsidP="00387142">
            <w:pPr>
              <w:jc w:val="center"/>
              <w:rPr>
                <w:sz w:val="20"/>
                <w:szCs w:val="20"/>
              </w:rPr>
            </w:pPr>
            <w:r w:rsidRPr="008B6A75">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65FE3DC" w14:textId="77777777" w:rsidR="00387142" w:rsidRPr="008B6A75" w:rsidRDefault="00387142" w:rsidP="00387142">
            <w:pPr>
              <w:jc w:val="center"/>
              <w:rPr>
                <w:sz w:val="20"/>
                <w:szCs w:val="20"/>
              </w:rPr>
            </w:pPr>
            <w:r w:rsidRPr="008B6A75">
              <w:rPr>
                <w:sz w:val="20"/>
                <w:szCs w:val="20"/>
              </w:rPr>
              <w:t>02</w:t>
            </w:r>
          </w:p>
        </w:tc>
        <w:tc>
          <w:tcPr>
            <w:tcW w:w="1516" w:type="dxa"/>
            <w:tcBorders>
              <w:top w:val="nil"/>
              <w:left w:val="single" w:sz="4" w:space="0" w:color="auto"/>
              <w:bottom w:val="single" w:sz="4" w:space="0" w:color="auto"/>
              <w:right w:val="nil"/>
            </w:tcBorders>
            <w:shd w:val="clear" w:color="auto" w:fill="auto"/>
            <w:noWrap/>
            <w:vAlign w:val="center"/>
            <w:hideMark/>
          </w:tcPr>
          <w:p w14:paraId="57B55798" w14:textId="77777777" w:rsidR="00387142" w:rsidRPr="008B6A75" w:rsidRDefault="00387142" w:rsidP="00387142">
            <w:pPr>
              <w:jc w:val="center"/>
              <w:rPr>
                <w:sz w:val="20"/>
                <w:szCs w:val="20"/>
              </w:rPr>
            </w:pPr>
            <w:r w:rsidRPr="008B6A75">
              <w:rPr>
                <w:sz w:val="20"/>
                <w:szCs w:val="20"/>
              </w:rPr>
              <w:t>07.1.00.07290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2EE58FA" w14:textId="77777777" w:rsidR="00387142" w:rsidRPr="008B6A75" w:rsidRDefault="00387142" w:rsidP="00387142">
            <w:pPr>
              <w:jc w:val="center"/>
              <w:rPr>
                <w:sz w:val="20"/>
                <w:szCs w:val="20"/>
              </w:rPr>
            </w:pPr>
            <w:r w:rsidRPr="008B6A75">
              <w:rPr>
                <w:sz w:val="20"/>
                <w:szCs w:val="20"/>
              </w:rPr>
              <w:t>600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CD86B33" w14:textId="77777777" w:rsidR="00387142" w:rsidRPr="008B6A75" w:rsidRDefault="00387142" w:rsidP="00387142">
            <w:pPr>
              <w:jc w:val="right"/>
              <w:rPr>
                <w:sz w:val="20"/>
                <w:szCs w:val="20"/>
              </w:rPr>
            </w:pPr>
            <w:r w:rsidRPr="008B6A75">
              <w:rPr>
                <w:sz w:val="20"/>
                <w:szCs w:val="20"/>
              </w:rPr>
              <w:t>59 905 069,66</w:t>
            </w:r>
          </w:p>
        </w:tc>
        <w:tc>
          <w:tcPr>
            <w:tcW w:w="992" w:type="dxa"/>
            <w:tcBorders>
              <w:top w:val="nil"/>
              <w:left w:val="single" w:sz="4" w:space="0" w:color="auto"/>
              <w:bottom w:val="single" w:sz="4" w:space="0" w:color="auto"/>
              <w:right w:val="nil"/>
            </w:tcBorders>
            <w:shd w:val="clear" w:color="auto" w:fill="auto"/>
            <w:vAlign w:val="center"/>
            <w:hideMark/>
          </w:tcPr>
          <w:p w14:paraId="45957172" w14:textId="77777777" w:rsidR="00387142" w:rsidRPr="008B6A75" w:rsidRDefault="00387142" w:rsidP="00387142">
            <w:pPr>
              <w:jc w:val="right"/>
              <w:rPr>
                <w:sz w:val="20"/>
                <w:szCs w:val="20"/>
              </w:rPr>
            </w:pPr>
            <w:r w:rsidRPr="008B6A75">
              <w:rPr>
                <w:sz w:val="20"/>
                <w:szCs w:val="20"/>
              </w:rPr>
              <w:t>46 584 851,91</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112E0E3D" w14:textId="77777777" w:rsidR="00387142" w:rsidRPr="008B6A75" w:rsidRDefault="00387142" w:rsidP="00387142">
            <w:pPr>
              <w:jc w:val="right"/>
              <w:rPr>
                <w:sz w:val="20"/>
                <w:szCs w:val="20"/>
              </w:rPr>
            </w:pPr>
            <w:r w:rsidRPr="008B6A75">
              <w:rPr>
                <w:sz w:val="20"/>
                <w:szCs w:val="20"/>
              </w:rPr>
              <w:t>20 000 000,00</w:t>
            </w:r>
          </w:p>
        </w:tc>
      </w:tr>
      <w:tr w:rsidR="00387142" w:rsidRPr="008B6A75" w14:paraId="0CACE620" w14:textId="77777777" w:rsidTr="00387142">
        <w:trPr>
          <w:trHeight w:val="345"/>
        </w:trPr>
        <w:tc>
          <w:tcPr>
            <w:tcW w:w="3261" w:type="dxa"/>
            <w:tcBorders>
              <w:top w:val="nil"/>
              <w:left w:val="single" w:sz="4" w:space="0" w:color="auto"/>
              <w:bottom w:val="single" w:sz="4" w:space="0" w:color="auto"/>
              <w:right w:val="nil"/>
            </w:tcBorders>
            <w:shd w:val="clear" w:color="auto" w:fill="auto"/>
            <w:vAlign w:val="center"/>
            <w:hideMark/>
          </w:tcPr>
          <w:p w14:paraId="21ADDEAC" w14:textId="77777777" w:rsidR="00387142" w:rsidRPr="008B6A75" w:rsidRDefault="00387142" w:rsidP="00387142">
            <w:pPr>
              <w:rPr>
                <w:sz w:val="20"/>
                <w:szCs w:val="20"/>
              </w:rPr>
            </w:pPr>
            <w:r w:rsidRPr="008B6A75">
              <w:rPr>
                <w:sz w:val="20"/>
                <w:szCs w:val="20"/>
              </w:rPr>
              <w:t>Субсидии бюджетным учреждениям</w:t>
            </w:r>
          </w:p>
        </w:tc>
        <w:tc>
          <w:tcPr>
            <w:tcW w:w="720" w:type="dxa"/>
            <w:tcBorders>
              <w:top w:val="nil"/>
              <w:left w:val="single" w:sz="4" w:space="0" w:color="auto"/>
              <w:bottom w:val="single" w:sz="4" w:space="0" w:color="auto"/>
              <w:right w:val="nil"/>
            </w:tcBorders>
            <w:shd w:val="clear" w:color="auto" w:fill="auto"/>
            <w:noWrap/>
            <w:vAlign w:val="center"/>
            <w:hideMark/>
          </w:tcPr>
          <w:p w14:paraId="26442189" w14:textId="77777777" w:rsidR="00387142" w:rsidRPr="008B6A75" w:rsidRDefault="00387142" w:rsidP="00387142">
            <w:pPr>
              <w:jc w:val="center"/>
              <w:rPr>
                <w:sz w:val="20"/>
                <w:szCs w:val="20"/>
              </w:rPr>
            </w:pPr>
            <w:r w:rsidRPr="008B6A75">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EC74F53" w14:textId="77777777" w:rsidR="00387142" w:rsidRPr="008B6A75" w:rsidRDefault="00387142" w:rsidP="00387142">
            <w:pPr>
              <w:jc w:val="center"/>
              <w:rPr>
                <w:sz w:val="20"/>
                <w:szCs w:val="20"/>
              </w:rPr>
            </w:pPr>
            <w:r w:rsidRPr="008B6A75">
              <w:rPr>
                <w:sz w:val="20"/>
                <w:szCs w:val="20"/>
              </w:rPr>
              <w:t>02</w:t>
            </w:r>
          </w:p>
        </w:tc>
        <w:tc>
          <w:tcPr>
            <w:tcW w:w="1516" w:type="dxa"/>
            <w:tcBorders>
              <w:top w:val="nil"/>
              <w:left w:val="single" w:sz="4" w:space="0" w:color="auto"/>
              <w:bottom w:val="single" w:sz="4" w:space="0" w:color="auto"/>
              <w:right w:val="nil"/>
            </w:tcBorders>
            <w:shd w:val="clear" w:color="auto" w:fill="auto"/>
            <w:noWrap/>
            <w:vAlign w:val="center"/>
            <w:hideMark/>
          </w:tcPr>
          <w:p w14:paraId="5F3AF2BA" w14:textId="77777777" w:rsidR="00387142" w:rsidRPr="008B6A75" w:rsidRDefault="00387142" w:rsidP="00387142">
            <w:pPr>
              <w:jc w:val="center"/>
              <w:rPr>
                <w:sz w:val="20"/>
                <w:szCs w:val="20"/>
              </w:rPr>
            </w:pPr>
            <w:r w:rsidRPr="008B6A75">
              <w:rPr>
                <w:sz w:val="20"/>
                <w:szCs w:val="20"/>
              </w:rPr>
              <w:t>07.1.00.07290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37E9FA9" w14:textId="77777777" w:rsidR="00387142" w:rsidRPr="008B6A75" w:rsidRDefault="00387142" w:rsidP="00387142">
            <w:pPr>
              <w:jc w:val="center"/>
              <w:rPr>
                <w:sz w:val="20"/>
                <w:szCs w:val="20"/>
              </w:rPr>
            </w:pPr>
            <w:r w:rsidRPr="008B6A75">
              <w:rPr>
                <w:sz w:val="20"/>
                <w:szCs w:val="20"/>
              </w:rPr>
              <w:t>610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BC00B48" w14:textId="77777777" w:rsidR="00387142" w:rsidRPr="008B6A75" w:rsidRDefault="00387142" w:rsidP="00387142">
            <w:pPr>
              <w:jc w:val="right"/>
              <w:rPr>
                <w:sz w:val="20"/>
                <w:szCs w:val="20"/>
              </w:rPr>
            </w:pPr>
            <w:r w:rsidRPr="008B6A75">
              <w:rPr>
                <w:sz w:val="20"/>
                <w:szCs w:val="20"/>
              </w:rPr>
              <w:t>59 905 069,66</w:t>
            </w:r>
          </w:p>
        </w:tc>
        <w:tc>
          <w:tcPr>
            <w:tcW w:w="992" w:type="dxa"/>
            <w:tcBorders>
              <w:top w:val="nil"/>
              <w:left w:val="single" w:sz="4" w:space="0" w:color="auto"/>
              <w:bottom w:val="single" w:sz="4" w:space="0" w:color="auto"/>
              <w:right w:val="nil"/>
            </w:tcBorders>
            <w:shd w:val="clear" w:color="auto" w:fill="auto"/>
            <w:vAlign w:val="center"/>
            <w:hideMark/>
          </w:tcPr>
          <w:p w14:paraId="717DB0C8" w14:textId="77777777" w:rsidR="00387142" w:rsidRPr="008B6A75" w:rsidRDefault="00387142" w:rsidP="00387142">
            <w:pPr>
              <w:jc w:val="right"/>
              <w:rPr>
                <w:sz w:val="20"/>
                <w:szCs w:val="20"/>
              </w:rPr>
            </w:pPr>
            <w:r w:rsidRPr="008B6A75">
              <w:rPr>
                <w:sz w:val="20"/>
                <w:szCs w:val="20"/>
              </w:rPr>
              <w:t>46 584 851,91</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7DF3CA82" w14:textId="77777777" w:rsidR="00387142" w:rsidRPr="008B6A75" w:rsidRDefault="00387142" w:rsidP="00387142">
            <w:pPr>
              <w:jc w:val="right"/>
              <w:rPr>
                <w:sz w:val="20"/>
                <w:szCs w:val="20"/>
              </w:rPr>
            </w:pPr>
            <w:r w:rsidRPr="008B6A75">
              <w:rPr>
                <w:sz w:val="20"/>
                <w:szCs w:val="20"/>
              </w:rPr>
              <w:t>20 000 000,00</w:t>
            </w:r>
          </w:p>
        </w:tc>
      </w:tr>
      <w:tr w:rsidR="00387142" w:rsidRPr="008B6A75" w14:paraId="6E2F5054" w14:textId="77777777" w:rsidTr="00387142">
        <w:trPr>
          <w:trHeight w:val="345"/>
        </w:trPr>
        <w:tc>
          <w:tcPr>
            <w:tcW w:w="3261" w:type="dxa"/>
            <w:tcBorders>
              <w:top w:val="nil"/>
              <w:left w:val="single" w:sz="4" w:space="0" w:color="auto"/>
              <w:bottom w:val="single" w:sz="4" w:space="0" w:color="auto"/>
              <w:right w:val="nil"/>
            </w:tcBorders>
            <w:shd w:val="clear" w:color="auto" w:fill="auto"/>
            <w:vAlign w:val="center"/>
            <w:hideMark/>
          </w:tcPr>
          <w:p w14:paraId="600507B4" w14:textId="77777777" w:rsidR="00387142" w:rsidRPr="008B6A75" w:rsidRDefault="00387142" w:rsidP="00387142">
            <w:pPr>
              <w:rPr>
                <w:sz w:val="20"/>
                <w:szCs w:val="20"/>
              </w:rPr>
            </w:pPr>
            <w:r w:rsidRPr="008B6A75">
              <w:rPr>
                <w:sz w:val="20"/>
                <w:szCs w:val="20"/>
              </w:rPr>
              <w:t>Иные бюджетные ассигнования</w:t>
            </w:r>
          </w:p>
        </w:tc>
        <w:tc>
          <w:tcPr>
            <w:tcW w:w="720" w:type="dxa"/>
            <w:tcBorders>
              <w:top w:val="nil"/>
              <w:left w:val="single" w:sz="4" w:space="0" w:color="auto"/>
              <w:bottom w:val="single" w:sz="4" w:space="0" w:color="auto"/>
              <w:right w:val="nil"/>
            </w:tcBorders>
            <w:shd w:val="clear" w:color="auto" w:fill="auto"/>
            <w:noWrap/>
            <w:vAlign w:val="center"/>
            <w:hideMark/>
          </w:tcPr>
          <w:p w14:paraId="3C05796E" w14:textId="77777777" w:rsidR="00387142" w:rsidRPr="008B6A75" w:rsidRDefault="00387142" w:rsidP="00387142">
            <w:pPr>
              <w:jc w:val="center"/>
              <w:rPr>
                <w:sz w:val="20"/>
                <w:szCs w:val="20"/>
              </w:rPr>
            </w:pPr>
            <w:r w:rsidRPr="008B6A75">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9104029" w14:textId="77777777" w:rsidR="00387142" w:rsidRPr="008B6A75" w:rsidRDefault="00387142" w:rsidP="00387142">
            <w:pPr>
              <w:jc w:val="center"/>
              <w:rPr>
                <w:sz w:val="20"/>
                <w:szCs w:val="20"/>
              </w:rPr>
            </w:pPr>
            <w:r w:rsidRPr="008B6A75">
              <w:rPr>
                <w:sz w:val="20"/>
                <w:szCs w:val="20"/>
              </w:rPr>
              <w:t>02</w:t>
            </w:r>
          </w:p>
        </w:tc>
        <w:tc>
          <w:tcPr>
            <w:tcW w:w="1516" w:type="dxa"/>
            <w:tcBorders>
              <w:top w:val="nil"/>
              <w:left w:val="single" w:sz="4" w:space="0" w:color="auto"/>
              <w:bottom w:val="single" w:sz="4" w:space="0" w:color="auto"/>
              <w:right w:val="nil"/>
            </w:tcBorders>
            <w:shd w:val="clear" w:color="auto" w:fill="auto"/>
            <w:noWrap/>
            <w:vAlign w:val="center"/>
            <w:hideMark/>
          </w:tcPr>
          <w:p w14:paraId="3F7A3E82" w14:textId="77777777" w:rsidR="00387142" w:rsidRPr="008B6A75" w:rsidRDefault="00387142" w:rsidP="00387142">
            <w:pPr>
              <w:jc w:val="center"/>
              <w:rPr>
                <w:sz w:val="20"/>
                <w:szCs w:val="20"/>
              </w:rPr>
            </w:pPr>
            <w:r w:rsidRPr="008B6A75">
              <w:rPr>
                <w:sz w:val="20"/>
                <w:szCs w:val="20"/>
              </w:rPr>
              <w:t>07.1.00.07290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FBCE45B" w14:textId="77777777" w:rsidR="00387142" w:rsidRPr="008B6A75" w:rsidRDefault="00387142" w:rsidP="00387142">
            <w:pPr>
              <w:jc w:val="center"/>
              <w:rPr>
                <w:sz w:val="20"/>
                <w:szCs w:val="20"/>
              </w:rPr>
            </w:pPr>
            <w:r w:rsidRPr="008B6A75">
              <w:rPr>
                <w:sz w:val="20"/>
                <w:szCs w:val="20"/>
              </w:rPr>
              <w:t>800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C915CD0" w14:textId="77777777" w:rsidR="00387142" w:rsidRPr="008B6A75" w:rsidRDefault="00387142" w:rsidP="00387142">
            <w:pPr>
              <w:jc w:val="right"/>
              <w:rPr>
                <w:sz w:val="20"/>
                <w:szCs w:val="20"/>
              </w:rPr>
            </w:pPr>
            <w:r w:rsidRPr="008B6A75">
              <w:rPr>
                <w:sz w:val="20"/>
                <w:szCs w:val="20"/>
              </w:rPr>
              <w:t>1 289 444,06</w:t>
            </w:r>
          </w:p>
        </w:tc>
        <w:tc>
          <w:tcPr>
            <w:tcW w:w="992" w:type="dxa"/>
            <w:tcBorders>
              <w:top w:val="nil"/>
              <w:left w:val="single" w:sz="4" w:space="0" w:color="auto"/>
              <w:bottom w:val="single" w:sz="4" w:space="0" w:color="auto"/>
              <w:right w:val="nil"/>
            </w:tcBorders>
            <w:shd w:val="clear" w:color="auto" w:fill="auto"/>
            <w:vAlign w:val="center"/>
            <w:hideMark/>
          </w:tcPr>
          <w:p w14:paraId="0FA264AB" w14:textId="77777777" w:rsidR="00387142" w:rsidRPr="008B6A75" w:rsidRDefault="00387142" w:rsidP="00387142">
            <w:pPr>
              <w:jc w:val="right"/>
              <w:rPr>
                <w:sz w:val="20"/>
                <w:szCs w:val="20"/>
              </w:rPr>
            </w:pPr>
            <w:r w:rsidRPr="008B6A75">
              <w:rPr>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63FCA413" w14:textId="77777777" w:rsidR="00387142" w:rsidRPr="008B6A75" w:rsidRDefault="00387142" w:rsidP="00387142">
            <w:pPr>
              <w:jc w:val="right"/>
              <w:rPr>
                <w:sz w:val="20"/>
                <w:szCs w:val="20"/>
              </w:rPr>
            </w:pPr>
            <w:r w:rsidRPr="008B6A75">
              <w:rPr>
                <w:sz w:val="20"/>
                <w:szCs w:val="20"/>
              </w:rPr>
              <w:t>0,00</w:t>
            </w:r>
          </w:p>
        </w:tc>
      </w:tr>
      <w:tr w:rsidR="00387142" w:rsidRPr="008B6A75" w14:paraId="77E44625" w14:textId="77777777" w:rsidTr="00387142">
        <w:trPr>
          <w:trHeight w:val="345"/>
        </w:trPr>
        <w:tc>
          <w:tcPr>
            <w:tcW w:w="3261" w:type="dxa"/>
            <w:tcBorders>
              <w:top w:val="nil"/>
              <w:left w:val="single" w:sz="4" w:space="0" w:color="auto"/>
              <w:bottom w:val="single" w:sz="4" w:space="0" w:color="auto"/>
              <w:right w:val="nil"/>
            </w:tcBorders>
            <w:shd w:val="clear" w:color="auto" w:fill="auto"/>
            <w:vAlign w:val="center"/>
            <w:hideMark/>
          </w:tcPr>
          <w:p w14:paraId="2829A825" w14:textId="77777777" w:rsidR="00387142" w:rsidRPr="008B6A75" w:rsidRDefault="00387142" w:rsidP="00387142">
            <w:pPr>
              <w:rPr>
                <w:sz w:val="20"/>
                <w:szCs w:val="20"/>
              </w:rPr>
            </w:pPr>
            <w:r w:rsidRPr="008B6A75">
              <w:rPr>
                <w:sz w:val="20"/>
                <w:szCs w:val="20"/>
              </w:rPr>
              <w:t>Уплата налогов, сборов и иных платежей</w:t>
            </w:r>
          </w:p>
        </w:tc>
        <w:tc>
          <w:tcPr>
            <w:tcW w:w="720" w:type="dxa"/>
            <w:tcBorders>
              <w:top w:val="nil"/>
              <w:left w:val="single" w:sz="4" w:space="0" w:color="auto"/>
              <w:bottom w:val="single" w:sz="4" w:space="0" w:color="auto"/>
              <w:right w:val="nil"/>
            </w:tcBorders>
            <w:shd w:val="clear" w:color="auto" w:fill="auto"/>
            <w:noWrap/>
            <w:vAlign w:val="center"/>
            <w:hideMark/>
          </w:tcPr>
          <w:p w14:paraId="61245035" w14:textId="77777777" w:rsidR="00387142" w:rsidRPr="008B6A75" w:rsidRDefault="00387142" w:rsidP="00387142">
            <w:pPr>
              <w:jc w:val="center"/>
              <w:rPr>
                <w:sz w:val="20"/>
                <w:szCs w:val="20"/>
              </w:rPr>
            </w:pPr>
            <w:r w:rsidRPr="008B6A75">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925E702" w14:textId="77777777" w:rsidR="00387142" w:rsidRPr="008B6A75" w:rsidRDefault="00387142" w:rsidP="00387142">
            <w:pPr>
              <w:jc w:val="center"/>
              <w:rPr>
                <w:sz w:val="20"/>
                <w:szCs w:val="20"/>
              </w:rPr>
            </w:pPr>
            <w:r w:rsidRPr="008B6A75">
              <w:rPr>
                <w:sz w:val="20"/>
                <w:szCs w:val="20"/>
              </w:rPr>
              <w:t>02</w:t>
            </w:r>
          </w:p>
        </w:tc>
        <w:tc>
          <w:tcPr>
            <w:tcW w:w="1516" w:type="dxa"/>
            <w:tcBorders>
              <w:top w:val="nil"/>
              <w:left w:val="single" w:sz="4" w:space="0" w:color="auto"/>
              <w:bottom w:val="single" w:sz="4" w:space="0" w:color="auto"/>
              <w:right w:val="nil"/>
            </w:tcBorders>
            <w:shd w:val="clear" w:color="auto" w:fill="auto"/>
            <w:noWrap/>
            <w:vAlign w:val="center"/>
            <w:hideMark/>
          </w:tcPr>
          <w:p w14:paraId="4E1C04D4" w14:textId="77777777" w:rsidR="00387142" w:rsidRPr="008B6A75" w:rsidRDefault="00387142" w:rsidP="00387142">
            <w:pPr>
              <w:jc w:val="center"/>
              <w:rPr>
                <w:sz w:val="20"/>
                <w:szCs w:val="20"/>
              </w:rPr>
            </w:pPr>
            <w:r w:rsidRPr="008B6A75">
              <w:rPr>
                <w:sz w:val="20"/>
                <w:szCs w:val="20"/>
              </w:rPr>
              <w:t>07.1.00.07290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3F20F56" w14:textId="77777777" w:rsidR="00387142" w:rsidRPr="008B6A75" w:rsidRDefault="00387142" w:rsidP="00387142">
            <w:pPr>
              <w:jc w:val="center"/>
              <w:rPr>
                <w:sz w:val="20"/>
                <w:szCs w:val="20"/>
              </w:rPr>
            </w:pPr>
            <w:r w:rsidRPr="008B6A75">
              <w:rPr>
                <w:sz w:val="20"/>
                <w:szCs w:val="20"/>
              </w:rPr>
              <w:t>850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8431350" w14:textId="77777777" w:rsidR="00387142" w:rsidRPr="008B6A75" w:rsidRDefault="00387142" w:rsidP="00387142">
            <w:pPr>
              <w:jc w:val="right"/>
              <w:rPr>
                <w:sz w:val="20"/>
                <w:szCs w:val="20"/>
              </w:rPr>
            </w:pPr>
            <w:r w:rsidRPr="008B6A75">
              <w:rPr>
                <w:sz w:val="20"/>
                <w:szCs w:val="20"/>
              </w:rPr>
              <w:t>1 289 444,06</w:t>
            </w:r>
          </w:p>
        </w:tc>
        <w:tc>
          <w:tcPr>
            <w:tcW w:w="992" w:type="dxa"/>
            <w:tcBorders>
              <w:top w:val="nil"/>
              <w:left w:val="single" w:sz="4" w:space="0" w:color="auto"/>
              <w:bottom w:val="single" w:sz="4" w:space="0" w:color="auto"/>
              <w:right w:val="nil"/>
            </w:tcBorders>
            <w:shd w:val="clear" w:color="auto" w:fill="auto"/>
            <w:vAlign w:val="center"/>
            <w:hideMark/>
          </w:tcPr>
          <w:p w14:paraId="604898F6" w14:textId="77777777" w:rsidR="00387142" w:rsidRPr="008B6A75" w:rsidRDefault="00387142" w:rsidP="00387142">
            <w:pPr>
              <w:jc w:val="right"/>
              <w:rPr>
                <w:sz w:val="20"/>
                <w:szCs w:val="20"/>
              </w:rPr>
            </w:pPr>
            <w:r w:rsidRPr="008B6A75">
              <w:rPr>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5C20F859" w14:textId="77777777" w:rsidR="00387142" w:rsidRPr="008B6A75" w:rsidRDefault="00387142" w:rsidP="00387142">
            <w:pPr>
              <w:jc w:val="right"/>
              <w:rPr>
                <w:sz w:val="20"/>
                <w:szCs w:val="20"/>
              </w:rPr>
            </w:pPr>
            <w:r w:rsidRPr="008B6A75">
              <w:rPr>
                <w:sz w:val="20"/>
                <w:szCs w:val="20"/>
              </w:rPr>
              <w:t>0,00</w:t>
            </w:r>
          </w:p>
        </w:tc>
      </w:tr>
      <w:tr w:rsidR="00387142" w:rsidRPr="008B6A75" w14:paraId="4D3A8DFD" w14:textId="77777777" w:rsidTr="00387142">
        <w:trPr>
          <w:trHeight w:val="585"/>
        </w:trPr>
        <w:tc>
          <w:tcPr>
            <w:tcW w:w="3261" w:type="dxa"/>
            <w:tcBorders>
              <w:top w:val="nil"/>
              <w:left w:val="single" w:sz="4" w:space="0" w:color="auto"/>
              <w:bottom w:val="single" w:sz="4" w:space="0" w:color="auto"/>
              <w:right w:val="nil"/>
            </w:tcBorders>
            <w:shd w:val="clear" w:color="auto" w:fill="auto"/>
            <w:vAlign w:val="center"/>
            <w:hideMark/>
          </w:tcPr>
          <w:p w14:paraId="0B63F527" w14:textId="77777777" w:rsidR="00387142" w:rsidRPr="008B6A75" w:rsidRDefault="00387142" w:rsidP="00387142">
            <w:pPr>
              <w:rPr>
                <w:bCs/>
                <w:sz w:val="20"/>
                <w:szCs w:val="20"/>
              </w:rPr>
            </w:pPr>
            <w:r w:rsidRPr="008B6A75">
              <w:rPr>
                <w:bCs/>
                <w:sz w:val="20"/>
                <w:szCs w:val="20"/>
              </w:rPr>
              <w:t>Расходы на обеспечение деятельности (оказание услуг) школ-интернатов</w:t>
            </w:r>
          </w:p>
        </w:tc>
        <w:tc>
          <w:tcPr>
            <w:tcW w:w="720" w:type="dxa"/>
            <w:tcBorders>
              <w:top w:val="nil"/>
              <w:left w:val="single" w:sz="4" w:space="0" w:color="auto"/>
              <w:bottom w:val="single" w:sz="4" w:space="0" w:color="auto"/>
              <w:right w:val="nil"/>
            </w:tcBorders>
            <w:shd w:val="clear" w:color="auto" w:fill="auto"/>
            <w:noWrap/>
            <w:vAlign w:val="center"/>
            <w:hideMark/>
          </w:tcPr>
          <w:p w14:paraId="14C08873" w14:textId="77777777" w:rsidR="00387142" w:rsidRPr="008B6A75" w:rsidRDefault="00387142" w:rsidP="00387142">
            <w:pPr>
              <w:jc w:val="center"/>
              <w:rPr>
                <w:bCs/>
                <w:sz w:val="20"/>
                <w:szCs w:val="20"/>
              </w:rPr>
            </w:pPr>
            <w:r w:rsidRPr="008B6A75">
              <w:rPr>
                <w:bCs/>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93F6EDB" w14:textId="77777777" w:rsidR="00387142" w:rsidRPr="008B6A75" w:rsidRDefault="00387142" w:rsidP="00387142">
            <w:pPr>
              <w:jc w:val="center"/>
              <w:rPr>
                <w:bCs/>
                <w:sz w:val="20"/>
                <w:szCs w:val="20"/>
              </w:rPr>
            </w:pPr>
            <w:r w:rsidRPr="008B6A75">
              <w:rPr>
                <w:bCs/>
                <w:sz w:val="20"/>
                <w:szCs w:val="20"/>
              </w:rPr>
              <w:t>02</w:t>
            </w:r>
          </w:p>
        </w:tc>
        <w:tc>
          <w:tcPr>
            <w:tcW w:w="1516" w:type="dxa"/>
            <w:tcBorders>
              <w:top w:val="nil"/>
              <w:left w:val="single" w:sz="4" w:space="0" w:color="auto"/>
              <w:bottom w:val="single" w:sz="4" w:space="0" w:color="auto"/>
              <w:right w:val="nil"/>
            </w:tcBorders>
            <w:shd w:val="clear" w:color="auto" w:fill="auto"/>
            <w:noWrap/>
            <w:vAlign w:val="center"/>
            <w:hideMark/>
          </w:tcPr>
          <w:p w14:paraId="518CA18C" w14:textId="77777777" w:rsidR="00387142" w:rsidRPr="008B6A75" w:rsidRDefault="00387142" w:rsidP="00387142">
            <w:pPr>
              <w:jc w:val="center"/>
              <w:rPr>
                <w:bCs/>
                <w:sz w:val="20"/>
                <w:szCs w:val="20"/>
              </w:rPr>
            </w:pPr>
            <w:r w:rsidRPr="008B6A75">
              <w:rPr>
                <w:bCs/>
                <w:sz w:val="20"/>
                <w:szCs w:val="20"/>
              </w:rPr>
              <w:t>07.1.00.07390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B1E5778"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60E67BD" w14:textId="77777777" w:rsidR="00387142" w:rsidRPr="008B6A75" w:rsidRDefault="00387142" w:rsidP="00387142">
            <w:pPr>
              <w:jc w:val="right"/>
              <w:rPr>
                <w:bCs/>
                <w:sz w:val="20"/>
                <w:szCs w:val="20"/>
              </w:rPr>
            </w:pPr>
            <w:r w:rsidRPr="008B6A75">
              <w:rPr>
                <w:bCs/>
                <w:sz w:val="20"/>
                <w:szCs w:val="20"/>
              </w:rPr>
              <w:t>20 260 177,78</w:t>
            </w:r>
          </w:p>
        </w:tc>
        <w:tc>
          <w:tcPr>
            <w:tcW w:w="992" w:type="dxa"/>
            <w:tcBorders>
              <w:top w:val="nil"/>
              <w:left w:val="single" w:sz="4" w:space="0" w:color="auto"/>
              <w:bottom w:val="single" w:sz="4" w:space="0" w:color="auto"/>
              <w:right w:val="nil"/>
            </w:tcBorders>
            <w:shd w:val="clear" w:color="auto" w:fill="auto"/>
            <w:vAlign w:val="center"/>
            <w:hideMark/>
          </w:tcPr>
          <w:p w14:paraId="21AEB300" w14:textId="77777777" w:rsidR="00387142" w:rsidRPr="008B6A75" w:rsidRDefault="00387142" w:rsidP="00387142">
            <w:pPr>
              <w:jc w:val="right"/>
              <w:rPr>
                <w:bCs/>
                <w:sz w:val="20"/>
                <w:szCs w:val="20"/>
              </w:rPr>
            </w:pPr>
            <w:r w:rsidRPr="008B6A75">
              <w:rPr>
                <w:bCs/>
                <w:sz w:val="20"/>
                <w:szCs w:val="20"/>
              </w:rPr>
              <w:t>12 533 500,00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4615CBDC" w14:textId="77777777" w:rsidR="00387142" w:rsidRPr="008B6A75" w:rsidRDefault="00387142" w:rsidP="00387142">
            <w:pPr>
              <w:jc w:val="right"/>
              <w:rPr>
                <w:bCs/>
                <w:sz w:val="20"/>
                <w:szCs w:val="20"/>
              </w:rPr>
            </w:pPr>
            <w:r w:rsidRPr="008B6A75">
              <w:rPr>
                <w:bCs/>
                <w:sz w:val="20"/>
                <w:szCs w:val="20"/>
              </w:rPr>
              <w:t>12 533 500,00</w:t>
            </w:r>
          </w:p>
        </w:tc>
      </w:tr>
      <w:tr w:rsidR="00387142" w:rsidRPr="008B6A75" w14:paraId="30873E4D" w14:textId="77777777" w:rsidTr="00387142">
        <w:trPr>
          <w:trHeight w:val="1440"/>
        </w:trPr>
        <w:tc>
          <w:tcPr>
            <w:tcW w:w="3261" w:type="dxa"/>
            <w:tcBorders>
              <w:top w:val="nil"/>
              <w:left w:val="single" w:sz="4" w:space="0" w:color="auto"/>
              <w:bottom w:val="single" w:sz="4" w:space="0" w:color="auto"/>
              <w:right w:val="nil"/>
            </w:tcBorders>
            <w:shd w:val="clear" w:color="auto" w:fill="auto"/>
            <w:vAlign w:val="center"/>
            <w:hideMark/>
          </w:tcPr>
          <w:p w14:paraId="5A65FF4C" w14:textId="77777777" w:rsidR="00387142" w:rsidRPr="008B6A75" w:rsidRDefault="00387142" w:rsidP="00387142">
            <w:pPr>
              <w:rPr>
                <w:sz w:val="20"/>
                <w:szCs w:val="20"/>
              </w:rPr>
            </w:pPr>
            <w:r w:rsidRPr="008B6A7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14:paraId="15FFDF07" w14:textId="77777777" w:rsidR="00387142" w:rsidRPr="008B6A75" w:rsidRDefault="00387142" w:rsidP="00387142">
            <w:pPr>
              <w:jc w:val="center"/>
              <w:rPr>
                <w:sz w:val="20"/>
                <w:szCs w:val="20"/>
              </w:rPr>
            </w:pPr>
            <w:r w:rsidRPr="008B6A75">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41BCFE9" w14:textId="77777777" w:rsidR="00387142" w:rsidRPr="008B6A75" w:rsidRDefault="00387142" w:rsidP="00387142">
            <w:pPr>
              <w:jc w:val="center"/>
              <w:rPr>
                <w:sz w:val="20"/>
                <w:szCs w:val="20"/>
              </w:rPr>
            </w:pPr>
            <w:r w:rsidRPr="008B6A75">
              <w:rPr>
                <w:sz w:val="20"/>
                <w:szCs w:val="20"/>
              </w:rPr>
              <w:t>02</w:t>
            </w:r>
          </w:p>
        </w:tc>
        <w:tc>
          <w:tcPr>
            <w:tcW w:w="1516" w:type="dxa"/>
            <w:tcBorders>
              <w:top w:val="nil"/>
              <w:left w:val="single" w:sz="4" w:space="0" w:color="auto"/>
              <w:bottom w:val="single" w:sz="4" w:space="0" w:color="auto"/>
              <w:right w:val="nil"/>
            </w:tcBorders>
            <w:shd w:val="clear" w:color="auto" w:fill="auto"/>
            <w:noWrap/>
            <w:vAlign w:val="center"/>
            <w:hideMark/>
          </w:tcPr>
          <w:p w14:paraId="0A03D23F" w14:textId="77777777" w:rsidR="00387142" w:rsidRPr="008B6A75" w:rsidRDefault="00387142" w:rsidP="00387142">
            <w:pPr>
              <w:jc w:val="center"/>
              <w:rPr>
                <w:sz w:val="20"/>
                <w:szCs w:val="20"/>
              </w:rPr>
            </w:pPr>
            <w:r w:rsidRPr="008B6A75">
              <w:rPr>
                <w:sz w:val="20"/>
                <w:szCs w:val="20"/>
              </w:rPr>
              <w:t>07.1.00.07390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FA581FE" w14:textId="77777777" w:rsidR="00387142" w:rsidRPr="008B6A75" w:rsidRDefault="00387142" w:rsidP="00387142">
            <w:pPr>
              <w:jc w:val="center"/>
              <w:rPr>
                <w:sz w:val="20"/>
                <w:szCs w:val="20"/>
              </w:rPr>
            </w:pPr>
            <w:r w:rsidRPr="008B6A75">
              <w:rPr>
                <w:sz w:val="20"/>
                <w:szCs w:val="20"/>
              </w:rPr>
              <w:t>100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B78D594" w14:textId="77777777" w:rsidR="00387142" w:rsidRPr="008B6A75" w:rsidRDefault="00387142" w:rsidP="00387142">
            <w:pPr>
              <w:jc w:val="right"/>
              <w:rPr>
                <w:sz w:val="20"/>
                <w:szCs w:val="20"/>
              </w:rPr>
            </w:pPr>
            <w:r w:rsidRPr="008B6A75">
              <w:rPr>
                <w:sz w:val="20"/>
                <w:szCs w:val="20"/>
              </w:rPr>
              <w:t>11 614 874,13</w:t>
            </w:r>
          </w:p>
        </w:tc>
        <w:tc>
          <w:tcPr>
            <w:tcW w:w="992" w:type="dxa"/>
            <w:tcBorders>
              <w:top w:val="nil"/>
              <w:left w:val="single" w:sz="4" w:space="0" w:color="auto"/>
              <w:bottom w:val="single" w:sz="4" w:space="0" w:color="auto"/>
              <w:right w:val="nil"/>
            </w:tcBorders>
            <w:shd w:val="clear" w:color="auto" w:fill="auto"/>
            <w:vAlign w:val="center"/>
            <w:hideMark/>
          </w:tcPr>
          <w:p w14:paraId="05A63C40" w14:textId="77777777" w:rsidR="00387142" w:rsidRPr="008B6A75" w:rsidRDefault="00387142" w:rsidP="00387142">
            <w:pPr>
              <w:jc w:val="right"/>
              <w:rPr>
                <w:sz w:val="20"/>
                <w:szCs w:val="20"/>
              </w:rPr>
            </w:pPr>
            <w:r w:rsidRPr="008B6A75">
              <w:rPr>
                <w:sz w:val="20"/>
                <w:szCs w:val="20"/>
              </w:rPr>
              <w:t>7 002 350,00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5562208A" w14:textId="77777777" w:rsidR="00387142" w:rsidRPr="008B6A75" w:rsidRDefault="00387142" w:rsidP="00387142">
            <w:pPr>
              <w:jc w:val="right"/>
              <w:rPr>
                <w:sz w:val="20"/>
                <w:szCs w:val="20"/>
              </w:rPr>
            </w:pPr>
            <w:r w:rsidRPr="008B6A75">
              <w:rPr>
                <w:sz w:val="20"/>
                <w:szCs w:val="20"/>
              </w:rPr>
              <w:t>7 002 350,00</w:t>
            </w:r>
          </w:p>
        </w:tc>
      </w:tr>
      <w:tr w:rsidR="00387142" w:rsidRPr="008B6A75" w14:paraId="0127B6EF" w14:textId="77777777" w:rsidTr="00387142">
        <w:trPr>
          <w:trHeight w:val="585"/>
        </w:trPr>
        <w:tc>
          <w:tcPr>
            <w:tcW w:w="3261" w:type="dxa"/>
            <w:tcBorders>
              <w:top w:val="nil"/>
              <w:left w:val="single" w:sz="4" w:space="0" w:color="auto"/>
              <w:bottom w:val="single" w:sz="4" w:space="0" w:color="auto"/>
              <w:right w:val="nil"/>
            </w:tcBorders>
            <w:shd w:val="clear" w:color="auto" w:fill="auto"/>
            <w:vAlign w:val="center"/>
            <w:hideMark/>
          </w:tcPr>
          <w:p w14:paraId="4F6DE697" w14:textId="77777777" w:rsidR="00387142" w:rsidRPr="008B6A75" w:rsidRDefault="00387142" w:rsidP="00387142">
            <w:pPr>
              <w:rPr>
                <w:sz w:val="20"/>
                <w:szCs w:val="20"/>
              </w:rPr>
            </w:pPr>
            <w:r w:rsidRPr="008B6A75">
              <w:rPr>
                <w:sz w:val="20"/>
                <w:szCs w:val="20"/>
              </w:rPr>
              <w:t>Расходы на выплаты персоналу казенных учреждений</w:t>
            </w:r>
          </w:p>
        </w:tc>
        <w:tc>
          <w:tcPr>
            <w:tcW w:w="720" w:type="dxa"/>
            <w:tcBorders>
              <w:top w:val="nil"/>
              <w:left w:val="single" w:sz="4" w:space="0" w:color="auto"/>
              <w:bottom w:val="single" w:sz="4" w:space="0" w:color="auto"/>
              <w:right w:val="nil"/>
            </w:tcBorders>
            <w:shd w:val="clear" w:color="auto" w:fill="auto"/>
            <w:noWrap/>
            <w:vAlign w:val="center"/>
            <w:hideMark/>
          </w:tcPr>
          <w:p w14:paraId="463407CC" w14:textId="77777777" w:rsidR="00387142" w:rsidRPr="008B6A75" w:rsidRDefault="00387142" w:rsidP="00387142">
            <w:pPr>
              <w:jc w:val="center"/>
              <w:rPr>
                <w:sz w:val="20"/>
                <w:szCs w:val="20"/>
              </w:rPr>
            </w:pPr>
            <w:r w:rsidRPr="008B6A75">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51BE7E3" w14:textId="77777777" w:rsidR="00387142" w:rsidRPr="008B6A75" w:rsidRDefault="00387142" w:rsidP="00387142">
            <w:pPr>
              <w:jc w:val="center"/>
              <w:rPr>
                <w:sz w:val="20"/>
                <w:szCs w:val="20"/>
              </w:rPr>
            </w:pPr>
            <w:r w:rsidRPr="008B6A75">
              <w:rPr>
                <w:sz w:val="20"/>
                <w:szCs w:val="20"/>
              </w:rPr>
              <w:t>02</w:t>
            </w:r>
          </w:p>
        </w:tc>
        <w:tc>
          <w:tcPr>
            <w:tcW w:w="1516" w:type="dxa"/>
            <w:tcBorders>
              <w:top w:val="nil"/>
              <w:left w:val="single" w:sz="4" w:space="0" w:color="auto"/>
              <w:bottom w:val="single" w:sz="4" w:space="0" w:color="auto"/>
              <w:right w:val="nil"/>
            </w:tcBorders>
            <w:shd w:val="clear" w:color="auto" w:fill="auto"/>
            <w:noWrap/>
            <w:vAlign w:val="center"/>
            <w:hideMark/>
          </w:tcPr>
          <w:p w14:paraId="2A9BD3F2" w14:textId="77777777" w:rsidR="00387142" w:rsidRPr="008B6A75" w:rsidRDefault="00387142" w:rsidP="00387142">
            <w:pPr>
              <w:jc w:val="center"/>
              <w:rPr>
                <w:sz w:val="20"/>
                <w:szCs w:val="20"/>
              </w:rPr>
            </w:pPr>
            <w:r w:rsidRPr="008B6A75">
              <w:rPr>
                <w:sz w:val="20"/>
                <w:szCs w:val="20"/>
              </w:rPr>
              <w:t>07.1.00.07390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71EB4A5" w14:textId="77777777" w:rsidR="00387142" w:rsidRPr="008B6A75" w:rsidRDefault="00387142" w:rsidP="00387142">
            <w:pPr>
              <w:jc w:val="center"/>
              <w:rPr>
                <w:sz w:val="20"/>
                <w:szCs w:val="20"/>
              </w:rPr>
            </w:pPr>
            <w:r w:rsidRPr="008B6A75">
              <w:rPr>
                <w:sz w:val="20"/>
                <w:szCs w:val="20"/>
              </w:rPr>
              <w:t>110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004ED97" w14:textId="77777777" w:rsidR="00387142" w:rsidRPr="008B6A75" w:rsidRDefault="00387142" w:rsidP="00387142">
            <w:pPr>
              <w:jc w:val="right"/>
              <w:rPr>
                <w:sz w:val="20"/>
                <w:szCs w:val="20"/>
              </w:rPr>
            </w:pPr>
            <w:r w:rsidRPr="008B6A75">
              <w:rPr>
                <w:sz w:val="20"/>
                <w:szCs w:val="20"/>
              </w:rPr>
              <w:t>11 614 874,13</w:t>
            </w:r>
          </w:p>
        </w:tc>
        <w:tc>
          <w:tcPr>
            <w:tcW w:w="992" w:type="dxa"/>
            <w:tcBorders>
              <w:top w:val="nil"/>
              <w:left w:val="single" w:sz="4" w:space="0" w:color="auto"/>
              <w:bottom w:val="single" w:sz="4" w:space="0" w:color="auto"/>
              <w:right w:val="nil"/>
            </w:tcBorders>
            <w:shd w:val="clear" w:color="auto" w:fill="auto"/>
            <w:vAlign w:val="center"/>
            <w:hideMark/>
          </w:tcPr>
          <w:p w14:paraId="481B96EB" w14:textId="77777777" w:rsidR="00387142" w:rsidRPr="008B6A75" w:rsidRDefault="00387142" w:rsidP="00387142">
            <w:pPr>
              <w:jc w:val="right"/>
              <w:rPr>
                <w:sz w:val="20"/>
                <w:szCs w:val="20"/>
              </w:rPr>
            </w:pPr>
            <w:r w:rsidRPr="008B6A75">
              <w:rPr>
                <w:sz w:val="20"/>
                <w:szCs w:val="20"/>
              </w:rPr>
              <w:t>7 002 350,00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65797FC6" w14:textId="77777777" w:rsidR="00387142" w:rsidRPr="008B6A75" w:rsidRDefault="00387142" w:rsidP="00387142">
            <w:pPr>
              <w:jc w:val="right"/>
              <w:rPr>
                <w:sz w:val="20"/>
                <w:szCs w:val="20"/>
              </w:rPr>
            </w:pPr>
            <w:r w:rsidRPr="008B6A75">
              <w:rPr>
                <w:sz w:val="20"/>
                <w:szCs w:val="20"/>
              </w:rPr>
              <w:t>7 002 350,00</w:t>
            </w:r>
          </w:p>
        </w:tc>
      </w:tr>
      <w:tr w:rsidR="00387142" w:rsidRPr="008B6A75" w14:paraId="7FA94281" w14:textId="77777777" w:rsidTr="00387142">
        <w:trPr>
          <w:trHeight w:val="585"/>
        </w:trPr>
        <w:tc>
          <w:tcPr>
            <w:tcW w:w="3261" w:type="dxa"/>
            <w:tcBorders>
              <w:top w:val="nil"/>
              <w:left w:val="single" w:sz="4" w:space="0" w:color="auto"/>
              <w:bottom w:val="single" w:sz="4" w:space="0" w:color="auto"/>
              <w:right w:val="nil"/>
            </w:tcBorders>
            <w:shd w:val="clear" w:color="auto" w:fill="auto"/>
            <w:vAlign w:val="center"/>
            <w:hideMark/>
          </w:tcPr>
          <w:p w14:paraId="6BA1A6CB" w14:textId="77777777" w:rsidR="00387142" w:rsidRPr="008B6A75" w:rsidRDefault="00387142" w:rsidP="00387142">
            <w:pPr>
              <w:rPr>
                <w:sz w:val="20"/>
                <w:szCs w:val="20"/>
              </w:rPr>
            </w:pPr>
            <w:r w:rsidRPr="008B6A75">
              <w:rPr>
                <w:sz w:val="20"/>
                <w:szCs w:val="20"/>
              </w:rPr>
              <w:lastRenderedPageBreak/>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3388ADE3" w14:textId="77777777" w:rsidR="00387142" w:rsidRPr="008B6A75" w:rsidRDefault="00387142" w:rsidP="00387142">
            <w:pPr>
              <w:jc w:val="center"/>
              <w:rPr>
                <w:sz w:val="20"/>
                <w:szCs w:val="20"/>
              </w:rPr>
            </w:pPr>
            <w:r w:rsidRPr="008B6A75">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D83B150" w14:textId="77777777" w:rsidR="00387142" w:rsidRPr="008B6A75" w:rsidRDefault="00387142" w:rsidP="00387142">
            <w:pPr>
              <w:jc w:val="center"/>
              <w:rPr>
                <w:sz w:val="20"/>
                <w:szCs w:val="20"/>
              </w:rPr>
            </w:pPr>
            <w:r w:rsidRPr="008B6A75">
              <w:rPr>
                <w:sz w:val="20"/>
                <w:szCs w:val="20"/>
              </w:rPr>
              <w:t>02</w:t>
            </w:r>
          </w:p>
        </w:tc>
        <w:tc>
          <w:tcPr>
            <w:tcW w:w="1516" w:type="dxa"/>
            <w:tcBorders>
              <w:top w:val="nil"/>
              <w:left w:val="single" w:sz="4" w:space="0" w:color="auto"/>
              <w:bottom w:val="single" w:sz="4" w:space="0" w:color="auto"/>
              <w:right w:val="nil"/>
            </w:tcBorders>
            <w:shd w:val="clear" w:color="auto" w:fill="auto"/>
            <w:noWrap/>
            <w:vAlign w:val="center"/>
            <w:hideMark/>
          </w:tcPr>
          <w:p w14:paraId="6036075A" w14:textId="77777777" w:rsidR="00387142" w:rsidRPr="008B6A75" w:rsidRDefault="00387142" w:rsidP="00387142">
            <w:pPr>
              <w:jc w:val="center"/>
              <w:rPr>
                <w:sz w:val="20"/>
                <w:szCs w:val="20"/>
              </w:rPr>
            </w:pPr>
            <w:r w:rsidRPr="008B6A75">
              <w:rPr>
                <w:sz w:val="20"/>
                <w:szCs w:val="20"/>
              </w:rPr>
              <w:t>07.1.00.07390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3C4F7DE" w14:textId="77777777" w:rsidR="00387142" w:rsidRPr="008B6A75" w:rsidRDefault="00387142" w:rsidP="00387142">
            <w:pPr>
              <w:jc w:val="center"/>
              <w:rPr>
                <w:sz w:val="20"/>
                <w:szCs w:val="20"/>
              </w:rPr>
            </w:pPr>
            <w:r w:rsidRPr="008B6A75">
              <w:rPr>
                <w:sz w:val="20"/>
                <w:szCs w:val="20"/>
              </w:rPr>
              <w:t>200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665AFE8" w14:textId="77777777" w:rsidR="00387142" w:rsidRPr="008B6A75" w:rsidRDefault="00387142" w:rsidP="00387142">
            <w:pPr>
              <w:jc w:val="right"/>
              <w:rPr>
                <w:sz w:val="20"/>
                <w:szCs w:val="20"/>
              </w:rPr>
            </w:pPr>
            <w:r w:rsidRPr="008B6A75">
              <w:rPr>
                <w:sz w:val="20"/>
                <w:szCs w:val="20"/>
              </w:rPr>
              <w:t>7 820 184,61</w:t>
            </w:r>
          </w:p>
        </w:tc>
        <w:tc>
          <w:tcPr>
            <w:tcW w:w="992" w:type="dxa"/>
            <w:tcBorders>
              <w:top w:val="nil"/>
              <w:left w:val="single" w:sz="4" w:space="0" w:color="auto"/>
              <w:bottom w:val="single" w:sz="4" w:space="0" w:color="auto"/>
              <w:right w:val="nil"/>
            </w:tcBorders>
            <w:shd w:val="clear" w:color="auto" w:fill="auto"/>
            <w:vAlign w:val="center"/>
            <w:hideMark/>
          </w:tcPr>
          <w:p w14:paraId="061A09DD" w14:textId="77777777" w:rsidR="00387142" w:rsidRPr="008B6A75" w:rsidRDefault="00387142" w:rsidP="00387142">
            <w:pPr>
              <w:jc w:val="right"/>
              <w:rPr>
                <w:sz w:val="20"/>
                <w:szCs w:val="20"/>
              </w:rPr>
            </w:pPr>
            <w:r w:rsidRPr="008B6A75">
              <w:rPr>
                <w:sz w:val="20"/>
                <w:szCs w:val="20"/>
              </w:rPr>
              <w:t>5 531 150,00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2FF907B4" w14:textId="77777777" w:rsidR="00387142" w:rsidRPr="008B6A75" w:rsidRDefault="00387142" w:rsidP="00387142">
            <w:pPr>
              <w:jc w:val="right"/>
              <w:rPr>
                <w:sz w:val="20"/>
                <w:szCs w:val="20"/>
              </w:rPr>
            </w:pPr>
            <w:r w:rsidRPr="008B6A75">
              <w:rPr>
                <w:sz w:val="20"/>
                <w:szCs w:val="20"/>
              </w:rPr>
              <w:t>5 531 150,00</w:t>
            </w:r>
          </w:p>
        </w:tc>
      </w:tr>
      <w:tr w:rsidR="00387142" w:rsidRPr="008B6A75" w14:paraId="1BDFD796" w14:textId="77777777" w:rsidTr="00387142">
        <w:trPr>
          <w:trHeight w:val="870"/>
        </w:trPr>
        <w:tc>
          <w:tcPr>
            <w:tcW w:w="3261" w:type="dxa"/>
            <w:tcBorders>
              <w:top w:val="nil"/>
              <w:left w:val="single" w:sz="4" w:space="0" w:color="auto"/>
              <w:bottom w:val="single" w:sz="4" w:space="0" w:color="auto"/>
              <w:right w:val="nil"/>
            </w:tcBorders>
            <w:shd w:val="clear" w:color="auto" w:fill="auto"/>
            <w:vAlign w:val="center"/>
            <w:hideMark/>
          </w:tcPr>
          <w:p w14:paraId="1B693EF5" w14:textId="77777777" w:rsidR="00387142" w:rsidRPr="008B6A75" w:rsidRDefault="00387142" w:rsidP="00387142">
            <w:pPr>
              <w:rPr>
                <w:sz w:val="20"/>
                <w:szCs w:val="20"/>
              </w:rPr>
            </w:pPr>
            <w:r w:rsidRPr="008B6A75">
              <w:rPr>
                <w:sz w:val="20"/>
                <w:szCs w:val="20"/>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2FA10CA7" w14:textId="77777777" w:rsidR="00387142" w:rsidRPr="008B6A75" w:rsidRDefault="00387142" w:rsidP="00387142">
            <w:pPr>
              <w:jc w:val="center"/>
              <w:rPr>
                <w:sz w:val="20"/>
                <w:szCs w:val="20"/>
              </w:rPr>
            </w:pPr>
            <w:r w:rsidRPr="008B6A75">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06F3FBA" w14:textId="77777777" w:rsidR="00387142" w:rsidRPr="008B6A75" w:rsidRDefault="00387142" w:rsidP="00387142">
            <w:pPr>
              <w:jc w:val="center"/>
              <w:rPr>
                <w:sz w:val="20"/>
                <w:szCs w:val="20"/>
              </w:rPr>
            </w:pPr>
            <w:r w:rsidRPr="008B6A75">
              <w:rPr>
                <w:sz w:val="20"/>
                <w:szCs w:val="20"/>
              </w:rPr>
              <w:t>02</w:t>
            </w:r>
          </w:p>
        </w:tc>
        <w:tc>
          <w:tcPr>
            <w:tcW w:w="1516" w:type="dxa"/>
            <w:tcBorders>
              <w:top w:val="nil"/>
              <w:left w:val="single" w:sz="4" w:space="0" w:color="auto"/>
              <w:bottom w:val="single" w:sz="4" w:space="0" w:color="auto"/>
              <w:right w:val="nil"/>
            </w:tcBorders>
            <w:shd w:val="clear" w:color="auto" w:fill="auto"/>
            <w:noWrap/>
            <w:vAlign w:val="center"/>
            <w:hideMark/>
          </w:tcPr>
          <w:p w14:paraId="56ECB356" w14:textId="77777777" w:rsidR="00387142" w:rsidRPr="008B6A75" w:rsidRDefault="00387142" w:rsidP="00387142">
            <w:pPr>
              <w:jc w:val="center"/>
              <w:rPr>
                <w:sz w:val="20"/>
                <w:szCs w:val="20"/>
              </w:rPr>
            </w:pPr>
            <w:r w:rsidRPr="008B6A75">
              <w:rPr>
                <w:sz w:val="20"/>
                <w:szCs w:val="20"/>
              </w:rPr>
              <w:t>07.1.00.07390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1A8D23E" w14:textId="77777777" w:rsidR="00387142" w:rsidRPr="008B6A75" w:rsidRDefault="00387142" w:rsidP="00387142">
            <w:pPr>
              <w:jc w:val="center"/>
              <w:rPr>
                <w:sz w:val="20"/>
                <w:szCs w:val="20"/>
              </w:rPr>
            </w:pPr>
            <w:r w:rsidRPr="008B6A75">
              <w:rPr>
                <w:sz w:val="20"/>
                <w:szCs w:val="20"/>
              </w:rPr>
              <w:t>240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49672DB" w14:textId="77777777" w:rsidR="00387142" w:rsidRPr="008B6A75" w:rsidRDefault="00387142" w:rsidP="00387142">
            <w:pPr>
              <w:jc w:val="right"/>
              <w:rPr>
                <w:sz w:val="20"/>
                <w:szCs w:val="20"/>
              </w:rPr>
            </w:pPr>
            <w:r w:rsidRPr="008B6A75">
              <w:rPr>
                <w:sz w:val="20"/>
                <w:szCs w:val="20"/>
              </w:rPr>
              <w:t>7 820 184,61</w:t>
            </w:r>
          </w:p>
        </w:tc>
        <w:tc>
          <w:tcPr>
            <w:tcW w:w="992" w:type="dxa"/>
            <w:tcBorders>
              <w:top w:val="nil"/>
              <w:left w:val="single" w:sz="4" w:space="0" w:color="auto"/>
              <w:bottom w:val="single" w:sz="4" w:space="0" w:color="auto"/>
              <w:right w:val="nil"/>
            </w:tcBorders>
            <w:shd w:val="clear" w:color="auto" w:fill="auto"/>
            <w:vAlign w:val="center"/>
            <w:hideMark/>
          </w:tcPr>
          <w:p w14:paraId="2AC12FB3" w14:textId="77777777" w:rsidR="00387142" w:rsidRPr="008B6A75" w:rsidRDefault="00387142" w:rsidP="00387142">
            <w:pPr>
              <w:jc w:val="right"/>
              <w:rPr>
                <w:sz w:val="20"/>
                <w:szCs w:val="20"/>
              </w:rPr>
            </w:pPr>
            <w:r w:rsidRPr="008B6A75">
              <w:rPr>
                <w:sz w:val="20"/>
                <w:szCs w:val="20"/>
              </w:rPr>
              <w:t>5 531 150,00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504FAE55" w14:textId="77777777" w:rsidR="00387142" w:rsidRPr="008B6A75" w:rsidRDefault="00387142" w:rsidP="00387142">
            <w:pPr>
              <w:jc w:val="right"/>
              <w:rPr>
                <w:sz w:val="20"/>
                <w:szCs w:val="20"/>
              </w:rPr>
            </w:pPr>
            <w:r w:rsidRPr="008B6A75">
              <w:rPr>
                <w:sz w:val="20"/>
                <w:szCs w:val="20"/>
              </w:rPr>
              <w:t>5 531 150,00</w:t>
            </w:r>
          </w:p>
        </w:tc>
      </w:tr>
      <w:tr w:rsidR="00387142" w:rsidRPr="008B6A75" w14:paraId="4CC76A72" w14:textId="77777777" w:rsidTr="00387142">
        <w:trPr>
          <w:trHeight w:val="345"/>
        </w:trPr>
        <w:tc>
          <w:tcPr>
            <w:tcW w:w="3261" w:type="dxa"/>
            <w:tcBorders>
              <w:top w:val="nil"/>
              <w:left w:val="single" w:sz="4" w:space="0" w:color="auto"/>
              <w:bottom w:val="single" w:sz="4" w:space="0" w:color="auto"/>
              <w:right w:val="nil"/>
            </w:tcBorders>
            <w:shd w:val="clear" w:color="auto" w:fill="auto"/>
            <w:vAlign w:val="center"/>
            <w:hideMark/>
          </w:tcPr>
          <w:p w14:paraId="755E4DC3" w14:textId="77777777" w:rsidR="00387142" w:rsidRPr="008B6A75" w:rsidRDefault="00387142" w:rsidP="00387142">
            <w:pPr>
              <w:rPr>
                <w:sz w:val="20"/>
                <w:szCs w:val="20"/>
              </w:rPr>
            </w:pPr>
            <w:r w:rsidRPr="008B6A75">
              <w:rPr>
                <w:sz w:val="20"/>
                <w:szCs w:val="20"/>
              </w:rPr>
              <w:t>Иные бюджетные ассигнования</w:t>
            </w:r>
          </w:p>
        </w:tc>
        <w:tc>
          <w:tcPr>
            <w:tcW w:w="720" w:type="dxa"/>
            <w:tcBorders>
              <w:top w:val="nil"/>
              <w:left w:val="single" w:sz="4" w:space="0" w:color="auto"/>
              <w:bottom w:val="single" w:sz="4" w:space="0" w:color="auto"/>
              <w:right w:val="nil"/>
            </w:tcBorders>
            <w:shd w:val="clear" w:color="auto" w:fill="auto"/>
            <w:noWrap/>
            <w:vAlign w:val="center"/>
            <w:hideMark/>
          </w:tcPr>
          <w:p w14:paraId="3DDA1B7D" w14:textId="77777777" w:rsidR="00387142" w:rsidRPr="008B6A75" w:rsidRDefault="00387142" w:rsidP="00387142">
            <w:pPr>
              <w:jc w:val="center"/>
              <w:rPr>
                <w:sz w:val="20"/>
                <w:szCs w:val="20"/>
              </w:rPr>
            </w:pPr>
            <w:r w:rsidRPr="008B6A75">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35D68BE" w14:textId="77777777" w:rsidR="00387142" w:rsidRPr="008B6A75" w:rsidRDefault="00387142" w:rsidP="00387142">
            <w:pPr>
              <w:jc w:val="center"/>
              <w:rPr>
                <w:sz w:val="20"/>
                <w:szCs w:val="20"/>
              </w:rPr>
            </w:pPr>
            <w:r w:rsidRPr="008B6A75">
              <w:rPr>
                <w:sz w:val="20"/>
                <w:szCs w:val="20"/>
              </w:rPr>
              <w:t>02</w:t>
            </w:r>
          </w:p>
        </w:tc>
        <w:tc>
          <w:tcPr>
            <w:tcW w:w="1516" w:type="dxa"/>
            <w:tcBorders>
              <w:top w:val="nil"/>
              <w:left w:val="single" w:sz="4" w:space="0" w:color="auto"/>
              <w:bottom w:val="single" w:sz="4" w:space="0" w:color="auto"/>
              <w:right w:val="nil"/>
            </w:tcBorders>
            <w:shd w:val="clear" w:color="auto" w:fill="auto"/>
            <w:noWrap/>
            <w:vAlign w:val="center"/>
            <w:hideMark/>
          </w:tcPr>
          <w:p w14:paraId="61883529" w14:textId="77777777" w:rsidR="00387142" w:rsidRPr="008B6A75" w:rsidRDefault="00387142" w:rsidP="00387142">
            <w:pPr>
              <w:jc w:val="center"/>
              <w:rPr>
                <w:sz w:val="20"/>
                <w:szCs w:val="20"/>
              </w:rPr>
            </w:pPr>
            <w:r w:rsidRPr="008B6A75">
              <w:rPr>
                <w:sz w:val="20"/>
                <w:szCs w:val="20"/>
              </w:rPr>
              <w:t>07.1.00.07390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16C54B7" w14:textId="77777777" w:rsidR="00387142" w:rsidRPr="008B6A75" w:rsidRDefault="00387142" w:rsidP="00387142">
            <w:pPr>
              <w:jc w:val="center"/>
              <w:rPr>
                <w:sz w:val="20"/>
                <w:szCs w:val="20"/>
              </w:rPr>
            </w:pPr>
            <w:r w:rsidRPr="008B6A75">
              <w:rPr>
                <w:sz w:val="20"/>
                <w:szCs w:val="20"/>
              </w:rPr>
              <w:t>800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3FABCC1" w14:textId="77777777" w:rsidR="00387142" w:rsidRPr="008B6A75" w:rsidRDefault="00387142" w:rsidP="00387142">
            <w:pPr>
              <w:jc w:val="right"/>
              <w:rPr>
                <w:sz w:val="20"/>
                <w:szCs w:val="20"/>
              </w:rPr>
            </w:pPr>
            <w:r w:rsidRPr="008B6A75">
              <w:rPr>
                <w:sz w:val="20"/>
                <w:szCs w:val="20"/>
              </w:rPr>
              <w:t>825 119,04</w:t>
            </w:r>
          </w:p>
        </w:tc>
        <w:tc>
          <w:tcPr>
            <w:tcW w:w="992" w:type="dxa"/>
            <w:tcBorders>
              <w:top w:val="nil"/>
              <w:left w:val="single" w:sz="4" w:space="0" w:color="auto"/>
              <w:bottom w:val="single" w:sz="4" w:space="0" w:color="auto"/>
              <w:right w:val="nil"/>
            </w:tcBorders>
            <w:shd w:val="clear" w:color="auto" w:fill="auto"/>
            <w:vAlign w:val="center"/>
            <w:hideMark/>
          </w:tcPr>
          <w:p w14:paraId="752834DE" w14:textId="77777777" w:rsidR="00387142" w:rsidRPr="008B6A75" w:rsidRDefault="00387142" w:rsidP="00387142">
            <w:pPr>
              <w:jc w:val="right"/>
              <w:rPr>
                <w:sz w:val="20"/>
                <w:szCs w:val="20"/>
              </w:rPr>
            </w:pPr>
            <w:r w:rsidRPr="008B6A75">
              <w:rPr>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22811320" w14:textId="77777777" w:rsidR="00387142" w:rsidRPr="008B6A75" w:rsidRDefault="00387142" w:rsidP="00387142">
            <w:pPr>
              <w:jc w:val="right"/>
              <w:rPr>
                <w:sz w:val="20"/>
                <w:szCs w:val="20"/>
              </w:rPr>
            </w:pPr>
            <w:r w:rsidRPr="008B6A75">
              <w:rPr>
                <w:sz w:val="20"/>
                <w:szCs w:val="20"/>
              </w:rPr>
              <w:t>0,00</w:t>
            </w:r>
          </w:p>
        </w:tc>
      </w:tr>
      <w:tr w:rsidR="00387142" w:rsidRPr="008B6A75" w14:paraId="692679CA" w14:textId="77777777" w:rsidTr="00387142">
        <w:trPr>
          <w:trHeight w:val="345"/>
        </w:trPr>
        <w:tc>
          <w:tcPr>
            <w:tcW w:w="3261" w:type="dxa"/>
            <w:tcBorders>
              <w:top w:val="nil"/>
              <w:left w:val="single" w:sz="4" w:space="0" w:color="auto"/>
              <w:bottom w:val="single" w:sz="4" w:space="0" w:color="auto"/>
              <w:right w:val="nil"/>
            </w:tcBorders>
            <w:shd w:val="clear" w:color="auto" w:fill="auto"/>
            <w:vAlign w:val="center"/>
            <w:hideMark/>
          </w:tcPr>
          <w:p w14:paraId="194B7D9E" w14:textId="77777777" w:rsidR="00387142" w:rsidRPr="008B6A75" w:rsidRDefault="00387142" w:rsidP="00387142">
            <w:pPr>
              <w:rPr>
                <w:sz w:val="20"/>
                <w:szCs w:val="20"/>
              </w:rPr>
            </w:pPr>
            <w:r w:rsidRPr="008B6A75">
              <w:rPr>
                <w:sz w:val="20"/>
                <w:szCs w:val="20"/>
              </w:rPr>
              <w:t>Уплата налогов, сборов и иных платежей</w:t>
            </w:r>
          </w:p>
        </w:tc>
        <w:tc>
          <w:tcPr>
            <w:tcW w:w="720" w:type="dxa"/>
            <w:tcBorders>
              <w:top w:val="nil"/>
              <w:left w:val="single" w:sz="4" w:space="0" w:color="auto"/>
              <w:bottom w:val="single" w:sz="4" w:space="0" w:color="auto"/>
              <w:right w:val="nil"/>
            </w:tcBorders>
            <w:shd w:val="clear" w:color="auto" w:fill="auto"/>
            <w:noWrap/>
            <w:vAlign w:val="center"/>
            <w:hideMark/>
          </w:tcPr>
          <w:p w14:paraId="001EE6F3" w14:textId="77777777" w:rsidR="00387142" w:rsidRPr="008B6A75" w:rsidRDefault="00387142" w:rsidP="00387142">
            <w:pPr>
              <w:jc w:val="center"/>
              <w:rPr>
                <w:sz w:val="20"/>
                <w:szCs w:val="20"/>
              </w:rPr>
            </w:pPr>
            <w:r w:rsidRPr="008B6A75">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C8EB5DE" w14:textId="77777777" w:rsidR="00387142" w:rsidRPr="008B6A75" w:rsidRDefault="00387142" w:rsidP="00387142">
            <w:pPr>
              <w:jc w:val="center"/>
              <w:rPr>
                <w:sz w:val="20"/>
                <w:szCs w:val="20"/>
              </w:rPr>
            </w:pPr>
            <w:r w:rsidRPr="008B6A75">
              <w:rPr>
                <w:sz w:val="20"/>
                <w:szCs w:val="20"/>
              </w:rPr>
              <w:t>02</w:t>
            </w:r>
          </w:p>
        </w:tc>
        <w:tc>
          <w:tcPr>
            <w:tcW w:w="1516" w:type="dxa"/>
            <w:tcBorders>
              <w:top w:val="nil"/>
              <w:left w:val="single" w:sz="4" w:space="0" w:color="auto"/>
              <w:bottom w:val="single" w:sz="4" w:space="0" w:color="auto"/>
              <w:right w:val="nil"/>
            </w:tcBorders>
            <w:shd w:val="clear" w:color="auto" w:fill="auto"/>
            <w:noWrap/>
            <w:vAlign w:val="center"/>
            <w:hideMark/>
          </w:tcPr>
          <w:p w14:paraId="49E3EB54" w14:textId="77777777" w:rsidR="00387142" w:rsidRPr="008B6A75" w:rsidRDefault="00387142" w:rsidP="00387142">
            <w:pPr>
              <w:jc w:val="center"/>
              <w:rPr>
                <w:sz w:val="20"/>
                <w:szCs w:val="20"/>
              </w:rPr>
            </w:pPr>
            <w:r w:rsidRPr="008B6A75">
              <w:rPr>
                <w:sz w:val="20"/>
                <w:szCs w:val="20"/>
              </w:rPr>
              <w:t>07.1.00.07390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7C7CA09" w14:textId="77777777" w:rsidR="00387142" w:rsidRPr="008B6A75" w:rsidRDefault="00387142" w:rsidP="00387142">
            <w:pPr>
              <w:jc w:val="center"/>
              <w:rPr>
                <w:sz w:val="20"/>
                <w:szCs w:val="20"/>
              </w:rPr>
            </w:pPr>
            <w:r w:rsidRPr="008B6A75">
              <w:rPr>
                <w:sz w:val="20"/>
                <w:szCs w:val="20"/>
              </w:rPr>
              <w:t>850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69E90E9" w14:textId="77777777" w:rsidR="00387142" w:rsidRPr="008B6A75" w:rsidRDefault="00387142" w:rsidP="00387142">
            <w:pPr>
              <w:jc w:val="right"/>
              <w:rPr>
                <w:sz w:val="20"/>
                <w:szCs w:val="20"/>
              </w:rPr>
            </w:pPr>
            <w:r w:rsidRPr="008B6A75">
              <w:rPr>
                <w:sz w:val="20"/>
                <w:szCs w:val="20"/>
              </w:rPr>
              <w:t>825 119,04</w:t>
            </w:r>
          </w:p>
        </w:tc>
        <w:tc>
          <w:tcPr>
            <w:tcW w:w="992" w:type="dxa"/>
            <w:tcBorders>
              <w:top w:val="nil"/>
              <w:left w:val="single" w:sz="4" w:space="0" w:color="auto"/>
              <w:bottom w:val="single" w:sz="4" w:space="0" w:color="auto"/>
              <w:right w:val="nil"/>
            </w:tcBorders>
            <w:shd w:val="clear" w:color="auto" w:fill="auto"/>
            <w:vAlign w:val="center"/>
            <w:hideMark/>
          </w:tcPr>
          <w:p w14:paraId="1C2A2C17" w14:textId="77777777" w:rsidR="00387142" w:rsidRPr="008B6A75" w:rsidRDefault="00387142" w:rsidP="00387142">
            <w:pPr>
              <w:jc w:val="right"/>
              <w:rPr>
                <w:sz w:val="20"/>
                <w:szCs w:val="20"/>
              </w:rPr>
            </w:pPr>
            <w:r w:rsidRPr="008B6A75">
              <w:rPr>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18EA21FC" w14:textId="77777777" w:rsidR="00387142" w:rsidRPr="008B6A75" w:rsidRDefault="00387142" w:rsidP="00387142">
            <w:pPr>
              <w:jc w:val="right"/>
              <w:rPr>
                <w:sz w:val="20"/>
                <w:szCs w:val="20"/>
              </w:rPr>
            </w:pPr>
            <w:r w:rsidRPr="008B6A75">
              <w:rPr>
                <w:sz w:val="20"/>
                <w:szCs w:val="20"/>
              </w:rPr>
              <w:t>0,00</w:t>
            </w:r>
          </w:p>
        </w:tc>
      </w:tr>
      <w:tr w:rsidR="00387142" w:rsidRPr="008B6A75" w14:paraId="7AA70C35" w14:textId="77777777" w:rsidTr="00387142">
        <w:trPr>
          <w:trHeight w:val="870"/>
        </w:trPr>
        <w:tc>
          <w:tcPr>
            <w:tcW w:w="3261" w:type="dxa"/>
            <w:tcBorders>
              <w:top w:val="nil"/>
              <w:left w:val="single" w:sz="4" w:space="0" w:color="auto"/>
              <w:bottom w:val="single" w:sz="4" w:space="0" w:color="auto"/>
              <w:right w:val="nil"/>
            </w:tcBorders>
            <w:shd w:val="clear" w:color="auto" w:fill="auto"/>
            <w:vAlign w:val="center"/>
            <w:hideMark/>
          </w:tcPr>
          <w:p w14:paraId="041B31E6" w14:textId="77777777" w:rsidR="00387142" w:rsidRPr="008B6A75" w:rsidRDefault="00387142" w:rsidP="00387142">
            <w:pPr>
              <w:rPr>
                <w:bCs/>
                <w:sz w:val="20"/>
                <w:szCs w:val="20"/>
              </w:rPr>
            </w:pPr>
            <w:r w:rsidRPr="008B6A75">
              <w:rPr>
                <w:bCs/>
                <w:sz w:val="20"/>
                <w:szCs w:val="20"/>
              </w:rPr>
              <w:t>Расходы на обеспечение деятельности (оказание услуг) муниципальных учреждений дополнительного образования</w:t>
            </w:r>
          </w:p>
        </w:tc>
        <w:tc>
          <w:tcPr>
            <w:tcW w:w="720" w:type="dxa"/>
            <w:tcBorders>
              <w:top w:val="nil"/>
              <w:left w:val="single" w:sz="4" w:space="0" w:color="auto"/>
              <w:bottom w:val="single" w:sz="4" w:space="0" w:color="auto"/>
              <w:right w:val="nil"/>
            </w:tcBorders>
            <w:shd w:val="clear" w:color="auto" w:fill="auto"/>
            <w:noWrap/>
            <w:vAlign w:val="center"/>
            <w:hideMark/>
          </w:tcPr>
          <w:p w14:paraId="2255ED2B" w14:textId="77777777" w:rsidR="00387142" w:rsidRPr="008B6A75" w:rsidRDefault="00387142" w:rsidP="00387142">
            <w:pPr>
              <w:jc w:val="center"/>
              <w:rPr>
                <w:bCs/>
                <w:sz w:val="20"/>
                <w:szCs w:val="20"/>
              </w:rPr>
            </w:pPr>
            <w:r w:rsidRPr="008B6A75">
              <w:rPr>
                <w:bCs/>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5784F54" w14:textId="77777777" w:rsidR="00387142" w:rsidRPr="008B6A75" w:rsidRDefault="00387142" w:rsidP="00387142">
            <w:pPr>
              <w:jc w:val="center"/>
              <w:rPr>
                <w:bCs/>
                <w:sz w:val="20"/>
                <w:szCs w:val="20"/>
              </w:rPr>
            </w:pPr>
            <w:r w:rsidRPr="008B6A75">
              <w:rPr>
                <w:bCs/>
                <w:sz w:val="20"/>
                <w:szCs w:val="20"/>
              </w:rPr>
              <w:t>02</w:t>
            </w:r>
          </w:p>
        </w:tc>
        <w:tc>
          <w:tcPr>
            <w:tcW w:w="1516" w:type="dxa"/>
            <w:tcBorders>
              <w:top w:val="nil"/>
              <w:left w:val="single" w:sz="4" w:space="0" w:color="auto"/>
              <w:bottom w:val="single" w:sz="4" w:space="0" w:color="auto"/>
              <w:right w:val="nil"/>
            </w:tcBorders>
            <w:shd w:val="clear" w:color="auto" w:fill="auto"/>
            <w:noWrap/>
            <w:vAlign w:val="center"/>
            <w:hideMark/>
          </w:tcPr>
          <w:p w14:paraId="03883903" w14:textId="77777777" w:rsidR="00387142" w:rsidRPr="008B6A75" w:rsidRDefault="00387142" w:rsidP="00387142">
            <w:pPr>
              <w:jc w:val="center"/>
              <w:rPr>
                <w:bCs/>
                <w:sz w:val="20"/>
                <w:szCs w:val="20"/>
              </w:rPr>
            </w:pPr>
            <w:r w:rsidRPr="008B6A75">
              <w:rPr>
                <w:bCs/>
                <w:sz w:val="20"/>
                <w:szCs w:val="20"/>
              </w:rPr>
              <w:t>07.1.00.07490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BFFE65C"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33508BA" w14:textId="77777777" w:rsidR="00387142" w:rsidRPr="008B6A75" w:rsidRDefault="00387142" w:rsidP="00387142">
            <w:pPr>
              <w:jc w:val="right"/>
              <w:rPr>
                <w:bCs/>
                <w:sz w:val="20"/>
                <w:szCs w:val="20"/>
              </w:rPr>
            </w:pPr>
            <w:r w:rsidRPr="008B6A75">
              <w:rPr>
                <w:bCs/>
                <w:sz w:val="20"/>
                <w:szCs w:val="20"/>
              </w:rPr>
              <w:t>3 800 208,18</w:t>
            </w:r>
          </w:p>
        </w:tc>
        <w:tc>
          <w:tcPr>
            <w:tcW w:w="992" w:type="dxa"/>
            <w:tcBorders>
              <w:top w:val="nil"/>
              <w:left w:val="single" w:sz="4" w:space="0" w:color="auto"/>
              <w:bottom w:val="single" w:sz="4" w:space="0" w:color="auto"/>
              <w:right w:val="nil"/>
            </w:tcBorders>
            <w:shd w:val="clear" w:color="auto" w:fill="auto"/>
            <w:vAlign w:val="center"/>
            <w:hideMark/>
          </w:tcPr>
          <w:p w14:paraId="649C8EFA" w14:textId="77777777" w:rsidR="00387142" w:rsidRPr="008B6A75" w:rsidRDefault="00387142" w:rsidP="00387142">
            <w:pPr>
              <w:jc w:val="right"/>
              <w:rPr>
                <w:bCs/>
                <w:sz w:val="20"/>
                <w:szCs w:val="20"/>
              </w:rPr>
            </w:pPr>
            <w:r w:rsidRPr="008B6A75">
              <w:rPr>
                <w:bCs/>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6525EAA1" w14:textId="77777777" w:rsidR="00387142" w:rsidRPr="008B6A75" w:rsidRDefault="00387142" w:rsidP="00387142">
            <w:pPr>
              <w:jc w:val="right"/>
              <w:rPr>
                <w:bCs/>
                <w:sz w:val="20"/>
                <w:szCs w:val="20"/>
              </w:rPr>
            </w:pPr>
            <w:r w:rsidRPr="008B6A75">
              <w:rPr>
                <w:bCs/>
                <w:sz w:val="20"/>
                <w:szCs w:val="20"/>
              </w:rPr>
              <w:t>0,00</w:t>
            </w:r>
          </w:p>
        </w:tc>
      </w:tr>
      <w:tr w:rsidR="00387142" w:rsidRPr="008B6A75" w14:paraId="454ED87B" w14:textId="77777777" w:rsidTr="00387142">
        <w:trPr>
          <w:trHeight w:val="1440"/>
        </w:trPr>
        <w:tc>
          <w:tcPr>
            <w:tcW w:w="3261" w:type="dxa"/>
            <w:tcBorders>
              <w:top w:val="nil"/>
              <w:left w:val="single" w:sz="4" w:space="0" w:color="auto"/>
              <w:bottom w:val="single" w:sz="4" w:space="0" w:color="auto"/>
              <w:right w:val="nil"/>
            </w:tcBorders>
            <w:shd w:val="clear" w:color="auto" w:fill="auto"/>
            <w:vAlign w:val="center"/>
            <w:hideMark/>
          </w:tcPr>
          <w:p w14:paraId="758C58C4" w14:textId="77777777" w:rsidR="00387142" w:rsidRPr="008B6A75" w:rsidRDefault="00387142" w:rsidP="00387142">
            <w:pPr>
              <w:rPr>
                <w:sz w:val="20"/>
                <w:szCs w:val="20"/>
              </w:rPr>
            </w:pPr>
            <w:r w:rsidRPr="008B6A7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14:paraId="24365FCD" w14:textId="77777777" w:rsidR="00387142" w:rsidRPr="008B6A75" w:rsidRDefault="00387142" w:rsidP="00387142">
            <w:pPr>
              <w:jc w:val="center"/>
              <w:rPr>
                <w:sz w:val="20"/>
                <w:szCs w:val="20"/>
              </w:rPr>
            </w:pPr>
            <w:r w:rsidRPr="008B6A75">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505F40B" w14:textId="77777777" w:rsidR="00387142" w:rsidRPr="008B6A75" w:rsidRDefault="00387142" w:rsidP="00387142">
            <w:pPr>
              <w:jc w:val="center"/>
              <w:rPr>
                <w:sz w:val="20"/>
                <w:szCs w:val="20"/>
              </w:rPr>
            </w:pPr>
            <w:r w:rsidRPr="008B6A75">
              <w:rPr>
                <w:sz w:val="20"/>
                <w:szCs w:val="20"/>
              </w:rPr>
              <w:t>02</w:t>
            </w:r>
          </w:p>
        </w:tc>
        <w:tc>
          <w:tcPr>
            <w:tcW w:w="1516" w:type="dxa"/>
            <w:tcBorders>
              <w:top w:val="nil"/>
              <w:left w:val="single" w:sz="4" w:space="0" w:color="auto"/>
              <w:bottom w:val="single" w:sz="4" w:space="0" w:color="auto"/>
              <w:right w:val="nil"/>
            </w:tcBorders>
            <w:shd w:val="clear" w:color="auto" w:fill="auto"/>
            <w:noWrap/>
            <w:vAlign w:val="center"/>
            <w:hideMark/>
          </w:tcPr>
          <w:p w14:paraId="60702927" w14:textId="77777777" w:rsidR="00387142" w:rsidRPr="008B6A75" w:rsidRDefault="00387142" w:rsidP="00387142">
            <w:pPr>
              <w:jc w:val="center"/>
              <w:rPr>
                <w:sz w:val="20"/>
                <w:szCs w:val="20"/>
              </w:rPr>
            </w:pPr>
            <w:r w:rsidRPr="008B6A75">
              <w:rPr>
                <w:sz w:val="20"/>
                <w:szCs w:val="20"/>
              </w:rPr>
              <w:t>07.1.00.07490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9E7B13B" w14:textId="77777777" w:rsidR="00387142" w:rsidRPr="008B6A75" w:rsidRDefault="00387142" w:rsidP="00387142">
            <w:pPr>
              <w:jc w:val="center"/>
              <w:rPr>
                <w:sz w:val="20"/>
                <w:szCs w:val="20"/>
              </w:rPr>
            </w:pPr>
            <w:r w:rsidRPr="008B6A75">
              <w:rPr>
                <w:sz w:val="20"/>
                <w:szCs w:val="20"/>
              </w:rPr>
              <w:t>100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8870C22" w14:textId="77777777" w:rsidR="00387142" w:rsidRPr="008B6A75" w:rsidRDefault="00387142" w:rsidP="00387142">
            <w:pPr>
              <w:jc w:val="right"/>
              <w:rPr>
                <w:sz w:val="20"/>
                <w:szCs w:val="20"/>
              </w:rPr>
            </w:pPr>
            <w:r w:rsidRPr="008B6A75">
              <w:rPr>
                <w:sz w:val="20"/>
                <w:szCs w:val="20"/>
              </w:rPr>
              <w:t>1 494 392,35</w:t>
            </w:r>
          </w:p>
        </w:tc>
        <w:tc>
          <w:tcPr>
            <w:tcW w:w="992" w:type="dxa"/>
            <w:tcBorders>
              <w:top w:val="nil"/>
              <w:left w:val="single" w:sz="4" w:space="0" w:color="auto"/>
              <w:bottom w:val="single" w:sz="4" w:space="0" w:color="auto"/>
              <w:right w:val="nil"/>
            </w:tcBorders>
            <w:shd w:val="clear" w:color="auto" w:fill="auto"/>
            <w:vAlign w:val="center"/>
            <w:hideMark/>
          </w:tcPr>
          <w:p w14:paraId="4FE95D2D" w14:textId="77777777" w:rsidR="00387142" w:rsidRPr="008B6A75" w:rsidRDefault="00387142" w:rsidP="00387142">
            <w:pPr>
              <w:jc w:val="right"/>
              <w:rPr>
                <w:sz w:val="20"/>
                <w:szCs w:val="20"/>
              </w:rPr>
            </w:pPr>
            <w:r w:rsidRPr="008B6A75">
              <w:rPr>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46A8659B" w14:textId="77777777" w:rsidR="00387142" w:rsidRPr="008B6A75" w:rsidRDefault="00387142" w:rsidP="00387142">
            <w:pPr>
              <w:jc w:val="right"/>
              <w:rPr>
                <w:sz w:val="20"/>
                <w:szCs w:val="20"/>
              </w:rPr>
            </w:pPr>
            <w:r w:rsidRPr="008B6A75">
              <w:rPr>
                <w:sz w:val="20"/>
                <w:szCs w:val="20"/>
              </w:rPr>
              <w:t>0,00</w:t>
            </w:r>
          </w:p>
        </w:tc>
      </w:tr>
      <w:tr w:rsidR="00387142" w:rsidRPr="008B6A75" w14:paraId="345DFB0B" w14:textId="77777777" w:rsidTr="00387142">
        <w:trPr>
          <w:trHeight w:val="585"/>
        </w:trPr>
        <w:tc>
          <w:tcPr>
            <w:tcW w:w="3261" w:type="dxa"/>
            <w:tcBorders>
              <w:top w:val="nil"/>
              <w:left w:val="single" w:sz="4" w:space="0" w:color="auto"/>
              <w:bottom w:val="single" w:sz="4" w:space="0" w:color="auto"/>
              <w:right w:val="nil"/>
            </w:tcBorders>
            <w:shd w:val="clear" w:color="auto" w:fill="auto"/>
            <w:vAlign w:val="center"/>
            <w:hideMark/>
          </w:tcPr>
          <w:p w14:paraId="7CD3B31B" w14:textId="77777777" w:rsidR="00387142" w:rsidRPr="008B6A75" w:rsidRDefault="00387142" w:rsidP="00387142">
            <w:pPr>
              <w:rPr>
                <w:sz w:val="20"/>
                <w:szCs w:val="20"/>
              </w:rPr>
            </w:pPr>
            <w:r w:rsidRPr="008B6A75">
              <w:rPr>
                <w:sz w:val="20"/>
                <w:szCs w:val="20"/>
              </w:rPr>
              <w:t>Расходы на выплаты персоналу казенных учреждений</w:t>
            </w:r>
          </w:p>
        </w:tc>
        <w:tc>
          <w:tcPr>
            <w:tcW w:w="720" w:type="dxa"/>
            <w:tcBorders>
              <w:top w:val="nil"/>
              <w:left w:val="single" w:sz="4" w:space="0" w:color="auto"/>
              <w:bottom w:val="single" w:sz="4" w:space="0" w:color="auto"/>
              <w:right w:val="nil"/>
            </w:tcBorders>
            <w:shd w:val="clear" w:color="auto" w:fill="auto"/>
            <w:noWrap/>
            <w:vAlign w:val="center"/>
            <w:hideMark/>
          </w:tcPr>
          <w:p w14:paraId="608B1D80" w14:textId="77777777" w:rsidR="00387142" w:rsidRPr="008B6A75" w:rsidRDefault="00387142" w:rsidP="00387142">
            <w:pPr>
              <w:jc w:val="center"/>
              <w:rPr>
                <w:sz w:val="20"/>
                <w:szCs w:val="20"/>
              </w:rPr>
            </w:pPr>
            <w:r w:rsidRPr="008B6A75">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3F799BB" w14:textId="77777777" w:rsidR="00387142" w:rsidRPr="008B6A75" w:rsidRDefault="00387142" w:rsidP="00387142">
            <w:pPr>
              <w:jc w:val="center"/>
              <w:rPr>
                <w:sz w:val="20"/>
                <w:szCs w:val="20"/>
              </w:rPr>
            </w:pPr>
            <w:r w:rsidRPr="008B6A75">
              <w:rPr>
                <w:sz w:val="20"/>
                <w:szCs w:val="20"/>
              </w:rPr>
              <w:t>02</w:t>
            </w:r>
          </w:p>
        </w:tc>
        <w:tc>
          <w:tcPr>
            <w:tcW w:w="1516" w:type="dxa"/>
            <w:tcBorders>
              <w:top w:val="nil"/>
              <w:left w:val="single" w:sz="4" w:space="0" w:color="auto"/>
              <w:bottom w:val="single" w:sz="4" w:space="0" w:color="auto"/>
              <w:right w:val="nil"/>
            </w:tcBorders>
            <w:shd w:val="clear" w:color="auto" w:fill="auto"/>
            <w:noWrap/>
            <w:vAlign w:val="center"/>
            <w:hideMark/>
          </w:tcPr>
          <w:p w14:paraId="5CD179CB" w14:textId="77777777" w:rsidR="00387142" w:rsidRPr="008B6A75" w:rsidRDefault="00387142" w:rsidP="00387142">
            <w:pPr>
              <w:jc w:val="center"/>
              <w:rPr>
                <w:sz w:val="20"/>
                <w:szCs w:val="20"/>
              </w:rPr>
            </w:pPr>
            <w:r w:rsidRPr="008B6A75">
              <w:rPr>
                <w:sz w:val="20"/>
                <w:szCs w:val="20"/>
              </w:rPr>
              <w:t>07.1.00.07490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B3A38EF" w14:textId="77777777" w:rsidR="00387142" w:rsidRPr="008B6A75" w:rsidRDefault="00387142" w:rsidP="00387142">
            <w:pPr>
              <w:jc w:val="center"/>
              <w:rPr>
                <w:sz w:val="20"/>
                <w:szCs w:val="20"/>
              </w:rPr>
            </w:pPr>
            <w:r w:rsidRPr="008B6A75">
              <w:rPr>
                <w:sz w:val="20"/>
                <w:szCs w:val="20"/>
              </w:rPr>
              <w:t>110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3A72103" w14:textId="77777777" w:rsidR="00387142" w:rsidRPr="008B6A75" w:rsidRDefault="00387142" w:rsidP="00387142">
            <w:pPr>
              <w:jc w:val="right"/>
              <w:rPr>
                <w:sz w:val="20"/>
                <w:szCs w:val="20"/>
              </w:rPr>
            </w:pPr>
            <w:r w:rsidRPr="008B6A75">
              <w:rPr>
                <w:sz w:val="20"/>
                <w:szCs w:val="20"/>
              </w:rPr>
              <w:t>1 494 392,35</w:t>
            </w:r>
          </w:p>
        </w:tc>
        <w:tc>
          <w:tcPr>
            <w:tcW w:w="992" w:type="dxa"/>
            <w:tcBorders>
              <w:top w:val="nil"/>
              <w:left w:val="single" w:sz="4" w:space="0" w:color="auto"/>
              <w:bottom w:val="single" w:sz="4" w:space="0" w:color="auto"/>
              <w:right w:val="nil"/>
            </w:tcBorders>
            <w:shd w:val="clear" w:color="auto" w:fill="auto"/>
            <w:vAlign w:val="center"/>
            <w:hideMark/>
          </w:tcPr>
          <w:p w14:paraId="2DAA310E" w14:textId="77777777" w:rsidR="00387142" w:rsidRPr="008B6A75" w:rsidRDefault="00387142" w:rsidP="00387142">
            <w:pPr>
              <w:jc w:val="right"/>
              <w:rPr>
                <w:sz w:val="20"/>
                <w:szCs w:val="20"/>
              </w:rPr>
            </w:pPr>
            <w:r w:rsidRPr="008B6A75">
              <w:rPr>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7528AC11" w14:textId="77777777" w:rsidR="00387142" w:rsidRPr="008B6A75" w:rsidRDefault="00387142" w:rsidP="00387142">
            <w:pPr>
              <w:jc w:val="right"/>
              <w:rPr>
                <w:sz w:val="20"/>
                <w:szCs w:val="20"/>
              </w:rPr>
            </w:pPr>
            <w:r w:rsidRPr="008B6A75">
              <w:rPr>
                <w:sz w:val="20"/>
                <w:szCs w:val="20"/>
              </w:rPr>
              <w:t>0,00</w:t>
            </w:r>
          </w:p>
        </w:tc>
      </w:tr>
      <w:tr w:rsidR="00387142" w:rsidRPr="008B6A75" w14:paraId="7FC20D6A" w14:textId="77777777" w:rsidTr="00387142">
        <w:trPr>
          <w:trHeight w:val="870"/>
        </w:trPr>
        <w:tc>
          <w:tcPr>
            <w:tcW w:w="3261" w:type="dxa"/>
            <w:tcBorders>
              <w:top w:val="nil"/>
              <w:left w:val="single" w:sz="4" w:space="0" w:color="auto"/>
              <w:bottom w:val="single" w:sz="4" w:space="0" w:color="auto"/>
              <w:right w:val="nil"/>
            </w:tcBorders>
            <w:shd w:val="clear" w:color="auto" w:fill="auto"/>
            <w:vAlign w:val="center"/>
            <w:hideMark/>
          </w:tcPr>
          <w:p w14:paraId="14749A02" w14:textId="77777777" w:rsidR="00387142" w:rsidRPr="008B6A75" w:rsidRDefault="00387142" w:rsidP="00387142">
            <w:pPr>
              <w:rPr>
                <w:sz w:val="20"/>
                <w:szCs w:val="20"/>
              </w:rPr>
            </w:pPr>
            <w:r w:rsidRPr="008B6A75">
              <w:rPr>
                <w:sz w:val="20"/>
                <w:szCs w:val="20"/>
              </w:rPr>
              <w:t>Предоставление субсидий бюджетным, автономным учреждениям и иным некоммерческим организациям</w:t>
            </w:r>
          </w:p>
        </w:tc>
        <w:tc>
          <w:tcPr>
            <w:tcW w:w="720" w:type="dxa"/>
            <w:tcBorders>
              <w:top w:val="nil"/>
              <w:left w:val="single" w:sz="4" w:space="0" w:color="auto"/>
              <w:bottom w:val="single" w:sz="4" w:space="0" w:color="auto"/>
              <w:right w:val="nil"/>
            </w:tcBorders>
            <w:shd w:val="clear" w:color="auto" w:fill="auto"/>
            <w:noWrap/>
            <w:vAlign w:val="center"/>
            <w:hideMark/>
          </w:tcPr>
          <w:p w14:paraId="5844FD5E" w14:textId="77777777" w:rsidR="00387142" w:rsidRPr="008B6A75" w:rsidRDefault="00387142" w:rsidP="00387142">
            <w:pPr>
              <w:jc w:val="center"/>
              <w:rPr>
                <w:sz w:val="20"/>
                <w:szCs w:val="20"/>
              </w:rPr>
            </w:pPr>
            <w:r w:rsidRPr="008B6A75">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9B8D34A" w14:textId="77777777" w:rsidR="00387142" w:rsidRPr="008B6A75" w:rsidRDefault="00387142" w:rsidP="00387142">
            <w:pPr>
              <w:jc w:val="center"/>
              <w:rPr>
                <w:sz w:val="20"/>
                <w:szCs w:val="20"/>
              </w:rPr>
            </w:pPr>
            <w:r w:rsidRPr="008B6A75">
              <w:rPr>
                <w:sz w:val="20"/>
                <w:szCs w:val="20"/>
              </w:rPr>
              <w:t>02</w:t>
            </w:r>
          </w:p>
        </w:tc>
        <w:tc>
          <w:tcPr>
            <w:tcW w:w="1516" w:type="dxa"/>
            <w:tcBorders>
              <w:top w:val="nil"/>
              <w:left w:val="single" w:sz="4" w:space="0" w:color="auto"/>
              <w:bottom w:val="single" w:sz="4" w:space="0" w:color="auto"/>
              <w:right w:val="nil"/>
            </w:tcBorders>
            <w:shd w:val="clear" w:color="auto" w:fill="auto"/>
            <w:noWrap/>
            <w:vAlign w:val="center"/>
            <w:hideMark/>
          </w:tcPr>
          <w:p w14:paraId="728EBD68" w14:textId="77777777" w:rsidR="00387142" w:rsidRPr="008B6A75" w:rsidRDefault="00387142" w:rsidP="00387142">
            <w:pPr>
              <w:jc w:val="center"/>
              <w:rPr>
                <w:sz w:val="20"/>
                <w:szCs w:val="20"/>
              </w:rPr>
            </w:pPr>
            <w:r w:rsidRPr="008B6A75">
              <w:rPr>
                <w:sz w:val="20"/>
                <w:szCs w:val="20"/>
              </w:rPr>
              <w:t>07.1.00.07490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90544D3" w14:textId="77777777" w:rsidR="00387142" w:rsidRPr="008B6A75" w:rsidRDefault="00387142" w:rsidP="00387142">
            <w:pPr>
              <w:jc w:val="center"/>
              <w:rPr>
                <w:sz w:val="20"/>
                <w:szCs w:val="20"/>
              </w:rPr>
            </w:pPr>
            <w:r w:rsidRPr="008B6A75">
              <w:rPr>
                <w:sz w:val="20"/>
                <w:szCs w:val="20"/>
              </w:rPr>
              <w:t>600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A2E5136" w14:textId="77777777" w:rsidR="00387142" w:rsidRPr="008B6A75" w:rsidRDefault="00387142" w:rsidP="00387142">
            <w:pPr>
              <w:jc w:val="right"/>
              <w:rPr>
                <w:sz w:val="20"/>
                <w:szCs w:val="20"/>
              </w:rPr>
            </w:pPr>
            <w:r w:rsidRPr="008B6A75">
              <w:rPr>
                <w:sz w:val="20"/>
                <w:szCs w:val="20"/>
              </w:rPr>
              <w:t>2 305 815,83</w:t>
            </w:r>
          </w:p>
        </w:tc>
        <w:tc>
          <w:tcPr>
            <w:tcW w:w="992" w:type="dxa"/>
            <w:tcBorders>
              <w:top w:val="nil"/>
              <w:left w:val="single" w:sz="4" w:space="0" w:color="auto"/>
              <w:bottom w:val="single" w:sz="4" w:space="0" w:color="auto"/>
              <w:right w:val="nil"/>
            </w:tcBorders>
            <w:shd w:val="clear" w:color="auto" w:fill="auto"/>
            <w:vAlign w:val="center"/>
            <w:hideMark/>
          </w:tcPr>
          <w:p w14:paraId="2DEE3014" w14:textId="77777777" w:rsidR="00387142" w:rsidRPr="008B6A75" w:rsidRDefault="00387142" w:rsidP="00387142">
            <w:pPr>
              <w:jc w:val="right"/>
              <w:rPr>
                <w:sz w:val="20"/>
                <w:szCs w:val="20"/>
              </w:rPr>
            </w:pPr>
            <w:r w:rsidRPr="008B6A75">
              <w:rPr>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25B7303B" w14:textId="77777777" w:rsidR="00387142" w:rsidRPr="008B6A75" w:rsidRDefault="00387142" w:rsidP="00387142">
            <w:pPr>
              <w:jc w:val="right"/>
              <w:rPr>
                <w:sz w:val="20"/>
                <w:szCs w:val="20"/>
              </w:rPr>
            </w:pPr>
            <w:r w:rsidRPr="008B6A75">
              <w:rPr>
                <w:sz w:val="20"/>
                <w:szCs w:val="20"/>
              </w:rPr>
              <w:t>0,00</w:t>
            </w:r>
          </w:p>
        </w:tc>
      </w:tr>
      <w:tr w:rsidR="00387142" w:rsidRPr="008B6A75" w14:paraId="6EE3BD47" w14:textId="77777777" w:rsidTr="00387142">
        <w:trPr>
          <w:trHeight w:val="345"/>
        </w:trPr>
        <w:tc>
          <w:tcPr>
            <w:tcW w:w="3261" w:type="dxa"/>
            <w:tcBorders>
              <w:top w:val="nil"/>
              <w:left w:val="single" w:sz="4" w:space="0" w:color="auto"/>
              <w:bottom w:val="single" w:sz="4" w:space="0" w:color="auto"/>
              <w:right w:val="nil"/>
            </w:tcBorders>
            <w:shd w:val="clear" w:color="auto" w:fill="auto"/>
            <w:vAlign w:val="center"/>
            <w:hideMark/>
          </w:tcPr>
          <w:p w14:paraId="52898E5F" w14:textId="77777777" w:rsidR="00387142" w:rsidRPr="008B6A75" w:rsidRDefault="00387142" w:rsidP="00387142">
            <w:pPr>
              <w:rPr>
                <w:sz w:val="20"/>
                <w:szCs w:val="20"/>
              </w:rPr>
            </w:pPr>
            <w:r w:rsidRPr="008B6A75">
              <w:rPr>
                <w:sz w:val="20"/>
                <w:szCs w:val="20"/>
              </w:rPr>
              <w:t>Субсидии бюджетным учреждениям</w:t>
            </w:r>
          </w:p>
        </w:tc>
        <w:tc>
          <w:tcPr>
            <w:tcW w:w="720" w:type="dxa"/>
            <w:tcBorders>
              <w:top w:val="nil"/>
              <w:left w:val="single" w:sz="4" w:space="0" w:color="auto"/>
              <w:bottom w:val="single" w:sz="4" w:space="0" w:color="auto"/>
              <w:right w:val="nil"/>
            </w:tcBorders>
            <w:shd w:val="clear" w:color="auto" w:fill="auto"/>
            <w:noWrap/>
            <w:vAlign w:val="center"/>
            <w:hideMark/>
          </w:tcPr>
          <w:p w14:paraId="0227BDE3" w14:textId="77777777" w:rsidR="00387142" w:rsidRPr="008B6A75" w:rsidRDefault="00387142" w:rsidP="00387142">
            <w:pPr>
              <w:jc w:val="center"/>
              <w:rPr>
                <w:sz w:val="20"/>
                <w:szCs w:val="20"/>
              </w:rPr>
            </w:pPr>
            <w:r w:rsidRPr="008B6A75">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9AC6C1B" w14:textId="77777777" w:rsidR="00387142" w:rsidRPr="008B6A75" w:rsidRDefault="00387142" w:rsidP="00387142">
            <w:pPr>
              <w:jc w:val="center"/>
              <w:rPr>
                <w:sz w:val="20"/>
                <w:szCs w:val="20"/>
              </w:rPr>
            </w:pPr>
            <w:r w:rsidRPr="008B6A75">
              <w:rPr>
                <w:sz w:val="20"/>
                <w:szCs w:val="20"/>
              </w:rPr>
              <w:t>02</w:t>
            </w:r>
          </w:p>
        </w:tc>
        <w:tc>
          <w:tcPr>
            <w:tcW w:w="1516" w:type="dxa"/>
            <w:tcBorders>
              <w:top w:val="nil"/>
              <w:left w:val="single" w:sz="4" w:space="0" w:color="auto"/>
              <w:bottom w:val="single" w:sz="4" w:space="0" w:color="auto"/>
              <w:right w:val="nil"/>
            </w:tcBorders>
            <w:shd w:val="clear" w:color="auto" w:fill="auto"/>
            <w:noWrap/>
            <w:vAlign w:val="center"/>
            <w:hideMark/>
          </w:tcPr>
          <w:p w14:paraId="76BC1BF4" w14:textId="77777777" w:rsidR="00387142" w:rsidRPr="008B6A75" w:rsidRDefault="00387142" w:rsidP="00387142">
            <w:pPr>
              <w:jc w:val="center"/>
              <w:rPr>
                <w:sz w:val="20"/>
                <w:szCs w:val="20"/>
              </w:rPr>
            </w:pPr>
            <w:r w:rsidRPr="008B6A75">
              <w:rPr>
                <w:sz w:val="20"/>
                <w:szCs w:val="20"/>
              </w:rPr>
              <w:t>07.1.00.07490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9894FCF" w14:textId="77777777" w:rsidR="00387142" w:rsidRPr="008B6A75" w:rsidRDefault="00387142" w:rsidP="00387142">
            <w:pPr>
              <w:jc w:val="center"/>
              <w:rPr>
                <w:sz w:val="20"/>
                <w:szCs w:val="20"/>
              </w:rPr>
            </w:pPr>
            <w:r w:rsidRPr="008B6A75">
              <w:rPr>
                <w:sz w:val="20"/>
                <w:szCs w:val="20"/>
              </w:rPr>
              <w:t>610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3C78EE5" w14:textId="77777777" w:rsidR="00387142" w:rsidRPr="008B6A75" w:rsidRDefault="00387142" w:rsidP="00387142">
            <w:pPr>
              <w:jc w:val="right"/>
              <w:rPr>
                <w:sz w:val="20"/>
                <w:szCs w:val="20"/>
              </w:rPr>
            </w:pPr>
            <w:r w:rsidRPr="008B6A75">
              <w:rPr>
                <w:sz w:val="20"/>
                <w:szCs w:val="20"/>
              </w:rPr>
              <w:t>2 305 815,83</w:t>
            </w:r>
          </w:p>
        </w:tc>
        <w:tc>
          <w:tcPr>
            <w:tcW w:w="992" w:type="dxa"/>
            <w:tcBorders>
              <w:top w:val="nil"/>
              <w:left w:val="single" w:sz="4" w:space="0" w:color="auto"/>
              <w:bottom w:val="single" w:sz="4" w:space="0" w:color="auto"/>
              <w:right w:val="nil"/>
            </w:tcBorders>
            <w:shd w:val="clear" w:color="auto" w:fill="auto"/>
            <w:vAlign w:val="center"/>
            <w:hideMark/>
          </w:tcPr>
          <w:p w14:paraId="69C1A0BC" w14:textId="77777777" w:rsidR="00387142" w:rsidRPr="008B6A75" w:rsidRDefault="00387142" w:rsidP="00387142">
            <w:pPr>
              <w:jc w:val="right"/>
              <w:rPr>
                <w:sz w:val="20"/>
                <w:szCs w:val="20"/>
              </w:rPr>
            </w:pPr>
            <w:r w:rsidRPr="008B6A75">
              <w:rPr>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44403951" w14:textId="77777777" w:rsidR="00387142" w:rsidRPr="008B6A75" w:rsidRDefault="00387142" w:rsidP="00387142">
            <w:pPr>
              <w:jc w:val="right"/>
              <w:rPr>
                <w:sz w:val="20"/>
                <w:szCs w:val="20"/>
              </w:rPr>
            </w:pPr>
            <w:r w:rsidRPr="008B6A75">
              <w:rPr>
                <w:sz w:val="20"/>
                <w:szCs w:val="20"/>
              </w:rPr>
              <w:t>0,00</w:t>
            </w:r>
          </w:p>
        </w:tc>
      </w:tr>
      <w:tr w:rsidR="00387142" w:rsidRPr="008B6A75" w14:paraId="6756EDB0" w14:textId="77777777" w:rsidTr="00387142">
        <w:trPr>
          <w:trHeight w:val="2295"/>
        </w:trPr>
        <w:tc>
          <w:tcPr>
            <w:tcW w:w="3261" w:type="dxa"/>
            <w:tcBorders>
              <w:top w:val="nil"/>
              <w:left w:val="single" w:sz="4" w:space="0" w:color="auto"/>
              <w:bottom w:val="single" w:sz="4" w:space="0" w:color="auto"/>
              <w:right w:val="nil"/>
            </w:tcBorders>
            <w:shd w:val="clear" w:color="auto" w:fill="auto"/>
            <w:vAlign w:val="center"/>
            <w:hideMark/>
          </w:tcPr>
          <w:p w14:paraId="31E1395E" w14:textId="77777777" w:rsidR="00387142" w:rsidRPr="008B6A75" w:rsidRDefault="00387142" w:rsidP="00387142">
            <w:pPr>
              <w:rPr>
                <w:bCs/>
                <w:sz w:val="20"/>
                <w:szCs w:val="20"/>
              </w:rPr>
            </w:pPr>
            <w:r w:rsidRPr="008B6A75">
              <w:rPr>
                <w:bCs/>
                <w:sz w:val="20"/>
                <w:szCs w:val="20"/>
              </w:rPr>
              <w:t xml:space="preserve">Ежемесячное денежное вознаграждение за классное руководство педагогическим работникам муниципальных общеобразовательных организаций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w:t>
            </w:r>
          </w:p>
        </w:tc>
        <w:tc>
          <w:tcPr>
            <w:tcW w:w="720" w:type="dxa"/>
            <w:tcBorders>
              <w:top w:val="nil"/>
              <w:left w:val="single" w:sz="4" w:space="0" w:color="auto"/>
              <w:bottom w:val="single" w:sz="4" w:space="0" w:color="auto"/>
              <w:right w:val="nil"/>
            </w:tcBorders>
            <w:shd w:val="clear" w:color="auto" w:fill="auto"/>
            <w:noWrap/>
            <w:vAlign w:val="center"/>
            <w:hideMark/>
          </w:tcPr>
          <w:p w14:paraId="28628645" w14:textId="77777777" w:rsidR="00387142" w:rsidRPr="008B6A75" w:rsidRDefault="00387142" w:rsidP="00387142">
            <w:pPr>
              <w:jc w:val="center"/>
              <w:rPr>
                <w:bCs/>
                <w:sz w:val="20"/>
                <w:szCs w:val="20"/>
              </w:rPr>
            </w:pPr>
            <w:r w:rsidRPr="008B6A75">
              <w:rPr>
                <w:bCs/>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6C5C49B" w14:textId="77777777" w:rsidR="00387142" w:rsidRPr="008B6A75" w:rsidRDefault="00387142" w:rsidP="00387142">
            <w:pPr>
              <w:jc w:val="center"/>
              <w:rPr>
                <w:bCs/>
                <w:sz w:val="20"/>
                <w:szCs w:val="20"/>
              </w:rPr>
            </w:pPr>
            <w:r w:rsidRPr="008B6A75">
              <w:rPr>
                <w:bCs/>
                <w:sz w:val="20"/>
                <w:szCs w:val="20"/>
              </w:rPr>
              <w:t>02</w:t>
            </w:r>
          </w:p>
        </w:tc>
        <w:tc>
          <w:tcPr>
            <w:tcW w:w="1516" w:type="dxa"/>
            <w:tcBorders>
              <w:top w:val="nil"/>
              <w:left w:val="single" w:sz="4" w:space="0" w:color="auto"/>
              <w:bottom w:val="single" w:sz="4" w:space="0" w:color="auto"/>
              <w:right w:val="nil"/>
            </w:tcBorders>
            <w:shd w:val="clear" w:color="auto" w:fill="auto"/>
            <w:noWrap/>
            <w:vAlign w:val="center"/>
            <w:hideMark/>
          </w:tcPr>
          <w:p w14:paraId="4C144959" w14:textId="77777777" w:rsidR="00387142" w:rsidRPr="008B6A75" w:rsidRDefault="00387142" w:rsidP="00387142">
            <w:pPr>
              <w:jc w:val="center"/>
              <w:rPr>
                <w:bCs/>
                <w:sz w:val="20"/>
                <w:szCs w:val="20"/>
              </w:rPr>
            </w:pPr>
            <w:r w:rsidRPr="008B6A75">
              <w:rPr>
                <w:bCs/>
                <w:sz w:val="20"/>
                <w:szCs w:val="20"/>
              </w:rPr>
              <w:t>07.1.00.53030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14EA968"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1C5DEF7" w14:textId="77777777" w:rsidR="00387142" w:rsidRPr="008B6A75" w:rsidRDefault="00387142" w:rsidP="00387142">
            <w:pPr>
              <w:jc w:val="right"/>
              <w:rPr>
                <w:bCs/>
                <w:sz w:val="20"/>
                <w:szCs w:val="20"/>
              </w:rPr>
            </w:pPr>
            <w:r w:rsidRPr="008B6A75">
              <w:rPr>
                <w:bCs/>
                <w:sz w:val="20"/>
                <w:szCs w:val="20"/>
              </w:rPr>
              <w:t>33 810 400,00</w:t>
            </w:r>
          </w:p>
        </w:tc>
        <w:tc>
          <w:tcPr>
            <w:tcW w:w="992" w:type="dxa"/>
            <w:tcBorders>
              <w:top w:val="nil"/>
              <w:left w:val="single" w:sz="4" w:space="0" w:color="auto"/>
              <w:bottom w:val="single" w:sz="4" w:space="0" w:color="auto"/>
              <w:right w:val="nil"/>
            </w:tcBorders>
            <w:shd w:val="clear" w:color="auto" w:fill="auto"/>
            <w:vAlign w:val="center"/>
            <w:hideMark/>
          </w:tcPr>
          <w:p w14:paraId="1F075797" w14:textId="77777777" w:rsidR="00387142" w:rsidRPr="008B6A75" w:rsidRDefault="00387142" w:rsidP="00387142">
            <w:pPr>
              <w:jc w:val="right"/>
              <w:rPr>
                <w:bCs/>
                <w:sz w:val="20"/>
                <w:szCs w:val="20"/>
              </w:rPr>
            </w:pPr>
            <w:r w:rsidRPr="008B6A75">
              <w:rPr>
                <w:bCs/>
                <w:sz w:val="20"/>
                <w:szCs w:val="20"/>
              </w:rPr>
              <w:t>33 747 800,00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77B7F5A0" w14:textId="77777777" w:rsidR="00387142" w:rsidRPr="008B6A75" w:rsidRDefault="00387142" w:rsidP="00387142">
            <w:pPr>
              <w:jc w:val="right"/>
              <w:rPr>
                <w:bCs/>
                <w:sz w:val="20"/>
                <w:szCs w:val="20"/>
              </w:rPr>
            </w:pPr>
            <w:r w:rsidRPr="008B6A75">
              <w:rPr>
                <w:bCs/>
                <w:sz w:val="20"/>
                <w:szCs w:val="20"/>
              </w:rPr>
              <w:t>33 747 800,00</w:t>
            </w:r>
          </w:p>
        </w:tc>
      </w:tr>
      <w:tr w:rsidR="00387142" w:rsidRPr="008B6A75" w14:paraId="318D8E3E" w14:textId="77777777" w:rsidTr="00387142">
        <w:trPr>
          <w:trHeight w:val="1440"/>
        </w:trPr>
        <w:tc>
          <w:tcPr>
            <w:tcW w:w="3261" w:type="dxa"/>
            <w:tcBorders>
              <w:top w:val="nil"/>
              <w:left w:val="single" w:sz="4" w:space="0" w:color="auto"/>
              <w:bottom w:val="single" w:sz="4" w:space="0" w:color="auto"/>
              <w:right w:val="nil"/>
            </w:tcBorders>
            <w:shd w:val="clear" w:color="auto" w:fill="auto"/>
            <w:vAlign w:val="center"/>
            <w:hideMark/>
          </w:tcPr>
          <w:p w14:paraId="0CE96ECE" w14:textId="77777777" w:rsidR="00387142" w:rsidRPr="008B6A75" w:rsidRDefault="00387142" w:rsidP="00387142">
            <w:pPr>
              <w:rPr>
                <w:sz w:val="20"/>
                <w:szCs w:val="20"/>
              </w:rPr>
            </w:pPr>
            <w:r w:rsidRPr="008B6A7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14:paraId="724C7D98" w14:textId="77777777" w:rsidR="00387142" w:rsidRPr="008B6A75" w:rsidRDefault="00387142" w:rsidP="00387142">
            <w:pPr>
              <w:jc w:val="center"/>
              <w:rPr>
                <w:sz w:val="20"/>
                <w:szCs w:val="20"/>
              </w:rPr>
            </w:pPr>
            <w:r w:rsidRPr="008B6A75">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B7B293A" w14:textId="77777777" w:rsidR="00387142" w:rsidRPr="008B6A75" w:rsidRDefault="00387142" w:rsidP="00387142">
            <w:pPr>
              <w:jc w:val="center"/>
              <w:rPr>
                <w:sz w:val="20"/>
                <w:szCs w:val="20"/>
              </w:rPr>
            </w:pPr>
            <w:r w:rsidRPr="008B6A75">
              <w:rPr>
                <w:sz w:val="20"/>
                <w:szCs w:val="20"/>
              </w:rPr>
              <w:t>02</w:t>
            </w:r>
          </w:p>
        </w:tc>
        <w:tc>
          <w:tcPr>
            <w:tcW w:w="1516" w:type="dxa"/>
            <w:tcBorders>
              <w:top w:val="nil"/>
              <w:left w:val="single" w:sz="4" w:space="0" w:color="auto"/>
              <w:bottom w:val="single" w:sz="4" w:space="0" w:color="auto"/>
              <w:right w:val="nil"/>
            </w:tcBorders>
            <w:shd w:val="clear" w:color="auto" w:fill="auto"/>
            <w:noWrap/>
            <w:vAlign w:val="center"/>
            <w:hideMark/>
          </w:tcPr>
          <w:p w14:paraId="3EE97D66" w14:textId="77777777" w:rsidR="00387142" w:rsidRPr="008B6A75" w:rsidRDefault="00387142" w:rsidP="00387142">
            <w:pPr>
              <w:jc w:val="center"/>
              <w:rPr>
                <w:sz w:val="20"/>
                <w:szCs w:val="20"/>
              </w:rPr>
            </w:pPr>
            <w:r w:rsidRPr="008B6A75">
              <w:rPr>
                <w:sz w:val="20"/>
                <w:szCs w:val="20"/>
              </w:rPr>
              <w:t>07.1.00.53030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E7C781D" w14:textId="77777777" w:rsidR="00387142" w:rsidRPr="008B6A75" w:rsidRDefault="00387142" w:rsidP="00387142">
            <w:pPr>
              <w:jc w:val="center"/>
              <w:rPr>
                <w:sz w:val="20"/>
                <w:szCs w:val="20"/>
              </w:rPr>
            </w:pPr>
            <w:r w:rsidRPr="008B6A75">
              <w:rPr>
                <w:sz w:val="20"/>
                <w:szCs w:val="20"/>
              </w:rPr>
              <w:t>100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818C402" w14:textId="77777777" w:rsidR="00387142" w:rsidRPr="008B6A75" w:rsidRDefault="00387142" w:rsidP="00387142">
            <w:pPr>
              <w:jc w:val="right"/>
              <w:rPr>
                <w:sz w:val="20"/>
                <w:szCs w:val="20"/>
              </w:rPr>
            </w:pPr>
            <w:r w:rsidRPr="008B6A75">
              <w:rPr>
                <w:sz w:val="20"/>
                <w:szCs w:val="20"/>
              </w:rPr>
              <w:t>16 561 504,00</w:t>
            </w:r>
          </w:p>
        </w:tc>
        <w:tc>
          <w:tcPr>
            <w:tcW w:w="992" w:type="dxa"/>
            <w:tcBorders>
              <w:top w:val="nil"/>
              <w:left w:val="single" w:sz="4" w:space="0" w:color="auto"/>
              <w:bottom w:val="single" w:sz="4" w:space="0" w:color="auto"/>
              <w:right w:val="nil"/>
            </w:tcBorders>
            <w:shd w:val="clear" w:color="auto" w:fill="auto"/>
            <w:vAlign w:val="center"/>
            <w:hideMark/>
          </w:tcPr>
          <w:p w14:paraId="5924418A" w14:textId="77777777" w:rsidR="00387142" w:rsidRPr="008B6A75" w:rsidRDefault="00387142" w:rsidP="00387142">
            <w:pPr>
              <w:jc w:val="right"/>
              <w:rPr>
                <w:sz w:val="20"/>
                <w:szCs w:val="20"/>
              </w:rPr>
            </w:pPr>
            <w:r w:rsidRPr="008B6A75">
              <w:rPr>
                <w:sz w:val="20"/>
                <w:szCs w:val="20"/>
              </w:rPr>
              <w:t>16 561 500,00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5EF3298A" w14:textId="77777777" w:rsidR="00387142" w:rsidRPr="008B6A75" w:rsidRDefault="00387142" w:rsidP="00387142">
            <w:pPr>
              <w:jc w:val="right"/>
              <w:rPr>
                <w:sz w:val="20"/>
                <w:szCs w:val="20"/>
              </w:rPr>
            </w:pPr>
            <w:r w:rsidRPr="008B6A75">
              <w:rPr>
                <w:sz w:val="20"/>
                <w:szCs w:val="20"/>
              </w:rPr>
              <w:t>16 561 500,00</w:t>
            </w:r>
          </w:p>
        </w:tc>
      </w:tr>
      <w:tr w:rsidR="00387142" w:rsidRPr="008B6A75" w14:paraId="4EBB8E54" w14:textId="77777777" w:rsidTr="00387142">
        <w:trPr>
          <w:trHeight w:val="585"/>
        </w:trPr>
        <w:tc>
          <w:tcPr>
            <w:tcW w:w="3261" w:type="dxa"/>
            <w:tcBorders>
              <w:top w:val="nil"/>
              <w:left w:val="single" w:sz="4" w:space="0" w:color="auto"/>
              <w:bottom w:val="single" w:sz="4" w:space="0" w:color="auto"/>
              <w:right w:val="nil"/>
            </w:tcBorders>
            <w:shd w:val="clear" w:color="auto" w:fill="auto"/>
            <w:vAlign w:val="center"/>
            <w:hideMark/>
          </w:tcPr>
          <w:p w14:paraId="1E96A4B6" w14:textId="77777777" w:rsidR="00387142" w:rsidRPr="008B6A75" w:rsidRDefault="00387142" w:rsidP="00387142">
            <w:pPr>
              <w:rPr>
                <w:sz w:val="20"/>
                <w:szCs w:val="20"/>
              </w:rPr>
            </w:pPr>
            <w:r w:rsidRPr="008B6A75">
              <w:rPr>
                <w:sz w:val="20"/>
                <w:szCs w:val="20"/>
              </w:rPr>
              <w:t>Расходы на выплаты персоналу казенных учреждений</w:t>
            </w:r>
          </w:p>
        </w:tc>
        <w:tc>
          <w:tcPr>
            <w:tcW w:w="720" w:type="dxa"/>
            <w:tcBorders>
              <w:top w:val="nil"/>
              <w:left w:val="single" w:sz="4" w:space="0" w:color="auto"/>
              <w:bottom w:val="single" w:sz="4" w:space="0" w:color="auto"/>
              <w:right w:val="nil"/>
            </w:tcBorders>
            <w:shd w:val="clear" w:color="auto" w:fill="auto"/>
            <w:noWrap/>
            <w:vAlign w:val="center"/>
            <w:hideMark/>
          </w:tcPr>
          <w:p w14:paraId="143998D6" w14:textId="77777777" w:rsidR="00387142" w:rsidRPr="008B6A75" w:rsidRDefault="00387142" w:rsidP="00387142">
            <w:pPr>
              <w:jc w:val="center"/>
              <w:rPr>
                <w:sz w:val="20"/>
                <w:szCs w:val="20"/>
              </w:rPr>
            </w:pPr>
            <w:r w:rsidRPr="008B6A75">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0A8FE7F" w14:textId="77777777" w:rsidR="00387142" w:rsidRPr="008B6A75" w:rsidRDefault="00387142" w:rsidP="00387142">
            <w:pPr>
              <w:jc w:val="center"/>
              <w:rPr>
                <w:sz w:val="20"/>
                <w:szCs w:val="20"/>
              </w:rPr>
            </w:pPr>
            <w:r w:rsidRPr="008B6A75">
              <w:rPr>
                <w:sz w:val="20"/>
                <w:szCs w:val="20"/>
              </w:rPr>
              <w:t>02</w:t>
            </w:r>
          </w:p>
        </w:tc>
        <w:tc>
          <w:tcPr>
            <w:tcW w:w="1516" w:type="dxa"/>
            <w:tcBorders>
              <w:top w:val="nil"/>
              <w:left w:val="single" w:sz="4" w:space="0" w:color="auto"/>
              <w:bottom w:val="single" w:sz="4" w:space="0" w:color="auto"/>
              <w:right w:val="nil"/>
            </w:tcBorders>
            <w:shd w:val="clear" w:color="auto" w:fill="auto"/>
            <w:noWrap/>
            <w:vAlign w:val="center"/>
            <w:hideMark/>
          </w:tcPr>
          <w:p w14:paraId="6E37FCD1" w14:textId="77777777" w:rsidR="00387142" w:rsidRPr="008B6A75" w:rsidRDefault="00387142" w:rsidP="00387142">
            <w:pPr>
              <w:jc w:val="center"/>
              <w:rPr>
                <w:sz w:val="20"/>
                <w:szCs w:val="20"/>
              </w:rPr>
            </w:pPr>
            <w:r w:rsidRPr="008B6A75">
              <w:rPr>
                <w:sz w:val="20"/>
                <w:szCs w:val="20"/>
              </w:rPr>
              <w:t>07.1.00.53030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4EABDFB" w14:textId="77777777" w:rsidR="00387142" w:rsidRPr="008B6A75" w:rsidRDefault="00387142" w:rsidP="00387142">
            <w:pPr>
              <w:jc w:val="center"/>
              <w:rPr>
                <w:sz w:val="20"/>
                <w:szCs w:val="20"/>
              </w:rPr>
            </w:pPr>
            <w:r w:rsidRPr="008B6A75">
              <w:rPr>
                <w:sz w:val="20"/>
                <w:szCs w:val="20"/>
              </w:rPr>
              <w:t>110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C874CAD" w14:textId="77777777" w:rsidR="00387142" w:rsidRPr="008B6A75" w:rsidRDefault="00387142" w:rsidP="00387142">
            <w:pPr>
              <w:jc w:val="right"/>
              <w:rPr>
                <w:sz w:val="20"/>
                <w:szCs w:val="20"/>
              </w:rPr>
            </w:pPr>
            <w:r w:rsidRPr="008B6A75">
              <w:rPr>
                <w:sz w:val="20"/>
                <w:szCs w:val="20"/>
              </w:rPr>
              <w:t>16 561 504,00</w:t>
            </w:r>
          </w:p>
        </w:tc>
        <w:tc>
          <w:tcPr>
            <w:tcW w:w="992" w:type="dxa"/>
            <w:tcBorders>
              <w:top w:val="nil"/>
              <w:left w:val="single" w:sz="4" w:space="0" w:color="auto"/>
              <w:bottom w:val="single" w:sz="4" w:space="0" w:color="auto"/>
              <w:right w:val="nil"/>
            </w:tcBorders>
            <w:shd w:val="clear" w:color="auto" w:fill="auto"/>
            <w:vAlign w:val="center"/>
            <w:hideMark/>
          </w:tcPr>
          <w:p w14:paraId="1D958ADA" w14:textId="77777777" w:rsidR="00387142" w:rsidRPr="008B6A75" w:rsidRDefault="00387142" w:rsidP="00387142">
            <w:pPr>
              <w:jc w:val="right"/>
              <w:rPr>
                <w:sz w:val="20"/>
                <w:szCs w:val="20"/>
              </w:rPr>
            </w:pPr>
            <w:r w:rsidRPr="008B6A75">
              <w:rPr>
                <w:sz w:val="20"/>
                <w:szCs w:val="20"/>
              </w:rPr>
              <w:t>16 561 500,00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0CFC865E" w14:textId="77777777" w:rsidR="00387142" w:rsidRPr="008B6A75" w:rsidRDefault="00387142" w:rsidP="00387142">
            <w:pPr>
              <w:jc w:val="right"/>
              <w:rPr>
                <w:sz w:val="20"/>
                <w:szCs w:val="20"/>
              </w:rPr>
            </w:pPr>
            <w:r w:rsidRPr="008B6A75">
              <w:rPr>
                <w:sz w:val="20"/>
                <w:szCs w:val="20"/>
              </w:rPr>
              <w:t>16 561 500,00</w:t>
            </w:r>
          </w:p>
        </w:tc>
      </w:tr>
      <w:tr w:rsidR="00387142" w:rsidRPr="008B6A75" w14:paraId="2ABA64FB" w14:textId="77777777" w:rsidTr="00387142">
        <w:trPr>
          <w:trHeight w:val="870"/>
        </w:trPr>
        <w:tc>
          <w:tcPr>
            <w:tcW w:w="3261" w:type="dxa"/>
            <w:tcBorders>
              <w:top w:val="nil"/>
              <w:left w:val="single" w:sz="4" w:space="0" w:color="auto"/>
              <w:bottom w:val="single" w:sz="4" w:space="0" w:color="auto"/>
              <w:right w:val="nil"/>
            </w:tcBorders>
            <w:shd w:val="clear" w:color="auto" w:fill="auto"/>
            <w:vAlign w:val="center"/>
            <w:hideMark/>
          </w:tcPr>
          <w:p w14:paraId="0C4FFF9D" w14:textId="77777777" w:rsidR="00387142" w:rsidRPr="008B6A75" w:rsidRDefault="00387142" w:rsidP="00387142">
            <w:pPr>
              <w:rPr>
                <w:sz w:val="20"/>
                <w:szCs w:val="20"/>
              </w:rPr>
            </w:pPr>
            <w:r w:rsidRPr="008B6A75">
              <w:rPr>
                <w:sz w:val="20"/>
                <w:szCs w:val="20"/>
              </w:rPr>
              <w:t>Предоставление субсидий бюджетным, автономным учреждениям и иным некоммерческим организациям</w:t>
            </w:r>
          </w:p>
        </w:tc>
        <w:tc>
          <w:tcPr>
            <w:tcW w:w="720" w:type="dxa"/>
            <w:tcBorders>
              <w:top w:val="nil"/>
              <w:left w:val="single" w:sz="4" w:space="0" w:color="auto"/>
              <w:bottom w:val="single" w:sz="4" w:space="0" w:color="auto"/>
              <w:right w:val="nil"/>
            </w:tcBorders>
            <w:shd w:val="clear" w:color="auto" w:fill="auto"/>
            <w:noWrap/>
            <w:vAlign w:val="center"/>
            <w:hideMark/>
          </w:tcPr>
          <w:p w14:paraId="740DEE5E" w14:textId="77777777" w:rsidR="00387142" w:rsidRPr="008B6A75" w:rsidRDefault="00387142" w:rsidP="00387142">
            <w:pPr>
              <w:jc w:val="center"/>
              <w:rPr>
                <w:sz w:val="20"/>
                <w:szCs w:val="20"/>
              </w:rPr>
            </w:pPr>
            <w:r w:rsidRPr="008B6A75">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57E7F2A" w14:textId="77777777" w:rsidR="00387142" w:rsidRPr="008B6A75" w:rsidRDefault="00387142" w:rsidP="00387142">
            <w:pPr>
              <w:jc w:val="center"/>
              <w:rPr>
                <w:sz w:val="20"/>
                <w:szCs w:val="20"/>
              </w:rPr>
            </w:pPr>
            <w:r w:rsidRPr="008B6A75">
              <w:rPr>
                <w:sz w:val="20"/>
                <w:szCs w:val="20"/>
              </w:rPr>
              <w:t>02</w:t>
            </w:r>
          </w:p>
        </w:tc>
        <w:tc>
          <w:tcPr>
            <w:tcW w:w="1516" w:type="dxa"/>
            <w:tcBorders>
              <w:top w:val="nil"/>
              <w:left w:val="single" w:sz="4" w:space="0" w:color="auto"/>
              <w:bottom w:val="single" w:sz="4" w:space="0" w:color="auto"/>
              <w:right w:val="nil"/>
            </w:tcBorders>
            <w:shd w:val="clear" w:color="auto" w:fill="auto"/>
            <w:noWrap/>
            <w:vAlign w:val="center"/>
            <w:hideMark/>
          </w:tcPr>
          <w:p w14:paraId="70E14133" w14:textId="77777777" w:rsidR="00387142" w:rsidRPr="008B6A75" w:rsidRDefault="00387142" w:rsidP="00387142">
            <w:pPr>
              <w:jc w:val="center"/>
              <w:rPr>
                <w:sz w:val="20"/>
                <w:szCs w:val="20"/>
              </w:rPr>
            </w:pPr>
            <w:r w:rsidRPr="008B6A75">
              <w:rPr>
                <w:sz w:val="20"/>
                <w:szCs w:val="20"/>
              </w:rPr>
              <w:t>07.1.00.53030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C8F44A8" w14:textId="77777777" w:rsidR="00387142" w:rsidRPr="008B6A75" w:rsidRDefault="00387142" w:rsidP="00387142">
            <w:pPr>
              <w:jc w:val="center"/>
              <w:rPr>
                <w:sz w:val="20"/>
                <w:szCs w:val="20"/>
              </w:rPr>
            </w:pPr>
            <w:r w:rsidRPr="008B6A75">
              <w:rPr>
                <w:sz w:val="20"/>
                <w:szCs w:val="20"/>
              </w:rPr>
              <w:t>600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F498FB6" w14:textId="77777777" w:rsidR="00387142" w:rsidRPr="008B6A75" w:rsidRDefault="00387142" w:rsidP="00387142">
            <w:pPr>
              <w:jc w:val="right"/>
              <w:rPr>
                <w:sz w:val="20"/>
                <w:szCs w:val="20"/>
              </w:rPr>
            </w:pPr>
            <w:r w:rsidRPr="008B6A75">
              <w:rPr>
                <w:sz w:val="20"/>
                <w:szCs w:val="20"/>
              </w:rPr>
              <w:t>17 248 896,00</w:t>
            </w:r>
          </w:p>
        </w:tc>
        <w:tc>
          <w:tcPr>
            <w:tcW w:w="992" w:type="dxa"/>
            <w:tcBorders>
              <w:top w:val="nil"/>
              <w:left w:val="single" w:sz="4" w:space="0" w:color="auto"/>
              <w:bottom w:val="single" w:sz="4" w:space="0" w:color="auto"/>
              <w:right w:val="nil"/>
            </w:tcBorders>
            <w:shd w:val="clear" w:color="auto" w:fill="auto"/>
            <w:vAlign w:val="center"/>
            <w:hideMark/>
          </w:tcPr>
          <w:p w14:paraId="741B192C" w14:textId="77777777" w:rsidR="00387142" w:rsidRPr="008B6A75" w:rsidRDefault="00387142" w:rsidP="00387142">
            <w:pPr>
              <w:jc w:val="right"/>
              <w:rPr>
                <w:sz w:val="20"/>
                <w:szCs w:val="20"/>
              </w:rPr>
            </w:pPr>
            <w:r w:rsidRPr="008B6A75">
              <w:rPr>
                <w:sz w:val="20"/>
                <w:szCs w:val="20"/>
              </w:rPr>
              <w:t>17 186 300,00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4EA1A817" w14:textId="77777777" w:rsidR="00387142" w:rsidRPr="008B6A75" w:rsidRDefault="00387142" w:rsidP="00387142">
            <w:pPr>
              <w:jc w:val="right"/>
              <w:rPr>
                <w:sz w:val="20"/>
                <w:szCs w:val="20"/>
              </w:rPr>
            </w:pPr>
            <w:r w:rsidRPr="008B6A75">
              <w:rPr>
                <w:sz w:val="20"/>
                <w:szCs w:val="20"/>
              </w:rPr>
              <w:t>17 186 300,00</w:t>
            </w:r>
          </w:p>
        </w:tc>
      </w:tr>
      <w:tr w:rsidR="00387142" w:rsidRPr="008B6A75" w14:paraId="73100B94" w14:textId="77777777" w:rsidTr="00387142">
        <w:trPr>
          <w:trHeight w:val="345"/>
        </w:trPr>
        <w:tc>
          <w:tcPr>
            <w:tcW w:w="3261" w:type="dxa"/>
            <w:tcBorders>
              <w:top w:val="nil"/>
              <w:left w:val="single" w:sz="4" w:space="0" w:color="auto"/>
              <w:bottom w:val="single" w:sz="4" w:space="0" w:color="auto"/>
              <w:right w:val="nil"/>
            </w:tcBorders>
            <w:shd w:val="clear" w:color="auto" w:fill="auto"/>
            <w:vAlign w:val="center"/>
            <w:hideMark/>
          </w:tcPr>
          <w:p w14:paraId="4BC0B6DE" w14:textId="77777777" w:rsidR="00387142" w:rsidRPr="008B6A75" w:rsidRDefault="00387142" w:rsidP="00387142">
            <w:pPr>
              <w:rPr>
                <w:sz w:val="20"/>
                <w:szCs w:val="20"/>
              </w:rPr>
            </w:pPr>
            <w:r w:rsidRPr="008B6A75">
              <w:rPr>
                <w:sz w:val="20"/>
                <w:szCs w:val="20"/>
              </w:rPr>
              <w:t>Субсидии бюджетным учреждениям</w:t>
            </w:r>
          </w:p>
        </w:tc>
        <w:tc>
          <w:tcPr>
            <w:tcW w:w="720" w:type="dxa"/>
            <w:tcBorders>
              <w:top w:val="nil"/>
              <w:left w:val="single" w:sz="4" w:space="0" w:color="auto"/>
              <w:bottom w:val="single" w:sz="4" w:space="0" w:color="auto"/>
              <w:right w:val="nil"/>
            </w:tcBorders>
            <w:shd w:val="clear" w:color="auto" w:fill="auto"/>
            <w:noWrap/>
            <w:vAlign w:val="center"/>
            <w:hideMark/>
          </w:tcPr>
          <w:p w14:paraId="3B3439A4" w14:textId="77777777" w:rsidR="00387142" w:rsidRPr="008B6A75" w:rsidRDefault="00387142" w:rsidP="00387142">
            <w:pPr>
              <w:jc w:val="center"/>
              <w:rPr>
                <w:sz w:val="20"/>
                <w:szCs w:val="20"/>
              </w:rPr>
            </w:pPr>
            <w:r w:rsidRPr="008B6A75">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D941DFF" w14:textId="77777777" w:rsidR="00387142" w:rsidRPr="008B6A75" w:rsidRDefault="00387142" w:rsidP="00387142">
            <w:pPr>
              <w:jc w:val="center"/>
              <w:rPr>
                <w:sz w:val="20"/>
                <w:szCs w:val="20"/>
              </w:rPr>
            </w:pPr>
            <w:r w:rsidRPr="008B6A75">
              <w:rPr>
                <w:sz w:val="20"/>
                <w:szCs w:val="20"/>
              </w:rPr>
              <w:t>02</w:t>
            </w:r>
          </w:p>
        </w:tc>
        <w:tc>
          <w:tcPr>
            <w:tcW w:w="1516" w:type="dxa"/>
            <w:tcBorders>
              <w:top w:val="nil"/>
              <w:left w:val="single" w:sz="4" w:space="0" w:color="auto"/>
              <w:bottom w:val="single" w:sz="4" w:space="0" w:color="auto"/>
              <w:right w:val="nil"/>
            </w:tcBorders>
            <w:shd w:val="clear" w:color="auto" w:fill="auto"/>
            <w:noWrap/>
            <w:vAlign w:val="center"/>
            <w:hideMark/>
          </w:tcPr>
          <w:p w14:paraId="164F9C2D" w14:textId="77777777" w:rsidR="00387142" w:rsidRPr="008B6A75" w:rsidRDefault="00387142" w:rsidP="00387142">
            <w:pPr>
              <w:jc w:val="center"/>
              <w:rPr>
                <w:sz w:val="20"/>
                <w:szCs w:val="20"/>
              </w:rPr>
            </w:pPr>
            <w:r w:rsidRPr="008B6A75">
              <w:rPr>
                <w:sz w:val="20"/>
                <w:szCs w:val="20"/>
              </w:rPr>
              <w:t>07.1.00.53030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7272A57" w14:textId="77777777" w:rsidR="00387142" w:rsidRPr="008B6A75" w:rsidRDefault="00387142" w:rsidP="00387142">
            <w:pPr>
              <w:jc w:val="center"/>
              <w:rPr>
                <w:sz w:val="20"/>
                <w:szCs w:val="20"/>
              </w:rPr>
            </w:pPr>
            <w:r w:rsidRPr="008B6A75">
              <w:rPr>
                <w:sz w:val="20"/>
                <w:szCs w:val="20"/>
              </w:rPr>
              <w:t>610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49003BB" w14:textId="77777777" w:rsidR="00387142" w:rsidRPr="008B6A75" w:rsidRDefault="00387142" w:rsidP="00387142">
            <w:pPr>
              <w:jc w:val="right"/>
              <w:rPr>
                <w:sz w:val="20"/>
                <w:szCs w:val="20"/>
              </w:rPr>
            </w:pPr>
            <w:r w:rsidRPr="008B6A75">
              <w:rPr>
                <w:sz w:val="20"/>
                <w:szCs w:val="20"/>
              </w:rPr>
              <w:t>17 248 896,00</w:t>
            </w:r>
          </w:p>
        </w:tc>
        <w:tc>
          <w:tcPr>
            <w:tcW w:w="992" w:type="dxa"/>
            <w:tcBorders>
              <w:top w:val="nil"/>
              <w:left w:val="single" w:sz="4" w:space="0" w:color="auto"/>
              <w:bottom w:val="single" w:sz="4" w:space="0" w:color="auto"/>
              <w:right w:val="nil"/>
            </w:tcBorders>
            <w:shd w:val="clear" w:color="auto" w:fill="auto"/>
            <w:vAlign w:val="center"/>
            <w:hideMark/>
          </w:tcPr>
          <w:p w14:paraId="23EBD249" w14:textId="77777777" w:rsidR="00387142" w:rsidRPr="008B6A75" w:rsidRDefault="00387142" w:rsidP="00387142">
            <w:pPr>
              <w:jc w:val="right"/>
              <w:rPr>
                <w:sz w:val="20"/>
                <w:szCs w:val="20"/>
              </w:rPr>
            </w:pPr>
            <w:r w:rsidRPr="008B6A75">
              <w:rPr>
                <w:sz w:val="20"/>
                <w:szCs w:val="20"/>
              </w:rPr>
              <w:t>17 186 300,00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28EEFA96" w14:textId="77777777" w:rsidR="00387142" w:rsidRPr="008B6A75" w:rsidRDefault="00387142" w:rsidP="00387142">
            <w:pPr>
              <w:jc w:val="right"/>
              <w:rPr>
                <w:sz w:val="20"/>
                <w:szCs w:val="20"/>
              </w:rPr>
            </w:pPr>
            <w:r w:rsidRPr="008B6A75">
              <w:rPr>
                <w:sz w:val="20"/>
                <w:szCs w:val="20"/>
              </w:rPr>
              <w:t>17 186 300,00</w:t>
            </w:r>
          </w:p>
        </w:tc>
      </w:tr>
      <w:tr w:rsidR="00387142" w:rsidRPr="008B6A75" w14:paraId="7DFC7545" w14:textId="77777777" w:rsidTr="00387142">
        <w:trPr>
          <w:trHeight w:val="1155"/>
        </w:trPr>
        <w:tc>
          <w:tcPr>
            <w:tcW w:w="3261" w:type="dxa"/>
            <w:tcBorders>
              <w:top w:val="nil"/>
              <w:left w:val="single" w:sz="4" w:space="0" w:color="auto"/>
              <w:bottom w:val="single" w:sz="4" w:space="0" w:color="auto"/>
              <w:right w:val="nil"/>
            </w:tcBorders>
            <w:shd w:val="clear" w:color="auto" w:fill="auto"/>
            <w:vAlign w:val="center"/>
            <w:hideMark/>
          </w:tcPr>
          <w:p w14:paraId="49992AB8" w14:textId="77777777" w:rsidR="00387142" w:rsidRPr="008B6A75" w:rsidRDefault="00387142" w:rsidP="00387142">
            <w:pPr>
              <w:rPr>
                <w:bCs/>
                <w:sz w:val="20"/>
                <w:szCs w:val="20"/>
              </w:rPr>
            </w:pPr>
            <w:r w:rsidRPr="008B6A75">
              <w:rPr>
                <w:bCs/>
                <w:sz w:val="20"/>
                <w:szCs w:val="20"/>
              </w:rPr>
              <w:lastRenderedPageBreak/>
              <w:t>Реализация основных общеобразовательных программ дошкольного образования в муниципальных образовательных организациях</w:t>
            </w:r>
          </w:p>
        </w:tc>
        <w:tc>
          <w:tcPr>
            <w:tcW w:w="720" w:type="dxa"/>
            <w:tcBorders>
              <w:top w:val="nil"/>
              <w:left w:val="single" w:sz="4" w:space="0" w:color="auto"/>
              <w:bottom w:val="single" w:sz="4" w:space="0" w:color="auto"/>
              <w:right w:val="nil"/>
            </w:tcBorders>
            <w:shd w:val="clear" w:color="auto" w:fill="auto"/>
            <w:noWrap/>
            <w:vAlign w:val="center"/>
            <w:hideMark/>
          </w:tcPr>
          <w:p w14:paraId="1408BBB9" w14:textId="77777777" w:rsidR="00387142" w:rsidRPr="008B6A75" w:rsidRDefault="00387142" w:rsidP="00387142">
            <w:pPr>
              <w:jc w:val="center"/>
              <w:rPr>
                <w:bCs/>
                <w:sz w:val="20"/>
                <w:szCs w:val="20"/>
              </w:rPr>
            </w:pPr>
            <w:r w:rsidRPr="008B6A75">
              <w:rPr>
                <w:bCs/>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E166ABF" w14:textId="77777777" w:rsidR="00387142" w:rsidRPr="008B6A75" w:rsidRDefault="00387142" w:rsidP="00387142">
            <w:pPr>
              <w:jc w:val="center"/>
              <w:rPr>
                <w:bCs/>
                <w:sz w:val="20"/>
                <w:szCs w:val="20"/>
              </w:rPr>
            </w:pPr>
            <w:r w:rsidRPr="008B6A75">
              <w:rPr>
                <w:bCs/>
                <w:sz w:val="20"/>
                <w:szCs w:val="20"/>
              </w:rPr>
              <w:t>02</w:t>
            </w:r>
          </w:p>
        </w:tc>
        <w:tc>
          <w:tcPr>
            <w:tcW w:w="1516" w:type="dxa"/>
            <w:tcBorders>
              <w:top w:val="nil"/>
              <w:left w:val="single" w:sz="4" w:space="0" w:color="auto"/>
              <w:bottom w:val="single" w:sz="4" w:space="0" w:color="auto"/>
              <w:right w:val="nil"/>
            </w:tcBorders>
            <w:shd w:val="clear" w:color="auto" w:fill="auto"/>
            <w:noWrap/>
            <w:vAlign w:val="center"/>
            <w:hideMark/>
          </w:tcPr>
          <w:p w14:paraId="2D09E041" w14:textId="77777777" w:rsidR="00387142" w:rsidRPr="008B6A75" w:rsidRDefault="00387142" w:rsidP="00387142">
            <w:pPr>
              <w:jc w:val="center"/>
              <w:rPr>
                <w:bCs/>
                <w:sz w:val="20"/>
                <w:szCs w:val="20"/>
              </w:rPr>
            </w:pPr>
            <w:r w:rsidRPr="008B6A75">
              <w:rPr>
                <w:bCs/>
                <w:sz w:val="20"/>
                <w:szCs w:val="20"/>
              </w:rPr>
              <w:t>07.1.00.70110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EECE04C"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065B6C7" w14:textId="77777777" w:rsidR="00387142" w:rsidRPr="008B6A75" w:rsidRDefault="00387142" w:rsidP="00387142">
            <w:pPr>
              <w:jc w:val="right"/>
              <w:rPr>
                <w:bCs/>
                <w:sz w:val="20"/>
                <w:szCs w:val="20"/>
              </w:rPr>
            </w:pPr>
            <w:r w:rsidRPr="008B6A75">
              <w:rPr>
                <w:bCs/>
                <w:sz w:val="20"/>
                <w:szCs w:val="20"/>
              </w:rPr>
              <w:t>31 308 000,00</w:t>
            </w:r>
          </w:p>
        </w:tc>
        <w:tc>
          <w:tcPr>
            <w:tcW w:w="992" w:type="dxa"/>
            <w:tcBorders>
              <w:top w:val="nil"/>
              <w:left w:val="single" w:sz="4" w:space="0" w:color="auto"/>
              <w:bottom w:val="single" w:sz="4" w:space="0" w:color="auto"/>
              <w:right w:val="nil"/>
            </w:tcBorders>
            <w:shd w:val="clear" w:color="auto" w:fill="auto"/>
            <w:vAlign w:val="center"/>
            <w:hideMark/>
          </w:tcPr>
          <w:p w14:paraId="2921AAD0" w14:textId="77777777" w:rsidR="00387142" w:rsidRPr="008B6A75" w:rsidRDefault="00387142" w:rsidP="00387142">
            <w:pPr>
              <w:jc w:val="right"/>
              <w:rPr>
                <w:bCs/>
                <w:sz w:val="20"/>
                <w:szCs w:val="20"/>
              </w:rPr>
            </w:pPr>
            <w:r w:rsidRPr="008B6A75">
              <w:rPr>
                <w:bCs/>
                <w:sz w:val="20"/>
                <w:szCs w:val="20"/>
              </w:rPr>
              <w:t>29 979 094,80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0BA2C216" w14:textId="77777777" w:rsidR="00387142" w:rsidRPr="008B6A75" w:rsidRDefault="00387142" w:rsidP="00387142">
            <w:pPr>
              <w:jc w:val="right"/>
              <w:rPr>
                <w:bCs/>
                <w:sz w:val="20"/>
                <w:szCs w:val="20"/>
              </w:rPr>
            </w:pPr>
            <w:r w:rsidRPr="008B6A75">
              <w:rPr>
                <w:bCs/>
                <w:sz w:val="20"/>
                <w:szCs w:val="20"/>
              </w:rPr>
              <w:t>31 846 297,22</w:t>
            </w:r>
          </w:p>
        </w:tc>
      </w:tr>
      <w:tr w:rsidR="00387142" w:rsidRPr="008B6A75" w14:paraId="7384094E" w14:textId="77777777" w:rsidTr="00387142">
        <w:trPr>
          <w:trHeight w:val="1440"/>
        </w:trPr>
        <w:tc>
          <w:tcPr>
            <w:tcW w:w="3261" w:type="dxa"/>
            <w:tcBorders>
              <w:top w:val="nil"/>
              <w:left w:val="single" w:sz="4" w:space="0" w:color="auto"/>
              <w:bottom w:val="single" w:sz="4" w:space="0" w:color="auto"/>
              <w:right w:val="nil"/>
            </w:tcBorders>
            <w:shd w:val="clear" w:color="auto" w:fill="auto"/>
            <w:vAlign w:val="center"/>
            <w:hideMark/>
          </w:tcPr>
          <w:p w14:paraId="592BC982" w14:textId="77777777" w:rsidR="00387142" w:rsidRPr="008B6A75" w:rsidRDefault="00387142" w:rsidP="00387142">
            <w:pPr>
              <w:rPr>
                <w:sz w:val="20"/>
                <w:szCs w:val="20"/>
              </w:rPr>
            </w:pPr>
            <w:r w:rsidRPr="008B6A7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14:paraId="7FDE5A5D" w14:textId="77777777" w:rsidR="00387142" w:rsidRPr="008B6A75" w:rsidRDefault="00387142" w:rsidP="00387142">
            <w:pPr>
              <w:jc w:val="center"/>
              <w:rPr>
                <w:sz w:val="20"/>
                <w:szCs w:val="20"/>
              </w:rPr>
            </w:pPr>
            <w:r w:rsidRPr="008B6A75">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03D8F55" w14:textId="77777777" w:rsidR="00387142" w:rsidRPr="008B6A75" w:rsidRDefault="00387142" w:rsidP="00387142">
            <w:pPr>
              <w:jc w:val="center"/>
              <w:rPr>
                <w:sz w:val="20"/>
                <w:szCs w:val="20"/>
              </w:rPr>
            </w:pPr>
            <w:r w:rsidRPr="008B6A75">
              <w:rPr>
                <w:sz w:val="20"/>
                <w:szCs w:val="20"/>
              </w:rPr>
              <w:t>02</w:t>
            </w:r>
          </w:p>
        </w:tc>
        <w:tc>
          <w:tcPr>
            <w:tcW w:w="1516" w:type="dxa"/>
            <w:tcBorders>
              <w:top w:val="nil"/>
              <w:left w:val="single" w:sz="4" w:space="0" w:color="auto"/>
              <w:bottom w:val="single" w:sz="4" w:space="0" w:color="auto"/>
              <w:right w:val="nil"/>
            </w:tcBorders>
            <w:shd w:val="clear" w:color="auto" w:fill="auto"/>
            <w:noWrap/>
            <w:vAlign w:val="center"/>
            <w:hideMark/>
          </w:tcPr>
          <w:p w14:paraId="24B078F0" w14:textId="77777777" w:rsidR="00387142" w:rsidRPr="008B6A75" w:rsidRDefault="00387142" w:rsidP="00387142">
            <w:pPr>
              <w:jc w:val="center"/>
              <w:rPr>
                <w:sz w:val="20"/>
                <w:szCs w:val="20"/>
              </w:rPr>
            </w:pPr>
            <w:r w:rsidRPr="008B6A75">
              <w:rPr>
                <w:sz w:val="20"/>
                <w:szCs w:val="20"/>
              </w:rPr>
              <w:t>07.1.00.70110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11C467D" w14:textId="77777777" w:rsidR="00387142" w:rsidRPr="008B6A75" w:rsidRDefault="00387142" w:rsidP="00387142">
            <w:pPr>
              <w:jc w:val="center"/>
              <w:rPr>
                <w:sz w:val="20"/>
                <w:szCs w:val="20"/>
              </w:rPr>
            </w:pPr>
            <w:r w:rsidRPr="008B6A75">
              <w:rPr>
                <w:sz w:val="20"/>
                <w:szCs w:val="20"/>
              </w:rPr>
              <w:t>100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4C8DED5" w14:textId="77777777" w:rsidR="00387142" w:rsidRPr="008B6A75" w:rsidRDefault="00387142" w:rsidP="00387142">
            <w:pPr>
              <w:jc w:val="right"/>
              <w:rPr>
                <w:sz w:val="20"/>
                <w:szCs w:val="20"/>
              </w:rPr>
            </w:pPr>
            <w:r w:rsidRPr="008B6A75">
              <w:rPr>
                <w:sz w:val="20"/>
                <w:szCs w:val="20"/>
              </w:rPr>
              <w:t>28 449 400,00</w:t>
            </w:r>
          </w:p>
        </w:tc>
        <w:tc>
          <w:tcPr>
            <w:tcW w:w="992" w:type="dxa"/>
            <w:tcBorders>
              <w:top w:val="nil"/>
              <w:left w:val="single" w:sz="4" w:space="0" w:color="auto"/>
              <w:bottom w:val="single" w:sz="4" w:space="0" w:color="auto"/>
              <w:right w:val="nil"/>
            </w:tcBorders>
            <w:shd w:val="clear" w:color="auto" w:fill="auto"/>
            <w:vAlign w:val="center"/>
            <w:hideMark/>
          </w:tcPr>
          <w:p w14:paraId="39197EC6" w14:textId="77777777" w:rsidR="00387142" w:rsidRPr="008B6A75" w:rsidRDefault="00387142" w:rsidP="00387142">
            <w:pPr>
              <w:jc w:val="right"/>
              <w:rPr>
                <w:sz w:val="20"/>
                <w:szCs w:val="20"/>
              </w:rPr>
            </w:pPr>
            <w:r w:rsidRPr="008B6A75">
              <w:rPr>
                <w:sz w:val="20"/>
                <w:szCs w:val="20"/>
              </w:rPr>
              <w:t>27 517 702,40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22215344" w14:textId="77777777" w:rsidR="00387142" w:rsidRPr="008B6A75" w:rsidRDefault="00387142" w:rsidP="00387142">
            <w:pPr>
              <w:jc w:val="right"/>
              <w:rPr>
                <w:sz w:val="20"/>
                <w:szCs w:val="20"/>
              </w:rPr>
            </w:pPr>
            <w:r w:rsidRPr="008B6A75">
              <w:rPr>
                <w:sz w:val="20"/>
                <w:szCs w:val="20"/>
              </w:rPr>
              <w:t>29 247 486,60</w:t>
            </w:r>
          </w:p>
        </w:tc>
      </w:tr>
      <w:tr w:rsidR="00387142" w:rsidRPr="008B6A75" w14:paraId="50943911" w14:textId="77777777" w:rsidTr="00387142">
        <w:trPr>
          <w:trHeight w:val="585"/>
        </w:trPr>
        <w:tc>
          <w:tcPr>
            <w:tcW w:w="3261" w:type="dxa"/>
            <w:tcBorders>
              <w:top w:val="nil"/>
              <w:left w:val="single" w:sz="4" w:space="0" w:color="auto"/>
              <w:bottom w:val="single" w:sz="4" w:space="0" w:color="auto"/>
              <w:right w:val="nil"/>
            </w:tcBorders>
            <w:shd w:val="clear" w:color="auto" w:fill="auto"/>
            <w:vAlign w:val="center"/>
            <w:hideMark/>
          </w:tcPr>
          <w:p w14:paraId="2B65D89E" w14:textId="77777777" w:rsidR="00387142" w:rsidRPr="008B6A75" w:rsidRDefault="00387142" w:rsidP="00387142">
            <w:pPr>
              <w:rPr>
                <w:sz w:val="20"/>
                <w:szCs w:val="20"/>
              </w:rPr>
            </w:pPr>
            <w:r w:rsidRPr="008B6A75">
              <w:rPr>
                <w:sz w:val="20"/>
                <w:szCs w:val="20"/>
              </w:rPr>
              <w:t>Расходы на выплаты персоналу казенных учреждений</w:t>
            </w:r>
          </w:p>
        </w:tc>
        <w:tc>
          <w:tcPr>
            <w:tcW w:w="720" w:type="dxa"/>
            <w:tcBorders>
              <w:top w:val="nil"/>
              <w:left w:val="single" w:sz="4" w:space="0" w:color="auto"/>
              <w:bottom w:val="single" w:sz="4" w:space="0" w:color="auto"/>
              <w:right w:val="nil"/>
            </w:tcBorders>
            <w:shd w:val="clear" w:color="auto" w:fill="auto"/>
            <w:noWrap/>
            <w:vAlign w:val="center"/>
            <w:hideMark/>
          </w:tcPr>
          <w:p w14:paraId="7D33F2CC" w14:textId="77777777" w:rsidR="00387142" w:rsidRPr="008B6A75" w:rsidRDefault="00387142" w:rsidP="00387142">
            <w:pPr>
              <w:jc w:val="center"/>
              <w:rPr>
                <w:sz w:val="20"/>
                <w:szCs w:val="20"/>
              </w:rPr>
            </w:pPr>
            <w:r w:rsidRPr="008B6A75">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CF66E4D" w14:textId="77777777" w:rsidR="00387142" w:rsidRPr="008B6A75" w:rsidRDefault="00387142" w:rsidP="00387142">
            <w:pPr>
              <w:jc w:val="center"/>
              <w:rPr>
                <w:sz w:val="20"/>
                <w:szCs w:val="20"/>
              </w:rPr>
            </w:pPr>
            <w:r w:rsidRPr="008B6A75">
              <w:rPr>
                <w:sz w:val="20"/>
                <w:szCs w:val="20"/>
              </w:rPr>
              <w:t>02</w:t>
            </w:r>
          </w:p>
        </w:tc>
        <w:tc>
          <w:tcPr>
            <w:tcW w:w="1516" w:type="dxa"/>
            <w:tcBorders>
              <w:top w:val="nil"/>
              <w:left w:val="single" w:sz="4" w:space="0" w:color="auto"/>
              <w:bottom w:val="single" w:sz="4" w:space="0" w:color="auto"/>
              <w:right w:val="nil"/>
            </w:tcBorders>
            <w:shd w:val="clear" w:color="auto" w:fill="auto"/>
            <w:noWrap/>
            <w:vAlign w:val="center"/>
            <w:hideMark/>
          </w:tcPr>
          <w:p w14:paraId="24F252EC" w14:textId="77777777" w:rsidR="00387142" w:rsidRPr="008B6A75" w:rsidRDefault="00387142" w:rsidP="00387142">
            <w:pPr>
              <w:jc w:val="center"/>
              <w:rPr>
                <w:sz w:val="20"/>
                <w:szCs w:val="20"/>
              </w:rPr>
            </w:pPr>
            <w:r w:rsidRPr="008B6A75">
              <w:rPr>
                <w:sz w:val="20"/>
                <w:szCs w:val="20"/>
              </w:rPr>
              <w:t>07.1.00.70110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F63DE21" w14:textId="77777777" w:rsidR="00387142" w:rsidRPr="008B6A75" w:rsidRDefault="00387142" w:rsidP="00387142">
            <w:pPr>
              <w:jc w:val="center"/>
              <w:rPr>
                <w:sz w:val="20"/>
                <w:szCs w:val="20"/>
              </w:rPr>
            </w:pPr>
            <w:r w:rsidRPr="008B6A75">
              <w:rPr>
                <w:sz w:val="20"/>
                <w:szCs w:val="20"/>
              </w:rPr>
              <w:t>110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54D933F" w14:textId="77777777" w:rsidR="00387142" w:rsidRPr="008B6A75" w:rsidRDefault="00387142" w:rsidP="00387142">
            <w:pPr>
              <w:jc w:val="right"/>
              <w:rPr>
                <w:sz w:val="20"/>
                <w:szCs w:val="20"/>
              </w:rPr>
            </w:pPr>
            <w:r w:rsidRPr="008B6A75">
              <w:rPr>
                <w:sz w:val="20"/>
                <w:szCs w:val="20"/>
              </w:rPr>
              <w:t>28 449 400,00</w:t>
            </w:r>
          </w:p>
        </w:tc>
        <w:tc>
          <w:tcPr>
            <w:tcW w:w="992" w:type="dxa"/>
            <w:tcBorders>
              <w:top w:val="nil"/>
              <w:left w:val="single" w:sz="4" w:space="0" w:color="auto"/>
              <w:bottom w:val="single" w:sz="4" w:space="0" w:color="auto"/>
              <w:right w:val="nil"/>
            </w:tcBorders>
            <w:shd w:val="clear" w:color="auto" w:fill="auto"/>
            <w:vAlign w:val="center"/>
            <w:hideMark/>
          </w:tcPr>
          <w:p w14:paraId="7C16AA14" w14:textId="77777777" w:rsidR="00387142" w:rsidRPr="008B6A75" w:rsidRDefault="00387142" w:rsidP="00387142">
            <w:pPr>
              <w:jc w:val="right"/>
              <w:rPr>
                <w:sz w:val="20"/>
                <w:szCs w:val="20"/>
              </w:rPr>
            </w:pPr>
            <w:r w:rsidRPr="008B6A75">
              <w:rPr>
                <w:sz w:val="20"/>
                <w:szCs w:val="20"/>
              </w:rPr>
              <w:t>27 517 702,40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0C87CB70" w14:textId="77777777" w:rsidR="00387142" w:rsidRPr="008B6A75" w:rsidRDefault="00387142" w:rsidP="00387142">
            <w:pPr>
              <w:jc w:val="right"/>
              <w:rPr>
                <w:sz w:val="20"/>
                <w:szCs w:val="20"/>
              </w:rPr>
            </w:pPr>
            <w:r w:rsidRPr="008B6A75">
              <w:rPr>
                <w:sz w:val="20"/>
                <w:szCs w:val="20"/>
              </w:rPr>
              <w:t>29 247 486,60</w:t>
            </w:r>
          </w:p>
        </w:tc>
      </w:tr>
      <w:tr w:rsidR="00387142" w:rsidRPr="008B6A75" w14:paraId="61E3CADF" w14:textId="77777777" w:rsidTr="00387142">
        <w:trPr>
          <w:trHeight w:val="585"/>
        </w:trPr>
        <w:tc>
          <w:tcPr>
            <w:tcW w:w="3261" w:type="dxa"/>
            <w:tcBorders>
              <w:top w:val="nil"/>
              <w:left w:val="single" w:sz="4" w:space="0" w:color="auto"/>
              <w:bottom w:val="single" w:sz="4" w:space="0" w:color="auto"/>
              <w:right w:val="nil"/>
            </w:tcBorders>
            <w:shd w:val="clear" w:color="auto" w:fill="auto"/>
            <w:vAlign w:val="center"/>
            <w:hideMark/>
          </w:tcPr>
          <w:p w14:paraId="615E0F8D" w14:textId="77777777" w:rsidR="00387142" w:rsidRPr="008B6A75" w:rsidRDefault="00387142" w:rsidP="00387142">
            <w:pPr>
              <w:rPr>
                <w:sz w:val="20"/>
                <w:szCs w:val="20"/>
              </w:rPr>
            </w:pPr>
            <w:r w:rsidRPr="008B6A75">
              <w:rPr>
                <w:sz w:val="20"/>
                <w:szCs w:val="20"/>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70876DE9" w14:textId="77777777" w:rsidR="00387142" w:rsidRPr="008B6A75" w:rsidRDefault="00387142" w:rsidP="00387142">
            <w:pPr>
              <w:jc w:val="center"/>
              <w:rPr>
                <w:sz w:val="20"/>
                <w:szCs w:val="20"/>
              </w:rPr>
            </w:pPr>
            <w:r w:rsidRPr="008B6A75">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6906DBF" w14:textId="77777777" w:rsidR="00387142" w:rsidRPr="008B6A75" w:rsidRDefault="00387142" w:rsidP="00387142">
            <w:pPr>
              <w:jc w:val="center"/>
              <w:rPr>
                <w:sz w:val="20"/>
                <w:szCs w:val="20"/>
              </w:rPr>
            </w:pPr>
            <w:r w:rsidRPr="008B6A75">
              <w:rPr>
                <w:sz w:val="20"/>
                <w:szCs w:val="20"/>
              </w:rPr>
              <w:t>02</w:t>
            </w:r>
          </w:p>
        </w:tc>
        <w:tc>
          <w:tcPr>
            <w:tcW w:w="1516" w:type="dxa"/>
            <w:tcBorders>
              <w:top w:val="nil"/>
              <w:left w:val="single" w:sz="4" w:space="0" w:color="auto"/>
              <w:bottom w:val="single" w:sz="4" w:space="0" w:color="auto"/>
              <w:right w:val="nil"/>
            </w:tcBorders>
            <w:shd w:val="clear" w:color="auto" w:fill="auto"/>
            <w:noWrap/>
            <w:vAlign w:val="center"/>
            <w:hideMark/>
          </w:tcPr>
          <w:p w14:paraId="3DCEF3A8" w14:textId="77777777" w:rsidR="00387142" w:rsidRPr="008B6A75" w:rsidRDefault="00387142" w:rsidP="00387142">
            <w:pPr>
              <w:jc w:val="center"/>
              <w:rPr>
                <w:sz w:val="20"/>
                <w:szCs w:val="20"/>
              </w:rPr>
            </w:pPr>
            <w:r w:rsidRPr="008B6A75">
              <w:rPr>
                <w:sz w:val="20"/>
                <w:szCs w:val="20"/>
              </w:rPr>
              <w:t>07.1.00.70110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7664182" w14:textId="77777777" w:rsidR="00387142" w:rsidRPr="008B6A75" w:rsidRDefault="00387142" w:rsidP="00387142">
            <w:pPr>
              <w:jc w:val="center"/>
              <w:rPr>
                <w:sz w:val="20"/>
                <w:szCs w:val="20"/>
              </w:rPr>
            </w:pPr>
            <w:r w:rsidRPr="008B6A75">
              <w:rPr>
                <w:sz w:val="20"/>
                <w:szCs w:val="20"/>
              </w:rPr>
              <w:t>200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8EBEB06" w14:textId="77777777" w:rsidR="00387142" w:rsidRPr="008B6A75" w:rsidRDefault="00387142" w:rsidP="00387142">
            <w:pPr>
              <w:jc w:val="right"/>
              <w:rPr>
                <w:sz w:val="20"/>
                <w:szCs w:val="20"/>
              </w:rPr>
            </w:pPr>
            <w:r w:rsidRPr="008B6A75">
              <w:rPr>
                <w:sz w:val="20"/>
                <w:szCs w:val="20"/>
              </w:rPr>
              <w:t>242 700,00</w:t>
            </w:r>
          </w:p>
        </w:tc>
        <w:tc>
          <w:tcPr>
            <w:tcW w:w="992" w:type="dxa"/>
            <w:tcBorders>
              <w:top w:val="nil"/>
              <w:left w:val="single" w:sz="4" w:space="0" w:color="auto"/>
              <w:bottom w:val="single" w:sz="4" w:space="0" w:color="auto"/>
              <w:right w:val="nil"/>
            </w:tcBorders>
            <w:shd w:val="clear" w:color="auto" w:fill="auto"/>
            <w:vAlign w:val="center"/>
            <w:hideMark/>
          </w:tcPr>
          <w:p w14:paraId="4DA41401" w14:textId="77777777" w:rsidR="00387142" w:rsidRPr="008B6A75" w:rsidRDefault="00387142" w:rsidP="00387142">
            <w:pPr>
              <w:jc w:val="right"/>
              <w:rPr>
                <w:sz w:val="20"/>
                <w:szCs w:val="20"/>
              </w:rPr>
            </w:pPr>
            <w:r w:rsidRPr="008B6A75">
              <w:rPr>
                <w:sz w:val="20"/>
                <w:szCs w:val="20"/>
              </w:rPr>
              <w:t>251 700,00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2AA04780" w14:textId="77777777" w:rsidR="00387142" w:rsidRPr="008B6A75" w:rsidRDefault="00387142" w:rsidP="00387142">
            <w:pPr>
              <w:jc w:val="right"/>
              <w:rPr>
                <w:sz w:val="20"/>
                <w:szCs w:val="20"/>
              </w:rPr>
            </w:pPr>
            <w:r w:rsidRPr="008B6A75">
              <w:rPr>
                <w:sz w:val="20"/>
                <w:szCs w:val="20"/>
              </w:rPr>
              <w:t>251 700,00</w:t>
            </w:r>
          </w:p>
        </w:tc>
      </w:tr>
      <w:tr w:rsidR="00387142" w:rsidRPr="008B6A75" w14:paraId="60CFEC6F" w14:textId="77777777" w:rsidTr="00387142">
        <w:trPr>
          <w:trHeight w:val="870"/>
        </w:trPr>
        <w:tc>
          <w:tcPr>
            <w:tcW w:w="3261" w:type="dxa"/>
            <w:tcBorders>
              <w:top w:val="nil"/>
              <w:left w:val="single" w:sz="4" w:space="0" w:color="auto"/>
              <w:bottom w:val="single" w:sz="4" w:space="0" w:color="auto"/>
              <w:right w:val="nil"/>
            </w:tcBorders>
            <w:shd w:val="clear" w:color="auto" w:fill="auto"/>
            <w:vAlign w:val="center"/>
            <w:hideMark/>
          </w:tcPr>
          <w:p w14:paraId="7AEAB0E3" w14:textId="77777777" w:rsidR="00387142" w:rsidRPr="008B6A75" w:rsidRDefault="00387142" w:rsidP="00387142">
            <w:pPr>
              <w:rPr>
                <w:sz w:val="20"/>
                <w:szCs w:val="20"/>
              </w:rPr>
            </w:pPr>
            <w:r w:rsidRPr="008B6A75">
              <w:rPr>
                <w:sz w:val="20"/>
                <w:szCs w:val="20"/>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1890F98A" w14:textId="77777777" w:rsidR="00387142" w:rsidRPr="008B6A75" w:rsidRDefault="00387142" w:rsidP="00387142">
            <w:pPr>
              <w:jc w:val="center"/>
              <w:rPr>
                <w:sz w:val="20"/>
                <w:szCs w:val="20"/>
              </w:rPr>
            </w:pPr>
            <w:r w:rsidRPr="008B6A75">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CC1ED64" w14:textId="77777777" w:rsidR="00387142" w:rsidRPr="008B6A75" w:rsidRDefault="00387142" w:rsidP="00387142">
            <w:pPr>
              <w:jc w:val="center"/>
              <w:rPr>
                <w:sz w:val="20"/>
                <w:szCs w:val="20"/>
              </w:rPr>
            </w:pPr>
            <w:r w:rsidRPr="008B6A75">
              <w:rPr>
                <w:sz w:val="20"/>
                <w:szCs w:val="20"/>
              </w:rPr>
              <w:t>02</w:t>
            </w:r>
          </w:p>
        </w:tc>
        <w:tc>
          <w:tcPr>
            <w:tcW w:w="1516" w:type="dxa"/>
            <w:tcBorders>
              <w:top w:val="nil"/>
              <w:left w:val="single" w:sz="4" w:space="0" w:color="auto"/>
              <w:bottom w:val="single" w:sz="4" w:space="0" w:color="auto"/>
              <w:right w:val="nil"/>
            </w:tcBorders>
            <w:shd w:val="clear" w:color="auto" w:fill="auto"/>
            <w:noWrap/>
            <w:vAlign w:val="center"/>
            <w:hideMark/>
          </w:tcPr>
          <w:p w14:paraId="06BCC908" w14:textId="77777777" w:rsidR="00387142" w:rsidRPr="008B6A75" w:rsidRDefault="00387142" w:rsidP="00387142">
            <w:pPr>
              <w:jc w:val="center"/>
              <w:rPr>
                <w:sz w:val="20"/>
                <w:szCs w:val="20"/>
              </w:rPr>
            </w:pPr>
            <w:r w:rsidRPr="008B6A75">
              <w:rPr>
                <w:sz w:val="20"/>
                <w:szCs w:val="20"/>
              </w:rPr>
              <w:t>07.1.00.70110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378F81F" w14:textId="77777777" w:rsidR="00387142" w:rsidRPr="008B6A75" w:rsidRDefault="00387142" w:rsidP="00387142">
            <w:pPr>
              <w:jc w:val="center"/>
              <w:rPr>
                <w:sz w:val="20"/>
                <w:szCs w:val="20"/>
              </w:rPr>
            </w:pPr>
            <w:r w:rsidRPr="008B6A75">
              <w:rPr>
                <w:sz w:val="20"/>
                <w:szCs w:val="20"/>
              </w:rPr>
              <w:t>240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2D38A4A" w14:textId="77777777" w:rsidR="00387142" w:rsidRPr="008B6A75" w:rsidRDefault="00387142" w:rsidP="00387142">
            <w:pPr>
              <w:jc w:val="right"/>
              <w:rPr>
                <w:sz w:val="20"/>
                <w:szCs w:val="20"/>
              </w:rPr>
            </w:pPr>
            <w:r w:rsidRPr="008B6A75">
              <w:rPr>
                <w:sz w:val="20"/>
                <w:szCs w:val="20"/>
              </w:rPr>
              <w:t>242 700,00</w:t>
            </w:r>
          </w:p>
        </w:tc>
        <w:tc>
          <w:tcPr>
            <w:tcW w:w="992" w:type="dxa"/>
            <w:tcBorders>
              <w:top w:val="nil"/>
              <w:left w:val="single" w:sz="4" w:space="0" w:color="auto"/>
              <w:bottom w:val="single" w:sz="4" w:space="0" w:color="auto"/>
              <w:right w:val="nil"/>
            </w:tcBorders>
            <w:shd w:val="clear" w:color="auto" w:fill="auto"/>
            <w:vAlign w:val="center"/>
            <w:hideMark/>
          </w:tcPr>
          <w:p w14:paraId="286D083C" w14:textId="77777777" w:rsidR="00387142" w:rsidRPr="008B6A75" w:rsidRDefault="00387142" w:rsidP="00387142">
            <w:pPr>
              <w:jc w:val="right"/>
              <w:rPr>
                <w:sz w:val="20"/>
                <w:szCs w:val="20"/>
              </w:rPr>
            </w:pPr>
            <w:r w:rsidRPr="008B6A75">
              <w:rPr>
                <w:sz w:val="20"/>
                <w:szCs w:val="20"/>
              </w:rPr>
              <w:t>251 700,00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79E1A6FB" w14:textId="77777777" w:rsidR="00387142" w:rsidRPr="008B6A75" w:rsidRDefault="00387142" w:rsidP="00387142">
            <w:pPr>
              <w:jc w:val="right"/>
              <w:rPr>
                <w:sz w:val="20"/>
                <w:szCs w:val="20"/>
              </w:rPr>
            </w:pPr>
            <w:r w:rsidRPr="008B6A75">
              <w:rPr>
                <w:sz w:val="20"/>
                <w:szCs w:val="20"/>
              </w:rPr>
              <w:t>251 700,00</w:t>
            </w:r>
          </w:p>
        </w:tc>
      </w:tr>
      <w:tr w:rsidR="00387142" w:rsidRPr="008B6A75" w14:paraId="77513ABE" w14:textId="77777777" w:rsidTr="00387142">
        <w:trPr>
          <w:trHeight w:val="870"/>
        </w:trPr>
        <w:tc>
          <w:tcPr>
            <w:tcW w:w="3261" w:type="dxa"/>
            <w:tcBorders>
              <w:top w:val="nil"/>
              <w:left w:val="single" w:sz="4" w:space="0" w:color="auto"/>
              <w:bottom w:val="single" w:sz="4" w:space="0" w:color="auto"/>
              <w:right w:val="nil"/>
            </w:tcBorders>
            <w:shd w:val="clear" w:color="auto" w:fill="auto"/>
            <w:vAlign w:val="center"/>
            <w:hideMark/>
          </w:tcPr>
          <w:p w14:paraId="23AE44E7" w14:textId="77777777" w:rsidR="00387142" w:rsidRPr="008B6A75" w:rsidRDefault="00387142" w:rsidP="00387142">
            <w:pPr>
              <w:rPr>
                <w:sz w:val="20"/>
                <w:szCs w:val="20"/>
              </w:rPr>
            </w:pPr>
            <w:r w:rsidRPr="008B6A75">
              <w:rPr>
                <w:sz w:val="20"/>
                <w:szCs w:val="20"/>
              </w:rPr>
              <w:t>Предоставление субсидий бюджетным, автономным учреждениям и иным некоммерческим организациям</w:t>
            </w:r>
          </w:p>
        </w:tc>
        <w:tc>
          <w:tcPr>
            <w:tcW w:w="720" w:type="dxa"/>
            <w:tcBorders>
              <w:top w:val="nil"/>
              <w:left w:val="single" w:sz="4" w:space="0" w:color="auto"/>
              <w:bottom w:val="single" w:sz="4" w:space="0" w:color="auto"/>
              <w:right w:val="nil"/>
            </w:tcBorders>
            <w:shd w:val="clear" w:color="auto" w:fill="auto"/>
            <w:noWrap/>
            <w:vAlign w:val="center"/>
            <w:hideMark/>
          </w:tcPr>
          <w:p w14:paraId="6F961EF1" w14:textId="77777777" w:rsidR="00387142" w:rsidRPr="008B6A75" w:rsidRDefault="00387142" w:rsidP="00387142">
            <w:pPr>
              <w:jc w:val="center"/>
              <w:rPr>
                <w:sz w:val="20"/>
                <w:szCs w:val="20"/>
              </w:rPr>
            </w:pPr>
            <w:r w:rsidRPr="008B6A75">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D2DF943" w14:textId="77777777" w:rsidR="00387142" w:rsidRPr="008B6A75" w:rsidRDefault="00387142" w:rsidP="00387142">
            <w:pPr>
              <w:jc w:val="center"/>
              <w:rPr>
                <w:sz w:val="20"/>
                <w:szCs w:val="20"/>
              </w:rPr>
            </w:pPr>
            <w:r w:rsidRPr="008B6A75">
              <w:rPr>
                <w:sz w:val="20"/>
                <w:szCs w:val="20"/>
              </w:rPr>
              <w:t>02</w:t>
            </w:r>
          </w:p>
        </w:tc>
        <w:tc>
          <w:tcPr>
            <w:tcW w:w="1516" w:type="dxa"/>
            <w:tcBorders>
              <w:top w:val="nil"/>
              <w:left w:val="single" w:sz="4" w:space="0" w:color="auto"/>
              <w:bottom w:val="single" w:sz="4" w:space="0" w:color="auto"/>
              <w:right w:val="nil"/>
            </w:tcBorders>
            <w:shd w:val="clear" w:color="auto" w:fill="auto"/>
            <w:noWrap/>
            <w:vAlign w:val="center"/>
            <w:hideMark/>
          </w:tcPr>
          <w:p w14:paraId="17C066F8" w14:textId="77777777" w:rsidR="00387142" w:rsidRPr="008B6A75" w:rsidRDefault="00387142" w:rsidP="00387142">
            <w:pPr>
              <w:jc w:val="center"/>
              <w:rPr>
                <w:sz w:val="20"/>
                <w:szCs w:val="20"/>
              </w:rPr>
            </w:pPr>
            <w:r w:rsidRPr="008B6A75">
              <w:rPr>
                <w:sz w:val="20"/>
                <w:szCs w:val="20"/>
              </w:rPr>
              <w:t>07.1.00.70110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B3AF3A9" w14:textId="77777777" w:rsidR="00387142" w:rsidRPr="008B6A75" w:rsidRDefault="00387142" w:rsidP="00387142">
            <w:pPr>
              <w:jc w:val="center"/>
              <w:rPr>
                <w:sz w:val="20"/>
                <w:szCs w:val="20"/>
              </w:rPr>
            </w:pPr>
            <w:r w:rsidRPr="008B6A75">
              <w:rPr>
                <w:sz w:val="20"/>
                <w:szCs w:val="20"/>
              </w:rPr>
              <w:t>600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FA283BF" w14:textId="77777777" w:rsidR="00387142" w:rsidRPr="008B6A75" w:rsidRDefault="00387142" w:rsidP="00387142">
            <w:pPr>
              <w:jc w:val="right"/>
              <w:rPr>
                <w:sz w:val="20"/>
                <w:szCs w:val="20"/>
              </w:rPr>
            </w:pPr>
            <w:r w:rsidRPr="008B6A75">
              <w:rPr>
                <w:sz w:val="20"/>
                <w:szCs w:val="20"/>
              </w:rPr>
              <w:t>2 615 900,00</w:t>
            </w:r>
          </w:p>
        </w:tc>
        <w:tc>
          <w:tcPr>
            <w:tcW w:w="992" w:type="dxa"/>
            <w:tcBorders>
              <w:top w:val="nil"/>
              <w:left w:val="single" w:sz="4" w:space="0" w:color="auto"/>
              <w:bottom w:val="single" w:sz="4" w:space="0" w:color="auto"/>
              <w:right w:val="nil"/>
            </w:tcBorders>
            <w:shd w:val="clear" w:color="auto" w:fill="auto"/>
            <w:vAlign w:val="center"/>
            <w:hideMark/>
          </w:tcPr>
          <w:p w14:paraId="08A4F8B4" w14:textId="77777777" w:rsidR="00387142" w:rsidRPr="008B6A75" w:rsidRDefault="00387142" w:rsidP="00387142">
            <w:pPr>
              <w:jc w:val="right"/>
              <w:rPr>
                <w:sz w:val="20"/>
                <w:szCs w:val="20"/>
              </w:rPr>
            </w:pPr>
            <w:r w:rsidRPr="008B6A75">
              <w:rPr>
                <w:sz w:val="20"/>
                <w:szCs w:val="20"/>
              </w:rPr>
              <w:t>2 209 692,40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3BE5BB5A" w14:textId="77777777" w:rsidR="00387142" w:rsidRPr="008B6A75" w:rsidRDefault="00387142" w:rsidP="00387142">
            <w:pPr>
              <w:jc w:val="right"/>
              <w:rPr>
                <w:sz w:val="20"/>
                <w:szCs w:val="20"/>
              </w:rPr>
            </w:pPr>
            <w:r w:rsidRPr="008B6A75">
              <w:rPr>
                <w:sz w:val="20"/>
                <w:szCs w:val="20"/>
              </w:rPr>
              <w:t>2 347 110,62</w:t>
            </w:r>
          </w:p>
        </w:tc>
      </w:tr>
      <w:tr w:rsidR="00387142" w:rsidRPr="008B6A75" w14:paraId="3B34F3E6" w14:textId="77777777" w:rsidTr="00387142">
        <w:trPr>
          <w:trHeight w:val="345"/>
        </w:trPr>
        <w:tc>
          <w:tcPr>
            <w:tcW w:w="3261" w:type="dxa"/>
            <w:tcBorders>
              <w:top w:val="nil"/>
              <w:left w:val="single" w:sz="4" w:space="0" w:color="auto"/>
              <w:bottom w:val="single" w:sz="4" w:space="0" w:color="auto"/>
              <w:right w:val="nil"/>
            </w:tcBorders>
            <w:shd w:val="clear" w:color="auto" w:fill="auto"/>
            <w:vAlign w:val="center"/>
            <w:hideMark/>
          </w:tcPr>
          <w:p w14:paraId="02477D12" w14:textId="77777777" w:rsidR="00387142" w:rsidRPr="008B6A75" w:rsidRDefault="00387142" w:rsidP="00387142">
            <w:pPr>
              <w:rPr>
                <w:sz w:val="20"/>
                <w:szCs w:val="20"/>
              </w:rPr>
            </w:pPr>
            <w:r w:rsidRPr="008B6A75">
              <w:rPr>
                <w:sz w:val="20"/>
                <w:szCs w:val="20"/>
              </w:rPr>
              <w:t>Субсидии бюджетным учреждениям</w:t>
            </w:r>
          </w:p>
        </w:tc>
        <w:tc>
          <w:tcPr>
            <w:tcW w:w="720" w:type="dxa"/>
            <w:tcBorders>
              <w:top w:val="nil"/>
              <w:left w:val="single" w:sz="4" w:space="0" w:color="auto"/>
              <w:bottom w:val="single" w:sz="4" w:space="0" w:color="auto"/>
              <w:right w:val="nil"/>
            </w:tcBorders>
            <w:shd w:val="clear" w:color="auto" w:fill="auto"/>
            <w:noWrap/>
            <w:vAlign w:val="center"/>
            <w:hideMark/>
          </w:tcPr>
          <w:p w14:paraId="0B95BA57" w14:textId="77777777" w:rsidR="00387142" w:rsidRPr="008B6A75" w:rsidRDefault="00387142" w:rsidP="00387142">
            <w:pPr>
              <w:jc w:val="center"/>
              <w:rPr>
                <w:sz w:val="20"/>
                <w:szCs w:val="20"/>
              </w:rPr>
            </w:pPr>
            <w:r w:rsidRPr="008B6A75">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A1A41D3" w14:textId="77777777" w:rsidR="00387142" w:rsidRPr="008B6A75" w:rsidRDefault="00387142" w:rsidP="00387142">
            <w:pPr>
              <w:jc w:val="center"/>
              <w:rPr>
                <w:sz w:val="20"/>
                <w:szCs w:val="20"/>
              </w:rPr>
            </w:pPr>
            <w:r w:rsidRPr="008B6A75">
              <w:rPr>
                <w:sz w:val="20"/>
                <w:szCs w:val="20"/>
              </w:rPr>
              <w:t>02</w:t>
            </w:r>
          </w:p>
        </w:tc>
        <w:tc>
          <w:tcPr>
            <w:tcW w:w="1516" w:type="dxa"/>
            <w:tcBorders>
              <w:top w:val="nil"/>
              <w:left w:val="single" w:sz="4" w:space="0" w:color="auto"/>
              <w:bottom w:val="single" w:sz="4" w:space="0" w:color="auto"/>
              <w:right w:val="nil"/>
            </w:tcBorders>
            <w:shd w:val="clear" w:color="auto" w:fill="auto"/>
            <w:noWrap/>
            <w:vAlign w:val="center"/>
            <w:hideMark/>
          </w:tcPr>
          <w:p w14:paraId="2C5BF830" w14:textId="77777777" w:rsidR="00387142" w:rsidRPr="008B6A75" w:rsidRDefault="00387142" w:rsidP="00387142">
            <w:pPr>
              <w:jc w:val="center"/>
              <w:rPr>
                <w:sz w:val="20"/>
                <w:szCs w:val="20"/>
              </w:rPr>
            </w:pPr>
            <w:r w:rsidRPr="008B6A75">
              <w:rPr>
                <w:sz w:val="20"/>
                <w:szCs w:val="20"/>
              </w:rPr>
              <w:t>07.1.00.70110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F4D0B07" w14:textId="77777777" w:rsidR="00387142" w:rsidRPr="008B6A75" w:rsidRDefault="00387142" w:rsidP="00387142">
            <w:pPr>
              <w:jc w:val="center"/>
              <w:rPr>
                <w:sz w:val="20"/>
                <w:szCs w:val="20"/>
              </w:rPr>
            </w:pPr>
            <w:r w:rsidRPr="008B6A75">
              <w:rPr>
                <w:sz w:val="20"/>
                <w:szCs w:val="20"/>
              </w:rPr>
              <w:t>610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9ACEA54" w14:textId="77777777" w:rsidR="00387142" w:rsidRPr="008B6A75" w:rsidRDefault="00387142" w:rsidP="00387142">
            <w:pPr>
              <w:jc w:val="right"/>
              <w:rPr>
                <w:sz w:val="20"/>
                <w:szCs w:val="20"/>
              </w:rPr>
            </w:pPr>
            <w:r w:rsidRPr="008B6A75">
              <w:rPr>
                <w:sz w:val="20"/>
                <w:szCs w:val="20"/>
              </w:rPr>
              <w:t>2 615 900,00</w:t>
            </w:r>
          </w:p>
        </w:tc>
        <w:tc>
          <w:tcPr>
            <w:tcW w:w="992" w:type="dxa"/>
            <w:tcBorders>
              <w:top w:val="nil"/>
              <w:left w:val="single" w:sz="4" w:space="0" w:color="auto"/>
              <w:bottom w:val="single" w:sz="4" w:space="0" w:color="auto"/>
              <w:right w:val="nil"/>
            </w:tcBorders>
            <w:shd w:val="clear" w:color="auto" w:fill="auto"/>
            <w:vAlign w:val="center"/>
            <w:hideMark/>
          </w:tcPr>
          <w:p w14:paraId="69A669BC" w14:textId="77777777" w:rsidR="00387142" w:rsidRPr="008B6A75" w:rsidRDefault="00387142" w:rsidP="00387142">
            <w:pPr>
              <w:jc w:val="right"/>
              <w:rPr>
                <w:sz w:val="20"/>
                <w:szCs w:val="20"/>
              </w:rPr>
            </w:pPr>
            <w:r w:rsidRPr="008B6A75">
              <w:rPr>
                <w:sz w:val="20"/>
                <w:szCs w:val="20"/>
              </w:rPr>
              <w:t>2 209 692,40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30334D9B" w14:textId="77777777" w:rsidR="00387142" w:rsidRPr="008B6A75" w:rsidRDefault="00387142" w:rsidP="00387142">
            <w:pPr>
              <w:jc w:val="right"/>
              <w:rPr>
                <w:sz w:val="20"/>
                <w:szCs w:val="20"/>
              </w:rPr>
            </w:pPr>
            <w:r w:rsidRPr="008B6A75">
              <w:rPr>
                <w:sz w:val="20"/>
                <w:szCs w:val="20"/>
              </w:rPr>
              <w:t>2 347 110,62</w:t>
            </w:r>
          </w:p>
        </w:tc>
      </w:tr>
      <w:tr w:rsidR="00387142" w:rsidRPr="008B6A75" w14:paraId="459E242B" w14:textId="77777777" w:rsidTr="00387142">
        <w:trPr>
          <w:trHeight w:val="870"/>
        </w:trPr>
        <w:tc>
          <w:tcPr>
            <w:tcW w:w="3261" w:type="dxa"/>
            <w:tcBorders>
              <w:top w:val="nil"/>
              <w:left w:val="single" w:sz="4" w:space="0" w:color="auto"/>
              <w:bottom w:val="single" w:sz="4" w:space="0" w:color="auto"/>
              <w:right w:val="nil"/>
            </w:tcBorders>
            <w:shd w:val="clear" w:color="auto" w:fill="auto"/>
            <w:vAlign w:val="center"/>
            <w:hideMark/>
          </w:tcPr>
          <w:p w14:paraId="797D880E" w14:textId="77777777" w:rsidR="00387142" w:rsidRPr="008B6A75" w:rsidRDefault="00387142" w:rsidP="00387142">
            <w:pPr>
              <w:rPr>
                <w:bCs/>
                <w:sz w:val="20"/>
                <w:szCs w:val="20"/>
              </w:rPr>
            </w:pPr>
            <w:r w:rsidRPr="008B6A75">
              <w:rPr>
                <w:bCs/>
                <w:sz w:val="20"/>
                <w:szCs w:val="20"/>
              </w:rPr>
              <w:t>Реализация основных общеобразовательных программ в муниципальных общеобразовательных организациях</w:t>
            </w:r>
          </w:p>
        </w:tc>
        <w:tc>
          <w:tcPr>
            <w:tcW w:w="720" w:type="dxa"/>
            <w:tcBorders>
              <w:top w:val="nil"/>
              <w:left w:val="single" w:sz="4" w:space="0" w:color="auto"/>
              <w:bottom w:val="single" w:sz="4" w:space="0" w:color="auto"/>
              <w:right w:val="nil"/>
            </w:tcBorders>
            <w:shd w:val="clear" w:color="auto" w:fill="auto"/>
            <w:noWrap/>
            <w:vAlign w:val="center"/>
            <w:hideMark/>
          </w:tcPr>
          <w:p w14:paraId="5FD9888E" w14:textId="77777777" w:rsidR="00387142" w:rsidRPr="008B6A75" w:rsidRDefault="00387142" w:rsidP="00387142">
            <w:pPr>
              <w:jc w:val="center"/>
              <w:rPr>
                <w:bCs/>
                <w:sz w:val="20"/>
                <w:szCs w:val="20"/>
              </w:rPr>
            </w:pPr>
            <w:r w:rsidRPr="008B6A75">
              <w:rPr>
                <w:bCs/>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7589903" w14:textId="77777777" w:rsidR="00387142" w:rsidRPr="008B6A75" w:rsidRDefault="00387142" w:rsidP="00387142">
            <w:pPr>
              <w:jc w:val="center"/>
              <w:rPr>
                <w:bCs/>
                <w:sz w:val="20"/>
                <w:szCs w:val="20"/>
              </w:rPr>
            </w:pPr>
            <w:r w:rsidRPr="008B6A75">
              <w:rPr>
                <w:bCs/>
                <w:sz w:val="20"/>
                <w:szCs w:val="20"/>
              </w:rPr>
              <w:t>02</w:t>
            </w:r>
          </w:p>
        </w:tc>
        <w:tc>
          <w:tcPr>
            <w:tcW w:w="1516" w:type="dxa"/>
            <w:tcBorders>
              <w:top w:val="nil"/>
              <w:left w:val="single" w:sz="4" w:space="0" w:color="auto"/>
              <w:bottom w:val="single" w:sz="4" w:space="0" w:color="auto"/>
              <w:right w:val="nil"/>
            </w:tcBorders>
            <w:shd w:val="clear" w:color="auto" w:fill="auto"/>
            <w:noWrap/>
            <w:vAlign w:val="center"/>
            <w:hideMark/>
          </w:tcPr>
          <w:p w14:paraId="5CF2D15E" w14:textId="77777777" w:rsidR="00387142" w:rsidRPr="008B6A75" w:rsidRDefault="00387142" w:rsidP="00387142">
            <w:pPr>
              <w:jc w:val="center"/>
              <w:rPr>
                <w:bCs/>
                <w:sz w:val="20"/>
                <w:szCs w:val="20"/>
              </w:rPr>
            </w:pPr>
            <w:r w:rsidRPr="008B6A75">
              <w:rPr>
                <w:bCs/>
                <w:sz w:val="20"/>
                <w:szCs w:val="20"/>
              </w:rPr>
              <w:t>07.1.00.70120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A56F5B6"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51D3CE8" w14:textId="77777777" w:rsidR="00387142" w:rsidRPr="008B6A75" w:rsidRDefault="00387142" w:rsidP="00387142">
            <w:pPr>
              <w:jc w:val="right"/>
              <w:rPr>
                <w:bCs/>
                <w:sz w:val="20"/>
                <w:szCs w:val="20"/>
              </w:rPr>
            </w:pPr>
            <w:r w:rsidRPr="008B6A75">
              <w:rPr>
                <w:bCs/>
                <w:sz w:val="20"/>
                <w:szCs w:val="20"/>
              </w:rPr>
              <w:t>425 963 700,00</w:t>
            </w:r>
          </w:p>
        </w:tc>
        <w:tc>
          <w:tcPr>
            <w:tcW w:w="992" w:type="dxa"/>
            <w:tcBorders>
              <w:top w:val="nil"/>
              <w:left w:val="single" w:sz="4" w:space="0" w:color="auto"/>
              <w:bottom w:val="single" w:sz="4" w:space="0" w:color="auto"/>
              <w:right w:val="nil"/>
            </w:tcBorders>
            <w:shd w:val="clear" w:color="auto" w:fill="auto"/>
            <w:vAlign w:val="center"/>
            <w:hideMark/>
          </w:tcPr>
          <w:p w14:paraId="6DB6586F" w14:textId="77777777" w:rsidR="00387142" w:rsidRPr="008B6A75" w:rsidRDefault="00387142" w:rsidP="00387142">
            <w:pPr>
              <w:jc w:val="right"/>
              <w:rPr>
                <w:bCs/>
                <w:sz w:val="20"/>
                <w:szCs w:val="20"/>
              </w:rPr>
            </w:pPr>
            <w:r w:rsidRPr="008B6A75">
              <w:rPr>
                <w:bCs/>
                <w:sz w:val="20"/>
                <w:szCs w:val="20"/>
              </w:rPr>
              <w:t>439 421 700,00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076B9775" w14:textId="77777777" w:rsidR="00387142" w:rsidRPr="008B6A75" w:rsidRDefault="00387142" w:rsidP="00387142">
            <w:pPr>
              <w:jc w:val="right"/>
              <w:rPr>
                <w:bCs/>
                <w:sz w:val="20"/>
                <w:szCs w:val="20"/>
              </w:rPr>
            </w:pPr>
            <w:r w:rsidRPr="008B6A75">
              <w:rPr>
                <w:bCs/>
                <w:sz w:val="20"/>
                <w:szCs w:val="20"/>
              </w:rPr>
              <w:t>468 810 800,00</w:t>
            </w:r>
          </w:p>
        </w:tc>
      </w:tr>
      <w:tr w:rsidR="00387142" w:rsidRPr="008B6A75" w14:paraId="4D1A28E8" w14:textId="77777777" w:rsidTr="00387142">
        <w:trPr>
          <w:trHeight w:val="1440"/>
        </w:trPr>
        <w:tc>
          <w:tcPr>
            <w:tcW w:w="3261" w:type="dxa"/>
            <w:tcBorders>
              <w:top w:val="nil"/>
              <w:left w:val="single" w:sz="4" w:space="0" w:color="auto"/>
              <w:bottom w:val="single" w:sz="4" w:space="0" w:color="auto"/>
              <w:right w:val="nil"/>
            </w:tcBorders>
            <w:shd w:val="clear" w:color="auto" w:fill="auto"/>
            <w:vAlign w:val="center"/>
            <w:hideMark/>
          </w:tcPr>
          <w:p w14:paraId="5EDE5618" w14:textId="77777777" w:rsidR="00387142" w:rsidRPr="008B6A75" w:rsidRDefault="00387142" w:rsidP="00387142">
            <w:pPr>
              <w:rPr>
                <w:sz w:val="20"/>
                <w:szCs w:val="20"/>
              </w:rPr>
            </w:pPr>
            <w:r w:rsidRPr="008B6A7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14:paraId="1299B3B5" w14:textId="77777777" w:rsidR="00387142" w:rsidRPr="008B6A75" w:rsidRDefault="00387142" w:rsidP="00387142">
            <w:pPr>
              <w:jc w:val="center"/>
              <w:rPr>
                <w:sz w:val="20"/>
                <w:szCs w:val="20"/>
              </w:rPr>
            </w:pPr>
            <w:r w:rsidRPr="008B6A75">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D8FEA31" w14:textId="77777777" w:rsidR="00387142" w:rsidRPr="008B6A75" w:rsidRDefault="00387142" w:rsidP="00387142">
            <w:pPr>
              <w:jc w:val="center"/>
              <w:rPr>
                <w:sz w:val="20"/>
                <w:szCs w:val="20"/>
              </w:rPr>
            </w:pPr>
            <w:r w:rsidRPr="008B6A75">
              <w:rPr>
                <w:sz w:val="20"/>
                <w:szCs w:val="20"/>
              </w:rPr>
              <w:t>02</w:t>
            </w:r>
          </w:p>
        </w:tc>
        <w:tc>
          <w:tcPr>
            <w:tcW w:w="1516" w:type="dxa"/>
            <w:tcBorders>
              <w:top w:val="nil"/>
              <w:left w:val="single" w:sz="4" w:space="0" w:color="auto"/>
              <w:bottom w:val="single" w:sz="4" w:space="0" w:color="auto"/>
              <w:right w:val="nil"/>
            </w:tcBorders>
            <w:shd w:val="clear" w:color="auto" w:fill="auto"/>
            <w:noWrap/>
            <w:vAlign w:val="center"/>
            <w:hideMark/>
          </w:tcPr>
          <w:p w14:paraId="05181F90" w14:textId="77777777" w:rsidR="00387142" w:rsidRPr="008B6A75" w:rsidRDefault="00387142" w:rsidP="00387142">
            <w:pPr>
              <w:jc w:val="center"/>
              <w:rPr>
                <w:sz w:val="20"/>
                <w:szCs w:val="20"/>
              </w:rPr>
            </w:pPr>
            <w:r w:rsidRPr="008B6A75">
              <w:rPr>
                <w:sz w:val="20"/>
                <w:szCs w:val="20"/>
              </w:rPr>
              <w:t>07.1.00.70120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97F8EEA" w14:textId="77777777" w:rsidR="00387142" w:rsidRPr="008B6A75" w:rsidRDefault="00387142" w:rsidP="00387142">
            <w:pPr>
              <w:jc w:val="center"/>
              <w:rPr>
                <w:sz w:val="20"/>
                <w:szCs w:val="20"/>
              </w:rPr>
            </w:pPr>
            <w:r w:rsidRPr="008B6A75">
              <w:rPr>
                <w:sz w:val="20"/>
                <w:szCs w:val="20"/>
              </w:rPr>
              <w:t>100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D9A51F0" w14:textId="77777777" w:rsidR="00387142" w:rsidRPr="008B6A75" w:rsidRDefault="00387142" w:rsidP="00387142">
            <w:pPr>
              <w:jc w:val="right"/>
              <w:rPr>
                <w:sz w:val="20"/>
                <w:szCs w:val="20"/>
              </w:rPr>
            </w:pPr>
            <w:r w:rsidRPr="008B6A75">
              <w:rPr>
                <w:sz w:val="20"/>
                <w:szCs w:val="20"/>
              </w:rPr>
              <w:t>200 204 137,60</w:t>
            </w:r>
          </w:p>
        </w:tc>
        <w:tc>
          <w:tcPr>
            <w:tcW w:w="992" w:type="dxa"/>
            <w:tcBorders>
              <w:top w:val="nil"/>
              <w:left w:val="single" w:sz="4" w:space="0" w:color="auto"/>
              <w:bottom w:val="single" w:sz="4" w:space="0" w:color="auto"/>
              <w:right w:val="nil"/>
            </w:tcBorders>
            <w:shd w:val="clear" w:color="auto" w:fill="auto"/>
            <w:vAlign w:val="center"/>
            <w:hideMark/>
          </w:tcPr>
          <w:p w14:paraId="24466777" w14:textId="77777777" w:rsidR="00387142" w:rsidRPr="008B6A75" w:rsidRDefault="00387142" w:rsidP="00387142">
            <w:pPr>
              <w:jc w:val="right"/>
              <w:rPr>
                <w:sz w:val="20"/>
                <w:szCs w:val="20"/>
              </w:rPr>
            </w:pPr>
            <w:r w:rsidRPr="008B6A75">
              <w:rPr>
                <w:sz w:val="20"/>
                <w:szCs w:val="20"/>
              </w:rPr>
              <w:t>227 544 521,03</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3BFBFCB3" w14:textId="77777777" w:rsidR="00387142" w:rsidRPr="008B6A75" w:rsidRDefault="00387142" w:rsidP="00387142">
            <w:pPr>
              <w:jc w:val="right"/>
              <w:rPr>
                <w:sz w:val="20"/>
                <w:szCs w:val="20"/>
              </w:rPr>
            </w:pPr>
            <w:r w:rsidRPr="008B6A75">
              <w:rPr>
                <w:sz w:val="20"/>
                <w:szCs w:val="20"/>
              </w:rPr>
              <w:t>256 933 620,03</w:t>
            </w:r>
          </w:p>
        </w:tc>
      </w:tr>
      <w:tr w:rsidR="00387142" w:rsidRPr="008B6A75" w14:paraId="19251804" w14:textId="77777777" w:rsidTr="00387142">
        <w:trPr>
          <w:trHeight w:val="585"/>
        </w:trPr>
        <w:tc>
          <w:tcPr>
            <w:tcW w:w="3261" w:type="dxa"/>
            <w:tcBorders>
              <w:top w:val="nil"/>
              <w:left w:val="single" w:sz="4" w:space="0" w:color="auto"/>
              <w:bottom w:val="single" w:sz="4" w:space="0" w:color="auto"/>
              <w:right w:val="nil"/>
            </w:tcBorders>
            <w:shd w:val="clear" w:color="auto" w:fill="auto"/>
            <w:vAlign w:val="center"/>
            <w:hideMark/>
          </w:tcPr>
          <w:p w14:paraId="7FA029DD" w14:textId="77777777" w:rsidR="00387142" w:rsidRPr="008B6A75" w:rsidRDefault="00387142" w:rsidP="00387142">
            <w:pPr>
              <w:rPr>
                <w:sz w:val="20"/>
                <w:szCs w:val="20"/>
              </w:rPr>
            </w:pPr>
            <w:r w:rsidRPr="008B6A75">
              <w:rPr>
                <w:sz w:val="20"/>
                <w:szCs w:val="20"/>
              </w:rPr>
              <w:t>Расходы на выплаты персоналу казенных учреждений</w:t>
            </w:r>
          </w:p>
        </w:tc>
        <w:tc>
          <w:tcPr>
            <w:tcW w:w="720" w:type="dxa"/>
            <w:tcBorders>
              <w:top w:val="nil"/>
              <w:left w:val="single" w:sz="4" w:space="0" w:color="auto"/>
              <w:bottom w:val="single" w:sz="4" w:space="0" w:color="auto"/>
              <w:right w:val="nil"/>
            </w:tcBorders>
            <w:shd w:val="clear" w:color="auto" w:fill="auto"/>
            <w:noWrap/>
            <w:vAlign w:val="center"/>
            <w:hideMark/>
          </w:tcPr>
          <w:p w14:paraId="3E72FE78" w14:textId="77777777" w:rsidR="00387142" w:rsidRPr="008B6A75" w:rsidRDefault="00387142" w:rsidP="00387142">
            <w:pPr>
              <w:jc w:val="center"/>
              <w:rPr>
                <w:sz w:val="20"/>
                <w:szCs w:val="20"/>
              </w:rPr>
            </w:pPr>
            <w:r w:rsidRPr="008B6A75">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C990CBF" w14:textId="77777777" w:rsidR="00387142" w:rsidRPr="008B6A75" w:rsidRDefault="00387142" w:rsidP="00387142">
            <w:pPr>
              <w:jc w:val="center"/>
              <w:rPr>
                <w:sz w:val="20"/>
                <w:szCs w:val="20"/>
              </w:rPr>
            </w:pPr>
            <w:r w:rsidRPr="008B6A75">
              <w:rPr>
                <w:sz w:val="20"/>
                <w:szCs w:val="20"/>
              </w:rPr>
              <w:t>02</w:t>
            </w:r>
          </w:p>
        </w:tc>
        <w:tc>
          <w:tcPr>
            <w:tcW w:w="1516" w:type="dxa"/>
            <w:tcBorders>
              <w:top w:val="nil"/>
              <w:left w:val="single" w:sz="4" w:space="0" w:color="auto"/>
              <w:bottom w:val="single" w:sz="4" w:space="0" w:color="auto"/>
              <w:right w:val="nil"/>
            </w:tcBorders>
            <w:shd w:val="clear" w:color="auto" w:fill="auto"/>
            <w:noWrap/>
            <w:vAlign w:val="center"/>
            <w:hideMark/>
          </w:tcPr>
          <w:p w14:paraId="768ADC57" w14:textId="77777777" w:rsidR="00387142" w:rsidRPr="008B6A75" w:rsidRDefault="00387142" w:rsidP="00387142">
            <w:pPr>
              <w:jc w:val="center"/>
              <w:rPr>
                <w:sz w:val="20"/>
                <w:szCs w:val="20"/>
              </w:rPr>
            </w:pPr>
            <w:r w:rsidRPr="008B6A75">
              <w:rPr>
                <w:sz w:val="20"/>
                <w:szCs w:val="20"/>
              </w:rPr>
              <w:t>07.1.00.70120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833F775" w14:textId="77777777" w:rsidR="00387142" w:rsidRPr="008B6A75" w:rsidRDefault="00387142" w:rsidP="00387142">
            <w:pPr>
              <w:jc w:val="center"/>
              <w:rPr>
                <w:sz w:val="20"/>
                <w:szCs w:val="20"/>
              </w:rPr>
            </w:pPr>
            <w:r w:rsidRPr="008B6A75">
              <w:rPr>
                <w:sz w:val="20"/>
                <w:szCs w:val="20"/>
              </w:rPr>
              <w:t>110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CA9151B" w14:textId="77777777" w:rsidR="00387142" w:rsidRPr="008B6A75" w:rsidRDefault="00387142" w:rsidP="00387142">
            <w:pPr>
              <w:jc w:val="right"/>
              <w:rPr>
                <w:sz w:val="20"/>
                <w:szCs w:val="20"/>
              </w:rPr>
            </w:pPr>
            <w:r w:rsidRPr="008B6A75">
              <w:rPr>
                <w:sz w:val="20"/>
                <w:szCs w:val="20"/>
              </w:rPr>
              <w:t>200 204 137,60</w:t>
            </w:r>
          </w:p>
        </w:tc>
        <w:tc>
          <w:tcPr>
            <w:tcW w:w="992" w:type="dxa"/>
            <w:tcBorders>
              <w:top w:val="nil"/>
              <w:left w:val="single" w:sz="4" w:space="0" w:color="auto"/>
              <w:bottom w:val="single" w:sz="4" w:space="0" w:color="auto"/>
              <w:right w:val="nil"/>
            </w:tcBorders>
            <w:shd w:val="clear" w:color="auto" w:fill="auto"/>
            <w:vAlign w:val="center"/>
            <w:hideMark/>
          </w:tcPr>
          <w:p w14:paraId="4D9B58DE" w14:textId="77777777" w:rsidR="00387142" w:rsidRPr="008B6A75" w:rsidRDefault="00387142" w:rsidP="00387142">
            <w:pPr>
              <w:jc w:val="right"/>
              <w:rPr>
                <w:sz w:val="20"/>
                <w:szCs w:val="20"/>
              </w:rPr>
            </w:pPr>
            <w:r w:rsidRPr="008B6A75">
              <w:rPr>
                <w:sz w:val="20"/>
                <w:szCs w:val="20"/>
              </w:rPr>
              <w:t>227 544 521,03</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5BAD0EFE" w14:textId="77777777" w:rsidR="00387142" w:rsidRPr="008B6A75" w:rsidRDefault="00387142" w:rsidP="00387142">
            <w:pPr>
              <w:jc w:val="right"/>
              <w:rPr>
                <w:sz w:val="20"/>
                <w:szCs w:val="20"/>
              </w:rPr>
            </w:pPr>
            <w:r w:rsidRPr="008B6A75">
              <w:rPr>
                <w:sz w:val="20"/>
                <w:szCs w:val="20"/>
              </w:rPr>
              <w:t>256 933 620,03</w:t>
            </w:r>
          </w:p>
        </w:tc>
      </w:tr>
      <w:tr w:rsidR="00387142" w:rsidRPr="008B6A75" w14:paraId="5ED0134A" w14:textId="77777777" w:rsidTr="00387142">
        <w:trPr>
          <w:trHeight w:val="585"/>
        </w:trPr>
        <w:tc>
          <w:tcPr>
            <w:tcW w:w="3261" w:type="dxa"/>
            <w:tcBorders>
              <w:top w:val="nil"/>
              <w:left w:val="single" w:sz="4" w:space="0" w:color="auto"/>
              <w:bottom w:val="single" w:sz="4" w:space="0" w:color="auto"/>
              <w:right w:val="nil"/>
            </w:tcBorders>
            <w:shd w:val="clear" w:color="auto" w:fill="auto"/>
            <w:vAlign w:val="center"/>
            <w:hideMark/>
          </w:tcPr>
          <w:p w14:paraId="3F1720F4" w14:textId="77777777" w:rsidR="00387142" w:rsidRPr="008B6A75" w:rsidRDefault="00387142" w:rsidP="00387142">
            <w:pPr>
              <w:rPr>
                <w:sz w:val="20"/>
                <w:szCs w:val="20"/>
              </w:rPr>
            </w:pPr>
            <w:r w:rsidRPr="008B6A75">
              <w:rPr>
                <w:sz w:val="20"/>
                <w:szCs w:val="20"/>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7557FFC3" w14:textId="77777777" w:rsidR="00387142" w:rsidRPr="008B6A75" w:rsidRDefault="00387142" w:rsidP="00387142">
            <w:pPr>
              <w:jc w:val="center"/>
              <w:rPr>
                <w:sz w:val="20"/>
                <w:szCs w:val="20"/>
              </w:rPr>
            </w:pPr>
            <w:r w:rsidRPr="008B6A75">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BFBD4D9" w14:textId="77777777" w:rsidR="00387142" w:rsidRPr="008B6A75" w:rsidRDefault="00387142" w:rsidP="00387142">
            <w:pPr>
              <w:jc w:val="center"/>
              <w:rPr>
                <w:sz w:val="20"/>
                <w:szCs w:val="20"/>
              </w:rPr>
            </w:pPr>
            <w:r w:rsidRPr="008B6A75">
              <w:rPr>
                <w:sz w:val="20"/>
                <w:szCs w:val="20"/>
              </w:rPr>
              <w:t>02</w:t>
            </w:r>
          </w:p>
        </w:tc>
        <w:tc>
          <w:tcPr>
            <w:tcW w:w="1516" w:type="dxa"/>
            <w:tcBorders>
              <w:top w:val="nil"/>
              <w:left w:val="single" w:sz="4" w:space="0" w:color="auto"/>
              <w:bottom w:val="single" w:sz="4" w:space="0" w:color="auto"/>
              <w:right w:val="nil"/>
            </w:tcBorders>
            <w:shd w:val="clear" w:color="auto" w:fill="auto"/>
            <w:noWrap/>
            <w:vAlign w:val="center"/>
            <w:hideMark/>
          </w:tcPr>
          <w:p w14:paraId="17217029" w14:textId="77777777" w:rsidR="00387142" w:rsidRPr="008B6A75" w:rsidRDefault="00387142" w:rsidP="00387142">
            <w:pPr>
              <w:jc w:val="center"/>
              <w:rPr>
                <w:sz w:val="20"/>
                <w:szCs w:val="20"/>
              </w:rPr>
            </w:pPr>
            <w:r w:rsidRPr="008B6A75">
              <w:rPr>
                <w:sz w:val="20"/>
                <w:szCs w:val="20"/>
              </w:rPr>
              <w:t>07.1.00.70120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8D89AE0" w14:textId="77777777" w:rsidR="00387142" w:rsidRPr="008B6A75" w:rsidRDefault="00387142" w:rsidP="00387142">
            <w:pPr>
              <w:jc w:val="center"/>
              <w:rPr>
                <w:sz w:val="20"/>
                <w:szCs w:val="20"/>
              </w:rPr>
            </w:pPr>
            <w:r w:rsidRPr="008B6A75">
              <w:rPr>
                <w:sz w:val="20"/>
                <w:szCs w:val="20"/>
              </w:rPr>
              <w:t>200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8BA763E" w14:textId="77777777" w:rsidR="00387142" w:rsidRPr="008B6A75" w:rsidRDefault="00387142" w:rsidP="00387142">
            <w:pPr>
              <w:jc w:val="right"/>
              <w:rPr>
                <w:sz w:val="20"/>
                <w:szCs w:val="20"/>
              </w:rPr>
            </w:pPr>
            <w:r w:rsidRPr="008B6A75">
              <w:rPr>
                <w:sz w:val="20"/>
                <w:szCs w:val="20"/>
              </w:rPr>
              <w:t>3 367 362,32</w:t>
            </w:r>
          </w:p>
        </w:tc>
        <w:tc>
          <w:tcPr>
            <w:tcW w:w="992" w:type="dxa"/>
            <w:tcBorders>
              <w:top w:val="nil"/>
              <w:left w:val="single" w:sz="4" w:space="0" w:color="auto"/>
              <w:bottom w:val="single" w:sz="4" w:space="0" w:color="auto"/>
              <w:right w:val="nil"/>
            </w:tcBorders>
            <w:shd w:val="clear" w:color="auto" w:fill="auto"/>
            <w:vAlign w:val="center"/>
            <w:hideMark/>
          </w:tcPr>
          <w:p w14:paraId="1456ED89" w14:textId="77777777" w:rsidR="00387142" w:rsidRPr="008B6A75" w:rsidRDefault="00387142" w:rsidP="00387142">
            <w:pPr>
              <w:jc w:val="right"/>
              <w:rPr>
                <w:sz w:val="20"/>
                <w:szCs w:val="20"/>
              </w:rPr>
            </w:pPr>
            <w:r w:rsidRPr="008B6A75">
              <w:rPr>
                <w:sz w:val="20"/>
                <w:szCs w:val="20"/>
              </w:rPr>
              <w:t>3 425 600,00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65E35F68" w14:textId="77777777" w:rsidR="00387142" w:rsidRPr="008B6A75" w:rsidRDefault="00387142" w:rsidP="00387142">
            <w:pPr>
              <w:jc w:val="right"/>
              <w:rPr>
                <w:sz w:val="20"/>
                <w:szCs w:val="20"/>
              </w:rPr>
            </w:pPr>
            <w:r w:rsidRPr="008B6A75">
              <w:rPr>
                <w:sz w:val="20"/>
                <w:szCs w:val="20"/>
              </w:rPr>
              <w:t>3 425 600,00</w:t>
            </w:r>
          </w:p>
        </w:tc>
      </w:tr>
      <w:tr w:rsidR="00387142" w:rsidRPr="008B6A75" w14:paraId="4A3833BF" w14:textId="77777777" w:rsidTr="00387142">
        <w:trPr>
          <w:trHeight w:val="870"/>
        </w:trPr>
        <w:tc>
          <w:tcPr>
            <w:tcW w:w="3261" w:type="dxa"/>
            <w:tcBorders>
              <w:top w:val="nil"/>
              <w:left w:val="single" w:sz="4" w:space="0" w:color="auto"/>
              <w:bottom w:val="single" w:sz="4" w:space="0" w:color="auto"/>
              <w:right w:val="nil"/>
            </w:tcBorders>
            <w:shd w:val="clear" w:color="auto" w:fill="auto"/>
            <w:vAlign w:val="center"/>
            <w:hideMark/>
          </w:tcPr>
          <w:p w14:paraId="6F80D70B" w14:textId="77777777" w:rsidR="00387142" w:rsidRPr="008B6A75" w:rsidRDefault="00387142" w:rsidP="00387142">
            <w:pPr>
              <w:rPr>
                <w:sz w:val="20"/>
                <w:szCs w:val="20"/>
              </w:rPr>
            </w:pPr>
            <w:r w:rsidRPr="008B6A75">
              <w:rPr>
                <w:sz w:val="20"/>
                <w:szCs w:val="20"/>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3CC6C70B" w14:textId="77777777" w:rsidR="00387142" w:rsidRPr="008B6A75" w:rsidRDefault="00387142" w:rsidP="00387142">
            <w:pPr>
              <w:jc w:val="center"/>
              <w:rPr>
                <w:sz w:val="20"/>
                <w:szCs w:val="20"/>
              </w:rPr>
            </w:pPr>
            <w:r w:rsidRPr="008B6A75">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0CEC930" w14:textId="77777777" w:rsidR="00387142" w:rsidRPr="008B6A75" w:rsidRDefault="00387142" w:rsidP="00387142">
            <w:pPr>
              <w:jc w:val="center"/>
              <w:rPr>
                <w:sz w:val="20"/>
                <w:szCs w:val="20"/>
              </w:rPr>
            </w:pPr>
            <w:r w:rsidRPr="008B6A75">
              <w:rPr>
                <w:sz w:val="20"/>
                <w:szCs w:val="20"/>
              </w:rPr>
              <w:t>02</w:t>
            </w:r>
          </w:p>
        </w:tc>
        <w:tc>
          <w:tcPr>
            <w:tcW w:w="1516" w:type="dxa"/>
            <w:tcBorders>
              <w:top w:val="nil"/>
              <w:left w:val="single" w:sz="4" w:space="0" w:color="auto"/>
              <w:bottom w:val="single" w:sz="4" w:space="0" w:color="auto"/>
              <w:right w:val="nil"/>
            </w:tcBorders>
            <w:shd w:val="clear" w:color="auto" w:fill="auto"/>
            <w:noWrap/>
            <w:vAlign w:val="center"/>
            <w:hideMark/>
          </w:tcPr>
          <w:p w14:paraId="08090843" w14:textId="77777777" w:rsidR="00387142" w:rsidRPr="008B6A75" w:rsidRDefault="00387142" w:rsidP="00387142">
            <w:pPr>
              <w:jc w:val="center"/>
              <w:rPr>
                <w:sz w:val="20"/>
                <w:szCs w:val="20"/>
              </w:rPr>
            </w:pPr>
            <w:r w:rsidRPr="008B6A75">
              <w:rPr>
                <w:sz w:val="20"/>
                <w:szCs w:val="20"/>
              </w:rPr>
              <w:t>07.1.00.70120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D8EB34D" w14:textId="77777777" w:rsidR="00387142" w:rsidRPr="008B6A75" w:rsidRDefault="00387142" w:rsidP="00387142">
            <w:pPr>
              <w:jc w:val="center"/>
              <w:rPr>
                <w:sz w:val="20"/>
                <w:szCs w:val="20"/>
              </w:rPr>
            </w:pPr>
            <w:r w:rsidRPr="008B6A75">
              <w:rPr>
                <w:sz w:val="20"/>
                <w:szCs w:val="20"/>
              </w:rPr>
              <w:t>240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6817D52" w14:textId="77777777" w:rsidR="00387142" w:rsidRPr="008B6A75" w:rsidRDefault="00387142" w:rsidP="00387142">
            <w:pPr>
              <w:jc w:val="right"/>
              <w:rPr>
                <w:sz w:val="20"/>
                <w:szCs w:val="20"/>
              </w:rPr>
            </w:pPr>
            <w:r w:rsidRPr="008B6A75">
              <w:rPr>
                <w:sz w:val="20"/>
                <w:szCs w:val="20"/>
              </w:rPr>
              <w:t>3 367 362,32</w:t>
            </w:r>
          </w:p>
        </w:tc>
        <w:tc>
          <w:tcPr>
            <w:tcW w:w="992" w:type="dxa"/>
            <w:tcBorders>
              <w:top w:val="nil"/>
              <w:left w:val="single" w:sz="4" w:space="0" w:color="auto"/>
              <w:bottom w:val="single" w:sz="4" w:space="0" w:color="auto"/>
              <w:right w:val="nil"/>
            </w:tcBorders>
            <w:shd w:val="clear" w:color="auto" w:fill="auto"/>
            <w:vAlign w:val="center"/>
            <w:hideMark/>
          </w:tcPr>
          <w:p w14:paraId="70B17F4A" w14:textId="77777777" w:rsidR="00387142" w:rsidRPr="008B6A75" w:rsidRDefault="00387142" w:rsidP="00387142">
            <w:pPr>
              <w:jc w:val="right"/>
              <w:rPr>
                <w:sz w:val="20"/>
                <w:szCs w:val="20"/>
              </w:rPr>
            </w:pPr>
            <w:r w:rsidRPr="008B6A75">
              <w:rPr>
                <w:sz w:val="20"/>
                <w:szCs w:val="20"/>
              </w:rPr>
              <w:t>3 425 600,00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646D252E" w14:textId="77777777" w:rsidR="00387142" w:rsidRPr="008B6A75" w:rsidRDefault="00387142" w:rsidP="00387142">
            <w:pPr>
              <w:jc w:val="right"/>
              <w:rPr>
                <w:sz w:val="20"/>
                <w:szCs w:val="20"/>
              </w:rPr>
            </w:pPr>
            <w:r w:rsidRPr="008B6A75">
              <w:rPr>
                <w:sz w:val="20"/>
                <w:szCs w:val="20"/>
              </w:rPr>
              <w:t>3 425 600,00</w:t>
            </w:r>
          </w:p>
        </w:tc>
      </w:tr>
      <w:tr w:rsidR="00387142" w:rsidRPr="008B6A75" w14:paraId="39ACFF26" w14:textId="77777777" w:rsidTr="00387142">
        <w:trPr>
          <w:trHeight w:val="870"/>
        </w:trPr>
        <w:tc>
          <w:tcPr>
            <w:tcW w:w="3261" w:type="dxa"/>
            <w:tcBorders>
              <w:top w:val="nil"/>
              <w:left w:val="single" w:sz="4" w:space="0" w:color="auto"/>
              <w:bottom w:val="single" w:sz="4" w:space="0" w:color="auto"/>
              <w:right w:val="nil"/>
            </w:tcBorders>
            <w:shd w:val="clear" w:color="auto" w:fill="auto"/>
            <w:vAlign w:val="center"/>
            <w:hideMark/>
          </w:tcPr>
          <w:p w14:paraId="6925FEA6" w14:textId="77777777" w:rsidR="00387142" w:rsidRPr="008B6A75" w:rsidRDefault="00387142" w:rsidP="00387142">
            <w:pPr>
              <w:rPr>
                <w:sz w:val="20"/>
                <w:szCs w:val="20"/>
              </w:rPr>
            </w:pPr>
            <w:r w:rsidRPr="008B6A75">
              <w:rPr>
                <w:sz w:val="20"/>
                <w:szCs w:val="20"/>
              </w:rPr>
              <w:t>Предоставление субсидий бюджетным, автономным учреждениям и иным некоммерческим организациям</w:t>
            </w:r>
          </w:p>
        </w:tc>
        <w:tc>
          <w:tcPr>
            <w:tcW w:w="720" w:type="dxa"/>
            <w:tcBorders>
              <w:top w:val="nil"/>
              <w:left w:val="single" w:sz="4" w:space="0" w:color="auto"/>
              <w:bottom w:val="single" w:sz="4" w:space="0" w:color="auto"/>
              <w:right w:val="nil"/>
            </w:tcBorders>
            <w:shd w:val="clear" w:color="auto" w:fill="auto"/>
            <w:noWrap/>
            <w:vAlign w:val="center"/>
            <w:hideMark/>
          </w:tcPr>
          <w:p w14:paraId="71A72575" w14:textId="77777777" w:rsidR="00387142" w:rsidRPr="008B6A75" w:rsidRDefault="00387142" w:rsidP="00387142">
            <w:pPr>
              <w:jc w:val="center"/>
              <w:rPr>
                <w:sz w:val="20"/>
                <w:szCs w:val="20"/>
              </w:rPr>
            </w:pPr>
            <w:r w:rsidRPr="008B6A75">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454DCB6" w14:textId="77777777" w:rsidR="00387142" w:rsidRPr="008B6A75" w:rsidRDefault="00387142" w:rsidP="00387142">
            <w:pPr>
              <w:jc w:val="center"/>
              <w:rPr>
                <w:sz w:val="20"/>
                <w:szCs w:val="20"/>
              </w:rPr>
            </w:pPr>
            <w:r w:rsidRPr="008B6A75">
              <w:rPr>
                <w:sz w:val="20"/>
                <w:szCs w:val="20"/>
              </w:rPr>
              <w:t>02</w:t>
            </w:r>
          </w:p>
        </w:tc>
        <w:tc>
          <w:tcPr>
            <w:tcW w:w="1516" w:type="dxa"/>
            <w:tcBorders>
              <w:top w:val="nil"/>
              <w:left w:val="single" w:sz="4" w:space="0" w:color="auto"/>
              <w:bottom w:val="single" w:sz="4" w:space="0" w:color="auto"/>
              <w:right w:val="nil"/>
            </w:tcBorders>
            <w:shd w:val="clear" w:color="auto" w:fill="auto"/>
            <w:noWrap/>
            <w:vAlign w:val="center"/>
            <w:hideMark/>
          </w:tcPr>
          <w:p w14:paraId="36A3F87A" w14:textId="77777777" w:rsidR="00387142" w:rsidRPr="008B6A75" w:rsidRDefault="00387142" w:rsidP="00387142">
            <w:pPr>
              <w:jc w:val="center"/>
              <w:rPr>
                <w:sz w:val="20"/>
                <w:szCs w:val="20"/>
              </w:rPr>
            </w:pPr>
            <w:r w:rsidRPr="008B6A75">
              <w:rPr>
                <w:sz w:val="20"/>
                <w:szCs w:val="20"/>
              </w:rPr>
              <w:t>07.1.00.70120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B80294D" w14:textId="77777777" w:rsidR="00387142" w:rsidRPr="008B6A75" w:rsidRDefault="00387142" w:rsidP="00387142">
            <w:pPr>
              <w:jc w:val="center"/>
              <w:rPr>
                <w:sz w:val="20"/>
                <w:szCs w:val="20"/>
              </w:rPr>
            </w:pPr>
            <w:r w:rsidRPr="008B6A75">
              <w:rPr>
                <w:sz w:val="20"/>
                <w:szCs w:val="20"/>
              </w:rPr>
              <w:t>600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EBD45AB" w14:textId="77777777" w:rsidR="00387142" w:rsidRPr="008B6A75" w:rsidRDefault="00387142" w:rsidP="00387142">
            <w:pPr>
              <w:jc w:val="right"/>
              <w:rPr>
                <w:sz w:val="20"/>
                <w:szCs w:val="20"/>
              </w:rPr>
            </w:pPr>
            <w:r w:rsidRPr="008B6A75">
              <w:rPr>
                <w:sz w:val="20"/>
                <w:szCs w:val="20"/>
              </w:rPr>
              <w:t>222 392 200,08</w:t>
            </w:r>
          </w:p>
        </w:tc>
        <w:tc>
          <w:tcPr>
            <w:tcW w:w="992" w:type="dxa"/>
            <w:tcBorders>
              <w:top w:val="nil"/>
              <w:left w:val="single" w:sz="4" w:space="0" w:color="auto"/>
              <w:bottom w:val="single" w:sz="4" w:space="0" w:color="auto"/>
              <w:right w:val="nil"/>
            </w:tcBorders>
            <w:shd w:val="clear" w:color="auto" w:fill="auto"/>
            <w:vAlign w:val="center"/>
            <w:hideMark/>
          </w:tcPr>
          <w:p w14:paraId="0E266AAB" w14:textId="77777777" w:rsidR="00387142" w:rsidRPr="008B6A75" w:rsidRDefault="00387142" w:rsidP="00387142">
            <w:pPr>
              <w:jc w:val="right"/>
              <w:rPr>
                <w:sz w:val="20"/>
                <w:szCs w:val="20"/>
              </w:rPr>
            </w:pPr>
            <w:r w:rsidRPr="008B6A75">
              <w:rPr>
                <w:sz w:val="20"/>
                <w:szCs w:val="20"/>
              </w:rPr>
              <w:t>208 451 578,97</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72D6E8C7" w14:textId="77777777" w:rsidR="00387142" w:rsidRPr="008B6A75" w:rsidRDefault="00387142" w:rsidP="00387142">
            <w:pPr>
              <w:jc w:val="right"/>
              <w:rPr>
                <w:sz w:val="20"/>
                <w:szCs w:val="20"/>
              </w:rPr>
            </w:pPr>
            <w:r w:rsidRPr="008B6A75">
              <w:rPr>
                <w:sz w:val="20"/>
                <w:szCs w:val="20"/>
              </w:rPr>
              <w:t>208 451 579,97</w:t>
            </w:r>
          </w:p>
        </w:tc>
      </w:tr>
      <w:tr w:rsidR="00387142" w:rsidRPr="008B6A75" w14:paraId="301B7B6D" w14:textId="77777777" w:rsidTr="00387142">
        <w:trPr>
          <w:trHeight w:val="345"/>
        </w:trPr>
        <w:tc>
          <w:tcPr>
            <w:tcW w:w="3261" w:type="dxa"/>
            <w:tcBorders>
              <w:top w:val="nil"/>
              <w:left w:val="single" w:sz="4" w:space="0" w:color="auto"/>
              <w:bottom w:val="single" w:sz="4" w:space="0" w:color="auto"/>
              <w:right w:val="nil"/>
            </w:tcBorders>
            <w:shd w:val="clear" w:color="auto" w:fill="auto"/>
            <w:vAlign w:val="center"/>
            <w:hideMark/>
          </w:tcPr>
          <w:p w14:paraId="3CC51B2A" w14:textId="77777777" w:rsidR="00387142" w:rsidRPr="008B6A75" w:rsidRDefault="00387142" w:rsidP="00387142">
            <w:pPr>
              <w:rPr>
                <w:sz w:val="20"/>
                <w:szCs w:val="20"/>
              </w:rPr>
            </w:pPr>
            <w:r w:rsidRPr="008B6A75">
              <w:rPr>
                <w:sz w:val="20"/>
                <w:szCs w:val="20"/>
              </w:rPr>
              <w:t>Субсидии бюджетным учреждениям</w:t>
            </w:r>
          </w:p>
        </w:tc>
        <w:tc>
          <w:tcPr>
            <w:tcW w:w="720" w:type="dxa"/>
            <w:tcBorders>
              <w:top w:val="nil"/>
              <w:left w:val="single" w:sz="4" w:space="0" w:color="auto"/>
              <w:bottom w:val="single" w:sz="4" w:space="0" w:color="auto"/>
              <w:right w:val="nil"/>
            </w:tcBorders>
            <w:shd w:val="clear" w:color="auto" w:fill="auto"/>
            <w:noWrap/>
            <w:vAlign w:val="center"/>
            <w:hideMark/>
          </w:tcPr>
          <w:p w14:paraId="70AFE33C" w14:textId="77777777" w:rsidR="00387142" w:rsidRPr="008B6A75" w:rsidRDefault="00387142" w:rsidP="00387142">
            <w:pPr>
              <w:jc w:val="center"/>
              <w:rPr>
                <w:sz w:val="20"/>
                <w:szCs w:val="20"/>
              </w:rPr>
            </w:pPr>
            <w:r w:rsidRPr="008B6A75">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6AD71DB" w14:textId="77777777" w:rsidR="00387142" w:rsidRPr="008B6A75" w:rsidRDefault="00387142" w:rsidP="00387142">
            <w:pPr>
              <w:jc w:val="center"/>
              <w:rPr>
                <w:sz w:val="20"/>
                <w:szCs w:val="20"/>
              </w:rPr>
            </w:pPr>
            <w:r w:rsidRPr="008B6A75">
              <w:rPr>
                <w:sz w:val="20"/>
                <w:szCs w:val="20"/>
              </w:rPr>
              <w:t>02</w:t>
            </w:r>
          </w:p>
        </w:tc>
        <w:tc>
          <w:tcPr>
            <w:tcW w:w="1516" w:type="dxa"/>
            <w:tcBorders>
              <w:top w:val="nil"/>
              <w:left w:val="single" w:sz="4" w:space="0" w:color="auto"/>
              <w:bottom w:val="single" w:sz="4" w:space="0" w:color="auto"/>
              <w:right w:val="nil"/>
            </w:tcBorders>
            <w:shd w:val="clear" w:color="auto" w:fill="auto"/>
            <w:noWrap/>
            <w:vAlign w:val="center"/>
            <w:hideMark/>
          </w:tcPr>
          <w:p w14:paraId="66F5982D" w14:textId="77777777" w:rsidR="00387142" w:rsidRPr="008B6A75" w:rsidRDefault="00387142" w:rsidP="00387142">
            <w:pPr>
              <w:jc w:val="center"/>
              <w:rPr>
                <w:sz w:val="20"/>
                <w:szCs w:val="20"/>
              </w:rPr>
            </w:pPr>
            <w:r w:rsidRPr="008B6A75">
              <w:rPr>
                <w:sz w:val="20"/>
                <w:szCs w:val="20"/>
              </w:rPr>
              <w:t>07.1.00.70120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6DBEA55" w14:textId="77777777" w:rsidR="00387142" w:rsidRPr="008B6A75" w:rsidRDefault="00387142" w:rsidP="00387142">
            <w:pPr>
              <w:jc w:val="center"/>
              <w:rPr>
                <w:sz w:val="20"/>
                <w:szCs w:val="20"/>
              </w:rPr>
            </w:pPr>
            <w:r w:rsidRPr="008B6A75">
              <w:rPr>
                <w:sz w:val="20"/>
                <w:szCs w:val="20"/>
              </w:rPr>
              <w:t>610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DB9C5F9" w14:textId="77777777" w:rsidR="00387142" w:rsidRPr="008B6A75" w:rsidRDefault="00387142" w:rsidP="00387142">
            <w:pPr>
              <w:jc w:val="right"/>
              <w:rPr>
                <w:sz w:val="20"/>
                <w:szCs w:val="20"/>
              </w:rPr>
            </w:pPr>
            <w:r w:rsidRPr="008B6A75">
              <w:rPr>
                <w:sz w:val="20"/>
                <w:szCs w:val="20"/>
              </w:rPr>
              <w:t>222 392 200,08</w:t>
            </w:r>
          </w:p>
        </w:tc>
        <w:tc>
          <w:tcPr>
            <w:tcW w:w="992" w:type="dxa"/>
            <w:tcBorders>
              <w:top w:val="nil"/>
              <w:left w:val="single" w:sz="4" w:space="0" w:color="auto"/>
              <w:bottom w:val="single" w:sz="4" w:space="0" w:color="auto"/>
              <w:right w:val="nil"/>
            </w:tcBorders>
            <w:shd w:val="clear" w:color="auto" w:fill="auto"/>
            <w:vAlign w:val="center"/>
            <w:hideMark/>
          </w:tcPr>
          <w:p w14:paraId="0AECCE7B" w14:textId="77777777" w:rsidR="00387142" w:rsidRPr="008B6A75" w:rsidRDefault="00387142" w:rsidP="00387142">
            <w:pPr>
              <w:jc w:val="right"/>
              <w:rPr>
                <w:sz w:val="20"/>
                <w:szCs w:val="20"/>
              </w:rPr>
            </w:pPr>
            <w:r w:rsidRPr="008B6A75">
              <w:rPr>
                <w:sz w:val="20"/>
                <w:szCs w:val="20"/>
              </w:rPr>
              <w:t>208 451 578,97</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39BA0340" w14:textId="77777777" w:rsidR="00387142" w:rsidRPr="008B6A75" w:rsidRDefault="00387142" w:rsidP="00387142">
            <w:pPr>
              <w:jc w:val="right"/>
              <w:rPr>
                <w:sz w:val="20"/>
                <w:szCs w:val="20"/>
              </w:rPr>
            </w:pPr>
            <w:r w:rsidRPr="008B6A75">
              <w:rPr>
                <w:sz w:val="20"/>
                <w:szCs w:val="20"/>
              </w:rPr>
              <w:t>208 451 579,97</w:t>
            </w:r>
          </w:p>
        </w:tc>
      </w:tr>
      <w:tr w:rsidR="00387142" w:rsidRPr="008B6A75" w14:paraId="618073B6" w14:textId="77777777" w:rsidTr="00387142">
        <w:trPr>
          <w:trHeight w:val="2580"/>
        </w:trPr>
        <w:tc>
          <w:tcPr>
            <w:tcW w:w="3261" w:type="dxa"/>
            <w:tcBorders>
              <w:top w:val="nil"/>
              <w:left w:val="single" w:sz="4" w:space="0" w:color="auto"/>
              <w:bottom w:val="single" w:sz="4" w:space="0" w:color="auto"/>
              <w:right w:val="nil"/>
            </w:tcBorders>
            <w:shd w:val="clear" w:color="auto" w:fill="auto"/>
            <w:vAlign w:val="center"/>
            <w:hideMark/>
          </w:tcPr>
          <w:p w14:paraId="295AE1E3" w14:textId="77777777" w:rsidR="00387142" w:rsidRPr="008B6A75" w:rsidRDefault="00387142" w:rsidP="00387142">
            <w:pPr>
              <w:rPr>
                <w:bCs/>
                <w:sz w:val="20"/>
                <w:szCs w:val="20"/>
              </w:rPr>
            </w:pPr>
            <w:r w:rsidRPr="008B6A75">
              <w:rPr>
                <w:bCs/>
                <w:sz w:val="20"/>
                <w:szCs w:val="20"/>
              </w:rPr>
              <w:lastRenderedPageBreak/>
              <w:t>Организация получения образования обучающимися с ограниченными возможностями здоровья в отдельных общеобразовательных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w:t>
            </w:r>
          </w:p>
        </w:tc>
        <w:tc>
          <w:tcPr>
            <w:tcW w:w="720" w:type="dxa"/>
            <w:tcBorders>
              <w:top w:val="nil"/>
              <w:left w:val="single" w:sz="4" w:space="0" w:color="auto"/>
              <w:bottom w:val="single" w:sz="4" w:space="0" w:color="auto"/>
              <w:right w:val="nil"/>
            </w:tcBorders>
            <w:shd w:val="clear" w:color="auto" w:fill="auto"/>
            <w:noWrap/>
            <w:vAlign w:val="center"/>
            <w:hideMark/>
          </w:tcPr>
          <w:p w14:paraId="1E987A6A" w14:textId="77777777" w:rsidR="00387142" w:rsidRPr="008B6A75" w:rsidRDefault="00387142" w:rsidP="00387142">
            <w:pPr>
              <w:jc w:val="center"/>
              <w:rPr>
                <w:bCs/>
                <w:sz w:val="20"/>
                <w:szCs w:val="20"/>
              </w:rPr>
            </w:pPr>
            <w:r w:rsidRPr="008B6A75">
              <w:rPr>
                <w:bCs/>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A9CE9C8" w14:textId="77777777" w:rsidR="00387142" w:rsidRPr="008B6A75" w:rsidRDefault="00387142" w:rsidP="00387142">
            <w:pPr>
              <w:jc w:val="center"/>
              <w:rPr>
                <w:bCs/>
                <w:sz w:val="20"/>
                <w:szCs w:val="20"/>
              </w:rPr>
            </w:pPr>
            <w:r w:rsidRPr="008B6A75">
              <w:rPr>
                <w:bCs/>
                <w:sz w:val="20"/>
                <w:szCs w:val="20"/>
              </w:rPr>
              <w:t>02</w:t>
            </w:r>
          </w:p>
        </w:tc>
        <w:tc>
          <w:tcPr>
            <w:tcW w:w="1516" w:type="dxa"/>
            <w:tcBorders>
              <w:top w:val="nil"/>
              <w:left w:val="single" w:sz="4" w:space="0" w:color="auto"/>
              <w:bottom w:val="single" w:sz="4" w:space="0" w:color="auto"/>
              <w:right w:val="nil"/>
            </w:tcBorders>
            <w:shd w:val="clear" w:color="auto" w:fill="auto"/>
            <w:noWrap/>
            <w:vAlign w:val="center"/>
            <w:hideMark/>
          </w:tcPr>
          <w:p w14:paraId="50C17D1D" w14:textId="77777777" w:rsidR="00387142" w:rsidRPr="008B6A75" w:rsidRDefault="00387142" w:rsidP="00387142">
            <w:pPr>
              <w:jc w:val="center"/>
              <w:rPr>
                <w:bCs/>
                <w:sz w:val="20"/>
                <w:szCs w:val="20"/>
              </w:rPr>
            </w:pPr>
            <w:r w:rsidRPr="008B6A75">
              <w:rPr>
                <w:bCs/>
                <w:sz w:val="20"/>
                <w:szCs w:val="20"/>
              </w:rPr>
              <w:t>07.1.00.70140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9E9AB1C"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4562864" w14:textId="77777777" w:rsidR="00387142" w:rsidRPr="008B6A75" w:rsidRDefault="00387142" w:rsidP="00387142">
            <w:pPr>
              <w:jc w:val="right"/>
              <w:rPr>
                <w:bCs/>
                <w:sz w:val="20"/>
                <w:szCs w:val="20"/>
              </w:rPr>
            </w:pPr>
            <w:r w:rsidRPr="008B6A75">
              <w:rPr>
                <w:bCs/>
                <w:sz w:val="20"/>
                <w:szCs w:val="20"/>
              </w:rPr>
              <w:t>62 636 900,00</w:t>
            </w:r>
          </w:p>
        </w:tc>
        <w:tc>
          <w:tcPr>
            <w:tcW w:w="992" w:type="dxa"/>
            <w:tcBorders>
              <w:top w:val="nil"/>
              <w:left w:val="single" w:sz="4" w:space="0" w:color="auto"/>
              <w:bottom w:val="single" w:sz="4" w:space="0" w:color="auto"/>
              <w:right w:val="nil"/>
            </w:tcBorders>
            <w:shd w:val="clear" w:color="auto" w:fill="auto"/>
            <w:vAlign w:val="center"/>
            <w:hideMark/>
          </w:tcPr>
          <w:p w14:paraId="78584849" w14:textId="77777777" w:rsidR="00387142" w:rsidRPr="008B6A75" w:rsidRDefault="00387142" w:rsidP="00387142">
            <w:pPr>
              <w:jc w:val="right"/>
              <w:rPr>
                <w:bCs/>
                <w:sz w:val="20"/>
                <w:szCs w:val="20"/>
              </w:rPr>
            </w:pPr>
            <w:r w:rsidRPr="008B6A75">
              <w:rPr>
                <w:bCs/>
                <w:sz w:val="20"/>
                <w:szCs w:val="20"/>
              </w:rPr>
              <w:t>63 337 500,00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6DDA0F0E" w14:textId="77777777" w:rsidR="00387142" w:rsidRPr="008B6A75" w:rsidRDefault="00387142" w:rsidP="00387142">
            <w:pPr>
              <w:jc w:val="right"/>
              <w:rPr>
                <w:bCs/>
                <w:sz w:val="20"/>
                <w:szCs w:val="20"/>
              </w:rPr>
            </w:pPr>
            <w:r w:rsidRPr="008B6A75">
              <w:rPr>
                <w:bCs/>
                <w:sz w:val="20"/>
                <w:szCs w:val="20"/>
              </w:rPr>
              <w:t>64 871 000,00</w:t>
            </w:r>
          </w:p>
        </w:tc>
      </w:tr>
      <w:tr w:rsidR="00387142" w:rsidRPr="008B6A75" w14:paraId="59288274" w14:textId="77777777" w:rsidTr="00387142">
        <w:trPr>
          <w:trHeight w:val="1440"/>
        </w:trPr>
        <w:tc>
          <w:tcPr>
            <w:tcW w:w="3261" w:type="dxa"/>
            <w:tcBorders>
              <w:top w:val="nil"/>
              <w:left w:val="single" w:sz="4" w:space="0" w:color="auto"/>
              <w:bottom w:val="single" w:sz="4" w:space="0" w:color="auto"/>
              <w:right w:val="nil"/>
            </w:tcBorders>
            <w:shd w:val="clear" w:color="auto" w:fill="auto"/>
            <w:vAlign w:val="center"/>
            <w:hideMark/>
          </w:tcPr>
          <w:p w14:paraId="17E3EF0D" w14:textId="77777777" w:rsidR="00387142" w:rsidRPr="008B6A75" w:rsidRDefault="00387142" w:rsidP="00387142">
            <w:pPr>
              <w:rPr>
                <w:sz w:val="20"/>
                <w:szCs w:val="20"/>
              </w:rPr>
            </w:pPr>
            <w:r w:rsidRPr="008B6A7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14:paraId="1E5688B6" w14:textId="77777777" w:rsidR="00387142" w:rsidRPr="008B6A75" w:rsidRDefault="00387142" w:rsidP="00387142">
            <w:pPr>
              <w:jc w:val="center"/>
              <w:rPr>
                <w:sz w:val="20"/>
                <w:szCs w:val="20"/>
              </w:rPr>
            </w:pPr>
            <w:r w:rsidRPr="008B6A75">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8C7706D" w14:textId="77777777" w:rsidR="00387142" w:rsidRPr="008B6A75" w:rsidRDefault="00387142" w:rsidP="00387142">
            <w:pPr>
              <w:jc w:val="center"/>
              <w:rPr>
                <w:sz w:val="20"/>
                <w:szCs w:val="20"/>
              </w:rPr>
            </w:pPr>
            <w:r w:rsidRPr="008B6A75">
              <w:rPr>
                <w:sz w:val="20"/>
                <w:szCs w:val="20"/>
              </w:rPr>
              <w:t>02</w:t>
            </w:r>
          </w:p>
        </w:tc>
        <w:tc>
          <w:tcPr>
            <w:tcW w:w="1516" w:type="dxa"/>
            <w:tcBorders>
              <w:top w:val="nil"/>
              <w:left w:val="single" w:sz="4" w:space="0" w:color="auto"/>
              <w:bottom w:val="single" w:sz="4" w:space="0" w:color="auto"/>
              <w:right w:val="nil"/>
            </w:tcBorders>
            <w:shd w:val="clear" w:color="auto" w:fill="auto"/>
            <w:noWrap/>
            <w:vAlign w:val="center"/>
            <w:hideMark/>
          </w:tcPr>
          <w:p w14:paraId="1630FC49" w14:textId="77777777" w:rsidR="00387142" w:rsidRPr="008B6A75" w:rsidRDefault="00387142" w:rsidP="00387142">
            <w:pPr>
              <w:jc w:val="center"/>
              <w:rPr>
                <w:sz w:val="20"/>
                <w:szCs w:val="20"/>
              </w:rPr>
            </w:pPr>
            <w:r w:rsidRPr="008B6A75">
              <w:rPr>
                <w:sz w:val="20"/>
                <w:szCs w:val="20"/>
              </w:rPr>
              <w:t>07.1.00.70140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04B4B91" w14:textId="77777777" w:rsidR="00387142" w:rsidRPr="008B6A75" w:rsidRDefault="00387142" w:rsidP="00387142">
            <w:pPr>
              <w:jc w:val="center"/>
              <w:rPr>
                <w:sz w:val="20"/>
                <w:szCs w:val="20"/>
              </w:rPr>
            </w:pPr>
            <w:r w:rsidRPr="008B6A75">
              <w:rPr>
                <w:sz w:val="20"/>
                <w:szCs w:val="20"/>
              </w:rPr>
              <w:t>100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39EEBB8" w14:textId="77777777" w:rsidR="00387142" w:rsidRPr="008B6A75" w:rsidRDefault="00387142" w:rsidP="00387142">
            <w:pPr>
              <w:jc w:val="right"/>
              <w:rPr>
                <w:sz w:val="20"/>
                <w:szCs w:val="20"/>
              </w:rPr>
            </w:pPr>
            <w:r w:rsidRPr="008B6A75">
              <w:rPr>
                <w:sz w:val="20"/>
                <w:szCs w:val="20"/>
              </w:rPr>
              <w:t>48 592 682,32</w:t>
            </w:r>
          </w:p>
        </w:tc>
        <w:tc>
          <w:tcPr>
            <w:tcW w:w="992" w:type="dxa"/>
            <w:tcBorders>
              <w:top w:val="nil"/>
              <w:left w:val="single" w:sz="4" w:space="0" w:color="auto"/>
              <w:bottom w:val="single" w:sz="4" w:space="0" w:color="auto"/>
              <w:right w:val="nil"/>
            </w:tcBorders>
            <w:shd w:val="clear" w:color="auto" w:fill="auto"/>
            <w:vAlign w:val="center"/>
            <w:hideMark/>
          </w:tcPr>
          <w:p w14:paraId="52C5B700" w14:textId="77777777" w:rsidR="00387142" w:rsidRPr="008B6A75" w:rsidRDefault="00387142" w:rsidP="00387142">
            <w:pPr>
              <w:jc w:val="right"/>
              <w:rPr>
                <w:sz w:val="20"/>
                <w:szCs w:val="20"/>
              </w:rPr>
            </w:pPr>
            <w:r w:rsidRPr="008B6A75">
              <w:rPr>
                <w:sz w:val="20"/>
                <w:szCs w:val="20"/>
              </w:rPr>
              <w:t>51 797 500,00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060A6DF2" w14:textId="77777777" w:rsidR="00387142" w:rsidRPr="008B6A75" w:rsidRDefault="00387142" w:rsidP="00387142">
            <w:pPr>
              <w:jc w:val="right"/>
              <w:rPr>
                <w:sz w:val="20"/>
                <w:szCs w:val="20"/>
              </w:rPr>
            </w:pPr>
            <w:r w:rsidRPr="008B6A75">
              <w:rPr>
                <w:sz w:val="20"/>
                <w:szCs w:val="20"/>
              </w:rPr>
              <w:t>52 771 000,00</w:t>
            </w:r>
          </w:p>
        </w:tc>
      </w:tr>
      <w:tr w:rsidR="00387142" w:rsidRPr="008B6A75" w14:paraId="54E3E15B" w14:textId="77777777" w:rsidTr="00387142">
        <w:trPr>
          <w:trHeight w:val="585"/>
        </w:trPr>
        <w:tc>
          <w:tcPr>
            <w:tcW w:w="3261" w:type="dxa"/>
            <w:tcBorders>
              <w:top w:val="nil"/>
              <w:left w:val="single" w:sz="4" w:space="0" w:color="auto"/>
              <w:bottom w:val="single" w:sz="4" w:space="0" w:color="auto"/>
              <w:right w:val="nil"/>
            </w:tcBorders>
            <w:shd w:val="clear" w:color="auto" w:fill="auto"/>
            <w:vAlign w:val="center"/>
            <w:hideMark/>
          </w:tcPr>
          <w:p w14:paraId="0221760F" w14:textId="77777777" w:rsidR="00387142" w:rsidRPr="008B6A75" w:rsidRDefault="00387142" w:rsidP="00387142">
            <w:pPr>
              <w:rPr>
                <w:sz w:val="20"/>
                <w:szCs w:val="20"/>
              </w:rPr>
            </w:pPr>
            <w:r w:rsidRPr="008B6A75">
              <w:rPr>
                <w:sz w:val="20"/>
                <w:szCs w:val="20"/>
              </w:rPr>
              <w:t>Расходы на выплаты персоналу казенных учреждений</w:t>
            </w:r>
          </w:p>
        </w:tc>
        <w:tc>
          <w:tcPr>
            <w:tcW w:w="720" w:type="dxa"/>
            <w:tcBorders>
              <w:top w:val="nil"/>
              <w:left w:val="single" w:sz="4" w:space="0" w:color="auto"/>
              <w:bottom w:val="single" w:sz="4" w:space="0" w:color="auto"/>
              <w:right w:val="nil"/>
            </w:tcBorders>
            <w:shd w:val="clear" w:color="auto" w:fill="auto"/>
            <w:noWrap/>
            <w:vAlign w:val="center"/>
            <w:hideMark/>
          </w:tcPr>
          <w:p w14:paraId="58BACFBA" w14:textId="77777777" w:rsidR="00387142" w:rsidRPr="008B6A75" w:rsidRDefault="00387142" w:rsidP="00387142">
            <w:pPr>
              <w:jc w:val="center"/>
              <w:rPr>
                <w:sz w:val="20"/>
                <w:szCs w:val="20"/>
              </w:rPr>
            </w:pPr>
            <w:r w:rsidRPr="008B6A75">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1BFE7D8" w14:textId="77777777" w:rsidR="00387142" w:rsidRPr="008B6A75" w:rsidRDefault="00387142" w:rsidP="00387142">
            <w:pPr>
              <w:jc w:val="center"/>
              <w:rPr>
                <w:sz w:val="20"/>
                <w:szCs w:val="20"/>
              </w:rPr>
            </w:pPr>
            <w:r w:rsidRPr="008B6A75">
              <w:rPr>
                <w:sz w:val="20"/>
                <w:szCs w:val="20"/>
              </w:rPr>
              <w:t>02</w:t>
            </w:r>
          </w:p>
        </w:tc>
        <w:tc>
          <w:tcPr>
            <w:tcW w:w="1516" w:type="dxa"/>
            <w:tcBorders>
              <w:top w:val="nil"/>
              <w:left w:val="single" w:sz="4" w:space="0" w:color="auto"/>
              <w:bottom w:val="single" w:sz="4" w:space="0" w:color="auto"/>
              <w:right w:val="nil"/>
            </w:tcBorders>
            <w:shd w:val="clear" w:color="auto" w:fill="auto"/>
            <w:noWrap/>
            <w:vAlign w:val="center"/>
            <w:hideMark/>
          </w:tcPr>
          <w:p w14:paraId="0A2E08B6" w14:textId="77777777" w:rsidR="00387142" w:rsidRPr="008B6A75" w:rsidRDefault="00387142" w:rsidP="00387142">
            <w:pPr>
              <w:jc w:val="center"/>
              <w:rPr>
                <w:sz w:val="20"/>
                <w:szCs w:val="20"/>
              </w:rPr>
            </w:pPr>
            <w:r w:rsidRPr="008B6A75">
              <w:rPr>
                <w:sz w:val="20"/>
                <w:szCs w:val="20"/>
              </w:rPr>
              <w:t>07.1.00.70140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310ED49" w14:textId="77777777" w:rsidR="00387142" w:rsidRPr="008B6A75" w:rsidRDefault="00387142" w:rsidP="00387142">
            <w:pPr>
              <w:jc w:val="center"/>
              <w:rPr>
                <w:sz w:val="20"/>
                <w:szCs w:val="20"/>
              </w:rPr>
            </w:pPr>
            <w:r w:rsidRPr="008B6A75">
              <w:rPr>
                <w:sz w:val="20"/>
                <w:szCs w:val="20"/>
              </w:rPr>
              <w:t>110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B6BC1B7" w14:textId="77777777" w:rsidR="00387142" w:rsidRPr="008B6A75" w:rsidRDefault="00387142" w:rsidP="00387142">
            <w:pPr>
              <w:jc w:val="right"/>
              <w:rPr>
                <w:sz w:val="20"/>
                <w:szCs w:val="20"/>
              </w:rPr>
            </w:pPr>
            <w:r w:rsidRPr="008B6A75">
              <w:rPr>
                <w:sz w:val="20"/>
                <w:szCs w:val="20"/>
              </w:rPr>
              <w:t>48 592 682,32</w:t>
            </w:r>
          </w:p>
        </w:tc>
        <w:tc>
          <w:tcPr>
            <w:tcW w:w="992" w:type="dxa"/>
            <w:tcBorders>
              <w:top w:val="nil"/>
              <w:left w:val="single" w:sz="4" w:space="0" w:color="auto"/>
              <w:bottom w:val="single" w:sz="4" w:space="0" w:color="auto"/>
              <w:right w:val="nil"/>
            </w:tcBorders>
            <w:shd w:val="clear" w:color="auto" w:fill="auto"/>
            <w:vAlign w:val="center"/>
            <w:hideMark/>
          </w:tcPr>
          <w:p w14:paraId="4FF36C29" w14:textId="77777777" w:rsidR="00387142" w:rsidRPr="008B6A75" w:rsidRDefault="00387142" w:rsidP="00387142">
            <w:pPr>
              <w:jc w:val="right"/>
              <w:rPr>
                <w:sz w:val="20"/>
                <w:szCs w:val="20"/>
              </w:rPr>
            </w:pPr>
            <w:r w:rsidRPr="008B6A75">
              <w:rPr>
                <w:sz w:val="20"/>
                <w:szCs w:val="20"/>
              </w:rPr>
              <w:t>51 797 500,00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48894333" w14:textId="77777777" w:rsidR="00387142" w:rsidRPr="008B6A75" w:rsidRDefault="00387142" w:rsidP="00387142">
            <w:pPr>
              <w:jc w:val="right"/>
              <w:rPr>
                <w:sz w:val="20"/>
                <w:szCs w:val="20"/>
              </w:rPr>
            </w:pPr>
            <w:r w:rsidRPr="008B6A75">
              <w:rPr>
                <w:sz w:val="20"/>
                <w:szCs w:val="20"/>
              </w:rPr>
              <w:t>52 771 000,00</w:t>
            </w:r>
          </w:p>
        </w:tc>
      </w:tr>
      <w:tr w:rsidR="00387142" w:rsidRPr="008B6A75" w14:paraId="70F71FA3" w14:textId="77777777" w:rsidTr="00387142">
        <w:trPr>
          <w:trHeight w:val="585"/>
        </w:trPr>
        <w:tc>
          <w:tcPr>
            <w:tcW w:w="3261" w:type="dxa"/>
            <w:tcBorders>
              <w:top w:val="nil"/>
              <w:left w:val="single" w:sz="4" w:space="0" w:color="auto"/>
              <w:bottom w:val="single" w:sz="4" w:space="0" w:color="auto"/>
              <w:right w:val="nil"/>
            </w:tcBorders>
            <w:shd w:val="clear" w:color="auto" w:fill="auto"/>
            <w:vAlign w:val="center"/>
            <w:hideMark/>
          </w:tcPr>
          <w:p w14:paraId="45493421" w14:textId="77777777" w:rsidR="00387142" w:rsidRPr="008B6A75" w:rsidRDefault="00387142" w:rsidP="00387142">
            <w:pPr>
              <w:rPr>
                <w:sz w:val="20"/>
                <w:szCs w:val="20"/>
              </w:rPr>
            </w:pPr>
            <w:r w:rsidRPr="008B6A75">
              <w:rPr>
                <w:sz w:val="20"/>
                <w:szCs w:val="20"/>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2461A830" w14:textId="77777777" w:rsidR="00387142" w:rsidRPr="008B6A75" w:rsidRDefault="00387142" w:rsidP="00387142">
            <w:pPr>
              <w:jc w:val="center"/>
              <w:rPr>
                <w:sz w:val="20"/>
                <w:szCs w:val="20"/>
              </w:rPr>
            </w:pPr>
            <w:r w:rsidRPr="008B6A75">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17DF6E1" w14:textId="77777777" w:rsidR="00387142" w:rsidRPr="008B6A75" w:rsidRDefault="00387142" w:rsidP="00387142">
            <w:pPr>
              <w:jc w:val="center"/>
              <w:rPr>
                <w:sz w:val="20"/>
                <w:szCs w:val="20"/>
              </w:rPr>
            </w:pPr>
            <w:r w:rsidRPr="008B6A75">
              <w:rPr>
                <w:sz w:val="20"/>
                <w:szCs w:val="20"/>
              </w:rPr>
              <w:t>02</w:t>
            </w:r>
          </w:p>
        </w:tc>
        <w:tc>
          <w:tcPr>
            <w:tcW w:w="1516" w:type="dxa"/>
            <w:tcBorders>
              <w:top w:val="nil"/>
              <w:left w:val="single" w:sz="4" w:space="0" w:color="auto"/>
              <w:bottom w:val="single" w:sz="4" w:space="0" w:color="auto"/>
              <w:right w:val="nil"/>
            </w:tcBorders>
            <w:shd w:val="clear" w:color="auto" w:fill="auto"/>
            <w:noWrap/>
            <w:vAlign w:val="center"/>
            <w:hideMark/>
          </w:tcPr>
          <w:p w14:paraId="6874ED7A" w14:textId="77777777" w:rsidR="00387142" w:rsidRPr="008B6A75" w:rsidRDefault="00387142" w:rsidP="00387142">
            <w:pPr>
              <w:jc w:val="center"/>
              <w:rPr>
                <w:sz w:val="20"/>
                <w:szCs w:val="20"/>
              </w:rPr>
            </w:pPr>
            <w:r w:rsidRPr="008B6A75">
              <w:rPr>
                <w:sz w:val="20"/>
                <w:szCs w:val="20"/>
              </w:rPr>
              <w:t>07.1.00.70140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8C7560E" w14:textId="77777777" w:rsidR="00387142" w:rsidRPr="008B6A75" w:rsidRDefault="00387142" w:rsidP="00387142">
            <w:pPr>
              <w:jc w:val="center"/>
              <w:rPr>
                <w:sz w:val="20"/>
                <w:szCs w:val="20"/>
              </w:rPr>
            </w:pPr>
            <w:r w:rsidRPr="008B6A75">
              <w:rPr>
                <w:sz w:val="20"/>
                <w:szCs w:val="20"/>
              </w:rPr>
              <w:t>200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23D5723" w14:textId="77777777" w:rsidR="00387142" w:rsidRPr="008B6A75" w:rsidRDefault="00387142" w:rsidP="00387142">
            <w:pPr>
              <w:jc w:val="right"/>
              <w:rPr>
                <w:sz w:val="20"/>
                <w:szCs w:val="20"/>
              </w:rPr>
            </w:pPr>
            <w:r w:rsidRPr="008B6A75">
              <w:rPr>
                <w:sz w:val="20"/>
                <w:szCs w:val="20"/>
              </w:rPr>
              <w:t>12 284 217,68</w:t>
            </w:r>
          </w:p>
        </w:tc>
        <w:tc>
          <w:tcPr>
            <w:tcW w:w="992" w:type="dxa"/>
            <w:tcBorders>
              <w:top w:val="nil"/>
              <w:left w:val="single" w:sz="4" w:space="0" w:color="auto"/>
              <w:bottom w:val="single" w:sz="4" w:space="0" w:color="auto"/>
              <w:right w:val="nil"/>
            </w:tcBorders>
            <w:shd w:val="clear" w:color="auto" w:fill="auto"/>
            <w:vAlign w:val="center"/>
            <w:hideMark/>
          </w:tcPr>
          <w:p w14:paraId="4644C3D0" w14:textId="77777777" w:rsidR="00387142" w:rsidRPr="008B6A75" w:rsidRDefault="00387142" w:rsidP="00387142">
            <w:pPr>
              <w:jc w:val="right"/>
              <w:rPr>
                <w:sz w:val="20"/>
                <w:szCs w:val="20"/>
              </w:rPr>
            </w:pPr>
            <w:r w:rsidRPr="008B6A75">
              <w:rPr>
                <w:sz w:val="20"/>
                <w:szCs w:val="20"/>
              </w:rPr>
              <w:t>9 780 000,00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5718E431" w14:textId="77777777" w:rsidR="00387142" w:rsidRPr="008B6A75" w:rsidRDefault="00387142" w:rsidP="00387142">
            <w:pPr>
              <w:jc w:val="right"/>
              <w:rPr>
                <w:sz w:val="20"/>
                <w:szCs w:val="20"/>
              </w:rPr>
            </w:pPr>
            <w:r w:rsidRPr="008B6A75">
              <w:rPr>
                <w:sz w:val="20"/>
                <w:szCs w:val="20"/>
              </w:rPr>
              <w:t>10 340 000,00</w:t>
            </w:r>
          </w:p>
        </w:tc>
      </w:tr>
      <w:tr w:rsidR="00387142" w:rsidRPr="008B6A75" w14:paraId="5365B589" w14:textId="77777777" w:rsidTr="00387142">
        <w:trPr>
          <w:trHeight w:val="870"/>
        </w:trPr>
        <w:tc>
          <w:tcPr>
            <w:tcW w:w="3261" w:type="dxa"/>
            <w:tcBorders>
              <w:top w:val="nil"/>
              <w:left w:val="single" w:sz="4" w:space="0" w:color="auto"/>
              <w:bottom w:val="single" w:sz="4" w:space="0" w:color="auto"/>
              <w:right w:val="nil"/>
            </w:tcBorders>
            <w:shd w:val="clear" w:color="auto" w:fill="auto"/>
            <w:vAlign w:val="center"/>
            <w:hideMark/>
          </w:tcPr>
          <w:p w14:paraId="5385A95F" w14:textId="77777777" w:rsidR="00387142" w:rsidRPr="008B6A75" w:rsidRDefault="00387142" w:rsidP="00387142">
            <w:pPr>
              <w:rPr>
                <w:sz w:val="20"/>
                <w:szCs w:val="20"/>
              </w:rPr>
            </w:pPr>
            <w:r w:rsidRPr="008B6A75">
              <w:rPr>
                <w:sz w:val="20"/>
                <w:szCs w:val="20"/>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49BF96C6" w14:textId="77777777" w:rsidR="00387142" w:rsidRPr="008B6A75" w:rsidRDefault="00387142" w:rsidP="00387142">
            <w:pPr>
              <w:jc w:val="center"/>
              <w:rPr>
                <w:sz w:val="20"/>
                <w:szCs w:val="20"/>
              </w:rPr>
            </w:pPr>
            <w:r w:rsidRPr="008B6A75">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6080E08" w14:textId="77777777" w:rsidR="00387142" w:rsidRPr="008B6A75" w:rsidRDefault="00387142" w:rsidP="00387142">
            <w:pPr>
              <w:jc w:val="center"/>
              <w:rPr>
                <w:sz w:val="20"/>
                <w:szCs w:val="20"/>
              </w:rPr>
            </w:pPr>
            <w:r w:rsidRPr="008B6A75">
              <w:rPr>
                <w:sz w:val="20"/>
                <w:szCs w:val="20"/>
              </w:rPr>
              <w:t>02</w:t>
            </w:r>
          </w:p>
        </w:tc>
        <w:tc>
          <w:tcPr>
            <w:tcW w:w="1516" w:type="dxa"/>
            <w:tcBorders>
              <w:top w:val="nil"/>
              <w:left w:val="single" w:sz="4" w:space="0" w:color="auto"/>
              <w:bottom w:val="single" w:sz="4" w:space="0" w:color="auto"/>
              <w:right w:val="nil"/>
            </w:tcBorders>
            <w:shd w:val="clear" w:color="auto" w:fill="auto"/>
            <w:noWrap/>
            <w:vAlign w:val="center"/>
            <w:hideMark/>
          </w:tcPr>
          <w:p w14:paraId="0E0F3C86" w14:textId="77777777" w:rsidR="00387142" w:rsidRPr="008B6A75" w:rsidRDefault="00387142" w:rsidP="00387142">
            <w:pPr>
              <w:jc w:val="center"/>
              <w:rPr>
                <w:sz w:val="20"/>
                <w:szCs w:val="20"/>
              </w:rPr>
            </w:pPr>
            <w:r w:rsidRPr="008B6A75">
              <w:rPr>
                <w:sz w:val="20"/>
                <w:szCs w:val="20"/>
              </w:rPr>
              <w:t>07.1.00.70140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9919E91" w14:textId="77777777" w:rsidR="00387142" w:rsidRPr="008B6A75" w:rsidRDefault="00387142" w:rsidP="00387142">
            <w:pPr>
              <w:jc w:val="center"/>
              <w:rPr>
                <w:sz w:val="20"/>
                <w:szCs w:val="20"/>
              </w:rPr>
            </w:pPr>
            <w:r w:rsidRPr="008B6A75">
              <w:rPr>
                <w:sz w:val="20"/>
                <w:szCs w:val="20"/>
              </w:rPr>
              <w:t>240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27D223A" w14:textId="77777777" w:rsidR="00387142" w:rsidRPr="008B6A75" w:rsidRDefault="00387142" w:rsidP="00387142">
            <w:pPr>
              <w:jc w:val="right"/>
              <w:rPr>
                <w:sz w:val="20"/>
                <w:szCs w:val="20"/>
              </w:rPr>
            </w:pPr>
            <w:r w:rsidRPr="008B6A75">
              <w:rPr>
                <w:sz w:val="20"/>
                <w:szCs w:val="20"/>
              </w:rPr>
              <w:t>12 284 217,68</w:t>
            </w:r>
          </w:p>
        </w:tc>
        <w:tc>
          <w:tcPr>
            <w:tcW w:w="992" w:type="dxa"/>
            <w:tcBorders>
              <w:top w:val="nil"/>
              <w:left w:val="single" w:sz="4" w:space="0" w:color="auto"/>
              <w:bottom w:val="single" w:sz="4" w:space="0" w:color="auto"/>
              <w:right w:val="nil"/>
            </w:tcBorders>
            <w:shd w:val="clear" w:color="auto" w:fill="auto"/>
            <w:vAlign w:val="center"/>
            <w:hideMark/>
          </w:tcPr>
          <w:p w14:paraId="7596E727" w14:textId="77777777" w:rsidR="00387142" w:rsidRPr="008B6A75" w:rsidRDefault="00387142" w:rsidP="00387142">
            <w:pPr>
              <w:jc w:val="right"/>
              <w:rPr>
                <w:sz w:val="20"/>
                <w:szCs w:val="20"/>
              </w:rPr>
            </w:pPr>
            <w:r w:rsidRPr="008B6A75">
              <w:rPr>
                <w:sz w:val="20"/>
                <w:szCs w:val="20"/>
              </w:rPr>
              <w:t>9 780 000,00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392ECC70" w14:textId="77777777" w:rsidR="00387142" w:rsidRPr="008B6A75" w:rsidRDefault="00387142" w:rsidP="00387142">
            <w:pPr>
              <w:jc w:val="right"/>
              <w:rPr>
                <w:sz w:val="20"/>
                <w:szCs w:val="20"/>
              </w:rPr>
            </w:pPr>
            <w:r w:rsidRPr="008B6A75">
              <w:rPr>
                <w:sz w:val="20"/>
                <w:szCs w:val="20"/>
              </w:rPr>
              <w:t>10 340 000,00</w:t>
            </w:r>
          </w:p>
        </w:tc>
      </w:tr>
      <w:tr w:rsidR="00387142" w:rsidRPr="008B6A75" w14:paraId="20066BB4" w14:textId="77777777" w:rsidTr="00387142">
        <w:trPr>
          <w:trHeight w:val="345"/>
        </w:trPr>
        <w:tc>
          <w:tcPr>
            <w:tcW w:w="3261" w:type="dxa"/>
            <w:tcBorders>
              <w:top w:val="nil"/>
              <w:left w:val="single" w:sz="4" w:space="0" w:color="auto"/>
              <w:bottom w:val="single" w:sz="4" w:space="0" w:color="auto"/>
              <w:right w:val="nil"/>
            </w:tcBorders>
            <w:shd w:val="clear" w:color="auto" w:fill="auto"/>
            <w:vAlign w:val="center"/>
            <w:hideMark/>
          </w:tcPr>
          <w:p w14:paraId="7FF2223B" w14:textId="77777777" w:rsidR="00387142" w:rsidRPr="008B6A75" w:rsidRDefault="00387142" w:rsidP="00387142">
            <w:pPr>
              <w:rPr>
                <w:sz w:val="20"/>
                <w:szCs w:val="20"/>
              </w:rPr>
            </w:pPr>
            <w:r w:rsidRPr="008B6A75">
              <w:rPr>
                <w:sz w:val="20"/>
                <w:szCs w:val="20"/>
              </w:rPr>
              <w:t>Иные бюджетные ассигнования</w:t>
            </w:r>
          </w:p>
        </w:tc>
        <w:tc>
          <w:tcPr>
            <w:tcW w:w="720" w:type="dxa"/>
            <w:tcBorders>
              <w:top w:val="nil"/>
              <w:left w:val="single" w:sz="4" w:space="0" w:color="auto"/>
              <w:bottom w:val="single" w:sz="4" w:space="0" w:color="auto"/>
              <w:right w:val="nil"/>
            </w:tcBorders>
            <w:shd w:val="clear" w:color="auto" w:fill="auto"/>
            <w:noWrap/>
            <w:vAlign w:val="center"/>
            <w:hideMark/>
          </w:tcPr>
          <w:p w14:paraId="07182CFF" w14:textId="77777777" w:rsidR="00387142" w:rsidRPr="008B6A75" w:rsidRDefault="00387142" w:rsidP="00387142">
            <w:pPr>
              <w:jc w:val="center"/>
              <w:rPr>
                <w:sz w:val="20"/>
                <w:szCs w:val="20"/>
              </w:rPr>
            </w:pPr>
            <w:r w:rsidRPr="008B6A75">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582D3FB" w14:textId="77777777" w:rsidR="00387142" w:rsidRPr="008B6A75" w:rsidRDefault="00387142" w:rsidP="00387142">
            <w:pPr>
              <w:jc w:val="center"/>
              <w:rPr>
                <w:sz w:val="20"/>
                <w:szCs w:val="20"/>
              </w:rPr>
            </w:pPr>
            <w:r w:rsidRPr="008B6A75">
              <w:rPr>
                <w:sz w:val="20"/>
                <w:szCs w:val="20"/>
              </w:rPr>
              <w:t>02</w:t>
            </w:r>
          </w:p>
        </w:tc>
        <w:tc>
          <w:tcPr>
            <w:tcW w:w="1516" w:type="dxa"/>
            <w:tcBorders>
              <w:top w:val="nil"/>
              <w:left w:val="single" w:sz="4" w:space="0" w:color="auto"/>
              <w:bottom w:val="single" w:sz="4" w:space="0" w:color="auto"/>
              <w:right w:val="nil"/>
            </w:tcBorders>
            <w:shd w:val="clear" w:color="auto" w:fill="auto"/>
            <w:noWrap/>
            <w:vAlign w:val="center"/>
            <w:hideMark/>
          </w:tcPr>
          <w:p w14:paraId="470B1781" w14:textId="77777777" w:rsidR="00387142" w:rsidRPr="008B6A75" w:rsidRDefault="00387142" w:rsidP="00387142">
            <w:pPr>
              <w:jc w:val="center"/>
              <w:rPr>
                <w:sz w:val="20"/>
                <w:szCs w:val="20"/>
              </w:rPr>
            </w:pPr>
            <w:r w:rsidRPr="008B6A75">
              <w:rPr>
                <w:sz w:val="20"/>
                <w:szCs w:val="20"/>
              </w:rPr>
              <w:t>07.1.00.70140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F91891B" w14:textId="77777777" w:rsidR="00387142" w:rsidRPr="008B6A75" w:rsidRDefault="00387142" w:rsidP="00387142">
            <w:pPr>
              <w:jc w:val="center"/>
              <w:rPr>
                <w:sz w:val="20"/>
                <w:szCs w:val="20"/>
              </w:rPr>
            </w:pPr>
            <w:r w:rsidRPr="008B6A75">
              <w:rPr>
                <w:sz w:val="20"/>
                <w:szCs w:val="20"/>
              </w:rPr>
              <w:t>800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D459118" w14:textId="77777777" w:rsidR="00387142" w:rsidRPr="008B6A75" w:rsidRDefault="00387142" w:rsidP="00387142">
            <w:pPr>
              <w:jc w:val="right"/>
              <w:rPr>
                <w:sz w:val="20"/>
                <w:szCs w:val="20"/>
              </w:rPr>
            </w:pPr>
            <w:r w:rsidRPr="008B6A75">
              <w:rPr>
                <w:sz w:val="20"/>
                <w:szCs w:val="20"/>
              </w:rPr>
              <w:t>1 760 000,00</w:t>
            </w:r>
          </w:p>
        </w:tc>
        <w:tc>
          <w:tcPr>
            <w:tcW w:w="992" w:type="dxa"/>
            <w:tcBorders>
              <w:top w:val="nil"/>
              <w:left w:val="single" w:sz="4" w:space="0" w:color="auto"/>
              <w:bottom w:val="single" w:sz="4" w:space="0" w:color="auto"/>
              <w:right w:val="nil"/>
            </w:tcBorders>
            <w:shd w:val="clear" w:color="auto" w:fill="auto"/>
            <w:vAlign w:val="center"/>
            <w:hideMark/>
          </w:tcPr>
          <w:p w14:paraId="50DC4013" w14:textId="77777777" w:rsidR="00387142" w:rsidRPr="008B6A75" w:rsidRDefault="00387142" w:rsidP="00387142">
            <w:pPr>
              <w:jc w:val="right"/>
              <w:rPr>
                <w:sz w:val="20"/>
                <w:szCs w:val="20"/>
              </w:rPr>
            </w:pPr>
            <w:r w:rsidRPr="008B6A75">
              <w:rPr>
                <w:sz w:val="20"/>
                <w:szCs w:val="20"/>
              </w:rPr>
              <w:t>1 760 000,00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2C930A7F" w14:textId="77777777" w:rsidR="00387142" w:rsidRPr="008B6A75" w:rsidRDefault="00387142" w:rsidP="00387142">
            <w:pPr>
              <w:jc w:val="right"/>
              <w:rPr>
                <w:sz w:val="20"/>
                <w:szCs w:val="20"/>
              </w:rPr>
            </w:pPr>
            <w:r w:rsidRPr="008B6A75">
              <w:rPr>
                <w:sz w:val="20"/>
                <w:szCs w:val="20"/>
              </w:rPr>
              <w:t>1 760 000,00</w:t>
            </w:r>
          </w:p>
        </w:tc>
      </w:tr>
      <w:tr w:rsidR="00387142" w:rsidRPr="008B6A75" w14:paraId="25510C1F" w14:textId="77777777" w:rsidTr="00387142">
        <w:trPr>
          <w:trHeight w:val="345"/>
        </w:trPr>
        <w:tc>
          <w:tcPr>
            <w:tcW w:w="3261" w:type="dxa"/>
            <w:tcBorders>
              <w:top w:val="nil"/>
              <w:left w:val="single" w:sz="4" w:space="0" w:color="auto"/>
              <w:bottom w:val="single" w:sz="4" w:space="0" w:color="auto"/>
              <w:right w:val="nil"/>
            </w:tcBorders>
            <w:shd w:val="clear" w:color="auto" w:fill="auto"/>
            <w:vAlign w:val="center"/>
            <w:hideMark/>
          </w:tcPr>
          <w:p w14:paraId="315E8965" w14:textId="77777777" w:rsidR="00387142" w:rsidRPr="008B6A75" w:rsidRDefault="00387142" w:rsidP="00387142">
            <w:pPr>
              <w:rPr>
                <w:sz w:val="20"/>
                <w:szCs w:val="20"/>
              </w:rPr>
            </w:pPr>
            <w:r w:rsidRPr="008B6A75">
              <w:rPr>
                <w:sz w:val="20"/>
                <w:szCs w:val="20"/>
              </w:rPr>
              <w:t>Уплата налогов, сборов и иных платежей</w:t>
            </w:r>
          </w:p>
        </w:tc>
        <w:tc>
          <w:tcPr>
            <w:tcW w:w="720" w:type="dxa"/>
            <w:tcBorders>
              <w:top w:val="nil"/>
              <w:left w:val="single" w:sz="4" w:space="0" w:color="auto"/>
              <w:bottom w:val="single" w:sz="4" w:space="0" w:color="auto"/>
              <w:right w:val="nil"/>
            </w:tcBorders>
            <w:shd w:val="clear" w:color="auto" w:fill="auto"/>
            <w:noWrap/>
            <w:vAlign w:val="center"/>
            <w:hideMark/>
          </w:tcPr>
          <w:p w14:paraId="12C9B997" w14:textId="77777777" w:rsidR="00387142" w:rsidRPr="008B6A75" w:rsidRDefault="00387142" w:rsidP="00387142">
            <w:pPr>
              <w:jc w:val="center"/>
              <w:rPr>
                <w:sz w:val="20"/>
                <w:szCs w:val="20"/>
              </w:rPr>
            </w:pPr>
            <w:r w:rsidRPr="008B6A75">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FE19DC9" w14:textId="77777777" w:rsidR="00387142" w:rsidRPr="008B6A75" w:rsidRDefault="00387142" w:rsidP="00387142">
            <w:pPr>
              <w:jc w:val="center"/>
              <w:rPr>
                <w:sz w:val="20"/>
                <w:szCs w:val="20"/>
              </w:rPr>
            </w:pPr>
            <w:r w:rsidRPr="008B6A75">
              <w:rPr>
                <w:sz w:val="20"/>
                <w:szCs w:val="20"/>
              </w:rPr>
              <w:t>02</w:t>
            </w:r>
          </w:p>
        </w:tc>
        <w:tc>
          <w:tcPr>
            <w:tcW w:w="1516" w:type="dxa"/>
            <w:tcBorders>
              <w:top w:val="nil"/>
              <w:left w:val="single" w:sz="4" w:space="0" w:color="auto"/>
              <w:bottom w:val="single" w:sz="4" w:space="0" w:color="auto"/>
              <w:right w:val="nil"/>
            </w:tcBorders>
            <w:shd w:val="clear" w:color="auto" w:fill="auto"/>
            <w:noWrap/>
            <w:vAlign w:val="center"/>
            <w:hideMark/>
          </w:tcPr>
          <w:p w14:paraId="6D6F103E" w14:textId="77777777" w:rsidR="00387142" w:rsidRPr="008B6A75" w:rsidRDefault="00387142" w:rsidP="00387142">
            <w:pPr>
              <w:jc w:val="center"/>
              <w:rPr>
                <w:sz w:val="20"/>
                <w:szCs w:val="20"/>
              </w:rPr>
            </w:pPr>
            <w:r w:rsidRPr="008B6A75">
              <w:rPr>
                <w:sz w:val="20"/>
                <w:szCs w:val="20"/>
              </w:rPr>
              <w:t>07.1.00.70140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8CF0DC3" w14:textId="77777777" w:rsidR="00387142" w:rsidRPr="008B6A75" w:rsidRDefault="00387142" w:rsidP="00387142">
            <w:pPr>
              <w:jc w:val="center"/>
              <w:rPr>
                <w:sz w:val="20"/>
                <w:szCs w:val="20"/>
              </w:rPr>
            </w:pPr>
            <w:r w:rsidRPr="008B6A75">
              <w:rPr>
                <w:sz w:val="20"/>
                <w:szCs w:val="20"/>
              </w:rPr>
              <w:t>850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A4FD9C5" w14:textId="77777777" w:rsidR="00387142" w:rsidRPr="008B6A75" w:rsidRDefault="00387142" w:rsidP="00387142">
            <w:pPr>
              <w:jc w:val="right"/>
              <w:rPr>
                <w:sz w:val="20"/>
                <w:szCs w:val="20"/>
              </w:rPr>
            </w:pPr>
            <w:r w:rsidRPr="008B6A75">
              <w:rPr>
                <w:sz w:val="20"/>
                <w:szCs w:val="20"/>
              </w:rPr>
              <w:t>1 760 000,00</w:t>
            </w:r>
          </w:p>
        </w:tc>
        <w:tc>
          <w:tcPr>
            <w:tcW w:w="992" w:type="dxa"/>
            <w:tcBorders>
              <w:top w:val="nil"/>
              <w:left w:val="single" w:sz="4" w:space="0" w:color="auto"/>
              <w:bottom w:val="single" w:sz="4" w:space="0" w:color="auto"/>
              <w:right w:val="nil"/>
            </w:tcBorders>
            <w:shd w:val="clear" w:color="auto" w:fill="auto"/>
            <w:vAlign w:val="center"/>
            <w:hideMark/>
          </w:tcPr>
          <w:p w14:paraId="04620B93" w14:textId="77777777" w:rsidR="00387142" w:rsidRPr="008B6A75" w:rsidRDefault="00387142" w:rsidP="00387142">
            <w:pPr>
              <w:jc w:val="right"/>
              <w:rPr>
                <w:sz w:val="20"/>
                <w:szCs w:val="20"/>
              </w:rPr>
            </w:pPr>
            <w:r w:rsidRPr="008B6A75">
              <w:rPr>
                <w:sz w:val="20"/>
                <w:szCs w:val="20"/>
              </w:rPr>
              <w:t>1 760 000,00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4062B1F0" w14:textId="77777777" w:rsidR="00387142" w:rsidRPr="008B6A75" w:rsidRDefault="00387142" w:rsidP="00387142">
            <w:pPr>
              <w:jc w:val="right"/>
              <w:rPr>
                <w:sz w:val="20"/>
                <w:szCs w:val="20"/>
              </w:rPr>
            </w:pPr>
            <w:r w:rsidRPr="008B6A75">
              <w:rPr>
                <w:sz w:val="20"/>
                <w:szCs w:val="20"/>
              </w:rPr>
              <w:t>1 760 000,00</w:t>
            </w:r>
          </w:p>
        </w:tc>
      </w:tr>
      <w:tr w:rsidR="00387142" w:rsidRPr="008B6A75" w14:paraId="7839506A" w14:textId="77777777" w:rsidTr="00387142">
        <w:trPr>
          <w:trHeight w:val="1440"/>
        </w:trPr>
        <w:tc>
          <w:tcPr>
            <w:tcW w:w="3261" w:type="dxa"/>
            <w:tcBorders>
              <w:top w:val="nil"/>
              <w:left w:val="single" w:sz="4" w:space="0" w:color="auto"/>
              <w:bottom w:val="single" w:sz="4" w:space="0" w:color="auto"/>
              <w:right w:val="nil"/>
            </w:tcBorders>
            <w:shd w:val="clear" w:color="auto" w:fill="auto"/>
            <w:vAlign w:val="center"/>
            <w:hideMark/>
          </w:tcPr>
          <w:p w14:paraId="314AC320" w14:textId="77777777" w:rsidR="00387142" w:rsidRPr="008B6A75" w:rsidRDefault="00387142" w:rsidP="00387142">
            <w:pPr>
              <w:rPr>
                <w:bCs/>
                <w:sz w:val="20"/>
                <w:szCs w:val="20"/>
              </w:rPr>
            </w:pPr>
            <w:r w:rsidRPr="008B6A75">
              <w:rPr>
                <w:bCs/>
                <w:sz w:val="20"/>
                <w:szCs w:val="20"/>
              </w:rPr>
              <w:t xml:space="preserve">Реализация мероприятий по обеспечению сбалансированности местных </w:t>
            </w:r>
            <w:proofErr w:type="gramStart"/>
            <w:r w:rsidRPr="008B6A75">
              <w:rPr>
                <w:bCs/>
                <w:sz w:val="20"/>
                <w:szCs w:val="20"/>
              </w:rPr>
              <w:t>бюджетов  государственной</w:t>
            </w:r>
            <w:proofErr w:type="gramEnd"/>
            <w:r w:rsidRPr="008B6A75">
              <w:rPr>
                <w:bCs/>
                <w:sz w:val="20"/>
                <w:szCs w:val="20"/>
              </w:rPr>
              <w:t xml:space="preserve"> программы Новосибирской области "Управление  финансами в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14:paraId="1C2C6F81" w14:textId="77777777" w:rsidR="00387142" w:rsidRPr="008B6A75" w:rsidRDefault="00387142" w:rsidP="00387142">
            <w:pPr>
              <w:jc w:val="center"/>
              <w:rPr>
                <w:bCs/>
                <w:sz w:val="20"/>
                <w:szCs w:val="20"/>
              </w:rPr>
            </w:pPr>
            <w:r w:rsidRPr="008B6A75">
              <w:rPr>
                <w:bCs/>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FBE6946" w14:textId="77777777" w:rsidR="00387142" w:rsidRPr="008B6A75" w:rsidRDefault="00387142" w:rsidP="00387142">
            <w:pPr>
              <w:jc w:val="center"/>
              <w:rPr>
                <w:bCs/>
                <w:sz w:val="20"/>
                <w:szCs w:val="20"/>
              </w:rPr>
            </w:pPr>
            <w:r w:rsidRPr="008B6A75">
              <w:rPr>
                <w:bCs/>
                <w:sz w:val="20"/>
                <w:szCs w:val="20"/>
              </w:rPr>
              <w:t>02</w:t>
            </w:r>
          </w:p>
        </w:tc>
        <w:tc>
          <w:tcPr>
            <w:tcW w:w="1516" w:type="dxa"/>
            <w:tcBorders>
              <w:top w:val="nil"/>
              <w:left w:val="single" w:sz="4" w:space="0" w:color="auto"/>
              <w:bottom w:val="single" w:sz="4" w:space="0" w:color="auto"/>
              <w:right w:val="nil"/>
            </w:tcBorders>
            <w:shd w:val="clear" w:color="auto" w:fill="auto"/>
            <w:noWrap/>
            <w:vAlign w:val="center"/>
            <w:hideMark/>
          </w:tcPr>
          <w:p w14:paraId="76D99238" w14:textId="77777777" w:rsidR="00387142" w:rsidRPr="008B6A75" w:rsidRDefault="00387142" w:rsidP="00387142">
            <w:pPr>
              <w:jc w:val="center"/>
              <w:rPr>
                <w:bCs/>
                <w:sz w:val="20"/>
                <w:szCs w:val="20"/>
              </w:rPr>
            </w:pPr>
            <w:r w:rsidRPr="008B6A75">
              <w:rPr>
                <w:bCs/>
                <w:sz w:val="20"/>
                <w:szCs w:val="20"/>
              </w:rPr>
              <w:t>07.1.00.70510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3CB6ED9"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E684216" w14:textId="77777777" w:rsidR="00387142" w:rsidRPr="008B6A75" w:rsidRDefault="00387142" w:rsidP="00387142">
            <w:pPr>
              <w:jc w:val="right"/>
              <w:rPr>
                <w:bCs/>
                <w:sz w:val="20"/>
                <w:szCs w:val="20"/>
              </w:rPr>
            </w:pPr>
            <w:r w:rsidRPr="008B6A75">
              <w:rPr>
                <w:bCs/>
                <w:sz w:val="20"/>
                <w:szCs w:val="20"/>
              </w:rPr>
              <w:t>151 715 539,72</w:t>
            </w:r>
          </w:p>
        </w:tc>
        <w:tc>
          <w:tcPr>
            <w:tcW w:w="992" w:type="dxa"/>
            <w:tcBorders>
              <w:top w:val="nil"/>
              <w:left w:val="single" w:sz="4" w:space="0" w:color="auto"/>
              <w:bottom w:val="single" w:sz="4" w:space="0" w:color="auto"/>
              <w:right w:val="nil"/>
            </w:tcBorders>
            <w:shd w:val="clear" w:color="auto" w:fill="auto"/>
            <w:vAlign w:val="center"/>
            <w:hideMark/>
          </w:tcPr>
          <w:p w14:paraId="00BC3C3C" w14:textId="77777777" w:rsidR="00387142" w:rsidRPr="008B6A75" w:rsidRDefault="00387142" w:rsidP="00387142">
            <w:pPr>
              <w:jc w:val="right"/>
              <w:rPr>
                <w:bCs/>
                <w:sz w:val="20"/>
                <w:szCs w:val="20"/>
              </w:rPr>
            </w:pPr>
            <w:r w:rsidRPr="008B6A75">
              <w:rPr>
                <w:bCs/>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505F6F2F" w14:textId="77777777" w:rsidR="00387142" w:rsidRPr="008B6A75" w:rsidRDefault="00387142" w:rsidP="00387142">
            <w:pPr>
              <w:jc w:val="right"/>
              <w:rPr>
                <w:bCs/>
                <w:sz w:val="20"/>
                <w:szCs w:val="20"/>
              </w:rPr>
            </w:pPr>
            <w:r w:rsidRPr="008B6A75">
              <w:rPr>
                <w:bCs/>
                <w:sz w:val="20"/>
                <w:szCs w:val="20"/>
              </w:rPr>
              <w:t>0,00</w:t>
            </w:r>
          </w:p>
        </w:tc>
      </w:tr>
      <w:tr w:rsidR="00387142" w:rsidRPr="008B6A75" w14:paraId="3F3C320C" w14:textId="77777777" w:rsidTr="00387142">
        <w:trPr>
          <w:trHeight w:val="1440"/>
        </w:trPr>
        <w:tc>
          <w:tcPr>
            <w:tcW w:w="3261" w:type="dxa"/>
            <w:tcBorders>
              <w:top w:val="nil"/>
              <w:left w:val="single" w:sz="4" w:space="0" w:color="auto"/>
              <w:bottom w:val="single" w:sz="4" w:space="0" w:color="auto"/>
              <w:right w:val="nil"/>
            </w:tcBorders>
            <w:shd w:val="clear" w:color="auto" w:fill="auto"/>
            <w:vAlign w:val="center"/>
            <w:hideMark/>
          </w:tcPr>
          <w:p w14:paraId="49CEDEDB" w14:textId="77777777" w:rsidR="00387142" w:rsidRPr="008B6A75" w:rsidRDefault="00387142" w:rsidP="00387142">
            <w:pPr>
              <w:rPr>
                <w:sz w:val="20"/>
                <w:szCs w:val="20"/>
              </w:rPr>
            </w:pPr>
            <w:r w:rsidRPr="008B6A7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14:paraId="20484436" w14:textId="77777777" w:rsidR="00387142" w:rsidRPr="008B6A75" w:rsidRDefault="00387142" w:rsidP="00387142">
            <w:pPr>
              <w:jc w:val="center"/>
              <w:rPr>
                <w:sz w:val="20"/>
                <w:szCs w:val="20"/>
              </w:rPr>
            </w:pPr>
            <w:r w:rsidRPr="008B6A75">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F6D9E7E" w14:textId="77777777" w:rsidR="00387142" w:rsidRPr="008B6A75" w:rsidRDefault="00387142" w:rsidP="00387142">
            <w:pPr>
              <w:jc w:val="center"/>
              <w:rPr>
                <w:sz w:val="20"/>
                <w:szCs w:val="20"/>
              </w:rPr>
            </w:pPr>
            <w:r w:rsidRPr="008B6A75">
              <w:rPr>
                <w:sz w:val="20"/>
                <w:szCs w:val="20"/>
              </w:rPr>
              <w:t>02</w:t>
            </w:r>
          </w:p>
        </w:tc>
        <w:tc>
          <w:tcPr>
            <w:tcW w:w="1516" w:type="dxa"/>
            <w:tcBorders>
              <w:top w:val="nil"/>
              <w:left w:val="single" w:sz="4" w:space="0" w:color="auto"/>
              <w:bottom w:val="single" w:sz="4" w:space="0" w:color="auto"/>
              <w:right w:val="nil"/>
            </w:tcBorders>
            <w:shd w:val="clear" w:color="auto" w:fill="auto"/>
            <w:noWrap/>
            <w:vAlign w:val="center"/>
            <w:hideMark/>
          </w:tcPr>
          <w:p w14:paraId="7B65F733" w14:textId="77777777" w:rsidR="00387142" w:rsidRPr="008B6A75" w:rsidRDefault="00387142" w:rsidP="00387142">
            <w:pPr>
              <w:jc w:val="center"/>
              <w:rPr>
                <w:sz w:val="20"/>
                <w:szCs w:val="20"/>
              </w:rPr>
            </w:pPr>
            <w:r w:rsidRPr="008B6A75">
              <w:rPr>
                <w:sz w:val="20"/>
                <w:szCs w:val="20"/>
              </w:rPr>
              <w:t>07.1.00.70510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1C95EE9" w14:textId="77777777" w:rsidR="00387142" w:rsidRPr="008B6A75" w:rsidRDefault="00387142" w:rsidP="00387142">
            <w:pPr>
              <w:jc w:val="center"/>
              <w:rPr>
                <w:sz w:val="20"/>
                <w:szCs w:val="20"/>
              </w:rPr>
            </w:pPr>
            <w:r w:rsidRPr="008B6A75">
              <w:rPr>
                <w:sz w:val="20"/>
                <w:szCs w:val="20"/>
              </w:rPr>
              <w:t>100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54ABC06" w14:textId="77777777" w:rsidR="00387142" w:rsidRPr="008B6A75" w:rsidRDefault="00387142" w:rsidP="00387142">
            <w:pPr>
              <w:jc w:val="right"/>
              <w:rPr>
                <w:sz w:val="20"/>
                <w:szCs w:val="20"/>
              </w:rPr>
            </w:pPr>
            <w:r w:rsidRPr="008B6A75">
              <w:rPr>
                <w:sz w:val="20"/>
                <w:szCs w:val="20"/>
              </w:rPr>
              <w:t>85 537 034,83</w:t>
            </w:r>
          </w:p>
        </w:tc>
        <w:tc>
          <w:tcPr>
            <w:tcW w:w="992" w:type="dxa"/>
            <w:tcBorders>
              <w:top w:val="nil"/>
              <w:left w:val="single" w:sz="4" w:space="0" w:color="auto"/>
              <w:bottom w:val="single" w:sz="4" w:space="0" w:color="auto"/>
              <w:right w:val="nil"/>
            </w:tcBorders>
            <w:shd w:val="clear" w:color="auto" w:fill="auto"/>
            <w:vAlign w:val="center"/>
            <w:hideMark/>
          </w:tcPr>
          <w:p w14:paraId="4F1C38E6" w14:textId="77777777" w:rsidR="00387142" w:rsidRPr="008B6A75" w:rsidRDefault="00387142" w:rsidP="00387142">
            <w:pPr>
              <w:jc w:val="right"/>
              <w:rPr>
                <w:sz w:val="20"/>
                <w:szCs w:val="20"/>
              </w:rPr>
            </w:pPr>
            <w:r w:rsidRPr="008B6A75">
              <w:rPr>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08BFC02D" w14:textId="77777777" w:rsidR="00387142" w:rsidRPr="008B6A75" w:rsidRDefault="00387142" w:rsidP="00387142">
            <w:pPr>
              <w:jc w:val="right"/>
              <w:rPr>
                <w:sz w:val="20"/>
                <w:szCs w:val="20"/>
              </w:rPr>
            </w:pPr>
            <w:r w:rsidRPr="008B6A75">
              <w:rPr>
                <w:sz w:val="20"/>
                <w:szCs w:val="20"/>
              </w:rPr>
              <w:t>0,00</w:t>
            </w:r>
          </w:p>
        </w:tc>
      </w:tr>
      <w:tr w:rsidR="00387142" w:rsidRPr="008B6A75" w14:paraId="27DE9C7D" w14:textId="77777777" w:rsidTr="00387142">
        <w:trPr>
          <w:trHeight w:val="585"/>
        </w:trPr>
        <w:tc>
          <w:tcPr>
            <w:tcW w:w="3261" w:type="dxa"/>
            <w:tcBorders>
              <w:top w:val="nil"/>
              <w:left w:val="single" w:sz="4" w:space="0" w:color="auto"/>
              <w:bottom w:val="single" w:sz="4" w:space="0" w:color="auto"/>
              <w:right w:val="nil"/>
            </w:tcBorders>
            <w:shd w:val="clear" w:color="auto" w:fill="auto"/>
            <w:vAlign w:val="center"/>
            <w:hideMark/>
          </w:tcPr>
          <w:p w14:paraId="0358DCF1" w14:textId="77777777" w:rsidR="00387142" w:rsidRPr="008B6A75" w:rsidRDefault="00387142" w:rsidP="00387142">
            <w:pPr>
              <w:rPr>
                <w:sz w:val="20"/>
                <w:szCs w:val="20"/>
              </w:rPr>
            </w:pPr>
            <w:r w:rsidRPr="008B6A75">
              <w:rPr>
                <w:sz w:val="20"/>
                <w:szCs w:val="20"/>
              </w:rPr>
              <w:t>Расходы на выплаты персоналу казенных учреждений</w:t>
            </w:r>
          </w:p>
        </w:tc>
        <w:tc>
          <w:tcPr>
            <w:tcW w:w="720" w:type="dxa"/>
            <w:tcBorders>
              <w:top w:val="nil"/>
              <w:left w:val="single" w:sz="4" w:space="0" w:color="auto"/>
              <w:bottom w:val="single" w:sz="4" w:space="0" w:color="auto"/>
              <w:right w:val="nil"/>
            </w:tcBorders>
            <w:shd w:val="clear" w:color="auto" w:fill="auto"/>
            <w:noWrap/>
            <w:vAlign w:val="center"/>
            <w:hideMark/>
          </w:tcPr>
          <w:p w14:paraId="0320B038" w14:textId="77777777" w:rsidR="00387142" w:rsidRPr="008B6A75" w:rsidRDefault="00387142" w:rsidP="00387142">
            <w:pPr>
              <w:jc w:val="center"/>
              <w:rPr>
                <w:sz w:val="20"/>
                <w:szCs w:val="20"/>
              </w:rPr>
            </w:pPr>
            <w:r w:rsidRPr="008B6A75">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814FD55" w14:textId="77777777" w:rsidR="00387142" w:rsidRPr="008B6A75" w:rsidRDefault="00387142" w:rsidP="00387142">
            <w:pPr>
              <w:jc w:val="center"/>
              <w:rPr>
                <w:sz w:val="20"/>
                <w:szCs w:val="20"/>
              </w:rPr>
            </w:pPr>
            <w:r w:rsidRPr="008B6A75">
              <w:rPr>
                <w:sz w:val="20"/>
                <w:szCs w:val="20"/>
              </w:rPr>
              <w:t>02</w:t>
            </w:r>
          </w:p>
        </w:tc>
        <w:tc>
          <w:tcPr>
            <w:tcW w:w="1516" w:type="dxa"/>
            <w:tcBorders>
              <w:top w:val="nil"/>
              <w:left w:val="single" w:sz="4" w:space="0" w:color="auto"/>
              <w:bottom w:val="single" w:sz="4" w:space="0" w:color="auto"/>
              <w:right w:val="nil"/>
            </w:tcBorders>
            <w:shd w:val="clear" w:color="auto" w:fill="auto"/>
            <w:noWrap/>
            <w:vAlign w:val="center"/>
            <w:hideMark/>
          </w:tcPr>
          <w:p w14:paraId="78476711" w14:textId="77777777" w:rsidR="00387142" w:rsidRPr="008B6A75" w:rsidRDefault="00387142" w:rsidP="00387142">
            <w:pPr>
              <w:jc w:val="center"/>
              <w:rPr>
                <w:sz w:val="20"/>
                <w:szCs w:val="20"/>
              </w:rPr>
            </w:pPr>
            <w:r w:rsidRPr="008B6A75">
              <w:rPr>
                <w:sz w:val="20"/>
                <w:szCs w:val="20"/>
              </w:rPr>
              <w:t>07.1.00.70510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649E911" w14:textId="77777777" w:rsidR="00387142" w:rsidRPr="008B6A75" w:rsidRDefault="00387142" w:rsidP="00387142">
            <w:pPr>
              <w:jc w:val="center"/>
              <w:rPr>
                <w:sz w:val="20"/>
                <w:szCs w:val="20"/>
              </w:rPr>
            </w:pPr>
            <w:r w:rsidRPr="008B6A75">
              <w:rPr>
                <w:sz w:val="20"/>
                <w:szCs w:val="20"/>
              </w:rPr>
              <w:t>110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C7F0E9D" w14:textId="77777777" w:rsidR="00387142" w:rsidRPr="008B6A75" w:rsidRDefault="00387142" w:rsidP="00387142">
            <w:pPr>
              <w:jc w:val="right"/>
              <w:rPr>
                <w:sz w:val="20"/>
                <w:szCs w:val="20"/>
              </w:rPr>
            </w:pPr>
            <w:r w:rsidRPr="008B6A75">
              <w:rPr>
                <w:sz w:val="20"/>
                <w:szCs w:val="20"/>
              </w:rPr>
              <w:t>85 537 034,83</w:t>
            </w:r>
          </w:p>
        </w:tc>
        <w:tc>
          <w:tcPr>
            <w:tcW w:w="992" w:type="dxa"/>
            <w:tcBorders>
              <w:top w:val="nil"/>
              <w:left w:val="single" w:sz="4" w:space="0" w:color="auto"/>
              <w:bottom w:val="single" w:sz="4" w:space="0" w:color="auto"/>
              <w:right w:val="nil"/>
            </w:tcBorders>
            <w:shd w:val="clear" w:color="auto" w:fill="auto"/>
            <w:vAlign w:val="center"/>
            <w:hideMark/>
          </w:tcPr>
          <w:p w14:paraId="716063EA" w14:textId="77777777" w:rsidR="00387142" w:rsidRPr="008B6A75" w:rsidRDefault="00387142" w:rsidP="00387142">
            <w:pPr>
              <w:jc w:val="right"/>
              <w:rPr>
                <w:sz w:val="20"/>
                <w:szCs w:val="20"/>
              </w:rPr>
            </w:pPr>
            <w:r w:rsidRPr="008B6A75">
              <w:rPr>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19E601C5" w14:textId="77777777" w:rsidR="00387142" w:rsidRPr="008B6A75" w:rsidRDefault="00387142" w:rsidP="00387142">
            <w:pPr>
              <w:jc w:val="right"/>
              <w:rPr>
                <w:sz w:val="20"/>
                <w:szCs w:val="20"/>
              </w:rPr>
            </w:pPr>
            <w:r w:rsidRPr="008B6A75">
              <w:rPr>
                <w:sz w:val="20"/>
                <w:szCs w:val="20"/>
              </w:rPr>
              <w:t>0,00</w:t>
            </w:r>
          </w:p>
        </w:tc>
      </w:tr>
      <w:tr w:rsidR="00387142" w:rsidRPr="008B6A75" w14:paraId="487990AC" w14:textId="77777777" w:rsidTr="00387142">
        <w:trPr>
          <w:trHeight w:val="870"/>
        </w:trPr>
        <w:tc>
          <w:tcPr>
            <w:tcW w:w="3261" w:type="dxa"/>
            <w:tcBorders>
              <w:top w:val="nil"/>
              <w:left w:val="single" w:sz="4" w:space="0" w:color="auto"/>
              <w:bottom w:val="single" w:sz="4" w:space="0" w:color="auto"/>
              <w:right w:val="nil"/>
            </w:tcBorders>
            <w:shd w:val="clear" w:color="auto" w:fill="auto"/>
            <w:vAlign w:val="center"/>
            <w:hideMark/>
          </w:tcPr>
          <w:p w14:paraId="22262A8C" w14:textId="77777777" w:rsidR="00387142" w:rsidRPr="008B6A75" w:rsidRDefault="00387142" w:rsidP="00387142">
            <w:pPr>
              <w:rPr>
                <w:sz w:val="20"/>
                <w:szCs w:val="20"/>
              </w:rPr>
            </w:pPr>
            <w:r w:rsidRPr="008B6A75">
              <w:rPr>
                <w:sz w:val="20"/>
                <w:szCs w:val="20"/>
              </w:rPr>
              <w:t>Предоставление субсидий бюджетным, автономным учреждениям и иным некоммерческим организациям</w:t>
            </w:r>
          </w:p>
        </w:tc>
        <w:tc>
          <w:tcPr>
            <w:tcW w:w="720" w:type="dxa"/>
            <w:tcBorders>
              <w:top w:val="nil"/>
              <w:left w:val="single" w:sz="4" w:space="0" w:color="auto"/>
              <w:bottom w:val="single" w:sz="4" w:space="0" w:color="auto"/>
              <w:right w:val="nil"/>
            </w:tcBorders>
            <w:shd w:val="clear" w:color="auto" w:fill="auto"/>
            <w:noWrap/>
            <w:vAlign w:val="center"/>
            <w:hideMark/>
          </w:tcPr>
          <w:p w14:paraId="2D3B0D1C" w14:textId="77777777" w:rsidR="00387142" w:rsidRPr="008B6A75" w:rsidRDefault="00387142" w:rsidP="00387142">
            <w:pPr>
              <w:jc w:val="center"/>
              <w:rPr>
                <w:sz w:val="20"/>
                <w:szCs w:val="20"/>
              </w:rPr>
            </w:pPr>
            <w:r w:rsidRPr="008B6A75">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D72B341" w14:textId="77777777" w:rsidR="00387142" w:rsidRPr="008B6A75" w:rsidRDefault="00387142" w:rsidP="00387142">
            <w:pPr>
              <w:jc w:val="center"/>
              <w:rPr>
                <w:sz w:val="20"/>
                <w:szCs w:val="20"/>
              </w:rPr>
            </w:pPr>
            <w:r w:rsidRPr="008B6A75">
              <w:rPr>
                <w:sz w:val="20"/>
                <w:szCs w:val="20"/>
              </w:rPr>
              <w:t>02</w:t>
            </w:r>
          </w:p>
        </w:tc>
        <w:tc>
          <w:tcPr>
            <w:tcW w:w="1516" w:type="dxa"/>
            <w:tcBorders>
              <w:top w:val="nil"/>
              <w:left w:val="single" w:sz="4" w:space="0" w:color="auto"/>
              <w:bottom w:val="single" w:sz="4" w:space="0" w:color="auto"/>
              <w:right w:val="nil"/>
            </w:tcBorders>
            <w:shd w:val="clear" w:color="auto" w:fill="auto"/>
            <w:noWrap/>
            <w:vAlign w:val="center"/>
            <w:hideMark/>
          </w:tcPr>
          <w:p w14:paraId="44539469" w14:textId="77777777" w:rsidR="00387142" w:rsidRPr="008B6A75" w:rsidRDefault="00387142" w:rsidP="00387142">
            <w:pPr>
              <w:jc w:val="center"/>
              <w:rPr>
                <w:sz w:val="20"/>
                <w:szCs w:val="20"/>
              </w:rPr>
            </w:pPr>
            <w:r w:rsidRPr="008B6A75">
              <w:rPr>
                <w:sz w:val="20"/>
                <w:szCs w:val="20"/>
              </w:rPr>
              <w:t>07.1.00.70510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5716B24" w14:textId="77777777" w:rsidR="00387142" w:rsidRPr="008B6A75" w:rsidRDefault="00387142" w:rsidP="00387142">
            <w:pPr>
              <w:jc w:val="center"/>
              <w:rPr>
                <w:sz w:val="20"/>
                <w:szCs w:val="20"/>
              </w:rPr>
            </w:pPr>
            <w:r w:rsidRPr="008B6A75">
              <w:rPr>
                <w:sz w:val="20"/>
                <w:szCs w:val="20"/>
              </w:rPr>
              <w:t>600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B282C9A" w14:textId="77777777" w:rsidR="00387142" w:rsidRPr="008B6A75" w:rsidRDefault="00387142" w:rsidP="00387142">
            <w:pPr>
              <w:jc w:val="right"/>
              <w:rPr>
                <w:sz w:val="20"/>
                <w:szCs w:val="20"/>
              </w:rPr>
            </w:pPr>
            <w:r w:rsidRPr="008B6A75">
              <w:rPr>
                <w:sz w:val="20"/>
                <w:szCs w:val="20"/>
              </w:rPr>
              <w:t>66 178 504,89</w:t>
            </w:r>
          </w:p>
        </w:tc>
        <w:tc>
          <w:tcPr>
            <w:tcW w:w="992" w:type="dxa"/>
            <w:tcBorders>
              <w:top w:val="nil"/>
              <w:left w:val="single" w:sz="4" w:space="0" w:color="auto"/>
              <w:bottom w:val="single" w:sz="4" w:space="0" w:color="auto"/>
              <w:right w:val="nil"/>
            </w:tcBorders>
            <w:shd w:val="clear" w:color="auto" w:fill="auto"/>
            <w:vAlign w:val="center"/>
            <w:hideMark/>
          </w:tcPr>
          <w:p w14:paraId="4F43F8B2" w14:textId="77777777" w:rsidR="00387142" w:rsidRPr="008B6A75" w:rsidRDefault="00387142" w:rsidP="00387142">
            <w:pPr>
              <w:jc w:val="right"/>
              <w:rPr>
                <w:sz w:val="20"/>
                <w:szCs w:val="20"/>
              </w:rPr>
            </w:pPr>
            <w:r w:rsidRPr="008B6A75">
              <w:rPr>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7DA89C1A" w14:textId="77777777" w:rsidR="00387142" w:rsidRPr="008B6A75" w:rsidRDefault="00387142" w:rsidP="00387142">
            <w:pPr>
              <w:jc w:val="right"/>
              <w:rPr>
                <w:sz w:val="20"/>
                <w:szCs w:val="20"/>
              </w:rPr>
            </w:pPr>
            <w:r w:rsidRPr="008B6A75">
              <w:rPr>
                <w:sz w:val="20"/>
                <w:szCs w:val="20"/>
              </w:rPr>
              <w:t>0,00</w:t>
            </w:r>
          </w:p>
        </w:tc>
      </w:tr>
      <w:tr w:rsidR="00387142" w:rsidRPr="008B6A75" w14:paraId="0C9D3CBC" w14:textId="77777777" w:rsidTr="00387142">
        <w:trPr>
          <w:trHeight w:val="345"/>
        </w:trPr>
        <w:tc>
          <w:tcPr>
            <w:tcW w:w="3261" w:type="dxa"/>
            <w:tcBorders>
              <w:top w:val="nil"/>
              <w:left w:val="single" w:sz="4" w:space="0" w:color="auto"/>
              <w:bottom w:val="single" w:sz="4" w:space="0" w:color="auto"/>
              <w:right w:val="nil"/>
            </w:tcBorders>
            <w:shd w:val="clear" w:color="auto" w:fill="auto"/>
            <w:vAlign w:val="center"/>
            <w:hideMark/>
          </w:tcPr>
          <w:p w14:paraId="7AB000CE" w14:textId="77777777" w:rsidR="00387142" w:rsidRPr="008B6A75" w:rsidRDefault="00387142" w:rsidP="00387142">
            <w:pPr>
              <w:rPr>
                <w:sz w:val="20"/>
                <w:szCs w:val="20"/>
              </w:rPr>
            </w:pPr>
            <w:r w:rsidRPr="008B6A75">
              <w:rPr>
                <w:sz w:val="20"/>
                <w:szCs w:val="20"/>
              </w:rPr>
              <w:t>Субсидии бюджетным учреждениям</w:t>
            </w:r>
          </w:p>
        </w:tc>
        <w:tc>
          <w:tcPr>
            <w:tcW w:w="720" w:type="dxa"/>
            <w:tcBorders>
              <w:top w:val="nil"/>
              <w:left w:val="single" w:sz="4" w:space="0" w:color="auto"/>
              <w:bottom w:val="single" w:sz="4" w:space="0" w:color="auto"/>
              <w:right w:val="nil"/>
            </w:tcBorders>
            <w:shd w:val="clear" w:color="auto" w:fill="auto"/>
            <w:noWrap/>
            <w:vAlign w:val="center"/>
            <w:hideMark/>
          </w:tcPr>
          <w:p w14:paraId="4D1BD55F" w14:textId="77777777" w:rsidR="00387142" w:rsidRPr="008B6A75" w:rsidRDefault="00387142" w:rsidP="00387142">
            <w:pPr>
              <w:jc w:val="center"/>
              <w:rPr>
                <w:sz w:val="20"/>
                <w:szCs w:val="20"/>
              </w:rPr>
            </w:pPr>
            <w:r w:rsidRPr="008B6A75">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FD58523" w14:textId="77777777" w:rsidR="00387142" w:rsidRPr="008B6A75" w:rsidRDefault="00387142" w:rsidP="00387142">
            <w:pPr>
              <w:jc w:val="center"/>
              <w:rPr>
                <w:sz w:val="20"/>
                <w:szCs w:val="20"/>
              </w:rPr>
            </w:pPr>
            <w:r w:rsidRPr="008B6A75">
              <w:rPr>
                <w:sz w:val="20"/>
                <w:szCs w:val="20"/>
              </w:rPr>
              <w:t>02</w:t>
            </w:r>
          </w:p>
        </w:tc>
        <w:tc>
          <w:tcPr>
            <w:tcW w:w="1516" w:type="dxa"/>
            <w:tcBorders>
              <w:top w:val="nil"/>
              <w:left w:val="single" w:sz="4" w:space="0" w:color="auto"/>
              <w:bottom w:val="single" w:sz="4" w:space="0" w:color="auto"/>
              <w:right w:val="nil"/>
            </w:tcBorders>
            <w:shd w:val="clear" w:color="auto" w:fill="auto"/>
            <w:noWrap/>
            <w:vAlign w:val="center"/>
            <w:hideMark/>
          </w:tcPr>
          <w:p w14:paraId="7D617191" w14:textId="77777777" w:rsidR="00387142" w:rsidRPr="008B6A75" w:rsidRDefault="00387142" w:rsidP="00387142">
            <w:pPr>
              <w:jc w:val="center"/>
              <w:rPr>
                <w:sz w:val="20"/>
                <w:szCs w:val="20"/>
              </w:rPr>
            </w:pPr>
            <w:r w:rsidRPr="008B6A75">
              <w:rPr>
                <w:sz w:val="20"/>
                <w:szCs w:val="20"/>
              </w:rPr>
              <w:t>07.1.00.70510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E4ED06C" w14:textId="77777777" w:rsidR="00387142" w:rsidRPr="008B6A75" w:rsidRDefault="00387142" w:rsidP="00387142">
            <w:pPr>
              <w:jc w:val="center"/>
              <w:rPr>
                <w:sz w:val="20"/>
                <w:szCs w:val="20"/>
              </w:rPr>
            </w:pPr>
            <w:r w:rsidRPr="008B6A75">
              <w:rPr>
                <w:sz w:val="20"/>
                <w:szCs w:val="20"/>
              </w:rPr>
              <w:t>610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09E85BE" w14:textId="77777777" w:rsidR="00387142" w:rsidRPr="008B6A75" w:rsidRDefault="00387142" w:rsidP="00387142">
            <w:pPr>
              <w:jc w:val="right"/>
              <w:rPr>
                <w:sz w:val="20"/>
                <w:szCs w:val="20"/>
              </w:rPr>
            </w:pPr>
            <w:r w:rsidRPr="008B6A75">
              <w:rPr>
                <w:sz w:val="20"/>
                <w:szCs w:val="20"/>
              </w:rPr>
              <w:t>66 178 504,89</w:t>
            </w:r>
          </w:p>
        </w:tc>
        <w:tc>
          <w:tcPr>
            <w:tcW w:w="992" w:type="dxa"/>
            <w:tcBorders>
              <w:top w:val="nil"/>
              <w:left w:val="single" w:sz="4" w:space="0" w:color="auto"/>
              <w:bottom w:val="single" w:sz="4" w:space="0" w:color="auto"/>
              <w:right w:val="nil"/>
            </w:tcBorders>
            <w:shd w:val="clear" w:color="auto" w:fill="auto"/>
            <w:vAlign w:val="center"/>
            <w:hideMark/>
          </w:tcPr>
          <w:p w14:paraId="6C7DA0F0" w14:textId="77777777" w:rsidR="00387142" w:rsidRPr="008B6A75" w:rsidRDefault="00387142" w:rsidP="00387142">
            <w:pPr>
              <w:jc w:val="right"/>
              <w:rPr>
                <w:sz w:val="20"/>
                <w:szCs w:val="20"/>
              </w:rPr>
            </w:pPr>
            <w:r w:rsidRPr="008B6A75">
              <w:rPr>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2A940C01" w14:textId="77777777" w:rsidR="00387142" w:rsidRPr="008B6A75" w:rsidRDefault="00387142" w:rsidP="00387142">
            <w:pPr>
              <w:jc w:val="right"/>
              <w:rPr>
                <w:sz w:val="20"/>
                <w:szCs w:val="20"/>
              </w:rPr>
            </w:pPr>
            <w:r w:rsidRPr="008B6A75">
              <w:rPr>
                <w:sz w:val="20"/>
                <w:szCs w:val="20"/>
              </w:rPr>
              <w:t>0,00</w:t>
            </w:r>
          </w:p>
        </w:tc>
      </w:tr>
      <w:tr w:rsidR="00387142" w:rsidRPr="008B6A75" w14:paraId="2253C265" w14:textId="77777777" w:rsidTr="00387142">
        <w:trPr>
          <w:trHeight w:val="870"/>
        </w:trPr>
        <w:tc>
          <w:tcPr>
            <w:tcW w:w="3261" w:type="dxa"/>
            <w:tcBorders>
              <w:top w:val="nil"/>
              <w:left w:val="single" w:sz="4" w:space="0" w:color="auto"/>
              <w:bottom w:val="single" w:sz="4" w:space="0" w:color="auto"/>
              <w:right w:val="nil"/>
            </w:tcBorders>
            <w:shd w:val="clear" w:color="auto" w:fill="auto"/>
            <w:vAlign w:val="center"/>
            <w:hideMark/>
          </w:tcPr>
          <w:p w14:paraId="072FBEE2" w14:textId="77777777" w:rsidR="00387142" w:rsidRPr="008B6A75" w:rsidRDefault="00387142" w:rsidP="00387142">
            <w:pPr>
              <w:rPr>
                <w:bCs/>
                <w:sz w:val="20"/>
                <w:szCs w:val="20"/>
              </w:rPr>
            </w:pPr>
            <w:r w:rsidRPr="008B6A75">
              <w:rPr>
                <w:bCs/>
                <w:sz w:val="20"/>
                <w:szCs w:val="20"/>
              </w:rPr>
              <w:t xml:space="preserve">Реализация мероприятий в рамках </w:t>
            </w:r>
            <w:proofErr w:type="spellStart"/>
            <w:r w:rsidRPr="008B6A75">
              <w:rPr>
                <w:bCs/>
                <w:sz w:val="20"/>
                <w:szCs w:val="20"/>
              </w:rPr>
              <w:t>подпрограммы"Развитие</w:t>
            </w:r>
            <w:proofErr w:type="spellEnd"/>
            <w:r w:rsidRPr="008B6A75">
              <w:rPr>
                <w:bCs/>
                <w:sz w:val="20"/>
                <w:szCs w:val="20"/>
              </w:rPr>
              <w:t xml:space="preserve"> дошкольного, общего и дополнительного образования детей "</w:t>
            </w:r>
          </w:p>
        </w:tc>
        <w:tc>
          <w:tcPr>
            <w:tcW w:w="720" w:type="dxa"/>
            <w:tcBorders>
              <w:top w:val="nil"/>
              <w:left w:val="single" w:sz="4" w:space="0" w:color="auto"/>
              <w:bottom w:val="single" w:sz="4" w:space="0" w:color="auto"/>
              <w:right w:val="nil"/>
            </w:tcBorders>
            <w:shd w:val="clear" w:color="auto" w:fill="auto"/>
            <w:noWrap/>
            <w:vAlign w:val="center"/>
            <w:hideMark/>
          </w:tcPr>
          <w:p w14:paraId="4DBA9B9F" w14:textId="77777777" w:rsidR="00387142" w:rsidRPr="008B6A75" w:rsidRDefault="00387142" w:rsidP="00387142">
            <w:pPr>
              <w:jc w:val="center"/>
              <w:rPr>
                <w:bCs/>
                <w:sz w:val="20"/>
                <w:szCs w:val="20"/>
              </w:rPr>
            </w:pPr>
            <w:r w:rsidRPr="008B6A75">
              <w:rPr>
                <w:bCs/>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AF11375" w14:textId="77777777" w:rsidR="00387142" w:rsidRPr="008B6A75" w:rsidRDefault="00387142" w:rsidP="00387142">
            <w:pPr>
              <w:jc w:val="center"/>
              <w:rPr>
                <w:bCs/>
                <w:sz w:val="20"/>
                <w:szCs w:val="20"/>
              </w:rPr>
            </w:pPr>
            <w:r w:rsidRPr="008B6A75">
              <w:rPr>
                <w:bCs/>
                <w:sz w:val="20"/>
                <w:szCs w:val="20"/>
              </w:rPr>
              <w:t>02</w:t>
            </w:r>
          </w:p>
        </w:tc>
        <w:tc>
          <w:tcPr>
            <w:tcW w:w="1516" w:type="dxa"/>
            <w:tcBorders>
              <w:top w:val="nil"/>
              <w:left w:val="single" w:sz="4" w:space="0" w:color="auto"/>
              <w:bottom w:val="single" w:sz="4" w:space="0" w:color="auto"/>
              <w:right w:val="nil"/>
            </w:tcBorders>
            <w:shd w:val="clear" w:color="auto" w:fill="auto"/>
            <w:noWrap/>
            <w:vAlign w:val="center"/>
            <w:hideMark/>
          </w:tcPr>
          <w:p w14:paraId="5D842A2C" w14:textId="77777777" w:rsidR="00387142" w:rsidRPr="008B6A75" w:rsidRDefault="00387142" w:rsidP="00387142">
            <w:pPr>
              <w:jc w:val="center"/>
              <w:rPr>
                <w:bCs/>
                <w:sz w:val="20"/>
                <w:szCs w:val="20"/>
              </w:rPr>
            </w:pPr>
            <w:r w:rsidRPr="008B6A75">
              <w:rPr>
                <w:bCs/>
                <w:sz w:val="20"/>
                <w:szCs w:val="20"/>
              </w:rPr>
              <w:t>07.1.00.79500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252BC71"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B140874" w14:textId="77777777" w:rsidR="00387142" w:rsidRPr="008B6A75" w:rsidRDefault="00387142" w:rsidP="00387142">
            <w:pPr>
              <w:jc w:val="right"/>
              <w:rPr>
                <w:bCs/>
                <w:sz w:val="20"/>
                <w:szCs w:val="20"/>
              </w:rPr>
            </w:pPr>
            <w:r w:rsidRPr="008B6A75">
              <w:rPr>
                <w:bCs/>
                <w:sz w:val="20"/>
                <w:szCs w:val="20"/>
              </w:rPr>
              <w:t>725 240,00</w:t>
            </w:r>
          </w:p>
        </w:tc>
        <w:tc>
          <w:tcPr>
            <w:tcW w:w="992" w:type="dxa"/>
            <w:tcBorders>
              <w:top w:val="nil"/>
              <w:left w:val="single" w:sz="4" w:space="0" w:color="auto"/>
              <w:bottom w:val="single" w:sz="4" w:space="0" w:color="auto"/>
              <w:right w:val="nil"/>
            </w:tcBorders>
            <w:shd w:val="clear" w:color="auto" w:fill="auto"/>
            <w:vAlign w:val="center"/>
            <w:hideMark/>
          </w:tcPr>
          <w:p w14:paraId="3A9515F8" w14:textId="77777777" w:rsidR="00387142" w:rsidRPr="008B6A75" w:rsidRDefault="00387142" w:rsidP="00387142">
            <w:pPr>
              <w:jc w:val="right"/>
              <w:rPr>
                <w:bCs/>
                <w:sz w:val="20"/>
                <w:szCs w:val="20"/>
              </w:rPr>
            </w:pPr>
            <w:r w:rsidRPr="008B6A75">
              <w:rPr>
                <w:bCs/>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04789E0B" w14:textId="77777777" w:rsidR="00387142" w:rsidRPr="008B6A75" w:rsidRDefault="00387142" w:rsidP="00387142">
            <w:pPr>
              <w:jc w:val="right"/>
              <w:rPr>
                <w:bCs/>
                <w:sz w:val="20"/>
                <w:szCs w:val="20"/>
              </w:rPr>
            </w:pPr>
            <w:r w:rsidRPr="008B6A75">
              <w:rPr>
                <w:bCs/>
                <w:sz w:val="20"/>
                <w:szCs w:val="20"/>
              </w:rPr>
              <w:t>0,00</w:t>
            </w:r>
          </w:p>
        </w:tc>
      </w:tr>
      <w:tr w:rsidR="00387142" w:rsidRPr="008B6A75" w14:paraId="4067C4E4" w14:textId="77777777" w:rsidTr="00387142">
        <w:trPr>
          <w:trHeight w:val="870"/>
        </w:trPr>
        <w:tc>
          <w:tcPr>
            <w:tcW w:w="3261" w:type="dxa"/>
            <w:tcBorders>
              <w:top w:val="nil"/>
              <w:left w:val="single" w:sz="4" w:space="0" w:color="auto"/>
              <w:bottom w:val="single" w:sz="4" w:space="0" w:color="auto"/>
              <w:right w:val="nil"/>
            </w:tcBorders>
            <w:shd w:val="clear" w:color="auto" w:fill="auto"/>
            <w:vAlign w:val="center"/>
            <w:hideMark/>
          </w:tcPr>
          <w:p w14:paraId="02557197" w14:textId="77777777" w:rsidR="00387142" w:rsidRPr="008B6A75" w:rsidRDefault="00387142" w:rsidP="00387142">
            <w:pPr>
              <w:rPr>
                <w:sz w:val="20"/>
                <w:szCs w:val="20"/>
              </w:rPr>
            </w:pPr>
            <w:r w:rsidRPr="008B6A75">
              <w:rPr>
                <w:sz w:val="20"/>
                <w:szCs w:val="20"/>
              </w:rPr>
              <w:lastRenderedPageBreak/>
              <w:t>Предоставление субсидий бюджетным, автономным учреждениям и иным некоммерческим организациям</w:t>
            </w:r>
          </w:p>
        </w:tc>
        <w:tc>
          <w:tcPr>
            <w:tcW w:w="720" w:type="dxa"/>
            <w:tcBorders>
              <w:top w:val="nil"/>
              <w:left w:val="single" w:sz="4" w:space="0" w:color="auto"/>
              <w:bottom w:val="single" w:sz="4" w:space="0" w:color="auto"/>
              <w:right w:val="nil"/>
            </w:tcBorders>
            <w:shd w:val="clear" w:color="auto" w:fill="auto"/>
            <w:noWrap/>
            <w:vAlign w:val="center"/>
            <w:hideMark/>
          </w:tcPr>
          <w:p w14:paraId="22F3599E" w14:textId="77777777" w:rsidR="00387142" w:rsidRPr="008B6A75" w:rsidRDefault="00387142" w:rsidP="00387142">
            <w:pPr>
              <w:jc w:val="center"/>
              <w:rPr>
                <w:sz w:val="20"/>
                <w:szCs w:val="20"/>
              </w:rPr>
            </w:pPr>
            <w:r w:rsidRPr="008B6A75">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CC1B8DF" w14:textId="77777777" w:rsidR="00387142" w:rsidRPr="008B6A75" w:rsidRDefault="00387142" w:rsidP="00387142">
            <w:pPr>
              <w:jc w:val="center"/>
              <w:rPr>
                <w:sz w:val="20"/>
                <w:szCs w:val="20"/>
              </w:rPr>
            </w:pPr>
            <w:r w:rsidRPr="008B6A75">
              <w:rPr>
                <w:sz w:val="20"/>
                <w:szCs w:val="20"/>
              </w:rPr>
              <w:t>02</w:t>
            </w:r>
          </w:p>
        </w:tc>
        <w:tc>
          <w:tcPr>
            <w:tcW w:w="1516" w:type="dxa"/>
            <w:tcBorders>
              <w:top w:val="nil"/>
              <w:left w:val="single" w:sz="4" w:space="0" w:color="auto"/>
              <w:bottom w:val="single" w:sz="4" w:space="0" w:color="auto"/>
              <w:right w:val="nil"/>
            </w:tcBorders>
            <w:shd w:val="clear" w:color="auto" w:fill="auto"/>
            <w:noWrap/>
            <w:vAlign w:val="center"/>
            <w:hideMark/>
          </w:tcPr>
          <w:p w14:paraId="5EDE35E0" w14:textId="77777777" w:rsidR="00387142" w:rsidRPr="008B6A75" w:rsidRDefault="00387142" w:rsidP="00387142">
            <w:pPr>
              <w:jc w:val="center"/>
              <w:rPr>
                <w:sz w:val="20"/>
                <w:szCs w:val="20"/>
              </w:rPr>
            </w:pPr>
            <w:r w:rsidRPr="008B6A75">
              <w:rPr>
                <w:sz w:val="20"/>
                <w:szCs w:val="20"/>
              </w:rPr>
              <w:t>07.1.00.79500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DC5BDC0" w14:textId="77777777" w:rsidR="00387142" w:rsidRPr="008B6A75" w:rsidRDefault="00387142" w:rsidP="00387142">
            <w:pPr>
              <w:jc w:val="center"/>
              <w:rPr>
                <w:sz w:val="20"/>
                <w:szCs w:val="20"/>
              </w:rPr>
            </w:pPr>
            <w:r w:rsidRPr="008B6A75">
              <w:rPr>
                <w:sz w:val="20"/>
                <w:szCs w:val="20"/>
              </w:rPr>
              <w:t>600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60D2D63" w14:textId="77777777" w:rsidR="00387142" w:rsidRPr="008B6A75" w:rsidRDefault="00387142" w:rsidP="00387142">
            <w:pPr>
              <w:jc w:val="right"/>
              <w:rPr>
                <w:sz w:val="20"/>
                <w:szCs w:val="20"/>
              </w:rPr>
            </w:pPr>
            <w:r w:rsidRPr="008B6A75">
              <w:rPr>
                <w:sz w:val="20"/>
                <w:szCs w:val="20"/>
              </w:rPr>
              <w:t>725 240,00</w:t>
            </w:r>
          </w:p>
        </w:tc>
        <w:tc>
          <w:tcPr>
            <w:tcW w:w="992" w:type="dxa"/>
            <w:tcBorders>
              <w:top w:val="nil"/>
              <w:left w:val="single" w:sz="4" w:space="0" w:color="auto"/>
              <w:bottom w:val="single" w:sz="4" w:space="0" w:color="auto"/>
              <w:right w:val="nil"/>
            </w:tcBorders>
            <w:shd w:val="clear" w:color="auto" w:fill="auto"/>
            <w:vAlign w:val="center"/>
            <w:hideMark/>
          </w:tcPr>
          <w:p w14:paraId="72932978" w14:textId="77777777" w:rsidR="00387142" w:rsidRPr="008B6A75" w:rsidRDefault="00387142" w:rsidP="00387142">
            <w:pPr>
              <w:jc w:val="right"/>
              <w:rPr>
                <w:sz w:val="20"/>
                <w:szCs w:val="20"/>
              </w:rPr>
            </w:pPr>
            <w:r w:rsidRPr="008B6A75">
              <w:rPr>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12AAE033" w14:textId="77777777" w:rsidR="00387142" w:rsidRPr="008B6A75" w:rsidRDefault="00387142" w:rsidP="00387142">
            <w:pPr>
              <w:jc w:val="right"/>
              <w:rPr>
                <w:sz w:val="20"/>
                <w:szCs w:val="20"/>
              </w:rPr>
            </w:pPr>
            <w:r w:rsidRPr="008B6A75">
              <w:rPr>
                <w:sz w:val="20"/>
                <w:szCs w:val="20"/>
              </w:rPr>
              <w:t>0,00</w:t>
            </w:r>
          </w:p>
        </w:tc>
      </w:tr>
      <w:tr w:rsidR="00387142" w:rsidRPr="008B6A75" w14:paraId="7614C756" w14:textId="77777777" w:rsidTr="00387142">
        <w:trPr>
          <w:trHeight w:val="345"/>
        </w:trPr>
        <w:tc>
          <w:tcPr>
            <w:tcW w:w="3261" w:type="dxa"/>
            <w:tcBorders>
              <w:top w:val="nil"/>
              <w:left w:val="single" w:sz="4" w:space="0" w:color="auto"/>
              <w:bottom w:val="single" w:sz="4" w:space="0" w:color="auto"/>
              <w:right w:val="nil"/>
            </w:tcBorders>
            <w:shd w:val="clear" w:color="auto" w:fill="auto"/>
            <w:vAlign w:val="center"/>
            <w:hideMark/>
          </w:tcPr>
          <w:p w14:paraId="67F939CA" w14:textId="77777777" w:rsidR="00387142" w:rsidRPr="008B6A75" w:rsidRDefault="00387142" w:rsidP="00387142">
            <w:pPr>
              <w:rPr>
                <w:sz w:val="20"/>
                <w:szCs w:val="20"/>
              </w:rPr>
            </w:pPr>
            <w:r w:rsidRPr="008B6A75">
              <w:rPr>
                <w:sz w:val="20"/>
                <w:szCs w:val="20"/>
              </w:rPr>
              <w:t>Субсидии бюджетным учреждениям</w:t>
            </w:r>
          </w:p>
        </w:tc>
        <w:tc>
          <w:tcPr>
            <w:tcW w:w="720" w:type="dxa"/>
            <w:tcBorders>
              <w:top w:val="nil"/>
              <w:left w:val="single" w:sz="4" w:space="0" w:color="auto"/>
              <w:bottom w:val="single" w:sz="4" w:space="0" w:color="auto"/>
              <w:right w:val="nil"/>
            </w:tcBorders>
            <w:shd w:val="clear" w:color="auto" w:fill="auto"/>
            <w:noWrap/>
            <w:vAlign w:val="center"/>
            <w:hideMark/>
          </w:tcPr>
          <w:p w14:paraId="5F2AE7DA" w14:textId="77777777" w:rsidR="00387142" w:rsidRPr="008B6A75" w:rsidRDefault="00387142" w:rsidP="00387142">
            <w:pPr>
              <w:jc w:val="center"/>
              <w:rPr>
                <w:sz w:val="20"/>
                <w:szCs w:val="20"/>
              </w:rPr>
            </w:pPr>
            <w:r w:rsidRPr="008B6A75">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C0D7E80" w14:textId="77777777" w:rsidR="00387142" w:rsidRPr="008B6A75" w:rsidRDefault="00387142" w:rsidP="00387142">
            <w:pPr>
              <w:jc w:val="center"/>
              <w:rPr>
                <w:sz w:val="20"/>
                <w:szCs w:val="20"/>
              </w:rPr>
            </w:pPr>
            <w:r w:rsidRPr="008B6A75">
              <w:rPr>
                <w:sz w:val="20"/>
                <w:szCs w:val="20"/>
              </w:rPr>
              <w:t>02</w:t>
            </w:r>
          </w:p>
        </w:tc>
        <w:tc>
          <w:tcPr>
            <w:tcW w:w="1516" w:type="dxa"/>
            <w:tcBorders>
              <w:top w:val="nil"/>
              <w:left w:val="single" w:sz="4" w:space="0" w:color="auto"/>
              <w:bottom w:val="single" w:sz="4" w:space="0" w:color="auto"/>
              <w:right w:val="nil"/>
            </w:tcBorders>
            <w:shd w:val="clear" w:color="auto" w:fill="auto"/>
            <w:noWrap/>
            <w:vAlign w:val="center"/>
            <w:hideMark/>
          </w:tcPr>
          <w:p w14:paraId="7CBAA1FA" w14:textId="77777777" w:rsidR="00387142" w:rsidRPr="008B6A75" w:rsidRDefault="00387142" w:rsidP="00387142">
            <w:pPr>
              <w:jc w:val="center"/>
              <w:rPr>
                <w:sz w:val="20"/>
                <w:szCs w:val="20"/>
              </w:rPr>
            </w:pPr>
            <w:r w:rsidRPr="008B6A75">
              <w:rPr>
                <w:sz w:val="20"/>
                <w:szCs w:val="20"/>
              </w:rPr>
              <w:t>07.1.00.79500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EE4FDD7" w14:textId="77777777" w:rsidR="00387142" w:rsidRPr="008B6A75" w:rsidRDefault="00387142" w:rsidP="00387142">
            <w:pPr>
              <w:jc w:val="center"/>
              <w:rPr>
                <w:sz w:val="20"/>
                <w:szCs w:val="20"/>
              </w:rPr>
            </w:pPr>
            <w:r w:rsidRPr="008B6A75">
              <w:rPr>
                <w:sz w:val="20"/>
                <w:szCs w:val="20"/>
              </w:rPr>
              <w:t>610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1EAEB0F" w14:textId="77777777" w:rsidR="00387142" w:rsidRPr="008B6A75" w:rsidRDefault="00387142" w:rsidP="00387142">
            <w:pPr>
              <w:jc w:val="right"/>
              <w:rPr>
                <w:sz w:val="20"/>
                <w:szCs w:val="20"/>
              </w:rPr>
            </w:pPr>
            <w:r w:rsidRPr="008B6A75">
              <w:rPr>
                <w:sz w:val="20"/>
                <w:szCs w:val="20"/>
              </w:rPr>
              <w:t>725 240,00</w:t>
            </w:r>
          </w:p>
        </w:tc>
        <w:tc>
          <w:tcPr>
            <w:tcW w:w="992" w:type="dxa"/>
            <w:tcBorders>
              <w:top w:val="nil"/>
              <w:left w:val="single" w:sz="4" w:space="0" w:color="auto"/>
              <w:bottom w:val="single" w:sz="4" w:space="0" w:color="auto"/>
              <w:right w:val="nil"/>
            </w:tcBorders>
            <w:shd w:val="clear" w:color="auto" w:fill="auto"/>
            <w:vAlign w:val="center"/>
            <w:hideMark/>
          </w:tcPr>
          <w:p w14:paraId="3C488301" w14:textId="77777777" w:rsidR="00387142" w:rsidRPr="008B6A75" w:rsidRDefault="00387142" w:rsidP="00387142">
            <w:pPr>
              <w:jc w:val="right"/>
              <w:rPr>
                <w:sz w:val="20"/>
                <w:szCs w:val="20"/>
              </w:rPr>
            </w:pPr>
            <w:r w:rsidRPr="008B6A75">
              <w:rPr>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44D68E10" w14:textId="77777777" w:rsidR="00387142" w:rsidRPr="008B6A75" w:rsidRDefault="00387142" w:rsidP="00387142">
            <w:pPr>
              <w:jc w:val="right"/>
              <w:rPr>
                <w:sz w:val="20"/>
                <w:szCs w:val="20"/>
              </w:rPr>
            </w:pPr>
            <w:r w:rsidRPr="008B6A75">
              <w:rPr>
                <w:sz w:val="20"/>
                <w:szCs w:val="20"/>
              </w:rPr>
              <w:t>0,00</w:t>
            </w:r>
          </w:p>
        </w:tc>
      </w:tr>
      <w:tr w:rsidR="00387142" w:rsidRPr="008B6A75" w14:paraId="59A4ED56" w14:textId="77777777" w:rsidTr="00387142">
        <w:trPr>
          <w:trHeight w:val="2295"/>
        </w:trPr>
        <w:tc>
          <w:tcPr>
            <w:tcW w:w="3261" w:type="dxa"/>
            <w:tcBorders>
              <w:top w:val="nil"/>
              <w:left w:val="single" w:sz="4" w:space="0" w:color="auto"/>
              <w:bottom w:val="single" w:sz="4" w:space="0" w:color="auto"/>
              <w:right w:val="nil"/>
            </w:tcBorders>
            <w:shd w:val="clear" w:color="auto" w:fill="auto"/>
            <w:vAlign w:val="center"/>
            <w:hideMark/>
          </w:tcPr>
          <w:p w14:paraId="1630320B" w14:textId="77777777" w:rsidR="00387142" w:rsidRPr="008B6A75" w:rsidRDefault="00387142" w:rsidP="00387142">
            <w:pPr>
              <w:rPr>
                <w:bCs/>
                <w:sz w:val="20"/>
                <w:szCs w:val="20"/>
              </w:rPr>
            </w:pPr>
            <w:r w:rsidRPr="008B6A75">
              <w:rPr>
                <w:bCs/>
                <w:sz w:val="20"/>
                <w:szCs w:val="20"/>
              </w:rPr>
              <w:t>Организация бесплатного горячего питания обучающихся, получающих начальное общее образование в муниципальных образовательных организациях,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14:paraId="51FC96F4" w14:textId="77777777" w:rsidR="00387142" w:rsidRPr="008B6A75" w:rsidRDefault="00387142" w:rsidP="00387142">
            <w:pPr>
              <w:jc w:val="center"/>
              <w:rPr>
                <w:bCs/>
                <w:sz w:val="20"/>
                <w:szCs w:val="20"/>
              </w:rPr>
            </w:pPr>
            <w:r w:rsidRPr="008B6A75">
              <w:rPr>
                <w:bCs/>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237E901" w14:textId="77777777" w:rsidR="00387142" w:rsidRPr="008B6A75" w:rsidRDefault="00387142" w:rsidP="00387142">
            <w:pPr>
              <w:jc w:val="center"/>
              <w:rPr>
                <w:bCs/>
                <w:sz w:val="20"/>
                <w:szCs w:val="20"/>
              </w:rPr>
            </w:pPr>
            <w:r w:rsidRPr="008B6A75">
              <w:rPr>
                <w:bCs/>
                <w:sz w:val="20"/>
                <w:szCs w:val="20"/>
              </w:rPr>
              <w:t>02</w:t>
            </w:r>
          </w:p>
        </w:tc>
        <w:tc>
          <w:tcPr>
            <w:tcW w:w="1516" w:type="dxa"/>
            <w:tcBorders>
              <w:top w:val="nil"/>
              <w:left w:val="single" w:sz="4" w:space="0" w:color="auto"/>
              <w:bottom w:val="single" w:sz="4" w:space="0" w:color="auto"/>
              <w:right w:val="nil"/>
            </w:tcBorders>
            <w:shd w:val="clear" w:color="auto" w:fill="auto"/>
            <w:noWrap/>
            <w:vAlign w:val="center"/>
            <w:hideMark/>
          </w:tcPr>
          <w:p w14:paraId="15F2A774" w14:textId="77777777" w:rsidR="00387142" w:rsidRPr="008B6A75" w:rsidRDefault="00387142" w:rsidP="00387142">
            <w:pPr>
              <w:jc w:val="center"/>
              <w:rPr>
                <w:bCs/>
                <w:sz w:val="20"/>
                <w:szCs w:val="20"/>
              </w:rPr>
            </w:pPr>
            <w:r w:rsidRPr="008B6A75">
              <w:rPr>
                <w:bCs/>
                <w:sz w:val="20"/>
                <w:szCs w:val="20"/>
              </w:rPr>
              <w:t>07.1.00.L3040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90EC9AF"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75C0F6B" w14:textId="77777777" w:rsidR="00387142" w:rsidRPr="008B6A75" w:rsidRDefault="00387142" w:rsidP="00387142">
            <w:pPr>
              <w:jc w:val="right"/>
              <w:rPr>
                <w:bCs/>
                <w:sz w:val="20"/>
                <w:szCs w:val="20"/>
              </w:rPr>
            </w:pPr>
            <w:r w:rsidRPr="008B6A75">
              <w:rPr>
                <w:bCs/>
                <w:sz w:val="20"/>
                <w:szCs w:val="20"/>
              </w:rPr>
              <w:t>37 574 500,00</w:t>
            </w:r>
          </w:p>
        </w:tc>
        <w:tc>
          <w:tcPr>
            <w:tcW w:w="992" w:type="dxa"/>
            <w:tcBorders>
              <w:top w:val="nil"/>
              <w:left w:val="single" w:sz="4" w:space="0" w:color="auto"/>
              <w:bottom w:val="single" w:sz="4" w:space="0" w:color="auto"/>
              <w:right w:val="nil"/>
            </w:tcBorders>
            <w:shd w:val="clear" w:color="auto" w:fill="auto"/>
            <w:vAlign w:val="center"/>
            <w:hideMark/>
          </w:tcPr>
          <w:p w14:paraId="51C87BB3" w14:textId="77777777" w:rsidR="00387142" w:rsidRPr="008B6A75" w:rsidRDefault="00387142" w:rsidP="00387142">
            <w:pPr>
              <w:jc w:val="right"/>
              <w:rPr>
                <w:bCs/>
                <w:sz w:val="20"/>
                <w:szCs w:val="20"/>
              </w:rPr>
            </w:pPr>
            <w:r w:rsidRPr="008B6A75">
              <w:rPr>
                <w:bCs/>
                <w:sz w:val="20"/>
                <w:szCs w:val="20"/>
              </w:rPr>
              <w:t>37 574 500,00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133E5739" w14:textId="77777777" w:rsidR="00387142" w:rsidRPr="008B6A75" w:rsidRDefault="00387142" w:rsidP="00387142">
            <w:pPr>
              <w:jc w:val="right"/>
              <w:rPr>
                <w:bCs/>
                <w:sz w:val="20"/>
                <w:szCs w:val="20"/>
              </w:rPr>
            </w:pPr>
            <w:r w:rsidRPr="008B6A75">
              <w:rPr>
                <w:bCs/>
                <w:sz w:val="20"/>
                <w:szCs w:val="20"/>
              </w:rPr>
              <w:t>38 464 000,00</w:t>
            </w:r>
          </w:p>
        </w:tc>
      </w:tr>
      <w:tr w:rsidR="00387142" w:rsidRPr="008B6A75" w14:paraId="31CE0462" w14:textId="77777777" w:rsidTr="00387142">
        <w:trPr>
          <w:trHeight w:val="585"/>
        </w:trPr>
        <w:tc>
          <w:tcPr>
            <w:tcW w:w="3261" w:type="dxa"/>
            <w:tcBorders>
              <w:top w:val="nil"/>
              <w:left w:val="single" w:sz="4" w:space="0" w:color="auto"/>
              <w:bottom w:val="single" w:sz="4" w:space="0" w:color="auto"/>
              <w:right w:val="nil"/>
            </w:tcBorders>
            <w:shd w:val="clear" w:color="auto" w:fill="auto"/>
            <w:vAlign w:val="center"/>
            <w:hideMark/>
          </w:tcPr>
          <w:p w14:paraId="2731EEF6" w14:textId="77777777" w:rsidR="00387142" w:rsidRPr="008B6A75" w:rsidRDefault="00387142" w:rsidP="00387142">
            <w:pPr>
              <w:rPr>
                <w:sz w:val="20"/>
                <w:szCs w:val="20"/>
              </w:rPr>
            </w:pPr>
            <w:r w:rsidRPr="008B6A75">
              <w:rPr>
                <w:sz w:val="20"/>
                <w:szCs w:val="20"/>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41A90A5D" w14:textId="77777777" w:rsidR="00387142" w:rsidRPr="008B6A75" w:rsidRDefault="00387142" w:rsidP="00387142">
            <w:pPr>
              <w:jc w:val="center"/>
              <w:rPr>
                <w:sz w:val="20"/>
                <w:szCs w:val="20"/>
              </w:rPr>
            </w:pPr>
            <w:r w:rsidRPr="008B6A75">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CFF7811" w14:textId="77777777" w:rsidR="00387142" w:rsidRPr="008B6A75" w:rsidRDefault="00387142" w:rsidP="00387142">
            <w:pPr>
              <w:jc w:val="center"/>
              <w:rPr>
                <w:sz w:val="20"/>
                <w:szCs w:val="20"/>
              </w:rPr>
            </w:pPr>
            <w:r w:rsidRPr="008B6A75">
              <w:rPr>
                <w:sz w:val="20"/>
                <w:szCs w:val="20"/>
              </w:rPr>
              <w:t>02</w:t>
            </w:r>
          </w:p>
        </w:tc>
        <w:tc>
          <w:tcPr>
            <w:tcW w:w="1516" w:type="dxa"/>
            <w:tcBorders>
              <w:top w:val="nil"/>
              <w:left w:val="single" w:sz="4" w:space="0" w:color="auto"/>
              <w:bottom w:val="single" w:sz="4" w:space="0" w:color="auto"/>
              <w:right w:val="nil"/>
            </w:tcBorders>
            <w:shd w:val="clear" w:color="auto" w:fill="auto"/>
            <w:noWrap/>
            <w:vAlign w:val="center"/>
            <w:hideMark/>
          </w:tcPr>
          <w:p w14:paraId="3FADD554" w14:textId="77777777" w:rsidR="00387142" w:rsidRPr="008B6A75" w:rsidRDefault="00387142" w:rsidP="00387142">
            <w:pPr>
              <w:jc w:val="center"/>
              <w:rPr>
                <w:sz w:val="20"/>
                <w:szCs w:val="20"/>
              </w:rPr>
            </w:pPr>
            <w:r w:rsidRPr="008B6A75">
              <w:rPr>
                <w:sz w:val="20"/>
                <w:szCs w:val="20"/>
              </w:rPr>
              <w:t>07.1.00.L3040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ADDD75A" w14:textId="77777777" w:rsidR="00387142" w:rsidRPr="008B6A75" w:rsidRDefault="00387142" w:rsidP="00387142">
            <w:pPr>
              <w:jc w:val="center"/>
              <w:rPr>
                <w:sz w:val="20"/>
                <w:szCs w:val="20"/>
              </w:rPr>
            </w:pPr>
            <w:r w:rsidRPr="008B6A75">
              <w:rPr>
                <w:sz w:val="20"/>
                <w:szCs w:val="20"/>
              </w:rPr>
              <w:t>200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B9B5762" w14:textId="77777777" w:rsidR="00387142" w:rsidRPr="008B6A75" w:rsidRDefault="00387142" w:rsidP="00387142">
            <w:pPr>
              <w:jc w:val="right"/>
              <w:rPr>
                <w:sz w:val="20"/>
                <w:szCs w:val="20"/>
              </w:rPr>
            </w:pPr>
            <w:r w:rsidRPr="008B6A75">
              <w:rPr>
                <w:sz w:val="20"/>
                <w:szCs w:val="20"/>
              </w:rPr>
              <w:t>10 158 004,84</w:t>
            </w:r>
          </w:p>
        </w:tc>
        <w:tc>
          <w:tcPr>
            <w:tcW w:w="992" w:type="dxa"/>
            <w:tcBorders>
              <w:top w:val="nil"/>
              <w:left w:val="single" w:sz="4" w:space="0" w:color="auto"/>
              <w:bottom w:val="single" w:sz="4" w:space="0" w:color="auto"/>
              <w:right w:val="nil"/>
            </w:tcBorders>
            <w:shd w:val="clear" w:color="auto" w:fill="auto"/>
            <w:vAlign w:val="center"/>
            <w:hideMark/>
          </w:tcPr>
          <w:p w14:paraId="11743394" w14:textId="77777777" w:rsidR="00387142" w:rsidRPr="008B6A75" w:rsidRDefault="00387142" w:rsidP="00387142">
            <w:pPr>
              <w:jc w:val="right"/>
              <w:rPr>
                <w:sz w:val="20"/>
                <w:szCs w:val="20"/>
              </w:rPr>
            </w:pPr>
            <w:r w:rsidRPr="008B6A75">
              <w:rPr>
                <w:sz w:val="20"/>
                <w:szCs w:val="20"/>
              </w:rPr>
              <w:t>10 499 622,36</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31EB7AAD" w14:textId="77777777" w:rsidR="00387142" w:rsidRPr="008B6A75" w:rsidRDefault="00387142" w:rsidP="00387142">
            <w:pPr>
              <w:jc w:val="right"/>
              <w:rPr>
                <w:sz w:val="20"/>
                <w:szCs w:val="20"/>
              </w:rPr>
            </w:pPr>
            <w:r w:rsidRPr="008B6A75">
              <w:rPr>
                <w:sz w:val="20"/>
                <w:szCs w:val="20"/>
              </w:rPr>
              <w:t>10 743 300,00</w:t>
            </w:r>
          </w:p>
        </w:tc>
      </w:tr>
      <w:tr w:rsidR="00387142" w:rsidRPr="008B6A75" w14:paraId="2C4B6DC7" w14:textId="77777777" w:rsidTr="00387142">
        <w:trPr>
          <w:trHeight w:val="870"/>
        </w:trPr>
        <w:tc>
          <w:tcPr>
            <w:tcW w:w="3261" w:type="dxa"/>
            <w:tcBorders>
              <w:top w:val="nil"/>
              <w:left w:val="single" w:sz="4" w:space="0" w:color="auto"/>
              <w:bottom w:val="single" w:sz="4" w:space="0" w:color="auto"/>
              <w:right w:val="nil"/>
            </w:tcBorders>
            <w:shd w:val="clear" w:color="auto" w:fill="auto"/>
            <w:vAlign w:val="center"/>
            <w:hideMark/>
          </w:tcPr>
          <w:p w14:paraId="478AECA8" w14:textId="77777777" w:rsidR="00387142" w:rsidRPr="008B6A75" w:rsidRDefault="00387142" w:rsidP="00387142">
            <w:pPr>
              <w:rPr>
                <w:sz w:val="20"/>
                <w:szCs w:val="20"/>
              </w:rPr>
            </w:pPr>
            <w:r w:rsidRPr="008B6A75">
              <w:rPr>
                <w:sz w:val="20"/>
                <w:szCs w:val="20"/>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37A5C6B1" w14:textId="77777777" w:rsidR="00387142" w:rsidRPr="008B6A75" w:rsidRDefault="00387142" w:rsidP="00387142">
            <w:pPr>
              <w:jc w:val="center"/>
              <w:rPr>
                <w:sz w:val="20"/>
                <w:szCs w:val="20"/>
              </w:rPr>
            </w:pPr>
            <w:r w:rsidRPr="008B6A75">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DC45016" w14:textId="77777777" w:rsidR="00387142" w:rsidRPr="008B6A75" w:rsidRDefault="00387142" w:rsidP="00387142">
            <w:pPr>
              <w:jc w:val="center"/>
              <w:rPr>
                <w:sz w:val="20"/>
                <w:szCs w:val="20"/>
              </w:rPr>
            </w:pPr>
            <w:r w:rsidRPr="008B6A75">
              <w:rPr>
                <w:sz w:val="20"/>
                <w:szCs w:val="20"/>
              </w:rPr>
              <w:t>02</w:t>
            </w:r>
          </w:p>
        </w:tc>
        <w:tc>
          <w:tcPr>
            <w:tcW w:w="1516" w:type="dxa"/>
            <w:tcBorders>
              <w:top w:val="nil"/>
              <w:left w:val="single" w:sz="4" w:space="0" w:color="auto"/>
              <w:bottom w:val="single" w:sz="4" w:space="0" w:color="auto"/>
              <w:right w:val="nil"/>
            </w:tcBorders>
            <w:shd w:val="clear" w:color="auto" w:fill="auto"/>
            <w:noWrap/>
            <w:vAlign w:val="center"/>
            <w:hideMark/>
          </w:tcPr>
          <w:p w14:paraId="1F414964" w14:textId="77777777" w:rsidR="00387142" w:rsidRPr="008B6A75" w:rsidRDefault="00387142" w:rsidP="00387142">
            <w:pPr>
              <w:jc w:val="center"/>
              <w:rPr>
                <w:sz w:val="20"/>
                <w:szCs w:val="20"/>
              </w:rPr>
            </w:pPr>
            <w:r w:rsidRPr="008B6A75">
              <w:rPr>
                <w:sz w:val="20"/>
                <w:szCs w:val="20"/>
              </w:rPr>
              <w:t>07.1.00.L3040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6A93C4C" w14:textId="77777777" w:rsidR="00387142" w:rsidRPr="008B6A75" w:rsidRDefault="00387142" w:rsidP="00387142">
            <w:pPr>
              <w:jc w:val="center"/>
              <w:rPr>
                <w:sz w:val="20"/>
                <w:szCs w:val="20"/>
              </w:rPr>
            </w:pPr>
            <w:r w:rsidRPr="008B6A75">
              <w:rPr>
                <w:sz w:val="20"/>
                <w:szCs w:val="20"/>
              </w:rPr>
              <w:t>240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57B0793" w14:textId="77777777" w:rsidR="00387142" w:rsidRPr="008B6A75" w:rsidRDefault="00387142" w:rsidP="00387142">
            <w:pPr>
              <w:jc w:val="right"/>
              <w:rPr>
                <w:sz w:val="20"/>
                <w:szCs w:val="20"/>
              </w:rPr>
            </w:pPr>
            <w:r w:rsidRPr="008B6A75">
              <w:rPr>
                <w:sz w:val="20"/>
                <w:szCs w:val="20"/>
              </w:rPr>
              <w:t>10 158 004,84</w:t>
            </w:r>
          </w:p>
        </w:tc>
        <w:tc>
          <w:tcPr>
            <w:tcW w:w="992" w:type="dxa"/>
            <w:tcBorders>
              <w:top w:val="nil"/>
              <w:left w:val="single" w:sz="4" w:space="0" w:color="auto"/>
              <w:bottom w:val="single" w:sz="4" w:space="0" w:color="auto"/>
              <w:right w:val="nil"/>
            </w:tcBorders>
            <w:shd w:val="clear" w:color="auto" w:fill="auto"/>
            <w:vAlign w:val="center"/>
            <w:hideMark/>
          </w:tcPr>
          <w:p w14:paraId="1BDE75AF" w14:textId="77777777" w:rsidR="00387142" w:rsidRPr="008B6A75" w:rsidRDefault="00387142" w:rsidP="00387142">
            <w:pPr>
              <w:jc w:val="right"/>
              <w:rPr>
                <w:sz w:val="20"/>
                <w:szCs w:val="20"/>
              </w:rPr>
            </w:pPr>
            <w:r w:rsidRPr="008B6A75">
              <w:rPr>
                <w:sz w:val="20"/>
                <w:szCs w:val="20"/>
              </w:rPr>
              <w:t>10 499 622,36</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405587E7" w14:textId="77777777" w:rsidR="00387142" w:rsidRPr="008B6A75" w:rsidRDefault="00387142" w:rsidP="00387142">
            <w:pPr>
              <w:jc w:val="right"/>
              <w:rPr>
                <w:sz w:val="20"/>
                <w:szCs w:val="20"/>
              </w:rPr>
            </w:pPr>
            <w:r w:rsidRPr="008B6A75">
              <w:rPr>
                <w:sz w:val="20"/>
                <w:szCs w:val="20"/>
              </w:rPr>
              <w:t>10 743 300,00</w:t>
            </w:r>
          </w:p>
        </w:tc>
      </w:tr>
      <w:tr w:rsidR="00387142" w:rsidRPr="008B6A75" w14:paraId="54AF8FA8" w14:textId="77777777" w:rsidTr="00387142">
        <w:trPr>
          <w:trHeight w:val="870"/>
        </w:trPr>
        <w:tc>
          <w:tcPr>
            <w:tcW w:w="3261" w:type="dxa"/>
            <w:tcBorders>
              <w:top w:val="nil"/>
              <w:left w:val="single" w:sz="4" w:space="0" w:color="auto"/>
              <w:bottom w:val="single" w:sz="4" w:space="0" w:color="auto"/>
              <w:right w:val="nil"/>
            </w:tcBorders>
            <w:shd w:val="clear" w:color="auto" w:fill="auto"/>
            <w:vAlign w:val="center"/>
            <w:hideMark/>
          </w:tcPr>
          <w:p w14:paraId="64BF425C" w14:textId="77777777" w:rsidR="00387142" w:rsidRPr="008B6A75" w:rsidRDefault="00387142" w:rsidP="00387142">
            <w:pPr>
              <w:rPr>
                <w:sz w:val="20"/>
                <w:szCs w:val="20"/>
              </w:rPr>
            </w:pPr>
            <w:r w:rsidRPr="008B6A75">
              <w:rPr>
                <w:sz w:val="20"/>
                <w:szCs w:val="20"/>
              </w:rPr>
              <w:t>Предоставление субсидий бюджетным, автономным учреждениям и иным некоммерческим организациям</w:t>
            </w:r>
          </w:p>
        </w:tc>
        <w:tc>
          <w:tcPr>
            <w:tcW w:w="720" w:type="dxa"/>
            <w:tcBorders>
              <w:top w:val="nil"/>
              <w:left w:val="single" w:sz="4" w:space="0" w:color="auto"/>
              <w:bottom w:val="single" w:sz="4" w:space="0" w:color="auto"/>
              <w:right w:val="nil"/>
            </w:tcBorders>
            <w:shd w:val="clear" w:color="auto" w:fill="auto"/>
            <w:noWrap/>
            <w:vAlign w:val="center"/>
            <w:hideMark/>
          </w:tcPr>
          <w:p w14:paraId="18619FD0" w14:textId="77777777" w:rsidR="00387142" w:rsidRPr="008B6A75" w:rsidRDefault="00387142" w:rsidP="00387142">
            <w:pPr>
              <w:jc w:val="center"/>
              <w:rPr>
                <w:sz w:val="20"/>
                <w:szCs w:val="20"/>
              </w:rPr>
            </w:pPr>
            <w:r w:rsidRPr="008B6A75">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43CA09D" w14:textId="77777777" w:rsidR="00387142" w:rsidRPr="008B6A75" w:rsidRDefault="00387142" w:rsidP="00387142">
            <w:pPr>
              <w:jc w:val="center"/>
              <w:rPr>
                <w:sz w:val="20"/>
                <w:szCs w:val="20"/>
              </w:rPr>
            </w:pPr>
            <w:r w:rsidRPr="008B6A75">
              <w:rPr>
                <w:sz w:val="20"/>
                <w:szCs w:val="20"/>
              </w:rPr>
              <w:t>02</w:t>
            </w:r>
          </w:p>
        </w:tc>
        <w:tc>
          <w:tcPr>
            <w:tcW w:w="1516" w:type="dxa"/>
            <w:tcBorders>
              <w:top w:val="nil"/>
              <w:left w:val="single" w:sz="4" w:space="0" w:color="auto"/>
              <w:bottom w:val="single" w:sz="4" w:space="0" w:color="auto"/>
              <w:right w:val="nil"/>
            </w:tcBorders>
            <w:shd w:val="clear" w:color="auto" w:fill="auto"/>
            <w:noWrap/>
            <w:vAlign w:val="center"/>
            <w:hideMark/>
          </w:tcPr>
          <w:p w14:paraId="54EA8DC3" w14:textId="77777777" w:rsidR="00387142" w:rsidRPr="008B6A75" w:rsidRDefault="00387142" w:rsidP="00387142">
            <w:pPr>
              <w:jc w:val="center"/>
              <w:rPr>
                <w:sz w:val="20"/>
                <w:szCs w:val="20"/>
              </w:rPr>
            </w:pPr>
            <w:r w:rsidRPr="008B6A75">
              <w:rPr>
                <w:sz w:val="20"/>
                <w:szCs w:val="20"/>
              </w:rPr>
              <w:t>07.1.00.L3040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54D4CE1" w14:textId="77777777" w:rsidR="00387142" w:rsidRPr="008B6A75" w:rsidRDefault="00387142" w:rsidP="00387142">
            <w:pPr>
              <w:jc w:val="center"/>
              <w:rPr>
                <w:sz w:val="20"/>
                <w:szCs w:val="20"/>
              </w:rPr>
            </w:pPr>
            <w:r w:rsidRPr="008B6A75">
              <w:rPr>
                <w:sz w:val="20"/>
                <w:szCs w:val="20"/>
              </w:rPr>
              <w:t>600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18B21D0" w14:textId="77777777" w:rsidR="00387142" w:rsidRPr="008B6A75" w:rsidRDefault="00387142" w:rsidP="00387142">
            <w:pPr>
              <w:jc w:val="right"/>
              <w:rPr>
                <w:sz w:val="20"/>
                <w:szCs w:val="20"/>
              </w:rPr>
            </w:pPr>
            <w:r w:rsidRPr="008B6A75">
              <w:rPr>
                <w:sz w:val="20"/>
                <w:szCs w:val="20"/>
              </w:rPr>
              <w:t>27 416 495,16</w:t>
            </w:r>
          </w:p>
        </w:tc>
        <w:tc>
          <w:tcPr>
            <w:tcW w:w="992" w:type="dxa"/>
            <w:tcBorders>
              <w:top w:val="nil"/>
              <w:left w:val="single" w:sz="4" w:space="0" w:color="auto"/>
              <w:bottom w:val="single" w:sz="4" w:space="0" w:color="auto"/>
              <w:right w:val="nil"/>
            </w:tcBorders>
            <w:shd w:val="clear" w:color="auto" w:fill="auto"/>
            <w:vAlign w:val="center"/>
            <w:hideMark/>
          </w:tcPr>
          <w:p w14:paraId="119D0CBF" w14:textId="77777777" w:rsidR="00387142" w:rsidRPr="008B6A75" w:rsidRDefault="00387142" w:rsidP="00387142">
            <w:pPr>
              <w:jc w:val="right"/>
              <w:rPr>
                <w:sz w:val="20"/>
                <w:szCs w:val="20"/>
              </w:rPr>
            </w:pPr>
            <w:r w:rsidRPr="008B6A75">
              <w:rPr>
                <w:sz w:val="20"/>
                <w:szCs w:val="20"/>
              </w:rPr>
              <w:t>27 074 877,64</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50FEA93E" w14:textId="77777777" w:rsidR="00387142" w:rsidRPr="008B6A75" w:rsidRDefault="00387142" w:rsidP="00387142">
            <w:pPr>
              <w:jc w:val="right"/>
              <w:rPr>
                <w:sz w:val="20"/>
                <w:szCs w:val="20"/>
              </w:rPr>
            </w:pPr>
            <w:r w:rsidRPr="008B6A75">
              <w:rPr>
                <w:sz w:val="20"/>
                <w:szCs w:val="20"/>
              </w:rPr>
              <w:t>27 720 700,00</w:t>
            </w:r>
          </w:p>
        </w:tc>
      </w:tr>
      <w:tr w:rsidR="00387142" w:rsidRPr="008B6A75" w14:paraId="2259570C" w14:textId="77777777" w:rsidTr="00387142">
        <w:trPr>
          <w:trHeight w:val="345"/>
        </w:trPr>
        <w:tc>
          <w:tcPr>
            <w:tcW w:w="3261" w:type="dxa"/>
            <w:tcBorders>
              <w:top w:val="nil"/>
              <w:left w:val="single" w:sz="4" w:space="0" w:color="auto"/>
              <w:bottom w:val="single" w:sz="4" w:space="0" w:color="auto"/>
              <w:right w:val="nil"/>
            </w:tcBorders>
            <w:shd w:val="clear" w:color="auto" w:fill="auto"/>
            <w:vAlign w:val="center"/>
            <w:hideMark/>
          </w:tcPr>
          <w:p w14:paraId="6E26FB97" w14:textId="77777777" w:rsidR="00387142" w:rsidRPr="008B6A75" w:rsidRDefault="00387142" w:rsidP="00387142">
            <w:pPr>
              <w:rPr>
                <w:sz w:val="20"/>
                <w:szCs w:val="20"/>
              </w:rPr>
            </w:pPr>
            <w:r w:rsidRPr="008B6A75">
              <w:rPr>
                <w:sz w:val="20"/>
                <w:szCs w:val="20"/>
              </w:rPr>
              <w:t>Субсидии бюджетным учреждениям</w:t>
            </w:r>
          </w:p>
        </w:tc>
        <w:tc>
          <w:tcPr>
            <w:tcW w:w="720" w:type="dxa"/>
            <w:tcBorders>
              <w:top w:val="nil"/>
              <w:left w:val="single" w:sz="4" w:space="0" w:color="auto"/>
              <w:bottom w:val="single" w:sz="4" w:space="0" w:color="auto"/>
              <w:right w:val="nil"/>
            </w:tcBorders>
            <w:shd w:val="clear" w:color="auto" w:fill="auto"/>
            <w:noWrap/>
            <w:vAlign w:val="center"/>
            <w:hideMark/>
          </w:tcPr>
          <w:p w14:paraId="688ECEB5" w14:textId="77777777" w:rsidR="00387142" w:rsidRPr="008B6A75" w:rsidRDefault="00387142" w:rsidP="00387142">
            <w:pPr>
              <w:jc w:val="center"/>
              <w:rPr>
                <w:sz w:val="20"/>
                <w:szCs w:val="20"/>
              </w:rPr>
            </w:pPr>
            <w:r w:rsidRPr="008B6A75">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99CE386" w14:textId="77777777" w:rsidR="00387142" w:rsidRPr="008B6A75" w:rsidRDefault="00387142" w:rsidP="00387142">
            <w:pPr>
              <w:jc w:val="center"/>
              <w:rPr>
                <w:sz w:val="20"/>
                <w:szCs w:val="20"/>
              </w:rPr>
            </w:pPr>
            <w:r w:rsidRPr="008B6A75">
              <w:rPr>
                <w:sz w:val="20"/>
                <w:szCs w:val="20"/>
              </w:rPr>
              <w:t>02</w:t>
            </w:r>
          </w:p>
        </w:tc>
        <w:tc>
          <w:tcPr>
            <w:tcW w:w="1516" w:type="dxa"/>
            <w:tcBorders>
              <w:top w:val="nil"/>
              <w:left w:val="single" w:sz="4" w:space="0" w:color="auto"/>
              <w:bottom w:val="single" w:sz="4" w:space="0" w:color="auto"/>
              <w:right w:val="nil"/>
            </w:tcBorders>
            <w:shd w:val="clear" w:color="auto" w:fill="auto"/>
            <w:noWrap/>
            <w:vAlign w:val="center"/>
            <w:hideMark/>
          </w:tcPr>
          <w:p w14:paraId="22D1697E" w14:textId="77777777" w:rsidR="00387142" w:rsidRPr="008B6A75" w:rsidRDefault="00387142" w:rsidP="00387142">
            <w:pPr>
              <w:jc w:val="center"/>
              <w:rPr>
                <w:sz w:val="20"/>
                <w:szCs w:val="20"/>
              </w:rPr>
            </w:pPr>
            <w:r w:rsidRPr="008B6A75">
              <w:rPr>
                <w:sz w:val="20"/>
                <w:szCs w:val="20"/>
              </w:rPr>
              <w:t>07.1.00.L3040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6C8CA22" w14:textId="77777777" w:rsidR="00387142" w:rsidRPr="008B6A75" w:rsidRDefault="00387142" w:rsidP="00387142">
            <w:pPr>
              <w:jc w:val="center"/>
              <w:rPr>
                <w:sz w:val="20"/>
                <w:szCs w:val="20"/>
              </w:rPr>
            </w:pPr>
            <w:r w:rsidRPr="008B6A75">
              <w:rPr>
                <w:sz w:val="20"/>
                <w:szCs w:val="20"/>
              </w:rPr>
              <w:t>610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FFF5F81" w14:textId="77777777" w:rsidR="00387142" w:rsidRPr="008B6A75" w:rsidRDefault="00387142" w:rsidP="00387142">
            <w:pPr>
              <w:jc w:val="right"/>
              <w:rPr>
                <w:sz w:val="20"/>
                <w:szCs w:val="20"/>
              </w:rPr>
            </w:pPr>
            <w:r w:rsidRPr="008B6A75">
              <w:rPr>
                <w:sz w:val="20"/>
                <w:szCs w:val="20"/>
              </w:rPr>
              <w:t>27 416 495,16</w:t>
            </w:r>
          </w:p>
        </w:tc>
        <w:tc>
          <w:tcPr>
            <w:tcW w:w="992" w:type="dxa"/>
            <w:tcBorders>
              <w:top w:val="nil"/>
              <w:left w:val="single" w:sz="4" w:space="0" w:color="auto"/>
              <w:bottom w:val="single" w:sz="4" w:space="0" w:color="auto"/>
              <w:right w:val="nil"/>
            </w:tcBorders>
            <w:shd w:val="clear" w:color="auto" w:fill="auto"/>
            <w:vAlign w:val="center"/>
            <w:hideMark/>
          </w:tcPr>
          <w:p w14:paraId="32FFB9F2" w14:textId="77777777" w:rsidR="00387142" w:rsidRPr="008B6A75" w:rsidRDefault="00387142" w:rsidP="00387142">
            <w:pPr>
              <w:jc w:val="right"/>
              <w:rPr>
                <w:sz w:val="20"/>
                <w:szCs w:val="20"/>
              </w:rPr>
            </w:pPr>
            <w:r w:rsidRPr="008B6A75">
              <w:rPr>
                <w:sz w:val="20"/>
                <w:szCs w:val="20"/>
              </w:rPr>
              <w:t>27 074 877,64</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178D49EA" w14:textId="77777777" w:rsidR="00387142" w:rsidRPr="008B6A75" w:rsidRDefault="00387142" w:rsidP="00387142">
            <w:pPr>
              <w:jc w:val="right"/>
              <w:rPr>
                <w:sz w:val="20"/>
                <w:szCs w:val="20"/>
              </w:rPr>
            </w:pPr>
            <w:r w:rsidRPr="008B6A75">
              <w:rPr>
                <w:sz w:val="20"/>
                <w:szCs w:val="20"/>
              </w:rPr>
              <w:t>27 720 700,00</w:t>
            </w:r>
          </w:p>
        </w:tc>
      </w:tr>
      <w:tr w:rsidR="00387142" w:rsidRPr="008B6A75" w14:paraId="021B828D" w14:textId="77777777" w:rsidTr="00387142">
        <w:trPr>
          <w:trHeight w:val="1725"/>
        </w:trPr>
        <w:tc>
          <w:tcPr>
            <w:tcW w:w="3261" w:type="dxa"/>
            <w:tcBorders>
              <w:top w:val="nil"/>
              <w:left w:val="single" w:sz="4" w:space="0" w:color="auto"/>
              <w:bottom w:val="single" w:sz="4" w:space="0" w:color="auto"/>
              <w:right w:val="nil"/>
            </w:tcBorders>
            <w:shd w:val="clear" w:color="auto" w:fill="auto"/>
            <w:vAlign w:val="center"/>
            <w:hideMark/>
          </w:tcPr>
          <w:p w14:paraId="586D344F" w14:textId="77777777" w:rsidR="00387142" w:rsidRPr="008B6A75" w:rsidRDefault="00387142" w:rsidP="00387142">
            <w:pPr>
              <w:rPr>
                <w:bCs/>
                <w:sz w:val="20"/>
                <w:szCs w:val="20"/>
              </w:rPr>
            </w:pPr>
            <w:r w:rsidRPr="008B6A75">
              <w:rPr>
                <w:bCs/>
                <w:sz w:val="20"/>
                <w:szCs w:val="20"/>
              </w:rPr>
              <w:t>Реализация мероприятий по модернизации школьных систем образования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14:paraId="707CA971" w14:textId="77777777" w:rsidR="00387142" w:rsidRPr="008B6A75" w:rsidRDefault="00387142" w:rsidP="00387142">
            <w:pPr>
              <w:jc w:val="center"/>
              <w:rPr>
                <w:bCs/>
                <w:sz w:val="20"/>
                <w:szCs w:val="20"/>
              </w:rPr>
            </w:pPr>
            <w:r w:rsidRPr="008B6A75">
              <w:rPr>
                <w:bCs/>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97D3FB8" w14:textId="77777777" w:rsidR="00387142" w:rsidRPr="008B6A75" w:rsidRDefault="00387142" w:rsidP="00387142">
            <w:pPr>
              <w:jc w:val="center"/>
              <w:rPr>
                <w:bCs/>
                <w:sz w:val="20"/>
                <w:szCs w:val="20"/>
              </w:rPr>
            </w:pPr>
            <w:r w:rsidRPr="008B6A75">
              <w:rPr>
                <w:bCs/>
                <w:sz w:val="20"/>
                <w:szCs w:val="20"/>
              </w:rPr>
              <w:t>02</w:t>
            </w:r>
          </w:p>
        </w:tc>
        <w:tc>
          <w:tcPr>
            <w:tcW w:w="1516" w:type="dxa"/>
            <w:tcBorders>
              <w:top w:val="nil"/>
              <w:left w:val="single" w:sz="4" w:space="0" w:color="auto"/>
              <w:bottom w:val="single" w:sz="4" w:space="0" w:color="auto"/>
              <w:right w:val="nil"/>
            </w:tcBorders>
            <w:shd w:val="clear" w:color="auto" w:fill="auto"/>
            <w:noWrap/>
            <w:vAlign w:val="center"/>
            <w:hideMark/>
          </w:tcPr>
          <w:p w14:paraId="550276CB" w14:textId="77777777" w:rsidR="00387142" w:rsidRPr="008B6A75" w:rsidRDefault="00387142" w:rsidP="00387142">
            <w:pPr>
              <w:jc w:val="center"/>
              <w:rPr>
                <w:bCs/>
                <w:sz w:val="20"/>
                <w:szCs w:val="20"/>
              </w:rPr>
            </w:pPr>
            <w:r w:rsidRPr="008B6A75">
              <w:rPr>
                <w:bCs/>
                <w:sz w:val="20"/>
                <w:szCs w:val="20"/>
              </w:rPr>
              <w:t>07.1.00.L7500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A943AD0"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3A11B14" w14:textId="77777777" w:rsidR="00387142" w:rsidRPr="008B6A75" w:rsidRDefault="00387142" w:rsidP="00387142">
            <w:pPr>
              <w:jc w:val="right"/>
              <w:rPr>
                <w:bCs/>
                <w:sz w:val="20"/>
                <w:szCs w:val="20"/>
              </w:rPr>
            </w:pPr>
            <w:r w:rsidRPr="008B6A75">
              <w:rPr>
                <w:bCs/>
                <w:sz w:val="20"/>
                <w:szCs w:val="20"/>
              </w:rPr>
              <w:t>144 858 828,40</w:t>
            </w:r>
          </w:p>
        </w:tc>
        <w:tc>
          <w:tcPr>
            <w:tcW w:w="992" w:type="dxa"/>
            <w:tcBorders>
              <w:top w:val="nil"/>
              <w:left w:val="single" w:sz="4" w:space="0" w:color="auto"/>
              <w:bottom w:val="single" w:sz="4" w:space="0" w:color="auto"/>
              <w:right w:val="nil"/>
            </w:tcBorders>
            <w:shd w:val="clear" w:color="auto" w:fill="auto"/>
            <w:vAlign w:val="center"/>
            <w:hideMark/>
          </w:tcPr>
          <w:p w14:paraId="569875C0" w14:textId="77777777" w:rsidR="00387142" w:rsidRPr="008B6A75" w:rsidRDefault="00387142" w:rsidP="00387142">
            <w:pPr>
              <w:jc w:val="right"/>
              <w:rPr>
                <w:bCs/>
                <w:sz w:val="20"/>
                <w:szCs w:val="20"/>
              </w:rPr>
            </w:pPr>
            <w:r w:rsidRPr="008B6A75">
              <w:rPr>
                <w:bCs/>
                <w:sz w:val="20"/>
                <w:szCs w:val="20"/>
              </w:rPr>
              <w:t>72 709 970,00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31EA3C63" w14:textId="77777777" w:rsidR="00387142" w:rsidRPr="008B6A75" w:rsidRDefault="00387142" w:rsidP="00387142">
            <w:pPr>
              <w:jc w:val="right"/>
              <w:rPr>
                <w:bCs/>
                <w:sz w:val="20"/>
                <w:szCs w:val="20"/>
              </w:rPr>
            </w:pPr>
            <w:r w:rsidRPr="008B6A75">
              <w:rPr>
                <w:bCs/>
                <w:sz w:val="20"/>
                <w:szCs w:val="20"/>
              </w:rPr>
              <w:t>0,00</w:t>
            </w:r>
          </w:p>
        </w:tc>
      </w:tr>
      <w:tr w:rsidR="00387142" w:rsidRPr="008B6A75" w14:paraId="0EF4AD60" w14:textId="77777777" w:rsidTr="00387142">
        <w:trPr>
          <w:trHeight w:val="870"/>
        </w:trPr>
        <w:tc>
          <w:tcPr>
            <w:tcW w:w="3261" w:type="dxa"/>
            <w:tcBorders>
              <w:top w:val="nil"/>
              <w:left w:val="single" w:sz="4" w:space="0" w:color="auto"/>
              <w:bottom w:val="single" w:sz="4" w:space="0" w:color="auto"/>
              <w:right w:val="nil"/>
            </w:tcBorders>
            <w:shd w:val="clear" w:color="auto" w:fill="auto"/>
            <w:vAlign w:val="center"/>
            <w:hideMark/>
          </w:tcPr>
          <w:p w14:paraId="746C13DE" w14:textId="77777777" w:rsidR="00387142" w:rsidRPr="008B6A75" w:rsidRDefault="00387142" w:rsidP="00387142">
            <w:pPr>
              <w:rPr>
                <w:sz w:val="20"/>
                <w:szCs w:val="20"/>
              </w:rPr>
            </w:pPr>
            <w:r w:rsidRPr="008B6A75">
              <w:rPr>
                <w:sz w:val="20"/>
                <w:szCs w:val="20"/>
              </w:rPr>
              <w:t>Предоставление субсидий бюджетным, автономным учреждениям и иным некоммерческим организациям</w:t>
            </w:r>
          </w:p>
        </w:tc>
        <w:tc>
          <w:tcPr>
            <w:tcW w:w="720" w:type="dxa"/>
            <w:tcBorders>
              <w:top w:val="nil"/>
              <w:left w:val="single" w:sz="4" w:space="0" w:color="auto"/>
              <w:bottom w:val="single" w:sz="4" w:space="0" w:color="auto"/>
              <w:right w:val="nil"/>
            </w:tcBorders>
            <w:shd w:val="clear" w:color="auto" w:fill="auto"/>
            <w:noWrap/>
            <w:vAlign w:val="center"/>
            <w:hideMark/>
          </w:tcPr>
          <w:p w14:paraId="714311C6" w14:textId="77777777" w:rsidR="00387142" w:rsidRPr="008B6A75" w:rsidRDefault="00387142" w:rsidP="00387142">
            <w:pPr>
              <w:jc w:val="center"/>
              <w:rPr>
                <w:sz w:val="20"/>
                <w:szCs w:val="20"/>
              </w:rPr>
            </w:pPr>
            <w:r w:rsidRPr="008B6A75">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50DDFE0" w14:textId="77777777" w:rsidR="00387142" w:rsidRPr="008B6A75" w:rsidRDefault="00387142" w:rsidP="00387142">
            <w:pPr>
              <w:jc w:val="center"/>
              <w:rPr>
                <w:sz w:val="20"/>
                <w:szCs w:val="20"/>
              </w:rPr>
            </w:pPr>
            <w:r w:rsidRPr="008B6A75">
              <w:rPr>
                <w:sz w:val="20"/>
                <w:szCs w:val="20"/>
              </w:rPr>
              <w:t>02</w:t>
            </w:r>
          </w:p>
        </w:tc>
        <w:tc>
          <w:tcPr>
            <w:tcW w:w="1516" w:type="dxa"/>
            <w:tcBorders>
              <w:top w:val="nil"/>
              <w:left w:val="single" w:sz="4" w:space="0" w:color="auto"/>
              <w:bottom w:val="single" w:sz="4" w:space="0" w:color="auto"/>
              <w:right w:val="nil"/>
            </w:tcBorders>
            <w:shd w:val="clear" w:color="auto" w:fill="auto"/>
            <w:noWrap/>
            <w:vAlign w:val="center"/>
            <w:hideMark/>
          </w:tcPr>
          <w:p w14:paraId="70527375" w14:textId="77777777" w:rsidR="00387142" w:rsidRPr="008B6A75" w:rsidRDefault="00387142" w:rsidP="00387142">
            <w:pPr>
              <w:jc w:val="center"/>
              <w:rPr>
                <w:sz w:val="20"/>
                <w:szCs w:val="20"/>
              </w:rPr>
            </w:pPr>
            <w:r w:rsidRPr="008B6A75">
              <w:rPr>
                <w:sz w:val="20"/>
                <w:szCs w:val="20"/>
              </w:rPr>
              <w:t>07.1.00.L7500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6243C9A" w14:textId="77777777" w:rsidR="00387142" w:rsidRPr="008B6A75" w:rsidRDefault="00387142" w:rsidP="00387142">
            <w:pPr>
              <w:jc w:val="center"/>
              <w:rPr>
                <w:sz w:val="20"/>
                <w:szCs w:val="20"/>
              </w:rPr>
            </w:pPr>
            <w:r w:rsidRPr="008B6A75">
              <w:rPr>
                <w:sz w:val="20"/>
                <w:szCs w:val="20"/>
              </w:rPr>
              <w:t>600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735A567" w14:textId="77777777" w:rsidR="00387142" w:rsidRPr="008B6A75" w:rsidRDefault="00387142" w:rsidP="00387142">
            <w:pPr>
              <w:jc w:val="right"/>
              <w:rPr>
                <w:sz w:val="20"/>
                <w:szCs w:val="20"/>
              </w:rPr>
            </w:pPr>
            <w:r w:rsidRPr="008B6A75">
              <w:rPr>
                <w:sz w:val="20"/>
                <w:szCs w:val="20"/>
              </w:rPr>
              <w:t>144 858 828,40</w:t>
            </w:r>
          </w:p>
        </w:tc>
        <w:tc>
          <w:tcPr>
            <w:tcW w:w="992" w:type="dxa"/>
            <w:tcBorders>
              <w:top w:val="nil"/>
              <w:left w:val="single" w:sz="4" w:space="0" w:color="auto"/>
              <w:bottom w:val="single" w:sz="4" w:space="0" w:color="auto"/>
              <w:right w:val="nil"/>
            </w:tcBorders>
            <w:shd w:val="clear" w:color="auto" w:fill="auto"/>
            <w:vAlign w:val="center"/>
            <w:hideMark/>
          </w:tcPr>
          <w:p w14:paraId="401748DE" w14:textId="77777777" w:rsidR="00387142" w:rsidRPr="008B6A75" w:rsidRDefault="00387142" w:rsidP="00387142">
            <w:pPr>
              <w:jc w:val="right"/>
              <w:rPr>
                <w:sz w:val="20"/>
                <w:szCs w:val="20"/>
              </w:rPr>
            </w:pPr>
            <w:r w:rsidRPr="008B6A75">
              <w:rPr>
                <w:sz w:val="20"/>
                <w:szCs w:val="20"/>
              </w:rPr>
              <w:t>72 709 970,00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58534E6E" w14:textId="77777777" w:rsidR="00387142" w:rsidRPr="008B6A75" w:rsidRDefault="00387142" w:rsidP="00387142">
            <w:pPr>
              <w:jc w:val="right"/>
              <w:rPr>
                <w:sz w:val="20"/>
                <w:szCs w:val="20"/>
              </w:rPr>
            </w:pPr>
            <w:r w:rsidRPr="008B6A75">
              <w:rPr>
                <w:sz w:val="20"/>
                <w:szCs w:val="20"/>
              </w:rPr>
              <w:t>0,00</w:t>
            </w:r>
          </w:p>
        </w:tc>
      </w:tr>
      <w:tr w:rsidR="00387142" w:rsidRPr="008B6A75" w14:paraId="5B94F8BD" w14:textId="77777777" w:rsidTr="00387142">
        <w:trPr>
          <w:trHeight w:val="345"/>
        </w:trPr>
        <w:tc>
          <w:tcPr>
            <w:tcW w:w="3261" w:type="dxa"/>
            <w:tcBorders>
              <w:top w:val="nil"/>
              <w:left w:val="single" w:sz="4" w:space="0" w:color="auto"/>
              <w:bottom w:val="single" w:sz="4" w:space="0" w:color="auto"/>
              <w:right w:val="nil"/>
            </w:tcBorders>
            <w:shd w:val="clear" w:color="auto" w:fill="auto"/>
            <w:vAlign w:val="center"/>
            <w:hideMark/>
          </w:tcPr>
          <w:p w14:paraId="5BAC066D" w14:textId="77777777" w:rsidR="00387142" w:rsidRPr="008B6A75" w:rsidRDefault="00387142" w:rsidP="00387142">
            <w:pPr>
              <w:rPr>
                <w:sz w:val="20"/>
                <w:szCs w:val="20"/>
              </w:rPr>
            </w:pPr>
            <w:r w:rsidRPr="008B6A75">
              <w:rPr>
                <w:sz w:val="20"/>
                <w:szCs w:val="20"/>
              </w:rPr>
              <w:t>Субсидии бюджетным учреждениям</w:t>
            </w:r>
          </w:p>
        </w:tc>
        <w:tc>
          <w:tcPr>
            <w:tcW w:w="720" w:type="dxa"/>
            <w:tcBorders>
              <w:top w:val="nil"/>
              <w:left w:val="single" w:sz="4" w:space="0" w:color="auto"/>
              <w:bottom w:val="single" w:sz="4" w:space="0" w:color="auto"/>
              <w:right w:val="nil"/>
            </w:tcBorders>
            <w:shd w:val="clear" w:color="auto" w:fill="auto"/>
            <w:noWrap/>
            <w:vAlign w:val="center"/>
            <w:hideMark/>
          </w:tcPr>
          <w:p w14:paraId="717F7988" w14:textId="77777777" w:rsidR="00387142" w:rsidRPr="008B6A75" w:rsidRDefault="00387142" w:rsidP="00387142">
            <w:pPr>
              <w:jc w:val="center"/>
              <w:rPr>
                <w:sz w:val="20"/>
                <w:szCs w:val="20"/>
              </w:rPr>
            </w:pPr>
            <w:r w:rsidRPr="008B6A75">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26652DD" w14:textId="77777777" w:rsidR="00387142" w:rsidRPr="008B6A75" w:rsidRDefault="00387142" w:rsidP="00387142">
            <w:pPr>
              <w:jc w:val="center"/>
              <w:rPr>
                <w:sz w:val="20"/>
                <w:szCs w:val="20"/>
              </w:rPr>
            </w:pPr>
            <w:r w:rsidRPr="008B6A75">
              <w:rPr>
                <w:sz w:val="20"/>
                <w:szCs w:val="20"/>
              </w:rPr>
              <w:t>02</w:t>
            </w:r>
          </w:p>
        </w:tc>
        <w:tc>
          <w:tcPr>
            <w:tcW w:w="1516" w:type="dxa"/>
            <w:tcBorders>
              <w:top w:val="nil"/>
              <w:left w:val="single" w:sz="4" w:space="0" w:color="auto"/>
              <w:bottom w:val="single" w:sz="4" w:space="0" w:color="auto"/>
              <w:right w:val="nil"/>
            </w:tcBorders>
            <w:shd w:val="clear" w:color="auto" w:fill="auto"/>
            <w:noWrap/>
            <w:vAlign w:val="center"/>
            <w:hideMark/>
          </w:tcPr>
          <w:p w14:paraId="6A85B6E2" w14:textId="77777777" w:rsidR="00387142" w:rsidRPr="008B6A75" w:rsidRDefault="00387142" w:rsidP="00387142">
            <w:pPr>
              <w:jc w:val="center"/>
              <w:rPr>
                <w:sz w:val="20"/>
                <w:szCs w:val="20"/>
              </w:rPr>
            </w:pPr>
            <w:r w:rsidRPr="008B6A75">
              <w:rPr>
                <w:sz w:val="20"/>
                <w:szCs w:val="20"/>
              </w:rPr>
              <w:t>07.1.00.L7500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6C5EAB3" w14:textId="77777777" w:rsidR="00387142" w:rsidRPr="008B6A75" w:rsidRDefault="00387142" w:rsidP="00387142">
            <w:pPr>
              <w:jc w:val="center"/>
              <w:rPr>
                <w:sz w:val="20"/>
                <w:szCs w:val="20"/>
              </w:rPr>
            </w:pPr>
            <w:r w:rsidRPr="008B6A75">
              <w:rPr>
                <w:sz w:val="20"/>
                <w:szCs w:val="20"/>
              </w:rPr>
              <w:t>610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1C98C67" w14:textId="77777777" w:rsidR="00387142" w:rsidRPr="008B6A75" w:rsidRDefault="00387142" w:rsidP="00387142">
            <w:pPr>
              <w:jc w:val="right"/>
              <w:rPr>
                <w:sz w:val="20"/>
                <w:szCs w:val="20"/>
              </w:rPr>
            </w:pPr>
            <w:r w:rsidRPr="008B6A75">
              <w:rPr>
                <w:sz w:val="20"/>
                <w:szCs w:val="20"/>
              </w:rPr>
              <w:t>144 858 828,40</w:t>
            </w:r>
          </w:p>
        </w:tc>
        <w:tc>
          <w:tcPr>
            <w:tcW w:w="992" w:type="dxa"/>
            <w:tcBorders>
              <w:top w:val="nil"/>
              <w:left w:val="single" w:sz="4" w:space="0" w:color="auto"/>
              <w:bottom w:val="single" w:sz="4" w:space="0" w:color="auto"/>
              <w:right w:val="nil"/>
            </w:tcBorders>
            <w:shd w:val="clear" w:color="auto" w:fill="auto"/>
            <w:vAlign w:val="center"/>
            <w:hideMark/>
          </w:tcPr>
          <w:p w14:paraId="7C1C07CF" w14:textId="77777777" w:rsidR="00387142" w:rsidRPr="008B6A75" w:rsidRDefault="00387142" w:rsidP="00387142">
            <w:pPr>
              <w:jc w:val="right"/>
              <w:rPr>
                <w:sz w:val="20"/>
                <w:szCs w:val="20"/>
              </w:rPr>
            </w:pPr>
            <w:r w:rsidRPr="008B6A75">
              <w:rPr>
                <w:sz w:val="20"/>
                <w:szCs w:val="20"/>
              </w:rPr>
              <w:t>72 709 970,00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5A647979" w14:textId="77777777" w:rsidR="00387142" w:rsidRPr="008B6A75" w:rsidRDefault="00387142" w:rsidP="00387142">
            <w:pPr>
              <w:jc w:val="right"/>
              <w:rPr>
                <w:sz w:val="20"/>
                <w:szCs w:val="20"/>
              </w:rPr>
            </w:pPr>
            <w:r w:rsidRPr="008B6A75">
              <w:rPr>
                <w:sz w:val="20"/>
                <w:szCs w:val="20"/>
              </w:rPr>
              <w:t>0,00</w:t>
            </w:r>
          </w:p>
        </w:tc>
      </w:tr>
      <w:tr w:rsidR="00387142" w:rsidRPr="008B6A75" w14:paraId="7CCD2A49" w14:textId="77777777" w:rsidTr="00387142">
        <w:trPr>
          <w:trHeight w:val="2580"/>
        </w:trPr>
        <w:tc>
          <w:tcPr>
            <w:tcW w:w="3261" w:type="dxa"/>
            <w:tcBorders>
              <w:top w:val="nil"/>
              <w:left w:val="single" w:sz="4" w:space="0" w:color="auto"/>
              <w:bottom w:val="single" w:sz="4" w:space="0" w:color="auto"/>
              <w:right w:val="nil"/>
            </w:tcBorders>
            <w:shd w:val="clear" w:color="auto" w:fill="auto"/>
            <w:vAlign w:val="center"/>
            <w:hideMark/>
          </w:tcPr>
          <w:p w14:paraId="7D174612" w14:textId="77777777" w:rsidR="00387142" w:rsidRPr="008B6A75" w:rsidRDefault="00387142" w:rsidP="00387142">
            <w:pPr>
              <w:rPr>
                <w:bCs/>
                <w:sz w:val="20"/>
                <w:szCs w:val="20"/>
              </w:rPr>
            </w:pPr>
            <w:proofErr w:type="spellStart"/>
            <w:r w:rsidRPr="008B6A75">
              <w:rPr>
                <w:bCs/>
                <w:sz w:val="20"/>
                <w:szCs w:val="20"/>
              </w:rPr>
              <w:t>Софинансирование</w:t>
            </w:r>
            <w:proofErr w:type="spellEnd"/>
            <w:r w:rsidRPr="008B6A75">
              <w:rPr>
                <w:bCs/>
                <w:sz w:val="20"/>
                <w:szCs w:val="20"/>
              </w:rPr>
              <w:t xml:space="preserve"> местного бюджета на реализацию мероприятий по установке и модернизации систем видеонаблюдения, автоматической пожарной сигнализации и пожарного мониторинга государственной программы Новосибирской области "Построение и развитие аппаратно-программного комплекса "Безопасный город" в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14:paraId="00E81176" w14:textId="77777777" w:rsidR="00387142" w:rsidRPr="008B6A75" w:rsidRDefault="00387142" w:rsidP="00387142">
            <w:pPr>
              <w:jc w:val="center"/>
              <w:rPr>
                <w:bCs/>
                <w:sz w:val="20"/>
                <w:szCs w:val="20"/>
              </w:rPr>
            </w:pPr>
            <w:r w:rsidRPr="008B6A75">
              <w:rPr>
                <w:bCs/>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1F28527" w14:textId="77777777" w:rsidR="00387142" w:rsidRPr="008B6A75" w:rsidRDefault="00387142" w:rsidP="00387142">
            <w:pPr>
              <w:jc w:val="center"/>
              <w:rPr>
                <w:bCs/>
                <w:sz w:val="20"/>
                <w:szCs w:val="20"/>
              </w:rPr>
            </w:pPr>
            <w:r w:rsidRPr="008B6A75">
              <w:rPr>
                <w:bCs/>
                <w:sz w:val="20"/>
                <w:szCs w:val="20"/>
              </w:rPr>
              <w:t>02</w:t>
            </w:r>
          </w:p>
        </w:tc>
        <w:tc>
          <w:tcPr>
            <w:tcW w:w="1516" w:type="dxa"/>
            <w:tcBorders>
              <w:top w:val="nil"/>
              <w:left w:val="single" w:sz="4" w:space="0" w:color="auto"/>
              <w:bottom w:val="single" w:sz="4" w:space="0" w:color="auto"/>
              <w:right w:val="nil"/>
            </w:tcBorders>
            <w:shd w:val="clear" w:color="auto" w:fill="auto"/>
            <w:noWrap/>
            <w:vAlign w:val="center"/>
            <w:hideMark/>
          </w:tcPr>
          <w:p w14:paraId="2FEB063B" w14:textId="77777777" w:rsidR="00387142" w:rsidRPr="008B6A75" w:rsidRDefault="00387142" w:rsidP="00387142">
            <w:pPr>
              <w:jc w:val="center"/>
              <w:rPr>
                <w:bCs/>
                <w:sz w:val="20"/>
                <w:szCs w:val="20"/>
              </w:rPr>
            </w:pPr>
            <w:r w:rsidRPr="008B6A75">
              <w:rPr>
                <w:bCs/>
                <w:sz w:val="20"/>
                <w:szCs w:val="20"/>
              </w:rPr>
              <w:t>07.1.00.S2590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65ADB4D"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69BF8F5" w14:textId="77777777" w:rsidR="00387142" w:rsidRPr="008B6A75" w:rsidRDefault="00387142" w:rsidP="00387142">
            <w:pPr>
              <w:jc w:val="right"/>
              <w:rPr>
                <w:bCs/>
                <w:sz w:val="20"/>
                <w:szCs w:val="20"/>
              </w:rPr>
            </w:pPr>
            <w:r w:rsidRPr="008B6A75">
              <w:rPr>
                <w:bCs/>
                <w:sz w:val="20"/>
                <w:szCs w:val="20"/>
              </w:rPr>
              <w:t>19 113,52</w:t>
            </w:r>
          </w:p>
        </w:tc>
        <w:tc>
          <w:tcPr>
            <w:tcW w:w="992" w:type="dxa"/>
            <w:tcBorders>
              <w:top w:val="nil"/>
              <w:left w:val="single" w:sz="4" w:space="0" w:color="auto"/>
              <w:bottom w:val="single" w:sz="4" w:space="0" w:color="auto"/>
              <w:right w:val="nil"/>
            </w:tcBorders>
            <w:shd w:val="clear" w:color="auto" w:fill="auto"/>
            <w:vAlign w:val="center"/>
            <w:hideMark/>
          </w:tcPr>
          <w:p w14:paraId="68AA9CA1" w14:textId="77777777" w:rsidR="00387142" w:rsidRPr="008B6A75" w:rsidRDefault="00387142" w:rsidP="00387142">
            <w:pPr>
              <w:jc w:val="right"/>
              <w:rPr>
                <w:bCs/>
                <w:sz w:val="20"/>
                <w:szCs w:val="20"/>
              </w:rPr>
            </w:pPr>
            <w:r w:rsidRPr="008B6A75">
              <w:rPr>
                <w:bCs/>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7447AD38" w14:textId="77777777" w:rsidR="00387142" w:rsidRPr="008B6A75" w:rsidRDefault="00387142" w:rsidP="00387142">
            <w:pPr>
              <w:jc w:val="right"/>
              <w:rPr>
                <w:bCs/>
                <w:sz w:val="20"/>
                <w:szCs w:val="20"/>
              </w:rPr>
            </w:pPr>
            <w:r w:rsidRPr="008B6A75">
              <w:rPr>
                <w:bCs/>
                <w:sz w:val="20"/>
                <w:szCs w:val="20"/>
              </w:rPr>
              <w:t>0,00</w:t>
            </w:r>
          </w:p>
        </w:tc>
      </w:tr>
      <w:tr w:rsidR="00387142" w:rsidRPr="008B6A75" w14:paraId="7AF2DC04" w14:textId="77777777" w:rsidTr="00387142">
        <w:trPr>
          <w:trHeight w:val="585"/>
        </w:trPr>
        <w:tc>
          <w:tcPr>
            <w:tcW w:w="3261" w:type="dxa"/>
            <w:tcBorders>
              <w:top w:val="nil"/>
              <w:left w:val="single" w:sz="4" w:space="0" w:color="auto"/>
              <w:bottom w:val="single" w:sz="4" w:space="0" w:color="auto"/>
              <w:right w:val="nil"/>
            </w:tcBorders>
            <w:shd w:val="clear" w:color="auto" w:fill="auto"/>
            <w:vAlign w:val="center"/>
            <w:hideMark/>
          </w:tcPr>
          <w:p w14:paraId="65DC36EA" w14:textId="77777777" w:rsidR="00387142" w:rsidRPr="008B6A75" w:rsidRDefault="00387142" w:rsidP="00387142">
            <w:pPr>
              <w:rPr>
                <w:sz w:val="20"/>
                <w:szCs w:val="20"/>
              </w:rPr>
            </w:pPr>
            <w:r w:rsidRPr="008B6A75">
              <w:rPr>
                <w:sz w:val="20"/>
                <w:szCs w:val="20"/>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4C33ADB6" w14:textId="77777777" w:rsidR="00387142" w:rsidRPr="008B6A75" w:rsidRDefault="00387142" w:rsidP="00387142">
            <w:pPr>
              <w:jc w:val="center"/>
              <w:rPr>
                <w:sz w:val="20"/>
                <w:szCs w:val="20"/>
              </w:rPr>
            </w:pPr>
            <w:r w:rsidRPr="008B6A75">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59BFEDF" w14:textId="77777777" w:rsidR="00387142" w:rsidRPr="008B6A75" w:rsidRDefault="00387142" w:rsidP="00387142">
            <w:pPr>
              <w:jc w:val="center"/>
              <w:rPr>
                <w:sz w:val="20"/>
                <w:szCs w:val="20"/>
              </w:rPr>
            </w:pPr>
            <w:r w:rsidRPr="008B6A75">
              <w:rPr>
                <w:sz w:val="20"/>
                <w:szCs w:val="20"/>
              </w:rPr>
              <w:t>02</w:t>
            </w:r>
          </w:p>
        </w:tc>
        <w:tc>
          <w:tcPr>
            <w:tcW w:w="1516" w:type="dxa"/>
            <w:tcBorders>
              <w:top w:val="nil"/>
              <w:left w:val="single" w:sz="4" w:space="0" w:color="auto"/>
              <w:bottom w:val="single" w:sz="4" w:space="0" w:color="auto"/>
              <w:right w:val="nil"/>
            </w:tcBorders>
            <w:shd w:val="clear" w:color="auto" w:fill="auto"/>
            <w:noWrap/>
            <w:vAlign w:val="center"/>
            <w:hideMark/>
          </w:tcPr>
          <w:p w14:paraId="7C8DB675" w14:textId="77777777" w:rsidR="00387142" w:rsidRPr="008B6A75" w:rsidRDefault="00387142" w:rsidP="00387142">
            <w:pPr>
              <w:jc w:val="center"/>
              <w:rPr>
                <w:sz w:val="20"/>
                <w:szCs w:val="20"/>
              </w:rPr>
            </w:pPr>
            <w:r w:rsidRPr="008B6A75">
              <w:rPr>
                <w:sz w:val="20"/>
                <w:szCs w:val="20"/>
              </w:rPr>
              <w:t>07.1.00.S2590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39D93AC" w14:textId="77777777" w:rsidR="00387142" w:rsidRPr="008B6A75" w:rsidRDefault="00387142" w:rsidP="00387142">
            <w:pPr>
              <w:jc w:val="center"/>
              <w:rPr>
                <w:sz w:val="20"/>
                <w:szCs w:val="20"/>
              </w:rPr>
            </w:pPr>
            <w:r w:rsidRPr="008B6A75">
              <w:rPr>
                <w:sz w:val="20"/>
                <w:szCs w:val="20"/>
              </w:rPr>
              <w:t>200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F37205A" w14:textId="77777777" w:rsidR="00387142" w:rsidRPr="008B6A75" w:rsidRDefault="00387142" w:rsidP="00387142">
            <w:pPr>
              <w:jc w:val="right"/>
              <w:rPr>
                <w:sz w:val="20"/>
                <w:szCs w:val="20"/>
              </w:rPr>
            </w:pPr>
            <w:r w:rsidRPr="008B6A75">
              <w:rPr>
                <w:sz w:val="20"/>
                <w:szCs w:val="20"/>
              </w:rPr>
              <w:t>11 334,64</w:t>
            </w:r>
          </w:p>
        </w:tc>
        <w:tc>
          <w:tcPr>
            <w:tcW w:w="992" w:type="dxa"/>
            <w:tcBorders>
              <w:top w:val="nil"/>
              <w:left w:val="single" w:sz="4" w:space="0" w:color="auto"/>
              <w:bottom w:val="single" w:sz="4" w:space="0" w:color="auto"/>
              <w:right w:val="nil"/>
            </w:tcBorders>
            <w:shd w:val="clear" w:color="auto" w:fill="auto"/>
            <w:vAlign w:val="center"/>
            <w:hideMark/>
          </w:tcPr>
          <w:p w14:paraId="70E0E1A0" w14:textId="77777777" w:rsidR="00387142" w:rsidRPr="008B6A75" w:rsidRDefault="00387142" w:rsidP="00387142">
            <w:pPr>
              <w:jc w:val="right"/>
              <w:rPr>
                <w:sz w:val="20"/>
                <w:szCs w:val="20"/>
              </w:rPr>
            </w:pPr>
            <w:r w:rsidRPr="008B6A75">
              <w:rPr>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7E3CBB85" w14:textId="77777777" w:rsidR="00387142" w:rsidRPr="008B6A75" w:rsidRDefault="00387142" w:rsidP="00387142">
            <w:pPr>
              <w:jc w:val="right"/>
              <w:rPr>
                <w:sz w:val="20"/>
                <w:szCs w:val="20"/>
              </w:rPr>
            </w:pPr>
            <w:r w:rsidRPr="008B6A75">
              <w:rPr>
                <w:sz w:val="20"/>
                <w:szCs w:val="20"/>
              </w:rPr>
              <w:t>0,00</w:t>
            </w:r>
          </w:p>
        </w:tc>
      </w:tr>
      <w:tr w:rsidR="00387142" w:rsidRPr="008B6A75" w14:paraId="5D606D03" w14:textId="77777777" w:rsidTr="00387142">
        <w:trPr>
          <w:trHeight w:val="870"/>
        </w:trPr>
        <w:tc>
          <w:tcPr>
            <w:tcW w:w="3261" w:type="dxa"/>
            <w:tcBorders>
              <w:top w:val="nil"/>
              <w:left w:val="single" w:sz="4" w:space="0" w:color="auto"/>
              <w:bottom w:val="single" w:sz="4" w:space="0" w:color="auto"/>
              <w:right w:val="nil"/>
            </w:tcBorders>
            <w:shd w:val="clear" w:color="auto" w:fill="auto"/>
            <w:vAlign w:val="center"/>
            <w:hideMark/>
          </w:tcPr>
          <w:p w14:paraId="51EF8BA6" w14:textId="77777777" w:rsidR="00387142" w:rsidRPr="008B6A75" w:rsidRDefault="00387142" w:rsidP="00387142">
            <w:pPr>
              <w:rPr>
                <w:sz w:val="20"/>
                <w:szCs w:val="20"/>
              </w:rPr>
            </w:pPr>
            <w:r w:rsidRPr="008B6A75">
              <w:rPr>
                <w:sz w:val="20"/>
                <w:szCs w:val="20"/>
              </w:rPr>
              <w:lastRenderedPageBreak/>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6DCD456E" w14:textId="77777777" w:rsidR="00387142" w:rsidRPr="008B6A75" w:rsidRDefault="00387142" w:rsidP="00387142">
            <w:pPr>
              <w:jc w:val="center"/>
              <w:rPr>
                <w:sz w:val="20"/>
                <w:szCs w:val="20"/>
              </w:rPr>
            </w:pPr>
            <w:r w:rsidRPr="008B6A75">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6ED7CE7" w14:textId="77777777" w:rsidR="00387142" w:rsidRPr="008B6A75" w:rsidRDefault="00387142" w:rsidP="00387142">
            <w:pPr>
              <w:jc w:val="center"/>
              <w:rPr>
                <w:sz w:val="20"/>
                <w:szCs w:val="20"/>
              </w:rPr>
            </w:pPr>
            <w:r w:rsidRPr="008B6A75">
              <w:rPr>
                <w:sz w:val="20"/>
                <w:szCs w:val="20"/>
              </w:rPr>
              <w:t>02</w:t>
            </w:r>
          </w:p>
        </w:tc>
        <w:tc>
          <w:tcPr>
            <w:tcW w:w="1516" w:type="dxa"/>
            <w:tcBorders>
              <w:top w:val="nil"/>
              <w:left w:val="single" w:sz="4" w:space="0" w:color="auto"/>
              <w:bottom w:val="single" w:sz="4" w:space="0" w:color="auto"/>
              <w:right w:val="nil"/>
            </w:tcBorders>
            <w:shd w:val="clear" w:color="auto" w:fill="auto"/>
            <w:noWrap/>
            <w:vAlign w:val="center"/>
            <w:hideMark/>
          </w:tcPr>
          <w:p w14:paraId="0FDD9226" w14:textId="77777777" w:rsidR="00387142" w:rsidRPr="008B6A75" w:rsidRDefault="00387142" w:rsidP="00387142">
            <w:pPr>
              <w:jc w:val="center"/>
              <w:rPr>
                <w:sz w:val="20"/>
                <w:szCs w:val="20"/>
              </w:rPr>
            </w:pPr>
            <w:r w:rsidRPr="008B6A75">
              <w:rPr>
                <w:sz w:val="20"/>
                <w:szCs w:val="20"/>
              </w:rPr>
              <w:t>07.1.00.S2590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23C6265" w14:textId="77777777" w:rsidR="00387142" w:rsidRPr="008B6A75" w:rsidRDefault="00387142" w:rsidP="00387142">
            <w:pPr>
              <w:jc w:val="center"/>
              <w:rPr>
                <w:sz w:val="20"/>
                <w:szCs w:val="20"/>
              </w:rPr>
            </w:pPr>
            <w:r w:rsidRPr="008B6A75">
              <w:rPr>
                <w:sz w:val="20"/>
                <w:szCs w:val="20"/>
              </w:rPr>
              <w:t>240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1978513" w14:textId="77777777" w:rsidR="00387142" w:rsidRPr="008B6A75" w:rsidRDefault="00387142" w:rsidP="00387142">
            <w:pPr>
              <w:jc w:val="right"/>
              <w:rPr>
                <w:sz w:val="20"/>
                <w:szCs w:val="20"/>
              </w:rPr>
            </w:pPr>
            <w:r w:rsidRPr="008B6A75">
              <w:rPr>
                <w:sz w:val="20"/>
                <w:szCs w:val="20"/>
              </w:rPr>
              <w:t>11 334,64</w:t>
            </w:r>
          </w:p>
        </w:tc>
        <w:tc>
          <w:tcPr>
            <w:tcW w:w="992" w:type="dxa"/>
            <w:tcBorders>
              <w:top w:val="nil"/>
              <w:left w:val="single" w:sz="4" w:space="0" w:color="auto"/>
              <w:bottom w:val="single" w:sz="4" w:space="0" w:color="auto"/>
              <w:right w:val="nil"/>
            </w:tcBorders>
            <w:shd w:val="clear" w:color="auto" w:fill="auto"/>
            <w:vAlign w:val="center"/>
            <w:hideMark/>
          </w:tcPr>
          <w:p w14:paraId="4CD8EF36" w14:textId="77777777" w:rsidR="00387142" w:rsidRPr="008B6A75" w:rsidRDefault="00387142" w:rsidP="00387142">
            <w:pPr>
              <w:jc w:val="right"/>
              <w:rPr>
                <w:sz w:val="20"/>
                <w:szCs w:val="20"/>
              </w:rPr>
            </w:pPr>
            <w:r w:rsidRPr="008B6A75">
              <w:rPr>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395DC522" w14:textId="77777777" w:rsidR="00387142" w:rsidRPr="008B6A75" w:rsidRDefault="00387142" w:rsidP="00387142">
            <w:pPr>
              <w:jc w:val="right"/>
              <w:rPr>
                <w:sz w:val="20"/>
                <w:szCs w:val="20"/>
              </w:rPr>
            </w:pPr>
            <w:r w:rsidRPr="008B6A75">
              <w:rPr>
                <w:sz w:val="20"/>
                <w:szCs w:val="20"/>
              </w:rPr>
              <w:t>0,00</w:t>
            </w:r>
          </w:p>
        </w:tc>
      </w:tr>
      <w:tr w:rsidR="00387142" w:rsidRPr="008B6A75" w14:paraId="0EDA0EF5" w14:textId="77777777" w:rsidTr="00387142">
        <w:trPr>
          <w:trHeight w:val="870"/>
        </w:trPr>
        <w:tc>
          <w:tcPr>
            <w:tcW w:w="3261" w:type="dxa"/>
            <w:tcBorders>
              <w:top w:val="nil"/>
              <w:left w:val="single" w:sz="4" w:space="0" w:color="auto"/>
              <w:bottom w:val="single" w:sz="4" w:space="0" w:color="auto"/>
              <w:right w:val="nil"/>
            </w:tcBorders>
            <w:shd w:val="clear" w:color="auto" w:fill="auto"/>
            <w:vAlign w:val="center"/>
            <w:hideMark/>
          </w:tcPr>
          <w:p w14:paraId="5742E6C1" w14:textId="77777777" w:rsidR="00387142" w:rsidRPr="008B6A75" w:rsidRDefault="00387142" w:rsidP="00387142">
            <w:pPr>
              <w:rPr>
                <w:sz w:val="20"/>
                <w:szCs w:val="20"/>
              </w:rPr>
            </w:pPr>
            <w:r w:rsidRPr="008B6A75">
              <w:rPr>
                <w:sz w:val="20"/>
                <w:szCs w:val="20"/>
              </w:rPr>
              <w:t>Предоставление субсидий бюджетным, автономным учреждениям и иным некоммерческим организациям</w:t>
            </w:r>
          </w:p>
        </w:tc>
        <w:tc>
          <w:tcPr>
            <w:tcW w:w="720" w:type="dxa"/>
            <w:tcBorders>
              <w:top w:val="nil"/>
              <w:left w:val="single" w:sz="4" w:space="0" w:color="auto"/>
              <w:bottom w:val="single" w:sz="4" w:space="0" w:color="auto"/>
              <w:right w:val="nil"/>
            </w:tcBorders>
            <w:shd w:val="clear" w:color="auto" w:fill="auto"/>
            <w:noWrap/>
            <w:vAlign w:val="center"/>
            <w:hideMark/>
          </w:tcPr>
          <w:p w14:paraId="3C9B4BB6" w14:textId="77777777" w:rsidR="00387142" w:rsidRPr="008B6A75" w:rsidRDefault="00387142" w:rsidP="00387142">
            <w:pPr>
              <w:jc w:val="center"/>
              <w:rPr>
                <w:sz w:val="20"/>
                <w:szCs w:val="20"/>
              </w:rPr>
            </w:pPr>
            <w:r w:rsidRPr="008B6A75">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CB4578A" w14:textId="77777777" w:rsidR="00387142" w:rsidRPr="008B6A75" w:rsidRDefault="00387142" w:rsidP="00387142">
            <w:pPr>
              <w:jc w:val="center"/>
              <w:rPr>
                <w:sz w:val="20"/>
                <w:szCs w:val="20"/>
              </w:rPr>
            </w:pPr>
            <w:r w:rsidRPr="008B6A75">
              <w:rPr>
                <w:sz w:val="20"/>
                <w:szCs w:val="20"/>
              </w:rPr>
              <w:t>02</w:t>
            </w:r>
          </w:p>
        </w:tc>
        <w:tc>
          <w:tcPr>
            <w:tcW w:w="1516" w:type="dxa"/>
            <w:tcBorders>
              <w:top w:val="nil"/>
              <w:left w:val="single" w:sz="4" w:space="0" w:color="auto"/>
              <w:bottom w:val="single" w:sz="4" w:space="0" w:color="auto"/>
              <w:right w:val="nil"/>
            </w:tcBorders>
            <w:shd w:val="clear" w:color="auto" w:fill="auto"/>
            <w:noWrap/>
            <w:vAlign w:val="center"/>
            <w:hideMark/>
          </w:tcPr>
          <w:p w14:paraId="1D8F1B7B" w14:textId="77777777" w:rsidR="00387142" w:rsidRPr="008B6A75" w:rsidRDefault="00387142" w:rsidP="00387142">
            <w:pPr>
              <w:jc w:val="center"/>
              <w:rPr>
                <w:sz w:val="20"/>
                <w:szCs w:val="20"/>
              </w:rPr>
            </w:pPr>
            <w:r w:rsidRPr="008B6A75">
              <w:rPr>
                <w:sz w:val="20"/>
                <w:szCs w:val="20"/>
              </w:rPr>
              <w:t>07.1.00.S2590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61E0910" w14:textId="77777777" w:rsidR="00387142" w:rsidRPr="008B6A75" w:rsidRDefault="00387142" w:rsidP="00387142">
            <w:pPr>
              <w:jc w:val="center"/>
              <w:rPr>
                <w:sz w:val="20"/>
                <w:szCs w:val="20"/>
              </w:rPr>
            </w:pPr>
            <w:r w:rsidRPr="008B6A75">
              <w:rPr>
                <w:sz w:val="20"/>
                <w:szCs w:val="20"/>
              </w:rPr>
              <w:t>600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94E7A50" w14:textId="77777777" w:rsidR="00387142" w:rsidRPr="008B6A75" w:rsidRDefault="00387142" w:rsidP="00387142">
            <w:pPr>
              <w:jc w:val="right"/>
              <w:rPr>
                <w:sz w:val="20"/>
                <w:szCs w:val="20"/>
              </w:rPr>
            </w:pPr>
            <w:r w:rsidRPr="008B6A75">
              <w:rPr>
                <w:sz w:val="20"/>
                <w:szCs w:val="20"/>
              </w:rPr>
              <w:t>7 778,88</w:t>
            </w:r>
          </w:p>
        </w:tc>
        <w:tc>
          <w:tcPr>
            <w:tcW w:w="992" w:type="dxa"/>
            <w:tcBorders>
              <w:top w:val="nil"/>
              <w:left w:val="single" w:sz="4" w:space="0" w:color="auto"/>
              <w:bottom w:val="single" w:sz="4" w:space="0" w:color="auto"/>
              <w:right w:val="nil"/>
            </w:tcBorders>
            <w:shd w:val="clear" w:color="auto" w:fill="auto"/>
            <w:vAlign w:val="center"/>
            <w:hideMark/>
          </w:tcPr>
          <w:p w14:paraId="72B71E2F" w14:textId="77777777" w:rsidR="00387142" w:rsidRPr="008B6A75" w:rsidRDefault="00387142" w:rsidP="00387142">
            <w:pPr>
              <w:jc w:val="right"/>
              <w:rPr>
                <w:sz w:val="20"/>
                <w:szCs w:val="20"/>
              </w:rPr>
            </w:pPr>
            <w:r w:rsidRPr="008B6A75">
              <w:rPr>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760DEA15" w14:textId="77777777" w:rsidR="00387142" w:rsidRPr="008B6A75" w:rsidRDefault="00387142" w:rsidP="00387142">
            <w:pPr>
              <w:jc w:val="right"/>
              <w:rPr>
                <w:sz w:val="20"/>
                <w:szCs w:val="20"/>
              </w:rPr>
            </w:pPr>
            <w:r w:rsidRPr="008B6A75">
              <w:rPr>
                <w:sz w:val="20"/>
                <w:szCs w:val="20"/>
              </w:rPr>
              <w:t>0,00</w:t>
            </w:r>
          </w:p>
        </w:tc>
      </w:tr>
      <w:tr w:rsidR="00387142" w:rsidRPr="008B6A75" w14:paraId="58E73A8C" w14:textId="77777777" w:rsidTr="00387142">
        <w:trPr>
          <w:trHeight w:val="345"/>
        </w:trPr>
        <w:tc>
          <w:tcPr>
            <w:tcW w:w="3261" w:type="dxa"/>
            <w:tcBorders>
              <w:top w:val="nil"/>
              <w:left w:val="single" w:sz="4" w:space="0" w:color="auto"/>
              <w:bottom w:val="single" w:sz="4" w:space="0" w:color="auto"/>
              <w:right w:val="nil"/>
            </w:tcBorders>
            <w:shd w:val="clear" w:color="auto" w:fill="auto"/>
            <w:vAlign w:val="center"/>
            <w:hideMark/>
          </w:tcPr>
          <w:p w14:paraId="5E7C930F" w14:textId="77777777" w:rsidR="00387142" w:rsidRPr="008B6A75" w:rsidRDefault="00387142" w:rsidP="00387142">
            <w:pPr>
              <w:rPr>
                <w:sz w:val="20"/>
                <w:szCs w:val="20"/>
              </w:rPr>
            </w:pPr>
            <w:r w:rsidRPr="008B6A75">
              <w:rPr>
                <w:sz w:val="20"/>
                <w:szCs w:val="20"/>
              </w:rPr>
              <w:t>Субсидии бюджетным учреждениям</w:t>
            </w:r>
          </w:p>
        </w:tc>
        <w:tc>
          <w:tcPr>
            <w:tcW w:w="720" w:type="dxa"/>
            <w:tcBorders>
              <w:top w:val="nil"/>
              <w:left w:val="single" w:sz="4" w:space="0" w:color="auto"/>
              <w:bottom w:val="single" w:sz="4" w:space="0" w:color="auto"/>
              <w:right w:val="nil"/>
            </w:tcBorders>
            <w:shd w:val="clear" w:color="auto" w:fill="auto"/>
            <w:noWrap/>
            <w:vAlign w:val="center"/>
            <w:hideMark/>
          </w:tcPr>
          <w:p w14:paraId="6C22A048" w14:textId="77777777" w:rsidR="00387142" w:rsidRPr="008B6A75" w:rsidRDefault="00387142" w:rsidP="00387142">
            <w:pPr>
              <w:jc w:val="center"/>
              <w:rPr>
                <w:sz w:val="20"/>
                <w:szCs w:val="20"/>
              </w:rPr>
            </w:pPr>
            <w:r w:rsidRPr="008B6A75">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76BD156" w14:textId="77777777" w:rsidR="00387142" w:rsidRPr="008B6A75" w:rsidRDefault="00387142" w:rsidP="00387142">
            <w:pPr>
              <w:jc w:val="center"/>
              <w:rPr>
                <w:sz w:val="20"/>
                <w:szCs w:val="20"/>
              </w:rPr>
            </w:pPr>
            <w:r w:rsidRPr="008B6A75">
              <w:rPr>
                <w:sz w:val="20"/>
                <w:szCs w:val="20"/>
              </w:rPr>
              <w:t>02</w:t>
            </w:r>
          </w:p>
        </w:tc>
        <w:tc>
          <w:tcPr>
            <w:tcW w:w="1516" w:type="dxa"/>
            <w:tcBorders>
              <w:top w:val="nil"/>
              <w:left w:val="single" w:sz="4" w:space="0" w:color="auto"/>
              <w:bottom w:val="single" w:sz="4" w:space="0" w:color="auto"/>
              <w:right w:val="nil"/>
            </w:tcBorders>
            <w:shd w:val="clear" w:color="auto" w:fill="auto"/>
            <w:noWrap/>
            <w:vAlign w:val="center"/>
            <w:hideMark/>
          </w:tcPr>
          <w:p w14:paraId="4E4A885D" w14:textId="77777777" w:rsidR="00387142" w:rsidRPr="008B6A75" w:rsidRDefault="00387142" w:rsidP="00387142">
            <w:pPr>
              <w:jc w:val="center"/>
              <w:rPr>
                <w:sz w:val="20"/>
                <w:szCs w:val="20"/>
              </w:rPr>
            </w:pPr>
            <w:r w:rsidRPr="008B6A75">
              <w:rPr>
                <w:sz w:val="20"/>
                <w:szCs w:val="20"/>
              </w:rPr>
              <w:t>07.1.00.S2590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C5E3380" w14:textId="77777777" w:rsidR="00387142" w:rsidRPr="008B6A75" w:rsidRDefault="00387142" w:rsidP="00387142">
            <w:pPr>
              <w:jc w:val="center"/>
              <w:rPr>
                <w:sz w:val="20"/>
                <w:szCs w:val="20"/>
              </w:rPr>
            </w:pPr>
            <w:r w:rsidRPr="008B6A75">
              <w:rPr>
                <w:sz w:val="20"/>
                <w:szCs w:val="20"/>
              </w:rPr>
              <w:t>610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4EA7590" w14:textId="77777777" w:rsidR="00387142" w:rsidRPr="008B6A75" w:rsidRDefault="00387142" w:rsidP="00387142">
            <w:pPr>
              <w:jc w:val="right"/>
              <w:rPr>
                <w:sz w:val="20"/>
                <w:szCs w:val="20"/>
              </w:rPr>
            </w:pPr>
            <w:r w:rsidRPr="008B6A75">
              <w:rPr>
                <w:sz w:val="20"/>
                <w:szCs w:val="20"/>
              </w:rPr>
              <w:t>7 778,88</w:t>
            </w:r>
          </w:p>
        </w:tc>
        <w:tc>
          <w:tcPr>
            <w:tcW w:w="992" w:type="dxa"/>
            <w:tcBorders>
              <w:top w:val="nil"/>
              <w:left w:val="single" w:sz="4" w:space="0" w:color="auto"/>
              <w:bottom w:val="single" w:sz="4" w:space="0" w:color="auto"/>
              <w:right w:val="nil"/>
            </w:tcBorders>
            <w:shd w:val="clear" w:color="auto" w:fill="auto"/>
            <w:vAlign w:val="center"/>
            <w:hideMark/>
          </w:tcPr>
          <w:p w14:paraId="11ACFAC5" w14:textId="77777777" w:rsidR="00387142" w:rsidRPr="008B6A75" w:rsidRDefault="00387142" w:rsidP="00387142">
            <w:pPr>
              <w:jc w:val="right"/>
              <w:rPr>
                <w:sz w:val="20"/>
                <w:szCs w:val="20"/>
              </w:rPr>
            </w:pPr>
            <w:r w:rsidRPr="008B6A75">
              <w:rPr>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341D08CC" w14:textId="77777777" w:rsidR="00387142" w:rsidRPr="008B6A75" w:rsidRDefault="00387142" w:rsidP="00387142">
            <w:pPr>
              <w:jc w:val="right"/>
              <w:rPr>
                <w:sz w:val="20"/>
                <w:szCs w:val="20"/>
              </w:rPr>
            </w:pPr>
            <w:r w:rsidRPr="008B6A75">
              <w:rPr>
                <w:sz w:val="20"/>
                <w:szCs w:val="20"/>
              </w:rPr>
              <w:t>0,00</w:t>
            </w:r>
          </w:p>
        </w:tc>
      </w:tr>
      <w:tr w:rsidR="00387142" w:rsidRPr="008B6A75" w14:paraId="7E18A8F1" w14:textId="77777777" w:rsidTr="00387142">
        <w:trPr>
          <w:trHeight w:val="345"/>
        </w:trPr>
        <w:tc>
          <w:tcPr>
            <w:tcW w:w="3261" w:type="dxa"/>
            <w:tcBorders>
              <w:top w:val="nil"/>
              <w:left w:val="single" w:sz="4" w:space="0" w:color="auto"/>
              <w:bottom w:val="single" w:sz="4" w:space="0" w:color="auto"/>
              <w:right w:val="nil"/>
            </w:tcBorders>
            <w:shd w:val="clear" w:color="auto" w:fill="auto"/>
            <w:vAlign w:val="center"/>
            <w:hideMark/>
          </w:tcPr>
          <w:p w14:paraId="39BDEECB" w14:textId="77777777" w:rsidR="00387142" w:rsidRPr="008B6A75" w:rsidRDefault="00387142" w:rsidP="00387142">
            <w:pPr>
              <w:rPr>
                <w:bCs/>
                <w:sz w:val="20"/>
                <w:szCs w:val="20"/>
              </w:rPr>
            </w:pPr>
            <w:r w:rsidRPr="008B6A75">
              <w:rPr>
                <w:bCs/>
                <w:sz w:val="20"/>
                <w:szCs w:val="20"/>
              </w:rPr>
              <w:t>Региональный проект "Современная школа"</w:t>
            </w:r>
          </w:p>
        </w:tc>
        <w:tc>
          <w:tcPr>
            <w:tcW w:w="720" w:type="dxa"/>
            <w:tcBorders>
              <w:top w:val="nil"/>
              <w:left w:val="single" w:sz="4" w:space="0" w:color="auto"/>
              <w:bottom w:val="single" w:sz="4" w:space="0" w:color="auto"/>
              <w:right w:val="nil"/>
            </w:tcBorders>
            <w:shd w:val="clear" w:color="auto" w:fill="auto"/>
            <w:noWrap/>
            <w:vAlign w:val="center"/>
            <w:hideMark/>
          </w:tcPr>
          <w:p w14:paraId="467EA4BB" w14:textId="77777777" w:rsidR="00387142" w:rsidRPr="008B6A75" w:rsidRDefault="00387142" w:rsidP="00387142">
            <w:pPr>
              <w:jc w:val="center"/>
              <w:rPr>
                <w:bCs/>
                <w:sz w:val="20"/>
                <w:szCs w:val="20"/>
              </w:rPr>
            </w:pPr>
            <w:r w:rsidRPr="008B6A75">
              <w:rPr>
                <w:bCs/>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382829D" w14:textId="77777777" w:rsidR="00387142" w:rsidRPr="008B6A75" w:rsidRDefault="00387142" w:rsidP="00387142">
            <w:pPr>
              <w:jc w:val="center"/>
              <w:rPr>
                <w:bCs/>
                <w:sz w:val="20"/>
                <w:szCs w:val="20"/>
              </w:rPr>
            </w:pPr>
            <w:r w:rsidRPr="008B6A75">
              <w:rPr>
                <w:bCs/>
                <w:sz w:val="20"/>
                <w:szCs w:val="20"/>
              </w:rPr>
              <w:t>02</w:t>
            </w:r>
          </w:p>
        </w:tc>
        <w:tc>
          <w:tcPr>
            <w:tcW w:w="1516" w:type="dxa"/>
            <w:tcBorders>
              <w:top w:val="nil"/>
              <w:left w:val="single" w:sz="4" w:space="0" w:color="auto"/>
              <w:bottom w:val="single" w:sz="4" w:space="0" w:color="auto"/>
              <w:right w:val="nil"/>
            </w:tcBorders>
            <w:shd w:val="clear" w:color="auto" w:fill="auto"/>
            <w:noWrap/>
            <w:vAlign w:val="center"/>
            <w:hideMark/>
          </w:tcPr>
          <w:p w14:paraId="40D96AFF" w14:textId="77777777" w:rsidR="00387142" w:rsidRPr="008B6A75" w:rsidRDefault="00387142" w:rsidP="00387142">
            <w:pPr>
              <w:jc w:val="center"/>
              <w:rPr>
                <w:bCs/>
                <w:sz w:val="20"/>
                <w:szCs w:val="20"/>
              </w:rPr>
            </w:pPr>
            <w:r w:rsidRPr="008B6A75">
              <w:rPr>
                <w:bCs/>
                <w:sz w:val="20"/>
                <w:szCs w:val="20"/>
              </w:rPr>
              <w:t>07.1.E1.00000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FEA87AF"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364369E" w14:textId="77777777" w:rsidR="00387142" w:rsidRPr="008B6A75" w:rsidRDefault="00387142" w:rsidP="00387142">
            <w:pPr>
              <w:jc w:val="right"/>
              <w:rPr>
                <w:bCs/>
                <w:sz w:val="20"/>
                <w:szCs w:val="20"/>
              </w:rPr>
            </w:pPr>
            <w:r w:rsidRPr="008B6A75">
              <w:rPr>
                <w:bCs/>
                <w:sz w:val="20"/>
                <w:szCs w:val="20"/>
              </w:rPr>
              <w:t>21 737 275,41</w:t>
            </w:r>
          </w:p>
        </w:tc>
        <w:tc>
          <w:tcPr>
            <w:tcW w:w="992" w:type="dxa"/>
            <w:tcBorders>
              <w:top w:val="nil"/>
              <w:left w:val="single" w:sz="4" w:space="0" w:color="auto"/>
              <w:bottom w:val="single" w:sz="4" w:space="0" w:color="auto"/>
              <w:right w:val="nil"/>
            </w:tcBorders>
            <w:shd w:val="clear" w:color="auto" w:fill="auto"/>
            <w:vAlign w:val="center"/>
            <w:hideMark/>
          </w:tcPr>
          <w:p w14:paraId="06901090" w14:textId="77777777" w:rsidR="00387142" w:rsidRPr="008B6A75" w:rsidRDefault="00387142" w:rsidP="00387142">
            <w:pPr>
              <w:jc w:val="right"/>
              <w:rPr>
                <w:bCs/>
                <w:sz w:val="20"/>
                <w:szCs w:val="20"/>
              </w:rPr>
            </w:pPr>
            <w:r w:rsidRPr="008B6A75">
              <w:rPr>
                <w:bCs/>
                <w:sz w:val="20"/>
                <w:szCs w:val="20"/>
              </w:rPr>
              <w:t>8 163 300,00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5FD80A86" w14:textId="77777777" w:rsidR="00387142" w:rsidRPr="008B6A75" w:rsidRDefault="00387142" w:rsidP="00387142">
            <w:pPr>
              <w:jc w:val="right"/>
              <w:rPr>
                <w:bCs/>
                <w:sz w:val="20"/>
                <w:szCs w:val="20"/>
              </w:rPr>
            </w:pPr>
            <w:r w:rsidRPr="008B6A75">
              <w:rPr>
                <w:bCs/>
                <w:sz w:val="20"/>
                <w:szCs w:val="20"/>
              </w:rPr>
              <w:t>2 040 850,00</w:t>
            </w:r>
          </w:p>
        </w:tc>
      </w:tr>
      <w:tr w:rsidR="00387142" w:rsidRPr="008B6A75" w14:paraId="364940AD" w14:textId="77777777" w:rsidTr="00387142">
        <w:trPr>
          <w:trHeight w:val="2580"/>
        </w:trPr>
        <w:tc>
          <w:tcPr>
            <w:tcW w:w="3261" w:type="dxa"/>
            <w:tcBorders>
              <w:top w:val="nil"/>
              <w:left w:val="single" w:sz="4" w:space="0" w:color="auto"/>
              <w:bottom w:val="single" w:sz="4" w:space="0" w:color="auto"/>
              <w:right w:val="nil"/>
            </w:tcBorders>
            <w:shd w:val="clear" w:color="auto" w:fill="auto"/>
            <w:vAlign w:val="center"/>
            <w:hideMark/>
          </w:tcPr>
          <w:p w14:paraId="131625D5" w14:textId="77777777" w:rsidR="00387142" w:rsidRPr="008B6A75" w:rsidRDefault="00387142" w:rsidP="00387142">
            <w:pPr>
              <w:rPr>
                <w:bCs/>
                <w:sz w:val="20"/>
                <w:szCs w:val="20"/>
              </w:rPr>
            </w:pPr>
            <w:r w:rsidRPr="008B6A75">
              <w:rPr>
                <w:bCs/>
                <w:sz w:val="20"/>
                <w:szCs w:val="20"/>
              </w:rPr>
              <w:t>Реализация мероприятий по обновлению материально-технической базы для формирования у обучающихся современных технологических и гуманитарных навыков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w:t>
            </w:r>
            <w:proofErr w:type="spellStart"/>
            <w:r w:rsidRPr="008B6A75">
              <w:rPr>
                <w:bCs/>
                <w:sz w:val="20"/>
                <w:szCs w:val="20"/>
              </w:rPr>
              <w:t>брендирование</w:t>
            </w:r>
            <w:proofErr w:type="spellEnd"/>
            <w:r w:rsidRPr="008B6A75">
              <w:rPr>
                <w:bCs/>
                <w:sz w:val="20"/>
                <w:szCs w:val="20"/>
              </w:rPr>
              <w:t xml:space="preserve"> центров "Точка роста")</w:t>
            </w:r>
          </w:p>
        </w:tc>
        <w:tc>
          <w:tcPr>
            <w:tcW w:w="720" w:type="dxa"/>
            <w:tcBorders>
              <w:top w:val="nil"/>
              <w:left w:val="single" w:sz="4" w:space="0" w:color="auto"/>
              <w:bottom w:val="single" w:sz="4" w:space="0" w:color="auto"/>
              <w:right w:val="nil"/>
            </w:tcBorders>
            <w:shd w:val="clear" w:color="auto" w:fill="auto"/>
            <w:noWrap/>
            <w:vAlign w:val="center"/>
            <w:hideMark/>
          </w:tcPr>
          <w:p w14:paraId="53B60EA8" w14:textId="77777777" w:rsidR="00387142" w:rsidRPr="008B6A75" w:rsidRDefault="00387142" w:rsidP="00387142">
            <w:pPr>
              <w:jc w:val="center"/>
              <w:rPr>
                <w:bCs/>
                <w:sz w:val="20"/>
                <w:szCs w:val="20"/>
              </w:rPr>
            </w:pPr>
            <w:r w:rsidRPr="008B6A75">
              <w:rPr>
                <w:bCs/>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A5D184E" w14:textId="77777777" w:rsidR="00387142" w:rsidRPr="008B6A75" w:rsidRDefault="00387142" w:rsidP="00387142">
            <w:pPr>
              <w:jc w:val="center"/>
              <w:rPr>
                <w:bCs/>
                <w:sz w:val="20"/>
                <w:szCs w:val="20"/>
              </w:rPr>
            </w:pPr>
            <w:r w:rsidRPr="008B6A75">
              <w:rPr>
                <w:bCs/>
                <w:sz w:val="20"/>
                <w:szCs w:val="20"/>
              </w:rPr>
              <w:t>02</w:t>
            </w:r>
          </w:p>
        </w:tc>
        <w:tc>
          <w:tcPr>
            <w:tcW w:w="1516" w:type="dxa"/>
            <w:tcBorders>
              <w:top w:val="nil"/>
              <w:left w:val="single" w:sz="4" w:space="0" w:color="auto"/>
              <w:bottom w:val="single" w:sz="4" w:space="0" w:color="auto"/>
              <w:right w:val="nil"/>
            </w:tcBorders>
            <w:shd w:val="clear" w:color="auto" w:fill="auto"/>
            <w:noWrap/>
            <w:vAlign w:val="center"/>
            <w:hideMark/>
          </w:tcPr>
          <w:p w14:paraId="307A1093" w14:textId="77777777" w:rsidR="00387142" w:rsidRPr="008B6A75" w:rsidRDefault="00387142" w:rsidP="00387142">
            <w:pPr>
              <w:jc w:val="center"/>
              <w:rPr>
                <w:bCs/>
                <w:sz w:val="20"/>
                <w:szCs w:val="20"/>
              </w:rPr>
            </w:pPr>
            <w:r w:rsidRPr="008B6A75">
              <w:rPr>
                <w:bCs/>
                <w:sz w:val="20"/>
                <w:szCs w:val="20"/>
              </w:rPr>
              <w:t>07.1.E1.51692</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5DA9FA2"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F2AE796" w14:textId="77777777" w:rsidR="00387142" w:rsidRPr="008B6A75" w:rsidRDefault="00387142" w:rsidP="00387142">
            <w:pPr>
              <w:jc w:val="right"/>
              <w:rPr>
                <w:bCs/>
                <w:sz w:val="20"/>
                <w:szCs w:val="20"/>
              </w:rPr>
            </w:pPr>
            <w:r w:rsidRPr="008B6A75">
              <w:rPr>
                <w:bCs/>
                <w:sz w:val="20"/>
                <w:szCs w:val="20"/>
              </w:rPr>
              <w:t>21 737 275,41</w:t>
            </w:r>
          </w:p>
        </w:tc>
        <w:tc>
          <w:tcPr>
            <w:tcW w:w="992" w:type="dxa"/>
            <w:tcBorders>
              <w:top w:val="nil"/>
              <w:left w:val="single" w:sz="4" w:space="0" w:color="auto"/>
              <w:bottom w:val="single" w:sz="4" w:space="0" w:color="auto"/>
              <w:right w:val="nil"/>
            </w:tcBorders>
            <w:shd w:val="clear" w:color="auto" w:fill="auto"/>
            <w:vAlign w:val="center"/>
            <w:hideMark/>
          </w:tcPr>
          <w:p w14:paraId="6C03483F" w14:textId="77777777" w:rsidR="00387142" w:rsidRPr="008B6A75" w:rsidRDefault="00387142" w:rsidP="00387142">
            <w:pPr>
              <w:jc w:val="right"/>
              <w:rPr>
                <w:bCs/>
                <w:sz w:val="20"/>
                <w:szCs w:val="20"/>
              </w:rPr>
            </w:pPr>
            <w:r w:rsidRPr="008B6A75">
              <w:rPr>
                <w:bCs/>
                <w:sz w:val="20"/>
                <w:szCs w:val="20"/>
              </w:rPr>
              <w:t>8 163 300,00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54F78229" w14:textId="77777777" w:rsidR="00387142" w:rsidRPr="008B6A75" w:rsidRDefault="00387142" w:rsidP="00387142">
            <w:pPr>
              <w:jc w:val="right"/>
              <w:rPr>
                <w:bCs/>
                <w:sz w:val="20"/>
                <w:szCs w:val="20"/>
              </w:rPr>
            </w:pPr>
            <w:r w:rsidRPr="008B6A75">
              <w:rPr>
                <w:bCs/>
                <w:sz w:val="20"/>
                <w:szCs w:val="20"/>
              </w:rPr>
              <w:t>2 040 850,00</w:t>
            </w:r>
          </w:p>
        </w:tc>
      </w:tr>
      <w:tr w:rsidR="00387142" w:rsidRPr="008B6A75" w14:paraId="5BA552F1" w14:textId="77777777" w:rsidTr="00387142">
        <w:trPr>
          <w:trHeight w:val="585"/>
        </w:trPr>
        <w:tc>
          <w:tcPr>
            <w:tcW w:w="3261" w:type="dxa"/>
            <w:tcBorders>
              <w:top w:val="nil"/>
              <w:left w:val="single" w:sz="4" w:space="0" w:color="auto"/>
              <w:bottom w:val="single" w:sz="4" w:space="0" w:color="auto"/>
              <w:right w:val="nil"/>
            </w:tcBorders>
            <w:shd w:val="clear" w:color="auto" w:fill="auto"/>
            <w:vAlign w:val="center"/>
            <w:hideMark/>
          </w:tcPr>
          <w:p w14:paraId="33430843" w14:textId="77777777" w:rsidR="00387142" w:rsidRPr="008B6A75" w:rsidRDefault="00387142" w:rsidP="00387142">
            <w:pPr>
              <w:rPr>
                <w:sz w:val="20"/>
                <w:szCs w:val="20"/>
              </w:rPr>
            </w:pPr>
            <w:r w:rsidRPr="008B6A75">
              <w:rPr>
                <w:sz w:val="20"/>
                <w:szCs w:val="20"/>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2DA0BCE5" w14:textId="77777777" w:rsidR="00387142" w:rsidRPr="008B6A75" w:rsidRDefault="00387142" w:rsidP="00387142">
            <w:pPr>
              <w:jc w:val="center"/>
              <w:rPr>
                <w:sz w:val="20"/>
                <w:szCs w:val="20"/>
              </w:rPr>
            </w:pPr>
            <w:r w:rsidRPr="008B6A75">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A7B6CC5" w14:textId="77777777" w:rsidR="00387142" w:rsidRPr="008B6A75" w:rsidRDefault="00387142" w:rsidP="00387142">
            <w:pPr>
              <w:jc w:val="center"/>
              <w:rPr>
                <w:sz w:val="20"/>
                <w:szCs w:val="20"/>
              </w:rPr>
            </w:pPr>
            <w:r w:rsidRPr="008B6A75">
              <w:rPr>
                <w:sz w:val="20"/>
                <w:szCs w:val="20"/>
              </w:rPr>
              <w:t>02</w:t>
            </w:r>
          </w:p>
        </w:tc>
        <w:tc>
          <w:tcPr>
            <w:tcW w:w="1516" w:type="dxa"/>
            <w:tcBorders>
              <w:top w:val="nil"/>
              <w:left w:val="single" w:sz="4" w:space="0" w:color="auto"/>
              <w:bottom w:val="single" w:sz="4" w:space="0" w:color="auto"/>
              <w:right w:val="nil"/>
            </w:tcBorders>
            <w:shd w:val="clear" w:color="auto" w:fill="auto"/>
            <w:noWrap/>
            <w:vAlign w:val="center"/>
            <w:hideMark/>
          </w:tcPr>
          <w:p w14:paraId="3C08714C" w14:textId="77777777" w:rsidR="00387142" w:rsidRPr="008B6A75" w:rsidRDefault="00387142" w:rsidP="00387142">
            <w:pPr>
              <w:jc w:val="center"/>
              <w:rPr>
                <w:sz w:val="20"/>
                <w:szCs w:val="20"/>
              </w:rPr>
            </w:pPr>
            <w:r w:rsidRPr="008B6A75">
              <w:rPr>
                <w:sz w:val="20"/>
                <w:szCs w:val="20"/>
              </w:rPr>
              <w:t>07.1.E1.51692</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AEF3F23" w14:textId="77777777" w:rsidR="00387142" w:rsidRPr="008B6A75" w:rsidRDefault="00387142" w:rsidP="00387142">
            <w:pPr>
              <w:jc w:val="center"/>
              <w:rPr>
                <w:sz w:val="20"/>
                <w:szCs w:val="20"/>
              </w:rPr>
            </w:pPr>
            <w:r w:rsidRPr="008B6A75">
              <w:rPr>
                <w:sz w:val="20"/>
                <w:szCs w:val="20"/>
              </w:rPr>
              <w:t>200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755E2FA" w14:textId="77777777" w:rsidR="00387142" w:rsidRPr="008B6A75" w:rsidRDefault="00387142" w:rsidP="00387142">
            <w:pPr>
              <w:jc w:val="right"/>
              <w:rPr>
                <w:sz w:val="20"/>
                <w:szCs w:val="20"/>
              </w:rPr>
            </w:pPr>
            <w:r w:rsidRPr="008B6A75">
              <w:rPr>
                <w:sz w:val="20"/>
                <w:szCs w:val="20"/>
              </w:rPr>
              <w:t>10 823 996,69</w:t>
            </w:r>
          </w:p>
        </w:tc>
        <w:tc>
          <w:tcPr>
            <w:tcW w:w="992" w:type="dxa"/>
            <w:tcBorders>
              <w:top w:val="nil"/>
              <w:left w:val="single" w:sz="4" w:space="0" w:color="auto"/>
              <w:bottom w:val="single" w:sz="4" w:space="0" w:color="auto"/>
              <w:right w:val="nil"/>
            </w:tcBorders>
            <w:shd w:val="clear" w:color="auto" w:fill="auto"/>
            <w:vAlign w:val="center"/>
            <w:hideMark/>
          </w:tcPr>
          <w:p w14:paraId="74F172AC" w14:textId="77777777" w:rsidR="00387142" w:rsidRPr="008B6A75" w:rsidRDefault="00387142" w:rsidP="00387142">
            <w:pPr>
              <w:jc w:val="right"/>
              <w:rPr>
                <w:sz w:val="20"/>
                <w:szCs w:val="20"/>
              </w:rPr>
            </w:pPr>
            <w:r w:rsidRPr="008B6A75">
              <w:rPr>
                <w:sz w:val="20"/>
                <w:szCs w:val="20"/>
              </w:rPr>
              <w:t>8 163 300,00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6DC9393A" w14:textId="77777777" w:rsidR="00387142" w:rsidRPr="008B6A75" w:rsidRDefault="00387142" w:rsidP="00387142">
            <w:pPr>
              <w:jc w:val="right"/>
              <w:rPr>
                <w:sz w:val="20"/>
                <w:szCs w:val="20"/>
              </w:rPr>
            </w:pPr>
            <w:r w:rsidRPr="008B6A75">
              <w:rPr>
                <w:sz w:val="20"/>
                <w:szCs w:val="20"/>
              </w:rPr>
              <w:t>2 040 850,00</w:t>
            </w:r>
          </w:p>
        </w:tc>
      </w:tr>
      <w:tr w:rsidR="00387142" w:rsidRPr="008B6A75" w14:paraId="0F5BEAE8" w14:textId="77777777" w:rsidTr="00387142">
        <w:trPr>
          <w:trHeight w:val="870"/>
        </w:trPr>
        <w:tc>
          <w:tcPr>
            <w:tcW w:w="3261" w:type="dxa"/>
            <w:tcBorders>
              <w:top w:val="nil"/>
              <w:left w:val="single" w:sz="4" w:space="0" w:color="auto"/>
              <w:bottom w:val="single" w:sz="4" w:space="0" w:color="auto"/>
              <w:right w:val="nil"/>
            </w:tcBorders>
            <w:shd w:val="clear" w:color="auto" w:fill="auto"/>
            <w:vAlign w:val="center"/>
            <w:hideMark/>
          </w:tcPr>
          <w:p w14:paraId="706BBE8A" w14:textId="77777777" w:rsidR="00387142" w:rsidRPr="008B6A75" w:rsidRDefault="00387142" w:rsidP="00387142">
            <w:pPr>
              <w:rPr>
                <w:sz w:val="20"/>
                <w:szCs w:val="20"/>
              </w:rPr>
            </w:pPr>
            <w:r w:rsidRPr="008B6A75">
              <w:rPr>
                <w:sz w:val="20"/>
                <w:szCs w:val="20"/>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7079AFE9" w14:textId="77777777" w:rsidR="00387142" w:rsidRPr="008B6A75" w:rsidRDefault="00387142" w:rsidP="00387142">
            <w:pPr>
              <w:jc w:val="center"/>
              <w:rPr>
                <w:sz w:val="20"/>
                <w:szCs w:val="20"/>
              </w:rPr>
            </w:pPr>
            <w:r w:rsidRPr="008B6A75">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75E808C" w14:textId="77777777" w:rsidR="00387142" w:rsidRPr="008B6A75" w:rsidRDefault="00387142" w:rsidP="00387142">
            <w:pPr>
              <w:jc w:val="center"/>
              <w:rPr>
                <w:sz w:val="20"/>
                <w:szCs w:val="20"/>
              </w:rPr>
            </w:pPr>
            <w:r w:rsidRPr="008B6A75">
              <w:rPr>
                <w:sz w:val="20"/>
                <w:szCs w:val="20"/>
              </w:rPr>
              <w:t>02</w:t>
            </w:r>
          </w:p>
        </w:tc>
        <w:tc>
          <w:tcPr>
            <w:tcW w:w="1516" w:type="dxa"/>
            <w:tcBorders>
              <w:top w:val="nil"/>
              <w:left w:val="single" w:sz="4" w:space="0" w:color="auto"/>
              <w:bottom w:val="single" w:sz="4" w:space="0" w:color="auto"/>
              <w:right w:val="nil"/>
            </w:tcBorders>
            <w:shd w:val="clear" w:color="auto" w:fill="auto"/>
            <w:noWrap/>
            <w:vAlign w:val="center"/>
            <w:hideMark/>
          </w:tcPr>
          <w:p w14:paraId="4F763AEC" w14:textId="77777777" w:rsidR="00387142" w:rsidRPr="008B6A75" w:rsidRDefault="00387142" w:rsidP="00387142">
            <w:pPr>
              <w:jc w:val="center"/>
              <w:rPr>
                <w:sz w:val="20"/>
                <w:szCs w:val="20"/>
              </w:rPr>
            </w:pPr>
            <w:r w:rsidRPr="008B6A75">
              <w:rPr>
                <w:sz w:val="20"/>
                <w:szCs w:val="20"/>
              </w:rPr>
              <w:t>07.1.E1.51692</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5BF5531" w14:textId="77777777" w:rsidR="00387142" w:rsidRPr="008B6A75" w:rsidRDefault="00387142" w:rsidP="00387142">
            <w:pPr>
              <w:jc w:val="center"/>
              <w:rPr>
                <w:sz w:val="20"/>
                <w:szCs w:val="20"/>
              </w:rPr>
            </w:pPr>
            <w:r w:rsidRPr="008B6A75">
              <w:rPr>
                <w:sz w:val="20"/>
                <w:szCs w:val="20"/>
              </w:rPr>
              <w:t>240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833EA08" w14:textId="77777777" w:rsidR="00387142" w:rsidRPr="008B6A75" w:rsidRDefault="00387142" w:rsidP="00387142">
            <w:pPr>
              <w:jc w:val="right"/>
              <w:rPr>
                <w:sz w:val="20"/>
                <w:szCs w:val="20"/>
              </w:rPr>
            </w:pPr>
            <w:r w:rsidRPr="008B6A75">
              <w:rPr>
                <w:sz w:val="20"/>
                <w:szCs w:val="20"/>
              </w:rPr>
              <w:t>10 823 996,69</w:t>
            </w:r>
          </w:p>
        </w:tc>
        <w:tc>
          <w:tcPr>
            <w:tcW w:w="992" w:type="dxa"/>
            <w:tcBorders>
              <w:top w:val="nil"/>
              <w:left w:val="single" w:sz="4" w:space="0" w:color="auto"/>
              <w:bottom w:val="single" w:sz="4" w:space="0" w:color="auto"/>
              <w:right w:val="nil"/>
            </w:tcBorders>
            <w:shd w:val="clear" w:color="auto" w:fill="auto"/>
            <w:vAlign w:val="center"/>
            <w:hideMark/>
          </w:tcPr>
          <w:p w14:paraId="1AA5F559" w14:textId="77777777" w:rsidR="00387142" w:rsidRPr="008B6A75" w:rsidRDefault="00387142" w:rsidP="00387142">
            <w:pPr>
              <w:jc w:val="right"/>
              <w:rPr>
                <w:sz w:val="20"/>
                <w:szCs w:val="20"/>
              </w:rPr>
            </w:pPr>
            <w:r w:rsidRPr="008B6A75">
              <w:rPr>
                <w:sz w:val="20"/>
                <w:szCs w:val="20"/>
              </w:rPr>
              <w:t>8 163 300,00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6BC212E6" w14:textId="77777777" w:rsidR="00387142" w:rsidRPr="008B6A75" w:rsidRDefault="00387142" w:rsidP="00387142">
            <w:pPr>
              <w:jc w:val="right"/>
              <w:rPr>
                <w:sz w:val="20"/>
                <w:szCs w:val="20"/>
              </w:rPr>
            </w:pPr>
            <w:r w:rsidRPr="008B6A75">
              <w:rPr>
                <w:sz w:val="20"/>
                <w:szCs w:val="20"/>
              </w:rPr>
              <w:t>2 040 850,00</w:t>
            </w:r>
          </w:p>
        </w:tc>
      </w:tr>
      <w:tr w:rsidR="00387142" w:rsidRPr="008B6A75" w14:paraId="5DC78EFF" w14:textId="77777777" w:rsidTr="00387142">
        <w:trPr>
          <w:trHeight w:val="870"/>
        </w:trPr>
        <w:tc>
          <w:tcPr>
            <w:tcW w:w="3261" w:type="dxa"/>
            <w:tcBorders>
              <w:top w:val="nil"/>
              <w:left w:val="single" w:sz="4" w:space="0" w:color="auto"/>
              <w:bottom w:val="single" w:sz="4" w:space="0" w:color="auto"/>
              <w:right w:val="nil"/>
            </w:tcBorders>
            <w:shd w:val="clear" w:color="auto" w:fill="auto"/>
            <w:vAlign w:val="center"/>
            <w:hideMark/>
          </w:tcPr>
          <w:p w14:paraId="544F88BE" w14:textId="77777777" w:rsidR="00387142" w:rsidRPr="008B6A75" w:rsidRDefault="00387142" w:rsidP="00387142">
            <w:pPr>
              <w:rPr>
                <w:sz w:val="20"/>
                <w:szCs w:val="20"/>
              </w:rPr>
            </w:pPr>
            <w:r w:rsidRPr="008B6A75">
              <w:rPr>
                <w:sz w:val="20"/>
                <w:szCs w:val="20"/>
              </w:rPr>
              <w:t>Предоставление субсидий бюджетным, автономным учреждениям и иным некоммерческим организациям</w:t>
            </w:r>
          </w:p>
        </w:tc>
        <w:tc>
          <w:tcPr>
            <w:tcW w:w="720" w:type="dxa"/>
            <w:tcBorders>
              <w:top w:val="nil"/>
              <w:left w:val="single" w:sz="4" w:space="0" w:color="auto"/>
              <w:bottom w:val="single" w:sz="4" w:space="0" w:color="auto"/>
              <w:right w:val="nil"/>
            </w:tcBorders>
            <w:shd w:val="clear" w:color="auto" w:fill="auto"/>
            <w:noWrap/>
            <w:vAlign w:val="center"/>
            <w:hideMark/>
          </w:tcPr>
          <w:p w14:paraId="0A3DBF49" w14:textId="77777777" w:rsidR="00387142" w:rsidRPr="008B6A75" w:rsidRDefault="00387142" w:rsidP="00387142">
            <w:pPr>
              <w:jc w:val="center"/>
              <w:rPr>
                <w:sz w:val="20"/>
                <w:szCs w:val="20"/>
              </w:rPr>
            </w:pPr>
            <w:r w:rsidRPr="008B6A75">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DE01A53" w14:textId="77777777" w:rsidR="00387142" w:rsidRPr="008B6A75" w:rsidRDefault="00387142" w:rsidP="00387142">
            <w:pPr>
              <w:jc w:val="center"/>
              <w:rPr>
                <w:sz w:val="20"/>
                <w:szCs w:val="20"/>
              </w:rPr>
            </w:pPr>
            <w:r w:rsidRPr="008B6A75">
              <w:rPr>
                <w:sz w:val="20"/>
                <w:szCs w:val="20"/>
              </w:rPr>
              <w:t>02</w:t>
            </w:r>
          </w:p>
        </w:tc>
        <w:tc>
          <w:tcPr>
            <w:tcW w:w="1516" w:type="dxa"/>
            <w:tcBorders>
              <w:top w:val="nil"/>
              <w:left w:val="single" w:sz="4" w:space="0" w:color="auto"/>
              <w:bottom w:val="single" w:sz="4" w:space="0" w:color="auto"/>
              <w:right w:val="nil"/>
            </w:tcBorders>
            <w:shd w:val="clear" w:color="auto" w:fill="auto"/>
            <w:noWrap/>
            <w:vAlign w:val="center"/>
            <w:hideMark/>
          </w:tcPr>
          <w:p w14:paraId="195ED4F2" w14:textId="77777777" w:rsidR="00387142" w:rsidRPr="008B6A75" w:rsidRDefault="00387142" w:rsidP="00387142">
            <w:pPr>
              <w:jc w:val="center"/>
              <w:rPr>
                <w:sz w:val="20"/>
                <w:szCs w:val="20"/>
              </w:rPr>
            </w:pPr>
            <w:r w:rsidRPr="008B6A75">
              <w:rPr>
                <w:sz w:val="20"/>
                <w:szCs w:val="20"/>
              </w:rPr>
              <w:t>07.1.E1.51692</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61C05E1" w14:textId="77777777" w:rsidR="00387142" w:rsidRPr="008B6A75" w:rsidRDefault="00387142" w:rsidP="00387142">
            <w:pPr>
              <w:jc w:val="center"/>
              <w:rPr>
                <w:sz w:val="20"/>
                <w:szCs w:val="20"/>
              </w:rPr>
            </w:pPr>
            <w:r w:rsidRPr="008B6A75">
              <w:rPr>
                <w:sz w:val="20"/>
                <w:szCs w:val="20"/>
              </w:rPr>
              <w:t>600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C1A6AE5" w14:textId="77777777" w:rsidR="00387142" w:rsidRPr="008B6A75" w:rsidRDefault="00387142" w:rsidP="00387142">
            <w:pPr>
              <w:jc w:val="right"/>
              <w:rPr>
                <w:sz w:val="20"/>
                <w:szCs w:val="20"/>
              </w:rPr>
            </w:pPr>
            <w:r w:rsidRPr="008B6A75">
              <w:rPr>
                <w:sz w:val="20"/>
                <w:szCs w:val="20"/>
              </w:rPr>
              <w:t>10 913 278,72</w:t>
            </w:r>
          </w:p>
        </w:tc>
        <w:tc>
          <w:tcPr>
            <w:tcW w:w="992" w:type="dxa"/>
            <w:tcBorders>
              <w:top w:val="nil"/>
              <w:left w:val="single" w:sz="4" w:space="0" w:color="auto"/>
              <w:bottom w:val="single" w:sz="4" w:space="0" w:color="auto"/>
              <w:right w:val="nil"/>
            </w:tcBorders>
            <w:shd w:val="clear" w:color="auto" w:fill="auto"/>
            <w:vAlign w:val="center"/>
            <w:hideMark/>
          </w:tcPr>
          <w:p w14:paraId="7C83AB14" w14:textId="77777777" w:rsidR="00387142" w:rsidRPr="008B6A75" w:rsidRDefault="00387142" w:rsidP="00387142">
            <w:pPr>
              <w:jc w:val="right"/>
              <w:rPr>
                <w:sz w:val="20"/>
                <w:szCs w:val="20"/>
              </w:rPr>
            </w:pPr>
            <w:r w:rsidRPr="008B6A75">
              <w:rPr>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624720F0" w14:textId="77777777" w:rsidR="00387142" w:rsidRPr="008B6A75" w:rsidRDefault="00387142" w:rsidP="00387142">
            <w:pPr>
              <w:jc w:val="right"/>
              <w:rPr>
                <w:sz w:val="20"/>
                <w:szCs w:val="20"/>
              </w:rPr>
            </w:pPr>
            <w:r w:rsidRPr="008B6A75">
              <w:rPr>
                <w:sz w:val="20"/>
                <w:szCs w:val="20"/>
              </w:rPr>
              <w:t>0,00</w:t>
            </w:r>
          </w:p>
        </w:tc>
      </w:tr>
      <w:tr w:rsidR="00387142" w:rsidRPr="008B6A75" w14:paraId="1A992B43" w14:textId="77777777" w:rsidTr="00387142">
        <w:trPr>
          <w:trHeight w:val="345"/>
        </w:trPr>
        <w:tc>
          <w:tcPr>
            <w:tcW w:w="3261" w:type="dxa"/>
            <w:tcBorders>
              <w:top w:val="nil"/>
              <w:left w:val="single" w:sz="4" w:space="0" w:color="auto"/>
              <w:bottom w:val="single" w:sz="4" w:space="0" w:color="auto"/>
              <w:right w:val="nil"/>
            </w:tcBorders>
            <w:shd w:val="clear" w:color="auto" w:fill="auto"/>
            <w:vAlign w:val="center"/>
            <w:hideMark/>
          </w:tcPr>
          <w:p w14:paraId="4BC5B77C" w14:textId="77777777" w:rsidR="00387142" w:rsidRPr="008B6A75" w:rsidRDefault="00387142" w:rsidP="00387142">
            <w:pPr>
              <w:rPr>
                <w:sz w:val="20"/>
                <w:szCs w:val="20"/>
              </w:rPr>
            </w:pPr>
            <w:r w:rsidRPr="008B6A75">
              <w:rPr>
                <w:sz w:val="20"/>
                <w:szCs w:val="20"/>
              </w:rPr>
              <w:t>Субсидии бюджетным учреждениям</w:t>
            </w:r>
          </w:p>
        </w:tc>
        <w:tc>
          <w:tcPr>
            <w:tcW w:w="720" w:type="dxa"/>
            <w:tcBorders>
              <w:top w:val="nil"/>
              <w:left w:val="single" w:sz="4" w:space="0" w:color="auto"/>
              <w:bottom w:val="single" w:sz="4" w:space="0" w:color="auto"/>
              <w:right w:val="nil"/>
            </w:tcBorders>
            <w:shd w:val="clear" w:color="auto" w:fill="auto"/>
            <w:noWrap/>
            <w:vAlign w:val="center"/>
            <w:hideMark/>
          </w:tcPr>
          <w:p w14:paraId="7B1CEAA2" w14:textId="77777777" w:rsidR="00387142" w:rsidRPr="008B6A75" w:rsidRDefault="00387142" w:rsidP="00387142">
            <w:pPr>
              <w:jc w:val="center"/>
              <w:rPr>
                <w:sz w:val="20"/>
                <w:szCs w:val="20"/>
              </w:rPr>
            </w:pPr>
            <w:r w:rsidRPr="008B6A75">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F6239D9" w14:textId="77777777" w:rsidR="00387142" w:rsidRPr="008B6A75" w:rsidRDefault="00387142" w:rsidP="00387142">
            <w:pPr>
              <w:jc w:val="center"/>
              <w:rPr>
                <w:sz w:val="20"/>
                <w:szCs w:val="20"/>
              </w:rPr>
            </w:pPr>
            <w:r w:rsidRPr="008B6A75">
              <w:rPr>
                <w:sz w:val="20"/>
                <w:szCs w:val="20"/>
              </w:rPr>
              <w:t>02</w:t>
            </w:r>
          </w:p>
        </w:tc>
        <w:tc>
          <w:tcPr>
            <w:tcW w:w="1516" w:type="dxa"/>
            <w:tcBorders>
              <w:top w:val="nil"/>
              <w:left w:val="single" w:sz="4" w:space="0" w:color="auto"/>
              <w:bottom w:val="single" w:sz="4" w:space="0" w:color="auto"/>
              <w:right w:val="nil"/>
            </w:tcBorders>
            <w:shd w:val="clear" w:color="auto" w:fill="auto"/>
            <w:noWrap/>
            <w:vAlign w:val="center"/>
            <w:hideMark/>
          </w:tcPr>
          <w:p w14:paraId="1651EA04" w14:textId="77777777" w:rsidR="00387142" w:rsidRPr="008B6A75" w:rsidRDefault="00387142" w:rsidP="00387142">
            <w:pPr>
              <w:jc w:val="center"/>
              <w:rPr>
                <w:sz w:val="20"/>
                <w:szCs w:val="20"/>
              </w:rPr>
            </w:pPr>
            <w:r w:rsidRPr="008B6A75">
              <w:rPr>
                <w:sz w:val="20"/>
                <w:szCs w:val="20"/>
              </w:rPr>
              <w:t>07.1.E1.51692</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F8B470F" w14:textId="77777777" w:rsidR="00387142" w:rsidRPr="008B6A75" w:rsidRDefault="00387142" w:rsidP="00387142">
            <w:pPr>
              <w:jc w:val="center"/>
              <w:rPr>
                <w:sz w:val="20"/>
                <w:szCs w:val="20"/>
              </w:rPr>
            </w:pPr>
            <w:r w:rsidRPr="008B6A75">
              <w:rPr>
                <w:sz w:val="20"/>
                <w:szCs w:val="20"/>
              </w:rPr>
              <w:t>610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D31FFB5" w14:textId="77777777" w:rsidR="00387142" w:rsidRPr="008B6A75" w:rsidRDefault="00387142" w:rsidP="00387142">
            <w:pPr>
              <w:jc w:val="right"/>
              <w:rPr>
                <w:sz w:val="20"/>
                <w:szCs w:val="20"/>
              </w:rPr>
            </w:pPr>
            <w:r w:rsidRPr="008B6A75">
              <w:rPr>
                <w:sz w:val="20"/>
                <w:szCs w:val="20"/>
              </w:rPr>
              <w:t>10 913 278,72</w:t>
            </w:r>
          </w:p>
        </w:tc>
        <w:tc>
          <w:tcPr>
            <w:tcW w:w="992" w:type="dxa"/>
            <w:tcBorders>
              <w:top w:val="nil"/>
              <w:left w:val="single" w:sz="4" w:space="0" w:color="auto"/>
              <w:bottom w:val="single" w:sz="4" w:space="0" w:color="auto"/>
              <w:right w:val="nil"/>
            </w:tcBorders>
            <w:shd w:val="clear" w:color="auto" w:fill="auto"/>
            <w:vAlign w:val="center"/>
            <w:hideMark/>
          </w:tcPr>
          <w:p w14:paraId="022BCD3A" w14:textId="77777777" w:rsidR="00387142" w:rsidRPr="008B6A75" w:rsidRDefault="00387142" w:rsidP="00387142">
            <w:pPr>
              <w:jc w:val="right"/>
              <w:rPr>
                <w:sz w:val="20"/>
                <w:szCs w:val="20"/>
              </w:rPr>
            </w:pPr>
            <w:r w:rsidRPr="008B6A75">
              <w:rPr>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656CD0F5" w14:textId="77777777" w:rsidR="00387142" w:rsidRPr="008B6A75" w:rsidRDefault="00387142" w:rsidP="00387142">
            <w:pPr>
              <w:jc w:val="right"/>
              <w:rPr>
                <w:sz w:val="20"/>
                <w:szCs w:val="20"/>
              </w:rPr>
            </w:pPr>
            <w:r w:rsidRPr="008B6A75">
              <w:rPr>
                <w:sz w:val="20"/>
                <w:szCs w:val="20"/>
              </w:rPr>
              <w:t>0,00</w:t>
            </w:r>
          </w:p>
        </w:tc>
      </w:tr>
      <w:tr w:rsidR="00387142" w:rsidRPr="008B6A75" w14:paraId="2E8C14B8" w14:textId="77777777" w:rsidTr="00387142">
        <w:trPr>
          <w:trHeight w:val="2010"/>
        </w:trPr>
        <w:tc>
          <w:tcPr>
            <w:tcW w:w="3261" w:type="dxa"/>
            <w:tcBorders>
              <w:top w:val="nil"/>
              <w:left w:val="single" w:sz="4" w:space="0" w:color="auto"/>
              <w:bottom w:val="single" w:sz="4" w:space="0" w:color="auto"/>
              <w:right w:val="nil"/>
            </w:tcBorders>
            <w:shd w:val="clear" w:color="auto" w:fill="auto"/>
            <w:vAlign w:val="center"/>
            <w:hideMark/>
          </w:tcPr>
          <w:p w14:paraId="011D752C" w14:textId="77777777" w:rsidR="00387142" w:rsidRPr="008B6A75" w:rsidRDefault="00387142" w:rsidP="00387142">
            <w:pPr>
              <w:rPr>
                <w:bCs/>
                <w:sz w:val="20"/>
                <w:szCs w:val="20"/>
              </w:rPr>
            </w:pPr>
            <w:r w:rsidRPr="008B6A75">
              <w:rPr>
                <w:bCs/>
                <w:sz w:val="20"/>
                <w:szCs w:val="20"/>
              </w:rPr>
              <w:t>Создание центров цифрового образования детей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(оснащение центров IT-куб)</w:t>
            </w:r>
          </w:p>
        </w:tc>
        <w:tc>
          <w:tcPr>
            <w:tcW w:w="720" w:type="dxa"/>
            <w:tcBorders>
              <w:top w:val="nil"/>
              <w:left w:val="single" w:sz="4" w:space="0" w:color="auto"/>
              <w:bottom w:val="single" w:sz="4" w:space="0" w:color="auto"/>
              <w:right w:val="nil"/>
            </w:tcBorders>
            <w:shd w:val="clear" w:color="auto" w:fill="auto"/>
            <w:noWrap/>
            <w:vAlign w:val="center"/>
            <w:hideMark/>
          </w:tcPr>
          <w:p w14:paraId="6224C591" w14:textId="77777777" w:rsidR="00387142" w:rsidRPr="008B6A75" w:rsidRDefault="00387142" w:rsidP="00387142">
            <w:pPr>
              <w:jc w:val="center"/>
              <w:rPr>
                <w:bCs/>
                <w:sz w:val="20"/>
                <w:szCs w:val="20"/>
              </w:rPr>
            </w:pPr>
            <w:r w:rsidRPr="008B6A75">
              <w:rPr>
                <w:bCs/>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7BC2870" w14:textId="77777777" w:rsidR="00387142" w:rsidRPr="008B6A75" w:rsidRDefault="00387142" w:rsidP="00387142">
            <w:pPr>
              <w:jc w:val="center"/>
              <w:rPr>
                <w:bCs/>
                <w:sz w:val="20"/>
                <w:szCs w:val="20"/>
              </w:rPr>
            </w:pPr>
            <w:r w:rsidRPr="008B6A75">
              <w:rPr>
                <w:bCs/>
                <w:sz w:val="20"/>
                <w:szCs w:val="20"/>
              </w:rPr>
              <w:t>02</w:t>
            </w:r>
          </w:p>
        </w:tc>
        <w:tc>
          <w:tcPr>
            <w:tcW w:w="1516" w:type="dxa"/>
            <w:tcBorders>
              <w:top w:val="nil"/>
              <w:left w:val="single" w:sz="4" w:space="0" w:color="auto"/>
              <w:bottom w:val="single" w:sz="4" w:space="0" w:color="auto"/>
              <w:right w:val="nil"/>
            </w:tcBorders>
            <w:shd w:val="clear" w:color="auto" w:fill="auto"/>
            <w:noWrap/>
            <w:vAlign w:val="center"/>
            <w:hideMark/>
          </w:tcPr>
          <w:p w14:paraId="4868310C" w14:textId="77777777" w:rsidR="00387142" w:rsidRPr="008B6A75" w:rsidRDefault="00387142" w:rsidP="00387142">
            <w:pPr>
              <w:jc w:val="center"/>
              <w:rPr>
                <w:bCs/>
                <w:sz w:val="20"/>
                <w:szCs w:val="20"/>
              </w:rPr>
            </w:pPr>
            <w:r w:rsidRPr="008B6A75">
              <w:rPr>
                <w:bCs/>
                <w:sz w:val="20"/>
                <w:szCs w:val="20"/>
              </w:rPr>
              <w:t>07.1.E4.00000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02E6376"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EAA985B" w14:textId="77777777" w:rsidR="00387142" w:rsidRPr="008B6A75" w:rsidRDefault="00387142" w:rsidP="00387142">
            <w:pPr>
              <w:jc w:val="right"/>
              <w:rPr>
                <w:bCs/>
                <w:sz w:val="20"/>
                <w:szCs w:val="20"/>
              </w:rPr>
            </w:pPr>
            <w:r w:rsidRPr="008B6A75">
              <w:rPr>
                <w:bCs/>
                <w:sz w:val="20"/>
                <w:szCs w:val="20"/>
              </w:rPr>
              <w:t>0,00</w:t>
            </w:r>
          </w:p>
        </w:tc>
        <w:tc>
          <w:tcPr>
            <w:tcW w:w="992" w:type="dxa"/>
            <w:tcBorders>
              <w:top w:val="nil"/>
              <w:left w:val="single" w:sz="4" w:space="0" w:color="auto"/>
              <w:bottom w:val="single" w:sz="4" w:space="0" w:color="auto"/>
              <w:right w:val="nil"/>
            </w:tcBorders>
            <w:shd w:val="clear" w:color="auto" w:fill="auto"/>
            <w:vAlign w:val="center"/>
            <w:hideMark/>
          </w:tcPr>
          <w:p w14:paraId="21A3C9E1" w14:textId="77777777" w:rsidR="00387142" w:rsidRPr="008B6A75" w:rsidRDefault="00387142" w:rsidP="00387142">
            <w:pPr>
              <w:jc w:val="right"/>
              <w:rPr>
                <w:bCs/>
                <w:sz w:val="20"/>
                <w:szCs w:val="20"/>
              </w:rPr>
            </w:pPr>
            <w:r w:rsidRPr="008B6A75">
              <w:rPr>
                <w:bCs/>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23848918" w14:textId="77777777" w:rsidR="00387142" w:rsidRPr="008B6A75" w:rsidRDefault="00387142" w:rsidP="00387142">
            <w:pPr>
              <w:jc w:val="right"/>
              <w:rPr>
                <w:bCs/>
                <w:sz w:val="20"/>
                <w:szCs w:val="20"/>
              </w:rPr>
            </w:pPr>
            <w:r w:rsidRPr="008B6A75">
              <w:rPr>
                <w:bCs/>
                <w:sz w:val="20"/>
                <w:szCs w:val="20"/>
              </w:rPr>
              <w:t>5 801 800,00</w:t>
            </w:r>
          </w:p>
        </w:tc>
      </w:tr>
      <w:tr w:rsidR="00387142" w:rsidRPr="008B6A75" w14:paraId="6CB8F46F" w14:textId="77777777" w:rsidTr="00387142">
        <w:trPr>
          <w:trHeight w:val="1725"/>
        </w:trPr>
        <w:tc>
          <w:tcPr>
            <w:tcW w:w="3261" w:type="dxa"/>
            <w:tcBorders>
              <w:top w:val="nil"/>
              <w:left w:val="single" w:sz="4" w:space="0" w:color="auto"/>
              <w:bottom w:val="single" w:sz="4" w:space="0" w:color="auto"/>
              <w:right w:val="nil"/>
            </w:tcBorders>
            <w:shd w:val="clear" w:color="auto" w:fill="auto"/>
            <w:vAlign w:val="center"/>
            <w:hideMark/>
          </w:tcPr>
          <w:p w14:paraId="4F0396C2" w14:textId="77777777" w:rsidR="00387142" w:rsidRPr="008B6A75" w:rsidRDefault="00387142" w:rsidP="00387142">
            <w:pPr>
              <w:rPr>
                <w:bCs/>
                <w:sz w:val="20"/>
                <w:szCs w:val="20"/>
              </w:rPr>
            </w:pPr>
            <w:r w:rsidRPr="008B6A75">
              <w:rPr>
                <w:bCs/>
                <w:sz w:val="20"/>
                <w:szCs w:val="20"/>
              </w:rPr>
              <w:t>Создание центров цифрового образования детей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14:paraId="57BB67FE" w14:textId="77777777" w:rsidR="00387142" w:rsidRPr="008B6A75" w:rsidRDefault="00387142" w:rsidP="00387142">
            <w:pPr>
              <w:jc w:val="center"/>
              <w:rPr>
                <w:bCs/>
                <w:sz w:val="20"/>
                <w:szCs w:val="20"/>
              </w:rPr>
            </w:pPr>
            <w:r w:rsidRPr="008B6A75">
              <w:rPr>
                <w:bCs/>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B915B1B" w14:textId="77777777" w:rsidR="00387142" w:rsidRPr="008B6A75" w:rsidRDefault="00387142" w:rsidP="00387142">
            <w:pPr>
              <w:jc w:val="center"/>
              <w:rPr>
                <w:bCs/>
                <w:sz w:val="20"/>
                <w:szCs w:val="20"/>
              </w:rPr>
            </w:pPr>
            <w:r w:rsidRPr="008B6A75">
              <w:rPr>
                <w:bCs/>
                <w:sz w:val="20"/>
                <w:szCs w:val="20"/>
              </w:rPr>
              <w:t>02</w:t>
            </w:r>
          </w:p>
        </w:tc>
        <w:tc>
          <w:tcPr>
            <w:tcW w:w="1516" w:type="dxa"/>
            <w:tcBorders>
              <w:top w:val="nil"/>
              <w:left w:val="single" w:sz="4" w:space="0" w:color="auto"/>
              <w:bottom w:val="single" w:sz="4" w:space="0" w:color="auto"/>
              <w:right w:val="nil"/>
            </w:tcBorders>
            <w:shd w:val="clear" w:color="auto" w:fill="auto"/>
            <w:noWrap/>
            <w:vAlign w:val="center"/>
            <w:hideMark/>
          </w:tcPr>
          <w:p w14:paraId="226100DD" w14:textId="77777777" w:rsidR="00387142" w:rsidRPr="008B6A75" w:rsidRDefault="00387142" w:rsidP="00387142">
            <w:pPr>
              <w:jc w:val="center"/>
              <w:rPr>
                <w:bCs/>
                <w:sz w:val="20"/>
                <w:szCs w:val="20"/>
              </w:rPr>
            </w:pPr>
            <w:r w:rsidRPr="008B6A75">
              <w:rPr>
                <w:bCs/>
                <w:sz w:val="20"/>
                <w:szCs w:val="20"/>
              </w:rPr>
              <w:t>07.1.E4.52193</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E6AE0E5"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5429D63" w14:textId="77777777" w:rsidR="00387142" w:rsidRPr="008B6A75" w:rsidRDefault="00387142" w:rsidP="00387142">
            <w:pPr>
              <w:jc w:val="right"/>
              <w:rPr>
                <w:bCs/>
                <w:sz w:val="20"/>
                <w:szCs w:val="20"/>
              </w:rPr>
            </w:pPr>
            <w:r w:rsidRPr="008B6A75">
              <w:rPr>
                <w:bCs/>
                <w:sz w:val="20"/>
                <w:szCs w:val="20"/>
              </w:rPr>
              <w:t>0,00</w:t>
            </w:r>
          </w:p>
        </w:tc>
        <w:tc>
          <w:tcPr>
            <w:tcW w:w="992" w:type="dxa"/>
            <w:tcBorders>
              <w:top w:val="nil"/>
              <w:left w:val="single" w:sz="4" w:space="0" w:color="auto"/>
              <w:bottom w:val="single" w:sz="4" w:space="0" w:color="auto"/>
              <w:right w:val="nil"/>
            </w:tcBorders>
            <w:shd w:val="clear" w:color="auto" w:fill="auto"/>
            <w:vAlign w:val="center"/>
            <w:hideMark/>
          </w:tcPr>
          <w:p w14:paraId="479CC3E5" w14:textId="77777777" w:rsidR="00387142" w:rsidRPr="008B6A75" w:rsidRDefault="00387142" w:rsidP="00387142">
            <w:pPr>
              <w:jc w:val="right"/>
              <w:rPr>
                <w:bCs/>
                <w:sz w:val="20"/>
                <w:szCs w:val="20"/>
              </w:rPr>
            </w:pPr>
            <w:r w:rsidRPr="008B6A75">
              <w:rPr>
                <w:bCs/>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6413F55E" w14:textId="77777777" w:rsidR="00387142" w:rsidRPr="008B6A75" w:rsidRDefault="00387142" w:rsidP="00387142">
            <w:pPr>
              <w:jc w:val="right"/>
              <w:rPr>
                <w:bCs/>
                <w:sz w:val="20"/>
                <w:szCs w:val="20"/>
              </w:rPr>
            </w:pPr>
            <w:r w:rsidRPr="008B6A75">
              <w:rPr>
                <w:bCs/>
                <w:sz w:val="20"/>
                <w:szCs w:val="20"/>
              </w:rPr>
              <w:t>5 801 800,00</w:t>
            </w:r>
          </w:p>
        </w:tc>
      </w:tr>
      <w:tr w:rsidR="00387142" w:rsidRPr="008B6A75" w14:paraId="72A5B5D2" w14:textId="77777777" w:rsidTr="00387142">
        <w:trPr>
          <w:trHeight w:val="585"/>
        </w:trPr>
        <w:tc>
          <w:tcPr>
            <w:tcW w:w="3261" w:type="dxa"/>
            <w:tcBorders>
              <w:top w:val="nil"/>
              <w:left w:val="single" w:sz="4" w:space="0" w:color="auto"/>
              <w:bottom w:val="single" w:sz="4" w:space="0" w:color="auto"/>
              <w:right w:val="nil"/>
            </w:tcBorders>
            <w:shd w:val="clear" w:color="auto" w:fill="auto"/>
            <w:vAlign w:val="center"/>
            <w:hideMark/>
          </w:tcPr>
          <w:p w14:paraId="0E8625A3" w14:textId="77777777" w:rsidR="00387142" w:rsidRPr="008B6A75" w:rsidRDefault="00387142" w:rsidP="00387142">
            <w:pPr>
              <w:rPr>
                <w:sz w:val="20"/>
                <w:szCs w:val="20"/>
              </w:rPr>
            </w:pPr>
            <w:r w:rsidRPr="008B6A75">
              <w:rPr>
                <w:sz w:val="20"/>
                <w:szCs w:val="20"/>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4B5E937D" w14:textId="77777777" w:rsidR="00387142" w:rsidRPr="008B6A75" w:rsidRDefault="00387142" w:rsidP="00387142">
            <w:pPr>
              <w:jc w:val="center"/>
              <w:rPr>
                <w:sz w:val="20"/>
                <w:szCs w:val="20"/>
              </w:rPr>
            </w:pPr>
            <w:r w:rsidRPr="008B6A75">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64D01DF" w14:textId="77777777" w:rsidR="00387142" w:rsidRPr="008B6A75" w:rsidRDefault="00387142" w:rsidP="00387142">
            <w:pPr>
              <w:jc w:val="center"/>
              <w:rPr>
                <w:sz w:val="20"/>
                <w:szCs w:val="20"/>
              </w:rPr>
            </w:pPr>
            <w:r w:rsidRPr="008B6A75">
              <w:rPr>
                <w:sz w:val="20"/>
                <w:szCs w:val="20"/>
              </w:rPr>
              <w:t>02</w:t>
            </w:r>
          </w:p>
        </w:tc>
        <w:tc>
          <w:tcPr>
            <w:tcW w:w="1516" w:type="dxa"/>
            <w:tcBorders>
              <w:top w:val="nil"/>
              <w:left w:val="single" w:sz="4" w:space="0" w:color="auto"/>
              <w:bottom w:val="single" w:sz="4" w:space="0" w:color="auto"/>
              <w:right w:val="nil"/>
            </w:tcBorders>
            <w:shd w:val="clear" w:color="auto" w:fill="auto"/>
            <w:noWrap/>
            <w:vAlign w:val="center"/>
            <w:hideMark/>
          </w:tcPr>
          <w:p w14:paraId="534D8B39" w14:textId="77777777" w:rsidR="00387142" w:rsidRPr="008B6A75" w:rsidRDefault="00387142" w:rsidP="00387142">
            <w:pPr>
              <w:jc w:val="center"/>
              <w:rPr>
                <w:sz w:val="20"/>
                <w:szCs w:val="20"/>
              </w:rPr>
            </w:pPr>
            <w:r w:rsidRPr="008B6A75">
              <w:rPr>
                <w:sz w:val="20"/>
                <w:szCs w:val="20"/>
              </w:rPr>
              <w:t>07.1.E4.52193</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0E2E0EC" w14:textId="77777777" w:rsidR="00387142" w:rsidRPr="008B6A75" w:rsidRDefault="00387142" w:rsidP="00387142">
            <w:pPr>
              <w:jc w:val="center"/>
              <w:rPr>
                <w:sz w:val="20"/>
                <w:szCs w:val="20"/>
              </w:rPr>
            </w:pPr>
            <w:r w:rsidRPr="008B6A75">
              <w:rPr>
                <w:sz w:val="20"/>
                <w:szCs w:val="20"/>
              </w:rPr>
              <w:t>200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ADBA80E" w14:textId="77777777" w:rsidR="00387142" w:rsidRPr="008B6A75" w:rsidRDefault="00387142" w:rsidP="00387142">
            <w:pPr>
              <w:jc w:val="right"/>
              <w:rPr>
                <w:sz w:val="20"/>
                <w:szCs w:val="20"/>
              </w:rPr>
            </w:pPr>
            <w:r w:rsidRPr="008B6A75">
              <w:rPr>
                <w:sz w:val="20"/>
                <w:szCs w:val="20"/>
              </w:rPr>
              <w:t>0,00</w:t>
            </w:r>
          </w:p>
        </w:tc>
        <w:tc>
          <w:tcPr>
            <w:tcW w:w="992" w:type="dxa"/>
            <w:tcBorders>
              <w:top w:val="nil"/>
              <w:left w:val="single" w:sz="4" w:space="0" w:color="auto"/>
              <w:bottom w:val="single" w:sz="4" w:space="0" w:color="auto"/>
              <w:right w:val="nil"/>
            </w:tcBorders>
            <w:shd w:val="clear" w:color="auto" w:fill="auto"/>
            <w:vAlign w:val="center"/>
            <w:hideMark/>
          </w:tcPr>
          <w:p w14:paraId="57CB179F" w14:textId="77777777" w:rsidR="00387142" w:rsidRPr="008B6A75" w:rsidRDefault="00387142" w:rsidP="00387142">
            <w:pPr>
              <w:jc w:val="right"/>
              <w:rPr>
                <w:sz w:val="20"/>
                <w:szCs w:val="20"/>
              </w:rPr>
            </w:pPr>
            <w:r w:rsidRPr="008B6A75">
              <w:rPr>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25561664" w14:textId="77777777" w:rsidR="00387142" w:rsidRPr="008B6A75" w:rsidRDefault="00387142" w:rsidP="00387142">
            <w:pPr>
              <w:jc w:val="right"/>
              <w:rPr>
                <w:sz w:val="20"/>
                <w:szCs w:val="20"/>
              </w:rPr>
            </w:pPr>
            <w:r w:rsidRPr="008B6A75">
              <w:rPr>
                <w:sz w:val="20"/>
                <w:szCs w:val="20"/>
              </w:rPr>
              <w:t>5 801 800,00</w:t>
            </w:r>
          </w:p>
        </w:tc>
      </w:tr>
      <w:tr w:rsidR="00387142" w:rsidRPr="008B6A75" w14:paraId="007EA622" w14:textId="77777777" w:rsidTr="00387142">
        <w:trPr>
          <w:trHeight w:val="870"/>
        </w:trPr>
        <w:tc>
          <w:tcPr>
            <w:tcW w:w="3261" w:type="dxa"/>
            <w:tcBorders>
              <w:top w:val="nil"/>
              <w:left w:val="single" w:sz="4" w:space="0" w:color="auto"/>
              <w:bottom w:val="single" w:sz="4" w:space="0" w:color="auto"/>
              <w:right w:val="nil"/>
            </w:tcBorders>
            <w:shd w:val="clear" w:color="auto" w:fill="auto"/>
            <w:vAlign w:val="center"/>
            <w:hideMark/>
          </w:tcPr>
          <w:p w14:paraId="5A3D1BAB" w14:textId="77777777" w:rsidR="00387142" w:rsidRPr="008B6A75" w:rsidRDefault="00387142" w:rsidP="00387142">
            <w:pPr>
              <w:rPr>
                <w:sz w:val="20"/>
                <w:szCs w:val="20"/>
              </w:rPr>
            </w:pPr>
            <w:r w:rsidRPr="008B6A75">
              <w:rPr>
                <w:sz w:val="20"/>
                <w:szCs w:val="20"/>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755B5BFD" w14:textId="77777777" w:rsidR="00387142" w:rsidRPr="008B6A75" w:rsidRDefault="00387142" w:rsidP="00387142">
            <w:pPr>
              <w:jc w:val="center"/>
              <w:rPr>
                <w:sz w:val="20"/>
                <w:szCs w:val="20"/>
              </w:rPr>
            </w:pPr>
            <w:r w:rsidRPr="008B6A75">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CE4F631" w14:textId="77777777" w:rsidR="00387142" w:rsidRPr="008B6A75" w:rsidRDefault="00387142" w:rsidP="00387142">
            <w:pPr>
              <w:jc w:val="center"/>
              <w:rPr>
                <w:sz w:val="20"/>
                <w:szCs w:val="20"/>
              </w:rPr>
            </w:pPr>
            <w:r w:rsidRPr="008B6A75">
              <w:rPr>
                <w:sz w:val="20"/>
                <w:szCs w:val="20"/>
              </w:rPr>
              <w:t>02</w:t>
            </w:r>
          </w:p>
        </w:tc>
        <w:tc>
          <w:tcPr>
            <w:tcW w:w="1516" w:type="dxa"/>
            <w:tcBorders>
              <w:top w:val="nil"/>
              <w:left w:val="single" w:sz="4" w:space="0" w:color="auto"/>
              <w:bottom w:val="single" w:sz="4" w:space="0" w:color="auto"/>
              <w:right w:val="nil"/>
            </w:tcBorders>
            <w:shd w:val="clear" w:color="auto" w:fill="auto"/>
            <w:noWrap/>
            <w:vAlign w:val="center"/>
            <w:hideMark/>
          </w:tcPr>
          <w:p w14:paraId="06C58441" w14:textId="77777777" w:rsidR="00387142" w:rsidRPr="008B6A75" w:rsidRDefault="00387142" w:rsidP="00387142">
            <w:pPr>
              <w:jc w:val="center"/>
              <w:rPr>
                <w:sz w:val="20"/>
                <w:szCs w:val="20"/>
              </w:rPr>
            </w:pPr>
            <w:r w:rsidRPr="008B6A75">
              <w:rPr>
                <w:sz w:val="20"/>
                <w:szCs w:val="20"/>
              </w:rPr>
              <w:t>07.1.E4.52193</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26F6BE8" w14:textId="77777777" w:rsidR="00387142" w:rsidRPr="008B6A75" w:rsidRDefault="00387142" w:rsidP="00387142">
            <w:pPr>
              <w:jc w:val="center"/>
              <w:rPr>
                <w:sz w:val="20"/>
                <w:szCs w:val="20"/>
              </w:rPr>
            </w:pPr>
            <w:r w:rsidRPr="008B6A75">
              <w:rPr>
                <w:sz w:val="20"/>
                <w:szCs w:val="20"/>
              </w:rPr>
              <w:t>240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78B8942" w14:textId="77777777" w:rsidR="00387142" w:rsidRPr="008B6A75" w:rsidRDefault="00387142" w:rsidP="00387142">
            <w:pPr>
              <w:jc w:val="right"/>
              <w:rPr>
                <w:sz w:val="20"/>
                <w:szCs w:val="20"/>
              </w:rPr>
            </w:pPr>
            <w:r w:rsidRPr="008B6A75">
              <w:rPr>
                <w:sz w:val="20"/>
                <w:szCs w:val="20"/>
              </w:rPr>
              <w:t>0,00</w:t>
            </w:r>
          </w:p>
        </w:tc>
        <w:tc>
          <w:tcPr>
            <w:tcW w:w="992" w:type="dxa"/>
            <w:tcBorders>
              <w:top w:val="nil"/>
              <w:left w:val="single" w:sz="4" w:space="0" w:color="auto"/>
              <w:bottom w:val="single" w:sz="4" w:space="0" w:color="auto"/>
              <w:right w:val="nil"/>
            </w:tcBorders>
            <w:shd w:val="clear" w:color="auto" w:fill="auto"/>
            <w:vAlign w:val="center"/>
            <w:hideMark/>
          </w:tcPr>
          <w:p w14:paraId="6F1D8AFB" w14:textId="77777777" w:rsidR="00387142" w:rsidRPr="008B6A75" w:rsidRDefault="00387142" w:rsidP="00387142">
            <w:pPr>
              <w:jc w:val="right"/>
              <w:rPr>
                <w:sz w:val="20"/>
                <w:szCs w:val="20"/>
              </w:rPr>
            </w:pPr>
            <w:r w:rsidRPr="008B6A75">
              <w:rPr>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5B69AF80" w14:textId="77777777" w:rsidR="00387142" w:rsidRPr="008B6A75" w:rsidRDefault="00387142" w:rsidP="00387142">
            <w:pPr>
              <w:jc w:val="right"/>
              <w:rPr>
                <w:sz w:val="20"/>
                <w:szCs w:val="20"/>
              </w:rPr>
            </w:pPr>
            <w:r w:rsidRPr="008B6A75">
              <w:rPr>
                <w:sz w:val="20"/>
                <w:szCs w:val="20"/>
              </w:rPr>
              <w:t>5 801 800,00</w:t>
            </w:r>
          </w:p>
        </w:tc>
      </w:tr>
      <w:tr w:rsidR="00387142" w:rsidRPr="008B6A75" w14:paraId="7CD64112" w14:textId="77777777" w:rsidTr="00387142">
        <w:trPr>
          <w:trHeight w:val="870"/>
        </w:trPr>
        <w:tc>
          <w:tcPr>
            <w:tcW w:w="3261" w:type="dxa"/>
            <w:tcBorders>
              <w:top w:val="nil"/>
              <w:left w:val="single" w:sz="4" w:space="0" w:color="auto"/>
              <w:bottom w:val="single" w:sz="4" w:space="0" w:color="auto"/>
              <w:right w:val="nil"/>
            </w:tcBorders>
            <w:shd w:val="clear" w:color="auto" w:fill="auto"/>
            <w:vAlign w:val="center"/>
            <w:hideMark/>
          </w:tcPr>
          <w:p w14:paraId="15B817A8" w14:textId="77777777" w:rsidR="00387142" w:rsidRPr="008B6A75" w:rsidRDefault="00387142" w:rsidP="00387142">
            <w:pPr>
              <w:rPr>
                <w:bCs/>
                <w:sz w:val="20"/>
                <w:szCs w:val="20"/>
              </w:rPr>
            </w:pPr>
            <w:r w:rsidRPr="008B6A75">
              <w:rPr>
                <w:bCs/>
                <w:sz w:val="20"/>
                <w:szCs w:val="20"/>
              </w:rPr>
              <w:lastRenderedPageBreak/>
              <w:t>Подпрограмма "Выявление и поддержка одаренных детей и талантливой молодежи Куйбышевского района"</w:t>
            </w:r>
          </w:p>
        </w:tc>
        <w:tc>
          <w:tcPr>
            <w:tcW w:w="720" w:type="dxa"/>
            <w:tcBorders>
              <w:top w:val="nil"/>
              <w:left w:val="single" w:sz="4" w:space="0" w:color="auto"/>
              <w:bottom w:val="single" w:sz="4" w:space="0" w:color="auto"/>
              <w:right w:val="nil"/>
            </w:tcBorders>
            <w:shd w:val="clear" w:color="auto" w:fill="auto"/>
            <w:noWrap/>
            <w:vAlign w:val="center"/>
            <w:hideMark/>
          </w:tcPr>
          <w:p w14:paraId="52704F70" w14:textId="77777777" w:rsidR="00387142" w:rsidRPr="008B6A75" w:rsidRDefault="00387142" w:rsidP="00387142">
            <w:pPr>
              <w:jc w:val="center"/>
              <w:rPr>
                <w:bCs/>
                <w:sz w:val="20"/>
                <w:szCs w:val="20"/>
              </w:rPr>
            </w:pPr>
            <w:r w:rsidRPr="008B6A75">
              <w:rPr>
                <w:bCs/>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9A46500" w14:textId="77777777" w:rsidR="00387142" w:rsidRPr="008B6A75" w:rsidRDefault="00387142" w:rsidP="00387142">
            <w:pPr>
              <w:jc w:val="center"/>
              <w:rPr>
                <w:bCs/>
                <w:sz w:val="20"/>
                <w:szCs w:val="20"/>
              </w:rPr>
            </w:pPr>
            <w:r w:rsidRPr="008B6A75">
              <w:rPr>
                <w:bCs/>
                <w:sz w:val="20"/>
                <w:szCs w:val="20"/>
              </w:rPr>
              <w:t>02</w:t>
            </w:r>
          </w:p>
        </w:tc>
        <w:tc>
          <w:tcPr>
            <w:tcW w:w="1516" w:type="dxa"/>
            <w:tcBorders>
              <w:top w:val="nil"/>
              <w:left w:val="single" w:sz="4" w:space="0" w:color="auto"/>
              <w:bottom w:val="single" w:sz="4" w:space="0" w:color="auto"/>
              <w:right w:val="nil"/>
            </w:tcBorders>
            <w:shd w:val="clear" w:color="auto" w:fill="auto"/>
            <w:noWrap/>
            <w:vAlign w:val="center"/>
            <w:hideMark/>
          </w:tcPr>
          <w:p w14:paraId="72C382F8" w14:textId="77777777" w:rsidR="00387142" w:rsidRPr="008B6A75" w:rsidRDefault="00387142" w:rsidP="00387142">
            <w:pPr>
              <w:jc w:val="center"/>
              <w:rPr>
                <w:bCs/>
                <w:sz w:val="20"/>
                <w:szCs w:val="20"/>
              </w:rPr>
            </w:pPr>
            <w:r w:rsidRPr="008B6A75">
              <w:rPr>
                <w:bCs/>
                <w:sz w:val="20"/>
                <w:szCs w:val="20"/>
              </w:rPr>
              <w:t>07.2.00.00000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184595B"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D64DC3C" w14:textId="77777777" w:rsidR="00387142" w:rsidRPr="008B6A75" w:rsidRDefault="00387142" w:rsidP="00387142">
            <w:pPr>
              <w:jc w:val="right"/>
              <w:rPr>
                <w:bCs/>
                <w:sz w:val="20"/>
                <w:szCs w:val="20"/>
              </w:rPr>
            </w:pPr>
            <w:r w:rsidRPr="008B6A75">
              <w:rPr>
                <w:bCs/>
                <w:sz w:val="20"/>
                <w:szCs w:val="20"/>
              </w:rPr>
              <w:t>110 000,00</w:t>
            </w:r>
          </w:p>
        </w:tc>
        <w:tc>
          <w:tcPr>
            <w:tcW w:w="992" w:type="dxa"/>
            <w:tcBorders>
              <w:top w:val="nil"/>
              <w:left w:val="single" w:sz="4" w:space="0" w:color="auto"/>
              <w:bottom w:val="single" w:sz="4" w:space="0" w:color="auto"/>
              <w:right w:val="nil"/>
            </w:tcBorders>
            <w:shd w:val="clear" w:color="auto" w:fill="auto"/>
            <w:vAlign w:val="center"/>
            <w:hideMark/>
          </w:tcPr>
          <w:p w14:paraId="0161E462" w14:textId="77777777" w:rsidR="00387142" w:rsidRPr="008B6A75" w:rsidRDefault="00387142" w:rsidP="00387142">
            <w:pPr>
              <w:jc w:val="right"/>
              <w:rPr>
                <w:bCs/>
                <w:sz w:val="20"/>
                <w:szCs w:val="20"/>
              </w:rPr>
            </w:pPr>
            <w:r w:rsidRPr="008B6A75">
              <w:rPr>
                <w:bCs/>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23833D60" w14:textId="77777777" w:rsidR="00387142" w:rsidRPr="008B6A75" w:rsidRDefault="00387142" w:rsidP="00387142">
            <w:pPr>
              <w:jc w:val="right"/>
              <w:rPr>
                <w:bCs/>
                <w:sz w:val="20"/>
                <w:szCs w:val="20"/>
              </w:rPr>
            </w:pPr>
            <w:r w:rsidRPr="008B6A75">
              <w:rPr>
                <w:bCs/>
                <w:sz w:val="20"/>
                <w:szCs w:val="20"/>
              </w:rPr>
              <w:t>0,00</w:t>
            </w:r>
          </w:p>
        </w:tc>
      </w:tr>
      <w:tr w:rsidR="00387142" w:rsidRPr="008B6A75" w14:paraId="18458E29" w14:textId="77777777" w:rsidTr="00387142">
        <w:trPr>
          <w:trHeight w:val="1155"/>
        </w:trPr>
        <w:tc>
          <w:tcPr>
            <w:tcW w:w="3261" w:type="dxa"/>
            <w:tcBorders>
              <w:top w:val="nil"/>
              <w:left w:val="single" w:sz="4" w:space="0" w:color="auto"/>
              <w:bottom w:val="single" w:sz="4" w:space="0" w:color="auto"/>
              <w:right w:val="nil"/>
            </w:tcBorders>
            <w:shd w:val="clear" w:color="auto" w:fill="auto"/>
            <w:vAlign w:val="center"/>
            <w:hideMark/>
          </w:tcPr>
          <w:p w14:paraId="428B59E5" w14:textId="77777777" w:rsidR="00387142" w:rsidRPr="008B6A75" w:rsidRDefault="00387142" w:rsidP="00387142">
            <w:pPr>
              <w:rPr>
                <w:bCs/>
                <w:sz w:val="20"/>
                <w:szCs w:val="20"/>
              </w:rPr>
            </w:pPr>
            <w:r w:rsidRPr="008B6A75">
              <w:rPr>
                <w:bCs/>
                <w:sz w:val="20"/>
                <w:szCs w:val="20"/>
              </w:rPr>
              <w:t>Реализация мероприятий подпрограммы "Выявление и поддержка одаренных детей и талантливой молодежи Куйбышевского района"</w:t>
            </w:r>
          </w:p>
        </w:tc>
        <w:tc>
          <w:tcPr>
            <w:tcW w:w="720" w:type="dxa"/>
            <w:tcBorders>
              <w:top w:val="nil"/>
              <w:left w:val="single" w:sz="4" w:space="0" w:color="auto"/>
              <w:bottom w:val="single" w:sz="4" w:space="0" w:color="auto"/>
              <w:right w:val="nil"/>
            </w:tcBorders>
            <w:shd w:val="clear" w:color="auto" w:fill="auto"/>
            <w:noWrap/>
            <w:vAlign w:val="center"/>
            <w:hideMark/>
          </w:tcPr>
          <w:p w14:paraId="77047C48" w14:textId="77777777" w:rsidR="00387142" w:rsidRPr="008B6A75" w:rsidRDefault="00387142" w:rsidP="00387142">
            <w:pPr>
              <w:jc w:val="center"/>
              <w:rPr>
                <w:bCs/>
                <w:sz w:val="20"/>
                <w:szCs w:val="20"/>
              </w:rPr>
            </w:pPr>
            <w:r w:rsidRPr="008B6A75">
              <w:rPr>
                <w:bCs/>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220CB0C" w14:textId="77777777" w:rsidR="00387142" w:rsidRPr="008B6A75" w:rsidRDefault="00387142" w:rsidP="00387142">
            <w:pPr>
              <w:jc w:val="center"/>
              <w:rPr>
                <w:bCs/>
                <w:sz w:val="20"/>
                <w:szCs w:val="20"/>
              </w:rPr>
            </w:pPr>
            <w:r w:rsidRPr="008B6A75">
              <w:rPr>
                <w:bCs/>
                <w:sz w:val="20"/>
                <w:szCs w:val="20"/>
              </w:rPr>
              <w:t>02</w:t>
            </w:r>
          </w:p>
        </w:tc>
        <w:tc>
          <w:tcPr>
            <w:tcW w:w="1516" w:type="dxa"/>
            <w:tcBorders>
              <w:top w:val="nil"/>
              <w:left w:val="single" w:sz="4" w:space="0" w:color="auto"/>
              <w:bottom w:val="single" w:sz="4" w:space="0" w:color="auto"/>
              <w:right w:val="nil"/>
            </w:tcBorders>
            <w:shd w:val="clear" w:color="auto" w:fill="auto"/>
            <w:noWrap/>
            <w:vAlign w:val="center"/>
            <w:hideMark/>
          </w:tcPr>
          <w:p w14:paraId="3F1A4C9F" w14:textId="77777777" w:rsidR="00387142" w:rsidRPr="008B6A75" w:rsidRDefault="00387142" w:rsidP="00387142">
            <w:pPr>
              <w:jc w:val="center"/>
              <w:rPr>
                <w:bCs/>
                <w:sz w:val="20"/>
                <w:szCs w:val="20"/>
              </w:rPr>
            </w:pPr>
            <w:r w:rsidRPr="008B6A75">
              <w:rPr>
                <w:bCs/>
                <w:sz w:val="20"/>
                <w:szCs w:val="20"/>
              </w:rPr>
              <w:t>07.2.00.79500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EFA519E"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41A13C9" w14:textId="77777777" w:rsidR="00387142" w:rsidRPr="008B6A75" w:rsidRDefault="00387142" w:rsidP="00387142">
            <w:pPr>
              <w:jc w:val="right"/>
              <w:rPr>
                <w:bCs/>
                <w:sz w:val="20"/>
                <w:szCs w:val="20"/>
              </w:rPr>
            </w:pPr>
            <w:r w:rsidRPr="008B6A75">
              <w:rPr>
                <w:bCs/>
                <w:sz w:val="20"/>
                <w:szCs w:val="20"/>
              </w:rPr>
              <w:t>110 000,00</w:t>
            </w:r>
          </w:p>
        </w:tc>
        <w:tc>
          <w:tcPr>
            <w:tcW w:w="992" w:type="dxa"/>
            <w:tcBorders>
              <w:top w:val="nil"/>
              <w:left w:val="single" w:sz="4" w:space="0" w:color="auto"/>
              <w:bottom w:val="single" w:sz="4" w:space="0" w:color="auto"/>
              <w:right w:val="nil"/>
            </w:tcBorders>
            <w:shd w:val="clear" w:color="auto" w:fill="auto"/>
            <w:vAlign w:val="center"/>
            <w:hideMark/>
          </w:tcPr>
          <w:p w14:paraId="4775C363" w14:textId="77777777" w:rsidR="00387142" w:rsidRPr="008B6A75" w:rsidRDefault="00387142" w:rsidP="00387142">
            <w:pPr>
              <w:jc w:val="right"/>
              <w:rPr>
                <w:bCs/>
                <w:sz w:val="20"/>
                <w:szCs w:val="20"/>
              </w:rPr>
            </w:pPr>
            <w:r w:rsidRPr="008B6A75">
              <w:rPr>
                <w:bCs/>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0BD57DBE" w14:textId="77777777" w:rsidR="00387142" w:rsidRPr="008B6A75" w:rsidRDefault="00387142" w:rsidP="00387142">
            <w:pPr>
              <w:jc w:val="right"/>
              <w:rPr>
                <w:bCs/>
                <w:sz w:val="20"/>
                <w:szCs w:val="20"/>
              </w:rPr>
            </w:pPr>
            <w:r w:rsidRPr="008B6A75">
              <w:rPr>
                <w:bCs/>
                <w:sz w:val="20"/>
                <w:szCs w:val="20"/>
              </w:rPr>
              <w:t>0,00</w:t>
            </w:r>
          </w:p>
        </w:tc>
      </w:tr>
      <w:tr w:rsidR="00387142" w:rsidRPr="008B6A75" w14:paraId="2B380D96" w14:textId="77777777" w:rsidTr="00387142">
        <w:trPr>
          <w:trHeight w:val="870"/>
        </w:trPr>
        <w:tc>
          <w:tcPr>
            <w:tcW w:w="3261" w:type="dxa"/>
            <w:tcBorders>
              <w:top w:val="nil"/>
              <w:left w:val="single" w:sz="4" w:space="0" w:color="auto"/>
              <w:bottom w:val="single" w:sz="4" w:space="0" w:color="auto"/>
              <w:right w:val="nil"/>
            </w:tcBorders>
            <w:shd w:val="clear" w:color="auto" w:fill="auto"/>
            <w:vAlign w:val="center"/>
            <w:hideMark/>
          </w:tcPr>
          <w:p w14:paraId="3F6B6DD9" w14:textId="77777777" w:rsidR="00387142" w:rsidRPr="008B6A75" w:rsidRDefault="00387142" w:rsidP="00387142">
            <w:pPr>
              <w:rPr>
                <w:sz w:val="20"/>
                <w:szCs w:val="20"/>
              </w:rPr>
            </w:pPr>
            <w:r w:rsidRPr="008B6A75">
              <w:rPr>
                <w:sz w:val="20"/>
                <w:szCs w:val="20"/>
              </w:rPr>
              <w:t>Предоставление субсидий бюджетным, автономным учреждениям и иным некоммерческим организациям</w:t>
            </w:r>
          </w:p>
        </w:tc>
        <w:tc>
          <w:tcPr>
            <w:tcW w:w="720" w:type="dxa"/>
            <w:tcBorders>
              <w:top w:val="nil"/>
              <w:left w:val="single" w:sz="4" w:space="0" w:color="auto"/>
              <w:bottom w:val="single" w:sz="4" w:space="0" w:color="auto"/>
              <w:right w:val="nil"/>
            </w:tcBorders>
            <w:shd w:val="clear" w:color="auto" w:fill="auto"/>
            <w:noWrap/>
            <w:vAlign w:val="center"/>
            <w:hideMark/>
          </w:tcPr>
          <w:p w14:paraId="1761E517" w14:textId="77777777" w:rsidR="00387142" w:rsidRPr="008B6A75" w:rsidRDefault="00387142" w:rsidP="00387142">
            <w:pPr>
              <w:jc w:val="center"/>
              <w:rPr>
                <w:sz w:val="20"/>
                <w:szCs w:val="20"/>
              </w:rPr>
            </w:pPr>
            <w:r w:rsidRPr="008B6A75">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19E733B" w14:textId="77777777" w:rsidR="00387142" w:rsidRPr="008B6A75" w:rsidRDefault="00387142" w:rsidP="00387142">
            <w:pPr>
              <w:jc w:val="center"/>
              <w:rPr>
                <w:sz w:val="20"/>
                <w:szCs w:val="20"/>
              </w:rPr>
            </w:pPr>
            <w:r w:rsidRPr="008B6A75">
              <w:rPr>
                <w:sz w:val="20"/>
                <w:szCs w:val="20"/>
              </w:rPr>
              <w:t>02</w:t>
            </w:r>
          </w:p>
        </w:tc>
        <w:tc>
          <w:tcPr>
            <w:tcW w:w="1516" w:type="dxa"/>
            <w:tcBorders>
              <w:top w:val="nil"/>
              <w:left w:val="single" w:sz="4" w:space="0" w:color="auto"/>
              <w:bottom w:val="single" w:sz="4" w:space="0" w:color="auto"/>
              <w:right w:val="nil"/>
            </w:tcBorders>
            <w:shd w:val="clear" w:color="auto" w:fill="auto"/>
            <w:noWrap/>
            <w:vAlign w:val="center"/>
            <w:hideMark/>
          </w:tcPr>
          <w:p w14:paraId="56B76A09" w14:textId="77777777" w:rsidR="00387142" w:rsidRPr="008B6A75" w:rsidRDefault="00387142" w:rsidP="00387142">
            <w:pPr>
              <w:jc w:val="center"/>
              <w:rPr>
                <w:sz w:val="20"/>
                <w:szCs w:val="20"/>
              </w:rPr>
            </w:pPr>
            <w:r w:rsidRPr="008B6A75">
              <w:rPr>
                <w:sz w:val="20"/>
                <w:szCs w:val="20"/>
              </w:rPr>
              <w:t>07.2.00.79500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56BBFAC" w14:textId="77777777" w:rsidR="00387142" w:rsidRPr="008B6A75" w:rsidRDefault="00387142" w:rsidP="00387142">
            <w:pPr>
              <w:jc w:val="center"/>
              <w:rPr>
                <w:sz w:val="20"/>
                <w:szCs w:val="20"/>
              </w:rPr>
            </w:pPr>
            <w:r w:rsidRPr="008B6A75">
              <w:rPr>
                <w:sz w:val="20"/>
                <w:szCs w:val="20"/>
              </w:rPr>
              <w:t>600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1A5129C" w14:textId="77777777" w:rsidR="00387142" w:rsidRPr="008B6A75" w:rsidRDefault="00387142" w:rsidP="00387142">
            <w:pPr>
              <w:jc w:val="right"/>
              <w:rPr>
                <w:sz w:val="20"/>
                <w:szCs w:val="20"/>
              </w:rPr>
            </w:pPr>
            <w:r w:rsidRPr="008B6A75">
              <w:rPr>
                <w:sz w:val="20"/>
                <w:szCs w:val="20"/>
              </w:rPr>
              <w:t>110 000,00</w:t>
            </w:r>
          </w:p>
        </w:tc>
        <w:tc>
          <w:tcPr>
            <w:tcW w:w="992" w:type="dxa"/>
            <w:tcBorders>
              <w:top w:val="nil"/>
              <w:left w:val="single" w:sz="4" w:space="0" w:color="auto"/>
              <w:bottom w:val="single" w:sz="4" w:space="0" w:color="auto"/>
              <w:right w:val="nil"/>
            </w:tcBorders>
            <w:shd w:val="clear" w:color="auto" w:fill="auto"/>
            <w:vAlign w:val="center"/>
            <w:hideMark/>
          </w:tcPr>
          <w:p w14:paraId="54C7BE71" w14:textId="77777777" w:rsidR="00387142" w:rsidRPr="008B6A75" w:rsidRDefault="00387142" w:rsidP="00387142">
            <w:pPr>
              <w:jc w:val="right"/>
              <w:rPr>
                <w:sz w:val="20"/>
                <w:szCs w:val="20"/>
              </w:rPr>
            </w:pPr>
            <w:r w:rsidRPr="008B6A75">
              <w:rPr>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0DE1D1BE" w14:textId="77777777" w:rsidR="00387142" w:rsidRPr="008B6A75" w:rsidRDefault="00387142" w:rsidP="00387142">
            <w:pPr>
              <w:jc w:val="right"/>
              <w:rPr>
                <w:sz w:val="20"/>
                <w:szCs w:val="20"/>
              </w:rPr>
            </w:pPr>
            <w:r w:rsidRPr="008B6A75">
              <w:rPr>
                <w:sz w:val="20"/>
                <w:szCs w:val="20"/>
              </w:rPr>
              <w:t>0,00</w:t>
            </w:r>
          </w:p>
        </w:tc>
      </w:tr>
      <w:tr w:rsidR="00387142" w:rsidRPr="008B6A75" w14:paraId="672F9C5D" w14:textId="77777777" w:rsidTr="00387142">
        <w:trPr>
          <w:trHeight w:val="345"/>
        </w:trPr>
        <w:tc>
          <w:tcPr>
            <w:tcW w:w="3261" w:type="dxa"/>
            <w:tcBorders>
              <w:top w:val="nil"/>
              <w:left w:val="single" w:sz="4" w:space="0" w:color="auto"/>
              <w:bottom w:val="single" w:sz="4" w:space="0" w:color="auto"/>
              <w:right w:val="nil"/>
            </w:tcBorders>
            <w:shd w:val="clear" w:color="auto" w:fill="auto"/>
            <w:vAlign w:val="center"/>
            <w:hideMark/>
          </w:tcPr>
          <w:p w14:paraId="206E09BD" w14:textId="77777777" w:rsidR="00387142" w:rsidRPr="008B6A75" w:rsidRDefault="00387142" w:rsidP="00387142">
            <w:pPr>
              <w:rPr>
                <w:sz w:val="20"/>
                <w:szCs w:val="20"/>
              </w:rPr>
            </w:pPr>
            <w:r w:rsidRPr="008B6A75">
              <w:rPr>
                <w:sz w:val="20"/>
                <w:szCs w:val="20"/>
              </w:rPr>
              <w:t>Субсидии бюджетным учреждениям</w:t>
            </w:r>
          </w:p>
        </w:tc>
        <w:tc>
          <w:tcPr>
            <w:tcW w:w="720" w:type="dxa"/>
            <w:tcBorders>
              <w:top w:val="nil"/>
              <w:left w:val="single" w:sz="4" w:space="0" w:color="auto"/>
              <w:bottom w:val="single" w:sz="4" w:space="0" w:color="auto"/>
              <w:right w:val="nil"/>
            </w:tcBorders>
            <w:shd w:val="clear" w:color="auto" w:fill="auto"/>
            <w:noWrap/>
            <w:vAlign w:val="center"/>
            <w:hideMark/>
          </w:tcPr>
          <w:p w14:paraId="38784DC2" w14:textId="77777777" w:rsidR="00387142" w:rsidRPr="008B6A75" w:rsidRDefault="00387142" w:rsidP="00387142">
            <w:pPr>
              <w:jc w:val="center"/>
              <w:rPr>
                <w:sz w:val="20"/>
                <w:szCs w:val="20"/>
              </w:rPr>
            </w:pPr>
            <w:r w:rsidRPr="008B6A75">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A4BEADB" w14:textId="77777777" w:rsidR="00387142" w:rsidRPr="008B6A75" w:rsidRDefault="00387142" w:rsidP="00387142">
            <w:pPr>
              <w:jc w:val="center"/>
              <w:rPr>
                <w:sz w:val="20"/>
                <w:szCs w:val="20"/>
              </w:rPr>
            </w:pPr>
            <w:r w:rsidRPr="008B6A75">
              <w:rPr>
                <w:sz w:val="20"/>
                <w:szCs w:val="20"/>
              </w:rPr>
              <w:t>02</w:t>
            </w:r>
          </w:p>
        </w:tc>
        <w:tc>
          <w:tcPr>
            <w:tcW w:w="1516" w:type="dxa"/>
            <w:tcBorders>
              <w:top w:val="nil"/>
              <w:left w:val="single" w:sz="4" w:space="0" w:color="auto"/>
              <w:bottom w:val="single" w:sz="4" w:space="0" w:color="auto"/>
              <w:right w:val="nil"/>
            </w:tcBorders>
            <w:shd w:val="clear" w:color="auto" w:fill="auto"/>
            <w:noWrap/>
            <w:vAlign w:val="center"/>
            <w:hideMark/>
          </w:tcPr>
          <w:p w14:paraId="4D7DDC87" w14:textId="77777777" w:rsidR="00387142" w:rsidRPr="008B6A75" w:rsidRDefault="00387142" w:rsidP="00387142">
            <w:pPr>
              <w:jc w:val="center"/>
              <w:rPr>
                <w:sz w:val="20"/>
                <w:szCs w:val="20"/>
              </w:rPr>
            </w:pPr>
            <w:r w:rsidRPr="008B6A75">
              <w:rPr>
                <w:sz w:val="20"/>
                <w:szCs w:val="20"/>
              </w:rPr>
              <w:t>07.2.00.79500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0820261" w14:textId="77777777" w:rsidR="00387142" w:rsidRPr="008B6A75" w:rsidRDefault="00387142" w:rsidP="00387142">
            <w:pPr>
              <w:jc w:val="center"/>
              <w:rPr>
                <w:sz w:val="20"/>
                <w:szCs w:val="20"/>
              </w:rPr>
            </w:pPr>
            <w:r w:rsidRPr="008B6A75">
              <w:rPr>
                <w:sz w:val="20"/>
                <w:szCs w:val="20"/>
              </w:rPr>
              <w:t>610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6A22D30" w14:textId="77777777" w:rsidR="00387142" w:rsidRPr="008B6A75" w:rsidRDefault="00387142" w:rsidP="00387142">
            <w:pPr>
              <w:jc w:val="right"/>
              <w:rPr>
                <w:sz w:val="20"/>
                <w:szCs w:val="20"/>
              </w:rPr>
            </w:pPr>
            <w:r w:rsidRPr="008B6A75">
              <w:rPr>
                <w:sz w:val="20"/>
                <w:szCs w:val="20"/>
              </w:rPr>
              <w:t>110 000,00</w:t>
            </w:r>
          </w:p>
        </w:tc>
        <w:tc>
          <w:tcPr>
            <w:tcW w:w="992" w:type="dxa"/>
            <w:tcBorders>
              <w:top w:val="nil"/>
              <w:left w:val="single" w:sz="4" w:space="0" w:color="auto"/>
              <w:bottom w:val="single" w:sz="4" w:space="0" w:color="auto"/>
              <w:right w:val="nil"/>
            </w:tcBorders>
            <w:shd w:val="clear" w:color="auto" w:fill="auto"/>
            <w:vAlign w:val="center"/>
            <w:hideMark/>
          </w:tcPr>
          <w:p w14:paraId="56AC5E48" w14:textId="77777777" w:rsidR="00387142" w:rsidRPr="008B6A75" w:rsidRDefault="00387142" w:rsidP="00387142">
            <w:pPr>
              <w:jc w:val="right"/>
              <w:rPr>
                <w:sz w:val="20"/>
                <w:szCs w:val="20"/>
              </w:rPr>
            </w:pPr>
            <w:r w:rsidRPr="008B6A75">
              <w:rPr>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2DA9D3D0" w14:textId="77777777" w:rsidR="00387142" w:rsidRPr="008B6A75" w:rsidRDefault="00387142" w:rsidP="00387142">
            <w:pPr>
              <w:jc w:val="right"/>
              <w:rPr>
                <w:sz w:val="20"/>
                <w:szCs w:val="20"/>
              </w:rPr>
            </w:pPr>
            <w:r w:rsidRPr="008B6A75">
              <w:rPr>
                <w:sz w:val="20"/>
                <w:szCs w:val="20"/>
              </w:rPr>
              <w:t>0,00</w:t>
            </w:r>
          </w:p>
        </w:tc>
      </w:tr>
      <w:tr w:rsidR="00387142" w:rsidRPr="008B6A75" w14:paraId="7FD374AF" w14:textId="77777777" w:rsidTr="00387142">
        <w:trPr>
          <w:trHeight w:val="870"/>
        </w:trPr>
        <w:tc>
          <w:tcPr>
            <w:tcW w:w="3261" w:type="dxa"/>
            <w:tcBorders>
              <w:top w:val="nil"/>
              <w:left w:val="single" w:sz="4" w:space="0" w:color="auto"/>
              <w:bottom w:val="single" w:sz="4" w:space="0" w:color="auto"/>
              <w:right w:val="nil"/>
            </w:tcBorders>
            <w:shd w:val="clear" w:color="auto" w:fill="auto"/>
            <w:vAlign w:val="center"/>
            <w:hideMark/>
          </w:tcPr>
          <w:p w14:paraId="288E98C4" w14:textId="77777777" w:rsidR="00387142" w:rsidRPr="008B6A75" w:rsidRDefault="00387142" w:rsidP="00387142">
            <w:pPr>
              <w:rPr>
                <w:bCs/>
                <w:sz w:val="20"/>
                <w:szCs w:val="20"/>
              </w:rPr>
            </w:pPr>
            <w:proofErr w:type="spellStart"/>
            <w:r w:rsidRPr="008B6A75">
              <w:rPr>
                <w:bCs/>
                <w:sz w:val="20"/>
                <w:szCs w:val="20"/>
              </w:rPr>
              <w:t>Подпрограмма"Развитие</w:t>
            </w:r>
            <w:proofErr w:type="spellEnd"/>
            <w:r w:rsidRPr="008B6A75">
              <w:rPr>
                <w:bCs/>
                <w:sz w:val="20"/>
                <w:szCs w:val="20"/>
              </w:rPr>
              <w:t xml:space="preserve"> кадрового потенциала системы дошкольного, общего и дополнительного образования детей"</w:t>
            </w:r>
          </w:p>
        </w:tc>
        <w:tc>
          <w:tcPr>
            <w:tcW w:w="720" w:type="dxa"/>
            <w:tcBorders>
              <w:top w:val="nil"/>
              <w:left w:val="single" w:sz="4" w:space="0" w:color="auto"/>
              <w:bottom w:val="single" w:sz="4" w:space="0" w:color="auto"/>
              <w:right w:val="nil"/>
            </w:tcBorders>
            <w:shd w:val="clear" w:color="auto" w:fill="auto"/>
            <w:noWrap/>
            <w:vAlign w:val="center"/>
            <w:hideMark/>
          </w:tcPr>
          <w:p w14:paraId="01877026" w14:textId="77777777" w:rsidR="00387142" w:rsidRPr="008B6A75" w:rsidRDefault="00387142" w:rsidP="00387142">
            <w:pPr>
              <w:jc w:val="center"/>
              <w:rPr>
                <w:bCs/>
                <w:sz w:val="20"/>
                <w:szCs w:val="20"/>
              </w:rPr>
            </w:pPr>
            <w:r w:rsidRPr="008B6A75">
              <w:rPr>
                <w:bCs/>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3E60638" w14:textId="77777777" w:rsidR="00387142" w:rsidRPr="008B6A75" w:rsidRDefault="00387142" w:rsidP="00387142">
            <w:pPr>
              <w:jc w:val="center"/>
              <w:rPr>
                <w:bCs/>
                <w:sz w:val="20"/>
                <w:szCs w:val="20"/>
              </w:rPr>
            </w:pPr>
            <w:r w:rsidRPr="008B6A75">
              <w:rPr>
                <w:bCs/>
                <w:sz w:val="20"/>
                <w:szCs w:val="20"/>
              </w:rPr>
              <w:t>02</w:t>
            </w:r>
          </w:p>
        </w:tc>
        <w:tc>
          <w:tcPr>
            <w:tcW w:w="1516" w:type="dxa"/>
            <w:tcBorders>
              <w:top w:val="nil"/>
              <w:left w:val="single" w:sz="4" w:space="0" w:color="auto"/>
              <w:bottom w:val="single" w:sz="4" w:space="0" w:color="auto"/>
              <w:right w:val="nil"/>
            </w:tcBorders>
            <w:shd w:val="clear" w:color="auto" w:fill="auto"/>
            <w:noWrap/>
            <w:vAlign w:val="center"/>
            <w:hideMark/>
          </w:tcPr>
          <w:p w14:paraId="6A8976D2" w14:textId="77777777" w:rsidR="00387142" w:rsidRPr="008B6A75" w:rsidRDefault="00387142" w:rsidP="00387142">
            <w:pPr>
              <w:jc w:val="center"/>
              <w:rPr>
                <w:bCs/>
                <w:sz w:val="20"/>
                <w:szCs w:val="20"/>
              </w:rPr>
            </w:pPr>
            <w:r w:rsidRPr="008B6A75">
              <w:rPr>
                <w:bCs/>
                <w:sz w:val="20"/>
                <w:szCs w:val="20"/>
              </w:rPr>
              <w:t>07.3.00.00000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6A051D9"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F70B977" w14:textId="77777777" w:rsidR="00387142" w:rsidRPr="008B6A75" w:rsidRDefault="00387142" w:rsidP="00387142">
            <w:pPr>
              <w:jc w:val="right"/>
              <w:rPr>
                <w:bCs/>
                <w:sz w:val="20"/>
                <w:szCs w:val="20"/>
              </w:rPr>
            </w:pPr>
            <w:r w:rsidRPr="008B6A75">
              <w:rPr>
                <w:bCs/>
                <w:sz w:val="20"/>
                <w:szCs w:val="20"/>
              </w:rPr>
              <w:t>475 000,00</w:t>
            </w:r>
          </w:p>
        </w:tc>
        <w:tc>
          <w:tcPr>
            <w:tcW w:w="992" w:type="dxa"/>
            <w:tcBorders>
              <w:top w:val="nil"/>
              <w:left w:val="single" w:sz="4" w:space="0" w:color="auto"/>
              <w:bottom w:val="single" w:sz="4" w:space="0" w:color="auto"/>
              <w:right w:val="nil"/>
            </w:tcBorders>
            <w:shd w:val="clear" w:color="auto" w:fill="auto"/>
            <w:vAlign w:val="center"/>
            <w:hideMark/>
          </w:tcPr>
          <w:p w14:paraId="6287D695" w14:textId="77777777" w:rsidR="00387142" w:rsidRPr="008B6A75" w:rsidRDefault="00387142" w:rsidP="00387142">
            <w:pPr>
              <w:jc w:val="right"/>
              <w:rPr>
                <w:bCs/>
                <w:sz w:val="20"/>
                <w:szCs w:val="20"/>
              </w:rPr>
            </w:pPr>
            <w:r w:rsidRPr="008B6A75">
              <w:rPr>
                <w:bCs/>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103FEF7E" w14:textId="77777777" w:rsidR="00387142" w:rsidRPr="008B6A75" w:rsidRDefault="00387142" w:rsidP="00387142">
            <w:pPr>
              <w:jc w:val="right"/>
              <w:rPr>
                <w:bCs/>
                <w:sz w:val="20"/>
                <w:szCs w:val="20"/>
              </w:rPr>
            </w:pPr>
            <w:r w:rsidRPr="008B6A75">
              <w:rPr>
                <w:bCs/>
                <w:sz w:val="20"/>
                <w:szCs w:val="20"/>
              </w:rPr>
              <w:t>0,00</w:t>
            </w:r>
          </w:p>
        </w:tc>
      </w:tr>
      <w:tr w:rsidR="00387142" w:rsidRPr="008B6A75" w14:paraId="362C4D18" w14:textId="77777777" w:rsidTr="00387142">
        <w:trPr>
          <w:trHeight w:val="1155"/>
        </w:trPr>
        <w:tc>
          <w:tcPr>
            <w:tcW w:w="3261" w:type="dxa"/>
            <w:tcBorders>
              <w:top w:val="nil"/>
              <w:left w:val="single" w:sz="4" w:space="0" w:color="auto"/>
              <w:bottom w:val="single" w:sz="4" w:space="0" w:color="auto"/>
              <w:right w:val="nil"/>
            </w:tcBorders>
            <w:shd w:val="clear" w:color="auto" w:fill="auto"/>
            <w:vAlign w:val="center"/>
            <w:hideMark/>
          </w:tcPr>
          <w:p w14:paraId="6E305B74" w14:textId="77777777" w:rsidR="00387142" w:rsidRPr="008B6A75" w:rsidRDefault="00387142" w:rsidP="00387142">
            <w:pPr>
              <w:rPr>
                <w:bCs/>
                <w:sz w:val="20"/>
                <w:szCs w:val="20"/>
              </w:rPr>
            </w:pPr>
            <w:r w:rsidRPr="008B6A75">
              <w:rPr>
                <w:bCs/>
                <w:sz w:val="20"/>
                <w:szCs w:val="20"/>
              </w:rPr>
              <w:t>Реализация мероприятий подпрограммы "Развитие кадрового потенциала системы дошкольного, общего и дополнительного образования детей"</w:t>
            </w:r>
          </w:p>
        </w:tc>
        <w:tc>
          <w:tcPr>
            <w:tcW w:w="720" w:type="dxa"/>
            <w:tcBorders>
              <w:top w:val="nil"/>
              <w:left w:val="single" w:sz="4" w:space="0" w:color="auto"/>
              <w:bottom w:val="single" w:sz="4" w:space="0" w:color="auto"/>
              <w:right w:val="nil"/>
            </w:tcBorders>
            <w:shd w:val="clear" w:color="auto" w:fill="auto"/>
            <w:noWrap/>
            <w:vAlign w:val="center"/>
            <w:hideMark/>
          </w:tcPr>
          <w:p w14:paraId="503150F9" w14:textId="77777777" w:rsidR="00387142" w:rsidRPr="008B6A75" w:rsidRDefault="00387142" w:rsidP="00387142">
            <w:pPr>
              <w:jc w:val="center"/>
              <w:rPr>
                <w:bCs/>
                <w:sz w:val="20"/>
                <w:szCs w:val="20"/>
              </w:rPr>
            </w:pPr>
            <w:r w:rsidRPr="008B6A75">
              <w:rPr>
                <w:bCs/>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EFC4696" w14:textId="77777777" w:rsidR="00387142" w:rsidRPr="008B6A75" w:rsidRDefault="00387142" w:rsidP="00387142">
            <w:pPr>
              <w:jc w:val="center"/>
              <w:rPr>
                <w:bCs/>
                <w:sz w:val="20"/>
                <w:szCs w:val="20"/>
              </w:rPr>
            </w:pPr>
            <w:r w:rsidRPr="008B6A75">
              <w:rPr>
                <w:bCs/>
                <w:sz w:val="20"/>
                <w:szCs w:val="20"/>
              </w:rPr>
              <w:t>02</w:t>
            </w:r>
          </w:p>
        </w:tc>
        <w:tc>
          <w:tcPr>
            <w:tcW w:w="1516" w:type="dxa"/>
            <w:tcBorders>
              <w:top w:val="nil"/>
              <w:left w:val="single" w:sz="4" w:space="0" w:color="auto"/>
              <w:bottom w:val="single" w:sz="4" w:space="0" w:color="auto"/>
              <w:right w:val="nil"/>
            </w:tcBorders>
            <w:shd w:val="clear" w:color="auto" w:fill="auto"/>
            <w:noWrap/>
            <w:vAlign w:val="center"/>
            <w:hideMark/>
          </w:tcPr>
          <w:p w14:paraId="7F2CB211" w14:textId="77777777" w:rsidR="00387142" w:rsidRPr="008B6A75" w:rsidRDefault="00387142" w:rsidP="00387142">
            <w:pPr>
              <w:jc w:val="center"/>
              <w:rPr>
                <w:bCs/>
                <w:sz w:val="20"/>
                <w:szCs w:val="20"/>
              </w:rPr>
            </w:pPr>
            <w:r w:rsidRPr="008B6A75">
              <w:rPr>
                <w:bCs/>
                <w:sz w:val="20"/>
                <w:szCs w:val="20"/>
              </w:rPr>
              <w:t>07.3.00.79500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0B8449D"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82D2069" w14:textId="77777777" w:rsidR="00387142" w:rsidRPr="008B6A75" w:rsidRDefault="00387142" w:rsidP="00387142">
            <w:pPr>
              <w:jc w:val="right"/>
              <w:rPr>
                <w:bCs/>
                <w:sz w:val="20"/>
                <w:szCs w:val="20"/>
              </w:rPr>
            </w:pPr>
            <w:r w:rsidRPr="008B6A75">
              <w:rPr>
                <w:bCs/>
                <w:sz w:val="20"/>
                <w:szCs w:val="20"/>
              </w:rPr>
              <w:t>475 000,00</w:t>
            </w:r>
          </w:p>
        </w:tc>
        <w:tc>
          <w:tcPr>
            <w:tcW w:w="992" w:type="dxa"/>
            <w:tcBorders>
              <w:top w:val="nil"/>
              <w:left w:val="single" w:sz="4" w:space="0" w:color="auto"/>
              <w:bottom w:val="single" w:sz="4" w:space="0" w:color="auto"/>
              <w:right w:val="nil"/>
            </w:tcBorders>
            <w:shd w:val="clear" w:color="auto" w:fill="auto"/>
            <w:vAlign w:val="center"/>
            <w:hideMark/>
          </w:tcPr>
          <w:p w14:paraId="26415335" w14:textId="77777777" w:rsidR="00387142" w:rsidRPr="008B6A75" w:rsidRDefault="00387142" w:rsidP="00387142">
            <w:pPr>
              <w:jc w:val="right"/>
              <w:rPr>
                <w:bCs/>
                <w:sz w:val="20"/>
                <w:szCs w:val="20"/>
              </w:rPr>
            </w:pPr>
            <w:r w:rsidRPr="008B6A75">
              <w:rPr>
                <w:bCs/>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3321E3C8" w14:textId="77777777" w:rsidR="00387142" w:rsidRPr="008B6A75" w:rsidRDefault="00387142" w:rsidP="00387142">
            <w:pPr>
              <w:jc w:val="right"/>
              <w:rPr>
                <w:bCs/>
                <w:sz w:val="20"/>
                <w:szCs w:val="20"/>
              </w:rPr>
            </w:pPr>
            <w:r w:rsidRPr="008B6A75">
              <w:rPr>
                <w:bCs/>
                <w:sz w:val="20"/>
                <w:szCs w:val="20"/>
              </w:rPr>
              <w:t>0,00</w:t>
            </w:r>
          </w:p>
        </w:tc>
      </w:tr>
      <w:tr w:rsidR="00387142" w:rsidRPr="008B6A75" w14:paraId="354CF682" w14:textId="77777777" w:rsidTr="00387142">
        <w:trPr>
          <w:trHeight w:val="1440"/>
        </w:trPr>
        <w:tc>
          <w:tcPr>
            <w:tcW w:w="3261" w:type="dxa"/>
            <w:tcBorders>
              <w:top w:val="nil"/>
              <w:left w:val="single" w:sz="4" w:space="0" w:color="auto"/>
              <w:bottom w:val="single" w:sz="4" w:space="0" w:color="auto"/>
              <w:right w:val="nil"/>
            </w:tcBorders>
            <w:shd w:val="clear" w:color="auto" w:fill="auto"/>
            <w:vAlign w:val="center"/>
            <w:hideMark/>
          </w:tcPr>
          <w:p w14:paraId="5C965899" w14:textId="77777777" w:rsidR="00387142" w:rsidRPr="008B6A75" w:rsidRDefault="00387142" w:rsidP="00387142">
            <w:pPr>
              <w:rPr>
                <w:sz w:val="20"/>
                <w:szCs w:val="20"/>
              </w:rPr>
            </w:pPr>
            <w:r w:rsidRPr="008B6A7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14:paraId="0ED1DF58" w14:textId="77777777" w:rsidR="00387142" w:rsidRPr="008B6A75" w:rsidRDefault="00387142" w:rsidP="00387142">
            <w:pPr>
              <w:jc w:val="center"/>
              <w:rPr>
                <w:sz w:val="20"/>
                <w:szCs w:val="20"/>
              </w:rPr>
            </w:pPr>
            <w:r w:rsidRPr="008B6A75">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471ECD1" w14:textId="77777777" w:rsidR="00387142" w:rsidRPr="008B6A75" w:rsidRDefault="00387142" w:rsidP="00387142">
            <w:pPr>
              <w:jc w:val="center"/>
              <w:rPr>
                <w:sz w:val="20"/>
                <w:szCs w:val="20"/>
              </w:rPr>
            </w:pPr>
            <w:r w:rsidRPr="008B6A75">
              <w:rPr>
                <w:sz w:val="20"/>
                <w:szCs w:val="20"/>
              </w:rPr>
              <w:t>02</w:t>
            </w:r>
          </w:p>
        </w:tc>
        <w:tc>
          <w:tcPr>
            <w:tcW w:w="1516" w:type="dxa"/>
            <w:tcBorders>
              <w:top w:val="nil"/>
              <w:left w:val="single" w:sz="4" w:space="0" w:color="auto"/>
              <w:bottom w:val="single" w:sz="4" w:space="0" w:color="auto"/>
              <w:right w:val="nil"/>
            </w:tcBorders>
            <w:shd w:val="clear" w:color="auto" w:fill="auto"/>
            <w:noWrap/>
            <w:vAlign w:val="center"/>
            <w:hideMark/>
          </w:tcPr>
          <w:p w14:paraId="4196CA18" w14:textId="77777777" w:rsidR="00387142" w:rsidRPr="008B6A75" w:rsidRDefault="00387142" w:rsidP="00387142">
            <w:pPr>
              <w:jc w:val="center"/>
              <w:rPr>
                <w:sz w:val="20"/>
                <w:szCs w:val="20"/>
              </w:rPr>
            </w:pPr>
            <w:r w:rsidRPr="008B6A75">
              <w:rPr>
                <w:sz w:val="20"/>
                <w:szCs w:val="20"/>
              </w:rPr>
              <w:t>07.3.00.79500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0D3CF16" w14:textId="77777777" w:rsidR="00387142" w:rsidRPr="008B6A75" w:rsidRDefault="00387142" w:rsidP="00387142">
            <w:pPr>
              <w:jc w:val="center"/>
              <w:rPr>
                <w:sz w:val="20"/>
                <w:szCs w:val="20"/>
              </w:rPr>
            </w:pPr>
            <w:r w:rsidRPr="008B6A75">
              <w:rPr>
                <w:sz w:val="20"/>
                <w:szCs w:val="20"/>
              </w:rPr>
              <w:t>100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8BC6D0F" w14:textId="77777777" w:rsidR="00387142" w:rsidRPr="008B6A75" w:rsidRDefault="00387142" w:rsidP="00387142">
            <w:pPr>
              <w:jc w:val="right"/>
              <w:rPr>
                <w:sz w:val="20"/>
                <w:szCs w:val="20"/>
              </w:rPr>
            </w:pPr>
            <w:r w:rsidRPr="008B6A75">
              <w:rPr>
                <w:sz w:val="20"/>
                <w:szCs w:val="20"/>
              </w:rPr>
              <w:t>23 912,00</w:t>
            </w:r>
          </w:p>
        </w:tc>
        <w:tc>
          <w:tcPr>
            <w:tcW w:w="992" w:type="dxa"/>
            <w:tcBorders>
              <w:top w:val="nil"/>
              <w:left w:val="single" w:sz="4" w:space="0" w:color="auto"/>
              <w:bottom w:val="single" w:sz="4" w:space="0" w:color="auto"/>
              <w:right w:val="nil"/>
            </w:tcBorders>
            <w:shd w:val="clear" w:color="auto" w:fill="auto"/>
            <w:vAlign w:val="center"/>
            <w:hideMark/>
          </w:tcPr>
          <w:p w14:paraId="1FB0D223" w14:textId="77777777" w:rsidR="00387142" w:rsidRPr="008B6A75" w:rsidRDefault="00387142" w:rsidP="00387142">
            <w:pPr>
              <w:jc w:val="right"/>
              <w:rPr>
                <w:sz w:val="20"/>
                <w:szCs w:val="20"/>
              </w:rPr>
            </w:pPr>
            <w:r w:rsidRPr="008B6A75">
              <w:rPr>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5D7A3B97" w14:textId="77777777" w:rsidR="00387142" w:rsidRPr="008B6A75" w:rsidRDefault="00387142" w:rsidP="00387142">
            <w:pPr>
              <w:jc w:val="right"/>
              <w:rPr>
                <w:sz w:val="20"/>
                <w:szCs w:val="20"/>
              </w:rPr>
            </w:pPr>
            <w:r w:rsidRPr="008B6A75">
              <w:rPr>
                <w:sz w:val="20"/>
                <w:szCs w:val="20"/>
              </w:rPr>
              <w:t>0,00</w:t>
            </w:r>
          </w:p>
        </w:tc>
      </w:tr>
      <w:tr w:rsidR="00387142" w:rsidRPr="008B6A75" w14:paraId="0DCBF8DF" w14:textId="77777777" w:rsidTr="00387142">
        <w:trPr>
          <w:trHeight w:val="585"/>
        </w:trPr>
        <w:tc>
          <w:tcPr>
            <w:tcW w:w="3261" w:type="dxa"/>
            <w:tcBorders>
              <w:top w:val="nil"/>
              <w:left w:val="single" w:sz="4" w:space="0" w:color="auto"/>
              <w:bottom w:val="single" w:sz="4" w:space="0" w:color="auto"/>
              <w:right w:val="nil"/>
            </w:tcBorders>
            <w:shd w:val="clear" w:color="auto" w:fill="auto"/>
            <w:vAlign w:val="center"/>
            <w:hideMark/>
          </w:tcPr>
          <w:p w14:paraId="6499AD38" w14:textId="77777777" w:rsidR="00387142" w:rsidRPr="008B6A75" w:rsidRDefault="00387142" w:rsidP="00387142">
            <w:pPr>
              <w:rPr>
                <w:sz w:val="20"/>
                <w:szCs w:val="20"/>
              </w:rPr>
            </w:pPr>
            <w:r w:rsidRPr="008B6A75">
              <w:rPr>
                <w:sz w:val="20"/>
                <w:szCs w:val="20"/>
              </w:rPr>
              <w:t>Расходы на выплаты персоналу казенных учреждений</w:t>
            </w:r>
          </w:p>
        </w:tc>
        <w:tc>
          <w:tcPr>
            <w:tcW w:w="720" w:type="dxa"/>
            <w:tcBorders>
              <w:top w:val="nil"/>
              <w:left w:val="single" w:sz="4" w:space="0" w:color="auto"/>
              <w:bottom w:val="single" w:sz="4" w:space="0" w:color="auto"/>
              <w:right w:val="nil"/>
            </w:tcBorders>
            <w:shd w:val="clear" w:color="auto" w:fill="auto"/>
            <w:noWrap/>
            <w:vAlign w:val="center"/>
            <w:hideMark/>
          </w:tcPr>
          <w:p w14:paraId="76972EEF" w14:textId="77777777" w:rsidR="00387142" w:rsidRPr="008B6A75" w:rsidRDefault="00387142" w:rsidP="00387142">
            <w:pPr>
              <w:jc w:val="center"/>
              <w:rPr>
                <w:sz w:val="20"/>
                <w:szCs w:val="20"/>
              </w:rPr>
            </w:pPr>
            <w:r w:rsidRPr="008B6A75">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0F06EC1" w14:textId="77777777" w:rsidR="00387142" w:rsidRPr="008B6A75" w:rsidRDefault="00387142" w:rsidP="00387142">
            <w:pPr>
              <w:jc w:val="center"/>
              <w:rPr>
                <w:sz w:val="20"/>
                <w:szCs w:val="20"/>
              </w:rPr>
            </w:pPr>
            <w:r w:rsidRPr="008B6A75">
              <w:rPr>
                <w:sz w:val="20"/>
                <w:szCs w:val="20"/>
              </w:rPr>
              <w:t>02</w:t>
            </w:r>
          </w:p>
        </w:tc>
        <w:tc>
          <w:tcPr>
            <w:tcW w:w="1516" w:type="dxa"/>
            <w:tcBorders>
              <w:top w:val="nil"/>
              <w:left w:val="single" w:sz="4" w:space="0" w:color="auto"/>
              <w:bottom w:val="single" w:sz="4" w:space="0" w:color="auto"/>
              <w:right w:val="nil"/>
            </w:tcBorders>
            <w:shd w:val="clear" w:color="auto" w:fill="auto"/>
            <w:noWrap/>
            <w:vAlign w:val="center"/>
            <w:hideMark/>
          </w:tcPr>
          <w:p w14:paraId="42D59331" w14:textId="77777777" w:rsidR="00387142" w:rsidRPr="008B6A75" w:rsidRDefault="00387142" w:rsidP="00387142">
            <w:pPr>
              <w:jc w:val="center"/>
              <w:rPr>
                <w:sz w:val="20"/>
                <w:szCs w:val="20"/>
              </w:rPr>
            </w:pPr>
            <w:r w:rsidRPr="008B6A75">
              <w:rPr>
                <w:sz w:val="20"/>
                <w:szCs w:val="20"/>
              </w:rPr>
              <w:t>07.3.00.79500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67C97AB" w14:textId="77777777" w:rsidR="00387142" w:rsidRPr="008B6A75" w:rsidRDefault="00387142" w:rsidP="00387142">
            <w:pPr>
              <w:jc w:val="center"/>
              <w:rPr>
                <w:sz w:val="20"/>
                <w:szCs w:val="20"/>
              </w:rPr>
            </w:pPr>
            <w:r w:rsidRPr="008B6A75">
              <w:rPr>
                <w:sz w:val="20"/>
                <w:szCs w:val="20"/>
              </w:rPr>
              <w:t>110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4D33EEE" w14:textId="77777777" w:rsidR="00387142" w:rsidRPr="008B6A75" w:rsidRDefault="00387142" w:rsidP="00387142">
            <w:pPr>
              <w:jc w:val="right"/>
              <w:rPr>
                <w:sz w:val="20"/>
                <w:szCs w:val="20"/>
              </w:rPr>
            </w:pPr>
            <w:r w:rsidRPr="008B6A75">
              <w:rPr>
                <w:sz w:val="20"/>
                <w:szCs w:val="20"/>
              </w:rPr>
              <w:t>23 912,00</w:t>
            </w:r>
          </w:p>
        </w:tc>
        <w:tc>
          <w:tcPr>
            <w:tcW w:w="992" w:type="dxa"/>
            <w:tcBorders>
              <w:top w:val="nil"/>
              <w:left w:val="single" w:sz="4" w:space="0" w:color="auto"/>
              <w:bottom w:val="single" w:sz="4" w:space="0" w:color="auto"/>
              <w:right w:val="nil"/>
            </w:tcBorders>
            <w:shd w:val="clear" w:color="auto" w:fill="auto"/>
            <w:vAlign w:val="center"/>
            <w:hideMark/>
          </w:tcPr>
          <w:p w14:paraId="7722190F" w14:textId="77777777" w:rsidR="00387142" w:rsidRPr="008B6A75" w:rsidRDefault="00387142" w:rsidP="00387142">
            <w:pPr>
              <w:jc w:val="right"/>
              <w:rPr>
                <w:sz w:val="20"/>
                <w:szCs w:val="20"/>
              </w:rPr>
            </w:pPr>
            <w:r w:rsidRPr="008B6A75">
              <w:rPr>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7228442A" w14:textId="77777777" w:rsidR="00387142" w:rsidRPr="008B6A75" w:rsidRDefault="00387142" w:rsidP="00387142">
            <w:pPr>
              <w:jc w:val="right"/>
              <w:rPr>
                <w:sz w:val="20"/>
                <w:szCs w:val="20"/>
              </w:rPr>
            </w:pPr>
            <w:r w:rsidRPr="008B6A75">
              <w:rPr>
                <w:sz w:val="20"/>
                <w:szCs w:val="20"/>
              </w:rPr>
              <w:t>0,00</w:t>
            </w:r>
          </w:p>
        </w:tc>
      </w:tr>
      <w:tr w:rsidR="00387142" w:rsidRPr="008B6A75" w14:paraId="2B1ACD33" w14:textId="77777777" w:rsidTr="00387142">
        <w:trPr>
          <w:trHeight w:val="585"/>
        </w:trPr>
        <w:tc>
          <w:tcPr>
            <w:tcW w:w="3261" w:type="dxa"/>
            <w:tcBorders>
              <w:top w:val="nil"/>
              <w:left w:val="single" w:sz="4" w:space="0" w:color="auto"/>
              <w:bottom w:val="single" w:sz="4" w:space="0" w:color="auto"/>
              <w:right w:val="nil"/>
            </w:tcBorders>
            <w:shd w:val="clear" w:color="auto" w:fill="auto"/>
            <w:vAlign w:val="center"/>
            <w:hideMark/>
          </w:tcPr>
          <w:p w14:paraId="65172EFE" w14:textId="77777777" w:rsidR="00387142" w:rsidRPr="008B6A75" w:rsidRDefault="00387142" w:rsidP="00387142">
            <w:pPr>
              <w:rPr>
                <w:sz w:val="20"/>
                <w:szCs w:val="20"/>
              </w:rPr>
            </w:pPr>
            <w:r w:rsidRPr="008B6A75">
              <w:rPr>
                <w:sz w:val="20"/>
                <w:szCs w:val="20"/>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4572B804" w14:textId="77777777" w:rsidR="00387142" w:rsidRPr="008B6A75" w:rsidRDefault="00387142" w:rsidP="00387142">
            <w:pPr>
              <w:jc w:val="center"/>
              <w:rPr>
                <w:sz w:val="20"/>
                <w:szCs w:val="20"/>
              </w:rPr>
            </w:pPr>
            <w:r w:rsidRPr="008B6A75">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D0A40F3" w14:textId="77777777" w:rsidR="00387142" w:rsidRPr="008B6A75" w:rsidRDefault="00387142" w:rsidP="00387142">
            <w:pPr>
              <w:jc w:val="center"/>
              <w:rPr>
                <w:sz w:val="20"/>
                <w:szCs w:val="20"/>
              </w:rPr>
            </w:pPr>
            <w:r w:rsidRPr="008B6A75">
              <w:rPr>
                <w:sz w:val="20"/>
                <w:szCs w:val="20"/>
              </w:rPr>
              <w:t>02</w:t>
            </w:r>
          </w:p>
        </w:tc>
        <w:tc>
          <w:tcPr>
            <w:tcW w:w="1516" w:type="dxa"/>
            <w:tcBorders>
              <w:top w:val="nil"/>
              <w:left w:val="single" w:sz="4" w:space="0" w:color="auto"/>
              <w:bottom w:val="single" w:sz="4" w:space="0" w:color="auto"/>
              <w:right w:val="nil"/>
            </w:tcBorders>
            <w:shd w:val="clear" w:color="auto" w:fill="auto"/>
            <w:noWrap/>
            <w:vAlign w:val="center"/>
            <w:hideMark/>
          </w:tcPr>
          <w:p w14:paraId="6D6A9FC3" w14:textId="77777777" w:rsidR="00387142" w:rsidRPr="008B6A75" w:rsidRDefault="00387142" w:rsidP="00387142">
            <w:pPr>
              <w:jc w:val="center"/>
              <w:rPr>
                <w:sz w:val="20"/>
                <w:szCs w:val="20"/>
              </w:rPr>
            </w:pPr>
            <w:r w:rsidRPr="008B6A75">
              <w:rPr>
                <w:sz w:val="20"/>
                <w:szCs w:val="20"/>
              </w:rPr>
              <w:t>07.3.00.79500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E7FF4DA" w14:textId="77777777" w:rsidR="00387142" w:rsidRPr="008B6A75" w:rsidRDefault="00387142" w:rsidP="00387142">
            <w:pPr>
              <w:jc w:val="center"/>
              <w:rPr>
                <w:sz w:val="20"/>
                <w:szCs w:val="20"/>
              </w:rPr>
            </w:pPr>
            <w:r w:rsidRPr="008B6A75">
              <w:rPr>
                <w:sz w:val="20"/>
                <w:szCs w:val="20"/>
              </w:rPr>
              <w:t>200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DE11028" w14:textId="77777777" w:rsidR="00387142" w:rsidRPr="008B6A75" w:rsidRDefault="00387142" w:rsidP="00387142">
            <w:pPr>
              <w:jc w:val="right"/>
              <w:rPr>
                <w:sz w:val="20"/>
                <w:szCs w:val="20"/>
              </w:rPr>
            </w:pPr>
            <w:r w:rsidRPr="008B6A75">
              <w:rPr>
                <w:sz w:val="20"/>
                <w:szCs w:val="20"/>
              </w:rPr>
              <w:t>336 488,00</w:t>
            </w:r>
          </w:p>
        </w:tc>
        <w:tc>
          <w:tcPr>
            <w:tcW w:w="992" w:type="dxa"/>
            <w:tcBorders>
              <w:top w:val="nil"/>
              <w:left w:val="single" w:sz="4" w:space="0" w:color="auto"/>
              <w:bottom w:val="single" w:sz="4" w:space="0" w:color="auto"/>
              <w:right w:val="nil"/>
            </w:tcBorders>
            <w:shd w:val="clear" w:color="auto" w:fill="auto"/>
            <w:vAlign w:val="center"/>
            <w:hideMark/>
          </w:tcPr>
          <w:p w14:paraId="3E35BAE1" w14:textId="77777777" w:rsidR="00387142" w:rsidRPr="008B6A75" w:rsidRDefault="00387142" w:rsidP="00387142">
            <w:pPr>
              <w:jc w:val="right"/>
              <w:rPr>
                <w:sz w:val="20"/>
                <w:szCs w:val="20"/>
              </w:rPr>
            </w:pPr>
            <w:r w:rsidRPr="008B6A75">
              <w:rPr>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2E4F1664" w14:textId="77777777" w:rsidR="00387142" w:rsidRPr="008B6A75" w:rsidRDefault="00387142" w:rsidP="00387142">
            <w:pPr>
              <w:jc w:val="right"/>
              <w:rPr>
                <w:sz w:val="20"/>
                <w:szCs w:val="20"/>
              </w:rPr>
            </w:pPr>
            <w:r w:rsidRPr="008B6A75">
              <w:rPr>
                <w:sz w:val="20"/>
                <w:szCs w:val="20"/>
              </w:rPr>
              <w:t>0,00</w:t>
            </w:r>
          </w:p>
        </w:tc>
      </w:tr>
      <w:tr w:rsidR="00387142" w:rsidRPr="008B6A75" w14:paraId="72740D54" w14:textId="77777777" w:rsidTr="00387142">
        <w:trPr>
          <w:trHeight w:val="870"/>
        </w:trPr>
        <w:tc>
          <w:tcPr>
            <w:tcW w:w="3261" w:type="dxa"/>
            <w:tcBorders>
              <w:top w:val="nil"/>
              <w:left w:val="single" w:sz="4" w:space="0" w:color="auto"/>
              <w:bottom w:val="single" w:sz="4" w:space="0" w:color="auto"/>
              <w:right w:val="nil"/>
            </w:tcBorders>
            <w:shd w:val="clear" w:color="auto" w:fill="auto"/>
            <w:vAlign w:val="center"/>
            <w:hideMark/>
          </w:tcPr>
          <w:p w14:paraId="3E3EF352" w14:textId="77777777" w:rsidR="00387142" w:rsidRPr="008B6A75" w:rsidRDefault="00387142" w:rsidP="00387142">
            <w:pPr>
              <w:rPr>
                <w:sz w:val="20"/>
                <w:szCs w:val="20"/>
              </w:rPr>
            </w:pPr>
            <w:r w:rsidRPr="008B6A75">
              <w:rPr>
                <w:sz w:val="20"/>
                <w:szCs w:val="20"/>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100969CF" w14:textId="77777777" w:rsidR="00387142" w:rsidRPr="008B6A75" w:rsidRDefault="00387142" w:rsidP="00387142">
            <w:pPr>
              <w:jc w:val="center"/>
              <w:rPr>
                <w:sz w:val="20"/>
                <w:szCs w:val="20"/>
              </w:rPr>
            </w:pPr>
            <w:r w:rsidRPr="008B6A75">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42CD595" w14:textId="77777777" w:rsidR="00387142" w:rsidRPr="008B6A75" w:rsidRDefault="00387142" w:rsidP="00387142">
            <w:pPr>
              <w:jc w:val="center"/>
              <w:rPr>
                <w:sz w:val="20"/>
                <w:szCs w:val="20"/>
              </w:rPr>
            </w:pPr>
            <w:r w:rsidRPr="008B6A75">
              <w:rPr>
                <w:sz w:val="20"/>
                <w:szCs w:val="20"/>
              </w:rPr>
              <w:t>02</w:t>
            </w:r>
          </w:p>
        </w:tc>
        <w:tc>
          <w:tcPr>
            <w:tcW w:w="1516" w:type="dxa"/>
            <w:tcBorders>
              <w:top w:val="nil"/>
              <w:left w:val="single" w:sz="4" w:space="0" w:color="auto"/>
              <w:bottom w:val="single" w:sz="4" w:space="0" w:color="auto"/>
              <w:right w:val="nil"/>
            </w:tcBorders>
            <w:shd w:val="clear" w:color="auto" w:fill="auto"/>
            <w:noWrap/>
            <w:vAlign w:val="center"/>
            <w:hideMark/>
          </w:tcPr>
          <w:p w14:paraId="570A957C" w14:textId="77777777" w:rsidR="00387142" w:rsidRPr="008B6A75" w:rsidRDefault="00387142" w:rsidP="00387142">
            <w:pPr>
              <w:jc w:val="center"/>
              <w:rPr>
                <w:sz w:val="20"/>
                <w:szCs w:val="20"/>
              </w:rPr>
            </w:pPr>
            <w:r w:rsidRPr="008B6A75">
              <w:rPr>
                <w:sz w:val="20"/>
                <w:szCs w:val="20"/>
              </w:rPr>
              <w:t>07.3.00.79500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C15A684" w14:textId="77777777" w:rsidR="00387142" w:rsidRPr="008B6A75" w:rsidRDefault="00387142" w:rsidP="00387142">
            <w:pPr>
              <w:jc w:val="center"/>
              <w:rPr>
                <w:sz w:val="20"/>
                <w:szCs w:val="20"/>
              </w:rPr>
            </w:pPr>
            <w:r w:rsidRPr="008B6A75">
              <w:rPr>
                <w:sz w:val="20"/>
                <w:szCs w:val="20"/>
              </w:rPr>
              <w:t>240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5A1E214" w14:textId="77777777" w:rsidR="00387142" w:rsidRPr="008B6A75" w:rsidRDefault="00387142" w:rsidP="00387142">
            <w:pPr>
              <w:jc w:val="right"/>
              <w:rPr>
                <w:sz w:val="20"/>
                <w:szCs w:val="20"/>
              </w:rPr>
            </w:pPr>
            <w:r w:rsidRPr="008B6A75">
              <w:rPr>
                <w:sz w:val="20"/>
                <w:szCs w:val="20"/>
              </w:rPr>
              <w:t>336 488,00</w:t>
            </w:r>
          </w:p>
        </w:tc>
        <w:tc>
          <w:tcPr>
            <w:tcW w:w="992" w:type="dxa"/>
            <w:tcBorders>
              <w:top w:val="nil"/>
              <w:left w:val="single" w:sz="4" w:space="0" w:color="auto"/>
              <w:bottom w:val="single" w:sz="4" w:space="0" w:color="auto"/>
              <w:right w:val="nil"/>
            </w:tcBorders>
            <w:shd w:val="clear" w:color="auto" w:fill="auto"/>
            <w:vAlign w:val="center"/>
            <w:hideMark/>
          </w:tcPr>
          <w:p w14:paraId="5E6B0815" w14:textId="77777777" w:rsidR="00387142" w:rsidRPr="008B6A75" w:rsidRDefault="00387142" w:rsidP="00387142">
            <w:pPr>
              <w:jc w:val="right"/>
              <w:rPr>
                <w:sz w:val="20"/>
                <w:szCs w:val="20"/>
              </w:rPr>
            </w:pPr>
            <w:r w:rsidRPr="008B6A75">
              <w:rPr>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4B220058" w14:textId="77777777" w:rsidR="00387142" w:rsidRPr="008B6A75" w:rsidRDefault="00387142" w:rsidP="00387142">
            <w:pPr>
              <w:jc w:val="right"/>
              <w:rPr>
                <w:sz w:val="20"/>
                <w:szCs w:val="20"/>
              </w:rPr>
            </w:pPr>
            <w:r w:rsidRPr="008B6A75">
              <w:rPr>
                <w:sz w:val="20"/>
                <w:szCs w:val="20"/>
              </w:rPr>
              <w:t>0,00</w:t>
            </w:r>
          </w:p>
        </w:tc>
      </w:tr>
      <w:tr w:rsidR="00387142" w:rsidRPr="008B6A75" w14:paraId="3BC1DE6C" w14:textId="77777777" w:rsidTr="00387142">
        <w:trPr>
          <w:trHeight w:val="870"/>
        </w:trPr>
        <w:tc>
          <w:tcPr>
            <w:tcW w:w="3261" w:type="dxa"/>
            <w:tcBorders>
              <w:top w:val="nil"/>
              <w:left w:val="single" w:sz="4" w:space="0" w:color="auto"/>
              <w:bottom w:val="single" w:sz="4" w:space="0" w:color="auto"/>
              <w:right w:val="nil"/>
            </w:tcBorders>
            <w:shd w:val="clear" w:color="auto" w:fill="auto"/>
            <w:vAlign w:val="center"/>
            <w:hideMark/>
          </w:tcPr>
          <w:p w14:paraId="693035CA" w14:textId="77777777" w:rsidR="00387142" w:rsidRPr="008B6A75" w:rsidRDefault="00387142" w:rsidP="00387142">
            <w:pPr>
              <w:rPr>
                <w:sz w:val="20"/>
                <w:szCs w:val="20"/>
              </w:rPr>
            </w:pPr>
            <w:r w:rsidRPr="008B6A75">
              <w:rPr>
                <w:sz w:val="20"/>
                <w:szCs w:val="20"/>
              </w:rPr>
              <w:t>Предоставление субсидий бюджетным, автономным учреждениям и иным некоммерческим организациям</w:t>
            </w:r>
          </w:p>
        </w:tc>
        <w:tc>
          <w:tcPr>
            <w:tcW w:w="720" w:type="dxa"/>
            <w:tcBorders>
              <w:top w:val="nil"/>
              <w:left w:val="single" w:sz="4" w:space="0" w:color="auto"/>
              <w:bottom w:val="single" w:sz="4" w:space="0" w:color="auto"/>
              <w:right w:val="nil"/>
            </w:tcBorders>
            <w:shd w:val="clear" w:color="auto" w:fill="auto"/>
            <w:noWrap/>
            <w:vAlign w:val="center"/>
            <w:hideMark/>
          </w:tcPr>
          <w:p w14:paraId="798C8456" w14:textId="77777777" w:rsidR="00387142" w:rsidRPr="008B6A75" w:rsidRDefault="00387142" w:rsidP="00387142">
            <w:pPr>
              <w:jc w:val="center"/>
              <w:rPr>
                <w:sz w:val="20"/>
                <w:szCs w:val="20"/>
              </w:rPr>
            </w:pPr>
            <w:r w:rsidRPr="008B6A75">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EBDBE0C" w14:textId="77777777" w:rsidR="00387142" w:rsidRPr="008B6A75" w:rsidRDefault="00387142" w:rsidP="00387142">
            <w:pPr>
              <w:jc w:val="center"/>
              <w:rPr>
                <w:sz w:val="20"/>
                <w:szCs w:val="20"/>
              </w:rPr>
            </w:pPr>
            <w:r w:rsidRPr="008B6A75">
              <w:rPr>
                <w:sz w:val="20"/>
                <w:szCs w:val="20"/>
              </w:rPr>
              <w:t>02</w:t>
            </w:r>
          </w:p>
        </w:tc>
        <w:tc>
          <w:tcPr>
            <w:tcW w:w="1516" w:type="dxa"/>
            <w:tcBorders>
              <w:top w:val="nil"/>
              <w:left w:val="single" w:sz="4" w:space="0" w:color="auto"/>
              <w:bottom w:val="single" w:sz="4" w:space="0" w:color="auto"/>
              <w:right w:val="nil"/>
            </w:tcBorders>
            <w:shd w:val="clear" w:color="auto" w:fill="auto"/>
            <w:noWrap/>
            <w:vAlign w:val="center"/>
            <w:hideMark/>
          </w:tcPr>
          <w:p w14:paraId="70308DED" w14:textId="77777777" w:rsidR="00387142" w:rsidRPr="008B6A75" w:rsidRDefault="00387142" w:rsidP="00387142">
            <w:pPr>
              <w:jc w:val="center"/>
              <w:rPr>
                <w:sz w:val="20"/>
                <w:szCs w:val="20"/>
              </w:rPr>
            </w:pPr>
            <w:r w:rsidRPr="008B6A75">
              <w:rPr>
                <w:sz w:val="20"/>
                <w:szCs w:val="20"/>
              </w:rPr>
              <w:t>07.3.00.79500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1C1A673" w14:textId="77777777" w:rsidR="00387142" w:rsidRPr="008B6A75" w:rsidRDefault="00387142" w:rsidP="00387142">
            <w:pPr>
              <w:jc w:val="center"/>
              <w:rPr>
                <w:sz w:val="20"/>
                <w:szCs w:val="20"/>
              </w:rPr>
            </w:pPr>
            <w:r w:rsidRPr="008B6A75">
              <w:rPr>
                <w:sz w:val="20"/>
                <w:szCs w:val="20"/>
              </w:rPr>
              <w:t>600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D1B4C3D" w14:textId="77777777" w:rsidR="00387142" w:rsidRPr="008B6A75" w:rsidRDefault="00387142" w:rsidP="00387142">
            <w:pPr>
              <w:jc w:val="right"/>
              <w:rPr>
                <w:sz w:val="20"/>
                <w:szCs w:val="20"/>
              </w:rPr>
            </w:pPr>
            <w:r w:rsidRPr="008B6A75">
              <w:rPr>
                <w:sz w:val="20"/>
                <w:szCs w:val="20"/>
              </w:rPr>
              <w:t>114 600,00</w:t>
            </w:r>
          </w:p>
        </w:tc>
        <w:tc>
          <w:tcPr>
            <w:tcW w:w="992" w:type="dxa"/>
            <w:tcBorders>
              <w:top w:val="nil"/>
              <w:left w:val="single" w:sz="4" w:space="0" w:color="auto"/>
              <w:bottom w:val="single" w:sz="4" w:space="0" w:color="auto"/>
              <w:right w:val="nil"/>
            </w:tcBorders>
            <w:shd w:val="clear" w:color="auto" w:fill="auto"/>
            <w:vAlign w:val="center"/>
            <w:hideMark/>
          </w:tcPr>
          <w:p w14:paraId="2B489E6C" w14:textId="77777777" w:rsidR="00387142" w:rsidRPr="008B6A75" w:rsidRDefault="00387142" w:rsidP="00387142">
            <w:pPr>
              <w:jc w:val="right"/>
              <w:rPr>
                <w:sz w:val="20"/>
                <w:szCs w:val="20"/>
              </w:rPr>
            </w:pPr>
            <w:r w:rsidRPr="008B6A75">
              <w:rPr>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1BF25C0B" w14:textId="77777777" w:rsidR="00387142" w:rsidRPr="008B6A75" w:rsidRDefault="00387142" w:rsidP="00387142">
            <w:pPr>
              <w:jc w:val="right"/>
              <w:rPr>
                <w:sz w:val="20"/>
                <w:szCs w:val="20"/>
              </w:rPr>
            </w:pPr>
            <w:r w:rsidRPr="008B6A75">
              <w:rPr>
                <w:sz w:val="20"/>
                <w:szCs w:val="20"/>
              </w:rPr>
              <w:t>0,00</w:t>
            </w:r>
          </w:p>
        </w:tc>
      </w:tr>
      <w:tr w:rsidR="00387142" w:rsidRPr="008B6A75" w14:paraId="5E4395B7" w14:textId="77777777" w:rsidTr="00387142">
        <w:trPr>
          <w:trHeight w:val="345"/>
        </w:trPr>
        <w:tc>
          <w:tcPr>
            <w:tcW w:w="3261" w:type="dxa"/>
            <w:tcBorders>
              <w:top w:val="nil"/>
              <w:left w:val="single" w:sz="4" w:space="0" w:color="auto"/>
              <w:bottom w:val="single" w:sz="4" w:space="0" w:color="auto"/>
              <w:right w:val="nil"/>
            </w:tcBorders>
            <w:shd w:val="clear" w:color="auto" w:fill="auto"/>
            <w:vAlign w:val="center"/>
            <w:hideMark/>
          </w:tcPr>
          <w:p w14:paraId="177EB991" w14:textId="77777777" w:rsidR="00387142" w:rsidRPr="008B6A75" w:rsidRDefault="00387142" w:rsidP="00387142">
            <w:pPr>
              <w:rPr>
                <w:sz w:val="20"/>
                <w:szCs w:val="20"/>
              </w:rPr>
            </w:pPr>
            <w:r w:rsidRPr="008B6A75">
              <w:rPr>
                <w:sz w:val="20"/>
                <w:szCs w:val="20"/>
              </w:rPr>
              <w:t>Субсидии бюджетным учреждениям</w:t>
            </w:r>
          </w:p>
        </w:tc>
        <w:tc>
          <w:tcPr>
            <w:tcW w:w="720" w:type="dxa"/>
            <w:tcBorders>
              <w:top w:val="nil"/>
              <w:left w:val="single" w:sz="4" w:space="0" w:color="auto"/>
              <w:bottom w:val="single" w:sz="4" w:space="0" w:color="auto"/>
              <w:right w:val="nil"/>
            </w:tcBorders>
            <w:shd w:val="clear" w:color="auto" w:fill="auto"/>
            <w:noWrap/>
            <w:vAlign w:val="center"/>
            <w:hideMark/>
          </w:tcPr>
          <w:p w14:paraId="73A1AB77" w14:textId="77777777" w:rsidR="00387142" w:rsidRPr="008B6A75" w:rsidRDefault="00387142" w:rsidP="00387142">
            <w:pPr>
              <w:jc w:val="center"/>
              <w:rPr>
                <w:sz w:val="20"/>
                <w:szCs w:val="20"/>
              </w:rPr>
            </w:pPr>
            <w:r w:rsidRPr="008B6A75">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C3BF27D" w14:textId="77777777" w:rsidR="00387142" w:rsidRPr="008B6A75" w:rsidRDefault="00387142" w:rsidP="00387142">
            <w:pPr>
              <w:jc w:val="center"/>
              <w:rPr>
                <w:sz w:val="20"/>
                <w:szCs w:val="20"/>
              </w:rPr>
            </w:pPr>
            <w:r w:rsidRPr="008B6A75">
              <w:rPr>
                <w:sz w:val="20"/>
                <w:szCs w:val="20"/>
              </w:rPr>
              <w:t>02</w:t>
            </w:r>
          </w:p>
        </w:tc>
        <w:tc>
          <w:tcPr>
            <w:tcW w:w="1516" w:type="dxa"/>
            <w:tcBorders>
              <w:top w:val="nil"/>
              <w:left w:val="single" w:sz="4" w:space="0" w:color="auto"/>
              <w:bottom w:val="single" w:sz="4" w:space="0" w:color="auto"/>
              <w:right w:val="nil"/>
            </w:tcBorders>
            <w:shd w:val="clear" w:color="auto" w:fill="auto"/>
            <w:noWrap/>
            <w:vAlign w:val="center"/>
            <w:hideMark/>
          </w:tcPr>
          <w:p w14:paraId="42D25B6F" w14:textId="77777777" w:rsidR="00387142" w:rsidRPr="008B6A75" w:rsidRDefault="00387142" w:rsidP="00387142">
            <w:pPr>
              <w:jc w:val="center"/>
              <w:rPr>
                <w:sz w:val="20"/>
                <w:szCs w:val="20"/>
              </w:rPr>
            </w:pPr>
            <w:r w:rsidRPr="008B6A75">
              <w:rPr>
                <w:sz w:val="20"/>
                <w:szCs w:val="20"/>
              </w:rPr>
              <w:t>07.3.00.79500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B0A89BE" w14:textId="77777777" w:rsidR="00387142" w:rsidRPr="008B6A75" w:rsidRDefault="00387142" w:rsidP="00387142">
            <w:pPr>
              <w:jc w:val="center"/>
              <w:rPr>
                <w:sz w:val="20"/>
                <w:szCs w:val="20"/>
              </w:rPr>
            </w:pPr>
            <w:r w:rsidRPr="008B6A75">
              <w:rPr>
                <w:sz w:val="20"/>
                <w:szCs w:val="20"/>
              </w:rPr>
              <w:t>610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E52FE62" w14:textId="77777777" w:rsidR="00387142" w:rsidRPr="008B6A75" w:rsidRDefault="00387142" w:rsidP="00387142">
            <w:pPr>
              <w:jc w:val="right"/>
              <w:rPr>
                <w:sz w:val="20"/>
                <w:szCs w:val="20"/>
              </w:rPr>
            </w:pPr>
            <w:r w:rsidRPr="008B6A75">
              <w:rPr>
                <w:sz w:val="20"/>
                <w:szCs w:val="20"/>
              </w:rPr>
              <w:t>114 600,00</w:t>
            </w:r>
          </w:p>
        </w:tc>
        <w:tc>
          <w:tcPr>
            <w:tcW w:w="992" w:type="dxa"/>
            <w:tcBorders>
              <w:top w:val="nil"/>
              <w:left w:val="single" w:sz="4" w:space="0" w:color="auto"/>
              <w:bottom w:val="single" w:sz="4" w:space="0" w:color="auto"/>
              <w:right w:val="nil"/>
            </w:tcBorders>
            <w:shd w:val="clear" w:color="auto" w:fill="auto"/>
            <w:vAlign w:val="center"/>
            <w:hideMark/>
          </w:tcPr>
          <w:p w14:paraId="50F5F6ED" w14:textId="77777777" w:rsidR="00387142" w:rsidRPr="008B6A75" w:rsidRDefault="00387142" w:rsidP="00387142">
            <w:pPr>
              <w:jc w:val="right"/>
              <w:rPr>
                <w:sz w:val="20"/>
                <w:szCs w:val="20"/>
              </w:rPr>
            </w:pPr>
            <w:r w:rsidRPr="008B6A75">
              <w:rPr>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070ECFB9" w14:textId="77777777" w:rsidR="00387142" w:rsidRPr="008B6A75" w:rsidRDefault="00387142" w:rsidP="00387142">
            <w:pPr>
              <w:jc w:val="right"/>
              <w:rPr>
                <w:sz w:val="20"/>
                <w:szCs w:val="20"/>
              </w:rPr>
            </w:pPr>
            <w:r w:rsidRPr="008B6A75">
              <w:rPr>
                <w:sz w:val="20"/>
                <w:szCs w:val="20"/>
              </w:rPr>
              <w:t>0,00</w:t>
            </w:r>
          </w:p>
        </w:tc>
      </w:tr>
      <w:tr w:rsidR="00387142" w:rsidRPr="008B6A75" w14:paraId="5186F9E5" w14:textId="77777777" w:rsidTr="00387142">
        <w:trPr>
          <w:trHeight w:val="585"/>
        </w:trPr>
        <w:tc>
          <w:tcPr>
            <w:tcW w:w="3261" w:type="dxa"/>
            <w:tcBorders>
              <w:top w:val="nil"/>
              <w:left w:val="single" w:sz="4" w:space="0" w:color="auto"/>
              <w:bottom w:val="single" w:sz="4" w:space="0" w:color="auto"/>
              <w:right w:val="nil"/>
            </w:tcBorders>
            <w:shd w:val="clear" w:color="auto" w:fill="auto"/>
            <w:vAlign w:val="center"/>
            <w:hideMark/>
          </w:tcPr>
          <w:p w14:paraId="61D37F72" w14:textId="77777777" w:rsidR="00387142" w:rsidRPr="008B6A75" w:rsidRDefault="00387142" w:rsidP="00387142">
            <w:pPr>
              <w:rPr>
                <w:bCs/>
                <w:sz w:val="20"/>
                <w:szCs w:val="20"/>
              </w:rPr>
            </w:pPr>
            <w:r w:rsidRPr="008B6A75">
              <w:rPr>
                <w:bCs/>
                <w:sz w:val="20"/>
                <w:szCs w:val="20"/>
              </w:rPr>
              <w:t>Подпрограмма "Организация отдыха и оздоровления детей и подростков"</w:t>
            </w:r>
          </w:p>
        </w:tc>
        <w:tc>
          <w:tcPr>
            <w:tcW w:w="720" w:type="dxa"/>
            <w:tcBorders>
              <w:top w:val="nil"/>
              <w:left w:val="single" w:sz="4" w:space="0" w:color="auto"/>
              <w:bottom w:val="single" w:sz="4" w:space="0" w:color="auto"/>
              <w:right w:val="nil"/>
            </w:tcBorders>
            <w:shd w:val="clear" w:color="auto" w:fill="auto"/>
            <w:noWrap/>
            <w:vAlign w:val="center"/>
            <w:hideMark/>
          </w:tcPr>
          <w:p w14:paraId="09CD1CD2" w14:textId="77777777" w:rsidR="00387142" w:rsidRPr="008B6A75" w:rsidRDefault="00387142" w:rsidP="00387142">
            <w:pPr>
              <w:jc w:val="center"/>
              <w:rPr>
                <w:bCs/>
                <w:sz w:val="20"/>
                <w:szCs w:val="20"/>
              </w:rPr>
            </w:pPr>
            <w:r w:rsidRPr="008B6A75">
              <w:rPr>
                <w:bCs/>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CD7670D" w14:textId="77777777" w:rsidR="00387142" w:rsidRPr="008B6A75" w:rsidRDefault="00387142" w:rsidP="00387142">
            <w:pPr>
              <w:jc w:val="center"/>
              <w:rPr>
                <w:bCs/>
                <w:sz w:val="20"/>
                <w:szCs w:val="20"/>
              </w:rPr>
            </w:pPr>
            <w:r w:rsidRPr="008B6A75">
              <w:rPr>
                <w:bCs/>
                <w:sz w:val="20"/>
                <w:szCs w:val="20"/>
              </w:rPr>
              <w:t>02</w:t>
            </w:r>
          </w:p>
        </w:tc>
        <w:tc>
          <w:tcPr>
            <w:tcW w:w="1516" w:type="dxa"/>
            <w:tcBorders>
              <w:top w:val="nil"/>
              <w:left w:val="single" w:sz="4" w:space="0" w:color="auto"/>
              <w:bottom w:val="single" w:sz="4" w:space="0" w:color="auto"/>
              <w:right w:val="nil"/>
            </w:tcBorders>
            <w:shd w:val="clear" w:color="auto" w:fill="auto"/>
            <w:noWrap/>
            <w:vAlign w:val="center"/>
            <w:hideMark/>
          </w:tcPr>
          <w:p w14:paraId="0E99317F" w14:textId="77777777" w:rsidR="00387142" w:rsidRPr="008B6A75" w:rsidRDefault="00387142" w:rsidP="00387142">
            <w:pPr>
              <w:jc w:val="center"/>
              <w:rPr>
                <w:bCs/>
                <w:sz w:val="20"/>
                <w:szCs w:val="20"/>
              </w:rPr>
            </w:pPr>
            <w:r w:rsidRPr="008B6A75">
              <w:rPr>
                <w:bCs/>
                <w:sz w:val="20"/>
                <w:szCs w:val="20"/>
              </w:rPr>
              <w:t>07.4.00.00000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60C8B76"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A4EFBCB" w14:textId="77777777" w:rsidR="00387142" w:rsidRPr="008B6A75" w:rsidRDefault="00387142" w:rsidP="00387142">
            <w:pPr>
              <w:jc w:val="right"/>
              <w:rPr>
                <w:bCs/>
                <w:sz w:val="20"/>
                <w:szCs w:val="20"/>
              </w:rPr>
            </w:pPr>
            <w:r w:rsidRPr="008B6A75">
              <w:rPr>
                <w:bCs/>
                <w:sz w:val="20"/>
                <w:szCs w:val="20"/>
              </w:rPr>
              <w:t>476 860,00</w:t>
            </w:r>
          </w:p>
        </w:tc>
        <w:tc>
          <w:tcPr>
            <w:tcW w:w="992" w:type="dxa"/>
            <w:tcBorders>
              <w:top w:val="nil"/>
              <w:left w:val="single" w:sz="4" w:space="0" w:color="auto"/>
              <w:bottom w:val="single" w:sz="4" w:space="0" w:color="auto"/>
              <w:right w:val="nil"/>
            </w:tcBorders>
            <w:shd w:val="clear" w:color="auto" w:fill="auto"/>
            <w:vAlign w:val="center"/>
            <w:hideMark/>
          </w:tcPr>
          <w:p w14:paraId="531E70FD" w14:textId="77777777" w:rsidR="00387142" w:rsidRPr="008B6A75" w:rsidRDefault="00387142" w:rsidP="00387142">
            <w:pPr>
              <w:jc w:val="right"/>
              <w:rPr>
                <w:bCs/>
                <w:sz w:val="20"/>
                <w:szCs w:val="20"/>
              </w:rPr>
            </w:pPr>
            <w:r w:rsidRPr="008B6A75">
              <w:rPr>
                <w:bCs/>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51E1765F" w14:textId="77777777" w:rsidR="00387142" w:rsidRPr="008B6A75" w:rsidRDefault="00387142" w:rsidP="00387142">
            <w:pPr>
              <w:jc w:val="right"/>
              <w:rPr>
                <w:bCs/>
                <w:sz w:val="20"/>
                <w:szCs w:val="20"/>
              </w:rPr>
            </w:pPr>
            <w:r w:rsidRPr="008B6A75">
              <w:rPr>
                <w:bCs/>
                <w:sz w:val="20"/>
                <w:szCs w:val="20"/>
              </w:rPr>
              <w:t>0,00</w:t>
            </w:r>
          </w:p>
        </w:tc>
      </w:tr>
      <w:tr w:rsidR="00387142" w:rsidRPr="008B6A75" w14:paraId="606D8CFB" w14:textId="77777777" w:rsidTr="00387142">
        <w:trPr>
          <w:trHeight w:val="870"/>
        </w:trPr>
        <w:tc>
          <w:tcPr>
            <w:tcW w:w="3261" w:type="dxa"/>
            <w:tcBorders>
              <w:top w:val="nil"/>
              <w:left w:val="single" w:sz="4" w:space="0" w:color="auto"/>
              <w:bottom w:val="single" w:sz="4" w:space="0" w:color="auto"/>
              <w:right w:val="nil"/>
            </w:tcBorders>
            <w:shd w:val="clear" w:color="auto" w:fill="auto"/>
            <w:vAlign w:val="center"/>
            <w:hideMark/>
          </w:tcPr>
          <w:p w14:paraId="422DA8CC" w14:textId="77777777" w:rsidR="00387142" w:rsidRPr="008B6A75" w:rsidRDefault="00387142" w:rsidP="00387142">
            <w:pPr>
              <w:rPr>
                <w:bCs/>
                <w:sz w:val="20"/>
                <w:szCs w:val="20"/>
              </w:rPr>
            </w:pPr>
            <w:r w:rsidRPr="008B6A75">
              <w:rPr>
                <w:bCs/>
                <w:sz w:val="20"/>
                <w:szCs w:val="20"/>
              </w:rPr>
              <w:t>Реализация мероприятий подпрограммы "Организация отдыха и оздоровления детей и подростков"</w:t>
            </w:r>
          </w:p>
        </w:tc>
        <w:tc>
          <w:tcPr>
            <w:tcW w:w="720" w:type="dxa"/>
            <w:tcBorders>
              <w:top w:val="nil"/>
              <w:left w:val="single" w:sz="4" w:space="0" w:color="auto"/>
              <w:bottom w:val="single" w:sz="4" w:space="0" w:color="auto"/>
              <w:right w:val="nil"/>
            </w:tcBorders>
            <w:shd w:val="clear" w:color="auto" w:fill="auto"/>
            <w:noWrap/>
            <w:vAlign w:val="center"/>
            <w:hideMark/>
          </w:tcPr>
          <w:p w14:paraId="6CB17572" w14:textId="77777777" w:rsidR="00387142" w:rsidRPr="008B6A75" w:rsidRDefault="00387142" w:rsidP="00387142">
            <w:pPr>
              <w:jc w:val="center"/>
              <w:rPr>
                <w:bCs/>
                <w:sz w:val="20"/>
                <w:szCs w:val="20"/>
              </w:rPr>
            </w:pPr>
            <w:r w:rsidRPr="008B6A75">
              <w:rPr>
                <w:bCs/>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EF3805C" w14:textId="77777777" w:rsidR="00387142" w:rsidRPr="008B6A75" w:rsidRDefault="00387142" w:rsidP="00387142">
            <w:pPr>
              <w:jc w:val="center"/>
              <w:rPr>
                <w:bCs/>
                <w:sz w:val="20"/>
                <w:szCs w:val="20"/>
              </w:rPr>
            </w:pPr>
            <w:r w:rsidRPr="008B6A75">
              <w:rPr>
                <w:bCs/>
                <w:sz w:val="20"/>
                <w:szCs w:val="20"/>
              </w:rPr>
              <w:t>02</w:t>
            </w:r>
          </w:p>
        </w:tc>
        <w:tc>
          <w:tcPr>
            <w:tcW w:w="1516" w:type="dxa"/>
            <w:tcBorders>
              <w:top w:val="nil"/>
              <w:left w:val="single" w:sz="4" w:space="0" w:color="auto"/>
              <w:bottom w:val="single" w:sz="4" w:space="0" w:color="auto"/>
              <w:right w:val="nil"/>
            </w:tcBorders>
            <w:shd w:val="clear" w:color="auto" w:fill="auto"/>
            <w:noWrap/>
            <w:vAlign w:val="center"/>
            <w:hideMark/>
          </w:tcPr>
          <w:p w14:paraId="0E9043A2" w14:textId="77777777" w:rsidR="00387142" w:rsidRPr="008B6A75" w:rsidRDefault="00387142" w:rsidP="00387142">
            <w:pPr>
              <w:jc w:val="center"/>
              <w:rPr>
                <w:bCs/>
                <w:sz w:val="20"/>
                <w:szCs w:val="20"/>
              </w:rPr>
            </w:pPr>
            <w:r w:rsidRPr="008B6A75">
              <w:rPr>
                <w:bCs/>
                <w:sz w:val="20"/>
                <w:szCs w:val="20"/>
              </w:rPr>
              <w:t>07.4.00.79500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F7F5B38"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3DB441D" w14:textId="77777777" w:rsidR="00387142" w:rsidRPr="008B6A75" w:rsidRDefault="00387142" w:rsidP="00387142">
            <w:pPr>
              <w:jc w:val="right"/>
              <w:rPr>
                <w:bCs/>
                <w:sz w:val="20"/>
                <w:szCs w:val="20"/>
              </w:rPr>
            </w:pPr>
            <w:r w:rsidRPr="008B6A75">
              <w:rPr>
                <w:bCs/>
                <w:sz w:val="20"/>
                <w:szCs w:val="20"/>
              </w:rPr>
              <w:t>476 860,00</w:t>
            </w:r>
          </w:p>
        </w:tc>
        <w:tc>
          <w:tcPr>
            <w:tcW w:w="992" w:type="dxa"/>
            <w:tcBorders>
              <w:top w:val="nil"/>
              <w:left w:val="single" w:sz="4" w:space="0" w:color="auto"/>
              <w:bottom w:val="single" w:sz="4" w:space="0" w:color="auto"/>
              <w:right w:val="nil"/>
            </w:tcBorders>
            <w:shd w:val="clear" w:color="auto" w:fill="auto"/>
            <w:vAlign w:val="center"/>
            <w:hideMark/>
          </w:tcPr>
          <w:p w14:paraId="6DD10564" w14:textId="77777777" w:rsidR="00387142" w:rsidRPr="008B6A75" w:rsidRDefault="00387142" w:rsidP="00387142">
            <w:pPr>
              <w:jc w:val="right"/>
              <w:rPr>
                <w:bCs/>
                <w:sz w:val="20"/>
                <w:szCs w:val="20"/>
              </w:rPr>
            </w:pPr>
            <w:r w:rsidRPr="008B6A75">
              <w:rPr>
                <w:bCs/>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06C8CD02" w14:textId="77777777" w:rsidR="00387142" w:rsidRPr="008B6A75" w:rsidRDefault="00387142" w:rsidP="00387142">
            <w:pPr>
              <w:jc w:val="right"/>
              <w:rPr>
                <w:bCs/>
                <w:sz w:val="20"/>
                <w:szCs w:val="20"/>
              </w:rPr>
            </w:pPr>
            <w:r w:rsidRPr="008B6A75">
              <w:rPr>
                <w:bCs/>
                <w:sz w:val="20"/>
                <w:szCs w:val="20"/>
              </w:rPr>
              <w:t>0,00</w:t>
            </w:r>
          </w:p>
        </w:tc>
      </w:tr>
      <w:tr w:rsidR="00387142" w:rsidRPr="008B6A75" w14:paraId="751117F1" w14:textId="77777777" w:rsidTr="00387142">
        <w:trPr>
          <w:trHeight w:val="585"/>
        </w:trPr>
        <w:tc>
          <w:tcPr>
            <w:tcW w:w="3261" w:type="dxa"/>
            <w:tcBorders>
              <w:top w:val="nil"/>
              <w:left w:val="single" w:sz="4" w:space="0" w:color="auto"/>
              <w:bottom w:val="single" w:sz="4" w:space="0" w:color="auto"/>
              <w:right w:val="nil"/>
            </w:tcBorders>
            <w:shd w:val="clear" w:color="auto" w:fill="auto"/>
            <w:vAlign w:val="center"/>
            <w:hideMark/>
          </w:tcPr>
          <w:p w14:paraId="65C66F6B" w14:textId="77777777" w:rsidR="00387142" w:rsidRPr="008B6A75" w:rsidRDefault="00387142" w:rsidP="00387142">
            <w:pPr>
              <w:rPr>
                <w:sz w:val="20"/>
                <w:szCs w:val="20"/>
              </w:rPr>
            </w:pPr>
            <w:r w:rsidRPr="008B6A75">
              <w:rPr>
                <w:sz w:val="20"/>
                <w:szCs w:val="20"/>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08AD4DD7" w14:textId="77777777" w:rsidR="00387142" w:rsidRPr="008B6A75" w:rsidRDefault="00387142" w:rsidP="00387142">
            <w:pPr>
              <w:jc w:val="center"/>
              <w:rPr>
                <w:sz w:val="20"/>
                <w:szCs w:val="20"/>
              </w:rPr>
            </w:pPr>
            <w:r w:rsidRPr="008B6A75">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B8FEF25" w14:textId="77777777" w:rsidR="00387142" w:rsidRPr="008B6A75" w:rsidRDefault="00387142" w:rsidP="00387142">
            <w:pPr>
              <w:jc w:val="center"/>
              <w:rPr>
                <w:sz w:val="20"/>
                <w:szCs w:val="20"/>
              </w:rPr>
            </w:pPr>
            <w:r w:rsidRPr="008B6A75">
              <w:rPr>
                <w:sz w:val="20"/>
                <w:szCs w:val="20"/>
              </w:rPr>
              <w:t>02</w:t>
            </w:r>
          </w:p>
        </w:tc>
        <w:tc>
          <w:tcPr>
            <w:tcW w:w="1516" w:type="dxa"/>
            <w:tcBorders>
              <w:top w:val="nil"/>
              <w:left w:val="single" w:sz="4" w:space="0" w:color="auto"/>
              <w:bottom w:val="single" w:sz="4" w:space="0" w:color="auto"/>
              <w:right w:val="nil"/>
            </w:tcBorders>
            <w:shd w:val="clear" w:color="auto" w:fill="auto"/>
            <w:noWrap/>
            <w:vAlign w:val="center"/>
            <w:hideMark/>
          </w:tcPr>
          <w:p w14:paraId="5BD64790" w14:textId="77777777" w:rsidR="00387142" w:rsidRPr="008B6A75" w:rsidRDefault="00387142" w:rsidP="00387142">
            <w:pPr>
              <w:jc w:val="center"/>
              <w:rPr>
                <w:sz w:val="20"/>
                <w:szCs w:val="20"/>
              </w:rPr>
            </w:pPr>
            <w:r w:rsidRPr="008B6A75">
              <w:rPr>
                <w:sz w:val="20"/>
                <w:szCs w:val="20"/>
              </w:rPr>
              <w:t>07.4.00.79500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6845985" w14:textId="77777777" w:rsidR="00387142" w:rsidRPr="008B6A75" w:rsidRDefault="00387142" w:rsidP="00387142">
            <w:pPr>
              <w:jc w:val="center"/>
              <w:rPr>
                <w:sz w:val="20"/>
                <w:szCs w:val="20"/>
              </w:rPr>
            </w:pPr>
            <w:r w:rsidRPr="008B6A75">
              <w:rPr>
                <w:sz w:val="20"/>
                <w:szCs w:val="20"/>
              </w:rPr>
              <w:t>200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E6B26F8" w14:textId="77777777" w:rsidR="00387142" w:rsidRPr="008B6A75" w:rsidRDefault="00387142" w:rsidP="00387142">
            <w:pPr>
              <w:jc w:val="right"/>
              <w:rPr>
                <w:sz w:val="20"/>
                <w:szCs w:val="20"/>
              </w:rPr>
            </w:pPr>
            <w:r w:rsidRPr="008B6A75">
              <w:rPr>
                <w:sz w:val="20"/>
                <w:szCs w:val="20"/>
              </w:rPr>
              <w:t>421 980,00</w:t>
            </w:r>
          </w:p>
        </w:tc>
        <w:tc>
          <w:tcPr>
            <w:tcW w:w="992" w:type="dxa"/>
            <w:tcBorders>
              <w:top w:val="nil"/>
              <w:left w:val="single" w:sz="4" w:space="0" w:color="auto"/>
              <w:bottom w:val="single" w:sz="4" w:space="0" w:color="auto"/>
              <w:right w:val="nil"/>
            </w:tcBorders>
            <w:shd w:val="clear" w:color="auto" w:fill="auto"/>
            <w:vAlign w:val="center"/>
            <w:hideMark/>
          </w:tcPr>
          <w:p w14:paraId="4FC2E843" w14:textId="77777777" w:rsidR="00387142" w:rsidRPr="008B6A75" w:rsidRDefault="00387142" w:rsidP="00387142">
            <w:pPr>
              <w:jc w:val="right"/>
              <w:rPr>
                <w:sz w:val="20"/>
                <w:szCs w:val="20"/>
              </w:rPr>
            </w:pPr>
            <w:r w:rsidRPr="008B6A75">
              <w:rPr>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035528F6" w14:textId="77777777" w:rsidR="00387142" w:rsidRPr="008B6A75" w:rsidRDefault="00387142" w:rsidP="00387142">
            <w:pPr>
              <w:jc w:val="right"/>
              <w:rPr>
                <w:sz w:val="20"/>
                <w:szCs w:val="20"/>
              </w:rPr>
            </w:pPr>
            <w:r w:rsidRPr="008B6A75">
              <w:rPr>
                <w:sz w:val="20"/>
                <w:szCs w:val="20"/>
              </w:rPr>
              <w:t>0,00</w:t>
            </w:r>
          </w:p>
        </w:tc>
      </w:tr>
      <w:tr w:rsidR="00387142" w:rsidRPr="008B6A75" w14:paraId="70AF041F" w14:textId="77777777" w:rsidTr="00387142">
        <w:trPr>
          <w:trHeight w:val="870"/>
        </w:trPr>
        <w:tc>
          <w:tcPr>
            <w:tcW w:w="3261" w:type="dxa"/>
            <w:tcBorders>
              <w:top w:val="nil"/>
              <w:left w:val="single" w:sz="4" w:space="0" w:color="auto"/>
              <w:bottom w:val="single" w:sz="4" w:space="0" w:color="auto"/>
              <w:right w:val="nil"/>
            </w:tcBorders>
            <w:shd w:val="clear" w:color="auto" w:fill="auto"/>
            <w:vAlign w:val="center"/>
            <w:hideMark/>
          </w:tcPr>
          <w:p w14:paraId="2BD069B2" w14:textId="77777777" w:rsidR="00387142" w:rsidRPr="008B6A75" w:rsidRDefault="00387142" w:rsidP="00387142">
            <w:pPr>
              <w:rPr>
                <w:sz w:val="20"/>
                <w:szCs w:val="20"/>
              </w:rPr>
            </w:pPr>
            <w:r w:rsidRPr="008B6A75">
              <w:rPr>
                <w:sz w:val="20"/>
                <w:szCs w:val="20"/>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7573A6DB" w14:textId="77777777" w:rsidR="00387142" w:rsidRPr="008B6A75" w:rsidRDefault="00387142" w:rsidP="00387142">
            <w:pPr>
              <w:jc w:val="center"/>
              <w:rPr>
                <w:sz w:val="20"/>
                <w:szCs w:val="20"/>
              </w:rPr>
            </w:pPr>
            <w:r w:rsidRPr="008B6A75">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0D50D8D" w14:textId="77777777" w:rsidR="00387142" w:rsidRPr="008B6A75" w:rsidRDefault="00387142" w:rsidP="00387142">
            <w:pPr>
              <w:jc w:val="center"/>
              <w:rPr>
                <w:sz w:val="20"/>
                <w:szCs w:val="20"/>
              </w:rPr>
            </w:pPr>
            <w:r w:rsidRPr="008B6A75">
              <w:rPr>
                <w:sz w:val="20"/>
                <w:szCs w:val="20"/>
              </w:rPr>
              <w:t>02</w:t>
            </w:r>
          </w:p>
        </w:tc>
        <w:tc>
          <w:tcPr>
            <w:tcW w:w="1516" w:type="dxa"/>
            <w:tcBorders>
              <w:top w:val="nil"/>
              <w:left w:val="single" w:sz="4" w:space="0" w:color="auto"/>
              <w:bottom w:val="single" w:sz="4" w:space="0" w:color="auto"/>
              <w:right w:val="nil"/>
            </w:tcBorders>
            <w:shd w:val="clear" w:color="auto" w:fill="auto"/>
            <w:noWrap/>
            <w:vAlign w:val="center"/>
            <w:hideMark/>
          </w:tcPr>
          <w:p w14:paraId="3875CCF0" w14:textId="77777777" w:rsidR="00387142" w:rsidRPr="008B6A75" w:rsidRDefault="00387142" w:rsidP="00387142">
            <w:pPr>
              <w:jc w:val="center"/>
              <w:rPr>
                <w:sz w:val="20"/>
                <w:szCs w:val="20"/>
              </w:rPr>
            </w:pPr>
            <w:r w:rsidRPr="008B6A75">
              <w:rPr>
                <w:sz w:val="20"/>
                <w:szCs w:val="20"/>
              </w:rPr>
              <w:t>07.4.00.79500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A43F0A0" w14:textId="77777777" w:rsidR="00387142" w:rsidRPr="008B6A75" w:rsidRDefault="00387142" w:rsidP="00387142">
            <w:pPr>
              <w:jc w:val="center"/>
              <w:rPr>
                <w:sz w:val="20"/>
                <w:szCs w:val="20"/>
              </w:rPr>
            </w:pPr>
            <w:r w:rsidRPr="008B6A75">
              <w:rPr>
                <w:sz w:val="20"/>
                <w:szCs w:val="20"/>
              </w:rPr>
              <w:t>240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B72F102" w14:textId="77777777" w:rsidR="00387142" w:rsidRPr="008B6A75" w:rsidRDefault="00387142" w:rsidP="00387142">
            <w:pPr>
              <w:jc w:val="right"/>
              <w:rPr>
                <w:sz w:val="20"/>
                <w:szCs w:val="20"/>
              </w:rPr>
            </w:pPr>
            <w:r w:rsidRPr="008B6A75">
              <w:rPr>
                <w:sz w:val="20"/>
                <w:szCs w:val="20"/>
              </w:rPr>
              <w:t>421 980,00</w:t>
            </w:r>
          </w:p>
        </w:tc>
        <w:tc>
          <w:tcPr>
            <w:tcW w:w="992" w:type="dxa"/>
            <w:tcBorders>
              <w:top w:val="nil"/>
              <w:left w:val="single" w:sz="4" w:space="0" w:color="auto"/>
              <w:bottom w:val="single" w:sz="4" w:space="0" w:color="auto"/>
              <w:right w:val="nil"/>
            </w:tcBorders>
            <w:shd w:val="clear" w:color="auto" w:fill="auto"/>
            <w:vAlign w:val="center"/>
            <w:hideMark/>
          </w:tcPr>
          <w:p w14:paraId="4394AD1F" w14:textId="77777777" w:rsidR="00387142" w:rsidRPr="008B6A75" w:rsidRDefault="00387142" w:rsidP="00387142">
            <w:pPr>
              <w:jc w:val="right"/>
              <w:rPr>
                <w:sz w:val="20"/>
                <w:szCs w:val="20"/>
              </w:rPr>
            </w:pPr>
            <w:r w:rsidRPr="008B6A75">
              <w:rPr>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39C25E78" w14:textId="77777777" w:rsidR="00387142" w:rsidRPr="008B6A75" w:rsidRDefault="00387142" w:rsidP="00387142">
            <w:pPr>
              <w:jc w:val="right"/>
              <w:rPr>
                <w:sz w:val="20"/>
                <w:szCs w:val="20"/>
              </w:rPr>
            </w:pPr>
            <w:r w:rsidRPr="008B6A75">
              <w:rPr>
                <w:sz w:val="20"/>
                <w:szCs w:val="20"/>
              </w:rPr>
              <w:t>0,00</w:t>
            </w:r>
          </w:p>
        </w:tc>
      </w:tr>
      <w:tr w:rsidR="00387142" w:rsidRPr="008B6A75" w14:paraId="069602DF" w14:textId="77777777" w:rsidTr="00387142">
        <w:trPr>
          <w:trHeight w:val="870"/>
        </w:trPr>
        <w:tc>
          <w:tcPr>
            <w:tcW w:w="3261" w:type="dxa"/>
            <w:tcBorders>
              <w:top w:val="nil"/>
              <w:left w:val="single" w:sz="4" w:space="0" w:color="auto"/>
              <w:bottom w:val="single" w:sz="4" w:space="0" w:color="auto"/>
              <w:right w:val="nil"/>
            </w:tcBorders>
            <w:shd w:val="clear" w:color="auto" w:fill="auto"/>
            <w:vAlign w:val="center"/>
            <w:hideMark/>
          </w:tcPr>
          <w:p w14:paraId="053E1400" w14:textId="77777777" w:rsidR="00387142" w:rsidRPr="008B6A75" w:rsidRDefault="00387142" w:rsidP="00387142">
            <w:pPr>
              <w:rPr>
                <w:sz w:val="20"/>
                <w:szCs w:val="20"/>
              </w:rPr>
            </w:pPr>
            <w:r w:rsidRPr="008B6A75">
              <w:rPr>
                <w:sz w:val="20"/>
                <w:szCs w:val="20"/>
              </w:rPr>
              <w:lastRenderedPageBreak/>
              <w:t>Предоставление субсидий бюджетным, автономным учреждениям и иным некоммерческим организациям</w:t>
            </w:r>
          </w:p>
        </w:tc>
        <w:tc>
          <w:tcPr>
            <w:tcW w:w="720" w:type="dxa"/>
            <w:tcBorders>
              <w:top w:val="nil"/>
              <w:left w:val="single" w:sz="4" w:space="0" w:color="auto"/>
              <w:bottom w:val="single" w:sz="4" w:space="0" w:color="auto"/>
              <w:right w:val="nil"/>
            </w:tcBorders>
            <w:shd w:val="clear" w:color="auto" w:fill="auto"/>
            <w:noWrap/>
            <w:vAlign w:val="center"/>
            <w:hideMark/>
          </w:tcPr>
          <w:p w14:paraId="3991E57E" w14:textId="77777777" w:rsidR="00387142" w:rsidRPr="008B6A75" w:rsidRDefault="00387142" w:rsidP="00387142">
            <w:pPr>
              <w:jc w:val="center"/>
              <w:rPr>
                <w:sz w:val="20"/>
                <w:szCs w:val="20"/>
              </w:rPr>
            </w:pPr>
            <w:r w:rsidRPr="008B6A75">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D1DF408" w14:textId="77777777" w:rsidR="00387142" w:rsidRPr="008B6A75" w:rsidRDefault="00387142" w:rsidP="00387142">
            <w:pPr>
              <w:jc w:val="center"/>
              <w:rPr>
                <w:sz w:val="20"/>
                <w:szCs w:val="20"/>
              </w:rPr>
            </w:pPr>
            <w:r w:rsidRPr="008B6A75">
              <w:rPr>
                <w:sz w:val="20"/>
                <w:szCs w:val="20"/>
              </w:rPr>
              <w:t>02</w:t>
            </w:r>
          </w:p>
        </w:tc>
        <w:tc>
          <w:tcPr>
            <w:tcW w:w="1516" w:type="dxa"/>
            <w:tcBorders>
              <w:top w:val="nil"/>
              <w:left w:val="single" w:sz="4" w:space="0" w:color="auto"/>
              <w:bottom w:val="single" w:sz="4" w:space="0" w:color="auto"/>
              <w:right w:val="nil"/>
            </w:tcBorders>
            <w:shd w:val="clear" w:color="auto" w:fill="auto"/>
            <w:noWrap/>
            <w:vAlign w:val="center"/>
            <w:hideMark/>
          </w:tcPr>
          <w:p w14:paraId="7127A7E7" w14:textId="77777777" w:rsidR="00387142" w:rsidRPr="008B6A75" w:rsidRDefault="00387142" w:rsidP="00387142">
            <w:pPr>
              <w:jc w:val="center"/>
              <w:rPr>
                <w:sz w:val="20"/>
                <w:szCs w:val="20"/>
              </w:rPr>
            </w:pPr>
            <w:r w:rsidRPr="008B6A75">
              <w:rPr>
                <w:sz w:val="20"/>
                <w:szCs w:val="20"/>
              </w:rPr>
              <w:t>07.4.00.79500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9613052" w14:textId="77777777" w:rsidR="00387142" w:rsidRPr="008B6A75" w:rsidRDefault="00387142" w:rsidP="00387142">
            <w:pPr>
              <w:jc w:val="center"/>
              <w:rPr>
                <w:sz w:val="20"/>
                <w:szCs w:val="20"/>
              </w:rPr>
            </w:pPr>
            <w:r w:rsidRPr="008B6A75">
              <w:rPr>
                <w:sz w:val="20"/>
                <w:szCs w:val="20"/>
              </w:rPr>
              <w:t>600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08786BE" w14:textId="77777777" w:rsidR="00387142" w:rsidRPr="008B6A75" w:rsidRDefault="00387142" w:rsidP="00387142">
            <w:pPr>
              <w:jc w:val="right"/>
              <w:rPr>
                <w:sz w:val="20"/>
                <w:szCs w:val="20"/>
              </w:rPr>
            </w:pPr>
            <w:r w:rsidRPr="008B6A75">
              <w:rPr>
                <w:sz w:val="20"/>
                <w:szCs w:val="20"/>
              </w:rPr>
              <w:t>54 880,00</w:t>
            </w:r>
          </w:p>
        </w:tc>
        <w:tc>
          <w:tcPr>
            <w:tcW w:w="992" w:type="dxa"/>
            <w:tcBorders>
              <w:top w:val="nil"/>
              <w:left w:val="single" w:sz="4" w:space="0" w:color="auto"/>
              <w:bottom w:val="single" w:sz="4" w:space="0" w:color="auto"/>
              <w:right w:val="nil"/>
            </w:tcBorders>
            <w:shd w:val="clear" w:color="auto" w:fill="auto"/>
            <w:vAlign w:val="center"/>
            <w:hideMark/>
          </w:tcPr>
          <w:p w14:paraId="2A48EF68" w14:textId="77777777" w:rsidR="00387142" w:rsidRPr="008B6A75" w:rsidRDefault="00387142" w:rsidP="00387142">
            <w:pPr>
              <w:jc w:val="right"/>
              <w:rPr>
                <w:sz w:val="20"/>
                <w:szCs w:val="20"/>
              </w:rPr>
            </w:pPr>
            <w:r w:rsidRPr="008B6A75">
              <w:rPr>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4B152E17" w14:textId="77777777" w:rsidR="00387142" w:rsidRPr="008B6A75" w:rsidRDefault="00387142" w:rsidP="00387142">
            <w:pPr>
              <w:jc w:val="right"/>
              <w:rPr>
                <w:sz w:val="20"/>
                <w:szCs w:val="20"/>
              </w:rPr>
            </w:pPr>
            <w:r w:rsidRPr="008B6A75">
              <w:rPr>
                <w:sz w:val="20"/>
                <w:szCs w:val="20"/>
              </w:rPr>
              <w:t>0,00</w:t>
            </w:r>
          </w:p>
        </w:tc>
      </w:tr>
      <w:tr w:rsidR="00387142" w:rsidRPr="008B6A75" w14:paraId="190B5E73" w14:textId="77777777" w:rsidTr="00387142">
        <w:trPr>
          <w:trHeight w:val="345"/>
        </w:trPr>
        <w:tc>
          <w:tcPr>
            <w:tcW w:w="3261" w:type="dxa"/>
            <w:tcBorders>
              <w:top w:val="nil"/>
              <w:left w:val="single" w:sz="4" w:space="0" w:color="auto"/>
              <w:bottom w:val="single" w:sz="4" w:space="0" w:color="auto"/>
              <w:right w:val="nil"/>
            </w:tcBorders>
            <w:shd w:val="clear" w:color="auto" w:fill="auto"/>
            <w:vAlign w:val="center"/>
            <w:hideMark/>
          </w:tcPr>
          <w:p w14:paraId="43F8E8AC" w14:textId="77777777" w:rsidR="00387142" w:rsidRPr="008B6A75" w:rsidRDefault="00387142" w:rsidP="00387142">
            <w:pPr>
              <w:rPr>
                <w:sz w:val="20"/>
                <w:szCs w:val="20"/>
              </w:rPr>
            </w:pPr>
            <w:r w:rsidRPr="008B6A75">
              <w:rPr>
                <w:sz w:val="20"/>
                <w:szCs w:val="20"/>
              </w:rPr>
              <w:t>Субсидии бюджетным учреждениям</w:t>
            </w:r>
          </w:p>
        </w:tc>
        <w:tc>
          <w:tcPr>
            <w:tcW w:w="720" w:type="dxa"/>
            <w:tcBorders>
              <w:top w:val="nil"/>
              <w:left w:val="single" w:sz="4" w:space="0" w:color="auto"/>
              <w:bottom w:val="single" w:sz="4" w:space="0" w:color="auto"/>
              <w:right w:val="nil"/>
            </w:tcBorders>
            <w:shd w:val="clear" w:color="auto" w:fill="auto"/>
            <w:noWrap/>
            <w:vAlign w:val="center"/>
            <w:hideMark/>
          </w:tcPr>
          <w:p w14:paraId="3F02E926" w14:textId="77777777" w:rsidR="00387142" w:rsidRPr="008B6A75" w:rsidRDefault="00387142" w:rsidP="00387142">
            <w:pPr>
              <w:jc w:val="center"/>
              <w:rPr>
                <w:sz w:val="20"/>
                <w:szCs w:val="20"/>
              </w:rPr>
            </w:pPr>
            <w:r w:rsidRPr="008B6A75">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DB72866" w14:textId="77777777" w:rsidR="00387142" w:rsidRPr="008B6A75" w:rsidRDefault="00387142" w:rsidP="00387142">
            <w:pPr>
              <w:jc w:val="center"/>
              <w:rPr>
                <w:sz w:val="20"/>
                <w:szCs w:val="20"/>
              </w:rPr>
            </w:pPr>
            <w:r w:rsidRPr="008B6A75">
              <w:rPr>
                <w:sz w:val="20"/>
                <w:szCs w:val="20"/>
              </w:rPr>
              <w:t>02</w:t>
            </w:r>
          </w:p>
        </w:tc>
        <w:tc>
          <w:tcPr>
            <w:tcW w:w="1516" w:type="dxa"/>
            <w:tcBorders>
              <w:top w:val="nil"/>
              <w:left w:val="single" w:sz="4" w:space="0" w:color="auto"/>
              <w:bottom w:val="single" w:sz="4" w:space="0" w:color="auto"/>
              <w:right w:val="nil"/>
            </w:tcBorders>
            <w:shd w:val="clear" w:color="auto" w:fill="auto"/>
            <w:noWrap/>
            <w:vAlign w:val="center"/>
            <w:hideMark/>
          </w:tcPr>
          <w:p w14:paraId="2695C9D7" w14:textId="77777777" w:rsidR="00387142" w:rsidRPr="008B6A75" w:rsidRDefault="00387142" w:rsidP="00387142">
            <w:pPr>
              <w:jc w:val="center"/>
              <w:rPr>
                <w:sz w:val="20"/>
                <w:szCs w:val="20"/>
              </w:rPr>
            </w:pPr>
            <w:r w:rsidRPr="008B6A75">
              <w:rPr>
                <w:sz w:val="20"/>
                <w:szCs w:val="20"/>
              </w:rPr>
              <w:t>07.4.00.79500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B6D0F73" w14:textId="77777777" w:rsidR="00387142" w:rsidRPr="008B6A75" w:rsidRDefault="00387142" w:rsidP="00387142">
            <w:pPr>
              <w:jc w:val="center"/>
              <w:rPr>
                <w:sz w:val="20"/>
                <w:szCs w:val="20"/>
              </w:rPr>
            </w:pPr>
            <w:r w:rsidRPr="008B6A75">
              <w:rPr>
                <w:sz w:val="20"/>
                <w:szCs w:val="20"/>
              </w:rPr>
              <w:t>610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1F6A086" w14:textId="77777777" w:rsidR="00387142" w:rsidRPr="008B6A75" w:rsidRDefault="00387142" w:rsidP="00387142">
            <w:pPr>
              <w:jc w:val="right"/>
              <w:rPr>
                <w:sz w:val="20"/>
                <w:szCs w:val="20"/>
              </w:rPr>
            </w:pPr>
            <w:r w:rsidRPr="008B6A75">
              <w:rPr>
                <w:sz w:val="20"/>
                <w:szCs w:val="20"/>
              </w:rPr>
              <w:t>54 880,00</w:t>
            </w:r>
          </w:p>
        </w:tc>
        <w:tc>
          <w:tcPr>
            <w:tcW w:w="992" w:type="dxa"/>
            <w:tcBorders>
              <w:top w:val="nil"/>
              <w:left w:val="single" w:sz="4" w:space="0" w:color="auto"/>
              <w:bottom w:val="single" w:sz="4" w:space="0" w:color="auto"/>
              <w:right w:val="nil"/>
            </w:tcBorders>
            <w:shd w:val="clear" w:color="auto" w:fill="auto"/>
            <w:vAlign w:val="center"/>
            <w:hideMark/>
          </w:tcPr>
          <w:p w14:paraId="6D78DDD0" w14:textId="77777777" w:rsidR="00387142" w:rsidRPr="008B6A75" w:rsidRDefault="00387142" w:rsidP="00387142">
            <w:pPr>
              <w:jc w:val="right"/>
              <w:rPr>
                <w:sz w:val="20"/>
                <w:szCs w:val="20"/>
              </w:rPr>
            </w:pPr>
            <w:r w:rsidRPr="008B6A75">
              <w:rPr>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50E26A0D" w14:textId="77777777" w:rsidR="00387142" w:rsidRPr="008B6A75" w:rsidRDefault="00387142" w:rsidP="00387142">
            <w:pPr>
              <w:jc w:val="right"/>
              <w:rPr>
                <w:sz w:val="20"/>
                <w:szCs w:val="20"/>
              </w:rPr>
            </w:pPr>
            <w:r w:rsidRPr="008B6A75">
              <w:rPr>
                <w:sz w:val="20"/>
                <w:szCs w:val="20"/>
              </w:rPr>
              <w:t>0,00</w:t>
            </w:r>
          </w:p>
        </w:tc>
      </w:tr>
      <w:tr w:rsidR="00387142" w:rsidRPr="008B6A75" w14:paraId="2D7E85C7" w14:textId="77777777" w:rsidTr="00387142">
        <w:trPr>
          <w:trHeight w:val="870"/>
        </w:trPr>
        <w:tc>
          <w:tcPr>
            <w:tcW w:w="3261" w:type="dxa"/>
            <w:tcBorders>
              <w:top w:val="nil"/>
              <w:left w:val="single" w:sz="4" w:space="0" w:color="auto"/>
              <w:bottom w:val="single" w:sz="4" w:space="0" w:color="auto"/>
              <w:right w:val="nil"/>
            </w:tcBorders>
            <w:shd w:val="clear" w:color="auto" w:fill="auto"/>
            <w:vAlign w:val="center"/>
            <w:hideMark/>
          </w:tcPr>
          <w:p w14:paraId="64332091" w14:textId="77777777" w:rsidR="00387142" w:rsidRPr="008B6A75" w:rsidRDefault="00387142" w:rsidP="00387142">
            <w:pPr>
              <w:rPr>
                <w:bCs/>
                <w:sz w:val="20"/>
                <w:szCs w:val="20"/>
              </w:rPr>
            </w:pPr>
            <w:r w:rsidRPr="008B6A75">
              <w:rPr>
                <w:bCs/>
                <w:sz w:val="20"/>
                <w:szCs w:val="20"/>
              </w:rPr>
              <w:t>Муниципальная программа "Профилактика правонарушений, терроризма и экстремизма на территории Куйбышевского района"</w:t>
            </w:r>
          </w:p>
        </w:tc>
        <w:tc>
          <w:tcPr>
            <w:tcW w:w="720" w:type="dxa"/>
            <w:tcBorders>
              <w:top w:val="nil"/>
              <w:left w:val="single" w:sz="4" w:space="0" w:color="auto"/>
              <w:bottom w:val="single" w:sz="4" w:space="0" w:color="auto"/>
              <w:right w:val="nil"/>
            </w:tcBorders>
            <w:shd w:val="clear" w:color="auto" w:fill="auto"/>
            <w:noWrap/>
            <w:vAlign w:val="center"/>
            <w:hideMark/>
          </w:tcPr>
          <w:p w14:paraId="18753CC2" w14:textId="77777777" w:rsidR="00387142" w:rsidRPr="008B6A75" w:rsidRDefault="00387142" w:rsidP="00387142">
            <w:pPr>
              <w:jc w:val="center"/>
              <w:rPr>
                <w:bCs/>
                <w:sz w:val="20"/>
                <w:szCs w:val="20"/>
              </w:rPr>
            </w:pPr>
            <w:r w:rsidRPr="008B6A75">
              <w:rPr>
                <w:bCs/>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4A8AF66" w14:textId="77777777" w:rsidR="00387142" w:rsidRPr="008B6A75" w:rsidRDefault="00387142" w:rsidP="00387142">
            <w:pPr>
              <w:jc w:val="center"/>
              <w:rPr>
                <w:bCs/>
                <w:sz w:val="20"/>
                <w:szCs w:val="20"/>
              </w:rPr>
            </w:pPr>
            <w:r w:rsidRPr="008B6A75">
              <w:rPr>
                <w:bCs/>
                <w:sz w:val="20"/>
                <w:szCs w:val="20"/>
              </w:rPr>
              <w:t>02</w:t>
            </w:r>
          </w:p>
        </w:tc>
        <w:tc>
          <w:tcPr>
            <w:tcW w:w="1516" w:type="dxa"/>
            <w:tcBorders>
              <w:top w:val="nil"/>
              <w:left w:val="single" w:sz="4" w:space="0" w:color="auto"/>
              <w:bottom w:val="single" w:sz="4" w:space="0" w:color="auto"/>
              <w:right w:val="nil"/>
            </w:tcBorders>
            <w:shd w:val="clear" w:color="auto" w:fill="auto"/>
            <w:noWrap/>
            <w:vAlign w:val="center"/>
            <w:hideMark/>
          </w:tcPr>
          <w:p w14:paraId="365DBC7D" w14:textId="77777777" w:rsidR="00387142" w:rsidRPr="008B6A75" w:rsidRDefault="00387142" w:rsidP="00387142">
            <w:pPr>
              <w:jc w:val="center"/>
              <w:rPr>
                <w:bCs/>
                <w:sz w:val="20"/>
                <w:szCs w:val="20"/>
              </w:rPr>
            </w:pPr>
            <w:r w:rsidRPr="008B6A75">
              <w:rPr>
                <w:bCs/>
                <w:sz w:val="20"/>
                <w:szCs w:val="20"/>
              </w:rPr>
              <w:t>16.0.00.00000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514D87C"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BC1D50D" w14:textId="77777777" w:rsidR="00387142" w:rsidRPr="008B6A75" w:rsidRDefault="00387142" w:rsidP="00387142">
            <w:pPr>
              <w:jc w:val="right"/>
              <w:rPr>
                <w:bCs/>
                <w:sz w:val="20"/>
                <w:szCs w:val="20"/>
              </w:rPr>
            </w:pPr>
            <w:r w:rsidRPr="008B6A75">
              <w:rPr>
                <w:bCs/>
                <w:sz w:val="20"/>
                <w:szCs w:val="20"/>
              </w:rPr>
              <w:t>59 990,00</w:t>
            </w:r>
          </w:p>
        </w:tc>
        <w:tc>
          <w:tcPr>
            <w:tcW w:w="992" w:type="dxa"/>
            <w:tcBorders>
              <w:top w:val="nil"/>
              <w:left w:val="single" w:sz="4" w:space="0" w:color="auto"/>
              <w:bottom w:val="single" w:sz="4" w:space="0" w:color="auto"/>
              <w:right w:val="nil"/>
            </w:tcBorders>
            <w:shd w:val="clear" w:color="auto" w:fill="auto"/>
            <w:vAlign w:val="center"/>
            <w:hideMark/>
          </w:tcPr>
          <w:p w14:paraId="661742EA" w14:textId="77777777" w:rsidR="00387142" w:rsidRPr="008B6A75" w:rsidRDefault="00387142" w:rsidP="00387142">
            <w:pPr>
              <w:jc w:val="right"/>
              <w:rPr>
                <w:bCs/>
                <w:sz w:val="20"/>
                <w:szCs w:val="20"/>
              </w:rPr>
            </w:pPr>
            <w:r w:rsidRPr="008B6A75">
              <w:rPr>
                <w:bCs/>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256EFA21" w14:textId="77777777" w:rsidR="00387142" w:rsidRPr="008B6A75" w:rsidRDefault="00387142" w:rsidP="00387142">
            <w:pPr>
              <w:jc w:val="right"/>
              <w:rPr>
                <w:bCs/>
                <w:sz w:val="20"/>
                <w:szCs w:val="20"/>
              </w:rPr>
            </w:pPr>
            <w:r w:rsidRPr="008B6A75">
              <w:rPr>
                <w:bCs/>
                <w:sz w:val="20"/>
                <w:szCs w:val="20"/>
              </w:rPr>
              <w:t>0,00</w:t>
            </w:r>
          </w:p>
        </w:tc>
      </w:tr>
      <w:tr w:rsidR="00387142" w:rsidRPr="008B6A75" w14:paraId="7A7430C9" w14:textId="77777777" w:rsidTr="00387142">
        <w:trPr>
          <w:trHeight w:val="1155"/>
        </w:trPr>
        <w:tc>
          <w:tcPr>
            <w:tcW w:w="3261" w:type="dxa"/>
            <w:tcBorders>
              <w:top w:val="nil"/>
              <w:left w:val="single" w:sz="4" w:space="0" w:color="auto"/>
              <w:bottom w:val="single" w:sz="4" w:space="0" w:color="auto"/>
              <w:right w:val="nil"/>
            </w:tcBorders>
            <w:shd w:val="clear" w:color="auto" w:fill="auto"/>
            <w:vAlign w:val="center"/>
            <w:hideMark/>
          </w:tcPr>
          <w:p w14:paraId="69DEE933" w14:textId="77777777" w:rsidR="00387142" w:rsidRPr="008B6A75" w:rsidRDefault="00387142" w:rsidP="00387142">
            <w:pPr>
              <w:rPr>
                <w:bCs/>
                <w:sz w:val="20"/>
                <w:szCs w:val="20"/>
              </w:rPr>
            </w:pPr>
            <w:r w:rsidRPr="008B6A75">
              <w:rPr>
                <w:bCs/>
                <w:sz w:val="20"/>
                <w:szCs w:val="20"/>
              </w:rPr>
              <w:t>Реализация мероприятий муниципальной программы "Профилактика правонарушений, терроризма и экстремизма на территории Куйбышевского района"</w:t>
            </w:r>
          </w:p>
        </w:tc>
        <w:tc>
          <w:tcPr>
            <w:tcW w:w="720" w:type="dxa"/>
            <w:tcBorders>
              <w:top w:val="nil"/>
              <w:left w:val="single" w:sz="4" w:space="0" w:color="auto"/>
              <w:bottom w:val="single" w:sz="4" w:space="0" w:color="auto"/>
              <w:right w:val="nil"/>
            </w:tcBorders>
            <w:shd w:val="clear" w:color="auto" w:fill="auto"/>
            <w:noWrap/>
            <w:vAlign w:val="center"/>
            <w:hideMark/>
          </w:tcPr>
          <w:p w14:paraId="27A5356D" w14:textId="77777777" w:rsidR="00387142" w:rsidRPr="008B6A75" w:rsidRDefault="00387142" w:rsidP="00387142">
            <w:pPr>
              <w:jc w:val="center"/>
              <w:rPr>
                <w:bCs/>
                <w:sz w:val="20"/>
                <w:szCs w:val="20"/>
              </w:rPr>
            </w:pPr>
            <w:r w:rsidRPr="008B6A75">
              <w:rPr>
                <w:bCs/>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7FF5FA8" w14:textId="77777777" w:rsidR="00387142" w:rsidRPr="008B6A75" w:rsidRDefault="00387142" w:rsidP="00387142">
            <w:pPr>
              <w:jc w:val="center"/>
              <w:rPr>
                <w:bCs/>
                <w:sz w:val="20"/>
                <w:szCs w:val="20"/>
              </w:rPr>
            </w:pPr>
            <w:r w:rsidRPr="008B6A75">
              <w:rPr>
                <w:bCs/>
                <w:sz w:val="20"/>
                <w:szCs w:val="20"/>
              </w:rPr>
              <w:t>02</w:t>
            </w:r>
          </w:p>
        </w:tc>
        <w:tc>
          <w:tcPr>
            <w:tcW w:w="1516" w:type="dxa"/>
            <w:tcBorders>
              <w:top w:val="nil"/>
              <w:left w:val="single" w:sz="4" w:space="0" w:color="auto"/>
              <w:bottom w:val="single" w:sz="4" w:space="0" w:color="auto"/>
              <w:right w:val="nil"/>
            </w:tcBorders>
            <w:shd w:val="clear" w:color="auto" w:fill="auto"/>
            <w:noWrap/>
            <w:vAlign w:val="center"/>
            <w:hideMark/>
          </w:tcPr>
          <w:p w14:paraId="6B056753" w14:textId="77777777" w:rsidR="00387142" w:rsidRPr="008B6A75" w:rsidRDefault="00387142" w:rsidP="00387142">
            <w:pPr>
              <w:jc w:val="center"/>
              <w:rPr>
                <w:bCs/>
                <w:sz w:val="20"/>
                <w:szCs w:val="20"/>
              </w:rPr>
            </w:pPr>
            <w:r w:rsidRPr="008B6A75">
              <w:rPr>
                <w:bCs/>
                <w:sz w:val="20"/>
                <w:szCs w:val="20"/>
              </w:rPr>
              <w:t>16.0.00.79500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959DD4D"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78BC072" w14:textId="77777777" w:rsidR="00387142" w:rsidRPr="008B6A75" w:rsidRDefault="00387142" w:rsidP="00387142">
            <w:pPr>
              <w:jc w:val="right"/>
              <w:rPr>
                <w:bCs/>
                <w:sz w:val="20"/>
                <w:szCs w:val="20"/>
              </w:rPr>
            </w:pPr>
            <w:r w:rsidRPr="008B6A75">
              <w:rPr>
                <w:bCs/>
                <w:sz w:val="20"/>
                <w:szCs w:val="20"/>
              </w:rPr>
              <w:t>59 990,00</w:t>
            </w:r>
          </w:p>
        </w:tc>
        <w:tc>
          <w:tcPr>
            <w:tcW w:w="992" w:type="dxa"/>
            <w:tcBorders>
              <w:top w:val="nil"/>
              <w:left w:val="single" w:sz="4" w:space="0" w:color="auto"/>
              <w:bottom w:val="single" w:sz="4" w:space="0" w:color="auto"/>
              <w:right w:val="nil"/>
            </w:tcBorders>
            <w:shd w:val="clear" w:color="auto" w:fill="auto"/>
            <w:vAlign w:val="center"/>
            <w:hideMark/>
          </w:tcPr>
          <w:p w14:paraId="67629759" w14:textId="77777777" w:rsidR="00387142" w:rsidRPr="008B6A75" w:rsidRDefault="00387142" w:rsidP="00387142">
            <w:pPr>
              <w:jc w:val="right"/>
              <w:rPr>
                <w:bCs/>
                <w:sz w:val="20"/>
                <w:szCs w:val="20"/>
              </w:rPr>
            </w:pPr>
            <w:r w:rsidRPr="008B6A75">
              <w:rPr>
                <w:bCs/>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4C552B8A" w14:textId="77777777" w:rsidR="00387142" w:rsidRPr="008B6A75" w:rsidRDefault="00387142" w:rsidP="00387142">
            <w:pPr>
              <w:jc w:val="right"/>
              <w:rPr>
                <w:bCs/>
                <w:sz w:val="20"/>
                <w:szCs w:val="20"/>
              </w:rPr>
            </w:pPr>
            <w:r w:rsidRPr="008B6A75">
              <w:rPr>
                <w:bCs/>
                <w:sz w:val="20"/>
                <w:szCs w:val="20"/>
              </w:rPr>
              <w:t>0,00</w:t>
            </w:r>
          </w:p>
        </w:tc>
      </w:tr>
      <w:tr w:rsidR="00387142" w:rsidRPr="008B6A75" w14:paraId="73965AD3" w14:textId="77777777" w:rsidTr="00387142">
        <w:trPr>
          <w:trHeight w:val="585"/>
        </w:trPr>
        <w:tc>
          <w:tcPr>
            <w:tcW w:w="3261" w:type="dxa"/>
            <w:tcBorders>
              <w:top w:val="nil"/>
              <w:left w:val="single" w:sz="4" w:space="0" w:color="auto"/>
              <w:bottom w:val="single" w:sz="4" w:space="0" w:color="auto"/>
              <w:right w:val="nil"/>
            </w:tcBorders>
            <w:shd w:val="clear" w:color="auto" w:fill="auto"/>
            <w:vAlign w:val="center"/>
            <w:hideMark/>
          </w:tcPr>
          <w:p w14:paraId="56807F30" w14:textId="77777777" w:rsidR="00387142" w:rsidRPr="008B6A75" w:rsidRDefault="00387142" w:rsidP="00387142">
            <w:pPr>
              <w:rPr>
                <w:sz w:val="20"/>
                <w:szCs w:val="20"/>
              </w:rPr>
            </w:pPr>
            <w:r w:rsidRPr="008B6A75">
              <w:rPr>
                <w:sz w:val="20"/>
                <w:szCs w:val="20"/>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1A9C2B22" w14:textId="77777777" w:rsidR="00387142" w:rsidRPr="008B6A75" w:rsidRDefault="00387142" w:rsidP="00387142">
            <w:pPr>
              <w:jc w:val="center"/>
              <w:rPr>
                <w:sz w:val="20"/>
                <w:szCs w:val="20"/>
              </w:rPr>
            </w:pPr>
            <w:r w:rsidRPr="008B6A75">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42F70E5" w14:textId="77777777" w:rsidR="00387142" w:rsidRPr="008B6A75" w:rsidRDefault="00387142" w:rsidP="00387142">
            <w:pPr>
              <w:jc w:val="center"/>
              <w:rPr>
                <w:sz w:val="20"/>
                <w:szCs w:val="20"/>
              </w:rPr>
            </w:pPr>
            <w:r w:rsidRPr="008B6A75">
              <w:rPr>
                <w:sz w:val="20"/>
                <w:szCs w:val="20"/>
              </w:rPr>
              <w:t>02</w:t>
            </w:r>
          </w:p>
        </w:tc>
        <w:tc>
          <w:tcPr>
            <w:tcW w:w="1516" w:type="dxa"/>
            <w:tcBorders>
              <w:top w:val="nil"/>
              <w:left w:val="single" w:sz="4" w:space="0" w:color="auto"/>
              <w:bottom w:val="single" w:sz="4" w:space="0" w:color="auto"/>
              <w:right w:val="nil"/>
            </w:tcBorders>
            <w:shd w:val="clear" w:color="auto" w:fill="auto"/>
            <w:noWrap/>
            <w:vAlign w:val="center"/>
            <w:hideMark/>
          </w:tcPr>
          <w:p w14:paraId="5B0AEE36" w14:textId="77777777" w:rsidR="00387142" w:rsidRPr="008B6A75" w:rsidRDefault="00387142" w:rsidP="00387142">
            <w:pPr>
              <w:jc w:val="center"/>
              <w:rPr>
                <w:sz w:val="20"/>
                <w:szCs w:val="20"/>
              </w:rPr>
            </w:pPr>
            <w:r w:rsidRPr="008B6A75">
              <w:rPr>
                <w:sz w:val="20"/>
                <w:szCs w:val="20"/>
              </w:rPr>
              <w:t>16.0.00.79500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D61728C" w14:textId="77777777" w:rsidR="00387142" w:rsidRPr="008B6A75" w:rsidRDefault="00387142" w:rsidP="00387142">
            <w:pPr>
              <w:jc w:val="center"/>
              <w:rPr>
                <w:sz w:val="20"/>
                <w:szCs w:val="20"/>
              </w:rPr>
            </w:pPr>
            <w:r w:rsidRPr="008B6A75">
              <w:rPr>
                <w:sz w:val="20"/>
                <w:szCs w:val="20"/>
              </w:rPr>
              <w:t>200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E743209" w14:textId="77777777" w:rsidR="00387142" w:rsidRPr="008B6A75" w:rsidRDefault="00387142" w:rsidP="00387142">
            <w:pPr>
              <w:jc w:val="right"/>
              <w:rPr>
                <w:sz w:val="20"/>
                <w:szCs w:val="20"/>
              </w:rPr>
            </w:pPr>
            <w:r w:rsidRPr="008B6A75">
              <w:rPr>
                <w:sz w:val="20"/>
                <w:szCs w:val="20"/>
              </w:rPr>
              <w:t>55 705,00</w:t>
            </w:r>
          </w:p>
        </w:tc>
        <w:tc>
          <w:tcPr>
            <w:tcW w:w="992" w:type="dxa"/>
            <w:tcBorders>
              <w:top w:val="nil"/>
              <w:left w:val="single" w:sz="4" w:space="0" w:color="auto"/>
              <w:bottom w:val="single" w:sz="4" w:space="0" w:color="auto"/>
              <w:right w:val="nil"/>
            </w:tcBorders>
            <w:shd w:val="clear" w:color="auto" w:fill="auto"/>
            <w:vAlign w:val="center"/>
            <w:hideMark/>
          </w:tcPr>
          <w:p w14:paraId="3AB0608E" w14:textId="77777777" w:rsidR="00387142" w:rsidRPr="008B6A75" w:rsidRDefault="00387142" w:rsidP="00387142">
            <w:pPr>
              <w:jc w:val="right"/>
              <w:rPr>
                <w:sz w:val="20"/>
                <w:szCs w:val="20"/>
              </w:rPr>
            </w:pPr>
            <w:r w:rsidRPr="008B6A75">
              <w:rPr>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1B7506E6" w14:textId="77777777" w:rsidR="00387142" w:rsidRPr="008B6A75" w:rsidRDefault="00387142" w:rsidP="00387142">
            <w:pPr>
              <w:jc w:val="right"/>
              <w:rPr>
                <w:sz w:val="20"/>
                <w:szCs w:val="20"/>
              </w:rPr>
            </w:pPr>
            <w:r w:rsidRPr="008B6A75">
              <w:rPr>
                <w:sz w:val="20"/>
                <w:szCs w:val="20"/>
              </w:rPr>
              <w:t>0,00</w:t>
            </w:r>
          </w:p>
        </w:tc>
      </w:tr>
      <w:tr w:rsidR="00387142" w:rsidRPr="008B6A75" w14:paraId="2A59591F" w14:textId="77777777" w:rsidTr="00387142">
        <w:trPr>
          <w:trHeight w:val="870"/>
        </w:trPr>
        <w:tc>
          <w:tcPr>
            <w:tcW w:w="3261" w:type="dxa"/>
            <w:tcBorders>
              <w:top w:val="nil"/>
              <w:left w:val="single" w:sz="4" w:space="0" w:color="auto"/>
              <w:bottom w:val="single" w:sz="4" w:space="0" w:color="auto"/>
              <w:right w:val="nil"/>
            </w:tcBorders>
            <w:shd w:val="clear" w:color="auto" w:fill="auto"/>
            <w:vAlign w:val="center"/>
            <w:hideMark/>
          </w:tcPr>
          <w:p w14:paraId="6A275679" w14:textId="77777777" w:rsidR="00387142" w:rsidRPr="008B6A75" w:rsidRDefault="00387142" w:rsidP="00387142">
            <w:pPr>
              <w:rPr>
                <w:sz w:val="20"/>
                <w:szCs w:val="20"/>
              </w:rPr>
            </w:pPr>
            <w:r w:rsidRPr="008B6A75">
              <w:rPr>
                <w:sz w:val="20"/>
                <w:szCs w:val="20"/>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022D49AF" w14:textId="77777777" w:rsidR="00387142" w:rsidRPr="008B6A75" w:rsidRDefault="00387142" w:rsidP="00387142">
            <w:pPr>
              <w:jc w:val="center"/>
              <w:rPr>
                <w:sz w:val="20"/>
                <w:szCs w:val="20"/>
              </w:rPr>
            </w:pPr>
            <w:r w:rsidRPr="008B6A75">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E707D5E" w14:textId="77777777" w:rsidR="00387142" w:rsidRPr="008B6A75" w:rsidRDefault="00387142" w:rsidP="00387142">
            <w:pPr>
              <w:jc w:val="center"/>
              <w:rPr>
                <w:sz w:val="20"/>
                <w:szCs w:val="20"/>
              </w:rPr>
            </w:pPr>
            <w:r w:rsidRPr="008B6A75">
              <w:rPr>
                <w:sz w:val="20"/>
                <w:szCs w:val="20"/>
              </w:rPr>
              <w:t>02</w:t>
            </w:r>
          </w:p>
        </w:tc>
        <w:tc>
          <w:tcPr>
            <w:tcW w:w="1516" w:type="dxa"/>
            <w:tcBorders>
              <w:top w:val="nil"/>
              <w:left w:val="single" w:sz="4" w:space="0" w:color="auto"/>
              <w:bottom w:val="single" w:sz="4" w:space="0" w:color="auto"/>
              <w:right w:val="nil"/>
            </w:tcBorders>
            <w:shd w:val="clear" w:color="auto" w:fill="auto"/>
            <w:noWrap/>
            <w:vAlign w:val="center"/>
            <w:hideMark/>
          </w:tcPr>
          <w:p w14:paraId="5C863ADE" w14:textId="77777777" w:rsidR="00387142" w:rsidRPr="008B6A75" w:rsidRDefault="00387142" w:rsidP="00387142">
            <w:pPr>
              <w:jc w:val="center"/>
              <w:rPr>
                <w:sz w:val="20"/>
                <w:szCs w:val="20"/>
              </w:rPr>
            </w:pPr>
            <w:r w:rsidRPr="008B6A75">
              <w:rPr>
                <w:sz w:val="20"/>
                <w:szCs w:val="20"/>
              </w:rPr>
              <w:t>16.0.00.79500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48D3E93" w14:textId="77777777" w:rsidR="00387142" w:rsidRPr="008B6A75" w:rsidRDefault="00387142" w:rsidP="00387142">
            <w:pPr>
              <w:jc w:val="center"/>
              <w:rPr>
                <w:sz w:val="20"/>
                <w:szCs w:val="20"/>
              </w:rPr>
            </w:pPr>
            <w:r w:rsidRPr="008B6A75">
              <w:rPr>
                <w:sz w:val="20"/>
                <w:szCs w:val="20"/>
              </w:rPr>
              <w:t>240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9A664C4" w14:textId="77777777" w:rsidR="00387142" w:rsidRPr="008B6A75" w:rsidRDefault="00387142" w:rsidP="00387142">
            <w:pPr>
              <w:jc w:val="right"/>
              <w:rPr>
                <w:sz w:val="20"/>
                <w:szCs w:val="20"/>
              </w:rPr>
            </w:pPr>
            <w:r w:rsidRPr="008B6A75">
              <w:rPr>
                <w:sz w:val="20"/>
                <w:szCs w:val="20"/>
              </w:rPr>
              <w:t>55 705,00</w:t>
            </w:r>
          </w:p>
        </w:tc>
        <w:tc>
          <w:tcPr>
            <w:tcW w:w="992" w:type="dxa"/>
            <w:tcBorders>
              <w:top w:val="nil"/>
              <w:left w:val="single" w:sz="4" w:space="0" w:color="auto"/>
              <w:bottom w:val="single" w:sz="4" w:space="0" w:color="auto"/>
              <w:right w:val="nil"/>
            </w:tcBorders>
            <w:shd w:val="clear" w:color="auto" w:fill="auto"/>
            <w:vAlign w:val="center"/>
            <w:hideMark/>
          </w:tcPr>
          <w:p w14:paraId="5F74AB76" w14:textId="77777777" w:rsidR="00387142" w:rsidRPr="008B6A75" w:rsidRDefault="00387142" w:rsidP="00387142">
            <w:pPr>
              <w:jc w:val="right"/>
              <w:rPr>
                <w:sz w:val="20"/>
                <w:szCs w:val="20"/>
              </w:rPr>
            </w:pPr>
            <w:r w:rsidRPr="008B6A75">
              <w:rPr>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19E2BC2A" w14:textId="77777777" w:rsidR="00387142" w:rsidRPr="008B6A75" w:rsidRDefault="00387142" w:rsidP="00387142">
            <w:pPr>
              <w:jc w:val="right"/>
              <w:rPr>
                <w:sz w:val="20"/>
                <w:szCs w:val="20"/>
              </w:rPr>
            </w:pPr>
            <w:r w:rsidRPr="008B6A75">
              <w:rPr>
                <w:sz w:val="20"/>
                <w:szCs w:val="20"/>
              </w:rPr>
              <w:t>0,00</w:t>
            </w:r>
          </w:p>
        </w:tc>
      </w:tr>
      <w:tr w:rsidR="00387142" w:rsidRPr="008B6A75" w14:paraId="58E3D80C" w14:textId="77777777" w:rsidTr="00387142">
        <w:trPr>
          <w:trHeight w:val="870"/>
        </w:trPr>
        <w:tc>
          <w:tcPr>
            <w:tcW w:w="3261" w:type="dxa"/>
            <w:tcBorders>
              <w:top w:val="nil"/>
              <w:left w:val="single" w:sz="4" w:space="0" w:color="auto"/>
              <w:bottom w:val="single" w:sz="4" w:space="0" w:color="auto"/>
              <w:right w:val="nil"/>
            </w:tcBorders>
            <w:shd w:val="clear" w:color="auto" w:fill="auto"/>
            <w:vAlign w:val="center"/>
            <w:hideMark/>
          </w:tcPr>
          <w:p w14:paraId="40BCC723" w14:textId="77777777" w:rsidR="00387142" w:rsidRPr="008B6A75" w:rsidRDefault="00387142" w:rsidP="00387142">
            <w:pPr>
              <w:rPr>
                <w:sz w:val="20"/>
                <w:szCs w:val="20"/>
              </w:rPr>
            </w:pPr>
            <w:r w:rsidRPr="008B6A75">
              <w:rPr>
                <w:sz w:val="20"/>
                <w:szCs w:val="20"/>
              </w:rPr>
              <w:t>Предоставление субсидий бюджетным, автономным учреждениям и иным некоммерческим организациям</w:t>
            </w:r>
          </w:p>
        </w:tc>
        <w:tc>
          <w:tcPr>
            <w:tcW w:w="720" w:type="dxa"/>
            <w:tcBorders>
              <w:top w:val="nil"/>
              <w:left w:val="single" w:sz="4" w:space="0" w:color="auto"/>
              <w:bottom w:val="single" w:sz="4" w:space="0" w:color="auto"/>
              <w:right w:val="nil"/>
            </w:tcBorders>
            <w:shd w:val="clear" w:color="auto" w:fill="auto"/>
            <w:noWrap/>
            <w:vAlign w:val="center"/>
            <w:hideMark/>
          </w:tcPr>
          <w:p w14:paraId="2530717E" w14:textId="77777777" w:rsidR="00387142" w:rsidRPr="008B6A75" w:rsidRDefault="00387142" w:rsidP="00387142">
            <w:pPr>
              <w:jc w:val="center"/>
              <w:rPr>
                <w:sz w:val="20"/>
                <w:szCs w:val="20"/>
              </w:rPr>
            </w:pPr>
            <w:r w:rsidRPr="008B6A75">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E7EB834" w14:textId="77777777" w:rsidR="00387142" w:rsidRPr="008B6A75" w:rsidRDefault="00387142" w:rsidP="00387142">
            <w:pPr>
              <w:jc w:val="center"/>
              <w:rPr>
                <w:sz w:val="20"/>
                <w:szCs w:val="20"/>
              </w:rPr>
            </w:pPr>
            <w:r w:rsidRPr="008B6A75">
              <w:rPr>
                <w:sz w:val="20"/>
                <w:szCs w:val="20"/>
              </w:rPr>
              <w:t>02</w:t>
            </w:r>
          </w:p>
        </w:tc>
        <w:tc>
          <w:tcPr>
            <w:tcW w:w="1516" w:type="dxa"/>
            <w:tcBorders>
              <w:top w:val="nil"/>
              <w:left w:val="single" w:sz="4" w:space="0" w:color="auto"/>
              <w:bottom w:val="single" w:sz="4" w:space="0" w:color="auto"/>
              <w:right w:val="nil"/>
            </w:tcBorders>
            <w:shd w:val="clear" w:color="auto" w:fill="auto"/>
            <w:noWrap/>
            <w:vAlign w:val="center"/>
            <w:hideMark/>
          </w:tcPr>
          <w:p w14:paraId="6E6D7D07" w14:textId="77777777" w:rsidR="00387142" w:rsidRPr="008B6A75" w:rsidRDefault="00387142" w:rsidP="00387142">
            <w:pPr>
              <w:jc w:val="center"/>
              <w:rPr>
                <w:sz w:val="20"/>
                <w:szCs w:val="20"/>
              </w:rPr>
            </w:pPr>
            <w:r w:rsidRPr="008B6A75">
              <w:rPr>
                <w:sz w:val="20"/>
                <w:szCs w:val="20"/>
              </w:rPr>
              <w:t>16.0.00.79500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9626316" w14:textId="77777777" w:rsidR="00387142" w:rsidRPr="008B6A75" w:rsidRDefault="00387142" w:rsidP="00387142">
            <w:pPr>
              <w:jc w:val="center"/>
              <w:rPr>
                <w:sz w:val="20"/>
                <w:szCs w:val="20"/>
              </w:rPr>
            </w:pPr>
            <w:r w:rsidRPr="008B6A75">
              <w:rPr>
                <w:sz w:val="20"/>
                <w:szCs w:val="20"/>
              </w:rPr>
              <w:t>600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E803269" w14:textId="77777777" w:rsidR="00387142" w:rsidRPr="008B6A75" w:rsidRDefault="00387142" w:rsidP="00387142">
            <w:pPr>
              <w:jc w:val="right"/>
              <w:rPr>
                <w:sz w:val="20"/>
                <w:szCs w:val="20"/>
              </w:rPr>
            </w:pPr>
            <w:r w:rsidRPr="008B6A75">
              <w:rPr>
                <w:sz w:val="20"/>
                <w:szCs w:val="20"/>
              </w:rPr>
              <w:t>4 285,00</w:t>
            </w:r>
          </w:p>
        </w:tc>
        <w:tc>
          <w:tcPr>
            <w:tcW w:w="992" w:type="dxa"/>
            <w:tcBorders>
              <w:top w:val="nil"/>
              <w:left w:val="single" w:sz="4" w:space="0" w:color="auto"/>
              <w:bottom w:val="single" w:sz="4" w:space="0" w:color="auto"/>
              <w:right w:val="nil"/>
            </w:tcBorders>
            <w:shd w:val="clear" w:color="auto" w:fill="auto"/>
            <w:vAlign w:val="center"/>
            <w:hideMark/>
          </w:tcPr>
          <w:p w14:paraId="271AC3E2" w14:textId="77777777" w:rsidR="00387142" w:rsidRPr="008B6A75" w:rsidRDefault="00387142" w:rsidP="00387142">
            <w:pPr>
              <w:jc w:val="right"/>
              <w:rPr>
                <w:sz w:val="20"/>
                <w:szCs w:val="20"/>
              </w:rPr>
            </w:pPr>
            <w:r w:rsidRPr="008B6A75">
              <w:rPr>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48D9717E" w14:textId="77777777" w:rsidR="00387142" w:rsidRPr="008B6A75" w:rsidRDefault="00387142" w:rsidP="00387142">
            <w:pPr>
              <w:jc w:val="right"/>
              <w:rPr>
                <w:sz w:val="20"/>
                <w:szCs w:val="20"/>
              </w:rPr>
            </w:pPr>
            <w:r w:rsidRPr="008B6A75">
              <w:rPr>
                <w:sz w:val="20"/>
                <w:szCs w:val="20"/>
              </w:rPr>
              <w:t>0,00</w:t>
            </w:r>
          </w:p>
        </w:tc>
      </w:tr>
      <w:tr w:rsidR="00387142" w:rsidRPr="008B6A75" w14:paraId="38D20B45" w14:textId="77777777" w:rsidTr="00387142">
        <w:trPr>
          <w:trHeight w:val="345"/>
        </w:trPr>
        <w:tc>
          <w:tcPr>
            <w:tcW w:w="3261" w:type="dxa"/>
            <w:tcBorders>
              <w:top w:val="nil"/>
              <w:left w:val="single" w:sz="4" w:space="0" w:color="auto"/>
              <w:bottom w:val="single" w:sz="4" w:space="0" w:color="auto"/>
              <w:right w:val="nil"/>
            </w:tcBorders>
            <w:shd w:val="clear" w:color="auto" w:fill="auto"/>
            <w:vAlign w:val="center"/>
            <w:hideMark/>
          </w:tcPr>
          <w:p w14:paraId="37E42611" w14:textId="77777777" w:rsidR="00387142" w:rsidRPr="008B6A75" w:rsidRDefault="00387142" w:rsidP="00387142">
            <w:pPr>
              <w:rPr>
                <w:sz w:val="20"/>
                <w:szCs w:val="20"/>
              </w:rPr>
            </w:pPr>
            <w:r w:rsidRPr="008B6A75">
              <w:rPr>
                <w:sz w:val="20"/>
                <w:szCs w:val="20"/>
              </w:rPr>
              <w:t>Субсидии бюджетным учреждениям</w:t>
            </w:r>
          </w:p>
        </w:tc>
        <w:tc>
          <w:tcPr>
            <w:tcW w:w="720" w:type="dxa"/>
            <w:tcBorders>
              <w:top w:val="nil"/>
              <w:left w:val="single" w:sz="4" w:space="0" w:color="auto"/>
              <w:bottom w:val="single" w:sz="4" w:space="0" w:color="auto"/>
              <w:right w:val="nil"/>
            </w:tcBorders>
            <w:shd w:val="clear" w:color="auto" w:fill="auto"/>
            <w:noWrap/>
            <w:vAlign w:val="center"/>
            <w:hideMark/>
          </w:tcPr>
          <w:p w14:paraId="46952E9F" w14:textId="77777777" w:rsidR="00387142" w:rsidRPr="008B6A75" w:rsidRDefault="00387142" w:rsidP="00387142">
            <w:pPr>
              <w:jc w:val="center"/>
              <w:rPr>
                <w:sz w:val="20"/>
                <w:szCs w:val="20"/>
              </w:rPr>
            </w:pPr>
            <w:r w:rsidRPr="008B6A75">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42A586F" w14:textId="77777777" w:rsidR="00387142" w:rsidRPr="008B6A75" w:rsidRDefault="00387142" w:rsidP="00387142">
            <w:pPr>
              <w:jc w:val="center"/>
              <w:rPr>
                <w:sz w:val="20"/>
                <w:szCs w:val="20"/>
              </w:rPr>
            </w:pPr>
            <w:r w:rsidRPr="008B6A75">
              <w:rPr>
                <w:sz w:val="20"/>
                <w:szCs w:val="20"/>
              </w:rPr>
              <w:t>02</w:t>
            </w:r>
          </w:p>
        </w:tc>
        <w:tc>
          <w:tcPr>
            <w:tcW w:w="1516" w:type="dxa"/>
            <w:tcBorders>
              <w:top w:val="nil"/>
              <w:left w:val="single" w:sz="4" w:space="0" w:color="auto"/>
              <w:bottom w:val="single" w:sz="4" w:space="0" w:color="auto"/>
              <w:right w:val="nil"/>
            </w:tcBorders>
            <w:shd w:val="clear" w:color="auto" w:fill="auto"/>
            <w:noWrap/>
            <w:vAlign w:val="center"/>
            <w:hideMark/>
          </w:tcPr>
          <w:p w14:paraId="478F8FE3" w14:textId="77777777" w:rsidR="00387142" w:rsidRPr="008B6A75" w:rsidRDefault="00387142" w:rsidP="00387142">
            <w:pPr>
              <w:jc w:val="center"/>
              <w:rPr>
                <w:sz w:val="20"/>
                <w:szCs w:val="20"/>
              </w:rPr>
            </w:pPr>
            <w:r w:rsidRPr="008B6A75">
              <w:rPr>
                <w:sz w:val="20"/>
                <w:szCs w:val="20"/>
              </w:rPr>
              <w:t>16.0.00.79500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98FD114" w14:textId="77777777" w:rsidR="00387142" w:rsidRPr="008B6A75" w:rsidRDefault="00387142" w:rsidP="00387142">
            <w:pPr>
              <w:jc w:val="center"/>
              <w:rPr>
                <w:sz w:val="20"/>
                <w:szCs w:val="20"/>
              </w:rPr>
            </w:pPr>
            <w:r w:rsidRPr="008B6A75">
              <w:rPr>
                <w:sz w:val="20"/>
                <w:szCs w:val="20"/>
              </w:rPr>
              <w:t>610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D54CF65" w14:textId="77777777" w:rsidR="00387142" w:rsidRPr="008B6A75" w:rsidRDefault="00387142" w:rsidP="00387142">
            <w:pPr>
              <w:jc w:val="right"/>
              <w:rPr>
                <w:sz w:val="20"/>
                <w:szCs w:val="20"/>
              </w:rPr>
            </w:pPr>
            <w:r w:rsidRPr="008B6A75">
              <w:rPr>
                <w:sz w:val="20"/>
                <w:szCs w:val="20"/>
              </w:rPr>
              <w:t>4 285,00</w:t>
            </w:r>
          </w:p>
        </w:tc>
        <w:tc>
          <w:tcPr>
            <w:tcW w:w="992" w:type="dxa"/>
            <w:tcBorders>
              <w:top w:val="nil"/>
              <w:left w:val="single" w:sz="4" w:space="0" w:color="auto"/>
              <w:bottom w:val="single" w:sz="4" w:space="0" w:color="auto"/>
              <w:right w:val="nil"/>
            </w:tcBorders>
            <w:shd w:val="clear" w:color="auto" w:fill="auto"/>
            <w:vAlign w:val="center"/>
            <w:hideMark/>
          </w:tcPr>
          <w:p w14:paraId="49A53B72" w14:textId="77777777" w:rsidR="00387142" w:rsidRPr="008B6A75" w:rsidRDefault="00387142" w:rsidP="00387142">
            <w:pPr>
              <w:jc w:val="right"/>
              <w:rPr>
                <w:sz w:val="20"/>
                <w:szCs w:val="20"/>
              </w:rPr>
            </w:pPr>
            <w:r w:rsidRPr="008B6A75">
              <w:rPr>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62E65183" w14:textId="77777777" w:rsidR="00387142" w:rsidRPr="008B6A75" w:rsidRDefault="00387142" w:rsidP="00387142">
            <w:pPr>
              <w:jc w:val="right"/>
              <w:rPr>
                <w:sz w:val="20"/>
                <w:szCs w:val="20"/>
              </w:rPr>
            </w:pPr>
            <w:r w:rsidRPr="008B6A75">
              <w:rPr>
                <w:sz w:val="20"/>
                <w:szCs w:val="20"/>
              </w:rPr>
              <w:t>0,00</w:t>
            </w:r>
          </w:p>
        </w:tc>
      </w:tr>
      <w:tr w:rsidR="00387142" w:rsidRPr="008B6A75" w14:paraId="74400BC2" w14:textId="77777777" w:rsidTr="00387142">
        <w:trPr>
          <w:trHeight w:val="345"/>
        </w:trPr>
        <w:tc>
          <w:tcPr>
            <w:tcW w:w="3261" w:type="dxa"/>
            <w:tcBorders>
              <w:top w:val="nil"/>
              <w:left w:val="single" w:sz="4" w:space="0" w:color="auto"/>
              <w:bottom w:val="single" w:sz="4" w:space="0" w:color="auto"/>
              <w:right w:val="nil"/>
            </w:tcBorders>
            <w:shd w:val="clear" w:color="auto" w:fill="auto"/>
            <w:vAlign w:val="center"/>
            <w:hideMark/>
          </w:tcPr>
          <w:p w14:paraId="6D07397E" w14:textId="77777777" w:rsidR="00387142" w:rsidRPr="008B6A75" w:rsidRDefault="00387142" w:rsidP="00387142">
            <w:pPr>
              <w:rPr>
                <w:bCs/>
                <w:sz w:val="20"/>
                <w:szCs w:val="20"/>
              </w:rPr>
            </w:pPr>
            <w:r w:rsidRPr="008B6A75">
              <w:rPr>
                <w:bCs/>
                <w:sz w:val="20"/>
                <w:szCs w:val="20"/>
              </w:rPr>
              <w:t>Непрограммные направления бюджета</w:t>
            </w:r>
          </w:p>
        </w:tc>
        <w:tc>
          <w:tcPr>
            <w:tcW w:w="720" w:type="dxa"/>
            <w:tcBorders>
              <w:top w:val="nil"/>
              <w:left w:val="single" w:sz="4" w:space="0" w:color="auto"/>
              <w:bottom w:val="single" w:sz="4" w:space="0" w:color="auto"/>
              <w:right w:val="nil"/>
            </w:tcBorders>
            <w:shd w:val="clear" w:color="auto" w:fill="auto"/>
            <w:noWrap/>
            <w:vAlign w:val="center"/>
            <w:hideMark/>
          </w:tcPr>
          <w:p w14:paraId="49359866" w14:textId="77777777" w:rsidR="00387142" w:rsidRPr="008B6A75" w:rsidRDefault="00387142" w:rsidP="00387142">
            <w:pPr>
              <w:jc w:val="center"/>
              <w:rPr>
                <w:bCs/>
                <w:sz w:val="20"/>
                <w:szCs w:val="20"/>
              </w:rPr>
            </w:pPr>
            <w:r w:rsidRPr="008B6A75">
              <w:rPr>
                <w:bCs/>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8246430" w14:textId="77777777" w:rsidR="00387142" w:rsidRPr="008B6A75" w:rsidRDefault="00387142" w:rsidP="00387142">
            <w:pPr>
              <w:jc w:val="center"/>
              <w:rPr>
                <w:bCs/>
                <w:sz w:val="20"/>
                <w:szCs w:val="20"/>
              </w:rPr>
            </w:pPr>
            <w:r w:rsidRPr="008B6A75">
              <w:rPr>
                <w:bCs/>
                <w:sz w:val="20"/>
                <w:szCs w:val="20"/>
              </w:rPr>
              <w:t>02</w:t>
            </w:r>
          </w:p>
        </w:tc>
        <w:tc>
          <w:tcPr>
            <w:tcW w:w="1516" w:type="dxa"/>
            <w:tcBorders>
              <w:top w:val="nil"/>
              <w:left w:val="single" w:sz="4" w:space="0" w:color="auto"/>
              <w:bottom w:val="single" w:sz="4" w:space="0" w:color="auto"/>
              <w:right w:val="nil"/>
            </w:tcBorders>
            <w:shd w:val="clear" w:color="auto" w:fill="auto"/>
            <w:noWrap/>
            <w:vAlign w:val="center"/>
            <w:hideMark/>
          </w:tcPr>
          <w:p w14:paraId="172444D4" w14:textId="77777777" w:rsidR="00387142" w:rsidRPr="008B6A75" w:rsidRDefault="00387142" w:rsidP="00387142">
            <w:pPr>
              <w:jc w:val="center"/>
              <w:rPr>
                <w:bCs/>
                <w:sz w:val="20"/>
                <w:szCs w:val="20"/>
              </w:rPr>
            </w:pPr>
            <w:r w:rsidRPr="008B6A75">
              <w:rPr>
                <w:bCs/>
                <w:sz w:val="20"/>
                <w:szCs w:val="20"/>
              </w:rPr>
              <w:t>99.0.00.00000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571461D"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59BC337" w14:textId="77777777" w:rsidR="00387142" w:rsidRPr="008B6A75" w:rsidRDefault="00387142" w:rsidP="00387142">
            <w:pPr>
              <w:jc w:val="right"/>
              <w:rPr>
                <w:bCs/>
                <w:sz w:val="20"/>
                <w:szCs w:val="20"/>
              </w:rPr>
            </w:pPr>
            <w:r w:rsidRPr="008B6A75">
              <w:rPr>
                <w:bCs/>
                <w:sz w:val="20"/>
                <w:szCs w:val="20"/>
              </w:rPr>
              <w:t>11 363 965,71</w:t>
            </w:r>
          </w:p>
        </w:tc>
        <w:tc>
          <w:tcPr>
            <w:tcW w:w="992" w:type="dxa"/>
            <w:tcBorders>
              <w:top w:val="nil"/>
              <w:left w:val="single" w:sz="4" w:space="0" w:color="auto"/>
              <w:bottom w:val="single" w:sz="4" w:space="0" w:color="auto"/>
              <w:right w:val="nil"/>
            </w:tcBorders>
            <w:shd w:val="clear" w:color="auto" w:fill="auto"/>
            <w:vAlign w:val="center"/>
            <w:hideMark/>
          </w:tcPr>
          <w:p w14:paraId="039CF86A" w14:textId="77777777" w:rsidR="00387142" w:rsidRPr="008B6A75" w:rsidRDefault="00387142" w:rsidP="00387142">
            <w:pPr>
              <w:jc w:val="right"/>
              <w:rPr>
                <w:bCs/>
                <w:sz w:val="20"/>
                <w:szCs w:val="20"/>
              </w:rPr>
            </w:pPr>
            <w:r w:rsidRPr="008B6A75">
              <w:rPr>
                <w:bCs/>
                <w:sz w:val="20"/>
                <w:szCs w:val="20"/>
              </w:rPr>
              <w:t>6 180 400,00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37F2AF68" w14:textId="77777777" w:rsidR="00387142" w:rsidRPr="008B6A75" w:rsidRDefault="00387142" w:rsidP="00387142">
            <w:pPr>
              <w:jc w:val="right"/>
              <w:rPr>
                <w:bCs/>
                <w:sz w:val="20"/>
                <w:szCs w:val="20"/>
              </w:rPr>
            </w:pPr>
            <w:r w:rsidRPr="008B6A75">
              <w:rPr>
                <w:bCs/>
                <w:sz w:val="20"/>
                <w:szCs w:val="20"/>
              </w:rPr>
              <w:t>5 406 500,00</w:t>
            </w:r>
          </w:p>
        </w:tc>
      </w:tr>
      <w:tr w:rsidR="00387142" w:rsidRPr="008B6A75" w14:paraId="1C279C89" w14:textId="77777777" w:rsidTr="00387142">
        <w:trPr>
          <w:trHeight w:val="345"/>
        </w:trPr>
        <w:tc>
          <w:tcPr>
            <w:tcW w:w="3261" w:type="dxa"/>
            <w:tcBorders>
              <w:top w:val="nil"/>
              <w:left w:val="single" w:sz="4" w:space="0" w:color="auto"/>
              <w:bottom w:val="single" w:sz="4" w:space="0" w:color="auto"/>
              <w:right w:val="nil"/>
            </w:tcBorders>
            <w:shd w:val="clear" w:color="auto" w:fill="auto"/>
            <w:vAlign w:val="center"/>
            <w:hideMark/>
          </w:tcPr>
          <w:p w14:paraId="58100FA8" w14:textId="77777777" w:rsidR="00387142" w:rsidRPr="008B6A75" w:rsidRDefault="00387142" w:rsidP="00387142">
            <w:pPr>
              <w:rPr>
                <w:bCs/>
                <w:sz w:val="20"/>
                <w:szCs w:val="20"/>
              </w:rPr>
            </w:pPr>
            <w:r w:rsidRPr="008B6A75">
              <w:rPr>
                <w:bCs/>
                <w:sz w:val="20"/>
                <w:szCs w:val="20"/>
              </w:rPr>
              <w:t>Резервные фонды местного бюджета</w:t>
            </w:r>
          </w:p>
        </w:tc>
        <w:tc>
          <w:tcPr>
            <w:tcW w:w="720" w:type="dxa"/>
            <w:tcBorders>
              <w:top w:val="nil"/>
              <w:left w:val="single" w:sz="4" w:space="0" w:color="auto"/>
              <w:bottom w:val="single" w:sz="4" w:space="0" w:color="auto"/>
              <w:right w:val="nil"/>
            </w:tcBorders>
            <w:shd w:val="clear" w:color="auto" w:fill="auto"/>
            <w:noWrap/>
            <w:vAlign w:val="center"/>
            <w:hideMark/>
          </w:tcPr>
          <w:p w14:paraId="7B35755F" w14:textId="77777777" w:rsidR="00387142" w:rsidRPr="008B6A75" w:rsidRDefault="00387142" w:rsidP="00387142">
            <w:pPr>
              <w:jc w:val="center"/>
              <w:rPr>
                <w:bCs/>
                <w:sz w:val="20"/>
                <w:szCs w:val="20"/>
              </w:rPr>
            </w:pPr>
            <w:r w:rsidRPr="008B6A75">
              <w:rPr>
                <w:bCs/>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CE4B971" w14:textId="77777777" w:rsidR="00387142" w:rsidRPr="008B6A75" w:rsidRDefault="00387142" w:rsidP="00387142">
            <w:pPr>
              <w:jc w:val="center"/>
              <w:rPr>
                <w:bCs/>
                <w:sz w:val="20"/>
                <w:szCs w:val="20"/>
              </w:rPr>
            </w:pPr>
            <w:r w:rsidRPr="008B6A75">
              <w:rPr>
                <w:bCs/>
                <w:sz w:val="20"/>
                <w:szCs w:val="20"/>
              </w:rPr>
              <w:t>02</w:t>
            </w:r>
          </w:p>
        </w:tc>
        <w:tc>
          <w:tcPr>
            <w:tcW w:w="1516" w:type="dxa"/>
            <w:tcBorders>
              <w:top w:val="nil"/>
              <w:left w:val="single" w:sz="4" w:space="0" w:color="auto"/>
              <w:bottom w:val="single" w:sz="4" w:space="0" w:color="auto"/>
              <w:right w:val="nil"/>
            </w:tcBorders>
            <w:shd w:val="clear" w:color="auto" w:fill="auto"/>
            <w:noWrap/>
            <w:vAlign w:val="center"/>
            <w:hideMark/>
          </w:tcPr>
          <w:p w14:paraId="7DAB0EAC" w14:textId="77777777" w:rsidR="00387142" w:rsidRPr="008B6A75" w:rsidRDefault="00387142" w:rsidP="00387142">
            <w:pPr>
              <w:jc w:val="center"/>
              <w:rPr>
                <w:bCs/>
                <w:sz w:val="20"/>
                <w:szCs w:val="20"/>
              </w:rPr>
            </w:pPr>
            <w:r w:rsidRPr="008B6A75">
              <w:rPr>
                <w:bCs/>
                <w:sz w:val="20"/>
                <w:szCs w:val="20"/>
              </w:rPr>
              <w:t>99.0.00.01700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65EC888"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D3FE08D" w14:textId="77777777" w:rsidR="00387142" w:rsidRPr="008B6A75" w:rsidRDefault="00387142" w:rsidP="00387142">
            <w:pPr>
              <w:jc w:val="right"/>
              <w:rPr>
                <w:bCs/>
                <w:sz w:val="20"/>
                <w:szCs w:val="20"/>
              </w:rPr>
            </w:pPr>
            <w:r w:rsidRPr="008B6A75">
              <w:rPr>
                <w:bCs/>
                <w:sz w:val="20"/>
                <w:szCs w:val="20"/>
              </w:rPr>
              <w:t>3 481 596,93</w:t>
            </w:r>
          </w:p>
        </w:tc>
        <w:tc>
          <w:tcPr>
            <w:tcW w:w="992" w:type="dxa"/>
            <w:tcBorders>
              <w:top w:val="nil"/>
              <w:left w:val="single" w:sz="4" w:space="0" w:color="auto"/>
              <w:bottom w:val="single" w:sz="4" w:space="0" w:color="auto"/>
              <w:right w:val="nil"/>
            </w:tcBorders>
            <w:shd w:val="clear" w:color="auto" w:fill="auto"/>
            <w:vAlign w:val="center"/>
            <w:hideMark/>
          </w:tcPr>
          <w:p w14:paraId="36963E37" w14:textId="77777777" w:rsidR="00387142" w:rsidRPr="008B6A75" w:rsidRDefault="00387142" w:rsidP="00387142">
            <w:pPr>
              <w:jc w:val="right"/>
              <w:rPr>
                <w:bCs/>
                <w:sz w:val="20"/>
                <w:szCs w:val="20"/>
              </w:rPr>
            </w:pPr>
            <w:r w:rsidRPr="008B6A75">
              <w:rPr>
                <w:bCs/>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3CDD9846" w14:textId="77777777" w:rsidR="00387142" w:rsidRPr="008B6A75" w:rsidRDefault="00387142" w:rsidP="00387142">
            <w:pPr>
              <w:jc w:val="right"/>
              <w:rPr>
                <w:bCs/>
                <w:sz w:val="20"/>
                <w:szCs w:val="20"/>
              </w:rPr>
            </w:pPr>
            <w:r w:rsidRPr="008B6A75">
              <w:rPr>
                <w:bCs/>
                <w:sz w:val="20"/>
                <w:szCs w:val="20"/>
              </w:rPr>
              <w:t>0,00</w:t>
            </w:r>
          </w:p>
        </w:tc>
      </w:tr>
      <w:tr w:rsidR="00387142" w:rsidRPr="008B6A75" w14:paraId="0ABC7573" w14:textId="77777777" w:rsidTr="00387142">
        <w:trPr>
          <w:trHeight w:val="585"/>
        </w:trPr>
        <w:tc>
          <w:tcPr>
            <w:tcW w:w="3261" w:type="dxa"/>
            <w:tcBorders>
              <w:top w:val="nil"/>
              <w:left w:val="single" w:sz="4" w:space="0" w:color="auto"/>
              <w:bottom w:val="single" w:sz="4" w:space="0" w:color="auto"/>
              <w:right w:val="nil"/>
            </w:tcBorders>
            <w:shd w:val="clear" w:color="auto" w:fill="auto"/>
            <w:vAlign w:val="center"/>
            <w:hideMark/>
          </w:tcPr>
          <w:p w14:paraId="36ACE4D9" w14:textId="77777777" w:rsidR="00387142" w:rsidRPr="008B6A75" w:rsidRDefault="00387142" w:rsidP="00387142">
            <w:pPr>
              <w:rPr>
                <w:sz w:val="20"/>
                <w:szCs w:val="20"/>
              </w:rPr>
            </w:pPr>
            <w:r w:rsidRPr="008B6A75">
              <w:rPr>
                <w:sz w:val="20"/>
                <w:szCs w:val="20"/>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21D431B3" w14:textId="77777777" w:rsidR="00387142" w:rsidRPr="008B6A75" w:rsidRDefault="00387142" w:rsidP="00387142">
            <w:pPr>
              <w:jc w:val="center"/>
              <w:rPr>
                <w:sz w:val="20"/>
                <w:szCs w:val="20"/>
              </w:rPr>
            </w:pPr>
            <w:r w:rsidRPr="008B6A75">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48363D6" w14:textId="77777777" w:rsidR="00387142" w:rsidRPr="008B6A75" w:rsidRDefault="00387142" w:rsidP="00387142">
            <w:pPr>
              <w:jc w:val="center"/>
              <w:rPr>
                <w:sz w:val="20"/>
                <w:szCs w:val="20"/>
              </w:rPr>
            </w:pPr>
            <w:r w:rsidRPr="008B6A75">
              <w:rPr>
                <w:sz w:val="20"/>
                <w:szCs w:val="20"/>
              </w:rPr>
              <w:t>02</w:t>
            </w:r>
          </w:p>
        </w:tc>
        <w:tc>
          <w:tcPr>
            <w:tcW w:w="1516" w:type="dxa"/>
            <w:tcBorders>
              <w:top w:val="nil"/>
              <w:left w:val="single" w:sz="4" w:space="0" w:color="auto"/>
              <w:bottom w:val="single" w:sz="4" w:space="0" w:color="auto"/>
              <w:right w:val="nil"/>
            </w:tcBorders>
            <w:shd w:val="clear" w:color="auto" w:fill="auto"/>
            <w:noWrap/>
            <w:vAlign w:val="center"/>
            <w:hideMark/>
          </w:tcPr>
          <w:p w14:paraId="1F99F158" w14:textId="77777777" w:rsidR="00387142" w:rsidRPr="008B6A75" w:rsidRDefault="00387142" w:rsidP="00387142">
            <w:pPr>
              <w:jc w:val="center"/>
              <w:rPr>
                <w:sz w:val="20"/>
                <w:szCs w:val="20"/>
              </w:rPr>
            </w:pPr>
            <w:r w:rsidRPr="008B6A75">
              <w:rPr>
                <w:sz w:val="20"/>
                <w:szCs w:val="20"/>
              </w:rPr>
              <w:t>99.0.00.01700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FCC8652" w14:textId="77777777" w:rsidR="00387142" w:rsidRPr="008B6A75" w:rsidRDefault="00387142" w:rsidP="00387142">
            <w:pPr>
              <w:jc w:val="center"/>
              <w:rPr>
                <w:sz w:val="20"/>
                <w:szCs w:val="20"/>
              </w:rPr>
            </w:pPr>
            <w:r w:rsidRPr="008B6A75">
              <w:rPr>
                <w:sz w:val="20"/>
                <w:szCs w:val="20"/>
              </w:rPr>
              <w:t>200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449F153" w14:textId="77777777" w:rsidR="00387142" w:rsidRPr="008B6A75" w:rsidRDefault="00387142" w:rsidP="00387142">
            <w:pPr>
              <w:jc w:val="right"/>
              <w:rPr>
                <w:sz w:val="20"/>
                <w:szCs w:val="20"/>
              </w:rPr>
            </w:pPr>
            <w:r w:rsidRPr="008B6A75">
              <w:rPr>
                <w:sz w:val="20"/>
                <w:szCs w:val="20"/>
              </w:rPr>
              <w:t>3 121 596,93</w:t>
            </w:r>
          </w:p>
        </w:tc>
        <w:tc>
          <w:tcPr>
            <w:tcW w:w="992" w:type="dxa"/>
            <w:tcBorders>
              <w:top w:val="nil"/>
              <w:left w:val="single" w:sz="4" w:space="0" w:color="auto"/>
              <w:bottom w:val="single" w:sz="4" w:space="0" w:color="auto"/>
              <w:right w:val="nil"/>
            </w:tcBorders>
            <w:shd w:val="clear" w:color="auto" w:fill="auto"/>
            <w:vAlign w:val="center"/>
            <w:hideMark/>
          </w:tcPr>
          <w:p w14:paraId="73BBC89A" w14:textId="77777777" w:rsidR="00387142" w:rsidRPr="008B6A75" w:rsidRDefault="00387142" w:rsidP="00387142">
            <w:pPr>
              <w:jc w:val="right"/>
              <w:rPr>
                <w:sz w:val="20"/>
                <w:szCs w:val="20"/>
              </w:rPr>
            </w:pPr>
            <w:r w:rsidRPr="008B6A75">
              <w:rPr>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060BB8C8" w14:textId="77777777" w:rsidR="00387142" w:rsidRPr="008B6A75" w:rsidRDefault="00387142" w:rsidP="00387142">
            <w:pPr>
              <w:jc w:val="right"/>
              <w:rPr>
                <w:sz w:val="20"/>
                <w:szCs w:val="20"/>
              </w:rPr>
            </w:pPr>
            <w:r w:rsidRPr="008B6A75">
              <w:rPr>
                <w:sz w:val="20"/>
                <w:szCs w:val="20"/>
              </w:rPr>
              <w:t>0,00</w:t>
            </w:r>
          </w:p>
        </w:tc>
      </w:tr>
      <w:tr w:rsidR="00387142" w:rsidRPr="008B6A75" w14:paraId="3DAD8C88" w14:textId="77777777" w:rsidTr="00387142">
        <w:trPr>
          <w:trHeight w:val="870"/>
        </w:trPr>
        <w:tc>
          <w:tcPr>
            <w:tcW w:w="3261" w:type="dxa"/>
            <w:tcBorders>
              <w:top w:val="nil"/>
              <w:left w:val="single" w:sz="4" w:space="0" w:color="auto"/>
              <w:bottom w:val="single" w:sz="4" w:space="0" w:color="auto"/>
              <w:right w:val="nil"/>
            </w:tcBorders>
            <w:shd w:val="clear" w:color="auto" w:fill="auto"/>
            <w:vAlign w:val="center"/>
            <w:hideMark/>
          </w:tcPr>
          <w:p w14:paraId="7AF2775E" w14:textId="77777777" w:rsidR="00387142" w:rsidRPr="008B6A75" w:rsidRDefault="00387142" w:rsidP="00387142">
            <w:pPr>
              <w:rPr>
                <w:sz w:val="20"/>
                <w:szCs w:val="20"/>
              </w:rPr>
            </w:pPr>
            <w:r w:rsidRPr="008B6A75">
              <w:rPr>
                <w:sz w:val="20"/>
                <w:szCs w:val="20"/>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42DA5300" w14:textId="77777777" w:rsidR="00387142" w:rsidRPr="008B6A75" w:rsidRDefault="00387142" w:rsidP="00387142">
            <w:pPr>
              <w:jc w:val="center"/>
              <w:rPr>
                <w:sz w:val="20"/>
                <w:szCs w:val="20"/>
              </w:rPr>
            </w:pPr>
            <w:r w:rsidRPr="008B6A75">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CAEF899" w14:textId="77777777" w:rsidR="00387142" w:rsidRPr="008B6A75" w:rsidRDefault="00387142" w:rsidP="00387142">
            <w:pPr>
              <w:jc w:val="center"/>
              <w:rPr>
                <w:sz w:val="20"/>
                <w:szCs w:val="20"/>
              </w:rPr>
            </w:pPr>
            <w:r w:rsidRPr="008B6A75">
              <w:rPr>
                <w:sz w:val="20"/>
                <w:szCs w:val="20"/>
              </w:rPr>
              <w:t>02</w:t>
            </w:r>
          </w:p>
        </w:tc>
        <w:tc>
          <w:tcPr>
            <w:tcW w:w="1516" w:type="dxa"/>
            <w:tcBorders>
              <w:top w:val="nil"/>
              <w:left w:val="single" w:sz="4" w:space="0" w:color="auto"/>
              <w:bottom w:val="single" w:sz="4" w:space="0" w:color="auto"/>
              <w:right w:val="nil"/>
            </w:tcBorders>
            <w:shd w:val="clear" w:color="auto" w:fill="auto"/>
            <w:noWrap/>
            <w:vAlign w:val="center"/>
            <w:hideMark/>
          </w:tcPr>
          <w:p w14:paraId="6F83D800" w14:textId="77777777" w:rsidR="00387142" w:rsidRPr="008B6A75" w:rsidRDefault="00387142" w:rsidP="00387142">
            <w:pPr>
              <w:jc w:val="center"/>
              <w:rPr>
                <w:sz w:val="20"/>
                <w:szCs w:val="20"/>
              </w:rPr>
            </w:pPr>
            <w:r w:rsidRPr="008B6A75">
              <w:rPr>
                <w:sz w:val="20"/>
                <w:szCs w:val="20"/>
              </w:rPr>
              <w:t>99.0.00.01700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00270B6" w14:textId="77777777" w:rsidR="00387142" w:rsidRPr="008B6A75" w:rsidRDefault="00387142" w:rsidP="00387142">
            <w:pPr>
              <w:jc w:val="center"/>
              <w:rPr>
                <w:sz w:val="20"/>
                <w:szCs w:val="20"/>
              </w:rPr>
            </w:pPr>
            <w:r w:rsidRPr="008B6A75">
              <w:rPr>
                <w:sz w:val="20"/>
                <w:szCs w:val="20"/>
              </w:rPr>
              <w:t>240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8AAC191" w14:textId="77777777" w:rsidR="00387142" w:rsidRPr="008B6A75" w:rsidRDefault="00387142" w:rsidP="00387142">
            <w:pPr>
              <w:jc w:val="right"/>
              <w:rPr>
                <w:sz w:val="20"/>
                <w:szCs w:val="20"/>
              </w:rPr>
            </w:pPr>
            <w:r w:rsidRPr="008B6A75">
              <w:rPr>
                <w:sz w:val="20"/>
                <w:szCs w:val="20"/>
              </w:rPr>
              <w:t>3 121 596,93</w:t>
            </w:r>
          </w:p>
        </w:tc>
        <w:tc>
          <w:tcPr>
            <w:tcW w:w="992" w:type="dxa"/>
            <w:tcBorders>
              <w:top w:val="nil"/>
              <w:left w:val="single" w:sz="4" w:space="0" w:color="auto"/>
              <w:bottom w:val="single" w:sz="4" w:space="0" w:color="auto"/>
              <w:right w:val="nil"/>
            </w:tcBorders>
            <w:shd w:val="clear" w:color="auto" w:fill="auto"/>
            <w:vAlign w:val="center"/>
            <w:hideMark/>
          </w:tcPr>
          <w:p w14:paraId="79D0D481" w14:textId="77777777" w:rsidR="00387142" w:rsidRPr="008B6A75" w:rsidRDefault="00387142" w:rsidP="00387142">
            <w:pPr>
              <w:jc w:val="right"/>
              <w:rPr>
                <w:sz w:val="20"/>
                <w:szCs w:val="20"/>
              </w:rPr>
            </w:pPr>
            <w:r w:rsidRPr="008B6A75">
              <w:rPr>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5B754A3A" w14:textId="77777777" w:rsidR="00387142" w:rsidRPr="008B6A75" w:rsidRDefault="00387142" w:rsidP="00387142">
            <w:pPr>
              <w:jc w:val="right"/>
              <w:rPr>
                <w:sz w:val="20"/>
                <w:szCs w:val="20"/>
              </w:rPr>
            </w:pPr>
            <w:r w:rsidRPr="008B6A75">
              <w:rPr>
                <w:sz w:val="20"/>
                <w:szCs w:val="20"/>
              </w:rPr>
              <w:t>0,00</w:t>
            </w:r>
          </w:p>
        </w:tc>
      </w:tr>
      <w:tr w:rsidR="00387142" w:rsidRPr="008B6A75" w14:paraId="1E8CEB25" w14:textId="77777777" w:rsidTr="00387142">
        <w:trPr>
          <w:trHeight w:val="870"/>
        </w:trPr>
        <w:tc>
          <w:tcPr>
            <w:tcW w:w="3261" w:type="dxa"/>
            <w:tcBorders>
              <w:top w:val="nil"/>
              <w:left w:val="single" w:sz="4" w:space="0" w:color="auto"/>
              <w:bottom w:val="single" w:sz="4" w:space="0" w:color="auto"/>
              <w:right w:val="nil"/>
            </w:tcBorders>
            <w:shd w:val="clear" w:color="auto" w:fill="auto"/>
            <w:vAlign w:val="center"/>
            <w:hideMark/>
          </w:tcPr>
          <w:p w14:paraId="45F501BE" w14:textId="77777777" w:rsidR="00387142" w:rsidRPr="008B6A75" w:rsidRDefault="00387142" w:rsidP="00387142">
            <w:pPr>
              <w:rPr>
                <w:sz w:val="20"/>
                <w:szCs w:val="20"/>
              </w:rPr>
            </w:pPr>
            <w:r w:rsidRPr="008B6A75">
              <w:rPr>
                <w:sz w:val="20"/>
                <w:szCs w:val="20"/>
              </w:rPr>
              <w:t>Предоставление субсидий бюджетным, автономным учреждениям и иным некоммерческим организациям</w:t>
            </w:r>
          </w:p>
        </w:tc>
        <w:tc>
          <w:tcPr>
            <w:tcW w:w="720" w:type="dxa"/>
            <w:tcBorders>
              <w:top w:val="nil"/>
              <w:left w:val="single" w:sz="4" w:space="0" w:color="auto"/>
              <w:bottom w:val="single" w:sz="4" w:space="0" w:color="auto"/>
              <w:right w:val="nil"/>
            </w:tcBorders>
            <w:shd w:val="clear" w:color="auto" w:fill="auto"/>
            <w:noWrap/>
            <w:vAlign w:val="center"/>
            <w:hideMark/>
          </w:tcPr>
          <w:p w14:paraId="6350A2AC" w14:textId="77777777" w:rsidR="00387142" w:rsidRPr="008B6A75" w:rsidRDefault="00387142" w:rsidP="00387142">
            <w:pPr>
              <w:jc w:val="center"/>
              <w:rPr>
                <w:sz w:val="20"/>
                <w:szCs w:val="20"/>
              </w:rPr>
            </w:pPr>
            <w:r w:rsidRPr="008B6A75">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77D99B8" w14:textId="77777777" w:rsidR="00387142" w:rsidRPr="008B6A75" w:rsidRDefault="00387142" w:rsidP="00387142">
            <w:pPr>
              <w:jc w:val="center"/>
              <w:rPr>
                <w:sz w:val="20"/>
                <w:szCs w:val="20"/>
              </w:rPr>
            </w:pPr>
            <w:r w:rsidRPr="008B6A75">
              <w:rPr>
                <w:sz w:val="20"/>
                <w:szCs w:val="20"/>
              </w:rPr>
              <w:t>02</w:t>
            </w:r>
          </w:p>
        </w:tc>
        <w:tc>
          <w:tcPr>
            <w:tcW w:w="1516" w:type="dxa"/>
            <w:tcBorders>
              <w:top w:val="nil"/>
              <w:left w:val="single" w:sz="4" w:space="0" w:color="auto"/>
              <w:bottom w:val="single" w:sz="4" w:space="0" w:color="auto"/>
              <w:right w:val="nil"/>
            </w:tcBorders>
            <w:shd w:val="clear" w:color="auto" w:fill="auto"/>
            <w:noWrap/>
            <w:vAlign w:val="center"/>
            <w:hideMark/>
          </w:tcPr>
          <w:p w14:paraId="187EFDA4" w14:textId="77777777" w:rsidR="00387142" w:rsidRPr="008B6A75" w:rsidRDefault="00387142" w:rsidP="00387142">
            <w:pPr>
              <w:jc w:val="center"/>
              <w:rPr>
                <w:sz w:val="20"/>
                <w:szCs w:val="20"/>
              </w:rPr>
            </w:pPr>
            <w:r w:rsidRPr="008B6A75">
              <w:rPr>
                <w:sz w:val="20"/>
                <w:szCs w:val="20"/>
              </w:rPr>
              <w:t>99.0.00.01700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AD52F3A" w14:textId="77777777" w:rsidR="00387142" w:rsidRPr="008B6A75" w:rsidRDefault="00387142" w:rsidP="00387142">
            <w:pPr>
              <w:jc w:val="center"/>
              <w:rPr>
                <w:sz w:val="20"/>
                <w:szCs w:val="20"/>
              </w:rPr>
            </w:pPr>
            <w:r w:rsidRPr="008B6A75">
              <w:rPr>
                <w:sz w:val="20"/>
                <w:szCs w:val="20"/>
              </w:rPr>
              <w:t>600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F81BC2E" w14:textId="77777777" w:rsidR="00387142" w:rsidRPr="008B6A75" w:rsidRDefault="00387142" w:rsidP="00387142">
            <w:pPr>
              <w:jc w:val="right"/>
              <w:rPr>
                <w:sz w:val="20"/>
                <w:szCs w:val="20"/>
              </w:rPr>
            </w:pPr>
            <w:r w:rsidRPr="008B6A75">
              <w:rPr>
                <w:sz w:val="20"/>
                <w:szCs w:val="20"/>
              </w:rPr>
              <w:t>360 000,00</w:t>
            </w:r>
          </w:p>
        </w:tc>
        <w:tc>
          <w:tcPr>
            <w:tcW w:w="992" w:type="dxa"/>
            <w:tcBorders>
              <w:top w:val="nil"/>
              <w:left w:val="single" w:sz="4" w:space="0" w:color="auto"/>
              <w:bottom w:val="single" w:sz="4" w:space="0" w:color="auto"/>
              <w:right w:val="nil"/>
            </w:tcBorders>
            <w:shd w:val="clear" w:color="auto" w:fill="auto"/>
            <w:vAlign w:val="center"/>
            <w:hideMark/>
          </w:tcPr>
          <w:p w14:paraId="6F1D1111" w14:textId="77777777" w:rsidR="00387142" w:rsidRPr="008B6A75" w:rsidRDefault="00387142" w:rsidP="00387142">
            <w:pPr>
              <w:jc w:val="right"/>
              <w:rPr>
                <w:sz w:val="20"/>
                <w:szCs w:val="20"/>
              </w:rPr>
            </w:pPr>
            <w:r w:rsidRPr="008B6A75">
              <w:rPr>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4924A9A5" w14:textId="77777777" w:rsidR="00387142" w:rsidRPr="008B6A75" w:rsidRDefault="00387142" w:rsidP="00387142">
            <w:pPr>
              <w:jc w:val="right"/>
              <w:rPr>
                <w:sz w:val="20"/>
                <w:szCs w:val="20"/>
              </w:rPr>
            </w:pPr>
            <w:r w:rsidRPr="008B6A75">
              <w:rPr>
                <w:sz w:val="20"/>
                <w:szCs w:val="20"/>
              </w:rPr>
              <w:t>0,00</w:t>
            </w:r>
          </w:p>
        </w:tc>
      </w:tr>
      <w:tr w:rsidR="00387142" w:rsidRPr="008B6A75" w14:paraId="1CFF2FE2" w14:textId="77777777" w:rsidTr="00387142">
        <w:trPr>
          <w:trHeight w:val="345"/>
        </w:trPr>
        <w:tc>
          <w:tcPr>
            <w:tcW w:w="3261" w:type="dxa"/>
            <w:tcBorders>
              <w:top w:val="nil"/>
              <w:left w:val="single" w:sz="4" w:space="0" w:color="auto"/>
              <w:bottom w:val="single" w:sz="4" w:space="0" w:color="auto"/>
              <w:right w:val="nil"/>
            </w:tcBorders>
            <w:shd w:val="clear" w:color="auto" w:fill="auto"/>
            <w:vAlign w:val="center"/>
            <w:hideMark/>
          </w:tcPr>
          <w:p w14:paraId="1F25B9DE" w14:textId="77777777" w:rsidR="00387142" w:rsidRPr="008B6A75" w:rsidRDefault="00387142" w:rsidP="00387142">
            <w:pPr>
              <w:rPr>
                <w:sz w:val="20"/>
                <w:szCs w:val="20"/>
              </w:rPr>
            </w:pPr>
            <w:r w:rsidRPr="008B6A75">
              <w:rPr>
                <w:sz w:val="20"/>
                <w:szCs w:val="20"/>
              </w:rPr>
              <w:t>Субсидии бюджетным учреждениям</w:t>
            </w:r>
          </w:p>
        </w:tc>
        <w:tc>
          <w:tcPr>
            <w:tcW w:w="720" w:type="dxa"/>
            <w:tcBorders>
              <w:top w:val="nil"/>
              <w:left w:val="single" w:sz="4" w:space="0" w:color="auto"/>
              <w:bottom w:val="single" w:sz="4" w:space="0" w:color="auto"/>
              <w:right w:val="nil"/>
            </w:tcBorders>
            <w:shd w:val="clear" w:color="auto" w:fill="auto"/>
            <w:noWrap/>
            <w:vAlign w:val="center"/>
            <w:hideMark/>
          </w:tcPr>
          <w:p w14:paraId="055841CF" w14:textId="77777777" w:rsidR="00387142" w:rsidRPr="008B6A75" w:rsidRDefault="00387142" w:rsidP="00387142">
            <w:pPr>
              <w:jc w:val="center"/>
              <w:rPr>
                <w:sz w:val="20"/>
                <w:szCs w:val="20"/>
              </w:rPr>
            </w:pPr>
            <w:r w:rsidRPr="008B6A75">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5E1529B" w14:textId="77777777" w:rsidR="00387142" w:rsidRPr="008B6A75" w:rsidRDefault="00387142" w:rsidP="00387142">
            <w:pPr>
              <w:jc w:val="center"/>
              <w:rPr>
                <w:sz w:val="20"/>
                <w:szCs w:val="20"/>
              </w:rPr>
            </w:pPr>
            <w:r w:rsidRPr="008B6A75">
              <w:rPr>
                <w:sz w:val="20"/>
                <w:szCs w:val="20"/>
              </w:rPr>
              <w:t>02</w:t>
            </w:r>
          </w:p>
        </w:tc>
        <w:tc>
          <w:tcPr>
            <w:tcW w:w="1516" w:type="dxa"/>
            <w:tcBorders>
              <w:top w:val="nil"/>
              <w:left w:val="single" w:sz="4" w:space="0" w:color="auto"/>
              <w:bottom w:val="single" w:sz="4" w:space="0" w:color="auto"/>
              <w:right w:val="nil"/>
            </w:tcBorders>
            <w:shd w:val="clear" w:color="auto" w:fill="auto"/>
            <w:noWrap/>
            <w:vAlign w:val="center"/>
            <w:hideMark/>
          </w:tcPr>
          <w:p w14:paraId="502AC4D2" w14:textId="77777777" w:rsidR="00387142" w:rsidRPr="008B6A75" w:rsidRDefault="00387142" w:rsidP="00387142">
            <w:pPr>
              <w:jc w:val="center"/>
              <w:rPr>
                <w:sz w:val="20"/>
                <w:szCs w:val="20"/>
              </w:rPr>
            </w:pPr>
            <w:r w:rsidRPr="008B6A75">
              <w:rPr>
                <w:sz w:val="20"/>
                <w:szCs w:val="20"/>
              </w:rPr>
              <w:t>99.0.00.01700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3CD9531" w14:textId="77777777" w:rsidR="00387142" w:rsidRPr="008B6A75" w:rsidRDefault="00387142" w:rsidP="00387142">
            <w:pPr>
              <w:jc w:val="center"/>
              <w:rPr>
                <w:sz w:val="20"/>
                <w:szCs w:val="20"/>
              </w:rPr>
            </w:pPr>
            <w:r w:rsidRPr="008B6A75">
              <w:rPr>
                <w:sz w:val="20"/>
                <w:szCs w:val="20"/>
              </w:rPr>
              <w:t>610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0E137AA" w14:textId="77777777" w:rsidR="00387142" w:rsidRPr="008B6A75" w:rsidRDefault="00387142" w:rsidP="00387142">
            <w:pPr>
              <w:jc w:val="right"/>
              <w:rPr>
                <w:sz w:val="20"/>
                <w:szCs w:val="20"/>
              </w:rPr>
            </w:pPr>
            <w:r w:rsidRPr="008B6A75">
              <w:rPr>
                <w:sz w:val="20"/>
                <w:szCs w:val="20"/>
              </w:rPr>
              <w:t>360 000,00</w:t>
            </w:r>
          </w:p>
        </w:tc>
        <w:tc>
          <w:tcPr>
            <w:tcW w:w="992" w:type="dxa"/>
            <w:tcBorders>
              <w:top w:val="nil"/>
              <w:left w:val="single" w:sz="4" w:space="0" w:color="auto"/>
              <w:bottom w:val="single" w:sz="4" w:space="0" w:color="auto"/>
              <w:right w:val="nil"/>
            </w:tcBorders>
            <w:shd w:val="clear" w:color="auto" w:fill="auto"/>
            <w:vAlign w:val="center"/>
            <w:hideMark/>
          </w:tcPr>
          <w:p w14:paraId="6B215DCE" w14:textId="77777777" w:rsidR="00387142" w:rsidRPr="008B6A75" w:rsidRDefault="00387142" w:rsidP="00387142">
            <w:pPr>
              <w:jc w:val="right"/>
              <w:rPr>
                <w:sz w:val="20"/>
                <w:szCs w:val="20"/>
              </w:rPr>
            </w:pPr>
            <w:r w:rsidRPr="008B6A75">
              <w:rPr>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7A189AFF" w14:textId="77777777" w:rsidR="00387142" w:rsidRPr="008B6A75" w:rsidRDefault="00387142" w:rsidP="00387142">
            <w:pPr>
              <w:jc w:val="right"/>
              <w:rPr>
                <w:sz w:val="20"/>
                <w:szCs w:val="20"/>
              </w:rPr>
            </w:pPr>
            <w:r w:rsidRPr="008B6A75">
              <w:rPr>
                <w:sz w:val="20"/>
                <w:szCs w:val="20"/>
              </w:rPr>
              <w:t>0,00</w:t>
            </w:r>
          </w:p>
        </w:tc>
      </w:tr>
      <w:tr w:rsidR="00387142" w:rsidRPr="008B6A75" w14:paraId="5B83E824" w14:textId="77777777" w:rsidTr="00387142">
        <w:trPr>
          <w:trHeight w:val="870"/>
        </w:trPr>
        <w:tc>
          <w:tcPr>
            <w:tcW w:w="3261" w:type="dxa"/>
            <w:tcBorders>
              <w:top w:val="nil"/>
              <w:left w:val="single" w:sz="4" w:space="0" w:color="auto"/>
              <w:bottom w:val="single" w:sz="4" w:space="0" w:color="auto"/>
              <w:right w:val="nil"/>
            </w:tcBorders>
            <w:shd w:val="clear" w:color="auto" w:fill="auto"/>
            <w:vAlign w:val="center"/>
            <w:hideMark/>
          </w:tcPr>
          <w:p w14:paraId="04DCC5B3" w14:textId="77777777" w:rsidR="00387142" w:rsidRPr="008B6A75" w:rsidRDefault="00387142" w:rsidP="00387142">
            <w:pPr>
              <w:rPr>
                <w:bCs/>
                <w:sz w:val="20"/>
                <w:szCs w:val="20"/>
              </w:rPr>
            </w:pPr>
            <w:r w:rsidRPr="008B6A75">
              <w:rPr>
                <w:bCs/>
                <w:sz w:val="20"/>
                <w:szCs w:val="20"/>
              </w:rPr>
              <w:t>Расходы на обеспечение деятельности (оказание услуг) начальных, неполных средних и средних школ, школ-детских садов</w:t>
            </w:r>
          </w:p>
        </w:tc>
        <w:tc>
          <w:tcPr>
            <w:tcW w:w="720" w:type="dxa"/>
            <w:tcBorders>
              <w:top w:val="nil"/>
              <w:left w:val="single" w:sz="4" w:space="0" w:color="auto"/>
              <w:bottom w:val="single" w:sz="4" w:space="0" w:color="auto"/>
              <w:right w:val="nil"/>
            </w:tcBorders>
            <w:shd w:val="clear" w:color="auto" w:fill="auto"/>
            <w:noWrap/>
            <w:vAlign w:val="center"/>
            <w:hideMark/>
          </w:tcPr>
          <w:p w14:paraId="24991A47" w14:textId="77777777" w:rsidR="00387142" w:rsidRPr="008B6A75" w:rsidRDefault="00387142" w:rsidP="00387142">
            <w:pPr>
              <w:jc w:val="center"/>
              <w:rPr>
                <w:bCs/>
                <w:sz w:val="20"/>
                <w:szCs w:val="20"/>
              </w:rPr>
            </w:pPr>
            <w:r w:rsidRPr="008B6A75">
              <w:rPr>
                <w:bCs/>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091DCC1" w14:textId="77777777" w:rsidR="00387142" w:rsidRPr="008B6A75" w:rsidRDefault="00387142" w:rsidP="00387142">
            <w:pPr>
              <w:jc w:val="center"/>
              <w:rPr>
                <w:bCs/>
                <w:sz w:val="20"/>
                <w:szCs w:val="20"/>
              </w:rPr>
            </w:pPr>
            <w:r w:rsidRPr="008B6A75">
              <w:rPr>
                <w:bCs/>
                <w:sz w:val="20"/>
                <w:szCs w:val="20"/>
              </w:rPr>
              <w:t>02</w:t>
            </w:r>
          </w:p>
        </w:tc>
        <w:tc>
          <w:tcPr>
            <w:tcW w:w="1516" w:type="dxa"/>
            <w:tcBorders>
              <w:top w:val="nil"/>
              <w:left w:val="single" w:sz="4" w:space="0" w:color="auto"/>
              <w:bottom w:val="single" w:sz="4" w:space="0" w:color="auto"/>
              <w:right w:val="nil"/>
            </w:tcBorders>
            <w:shd w:val="clear" w:color="auto" w:fill="auto"/>
            <w:noWrap/>
            <w:vAlign w:val="center"/>
            <w:hideMark/>
          </w:tcPr>
          <w:p w14:paraId="16CE8C1E" w14:textId="77777777" w:rsidR="00387142" w:rsidRPr="008B6A75" w:rsidRDefault="00387142" w:rsidP="00387142">
            <w:pPr>
              <w:jc w:val="center"/>
              <w:rPr>
                <w:bCs/>
                <w:sz w:val="20"/>
                <w:szCs w:val="20"/>
              </w:rPr>
            </w:pPr>
            <w:r w:rsidRPr="008B6A75">
              <w:rPr>
                <w:bCs/>
                <w:sz w:val="20"/>
                <w:szCs w:val="20"/>
              </w:rPr>
              <w:t>99.0.00.07290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CE210A0"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7A486AA" w14:textId="77777777" w:rsidR="00387142" w:rsidRPr="008B6A75" w:rsidRDefault="00387142" w:rsidP="00387142">
            <w:pPr>
              <w:jc w:val="right"/>
              <w:rPr>
                <w:bCs/>
                <w:sz w:val="20"/>
                <w:szCs w:val="20"/>
              </w:rPr>
            </w:pPr>
            <w:r w:rsidRPr="008B6A75">
              <w:rPr>
                <w:bCs/>
                <w:sz w:val="20"/>
                <w:szCs w:val="20"/>
              </w:rPr>
              <w:t>78 108,78</w:t>
            </w:r>
          </w:p>
        </w:tc>
        <w:tc>
          <w:tcPr>
            <w:tcW w:w="992" w:type="dxa"/>
            <w:tcBorders>
              <w:top w:val="nil"/>
              <w:left w:val="single" w:sz="4" w:space="0" w:color="auto"/>
              <w:bottom w:val="single" w:sz="4" w:space="0" w:color="auto"/>
              <w:right w:val="nil"/>
            </w:tcBorders>
            <w:shd w:val="clear" w:color="auto" w:fill="auto"/>
            <w:vAlign w:val="center"/>
            <w:hideMark/>
          </w:tcPr>
          <w:p w14:paraId="5DCF1EF8" w14:textId="77777777" w:rsidR="00387142" w:rsidRPr="008B6A75" w:rsidRDefault="00387142" w:rsidP="00387142">
            <w:pPr>
              <w:jc w:val="right"/>
              <w:rPr>
                <w:bCs/>
                <w:sz w:val="20"/>
                <w:szCs w:val="20"/>
              </w:rPr>
            </w:pPr>
            <w:r w:rsidRPr="008B6A75">
              <w:rPr>
                <w:bCs/>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6DE3E98E" w14:textId="77777777" w:rsidR="00387142" w:rsidRPr="008B6A75" w:rsidRDefault="00387142" w:rsidP="00387142">
            <w:pPr>
              <w:jc w:val="right"/>
              <w:rPr>
                <w:bCs/>
                <w:sz w:val="20"/>
                <w:szCs w:val="20"/>
              </w:rPr>
            </w:pPr>
            <w:r w:rsidRPr="008B6A75">
              <w:rPr>
                <w:bCs/>
                <w:sz w:val="20"/>
                <w:szCs w:val="20"/>
              </w:rPr>
              <w:t>0,00</w:t>
            </w:r>
          </w:p>
        </w:tc>
      </w:tr>
      <w:tr w:rsidR="00387142" w:rsidRPr="008B6A75" w14:paraId="28775DE8" w14:textId="77777777" w:rsidTr="00387142">
        <w:trPr>
          <w:trHeight w:val="585"/>
        </w:trPr>
        <w:tc>
          <w:tcPr>
            <w:tcW w:w="3261" w:type="dxa"/>
            <w:tcBorders>
              <w:top w:val="nil"/>
              <w:left w:val="single" w:sz="4" w:space="0" w:color="auto"/>
              <w:bottom w:val="single" w:sz="4" w:space="0" w:color="auto"/>
              <w:right w:val="nil"/>
            </w:tcBorders>
            <w:shd w:val="clear" w:color="auto" w:fill="auto"/>
            <w:vAlign w:val="center"/>
            <w:hideMark/>
          </w:tcPr>
          <w:p w14:paraId="6E6D9B25" w14:textId="77777777" w:rsidR="00387142" w:rsidRPr="008B6A75" w:rsidRDefault="00387142" w:rsidP="00387142">
            <w:pPr>
              <w:rPr>
                <w:sz w:val="20"/>
                <w:szCs w:val="20"/>
              </w:rPr>
            </w:pPr>
            <w:r w:rsidRPr="008B6A75">
              <w:rPr>
                <w:sz w:val="20"/>
                <w:szCs w:val="20"/>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7DE5D41F" w14:textId="77777777" w:rsidR="00387142" w:rsidRPr="008B6A75" w:rsidRDefault="00387142" w:rsidP="00387142">
            <w:pPr>
              <w:jc w:val="center"/>
              <w:rPr>
                <w:sz w:val="20"/>
                <w:szCs w:val="20"/>
              </w:rPr>
            </w:pPr>
            <w:r w:rsidRPr="008B6A75">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507A8DD" w14:textId="77777777" w:rsidR="00387142" w:rsidRPr="008B6A75" w:rsidRDefault="00387142" w:rsidP="00387142">
            <w:pPr>
              <w:jc w:val="center"/>
              <w:rPr>
                <w:sz w:val="20"/>
                <w:szCs w:val="20"/>
              </w:rPr>
            </w:pPr>
            <w:r w:rsidRPr="008B6A75">
              <w:rPr>
                <w:sz w:val="20"/>
                <w:szCs w:val="20"/>
              </w:rPr>
              <w:t>02</w:t>
            </w:r>
          </w:p>
        </w:tc>
        <w:tc>
          <w:tcPr>
            <w:tcW w:w="1516" w:type="dxa"/>
            <w:tcBorders>
              <w:top w:val="nil"/>
              <w:left w:val="single" w:sz="4" w:space="0" w:color="auto"/>
              <w:bottom w:val="single" w:sz="4" w:space="0" w:color="auto"/>
              <w:right w:val="nil"/>
            </w:tcBorders>
            <w:shd w:val="clear" w:color="auto" w:fill="auto"/>
            <w:noWrap/>
            <w:vAlign w:val="center"/>
            <w:hideMark/>
          </w:tcPr>
          <w:p w14:paraId="41E60D03" w14:textId="77777777" w:rsidR="00387142" w:rsidRPr="008B6A75" w:rsidRDefault="00387142" w:rsidP="00387142">
            <w:pPr>
              <w:jc w:val="center"/>
              <w:rPr>
                <w:sz w:val="20"/>
                <w:szCs w:val="20"/>
              </w:rPr>
            </w:pPr>
            <w:r w:rsidRPr="008B6A75">
              <w:rPr>
                <w:sz w:val="20"/>
                <w:szCs w:val="20"/>
              </w:rPr>
              <w:t>99.0.00.07290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18E0721" w14:textId="77777777" w:rsidR="00387142" w:rsidRPr="008B6A75" w:rsidRDefault="00387142" w:rsidP="00387142">
            <w:pPr>
              <w:jc w:val="center"/>
              <w:rPr>
                <w:sz w:val="20"/>
                <w:szCs w:val="20"/>
              </w:rPr>
            </w:pPr>
            <w:r w:rsidRPr="008B6A75">
              <w:rPr>
                <w:sz w:val="20"/>
                <w:szCs w:val="20"/>
              </w:rPr>
              <w:t>200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0B44B11" w14:textId="77777777" w:rsidR="00387142" w:rsidRPr="008B6A75" w:rsidRDefault="00387142" w:rsidP="00387142">
            <w:pPr>
              <w:jc w:val="right"/>
              <w:rPr>
                <w:sz w:val="20"/>
                <w:szCs w:val="20"/>
              </w:rPr>
            </w:pPr>
            <w:r w:rsidRPr="008B6A75">
              <w:rPr>
                <w:sz w:val="20"/>
                <w:szCs w:val="20"/>
              </w:rPr>
              <w:t>78 108,78</w:t>
            </w:r>
          </w:p>
        </w:tc>
        <w:tc>
          <w:tcPr>
            <w:tcW w:w="992" w:type="dxa"/>
            <w:tcBorders>
              <w:top w:val="nil"/>
              <w:left w:val="single" w:sz="4" w:space="0" w:color="auto"/>
              <w:bottom w:val="single" w:sz="4" w:space="0" w:color="auto"/>
              <w:right w:val="nil"/>
            </w:tcBorders>
            <w:shd w:val="clear" w:color="auto" w:fill="auto"/>
            <w:vAlign w:val="center"/>
            <w:hideMark/>
          </w:tcPr>
          <w:p w14:paraId="0FB088FF" w14:textId="77777777" w:rsidR="00387142" w:rsidRPr="008B6A75" w:rsidRDefault="00387142" w:rsidP="00387142">
            <w:pPr>
              <w:jc w:val="right"/>
              <w:rPr>
                <w:sz w:val="20"/>
                <w:szCs w:val="20"/>
              </w:rPr>
            </w:pPr>
            <w:r w:rsidRPr="008B6A75">
              <w:rPr>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02844C7F" w14:textId="77777777" w:rsidR="00387142" w:rsidRPr="008B6A75" w:rsidRDefault="00387142" w:rsidP="00387142">
            <w:pPr>
              <w:jc w:val="right"/>
              <w:rPr>
                <w:sz w:val="20"/>
                <w:szCs w:val="20"/>
              </w:rPr>
            </w:pPr>
            <w:r w:rsidRPr="008B6A75">
              <w:rPr>
                <w:sz w:val="20"/>
                <w:szCs w:val="20"/>
              </w:rPr>
              <w:t>0,00</w:t>
            </w:r>
          </w:p>
        </w:tc>
      </w:tr>
      <w:tr w:rsidR="00387142" w:rsidRPr="008B6A75" w14:paraId="02D3CBAB" w14:textId="77777777" w:rsidTr="00387142">
        <w:trPr>
          <w:trHeight w:val="870"/>
        </w:trPr>
        <w:tc>
          <w:tcPr>
            <w:tcW w:w="3261" w:type="dxa"/>
            <w:tcBorders>
              <w:top w:val="nil"/>
              <w:left w:val="single" w:sz="4" w:space="0" w:color="auto"/>
              <w:bottom w:val="single" w:sz="4" w:space="0" w:color="auto"/>
              <w:right w:val="nil"/>
            </w:tcBorders>
            <w:shd w:val="clear" w:color="auto" w:fill="auto"/>
            <w:vAlign w:val="center"/>
            <w:hideMark/>
          </w:tcPr>
          <w:p w14:paraId="065A68DA" w14:textId="77777777" w:rsidR="00387142" w:rsidRPr="008B6A75" w:rsidRDefault="00387142" w:rsidP="00387142">
            <w:pPr>
              <w:rPr>
                <w:sz w:val="20"/>
                <w:szCs w:val="20"/>
              </w:rPr>
            </w:pPr>
            <w:r w:rsidRPr="008B6A75">
              <w:rPr>
                <w:sz w:val="20"/>
                <w:szCs w:val="20"/>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557515F6" w14:textId="77777777" w:rsidR="00387142" w:rsidRPr="008B6A75" w:rsidRDefault="00387142" w:rsidP="00387142">
            <w:pPr>
              <w:jc w:val="center"/>
              <w:rPr>
                <w:sz w:val="20"/>
                <w:szCs w:val="20"/>
              </w:rPr>
            </w:pPr>
            <w:r w:rsidRPr="008B6A75">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7D86300" w14:textId="77777777" w:rsidR="00387142" w:rsidRPr="008B6A75" w:rsidRDefault="00387142" w:rsidP="00387142">
            <w:pPr>
              <w:jc w:val="center"/>
              <w:rPr>
                <w:sz w:val="20"/>
                <w:szCs w:val="20"/>
              </w:rPr>
            </w:pPr>
            <w:r w:rsidRPr="008B6A75">
              <w:rPr>
                <w:sz w:val="20"/>
                <w:szCs w:val="20"/>
              </w:rPr>
              <w:t>02</w:t>
            </w:r>
          </w:p>
        </w:tc>
        <w:tc>
          <w:tcPr>
            <w:tcW w:w="1516" w:type="dxa"/>
            <w:tcBorders>
              <w:top w:val="nil"/>
              <w:left w:val="single" w:sz="4" w:space="0" w:color="auto"/>
              <w:bottom w:val="single" w:sz="4" w:space="0" w:color="auto"/>
              <w:right w:val="nil"/>
            </w:tcBorders>
            <w:shd w:val="clear" w:color="auto" w:fill="auto"/>
            <w:noWrap/>
            <w:vAlign w:val="center"/>
            <w:hideMark/>
          </w:tcPr>
          <w:p w14:paraId="135AA84E" w14:textId="77777777" w:rsidR="00387142" w:rsidRPr="008B6A75" w:rsidRDefault="00387142" w:rsidP="00387142">
            <w:pPr>
              <w:jc w:val="center"/>
              <w:rPr>
                <w:sz w:val="20"/>
                <w:szCs w:val="20"/>
              </w:rPr>
            </w:pPr>
            <w:r w:rsidRPr="008B6A75">
              <w:rPr>
                <w:sz w:val="20"/>
                <w:szCs w:val="20"/>
              </w:rPr>
              <w:t>99.0.00.07290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7F77FBF" w14:textId="77777777" w:rsidR="00387142" w:rsidRPr="008B6A75" w:rsidRDefault="00387142" w:rsidP="00387142">
            <w:pPr>
              <w:jc w:val="center"/>
              <w:rPr>
                <w:sz w:val="20"/>
                <w:szCs w:val="20"/>
              </w:rPr>
            </w:pPr>
            <w:r w:rsidRPr="008B6A75">
              <w:rPr>
                <w:sz w:val="20"/>
                <w:szCs w:val="20"/>
              </w:rPr>
              <w:t>240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CEC79D6" w14:textId="77777777" w:rsidR="00387142" w:rsidRPr="008B6A75" w:rsidRDefault="00387142" w:rsidP="00387142">
            <w:pPr>
              <w:jc w:val="right"/>
              <w:rPr>
                <w:sz w:val="20"/>
                <w:szCs w:val="20"/>
              </w:rPr>
            </w:pPr>
            <w:r w:rsidRPr="008B6A75">
              <w:rPr>
                <w:sz w:val="20"/>
                <w:szCs w:val="20"/>
              </w:rPr>
              <w:t>78 108,78</w:t>
            </w:r>
          </w:p>
        </w:tc>
        <w:tc>
          <w:tcPr>
            <w:tcW w:w="992" w:type="dxa"/>
            <w:tcBorders>
              <w:top w:val="nil"/>
              <w:left w:val="single" w:sz="4" w:space="0" w:color="auto"/>
              <w:bottom w:val="single" w:sz="4" w:space="0" w:color="auto"/>
              <w:right w:val="nil"/>
            </w:tcBorders>
            <w:shd w:val="clear" w:color="auto" w:fill="auto"/>
            <w:vAlign w:val="center"/>
            <w:hideMark/>
          </w:tcPr>
          <w:p w14:paraId="670ACA1A" w14:textId="77777777" w:rsidR="00387142" w:rsidRPr="008B6A75" w:rsidRDefault="00387142" w:rsidP="00387142">
            <w:pPr>
              <w:jc w:val="right"/>
              <w:rPr>
                <w:sz w:val="20"/>
                <w:szCs w:val="20"/>
              </w:rPr>
            </w:pPr>
            <w:r w:rsidRPr="008B6A75">
              <w:rPr>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23F82C9A" w14:textId="77777777" w:rsidR="00387142" w:rsidRPr="008B6A75" w:rsidRDefault="00387142" w:rsidP="00387142">
            <w:pPr>
              <w:jc w:val="right"/>
              <w:rPr>
                <w:sz w:val="20"/>
                <w:szCs w:val="20"/>
              </w:rPr>
            </w:pPr>
            <w:r w:rsidRPr="008B6A75">
              <w:rPr>
                <w:sz w:val="20"/>
                <w:szCs w:val="20"/>
              </w:rPr>
              <w:t>0,00</w:t>
            </w:r>
          </w:p>
        </w:tc>
      </w:tr>
      <w:tr w:rsidR="00387142" w:rsidRPr="008B6A75" w14:paraId="50880BFE" w14:textId="77777777" w:rsidTr="00387142">
        <w:trPr>
          <w:trHeight w:val="1155"/>
        </w:trPr>
        <w:tc>
          <w:tcPr>
            <w:tcW w:w="3261" w:type="dxa"/>
            <w:tcBorders>
              <w:top w:val="nil"/>
              <w:left w:val="single" w:sz="4" w:space="0" w:color="auto"/>
              <w:bottom w:val="single" w:sz="4" w:space="0" w:color="auto"/>
              <w:right w:val="nil"/>
            </w:tcBorders>
            <w:shd w:val="clear" w:color="auto" w:fill="auto"/>
            <w:vAlign w:val="center"/>
            <w:hideMark/>
          </w:tcPr>
          <w:p w14:paraId="123909AF" w14:textId="77777777" w:rsidR="00387142" w:rsidRPr="008B6A75" w:rsidRDefault="00387142" w:rsidP="00387142">
            <w:pPr>
              <w:rPr>
                <w:bCs/>
                <w:sz w:val="20"/>
                <w:szCs w:val="20"/>
              </w:rPr>
            </w:pPr>
            <w:r w:rsidRPr="008B6A75">
              <w:rPr>
                <w:bCs/>
                <w:sz w:val="20"/>
                <w:szCs w:val="20"/>
              </w:rPr>
              <w:lastRenderedPageBreak/>
              <w:t>Организация и осуществление деятельности по опеке и попечительству, социальной поддержке детей-сирот и детей, оставшихся без попечения родителей</w:t>
            </w:r>
          </w:p>
        </w:tc>
        <w:tc>
          <w:tcPr>
            <w:tcW w:w="720" w:type="dxa"/>
            <w:tcBorders>
              <w:top w:val="nil"/>
              <w:left w:val="single" w:sz="4" w:space="0" w:color="auto"/>
              <w:bottom w:val="single" w:sz="4" w:space="0" w:color="auto"/>
              <w:right w:val="nil"/>
            </w:tcBorders>
            <w:shd w:val="clear" w:color="auto" w:fill="auto"/>
            <w:noWrap/>
            <w:vAlign w:val="center"/>
            <w:hideMark/>
          </w:tcPr>
          <w:p w14:paraId="313538A6" w14:textId="77777777" w:rsidR="00387142" w:rsidRPr="008B6A75" w:rsidRDefault="00387142" w:rsidP="00387142">
            <w:pPr>
              <w:jc w:val="center"/>
              <w:rPr>
                <w:bCs/>
                <w:sz w:val="20"/>
                <w:szCs w:val="20"/>
              </w:rPr>
            </w:pPr>
            <w:r w:rsidRPr="008B6A75">
              <w:rPr>
                <w:bCs/>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1CAFA04" w14:textId="77777777" w:rsidR="00387142" w:rsidRPr="008B6A75" w:rsidRDefault="00387142" w:rsidP="00387142">
            <w:pPr>
              <w:jc w:val="center"/>
              <w:rPr>
                <w:bCs/>
                <w:sz w:val="20"/>
                <w:szCs w:val="20"/>
              </w:rPr>
            </w:pPr>
            <w:r w:rsidRPr="008B6A75">
              <w:rPr>
                <w:bCs/>
                <w:sz w:val="20"/>
                <w:szCs w:val="20"/>
              </w:rPr>
              <w:t>02</w:t>
            </w:r>
          </w:p>
        </w:tc>
        <w:tc>
          <w:tcPr>
            <w:tcW w:w="1516" w:type="dxa"/>
            <w:tcBorders>
              <w:top w:val="nil"/>
              <w:left w:val="single" w:sz="4" w:space="0" w:color="auto"/>
              <w:bottom w:val="single" w:sz="4" w:space="0" w:color="auto"/>
              <w:right w:val="nil"/>
            </w:tcBorders>
            <w:shd w:val="clear" w:color="auto" w:fill="auto"/>
            <w:noWrap/>
            <w:vAlign w:val="center"/>
            <w:hideMark/>
          </w:tcPr>
          <w:p w14:paraId="42E650C2" w14:textId="77777777" w:rsidR="00387142" w:rsidRPr="008B6A75" w:rsidRDefault="00387142" w:rsidP="00387142">
            <w:pPr>
              <w:jc w:val="center"/>
              <w:rPr>
                <w:bCs/>
                <w:sz w:val="20"/>
                <w:szCs w:val="20"/>
              </w:rPr>
            </w:pPr>
            <w:r w:rsidRPr="008B6A75">
              <w:rPr>
                <w:bCs/>
                <w:sz w:val="20"/>
                <w:szCs w:val="20"/>
              </w:rPr>
              <w:t>99.0.00.70289</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8B4EC22"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FD39D08" w14:textId="77777777" w:rsidR="00387142" w:rsidRPr="008B6A75" w:rsidRDefault="00387142" w:rsidP="00387142">
            <w:pPr>
              <w:jc w:val="right"/>
              <w:rPr>
                <w:bCs/>
                <w:sz w:val="20"/>
                <w:szCs w:val="20"/>
              </w:rPr>
            </w:pPr>
            <w:r w:rsidRPr="008B6A75">
              <w:rPr>
                <w:bCs/>
                <w:sz w:val="20"/>
                <w:szCs w:val="20"/>
              </w:rPr>
              <w:t>7 504 260,00</w:t>
            </w:r>
          </w:p>
        </w:tc>
        <w:tc>
          <w:tcPr>
            <w:tcW w:w="992" w:type="dxa"/>
            <w:tcBorders>
              <w:top w:val="nil"/>
              <w:left w:val="single" w:sz="4" w:space="0" w:color="auto"/>
              <w:bottom w:val="single" w:sz="4" w:space="0" w:color="auto"/>
              <w:right w:val="nil"/>
            </w:tcBorders>
            <w:shd w:val="clear" w:color="auto" w:fill="auto"/>
            <w:vAlign w:val="center"/>
            <w:hideMark/>
          </w:tcPr>
          <w:p w14:paraId="243C1D17" w14:textId="77777777" w:rsidR="00387142" w:rsidRPr="008B6A75" w:rsidRDefault="00387142" w:rsidP="00387142">
            <w:pPr>
              <w:jc w:val="right"/>
              <w:rPr>
                <w:bCs/>
                <w:sz w:val="20"/>
                <w:szCs w:val="20"/>
              </w:rPr>
            </w:pPr>
            <w:r w:rsidRPr="008B6A75">
              <w:rPr>
                <w:bCs/>
                <w:sz w:val="20"/>
                <w:szCs w:val="20"/>
              </w:rPr>
              <w:t>6 180 400,00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3134C576" w14:textId="77777777" w:rsidR="00387142" w:rsidRPr="008B6A75" w:rsidRDefault="00387142" w:rsidP="00387142">
            <w:pPr>
              <w:jc w:val="right"/>
              <w:rPr>
                <w:bCs/>
                <w:sz w:val="20"/>
                <w:szCs w:val="20"/>
              </w:rPr>
            </w:pPr>
            <w:r w:rsidRPr="008B6A75">
              <w:rPr>
                <w:bCs/>
                <w:sz w:val="20"/>
                <w:szCs w:val="20"/>
              </w:rPr>
              <w:t>5 406 500,00</w:t>
            </w:r>
          </w:p>
        </w:tc>
      </w:tr>
      <w:tr w:rsidR="00387142" w:rsidRPr="008B6A75" w14:paraId="25A471F7" w14:textId="77777777" w:rsidTr="00387142">
        <w:trPr>
          <w:trHeight w:val="1440"/>
        </w:trPr>
        <w:tc>
          <w:tcPr>
            <w:tcW w:w="3261" w:type="dxa"/>
            <w:tcBorders>
              <w:top w:val="nil"/>
              <w:left w:val="single" w:sz="4" w:space="0" w:color="auto"/>
              <w:bottom w:val="single" w:sz="4" w:space="0" w:color="auto"/>
              <w:right w:val="nil"/>
            </w:tcBorders>
            <w:shd w:val="clear" w:color="auto" w:fill="auto"/>
            <w:vAlign w:val="center"/>
            <w:hideMark/>
          </w:tcPr>
          <w:p w14:paraId="0E40FE19" w14:textId="77777777" w:rsidR="00387142" w:rsidRPr="008B6A75" w:rsidRDefault="00387142" w:rsidP="00387142">
            <w:pPr>
              <w:rPr>
                <w:sz w:val="20"/>
                <w:szCs w:val="20"/>
              </w:rPr>
            </w:pPr>
            <w:r w:rsidRPr="008B6A7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14:paraId="6E60AAFE" w14:textId="77777777" w:rsidR="00387142" w:rsidRPr="008B6A75" w:rsidRDefault="00387142" w:rsidP="00387142">
            <w:pPr>
              <w:jc w:val="center"/>
              <w:rPr>
                <w:sz w:val="20"/>
                <w:szCs w:val="20"/>
              </w:rPr>
            </w:pPr>
            <w:r w:rsidRPr="008B6A75">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D8CCF08" w14:textId="77777777" w:rsidR="00387142" w:rsidRPr="008B6A75" w:rsidRDefault="00387142" w:rsidP="00387142">
            <w:pPr>
              <w:jc w:val="center"/>
              <w:rPr>
                <w:sz w:val="20"/>
                <w:szCs w:val="20"/>
              </w:rPr>
            </w:pPr>
            <w:r w:rsidRPr="008B6A75">
              <w:rPr>
                <w:sz w:val="20"/>
                <w:szCs w:val="20"/>
              </w:rPr>
              <w:t>02</w:t>
            </w:r>
          </w:p>
        </w:tc>
        <w:tc>
          <w:tcPr>
            <w:tcW w:w="1516" w:type="dxa"/>
            <w:tcBorders>
              <w:top w:val="nil"/>
              <w:left w:val="single" w:sz="4" w:space="0" w:color="auto"/>
              <w:bottom w:val="single" w:sz="4" w:space="0" w:color="auto"/>
              <w:right w:val="nil"/>
            </w:tcBorders>
            <w:shd w:val="clear" w:color="auto" w:fill="auto"/>
            <w:noWrap/>
            <w:vAlign w:val="center"/>
            <w:hideMark/>
          </w:tcPr>
          <w:p w14:paraId="6DEF2A03" w14:textId="77777777" w:rsidR="00387142" w:rsidRPr="008B6A75" w:rsidRDefault="00387142" w:rsidP="00387142">
            <w:pPr>
              <w:jc w:val="center"/>
              <w:rPr>
                <w:sz w:val="20"/>
                <w:szCs w:val="20"/>
              </w:rPr>
            </w:pPr>
            <w:r w:rsidRPr="008B6A75">
              <w:rPr>
                <w:sz w:val="20"/>
                <w:szCs w:val="20"/>
              </w:rPr>
              <w:t>99.0.00.70289</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B2BB991" w14:textId="77777777" w:rsidR="00387142" w:rsidRPr="008B6A75" w:rsidRDefault="00387142" w:rsidP="00387142">
            <w:pPr>
              <w:jc w:val="center"/>
              <w:rPr>
                <w:sz w:val="20"/>
                <w:szCs w:val="20"/>
              </w:rPr>
            </w:pPr>
            <w:r w:rsidRPr="008B6A75">
              <w:rPr>
                <w:sz w:val="20"/>
                <w:szCs w:val="20"/>
              </w:rPr>
              <w:t>100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77AA88C" w14:textId="77777777" w:rsidR="00387142" w:rsidRPr="008B6A75" w:rsidRDefault="00387142" w:rsidP="00387142">
            <w:pPr>
              <w:jc w:val="right"/>
              <w:rPr>
                <w:sz w:val="20"/>
                <w:szCs w:val="20"/>
              </w:rPr>
            </w:pPr>
            <w:r w:rsidRPr="008B6A75">
              <w:rPr>
                <w:sz w:val="20"/>
                <w:szCs w:val="20"/>
              </w:rPr>
              <w:t>160 000,00</w:t>
            </w:r>
          </w:p>
        </w:tc>
        <w:tc>
          <w:tcPr>
            <w:tcW w:w="992" w:type="dxa"/>
            <w:tcBorders>
              <w:top w:val="nil"/>
              <w:left w:val="single" w:sz="4" w:space="0" w:color="auto"/>
              <w:bottom w:val="single" w:sz="4" w:space="0" w:color="auto"/>
              <w:right w:val="nil"/>
            </w:tcBorders>
            <w:shd w:val="clear" w:color="auto" w:fill="auto"/>
            <w:vAlign w:val="center"/>
            <w:hideMark/>
          </w:tcPr>
          <w:p w14:paraId="27A0D788" w14:textId="77777777" w:rsidR="00387142" w:rsidRPr="008B6A75" w:rsidRDefault="00387142" w:rsidP="00387142">
            <w:pPr>
              <w:jc w:val="right"/>
              <w:rPr>
                <w:sz w:val="20"/>
                <w:szCs w:val="20"/>
              </w:rPr>
            </w:pPr>
            <w:r w:rsidRPr="008B6A75">
              <w:rPr>
                <w:sz w:val="20"/>
                <w:szCs w:val="20"/>
              </w:rPr>
              <w:t>300 000,00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6079399F" w14:textId="77777777" w:rsidR="00387142" w:rsidRPr="008B6A75" w:rsidRDefault="00387142" w:rsidP="00387142">
            <w:pPr>
              <w:jc w:val="right"/>
              <w:rPr>
                <w:sz w:val="20"/>
                <w:szCs w:val="20"/>
              </w:rPr>
            </w:pPr>
            <w:r w:rsidRPr="008B6A75">
              <w:rPr>
                <w:sz w:val="20"/>
                <w:szCs w:val="20"/>
              </w:rPr>
              <w:t>300 000,00</w:t>
            </w:r>
          </w:p>
        </w:tc>
      </w:tr>
      <w:tr w:rsidR="00387142" w:rsidRPr="008B6A75" w14:paraId="5B0EA754" w14:textId="77777777" w:rsidTr="00387142">
        <w:trPr>
          <w:trHeight w:val="585"/>
        </w:trPr>
        <w:tc>
          <w:tcPr>
            <w:tcW w:w="3261" w:type="dxa"/>
            <w:tcBorders>
              <w:top w:val="nil"/>
              <w:left w:val="single" w:sz="4" w:space="0" w:color="auto"/>
              <w:bottom w:val="single" w:sz="4" w:space="0" w:color="auto"/>
              <w:right w:val="nil"/>
            </w:tcBorders>
            <w:shd w:val="clear" w:color="auto" w:fill="auto"/>
            <w:vAlign w:val="center"/>
            <w:hideMark/>
          </w:tcPr>
          <w:p w14:paraId="30B4C51B" w14:textId="77777777" w:rsidR="00387142" w:rsidRPr="008B6A75" w:rsidRDefault="00387142" w:rsidP="00387142">
            <w:pPr>
              <w:rPr>
                <w:sz w:val="20"/>
                <w:szCs w:val="20"/>
              </w:rPr>
            </w:pPr>
            <w:r w:rsidRPr="008B6A75">
              <w:rPr>
                <w:sz w:val="20"/>
                <w:szCs w:val="20"/>
              </w:rPr>
              <w:t>Расходы на выплаты персоналу казенных учреждений</w:t>
            </w:r>
          </w:p>
        </w:tc>
        <w:tc>
          <w:tcPr>
            <w:tcW w:w="720" w:type="dxa"/>
            <w:tcBorders>
              <w:top w:val="nil"/>
              <w:left w:val="single" w:sz="4" w:space="0" w:color="auto"/>
              <w:bottom w:val="single" w:sz="4" w:space="0" w:color="auto"/>
              <w:right w:val="nil"/>
            </w:tcBorders>
            <w:shd w:val="clear" w:color="auto" w:fill="auto"/>
            <w:noWrap/>
            <w:vAlign w:val="center"/>
            <w:hideMark/>
          </w:tcPr>
          <w:p w14:paraId="21FA7560" w14:textId="77777777" w:rsidR="00387142" w:rsidRPr="008B6A75" w:rsidRDefault="00387142" w:rsidP="00387142">
            <w:pPr>
              <w:jc w:val="center"/>
              <w:rPr>
                <w:sz w:val="20"/>
                <w:szCs w:val="20"/>
              </w:rPr>
            </w:pPr>
            <w:r w:rsidRPr="008B6A75">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075B22D" w14:textId="77777777" w:rsidR="00387142" w:rsidRPr="008B6A75" w:rsidRDefault="00387142" w:rsidP="00387142">
            <w:pPr>
              <w:jc w:val="center"/>
              <w:rPr>
                <w:sz w:val="20"/>
                <w:szCs w:val="20"/>
              </w:rPr>
            </w:pPr>
            <w:r w:rsidRPr="008B6A75">
              <w:rPr>
                <w:sz w:val="20"/>
                <w:szCs w:val="20"/>
              </w:rPr>
              <w:t>02</w:t>
            </w:r>
          </w:p>
        </w:tc>
        <w:tc>
          <w:tcPr>
            <w:tcW w:w="1516" w:type="dxa"/>
            <w:tcBorders>
              <w:top w:val="nil"/>
              <w:left w:val="single" w:sz="4" w:space="0" w:color="auto"/>
              <w:bottom w:val="single" w:sz="4" w:space="0" w:color="auto"/>
              <w:right w:val="nil"/>
            </w:tcBorders>
            <w:shd w:val="clear" w:color="auto" w:fill="auto"/>
            <w:noWrap/>
            <w:vAlign w:val="center"/>
            <w:hideMark/>
          </w:tcPr>
          <w:p w14:paraId="5E413B11" w14:textId="77777777" w:rsidR="00387142" w:rsidRPr="008B6A75" w:rsidRDefault="00387142" w:rsidP="00387142">
            <w:pPr>
              <w:jc w:val="center"/>
              <w:rPr>
                <w:sz w:val="20"/>
                <w:szCs w:val="20"/>
              </w:rPr>
            </w:pPr>
            <w:r w:rsidRPr="008B6A75">
              <w:rPr>
                <w:sz w:val="20"/>
                <w:szCs w:val="20"/>
              </w:rPr>
              <w:t>99.0.00.70289</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783E966" w14:textId="77777777" w:rsidR="00387142" w:rsidRPr="008B6A75" w:rsidRDefault="00387142" w:rsidP="00387142">
            <w:pPr>
              <w:jc w:val="center"/>
              <w:rPr>
                <w:sz w:val="20"/>
                <w:szCs w:val="20"/>
              </w:rPr>
            </w:pPr>
            <w:r w:rsidRPr="008B6A75">
              <w:rPr>
                <w:sz w:val="20"/>
                <w:szCs w:val="20"/>
              </w:rPr>
              <w:t>110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A9DA8F2" w14:textId="77777777" w:rsidR="00387142" w:rsidRPr="008B6A75" w:rsidRDefault="00387142" w:rsidP="00387142">
            <w:pPr>
              <w:jc w:val="right"/>
              <w:rPr>
                <w:sz w:val="20"/>
                <w:szCs w:val="20"/>
              </w:rPr>
            </w:pPr>
            <w:r w:rsidRPr="008B6A75">
              <w:rPr>
                <w:sz w:val="20"/>
                <w:szCs w:val="20"/>
              </w:rPr>
              <w:t>160 000,00</w:t>
            </w:r>
          </w:p>
        </w:tc>
        <w:tc>
          <w:tcPr>
            <w:tcW w:w="992" w:type="dxa"/>
            <w:tcBorders>
              <w:top w:val="nil"/>
              <w:left w:val="single" w:sz="4" w:space="0" w:color="auto"/>
              <w:bottom w:val="single" w:sz="4" w:space="0" w:color="auto"/>
              <w:right w:val="nil"/>
            </w:tcBorders>
            <w:shd w:val="clear" w:color="auto" w:fill="auto"/>
            <w:vAlign w:val="center"/>
            <w:hideMark/>
          </w:tcPr>
          <w:p w14:paraId="3D674346" w14:textId="77777777" w:rsidR="00387142" w:rsidRPr="008B6A75" w:rsidRDefault="00387142" w:rsidP="00387142">
            <w:pPr>
              <w:jc w:val="right"/>
              <w:rPr>
                <w:sz w:val="20"/>
                <w:szCs w:val="20"/>
              </w:rPr>
            </w:pPr>
            <w:r w:rsidRPr="008B6A75">
              <w:rPr>
                <w:sz w:val="20"/>
                <w:szCs w:val="20"/>
              </w:rPr>
              <w:t>300 000,00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3D8CBBD5" w14:textId="77777777" w:rsidR="00387142" w:rsidRPr="008B6A75" w:rsidRDefault="00387142" w:rsidP="00387142">
            <w:pPr>
              <w:jc w:val="right"/>
              <w:rPr>
                <w:sz w:val="20"/>
                <w:szCs w:val="20"/>
              </w:rPr>
            </w:pPr>
            <w:r w:rsidRPr="008B6A75">
              <w:rPr>
                <w:sz w:val="20"/>
                <w:szCs w:val="20"/>
              </w:rPr>
              <w:t>300 000,00</w:t>
            </w:r>
          </w:p>
        </w:tc>
      </w:tr>
      <w:tr w:rsidR="00387142" w:rsidRPr="008B6A75" w14:paraId="28083240" w14:textId="77777777" w:rsidTr="00387142">
        <w:trPr>
          <w:trHeight w:val="585"/>
        </w:trPr>
        <w:tc>
          <w:tcPr>
            <w:tcW w:w="3261" w:type="dxa"/>
            <w:tcBorders>
              <w:top w:val="nil"/>
              <w:left w:val="single" w:sz="4" w:space="0" w:color="auto"/>
              <w:bottom w:val="single" w:sz="4" w:space="0" w:color="auto"/>
              <w:right w:val="nil"/>
            </w:tcBorders>
            <w:shd w:val="clear" w:color="auto" w:fill="auto"/>
            <w:vAlign w:val="center"/>
            <w:hideMark/>
          </w:tcPr>
          <w:p w14:paraId="5C363042" w14:textId="77777777" w:rsidR="00387142" w:rsidRPr="008B6A75" w:rsidRDefault="00387142" w:rsidP="00387142">
            <w:pPr>
              <w:rPr>
                <w:sz w:val="20"/>
                <w:szCs w:val="20"/>
              </w:rPr>
            </w:pPr>
            <w:r w:rsidRPr="008B6A75">
              <w:rPr>
                <w:sz w:val="20"/>
                <w:szCs w:val="20"/>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25E63FA7" w14:textId="77777777" w:rsidR="00387142" w:rsidRPr="008B6A75" w:rsidRDefault="00387142" w:rsidP="00387142">
            <w:pPr>
              <w:jc w:val="center"/>
              <w:rPr>
                <w:sz w:val="20"/>
                <w:szCs w:val="20"/>
              </w:rPr>
            </w:pPr>
            <w:r w:rsidRPr="008B6A75">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D249DD2" w14:textId="77777777" w:rsidR="00387142" w:rsidRPr="008B6A75" w:rsidRDefault="00387142" w:rsidP="00387142">
            <w:pPr>
              <w:jc w:val="center"/>
              <w:rPr>
                <w:sz w:val="20"/>
                <w:szCs w:val="20"/>
              </w:rPr>
            </w:pPr>
            <w:r w:rsidRPr="008B6A75">
              <w:rPr>
                <w:sz w:val="20"/>
                <w:szCs w:val="20"/>
              </w:rPr>
              <w:t>02</w:t>
            </w:r>
          </w:p>
        </w:tc>
        <w:tc>
          <w:tcPr>
            <w:tcW w:w="1516" w:type="dxa"/>
            <w:tcBorders>
              <w:top w:val="nil"/>
              <w:left w:val="single" w:sz="4" w:space="0" w:color="auto"/>
              <w:bottom w:val="single" w:sz="4" w:space="0" w:color="auto"/>
              <w:right w:val="nil"/>
            </w:tcBorders>
            <w:shd w:val="clear" w:color="auto" w:fill="auto"/>
            <w:noWrap/>
            <w:vAlign w:val="center"/>
            <w:hideMark/>
          </w:tcPr>
          <w:p w14:paraId="50C744F3" w14:textId="77777777" w:rsidR="00387142" w:rsidRPr="008B6A75" w:rsidRDefault="00387142" w:rsidP="00387142">
            <w:pPr>
              <w:jc w:val="center"/>
              <w:rPr>
                <w:sz w:val="20"/>
                <w:szCs w:val="20"/>
              </w:rPr>
            </w:pPr>
            <w:r w:rsidRPr="008B6A75">
              <w:rPr>
                <w:sz w:val="20"/>
                <w:szCs w:val="20"/>
              </w:rPr>
              <w:t>99.0.00.70289</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7ACF8F2" w14:textId="77777777" w:rsidR="00387142" w:rsidRPr="008B6A75" w:rsidRDefault="00387142" w:rsidP="00387142">
            <w:pPr>
              <w:jc w:val="center"/>
              <w:rPr>
                <w:sz w:val="20"/>
                <w:szCs w:val="20"/>
              </w:rPr>
            </w:pPr>
            <w:r w:rsidRPr="008B6A75">
              <w:rPr>
                <w:sz w:val="20"/>
                <w:szCs w:val="20"/>
              </w:rPr>
              <w:t>200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1D70727" w14:textId="77777777" w:rsidR="00387142" w:rsidRPr="008B6A75" w:rsidRDefault="00387142" w:rsidP="00387142">
            <w:pPr>
              <w:jc w:val="right"/>
              <w:rPr>
                <w:sz w:val="20"/>
                <w:szCs w:val="20"/>
              </w:rPr>
            </w:pPr>
            <w:r w:rsidRPr="008B6A75">
              <w:rPr>
                <w:sz w:val="20"/>
                <w:szCs w:val="20"/>
              </w:rPr>
              <w:t>7 096 108,80</w:t>
            </w:r>
          </w:p>
        </w:tc>
        <w:tc>
          <w:tcPr>
            <w:tcW w:w="992" w:type="dxa"/>
            <w:tcBorders>
              <w:top w:val="nil"/>
              <w:left w:val="single" w:sz="4" w:space="0" w:color="auto"/>
              <w:bottom w:val="single" w:sz="4" w:space="0" w:color="auto"/>
              <w:right w:val="nil"/>
            </w:tcBorders>
            <w:shd w:val="clear" w:color="auto" w:fill="auto"/>
            <w:vAlign w:val="center"/>
            <w:hideMark/>
          </w:tcPr>
          <w:p w14:paraId="013A0F3B" w14:textId="77777777" w:rsidR="00387142" w:rsidRPr="008B6A75" w:rsidRDefault="00387142" w:rsidP="00387142">
            <w:pPr>
              <w:jc w:val="right"/>
              <w:rPr>
                <w:sz w:val="20"/>
                <w:szCs w:val="20"/>
              </w:rPr>
            </w:pPr>
            <w:r w:rsidRPr="008B6A75">
              <w:rPr>
                <w:sz w:val="20"/>
                <w:szCs w:val="20"/>
              </w:rPr>
              <w:t>5 580 400,00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2B66F66B" w14:textId="77777777" w:rsidR="00387142" w:rsidRPr="008B6A75" w:rsidRDefault="00387142" w:rsidP="00387142">
            <w:pPr>
              <w:jc w:val="right"/>
              <w:rPr>
                <w:sz w:val="20"/>
                <w:szCs w:val="20"/>
              </w:rPr>
            </w:pPr>
            <w:r w:rsidRPr="008B6A75">
              <w:rPr>
                <w:sz w:val="20"/>
                <w:szCs w:val="20"/>
              </w:rPr>
              <w:t>4 806 500,00</w:t>
            </w:r>
          </w:p>
        </w:tc>
      </w:tr>
      <w:tr w:rsidR="00387142" w:rsidRPr="008B6A75" w14:paraId="4C583FAE" w14:textId="77777777" w:rsidTr="00387142">
        <w:trPr>
          <w:trHeight w:val="870"/>
        </w:trPr>
        <w:tc>
          <w:tcPr>
            <w:tcW w:w="3261" w:type="dxa"/>
            <w:tcBorders>
              <w:top w:val="nil"/>
              <w:left w:val="single" w:sz="4" w:space="0" w:color="auto"/>
              <w:bottom w:val="single" w:sz="4" w:space="0" w:color="auto"/>
              <w:right w:val="nil"/>
            </w:tcBorders>
            <w:shd w:val="clear" w:color="auto" w:fill="auto"/>
            <w:vAlign w:val="center"/>
            <w:hideMark/>
          </w:tcPr>
          <w:p w14:paraId="5D7C9C40" w14:textId="77777777" w:rsidR="00387142" w:rsidRPr="008B6A75" w:rsidRDefault="00387142" w:rsidP="00387142">
            <w:pPr>
              <w:rPr>
                <w:sz w:val="20"/>
                <w:szCs w:val="20"/>
              </w:rPr>
            </w:pPr>
            <w:r w:rsidRPr="008B6A75">
              <w:rPr>
                <w:sz w:val="20"/>
                <w:szCs w:val="20"/>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10832107" w14:textId="77777777" w:rsidR="00387142" w:rsidRPr="008B6A75" w:rsidRDefault="00387142" w:rsidP="00387142">
            <w:pPr>
              <w:jc w:val="center"/>
              <w:rPr>
                <w:sz w:val="20"/>
                <w:szCs w:val="20"/>
              </w:rPr>
            </w:pPr>
            <w:r w:rsidRPr="008B6A75">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196B634" w14:textId="77777777" w:rsidR="00387142" w:rsidRPr="008B6A75" w:rsidRDefault="00387142" w:rsidP="00387142">
            <w:pPr>
              <w:jc w:val="center"/>
              <w:rPr>
                <w:sz w:val="20"/>
                <w:szCs w:val="20"/>
              </w:rPr>
            </w:pPr>
            <w:r w:rsidRPr="008B6A75">
              <w:rPr>
                <w:sz w:val="20"/>
                <w:szCs w:val="20"/>
              </w:rPr>
              <w:t>02</w:t>
            </w:r>
          </w:p>
        </w:tc>
        <w:tc>
          <w:tcPr>
            <w:tcW w:w="1516" w:type="dxa"/>
            <w:tcBorders>
              <w:top w:val="nil"/>
              <w:left w:val="single" w:sz="4" w:space="0" w:color="auto"/>
              <w:bottom w:val="single" w:sz="4" w:space="0" w:color="auto"/>
              <w:right w:val="nil"/>
            </w:tcBorders>
            <w:shd w:val="clear" w:color="auto" w:fill="auto"/>
            <w:noWrap/>
            <w:vAlign w:val="center"/>
            <w:hideMark/>
          </w:tcPr>
          <w:p w14:paraId="5DD8A641" w14:textId="77777777" w:rsidR="00387142" w:rsidRPr="008B6A75" w:rsidRDefault="00387142" w:rsidP="00387142">
            <w:pPr>
              <w:jc w:val="center"/>
              <w:rPr>
                <w:sz w:val="20"/>
                <w:szCs w:val="20"/>
              </w:rPr>
            </w:pPr>
            <w:r w:rsidRPr="008B6A75">
              <w:rPr>
                <w:sz w:val="20"/>
                <w:szCs w:val="20"/>
              </w:rPr>
              <w:t>99.0.00.70289</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B6F02BF" w14:textId="77777777" w:rsidR="00387142" w:rsidRPr="008B6A75" w:rsidRDefault="00387142" w:rsidP="00387142">
            <w:pPr>
              <w:jc w:val="center"/>
              <w:rPr>
                <w:sz w:val="20"/>
                <w:szCs w:val="20"/>
              </w:rPr>
            </w:pPr>
            <w:r w:rsidRPr="008B6A75">
              <w:rPr>
                <w:sz w:val="20"/>
                <w:szCs w:val="20"/>
              </w:rPr>
              <w:t>240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CC9523F" w14:textId="77777777" w:rsidR="00387142" w:rsidRPr="008B6A75" w:rsidRDefault="00387142" w:rsidP="00387142">
            <w:pPr>
              <w:jc w:val="right"/>
              <w:rPr>
                <w:sz w:val="20"/>
                <w:szCs w:val="20"/>
              </w:rPr>
            </w:pPr>
            <w:r w:rsidRPr="008B6A75">
              <w:rPr>
                <w:sz w:val="20"/>
                <w:szCs w:val="20"/>
              </w:rPr>
              <w:t>7 096 108,80</w:t>
            </w:r>
          </w:p>
        </w:tc>
        <w:tc>
          <w:tcPr>
            <w:tcW w:w="992" w:type="dxa"/>
            <w:tcBorders>
              <w:top w:val="nil"/>
              <w:left w:val="single" w:sz="4" w:space="0" w:color="auto"/>
              <w:bottom w:val="single" w:sz="4" w:space="0" w:color="auto"/>
              <w:right w:val="nil"/>
            </w:tcBorders>
            <w:shd w:val="clear" w:color="auto" w:fill="auto"/>
            <w:vAlign w:val="center"/>
            <w:hideMark/>
          </w:tcPr>
          <w:p w14:paraId="62651433" w14:textId="77777777" w:rsidR="00387142" w:rsidRPr="008B6A75" w:rsidRDefault="00387142" w:rsidP="00387142">
            <w:pPr>
              <w:jc w:val="right"/>
              <w:rPr>
                <w:sz w:val="20"/>
                <w:szCs w:val="20"/>
              </w:rPr>
            </w:pPr>
            <w:r w:rsidRPr="008B6A75">
              <w:rPr>
                <w:sz w:val="20"/>
                <w:szCs w:val="20"/>
              </w:rPr>
              <w:t>5 580 400,00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5AC4D625" w14:textId="77777777" w:rsidR="00387142" w:rsidRPr="008B6A75" w:rsidRDefault="00387142" w:rsidP="00387142">
            <w:pPr>
              <w:jc w:val="right"/>
              <w:rPr>
                <w:sz w:val="20"/>
                <w:szCs w:val="20"/>
              </w:rPr>
            </w:pPr>
            <w:r w:rsidRPr="008B6A75">
              <w:rPr>
                <w:sz w:val="20"/>
                <w:szCs w:val="20"/>
              </w:rPr>
              <w:t>4 806 500,00</w:t>
            </w:r>
          </w:p>
        </w:tc>
      </w:tr>
      <w:tr w:rsidR="00387142" w:rsidRPr="008B6A75" w14:paraId="629A0703" w14:textId="77777777" w:rsidTr="00387142">
        <w:trPr>
          <w:trHeight w:val="585"/>
        </w:trPr>
        <w:tc>
          <w:tcPr>
            <w:tcW w:w="3261" w:type="dxa"/>
            <w:tcBorders>
              <w:top w:val="nil"/>
              <w:left w:val="single" w:sz="4" w:space="0" w:color="auto"/>
              <w:bottom w:val="single" w:sz="4" w:space="0" w:color="auto"/>
              <w:right w:val="nil"/>
            </w:tcBorders>
            <w:shd w:val="clear" w:color="auto" w:fill="auto"/>
            <w:vAlign w:val="center"/>
            <w:hideMark/>
          </w:tcPr>
          <w:p w14:paraId="708FC1D0" w14:textId="77777777" w:rsidR="00387142" w:rsidRPr="008B6A75" w:rsidRDefault="00387142" w:rsidP="00387142">
            <w:pPr>
              <w:rPr>
                <w:sz w:val="20"/>
                <w:szCs w:val="20"/>
              </w:rPr>
            </w:pPr>
            <w:r w:rsidRPr="008B6A75">
              <w:rPr>
                <w:sz w:val="20"/>
                <w:szCs w:val="20"/>
              </w:rPr>
              <w:t>Социальное обеспечение и иные выплаты населению</w:t>
            </w:r>
          </w:p>
        </w:tc>
        <w:tc>
          <w:tcPr>
            <w:tcW w:w="720" w:type="dxa"/>
            <w:tcBorders>
              <w:top w:val="nil"/>
              <w:left w:val="single" w:sz="4" w:space="0" w:color="auto"/>
              <w:bottom w:val="single" w:sz="4" w:space="0" w:color="auto"/>
              <w:right w:val="nil"/>
            </w:tcBorders>
            <w:shd w:val="clear" w:color="auto" w:fill="auto"/>
            <w:noWrap/>
            <w:vAlign w:val="center"/>
            <w:hideMark/>
          </w:tcPr>
          <w:p w14:paraId="560B2CF7" w14:textId="77777777" w:rsidR="00387142" w:rsidRPr="008B6A75" w:rsidRDefault="00387142" w:rsidP="00387142">
            <w:pPr>
              <w:jc w:val="center"/>
              <w:rPr>
                <w:sz w:val="20"/>
                <w:szCs w:val="20"/>
              </w:rPr>
            </w:pPr>
            <w:r w:rsidRPr="008B6A75">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5C8E8DC" w14:textId="77777777" w:rsidR="00387142" w:rsidRPr="008B6A75" w:rsidRDefault="00387142" w:rsidP="00387142">
            <w:pPr>
              <w:jc w:val="center"/>
              <w:rPr>
                <w:sz w:val="20"/>
                <w:szCs w:val="20"/>
              </w:rPr>
            </w:pPr>
            <w:r w:rsidRPr="008B6A75">
              <w:rPr>
                <w:sz w:val="20"/>
                <w:szCs w:val="20"/>
              </w:rPr>
              <w:t>02</w:t>
            </w:r>
          </w:p>
        </w:tc>
        <w:tc>
          <w:tcPr>
            <w:tcW w:w="1516" w:type="dxa"/>
            <w:tcBorders>
              <w:top w:val="nil"/>
              <w:left w:val="single" w:sz="4" w:space="0" w:color="auto"/>
              <w:bottom w:val="single" w:sz="4" w:space="0" w:color="auto"/>
              <w:right w:val="nil"/>
            </w:tcBorders>
            <w:shd w:val="clear" w:color="auto" w:fill="auto"/>
            <w:noWrap/>
            <w:vAlign w:val="center"/>
            <w:hideMark/>
          </w:tcPr>
          <w:p w14:paraId="0799ED55" w14:textId="77777777" w:rsidR="00387142" w:rsidRPr="008B6A75" w:rsidRDefault="00387142" w:rsidP="00387142">
            <w:pPr>
              <w:jc w:val="center"/>
              <w:rPr>
                <w:sz w:val="20"/>
                <w:szCs w:val="20"/>
              </w:rPr>
            </w:pPr>
            <w:r w:rsidRPr="008B6A75">
              <w:rPr>
                <w:sz w:val="20"/>
                <w:szCs w:val="20"/>
              </w:rPr>
              <w:t>99.0.00.70289</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7328C34" w14:textId="77777777" w:rsidR="00387142" w:rsidRPr="008B6A75" w:rsidRDefault="00387142" w:rsidP="00387142">
            <w:pPr>
              <w:jc w:val="center"/>
              <w:rPr>
                <w:sz w:val="20"/>
                <w:szCs w:val="20"/>
              </w:rPr>
            </w:pPr>
            <w:r w:rsidRPr="008B6A75">
              <w:rPr>
                <w:sz w:val="20"/>
                <w:szCs w:val="20"/>
              </w:rPr>
              <w:t>300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93974D1" w14:textId="77777777" w:rsidR="00387142" w:rsidRPr="008B6A75" w:rsidRDefault="00387142" w:rsidP="00387142">
            <w:pPr>
              <w:jc w:val="right"/>
              <w:rPr>
                <w:sz w:val="20"/>
                <w:szCs w:val="20"/>
              </w:rPr>
            </w:pPr>
            <w:r w:rsidRPr="008B6A75">
              <w:rPr>
                <w:sz w:val="20"/>
                <w:szCs w:val="20"/>
              </w:rPr>
              <w:t>248 151,20</w:t>
            </w:r>
          </w:p>
        </w:tc>
        <w:tc>
          <w:tcPr>
            <w:tcW w:w="992" w:type="dxa"/>
            <w:tcBorders>
              <w:top w:val="nil"/>
              <w:left w:val="single" w:sz="4" w:space="0" w:color="auto"/>
              <w:bottom w:val="single" w:sz="4" w:space="0" w:color="auto"/>
              <w:right w:val="nil"/>
            </w:tcBorders>
            <w:shd w:val="clear" w:color="auto" w:fill="auto"/>
            <w:vAlign w:val="center"/>
            <w:hideMark/>
          </w:tcPr>
          <w:p w14:paraId="1C434C2C" w14:textId="77777777" w:rsidR="00387142" w:rsidRPr="008B6A75" w:rsidRDefault="00387142" w:rsidP="00387142">
            <w:pPr>
              <w:jc w:val="right"/>
              <w:rPr>
                <w:sz w:val="20"/>
                <w:szCs w:val="20"/>
              </w:rPr>
            </w:pPr>
            <w:r w:rsidRPr="008B6A75">
              <w:rPr>
                <w:sz w:val="20"/>
                <w:szCs w:val="20"/>
              </w:rPr>
              <w:t>300 000,00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5CCDEA15" w14:textId="77777777" w:rsidR="00387142" w:rsidRPr="008B6A75" w:rsidRDefault="00387142" w:rsidP="00387142">
            <w:pPr>
              <w:jc w:val="right"/>
              <w:rPr>
                <w:sz w:val="20"/>
                <w:szCs w:val="20"/>
              </w:rPr>
            </w:pPr>
            <w:r w:rsidRPr="008B6A75">
              <w:rPr>
                <w:sz w:val="20"/>
                <w:szCs w:val="20"/>
              </w:rPr>
              <w:t>300 000,00</w:t>
            </w:r>
          </w:p>
        </w:tc>
      </w:tr>
      <w:tr w:rsidR="00387142" w:rsidRPr="008B6A75" w14:paraId="03E16774" w14:textId="77777777" w:rsidTr="00387142">
        <w:trPr>
          <w:trHeight w:val="585"/>
        </w:trPr>
        <w:tc>
          <w:tcPr>
            <w:tcW w:w="3261" w:type="dxa"/>
            <w:tcBorders>
              <w:top w:val="nil"/>
              <w:left w:val="single" w:sz="4" w:space="0" w:color="auto"/>
              <w:bottom w:val="single" w:sz="4" w:space="0" w:color="auto"/>
              <w:right w:val="nil"/>
            </w:tcBorders>
            <w:shd w:val="clear" w:color="auto" w:fill="auto"/>
            <w:vAlign w:val="center"/>
            <w:hideMark/>
          </w:tcPr>
          <w:p w14:paraId="4A0BE0B2" w14:textId="77777777" w:rsidR="00387142" w:rsidRPr="008B6A75" w:rsidRDefault="00387142" w:rsidP="00387142">
            <w:pPr>
              <w:rPr>
                <w:sz w:val="20"/>
                <w:szCs w:val="20"/>
              </w:rPr>
            </w:pPr>
            <w:r w:rsidRPr="008B6A75">
              <w:rPr>
                <w:sz w:val="20"/>
                <w:szCs w:val="20"/>
              </w:rPr>
              <w:t>Социальные выплаты гражданам, кроме публичных нормативных социальных выплат</w:t>
            </w:r>
          </w:p>
        </w:tc>
        <w:tc>
          <w:tcPr>
            <w:tcW w:w="720" w:type="dxa"/>
            <w:tcBorders>
              <w:top w:val="nil"/>
              <w:left w:val="single" w:sz="4" w:space="0" w:color="auto"/>
              <w:bottom w:val="single" w:sz="4" w:space="0" w:color="auto"/>
              <w:right w:val="nil"/>
            </w:tcBorders>
            <w:shd w:val="clear" w:color="auto" w:fill="auto"/>
            <w:noWrap/>
            <w:vAlign w:val="center"/>
            <w:hideMark/>
          </w:tcPr>
          <w:p w14:paraId="44B7E800" w14:textId="77777777" w:rsidR="00387142" w:rsidRPr="008B6A75" w:rsidRDefault="00387142" w:rsidP="00387142">
            <w:pPr>
              <w:jc w:val="center"/>
              <w:rPr>
                <w:sz w:val="20"/>
                <w:szCs w:val="20"/>
              </w:rPr>
            </w:pPr>
            <w:r w:rsidRPr="008B6A75">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E4C31F2" w14:textId="77777777" w:rsidR="00387142" w:rsidRPr="008B6A75" w:rsidRDefault="00387142" w:rsidP="00387142">
            <w:pPr>
              <w:jc w:val="center"/>
              <w:rPr>
                <w:sz w:val="20"/>
                <w:szCs w:val="20"/>
              </w:rPr>
            </w:pPr>
            <w:r w:rsidRPr="008B6A75">
              <w:rPr>
                <w:sz w:val="20"/>
                <w:szCs w:val="20"/>
              </w:rPr>
              <w:t>02</w:t>
            </w:r>
          </w:p>
        </w:tc>
        <w:tc>
          <w:tcPr>
            <w:tcW w:w="1516" w:type="dxa"/>
            <w:tcBorders>
              <w:top w:val="nil"/>
              <w:left w:val="single" w:sz="4" w:space="0" w:color="auto"/>
              <w:bottom w:val="single" w:sz="4" w:space="0" w:color="auto"/>
              <w:right w:val="nil"/>
            </w:tcBorders>
            <w:shd w:val="clear" w:color="auto" w:fill="auto"/>
            <w:noWrap/>
            <w:vAlign w:val="center"/>
            <w:hideMark/>
          </w:tcPr>
          <w:p w14:paraId="2C250AF9" w14:textId="77777777" w:rsidR="00387142" w:rsidRPr="008B6A75" w:rsidRDefault="00387142" w:rsidP="00387142">
            <w:pPr>
              <w:jc w:val="center"/>
              <w:rPr>
                <w:sz w:val="20"/>
                <w:szCs w:val="20"/>
              </w:rPr>
            </w:pPr>
            <w:r w:rsidRPr="008B6A75">
              <w:rPr>
                <w:sz w:val="20"/>
                <w:szCs w:val="20"/>
              </w:rPr>
              <w:t>99.0.00.70289</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422C82D" w14:textId="77777777" w:rsidR="00387142" w:rsidRPr="008B6A75" w:rsidRDefault="00387142" w:rsidP="00387142">
            <w:pPr>
              <w:jc w:val="center"/>
              <w:rPr>
                <w:sz w:val="20"/>
                <w:szCs w:val="20"/>
              </w:rPr>
            </w:pPr>
            <w:r w:rsidRPr="008B6A75">
              <w:rPr>
                <w:sz w:val="20"/>
                <w:szCs w:val="20"/>
              </w:rPr>
              <w:t>320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5663864" w14:textId="77777777" w:rsidR="00387142" w:rsidRPr="008B6A75" w:rsidRDefault="00387142" w:rsidP="00387142">
            <w:pPr>
              <w:jc w:val="right"/>
              <w:rPr>
                <w:sz w:val="20"/>
                <w:szCs w:val="20"/>
              </w:rPr>
            </w:pPr>
            <w:r w:rsidRPr="008B6A75">
              <w:rPr>
                <w:sz w:val="20"/>
                <w:szCs w:val="20"/>
              </w:rPr>
              <w:t>248 151,20</w:t>
            </w:r>
          </w:p>
        </w:tc>
        <w:tc>
          <w:tcPr>
            <w:tcW w:w="992" w:type="dxa"/>
            <w:tcBorders>
              <w:top w:val="nil"/>
              <w:left w:val="single" w:sz="4" w:space="0" w:color="auto"/>
              <w:bottom w:val="single" w:sz="4" w:space="0" w:color="auto"/>
              <w:right w:val="nil"/>
            </w:tcBorders>
            <w:shd w:val="clear" w:color="auto" w:fill="auto"/>
            <w:vAlign w:val="center"/>
            <w:hideMark/>
          </w:tcPr>
          <w:p w14:paraId="1D8E5090" w14:textId="77777777" w:rsidR="00387142" w:rsidRPr="008B6A75" w:rsidRDefault="00387142" w:rsidP="00387142">
            <w:pPr>
              <w:jc w:val="right"/>
              <w:rPr>
                <w:sz w:val="20"/>
                <w:szCs w:val="20"/>
              </w:rPr>
            </w:pPr>
            <w:r w:rsidRPr="008B6A75">
              <w:rPr>
                <w:sz w:val="20"/>
                <w:szCs w:val="20"/>
              </w:rPr>
              <w:t>300 000,00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77B55DEE" w14:textId="77777777" w:rsidR="00387142" w:rsidRPr="008B6A75" w:rsidRDefault="00387142" w:rsidP="00387142">
            <w:pPr>
              <w:jc w:val="right"/>
              <w:rPr>
                <w:sz w:val="20"/>
                <w:szCs w:val="20"/>
              </w:rPr>
            </w:pPr>
            <w:r w:rsidRPr="008B6A75">
              <w:rPr>
                <w:sz w:val="20"/>
                <w:szCs w:val="20"/>
              </w:rPr>
              <w:t>300 000,00</w:t>
            </w:r>
          </w:p>
        </w:tc>
      </w:tr>
      <w:tr w:rsidR="00387142" w:rsidRPr="008B6A75" w14:paraId="615BC9AD" w14:textId="77777777" w:rsidTr="00387142">
        <w:trPr>
          <w:trHeight w:val="1440"/>
        </w:trPr>
        <w:tc>
          <w:tcPr>
            <w:tcW w:w="3261" w:type="dxa"/>
            <w:tcBorders>
              <w:top w:val="nil"/>
              <w:left w:val="single" w:sz="4" w:space="0" w:color="auto"/>
              <w:bottom w:val="single" w:sz="4" w:space="0" w:color="auto"/>
              <w:right w:val="nil"/>
            </w:tcBorders>
            <w:shd w:val="clear" w:color="auto" w:fill="auto"/>
            <w:vAlign w:val="center"/>
            <w:hideMark/>
          </w:tcPr>
          <w:p w14:paraId="794A8782" w14:textId="77777777" w:rsidR="00387142" w:rsidRPr="008B6A75" w:rsidRDefault="00387142" w:rsidP="00387142">
            <w:pPr>
              <w:rPr>
                <w:bCs/>
                <w:sz w:val="20"/>
                <w:szCs w:val="20"/>
              </w:rPr>
            </w:pPr>
            <w:r w:rsidRPr="008B6A75">
              <w:rPr>
                <w:bCs/>
                <w:sz w:val="20"/>
                <w:szCs w:val="20"/>
              </w:rPr>
              <w:t xml:space="preserve">Реализация мероприятий по обеспечению сбалансированности местных </w:t>
            </w:r>
            <w:proofErr w:type="gramStart"/>
            <w:r w:rsidRPr="008B6A75">
              <w:rPr>
                <w:bCs/>
                <w:sz w:val="20"/>
                <w:szCs w:val="20"/>
              </w:rPr>
              <w:t>бюджетов  государственной</w:t>
            </w:r>
            <w:proofErr w:type="gramEnd"/>
            <w:r w:rsidRPr="008B6A75">
              <w:rPr>
                <w:bCs/>
                <w:sz w:val="20"/>
                <w:szCs w:val="20"/>
              </w:rPr>
              <w:t xml:space="preserve"> программы Новосибирской области "Управление  финансами в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14:paraId="3B3D732C" w14:textId="77777777" w:rsidR="00387142" w:rsidRPr="008B6A75" w:rsidRDefault="00387142" w:rsidP="00387142">
            <w:pPr>
              <w:jc w:val="center"/>
              <w:rPr>
                <w:bCs/>
                <w:sz w:val="20"/>
                <w:szCs w:val="20"/>
              </w:rPr>
            </w:pPr>
            <w:r w:rsidRPr="008B6A75">
              <w:rPr>
                <w:bCs/>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F783D05" w14:textId="77777777" w:rsidR="00387142" w:rsidRPr="008B6A75" w:rsidRDefault="00387142" w:rsidP="00387142">
            <w:pPr>
              <w:jc w:val="center"/>
              <w:rPr>
                <w:bCs/>
                <w:sz w:val="20"/>
                <w:szCs w:val="20"/>
              </w:rPr>
            </w:pPr>
            <w:r w:rsidRPr="008B6A75">
              <w:rPr>
                <w:bCs/>
                <w:sz w:val="20"/>
                <w:szCs w:val="20"/>
              </w:rPr>
              <w:t>02</w:t>
            </w:r>
          </w:p>
        </w:tc>
        <w:tc>
          <w:tcPr>
            <w:tcW w:w="1516" w:type="dxa"/>
            <w:tcBorders>
              <w:top w:val="nil"/>
              <w:left w:val="single" w:sz="4" w:space="0" w:color="auto"/>
              <w:bottom w:val="single" w:sz="4" w:space="0" w:color="auto"/>
              <w:right w:val="nil"/>
            </w:tcBorders>
            <w:shd w:val="clear" w:color="auto" w:fill="auto"/>
            <w:noWrap/>
            <w:vAlign w:val="center"/>
            <w:hideMark/>
          </w:tcPr>
          <w:p w14:paraId="02C9C116" w14:textId="77777777" w:rsidR="00387142" w:rsidRPr="008B6A75" w:rsidRDefault="00387142" w:rsidP="00387142">
            <w:pPr>
              <w:jc w:val="center"/>
              <w:rPr>
                <w:bCs/>
                <w:sz w:val="20"/>
                <w:szCs w:val="20"/>
              </w:rPr>
            </w:pPr>
            <w:r w:rsidRPr="008B6A75">
              <w:rPr>
                <w:bCs/>
                <w:sz w:val="20"/>
                <w:szCs w:val="20"/>
              </w:rPr>
              <w:t>99.0.00.70510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1011B6C"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285BB13" w14:textId="77777777" w:rsidR="00387142" w:rsidRPr="008B6A75" w:rsidRDefault="00387142" w:rsidP="00387142">
            <w:pPr>
              <w:jc w:val="right"/>
              <w:rPr>
                <w:bCs/>
                <w:sz w:val="20"/>
                <w:szCs w:val="20"/>
              </w:rPr>
            </w:pPr>
            <w:r w:rsidRPr="008B6A75">
              <w:rPr>
                <w:bCs/>
                <w:sz w:val="20"/>
                <w:szCs w:val="20"/>
              </w:rPr>
              <w:t>300 000,00</w:t>
            </w:r>
          </w:p>
        </w:tc>
        <w:tc>
          <w:tcPr>
            <w:tcW w:w="992" w:type="dxa"/>
            <w:tcBorders>
              <w:top w:val="nil"/>
              <w:left w:val="single" w:sz="4" w:space="0" w:color="auto"/>
              <w:bottom w:val="single" w:sz="4" w:space="0" w:color="auto"/>
              <w:right w:val="nil"/>
            </w:tcBorders>
            <w:shd w:val="clear" w:color="auto" w:fill="auto"/>
            <w:vAlign w:val="center"/>
            <w:hideMark/>
          </w:tcPr>
          <w:p w14:paraId="0F66CBA1" w14:textId="77777777" w:rsidR="00387142" w:rsidRPr="008B6A75" w:rsidRDefault="00387142" w:rsidP="00387142">
            <w:pPr>
              <w:jc w:val="right"/>
              <w:rPr>
                <w:bCs/>
                <w:sz w:val="20"/>
                <w:szCs w:val="20"/>
              </w:rPr>
            </w:pPr>
            <w:r w:rsidRPr="008B6A75">
              <w:rPr>
                <w:bCs/>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759E9F8D" w14:textId="77777777" w:rsidR="00387142" w:rsidRPr="008B6A75" w:rsidRDefault="00387142" w:rsidP="00387142">
            <w:pPr>
              <w:jc w:val="right"/>
              <w:rPr>
                <w:bCs/>
                <w:sz w:val="20"/>
                <w:szCs w:val="20"/>
              </w:rPr>
            </w:pPr>
            <w:r w:rsidRPr="008B6A75">
              <w:rPr>
                <w:bCs/>
                <w:sz w:val="20"/>
                <w:szCs w:val="20"/>
              </w:rPr>
              <w:t>0,00</w:t>
            </w:r>
          </w:p>
        </w:tc>
      </w:tr>
      <w:tr w:rsidR="00387142" w:rsidRPr="008B6A75" w14:paraId="5FFA07FC" w14:textId="77777777" w:rsidTr="00387142">
        <w:trPr>
          <w:trHeight w:val="870"/>
        </w:trPr>
        <w:tc>
          <w:tcPr>
            <w:tcW w:w="3261" w:type="dxa"/>
            <w:tcBorders>
              <w:top w:val="nil"/>
              <w:left w:val="single" w:sz="4" w:space="0" w:color="auto"/>
              <w:bottom w:val="single" w:sz="4" w:space="0" w:color="auto"/>
              <w:right w:val="nil"/>
            </w:tcBorders>
            <w:shd w:val="clear" w:color="auto" w:fill="auto"/>
            <w:vAlign w:val="center"/>
            <w:hideMark/>
          </w:tcPr>
          <w:p w14:paraId="1954C997" w14:textId="77777777" w:rsidR="00387142" w:rsidRPr="008B6A75" w:rsidRDefault="00387142" w:rsidP="00387142">
            <w:pPr>
              <w:rPr>
                <w:sz w:val="20"/>
                <w:szCs w:val="20"/>
              </w:rPr>
            </w:pPr>
            <w:r w:rsidRPr="008B6A75">
              <w:rPr>
                <w:sz w:val="20"/>
                <w:szCs w:val="20"/>
              </w:rPr>
              <w:t>Предоставление субсидий бюджетным, автономным учреждениям и иным некоммерческим организациям</w:t>
            </w:r>
          </w:p>
        </w:tc>
        <w:tc>
          <w:tcPr>
            <w:tcW w:w="720" w:type="dxa"/>
            <w:tcBorders>
              <w:top w:val="nil"/>
              <w:left w:val="single" w:sz="4" w:space="0" w:color="auto"/>
              <w:bottom w:val="single" w:sz="4" w:space="0" w:color="auto"/>
              <w:right w:val="nil"/>
            </w:tcBorders>
            <w:shd w:val="clear" w:color="auto" w:fill="auto"/>
            <w:noWrap/>
            <w:vAlign w:val="center"/>
            <w:hideMark/>
          </w:tcPr>
          <w:p w14:paraId="64C6743B" w14:textId="77777777" w:rsidR="00387142" w:rsidRPr="008B6A75" w:rsidRDefault="00387142" w:rsidP="00387142">
            <w:pPr>
              <w:jc w:val="center"/>
              <w:rPr>
                <w:sz w:val="20"/>
                <w:szCs w:val="20"/>
              </w:rPr>
            </w:pPr>
            <w:r w:rsidRPr="008B6A75">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C65D520" w14:textId="77777777" w:rsidR="00387142" w:rsidRPr="008B6A75" w:rsidRDefault="00387142" w:rsidP="00387142">
            <w:pPr>
              <w:jc w:val="center"/>
              <w:rPr>
                <w:sz w:val="20"/>
                <w:szCs w:val="20"/>
              </w:rPr>
            </w:pPr>
            <w:r w:rsidRPr="008B6A75">
              <w:rPr>
                <w:sz w:val="20"/>
                <w:szCs w:val="20"/>
              </w:rPr>
              <w:t>02</w:t>
            </w:r>
          </w:p>
        </w:tc>
        <w:tc>
          <w:tcPr>
            <w:tcW w:w="1516" w:type="dxa"/>
            <w:tcBorders>
              <w:top w:val="nil"/>
              <w:left w:val="single" w:sz="4" w:space="0" w:color="auto"/>
              <w:bottom w:val="single" w:sz="4" w:space="0" w:color="auto"/>
              <w:right w:val="nil"/>
            </w:tcBorders>
            <w:shd w:val="clear" w:color="auto" w:fill="auto"/>
            <w:noWrap/>
            <w:vAlign w:val="center"/>
            <w:hideMark/>
          </w:tcPr>
          <w:p w14:paraId="59ADF05C" w14:textId="77777777" w:rsidR="00387142" w:rsidRPr="008B6A75" w:rsidRDefault="00387142" w:rsidP="00387142">
            <w:pPr>
              <w:jc w:val="center"/>
              <w:rPr>
                <w:sz w:val="20"/>
                <w:szCs w:val="20"/>
              </w:rPr>
            </w:pPr>
            <w:r w:rsidRPr="008B6A75">
              <w:rPr>
                <w:sz w:val="20"/>
                <w:szCs w:val="20"/>
              </w:rPr>
              <w:t>99.0.00.70510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0EADB0F" w14:textId="77777777" w:rsidR="00387142" w:rsidRPr="008B6A75" w:rsidRDefault="00387142" w:rsidP="00387142">
            <w:pPr>
              <w:jc w:val="center"/>
              <w:rPr>
                <w:sz w:val="20"/>
                <w:szCs w:val="20"/>
              </w:rPr>
            </w:pPr>
            <w:r w:rsidRPr="008B6A75">
              <w:rPr>
                <w:sz w:val="20"/>
                <w:szCs w:val="20"/>
              </w:rPr>
              <w:t>600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CE27590" w14:textId="77777777" w:rsidR="00387142" w:rsidRPr="008B6A75" w:rsidRDefault="00387142" w:rsidP="00387142">
            <w:pPr>
              <w:jc w:val="right"/>
              <w:rPr>
                <w:sz w:val="20"/>
                <w:szCs w:val="20"/>
              </w:rPr>
            </w:pPr>
            <w:r w:rsidRPr="008B6A75">
              <w:rPr>
                <w:sz w:val="20"/>
                <w:szCs w:val="20"/>
              </w:rPr>
              <w:t>300 000,00</w:t>
            </w:r>
          </w:p>
        </w:tc>
        <w:tc>
          <w:tcPr>
            <w:tcW w:w="992" w:type="dxa"/>
            <w:tcBorders>
              <w:top w:val="nil"/>
              <w:left w:val="single" w:sz="4" w:space="0" w:color="auto"/>
              <w:bottom w:val="single" w:sz="4" w:space="0" w:color="auto"/>
              <w:right w:val="nil"/>
            </w:tcBorders>
            <w:shd w:val="clear" w:color="auto" w:fill="auto"/>
            <w:vAlign w:val="center"/>
            <w:hideMark/>
          </w:tcPr>
          <w:p w14:paraId="26C4E81C" w14:textId="77777777" w:rsidR="00387142" w:rsidRPr="008B6A75" w:rsidRDefault="00387142" w:rsidP="00387142">
            <w:pPr>
              <w:jc w:val="right"/>
              <w:rPr>
                <w:sz w:val="20"/>
                <w:szCs w:val="20"/>
              </w:rPr>
            </w:pPr>
            <w:r w:rsidRPr="008B6A75">
              <w:rPr>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6B095475" w14:textId="77777777" w:rsidR="00387142" w:rsidRPr="008B6A75" w:rsidRDefault="00387142" w:rsidP="00387142">
            <w:pPr>
              <w:jc w:val="right"/>
              <w:rPr>
                <w:sz w:val="20"/>
                <w:szCs w:val="20"/>
              </w:rPr>
            </w:pPr>
            <w:r w:rsidRPr="008B6A75">
              <w:rPr>
                <w:sz w:val="20"/>
                <w:szCs w:val="20"/>
              </w:rPr>
              <w:t>0,00</w:t>
            </w:r>
          </w:p>
        </w:tc>
      </w:tr>
      <w:tr w:rsidR="00387142" w:rsidRPr="008B6A75" w14:paraId="1031AF1B" w14:textId="77777777" w:rsidTr="00387142">
        <w:trPr>
          <w:trHeight w:val="345"/>
        </w:trPr>
        <w:tc>
          <w:tcPr>
            <w:tcW w:w="3261" w:type="dxa"/>
            <w:tcBorders>
              <w:top w:val="nil"/>
              <w:left w:val="single" w:sz="4" w:space="0" w:color="auto"/>
              <w:bottom w:val="single" w:sz="4" w:space="0" w:color="auto"/>
              <w:right w:val="nil"/>
            </w:tcBorders>
            <w:shd w:val="clear" w:color="auto" w:fill="auto"/>
            <w:vAlign w:val="center"/>
            <w:hideMark/>
          </w:tcPr>
          <w:p w14:paraId="16113593" w14:textId="77777777" w:rsidR="00387142" w:rsidRPr="008B6A75" w:rsidRDefault="00387142" w:rsidP="00387142">
            <w:pPr>
              <w:rPr>
                <w:sz w:val="20"/>
                <w:szCs w:val="20"/>
              </w:rPr>
            </w:pPr>
            <w:r w:rsidRPr="008B6A75">
              <w:rPr>
                <w:sz w:val="20"/>
                <w:szCs w:val="20"/>
              </w:rPr>
              <w:t>Субсидии бюджетным учреждениям</w:t>
            </w:r>
          </w:p>
        </w:tc>
        <w:tc>
          <w:tcPr>
            <w:tcW w:w="720" w:type="dxa"/>
            <w:tcBorders>
              <w:top w:val="nil"/>
              <w:left w:val="single" w:sz="4" w:space="0" w:color="auto"/>
              <w:bottom w:val="single" w:sz="4" w:space="0" w:color="auto"/>
              <w:right w:val="nil"/>
            </w:tcBorders>
            <w:shd w:val="clear" w:color="auto" w:fill="auto"/>
            <w:noWrap/>
            <w:vAlign w:val="center"/>
            <w:hideMark/>
          </w:tcPr>
          <w:p w14:paraId="2D4118E0" w14:textId="77777777" w:rsidR="00387142" w:rsidRPr="008B6A75" w:rsidRDefault="00387142" w:rsidP="00387142">
            <w:pPr>
              <w:jc w:val="center"/>
              <w:rPr>
                <w:sz w:val="20"/>
                <w:szCs w:val="20"/>
              </w:rPr>
            </w:pPr>
            <w:r w:rsidRPr="008B6A75">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564265D" w14:textId="77777777" w:rsidR="00387142" w:rsidRPr="008B6A75" w:rsidRDefault="00387142" w:rsidP="00387142">
            <w:pPr>
              <w:jc w:val="center"/>
              <w:rPr>
                <w:sz w:val="20"/>
                <w:szCs w:val="20"/>
              </w:rPr>
            </w:pPr>
            <w:r w:rsidRPr="008B6A75">
              <w:rPr>
                <w:sz w:val="20"/>
                <w:szCs w:val="20"/>
              </w:rPr>
              <w:t>02</w:t>
            </w:r>
          </w:p>
        </w:tc>
        <w:tc>
          <w:tcPr>
            <w:tcW w:w="1516" w:type="dxa"/>
            <w:tcBorders>
              <w:top w:val="nil"/>
              <w:left w:val="single" w:sz="4" w:space="0" w:color="auto"/>
              <w:bottom w:val="single" w:sz="4" w:space="0" w:color="auto"/>
              <w:right w:val="nil"/>
            </w:tcBorders>
            <w:shd w:val="clear" w:color="auto" w:fill="auto"/>
            <w:noWrap/>
            <w:vAlign w:val="center"/>
            <w:hideMark/>
          </w:tcPr>
          <w:p w14:paraId="5E208138" w14:textId="77777777" w:rsidR="00387142" w:rsidRPr="008B6A75" w:rsidRDefault="00387142" w:rsidP="00387142">
            <w:pPr>
              <w:jc w:val="center"/>
              <w:rPr>
                <w:sz w:val="20"/>
                <w:szCs w:val="20"/>
              </w:rPr>
            </w:pPr>
            <w:r w:rsidRPr="008B6A75">
              <w:rPr>
                <w:sz w:val="20"/>
                <w:szCs w:val="20"/>
              </w:rPr>
              <w:t>99.0.00.70510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00A2D78" w14:textId="77777777" w:rsidR="00387142" w:rsidRPr="008B6A75" w:rsidRDefault="00387142" w:rsidP="00387142">
            <w:pPr>
              <w:jc w:val="center"/>
              <w:rPr>
                <w:sz w:val="20"/>
                <w:szCs w:val="20"/>
              </w:rPr>
            </w:pPr>
            <w:r w:rsidRPr="008B6A75">
              <w:rPr>
                <w:sz w:val="20"/>
                <w:szCs w:val="20"/>
              </w:rPr>
              <w:t>610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17F0C31" w14:textId="77777777" w:rsidR="00387142" w:rsidRPr="008B6A75" w:rsidRDefault="00387142" w:rsidP="00387142">
            <w:pPr>
              <w:jc w:val="right"/>
              <w:rPr>
                <w:sz w:val="20"/>
                <w:szCs w:val="20"/>
              </w:rPr>
            </w:pPr>
            <w:r w:rsidRPr="008B6A75">
              <w:rPr>
                <w:sz w:val="20"/>
                <w:szCs w:val="20"/>
              </w:rPr>
              <w:t>300 000,00</w:t>
            </w:r>
          </w:p>
        </w:tc>
        <w:tc>
          <w:tcPr>
            <w:tcW w:w="992" w:type="dxa"/>
            <w:tcBorders>
              <w:top w:val="nil"/>
              <w:left w:val="single" w:sz="4" w:space="0" w:color="auto"/>
              <w:bottom w:val="single" w:sz="4" w:space="0" w:color="auto"/>
              <w:right w:val="nil"/>
            </w:tcBorders>
            <w:shd w:val="clear" w:color="auto" w:fill="auto"/>
            <w:vAlign w:val="center"/>
            <w:hideMark/>
          </w:tcPr>
          <w:p w14:paraId="42038519" w14:textId="77777777" w:rsidR="00387142" w:rsidRPr="008B6A75" w:rsidRDefault="00387142" w:rsidP="00387142">
            <w:pPr>
              <w:jc w:val="right"/>
              <w:rPr>
                <w:sz w:val="20"/>
                <w:szCs w:val="20"/>
              </w:rPr>
            </w:pPr>
            <w:r w:rsidRPr="008B6A75">
              <w:rPr>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1C15ECFF" w14:textId="77777777" w:rsidR="00387142" w:rsidRPr="008B6A75" w:rsidRDefault="00387142" w:rsidP="00387142">
            <w:pPr>
              <w:jc w:val="right"/>
              <w:rPr>
                <w:sz w:val="20"/>
                <w:szCs w:val="20"/>
              </w:rPr>
            </w:pPr>
            <w:r w:rsidRPr="008B6A75">
              <w:rPr>
                <w:sz w:val="20"/>
                <w:szCs w:val="20"/>
              </w:rPr>
              <w:t>0,00</w:t>
            </w:r>
          </w:p>
        </w:tc>
      </w:tr>
      <w:tr w:rsidR="00387142" w:rsidRPr="008B6A75" w14:paraId="149D224B" w14:textId="77777777" w:rsidTr="00387142">
        <w:trPr>
          <w:trHeight w:val="345"/>
        </w:trPr>
        <w:tc>
          <w:tcPr>
            <w:tcW w:w="3261" w:type="dxa"/>
            <w:tcBorders>
              <w:top w:val="nil"/>
              <w:left w:val="single" w:sz="4" w:space="0" w:color="auto"/>
              <w:bottom w:val="single" w:sz="4" w:space="0" w:color="auto"/>
              <w:right w:val="nil"/>
            </w:tcBorders>
            <w:shd w:val="clear" w:color="auto" w:fill="auto"/>
            <w:vAlign w:val="center"/>
            <w:hideMark/>
          </w:tcPr>
          <w:p w14:paraId="5D1768B0" w14:textId="77777777" w:rsidR="00387142" w:rsidRPr="008B6A75" w:rsidRDefault="00387142" w:rsidP="00387142">
            <w:pPr>
              <w:rPr>
                <w:bCs/>
                <w:sz w:val="20"/>
                <w:szCs w:val="20"/>
              </w:rPr>
            </w:pPr>
            <w:r w:rsidRPr="008B6A75">
              <w:rPr>
                <w:bCs/>
                <w:sz w:val="20"/>
                <w:szCs w:val="20"/>
              </w:rPr>
              <w:t>Дополнительное образование детей</w:t>
            </w:r>
          </w:p>
        </w:tc>
        <w:tc>
          <w:tcPr>
            <w:tcW w:w="720" w:type="dxa"/>
            <w:tcBorders>
              <w:top w:val="nil"/>
              <w:left w:val="single" w:sz="4" w:space="0" w:color="auto"/>
              <w:bottom w:val="single" w:sz="4" w:space="0" w:color="auto"/>
              <w:right w:val="nil"/>
            </w:tcBorders>
            <w:shd w:val="clear" w:color="auto" w:fill="auto"/>
            <w:noWrap/>
            <w:vAlign w:val="center"/>
            <w:hideMark/>
          </w:tcPr>
          <w:p w14:paraId="66180585" w14:textId="77777777" w:rsidR="00387142" w:rsidRPr="008B6A75" w:rsidRDefault="00387142" w:rsidP="00387142">
            <w:pPr>
              <w:jc w:val="center"/>
              <w:rPr>
                <w:bCs/>
                <w:sz w:val="20"/>
                <w:szCs w:val="20"/>
              </w:rPr>
            </w:pPr>
            <w:r w:rsidRPr="008B6A75">
              <w:rPr>
                <w:bCs/>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298BA80" w14:textId="77777777" w:rsidR="00387142" w:rsidRPr="008B6A75" w:rsidRDefault="00387142" w:rsidP="00387142">
            <w:pPr>
              <w:jc w:val="center"/>
              <w:rPr>
                <w:bCs/>
                <w:sz w:val="20"/>
                <w:szCs w:val="20"/>
              </w:rPr>
            </w:pPr>
            <w:r w:rsidRPr="008B6A75">
              <w:rPr>
                <w:bCs/>
                <w:sz w:val="20"/>
                <w:szCs w:val="20"/>
              </w:rPr>
              <w:t>03</w:t>
            </w:r>
          </w:p>
        </w:tc>
        <w:tc>
          <w:tcPr>
            <w:tcW w:w="1516" w:type="dxa"/>
            <w:tcBorders>
              <w:top w:val="nil"/>
              <w:left w:val="single" w:sz="4" w:space="0" w:color="auto"/>
              <w:bottom w:val="single" w:sz="4" w:space="0" w:color="auto"/>
              <w:right w:val="nil"/>
            </w:tcBorders>
            <w:shd w:val="clear" w:color="auto" w:fill="auto"/>
            <w:noWrap/>
            <w:vAlign w:val="center"/>
            <w:hideMark/>
          </w:tcPr>
          <w:p w14:paraId="78378BA6" w14:textId="77777777" w:rsidR="00387142" w:rsidRPr="008B6A75" w:rsidRDefault="00387142" w:rsidP="00387142">
            <w:pPr>
              <w:jc w:val="center"/>
              <w:rPr>
                <w:bCs/>
                <w:sz w:val="20"/>
                <w:szCs w:val="20"/>
              </w:rPr>
            </w:pPr>
            <w:r w:rsidRPr="008B6A75">
              <w:rPr>
                <w:bCs/>
                <w:sz w:val="20"/>
                <w:szCs w:val="20"/>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5F566A1"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26EE3C3" w14:textId="77777777" w:rsidR="00387142" w:rsidRPr="008B6A75" w:rsidRDefault="00387142" w:rsidP="00387142">
            <w:pPr>
              <w:jc w:val="right"/>
              <w:rPr>
                <w:bCs/>
                <w:sz w:val="20"/>
                <w:szCs w:val="20"/>
              </w:rPr>
            </w:pPr>
            <w:r w:rsidRPr="008B6A75">
              <w:rPr>
                <w:bCs/>
                <w:sz w:val="20"/>
                <w:szCs w:val="20"/>
              </w:rPr>
              <w:t>133 032 730,60</w:t>
            </w:r>
          </w:p>
        </w:tc>
        <w:tc>
          <w:tcPr>
            <w:tcW w:w="992" w:type="dxa"/>
            <w:tcBorders>
              <w:top w:val="nil"/>
              <w:left w:val="single" w:sz="4" w:space="0" w:color="auto"/>
              <w:bottom w:val="single" w:sz="4" w:space="0" w:color="auto"/>
              <w:right w:val="nil"/>
            </w:tcBorders>
            <w:shd w:val="clear" w:color="auto" w:fill="auto"/>
            <w:vAlign w:val="center"/>
            <w:hideMark/>
          </w:tcPr>
          <w:p w14:paraId="63248F4C" w14:textId="77777777" w:rsidR="00387142" w:rsidRPr="008B6A75" w:rsidRDefault="00387142" w:rsidP="00387142">
            <w:pPr>
              <w:jc w:val="right"/>
              <w:rPr>
                <w:bCs/>
                <w:sz w:val="20"/>
                <w:szCs w:val="20"/>
              </w:rPr>
            </w:pPr>
            <w:r w:rsidRPr="008B6A75">
              <w:rPr>
                <w:bCs/>
                <w:sz w:val="20"/>
                <w:szCs w:val="20"/>
              </w:rPr>
              <w:t>50 473 391,00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0C9A4030" w14:textId="77777777" w:rsidR="00387142" w:rsidRPr="008B6A75" w:rsidRDefault="00387142" w:rsidP="00387142">
            <w:pPr>
              <w:jc w:val="right"/>
              <w:rPr>
                <w:bCs/>
                <w:sz w:val="20"/>
                <w:szCs w:val="20"/>
              </w:rPr>
            </w:pPr>
            <w:r w:rsidRPr="008B6A75">
              <w:rPr>
                <w:bCs/>
                <w:sz w:val="20"/>
                <w:szCs w:val="20"/>
              </w:rPr>
              <w:t>89 142 900,00</w:t>
            </w:r>
          </w:p>
        </w:tc>
      </w:tr>
      <w:tr w:rsidR="00387142" w:rsidRPr="008B6A75" w14:paraId="08B08558" w14:textId="77777777" w:rsidTr="00387142">
        <w:trPr>
          <w:trHeight w:val="870"/>
        </w:trPr>
        <w:tc>
          <w:tcPr>
            <w:tcW w:w="3261" w:type="dxa"/>
            <w:tcBorders>
              <w:top w:val="nil"/>
              <w:left w:val="single" w:sz="4" w:space="0" w:color="auto"/>
              <w:bottom w:val="single" w:sz="4" w:space="0" w:color="auto"/>
              <w:right w:val="nil"/>
            </w:tcBorders>
            <w:shd w:val="clear" w:color="auto" w:fill="auto"/>
            <w:vAlign w:val="center"/>
            <w:hideMark/>
          </w:tcPr>
          <w:p w14:paraId="6B395B34" w14:textId="77777777" w:rsidR="00387142" w:rsidRPr="008B6A75" w:rsidRDefault="00387142" w:rsidP="00387142">
            <w:pPr>
              <w:rPr>
                <w:bCs/>
                <w:sz w:val="20"/>
                <w:szCs w:val="20"/>
              </w:rPr>
            </w:pPr>
            <w:r w:rsidRPr="008B6A75">
              <w:rPr>
                <w:bCs/>
                <w:sz w:val="20"/>
                <w:szCs w:val="20"/>
              </w:rPr>
              <w:t>Муниципальная программа "Комплексное развитие сельских территорий в Куйбышевском районе"</w:t>
            </w:r>
          </w:p>
        </w:tc>
        <w:tc>
          <w:tcPr>
            <w:tcW w:w="720" w:type="dxa"/>
            <w:tcBorders>
              <w:top w:val="nil"/>
              <w:left w:val="single" w:sz="4" w:space="0" w:color="auto"/>
              <w:bottom w:val="single" w:sz="4" w:space="0" w:color="auto"/>
              <w:right w:val="nil"/>
            </w:tcBorders>
            <w:shd w:val="clear" w:color="auto" w:fill="auto"/>
            <w:noWrap/>
            <w:vAlign w:val="center"/>
            <w:hideMark/>
          </w:tcPr>
          <w:p w14:paraId="126CD06E" w14:textId="77777777" w:rsidR="00387142" w:rsidRPr="008B6A75" w:rsidRDefault="00387142" w:rsidP="00387142">
            <w:pPr>
              <w:jc w:val="center"/>
              <w:rPr>
                <w:bCs/>
                <w:sz w:val="20"/>
                <w:szCs w:val="20"/>
              </w:rPr>
            </w:pPr>
            <w:r w:rsidRPr="008B6A75">
              <w:rPr>
                <w:bCs/>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384CD38" w14:textId="77777777" w:rsidR="00387142" w:rsidRPr="008B6A75" w:rsidRDefault="00387142" w:rsidP="00387142">
            <w:pPr>
              <w:jc w:val="center"/>
              <w:rPr>
                <w:bCs/>
                <w:sz w:val="20"/>
                <w:szCs w:val="20"/>
              </w:rPr>
            </w:pPr>
            <w:r w:rsidRPr="008B6A75">
              <w:rPr>
                <w:bCs/>
                <w:sz w:val="20"/>
                <w:szCs w:val="20"/>
              </w:rPr>
              <w:t>03</w:t>
            </w:r>
          </w:p>
        </w:tc>
        <w:tc>
          <w:tcPr>
            <w:tcW w:w="1516" w:type="dxa"/>
            <w:tcBorders>
              <w:top w:val="nil"/>
              <w:left w:val="single" w:sz="4" w:space="0" w:color="auto"/>
              <w:bottom w:val="single" w:sz="4" w:space="0" w:color="auto"/>
              <w:right w:val="nil"/>
            </w:tcBorders>
            <w:shd w:val="clear" w:color="auto" w:fill="auto"/>
            <w:noWrap/>
            <w:vAlign w:val="center"/>
            <w:hideMark/>
          </w:tcPr>
          <w:p w14:paraId="48C1E590" w14:textId="77777777" w:rsidR="00387142" w:rsidRPr="008B6A75" w:rsidRDefault="00387142" w:rsidP="00387142">
            <w:pPr>
              <w:jc w:val="center"/>
              <w:rPr>
                <w:bCs/>
                <w:sz w:val="20"/>
                <w:szCs w:val="20"/>
              </w:rPr>
            </w:pPr>
            <w:r w:rsidRPr="008B6A75">
              <w:rPr>
                <w:bCs/>
                <w:sz w:val="20"/>
                <w:szCs w:val="20"/>
              </w:rPr>
              <w:t>06.0.00.00000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190A7D8"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583DDD7" w14:textId="77777777" w:rsidR="00387142" w:rsidRPr="008B6A75" w:rsidRDefault="00387142" w:rsidP="00387142">
            <w:pPr>
              <w:jc w:val="right"/>
              <w:rPr>
                <w:bCs/>
                <w:sz w:val="20"/>
                <w:szCs w:val="20"/>
              </w:rPr>
            </w:pPr>
            <w:r w:rsidRPr="008B6A75">
              <w:rPr>
                <w:bCs/>
                <w:sz w:val="20"/>
                <w:szCs w:val="20"/>
              </w:rPr>
              <w:t>75 000,00</w:t>
            </w:r>
          </w:p>
        </w:tc>
        <w:tc>
          <w:tcPr>
            <w:tcW w:w="992" w:type="dxa"/>
            <w:tcBorders>
              <w:top w:val="nil"/>
              <w:left w:val="single" w:sz="4" w:space="0" w:color="auto"/>
              <w:bottom w:val="single" w:sz="4" w:space="0" w:color="auto"/>
              <w:right w:val="nil"/>
            </w:tcBorders>
            <w:shd w:val="clear" w:color="auto" w:fill="auto"/>
            <w:vAlign w:val="center"/>
            <w:hideMark/>
          </w:tcPr>
          <w:p w14:paraId="1EE248D0" w14:textId="77777777" w:rsidR="00387142" w:rsidRPr="008B6A75" w:rsidRDefault="00387142" w:rsidP="00387142">
            <w:pPr>
              <w:jc w:val="right"/>
              <w:rPr>
                <w:bCs/>
                <w:sz w:val="20"/>
                <w:szCs w:val="20"/>
              </w:rPr>
            </w:pPr>
            <w:r w:rsidRPr="008B6A75">
              <w:rPr>
                <w:bCs/>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6A1026E1" w14:textId="77777777" w:rsidR="00387142" w:rsidRPr="008B6A75" w:rsidRDefault="00387142" w:rsidP="00387142">
            <w:pPr>
              <w:jc w:val="right"/>
              <w:rPr>
                <w:bCs/>
                <w:sz w:val="20"/>
                <w:szCs w:val="20"/>
              </w:rPr>
            </w:pPr>
            <w:r w:rsidRPr="008B6A75">
              <w:rPr>
                <w:bCs/>
                <w:sz w:val="20"/>
                <w:szCs w:val="20"/>
              </w:rPr>
              <w:t>0,00</w:t>
            </w:r>
          </w:p>
        </w:tc>
      </w:tr>
      <w:tr w:rsidR="00387142" w:rsidRPr="008B6A75" w14:paraId="5E0A889D" w14:textId="77777777" w:rsidTr="00387142">
        <w:trPr>
          <w:trHeight w:val="870"/>
        </w:trPr>
        <w:tc>
          <w:tcPr>
            <w:tcW w:w="3261" w:type="dxa"/>
            <w:tcBorders>
              <w:top w:val="nil"/>
              <w:left w:val="single" w:sz="4" w:space="0" w:color="auto"/>
              <w:bottom w:val="single" w:sz="4" w:space="0" w:color="auto"/>
              <w:right w:val="nil"/>
            </w:tcBorders>
            <w:shd w:val="clear" w:color="auto" w:fill="auto"/>
            <w:vAlign w:val="center"/>
            <w:hideMark/>
          </w:tcPr>
          <w:p w14:paraId="76F84141" w14:textId="77777777" w:rsidR="00387142" w:rsidRPr="008B6A75" w:rsidRDefault="00387142" w:rsidP="00387142">
            <w:pPr>
              <w:rPr>
                <w:bCs/>
                <w:sz w:val="20"/>
                <w:szCs w:val="20"/>
              </w:rPr>
            </w:pPr>
            <w:r w:rsidRPr="008B6A75">
              <w:rPr>
                <w:bCs/>
                <w:sz w:val="20"/>
                <w:szCs w:val="20"/>
              </w:rPr>
              <w:t>Реализация мероприятий муниципальной программы «Комплексное развитие сельских территорий в Куйбышевском районе»</w:t>
            </w:r>
          </w:p>
        </w:tc>
        <w:tc>
          <w:tcPr>
            <w:tcW w:w="720" w:type="dxa"/>
            <w:tcBorders>
              <w:top w:val="nil"/>
              <w:left w:val="single" w:sz="4" w:space="0" w:color="auto"/>
              <w:bottom w:val="single" w:sz="4" w:space="0" w:color="auto"/>
              <w:right w:val="nil"/>
            </w:tcBorders>
            <w:shd w:val="clear" w:color="auto" w:fill="auto"/>
            <w:noWrap/>
            <w:vAlign w:val="center"/>
            <w:hideMark/>
          </w:tcPr>
          <w:p w14:paraId="2CEC54F9" w14:textId="77777777" w:rsidR="00387142" w:rsidRPr="008B6A75" w:rsidRDefault="00387142" w:rsidP="00387142">
            <w:pPr>
              <w:jc w:val="center"/>
              <w:rPr>
                <w:bCs/>
                <w:sz w:val="20"/>
                <w:szCs w:val="20"/>
              </w:rPr>
            </w:pPr>
            <w:r w:rsidRPr="008B6A75">
              <w:rPr>
                <w:bCs/>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1849FC4" w14:textId="77777777" w:rsidR="00387142" w:rsidRPr="008B6A75" w:rsidRDefault="00387142" w:rsidP="00387142">
            <w:pPr>
              <w:jc w:val="center"/>
              <w:rPr>
                <w:bCs/>
                <w:sz w:val="20"/>
                <w:szCs w:val="20"/>
              </w:rPr>
            </w:pPr>
            <w:r w:rsidRPr="008B6A75">
              <w:rPr>
                <w:bCs/>
                <w:sz w:val="20"/>
                <w:szCs w:val="20"/>
              </w:rPr>
              <w:t>03</w:t>
            </w:r>
          </w:p>
        </w:tc>
        <w:tc>
          <w:tcPr>
            <w:tcW w:w="1516" w:type="dxa"/>
            <w:tcBorders>
              <w:top w:val="nil"/>
              <w:left w:val="single" w:sz="4" w:space="0" w:color="auto"/>
              <w:bottom w:val="single" w:sz="4" w:space="0" w:color="auto"/>
              <w:right w:val="nil"/>
            </w:tcBorders>
            <w:shd w:val="clear" w:color="auto" w:fill="auto"/>
            <w:noWrap/>
            <w:vAlign w:val="center"/>
            <w:hideMark/>
          </w:tcPr>
          <w:p w14:paraId="57F1C45F" w14:textId="77777777" w:rsidR="00387142" w:rsidRPr="008B6A75" w:rsidRDefault="00387142" w:rsidP="00387142">
            <w:pPr>
              <w:jc w:val="center"/>
              <w:rPr>
                <w:bCs/>
                <w:sz w:val="20"/>
                <w:szCs w:val="20"/>
              </w:rPr>
            </w:pPr>
            <w:r w:rsidRPr="008B6A75">
              <w:rPr>
                <w:bCs/>
                <w:sz w:val="20"/>
                <w:szCs w:val="20"/>
              </w:rPr>
              <w:t>06.0.00.05956</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10743C1"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EBF4736" w14:textId="77777777" w:rsidR="00387142" w:rsidRPr="008B6A75" w:rsidRDefault="00387142" w:rsidP="00387142">
            <w:pPr>
              <w:jc w:val="right"/>
              <w:rPr>
                <w:bCs/>
                <w:sz w:val="20"/>
                <w:szCs w:val="20"/>
              </w:rPr>
            </w:pPr>
            <w:r w:rsidRPr="008B6A75">
              <w:rPr>
                <w:bCs/>
                <w:sz w:val="20"/>
                <w:szCs w:val="20"/>
              </w:rPr>
              <w:t>75 000,00</w:t>
            </w:r>
          </w:p>
        </w:tc>
        <w:tc>
          <w:tcPr>
            <w:tcW w:w="992" w:type="dxa"/>
            <w:tcBorders>
              <w:top w:val="nil"/>
              <w:left w:val="single" w:sz="4" w:space="0" w:color="auto"/>
              <w:bottom w:val="single" w:sz="4" w:space="0" w:color="auto"/>
              <w:right w:val="nil"/>
            </w:tcBorders>
            <w:shd w:val="clear" w:color="auto" w:fill="auto"/>
            <w:vAlign w:val="center"/>
            <w:hideMark/>
          </w:tcPr>
          <w:p w14:paraId="4B1BC572" w14:textId="77777777" w:rsidR="00387142" w:rsidRPr="008B6A75" w:rsidRDefault="00387142" w:rsidP="00387142">
            <w:pPr>
              <w:jc w:val="right"/>
              <w:rPr>
                <w:bCs/>
                <w:sz w:val="20"/>
                <w:szCs w:val="20"/>
              </w:rPr>
            </w:pPr>
            <w:r w:rsidRPr="008B6A75">
              <w:rPr>
                <w:bCs/>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037296A9" w14:textId="77777777" w:rsidR="00387142" w:rsidRPr="008B6A75" w:rsidRDefault="00387142" w:rsidP="00387142">
            <w:pPr>
              <w:jc w:val="right"/>
              <w:rPr>
                <w:bCs/>
                <w:sz w:val="20"/>
                <w:szCs w:val="20"/>
              </w:rPr>
            </w:pPr>
            <w:r w:rsidRPr="008B6A75">
              <w:rPr>
                <w:bCs/>
                <w:sz w:val="20"/>
                <w:szCs w:val="20"/>
              </w:rPr>
              <w:t>0,00</w:t>
            </w:r>
          </w:p>
        </w:tc>
      </w:tr>
      <w:tr w:rsidR="00387142" w:rsidRPr="008B6A75" w14:paraId="6651022B" w14:textId="77777777" w:rsidTr="00387142">
        <w:trPr>
          <w:trHeight w:val="870"/>
        </w:trPr>
        <w:tc>
          <w:tcPr>
            <w:tcW w:w="3261" w:type="dxa"/>
            <w:tcBorders>
              <w:top w:val="nil"/>
              <w:left w:val="single" w:sz="4" w:space="0" w:color="auto"/>
              <w:bottom w:val="single" w:sz="4" w:space="0" w:color="auto"/>
              <w:right w:val="nil"/>
            </w:tcBorders>
            <w:shd w:val="clear" w:color="auto" w:fill="auto"/>
            <w:vAlign w:val="center"/>
            <w:hideMark/>
          </w:tcPr>
          <w:p w14:paraId="5527EA37" w14:textId="77777777" w:rsidR="00387142" w:rsidRPr="008B6A75" w:rsidRDefault="00387142" w:rsidP="00387142">
            <w:pPr>
              <w:rPr>
                <w:sz w:val="20"/>
                <w:szCs w:val="20"/>
              </w:rPr>
            </w:pPr>
            <w:r w:rsidRPr="008B6A75">
              <w:rPr>
                <w:sz w:val="20"/>
                <w:szCs w:val="20"/>
              </w:rPr>
              <w:t>Предоставление субсидий бюджетным, автономным учреждениям и иным некоммерческим организациям</w:t>
            </w:r>
          </w:p>
        </w:tc>
        <w:tc>
          <w:tcPr>
            <w:tcW w:w="720" w:type="dxa"/>
            <w:tcBorders>
              <w:top w:val="nil"/>
              <w:left w:val="single" w:sz="4" w:space="0" w:color="auto"/>
              <w:bottom w:val="single" w:sz="4" w:space="0" w:color="auto"/>
              <w:right w:val="nil"/>
            </w:tcBorders>
            <w:shd w:val="clear" w:color="auto" w:fill="auto"/>
            <w:noWrap/>
            <w:vAlign w:val="center"/>
            <w:hideMark/>
          </w:tcPr>
          <w:p w14:paraId="7751317E" w14:textId="77777777" w:rsidR="00387142" w:rsidRPr="008B6A75" w:rsidRDefault="00387142" w:rsidP="00387142">
            <w:pPr>
              <w:jc w:val="center"/>
              <w:rPr>
                <w:sz w:val="20"/>
                <w:szCs w:val="20"/>
              </w:rPr>
            </w:pPr>
            <w:r w:rsidRPr="008B6A75">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0E4B619" w14:textId="77777777" w:rsidR="00387142" w:rsidRPr="008B6A75" w:rsidRDefault="00387142" w:rsidP="00387142">
            <w:pPr>
              <w:jc w:val="center"/>
              <w:rPr>
                <w:sz w:val="20"/>
                <w:szCs w:val="20"/>
              </w:rPr>
            </w:pPr>
            <w:r w:rsidRPr="008B6A75">
              <w:rPr>
                <w:sz w:val="20"/>
                <w:szCs w:val="20"/>
              </w:rPr>
              <w:t>03</w:t>
            </w:r>
          </w:p>
        </w:tc>
        <w:tc>
          <w:tcPr>
            <w:tcW w:w="1516" w:type="dxa"/>
            <w:tcBorders>
              <w:top w:val="nil"/>
              <w:left w:val="single" w:sz="4" w:space="0" w:color="auto"/>
              <w:bottom w:val="single" w:sz="4" w:space="0" w:color="auto"/>
              <w:right w:val="nil"/>
            </w:tcBorders>
            <w:shd w:val="clear" w:color="auto" w:fill="auto"/>
            <w:noWrap/>
            <w:vAlign w:val="center"/>
            <w:hideMark/>
          </w:tcPr>
          <w:p w14:paraId="612A925B" w14:textId="77777777" w:rsidR="00387142" w:rsidRPr="008B6A75" w:rsidRDefault="00387142" w:rsidP="00387142">
            <w:pPr>
              <w:jc w:val="center"/>
              <w:rPr>
                <w:sz w:val="20"/>
                <w:szCs w:val="20"/>
              </w:rPr>
            </w:pPr>
            <w:r w:rsidRPr="008B6A75">
              <w:rPr>
                <w:sz w:val="20"/>
                <w:szCs w:val="20"/>
              </w:rPr>
              <w:t>06.0.00.05956</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93D8C85" w14:textId="77777777" w:rsidR="00387142" w:rsidRPr="008B6A75" w:rsidRDefault="00387142" w:rsidP="00387142">
            <w:pPr>
              <w:jc w:val="center"/>
              <w:rPr>
                <w:sz w:val="20"/>
                <w:szCs w:val="20"/>
              </w:rPr>
            </w:pPr>
            <w:r w:rsidRPr="008B6A75">
              <w:rPr>
                <w:sz w:val="20"/>
                <w:szCs w:val="20"/>
              </w:rPr>
              <w:t>600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94498FF" w14:textId="77777777" w:rsidR="00387142" w:rsidRPr="008B6A75" w:rsidRDefault="00387142" w:rsidP="00387142">
            <w:pPr>
              <w:jc w:val="right"/>
              <w:rPr>
                <w:sz w:val="20"/>
                <w:szCs w:val="20"/>
              </w:rPr>
            </w:pPr>
            <w:r w:rsidRPr="008B6A75">
              <w:rPr>
                <w:sz w:val="20"/>
                <w:szCs w:val="20"/>
              </w:rPr>
              <w:t>75 000,00</w:t>
            </w:r>
          </w:p>
        </w:tc>
        <w:tc>
          <w:tcPr>
            <w:tcW w:w="992" w:type="dxa"/>
            <w:tcBorders>
              <w:top w:val="nil"/>
              <w:left w:val="single" w:sz="4" w:space="0" w:color="auto"/>
              <w:bottom w:val="single" w:sz="4" w:space="0" w:color="auto"/>
              <w:right w:val="nil"/>
            </w:tcBorders>
            <w:shd w:val="clear" w:color="auto" w:fill="auto"/>
            <w:vAlign w:val="center"/>
            <w:hideMark/>
          </w:tcPr>
          <w:p w14:paraId="27AE1779" w14:textId="77777777" w:rsidR="00387142" w:rsidRPr="008B6A75" w:rsidRDefault="00387142" w:rsidP="00387142">
            <w:pPr>
              <w:jc w:val="right"/>
              <w:rPr>
                <w:sz w:val="20"/>
                <w:szCs w:val="20"/>
              </w:rPr>
            </w:pPr>
            <w:r w:rsidRPr="008B6A75">
              <w:rPr>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5CC75692" w14:textId="77777777" w:rsidR="00387142" w:rsidRPr="008B6A75" w:rsidRDefault="00387142" w:rsidP="00387142">
            <w:pPr>
              <w:jc w:val="right"/>
              <w:rPr>
                <w:sz w:val="20"/>
                <w:szCs w:val="20"/>
              </w:rPr>
            </w:pPr>
            <w:r w:rsidRPr="008B6A75">
              <w:rPr>
                <w:sz w:val="20"/>
                <w:szCs w:val="20"/>
              </w:rPr>
              <w:t>0,00</w:t>
            </w:r>
          </w:p>
        </w:tc>
      </w:tr>
      <w:tr w:rsidR="00387142" w:rsidRPr="008B6A75" w14:paraId="094F7D7E" w14:textId="77777777" w:rsidTr="00387142">
        <w:trPr>
          <w:trHeight w:val="345"/>
        </w:trPr>
        <w:tc>
          <w:tcPr>
            <w:tcW w:w="3261" w:type="dxa"/>
            <w:tcBorders>
              <w:top w:val="nil"/>
              <w:left w:val="single" w:sz="4" w:space="0" w:color="auto"/>
              <w:bottom w:val="single" w:sz="4" w:space="0" w:color="auto"/>
              <w:right w:val="nil"/>
            </w:tcBorders>
            <w:shd w:val="clear" w:color="auto" w:fill="auto"/>
            <w:vAlign w:val="center"/>
            <w:hideMark/>
          </w:tcPr>
          <w:p w14:paraId="4CCD1160" w14:textId="77777777" w:rsidR="00387142" w:rsidRPr="008B6A75" w:rsidRDefault="00387142" w:rsidP="00387142">
            <w:pPr>
              <w:rPr>
                <w:sz w:val="20"/>
                <w:szCs w:val="20"/>
              </w:rPr>
            </w:pPr>
            <w:r w:rsidRPr="008B6A75">
              <w:rPr>
                <w:sz w:val="20"/>
                <w:szCs w:val="20"/>
              </w:rPr>
              <w:t>Субсидии бюджетным учреждениям</w:t>
            </w:r>
          </w:p>
        </w:tc>
        <w:tc>
          <w:tcPr>
            <w:tcW w:w="720" w:type="dxa"/>
            <w:tcBorders>
              <w:top w:val="nil"/>
              <w:left w:val="single" w:sz="4" w:space="0" w:color="auto"/>
              <w:bottom w:val="single" w:sz="4" w:space="0" w:color="auto"/>
              <w:right w:val="nil"/>
            </w:tcBorders>
            <w:shd w:val="clear" w:color="auto" w:fill="auto"/>
            <w:noWrap/>
            <w:vAlign w:val="center"/>
            <w:hideMark/>
          </w:tcPr>
          <w:p w14:paraId="72205CF9" w14:textId="77777777" w:rsidR="00387142" w:rsidRPr="008B6A75" w:rsidRDefault="00387142" w:rsidP="00387142">
            <w:pPr>
              <w:jc w:val="center"/>
              <w:rPr>
                <w:sz w:val="20"/>
                <w:szCs w:val="20"/>
              </w:rPr>
            </w:pPr>
            <w:r w:rsidRPr="008B6A75">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E9BB923" w14:textId="77777777" w:rsidR="00387142" w:rsidRPr="008B6A75" w:rsidRDefault="00387142" w:rsidP="00387142">
            <w:pPr>
              <w:jc w:val="center"/>
              <w:rPr>
                <w:sz w:val="20"/>
                <w:szCs w:val="20"/>
              </w:rPr>
            </w:pPr>
            <w:r w:rsidRPr="008B6A75">
              <w:rPr>
                <w:sz w:val="20"/>
                <w:szCs w:val="20"/>
              </w:rPr>
              <w:t>03</w:t>
            </w:r>
          </w:p>
        </w:tc>
        <w:tc>
          <w:tcPr>
            <w:tcW w:w="1516" w:type="dxa"/>
            <w:tcBorders>
              <w:top w:val="nil"/>
              <w:left w:val="single" w:sz="4" w:space="0" w:color="auto"/>
              <w:bottom w:val="single" w:sz="4" w:space="0" w:color="auto"/>
              <w:right w:val="nil"/>
            </w:tcBorders>
            <w:shd w:val="clear" w:color="auto" w:fill="auto"/>
            <w:noWrap/>
            <w:vAlign w:val="center"/>
            <w:hideMark/>
          </w:tcPr>
          <w:p w14:paraId="171A5726" w14:textId="77777777" w:rsidR="00387142" w:rsidRPr="008B6A75" w:rsidRDefault="00387142" w:rsidP="00387142">
            <w:pPr>
              <w:jc w:val="center"/>
              <w:rPr>
                <w:sz w:val="20"/>
                <w:szCs w:val="20"/>
              </w:rPr>
            </w:pPr>
            <w:r w:rsidRPr="008B6A75">
              <w:rPr>
                <w:sz w:val="20"/>
                <w:szCs w:val="20"/>
              </w:rPr>
              <w:t>06.0.00.05956</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88E01B4" w14:textId="77777777" w:rsidR="00387142" w:rsidRPr="008B6A75" w:rsidRDefault="00387142" w:rsidP="00387142">
            <w:pPr>
              <w:jc w:val="center"/>
              <w:rPr>
                <w:sz w:val="20"/>
                <w:szCs w:val="20"/>
              </w:rPr>
            </w:pPr>
            <w:r w:rsidRPr="008B6A75">
              <w:rPr>
                <w:sz w:val="20"/>
                <w:szCs w:val="20"/>
              </w:rPr>
              <w:t>610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AE4395F" w14:textId="77777777" w:rsidR="00387142" w:rsidRPr="008B6A75" w:rsidRDefault="00387142" w:rsidP="00387142">
            <w:pPr>
              <w:jc w:val="right"/>
              <w:rPr>
                <w:sz w:val="20"/>
                <w:szCs w:val="20"/>
              </w:rPr>
            </w:pPr>
            <w:r w:rsidRPr="008B6A75">
              <w:rPr>
                <w:sz w:val="20"/>
                <w:szCs w:val="20"/>
              </w:rPr>
              <w:t>75 000,00</w:t>
            </w:r>
          </w:p>
        </w:tc>
        <w:tc>
          <w:tcPr>
            <w:tcW w:w="992" w:type="dxa"/>
            <w:tcBorders>
              <w:top w:val="nil"/>
              <w:left w:val="single" w:sz="4" w:space="0" w:color="auto"/>
              <w:bottom w:val="single" w:sz="4" w:space="0" w:color="auto"/>
              <w:right w:val="nil"/>
            </w:tcBorders>
            <w:shd w:val="clear" w:color="auto" w:fill="auto"/>
            <w:vAlign w:val="center"/>
            <w:hideMark/>
          </w:tcPr>
          <w:p w14:paraId="1079C955" w14:textId="77777777" w:rsidR="00387142" w:rsidRPr="008B6A75" w:rsidRDefault="00387142" w:rsidP="00387142">
            <w:pPr>
              <w:jc w:val="right"/>
              <w:rPr>
                <w:sz w:val="20"/>
                <w:szCs w:val="20"/>
              </w:rPr>
            </w:pPr>
            <w:r w:rsidRPr="008B6A75">
              <w:rPr>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2B2D70DC" w14:textId="77777777" w:rsidR="00387142" w:rsidRPr="008B6A75" w:rsidRDefault="00387142" w:rsidP="00387142">
            <w:pPr>
              <w:jc w:val="right"/>
              <w:rPr>
                <w:sz w:val="20"/>
                <w:szCs w:val="20"/>
              </w:rPr>
            </w:pPr>
            <w:r w:rsidRPr="008B6A75">
              <w:rPr>
                <w:sz w:val="20"/>
                <w:szCs w:val="20"/>
              </w:rPr>
              <w:t>0,00</w:t>
            </w:r>
          </w:p>
        </w:tc>
      </w:tr>
      <w:tr w:rsidR="00387142" w:rsidRPr="008B6A75" w14:paraId="2D7B7450" w14:textId="77777777" w:rsidTr="00387142">
        <w:trPr>
          <w:trHeight w:val="585"/>
        </w:trPr>
        <w:tc>
          <w:tcPr>
            <w:tcW w:w="3261" w:type="dxa"/>
            <w:tcBorders>
              <w:top w:val="nil"/>
              <w:left w:val="single" w:sz="4" w:space="0" w:color="auto"/>
              <w:bottom w:val="single" w:sz="4" w:space="0" w:color="auto"/>
              <w:right w:val="nil"/>
            </w:tcBorders>
            <w:shd w:val="clear" w:color="auto" w:fill="auto"/>
            <w:vAlign w:val="center"/>
            <w:hideMark/>
          </w:tcPr>
          <w:p w14:paraId="498E0EE2" w14:textId="77777777" w:rsidR="00387142" w:rsidRPr="008B6A75" w:rsidRDefault="00387142" w:rsidP="00387142">
            <w:pPr>
              <w:rPr>
                <w:bCs/>
                <w:sz w:val="20"/>
                <w:szCs w:val="20"/>
              </w:rPr>
            </w:pPr>
            <w:r w:rsidRPr="008B6A75">
              <w:rPr>
                <w:bCs/>
                <w:sz w:val="20"/>
                <w:szCs w:val="20"/>
              </w:rPr>
              <w:t>Муниципальная программа "Развитие системы образования Куйбышевского района"</w:t>
            </w:r>
          </w:p>
        </w:tc>
        <w:tc>
          <w:tcPr>
            <w:tcW w:w="720" w:type="dxa"/>
            <w:tcBorders>
              <w:top w:val="nil"/>
              <w:left w:val="single" w:sz="4" w:space="0" w:color="auto"/>
              <w:bottom w:val="single" w:sz="4" w:space="0" w:color="auto"/>
              <w:right w:val="nil"/>
            </w:tcBorders>
            <w:shd w:val="clear" w:color="auto" w:fill="auto"/>
            <w:noWrap/>
            <w:vAlign w:val="center"/>
            <w:hideMark/>
          </w:tcPr>
          <w:p w14:paraId="69DDD236" w14:textId="77777777" w:rsidR="00387142" w:rsidRPr="008B6A75" w:rsidRDefault="00387142" w:rsidP="00387142">
            <w:pPr>
              <w:jc w:val="center"/>
              <w:rPr>
                <w:bCs/>
                <w:sz w:val="20"/>
                <w:szCs w:val="20"/>
              </w:rPr>
            </w:pPr>
            <w:r w:rsidRPr="008B6A75">
              <w:rPr>
                <w:bCs/>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DD640D9" w14:textId="77777777" w:rsidR="00387142" w:rsidRPr="008B6A75" w:rsidRDefault="00387142" w:rsidP="00387142">
            <w:pPr>
              <w:jc w:val="center"/>
              <w:rPr>
                <w:bCs/>
                <w:sz w:val="20"/>
                <w:szCs w:val="20"/>
              </w:rPr>
            </w:pPr>
            <w:r w:rsidRPr="008B6A75">
              <w:rPr>
                <w:bCs/>
                <w:sz w:val="20"/>
                <w:szCs w:val="20"/>
              </w:rPr>
              <w:t>03</w:t>
            </w:r>
          </w:p>
        </w:tc>
        <w:tc>
          <w:tcPr>
            <w:tcW w:w="1516" w:type="dxa"/>
            <w:tcBorders>
              <w:top w:val="nil"/>
              <w:left w:val="single" w:sz="4" w:space="0" w:color="auto"/>
              <w:bottom w:val="single" w:sz="4" w:space="0" w:color="auto"/>
              <w:right w:val="nil"/>
            </w:tcBorders>
            <w:shd w:val="clear" w:color="auto" w:fill="auto"/>
            <w:noWrap/>
            <w:vAlign w:val="center"/>
            <w:hideMark/>
          </w:tcPr>
          <w:p w14:paraId="1F82BFDE" w14:textId="77777777" w:rsidR="00387142" w:rsidRPr="008B6A75" w:rsidRDefault="00387142" w:rsidP="00387142">
            <w:pPr>
              <w:jc w:val="center"/>
              <w:rPr>
                <w:bCs/>
                <w:sz w:val="20"/>
                <w:szCs w:val="20"/>
              </w:rPr>
            </w:pPr>
            <w:r w:rsidRPr="008B6A75">
              <w:rPr>
                <w:bCs/>
                <w:sz w:val="20"/>
                <w:szCs w:val="20"/>
              </w:rPr>
              <w:t>07.0.00.00000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6076503"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4BB1B3B" w14:textId="77777777" w:rsidR="00387142" w:rsidRPr="008B6A75" w:rsidRDefault="00387142" w:rsidP="00387142">
            <w:pPr>
              <w:jc w:val="right"/>
              <w:rPr>
                <w:bCs/>
                <w:sz w:val="20"/>
                <w:szCs w:val="20"/>
              </w:rPr>
            </w:pPr>
            <w:r w:rsidRPr="008B6A75">
              <w:rPr>
                <w:bCs/>
                <w:sz w:val="20"/>
                <w:szCs w:val="20"/>
              </w:rPr>
              <w:t>128 128 730,60</w:t>
            </w:r>
          </w:p>
        </w:tc>
        <w:tc>
          <w:tcPr>
            <w:tcW w:w="992" w:type="dxa"/>
            <w:tcBorders>
              <w:top w:val="nil"/>
              <w:left w:val="single" w:sz="4" w:space="0" w:color="auto"/>
              <w:bottom w:val="single" w:sz="4" w:space="0" w:color="auto"/>
              <w:right w:val="nil"/>
            </w:tcBorders>
            <w:shd w:val="clear" w:color="auto" w:fill="auto"/>
            <w:vAlign w:val="center"/>
            <w:hideMark/>
          </w:tcPr>
          <w:p w14:paraId="691052B7" w14:textId="77777777" w:rsidR="00387142" w:rsidRPr="008B6A75" w:rsidRDefault="00387142" w:rsidP="00387142">
            <w:pPr>
              <w:jc w:val="right"/>
              <w:rPr>
                <w:bCs/>
                <w:sz w:val="20"/>
                <w:szCs w:val="20"/>
              </w:rPr>
            </w:pPr>
            <w:r w:rsidRPr="008B6A75">
              <w:rPr>
                <w:bCs/>
                <w:sz w:val="20"/>
                <w:szCs w:val="20"/>
              </w:rPr>
              <w:t>50 473 391,00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32421DBC" w14:textId="77777777" w:rsidR="00387142" w:rsidRPr="008B6A75" w:rsidRDefault="00387142" w:rsidP="00387142">
            <w:pPr>
              <w:jc w:val="right"/>
              <w:rPr>
                <w:bCs/>
                <w:sz w:val="20"/>
                <w:szCs w:val="20"/>
              </w:rPr>
            </w:pPr>
            <w:r w:rsidRPr="008B6A75">
              <w:rPr>
                <w:bCs/>
                <w:sz w:val="20"/>
                <w:szCs w:val="20"/>
              </w:rPr>
              <w:t>89 142 900,00</w:t>
            </w:r>
          </w:p>
        </w:tc>
      </w:tr>
      <w:tr w:rsidR="00387142" w:rsidRPr="008B6A75" w14:paraId="65321F00" w14:textId="77777777" w:rsidTr="00387142">
        <w:trPr>
          <w:trHeight w:val="585"/>
        </w:trPr>
        <w:tc>
          <w:tcPr>
            <w:tcW w:w="3261" w:type="dxa"/>
            <w:tcBorders>
              <w:top w:val="nil"/>
              <w:left w:val="single" w:sz="4" w:space="0" w:color="auto"/>
              <w:bottom w:val="single" w:sz="4" w:space="0" w:color="auto"/>
              <w:right w:val="nil"/>
            </w:tcBorders>
            <w:shd w:val="clear" w:color="auto" w:fill="auto"/>
            <w:vAlign w:val="center"/>
            <w:hideMark/>
          </w:tcPr>
          <w:p w14:paraId="7429F1AF" w14:textId="77777777" w:rsidR="00387142" w:rsidRPr="008B6A75" w:rsidRDefault="00387142" w:rsidP="00387142">
            <w:pPr>
              <w:rPr>
                <w:bCs/>
                <w:sz w:val="20"/>
                <w:szCs w:val="20"/>
              </w:rPr>
            </w:pPr>
            <w:r w:rsidRPr="008B6A75">
              <w:rPr>
                <w:bCs/>
                <w:sz w:val="20"/>
                <w:szCs w:val="20"/>
              </w:rPr>
              <w:lastRenderedPageBreak/>
              <w:t>Подпрограмма "Развитие дошкольного, общего и дополнительного образования детей"</w:t>
            </w:r>
          </w:p>
        </w:tc>
        <w:tc>
          <w:tcPr>
            <w:tcW w:w="720" w:type="dxa"/>
            <w:tcBorders>
              <w:top w:val="nil"/>
              <w:left w:val="single" w:sz="4" w:space="0" w:color="auto"/>
              <w:bottom w:val="single" w:sz="4" w:space="0" w:color="auto"/>
              <w:right w:val="nil"/>
            </w:tcBorders>
            <w:shd w:val="clear" w:color="auto" w:fill="auto"/>
            <w:noWrap/>
            <w:vAlign w:val="center"/>
            <w:hideMark/>
          </w:tcPr>
          <w:p w14:paraId="0829B180" w14:textId="77777777" w:rsidR="00387142" w:rsidRPr="008B6A75" w:rsidRDefault="00387142" w:rsidP="00387142">
            <w:pPr>
              <w:jc w:val="center"/>
              <w:rPr>
                <w:bCs/>
                <w:sz w:val="20"/>
                <w:szCs w:val="20"/>
              </w:rPr>
            </w:pPr>
            <w:r w:rsidRPr="008B6A75">
              <w:rPr>
                <w:bCs/>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28B36C5" w14:textId="77777777" w:rsidR="00387142" w:rsidRPr="008B6A75" w:rsidRDefault="00387142" w:rsidP="00387142">
            <w:pPr>
              <w:jc w:val="center"/>
              <w:rPr>
                <w:bCs/>
                <w:sz w:val="20"/>
                <w:szCs w:val="20"/>
              </w:rPr>
            </w:pPr>
            <w:r w:rsidRPr="008B6A75">
              <w:rPr>
                <w:bCs/>
                <w:sz w:val="20"/>
                <w:szCs w:val="20"/>
              </w:rPr>
              <w:t>03</w:t>
            </w:r>
          </w:p>
        </w:tc>
        <w:tc>
          <w:tcPr>
            <w:tcW w:w="1516" w:type="dxa"/>
            <w:tcBorders>
              <w:top w:val="nil"/>
              <w:left w:val="single" w:sz="4" w:space="0" w:color="auto"/>
              <w:bottom w:val="single" w:sz="4" w:space="0" w:color="auto"/>
              <w:right w:val="nil"/>
            </w:tcBorders>
            <w:shd w:val="clear" w:color="auto" w:fill="auto"/>
            <w:noWrap/>
            <w:vAlign w:val="center"/>
            <w:hideMark/>
          </w:tcPr>
          <w:p w14:paraId="71C0F10A" w14:textId="77777777" w:rsidR="00387142" w:rsidRPr="008B6A75" w:rsidRDefault="00387142" w:rsidP="00387142">
            <w:pPr>
              <w:jc w:val="center"/>
              <w:rPr>
                <w:bCs/>
                <w:sz w:val="20"/>
                <w:szCs w:val="20"/>
              </w:rPr>
            </w:pPr>
            <w:r w:rsidRPr="008B6A75">
              <w:rPr>
                <w:bCs/>
                <w:sz w:val="20"/>
                <w:szCs w:val="20"/>
              </w:rPr>
              <w:t>07.1.00.00000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1EC05CC"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6A70BA6" w14:textId="77777777" w:rsidR="00387142" w:rsidRPr="008B6A75" w:rsidRDefault="00387142" w:rsidP="00387142">
            <w:pPr>
              <w:jc w:val="right"/>
              <w:rPr>
                <w:bCs/>
                <w:sz w:val="20"/>
                <w:szCs w:val="20"/>
              </w:rPr>
            </w:pPr>
            <w:r w:rsidRPr="008B6A75">
              <w:rPr>
                <w:bCs/>
                <w:sz w:val="20"/>
                <w:szCs w:val="20"/>
              </w:rPr>
              <w:t>127 390 130,60</w:t>
            </w:r>
          </w:p>
        </w:tc>
        <w:tc>
          <w:tcPr>
            <w:tcW w:w="992" w:type="dxa"/>
            <w:tcBorders>
              <w:top w:val="nil"/>
              <w:left w:val="single" w:sz="4" w:space="0" w:color="auto"/>
              <w:bottom w:val="single" w:sz="4" w:space="0" w:color="auto"/>
              <w:right w:val="nil"/>
            </w:tcBorders>
            <w:shd w:val="clear" w:color="auto" w:fill="auto"/>
            <w:vAlign w:val="center"/>
            <w:hideMark/>
          </w:tcPr>
          <w:p w14:paraId="71769D0B" w14:textId="77777777" w:rsidR="00387142" w:rsidRPr="008B6A75" w:rsidRDefault="00387142" w:rsidP="00387142">
            <w:pPr>
              <w:jc w:val="right"/>
              <w:rPr>
                <w:bCs/>
                <w:sz w:val="20"/>
                <w:szCs w:val="20"/>
              </w:rPr>
            </w:pPr>
            <w:r w:rsidRPr="008B6A75">
              <w:rPr>
                <w:bCs/>
                <w:sz w:val="20"/>
                <w:szCs w:val="20"/>
              </w:rPr>
              <w:t>50 473 391,00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6E73A29C" w14:textId="77777777" w:rsidR="00387142" w:rsidRPr="008B6A75" w:rsidRDefault="00387142" w:rsidP="00387142">
            <w:pPr>
              <w:jc w:val="right"/>
              <w:rPr>
                <w:bCs/>
                <w:sz w:val="20"/>
                <w:szCs w:val="20"/>
              </w:rPr>
            </w:pPr>
            <w:r w:rsidRPr="008B6A75">
              <w:rPr>
                <w:bCs/>
                <w:sz w:val="20"/>
                <w:szCs w:val="20"/>
              </w:rPr>
              <w:t>89 142 900,00</w:t>
            </w:r>
          </w:p>
        </w:tc>
      </w:tr>
      <w:tr w:rsidR="00387142" w:rsidRPr="008B6A75" w14:paraId="3F981BE7" w14:textId="77777777" w:rsidTr="00387142">
        <w:trPr>
          <w:trHeight w:val="870"/>
        </w:trPr>
        <w:tc>
          <w:tcPr>
            <w:tcW w:w="3261" w:type="dxa"/>
            <w:tcBorders>
              <w:top w:val="nil"/>
              <w:left w:val="single" w:sz="4" w:space="0" w:color="auto"/>
              <w:bottom w:val="single" w:sz="4" w:space="0" w:color="auto"/>
              <w:right w:val="nil"/>
            </w:tcBorders>
            <w:shd w:val="clear" w:color="auto" w:fill="auto"/>
            <w:vAlign w:val="center"/>
            <w:hideMark/>
          </w:tcPr>
          <w:p w14:paraId="4EDC253B" w14:textId="77777777" w:rsidR="00387142" w:rsidRPr="008B6A75" w:rsidRDefault="00387142" w:rsidP="00387142">
            <w:pPr>
              <w:rPr>
                <w:bCs/>
                <w:sz w:val="20"/>
                <w:szCs w:val="20"/>
              </w:rPr>
            </w:pPr>
            <w:r w:rsidRPr="008B6A75">
              <w:rPr>
                <w:bCs/>
                <w:sz w:val="20"/>
                <w:szCs w:val="20"/>
              </w:rPr>
              <w:t>Расходы на обеспечение деятельности (оказание услуг) муниципальных учреждений дополнительного образования</w:t>
            </w:r>
          </w:p>
        </w:tc>
        <w:tc>
          <w:tcPr>
            <w:tcW w:w="720" w:type="dxa"/>
            <w:tcBorders>
              <w:top w:val="nil"/>
              <w:left w:val="single" w:sz="4" w:space="0" w:color="auto"/>
              <w:bottom w:val="single" w:sz="4" w:space="0" w:color="auto"/>
              <w:right w:val="nil"/>
            </w:tcBorders>
            <w:shd w:val="clear" w:color="auto" w:fill="auto"/>
            <w:noWrap/>
            <w:vAlign w:val="center"/>
            <w:hideMark/>
          </w:tcPr>
          <w:p w14:paraId="6E8D274A" w14:textId="77777777" w:rsidR="00387142" w:rsidRPr="008B6A75" w:rsidRDefault="00387142" w:rsidP="00387142">
            <w:pPr>
              <w:jc w:val="center"/>
              <w:rPr>
                <w:bCs/>
                <w:sz w:val="20"/>
                <w:szCs w:val="20"/>
              </w:rPr>
            </w:pPr>
            <w:r w:rsidRPr="008B6A75">
              <w:rPr>
                <w:bCs/>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8294070" w14:textId="77777777" w:rsidR="00387142" w:rsidRPr="008B6A75" w:rsidRDefault="00387142" w:rsidP="00387142">
            <w:pPr>
              <w:jc w:val="center"/>
              <w:rPr>
                <w:bCs/>
                <w:sz w:val="20"/>
                <w:szCs w:val="20"/>
              </w:rPr>
            </w:pPr>
            <w:r w:rsidRPr="008B6A75">
              <w:rPr>
                <w:bCs/>
                <w:sz w:val="20"/>
                <w:szCs w:val="20"/>
              </w:rPr>
              <w:t>03</w:t>
            </w:r>
          </w:p>
        </w:tc>
        <w:tc>
          <w:tcPr>
            <w:tcW w:w="1516" w:type="dxa"/>
            <w:tcBorders>
              <w:top w:val="nil"/>
              <w:left w:val="single" w:sz="4" w:space="0" w:color="auto"/>
              <w:bottom w:val="single" w:sz="4" w:space="0" w:color="auto"/>
              <w:right w:val="nil"/>
            </w:tcBorders>
            <w:shd w:val="clear" w:color="auto" w:fill="auto"/>
            <w:noWrap/>
            <w:vAlign w:val="center"/>
            <w:hideMark/>
          </w:tcPr>
          <w:p w14:paraId="2199DA96" w14:textId="77777777" w:rsidR="00387142" w:rsidRPr="008B6A75" w:rsidRDefault="00387142" w:rsidP="00387142">
            <w:pPr>
              <w:jc w:val="center"/>
              <w:rPr>
                <w:bCs/>
                <w:sz w:val="20"/>
                <w:szCs w:val="20"/>
              </w:rPr>
            </w:pPr>
            <w:r w:rsidRPr="008B6A75">
              <w:rPr>
                <w:bCs/>
                <w:sz w:val="20"/>
                <w:szCs w:val="20"/>
              </w:rPr>
              <w:t>07.1.00.07490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663746D"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0763B75" w14:textId="77777777" w:rsidR="00387142" w:rsidRPr="008B6A75" w:rsidRDefault="00387142" w:rsidP="00387142">
            <w:pPr>
              <w:jc w:val="right"/>
              <w:rPr>
                <w:bCs/>
                <w:sz w:val="20"/>
                <w:szCs w:val="20"/>
              </w:rPr>
            </w:pPr>
            <w:r w:rsidRPr="008B6A75">
              <w:rPr>
                <w:bCs/>
                <w:sz w:val="20"/>
                <w:szCs w:val="20"/>
              </w:rPr>
              <w:t>36 720 467,30</w:t>
            </w:r>
          </w:p>
        </w:tc>
        <w:tc>
          <w:tcPr>
            <w:tcW w:w="992" w:type="dxa"/>
            <w:tcBorders>
              <w:top w:val="nil"/>
              <w:left w:val="single" w:sz="4" w:space="0" w:color="auto"/>
              <w:bottom w:val="single" w:sz="4" w:space="0" w:color="auto"/>
              <w:right w:val="nil"/>
            </w:tcBorders>
            <w:shd w:val="clear" w:color="auto" w:fill="auto"/>
            <w:vAlign w:val="center"/>
            <w:hideMark/>
          </w:tcPr>
          <w:p w14:paraId="62D3EABE" w14:textId="77777777" w:rsidR="00387142" w:rsidRPr="008B6A75" w:rsidRDefault="00387142" w:rsidP="00387142">
            <w:pPr>
              <w:jc w:val="right"/>
              <w:rPr>
                <w:bCs/>
                <w:sz w:val="20"/>
                <w:szCs w:val="20"/>
              </w:rPr>
            </w:pPr>
            <w:r w:rsidRPr="008B6A75">
              <w:rPr>
                <w:bCs/>
                <w:sz w:val="20"/>
                <w:szCs w:val="20"/>
              </w:rPr>
              <w:t>50 473 391,00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76E162CC" w14:textId="77777777" w:rsidR="00387142" w:rsidRPr="008B6A75" w:rsidRDefault="00387142" w:rsidP="00387142">
            <w:pPr>
              <w:jc w:val="right"/>
              <w:rPr>
                <w:bCs/>
                <w:sz w:val="20"/>
                <w:szCs w:val="20"/>
              </w:rPr>
            </w:pPr>
            <w:r w:rsidRPr="008B6A75">
              <w:rPr>
                <w:bCs/>
                <w:sz w:val="20"/>
                <w:szCs w:val="20"/>
              </w:rPr>
              <w:t>49 830 500,00</w:t>
            </w:r>
          </w:p>
        </w:tc>
      </w:tr>
      <w:tr w:rsidR="00387142" w:rsidRPr="008B6A75" w14:paraId="38B06ADF" w14:textId="77777777" w:rsidTr="00387142">
        <w:trPr>
          <w:trHeight w:val="1440"/>
        </w:trPr>
        <w:tc>
          <w:tcPr>
            <w:tcW w:w="3261" w:type="dxa"/>
            <w:tcBorders>
              <w:top w:val="nil"/>
              <w:left w:val="single" w:sz="4" w:space="0" w:color="auto"/>
              <w:bottom w:val="single" w:sz="4" w:space="0" w:color="auto"/>
              <w:right w:val="nil"/>
            </w:tcBorders>
            <w:shd w:val="clear" w:color="auto" w:fill="auto"/>
            <w:vAlign w:val="center"/>
            <w:hideMark/>
          </w:tcPr>
          <w:p w14:paraId="4973470E" w14:textId="77777777" w:rsidR="00387142" w:rsidRPr="008B6A75" w:rsidRDefault="00387142" w:rsidP="00387142">
            <w:pPr>
              <w:rPr>
                <w:sz w:val="20"/>
                <w:szCs w:val="20"/>
              </w:rPr>
            </w:pPr>
            <w:r w:rsidRPr="008B6A7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14:paraId="6679D1A1" w14:textId="77777777" w:rsidR="00387142" w:rsidRPr="008B6A75" w:rsidRDefault="00387142" w:rsidP="00387142">
            <w:pPr>
              <w:jc w:val="center"/>
              <w:rPr>
                <w:sz w:val="20"/>
                <w:szCs w:val="20"/>
              </w:rPr>
            </w:pPr>
            <w:r w:rsidRPr="008B6A75">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A6BFCC1" w14:textId="77777777" w:rsidR="00387142" w:rsidRPr="008B6A75" w:rsidRDefault="00387142" w:rsidP="00387142">
            <w:pPr>
              <w:jc w:val="center"/>
              <w:rPr>
                <w:sz w:val="20"/>
                <w:szCs w:val="20"/>
              </w:rPr>
            </w:pPr>
            <w:r w:rsidRPr="008B6A75">
              <w:rPr>
                <w:sz w:val="20"/>
                <w:szCs w:val="20"/>
              </w:rPr>
              <w:t>03</w:t>
            </w:r>
          </w:p>
        </w:tc>
        <w:tc>
          <w:tcPr>
            <w:tcW w:w="1516" w:type="dxa"/>
            <w:tcBorders>
              <w:top w:val="nil"/>
              <w:left w:val="single" w:sz="4" w:space="0" w:color="auto"/>
              <w:bottom w:val="single" w:sz="4" w:space="0" w:color="auto"/>
              <w:right w:val="nil"/>
            </w:tcBorders>
            <w:shd w:val="clear" w:color="auto" w:fill="auto"/>
            <w:noWrap/>
            <w:vAlign w:val="center"/>
            <w:hideMark/>
          </w:tcPr>
          <w:p w14:paraId="4BCC6E33" w14:textId="77777777" w:rsidR="00387142" w:rsidRPr="008B6A75" w:rsidRDefault="00387142" w:rsidP="00387142">
            <w:pPr>
              <w:jc w:val="center"/>
              <w:rPr>
                <w:sz w:val="20"/>
                <w:szCs w:val="20"/>
              </w:rPr>
            </w:pPr>
            <w:r w:rsidRPr="008B6A75">
              <w:rPr>
                <w:sz w:val="20"/>
                <w:szCs w:val="20"/>
              </w:rPr>
              <w:t>07.1.00.07490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CAC7E8E" w14:textId="77777777" w:rsidR="00387142" w:rsidRPr="008B6A75" w:rsidRDefault="00387142" w:rsidP="00387142">
            <w:pPr>
              <w:jc w:val="center"/>
              <w:rPr>
                <w:sz w:val="20"/>
                <w:szCs w:val="20"/>
              </w:rPr>
            </w:pPr>
            <w:r w:rsidRPr="008B6A75">
              <w:rPr>
                <w:sz w:val="20"/>
                <w:szCs w:val="20"/>
              </w:rPr>
              <w:t>100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07FFA3C" w14:textId="77777777" w:rsidR="00387142" w:rsidRPr="008B6A75" w:rsidRDefault="00387142" w:rsidP="00387142">
            <w:pPr>
              <w:jc w:val="right"/>
              <w:rPr>
                <w:sz w:val="20"/>
                <w:szCs w:val="20"/>
              </w:rPr>
            </w:pPr>
            <w:r w:rsidRPr="008B6A75">
              <w:rPr>
                <w:sz w:val="20"/>
                <w:szCs w:val="20"/>
              </w:rPr>
              <w:t>0,00</w:t>
            </w:r>
          </w:p>
        </w:tc>
        <w:tc>
          <w:tcPr>
            <w:tcW w:w="992" w:type="dxa"/>
            <w:tcBorders>
              <w:top w:val="nil"/>
              <w:left w:val="single" w:sz="4" w:space="0" w:color="auto"/>
              <w:bottom w:val="single" w:sz="4" w:space="0" w:color="auto"/>
              <w:right w:val="nil"/>
            </w:tcBorders>
            <w:shd w:val="clear" w:color="auto" w:fill="auto"/>
            <w:vAlign w:val="center"/>
            <w:hideMark/>
          </w:tcPr>
          <w:p w14:paraId="48AF91F5" w14:textId="77777777" w:rsidR="00387142" w:rsidRPr="008B6A75" w:rsidRDefault="00387142" w:rsidP="00387142">
            <w:pPr>
              <w:jc w:val="right"/>
              <w:rPr>
                <w:sz w:val="20"/>
                <w:szCs w:val="20"/>
              </w:rPr>
            </w:pPr>
            <w:r w:rsidRPr="008B6A75">
              <w:rPr>
                <w:sz w:val="20"/>
                <w:szCs w:val="20"/>
              </w:rPr>
              <w:t>25 000 000,00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127F4CC2" w14:textId="77777777" w:rsidR="00387142" w:rsidRPr="008B6A75" w:rsidRDefault="00387142" w:rsidP="00387142">
            <w:pPr>
              <w:jc w:val="right"/>
              <w:rPr>
                <w:sz w:val="20"/>
                <w:szCs w:val="20"/>
              </w:rPr>
            </w:pPr>
            <w:r w:rsidRPr="008B6A75">
              <w:rPr>
                <w:sz w:val="20"/>
                <w:szCs w:val="20"/>
              </w:rPr>
              <w:t>24 230 500,00</w:t>
            </w:r>
          </w:p>
        </w:tc>
      </w:tr>
      <w:tr w:rsidR="00387142" w:rsidRPr="008B6A75" w14:paraId="4F50C421" w14:textId="77777777" w:rsidTr="00387142">
        <w:trPr>
          <w:trHeight w:val="585"/>
        </w:trPr>
        <w:tc>
          <w:tcPr>
            <w:tcW w:w="3261" w:type="dxa"/>
            <w:tcBorders>
              <w:top w:val="nil"/>
              <w:left w:val="single" w:sz="4" w:space="0" w:color="auto"/>
              <w:bottom w:val="single" w:sz="4" w:space="0" w:color="auto"/>
              <w:right w:val="nil"/>
            </w:tcBorders>
            <w:shd w:val="clear" w:color="auto" w:fill="auto"/>
            <w:vAlign w:val="center"/>
            <w:hideMark/>
          </w:tcPr>
          <w:p w14:paraId="6300AFEC" w14:textId="77777777" w:rsidR="00387142" w:rsidRPr="008B6A75" w:rsidRDefault="00387142" w:rsidP="00387142">
            <w:pPr>
              <w:rPr>
                <w:sz w:val="20"/>
                <w:szCs w:val="20"/>
              </w:rPr>
            </w:pPr>
            <w:r w:rsidRPr="008B6A75">
              <w:rPr>
                <w:sz w:val="20"/>
                <w:szCs w:val="20"/>
              </w:rPr>
              <w:t>Расходы на выплаты персоналу казенных учреждений</w:t>
            </w:r>
          </w:p>
        </w:tc>
        <w:tc>
          <w:tcPr>
            <w:tcW w:w="720" w:type="dxa"/>
            <w:tcBorders>
              <w:top w:val="nil"/>
              <w:left w:val="single" w:sz="4" w:space="0" w:color="auto"/>
              <w:bottom w:val="single" w:sz="4" w:space="0" w:color="auto"/>
              <w:right w:val="nil"/>
            </w:tcBorders>
            <w:shd w:val="clear" w:color="auto" w:fill="auto"/>
            <w:noWrap/>
            <w:vAlign w:val="center"/>
            <w:hideMark/>
          </w:tcPr>
          <w:p w14:paraId="2C69D271" w14:textId="77777777" w:rsidR="00387142" w:rsidRPr="008B6A75" w:rsidRDefault="00387142" w:rsidP="00387142">
            <w:pPr>
              <w:jc w:val="center"/>
              <w:rPr>
                <w:sz w:val="20"/>
                <w:szCs w:val="20"/>
              </w:rPr>
            </w:pPr>
            <w:r w:rsidRPr="008B6A75">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2BB0D7E" w14:textId="77777777" w:rsidR="00387142" w:rsidRPr="008B6A75" w:rsidRDefault="00387142" w:rsidP="00387142">
            <w:pPr>
              <w:jc w:val="center"/>
              <w:rPr>
                <w:sz w:val="20"/>
                <w:szCs w:val="20"/>
              </w:rPr>
            </w:pPr>
            <w:r w:rsidRPr="008B6A75">
              <w:rPr>
                <w:sz w:val="20"/>
                <w:szCs w:val="20"/>
              </w:rPr>
              <w:t>03</w:t>
            </w:r>
          </w:p>
        </w:tc>
        <w:tc>
          <w:tcPr>
            <w:tcW w:w="1516" w:type="dxa"/>
            <w:tcBorders>
              <w:top w:val="nil"/>
              <w:left w:val="single" w:sz="4" w:space="0" w:color="auto"/>
              <w:bottom w:val="single" w:sz="4" w:space="0" w:color="auto"/>
              <w:right w:val="nil"/>
            </w:tcBorders>
            <w:shd w:val="clear" w:color="auto" w:fill="auto"/>
            <w:noWrap/>
            <w:vAlign w:val="center"/>
            <w:hideMark/>
          </w:tcPr>
          <w:p w14:paraId="0D018FD1" w14:textId="77777777" w:rsidR="00387142" w:rsidRPr="008B6A75" w:rsidRDefault="00387142" w:rsidP="00387142">
            <w:pPr>
              <w:jc w:val="center"/>
              <w:rPr>
                <w:sz w:val="20"/>
                <w:szCs w:val="20"/>
              </w:rPr>
            </w:pPr>
            <w:r w:rsidRPr="008B6A75">
              <w:rPr>
                <w:sz w:val="20"/>
                <w:szCs w:val="20"/>
              </w:rPr>
              <w:t>07.1.00.07490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FF6EDEA" w14:textId="77777777" w:rsidR="00387142" w:rsidRPr="008B6A75" w:rsidRDefault="00387142" w:rsidP="00387142">
            <w:pPr>
              <w:jc w:val="center"/>
              <w:rPr>
                <w:sz w:val="20"/>
                <w:szCs w:val="20"/>
              </w:rPr>
            </w:pPr>
            <w:r w:rsidRPr="008B6A75">
              <w:rPr>
                <w:sz w:val="20"/>
                <w:szCs w:val="20"/>
              </w:rPr>
              <w:t>110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F11EB33" w14:textId="77777777" w:rsidR="00387142" w:rsidRPr="008B6A75" w:rsidRDefault="00387142" w:rsidP="00387142">
            <w:pPr>
              <w:jc w:val="right"/>
              <w:rPr>
                <w:sz w:val="20"/>
                <w:szCs w:val="20"/>
              </w:rPr>
            </w:pPr>
            <w:r w:rsidRPr="008B6A75">
              <w:rPr>
                <w:sz w:val="20"/>
                <w:szCs w:val="20"/>
              </w:rPr>
              <w:t>0,00</w:t>
            </w:r>
          </w:p>
        </w:tc>
        <w:tc>
          <w:tcPr>
            <w:tcW w:w="992" w:type="dxa"/>
            <w:tcBorders>
              <w:top w:val="nil"/>
              <w:left w:val="single" w:sz="4" w:space="0" w:color="auto"/>
              <w:bottom w:val="single" w:sz="4" w:space="0" w:color="auto"/>
              <w:right w:val="nil"/>
            </w:tcBorders>
            <w:shd w:val="clear" w:color="auto" w:fill="auto"/>
            <w:vAlign w:val="center"/>
            <w:hideMark/>
          </w:tcPr>
          <w:p w14:paraId="3D78B80D" w14:textId="77777777" w:rsidR="00387142" w:rsidRPr="008B6A75" w:rsidRDefault="00387142" w:rsidP="00387142">
            <w:pPr>
              <w:jc w:val="right"/>
              <w:rPr>
                <w:sz w:val="20"/>
                <w:szCs w:val="20"/>
              </w:rPr>
            </w:pPr>
            <w:r w:rsidRPr="008B6A75">
              <w:rPr>
                <w:sz w:val="20"/>
                <w:szCs w:val="20"/>
              </w:rPr>
              <w:t>25 000 000,00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5B39B139" w14:textId="77777777" w:rsidR="00387142" w:rsidRPr="008B6A75" w:rsidRDefault="00387142" w:rsidP="00387142">
            <w:pPr>
              <w:jc w:val="right"/>
              <w:rPr>
                <w:sz w:val="20"/>
                <w:szCs w:val="20"/>
              </w:rPr>
            </w:pPr>
            <w:r w:rsidRPr="008B6A75">
              <w:rPr>
                <w:sz w:val="20"/>
                <w:szCs w:val="20"/>
              </w:rPr>
              <w:t>24 230 500,00</w:t>
            </w:r>
          </w:p>
        </w:tc>
      </w:tr>
      <w:tr w:rsidR="00387142" w:rsidRPr="008B6A75" w14:paraId="04E23BF1" w14:textId="77777777" w:rsidTr="00387142">
        <w:trPr>
          <w:trHeight w:val="585"/>
        </w:trPr>
        <w:tc>
          <w:tcPr>
            <w:tcW w:w="3261" w:type="dxa"/>
            <w:tcBorders>
              <w:top w:val="nil"/>
              <w:left w:val="single" w:sz="4" w:space="0" w:color="auto"/>
              <w:bottom w:val="single" w:sz="4" w:space="0" w:color="auto"/>
              <w:right w:val="nil"/>
            </w:tcBorders>
            <w:shd w:val="clear" w:color="auto" w:fill="auto"/>
            <w:vAlign w:val="center"/>
            <w:hideMark/>
          </w:tcPr>
          <w:p w14:paraId="6880F975" w14:textId="77777777" w:rsidR="00387142" w:rsidRPr="008B6A75" w:rsidRDefault="00387142" w:rsidP="00387142">
            <w:pPr>
              <w:rPr>
                <w:sz w:val="20"/>
                <w:szCs w:val="20"/>
              </w:rPr>
            </w:pPr>
            <w:r w:rsidRPr="008B6A75">
              <w:rPr>
                <w:sz w:val="20"/>
                <w:szCs w:val="20"/>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36EEE4AE" w14:textId="77777777" w:rsidR="00387142" w:rsidRPr="008B6A75" w:rsidRDefault="00387142" w:rsidP="00387142">
            <w:pPr>
              <w:jc w:val="center"/>
              <w:rPr>
                <w:sz w:val="20"/>
                <w:szCs w:val="20"/>
              </w:rPr>
            </w:pPr>
            <w:r w:rsidRPr="008B6A75">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5C7C5A0" w14:textId="77777777" w:rsidR="00387142" w:rsidRPr="008B6A75" w:rsidRDefault="00387142" w:rsidP="00387142">
            <w:pPr>
              <w:jc w:val="center"/>
              <w:rPr>
                <w:sz w:val="20"/>
                <w:szCs w:val="20"/>
              </w:rPr>
            </w:pPr>
            <w:r w:rsidRPr="008B6A75">
              <w:rPr>
                <w:sz w:val="20"/>
                <w:szCs w:val="20"/>
              </w:rPr>
              <w:t>03</w:t>
            </w:r>
          </w:p>
        </w:tc>
        <w:tc>
          <w:tcPr>
            <w:tcW w:w="1516" w:type="dxa"/>
            <w:tcBorders>
              <w:top w:val="nil"/>
              <w:left w:val="single" w:sz="4" w:space="0" w:color="auto"/>
              <w:bottom w:val="single" w:sz="4" w:space="0" w:color="auto"/>
              <w:right w:val="nil"/>
            </w:tcBorders>
            <w:shd w:val="clear" w:color="auto" w:fill="auto"/>
            <w:noWrap/>
            <w:vAlign w:val="center"/>
            <w:hideMark/>
          </w:tcPr>
          <w:p w14:paraId="5BF53981" w14:textId="77777777" w:rsidR="00387142" w:rsidRPr="008B6A75" w:rsidRDefault="00387142" w:rsidP="00387142">
            <w:pPr>
              <w:jc w:val="center"/>
              <w:rPr>
                <w:sz w:val="20"/>
                <w:szCs w:val="20"/>
              </w:rPr>
            </w:pPr>
            <w:r w:rsidRPr="008B6A75">
              <w:rPr>
                <w:sz w:val="20"/>
                <w:szCs w:val="20"/>
              </w:rPr>
              <w:t>07.1.00.07490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9ABF469" w14:textId="77777777" w:rsidR="00387142" w:rsidRPr="008B6A75" w:rsidRDefault="00387142" w:rsidP="00387142">
            <w:pPr>
              <w:jc w:val="center"/>
              <w:rPr>
                <w:sz w:val="20"/>
                <w:szCs w:val="20"/>
              </w:rPr>
            </w:pPr>
            <w:r w:rsidRPr="008B6A75">
              <w:rPr>
                <w:sz w:val="20"/>
                <w:szCs w:val="20"/>
              </w:rPr>
              <w:t>200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4CC453A" w14:textId="77777777" w:rsidR="00387142" w:rsidRPr="008B6A75" w:rsidRDefault="00387142" w:rsidP="00387142">
            <w:pPr>
              <w:jc w:val="right"/>
              <w:rPr>
                <w:sz w:val="20"/>
                <w:szCs w:val="20"/>
              </w:rPr>
            </w:pPr>
            <w:r w:rsidRPr="008B6A75">
              <w:rPr>
                <w:sz w:val="20"/>
                <w:szCs w:val="20"/>
              </w:rPr>
              <w:t>0,00</w:t>
            </w:r>
          </w:p>
        </w:tc>
        <w:tc>
          <w:tcPr>
            <w:tcW w:w="992" w:type="dxa"/>
            <w:tcBorders>
              <w:top w:val="nil"/>
              <w:left w:val="single" w:sz="4" w:space="0" w:color="auto"/>
              <w:bottom w:val="single" w:sz="4" w:space="0" w:color="auto"/>
              <w:right w:val="nil"/>
            </w:tcBorders>
            <w:shd w:val="clear" w:color="auto" w:fill="auto"/>
            <w:vAlign w:val="center"/>
            <w:hideMark/>
          </w:tcPr>
          <w:p w14:paraId="2B8876D2" w14:textId="77777777" w:rsidR="00387142" w:rsidRPr="008B6A75" w:rsidRDefault="00387142" w:rsidP="00387142">
            <w:pPr>
              <w:jc w:val="right"/>
              <w:rPr>
                <w:sz w:val="20"/>
                <w:szCs w:val="20"/>
              </w:rPr>
            </w:pPr>
            <w:r w:rsidRPr="008B6A75">
              <w:rPr>
                <w:sz w:val="20"/>
                <w:szCs w:val="20"/>
              </w:rPr>
              <w:t>764 954,80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2D432B56" w14:textId="77777777" w:rsidR="00387142" w:rsidRPr="008B6A75" w:rsidRDefault="00387142" w:rsidP="00387142">
            <w:pPr>
              <w:jc w:val="right"/>
              <w:rPr>
                <w:sz w:val="20"/>
                <w:szCs w:val="20"/>
              </w:rPr>
            </w:pPr>
            <w:r w:rsidRPr="008B6A75">
              <w:rPr>
                <w:sz w:val="20"/>
                <w:szCs w:val="20"/>
              </w:rPr>
              <w:t>2 600 000,00</w:t>
            </w:r>
          </w:p>
        </w:tc>
      </w:tr>
      <w:tr w:rsidR="00387142" w:rsidRPr="008B6A75" w14:paraId="11A31AFB" w14:textId="77777777" w:rsidTr="00387142">
        <w:trPr>
          <w:trHeight w:val="870"/>
        </w:trPr>
        <w:tc>
          <w:tcPr>
            <w:tcW w:w="3261" w:type="dxa"/>
            <w:tcBorders>
              <w:top w:val="nil"/>
              <w:left w:val="single" w:sz="4" w:space="0" w:color="auto"/>
              <w:bottom w:val="single" w:sz="4" w:space="0" w:color="auto"/>
              <w:right w:val="nil"/>
            </w:tcBorders>
            <w:shd w:val="clear" w:color="auto" w:fill="auto"/>
            <w:vAlign w:val="center"/>
            <w:hideMark/>
          </w:tcPr>
          <w:p w14:paraId="76223AC7" w14:textId="77777777" w:rsidR="00387142" w:rsidRPr="008B6A75" w:rsidRDefault="00387142" w:rsidP="00387142">
            <w:pPr>
              <w:rPr>
                <w:sz w:val="20"/>
                <w:szCs w:val="20"/>
              </w:rPr>
            </w:pPr>
            <w:r w:rsidRPr="008B6A75">
              <w:rPr>
                <w:sz w:val="20"/>
                <w:szCs w:val="20"/>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1A35E745" w14:textId="77777777" w:rsidR="00387142" w:rsidRPr="008B6A75" w:rsidRDefault="00387142" w:rsidP="00387142">
            <w:pPr>
              <w:jc w:val="center"/>
              <w:rPr>
                <w:sz w:val="20"/>
                <w:szCs w:val="20"/>
              </w:rPr>
            </w:pPr>
            <w:r w:rsidRPr="008B6A75">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0F60907" w14:textId="77777777" w:rsidR="00387142" w:rsidRPr="008B6A75" w:rsidRDefault="00387142" w:rsidP="00387142">
            <w:pPr>
              <w:jc w:val="center"/>
              <w:rPr>
                <w:sz w:val="20"/>
                <w:szCs w:val="20"/>
              </w:rPr>
            </w:pPr>
            <w:r w:rsidRPr="008B6A75">
              <w:rPr>
                <w:sz w:val="20"/>
                <w:szCs w:val="20"/>
              </w:rPr>
              <w:t>03</w:t>
            </w:r>
          </w:p>
        </w:tc>
        <w:tc>
          <w:tcPr>
            <w:tcW w:w="1516" w:type="dxa"/>
            <w:tcBorders>
              <w:top w:val="nil"/>
              <w:left w:val="single" w:sz="4" w:space="0" w:color="auto"/>
              <w:bottom w:val="single" w:sz="4" w:space="0" w:color="auto"/>
              <w:right w:val="nil"/>
            </w:tcBorders>
            <w:shd w:val="clear" w:color="auto" w:fill="auto"/>
            <w:noWrap/>
            <w:vAlign w:val="center"/>
            <w:hideMark/>
          </w:tcPr>
          <w:p w14:paraId="19C5058C" w14:textId="77777777" w:rsidR="00387142" w:rsidRPr="008B6A75" w:rsidRDefault="00387142" w:rsidP="00387142">
            <w:pPr>
              <w:jc w:val="center"/>
              <w:rPr>
                <w:sz w:val="20"/>
                <w:szCs w:val="20"/>
              </w:rPr>
            </w:pPr>
            <w:r w:rsidRPr="008B6A75">
              <w:rPr>
                <w:sz w:val="20"/>
                <w:szCs w:val="20"/>
              </w:rPr>
              <w:t>07.1.00.07490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6728195" w14:textId="77777777" w:rsidR="00387142" w:rsidRPr="008B6A75" w:rsidRDefault="00387142" w:rsidP="00387142">
            <w:pPr>
              <w:jc w:val="center"/>
              <w:rPr>
                <w:sz w:val="20"/>
                <w:szCs w:val="20"/>
              </w:rPr>
            </w:pPr>
            <w:r w:rsidRPr="008B6A75">
              <w:rPr>
                <w:sz w:val="20"/>
                <w:szCs w:val="20"/>
              </w:rPr>
              <w:t>240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1E21408" w14:textId="77777777" w:rsidR="00387142" w:rsidRPr="008B6A75" w:rsidRDefault="00387142" w:rsidP="00387142">
            <w:pPr>
              <w:jc w:val="right"/>
              <w:rPr>
                <w:sz w:val="20"/>
                <w:szCs w:val="20"/>
              </w:rPr>
            </w:pPr>
            <w:r w:rsidRPr="008B6A75">
              <w:rPr>
                <w:sz w:val="20"/>
                <w:szCs w:val="20"/>
              </w:rPr>
              <w:t>0,00</w:t>
            </w:r>
          </w:p>
        </w:tc>
        <w:tc>
          <w:tcPr>
            <w:tcW w:w="992" w:type="dxa"/>
            <w:tcBorders>
              <w:top w:val="nil"/>
              <w:left w:val="single" w:sz="4" w:space="0" w:color="auto"/>
              <w:bottom w:val="single" w:sz="4" w:space="0" w:color="auto"/>
              <w:right w:val="nil"/>
            </w:tcBorders>
            <w:shd w:val="clear" w:color="auto" w:fill="auto"/>
            <w:vAlign w:val="center"/>
            <w:hideMark/>
          </w:tcPr>
          <w:p w14:paraId="39276E1E" w14:textId="77777777" w:rsidR="00387142" w:rsidRPr="008B6A75" w:rsidRDefault="00387142" w:rsidP="00387142">
            <w:pPr>
              <w:jc w:val="right"/>
              <w:rPr>
                <w:sz w:val="20"/>
                <w:szCs w:val="20"/>
              </w:rPr>
            </w:pPr>
            <w:r w:rsidRPr="008B6A75">
              <w:rPr>
                <w:sz w:val="20"/>
                <w:szCs w:val="20"/>
              </w:rPr>
              <w:t>764 954,80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38B84E5D" w14:textId="77777777" w:rsidR="00387142" w:rsidRPr="008B6A75" w:rsidRDefault="00387142" w:rsidP="00387142">
            <w:pPr>
              <w:jc w:val="right"/>
              <w:rPr>
                <w:sz w:val="20"/>
                <w:szCs w:val="20"/>
              </w:rPr>
            </w:pPr>
            <w:r w:rsidRPr="008B6A75">
              <w:rPr>
                <w:sz w:val="20"/>
                <w:szCs w:val="20"/>
              </w:rPr>
              <w:t>2 600 000,00</w:t>
            </w:r>
          </w:p>
        </w:tc>
      </w:tr>
      <w:tr w:rsidR="00387142" w:rsidRPr="008B6A75" w14:paraId="2A304054" w14:textId="77777777" w:rsidTr="00387142">
        <w:trPr>
          <w:trHeight w:val="870"/>
        </w:trPr>
        <w:tc>
          <w:tcPr>
            <w:tcW w:w="3261" w:type="dxa"/>
            <w:tcBorders>
              <w:top w:val="nil"/>
              <w:left w:val="single" w:sz="4" w:space="0" w:color="auto"/>
              <w:bottom w:val="single" w:sz="4" w:space="0" w:color="auto"/>
              <w:right w:val="nil"/>
            </w:tcBorders>
            <w:shd w:val="clear" w:color="auto" w:fill="auto"/>
            <w:vAlign w:val="center"/>
            <w:hideMark/>
          </w:tcPr>
          <w:p w14:paraId="394ED6D1" w14:textId="77777777" w:rsidR="00387142" w:rsidRPr="008B6A75" w:rsidRDefault="00387142" w:rsidP="00387142">
            <w:pPr>
              <w:rPr>
                <w:sz w:val="20"/>
                <w:szCs w:val="20"/>
              </w:rPr>
            </w:pPr>
            <w:r w:rsidRPr="008B6A75">
              <w:rPr>
                <w:sz w:val="20"/>
                <w:szCs w:val="20"/>
              </w:rPr>
              <w:t>Предоставление субсидий бюджетным, автономным учреждениям и иным некоммерческим организациям</w:t>
            </w:r>
          </w:p>
        </w:tc>
        <w:tc>
          <w:tcPr>
            <w:tcW w:w="720" w:type="dxa"/>
            <w:tcBorders>
              <w:top w:val="nil"/>
              <w:left w:val="single" w:sz="4" w:space="0" w:color="auto"/>
              <w:bottom w:val="single" w:sz="4" w:space="0" w:color="auto"/>
              <w:right w:val="nil"/>
            </w:tcBorders>
            <w:shd w:val="clear" w:color="auto" w:fill="auto"/>
            <w:noWrap/>
            <w:vAlign w:val="center"/>
            <w:hideMark/>
          </w:tcPr>
          <w:p w14:paraId="2093DC48" w14:textId="77777777" w:rsidR="00387142" w:rsidRPr="008B6A75" w:rsidRDefault="00387142" w:rsidP="00387142">
            <w:pPr>
              <w:jc w:val="center"/>
              <w:rPr>
                <w:sz w:val="20"/>
                <w:szCs w:val="20"/>
              </w:rPr>
            </w:pPr>
            <w:r w:rsidRPr="008B6A75">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3766D27" w14:textId="77777777" w:rsidR="00387142" w:rsidRPr="008B6A75" w:rsidRDefault="00387142" w:rsidP="00387142">
            <w:pPr>
              <w:jc w:val="center"/>
              <w:rPr>
                <w:sz w:val="20"/>
                <w:szCs w:val="20"/>
              </w:rPr>
            </w:pPr>
            <w:r w:rsidRPr="008B6A75">
              <w:rPr>
                <w:sz w:val="20"/>
                <w:szCs w:val="20"/>
              </w:rPr>
              <w:t>03</w:t>
            </w:r>
          </w:p>
        </w:tc>
        <w:tc>
          <w:tcPr>
            <w:tcW w:w="1516" w:type="dxa"/>
            <w:tcBorders>
              <w:top w:val="nil"/>
              <w:left w:val="single" w:sz="4" w:space="0" w:color="auto"/>
              <w:bottom w:val="single" w:sz="4" w:space="0" w:color="auto"/>
              <w:right w:val="nil"/>
            </w:tcBorders>
            <w:shd w:val="clear" w:color="auto" w:fill="auto"/>
            <w:noWrap/>
            <w:vAlign w:val="center"/>
            <w:hideMark/>
          </w:tcPr>
          <w:p w14:paraId="51465772" w14:textId="77777777" w:rsidR="00387142" w:rsidRPr="008B6A75" w:rsidRDefault="00387142" w:rsidP="00387142">
            <w:pPr>
              <w:jc w:val="center"/>
              <w:rPr>
                <w:sz w:val="20"/>
                <w:szCs w:val="20"/>
              </w:rPr>
            </w:pPr>
            <w:r w:rsidRPr="008B6A75">
              <w:rPr>
                <w:sz w:val="20"/>
                <w:szCs w:val="20"/>
              </w:rPr>
              <w:t>07.1.00.07490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29587EF" w14:textId="77777777" w:rsidR="00387142" w:rsidRPr="008B6A75" w:rsidRDefault="00387142" w:rsidP="00387142">
            <w:pPr>
              <w:jc w:val="center"/>
              <w:rPr>
                <w:sz w:val="20"/>
                <w:szCs w:val="20"/>
              </w:rPr>
            </w:pPr>
            <w:r w:rsidRPr="008B6A75">
              <w:rPr>
                <w:sz w:val="20"/>
                <w:szCs w:val="20"/>
              </w:rPr>
              <w:t>600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D8C954C" w14:textId="77777777" w:rsidR="00387142" w:rsidRPr="008B6A75" w:rsidRDefault="00387142" w:rsidP="00387142">
            <w:pPr>
              <w:jc w:val="right"/>
              <w:rPr>
                <w:sz w:val="20"/>
                <w:szCs w:val="20"/>
              </w:rPr>
            </w:pPr>
            <w:r w:rsidRPr="008B6A75">
              <w:rPr>
                <w:sz w:val="20"/>
                <w:szCs w:val="20"/>
              </w:rPr>
              <w:t>36 720 467,30</w:t>
            </w:r>
          </w:p>
        </w:tc>
        <w:tc>
          <w:tcPr>
            <w:tcW w:w="992" w:type="dxa"/>
            <w:tcBorders>
              <w:top w:val="nil"/>
              <w:left w:val="single" w:sz="4" w:space="0" w:color="auto"/>
              <w:bottom w:val="single" w:sz="4" w:space="0" w:color="auto"/>
              <w:right w:val="nil"/>
            </w:tcBorders>
            <w:shd w:val="clear" w:color="auto" w:fill="auto"/>
            <w:vAlign w:val="center"/>
            <w:hideMark/>
          </w:tcPr>
          <w:p w14:paraId="6548444C" w14:textId="77777777" w:rsidR="00387142" w:rsidRPr="008B6A75" w:rsidRDefault="00387142" w:rsidP="00387142">
            <w:pPr>
              <w:jc w:val="right"/>
              <w:rPr>
                <w:sz w:val="20"/>
                <w:szCs w:val="20"/>
              </w:rPr>
            </w:pPr>
            <w:r w:rsidRPr="008B6A75">
              <w:rPr>
                <w:sz w:val="20"/>
                <w:szCs w:val="20"/>
              </w:rPr>
              <w:t>24 708 436,20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20710096" w14:textId="77777777" w:rsidR="00387142" w:rsidRPr="008B6A75" w:rsidRDefault="00387142" w:rsidP="00387142">
            <w:pPr>
              <w:jc w:val="right"/>
              <w:rPr>
                <w:sz w:val="20"/>
                <w:szCs w:val="20"/>
              </w:rPr>
            </w:pPr>
            <w:r w:rsidRPr="008B6A75">
              <w:rPr>
                <w:sz w:val="20"/>
                <w:szCs w:val="20"/>
              </w:rPr>
              <w:t>23 000 000,00</w:t>
            </w:r>
          </w:p>
        </w:tc>
      </w:tr>
      <w:tr w:rsidR="00387142" w:rsidRPr="008B6A75" w14:paraId="5FF2B73E" w14:textId="77777777" w:rsidTr="00387142">
        <w:trPr>
          <w:trHeight w:val="345"/>
        </w:trPr>
        <w:tc>
          <w:tcPr>
            <w:tcW w:w="3261" w:type="dxa"/>
            <w:tcBorders>
              <w:top w:val="nil"/>
              <w:left w:val="single" w:sz="4" w:space="0" w:color="auto"/>
              <w:bottom w:val="single" w:sz="4" w:space="0" w:color="auto"/>
              <w:right w:val="nil"/>
            </w:tcBorders>
            <w:shd w:val="clear" w:color="auto" w:fill="auto"/>
            <w:vAlign w:val="center"/>
            <w:hideMark/>
          </w:tcPr>
          <w:p w14:paraId="18209515" w14:textId="77777777" w:rsidR="00387142" w:rsidRPr="008B6A75" w:rsidRDefault="00387142" w:rsidP="00387142">
            <w:pPr>
              <w:rPr>
                <w:sz w:val="20"/>
                <w:szCs w:val="20"/>
              </w:rPr>
            </w:pPr>
            <w:r w:rsidRPr="008B6A75">
              <w:rPr>
                <w:sz w:val="20"/>
                <w:szCs w:val="20"/>
              </w:rPr>
              <w:t>Субсидии бюджетным учреждениям</w:t>
            </w:r>
          </w:p>
        </w:tc>
        <w:tc>
          <w:tcPr>
            <w:tcW w:w="720" w:type="dxa"/>
            <w:tcBorders>
              <w:top w:val="nil"/>
              <w:left w:val="single" w:sz="4" w:space="0" w:color="auto"/>
              <w:bottom w:val="single" w:sz="4" w:space="0" w:color="auto"/>
              <w:right w:val="nil"/>
            </w:tcBorders>
            <w:shd w:val="clear" w:color="auto" w:fill="auto"/>
            <w:noWrap/>
            <w:vAlign w:val="center"/>
            <w:hideMark/>
          </w:tcPr>
          <w:p w14:paraId="350413CE" w14:textId="77777777" w:rsidR="00387142" w:rsidRPr="008B6A75" w:rsidRDefault="00387142" w:rsidP="00387142">
            <w:pPr>
              <w:jc w:val="center"/>
              <w:rPr>
                <w:sz w:val="20"/>
                <w:szCs w:val="20"/>
              </w:rPr>
            </w:pPr>
            <w:r w:rsidRPr="008B6A75">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878A31E" w14:textId="77777777" w:rsidR="00387142" w:rsidRPr="008B6A75" w:rsidRDefault="00387142" w:rsidP="00387142">
            <w:pPr>
              <w:jc w:val="center"/>
              <w:rPr>
                <w:sz w:val="20"/>
                <w:szCs w:val="20"/>
              </w:rPr>
            </w:pPr>
            <w:r w:rsidRPr="008B6A75">
              <w:rPr>
                <w:sz w:val="20"/>
                <w:szCs w:val="20"/>
              </w:rPr>
              <w:t>03</w:t>
            </w:r>
          </w:p>
        </w:tc>
        <w:tc>
          <w:tcPr>
            <w:tcW w:w="1516" w:type="dxa"/>
            <w:tcBorders>
              <w:top w:val="nil"/>
              <w:left w:val="single" w:sz="4" w:space="0" w:color="auto"/>
              <w:bottom w:val="single" w:sz="4" w:space="0" w:color="auto"/>
              <w:right w:val="nil"/>
            </w:tcBorders>
            <w:shd w:val="clear" w:color="auto" w:fill="auto"/>
            <w:noWrap/>
            <w:vAlign w:val="center"/>
            <w:hideMark/>
          </w:tcPr>
          <w:p w14:paraId="4716BB92" w14:textId="77777777" w:rsidR="00387142" w:rsidRPr="008B6A75" w:rsidRDefault="00387142" w:rsidP="00387142">
            <w:pPr>
              <w:jc w:val="center"/>
              <w:rPr>
                <w:sz w:val="20"/>
                <w:szCs w:val="20"/>
              </w:rPr>
            </w:pPr>
            <w:r w:rsidRPr="008B6A75">
              <w:rPr>
                <w:sz w:val="20"/>
                <w:szCs w:val="20"/>
              </w:rPr>
              <w:t>07.1.00.07490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E26ABAD" w14:textId="77777777" w:rsidR="00387142" w:rsidRPr="008B6A75" w:rsidRDefault="00387142" w:rsidP="00387142">
            <w:pPr>
              <w:jc w:val="center"/>
              <w:rPr>
                <w:sz w:val="20"/>
                <w:szCs w:val="20"/>
              </w:rPr>
            </w:pPr>
            <w:r w:rsidRPr="008B6A75">
              <w:rPr>
                <w:sz w:val="20"/>
                <w:szCs w:val="20"/>
              </w:rPr>
              <w:t>610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C94EB4F" w14:textId="77777777" w:rsidR="00387142" w:rsidRPr="008B6A75" w:rsidRDefault="00387142" w:rsidP="00387142">
            <w:pPr>
              <w:jc w:val="right"/>
              <w:rPr>
                <w:sz w:val="20"/>
                <w:szCs w:val="20"/>
              </w:rPr>
            </w:pPr>
            <w:r w:rsidRPr="008B6A75">
              <w:rPr>
                <w:sz w:val="20"/>
                <w:szCs w:val="20"/>
              </w:rPr>
              <w:t>36 720 467,30</w:t>
            </w:r>
          </w:p>
        </w:tc>
        <w:tc>
          <w:tcPr>
            <w:tcW w:w="992" w:type="dxa"/>
            <w:tcBorders>
              <w:top w:val="nil"/>
              <w:left w:val="single" w:sz="4" w:space="0" w:color="auto"/>
              <w:bottom w:val="single" w:sz="4" w:space="0" w:color="auto"/>
              <w:right w:val="nil"/>
            </w:tcBorders>
            <w:shd w:val="clear" w:color="auto" w:fill="auto"/>
            <w:vAlign w:val="center"/>
            <w:hideMark/>
          </w:tcPr>
          <w:p w14:paraId="3813F8E9" w14:textId="77777777" w:rsidR="00387142" w:rsidRPr="008B6A75" w:rsidRDefault="00387142" w:rsidP="00387142">
            <w:pPr>
              <w:jc w:val="right"/>
              <w:rPr>
                <w:sz w:val="20"/>
                <w:szCs w:val="20"/>
              </w:rPr>
            </w:pPr>
            <w:r w:rsidRPr="008B6A75">
              <w:rPr>
                <w:sz w:val="20"/>
                <w:szCs w:val="20"/>
              </w:rPr>
              <w:t>24 708 436,20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7140D9DC" w14:textId="77777777" w:rsidR="00387142" w:rsidRPr="008B6A75" w:rsidRDefault="00387142" w:rsidP="00387142">
            <w:pPr>
              <w:jc w:val="right"/>
              <w:rPr>
                <w:sz w:val="20"/>
                <w:szCs w:val="20"/>
              </w:rPr>
            </w:pPr>
            <w:r w:rsidRPr="008B6A75">
              <w:rPr>
                <w:sz w:val="20"/>
                <w:szCs w:val="20"/>
              </w:rPr>
              <w:t>23 000 000,00</w:t>
            </w:r>
          </w:p>
        </w:tc>
      </w:tr>
      <w:tr w:rsidR="00387142" w:rsidRPr="008B6A75" w14:paraId="21A8A897" w14:textId="77777777" w:rsidTr="00387142">
        <w:trPr>
          <w:trHeight w:val="1155"/>
        </w:trPr>
        <w:tc>
          <w:tcPr>
            <w:tcW w:w="3261" w:type="dxa"/>
            <w:tcBorders>
              <w:top w:val="nil"/>
              <w:left w:val="single" w:sz="4" w:space="0" w:color="auto"/>
              <w:bottom w:val="single" w:sz="4" w:space="0" w:color="auto"/>
              <w:right w:val="nil"/>
            </w:tcBorders>
            <w:shd w:val="clear" w:color="auto" w:fill="auto"/>
            <w:vAlign w:val="center"/>
            <w:hideMark/>
          </w:tcPr>
          <w:p w14:paraId="7D6CBC22" w14:textId="77777777" w:rsidR="00387142" w:rsidRPr="008B6A75" w:rsidRDefault="00387142" w:rsidP="00387142">
            <w:pPr>
              <w:rPr>
                <w:bCs/>
                <w:sz w:val="20"/>
                <w:szCs w:val="20"/>
              </w:rPr>
            </w:pPr>
            <w:r w:rsidRPr="008B6A75">
              <w:rPr>
                <w:bCs/>
                <w:sz w:val="20"/>
                <w:szCs w:val="20"/>
              </w:rPr>
              <w:t>Реализация мероприятий по формированию системы персонифицированного финансирования учреждений дополнительного образования детей</w:t>
            </w:r>
          </w:p>
        </w:tc>
        <w:tc>
          <w:tcPr>
            <w:tcW w:w="720" w:type="dxa"/>
            <w:tcBorders>
              <w:top w:val="nil"/>
              <w:left w:val="single" w:sz="4" w:space="0" w:color="auto"/>
              <w:bottom w:val="single" w:sz="4" w:space="0" w:color="auto"/>
              <w:right w:val="nil"/>
            </w:tcBorders>
            <w:shd w:val="clear" w:color="auto" w:fill="auto"/>
            <w:noWrap/>
            <w:vAlign w:val="center"/>
            <w:hideMark/>
          </w:tcPr>
          <w:p w14:paraId="4F7A52CC" w14:textId="77777777" w:rsidR="00387142" w:rsidRPr="008B6A75" w:rsidRDefault="00387142" w:rsidP="00387142">
            <w:pPr>
              <w:jc w:val="center"/>
              <w:rPr>
                <w:bCs/>
                <w:sz w:val="20"/>
                <w:szCs w:val="20"/>
              </w:rPr>
            </w:pPr>
            <w:r w:rsidRPr="008B6A75">
              <w:rPr>
                <w:bCs/>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2C72C0F" w14:textId="77777777" w:rsidR="00387142" w:rsidRPr="008B6A75" w:rsidRDefault="00387142" w:rsidP="00387142">
            <w:pPr>
              <w:jc w:val="center"/>
              <w:rPr>
                <w:bCs/>
                <w:sz w:val="20"/>
                <w:szCs w:val="20"/>
              </w:rPr>
            </w:pPr>
            <w:r w:rsidRPr="008B6A75">
              <w:rPr>
                <w:bCs/>
                <w:sz w:val="20"/>
                <w:szCs w:val="20"/>
              </w:rPr>
              <w:t>03</w:t>
            </w:r>
          </w:p>
        </w:tc>
        <w:tc>
          <w:tcPr>
            <w:tcW w:w="1516" w:type="dxa"/>
            <w:tcBorders>
              <w:top w:val="nil"/>
              <w:left w:val="single" w:sz="4" w:space="0" w:color="auto"/>
              <w:bottom w:val="single" w:sz="4" w:space="0" w:color="auto"/>
              <w:right w:val="nil"/>
            </w:tcBorders>
            <w:shd w:val="clear" w:color="auto" w:fill="auto"/>
            <w:noWrap/>
            <w:vAlign w:val="center"/>
            <w:hideMark/>
          </w:tcPr>
          <w:p w14:paraId="4DF20E05" w14:textId="77777777" w:rsidR="00387142" w:rsidRPr="008B6A75" w:rsidRDefault="00387142" w:rsidP="00387142">
            <w:pPr>
              <w:jc w:val="center"/>
              <w:rPr>
                <w:bCs/>
                <w:sz w:val="20"/>
                <w:szCs w:val="20"/>
              </w:rPr>
            </w:pPr>
            <w:r w:rsidRPr="008B6A75">
              <w:rPr>
                <w:bCs/>
                <w:sz w:val="20"/>
                <w:szCs w:val="20"/>
              </w:rPr>
              <w:t>07.1.00.07491</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A10B619"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E26C695" w14:textId="77777777" w:rsidR="00387142" w:rsidRPr="008B6A75" w:rsidRDefault="00387142" w:rsidP="00387142">
            <w:pPr>
              <w:jc w:val="right"/>
              <w:rPr>
                <w:bCs/>
                <w:sz w:val="20"/>
                <w:szCs w:val="20"/>
              </w:rPr>
            </w:pPr>
            <w:r w:rsidRPr="008B6A75">
              <w:rPr>
                <w:bCs/>
                <w:sz w:val="20"/>
                <w:szCs w:val="20"/>
              </w:rPr>
              <w:t>2 843 167,66</w:t>
            </w:r>
          </w:p>
        </w:tc>
        <w:tc>
          <w:tcPr>
            <w:tcW w:w="992" w:type="dxa"/>
            <w:tcBorders>
              <w:top w:val="nil"/>
              <w:left w:val="single" w:sz="4" w:space="0" w:color="auto"/>
              <w:bottom w:val="single" w:sz="4" w:space="0" w:color="auto"/>
              <w:right w:val="nil"/>
            </w:tcBorders>
            <w:shd w:val="clear" w:color="auto" w:fill="auto"/>
            <w:vAlign w:val="center"/>
            <w:hideMark/>
          </w:tcPr>
          <w:p w14:paraId="409D1261" w14:textId="77777777" w:rsidR="00387142" w:rsidRPr="008B6A75" w:rsidRDefault="00387142" w:rsidP="00387142">
            <w:pPr>
              <w:jc w:val="right"/>
              <w:rPr>
                <w:bCs/>
                <w:sz w:val="20"/>
                <w:szCs w:val="20"/>
              </w:rPr>
            </w:pPr>
            <w:r w:rsidRPr="008B6A75">
              <w:rPr>
                <w:bCs/>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64D6DB51" w14:textId="77777777" w:rsidR="00387142" w:rsidRPr="008B6A75" w:rsidRDefault="00387142" w:rsidP="00387142">
            <w:pPr>
              <w:jc w:val="right"/>
              <w:rPr>
                <w:bCs/>
                <w:sz w:val="20"/>
                <w:szCs w:val="20"/>
              </w:rPr>
            </w:pPr>
            <w:r w:rsidRPr="008B6A75">
              <w:rPr>
                <w:bCs/>
                <w:sz w:val="20"/>
                <w:szCs w:val="20"/>
              </w:rPr>
              <w:t>0,00</w:t>
            </w:r>
          </w:p>
        </w:tc>
      </w:tr>
      <w:tr w:rsidR="00387142" w:rsidRPr="008B6A75" w14:paraId="774BD50A" w14:textId="77777777" w:rsidTr="00387142">
        <w:trPr>
          <w:trHeight w:val="870"/>
        </w:trPr>
        <w:tc>
          <w:tcPr>
            <w:tcW w:w="3261" w:type="dxa"/>
            <w:tcBorders>
              <w:top w:val="nil"/>
              <w:left w:val="single" w:sz="4" w:space="0" w:color="auto"/>
              <w:bottom w:val="single" w:sz="4" w:space="0" w:color="auto"/>
              <w:right w:val="nil"/>
            </w:tcBorders>
            <w:shd w:val="clear" w:color="auto" w:fill="auto"/>
            <w:vAlign w:val="center"/>
            <w:hideMark/>
          </w:tcPr>
          <w:p w14:paraId="5E586D7D" w14:textId="77777777" w:rsidR="00387142" w:rsidRPr="008B6A75" w:rsidRDefault="00387142" w:rsidP="00387142">
            <w:pPr>
              <w:rPr>
                <w:sz w:val="20"/>
                <w:szCs w:val="20"/>
              </w:rPr>
            </w:pPr>
            <w:r w:rsidRPr="008B6A75">
              <w:rPr>
                <w:sz w:val="20"/>
                <w:szCs w:val="20"/>
              </w:rPr>
              <w:t>Предоставление субсидий бюджетным, автономным учреждениям и иным некоммерческим организациям</w:t>
            </w:r>
          </w:p>
        </w:tc>
        <w:tc>
          <w:tcPr>
            <w:tcW w:w="720" w:type="dxa"/>
            <w:tcBorders>
              <w:top w:val="nil"/>
              <w:left w:val="single" w:sz="4" w:space="0" w:color="auto"/>
              <w:bottom w:val="single" w:sz="4" w:space="0" w:color="auto"/>
              <w:right w:val="nil"/>
            </w:tcBorders>
            <w:shd w:val="clear" w:color="auto" w:fill="auto"/>
            <w:noWrap/>
            <w:vAlign w:val="center"/>
            <w:hideMark/>
          </w:tcPr>
          <w:p w14:paraId="016D3CF0" w14:textId="77777777" w:rsidR="00387142" w:rsidRPr="008B6A75" w:rsidRDefault="00387142" w:rsidP="00387142">
            <w:pPr>
              <w:jc w:val="center"/>
              <w:rPr>
                <w:sz w:val="20"/>
                <w:szCs w:val="20"/>
              </w:rPr>
            </w:pPr>
            <w:r w:rsidRPr="008B6A75">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6C78593" w14:textId="77777777" w:rsidR="00387142" w:rsidRPr="008B6A75" w:rsidRDefault="00387142" w:rsidP="00387142">
            <w:pPr>
              <w:jc w:val="center"/>
              <w:rPr>
                <w:sz w:val="20"/>
                <w:szCs w:val="20"/>
              </w:rPr>
            </w:pPr>
            <w:r w:rsidRPr="008B6A75">
              <w:rPr>
                <w:sz w:val="20"/>
                <w:szCs w:val="20"/>
              </w:rPr>
              <w:t>03</w:t>
            </w:r>
          </w:p>
        </w:tc>
        <w:tc>
          <w:tcPr>
            <w:tcW w:w="1516" w:type="dxa"/>
            <w:tcBorders>
              <w:top w:val="nil"/>
              <w:left w:val="single" w:sz="4" w:space="0" w:color="auto"/>
              <w:bottom w:val="single" w:sz="4" w:space="0" w:color="auto"/>
              <w:right w:val="nil"/>
            </w:tcBorders>
            <w:shd w:val="clear" w:color="auto" w:fill="auto"/>
            <w:noWrap/>
            <w:vAlign w:val="center"/>
            <w:hideMark/>
          </w:tcPr>
          <w:p w14:paraId="3F5C2FB2" w14:textId="77777777" w:rsidR="00387142" w:rsidRPr="008B6A75" w:rsidRDefault="00387142" w:rsidP="00387142">
            <w:pPr>
              <w:jc w:val="center"/>
              <w:rPr>
                <w:sz w:val="20"/>
                <w:szCs w:val="20"/>
              </w:rPr>
            </w:pPr>
            <w:r w:rsidRPr="008B6A75">
              <w:rPr>
                <w:sz w:val="20"/>
                <w:szCs w:val="20"/>
              </w:rPr>
              <w:t>07.1.00.07491</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E9E960E" w14:textId="77777777" w:rsidR="00387142" w:rsidRPr="008B6A75" w:rsidRDefault="00387142" w:rsidP="00387142">
            <w:pPr>
              <w:jc w:val="center"/>
              <w:rPr>
                <w:sz w:val="20"/>
                <w:szCs w:val="20"/>
              </w:rPr>
            </w:pPr>
            <w:r w:rsidRPr="008B6A75">
              <w:rPr>
                <w:sz w:val="20"/>
                <w:szCs w:val="20"/>
              </w:rPr>
              <w:t>600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4EF817C" w14:textId="77777777" w:rsidR="00387142" w:rsidRPr="008B6A75" w:rsidRDefault="00387142" w:rsidP="00387142">
            <w:pPr>
              <w:jc w:val="right"/>
              <w:rPr>
                <w:sz w:val="20"/>
                <w:szCs w:val="20"/>
              </w:rPr>
            </w:pPr>
            <w:r w:rsidRPr="008B6A75">
              <w:rPr>
                <w:sz w:val="20"/>
                <w:szCs w:val="20"/>
              </w:rPr>
              <w:t>2 793 167,66</w:t>
            </w:r>
          </w:p>
        </w:tc>
        <w:tc>
          <w:tcPr>
            <w:tcW w:w="992" w:type="dxa"/>
            <w:tcBorders>
              <w:top w:val="nil"/>
              <w:left w:val="single" w:sz="4" w:space="0" w:color="auto"/>
              <w:bottom w:val="single" w:sz="4" w:space="0" w:color="auto"/>
              <w:right w:val="nil"/>
            </w:tcBorders>
            <w:shd w:val="clear" w:color="auto" w:fill="auto"/>
            <w:vAlign w:val="center"/>
            <w:hideMark/>
          </w:tcPr>
          <w:p w14:paraId="63474930" w14:textId="77777777" w:rsidR="00387142" w:rsidRPr="008B6A75" w:rsidRDefault="00387142" w:rsidP="00387142">
            <w:pPr>
              <w:jc w:val="right"/>
              <w:rPr>
                <w:sz w:val="20"/>
                <w:szCs w:val="20"/>
              </w:rPr>
            </w:pPr>
            <w:r w:rsidRPr="008B6A75">
              <w:rPr>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40CF99CB" w14:textId="77777777" w:rsidR="00387142" w:rsidRPr="008B6A75" w:rsidRDefault="00387142" w:rsidP="00387142">
            <w:pPr>
              <w:jc w:val="right"/>
              <w:rPr>
                <w:sz w:val="20"/>
                <w:szCs w:val="20"/>
              </w:rPr>
            </w:pPr>
            <w:r w:rsidRPr="008B6A75">
              <w:rPr>
                <w:sz w:val="20"/>
                <w:szCs w:val="20"/>
              </w:rPr>
              <w:t>0,00</w:t>
            </w:r>
          </w:p>
        </w:tc>
      </w:tr>
      <w:tr w:rsidR="00387142" w:rsidRPr="008B6A75" w14:paraId="555FC47A" w14:textId="77777777" w:rsidTr="00387142">
        <w:trPr>
          <w:trHeight w:val="345"/>
        </w:trPr>
        <w:tc>
          <w:tcPr>
            <w:tcW w:w="3261" w:type="dxa"/>
            <w:tcBorders>
              <w:top w:val="nil"/>
              <w:left w:val="single" w:sz="4" w:space="0" w:color="auto"/>
              <w:bottom w:val="single" w:sz="4" w:space="0" w:color="auto"/>
              <w:right w:val="nil"/>
            </w:tcBorders>
            <w:shd w:val="clear" w:color="auto" w:fill="auto"/>
            <w:vAlign w:val="center"/>
            <w:hideMark/>
          </w:tcPr>
          <w:p w14:paraId="3338C7BC" w14:textId="77777777" w:rsidR="00387142" w:rsidRPr="008B6A75" w:rsidRDefault="00387142" w:rsidP="00387142">
            <w:pPr>
              <w:rPr>
                <w:sz w:val="20"/>
                <w:szCs w:val="20"/>
              </w:rPr>
            </w:pPr>
            <w:r w:rsidRPr="008B6A75">
              <w:rPr>
                <w:sz w:val="20"/>
                <w:szCs w:val="20"/>
              </w:rPr>
              <w:t>Субсидии бюджетным учреждениям</w:t>
            </w:r>
          </w:p>
        </w:tc>
        <w:tc>
          <w:tcPr>
            <w:tcW w:w="720" w:type="dxa"/>
            <w:tcBorders>
              <w:top w:val="nil"/>
              <w:left w:val="single" w:sz="4" w:space="0" w:color="auto"/>
              <w:bottom w:val="single" w:sz="4" w:space="0" w:color="auto"/>
              <w:right w:val="nil"/>
            </w:tcBorders>
            <w:shd w:val="clear" w:color="auto" w:fill="auto"/>
            <w:noWrap/>
            <w:vAlign w:val="center"/>
            <w:hideMark/>
          </w:tcPr>
          <w:p w14:paraId="24534EBD" w14:textId="77777777" w:rsidR="00387142" w:rsidRPr="008B6A75" w:rsidRDefault="00387142" w:rsidP="00387142">
            <w:pPr>
              <w:jc w:val="center"/>
              <w:rPr>
                <w:sz w:val="20"/>
                <w:szCs w:val="20"/>
              </w:rPr>
            </w:pPr>
            <w:r w:rsidRPr="008B6A75">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B008187" w14:textId="77777777" w:rsidR="00387142" w:rsidRPr="008B6A75" w:rsidRDefault="00387142" w:rsidP="00387142">
            <w:pPr>
              <w:jc w:val="center"/>
              <w:rPr>
                <w:sz w:val="20"/>
                <w:szCs w:val="20"/>
              </w:rPr>
            </w:pPr>
            <w:r w:rsidRPr="008B6A75">
              <w:rPr>
                <w:sz w:val="20"/>
                <w:szCs w:val="20"/>
              </w:rPr>
              <w:t>03</w:t>
            </w:r>
          </w:p>
        </w:tc>
        <w:tc>
          <w:tcPr>
            <w:tcW w:w="1516" w:type="dxa"/>
            <w:tcBorders>
              <w:top w:val="nil"/>
              <w:left w:val="single" w:sz="4" w:space="0" w:color="auto"/>
              <w:bottom w:val="single" w:sz="4" w:space="0" w:color="auto"/>
              <w:right w:val="nil"/>
            </w:tcBorders>
            <w:shd w:val="clear" w:color="auto" w:fill="auto"/>
            <w:noWrap/>
            <w:vAlign w:val="center"/>
            <w:hideMark/>
          </w:tcPr>
          <w:p w14:paraId="4D75DBDA" w14:textId="77777777" w:rsidR="00387142" w:rsidRPr="008B6A75" w:rsidRDefault="00387142" w:rsidP="00387142">
            <w:pPr>
              <w:jc w:val="center"/>
              <w:rPr>
                <w:sz w:val="20"/>
                <w:szCs w:val="20"/>
              </w:rPr>
            </w:pPr>
            <w:r w:rsidRPr="008B6A75">
              <w:rPr>
                <w:sz w:val="20"/>
                <w:szCs w:val="20"/>
              </w:rPr>
              <w:t>07.1.00.07491</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D8022CC" w14:textId="77777777" w:rsidR="00387142" w:rsidRPr="008B6A75" w:rsidRDefault="00387142" w:rsidP="00387142">
            <w:pPr>
              <w:jc w:val="center"/>
              <w:rPr>
                <w:sz w:val="20"/>
                <w:szCs w:val="20"/>
              </w:rPr>
            </w:pPr>
            <w:r w:rsidRPr="008B6A75">
              <w:rPr>
                <w:sz w:val="20"/>
                <w:szCs w:val="20"/>
              </w:rPr>
              <w:t>610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7C3B576" w14:textId="77777777" w:rsidR="00387142" w:rsidRPr="008B6A75" w:rsidRDefault="00387142" w:rsidP="00387142">
            <w:pPr>
              <w:jc w:val="right"/>
              <w:rPr>
                <w:sz w:val="20"/>
                <w:szCs w:val="20"/>
              </w:rPr>
            </w:pPr>
            <w:r w:rsidRPr="008B6A75">
              <w:rPr>
                <w:sz w:val="20"/>
                <w:szCs w:val="20"/>
              </w:rPr>
              <w:t>2 743 167,66</w:t>
            </w:r>
          </w:p>
        </w:tc>
        <w:tc>
          <w:tcPr>
            <w:tcW w:w="992" w:type="dxa"/>
            <w:tcBorders>
              <w:top w:val="nil"/>
              <w:left w:val="single" w:sz="4" w:space="0" w:color="auto"/>
              <w:bottom w:val="single" w:sz="4" w:space="0" w:color="auto"/>
              <w:right w:val="nil"/>
            </w:tcBorders>
            <w:shd w:val="clear" w:color="auto" w:fill="auto"/>
            <w:vAlign w:val="center"/>
            <w:hideMark/>
          </w:tcPr>
          <w:p w14:paraId="2A156967" w14:textId="77777777" w:rsidR="00387142" w:rsidRPr="008B6A75" w:rsidRDefault="00387142" w:rsidP="00387142">
            <w:pPr>
              <w:jc w:val="right"/>
              <w:rPr>
                <w:sz w:val="20"/>
                <w:szCs w:val="20"/>
              </w:rPr>
            </w:pPr>
            <w:r w:rsidRPr="008B6A75">
              <w:rPr>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12795FE0" w14:textId="77777777" w:rsidR="00387142" w:rsidRPr="008B6A75" w:rsidRDefault="00387142" w:rsidP="00387142">
            <w:pPr>
              <w:jc w:val="right"/>
              <w:rPr>
                <w:sz w:val="20"/>
                <w:szCs w:val="20"/>
              </w:rPr>
            </w:pPr>
            <w:r w:rsidRPr="008B6A75">
              <w:rPr>
                <w:sz w:val="20"/>
                <w:szCs w:val="20"/>
              </w:rPr>
              <w:t>0,00</w:t>
            </w:r>
          </w:p>
        </w:tc>
      </w:tr>
      <w:tr w:rsidR="00387142" w:rsidRPr="008B6A75" w14:paraId="72C768BA" w14:textId="77777777" w:rsidTr="00387142">
        <w:trPr>
          <w:trHeight w:val="345"/>
        </w:trPr>
        <w:tc>
          <w:tcPr>
            <w:tcW w:w="3261" w:type="dxa"/>
            <w:tcBorders>
              <w:top w:val="nil"/>
              <w:left w:val="single" w:sz="4" w:space="0" w:color="auto"/>
              <w:bottom w:val="single" w:sz="4" w:space="0" w:color="auto"/>
              <w:right w:val="nil"/>
            </w:tcBorders>
            <w:shd w:val="clear" w:color="auto" w:fill="auto"/>
            <w:vAlign w:val="center"/>
            <w:hideMark/>
          </w:tcPr>
          <w:p w14:paraId="56016DB0" w14:textId="77777777" w:rsidR="00387142" w:rsidRPr="008B6A75" w:rsidRDefault="00387142" w:rsidP="00387142">
            <w:pPr>
              <w:rPr>
                <w:sz w:val="20"/>
                <w:szCs w:val="20"/>
              </w:rPr>
            </w:pPr>
            <w:r w:rsidRPr="008B6A75">
              <w:rPr>
                <w:sz w:val="20"/>
                <w:szCs w:val="20"/>
              </w:rPr>
              <w:t>Субсидии автономным учреждениям</w:t>
            </w:r>
          </w:p>
        </w:tc>
        <w:tc>
          <w:tcPr>
            <w:tcW w:w="720" w:type="dxa"/>
            <w:tcBorders>
              <w:top w:val="nil"/>
              <w:left w:val="single" w:sz="4" w:space="0" w:color="auto"/>
              <w:bottom w:val="single" w:sz="4" w:space="0" w:color="auto"/>
              <w:right w:val="nil"/>
            </w:tcBorders>
            <w:shd w:val="clear" w:color="auto" w:fill="auto"/>
            <w:noWrap/>
            <w:vAlign w:val="center"/>
            <w:hideMark/>
          </w:tcPr>
          <w:p w14:paraId="0FD9CBF6" w14:textId="77777777" w:rsidR="00387142" w:rsidRPr="008B6A75" w:rsidRDefault="00387142" w:rsidP="00387142">
            <w:pPr>
              <w:jc w:val="center"/>
              <w:rPr>
                <w:sz w:val="20"/>
                <w:szCs w:val="20"/>
              </w:rPr>
            </w:pPr>
            <w:r w:rsidRPr="008B6A75">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17259BC" w14:textId="77777777" w:rsidR="00387142" w:rsidRPr="008B6A75" w:rsidRDefault="00387142" w:rsidP="00387142">
            <w:pPr>
              <w:jc w:val="center"/>
              <w:rPr>
                <w:sz w:val="20"/>
                <w:szCs w:val="20"/>
              </w:rPr>
            </w:pPr>
            <w:r w:rsidRPr="008B6A75">
              <w:rPr>
                <w:sz w:val="20"/>
                <w:szCs w:val="20"/>
              </w:rPr>
              <w:t>03</w:t>
            </w:r>
          </w:p>
        </w:tc>
        <w:tc>
          <w:tcPr>
            <w:tcW w:w="1516" w:type="dxa"/>
            <w:tcBorders>
              <w:top w:val="nil"/>
              <w:left w:val="single" w:sz="4" w:space="0" w:color="auto"/>
              <w:bottom w:val="single" w:sz="4" w:space="0" w:color="auto"/>
              <w:right w:val="nil"/>
            </w:tcBorders>
            <w:shd w:val="clear" w:color="auto" w:fill="auto"/>
            <w:noWrap/>
            <w:vAlign w:val="center"/>
            <w:hideMark/>
          </w:tcPr>
          <w:p w14:paraId="0AE95213" w14:textId="77777777" w:rsidR="00387142" w:rsidRPr="008B6A75" w:rsidRDefault="00387142" w:rsidP="00387142">
            <w:pPr>
              <w:jc w:val="center"/>
              <w:rPr>
                <w:sz w:val="20"/>
                <w:szCs w:val="20"/>
              </w:rPr>
            </w:pPr>
            <w:r w:rsidRPr="008B6A75">
              <w:rPr>
                <w:sz w:val="20"/>
                <w:szCs w:val="20"/>
              </w:rPr>
              <w:t>07.1.00.07491</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3FE4F09" w14:textId="77777777" w:rsidR="00387142" w:rsidRPr="008B6A75" w:rsidRDefault="00387142" w:rsidP="00387142">
            <w:pPr>
              <w:jc w:val="center"/>
              <w:rPr>
                <w:sz w:val="20"/>
                <w:szCs w:val="20"/>
              </w:rPr>
            </w:pPr>
            <w:r w:rsidRPr="008B6A75">
              <w:rPr>
                <w:sz w:val="20"/>
                <w:szCs w:val="20"/>
              </w:rPr>
              <w:t>620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E2AE596" w14:textId="77777777" w:rsidR="00387142" w:rsidRPr="008B6A75" w:rsidRDefault="00387142" w:rsidP="00387142">
            <w:pPr>
              <w:jc w:val="right"/>
              <w:rPr>
                <w:sz w:val="20"/>
                <w:szCs w:val="20"/>
              </w:rPr>
            </w:pPr>
            <w:r w:rsidRPr="008B6A75">
              <w:rPr>
                <w:sz w:val="20"/>
                <w:szCs w:val="20"/>
              </w:rPr>
              <w:t>30 000,00</w:t>
            </w:r>
          </w:p>
        </w:tc>
        <w:tc>
          <w:tcPr>
            <w:tcW w:w="992" w:type="dxa"/>
            <w:tcBorders>
              <w:top w:val="nil"/>
              <w:left w:val="single" w:sz="4" w:space="0" w:color="auto"/>
              <w:bottom w:val="single" w:sz="4" w:space="0" w:color="auto"/>
              <w:right w:val="nil"/>
            </w:tcBorders>
            <w:shd w:val="clear" w:color="auto" w:fill="auto"/>
            <w:vAlign w:val="center"/>
            <w:hideMark/>
          </w:tcPr>
          <w:p w14:paraId="0EB672C1" w14:textId="77777777" w:rsidR="00387142" w:rsidRPr="008B6A75" w:rsidRDefault="00387142" w:rsidP="00387142">
            <w:pPr>
              <w:jc w:val="right"/>
              <w:rPr>
                <w:sz w:val="20"/>
                <w:szCs w:val="20"/>
              </w:rPr>
            </w:pPr>
            <w:r w:rsidRPr="008B6A75">
              <w:rPr>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085CFFA1" w14:textId="77777777" w:rsidR="00387142" w:rsidRPr="008B6A75" w:rsidRDefault="00387142" w:rsidP="00387142">
            <w:pPr>
              <w:jc w:val="right"/>
              <w:rPr>
                <w:sz w:val="20"/>
                <w:szCs w:val="20"/>
              </w:rPr>
            </w:pPr>
            <w:r w:rsidRPr="008B6A75">
              <w:rPr>
                <w:sz w:val="20"/>
                <w:szCs w:val="20"/>
              </w:rPr>
              <w:t>0,00</w:t>
            </w:r>
          </w:p>
        </w:tc>
      </w:tr>
      <w:tr w:rsidR="00387142" w:rsidRPr="008B6A75" w14:paraId="5EF440A8" w14:textId="77777777" w:rsidTr="00387142">
        <w:trPr>
          <w:trHeight w:val="870"/>
        </w:trPr>
        <w:tc>
          <w:tcPr>
            <w:tcW w:w="3261" w:type="dxa"/>
            <w:tcBorders>
              <w:top w:val="nil"/>
              <w:left w:val="single" w:sz="4" w:space="0" w:color="auto"/>
              <w:bottom w:val="single" w:sz="4" w:space="0" w:color="auto"/>
              <w:right w:val="nil"/>
            </w:tcBorders>
            <w:shd w:val="clear" w:color="auto" w:fill="auto"/>
            <w:vAlign w:val="center"/>
            <w:hideMark/>
          </w:tcPr>
          <w:p w14:paraId="67098BF9" w14:textId="77777777" w:rsidR="00387142" w:rsidRPr="008B6A75" w:rsidRDefault="00387142" w:rsidP="00387142">
            <w:pPr>
              <w:rPr>
                <w:sz w:val="20"/>
                <w:szCs w:val="20"/>
              </w:rPr>
            </w:pPr>
            <w:r w:rsidRPr="008B6A75">
              <w:rPr>
                <w:sz w:val="20"/>
                <w:szCs w:val="20"/>
              </w:rPr>
              <w:t>Субсидии некоммерческим организациям (за исключением государственных (муниципальных) учреждений)</w:t>
            </w:r>
          </w:p>
        </w:tc>
        <w:tc>
          <w:tcPr>
            <w:tcW w:w="720" w:type="dxa"/>
            <w:tcBorders>
              <w:top w:val="nil"/>
              <w:left w:val="single" w:sz="4" w:space="0" w:color="auto"/>
              <w:bottom w:val="single" w:sz="4" w:space="0" w:color="auto"/>
              <w:right w:val="nil"/>
            </w:tcBorders>
            <w:shd w:val="clear" w:color="auto" w:fill="auto"/>
            <w:noWrap/>
            <w:vAlign w:val="center"/>
            <w:hideMark/>
          </w:tcPr>
          <w:p w14:paraId="744BB894" w14:textId="77777777" w:rsidR="00387142" w:rsidRPr="008B6A75" w:rsidRDefault="00387142" w:rsidP="00387142">
            <w:pPr>
              <w:jc w:val="center"/>
              <w:rPr>
                <w:sz w:val="20"/>
                <w:szCs w:val="20"/>
              </w:rPr>
            </w:pPr>
            <w:r w:rsidRPr="008B6A75">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7F4FFE7" w14:textId="77777777" w:rsidR="00387142" w:rsidRPr="008B6A75" w:rsidRDefault="00387142" w:rsidP="00387142">
            <w:pPr>
              <w:jc w:val="center"/>
              <w:rPr>
                <w:sz w:val="20"/>
                <w:szCs w:val="20"/>
              </w:rPr>
            </w:pPr>
            <w:r w:rsidRPr="008B6A75">
              <w:rPr>
                <w:sz w:val="20"/>
                <w:szCs w:val="20"/>
              </w:rPr>
              <w:t>03</w:t>
            </w:r>
          </w:p>
        </w:tc>
        <w:tc>
          <w:tcPr>
            <w:tcW w:w="1516" w:type="dxa"/>
            <w:tcBorders>
              <w:top w:val="nil"/>
              <w:left w:val="single" w:sz="4" w:space="0" w:color="auto"/>
              <w:bottom w:val="single" w:sz="4" w:space="0" w:color="auto"/>
              <w:right w:val="nil"/>
            </w:tcBorders>
            <w:shd w:val="clear" w:color="auto" w:fill="auto"/>
            <w:noWrap/>
            <w:vAlign w:val="center"/>
            <w:hideMark/>
          </w:tcPr>
          <w:p w14:paraId="2D09F764" w14:textId="77777777" w:rsidR="00387142" w:rsidRPr="008B6A75" w:rsidRDefault="00387142" w:rsidP="00387142">
            <w:pPr>
              <w:jc w:val="center"/>
              <w:rPr>
                <w:sz w:val="20"/>
                <w:szCs w:val="20"/>
              </w:rPr>
            </w:pPr>
            <w:r w:rsidRPr="008B6A75">
              <w:rPr>
                <w:sz w:val="20"/>
                <w:szCs w:val="20"/>
              </w:rPr>
              <w:t>07.1.00.07491</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2649330" w14:textId="77777777" w:rsidR="00387142" w:rsidRPr="008B6A75" w:rsidRDefault="00387142" w:rsidP="00387142">
            <w:pPr>
              <w:jc w:val="center"/>
              <w:rPr>
                <w:sz w:val="20"/>
                <w:szCs w:val="20"/>
              </w:rPr>
            </w:pPr>
            <w:r w:rsidRPr="008B6A75">
              <w:rPr>
                <w:sz w:val="20"/>
                <w:szCs w:val="20"/>
              </w:rPr>
              <w:t>630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76F8CCE" w14:textId="77777777" w:rsidR="00387142" w:rsidRPr="008B6A75" w:rsidRDefault="00387142" w:rsidP="00387142">
            <w:pPr>
              <w:jc w:val="right"/>
              <w:rPr>
                <w:sz w:val="20"/>
                <w:szCs w:val="20"/>
              </w:rPr>
            </w:pPr>
            <w:r w:rsidRPr="008B6A75">
              <w:rPr>
                <w:sz w:val="20"/>
                <w:szCs w:val="20"/>
              </w:rPr>
              <w:t>20 000,00</w:t>
            </w:r>
          </w:p>
        </w:tc>
        <w:tc>
          <w:tcPr>
            <w:tcW w:w="992" w:type="dxa"/>
            <w:tcBorders>
              <w:top w:val="nil"/>
              <w:left w:val="single" w:sz="4" w:space="0" w:color="auto"/>
              <w:bottom w:val="single" w:sz="4" w:space="0" w:color="auto"/>
              <w:right w:val="nil"/>
            </w:tcBorders>
            <w:shd w:val="clear" w:color="auto" w:fill="auto"/>
            <w:vAlign w:val="center"/>
            <w:hideMark/>
          </w:tcPr>
          <w:p w14:paraId="2D7971C3" w14:textId="77777777" w:rsidR="00387142" w:rsidRPr="008B6A75" w:rsidRDefault="00387142" w:rsidP="00387142">
            <w:pPr>
              <w:jc w:val="right"/>
              <w:rPr>
                <w:sz w:val="20"/>
                <w:szCs w:val="20"/>
              </w:rPr>
            </w:pPr>
            <w:r w:rsidRPr="008B6A75">
              <w:rPr>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270DFECA" w14:textId="77777777" w:rsidR="00387142" w:rsidRPr="008B6A75" w:rsidRDefault="00387142" w:rsidP="00387142">
            <w:pPr>
              <w:jc w:val="right"/>
              <w:rPr>
                <w:sz w:val="20"/>
                <w:szCs w:val="20"/>
              </w:rPr>
            </w:pPr>
            <w:r w:rsidRPr="008B6A75">
              <w:rPr>
                <w:sz w:val="20"/>
                <w:szCs w:val="20"/>
              </w:rPr>
              <w:t>0,00</w:t>
            </w:r>
          </w:p>
        </w:tc>
      </w:tr>
      <w:tr w:rsidR="00387142" w:rsidRPr="008B6A75" w14:paraId="4F227160" w14:textId="77777777" w:rsidTr="00387142">
        <w:trPr>
          <w:trHeight w:val="345"/>
        </w:trPr>
        <w:tc>
          <w:tcPr>
            <w:tcW w:w="3261" w:type="dxa"/>
            <w:tcBorders>
              <w:top w:val="nil"/>
              <w:left w:val="single" w:sz="4" w:space="0" w:color="auto"/>
              <w:bottom w:val="single" w:sz="4" w:space="0" w:color="auto"/>
              <w:right w:val="nil"/>
            </w:tcBorders>
            <w:shd w:val="clear" w:color="auto" w:fill="auto"/>
            <w:vAlign w:val="center"/>
            <w:hideMark/>
          </w:tcPr>
          <w:p w14:paraId="5B614C7D" w14:textId="77777777" w:rsidR="00387142" w:rsidRPr="008B6A75" w:rsidRDefault="00387142" w:rsidP="00387142">
            <w:pPr>
              <w:rPr>
                <w:sz w:val="20"/>
                <w:szCs w:val="20"/>
              </w:rPr>
            </w:pPr>
            <w:r w:rsidRPr="008B6A75">
              <w:rPr>
                <w:sz w:val="20"/>
                <w:szCs w:val="20"/>
              </w:rPr>
              <w:t>Иные бюджетные ассигнования</w:t>
            </w:r>
          </w:p>
        </w:tc>
        <w:tc>
          <w:tcPr>
            <w:tcW w:w="720" w:type="dxa"/>
            <w:tcBorders>
              <w:top w:val="nil"/>
              <w:left w:val="single" w:sz="4" w:space="0" w:color="auto"/>
              <w:bottom w:val="single" w:sz="4" w:space="0" w:color="auto"/>
              <w:right w:val="nil"/>
            </w:tcBorders>
            <w:shd w:val="clear" w:color="auto" w:fill="auto"/>
            <w:noWrap/>
            <w:vAlign w:val="center"/>
            <w:hideMark/>
          </w:tcPr>
          <w:p w14:paraId="3EC040FC" w14:textId="77777777" w:rsidR="00387142" w:rsidRPr="008B6A75" w:rsidRDefault="00387142" w:rsidP="00387142">
            <w:pPr>
              <w:jc w:val="center"/>
              <w:rPr>
                <w:sz w:val="20"/>
                <w:szCs w:val="20"/>
              </w:rPr>
            </w:pPr>
            <w:r w:rsidRPr="008B6A75">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089DAC3" w14:textId="77777777" w:rsidR="00387142" w:rsidRPr="008B6A75" w:rsidRDefault="00387142" w:rsidP="00387142">
            <w:pPr>
              <w:jc w:val="center"/>
              <w:rPr>
                <w:sz w:val="20"/>
                <w:szCs w:val="20"/>
              </w:rPr>
            </w:pPr>
            <w:r w:rsidRPr="008B6A75">
              <w:rPr>
                <w:sz w:val="20"/>
                <w:szCs w:val="20"/>
              </w:rPr>
              <w:t>03</w:t>
            </w:r>
          </w:p>
        </w:tc>
        <w:tc>
          <w:tcPr>
            <w:tcW w:w="1516" w:type="dxa"/>
            <w:tcBorders>
              <w:top w:val="nil"/>
              <w:left w:val="single" w:sz="4" w:space="0" w:color="auto"/>
              <w:bottom w:val="single" w:sz="4" w:space="0" w:color="auto"/>
              <w:right w:val="nil"/>
            </w:tcBorders>
            <w:shd w:val="clear" w:color="auto" w:fill="auto"/>
            <w:noWrap/>
            <w:vAlign w:val="center"/>
            <w:hideMark/>
          </w:tcPr>
          <w:p w14:paraId="739A5529" w14:textId="77777777" w:rsidR="00387142" w:rsidRPr="008B6A75" w:rsidRDefault="00387142" w:rsidP="00387142">
            <w:pPr>
              <w:jc w:val="center"/>
              <w:rPr>
                <w:sz w:val="20"/>
                <w:szCs w:val="20"/>
              </w:rPr>
            </w:pPr>
            <w:r w:rsidRPr="008B6A75">
              <w:rPr>
                <w:sz w:val="20"/>
                <w:szCs w:val="20"/>
              </w:rPr>
              <w:t>07.1.00.07491</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2C1FC83" w14:textId="77777777" w:rsidR="00387142" w:rsidRPr="008B6A75" w:rsidRDefault="00387142" w:rsidP="00387142">
            <w:pPr>
              <w:jc w:val="center"/>
              <w:rPr>
                <w:sz w:val="20"/>
                <w:szCs w:val="20"/>
              </w:rPr>
            </w:pPr>
            <w:r w:rsidRPr="008B6A75">
              <w:rPr>
                <w:sz w:val="20"/>
                <w:szCs w:val="20"/>
              </w:rPr>
              <w:t>800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700CF61" w14:textId="77777777" w:rsidR="00387142" w:rsidRPr="008B6A75" w:rsidRDefault="00387142" w:rsidP="00387142">
            <w:pPr>
              <w:jc w:val="right"/>
              <w:rPr>
                <w:sz w:val="20"/>
                <w:szCs w:val="20"/>
              </w:rPr>
            </w:pPr>
            <w:r w:rsidRPr="008B6A75">
              <w:rPr>
                <w:sz w:val="20"/>
                <w:szCs w:val="20"/>
              </w:rPr>
              <w:t>50 000,00</w:t>
            </w:r>
          </w:p>
        </w:tc>
        <w:tc>
          <w:tcPr>
            <w:tcW w:w="992" w:type="dxa"/>
            <w:tcBorders>
              <w:top w:val="nil"/>
              <w:left w:val="single" w:sz="4" w:space="0" w:color="auto"/>
              <w:bottom w:val="single" w:sz="4" w:space="0" w:color="auto"/>
              <w:right w:val="nil"/>
            </w:tcBorders>
            <w:shd w:val="clear" w:color="auto" w:fill="auto"/>
            <w:vAlign w:val="center"/>
            <w:hideMark/>
          </w:tcPr>
          <w:p w14:paraId="2520B95F" w14:textId="77777777" w:rsidR="00387142" w:rsidRPr="008B6A75" w:rsidRDefault="00387142" w:rsidP="00387142">
            <w:pPr>
              <w:jc w:val="right"/>
              <w:rPr>
                <w:sz w:val="20"/>
                <w:szCs w:val="20"/>
              </w:rPr>
            </w:pPr>
            <w:r w:rsidRPr="008B6A75">
              <w:rPr>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73744906" w14:textId="77777777" w:rsidR="00387142" w:rsidRPr="008B6A75" w:rsidRDefault="00387142" w:rsidP="00387142">
            <w:pPr>
              <w:jc w:val="right"/>
              <w:rPr>
                <w:sz w:val="20"/>
                <w:szCs w:val="20"/>
              </w:rPr>
            </w:pPr>
            <w:r w:rsidRPr="008B6A75">
              <w:rPr>
                <w:sz w:val="20"/>
                <w:szCs w:val="20"/>
              </w:rPr>
              <w:t>0,00</w:t>
            </w:r>
          </w:p>
        </w:tc>
      </w:tr>
      <w:tr w:rsidR="00387142" w:rsidRPr="008B6A75" w14:paraId="00E78FE0" w14:textId="77777777" w:rsidTr="00387142">
        <w:trPr>
          <w:trHeight w:val="1155"/>
        </w:trPr>
        <w:tc>
          <w:tcPr>
            <w:tcW w:w="3261" w:type="dxa"/>
            <w:tcBorders>
              <w:top w:val="nil"/>
              <w:left w:val="single" w:sz="4" w:space="0" w:color="auto"/>
              <w:bottom w:val="single" w:sz="4" w:space="0" w:color="auto"/>
              <w:right w:val="nil"/>
            </w:tcBorders>
            <w:shd w:val="clear" w:color="auto" w:fill="auto"/>
            <w:vAlign w:val="center"/>
            <w:hideMark/>
          </w:tcPr>
          <w:p w14:paraId="77645600" w14:textId="77777777" w:rsidR="00387142" w:rsidRPr="008B6A75" w:rsidRDefault="00387142" w:rsidP="00387142">
            <w:pPr>
              <w:rPr>
                <w:sz w:val="20"/>
                <w:szCs w:val="20"/>
              </w:rPr>
            </w:pPr>
            <w:r w:rsidRPr="008B6A75">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20" w:type="dxa"/>
            <w:tcBorders>
              <w:top w:val="nil"/>
              <w:left w:val="single" w:sz="4" w:space="0" w:color="auto"/>
              <w:bottom w:val="single" w:sz="4" w:space="0" w:color="auto"/>
              <w:right w:val="nil"/>
            </w:tcBorders>
            <w:shd w:val="clear" w:color="auto" w:fill="auto"/>
            <w:noWrap/>
            <w:vAlign w:val="center"/>
            <w:hideMark/>
          </w:tcPr>
          <w:p w14:paraId="5F442DF1" w14:textId="77777777" w:rsidR="00387142" w:rsidRPr="008B6A75" w:rsidRDefault="00387142" w:rsidP="00387142">
            <w:pPr>
              <w:jc w:val="center"/>
              <w:rPr>
                <w:sz w:val="20"/>
                <w:szCs w:val="20"/>
              </w:rPr>
            </w:pPr>
            <w:r w:rsidRPr="008B6A75">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5A35EC6" w14:textId="77777777" w:rsidR="00387142" w:rsidRPr="008B6A75" w:rsidRDefault="00387142" w:rsidP="00387142">
            <w:pPr>
              <w:jc w:val="center"/>
              <w:rPr>
                <w:sz w:val="20"/>
                <w:szCs w:val="20"/>
              </w:rPr>
            </w:pPr>
            <w:r w:rsidRPr="008B6A75">
              <w:rPr>
                <w:sz w:val="20"/>
                <w:szCs w:val="20"/>
              </w:rPr>
              <w:t>03</w:t>
            </w:r>
          </w:p>
        </w:tc>
        <w:tc>
          <w:tcPr>
            <w:tcW w:w="1516" w:type="dxa"/>
            <w:tcBorders>
              <w:top w:val="nil"/>
              <w:left w:val="single" w:sz="4" w:space="0" w:color="auto"/>
              <w:bottom w:val="single" w:sz="4" w:space="0" w:color="auto"/>
              <w:right w:val="nil"/>
            </w:tcBorders>
            <w:shd w:val="clear" w:color="auto" w:fill="auto"/>
            <w:noWrap/>
            <w:vAlign w:val="center"/>
            <w:hideMark/>
          </w:tcPr>
          <w:p w14:paraId="7777C52B" w14:textId="77777777" w:rsidR="00387142" w:rsidRPr="008B6A75" w:rsidRDefault="00387142" w:rsidP="00387142">
            <w:pPr>
              <w:jc w:val="center"/>
              <w:rPr>
                <w:sz w:val="20"/>
                <w:szCs w:val="20"/>
              </w:rPr>
            </w:pPr>
            <w:r w:rsidRPr="008B6A75">
              <w:rPr>
                <w:sz w:val="20"/>
                <w:szCs w:val="20"/>
              </w:rPr>
              <w:t>07.1.00.07491</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8D3EA66" w14:textId="77777777" w:rsidR="00387142" w:rsidRPr="008B6A75" w:rsidRDefault="00387142" w:rsidP="00387142">
            <w:pPr>
              <w:jc w:val="center"/>
              <w:rPr>
                <w:sz w:val="20"/>
                <w:szCs w:val="20"/>
              </w:rPr>
            </w:pPr>
            <w:r w:rsidRPr="008B6A75">
              <w:rPr>
                <w:sz w:val="20"/>
                <w:szCs w:val="20"/>
              </w:rPr>
              <w:t>810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4D41490" w14:textId="77777777" w:rsidR="00387142" w:rsidRPr="008B6A75" w:rsidRDefault="00387142" w:rsidP="00387142">
            <w:pPr>
              <w:jc w:val="right"/>
              <w:rPr>
                <w:sz w:val="20"/>
                <w:szCs w:val="20"/>
              </w:rPr>
            </w:pPr>
            <w:r w:rsidRPr="008B6A75">
              <w:rPr>
                <w:sz w:val="20"/>
                <w:szCs w:val="20"/>
              </w:rPr>
              <w:t>50 000,00</w:t>
            </w:r>
          </w:p>
        </w:tc>
        <w:tc>
          <w:tcPr>
            <w:tcW w:w="992" w:type="dxa"/>
            <w:tcBorders>
              <w:top w:val="nil"/>
              <w:left w:val="single" w:sz="4" w:space="0" w:color="auto"/>
              <w:bottom w:val="single" w:sz="4" w:space="0" w:color="auto"/>
              <w:right w:val="nil"/>
            </w:tcBorders>
            <w:shd w:val="clear" w:color="auto" w:fill="auto"/>
            <w:vAlign w:val="center"/>
            <w:hideMark/>
          </w:tcPr>
          <w:p w14:paraId="5725930E" w14:textId="77777777" w:rsidR="00387142" w:rsidRPr="008B6A75" w:rsidRDefault="00387142" w:rsidP="00387142">
            <w:pPr>
              <w:jc w:val="right"/>
              <w:rPr>
                <w:sz w:val="20"/>
                <w:szCs w:val="20"/>
              </w:rPr>
            </w:pPr>
            <w:r w:rsidRPr="008B6A75">
              <w:rPr>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57876982" w14:textId="77777777" w:rsidR="00387142" w:rsidRPr="008B6A75" w:rsidRDefault="00387142" w:rsidP="00387142">
            <w:pPr>
              <w:jc w:val="right"/>
              <w:rPr>
                <w:sz w:val="20"/>
                <w:szCs w:val="20"/>
              </w:rPr>
            </w:pPr>
            <w:r w:rsidRPr="008B6A75">
              <w:rPr>
                <w:sz w:val="20"/>
                <w:szCs w:val="20"/>
              </w:rPr>
              <w:t>0,00</w:t>
            </w:r>
          </w:p>
        </w:tc>
      </w:tr>
      <w:tr w:rsidR="00387142" w:rsidRPr="008B6A75" w14:paraId="7CF2ED5B" w14:textId="77777777" w:rsidTr="00387142">
        <w:trPr>
          <w:trHeight w:val="1440"/>
        </w:trPr>
        <w:tc>
          <w:tcPr>
            <w:tcW w:w="3261" w:type="dxa"/>
            <w:tcBorders>
              <w:top w:val="nil"/>
              <w:left w:val="single" w:sz="4" w:space="0" w:color="auto"/>
              <w:bottom w:val="single" w:sz="4" w:space="0" w:color="auto"/>
              <w:right w:val="nil"/>
            </w:tcBorders>
            <w:shd w:val="clear" w:color="auto" w:fill="auto"/>
            <w:vAlign w:val="center"/>
            <w:hideMark/>
          </w:tcPr>
          <w:p w14:paraId="4E872A37" w14:textId="77777777" w:rsidR="00387142" w:rsidRPr="008B6A75" w:rsidRDefault="00387142" w:rsidP="00387142">
            <w:pPr>
              <w:rPr>
                <w:bCs/>
                <w:sz w:val="20"/>
                <w:szCs w:val="20"/>
              </w:rPr>
            </w:pPr>
            <w:r w:rsidRPr="008B6A75">
              <w:rPr>
                <w:bCs/>
                <w:sz w:val="20"/>
                <w:szCs w:val="20"/>
              </w:rPr>
              <w:lastRenderedPageBreak/>
              <w:t xml:space="preserve">Реализация мероприятий по обеспечению сбалансированности местных </w:t>
            </w:r>
            <w:proofErr w:type="gramStart"/>
            <w:r w:rsidRPr="008B6A75">
              <w:rPr>
                <w:bCs/>
                <w:sz w:val="20"/>
                <w:szCs w:val="20"/>
              </w:rPr>
              <w:t>бюджетов  государственной</w:t>
            </w:r>
            <w:proofErr w:type="gramEnd"/>
            <w:r w:rsidRPr="008B6A75">
              <w:rPr>
                <w:bCs/>
                <w:sz w:val="20"/>
                <w:szCs w:val="20"/>
              </w:rPr>
              <w:t xml:space="preserve"> программы Новосибирской области "Управление  финансами в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14:paraId="326B4F68" w14:textId="77777777" w:rsidR="00387142" w:rsidRPr="008B6A75" w:rsidRDefault="00387142" w:rsidP="00387142">
            <w:pPr>
              <w:jc w:val="center"/>
              <w:rPr>
                <w:bCs/>
                <w:sz w:val="20"/>
                <w:szCs w:val="20"/>
              </w:rPr>
            </w:pPr>
            <w:r w:rsidRPr="008B6A75">
              <w:rPr>
                <w:bCs/>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9D21C66" w14:textId="77777777" w:rsidR="00387142" w:rsidRPr="008B6A75" w:rsidRDefault="00387142" w:rsidP="00387142">
            <w:pPr>
              <w:jc w:val="center"/>
              <w:rPr>
                <w:bCs/>
                <w:sz w:val="20"/>
                <w:szCs w:val="20"/>
              </w:rPr>
            </w:pPr>
            <w:r w:rsidRPr="008B6A75">
              <w:rPr>
                <w:bCs/>
                <w:sz w:val="20"/>
                <w:szCs w:val="20"/>
              </w:rPr>
              <w:t>03</w:t>
            </w:r>
          </w:p>
        </w:tc>
        <w:tc>
          <w:tcPr>
            <w:tcW w:w="1516" w:type="dxa"/>
            <w:tcBorders>
              <w:top w:val="nil"/>
              <w:left w:val="single" w:sz="4" w:space="0" w:color="auto"/>
              <w:bottom w:val="single" w:sz="4" w:space="0" w:color="auto"/>
              <w:right w:val="nil"/>
            </w:tcBorders>
            <w:shd w:val="clear" w:color="auto" w:fill="auto"/>
            <w:noWrap/>
            <w:vAlign w:val="center"/>
            <w:hideMark/>
          </w:tcPr>
          <w:p w14:paraId="6C986A2A" w14:textId="77777777" w:rsidR="00387142" w:rsidRPr="008B6A75" w:rsidRDefault="00387142" w:rsidP="00387142">
            <w:pPr>
              <w:jc w:val="center"/>
              <w:rPr>
                <w:bCs/>
                <w:sz w:val="20"/>
                <w:szCs w:val="20"/>
              </w:rPr>
            </w:pPr>
            <w:r w:rsidRPr="008B6A75">
              <w:rPr>
                <w:bCs/>
                <w:sz w:val="20"/>
                <w:szCs w:val="20"/>
              </w:rPr>
              <w:t>07.1.00.70510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E2DC9CA"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DA32007" w14:textId="77777777" w:rsidR="00387142" w:rsidRPr="008B6A75" w:rsidRDefault="00387142" w:rsidP="00387142">
            <w:pPr>
              <w:jc w:val="right"/>
              <w:rPr>
                <w:bCs/>
                <w:sz w:val="20"/>
                <w:szCs w:val="20"/>
              </w:rPr>
            </w:pPr>
            <w:r w:rsidRPr="008B6A75">
              <w:rPr>
                <w:bCs/>
                <w:sz w:val="20"/>
                <w:szCs w:val="20"/>
              </w:rPr>
              <w:t>86 941 215,64</w:t>
            </w:r>
          </w:p>
        </w:tc>
        <w:tc>
          <w:tcPr>
            <w:tcW w:w="992" w:type="dxa"/>
            <w:tcBorders>
              <w:top w:val="nil"/>
              <w:left w:val="single" w:sz="4" w:space="0" w:color="auto"/>
              <w:bottom w:val="single" w:sz="4" w:space="0" w:color="auto"/>
              <w:right w:val="nil"/>
            </w:tcBorders>
            <w:shd w:val="clear" w:color="auto" w:fill="auto"/>
            <w:vAlign w:val="center"/>
            <w:hideMark/>
          </w:tcPr>
          <w:p w14:paraId="6610779E" w14:textId="77777777" w:rsidR="00387142" w:rsidRPr="008B6A75" w:rsidRDefault="00387142" w:rsidP="00387142">
            <w:pPr>
              <w:jc w:val="right"/>
              <w:rPr>
                <w:bCs/>
                <w:sz w:val="20"/>
                <w:szCs w:val="20"/>
              </w:rPr>
            </w:pPr>
            <w:r w:rsidRPr="008B6A75">
              <w:rPr>
                <w:bCs/>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20C9E8C1" w14:textId="77777777" w:rsidR="00387142" w:rsidRPr="008B6A75" w:rsidRDefault="00387142" w:rsidP="00387142">
            <w:pPr>
              <w:jc w:val="right"/>
              <w:rPr>
                <w:bCs/>
                <w:sz w:val="20"/>
                <w:szCs w:val="20"/>
              </w:rPr>
            </w:pPr>
            <w:r w:rsidRPr="008B6A75">
              <w:rPr>
                <w:bCs/>
                <w:sz w:val="20"/>
                <w:szCs w:val="20"/>
              </w:rPr>
              <w:t>0,00</w:t>
            </w:r>
          </w:p>
        </w:tc>
      </w:tr>
      <w:tr w:rsidR="00387142" w:rsidRPr="008B6A75" w14:paraId="48C7F62D" w14:textId="77777777" w:rsidTr="00387142">
        <w:trPr>
          <w:trHeight w:val="1440"/>
        </w:trPr>
        <w:tc>
          <w:tcPr>
            <w:tcW w:w="3261" w:type="dxa"/>
            <w:tcBorders>
              <w:top w:val="nil"/>
              <w:left w:val="single" w:sz="4" w:space="0" w:color="auto"/>
              <w:bottom w:val="single" w:sz="4" w:space="0" w:color="auto"/>
              <w:right w:val="nil"/>
            </w:tcBorders>
            <w:shd w:val="clear" w:color="auto" w:fill="auto"/>
            <w:vAlign w:val="center"/>
            <w:hideMark/>
          </w:tcPr>
          <w:p w14:paraId="0E88B393" w14:textId="77777777" w:rsidR="00387142" w:rsidRPr="008B6A75" w:rsidRDefault="00387142" w:rsidP="00387142">
            <w:pPr>
              <w:rPr>
                <w:sz w:val="20"/>
                <w:szCs w:val="20"/>
              </w:rPr>
            </w:pPr>
            <w:r w:rsidRPr="008B6A7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14:paraId="2D5DB717" w14:textId="77777777" w:rsidR="00387142" w:rsidRPr="008B6A75" w:rsidRDefault="00387142" w:rsidP="00387142">
            <w:pPr>
              <w:jc w:val="center"/>
              <w:rPr>
                <w:sz w:val="20"/>
                <w:szCs w:val="20"/>
              </w:rPr>
            </w:pPr>
            <w:r w:rsidRPr="008B6A75">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F45B908" w14:textId="77777777" w:rsidR="00387142" w:rsidRPr="008B6A75" w:rsidRDefault="00387142" w:rsidP="00387142">
            <w:pPr>
              <w:jc w:val="center"/>
              <w:rPr>
                <w:sz w:val="20"/>
                <w:szCs w:val="20"/>
              </w:rPr>
            </w:pPr>
            <w:r w:rsidRPr="008B6A75">
              <w:rPr>
                <w:sz w:val="20"/>
                <w:szCs w:val="20"/>
              </w:rPr>
              <w:t>03</w:t>
            </w:r>
          </w:p>
        </w:tc>
        <w:tc>
          <w:tcPr>
            <w:tcW w:w="1516" w:type="dxa"/>
            <w:tcBorders>
              <w:top w:val="nil"/>
              <w:left w:val="single" w:sz="4" w:space="0" w:color="auto"/>
              <w:bottom w:val="single" w:sz="4" w:space="0" w:color="auto"/>
              <w:right w:val="nil"/>
            </w:tcBorders>
            <w:shd w:val="clear" w:color="auto" w:fill="auto"/>
            <w:noWrap/>
            <w:vAlign w:val="center"/>
            <w:hideMark/>
          </w:tcPr>
          <w:p w14:paraId="30D85348" w14:textId="77777777" w:rsidR="00387142" w:rsidRPr="008B6A75" w:rsidRDefault="00387142" w:rsidP="00387142">
            <w:pPr>
              <w:jc w:val="center"/>
              <w:rPr>
                <w:sz w:val="20"/>
                <w:szCs w:val="20"/>
              </w:rPr>
            </w:pPr>
            <w:r w:rsidRPr="008B6A75">
              <w:rPr>
                <w:sz w:val="20"/>
                <w:szCs w:val="20"/>
              </w:rPr>
              <w:t>07.1.00.70510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5FFAFDE" w14:textId="77777777" w:rsidR="00387142" w:rsidRPr="008B6A75" w:rsidRDefault="00387142" w:rsidP="00387142">
            <w:pPr>
              <w:jc w:val="center"/>
              <w:rPr>
                <w:sz w:val="20"/>
                <w:szCs w:val="20"/>
              </w:rPr>
            </w:pPr>
            <w:r w:rsidRPr="008B6A75">
              <w:rPr>
                <w:sz w:val="20"/>
                <w:szCs w:val="20"/>
              </w:rPr>
              <w:t>100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D0AD91F" w14:textId="77777777" w:rsidR="00387142" w:rsidRPr="008B6A75" w:rsidRDefault="00387142" w:rsidP="00387142">
            <w:pPr>
              <w:jc w:val="right"/>
              <w:rPr>
                <w:sz w:val="20"/>
                <w:szCs w:val="20"/>
              </w:rPr>
            </w:pPr>
            <w:r w:rsidRPr="008B6A75">
              <w:rPr>
                <w:sz w:val="20"/>
                <w:szCs w:val="20"/>
              </w:rPr>
              <w:t>2 192 937,63</w:t>
            </w:r>
          </w:p>
        </w:tc>
        <w:tc>
          <w:tcPr>
            <w:tcW w:w="992" w:type="dxa"/>
            <w:tcBorders>
              <w:top w:val="nil"/>
              <w:left w:val="single" w:sz="4" w:space="0" w:color="auto"/>
              <w:bottom w:val="single" w:sz="4" w:space="0" w:color="auto"/>
              <w:right w:val="nil"/>
            </w:tcBorders>
            <w:shd w:val="clear" w:color="auto" w:fill="auto"/>
            <w:vAlign w:val="center"/>
            <w:hideMark/>
          </w:tcPr>
          <w:p w14:paraId="543875AB" w14:textId="77777777" w:rsidR="00387142" w:rsidRPr="008B6A75" w:rsidRDefault="00387142" w:rsidP="00387142">
            <w:pPr>
              <w:jc w:val="right"/>
              <w:rPr>
                <w:sz w:val="20"/>
                <w:szCs w:val="20"/>
              </w:rPr>
            </w:pPr>
            <w:r w:rsidRPr="008B6A75">
              <w:rPr>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15070142" w14:textId="77777777" w:rsidR="00387142" w:rsidRPr="008B6A75" w:rsidRDefault="00387142" w:rsidP="00387142">
            <w:pPr>
              <w:jc w:val="right"/>
              <w:rPr>
                <w:sz w:val="20"/>
                <w:szCs w:val="20"/>
              </w:rPr>
            </w:pPr>
            <w:r w:rsidRPr="008B6A75">
              <w:rPr>
                <w:sz w:val="20"/>
                <w:szCs w:val="20"/>
              </w:rPr>
              <w:t>0,00</w:t>
            </w:r>
          </w:p>
        </w:tc>
      </w:tr>
      <w:tr w:rsidR="00387142" w:rsidRPr="008B6A75" w14:paraId="55A0F040" w14:textId="77777777" w:rsidTr="00387142">
        <w:trPr>
          <w:trHeight w:val="585"/>
        </w:trPr>
        <w:tc>
          <w:tcPr>
            <w:tcW w:w="3261" w:type="dxa"/>
            <w:tcBorders>
              <w:top w:val="nil"/>
              <w:left w:val="single" w:sz="4" w:space="0" w:color="auto"/>
              <w:bottom w:val="single" w:sz="4" w:space="0" w:color="auto"/>
              <w:right w:val="nil"/>
            </w:tcBorders>
            <w:shd w:val="clear" w:color="auto" w:fill="auto"/>
            <w:vAlign w:val="center"/>
            <w:hideMark/>
          </w:tcPr>
          <w:p w14:paraId="3A3BF4D7" w14:textId="77777777" w:rsidR="00387142" w:rsidRPr="008B6A75" w:rsidRDefault="00387142" w:rsidP="00387142">
            <w:pPr>
              <w:rPr>
                <w:sz w:val="20"/>
                <w:szCs w:val="20"/>
              </w:rPr>
            </w:pPr>
            <w:r w:rsidRPr="008B6A75">
              <w:rPr>
                <w:sz w:val="20"/>
                <w:szCs w:val="20"/>
              </w:rPr>
              <w:t>Расходы на выплаты персоналу казенных учреждений</w:t>
            </w:r>
          </w:p>
        </w:tc>
        <w:tc>
          <w:tcPr>
            <w:tcW w:w="720" w:type="dxa"/>
            <w:tcBorders>
              <w:top w:val="nil"/>
              <w:left w:val="single" w:sz="4" w:space="0" w:color="auto"/>
              <w:bottom w:val="single" w:sz="4" w:space="0" w:color="auto"/>
              <w:right w:val="nil"/>
            </w:tcBorders>
            <w:shd w:val="clear" w:color="auto" w:fill="auto"/>
            <w:noWrap/>
            <w:vAlign w:val="center"/>
            <w:hideMark/>
          </w:tcPr>
          <w:p w14:paraId="292CA370" w14:textId="77777777" w:rsidR="00387142" w:rsidRPr="008B6A75" w:rsidRDefault="00387142" w:rsidP="00387142">
            <w:pPr>
              <w:jc w:val="center"/>
              <w:rPr>
                <w:sz w:val="20"/>
                <w:szCs w:val="20"/>
              </w:rPr>
            </w:pPr>
            <w:r w:rsidRPr="008B6A75">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086D688" w14:textId="77777777" w:rsidR="00387142" w:rsidRPr="008B6A75" w:rsidRDefault="00387142" w:rsidP="00387142">
            <w:pPr>
              <w:jc w:val="center"/>
              <w:rPr>
                <w:sz w:val="20"/>
                <w:szCs w:val="20"/>
              </w:rPr>
            </w:pPr>
            <w:r w:rsidRPr="008B6A75">
              <w:rPr>
                <w:sz w:val="20"/>
                <w:szCs w:val="20"/>
              </w:rPr>
              <w:t>03</w:t>
            </w:r>
          </w:p>
        </w:tc>
        <w:tc>
          <w:tcPr>
            <w:tcW w:w="1516" w:type="dxa"/>
            <w:tcBorders>
              <w:top w:val="nil"/>
              <w:left w:val="single" w:sz="4" w:space="0" w:color="auto"/>
              <w:bottom w:val="single" w:sz="4" w:space="0" w:color="auto"/>
              <w:right w:val="nil"/>
            </w:tcBorders>
            <w:shd w:val="clear" w:color="auto" w:fill="auto"/>
            <w:noWrap/>
            <w:vAlign w:val="center"/>
            <w:hideMark/>
          </w:tcPr>
          <w:p w14:paraId="3FE0E6E3" w14:textId="77777777" w:rsidR="00387142" w:rsidRPr="008B6A75" w:rsidRDefault="00387142" w:rsidP="00387142">
            <w:pPr>
              <w:jc w:val="center"/>
              <w:rPr>
                <w:sz w:val="20"/>
                <w:szCs w:val="20"/>
              </w:rPr>
            </w:pPr>
            <w:r w:rsidRPr="008B6A75">
              <w:rPr>
                <w:sz w:val="20"/>
                <w:szCs w:val="20"/>
              </w:rPr>
              <w:t>07.1.00.70510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206773F" w14:textId="77777777" w:rsidR="00387142" w:rsidRPr="008B6A75" w:rsidRDefault="00387142" w:rsidP="00387142">
            <w:pPr>
              <w:jc w:val="center"/>
              <w:rPr>
                <w:sz w:val="20"/>
                <w:szCs w:val="20"/>
              </w:rPr>
            </w:pPr>
            <w:r w:rsidRPr="008B6A75">
              <w:rPr>
                <w:sz w:val="20"/>
                <w:szCs w:val="20"/>
              </w:rPr>
              <w:t>110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D196B20" w14:textId="77777777" w:rsidR="00387142" w:rsidRPr="008B6A75" w:rsidRDefault="00387142" w:rsidP="00387142">
            <w:pPr>
              <w:jc w:val="right"/>
              <w:rPr>
                <w:sz w:val="20"/>
                <w:szCs w:val="20"/>
              </w:rPr>
            </w:pPr>
            <w:r w:rsidRPr="008B6A75">
              <w:rPr>
                <w:sz w:val="20"/>
                <w:szCs w:val="20"/>
              </w:rPr>
              <w:t>2 192 937,63</w:t>
            </w:r>
          </w:p>
        </w:tc>
        <w:tc>
          <w:tcPr>
            <w:tcW w:w="992" w:type="dxa"/>
            <w:tcBorders>
              <w:top w:val="nil"/>
              <w:left w:val="single" w:sz="4" w:space="0" w:color="auto"/>
              <w:bottom w:val="single" w:sz="4" w:space="0" w:color="auto"/>
              <w:right w:val="nil"/>
            </w:tcBorders>
            <w:shd w:val="clear" w:color="auto" w:fill="auto"/>
            <w:vAlign w:val="center"/>
            <w:hideMark/>
          </w:tcPr>
          <w:p w14:paraId="132F9028" w14:textId="77777777" w:rsidR="00387142" w:rsidRPr="008B6A75" w:rsidRDefault="00387142" w:rsidP="00387142">
            <w:pPr>
              <w:jc w:val="right"/>
              <w:rPr>
                <w:sz w:val="20"/>
                <w:szCs w:val="20"/>
              </w:rPr>
            </w:pPr>
            <w:r w:rsidRPr="008B6A75">
              <w:rPr>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22BA06BB" w14:textId="77777777" w:rsidR="00387142" w:rsidRPr="008B6A75" w:rsidRDefault="00387142" w:rsidP="00387142">
            <w:pPr>
              <w:jc w:val="right"/>
              <w:rPr>
                <w:sz w:val="20"/>
                <w:szCs w:val="20"/>
              </w:rPr>
            </w:pPr>
            <w:r w:rsidRPr="008B6A75">
              <w:rPr>
                <w:sz w:val="20"/>
                <w:szCs w:val="20"/>
              </w:rPr>
              <w:t>0,00</w:t>
            </w:r>
          </w:p>
        </w:tc>
      </w:tr>
      <w:tr w:rsidR="00387142" w:rsidRPr="008B6A75" w14:paraId="6FA8EB0B" w14:textId="77777777" w:rsidTr="00387142">
        <w:trPr>
          <w:trHeight w:val="870"/>
        </w:trPr>
        <w:tc>
          <w:tcPr>
            <w:tcW w:w="3261" w:type="dxa"/>
            <w:tcBorders>
              <w:top w:val="nil"/>
              <w:left w:val="single" w:sz="4" w:space="0" w:color="auto"/>
              <w:bottom w:val="single" w:sz="4" w:space="0" w:color="auto"/>
              <w:right w:val="nil"/>
            </w:tcBorders>
            <w:shd w:val="clear" w:color="auto" w:fill="auto"/>
            <w:vAlign w:val="center"/>
            <w:hideMark/>
          </w:tcPr>
          <w:p w14:paraId="1A2DA98F" w14:textId="77777777" w:rsidR="00387142" w:rsidRPr="008B6A75" w:rsidRDefault="00387142" w:rsidP="00387142">
            <w:pPr>
              <w:rPr>
                <w:sz w:val="20"/>
                <w:szCs w:val="20"/>
              </w:rPr>
            </w:pPr>
            <w:r w:rsidRPr="008B6A75">
              <w:rPr>
                <w:sz w:val="20"/>
                <w:szCs w:val="20"/>
              </w:rPr>
              <w:t>Предоставление субсидий бюджетным, автономным учреждениям и иным некоммерческим организациям</w:t>
            </w:r>
          </w:p>
        </w:tc>
        <w:tc>
          <w:tcPr>
            <w:tcW w:w="720" w:type="dxa"/>
            <w:tcBorders>
              <w:top w:val="nil"/>
              <w:left w:val="single" w:sz="4" w:space="0" w:color="auto"/>
              <w:bottom w:val="single" w:sz="4" w:space="0" w:color="auto"/>
              <w:right w:val="nil"/>
            </w:tcBorders>
            <w:shd w:val="clear" w:color="auto" w:fill="auto"/>
            <w:noWrap/>
            <w:vAlign w:val="center"/>
            <w:hideMark/>
          </w:tcPr>
          <w:p w14:paraId="64CE9269" w14:textId="77777777" w:rsidR="00387142" w:rsidRPr="008B6A75" w:rsidRDefault="00387142" w:rsidP="00387142">
            <w:pPr>
              <w:jc w:val="center"/>
              <w:rPr>
                <w:sz w:val="20"/>
                <w:szCs w:val="20"/>
              </w:rPr>
            </w:pPr>
            <w:r w:rsidRPr="008B6A75">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3D3C093" w14:textId="77777777" w:rsidR="00387142" w:rsidRPr="008B6A75" w:rsidRDefault="00387142" w:rsidP="00387142">
            <w:pPr>
              <w:jc w:val="center"/>
              <w:rPr>
                <w:sz w:val="20"/>
                <w:szCs w:val="20"/>
              </w:rPr>
            </w:pPr>
            <w:r w:rsidRPr="008B6A75">
              <w:rPr>
                <w:sz w:val="20"/>
                <w:szCs w:val="20"/>
              </w:rPr>
              <w:t>03</w:t>
            </w:r>
          </w:p>
        </w:tc>
        <w:tc>
          <w:tcPr>
            <w:tcW w:w="1516" w:type="dxa"/>
            <w:tcBorders>
              <w:top w:val="nil"/>
              <w:left w:val="single" w:sz="4" w:space="0" w:color="auto"/>
              <w:bottom w:val="single" w:sz="4" w:space="0" w:color="auto"/>
              <w:right w:val="nil"/>
            </w:tcBorders>
            <w:shd w:val="clear" w:color="auto" w:fill="auto"/>
            <w:noWrap/>
            <w:vAlign w:val="center"/>
            <w:hideMark/>
          </w:tcPr>
          <w:p w14:paraId="4D8FBFF6" w14:textId="77777777" w:rsidR="00387142" w:rsidRPr="008B6A75" w:rsidRDefault="00387142" w:rsidP="00387142">
            <w:pPr>
              <w:jc w:val="center"/>
              <w:rPr>
                <w:sz w:val="20"/>
                <w:szCs w:val="20"/>
              </w:rPr>
            </w:pPr>
            <w:r w:rsidRPr="008B6A75">
              <w:rPr>
                <w:sz w:val="20"/>
                <w:szCs w:val="20"/>
              </w:rPr>
              <w:t>07.1.00.70510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EC4242D" w14:textId="77777777" w:rsidR="00387142" w:rsidRPr="008B6A75" w:rsidRDefault="00387142" w:rsidP="00387142">
            <w:pPr>
              <w:jc w:val="center"/>
              <w:rPr>
                <w:sz w:val="20"/>
                <w:szCs w:val="20"/>
              </w:rPr>
            </w:pPr>
            <w:r w:rsidRPr="008B6A75">
              <w:rPr>
                <w:sz w:val="20"/>
                <w:szCs w:val="20"/>
              </w:rPr>
              <w:t>600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5AC83B9" w14:textId="77777777" w:rsidR="00387142" w:rsidRPr="008B6A75" w:rsidRDefault="00387142" w:rsidP="00387142">
            <w:pPr>
              <w:jc w:val="right"/>
              <w:rPr>
                <w:sz w:val="20"/>
                <w:szCs w:val="20"/>
              </w:rPr>
            </w:pPr>
            <w:r w:rsidRPr="008B6A75">
              <w:rPr>
                <w:sz w:val="20"/>
                <w:szCs w:val="20"/>
              </w:rPr>
              <w:t>84 748 278,01</w:t>
            </w:r>
          </w:p>
        </w:tc>
        <w:tc>
          <w:tcPr>
            <w:tcW w:w="992" w:type="dxa"/>
            <w:tcBorders>
              <w:top w:val="nil"/>
              <w:left w:val="single" w:sz="4" w:space="0" w:color="auto"/>
              <w:bottom w:val="single" w:sz="4" w:space="0" w:color="auto"/>
              <w:right w:val="nil"/>
            </w:tcBorders>
            <w:shd w:val="clear" w:color="auto" w:fill="auto"/>
            <w:vAlign w:val="center"/>
            <w:hideMark/>
          </w:tcPr>
          <w:p w14:paraId="264644F2" w14:textId="77777777" w:rsidR="00387142" w:rsidRPr="008B6A75" w:rsidRDefault="00387142" w:rsidP="00387142">
            <w:pPr>
              <w:jc w:val="right"/>
              <w:rPr>
                <w:sz w:val="20"/>
                <w:szCs w:val="20"/>
              </w:rPr>
            </w:pPr>
            <w:r w:rsidRPr="008B6A75">
              <w:rPr>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70CFD19A" w14:textId="77777777" w:rsidR="00387142" w:rsidRPr="008B6A75" w:rsidRDefault="00387142" w:rsidP="00387142">
            <w:pPr>
              <w:jc w:val="right"/>
              <w:rPr>
                <w:sz w:val="20"/>
                <w:szCs w:val="20"/>
              </w:rPr>
            </w:pPr>
            <w:r w:rsidRPr="008B6A75">
              <w:rPr>
                <w:sz w:val="20"/>
                <w:szCs w:val="20"/>
              </w:rPr>
              <w:t>0,00</w:t>
            </w:r>
          </w:p>
        </w:tc>
      </w:tr>
      <w:tr w:rsidR="00387142" w:rsidRPr="008B6A75" w14:paraId="6ADF3825" w14:textId="77777777" w:rsidTr="00387142">
        <w:trPr>
          <w:trHeight w:val="345"/>
        </w:trPr>
        <w:tc>
          <w:tcPr>
            <w:tcW w:w="3261" w:type="dxa"/>
            <w:tcBorders>
              <w:top w:val="nil"/>
              <w:left w:val="single" w:sz="4" w:space="0" w:color="auto"/>
              <w:bottom w:val="single" w:sz="4" w:space="0" w:color="auto"/>
              <w:right w:val="nil"/>
            </w:tcBorders>
            <w:shd w:val="clear" w:color="auto" w:fill="auto"/>
            <w:vAlign w:val="center"/>
            <w:hideMark/>
          </w:tcPr>
          <w:p w14:paraId="3E4DE6A1" w14:textId="77777777" w:rsidR="00387142" w:rsidRPr="008B6A75" w:rsidRDefault="00387142" w:rsidP="00387142">
            <w:pPr>
              <w:rPr>
                <w:sz w:val="20"/>
                <w:szCs w:val="20"/>
              </w:rPr>
            </w:pPr>
            <w:r w:rsidRPr="008B6A75">
              <w:rPr>
                <w:sz w:val="20"/>
                <w:szCs w:val="20"/>
              </w:rPr>
              <w:t>Субсидии бюджетным учреждениям</w:t>
            </w:r>
          </w:p>
        </w:tc>
        <w:tc>
          <w:tcPr>
            <w:tcW w:w="720" w:type="dxa"/>
            <w:tcBorders>
              <w:top w:val="nil"/>
              <w:left w:val="single" w:sz="4" w:space="0" w:color="auto"/>
              <w:bottom w:val="single" w:sz="4" w:space="0" w:color="auto"/>
              <w:right w:val="nil"/>
            </w:tcBorders>
            <w:shd w:val="clear" w:color="auto" w:fill="auto"/>
            <w:noWrap/>
            <w:vAlign w:val="center"/>
            <w:hideMark/>
          </w:tcPr>
          <w:p w14:paraId="4D957C0A" w14:textId="77777777" w:rsidR="00387142" w:rsidRPr="008B6A75" w:rsidRDefault="00387142" w:rsidP="00387142">
            <w:pPr>
              <w:jc w:val="center"/>
              <w:rPr>
                <w:sz w:val="20"/>
                <w:szCs w:val="20"/>
              </w:rPr>
            </w:pPr>
            <w:r w:rsidRPr="008B6A75">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AC46565" w14:textId="77777777" w:rsidR="00387142" w:rsidRPr="008B6A75" w:rsidRDefault="00387142" w:rsidP="00387142">
            <w:pPr>
              <w:jc w:val="center"/>
              <w:rPr>
                <w:sz w:val="20"/>
                <w:szCs w:val="20"/>
              </w:rPr>
            </w:pPr>
            <w:r w:rsidRPr="008B6A75">
              <w:rPr>
                <w:sz w:val="20"/>
                <w:szCs w:val="20"/>
              </w:rPr>
              <w:t>03</w:t>
            </w:r>
          </w:p>
        </w:tc>
        <w:tc>
          <w:tcPr>
            <w:tcW w:w="1516" w:type="dxa"/>
            <w:tcBorders>
              <w:top w:val="nil"/>
              <w:left w:val="single" w:sz="4" w:space="0" w:color="auto"/>
              <w:bottom w:val="single" w:sz="4" w:space="0" w:color="auto"/>
              <w:right w:val="nil"/>
            </w:tcBorders>
            <w:shd w:val="clear" w:color="auto" w:fill="auto"/>
            <w:noWrap/>
            <w:vAlign w:val="center"/>
            <w:hideMark/>
          </w:tcPr>
          <w:p w14:paraId="5B72C4C2" w14:textId="77777777" w:rsidR="00387142" w:rsidRPr="008B6A75" w:rsidRDefault="00387142" w:rsidP="00387142">
            <w:pPr>
              <w:jc w:val="center"/>
              <w:rPr>
                <w:sz w:val="20"/>
                <w:szCs w:val="20"/>
              </w:rPr>
            </w:pPr>
            <w:r w:rsidRPr="008B6A75">
              <w:rPr>
                <w:sz w:val="20"/>
                <w:szCs w:val="20"/>
              </w:rPr>
              <w:t>07.1.00.70510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CF32410" w14:textId="77777777" w:rsidR="00387142" w:rsidRPr="008B6A75" w:rsidRDefault="00387142" w:rsidP="00387142">
            <w:pPr>
              <w:jc w:val="center"/>
              <w:rPr>
                <w:sz w:val="20"/>
                <w:szCs w:val="20"/>
              </w:rPr>
            </w:pPr>
            <w:r w:rsidRPr="008B6A75">
              <w:rPr>
                <w:sz w:val="20"/>
                <w:szCs w:val="20"/>
              </w:rPr>
              <w:t>610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6BB4EA1" w14:textId="77777777" w:rsidR="00387142" w:rsidRPr="008B6A75" w:rsidRDefault="00387142" w:rsidP="00387142">
            <w:pPr>
              <w:jc w:val="right"/>
              <w:rPr>
                <w:sz w:val="20"/>
                <w:szCs w:val="20"/>
              </w:rPr>
            </w:pPr>
            <w:r w:rsidRPr="008B6A75">
              <w:rPr>
                <w:sz w:val="20"/>
                <w:szCs w:val="20"/>
              </w:rPr>
              <w:t>84 748 278,01</w:t>
            </w:r>
          </w:p>
        </w:tc>
        <w:tc>
          <w:tcPr>
            <w:tcW w:w="992" w:type="dxa"/>
            <w:tcBorders>
              <w:top w:val="nil"/>
              <w:left w:val="single" w:sz="4" w:space="0" w:color="auto"/>
              <w:bottom w:val="single" w:sz="4" w:space="0" w:color="auto"/>
              <w:right w:val="nil"/>
            </w:tcBorders>
            <w:shd w:val="clear" w:color="auto" w:fill="auto"/>
            <w:vAlign w:val="center"/>
            <w:hideMark/>
          </w:tcPr>
          <w:p w14:paraId="0AC46802" w14:textId="77777777" w:rsidR="00387142" w:rsidRPr="008B6A75" w:rsidRDefault="00387142" w:rsidP="00387142">
            <w:pPr>
              <w:jc w:val="right"/>
              <w:rPr>
                <w:sz w:val="20"/>
                <w:szCs w:val="20"/>
              </w:rPr>
            </w:pPr>
            <w:r w:rsidRPr="008B6A75">
              <w:rPr>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2BD6CF66" w14:textId="77777777" w:rsidR="00387142" w:rsidRPr="008B6A75" w:rsidRDefault="00387142" w:rsidP="00387142">
            <w:pPr>
              <w:jc w:val="right"/>
              <w:rPr>
                <w:sz w:val="20"/>
                <w:szCs w:val="20"/>
              </w:rPr>
            </w:pPr>
            <w:r w:rsidRPr="008B6A75">
              <w:rPr>
                <w:sz w:val="20"/>
                <w:szCs w:val="20"/>
              </w:rPr>
              <w:t>0,00</w:t>
            </w:r>
          </w:p>
        </w:tc>
      </w:tr>
      <w:tr w:rsidR="00387142" w:rsidRPr="008B6A75" w14:paraId="40F5D1AD" w14:textId="77777777" w:rsidTr="00387142">
        <w:trPr>
          <w:trHeight w:val="870"/>
        </w:trPr>
        <w:tc>
          <w:tcPr>
            <w:tcW w:w="3261" w:type="dxa"/>
            <w:tcBorders>
              <w:top w:val="nil"/>
              <w:left w:val="single" w:sz="4" w:space="0" w:color="auto"/>
              <w:bottom w:val="single" w:sz="4" w:space="0" w:color="auto"/>
              <w:right w:val="nil"/>
            </w:tcBorders>
            <w:shd w:val="clear" w:color="auto" w:fill="auto"/>
            <w:vAlign w:val="center"/>
            <w:hideMark/>
          </w:tcPr>
          <w:p w14:paraId="1079D735" w14:textId="77777777" w:rsidR="00387142" w:rsidRPr="008B6A75" w:rsidRDefault="00387142" w:rsidP="00387142">
            <w:pPr>
              <w:rPr>
                <w:bCs/>
                <w:sz w:val="20"/>
                <w:szCs w:val="20"/>
              </w:rPr>
            </w:pPr>
            <w:r w:rsidRPr="008B6A75">
              <w:rPr>
                <w:bCs/>
                <w:sz w:val="20"/>
                <w:szCs w:val="20"/>
              </w:rPr>
              <w:t xml:space="preserve">Реализация мероприятий в рамках </w:t>
            </w:r>
            <w:proofErr w:type="spellStart"/>
            <w:r w:rsidRPr="008B6A75">
              <w:rPr>
                <w:bCs/>
                <w:sz w:val="20"/>
                <w:szCs w:val="20"/>
              </w:rPr>
              <w:t>подпрограммы"Развитие</w:t>
            </w:r>
            <w:proofErr w:type="spellEnd"/>
            <w:r w:rsidRPr="008B6A75">
              <w:rPr>
                <w:bCs/>
                <w:sz w:val="20"/>
                <w:szCs w:val="20"/>
              </w:rPr>
              <w:t xml:space="preserve"> дошкольного, общего и дополнительного образования детей "</w:t>
            </w:r>
          </w:p>
        </w:tc>
        <w:tc>
          <w:tcPr>
            <w:tcW w:w="720" w:type="dxa"/>
            <w:tcBorders>
              <w:top w:val="nil"/>
              <w:left w:val="single" w:sz="4" w:space="0" w:color="auto"/>
              <w:bottom w:val="single" w:sz="4" w:space="0" w:color="auto"/>
              <w:right w:val="nil"/>
            </w:tcBorders>
            <w:shd w:val="clear" w:color="auto" w:fill="auto"/>
            <w:noWrap/>
            <w:vAlign w:val="center"/>
            <w:hideMark/>
          </w:tcPr>
          <w:p w14:paraId="2D41D828" w14:textId="77777777" w:rsidR="00387142" w:rsidRPr="008B6A75" w:rsidRDefault="00387142" w:rsidP="00387142">
            <w:pPr>
              <w:jc w:val="center"/>
              <w:rPr>
                <w:bCs/>
                <w:sz w:val="20"/>
                <w:szCs w:val="20"/>
              </w:rPr>
            </w:pPr>
            <w:r w:rsidRPr="008B6A75">
              <w:rPr>
                <w:bCs/>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20E5072" w14:textId="77777777" w:rsidR="00387142" w:rsidRPr="008B6A75" w:rsidRDefault="00387142" w:rsidP="00387142">
            <w:pPr>
              <w:jc w:val="center"/>
              <w:rPr>
                <w:bCs/>
                <w:sz w:val="20"/>
                <w:szCs w:val="20"/>
              </w:rPr>
            </w:pPr>
            <w:r w:rsidRPr="008B6A75">
              <w:rPr>
                <w:bCs/>
                <w:sz w:val="20"/>
                <w:szCs w:val="20"/>
              </w:rPr>
              <w:t>03</w:t>
            </w:r>
          </w:p>
        </w:tc>
        <w:tc>
          <w:tcPr>
            <w:tcW w:w="1516" w:type="dxa"/>
            <w:tcBorders>
              <w:top w:val="nil"/>
              <w:left w:val="single" w:sz="4" w:space="0" w:color="auto"/>
              <w:bottom w:val="single" w:sz="4" w:space="0" w:color="auto"/>
              <w:right w:val="nil"/>
            </w:tcBorders>
            <w:shd w:val="clear" w:color="auto" w:fill="auto"/>
            <w:noWrap/>
            <w:vAlign w:val="center"/>
            <w:hideMark/>
          </w:tcPr>
          <w:p w14:paraId="0A30FE0F" w14:textId="77777777" w:rsidR="00387142" w:rsidRPr="008B6A75" w:rsidRDefault="00387142" w:rsidP="00387142">
            <w:pPr>
              <w:jc w:val="center"/>
              <w:rPr>
                <w:bCs/>
                <w:sz w:val="20"/>
                <w:szCs w:val="20"/>
              </w:rPr>
            </w:pPr>
            <w:r w:rsidRPr="008B6A75">
              <w:rPr>
                <w:bCs/>
                <w:sz w:val="20"/>
                <w:szCs w:val="20"/>
              </w:rPr>
              <w:t>07.1.00.79500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48F345B"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4D855A8" w14:textId="77777777" w:rsidR="00387142" w:rsidRPr="008B6A75" w:rsidRDefault="00387142" w:rsidP="00387142">
            <w:pPr>
              <w:jc w:val="right"/>
              <w:rPr>
                <w:bCs/>
                <w:sz w:val="20"/>
                <w:szCs w:val="20"/>
              </w:rPr>
            </w:pPr>
            <w:r w:rsidRPr="008B6A75">
              <w:rPr>
                <w:bCs/>
                <w:sz w:val="20"/>
                <w:szCs w:val="20"/>
              </w:rPr>
              <w:t>885 280,00</w:t>
            </w:r>
          </w:p>
        </w:tc>
        <w:tc>
          <w:tcPr>
            <w:tcW w:w="992" w:type="dxa"/>
            <w:tcBorders>
              <w:top w:val="nil"/>
              <w:left w:val="single" w:sz="4" w:space="0" w:color="auto"/>
              <w:bottom w:val="single" w:sz="4" w:space="0" w:color="auto"/>
              <w:right w:val="nil"/>
            </w:tcBorders>
            <w:shd w:val="clear" w:color="auto" w:fill="auto"/>
            <w:vAlign w:val="center"/>
            <w:hideMark/>
          </w:tcPr>
          <w:p w14:paraId="0A5AFCA1" w14:textId="77777777" w:rsidR="00387142" w:rsidRPr="008B6A75" w:rsidRDefault="00387142" w:rsidP="00387142">
            <w:pPr>
              <w:jc w:val="right"/>
              <w:rPr>
                <w:bCs/>
                <w:sz w:val="20"/>
                <w:szCs w:val="20"/>
              </w:rPr>
            </w:pPr>
            <w:r w:rsidRPr="008B6A75">
              <w:rPr>
                <w:bCs/>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5F9A63DC" w14:textId="77777777" w:rsidR="00387142" w:rsidRPr="008B6A75" w:rsidRDefault="00387142" w:rsidP="00387142">
            <w:pPr>
              <w:jc w:val="right"/>
              <w:rPr>
                <w:bCs/>
                <w:sz w:val="20"/>
                <w:szCs w:val="20"/>
              </w:rPr>
            </w:pPr>
            <w:r w:rsidRPr="008B6A75">
              <w:rPr>
                <w:bCs/>
                <w:sz w:val="20"/>
                <w:szCs w:val="20"/>
              </w:rPr>
              <w:t>0,00</w:t>
            </w:r>
          </w:p>
        </w:tc>
      </w:tr>
      <w:tr w:rsidR="00387142" w:rsidRPr="008B6A75" w14:paraId="1E223078" w14:textId="77777777" w:rsidTr="00387142">
        <w:trPr>
          <w:trHeight w:val="870"/>
        </w:trPr>
        <w:tc>
          <w:tcPr>
            <w:tcW w:w="3261" w:type="dxa"/>
            <w:tcBorders>
              <w:top w:val="nil"/>
              <w:left w:val="single" w:sz="4" w:space="0" w:color="auto"/>
              <w:bottom w:val="single" w:sz="4" w:space="0" w:color="auto"/>
              <w:right w:val="nil"/>
            </w:tcBorders>
            <w:shd w:val="clear" w:color="auto" w:fill="auto"/>
            <w:vAlign w:val="center"/>
            <w:hideMark/>
          </w:tcPr>
          <w:p w14:paraId="3179C320" w14:textId="77777777" w:rsidR="00387142" w:rsidRPr="008B6A75" w:rsidRDefault="00387142" w:rsidP="00387142">
            <w:pPr>
              <w:rPr>
                <w:sz w:val="20"/>
                <w:szCs w:val="20"/>
              </w:rPr>
            </w:pPr>
            <w:r w:rsidRPr="008B6A75">
              <w:rPr>
                <w:sz w:val="20"/>
                <w:szCs w:val="20"/>
              </w:rPr>
              <w:t>Предоставление субсидий бюджетным, автономным учреждениям и иным некоммерческим организациям</w:t>
            </w:r>
          </w:p>
        </w:tc>
        <w:tc>
          <w:tcPr>
            <w:tcW w:w="720" w:type="dxa"/>
            <w:tcBorders>
              <w:top w:val="nil"/>
              <w:left w:val="single" w:sz="4" w:space="0" w:color="auto"/>
              <w:bottom w:val="single" w:sz="4" w:space="0" w:color="auto"/>
              <w:right w:val="nil"/>
            </w:tcBorders>
            <w:shd w:val="clear" w:color="auto" w:fill="auto"/>
            <w:noWrap/>
            <w:vAlign w:val="center"/>
            <w:hideMark/>
          </w:tcPr>
          <w:p w14:paraId="273F5DF8" w14:textId="77777777" w:rsidR="00387142" w:rsidRPr="008B6A75" w:rsidRDefault="00387142" w:rsidP="00387142">
            <w:pPr>
              <w:jc w:val="center"/>
              <w:rPr>
                <w:sz w:val="20"/>
                <w:szCs w:val="20"/>
              </w:rPr>
            </w:pPr>
            <w:r w:rsidRPr="008B6A75">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504C78A" w14:textId="77777777" w:rsidR="00387142" w:rsidRPr="008B6A75" w:rsidRDefault="00387142" w:rsidP="00387142">
            <w:pPr>
              <w:jc w:val="center"/>
              <w:rPr>
                <w:sz w:val="20"/>
                <w:szCs w:val="20"/>
              </w:rPr>
            </w:pPr>
            <w:r w:rsidRPr="008B6A75">
              <w:rPr>
                <w:sz w:val="20"/>
                <w:szCs w:val="20"/>
              </w:rPr>
              <w:t>03</w:t>
            </w:r>
          </w:p>
        </w:tc>
        <w:tc>
          <w:tcPr>
            <w:tcW w:w="1516" w:type="dxa"/>
            <w:tcBorders>
              <w:top w:val="nil"/>
              <w:left w:val="single" w:sz="4" w:space="0" w:color="auto"/>
              <w:bottom w:val="single" w:sz="4" w:space="0" w:color="auto"/>
              <w:right w:val="nil"/>
            </w:tcBorders>
            <w:shd w:val="clear" w:color="auto" w:fill="auto"/>
            <w:noWrap/>
            <w:vAlign w:val="center"/>
            <w:hideMark/>
          </w:tcPr>
          <w:p w14:paraId="6367C7CE" w14:textId="77777777" w:rsidR="00387142" w:rsidRPr="008B6A75" w:rsidRDefault="00387142" w:rsidP="00387142">
            <w:pPr>
              <w:jc w:val="center"/>
              <w:rPr>
                <w:sz w:val="20"/>
                <w:szCs w:val="20"/>
              </w:rPr>
            </w:pPr>
            <w:r w:rsidRPr="008B6A75">
              <w:rPr>
                <w:sz w:val="20"/>
                <w:szCs w:val="20"/>
              </w:rPr>
              <w:t>07.1.00.79500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F691F67" w14:textId="77777777" w:rsidR="00387142" w:rsidRPr="008B6A75" w:rsidRDefault="00387142" w:rsidP="00387142">
            <w:pPr>
              <w:jc w:val="center"/>
              <w:rPr>
                <w:sz w:val="20"/>
                <w:szCs w:val="20"/>
              </w:rPr>
            </w:pPr>
            <w:r w:rsidRPr="008B6A75">
              <w:rPr>
                <w:sz w:val="20"/>
                <w:szCs w:val="20"/>
              </w:rPr>
              <w:t>600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EE665AC" w14:textId="77777777" w:rsidR="00387142" w:rsidRPr="008B6A75" w:rsidRDefault="00387142" w:rsidP="00387142">
            <w:pPr>
              <w:jc w:val="right"/>
              <w:rPr>
                <w:sz w:val="20"/>
                <w:szCs w:val="20"/>
              </w:rPr>
            </w:pPr>
            <w:r w:rsidRPr="008B6A75">
              <w:rPr>
                <w:sz w:val="20"/>
                <w:szCs w:val="20"/>
              </w:rPr>
              <w:t>885 280,00</w:t>
            </w:r>
          </w:p>
        </w:tc>
        <w:tc>
          <w:tcPr>
            <w:tcW w:w="992" w:type="dxa"/>
            <w:tcBorders>
              <w:top w:val="nil"/>
              <w:left w:val="single" w:sz="4" w:space="0" w:color="auto"/>
              <w:bottom w:val="single" w:sz="4" w:space="0" w:color="auto"/>
              <w:right w:val="nil"/>
            </w:tcBorders>
            <w:shd w:val="clear" w:color="auto" w:fill="auto"/>
            <w:vAlign w:val="center"/>
            <w:hideMark/>
          </w:tcPr>
          <w:p w14:paraId="07D73441" w14:textId="77777777" w:rsidR="00387142" w:rsidRPr="008B6A75" w:rsidRDefault="00387142" w:rsidP="00387142">
            <w:pPr>
              <w:jc w:val="right"/>
              <w:rPr>
                <w:sz w:val="20"/>
                <w:szCs w:val="20"/>
              </w:rPr>
            </w:pPr>
            <w:r w:rsidRPr="008B6A75">
              <w:rPr>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65FC6100" w14:textId="77777777" w:rsidR="00387142" w:rsidRPr="008B6A75" w:rsidRDefault="00387142" w:rsidP="00387142">
            <w:pPr>
              <w:jc w:val="right"/>
              <w:rPr>
                <w:sz w:val="20"/>
                <w:szCs w:val="20"/>
              </w:rPr>
            </w:pPr>
            <w:r w:rsidRPr="008B6A75">
              <w:rPr>
                <w:sz w:val="20"/>
                <w:szCs w:val="20"/>
              </w:rPr>
              <w:t>0,00</w:t>
            </w:r>
          </w:p>
        </w:tc>
      </w:tr>
      <w:tr w:rsidR="00387142" w:rsidRPr="008B6A75" w14:paraId="05790E11" w14:textId="77777777" w:rsidTr="00387142">
        <w:trPr>
          <w:trHeight w:val="345"/>
        </w:trPr>
        <w:tc>
          <w:tcPr>
            <w:tcW w:w="3261" w:type="dxa"/>
            <w:tcBorders>
              <w:top w:val="nil"/>
              <w:left w:val="single" w:sz="4" w:space="0" w:color="auto"/>
              <w:bottom w:val="single" w:sz="4" w:space="0" w:color="auto"/>
              <w:right w:val="nil"/>
            </w:tcBorders>
            <w:shd w:val="clear" w:color="auto" w:fill="auto"/>
            <w:vAlign w:val="center"/>
            <w:hideMark/>
          </w:tcPr>
          <w:p w14:paraId="20AA1B8D" w14:textId="77777777" w:rsidR="00387142" w:rsidRPr="008B6A75" w:rsidRDefault="00387142" w:rsidP="00387142">
            <w:pPr>
              <w:rPr>
                <w:sz w:val="20"/>
                <w:szCs w:val="20"/>
              </w:rPr>
            </w:pPr>
            <w:r w:rsidRPr="008B6A75">
              <w:rPr>
                <w:sz w:val="20"/>
                <w:szCs w:val="20"/>
              </w:rPr>
              <w:t>Субсидии бюджетным учреждениям</w:t>
            </w:r>
          </w:p>
        </w:tc>
        <w:tc>
          <w:tcPr>
            <w:tcW w:w="720" w:type="dxa"/>
            <w:tcBorders>
              <w:top w:val="nil"/>
              <w:left w:val="single" w:sz="4" w:space="0" w:color="auto"/>
              <w:bottom w:val="single" w:sz="4" w:space="0" w:color="auto"/>
              <w:right w:val="nil"/>
            </w:tcBorders>
            <w:shd w:val="clear" w:color="auto" w:fill="auto"/>
            <w:noWrap/>
            <w:vAlign w:val="center"/>
            <w:hideMark/>
          </w:tcPr>
          <w:p w14:paraId="38EFAD4A" w14:textId="77777777" w:rsidR="00387142" w:rsidRPr="008B6A75" w:rsidRDefault="00387142" w:rsidP="00387142">
            <w:pPr>
              <w:jc w:val="center"/>
              <w:rPr>
                <w:sz w:val="20"/>
                <w:szCs w:val="20"/>
              </w:rPr>
            </w:pPr>
            <w:r w:rsidRPr="008B6A75">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DD7CB25" w14:textId="77777777" w:rsidR="00387142" w:rsidRPr="008B6A75" w:rsidRDefault="00387142" w:rsidP="00387142">
            <w:pPr>
              <w:jc w:val="center"/>
              <w:rPr>
                <w:sz w:val="20"/>
                <w:szCs w:val="20"/>
              </w:rPr>
            </w:pPr>
            <w:r w:rsidRPr="008B6A75">
              <w:rPr>
                <w:sz w:val="20"/>
                <w:szCs w:val="20"/>
              </w:rPr>
              <w:t>03</w:t>
            </w:r>
          </w:p>
        </w:tc>
        <w:tc>
          <w:tcPr>
            <w:tcW w:w="1516" w:type="dxa"/>
            <w:tcBorders>
              <w:top w:val="nil"/>
              <w:left w:val="single" w:sz="4" w:space="0" w:color="auto"/>
              <w:bottom w:val="single" w:sz="4" w:space="0" w:color="auto"/>
              <w:right w:val="nil"/>
            </w:tcBorders>
            <w:shd w:val="clear" w:color="auto" w:fill="auto"/>
            <w:noWrap/>
            <w:vAlign w:val="center"/>
            <w:hideMark/>
          </w:tcPr>
          <w:p w14:paraId="3A992D6C" w14:textId="77777777" w:rsidR="00387142" w:rsidRPr="008B6A75" w:rsidRDefault="00387142" w:rsidP="00387142">
            <w:pPr>
              <w:jc w:val="center"/>
              <w:rPr>
                <w:sz w:val="20"/>
                <w:szCs w:val="20"/>
              </w:rPr>
            </w:pPr>
            <w:r w:rsidRPr="008B6A75">
              <w:rPr>
                <w:sz w:val="20"/>
                <w:szCs w:val="20"/>
              </w:rPr>
              <w:t>07.1.00.79500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170600D" w14:textId="77777777" w:rsidR="00387142" w:rsidRPr="008B6A75" w:rsidRDefault="00387142" w:rsidP="00387142">
            <w:pPr>
              <w:jc w:val="center"/>
              <w:rPr>
                <w:sz w:val="20"/>
                <w:szCs w:val="20"/>
              </w:rPr>
            </w:pPr>
            <w:r w:rsidRPr="008B6A75">
              <w:rPr>
                <w:sz w:val="20"/>
                <w:szCs w:val="20"/>
              </w:rPr>
              <w:t>610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F21A810" w14:textId="77777777" w:rsidR="00387142" w:rsidRPr="008B6A75" w:rsidRDefault="00387142" w:rsidP="00387142">
            <w:pPr>
              <w:jc w:val="right"/>
              <w:rPr>
                <w:sz w:val="20"/>
                <w:szCs w:val="20"/>
              </w:rPr>
            </w:pPr>
            <w:r w:rsidRPr="008B6A75">
              <w:rPr>
                <w:sz w:val="20"/>
                <w:szCs w:val="20"/>
              </w:rPr>
              <w:t>885 280,00</w:t>
            </w:r>
          </w:p>
        </w:tc>
        <w:tc>
          <w:tcPr>
            <w:tcW w:w="992" w:type="dxa"/>
            <w:tcBorders>
              <w:top w:val="nil"/>
              <w:left w:val="single" w:sz="4" w:space="0" w:color="auto"/>
              <w:bottom w:val="single" w:sz="4" w:space="0" w:color="auto"/>
              <w:right w:val="nil"/>
            </w:tcBorders>
            <w:shd w:val="clear" w:color="auto" w:fill="auto"/>
            <w:vAlign w:val="center"/>
            <w:hideMark/>
          </w:tcPr>
          <w:p w14:paraId="793969BE" w14:textId="77777777" w:rsidR="00387142" w:rsidRPr="008B6A75" w:rsidRDefault="00387142" w:rsidP="00387142">
            <w:pPr>
              <w:jc w:val="right"/>
              <w:rPr>
                <w:sz w:val="20"/>
                <w:szCs w:val="20"/>
              </w:rPr>
            </w:pPr>
            <w:r w:rsidRPr="008B6A75">
              <w:rPr>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2A9A88A6" w14:textId="77777777" w:rsidR="00387142" w:rsidRPr="008B6A75" w:rsidRDefault="00387142" w:rsidP="00387142">
            <w:pPr>
              <w:jc w:val="right"/>
              <w:rPr>
                <w:sz w:val="20"/>
                <w:szCs w:val="20"/>
              </w:rPr>
            </w:pPr>
            <w:r w:rsidRPr="008B6A75">
              <w:rPr>
                <w:sz w:val="20"/>
                <w:szCs w:val="20"/>
              </w:rPr>
              <w:t>0,00</w:t>
            </w:r>
          </w:p>
        </w:tc>
      </w:tr>
      <w:tr w:rsidR="00387142" w:rsidRPr="008B6A75" w14:paraId="470A7064" w14:textId="77777777" w:rsidTr="00387142">
        <w:trPr>
          <w:trHeight w:val="2010"/>
        </w:trPr>
        <w:tc>
          <w:tcPr>
            <w:tcW w:w="3261" w:type="dxa"/>
            <w:tcBorders>
              <w:top w:val="nil"/>
              <w:left w:val="single" w:sz="4" w:space="0" w:color="auto"/>
              <w:bottom w:val="single" w:sz="4" w:space="0" w:color="auto"/>
              <w:right w:val="nil"/>
            </w:tcBorders>
            <w:shd w:val="clear" w:color="auto" w:fill="auto"/>
            <w:vAlign w:val="center"/>
            <w:hideMark/>
          </w:tcPr>
          <w:p w14:paraId="101D59C7" w14:textId="77777777" w:rsidR="00387142" w:rsidRPr="008B6A75" w:rsidRDefault="00387142" w:rsidP="00387142">
            <w:pPr>
              <w:rPr>
                <w:bCs/>
                <w:sz w:val="20"/>
                <w:szCs w:val="20"/>
              </w:rPr>
            </w:pPr>
            <w:r w:rsidRPr="008B6A75">
              <w:rPr>
                <w:bCs/>
                <w:sz w:val="20"/>
                <w:szCs w:val="20"/>
              </w:rPr>
              <w:t>Создание центров цифрового образования детей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(оснащение центров IT-куб)</w:t>
            </w:r>
          </w:p>
        </w:tc>
        <w:tc>
          <w:tcPr>
            <w:tcW w:w="720" w:type="dxa"/>
            <w:tcBorders>
              <w:top w:val="nil"/>
              <w:left w:val="single" w:sz="4" w:space="0" w:color="auto"/>
              <w:bottom w:val="single" w:sz="4" w:space="0" w:color="auto"/>
              <w:right w:val="nil"/>
            </w:tcBorders>
            <w:shd w:val="clear" w:color="auto" w:fill="auto"/>
            <w:noWrap/>
            <w:vAlign w:val="center"/>
            <w:hideMark/>
          </w:tcPr>
          <w:p w14:paraId="5109D23A" w14:textId="77777777" w:rsidR="00387142" w:rsidRPr="008B6A75" w:rsidRDefault="00387142" w:rsidP="00387142">
            <w:pPr>
              <w:jc w:val="center"/>
              <w:rPr>
                <w:bCs/>
                <w:sz w:val="20"/>
                <w:szCs w:val="20"/>
              </w:rPr>
            </w:pPr>
            <w:r w:rsidRPr="008B6A75">
              <w:rPr>
                <w:bCs/>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0D2D7FC" w14:textId="77777777" w:rsidR="00387142" w:rsidRPr="008B6A75" w:rsidRDefault="00387142" w:rsidP="00387142">
            <w:pPr>
              <w:jc w:val="center"/>
              <w:rPr>
                <w:bCs/>
                <w:sz w:val="20"/>
                <w:szCs w:val="20"/>
              </w:rPr>
            </w:pPr>
            <w:r w:rsidRPr="008B6A75">
              <w:rPr>
                <w:bCs/>
                <w:sz w:val="20"/>
                <w:szCs w:val="20"/>
              </w:rPr>
              <w:t>03</w:t>
            </w:r>
          </w:p>
        </w:tc>
        <w:tc>
          <w:tcPr>
            <w:tcW w:w="1516" w:type="dxa"/>
            <w:tcBorders>
              <w:top w:val="nil"/>
              <w:left w:val="single" w:sz="4" w:space="0" w:color="auto"/>
              <w:bottom w:val="single" w:sz="4" w:space="0" w:color="auto"/>
              <w:right w:val="nil"/>
            </w:tcBorders>
            <w:shd w:val="clear" w:color="auto" w:fill="auto"/>
            <w:noWrap/>
            <w:vAlign w:val="center"/>
            <w:hideMark/>
          </w:tcPr>
          <w:p w14:paraId="33B49B04" w14:textId="77777777" w:rsidR="00387142" w:rsidRPr="008B6A75" w:rsidRDefault="00387142" w:rsidP="00387142">
            <w:pPr>
              <w:jc w:val="center"/>
              <w:rPr>
                <w:bCs/>
                <w:sz w:val="20"/>
                <w:szCs w:val="20"/>
              </w:rPr>
            </w:pPr>
            <w:r w:rsidRPr="008B6A75">
              <w:rPr>
                <w:bCs/>
                <w:sz w:val="20"/>
                <w:szCs w:val="20"/>
              </w:rPr>
              <w:t>07.1.E4.00000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2ABB256"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FE54FF6" w14:textId="77777777" w:rsidR="00387142" w:rsidRPr="008B6A75" w:rsidRDefault="00387142" w:rsidP="00387142">
            <w:pPr>
              <w:jc w:val="right"/>
              <w:rPr>
                <w:bCs/>
                <w:sz w:val="20"/>
                <w:szCs w:val="20"/>
              </w:rPr>
            </w:pPr>
            <w:r w:rsidRPr="008B6A75">
              <w:rPr>
                <w:bCs/>
                <w:sz w:val="20"/>
                <w:szCs w:val="20"/>
              </w:rPr>
              <w:t>0,00</w:t>
            </w:r>
          </w:p>
        </w:tc>
        <w:tc>
          <w:tcPr>
            <w:tcW w:w="992" w:type="dxa"/>
            <w:tcBorders>
              <w:top w:val="nil"/>
              <w:left w:val="single" w:sz="4" w:space="0" w:color="auto"/>
              <w:bottom w:val="single" w:sz="4" w:space="0" w:color="auto"/>
              <w:right w:val="nil"/>
            </w:tcBorders>
            <w:shd w:val="clear" w:color="auto" w:fill="auto"/>
            <w:vAlign w:val="center"/>
            <w:hideMark/>
          </w:tcPr>
          <w:p w14:paraId="1B399A33" w14:textId="77777777" w:rsidR="00387142" w:rsidRPr="008B6A75" w:rsidRDefault="00387142" w:rsidP="00387142">
            <w:pPr>
              <w:jc w:val="right"/>
              <w:rPr>
                <w:bCs/>
                <w:sz w:val="20"/>
                <w:szCs w:val="20"/>
              </w:rPr>
            </w:pPr>
            <w:r w:rsidRPr="008B6A75">
              <w:rPr>
                <w:bCs/>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0BDD6222" w14:textId="77777777" w:rsidR="00387142" w:rsidRPr="008B6A75" w:rsidRDefault="00387142" w:rsidP="00387142">
            <w:pPr>
              <w:jc w:val="right"/>
              <w:rPr>
                <w:bCs/>
                <w:sz w:val="20"/>
                <w:szCs w:val="20"/>
              </w:rPr>
            </w:pPr>
            <w:r w:rsidRPr="008B6A75">
              <w:rPr>
                <w:bCs/>
                <w:sz w:val="20"/>
                <w:szCs w:val="20"/>
              </w:rPr>
              <w:t>39 312 400,00</w:t>
            </w:r>
          </w:p>
        </w:tc>
      </w:tr>
      <w:tr w:rsidR="00387142" w:rsidRPr="008B6A75" w14:paraId="37495CBD" w14:textId="77777777" w:rsidTr="00387142">
        <w:trPr>
          <w:trHeight w:val="2010"/>
        </w:trPr>
        <w:tc>
          <w:tcPr>
            <w:tcW w:w="3261" w:type="dxa"/>
            <w:tcBorders>
              <w:top w:val="nil"/>
              <w:left w:val="single" w:sz="4" w:space="0" w:color="auto"/>
              <w:bottom w:val="single" w:sz="4" w:space="0" w:color="auto"/>
              <w:right w:val="nil"/>
            </w:tcBorders>
            <w:shd w:val="clear" w:color="auto" w:fill="auto"/>
            <w:vAlign w:val="center"/>
            <w:hideMark/>
          </w:tcPr>
          <w:p w14:paraId="76869573" w14:textId="77777777" w:rsidR="00387142" w:rsidRPr="008B6A75" w:rsidRDefault="00387142" w:rsidP="00387142">
            <w:pPr>
              <w:rPr>
                <w:bCs/>
                <w:sz w:val="20"/>
                <w:szCs w:val="20"/>
              </w:rPr>
            </w:pPr>
            <w:r w:rsidRPr="008B6A75">
              <w:rPr>
                <w:bCs/>
                <w:sz w:val="20"/>
                <w:szCs w:val="20"/>
              </w:rPr>
              <w:t>Создание центров цифрового образования детей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(оснащение центров IT-куб)</w:t>
            </w:r>
          </w:p>
        </w:tc>
        <w:tc>
          <w:tcPr>
            <w:tcW w:w="720" w:type="dxa"/>
            <w:tcBorders>
              <w:top w:val="nil"/>
              <w:left w:val="single" w:sz="4" w:space="0" w:color="auto"/>
              <w:bottom w:val="single" w:sz="4" w:space="0" w:color="auto"/>
              <w:right w:val="nil"/>
            </w:tcBorders>
            <w:shd w:val="clear" w:color="auto" w:fill="auto"/>
            <w:noWrap/>
            <w:vAlign w:val="center"/>
            <w:hideMark/>
          </w:tcPr>
          <w:p w14:paraId="242056EA" w14:textId="77777777" w:rsidR="00387142" w:rsidRPr="008B6A75" w:rsidRDefault="00387142" w:rsidP="00387142">
            <w:pPr>
              <w:jc w:val="center"/>
              <w:rPr>
                <w:bCs/>
                <w:sz w:val="20"/>
                <w:szCs w:val="20"/>
              </w:rPr>
            </w:pPr>
            <w:r w:rsidRPr="008B6A75">
              <w:rPr>
                <w:bCs/>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7B3057C" w14:textId="77777777" w:rsidR="00387142" w:rsidRPr="008B6A75" w:rsidRDefault="00387142" w:rsidP="00387142">
            <w:pPr>
              <w:jc w:val="center"/>
              <w:rPr>
                <w:bCs/>
                <w:sz w:val="20"/>
                <w:szCs w:val="20"/>
              </w:rPr>
            </w:pPr>
            <w:r w:rsidRPr="008B6A75">
              <w:rPr>
                <w:bCs/>
                <w:sz w:val="20"/>
                <w:szCs w:val="20"/>
              </w:rPr>
              <w:t>03</w:t>
            </w:r>
          </w:p>
        </w:tc>
        <w:tc>
          <w:tcPr>
            <w:tcW w:w="1516" w:type="dxa"/>
            <w:tcBorders>
              <w:top w:val="nil"/>
              <w:left w:val="single" w:sz="4" w:space="0" w:color="auto"/>
              <w:bottom w:val="single" w:sz="4" w:space="0" w:color="auto"/>
              <w:right w:val="nil"/>
            </w:tcBorders>
            <w:shd w:val="clear" w:color="auto" w:fill="auto"/>
            <w:noWrap/>
            <w:vAlign w:val="center"/>
            <w:hideMark/>
          </w:tcPr>
          <w:p w14:paraId="79E61B8B" w14:textId="77777777" w:rsidR="00387142" w:rsidRPr="008B6A75" w:rsidRDefault="00387142" w:rsidP="00387142">
            <w:pPr>
              <w:jc w:val="center"/>
              <w:rPr>
                <w:bCs/>
                <w:sz w:val="20"/>
                <w:szCs w:val="20"/>
              </w:rPr>
            </w:pPr>
            <w:r w:rsidRPr="008B6A75">
              <w:rPr>
                <w:bCs/>
                <w:sz w:val="20"/>
                <w:szCs w:val="20"/>
              </w:rPr>
              <w:t>07.1.E4.52191</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BBB97DD"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6BDB035" w14:textId="77777777" w:rsidR="00387142" w:rsidRPr="008B6A75" w:rsidRDefault="00387142" w:rsidP="00387142">
            <w:pPr>
              <w:jc w:val="right"/>
              <w:rPr>
                <w:bCs/>
                <w:sz w:val="20"/>
                <w:szCs w:val="20"/>
              </w:rPr>
            </w:pPr>
            <w:r w:rsidRPr="008B6A75">
              <w:rPr>
                <w:bCs/>
                <w:sz w:val="20"/>
                <w:szCs w:val="20"/>
              </w:rPr>
              <w:t>0,00</w:t>
            </w:r>
          </w:p>
        </w:tc>
        <w:tc>
          <w:tcPr>
            <w:tcW w:w="992" w:type="dxa"/>
            <w:tcBorders>
              <w:top w:val="nil"/>
              <w:left w:val="single" w:sz="4" w:space="0" w:color="auto"/>
              <w:bottom w:val="single" w:sz="4" w:space="0" w:color="auto"/>
              <w:right w:val="nil"/>
            </w:tcBorders>
            <w:shd w:val="clear" w:color="auto" w:fill="auto"/>
            <w:vAlign w:val="center"/>
            <w:hideMark/>
          </w:tcPr>
          <w:p w14:paraId="261DC091" w14:textId="77777777" w:rsidR="00387142" w:rsidRPr="008B6A75" w:rsidRDefault="00387142" w:rsidP="00387142">
            <w:pPr>
              <w:jc w:val="right"/>
              <w:rPr>
                <w:bCs/>
                <w:sz w:val="20"/>
                <w:szCs w:val="20"/>
              </w:rPr>
            </w:pPr>
            <w:r w:rsidRPr="008B6A75">
              <w:rPr>
                <w:bCs/>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5E712FF3" w14:textId="77777777" w:rsidR="00387142" w:rsidRPr="008B6A75" w:rsidRDefault="00387142" w:rsidP="00387142">
            <w:pPr>
              <w:jc w:val="right"/>
              <w:rPr>
                <w:bCs/>
                <w:sz w:val="20"/>
                <w:szCs w:val="20"/>
              </w:rPr>
            </w:pPr>
            <w:r w:rsidRPr="008B6A75">
              <w:rPr>
                <w:bCs/>
                <w:sz w:val="20"/>
                <w:szCs w:val="20"/>
              </w:rPr>
              <w:t>21 412 900,00</w:t>
            </w:r>
          </w:p>
        </w:tc>
      </w:tr>
      <w:tr w:rsidR="00387142" w:rsidRPr="008B6A75" w14:paraId="6E695012" w14:textId="77777777" w:rsidTr="00387142">
        <w:trPr>
          <w:trHeight w:val="870"/>
        </w:trPr>
        <w:tc>
          <w:tcPr>
            <w:tcW w:w="3261" w:type="dxa"/>
            <w:tcBorders>
              <w:top w:val="nil"/>
              <w:left w:val="single" w:sz="4" w:space="0" w:color="auto"/>
              <w:bottom w:val="single" w:sz="4" w:space="0" w:color="auto"/>
              <w:right w:val="nil"/>
            </w:tcBorders>
            <w:shd w:val="clear" w:color="auto" w:fill="auto"/>
            <w:vAlign w:val="center"/>
            <w:hideMark/>
          </w:tcPr>
          <w:p w14:paraId="147781E0" w14:textId="77777777" w:rsidR="00387142" w:rsidRPr="008B6A75" w:rsidRDefault="00387142" w:rsidP="00387142">
            <w:pPr>
              <w:rPr>
                <w:sz w:val="20"/>
                <w:szCs w:val="20"/>
              </w:rPr>
            </w:pPr>
            <w:r w:rsidRPr="008B6A75">
              <w:rPr>
                <w:sz w:val="20"/>
                <w:szCs w:val="20"/>
              </w:rPr>
              <w:t>Предоставление субсидий бюджетным, автономным учреждениям и иным некоммерческим организациям</w:t>
            </w:r>
          </w:p>
        </w:tc>
        <w:tc>
          <w:tcPr>
            <w:tcW w:w="720" w:type="dxa"/>
            <w:tcBorders>
              <w:top w:val="nil"/>
              <w:left w:val="single" w:sz="4" w:space="0" w:color="auto"/>
              <w:bottom w:val="single" w:sz="4" w:space="0" w:color="auto"/>
              <w:right w:val="nil"/>
            </w:tcBorders>
            <w:shd w:val="clear" w:color="auto" w:fill="auto"/>
            <w:noWrap/>
            <w:vAlign w:val="center"/>
            <w:hideMark/>
          </w:tcPr>
          <w:p w14:paraId="47BE1F3A" w14:textId="77777777" w:rsidR="00387142" w:rsidRPr="008B6A75" w:rsidRDefault="00387142" w:rsidP="00387142">
            <w:pPr>
              <w:jc w:val="center"/>
              <w:rPr>
                <w:sz w:val="20"/>
                <w:szCs w:val="20"/>
              </w:rPr>
            </w:pPr>
            <w:r w:rsidRPr="008B6A75">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3C0DE64" w14:textId="77777777" w:rsidR="00387142" w:rsidRPr="008B6A75" w:rsidRDefault="00387142" w:rsidP="00387142">
            <w:pPr>
              <w:jc w:val="center"/>
              <w:rPr>
                <w:sz w:val="20"/>
                <w:szCs w:val="20"/>
              </w:rPr>
            </w:pPr>
            <w:r w:rsidRPr="008B6A75">
              <w:rPr>
                <w:sz w:val="20"/>
                <w:szCs w:val="20"/>
              </w:rPr>
              <w:t>03</w:t>
            </w:r>
          </w:p>
        </w:tc>
        <w:tc>
          <w:tcPr>
            <w:tcW w:w="1516" w:type="dxa"/>
            <w:tcBorders>
              <w:top w:val="nil"/>
              <w:left w:val="single" w:sz="4" w:space="0" w:color="auto"/>
              <w:bottom w:val="single" w:sz="4" w:space="0" w:color="auto"/>
              <w:right w:val="nil"/>
            </w:tcBorders>
            <w:shd w:val="clear" w:color="auto" w:fill="auto"/>
            <w:noWrap/>
            <w:vAlign w:val="center"/>
            <w:hideMark/>
          </w:tcPr>
          <w:p w14:paraId="792098DD" w14:textId="77777777" w:rsidR="00387142" w:rsidRPr="008B6A75" w:rsidRDefault="00387142" w:rsidP="00387142">
            <w:pPr>
              <w:jc w:val="center"/>
              <w:rPr>
                <w:sz w:val="20"/>
                <w:szCs w:val="20"/>
              </w:rPr>
            </w:pPr>
            <w:r w:rsidRPr="008B6A75">
              <w:rPr>
                <w:sz w:val="20"/>
                <w:szCs w:val="20"/>
              </w:rPr>
              <w:t>07.1.E4.52191</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2953DC2" w14:textId="77777777" w:rsidR="00387142" w:rsidRPr="008B6A75" w:rsidRDefault="00387142" w:rsidP="00387142">
            <w:pPr>
              <w:jc w:val="center"/>
              <w:rPr>
                <w:sz w:val="20"/>
                <w:szCs w:val="20"/>
              </w:rPr>
            </w:pPr>
            <w:r w:rsidRPr="008B6A75">
              <w:rPr>
                <w:sz w:val="20"/>
                <w:szCs w:val="20"/>
              </w:rPr>
              <w:t>600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26F35D5" w14:textId="77777777" w:rsidR="00387142" w:rsidRPr="008B6A75" w:rsidRDefault="00387142" w:rsidP="00387142">
            <w:pPr>
              <w:jc w:val="right"/>
              <w:rPr>
                <w:sz w:val="20"/>
                <w:szCs w:val="20"/>
              </w:rPr>
            </w:pPr>
            <w:r w:rsidRPr="008B6A75">
              <w:rPr>
                <w:sz w:val="20"/>
                <w:szCs w:val="20"/>
              </w:rPr>
              <w:t>0,00</w:t>
            </w:r>
          </w:p>
        </w:tc>
        <w:tc>
          <w:tcPr>
            <w:tcW w:w="992" w:type="dxa"/>
            <w:tcBorders>
              <w:top w:val="nil"/>
              <w:left w:val="single" w:sz="4" w:space="0" w:color="auto"/>
              <w:bottom w:val="single" w:sz="4" w:space="0" w:color="auto"/>
              <w:right w:val="nil"/>
            </w:tcBorders>
            <w:shd w:val="clear" w:color="auto" w:fill="auto"/>
            <w:vAlign w:val="center"/>
            <w:hideMark/>
          </w:tcPr>
          <w:p w14:paraId="5F711E0B" w14:textId="77777777" w:rsidR="00387142" w:rsidRPr="008B6A75" w:rsidRDefault="00387142" w:rsidP="00387142">
            <w:pPr>
              <w:jc w:val="right"/>
              <w:rPr>
                <w:sz w:val="20"/>
                <w:szCs w:val="20"/>
              </w:rPr>
            </w:pPr>
            <w:r w:rsidRPr="008B6A75">
              <w:rPr>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119A7AE5" w14:textId="77777777" w:rsidR="00387142" w:rsidRPr="008B6A75" w:rsidRDefault="00387142" w:rsidP="00387142">
            <w:pPr>
              <w:jc w:val="right"/>
              <w:rPr>
                <w:sz w:val="20"/>
                <w:szCs w:val="20"/>
              </w:rPr>
            </w:pPr>
            <w:r w:rsidRPr="008B6A75">
              <w:rPr>
                <w:sz w:val="20"/>
                <w:szCs w:val="20"/>
              </w:rPr>
              <w:t>21 412 900,00</w:t>
            </w:r>
          </w:p>
        </w:tc>
      </w:tr>
      <w:tr w:rsidR="00387142" w:rsidRPr="008B6A75" w14:paraId="322D3E2F" w14:textId="77777777" w:rsidTr="00387142">
        <w:trPr>
          <w:trHeight w:val="345"/>
        </w:trPr>
        <w:tc>
          <w:tcPr>
            <w:tcW w:w="3261" w:type="dxa"/>
            <w:tcBorders>
              <w:top w:val="nil"/>
              <w:left w:val="single" w:sz="4" w:space="0" w:color="auto"/>
              <w:bottom w:val="single" w:sz="4" w:space="0" w:color="auto"/>
              <w:right w:val="nil"/>
            </w:tcBorders>
            <w:shd w:val="clear" w:color="auto" w:fill="auto"/>
            <w:vAlign w:val="center"/>
            <w:hideMark/>
          </w:tcPr>
          <w:p w14:paraId="5931BB2C" w14:textId="77777777" w:rsidR="00387142" w:rsidRPr="008B6A75" w:rsidRDefault="00387142" w:rsidP="00387142">
            <w:pPr>
              <w:rPr>
                <w:sz w:val="20"/>
                <w:szCs w:val="20"/>
              </w:rPr>
            </w:pPr>
            <w:r w:rsidRPr="008B6A75">
              <w:rPr>
                <w:sz w:val="20"/>
                <w:szCs w:val="20"/>
              </w:rPr>
              <w:t>Субсидии бюджетным учреждениям</w:t>
            </w:r>
          </w:p>
        </w:tc>
        <w:tc>
          <w:tcPr>
            <w:tcW w:w="720" w:type="dxa"/>
            <w:tcBorders>
              <w:top w:val="nil"/>
              <w:left w:val="single" w:sz="4" w:space="0" w:color="auto"/>
              <w:bottom w:val="single" w:sz="4" w:space="0" w:color="auto"/>
              <w:right w:val="nil"/>
            </w:tcBorders>
            <w:shd w:val="clear" w:color="auto" w:fill="auto"/>
            <w:noWrap/>
            <w:vAlign w:val="center"/>
            <w:hideMark/>
          </w:tcPr>
          <w:p w14:paraId="63E671E8" w14:textId="77777777" w:rsidR="00387142" w:rsidRPr="008B6A75" w:rsidRDefault="00387142" w:rsidP="00387142">
            <w:pPr>
              <w:jc w:val="center"/>
              <w:rPr>
                <w:sz w:val="20"/>
                <w:szCs w:val="20"/>
              </w:rPr>
            </w:pPr>
            <w:r w:rsidRPr="008B6A75">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AACB2D7" w14:textId="77777777" w:rsidR="00387142" w:rsidRPr="008B6A75" w:rsidRDefault="00387142" w:rsidP="00387142">
            <w:pPr>
              <w:jc w:val="center"/>
              <w:rPr>
                <w:sz w:val="20"/>
                <w:szCs w:val="20"/>
              </w:rPr>
            </w:pPr>
            <w:r w:rsidRPr="008B6A75">
              <w:rPr>
                <w:sz w:val="20"/>
                <w:szCs w:val="20"/>
              </w:rPr>
              <w:t>03</w:t>
            </w:r>
          </w:p>
        </w:tc>
        <w:tc>
          <w:tcPr>
            <w:tcW w:w="1516" w:type="dxa"/>
            <w:tcBorders>
              <w:top w:val="nil"/>
              <w:left w:val="single" w:sz="4" w:space="0" w:color="auto"/>
              <w:bottom w:val="single" w:sz="4" w:space="0" w:color="auto"/>
              <w:right w:val="nil"/>
            </w:tcBorders>
            <w:shd w:val="clear" w:color="auto" w:fill="auto"/>
            <w:noWrap/>
            <w:vAlign w:val="center"/>
            <w:hideMark/>
          </w:tcPr>
          <w:p w14:paraId="6E55A89C" w14:textId="77777777" w:rsidR="00387142" w:rsidRPr="008B6A75" w:rsidRDefault="00387142" w:rsidP="00387142">
            <w:pPr>
              <w:jc w:val="center"/>
              <w:rPr>
                <w:sz w:val="20"/>
                <w:szCs w:val="20"/>
              </w:rPr>
            </w:pPr>
            <w:r w:rsidRPr="008B6A75">
              <w:rPr>
                <w:sz w:val="20"/>
                <w:szCs w:val="20"/>
              </w:rPr>
              <w:t>07.1.E4.52191</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73265F3" w14:textId="77777777" w:rsidR="00387142" w:rsidRPr="008B6A75" w:rsidRDefault="00387142" w:rsidP="00387142">
            <w:pPr>
              <w:jc w:val="center"/>
              <w:rPr>
                <w:sz w:val="20"/>
                <w:szCs w:val="20"/>
              </w:rPr>
            </w:pPr>
            <w:r w:rsidRPr="008B6A75">
              <w:rPr>
                <w:sz w:val="20"/>
                <w:szCs w:val="20"/>
              </w:rPr>
              <w:t>610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37E1018" w14:textId="77777777" w:rsidR="00387142" w:rsidRPr="008B6A75" w:rsidRDefault="00387142" w:rsidP="00387142">
            <w:pPr>
              <w:jc w:val="right"/>
              <w:rPr>
                <w:sz w:val="20"/>
                <w:szCs w:val="20"/>
              </w:rPr>
            </w:pPr>
            <w:r w:rsidRPr="008B6A75">
              <w:rPr>
                <w:sz w:val="20"/>
                <w:szCs w:val="20"/>
              </w:rPr>
              <w:t>0,00</w:t>
            </w:r>
          </w:p>
        </w:tc>
        <w:tc>
          <w:tcPr>
            <w:tcW w:w="992" w:type="dxa"/>
            <w:tcBorders>
              <w:top w:val="nil"/>
              <w:left w:val="single" w:sz="4" w:space="0" w:color="auto"/>
              <w:bottom w:val="single" w:sz="4" w:space="0" w:color="auto"/>
              <w:right w:val="nil"/>
            </w:tcBorders>
            <w:shd w:val="clear" w:color="auto" w:fill="auto"/>
            <w:vAlign w:val="center"/>
            <w:hideMark/>
          </w:tcPr>
          <w:p w14:paraId="663C2303" w14:textId="77777777" w:rsidR="00387142" w:rsidRPr="008B6A75" w:rsidRDefault="00387142" w:rsidP="00387142">
            <w:pPr>
              <w:jc w:val="right"/>
              <w:rPr>
                <w:sz w:val="20"/>
                <w:szCs w:val="20"/>
              </w:rPr>
            </w:pPr>
            <w:r w:rsidRPr="008B6A75">
              <w:rPr>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2C181012" w14:textId="77777777" w:rsidR="00387142" w:rsidRPr="008B6A75" w:rsidRDefault="00387142" w:rsidP="00387142">
            <w:pPr>
              <w:jc w:val="right"/>
              <w:rPr>
                <w:sz w:val="20"/>
                <w:szCs w:val="20"/>
              </w:rPr>
            </w:pPr>
            <w:r w:rsidRPr="008B6A75">
              <w:rPr>
                <w:sz w:val="20"/>
                <w:szCs w:val="20"/>
              </w:rPr>
              <w:t>21 412 900,00</w:t>
            </w:r>
          </w:p>
        </w:tc>
      </w:tr>
      <w:tr w:rsidR="00387142" w:rsidRPr="008B6A75" w14:paraId="4C6C675B" w14:textId="77777777" w:rsidTr="00387142">
        <w:trPr>
          <w:trHeight w:val="2010"/>
        </w:trPr>
        <w:tc>
          <w:tcPr>
            <w:tcW w:w="3261" w:type="dxa"/>
            <w:tcBorders>
              <w:top w:val="nil"/>
              <w:left w:val="single" w:sz="4" w:space="0" w:color="auto"/>
              <w:bottom w:val="single" w:sz="4" w:space="0" w:color="auto"/>
              <w:right w:val="nil"/>
            </w:tcBorders>
            <w:shd w:val="clear" w:color="auto" w:fill="auto"/>
            <w:vAlign w:val="center"/>
            <w:hideMark/>
          </w:tcPr>
          <w:p w14:paraId="0CB75B08" w14:textId="77777777" w:rsidR="00387142" w:rsidRPr="008B6A75" w:rsidRDefault="00387142" w:rsidP="00387142">
            <w:pPr>
              <w:rPr>
                <w:bCs/>
                <w:sz w:val="20"/>
                <w:szCs w:val="20"/>
              </w:rPr>
            </w:pPr>
            <w:r w:rsidRPr="008B6A75">
              <w:rPr>
                <w:bCs/>
                <w:sz w:val="20"/>
                <w:szCs w:val="20"/>
              </w:rPr>
              <w:lastRenderedPageBreak/>
              <w:t>Создание центров цифрового образования детей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w:t>
            </w:r>
            <w:proofErr w:type="spellStart"/>
            <w:r w:rsidRPr="008B6A75">
              <w:rPr>
                <w:bCs/>
                <w:sz w:val="20"/>
                <w:szCs w:val="20"/>
              </w:rPr>
              <w:t>брендирование</w:t>
            </w:r>
            <w:proofErr w:type="spellEnd"/>
            <w:r w:rsidRPr="008B6A75">
              <w:rPr>
                <w:bCs/>
                <w:sz w:val="20"/>
                <w:szCs w:val="20"/>
              </w:rPr>
              <w:t xml:space="preserve"> центров IT-куб)</w:t>
            </w:r>
          </w:p>
        </w:tc>
        <w:tc>
          <w:tcPr>
            <w:tcW w:w="720" w:type="dxa"/>
            <w:tcBorders>
              <w:top w:val="nil"/>
              <w:left w:val="single" w:sz="4" w:space="0" w:color="auto"/>
              <w:bottom w:val="single" w:sz="4" w:space="0" w:color="auto"/>
              <w:right w:val="nil"/>
            </w:tcBorders>
            <w:shd w:val="clear" w:color="auto" w:fill="auto"/>
            <w:noWrap/>
            <w:vAlign w:val="center"/>
            <w:hideMark/>
          </w:tcPr>
          <w:p w14:paraId="712C0018" w14:textId="77777777" w:rsidR="00387142" w:rsidRPr="008B6A75" w:rsidRDefault="00387142" w:rsidP="00387142">
            <w:pPr>
              <w:jc w:val="center"/>
              <w:rPr>
                <w:bCs/>
                <w:sz w:val="20"/>
                <w:szCs w:val="20"/>
              </w:rPr>
            </w:pPr>
            <w:r w:rsidRPr="008B6A75">
              <w:rPr>
                <w:bCs/>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00C8FC8" w14:textId="77777777" w:rsidR="00387142" w:rsidRPr="008B6A75" w:rsidRDefault="00387142" w:rsidP="00387142">
            <w:pPr>
              <w:jc w:val="center"/>
              <w:rPr>
                <w:bCs/>
                <w:sz w:val="20"/>
                <w:szCs w:val="20"/>
              </w:rPr>
            </w:pPr>
            <w:r w:rsidRPr="008B6A75">
              <w:rPr>
                <w:bCs/>
                <w:sz w:val="20"/>
                <w:szCs w:val="20"/>
              </w:rPr>
              <w:t>03</w:t>
            </w:r>
          </w:p>
        </w:tc>
        <w:tc>
          <w:tcPr>
            <w:tcW w:w="1516" w:type="dxa"/>
            <w:tcBorders>
              <w:top w:val="nil"/>
              <w:left w:val="single" w:sz="4" w:space="0" w:color="auto"/>
              <w:bottom w:val="single" w:sz="4" w:space="0" w:color="auto"/>
              <w:right w:val="nil"/>
            </w:tcBorders>
            <w:shd w:val="clear" w:color="auto" w:fill="auto"/>
            <w:noWrap/>
            <w:vAlign w:val="center"/>
            <w:hideMark/>
          </w:tcPr>
          <w:p w14:paraId="3CF4B742" w14:textId="77777777" w:rsidR="00387142" w:rsidRPr="008B6A75" w:rsidRDefault="00387142" w:rsidP="00387142">
            <w:pPr>
              <w:jc w:val="center"/>
              <w:rPr>
                <w:bCs/>
                <w:sz w:val="20"/>
                <w:szCs w:val="20"/>
              </w:rPr>
            </w:pPr>
            <w:r w:rsidRPr="008B6A75">
              <w:rPr>
                <w:bCs/>
                <w:sz w:val="20"/>
                <w:szCs w:val="20"/>
              </w:rPr>
              <w:t>07.1.E4.52192</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3274362"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450C95C" w14:textId="77777777" w:rsidR="00387142" w:rsidRPr="008B6A75" w:rsidRDefault="00387142" w:rsidP="00387142">
            <w:pPr>
              <w:jc w:val="right"/>
              <w:rPr>
                <w:bCs/>
                <w:sz w:val="20"/>
                <w:szCs w:val="20"/>
              </w:rPr>
            </w:pPr>
            <w:r w:rsidRPr="008B6A75">
              <w:rPr>
                <w:bCs/>
                <w:sz w:val="20"/>
                <w:szCs w:val="20"/>
              </w:rPr>
              <w:t>0,00</w:t>
            </w:r>
          </w:p>
        </w:tc>
        <w:tc>
          <w:tcPr>
            <w:tcW w:w="992" w:type="dxa"/>
            <w:tcBorders>
              <w:top w:val="nil"/>
              <w:left w:val="single" w:sz="4" w:space="0" w:color="auto"/>
              <w:bottom w:val="single" w:sz="4" w:space="0" w:color="auto"/>
              <w:right w:val="nil"/>
            </w:tcBorders>
            <w:shd w:val="clear" w:color="auto" w:fill="auto"/>
            <w:vAlign w:val="center"/>
            <w:hideMark/>
          </w:tcPr>
          <w:p w14:paraId="0A49C88F" w14:textId="77777777" w:rsidR="00387142" w:rsidRPr="008B6A75" w:rsidRDefault="00387142" w:rsidP="00387142">
            <w:pPr>
              <w:jc w:val="right"/>
              <w:rPr>
                <w:bCs/>
                <w:sz w:val="20"/>
                <w:szCs w:val="20"/>
              </w:rPr>
            </w:pPr>
            <w:r w:rsidRPr="008B6A75">
              <w:rPr>
                <w:bCs/>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4B9FCC46" w14:textId="77777777" w:rsidR="00387142" w:rsidRPr="008B6A75" w:rsidRDefault="00387142" w:rsidP="00387142">
            <w:pPr>
              <w:jc w:val="right"/>
              <w:rPr>
                <w:bCs/>
                <w:sz w:val="20"/>
                <w:szCs w:val="20"/>
              </w:rPr>
            </w:pPr>
            <w:r w:rsidRPr="008B6A75">
              <w:rPr>
                <w:bCs/>
                <w:sz w:val="20"/>
                <w:szCs w:val="20"/>
              </w:rPr>
              <w:t>17 899 500,00</w:t>
            </w:r>
          </w:p>
        </w:tc>
      </w:tr>
      <w:tr w:rsidR="00387142" w:rsidRPr="008B6A75" w14:paraId="58E01616" w14:textId="77777777" w:rsidTr="00387142">
        <w:trPr>
          <w:trHeight w:val="870"/>
        </w:trPr>
        <w:tc>
          <w:tcPr>
            <w:tcW w:w="3261" w:type="dxa"/>
            <w:tcBorders>
              <w:top w:val="nil"/>
              <w:left w:val="single" w:sz="4" w:space="0" w:color="auto"/>
              <w:bottom w:val="single" w:sz="4" w:space="0" w:color="auto"/>
              <w:right w:val="nil"/>
            </w:tcBorders>
            <w:shd w:val="clear" w:color="auto" w:fill="auto"/>
            <w:vAlign w:val="center"/>
            <w:hideMark/>
          </w:tcPr>
          <w:p w14:paraId="75C5E44C" w14:textId="77777777" w:rsidR="00387142" w:rsidRPr="008B6A75" w:rsidRDefault="00387142" w:rsidP="00387142">
            <w:pPr>
              <w:rPr>
                <w:sz w:val="20"/>
                <w:szCs w:val="20"/>
              </w:rPr>
            </w:pPr>
            <w:r w:rsidRPr="008B6A75">
              <w:rPr>
                <w:sz w:val="20"/>
                <w:szCs w:val="20"/>
              </w:rPr>
              <w:t>Предоставление субсидий бюджетным, автономным учреждениям и иным некоммерческим организациям</w:t>
            </w:r>
          </w:p>
        </w:tc>
        <w:tc>
          <w:tcPr>
            <w:tcW w:w="720" w:type="dxa"/>
            <w:tcBorders>
              <w:top w:val="nil"/>
              <w:left w:val="single" w:sz="4" w:space="0" w:color="auto"/>
              <w:bottom w:val="single" w:sz="4" w:space="0" w:color="auto"/>
              <w:right w:val="nil"/>
            </w:tcBorders>
            <w:shd w:val="clear" w:color="auto" w:fill="auto"/>
            <w:noWrap/>
            <w:vAlign w:val="center"/>
            <w:hideMark/>
          </w:tcPr>
          <w:p w14:paraId="43D43A6F" w14:textId="77777777" w:rsidR="00387142" w:rsidRPr="008B6A75" w:rsidRDefault="00387142" w:rsidP="00387142">
            <w:pPr>
              <w:jc w:val="center"/>
              <w:rPr>
                <w:sz w:val="20"/>
                <w:szCs w:val="20"/>
              </w:rPr>
            </w:pPr>
            <w:r w:rsidRPr="008B6A75">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FD293DC" w14:textId="77777777" w:rsidR="00387142" w:rsidRPr="008B6A75" w:rsidRDefault="00387142" w:rsidP="00387142">
            <w:pPr>
              <w:jc w:val="center"/>
              <w:rPr>
                <w:sz w:val="20"/>
                <w:szCs w:val="20"/>
              </w:rPr>
            </w:pPr>
            <w:r w:rsidRPr="008B6A75">
              <w:rPr>
                <w:sz w:val="20"/>
                <w:szCs w:val="20"/>
              </w:rPr>
              <w:t>03</w:t>
            </w:r>
          </w:p>
        </w:tc>
        <w:tc>
          <w:tcPr>
            <w:tcW w:w="1516" w:type="dxa"/>
            <w:tcBorders>
              <w:top w:val="nil"/>
              <w:left w:val="single" w:sz="4" w:space="0" w:color="auto"/>
              <w:bottom w:val="single" w:sz="4" w:space="0" w:color="auto"/>
              <w:right w:val="nil"/>
            </w:tcBorders>
            <w:shd w:val="clear" w:color="auto" w:fill="auto"/>
            <w:noWrap/>
            <w:vAlign w:val="center"/>
            <w:hideMark/>
          </w:tcPr>
          <w:p w14:paraId="0C7F291B" w14:textId="77777777" w:rsidR="00387142" w:rsidRPr="008B6A75" w:rsidRDefault="00387142" w:rsidP="00387142">
            <w:pPr>
              <w:jc w:val="center"/>
              <w:rPr>
                <w:sz w:val="20"/>
                <w:szCs w:val="20"/>
              </w:rPr>
            </w:pPr>
            <w:r w:rsidRPr="008B6A75">
              <w:rPr>
                <w:sz w:val="20"/>
                <w:szCs w:val="20"/>
              </w:rPr>
              <w:t>07.1.E4.52192</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5589D8B" w14:textId="77777777" w:rsidR="00387142" w:rsidRPr="008B6A75" w:rsidRDefault="00387142" w:rsidP="00387142">
            <w:pPr>
              <w:jc w:val="center"/>
              <w:rPr>
                <w:sz w:val="20"/>
                <w:szCs w:val="20"/>
              </w:rPr>
            </w:pPr>
            <w:r w:rsidRPr="008B6A75">
              <w:rPr>
                <w:sz w:val="20"/>
                <w:szCs w:val="20"/>
              </w:rPr>
              <w:t>600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3A0A1D5" w14:textId="77777777" w:rsidR="00387142" w:rsidRPr="008B6A75" w:rsidRDefault="00387142" w:rsidP="00387142">
            <w:pPr>
              <w:jc w:val="right"/>
              <w:rPr>
                <w:sz w:val="20"/>
                <w:szCs w:val="20"/>
              </w:rPr>
            </w:pPr>
            <w:r w:rsidRPr="008B6A75">
              <w:rPr>
                <w:sz w:val="20"/>
                <w:szCs w:val="20"/>
              </w:rPr>
              <w:t>0,00</w:t>
            </w:r>
          </w:p>
        </w:tc>
        <w:tc>
          <w:tcPr>
            <w:tcW w:w="992" w:type="dxa"/>
            <w:tcBorders>
              <w:top w:val="nil"/>
              <w:left w:val="single" w:sz="4" w:space="0" w:color="auto"/>
              <w:bottom w:val="single" w:sz="4" w:space="0" w:color="auto"/>
              <w:right w:val="nil"/>
            </w:tcBorders>
            <w:shd w:val="clear" w:color="auto" w:fill="auto"/>
            <w:vAlign w:val="center"/>
            <w:hideMark/>
          </w:tcPr>
          <w:p w14:paraId="346D3508" w14:textId="77777777" w:rsidR="00387142" w:rsidRPr="008B6A75" w:rsidRDefault="00387142" w:rsidP="00387142">
            <w:pPr>
              <w:jc w:val="right"/>
              <w:rPr>
                <w:sz w:val="20"/>
                <w:szCs w:val="20"/>
              </w:rPr>
            </w:pPr>
            <w:r w:rsidRPr="008B6A75">
              <w:rPr>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5C9846C7" w14:textId="77777777" w:rsidR="00387142" w:rsidRPr="008B6A75" w:rsidRDefault="00387142" w:rsidP="00387142">
            <w:pPr>
              <w:jc w:val="right"/>
              <w:rPr>
                <w:sz w:val="20"/>
                <w:szCs w:val="20"/>
              </w:rPr>
            </w:pPr>
            <w:r w:rsidRPr="008B6A75">
              <w:rPr>
                <w:sz w:val="20"/>
                <w:szCs w:val="20"/>
              </w:rPr>
              <w:t>17 899 500,00</w:t>
            </w:r>
          </w:p>
        </w:tc>
      </w:tr>
      <w:tr w:rsidR="00387142" w:rsidRPr="008B6A75" w14:paraId="750D5752" w14:textId="77777777" w:rsidTr="00387142">
        <w:trPr>
          <w:trHeight w:val="345"/>
        </w:trPr>
        <w:tc>
          <w:tcPr>
            <w:tcW w:w="3261" w:type="dxa"/>
            <w:tcBorders>
              <w:top w:val="nil"/>
              <w:left w:val="single" w:sz="4" w:space="0" w:color="auto"/>
              <w:bottom w:val="single" w:sz="4" w:space="0" w:color="auto"/>
              <w:right w:val="nil"/>
            </w:tcBorders>
            <w:shd w:val="clear" w:color="auto" w:fill="auto"/>
            <w:vAlign w:val="center"/>
            <w:hideMark/>
          </w:tcPr>
          <w:p w14:paraId="27BC2302" w14:textId="77777777" w:rsidR="00387142" w:rsidRPr="008B6A75" w:rsidRDefault="00387142" w:rsidP="00387142">
            <w:pPr>
              <w:rPr>
                <w:sz w:val="20"/>
                <w:szCs w:val="20"/>
              </w:rPr>
            </w:pPr>
            <w:r w:rsidRPr="008B6A75">
              <w:rPr>
                <w:sz w:val="20"/>
                <w:szCs w:val="20"/>
              </w:rPr>
              <w:t>Субсидии бюджетным учреждениям</w:t>
            </w:r>
          </w:p>
        </w:tc>
        <w:tc>
          <w:tcPr>
            <w:tcW w:w="720" w:type="dxa"/>
            <w:tcBorders>
              <w:top w:val="nil"/>
              <w:left w:val="single" w:sz="4" w:space="0" w:color="auto"/>
              <w:bottom w:val="single" w:sz="4" w:space="0" w:color="auto"/>
              <w:right w:val="nil"/>
            </w:tcBorders>
            <w:shd w:val="clear" w:color="auto" w:fill="auto"/>
            <w:noWrap/>
            <w:vAlign w:val="center"/>
            <w:hideMark/>
          </w:tcPr>
          <w:p w14:paraId="7797D578" w14:textId="77777777" w:rsidR="00387142" w:rsidRPr="008B6A75" w:rsidRDefault="00387142" w:rsidP="00387142">
            <w:pPr>
              <w:jc w:val="center"/>
              <w:rPr>
                <w:sz w:val="20"/>
                <w:szCs w:val="20"/>
              </w:rPr>
            </w:pPr>
            <w:r w:rsidRPr="008B6A75">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6E56351" w14:textId="77777777" w:rsidR="00387142" w:rsidRPr="008B6A75" w:rsidRDefault="00387142" w:rsidP="00387142">
            <w:pPr>
              <w:jc w:val="center"/>
              <w:rPr>
                <w:sz w:val="20"/>
                <w:szCs w:val="20"/>
              </w:rPr>
            </w:pPr>
            <w:r w:rsidRPr="008B6A75">
              <w:rPr>
                <w:sz w:val="20"/>
                <w:szCs w:val="20"/>
              </w:rPr>
              <w:t>03</w:t>
            </w:r>
          </w:p>
        </w:tc>
        <w:tc>
          <w:tcPr>
            <w:tcW w:w="1516" w:type="dxa"/>
            <w:tcBorders>
              <w:top w:val="nil"/>
              <w:left w:val="single" w:sz="4" w:space="0" w:color="auto"/>
              <w:bottom w:val="single" w:sz="4" w:space="0" w:color="auto"/>
              <w:right w:val="nil"/>
            </w:tcBorders>
            <w:shd w:val="clear" w:color="auto" w:fill="auto"/>
            <w:noWrap/>
            <w:vAlign w:val="center"/>
            <w:hideMark/>
          </w:tcPr>
          <w:p w14:paraId="791FE4AD" w14:textId="77777777" w:rsidR="00387142" w:rsidRPr="008B6A75" w:rsidRDefault="00387142" w:rsidP="00387142">
            <w:pPr>
              <w:jc w:val="center"/>
              <w:rPr>
                <w:sz w:val="20"/>
                <w:szCs w:val="20"/>
              </w:rPr>
            </w:pPr>
            <w:r w:rsidRPr="008B6A75">
              <w:rPr>
                <w:sz w:val="20"/>
                <w:szCs w:val="20"/>
              </w:rPr>
              <w:t>07.1.E4.52192</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794C146" w14:textId="77777777" w:rsidR="00387142" w:rsidRPr="008B6A75" w:rsidRDefault="00387142" w:rsidP="00387142">
            <w:pPr>
              <w:jc w:val="center"/>
              <w:rPr>
                <w:sz w:val="20"/>
                <w:szCs w:val="20"/>
              </w:rPr>
            </w:pPr>
            <w:r w:rsidRPr="008B6A75">
              <w:rPr>
                <w:sz w:val="20"/>
                <w:szCs w:val="20"/>
              </w:rPr>
              <w:t>610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0C78129" w14:textId="77777777" w:rsidR="00387142" w:rsidRPr="008B6A75" w:rsidRDefault="00387142" w:rsidP="00387142">
            <w:pPr>
              <w:jc w:val="right"/>
              <w:rPr>
                <w:sz w:val="20"/>
                <w:szCs w:val="20"/>
              </w:rPr>
            </w:pPr>
            <w:r w:rsidRPr="008B6A75">
              <w:rPr>
                <w:sz w:val="20"/>
                <w:szCs w:val="20"/>
              </w:rPr>
              <w:t>0,00</w:t>
            </w:r>
          </w:p>
        </w:tc>
        <w:tc>
          <w:tcPr>
            <w:tcW w:w="992" w:type="dxa"/>
            <w:tcBorders>
              <w:top w:val="nil"/>
              <w:left w:val="single" w:sz="4" w:space="0" w:color="auto"/>
              <w:bottom w:val="single" w:sz="4" w:space="0" w:color="auto"/>
              <w:right w:val="nil"/>
            </w:tcBorders>
            <w:shd w:val="clear" w:color="auto" w:fill="auto"/>
            <w:vAlign w:val="center"/>
            <w:hideMark/>
          </w:tcPr>
          <w:p w14:paraId="00B2B680" w14:textId="77777777" w:rsidR="00387142" w:rsidRPr="008B6A75" w:rsidRDefault="00387142" w:rsidP="00387142">
            <w:pPr>
              <w:jc w:val="right"/>
              <w:rPr>
                <w:sz w:val="20"/>
                <w:szCs w:val="20"/>
              </w:rPr>
            </w:pPr>
            <w:r w:rsidRPr="008B6A75">
              <w:rPr>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630FED3E" w14:textId="77777777" w:rsidR="00387142" w:rsidRPr="008B6A75" w:rsidRDefault="00387142" w:rsidP="00387142">
            <w:pPr>
              <w:jc w:val="right"/>
              <w:rPr>
                <w:sz w:val="20"/>
                <w:szCs w:val="20"/>
              </w:rPr>
            </w:pPr>
            <w:r w:rsidRPr="008B6A75">
              <w:rPr>
                <w:sz w:val="20"/>
                <w:szCs w:val="20"/>
              </w:rPr>
              <w:t>17 899 500,00</w:t>
            </w:r>
          </w:p>
        </w:tc>
      </w:tr>
      <w:tr w:rsidR="00387142" w:rsidRPr="008B6A75" w14:paraId="2D8AA4C8" w14:textId="77777777" w:rsidTr="00387142">
        <w:trPr>
          <w:trHeight w:val="870"/>
        </w:trPr>
        <w:tc>
          <w:tcPr>
            <w:tcW w:w="3261" w:type="dxa"/>
            <w:tcBorders>
              <w:top w:val="nil"/>
              <w:left w:val="single" w:sz="4" w:space="0" w:color="auto"/>
              <w:bottom w:val="single" w:sz="4" w:space="0" w:color="auto"/>
              <w:right w:val="nil"/>
            </w:tcBorders>
            <w:shd w:val="clear" w:color="auto" w:fill="auto"/>
            <w:vAlign w:val="center"/>
            <w:hideMark/>
          </w:tcPr>
          <w:p w14:paraId="1BDBD6AF" w14:textId="77777777" w:rsidR="00387142" w:rsidRPr="008B6A75" w:rsidRDefault="00387142" w:rsidP="00387142">
            <w:pPr>
              <w:rPr>
                <w:bCs/>
                <w:sz w:val="20"/>
                <w:szCs w:val="20"/>
              </w:rPr>
            </w:pPr>
            <w:r w:rsidRPr="008B6A75">
              <w:rPr>
                <w:bCs/>
                <w:sz w:val="20"/>
                <w:szCs w:val="20"/>
              </w:rPr>
              <w:t>Подпрограмма "Выявление и поддержка одаренных детей и талантливой молодежи Куйбышевского района"</w:t>
            </w:r>
          </w:p>
        </w:tc>
        <w:tc>
          <w:tcPr>
            <w:tcW w:w="720" w:type="dxa"/>
            <w:tcBorders>
              <w:top w:val="nil"/>
              <w:left w:val="single" w:sz="4" w:space="0" w:color="auto"/>
              <w:bottom w:val="single" w:sz="4" w:space="0" w:color="auto"/>
              <w:right w:val="nil"/>
            </w:tcBorders>
            <w:shd w:val="clear" w:color="auto" w:fill="auto"/>
            <w:noWrap/>
            <w:vAlign w:val="center"/>
            <w:hideMark/>
          </w:tcPr>
          <w:p w14:paraId="5BC7AEA5" w14:textId="77777777" w:rsidR="00387142" w:rsidRPr="008B6A75" w:rsidRDefault="00387142" w:rsidP="00387142">
            <w:pPr>
              <w:jc w:val="center"/>
              <w:rPr>
                <w:bCs/>
                <w:sz w:val="20"/>
                <w:szCs w:val="20"/>
              </w:rPr>
            </w:pPr>
            <w:r w:rsidRPr="008B6A75">
              <w:rPr>
                <w:bCs/>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683DD31" w14:textId="77777777" w:rsidR="00387142" w:rsidRPr="008B6A75" w:rsidRDefault="00387142" w:rsidP="00387142">
            <w:pPr>
              <w:jc w:val="center"/>
              <w:rPr>
                <w:bCs/>
                <w:sz w:val="20"/>
                <w:szCs w:val="20"/>
              </w:rPr>
            </w:pPr>
            <w:r w:rsidRPr="008B6A75">
              <w:rPr>
                <w:bCs/>
                <w:sz w:val="20"/>
                <w:szCs w:val="20"/>
              </w:rPr>
              <w:t>03</w:t>
            </w:r>
          </w:p>
        </w:tc>
        <w:tc>
          <w:tcPr>
            <w:tcW w:w="1516" w:type="dxa"/>
            <w:tcBorders>
              <w:top w:val="nil"/>
              <w:left w:val="single" w:sz="4" w:space="0" w:color="auto"/>
              <w:bottom w:val="single" w:sz="4" w:space="0" w:color="auto"/>
              <w:right w:val="nil"/>
            </w:tcBorders>
            <w:shd w:val="clear" w:color="auto" w:fill="auto"/>
            <w:noWrap/>
            <w:vAlign w:val="center"/>
            <w:hideMark/>
          </w:tcPr>
          <w:p w14:paraId="5BC94DD5" w14:textId="77777777" w:rsidR="00387142" w:rsidRPr="008B6A75" w:rsidRDefault="00387142" w:rsidP="00387142">
            <w:pPr>
              <w:jc w:val="center"/>
              <w:rPr>
                <w:bCs/>
                <w:sz w:val="20"/>
                <w:szCs w:val="20"/>
              </w:rPr>
            </w:pPr>
            <w:r w:rsidRPr="008B6A75">
              <w:rPr>
                <w:bCs/>
                <w:sz w:val="20"/>
                <w:szCs w:val="20"/>
              </w:rPr>
              <w:t>07.2.00.00000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4BBC496"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2719106" w14:textId="77777777" w:rsidR="00387142" w:rsidRPr="008B6A75" w:rsidRDefault="00387142" w:rsidP="00387142">
            <w:pPr>
              <w:jc w:val="right"/>
              <w:rPr>
                <w:bCs/>
                <w:sz w:val="20"/>
                <w:szCs w:val="20"/>
              </w:rPr>
            </w:pPr>
            <w:r w:rsidRPr="008B6A75">
              <w:rPr>
                <w:bCs/>
                <w:sz w:val="20"/>
                <w:szCs w:val="20"/>
              </w:rPr>
              <w:t>716 983,80</w:t>
            </w:r>
          </w:p>
        </w:tc>
        <w:tc>
          <w:tcPr>
            <w:tcW w:w="992" w:type="dxa"/>
            <w:tcBorders>
              <w:top w:val="nil"/>
              <w:left w:val="single" w:sz="4" w:space="0" w:color="auto"/>
              <w:bottom w:val="single" w:sz="4" w:space="0" w:color="auto"/>
              <w:right w:val="nil"/>
            </w:tcBorders>
            <w:shd w:val="clear" w:color="auto" w:fill="auto"/>
            <w:vAlign w:val="center"/>
            <w:hideMark/>
          </w:tcPr>
          <w:p w14:paraId="19D5678D" w14:textId="77777777" w:rsidR="00387142" w:rsidRPr="008B6A75" w:rsidRDefault="00387142" w:rsidP="00387142">
            <w:pPr>
              <w:jc w:val="right"/>
              <w:rPr>
                <w:bCs/>
                <w:sz w:val="20"/>
                <w:szCs w:val="20"/>
              </w:rPr>
            </w:pPr>
            <w:r w:rsidRPr="008B6A75">
              <w:rPr>
                <w:bCs/>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2AF253EE" w14:textId="77777777" w:rsidR="00387142" w:rsidRPr="008B6A75" w:rsidRDefault="00387142" w:rsidP="00387142">
            <w:pPr>
              <w:jc w:val="right"/>
              <w:rPr>
                <w:bCs/>
                <w:sz w:val="20"/>
                <w:szCs w:val="20"/>
              </w:rPr>
            </w:pPr>
            <w:r w:rsidRPr="008B6A75">
              <w:rPr>
                <w:bCs/>
                <w:sz w:val="20"/>
                <w:szCs w:val="20"/>
              </w:rPr>
              <w:t>0,00</w:t>
            </w:r>
          </w:p>
        </w:tc>
      </w:tr>
      <w:tr w:rsidR="00387142" w:rsidRPr="008B6A75" w14:paraId="0BE633EB" w14:textId="77777777" w:rsidTr="00387142">
        <w:trPr>
          <w:trHeight w:val="1155"/>
        </w:trPr>
        <w:tc>
          <w:tcPr>
            <w:tcW w:w="3261" w:type="dxa"/>
            <w:tcBorders>
              <w:top w:val="nil"/>
              <w:left w:val="single" w:sz="4" w:space="0" w:color="auto"/>
              <w:bottom w:val="single" w:sz="4" w:space="0" w:color="auto"/>
              <w:right w:val="nil"/>
            </w:tcBorders>
            <w:shd w:val="clear" w:color="auto" w:fill="auto"/>
            <w:vAlign w:val="center"/>
            <w:hideMark/>
          </w:tcPr>
          <w:p w14:paraId="3AE065E5" w14:textId="77777777" w:rsidR="00387142" w:rsidRPr="008B6A75" w:rsidRDefault="00387142" w:rsidP="00387142">
            <w:pPr>
              <w:rPr>
                <w:bCs/>
                <w:sz w:val="20"/>
                <w:szCs w:val="20"/>
              </w:rPr>
            </w:pPr>
            <w:r w:rsidRPr="008B6A75">
              <w:rPr>
                <w:bCs/>
                <w:sz w:val="20"/>
                <w:szCs w:val="20"/>
              </w:rPr>
              <w:t>Реализация мероприятий подпрограммы "Выявление и поддержка одаренных детей и талантливой молодежи Куйбышевского района"</w:t>
            </w:r>
          </w:p>
        </w:tc>
        <w:tc>
          <w:tcPr>
            <w:tcW w:w="720" w:type="dxa"/>
            <w:tcBorders>
              <w:top w:val="nil"/>
              <w:left w:val="single" w:sz="4" w:space="0" w:color="auto"/>
              <w:bottom w:val="single" w:sz="4" w:space="0" w:color="auto"/>
              <w:right w:val="nil"/>
            </w:tcBorders>
            <w:shd w:val="clear" w:color="auto" w:fill="auto"/>
            <w:noWrap/>
            <w:vAlign w:val="center"/>
            <w:hideMark/>
          </w:tcPr>
          <w:p w14:paraId="4DB1E8D8" w14:textId="77777777" w:rsidR="00387142" w:rsidRPr="008B6A75" w:rsidRDefault="00387142" w:rsidP="00387142">
            <w:pPr>
              <w:jc w:val="center"/>
              <w:rPr>
                <w:bCs/>
                <w:sz w:val="20"/>
                <w:szCs w:val="20"/>
              </w:rPr>
            </w:pPr>
            <w:r w:rsidRPr="008B6A75">
              <w:rPr>
                <w:bCs/>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D3E7A77" w14:textId="77777777" w:rsidR="00387142" w:rsidRPr="008B6A75" w:rsidRDefault="00387142" w:rsidP="00387142">
            <w:pPr>
              <w:jc w:val="center"/>
              <w:rPr>
                <w:bCs/>
                <w:sz w:val="20"/>
                <w:szCs w:val="20"/>
              </w:rPr>
            </w:pPr>
            <w:r w:rsidRPr="008B6A75">
              <w:rPr>
                <w:bCs/>
                <w:sz w:val="20"/>
                <w:szCs w:val="20"/>
              </w:rPr>
              <w:t>03</w:t>
            </w:r>
          </w:p>
        </w:tc>
        <w:tc>
          <w:tcPr>
            <w:tcW w:w="1516" w:type="dxa"/>
            <w:tcBorders>
              <w:top w:val="nil"/>
              <w:left w:val="single" w:sz="4" w:space="0" w:color="auto"/>
              <w:bottom w:val="single" w:sz="4" w:space="0" w:color="auto"/>
              <w:right w:val="nil"/>
            </w:tcBorders>
            <w:shd w:val="clear" w:color="auto" w:fill="auto"/>
            <w:noWrap/>
            <w:vAlign w:val="center"/>
            <w:hideMark/>
          </w:tcPr>
          <w:p w14:paraId="20ECF276" w14:textId="77777777" w:rsidR="00387142" w:rsidRPr="008B6A75" w:rsidRDefault="00387142" w:rsidP="00387142">
            <w:pPr>
              <w:jc w:val="center"/>
              <w:rPr>
                <w:bCs/>
                <w:sz w:val="20"/>
                <w:szCs w:val="20"/>
              </w:rPr>
            </w:pPr>
            <w:r w:rsidRPr="008B6A75">
              <w:rPr>
                <w:bCs/>
                <w:sz w:val="20"/>
                <w:szCs w:val="20"/>
              </w:rPr>
              <w:t>07.2.00.79500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D1E5A6E"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0800554" w14:textId="77777777" w:rsidR="00387142" w:rsidRPr="008B6A75" w:rsidRDefault="00387142" w:rsidP="00387142">
            <w:pPr>
              <w:jc w:val="right"/>
              <w:rPr>
                <w:bCs/>
                <w:sz w:val="20"/>
                <w:szCs w:val="20"/>
              </w:rPr>
            </w:pPr>
            <w:r w:rsidRPr="008B6A75">
              <w:rPr>
                <w:bCs/>
                <w:sz w:val="20"/>
                <w:szCs w:val="20"/>
              </w:rPr>
              <w:t>716 983,80</w:t>
            </w:r>
          </w:p>
        </w:tc>
        <w:tc>
          <w:tcPr>
            <w:tcW w:w="992" w:type="dxa"/>
            <w:tcBorders>
              <w:top w:val="nil"/>
              <w:left w:val="single" w:sz="4" w:space="0" w:color="auto"/>
              <w:bottom w:val="single" w:sz="4" w:space="0" w:color="auto"/>
              <w:right w:val="nil"/>
            </w:tcBorders>
            <w:shd w:val="clear" w:color="auto" w:fill="auto"/>
            <w:vAlign w:val="center"/>
            <w:hideMark/>
          </w:tcPr>
          <w:p w14:paraId="5A593969" w14:textId="77777777" w:rsidR="00387142" w:rsidRPr="008B6A75" w:rsidRDefault="00387142" w:rsidP="00387142">
            <w:pPr>
              <w:jc w:val="right"/>
              <w:rPr>
                <w:bCs/>
                <w:sz w:val="20"/>
                <w:szCs w:val="20"/>
              </w:rPr>
            </w:pPr>
            <w:r w:rsidRPr="008B6A75">
              <w:rPr>
                <w:bCs/>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2BFC5F71" w14:textId="77777777" w:rsidR="00387142" w:rsidRPr="008B6A75" w:rsidRDefault="00387142" w:rsidP="00387142">
            <w:pPr>
              <w:jc w:val="right"/>
              <w:rPr>
                <w:bCs/>
                <w:sz w:val="20"/>
                <w:szCs w:val="20"/>
              </w:rPr>
            </w:pPr>
            <w:r w:rsidRPr="008B6A75">
              <w:rPr>
                <w:bCs/>
                <w:sz w:val="20"/>
                <w:szCs w:val="20"/>
              </w:rPr>
              <w:t>0,00</w:t>
            </w:r>
          </w:p>
        </w:tc>
      </w:tr>
      <w:tr w:rsidR="00387142" w:rsidRPr="008B6A75" w14:paraId="47F394C3" w14:textId="77777777" w:rsidTr="00387142">
        <w:trPr>
          <w:trHeight w:val="870"/>
        </w:trPr>
        <w:tc>
          <w:tcPr>
            <w:tcW w:w="3261" w:type="dxa"/>
            <w:tcBorders>
              <w:top w:val="nil"/>
              <w:left w:val="single" w:sz="4" w:space="0" w:color="auto"/>
              <w:bottom w:val="single" w:sz="4" w:space="0" w:color="auto"/>
              <w:right w:val="nil"/>
            </w:tcBorders>
            <w:shd w:val="clear" w:color="auto" w:fill="auto"/>
            <w:vAlign w:val="center"/>
            <w:hideMark/>
          </w:tcPr>
          <w:p w14:paraId="196264E3" w14:textId="77777777" w:rsidR="00387142" w:rsidRPr="008B6A75" w:rsidRDefault="00387142" w:rsidP="00387142">
            <w:pPr>
              <w:rPr>
                <w:sz w:val="20"/>
                <w:szCs w:val="20"/>
              </w:rPr>
            </w:pPr>
            <w:r w:rsidRPr="008B6A75">
              <w:rPr>
                <w:sz w:val="20"/>
                <w:szCs w:val="20"/>
              </w:rPr>
              <w:t>Предоставление субсидий бюджетным, автономным учреждениям и иным некоммерческим организациям</w:t>
            </w:r>
          </w:p>
        </w:tc>
        <w:tc>
          <w:tcPr>
            <w:tcW w:w="720" w:type="dxa"/>
            <w:tcBorders>
              <w:top w:val="nil"/>
              <w:left w:val="single" w:sz="4" w:space="0" w:color="auto"/>
              <w:bottom w:val="single" w:sz="4" w:space="0" w:color="auto"/>
              <w:right w:val="nil"/>
            </w:tcBorders>
            <w:shd w:val="clear" w:color="auto" w:fill="auto"/>
            <w:noWrap/>
            <w:vAlign w:val="center"/>
            <w:hideMark/>
          </w:tcPr>
          <w:p w14:paraId="6EC519E0" w14:textId="77777777" w:rsidR="00387142" w:rsidRPr="008B6A75" w:rsidRDefault="00387142" w:rsidP="00387142">
            <w:pPr>
              <w:jc w:val="center"/>
              <w:rPr>
                <w:sz w:val="20"/>
                <w:szCs w:val="20"/>
              </w:rPr>
            </w:pPr>
            <w:r w:rsidRPr="008B6A75">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A7E962C" w14:textId="77777777" w:rsidR="00387142" w:rsidRPr="008B6A75" w:rsidRDefault="00387142" w:rsidP="00387142">
            <w:pPr>
              <w:jc w:val="center"/>
              <w:rPr>
                <w:sz w:val="20"/>
                <w:szCs w:val="20"/>
              </w:rPr>
            </w:pPr>
            <w:r w:rsidRPr="008B6A75">
              <w:rPr>
                <w:sz w:val="20"/>
                <w:szCs w:val="20"/>
              </w:rPr>
              <w:t>03</w:t>
            </w:r>
          </w:p>
        </w:tc>
        <w:tc>
          <w:tcPr>
            <w:tcW w:w="1516" w:type="dxa"/>
            <w:tcBorders>
              <w:top w:val="nil"/>
              <w:left w:val="single" w:sz="4" w:space="0" w:color="auto"/>
              <w:bottom w:val="single" w:sz="4" w:space="0" w:color="auto"/>
              <w:right w:val="nil"/>
            </w:tcBorders>
            <w:shd w:val="clear" w:color="auto" w:fill="auto"/>
            <w:noWrap/>
            <w:vAlign w:val="center"/>
            <w:hideMark/>
          </w:tcPr>
          <w:p w14:paraId="0553C9C4" w14:textId="77777777" w:rsidR="00387142" w:rsidRPr="008B6A75" w:rsidRDefault="00387142" w:rsidP="00387142">
            <w:pPr>
              <w:jc w:val="center"/>
              <w:rPr>
                <w:sz w:val="20"/>
                <w:szCs w:val="20"/>
              </w:rPr>
            </w:pPr>
            <w:r w:rsidRPr="008B6A75">
              <w:rPr>
                <w:sz w:val="20"/>
                <w:szCs w:val="20"/>
              </w:rPr>
              <w:t>07.2.00.79500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A700505" w14:textId="77777777" w:rsidR="00387142" w:rsidRPr="008B6A75" w:rsidRDefault="00387142" w:rsidP="00387142">
            <w:pPr>
              <w:jc w:val="center"/>
              <w:rPr>
                <w:sz w:val="20"/>
                <w:szCs w:val="20"/>
              </w:rPr>
            </w:pPr>
            <w:r w:rsidRPr="008B6A75">
              <w:rPr>
                <w:sz w:val="20"/>
                <w:szCs w:val="20"/>
              </w:rPr>
              <w:t>600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67D8016" w14:textId="77777777" w:rsidR="00387142" w:rsidRPr="008B6A75" w:rsidRDefault="00387142" w:rsidP="00387142">
            <w:pPr>
              <w:jc w:val="right"/>
              <w:rPr>
                <w:sz w:val="20"/>
                <w:szCs w:val="20"/>
              </w:rPr>
            </w:pPr>
            <w:r w:rsidRPr="008B6A75">
              <w:rPr>
                <w:sz w:val="20"/>
                <w:szCs w:val="20"/>
              </w:rPr>
              <w:t>716 983,80</w:t>
            </w:r>
          </w:p>
        </w:tc>
        <w:tc>
          <w:tcPr>
            <w:tcW w:w="992" w:type="dxa"/>
            <w:tcBorders>
              <w:top w:val="nil"/>
              <w:left w:val="single" w:sz="4" w:space="0" w:color="auto"/>
              <w:bottom w:val="single" w:sz="4" w:space="0" w:color="auto"/>
              <w:right w:val="nil"/>
            </w:tcBorders>
            <w:shd w:val="clear" w:color="auto" w:fill="auto"/>
            <w:vAlign w:val="center"/>
            <w:hideMark/>
          </w:tcPr>
          <w:p w14:paraId="07A79BCB" w14:textId="77777777" w:rsidR="00387142" w:rsidRPr="008B6A75" w:rsidRDefault="00387142" w:rsidP="00387142">
            <w:pPr>
              <w:jc w:val="right"/>
              <w:rPr>
                <w:sz w:val="20"/>
                <w:szCs w:val="20"/>
              </w:rPr>
            </w:pPr>
            <w:r w:rsidRPr="008B6A75">
              <w:rPr>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44107F61" w14:textId="77777777" w:rsidR="00387142" w:rsidRPr="008B6A75" w:rsidRDefault="00387142" w:rsidP="00387142">
            <w:pPr>
              <w:jc w:val="right"/>
              <w:rPr>
                <w:sz w:val="20"/>
                <w:szCs w:val="20"/>
              </w:rPr>
            </w:pPr>
            <w:r w:rsidRPr="008B6A75">
              <w:rPr>
                <w:sz w:val="20"/>
                <w:szCs w:val="20"/>
              </w:rPr>
              <w:t>0,00</w:t>
            </w:r>
          </w:p>
        </w:tc>
      </w:tr>
      <w:tr w:rsidR="00387142" w:rsidRPr="008B6A75" w14:paraId="04F4E4C7" w14:textId="77777777" w:rsidTr="00387142">
        <w:trPr>
          <w:trHeight w:val="345"/>
        </w:trPr>
        <w:tc>
          <w:tcPr>
            <w:tcW w:w="3261" w:type="dxa"/>
            <w:tcBorders>
              <w:top w:val="nil"/>
              <w:left w:val="single" w:sz="4" w:space="0" w:color="auto"/>
              <w:bottom w:val="single" w:sz="4" w:space="0" w:color="auto"/>
              <w:right w:val="nil"/>
            </w:tcBorders>
            <w:shd w:val="clear" w:color="auto" w:fill="auto"/>
            <w:vAlign w:val="center"/>
            <w:hideMark/>
          </w:tcPr>
          <w:p w14:paraId="669EE596" w14:textId="77777777" w:rsidR="00387142" w:rsidRPr="008B6A75" w:rsidRDefault="00387142" w:rsidP="00387142">
            <w:pPr>
              <w:rPr>
                <w:sz w:val="20"/>
                <w:szCs w:val="20"/>
              </w:rPr>
            </w:pPr>
            <w:r w:rsidRPr="008B6A75">
              <w:rPr>
                <w:sz w:val="20"/>
                <w:szCs w:val="20"/>
              </w:rPr>
              <w:t>Субсидии бюджетным учреждениям</w:t>
            </w:r>
          </w:p>
        </w:tc>
        <w:tc>
          <w:tcPr>
            <w:tcW w:w="720" w:type="dxa"/>
            <w:tcBorders>
              <w:top w:val="nil"/>
              <w:left w:val="single" w:sz="4" w:space="0" w:color="auto"/>
              <w:bottom w:val="single" w:sz="4" w:space="0" w:color="auto"/>
              <w:right w:val="nil"/>
            </w:tcBorders>
            <w:shd w:val="clear" w:color="auto" w:fill="auto"/>
            <w:noWrap/>
            <w:vAlign w:val="center"/>
            <w:hideMark/>
          </w:tcPr>
          <w:p w14:paraId="78DAA925" w14:textId="77777777" w:rsidR="00387142" w:rsidRPr="008B6A75" w:rsidRDefault="00387142" w:rsidP="00387142">
            <w:pPr>
              <w:jc w:val="center"/>
              <w:rPr>
                <w:sz w:val="20"/>
                <w:szCs w:val="20"/>
              </w:rPr>
            </w:pPr>
            <w:r w:rsidRPr="008B6A75">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797E1BB" w14:textId="77777777" w:rsidR="00387142" w:rsidRPr="008B6A75" w:rsidRDefault="00387142" w:rsidP="00387142">
            <w:pPr>
              <w:jc w:val="center"/>
              <w:rPr>
                <w:sz w:val="20"/>
                <w:szCs w:val="20"/>
              </w:rPr>
            </w:pPr>
            <w:r w:rsidRPr="008B6A75">
              <w:rPr>
                <w:sz w:val="20"/>
                <w:szCs w:val="20"/>
              </w:rPr>
              <w:t>03</w:t>
            </w:r>
          </w:p>
        </w:tc>
        <w:tc>
          <w:tcPr>
            <w:tcW w:w="1516" w:type="dxa"/>
            <w:tcBorders>
              <w:top w:val="nil"/>
              <w:left w:val="single" w:sz="4" w:space="0" w:color="auto"/>
              <w:bottom w:val="single" w:sz="4" w:space="0" w:color="auto"/>
              <w:right w:val="nil"/>
            </w:tcBorders>
            <w:shd w:val="clear" w:color="auto" w:fill="auto"/>
            <w:noWrap/>
            <w:vAlign w:val="center"/>
            <w:hideMark/>
          </w:tcPr>
          <w:p w14:paraId="18BBB55A" w14:textId="77777777" w:rsidR="00387142" w:rsidRPr="008B6A75" w:rsidRDefault="00387142" w:rsidP="00387142">
            <w:pPr>
              <w:jc w:val="center"/>
              <w:rPr>
                <w:sz w:val="20"/>
                <w:szCs w:val="20"/>
              </w:rPr>
            </w:pPr>
            <w:r w:rsidRPr="008B6A75">
              <w:rPr>
                <w:sz w:val="20"/>
                <w:szCs w:val="20"/>
              </w:rPr>
              <w:t>07.2.00.79500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428FF41" w14:textId="77777777" w:rsidR="00387142" w:rsidRPr="008B6A75" w:rsidRDefault="00387142" w:rsidP="00387142">
            <w:pPr>
              <w:jc w:val="center"/>
              <w:rPr>
                <w:sz w:val="20"/>
                <w:szCs w:val="20"/>
              </w:rPr>
            </w:pPr>
            <w:r w:rsidRPr="008B6A75">
              <w:rPr>
                <w:sz w:val="20"/>
                <w:szCs w:val="20"/>
              </w:rPr>
              <w:t>610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3D55E57" w14:textId="77777777" w:rsidR="00387142" w:rsidRPr="008B6A75" w:rsidRDefault="00387142" w:rsidP="00387142">
            <w:pPr>
              <w:jc w:val="right"/>
              <w:rPr>
                <w:sz w:val="20"/>
                <w:szCs w:val="20"/>
              </w:rPr>
            </w:pPr>
            <w:r w:rsidRPr="008B6A75">
              <w:rPr>
                <w:sz w:val="20"/>
                <w:szCs w:val="20"/>
              </w:rPr>
              <w:t>716 983,80</w:t>
            </w:r>
          </w:p>
        </w:tc>
        <w:tc>
          <w:tcPr>
            <w:tcW w:w="992" w:type="dxa"/>
            <w:tcBorders>
              <w:top w:val="nil"/>
              <w:left w:val="single" w:sz="4" w:space="0" w:color="auto"/>
              <w:bottom w:val="single" w:sz="4" w:space="0" w:color="auto"/>
              <w:right w:val="nil"/>
            </w:tcBorders>
            <w:shd w:val="clear" w:color="auto" w:fill="auto"/>
            <w:vAlign w:val="center"/>
            <w:hideMark/>
          </w:tcPr>
          <w:p w14:paraId="0B912805" w14:textId="77777777" w:rsidR="00387142" w:rsidRPr="008B6A75" w:rsidRDefault="00387142" w:rsidP="00387142">
            <w:pPr>
              <w:jc w:val="right"/>
              <w:rPr>
                <w:sz w:val="20"/>
                <w:szCs w:val="20"/>
              </w:rPr>
            </w:pPr>
            <w:r w:rsidRPr="008B6A75">
              <w:rPr>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5AB8F752" w14:textId="77777777" w:rsidR="00387142" w:rsidRPr="008B6A75" w:rsidRDefault="00387142" w:rsidP="00387142">
            <w:pPr>
              <w:jc w:val="right"/>
              <w:rPr>
                <w:sz w:val="20"/>
                <w:szCs w:val="20"/>
              </w:rPr>
            </w:pPr>
            <w:r w:rsidRPr="008B6A75">
              <w:rPr>
                <w:sz w:val="20"/>
                <w:szCs w:val="20"/>
              </w:rPr>
              <w:t>0,00</w:t>
            </w:r>
          </w:p>
        </w:tc>
      </w:tr>
      <w:tr w:rsidR="00387142" w:rsidRPr="008B6A75" w14:paraId="5CF6E016" w14:textId="77777777" w:rsidTr="00387142">
        <w:trPr>
          <w:trHeight w:val="870"/>
        </w:trPr>
        <w:tc>
          <w:tcPr>
            <w:tcW w:w="3261" w:type="dxa"/>
            <w:tcBorders>
              <w:top w:val="nil"/>
              <w:left w:val="single" w:sz="4" w:space="0" w:color="auto"/>
              <w:bottom w:val="single" w:sz="4" w:space="0" w:color="auto"/>
              <w:right w:val="nil"/>
            </w:tcBorders>
            <w:shd w:val="clear" w:color="auto" w:fill="auto"/>
            <w:vAlign w:val="center"/>
            <w:hideMark/>
          </w:tcPr>
          <w:p w14:paraId="41F94D8E" w14:textId="77777777" w:rsidR="00387142" w:rsidRPr="008B6A75" w:rsidRDefault="00387142" w:rsidP="00387142">
            <w:pPr>
              <w:rPr>
                <w:bCs/>
                <w:sz w:val="20"/>
                <w:szCs w:val="20"/>
              </w:rPr>
            </w:pPr>
            <w:proofErr w:type="spellStart"/>
            <w:r w:rsidRPr="008B6A75">
              <w:rPr>
                <w:bCs/>
                <w:sz w:val="20"/>
                <w:szCs w:val="20"/>
              </w:rPr>
              <w:t>Подпрограмма"Развитие</w:t>
            </w:r>
            <w:proofErr w:type="spellEnd"/>
            <w:r w:rsidRPr="008B6A75">
              <w:rPr>
                <w:bCs/>
                <w:sz w:val="20"/>
                <w:szCs w:val="20"/>
              </w:rPr>
              <w:t xml:space="preserve"> кадрового потенциала системы дошкольного, общего и дополнительного образования детей"</w:t>
            </w:r>
          </w:p>
        </w:tc>
        <w:tc>
          <w:tcPr>
            <w:tcW w:w="720" w:type="dxa"/>
            <w:tcBorders>
              <w:top w:val="nil"/>
              <w:left w:val="single" w:sz="4" w:space="0" w:color="auto"/>
              <w:bottom w:val="single" w:sz="4" w:space="0" w:color="auto"/>
              <w:right w:val="nil"/>
            </w:tcBorders>
            <w:shd w:val="clear" w:color="auto" w:fill="auto"/>
            <w:noWrap/>
            <w:vAlign w:val="center"/>
            <w:hideMark/>
          </w:tcPr>
          <w:p w14:paraId="14212152" w14:textId="77777777" w:rsidR="00387142" w:rsidRPr="008B6A75" w:rsidRDefault="00387142" w:rsidP="00387142">
            <w:pPr>
              <w:jc w:val="center"/>
              <w:rPr>
                <w:bCs/>
                <w:sz w:val="20"/>
                <w:szCs w:val="20"/>
              </w:rPr>
            </w:pPr>
            <w:r w:rsidRPr="008B6A75">
              <w:rPr>
                <w:bCs/>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6080D5F" w14:textId="77777777" w:rsidR="00387142" w:rsidRPr="008B6A75" w:rsidRDefault="00387142" w:rsidP="00387142">
            <w:pPr>
              <w:jc w:val="center"/>
              <w:rPr>
                <w:bCs/>
                <w:sz w:val="20"/>
                <w:szCs w:val="20"/>
              </w:rPr>
            </w:pPr>
            <w:r w:rsidRPr="008B6A75">
              <w:rPr>
                <w:bCs/>
                <w:sz w:val="20"/>
                <w:szCs w:val="20"/>
              </w:rPr>
              <w:t>03</w:t>
            </w:r>
          </w:p>
        </w:tc>
        <w:tc>
          <w:tcPr>
            <w:tcW w:w="1516" w:type="dxa"/>
            <w:tcBorders>
              <w:top w:val="nil"/>
              <w:left w:val="single" w:sz="4" w:space="0" w:color="auto"/>
              <w:bottom w:val="single" w:sz="4" w:space="0" w:color="auto"/>
              <w:right w:val="nil"/>
            </w:tcBorders>
            <w:shd w:val="clear" w:color="auto" w:fill="auto"/>
            <w:noWrap/>
            <w:vAlign w:val="center"/>
            <w:hideMark/>
          </w:tcPr>
          <w:p w14:paraId="0DF5D366" w14:textId="77777777" w:rsidR="00387142" w:rsidRPr="008B6A75" w:rsidRDefault="00387142" w:rsidP="00387142">
            <w:pPr>
              <w:jc w:val="center"/>
              <w:rPr>
                <w:bCs/>
                <w:sz w:val="20"/>
                <w:szCs w:val="20"/>
              </w:rPr>
            </w:pPr>
            <w:r w:rsidRPr="008B6A75">
              <w:rPr>
                <w:bCs/>
                <w:sz w:val="20"/>
                <w:szCs w:val="20"/>
              </w:rPr>
              <w:t>07.3.00.00000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ABBBA63"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EEA22A1" w14:textId="77777777" w:rsidR="00387142" w:rsidRPr="008B6A75" w:rsidRDefault="00387142" w:rsidP="00387142">
            <w:pPr>
              <w:jc w:val="right"/>
              <w:rPr>
                <w:bCs/>
                <w:sz w:val="20"/>
                <w:szCs w:val="20"/>
              </w:rPr>
            </w:pPr>
            <w:r w:rsidRPr="008B6A75">
              <w:rPr>
                <w:bCs/>
                <w:sz w:val="20"/>
                <w:szCs w:val="20"/>
              </w:rPr>
              <w:t>21 616,20</w:t>
            </w:r>
          </w:p>
        </w:tc>
        <w:tc>
          <w:tcPr>
            <w:tcW w:w="992" w:type="dxa"/>
            <w:tcBorders>
              <w:top w:val="nil"/>
              <w:left w:val="single" w:sz="4" w:space="0" w:color="auto"/>
              <w:bottom w:val="single" w:sz="4" w:space="0" w:color="auto"/>
              <w:right w:val="nil"/>
            </w:tcBorders>
            <w:shd w:val="clear" w:color="auto" w:fill="auto"/>
            <w:vAlign w:val="center"/>
            <w:hideMark/>
          </w:tcPr>
          <w:p w14:paraId="773F834E" w14:textId="77777777" w:rsidR="00387142" w:rsidRPr="008B6A75" w:rsidRDefault="00387142" w:rsidP="00387142">
            <w:pPr>
              <w:jc w:val="right"/>
              <w:rPr>
                <w:bCs/>
                <w:sz w:val="20"/>
                <w:szCs w:val="20"/>
              </w:rPr>
            </w:pPr>
            <w:r w:rsidRPr="008B6A75">
              <w:rPr>
                <w:bCs/>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5A9D3B40" w14:textId="77777777" w:rsidR="00387142" w:rsidRPr="008B6A75" w:rsidRDefault="00387142" w:rsidP="00387142">
            <w:pPr>
              <w:jc w:val="right"/>
              <w:rPr>
                <w:bCs/>
                <w:sz w:val="20"/>
                <w:szCs w:val="20"/>
              </w:rPr>
            </w:pPr>
            <w:r w:rsidRPr="008B6A75">
              <w:rPr>
                <w:bCs/>
                <w:sz w:val="20"/>
                <w:szCs w:val="20"/>
              </w:rPr>
              <w:t>0,00</w:t>
            </w:r>
          </w:p>
        </w:tc>
      </w:tr>
      <w:tr w:rsidR="00387142" w:rsidRPr="008B6A75" w14:paraId="78F467E7" w14:textId="77777777" w:rsidTr="00387142">
        <w:trPr>
          <w:trHeight w:val="1155"/>
        </w:trPr>
        <w:tc>
          <w:tcPr>
            <w:tcW w:w="3261" w:type="dxa"/>
            <w:tcBorders>
              <w:top w:val="nil"/>
              <w:left w:val="single" w:sz="4" w:space="0" w:color="auto"/>
              <w:bottom w:val="single" w:sz="4" w:space="0" w:color="auto"/>
              <w:right w:val="nil"/>
            </w:tcBorders>
            <w:shd w:val="clear" w:color="auto" w:fill="auto"/>
            <w:vAlign w:val="center"/>
            <w:hideMark/>
          </w:tcPr>
          <w:p w14:paraId="05FFA408" w14:textId="77777777" w:rsidR="00387142" w:rsidRPr="008B6A75" w:rsidRDefault="00387142" w:rsidP="00387142">
            <w:pPr>
              <w:rPr>
                <w:bCs/>
                <w:sz w:val="20"/>
                <w:szCs w:val="20"/>
              </w:rPr>
            </w:pPr>
            <w:r w:rsidRPr="008B6A75">
              <w:rPr>
                <w:bCs/>
                <w:sz w:val="20"/>
                <w:szCs w:val="20"/>
              </w:rPr>
              <w:t>Реализация мероприятий подпрограммы "Развитие кадрового потенциала системы дошкольного, общего и дополнительного образования детей"</w:t>
            </w:r>
          </w:p>
        </w:tc>
        <w:tc>
          <w:tcPr>
            <w:tcW w:w="720" w:type="dxa"/>
            <w:tcBorders>
              <w:top w:val="nil"/>
              <w:left w:val="single" w:sz="4" w:space="0" w:color="auto"/>
              <w:bottom w:val="single" w:sz="4" w:space="0" w:color="auto"/>
              <w:right w:val="nil"/>
            </w:tcBorders>
            <w:shd w:val="clear" w:color="auto" w:fill="auto"/>
            <w:noWrap/>
            <w:vAlign w:val="center"/>
            <w:hideMark/>
          </w:tcPr>
          <w:p w14:paraId="3B4479EF" w14:textId="77777777" w:rsidR="00387142" w:rsidRPr="008B6A75" w:rsidRDefault="00387142" w:rsidP="00387142">
            <w:pPr>
              <w:jc w:val="center"/>
              <w:rPr>
                <w:bCs/>
                <w:sz w:val="20"/>
                <w:szCs w:val="20"/>
              </w:rPr>
            </w:pPr>
            <w:r w:rsidRPr="008B6A75">
              <w:rPr>
                <w:bCs/>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D06940D" w14:textId="77777777" w:rsidR="00387142" w:rsidRPr="008B6A75" w:rsidRDefault="00387142" w:rsidP="00387142">
            <w:pPr>
              <w:jc w:val="center"/>
              <w:rPr>
                <w:bCs/>
                <w:sz w:val="20"/>
                <w:szCs w:val="20"/>
              </w:rPr>
            </w:pPr>
            <w:r w:rsidRPr="008B6A75">
              <w:rPr>
                <w:bCs/>
                <w:sz w:val="20"/>
                <w:szCs w:val="20"/>
              </w:rPr>
              <w:t>03</w:t>
            </w:r>
          </w:p>
        </w:tc>
        <w:tc>
          <w:tcPr>
            <w:tcW w:w="1516" w:type="dxa"/>
            <w:tcBorders>
              <w:top w:val="nil"/>
              <w:left w:val="single" w:sz="4" w:space="0" w:color="auto"/>
              <w:bottom w:val="single" w:sz="4" w:space="0" w:color="auto"/>
              <w:right w:val="nil"/>
            </w:tcBorders>
            <w:shd w:val="clear" w:color="auto" w:fill="auto"/>
            <w:noWrap/>
            <w:vAlign w:val="center"/>
            <w:hideMark/>
          </w:tcPr>
          <w:p w14:paraId="106A827A" w14:textId="77777777" w:rsidR="00387142" w:rsidRPr="008B6A75" w:rsidRDefault="00387142" w:rsidP="00387142">
            <w:pPr>
              <w:jc w:val="center"/>
              <w:rPr>
                <w:bCs/>
                <w:sz w:val="20"/>
                <w:szCs w:val="20"/>
              </w:rPr>
            </w:pPr>
            <w:r w:rsidRPr="008B6A75">
              <w:rPr>
                <w:bCs/>
                <w:sz w:val="20"/>
                <w:szCs w:val="20"/>
              </w:rPr>
              <w:t>07.3.00.79500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11C4E4C"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5F49A7F" w14:textId="77777777" w:rsidR="00387142" w:rsidRPr="008B6A75" w:rsidRDefault="00387142" w:rsidP="00387142">
            <w:pPr>
              <w:jc w:val="right"/>
              <w:rPr>
                <w:bCs/>
                <w:sz w:val="20"/>
                <w:szCs w:val="20"/>
              </w:rPr>
            </w:pPr>
            <w:r w:rsidRPr="008B6A75">
              <w:rPr>
                <w:bCs/>
                <w:sz w:val="20"/>
                <w:szCs w:val="20"/>
              </w:rPr>
              <w:t>21 616,20</w:t>
            </w:r>
          </w:p>
        </w:tc>
        <w:tc>
          <w:tcPr>
            <w:tcW w:w="992" w:type="dxa"/>
            <w:tcBorders>
              <w:top w:val="nil"/>
              <w:left w:val="single" w:sz="4" w:space="0" w:color="auto"/>
              <w:bottom w:val="single" w:sz="4" w:space="0" w:color="auto"/>
              <w:right w:val="nil"/>
            </w:tcBorders>
            <w:shd w:val="clear" w:color="auto" w:fill="auto"/>
            <w:vAlign w:val="center"/>
            <w:hideMark/>
          </w:tcPr>
          <w:p w14:paraId="63D7A84A" w14:textId="77777777" w:rsidR="00387142" w:rsidRPr="008B6A75" w:rsidRDefault="00387142" w:rsidP="00387142">
            <w:pPr>
              <w:jc w:val="right"/>
              <w:rPr>
                <w:bCs/>
                <w:sz w:val="20"/>
                <w:szCs w:val="20"/>
              </w:rPr>
            </w:pPr>
            <w:r w:rsidRPr="008B6A75">
              <w:rPr>
                <w:bCs/>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63601AE3" w14:textId="77777777" w:rsidR="00387142" w:rsidRPr="008B6A75" w:rsidRDefault="00387142" w:rsidP="00387142">
            <w:pPr>
              <w:jc w:val="right"/>
              <w:rPr>
                <w:bCs/>
                <w:sz w:val="20"/>
                <w:szCs w:val="20"/>
              </w:rPr>
            </w:pPr>
            <w:r w:rsidRPr="008B6A75">
              <w:rPr>
                <w:bCs/>
                <w:sz w:val="20"/>
                <w:szCs w:val="20"/>
              </w:rPr>
              <w:t>0,00</w:t>
            </w:r>
          </w:p>
        </w:tc>
      </w:tr>
      <w:tr w:rsidR="00387142" w:rsidRPr="008B6A75" w14:paraId="4A16F8CF" w14:textId="77777777" w:rsidTr="00387142">
        <w:trPr>
          <w:trHeight w:val="870"/>
        </w:trPr>
        <w:tc>
          <w:tcPr>
            <w:tcW w:w="3261" w:type="dxa"/>
            <w:tcBorders>
              <w:top w:val="nil"/>
              <w:left w:val="single" w:sz="4" w:space="0" w:color="auto"/>
              <w:bottom w:val="single" w:sz="4" w:space="0" w:color="auto"/>
              <w:right w:val="nil"/>
            </w:tcBorders>
            <w:shd w:val="clear" w:color="auto" w:fill="auto"/>
            <w:vAlign w:val="center"/>
            <w:hideMark/>
          </w:tcPr>
          <w:p w14:paraId="53430945" w14:textId="77777777" w:rsidR="00387142" w:rsidRPr="008B6A75" w:rsidRDefault="00387142" w:rsidP="00387142">
            <w:pPr>
              <w:rPr>
                <w:sz w:val="20"/>
                <w:szCs w:val="20"/>
              </w:rPr>
            </w:pPr>
            <w:r w:rsidRPr="008B6A75">
              <w:rPr>
                <w:sz w:val="20"/>
                <w:szCs w:val="20"/>
              </w:rPr>
              <w:t>Предоставление субсидий бюджетным, автономным учреждениям и иным некоммерческим организациям</w:t>
            </w:r>
          </w:p>
        </w:tc>
        <w:tc>
          <w:tcPr>
            <w:tcW w:w="720" w:type="dxa"/>
            <w:tcBorders>
              <w:top w:val="nil"/>
              <w:left w:val="single" w:sz="4" w:space="0" w:color="auto"/>
              <w:bottom w:val="single" w:sz="4" w:space="0" w:color="auto"/>
              <w:right w:val="nil"/>
            </w:tcBorders>
            <w:shd w:val="clear" w:color="auto" w:fill="auto"/>
            <w:noWrap/>
            <w:vAlign w:val="center"/>
            <w:hideMark/>
          </w:tcPr>
          <w:p w14:paraId="4DC77BC0" w14:textId="77777777" w:rsidR="00387142" w:rsidRPr="008B6A75" w:rsidRDefault="00387142" w:rsidP="00387142">
            <w:pPr>
              <w:jc w:val="center"/>
              <w:rPr>
                <w:sz w:val="20"/>
                <w:szCs w:val="20"/>
              </w:rPr>
            </w:pPr>
            <w:r w:rsidRPr="008B6A75">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8E34CDD" w14:textId="77777777" w:rsidR="00387142" w:rsidRPr="008B6A75" w:rsidRDefault="00387142" w:rsidP="00387142">
            <w:pPr>
              <w:jc w:val="center"/>
              <w:rPr>
                <w:sz w:val="20"/>
                <w:szCs w:val="20"/>
              </w:rPr>
            </w:pPr>
            <w:r w:rsidRPr="008B6A75">
              <w:rPr>
                <w:sz w:val="20"/>
                <w:szCs w:val="20"/>
              </w:rPr>
              <w:t>03</w:t>
            </w:r>
          </w:p>
        </w:tc>
        <w:tc>
          <w:tcPr>
            <w:tcW w:w="1516" w:type="dxa"/>
            <w:tcBorders>
              <w:top w:val="nil"/>
              <w:left w:val="single" w:sz="4" w:space="0" w:color="auto"/>
              <w:bottom w:val="single" w:sz="4" w:space="0" w:color="auto"/>
              <w:right w:val="nil"/>
            </w:tcBorders>
            <w:shd w:val="clear" w:color="auto" w:fill="auto"/>
            <w:noWrap/>
            <w:vAlign w:val="center"/>
            <w:hideMark/>
          </w:tcPr>
          <w:p w14:paraId="4308AB80" w14:textId="77777777" w:rsidR="00387142" w:rsidRPr="008B6A75" w:rsidRDefault="00387142" w:rsidP="00387142">
            <w:pPr>
              <w:jc w:val="center"/>
              <w:rPr>
                <w:sz w:val="20"/>
                <w:szCs w:val="20"/>
              </w:rPr>
            </w:pPr>
            <w:r w:rsidRPr="008B6A75">
              <w:rPr>
                <w:sz w:val="20"/>
                <w:szCs w:val="20"/>
              </w:rPr>
              <w:t>07.3.00.79500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EA83906" w14:textId="77777777" w:rsidR="00387142" w:rsidRPr="008B6A75" w:rsidRDefault="00387142" w:rsidP="00387142">
            <w:pPr>
              <w:jc w:val="center"/>
              <w:rPr>
                <w:sz w:val="20"/>
                <w:szCs w:val="20"/>
              </w:rPr>
            </w:pPr>
            <w:r w:rsidRPr="008B6A75">
              <w:rPr>
                <w:sz w:val="20"/>
                <w:szCs w:val="20"/>
              </w:rPr>
              <w:t>600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6A067C1" w14:textId="77777777" w:rsidR="00387142" w:rsidRPr="008B6A75" w:rsidRDefault="00387142" w:rsidP="00387142">
            <w:pPr>
              <w:jc w:val="right"/>
              <w:rPr>
                <w:sz w:val="20"/>
                <w:szCs w:val="20"/>
              </w:rPr>
            </w:pPr>
            <w:r w:rsidRPr="008B6A75">
              <w:rPr>
                <w:sz w:val="20"/>
                <w:szCs w:val="20"/>
              </w:rPr>
              <w:t>21 616,20</w:t>
            </w:r>
          </w:p>
        </w:tc>
        <w:tc>
          <w:tcPr>
            <w:tcW w:w="992" w:type="dxa"/>
            <w:tcBorders>
              <w:top w:val="nil"/>
              <w:left w:val="single" w:sz="4" w:space="0" w:color="auto"/>
              <w:bottom w:val="single" w:sz="4" w:space="0" w:color="auto"/>
              <w:right w:val="nil"/>
            </w:tcBorders>
            <w:shd w:val="clear" w:color="auto" w:fill="auto"/>
            <w:vAlign w:val="center"/>
            <w:hideMark/>
          </w:tcPr>
          <w:p w14:paraId="62B94961" w14:textId="77777777" w:rsidR="00387142" w:rsidRPr="008B6A75" w:rsidRDefault="00387142" w:rsidP="00387142">
            <w:pPr>
              <w:jc w:val="right"/>
              <w:rPr>
                <w:sz w:val="20"/>
                <w:szCs w:val="20"/>
              </w:rPr>
            </w:pPr>
            <w:r w:rsidRPr="008B6A75">
              <w:rPr>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7940E826" w14:textId="77777777" w:rsidR="00387142" w:rsidRPr="008B6A75" w:rsidRDefault="00387142" w:rsidP="00387142">
            <w:pPr>
              <w:jc w:val="right"/>
              <w:rPr>
                <w:sz w:val="20"/>
                <w:szCs w:val="20"/>
              </w:rPr>
            </w:pPr>
            <w:r w:rsidRPr="008B6A75">
              <w:rPr>
                <w:sz w:val="20"/>
                <w:szCs w:val="20"/>
              </w:rPr>
              <w:t>0,00</w:t>
            </w:r>
          </w:p>
        </w:tc>
      </w:tr>
      <w:tr w:rsidR="00387142" w:rsidRPr="008B6A75" w14:paraId="02273628" w14:textId="77777777" w:rsidTr="00387142">
        <w:trPr>
          <w:trHeight w:val="345"/>
        </w:trPr>
        <w:tc>
          <w:tcPr>
            <w:tcW w:w="3261" w:type="dxa"/>
            <w:tcBorders>
              <w:top w:val="nil"/>
              <w:left w:val="single" w:sz="4" w:space="0" w:color="auto"/>
              <w:bottom w:val="single" w:sz="4" w:space="0" w:color="auto"/>
              <w:right w:val="nil"/>
            </w:tcBorders>
            <w:shd w:val="clear" w:color="auto" w:fill="auto"/>
            <w:vAlign w:val="center"/>
            <w:hideMark/>
          </w:tcPr>
          <w:p w14:paraId="6E53F28A" w14:textId="77777777" w:rsidR="00387142" w:rsidRPr="008B6A75" w:rsidRDefault="00387142" w:rsidP="00387142">
            <w:pPr>
              <w:rPr>
                <w:sz w:val="20"/>
                <w:szCs w:val="20"/>
              </w:rPr>
            </w:pPr>
            <w:r w:rsidRPr="008B6A75">
              <w:rPr>
                <w:sz w:val="20"/>
                <w:szCs w:val="20"/>
              </w:rPr>
              <w:t>Субсидии бюджетным учреждениям</w:t>
            </w:r>
          </w:p>
        </w:tc>
        <w:tc>
          <w:tcPr>
            <w:tcW w:w="720" w:type="dxa"/>
            <w:tcBorders>
              <w:top w:val="nil"/>
              <w:left w:val="single" w:sz="4" w:space="0" w:color="auto"/>
              <w:bottom w:val="single" w:sz="4" w:space="0" w:color="auto"/>
              <w:right w:val="nil"/>
            </w:tcBorders>
            <w:shd w:val="clear" w:color="auto" w:fill="auto"/>
            <w:noWrap/>
            <w:vAlign w:val="center"/>
            <w:hideMark/>
          </w:tcPr>
          <w:p w14:paraId="258C9411" w14:textId="77777777" w:rsidR="00387142" w:rsidRPr="008B6A75" w:rsidRDefault="00387142" w:rsidP="00387142">
            <w:pPr>
              <w:jc w:val="center"/>
              <w:rPr>
                <w:sz w:val="20"/>
                <w:szCs w:val="20"/>
              </w:rPr>
            </w:pPr>
            <w:r w:rsidRPr="008B6A75">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D191470" w14:textId="77777777" w:rsidR="00387142" w:rsidRPr="008B6A75" w:rsidRDefault="00387142" w:rsidP="00387142">
            <w:pPr>
              <w:jc w:val="center"/>
              <w:rPr>
                <w:sz w:val="20"/>
                <w:szCs w:val="20"/>
              </w:rPr>
            </w:pPr>
            <w:r w:rsidRPr="008B6A75">
              <w:rPr>
                <w:sz w:val="20"/>
                <w:szCs w:val="20"/>
              </w:rPr>
              <w:t>03</w:t>
            </w:r>
          </w:p>
        </w:tc>
        <w:tc>
          <w:tcPr>
            <w:tcW w:w="1516" w:type="dxa"/>
            <w:tcBorders>
              <w:top w:val="nil"/>
              <w:left w:val="single" w:sz="4" w:space="0" w:color="auto"/>
              <w:bottom w:val="single" w:sz="4" w:space="0" w:color="auto"/>
              <w:right w:val="nil"/>
            </w:tcBorders>
            <w:shd w:val="clear" w:color="auto" w:fill="auto"/>
            <w:noWrap/>
            <w:vAlign w:val="center"/>
            <w:hideMark/>
          </w:tcPr>
          <w:p w14:paraId="6631D25E" w14:textId="77777777" w:rsidR="00387142" w:rsidRPr="008B6A75" w:rsidRDefault="00387142" w:rsidP="00387142">
            <w:pPr>
              <w:jc w:val="center"/>
              <w:rPr>
                <w:sz w:val="20"/>
                <w:szCs w:val="20"/>
              </w:rPr>
            </w:pPr>
            <w:r w:rsidRPr="008B6A75">
              <w:rPr>
                <w:sz w:val="20"/>
                <w:szCs w:val="20"/>
              </w:rPr>
              <w:t>07.3.00.79500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0605D81" w14:textId="77777777" w:rsidR="00387142" w:rsidRPr="008B6A75" w:rsidRDefault="00387142" w:rsidP="00387142">
            <w:pPr>
              <w:jc w:val="center"/>
              <w:rPr>
                <w:sz w:val="20"/>
                <w:szCs w:val="20"/>
              </w:rPr>
            </w:pPr>
            <w:r w:rsidRPr="008B6A75">
              <w:rPr>
                <w:sz w:val="20"/>
                <w:szCs w:val="20"/>
              </w:rPr>
              <w:t>610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BEFF348" w14:textId="77777777" w:rsidR="00387142" w:rsidRPr="008B6A75" w:rsidRDefault="00387142" w:rsidP="00387142">
            <w:pPr>
              <w:jc w:val="right"/>
              <w:rPr>
                <w:sz w:val="20"/>
                <w:szCs w:val="20"/>
              </w:rPr>
            </w:pPr>
            <w:r w:rsidRPr="008B6A75">
              <w:rPr>
                <w:sz w:val="20"/>
                <w:szCs w:val="20"/>
              </w:rPr>
              <w:t>21 616,20</w:t>
            </w:r>
          </w:p>
        </w:tc>
        <w:tc>
          <w:tcPr>
            <w:tcW w:w="992" w:type="dxa"/>
            <w:tcBorders>
              <w:top w:val="nil"/>
              <w:left w:val="single" w:sz="4" w:space="0" w:color="auto"/>
              <w:bottom w:val="single" w:sz="4" w:space="0" w:color="auto"/>
              <w:right w:val="nil"/>
            </w:tcBorders>
            <w:shd w:val="clear" w:color="auto" w:fill="auto"/>
            <w:vAlign w:val="center"/>
            <w:hideMark/>
          </w:tcPr>
          <w:p w14:paraId="2F54EDB2" w14:textId="77777777" w:rsidR="00387142" w:rsidRPr="008B6A75" w:rsidRDefault="00387142" w:rsidP="00387142">
            <w:pPr>
              <w:jc w:val="right"/>
              <w:rPr>
                <w:sz w:val="20"/>
                <w:szCs w:val="20"/>
              </w:rPr>
            </w:pPr>
            <w:r w:rsidRPr="008B6A75">
              <w:rPr>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682F85A7" w14:textId="77777777" w:rsidR="00387142" w:rsidRPr="008B6A75" w:rsidRDefault="00387142" w:rsidP="00387142">
            <w:pPr>
              <w:jc w:val="right"/>
              <w:rPr>
                <w:sz w:val="20"/>
                <w:szCs w:val="20"/>
              </w:rPr>
            </w:pPr>
            <w:r w:rsidRPr="008B6A75">
              <w:rPr>
                <w:sz w:val="20"/>
                <w:szCs w:val="20"/>
              </w:rPr>
              <w:t>0,00</w:t>
            </w:r>
          </w:p>
        </w:tc>
      </w:tr>
      <w:tr w:rsidR="00387142" w:rsidRPr="008B6A75" w14:paraId="7DDAA60B" w14:textId="77777777" w:rsidTr="00387142">
        <w:trPr>
          <w:trHeight w:val="345"/>
        </w:trPr>
        <w:tc>
          <w:tcPr>
            <w:tcW w:w="3261" w:type="dxa"/>
            <w:tcBorders>
              <w:top w:val="nil"/>
              <w:left w:val="single" w:sz="4" w:space="0" w:color="auto"/>
              <w:bottom w:val="single" w:sz="4" w:space="0" w:color="auto"/>
              <w:right w:val="nil"/>
            </w:tcBorders>
            <w:shd w:val="clear" w:color="auto" w:fill="auto"/>
            <w:vAlign w:val="center"/>
            <w:hideMark/>
          </w:tcPr>
          <w:p w14:paraId="355551E2" w14:textId="77777777" w:rsidR="00387142" w:rsidRPr="008B6A75" w:rsidRDefault="00387142" w:rsidP="00387142">
            <w:pPr>
              <w:rPr>
                <w:bCs/>
                <w:sz w:val="20"/>
                <w:szCs w:val="20"/>
              </w:rPr>
            </w:pPr>
            <w:r w:rsidRPr="008B6A75">
              <w:rPr>
                <w:bCs/>
                <w:sz w:val="20"/>
                <w:szCs w:val="20"/>
              </w:rPr>
              <w:t>Непрограммные направления бюджета</w:t>
            </w:r>
          </w:p>
        </w:tc>
        <w:tc>
          <w:tcPr>
            <w:tcW w:w="720" w:type="dxa"/>
            <w:tcBorders>
              <w:top w:val="nil"/>
              <w:left w:val="single" w:sz="4" w:space="0" w:color="auto"/>
              <w:bottom w:val="single" w:sz="4" w:space="0" w:color="auto"/>
              <w:right w:val="nil"/>
            </w:tcBorders>
            <w:shd w:val="clear" w:color="auto" w:fill="auto"/>
            <w:noWrap/>
            <w:vAlign w:val="center"/>
            <w:hideMark/>
          </w:tcPr>
          <w:p w14:paraId="25330B2B" w14:textId="77777777" w:rsidR="00387142" w:rsidRPr="008B6A75" w:rsidRDefault="00387142" w:rsidP="00387142">
            <w:pPr>
              <w:jc w:val="center"/>
              <w:rPr>
                <w:bCs/>
                <w:sz w:val="20"/>
                <w:szCs w:val="20"/>
              </w:rPr>
            </w:pPr>
            <w:r w:rsidRPr="008B6A75">
              <w:rPr>
                <w:bCs/>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24046B7" w14:textId="77777777" w:rsidR="00387142" w:rsidRPr="008B6A75" w:rsidRDefault="00387142" w:rsidP="00387142">
            <w:pPr>
              <w:jc w:val="center"/>
              <w:rPr>
                <w:bCs/>
                <w:sz w:val="20"/>
                <w:szCs w:val="20"/>
              </w:rPr>
            </w:pPr>
            <w:r w:rsidRPr="008B6A75">
              <w:rPr>
                <w:bCs/>
                <w:sz w:val="20"/>
                <w:szCs w:val="20"/>
              </w:rPr>
              <w:t>03</w:t>
            </w:r>
          </w:p>
        </w:tc>
        <w:tc>
          <w:tcPr>
            <w:tcW w:w="1516" w:type="dxa"/>
            <w:tcBorders>
              <w:top w:val="nil"/>
              <w:left w:val="single" w:sz="4" w:space="0" w:color="auto"/>
              <w:bottom w:val="single" w:sz="4" w:space="0" w:color="auto"/>
              <w:right w:val="nil"/>
            </w:tcBorders>
            <w:shd w:val="clear" w:color="auto" w:fill="auto"/>
            <w:noWrap/>
            <w:vAlign w:val="center"/>
            <w:hideMark/>
          </w:tcPr>
          <w:p w14:paraId="66E5A901" w14:textId="77777777" w:rsidR="00387142" w:rsidRPr="008B6A75" w:rsidRDefault="00387142" w:rsidP="00387142">
            <w:pPr>
              <w:jc w:val="center"/>
              <w:rPr>
                <w:bCs/>
                <w:sz w:val="20"/>
                <w:szCs w:val="20"/>
              </w:rPr>
            </w:pPr>
            <w:r w:rsidRPr="008B6A75">
              <w:rPr>
                <w:bCs/>
                <w:sz w:val="20"/>
                <w:szCs w:val="20"/>
              </w:rPr>
              <w:t>99.0.00.00000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39172FE"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DF535C4" w14:textId="77777777" w:rsidR="00387142" w:rsidRPr="008B6A75" w:rsidRDefault="00387142" w:rsidP="00387142">
            <w:pPr>
              <w:jc w:val="right"/>
              <w:rPr>
                <w:bCs/>
                <w:sz w:val="20"/>
                <w:szCs w:val="20"/>
              </w:rPr>
            </w:pPr>
            <w:r w:rsidRPr="008B6A75">
              <w:rPr>
                <w:bCs/>
                <w:sz w:val="20"/>
                <w:szCs w:val="20"/>
              </w:rPr>
              <w:t>4 829 000,00</w:t>
            </w:r>
          </w:p>
        </w:tc>
        <w:tc>
          <w:tcPr>
            <w:tcW w:w="992" w:type="dxa"/>
            <w:tcBorders>
              <w:top w:val="nil"/>
              <w:left w:val="single" w:sz="4" w:space="0" w:color="auto"/>
              <w:bottom w:val="single" w:sz="4" w:space="0" w:color="auto"/>
              <w:right w:val="nil"/>
            </w:tcBorders>
            <w:shd w:val="clear" w:color="auto" w:fill="auto"/>
            <w:vAlign w:val="center"/>
            <w:hideMark/>
          </w:tcPr>
          <w:p w14:paraId="531C8295" w14:textId="77777777" w:rsidR="00387142" w:rsidRPr="008B6A75" w:rsidRDefault="00387142" w:rsidP="00387142">
            <w:pPr>
              <w:jc w:val="right"/>
              <w:rPr>
                <w:bCs/>
                <w:sz w:val="20"/>
                <w:szCs w:val="20"/>
              </w:rPr>
            </w:pPr>
            <w:r w:rsidRPr="008B6A75">
              <w:rPr>
                <w:bCs/>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07CA7AEE" w14:textId="77777777" w:rsidR="00387142" w:rsidRPr="008B6A75" w:rsidRDefault="00387142" w:rsidP="00387142">
            <w:pPr>
              <w:jc w:val="right"/>
              <w:rPr>
                <w:bCs/>
                <w:sz w:val="20"/>
                <w:szCs w:val="20"/>
              </w:rPr>
            </w:pPr>
            <w:r w:rsidRPr="008B6A75">
              <w:rPr>
                <w:bCs/>
                <w:sz w:val="20"/>
                <w:szCs w:val="20"/>
              </w:rPr>
              <w:t>0,00</w:t>
            </w:r>
          </w:p>
        </w:tc>
      </w:tr>
      <w:tr w:rsidR="00387142" w:rsidRPr="008B6A75" w14:paraId="0676A809" w14:textId="77777777" w:rsidTr="00387142">
        <w:trPr>
          <w:trHeight w:val="1440"/>
        </w:trPr>
        <w:tc>
          <w:tcPr>
            <w:tcW w:w="3261" w:type="dxa"/>
            <w:tcBorders>
              <w:top w:val="nil"/>
              <w:left w:val="single" w:sz="4" w:space="0" w:color="auto"/>
              <w:bottom w:val="single" w:sz="4" w:space="0" w:color="auto"/>
              <w:right w:val="nil"/>
            </w:tcBorders>
            <w:shd w:val="clear" w:color="auto" w:fill="auto"/>
            <w:vAlign w:val="center"/>
            <w:hideMark/>
          </w:tcPr>
          <w:p w14:paraId="4820ECEE" w14:textId="77777777" w:rsidR="00387142" w:rsidRPr="008B6A75" w:rsidRDefault="00387142" w:rsidP="00387142">
            <w:pPr>
              <w:rPr>
                <w:bCs/>
                <w:sz w:val="20"/>
                <w:szCs w:val="20"/>
              </w:rPr>
            </w:pPr>
            <w:r w:rsidRPr="008B6A75">
              <w:rPr>
                <w:bCs/>
                <w:sz w:val="20"/>
                <w:szCs w:val="20"/>
              </w:rPr>
              <w:t xml:space="preserve">Реализация мероприятий по обеспечению сбалансированности местных </w:t>
            </w:r>
            <w:proofErr w:type="gramStart"/>
            <w:r w:rsidRPr="008B6A75">
              <w:rPr>
                <w:bCs/>
                <w:sz w:val="20"/>
                <w:szCs w:val="20"/>
              </w:rPr>
              <w:t>бюджетов  государственной</w:t>
            </w:r>
            <w:proofErr w:type="gramEnd"/>
            <w:r w:rsidRPr="008B6A75">
              <w:rPr>
                <w:bCs/>
                <w:sz w:val="20"/>
                <w:szCs w:val="20"/>
              </w:rPr>
              <w:t xml:space="preserve"> программы Новосибирской области "Управление  финансами в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14:paraId="322E46E5" w14:textId="77777777" w:rsidR="00387142" w:rsidRPr="008B6A75" w:rsidRDefault="00387142" w:rsidP="00387142">
            <w:pPr>
              <w:jc w:val="center"/>
              <w:rPr>
                <w:bCs/>
                <w:sz w:val="20"/>
                <w:szCs w:val="20"/>
              </w:rPr>
            </w:pPr>
            <w:r w:rsidRPr="008B6A75">
              <w:rPr>
                <w:bCs/>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4629044" w14:textId="77777777" w:rsidR="00387142" w:rsidRPr="008B6A75" w:rsidRDefault="00387142" w:rsidP="00387142">
            <w:pPr>
              <w:jc w:val="center"/>
              <w:rPr>
                <w:bCs/>
                <w:sz w:val="20"/>
                <w:szCs w:val="20"/>
              </w:rPr>
            </w:pPr>
            <w:r w:rsidRPr="008B6A75">
              <w:rPr>
                <w:bCs/>
                <w:sz w:val="20"/>
                <w:szCs w:val="20"/>
              </w:rPr>
              <w:t>03</w:t>
            </w:r>
          </w:p>
        </w:tc>
        <w:tc>
          <w:tcPr>
            <w:tcW w:w="1516" w:type="dxa"/>
            <w:tcBorders>
              <w:top w:val="nil"/>
              <w:left w:val="single" w:sz="4" w:space="0" w:color="auto"/>
              <w:bottom w:val="single" w:sz="4" w:space="0" w:color="auto"/>
              <w:right w:val="nil"/>
            </w:tcBorders>
            <w:shd w:val="clear" w:color="auto" w:fill="auto"/>
            <w:noWrap/>
            <w:vAlign w:val="center"/>
            <w:hideMark/>
          </w:tcPr>
          <w:p w14:paraId="444548B6" w14:textId="77777777" w:rsidR="00387142" w:rsidRPr="008B6A75" w:rsidRDefault="00387142" w:rsidP="00387142">
            <w:pPr>
              <w:jc w:val="center"/>
              <w:rPr>
                <w:bCs/>
                <w:sz w:val="20"/>
                <w:szCs w:val="20"/>
              </w:rPr>
            </w:pPr>
            <w:r w:rsidRPr="008B6A75">
              <w:rPr>
                <w:bCs/>
                <w:sz w:val="20"/>
                <w:szCs w:val="20"/>
              </w:rPr>
              <w:t>99.0.00.70510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10336F3"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35FD108" w14:textId="77777777" w:rsidR="00387142" w:rsidRPr="008B6A75" w:rsidRDefault="00387142" w:rsidP="00387142">
            <w:pPr>
              <w:jc w:val="right"/>
              <w:rPr>
                <w:bCs/>
                <w:sz w:val="20"/>
                <w:szCs w:val="20"/>
              </w:rPr>
            </w:pPr>
            <w:r w:rsidRPr="008B6A75">
              <w:rPr>
                <w:bCs/>
                <w:sz w:val="20"/>
                <w:szCs w:val="20"/>
              </w:rPr>
              <w:t>4 829 000,00</w:t>
            </w:r>
          </w:p>
        </w:tc>
        <w:tc>
          <w:tcPr>
            <w:tcW w:w="992" w:type="dxa"/>
            <w:tcBorders>
              <w:top w:val="nil"/>
              <w:left w:val="single" w:sz="4" w:space="0" w:color="auto"/>
              <w:bottom w:val="single" w:sz="4" w:space="0" w:color="auto"/>
              <w:right w:val="nil"/>
            </w:tcBorders>
            <w:shd w:val="clear" w:color="auto" w:fill="auto"/>
            <w:vAlign w:val="center"/>
            <w:hideMark/>
          </w:tcPr>
          <w:p w14:paraId="6DE3080E" w14:textId="77777777" w:rsidR="00387142" w:rsidRPr="008B6A75" w:rsidRDefault="00387142" w:rsidP="00387142">
            <w:pPr>
              <w:jc w:val="right"/>
              <w:rPr>
                <w:bCs/>
                <w:sz w:val="20"/>
                <w:szCs w:val="20"/>
              </w:rPr>
            </w:pPr>
            <w:r w:rsidRPr="008B6A75">
              <w:rPr>
                <w:bCs/>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39B8ED5C" w14:textId="77777777" w:rsidR="00387142" w:rsidRPr="008B6A75" w:rsidRDefault="00387142" w:rsidP="00387142">
            <w:pPr>
              <w:jc w:val="right"/>
              <w:rPr>
                <w:bCs/>
                <w:sz w:val="20"/>
                <w:szCs w:val="20"/>
              </w:rPr>
            </w:pPr>
            <w:r w:rsidRPr="008B6A75">
              <w:rPr>
                <w:bCs/>
                <w:sz w:val="20"/>
                <w:szCs w:val="20"/>
              </w:rPr>
              <w:t>0,00</w:t>
            </w:r>
          </w:p>
        </w:tc>
      </w:tr>
      <w:tr w:rsidR="00387142" w:rsidRPr="008B6A75" w14:paraId="382F6108" w14:textId="77777777" w:rsidTr="00387142">
        <w:trPr>
          <w:trHeight w:val="1440"/>
        </w:trPr>
        <w:tc>
          <w:tcPr>
            <w:tcW w:w="3261" w:type="dxa"/>
            <w:tcBorders>
              <w:top w:val="nil"/>
              <w:left w:val="single" w:sz="4" w:space="0" w:color="auto"/>
              <w:bottom w:val="single" w:sz="4" w:space="0" w:color="auto"/>
              <w:right w:val="nil"/>
            </w:tcBorders>
            <w:shd w:val="clear" w:color="auto" w:fill="auto"/>
            <w:vAlign w:val="center"/>
            <w:hideMark/>
          </w:tcPr>
          <w:p w14:paraId="11190AEF" w14:textId="77777777" w:rsidR="00387142" w:rsidRPr="008B6A75" w:rsidRDefault="00387142" w:rsidP="00387142">
            <w:pPr>
              <w:rPr>
                <w:sz w:val="20"/>
                <w:szCs w:val="20"/>
              </w:rPr>
            </w:pPr>
            <w:r w:rsidRPr="008B6A75">
              <w:rPr>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8B6A75">
              <w:rPr>
                <w:sz w:val="20"/>
                <w:szCs w:val="20"/>
              </w:rPr>
              <w:lastRenderedPageBreak/>
              <w:t>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14:paraId="08C52601" w14:textId="77777777" w:rsidR="00387142" w:rsidRPr="008B6A75" w:rsidRDefault="00387142" w:rsidP="00387142">
            <w:pPr>
              <w:jc w:val="center"/>
              <w:rPr>
                <w:sz w:val="20"/>
                <w:szCs w:val="20"/>
              </w:rPr>
            </w:pPr>
            <w:r w:rsidRPr="008B6A75">
              <w:rPr>
                <w:sz w:val="20"/>
                <w:szCs w:val="20"/>
              </w:rPr>
              <w:lastRenderedPageBreak/>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E4FAA2A" w14:textId="77777777" w:rsidR="00387142" w:rsidRPr="008B6A75" w:rsidRDefault="00387142" w:rsidP="00387142">
            <w:pPr>
              <w:jc w:val="center"/>
              <w:rPr>
                <w:sz w:val="20"/>
                <w:szCs w:val="20"/>
              </w:rPr>
            </w:pPr>
            <w:r w:rsidRPr="008B6A75">
              <w:rPr>
                <w:sz w:val="20"/>
                <w:szCs w:val="20"/>
              </w:rPr>
              <w:t>03</w:t>
            </w:r>
          </w:p>
        </w:tc>
        <w:tc>
          <w:tcPr>
            <w:tcW w:w="1516" w:type="dxa"/>
            <w:tcBorders>
              <w:top w:val="nil"/>
              <w:left w:val="single" w:sz="4" w:space="0" w:color="auto"/>
              <w:bottom w:val="single" w:sz="4" w:space="0" w:color="auto"/>
              <w:right w:val="nil"/>
            </w:tcBorders>
            <w:shd w:val="clear" w:color="auto" w:fill="auto"/>
            <w:noWrap/>
            <w:vAlign w:val="center"/>
            <w:hideMark/>
          </w:tcPr>
          <w:p w14:paraId="213FD0C5" w14:textId="77777777" w:rsidR="00387142" w:rsidRPr="008B6A75" w:rsidRDefault="00387142" w:rsidP="00387142">
            <w:pPr>
              <w:jc w:val="center"/>
              <w:rPr>
                <w:sz w:val="20"/>
                <w:szCs w:val="20"/>
              </w:rPr>
            </w:pPr>
            <w:r w:rsidRPr="008B6A75">
              <w:rPr>
                <w:sz w:val="20"/>
                <w:szCs w:val="20"/>
              </w:rPr>
              <w:t>99.0.00.70510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838E24B" w14:textId="77777777" w:rsidR="00387142" w:rsidRPr="008B6A75" w:rsidRDefault="00387142" w:rsidP="00387142">
            <w:pPr>
              <w:jc w:val="center"/>
              <w:rPr>
                <w:sz w:val="20"/>
                <w:szCs w:val="20"/>
              </w:rPr>
            </w:pPr>
            <w:r w:rsidRPr="008B6A75">
              <w:rPr>
                <w:sz w:val="20"/>
                <w:szCs w:val="20"/>
              </w:rPr>
              <w:t>100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94E3116" w14:textId="77777777" w:rsidR="00387142" w:rsidRPr="008B6A75" w:rsidRDefault="00387142" w:rsidP="00387142">
            <w:pPr>
              <w:jc w:val="right"/>
              <w:rPr>
                <w:sz w:val="20"/>
                <w:szCs w:val="20"/>
              </w:rPr>
            </w:pPr>
            <w:r w:rsidRPr="008B6A75">
              <w:rPr>
                <w:sz w:val="20"/>
                <w:szCs w:val="20"/>
              </w:rPr>
              <w:t>4 829 000,00</w:t>
            </w:r>
          </w:p>
        </w:tc>
        <w:tc>
          <w:tcPr>
            <w:tcW w:w="992" w:type="dxa"/>
            <w:tcBorders>
              <w:top w:val="nil"/>
              <w:left w:val="single" w:sz="4" w:space="0" w:color="auto"/>
              <w:bottom w:val="single" w:sz="4" w:space="0" w:color="auto"/>
              <w:right w:val="nil"/>
            </w:tcBorders>
            <w:shd w:val="clear" w:color="auto" w:fill="auto"/>
            <w:vAlign w:val="center"/>
            <w:hideMark/>
          </w:tcPr>
          <w:p w14:paraId="37BDEAAA" w14:textId="77777777" w:rsidR="00387142" w:rsidRPr="008B6A75" w:rsidRDefault="00387142" w:rsidP="00387142">
            <w:pPr>
              <w:jc w:val="right"/>
              <w:rPr>
                <w:sz w:val="20"/>
                <w:szCs w:val="20"/>
              </w:rPr>
            </w:pPr>
            <w:r w:rsidRPr="008B6A75">
              <w:rPr>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0BE05527" w14:textId="77777777" w:rsidR="00387142" w:rsidRPr="008B6A75" w:rsidRDefault="00387142" w:rsidP="00387142">
            <w:pPr>
              <w:jc w:val="right"/>
              <w:rPr>
                <w:sz w:val="20"/>
                <w:szCs w:val="20"/>
              </w:rPr>
            </w:pPr>
            <w:r w:rsidRPr="008B6A75">
              <w:rPr>
                <w:sz w:val="20"/>
                <w:szCs w:val="20"/>
              </w:rPr>
              <w:t>0,00</w:t>
            </w:r>
          </w:p>
        </w:tc>
      </w:tr>
      <w:tr w:rsidR="00387142" w:rsidRPr="008B6A75" w14:paraId="3BF0CE76" w14:textId="77777777" w:rsidTr="00387142">
        <w:trPr>
          <w:trHeight w:val="585"/>
        </w:trPr>
        <w:tc>
          <w:tcPr>
            <w:tcW w:w="3261" w:type="dxa"/>
            <w:tcBorders>
              <w:top w:val="nil"/>
              <w:left w:val="single" w:sz="4" w:space="0" w:color="auto"/>
              <w:bottom w:val="single" w:sz="4" w:space="0" w:color="auto"/>
              <w:right w:val="nil"/>
            </w:tcBorders>
            <w:shd w:val="clear" w:color="auto" w:fill="auto"/>
            <w:vAlign w:val="center"/>
            <w:hideMark/>
          </w:tcPr>
          <w:p w14:paraId="0CAA3BAA" w14:textId="77777777" w:rsidR="00387142" w:rsidRPr="008B6A75" w:rsidRDefault="00387142" w:rsidP="00387142">
            <w:pPr>
              <w:rPr>
                <w:sz w:val="20"/>
                <w:szCs w:val="20"/>
              </w:rPr>
            </w:pPr>
            <w:r w:rsidRPr="008B6A75">
              <w:rPr>
                <w:sz w:val="20"/>
                <w:szCs w:val="20"/>
              </w:rPr>
              <w:t>Расходы на выплаты персоналу казенных учреждений</w:t>
            </w:r>
          </w:p>
        </w:tc>
        <w:tc>
          <w:tcPr>
            <w:tcW w:w="720" w:type="dxa"/>
            <w:tcBorders>
              <w:top w:val="nil"/>
              <w:left w:val="single" w:sz="4" w:space="0" w:color="auto"/>
              <w:bottom w:val="single" w:sz="4" w:space="0" w:color="auto"/>
              <w:right w:val="nil"/>
            </w:tcBorders>
            <w:shd w:val="clear" w:color="auto" w:fill="auto"/>
            <w:noWrap/>
            <w:vAlign w:val="center"/>
            <w:hideMark/>
          </w:tcPr>
          <w:p w14:paraId="79BF8E5E" w14:textId="77777777" w:rsidR="00387142" w:rsidRPr="008B6A75" w:rsidRDefault="00387142" w:rsidP="00387142">
            <w:pPr>
              <w:jc w:val="center"/>
              <w:rPr>
                <w:sz w:val="20"/>
                <w:szCs w:val="20"/>
              </w:rPr>
            </w:pPr>
            <w:r w:rsidRPr="008B6A75">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4C5B365" w14:textId="77777777" w:rsidR="00387142" w:rsidRPr="008B6A75" w:rsidRDefault="00387142" w:rsidP="00387142">
            <w:pPr>
              <w:jc w:val="center"/>
              <w:rPr>
                <w:sz w:val="20"/>
                <w:szCs w:val="20"/>
              </w:rPr>
            </w:pPr>
            <w:r w:rsidRPr="008B6A75">
              <w:rPr>
                <w:sz w:val="20"/>
                <w:szCs w:val="20"/>
              </w:rPr>
              <w:t>03</w:t>
            </w:r>
          </w:p>
        </w:tc>
        <w:tc>
          <w:tcPr>
            <w:tcW w:w="1516" w:type="dxa"/>
            <w:tcBorders>
              <w:top w:val="nil"/>
              <w:left w:val="single" w:sz="4" w:space="0" w:color="auto"/>
              <w:bottom w:val="single" w:sz="4" w:space="0" w:color="auto"/>
              <w:right w:val="nil"/>
            </w:tcBorders>
            <w:shd w:val="clear" w:color="auto" w:fill="auto"/>
            <w:noWrap/>
            <w:vAlign w:val="center"/>
            <w:hideMark/>
          </w:tcPr>
          <w:p w14:paraId="6F7FFE48" w14:textId="77777777" w:rsidR="00387142" w:rsidRPr="008B6A75" w:rsidRDefault="00387142" w:rsidP="00387142">
            <w:pPr>
              <w:jc w:val="center"/>
              <w:rPr>
                <w:sz w:val="20"/>
                <w:szCs w:val="20"/>
              </w:rPr>
            </w:pPr>
            <w:r w:rsidRPr="008B6A75">
              <w:rPr>
                <w:sz w:val="20"/>
                <w:szCs w:val="20"/>
              </w:rPr>
              <w:t>99.0.00.70510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C4B1322" w14:textId="77777777" w:rsidR="00387142" w:rsidRPr="008B6A75" w:rsidRDefault="00387142" w:rsidP="00387142">
            <w:pPr>
              <w:jc w:val="center"/>
              <w:rPr>
                <w:sz w:val="20"/>
                <w:szCs w:val="20"/>
              </w:rPr>
            </w:pPr>
            <w:r w:rsidRPr="008B6A75">
              <w:rPr>
                <w:sz w:val="20"/>
                <w:szCs w:val="20"/>
              </w:rPr>
              <w:t>110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729C650" w14:textId="77777777" w:rsidR="00387142" w:rsidRPr="008B6A75" w:rsidRDefault="00387142" w:rsidP="00387142">
            <w:pPr>
              <w:jc w:val="right"/>
              <w:rPr>
                <w:sz w:val="20"/>
                <w:szCs w:val="20"/>
              </w:rPr>
            </w:pPr>
            <w:r w:rsidRPr="008B6A75">
              <w:rPr>
                <w:sz w:val="20"/>
                <w:szCs w:val="20"/>
              </w:rPr>
              <w:t>4 829 000,00</w:t>
            </w:r>
          </w:p>
        </w:tc>
        <w:tc>
          <w:tcPr>
            <w:tcW w:w="992" w:type="dxa"/>
            <w:tcBorders>
              <w:top w:val="nil"/>
              <w:left w:val="single" w:sz="4" w:space="0" w:color="auto"/>
              <w:bottom w:val="single" w:sz="4" w:space="0" w:color="auto"/>
              <w:right w:val="nil"/>
            </w:tcBorders>
            <w:shd w:val="clear" w:color="auto" w:fill="auto"/>
            <w:vAlign w:val="center"/>
            <w:hideMark/>
          </w:tcPr>
          <w:p w14:paraId="68A99F10" w14:textId="77777777" w:rsidR="00387142" w:rsidRPr="008B6A75" w:rsidRDefault="00387142" w:rsidP="00387142">
            <w:pPr>
              <w:jc w:val="right"/>
              <w:rPr>
                <w:sz w:val="20"/>
                <w:szCs w:val="20"/>
              </w:rPr>
            </w:pPr>
            <w:r w:rsidRPr="008B6A75">
              <w:rPr>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4E4804E6" w14:textId="77777777" w:rsidR="00387142" w:rsidRPr="008B6A75" w:rsidRDefault="00387142" w:rsidP="00387142">
            <w:pPr>
              <w:jc w:val="right"/>
              <w:rPr>
                <w:sz w:val="20"/>
                <w:szCs w:val="20"/>
              </w:rPr>
            </w:pPr>
            <w:r w:rsidRPr="008B6A75">
              <w:rPr>
                <w:sz w:val="20"/>
                <w:szCs w:val="20"/>
              </w:rPr>
              <w:t>0,00</w:t>
            </w:r>
          </w:p>
        </w:tc>
      </w:tr>
      <w:tr w:rsidR="00387142" w:rsidRPr="008B6A75" w14:paraId="5EDD5484" w14:textId="77777777" w:rsidTr="00387142">
        <w:trPr>
          <w:trHeight w:val="585"/>
        </w:trPr>
        <w:tc>
          <w:tcPr>
            <w:tcW w:w="3261" w:type="dxa"/>
            <w:tcBorders>
              <w:top w:val="nil"/>
              <w:left w:val="single" w:sz="4" w:space="0" w:color="auto"/>
              <w:bottom w:val="single" w:sz="4" w:space="0" w:color="auto"/>
              <w:right w:val="nil"/>
            </w:tcBorders>
            <w:shd w:val="clear" w:color="auto" w:fill="auto"/>
            <w:vAlign w:val="center"/>
            <w:hideMark/>
          </w:tcPr>
          <w:p w14:paraId="202D55B8" w14:textId="77777777" w:rsidR="00387142" w:rsidRPr="008B6A75" w:rsidRDefault="00387142" w:rsidP="00387142">
            <w:pPr>
              <w:rPr>
                <w:bCs/>
                <w:sz w:val="20"/>
                <w:szCs w:val="20"/>
              </w:rPr>
            </w:pPr>
            <w:r w:rsidRPr="008B6A75">
              <w:rPr>
                <w:bCs/>
                <w:sz w:val="20"/>
                <w:szCs w:val="20"/>
              </w:rPr>
              <w:t>Профессиональная подготовка, переподготовка и повышение квалификации</w:t>
            </w:r>
          </w:p>
        </w:tc>
        <w:tc>
          <w:tcPr>
            <w:tcW w:w="720" w:type="dxa"/>
            <w:tcBorders>
              <w:top w:val="nil"/>
              <w:left w:val="single" w:sz="4" w:space="0" w:color="auto"/>
              <w:bottom w:val="single" w:sz="4" w:space="0" w:color="auto"/>
              <w:right w:val="nil"/>
            </w:tcBorders>
            <w:shd w:val="clear" w:color="auto" w:fill="auto"/>
            <w:noWrap/>
            <w:vAlign w:val="center"/>
            <w:hideMark/>
          </w:tcPr>
          <w:p w14:paraId="063E26F3" w14:textId="77777777" w:rsidR="00387142" w:rsidRPr="008B6A75" w:rsidRDefault="00387142" w:rsidP="00387142">
            <w:pPr>
              <w:jc w:val="center"/>
              <w:rPr>
                <w:bCs/>
                <w:sz w:val="20"/>
                <w:szCs w:val="20"/>
              </w:rPr>
            </w:pPr>
            <w:r w:rsidRPr="008B6A75">
              <w:rPr>
                <w:bCs/>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968E71C" w14:textId="77777777" w:rsidR="00387142" w:rsidRPr="008B6A75" w:rsidRDefault="00387142" w:rsidP="00387142">
            <w:pPr>
              <w:jc w:val="center"/>
              <w:rPr>
                <w:bCs/>
                <w:sz w:val="20"/>
                <w:szCs w:val="20"/>
              </w:rPr>
            </w:pPr>
            <w:r w:rsidRPr="008B6A75">
              <w:rPr>
                <w:bCs/>
                <w:sz w:val="20"/>
                <w:szCs w:val="20"/>
              </w:rPr>
              <w:t>05</w:t>
            </w:r>
          </w:p>
        </w:tc>
        <w:tc>
          <w:tcPr>
            <w:tcW w:w="1516" w:type="dxa"/>
            <w:tcBorders>
              <w:top w:val="nil"/>
              <w:left w:val="single" w:sz="4" w:space="0" w:color="auto"/>
              <w:bottom w:val="single" w:sz="4" w:space="0" w:color="auto"/>
              <w:right w:val="nil"/>
            </w:tcBorders>
            <w:shd w:val="clear" w:color="auto" w:fill="auto"/>
            <w:noWrap/>
            <w:vAlign w:val="center"/>
            <w:hideMark/>
          </w:tcPr>
          <w:p w14:paraId="6876E4CD" w14:textId="77777777" w:rsidR="00387142" w:rsidRPr="008B6A75" w:rsidRDefault="00387142" w:rsidP="00387142">
            <w:pPr>
              <w:jc w:val="center"/>
              <w:rPr>
                <w:bCs/>
                <w:sz w:val="20"/>
                <w:szCs w:val="20"/>
              </w:rPr>
            </w:pPr>
            <w:r w:rsidRPr="008B6A75">
              <w:rPr>
                <w:bCs/>
                <w:sz w:val="20"/>
                <w:szCs w:val="20"/>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4347F30"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D0031CC" w14:textId="77777777" w:rsidR="00387142" w:rsidRPr="008B6A75" w:rsidRDefault="00387142" w:rsidP="00387142">
            <w:pPr>
              <w:jc w:val="right"/>
              <w:rPr>
                <w:bCs/>
                <w:sz w:val="20"/>
                <w:szCs w:val="20"/>
              </w:rPr>
            </w:pPr>
            <w:r w:rsidRPr="008B6A75">
              <w:rPr>
                <w:bCs/>
                <w:sz w:val="20"/>
                <w:szCs w:val="20"/>
              </w:rPr>
              <w:t>6 917 340,08</w:t>
            </w:r>
          </w:p>
        </w:tc>
        <w:tc>
          <w:tcPr>
            <w:tcW w:w="992" w:type="dxa"/>
            <w:tcBorders>
              <w:top w:val="nil"/>
              <w:left w:val="single" w:sz="4" w:space="0" w:color="auto"/>
              <w:bottom w:val="single" w:sz="4" w:space="0" w:color="auto"/>
              <w:right w:val="nil"/>
            </w:tcBorders>
            <w:shd w:val="clear" w:color="auto" w:fill="auto"/>
            <w:vAlign w:val="center"/>
            <w:hideMark/>
          </w:tcPr>
          <w:p w14:paraId="6B834562" w14:textId="77777777" w:rsidR="00387142" w:rsidRPr="008B6A75" w:rsidRDefault="00387142" w:rsidP="00387142">
            <w:pPr>
              <w:jc w:val="right"/>
              <w:rPr>
                <w:bCs/>
                <w:sz w:val="20"/>
                <w:szCs w:val="20"/>
              </w:rPr>
            </w:pPr>
            <w:r w:rsidRPr="008B6A75">
              <w:rPr>
                <w:bCs/>
                <w:sz w:val="20"/>
                <w:szCs w:val="20"/>
              </w:rPr>
              <w:t>5 240 000,00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2609BE7C" w14:textId="77777777" w:rsidR="00387142" w:rsidRPr="008B6A75" w:rsidRDefault="00387142" w:rsidP="00387142">
            <w:pPr>
              <w:jc w:val="right"/>
              <w:rPr>
                <w:bCs/>
                <w:sz w:val="20"/>
                <w:szCs w:val="20"/>
              </w:rPr>
            </w:pPr>
            <w:r w:rsidRPr="008B6A75">
              <w:rPr>
                <w:bCs/>
                <w:sz w:val="20"/>
                <w:szCs w:val="20"/>
              </w:rPr>
              <w:t>5 240 000,00</w:t>
            </w:r>
          </w:p>
        </w:tc>
      </w:tr>
      <w:tr w:rsidR="00387142" w:rsidRPr="008B6A75" w14:paraId="30D3E24B" w14:textId="77777777" w:rsidTr="00387142">
        <w:trPr>
          <w:trHeight w:val="585"/>
        </w:trPr>
        <w:tc>
          <w:tcPr>
            <w:tcW w:w="3261" w:type="dxa"/>
            <w:tcBorders>
              <w:top w:val="nil"/>
              <w:left w:val="single" w:sz="4" w:space="0" w:color="auto"/>
              <w:bottom w:val="single" w:sz="4" w:space="0" w:color="auto"/>
              <w:right w:val="nil"/>
            </w:tcBorders>
            <w:shd w:val="clear" w:color="auto" w:fill="auto"/>
            <w:vAlign w:val="center"/>
            <w:hideMark/>
          </w:tcPr>
          <w:p w14:paraId="6C003201" w14:textId="77777777" w:rsidR="00387142" w:rsidRPr="008B6A75" w:rsidRDefault="00387142" w:rsidP="00387142">
            <w:pPr>
              <w:rPr>
                <w:bCs/>
                <w:sz w:val="20"/>
                <w:szCs w:val="20"/>
              </w:rPr>
            </w:pPr>
            <w:r w:rsidRPr="008B6A75">
              <w:rPr>
                <w:bCs/>
                <w:sz w:val="20"/>
                <w:szCs w:val="20"/>
              </w:rPr>
              <w:t>Муниципальная программа "Развитие системы образования Куйбышевского района"</w:t>
            </w:r>
          </w:p>
        </w:tc>
        <w:tc>
          <w:tcPr>
            <w:tcW w:w="720" w:type="dxa"/>
            <w:tcBorders>
              <w:top w:val="nil"/>
              <w:left w:val="single" w:sz="4" w:space="0" w:color="auto"/>
              <w:bottom w:val="single" w:sz="4" w:space="0" w:color="auto"/>
              <w:right w:val="nil"/>
            </w:tcBorders>
            <w:shd w:val="clear" w:color="auto" w:fill="auto"/>
            <w:noWrap/>
            <w:vAlign w:val="center"/>
            <w:hideMark/>
          </w:tcPr>
          <w:p w14:paraId="5E8B3956" w14:textId="77777777" w:rsidR="00387142" w:rsidRPr="008B6A75" w:rsidRDefault="00387142" w:rsidP="00387142">
            <w:pPr>
              <w:jc w:val="center"/>
              <w:rPr>
                <w:bCs/>
                <w:sz w:val="20"/>
                <w:szCs w:val="20"/>
              </w:rPr>
            </w:pPr>
            <w:r w:rsidRPr="008B6A75">
              <w:rPr>
                <w:bCs/>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E238484" w14:textId="77777777" w:rsidR="00387142" w:rsidRPr="008B6A75" w:rsidRDefault="00387142" w:rsidP="00387142">
            <w:pPr>
              <w:jc w:val="center"/>
              <w:rPr>
                <w:bCs/>
                <w:sz w:val="20"/>
                <w:szCs w:val="20"/>
              </w:rPr>
            </w:pPr>
            <w:r w:rsidRPr="008B6A75">
              <w:rPr>
                <w:bCs/>
                <w:sz w:val="20"/>
                <w:szCs w:val="20"/>
              </w:rPr>
              <w:t>05</w:t>
            </w:r>
          </w:p>
        </w:tc>
        <w:tc>
          <w:tcPr>
            <w:tcW w:w="1516" w:type="dxa"/>
            <w:tcBorders>
              <w:top w:val="nil"/>
              <w:left w:val="single" w:sz="4" w:space="0" w:color="auto"/>
              <w:bottom w:val="single" w:sz="4" w:space="0" w:color="auto"/>
              <w:right w:val="nil"/>
            </w:tcBorders>
            <w:shd w:val="clear" w:color="auto" w:fill="auto"/>
            <w:noWrap/>
            <w:vAlign w:val="center"/>
            <w:hideMark/>
          </w:tcPr>
          <w:p w14:paraId="539F817C" w14:textId="77777777" w:rsidR="00387142" w:rsidRPr="008B6A75" w:rsidRDefault="00387142" w:rsidP="00387142">
            <w:pPr>
              <w:jc w:val="center"/>
              <w:rPr>
                <w:bCs/>
                <w:sz w:val="20"/>
                <w:szCs w:val="20"/>
              </w:rPr>
            </w:pPr>
            <w:r w:rsidRPr="008B6A75">
              <w:rPr>
                <w:bCs/>
                <w:sz w:val="20"/>
                <w:szCs w:val="20"/>
              </w:rPr>
              <w:t>07.0.00.00000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9376178"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CA2EFE4" w14:textId="77777777" w:rsidR="00387142" w:rsidRPr="008B6A75" w:rsidRDefault="00387142" w:rsidP="00387142">
            <w:pPr>
              <w:jc w:val="right"/>
              <w:rPr>
                <w:bCs/>
                <w:sz w:val="20"/>
                <w:szCs w:val="20"/>
              </w:rPr>
            </w:pPr>
            <w:r w:rsidRPr="008B6A75">
              <w:rPr>
                <w:bCs/>
                <w:sz w:val="20"/>
                <w:szCs w:val="20"/>
              </w:rPr>
              <w:t>6 917 340,08</w:t>
            </w:r>
          </w:p>
        </w:tc>
        <w:tc>
          <w:tcPr>
            <w:tcW w:w="992" w:type="dxa"/>
            <w:tcBorders>
              <w:top w:val="nil"/>
              <w:left w:val="single" w:sz="4" w:space="0" w:color="auto"/>
              <w:bottom w:val="single" w:sz="4" w:space="0" w:color="auto"/>
              <w:right w:val="nil"/>
            </w:tcBorders>
            <w:shd w:val="clear" w:color="auto" w:fill="auto"/>
            <w:vAlign w:val="center"/>
            <w:hideMark/>
          </w:tcPr>
          <w:p w14:paraId="21D9D99E" w14:textId="77777777" w:rsidR="00387142" w:rsidRPr="008B6A75" w:rsidRDefault="00387142" w:rsidP="00387142">
            <w:pPr>
              <w:jc w:val="right"/>
              <w:rPr>
                <w:bCs/>
                <w:sz w:val="20"/>
                <w:szCs w:val="20"/>
              </w:rPr>
            </w:pPr>
            <w:r w:rsidRPr="008B6A75">
              <w:rPr>
                <w:bCs/>
                <w:sz w:val="20"/>
                <w:szCs w:val="20"/>
              </w:rPr>
              <w:t>5 240 000,00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3D7E496E" w14:textId="77777777" w:rsidR="00387142" w:rsidRPr="008B6A75" w:rsidRDefault="00387142" w:rsidP="00387142">
            <w:pPr>
              <w:jc w:val="right"/>
              <w:rPr>
                <w:bCs/>
                <w:sz w:val="20"/>
                <w:szCs w:val="20"/>
              </w:rPr>
            </w:pPr>
            <w:r w:rsidRPr="008B6A75">
              <w:rPr>
                <w:bCs/>
                <w:sz w:val="20"/>
                <w:szCs w:val="20"/>
              </w:rPr>
              <w:t>5 240 000,00</w:t>
            </w:r>
          </w:p>
        </w:tc>
      </w:tr>
      <w:tr w:rsidR="00387142" w:rsidRPr="008B6A75" w14:paraId="76E4C250" w14:textId="77777777" w:rsidTr="00387142">
        <w:trPr>
          <w:trHeight w:val="585"/>
        </w:trPr>
        <w:tc>
          <w:tcPr>
            <w:tcW w:w="3261" w:type="dxa"/>
            <w:tcBorders>
              <w:top w:val="nil"/>
              <w:left w:val="single" w:sz="4" w:space="0" w:color="auto"/>
              <w:bottom w:val="single" w:sz="4" w:space="0" w:color="auto"/>
              <w:right w:val="nil"/>
            </w:tcBorders>
            <w:shd w:val="clear" w:color="auto" w:fill="auto"/>
            <w:vAlign w:val="center"/>
            <w:hideMark/>
          </w:tcPr>
          <w:p w14:paraId="4B9D2F36" w14:textId="77777777" w:rsidR="00387142" w:rsidRPr="008B6A75" w:rsidRDefault="00387142" w:rsidP="00387142">
            <w:pPr>
              <w:rPr>
                <w:bCs/>
                <w:sz w:val="20"/>
                <w:szCs w:val="20"/>
              </w:rPr>
            </w:pPr>
            <w:r w:rsidRPr="008B6A75">
              <w:rPr>
                <w:bCs/>
                <w:sz w:val="20"/>
                <w:szCs w:val="20"/>
              </w:rPr>
              <w:t>Подпрограмма "Развитие дошкольного, общего и дополнительного образования детей"</w:t>
            </w:r>
          </w:p>
        </w:tc>
        <w:tc>
          <w:tcPr>
            <w:tcW w:w="720" w:type="dxa"/>
            <w:tcBorders>
              <w:top w:val="nil"/>
              <w:left w:val="single" w:sz="4" w:space="0" w:color="auto"/>
              <w:bottom w:val="single" w:sz="4" w:space="0" w:color="auto"/>
              <w:right w:val="nil"/>
            </w:tcBorders>
            <w:shd w:val="clear" w:color="auto" w:fill="auto"/>
            <w:noWrap/>
            <w:vAlign w:val="center"/>
            <w:hideMark/>
          </w:tcPr>
          <w:p w14:paraId="68290DE5" w14:textId="77777777" w:rsidR="00387142" w:rsidRPr="008B6A75" w:rsidRDefault="00387142" w:rsidP="00387142">
            <w:pPr>
              <w:jc w:val="center"/>
              <w:rPr>
                <w:bCs/>
                <w:sz w:val="20"/>
                <w:szCs w:val="20"/>
              </w:rPr>
            </w:pPr>
            <w:r w:rsidRPr="008B6A75">
              <w:rPr>
                <w:bCs/>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A06FDE2" w14:textId="77777777" w:rsidR="00387142" w:rsidRPr="008B6A75" w:rsidRDefault="00387142" w:rsidP="00387142">
            <w:pPr>
              <w:jc w:val="center"/>
              <w:rPr>
                <w:bCs/>
                <w:sz w:val="20"/>
                <w:szCs w:val="20"/>
              </w:rPr>
            </w:pPr>
            <w:r w:rsidRPr="008B6A75">
              <w:rPr>
                <w:bCs/>
                <w:sz w:val="20"/>
                <w:szCs w:val="20"/>
              </w:rPr>
              <w:t>05</w:t>
            </w:r>
          </w:p>
        </w:tc>
        <w:tc>
          <w:tcPr>
            <w:tcW w:w="1516" w:type="dxa"/>
            <w:tcBorders>
              <w:top w:val="nil"/>
              <w:left w:val="single" w:sz="4" w:space="0" w:color="auto"/>
              <w:bottom w:val="single" w:sz="4" w:space="0" w:color="auto"/>
              <w:right w:val="nil"/>
            </w:tcBorders>
            <w:shd w:val="clear" w:color="auto" w:fill="auto"/>
            <w:noWrap/>
            <w:vAlign w:val="center"/>
            <w:hideMark/>
          </w:tcPr>
          <w:p w14:paraId="49468BF6" w14:textId="77777777" w:rsidR="00387142" w:rsidRPr="008B6A75" w:rsidRDefault="00387142" w:rsidP="00387142">
            <w:pPr>
              <w:jc w:val="center"/>
              <w:rPr>
                <w:bCs/>
                <w:sz w:val="20"/>
                <w:szCs w:val="20"/>
              </w:rPr>
            </w:pPr>
            <w:r w:rsidRPr="008B6A75">
              <w:rPr>
                <w:bCs/>
                <w:sz w:val="20"/>
                <w:szCs w:val="20"/>
              </w:rPr>
              <w:t>07.1.00.00000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274336F"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EE605B6" w14:textId="77777777" w:rsidR="00387142" w:rsidRPr="008B6A75" w:rsidRDefault="00387142" w:rsidP="00387142">
            <w:pPr>
              <w:jc w:val="right"/>
              <w:rPr>
                <w:bCs/>
                <w:sz w:val="20"/>
                <w:szCs w:val="20"/>
              </w:rPr>
            </w:pPr>
            <w:r w:rsidRPr="008B6A75">
              <w:rPr>
                <w:bCs/>
                <w:sz w:val="20"/>
                <w:szCs w:val="20"/>
              </w:rPr>
              <w:t>6 196 360,08</w:t>
            </w:r>
          </w:p>
        </w:tc>
        <w:tc>
          <w:tcPr>
            <w:tcW w:w="992" w:type="dxa"/>
            <w:tcBorders>
              <w:top w:val="nil"/>
              <w:left w:val="single" w:sz="4" w:space="0" w:color="auto"/>
              <w:bottom w:val="single" w:sz="4" w:space="0" w:color="auto"/>
              <w:right w:val="nil"/>
            </w:tcBorders>
            <w:shd w:val="clear" w:color="auto" w:fill="auto"/>
            <w:vAlign w:val="center"/>
            <w:hideMark/>
          </w:tcPr>
          <w:p w14:paraId="4975EF88" w14:textId="77777777" w:rsidR="00387142" w:rsidRPr="008B6A75" w:rsidRDefault="00387142" w:rsidP="00387142">
            <w:pPr>
              <w:jc w:val="right"/>
              <w:rPr>
                <w:bCs/>
                <w:sz w:val="20"/>
                <w:szCs w:val="20"/>
              </w:rPr>
            </w:pPr>
            <w:r w:rsidRPr="008B6A75">
              <w:rPr>
                <w:bCs/>
                <w:sz w:val="20"/>
                <w:szCs w:val="20"/>
              </w:rPr>
              <w:t>5 240 000,00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4C731B22" w14:textId="77777777" w:rsidR="00387142" w:rsidRPr="008B6A75" w:rsidRDefault="00387142" w:rsidP="00387142">
            <w:pPr>
              <w:jc w:val="right"/>
              <w:rPr>
                <w:bCs/>
                <w:sz w:val="20"/>
                <w:szCs w:val="20"/>
              </w:rPr>
            </w:pPr>
            <w:r w:rsidRPr="008B6A75">
              <w:rPr>
                <w:bCs/>
                <w:sz w:val="20"/>
                <w:szCs w:val="20"/>
              </w:rPr>
              <w:t>5 240 000,00</w:t>
            </w:r>
          </w:p>
        </w:tc>
      </w:tr>
      <w:tr w:rsidR="00387142" w:rsidRPr="008B6A75" w14:paraId="7C97D38B" w14:textId="77777777" w:rsidTr="00387142">
        <w:trPr>
          <w:trHeight w:val="1155"/>
        </w:trPr>
        <w:tc>
          <w:tcPr>
            <w:tcW w:w="3261" w:type="dxa"/>
            <w:tcBorders>
              <w:top w:val="nil"/>
              <w:left w:val="single" w:sz="4" w:space="0" w:color="auto"/>
              <w:bottom w:val="single" w:sz="4" w:space="0" w:color="auto"/>
              <w:right w:val="nil"/>
            </w:tcBorders>
            <w:shd w:val="clear" w:color="auto" w:fill="auto"/>
            <w:vAlign w:val="center"/>
            <w:hideMark/>
          </w:tcPr>
          <w:p w14:paraId="40FF6488" w14:textId="77777777" w:rsidR="00387142" w:rsidRPr="008B6A75" w:rsidRDefault="00387142" w:rsidP="00387142">
            <w:pPr>
              <w:rPr>
                <w:bCs/>
                <w:sz w:val="20"/>
                <w:szCs w:val="20"/>
              </w:rPr>
            </w:pPr>
            <w:r w:rsidRPr="008B6A75">
              <w:rPr>
                <w:bCs/>
                <w:sz w:val="20"/>
                <w:szCs w:val="20"/>
              </w:rPr>
              <w:t>Расходы на обеспечение деятельности (оказание услуг) муниципальных учреждений, обеспечивающие предоставление услуг в сфере образования</w:t>
            </w:r>
          </w:p>
        </w:tc>
        <w:tc>
          <w:tcPr>
            <w:tcW w:w="720" w:type="dxa"/>
            <w:tcBorders>
              <w:top w:val="nil"/>
              <w:left w:val="single" w:sz="4" w:space="0" w:color="auto"/>
              <w:bottom w:val="single" w:sz="4" w:space="0" w:color="auto"/>
              <w:right w:val="nil"/>
            </w:tcBorders>
            <w:shd w:val="clear" w:color="auto" w:fill="auto"/>
            <w:noWrap/>
            <w:vAlign w:val="center"/>
            <w:hideMark/>
          </w:tcPr>
          <w:p w14:paraId="20C09DC9" w14:textId="77777777" w:rsidR="00387142" w:rsidRPr="008B6A75" w:rsidRDefault="00387142" w:rsidP="00387142">
            <w:pPr>
              <w:jc w:val="center"/>
              <w:rPr>
                <w:bCs/>
                <w:sz w:val="20"/>
                <w:szCs w:val="20"/>
              </w:rPr>
            </w:pPr>
            <w:r w:rsidRPr="008B6A75">
              <w:rPr>
                <w:bCs/>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871DC79" w14:textId="77777777" w:rsidR="00387142" w:rsidRPr="008B6A75" w:rsidRDefault="00387142" w:rsidP="00387142">
            <w:pPr>
              <w:jc w:val="center"/>
              <w:rPr>
                <w:bCs/>
                <w:sz w:val="20"/>
                <w:szCs w:val="20"/>
              </w:rPr>
            </w:pPr>
            <w:r w:rsidRPr="008B6A75">
              <w:rPr>
                <w:bCs/>
                <w:sz w:val="20"/>
                <w:szCs w:val="20"/>
              </w:rPr>
              <w:t>05</w:t>
            </w:r>
          </w:p>
        </w:tc>
        <w:tc>
          <w:tcPr>
            <w:tcW w:w="1516" w:type="dxa"/>
            <w:tcBorders>
              <w:top w:val="nil"/>
              <w:left w:val="single" w:sz="4" w:space="0" w:color="auto"/>
              <w:bottom w:val="single" w:sz="4" w:space="0" w:color="auto"/>
              <w:right w:val="nil"/>
            </w:tcBorders>
            <w:shd w:val="clear" w:color="auto" w:fill="auto"/>
            <w:noWrap/>
            <w:vAlign w:val="center"/>
            <w:hideMark/>
          </w:tcPr>
          <w:p w14:paraId="6323C720" w14:textId="77777777" w:rsidR="00387142" w:rsidRPr="008B6A75" w:rsidRDefault="00387142" w:rsidP="00387142">
            <w:pPr>
              <w:jc w:val="center"/>
              <w:rPr>
                <w:bCs/>
                <w:sz w:val="20"/>
                <w:szCs w:val="20"/>
              </w:rPr>
            </w:pPr>
            <w:r w:rsidRPr="008B6A75">
              <w:rPr>
                <w:bCs/>
                <w:sz w:val="20"/>
                <w:szCs w:val="20"/>
              </w:rPr>
              <w:t>07.1.00.07790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E9B072A"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C6ECFB7" w14:textId="77777777" w:rsidR="00387142" w:rsidRPr="008B6A75" w:rsidRDefault="00387142" w:rsidP="00387142">
            <w:pPr>
              <w:jc w:val="right"/>
              <w:rPr>
                <w:bCs/>
                <w:sz w:val="20"/>
                <w:szCs w:val="20"/>
              </w:rPr>
            </w:pPr>
            <w:r w:rsidRPr="008B6A75">
              <w:rPr>
                <w:bCs/>
                <w:sz w:val="20"/>
                <w:szCs w:val="20"/>
              </w:rPr>
              <w:t>5 238 311,08</w:t>
            </w:r>
          </w:p>
        </w:tc>
        <w:tc>
          <w:tcPr>
            <w:tcW w:w="992" w:type="dxa"/>
            <w:tcBorders>
              <w:top w:val="nil"/>
              <w:left w:val="single" w:sz="4" w:space="0" w:color="auto"/>
              <w:bottom w:val="single" w:sz="4" w:space="0" w:color="auto"/>
              <w:right w:val="nil"/>
            </w:tcBorders>
            <w:shd w:val="clear" w:color="auto" w:fill="auto"/>
            <w:vAlign w:val="center"/>
            <w:hideMark/>
          </w:tcPr>
          <w:p w14:paraId="52238A41" w14:textId="77777777" w:rsidR="00387142" w:rsidRPr="008B6A75" w:rsidRDefault="00387142" w:rsidP="00387142">
            <w:pPr>
              <w:jc w:val="right"/>
              <w:rPr>
                <w:bCs/>
                <w:sz w:val="20"/>
                <w:szCs w:val="20"/>
              </w:rPr>
            </w:pPr>
            <w:r w:rsidRPr="008B6A75">
              <w:rPr>
                <w:bCs/>
                <w:sz w:val="20"/>
                <w:szCs w:val="20"/>
              </w:rPr>
              <w:t>5 240 000,00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387BB33C" w14:textId="77777777" w:rsidR="00387142" w:rsidRPr="008B6A75" w:rsidRDefault="00387142" w:rsidP="00387142">
            <w:pPr>
              <w:jc w:val="right"/>
              <w:rPr>
                <w:bCs/>
                <w:sz w:val="20"/>
                <w:szCs w:val="20"/>
              </w:rPr>
            </w:pPr>
            <w:r w:rsidRPr="008B6A75">
              <w:rPr>
                <w:bCs/>
                <w:sz w:val="20"/>
                <w:szCs w:val="20"/>
              </w:rPr>
              <w:t>5 240 000,00</w:t>
            </w:r>
          </w:p>
        </w:tc>
      </w:tr>
      <w:tr w:rsidR="00387142" w:rsidRPr="008B6A75" w14:paraId="61C4F5C0" w14:textId="77777777" w:rsidTr="00387142">
        <w:trPr>
          <w:trHeight w:val="1440"/>
        </w:trPr>
        <w:tc>
          <w:tcPr>
            <w:tcW w:w="3261" w:type="dxa"/>
            <w:tcBorders>
              <w:top w:val="nil"/>
              <w:left w:val="single" w:sz="4" w:space="0" w:color="auto"/>
              <w:bottom w:val="single" w:sz="4" w:space="0" w:color="auto"/>
              <w:right w:val="nil"/>
            </w:tcBorders>
            <w:shd w:val="clear" w:color="auto" w:fill="auto"/>
            <w:vAlign w:val="center"/>
            <w:hideMark/>
          </w:tcPr>
          <w:p w14:paraId="679B7806" w14:textId="77777777" w:rsidR="00387142" w:rsidRPr="008B6A75" w:rsidRDefault="00387142" w:rsidP="00387142">
            <w:pPr>
              <w:rPr>
                <w:sz w:val="20"/>
                <w:szCs w:val="20"/>
              </w:rPr>
            </w:pPr>
            <w:r w:rsidRPr="008B6A7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14:paraId="52587A2F" w14:textId="77777777" w:rsidR="00387142" w:rsidRPr="008B6A75" w:rsidRDefault="00387142" w:rsidP="00387142">
            <w:pPr>
              <w:jc w:val="center"/>
              <w:rPr>
                <w:sz w:val="20"/>
                <w:szCs w:val="20"/>
              </w:rPr>
            </w:pPr>
            <w:r w:rsidRPr="008B6A75">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7544E84" w14:textId="77777777" w:rsidR="00387142" w:rsidRPr="008B6A75" w:rsidRDefault="00387142" w:rsidP="00387142">
            <w:pPr>
              <w:jc w:val="center"/>
              <w:rPr>
                <w:sz w:val="20"/>
                <w:szCs w:val="20"/>
              </w:rPr>
            </w:pPr>
            <w:r w:rsidRPr="008B6A75">
              <w:rPr>
                <w:sz w:val="20"/>
                <w:szCs w:val="20"/>
              </w:rPr>
              <w:t>05</w:t>
            </w:r>
          </w:p>
        </w:tc>
        <w:tc>
          <w:tcPr>
            <w:tcW w:w="1516" w:type="dxa"/>
            <w:tcBorders>
              <w:top w:val="nil"/>
              <w:left w:val="single" w:sz="4" w:space="0" w:color="auto"/>
              <w:bottom w:val="single" w:sz="4" w:space="0" w:color="auto"/>
              <w:right w:val="nil"/>
            </w:tcBorders>
            <w:shd w:val="clear" w:color="auto" w:fill="auto"/>
            <w:noWrap/>
            <w:vAlign w:val="center"/>
            <w:hideMark/>
          </w:tcPr>
          <w:p w14:paraId="6854F7F1" w14:textId="77777777" w:rsidR="00387142" w:rsidRPr="008B6A75" w:rsidRDefault="00387142" w:rsidP="00387142">
            <w:pPr>
              <w:jc w:val="center"/>
              <w:rPr>
                <w:sz w:val="20"/>
                <w:szCs w:val="20"/>
              </w:rPr>
            </w:pPr>
            <w:r w:rsidRPr="008B6A75">
              <w:rPr>
                <w:sz w:val="20"/>
                <w:szCs w:val="20"/>
              </w:rPr>
              <w:t>07.1.00.07790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EB8B829" w14:textId="77777777" w:rsidR="00387142" w:rsidRPr="008B6A75" w:rsidRDefault="00387142" w:rsidP="00387142">
            <w:pPr>
              <w:jc w:val="center"/>
              <w:rPr>
                <w:sz w:val="20"/>
                <w:szCs w:val="20"/>
              </w:rPr>
            </w:pPr>
            <w:r w:rsidRPr="008B6A75">
              <w:rPr>
                <w:sz w:val="20"/>
                <w:szCs w:val="20"/>
              </w:rPr>
              <w:t>100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F7DCE0B" w14:textId="77777777" w:rsidR="00387142" w:rsidRPr="008B6A75" w:rsidRDefault="00387142" w:rsidP="00387142">
            <w:pPr>
              <w:jc w:val="right"/>
              <w:rPr>
                <w:sz w:val="20"/>
                <w:szCs w:val="20"/>
              </w:rPr>
            </w:pPr>
            <w:r w:rsidRPr="008B6A75">
              <w:rPr>
                <w:sz w:val="20"/>
                <w:szCs w:val="20"/>
              </w:rPr>
              <w:t>4 730 869,08</w:t>
            </w:r>
          </w:p>
        </w:tc>
        <w:tc>
          <w:tcPr>
            <w:tcW w:w="992" w:type="dxa"/>
            <w:tcBorders>
              <w:top w:val="nil"/>
              <w:left w:val="single" w:sz="4" w:space="0" w:color="auto"/>
              <w:bottom w:val="single" w:sz="4" w:space="0" w:color="auto"/>
              <w:right w:val="nil"/>
            </w:tcBorders>
            <w:shd w:val="clear" w:color="auto" w:fill="auto"/>
            <w:vAlign w:val="center"/>
            <w:hideMark/>
          </w:tcPr>
          <w:p w14:paraId="08564AF9" w14:textId="77777777" w:rsidR="00387142" w:rsidRPr="008B6A75" w:rsidRDefault="00387142" w:rsidP="00387142">
            <w:pPr>
              <w:jc w:val="right"/>
              <w:rPr>
                <w:sz w:val="20"/>
                <w:szCs w:val="20"/>
              </w:rPr>
            </w:pPr>
            <w:r w:rsidRPr="008B6A75">
              <w:rPr>
                <w:sz w:val="20"/>
                <w:szCs w:val="20"/>
              </w:rPr>
              <w:t>5 000 000,00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7186F72A" w14:textId="77777777" w:rsidR="00387142" w:rsidRPr="008B6A75" w:rsidRDefault="00387142" w:rsidP="00387142">
            <w:pPr>
              <w:jc w:val="right"/>
              <w:rPr>
                <w:sz w:val="20"/>
                <w:szCs w:val="20"/>
              </w:rPr>
            </w:pPr>
            <w:r w:rsidRPr="008B6A75">
              <w:rPr>
                <w:sz w:val="20"/>
                <w:szCs w:val="20"/>
              </w:rPr>
              <w:t>5 000 000,00</w:t>
            </w:r>
          </w:p>
        </w:tc>
      </w:tr>
      <w:tr w:rsidR="00387142" w:rsidRPr="008B6A75" w14:paraId="10464E26" w14:textId="77777777" w:rsidTr="00387142">
        <w:trPr>
          <w:trHeight w:val="585"/>
        </w:trPr>
        <w:tc>
          <w:tcPr>
            <w:tcW w:w="3261" w:type="dxa"/>
            <w:tcBorders>
              <w:top w:val="nil"/>
              <w:left w:val="single" w:sz="4" w:space="0" w:color="auto"/>
              <w:bottom w:val="single" w:sz="4" w:space="0" w:color="auto"/>
              <w:right w:val="nil"/>
            </w:tcBorders>
            <w:shd w:val="clear" w:color="auto" w:fill="auto"/>
            <w:vAlign w:val="center"/>
            <w:hideMark/>
          </w:tcPr>
          <w:p w14:paraId="5C14AB61" w14:textId="77777777" w:rsidR="00387142" w:rsidRPr="008B6A75" w:rsidRDefault="00387142" w:rsidP="00387142">
            <w:pPr>
              <w:rPr>
                <w:sz w:val="20"/>
                <w:szCs w:val="20"/>
              </w:rPr>
            </w:pPr>
            <w:r w:rsidRPr="008B6A75">
              <w:rPr>
                <w:sz w:val="20"/>
                <w:szCs w:val="20"/>
              </w:rPr>
              <w:t>Расходы на выплаты персоналу казенных учреждений</w:t>
            </w:r>
          </w:p>
        </w:tc>
        <w:tc>
          <w:tcPr>
            <w:tcW w:w="720" w:type="dxa"/>
            <w:tcBorders>
              <w:top w:val="nil"/>
              <w:left w:val="single" w:sz="4" w:space="0" w:color="auto"/>
              <w:bottom w:val="single" w:sz="4" w:space="0" w:color="auto"/>
              <w:right w:val="nil"/>
            </w:tcBorders>
            <w:shd w:val="clear" w:color="auto" w:fill="auto"/>
            <w:noWrap/>
            <w:vAlign w:val="center"/>
            <w:hideMark/>
          </w:tcPr>
          <w:p w14:paraId="1FFF7FE8" w14:textId="77777777" w:rsidR="00387142" w:rsidRPr="008B6A75" w:rsidRDefault="00387142" w:rsidP="00387142">
            <w:pPr>
              <w:jc w:val="center"/>
              <w:rPr>
                <w:sz w:val="20"/>
                <w:szCs w:val="20"/>
              </w:rPr>
            </w:pPr>
            <w:r w:rsidRPr="008B6A75">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7DAAEB1" w14:textId="77777777" w:rsidR="00387142" w:rsidRPr="008B6A75" w:rsidRDefault="00387142" w:rsidP="00387142">
            <w:pPr>
              <w:jc w:val="center"/>
              <w:rPr>
                <w:sz w:val="20"/>
                <w:szCs w:val="20"/>
              </w:rPr>
            </w:pPr>
            <w:r w:rsidRPr="008B6A75">
              <w:rPr>
                <w:sz w:val="20"/>
                <w:szCs w:val="20"/>
              </w:rPr>
              <w:t>05</w:t>
            </w:r>
          </w:p>
        </w:tc>
        <w:tc>
          <w:tcPr>
            <w:tcW w:w="1516" w:type="dxa"/>
            <w:tcBorders>
              <w:top w:val="nil"/>
              <w:left w:val="single" w:sz="4" w:space="0" w:color="auto"/>
              <w:bottom w:val="single" w:sz="4" w:space="0" w:color="auto"/>
              <w:right w:val="nil"/>
            </w:tcBorders>
            <w:shd w:val="clear" w:color="auto" w:fill="auto"/>
            <w:noWrap/>
            <w:vAlign w:val="center"/>
            <w:hideMark/>
          </w:tcPr>
          <w:p w14:paraId="0B6C73C0" w14:textId="77777777" w:rsidR="00387142" w:rsidRPr="008B6A75" w:rsidRDefault="00387142" w:rsidP="00387142">
            <w:pPr>
              <w:jc w:val="center"/>
              <w:rPr>
                <w:sz w:val="20"/>
                <w:szCs w:val="20"/>
              </w:rPr>
            </w:pPr>
            <w:r w:rsidRPr="008B6A75">
              <w:rPr>
                <w:sz w:val="20"/>
                <w:szCs w:val="20"/>
              </w:rPr>
              <w:t>07.1.00.07790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AA1501C" w14:textId="77777777" w:rsidR="00387142" w:rsidRPr="008B6A75" w:rsidRDefault="00387142" w:rsidP="00387142">
            <w:pPr>
              <w:jc w:val="center"/>
              <w:rPr>
                <w:sz w:val="20"/>
                <w:szCs w:val="20"/>
              </w:rPr>
            </w:pPr>
            <w:r w:rsidRPr="008B6A75">
              <w:rPr>
                <w:sz w:val="20"/>
                <w:szCs w:val="20"/>
              </w:rPr>
              <w:t>110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98B2752" w14:textId="77777777" w:rsidR="00387142" w:rsidRPr="008B6A75" w:rsidRDefault="00387142" w:rsidP="00387142">
            <w:pPr>
              <w:jc w:val="right"/>
              <w:rPr>
                <w:sz w:val="20"/>
                <w:szCs w:val="20"/>
              </w:rPr>
            </w:pPr>
            <w:r w:rsidRPr="008B6A75">
              <w:rPr>
                <w:sz w:val="20"/>
                <w:szCs w:val="20"/>
              </w:rPr>
              <w:t>4 730 869,08</w:t>
            </w:r>
          </w:p>
        </w:tc>
        <w:tc>
          <w:tcPr>
            <w:tcW w:w="992" w:type="dxa"/>
            <w:tcBorders>
              <w:top w:val="nil"/>
              <w:left w:val="single" w:sz="4" w:space="0" w:color="auto"/>
              <w:bottom w:val="single" w:sz="4" w:space="0" w:color="auto"/>
              <w:right w:val="nil"/>
            </w:tcBorders>
            <w:shd w:val="clear" w:color="auto" w:fill="auto"/>
            <w:vAlign w:val="center"/>
            <w:hideMark/>
          </w:tcPr>
          <w:p w14:paraId="6A707D3B" w14:textId="77777777" w:rsidR="00387142" w:rsidRPr="008B6A75" w:rsidRDefault="00387142" w:rsidP="00387142">
            <w:pPr>
              <w:jc w:val="right"/>
              <w:rPr>
                <w:sz w:val="20"/>
                <w:szCs w:val="20"/>
              </w:rPr>
            </w:pPr>
            <w:r w:rsidRPr="008B6A75">
              <w:rPr>
                <w:sz w:val="20"/>
                <w:szCs w:val="20"/>
              </w:rPr>
              <w:t>5 000 000,00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788137CB" w14:textId="77777777" w:rsidR="00387142" w:rsidRPr="008B6A75" w:rsidRDefault="00387142" w:rsidP="00387142">
            <w:pPr>
              <w:jc w:val="right"/>
              <w:rPr>
                <w:sz w:val="20"/>
                <w:szCs w:val="20"/>
              </w:rPr>
            </w:pPr>
            <w:r w:rsidRPr="008B6A75">
              <w:rPr>
                <w:sz w:val="20"/>
                <w:szCs w:val="20"/>
              </w:rPr>
              <w:t>5 000 000,00</w:t>
            </w:r>
          </w:p>
        </w:tc>
      </w:tr>
      <w:tr w:rsidR="00387142" w:rsidRPr="008B6A75" w14:paraId="444AE026" w14:textId="77777777" w:rsidTr="00387142">
        <w:trPr>
          <w:trHeight w:val="585"/>
        </w:trPr>
        <w:tc>
          <w:tcPr>
            <w:tcW w:w="3261" w:type="dxa"/>
            <w:tcBorders>
              <w:top w:val="nil"/>
              <w:left w:val="single" w:sz="4" w:space="0" w:color="auto"/>
              <w:bottom w:val="single" w:sz="4" w:space="0" w:color="auto"/>
              <w:right w:val="nil"/>
            </w:tcBorders>
            <w:shd w:val="clear" w:color="auto" w:fill="auto"/>
            <w:vAlign w:val="center"/>
            <w:hideMark/>
          </w:tcPr>
          <w:p w14:paraId="7430D4C1" w14:textId="77777777" w:rsidR="00387142" w:rsidRPr="008B6A75" w:rsidRDefault="00387142" w:rsidP="00387142">
            <w:pPr>
              <w:rPr>
                <w:sz w:val="20"/>
                <w:szCs w:val="20"/>
              </w:rPr>
            </w:pPr>
            <w:r w:rsidRPr="008B6A75">
              <w:rPr>
                <w:sz w:val="20"/>
                <w:szCs w:val="20"/>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105EDEDC" w14:textId="77777777" w:rsidR="00387142" w:rsidRPr="008B6A75" w:rsidRDefault="00387142" w:rsidP="00387142">
            <w:pPr>
              <w:jc w:val="center"/>
              <w:rPr>
                <w:sz w:val="20"/>
                <w:szCs w:val="20"/>
              </w:rPr>
            </w:pPr>
            <w:r w:rsidRPr="008B6A75">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2986362" w14:textId="77777777" w:rsidR="00387142" w:rsidRPr="008B6A75" w:rsidRDefault="00387142" w:rsidP="00387142">
            <w:pPr>
              <w:jc w:val="center"/>
              <w:rPr>
                <w:sz w:val="20"/>
                <w:szCs w:val="20"/>
              </w:rPr>
            </w:pPr>
            <w:r w:rsidRPr="008B6A75">
              <w:rPr>
                <w:sz w:val="20"/>
                <w:szCs w:val="20"/>
              </w:rPr>
              <w:t>05</w:t>
            </w:r>
          </w:p>
        </w:tc>
        <w:tc>
          <w:tcPr>
            <w:tcW w:w="1516" w:type="dxa"/>
            <w:tcBorders>
              <w:top w:val="nil"/>
              <w:left w:val="single" w:sz="4" w:space="0" w:color="auto"/>
              <w:bottom w:val="single" w:sz="4" w:space="0" w:color="auto"/>
              <w:right w:val="nil"/>
            </w:tcBorders>
            <w:shd w:val="clear" w:color="auto" w:fill="auto"/>
            <w:noWrap/>
            <w:vAlign w:val="center"/>
            <w:hideMark/>
          </w:tcPr>
          <w:p w14:paraId="4B2968B0" w14:textId="77777777" w:rsidR="00387142" w:rsidRPr="008B6A75" w:rsidRDefault="00387142" w:rsidP="00387142">
            <w:pPr>
              <w:jc w:val="center"/>
              <w:rPr>
                <w:sz w:val="20"/>
                <w:szCs w:val="20"/>
              </w:rPr>
            </w:pPr>
            <w:r w:rsidRPr="008B6A75">
              <w:rPr>
                <w:sz w:val="20"/>
                <w:szCs w:val="20"/>
              </w:rPr>
              <w:t>07.1.00.07790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EA209B9" w14:textId="77777777" w:rsidR="00387142" w:rsidRPr="008B6A75" w:rsidRDefault="00387142" w:rsidP="00387142">
            <w:pPr>
              <w:jc w:val="center"/>
              <w:rPr>
                <w:sz w:val="20"/>
                <w:szCs w:val="20"/>
              </w:rPr>
            </w:pPr>
            <w:r w:rsidRPr="008B6A75">
              <w:rPr>
                <w:sz w:val="20"/>
                <w:szCs w:val="20"/>
              </w:rPr>
              <w:t>200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95BB341" w14:textId="77777777" w:rsidR="00387142" w:rsidRPr="008B6A75" w:rsidRDefault="00387142" w:rsidP="00387142">
            <w:pPr>
              <w:jc w:val="right"/>
              <w:rPr>
                <w:sz w:val="20"/>
                <w:szCs w:val="20"/>
              </w:rPr>
            </w:pPr>
            <w:r w:rsidRPr="008B6A75">
              <w:rPr>
                <w:sz w:val="20"/>
                <w:szCs w:val="20"/>
              </w:rPr>
              <w:t>504 442,00</w:t>
            </w:r>
          </w:p>
        </w:tc>
        <w:tc>
          <w:tcPr>
            <w:tcW w:w="992" w:type="dxa"/>
            <w:tcBorders>
              <w:top w:val="nil"/>
              <w:left w:val="single" w:sz="4" w:space="0" w:color="auto"/>
              <w:bottom w:val="single" w:sz="4" w:space="0" w:color="auto"/>
              <w:right w:val="nil"/>
            </w:tcBorders>
            <w:shd w:val="clear" w:color="auto" w:fill="auto"/>
            <w:vAlign w:val="center"/>
            <w:hideMark/>
          </w:tcPr>
          <w:p w14:paraId="4DF8B588" w14:textId="77777777" w:rsidR="00387142" w:rsidRPr="008B6A75" w:rsidRDefault="00387142" w:rsidP="00387142">
            <w:pPr>
              <w:jc w:val="right"/>
              <w:rPr>
                <w:sz w:val="20"/>
                <w:szCs w:val="20"/>
              </w:rPr>
            </w:pPr>
            <w:r w:rsidRPr="008B6A75">
              <w:rPr>
                <w:sz w:val="20"/>
                <w:szCs w:val="20"/>
              </w:rPr>
              <w:t>240 000,00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5958F20E" w14:textId="77777777" w:rsidR="00387142" w:rsidRPr="008B6A75" w:rsidRDefault="00387142" w:rsidP="00387142">
            <w:pPr>
              <w:jc w:val="right"/>
              <w:rPr>
                <w:sz w:val="20"/>
                <w:szCs w:val="20"/>
              </w:rPr>
            </w:pPr>
            <w:r w:rsidRPr="008B6A75">
              <w:rPr>
                <w:sz w:val="20"/>
                <w:szCs w:val="20"/>
              </w:rPr>
              <w:t>240 000,00</w:t>
            </w:r>
          </w:p>
        </w:tc>
      </w:tr>
      <w:tr w:rsidR="00387142" w:rsidRPr="008B6A75" w14:paraId="74B624B5" w14:textId="77777777" w:rsidTr="00387142">
        <w:trPr>
          <w:trHeight w:val="870"/>
        </w:trPr>
        <w:tc>
          <w:tcPr>
            <w:tcW w:w="3261" w:type="dxa"/>
            <w:tcBorders>
              <w:top w:val="nil"/>
              <w:left w:val="single" w:sz="4" w:space="0" w:color="auto"/>
              <w:bottom w:val="single" w:sz="4" w:space="0" w:color="auto"/>
              <w:right w:val="nil"/>
            </w:tcBorders>
            <w:shd w:val="clear" w:color="auto" w:fill="auto"/>
            <w:vAlign w:val="center"/>
            <w:hideMark/>
          </w:tcPr>
          <w:p w14:paraId="0785DC36" w14:textId="77777777" w:rsidR="00387142" w:rsidRPr="008B6A75" w:rsidRDefault="00387142" w:rsidP="00387142">
            <w:pPr>
              <w:rPr>
                <w:sz w:val="20"/>
                <w:szCs w:val="20"/>
              </w:rPr>
            </w:pPr>
            <w:r w:rsidRPr="008B6A75">
              <w:rPr>
                <w:sz w:val="20"/>
                <w:szCs w:val="20"/>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355DC541" w14:textId="77777777" w:rsidR="00387142" w:rsidRPr="008B6A75" w:rsidRDefault="00387142" w:rsidP="00387142">
            <w:pPr>
              <w:jc w:val="center"/>
              <w:rPr>
                <w:sz w:val="20"/>
                <w:szCs w:val="20"/>
              </w:rPr>
            </w:pPr>
            <w:r w:rsidRPr="008B6A75">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9652CF2" w14:textId="77777777" w:rsidR="00387142" w:rsidRPr="008B6A75" w:rsidRDefault="00387142" w:rsidP="00387142">
            <w:pPr>
              <w:jc w:val="center"/>
              <w:rPr>
                <w:sz w:val="20"/>
                <w:szCs w:val="20"/>
              </w:rPr>
            </w:pPr>
            <w:r w:rsidRPr="008B6A75">
              <w:rPr>
                <w:sz w:val="20"/>
                <w:szCs w:val="20"/>
              </w:rPr>
              <w:t>05</w:t>
            </w:r>
          </w:p>
        </w:tc>
        <w:tc>
          <w:tcPr>
            <w:tcW w:w="1516" w:type="dxa"/>
            <w:tcBorders>
              <w:top w:val="nil"/>
              <w:left w:val="single" w:sz="4" w:space="0" w:color="auto"/>
              <w:bottom w:val="single" w:sz="4" w:space="0" w:color="auto"/>
              <w:right w:val="nil"/>
            </w:tcBorders>
            <w:shd w:val="clear" w:color="auto" w:fill="auto"/>
            <w:noWrap/>
            <w:vAlign w:val="center"/>
            <w:hideMark/>
          </w:tcPr>
          <w:p w14:paraId="697A340D" w14:textId="77777777" w:rsidR="00387142" w:rsidRPr="008B6A75" w:rsidRDefault="00387142" w:rsidP="00387142">
            <w:pPr>
              <w:jc w:val="center"/>
              <w:rPr>
                <w:sz w:val="20"/>
                <w:szCs w:val="20"/>
              </w:rPr>
            </w:pPr>
            <w:r w:rsidRPr="008B6A75">
              <w:rPr>
                <w:sz w:val="20"/>
                <w:szCs w:val="20"/>
              </w:rPr>
              <w:t>07.1.00.07790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02BC565" w14:textId="77777777" w:rsidR="00387142" w:rsidRPr="008B6A75" w:rsidRDefault="00387142" w:rsidP="00387142">
            <w:pPr>
              <w:jc w:val="center"/>
              <w:rPr>
                <w:sz w:val="20"/>
                <w:szCs w:val="20"/>
              </w:rPr>
            </w:pPr>
            <w:r w:rsidRPr="008B6A75">
              <w:rPr>
                <w:sz w:val="20"/>
                <w:szCs w:val="20"/>
              </w:rPr>
              <w:t>240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A407207" w14:textId="77777777" w:rsidR="00387142" w:rsidRPr="008B6A75" w:rsidRDefault="00387142" w:rsidP="00387142">
            <w:pPr>
              <w:jc w:val="right"/>
              <w:rPr>
                <w:sz w:val="20"/>
                <w:szCs w:val="20"/>
              </w:rPr>
            </w:pPr>
            <w:r w:rsidRPr="008B6A75">
              <w:rPr>
                <w:sz w:val="20"/>
                <w:szCs w:val="20"/>
              </w:rPr>
              <w:t>504 442,00</w:t>
            </w:r>
          </w:p>
        </w:tc>
        <w:tc>
          <w:tcPr>
            <w:tcW w:w="992" w:type="dxa"/>
            <w:tcBorders>
              <w:top w:val="nil"/>
              <w:left w:val="single" w:sz="4" w:space="0" w:color="auto"/>
              <w:bottom w:val="single" w:sz="4" w:space="0" w:color="auto"/>
              <w:right w:val="nil"/>
            </w:tcBorders>
            <w:shd w:val="clear" w:color="auto" w:fill="auto"/>
            <w:vAlign w:val="center"/>
            <w:hideMark/>
          </w:tcPr>
          <w:p w14:paraId="15637B8B" w14:textId="77777777" w:rsidR="00387142" w:rsidRPr="008B6A75" w:rsidRDefault="00387142" w:rsidP="00387142">
            <w:pPr>
              <w:jc w:val="right"/>
              <w:rPr>
                <w:sz w:val="20"/>
                <w:szCs w:val="20"/>
              </w:rPr>
            </w:pPr>
            <w:r w:rsidRPr="008B6A75">
              <w:rPr>
                <w:sz w:val="20"/>
                <w:szCs w:val="20"/>
              </w:rPr>
              <w:t>240 000,00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248746DC" w14:textId="77777777" w:rsidR="00387142" w:rsidRPr="008B6A75" w:rsidRDefault="00387142" w:rsidP="00387142">
            <w:pPr>
              <w:jc w:val="right"/>
              <w:rPr>
                <w:sz w:val="20"/>
                <w:szCs w:val="20"/>
              </w:rPr>
            </w:pPr>
            <w:r w:rsidRPr="008B6A75">
              <w:rPr>
                <w:sz w:val="20"/>
                <w:szCs w:val="20"/>
              </w:rPr>
              <w:t>240 000,00</w:t>
            </w:r>
          </w:p>
        </w:tc>
      </w:tr>
      <w:tr w:rsidR="00387142" w:rsidRPr="008B6A75" w14:paraId="1C4D3499" w14:textId="77777777" w:rsidTr="00387142">
        <w:trPr>
          <w:trHeight w:val="345"/>
        </w:trPr>
        <w:tc>
          <w:tcPr>
            <w:tcW w:w="3261" w:type="dxa"/>
            <w:tcBorders>
              <w:top w:val="nil"/>
              <w:left w:val="single" w:sz="4" w:space="0" w:color="auto"/>
              <w:bottom w:val="single" w:sz="4" w:space="0" w:color="auto"/>
              <w:right w:val="nil"/>
            </w:tcBorders>
            <w:shd w:val="clear" w:color="auto" w:fill="auto"/>
            <w:vAlign w:val="center"/>
            <w:hideMark/>
          </w:tcPr>
          <w:p w14:paraId="0AAB3C34" w14:textId="77777777" w:rsidR="00387142" w:rsidRPr="008B6A75" w:rsidRDefault="00387142" w:rsidP="00387142">
            <w:pPr>
              <w:rPr>
                <w:sz w:val="20"/>
                <w:szCs w:val="20"/>
              </w:rPr>
            </w:pPr>
            <w:r w:rsidRPr="008B6A75">
              <w:rPr>
                <w:sz w:val="20"/>
                <w:szCs w:val="20"/>
              </w:rPr>
              <w:t>Иные бюджетные ассигнования</w:t>
            </w:r>
          </w:p>
        </w:tc>
        <w:tc>
          <w:tcPr>
            <w:tcW w:w="720" w:type="dxa"/>
            <w:tcBorders>
              <w:top w:val="nil"/>
              <w:left w:val="single" w:sz="4" w:space="0" w:color="auto"/>
              <w:bottom w:val="single" w:sz="4" w:space="0" w:color="auto"/>
              <w:right w:val="nil"/>
            </w:tcBorders>
            <w:shd w:val="clear" w:color="auto" w:fill="auto"/>
            <w:noWrap/>
            <w:vAlign w:val="center"/>
            <w:hideMark/>
          </w:tcPr>
          <w:p w14:paraId="66314186" w14:textId="77777777" w:rsidR="00387142" w:rsidRPr="008B6A75" w:rsidRDefault="00387142" w:rsidP="00387142">
            <w:pPr>
              <w:jc w:val="center"/>
              <w:rPr>
                <w:sz w:val="20"/>
                <w:szCs w:val="20"/>
              </w:rPr>
            </w:pPr>
            <w:r w:rsidRPr="008B6A75">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AAB9916" w14:textId="77777777" w:rsidR="00387142" w:rsidRPr="008B6A75" w:rsidRDefault="00387142" w:rsidP="00387142">
            <w:pPr>
              <w:jc w:val="center"/>
              <w:rPr>
                <w:sz w:val="20"/>
                <w:szCs w:val="20"/>
              </w:rPr>
            </w:pPr>
            <w:r w:rsidRPr="008B6A75">
              <w:rPr>
                <w:sz w:val="20"/>
                <w:szCs w:val="20"/>
              </w:rPr>
              <w:t>05</w:t>
            </w:r>
          </w:p>
        </w:tc>
        <w:tc>
          <w:tcPr>
            <w:tcW w:w="1516" w:type="dxa"/>
            <w:tcBorders>
              <w:top w:val="nil"/>
              <w:left w:val="single" w:sz="4" w:space="0" w:color="auto"/>
              <w:bottom w:val="single" w:sz="4" w:space="0" w:color="auto"/>
              <w:right w:val="nil"/>
            </w:tcBorders>
            <w:shd w:val="clear" w:color="auto" w:fill="auto"/>
            <w:noWrap/>
            <w:vAlign w:val="center"/>
            <w:hideMark/>
          </w:tcPr>
          <w:p w14:paraId="741C8794" w14:textId="77777777" w:rsidR="00387142" w:rsidRPr="008B6A75" w:rsidRDefault="00387142" w:rsidP="00387142">
            <w:pPr>
              <w:jc w:val="center"/>
              <w:rPr>
                <w:sz w:val="20"/>
                <w:szCs w:val="20"/>
              </w:rPr>
            </w:pPr>
            <w:r w:rsidRPr="008B6A75">
              <w:rPr>
                <w:sz w:val="20"/>
                <w:szCs w:val="20"/>
              </w:rPr>
              <w:t>07.1.00.07790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58A2783" w14:textId="77777777" w:rsidR="00387142" w:rsidRPr="008B6A75" w:rsidRDefault="00387142" w:rsidP="00387142">
            <w:pPr>
              <w:jc w:val="center"/>
              <w:rPr>
                <w:sz w:val="20"/>
                <w:szCs w:val="20"/>
              </w:rPr>
            </w:pPr>
            <w:r w:rsidRPr="008B6A75">
              <w:rPr>
                <w:sz w:val="20"/>
                <w:szCs w:val="20"/>
              </w:rPr>
              <w:t>800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01A920D" w14:textId="77777777" w:rsidR="00387142" w:rsidRPr="008B6A75" w:rsidRDefault="00387142" w:rsidP="00387142">
            <w:pPr>
              <w:jc w:val="right"/>
              <w:rPr>
                <w:sz w:val="20"/>
                <w:szCs w:val="20"/>
              </w:rPr>
            </w:pPr>
            <w:r w:rsidRPr="008B6A75">
              <w:rPr>
                <w:sz w:val="20"/>
                <w:szCs w:val="20"/>
              </w:rPr>
              <w:t>3 000,00</w:t>
            </w:r>
          </w:p>
        </w:tc>
        <w:tc>
          <w:tcPr>
            <w:tcW w:w="992" w:type="dxa"/>
            <w:tcBorders>
              <w:top w:val="nil"/>
              <w:left w:val="single" w:sz="4" w:space="0" w:color="auto"/>
              <w:bottom w:val="single" w:sz="4" w:space="0" w:color="auto"/>
              <w:right w:val="nil"/>
            </w:tcBorders>
            <w:shd w:val="clear" w:color="auto" w:fill="auto"/>
            <w:vAlign w:val="center"/>
            <w:hideMark/>
          </w:tcPr>
          <w:p w14:paraId="3661BECF" w14:textId="77777777" w:rsidR="00387142" w:rsidRPr="008B6A75" w:rsidRDefault="00387142" w:rsidP="00387142">
            <w:pPr>
              <w:jc w:val="right"/>
              <w:rPr>
                <w:sz w:val="20"/>
                <w:szCs w:val="20"/>
              </w:rPr>
            </w:pPr>
            <w:r w:rsidRPr="008B6A75">
              <w:rPr>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5EE1ECFB" w14:textId="77777777" w:rsidR="00387142" w:rsidRPr="008B6A75" w:rsidRDefault="00387142" w:rsidP="00387142">
            <w:pPr>
              <w:jc w:val="right"/>
              <w:rPr>
                <w:sz w:val="20"/>
                <w:szCs w:val="20"/>
              </w:rPr>
            </w:pPr>
            <w:r w:rsidRPr="008B6A75">
              <w:rPr>
                <w:sz w:val="20"/>
                <w:szCs w:val="20"/>
              </w:rPr>
              <w:t>0,00</w:t>
            </w:r>
          </w:p>
        </w:tc>
      </w:tr>
      <w:tr w:rsidR="00387142" w:rsidRPr="008B6A75" w14:paraId="12E59498" w14:textId="77777777" w:rsidTr="00387142">
        <w:trPr>
          <w:trHeight w:val="345"/>
        </w:trPr>
        <w:tc>
          <w:tcPr>
            <w:tcW w:w="3261" w:type="dxa"/>
            <w:tcBorders>
              <w:top w:val="nil"/>
              <w:left w:val="single" w:sz="4" w:space="0" w:color="auto"/>
              <w:bottom w:val="single" w:sz="4" w:space="0" w:color="auto"/>
              <w:right w:val="nil"/>
            </w:tcBorders>
            <w:shd w:val="clear" w:color="auto" w:fill="auto"/>
            <w:vAlign w:val="center"/>
            <w:hideMark/>
          </w:tcPr>
          <w:p w14:paraId="58E79C22" w14:textId="77777777" w:rsidR="00387142" w:rsidRPr="008B6A75" w:rsidRDefault="00387142" w:rsidP="00387142">
            <w:pPr>
              <w:rPr>
                <w:sz w:val="20"/>
                <w:szCs w:val="20"/>
              </w:rPr>
            </w:pPr>
            <w:r w:rsidRPr="008B6A75">
              <w:rPr>
                <w:sz w:val="20"/>
                <w:szCs w:val="20"/>
              </w:rPr>
              <w:t>Уплата налогов, сборов и иных платежей</w:t>
            </w:r>
          </w:p>
        </w:tc>
        <w:tc>
          <w:tcPr>
            <w:tcW w:w="720" w:type="dxa"/>
            <w:tcBorders>
              <w:top w:val="nil"/>
              <w:left w:val="single" w:sz="4" w:space="0" w:color="auto"/>
              <w:bottom w:val="single" w:sz="4" w:space="0" w:color="auto"/>
              <w:right w:val="nil"/>
            </w:tcBorders>
            <w:shd w:val="clear" w:color="auto" w:fill="auto"/>
            <w:noWrap/>
            <w:vAlign w:val="center"/>
            <w:hideMark/>
          </w:tcPr>
          <w:p w14:paraId="485DBA4A" w14:textId="77777777" w:rsidR="00387142" w:rsidRPr="008B6A75" w:rsidRDefault="00387142" w:rsidP="00387142">
            <w:pPr>
              <w:jc w:val="center"/>
              <w:rPr>
                <w:sz w:val="20"/>
                <w:szCs w:val="20"/>
              </w:rPr>
            </w:pPr>
            <w:r w:rsidRPr="008B6A75">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EC07EFA" w14:textId="77777777" w:rsidR="00387142" w:rsidRPr="008B6A75" w:rsidRDefault="00387142" w:rsidP="00387142">
            <w:pPr>
              <w:jc w:val="center"/>
              <w:rPr>
                <w:sz w:val="20"/>
                <w:szCs w:val="20"/>
              </w:rPr>
            </w:pPr>
            <w:r w:rsidRPr="008B6A75">
              <w:rPr>
                <w:sz w:val="20"/>
                <w:szCs w:val="20"/>
              </w:rPr>
              <w:t>05</w:t>
            </w:r>
          </w:p>
        </w:tc>
        <w:tc>
          <w:tcPr>
            <w:tcW w:w="1516" w:type="dxa"/>
            <w:tcBorders>
              <w:top w:val="nil"/>
              <w:left w:val="single" w:sz="4" w:space="0" w:color="auto"/>
              <w:bottom w:val="single" w:sz="4" w:space="0" w:color="auto"/>
              <w:right w:val="nil"/>
            </w:tcBorders>
            <w:shd w:val="clear" w:color="auto" w:fill="auto"/>
            <w:noWrap/>
            <w:vAlign w:val="center"/>
            <w:hideMark/>
          </w:tcPr>
          <w:p w14:paraId="49D40B58" w14:textId="77777777" w:rsidR="00387142" w:rsidRPr="008B6A75" w:rsidRDefault="00387142" w:rsidP="00387142">
            <w:pPr>
              <w:jc w:val="center"/>
              <w:rPr>
                <w:sz w:val="20"/>
                <w:szCs w:val="20"/>
              </w:rPr>
            </w:pPr>
            <w:r w:rsidRPr="008B6A75">
              <w:rPr>
                <w:sz w:val="20"/>
                <w:szCs w:val="20"/>
              </w:rPr>
              <w:t>07.1.00.07790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6C41698" w14:textId="77777777" w:rsidR="00387142" w:rsidRPr="008B6A75" w:rsidRDefault="00387142" w:rsidP="00387142">
            <w:pPr>
              <w:jc w:val="center"/>
              <w:rPr>
                <w:sz w:val="20"/>
                <w:szCs w:val="20"/>
              </w:rPr>
            </w:pPr>
            <w:r w:rsidRPr="008B6A75">
              <w:rPr>
                <w:sz w:val="20"/>
                <w:szCs w:val="20"/>
              </w:rPr>
              <w:t>850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BA3A714" w14:textId="77777777" w:rsidR="00387142" w:rsidRPr="008B6A75" w:rsidRDefault="00387142" w:rsidP="00387142">
            <w:pPr>
              <w:jc w:val="right"/>
              <w:rPr>
                <w:sz w:val="20"/>
                <w:szCs w:val="20"/>
              </w:rPr>
            </w:pPr>
            <w:r w:rsidRPr="008B6A75">
              <w:rPr>
                <w:sz w:val="20"/>
                <w:szCs w:val="20"/>
              </w:rPr>
              <w:t>3 000,00</w:t>
            </w:r>
          </w:p>
        </w:tc>
        <w:tc>
          <w:tcPr>
            <w:tcW w:w="992" w:type="dxa"/>
            <w:tcBorders>
              <w:top w:val="nil"/>
              <w:left w:val="single" w:sz="4" w:space="0" w:color="auto"/>
              <w:bottom w:val="single" w:sz="4" w:space="0" w:color="auto"/>
              <w:right w:val="nil"/>
            </w:tcBorders>
            <w:shd w:val="clear" w:color="auto" w:fill="auto"/>
            <w:vAlign w:val="center"/>
            <w:hideMark/>
          </w:tcPr>
          <w:p w14:paraId="204D6649" w14:textId="77777777" w:rsidR="00387142" w:rsidRPr="008B6A75" w:rsidRDefault="00387142" w:rsidP="00387142">
            <w:pPr>
              <w:jc w:val="right"/>
              <w:rPr>
                <w:sz w:val="20"/>
                <w:szCs w:val="20"/>
              </w:rPr>
            </w:pPr>
            <w:r w:rsidRPr="008B6A75">
              <w:rPr>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5459C4F4" w14:textId="77777777" w:rsidR="00387142" w:rsidRPr="008B6A75" w:rsidRDefault="00387142" w:rsidP="00387142">
            <w:pPr>
              <w:jc w:val="right"/>
              <w:rPr>
                <w:sz w:val="20"/>
                <w:szCs w:val="20"/>
              </w:rPr>
            </w:pPr>
            <w:r w:rsidRPr="008B6A75">
              <w:rPr>
                <w:sz w:val="20"/>
                <w:szCs w:val="20"/>
              </w:rPr>
              <w:t>0,00</w:t>
            </w:r>
          </w:p>
        </w:tc>
      </w:tr>
      <w:tr w:rsidR="00387142" w:rsidRPr="008B6A75" w14:paraId="4F89500E" w14:textId="77777777" w:rsidTr="00387142">
        <w:trPr>
          <w:trHeight w:val="1440"/>
        </w:trPr>
        <w:tc>
          <w:tcPr>
            <w:tcW w:w="3261" w:type="dxa"/>
            <w:tcBorders>
              <w:top w:val="nil"/>
              <w:left w:val="single" w:sz="4" w:space="0" w:color="auto"/>
              <w:bottom w:val="single" w:sz="4" w:space="0" w:color="auto"/>
              <w:right w:val="nil"/>
            </w:tcBorders>
            <w:shd w:val="clear" w:color="auto" w:fill="auto"/>
            <w:vAlign w:val="center"/>
            <w:hideMark/>
          </w:tcPr>
          <w:p w14:paraId="0C82376E" w14:textId="77777777" w:rsidR="00387142" w:rsidRPr="008B6A75" w:rsidRDefault="00387142" w:rsidP="00387142">
            <w:pPr>
              <w:rPr>
                <w:bCs/>
                <w:sz w:val="20"/>
                <w:szCs w:val="20"/>
              </w:rPr>
            </w:pPr>
            <w:r w:rsidRPr="008B6A75">
              <w:rPr>
                <w:bCs/>
                <w:sz w:val="20"/>
                <w:szCs w:val="20"/>
              </w:rPr>
              <w:t xml:space="preserve">Реализация мероприятий по обеспечению сбалансированности местных </w:t>
            </w:r>
            <w:proofErr w:type="gramStart"/>
            <w:r w:rsidRPr="008B6A75">
              <w:rPr>
                <w:bCs/>
                <w:sz w:val="20"/>
                <w:szCs w:val="20"/>
              </w:rPr>
              <w:t>бюджетов  государственной</w:t>
            </w:r>
            <w:proofErr w:type="gramEnd"/>
            <w:r w:rsidRPr="008B6A75">
              <w:rPr>
                <w:bCs/>
                <w:sz w:val="20"/>
                <w:szCs w:val="20"/>
              </w:rPr>
              <w:t xml:space="preserve"> программы Новосибирской области "Управление  финансами в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14:paraId="7A9530E1" w14:textId="77777777" w:rsidR="00387142" w:rsidRPr="008B6A75" w:rsidRDefault="00387142" w:rsidP="00387142">
            <w:pPr>
              <w:jc w:val="center"/>
              <w:rPr>
                <w:bCs/>
                <w:sz w:val="20"/>
                <w:szCs w:val="20"/>
              </w:rPr>
            </w:pPr>
            <w:r w:rsidRPr="008B6A75">
              <w:rPr>
                <w:bCs/>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881113D" w14:textId="77777777" w:rsidR="00387142" w:rsidRPr="008B6A75" w:rsidRDefault="00387142" w:rsidP="00387142">
            <w:pPr>
              <w:jc w:val="center"/>
              <w:rPr>
                <w:bCs/>
                <w:sz w:val="20"/>
                <w:szCs w:val="20"/>
              </w:rPr>
            </w:pPr>
            <w:r w:rsidRPr="008B6A75">
              <w:rPr>
                <w:bCs/>
                <w:sz w:val="20"/>
                <w:szCs w:val="20"/>
              </w:rPr>
              <w:t>05</w:t>
            </w:r>
          </w:p>
        </w:tc>
        <w:tc>
          <w:tcPr>
            <w:tcW w:w="1516" w:type="dxa"/>
            <w:tcBorders>
              <w:top w:val="nil"/>
              <w:left w:val="single" w:sz="4" w:space="0" w:color="auto"/>
              <w:bottom w:val="single" w:sz="4" w:space="0" w:color="auto"/>
              <w:right w:val="nil"/>
            </w:tcBorders>
            <w:shd w:val="clear" w:color="auto" w:fill="auto"/>
            <w:noWrap/>
            <w:vAlign w:val="center"/>
            <w:hideMark/>
          </w:tcPr>
          <w:p w14:paraId="1A7F2169" w14:textId="77777777" w:rsidR="00387142" w:rsidRPr="008B6A75" w:rsidRDefault="00387142" w:rsidP="00387142">
            <w:pPr>
              <w:jc w:val="center"/>
              <w:rPr>
                <w:bCs/>
                <w:sz w:val="20"/>
                <w:szCs w:val="20"/>
              </w:rPr>
            </w:pPr>
            <w:r w:rsidRPr="008B6A75">
              <w:rPr>
                <w:bCs/>
                <w:sz w:val="20"/>
                <w:szCs w:val="20"/>
              </w:rPr>
              <w:t>07.1.00.70510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A31813A"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8375DDE" w14:textId="77777777" w:rsidR="00387142" w:rsidRPr="008B6A75" w:rsidRDefault="00387142" w:rsidP="00387142">
            <w:pPr>
              <w:jc w:val="right"/>
              <w:rPr>
                <w:bCs/>
                <w:sz w:val="20"/>
                <w:szCs w:val="20"/>
              </w:rPr>
            </w:pPr>
            <w:r w:rsidRPr="008B6A75">
              <w:rPr>
                <w:bCs/>
                <w:sz w:val="20"/>
                <w:szCs w:val="20"/>
              </w:rPr>
              <w:t>958 049,00</w:t>
            </w:r>
          </w:p>
        </w:tc>
        <w:tc>
          <w:tcPr>
            <w:tcW w:w="992" w:type="dxa"/>
            <w:tcBorders>
              <w:top w:val="nil"/>
              <w:left w:val="single" w:sz="4" w:space="0" w:color="auto"/>
              <w:bottom w:val="single" w:sz="4" w:space="0" w:color="auto"/>
              <w:right w:val="nil"/>
            </w:tcBorders>
            <w:shd w:val="clear" w:color="auto" w:fill="auto"/>
            <w:vAlign w:val="center"/>
            <w:hideMark/>
          </w:tcPr>
          <w:p w14:paraId="7F18F8A4" w14:textId="77777777" w:rsidR="00387142" w:rsidRPr="008B6A75" w:rsidRDefault="00387142" w:rsidP="00387142">
            <w:pPr>
              <w:jc w:val="right"/>
              <w:rPr>
                <w:bCs/>
                <w:sz w:val="20"/>
                <w:szCs w:val="20"/>
              </w:rPr>
            </w:pPr>
            <w:r w:rsidRPr="008B6A75">
              <w:rPr>
                <w:bCs/>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7C07BA77" w14:textId="77777777" w:rsidR="00387142" w:rsidRPr="008B6A75" w:rsidRDefault="00387142" w:rsidP="00387142">
            <w:pPr>
              <w:jc w:val="right"/>
              <w:rPr>
                <w:bCs/>
                <w:sz w:val="20"/>
                <w:szCs w:val="20"/>
              </w:rPr>
            </w:pPr>
            <w:r w:rsidRPr="008B6A75">
              <w:rPr>
                <w:bCs/>
                <w:sz w:val="20"/>
                <w:szCs w:val="20"/>
              </w:rPr>
              <w:t>0,00</w:t>
            </w:r>
          </w:p>
        </w:tc>
      </w:tr>
      <w:tr w:rsidR="00387142" w:rsidRPr="008B6A75" w14:paraId="3A206F58" w14:textId="77777777" w:rsidTr="00387142">
        <w:trPr>
          <w:trHeight w:val="1440"/>
        </w:trPr>
        <w:tc>
          <w:tcPr>
            <w:tcW w:w="3261" w:type="dxa"/>
            <w:tcBorders>
              <w:top w:val="nil"/>
              <w:left w:val="single" w:sz="4" w:space="0" w:color="auto"/>
              <w:bottom w:val="single" w:sz="4" w:space="0" w:color="auto"/>
              <w:right w:val="nil"/>
            </w:tcBorders>
            <w:shd w:val="clear" w:color="auto" w:fill="auto"/>
            <w:vAlign w:val="center"/>
            <w:hideMark/>
          </w:tcPr>
          <w:p w14:paraId="61D1076B" w14:textId="77777777" w:rsidR="00387142" w:rsidRPr="008B6A75" w:rsidRDefault="00387142" w:rsidP="00387142">
            <w:pPr>
              <w:rPr>
                <w:sz w:val="20"/>
                <w:szCs w:val="20"/>
              </w:rPr>
            </w:pPr>
            <w:r w:rsidRPr="008B6A7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14:paraId="2B168803" w14:textId="77777777" w:rsidR="00387142" w:rsidRPr="008B6A75" w:rsidRDefault="00387142" w:rsidP="00387142">
            <w:pPr>
              <w:jc w:val="center"/>
              <w:rPr>
                <w:sz w:val="20"/>
                <w:szCs w:val="20"/>
              </w:rPr>
            </w:pPr>
            <w:r w:rsidRPr="008B6A75">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A6CA366" w14:textId="77777777" w:rsidR="00387142" w:rsidRPr="008B6A75" w:rsidRDefault="00387142" w:rsidP="00387142">
            <w:pPr>
              <w:jc w:val="center"/>
              <w:rPr>
                <w:sz w:val="20"/>
                <w:szCs w:val="20"/>
              </w:rPr>
            </w:pPr>
            <w:r w:rsidRPr="008B6A75">
              <w:rPr>
                <w:sz w:val="20"/>
                <w:szCs w:val="20"/>
              </w:rPr>
              <w:t>05</w:t>
            </w:r>
          </w:p>
        </w:tc>
        <w:tc>
          <w:tcPr>
            <w:tcW w:w="1516" w:type="dxa"/>
            <w:tcBorders>
              <w:top w:val="nil"/>
              <w:left w:val="single" w:sz="4" w:space="0" w:color="auto"/>
              <w:bottom w:val="single" w:sz="4" w:space="0" w:color="auto"/>
              <w:right w:val="nil"/>
            </w:tcBorders>
            <w:shd w:val="clear" w:color="auto" w:fill="auto"/>
            <w:noWrap/>
            <w:vAlign w:val="center"/>
            <w:hideMark/>
          </w:tcPr>
          <w:p w14:paraId="54C53E65" w14:textId="77777777" w:rsidR="00387142" w:rsidRPr="008B6A75" w:rsidRDefault="00387142" w:rsidP="00387142">
            <w:pPr>
              <w:jc w:val="center"/>
              <w:rPr>
                <w:sz w:val="20"/>
                <w:szCs w:val="20"/>
              </w:rPr>
            </w:pPr>
            <w:r w:rsidRPr="008B6A75">
              <w:rPr>
                <w:sz w:val="20"/>
                <w:szCs w:val="20"/>
              </w:rPr>
              <w:t>07.1.00.70510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DF78754" w14:textId="77777777" w:rsidR="00387142" w:rsidRPr="008B6A75" w:rsidRDefault="00387142" w:rsidP="00387142">
            <w:pPr>
              <w:jc w:val="center"/>
              <w:rPr>
                <w:sz w:val="20"/>
                <w:szCs w:val="20"/>
              </w:rPr>
            </w:pPr>
            <w:r w:rsidRPr="008B6A75">
              <w:rPr>
                <w:sz w:val="20"/>
                <w:szCs w:val="20"/>
              </w:rPr>
              <w:t>100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C0F64CE" w14:textId="77777777" w:rsidR="00387142" w:rsidRPr="008B6A75" w:rsidRDefault="00387142" w:rsidP="00387142">
            <w:pPr>
              <w:jc w:val="right"/>
              <w:rPr>
                <w:sz w:val="20"/>
                <w:szCs w:val="20"/>
              </w:rPr>
            </w:pPr>
            <w:r w:rsidRPr="008B6A75">
              <w:rPr>
                <w:sz w:val="20"/>
                <w:szCs w:val="20"/>
              </w:rPr>
              <w:t>958 049,00</w:t>
            </w:r>
          </w:p>
        </w:tc>
        <w:tc>
          <w:tcPr>
            <w:tcW w:w="992" w:type="dxa"/>
            <w:tcBorders>
              <w:top w:val="nil"/>
              <w:left w:val="single" w:sz="4" w:space="0" w:color="auto"/>
              <w:bottom w:val="single" w:sz="4" w:space="0" w:color="auto"/>
              <w:right w:val="nil"/>
            </w:tcBorders>
            <w:shd w:val="clear" w:color="auto" w:fill="auto"/>
            <w:vAlign w:val="center"/>
            <w:hideMark/>
          </w:tcPr>
          <w:p w14:paraId="459AEAA8" w14:textId="77777777" w:rsidR="00387142" w:rsidRPr="008B6A75" w:rsidRDefault="00387142" w:rsidP="00387142">
            <w:pPr>
              <w:jc w:val="right"/>
              <w:rPr>
                <w:sz w:val="20"/>
                <w:szCs w:val="20"/>
              </w:rPr>
            </w:pPr>
            <w:r w:rsidRPr="008B6A75">
              <w:rPr>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6329153B" w14:textId="77777777" w:rsidR="00387142" w:rsidRPr="008B6A75" w:rsidRDefault="00387142" w:rsidP="00387142">
            <w:pPr>
              <w:jc w:val="right"/>
              <w:rPr>
                <w:sz w:val="20"/>
                <w:szCs w:val="20"/>
              </w:rPr>
            </w:pPr>
            <w:r w:rsidRPr="008B6A75">
              <w:rPr>
                <w:sz w:val="20"/>
                <w:szCs w:val="20"/>
              </w:rPr>
              <w:t>0,00</w:t>
            </w:r>
          </w:p>
        </w:tc>
      </w:tr>
      <w:tr w:rsidR="00387142" w:rsidRPr="008B6A75" w14:paraId="6D63F950" w14:textId="77777777" w:rsidTr="00387142">
        <w:trPr>
          <w:trHeight w:val="585"/>
        </w:trPr>
        <w:tc>
          <w:tcPr>
            <w:tcW w:w="3261" w:type="dxa"/>
            <w:tcBorders>
              <w:top w:val="nil"/>
              <w:left w:val="single" w:sz="4" w:space="0" w:color="auto"/>
              <w:bottom w:val="single" w:sz="4" w:space="0" w:color="auto"/>
              <w:right w:val="nil"/>
            </w:tcBorders>
            <w:shd w:val="clear" w:color="auto" w:fill="auto"/>
            <w:vAlign w:val="center"/>
            <w:hideMark/>
          </w:tcPr>
          <w:p w14:paraId="095C66ED" w14:textId="77777777" w:rsidR="00387142" w:rsidRPr="008B6A75" w:rsidRDefault="00387142" w:rsidP="00387142">
            <w:pPr>
              <w:rPr>
                <w:sz w:val="20"/>
                <w:szCs w:val="20"/>
              </w:rPr>
            </w:pPr>
            <w:r w:rsidRPr="008B6A75">
              <w:rPr>
                <w:sz w:val="20"/>
                <w:szCs w:val="20"/>
              </w:rPr>
              <w:t>Расходы на выплаты персоналу казенных учреждений</w:t>
            </w:r>
          </w:p>
        </w:tc>
        <w:tc>
          <w:tcPr>
            <w:tcW w:w="720" w:type="dxa"/>
            <w:tcBorders>
              <w:top w:val="nil"/>
              <w:left w:val="single" w:sz="4" w:space="0" w:color="auto"/>
              <w:bottom w:val="single" w:sz="4" w:space="0" w:color="auto"/>
              <w:right w:val="nil"/>
            </w:tcBorders>
            <w:shd w:val="clear" w:color="auto" w:fill="auto"/>
            <w:noWrap/>
            <w:vAlign w:val="center"/>
            <w:hideMark/>
          </w:tcPr>
          <w:p w14:paraId="38E5516A" w14:textId="77777777" w:rsidR="00387142" w:rsidRPr="008B6A75" w:rsidRDefault="00387142" w:rsidP="00387142">
            <w:pPr>
              <w:jc w:val="center"/>
              <w:rPr>
                <w:sz w:val="20"/>
                <w:szCs w:val="20"/>
              </w:rPr>
            </w:pPr>
            <w:r w:rsidRPr="008B6A75">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07115A4" w14:textId="77777777" w:rsidR="00387142" w:rsidRPr="008B6A75" w:rsidRDefault="00387142" w:rsidP="00387142">
            <w:pPr>
              <w:jc w:val="center"/>
              <w:rPr>
                <w:sz w:val="20"/>
                <w:szCs w:val="20"/>
              </w:rPr>
            </w:pPr>
            <w:r w:rsidRPr="008B6A75">
              <w:rPr>
                <w:sz w:val="20"/>
                <w:szCs w:val="20"/>
              </w:rPr>
              <w:t>05</w:t>
            </w:r>
          </w:p>
        </w:tc>
        <w:tc>
          <w:tcPr>
            <w:tcW w:w="1516" w:type="dxa"/>
            <w:tcBorders>
              <w:top w:val="nil"/>
              <w:left w:val="single" w:sz="4" w:space="0" w:color="auto"/>
              <w:bottom w:val="single" w:sz="4" w:space="0" w:color="auto"/>
              <w:right w:val="nil"/>
            </w:tcBorders>
            <w:shd w:val="clear" w:color="auto" w:fill="auto"/>
            <w:noWrap/>
            <w:vAlign w:val="center"/>
            <w:hideMark/>
          </w:tcPr>
          <w:p w14:paraId="1D580F05" w14:textId="77777777" w:rsidR="00387142" w:rsidRPr="008B6A75" w:rsidRDefault="00387142" w:rsidP="00387142">
            <w:pPr>
              <w:jc w:val="center"/>
              <w:rPr>
                <w:sz w:val="20"/>
                <w:szCs w:val="20"/>
              </w:rPr>
            </w:pPr>
            <w:r w:rsidRPr="008B6A75">
              <w:rPr>
                <w:sz w:val="20"/>
                <w:szCs w:val="20"/>
              </w:rPr>
              <w:t>07.1.00.70510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644EF82" w14:textId="77777777" w:rsidR="00387142" w:rsidRPr="008B6A75" w:rsidRDefault="00387142" w:rsidP="00387142">
            <w:pPr>
              <w:jc w:val="center"/>
              <w:rPr>
                <w:sz w:val="20"/>
                <w:szCs w:val="20"/>
              </w:rPr>
            </w:pPr>
            <w:r w:rsidRPr="008B6A75">
              <w:rPr>
                <w:sz w:val="20"/>
                <w:szCs w:val="20"/>
              </w:rPr>
              <w:t>110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DA52D03" w14:textId="77777777" w:rsidR="00387142" w:rsidRPr="008B6A75" w:rsidRDefault="00387142" w:rsidP="00387142">
            <w:pPr>
              <w:jc w:val="right"/>
              <w:rPr>
                <w:sz w:val="20"/>
                <w:szCs w:val="20"/>
              </w:rPr>
            </w:pPr>
            <w:r w:rsidRPr="008B6A75">
              <w:rPr>
                <w:sz w:val="20"/>
                <w:szCs w:val="20"/>
              </w:rPr>
              <w:t>958 049,00</w:t>
            </w:r>
          </w:p>
        </w:tc>
        <w:tc>
          <w:tcPr>
            <w:tcW w:w="992" w:type="dxa"/>
            <w:tcBorders>
              <w:top w:val="nil"/>
              <w:left w:val="single" w:sz="4" w:space="0" w:color="auto"/>
              <w:bottom w:val="single" w:sz="4" w:space="0" w:color="auto"/>
              <w:right w:val="nil"/>
            </w:tcBorders>
            <w:shd w:val="clear" w:color="auto" w:fill="auto"/>
            <w:vAlign w:val="center"/>
            <w:hideMark/>
          </w:tcPr>
          <w:p w14:paraId="34BC9D50" w14:textId="77777777" w:rsidR="00387142" w:rsidRPr="008B6A75" w:rsidRDefault="00387142" w:rsidP="00387142">
            <w:pPr>
              <w:jc w:val="right"/>
              <w:rPr>
                <w:sz w:val="20"/>
                <w:szCs w:val="20"/>
              </w:rPr>
            </w:pPr>
            <w:r w:rsidRPr="008B6A75">
              <w:rPr>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42EBDC01" w14:textId="77777777" w:rsidR="00387142" w:rsidRPr="008B6A75" w:rsidRDefault="00387142" w:rsidP="00387142">
            <w:pPr>
              <w:jc w:val="right"/>
              <w:rPr>
                <w:sz w:val="20"/>
                <w:szCs w:val="20"/>
              </w:rPr>
            </w:pPr>
            <w:r w:rsidRPr="008B6A75">
              <w:rPr>
                <w:sz w:val="20"/>
                <w:szCs w:val="20"/>
              </w:rPr>
              <w:t>0,00</w:t>
            </w:r>
          </w:p>
        </w:tc>
      </w:tr>
      <w:tr w:rsidR="00387142" w:rsidRPr="008B6A75" w14:paraId="1BB3FE30" w14:textId="77777777" w:rsidTr="00387142">
        <w:trPr>
          <w:trHeight w:val="870"/>
        </w:trPr>
        <w:tc>
          <w:tcPr>
            <w:tcW w:w="3261" w:type="dxa"/>
            <w:tcBorders>
              <w:top w:val="nil"/>
              <w:left w:val="single" w:sz="4" w:space="0" w:color="auto"/>
              <w:bottom w:val="single" w:sz="4" w:space="0" w:color="auto"/>
              <w:right w:val="nil"/>
            </w:tcBorders>
            <w:shd w:val="clear" w:color="auto" w:fill="auto"/>
            <w:vAlign w:val="center"/>
            <w:hideMark/>
          </w:tcPr>
          <w:p w14:paraId="2F6061EF" w14:textId="77777777" w:rsidR="00387142" w:rsidRPr="008B6A75" w:rsidRDefault="00387142" w:rsidP="00387142">
            <w:pPr>
              <w:rPr>
                <w:bCs/>
                <w:sz w:val="20"/>
                <w:szCs w:val="20"/>
              </w:rPr>
            </w:pPr>
            <w:r w:rsidRPr="008B6A75">
              <w:rPr>
                <w:bCs/>
                <w:sz w:val="20"/>
                <w:szCs w:val="20"/>
              </w:rPr>
              <w:lastRenderedPageBreak/>
              <w:t>Подпрограмма "Выявление и поддержка одаренных детей и талантливой молодежи Куйбышевского района"</w:t>
            </w:r>
          </w:p>
        </w:tc>
        <w:tc>
          <w:tcPr>
            <w:tcW w:w="720" w:type="dxa"/>
            <w:tcBorders>
              <w:top w:val="nil"/>
              <w:left w:val="single" w:sz="4" w:space="0" w:color="auto"/>
              <w:bottom w:val="single" w:sz="4" w:space="0" w:color="auto"/>
              <w:right w:val="nil"/>
            </w:tcBorders>
            <w:shd w:val="clear" w:color="auto" w:fill="auto"/>
            <w:noWrap/>
            <w:vAlign w:val="center"/>
            <w:hideMark/>
          </w:tcPr>
          <w:p w14:paraId="1F99C8A5" w14:textId="77777777" w:rsidR="00387142" w:rsidRPr="008B6A75" w:rsidRDefault="00387142" w:rsidP="00387142">
            <w:pPr>
              <w:jc w:val="center"/>
              <w:rPr>
                <w:bCs/>
                <w:sz w:val="20"/>
                <w:szCs w:val="20"/>
              </w:rPr>
            </w:pPr>
            <w:r w:rsidRPr="008B6A75">
              <w:rPr>
                <w:bCs/>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9B32BF8" w14:textId="77777777" w:rsidR="00387142" w:rsidRPr="008B6A75" w:rsidRDefault="00387142" w:rsidP="00387142">
            <w:pPr>
              <w:jc w:val="center"/>
              <w:rPr>
                <w:bCs/>
                <w:sz w:val="20"/>
                <w:szCs w:val="20"/>
              </w:rPr>
            </w:pPr>
            <w:r w:rsidRPr="008B6A75">
              <w:rPr>
                <w:bCs/>
                <w:sz w:val="20"/>
                <w:szCs w:val="20"/>
              </w:rPr>
              <w:t>05</w:t>
            </w:r>
          </w:p>
        </w:tc>
        <w:tc>
          <w:tcPr>
            <w:tcW w:w="1516" w:type="dxa"/>
            <w:tcBorders>
              <w:top w:val="nil"/>
              <w:left w:val="single" w:sz="4" w:space="0" w:color="auto"/>
              <w:bottom w:val="single" w:sz="4" w:space="0" w:color="auto"/>
              <w:right w:val="nil"/>
            </w:tcBorders>
            <w:shd w:val="clear" w:color="auto" w:fill="auto"/>
            <w:noWrap/>
            <w:vAlign w:val="center"/>
            <w:hideMark/>
          </w:tcPr>
          <w:p w14:paraId="19AAB49E" w14:textId="77777777" w:rsidR="00387142" w:rsidRPr="008B6A75" w:rsidRDefault="00387142" w:rsidP="00387142">
            <w:pPr>
              <w:jc w:val="center"/>
              <w:rPr>
                <w:bCs/>
                <w:sz w:val="20"/>
                <w:szCs w:val="20"/>
              </w:rPr>
            </w:pPr>
            <w:r w:rsidRPr="008B6A75">
              <w:rPr>
                <w:bCs/>
                <w:sz w:val="20"/>
                <w:szCs w:val="20"/>
              </w:rPr>
              <w:t>07.2.00.00000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4DFDDFA"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B538BB9" w14:textId="77777777" w:rsidR="00387142" w:rsidRPr="008B6A75" w:rsidRDefault="00387142" w:rsidP="00387142">
            <w:pPr>
              <w:jc w:val="right"/>
              <w:rPr>
                <w:bCs/>
                <w:sz w:val="20"/>
                <w:szCs w:val="20"/>
              </w:rPr>
            </w:pPr>
            <w:r w:rsidRPr="008B6A75">
              <w:rPr>
                <w:bCs/>
                <w:sz w:val="20"/>
                <w:szCs w:val="20"/>
              </w:rPr>
              <w:t>275 980,00</w:t>
            </w:r>
          </w:p>
        </w:tc>
        <w:tc>
          <w:tcPr>
            <w:tcW w:w="992" w:type="dxa"/>
            <w:tcBorders>
              <w:top w:val="nil"/>
              <w:left w:val="single" w:sz="4" w:space="0" w:color="auto"/>
              <w:bottom w:val="single" w:sz="4" w:space="0" w:color="auto"/>
              <w:right w:val="nil"/>
            </w:tcBorders>
            <w:shd w:val="clear" w:color="auto" w:fill="auto"/>
            <w:vAlign w:val="center"/>
            <w:hideMark/>
          </w:tcPr>
          <w:p w14:paraId="2F24121F" w14:textId="77777777" w:rsidR="00387142" w:rsidRPr="008B6A75" w:rsidRDefault="00387142" w:rsidP="00387142">
            <w:pPr>
              <w:jc w:val="right"/>
              <w:rPr>
                <w:bCs/>
                <w:sz w:val="20"/>
                <w:szCs w:val="20"/>
              </w:rPr>
            </w:pPr>
            <w:r w:rsidRPr="008B6A75">
              <w:rPr>
                <w:bCs/>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15D807E8" w14:textId="77777777" w:rsidR="00387142" w:rsidRPr="008B6A75" w:rsidRDefault="00387142" w:rsidP="00387142">
            <w:pPr>
              <w:jc w:val="right"/>
              <w:rPr>
                <w:bCs/>
                <w:sz w:val="20"/>
                <w:szCs w:val="20"/>
              </w:rPr>
            </w:pPr>
            <w:r w:rsidRPr="008B6A75">
              <w:rPr>
                <w:bCs/>
                <w:sz w:val="20"/>
                <w:szCs w:val="20"/>
              </w:rPr>
              <w:t>0,00</w:t>
            </w:r>
          </w:p>
        </w:tc>
      </w:tr>
      <w:tr w:rsidR="00387142" w:rsidRPr="008B6A75" w14:paraId="065BACE9" w14:textId="77777777" w:rsidTr="00387142">
        <w:trPr>
          <w:trHeight w:val="1155"/>
        </w:trPr>
        <w:tc>
          <w:tcPr>
            <w:tcW w:w="3261" w:type="dxa"/>
            <w:tcBorders>
              <w:top w:val="nil"/>
              <w:left w:val="single" w:sz="4" w:space="0" w:color="auto"/>
              <w:bottom w:val="single" w:sz="4" w:space="0" w:color="auto"/>
              <w:right w:val="nil"/>
            </w:tcBorders>
            <w:shd w:val="clear" w:color="auto" w:fill="auto"/>
            <w:vAlign w:val="center"/>
            <w:hideMark/>
          </w:tcPr>
          <w:p w14:paraId="632B4609" w14:textId="77777777" w:rsidR="00387142" w:rsidRPr="008B6A75" w:rsidRDefault="00387142" w:rsidP="00387142">
            <w:pPr>
              <w:rPr>
                <w:bCs/>
                <w:sz w:val="20"/>
                <w:szCs w:val="20"/>
              </w:rPr>
            </w:pPr>
            <w:r w:rsidRPr="008B6A75">
              <w:rPr>
                <w:bCs/>
                <w:sz w:val="20"/>
                <w:szCs w:val="20"/>
              </w:rPr>
              <w:t>Реализация мероприятий подпрограммы "Выявление и поддержка одаренных детей и талантливой молодежи Куйбышевского района"</w:t>
            </w:r>
          </w:p>
        </w:tc>
        <w:tc>
          <w:tcPr>
            <w:tcW w:w="720" w:type="dxa"/>
            <w:tcBorders>
              <w:top w:val="nil"/>
              <w:left w:val="single" w:sz="4" w:space="0" w:color="auto"/>
              <w:bottom w:val="single" w:sz="4" w:space="0" w:color="auto"/>
              <w:right w:val="nil"/>
            </w:tcBorders>
            <w:shd w:val="clear" w:color="auto" w:fill="auto"/>
            <w:noWrap/>
            <w:vAlign w:val="center"/>
            <w:hideMark/>
          </w:tcPr>
          <w:p w14:paraId="0E2AB5DE" w14:textId="77777777" w:rsidR="00387142" w:rsidRPr="008B6A75" w:rsidRDefault="00387142" w:rsidP="00387142">
            <w:pPr>
              <w:jc w:val="center"/>
              <w:rPr>
                <w:bCs/>
                <w:sz w:val="20"/>
                <w:szCs w:val="20"/>
              </w:rPr>
            </w:pPr>
            <w:r w:rsidRPr="008B6A75">
              <w:rPr>
                <w:bCs/>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78FBD06" w14:textId="77777777" w:rsidR="00387142" w:rsidRPr="008B6A75" w:rsidRDefault="00387142" w:rsidP="00387142">
            <w:pPr>
              <w:jc w:val="center"/>
              <w:rPr>
                <w:bCs/>
                <w:sz w:val="20"/>
                <w:szCs w:val="20"/>
              </w:rPr>
            </w:pPr>
            <w:r w:rsidRPr="008B6A75">
              <w:rPr>
                <w:bCs/>
                <w:sz w:val="20"/>
                <w:szCs w:val="20"/>
              </w:rPr>
              <w:t>05</w:t>
            </w:r>
          </w:p>
        </w:tc>
        <w:tc>
          <w:tcPr>
            <w:tcW w:w="1516" w:type="dxa"/>
            <w:tcBorders>
              <w:top w:val="nil"/>
              <w:left w:val="single" w:sz="4" w:space="0" w:color="auto"/>
              <w:bottom w:val="single" w:sz="4" w:space="0" w:color="auto"/>
              <w:right w:val="nil"/>
            </w:tcBorders>
            <w:shd w:val="clear" w:color="auto" w:fill="auto"/>
            <w:noWrap/>
            <w:vAlign w:val="center"/>
            <w:hideMark/>
          </w:tcPr>
          <w:p w14:paraId="00534B93" w14:textId="77777777" w:rsidR="00387142" w:rsidRPr="008B6A75" w:rsidRDefault="00387142" w:rsidP="00387142">
            <w:pPr>
              <w:jc w:val="center"/>
              <w:rPr>
                <w:bCs/>
                <w:sz w:val="20"/>
                <w:szCs w:val="20"/>
              </w:rPr>
            </w:pPr>
            <w:r w:rsidRPr="008B6A75">
              <w:rPr>
                <w:bCs/>
                <w:sz w:val="20"/>
                <w:szCs w:val="20"/>
              </w:rPr>
              <w:t>07.2.00.79500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6870951"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57D23C5" w14:textId="77777777" w:rsidR="00387142" w:rsidRPr="008B6A75" w:rsidRDefault="00387142" w:rsidP="00387142">
            <w:pPr>
              <w:jc w:val="right"/>
              <w:rPr>
                <w:bCs/>
                <w:sz w:val="20"/>
                <w:szCs w:val="20"/>
              </w:rPr>
            </w:pPr>
            <w:r w:rsidRPr="008B6A75">
              <w:rPr>
                <w:bCs/>
                <w:sz w:val="20"/>
                <w:szCs w:val="20"/>
              </w:rPr>
              <w:t>275 980,00</w:t>
            </w:r>
          </w:p>
        </w:tc>
        <w:tc>
          <w:tcPr>
            <w:tcW w:w="992" w:type="dxa"/>
            <w:tcBorders>
              <w:top w:val="nil"/>
              <w:left w:val="single" w:sz="4" w:space="0" w:color="auto"/>
              <w:bottom w:val="single" w:sz="4" w:space="0" w:color="auto"/>
              <w:right w:val="nil"/>
            </w:tcBorders>
            <w:shd w:val="clear" w:color="auto" w:fill="auto"/>
            <w:vAlign w:val="center"/>
            <w:hideMark/>
          </w:tcPr>
          <w:p w14:paraId="3CD21F61" w14:textId="77777777" w:rsidR="00387142" w:rsidRPr="008B6A75" w:rsidRDefault="00387142" w:rsidP="00387142">
            <w:pPr>
              <w:jc w:val="right"/>
              <w:rPr>
                <w:bCs/>
                <w:sz w:val="20"/>
                <w:szCs w:val="20"/>
              </w:rPr>
            </w:pPr>
            <w:r w:rsidRPr="008B6A75">
              <w:rPr>
                <w:bCs/>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640A9DFC" w14:textId="77777777" w:rsidR="00387142" w:rsidRPr="008B6A75" w:rsidRDefault="00387142" w:rsidP="00387142">
            <w:pPr>
              <w:jc w:val="right"/>
              <w:rPr>
                <w:bCs/>
                <w:sz w:val="20"/>
                <w:szCs w:val="20"/>
              </w:rPr>
            </w:pPr>
            <w:r w:rsidRPr="008B6A75">
              <w:rPr>
                <w:bCs/>
                <w:sz w:val="20"/>
                <w:szCs w:val="20"/>
              </w:rPr>
              <w:t>0,00</w:t>
            </w:r>
          </w:p>
        </w:tc>
      </w:tr>
      <w:tr w:rsidR="00387142" w:rsidRPr="008B6A75" w14:paraId="6C2166FC" w14:textId="77777777" w:rsidTr="00387142">
        <w:trPr>
          <w:trHeight w:val="1440"/>
        </w:trPr>
        <w:tc>
          <w:tcPr>
            <w:tcW w:w="3261" w:type="dxa"/>
            <w:tcBorders>
              <w:top w:val="nil"/>
              <w:left w:val="single" w:sz="4" w:space="0" w:color="auto"/>
              <w:bottom w:val="single" w:sz="4" w:space="0" w:color="auto"/>
              <w:right w:val="nil"/>
            </w:tcBorders>
            <w:shd w:val="clear" w:color="auto" w:fill="auto"/>
            <w:vAlign w:val="center"/>
            <w:hideMark/>
          </w:tcPr>
          <w:p w14:paraId="06050A64" w14:textId="77777777" w:rsidR="00387142" w:rsidRPr="008B6A75" w:rsidRDefault="00387142" w:rsidP="00387142">
            <w:pPr>
              <w:rPr>
                <w:sz w:val="20"/>
                <w:szCs w:val="20"/>
              </w:rPr>
            </w:pPr>
            <w:r w:rsidRPr="008B6A7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14:paraId="0A6C4418" w14:textId="77777777" w:rsidR="00387142" w:rsidRPr="008B6A75" w:rsidRDefault="00387142" w:rsidP="00387142">
            <w:pPr>
              <w:jc w:val="center"/>
              <w:rPr>
                <w:sz w:val="20"/>
                <w:szCs w:val="20"/>
              </w:rPr>
            </w:pPr>
            <w:r w:rsidRPr="008B6A75">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67D152C" w14:textId="77777777" w:rsidR="00387142" w:rsidRPr="008B6A75" w:rsidRDefault="00387142" w:rsidP="00387142">
            <w:pPr>
              <w:jc w:val="center"/>
              <w:rPr>
                <w:sz w:val="20"/>
                <w:szCs w:val="20"/>
              </w:rPr>
            </w:pPr>
            <w:r w:rsidRPr="008B6A75">
              <w:rPr>
                <w:sz w:val="20"/>
                <w:szCs w:val="20"/>
              </w:rPr>
              <w:t>05</w:t>
            </w:r>
          </w:p>
        </w:tc>
        <w:tc>
          <w:tcPr>
            <w:tcW w:w="1516" w:type="dxa"/>
            <w:tcBorders>
              <w:top w:val="nil"/>
              <w:left w:val="single" w:sz="4" w:space="0" w:color="auto"/>
              <w:bottom w:val="single" w:sz="4" w:space="0" w:color="auto"/>
              <w:right w:val="nil"/>
            </w:tcBorders>
            <w:shd w:val="clear" w:color="auto" w:fill="auto"/>
            <w:noWrap/>
            <w:vAlign w:val="center"/>
            <w:hideMark/>
          </w:tcPr>
          <w:p w14:paraId="37A22BA0" w14:textId="77777777" w:rsidR="00387142" w:rsidRPr="008B6A75" w:rsidRDefault="00387142" w:rsidP="00387142">
            <w:pPr>
              <w:jc w:val="center"/>
              <w:rPr>
                <w:sz w:val="20"/>
                <w:szCs w:val="20"/>
              </w:rPr>
            </w:pPr>
            <w:r w:rsidRPr="008B6A75">
              <w:rPr>
                <w:sz w:val="20"/>
                <w:szCs w:val="20"/>
              </w:rPr>
              <w:t>07.2.00.79500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3706FAA" w14:textId="77777777" w:rsidR="00387142" w:rsidRPr="008B6A75" w:rsidRDefault="00387142" w:rsidP="00387142">
            <w:pPr>
              <w:jc w:val="center"/>
              <w:rPr>
                <w:sz w:val="20"/>
                <w:szCs w:val="20"/>
              </w:rPr>
            </w:pPr>
            <w:r w:rsidRPr="008B6A75">
              <w:rPr>
                <w:sz w:val="20"/>
                <w:szCs w:val="20"/>
              </w:rPr>
              <w:t>100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B78C517" w14:textId="77777777" w:rsidR="00387142" w:rsidRPr="008B6A75" w:rsidRDefault="00387142" w:rsidP="00387142">
            <w:pPr>
              <w:jc w:val="right"/>
              <w:rPr>
                <w:sz w:val="20"/>
                <w:szCs w:val="20"/>
              </w:rPr>
            </w:pPr>
            <w:r w:rsidRPr="008B6A75">
              <w:rPr>
                <w:sz w:val="20"/>
                <w:szCs w:val="20"/>
              </w:rPr>
              <w:t>44 310,00</w:t>
            </w:r>
          </w:p>
        </w:tc>
        <w:tc>
          <w:tcPr>
            <w:tcW w:w="992" w:type="dxa"/>
            <w:tcBorders>
              <w:top w:val="nil"/>
              <w:left w:val="single" w:sz="4" w:space="0" w:color="auto"/>
              <w:bottom w:val="single" w:sz="4" w:space="0" w:color="auto"/>
              <w:right w:val="nil"/>
            </w:tcBorders>
            <w:shd w:val="clear" w:color="auto" w:fill="auto"/>
            <w:vAlign w:val="center"/>
            <w:hideMark/>
          </w:tcPr>
          <w:p w14:paraId="132DF89F" w14:textId="77777777" w:rsidR="00387142" w:rsidRPr="008B6A75" w:rsidRDefault="00387142" w:rsidP="00387142">
            <w:pPr>
              <w:jc w:val="right"/>
              <w:rPr>
                <w:sz w:val="20"/>
                <w:szCs w:val="20"/>
              </w:rPr>
            </w:pPr>
            <w:r w:rsidRPr="008B6A75">
              <w:rPr>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65A7A993" w14:textId="77777777" w:rsidR="00387142" w:rsidRPr="008B6A75" w:rsidRDefault="00387142" w:rsidP="00387142">
            <w:pPr>
              <w:jc w:val="right"/>
              <w:rPr>
                <w:sz w:val="20"/>
                <w:szCs w:val="20"/>
              </w:rPr>
            </w:pPr>
            <w:r w:rsidRPr="008B6A75">
              <w:rPr>
                <w:sz w:val="20"/>
                <w:szCs w:val="20"/>
              </w:rPr>
              <w:t>0,00</w:t>
            </w:r>
          </w:p>
        </w:tc>
      </w:tr>
      <w:tr w:rsidR="00387142" w:rsidRPr="008B6A75" w14:paraId="2CC693AB" w14:textId="77777777" w:rsidTr="00387142">
        <w:trPr>
          <w:trHeight w:val="585"/>
        </w:trPr>
        <w:tc>
          <w:tcPr>
            <w:tcW w:w="3261" w:type="dxa"/>
            <w:tcBorders>
              <w:top w:val="nil"/>
              <w:left w:val="single" w:sz="4" w:space="0" w:color="auto"/>
              <w:bottom w:val="single" w:sz="4" w:space="0" w:color="auto"/>
              <w:right w:val="nil"/>
            </w:tcBorders>
            <w:shd w:val="clear" w:color="auto" w:fill="auto"/>
            <w:vAlign w:val="center"/>
            <w:hideMark/>
          </w:tcPr>
          <w:p w14:paraId="5878B1AE" w14:textId="77777777" w:rsidR="00387142" w:rsidRPr="008B6A75" w:rsidRDefault="00387142" w:rsidP="00387142">
            <w:pPr>
              <w:rPr>
                <w:sz w:val="20"/>
                <w:szCs w:val="20"/>
              </w:rPr>
            </w:pPr>
            <w:r w:rsidRPr="008B6A75">
              <w:rPr>
                <w:sz w:val="20"/>
                <w:szCs w:val="20"/>
              </w:rPr>
              <w:t>Расходы на выплаты персоналу казенных учреждений</w:t>
            </w:r>
          </w:p>
        </w:tc>
        <w:tc>
          <w:tcPr>
            <w:tcW w:w="720" w:type="dxa"/>
            <w:tcBorders>
              <w:top w:val="nil"/>
              <w:left w:val="single" w:sz="4" w:space="0" w:color="auto"/>
              <w:bottom w:val="single" w:sz="4" w:space="0" w:color="auto"/>
              <w:right w:val="nil"/>
            </w:tcBorders>
            <w:shd w:val="clear" w:color="auto" w:fill="auto"/>
            <w:noWrap/>
            <w:vAlign w:val="center"/>
            <w:hideMark/>
          </w:tcPr>
          <w:p w14:paraId="29453BDA" w14:textId="77777777" w:rsidR="00387142" w:rsidRPr="008B6A75" w:rsidRDefault="00387142" w:rsidP="00387142">
            <w:pPr>
              <w:jc w:val="center"/>
              <w:rPr>
                <w:sz w:val="20"/>
                <w:szCs w:val="20"/>
              </w:rPr>
            </w:pPr>
            <w:r w:rsidRPr="008B6A75">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015D34A" w14:textId="77777777" w:rsidR="00387142" w:rsidRPr="008B6A75" w:rsidRDefault="00387142" w:rsidP="00387142">
            <w:pPr>
              <w:jc w:val="center"/>
              <w:rPr>
                <w:sz w:val="20"/>
                <w:szCs w:val="20"/>
              </w:rPr>
            </w:pPr>
            <w:r w:rsidRPr="008B6A75">
              <w:rPr>
                <w:sz w:val="20"/>
                <w:szCs w:val="20"/>
              </w:rPr>
              <w:t>05</w:t>
            </w:r>
          </w:p>
        </w:tc>
        <w:tc>
          <w:tcPr>
            <w:tcW w:w="1516" w:type="dxa"/>
            <w:tcBorders>
              <w:top w:val="nil"/>
              <w:left w:val="single" w:sz="4" w:space="0" w:color="auto"/>
              <w:bottom w:val="single" w:sz="4" w:space="0" w:color="auto"/>
              <w:right w:val="nil"/>
            </w:tcBorders>
            <w:shd w:val="clear" w:color="auto" w:fill="auto"/>
            <w:noWrap/>
            <w:vAlign w:val="center"/>
            <w:hideMark/>
          </w:tcPr>
          <w:p w14:paraId="4057A775" w14:textId="77777777" w:rsidR="00387142" w:rsidRPr="008B6A75" w:rsidRDefault="00387142" w:rsidP="00387142">
            <w:pPr>
              <w:jc w:val="center"/>
              <w:rPr>
                <w:sz w:val="20"/>
                <w:szCs w:val="20"/>
              </w:rPr>
            </w:pPr>
            <w:r w:rsidRPr="008B6A75">
              <w:rPr>
                <w:sz w:val="20"/>
                <w:szCs w:val="20"/>
              </w:rPr>
              <w:t>07.2.00.79500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DC00AB8" w14:textId="77777777" w:rsidR="00387142" w:rsidRPr="008B6A75" w:rsidRDefault="00387142" w:rsidP="00387142">
            <w:pPr>
              <w:jc w:val="center"/>
              <w:rPr>
                <w:sz w:val="20"/>
                <w:szCs w:val="20"/>
              </w:rPr>
            </w:pPr>
            <w:r w:rsidRPr="008B6A75">
              <w:rPr>
                <w:sz w:val="20"/>
                <w:szCs w:val="20"/>
              </w:rPr>
              <w:t>110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B681F2B" w14:textId="77777777" w:rsidR="00387142" w:rsidRPr="008B6A75" w:rsidRDefault="00387142" w:rsidP="00387142">
            <w:pPr>
              <w:jc w:val="right"/>
              <w:rPr>
                <w:sz w:val="20"/>
                <w:szCs w:val="20"/>
              </w:rPr>
            </w:pPr>
            <w:r w:rsidRPr="008B6A75">
              <w:rPr>
                <w:sz w:val="20"/>
                <w:szCs w:val="20"/>
              </w:rPr>
              <w:t>44 310,00</w:t>
            </w:r>
          </w:p>
        </w:tc>
        <w:tc>
          <w:tcPr>
            <w:tcW w:w="992" w:type="dxa"/>
            <w:tcBorders>
              <w:top w:val="nil"/>
              <w:left w:val="single" w:sz="4" w:space="0" w:color="auto"/>
              <w:bottom w:val="single" w:sz="4" w:space="0" w:color="auto"/>
              <w:right w:val="nil"/>
            </w:tcBorders>
            <w:shd w:val="clear" w:color="auto" w:fill="auto"/>
            <w:vAlign w:val="center"/>
            <w:hideMark/>
          </w:tcPr>
          <w:p w14:paraId="748084DE" w14:textId="77777777" w:rsidR="00387142" w:rsidRPr="008B6A75" w:rsidRDefault="00387142" w:rsidP="00387142">
            <w:pPr>
              <w:jc w:val="right"/>
              <w:rPr>
                <w:sz w:val="20"/>
                <w:szCs w:val="20"/>
              </w:rPr>
            </w:pPr>
            <w:r w:rsidRPr="008B6A75">
              <w:rPr>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01762719" w14:textId="77777777" w:rsidR="00387142" w:rsidRPr="008B6A75" w:rsidRDefault="00387142" w:rsidP="00387142">
            <w:pPr>
              <w:jc w:val="right"/>
              <w:rPr>
                <w:sz w:val="20"/>
                <w:szCs w:val="20"/>
              </w:rPr>
            </w:pPr>
            <w:r w:rsidRPr="008B6A75">
              <w:rPr>
                <w:sz w:val="20"/>
                <w:szCs w:val="20"/>
              </w:rPr>
              <w:t>0,00</w:t>
            </w:r>
          </w:p>
        </w:tc>
      </w:tr>
      <w:tr w:rsidR="00387142" w:rsidRPr="008B6A75" w14:paraId="42264C85" w14:textId="77777777" w:rsidTr="00387142">
        <w:trPr>
          <w:trHeight w:val="585"/>
        </w:trPr>
        <w:tc>
          <w:tcPr>
            <w:tcW w:w="3261" w:type="dxa"/>
            <w:tcBorders>
              <w:top w:val="nil"/>
              <w:left w:val="single" w:sz="4" w:space="0" w:color="auto"/>
              <w:bottom w:val="single" w:sz="4" w:space="0" w:color="auto"/>
              <w:right w:val="nil"/>
            </w:tcBorders>
            <w:shd w:val="clear" w:color="auto" w:fill="auto"/>
            <w:vAlign w:val="center"/>
            <w:hideMark/>
          </w:tcPr>
          <w:p w14:paraId="591BD9B1" w14:textId="77777777" w:rsidR="00387142" w:rsidRPr="008B6A75" w:rsidRDefault="00387142" w:rsidP="00387142">
            <w:pPr>
              <w:rPr>
                <w:sz w:val="20"/>
                <w:szCs w:val="20"/>
              </w:rPr>
            </w:pPr>
            <w:r w:rsidRPr="008B6A75">
              <w:rPr>
                <w:sz w:val="20"/>
                <w:szCs w:val="20"/>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1C7B4716" w14:textId="77777777" w:rsidR="00387142" w:rsidRPr="008B6A75" w:rsidRDefault="00387142" w:rsidP="00387142">
            <w:pPr>
              <w:jc w:val="center"/>
              <w:rPr>
                <w:sz w:val="20"/>
                <w:szCs w:val="20"/>
              </w:rPr>
            </w:pPr>
            <w:r w:rsidRPr="008B6A75">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062E8D0" w14:textId="77777777" w:rsidR="00387142" w:rsidRPr="008B6A75" w:rsidRDefault="00387142" w:rsidP="00387142">
            <w:pPr>
              <w:jc w:val="center"/>
              <w:rPr>
                <w:sz w:val="20"/>
                <w:szCs w:val="20"/>
              </w:rPr>
            </w:pPr>
            <w:r w:rsidRPr="008B6A75">
              <w:rPr>
                <w:sz w:val="20"/>
                <w:szCs w:val="20"/>
              </w:rPr>
              <w:t>05</w:t>
            </w:r>
          </w:p>
        </w:tc>
        <w:tc>
          <w:tcPr>
            <w:tcW w:w="1516" w:type="dxa"/>
            <w:tcBorders>
              <w:top w:val="nil"/>
              <w:left w:val="single" w:sz="4" w:space="0" w:color="auto"/>
              <w:bottom w:val="single" w:sz="4" w:space="0" w:color="auto"/>
              <w:right w:val="nil"/>
            </w:tcBorders>
            <w:shd w:val="clear" w:color="auto" w:fill="auto"/>
            <w:noWrap/>
            <w:vAlign w:val="center"/>
            <w:hideMark/>
          </w:tcPr>
          <w:p w14:paraId="2D8A5AE4" w14:textId="77777777" w:rsidR="00387142" w:rsidRPr="008B6A75" w:rsidRDefault="00387142" w:rsidP="00387142">
            <w:pPr>
              <w:jc w:val="center"/>
              <w:rPr>
                <w:sz w:val="20"/>
                <w:szCs w:val="20"/>
              </w:rPr>
            </w:pPr>
            <w:r w:rsidRPr="008B6A75">
              <w:rPr>
                <w:sz w:val="20"/>
                <w:szCs w:val="20"/>
              </w:rPr>
              <w:t>07.2.00.79500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FCDA2D0" w14:textId="77777777" w:rsidR="00387142" w:rsidRPr="008B6A75" w:rsidRDefault="00387142" w:rsidP="00387142">
            <w:pPr>
              <w:jc w:val="center"/>
              <w:rPr>
                <w:sz w:val="20"/>
                <w:szCs w:val="20"/>
              </w:rPr>
            </w:pPr>
            <w:r w:rsidRPr="008B6A75">
              <w:rPr>
                <w:sz w:val="20"/>
                <w:szCs w:val="20"/>
              </w:rPr>
              <w:t>200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EEBD210" w14:textId="77777777" w:rsidR="00387142" w:rsidRPr="008B6A75" w:rsidRDefault="00387142" w:rsidP="00387142">
            <w:pPr>
              <w:jc w:val="right"/>
              <w:rPr>
                <w:sz w:val="20"/>
                <w:szCs w:val="20"/>
              </w:rPr>
            </w:pPr>
            <w:r w:rsidRPr="008B6A75">
              <w:rPr>
                <w:sz w:val="20"/>
                <w:szCs w:val="20"/>
              </w:rPr>
              <w:t>231 670,00</w:t>
            </w:r>
          </w:p>
        </w:tc>
        <w:tc>
          <w:tcPr>
            <w:tcW w:w="992" w:type="dxa"/>
            <w:tcBorders>
              <w:top w:val="nil"/>
              <w:left w:val="single" w:sz="4" w:space="0" w:color="auto"/>
              <w:bottom w:val="single" w:sz="4" w:space="0" w:color="auto"/>
              <w:right w:val="nil"/>
            </w:tcBorders>
            <w:shd w:val="clear" w:color="auto" w:fill="auto"/>
            <w:vAlign w:val="center"/>
            <w:hideMark/>
          </w:tcPr>
          <w:p w14:paraId="37E69B1C" w14:textId="77777777" w:rsidR="00387142" w:rsidRPr="008B6A75" w:rsidRDefault="00387142" w:rsidP="00387142">
            <w:pPr>
              <w:jc w:val="right"/>
              <w:rPr>
                <w:sz w:val="20"/>
                <w:szCs w:val="20"/>
              </w:rPr>
            </w:pPr>
            <w:r w:rsidRPr="008B6A75">
              <w:rPr>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24D95F35" w14:textId="77777777" w:rsidR="00387142" w:rsidRPr="008B6A75" w:rsidRDefault="00387142" w:rsidP="00387142">
            <w:pPr>
              <w:jc w:val="right"/>
              <w:rPr>
                <w:sz w:val="20"/>
                <w:szCs w:val="20"/>
              </w:rPr>
            </w:pPr>
            <w:r w:rsidRPr="008B6A75">
              <w:rPr>
                <w:sz w:val="20"/>
                <w:szCs w:val="20"/>
              </w:rPr>
              <w:t>0,00</w:t>
            </w:r>
          </w:p>
        </w:tc>
      </w:tr>
      <w:tr w:rsidR="00387142" w:rsidRPr="008B6A75" w14:paraId="0D30F06A" w14:textId="77777777" w:rsidTr="00387142">
        <w:trPr>
          <w:trHeight w:val="870"/>
        </w:trPr>
        <w:tc>
          <w:tcPr>
            <w:tcW w:w="3261" w:type="dxa"/>
            <w:tcBorders>
              <w:top w:val="nil"/>
              <w:left w:val="single" w:sz="4" w:space="0" w:color="auto"/>
              <w:bottom w:val="single" w:sz="4" w:space="0" w:color="auto"/>
              <w:right w:val="nil"/>
            </w:tcBorders>
            <w:shd w:val="clear" w:color="auto" w:fill="auto"/>
            <w:vAlign w:val="center"/>
            <w:hideMark/>
          </w:tcPr>
          <w:p w14:paraId="5252631B" w14:textId="77777777" w:rsidR="00387142" w:rsidRPr="008B6A75" w:rsidRDefault="00387142" w:rsidP="00387142">
            <w:pPr>
              <w:rPr>
                <w:sz w:val="20"/>
                <w:szCs w:val="20"/>
              </w:rPr>
            </w:pPr>
            <w:r w:rsidRPr="008B6A75">
              <w:rPr>
                <w:sz w:val="20"/>
                <w:szCs w:val="20"/>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3DB0E604" w14:textId="77777777" w:rsidR="00387142" w:rsidRPr="008B6A75" w:rsidRDefault="00387142" w:rsidP="00387142">
            <w:pPr>
              <w:jc w:val="center"/>
              <w:rPr>
                <w:sz w:val="20"/>
                <w:szCs w:val="20"/>
              </w:rPr>
            </w:pPr>
            <w:r w:rsidRPr="008B6A75">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674EDD0" w14:textId="77777777" w:rsidR="00387142" w:rsidRPr="008B6A75" w:rsidRDefault="00387142" w:rsidP="00387142">
            <w:pPr>
              <w:jc w:val="center"/>
              <w:rPr>
                <w:sz w:val="20"/>
                <w:szCs w:val="20"/>
              </w:rPr>
            </w:pPr>
            <w:r w:rsidRPr="008B6A75">
              <w:rPr>
                <w:sz w:val="20"/>
                <w:szCs w:val="20"/>
              </w:rPr>
              <w:t>05</w:t>
            </w:r>
          </w:p>
        </w:tc>
        <w:tc>
          <w:tcPr>
            <w:tcW w:w="1516" w:type="dxa"/>
            <w:tcBorders>
              <w:top w:val="nil"/>
              <w:left w:val="single" w:sz="4" w:space="0" w:color="auto"/>
              <w:bottom w:val="single" w:sz="4" w:space="0" w:color="auto"/>
              <w:right w:val="nil"/>
            </w:tcBorders>
            <w:shd w:val="clear" w:color="auto" w:fill="auto"/>
            <w:noWrap/>
            <w:vAlign w:val="center"/>
            <w:hideMark/>
          </w:tcPr>
          <w:p w14:paraId="0ED40D8C" w14:textId="77777777" w:rsidR="00387142" w:rsidRPr="008B6A75" w:rsidRDefault="00387142" w:rsidP="00387142">
            <w:pPr>
              <w:jc w:val="center"/>
              <w:rPr>
                <w:sz w:val="20"/>
                <w:szCs w:val="20"/>
              </w:rPr>
            </w:pPr>
            <w:r w:rsidRPr="008B6A75">
              <w:rPr>
                <w:sz w:val="20"/>
                <w:szCs w:val="20"/>
              </w:rPr>
              <w:t>07.2.00.79500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818642F" w14:textId="77777777" w:rsidR="00387142" w:rsidRPr="008B6A75" w:rsidRDefault="00387142" w:rsidP="00387142">
            <w:pPr>
              <w:jc w:val="center"/>
              <w:rPr>
                <w:sz w:val="20"/>
                <w:szCs w:val="20"/>
              </w:rPr>
            </w:pPr>
            <w:r w:rsidRPr="008B6A75">
              <w:rPr>
                <w:sz w:val="20"/>
                <w:szCs w:val="20"/>
              </w:rPr>
              <w:t>240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AC86558" w14:textId="77777777" w:rsidR="00387142" w:rsidRPr="008B6A75" w:rsidRDefault="00387142" w:rsidP="00387142">
            <w:pPr>
              <w:jc w:val="right"/>
              <w:rPr>
                <w:sz w:val="20"/>
                <w:szCs w:val="20"/>
              </w:rPr>
            </w:pPr>
            <w:r w:rsidRPr="008B6A75">
              <w:rPr>
                <w:sz w:val="20"/>
                <w:szCs w:val="20"/>
              </w:rPr>
              <w:t>231 670,00</w:t>
            </w:r>
          </w:p>
        </w:tc>
        <w:tc>
          <w:tcPr>
            <w:tcW w:w="992" w:type="dxa"/>
            <w:tcBorders>
              <w:top w:val="nil"/>
              <w:left w:val="single" w:sz="4" w:space="0" w:color="auto"/>
              <w:bottom w:val="single" w:sz="4" w:space="0" w:color="auto"/>
              <w:right w:val="nil"/>
            </w:tcBorders>
            <w:shd w:val="clear" w:color="auto" w:fill="auto"/>
            <w:vAlign w:val="center"/>
            <w:hideMark/>
          </w:tcPr>
          <w:p w14:paraId="54E4CDFD" w14:textId="77777777" w:rsidR="00387142" w:rsidRPr="008B6A75" w:rsidRDefault="00387142" w:rsidP="00387142">
            <w:pPr>
              <w:jc w:val="right"/>
              <w:rPr>
                <w:sz w:val="20"/>
                <w:szCs w:val="20"/>
              </w:rPr>
            </w:pPr>
            <w:r w:rsidRPr="008B6A75">
              <w:rPr>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68BF47C3" w14:textId="77777777" w:rsidR="00387142" w:rsidRPr="008B6A75" w:rsidRDefault="00387142" w:rsidP="00387142">
            <w:pPr>
              <w:jc w:val="right"/>
              <w:rPr>
                <w:sz w:val="20"/>
                <w:szCs w:val="20"/>
              </w:rPr>
            </w:pPr>
            <w:r w:rsidRPr="008B6A75">
              <w:rPr>
                <w:sz w:val="20"/>
                <w:szCs w:val="20"/>
              </w:rPr>
              <w:t>0,00</w:t>
            </w:r>
          </w:p>
        </w:tc>
      </w:tr>
      <w:tr w:rsidR="00387142" w:rsidRPr="008B6A75" w14:paraId="2E39917E" w14:textId="77777777" w:rsidTr="00387142">
        <w:trPr>
          <w:trHeight w:val="870"/>
        </w:trPr>
        <w:tc>
          <w:tcPr>
            <w:tcW w:w="3261" w:type="dxa"/>
            <w:tcBorders>
              <w:top w:val="nil"/>
              <w:left w:val="single" w:sz="4" w:space="0" w:color="auto"/>
              <w:bottom w:val="single" w:sz="4" w:space="0" w:color="auto"/>
              <w:right w:val="nil"/>
            </w:tcBorders>
            <w:shd w:val="clear" w:color="auto" w:fill="auto"/>
            <w:vAlign w:val="center"/>
            <w:hideMark/>
          </w:tcPr>
          <w:p w14:paraId="2983CD8E" w14:textId="77777777" w:rsidR="00387142" w:rsidRPr="008B6A75" w:rsidRDefault="00387142" w:rsidP="00387142">
            <w:pPr>
              <w:rPr>
                <w:bCs/>
                <w:sz w:val="20"/>
                <w:szCs w:val="20"/>
              </w:rPr>
            </w:pPr>
            <w:proofErr w:type="spellStart"/>
            <w:r w:rsidRPr="008B6A75">
              <w:rPr>
                <w:bCs/>
                <w:sz w:val="20"/>
                <w:szCs w:val="20"/>
              </w:rPr>
              <w:t>Подпрограмма"Развитие</w:t>
            </w:r>
            <w:proofErr w:type="spellEnd"/>
            <w:r w:rsidRPr="008B6A75">
              <w:rPr>
                <w:bCs/>
                <w:sz w:val="20"/>
                <w:szCs w:val="20"/>
              </w:rPr>
              <w:t xml:space="preserve"> кадрового потенциала системы дошкольного, общего и дополнительного образования детей"</w:t>
            </w:r>
          </w:p>
        </w:tc>
        <w:tc>
          <w:tcPr>
            <w:tcW w:w="720" w:type="dxa"/>
            <w:tcBorders>
              <w:top w:val="nil"/>
              <w:left w:val="single" w:sz="4" w:space="0" w:color="auto"/>
              <w:bottom w:val="single" w:sz="4" w:space="0" w:color="auto"/>
              <w:right w:val="nil"/>
            </w:tcBorders>
            <w:shd w:val="clear" w:color="auto" w:fill="auto"/>
            <w:noWrap/>
            <w:vAlign w:val="center"/>
            <w:hideMark/>
          </w:tcPr>
          <w:p w14:paraId="40717928" w14:textId="77777777" w:rsidR="00387142" w:rsidRPr="008B6A75" w:rsidRDefault="00387142" w:rsidP="00387142">
            <w:pPr>
              <w:jc w:val="center"/>
              <w:rPr>
                <w:bCs/>
                <w:sz w:val="20"/>
                <w:szCs w:val="20"/>
              </w:rPr>
            </w:pPr>
            <w:r w:rsidRPr="008B6A75">
              <w:rPr>
                <w:bCs/>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C41D2B0" w14:textId="77777777" w:rsidR="00387142" w:rsidRPr="008B6A75" w:rsidRDefault="00387142" w:rsidP="00387142">
            <w:pPr>
              <w:jc w:val="center"/>
              <w:rPr>
                <w:bCs/>
                <w:sz w:val="20"/>
                <w:szCs w:val="20"/>
              </w:rPr>
            </w:pPr>
            <w:r w:rsidRPr="008B6A75">
              <w:rPr>
                <w:bCs/>
                <w:sz w:val="20"/>
                <w:szCs w:val="20"/>
              </w:rPr>
              <w:t>05</w:t>
            </w:r>
          </w:p>
        </w:tc>
        <w:tc>
          <w:tcPr>
            <w:tcW w:w="1516" w:type="dxa"/>
            <w:tcBorders>
              <w:top w:val="nil"/>
              <w:left w:val="single" w:sz="4" w:space="0" w:color="auto"/>
              <w:bottom w:val="single" w:sz="4" w:space="0" w:color="auto"/>
              <w:right w:val="nil"/>
            </w:tcBorders>
            <w:shd w:val="clear" w:color="auto" w:fill="auto"/>
            <w:noWrap/>
            <w:vAlign w:val="center"/>
            <w:hideMark/>
          </w:tcPr>
          <w:p w14:paraId="643C9E00" w14:textId="77777777" w:rsidR="00387142" w:rsidRPr="008B6A75" w:rsidRDefault="00387142" w:rsidP="00387142">
            <w:pPr>
              <w:jc w:val="center"/>
              <w:rPr>
                <w:bCs/>
                <w:sz w:val="20"/>
                <w:szCs w:val="20"/>
              </w:rPr>
            </w:pPr>
            <w:r w:rsidRPr="008B6A75">
              <w:rPr>
                <w:bCs/>
                <w:sz w:val="20"/>
                <w:szCs w:val="20"/>
              </w:rPr>
              <w:t>07.3.00.00000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4864DB4"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F5FB4DA" w14:textId="77777777" w:rsidR="00387142" w:rsidRPr="008B6A75" w:rsidRDefault="00387142" w:rsidP="00387142">
            <w:pPr>
              <w:jc w:val="right"/>
              <w:rPr>
                <w:bCs/>
                <w:sz w:val="20"/>
                <w:szCs w:val="20"/>
              </w:rPr>
            </w:pPr>
            <w:r w:rsidRPr="008B6A75">
              <w:rPr>
                <w:bCs/>
                <w:sz w:val="20"/>
                <w:szCs w:val="20"/>
              </w:rPr>
              <w:t>445 000,00</w:t>
            </w:r>
          </w:p>
        </w:tc>
        <w:tc>
          <w:tcPr>
            <w:tcW w:w="992" w:type="dxa"/>
            <w:tcBorders>
              <w:top w:val="nil"/>
              <w:left w:val="single" w:sz="4" w:space="0" w:color="auto"/>
              <w:bottom w:val="single" w:sz="4" w:space="0" w:color="auto"/>
              <w:right w:val="nil"/>
            </w:tcBorders>
            <w:shd w:val="clear" w:color="auto" w:fill="auto"/>
            <w:vAlign w:val="center"/>
            <w:hideMark/>
          </w:tcPr>
          <w:p w14:paraId="05A9ED76" w14:textId="77777777" w:rsidR="00387142" w:rsidRPr="008B6A75" w:rsidRDefault="00387142" w:rsidP="00387142">
            <w:pPr>
              <w:jc w:val="right"/>
              <w:rPr>
                <w:bCs/>
                <w:sz w:val="20"/>
                <w:szCs w:val="20"/>
              </w:rPr>
            </w:pPr>
            <w:r w:rsidRPr="008B6A75">
              <w:rPr>
                <w:bCs/>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6307684F" w14:textId="77777777" w:rsidR="00387142" w:rsidRPr="008B6A75" w:rsidRDefault="00387142" w:rsidP="00387142">
            <w:pPr>
              <w:jc w:val="right"/>
              <w:rPr>
                <w:bCs/>
                <w:sz w:val="20"/>
                <w:szCs w:val="20"/>
              </w:rPr>
            </w:pPr>
            <w:r w:rsidRPr="008B6A75">
              <w:rPr>
                <w:bCs/>
                <w:sz w:val="20"/>
                <w:szCs w:val="20"/>
              </w:rPr>
              <w:t>0,00</w:t>
            </w:r>
          </w:p>
        </w:tc>
      </w:tr>
      <w:tr w:rsidR="00387142" w:rsidRPr="008B6A75" w14:paraId="4A409AD4" w14:textId="77777777" w:rsidTr="00387142">
        <w:trPr>
          <w:trHeight w:val="1155"/>
        </w:trPr>
        <w:tc>
          <w:tcPr>
            <w:tcW w:w="3261" w:type="dxa"/>
            <w:tcBorders>
              <w:top w:val="nil"/>
              <w:left w:val="single" w:sz="4" w:space="0" w:color="auto"/>
              <w:bottom w:val="single" w:sz="4" w:space="0" w:color="auto"/>
              <w:right w:val="nil"/>
            </w:tcBorders>
            <w:shd w:val="clear" w:color="auto" w:fill="auto"/>
            <w:vAlign w:val="center"/>
            <w:hideMark/>
          </w:tcPr>
          <w:p w14:paraId="718F4CBD" w14:textId="77777777" w:rsidR="00387142" w:rsidRPr="008B6A75" w:rsidRDefault="00387142" w:rsidP="00387142">
            <w:pPr>
              <w:rPr>
                <w:bCs/>
                <w:sz w:val="20"/>
                <w:szCs w:val="20"/>
              </w:rPr>
            </w:pPr>
            <w:r w:rsidRPr="008B6A75">
              <w:rPr>
                <w:bCs/>
                <w:sz w:val="20"/>
                <w:szCs w:val="20"/>
              </w:rPr>
              <w:t>Реализация мероприятий подпрограммы "Развитие кадрового потенциала системы дошкольного, общего и дополнительного образования детей"</w:t>
            </w:r>
          </w:p>
        </w:tc>
        <w:tc>
          <w:tcPr>
            <w:tcW w:w="720" w:type="dxa"/>
            <w:tcBorders>
              <w:top w:val="nil"/>
              <w:left w:val="single" w:sz="4" w:space="0" w:color="auto"/>
              <w:bottom w:val="single" w:sz="4" w:space="0" w:color="auto"/>
              <w:right w:val="nil"/>
            </w:tcBorders>
            <w:shd w:val="clear" w:color="auto" w:fill="auto"/>
            <w:noWrap/>
            <w:vAlign w:val="center"/>
            <w:hideMark/>
          </w:tcPr>
          <w:p w14:paraId="217FD0D2" w14:textId="77777777" w:rsidR="00387142" w:rsidRPr="008B6A75" w:rsidRDefault="00387142" w:rsidP="00387142">
            <w:pPr>
              <w:jc w:val="center"/>
              <w:rPr>
                <w:bCs/>
                <w:sz w:val="20"/>
                <w:szCs w:val="20"/>
              </w:rPr>
            </w:pPr>
            <w:r w:rsidRPr="008B6A75">
              <w:rPr>
                <w:bCs/>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F7AB9F8" w14:textId="77777777" w:rsidR="00387142" w:rsidRPr="008B6A75" w:rsidRDefault="00387142" w:rsidP="00387142">
            <w:pPr>
              <w:jc w:val="center"/>
              <w:rPr>
                <w:bCs/>
                <w:sz w:val="20"/>
                <w:szCs w:val="20"/>
              </w:rPr>
            </w:pPr>
            <w:r w:rsidRPr="008B6A75">
              <w:rPr>
                <w:bCs/>
                <w:sz w:val="20"/>
                <w:szCs w:val="20"/>
              </w:rPr>
              <w:t>05</w:t>
            </w:r>
          </w:p>
        </w:tc>
        <w:tc>
          <w:tcPr>
            <w:tcW w:w="1516" w:type="dxa"/>
            <w:tcBorders>
              <w:top w:val="nil"/>
              <w:left w:val="single" w:sz="4" w:space="0" w:color="auto"/>
              <w:bottom w:val="single" w:sz="4" w:space="0" w:color="auto"/>
              <w:right w:val="nil"/>
            </w:tcBorders>
            <w:shd w:val="clear" w:color="auto" w:fill="auto"/>
            <w:noWrap/>
            <w:vAlign w:val="center"/>
            <w:hideMark/>
          </w:tcPr>
          <w:p w14:paraId="623D22FA" w14:textId="77777777" w:rsidR="00387142" w:rsidRPr="008B6A75" w:rsidRDefault="00387142" w:rsidP="00387142">
            <w:pPr>
              <w:jc w:val="center"/>
              <w:rPr>
                <w:bCs/>
                <w:sz w:val="20"/>
                <w:szCs w:val="20"/>
              </w:rPr>
            </w:pPr>
            <w:r w:rsidRPr="008B6A75">
              <w:rPr>
                <w:bCs/>
                <w:sz w:val="20"/>
                <w:szCs w:val="20"/>
              </w:rPr>
              <w:t>07.3.00.79500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E73C063"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9A88191" w14:textId="77777777" w:rsidR="00387142" w:rsidRPr="008B6A75" w:rsidRDefault="00387142" w:rsidP="00387142">
            <w:pPr>
              <w:jc w:val="right"/>
              <w:rPr>
                <w:bCs/>
                <w:sz w:val="20"/>
                <w:szCs w:val="20"/>
              </w:rPr>
            </w:pPr>
            <w:r w:rsidRPr="008B6A75">
              <w:rPr>
                <w:bCs/>
                <w:sz w:val="20"/>
                <w:szCs w:val="20"/>
              </w:rPr>
              <w:t>445 000,00</w:t>
            </w:r>
          </w:p>
        </w:tc>
        <w:tc>
          <w:tcPr>
            <w:tcW w:w="992" w:type="dxa"/>
            <w:tcBorders>
              <w:top w:val="nil"/>
              <w:left w:val="single" w:sz="4" w:space="0" w:color="auto"/>
              <w:bottom w:val="single" w:sz="4" w:space="0" w:color="auto"/>
              <w:right w:val="nil"/>
            </w:tcBorders>
            <w:shd w:val="clear" w:color="auto" w:fill="auto"/>
            <w:vAlign w:val="center"/>
            <w:hideMark/>
          </w:tcPr>
          <w:p w14:paraId="707F44DB" w14:textId="77777777" w:rsidR="00387142" w:rsidRPr="008B6A75" w:rsidRDefault="00387142" w:rsidP="00387142">
            <w:pPr>
              <w:jc w:val="right"/>
              <w:rPr>
                <w:bCs/>
                <w:sz w:val="20"/>
                <w:szCs w:val="20"/>
              </w:rPr>
            </w:pPr>
            <w:r w:rsidRPr="008B6A75">
              <w:rPr>
                <w:bCs/>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5D8173B4" w14:textId="77777777" w:rsidR="00387142" w:rsidRPr="008B6A75" w:rsidRDefault="00387142" w:rsidP="00387142">
            <w:pPr>
              <w:jc w:val="right"/>
              <w:rPr>
                <w:bCs/>
                <w:sz w:val="20"/>
                <w:szCs w:val="20"/>
              </w:rPr>
            </w:pPr>
            <w:r w:rsidRPr="008B6A75">
              <w:rPr>
                <w:bCs/>
                <w:sz w:val="20"/>
                <w:szCs w:val="20"/>
              </w:rPr>
              <w:t>0,00</w:t>
            </w:r>
          </w:p>
        </w:tc>
      </w:tr>
      <w:tr w:rsidR="00387142" w:rsidRPr="008B6A75" w14:paraId="59E40F49" w14:textId="77777777" w:rsidTr="00387142">
        <w:trPr>
          <w:trHeight w:val="1440"/>
        </w:trPr>
        <w:tc>
          <w:tcPr>
            <w:tcW w:w="3261" w:type="dxa"/>
            <w:tcBorders>
              <w:top w:val="nil"/>
              <w:left w:val="single" w:sz="4" w:space="0" w:color="auto"/>
              <w:bottom w:val="single" w:sz="4" w:space="0" w:color="auto"/>
              <w:right w:val="nil"/>
            </w:tcBorders>
            <w:shd w:val="clear" w:color="auto" w:fill="auto"/>
            <w:vAlign w:val="center"/>
            <w:hideMark/>
          </w:tcPr>
          <w:p w14:paraId="2B809A13" w14:textId="77777777" w:rsidR="00387142" w:rsidRPr="008B6A75" w:rsidRDefault="00387142" w:rsidP="00387142">
            <w:pPr>
              <w:rPr>
                <w:sz w:val="20"/>
                <w:szCs w:val="20"/>
              </w:rPr>
            </w:pPr>
            <w:r w:rsidRPr="008B6A7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14:paraId="7FA38352" w14:textId="77777777" w:rsidR="00387142" w:rsidRPr="008B6A75" w:rsidRDefault="00387142" w:rsidP="00387142">
            <w:pPr>
              <w:jc w:val="center"/>
              <w:rPr>
                <w:sz w:val="20"/>
                <w:szCs w:val="20"/>
              </w:rPr>
            </w:pPr>
            <w:r w:rsidRPr="008B6A75">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EF1D860" w14:textId="77777777" w:rsidR="00387142" w:rsidRPr="008B6A75" w:rsidRDefault="00387142" w:rsidP="00387142">
            <w:pPr>
              <w:jc w:val="center"/>
              <w:rPr>
                <w:sz w:val="20"/>
                <w:szCs w:val="20"/>
              </w:rPr>
            </w:pPr>
            <w:r w:rsidRPr="008B6A75">
              <w:rPr>
                <w:sz w:val="20"/>
                <w:szCs w:val="20"/>
              </w:rPr>
              <w:t>05</w:t>
            </w:r>
          </w:p>
        </w:tc>
        <w:tc>
          <w:tcPr>
            <w:tcW w:w="1516" w:type="dxa"/>
            <w:tcBorders>
              <w:top w:val="nil"/>
              <w:left w:val="single" w:sz="4" w:space="0" w:color="auto"/>
              <w:bottom w:val="single" w:sz="4" w:space="0" w:color="auto"/>
              <w:right w:val="nil"/>
            </w:tcBorders>
            <w:shd w:val="clear" w:color="auto" w:fill="auto"/>
            <w:noWrap/>
            <w:vAlign w:val="center"/>
            <w:hideMark/>
          </w:tcPr>
          <w:p w14:paraId="5F06B0D1" w14:textId="77777777" w:rsidR="00387142" w:rsidRPr="008B6A75" w:rsidRDefault="00387142" w:rsidP="00387142">
            <w:pPr>
              <w:jc w:val="center"/>
              <w:rPr>
                <w:sz w:val="20"/>
                <w:szCs w:val="20"/>
              </w:rPr>
            </w:pPr>
            <w:r w:rsidRPr="008B6A75">
              <w:rPr>
                <w:sz w:val="20"/>
                <w:szCs w:val="20"/>
              </w:rPr>
              <w:t>07.3.00.79500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EBA28E1" w14:textId="77777777" w:rsidR="00387142" w:rsidRPr="008B6A75" w:rsidRDefault="00387142" w:rsidP="00387142">
            <w:pPr>
              <w:jc w:val="center"/>
              <w:rPr>
                <w:sz w:val="20"/>
                <w:szCs w:val="20"/>
              </w:rPr>
            </w:pPr>
            <w:r w:rsidRPr="008B6A75">
              <w:rPr>
                <w:sz w:val="20"/>
                <w:szCs w:val="20"/>
              </w:rPr>
              <w:t>100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6BF093E" w14:textId="77777777" w:rsidR="00387142" w:rsidRPr="008B6A75" w:rsidRDefault="00387142" w:rsidP="00387142">
            <w:pPr>
              <w:jc w:val="right"/>
              <w:rPr>
                <w:sz w:val="20"/>
                <w:szCs w:val="20"/>
              </w:rPr>
            </w:pPr>
            <w:r w:rsidRPr="008B6A75">
              <w:rPr>
                <w:sz w:val="20"/>
                <w:szCs w:val="20"/>
              </w:rPr>
              <w:t>72 318,30</w:t>
            </w:r>
          </w:p>
        </w:tc>
        <w:tc>
          <w:tcPr>
            <w:tcW w:w="992" w:type="dxa"/>
            <w:tcBorders>
              <w:top w:val="nil"/>
              <w:left w:val="single" w:sz="4" w:space="0" w:color="auto"/>
              <w:bottom w:val="single" w:sz="4" w:space="0" w:color="auto"/>
              <w:right w:val="nil"/>
            </w:tcBorders>
            <w:shd w:val="clear" w:color="auto" w:fill="auto"/>
            <w:vAlign w:val="center"/>
            <w:hideMark/>
          </w:tcPr>
          <w:p w14:paraId="49D270A1" w14:textId="77777777" w:rsidR="00387142" w:rsidRPr="008B6A75" w:rsidRDefault="00387142" w:rsidP="00387142">
            <w:pPr>
              <w:jc w:val="right"/>
              <w:rPr>
                <w:sz w:val="20"/>
                <w:szCs w:val="20"/>
              </w:rPr>
            </w:pPr>
            <w:r w:rsidRPr="008B6A75">
              <w:rPr>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2937B9EA" w14:textId="77777777" w:rsidR="00387142" w:rsidRPr="008B6A75" w:rsidRDefault="00387142" w:rsidP="00387142">
            <w:pPr>
              <w:jc w:val="right"/>
              <w:rPr>
                <w:sz w:val="20"/>
                <w:szCs w:val="20"/>
              </w:rPr>
            </w:pPr>
            <w:r w:rsidRPr="008B6A75">
              <w:rPr>
                <w:sz w:val="20"/>
                <w:szCs w:val="20"/>
              </w:rPr>
              <w:t>0,00</w:t>
            </w:r>
          </w:p>
        </w:tc>
      </w:tr>
      <w:tr w:rsidR="00387142" w:rsidRPr="008B6A75" w14:paraId="22BE3492" w14:textId="77777777" w:rsidTr="00387142">
        <w:trPr>
          <w:trHeight w:val="585"/>
        </w:trPr>
        <w:tc>
          <w:tcPr>
            <w:tcW w:w="3261" w:type="dxa"/>
            <w:tcBorders>
              <w:top w:val="nil"/>
              <w:left w:val="single" w:sz="4" w:space="0" w:color="auto"/>
              <w:bottom w:val="single" w:sz="4" w:space="0" w:color="auto"/>
              <w:right w:val="nil"/>
            </w:tcBorders>
            <w:shd w:val="clear" w:color="auto" w:fill="auto"/>
            <w:vAlign w:val="center"/>
            <w:hideMark/>
          </w:tcPr>
          <w:p w14:paraId="1D2B5616" w14:textId="77777777" w:rsidR="00387142" w:rsidRPr="008B6A75" w:rsidRDefault="00387142" w:rsidP="00387142">
            <w:pPr>
              <w:rPr>
                <w:sz w:val="20"/>
                <w:szCs w:val="20"/>
              </w:rPr>
            </w:pPr>
            <w:r w:rsidRPr="008B6A75">
              <w:rPr>
                <w:sz w:val="20"/>
                <w:szCs w:val="20"/>
              </w:rPr>
              <w:t>Расходы на выплаты персоналу казенных учреждений</w:t>
            </w:r>
          </w:p>
        </w:tc>
        <w:tc>
          <w:tcPr>
            <w:tcW w:w="720" w:type="dxa"/>
            <w:tcBorders>
              <w:top w:val="nil"/>
              <w:left w:val="single" w:sz="4" w:space="0" w:color="auto"/>
              <w:bottom w:val="single" w:sz="4" w:space="0" w:color="auto"/>
              <w:right w:val="nil"/>
            </w:tcBorders>
            <w:shd w:val="clear" w:color="auto" w:fill="auto"/>
            <w:noWrap/>
            <w:vAlign w:val="center"/>
            <w:hideMark/>
          </w:tcPr>
          <w:p w14:paraId="2292596B" w14:textId="77777777" w:rsidR="00387142" w:rsidRPr="008B6A75" w:rsidRDefault="00387142" w:rsidP="00387142">
            <w:pPr>
              <w:jc w:val="center"/>
              <w:rPr>
                <w:sz w:val="20"/>
                <w:szCs w:val="20"/>
              </w:rPr>
            </w:pPr>
            <w:r w:rsidRPr="008B6A75">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37D2606" w14:textId="77777777" w:rsidR="00387142" w:rsidRPr="008B6A75" w:rsidRDefault="00387142" w:rsidP="00387142">
            <w:pPr>
              <w:jc w:val="center"/>
              <w:rPr>
                <w:sz w:val="20"/>
                <w:szCs w:val="20"/>
              </w:rPr>
            </w:pPr>
            <w:r w:rsidRPr="008B6A75">
              <w:rPr>
                <w:sz w:val="20"/>
                <w:szCs w:val="20"/>
              </w:rPr>
              <w:t>05</w:t>
            </w:r>
          </w:p>
        </w:tc>
        <w:tc>
          <w:tcPr>
            <w:tcW w:w="1516" w:type="dxa"/>
            <w:tcBorders>
              <w:top w:val="nil"/>
              <w:left w:val="single" w:sz="4" w:space="0" w:color="auto"/>
              <w:bottom w:val="single" w:sz="4" w:space="0" w:color="auto"/>
              <w:right w:val="nil"/>
            </w:tcBorders>
            <w:shd w:val="clear" w:color="auto" w:fill="auto"/>
            <w:noWrap/>
            <w:vAlign w:val="center"/>
            <w:hideMark/>
          </w:tcPr>
          <w:p w14:paraId="5328B14F" w14:textId="77777777" w:rsidR="00387142" w:rsidRPr="008B6A75" w:rsidRDefault="00387142" w:rsidP="00387142">
            <w:pPr>
              <w:jc w:val="center"/>
              <w:rPr>
                <w:sz w:val="20"/>
                <w:szCs w:val="20"/>
              </w:rPr>
            </w:pPr>
            <w:r w:rsidRPr="008B6A75">
              <w:rPr>
                <w:sz w:val="20"/>
                <w:szCs w:val="20"/>
              </w:rPr>
              <w:t>07.3.00.79500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B270A93" w14:textId="77777777" w:rsidR="00387142" w:rsidRPr="008B6A75" w:rsidRDefault="00387142" w:rsidP="00387142">
            <w:pPr>
              <w:jc w:val="center"/>
              <w:rPr>
                <w:sz w:val="20"/>
                <w:szCs w:val="20"/>
              </w:rPr>
            </w:pPr>
            <w:r w:rsidRPr="008B6A75">
              <w:rPr>
                <w:sz w:val="20"/>
                <w:szCs w:val="20"/>
              </w:rPr>
              <w:t>110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3CD924E" w14:textId="77777777" w:rsidR="00387142" w:rsidRPr="008B6A75" w:rsidRDefault="00387142" w:rsidP="00387142">
            <w:pPr>
              <w:jc w:val="right"/>
              <w:rPr>
                <w:sz w:val="20"/>
                <w:szCs w:val="20"/>
              </w:rPr>
            </w:pPr>
            <w:r w:rsidRPr="008B6A75">
              <w:rPr>
                <w:sz w:val="20"/>
                <w:szCs w:val="20"/>
              </w:rPr>
              <w:t>72 318,30</w:t>
            </w:r>
          </w:p>
        </w:tc>
        <w:tc>
          <w:tcPr>
            <w:tcW w:w="992" w:type="dxa"/>
            <w:tcBorders>
              <w:top w:val="nil"/>
              <w:left w:val="single" w:sz="4" w:space="0" w:color="auto"/>
              <w:bottom w:val="single" w:sz="4" w:space="0" w:color="auto"/>
              <w:right w:val="nil"/>
            </w:tcBorders>
            <w:shd w:val="clear" w:color="auto" w:fill="auto"/>
            <w:vAlign w:val="center"/>
            <w:hideMark/>
          </w:tcPr>
          <w:p w14:paraId="00727934" w14:textId="77777777" w:rsidR="00387142" w:rsidRPr="008B6A75" w:rsidRDefault="00387142" w:rsidP="00387142">
            <w:pPr>
              <w:jc w:val="right"/>
              <w:rPr>
                <w:sz w:val="20"/>
                <w:szCs w:val="20"/>
              </w:rPr>
            </w:pPr>
            <w:r w:rsidRPr="008B6A75">
              <w:rPr>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42A08294" w14:textId="77777777" w:rsidR="00387142" w:rsidRPr="008B6A75" w:rsidRDefault="00387142" w:rsidP="00387142">
            <w:pPr>
              <w:jc w:val="right"/>
              <w:rPr>
                <w:sz w:val="20"/>
                <w:szCs w:val="20"/>
              </w:rPr>
            </w:pPr>
            <w:r w:rsidRPr="008B6A75">
              <w:rPr>
                <w:sz w:val="20"/>
                <w:szCs w:val="20"/>
              </w:rPr>
              <w:t>0,00</w:t>
            </w:r>
          </w:p>
        </w:tc>
      </w:tr>
      <w:tr w:rsidR="00387142" w:rsidRPr="008B6A75" w14:paraId="5501C1B4" w14:textId="77777777" w:rsidTr="00387142">
        <w:trPr>
          <w:trHeight w:val="585"/>
        </w:trPr>
        <w:tc>
          <w:tcPr>
            <w:tcW w:w="3261" w:type="dxa"/>
            <w:tcBorders>
              <w:top w:val="nil"/>
              <w:left w:val="single" w:sz="4" w:space="0" w:color="auto"/>
              <w:bottom w:val="single" w:sz="4" w:space="0" w:color="auto"/>
              <w:right w:val="nil"/>
            </w:tcBorders>
            <w:shd w:val="clear" w:color="auto" w:fill="auto"/>
            <w:vAlign w:val="center"/>
            <w:hideMark/>
          </w:tcPr>
          <w:p w14:paraId="75F38AF2" w14:textId="77777777" w:rsidR="00387142" w:rsidRPr="008B6A75" w:rsidRDefault="00387142" w:rsidP="00387142">
            <w:pPr>
              <w:rPr>
                <w:sz w:val="20"/>
                <w:szCs w:val="20"/>
              </w:rPr>
            </w:pPr>
            <w:r w:rsidRPr="008B6A75">
              <w:rPr>
                <w:sz w:val="20"/>
                <w:szCs w:val="20"/>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1B2651D0" w14:textId="77777777" w:rsidR="00387142" w:rsidRPr="008B6A75" w:rsidRDefault="00387142" w:rsidP="00387142">
            <w:pPr>
              <w:jc w:val="center"/>
              <w:rPr>
                <w:sz w:val="20"/>
                <w:szCs w:val="20"/>
              </w:rPr>
            </w:pPr>
            <w:r w:rsidRPr="008B6A75">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81D619F" w14:textId="77777777" w:rsidR="00387142" w:rsidRPr="008B6A75" w:rsidRDefault="00387142" w:rsidP="00387142">
            <w:pPr>
              <w:jc w:val="center"/>
              <w:rPr>
                <w:sz w:val="20"/>
                <w:szCs w:val="20"/>
              </w:rPr>
            </w:pPr>
            <w:r w:rsidRPr="008B6A75">
              <w:rPr>
                <w:sz w:val="20"/>
                <w:szCs w:val="20"/>
              </w:rPr>
              <w:t>05</w:t>
            </w:r>
          </w:p>
        </w:tc>
        <w:tc>
          <w:tcPr>
            <w:tcW w:w="1516" w:type="dxa"/>
            <w:tcBorders>
              <w:top w:val="nil"/>
              <w:left w:val="single" w:sz="4" w:space="0" w:color="auto"/>
              <w:bottom w:val="single" w:sz="4" w:space="0" w:color="auto"/>
              <w:right w:val="nil"/>
            </w:tcBorders>
            <w:shd w:val="clear" w:color="auto" w:fill="auto"/>
            <w:noWrap/>
            <w:vAlign w:val="center"/>
            <w:hideMark/>
          </w:tcPr>
          <w:p w14:paraId="0A36C810" w14:textId="77777777" w:rsidR="00387142" w:rsidRPr="008B6A75" w:rsidRDefault="00387142" w:rsidP="00387142">
            <w:pPr>
              <w:jc w:val="center"/>
              <w:rPr>
                <w:sz w:val="20"/>
                <w:szCs w:val="20"/>
              </w:rPr>
            </w:pPr>
            <w:r w:rsidRPr="008B6A75">
              <w:rPr>
                <w:sz w:val="20"/>
                <w:szCs w:val="20"/>
              </w:rPr>
              <w:t>07.3.00.79500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2A5C33C" w14:textId="77777777" w:rsidR="00387142" w:rsidRPr="008B6A75" w:rsidRDefault="00387142" w:rsidP="00387142">
            <w:pPr>
              <w:jc w:val="center"/>
              <w:rPr>
                <w:sz w:val="20"/>
                <w:szCs w:val="20"/>
              </w:rPr>
            </w:pPr>
            <w:r w:rsidRPr="008B6A75">
              <w:rPr>
                <w:sz w:val="20"/>
                <w:szCs w:val="20"/>
              </w:rPr>
              <w:t>200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C3FC231" w14:textId="77777777" w:rsidR="00387142" w:rsidRPr="008B6A75" w:rsidRDefault="00387142" w:rsidP="00387142">
            <w:pPr>
              <w:jc w:val="right"/>
              <w:rPr>
                <w:sz w:val="20"/>
                <w:szCs w:val="20"/>
              </w:rPr>
            </w:pPr>
            <w:r w:rsidRPr="008B6A75">
              <w:rPr>
                <w:sz w:val="20"/>
                <w:szCs w:val="20"/>
              </w:rPr>
              <w:t>322 681,70</w:t>
            </w:r>
          </w:p>
        </w:tc>
        <w:tc>
          <w:tcPr>
            <w:tcW w:w="992" w:type="dxa"/>
            <w:tcBorders>
              <w:top w:val="nil"/>
              <w:left w:val="single" w:sz="4" w:space="0" w:color="auto"/>
              <w:bottom w:val="single" w:sz="4" w:space="0" w:color="auto"/>
              <w:right w:val="nil"/>
            </w:tcBorders>
            <w:shd w:val="clear" w:color="auto" w:fill="auto"/>
            <w:vAlign w:val="center"/>
            <w:hideMark/>
          </w:tcPr>
          <w:p w14:paraId="1509B323" w14:textId="77777777" w:rsidR="00387142" w:rsidRPr="008B6A75" w:rsidRDefault="00387142" w:rsidP="00387142">
            <w:pPr>
              <w:jc w:val="right"/>
              <w:rPr>
                <w:sz w:val="20"/>
                <w:szCs w:val="20"/>
              </w:rPr>
            </w:pPr>
            <w:r w:rsidRPr="008B6A75">
              <w:rPr>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3029F752" w14:textId="77777777" w:rsidR="00387142" w:rsidRPr="008B6A75" w:rsidRDefault="00387142" w:rsidP="00387142">
            <w:pPr>
              <w:jc w:val="right"/>
              <w:rPr>
                <w:sz w:val="20"/>
                <w:szCs w:val="20"/>
              </w:rPr>
            </w:pPr>
            <w:r w:rsidRPr="008B6A75">
              <w:rPr>
                <w:sz w:val="20"/>
                <w:szCs w:val="20"/>
              </w:rPr>
              <w:t>0,00</w:t>
            </w:r>
          </w:p>
        </w:tc>
      </w:tr>
      <w:tr w:rsidR="00387142" w:rsidRPr="008B6A75" w14:paraId="1C8B417D" w14:textId="77777777" w:rsidTr="00387142">
        <w:trPr>
          <w:trHeight w:val="870"/>
        </w:trPr>
        <w:tc>
          <w:tcPr>
            <w:tcW w:w="3261" w:type="dxa"/>
            <w:tcBorders>
              <w:top w:val="nil"/>
              <w:left w:val="single" w:sz="4" w:space="0" w:color="auto"/>
              <w:bottom w:val="single" w:sz="4" w:space="0" w:color="auto"/>
              <w:right w:val="nil"/>
            </w:tcBorders>
            <w:shd w:val="clear" w:color="auto" w:fill="auto"/>
            <w:vAlign w:val="center"/>
            <w:hideMark/>
          </w:tcPr>
          <w:p w14:paraId="3F710A15" w14:textId="77777777" w:rsidR="00387142" w:rsidRPr="008B6A75" w:rsidRDefault="00387142" w:rsidP="00387142">
            <w:pPr>
              <w:rPr>
                <w:sz w:val="20"/>
                <w:szCs w:val="20"/>
              </w:rPr>
            </w:pPr>
            <w:r w:rsidRPr="008B6A75">
              <w:rPr>
                <w:sz w:val="20"/>
                <w:szCs w:val="20"/>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6E9C8C7C" w14:textId="77777777" w:rsidR="00387142" w:rsidRPr="008B6A75" w:rsidRDefault="00387142" w:rsidP="00387142">
            <w:pPr>
              <w:jc w:val="center"/>
              <w:rPr>
                <w:sz w:val="20"/>
                <w:szCs w:val="20"/>
              </w:rPr>
            </w:pPr>
            <w:r w:rsidRPr="008B6A75">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6C66E7B" w14:textId="77777777" w:rsidR="00387142" w:rsidRPr="008B6A75" w:rsidRDefault="00387142" w:rsidP="00387142">
            <w:pPr>
              <w:jc w:val="center"/>
              <w:rPr>
                <w:sz w:val="20"/>
                <w:szCs w:val="20"/>
              </w:rPr>
            </w:pPr>
            <w:r w:rsidRPr="008B6A75">
              <w:rPr>
                <w:sz w:val="20"/>
                <w:szCs w:val="20"/>
              </w:rPr>
              <w:t>05</w:t>
            </w:r>
          </w:p>
        </w:tc>
        <w:tc>
          <w:tcPr>
            <w:tcW w:w="1516" w:type="dxa"/>
            <w:tcBorders>
              <w:top w:val="nil"/>
              <w:left w:val="single" w:sz="4" w:space="0" w:color="auto"/>
              <w:bottom w:val="single" w:sz="4" w:space="0" w:color="auto"/>
              <w:right w:val="nil"/>
            </w:tcBorders>
            <w:shd w:val="clear" w:color="auto" w:fill="auto"/>
            <w:noWrap/>
            <w:vAlign w:val="center"/>
            <w:hideMark/>
          </w:tcPr>
          <w:p w14:paraId="05891ADC" w14:textId="77777777" w:rsidR="00387142" w:rsidRPr="008B6A75" w:rsidRDefault="00387142" w:rsidP="00387142">
            <w:pPr>
              <w:jc w:val="center"/>
              <w:rPr>
                <w:sz w:val="20"/>
                <w:szCs w:val="20"/>
              </w:rPr>
            </w:pPr>
            <w:r w:rsidRPr="008B6A75">
              <w:rPr>
                <w:sz w:val="20"/>
                <w:szCs w:val="20"/>
              </w:rPr>
              <w:t>07.3.00.79500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7D829E8" w14:textId="77777777" w:rsidR="00387142" w:rsidRPr="008B6A75" w:rsidRDefault="00387142" w:rsidP="00387142">
            <w:pPr>
              <w:jc w:val="center"/>
              <w:rPr>
                <w:sz w:val="20"/>
                <w:szCs w:val="20"/>
              </w:rPr>
            </w:pPr>
            <w:r w:rsidRPr="008B6A75">
              <w:rPr>
                <w:sz w:val="20"/>
                <w:szCs w:val="20"/>
              </w:rPr>
              <w:t>240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ACCAE21" w14:textId="77777777" w:rsidR="00387142" w:rsidRPr="008B6A75" w:rsidRDefault="00387142" w:rsidP="00387142">
            <w:pPr>
              <w:jc w:val="right"/>
              <w:rPr>
                <w:sz w:val="20"/>
                <w:szCs w:val="20"/>
              </w:rPr>
            </w:pPr>
            <w:r w:rsidRPr="008B6A75">
              <w:rPr>
                <w:sz w:val="20"/>
                <w:szCs w:val="20"/>
              </w:rPr>
              <w:t>322 681,70</w:t>
            </w:r>
          </w:p>
        </w:tc>
        <w:tc>
          <w:tcPr>
            <w:tcW w:w="992" w:type="dxa"/>
            <w:tcBorders>
              <w:top w:val="nil"/>
              <w:left w:val="single" w:sz="4" w:space="0" w:color="auto"/>
              <w:bottom w:val="single" w:sz="4" w:space="0" w:color="auto"/>
              <w:right w:val="nil"/>
            </w:tcBorders>
            <w:shd w:val="clear" w:color="auto" w:fill="auto"/>
            <w:vAlign w:val="center"/>
            <w:hideMark/>
          </w:tcPr>
          <w:p w14:paraId="594103C6" w14:textId="77777777" w:rsidR="00387142" w:rsidRPr="008B6A75" w:rsidRDefault="00387142" w:rsidP="00387142">
            <w:pPr>
              <w:jc w:val="right"/>
              <w:rPr>
                <w:sz w:val="20"/>
                <w:szCs w:val="20"/>
              </w:rPr>
            </w:pPr>
            <w:r w:rsidRPr="008B6A75">
              <w:rPr>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2E3AB054" w14:textId="77777777" w:rsidR="00387142" w:rsidRPr="008B6A75" w:rsidRDefault="00387142" w:rsidP="00387142">
            <w:pPr>
              <w:jc w:val="right"/>
              <w:rPr>
                <w:sz w:val="20"/>
                <w:szCs w:val="20"/>
              </w:rPr>
            </w:pPr>
            <w:r w:rsidRPr="008B6A75">
              <w:rPr>
                <w:sz w:val="20"/>
                <w:szCs w:val="20"/>
              </w:rPr>
              <w:t>0,00</w:t>
            </w:r>
          </w:p>
        </w:tc>
      </w:tr>
      <w:tr w:rsidR="00387142" w:rsidRPr="008B6A75" w14:paraId="54CE553D" w14:textId="77777777" w:rsidTr="00387142">
        <w:trPr>
          <w:trHeight w:val="585"/>
        </w:trPr>
        <w:tc>
          <w:tcPr>
            <w:tcW w:w="3261" w:type="dxa"/>
            <w:tcBorders>
              <w:top w:val="nil"/>
              <w:left w:val="single" w:sz="4" w:space="0" w:color="auto"/>
              <w:bottom w:val="single" w:sz="4" w:space="0" w:color="auto"/>
              <w:right w:val="nil"/>
            </w:tcBorders>
            <w:shd w:val="clear" w:color="auto" w:fill="auto"/>
            <w:vAlign w:val="center"/>
            <w:hideMark/>
          </w:tcPr>
          <w:p w14:paraId="255C0A04" w14:textId="77777777" w:rsidR="00387142" w:rsidRPr="008B6A75" w:rsidRDefault="00387142" w:rsidP="00387142">
            <w:pPr>
              <w:rPr>
                <w:sz w:val="20"/>
                <w:szCs w:val="20"/>
              </w:rPr>
            </w:pPr>
            <w:r w:rsidRPr="008B6A75">
              <w:rPr>
                <w:sz w:val="20"/>
                <w:szCs w:val="20"/>
              </w:rPr>
              <w:t>Социальное обеспечение и иные выплаты населению</w:t>
            </w:r>
          </w:p>
        </w:tc>
        <w:tc>
          <w:tcPr>
            <w:tcW w:w="720" w:type="dxa"/>
            <w:tcBorders>
              <w:top w:val="nil"/>
              <w:left w:val="single" w:sz="4" w:space="0" w:color="auto"/>
              <w:bottom w:val="single" w:sz="4" w:space="0" w:color="auto"/>
              <w:right w:val="nil"/>
            </w:tcBorders>
            <w:shd w:val="clear" w:color="auto" w:fill="auto"/>
            <w:noWrap/>
            <w:vAlign w:val="center"/>
            <w:hideMark/>
          </w:tcPr>
          <w:p w14:paraId="56F8F85E" w14:textId="77777777" w:rsidR="00387142" w:rsidRPr="008B6A75" w:rsidRDefault="00387142" w:rsidP="00387142">
            <w:pPr>
              <w:jc w:val="center"/>
              <w:rPr>
                <w:sz w:val="20"/>
                <w:szCs w:val="20"/>
              </w:rPr>
            </w:pPr>
            <w:r w:rsidRPr="008B6A75">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85D21D7" w14:textId="77777777" w:rsidR="00387142" w:rsidRPr="008B6A75" w:rsidRDefault="00387142" w:rsidP="00387142">
            <w:pPr>
              <w:jc w:val="center"/>
              <w:rPr>
                <w:sz w:val="20"/>
                <w:szCs w:val="20"/>
              </w:rPr>
            </w:pPr>
            <w:r w:rsidRPr="008B6A75">
              <w:rPr>
                <w:sz w:val="20"/>
                <w:szCs w:val="20"/>
              </w:rPr>
              <w:t>05</w:t>
            </w:r>
          </w:p>
        </w:tc>
        <w:tc>
          <w:tcPr>
            <w:tcW w:w="1516" w:type="dxa"/>
            <w:tcBorders>
              <w:top w:val="nil"/>
              <w:left w:val="single" w:sz="4" w:space="0" w:color="auto"/>
              <w:bottom w:val="single" w:sz="4" w:space="0" w:color="auto"/>
              <w:right w:val="nil"/>
            </w:tcBorders>
            <w:shd w:val="clear" w:color="auto" w:fill="auto"/>
            <w:noWrap/>
            <w:vAlign w:val="center"/>
            <w:hideMark/>
          </w:tcPr>
          <w:p w14:paraId="17E7F9F8" w14:textId="77777777" w:rsidR="00387142" w:rsidRPr="008B6A75" w:rsidRDefault="00387142" w:rsidP="00387142">
            <w:pPr>
              <w:jc w:val="center"/>
              <w:rPr>
                <w:sz w:val="20"/>
                <w:szCs w:val="20"/>
              </w:rPr>
            </w:pPr>
            <w:r w:rsidRPr="008B6A75">
              <w:rPr>
                <w:sz w:val="20"/>
                <w:szCs w:val="20"/>
              </w:rPr>
              <w:t>07.3.00.79500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96D4FCC" w14:textId="77777777" w:rsidR="00387142" w:rsidRPr="008B6A75" w:rsidRDefault="00387142" w:rsidP="00387142">
            <w:pPr>
              <w:jc w:val="center"/>
              <w:rPr>
                <w:sz w:val="20"/>
                <w:szCs w:val="20"/>
              </w:rPr>
            </w:pPr>
            <w:r w:rsidRPr="008B6A75">
              <w:rPr>
                <w:sz w:val="20"/>
                <w:szCs w:val="20"/>
              </w:rPr>
              <w:t>300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19B217F" w14:textId="77777777" w:rsidR="00387142" w:rsidRPr="008B6A75" w:rsidRDefault="00387142" w:rsidP="00387142">
            <w:pPr>
              <w:jc w:val="right"/>
              <w:rPr>
                <w:sz w:val="20"/>
                <w:szCs w:val="20"/>
              </w:rPr>
            </w:pPr>
            <w:r w:rsidRPr="008B6A75">
              <w:rPr>
                <w:sz w:val="20"/>
                <w:szCs w:val="20"/>
              </w:rPr>
              <w:t>50 000,00</w:t>
            </w:r>
          </w:p>
        </w:tc>
        <w:tc>
          <w:tcPr>
            <w:tcW w:w="992" w:type="dxa"/>
            <w:tcBorders>
              <w:top w:val="nil"/>
              <w:left w:val="single" w:sz="4" w:space="0" w:color="auto"/>
              <w:bottom w:val="single" w:sz="4" w:space="0" w:color="auto"/>
              <w:right w:val="nil"/>
            </w:tcBorders>
            <w:shd w:val="clear" w:color="auto" w:fill="auto"/>
            <w:vAlign w:val="center"/>
            <w:hideMark/>
          </w:tcPr>
          <w:p w14:paraId="2760DD8E" w14:textId="77777777" w:rsidR="00387142" w:rsidRPr="008B6A75" w:rsidRDefault="00387142" w:rsidP="00387142">
            <w:pPr>
              <w:jc w:val="right"/>
              <w:rPr>
                <w:sz w:val="20"/>
                <w:szCs w:val="20"/>
              </w:rPr>
            </w:pPr>
            <w:r w:rsidRPr="008B6A75">
              <w:rPr>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4A2050F3" w14:textId="77777777" w:rsidR="00387142" w:rsidRPr="008B6A75" w:rsidRDefault="00387142" w:rsidP="00387142">
            <w:pPr>
              <w:jc w:val="right"/>
              <w:rPr>
                <w:sz w:val="20"/>
                <w:szCs w:val="20"/>
              </w:rPr>
            </w:pPr>
            <w:r w:rsidRPr="008B6A75">
              <w:rPr>
                <w:sz w:val="20"/>
                <w:szCs w:val="20"/>
              </w:rPr>
              <w:t>0,00</w:t>
            </w:r>
          </w:p>
        </w:tc>
      </w:tr>
      <w:tr w:rsidR="00387142" w:rsidRPr="008B6A75" w14:paraId="147A3275" w14:textId="77777777" w:rsidTr="00387142">
        <w:trPr>
          <w:trHeight w:val="345"/>
        </w:trPr>
        <w:tc>
          <w:tcPr>
            <w:tcW w:w="3261" w:type="dxa"/>
            <w:tcBorders>
              <w:top w:val="nil"/>
              <w:left w:val="single" w:sz="4" w:space="0" w:color="auto"/>
              <w:bottom w:val="single" w:sz="4" w:space="0" w:color="auto"/>
              <w:right w:val="nil"/>
            </w:tcBorders>
            <w:shd w:val="clear" w:color="auto" w:fill="auto"/>
            <w:vAlign w:val="center"/>
            <w:hideMark/>
          </w:tcPr>
          <w:p w14:paraId="0AA8F2A2" w14:textId="77777777" w:rsidR="00387142" w:rsidRPr="008B6A75" w:rsidRDefault="00387142" w:rsidP="00387142">
            <w:pPr>
              <w:rPr>
                <w:sz w:val="20"/>
                <w:szCs w:val="20"/>
              </w:rPr>
            </w:pPr>
            <w:r w:rsidRPr="008B6A75">
              <w:rPr>
                <w:sz w:val="20"/>
                <w:szCs w:val="20"/>
              </w:rPr>
              <w:t>Премии и гранты</w:t>
            </w:r>
          </w:p>
        </w:tc>
        <w:tc>
          <w:tcPr>
            <w:tcW w:w="720" w:type="dxa"/>
            <w:tcBorders>
              <w:top w:val="nil"/>
              <w:left w:val="single" w:sz="4" w:space="0" w:color="auto"/>
              <w:bottom w:val="single" w:sz="4" w:space="0" w:color="auto"/>
              <w:right w:val="nil"/>
            </w:tcBorders>
            <w:shd w:val="clear" w:color="auto" w:fill="auto"/>
            <w:noWrap/>
            <w:vAlign w:val="center"/>
            <w:hideMark/>
          </w:tcPr>
          <w:p w14:paraId="0E70F2CB" w14:textId="77777777" w:rsidR="00387142" w:rsidRPr="008B6A75" w:rsidRDefault="00387142" w:rsidP="00387142">
            <w:pPr>
              <w:jc w:val="center"/>
              <w:rPr>
                <w:sz w:val="20"/>
                <w:szCs w:val="20"/>
              </w:rPr>
            </w:pPr>
            <w:r w:rsidRPr="008B6A75">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E1F033B" w14:textId="77777777" w:rsidR="00387142" w:rsidRPr="008B6A75" w:rsidRDefault="00387142" w:rsidP="00387142">
            <w:pPr>
              <w:jc w:val="center"/>
              <w:rPr>
                <w:sz w:val="20"/>
                <w:szCs w:val="20"/>
              </w:rPr>
            </w:pPr>
            <w:r w:rsidRPr="008B6A75">
              <w:rPr>
                <w:sz w:val="20"/>
                <w:szCs w:val="20"/>
              </w:rPr>
              <w:t>05</w:t>
            </w:r>
          </w:p>
        </w:tc>
        <w:tc>
          <w:tcPr>
            <w:tcW w:w="1516" w:type="dxa"/>
            <w:tcBorders>
              <w:top w:val="nil"/>
              <w:left w:val="single" w:sz="4" w:space="0" w:color="auto"/>
              <w:bottom w:val="single" w:sz="4" w:space="0" w:color="auto"/>
              <w:right w:val="nil"/>
            </w:tcBorders>
            <w:shd w:val="clear" w:color="auto" w:fill="auto"/>
            <w:noWrap/>
            <w:vAlign w:val="center"/>
            <w:hideMark/>
          </w:tcPr>
          <w:p w14:paraId="26CBABBA" w14:textId="77777777" w:rsidR="00387142" w:rsidRPr="008B6A75" w:rsidRDefault="00387142" w:rsidP="00387142">
            <w:pPr>
              <w:jc w:val="center"/>
              <w:rPr>
                <w:sz w:val="20"/>
                <w:szCs w:val="20"/>
              </w:rPr>
            </w:pPr>
            <w:r w:rsidRPr="008B6A75">
              <w:rPr>
                <w:sz w:val="20"/>
                <w:szCs w:val="20"/>
              </w:rPr>
              <w:t>07.3.00.79500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E87C85F" w14:textId="77777777" w:rsidR="00387142" w:rsidRPr="008B6A75" w:rsidRDefault="00387142" w:rsidP="00387142">
            <w:pPr>
              <w:jc w:val="center"/>
              <w:rPr>
                <w:sz w:val="20"/>
                <w:szCs w:val="20"/>
              </w:rPr>
            </w:pPr>
            <w:r w:rsidRPr="008B6A75">
              <w:rPr>
                <w:sz w:val="20"/>
                <w:szCs w:val="20"/>
              </w:rPr>
              <w:t>350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A1EE17D" w14:textId="77777777" w:rsidR="00387142" w:rsidRPr="008B6A75" w:rsidRDefault="00387142" w:rsidP="00387142">
            <w:pPr>
              <w:jc w:val="right"/>
              <w:rPr>
                <w:sz w:val="20"/>
                <w:szCs w:val="20"/>
              </w:rPr>
            </w:pPr>
            <w:r w:rsidRPr="008B6A75">
              <w:rPr>
                <w:sz w:val="20"/>
                <w:szCs w:val="20"/>
              </w:rPr>
              <w:t>50 000,00</w:t>
            </w:r>
          </w:p>
        </w:tc>
        <w:tc>
          <w:tcPr>
            <w:tcW w:w="992" w:type="dxa"/>
            <w:tcBorders>
              <w:top w:val="nil"/>
              <w:left w:val="single" w:sz="4" w:space="0" w:color="auto"/>
              <w:bottom w:val="single" w:sz="4" w:space="0" w:color="auto"/>
              <w:right w:val="nil"/>
            </w:tcBorders>
            <w:shd w:val="clear" w:color="auto" w:fill="auto"/>
            <w:vAlign w:val="center"/>
            <w:hideMark/>
          </w:tcPr>
          <w:p w14:paraId="3DBD77B7" w14:textId="77777777" w:rsidR="00387142" w:rsidRPr="008B6A75" w:rsidRDefault="00387142" w:rsidP="00387142">
            <w:pPr>
              <w:jc w:val="right"/>
              <w:rPr>
                <w:sz w:val="20"/>
                <w:szCs w:val="20"/>
              </w:rPr>
            </w:pPr>
            <w:r w:rsidRPr="008B6A75">
              <w:rPr>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28A67243" w14:textId="77777777" w:rsidR="00387142" w:rsidRPr="008B6A75" w:rsidRDefault="00387142" w:rsidP="00387142">
            <w:pPr>
              <w:jc w:val="right"/>
              <w:rPr>
                <w:sz w:val="20"/>
                <w:szCs w:val="20"/>
              </w:rPr>
            </w:pPr>
            <w:r w:rsidRPr="008B6A75">
              <w:rPr>
                <w:sz w:val="20"/>
                <w:szCs w:val="20"/>
              </w:rPr>
              <w:t>0,00</w:t>
            </w:r>
          </w:p>
        </w:tc>
      </w:tr>
      <w:tr w:rsidR="00387142" w:rsidRPr="008B6A75" w14:paraId="351408FA" w14:textId="77777777" w:rsidTr="00387142">
        <w:trPr>
          <w:trHeight w:val="345"/>
        </w:trPr>
        <w:tc>
          <w:tcPr>
            <w:tcW w:w="3261" w:type="dxa"/>
            <w:tcBorders>
              <w:top w:val="nil"/>
              <w:left w:val="single" w:sz="4" w:space="0" w:color="auto"/>
              <w:bottom w:val="single" w:sz="4" w:space="0" w:color="auto"/>
              <w:right w:val="nil"/>
            </w:tcBorders>
            <w:shd w:val="clear" w:color="auto" w:fill="auto"/>
            <w:vAlign w:val="center"/>
            <w:hideMark/>
          </w:tcPr>
          <w:p w14:paraId="2EEE7C3C" w14:textId="77777777" w:rsidR="00387142" w:rsidRPr="008B6A75" w:rsidRDefault="00387142" w:rsidP="00387142">
            <w:pPr>
              <w:rPr>
                <w:bCs/>
                <w:sz w:val="20"/>
                <w:szCs w:val="20"/>
              </w:rPr>
            </w:pPr>
            <w:r w:rsidRPr="008B6A75">
              <w:rPr>
                <w:bCs/>
                <w:sz w:val="20"/>
                <w:szCs w:val="20"/>
              </w:rPr>
              <w:t>Молодежная политика</w:t>
            </w:r>
          </w:p>
        </w:tc>
        <w:tc>
          <w:tcPr>
            <w:tcW w:w="720" w:type="dxa"/>
            <w:tcBorders>
              <w:top w:val="nil"/>
              <w:left w:val="single" w:sz="4" w:space="0" w:color="auto"/>
              <w:bottom w:val="single" w:sz="4" w:space="0" w:color="auto"/>
              <w:right w:val="nil"/>
            </w:tcBorders>
            <w:shd w:val="clear" w:color="auto" w:fill="auto"/>
            <w:noWrap/>
            <w:vAlign w:val="center"/>
            <w:hideMark/>
          </w:tcPr>
          <w:p w14:paraId="0E20D973" w14:textId="77777777" w:rsidR="00387142" w:rsidRPr="008B6A75" w:rsidRDefault="00387142" w:rsidP="00387142">
            <w:pPr>
              <w:jc w:val="center"/>
              <w:rPr>
                <w:bCs/>
                <w:sz w:val="20"/>
                <w:szCs w:val="20"/>
              </w:rPr>
            </w:pPr>
            <w:r w:rsidRPr="008B6A75">
              <w:rPr>
                <w:bCs/>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D42C77A" w14:textId="77777777" w:rsidR="00387142" w:rsidRPr="008B6A75" w:rsidRDefault="00387142" w:rsidP="00387142">
            <w:pPr>
              <w:jc w:val="center"/>
              <w:rPr>
                <w:bCs/>
                <w:sz w:val="20"/>
                <w:szCs w:val="20"/>
              </w:rPr>
            </w:pPr>
            <w:r w:rsidRPr="008B6A75">
              <w:rPr>
                <w:bCs/>
                <w:sz w:val="20"/>
                <w:szCs w:val="20"/>
              </w:rPr>
              <w:t>07</w:t>
            </w:r>
          </w:p>
        </w:tc>
        <w:tc>
          <w:tcPr>
            <w:tcW w:w="1516" w:type="dxa"/>
            <w:tcBorders>
              <w:top w:val="nil"/>
              <w:left w:val="single" w:sz="4" w:space="0" w:color="auto"/>
              <w:bottom w:val="single" w:sz="4" w:space="0" w:color="auto"/>
              <w:right w:val="nil"/>
            </w:tcBorders>
            <w:shd w:val="clear" w:color="auto" w:fill="auto"/>
            <w:noWrap/>
            <w:vAlign w:val="center"/>
            <w:hideMark/>
          </w:tcPr>
          <w:p w14:paraId="25EB5DBA" w14:textId="77777777" w:rsidR="00387142" w:rsidRPr="008B6A75" w:rsidRDefault="00387142" w:rsidP="00387142">
            <w:pPr>
              <w:jc w:val="center"/>
              <w:rPr>
                <w:bCs/>
                <w:sz w:val="20"/>
                <w:szCs w:val="20"/>
              </w:rPr>
            </w:pPr>
            <w:r w:rsidRPr="008B6A75">
              <w:rPr>
                <w:bCs/>
                <w:sz w:val="20"/>
                <w:szCs w:val="20"/>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1776A35"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D325196" w14:textId="77777777" w:rsidR="00387142" w:rsidRPr="008B6A75" w:rsidRDefault="00387142" w:rsidP="00387142">
            <w:pPr>
              <w:jc w:val="right"/>
              <w:rPr>
                <w:bCs/>
                <w:sz w:val="20"/>
                <w:szCs w:val="20"/>
              </w:rPr>
            </w:pPr>
            <w:r w:rsidRPr="008B6A75">
              <w:rPr>
                <w:bCs/>
                <w:sz w:val="20"/>
                <w:szCs w:val="20"/>
              </w:rPr>
              <w:t>40 510 543,79</w:t>
            </w:r>
          </w:p>
        </w:tc>
        <w:tc>
          <w:tcPr>
            <w:tcW w:w="992" w:type="dxa"/>
            <w:tcBorders>
              <w:top w:val="nil"/>
              <w:left w:val="single" w:sz="4" w:space="0" w:color="auto"/>
              <w:bottom w:val="single" w:sz="4" w:space="0" w:color="auto"/>
              <w:right w:val="nil"/>
            </w:tcBorders>
            <w:shd w:val="clear" w:color="auto" w:fill="auto"/>
            <w:vAlign w:val="center"/>
            <w:hideMark/>
          </w:tcPr>
          <w:p w14:paraId="3E70DBA2" w14:textId="77777777" w:rsidR="00387142" w:rsidRPr="008B6A75" w:rsidRDefault="00387142" w:rsidP="00387142">
            <w:pPr>
              <w:jc w:val="right"/>
              <w:rPr>
                <w:bCs/>
                <w:sz w:val="20"/>
                <w:szCs w:val="20"/>
              </w:rPr>
            </w:pPr>
            <w:r w:rsidRPr="008B6A75">
              <w:rPr>
                <w:bCs/>
                <w:sz w:val="20"/>
                <w:szCs w:val="20"/>
              </w:rPr>
              <w:t>19 849 809,00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0AA69E50" w14:textId="77777777" w:rsidR="00387142" w:rsidRPr="008B6A75" w:rsidRDefault="00387142" w:rsidP="00387142">
            <w:pPr>
              <w:jc w:val="right"/>
              <w:rPr>
                <w:bCs/>
                <w:sz w:val="20"/>
                <w:szCs w:val="20"/>
              </w:rPr>
            </w:pPr>
            <w:r w:rsidRPr="008B6A75">
              <w:rPr>
                <w:bCs/>
                <w:sz w:val="20"/>
                <w:szCs w:val="20"/>
              </w:rPr>
              <w:t>19 723 200,00</w:t>
            </w:r>
          </w:p>
        </w:tc>
      </w:tr>
      <w:tr w:rsidR="00387142" w:rsidRPr="008B6A75" w14:paraId="4555B402" w14:textId="77777777" w:rsidTr="00387142">
        <w:trPr>
          <w:trHeight w:val="585"/>
        </w:trPr>
        <w:tc>
          <w:tcPr>
            <w:tcW w:w="3261" w:type="dxa"/>
            <w:tcBorders>
              <w:top w:val="nil"/>
              <w:left w:val="single" w:sz="4" w:space="0" w:color="auto"/>
              <w:bottom w:val="single" w:sz="4" w:space="0" w:color="auto"/>
              <w:right w:val="nil"/>
            </w:tcBorders>
            <w:shd w:val="clear" w:color="auto" w:fill="auto"/>
            <w:vAlign w:val="center"/>
            <w:hideMark/>
          </w:tcPr>
          <w:p w14:paraId="5CA93536" w14:textId="77777777" w:rsidR="00387142" w:rsidRPr="008B6A75" w:rsidRDefault="00387142" w:rsidP="00387142">
            <w:pPr>
              <w:rPr>
                <w:bCs/>
                <w:sz w:val="20"/>
                <w:szCs w:val="20"/>
              </w:rPr>
            </w:pPr>
            <w:r w:rsidRPr="008B6A75">
              <w:rPr>
                <w:bCs/>
                <w:sz w:val="20"/>
                <w:szCs w:val="20"/>
              </w:rPr>
              <w:lastRenderedPageBreak/>
              <w:t>Муниципальная программа "Содействие занятости населения Куйбышевского района"</w:t>
            </w:r>
          </w:p>
        </w:tc>
        <w:tc>
          <w:tcPr>
            <w:tcW w:w="720" w:type="dxa"/>
            <w:tcBorders>
              <w:top w:val="nil"/>
              <w:left w:val="single" w:sz="4" w:space="0" w:color="auto"/>
              <w:bottom w:val="single" w:sz="4" w:space="0" w:color="auto"/>
              <w:right w:val="nil"/>
            </w:tcBorders>
            <w:shd w:val="clear" w:color="auto" w:fill="auto"/>
            <w:noWrap/>
            <w:vAlign w:val="center"/>
            <w:hideMark/>
          </w:tcPr>
          <w:p w14:paraId="626B4303" w14:textId="77777777" w:rsidR="00387142" w:rsidRPr="008B6A75" w:rsidRDefault="00387142" w:rsidP="00387142">
            <w:pPr>
              <w:jc w:val="center"/>
              <w:rPr>
                <w:bCs/>
                <w:sz w:val="20"/>
                <w:szCs w:val="20"/>
              </w:rPr>
            </w:pPr>
            <w:r w:rsidRPr="008B6A75">
              <w:rPr>
                <w:bCs/>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7F6C798" w14:textId="77777777" w:rsidR="00387142" w:rsidRPr="008B6A75" w:rsidRDefault="00387142" w:rsidP="00387142">
            <w:pPr>
              <w:jc w:val="center"/>
              <w:rPr>
                <w:bCs/>
                <w:sz w:val="20"/>
                <w:szCs w:val="20"/>
              </w:rPr>
            </w:pPr>
            <w:r w:rsidRPr="008B6A75">
              <w:rPr>
                <w:bCs/>
                <w:sz w:val="20"/>
                <w:szCs w:val="20"/>
              </w:rPr>
              <w:t>07</w:t>
            </w:r>
          </w:p>
        </w:tc>
        <w:tc>
          <w:tcPr>
            <w:tcW w:w="1516" w:type="dxa"/>
            <w:tcBorders>
              <w:top w:val="nil"/>
              <w:left w:val="single" w:sz="4" w:space="0" w:color="auto"/>
              <w:bottom w:val="single" w:sz="4" w:space="0" w:color="auto"/>
              <w:right w:val="nil"/>
            </w:tcBorders>
            <w:shd w:val="clear" w:color="auto" w:fill="auto"/>
            <w:noWrap/>
            <w:vAlign w:val="center"/>
            <w:hideMark/>
          </w:tcPr>
          <w:p w14:paraId="6153F592" w14:textId="77777777" w:rsidR="00387142" w:rsidRPr="008B6A75" w:rsidRDefault="00387142" w:rsidP="00387142">
            <w:pPr>
              <w:jc w:val="center"/>
              <w:rPr>
                <w:bCs/>
                <w:sz w:val="20"/>
                <w:szCs w:val="20"/>
              </w:rPr>
            </w:pPr>
            <w:r w:rsidRPr="008B6A75">
              <w:rPr>
                <w:bCs/>
                <w:sz w:val="20"/>
                <w:szCs w:val="20"/>
              </w:rPr>
              <w:t>01.0.00.00000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D00DCB2"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51F7FC4" w14:textId="77777777" w:rsidR="00387142" w:rsidRPr="008B6A75" w:rsidRDefault="00387142" w:rsidP="00387142">
            <w:pPr>
              <w:jc w:val="right"/>
              <w:rPr>
                <w:bCs/>
                <w:sz w:val="20"/>
                <w:szCs w:val="20"/>
              </w:rPr>
            </w:pPr>
            <w:r w:rsidRPr="008B6A75">
              <w:rPr>
                <w:bCs/>
                <w:sz w:val="20"/>
                <w:szCs w:val="20"/>
              </w:rPr>
              <w:t>4 645 456,01</w:t>
            </w:r>
          </w:p>
        </w:tc>
        <w:tc>
          <w:tcPr>
            <w:tcW w:w="992" w:type="dxa"/>
            <w:tcBorders>
              <w:top w:val="nil"/>
              <w:left w:val="single" w:sz="4" w:space="0" w:color="auto"/>
              <w:bottom w:val="single" w:sz="4" w:space="0" w:color="auto"/>
              <w:right w:val="nil"/>
            </w:tcBorders>
            <w:shd w:val="clear" w:color="auto" w:fill="auto"/>
            <w:vAlign w:val="center"/>
            <w:hideMark/>
          </w:tcPr>
          <w:p w14:paraId="347559A5" w14:textId="77777777" w:rsidR="00387142" w:rsidRPr="008B6A75" w:rsidRDefault="00387142" w:rsidP="00387142">
            <w:pPr>
              <w:jc w:val="right"/>
              <w:rPr>
                <w:bCs/>
                <w:sz w:val="20"/>
                <w:szCs w:val="20"/>
              </w:rPr>
            </w:pPr>
            <w:r w:rsidRPr="008B6A75">
              <w:rPr>
                <w:bCs/>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14FCE7CF" w14:textId="77777777" w:rsidR="00387142" w:rsidRPr="008B6A75" w:rsidRDefault="00387142" w:rsidP="00387142">
            <w:pPr>
              <w:jc w:val="right"/>
              <w:rPr>
                <w:bCs/>
                <w:sz w:val="20"/>
                <w:szCs w:val="20"/>
              </w:rPr>
            </w:pPr>
            <w:r w:rsidRPr="008B6A75">
              <w:rPr>
                <w:bCs/>
                <w:sz w:val="20"/>
                <w:szCs w:val="20"/>
              </w:rPr>
              <w:t>0,00</w:t>
            </w:r>
          </w:p>
        </w:tc>
      </w:tr>
      <w:tr w:rsidR="00387142" w:rsidRPr="008B6A75" w14:paraId="4119EF28" w14:textId="77777777" w:rsidTr="00387142">
        <w:trPr>
          <w:trHeight w:val="870"/>
        </w:trPr>
        <w:tc>
          <w:tcPr>
            <w:tcW w:w="3261" w:type="dxa"/>
            <w:tcBorders>
              <w:top w:val="nil"/>
              <w:left w:val="single" w:sz="4" w:space="0" w:color="auto"/>
              <w:bottom w:val="single" w:sz="4" w:space="0" w:color="auto"/>
              <w:right w:val="nil"/>
            </w:tcBorders>
            <w:shd w:val="clear" w:color="auto" w:fill="auto"/>
            <w:vAlign w:val="center"/>
            <w:hideMark/>
          </w:tcPr>
          <w:p w14:paraId="03E79955" w14:textId="77777777" w:rsidR="00387142" w:rsidRPr="008B6A75" w:rsidRDefault="00387142" w:rsidP="00387142">
            <w:pPr>
              <w:rPr>
                <w:bCs/>
                <w:sz w:val="20"/>
                <w:szCs w:val="20"/>
              </w:rPr>
            </w:pPr>
            <w:r w:rsidRPr="008B6A75">
              <w:rPr>
                <w:bCs/>
                <w:sz w:val="20"/>
                <w:szCs w:val="20"/>
              </w:rPr>
              <w:t>Реализация мероприятий в рамках МП "Содействие занятости населения Куйбышевского района"</w:t>
            </w:r>
          </w:p>
        </w:tc>
        <w:tc>
          <w:tcPr>
            <w:tcW w:w="720" w:type="dxa"/>
            <w:tcBorders>
              <w:top w:val="nil"/>
              <w:left w:val="single" w:sz="4" w:space="0" w:color="auto"/>
              <w:bottom w:val="single" w:sz="4" w:space="0" w:color="auto"/>
              <w:right w:val="nil"/>
            </w:tcBorders>
            <w:shd w:val="clear" w:color="auto" w:fill="auto"/>
            <w:noWrap/>
            <w:vAlign w:val="center"/>
            <w:hideMark/>
          </w:tcPr>
          <w:p w14:paraId="66F1F4DE" w14:textId="77777777" w:rsidR="00387142" w:rsidRPr="008B6A75" w:rsidRDefault="00387142" w:rsidP="00387142">
            <w:pPr>
              <w:jc w:val="center"/>
              <w:rPr>
                <w:bCs/>
                <w:sz w:val="20"/>
                <w:szCs w:val="20"/>
              </w:rPr>
            </w:pPr>
            <w:r w:rsidRPr="008B6A75">
              <w:rPr>
                <w:bCs/>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B4BE22E" w14:textId="77777777" w:rsidR="00387142" w:rsidRPr="008B6A75" w:rsidRDefault="00387142" w:rsidP="00387142">
            <w:pPr>
              <w:jc w:val="center"/>
              <w:rPr>
                <w:bCs/>
                <w:sz w:val="20"/>
                <w:szCs w:val="20"/>
              </w:rPr>
            </w:pPr>
            <w:r w:rsidRPr="008B6A75">
              <w:rPr>
                <w:bCs/>
                <w:sz w:val="20"/>
                <w:szCs w:val="20"/>
              </w:rPr>
              <w:t>07</w:t>
            </w:r>
          </w:p>
        </w:tc>
        <w:tc>
          <w:tcPr>
            <w:tcW w:w="1516" w:type="dxa"/>
            <w:tcBorders>
              <w:top w:val="nil"/>
              <w:left w:val="single" w:sz="4" w:space="0" w:color="auto"/>
              <w:bottom w:val="single" w:sz="4" w:space="0" w:color="auto"/>
              <w:right w:val="nil"/>
            </w:tcBorders>
            <w:shd w:val="clear" w:color="auto" w:fill="auto"/>
            <w:noWrap/>
            <w:vAlign w:val="center"/>
            <w:hideMark/>
          </w:tcPr>
          <w:p w14:paraId="5930F060" w14:textId="77777777" w:rsidR="00387142" w:rsidRPr="008B6A75" w:rsidRDefault="00387142" w:rsidP="00387142">
            <w:pPr>
              <w:jc w:val="center"/>
              <w:rPr>
                <w:bCs/>
                <w:sz w:val="20"/>
                <w:szCs w:val="20"/>
              </w:rPr>
            </w:pPr>
            <w:r w:rsidRPr="008B6A75">
              <w:rPr>
                <w:bCs/>
                <w:sz w:val="20"/>
                <w:szCs w:val="20"/>
              </w:rPr>
              <w:t>01.0.00.79500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58281D8"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ABC15AF" w14:textId="77777777" w:rsidR="00387142" w:rsidRPr="008B6A75" w:rsidRDefault="00387142" w:rsidP="00387142">
            <w:pPr>
              <w:jc w:val="right"/>
              <w:rPr>
                <w:bCs/>
                <w:sz w:val="20"/>
                <w:szCs w:val="20"/>
              </w:rPr>
            </w:pPr>
            <w:r w:rsidRPr="008B6A75">
              <w:rPr>
                <w:bCs/>
                <w:sz w:val="20"/>
                <w:szCs w:val="20"/>
              </w:rPr>
              <w:t>4 645 456,01</w:t>
            </w:r>
          </w:p>
        </w:tc>
        <w:tc>
          <w:tcPr>
            <w:tcW w:w="992" w:type="dxa"/>
            <w:tcBorders>
              <w:top w:val="nil"/>
              <w:left w:val="single" w:sz="4" w:space="0" w:color="auto"/>
              <w:bottom w:val="single" w:sz="4" w:space="0" w:color="auto"/>
              <w:right w:val="nil"/>
            </w:tcBorders>
            <w:shd w:val="clear" w:color="auto" w:fill="auto"/>
            <w:vAlign w:val="center"/>
            <w:hideMark/>
          </w:tcPr>
          <w:p w14:paraId="5C98A8B9" w14:textId="77777777" w:rsidR="00387142" w:rsidRPr="008B6A75" w:rsidRDefault="00387142" w:rsidP="00387142">
            <w:pPr>
              <w:jc w:val="right"/>
              <w:rPr>
                <w:bCs/>
                <w:sz w:val="20"/>
                <w:szCs w:val="20"/>
              </w:rPr>
            </w:pPr>
            <w:r w:rsidRPr="008B6A75">
              <w:rPr>
                <w:bCs/>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678DAC5A" w14:textId="77777777" w:rsidR="00387142" w:rsidRPr="008B6A75" w:rsidRDefault="00387142" w:rsidP="00387142">
            <w:pPr>
              <w:jc w:val="right"/>
              <w:rPr>
                <w:bCs/>
                <w:sz w:val="20"/>
                <w:szCs w:val="20"/>
              </w:rPr>
            </w:pPr>
            <w:r w:rsidRPr="008B6A75">
              <w:rPr>
                <w:bCs/>
                <w:sz w:val="20"/>
                <w:szCs w:val="20"/>
              </w:rPr>
              <w:t>0,00</w:t>
            </w:r>
          </w:p>
        </w:tc>
      </w:tr>
      <w:tr w:rsidR="00387142" w:rsidRPr="008B6A75" w14:paraId="4259972D" w14:textId="77777777" w:rsidTr="00387142">
        <w:trPr>
          <w:trHeight w:val="870"/>
        </w:trPr>
        <w:tc>
          <w:tcPr>
            <w:tcW w:w="3261" w:type="dxa"/>
            <w:tcBorders>
              <w:top w:val="nil"/>
              <w:left w:val="single" w:sz="4" w:space="0" w:color="auto"/>
              <w:bottom w:val="single" w:sz="4" w:space="0" w:color="auto"/>
              <w:right w:val="nil"/>
            </w:tcBorders>
            <w:shd w:val="clear" w:color="auto" w:fill="auto"/>
            <w:vAlign w:val="center"/>
            <w:hideMark/>
          </w:tcPr>
          <w:p w14:paraId="1AF8B20B" w14:textId="77777777" w:rsidR="00387142" w:rsidRPr="008B6A75" w:rsidRDefault="00387142" w:rsidP="00387142">
            <w:pPr>
              <w:rPr>
                <w:sz w:val="20"/>
                <w:szCs w:val="20"/>
              </w:rPr>
            </w:pPr>
            <w:r w:rsidRPr="008B6A75">
              <w:rPr>
                <w:sz w:val="20"/>
                <w:szCs w:val="20"/>
              </w:rPr>
              <w:t>Предоставление субсидий бюджетным, автономным учреждениям и иным некоммерческим организациям</w:t>
            </w:r>
          </w:p>
        </w:tc>
        <w:tc>
          <w:tcPr>
            <w:tcW w:w="720" w:type="dxa"/>
            <w:tcBorders>
              <w:top w:val="nil"/>
              <w:left w:val="single" w:sz="4" w:space="0" w:color="auto"/>
              <w:bottom w:val="single" w:sz="4" w:space="0" w:color="auto"/>
              <w:right w:val="nil"/>
            </w:tcBorders>
            <w:shd w:val="clear" w:color="auto" w:fill="auto"/>
            <w:noWrap/>
            <w:vAlign w:val="center"/>
            <w:hideMark/>
          </w:tcPr>
          <w:p w14:paraId="51D301AC" w14:textId="77777777" w:rsidR="00387142" w:rsidRPr="008B6A75" w:rsidRDefault="00387142" w:rsidP="00387142">
            <w:pPr>
              <w:jc w:val="center"/>
              <w:rPr>
                <w:sz w:val="20"/>
                <w:szCs w:val="20"/>
              </w:rPr>
            </w:pPr>
            <w:r w:rsidRPr="008B6A75">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6F40DBC" w14:textId="77777777" w:rsidR="00387142" w:rsidRPr="008B6A75" w:rsidRDefault="00387142" w:rsidP="00387142">
            <w:pPr>
              <w:jc w:val="center"/>
              <w:rPr>
                <w:sz w:val="20"/>
                <w:szCs w:val="20"/>
              </w:rPr>
            </w:pPr>
            <w:r w:rsidRPr="008B6A75">
              <w:rPr>
                <w:sz w:val="20"/>
                <w:szCs w:val="20"/>
              </w:rPr>
              <w:t>07</w:t>
            </w:r>
          </w:p>
        </w:tc>
        <w:tc>
          <w:tcPr>
            <w:tcW w:w="1516" w:type="dxa"/>
            <w:tcBorders>
              <w:top w:val="nil"/>
              <w:left w:val="single" w:sz="4" w:space="0" w:color="auto"/>
              <w:bottom w:val="single" w:sz="4" w:space="0" w:color="auto"/>
              <w:right w:val="nil"/>
            </w:tcBorders>
            <w:shd w:val="clear" w:color="auto" w:fill="auto"/>
            <w:noWrap/>
            <w:vAlign w:val="center"/>
            <w:hideMark/>
          </w:tcPr>
          <w:p w14:paraId="7BBFAE80" w14:textId="77777777" w:rsidR="00387142" w:rsidRPr="008B6A75" w:rsidRDefault="00387142" w:rsidP="00387142">
            <w:pPr>
              <w:jc w:val="center"/>
              <w:rPr>
                <w:sz w:val="20"/>
                <w:szCs w:val="20"/>
              </w:rPr>
            </w:pPr>
            <w:r w:rsidRPr="008B6A75">
              <w:rPr>
                <w:sz w:val="20"/>
                <w:szCs w:val="20"/>
              </w:rPr>
              <w:t>01.0.00.79500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396501A" w14:textId="77777777" w:rsidR="00387142" w:rsidRPr="008B6A75" w:rsidRDefault="00387142" w:rsidP="00387142">
            <w:pPr>
              <w:jc w:val="center"/>
              <w:rPr>
                <w:sz w:val="20"/>
                <w:szCs w:val="20"/>
              </w:rPr>
            </w:pPr>
            <w:r w:rsidRPr="008B6A75">
              <w:rPr>
                <w:sz w:val="20"/>
                <w:szCs w:val="20"/>
              </w:rPr>
              <w:t>600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88BA2A1" w14:textId="77777777" w:rsidR="00387142" w:rsidRPr="008B6A75" w:rsidRDefault="00387142" w:rsidP="00387142">
            <w:pPr>
              <w:jc w:val="right"/>
              <w:rPr>
                <w:sz w:val="20"/>
                <w:szCs w:val="20"/>
              </w:rPr>
            </w:pPr>
            <w:r w:rsidRPr="008B6A75">
              <w:rPr>
                <w:sz w:val="20"/>
                <w:szCs w:val="20"/>
              </w:rPr>
              <w:t>4 645 456,01</w:t>
            </w:r>
          </w:p>
        </w:tc>
        <w:tc>
          <w:tcPr>
            <w:tcW w:w="992" w:type="dxa"/>
            <w:tcBorders>
              <w:top w:val="nil"/>
              <w:left w:val="single" w:sz="4" w:space="0" w:color="auto"/>
              <w:bottom w:val="single" w:sz="4" w:space="0" w:color="auto"/>
              <w:right w:val="nil"/>
            </w:tcBorders>
            <w:shd w:val="clear" w:color="auto" w:fill="auto"/>
            <w:vAlign w:val="center"/>
            <w:hideMark/>
          </w:tcPr>
          <w:p w14:paraId="5FEAC245" w14:textId="77777777" w:rsidR="00387142" w:rsidRPr="008B6A75" w:rsidRDefault="00387142" w:rsidP="00387142">
            <w:pPr>
              <w:jc w:val="right"/>
              <w:rPr>
                <w:sz w:val="20"/>
                <w:szCs w:val="20"/>
              </w:rPr>
            </w:pPr>
            <w:r w:rsidRPr="008B6A75">
              <w:rPr>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4C2BAB5B" w14:textId="77777777" w:rsidR="00387142" w:rsidRPr="008B6A75" w:rsidRDefault="00387142" w:rsidP="00387142">
            <w:pPr>
              <w:jc w:val="right"/>
              <w:rPr>
                <w:sz w:val="20"/>
                <w:szCs w:val="20"/>
              </w:rPr>
            </w:pPr>
            <w:r w:rsidRPr="008B6A75">
              <w:rPr>
                <w:sz w:val="20"/>
                <w:szCs w:val="20"/>
              </w:rPr>
              <w:t>0,00</w:t>
            </w:r>
          </w:p>
        </w:tc>
      </w:tr>
      <w:tr w:rsidR="00387142" w:rsidRPr="008B6A75" w14:paraId="1D5CEE4F" w14:textId="77777777" w:rsidTr="00387142">
        <w:trPr>
          <w:trHeight w:val="345"/>
        </w:trPr>
        <w:tc>
          <w:tcPr>
            <w:tcW w:w="3261" w:type="dxa"/>
            <w:tcBorders>
              <w:top w:val="nil"/>
              <w:left w:val="single" w:sz="4" w:space="0" w:color="auto"/>
              <w:bottom w:val="single" w:sz="4" w:space="0" w:color="auto"/>
              <w:right w:val="nil"/>
            </w:tcBorders>
            <w:shd w:val="clear" w:color="auto" w:fill="auto"/>
            <w:vAlign w:val="center"/>
            <w:hideMark/>
          </w:tcPr>
          <w:p w14:paraId="02098061" w14:textId="77777777" w:rsidR="00387142" w:rsidRPr="008B6A75" w:rsidRDefault="00387142" w:rsidP="00387142">
            <w:pPr>
              <w:rPr>
                <w:sz w:val="20"/>
                <w:szCs w:val="20"/>
              </w:rPr>
            </w:pPr>
            <w:r w:rsidRPr="008B6A75">
              <w:rPr>
                <w:sz w:val="20"/>
                <w:szCs w:val="20"/>
              </w:rPr>
              <w:t>Субсидии бюджетным учреждениям</w:t>
            </w:r>
          </w:p>
        </w:tc>
        <w:tc>
          <w:tcPr>
            <w:tcW w:w="720" w:type="dxa"/>
            <w:tcBorders>
              <w:top w:val="nil"/>
              <w:left w:val="single" w:sz="4" w:space="0" w:color="auto"/>
              <w:bottom w:val="single" w:sz="4" w:space="0" w:color="auto"/>
              <w:right w:val="nil"/>
            </w:tcBorders>
            <w:shd w:val="clear" w:color="auto" w:fill="auto"/>
            <w:noWrap/>
            <w:vAlign w:val="center"/>
            <w:hideMark/>
          </w:tcPr>
          <w:p w14:paraId="418EB359" w14:textId="77777777" w:rsidR="00387142" w:rsidRPr="008B6A75" w:rsidRDefault="00387142" w:rsidP="00387142">
            <w:pPr>
              <w:jc w:val="center"/>
              <w:rPr>
                <w:sz w:val="20"/>
                <w:szCs w:val="20"/>
              </w:rPr>
            </w:pPr>
            <w:r w:rsidRPr="008B6A75">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A833A53" w14:textId="77777777" w:rsidR="00387142" w:rsidRPr="008B6A75" w:rsidRDefault="00387142" w:rsidP="00387142">
            <w:pPr>
              <w:jc w:val="center"/>
              <w:rPr>
                <w:sz w:val="20"/>
                <w:szCs w:val="20"/>
              </w:rPr>
            </w:pPr>
            <w:r w:rsidRPr="008B6A75">
              <w:rPr>
                <w:sz w:val="20"/>
                <w:szCs w:val="20"/>
              </w:rPr>
              <w:t>07</w:t>
            </w:r>
          </w:p>
        </w:tc>
        <w:tc>
          <w:tcPr>
            <w:tcW w:w="1516" w:type="dxa"/>
            <w:tcBorders>
              <w:top w:val="nil"/>
              <w:left w:val="single" w:sz="4" w:space="0" w:color="auto"/>
              <w:bottom w:val="single" w:sz="4" w:space="0" w:color="auto"/>
              <w:right w:val="nil"/>
            </w:tcBorders>
            <w:shd w:val="clear" w:color="auto" w:fill="auto"/>
            <w:noWrap/>
            <w:vAlign w:val="center"/>
            <w:hideMark/>
          </w:tcPr>
          <w:p w14:paraId="3761363A" w14:textId="77777777" w:rsidR="00387142" w:rsidRPr="008B6A75" w:rsidRDefault="00387142" w:rsidP="00387142">
            <w:pPr>
              <w:jc w:val="center"/>
              <w:rPr>
                <w:sz w:val="20"/>
                <w:szCs w:val="20"/>
              </w:rPr>
            </w:pPr>
            <w:r w:rsidRPr="008B6A75">
              <w:rPr>
                <w:sz w:val="20"/>
                <w:szCs w:val="20"/>
              </w:rPr>
              <w:t>01.0.00.79500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76A3221" w14:textId="77777777" w:rsidR="00387142" w:rsidRPr="008B6A75" w:rsidRDefault="00387142" w:rsidP="00387142">
            <w:pPr>
              <w:jc w:val="center"/>
              <w:rPr>
                <w:sz w:val="20"/>
                <w:szCs w:val="20"/>
              </w:rPr>
            </w:pPr>
            <w:r w:rsidRPr="008B6A75">
              <w:rPr>
                <w:sz w:val="20"/>
                <w:szCs w:val="20"/>
              </w:rPr>
              <w:t>610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011D469" w14:textId="77777777" w:rsidR="00387142" w:rsidRPr="008B6A75" w:rsidRDefault="00387142" w:rsidP="00387142">
            <w:pPr>
              <w:jc w:val="right"/>
              <w:rPr>
                <w:sz w:val="20"/>
                <w:szCs w:val="20"/>
              </w:rPr>
            </w:pPr>
            <w:r w:rsidRPr="008B6A75">
              <w:rPr>
                <w:sz w:val="20"/>
                <w:szCs w:val="20"/>
              </w:rPr>
              <w:t>4 645 456,01</w:t>
            </w:r>
          </w:p>
        </w:tc>
        <w:tc>
          <w:tcPr>
            <w:tcW w:w="992" w:type="dxa"/>
            <w:tcBorders>
              <w:top w:val="nil"/>
              <w:left w:val="single" w:sz="4" w:space="0" w:color="auto"/>
              <w:bottom w:val="single" w:sz="4" w:space="0" w:color="auto"/>
              <w:right w:val="nil"/>
            </w:tcBorders>
            <w:shd w:val="clear" w:color="auto" w:fill="auto"/>
            <w:vAlign w:val="center"/>
            <w:hideMark/>
          </w:tcPr>
          <w:p w14:paraId="370E915E" w14:textId="77777777" w:rsidR="00387142" w:rsidRPr="008B6A75" w:rsidRDefault="00387142" w:rsidP="00387142">
            <w:pPr>
              <w:jc w:val="right"/>
              <w:rPr>
                <w:sz w:val="20"/>
                <w:szCs w:val="20"/>
              </w:rPr>
            </w:pPr>
            <w:r w:rsidRPr="008B6A75">
              <w:rPr>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44EB9917" w14:textId="77777777" w:rsidR="00387142" w:rsidRPr="008B6A75" w:rsidRDefault="00387142" w:rsidP="00387142">
            <w:pPr>
              <w:jc w:val="right"/>
              <w:rPr>
                <w:sz w:val="20"/>
                <w:szCs w:val="20"/>
              </w:rPr>
            </w:pPr>
            <w:r w:rsidRPr="008B6A75">
              <w:rPr>
                <w:sz w:val="20"/>
                <w:szCs w:val="20"/>
              </w:rPr>
              <w:t>0,00</w:t>
            </w:r>
          </w:p>
        </w:tc>
      </w:tr>
      <w:tr w:rsidR="00387142" w:rsidRPr="008B6A75" w14:paraId="671BBD92" w14:textId="77777777" w:rsidTr="00387142">
        <w:trPr>
          <w:trHeight w:val="585"/>
        </w:trPr>
        <w:tc>
          <w:tcPr>
            <w:tcW w:w="3261" w:type="dxa"/>
            <w:tcBorders>
              <w:top w:val="nil"/>
              <w:left w:val="single" w:sz="4" w:space="0" w:color="auto"/>
              <w:bottom w:val="single" w:sz="4" w:space="0" w:color="auto"/>
              <w:right w:val="nil"/>
            </w:tcBorders>
            <w:shd w:val="clear" w:color="auto" w:fill="auto"/>
            <w:vAlign w:val="center"/>
            <w:hideMark/>
          </w:tcPr>
          <w:p w14:paraId="112F1635" w14:textId="77777777" w:rsidR="00387142" w:rsidRPr="008B6A75" w:rsidRDefault="00387142" w:rsidP="00387142">
            <w:pPr>
              <w:rPr>
                <w:bCs/>
                <w:sz w:val="20"/>
                <w:szCs w:val="20"/>
              </w:rPr>
            </w:pPr>
            <w:r w:rsidRPr="008B6A75">
              <w:rPr>
                <w:bCs/>
                <w:sz w:val="20"/>
                <w:szCs w:val="20"/>
              </w:rPr>
              <w:t>Муниципальная программа "Патриотическое воспитание граждан Куйбышевского района"</w:t>
            </w:r>
          </w:p>
        </w:tc>
        <w:tc>
          <w:tcPr>
            <w:tcW w:w="720" w:type="dxa"/>
            <w:tcBorders>
              <w:top w:val="nil"/>
              <w:left w:val="single" w:sz="4" w:space="0" w:color="auto"/>
              <w:bottom w:val="single" w:sz="4" w:space="0" w:color="auto"/>
              <w:right w:val="nil"/>
            </w:tcBorders>
            <w:shd w:val="clear" w:color="auto" w:fill="auto"/>
            <w:noWrap/>
            <w:vAlign w:val="center"/>
            <w:hideMark/>
          </w:tcPr>
          <w:p w14:paraId="5673A9FF" w14:textId="77777777" w:rsidR="00387142" w:rsidRPr="008B6A75" w:rsidRDefault="00387142" w:rsidP="00387142">
            <w:pPr>
              <w:jc w:val="center"/>
              <w:rPr>
                <w:bCs/>
                <w:sz w:val="20"/>
                <w:szCs w:val="20"/>
              </w:rPr>
            </w:pPr>
            <w:r w:rsidRPr="008B6A75">
              <w:rPr>
                <w:bCs/>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E4D8510" w14:textId="77777777" w:rsidR="00387142" w:rsidRPr="008B6A75" w:rsidRDefault="00387142" w:rsidP="00387142">
            <w:pPr>
              <w:jc w:val="center"/>
              <w:rPr>
                <w:bCs/>
                <w:sz w:val="20"/>
                <w:szCs w:val="20"/>
              </w:rPr>
            </w:pPr>
            <w:r w:rsidRPr="008B6A75">
              <w:rPr>
                <w:bCs/>
                <w:sz w:val="20"/>
                <w:szCs w:val="20"/>
              </w:rPr>
              <w:t>07</w:t>
            </w:r>
          </w:p>
        </w:tc>
        <w:tc>
          <w:tcPr>
            <w:tcW w:w="1516" w:type="dxa"/>
            <w:tcBorders>
              <w:top w:val="nil"/>
              <w:left w:val="single" w:sz="4" w:space="0" w:color="auto"/>
              <w:bottom w:val="single" w:sz="4" w:space="0" w:color="auto"/>
              <w:right w:val="nil"/>
            </w:tcBorders>
            <w:shd w:val="clear" w:color="auto" w:fill="auto"/>
            <w:noWrap/>
            <w:vAlign w:val="center"/>
            <w:hideMark/>
          </w:tcPr>
          <w:p w14:paraId="6EF68017" w14:textId="77777777" w:rsidR="00387142" w:rsidRPr="008B6A75" w:rsidRDefault="00387142" w:rsidP="00387142">
            <w:pPr>
              <w:jc w:val="center"/>
              <w:rPr>
                <w:bCs/>
                <w:sz w:val="20"/>
                <w:szCs w:val="20"/>
              </w:rPr>
            </w:pPr>
            <w:r w:rsidRPr="008B6A75">
              <w:rPr>
                <w:bCs/>
                <w:sz w:val="20"/>
                <w:szCs w:val="20"/>
              </w:rPr>
              <w:t>03.0.00.00000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19CE4ED"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B07013B" w14:textId="77777777" w:rsidR="00387142" w:rsidRPr="008B6A75" w:rsidRDefault="00387142" w:rsidP="00387142">
            <w:pPr>
              <w:jc w:val="right"/>
              <w:rPr>
                <w:bCs/>
                <w:sz w:val="20"/>
                <w:szCs w:val="20"/>
              </w:rPr>
            </w:pPr>
            <w:r w:rsidRPr="008B6A75">
              <w:rPr>
                <w:bCs/>
                <w:sz w:val="20"/>
                <w:szCs w:val="20"/>
              </w:rPr>
              <w:t>1 000 000,00</w:t>
            </w:r>
          </w:p>
        </w:tc>
        <w:tc>
          <w:tcPr>
            <w:tcW w:w="992" w:type="dxa"/>
            <w:tcBorders>
              <w:top w:val="nil"/>
              <w:left w:val="single" w:sz="4" w:space="0" w:color="auto"/>
              <w:bottom w:val="single" w:sz="4" w:space="0" w:color="auto"/>
              <w:right w:val="nil"/>
            </w:tcBorders>
            <w:shd w:val="clear" w:color="auto" w:fill="auto"/>
            <w:vAlign w:val="center"/>
            <w:hideMark/>
          </w:tcPr>
          <w:p w14:paraId="56C729EC" w14:textId="77777777" w:rsidR="00387142" w:rsidRPr="008B6A75" w:rsidRDefault="00387142" w:rsidP="00387142">
            <w:pPr>
              <w:jc w:val="right"/>
              <w:rPr>
                <w:bCs/>
                <w:sz w:val="20"/>
                <w:szCs w:val="20"/>
              </w:rPr>
            </w:pPr>
            <w:r w:rsidRPr="008B6A75">
              <w:rPr>
                <w:bCs/>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31A020EC" w14:textId="77777777" w:rsidR="00387142" w:rsidRPr="008B6A75" w:rsidRDefault="00387142" w:rsidP="00387142">
            <w:pPr>
              <w:jc w:val="right"/>
              <w:rPr>
                <w:bCs/>
                <w:sz w:val="20"/>
                <w:szCs w:val="20"/>
              </w:rPr>
            </w:pPr>
            <w:r w:rsidRPr="008B6A75">
              <w:rPr>
                <w:bCs/>
                <w:sz w:val="20"/>
                <w:szCs w:val="20"/>
              </w:rPr>
              <w:t>0,00</w:t>
            </w:r>
          </w:p>
        </w:tc>
      </w:tr>
      <w:tr w:rsidR="00387142" w:rsidRPr="008B6A75" w14:paraId="7CE58A6A" w14:textId="77777777" w:rsidTr="00387142">
        <w:trPr>
          <w:trHeight w:val="870"/>
        </w:trPr>
        <w:tc>
          <w:tcPr>
            <w:tcW w:w="3261" w:type="dxa"/>
            <w:tcBorders>
              <w:top w:val="nil"/>
              <w:left w:val="single" w:sz="4" w:space="0" w:color="auto"/>
              <w:bottom w:val="single" w:sz="4" w:space="0" w:color="auto"/>
              <w:right w:val="nil"/>
            </w:tcBorders>
            <w:shd w:val="clear" w:color="auto" w:fill="auto"/>
            <w:vAlign w:val="center"/>
            <w:hideMark/>
          </w:tcPr>
          <w:p w14:paraId="2E4480F4" w14:textId="77777777" w:rsidR="00387142" w:rsidRPr="008B6A75" w:rsidRDefault="00387142" w:rsidP="00387142">
            <w:pPr>
              <w:rPr>
                <w:bCs/>
                <w:sz w:val="20"/>
                <w:szCs w:val="20"/>
              </w:rPr>
            </w:pPr>
            <w:r w:rsidRPr="008B6A75">
              <w:rPr>
                <w:bCs/>
                <w:sz w:val="20"/>
                <w:szCs w:val="20"/>
              </w:rPr>
              <w:t>Реализация мероприятий в рамках МП "Патриотическое воспитание граждан Куйбышевского района"</w:t>
            </w:r>
          </w:p>
        </w:tc>
        <w:tc>
          <w:tcPr>
            <w:tcW w:w="720" w:type="dxa"/>
            <w:tcBorders>
              <w:top w:val="nil"/>
              <w:left w:val="single" w:sz="4" w:space="0" w:color="auto"/>
              <w:bottom w:val="single" w:sz="4" w:space="0" w:color="auto"/>
              <w:right w:val="nil"/>
            </w:tcBorders>
            <w:shd w:val="clear" w:color="auto" w:fill="auto"/>
            <w:noWrap/>
            <w:vAlign w:val="center"/>
            <w:hideMark/>
          </w:tcPr>
          <w:p w14:paraId="1513CE3C" w14:textId="77777777" w:rsidR="00387142" w:rsidRPr="008B6A75" w:rsidRDefault="00387142" w:rsidP="00387142">
            <w:pPr>
              <w:jc w:val="center"/>
              <w:rPr>
                <w:bCs/>
                <w:sz w:val="20"/>
                <w:szCs w:val="20"/>
              </w:rPr>
            </w:pPr>
            <w:r w:rsidRPr="008B6A75">
              <w:rPr>
                <w:bCs/>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3DB931D" w14:textId="77777777" w:rsidR="00387142" w:rsidRPr="008B6A75" w:rsidRDefault="00387142" w:rsidP="00387142">
            <w:pPr>
              <w:jc w:val="center"/>
              <w:rPr>
                <w:bCs/>
                <w:sz w:val="20"/>
                <w:szCs w:val="20"/>
              </w:rPr>
            </w:pPr>
            <w:r w:rsidRPr="008B6A75">
              <w:rPr>
                <w:bCs/>
                <w:sz w:val="20"/>
                <w:szCs w:val="20"/>
              </w:rPr>
              <w:t>07</w:t>
            </w:r>
          </w:p>
        </w:tc>
        <w:tc>
          <w:tcPr>
            <w:tcW w:w="1516" w:type="dxa"/>
            <w:tcBorders>
              <w:top w:val="nil"/>
              <w:left w:val="single" w:sz="4" w:space="0" w:color="auto"/>
              <w:bottom w:val="single" w:sz="4" w:space="0" w:color="auto"/>
              <w:right w:val="nil"/>
            </w:tcBorders>
            <w:shd w:val="clear" w:color="auto" w:fill="auto"/>
            <w:noWrap/>
            <w:vAlign w:val="center"/>
            <w:hideMark/>
          </w:tcPr>
          <w:p w14:paraId="09A785AC" w14:textId="77777777" w:rsidR="00387142" w:rsidRPr="008B6A75" w:rsidRDefault="00387142" w:rsidP="00387142">
            <w:pPr>
              <w:jc w:val="center"/>
              <w:rPr>
                <w:bCs/>
                <w:sz w:val="20"/>
                <w:szCs w:val="20"/>
              </w:rPr>
            </w:pPr>
            <w:r w:rsidRPr="008B6A75">
              <w:rPr>
                <w:bCs/>
                <w:sz w:val="20"/>
                <w:szCs w:val="20"/>
              </w:rPr>
              <w:t>03.0.00.79500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ABFCB8E"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AF11002" w14:textId="77777777" w:rsidR="00387142" w:rsidRPr="008B6A75" w:rsidRDefault="00387142" w:rsidP="00387142">
            <w:pPr>
              <w:jc w:val="right"/>
              <w:rPr>
                <w:bCs/>
                <w:sz w:val="20"/>
                <w:szCs w:val="20"/>
              </w:rPr>
            </w:pPr>
            <w:r w:rsidRPr="008B6A75">
              <w:rPr>
                <w:bCs/>
                <w:sz w:val="20"/>
                <w:szCs w:val="20"/>
              </w:rPr>
              <w:t>1 000 000,00</w:t>
            </w:r>
          </w:p>
        </w:tc>
        <w:tc>
          <w:tcPr>
            <w:tcW w:w="992" w:type="dxa"/>
            <w:tcBorders>
              <w:top w:val="nil"/>
              <w:left w:val="single" w:sz="4" w:space="0" w:color="auto"/>
              <w:bottom w:val="single" w:sz="4" w:space="0" w:color="auto"/>
              <w:right w:val="nil"/>
            </w:tcBorders>
            <w:shd w:val="clear" w:color="auto" w:fill="auto"/>
            <w:vAlign w:val="center"/>
            <w:hideMark/>
          </w:tcPr>
          <w:p w14:paraId="7CFFD54B" w14:textId="77777777" w:rsidR="00387142" w:rsidRPr="008B6A75" w:rsidRDefault="00387142" w:rsidP="00387142">
            <w:pPr>
              <w:jc w:val="right"/>
              <w:rPr>
                <w:bCs/>
                <w:sz w:val="20"/>
                <w:szCs w:val="20"/>
              </w:rPr>
            </w:pPr>
            <w:r w:rsidRPr="008B6A75">
              <w:rPr>
                <w:bCs/>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7DA6A3C4" w14:textId="77777777" w:rsidR="00387142" w:rsidRPr="008B6A75" w:rsidRDefault="00387142" w:rsidP="00387142">
            <w:pPr>
              <w:jc w:val="right"/>
              <w:rPr>
                <w:bCs/>
                <w:sz w:val="20"/>
                <w:szCs w:val="20"/>
              </w:rPr>
            </w:pPr>
            <w:r w:rsidRPr="008B6A75">
              <w:rPr>
                <w:bCs/>
                <w:sz w:val="20"/>
                <w:szCs w:val="20"/>
              </w:rPr>
              <w:t>0,00</w:t>
            </w:r>
          </w:p>
        </w:tc>
      </w:tr>
      <w:tr w:rsidR="00387142" w:rsidRPr="008B6A75" w14:paraId="620B4C1C" w14:textId="77777777" w:rsidTr="00387142">
        <w:trPr>
          <w:trHeight w:val="345"/>
        </w:trPr>
        <w:tc>
          <w:tcPr>
            <w:tcW w:w="3261" w:type="dxa"/>
            <w:tcBorders>
              <w:top w:val="nil"/>
              <w:left w:val="single" w:sz="4" w:space="0" w:color="auto"/>
              <w:bottom w:val="single" w:sz="4" w:space="0" w:color="auto"/>
              <w:right w:val="nil"/>
            </w:tcBorders>
            <w:shd w:val="clear" w:color="auto" w:fill="auto"/>
            <w:vAlign w:val="center"/>
            <w:hideMark/>
          </w:tcPr>
          <w:p w14:paraId="0CFBFA39" w14:textId="77777777" w:rsidR="00387142" w:rsidRPr="008B6A75" w:rsidRDefault="00387142" w:rsidP="00387142">
            <w:pPr>
              <w:rPr>
                <w:sz w:val="20"/>
                <w:szCs w:val="20"/>
              </w:rPr>
            </w:pPr>
            <w:r w:rsidRPr="008B6A75">
              <w:rPr>
                <w:sz w:val="20"/>
                <w:szCs w:val="20"/>
              </w:rPr>
              <w:t>Межбюджетные трансферты</w:t>
            </w:r>
          </w:p>
        </w:tc>
        <w:tc>
          <w:tcPr>
            <w:tcW w:w="720" w:type="dxa"/>
            <w:tcBorders>
              <w:top w:val="nil"/>
              <w:left w:val="single" w:sz="4" w:space="0" w:color="auto"/>
              <w:bottom w:val="single" w:sz="4" w:space="0" w:color="auto"/>
              <w:right w:val="nil"/>
            </w:tcBorders>
            <w:shd w:val="clear" w:color="auto" w:fill="auto"/>
            <w:noWrap/>
            <w:vAlign w:val="center"/>
            <w:hideMark/>
          </w:tcPr>
          <w:p w14:paraId="39BB1DF8" w14:textId="77777777" w:rsidR="00387142" w:rsidRPr="008B6A75" w:rsidRDefault="00387142" w:rsidP="00387142">
            <w:pPr>
              <w:jc w:val="center"/>
              <w:rPr>
                <w:sz w:val="20"/>
                <w:szCs w:val="20"/>
              </w:rPr>
            </w:pPr>
            <w:r w:rsidRPr="008B6A75">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A7994F3" w14:textId="77777777" w:rsidR="00387142" w:rsidRPr="008B6A75" w:rsidRDefault="00387142" w:rsidP="00387142">
            <w:pPr>
              <w:jc w:val="center"/>
              <w:rPr>
                <w:sz w:val="20"/>
                <w:szCs w:val="20"/>
              </w:rPr>
            </w:pPr>
            <w:r w:rsidRPr="008B6A75">
              <w:rPr>
                <w:sz w:val="20"/>
                <w:szCs w:val="20"/>
              </w:rPr>
              <w:t>07</w:t>
            </w:r>
          </w:p>
        </w:tc>
        <w:tc>
          <w:tcPr>
            <w:tcW w:w="1516" w:type="dxa"/>
            <w:tcBorders>
              <w:top w:val="nil"/>
              <w:left w:val="single" w:sz="4" w:space="0" w:color="auto"/>
              <w:bottom w:val="single" w:sz="4" w:space="0" w:color="auto"/>
              <w:right w:val="nil"/>
            </w:tcBorders>
            <w:shd w:val="clear" w:color="auto" w:fill="auto"/>
            <w:noWrap/>
            <w:vAlign w:val="center"/>
            <w:hideMark/>
          </w:tcPr>
          <w:p w14:paraId="055410A9" w14:textId="77777777" w:rsidR="00387142" w:rsidRPr="008B6A75" w:rsidRDefault="00387142" w:rsidP="00387142">
            <w:pPr>
              <w:jc w:val="center"/>
              <w:rPr>
                <w:sz w:val="20"/>
                <w:szCs w:val="20"/>
              </w:rPr>
            </w:pPr>
            <w:r w:rsidRPr="008B6A75">
              <w:rPr>
                <w:sz w:val="20"/>
                <w:szCs w:val="20"/>
              </w:rPr>
              <w:t>03.0.00.79500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50FE9D5" w14:textId="77777777" w:rsidR="00387142" w:rsidRPr="008B6A75" w:rsidRDefault="00387142" w:rsidP="00387142">
            <w:pPr>
              <w:jc w:val="center"/>
              <w:rPr>
                <w:sz w:val="20"/>
                <w:szCs w:val="20"/>
              </w:rPr>
            </w:pPr>
            <w:r w:rsidRPr="008B6A75">
              <w:rPr>
                <w:sz w:val="20"/>
                <w:szCs w:val="20"/>
              </w:rPr>
              <w:t>500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E8A39F7" w14:textId="77777777" w:rsidR="00387142" w:rsidRPr="008B6A75" w:rsidRDefault="00387142" w:rsidP="00387142">
            <w:pPr>
              <w:jc w:val="right"/>
              <w:rPr>
                <w:sz w:val="20"/>
                <w:szCs w:val="20"/>
              </w:rPr>
            </w:pPr>
            <w:r w:rsidRPr="008B6A75">
              <w:rPr>
                <w:sz w:val="20"/>
                <w:szCs w:val="20"/>
              </w:rPr>
              <w:t>100 000,00</w:t>
            </w:r>
          </w:p>
        </w:tc>
        <w:tc>
          <w:tcPr>
            <w:tcW w:w="992" w:type="dxa"/>
            <w:tcBorders>
              <w:top w:val="nil"/>
              <w:left w:val="single" w:sz="4" w:space="0" w:color="auto"/>
              <w:bottom w:val="single" w:sz="4" w:space="0" w:color="auto"/>
              <w:right w:val="nil"/>
            </w:tcBorders>
            <w:shd w:val="clear" w:color="auto" w:fill="auto"/>
            <w:vAlign w:val="center"/>
            <w:hideMark/>
          </w:tcPr>
          <w:p w14:paraId="27DE8B4E" w14:textId="77777777" w:rsidR="00387142" w:rsidRPr="008B6A75" w:rsidRDefault="00387142" w:rsidP="00387142">
            <w:pPr>
              <w:jc w:val="right"/>
              <w:rPr>
                <w:sz w:val="20"/>
                <w:szCs w:val="20"/>
              </w:rPr>
            </w:pPr>
            <w:r w:rsidRPr="008B6A75">
              <w:rPr>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1F92E942" w14:textId="77777777" w:rsidR="00387142" w:rsidRPr="008B6A75" w:rsidRDefault="00387142" w:rsidP="00387142">
            <w:pPr>
              <w:jc w:val="right"/>
              <w:rPr>
                <w:sz w:val="20"/>
                <w:szCs w:val="20"/>
              </w:rPr>
            </w:pPr>
            <w:r w:rsidRPr="008B6A75">
              <w:rPr>
                <w:sz w:val="20"/>
                <w:szCs w:val="20"/>
              </w:rPr>
              <w:t>0,00</w:t>
            </w:r>
          </w:p>
        </w:tc>
      </w:tr>
      <w:tr w:rsidR="00387142" w:rsidRPr="008B6A75" w14:paraId="3D70C654" w14:textId="77777777" w:rsidTr="00387142">
        <w:trPr>
          <w:trHeight w:val="345"/>
        </w:trPr>
        <w:tc>
          <w:tcPr>
            <w:tcW w:w="3261" w:type="dxa"/>
            <w:tcBorders>
              <w:top w:val="nil"/>
              <w:left w:val="single" w:sz="4" w:space="0" w:color="auto"/>
              <w:bottom w:val="single" w:sz="4" w:space="0" w:color="auto"/>
              <w:right w:val="nil"/>
            </w:tcBorders>
            <w:shd w:val="clear" w:color="auto" w:fill="auto"/>
            <w:vAlign w:val="center"/>
            <w:hideMark/>
          </w:tcPr>
          <w:p w14:paraId="6673C4C8" w14:textId="77777777" w:rsidR="00387142" w:rsidRPr="008B6A75" w:rsidRDefault="00387142" w:rsidP="00387142">
            <w:pPr>
              <w:rPr>
                <w:sz w:val="20"/>
                <w:szCs w:val="20"/>
              </w:rPr>
            </w:pPr>
            <w:r w:rsidRPr="008B6A75">
              <w:rPr>
                <w:sz w:val="20"/>
                <w:szCs w:val="20"/>
              </w:rPr>
              <w:t>Иные межбюджетные трансферты</w:t>
            </w:r>
          </w:p>
        </w:tc>
        <w:tc>
          <w:tcPr>
            <w:tcW w:w="720" w:type="dxa"/>
            <w:tcBorders>
              <w:top w:val="nil"/>
              <w:left w:val="single" w:sz="4" w:space="0" w:color="auto"/>
              <w:bottom w:val="single" w:sz="4" w:space="0" w:color="auto"/>
              <w:right w:val="nil"/>
            </w:tcBorders>
            <w:shd w:val="clear" w:color="auto" w:fill="auto"/>
            <w:noWrap/>
            <w:vAlign w:val="center"/>
            <w:hideMark/>
          </w:tcPr>
          <w:p w14:paraId="02511B1B" w14:textId="77777777" w:rsidR="00387142" w:rsidRPr="008B6A75" w:rsidRDefault="00387142" w:rsidP="00387142">
            <w:pPr>
              <w:jc w:val="center"/>
              <w:rPr>
                <w:sz w:val="20"/>
                <w:szCs w:val="20"/>
              </w:rPr>
            </w:pPr>
            <w:r w:rsidRPr="008B6A75">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C89843E" w14:textId="77777777" w:rsidR="00387142" w:rsidRPr="008B6A75" w:rsidRDefault="00387142" w:rsidP="00387142">
            <w:pPr>
              <w:jc w:val="center"/>
              <w:rPr>
                <w:sz w:val="20"/>
                <w:szCs w:val="20"/>
              </w:rPr>
            </w:pPr>
            <w:r w:rsidRPr="008B6A75">
              <w:rPr>
                <w:sz w:val="20"/>
                <w:szCs w:val="20"/>
              </w:rPr>
              <w:t>07</w:t>
            </w:r>
          </w:p>
        </w:tc>
        <w:tc>
          <w:tcPr>
            <w:tcW w:w="1516" w:type="dxa"/>
            <w:tcBorders>
              <w:top w:val="nil"/>
              <w:left w:val="single" w:sz="4" w:space="0" w:color="auto"/>
              <w:bottom w:val="single" w:sz="4" w:space="0" w:color="auto"/>
              <w:right w:val="nil"/>
            </w:tcBorders>
            <w:shd w:val="clear" w:color="auto" w:fill="auto"/>
            <w:noWrap/>
            <w:vAlign w:val="center"/>
            <w:hideMark/>
          </w:tcPr>
          <w:p w14:paraId="42A32986" w14:textId="77777777" w:rsidR="00387142" w:rsidRPr="008B6A75" w:rsidRDefault="00387142" w:rsidP="00387142">
            <w:pPr>
              <w:jc w:val="center"/>
              <w:rPr>
                <w:sz w:val="20"/>
                <w:szCs w:val="20"/>
              </w:rPr>
            </w:pPr>
            <w:r w:rsidRPr="008B6A75">
              <w:rPr>
                <w:sz w:val="20"/>
                <w:szCs w:val="20"/>
              </w:rPr>
              <w:t>03.0.00.79500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87CD2EC" w14:textId="77777777" w:rsidR="00387142" w:rsidRPr="008B6A75" w:rsidRDefault="00387142" w:rsidP="00387142">
            <w:pPr>
              <w:jc w:val="center"/>
              <w:rPr>
                <w:sz w:val="20"/>
                <w:szCs w:val="20"/>
              </w:rPr>
            </w:pPr>
            <w:r w:rsidRPr="008B6A75">
              <w:rPr>
                <w:sz w:val="20"/>
                <w:szCs w:val="20"/>
              </w:rPr>
              <w:t>540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7B46806" w14:textId="77777777" w:rsidR="00387142" w:rsidRPr="008B6A75" w:rsidRDefault="00387142" w:rsidP="00387142">
            <w:pPr>
              <w:jc w:val="right"/>
              <w:rPr>
                <w:sz w:val="20"/>
                <w:szCs w:val="20"/>
              </w:rPr>
            </w:pPr>
            <w:r w:rsidRPr="008B6A75">
              <w:rPr>
                <w:sz w:val="20"/>
                <w:szCs w:val="20"/>
              </w:rPr>
              <w:t>100 000,00</w:t>
            </w:r>
          </w:p>
        </w:tc>
        <w:tc>
          <w:tcPr>
            <w:tcW w:w="992" w:type="dxa"/>
            <w:tcBorders>
              <w:top w:val="nil"/>
              <w:left w:val="single" w:sz="4" w:space="0" w:color="auto"/>
              <w:bottom w:val="single" w:sz="4" w:space="0" w:color="auto"/>
              <w:right w:val="nil"/>
            </w:tcBorders>
            <w:shd w:val="clear" w:color="auto" w:fill="auto"/>
            <w:vAlign w:val="center"/>
            <w:hideMark/>
          </w:tcPr>
          <w:p w14:paraId="1F07822D" w14:textId="77777777" w:rsidR="00387142" w:rsidRPr="008B6A75" w:rsidRDefault="00387142" w:rsidP="00387142">
            <w:pPr>
              <w:jc w:val="right"/>
              <w:rPr>
                <w:sz w:val="20"/>
                <w:szCs w:val="20"/>
              </w:rPr>
            </w:pPr>
            <w:r w:rsidRPr="008B6A75">
              <w:rPr>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7E19C392" w14:textId="77777777" w:rsidR="00387142" w:rsidRPr="008B6A75" w:rsidRDefault="00387142" w:rsidP="00387142">
            <w:pPr>
              <w:jc w:val="right"/>
              <w:rPr>
                <w:sz w:val="20"/>
                <w:szCs w:val="20"/>
              </w:rPr>
            </w:pPr>
            <w:r w:rsidRPr="008B6A75">
              <w:rPr>
                <w:sz w:val="20"/>
                <w:szCs w:val="20"/>
              </w:rPr>
              <w:t>0,00</w:t>
            </w:r>
          </w:p>
        </w:tc>
      </w:tr>
      <w:tr w:rsidR="00387142" w:rsidRPr="008B6A75" w14:paraId="38EA2CC6" w14:textId="77777777" w:rsidTr="00387142">
        <w:trPr>
          <w:trHeight w:val="870"/>
        </w:trPr>
        <w:tc>
          <w:tcPr>
            <w:tcW w:w="3261" w:type="dxa"/>
            <w:tcBorders>
              <w:top w:val="nil"/>
              <w:left w:val="single" w:sz="4" w:space="0" w:color="auto"/>
              <w:bottom w:val="single" w:sz="4" w:space="0" w:color="auto"/>
              <w:right w:val="nil"/>
            </w:tcBorders>
            <w:shd w:val="clear" w:color="auto" w:fill="auto"/>
            <w:vAlign w:val="center"/>
            <w:hideMark/>
          </w:tcPr>
          <w:p w14:paraId="2A755BF5" w14:textId="77777777" w:rsidR="00387142" w:rsidRPr="008B6A75" w:rsidRDefault="00387142" w:rsidP="00387142">
            <w:pPr>
              <w:rPr>
                <w:sz w:val="20"/>
                <w:szCs w:val="20"/>
              </w:rPr>
            </w:pPr>
            <w:r w:rsidRPr="008B6A75">
              <w:rPr>
                <w:sz w:val="20"/>
                <w:szCs w:val="20"/>
              </w:rPr>
              <w:t>Предоставление субсидий бюджетным, автономным учреждениям и иным некоммерческим организациям</w:t>
            </w:r>
          </w:p>
        </w:tc>
        <w:tc>
          <w:tcPr>
            <w:tcW w:w="720" w:type="dxa"/>
            <w:tcBorders>
              <w:top w:val="nil"/>
              <w:left w:val="single" w:sz="4" w:space="0" w:color="auto"/>
              <w:bottom w:val="single" w:sz="4" w:space="0" w:color="auto"/>
              <w:right w:val="nil"/>
            </w:tcBorders>
            <w:shd w:val="clear" w:color="auto" w:fill="auto"/>
            <w:noWrap/>
            <w:vAlign w:val="center"/>
            <w:hideMark/>
          </w:tcPr>
          <w:p w14:paraId="73559EDE" w14:textId="77777777" w:rsidR="00387142" w:rsidRPr="008B6A75" w:rsidRDefault="00387142" w:rsidP="00387142">
            <w:pPr>
              <w:jc w:val="center"/>
              <w:rPr>
                <w:sz w:val="20"/>
                <w:szCs w:val="20"/>
              </w:rPr>
            </w:pPr>
            <w:r w:rsidRPr="008B6A75">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6BC94D3" w14:textId="77777777" w:rsidR="00387142" w:rsidRPr="008B6A75" w:rsidRDefault="00387142" w:rsidP="00387142">
            <w:pPr>
              <w:jc w:val="center"/>
              <w:rPr>
                <w:sz w:val="20"/>
                <w:szCs w:val="20"/>
              </w:rPr>
            </w:pPr>
            <w:r w:rsidRPr="008B6A75">
              <w:rPr>
                <w:sz w:val="20"/>
                <w:szCs w:val="20"/>
              </w:rPr>
              <w:t>07</w:t>
            </w:r>
          </w:p>
        </w:tc>
        <w:tc>
          <w:tcPr>
            <w:tcW w:w="1516" w:type="dxa"/>
            <w:tcBorders>
              <w:top w:val="nil"/>
              <w:left w:val="single" w:sz="4" w:space="0" w:color="auto"/>
              <w:bottom w:val="single" w:sz="4" w:space="0" w:color="auto"/>
              <w:right w:val="nil"/>
            </w:tcBorders>
            <w:shd w:val="clear" w:color="auto" w:fill="auto"/>
            <w:noWrap/>
            <w:vAlign w:val="center"/>
            <w:hideMark/>
          </w:tcPr>
          <w:p w14:paraId="7BA624F6" w14:textId="77777777" w:rsidR="00387142" w:rsidRPr="008B6A75" w:rsidRDefault="00387142" w:rsidP="00387142">
            <w:pPr>
              <w:jc w:val="center"/>
              <w:rPr>
                <w:sz w:val="20"/>
                <w:szCs w:val="20"/>
              </w:rPr>
            </w:pPr>
            <w:r w:rsidRPr="008B6A75">
              <w:rPr>
                <w:sz w:val="20"/>
                <w:szCs w:val="20"/>
              </w:rPr>
              <w:t>03.0.00.79500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FE4E80E" w14:textId="77777777" w:rsidR="00387142" w:rsidRPr="008B6A75" w:rsidRDefault="00387142" w:rsidP="00387142">
            <w:pPr>
              <w:jc w:val="center"/>
              <w:rPr>
                <w:sz w:val="20"/>
                <w:szCs w:val="20"/>
              </w:rPr>
            </w:pPr>
            <w:r w:rsidRPr="008B6A75">
              <w:rPr>
                <w:sz w:val="20"/>
                <w:szCs w:val="20"/>
              </w:rPr>
              <w:t>600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BA73022" w14:textId="77777777" w:rsidR="00387142" w:rsidRPr="008B6A75" w:rsidRDefault="00387142" w:rsidP="00387142">
            <w:pPr>
              <w:jc w:val="right"/>
              <w:rPr>
                <w:sz w:val="20"/>
                <w:szCs w:val="20"/>
              </w:rPr>
            </w:pPr>
            <w:r w:rsidRPr="008B6A75">
              <w:rPr>
                <w:sz w:val="20"/>
                <w:szCs w:val="20"/>
              </w:rPr>
              <w:t>900 000,00</w:t>
            </w:r>
          </w:p>
        </w:tc>
        <w:tc>
          <w:tcPr>
            <w:tcW w:w="992" w:type="dxa"/>
            <w:tcBorders>
              <w:top w:val="nil"/>
              <w:left w:val="single" w:sz="4" w:space="0" w:color="auto"/>
              <w:bottom w:val="single" w:sz="4" w:space="0" w:color="auto"/>
              <w:right w:val="nil"/>
            </w:tcBorders>
            <w:shd w:val="clear" w:color="auto" w:fill="auto"/>
            <w:vAlign w:val="center"/>
            <w:hideMark/>
          </w:tcPr>
          <w:p w14:paraId="57EE7A64" w14:textId="77777777" w:rsidR="00387142" w:rsidRPr="008B6A75" w:rsidRDefault="00387142" w:rsidP="00387142">
            <w:pPr>
              <w:jc w:val="right"/>
              <w:rPr>
                <w:sz w:val="20"/>
                <w:szCs w:val="20"/>
              </w:rPr>
            </w:pPr>
            <w:r w:rsidRPr="008B6A75">
              <w:rPr>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72DA39D9" w14:textId="77777777" w:rsidR="00387142" w:rsidRPr="008B6A75" w:rsidRDefault="00387142" w:rsidP="00387142">
            <w:pPr>
              <w:jc w:val="right"/>
              <w:rPr>
                <w:sz w:val="20"/>
                <w:szCs w:val="20"/>
              </w:rPr>
            </w:pPr>
            <w:r w:rsidRPr="008B6A75">
              <w:rPr>
                <w:sz w:val="20"/>
                <w:szCs w:val="20"/>
              </w:rPr>
              <w:t>0,00</w:t>
            </w:r>
          </w:p>
        </w:tc>
      </w:tr>
      <w:tr w:rsidR="00387142" w:rsidRPr="008B6A75" w14:paraId="76D66E84" w14:textId="77777777" w:rsidTr="00387142">
        <w:trPr>
          <w:trHeight w:val="345"/>
        </w:trPr>
        <w:tc>
          <w:tcPr>
            <w:tcW w:w="3261" w:type="dxa"/>
            <w:tcBorders>
              <w:top w:val="nil"/>
              <w:left w:val="single" w:sz="4" w:space="0" w:color="auto"/>
              <w:bottom w:val="single" w:sz="4" w:space="0" w:color="auto"/>
              <w:right w:val="nil"/>
            </w:tcBorders>
            <w:shd w:val="clear" w:color="auto" w:fill="auto"/>
            <w:vAlign w:val="center"/>
            <w:hideMark/>
          </w:tcPr>
          <w:p w14:paraId="0AC473FC" w14:textId="77777777" w:rsidR="00387142" w:rsidRPr="008B6A75" w:rsidRDefault="00387142" w:rsidP="00387142">
            <w:pPr>
              <w:rPr>
                <w:sz w:val="20"/>
                <w:szCs w:val="20"/>
              </w:rPr>
            </w:pPr>
            <w:r w:rsidRPr="008B6A75">
              <w:rPr>
                <w:sz w:val="20"/>
                <w:szCs w:val="20"/>
              </w:rPr>
              <w:t>Субсидии бюджетным учреждениям</w:t>
            </w:r>
          </w:p>
        </w:tc>
        <w:tc>
          <w:tcPr>
            <w:tcW w:w="720" w:type="dxa"/>
            <w:tcBorders>
              <w:top w:val="nil"/>
              <w:left w:val="single" w:sz="4" w:space="0" w:color="auto"/>
              <w:bottom w:val="single" w:sz="4" w:space="0" w:color="auto"/>
              <w:right w:val="nil"/>
            </w:tcBorders>
            <w:shd w:val="clear" w:color="auto" w:fill="auto"/>
            <w:noWrap/>
            <w:vAlign w:val="center"/>
            <w:hideMark/>
          </w:tcPr>
          <w:p w14:paraId="2DA24C09" w14:textId="77777777" w:rsidR="00387142" w:rsidRPr="008B6A75" w:rsidRDefault="00387142" w:rsidP="00387142">
            <w:pPr>
              <w:jc w:val="center"/>
              <w:rPr>
                <w:sz w:val="20"/>
                <w:szCs w:val="20"/>
              </w:rPr>
            </w:pPr>
            <w:r w:rsidRPr="008B6A75">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64BC5AB" w14:textId="77777777" w:rsidR="00387142" w:rsidRPr="008B6A75" w:rsidRDefault="00387142" w:rsidP="00387142">
            <w:pPr>
              <w:jc w:val="center"/>
              <w:rPr>
                <w:sz w:val="20"/>
                <w:szCs w:val="20"/>
              </w:rPr>
            </w:pPr>
            <w:r w:rsidRPr="008B6A75">
              <w:rPr>
                <w:sz w:val="20"/>
                <w:szCs w:val="20"/>
              </w:rPr>
              <w:t>07</w:t>
            </w:r>
          </w:p>
        </w:tc>
        <w:tc>
          <w:tcPr>
            <w:tcW w:w="1516" w:type="dxa"/>
            <w:tcBorders>
              <w:top w:val="nil"/>
              <w:left w:val="single" w:sz="4" w:space="0" w:color="auto"/>
              <w:bottom w:val="single" w:sz="4" w:space="0" w:color="auto"/>
              <w:right w:val="nil"/>
            </w:tcBorders>
            <w:shd w:val="clear" w:color="auto" w:fill="auto"/>
            <w:noWrap/>
            <w:vAlign w:val="center"/>
            <w:hideMark/>
          </w:tcPr>
          <w:p w14:paraId="63EB0723" w14:textId="77777777" w:rsidR="00387142" w:rsidRPr="008B6A75" w:rsidRDefault="00387142" w:rsidP="00387142">
            <w:pPr>
              <w:jc w:val="center"/>
              <w:rPr>
                <w:sz w:val="20"/>
                <w:szCs w:val="20"/>
              </w:rPr>
            </w:pPr>
            <w:r w:rsidRPr="008B6A75">
              <w:rPr>
                <w:sz w:val="20"/>
                <w:szCs w:val="20"/>
              </w:rPr>
              <w:t>03.0.00.79500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A7DB7A2" w14:textId="77777777" w:rsidR="00387142" w:rsidRPr="008B6A75" w:rsidRDefault="00387142" w:rsidP="00387142">
            <w:pPr>
              <w:jc w:val="center"/>
              <w:rPr>
                <w:sz w:val="20"/>
                <w:szCs w:val="20"/>
              </w:rPr>
            </w:pPr>
            <w:r w:rsidRPr="008B6A75">
              <w:rPr>
                <w:sz w:val="20"/>
                <w:szCs w:val="20"/>
              </w:rPr>
              <w:t>610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3FAAD99" w14:textId="77777777" w:rsidR="00387142" w:rsidRPr="008B6A75" w:rsidRDefault="00387142" w:rsidP="00387142">
            <w:pPr>
              <w:jc w:val="right"/>
              <w:rPr>
                <w:sz w:val="20"/>
                <w:szCs w:val="20"/>
              </w:rPr>
            </w:pPr>
            <w:r w:rsidRPr="008B6A75">
              <w:rPr>
                <w:sz w:val="20"/>
                <w:szCs w:val="20"/>
              </w:rPr>
              <w:t>900 000,00</w:t>
            </w:r>
          </w:p>
        </w:tc>
        <w:tc>
          <w:tcPr>
            <w:tcW w:w="992" w:type="dxa"/>
            <w:tcBorders>
              <w:top w:val="nil"/>
              <w:left w:val="single" w:sz="4" w:space="0" w:color="auto"/>
              <w:bottom w:val="single" w:sz="4" w:space="0" w:color="auto"/>
              <w:right w:val="nil"/>
            </w:tcBorders>
            <w:shd w:val="clear" w:color="auto" w:fill="auto"/>
            <w:vAlign w:val="center"/>
            <w:hideMark/>
          </w:tcPr>
          <w:p w14:paraId="52E2A810" w14:textId="77777777" w:rsidR="00387142" w:rsidRPr="008B6A75" w:rsidRDefault="00387142" w:rsidP="00387142">
            <w:pPr>
              <w:jc w:val="right"/>
              <w:rPr>
                <w:sz w:val="20"/>
                <w:szCs w:val="20"/>
              </w:rPr>
            </w:pPr>
            <w:r w:rsidRPr="008B6A75">
              <w:rPr>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5C5653B7" w14:textId="77777777" w:rsidR="00387142" w:rsidRPr="008B6A75" w:rsidRDefault="00387142" w:rsidP="00387142">
            <w:pPr>
              <w:jc w:val="right"/>
              <w:rPr>
                <w:sz w:val="20"/>
                <w:szCs w:val="20"/>
              </w:rPr>
            </w:pPr>
            <w:r w:rsidRPr="008B6A75">
              <w:rPr>
                <w:sz w:val="20"/>
                <w:szCs w:val="20"/>
              </w:rPr>
              <w:t>0,00</w:t>
            </w:r>
          </w:p>
        </w:tc>
      </w:tr>
      <w:tr w:rsidR="00387142" w:rsidRPr="008B6A75" w14:paraId="41BD3EA0" w14:textId="77777777" w:rsidTr="00387142">
        <w:trPr>
          <w:trHeight w:val="870"/>
        </w:trPr>
        <w:tc>
          <w:tcPr>
            <w:tcW w:w="3261" w:type="dxa"/>
            <w:tcBorders>
              <w:top w:val="nil"/>
              <w:left w:val="single" w:sz="4" w:space="0" w:color="auto"/>
              <w:bottom w:val="single" w:sz="4" w:space="0" w:color="auto"/>
              <w:right w:val="nil"/>
            </w:tcBorders>
            <w:shd w:val="clear" w:color="auto" w:fill="auto"/>
            <w:vAlign w:val="center"/>
            <w:hideMark/>
          </w:tcPr>
          <w:p w14:paraId="1B5AB265" w14:textId="77777777" w:rsidR="00387142" w:rsidRPr="008B6A75" w:rsidRDefault="00387142" w:rsidP="00387142">
            <w:pPr>
              <w:rPr>
                <w:bCs/>
                <w:sz w:val="20"/>
                <w:szCs w:val="20"/>
              </w:rPr>
            </w:pPr>
            <w:r w:rsidRPr="008B6A75">
              <w:rPr>
                <w:bCs/>
                <w:sz w:val="20"/>
                <w:szCs w:val="20"/>
              </w:rPr>
              <w:t>Муниципальная программа "Развитие молодёжной политики в Куйбышевском районе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14:paraId="017A8AA9" w14:textId="77777777" w:rsidR="00387142" w:rsidRPr="008B6A75" w:rsidRDefault="00387142" w:rsidP="00387142">
            <w:pPr>
              <w:jc w:val="center"/>
              <w:rPr>
                <w:bCs/>
                <w:sz w:val="20"/>
                <w:szCs w:val="20"/>
              </w:rPr>
            </w:pPr>
            <w:r w:rsidRPr="008B6A75">
              <w:rPr>
                <w:bCs/>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5263130" w14:textId="77777777" w:rsidR="00387142" w:rsidRPr="008B6A75" w:rsidRDefault="00387142" w:rsidP="00387142">
            <w:pPr>
              <w:jc w:val="center"/>
              <w:rPr>
                <w:bCs/>
                <w:sz w:val="20"/>
                <w:szCs w:val="20"/>
              </w:rPr>
            </w:pPr>
            <w:r w:rsidRPr="008B6A75">
              <w:rPr>
                <w:bCs/>
                <w:sz w:val="20"/>
                <w:szCs w:val="20"/>
              </w:rPr>
              <w:t>07</w:t>
            </w:r>
          </w:p>
        </w:tc>
        <w:tc>
          <w:tcPr>
            <w:tcW w:w="1516" w:type="dxa"/>
            <w:tcBorders>
              <w:top w:val="nil"/>
              <w:left w:val="single" w:sz="4" w:space="0" w:color="auto"/>
              <w:bottom w:val="single" w:sz="4" w:space="0" w:color="auto"/>
              <w:right w:val="nil"/>
            </w:tcBorders>
            <w:shd w:val="clear" w:color="auto" w:fill="auto"/>
            <w:noWrap/>
            <w:vAlign w:val="center"/>
            <w:hideMark/>
          </w:tcPr>
          <w:p w14:paraId="3539D655" w14:textId="77777777" w:rsidR="00387142" w:rsidRPr="008B6A75" w:rsidRDefault="00387142" w:rsidP="00387142">
            <w:pPr>
              <w:jc w:val="center"/>
              <w:rPr>
                <w:bCs/>
                <w:sz w:val="20"/>
                <w:szCs w:val="20"/>
              </w:rPr>
            </w:pPr>
            <w:r w:rsidRPr="008B6A75">
              <w:rPr>
                <w:bCs/>
                <w:sz w:val="20"/>
                <w:szCs w:val="20"/>
              </w:rPr>
              <w:t>04.0.00.00000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6E03C4C"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375D2AD" w14:textId="77777777" w:rsidR="00387142" w:rsidRPr="008B6A75" w:rsidRDefault="00387142" w:rsidP="00387142">
            <w:pPr>
              <w:jc w:val="right"/>
              <w:rPr>
                <w:bCs/>
                <w:sz w:val="20"/>
                <w:szCs w:val="20"/>
              </w:rPr>
            </w:pPr>
            <w:r w:rsidRPr="008B6A75">
              <w:rPr>
                <w:bCs/>
                <w:sz w:val="20"/>
                <w:szCs w:val="20"/>
              </w:rPr>
              <w:t>25 774 110,12</w:t>
            </w:r>
          </w:p>
        </w:tc>
        <w:tc>
          <w:tcPr>
            <w:tcW w:w="992" w:type="dxa"/>
            <w:tcBorders>
              <w:top w:val="nil"/>
              <w:left w:val="single" w:sz="4" w:space="0" w:color="auto"/>
              <w:bottom w:val="single" w:sz="4" w:space="0" w:color="auto"/>
              <w:right w:val="nil"/>
            </w:tcBorders>
            <w:shd w:val="clear" w:color="auto" w:fill="auto"/>
            <w:vAlign w:val="center"/>
            <w:hideMark/>
          </w:tcPr>
          <w:p w14:paraId="3A2010FD" w14:textId="77777777" w:rsidR="00387142" w:rsidRPr="008B6A75" w:rsidRDefault="00387142" w:rsidP="00387142">
            <w:pPr>
              <w:jc w:val="right"/>
              <w:rPr>
                <w:bCs/>
                <w:sz w:val="20"/>
                <w:szCs w:val="20"/>
              </w:rPr>
            </w:pPr>
            <w:r w:rsidRPr="008B6A75">
              <w:rPr>
                <w:bCs/>
                <w:sz w:val="20"/>
                <w:szCs w:val="20"/>
              </w:rPr>
              <w:t>17 000 000,00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7B388117" w14:textId="77777777" w:rsidR="00387142" w:rsidRPr="008B6A75" w:rsidRDefault="00387142" w:rsidP="00387142">
            <w:pPr>
              <w:jc w:val="right"/>
              <w:rPr>
                <w:bCs/>
                <w:sz w:val="20"/>
                <w:szCs w:val="20"/>
              </w:rPr>
            </w:pPr>
            <w:r w:rsidRPr="008B6A75">
              <w:rPr>
                <w:bCs/>
                <w:sz w:val="20"/>
                <w:szCs w:val="20"/>
              </w:rPr>
              <w:t>17 000 000,00</w:t>
            </w:r>
          </w:p>
        </w:tc>
      </w:tr>
      <w:tr w:rsidR="00387142" w:rsidRPr="008B6A75" w14:paraId="0C8277DC" w14:textId="77777777" w:rsidTr="00387142">
        <w:trPr>
          <w:trHeight w:val="1155"/>
        </w:trPr>
        <w:tc>
          <w:tcPr>
            <w:tcW w:w="3261" w:type="dxa"/>
            <w:tcBorders>
              <w:top w:val="nil"/>
              <w:left w:val="single" w:sz="4" w:space="0" w:color="auto"/>
              <w:bottom w:val="single" w:sz="4" w:space="0" w:color="auto"/>
              <w:right w:val="nil"/>
            </w:tcBorders>
            <w:shd w:val="clear" w:color="auto" w:fill="auto"/>
            <w:vAlign w:val="center"/>
            <w:hideMark/>
          </w:tcPr>
          <w:p w14:paraId="14184FED" w14:textId="77777777" w:rsidR="00387142" w:rsidRPr="008B6A75" w:rsidRDefault="00387142" w:rsidP="00387142">
            <w:pPr>
              <w:rPr>
                <w:bCs/>
                <w:sz w:val="20"/>
                <w:szCs w:val="20"/>
              </w:rPr>
            </w:pPr>
            <w:r w:rsidRPr="008B6A75">
              <w:rPr>
                <w:bCs/>
                <w:sz w:val="20"/>
                <w:szCs w:val="20"/>
              </w:rPr>
              <w:t>Расходы на обеспечение деятельности (оказание услуг) муниципальных учреждений по организационно-воспитательной работе с молодежью</w:t>
            </w:r>
          </w:p>
        </w:tc>
        <w:tc>
          <w:tcPr>
            <w:tcW w:w="720" w:type="dxa"/>
            <w:tcBorders>
              <w:top w:val="nil"/>
              <w:left w:val="single" w:sz="4" w:space="0" w:color="auto"/>
              <w:bottom w:val="single" w:sz="4" w:space="0" w:color="auto"/>
              <w:right w:val="nil"/>
            </w:tcBorders>
            <w:shd w:val="clear" w:color="auto" w:fill="auto"/>
            <w:noWrap/>
            <w:vAlign w:val="center"/>
            <w:hideMark/>
          </w:tcPr>
          <w:p w14:paraId="03BEFBBC" w14:textId="77777777" w:rsidR="00387142" w:rsidRPr="008B6A75" w:rsidRDefault="00387142" w:rsidP="00387142">
            <w:pPr>
              <w:jc w:val="center"/>
              <w:rPr>
                <w:bCs/>
                <w:sz w:val="20"/>
                <w:szCs w:val="20"/>
              </w:rPr>
            </w:pPr>
            <w:r w:rsidRPr="008B6A75">
              <w:rPr>
                <w:bCs/>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0CC1D75" w14:textId="77777777" w:rsidR="00387142" w:rsidRPr="008B6A75" w:rsidRDefault="00387142" w:rsidP="00387142">
            <w:pPr>
              <w:jc w:val="center"/>
              <w:rPr>
                <w:bCs/>
                <w:sz w:val="20"/>
                <w:szCs w:val="20"/>
              </w:rPr>
            </w:pPr>
            <w:r w:rsidRPr="008B6A75">
              <w:rPr>
                <w:bCs/>
                <w:sz w:val="20"/>
                <w:szCs w:val="20"/>
              </w:rPr>
              <w:t>07</w:t>
            </w:r>
          </w:p>
        </w:tc>
        <w:tc>
          <w:tcPr>
            <w:tcW w:w="1516" w:type="dxa"/>
            <w:tcBorders>
              <w:top w:val="nil"/>
              <w:left w:val="single" w:sz="4" w:space="0" w:color="auto"/>
              <w:bottom w:val="single" w:sz="4" w:space="0" w:color="auto"/>
              <w:right w:val="nil"/>
            </w:tcBorders>
            <w:shd w:val="clear" w:color="auto" w:fill="auto"/>
            <w:noWrap/>
            <w:vAlign w:val="center"/>
            <w:hideMark/>
          </w:tcPr>
          <w:p w14:paraId="4192FA41" w14:textId="77777777" w:rsidR="00387142" w:rsidRPr="008B6A75" w:rsidRDefault="00387142" w:rsidP="00387142">
            <w:pPr>
              <w:jc w:val="center"/>
              <w:rPr>
                <w:bCs/>
                <w:sz w:val="20"/>
                <w:szCs w:val="20"/>
              </w:rPr>
            </w:pPr>
            <w:r w:rsidRPr="008B6A75">
              <w:rPr>
                <w:bCs/>
                <w:sz w:val="20"/>
                <w:szCs w:val="20"/>
              </w:rPr>
              <w:t>04.0.00.07590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E9766E8"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1539D35" w14:textId="77777777" w:rsidR="00387142" w:rsidRPr="008B6A75" w:rsidRDefault="00387142" w:rsidP="00387142">
            <w:pPr>
              <w:jc w:val="right"/>
              <w:rPr>
                <w:bCs/>
                <w:sz w:val="20"/>
                <w:szCs w:val="20"/>
              </w:rPr>
            </w:pPr>
            <w:r w:rsidRPr="008B6A75">
              <w:rPr>
                <w:bCs/>
                <w:sz w:val="20"/>
                <w:szCs w:val="20"/>
              </w:rPr>
              <w:t>20 864 910,12</w:t>
            </w:r>
          </w:p>
        </w:tc>
        <w:tc>
          <w:tcPr>
            <w:tcW w:w="992" w:type="dxa"/>
            <w:tcBorders>
              <w:top w:val="nil"/>
              <w:left w:val="single" w:sz="4" w:space="0" w:color="auto"/>
              <w:bottom w:val="single" w:sz="4" w:space="0" w:color="auto"/>
              <w:right w:val="nil"/>
            </w:tcBorders>
            <w:shd w:val="clear" w:color="auto" w:fill="auto"/>
            <w:vAlign w:val="center"/>
            <w:hideMark/>
          </w:tcPr>
          <w:p w14:paraId="0FC2ECAC" w14:textId="77777777" w:rsidR="00387142" w:rsidRPr="008B6A75" w:rsidRDefault="00387142" w:rsidP="00387142">
            <w:pPr>
              <w:jc w:val="right"/>
              <w:rPr>
                <w:bCs/>
                <w:sz w:val="20"/>
                <w:szCs w:val="20"/>
              </w:rPr>
            </w:pPr>
            <w:r w:rsidRPr="008B6A75">
              <w:rPr>
                <w:bCs/>
                <w:sz w:val="20"/>
                <w:szCs w:val="20"/>
              </w:rPr>
              <w:t>17 000 000,00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43FE43F9" w14:textId="77777777" w:rsidR="00387142" w:rsidRPr="008B6A75" w:rsidRDefault="00387142" w:rsidP="00387142">
            <w:pPr>
              <w:jc w:val="right"/>
              <w:rPr>
                <w:bCs/>
                <w:sz w:val="20"/>
                <w:szCs w:val="20"/>
              </w:rPr>
            </w:pPr>
            <w:r w:rsidRPr="008B6A75">
              <w:rPr>
                <w:bCs/>
                <w:sz w:val="20"/>
                <w:szCs w:val="20"/>
              </w:rPr>
              <w:t>17 000 000,00</w:t>
            </w:r>
          </w:p>
        </w:tc>
      </w:tr>
      <w:tr w:rsidR="00387142" w:rsidRPr="008B6A75" w14:paraId="13B1F2E3" w14:textId="77777777" w:rsidTr="00387142">
        <w:trPr>
          <w:trHeight w:val="1440"/>
        </w:trPr>
        <w:tc>
          <w:tcPr>
            <w:tcW w:w="3261" w:type="dxa"/>
            <w:tcBorders>
              <w:top w:val="nil"/>
              <w:left w:val="single" w:sz="4" w:space="0" w:color="auto"/>
              <w:bottom w:val="single" w:sz="4" w:space="0" w:color="auto"/>
              <w:right w:val="nil"/>
            </w:tcBorders>
            <w:shd w:val="clear" w:color="auto" w:fill="auto"/>
            <w:vAlign w:val="center"/>
            <w:hideMark/>
          </w:tcPr>
          <w:p w14:paraId="043CE295" w14:textId="77777777" w:rsidR="00387142" w:rsidRPr="008B6A75" w:rsidRDefault="00387142" w:rsidP="00387142">
            <w:pPr>
              <w:rPr>
                <w:sz w:val="20"/>
                <w:szCs w:val="20"/>
              </w:rPr>
            </w:pPr>
            <w:r w:rsidRPr="008B6A7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14:paraId="2ECD0F53" w14:textId="77777777" w:rsidR="00387142" w:rsidRPr="008B6A75" w:rsidRDefault="00387142" w:rsidP="00387142">
            <w:pPr>
              <w:jc w:val="center"/>
              <w:rPr>
                <w:sz w:val="20"/>
                <w:szCs w:val="20"/>
              </w:rPr>
            </w:pPr>
            <w:r w:rsidRPr="008B6A75">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BD1A88A" w14:textId="77777777" w:rsidR="00387142" w:rsidRPr="008B6A75" w:rsidRDefault="00387142" w:rsidP="00387142">
            <w:pPr>
              <w:jc w:val="center"/>
              <w:rPr>
                <w:sz w:val="20"/>
                <w:szCs w:val="20"/>
              </w:rPr>
            </w:pPr>
            <w:r w:rsidRPr="008B6A75">
              <w:rPr>
                <w:sz w:val="20"/>
                <w:szCs w:val="20"/>
              </w:rPr>
              <w:t>07</w:t>
            </w:r>
          </w:p>
        </w:tc>
        <w:tc>
          <w:tcPr>
            <w:tcW w:w="1516" w:type="dxa"/>
            <w:tcBorders>
              <w:top w:val="nil"/>
              <w:left w:val="single" w:sz="4" w:space="0" w:color="auto"/>
              <w:bottom w:val="single" w:sz="4" w:space="0" w:color="auto"/>
              <w:right w:val="nil"/>
            </w:tcBorders>
            <w:shd w:val="clear" w:color="auto" w:fill="auto"/>
            <w:noWrap/>
            <w:vAlign w:val="center"/>
            <w:hideMark/>
          </w:tcPr>
          <w:p w14:paraId="053B7141" w14:textId="77777777" w:rsidR="00387142" w:rsidRPr="008B6A75" w:rsidRDefault="00387142" w:rsidP="00387142">
            <w:pPr>
              <w:jc w:val="center"/>
              <w:rPr>
                <w:sz w:val="20"/>
                <w:szCs w:val="20"/>
              </w:rPr>
            </w:pPr>
            <w:r w:rsidRPr="008B6A75">
              <w:rPr>
                <w:sz w:val="20"/>
                <w:szCs w:val="20"/>
              </w:rPr>
              <w:t>04.0.00.07590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4748A27" w14:textId="77777777" w:rsidR="00387142" w:rsidRPr="008B6A75" w:rsidRDefault="00387142" w:rsidP="00387142">
            <w:pPr>
              <w:jc w:val="center"/>
              <w:rPr>
                <w:sz w:val="20"/>
                <w:szCs w:val="20"/>
              </w:rPr>
            </w:pPr>
            <w:r w:rsidRPr="008B6A75">
              <w:rPr>
                <w:sz w:val="20"/>
                <w:szCs w:val="20"/>
              </w:rPr>
              <w:t>100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5E4D535" w14:textId="77777777" w:rsidR="00387142" w:rsidRPr="008B6A75" w:rsidRDefault="00387142" w:rsidP="00387142">
            <w:pPr>
              <w:jc w:val="right"/>
              <w:rPr>
                <w:sz w:val="20"/>
                <w:szCs w:val="20"/>
              </w:rPr>
            </w:pPr>
            <w:r w:rsidRPr="008B6A75">
              <w:rPr>
                <w:sz w:val="20"/>
                <w:szCs w:val="20"/>
              </w:rPr>
              <w:t>0,00</w:t>
            </w:r>
          </w:p>
        </w:tc>
        <w:tc>
          <w:tcPr>
            <w:tcW w:w="992" w:type="dxa"/>
            <w:tcBorders>
              <w:top w:val="nil"/>
              <w:left w:val="single" w:sz="4" w:space="0" w:color="auto"/>
              <w:bottom w:val="single" w:sz="4" w:space="0" w:color="auto"/>
              <w:right w:val="nil"/>
            </w:tcBorders>
            <w:shd w:val="clear" w:color="auto" w:fill="auto"/>
            <w:vAlign w:val="center"/>
            <w:hideMark/>
          </w:tcPr>
          <w:p w14:paraId="06D42055" w14:textId="77777777" w:rsidR="00387142" w:rsidRPr="008B6A75" w:rsidRDefault="00387142" w:rsidP="00387142">
            <w:pPr>
              <w:jc w:val="right"/>
              <w:rPr>
                <w:sz w:val="20"/>
                <w:szCs w:val="20"/>
              </w:rPr>
            </w:pPr>
            <w:r w:rsidRPr="008B6A75">
              <w:rPr>
                <w:sz w:val="20"/>
                <w:szCs w:val="20"/>
              </w:rPr>
              <w:t>10 000 000,00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12E91AB3" w14:textId="77777777" w:rsidR="00387142" w:rsidRPr="008B6A75" w:rsidRDefault="00387142" w:rsidP="00387142">
            <w:pPr>
              <w:jc w:val="right"/>
              <w:rPr>
                <w:sz w:val="20"/>
                <w:szCs w:val="20"/>
              </w:rPr>
            </w:pPr>
            <w:r w:rsidRPr="008B6A75">
              <w:rPr>
                <w:sz w:val="20"/>
                <w:szCs w:val="20"/>
              </w:rPr>
              <w:t>10 000 000,00</w:t>
            </w:r>
          </w:p>
        </w:tc>
      </w:tr>
      <w:tr w:rsidR="00387142" w:rsidRPr="008B6A75" w14:paraId="3D775C02" w14:textId="77777777" w:rsidTr="00387142">
        <w:trPr>
          <w:trHeight w:val="585"/>
        </w:trPr>
        <w:tc>
          <w:tcPr>
            <w:tcW w:w="3261" w:type="dxa"/>
            <w:tcBorders>
              <w:top w:val="nil"/>
              <w:left w:val="single" w:sz="4" w:space="0" w:color="auto"/>
              <w:bottom w:val="single" w:sz="4" w:space="0" w:color="auto"/>
              <w:right w:val="nil"/>
            </w:tcBorders>
            <w:shd w:val="clear" w:color="auto" w:fill="auto"/>
            <w:vAlign w:val="center"/>
            <w:hideMark/>
          </w:tcPr>
          <w:p w14:paraId="2CBFA83C" w14:textId="77777777" w:rsidR="00387142" w:rsidRPr="008B6A75" w:rsidRDefault="00387142" w:rsidP="00387142">
            <w:pPr>
              <w:rPr>
                <w:sz w:val="20"/>
                <w:szCs w:val="20"/>
              </w:rPr>
            </w:pPr>
            <w:r w:rsidRPr="008B6A75">
              <w:rPr>
                <w:sz w:val="20"/>
                <w:szCs w:val="20"/>
              </w:rPr>
              <w:t>Расходы на выплаты персоналу казенных учреждений</w:t>
            </w:r>
          </w:p>
        </w:tc>
        <w:tc>
          <w:tcPr>
            <w:tcW w:w="720" w:type="dxa"/>
            <w:tcBorders>
              <w:top w:val="nil"/>
              <w:left w:val="single" w:sz="4" w:space="0" w:color="auto"/>
              <w:bottom w:val="single" w:sz="4" w:space="0" w:color="auto"/>
              <w:right w:val="nil"/>
            </w:tcBorders>
            <w:shd w:val="clear" w:color="auto" w:fill="auto"/>
            <w:noWrap/>
            <w:vAlign w:val="center"/>
            <w:hideMark/>
          </w:tcPr>
          <w:p w14:paraId="4FA5E15C" w14:textId="77777777" w:rsidR="00387142" w:rsidRPr="008B6A75" w:rsidRDefault="00387142" w:rsidP="00387142">
            <w:pPr>
              <w:jc w:val="center"/>
              <w:rPr>
                <w:sz w:val="20"/>
                <w:szCs w:val="20"/>
              </w:rPr>
            </w:pPr>
            <w:r w:rsidRPr="008B6A75">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9C35EEA" w14:textId="77777777" w:rsidR="00387142" w:rsidRPr="008B6A75" w:rsidRDefault="00387142" w:rsidP="00387142">
            <w:pPr>
              <w:jc w:val="center"/>
              <w:rPr>
                <w:sz w:val="20"/>
                <w:szCs w:val="20"/>
              </w:rPr>
            </w:pPr>
            <w:r w:rsidRPr="008B6A75">
              <w:rPr>
                <w:sz w:val="20"/>
                <w:szCs w:val="20"/>
              </w:rPr>
              <w:t>07</w:t>
            </w:r>
          </w:p>
        </w:tc>
        <w:tc>
          <w:tcPr>
            <w:tcW w:w="1516" w:type="dxa"/>
            <w:tcBorders>
              <w:top w:val="nil"/>
              <w:left w:val="single" w:sz="4" w:space="0" w:color="auto"/>
              <w:bottom w:val="single" w:sz="4" w:space="0" w:color="auto"/>
              <w:right w:val="nil"/>
            </w:tcBorders>
            <w:shd w:val="clear" w:color="auto" w:fill="auto"/>
            <w:noWrap/>
            <w:vAlign w:val="center"/>
            <w:hideMark/>
          </w:tcPr>
          <w:p w14:paraId="471CFE57" w14:textId="77777777" w:rsidR="00387142" w:rsidRPr="008B6A75" w:rsidRDefault="00387142" w:rsidP="00387142">
            <w:pPr>
              <w:jc w:val="center"/>
              <w:rPr>
                <w:sz w:val="20"/>
                <w:szCs w:val="20"/>
              </w:rPr>
            </w:pPr>
            <w:r w:rsidRPr="008B6A75">
              <w:rPr>
                <w:sz w:val="20"/>
                <w:szCs w:val="20"/>
              </w:rPr>
              <w:t>04.0.00.07590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E562673" w14:textId="77777777" w:rsidR="00387142" w:rsidRPr="008B6A75" w:rsidRDefault="00387142" w:rsidP="00387142">
            <w:pPr>
              <w:jc w:val="center"/>
              <w:rPr>
                <w:sz w:val="20"/>
                <w:szCs w:val="20"/>
              </w:rPr>
            </w:pPr>
            <w:r w:rsidRPr="008B6A75">
              <w:rPr>
                <w:sz w:val="20"/>
                <w:szCs w:val="20"/>
              </w:rPr>
              <w:t>110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A0DD143" w14:textId="77777777" w:rsidR="00387142" w:rsidRPr="008B6A75" w:rsidRDefault="00387142" w:rsidP="00387142">
            <w:pPr>
              <w:jc w:val="right"/>
              <w:rPr>
                <w:sz w:val="20"/>
                <w:szCs w:val="20"/>
              </w:rPr>
            </w:pPr>
            <w:r w:rsidRPr="008B6A75">
              <w:rPr>
                <w:sz w:val="20"/>
                <w:szCs w:val="20"/>
              </w:rPr>
              <w:t>0,00</w:t>
            </w:r>
          </w:p>
        </w:tc>
        <w:tc>
          <w:tcPr>
            <w:tcW w:w="992" w:type="dxa"/>
            <w:tcBorders>
              <w:top w:val="nil"/>
              <w:left w:val="single" w:sz="4" w:space="0" w:color="auto"/>
              <w:bottom w:val="single" w:sz="4" w:space="0" w:color="auto"/>
              <w:right w:val="nil"/>
            </w:tcBorders>
            <w:shd w:val="clear" w:color="auto" w:fill="auto"/>
            <w:vAlign w:val="center"/>
            <w:hideMark/>
          </w:tcPr>
          <w:p w14:paraId="4F21B5C1" w14:textId="77777777" w:rsidR="00387142" w:rsidRPr="008B6A75" w:rsidRDefault="00387142" w:rsidP="00387142">
            <w:pPr>
              <w:jc w:val="right"/>
              <w:rPr>
                <w:sz w:val="20"/>
                <w:szCs w:val="20"/>
              </w:rPr>
            </w:pPr>
            <w:r w:rsidRPr="008B6A75">
              <w:rPr>
                <w:sz w:val="20"/>
                <w:szCs w:val="20"/>
              </w:rPr>
              <w:t>10 000 000,00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5B4692B7" w14:textId="77777777" w:rsidR="00387142" w:rsidRPr="008B6A75" w:rsidRDefault="00387142" w:rsidP="00387142">
            <w:pPr>
              <w:jc w:val="right"/>
              <w:rPr>
                <w:sz w:val="20"/>
                <w:szCs w:val="20"/>
              </w:rPr>
            </w:pPr>
            <w:r w:rsidRPr="008B6A75">
              <w:rPr>
                <w:sz w:val="20"/>
                <w:szCs w:val="20"/>
              </w:rPr>
              <w:t>10 000 000,00</w:t>
            </w:r>
          </w:p>
        </w:tc>
      </w:tr>
      <w:tr w:rsidR="00387142" w:rsidRPr="008B6A75" w14:paraId="444E40C5" w14:textId="77777777" w:rsidTr="00387142">
        <w:trPr>
          <w:trHeight w:val="585"/>
        </w:trPr>
        <w:tc>
          <w:tcPr>
            <w:tcW w:w="3261" w:type="dxa"/>
            <w:tcBorders>
              <w:top w:val="nil"/>
              <w:left w:val="single" w:sz="4" w:space="0" w:color="auto"/>
              <w:bottom w:val="single" w:sz="4" w:space="0" w:color="auto"/>
              <w:right w:val="nil"/>
            </w:tcBorders>
            <w:shd w:val="clear" w:color="auto" w:fill="auto"/>
            <w:vAlign w:val="center"/>
            <w:hideMark/>
          </w:tcPr>
          <w:p w14:paraId="2711974A" w14:textId="77777777" w:rsidR="00387142" w:rsidRPr="008B6A75" w:rsidRDefault="00387142" w:rsidP="00387142">
            <w:pPr>
              <w:rPr>
                <w:sz w:val="20"/>
                <w:szCs w:val="20"/>
              </w:rPr>
            </w:pPr>
            <w:r w:rsidRPr="008B6A75">
              <w:rPr>
                <w:sz w:val="20"/>
                <w:szCs w:val="20"/>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68E5AE33" w14:textId="77777777" w:rsidR="00387142" w:rsidRPr="008B6A75" w:rsidRDefault="00387142" w:rsidP="00387142">
            <w:pPr>
              <w:jc w:val="center"/>
              <w:rPr>
                <w:sz w:val="20"/>
                <w:szCs w:val="20"/>
              </w:rPr>
            </w:pPr>
            <w:r w:rsidRPr="008B6A75">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E58BCD5" w14:textId="77777777" w:rsidR="00387142" w:rsidRPr="008B6A75" w:rsidRDefault="00387142" w:rsidP="00387142">
            <w:pPr>
              <w:jc w:val="center"/>
              <w:rPr>
                <w:sz w:val="20"/>
                <w:szCs w:val="20"/>
              </w:rPr>
            </w:pPr>
            <w:r w:rsidRPr="008B6A75">
              <w:rPr>
                <w:sz w:val="20"/>
                <w:szCs w:val="20"/>
              </w:rPr>
              <w:t>07</w:t>
            </w:r>
          </w:p>
        </w:tc>
        <w:tc>
          <w:tcPr>
            <w:tcW w:w="1516" w:type="dxa"/>
            <w:tcBorders>
              <w:top w:val="nil"/>
              <w:left w:val="single" w:sz="4" w:space="0" w:color="auto"/>
              <w:bottom w:val="single" w:sz="4" w:space="0" w:color="auto"/>
              <w:right w:val="nil"/>
            </w:tcBorders>
            <w:shd w:val="clear" w:color="auto" w:fill="auto"/>
            <w:noWrap/>
            <w:vAlign w:val="center"/>
            <w:hideMark/>
          </w:tcPr>
          <w:p w14:paraId="3D511D35" w14:textId="77777777" w:rsidR="00387142" w:rsidRPr="008B6A75" w:rsidRDefault="00387142" w:rsidP="00387142">
            <w:pPr>
              <w:jc w:val="center"/>
              <w:rPr>
                <w:sz w:val="20"/>
                <w:szCs w:val="20"/>
              </w:rPr>
            </w:pPr>
            <w:r w:rsidRPr="008B6A75">
              <w:rPr>
                <w:sz w:val="20"/>
                <w:szCs w:val="20"/>
              </w:rPr>
              <w:t>04.0.00.07590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BDA4E52" w14:textId="77777777" w:rsidR="00387142" w:rsidRPr="008B6A75" w:rsidRDefault="00387142" w:rsidP="00387142">
            <w:pPr>
              <w:jc w:val="center"/>
              <w:rPr>
                <w:sz w:val="20"/>
                <w:szCs w:val="20"/>
              </w:rPr>
            </w:pPr>
            <w:r w:rsidRPr="008B6A75">
              <w:rPr>
                <w:sz w:val="20"/>
                <w:szCs w:val="20"/>
              </w:rPr>
              <w:t>200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0FB985A" w14:textId="77777777" w:rsidR="00387142" w:rsidRPr="008B6A75" w:rsidRDefault="00387142" w:rsidP="00387142">
            <w:pPr>
              <w:jc w:val="right"/>
              <w:rPr>
                <w:sz w:val="20"/>
                <w:szCs w:val="20"/>
              </w:rPr>
            </w:pPr>
            <w:r w:rsidRPr="008B6A75">
              <w:rPr>
                <w:sz w:val="20"/>
                <w:szCs w:val="20"/>
              </w:rPr>
              <w:t>0,00</w:t>
            </w:r>
          </w:p>
        </w:tc>
        <w:tc>
          <w:tcPr>
            <w:tcW w:w="992" w:type="dxa"/>
            <w:tcBorders>
              <w:top w:val="nil"/>
              <w:left w:val="single" w:sz="4" w:space="0" w:color="auto"/>
              <w:bottom w:val="single" w:sz="4" w:space="0" w:color="auto"/>
              <w:right w:val="nil"/>
            </w:tcBorders>
            <w:shd w:val="clear" w:color="auto" w:fill="auto"/>
            <w:vAlign w:val="center"/>
            <w:hideMark/>
          </w:tcPr>
          <w:p w14:paraId="3F107236" w14:textId="77777777" w:rsidR="00387142" w:rsidRPr="008B6A75" w:rsidRDefault="00387142" w:rsidP="00387142">
            <w:pPr>
              <w:jc w:val="right"/>
              <w:rPr>
                <w:sz w:val="20"/>
                <w:szCs w:val="20"/>
              </w:rPr>
            </w:pPr>
            <w:r w:rsidRPr="008B6A75">
              <w:rPr>
                <w:sz w:val="20"/>
                <w:szCs w:val="20"/>
              </w:rPr>
              <w:t>2 000 000,00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74FA6053" w14:textId="77777777" w:rsidR="00387142" w:rsidRPr="008B6A75" w:rsidRDefault="00387142" w:rsidP="00387142">
            <w:pPr>
              <w:jc w:val="right"/>
              <w:rPr>
                <w:sz w:val="20"/>
                <w:szCs w:val="20"/>
              </w:rPr>
            </w:pPr>
            <w:r w:rsidRPr="008B6A75">
              <w:rPr>
                <w:sz w:val="20"/>
                <w:szCs w:val="20"/>
              </w:rPr>
              <w:t>2 000 000,00</w:t>
            </w:r>
          </w:p>
        </w:tc>
      </w:tr>
      <w:tr w:rsidR="00387142" w:rsidRPr="008B6A75" w14:paraId="79015C05" w14:textId="77777777" w:rsidTr="00387142">
        <w:trPr>
          <w:trHeight w:val="870"/>
        </w:trPr>
        <w:tc>
          <w:tcPr>
            <w:tcW w:w="3261" w:type="dxa"/>
            <w:tcBorders>
              <w:top w:val="nil"/>
              <w:left w:val="single" w:sz="4" w:space="0" w:color="auto"/>
              <w:bottom w:val="single" w:sz="4" w:space="0" w:color="auto"/>
              <w:right w:val="nil"/>
            </w:tcBorders>
            <w:shd w:val="clear" w:color="auto" w:fill="auto"/>
            <w:vAlign w:val="center"/>
            <w:hideMark/>
          </w:tcPr>
          <w:p w14:paraId="09179FB5" w14:textId="77777777" w:rsidR="00387142" w:rsidRPr="008B6A75" w:rsidRDefault="00387142" w:rsidP="00387142">
            <w:pPr>
              <w:rPr>
                <w:sz w:val="20"/>
                <w:szCs w:val="20"/>
              </w:rPr>
            </w:pPr>
            <w:r w:rsidRPr="008B6A75">
              <w:rPr>
                <w:sz w:val="20"/>
                <w:szCs w:val="20"/>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6A56A9EF" w14:textId="77777777" w:rsidR="00387142" w:rsidRPr="008B6A75" w:rsidRDefault="00387142" w:rsidP="00387142">
            <w:pPr>
              <w:jc w:val="center"/>
              <w:rPr>
                <w:sz w:val="20"/>
                <w:szCs w:val="20"/>
              </w:rPr>
            </w:pPr>
            <w:r w:rsidRPr="008B6A75">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9C22518" w14:textId="77777777" w:rsidR="00387142" w:rsidRPr="008B6A75" w:rsidRDefault="00387142" w:rsidP="00387142">
            <w:pPr>
              <w:jc w:val="center"/>
              <w:rPr>
                <w:sz w:val="20"/>
                <w:szCs w:val="20"/>
              </w:rPr>
            </w:pPr>
            <w:r w:rsidRPr="008B6A75">
              <w:rPr>
                <w:sz w:val="20"/>
                <w:szCs w:val="20"/>
              </w:rPr>
              <w:t>07</w:t>
            </w:r>
          </w:p>
        </w:tc>
        <w:tc>
          <w:tcPr>
            <w:tcW w:w="1516" w:type="dxa"/>
            <w:tcBorders>
              <w:top w:val="nil"/>
              <w:left w:val="single" w:sz="4" w:space="0" w:color="auto"/>
              <w:bottom w:val="single" w:sz="4" w:space="0" w:color="auto"/>
              <w:right w:val="nil"/>
            </w:tcBorders>
            <w:shd w:val="clear" w:color="auto" w:fill="auto"/>
            <w:noWrap/>
            <w:vAlign w:val="center"/>
            <w:hideMark/>
          </w:tcPr>
          <w:p w14:paraId="4815D971" w14:textId="77777777" w:rsidR="00387142" w:rsidRPr="008B6A75" w:rsidRDefault="00387142" w:rsidP="00387142">
            <w:pPr>
              <w:jc w:val="center"/>
              <w:rPr>
                <w:sz w:val="20"/>
                <w:szCs w:val="20"/>
              </w:rPr>
            </w:pPr>
            <w:r w:rsidRPr="008B6A75">
              <w:rPr>
                <w:sz w:val="20"/>
                <w:szCs w:val="20"/>
              </w:rPr>
              <w:t>04.0.00.07590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943A815" w14:textId="77777777" w:rsidR="00387142" w:rsidRPr="008B6A75" w:rsidRDefault="00387142" w:rsidP="00387142">
            <w:pPr>
              <w:jc w:val="center"/>
              <w:rPr>
                <w:sz w:val="20"/>
                <w:szCs w:val="20"/>
              </w:rPr>
            </w:pPr>
            <w:r w:rsidRPr="008B6A75">
              <w:rPr>
                <w:sz w:val="20"/>
                <w:szCs w:val="20"/>
              </w:rPr>
              <w:t>240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393F3EA" w14:textId="77777777" w:rsidR="00387142" w:rsidRPr="008B6A75" w:rsidRDefault="00387142" w:rsidP="00387142">
            <w:pPr>
              <w:jc w:val="right"/>
              <w:rPr>
                <w:sz w:val="20"/>
                <w:szCs w:val="20"/>
              </w:rPr>
            </w:pPr>
            <w:r w:rsidRPr="008B6A75">
              <w:rPr>
                <w:sz w:val="20"/>
                <w:szCs w:val="20"/>
              </w:rPr>
              <w:t>0,00</w:t>
            </w:r>
          </w:p>
        </w:tc>
        <w:tc>
          <w:tcPr>
            <w:tcW w:w="992" w:type="dxa"/>
            <w:tcBorders>
              <w:top w:val="nil"/>
              <w:left w:val="single" w:sz="4" w:space="0" w:color="auto"/>
              <w:bottom w:val="single" w:sz="4" w:space="0" w:color="auto"/>
              <w:right w:val="nil"/>
            </w:tcBorders>
            <w:shd w:val="clear" w:color="auto" w:fill="auto"/>
            <w:vAlign w:val="center"/>
            <w:hideMark/>
          </w:tcPr>
          <w:p w14:paraId="5E011A05" w14:textId="77777777" w:rsidR="00387142" w:rsidRPr="008B6A75" w:rsidRDefault="00387142" w:rsidP="00387142">
            <w:pPr>
              <w:jc w:val="right"/>
              <w:rPr>
                <w:sz w:val="20"/>
                <w:szCs w:val="20"/>
              </w:rPr>
            </w:pPr>
            <w:r w:rsidRPr="008B6A75">
              <w:rPr>
                <w:sz w:val="20"/>
                <w:szCs w:val="20"/>
              </w:rPr>
              <w:t>2 000 000,00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6B500CA1" w14:textId="77777777" w:rsidR="00387142" w:rsidRPr="008B6A75" w:rsidRDefault="00387142" w:rsidP="00387142">
            <w:pPr>
              <w:jc w:val="right"/>
              <w:rPr>
                <w:sz w:val="20"/>
                <w:szCs w:val="20"/>
              </w:rPr>
            </w:pPr>
            <w:r w:rsidRPr="008B6A75">
              <w:rPr>
                <w:sz w:val="20"/>
                <w:szCs w:val="20"/>
              </w:rPr>
              <w:t>2 000 000,00</w:t>
            </w:r>
          </w:p>
        </w:tc>
      </w:tr>
      <w:tr w:rsidR="00387142" w:rsidRPr="008B6A75" w14:paraId="4050A28B" w14:textId="77777777" w:rsidTr="00387142">
        <w:trPr>
          <w:trHeight w:val="870"/>
        </w:trPr>
        <w:tc>
          <w:tcPr>
            <w:tcW w:w="3261" w:type="dxa"/>
            <w:tcBorders>
              <w:top w:val="nil"/>
              <w:left w:val="single" w:sz="4" w:space="0" w:color="auto"/>
              <w:bottom w:val="single" w:sz="4" w:space="0" w:color="auto"/>
              <w:right w:val="nil"/>
            </w:tcBorders>
            <w:shd w:val="clear" w:color="auto" w:fill="auto"/>
            <w:vAlign w:val="center"/>
            <w:hideMark/>
          </w:tcPr>
          <w:p w14:paraId="44341C6F" w14:textId="77777777" w:rsidR="00387142" w:rsidRPr="008B6A75" w:rsidRDefault="00387142" w:rsidP="00387142">
            <w:pPr>
              <w:rPr>
                <w:sz w:val="20"/>
                <w:szCs w:val="20"/>
              </w:rPr>
            </w:pPr>
            <w:r w:rsidRPr="008B6A75">
              <w:rPr>
                <w:sz w:val="20"/>
                <w:szCs w:val="20"/>
              </w:rPr>
              <w:t>Предоставление субсидий бюджетным, автономным учреждениям и иным некоммерческим организациям</w:t>
            </w:r>
          </w:p>
        </w:tc>
        <w:tc>
          <w:tcPr>
            <w:tcW w:w="720" w:type="dxa"/>
            <w:tcBorders>
              <w:top w:val="nil"/>
              <w:left w:val="single" w:sz="4" w:space="0" w:color="auto"/>
              <w:bottom w:val="single" w:sz="4" w:space="0" w:color="auto"/>
              <w:right w:val="nil"/>
            </w:tcBorders>
            <w:shd w:val="clear" w:color="auto" w:fill="auto"/>
            <w:noWrap/>
            <w:vAlign w:val="center"/>
            <w:hideMark/>
          </w:tcPr>
          <w:p w14:paraId="1E33A877" w14:textId="77777777" w:rsidR="00387142" w:rsidRPr="008B6A75" w:rsidRDefault="00387142" w:rsidP="00387142">
            <w:pPr>
              <w:jc w:val="center"/>
              <w:rPr>
                <w:sz w:val="20"/>
                <w:szCs w:val="20"/>
              </w:rPr>
            </w:pPr>
            <w:r w:rsidRPr="008B6A75">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ED2A46A" w14:textId="77777777" w:rsidR="00387142" w:rsidRPr="008B6A75" w:rsidRDefault="00387142" w:rsidP="00387142">
            <w:pPr>
              <w:jc w:val="center"/>
              <w:rPr>
                <w:sz w:val="20"/>
                <w:szCs w:val="20"/>
              </w:rPr>
            </w:pPr>
            <w:r w:rsidRPr="008B6A75">
              <w:rPr>
                <w:sz w:val="20"/>
                <w:szCs w:val="20"/>
              </w:rPr>
              <w:t>07</w:t>
            </w:r>
          </w:p>
        </w:tc>
        <w:tc>
          <w:tcPr>
            <w:tcW w:w="1516" w:type="dxa"/>
            <w:tcBorders>
              <w:top w:val="nil"/>
              <w:left w:val="single" w:sz="4" w:space="0" w:color="auto"/>
              <w:bottom w:val="single" w:sz="4" w:space="0" w:color="auto"/>
              <w:right w:val="nil"/>
            </w:tcBorders>
            <w:shd w:val="clear" w:color="auto" w:fill="auto"/>
            <w:noWrap/>
            <w:vAlign w:val="center"/>
            <w:hideMark/>
          </w:tcPr>
          <w:p w14:paraId="31FA3F6A" w14:textId="77777777" w:rsidR="00387142" w:rsidRPr="008B6A75" w:rsidRDefault="00387142" w:rsidP="00387142">
            <w:pPr>
              <w:jc w:val="center"/>
              <w:rPr>
                <w:sz w:val="20"/>
                <w:szCs w:val="20"/>
              </w:rPr>
            </w:pPr>
            <w:r w:rsidRPr="008B6A75">
              <w:rPr>
                <w:sz w:val="20"/>
                <w:szCs w:val="20"/>
              </w:rPr>
              <w:t>04.0.00.07590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85F953B" w14:textId="77777777" w:rsidR="00387142" w:rsidRPr="008B6A75" w:rsidRDefault="00387142" w:rsidP="00387142">
            <w:pPr>
              <w:jc w:val="center"/>
              <w:rPr>
                <w:sz w:val="20"/>
                <w:szCs w:val="20"/>
              </w:rPr>
            </w:pPr>
            <w:r w:rsidRPr="008B6A75">
              <w:rPr>
                <w:sz w:val="20"/>
                <w:szCs w:val="20"/>
              </w:rPr>
              <w:t>600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5ECDC77" w14:textId="77777777" w:rsidR="00387142" w:rsidRPr="008B6A75" w:rsidRDefault="00387142" w:rsidP="00387142">
            <w:pPr>
              <w:jc w:val="right"/>
              <w:rPr>
                <w:sz w:val="20"/>
                <w:szCs w:val="20"/>
              </w:rPr>
            </w:pPr>
            <w:r w:rsidRPr="008B6A75">
              <w:rPr>
                <w:sz w:val="20"/>
                <w:szCs w:val="20"/>
              </w:rPr>
              <w:t>20 864 910,12</w:t>
            </w:r>
          </w:p>
        </w:tc>
        <w:tc>
          <w:tcPr>
            <w:tcW w:w="992" w:type="dxa"/>
            <w:tcBorders>
              <w:top w:val="nil"/>
              <w:left w:val="single" w:sz="4" w:space="0" w:color="auto"/>
              <w:bottom w:val="single" w:sz="4" w:space="0" w:color="auto"/>
              <w:right w:val="nil"/>
            </w:tcBorders>
            <w:shd w:val="clear" w:color="auto" w:fill="auto"/>
            <w:vAlign w:val="center"/>
            <w:hideMark/>
          </w:tcPr>
          <w:p w14:paraId="5AD28783" w14:textId="77777777" w:rsidR="00387142" w:rsidRPr="008B6A75" w:rsidRDefault="00387142" w:rsidP="00387142">
            <w:pPr>
              <w:jc w:val="right"/>
              <w:rPr>
                <w:sz w:val="20"/>
                <w:szCs w:val="20"/>
              </w:rPr>
            </w:pPr>
            <w:r w:rsidRPr="008B6A75">
              <w:rPr>
                <w:sz w:val="20"/>
                <w:szCs w:val="20"/>
              </w:rPr>
              <w:t>5 000 000,00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59A594F7" w14:textId="77777777" w:rsidR="00387142" w:rsidRPr="008B6A75" w:rsidRDefault="00387142" w:rsidP="00387142">
            <w:pPr>
              <w:jc w:val="right"/>
              <w:rPr>
                <w:sz w:val="20"/>
                <w:szCs w:val="20"/>
              </w:rPr>
            </w:pPr>
            <w:r w:rsidRPr="008B6A75">
              <w:rPr>
                <w:sz w:val="20"/>
                <w:szCs w:val="20"/>
              </w:rPr>
              <w:t>5 000 000,00</w:t>
            </w:r>
          </w:p>
        </w:tc>
      </w:tr>
      <w:tr w:rsidR="00387142" w:rsidRPr="008B6A75" w14:paraId="5E84CB74" w14:textId="77777777" w:rsidTr="00387142">
        <w:trPr>
          <w:trHeight w:val="345"/>
        </w:trPr>
        <w:tc>
          <w:tcPr>
            <w:tcW w:w="3261" w:type="dxa"/>
            <w:tcBorders>
              <w:top w:val="nil"/>
              <w:left w:val="single" w:sz="4" w:space="0" w:color="auto"/>
              <w:bottom w:val="single" w:sz="4" w:space="0" w:color="auto"/>
              <w:right w:val="nil"/>
            </w:tcBorders>
            <w:shd w:val="clear" w:color="auto" w:fill="auto"/>
            <w:vAlign w:val="center"/>
            <w:hideMark/>
          </w:tcPr>
          <w:p w14:paraId="70788E07" w14:textId="77777777" w:rsidR="00387142" w:rsidRPr="008B6A75" w:rsidRDefault="00387142" w:rsidP="00387142">
            <w:pPr>
              <w:rPr>
                <w:sz w:val="20"/>
                <w:szCs w:val="20"/>
              </w:rPr>
            </w:pPr>
            <w:r w:rsidRPr="008B6A75">
              <w:rPr>
                <w:sz w:val="20"/>
                <w:szCs w:val="20"/>
              </w:rPr>
              <w:t>Субсидии бюджетным учреждениям</w:t>
            </w:r>
          </w:p>
        </w:tc>
        <w:tc>
          <w:tcPr>
            <w:tcW w:w="720" w:type="dxa"/>
            <w:tcBorders>
              <w:top w:val="nil"/>
              <w:left w:val="single" w:sz="4" w:space="0" w:color="auto"/>
              <w:bottom w:val="single" w:sz="4" w:space="0" w:color="auto"/>
              <w:right w:val="nil"/>
            </w:tcBorders>
            <w:shd w:val="clear" w:color="auto" w:fill="auto"/>
            <w:noWrap/>
            <w:vAlign w:val="center"/>
            <w:hideMark/>
          </w:tcPr>
          <w:p w14:paraId="5BED9315" w14:textId="77777777" w:rsidR="00387142" w:rsidRPr="008B6A75" w:rsidRDefault="00387142" w:rsidP="00387142">
            <w:pPr>
              <w:jc w:val="center"/>
              <w:rPr>
                <w:sz w:val="20"/>
                <w:szCs w:val="20"/>
              </w:rPr>
            </w:pPr>
            <w:r w:rsidRPr="008B6A75">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430863D" w14:textId="77777777" w:rsidR="00387142" w:rsidRPr="008B6A75" w:rsidRDefault="00387142" w:rsidP="00387142">
            <w:pPr>
              <w:jc w:val="center"/>
              <w:rPr>
                <w:sz w:val="20"/>
                <w:szCs w:val="20"/>
              </w:rPr>
            </w:pPr>
            <w:r w:rsidRPr="008B6A75">
              <w:rPr>
                <w:sz w:val="20"/>
                <w:szCs w:val="20"/>
              </w:rPr>
              <w:t>07</w:t>
            </w:r>
          </w:p>
        </w:tc>
        <w:tc>
          <w:tcPr>
            <w:tcW w:w="1516" w:type="dxa"/>
            <w:tcBorders>
              <w:top w:val="nil"/>
              <w:left w:val="single" w:sz="4" w:space="0" w:color="auto"/>
              <w:bottom w:val="single" w:sz="4" w:space="0" w:color="auto"/>
              <w:right w:val="nil"/>
            </w:tcBorders>
            <w:shd w:val="clear" w:color="auto" w:fill="auto"/>
            <w:noWrap/>
            <w:vAlign w:val="center"/>
            <w:hideMark/>
          </w:tcPr>
          <w:p w14:paraId="149AA46F" w14:textId="77777777" w:rsidR="00387142" w:rsidRPr="008B6A75" w:rsidRDefault="00387142" w:rsidP="00387142">
            <w:pPr>
              <w:jc w:val="center"/>
              <w:rPr>
                <w:sz w:val="20"/>
                <w:szCs w:val="20"/>
              </w:rPr>
            </w:pPr>
            <w:r w:rsidRPr="008B6A75">
              <w:rPr>
                <w:sz w:val="20"/>
                <w:szCs w:val="20"/>
              </w:rPr>
              <w:t>04.0.00.07590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BA2FABD" w14:textId="77777777" w:rsidR="00387142" w:rsidRPr="008B6A75" w:rsidRDefault="00387142" w:rsidP="00387142">
            <w:pPr>
              <w:jc w:val="center"/>
              <w:rPr>
                <w:sz w:val="20"/>
                <w:szCs w:val="20"/>
              </w:rPr>
            </w:pPr>
            <w:r w:rsidRPr="008B6A75">
              <w:rPr>
                <w:sz w:val="20"/>
                <w:szCs w:val="20"/>
              </w:rPr>
              <w:t>610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679D1EC" w14:textId="77777777" w:rsidR="00387142" w:rsidRPr="008B6A75" w:rsidRDefault="00387142" w:rsidP="00387142">
            <w:pPr>
              <w:jc w:val="right"/>
              <w:rPr>
                <w:sz w:val="20"/>
                <w:szCs w:val="20"/>
              </w:rPr>
            </w:pPr>
            <w:r w:rsidRPr="008B6A75">
              <w:rPr>
                <w:sz w:val="20"/>
                <w:szCs w:val="20"/>
              </w:rPr>
              <w:t>20 864 910,12</w:t>
            </w:r>
          </w:p>
        </w:tc>
        <w:tc>
          <w:tcPr>
            <w:tcW w:w="992" w:type="dxa"/>
            <w:tcBorders>
              <w:top w:val="nil"/>
              <w:left w:val="single" w:sz="4" w:space="0" w:color="auto"/>
              <w:bottom w:val="single" w:sz="4" w:space="0" w:color="auto"/>
              <w:right w:val="nil"/>
            </w:tcBorders>
            <w:shd w:val="clear" w:color="auto" w:fill="auto"/>
            <w:vAlign w:val="center"/>
            <w:hideMark/>
          </w:tcPr>
          <w:p w14:paraId="0A76F320" w14:textId="77777777" w:rsidR="00387142" w:rsidRPr="008B6A75" w:rsidRDefault="00387142" w:rsidP="00387142">
            <w:pPr>
              <w:jc w:val="right"/>
              <w:rPr>
                <w:sz w:val="20"/>
                <w:szCs w:val="20"/>
              </w:rPr>
            </w:pPr>
            <w:r w:rsidRPr="008B6A75">
              <w:rPr>
                <w:sz w:val="20"/>
                <w:szCs w:val="20"/>
              </w:rPr>
              <w:t>5 000 000,00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1059C26F" w14:textId="77777777" w:rsidR="00387142" w:rsidRPr="008B6A75" w:rsidRDefault="00387142" w:rsidP="00387142">
            <w:pPr>
              <w:jc w:val="right"/>
              <w:rPr>
                <w:sz w:val="20"/>
                <w:szCs w:val="20"/>
              </w:rPr>
            </w:pPr>
            <w:r w:rsidRPr="008B6A75">
              <w:rPr>
                <w:sz w:val="20"/>
                <w:szCs w:val="20"/>
              </w:rPr>
              <w:t>5 000 000,00</w:t>
            </w:r>
          </w:p>
        </w:tc>
      </w:tr>
      <w:tr w:rsidR="00387142" w:rsidRPr="008B6A75" w14:paraId="7D1C3032" w14:textId="77777777" w:rsidTr="00387142">
        <w:trPr>
          <w:trHeight w:val="1440"/>
        </w:trPr>
        <w:tc>
          <w:tcPr>
            <w:tcW w:w="3261" w:type="dxa"/>
            <w:tcBorders>
              <w:top w:val="nil"/>
              <w:left w:val="single" w:sz="4" w:space="0" w:color="auto"/>
              <w:bottom w:val="single" w:sz="4" w:space="0" w:color="auto"/>
              <w:right w:val="nil"/>
            </w:tcBorders>
            <w:shd w:val="clear" w:color="auto" w:fill="auto"/>
            <w:vAlign w:val="center"/>
            <w:hideMark/>
          </w:tcPr>
          <w:p w14:paraId="277E04A6" w14:textId="77777777" w:rsidR="00387142" w:rsidRPr="008B6A75" w:rsidRDefault="00387142" w:rsidP="00387142">
            <w:pPr>
              <w:rPr>
                <w:bCs/>
                <w:sz w:val="20"/>
                <w:szCs w:val="20"/>
              </w:rPr>
            </w:pPr>
            <w:r w:rsidRPr="008B6A75">
              <w:rPr>
                <w:bCs/>
                <w:sz w:val="20"/>
                <w:szCs w:val="20"/>
              </w:rPr>
              <w:lastRenderedPageBreak/>
              <w:t xml:space="preserve">Реализация мероприятий по обеспечению сбалансированности местных </w:t>
            </w:r>
            <w:proofErr w:type="gramStart"/>
            <w:r w:rsidRPr="008B6A75">
              <w:rPr>
                <w:bCs/>
                <w:sz w:val="20"/>
                <w:szCs w:val="20"/>
              </w:rPr>
              <w:t>бюджетов  государственной</w:t>
            </w:r>
            <w:proofErr w:type="gramEnd"/>
            <w:r w:rsidRPr="008B6A75">
              <w:rPr>
                <w:bCs/>
                <w:sz w:val="20"/>
                <w:szCs w:val="20"/>
              </w:rPr>
              <w:t xml:space="preserve"> программы Новосибирской области "Управление  финансами в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14:paraId="2885102D" w14:textId="77777777" w:rsidR="00387142" w:rsidRPr="008B6A75" w:rsidRDefault="00387142" w:rsidP="00387142">
            <w:pPr>
              <w:jc w:val="center"/>
              <w:rPr>
                <w:bCs/>
                <w:sz w:val="20"/>
                <w:szCs w:val="20"/>
              </w:rPr>
            </w:pPr>
            <w:r w:rsidRPr="008B6A75">
              <w:rPr>
                <w:bCs/>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3CA46D9" w14:textId="77777777" w:rsidR="00387142" w:rsidRPr="008B6A75" w:rsidRDefault="00387142" w:rsidP="00387142">
            <w:pPr>
              <w:jc w:val="center"/>
              <w:rPr>
                <w:bCs/>
                <w:sz w:val="20"/>
                <w:szCs w:val="20"/>
              </w:rPr>
            </w:pPr>
            <w:r w:rsidRPr="008B6A75">
              <w:rPr>
                <w:bCs/>
                <w:sz w:val="20"/>
                <w:szCs w:val="20"/>
              </w:rPr>
              <w:t>07</w:t>
            </w:r>
          </w:p>
        </w:tc>
        <w:tc>
          <w:tcPr>
            <w:tcW w:w="1516" w:type="dxa"/>
            <w:tcBorders>
              <w:top w:val="nil"/>
              <w:left w:val="single" w:sz="4" w:space="0" w:color="auto"/>
              <w:bottom w:val="single" w:sz="4" w:space="0" w:color="auto"/>
              <w:right w:val="nil"/>
            </w:tcBorders>
            <w:shd w:val="clear" w:color="auto" w:fill="auto"/>
            <w:noWrap/>
            <w:vAlign w:val="center"/>
            <w:hideMark/>
          </w:tcPr>
          <w:p w14:paraId="520CA4A9" w14:textId="77777777" w:rsidR="00387142" w:rsidRPr="008B6A75" w:rsidRDefault="00387142" w:rsidP="00387142">
            <w:pPr>
              <w:jc w:val="center"/>
              <w:rPr>
                <w:bCs/>
                <w:sz w:val="20"/>
                <w:szCs w:val="20"/>
              </w:rPr>
            </w:pPr>
            <w:r w:rsidRPr="008B6A75">
              <w:rPr>
                <w:bCs/>
                <w:sz w:val="20"/>
                <w:szCs w:val="20"/>
              </w:rPr>
              <w:t>04.0.00.70510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A15B937"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E6F5A4F" w14:textId="77777777" w:rsidR="00387142" w:rsidRPr="008B6A75" w:rsidRDefault="00387142" w:rsidP="00387142">
            <w:pPr>
              <w:jc w:val="right"/>
              <w:rPr>
                <w:bCs/>
                <w:sz w:val="20"/>
                <w:szCs w:val="20"/>
              </w:rPr>
            </w:pPr>
            <w:r w:rsidRPr="008B6A75">
              <w:rPr>
                <w:bCs/>
                <w:sz w:val="20"/>
                <w:szCs w:val="20"/>
              </w:rPr>
              <w:t>2 909 200,00</w:t>
            </w:r>
          </w:p>
        </w:tc>
        <w:tc>
          <w:tcPr>
            <w:tcW w:w="992" w:type="dxa"/>
            <w:tcBorders>
              <w:top w:val="nil"/>
              <w:left w:val="single" w:sz="4" w:space="0" w:color="auto"/>
              <w:bottom w:val="single" w:sz="4" w:space="0" w:color="auto"/>
              <w:right w:val="nil"/>
            </w:tcBorders>
            <w:shd w:val="clear" w:color="auto" w:fill="auto"/>
            <w:vAlign w:val="center"/>
            <w:hideMark/>
          </w:tcPr>
          <w:p w14:paraId="50E84EAE" w14:textId="77777777" w:rsidR="00387142" w:rsidRPr="008B6A75" w:rsidRDefault="00387142" w:rsidP="00387142">
            <w:pPr>
              <w:jc w:val="right"/>
              <w:rPr>
                <w:bCs/>
                <w:sz w:val="20"/>
                <w:szCs w:val="20"/>
              </w:rPr>
            </w:pPr>
            <w:r w:rsidRPr="008B6A75">
              <w:rPr>
                <w:bCs/>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7B1F5C13" w14:textId="77777777" w:rsidR="00387142" w:rsidRPr="008B6A75" w:rsidRDefault="00387142" w:rsidP="00387142">
            <w:pPr>
              <w:jc w:val="right"/>
              <w:rPr>
                <w:bCs/>
                <w:sz w:val="20"/>
                <w:szCs w:val="20"/>
              </w:rPr>
            </w:pPr>
            <w:r w:rsidRPr="008B6A75">
              <w:rPr>
                <w:bCs/>
                <w:sz w:val="20"/>
                <w:szCs w:val="20"/>
              </w:rPr>
              <w:t>0,00</w:t>
            </w:r>
          </w:p>
        </w:tc>
      </w:tr>
      <w:tr w:rsidR="00387142" w:rsidRPr="008B6A75" w14:paraId="1A81C684" w14:textId="77777777" w:rsidTr="00387142">
        <w:trPr>
          <w:trHeight w:val="870"/>
        </w:trPr>
        <w:tc>
          <w:tcPr>
            <w:tcW w:w="3261" w:type="dxa"/>
            <w:tcBorders>
              <w:top w:val="nil"/>
              <w:left w:val="single" w:sz="4" w:space="0" w:color="auto"/>
              <w:bottom w:val="single" w:sz="4" w:space="0" w:color="auto"/>
              <w:right w:val="nil"/>
            </w:tcBorders>
            <w:shd w:val="clear" w:color="auto" w:fill="auto"/>
            <w:vAlign w:val="center"/>
            <w:hideMark/>
          </w:tcPr>
          <w:p w14:paraId="3D71F290" w14:textId="77777777" w:rsidR="00387142" w:rsidRPr="008B6A75" w:rsidRDefault="00387142" w:rsidP="00387142">
            <w:pPr>
              <w:rPr>
                <w:sz w:val="20"/>
                <w:szCs w:val="20"/>
              </w:rPr>
            </w:pPr>
            <w:r w:rsidRPr="008B6A75">
              <w:rPr>
                <w:sz w:val="20"/>
                <w:szCs w:val="20"/>
              </w:rPr>
              <w:t>Предоставление субсидий бюджетным, автономным учреждениям и иным некоммерческим организациям</w:t>
            </w:r>
          </w:p>
        </w:tc>
        <w:tc>
          <w:tcPr>
            <w:tcW w:w="720" w:type="dxa"/>
            <w:tcBorders>
              <w:top w:val="nil"/>
              <w:left w:val="single" w:sz="4" w:space="0" w:color="auto"/>
              <w:bottom w:val="single" w:sz="4" w:space="0" w:color="auto"/>
              <w:right w:val="nil"/>
            </w:tcBorders>
            <w:shd w:val="clear" w:color="auto" w:fill="auto"/>
            <w:noWrap/>
            <w:vAlign w:val="center"/>
            <w:hideMark/>
          </w:tcPr>
          <w:p w14:paraId="577356A7" w14:textId="77777777" w:rsidR="00387142" w:rsidRPr="008B6A75" w:rsidRDefault="00387142" w:rsidP="00387142">
            <w:pPr>
              <w:jc w:val="center"/>
              <w:rPr>
                <w:sz w:val="20"/>
                <w:szCs w:val="20"/>
              </w:rPr>
            </w:pPr>
            <w:r w:rsidRPr="008B6A75">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ED0246C" w14:textId="77777777" w:rsidR="00387142" w:rsidRPr="008B6A75" w:rsidRDefault="00387142" w:rsidP="00387142">
            <w:pPr>
              <w:jc w:val="center"/>
              <w:rPr>
                <w:sz w:val="20"/>
                <w:szCs w:val="20"/>
              </w:rPr>
            </w:pPr>
            <w:r w:rsidRPr="008B6A75">
              <w:rPr>
                <w:sz w:val="20"/>
                <w:szCs w:val="20"/>
              </w:rPr>
              <w:t>07</w:t>
            </w:r>
          </w:p>
        </w:tc>
        <w:tc>
          <w:tcPr>
            <w:tcW w:w="1516" w:type="dxa"/>
            <w:tcBorders>
              <w:top w:val="nil"/>
              <w:left w:val="single" w:sz="4" w:space="0" w:color="auto"/>
              <w:bottom w:val="single" w:sz="4" w:space="0" w:color="auto"/>
              <w:right w:val="nil"/>
            </w:tcBorders>
            <w:shd w:val="clear" w:color="auto" w:fill="auto"/>
            <w:noWrap/>
            <w:vAlign w:val="center"/>
            <w:hideMark/>
          </w:tcPr>
          <w:p w14:paraId="121248AF" w14:textId="77777777" w:rsidR="00387142" w:rsidRPr="008B6A75" w:rsidRDefault="00387142" w:rsidP="00387142">
            <w:pPr>
              <w:jc w:val="center"/>
              <w:rPr>
                <w:sz w:val="20"/>
                <w:szCs w:val="20"/>
              </w:rPr>
            </w:pPr>
            <w:r w:rsidRPr="008B6A75">
              <w:rPr>
                <w:sz w:val="20"/>
                <w:szCs w:val="20"/>
              </w:rPr>
              <w:t>04.0.00.70510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27B2861" w14:textId="77777777" w:rsidR="00387142" w:rsidRPr="008B6A75" w:rsidRDefault="00387142" w:rsidP="00387142">
            <w:pPr>
              <w:jc w:val="center"/>
              <w:rPr>
                <w:sz w:val="20"/>
                <w:szCs w:val="20"/>
              </w:rPr>
            </w:pPr>
            <w:r w:rsidRPr="008B6A75">
              <w:rPr>
                <w:sz w:val="20"/>
                <w:szCs w:val="20"/>
              </w:rPr>
              <w:t>600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9C90408" w14:textId="77777777" w:rsidR="00387142" w:rsidRPr="008B6A75" w:rsidRDefault="00387142" w:rsidP="00387142">
            <w:pPr>
              <w:jc w:val="right"/>
              <w:rPr>
                <w:sz w:val="20"/>
                <w:szCs w:val="20"/>
              </w:rPr>
            </w:pPr>
            <w:r w:rsidRPr="008B6A75">
              <w:rPr>
                <w:sz w:val="20"/>
                <w:szCs w:val="20"/>
              </w:rPr>
              <w:t>2 909 200,00</w:t>
            </w:r>
          </w:p>
        </w:tc>
        <w:tc>
          <w:tcPr>
            <w:tcW w:w="992" w:type="dxa"/>
            <w:tcBorders>
              <w:top w:val="nil"/>
              <w:left w:val="single" w:sz="4" w:space="0" w:color="auto"/>
              <w:bottom w:val="single" w:sz="4" w:space="0" w:color="auto"/>
              <w:right w:val="nil"/>
            </w:tcBorders>
            <w:shd w:val="clear" w:color="auto" w:fill="auto"/>
            <w:vAlign w:val="center"/>
            <w:hideMark/>
          </w:tcPr>
          <w:p w14:paraId="1FAC64E0" w14:textId="77777777" w:rsidR="00387142" w:rsidRPr="008B6A75" w:rsidRDefault="00387142" w:rsidP="00387142">
            <w:pPr>
              <w:jc w:val="right"/>
              <w:rPr>
                <w:sz w:val="20"/>
                <w:szCs w:val="20"/>
              </w:rPr>
            </w:pPr>
            <w:r w:rsidRPr="008B6A75">
              <w:rPr>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33A6A12B" w14:textId="77777777" w:rsidR="00387142" w:rsidRPr="008B6A75" w:rsidRDefault="00387142" w:rsidP="00387142">
            <w:pPr>
              <w:jc w:val="right"/>
              <w:rPr>
                <w:sz w:val="20"/>
                <w:szCs w:val="20"/>
              </w:rPr>
            </w:pPr>
            <w:r w:rsidRPr="008B6A75">
              <w:rPr>
                <w:sz w:val="20"/>
                <w:szCs w:val="20"/>
              </w:rPr>
              <w:t>0,00</w:t>
            </w:r>
          </w:p>
        </w:tc>
      </w:tr>
      <w:tr w:rsidR="00387142" w:rsidRPr="008B6A75" w14:paraId="428F0E4D" w14:textId="77777777" w:rsidTr="00387142">
        <w:trPr>
          <w:trHeight w:val="345"/>
        </w:trPr>
        <w:tc>
          <w:tcPr>
            <w:tcW w:w="3261" w:type="dxa"/>
            <w:tcBorders>
              <w:top w:val="nil"/>
              <w:left w:val="single" w:sz="4" w:space="0" w:color="auto"/>
              <w:bottom w:val="single" w:sz="4" w:space="0" w:color="auto"/>
              <w:right w:val="nil"/>
            </w:tcBorders>
            <w:shd w:val="clear" w:color="auto" w:fill="auto"/>
            <w:vAlign w:val="center"/>
            <w:hideMark/>
          </w:tcPr>
          <w:p w14:paraId="7FA96BE6" w14:textId="77777777" w:rsidR="00387142" w:rsidRPr="008B6A75" w:rsidRDefault="00387142" w:rsidP="00387142">
            <w:pPr>
              <w:rPr>
                <w:sz w:val="20"/>
                <w:szCs w:val="20"/>
              </w:rPr>
            </w:pPr>
            <w:r w:rsidRPr="008B6A75">
              <w:rPr>
                <w:sz w:val="20"/>
                <w:szCs w:val="20"/>
              </w:rPr>
              <w:t>Субсидии бюджетным учреждениям</w:t>
            </w:r>
          </w:p>
        </w:tc>
        <w:tc>
          <w:tcPr>
            <w:tcW w:w="720" w:type="dxa"/>
            <w:tcBorders>
              <w:top w:val="nil"/>
              <w:left w:val="single" w:sz="4" w:space="0" w:color="auto"/>
              <w:bottom w:val="single" w:sz="4" w:space="0" w:color="auto"/>
              <w:right w:val="nil"/>
            </w:tcBorders>
            <w:shd w:val="clear" w:color="auto" w:fill="auto"/>
            <w:noWrap/>
            <w:vAlign w:val="center"/>
            <w:hideMark/>
          </w:tcPr>
          <w:p w14:paraId="219D4E5E" w14:textId="77777777" w:rsidR="00387142" w:rsidRPr="008B6A75" w:rsidRDefault="00387142" w:rsidP="00387142">
            <w:pPr>
              <w:jc w:val="center"/>
              <w:rPr>
                <w:sz w:val="20"/>
                <w:szCs w:val="20"/>
              </w:rPr>
            </w:pPr>
            <w:r w:rsidRPr="008B6A75">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AD430B6" w14:textId="77777777" w:rsidR="00387142" w:rsidRPr="008B6A75" w:rsidRDefault="00387142" w:rsidP="00387142">
            <w:pPr>
              <w:jc w:val="center"/>
              <w:rPr>
                <w:sz w:val="20"/>
                <w:szCs w:val="20"/>
              </w:rPr>
            </w:pPr>
            <w:r w:rsidRPr="008B6A75">
              <w:rPr>
                <w:sz w:val="20"/>
                <w:szCs w:val="20"/>
              </w:rPr>
              <w:t>07</w:t>
            </w:r>
          </w:p>
        </w:tc>
        <w:tc>
          <w:tcPr>
            <w:tcW w:w="1516" w:type="dxa"/>
            <w:tcBorders>
              <w:top w:val="nil"/>
              <w:left w:val="single" w:sz="4" w:space="0" w:color="auto"/>
              <w:bottom w:val="single" w:sz="4" w:space="0" w:color="auto"/>
              <w:right w:val="nil"/>
            </w:tcBorders>
            <w:shd w:val="clear" w:color="auto" w:fill="auto"/>
            <w:noWrap/>
            <w:vAlign w:val="center"/>
            <w:hideMark/>
          </w:tcPr>
          <w:p w14:paraId="295D7150" w14:textId="77777777" w:rsidR="00387142" w:rsidRPr="008B6A75" w:rsidRDefault="00387142" w:rsidP="00387142">
            <w:pPr>
              <w:jc w:val="center"/>
              <w:rPr>
                <w:sz w:val="20"/>
                <w:szCs w:val="20"/>
              </w:rPr>
            </w:pPr>
            <w:r w:rsidRPr="008B6A75">
              <w:rPr>
                <w:sz w:val="20"/>
                <w:szCs w:val="20"/>
              </w:rPr>
              <w:t>04.0.00.70510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0D0D093" w14:textId="77777777" w:rsidR="00387142" w:rsidRPr="008B6A75" w:rsidRDefault="00387142" w:rsidP="00387142">
            <w:pPr>
              <w:jc w:val="center"/>
              <w:rPr>
                <w:sz w:val="20"/>
                <w:szCs w:val="20"/>
              </w:rPr>
            </w:pPr>
            <w:r w:rsidRPr="008B6A75">
              <w:rPr>
                <w:sz w:val="20"/>
                <w:szCs w:val="20"/>
              </w:rPr>
              <w:t>610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5DE47F4" w14:textId="77777777" w:rsidR="00387142" w:rsidRPr="008B6A75" w:rsidRDefault="00387142" w:rsidP="00387142">
            <w:pPr>
              <w:jc w:val="right"/>
              <w:rPr>
                <w:sz w:val="20"/>
                <w:szCs w:val="20"/>
              </w:rPr>
            </w:pPr>
            <w:r w:rsidRPr="008B6A75">
              <w:rPr>
                <w:sz w:val="20"/>
                <w:szCs w:val="20"/>
              </w:rPr>
              <w:t>2 909 200,00</w:t>
            </w:r>
          </w:p>
        </w:tc>
        <w:tc>
          <w:tcPr>
            <w:tcW w:w="992" w:type="dxa"/>
            <w:tcBorders>
              <w:top w:val="nil"/>
              <w:left w:val="single" w:sz="4" w:space="0" w:color="auto"/>
              <w:bottom w:val="single" w:sz="4" w:space="0" w:color="auto"/>
              <w:right w:val="nil"/>
            </w:tcBorders>
            <w:shd w:val="clear" w:color="auto" w:fill="auto"/>
            <w:vAlign w:val="center"/>
            <w:hideMark/>
          </w:tcPr>
          <w:p w14:paraId="1B7B5075" w14:textId="77777777" w:rsidR="00387142" w:rsidRPr="008B6A75" w:rsidRDefault="00387142" w:rsidP="00387142">
            <w:pPr>
              <w:jc w:val="right"/>
              <w:rPr>
                <w:sz w:val="20"/>
                <w:szCs w:val="20"/>
              </w:rPr>
            </w:pPr>
            <w:r w:rsidRPr="008B6A75">
              <w:rPr>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64CA5E43" w14:textId="77777777" w:rsidR="00387142" w:rsidRPr="008B6A75" w:rsidRDefault="00387142" w:rsidP="00387142">
            <w:pPr>
              <w:jc w:val="right"/>
              <w:rPr>
                <w:sz w:val="20"/>
                <w:szCs w:val="20"/>
              </w:rPr>
            </w:pPr>
            <w:r w:rsidRPr="008B6A75">
              <w:rPr>
                <w:sz w:val="20"/>
                <w:szCs w:val="20"/>
              </w:rPr>
              <w:t>0,00</w:t>
            </w:r>
          </w:p>
        </w:tc>
      </w:tr>
      <w:tr w:rsidR="00387142" w:rsidRPr="008B6A75" w14:paraId="20B48B49" w14:textId="77777777" w:rsidTr="00387142">
        <w:trPr>
          <w:trHeight w:val="1155"/>
        </w:trPr>
        <w:tc>
          <w:tcPr>
            <w:tcW w:w="3261" w:type="dxa"/>
            <w:tcBorders>
              <w:top w:val="nil"/>
              <w:left w:val="single" w:sz="4" w:space="0" w:color="auto"/>
              <w:bottom w:val="single" w:sz="4" w:space="0" w:color="auto"/>
              <w:right w:val="nil"/>
            </w:tcBorders>
            <w:shd w:val="clear" w:color="auto" w:fill="auto"/>
            <w:vAlign w:val="center"/>
            <w:hideMark/>
          </w:tcPr>
          <w:p w14:paraId="05247146" w14:textId="77777777" w:rsidR="00387142" w:rsidRPr="008B6A75" w:rsidRDefault="00387142" w:rsidP="00387142">
            <w:pPr>
              <w:rPr>
                <w:bCs/>
                <w:sz w:val="20"/>
                <w:szCs w:val="20"/>
              </w:rPr>
            </w:pPr>
            <w:r w:rsidRPr="008B6A75">
              <w:rPr>
                <w:bCs/>
                <w:sz w:val="20"/>
                <w:szCs w:val="20"/>
              </w:rPr>
              <w:t>Реализация мероприятий муниципальной программы "Развитие молодёжной политики в Куйбышевском районе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14:paraId="621A40FA" w14:textId="77777777" w:rsidR="00387142" w:rsidRPr="008B6A75" w:rsidRDefault="00387142" w:rsidP="00387142">
            <w:pPr>
              <w:jc w:val="center"/>
              <w:rPr>
                <w:bCs/>
                <w:sz w:val="20"/>
                <w:szCs w:val="20"/>
              </w:rPr>
            </w:pPr>
            <w:r w:rsidRPr="008B6A75">
              <w:rPr>
                <w:bCs/>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43B99A7" w14:textId="77777777" w:rsidR="00387142" w:rsidRPr="008B6A75" w:rsidRDefault="00387142" w:rsidP="00387142">
            <w:pPr>
              <w:jc w:val="center"/>
              <w:rPr>
                <w:bCs/>
                <w:sz w:val="20"/>
                <w:szCs w:val="20"/>
              </w:rPr>
            </w:pPr>
            <w:r w:rsidRPr="008B6A75">
              <w:rPr>
                <w:bCs/>
                <w:sz w:val="20"/>
                <w:szCs w:val="20"/>
              </w:rPr>
              <w:t>07</w:t>
            </w:r>
          </w:p>
        </w:tc>
        <w:tc>
          <w:tcPr>
            <w:tcW w:w="1516" w:type="dxa"/>
            <w:tcBorders>
              <w:top w:val="nil"/>
              <w:left w:val="single" w:sz="4" w:space="0" w:color="auto"/>
              <w:bottom w:val="single" w:sz="4" w:space="0" w:color="auto"/>
              <w:right w:val="nil"/>
            </w:tcBorders>
            <w:shd w:val="clear" w:color="auto" w:fill="auto"/>
            <w:noWrap/>
            <w:vAlign w:val="center"/>
            <w:hideMark/>
          </w:tcPr>
          <w:p w14:paraId="1D82658D" w14:textId="77777777" w:rsidR="00387142" w:rsidRPr="008B6A75" w:rsidRDefault="00387142" w:rsidP="00387142">
            <w:pPr>
              <w:jc w:val="center"/>
              <w:rPr>
                <w:bCs/>
                <w:sz w:val="20"/>
                <w:szCs w:val="20"/>
              </w:rPr>
            </w:pPr>
            <w:r w:rsidRPr="008B6A75">
              <w:rPr>
                <w:bCs/>
                <w:sz w:val="20"/>
                <w:szCs w:val="20"/>
              </w:rPr>
              <w:t>04.0.00.79500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E7E8972"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76BAF3C" w14:textId="77777777" w:rsidR="00387142" w:rsidRPr="008B6A75" w:rsidRDefault="00387142" w:rsidP="00387142">
            <w:pPr>
              <w:jc w:val="right"/>
              <w:rPr>
                <w:bCs/>
                <w:sz w:val="20"/>
                <w:szCs w:val="20"/>
              </w:rPr>
            </w:pPr>
            <w:r w:rsidRPr="008B6A75">
              <w:rPr>
                <w:bCs/>
                <w:sz w:val="20"/>
                <w:szCs w:val="20"/>
              </w:rPr>
              <w:t>2 000 000,00</w:t>
            </w:r>
          </w:p>
        </w:tc>
        <w:tc>
          <w:tcPr>
            <w:tcW w:w="992" w:type="dxa"/>
            <w:tcBorders>
              <w:top w:val="nil"/>
              <w:left w:val="single" w:sz="4" w:space="0" w:color="auto"/>
              <w:bottom w:val="single" w:sz="4" w:space="0" w:color="auto"/>
              <w:right w:val="nil"/>
            </w:tcBorders>
            <w:shd w:val="clear" w:color="auto" w:fill="auto"/>
            <w:vAlign w:val="center"/>
            <w:hideMark/>
          </w:tcPr>
          <w:p w14:paraId="092E5BF4" w14:textId="77777777" w:rsidR="00387142" w:rsidRPr="008B6A75" w:rsidRDefault="00387142" w:rsidP="00387142">
            <w:pPr>
              <w:jc w:val="right"/>
              <w:rPr>
                <w:bCs/>
                <w:sz w:val="20"/>
                <w:szCs w:val="20"/>
              </w:rPr>
            </w:pPr>
            <w:r w:rsidRPr="008B6A75">
              <w:rPr>
                <w:bCs/>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528A5A3C" w14:textId="77777777" w:rsidR="00387142" w:rsidRPr="008B6A75" w:rsidRDefault="00387142" w:rsidP="00387142">
            <w:pPr>
              <w:jc w:val="right"/>
              <w:rPr>
                <w:bCs/>
                <w:sz w:val="20"/>
                <w:szCs w:val="20"/>
              </w:rPr>
            </w:pPr>
            <w:r w:rsidRPr="008B6A75">
              <w:rPr>
                <w:bCs/>
                <w:sz w:val="20"/>
                <w:szCs w:val="20"/>
              </w:rPr>
              <w:t>0,00</w:t>
            </w:r>
          </w:p>
        </w:tc>
      </w:tr>
      <w:tr w:rsidR="00387142" w:rsidRPr="008B6A75" w14:paraId="5C22E3B9" w14:textId="77777777" w:rsidTr="00387142">
        <w:trPr>
          <w:trHeight w:val="585"/>
        </w:trPr>
        <w:tc>
          <w:tcPr>
            <w:tcW w:w="3261" w:type="dxa"/>
            <w:tcBorders>
              <w:top w:val="nil"/>
              <w:left w:val="single" w:sz="4" w:space="0" w:color="auto"/>
              <w:bottom w:val="single" w:sz="4" w:space="0" w:color="auto"/>
              <w:right w:val="nil"/>
            </w:tcBorders>
            <w:shd w:val="clear" w:color="auto" w:fill="auto"/>
            <w:vAlign w:val="center"/>
            <w:hideMark/>
          </w:tcPr>
          <w:p w14:paraId="4950410B" w14:textId="77777777" w:rsidR="00387142" w:rsidRPr="008B6A75" w:rsidRDefault="00387142" w:rsidP="00387142">
            <w:pPr>
              <w:rPr>
                <w:sz w:val="20"/>
                <w:szCs w:val="20"/>
              </w:rPr>
            </w:pPr>
            <w:r w:rsidRPr="008B6A75">
              <w:rPr>
                <w:sz w:val="20"/>
                <w:szCs w:val="20"/>
              </w:rPr>
              <w:t>Социальное обеспечение и иные выплаты населению</w:t>
            </w:r>
          </w:p>
        </w:tc>
        <w:tc>
          <w:tcPr>
            <w:tcW w:w="720" w:type="dxa"/>
            <w:tcBorders>
              <w:top w:val="nil"/>
              <w:left w:val="single" w:sz="4" w:space="0" w:color="auto"/>
              <w:bottom w:val="single" w:sz="4" w:space="0" w:color="auto"/>
              <w:right w:val="nil"/>
            </w:tcBorders>
            <w:shd w:val="clear" w:color="auto" w:fill="auto"/>
            <w:noWrap/>
            <w:vAlign w:val="center"/>
            <w:hideMark/>
          </w:tcPr>
          <w:p w14:paraId="26DC0E73" w14:textId="77777777" w:rsidR="00387142" w:rsidRPr="008B6A75" w:rsidRDefault="00387142" w:rsidP="00387142">
            <w:pPr>
              <w:jc w:val="center"/>
              <w:rPr>
                <w:sz w:val="20"/>
                <w:szCs w:val="20"/>
              </w:rPr>
            </w:pPr>
            <w:r w:rsidRPr="008B6A75">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323283E" w14:textId="77777777" w:rsidR="00387142" w:rsidRPr="008B6A75" w:rsidRDefault="00387142" w:rsidP="00387142">
            <w:pPr>
              <w:jc w:val="center"/>
              <w:rPr>
                <w:sz w:val="20"/>
                <w:szCs w:val="20"/>
              </w:rPr>
            </w:pPr>
            <w:r w:rsidRPr="008B6A75">
              <w:rPr>
                <w:sz w:val="20"/>
                <w:szCs w:val="20"/>
              </w:rPr>
              <w:t>07</w:t>
            </w:r>
          </w:p>
        </w:tc>
        <w:tc>
          <w:tcPr>
            <w:tcW w:w="1516" w:type="dxa"/>
            <w:tcBorders>
              <w:top w:val="nil"/>
              <w:left w:val="single" w:sz="4" w:space="0" w:color="auto"/>
              <w:bottom w:val="single" w:sz="4" w:space="0" w:color="auto"/>
              <w:right w:val="nil"/>
            </w:tcBorders>
            <w:shd w:val="clear" w:color="auto" w:fill="auto"/>
            <w:noWrap/>
            <w:vAlign w:val="center"/>
            <w:hideMark/>
          </w:tcPr>
          <w:p w14:paraId="56CBC3E4" w14:textId="77777777" w:rsidR="00387142" w:rsidRPr="008B6A75" w:rsidRDefault="00387142" w:rsidP="00387142">
            <w:pPr>
              <w:jc w:val="center"/>
              <w:rPr>
                <w:sz w:val="20"/>
                <w:szCs w:val="20"/>
              </w:rPr>
            </w:pPr>
            <w:r w:rsidRPr="008B6A75">
              <w:rPr>
                <w:sz w:val="20"/>
                <w:szCs w:val="20"/>
              </w:rPr>
              <w:t>04.0.00.79500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226D4D9" w14:textId="77777777" w:rsidR="00387142" w:rsidRPr="008B6A75" w:rsidRDefault="00387142" w:rsidP="00387142">
            <w:pPr>
              <w:jc w:val="center"/>
              <w:rPr>
                <w:sz w:val="20"/>
                <w:szCs w:val="20"/>
              </w:rPr>
            </w:pPr>
            <w:r w:rsidRPr="008B6A75">
              <w:rPr>
                <w:sz w:val="20"/>
                <w:szCs w:val="20"/>
              </w:rPr>
              <w:t>300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6C06C91" w14:textId="77777777" w:rsidR="00387142" w:rsidRPr="008B6A75" w:rsidRDefault="00387142" w:rsidP="00387142">
            <w:pPr>
              <w:jc w:val="right"/>
              <w:rPr>
                <w:sz w:val="20"/>
                <w:szCs w:val="20"/>
              </w:rPr>
            </w:pPr>
            <w:r w:rsidRPr="008B6A75">
              <w:rPr>
                <w:sz w:val="20"/>
                <w:szCs w:val="20"/>
              </w:rPr>
              <w:t>1 153 579,08</w:t>
            </w:r>
          </w:p>
        </w:tc>
        <w:tc>
          <w:tcPr>
            <w:tcW w:w="992" w:type="dxa"/>
            <w:tcBorders>
              <w:top w:val="nil"/>
              <w:left w:val="single" w:sz="4" w:space="0" w:color="auto"/>
              <w:bottom w:val="single" w:sz="4" w:space="0" w:color="auto"/>
              <w:right w:val="nil"/>
            </w:tcBorders>
            <w:shd w:val="clear" w:color="auto" w:fill="auto"/>
            <w:vAlign w:val="center"/>
            <w:hideMark/>
          </w:tcPr>
          <w:p w14:paraId="1F11A116" w14:textId="77777777" w:rsidR="00387142" w:rsidRPr="008B6A75" w:rsidRDefault="00387142" w:rsidP="00387142">
            <w:pPr>
              <w:jc w:val="right"/>
              <w:rPr>
                <w:sz w:val="20"/>
                <w:szCs w:val="20"/>
              </w:rPr>
            </w:pPr>
            <w:r w:rsidRPr="008B6A75">
              <w:rPr>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025D9B7E" w14:textId="77777777" w:rsidR="00387142" w:rsidRPr="008B6A75" w:rsidRDefault="00387142" w:rsidP="00387142">
            <w:pPr>
              <w:jc w:val="right"/>
              <w:rPr>
                <w:sz w:val="20"/>
                <w:szCs w:val="20"/>
              </w:rPr>
            </w:pPr>
            <w:r w:rsidRPr="008B6A75">
              <w:rPr>
                <w:sz w:val="20"/>
                <w:szCs w:val="20"/>
              </w:rPr>
              <w:t>0,00</w:t>
            </w:r>
          </w:p>
        </w:tc>
      </w:tr>
      <w:tr w:rsidR="00387142" w:rsidRPr="008B6A75" w14:paraId="30D8675C" w14:textId="77777777" w:rsidTr="00387142">
        <w:trPr>
          <w:trHeight w:val="345"/>
        </w:trPr>
        <w:tc>
          <w:tcPr>
            <w:tcW w:w="3261" w:type="dxa"/>
            <w:tcBorders>
              <w:top w:val="nil"/>
              <w:left w:val="single" w:sz="4" w:space="0" w:color="auto"/>
              <w:bottom w:val="single" w:sz="4" w:space="0" w:color="auto"/>
              <w:right w:val="nil"/>
            </w:tcBorders>
            <w:shd w:val="clear" w:color="auto" w:fill="auto"/>
            <w:vAlign w:val="center"/>
            <w:hideMark/>
          </w:tcPr>
          <w:p w14:paraId="41871DD4" w14:textId="77777777" w:rsidR="00387142" w:rsidRPr="008B6A75" w:rsidRDefault="00387142" w:rsidP="00387142">
            <w:pPr>
              <w:rPr>
                <w:sz w:val="20"/>
                <w:szCs w:val="20"/>
              </w:rPr>
            </w:pPr>
            <w:r w:rsidRPr="008B6A75">
              <w:rPr>
                <w:sz w:val="20"/>
                <w:szCs w:val="20"/>
              </w:rPr>
              <w:t>Стипендии</w:t>
            </w:r>
          </w:p>
        </w:tc>
        <w:tc>
          <w:tcPr>
            <w:tcW w:w="720" w:type="dxa"/>
            <w:tcBorders>
              <w:top w:val="nil"/>
              <w:left w:val="single" w:sz="4" w:space="0" w:color="auto"/>
              <w:bottom w:val="single" w:sz="4" w:space="0" w:color="auto"/>
              <w:right w:val="nil"/>
            </w:tcBorders>
            <w:shd w:val="clear" w:color="auto" w:fill="auto"/>
            <w:noWrap/>
            <w:vAlign w:val="center"/>
            <w:hideMark/>
          </w:tcPr>
          <w:p w14:paraId="779034E4" w14:textId="77777777" w:rsidR="00387142" w:rsidRPr="008B6A75" w:rsidRDefault="00387142" w:rsidP="00387142">
            <w:pPr>
              <w:jc w:val="center"/>
              <w:rPr>
                <w:sz w:val="20"/>
                <w:szCs w:val="20"/>
              </w:rPr>
            </w:pPr>
            <w:r w:rsidRPr="008B6A75">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249F7BA" w14:textId="77777777" w:rsidR="00387142" w:rsidRPr="008B6A75" w:rsidRDefault="00387142" w:rsidP="00387142">
            <w:pPr>
              <w:jc w:val="center"/>
              <w:rPr>
                <w:sz w:val="20"/>
                <w:szCs w:val="20"/>
              </w:rPr>
            </w:pPr>
            <w:r w:rsidRPr="008B6A75">
              <w:rPr>
                <w:sz w:val="20"/>
                <w:szCs w:val="20"/>
              </w:rPr>
              <w:t>07</w:t>
            </w:r>
          </w:p>
        </w:tc>
        <w:tc>
          <w:tcPr>
            <w:tcW w:w="1516" w:type="dxa"/>
            <w:tcBorders>
              <w:top w:val="nil"/>
              <w:left w:val="single" w:sz="4" w:space="0" w:color="auto"/>
              <w:bottom w:val="single" w:sz="4" w:space="0" w:color="auto"/>
              <w:right w:val="nil"/>
            </w:tcBorders>
            <w:shd w:val="clear" w:color="auto" w:fill="auto"/>
            <w:noWrap/>
            <w:vAlign w:val="center"/>
            <w:hideMark/>
          </w:tcPr>
          <w:p w14:paraId="1AB17FCD" w14:textId="77777777" w:rsidR="00387142" w:rsidRPr="008B6A75" w:rsidRDefault="00387142" w:rsidP="00387142">
            <w:pPr>
              <w:jc w:val="center"/>
              <w:rPr>
                <w:sz w:val="20"/>
                <w:szCs w:val="20"/>
              </w:rPr>
            </w:pPr>
            <w:r w:rsidRPr="008B6A75">
              <w:rPr>
                <w:sz w:val="20"/>
                <w:szCs w:val="20"/>
              </w:rPr>
              <w:t>04.0.00.79500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6809E3C" w14:textId="77777777" w:rsidR="00387142" w:rsidRPr="008B6A75" w:rsidRDefault="00387142" w:rsidP="00387142">
            <w:pPr>
              <w:jc w:val="center"/>
              <w:rPr>
                <w:sz w:val="20"/>
                <w:szCs w:val="20"/>
              </w:rPr>
            </w:pPr>
            <w:r w:rsidRPr="008B6A75">
              <w:rPr>
                <w:sz w:val="20"/>
                <w:szCs w:val="20"/>
              </w:rPr>
              <w:t>340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F433791" w14:textId="77777777" w:rsidR="00387142" w:rsidRPr="008B6A75" w:rsidRDefault="00387142" w:rsidP="00387142">
            <w:pPr>
              <w:jc w:val="right"/>
              <w:rPr>
                <w:sz w:val="20"/>
                <w:szCs w:val="20"/>
              </w:rPr>
            </w:pPr>
            <w:r w:rsidRPr="008B6A75">
              <w:rPr>
                <w:sz w:val="20"/>
                <w:szCs w:val="20"/>
              </w:rPr>
              <w:t>1 153 579,08</w:t>
            </w:r>
          </w:p>
        </w:tc>
        <w:tc>
          <w:tcPr>
            <w:tcW w:w="992" w:type="dxa"/>
            <w:tcBorders>
              <w:top w:val="nil"/>
              <w:left w:val="single" w:sz="4" w:space="0" w:color="auto"/>
              <w:bottom w:val="single" w:sz="4" w:space="0" w:color="auto"/>
              <w:right w:val="nil"/>
            </w:tcBorders>
            <w:shd w:val="clear" w:color="auto" w:fill="auto"/>
            <w:vAlign w:val="center"/>
            <w:hideMark/>
          </w:tcPr>
          <w:p w14:paraId="40B7925D" w14:textId="77777777" w:rsidR="00387142" w:rsidRPr="008B6A75" w:rsidRDefault="00387142" w:rsidP="00387142">
            <w:pPr>
              <w:jc w:val="right"/>
              <w:rPr>
                <w:sz w:val="20"/>
                <w:szCs w:val="20"/>
              </w:rPr>
            </w:pPr>
            <w:r w:rsidRPr="008B6A75">
              <w:rPr>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5D76C7B6" w14:textId="77777777" w:rsidR="00387142" w:rsidRPr="008B6A75" w:rsidRDefault="00387142" w:rsidP="00387142">
            <w:pPr>
              <w:jc w:val="right"/>
              <w:rPr>
                <w:sz w:val="20"/>
                <w:szCs w:val="20"/>
              </w:rPr>
            </w:pPr>
            <w:r w:rsidRPr="008B6A75">
              <w:rPr>
                <w:sz w:val="20"/>
                <w:szCs w:val="20"/>
              </w:rPr>
              <w:t>0,00</w:t>
            </w:r>
          </w:p>
        </w:tc>
      </w:tr>
      <w:tr w:rsidR="00387142" w:rsidRPr="008B6A75" w14:paraId="26716FA4" w14:textId="77777777" w:rsidTr="00387142">
        <w:trPr>
          <w:trHeight w:val="345"/>
        </w:trPr>
        <w:tc>
          <w:tcPr>
            <w:tcW w:w="3261" w:type="dxa"/>
            <w:tcBorders>
              <w:top w:val="nil"/>
              <w:left w:val="single" w:sz="4" w:space="0" w:color="auto"/>
              <w:bottom w:val="single" w:sz="4" w:space="0" w:color="auto"/>
              <w:right w:val="nil"/>
            </w:tcBorders>
            <w:shd w:val="clear" w:color="auto" w:fill="auto"/>
            <w:vAlign w:val="center"/>
            <w:hideMark/>
          </w:tcPr>
          <w:p w14:paraId="790210E1" w14:textId="77777777" w:rsidR="00387142" w:rsidRPr="008B6A75" w:rsidRDefault="00387142" w:rsidP="00387142">
            <w:pPr>
              <w:rPr>
                <w:sz w:val="20"/>
                <w:szCs w:val="20"/>
              </w:rPr>
            </w:pPr>
            <w:r w:rsidRPr="008B6A75">
              <w:rPr>
                <w:sz w:val="20"/>
                <w:szCs w:val="20"/>
              </w:rPr>
              <w:t>Межбюджетные трансферты</w:t>
            </w:r>
          </w:p>
        </w:tc>
        <w:tc>
          <w:tcPr>
            <w:tcW w:w="720" w:type="dxa"/>
            <w:tcBorders>
              <w:top w:val="nil"/>
              <w:left w:val="single" w:sz="4" w:space="0" w:color="auto"/>
              <w:bottom w:val="single" w:sz="4" w:space="0" w:color="auto"/>
              <w:right w:val="nil"/>
            </w:tcBorders>
            <w:shd w:val="clear" w:color="auto" w:fill="auto"/>
            <w:noWrap/>
            <w:vAlign w:val="center"/>
            <w:hideMark/>
          </w:tcPr>
          <w:p w14:paraId="5F4E8D7C" w14:textId="77777777" w:rsidR="00387142" w:rsidRPr="008B6A75" w:rsidRDefault="00387142" w:rsidP="00387142">
            <w:pPr>
              <w:jc w:val="center"/>
              <w:rPr>
                <w:sz w:val="20"/>
                <w:szCs w:val="20"/>
              </w:rPr>
            </w:pPr>
            <w:r w:rsidRPr="008B6A75">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396B0BA" w14:textId="77777777" w:rsidR="00387142" w:rsidRPr="008B6A75" w:rsidRDefault="00387142" w:rsidP="00387142">
            <w:pPr>
              <w:jc w:val="center"/>
              <w:rPr>
                <w:sz w:val="20"/>
                <w:szCs w:val="20"/>
              </w:rPr>
            </w:pPr>
            <w:r w:rsidRPr="008B6A75">
              <w:rPr>
                <w:sz w:val="20"/>
                <w:szCs w:val="20"/>
              </w:rPr>
              <w:t>07</w:t>
            </w:r>
          </w:p>
        </w:tc>
        <w:tc>
          <w:tcPr>
            <w:tcW w:w="1516" w:type="dxa"/>
            <w:tcBorders>
              <w:top w:val="nil"/>
              <w:left w:val="single" w:sz="4" w:space="0" w:color="auto"/>
              <w:bottom w:val="single" w:sz="4" w:space="0" w:color="auto"/>
              <w:right w:val="nil"/>
            </w:tcBorders>
            <w:shd w:val="clear" w:color="auto" w:fill="auto"/>
            <w:noWrap/>
            <w:vAlign w:val="center"/>
            <w:hideMark/>
          </w:tcPr>
          <w:p w14:paraId="2706B1E1" w14:textId="77777777" w:rsidR="00387142" w:rsidRPr="008B6A75" w:rsidRDefault="00387142" w:rsidP="00387142">
            <w:pPr>
              <w:jc w:val="center"/>
              <w:rPr>
                <w:sz w:val="20"/>
                <w:szCs w:val="20"/>
              </w:rPr>
            </w:pPr>
            <w:r w:rsidRPr="008B6A75">
              <w:rPr>
                <w:sz w:val="20"/>
                <w:szCs w:val="20"/>
              </w:rPr>
              <w:t>04.0.00.79500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6E2C434" w14:textId="77777777" w:rsidR="00387142" w:rsidRPr="008B6A75" w:rsidRDefault="00387142" w:rsidP="00387142">
            <w:pPr>
              <w:jc w:val="center"/>
              <w:rPr>
                <w:sz w:val="20"/>
                <w:szCs w:val="20"/>
              </w:rPr>
            </w:pPr>
            <w:r w:rsidRPr="008B6A75">
              <w:rPr>
                <w:sz w:val="20"/>
                <w:szCs w:val="20"/>
              </w:rPr>
              <w:t>500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48DD2F7" w14:textId="77777777" w:rsidR="00387142" w:rsidRPr="008B6A75" w:rsidRDefault="00387142" w:rsidP="00387142">
            <w:pPr>
              <w:jc w:val="right"/>
              <w:rPr>
                <w:sz w:val="20"/>
                <w:szCs w:val="20"/>
              </w:rPr>
            </w:pPr>
            <w:r w:rsidRPr="008B6A75">
              <w:rPr>
                <w:sz w:val="20"/>
                <w:szCs w:val="20"/>
              </w:rPr>
              <w:t>30 000,00</w:t>
            </w:r>
          </w:p>
        </w:tc>
        <w:tc>
          <w:tcPr>
            <w:tcW w:w="992" w:type="dxa"/>
            <w:tcBorders>
              <w:top w:val="nil"/>
              <w:left w:val="single" w:sz="4" w:space="0" w:color="auto"/>
              <w:bottom w:val="single" w:sz="4" w:space="0" w:color="auto"/>
              <w:right w:val="nil"/>
            </w:tcBorders>
            <w:shd w:val="clear" w:color="auto" w:fill="auto"/>
            <w:vAlign w:val="center"/>
            <w:hideMark/>
          </w:tcPr>
          <w:p w14:paraId="4FE2F990" w14:textId="77777777" w:rsidR="00387142" w:rsidRPr="008B6A75" w:rsidRDefault="00387142" w:rsidP="00387142">
            <w:pPr>
              <w:jc w:val="right"/>
              <w:rPr>
                <w:sz w:val="20"/>
                <w:szCs w:val="20"/>
              </w:rPr>
            </w:pPr>
            <w:r w:rsidRPr="008B6A75">
              <w:rPr>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518CED1E" w14:textId="77777777" w:rsidR="00387142" w:rsidRPr="008B6A75" w:rsidRDefault="00387142" w:rsidP="00387142">
            <w:pPr>
              <w:jc w:val="right"/>
              <w:rPr>
                <w:sz w:val="20"/>
                <w:szCs w:val="20"/>
              </w:rPr>
            </w:pPr>
            <w:r w:rsidRPr="008B6A75">
              <w:rPr>
                <w:sz w:val="20"/>
                <w:szCs w:val="20"/>
              </w:rPr>
              <w:t>0,00</w:t>
            </w:r>
          </w:p>
        </w:tc>
      </w:tr>
      <w:tr w:rsidR="00387142" w:rsidRPr="008B6A75" w14:paraId="2F809005" w14:textId="77777777" w:rsidTr="00387142">
        <w:trPr>
          <w:trHeight w:val="345"/>
        </w:trPr>
        <w:tc>
          <w:tcPr>
            <w:tcW w:w="3261" w:type="dxa"/>
            <w:tcBorders>
              <w:top w:val="nil"/>
              <w:left w:val="single" w:sz="4" w:space="0" w:color="auto"/>
              <w:bottom w:val="single" w:sz="4" w:space="0" w:color="auto"/>
              <w:right w:val="nil"/>
            </w:tcBorders>
            <w:shd w:val="clear" w:color="auto" w:fill="auto"/>
            <w:vAlign w:val="center"/>
            <w:hideMark/>
          </w:tcPr>
          <w:p w14:paraId="68D4B4F3" w14:textId="77777777" w:rsidR="00387142" w:rsidRPr="008B6A75" w:rsidRDefault="00387142" w:rsidP="00387142">
            <w:pPr>
              <w:rPr>
                <w:sz w:val="20"/>
                <w:szCs w:val="20"/>
              </w:rPr>
            </w:pPr>
            <w:r w:rsidRPr="008B6A75">
              <w:rPr>
                <w:sz w:val="20"/>
                <w:szCs w:val="20"/>
              </w:rPr>
              <w:t>Иные межбюджетные трансферты</w:t>
            </w:r>
          </w:p>
        </w:tc>
        <w:tc>
          <w:tcPr>
            <w:tcW w:w="720" w:type="dxa"/>
            <w:tcBorders>
              <w:top w:val="nil"/>
              <w:left w:val="single" w:sz="4" w:space="0" w:color="auto"/>
              <w:bottom w:val="single" w:sz="4" w:space="0" w:color="auto"/>
              <w:right w:val="nil"/>
            </w:tcBorders>
            <w:shd w:val="clear" w:color="auto" w:fill="auto"/>
            <w:noWrap/>
            <w:vAlign w:val="center"/>
            <w:hideMark/>
          </w:tcPr>
          <w:p w14:paraId="432ECE54" w14:textId="77777777" w:rsidR="00387142" w:rsidRPr="008B6A75" w:rsidRDefault="00387142" w:rsidP="00387142">
            <w:pPr>
              <w:jc w:val="center"/>
              <w:rPr>
                <w:sz w:val="20"/>
                <w:szCs w:val="20"/>
              </w:rPr>
            </w:pPr>
            <w:r w:rsidRPr="008B6A75">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5AE569C" w14:textId="77777777" w:rsidR="00387142" w:rsidRPr="008B6A75" w:rsidRDefault="00387142" w:rsidP="00387142">
            <w:pPr>
              <w:jc w:val="center"/>
              <w:rPr>
                <w:sz w:val="20"/>
                <w:szCs w:val="20"/>
              </w:rPr>
            </w:pPr>
            <w:r w:rsidRPr="008B6A75">
              <w:rPr>
                <w:sz w:val="20"/>
                <w:szCs w:val="20"/>
              </w:rPr>
              <w:t>07</w:t>
            </w:r>
          </w:p>
        </w:tc>
        <w:tc>
          <w:tcPr>
            <w:tcW w:w="1516" w:type="dxa"/>
            <w:tcBorders>
              <w:top w:val="nil"/>
              <w:left w:val="single" w:sz="4" w:space="0" w:color="auto"/>
              <w:bottom w:val="single" w:sz="4" w:space="0" w:color="auto"/>
              <w:right w:val="nil"/>
            </w:tcBorders>
            <w:shd w:val="clear" w:color="auto" w:fill="auto"/>
            <w:noWrap/>
            <w:vAlign w:val="center"/>
            <w:hideMark/>
          </w:tcPr>
          <w:p w14:paraId="3C3DA6AB" w14:textId="77777777" w:rsidR="00387142" w:rsidRPr="008B6A75" w:rsidRDefault="00387142" w:rsidP="00387142">
            <w:pPr>
              <w:jc w:val="center"/>
              <w:rPr>
                <w:sz w:val="20"/>
                <w:szCs w:val="20"/>
              </w:rPr>
            </w:pPr>
            <w:r w:rsidRPr="008B6A75">
              <w:rPr>
                <w:sz w:val="20"/>
                <w:szCs w:val="20"/>
              </w:rPr>
              <w:t>04.0.00.79500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42FBBAD" w14:textId="77777777" w:rsidR="00387142" w:rsidRPr="008B6A75" w:rsidRDefault="00387142" w:rsidP="00387142">
            <w:pPr>
              <w:jc w:val="center"/>
              <w:rPr>
                <w:sz w:val="20"/>
                <w:szCs w:val="20"/>
              </w:rPr>
            </w:pPr>
            <w:r w:rsidRPr="008B6A75">
              <w:rPr>
                <w:sz w:val="20"/>
                <w:szCs w:val="20"/>
              </w:rPr>
              <w:t>540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63F8F3F" w14:textId="77777777" w:rsidR="00387142" w:rsidRPr="008B6A75" w:rsidRDefault="00387142" w:rsidP="00387142">
            <w:pPr>
              <w:jc w:val="right"/>
              <w:rPr>
                <w:sz w:val="20"/>
                <w:szCs w:val="20"/>
              </w:rPr>
            </w:pPr>
            <w:r w:rsidRPr="008B6A75">
              <w:rPr>
                <w:sz w:val="20"/>
                <w:szCs w:val="20"/>
              </w:rPr>
              <w:t>30 000,00</w:t>
            </w:r>
          </w:p>
        </w:tc>
        <w:tc>
          <w:tcPr>
            <w:tcW w:w="992" w:type="dxa"/>
            <w:tcBorders>
              <w:top w:val="nil"/>
              <w:left w:val="single" w:sz="4" w:space="0" w:color="auto"/>
              <w:bottom w:val="single" w:sz="4" w:space="0" w:color="auto"/>
              <w:right w:val="nil"/>
            </w:tcBorders>
            <w:shd w:val="clear" w:color="auto" w:fill="auto"/>
            <w:vAlign w:val="center"/>
            <w:hideMark/>
          </w:tcPr>
          <w:p w14:paraId="5F6754F4" w14:textId="77777777" w:rsidR="00387142" w:rsidRPr="008B6A75" w:rsidRDefault="00387142" w:rsidP="00387142">
            <w:pPr>
              <w:jc w:val="right"/>
              <w:rPr>
                <w:sz w:val="20"/>
                <w:szCs w:val="20"/>
              </w:rPr>
            </w:pPr>
            <w:r w:rsidRPr="008B6A75">
              <w:rPr>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1A32F227" w14:textId="77777777" w:rsidR="00387142" w:rsidRPr="008B6A75" w:rsidRDefault="00387142" w:rsidP="00387142">
            <w:pPr>
              <w:jc w:val="right"/>
              <w:rPr>
                <w:sz w:val="20"/>
                <w:szCs w:val="20"/>
              </w:rPr>
            </w:pPr>
            <w:r w:rsidRPr="008B6A75">
              <w:rPr>
                <w:sz w:val="20"/>
                <w:szCs w:val="20"/>
              </w:rPr>
              <w:t>0,00</w:t>
            </w:r>
          </w:p>
        </w:tc>
      </w:tr>
      <w:tr w:rsidR="00387142" w:rsidRPr="008B6A75" w14:paraId="75D6A5BD" w14:textId="77777777" w:rsidTr="00387142">
        <w:trPr>
          <w:trHeight w:val="870"/>
        </w:trPr>
        <w:tc>
          <w:tcPr>
            <w:tcW w:w="3261" w:type="dxa"/>
            <w:tcBorders>
              <w:top w:val="nil"/>
              <w:left w:val="single" w:sz="4" w:space="0" w:color="auto"/>
              <w:bottom w:val="single" w:sz="4" w:space="0" w:color="auto"/>
              <w:right w:val="nil"/>
            </w:tcBorders>
            <w:shd w:val="clear" w:color="auto" w:fill="auto"/>
            <w:vAlign w:val="center"/>
            <w:hideMark/>
          </w:tcPr>
          <w:p w14:paraId="7221DF16" w14:textId="77777777" w:rsidR="00387142" w:rsidRPr="008B6A75" w:rsidRDefault="00387142" w:rsidP="00387142">
            <w:pPr>
              <w:rPr>
                <w:sz w:val="20"/>
                <w:szCs w:val="20"/>
              </w:rPr>
            </w:pPr>
            <w:r w:rsidRPr="008B6A75">
              <w:rPr>
                <w:sz w:val="20"/>
                <w:szCs w:val="20"/>
              </w:rPr>
              <w:t>Предоставление субсидий бюджетным, автономным учреждениям и иным некоммерческим организациям</w:t>
            </w:r>
          </w:p>
        </w:tc>
        <w:tc>
          <w:tcPr>
            <w:tcW w:w="720" w:type="dxa"/>
            <w:tcBorders>
              <w:top w:val="nil"/>
              <w:left w:val="single" w:sz="4" w:space="0" w:color="auto"/>
              <w:bottom w:val="single" w:sz="4" w:space="0" w:color="auto"/>
              <w:right w:val="nil"/>
            </w:tcBorders>
            <w:shd w:val="clear" w:color="auto" w:fill="auto"/>
            <w:noWrap/>
            <w:vAlign w:val="center"/>
            <w:hideMark/>
          </w:tcPr>
          <w:p w14:paraId="187855F1" w14:textId="77777777" w:rsidR="00387142" w:rsidRPr="008B6A75" w:rsidRDefault="00387142" w:rsidP="00387142">
            <w:pPr>
              <w:jc w:val="center"/>
              <w:rPr>
                <w:sz w:val="20"/>
                <w:szCs w:val="20"/>
              </w:rPr>
            </w:pPr>
            <w:r w:rsidRPr="008B6A75">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B85B745" w14:textId="77777777" w:rsidR="00387142" w:rsidRPr="008B6A75" w:rsidRDefault="00387142" w:rsidP="00387142">
            <w:pPr>
              <w:jc w:val="center"/>
              <w:rPr>
                <w:sz w:val="20"/>
                <w:szCs w:val="20"/>
              </w:rPr>
            </w:pPr>
            <w:r w:rsidRPr="008B6A75">
              <w:rPr>
                <w:sz w:val="20"/>
                <w:szCs w:val="20"/>
              </w:rPr>
              <w:t>07</w:t>
            </w:r>
          </w:p>
        </w:tc>
        <w:tc>
          <w:tcPr>
            <w:tcW w:w="1516" w:type="dxa"/>
            <w:tcBorders>
              <w:top w:val="nil"/>
              <w:left w:val="single" w:sz="4" w:space="0" w:color="auto"/>
              <w:bottom w:val="single" w:sz="4" w:space="0" w:color="auto"/>
              <w:right w:val="nil"/>
            </w:tcBorders>
            <w:shd w:val="clear" w:color="auto" w:fill="auto"/>
            <w:noWrap/>
            <w:vAlign w:val="center"/>
            <w:hideMark/>
          </w:tcPr>
          <w:p w14:paraId="33D4BF2A" w14:textId="77777777" w:rsidR="00387142" w:rsidRPr="008B6A75" w:rsidRDefault="00387142" w:rsidP="00387142">
            <w:pPr>
              <w:jc w:val="center"/>
              <w:rPr>
                <w:sz w:val="20"/>
                <w:szCs w:val="20"/>
              </w:rPr>
            </w:pPr>
            <w:r w:rsidRPr="008B6A75">
              <w:rPr>
                <w:sz w:val="20"/>
                <w:szCs w:val="20"/>
              </w:rPr>
              <w:t>04.0.00.79500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3B673B8" w14:textId="77777777" w:rsidR="00387142" w:rsidRPr="008B6A75" w:rsidRDefault="00387142" w:rsidP="00387142">
            <w:pPr>
              <w:jc w:val="center"/>
              <w:rPr>
                <w:sz w:val="20"/>
                <w:szCs w:val="20"/>
              </w:rPr>
            </w:pPr>
            <w:r w:rsidRPr="008B6A75">
              <w:rPr>
                <w:sz w:val="20"/>
                <w:szCs w:val="20"/>
              </w:rPr>
              <w:t>600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9821BEF" w14:textId="77777777" w:rsidR="00387142" w:rsidRPr="008B6A75" w:rsidRDefault="00387142" w:rsidP="00387142">
            <w:pPr>
              <w:jc w:val="right"/>
              <w:rPr>
                <w:sz w:val="20"/>
                <w:szCs w:val="20"/>
              </w:rPr>
            </w:pPr>
            <w:r w:rsidRPr="008B6A75">
              <w:rPr>
                <w:sz w:val="20"/>
                <w:szCs w:val="20"/>
              </w:rPr>
              <w:t>816 420,92</w:t>
            </w:r>
          </w:p>
        </w:tc>
        <w:tc>
          <w:tcPr>
            <w:tcW w:w="992" w:type="dxa"/>
            <w:tcBorders>
              <w:top w:val="nil"/>
              <w:left w:val="single" w:sz="4" w:space="0" w:color="auto"/>
              <w:bottom w:val="single" w:sz="4" w:space="0" w:color="auto"/>
              <w:right w:val="nil"/>
            </w:tcBorders>
            <w:shd w:val="clear" w:color="auto" w:fill="auto"/>
            <w:vAlign w:val="center"/>
            <w:hideMark/>
          </w:tcPr>
          <w:p w14:paraId="5F765B3E" w14:textId="77777777" w:rsidR="00387142" w:rsidRPr="008B6A75" w:rsidRDefault="00387142" w:rsidP="00387142">
            <w:pPr>
              <w:jc w:val="right"/>
              <w:rPr>
                <w:sz w:val="20"/>
                <w:szCs w:val="20"/>
              </w:rPr>
            </w:pPr>
            <w:r w:rsidRPr="008B6A75">
              <w:rPr>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5A9734EF" w14:textId="77777777" w:rsidR="00387142" w:rsidRPr="008B6A75" w:rsidRDefault="00387142" w:rsidP="00387142">
            <w:pPr>
              <w:jc w:val="right"/>
              <w:rPr>
                <w:sz w:val="20"/>
                <w:szCs w:val="20"/>
              </w:rPr>
            </w:pPr>
            <w:r w:rsidRPr="008B6A75">
              <w:rPr>
                <w:sz w:val="20"/>
                <w:szCs w:val="20"/>
              </w:rPr>
              <w:t>0,00</w:t>
            </w:r>
          </w:p>
        </w:tc>
      </w:tr>
      <w:tr w:rsidR="00387142" w:rsidRPr="008B6A75" w14:paraId="51F649F5" w14:textId="77777777" w:rsidTr="00387142">
        <w:trPr>
          <w:trHeight w:val="345"/>
        </w:trPr>
        <w:tc>
          <w:tcPr>
            <w:tcW w:w="3261" w:type="dxa"/>
            <w:tcBorders>
              <w:top w:val="nil"/>
              <w:left w:val="single" w:sz="4" w:space="0" w:color="auto"/>
              <w:bottom w:val="single" w:sz="4" w:space="0" w:color="auto"/>
              <w:right w:val="nil"/>
            </w:tcBorders>
            <w:shd w:val="clear" w:color="auto" w:fill="auto"/>
            <w:vAlign w:val="center"/>
            <w:hideMark/>
          </w:tcPr>
          <w:p w14:paraId="46A13999" w14:textId="77777777" w:rsidR="00387142" w:rsidRPr="008B6A75" w:rsidRDefault="00387142" w:rsidP="00387142">
            <w:pPr>
              <w:rPr>
                <w:sz w:val="20"/>
                <w:szCs w:val="20"/>
              </w:rPr>
            </w:pPr>
            <w:r w:rsidRPr="008B6A75">
              <w:rPr>
                <w:sz w:val="20"/>
                <w:szCs w:val="20"/>
              </w:rPr>
              <w:t>Субсидии бюджетным учреждениям</w:t>
            </w:r>
          </w:p>
        </w:tc>
        <w:tc>
          <w:tcPr>
            <w:tcW w:w="720" w:type="dxa"/>
            <w:tcBorders>
              <w:top w:val="nil"/>
              <w:left w:val="single" w:sz="4" w:space="0" w:color="auto"/>
              <w:bottom w:val="single" w:sz="4" w:space="0" w:color="auto"/>
              <w:right w:val="nil"/>
            </w:tcBorders>
            <w:shd w:val="clear" w:color="auto" w:fill="auto"/>
            <w:noWrap/>
            <w:vAlign w:val="center"/>
            <w:hideMark/>
          </w:tcPr>
          <w:p w14:paraId="322B78D3" w14:textId="77777777" w:rsidR="00387142" w:rsidRPr="008B6A75" w:rsidRDefault="00387142" w:rsidP="00387142">
            <w:pPr>
              <w:jc w:val="center"/>
              <w:rPr>
                <w:sz w:val="20"/>
                <w:szCs w:val="20"/>
              </w:rPr>
            </w:pPr>
            <w:r w:rsidRPr="008B6A75">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8C7131D" w14:textId="77777777" w:rsidR="00387142" w:rsidRPr="008B6A75" w:rsidRDefault="00387142" w:rsidP="00387142">
            <w:pPr>
              <w:jc w:val="center"/>
              <w:rPr>
                <w:sz w:val="20"/>
                <w:szCs w:val="20"/>
              </w:rPr>
            </w:pPr>
            <w:r w:rsidRPr="008B6A75">
              <w:rPr>
                <w:sz w:val="20"/>
                <w:szCs w:val="20"/>
              </w:rPr>
              <w:t>07</w:t>
            </w:r>
          </w:p>
        </w:tc>
        <w:tc>
          <w:tcPr>
            <w:tcW w:w="1516" w:type="dxa"/>
            <w:tcBorders>
              <w:top w:val="nil"/>
              <w:left w:val="single" w:sz="4" w:space="0" w:color="auto"/>
              <w:bottom w:val="single" w:sz="4" w:space="0" w:color="auto"/>
              <w:right w:val="nil"/>
            </w:tcBorders>
            <w:shd w:val="clear" w:color="auto" w:fill="auto"/>
            <w:noWrap/>
            <w:vAlign w:val="center"/>
            <w:hideMark/>
          </w:tcPr>
          <w:p w14:paraId="18351EEC" w14:textId="77777777" w:rsidR="00387142" w:rsidRPr="008B6A75" w:rsidRDefault="00387142" w:rsidP="00387142">
            <w:pPr>
              <w:jc w:val="center"/>
              <w:rPr>
                <w:sz w:val="20"/>
                <w:szCs w:val="20"/>
              </w:rPr>
            </w:pPr>
            <w:r w:rsidRPr="008B6A75">
              <w:rPr>
                <w:sz w:val="20"/>
                <w:szCs w:val="20"/>
              </w:rPr>
              <w:t>04.0.00.79500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8EFFFFA" w14:textId="77777777" w:rsidR="00387142" w:rsidRPr="008B6A75" w:rsidRDefault="00387142" w:rsidP="00387142">
            <w:pPr>
              <w:jc w:val="center"/>
              <w:rPr>
                <w:sz w:val="20"/>
                <w:szCs w:val="20"/>
              </w:rPr>
            </w:pPr>
            <w:r w:rsidRPr="008B6A75">
              <w:rPr>
                <w:sz w:val="20"/>
                <w:szCs w:val="20"/>
              </w:rPr>
              <w:t>610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A3BF529" w14:textId="77777777" w:rsidR="00387142" w:rsidRPr="008B6A75" w:rsidRDefault="00387142" w:rsidP="00387142">
            <w:pPr>
              <w:jc w:val="right"/>
              <w:rPr>
                <w:sz w:val="20"/>
                <w:szCs w:val="20"/>
              </w:rPr>
            </w:pPr>
            <w:r w:rsidRPr="008B6A75">
              <w:rPr>
                <w:sz w:val="20"/>
                <w:szCs w:val="20"/>
              </w:rPr>
              <w:t>816 420,92</w:t>
            </w:r>
          </w:p>
        </w:tc>
        <w:tc>
          <w:tcPr>
            <w:tcW w:w="992" w:type="dxa"/>
            <w:tcBorders>
              <w:top w:val="nil"/>
              <w:left w:val="single" w:sz="4" w:space="0" w:color="auto"/>
              <w:bottom w:val="single" w:sz="4" w:space="0" w:color="auto"/>
              <w:right w:val="nil"/>
            </w:tcBorders>
            <w:shd w:val="clear" w:color="auto" w:fill="auto"/>
            <w:vAlign w:val="center"/>
            <w:hideMark/>
          </w:tcPr>
          <w:p w14:paraId="2938E97B" w14:textId="77777777" w:rsidR="00387142" w:rsidRPr="008B6A75" w:rsidRDefault="00387142" w:rsidP="00387142">
            <w:pPr>
              <w:jc w:val="right"/>
              <w:rPr>
                <w:sz w:val="20"/>
                <w:szCs w:val="20"/>
              </w:rPr>
            </w:pPr>
            <w:r w:rsidRPr="008B6A75">
              <w:rPr>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0761E762" w14:textId="77777777" w:rsidR="00387142" w:rsidRPr="008B6A75" w:rsidRDefault="00387142" w:rsidP="00387142">
            <w:pPr>
              <w:jc w:val="right"/>
              <w:rPr>
                <w:sz w:val="20"/>
                <w:szCs w:val="20"/>
              </w:rPr>
            </w:pPr>
            <w:r w:rsidRPr="008B6A75">
              <w:rPr>
                <w:sz w:val="20"/>
                <w:szCs w:val="20"/>
              </w:rPr>
              <w:t>0,00</w:t>
            </w:r>
          </w:p>
        </w:tc>
      </w:tr>
      <w:tr w:rsidR="00387142" w:rsidRPr="008B6A75" w14:paraId="609200E0" w14:textId="77777777" w:rsidTr="00387142">
        <w:trPr>
          <w:trHeight w:val="585"/>
        </w:trPr>
        <w:tc>
          <w:tcPr>
            <w:tcW w:w="3261" w:type="dxa"/>
            <w:tcBorders>
              <w:top w:val="nil"/>
              <w:left w:val="single" w:sz="4" w:space="0" w:color="auto"/>
              <w:bottom w:val="single" w:sz="4" w:space="0" w:color="auto"/>
              <w:right w:val="nil"/>
            </w:tcBorders>
            <w:shd w:val="clear" w:color="auto" w:fill="auto"/>
            <w:vAlign w:val="center"/>
            <w:hideMark/>
          </w:tcPr>
          <w:p w14:paraId="70800E0C" w14:textId="77777777" w:rsidR="00387142" w:rsidRPr="008B6A75" w:rsidRDefault="00387142" w:rsidP="00387142">
            <w:pPr>
              <w:rPr>
                <w:bCs/>
                <w:sz w:val="20"/>
                <w:szCs w:val="20"/>
              </w:rPr>
            </w:pPr>
            <w:r w:rsidRPr="008B6A75">
              <w:rPr>
                <w:bCs/>
                <w:sz w:val="20"/>
                <w:szCs w:val="20"/>
              </w:rPr>
              <w:t>Муниципальная программа "Развитие системы образования Куйбышевского района"</w:t>
            </w:r>
          </w:p>
        </w:tc>
        <w:tc>
          <w:tcPr>
            <w:tcW w:w="720" w:type="dxa"/>
            <w:tcBorders>
              <w:top w:val="nil"/>
              <w:left w:val="single" w:sz="4" w:space="0" w:color="auto"/>
              <w:bottom w:val="single" w:sz="4" w:space="0" w:color="auto"/>
              <w:right w:val="nil"/>
            </w:tcBorders>
            <w:shd w:val="clear" w:color="auto" w:fill="auto"/>
            <w:noWrap/>
            <w:vAlign w:val="center"/>
            <w:hideMark/>
          </w:tcPr>
          <w:p w14:paraId="7BA7DE96" w14:textId="77777777" w:rsidR="00387142" w:rsidRPr="008B6A75" w:rsidRDefault="00387142" w:rsidP="00387142">
            <w:pPr>
              <w:jc w:val="center"/>
              <w:rPr>
                <w:bCs/>
                <w:sz w:val="20"/>
                <w:szCs w:val="20"/>
              </w:rPr>
            </w:pPr>
            <w:r w:rsidRPr="008B6A75">
              <w:rPr>
                <w:bCs/>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21326FC" w14:textId="77777777" w:rsidR="00387142" w:rsidRPr="008B6A75" w:rsidRDefault="00387142" w:rsidP="00387142">
            <w:pPr>
              <w:jc w:val="center"/>
              <w:rPr>
                <w:bCs/>
                <w:sz w:val="20"/>
                <w:szCs w:val="20"/>
              </w:rPr>
            </w:pPr>
            <w:r w:rsidRPr="008B6A75">
              <w:rPr>
                <w:bCs/>
                <w:sz w:val="20"/>
                <w:szCs w:val="20"/>
              </w:rPr>
              <w:t>07</w:t>
            </w:r>
          </w:p>
        </w:tc>
        <w:tc>
          <w:tcPr>
            <w:tcW w:w="1516" w:type="dxa"/>
            <w:tcBorders>
              <w:top w:val="nil"/>
              <w:left w:val="single" w:sz="4" w:space="0" w:color="auto"/>
              <w:bottom w:val="single" w:sz="4" w:space="0" w:color="auto"/>
              <w:right w:val="nil"/>
            </w:tcBorders>
            <w:shd w:val="clear" w:color="auto" w:fill="auto"/>
            <w:noWrap/>
            <w:vAlign w:val="center"/>
            <w:hideMark/>
          </w:tcPr>
          <w:p w14:paraId="63CB938C" w14:textId="77777777" w:rsidR="00387142" w:rsidRPr="008B6A75" w:rsidRDefault="00387142" w:rsidP="00387142">
            <w:pPr>
              <w:jc w:val="center"/>
              <w:rPr>
                <w:bCs/>
                <w:sz w:val="20"/>
                <w:szCs w:val="20"/>
              </w:rPr>
            </w:pPr>
            <w:r w:rsidRPr="008B6A75">
              <w:rPr>
                <w:bCs/>
                <w:sz w:val="20"/>
                <w:szCs w:val="20"/>
              </w:rPr>
              <w:t>07.0.00.00000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3E84165"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02189DF" w14:textId="77777777" w:rsidR="00387142" w:rsidRPr="008B6A75" w:rsidRDefault="00387142" w:rsidP="00387142">
            <w:pPr>
              <w:jc w:val="right"/>
              <w:rPr>
                <w:bCs/>
                <w:sz w:val="20"/>
                <w:szCs w:val="20"/>
              </w:rPr>
            </w:pPr>
            <w:r w:rsidRPr="008B6A75">
              <w:rPr>
                <w:bCs/>
                <w:sz w:val="20"/>
                <w:szCs w:val="20"/>
              </w:rPr>
              <w:t>8 661 503,66</w:t>
            </w:r>
          </w:p>
        </w:tc>
        <w:tc>
          <w:tcPr>
            <w:tcW w:w="992" w:type="dxa"/>
            <w:tcBorders>
              <w:top w:val="nil"/>
              <w:left w:val="single" w:sz="4" w:space="0" w:color="auto"/>
              <w:bottom w:val="single" w:sz="4" w:space="0" w:color="auto"/>
              <w:right w:val="nil"/>
            </w:tcBorders>
            <w:shd w:val="clear" w:color="auto" w:fill="auto"/>
            <w:vAlign w:val="center"/>
            <w:hideMark/>
          </w:tcPr>
          <w:p w14:paraId="31B3031C" w14:textId="77777777" w:rsidR="00387142" w:rsidRPr="008B6A75" w:rsidRDefault="00387142" w:rsidP="00387142">
            <w:pPr>
              <w:jc w:val="right"/>
              <w:rPr>
                <w:bCs/>
                <w:sz w:val="20"/>
                <w:szCs w:val="20"/>
              </w:rPr>
            </w:pPr>
            <w:r w:rsidRPr="008B6A75">
              <w:rPr>
                <w:bCs/>
                <w:sz w:val="20"/>
                <w:szCs w:val="20"/>
              </w:rPr>
              <w:t>2 839 609,00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3B8B0D82" w14:textId="77777777" w:rsidR="00387142" w:rsidRPr="008B6A75" w:rsidRDefault="00387142" w:rsidP="00387142">
            <w:pPr>
              <w:jc w:val="right"/>
              <w:rPr>
                <w:bCs/>
                <w:sz w:val="20"/>
                <w:szCs w:val="20"/>
              </w:rPr>
            </w:pPr>
            <w:r w:rsidRPr="008B6A75">
              <w:rPr>
                <w:bCs/>
                <w:sz w:val="20"/>
                <w:szCs w:val="20"/>
              </w:rPr>
              <w:t>2 713 000,00</w:t>
            </w:r>
          </w:p>
        </w:tc>
      </w:tr>
      <w:tr w:rsidR="00387142" w:rsidRPr="008B6A75" w14:paraId="566A1585" w14:textId="77777777" w:rsidTr="00387142">
        <w:trPr>
          <w:trHeight w:val="585"/>
        </w:trPr>
        <w:tc>
          <w:tcPr>
            <w:tcW w:w="3261" w:type="dxa"/>
            <w:tcBorders>
              <w:top w:val="nil"/>
              <w:left w:val="single" w:sz="4" w:space="0" w:color="auto"/>
              <w:bottom w:val="single" w:sz="4" w:space="0" w:color="auto"/>
              <w:right w:val="nil"/>
            </w:tcBorders>
            <w:shd w:val="clear" w:color="auto" w:fill="auto"/>
            <w:vAlign w:val="center"/>
            <w:hideMark/>
          </w:tcPr>
          <w:p w14:paraId="5C388A9C" w14:textId="77777777" w:rsidR="00387142" w:rsidRPr="008B6A75" w:rsidRDefault="00387142" w:rsidP="00387142">
            <w:pPr>
              <w:rPr>
                <w:bCs/>
                <w:sz w:val="20"/>
                <w:szCs w:val="20"/>
              </w:rPr>
            </w:pPr>
            <w:r w:rsidRPr="008B6A75">
              <w:rPr>
                <w:bCs/>
                <w:sz w:val="20"/>
                <w:szCs w:val="20"/>
              </w:rPr>
              <w:t>Подпрограмма "Организация отдыха и оздоровления детей и подростков"</w:t>
            </w:r>
          </w:p>
        </w:tc>
        <w:tc>
          <w:tcPr>
            <w:tcW w:w="720" w:type="dxa"/>
            <w:tcBorders>
              <w:top w:val="nil"/>
              <w:left w:val="single" w:sz="4" w:space="0" w:color="auto"/>
              <w:bottom w:val="single" w:sz="4" w:space="0" w:color="auto"/>
              <w:right w:val="nil"/>
            </w:tcBorders>
            <w:shd w:val="clear" w:color="auto" w:fill="auto"/>
            <w:noWrap/>
            <w:vAlign w:val="center"/>
            <w:hideMark/>
          </w:tcPr>
          <w:p w14:paraId="002A5878" w14:textId="77777777" w:rsidR="00387142" w:rsidRPr="008B6A75" w:rsidRDefault="00387142" w:rsidP="00387142">
            <w:pPr>
              <w:jc w:val="center"/>
              <w:rPr>
                <w:bCs/>
                <w:sz w:val="20"/>
                <w:szCs w:val="20"/>
              </w:rPr>
            </w:pPr>
            <w:r w:rsidRPr="008B6A75">
              <w:rPr>
                <w:bCs/>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390A63E" w14:textId="77777777" w:rsidR="00387142" w:rsidRPr="008B6A75" w:rsidRDefault="00387142" w:rsidP="00387142">
            <w:pPr>
              <w:jc w:val="center"/>
              <w:rPr>
                <w:bCs/>
                <w:sz w:val="20"/>
                <w:szCs w:val="20"/>
              </w:rPr>
            </w:pPr>
            <w:r w:rsidRPr="008B6A75">
              <w:rPr>
                <w:bCs/>
                <w:sz w:val="20"/>
                <w:szCs w:val="20"/>
              </w:rPr>
              <w:t>07</w:t>
            </w:r>
          </w:p>
        </w:tc>
        <w:tc>
          <w:tcPr>
            <w:tcW w:w="1516" w:type="dxa"/>
            <w:tcBorders>
              <w:top w:val="nil"/>
              <w:left w:val="single" w:sz="4" w:space="0" w:color="auto"/>
              <w:bottom w:val="single" w:sz="4" w:space="0" w:color="auto"/>
              <w:right w:val="nil"/>
            </w:tcBorders>
            <w:shd w:val="clear" w:color="auto" w:fill="auto"/>
            <w:noWrap/>
            <w:vAlign w:val="center"/>
            <w:hideMark/>
          </w:tcPr>
          <w:p w14:paraId="0F4690A3" w14:textId="77777777" w:rsidR="00387142" w:rsidRPr="008B6A75" w:rsidRDefault="00387142" w:rsidP="00387142">
            <w:pPr>
              <w:jc w:val="center"/>
              <w:rPr>
                <w:bCs/>
                <w:sz w:val="20"/>
                <w:szCs w:val="20"/>
              </w:rPr>
            </w:pPr>
            <w:r w:rsidRPr="008B6A75">
              <w:rPr>
                <w:bCs/>
                <w:sz w:val="20"/>
                <w:szCs w:val="20"/>
              </w:rPr>
              <w:t>07.4.00.00000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12785AC"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43FE3C4" w14:textId="77777777" w:rsidR="00387142" w:rsidRPr="008B6A75" w:rsidRDefault="00387142" w:rsidP="00387142">
            <w:pPr>
              <w:jc w:val="right"/>
              <w:rPr>
                <w:bCs/>
                <w:sz w:val="20"/>
                <w:szCs w:val="20"/>
              </w:rPr>
            </w:pPr>
            <w:r w:rsidRPr="008B6A75">
              <w:rPr>
                <w:bCs/>
                <w:sz w:val="20"/>
                <w:szCs w:val="20"/>
              </w:rPr>
              <w:t>8 661 503,66</w:t>
            </w:r>
          </w:p>
        </w:tc>
        <w:tc>
          <w:tcPr>
            <w:tcW w:w="992" w:type="dxa"/>
            <w:tcBorders>
              <w:top w:val="nil"/>
              <w:left w:val="single" w:sz="4" w:space="0" w:color="auto"/>
              <w:bottom w:val="single" w:sz="4" w:space="0" w:color="auto"/>
              <w:right w:val="nil"/>
            </w:tcBorders>
            <w:shd w:val="clear" w:color="auto" w:fill="auto"/>
            <w:vAlign w:val="center"/>
            <w:hideMark/>
          </w:tcPr>
          <w:p w14:paraId="2211863C" w14:textId="77777777" w:rsidR="00387142" w:rsidRPr="008B6A75" w:rsidRDefault="00387142" w:rsidP="00387142">
            <w:pPr>
              <w:jc w:val="right"/>
              <w:rPr>
                <w:bCs/>
                <w:sz w:val="20"/>
                <w:szCs w:val="20"/>
              </w:rPr>
            </w:pPr>
            <w:r w:rsidRPr="008B6A75">
              <w:rPr>
                <w:bCs/>
                <w:sz w:val="20"/>
                <w:szCs w:val="20"/>
              </w:rPr>
              <w:t>2 839 609,00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15576FD6" w14:textId="77777777" w:rsidR="00387142" w:rsidRPr="008B6A75" w:rsidRDefault="00387142" w:rsidP="00387142">
            <w:pPr>
              <w:jc w:val="right"/>
              <w:rPr>
                <w:bCs/>
                <w:sz w:val="20"/>
                <w:szCs w:val="20"/>
              </w:rPr>
            </w:pPr>
            <w:r w:rsidRPr="008B6A75">
              <w:rPr>
                <w:bCs/>
                <w:sz w:val="20"/>
                <w:szCs w:val="20"/>
              </w:rPr>
              <w:t>2 713 000,00</w:t>
            </w:r>
          </w:p>
        </w:tc>
      </w:tr>
      <w:tr w:rsidR="00387142" w:rsidRPr="008B6A75" w14:paraId="7FCCA6E7" w14:textId="77777777" w:rsidTr="00387142">
        <w:trPr>
          <w:trHeight w:val="1155"/>
        </w:trPr>
        <w:tc>
          <w:tcPr>
            <w:tcW w:w="3261" w:type="dxa"/>
            <w:tcBorders>
              <w:top w:val="nil"/>
              <w:left w:val="single" w:sz="4" w:space="0" w:color="auto"/>
              <w:bottom w:val="single" w:sz="4" w:space="0" w:color="auto"/>
              <w:right w:val="nil"/>
            </w:tcBorders>
            <w:shd w:val="clear" w:color="auto" w:fill="auto"/>
            <w:vAlign w:val="center"/>
            <w:hideMark/>
          </w:tcPr>
          <w:p w14:paraId="3EC872AC" w14:textId="77777777" w:rsidR="00387142" w:rsidRPr="008B6A75" w:rsidRDefault="00387142" w:rsidP="00387142">
            <w:pPr>
              <w:rPr>
                <w:bCs/>
                <w:sz w:val="20"/>
                <w:szCs w:val="20"/>
              </w:rPr>
            </w:pPr>
            <w:r w:rsidRPr="008B6A75">
              <w:rPr>
                <w:bCs/>
                <w:sz w:val="20"/>
                <w:szCs w:val="20"/>
              </w:rPr>
              <w:t>Расходы на обеспечение деятельности (оказание услуг) муниципальных учреждений по проведению оздоровительной кампании детей</w:t>
            </w:r>
          </w:p>
        </w:tc>
        <w:tc>
          <w:tcPr>
            <w:tcW w:w="720" w:type="dxa"/>
            <w:tcBorders>
              <w:top w:val="nil"/>
              <w:left w:val="single" w:sz="4" w:space="0" w:color="auto"/>
              <w:bottom w:val="single" w:sz="4" w:space="0" w:color="auto"/>
              <w:right w:val="nil"/>
            </w:tcBorders>
            <w:shd w:val="clear" w:color="auto" w:fill="auto"/>
            <w:noWrap/>
            <w:vAlign w:val="center"/>
            <w:hideMark/>
          </w:tcPr>
          <w:p w14:paraId="2AE404C8" w14:textId="77777777" w:rsidR="00387142" w:rsidRPr="008B6A75" w:rsidRDefault="00387142" w:rsidP="00387142">
            <w:pPr>
              <w:jc w:val="center"/>
              <w:rPr>
                <w:bCs/>
                <w:sz w:val="20"/>
                <w:szCs w:val="20"/>
              </w:rPr>
            </w:pPr>
            <w:r w:rsidRPr="008B6A75">
              <w:rPr>
                <w:bCs/>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8982D66" w14:textId="77777777" w:rsidR="00387142" w:rsidRPr="008B6A75" w:rsidRDefault="00387142" w:rsidP="00387142">
            <w:pPr>
              <w:jc w:val="center"/>
              <w:rPr>
                <w:bCs/>
                <w:sz w:val="20"/>
                <w:szCs w:val="20"/>
              </w:rPr>
            </w:pPr>
            <w:r w:rsidRPr="008B6A75">
              <w:rPr>
                <w:bCs/>
                <w:sz w:val="20"/>
                <w:szCs w:val="20"/>
              </w:rPr>
              <w:t>07</w:t>
            </w:r>
          </w:p>
        </w:tc>
        <w:tc>
          <w:tcPr>
            <w:tcW w:w="1516" w:type="dxa"/>
            <w:tcBorders>
              <w:top w:val="nil"/>
              <w:left w:val="single" w:sz="4" w:space="0" w:color="auto"/>
              <w:bottom w:val="single" w:sz="4" w:space="0" w:color="auto"/>
              <w:right w:val="nil"/>
            </w:tcBorders>
            <w:shd w:val="clear" w:color="auto" w:fill="auto"/>
            <w:noWrap/>
            <w:vAlign w:val="center"/>
            <w:hideMark/>
          </w:tcPr>
          <w:p w14:paraId="51125322" w14:textId="77777777" w:rsidR="00387142" w:rsidRPr="008B6A75" w:rsidRDefault="00387142" w:rsidP="00387142">
            <w:pPr>
              <w:jc w:val="center"/>
              <w:rPr>
                <w:bCs/>
                <w:sz w:val="20"/>
                <w:szCs w:val="20"/>
              </w:rPr>
            </w:pPr>
            <w:r w:rsidRPr="008B6A75">
              <w:rPr>
                <w:bCs/>
                <w:sz w:val="20"/>
                <w:szCs w:val="20"/>
              </w:rPr>
              <w:t>07.4.00.07690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70C1837"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609E028" w14:textId="77777777" w:rsidR="00387142" w:rsidRPr="008B6A75" w:rsidRDefault="00387142" w:rsidP="00387142">
            <w:pPr>
              <w:jc w:val="right"/>
              <w:rPr>
                <w:bCs/>
                <w:sz w:val="20"/>
                <w:szCs w:val="20"/>
              </w:rPr>
            </w:pPr>
            <w:r w:rsidRPr="008B6A75">
              <w:rPr>
                <w:bCs/>
                <w:sz w:val="20"/>
                <w:szCs w:val="20"/>
              </w:rPr>
              <w:t>1 371 607,80</w:t>
            </w:r>
          </w:p>
        </w:tc>
        <w:tc>
          <w:tcPr>
            <w:tcW w:w="992" w:type="dxa"/>
            <w:tcBorders>
              <w:top w:val="nil"/>
              <w:left w:val="single" w:sz="4" w:space="0" w:color="auto"/>
              <w:bottom w:val="single" w:sz="4" w:space="0" w:color="auto"/>
              <w:right w:val="nil"/>
            </w:tcBorders>
            <w:shd w:val="clear" w:color="auto" w:fill="auto"/>
            <w:vAlign w:val="center"/>
            <w:hideMark/>
          </w:tcPr>
          <w:p w14:paraId="33E920C5" w14:textId="77777777" w:rsidR="00387142" w:rsidRPr="008B6A75" w:rsidRDefault="00387142" w:rsidP="00387142">
            <w:pPr>
              <w:jc w:val="right"/>
              <w:rPr>
                <w:bCs/>
                <w:sz w:val="20"/>
                <w:szCs w:val="20"/>
              </w:rPr>
            </w:pPr>
            <w:r w:rsidRPr="008B6A75">
              <w:rPr>
                <w:bCs/>
                <w:sz w:val="20"/>
                <w:szCs w:val="20"/>
              </w:rPr>
              <w:t>126 609,00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119AEEED" w14:textId="77777777" w:rsidR="00387142" w:rsidRPr="008B6A75" w:rsidRDefault="00387142" w:rsidP="00387142">
            <w:pPr>
              <w:jc w:val="right"/>
              <w:rPr>
                <w:bCs/>
                <w:sz w:val="20"/>
                <w:szCs w:val="20"/>
              </w:rPr>
            </w:pPr>
            <w:r w:rsidRPr="008B6A75">
              <w:rPr>
                <w:bCs/>
                <w:sz w:val="20"/>
                <w:szCs w:val="20"/>
              </w:rPr>
              <w:t>0,00</w:t>
            </w:r>
          </w:p>
        </w:tc>
      </w:tr>
      <w:tr w:rsidR="00387142" w:rsidRPr="008B6A75" w14:paraId="4E54FF90" w14:textId="77777777" w:rsidTr="00387142">
        <w:trPr>
          <w:trHeight w:val="870"/>
        </w:trPr>
        <w:tc>
          <w:tcPr>
            <w:tcW w:w="3261" w:type="dxa"/>
            <w:tcBorders>
              <w:top w:val="nil"/>
              <w:left w:val="single" w:sz="4" w:space="0" w:color="auto"/>
              <w:bottom w:val="single" w:sz="4" w:space="0" w:color="auto"/>
              <w:right w:val="nil"/>
            </w:tcBorders>
            <w:shd w:val="clear" w:color="auto" w:fill="auto"/>
            <w:vAlign w:val="center"/>
            <w:hideMark/>
          </w:tcPr>
          <w:p w14:paraId="692BDD95" w14:textId="77777777" w:rsidR="00387142" w:rsidRPr="008B6A75" w:rsidRDefault="00387142" w:rsidP="00387142">
            <w:pPr>
              <w:rPr>
                <w:sz w:val="20"/>
                <w:szCs w:val="20"/>
              </w:rPr>
            </w:pPr>
            <w:r w:rsidRPr="008B6A75">
              <w:rPr>
                <w:sz w:val="20"/>
                <w:szCs w:val="20"/>
              </w:rPr>
              <w:t>Предоставление субсидий бюджетным, автономным учреждениям и иным некоммерческим организациям</w:t>
            </w:r>
          </w:p>
        </w:tc>
        <w:tc>
          <w:tcPr>
            <w:tcW w:w="720" w:type="dxa"/>
            <w:tcBorders>
              <w:top w:val="nil"/>
              <w:left w:val="single" w:sz="4" w:space="0" w:color="auto"/>
              <w:bottom w:val="single" w:sz="4" w:space="0" w:color="auto"/>
              <w:right w:val="nil"/>
            </w:tcBorders>
            <w:shd w:val="clear" w:color="auto" w:fill="auto"/>
            <w:noWrap/>
            <w:vAlign w:val="center"/>
            <w:hideMark/>
          </w:tcPr>
          <w:p w14:paraId="52E08C19" w14:textId="77777777" w:rsidR="00387142" w:rsidRPr="008B6A75" w:rsidRDefault="00387142" w:rsidP="00387142">
            <w:pPr>
              <w:jc w:val="center"/>
              <w:rPr>
                <w:sz w:val="20"/>
                <w:szCs w:val="20"/>
              </w:rPr>
            </w:pPr>
            <w:r w:rsidRPr="008B6A75">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B6B754D" w14:textId="77777777" w:rsidR="00387142" w:rsidRPr="008B6A75" w:rsidRDefault="00387142" w:rsidP="00387142">
            <w:pPr>
              <w:jc w:val="center"/>
              <w:rPr>
                <w:sz w:val="20"/>
                <w:szCs w:val="20"/>
              </w:rPr>
            </w:pPr>
            <w:r w:rsidRPr="008B6A75">
              <w:rPr>
                <w:sz w:val="20"/>
                <w:szCs w:val="20"/>
              </w:rPr>
              <w:t>07</w:t>
            </w:r>
          </w:p>
        </w:tc>
        <w:tc>
          <w:tcPr>
            <w:tcW w:w="1516" w:type="dxa"/>
            <w:tcBorders>
              <w:top w:val="nil"/>
              <w:left w:val="single" w:sz="4" w:space="0" w:color="auto"/>
              <w:bottom w:val="single" w:sz="4" w:space="0" w:color="auto"/>
              <w:right w:val="nil"/>
            </w:tcBorders>
            <w:shd w:val="clear" w:color="auto" w:fill="auto"/>
            <w:noWrap/>
            <w:vAlign w:val="center"/>
            <w:hideMark/>
          </w:tcPr>
          <w:p w14:paraId="347FB2C3" w14:textId="77777777" w:rsidR="00387142" w:rsidRPr="008B6A75" w:rsidRDefault="00387142" w:rsidP="00387142">
            <w:pPr>
              <w:jc w:val="center"/>
              <w:rPr>
                <w:sz w:val="20"/>
                <w:szCs w:val="20"/>
              </w:rPr>
            </w:pPr>
            <w:r w:rsidRPr="008B6A75">
              <w:rPr>
                <w:sz w:val="20"/>
                <w:szCs w:val="20"/>
              </w:rPr>
              <w:t>07.4.00.07690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1F9A7A0" w14:textId="77777777" w:rsidR="00387142" w:rsidRPr="008B6A75" w:rsidRDefault="00387142" w:rsidP="00387142">
            <w:pPr>
              <w:jc w:val="center"/>
              <w:rPr>
                <w:sz w:val="20"/>
                <w:szCs w:val="20"/>
              </w:rPr>
            </w:pPr>
            <w:r w:rsidRPr="008B6A75">
              <w:rPr>
                <w:sz w:val="20"/>
                <w:szCs w:val="20"/>
              </w:rPr>
              <w:t>600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1A0753A" w14:textId="77777777" w:rsidR="00387142" w:rsidRPr="008B6A75" w:rsidRDefault="00387142" w:rsidP="00387142">
            <w:pPr>
              <w:jc w:val="right"/>
              <w:rPr>
                <w:sz w:val="20"/>
                <w:szCs w:val="20"/>
              </w:rPr>
            </w:pPr>
            <w:r w:rsidRPr="008B6A75">
              <w:rPr>
                <w:sz w:val="20"/>
                <w:szCs w:val="20"/>
              </w:rPr>
              <w:t>1 371 607,80</w:t>
            </w:r>
          </w:p>
        </w:tc>
        <w:tc>
          <w:tcPr>
            <w:tcW w:w="992" w:type="dxa"/>
            <w:tcBorders>
              <w:top w:val="nil"/>
              <w:left w:val="single" w:sz="4" w:space="0" w:color="auto"/>
              <w:bottom w:val="single" w:sz="4" w:space="0" w:color="auto"/>
              <w:right w:val="nil"/>
            </w:tcBorders>
            <w:shd w:val="clear" w:color="auto" w:fill="auto"/>
            <w:vAlign w:val="center"/>
            <w:hideMark/>
          </w:tcPr>
          <w:p w14:paraId="03BDEC38" w14:textId="77777777" w:rsidR="00387142" w:rsidRPr="008B6A75" w:rsidRDefault="00387142" w:rsidP="00387142">
            <w:pPr>
              <w:jc w:val="right"/>
              <w:rPr>
                <w:sz w:val="20"/>
                <w:szCs w:val="20"/>
              </w:rPr>
            </w:pPr>
            <w:r w:rsidRPr="008B6A75">
              <w:rPr>
                <w:sz w:val="20"/>
                <w:szCs w:val="20"/>
              </w:rPr>
              <w:t>126 609,00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281BD206" w14:textId="77777777" w:rsidR="00387142" w:rsidRPr="008B6A75" w:rsidRDefault="00387142" w:rsidP="00387142">
            <w:pPr>
              <w:jc w:val="right"/>
              <w:rPr>
                <w:sz w:val="20"/>
                <w:szCs w:val="20"/>
              </w:rPr>
            </w:pPr>
            <w:r w:rsidRPr="008B6A75">
              <w:rPr>
                <w:sz w:val="20"/>
                <w:szCs w:val="20"/>
              </w:rPr>
              <w:t>0,00</w:t>
            </w:r>
          </w:p>
        </w:tc>
      </w:tr>
      <w:tr w:rsidR="00387142" w:rsidRPr="008B6A75" w14:paraId="2700F365" w14:textId="77777777" w:rsidTr="00387142">
        <w:trPr>
          <w:trHeight w:val="345"/>
        </w:trPr>
        <w:tc>
          <w:tcPr>
            <w:tcW w:w="3261" w:type="dxa"/>
            <w:tcBorders>
              <w:top w:val="nil"/>
              <w:left w:val="single" w:sz="4" w:space="0" w:color="auto"/>
              <w:bottom w:val="single" w:sz="4" w:space="0" w:color="auto"/>
              <w:right w:val="nil"/>
            </w:tcBorders>
            <w:shd w:val="clear" w:color="auto" w:fill="auto"/>
            <w:vAlign w:val="center"/>
            <w:hideMark/>
          </w:tcPr>
          <w:p w14:paraId="2DDD0786" w14:textId="77777777" w:rsidR="00387142" w:rsidRPr="008B6A75" w:rsidRDefault="00387142" w:rsidP="00387142">
            <w:pPr>
              <w:rPr>
                <w:sz w:val="20"/>
                <w:szCs w:val="20"/>
              </w:rPr>
            </w:pPr>
            <w:r w:rsidRPr="008B6A75">
              <w:rPr>
                <w:sz w:val="20"/>
                <w:szCs w:val="20"/>
              </w:rPr>
              <w:t>Субсидии бюджетным учреждениям</w:t>
            </w:r>
          </w:p>
        </w:tc>
        <w:tc>
          <w:tcPr>
            <w:tcW w:w="720" w:type="dxa"/>
            <w:tcBorders>
              <w:top w:val="nil"/>
              <w:left w:val="single" w:sz="4" w:space="0" w:color="auto"/>
              <w:bottom w:val="single" w:sz="4" w:space="0" w:color="auto"/>
              <w:right w:val="nil"/>
            </w:tcBorders>
            <w:shd w:val="clear" w:color="auto" w:fill="auto"/>
            <w:noWrap/>
            <w:vAlign w:val="center"/>
            <w:hideMark/>
          </w:tcPr>
          <w:p w14:paraId="13767780" w14:textId="77777777" w:rsidR="00387142" w:rsidRPr="008B6A75" w:rsidRDefault="00387142" w:rsidP="00387142">
            <w:pPr>
              <w:jc w:val="center"/>
              <w:rPr>
                <w:sz w:val="20"/>
                <w:szCs w:val="20"/>
              </w:rPr>
            </w:pPr>
            <w:r w:rsidRPr="008B6A75">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2D3187B" w14:textId="77777777" w:rsidR="00387142" w:rsidRPr="008B6A75" w:rsidRDefault="00387142" w:rsidP="00387142">
            <w:pPr>
              <w:jc w:val="center"/>
              <w:rPr>
                <w:sz w:val="20"/>
                <w:szCs w:val="20"/>
              </w:rPr>
            </w:pPr>
            <w:r w:rsidRPr="008B6A75">
              <w:rPr>
                <w:sz w:val="20"/>
                <w:szCs w:val="20"/>
              </w:rPr>
              <w:t>07</w:t>
            </w:r>
          </w:p>
        </w:tc>
        <w:tc>
          <w:tcPr>
            <w:tcW w:w="1516" w:type="dxa"/>
            <w:tcBorders>
              <w:top w:val="nil"/>
              <w:left w:val="single" w:sz="4" w:space="0" w:color="auto"/>
              <w:bottom w:val="single" w:sz="4" w:space="0" w:color="auto"/>
              <w:right w:val="nil"/>
            </w:tcBorders>
            <w:shd w:val="clear" w:color="auto" w:fill="auto"/>
            <w:noWrap/>
            <w:vAlign w:val="center"/>
            <w:hideMark/>
          </w:tcPr>
          <w:p w14:paraId="375EFC41" w14:textId="77777777" w:rsidR="00387142" w:rsidRPr="008B6A75" w:rsidRDefault="00387142" w:rsidP="00387142">
            <w:pPr>
              <w:jc w:val="center"/>
              <w:rPr>
                <w:sz w:val="20"/>
                <w:szCs w:val="20"/>
              </w:rPr>
            </w:pPr>
            <w:r w:rsidRPr="008B6A75">
              <w:rPr>
                <w:sz w:val="20"/>
                <w:szCs w:val="20"/>
              </w:rPr>
              <w:t>07.4.00.07690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2000DB9" w14:textId="77777777" w:rsidR="00387142" w:rsidRPr="008B6A75" w:rsidRDefault="00387142" w:rsidP="00387142">
            <w:pPr>
              <w:jc w:val="center"/>
              <w:rPr>
                <w:sz w:val="20"/>
                <w:szCs w:val="20"/>
              </w:rPr>
            </w:pPr>
            <w:r w:rsidRPr="008B6A75">
              <w:rPr>
                <w:sz w:val="20"/>
                <w:szCs w:val="20"/>
              </w:rPr>
              <w:t>610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71B5051" w14:textId="77777777" w:rsidR="00387142" w:rsidRPr="008B6A75" w:rsidRDefault="00387142" w:rsidP="00387142">
            <w:pPr>
              <w:jc w:val="right"/>
              <w:rPr>
                <w:sz w:val="20"/>
                <w:szCs w:val="20"/>
              </w:rPr>
            </w:pPr>
            <w:r w:rsidRPr="008B6A75">
              <w:rPr>
                <w:sz w:val="20"/>
                <w:szCs w:val="20"/>
              </w:rPr>
              <w:t>1 371 607,80</w:t>
            </w:r>
          </w:p>
        </w:tc>
        <w:tc>
          <w:tcPr>
            <w:tcW w:w="992" w:type="dxa"/>
            <w:tcBorders>
              <w:top w:val="nil"/>
              <w:left w:val="single" w:sz="4" w:space="0" w:color="auto"/>
              <w:bottom w:val="single" w:sz="4" w:space="0" w:color="auto"/>
              <w:right w:val="nil"/>
            </w:tcBorders>
            <w:shd w:val="clear" w:color="auto" w:fill="auto"/>
            <w:vAlign w:val="center"/>
            <w:hideMark/>
          </w:tcPr>
          <w:p w14:paraId="1DE512A9" w14:textId="77777777" w:rsidR="00387142" w:rsidRPr="008B6A75" w:rsidRDefault="00387142" w:rsidP="00387142">
            <w:pPr>
              <w:jc w:val="right"/>
              <w:rPr>
                <w:sz w:val="20"/>
                <w:szCs w:val="20"/>
              </w:rPr>
            </w:pPr>
            <w:r w:rsidRPr="008B6A75">
              <w:rPr>
                <w:sz w:val="20"/>
                <w:szCs w:val="20"/>
              </w:rPr>
              <w:t>126 609,00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7809B20F" w14:textId="77777777" w:rsidR="00387142" w:rsidRPr="008B6A75" w:rsidRDefault="00387142" w:rsidP="00387142">
            <w:pPr>
              <w:jc w:val="right"/>
              <w:rPr>
                <w:sz w:val="20"/>
                <w:szCs w:val="20"/>
              </w:rPr>
            </w:pPr>
            <w:r w:rsidRPr="008B6A75">
              <w:rPr>
                <w:sz w:val="20"/>
                <w:szCs w:val="20"/>
              </w:rPr>
              <w:t>0,00</w:t>
            </w:r>
          </w:p>
        </w:tc>
      </w:tr>
      <w:tr w:rsidR="00387142" w:rsidRPr="008B6A75" w14:paraId="08B62EB2" w14:textId="77777777" w:rsidTr="00387142">
        <w:trPr>
          <w:trHeight w:val="1155"/>
        </w:trPr>
        <w:tc>
          <w:tcPr>
            <w:tcW w:w="3261" w:type="dxa"/>
            <w:tcBorders>
              <w:top w:val="nil"/>
              <w:left w:val="single" w:sz="4" w:space="0" w:color="auto"/>
              <w:bottom w:val="single" w:sz="4" w:space="0" w:color="auto"/>
              <w:right w:val="nil"/>
            </w:tcBorders>
            <w:shd w:val="clear" w:color="auto" w:fill="auto"/>
            <w:vAlign w:val="center"/>
            <w:hideMark/>
          </w:tcPr>
          <w:p w14:paraId="6A862C9A" w14:textId="77777777" w:rsidR="00387142" w:rsidRPr="008B6A75" w:rsidRDefault="00387142" w:rsidP="00387142">
            <w:pPr>
              <w:rPr>
                <w:bCs/>
                <w:sz w:val="20"/>
                <w:szCs w:val="20"/>
              </w:rPr>
            </w:pPr>
            <w:r w:rsidRPr="008B6A75">
              <w:rPr>
                <w:bCs/>
                <w:sz w:val="20"/>
                <w:szCs w:val="20"/>
              </w:rPr>
              <w:t>Реализация мероприятий по оздоровлению детей государственной программы Новосибирской области "Социальная поддержка в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14:paraId="3869F1A7" w14:textId="77777777" w:rsidR="00387142" w:rsidRPr="008B6A75" w:rsidRDefault="00387142" w:rsidP="00387142">
            <w:pPr>
              <w:jc w:val="center"/>
              <w:rPr>
                <w:bCs/>
                <w:sz w:val="20"/>
                <w:szCs w:val="20"/>
              </w:rPr>
            </w:pPr>
            <w:r w:rsidRPr="008B6A75">
              <w:rPr>
                <w:bCs/>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368681C" w14:textId="77777777" w:rsidR="00387142" w:rsidRPr="008B6A75" w:rsidRDefault="00387142" w:rsidP="00387142">
            <w:pPr>
              <w:jc w:val="center"/>
              <w:rPr>
                <w:bCs/>
                <w:sz w:val="20"/>
                <w:szCs w:val="20"/>
              </w:rPr>
            </w:pPr>
            <w:r w:rsidRPr="008B6A75">
              <w:rPr>
                <w:bCs/>
                <w:sz w:val="20"/>
                <w:szCs w:val="20"/>
              </w:rPr>
              <w:t>07</w:t>
            </w:r>
          </w:p>
        </w:tc>
        <w:tc>
          <w:tcPr>
            <w:tcW w:w="1516" w:type="dxa"/>
            <w:tcBorders>
              <w:top w:val="nil"/>
              <w:left w:val="single" w:sz="4" w:space="0" w:color="auto"/>
              <w:bottom w:val="single" w:sz="4" w:space="0" w:color="auto"/>
              <w:right w:val="nil"/>
            </w:tcBorders>
            <w:shd w:val="clear" w:color="auto" w:fill="auto"/>
            <w:noWrap/>
            <w:vAlign w:val="center"/>
            <w:hideMark/>
          </w:tcPr>
          <w:p w14:paraId="676EEF35" w14:textId="77777777" w:rsidR="00387142" w:rsidRPr="008B6A75" w:rsidRDefault="00387142" w:rsidP="00387142">
            <w:pPr>
              <w:jc w:val="center"/>
              <w:rPr>
                <w:bCs/>
                <w:sz w:val="20"/>
                <w:szCs w:val="20"/>
              </w:rPr>
            </w:pPr>
            <w:r w:rsidRPr="008B6A75">
              <w:rPr>
                <w:bCs/>
                <w:sz w:val="20"/>
                <w:szCs w:val="20"/>
              </w:rPr>
              <w:t>07.4.00.70359</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5DBB9D1"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9746089" w14:textId="77777777" w:rsidR="00387142" w:rsidRPr="008B6A75" w:rsidRDefault="00387142" w:rsidP="00387142">
            <w:pPr>
              <w:jc w:val="right"/>
              <w:rPr>
                <w:bCs/>
                <w:sz w:val="20"/>
                <w:szCs w:val="20"/>
              </w:rPr>
            </w:pPr>
            <w:r w:rsidRPr="008B6A75">
              <w:rPr>
                <w:bCs/>
                <w:sz w:val="20"/>
                <w:szCs w:val="20"/>
              </w:rPr>
              <w:t>2 658 700,00</w:t>
            </w:r>
          </w:p>
        </w:tc>
        <w:tc>
          <w:tcPr>
            <w:tcW w:w="992" w:type="dxa"/>
            <w:tcBorders>
              <w:top w:val="nil"/>
              <w:left w:val="single" w:sz="4" w:space="0" w:color="auto"/>
              <w:bottom w:val="single" w:sz="4" w:space="0" w:color="auto"/>
              <w:right w:val="nil"/>
            </w:tcBorders>
            <w:shd w:val="clear" w:color="auto" w:fill="auto"/>
            <w:vAlign w:val="center"/>
            <w:hideMark/>
          </w:tcPr>
          <w:p w14:paraId="00A87144" w14:textId="77777777" w:rsidR="00387142" w:rsidRPr="008B6A75" w:rsidRDefault="00387142" w:rsidP="00387142">
            <w:pPr>
              <w:jc w:val="right"/>
              <w:rPr>
                <w:bCs/>
                <w:sz w:val="20"/>
                <w:szCs w:val="20"/>
              </w:rPr>
            </w:pPr>
            <w:r w:rsidRPr="008B6A75">
              <w:rPr>
                <w:bCs/>
                <w:sz w:val="20"/>
                <w:szCs w:val="20"/>
              </w:rPr>
              <w:t>2 658 700,00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590DFD2B" w14:textId="77777777" w:rsidR="00387142" w:rsidRPr="008B6A75" w:rsidRDefault="00387142" w:rsidP="00387142">
            <w:pPr>
              <w:jc w:val="right"/>
              <w:rPr>
                <w:bCs/>
                <w:sz w:val="20"/>
                <w:szCs w:val="20"/>
              </w:rPr>
            </w:pPr>
            <w:r w:rsidRPr="008B6A75">
              <w:rPr>
                <w:bCs/>
                <w:sz w:val="20"/>
                <w:szCs w:val="20"/>
              </w:rPr>
              <w:t>2 658 700,00</w:t>
            </w:r>
          </w:p>
        </w:tc>
      </w:tr>
      <w:tr w:rsidR="00387142" w:rsidRPr="008B6A75" w14:paraId="4436D8C1" w14:textId="77777777" w:rsidTr="00387142">
        <w:trPr>
          <w:trHeight w:val="585"/>
        </w:trPr>
        <w:tc>
          <w:tcPr>
            <w:tcW w:w="3261" w:type="dxa"/>
            <w:tcBorders>
              <w:top w:val="nil"/>
              <w:left w:val="single" w:sz="4" w:space="0" w:color="auto"/>
              <w:bottom w:val="single" w:sz="4" w:space="0" w:color="auto"/>
              <w:right w:val="nil"/>
            </w:tcBorders>
            <w:shd w:val="clear" w:color="auto" w:fill="auto"/>
            <w:vAlign w:val="center"/>
            <w:hideMark/>
          </w:tcPr>
          <w:p w14:paraId="502A19F6" w14:textId="77777777" w:rsidR="00387142" w:rsidRPr="008B6A75" w:rsidRDefault="00387142" w:rsidP="00387142">
            <w:pPr>
              <w:rPr>
                <w:sz w:val="20"/>
                <w:szCs w:val="20"/>
              </w:rPr>
            </w:pPr>
            <w:r w:rsidRPr="008B6A75">
              <w:rPr>
                <w:sz w:val="20"/>
                <w:szCs w:val="20"/>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7A32CE27" w14:textId="77777777" w:rsidR="00387142" w:rsidRPr="008B6A75" w:rsidRDefault="00387142" w:rsidP="00387142">
            <w:pPr>
              <w:jc w:val="center"/>
              <w:rPr>
                <w:sz w:val="20"/>
                <w:szCs w:val="20"/>
              </w:rPr>
            </w:pPr>
            <w:r w:rsidRPr="008B6A75">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A1B9B91" w14:textId="77777777" w:rsidR="00387142" w:rsidRPr="008B6A75" w:rsidRDefault="00387142" w:rsidP="00387142">
            <w:pPr>
              <w:jc w:val="center"/>
              <w:rPr>
                <w:sz w:val="20"/>
                <w:szCs w:val="20"/>
              </w:rPr>
            </w:pPr>
            <w:r w:rsidRPr="008B6A75">
              <w:rPr>
                <w:sz w:val="20"/>
                <w:szCs w:val="20"/>
              </w:rPr>
              <w:t>07</w:t>
            </w:r>
          </w:p>
        </w:tc>
        <w:tc>
          <w:tcPr>
            <w:tcW w:w="1516" w:type="dxa"/>
            <w:tcBorders>
              <w:top w:val="nil"/>
              <w:left w:val="single" w:sz="4" w:space="0" w:color="auto"/>
              <w:bottom w:val="single" w:sz="4" w:space="0" w:color="auto"/>
              <w:right w:val="nil"/>
            </w:tcBorders>
            <w:shd w:val="clear" w:color="auto" w:fill="auto"/>
            <w:noWrap/>
            <w:vAlign w:val="center"/>
            <w:hideMark/>
          </w:tcPr>
          <w:p w14:paraId="602BC4A5" w14:textId="77777777" w:rsidR="00387142" w:rsidRPr="008B6A75" w:rsidRDefault="00387142" w:rsidP="00387142">
            <w:pPr>
              <w:jc w:val="center"/>
              <w:rPr>
                <w:sz w:val="20"/>
                <w:szCs w:val="20"/>
              </w:rPr>
            </w:pPr>
            <w:r w:rsidRPr="008B6A75">
              <w:rPr>
                <w:sz w:val="20"/>
                <w:szCs w:val="20"/>
              </w:rPr>
              <w:t>07.4.00.70359</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A23C5E9" w14:textId="77777777" w:rsidR="00387142" w:rsidRPr="008B6A75" w:rsidRDefault="00387142" w:rsidP="00387142">
            <w:pPr>
              <w:jc w:val="center"/>
              <w:rPr>
                <w:sz w:val="20"/>
                <w:szCs w:val="20"/>
              </w:rPr>
            </w:pPr>
            <w:r w:rsidRPr="008B6A75">
              <w:rPr>
                <w:sz w:val="20"/>
                <w:szCs w:val="20"/>
              </w:rPr>
              <w:t>200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96C3890" w14:textId="77777777" w:rsidR="00387142" w:rsidRPr="008B6A75" w:rsidRDefault="00387142" w:rsidP="00387142">
            <w:pPr>
              <w:jc w:val="right"/>
              <w:rPr>
                <w:sz w:val="20"/>
                <w:szCs w:val="20"/>
              </w:rPr>
            </w:pPr>
            <w:r w:rsidRPr="008B6A75">
              <w:rPr>
                <w:sz w:val="20"/>
                <w:szCs w:val="20"/>
              </w:rPr>
              <w:t>1 355 400,00</w:t>
            </w:r>
          </w:p>
        </w:tc>
        <w:tc>
          <w:tcPr>
            <w:tcW w:w="992" w:type="dxa"/>
            <w:tcBorders>
              <w:top w:val="nil"/>
              <w:left w:val="single" w:sz="4" w:space="0" w:color="auto"/>
              <w:bottom w:val="single" w:sz="4" w:space="0" w:color="auto"/>
              <w:right w:val="nil"/>
            </w:tcBorders>
            <w:shd w:val="clear" w:color="auto" w:fill="auto"/>
            <w:vAlign w:val="center"/>
            <w:hideMark/>
          </w:tcPr>
          <w:p w14:paraId="67C2B9A3" w14:textId="77777777" w:rsidR="00387142" w:rsidRPr="008B6A75" w:rsidRDefault="00387142" w:rsidP="00387142">
            <w:pPr>
              <w:jc w:val="right"/>
              <w:rPr>
                <w:sz w:val="20"/>
                <w:szCs w:val="20"/>
              </w:rPr>
            </w:pPr>
            <w:r w:rsidRPr="008B6A75">
              <w:rPr>
                <w:sz w:val="20"/>
                <w:szCs w:val="20"/>
              </w:rPr>
              <w:t>2 000 000,00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34588D70" w14:textId="77777777" w:rsidR="00387142" w:rsidRPr="008B6A75" w:rsidRDefault="00387142" w:rsidP="00387142">
            <w:pPr>
              <w:jc w:val="right"/>
              <w:rPr>
                <w:sz w:val="20"/>
                <w:szCs w:val="20"/>
              </w:rPr>
            </w:pPr>
            <w:r w:rsidRPr="008B6A75">
              <w:rPr>
                <w:sz w:val="20"/>
                <w:szCs w:val="20"/>
              </w:rPr>
              <w:t>2 000 000,00</w:t>
            </w:r>
          </w:p>
        </w:tc>
      </w:tr>
      <w:tr w:rsidR="00387142" w:rsidRPr="008B6A75" w14:paraId="03882002" w14:textId="77777777" w:rsidTr="00387142">
        <w:trPr>
          <w:trHeight w:val="870"/>
        </w:trPr>
        <w:tc>
          <w:tcPr>
            <w:tcW w:w="3261" w:type="dxa"/>
            <w:tcBorders>
              <w:top w:val="nil"/>
              <w:left w:val="single" w:sz="4" w:space="0" w:color="auto"/>
              <w:bottom w:val="single" w:sz="4" w:space="0" w:color="auto"/>
              <w:right w:val="nil"/>
            </w:tcBorders>
            <w:shd w:val="clear" w:color="auto" w:fill="auto"/>
            <w:vAlign w:val="center"/>
            <w:hideMark/>
          </w:tcPr>
          <w:p w14:paraId="07264081" w14:textId="77777777" w:rsidR="00387142" w:rsidRPr="008B6A75" w:rsidRDefault="00387142" w:rsidP="00387142">
            <w:pPr>
              <w:rPr>
                <w:sz w:val="20"/>
                <w:szCs w:val="20"/>
              </w:rPr>
            </w:pPr>
            <w:r w:rsidRPr="008B6A75">
              <w:rPr>
                <w:sz w:val="20"/>
                <w:szCs w:val="20"/>
              </w:rPr>
              <w:t xml:space="preserve">Иные закупки товаров, работ и услуг для обеспечения государственных (муниципальных) </w:t>
            </w:r>
            <w:r w:rsidRPr="008B6A75">
              <w:rPr>
                <w:sz w:val="20"/>
                <w:szCs w:val="20"/>
              </w:rPr>
              <w:lastRenderedPageBreak/>
              <w:t>нужд</w:t>
            </w:r>
          </w:p>
        </w:tc>
        <w:tc>
          <w:tcPr>
            <w:tcW w:w="720" w:type="dxa"/>
            <w:tcBorders>
              <w:top w:val="nil"/>
              <w:left w:val="single" w:sz="4" w:space="0" w:color="auto"/>
              <w:bottom w:val="single" w:sz="4" w:space="0" w:color="auto"/>
              <w:right w:val="nil"/>
            </w:tcBorders>
            <w:shd w:val="clear" w:color="auto" w:fill="auto"/>
            <w:noWrap/>
            <w:vAlign w:val="center"/>
            <w:hideMark/>
          </w:tcPr>
          <w:p w14:paraId="618546EA" w14:textId="77777777" w:rsidR="00387142" w:rsidRPr="008B6A75" w:rsidRDefault="00387142" w:rsidP="00387142">
            <w:pPr>
              <w:jc w:val="center"/>
              <w:rPr>
                <w:sz w:val="20"/>
                <w:szCs w:val="20"/>
              </w:rPr>
            </w:pPr>
            <w:r w:rsidRPr="008B6A75">
              <w:rPr>
                <w:sz w:val="20"/>
                <w:szCs w:val="20"/>
              </w:rPr>
              <w:lastRenderedPageBreak/>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0FE65BC" w14:textId="77777777" w:rsidR="00387142" w:rsidRPr="008B6A75" w:rsidRDefault="00387142" w:rsidP="00387142">
            <w:pPr>
              <w:jc w:val="center"/>
              <w:rPr>
                <w:sz w:val="20"/>
                <w:szCs w:val="20"/>
              </w:rPr>
            </w:pPr>
            <w:r w:rsidRPr="008B6A75">
              <w:rPr>
                <w:sz w:val="20"/>
                <w:szCs w:val="20"/>
              </w:rPr>
              <w:t>07</w:t>
            </w:r>
          </w:p>
        </w:tc>
        <w:tc>
          <w:tcPr>
            <w:tcW w:w="1516" w:type="dxa"/>
            <w:tcBorders>
              <w:top w:val="nil"/>
              <w:left w:val="single" w:sz="4" w:space="0" w:color="auto"/>
              <w:bottom w:val="single" w:sz="4" w:space="0" w:color="auto"/>
              <w:right w:val="nil"/>
            </w:tcBorders>
            <w:shd w:val="clear" w:color="auto" w:fill="auto"/>
            <w:noWrap/>
            <w:vAlign w:val="center"/>
            <w:hideMark/>
          </w:tcPr>
          <w:p w14:paraId="4A91B842" w14:textId="77777777" w:rsidR="00387142" w:rsidRPr="008B6A75" w:rsidRDefault="00387142" w:rsidP="00387142">
            <w:pPr>
              <w:jc w:val="center"/>
              <w:rPr>
                <w:sz w:val="20"/>
                <w:szCs w:val="20"/>
              </w:rPr>
            </w:pPr>
            <w:r w:rsidRPr="008B6A75">
              <w:rPr>
                <w:sz w:val="20"/>
                <w:szCs w:val="20"/>
              </w:rPr>
              <w:t>07.4.00.70359</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356A972" w14:textId="77777777" w:rsidR="00387142" w:rsidRPr="008B6A75" w:rsidRDefault="00387142" w:rsidP="00387142">
            <w:pPr>
              <w:jc w:val="center"/>
              <w:rPr>
                <w:sz w:val="20"/>
                <w:szCs w:val="20"/>
              </w:rPr>
            </w:pPr>
            <w:r w:rsidRPr="008B6A75">
              <w:rPr>
                <w:sz w:val="20"/>
                <w:szCs w:val="20"/>
              </w:rPr>
              <w:t>240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EAF62B7" w14:textId="77777777" w:rsidR="00387142" w:rsidRPr="008B6A75" w:rsidRDefault="00387142" w:rsidP="00387142">
            <w:pPr>
              <w:jc w:val="right"/>
              <w:rPr>
                <w:sz w:val="20"/>
                <w:szCs w:val="20"/>
              </w:rPr>
            </w:pPr>
            <w:r w:rsidRPr="008B6A75">
              <w:rPr>
                <w:sz w:val="20"/>
                <w:szCs w:val="20"/>
              </w:rPr>
              <w:t>1 355 400,00</w:t>
            </w:r>
          </w:p>
        </w:tc>
        <w:tc>
          <w:tcPr>
            <w:tcW w:w="992" w:type="dxa"/>
            <w:tcBorders>
              <w:top w:val="nil"/>
              <w:left w:val="single" w:sz="4" w:space="0" w:color="auto"/>
              <w:bottom w:val="single" w:sz="4" w:space="0" w:color="auto"/>
              <w:right w:val="nil"/>
            </w:tcBorders>
            <w:shd w:val="clear" w:color="auto" w:fill="auto"/>
            <w:vAlign w:val="center"/>
            <w:hideMark/>
          </w:tcPr>
          <w:p w14:paraId="696ADA53" w14:textId="77777777" w:rsidR="00387142" w:rsidRPr="008B6A75" w:rsidRDefault="00387142" w:rsidP="00387142">
            <w:pPr>
              <w:jc w:val="right"/>
              <w:rPr>
                <w:sz w:val="20"/>
                <w:szCs w:val="20"/>
              </w:rPr>
            </w:pPr>
            <w:r w:rsidRPr="008B6A75">
              <w:rPr>
                <w:sz w:val="20"/>
                <w:szCs w:val="20"/>
              </w:rPr>
              <w:t>2 000 000,00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434685CF" w14:textId="77777777" w:rsidR="00387142" w:rsidRPr="008B6A75" w:rsidRDefault="00387142" w:rsidP="00387142">
            <w:pPr>
              <w:jc w:val="right"/>
              <w:rPr>
                <w:sz w:val="20"/>
                <w:szCs w:val="20"/>
              </w:rPr>
            </w:pPr>
            <w:r w:rsidRPr="008B6A75">
              <w:rPr>
                <w:sz w:val="20"/>
                <w:szCs w:val="20"/>
              </w:rPr>
              <w:t>2 000 000,00</w:t>
            </w:r>
          </w:p>
        </w:tc>
      </w:tr>
      <w:tr w:rsidR="00387142" w:rsidRPr="008B6A75" w14:paraId="0F37121B" w14:textId="77777777" w:rsidTr="00387142">
        <w:trPr>
          <w:trHeight w:val="585"/>
        </w:trPr>
        <w:tc>
          <w:tcPr>
            <w:tcW w:w="3261" w:type="dxa"/>
            <w:tcBorders>
              <w:top w:val="nil"/>
              <w:left w:val="single" w:sz="4" w:space="0" w:color="auto"/>
              <w:bottom w:val="single" w:sz="4" w:space="0" w:color="auto"/>
              <w:right w:val="nil"/>
            </w:tcBorders>
            <w:shd w:val="clear" w:color="auto" w:fill="auto"/>
            <w:vAlign w:val="center"/>
            <w:hideMark/>
          </w:tcPr>
          <w:p w14:paraId="18409CFC" w14:textId="77777777" w:rsidR="00387142" w:rsidRPr="008B6A75" w:rsidRDefault="00387142" w:rsidP="00387142">
            <w:pPr>
              <w:rPr>
                <w:sz w:val="20"/>
                <w:szCs w:val="20"/>
              </w:rPr>
            </w:pPr>
            <w:r w:rsidRPr="008B6A75">
              <w:rPr>
                <w:sz w:val="20"/>
                <w:szCs w:val="20"/>
              </w:rPr>
              <w:t>Социальное обеспечение и иные выплаты населению</w:t>
            </w:r>
          </w:p>
        </w:tc>
        <w:tc>
          <w:tcPr>
            <w:tcW w:w="720" w:type="dxa"/>
            <w:tcBorders>
              <w:top w:val="nil"/>
              <w:left w:val="single" w:sz="4" w:space="0" w:color="auto"/>
              <w:bottom w:val="single" w:sz="4" w:space="0" w:color="auto"/>
              <w:right w:val="nil"/>
            </w:tcBorders>
            <w:shd w:val="clear" w:color="auto" w:fill="auto"/>
            <w:noWrap/>
            <w:vAlign w:val="center"/>
            <w:hideMark/>
          </w:tcPr>
          <w:p w14:paraId="01D32221" w14:textId="77777777" w:rsidR="00387142" w:rsidRPr="008B6A75" w:rsidRDefault="00387142" w:rsidP="00387142">
            <w:pPr>
              <w:jc w:val="center"/>
              <w:rPr>
                <w:sz w:val="20"/>
                <w:szCs w:val="20"/>
              </w:rPr>
            </w:pPr>
            <w:r w:rsidRPr="008B6A75">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BD0F068" w14:textId="77777777" w:rsidR="00387142" w:rsidRPr="008B6A75" w:rsidRDefault="00387142" w:rsidP="00387142">
            <w:pPr>
              <w:jc w:val="center"/>
              <w:rPr>
                <w:sz w:val="20"/>
                <w:szCs w:val="20"/>
              </w:rPr>
            </w:pPr>
            <w:r w:rsidRPr="008B6A75">
              <w:rPr>
                <w:sz w:val="20"/>
                <w:szCs w:val="20"/>
              </w:rPr>
              <w:t>07</w:t>
            </w:r>
          </w:p>
        </w:tc>
        <w:tc>
          <w:tcPr>
            <w:tcW w:w="1516" w:type="dxa"/>
            <w:tcBorders>
              <w:top w:val="nil"/>
              <w:left w:val="single" w:sz="4" w:space="0" w:color="auto"/>
              <w:bottom w:val="single" w:sz="4" w:space="0" w:color="auto"/>
              <w:right w:val="nil"/>
            </w:tcBorders>
            <w:shd w:val="clear" w:color="auto" w:fill="auto"/>
            <w:noWrap/>
            <w:vAlign w:val="center"/>
            <w:hideMark/>
          </w:tcPr>
          <w:p w14:paraId="39A383E6" w14:textId="77777777" w:rsidR="00387142" w:rsidRPr="008B6A75" w:rsidRDefault="00387142" w:rsidP="00387142">
            <w:pPr>
              <w:jc w:val="center"/>
              <w:rPr>
                <w:sz w:val="20"/>
                <w:szCs w:val="20"/>
              </w:rPr>
            </w:pPr>
            <w:r w:rsidRPr="008B6A75">
              <w:rPr>
                <w:sz w:val="20"/>
                <w:szCs w:val="20"/>
              </w:rPr>
              <w:t>07.4.00.70359</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107EF49" w14:textId="77777777" w:rsidR="00387142" w:rsidRPr="008B6A75" w:rsidRDefault="00387142" w:rsidP="00387142">
            <w:pPr>
              <w:jc w:val="center"/>
              <w:rPr>
                <w:sz w:val="20"/>
                <w:szCs w:val="20"/>
              </w:rPr>
            </w:pPr>
            <w:r w:rsidRPr="008B6A75">
              <w:rPr>
                <w:sz w:val="20"/>
                <w:szCs w:val="20"/>
              </w:rPr>
              <w:t>300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873B077" w14:textId="77777777" w:rsidR="00387142" w:rsidRPr="008B6A75" w:rsidRDefault="00387142" w:rsidP="00387142">
            <w:pPr>
              <w:jc w:val="right"/>
              <w:rPr>
                <w:sz w:val="20"/>
                <w:szCs w:val="20"/>
              </w:rPr>
            </w:pPr>
            <w:r w:rsidRPr="008B6A75">
              <w:rPr>
                <w:sz w:val="20"/>
                <w:szCs w:val="20"/>
              </w:rPr>
              <w:t>1 900,00</w:t>
            </w:r>
          </w:p>
        </w:tc>
        <w:tc>
          <w:tcPr>
            <w:tcW w:w="992" w:type="dxa"/>
            <w:tcBorders>
              <w:top w:val="nil"/>
              <w:left w:val="single" w:sz="4" w:space="0" w:color="auto"/>
              <w:bottom w:val="single" w:sz="4" w:space="0" w:color="auto"/>
              <w:right w:val="nil"/>
            </w:tcBorders>
            <w:shd w:val="clear" w:color="auto" w:fill="auto"/>
            <w:vAlign w:val="center"/>
            <w:hideMark/>
          </w:tcPr>
          <w:p w14:paraId="4945A31E" w14:textId="77777777" w:rsidR="00387142" w:rsidRPr="008B6A75" w:rsidRDefault="00387142" w:rsidP="00387142">
            <w:pPr>
              <w:jc w:val="right"/>
              <w:rPr>
                <w:sz w:val="20"/>
                <w:szCs w:val="20"/>
              </w:rPr>
            </w:pPr>
            <w:r w:rsidRPr="008B6A75">
              <w:rPr>
                <w:sz w:val="20"/>
                <w:szCs w:val="20"/>
              </w:rPr>
              <w:t>658 700,00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0F8F803B" w14:textId="77777777" w:rsidR="00387142" w:rsidRPr="008B6A75" w:rsidRDefault="00387142" w:rsidP="00387142">
            <w:pPr>
              <w:jc w:val="right"/>
              <w:rPr>
                <w:sz w:val="20"/>
                <w:szCs w:val="20"/>
              </w:rPr>
            </w:pPr>
            <w:r w:rsidRPr="008B6A75">
              <w:rPr>
                <w:sz w:val="20"/>
                <w:szCs w:val="20"/>
              </w:rPr>
              <w:t>658 700,00</w:t>
            </w:r>
          </w:p>
        </w:tc>
      </w:tr>
      <w:tr w:rsidR="00387142" w:rsidRPr="008B6A75" w14:paraId="44A8AE16" w14:textId="77777777" w:rsidTr="00387142">
        <w:trPr>
          <w:trHeight w:val="585"/>
        </w:trPr>
        <w:tc>
          <w:tcPr>
            <w:tcW w:w="3261" w:type="dxa"/>
            <w:tcBorders>
              <w:top w:val="nil"/>
              <w:left w:val="single" w:sz="4" w:space="0" w:color="auto"/>
              <w:bottom w:val="single" w:sz="4" w:space="0" w:color="auto"/>
              <w:right w:val="nil"/>
            </w:tcBorders>
            <w:shd w:val="clear" w:color="auto" w:fill="auto"/>
            <w:vAlign w:val="center"/>
            <w:hideMark/>
          </w:tcPr>
          <w:p w14:paraId="4EBE51E7" w14:textId="77777777" w:rsidR="00387142" w:rsidRPr="008B6A75" w:rsidRDefault="00387142" w:rsidP="00387142">
            <w:pPr>
              <w:rPr>
                <w:sz w:val="20"/>
                <w:szCs w:val="20"/>
              </w:rPr>
            </w:pPr>
            <w:r w:rsidRPr="008B6A75">
              <w:rPr>
                <w:sz w:val="20"/>
                <w:szCs w:val="20"/>
              </w:rPr>
              <w:t>Социальные выплаты гражданам, кроме публичных нормативных социальных выплат</w:t>
            </w:r>
          </w:p>
        </w:tc>
        <w:tc>
          <w:tcPr>
            <w:tcW w:w="720" w:type="dxa"/>
            <w:tcBorders>
              <w:top w:val="nil"/>
              <w:left w:val="single" w:sz="4" w:space="0" w:color="auto"/>
              <w:bottom w:val="single" w:sz="4" w:space="0" w:color="auto"/>
              <w:right w:val="nil"/>
            </w:tcBorders>
            <w:shd w:val="clear" w:color="auto" w:fill="auto"/>
            <w:noWrap/>
            <w:vAlign w:val="center"/>
            <w:hideMark/>
          </w:tcPr>
          <w:p w14:paraId="7658D851" w14:textId="77777777" w:rsidR="00387142" w:rsidRPr="008B6A75" w:rsidRDefault="00387142" w:rsidP="00387142">
            <w:pPr>
              <w:jc w:val="center"/>
              <w:rPr>
                <w:sz w:val="20"/>
                <w:szCs w:val="20"/>
              </w:rPr>
            </w:pPr>
            <w:r w:rsidRPr="008B6A75">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96F8D9E" w14:textId="77777777" w:rsidR="00387142" w:rsidRPr="008B6A75" w:rsidRDefault="00387142" w:rsidP="00387142">
            <w:pPr>
              <w:jc w:val="center"/>
              <w:rPr>
                <w:sz w:val="20"/>
                <w:szCs w:val="20"/>
              </w:rPr>
            </w:pPr>
            <w:r w:rsidRPr="008B6A75">
              <w:rPr>
                <w:sz w:val="20"/>
                <w:szCs w:val="20"/>
              </w:rPr>
              <w:t>07</w:t>
            </w:r>
          </w:p>
        </w:tc>
        <w:tc>
          <w:tcPr>
            <w:tcW w:w="1516" w:type="dxa"/>
            <w:tcBorders>
              <w:top w:val="nil"/>
              <w:left w:val="single" w:sz="4" w:space="0" w:color="auto"/>
              <w:bottom w:val="single" w:sz="4" w:space="0" w:color="auto"/>
              <w:right w:val="nil"/>
            </w:tcBorders>
            <w:shd w:val="clear" w:color="auto" w:fill="auto"/>
            <w:noWrap/>
            <w:vAlign w:val="center"/>
            <w:hideMark/>
          </w:tcPr>
          <w:p w14:paraId="5798B958" w14:textId="77777777" w:rsidR="00387142" w:rsidRPr="008B6A75" w:rsidRDefault="00387142" w:rsidP="00387142">
            <w:pPr>
              <w:jc w:val="center"/>
              <w:rPr>
                <w:sz w:val="20"/>
                <w:szCs w:val="20"/>
              </w:rPr>
            </w:pPr>
            <w:r w:rsidRPr="008B6A75">
              <w:rPr>
                <w:sz w:val="20"/>
                <w:szCs w:val="20"/>
              </w:rPr>
              <w:t>07.4.00.70359</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90B41BC" w14:textId="77777777" w:rsidR="00387142" w:rsidRPr="008B6A75" w:rsidRDefault="00387142" w:rsidP="00387142">
            <w:pPr>
              <w:jc w:val="center"/>
              <w:rPr>
                <w:sz w:val="20"/>
                <w:szCs w:val="20"/>
              </w:rPr>
            </w:pPr>
            <w:r w:rsidRPr="008B6A75">
              <w:rPr>
                <w:sz w:val="20"/>
                <w:szCs w:val="20"/>
              </w:rPr>
              <w:t>320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FE577D3" w14:textId="77777777" w:rsidR="00387142" w:rsidRPr="008B6A75" w:rsidRDefault="00387142" w:rsidP="00387142">
            <w:pPr>
              <w:jc w:val="right"/>
              <w:rPr>
                <w:sz w:val="20"/>
                <w:szCs w:val="20"/>
              </w:rPr>
            </w:pPr>
            <w:r w:rsidRPr="008B6A75">
              <w:rPr>
                <w:sz w:val="20"/>
                <w:szCs w:val="20"/>
              </w:rPr>
              <w:t>1 900,00</w:t>
            </w:r>
          </w:p>
        </w:tc>
        <w:tc>
          <w:tcPr>
            <w:tcW w:w="992" w:type="dxa"/>
            <w:tcBorders>
              <w:top w:val="nil"/>
              <w:left w:val="single" w:sz="4" w:space="0" w:color="auto"/>
              <w:bottom w:val="single" w:sz="4" w:space="0" w:color="auto"/>
              <w:right w:val="nil"/>
            </w:tcBorders>
            <w:shd w:val="clear" w:color="auto" w:fill="auto"/>
            <w:vAlign w:val="center"/>
            <w:hideMark/>
          </w:tcPr>
          <w:p w14:paraId="0132D224" w14:textId="77777777" w:rsidR="00387142" w:rsidRPr="008B6A75" w:rsidRDefault="00387142" w:rsidP="00387142">
            <w:pPr>
              <w:jc w:val="right"/>
              <w:rPr>
                <w:sz w:val="20"/>
                <w:szCs w:val="20"/>
              </w:rPr>
            </w:pPr>
            <w:r w:rsidRPr="008B6A75">
              <w:rPr>
                <w:sz w:val="20"/>
                <w:szCs w:val="20"/>
              </w:rPr>
              <w:t>658 700,00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15B4658E" w14:textId="77777777" w:rsidR="00387142" w:rsidRPr="008B6A75" w:rsidRDefault="00387142" w:rsidP="00387142">
            <w:pPr>
              <w:jc w:val="right"/>
              <w:rPr>
                <w:sz w:val="20"/>
                <w:szCs w:val="20"/>
              </w:rPr>
            </w:pPr>
            <w:r w:rsidRPr="008B6A75">
              <w:rPr>
                <w:sz w:val="20"/>
                <w:szCs w:val="20"/>
              </w:rPr>
              <w:t>658 700,00</w:t>
            </w:r>
          </w:p>
        </w:tc>
      </w:tr>
      <w:tr w:rsidR="00387142" w:rsidRPr="008B6A75" w14:paraId="3202985D" w14:textId="77777777" w:rsidTr="00387142">
        <w:trPr>
          <w:trHeight w:val="870"/>
        </w:trPr>
        <w:tc>
          <w:tcPr>
            <w:tcW w:w="3261" w:type="dxa"/>
            <w:tcBorders>
              <w:top w:val="nil"/>
              <w:left w:val="single" w:sz="4" w:space="0" w:color="auto"/>
              <w:bottom w:val="single" w:sz="4" w:space="0" w:color="auto"/>
              <w:right w:val="nil"/>
            </w:tcBorders>
            <w:shd w:val="clear" w:color="auto" w:fill="auto"/>
            <w:vAlign w:val="center"/>
            <w:hideMark/>
          </w:tcPr>
          <w:p w14:paraId="162B5B7F" w14:textId="77777777" w:rsidR="00387142" w:rsidRPr="008B6A75" w:rsidRDefault="00387142" w:rsidP="00387142">
            <w:pPr>
              <w:rPr>
                <w:sz w:val="20"/>
                <w:szCs w:val="20"/>
              </w:rPr>
            </w:pPr>
            <w:r w:rsidRPr="008B6A75">
              <w:rPr>
                <w:sz w:val="20"/>
                <w:szCs w:val="20"/>
              </w:rPr>
              <w:t>Предоставление субсидий бюджетным, автономным учреждениям и иным некоммерческим организациям</w:t>
            </w:r>
          </w:p>
        </w:tc>
        <w:tc>
          <w:tcPr>
            <w:tcW w:w="720" w:type="dxa"/>
            <w:tcBorders>
              <w:top w:val="nil"/>
              <w:left w:val="single" w:sz="4" w:space="0" w:color="auto"/>
              <w:bottom w:val="single" w:sz="4" w:space="0" w:color="auto"/>
              <w:right w:val="nil"/>
            </w:tcBorders>
            <w:shd w:val="clear" w:color="auto" w:fill="auto"/>
            <w:noWrap/>
            <w:vAlign w:val="center"/>
            <w:hideMark/>
          </w:tcPr>
          <w:p w14:paraId="1861DCAC" w14:textId="77777777" w:rsidR="00387142" w:rsidRPr="008B6A75" w:rsidRDefault="00387142" w:rsidP="00387142">
            <w:pPr>
              <w:jc w:val="center"/>
              <w:rPr>
                <w:sz w:val="20"/>
                <w:szCs w:val="20"/>
              </w:rPr>
            </w:pPr>
            <w:r w:rsidRPr="008B6A75">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D5B7B89" w14:textId="77777777" w:rsidR="00387142" w:rsidRPr="008B6A75" w:rsidRDefault="00387142" w:rsidP="00387142">
            <w:pPr>
              <w:jc w:val="center"/>
              <w:rPr>
                <w:sz w:val="20"/>
                <w:szCs w:val="20"/>
              </w:rPr>
            </w:pPr>
            <w:r w:rsidRPr="008B6A75">
              <w:rPr>
                <w:sz w:val="20"/>
                <w:szCs w:val="20"/>
              </w:rPr>
              <w:t>07</w:t>
            </w:r>
          </w:p>
        </w:tc>
        <w:tc>
          <w:tcPr>
            <w:tcW w:w="1516" w:type="dxa"/>
            <w:tcBorders>
              <w:top w:val="nil"/>
              <w:left w:val="single" w:sz="4" w:space="0" w:color="auto"/>
              <w:bottom w:val="single" w:sz="4" w:space="0" w:color="auto"/>
              <w:right w:val="nil"/>
            </w:tcBorders>
            <w:shd w:val="clear" w:color="auto" w:fill="auto"/>
            <w:noWrap/>
            <w:vAlign w:val="center"/>
            <w:hideMark/>
          </w:tcPr>
          <w:p w14:paraId="399F3ACB" w14:textId="77777777" w:rsidR="00387142" w:rsidRPr="008B6A75" w:rsidRDefault="00387142" w:rsidP="00387142">
            <w:pPr>
              <w:jc w:val="center"/>
              <w:rPr>
                <w:sz w:val="20"/>
                <w:szCs w:val="20"/>
              </w:rPr>
            </w:pPr>
            <w:r w:rsidRPr="008B6A75">
              <w:rPr>
                <w:sz w:val="20"/>
                <w:szCs w:val="20"/>
              </w:rPr>
              <w:t>07.4.00.70359</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C9F59AF" w14:textId="77777777" w:rsidR="00387142" w:rsidRPr="008B6A75" w:rsidRDefault="00387142" w:rsidP="00387142">
            <w:pPr>
              <w:jc w:val="center"/>
              <w:rPr>
                <w:sz w:val="20"/>
                <w:szCs w:val="20"/>
              </w:rPr>
            </w:pPr>
            <w:r w:rsidRPr="008B6A75">
              <w:rPr>
                <w:sz w:val="20"/>
                <w:szCs w:val="20"/>
              </w:rPr>
              <w:t>600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840638A" w14:textId="77777777" w:rsidR="00387142" w:rsidRPr="008B6A75" w:rsidRDefault="00387142" w:rsidP="00387142">
            <w:pPr>
              <w:jc w:val="right"/>
              <w:rPr>
                <w:sz w:val="20"/>
                <w:szCs w:val="20"/>
              </w:rPr>
            </w:pPr>
            <w:r w:rsidRPr="008B6A75">
              <w:rPr>
                <w:sz w:val="20"/>
                <w:szCs w:val="20"/>
              </w:rPr>
              <w:t>1 301 400,00</w:t>
            </w:r>
          </w:p>
        </w:tc>
        <w:tc>
          <w:tcPr>
            <w:tcW w:w="992" w:type="dxa"/>
            <w:tcBorders>
              <w:top w:val="nil"/>
              <w:left w:val="single" w:sz="4" w:space="0" w:color="auto"/>
              <w:bottom w:val="single" w:sz="4" w:space="0" w:color="auto"/>
              <w:right w:val="nil"/>
            </w:tcBorders>
            <w:shd w:val="clear" w:color="auto" w:fill="auto"/>
            <w:vAlign w:val="center"/>
            <w:hideMark/>
          </w:tcPr>
          <w:p w14:paraId="5937A496" w14:textId="77777777" w:rsidR="00387142" w:rsidRPr="008B6A75" w:rsidRDefault="00387142" w:rsidP="00387142">
            <w:pPr>
              <w:jc w:val="right"/>
              <w:rPr>
                <w:sz w:val="20"/>
                <w:szCs w:val="20"/>
              </w:rPr>
            </w:pPr>
            <w:r w:rsidRPr="008B6A75">
              <w:rPr>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46B1E748" w14:textId="77777777" w:rsidR="00387142" w:rsidRPr="008B6A75" w:rsidRDefault="00387142" w:rsidP="00387142">
            <w:pPr>
              <w:jc w:val="right"/>
              <w:rPr>
                <w:sz w:val="20"/>
                <w:szCs w:val="20"/>
              </w:rPr>
            </w:pPr>
            <w:r w:rsidRPr="008B6A75">
              <w:rPr>
                <w:sz w:val="20"/>
                <w:szCs w:val="20"/>
              </w:rPr>
              <w:t>0,00</w:t>
            </w:r>
          </w:p>
        </w:tc>
      </w:tr>
      <w:tr w:rsidR="00387142" w:rsidRPr="008B6A75" w14:paraId="41EE1E12" w14:textId="77777777" w:rsidTr="00387142">
        <w:trPr>
          <w:trHeight w:val="345"/>
        </w:trPr>
        <w:tc>
          <w:tcPr>
            <w:tcW w:w="3261" w:type="dxa"/>
            <w:tcBorders>
              <w:top w:val="nil"/>
              <w:left w:val="single" w:sz="4" w:space="0" w:color="auto"/>
              <w:bottom w:val="single" w:sz="4" w:space="0" w:color="auto"/>
              <w:right w:val="nil"/>
            </w:tcBorders>
            <w:shd w:val="clear" w:color="auto" w:fill="auto"/>
            <w:vAlign w:val="center"/>
            <w:hideMark/>
          </w:tcPr>
          <w:p w14:paraId="289BEE25" w14:textId="77777777" w:rsidR="00387142" w:rsidRPr="008B6A75" w:rsidRDefault="00387142" w:rsidP="00387142">
            <w:pPr>
              <w:rPr>
                <w:sz w:val="20"/>
                <w:szCs w:val="20"/>
              </w:rPr>
            </w:pPr>
            <w:r w:rsidRPr="008B6A75">
              <w:rPr>
                <w:sz w:val="20"/>
                <w:szCs w:val="20"/>
              </w:rPr>
              <w:t>Субсидии бюджетным учреждениям</w:t>
            </w:r>
          </w:p>
        </w:tc>
        <w:tc>
          <w:tcPr>
            <w:tcW w:w="720" w:type="dxa"/>
            <w:tcBorders>
              <w:top w:val="nil"/>
              <w:left w:val="single" w:sz="4" w:space="0" w:color="auto"/>
              <w:bottom w:val="single" w:sz="4" w:space="0" w:color="auto"/>
              <w:right w:val="nil"/>
            </w:tcBorders>
            <w:shd w:val="clear" w:color="auto" w:fill="auto"/>
            <w:noWrap/>
            <w:vAlign w:val="center"/>
            <w:hideMark/>
          </w:tcPr>
          <w:p w14:paraId="010BCA6D" w14:textId="77777777" w:rsidR="00387142" w:rsidRPr="008B6A75" w:rsidRDefault="00387142" w:rsidP="00387142">
            <w:pPr>
              <w:jc w:val="center"/>
              <w:rPr>
                <w:sz w:val="20"/>
                <w:szCs w:val="20"/>
              </w:rPr>
            </w:pPr>
            <w:r w:rsidRPr="008B6A75">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C6167ED" w14:textId="77777777" w:rsidR="00387142" w:rsidRPr="008B6A75" w:rsidRDefault="00387142" w:rsidP="00387142">
            <w:pPr>
              <w:jc w:val="center"/>
              <w:rPr>
                <w:sz w:val="20"/>
                <w:szCs w:val="20"/>
              </w:rPr>
            </w:pPr>
            <w:r w:rsidRPr="008B6A75">
              <w:rPr>
                <w:sz w:val="20"/>
                <w:szCs w:val="20"/>
              </w:rPr>
              <w:t>07</w:t>
            </w:r>
          </w:p>
        </w:tc>
        <w:tc>
          <w:tcPr>
            <w:tcW w:w="1516" w:type="dxa"/>
            <w:tcBorders>
              <w:top w:val="nil"/>
              <w:left w:val="single" w:sz="4" w:space="0" w:color="auto"/>
              <w:bottom w:val="single" w:sz="4" w:space="0" w:color="auto"/>
              <w:right w:val="nil"/>
            </w:tcBorders>
            <w:shd w:val="clear" w:color="auto" w:fill="auto"/>
            <w:noWrap/>
            <w:vAlign w:val="center"/>
            <w:hideMark/>
          </w:tcPr>
          <w:p w14:paraId="7FDCCF01" w14:textId="77777777" w:rsidR="00387142" w:rsidRPr="008B6A75" w:rsidRDefault="00387142" w:rsidP="00387142">
            <w:pPr>
              <w:jc w:val="center"/>
              <w:rPr>
                <w:sz w:val="20"/>
                <w:szCs w:val="20"/>
              </w:rPr>
            </w:pPr>
            <w:r w:rsidRPr="008B6A75">
              <w:rPr>
                <w:sz w:val="20"/>
                <w:szCs w:val="20"/>
              </w:rPr>
              <w:t>07.4.00.70359</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4FE51D9" w14:textId="77777777" w:rsidR="00387142" w:rsidRPr="008B6A75" w:rsidRDefault="00387142" w:rsidP="00387142">
            <w:pPr>
              <w:jc w:val="center"/>
              <w:rPr>
                <w:sz w:val="20"/>
                <w:szCs w:val="20"/>
              </w:rPr>
            </w:pPr>
            <w:r w:rsidRPr="008B6A75">
              <w:rPr>
                <w:sz w:val="20"/>
                <w:szCs w:val="20"/>
              </w:rPr>
              <w:t>610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B96CEAB" w14:textId="77777777" w:rsidR="00387142" w:rsidRPr="008B6A75" w:rsidRDefault="00387142" w:rsidP="00387142">
            <w:pPr>
              <w:jc w:val="right"/>
              <w:rPr>
                <w:sz w:val="20"/>
                <w:szCs w:val="20"/>
              </w:rPr>
            </w:pPr>
            <w:r w:rsidRPr="008B6A75">
              <w:rPr>
                <w:sz w:val="20"/>
                <w:szCs w:val="20"/>
              </w:rPr>
              <w:t>1 301 400,00</w:t>
            </w:r>
          </w:p>
        </w:tc>
        <w:tc>
          <w:tcPr>
            <w:tcW w:w="992" w:type="dxa"/>
            <w:tcBorders>
              <w:top w:val="nil"/>
              <w:left w:val="single" w:sz="4" w:space="0" w:color="auto"/>
              <w:bottom w:val="single" w:sz="4" w:space="0" w:color="auto"/>
              <w:right w:val="nil"/>
            </w:tcBorders>
            <w:shd w:val="clear" w:color="auto" w:fill="auto"/>
            <w:vAlign w:val="center"/>
            <w:hideMark/>
          </w:tcPr>
          <w:p w14:paraId="238351FC" w14:textId="77777777" w:rsidR="00387142" w:rsidRPr="008B6A75" w:rsidRDefault="00387142" w:rsidP="00387142">
            <w:pPr>
              <w:jc w:val="right"/>
              <w:rPr>
                <w:sz w:val="20"/>
                <w:szCs w:val="20"/>
              </w:rPr>
            </w:pPr>
            <w:r w:rsidRPr="008B6A75">
              <w:rPr>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7FECFE8B" w14:textId="77777777" w:rsidR="00387142" w:rsidRPr="008B6A75" w:rsidRDefault="00387142" w:rsidP="00387142">
            <w:pPr>
              <w:jc w:val="right"/>
              <w:rPr>
                <w:sz w:val="20"/>
                <w:szCs w:val="20"/>
              </w:rPr>
            </w:pPr>
            <w:r w:rsidRPr="008B6A75">
              <w:rPr>
                <w:sz w:val="20"/>
                <w:szCs w:val="20"/>
              </w:rPr>
              <w:t>0,00</w:t>
            </w:r>
          </w:p>
        </w:tc>
      </w:tr>
      <w:tr w:rsidR="00387142" w:rsidRPr="008B6A75" w14:paraId="13CF977A" w14:textId="77777777" w:rsidTr="00387142">
        <w:trPr>
          <w:trHeight w:val="1440"/>
        </w:trPr>
        <w:tc>
          <w:tcPr>
            <w:tcW w:w="3261" w:type="dxa"/>
            <w:tcBorders>
              <w:top w:val="nil"/>
              <w:left w:val="single" w:sz="4" w:space="0" w:color="auto"/>
              <w:bottom w:val="single" w:sz="4" w:space="0" w:color="auto"/>
              <w:right w:val="nil"/>
            </w:tcBorders>
            <w:shd w:val="clear" w:color="auto" w:fill="auto"/>
            <w:vAlign w:val="center"/>
            <w:hideMark/>
          </w:tcPr>
          <w:p w14:paraId="670470E1" w14:textId="77777777" w:rsidR="00387142" w:rsidRPr="008B6A75" w:rsidRDefault="00387142" w:rsidP="00387142">
            <w:pPr>
              <w:rPr>
                <w:bCs/>
                <w:sz w:val="20"/>
                <w:szCs w:val="20"/>
              </w:rPr>
            </w:pPr>
            <w:r w:rsidRPr="008B6A75">
              <w:rPr>
                <w:bCs/>
                <w:sz w:val="20"/>
                <w:szCs w:val="20"/>
              </w:rPr>
              <w:t xml:space="preserve">Реализация мероприятий по обеспечению сбалансированности местных </w:t>
            </w:r>
            <w:proofErr w:type="gramStart"/>
            <w:r w:rsidRPr="008B6A75">
              <w:rPr>
                <w:bCs/>
                <w:sz w:val="20"/>
                <w:szCs w:val="20"/>
              </w:rPr>
              <w:t>бюджетов  государственной</w:t>
            </w:r>
            <w:proofErr w:type="gramEnd"/>
            <w:r w:rsidRPr="008B6A75">
              <w:rPr>
                <w:bCs/>
                <w:sz w:val="20"/>
                <w:szCs w:val="20"/>
              </w:rPr>
              <w:t xml:space="preserve"> программы Новосибирской области "Управление  финансами в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14:paraId="306B477F" w14:textId="77777777" w:rsidR="00387142" w:rsidRPr="008B6A75" w:rsidRDefault="00387142" w:rsidP="00387142">
            <w:pPr>
              <w:jc w:val="center"/>
              <w:rPr>
                <w:bCs/>
                <w:sz w:val="20"/>
                <w:szCs w:val="20"/>
              </w:rPr>
            </w:pPr>
            <w:r w:rsidRPr="008B6A75">
              <w:rPr>
                <w:bCs/>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EA2B239" w14:textId="77777777" w:rsidR="00387142" w:rsidRPr="008B6A75" w:rsidRDefault="00387142" w:rsidP="00387142">
            <w:pPr>
              <w:jc w:val="center"/>
              <w:rPr>
                <w:bCs/>
                <w:sz w:val="20"/>
                <w:szCs w:val="20"/>
              </w:rPr>
            </w:pPr>
            <w:r w:rsidRPr="008B6A75">
              <w:rPr>
                <w:bCs/>
                <w:sz w:val="20"/>
                <w:szCs w:val="20"/>
              </w:rPr>
              <w:t>07</w:t>
            </w:r>
          </w:p>
        </w:tc>
        <w:tc>
          <w:tcPr>
            <w:tcW w:w="1516" w:type="dxa"/>
            <w:tcBorders>
              <w:top w:val="nil"/>
              <w:left w:val="single" w:sz="4" w:space="0" w:color="auto"/>
              <w:bottom w:val="single" w:sz="4" w:space="0" w:color="auto"/>
              <w:right w:val="nil"/>
            </w:tcBorders>
            <w:shd w:val="clear" w:color="auto" w:fill="auto"/>
            <w:noWrap/>
            <w:vAlign w:val="center"/>
            <w:hideMark/>
          </w:tcPr>
          <w:p w14:paraId="629BFB70" w14:textId="77777777" w:rsidR="00387142" w:rsidRPr="008B6A75" w:rsidRDefault="00387142" w:rsidP="00387142">
            <w:pPr>
              <w:jc w:val="center"/>
              <w:rPr>
                <w:bCs/>
                <w:sz w:val="20"/>
                <w:szCs w:val="20"/>
              </w:rPr>
            </w:pPr>
            <w:r w:rsidRPr="008B6A75">
              <w:rPr>
                <w:bCs/>
                <w:sz w:val="20"/>
                <w:szCs w:val="20"/>
              </w:rPr>
              <w:t>07.4.00.70510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509E383"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769DAAD" w14:textId="77777777" w:rsidR="00387142" w:rsidRPr="008B6A75" w:rsidRDefault="00387142" w:rsidP="00387142">
            <w:pPr>
              <w:jc w:val="right"/>
              <w:rPr>
                <w:bCs/>
                <w:sz w:val="20"/>
                <w:szCs w:val="20"/>
              </w:rPr>
            </w:pPr>
            <w:r w:rsidRPr="008B6A75">
              <w:rPr>
                <w:bCs/>
                <w:sz w:val="20"/>
                <w:szCs w:val="20"/>
              </w:rPr>
              <w:t>216 451,06</w:t>
            </w:r>
          </w:p>
        </w:tc>
        <w:tc>
          <w:tcPr>
            <w:tcW w:w="992" w:type="dxa"/>
            <w:tcBorders>
              <w:top w:val="nil"/>
              <w:left w:val="single" w:sz="4" w:space="0" w:color="auto"/>
              <w:bottom w:val="single" w:sz="4" w:space="0" w:color="auto"/>
              <w:right w:val="nil"/>
            </w:tcBorders>
            <w:shd w:val="clear" w:color="auto" w:fill="auto"/>
            <w:vAlign w:val="center"/>
            <w:hideMark/>
          </w:tcPr>
          <w:p w14:paraId="72F700A0" w14:textId="77777777" w:rsidR="00387142" w:rsidRPr="008B6A75" w:rsidRDefault="00387142" w:rsidP="00387142">
            <w:pPr>
              <w:jc w:val="right"/>
              <w:rPr>
                <w:bCs/>
                <w:sz w:val="20"/>
                <w:szCs w:val="20"/>
              </w:rPr>
            </w:pPr>
            <w:r w:rsidRPr="008B6A75">
              <w:rPr>
                <w:bCs/>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08DFFBE8" w14:textId="77777777" w:rsidR="00387142" w:rsidRPr="008B6A75" w:rsidRDefault="00387142" w:rsidP="00387142">
            <w:pPr>
              <w:jc w:val="right"/>
              <w:rPr>
                <w:bCs/>
                <w:sz w:val="20"/>
                <w:szCs w:val="20"/>
              </w:rPr>
            </w:pPr>
            <w:r w:rsidRPr="008B6A75">
              <w:rPr>
                <w:bCs/>
                <w:sz w:val="20"/>
                <w:szCs w:val="20"/>
              </w:rPr>
              <w:t>0,00</w:t>
            </w:r>
          </w:p>
        </w:tc>
      </w:tr>
      <w:tr w:rsidR="00387142" w:rsidRPr="008B6A75" w14:paraId="06D36092" w14:textId="77777777" w:rsidTr="00387142">
        <w:trPr>
          <w:trHeight w:val="870"/>
        </w:trPr>
        <w:tc>
          <w:tcPr>
            <w:tcW w:w="3261" w:type="dxa"/>
            <w:tcBorders>
              <w:top w:val="nil"/>
              <w:left w:val="single" w:sz="4" w:space="0" w:color="auto"/>
              <w:bottom w:val="single" w:sz="4" w:space="0" w:color="auto"/>
              <w:right w:val="nil"/>
            </w:tcBorders>
            <w:shd w:val="clear" w:color="auto" w:fill="auto"/>
            <w:vAlign w:val="center"/>
            <w:hideMark/>
          </w:tcPr>
          <w:p w14:paraId="1DF2CC89" w14:textId="77777777" w:rsidR="00387142" w:rsidRPr="008B6A75" w:rsidRDefault="00387142" w:rsidP="00387142">
            <w:pPr>
              <w:rPr>
                <w:sz w:val="20"/>
                <w:szCs w:val="20"/>
              </w:rPr>
            </w:pPr>
            <w:r w:rsidRPr="008B6A75">
              <w:rPr>
                <w:sz w:val="20"/>
                <w:szCs w:val="20"/>
              </w:rPr>
              <w:t>Предоставление субсидий бюджетным, автономным учреждениям и иным некоммерческим организациям</w:t>
            </w:r>
          </w:p>
        </w:tc>
        <w:tc>
          <w:tcPr>
            <w:tcW w:w="720" w:type="dxa"/>
            <w:tcBorders>
              <w:top w:val="nil"/>
              <w:left w:val="single" w:sz="4" w:space="0" w:color="auto"/>
              <w:bottom w:val="single" w:sz="4" w:space="0" w:color="auto"/>
              <w:right w:val="nil"/>
            </w:tcBorders>
            <w:shd w:val="clear" w:color="auto" w:fill="auto"/>
            <w:noWrap/>
            <w:vAlign w:val="center"/>
            <w:hideMark/>
          </w:tcPr>
          <w:p w14:paraId="069D5381" w14:textId="77777777" w:rsidR="00387142" w:rsidRPr="008B6A75" w:rsidRDefault="00387142" w:rsidP="00387142">
            <w:pPr>
              <w:jc w:val="center"/>
              <w:rPr>
                <w:sz w:val="20"/>
                <w:szCs w:val="20"/>
              </w:rPr>
            </w:pPr>
            <w:r w:rsidRPr="008B6A75">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C992406" w14:textId="77777777" w:rsidR="00387142" w:rsidRPr="008B6A75" w:rsidRDefault="00387142" w:rsidP="00387142">
            <w:pPr>
              <w:jc w:val="center"/>
              <w:rPr>
                <w:sz w:val="20"/>
                <w:szCs w:val="20"/>
              </w:rPr>
            </w:pPr>
            <w:r w:rsidRPr="008B6A75">
              <w:rPr>
                <w:sz w:val="20"/>
                <w:szCs w:val="20"/>
              </w:rPr>
              <w:t>07</w:t>
            </w:r>
          </w:p>
        </w:tc>
        <w:tc>
          <w:tcPr>
            <w:tcW w:w="1516" w:type="dxa"/>
            <w:tcBorders>
              <w:top w:val="nil"/>
              <w:left w:val="single" w:sz="4" w:space="0" w:color="auto"/>
              <w:bottom w:val="single" w:sz="4" w:space="0" w:color="auto"/>
              <w:right w:val="nil"/>
            </w:tcBorders>
            <w:shd w:val="clear" w:color="auto" w:fill="auto"/>
            <w:noWrap/>
            <w:vAlign w:val="center"/>
            <w:hideMark/>
          </w:tcPr>
          <w:p w14:paraId="7A07E1CD" w14:textId="77777777" w:rsidR="00387142" w:rsidRPr="008B6A75" w:rsidRDefault="00387142" w:rsidP="00387142">
            <w:pPr>
              <w:jc w:val="center"/>
              <w:rPr>
                <w:sz w:val="20"/>
                <w:szCs w:val="20"/>
              </w:rPr>
            </w:pPr>
            <w:r w:rsidRPr="008B6A75">
              <w:rPr>
                <w:sz w:val="20"/>
                <w:szCs w:val="20"/>
              </w:rPr>
              <w:t>07.4.00.70510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B6E7DB2" w14:textId="77777777" w:rsidR="00387142" w:rsidRPr="008B6A75" w:rsidRDefault="00387142" w:rsidP="00387142">
            <w:pPr>
              <w:jc w:val="center"/>
              <w:rPr>
                <w:sz w:val="20"/>
                <w:szCs w:val="20"/>
              </w:rPr>
            </w:pPr>
            <w:r w:rsidRPr="008B6A75">
              <w:rPr>
                <w:sz w:val="20"/>
                <w:szCs w:val="20"/>
              </w:rPr>
              <w:t>600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8D8D1D4" w14:textId="77777777" w:rsidR="00387142" w:rsidRPr="008B6A75" w:rsidRDefault="00387142" w:rsidP="00387142">
            <w:pPr>
              <w:jc w:val="right"/>
              <w:rPr>
                <w:sz w:val="20"/>
                <w:szCs w:val="20"/>
              </w:rPr>
            </w:pPr>
            <w:r w:rsidRPr="008B6A75">
              <w:rPr>
                <w:sz w:val="20"/>
                <w:szCs w:val="20"/>
              </w:rPr>
              <w:t>216 451,06</w:t>
            </w:r>
          </w:p>
        </w:tc>
        <w:tc>
          <w:tcPr>
            <w:tcW w:w="992" w:type="dxa"/>
            <w:tcBorders>
              <w:top w:val="nil"/>
              <w:left w:val="single" w:sz="4" w:space="0" w:color="auto"/>
              <w:bottom w:val="single" w:sz="4" w:space="0" w:color="auto"/>
              <w:right w:val="nil"/>
            </w:tcBorders>
            <w:shd w:val="clear" w:color="auto" w:fill="auto"/>
            <w:vAlign w:val="center"/>
            <w:hideMark/>
          </w:tcPr>
          <w:p w14:paraId="30F6ACC0" w14:textId="77777777" w:rsidR="00387142" w:rsidRPr="008B6A75" w:rsidRDefault="00387142" w:rsidP="00387142">
            <w:pPr>
              <w:jc w:val="right"/>
              <w:rPr>
                <w:sz w:val="20"/>
                <w:szCs w:val="20"/>
              </w:rPr>
            </w:pPr>
            <w:r w:rsidRPr="008B6A75">
              <w:rPr>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024E099C" w14:textId="77777777" w:rsidR="00387142" w:rsidRPr="008B6A75" w:rsidRDefault="00387142" w:rsidP="00387142">
            <w:pPr>
              <w:jc w:val="right"/>
              <w:rPr>
                <w:sz w:val="20"/>
                <w:szCs w:val="20"/>
              </w:rPr>
            </w:pPr>
            <w:r w:rsidRPr="008B6A75">
              <w:rPr>
                <w:sz w:val="20"/>
                <w:szCs w:val="20"/>
              </w:rPr>
              <w:t>0,00</w:t>
            </w:r>
          </w:p>
        </w:tc>
      </w:tr>
      <w:tr w:rsidR="00387142" w:rsidRPr="008B6A75" w14:paraId="1CB8E12C" w14:textId="77777777" w:rsidTr="00387142">
        <w:trPr>
          <w:trHeight w:val="345"/>
        </w:trPr>
        <w:tc>
          <w:tcPr>
            <w:tcW w:w="3261" w:type="dxa"/>
            <w:tcBorders>
              <w:top w:val="nil"/>
              <w:left w:val="single" w:sz="4" w:space="0" w:color="auto"/>
              <w:bottom w:val="single" w:sz="4" w:space="0" w:color="auto"/>
              <w:right w:val="nil"/>
            </w:tcBorders>
            <w:shd w:val="clear" w:color="auto" w:fill="auto"/>
            <w:vAlign w:val="center"/>
            <w:hideMark/>
          </w:tcPr>
          <w:p w14:paraId="762C6BAC" w14:textId="77777777" w:rsidR="00387142" w:rsidRPr="008B6A75" w:rsidRDefault="00387142" w:rsidP="00387142">
            <w:pPr>
              <w:rPr>
                <w:sz w:val="20"/>
                <w:szCs w:val="20"/>
              </w:rPr>
            </w:pPr>
            <w:r w:rsidRPr="008B6A75">
              <w:rPr>
                <w:sz w:val="20"/>
                <w:szCs w:val="20"/>
              </w:rPr>
              <w:t>Субсидии бюджетным учреждениям</w:t>
            </w:r>
          </w:p>
        </w:tc>
        <w:tc>
          <w:tcPr>
            <w:tcW w:w="720" w:type="dxa"/>
            <w:tcBorders>
              <w:top w:val="nil"/>
              <w:left w:val="single" w:sz="4" w:space="0" w:color="auto"/>
              <w:bottom w:val="single" w:sz="4" w:space="0" w:color="auto"/>
              <w:right w:val="nil"/>
            </w:tcBorders>
            <w:shd w:val="clear" w:color="auto" w:fill="auto"/>
            <w:noWrap/>
            <w:vAlign w:val="center"/>
            <w:hideMark/>
          </w:tcPr>
          <w:p w14:paraId="212BA3E2" w14:textId="77777777" w:rsidR="00387142" w:rsidRPr="008B6A75" w:rsidRDefault="00387142" w:rsidP="00387142">
            <w:pPr>
              <w:jc w:val="center"/>
              <w:rPr>
                <w:sz w:val="20"/>
                <w:szCs w:val="20"/>
              </w:rPr>
            </w:pPr>
            <w:r w:rsidRPr="008B6A75">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23AC9C7" w14:textId="77777777" w:rsidR="00387142" w:rsidRPr="008B6A75" w:rsidRDefault="00387142" w:rsidP="00387142">
            <w:pPr>
              <w:jc w:val="center"/>
              <w:rPr>
                <w:sz w:val="20"/>
                <w:szCs w:val="20"/>
              </w:rPr>
            </w:pPr>
            <w:r w:rsidRPr="008B6A75">
              <w:rPr>
                <w:sz w:val="20"/>
                <w:szCs w:val="20"/>
              </w:rPr>
              <w:t>07</w:t>
            </w:r>
          </w:p>
        </w:tc>
        <w:tc>
          <w:tcPr>
            <w:tcW w:w="1516" w:type="dxa"/>
            <w:tcBorders>
              <w:top w:val="nil"/>
              <w:left w:val="single" w:sz="4" w:space="0" w:color="auto"/>
              <w:bottom w:val="single" w:sz="4" w:space="0" w:color="auto"/>
              <w:right w:val="nil"/>
            </w:tcBorders>
            <w:shd w:val="clear" w:color="auto" w:fill="auto"/>
            <w:noWrap/>
            <w:vAlign w:val="center"/>
            <w:hideMark/>
          </w:tcPr>
          <w:p w14:paraId="445BA55E" w14:textId="77777777" w:rsidR="00387142" w:rsidRPr="008B6A75" w:rsidRDefault="00387142" w:rsidP="00387142">
            <w:pPr>
              <w:jc w:val="center"/>
              <w:rPr>
                <w:sz w:val="20"/>
                <w:szCs w:val="20"/>
              </w:rPr>
            </w:pPr>
            <w:r w:rsidRPr="008B6A75">
              <w:rPr>
                <w:sz w:val="20"/>
                <w:szCs w:val="20"/>
              </w:rPr>
              <w:t>07.4.00.70510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AE3EB55" w14:textId="77777777" w:rsidR="00387142" w:rsidRPr="008B6A75" w:rsidRDefault="00387142" w:rsidP="00387142">
            <w:pPr>
              <w:jc w:val="center"/>
              <w:rPr>
                <w:sz w:val="20"/>
                <w:szCs w:val="20"/>
              </w:rPr>
            </w:pPr>
            <w:r w:rsidRPr="008B6A75">
              <w:rPr>
                <w:sz w:val="20"/>
                <w:szCs w:val="20"/>
              </w:rPr>
              <w:t>610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4C7C9BC" w14:textId="77777777" w:rsidR="00387142" w:rsidRPr="008B6A75" w:rsidRDefault="00387142" w:rsidP="00387142">
            <w:pPr>
              <w:jc w:val="right"/>
              <w:rPr>
                <w:sz w:val="20"/>
                <w:szCs w:val="20"/>
              </w:rPr>
            </w:pPr>
            <w:r w:rsidRPr="008B6A75">
              <w:rPr>
                <w:sz w:val="20"/>
                <w:szCs w:val="20"/>
              </w:rPr>
              <w:t>216 451,06</w:t>
            </w:r>
          </w:p>
        </w:tc>
        <w:tc>
          <w:tcPr>
            <w:tcW w:w="992" w:type="dxa"/>
            <w:tcBorders>
              <w:top w:val="nil"/>
              <w:left w:val="single" w:sz="4" w:space="0" w:color="auto"/>
              <w:bottom w:val="single" w:sz="4" w:space="0" w:color="auto"/>
              <w:right w:val="nil"/>
            </w:tcBorders>
            <w:shd w:val="clear" w:color="auto" w:fill="auto"/>
            <w:vAlign w:val="center"/>
            <w:hideMark/>
          </w:tcPr>
          <w:p w14:paraId="5F93116E" w14:textId="77777777" w:rsidR="00387142" w:rsidRPr="008B6A75" w:rsidRDefault="00387142" w:rsidP="00387142">
            <w:pPr>
              <w:jc w:val="right"/>
              <w:rPr>
                <w:sz w:val="20"/>
                <w:szCs w:val="20"/>
              </w:rPr>
            </w:pPr>
            <w:r w:rsidRPr="008B6A75">
              <w:rPr>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28108486" w14:textId="77777777" w:rsidR="00387142" w:rsidRPr="008B6A75" w:rsidRDefault="00387142" w:rsidP="00387142">
            <w:pPr>
              <w:jc w:val="right"/>
              <w:rPr>
                <w:sz w:val="20"/>
                <w:szCs w:val="20"/>
              </w:rPr>
            </w:pPr>
            <w:r w:rsidRPr="008B6A75">
              <w:rPr>
                <w:sz w:val="20"/>
                <w:szCs w:val="20"/>
              </w:rPr>
              <w:t>0,00</w:t>
            </w:r>
          </w:p>
        </w:tc>
      </w:tr>
      <w:tr w:rsidR="00387142" w:rsidRPr="008B6A75" w14:paraId="2CFB4737" w14:textId="77777777" w:rsidTr="00387142">
        <w:trPr>
          <w:trHeight w:val="870"/>
        </w:trPr>
        <w:tc>
          <w:tcPr>
            <w:tcW w:w="3261" w:type="dxa"/>
            <w:tcBorders>
              <w:top w:val="nil"/>
              <w:left w:val="single" w:sz="4" w:space="0" w:color="auto"/>
              <w:bottom w:val="single" w:sz="4" w:space="0" w:color="auto"/>
              <w:right w:val="nil"/>
            </w:tcBorders>
            <w:shd w:val="clear" w:color="auto" w:fill="auto"/>
            <w:vAlign w:val="center"/>
            <w:hideMark/>
          </w:tcPr>
          <w:p w14:paraId="7BA31C50" w14:textId="77777777" w:rsidR="00387142" w:rsidRPr="008B6A75" w:rsidRDefault="00387142" w:rsidP="00387142">
            <w:pPr>
              <w:rPr>
                <w:bCs/>
                <w:sz w:val="20"/>
                <w:szCs w:val="20"/>
              </w:rPr>
            </w:pPr>
            <w:r w:rsidRPr="008B6A75">
              <w:rPr>
                <w:bCs/>
                <w:sz w:val="20"/>
                <w:szCs w:val="20"/>
              </w:rPr>
              <w:t>Реализация мероприятий подпрограммы "Организация отдыха и оздоровления детей и подростков"</w:t>
            </w:r>
          </w:p>
        </w:tc>
        <w:tc>
          <w:tcPr>
            <w:tcW w:w="720" w:type="dxa"/>
            <w:tcBorders>
              <w:top w:val="nil"/>
              <w:left w:val="single" w:sz="4" w:space="0" w:color="auto"/>
              <w:bottom w:val="single" w:sz="4" w:space="0" w:color="auto"/>
              <w:right w:val="nil"/>
            </w:tcBorders>
            <w:shd w:val="clear" w:color="auto" w:fill="auto"/>
            <w:noWrap/>
            <w:vAlign w:val="center"/>
            <w:hideMark/>
          </w:tcPr>
          <w:p w14:paraId="3B822645" w14:textId="77777777" w:rsidR="00387142" w:rsidRPr="008B6A75" w:rsidRDefault="00387142" w:rsidP="00387142">
            <w:pPr>
              <w:jc w:val="center"/>
              <w:rPr>
                <w:bCs/>
                <w:sz w:val="20"/>
                <w:szCs w:val="20"/>
              </w:rPr>
            </w:pPr>
            <w:r w:rsidRPr="008B6A75">
              <w:rPr>
                <w:bCs/>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B02ECA0" w14:textId="77777777" w:rsidR="00387142" w:rsidRPr="008B6A75" w:rsidRDefault="00387142" w:rsidP="00387142">
            <w:pPr>
              <w:jc w:val="center"/>
              <w:rPr>
                <w:bCs/>
                <w:sz w:val="20"/>
                <w:szCs w:val="20"/>
              </w:rPr>
            </w:pPr>
            <w:r w:rsidRPr="008B6A75">
              <w:rPr>
                <w:bCs/>
                <w:sz w:val="20"/>
                <w:szCs w:val="20"/>
              </w:rPr>
              <w:t>07</w:t>
            </w:r>
          </w:p>
        </w:tc>
        <w:tc>
          <w:tcPr>
            <w:tcW w:w="1516" w:type="dxa"/>
            <w:tcBorders>
              <w:top w:val="nil"/>
              <w:left w:val="single" w:sz="4" w:space="0" w:color="auto"/>
              <w:bottom w:val="single" w:sz="4" w:space="0" w:color="auto"/>
              <w:right w:val="nil"/>
            </w:tcBorders>
            <w:shd w:val="clear" w:color="auto" w:fill="auto"/>
            <w:noWrap/>
            <w:vAlign w:val="center"/>
            <w:hideMark/>
          </w:tcPr>
          <w:p w14:paraId="0A3C7B83" w14:textId="77777777" w:rsidR="00387142" w:rsidRPr="008B6A75" w:rsidRDefault="00387142" w:rsidP="00387142">
            <w:pPr>
              <w:jc w:val="center"/>
              <w:rPr>
                <w:bCs/>
                <w:sz w:val="20"/>
                <w:szCs w:val="20"/>
              </w:rPr>
            </w:pPr>
            <w:r w:rsidRPr="008B6A75">
              <w:rPr>
                <w:bCs/>
                <w:sz w:val="20"/>
                <w:szCs w:val="20"/>
              </w:rPr>
              <w:t>07.4.00.79500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D5B0BB5"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8DD04A8" w14:textId="77777777" w:rsidR="00387142" w:rsidRPr="008B6A75" w:rsidRDefault="00387142" w:rsidP="00387142">
            <w:pPr>
              <w:jc w:val="right"/>
              <w:rPr>
                <w:bCs/>
                <w:sz w:val="20"/>
                <w:szCs w:val="20"/>
              </w:rPr>
            </w:pPr>
            <w:r w:rsidRPr="008B6A75">
              <w:rPr>
                <w:bCs/>
                <w:sz w:val="20"/>
                <w:szCs w:val="20"/>
              </w:rPr>
              <w:t>1 832 642,80</w:t>
            </w:r>
          </w:p>
        </w:tc>
        <w:tc>
          <w:tcPr>
            <w:tcW w:w="992" w:type="dxa"/>
            <w:tcBorders>
              <w:top w:val="nil"/>
              <w:left w:val="single" w:sz="4" w:space="0" w:color="auto"/>
              <w:bottom w:val="single" w:sz="4" w:space="0" w:color="auto"/>
              <w:right w:val="nil"/>
            </w:tcBorders>
            <w:shd w:val="clear" w:color="auto" w:fill="auto"/>
            <w:vAlign w:val="center"/>
            <w:hideMark/>
          </w:tcPr>
          <w:p w14:paraId="12087C12" w14:textId="77777777" w:rsidR="00387142" w:rsidRPr="008B6A75" w:rsidRDefault="00387142" w:rsidP="00387142">
            <w:pPr>
              <w:jc w:val="right"/>
              <w:rPr>
                <w:bCs/>
                <w:sz w:val="20"/>
                <w:szCs w:val="20"/>
              </w:rPr>
            </w:pPr>
            <w:r w:rsidRPr="008B6A75">
              <w:rPr>
                <w:bCs/>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6A8C8C9D" w14:textId="77777777" w:rsidR="00387142" w:rsidRPr="008B6A75" w:rsidRDefault="00387142" w:rsidP="00387142">
            <w:pPr>
              <w:jc w:val="right"/>
              <w:rPr>
                <w:bCs/>
                <w:sz w:val="20"/>
                <w:szCs w:val="20"/>
              </w:rPr>
            </w:pPr>
            <w:r w:rsidRPr="008B6A75">
              <w:rPr>
                <w:bCs/>
                <w:sz w:val="20"/>
                <w:szCs w:val="20"/>
              </w:rPr>
              <w:t>0,00</w:t>
            </w:r>
          </w:p>
        </w:tc>
      </w:tr>
      <w:tr w:rsidR="00387142" w:rsidRPr="008B6A75" w14:paraId="51AD1F07" w14:textId="77777777" w:rsidTr="00387142">
        <w:trPr>
          <w:trHeight w:val="870"/>
        </w:trPr>
        <w:tc>
          <w:tcPr>
            <w:tcW w:w="3261" w:type="dxa"/>
            <w:tcBorders>
              <w:top w:val="nil"/>
              <w:left w:val="single" w:sz="4" w:space="0" w:color="auto"/>
              <w:bottom w:val="single" w:sz="4" w:space="0" w:color="auto"/>
              <w:right w:val="nil"/>
            </w:tcBorders>
            <w:shd w:val="clear" w:color="auto" w:fill="auto"/>
            <w:vAlign w:val="center"/>
            <w:hideMark/>
          </w:tcPr>
          <w:p w14:paraId="3EE7DD33" w14:textId="77777777" w:rsidR="00387142" w:rsidRPr="008B6A75" w:rsidRDefault="00387142" w:rsidP="00387142">
            <w:pPr>
              <w:rPr>
                <w:sz w:val="20"/>
                <w:szCs w:val="20"/>
              </w:rPr>
            </w:pPr>
            <w:r w:rsidRPr="008B6A75">
              <w:rPr>
                <w:sz w:val="20"/>
                <w:szCs w:val="20"/>
              </w:rPr>
              <w:t>Предоставление субсидий бюджетным, автономным учреждениям и иным некоммерческим организациям</w:t>
            </w:r>
          </w:p>
        </w:tc>
        <w:tc>
          <w:tcPr>
            <w:tcW w:w="720" w:type="dxa"/>
            <w:tcBorders>
              <w:top w:val="nil"/>
              <w:left w:val="single" w:sz="4" w:space="0" w:color="auto"/>
              <w:bottom w:val="single" w:sz="4" w:space="0" w:color="auto"/>
              <w:right w:val="nil"/>
            </w:tcBorders>
            <w:shd w:val="clear" w:color="auto" w:fill="auto"/>
            <w:noWrap/>
            <w:vAlign w:val="center"/>
            <w:hideMark/>
          </w:tcPr>
          <w:p w14:paraId="601DCDA9" w14:textId="77777777" w:rsidR="00387142" w:rsidRPr="008B6A75" w:rsidRDefault="00387142" w:rsidP="00387142">
            <w:pPr>
              <w:jc w:val="center"/>
              <w:rPr>
                <w:sz w:val="20"/>
                <w:szCs w:val="20"/>
              </w:rPr>
            </w:pPr>
            <w:r w:rsidRPr="008B6A75">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267A7F4" w14:textId="77777777" w:rsidR="00387142" w:rsidRPr="008B6A75" w:rsidRDefault="00387142" w:rsidP="00387142">
            <w:pPr>
              <w:jc w:val="center"/>
              <w:rPr>
                <w:sz w:val="20"/>
                <w:szCs w:val="20"/>
              </w:rPr>
            </w:pPr>
            <w:r w:rsidRPr="008B6A75">
              <w:rPr>
                <w:sz w:val="20"/>
                <w:szCs w:val="20"/>
              </w:rPr>
              <w:t>07</w:t>
            </w:r>
          </w:p>
        </w:tc>
        <w:tc>
          <w:tcPr>
            <w:tcW w:w="1516" w:type="dxa"/>
            <w:tcBorders>
              <w:top w:val="nil"/>
              <w:left w:val="single" w:sz="4" w:space="0" w:color="auto"/>
              <w:bottom w:val="single" w:sz="4" w:space="0" w:color="auto"/>
              <w:right w:val="nil"/>
            </w:tcBorders>
            <w:shd w:val="clear" w:color="auto" w:fill="auto"/>
            <w:noWrap/>
            <w:vAlign w:val="center"/>
            <w:hideMark/>
          </w:tcPr>
          <w:p w14:paraId="0DA33A7F" w14:textId="77777777" w:rsidR="00387142" w:rsidRPr="008B6A75" w:rsidRDefault="00387142" w:rsidP="00387142">
            <w:pPr>
              <w:jc w:val="center"/>
              <w:rPr>
                <w:sz w:val="20"/>
                <w:szCs w:val="20"/>
              </w:rPr>
            </w:pPr>
            <w:r w:rsidRPr="008B6A75">
              <w:rPr>
                <w:sz w:val="20"/>
                <w:szCs w:val="20"/>
              </w:rPr>
              <w:t>07.4.00.79500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A07E18B" w14:textId="77777777" w:rsidR="00387142" w:rsidRPr="008B6A75" w:rsidRDefault="00387142" w:rsidP="00387142">
            <w:pPr>
              <w:jc w:val="center"/>
              <w:rPr>
                <w:sz w:val="20"/>
                <w:szCs w:val="20"/>
              </w:rPr>
            </w:pPr>
            <w:r w:rsidRPr="008B6A75">
              <w:rPr>
                <w:sz w:val="20"/>
                <w:szCs w:val="20"/>
              </w:rPr>
              <w:t>600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B646F4F" w14:textId="77777777" w:rsidR="00387142" w:rsidRPr="008B6A75" w:rsidRDefault="00387142" w:rsidP="00387142">
            <w:pPr>
              <w:jc w:val="right"/>
              <w:rPr>
                <w:sz w:val="20"/>
                <w:szCs w:val="20"/>
              </w:rPr>
            </w:pPr>
            <w:r w:rsidRPr="008B6A75">
              <w:rPr>
                <w:sz w:val="20"/>
                <w:szCs w:val="20"/>
              </w:rPr>
              <w:t>1 832 642,80</w:t>
            </w:r>
          </w:p>
        </w:tc>
        <w:tc>
          <w:tcPr>
            <w:tcW w:w="992" w:type="dxa"/>
            <w:tcBorders>
              <w:top w:val="nil"/>
              <w:left w:val="single" w:sz="4" w:space="0" w:color="auto"/>
              <w:bottom w:val="single" w:sz="4" w:space="0" w:color="auto"/>
              <w:right w:val="nil"/>
            </w:tcBorders>
            <w:shd w:val="clear" w:color="auto" w:fill="auto"/>
            <w:vAlign w:val="center"/>
            <w:hideMark/>
          </w:tcPr>
          <w:p w14:paraId="470EED0F" w14:textId="77777777" w:rsidR="00387142" w:rsidRPr="008B6A75" w:rsidRDefault="00387142" w:rsidP="00387142">
            <w:pPr>
              <w:jc w:val="right"/>
              <w:rPr>
                <w:sz w:val="20"/>
                <w:szCs w:val="20"/>
              </w:rPr>
            </w:pPr>
            <w:r w:rsidRPr="008B6A75">
              <w:rPr>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22A93D9B" w14:textId="77777777" w:rsidR="00387142" w:rsidRPr="008B6A75" w:rsidRDefault="00387142" w:rsidP="00387142">
            <w:pPr>
              <w:jc w:val="right"/>
              <w:rPr>
                <w:sz w:val="20"/>
                <w:szCs w:val="20"/>
              </w:rPr>
            </w:pPr>
            <w:r w:rsidRPr="008B6A75">
              <w:rPr>
                <w:sz w:val="20"/>
                <w:szCs w:val="20"/>
              </w:rPr>
              <w:t>0,00</w:t>
            </w:r>
          </w:p>
        </w:tc>
      </w:tr>
      <w:tr w:rsidR="00387142" w:rsidRPr="008B6A75" w14:paraId="0B136946" w14:textId="77777777" w:rsidTr="00387142">
        <w:trPr>
          <w:trHeight w:val="345"/>
        </w:trPr>
        <w:tc>
          <w:tcPr>
            <w:tcW w:w="3261" w:type="dxa"/>
            <w:tcBorders>
              <w:top w:val="nil"/>
              <w:left w:val="single" w:sz="4" w:space="0" w:color="auto"/>
              <w:bottom w:val="single" w:sz="4" w:space="0" w:color="auto"/>
              <w:right w:val="nil"/>
            </w:tcBorders>
            <w:shd w:val="clear" w:color="auto" w:fill="auto"/>
            <w:vAlign w:val="center"/>
            <w:hideMark/>
          </w:tcPr>
          <w:p w14:paraId="798C2076" w14:textId="77777777" w:rsidR="00387142" w:rsidRPr="008B6A75" w:rsidRDefault="00387142" w:rsidP="00387142">
            <w:pPr>
              <w:rPr>
                <w:sz w:val="20"/>
                <w:szCs w:val="20"/>
              </w:rPr>
            </w:pPr>
            <w:r w:rsidRPr="008B6A75">
              <w:rPr>
                <w:sz w:val="20"/>
                <w:szCs w:val="20"/>
              </w:rPr>
              <w:t>Субсидии бюджетным учреждениям</w:t>
            </w:r>
          </w:p>
        </w:tc>
        <w:tc>
          <w:tcPr>
            <w:tcW w:w="720" w:type="dxa"/>
            <w:tcBorders>
              <w:top w:val="nil"/>
              <w:left w:val="single" w:sz="4" w:space="0" w:color="auto"/>
              <w:bottom w:val="single" w:sz="4" w:space="0" w:color="auto"/>
              <w:right w:val="nil"/>
            </w:tcBorders>
            <w:shd w:val="clear" w:color="auto" w:fill="auto"/>
            <w:noWrap/>
            <w:vAlign w:val="center"/>
            <w:hideMark/>
          </w:tcPr>
          <w:p w14:paraId="0FC655AB" w14:textId="77777777" w:rsidR="00387142" w:rsidRPr="008B6A75" w:rsidRDefault="00387142" w:rsidP="00387142">
            <w:pPr>
              <w:jc w:val="center"/>
              <w:rPr>
                <w:sz w:val="20"/>
                <w:szCs w:val="20"/>
              </w:rPr>
            </w:pPr>
            <w:r w:rsidRPr="008B6A75">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6D12BE8" w14:textId="77777777" w:rsidR="00387142" w:rsidRPr="008B6A75" w:rsidRDefault="00387142" w:rsidP="00387142">
            <w:pPr>
              <w:jc w:val="center"/>
              <w:rPr>
                <w:sz w:val="20"/>
                <w:szCs w:val="20"/>
              </w:rPr>
            </w:pPr>
            <w:r w:rsidRPr="008B6A75">
              <w:rPr>
                <w:sz w:val="20"/>
                <w:szCs w:val="20"/>
              </w:rPr>
              <w:t>07</w:t>
            </w:r>
          </w:p>
        </w:tc>
        <w:tc>
          <w:tcPr>
            <w:tcW w:w="1516" w:type="dxa"/>
            <w:tcBorders>
              <w:top w:val="nil"/>
              <w:left w:val="single" w:sz="4" w:space="0" w:color="auto"/>
              <w:bottom w:val="single" w:sz="4" w:space="0" w:color="auto"/>
              <w:right w:val="nil"/>
            </w:tcBorders>
            <w:shd w:val="clear" w:color="auto" w:fill="auto"/>
            <w:noWrap/>
            <w:vAlign w:val="center"/>
            <w:hideMark/>
          </w:tcPr>
          <w:p w14:paraId="618E3241" w14:textId="77777777" w:rsidR="00387142" w:rsidRPr="008B6A75" w:rsidRDefault="00387142" w:rsidP="00387142">
            <w:pPr>
              <w:jc w:val="center"/>
              <w:rPr>
                <w:sz w:val="20"/>
                <w:szCs w:val="20"/>
              </w:rPr>
            </w:pPr>
            <w:r w:rsidRPr="008B6A75">
              <w:rPr>
                <w:sz w:val="20"/>
                <w:szCs w:val="20"/>
              </w:rPr>
              <w:t>07.4.00.79500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72AD2B0" w14:textId="77777777" w:rsidR="00387142" w:rsidRPr="008B6A75" w:rsidRDefault="00387142" w:rsidP="00387142">
            <w:pPr>
              <w:jc w:val="center"/>
              <w:rPr>
                <w:sz w:val="20"/>
                <w:szCs w:val="20"/>
              </w:rPr>
            </w:pPr>
            <w:r w:rsidRPr="008B6A75">
              <w:rPr>
                <w:sz w:val="20"/>
                <w:szCs w:val="20"/>
              </w:rPr>
              <w:t>610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0E17312" w14:textId="77777777" w:rsidR="00387142" w:rsidRPr="008B6A75" w:rsidRDefault="00387142" w:rsidP="00387142">
            <w:pPr>
              <w:jc w:val="right"/>
              <w:rPr>
                <w:sz w:val="20"/>
                <w:szCs w:val="20"/>
              </w:rPr>
            </w:pPr>
            <w:r w:rsidRPr="008B6A75">
              <w:rPr>
                <w:sz w:val="20"/>
                <w:szCs w:val="20"/>
              </w:rPr>
              <w:t>1 832 642,80</w:t>
            </w:r>
          </w:p>
        </w:tc>
        <w:tc>
          <w:tcPr>
            <w:tcW w:w="992" w:type="dxa"/>
            <w:tcBorders>
              <w:top w:val="nil"/>
              <w:left w:val="single" w:sz="4" w:space="0" w:color="auto"/>
              <w:bottom w:val="single" w:sz="4" w:space="0" w:color="auto"/>
              <w:right w:val="nil"/>
            </w:tcBorders>
            <w:shd w:val="clear" w:color="auto" w:fill="auto"/>
            <w:vAlign w:val="center"/>
            <w:hideMark/>
          </w:tcPr>
          <w:p w14:paraId="540837CE" w14:textId="77777777" w:rsidR="00387142" w:rsidRPr="008B6A75" w:rsidRDefault="00387142" w:rsidP="00387142">
            <w:pPr>
              <w:jc w:val="right"/>
              <w:rPr>
                <w:sz w:val="20"/>
                <w:szCs w:val="20"/>
              </w:rPr>
            </w:pPr>
            <w:r w:rsidRPr="008B6A75">
              <w:rPr>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5A51B180" w14:textId="77777777" w:rsidR="00387142" w:rsidRPr="008B6A75" w:rsidRDefault="00387142" w:rsidP="00387142">
            <w:pPr>
              <w:jc w:val="right"/>
              <w:rPr>
                <w:sz w:val="20"/>
                <w:szCs w:val="20"/>
              </w:rPr>
            </w:pPr>
            <w:r w:rsidRPr="008B6A75">
              <w:rPr>
                <w:sz w:val="20"/>
                <w:szCs w:val="20"/>
              </w:rPr>
              <w:t>0,00</w:t>
            </w:r>
          </w:p>
        </w:tc>
      </w:tr>
      <w:tr w:rsidR="00387142" w:rsidRPr="008B6A75" w14:paraId="2A7881D3" w14:textId="77777777" w:rsidTr="00387142">
        <w:trPr>
          <w:trHeight w:val="1440"/>
        </w:trPr>
        <w:tc>
          <w:tcPr>
            <w:tcW w:w="3261" w:type="dxa"/>
            <w:tcBorders>
              <w:top w:val="nil"/>
              <w:left w:val="single" w:sz="4" w:space="0" w:color="auto"/>
              <w:bottom w:val="single" w:sz="4" w:space="0" w:color="auto"/>
              <w:right w:val="nil"/>
            </w:tcBorders>
            <w:shd w:val="clear" w:color="auto" w:fill="auto"/>
            <w:vAlign w:val="center"/>
            <w:hideMark/>
          </w:tcPr>
          <w:p w14:paraId="02BA59E1" w14:textId="77777777" w:rsidR="00387142" w:rsidRPr="008B6A75" w:rsidRDefault="00387142" w:rsidP="00387142">
            <w:pPr>
              <w:rPr>
                <w:bCs/>
                <w:sz w:val="20"/>
                <w:szCs w:val="20"/>
              </w:rPr>
            </w:pPr>
            <w:proofErr w:type="spellStart"/>
            <w:r w:rsidRPr="008B6A75">
              <w:rPr>
                <w:bCs/>
                <w:sz w:val="20"/>
                <w:szCs w:val="20"/>
              </w:rPr>
              <w:t>Софинансирование</w:t>
            </w:r>
            <w:proofErr w:type="spellEnd"/>
            <w:r w:rsidRPr="008B6A75">
              <w:rPr>
                <w:bCs/>
                <w:sz w:val="20"/>
                <w:szCs w:val="20"/>
              </w:rPr>
              <w:t xml:space="preserve"> местного бюджета на реализацию мероприятий по оздоровлению детей государственной программы Новосибирской области "Социальная поддержка в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14:paraId="4216D019" w14:textId="77777777" w:rsidR="00387142" w:rsidRPr="008B6A75" w:rsidRDefault="00387142" w:rsidP="00387142">
            <w:pPr>
              <w:jc w:val="center"/>
              <w:rPr>
                <w:bCs/>
                <w:sz w:val="20"/>
                <w:szCs w:val="20"/>
              </w:rPr>
            </w:pPr>
            <w:r w:rsidRPr="008B6A75">
              <w:rPr>
                <w:bCs/>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03A343E" w14:textId="77777777" w:rsidR="00387142" w:rsidRPr="008B6A75" w:rsidRDefault="00387142" w:rsidP="00387142">
            <w:pPr>
              <w:jc w:val="center"/>
              <w:rPr>
                <w:bCs/>
                <w:sz w:val="20"/>
                <w:szCs w:val="20"/>
              </w:rPr>
            </w:pPr>
            <w:r w:rsidRPr="008B6A75">
              <w:rPr>
                <w:bCs/>
                <w:sz w:val="20"/>
                <w:szCs w:val="20"/>
              </w:rPr>
              <w:t>07</w:t>
            </w:r>
          </w:p>
        </w:tc>
        <w:tc>
          <w:tcPr>
            <w:tcW w:w="1516" w:type="dxa"/>
            <w:tcBorders>
              <w:top w:val="nil"/>
              <w:left w:val="single" w:sz="4" w:space="0" w:color="auto"/>
              <w:bottom w:val="single" w:sz="4" w:space="0" w:color="auto"/>
              <w:right w:val="nil"/>
            </w:tcBorders>
            <w:shd w:val="clear" w:color="auto" w:fill="auto"/>
            <w:noWrap/>
            <w:vAlign w:val="center"/>
            <w:hideMark/>
          </w:tcPr>
          <w:p w14:paraId="53F2DAE1" w14:textId="77777777" w:rsidR="00387142" w:rsidRPr="008B6A75" w:rsidRDefault="00387142" w:rsidP="00387142">
            <w:pPr>
              <w:jc w:val="center"/>
              <w:rPr>
                <w:bCs/>
                <w:sz w:val="20"/>
                <w:szCs w:val="20"/>
              </w:rPr>
            </w:pPr>
            <w:r w:rsidRPr="008B6A75">
              <w:rPr>
                <w:bCs/>
                <w:sz w:val="20"/>
                <w:szCs w:val="20"/>
              </w:rPr>
              <w:t>07.4.00.S0359</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6C3D7F6"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240C1A6" w14:textId="77777777" w:rsidR="00387142" w:rsidRPr="008B6A75" w:rsidRDefault="00387142" w:rsidP="00387142">
            <w:pPr>
              <w:jc w:val="right"/>
              <w:rPr>
                <w:bCs/>
                <w:sz w:val="20"/>
                <w:szCs w:val="20"/>
              </w:rPr>
            </w:pPr>
            <w:r w:rsidRPr="008B6A75">
              <w:rPr>
                <w:bCs/>
                <w:sz w:val="20"/>
                <w:szCs w:val="20"/>
              </w:rPr>
              <w:t>2 582 102,00</w:t>
            </w:r>
          </w:p>
        </w:tc>
        <w:tc>
          <w:tcPr>
            <w:tcW w:w="992" w:type="dxa"/>
            <w:tcBorders>
              <w:top w:val="nil"/>
              <w:left w:val="single" w:sz="4" w:space="0" w:color="auto"/>
              <w:bottom w:val="single" w:sz="4" w:space="0" w:color="auto"/>
              <w:right w:val="nil"/>
            </w:tcBorders>
            <w:shd w:val="clear" w:color="auto" w:fill="auto"/>
            <w:vAlign w:val="center"/>
            <w:hideMark/>
          </w:tcPr>
          <w:p w14:paraId="4951C982" w14:textId="77777777" w:rsidR="00387142" w:rsidRPr="008B6A75" w:rsidRDefault="00387142" w:rsidP="00387142">
            <w:pPr>
              <w:jc w:val="right"/>
              <w:rPr>
                <w:bCs/>
                <w:sz w:val="20"/>
                <w:szCs w:val="20"/>
              </w:rPr>
            </w:pPr>
            <w:r w:rsidRPr="008B6A75">
              <w:rPr>
                <w:bCs/>
                <w:sz w:val="20"/>
                <w:szCs w:val="20"/>
              </w:rPr>
              <w:t>54 300,00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61AC4FA6" w14:textId="77777777" w:rsidR="00387142" w:rsidRPr="008B6A75" w:rsidRDefault="00387142" w:rsidP="00387142">
            <w:pPr>
              <w:jc w:val="right"/>
              <w:rPr>
                <w:bCs/>
                <w:sz w:val="20"/>
                <w:szCs w:val="20"/>
              </w:rPr>
            </w:pPr>
            <w:r w:rsidRPr="008B6A75">
              <w:rPr>
                <w:bCs/>
                <w:sz w:val="20"/>
                <w:szCs w:val="20"/>
              </w:rPr>
              <w:t>54 300,00</w:t>
            </w:r>
          </w:p>
        </w:tc>
      </w:tr>
      <w:tr w:rsidR="00387142" w:rsidRPr="008B6A75" w14:paraId="591DCB1C" w14:textId="77777777" w:rsidTr="00387142">
        <w:trPr>
          <w:trHeight w:val="585"/>
        </w:trPr>
        <w:tc>
          <w:tcPr>
            <w:tcW w:w="3261" w:type="dxa"/>
            <w:tcBorders>
              <w:top w:val="nil"/>
              <w:left w:val="single" w:sz="4" w:space="0" w:color="auto"/>
              <w:bottom w:val="single" w:sz="4" w:space="0" w:color="auto"/>
              <w:right w:val="nil"/>
            </w:tcBorders>
            <w:shd w:val="clear" w:color="auto" w:fill="auto"/>
            <w:vAlign w:val="center"/>
            <w:hideMark/>
          </w:tcPr>
          <w:p w14:paraId="6C19526B" w14:textId="77777777" w:rsidR="00387142" w:rsidRPr="008B6A75" w:rsidRDefault="00387142" w:rsidP="00387142">
            <w:pPr>
              <w:rPr>
                <w:sz w:val="20"/>
                <w:szCs w:val="20"/>
              </w:rPr>
            </w:pPr>
            <w:r w:rsidRPr="008B6A75">
              <w:rPr>
                <w:sz w:val="20"/>
                <w:szCs w:val="20"/>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227BB9C0" w14:textId="77777777" w:rsidR="00387142" w:rsidRPr="008B6A75" w:rsidRDefault="00387142" w:rsidP="00387142">
            <w:pPr>
              <w:jc w:val="center"/>
              <w:rPr>
                <w:sz w:val="20"/>
                <w:szCs w:val="20"/>
              </w:rPr>
            </w:pPr>
            <w:r w:rsidRPr="008B6A75">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F91BD5C" w14:textId="77777777" w:rsidR="00387142" w:rsidRPr="008B6A75" w:rsidRDefault="00387142" w:rsidP="00387142">
            <w:pPr>
              <w:jc w:val="center"/>
              <w:rPr>
                <w:sz w:val="20"/>
                <w:szCs w:val="20"/>
              </w:rPr>
            </w:pPr>
            <w:r w:rsidRPr="008B6A75">
              <w:rPr>
                <w:sz w:val="20"/>
                <w:szCs w:val="20"/>
              </w:rPr>
              <w:t>07</w:t>
            </w:r>
          </w:p>
        </w:tc>
        <w:tc>
          <w:tcPr>
            <w:tcW w:w="1516" w:type="dxa"/>
            <w:tcBorders>
              <w:top w:val="nil"/>
              <w:left w:val="single" w:sz="4" w:space="0" w:color="auto"/>
              <w:bottom w:val="single" w:sz="4" w:space="0" w:color="auto"/>
              <w:right w:val="nil"/>
            </w:tcBorders>
            <w:shd w:val="clear" w:color="auto" w:fill="auto"/>
            <w:noWrap/>
            <w:vAlign w:val="center"/>
            <w:hideMark/>
          </w:tcPr>
          <w:p w14:paraId="151A5E9F" w14:textId="77777777" w:rsidR="00387142" w:rsidRPr="008B6A75" w:rsidRDefault="00387142" w:rsidP="00387142">
            <w:pPr>
              <w:jc w:val="center"/>
              <w:rPr>
                <w:sz w:val="20"/>
                <w:szCs w:val="20"/>
              </w:rPr>
            </w:pPr>
            <w:r w:rsidRPr="008B6A75">
              <w:rPr>
                <w:sz w:val="20"/>
                <w:szCs w:val="20"/>
              </w:rPr>
              <w:t>07.4.00.S0359</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FACB854" w14:textId="77777777" w:rsidR="00387142" w:rsidRPr="008B6A75" w:rsidRDefault="00387142" w:rsidP="00387142">
            <w:pPr>
              <w:jc w:val="center"/>
              <w:rPr>
                <w:sz w:val="20"/>
                <w:szCs w:val="20"/>
              </w:rPr>
            </w:pPr>
            <w:r w:rsidRPr="008B6A75">
              <w:rPr>
                <w:sz w:val="20"/>
                <w:szCs w:val="20"/>
              </w:rPr>
              <w:t>200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0283BB2" w14:textId="77777777" w:rsidR="00387142" w:rsidRPr="008B6A75" w:rsidRDefault="00387142" w:rsidP="00387142">
            <w:pPr>
              <w:jc w:val="right"/>
              <w:rPr>
                <w:sz w:val="20"/>
                <w:szCs w:val="20"/>
              </w:rPr>
            </w:pPr>
            <w:r w:rsidRPr="008B6A75">
              <w:rPr>
                <w:sz w:val="20"/>
                <w:szCs w:val="20"/>
              </w:rPr>
              <w:t>580 500,00</w:t>
            </w:r>
          </w:p>
        </w:tc>
        <w:tc>
          <w:tcPr>
            <w:tcW w:w="992" w:type="dxa"/>
            <w:tcBorders>
              <w:top w:val="nil"/>
              <w:left w:val="single" w:sz="4" w:space="0" w:color="auto"/>
              <w:bottom w:val="single" w:sz="4" w:space="0" w:color="auto"/>
              <w:right w:val="nil"/>
            </w:tcBorders>
            <w:shd w:val="clear" w:color="auto" w:fill="auto"/>
            <w:vAlign w:val="center"/>
            <w:hideMark/>
          </w:tcPr>
          <w:p w14:paraId="7286D295" w14:textId="77777777" w:rsidR="00387142" w:rsidRPr="008B6A75" w:rsidRDefault="00387142" w:rsidP="00387142">
            <w:pPr>
              <w:jc w:val="right"/>
              <w:rPr>
                <w:sz w:val="20"/>
                <w:szCs w:val="20"/>
              </w:rPr>
            </w:pPr>
            <w:r w:rsidRPr="008B6A75">
              <w:rPr>
                <w:sz w:val="20"/>
                <w:szCs w:val="20"/>
              </w:rPr>
              <w:t>54 300,00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3949A3CD" w14:textId="77777777" w:rsidR="00387142" w:rsidRPr="008B6A75" w:rsidRDefault="00387142" w:rsidP="00387142">
            <w:pPr>
              <w:jc w:val="right"/>
              <w:rPr>
                <w:sz w:val="20"/>
                <w:szCs w:val="20"/>
              </w:rPr>
            </w:pPr>
            <w:r w:rsidRPr="008B6A75">
              <w:rPr>
                <w:sz w:val="20"/>
                <w:szCs w:val="20"/>
              </w:rPr>
              <w:t>54 300,00</w:t>
            </w:r>
          </w:p>
        </w:tc>
      </w:tr>
      <w:tr w:rsidR="00387142" w:rsidRPr="008B6A75" w14:paraId="303C4C26" w14:textId="77777777" w:rsidTr="00387142">
        <w:trPr>
          <w:trHeight w:val="870"/>
        </w:trPr>
        <w:tc>
          <w:tcPr>
            <w:tcW w:w="3261" w:type="dxa"/>
            <w:tcBorders>
              <w:top w:val="nil"/>
              <w:left w:val="single" w:sz="4" w:space="0" w:color="auto"/>
              <w:bottom w:val="single" w:sz="4" w:space="0" w:color="auto"/>
              <w:right w:val="nil"/>
            </w:tcBorders>
            <w:shd w:val="clear" w:color="auto" w:fill="auto"/>
            <w:vAlign w:val="center"/>
            <w:hideMark/>
          </w:tcPr>
          <w:p w14:paraId="6705D0A1" w14:textId="77777777" w:rsidR="00387142" w:rsidRPr="008B6A75" w:rsidRDefault="00387142" w:rsidP="00387142">
            <w:pPr>
              <w:rPr>
                <w:sz w:val="20"/>
                <w:szCs w:val="20"/>
              </w:rPr>
            </w:pPr>
            <w:r w:rsidRPr="008B6A75">
              <w:rPr>
                <w:sz w:val="20"/>
                <w:szCs w:val="20"/>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65219A0F" w14:textId="77777777" w:rsidR="00387142" w:rsidRPr="008B6A75" w:rsidRDefault="00387142" w:rsidP="00387142">
            <w:pPr>
              <w:jc w:val="center"/>
              <w:rPr>
                <w:sz w:val="20"/>
                <w:szCs w:val="20"/>
              </w:rPr>
            </w:pPr>
            <w:r w:rsidRPr="008B6A75">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5202F07" w14:textId="77777777" w:rsidR="00387142" w:rsidRPr="008B6A75" w:rsidRDefault="00387142" w:rsidP="00387142">
            <w:pPr>
              <w:jc w:val="center"/>
              <w:rPr>
                <w:sz w:val="20"/>
                <w:szCs w:val="20"/>
              </w:rPr>
            </w:pPr>
            <w:r w:rsidRPr="008B6A75">
              <w:rPr>
                <w:sz w:val="20"/>
                <w:szCs w:val="20"/>
              </w:rPr>
              <w:t>07</w:t>
            </w:r>
          </w:p>
        </w:tc>
        <w:tc>
          <w:tcPr>
            <w:tcW w:w="1516" w:type="dxa"/>
            <w:tcBorders>
              <w:top w:val="nil"/>
              <w:left w:val="single" w:sz="4" w:space="0" w:color="auto"/>
              <w:bottom w:val="single" w:sz="4" w:space="0" w:color="auto"/>
              <w:right w:val="nil"/>
            </w:tcBorders>
            <w:shd w:val="clear" w:color="auto" w:fill="auto"/>
            <w:noWrap/>
            <w:vAlign w:val="center"/>
            <w:hideMark/>
          </w:tcPr>
          <w:p w14:paraId="4EB909DE" w14:textId="77777777" w:rsidR="00387142" w:rsidRPr="008B6A75" w:rsidRDefault="00387142" w:rsidP="00387142">
            <w:pPr>
              <w:jc w:val="center"/>
              <w:rPr>
                <w:sz w:val="20"/>
                <w:szCs w:val="20"/>
              </w:rPr>
            </w:pPr>
            <w:r w:rsidRPr="008B6A75">
              <w:rPr>
                <w:sz w:val="20"/>
                <w:szCs w:val="20"/>
              </w:rPr>
              <w:t>07.4.00.S0359</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BBC59D3" w14:textId="77777777" w:rsidR="00387142" w:rsidRPr="008B6A75" w:rsidRDefault="00387142" w:rsidP="00387142">
            <w:pPr>
              <w:jc w:val="center"/>
              <w:rPr>
                <w:sz w:val="20"/>
                <w:szCs w:val="20"/>
              </w:rPr>
            </w:pPr>
            <w:r w:rsidRPr="008B6A75">
              <w:rPr>
                <w:sz w:val="20"/>
                <w:szCs w:val="20"/>
              </w:rPr>
              <w:t>240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3CEB4C3" w14:textId="77777777" w:rsidR="00387142" w:rsidRPr="008B6A75" w:rsidRDefault="00387142" w:rsidP="00387142">
            <w:pPr>
              <w:jc w:val="right"/>
              <w:rPr>
                <w:sz w:val="20"/>
                <w:szCs w:val="20"/>
              </w:rPr>
            </w:pPr>
            <w:r w:rsidRPr="008B6A75">
              <w:rPr>
                <w:sz w:val="20"/>
                <w:szCs w:val="20"/>
              </w:rPr>
              <w:t>580 500,00</w:t>
            </w:r>
          </w:p>
        </w:tc>
        <w:tc>
          <w:tcPr>
            <w:tcW w:w="992" w:type="dxa"/>
            <w:tcBorders>
              <w:top w:val="nil"/>
              <w:left w:val="single" w:sz="4" w:space="0" w:color="auto"/>
              <w:bottom w:val="single" w:sz="4" w:space="0" w:color="auto"/>
              <w:right w:val="nil"/>
            </w:tcBorders>
            <w:shd w:val="clear" w:color="auto" w:fill="auto"/>
            <w:vAlign w:val="center"/>
            <w:hideMark/>
          </w:tcPr>
          <w:p w14:paraId="5BF9971F" w14:textId="77777777" w:rsidR="00387142" w:rsidRPr="008B6A75" w:rsidRDefault="00387142" w:rsidP="00387142">
            <w:pPr>
              <w:jc w:val="right"/>
              <w:rPr>
                <w:sz w:val="20"/>
                <w:szCs w:val="20"/>
              </w:rPr>
            </w:pPr>
            <w:r w:rsidRPr="008B6A75">
              <w:rPr>
                <w:sz w:val="20"/>
                <w:szCs w:val="20"/>
              </w:rPr>
              <w:t>54 300,00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11276AE3" w14:textId="77777777" w:rsidR="00387142" w:rsidRPr="008B6A75" w:rsidRDefault="00387142" w:rsidP="00387142">
            <w:pPr>
              <w:jc w:val="right"/>
              <w:rPr>
                <w:sz w:val="20"/>
                <w:szCs w:val="20"/>
              </w:rPr>
            </w:pPr>
            <w:r w:rsidRPr="008B6A75">
              <w:rPr>
                <w:sz w:val="20"/>
                <w:szCs w:val="20"/>
              </w:rPr>
              <w:t>54 300,00</w:t>
            </w:r>
          </w:p>
        </w:tc>
      </w:tr>
      <w:tr w:rsidR="00387142" w:rsidRPr="008B6A75" w14:paraId="22ABCEE1" w14:textId="77777777" w:rsidTr="00387142">
        <w:trPr>
          <w:trHeight w:val="585"/>
        </w:trPr>
        <w:tc>
          <w:tcPr>
            <w:tcW w:w="3261" w:type="dxa"/>
            <w:tcBorders>
              <w:top w:val="nil"/>
              <w:left w:val="single" w:sz="4" w:space="0" w:color="auto"/>
              <w:bottom w:val="single" w:sz="4" w:space="0" w:color="auto"/>
              <w:right w:val="nil"/>
            </w:tcBorders>
            <w:shd w:val="clear" w:color="auto" w:fill="auto"/>
            <w:vAlign w:val="center"/>
            <w:hideMark/>
          </w:tcPr>
          <w:p w14:paraId="144224CD" w14:textId="77777777" w:rsidR="00387142" w:rsidRPr="008B6A75" w:rsidRDefault="00387142" w:rsidP="00387142">
            <w:pPr>
              <w:rPr>
                <w:sz w:val="20"/>
                <w:szCs w:val="20"/>
              </w:rPr>
            </w:pPr>
            <w:r w:rsidRPr="008B6A75">
              <w:rPr>
                <w:sz w:val="20"/>
                <w:szCs w:val="20"/>
              </w:rPr>
              <w:t>Социальное обеспечение и иные выплаты населению</w:t>
            </w:r>
          </w:p>
        </w:tc>
        <w:tc>
          <w:tcPr>
            <w:tcW w:w="720" w:type="dxa"/>
            <w:tcBorders>
              <w:top w:val="nil"/>
              <w:left w:val="single" w:sz="4" w:space="0" w:color="auto"/>
              <w:bottom w:val="single" w:sz="4" w:space="0" w:color="auto"/>
              <w:right w:val="nil"/>
            </w:tcBorders>
            <w:shd w:val="clear" w:color="auto" w:fill="auto"/>
            <w:noWrap/>
            <w:vAlign w:val="center"/>
            <w:hideMark/>
          </w:tcPr>
          <w:p w14:paraId="488A7B87" w14:textId="77777777" w:rsidR="00387142" w:rsidRPr="008B6A75" w:rsidRDefault="00387142" w:rsidP="00387142">
            <w:pPr>
              <w:jc w:val="center"/>
              <w:rPr>
                <w:sz w:val="20"/>
                <w:szCs w:val="20"/>
              </w:rPr>
            </w:pPr>
            <w:r w:rsidRPr="008B6A75">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3B1C695" w14:textId="77777777" w:rsidR="00387142" w:rsidRPr="008B6A75" w:rsidRDefault="00387142" w:rsidP="00387142">
            <w:pPr>
              <w:jc w:val="center"/>
              <w:rPr>
                <w:sz w:val="20"/>
                <w:szCs w:val="20"/>
              </w:rPr>
            </w:pPr>
            <w:r w:rsidRPr="008B6A75">
              <w:rPr>
                <w:sz w:val="20"/>
                <w:szCs w:val="20"/>
              </w:rPr>
              <w:t>07</w:t>
            </w:r>
          </w:p>
        </w:tc>
        <w:tc>
          <w:tcPr>
            <w:tcW w:w="1516" w:type="dxa"/>
            <w:tcBorders>
              <w:top w:val="nil"/>
              <w:left w:val="single" w:sz="4" w:space="0" w:color="auto"/>
              <w:bottom w:val="single" w:sz="4" w:space="0" w:color="auto"/>
              <w:right w:val="nil"/>
            </w:tcBorders>
            <w:shd w:val="clear" w:color="auto" w:fill="auto"/>
            <w:noWrap/>
            <w:vAlign w:val="center"/>
            <w:hideMark/>
          </w:tcPr>
          <w:p w14:paraId="561C021E" w14:textId="77777777" w:rsidR="00387142" w:rsidRPr="008B6A75" w:rsidRDefault="00387142" w:rsidP="00387142">
            <w:pPr>
              <w:jc w:val="center"/>
              <w:rPr>
                <w:sz w:val="20"/>
                <w:szCs w:val="20"/>
              </w:rPr>
            </w:pPr>
            <w:r w:rsidRPr="008B6A75">
              <w:rPr>
                <w:sz w:val="20"/>
                <w:szCs w:val="20"/>
              </w:rPr>
              <w:t>07.4.00.S0359</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B8A1763" w14:textId="77777777" w:rsidR="00387142" w:rsidRPr="008B6A75" w:rsidRDefault="00387142" w:rsidP="00387142">
            <w:pPr>
              <w:jc w:val="center"/>
              <w:rPr>
                <w:sz w:val="20"/>
                <w:szCs w:val="20"/>
              </w:rPr>
            </w:pPr>
            <w:r w:rsidRPr="008B6A75">
              <w:rPr>
                <w:sz w:val="20"/>
                <w:szCs w:val="20"/>
              </w:rPr>
              <w:t>300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BAFE650" w14:textId="77777777" w:rsidR="00387142" w:rsidRPr="008B6A75" w:rsidRDefault="00387142" w:rsidP="00387142">
            <w:pPr>
              <w:jc w:val="right"/>
              <w:rPr>
                <w:sz w:val="20"/>
                <w:szCs w:val="20"/>
              </w:rPr>
            </w:pPr>
            <w:r w:rsidRPr="008B6A75">
              <w:rPr>
                <w:sz w:val="20"/>
                <w:szCs w:val="20"/>
              </w:rPr>
              <w:t>281 250,00</w:t>
            </w:r>
          </w:p>
        </w:tc>
        <w:tc>
          <w:tcPr>
            <w:tcW w:w="992" w:type="dxa"/>
            <w:tcBorders>
              <w:top w:val="nil"/>
              <w:left w:val="single" w:sz="4" w:space="0" w:color="auto"/>
              <w:bottom w:val="single" w:sz="4" w:space="0" w:color="auto"/>
              <w:right w:val="nil"/>
            </w:tcBorders>
            <w:shd w:val="clear" w:color="auto" w:fill="auto"/>
            <w:vAlign w:val="center"/>
            <w:hideMark/>
          </w:tcPr>
          <w:p w14:paraId="3623717E" w14:textId="77777777" w:rsidR="00387142" w:rsidRPr="008B6A75" w:rsidRDefault="00387142" w:rsidP="00387142">
            <w:pPr>
              <w:jc w:val="right"/>
              <w:rPr>
                <w:sz w:val="20"/>
                <w:szCs w:val="20"/>
              </w:rPr>
            </w:pPr>
            <w:r w:rsidRPr="008B6A75">
              <w:rPr>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08C5ADDE" w14:textId="77777777" w:rsidR="00387142" w:rsidRPr="008B6A75" w:rsidRDefault="00387142" w:rsidP="00387142">
            <w:pPr>
              <w:jc w:val="right"/>
              <w:rPr>
                <w:sz w:val="20"/>
                <w:szCs w:val="20"/>
              </w:rPr>
            </w:pPr>
            <w:r w:rsidRPr="008B6A75">
              <w:rPr>
                <w:sz w:val="20"/>
                <w:szCs w:val="20"/>
              </w:rPr>
              <w:t>0,00</w:t>
            </w:r>
          </w:p>
        </w:tc>
      </w:tr>
      <w:tr w:rsidR="00387142" w:rsidRPr="008B6A75" w14:paraId="4F12E4EE" w14:textId="77777777" w:rsidTr="00387142">
        <w:trPr>
          <w:trHeight w:val="585"/>
        </w:trPr>
        <w:tc>
          <w:tcPr>
            <w:tcW w:w="3261" w:type="dxa"/>
            <w:tcBorders>
              <w:top w:val="nil"/>
              <w:left w:val="single" w:sz="4" w:space="0" w:color="auto"/>
              <w:bottom w:val="single" w:sz="4" w:space="0" w:color="auto"/>
              <w:right w:val="nil"/>
            </w:tcBorders>
            <w:shd w:val="clear" w:color="auto" w:fill="auto"/>
            <w:vAlign w:val="center"/>
            <w:hideMark/>
          </w:tcPr>
          <w:p w14:paraId="342C4E2D" w14:textId="77777777" w:rsidR="00387142" w:rsidRPr="008B6A75" w:rsidRDefault="00387142" w:rsidP="00387142">
            <w:pPr>
              <w:rPr>
                <w:sz w:val="20"/>
                <w:szCs w:val="20"/>
              </w:rPr>
            </w:pPr>
            <w:r w:rsidRPr="008B6A75">
              <w:rPr>
                <w:sz w:val="20"/>
                <w:szCs w:val="20"/>
              </w:rPr>
              <w:t>Социальные выплаты гражданам, кроме публичных нормативных социальных выплат</w:t>
            </w:r>
          </w:p>
        </w:tc>
        <w:tc>
          <w:tcPr>
            <w:tcW w:w="720" w:type="dxa"/>
            <w:tcBorders>
              <w:top w:val="nil"/>
              <w:left w:val="single" w:sz="4" w:space="0" w:color="auto"/>
              <w:bottom w:val="single" w:sz="4" w:space="0" w:color="auto"/>
              <w:right w:val="nil"/>
            </w:tcBorders>
            <w:shd w:val="clear" w:color="auto" w:fill="auto"/>
            <w:noWrap/>
            <w:vAlign w:val="center"/>
            <w:hideMark/>
          </w:tcPr>
          <w:p w14:paraId="22BFF648" w14:textId="77777777" w:rsidR="00387142" w:rsidRPr="008B6A75" w:rsidRDefault="00387142" w:rsidP="00387142">
            <w:pPr>
              <w:jc w:val="center"/>
              <w:rPr>
                <w:sz w:val="20"/>
                <w:szCs w:val="20"/>
              </w:rPr>
            </w:pPr>
            <w:r w:rsidRPr="008B6A75">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957EB25" w14:textId="77777777" w:rsidR="00387142" w:rsidRPr="008B6A75" w:rsidRDefault="00387142" w:rsidP="00387142">
            <w:pPr>
              <w:jc w:val="center"/>
              <w:rPr>
                <w:sz w:val="20"/>
                <w:szCs w:val="20"/>
              </w:rPr>
            </w:pPr>
            <w:r w:rsidRPr="008B6A75">
              <w:rPr>
                <w:sz w:val="20"/>
                <w:szCs w:val="20"/>
              </w:rPr>
              <w:t>07</w:t>
            </w:r>
          </w:p>
        </w:tc>
        <w:tc>
          <w:tcPr>
            <w:tcW w:w="1516" w:type="dxa"/>
            <w:tcBorders>
              <w:top w:val="nil"/>
              <w:left w:val="single" w:sz="4" w:space="0" w:color="auto"/>
              <w:bottom w:val="single" w:sz="4" w:space="0" w:color="auto"/>
              <w:right w:val="nil"/>
            </w:tcBorders>
            <w:shd w:val="clear" w:color="auto" w:fill="auto"/>
            <w:noWrap/>
            <w:vAlign w:val="center"/>
            <w:hideMark/>
          </w:tcPr>
          <w:p w14:paraId="7CE4ACC0" w14:textId="77777777" w:rsidR="00387142" w:rsidRPr="008B6A75" w:rsidRDefault="00387142" w:rsidP="00387142">
            <w:pPr>
              <w:jc w:val="center"/>
              <w:rPr>
                <w:sz w:val="20"/>
                <w:szCs w:val="20"/>
              </w:rPr>
            </w:pPr>
            <w:r w:rsidRPr="008B6A75">
              <w:rPr>
                <w:sz w:val="20"/>
                <w:szCs w:val="20"/>
              </w:rPr>
              <w:t>07.4.00.S0359</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BC4386F" w14:textId="77777777" w:rsidR="00387142" w:rsidRPr="008B6A75" w:rsidRDefault="00387142" w:rsidP="00387142">
            <w:pPr>
              <w:jc w:val="center"/>
              <w:rPr>
                <w:sz w:val="20"/>
                <w:szCs w:val="20"/>
              </w:rPr>
            </w:pPr>
            <w:r w:rsidRPr="008B6A75">
              <w:rPr>
                <w:sz w:val="20"/>
                <w:szCs w:val="20"/>
              </w:rPr>
              <w:t>320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1B5EFBC" w14:textId="77777777" w:rsidR="00387142" w:rsidRPr="008B6A75" w:rsidRDefault="00387142" w:rsidP="00387142">
            <w:pPr>
              <w:jc w:val="right"/>
              <w:rPr>
                <w:sz w:val="20"/>
                <w:szCs w:val="20"/>
              </w:rPr>
            </w:pPr>
            <w:r w:rsidRPr="008B6A75">
              <w:rPr>
                <w:sz w:val="20"/>
                <w:szCs w:val="20"/>
              </w:rPr>
              <w:t>281 250,00</w:t>
            </w:r>
          </w:p>
        </w:tc>
        <w:tc>
          <w:tcPr>
            <w:tcW w:w="992" w:type="dxa"/>
            <w:tcBorders>
              <w:top w:val="nil"/>
              <w:left w:val="single" w:sz="4" w:space="0" w:color="auto"/>
              <w:bottom w:val="single" w:sz="4" w:space="0" w:color="auto"/>
              <w:right w:val="nil"/>
            </w:tcBorders>
            <w:shd w:val="clear" w:color="auto" w:fill="auto"/>
            <w:vAlign w:val="center"/>
            <w:hideMark/>
          </w:tcPr>
          <w:p w14:paraId="1BBAF16A" w14:textId="77777777" w:rsidR="00387142" w:rsidRPr="008B6A75" w:rsidRDefault="00387142" w:rsidP="00387142">
            <w:pPr>
              <w:jc w:val="right"/>
              <w:rPr>
                <w:sz w:val="20"/>
                <w:szCs w:val="20"/>
              </w:rPr>
            </w:pPr>
            <w:r w:rsidRPr="008B6A75">
              <w:rPr>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6DCC3B7C" w14:textId="77777777" w:rsidR="00387142" w:rsidRPr="008B6A75" w:rsidRDefault="00387142" w:rsidP="00387142">
            <w:pPr>
              <w:jc w:val="right"/>
              <w:rPr>
                <w:sz w:val="20"/>
                <w:szCs w:val="20"/>
              </w:rPr>
            </w:pPr>
            <w:r w:rsidRPr="008B6A75">
              <w:rPr>
                <w:sz w:val="20"/>
                <w:szCs w:val="20"/>
              </w:rPr>
              <w:t>0,00</w:t>
            </w:r>
          </w:p>
        </w:tc>
      </w:tr>
      <w:tr w:rsidR="00387142" w:rsidRPr="008B6A75" w14:paraId="3F266F01" w14:textId="77777777" w:rsidTr="00387142">
        <w:trPr>
          <w:trHeight w:val="870"/>
        </w:trPr>
        <w:tc>
          <w:tcPr>
            <w:tcW w:w="3261" w:type="dxa"/>
            <w:tcBorders>
              <w:top w:val="nil"/>
              <w:left w:val="single" w:sz="4" w:space="0" w:color="auto"/>
              <w:bottom w:val="single" w:sz="4" w:space="0" w:color="auto"/>
              <w:right w:val="nil"/>
            </w:tcBorders>
            <w:shd w:val="clear" w:color="auto" w:fill="auto"/>
            <w:vAlign w:val="center"/>
            <w:hideMark/>
          </w:tcPr>
          <w:p w14:paraId="22E5530F" w14:textId="77777777" w:rsidR="00387142" w:rsidRPr="008B6A75" w:rsidRDefault="00387142" w:rsidP="00387142">
            <w:pPr>
              <w:rPr>
                <w:sz w:val="20"/>
                <w:szCs w:val="20"/>
              </w:rPr>
            </w:pPr>
            <w:r w:rsidRPr="008B6A75">
              <w:rPr>
                <w:sz w:val="20"/>
                <w:szCs w:val="20"/>
              </w:rPr>
              <w:t>Предоставление субсидий бюджетным, автономным учреждениям и иным некоммерческим организациям</w:t>
            </w:r>
          </w:p>
        </w:tc>
        <w:tc>
          <w:tcPr>
            <w:tcW w:w="720" w:type="dxa"/>
            <w:tcBorders>
              <w:top w:val="nil"/>
              <w:left w:val="single" w:sz="4" w:space="0" w:color="auto"/>
              <w:bottom w:val="single" w:sz="4" w:space="0" w:color="auto"/>
              <w:right w:val="nil"/>
            </w:tcBorders>
            <w:shd w:val="clear" w:color="auto" w:fill="auto"/>
            <w:noWrap/>
            <w:vAlign w:val="center"/>
            <w:hideMark/>
          </w:tcPr>
          <w:p w14:paraId="52B01CB2" w14:textId="77777777" w:rsidR="00387142" w:rsidRPr="008B6A75" w:rsidRDefault="00387142" w:rsidP="00387142">
            <w:pPr>
              <w:jc w:val="center"/>
              <w:rPr>
                <w:sz w:val="20"/>
                <w:szCs w:val="20"/>
              </w:rPr>
            </w:pPr>
            <w:r w:rsidRPr="008B6A75">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949C5FC" w14:textId="77777777" w:rsidR="00387142" w:rsidRPr="008B6A75" w:rsidRDefault="00387142" w:rsidP="00387142">
            <w:pPr>
              <w:jc w:val="center"/>
              <w:rPr>
                <w:sz w:val="20"/>
                <w:szCs w:val="20"/>
              </w:rPr>
            </w:pPr>
            <w:r w:rsidRPr="008B6A75">
              <w:rPr>
                <w:sz w:val="20"/>
                <w:szCs w:val="20"/>
              </w:rPr>
              <w:t>07</w:t>
            </w:r>
          </w:p>
        </w:tc>
        <w:tc>
          <w:tcPr>
            <w:tcW w:w="1516" w:type="dxa"/>
            <w:tcBorders>
              <w:top w:val="nil"/>
              <w:left w:val="single" w:sz="4" w:space="0" w:color="auto"/>
              <w:bottom w:val="single" w:sz="4" w:space="0" w:color="auto"/>
              <w:right w:val="nil"/>
            </w:tcBorders>
            <w:shd w:val="clear" w:color="auto" w:fill="auto"/>
            <w:noWrap/>
            <w:vAlign w:val="center"/>
            <w:hideMark/>
          </w:tcPr>
          <w:p w14:paraId="2E3D2EE9" w14:textId="77777777" w:rsidR="00387142" w:rsidRPr="008B6A75" w:rsidRDefault="00387142" w:rsidP="00387142">
            <w:pPr>
              <w:jc w:val="center"/>
              <w:rPr>
                <w:sz w:val="20"/>
                <w:szCs w:val="20"/>
              </w:rPr>
            </w:pPr>
            <w:r w:rsidRPr="008B6A75">
              <w:rPr>
                <w:sz w:val="20"/>
                <w:szCs w:val="20"/>
              </w:rPr>
              <w:t>07.4.00.S0359</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C3D7CBA" w14:textId="77777777" w:rsidR="00387142" w:rsidRPr="008B6A75" w:rsidRDefault="00387142" w:rsidP="00387142">
            <w:pPr>
              <w:jc w:val="center"/>
              <w:rPr>
                <w:sz w:val="20"/>
                <w:szCs w:val="20"/>
              </w:rPr>
            </w:pPr>
            <w:r w:rsidRPr="008B6A75">
              <w:rPr>
                <w:sz w:val="20"/>
                <w:szCs w:val="20"/>
              </w:rPr>
              <w:t>600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DE6F4D6" w14:textId="77777777" w:rsidR="00387142" w:rsidRPr="008B6A75" w:rsidRDefault="00387142" w:rsidP="00387142">
            <w:pPr>
              <w:jc w:val="right"/>
              <w:rPr>
                <w:sz w:val="20"/>
                <w:szCs w:val="20"/>
              </w:rPr>
            </w:pPr>
            <w:r w:rsidRPr="008B6A75">
              <w:rPr>
                <w:sz w:val="20"/>
                <w:szCs w:val="20"/>
              </w:rPr>
              <w:t>1 720 352,00</w:t>
            </w:r>
          </w:p>
        </w:tc>
        <w:tc>
          <w:tcPr>
            <w:tcW w:w="992" w:type="dxa"/>
            <w:tcBorders>
              <w:top w:val="nil"/>
              <w:left w:val="single" w:sz="4" w:space="0" w:color="auto"/>
              <w:bottom w:val="single" w:sz="4" w:space="0" w:color="auto"/>
              <w:right w:val="nil"/>
            </w:tcBorders>
            <w:shd w:val="clear" w:color="auto" w:fill="auto"/>
            <w:vAlign w:val="center"/>
            <w:hideMark/>
          </w:tcPr>
          <w:p w14:paraId="004BACF5" w14:textId="77777777" w:rsidR="00387142" w:rsidRPr="008B6A75" w:rsidRDefault="00387142" w:rsidP="00387142">
            <w:pPr>
              <w:jc w:val="right"/>
              <w:rPr>
                <w:sz w:val="20"/>
                <w:szCs w:val="20"/>
              </w:rPr>
            </w:pPr>
            <w:r w:rsidRPr="008B6A75">
              <w:rPr>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7236E61A" w14:textId="77777777" w:rsidR="00387142" w:rsidRPr="008B6A75" w:rsidRDefault="00387142" w:rsidP="00387142">
            <w:pPr>
              <w:jc w:val="right"/>
              <w:rPr>
                <w:sz w:val="20"/>
                <w:szCs w:val="20"/>
              </w:rPr>
            </w:pPr>
            <w:r w:rsidRPr="008B6A75">
              <w:rPr>
                <w:sz w:val="20"/>
                <w:szCs w:val="20"/>
              </w:rPr>
              <w:t>0,00</w:t>
            </w:r>
          </w:p>
        </w:tc>
      </w:tr>
      <w:tr w:rsidR="00387142" w:rsidRPr="008B6A75" w14:paraId="31FF1663" w14:textId="77777777" w:rsidTr="00387142">
        <w:trPr>
          <w:trHeight w:val="345"/>
        </w:trPr>
        <w:tc>
          <w:tcPr>
            <w:tcW w:w="3261" w:type="dxa"/>
            <w:tcBorders>
              <w:top w:val="nil"/>
              <w:left w:val="single" w:sz="4" w:space="0" w:color="auto"/>
              <w:bottom w:val="single" w:sz="4" w:space="0" w:color="auto"/>
              <w:right w:val="nil"/>
            </w:tcBorders>
            <w:shd w:val="clear" w:color="auto" w:fill="auto"/>
            <w:vAlign w:val="center"/>
            <w:hideMark/>
          </w:tcPr>
          <w:p w14:paraId="407D4F75" w14:textId="77777777" w:rsidR="00387142" w:rsidRPr="008B6A75" w:rsidRDefault="00387142" w:rsidP="00387142">
            <w:pPr>
              <w:rPr>
                <w:sz w:val="20"/>
                <w:szCs w:val="20"/>
              </w:rPr>
            </w:pPr>
            <w:r w:rsidRPr="008B6A75">
              <w:rPr>
                <w:sz w:val="20"/>
                <w:szCs w:val="20"/>
              </w:rPr>
              <w:lastRenderedPageBreak/>
              <w:t>Субсидии бюджетным учреждениям</w:t>
            </w:r>
          </w:p>
        </w:tc>
        <w:tc>
          <w:tcPr>
            <w:tcW w:w="720" w:type="dxa"/>
            <w:tcBorders>
              <w:top w:val="nil"/>
              <w:left w:val="single" w:sz="4" w:space="0" w:color="auto"/>
              <w:bottom w:val="single" w:sz="4" w:space="0" w:color="auto"/>
              <w:right w:val="nil"/>
            </w:tcBorders>
            <w:shd w:val="clear" w:color="auto" w:fill="auto"/>
            <w:noWrap/>
            <w:vAlign w:val="center"/>
            <w:hideMark/>
          </w:tcPr>
          <w:p w14:paraId="225E0A08" w14:textId="77777777" w:rsidR="00387142" w:rsidRPr="008B6A75" w:rsidRDefault="00387142" w:rsidP="00387142">
            <w:pPr>
              <w:jc w:val="center"/>
              <w:rPr>
                <w:sz w:val="20"/>
                <w:szCs w:val="20"/>
              </w:rPr>
            </w:pPr>
            <w:r w:rsidRPr="008B6A75">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CB3962C" w14:textId="77777777" w:rsidR="00387142" w:rsidRPr="008B6A75" w:rsidRDefault="00387142" w:rsidP="00387142">
            <w:pPr>
              <w:jc w:val="center"/>
              <w:rPr>
                <w:sz w:val="20"/>
                <w:szCs w:val="20"/>
              </w:rPr>
            </w:pPr>
            <w:r w:rsidRPr="008B6A75">
              <w:rPr>
                <w:sz w:val="20"/>
                <w:szCs w:val="20"/>
              </w:rPr>
              <w:t>07</w:t>
            </w:r>
          </w:p>
        </w:tc>
        <w:tc>
          <w:tcPr>
            <w:tcW w:w="1516" w:type="dxa"/>
            <w:tcBorders>
              <w:top w:val="nil"/>
              <w:left w:val="single" w:sz="4" w:space="0" w:color="auto"/>
              <w:bottom w:val="single" w:sz="4" w:space="0" w:color="auto"/>
              <w:right w:val="nil"/>
            </w:tcBorders>
            <w:shd w:val="clear" w:color="auto" w:fill="auto"/>
            <w:noWrap/>
            <w:vAlign w:val="center"/>
            <w:hideMark/>
          </w:tcPr>
          <w:p w14:paraId="6094D17A" w14:textId="77777777" w:rsidR="00387142" w:rsidRPr="008B6A75" w:rsidRDefault="00387142" w:rsidP="00387142">
            <w:pPr>
              <w:jc w:val="center"/>
              <w:rPr>
                <w:sz w:val="20"/>
                <w:szCs w:val="20"/>
              </w:rPr>
            </w:pPr>
            <w:r w:rsidRPr="008B6A75">
              <w:rPr>
                <w:sz w:val="20"/>
                <w:szCs w:val="20"/>
              </w:rPr>
              <w:t>07.4.00.S0359</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83517B3" w14:textId="77777777" w:rsidR="00387142" w:rsidRPr="008B6A75" w:rsidRDefault="00387142" w:rsidP="00387142">
            <w:pPr>
              <w:jc w:val="center"/>
              <w:rPr>
                <w:sz w:val="20"/>
                <w:szCs w:val="20"/>
              </w:rPr>
            </w:pPr>
            <w:r w:rsidRPr="008B6A75">
              <w:rPr>
                <w:sz w:val="20"/>
                <w:szCs w:val="20"/>
              </w:rPr>
              <w:t>610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7DB1AD3" w14:textId="77777777" w:rsidR="00387142" w:rsidRPr="008B6A75" w:rsidRDefault="00387142" w:rsidP="00387142">
            <w:pPr>
              <w:jc w:val="right"/>
              <w:rPr>
                <w:sz w:val="20"/>
                <w:szCs w:val="20"/>
              </w:rPr>
            </w:pPr>
            <w:r w:rsidRPr="008B6A75">
              <w:rPr>
                <w:sz w:val="20"/>
                <w:szCs w:val="20"/>
              </w:rPr>
              <w:t>1 720 352,00</w:t>
            </w:r>
          </w:p>
        </w:tc>
        <w:tc>
          <w:tcPr>
            <w:tcW w:w="992" w:type="dxa"/>
            <w:tcBorders>
              <w:top w:val="nil"/>
              <w:left w:val="single" w:sz="4" w:space="0" w:color="auto"/>
              <w:bottom w:val="single" w:sz="4" w:space="0" w:color="auto"/>
              <w:right w:val="nil"/>
            </w:tcBorders>
            <w:shd w:val="clear" w:color="auto" w:fill="auto"/>
            <w:vAlign w:val="center"/>
            <w:hideMark/>
          </w:tcPr>
          <w:p w14:paraId="6BA0E099" w14:textId="77777777" w:rsidR="00387142" w:rsidRPr="008B6A75" w:rsidRDefault="00387142" w:rsidP="00387142">
            <w:pPr>
              <w:jc w:val="right"/>
              <w:rPr>
                <w:sz w:val="20"/>
                <w:szCs w:val="20"/>
              </w:rPr>
            </w:pPr>
            <w:r w:rsidRPr="008B6A75">
              <w:rPr>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15D54685" w14:textId="77777777" w:rsidR="00387142" w:rsidRPr="008B6A75" w:rsidRDefault="00387142" w:rsidP="00387142">
            <w:pPr>
              <w:jc w:val="right"/>
              <w:rPr>
                <w:sz w:val="20"/>
                <w:szCs w:val="20"/>
              </w:rPr>
            </w:pPr>
            <w:r w:rsidRPr="008B6A75">
              <w:rPr>
                <w:sz w:val="20"/>
                <w:szCs w:val="20"/>
              </w:rPr>
              <w:t>0,00</w:t>
            </w:r>
          </w:p>
        </w:tc>
      </w:tr>
      <w:tr w:rsidR="00387142" w:rsidRPr="008B6A75" w14:paraId="1590DCA3" w14:textId="77777777" w:rsidTr="00387142">
        <w:trPr>
          <w:trHeight w:val="870"/>
        </w:trPr>
        <w:tc>
          <w:tcPr>
            <w:tcW w:w="3261" w:type="dxa"/>
            <w:tcBorders>
              <w:top w:val="nil"/>
              <w:left w:val="single" w:sz="4" w:space="0" w:color="auto"/>
              <w:bottom w:val="single" w:sz="4" w:space="0" w:color="auto"/>
              <w:right w:val="nil"/>
            </w:tcBorders>
            <w:shd w:val="clear" w:color="auto" w:fill="auto"/>
            <w:vAlign w:val="center"/>
            <w:hideMark/>
          </w:tcPr>
          <w:p w14:paraId="220AA50A" w14:textId="77777777" w:rsidR="00387142" w:rsidRPr="008B6A75" w:rsidRDefault="00387142" w:rsidP="00387142">
            <w:pPr>
              <w:rPr>
                <w:bCs/>
                <w:sz w:val="20"/>
                <w:szCs w:val="20"/>
              </w:rPr>
            </w:pPr>
            <w:r w:rsidRPr="008B6A75">
              <w:rPr>
                <w:bCs/>
                <w:sz w:val="20"/>
                <w:szCs w:val="20"/>
              </w:rPr>
              <w:t>Муниципальная программа "Комплексные меры профилактики наркомании в Куйбышевском районе"</w:t>
            </w:r>
          </w:p>
        </w:tc>
        <w:tc>
          <w:tcPr>
            <w:tcW w:w="720" w:type="dxa"/>
            <w:tcBorders>
              <w:top w:val="nil"/>
              <w:left w:val="single" w:sz="4" w:space="0" w:color="auto"/>
              <w:bottom w:val="single" w:sz="4" w:space="0" w:color="auto"/>
              <w:right w:val="nil"/>
            </w:tcBorders>
            <w:shd w:val="clear" w:color="auto" w:fill="auto"/>
            <w:noWrap/>
            <w:vAlign w:val="center"/>
            <w:hideMark/>
          </w:tcPr>
          <w:p w14:paraId="0D6A38A4" w14:textId="77777777" w:rsidR="00387142" w:rsidRPr="008B6A75" w:rsidRDefault="00387142" w:rsidP="00387142">
            <w:pPr>
              <w:jc w:val="center"/>
              <w:rPr>
                <w:bCs/>
                <w:sz w:val="20"/>
                <w:szCs w:val="20"/>
              </w:rPr>
            </w:pPr>
            <w:r w:rsidRPr="008B6A75">
              <w:rPr>
                <w:bCs/>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F0BB469" w14:textId="77777777" w:rsidR="00387142" w:rsidRPr="008B6A75" w:rsidRDefault="00387142" w:rsidP="00387142">
            <w:pPr>
              <w:jc w:val="center"/>
              <w:rPr>
                <w:bCs/>
                <w:sz w:val="20"/>
                <w:szCs w:val="20"/>
              </w:rPr>
            </w:pPr>
            <w:r w:rsidRPr="008B6A75">
              <w:rPr>
                <w:bCs/>
                <w:sz w:val="20"/>
                <w:szCs w:val="20"/>
              </w:rPr>
              <w:t>07</w:t>
            </w:r>
          </w:p>
        </w:tc>
        <w:tc>
          <w:tcPr>
            <w:tcW w:w="1516" w:type="dxa"/>
            <w:tcBorders>
              <w:top w:val="nil"/>
              <w:left w:val="single" w:sz="4" w:space="0" w:color="auto"/>
              <w:bottom w:val="single" w:sz="4" w:space="0" w:color="auto"/>
              <w:right w:val="nil"/>
            </w:tcBorders>
            <w:shd w:val="clear" w:color="auto" w:fill="auto"/>
            <w:noWrap/>
            <w:vAlign w:val="center"/>
            <w:hideMark/>
          </w:tcPr>
          <w:p w14:paraId="3F14E8E6" w14:textId="77777777" w:rsidR="00387142" w:rsidRPr="008B6A75" w:rsidRDefault="00387142" w:rsidP="00387142">
            <w:pPr>
              <w:jc w:val="center"/>
              <w:rPr>
                <w:bCs/>
                <w:sz w:val="20"/>
                <w:szCs w:val="20"/>
              </w:rPr>
            </w:pPr>
            <w:r w:rsidRPr="008B6A75">
              <w:rPr>
                <w:bCs/>
                <w:sz w:val="20"/>
                <w:szCs w:val="20"/>
              </w:rPr>
              <w:t>14.0.00.00000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037A7B5"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22990AA" w14:textId="77777777" w:rsidR="00387142" w:rsidRPr="008B6A75" w:rsidRDefault="00387142" w:rsidP="00387142">
            <w:pPr>
              <w:jc w:val="right"/>
              <w:rPr>
                <w:bCs/>
                <w:sz w:val="20"/>
                <w:szCs w:val="20"/>
              </w:rPr>
            </w:pPr>
            <w:r w:rsidRPr="008B6A75">
              <w:rPr>
                <w:bCs/>
                <w:sz w:val="20"/>
                <w:szCs w:val="20"/>
              </w:rPr>
              <w:t>253 274,00</w:t>
            </w:r>
          </w:p>
        </w:tc>
        <w:tc>
          <w:tcPr>
            <w:tcW w:w="992" w:type="dxa"/>
            <w:tcBorders>
              <w:top w:val="nil"/>
              <w:left w:val="single" w:sz="4" w:space="0" w:color="auto"/>
              <w:bottom w:val="single" w:sz="4" w:space="0" w:color="auto"/>
              <w:right w:val="nil"/>
            </w:tcBorders>
            <w:shd w:val="clear" w:color="auto" w:fill="auto"/>
            <w:vAlign w:val="center"/>
            <w:hideMark/>
          </w:tcPr>
          <w:p w14:paraId="5F9F8F4A" w14:textId="77777777" w:rsidR="00387142" w:rsidRPr="008B6A75" w:rsidRDefault="00387142" w:rsidP="00387142">
            <w:pPr>
              <w:jc w:val="right"/>
              <w:rPr>
                <w:bCs/>
                <w:sz w:val="20"/>
                <w:szCs w:val="20"/>
              </w:rPr>
            </w:pPr>
            <w:r w:rsidRPr="008B6A75">
              <w:rPr>
                <w:bCs/>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0748F94E" w14:textId="77777777" w:rsidR="00387142" w:rsidRPr="008B6A75" w:rsidRDefault="00387142" w:rsidP="00387142">
            <w:pPr>
              <w:jc w:val="right"/>
              <w:rPr>
                <w:bCs/>
                <w:sz w:val="20"/>
                <w:szCs w:val="20"/>
              </w:rPr>
            </w:pPr>
            <w:r w:rsidRPr="008B6A75">
              <w:rPr>
                <w:bCs/>
                <w:sz w:val="20"/>
                <w:szCs w:val="20"/>
              </w:rPr>
              <w:t>0,00</w:t>
            </w:r>
          </w:p>
        </w:tc>
      </w:tr>
      <w:tr w:rsidR="00387142" w:rsidRPr="008B6A75" w14:paraId="60B3B164" w14:textId="77777777" w:rsidTr="00387142">
        <w:trPr>
          <w:trHeight w:val="870"/>
        </w:trPr>
        <w:tc>
          <w:tcPr>
            <w:tcW w:w="3261" w:type="dxa"/>
            <w:tcBorders>
              <w:top w:val="nil"/>
              <w:left w:val="single" w:sz="4" w:space="0" w:color="auto"/>
              <w:bottom w:val="single" w:sz="4" w:space="0" w:color="auto"/>
              <w:right w:val="nil"/>
            </w:tcBorders>
            <w:shd w:val="clear" w:color="auto" w:fill="auto"/>
            <w:vAlign w:val="center"/>
            <w:hideMark/>
          </w:tcPr>
          <w:p w14:paraId="716D0EA3" w14:textId="77777777" w:rsidR="00387142" w:rsidRPr="008B6A75" w:rsidRDefault="00387142" w:rsidP="00387142">
            <w:pPr>
              <w:rPr>
                <w:bCs/>
                <w:sz w:val="20"/>
                <w:szCs w:val="20"/>
              </w:rPr>
            </w:pPr>
            <w:r w:rsidRPr="008B6A75">
              <w:rPr>
                <w:bCs/>
                <w:sz w:val="20"/>
                <w:szCs w:val="20"/>
              </w:rPr>
              <w:t>Реализация мероприятий в рамках МП "Комплексные меры профилактики наркомании в Куйбышевском районе"</w:t>
            </w:r>
          </w:p>
        </w:tc>
        <w:tc>
          <w:tcPr>
            <w:tcW w:w="720" w:type="dxa"/>
            <w:tcBorders>
              <w:top w:val="nil"/>
              <w:left w:val="single" w:sz="4" w:space="0" w:color="auto"/>
              <w:bottom w:val="single" w:sz="4" w:space="0" w:color="auto"/>
              <w:right w:val="nil"/>
            </w:tcBorders>
            <w:shd w:val="clear" w:color="auto" w:fill="auto"/>
            <w:noWrap/>
            <w:vAlign w:val="center"/>
            <w:hideMark/>
          </w:tcPr>
          <w:p w14:paraId="7FD7709B" w14:textId="77777777" w:rsidR="00387142" w:rsidRPr="008B6A75" w:rsidRDefault="00387142" w:rsidP="00387142">
            <w:pPr>
              <w:jc w:val="center"/>
              <w:rPr>
                <w:bCs/>
                <w:sz w:val="20"/>
                <w:szCs w:val="20"/>
              </w:rPr>
            </w:pPr>
            <w:r w:rsidRPr="008B6A75">
              <w:rPr>
                <w:bCs/>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707F202" w14:textId="77777777" w:rsidR="00387142" w:rsidRPr="008B6A75" w:rsidRDefault="00387142" w:rsidP="00387142">
            <w:pPr>
              <w:jc w:val="center"/>
              <w:rPr>
                <w:bCs/>
                <w:sz w:val="20"/>
                <w:szCs w:val="20"/>
              </w:rPr>
            </w:pPr>
            <w:r w:rsidRPr="008B6A75">
              <w:rPr>
                <w:bCs/>
                <w:sz w:val="20"/>
                <w:szCs w:val="20"/>
              </w:rPr>
              <w:t>07</w:t>
            </w:r>
          </w:p>
        </w:tc>
        <w:tc>
          <w:tcPr>
            <w:tcW w:w="1516" w:type="dxa"/>
            <w:tcBorders>
              <w:top w:val="nil"/>
              <w:left w:val="single" w:sz="4" w:space="0" w:color="auto"/>
              <w:bottom w:val="single" w:sz="4" w:space="0" w:color="auto"/>
              <w:right w:val="nil"/>
            </w:tcBorders>
            <w:shd w:val="clear" w:color="auto" w:fill="auto"/>
            <w:noWrap/>
            <w:vAlign w:val="center"/>
            <w:hideMark/>
          </w:tcPr>
          <w:p w14:paraId="56DBE867" w14:textId="77777777" w:rsidR="00387142" w:rsidRPr="008B6A75" w:rsidRDefault="00387142" w:rsidP="00387142">
            <w:pPr>
              <w:jc w:val="center"/>
              <w:rPr>
                <w:bCs/>
                <w:sz w:val="20"/>
                <w:szCs w:val="20"/>
              </w:rPr>
            </w:pPr>
            <w:r w:rsidRPr="008B6A75">
              <w:rPr>
                <w:bCs/>
                <w:sz w:val="20"/>
                <w:szCs w:val="20"/>
              </w:rPr>
              <w:t>14.0.00.79570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D6FA1AA"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E99E653" w14:textId="77777777" w:rsidR="00387142" w:rsidRPr="008B6A75" w:rsidRDefault="00387142" w:rsidP="00387142">
            <w:pPr>
              <w:jc w:val="right"/>
              <w:rPr>
                <w:bCs/>
                <w:sz w:val="20"/>
                <w:szCs w:val="20"/>
              </w:rPr>
            </w:pPr>
            <w:r w:rsidRPr="008B6A75">
              <w:rPr>
                <w:bCs/>
                <w:sz w:val="20"/>
                <w:szCs w:val="20"/>
              </w:rPr>
              <w:t>253 274,00</w:t>
            </w:r>
          </w:p>
        </w:tc>
        <w:tc>
          <w:tcPr>
            <w:tcW w:w="992" w:type="dxa"/>
            <w:tcBorders>
              <w:top w:val="nil"/>
              <w:left w:val="single" w:sz="4" w:space="0" w:color="auto"/>
              <w:bottom w:val="single" w:sz="4" w:space="0" w:color="auto"/>
              <w:right w:val="nil"/>
            </w:tcBorders>
            <w:shd w:val="clear" w:color="auto" w:fill="auto"/>
            <w:vAlign w:val="center"/>
            <w:hideMark/>
          </w:tcPr>
          <w:p w14:paraId="0125E9C1" w14:textId="77777777" w:rsidR="00387142" w:rsidRPr="008B6A75" w:rsidRDefault="00387142" w:rsidP="00387142">
            <w:pPr>
              <w:jc w:val="right"/>
              <w:rPr>
                <w:bCs/>
                <w:sz w:val="20"/>
                <w:szCs w:val="20"/>
              </w:rPr>
            </w:pPr>
            <w:r w:rsidRPr="008B6A75">
              <w:rPr>
                <w:bCs/>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26853E4C" w14:textId="77777777" w:rsidR="00387142" w:rsidRPr="008B6A75" w:rsidRDefault="00387142" w:rsidP="00387142">
            <w:pPr>
              <w:jc w:val="right"/>
              <w:rPr>
                <w:bCs/>
                <w:sz w:val="20"/>
                <w:szCs w:val="20"/>
              </w:rPr>
            </w:pPr>
            <w:r w:rsidRPr="008B6A75">
              <w:rPr>
                <w:bCs/>
                <w:sz w:val="20"/>
                <w:szCs w:val="20"/>
              </w:rPr>
              <w:t>0,00</w:t>
            </w:r>
          </w:p>
        </w:tc>
      </w:tr>
      <w:tr w:rsidR="00387142" w:rsidRPr="008B6A75" w14:paraId="78722DAE" w14:textId="77777777" w:rsidTr="00387142">
        <w:trPr>
          <w:trHeight w:val="345"/>
        </w:trPr>
        <w:tc>
          <w:tcPr>
            <w:tcW w:w="3261" w:type="dxa"/>
            <w:tcBorders>
              <w:top w:val="nil"/>
              <w:left w:val="single" w:sz="4" w:space="0" w:color="auto"/>
              <w:bottom w:val="single" w:sz="4" w:space="0" w:color="auto"/>
              <w:right w:val="nil"/>
            </w:tcBorders>
            <w:shd w:val="clear" w:color="auto" w:fill="auto"/>
            <w:vAlign w:val="center"/>
            <w:hideMark/>
          </w:tcPr>
          <w:p w14:paraId="68A92F1E" w14:textId="77777777" w:rsidR="00387142" w:rsidRPr="008B6A75" w:rsidRDefault="00387142" w:rsidP="00387142">
            <w:pPr>
              <w:rPr>
                <w:sz w:val="20"/>
                <w:szCs w:val="20"/>
              </w:rPr>
            </w:pPr>
            <w:r w:rsidRPr="008B6A75">
              <w:rPr>
                <w:sz w:val="20"/>
                <w:szCs w:val="20"/>
              </w:rPr>
              <w:t>Межбюджетные трансферты</w:t>
            </w:r>
          </w:p>
        </w:tc>
        <w:tc>
          <w:tcPr>
            <w:tcW w:w="720" w:type="dxa"/>
            <w:tcBorders>
              <w:top w:val="nil"/>
              <w:left w:val="single" w:sz="4" w:space="0" w:color="auto"/>
              <w:bottom w:val="single" w:sz="4" w:space="0" w:color="auto"/>
              <w:right w:val="nil"/>
            </w:tcBorders>
            <w:shd w:val="clear" w:color="auto" w:fill="auto"/>
            <w:noWrap/>
            <w:vAlign w:val="center"/>
            <w:hideMark/>
          </w:tcPr>
          <w:p w14:paraId="3D8175B4" w14:textId="77777777" w:rsidR="00387142" w:rsidRPr="008B6A75" w:rsidRDefault="00387142" w:rsidP="00387142">
            <w:pPr>
              <w:jc w:val="center"/>
              <w:rPr>
                <w:sz w:val="20"/>
                <w:szCs w:val="20"/>
              </w:rPr>
            </w:pPr>
            <w:r w:rsidRPr="008B6A75">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A8D5222" w14:textId="77777777" w:rsidR="00387142" w:rsidRPr="008B6A75" w:rsidRDefault="00387142" w:rsidP="00387142">
            <w:pPr>
              <w:jc w:val="center"/>
              <w:rPr>
                <w:sz w:val="20"/>
                <w:szCs w:val="20"/>
              </w:rPr>
            </w:pPr>
            <w:r w:rsidRPr="008B6A75">
              <w:rPr>
                <w:sz w:val="20"/>
                <w:szCs w:val="20"/>
              </w:rPr>
              <w:t>07</w:t>
            </w:r>
          </w:p>
        </w:tc>
        <w:tc>
          <w:tcPr>
            <w:tcW w:w="1516" w:type="dxa"/>
            <w:tcBorders>
              <w:top w:val="nil"/>
              <w:left w:val="single" w:sz="4" w:space="0" w:color="auto"/>
              <w:bottom w:val="single" w:sz="4" w:space="0" w:color="auto"/>
              <w:right w:val="nil"/>
            </w:tcBorders>
            <w:shd w:val="clear" w:color="auto" w:fill="auto"/>
            <w:noWrap/>
            <w:vAlign w:val="center"/>
            <w:hideMark/>
          </w:tcPr>
          <w:p w14:paraId="0A94B0BB" w14:textId="77777777" w:rsidR="00387142" w:rsidRPr="008B6A75" w:rsidRDefault="00387142" w:rsidP="00387142">
            <w:pPr>
              <w:jc w:val="center"/>
              <w:rPr>
                <w:sz w:val="20"/>
                <w:szCs w:val="20"/>
              </w:rPr>
            </w:pPr>
            <w:r w:rsidRPr="008B6A75">
              <w:rPr>
                <w:sz w:val="20"/>
                <w:szCs w:val="20"/>
              </w:rPr>
              <w:t>14.0.00.79570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54CA943" w14:textId="77777777" w:rsidR="00387142" w:rsidRPr="008B6A75" w:rsidRDefault="00387142" w:rsidP="00387142">
            <w:pPr>
              <w:jc w:val="center"/>
              <w:rPr>
                <w:sz w:val="20"/>
                <w:szCs w:val="20"/>
              </w:rPr>
            </w:pPr>
            <w:r w:rsidRPr="008B6A75">
              <w:rPr>
                <w:sz w:val="20"/>
                <w:szCs w:val="20"/>
              </w:rPr>
              <w:t>500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9063313" w14:textId="77777777" w:rsidR="00387142" w:rsidRPr="008B6A75" w:rsidRDefault="00387142" w:rsidP="00387142">
            <w:pPr>
              <w:jc w:val="right"/>
              <w:rPr>
                <w:sz w:val="20"/>
                <w:szCs w:val="20"/>
              </w:rPr>
            </w:pPr>
            <w:r w:rsidRPr="008B6A75">
              <w:rPr>
                <w:sz w:val="20"/>
                <w:szCs w:val="20"/>
              </w:rPr>
              <w:t>25 000,00</w:t>
            </w:r>
          </w:p>
        </w:tc>
        <w:tc>
          <w:tcPr>
            <w:tcW w:w="992" w:type="dxa"/>
            <w:tcBorders>
              <w:top w:val="nil"/>
              <w:left w:val="single" w:sz="4" w:space="0" w:color="auto"/>
              <w:bottom w:val="single" w:sz="4" w:space="0" w:color="auto"/>
              <w:right w:val="nil"/>
            </w:tcBorders>
            <w:shd w:val="clear" w:color="auto" w:fill="auto"/>
            <w:vAlign w:val="center"/>
            <w:hideMark/>
          </w:tcPr>
          <w:p w14:paraId="2DE24189" w14:textId="77777777" w:rsidR="00387142" w:rsidRPr="008B6A75" w:rsidRDefault="00387142" w:rsidP="00387142">
            <w:pPr>
              <w:jc w:val="right"/>
              <w:rPr>
                <w:sz w:val="20"/>
                <w:szCs w:val="20"/>
              </w:rPr>
            </w:pPr>
            <w:r w:rsidRPr="008B6A75">
              <w:rPr>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5BF8F23E" w14:textId="77777777" w:rsidR="00387142" w:rsidRPr="008B6A75" w:rsidRDefault="00387142" w:rsidP="00387142">
            <w:pPr>
              <w:jc w:val="right"/>
              <w:rPr>
                <w:sz w:val="20"/>
                <w:szCs w:val="20"/>
              </w:rPr>
            </w:pPr>
            <w:r w:rsidRPr="008B6A75">
              <w:rPr>
                <w:sz w:val="20"/>
                <w:szCs w:val="20"/>
              </w:rPr>
              <w:t>0,00</w:t>
            </w:r>
          </w:p>
        </w:tc>
      </w:tr>
      <w:tr w:rsidR="00387142" w:rsidRPr="008B6A75" w14:paraId="5BF96ECE" w14:textId="77777777" w:rsidTr="00387142">
        <w:trPr>
          <w:trHeight w:val="345"/>
        </w:trPr>
        <w:tc>
          <w:tcPr>
            <w:tcW w:w="3261" w:type="dxa"/>
            <w:tcBorders>
              <w:top w:val="nil"/>
              <w:left w:val="single" w:sz="4" w:space="0" w:color="auto"/>
              <w:bottom w:val="single" w:sz="4" w:space="0" w:color="auto"/>
              <w:right w:val="nil"/>
            </w:tcBorders>
            <w:shd w:val="clear" w:color="auto" w:fill="auto"/>
            <w:vAlign w:val="center"/>
            <w:hideMark/>
          </w:tcPr>
          <w:p w14:paraId="4F4F6166" w14:textId="77777777" w:rsidR="00387142" w:rsidRPr="008B6A75" w:rsidRDefault="00387142" w:rsidP="00387142">
            <w:pPr>
              <w:rPr>
                <w:sz w:val="20"/>
                <w:szCs w:val="20"/>
              </w:rPr>
            </w:pPr>
            <w:r w:rsidRPr="008B6A75">
              <w:rPr>
                <w:sz w:val="20"/>
                <w:szCs w:val="20"/>
              </w:rPr>
              <w:t>Иные межбюджетные трансферты</w:t>
            </w:r>
          </w:p>
        </w:tc>
        <w:tc>
          <w:tcPr>
            <w:tcW w:w="720" w:type="dxa"/>
            <w:tcBorders>
              <w:top w:val="nil"/>
              <w:left w:val="single" w:sz="4" w:space="0" w:color="auto"/>
              <w:bottom w:val="single" w:sz="4" w:space="0" w:color="auto"/>
              <w:right w:val="nil"/>
            </w:tcBorders>
            <w:shd w:val="clear" w:color="auto" w:fill="auto"/>
            <w:noWrap/>
            <w:vAlign w:val="center"/>
            <w:hideMark/>
          </w:tcPr>
          <w:p w14:paraId="33586331" w14:textId="77777777" w:rsidR="00387142" w:rsidRPr="008B6A75" w:rsidRDefault="00387142" w:rsidP="00387142">
            <w:pPr>
              <w:jc w:val="center"/>
              <w:rPr>
                <w:sz w:val="20"/>
                <w:szCs w:val="20"/>
              </w:rPr>
            </w:pPr>
            <w:r w:rsidRPr="008B6A75">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0E2202C" w14:textId="77777777" w:rsidR="00387142" w:rsidRPr="008B6A75" w:rsidRDefault="00387142" w:rsidP="00387142">
            <w:pPr>
              <w:jc w:val="center"/>
              <w:rPr>
                <w:sz w:val="20"/>
                <w:szCs w:val="20"/>
              </w:rPr>
            </w:pPr>
            <w:r w:rsidRPr="008B6A75">
              <w:rPr>
                <w:sz w:val="20"/>
                <w:szCs w:val="20"/>
              </w:rPr>
              <w:t>07</w:t>
            </w:r>
          </w:p>
        </w:tc>
        <w:tc>
          <w:tcPr>
            <w:tcW w:w="1516" w:type="dxa"/>
            <w:tcBorders>
              <w:top w:val="nil"/>
              <w:left w:val="single" w:sz="4" w:space="0" w:color="auto"/>
              <w:bottom w:val="single" w:sz="4" w:space="0" w:color="auto"/>
              <w:right w:val="nil"/>
            </w:tcBorders>
            <w:shd w:val="clear" w:color="auto" w:fill="auto"/>
            <w:noWrap/>
            <w:vAlign w:val="center"/>
            <w:hideMark/>
          </w:tcPr>
          <w:p w14:paraId="5DF91BDD" w14:textId="77777777" w:rsidR="00387142" w:rsidRPr="008B6A75" w:rsidRDefault="00387142" w:rsidP="00387142">
            <w:pPr>
              <w:jc w:val="center"/>
              <w:rPr>
                <w:sz w:val="20"/>
                <w:szCs w:val="20"/>
              </w:rPr>
            </w:pPr>
            <w:r w:rsidRPr="008B6A75">
              <w:rPr>
                <w:sz w:val="20"/>
                <w:szCs w:val="20"/>
              </w:rPr>
              <w:t>14.0.00.79570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8AECBFF" w14:textId="77777777" w:rsidR="00387142" w:rsidRPr="008B6A75" w:rsidRDefault="00387142" w:rsidP="00387142">
            <w:pPr>
              <w:jc w:val="center"/>
              <w:rPr>
                <w:sz w:val="20"/>
                <w:szCs w:val="20"/>
              </w:rPr>
            </w:pPr>
            <w:r w:rsidRPr="008B6A75">
              <w:rPr>
                <w:sz w:val="20"/>
                <w:szCs w:val="20"/>
              </w:rPr>
              <w:t>540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4D4BFE5" w14:textId="77777777" w:rsidR="00387142" w:rsidRPr="008B6A75" w:rsidRDefault="00387142" w:rsidP="00387142">
            <w:pPr>
              <w:jc w:val="right"/>
              <w:rPr>
                <w:sz w:val="20"/>
                <w:szCs w:val="20"/>
              </w:rPr>
            </w:pPr>
            <w:r w:rsidRPr="008B6A75">
              <w:rPr>
                <w:sz w:val="20"/>
                <w:szCs w:val="20"/>
              </w:rPr>
              <w:t>25 000,00</w:t>
            </w:r>
          </w:p>
        </w:tc>
        <w:tc>
          <w:tcPr>
            <w:tcW w:w="992" w:type="dxa"/>
            <w:tcBorders>
              <w:top w:val="nil"/>
              <w:left w:val="single" w:sz="4" w:space="0" w:color="auto"/>
              <w:bottom w:val="single" w:sz="4" w:space="0" w:color="auto"/>
              <w:right w:val="nil"/>
            </w:tcBorders>
            <w:shd w:val="clear" w:color="auto" w:fill="auto"/>
            <w:vAlign w:val="center"/>
            <w:hideMark/>
          </w:tcPr>
          <w:p w14:paraId="10D267E5" w14:textId="77777777" w:rsidR="00387142" w:rsidRPr="008B6A75" w:rsidRDefault="00387142" w:rsidP="00387142">
            <w:pPr>
              <w:jc w:val="right"/>
              <w:rPr>
                <w:sz w:val="20"/>
                <w:szCs w:val="20"/>
              </w:rPr>
            </w:pPr>
            <w:r w:rsidRPr="008B6A75">
              <w:rPr>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72E87C67" w14:textId="77777777" w:rsidR="00387142" w:rsidRPr="008B6A75" w:rsidRDefault="00387142" w:rsidP="00387142">
            <w:pPr>
              <w:jc w:val="right"/>
              <w:rPr>
                <w:sz w:val="20"/>
                <w:szCs w:val="20"/>
              </w:rPr>
            </w:pPr>
            <w:r w:rsidRPr="008B6A75">
              <w:rPr>
                <w:sz w:val="20"/>
                <w:szCs w:val="20"/>
              </w:rPr>
              <w:t>0,00</w:t>
            </w:r>
          </w:p>
        </w:tc>
      </w:tr>
      <w:tr w:rsidR="00387142" w:rsidRPr="008B6A75" w14:paraId="32998405" w14:textId="77777777" w:rsidTr="00387142">
        <w:trPr>
          <w:trHeight w:val="870"/>
        </w:trPr>
        <w:tc>
          <w:tcPr>
            <w:tcW w:w="3261" w:type="dxa"/>
            <w:tcBorders>
              <w:top w:val="nil"/>
              <w:left w:val="single" w:sz="4" w:space="0" w:color="auto"/>
              <w:bottom w:val="single" w:sz="4" w:space="0" w:color="auto"/>
              <w:right w:val="nil"/>
            </w:tcBorders>
            <w:shd w:val="clear" w:color="auto" w:fill="auto"/>
            <w:vAlign w:val="center"/>
            <w:hideMark/>
          </w:tcPr>
          <w:p w14:paraId="0B1CCA8D" w14:textId="77777777" w:rsidR="00387142" w:rsidRPr="008B6A75" w:rsidRDefault="00387142" w:rsidP="00387142">
            <w:pPr>
              <w:rPr>
                <w:sz w:val="20"/>
                <w:szCs w:val="20"/>
              </w:rPr>
            </w:pPr>
            <w:r w:rsidRPr="008B6A75">
              <w:rPr>
                <w:sz w:val="20"/>
                <w:szCs w:val="20"/>
              </w:rPr>
              <w:t>Предоставление субсидий бюджетным, автономным учреждениям и иным некоммерческим организациям</w:t>
            </w:r>
          </w:p>
        </w:tc>
        <w:tc>
          <w:tcPr>
            <w:tcW w:w="720" w:type="dxa"/>
            <w:tcBorders>
              <w:top w:val="nil"/>
              <w:left w:val="single" w:sz="4" w:space="0" w:color="auto"/>
              <w:bottom w:val="single" w:sz="4" w:space="0" w:color="auto"/>
              <w:right w:val="nil"/>
            </w:tcBorders>
            <w:shd w:val="clear" w:color="auto" w:fill="auto"/>
            <w:noWrap/>
            <w:vAlign w:val="center"/>
            <w:hideMark/>
          </w:tcPr>
          <w:p w14:paraId="6A934468" w14:textId="77777777" w:rsidR="00387142" w:rsidRPr="008B6A75" w:rsidRDefault="00387142" w:rsidP="00387142">
            <w:pPr>
              <w:jc w:val="center"/>
              <w:rPr>
                <w:sz w:val="20"/>
                <w:szCs w:val="20"/>
              </w:rPr>
            </w:pPr>
            <w:r w:rsidRPr="008B6A75">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EB44B09" w14:textId="77777777" w:rsidR="00387142" w:rsidRPr="008B6A75" w:rsidRDefault="00387142" w:rsidP="00387142">
            <w:pPr>
              <w:jc w:val="center"/>
              <w:rPr>
                <w:sz w:val="20"/>
                <w:szCs w:val="20"/>
              </w:rPr>
            </w:pPr>
            <w:r w:rsidRPr="008B6A75">
              <w:rPr>
                <w:sz w:val="20"/>
                <w:szCs w:val="20"/>
              </w:rPr>
              <w:t>07</w:t>
            </w:r>
          </w:p>
        </w:tc>
        <w:tc>
          <w:tcPr>
            <w:tcW w:w="1516" w:type="dxa"/>
            <w:tcBorders>
              <w:top w:val="nil"/>
              <w:left w:val="single" w:sz="4" w:space="0" w:color="auto"/>
              <w:bottom w:val="single" w:sz="4" w:space="0" w:color="auto"/>
              <w:right w:val="nil"/>
            </w:tcBorders>
            <w:shd w:val="clear" w:color="auto" w:fill="auto"/>
            <w:noWrap/>
            <w:vAlign w:val="center"/>
            <w:hideMark/>
          </w:tcPr>
          <w:p w14:paraId="55AF5868" w14:textId="77777777" w:rsidR="00387142" w:rsidRPr="008B6A75" w:rsidRDefault="00387142" w:rsidP="00387142">
            <w:pPr>
              <w:jc w:val="center"/>
              <w:rPr>
                <w:sz w:val="20"/>
                <w:szCs w:val="20"/>
              </w:rPr>
            </w:pPr>
            <w:r w:rsidRPr="008B6A75">
              <w:rPr>
                <w:sz w:val="20"/>
                <w:szCs w:val="20"/>
              </w:rPr>
              <w:t>14.0.00.79570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2DF7A34" w14:textId="77777777" w:rsidR="00387142" w:rsidRPr="008B6A75" w:rsidRDefault="00387142" w:rsidP="00387142">
            <w:pPr>
              <w:jc w:val="center"/>
              <w:rPr>
                <w:sz w:val="20"/>
                <w:szCs w:val="20"/>
              </w:rPr>
            </w:pPr>
            <w:r w:rsidRPr="008B6A75">
              <w:rPr>
                <w:sz w:val="20"/>
                <w:szCs w:val="20"/>
              </w:rPr>
              <w:t>600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25FF05D" w14:textId="77777777" w:rsidR="00387142" w:rsidRPr="008B6A75" w:rsidRDefault="00387142" w:rsidP="00387142">
            <w:pPr>
              <w:jc w:val="right"/>
              <w:rPr>
                <w:sz w:val="20"/>
                <w:szCs w:val="20"/>
              </w:rPr>
            </w:pPr>
            <w:r w:rsidRPr="008B6A75">
              <w:rPr>
                <w:sz w:val="20"/>
                <w:szCs w:val="20"/>
              </w:rPr>
              <w:t>228 274,00</w:t>
            </w:r>
          </w:p>
        </w:tc>
        <w:tc>
          <w:tcPr>
            <w:tcW w:w="992" w:type="dxa"/>
            <w:tcBorders>
              <w:top w:val="nil"/>
              <w:left w:val="single" w:sz="4" w:space="0" w:color="auto"/>
              <w:bottom w:val="single" w:sz="4" w:space="0" w:color="auto"/>
              <w:right w:val="nil"/>
            </w:tcBorders>
            <w:shd w:val="clear" w:color="auto" w:fill="auto"/>
            <w:vAlign w:val="center"/>
            <w:hideMark/>
          </w:tcPr>
          <w:p w14:paraId="0594E09A" w14:textId="77777777" w:rsidR="00387142" w:rsidRPr="008B6A75" w:rsidRDefault="00387142" w:rsidP="00387142">
            <w:pPr>
              <w:jc w:val="right"/>
              <w:rPr>
                <w:sz w:val="20"/>
                <w:szCs w:val="20"/>
              </w:rPr>
            </w:pPr>
            <w:r w:rsidRPr="008B6A75">
              <w:rPr>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3B792BFE" w14:textId="77777777" w:rsidR="00387142" w:rsidRPr="008B6A75" w:rsidRDefault="00387142" w:rsidP="00387142">
            <w:pPr>
              <w:jc w:val="right"/>
              <w:rPr>
                <w:sz w:val="20"/>
                <w:szCs w:val="20"/>
              </w:rPr>
            </w:pPr>
            <w:r w:rsidRPr="008B6A75">
              <w:rPr>
                <w:sz w:val="20"/>
                <w:szCs w:val="20"/>
              </w:rPr>
              <w:t>0,00</w:t>
            </w:r>
          </w:p>
        </w:tc>
      </w:tr>
      <w:tr w:rsidR="00387142" w:rsidRPr="008B6A75" w14:paraId="351C4683" w14:textId="77777777" w:rsidTr="00387142">
        <w:trPr>
          <w:trHeight w:val="345"/>
        </w:trPr>
        <w:tc>
          <w:tcPr>
            <w:tcW w:w="3261" w:type="dxa"/>
            <w:tcBorders>
              <w:top w:val="nil"/>
              <w:left w:val="single" w:sz="4" w:space="0" w:color="auto"/>
              <w:bottom w:val="single" w:sz="4" w:space="0" w:color="auto"/>
              <w:right w:val="nil"/>
            </w:tcBorders>
            <w:shd w:val="clear" w:color="auto" w:fill="auto"/>
            <w:vAlign w:val="center"/>
            <w:hideMark/>
          </w:tcPr>
          <w:p w14:paraId="466A7800" w14:textId="77777777" w:rsidR="00387142" w:rsidRPr="008B6A75" w:rsidRDefault="00387142" w:rsidP="00387142">
            <w:pPr>
              <w:rPr>
                <w:sz w:val="20"/>
                <w:szCs w:val="20"/>
              </w:rPr>
            </w:pPr>
            <w:r w:rsidRPr="008B6A75">
              <w:rPr>
                <w:sz w:val="20"/>
                <w:szCs w:val="20"/>
              </w:rPr>
              <w:t>Субсидии бюджетным учреждениям</w:t>
            </w:r>
          </w:p>
        </w:tc>
        <w:tc>
          <w:tcPr>
            <w:tcW w:w="720" w:type="dxa"/>
            <w:tcBorders>
              <w:top w:val="nil"/>
              <w:left w:val="single" w:sz="4" w:space="0" w:color="auto"/>
              <w:bottom w:val="single" w:sz="4" w:space="0" w:color="auto"/>
              <w:right w:val="nil"/>
            </w:tcBorders>
            <w:shd w:val="clear" w:color="auto" w:fill="auto"/>
            <w:noWrap/>
            <w:vAlign w:val="center"/>
            <w:hideMark/>
          </w:tcPr>
          <w:p w14:paraId="7D8A7D13" w14:textId="77777777" w:rsidR="00387142" w:rsidRPr="008B6A75" w:rsidRDefault="00387142" w:rsidP="00387142">
            <w:pPr>
              <w:jc w:val="center"/>
              <w:rPr>
                <w:sz w:val="20"/>
                <w:szCs w:val="20"/>
              </w:rPr>
            </w:pPr>
            <w:r w:rsidRPr="008B6A75">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4ED4361" w14:textId="77777777" w:rsidR="00387142" w:rsidRPr="008B6A75" w:rsidRDefault="00387142" w:rsidP="00387142">
            <w:pPr>
              <w:jc w:val="center"/>
              <w:rPr>
                <w:sz w:val="20"/>
                <w:szCs w:val="20"/>
              </w:rPr>
            </w:pPr>
            <w:r w:rsidRPr="008B6A75">
              <w:rPr>
                <w:sz w:val="20"/>
                <w:szCs w:val="20"/>
              </w:rPr>
              <w:t>07</w:t>
            </w:r>
          </w:p>
        </w:tc>
        <w:tc>
          <w:tcPr>
            <w:tcW w:w="1516" w:type="dxa"/>
            <w:tcBorders>
              <w:top w:val="nil"/>
              <w:left w:val="single" w:sz="4" w:space="0" w:color="auto"/>
              <w:bottom w:val="single" w:sz="4" w:space="0" w:color="auto"/>
              <w:right w:val="nil"/>
            </w:tcBorders>
            <w:shd w:val="clear" w:color="auto" w:fill="auto"/>
            <w:noWrap/>
            <w:vAlign w:val="center"/>
            <w:hideMark/>
          </w:tcPr>
          <w:p w14:paraId="5D3EB548" w14:textId="77777777" w:rsidR="00387142" w:rsidRPr="008B6A75" w:rsidRDefault="00387142" w:rsidP="00387142">
            <w:pPr>
              <w:jc w:val="center"/>
              <w:rPr>
                <w:sz w:val="20"/>
                <w:szCs w:val="20"/>
              </w:rPr>
            </w:pPr>
            <w:r w:rsidRPr="008B6A75">
              <w:rPr>
                <w:sz w:val="20"/>
                <w:szCs w:val="20"/>
              </w:rPr>
              <w:t>14.0.00.79570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9BD6B37" w14:textId="77777777" w:rsidR="00387142" w:rsidRPr="008B6A75" w:rsidRDefault="00387142" w:rsidP="00387142">
            <w:pPr>
              <w:jc w:val="center"/>
              <w:rPr>
                <w:sz w:val="20"/>
                <w:szCs w:val="20"/>
              </w:rPr>
            </w:pPr>
            <w:r w:rsidRPr="008B6A75">
              <w:rPr>
                <w:sz w:val="20"/>
                <w:szCs w:val="20"/>
              </w:rPr>
              <w:t>610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2C6F194" w14:textId="77777777" w:rsidR="00387142" w:rsidRPr="008B6A75" w:rsidRDefault="00387142" w:rsidP="00387142">
            <w:pPr>
              <w:jc w:val="right"/>
              <w:rPr>
                <w:sz w:val="20"/>
                <w:szCs w:val="20"/>
              </w:rPr>
            </w:pPr>
            <w:r w:rsidRPr="008B6A75">
              <w:rPr>
                <w:sz w:val="20"/>
                <w:szCs w:val="20"/>
              </w:rPr>
              <w:t>228 274,00</w:t>
            </w:r>
          </w:p>
        </w:tc>
        <w:tc>
          <w:tcPr>
            <w:tcW w:w="992" w:type="dxa"/>
            <w:tcBorders>
              <w:top w:val="nil"/>
              <w:left w:val="single" w:sz="4" w:space="0" w:color="auto"/>
              <w:bottom w:val="single" w:sz="4" w:space="0" w:color="auto"/>
              <w:right w:val="nil"/>
            </w:tcBorders>
            <w:shd w:val="clear" w:color="auto" w:fill="auto"/>
            <w:vAlign w:val="center"/>
            <w:hideMark/>
          </w:tcPr>
          <w:p w14:paraId="252E7104" w14:textId="77777777" w:rsidR="00387142" w:rsidRPr="008B6A75" w:rsidRDefault="00387142" w:rsidP="00387142">
            <w:pPr>
              <w:jc w:val="right"/>
              <w:rPr>
                <w:sz w:val="20"/>
                <w:szCs w:val="20"/>
              </w:rPr>
            </w:pPr>
            <w:r w:rsidRPr="008B6A75">
              <w:rPr>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01B26D6B" w14:textId="77777777" w:rsidR="00387142" w:rsidRPr="008B6A75" w:rsidRDefault="00387142" w:rsidP="00387142">
            <w:pPr>
              <w:jc w:val="right"/>
              <w:rPr>
                <w:sz w:val="20"/>
                <w:szCs w:val="20"/>
              </w:rPr>
            </w:pPr>
            <w:r w:rsidRPr="008B6A75">
              <w:rPr>
                <w:sz w:val="20"/>
                <w:szCs w:val="20"/>
              </w:rPr>
              <w:t>0,00</w:t>
            </w:r>
          </w:p>
        </w:tc>
      </w:tr>
      <w:tr w:rsidR="00387142" w:rsidRPr="008B6A75" w14:paraId="36001265" w14:textId="77777777" w:rsidTr="00387142">
        <w:trPr>
          <w:trHeight w:val="870"/>
        </w:trPr>
        <w:tc>
          <w:tcPr>
            <w:tcW w:w="3261" w:type="dxa"/>
            <w:tcBorders>
              <w:top w:val="nil"/>
              <w:left w:val="single" w:sz="4" w:space="0" w:color="auto"/>
              <w:bottom w:val="single" w:sz="4" w:space="0" w:color="auto"/>
              <w:right w:val="nil"/>
            </w:tcBorders>
            <w:shd w:val="clear" w:color="auto" w:fill="auto"/>
            <w:vAlign w:val="center"/>
            <w:hideMark/>
          </w:tcPr>
          <w:p w14:paraId="18C9E29E" w14:textId="77777777" w:rsidR="00387142" w:rsidRPr="008B6A75" w:rsidRDefault="00387142" w:rsidP="00387142">
            <w:pPr>
              <w:rPr>
                <w:bCs/>
                <w:sz w:val="20"/>
                <w:szCs w:val="20"/>
              </w:rPr>
            </w:pPr>
            <w:r w:rsidRPr="008B6A75">
              <w:rPr>
                <w:bCs/>
                <w:sz w:val="20"/>
                <w:szCs w:val="20"/>
              </w:rPr>
              <w:t>Муниципальная программа "Профилактика правонарушений, терроризма и экстремизма на территории Куйбышевского района"</w:t>
            </w:r>
          </w:p>
        </w:tc>
        <w:tc>
          <w:tcPr>
            <w:tcW w:w="720" w:type="dxa"/>
            <w:tcBorders>
              <w:top w:val="nil"/>
              <w:left w:val="single" w:sz="4" w:space="0" w:color="auto"/>
              <w:bottom w:val="single" w:sz="4" w:space="0" w:color="auto"/>
              <w:right w:val="nil"/>
            </w:tcBorders>
            <w:shd w:val="clear" w:color="auto" w:fill="auto"/>
            <w:noWrap/>
            <w:vAlign w:val="center"/>
            <w:hideMark/>
          </w:tcPr>
          <w:p w14:paraId="14077568" w14:textId="77777777" w:rsidR="00387142" w:rsidRPr="008B6A75" w:rsidRDefault="00387142" w:rsidP="00387142">
            <w:pPr>
              <w:jc w:val="center"/>
              <w:rPr>
                <w:bCs/>
                <w:sz w:val="20"/>
                <w:szCs w:val="20"/>
              </w:rPr>
            </w:pPr>
            <w:r w:rsidRPr="008B6A75">
              <w:rPr>
                <w:bCs/>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D2FDE7C" w14:textId="77777777" w:rsidR="00387142" w:rsidRPr="008B6A75" w:rsidRDefault="00387142" w:rsidP="00387142">
            <w:pPr>
              <w:jc w:val="center"/>
              <w:rPr>
                <w:bCs/>
                <w:sz w:val="20"/>
                <w:szCs w:val="20"/>
              </w:rPr>
            </w:pPr>
            <w:r w:rsidRPr="008B6A75">
              <w:rPr>
                <w:bCs/>
                <w:sz w:val="20"/>
                <w:szCs w:val="20"/>
              </w:rPr>
              <w:t>07</w:t>
            </w:r>
          </w:p>
        </w:tc>
        <w:tc>
          <w:tcPr>
            <w:tcW w:w="1516" w:type="dxa"/>
            <w:tcBorders>
              <w:top w:val="nil"/>
              <w:left w:val="single" w:sz="4" w:space="0" w:color="auto"/>
              <w:bottom w:val="single" w:sz="4" w:space="0" w:color="auto"/>
              <w:right w:val="nil"/>
            </w:tcBorders>
            <w:shd w:val="clear" w:color="auto" w:fill="auto"/>
            <w:noWrap/>
            <w:vAlign w:val="center"/>
            <w:hideMark/>
          </w:tcPr>
          <w:p w14:paraId="307734BB" w14:textId="77777777" w:rsidR="00387142" w:rsidRPr="008B6A75" w:rsidRDefault="00387142" w:rsidP="00387142">
            <w:pPr>
              <w:jc w:val="center"/>
              <w:rPr>
                <w:bCs/>
                <w:sz w:val="20"/>
                <w:szCs w:val="20"/>
              </w:rPr>
            </w:pPr>
            <w:r w:rsidRPr="008B6A75">
              <w:rPr>
                <w:bCs/>
                <w:sz w:val="20"/>
                <w:szCs w:val="20"/>
              </w:rPr>
              <w:t>16.0.00.00000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82EC32C"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50255A2" w14:textId="77777777" w:rsidR="00387142" w:rsidRPr="008B6A75" w:rsidRDefault="00387142" w:rsidP="00387142">
            <w:pPr>
              <w:jc w:val="right"/>
              <w:rPr>
                <w:bCs/>
                <w:sz w:val="20"/>
                <w:szCs w:val="20"/>
              </w:rPr>
            </w:pPr>
            <w:r w:rsidRPr="008B6A75">
              <w:rPr>
                <w:bCs/>
                <w:sz w:val="20"/>
                <w:szCs w:val="20"/>
              </w:rPr>
              <w:t>166 000,00</w:t>
            </w:r>
          </w:p>
        </w:tc>
        <w:tc>
          <w:tcPr>
            <w:tcW w:w="992" w:type="dxa"/>
            <w:tcBorders>
              <w:top w:val="nil"/>
              <w:left w:val="single" w:sz="4" w:space="0" w:color="auto"/>
              <w:bottom w:val="single" w:sz="4" w:space="0" w:color="auto"/>
              <w:right w:val="nil"/>
            </w:tcBorders>
            <w:shd w:val="clear" w:color="auto" w:fill="auto"/>
            <w:vAlign w:val="center"/>
            <w:hideMark/>
          </w:tcPr>
          <w:p w14:paraId="259C2236" w14:textId="77777777" w:rsidR="00387142" w:rsidRPr="008B6A75" w:rsidRDefault="00387142" w:rsidP="00387142">
            <w:pPr>
              <w:jc w:val="right"/>
              <w:rPr>
                <w:bCs/>
                <w:sz w:val="20"/>
                <w:szCs w:val="20"/>
              </w:rPr>
            </w:pPr>
            <w:r w:rsidRPr="008B6A75">
              <w:rPr>
                <w:bCs/>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71D93CD8" w14:textId="77777777" w:rsidR="00387142" w:rsidRPr="008B6A75" w:rsidRDefault="00387142" w:rsidP="00387142">
            <w:pPr>
              <w:jc w:val="right"/>
              <w:rPr>
                <w:bCs/>
                <w:sz w:val="20"/>
                <w:szCs w:val="20"/>
              </w:rPr>
            </w:pPr>
            <w:r w:rsidRPr="008B6A75">
              <w:rPr>
                <w:bCs/>
                <w:sz w:val="20"/>
                <w:szCs w:val="20"/>
              </w:rPr>
              <w:t>0,00</w:t>
            </w:r>
          </w:p>
        </w:tc>
      </w:tr>
      <w:tr w:rsidR="00387142" w:rsidRPr="008B6A75" w14:paraId="3B05D795" w14:textId="77777777" w:rsidTr="00387142">
        <w:trPr>
          <w:trHeight w:val="1155"/>
        </w:trPr>
        <w:tc>
          <w:tcPr>
            <w:tcW w:w="3261" w:type="dxa"/>
            <w:tcBorders>
              <w:top w:val="nil"/>
              <w:left w:val="single" w:sz="4" w:space="0" w:color="auto"/>
              <w:bottom w:val="single" w:sz="4" w:space="0" w:color="auto"/>
              <w:right w:val="nil"/>
            </w:tcBorders>
            <w:shd w:val="clear" w:color="auto" w:fill="auto"/>
            <w:vAlign w:val="center"/>
            <w:hideMark/>
          </w:tcPr>
          <w:p w14:paraId="3BCE8422" w14:textId="77777777" w:rsidR="00387142" w:rsidRPr="008B6A75" w:rsidRDefault="00387142" w:rsidP="00387142">
            <w:pPr>
              <w:rPr>
                <w:bCs/>
                <w:sz w:val="20"/>
                <w:szCs w:val="20"/>
              </w:rPr>
            </w:pPr>
            <w:r w:rsidRPr="008B6A75">
              <w:rPr>
                <w:bCs/>
                <w:sz w:val="20"/>
                <w:szCs w:val="20"/>
              </w:rPr>
              <w:t>Реализация мероприятий муниципальной программы "Профилактика правонарушений, терроризма и экстремизма на территории Куйбышевского района"</w:t>
            </w:r>
          </w:p>
        </w:tc>
        <w:tc>
          <w:tcPr>
            <w:tcW w:w="720" w:type="dxa"/>
            <w:tcBorders>
              <w:top w:val="nil"/>
              <w:left w:val="single" w:sz="4" w:space="0" w:color="auto"/>
              <w:bottom w:val="single" w:sz="4" w:space="0" w:color="auto"/>
              <w:right w:val="nil"/>
            </w:tcBorders>
            <w:shd w:val="clear" w:color="auto" w:fill="auto"/>
            <w:noWrap/>
            <w:vAlign w:val="center"/>
            <w:hideMark/>
          </w:tcPr>
          <w:p w14:paraId="7CAFE537" w14:textId="77777777" w:rsidR="00387142" w:rsidRPr="008B6A75" w:rsidRDefault="00387142" w:rsidP="00387142">
            <w:pPr>
              <w:jc w:val="center"/>
              <w:rPr>
                <w:bCs/>
                <w:sz w:val="20"/>
                <w:szCs w:val="20"/>
              </w:rPr>
            </w:pPr>
            <w:r w:rsidRPr="008B6A75">
              <w:rPr>
                <w:bCs/>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2F95928" w14:textId="77777777" w:rsidR="00387142" w:rsidRPr="008B6A75" w:rsidRDefault="00387142" w:rsidP="00387142">
            <w:pPr>
              <w:jc w:val="center"/>
              <w:rPr>
                <w:bCs/>
                <w:sz w:val="20"/>
                <w:szCs w:val="20"/>
              </w:rPr>
            </w:pPr>
            <w:r w:rsidRPr="008B6A75">
              <w:rPr>
                <w:bCs/>
                <w:sz w:val="20"/>
                <w:szCs w:val="20"/>
              </w:rPr>
              <w:t>07</w:t>
            </w:r>
          </w:p>
        </w:tc>
        <w:tc>
          <w:tcPr>
            <w:tcW w:w="1516" w:type="dxa"/>
            <w:tcBorders>
              <w:top w:val="nil"/>
              <w:left w:val="single" w:sz="4" w:space="0" w:color="auto"/>
              <w:bottom w:val="single" w:sz="4" w:space="0" w:color="auto"/>
              <w:right w:val="nil"/>
            </w:tcBorders>
            <w:shd w:val="clear" w:color="auto" w:fill="auto"/>
            <w:noWrap/>
            <w:vAlign w:val="center"/>
            <w:hideMark/>
          </w:tcPr>
          <w:p w14:paraId="32DE15D8" w14:textId="77777777" w:rsidR="00387142" w:rsidRPr="008B6A75" w:rsidRDefault="00387142" w:rsidP="00387142">
            <w:pPr>
              <w:jc w:val="center"/>
              <w:rPr>
                <w:bCs/>
                <w:sz w:val="20"/>
                <w:szCs w:val="20"/>
              </w:rPr>
            </w:pPr>
            <w:r w:rsidRPr="008B6A75">
              <w:rPr>
                <w:bCs/>
                <w:sz w:val="20"/>
                <w:szCs w:val="20"/>
              </w:rPr>
              <w:t>16.0.00.79500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CF8CFCC"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04884CC" w14:textId="77777777" w:rsidR="00387142" w:rsidRPr="008B6A75" w:rsidRDefault="00387142" w:rsidP="00387142">
            <w:pPr>
              <w:jc w:val="right"/>
              <w:rPr>
                <w:bCs/>
                <w:sz w:val="20"/>
                <w:szCs w:val="20"/>
              </w:rPr>
            </w:pPr>
            <w:r w:rsidRPr="008B6A75">
              <w:rPr>
                <w:bCs/>
                <w:sz w:val="20"/>
                <w:szCs w:val="20"/>
              </w:rPr>
              <w:t>166 000,00</w:t>
            </w:r>
          </w:p>
        </w:tc>
        <w:tc>
          <w:tcPr>
            <w:tcW w:w="992" w:type="dxa"/>
            <w:tcBorders>
              <w:top w:val="nil"/>
              <w:left w:val="single" w:sz="4" w:space="0" w:color="auto"/>
              <w:bottom w:val="single" w:sz="4" w:space="0" w:color="auto"/>
              <w:right w:val="nil"/>
            </w:tcBorders>
            <w:shd w:val="clear" w:color="auto" w:fill="auto"/>
            <w:vAlign w:val="center"/>
            <w:hideMark/>
          </w:tcPr>
          <w:p w14:paraId="391B6F16" w14:textId="77777777" w:rsidR="00387142" w:rsidRPr="008B6A75" w:rsidRDefault="00387142" w:rsidP="00387142">
            <w:pPr>
              <w:jc w:val="right"/>
              <w:rPr>
                <w:bCs/>
                <w:sz w:val="20"/>
                <w:szCs w:val="20"/>
              </w:rPr>
            </w:pPr>
            <w:r w:rsidRPr="008B6A75">
              <w:rPr>
                <w:bCs/>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6C8164D3" w14:textId="77777777" w:rsidR="00387142" w:rsidRPr="008B6A75" w:rsidRDefault="00387142" w:rsidP="00387142">
            <w:pPr>
              <w:jc w:val="right"/>
              <w:rPr>
                <w:bCs/>
                <w:sz w:val="20"/>
                <w:szCs w:val="20"/>
              </w:rPr>
            </w:pPr>
            <w:r w:rsidRPr="008B6A75">
              <w:rPr>
                <w:bCs/>
                <w:sz w:val="20"/>
                <w:szCs w:val="20"/>
              </w:rPr>
              <w:t>0,00</w:t>
            </w:r>
          </w:p>
        </w:tc>
      </w:tr>
      <w:tr w:rsidR="00387142" w:rsidRPr="008B6A75" w14:paraId="7AB71A5B" w14:textId="77777777" w:rsidTr="00387142">
        <w:trPr>
          <w:trHeight w:val="345"/>
        </w:trPr>
        <w:tc>
          <w:tcPr>
            <w:tcW w:w="3261" w:type="dxa"/>
            <w:tcBorders>
              <w:top w:val="nil"/>
              <w:left w:val="single" w:sz="4" w:space="0" w:color="auto"/>
              <w:bottom w:val="single" w:sz="4" w:space="0" w:color="auto"/>
              <w:right w:val="nil"/>
            </w:tcBorders>
            <w:shd w:val="clear" w:color="auto" w:fill="auto"/>
            <w:vAlign w:val="center"/>
            <w:hideMark/>
          </w:tcPr>
          <w:p w14:paraId="6A2C3C61" w14:textId="77777777" w:rsidR="00387142" w:rsidRPr="008B6A75" w:rsidRDefault="00387142" w:rsidP="00387142">
            <w:pPr>
              <w:rPr>
                <w:sz w:val="20"/>
                <w:szCs w:val="20"/>
              </w:rPr>
            </w:pPr>
            <w:r w:rsidRPr="008B6A75">
              <w:rPr>
                <w:sz w:val="20"/>
                <w:szCs w:val="20"/>
              </w:rPr>
              <w:t>Межбюджетные трансферты</w:t>
            </w:r>
          </w:p>
        </w:tc>
        <w:tc>
          <w:tcPr>
            <w:tcW w:w="720" w:type="dxa"/>
            <w:tcBorders>
              <w:top w:val="nil"/>
              <w:left w:val="single" w:sz="4" w:space="0" w:color="auto"/>
              <w:bottom w:val="single" w:sz="4" w:space="0" w:color="auto"/>
              <w:right w:val="nil"/>
            </w:tcBorders>
            <w:shd w:val="clear" w:color="auto" w:fill="auto"/>
            <w:noWrap/>
            <w:vAlign w:val="center"/>
            <w:hideMark/>
          </w:tcPr>
          <w:p w14:paraId="3E15397E" w14:textId="77777777" w:rsidR="00387142" w:rsidRPr="008B6A75" w:rsidRDefault="00387142" w:rsidP="00387142">
            <w:pPr>
              <w:jc w:val="center"/>
              <w:rPr>
                <w:sz w:val="20"/>
                <w:szCs w:val="20"/>
              </w:rPr>
            </w:pPr>
            <w:r w:rsidRPr="008B6A75">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F4B71F6" w14:textId="77777777" w:rsidR="00387142" w:rsidRPr="008B6A75" w:rsidRDefault="00387142" w:rsidP="00387142">
            <w:pPr>
              <w:jc w:val="center"/>
              <w:rPr>
                <w:sz w:val="20"/>
                <w:szCs w:val="20"/>
              </w:rPr>
            </w:pPr>
            <w:r w:rsidRPr="008B6A75">
              <w:rPr>
                <w:sz w:val="20"/>
                <w:szCs w:val="20"/>
              </w:rPr>
              <w:t>07</w:t>
            </w:r>
          </w:p>
        </w:tc>
        <w:tc>
          <w:tcPr>
            <w:tcW w:w="1516" w:type="dxa"/>
            <w:tcBorders>
              <w:top w:val="nil"/>
              <w:left w:val="single" w:sz="4" w:space="0" w:color="auto"/>
              <w:bottom w:val="single" w:sz="4" w:space="0" w:color="auto"/>
              <w:right w:val="nil"/>
            </w:tcBorders>
            <w:shd w:val="clear" w:color="auto" w:fill="auto"/>
            <w:noWrap/>
            <w:vAlign w:val="center"/>
            <w:hideMark/>
          </w:tcPr>
          <w:p w14:paraId="1C5FC662" w14:textId="77777777" w:rsidR="00387142" w:rsidRPr="008B6A75" w:rsidRDefault="00387142" w:rsidP="00387142">
            <w:pPr>
              <w:jc w:val="center"/>
              <w:rPr>
                <w:sz w:val="20"/>
                <w:szCs w:val="20"/>
              </w:rPr>
            </w:pPr>
            <w:r w:rsidRPr="008B6A75">
              <w:rPr>
                <w:sz w:val="20"/>
                <w:szCs w:val="20"/>
              </w:rPr>
              <w:t>16.0.00.79500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14A532D" w14:textId="77777777" w:rsidR="00387142" w:rsidRPr="008B6A75" w:rsidRDefault="00387142" w:rsidP="00387142">
            <w:pPr>
              <w:jc w:val="center"/>
              <w:rPr>
                <w:sz w:val="20"/>
                <w:szCs w:val="20"/>
              </w:rPr>
            </w:pPr>
            <w:r w:rsidRPr="008B6A75">
              <w:rPr>
                <w:sz w:val="20"/>
                <w:szCs w:val="20"/>
              </w:rPr>
              <w:t>500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B65BA51" w14:textId="77777777" w:rsidR="00387142" w:rsidRPr="008B6A75" w:rsidRDefault="00387142" w:rsidP="00387142">
            <w:pPr>
              <w:jc w:val="right"/>
              <w:rPr>
                <w:sz w:val="20"/>
                <w:szCs w:val="20"/>
              </w:rPr>
            </w:pPr>
            <w:r w:rsidRPr="008B6A75">
              <w:rPr>
                <w:sz w:val="20"/>
                <w:szCs w:val="20"/>
              </w:rPr>
              <w:t>6 000,00</w:t>
            </w:r>
          </w:p>
        </w:tc>
        <w:tc>
          <w:tcPr>
            <w:tcW w:w="992" w:type="dxa"/>
            <w:tcBorders>
              <w:top w:val="nil"/>
              <w:left w:val="single" w:sz="4" w:space="0" w:color="auto"/>
              <w:bottom w:val="single" w:sz="4" w:space="0" w:color="auto"/>
              <w:right w:val="nil"/>
            </w:tcBorders>
            <w:shd w:val="clear" w:color="auto" w:fill="auto"/>
            <w:vAlign w:val="center"/>
            <w:hideMark/>
          </w:tcPr>
          <w:p w14:paraId="48A98E84" w14:textId="77777777" w:rsidR="00387142" w:rsidRPr="008B6A75" w:rsidRDefault="00387142" w:rsidP="00387142">
            <w:pPr>
              <w:jc w:val="right"/>
              <w:rPr>
                <w:sz w:val="20"/>
                <w:szCs w:val="20"/>
              </w:rPr>
            </w:pPr>
            <w:r w:rsidRPr="008B6A75">
              <w:rPr>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2BCD36AB" w14:textId="77777777" w:rsidR="00387142" w:rsidRPr="008B6A75" w:rsidRDefault="00387142" w:rsidP="00387142">
            <w:pPr>
              <w:jc w:val="right"/>
              <w:rPr>
                <w:sz w:val="20"/>
                <w:szCs w:val="20"/>
              </w:rPr>
            </w:pPr>
            <w:r w:rsidRPr="008B6A75">
              <w:rPr>
                <w:sz w:val="20"/>
                <w:szCs w:val="20"/>
              </w:rPr>
              <w:t>0,00</w:t>
            </w:r>
          </w:p>
        </w:tc>
      </w:tr>
      <w:tr w:rsidR="00387142" w:rsidRPr="008B6A75" w14:paraId="2E0AD839" w14:textId="77777777" w:rsidTr="00387142">
        <w:trPr>
          <w:trHeight w:val="345"/>
        </w:trPr>
        <w:tc>
          <w:tcPr>
            <w:tcW w:w="3261" w:type="dxa"/>
            <w:tcBorders>
              <w:top w:val="nil"/>
              <w:left w:val="single" w:sz="4" w:space="0" w:color="auto"/>
              <w:bottom w:val="single" w:sz="4" w:space="0" w:color="auto"/>
              <w:right w:val="nil"/>
            </w:tcBorders>
            <w:shd w:val="clear" w:color="auto" w:fill="auto"/>
            <w:vAlign w:val="center"/>
            <w:hideMark/>
          </w:tcPr>
          <w:p w14:paraId="5D7B05E6" w14:textId="77777777" w:rsidR="00387142" w:rsidRPr="008B6A75" w:rsidRDefault="00387142" w:rsidP="00387142">
            <w:pPr>
              <w:rPr>
                <w:sz w:val="20"/>
                <w:szCs w:val="20"/>
              </w:rPr>
            </w:pPr>
            <w:r w:rsidRPr="008B6A75">
              <w:rPr>
                <w:sz w:val="20"/>
                <w:szCs w:val="20"/>
              </w:rPr>
              <w:t>Иные межбюджетные трансферты</w:t>
            </w:r>
          </w:p>
        </w:tc>
        <w:tc>
          <w:tcPr>
            <w:tcW w:w="720" w:type="dxa"/>
            <w:tcBorders>
              <w:top w:val="nil"/>
              <w:left w:val="single" w:sz="4" w:space="0" w:color="auto"/>
              <w:bottom w:val="single" w:sz="4" w:space="0" w:color="auto"/>
              <w:right w:val="nil"/>
            </w:tcBorders>
            <w:shd w:val="clear" w:color="auto" w:fill="auto"/>
            <w:noWrap/>
            <w:vAlign w:val="center"/>
            <w:hideMark/>
          </w:tcPr>
          <w:p w14:paraId="539E37AC" w14:textId="77777777" w:rsidR="00387142" w:rsidRPr="008B6A75" w:rsidRDefault="00387142" w:rsidP="00387142">
            <w:pPr>
              <w:jc w:val="center"/>
              <w:rPr>
                <w:sz w:val="20"/>
                <w:szCs w:val="20"/>
              </w:rPr>
            </w:pPr>
            <w:r w:rsidRPr="008B6A75">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7CAA9A2" w14:textId="77777777" w:rsidR="00387142" w:rsidRPr="008B6A75" w:rsidRDefault="00387142" w:rsidP="00387142">
            <w:pPr>
              <w:jc w:val="center"/>
              <w:rPr>
                <w:sz w:val="20"/>
                <w:szCs w:val="20"/>
              </w:rPr>
            </w:pPr>
            <w:r w:rsidRPr="008B6A75">
              <w:rPr>
                <w:sz w:val="20"/>
                <w:szCs w:val="20"/>
              </w:rPr>
              <w:t>07</w:t>
            </w:r>
          </w:p>
        </w:tc>
        <w:tc>
          <w:tcPr>
            <w:tcW w:w="1516" w:type="dxa"/>
            <w:tcBorders>
              <w:top w:val="nil"/>
              <w:left w:val="single" w:sz="4" w:space="0" w:color="auto"/>
              <w:bottom w:val="single" w:sz="4" w:space="0" w:color="auto"/>
              <w:right w:val="nil"/>
            </w:tcBorders>
            <w:shd w:val="clear" w:color="auto" w:fill="auto"/>
            <w:noWrap/>
            <w:vAlign w:val="center"/>
            <w:hideMark/>
          </w:tcPr>
          <w:p w14:paraId="34DA9820" w14:textId="77777777" w:rsidR="00387142" w:rsidRPr="008B6A75" w:rsidRDefault="00387142" w:rsidP="00387142">
            <w:pPr>
              <w:jc w:val="center"/>
              <w:rPr>
                <w:sz w:val="20"/>
                <w:szCs w:val="20"/>
              </w:rPr>
            </w:pPr>
            <w:r w:rsidRPr="008B6A75">
              <w:rPr>
                <w:sz w:val="20"/>
                <w:szCs w:val="20"/>
              </w:rPr>
              <w:t>16.0.00.79500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10AC93C" w14:textId="77777777" w:rsidR="00387142" w:rsidRPr="008B6A75" w:rsidRDefault="00387142" w:rsidP="00387142">
            <w:pPr>
              <w:jc w:val="center"/>
              <w:rPr>
                <w:sz w:val="20"/>
                <w:szCs w:val="20"/>
              </w:rPr>
            </w:pPr>
            <w:r w:rsidRPr="008B6A75">
              <w:rPr>
                <w:sz w:val="20"/>
                <w:szCs w:val="20"/>
              </w:rPr>
              <w:t>540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5D6D2D2" w14:textId="77777777" w:rsidR="00387142" w:rsidRPr="008B6A75" w:rsidRDefault="00387142" w:rsidP="00387142">
            <w:pPr>
              <w:jc w:val="right"/>
              <w:rPr>
                <w:sz w:val="20"/>
                <w:szCs w:val="20"/>
              </w:rPr>
            </w:pPr>
            <w:r w:rsidRPr="008B6A75">
              <w:rPr>
                <w:sz w:val="20"/>
                <w:szCs w:val="20"/>
              </w:rPr>
              <w:t>6 000,00</w:t>
            </w:r>
          </w:p>
        </w:tc>
        <w:tc>
          <w:tcPr>
            <w:tcW w:w="992" w:type="dxa"/>
            <w:tcBorders>
              <w:top w:val="nil"/>
              <w:left w:val="single" w:sz="4" w:space="0" w:color="auto"/>
              <w:bottom w:val="single" w:sz="4" w:space="0" w:color="auto"/>
              <w:right w:val="nil"/>
            </w:tcBorders>
            <w:shd w:val="clear" w:color="auto" w:fill="auto"/>
            <w:vAlign w:val="center"/>
            <w:hideMark/>
          </w:tcPr>
          <w:p w14:paraId="2D629BD4" w14:textId="77777777" w:rsidR="00387142" w:rsidRPr="008B6A75" w:rsidRDefault="00387142" w:rsidP="00387142">
            <w:pPr>
              <w:jc w:val="right"/>
              <w:rPr>
                <w:sz w:val="20"/>
                <w:szCs w:val="20"/>
              </w:rPr>
            </w:pPr>
            <w:r w:rsidRPr="008B6A75">
              <w:rPr>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3B00F02E" w14:textId="77777777" w:rsidR="00387142" w:rsidRPr="008B6A75" w:rsidRDefault="00387142" w:rsidP="00387142">
            <w:pPr>
              <w:jc w:val="right"/>
              <w:rPr>
                <w:sz w:val="20"/>
                <w:szCs w:val="20"/>
              </w:rPr>
            </w:pPr>
            <w:r w:rsidRPr="008B6A75">
              <w:rPr>
                <w:sz w:val="20"/>
                <w:szCs w:val="20"/>
              </w:rPr>
              <w:t>0,00</w:t>
            </w:r>
          </w:p>
        </w:tc>
      </w:tr>
      <w:tr w:rsidR="00387142" w:rsidRPr="008B6A75" w14:paraId="3B8684EA" w14:textId="77777777" w:rsidTr="00387142">
        <w:trPr>
          <w:trHeight w:val="870"/>
        </w:trPr>
        <w:tc>
          <w:tcPr>
            <w:tcW w:w="3261" w:type="dxa"/>
            <w:tcBorders>
              <w:top w:val="nil"/>
              <w:left w:val="single" w:sz="4" w:space="0" w:color="auto"/>
              <w:bottom w:val="single" w:sz="4" w:space="0" w:color="auto"/>
              <w:right w:val="nil"/>
            </w:tcBorders>
            <w:shd w:val="clear" w:color="auto" w:fill="auto"/>
            <w:vAlign w:val="center"/>
            <w:hideMark/>
          </w:tcPr>
          <w:p w14:paraId="7115CF6E" w14:textId="77777777" w:rsidR="00387142" w:rsidRPr="008B6A75" w:rsidRDefault="00387142" w:rsidP="00387142">
            <w:pPr>
              <w:rPr>
                <w:sz w:val="20"/>
                <w:szCs w:val="20"/>
              </w:rPr>
            </w:pPr>
            <w:r w:rsidRPr="008B6A75">
              <w:rPr>
                <w:sz w:val="20"/>
                <w:szCs w:val="20"/>
              </w:rPr>
              <w:t>Предоставление субсидий бюджетным, автономным учреждениям и иным некоммерческим организациям</w:t>
            </w:r>
          </w:p>
        </w:tc>
        <w:tc>
          <w:tcPr>
            <w:tcW w:w="720" w:type="dxa"/>
            <w:tcBorders>
              <w:top w:val="nil"/>
              <w:left w:val="single" w:sz="4" w:space="0" w:color="auto"/>
              <w:bottom w:val="single" w:sz="4" w:space="0" w:color="auto"/>
              <w:right w:val="nil"/>
            </w:tcBorders>
            <w:shd w:val="clear" w:color="auto" w:fill="auto"/>
            <w:noWrap/>
            <w:vAlign w:val="center"/>
            <w:hideMark/>
          </w:tcPr>
          <w:p w14:paraId="6CC3AF29" w14:textId="77777777" w:rsidR="00387142" w:rsidRPr="008B6A75" w:rsidRDefault="00387142" w:rsidP="00387142">
            <w:pPr>
              <w:jc w:val="center"/>
              <w:rPr>
                <w:sz w:val="20"/>
                <w:szCs w:val="20"/>
              </w:rPr>
            </w:pPr>
            <w:r w:rsidRPr="008B6A75">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A23B002" w14:textId="77777777" w:rsidR="00387142" w:rsidRPr="008B6A75" w:rsidRDefault="00387142" w:rsidP="00387142">
            <w:pPr>
              <w:jc w:val="center"/>
              <w:rPr>
                <w:sz w:val="20"/>
                <w:szCs w:val="20"/>
              </w:rPr>
            </w:pPr>
            <w:r w:rsidRPr="008B6A75">
              <w:rPr>
                <w:sz w:val="20"/>
                <w:szCs w:val="20"/>
              </w:rPr>
              <w:t>07</w:t>
            </w:r>
          </w:p>
        </w:tc>
        <w:tc>
          <w:tcPr>
            <w:tcW w:w="1516" w:type="dxa"/>
            <w:tcBorders>
              <w:top w:val="nil"/>
              <w:left w:val="single" w:sz="4" w:space="0" w:color="auto"/>
              <w:bottom w:val="single" w:sz="4" w:space="0" w:color="auto"/>
              <w:right w:val="nil"/>
            </w:tcBorders>
            <w:shd w:val="clear" w:color="auto" w:fill="auto"/>
            <w:noWrap/>
            <w:vAlign w:val="center"/>
            <w:hideMark/>
          </w:tcPr>
          <w:p w14:paraId="3623F6CC" w14:textId="77777777" w:rsidR="00387142" w:rsidRPr="008B6A75" w:rsidRDefault="00387142" w:rsidP="00387142">
            <w:pPr>
              <w:jc w:val="center"/>
              <w:rPr>
                <w:sz w:val="20"/>
                <w:szCs w:val="20"/>
              </w:rPr>
            </w:pPr>
            <w:r w:rsidRPr="008B6A75">
              <w:rPr>
                <w:sz w:val="20"/>
                <w:szCs w:val="20"/>
              </w:rPr>
              <w:t>16.0.00.79500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CBFC12F" w14:textId="77777777" w:rsidR="00387142" w:rsidRPr="008B6A75" w:rsidRDefault="00387142" w:rsidP="00387142">
            <w:pPr>
              <w:jc w:val="center"/>
              <w:rPr>
                <w:sz w:val="20"/>
                <w:szCs w:val="20"/>
              </w:rPr>
            </w:pPr>
            <w:r w:rsidRPr="008B6A75">
              <w:rPr>
                <w:sz w:val="20"/>
                <w:szCs w:val="20"/>
              </w:rPr>
              <w:t>600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362F016" w14:textId="77777777" w:rsidR="00387142" w:rsidRPr="008B6A75" w:rsidRDefault="00387142" w:rsidP="00387142">
            <w:pPr>
              <w:jc w:val="right"/>
              <w:rPr>
                <w:sz w:val="20"/>
                <w:szCs w:val="20"/>
              </w:rPr>
            </w:pPr>
            <w:r w:rsidRPr="008B6A75">
              <w:rPr>
                <w:sz w:val="20"/>
                <w:szCs w:val="20"/>
              </w:rPr>
              <w:t>160 000,00</w:t>
            </w:r>
          </w:p>
        </w:tc>
        <w:tc>
          <w:tcPr>
            <w:tcW w:w="992" w:type="dxa"/>
            <w:tcBorders>
              <w:top w:val="nil"/>
              <w:left w:val="single" w:sz="4" w:space="0" w:color="auto"/>
              <w:bottom w:val="single" w:sz="4" w:space="0" w:color="auto"/>
              <w:right w:val="nil"/>
            </w:tcBorders>
            <w:shd w:val="clear" w:color="auto" w:fill="auto"/>
            <w:vAlign w:val="center"/>
            <w:hideMark/>
          </w:tcPr>
          <w:p w14:paraId="05A11E77" w14:textId="77777777" w:rsidR="00387142" w:rsidRPr="008B6A75" w:rsidRDefault="00387142" w:rsidP="00387142">
            <w:pPr>
              <w:jc w:val="right"/>
              <w:rPr>
                <w:sz w:val="20"/>
                <w:szCs w:val="20"/>
              </w:rPr>
            </w:pPr>
            <w:r w:rsidRPr="008B6A75">
              <w:rPr>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111A5DA0" w14:textId="77777777" w:rsidR="00387142" w:rsidRPr="008B6A75" w:rsidRDefault="00387142" w:rsidP="00387142">
            <w:pPr>
              <w:jc w:val="right"/>
              <w:rPr>
                <w:sz w:val="20"/>
                <w:szCs w:val="20"/>
              </w:rPr>
            </w:pPr>
            <w:r w:rsidRPr="008B6A75">
              <w:rPr>
                <w:sz w:val="20"/>
                <w:szCs w:val="20"/>
              </w:rPr>
              <w:t>0,00</w:t>
            </w:r>
          </w:p>
        </w:tc>
      </w:tr>
      <w:tr w:rsidR="00387142" w:rsidRPr="008B6A75" w14:paraId="161BBF32" w14:textId="77777777" w:rsidTr="00387142">
        <w:trPr>
          <w:trHeight w:val="345"/>
        </w:trPr>
        <w:tc>
          <w:tcPr>
            <w:tcW w:w="3261" w:type="dxa"/>
            <w:tcBorders>
              <w:top w:val="nil"/>
              <w:left w:val="single" w:sz="4" w:space="0" w:color="auto"/>
              <w:bottom w:val="single" w:sz="4" w:space="0" w:color="auto"/>
              <w:right w:val="nil"/>
            </w:tcBorders>
            <w:shd w:val="clear" w:color="auto" w:fill="auto"/>
            <w:vAlign w:val="center"/>
            <w:hideMark/>
          </w:tcPr>
          <w:p w14:paraId="32A5CAEB" w14:textId="77777777" w:rsidR="00387142" w:rsidRPr="008B6A75" w:rsidRDefault="00387142" w:rsidP="00387142">
            <w:pPr>
              <w:rPr>
                <w:sz w:val="20"/>
                <w:szCs w:val="20"/>
              </w:rPr>
            </w:pPr>
            <w:r w:rsidRPr="008B6A75">
              <w:rPr>
                <w:sz w:val="20"/>
                <w:szCs w:val="20"/>
              </w:rPr>
              <w:t>Субсидии бюджетным учреждениям</w:t>
            </w:r>
          </w:p>
        </w:tc>
        <w:tc>
          <w:tcPr>
            <w:tcW w:w="720" w:type="dxa"/>
            <w:tcBorders>
              <w:top w:val="nil"/>
              <w:left w:val="single" w:sz="4" w:space="0" w:color="auto"/>
              <w:bottom w:val="single" w:sz="4" w:space="0" w:color="auto"/>
              <w:right w:val="nil"/>
            </w:tcBorders>
            <w:shd w:val="clear" w:color="auto" w:fill="auto"/>
            <w:noWrap/>
            <w:vAlign w:val="center"/>
            <w:hideMark/>
          </w:tcPr>
          <w:p w14:paraId="1D665EE8" w14:textId="77777777" w:rsidR="00387142" w:rsidRPr="008B6A75" w:rsidRDefault="00387142" w:rsidP="00387142">
            <w:pPr>
              <w:jc w:val="center"/>
              <w:rPr>
                <w:sz w:val="20"/>
                <w:szCs w:val="20"/>
              </w:rPr>
            </w:pPr>
            <w:r w:rsidRPr="008B6A75">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B53B355" w14:textId="77777777" w:rsidR="00387142" w:rsidRPr="008B6A75" w:rsidRDefault="00387142" w:rsidP="00387142">
            <w:pPr>
              <w:jc w:val="center"/>
              <w:rPr>
                <w:sz w:val="20"/>
                <w:szCs w:val="20"/>
              </w:rPr>
            </w:pPr>
            <w:r w:rsidRPr="008B6A75">
              <w:rPr>
                <w:sz w:val="20"/>
                <w:szCs w:val="20"/>
              </w:rPr>
              <w:t>07</w:t>
            </w:r>
          </w:p>
        </w:tc>
        <w:tc>
          <w:tcPr>
            <w:tcW w:w="1516" w:type="dxa"/>
            <w:tcBorders>
              <w:top w:val="nil"/>
              <w:left w:val="single" w:sz="4" w:space="0" w:color="auto"/>
              <w:bottom w:val="single" w:sz="4" w:space="0" w:color="auto"/>
              <w:right w:val="nil"/>
            </w:tcBorders>
            <w:shd w:val="clear" w:color="auto" w:fill="auto"/>
            <w:noWrap/>
            <w:vAlign w:val="center"/>
            <w:hideMark/>
          </w:tcPr>
          <w:p w14:paraId="5513C7E7" w14:textId="77777777" w:rsidR="00387142" w:rsidRPr="008B6A75" w:rsidRDefault="00387142" w:rsidP="00387142">
            <w:pPr>
              <w:jc w:val="center"/>
              <w:rPr>
                <w:sz w:val="20"/>
                <w:szCs w:val="20"/>
              </w:rPr>
            </w:pPr>
            <w:r w:rsidRPr="008B6A75">
              <w:rPr>
                <w:sz w:val="20"/>
                <w:szCs w:val="20"/>
              </w:rPr>
              <w:t>16.0.00.79500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2E8C4DA" w14:textId="77777777" w:rsidR="00387142" w:rsidRPr="008B6A75" w:rsidRDefault="00387142" w:rsidP="00387142">
            <w:pPr>
              <w:jc w:val="center"/>
              <w:rPr>
                <w:sz w:val="20"/>
                <w:szCs w:val="20"/>
              </w:rPr>
            </w:pPr>
            <w:r w:rsidRPr="008B6A75">
              <w:rPr>
                <w:sz w:val="20"/>
                <w:szCs w:val="20"/>
              </w:rPr>
              <w:t>610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6D4DA86" w14:textId="77777777" w:rsidR="00387142" w:rsidRPr="008B6A75" w:rsidRDefault="00387142" w:rsidP="00387142">
            <w:pPr>
              <w:jc w:val="right"/>
              <w:rPr>
                <w:sz w:val="20"/>
                <w:szCs w:val="20"/>
              </w:rPr>
            </w:pPr>
            <w:r w:rsidRPr="008B6A75">
              <w:rPr>
                <w:sz w:val="20"/>
                <w:szCs w:val="20"/>
              </w:rPr>
              <w:t>160 000,00</w:t>
            </w:r>
          </w:p>
        </w:tc>
        <w:tc>
          <w:tcPr>
            <w:tcW w:w="992" w:type="dxa"/>
            <w:tcBorders>
              <w:top w:val="nil"/>
              <w:left w:val="single" w:sz="4" w:space="0" w:color="auto"/>
              <w:bottom w:val="single" w:sz="4" w:space="0" w:color="auto"/>
              <w:right w:val="nil"/>
            </w:tcBorders>
            <w:shd w:val="clear" w:color="auto" w:fill="auto"/>
            <w:vAlign w:val="center"/>
            <w:hideMark/>
          </w:tcPr>
          <w:p w14:paraId="0ED04649" w14:textId="77777777" w:rsidR="00387142" w:rsidRPr="008B6A75" w:rsidRDefault="00387142" w:rsidP="00387142">
            <w:pPr>
              <w:jc w:val="right"/>
              <w:rPr>
                <w:sz w:val="20"/>
                <w:szCs w:val="20"/>
              </w:rPr>
            </w:pPr>
            <w:r w:rsidRPr="008B6A75">
              <w:rPr>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67251ECE" w14:textId="77777777" w:rsidR="00387142" w:rsidRPr="008B6A75" w:rsidRDefault="00387142" w:rsidP="00387142">
            <w:pPr>
              <w:jc w:val="right"/>
              <w:rPr>
                <w:sz w:val="20"/>
                <w:szCs w:val="20"/>
              </w:rPr>
            </w:pPr>
            <w:r w:rsidRPr="008B6A75">
              <w:rPr>
                <w:sz w:val="20"/>
                <w:szCs w:val="20"/>
              </w:rPr>
              <w:t>0,00</w:t>
            </w:r>
          </w:p>
        </w:tc>
      </w:tr>
      <w:tr w:rsidR="00387142" w:rsidRPr="008B6A75" w14:paraId="02A12D8E" w14:textId="77777777" w:rsidTr="00387142">
        <w:trPr>
          <w:trHeight w:val="345"/>
        </w:trPr>
        <w:tc>
          <w:tcPr>
            <w:tcW w:w="3261" w:type="dxa"/>
            <w:tcBorders>
              <w:top w:val="nil"/>
              <w:left w:val="single" w:sz="4" w:space="0" w:color="auto"/>
              <w:bottom w:val="single" w:sz="4" w:space="0" w:color="auto"/>
              <w:right w:val="nil"/>
            </w:tcBorders>
            <w:shd w:val="clear" w:color="auto" w:fill="auto"/>
            <w:vAlign w:val="center"/>
            <w:hideMark/>
          </w:tcPr>
          <w:p w14:paraId="4182AC64" w14:textId="77777777" w:rsidR="00387142" w:rsidRPr="008B6A75" w:rsidRDefault="00387142" w:rsidP="00387142">
            <w:pPr>
              <w:rPr>
                <w:bCs/>
                <w:sz w:val="20"/>
                <w:szCs w:val="20"/>
              </w:rPr>
            </w:pPr>
            <w:r w:rsidRPr="008B6A75">
              <w:rPr>
                <w:bCs/>
                <w:sz w:val="20"/>
                <w:szCs w:val="20"/>
              </w:rPr>
              <w:t>Непрограммные направления бюджета</w:t>
            </w:r>
          </w:p>
        </w:tc>
        <w:tc>
          <w:tcPr>
            <w:tcW w:w="720" w:type="dxa"/>
            <w:tcBorders>
              <w:top w:val="nil"/>
              <w:left w:val="single" w:sz="4" w:space="0" w:color="auto"/>
              <w:bottom w:val="single" w:sz="4" w:space="0" w:color="auto"/>
              <w:right w:val="nil"/>
            </w:tcBorders>
            <w:shd w:val="clear" w:color="auto" w:fill="auto"/>
            <w:noWrap/>
            <w:vAlign w:val="center"/>
            <w:hideMark/>
          </w:tcPr>
          <w:p w14:paraId="4D1C6041" w14:textId="77777777" w:rsidR="00387142" w:rsidRPr="008B6A75" w:rsidRDefault="00387142" w:rsidP="00387142">
            <w:pPr>
              <w:jc w:val="center"/>
              <w:rPr>
                <w:bCs/>
                <w:sz w:val="20"/>
                <w:szCs w:val="20"/>
              </w:rPr>
            </w:pPr>
            <w:r w:rsidRPr="008B6A75">
              <w:rPr>
                <w:bCs/>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4A574FB" w14:textId="77777777" w:rsidR="00387142" w:rsidRPr="008B6A75" w:rsidRDefault="00387142" w:rsidP="00387142">
            <w:pPr>
              <w:jc w:val="center"/>
              <w:rPr>
                <w:bCs/>
                <w:sz w:val="20"/>
                <w:szCs w:val="20"/>
              </w:rPr>
            </w:pPr>
            <w:r w:rsidRPr="008B6A75">
              <w:rPr>
                <w:bCs/>
                <w:sz w:val="20"/>
                <w:szCs w:val="20"/>
              </w:rPr>
              <w:t>07</w:t>
            </w:r>
          </w:p>
        </w:tc>
        <w:tc>
          <w:tcPr>
            <w:tcW w:w="1516" w:type="dxa"/>
            <w:tcBorders>
              <w:top w:val="nil"/>
              <w:left w:val="single" w:sz="4" w:space="0" w:color="auto"/>
              <w:bottom w:val="single" w:sz="4" w:space="0" w:color="auto"/>
              <w:right w:val="nil"/>
            </w:tcBorders>
            <w:shd w:val="clear" w:color="auto" w:fill="auto"/>
            <w:noWrap/>
            <w:vAlign w:val="center"/>
            <w:hideMark/>
          </w:tcPr>
          <w:p w14:paraId="6A859314" w14:textId="77777777" w:rsidR="00387142" w:rsidRPr="008B6A75" w:rsidRDefault="00387142" w:rsidP="00387142">
            <w:pPr>
              <w:jc w:val="center"/>
              <w:rPr>
                <w:bCs/>
                <w:sz w:val="20"/>
                <w:szCs w:val="20"/>
              </w:rPr>
            </w:pPr>
            <w:r w:rsidRPr="008B6A75">
              <w:rPr>
                <w:bCs/>
                <w:sz w:val="20"/>
                <w:szCs w:val="20"/>
              </w:rPr>
              <w:t>99.0.00.00000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1685490"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A80DA2D" w14:textId="77777777" w:rsidR="00387142" w:rsidRPr="008B6A75" w:rsidRDefault="00387142" w:rsidP="00387142">
            <w:pPr>
              <w:jc w:val="right"/>
              <w:rPr>
                <w:bCs/>
                <w:sz w:val="20"/>
                <w:szCs w:val="20"/>
              </w:rPr>
            </w:pPr>
            <w:r w:rsidRPr="008B6A75">
              <w:rPr>
                <w:bCs/>
                <w:sz w:val="20"/>
                <w:szCs w:val="20"/>
              </w:rPr>
              <w:t>10 200,00</w:t>
            </w:r>
          </w:p>
        </w:tc>
        <w:tc>
          <w:tcPr>
            <w:tcW w:w="992" w:type="dxa"/>
            <w:tcBorders>
              <w:top w:val="nil"/>
              <w:left w:val="single" w:sz="4" w:space="0" w:color="auto"/>
              <w:bottom w:val="single" w:sz="4" w:space="0" w:color="auto"/>
              <w:right w:val="nil"/>
            </w:tcBorders>
            <w:shd w:val="clear" w:color="auto" w:fill="auto"/>
            <w:vAlign w:val="center"/>
            <w:hideMark/>
          </w:tcPr>
          <w:p w14:paraId="7C3EBD39" w14:textId="77777777" w:rsidR="00387142" w:rsidRPr="008B6A75" w:rsidRDefault="00387142" w:rsidP="00387142">
            <w:pPr>
              <w:jc w:val="right"/>
              <w:rPr>
                <w:bCs/>
                <w:sz w:val="20"/>
                <w:szCs w:val="20"/>
              </w:rPr>
            </w:pPr>
            <w:r w:rsidRPr="008B6A75">
              <w:rPr>
                <w:bCs/>
                <w:sz w:val="20"/>
                <w:szCs w:val="20"/>
              </w:rPr>
              <w:t>10 200,00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0DEE1B7C" w14:textId="77777777" w:rsidR="00387142" w:rsidRPr="008B6A75" w:rsidRDefault="00387142" w:rsidP="00387142">
            <w:pPr>
              <w:jc w:val="right"/>
              <w:rPr>
                <w:bCs/>
                <w:sz w:val="20"/>
                <w:szCs w:val="20"/>
              </w:rPr>
            </w:pPr>
            <w:r w:rsidRPr="008B6A75">
              <w:rPr>
                <w:bCs/>
                <w:sz w:val="20"/>
                <w:szCs w:val="20"/>
              </w:rPr>
              <w:t>10 200,00</w:t>
            </w:r>
          </w:p>
        </w:tc>
      </w:tr>
      <w:tr w:rsidR="00387142" w:rsidRPr="008B6A75" w14:paraId="675530A5" w14:textId="77777777" w:rsidTr="00387142">
        <w:trPr>
          <w:trHeight w:val="2295"/>
        </w:trPr>
        <w:tc>
          <w:tcPr>
            <w:tcW w:w="3261" w:type="dxa"/>
            <w:tcBorders>
              <w:top w:val="nil"/>
              <w:left w:val="single" w:sz="4" w:space="0" w:color="auto"/>
              <w:bottom w:val="single" w:sz="4" w:space="0" w:color="auto"/>
              <w:right w:val="nil"/>
            </w:tcBorders>
            <w:shd w:val="clear" w:color="auto" w:fill="auto"/>
            <w:vAlign w:val="center"/>
            <w:hideMark/>
          </w:tcPr>
          <w:p w14:paraId="7C5D5B54" w14:textId="77777777" w:rsidR="00387142" w:rsidRPr="008B6A75" w:rsidRDefault="00387142" w:rsidP="00387142">
            <w:pPr>
              <w:rPr>
                <w:bCs/>
                <w:sz w:val="20"/>
                <w:szCs w:val="20"/>
              </w:rPr>
            </w:pPr>
            <w:r w:rsidRPr="008B6A75">
              <w:rPr>
                <w:bCs/>
                <w:sz w:val="20"/>
                <w:szCs w:val="20"/>
              </w:rPr>
              <w:t>Реализация мероприятий по улучшению социального положения семей с детьми, обеспечение дружественных семье и детству общественных отношений и инфраструктуры жизнедеятельности государственной программы Новосибирской области "Социальная поддержка в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14:paraId="24858EF2" w14:textId="77777777" w:rsidR="00387142" w:rsidRPr="008B6A75" w:rsidRDefault="00387142" w:rsidP="00387142">
            <w:pPr>
              <w:jc w:val="center"/>
              <w:rPr>
                <w:bCs/>
                <w:sz w:val="20"/>
                <w:szCs w:val="20"/>
              </w:rPr>
            </w:pPr>
            <w:r w:rsidRPr="008B6A75">
              <w:rPr>
                <w:bCs/>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2C993D6" w14:textId="77777777" w:rsidR="00387142" w:rsidRPr="008B6A75" w:rsidRDefault="00387142" w:rsidP="00387142">
            <w:pPr>
              <w:jc w:val="center"/>
              <w:rPr>
                <w:bCs/>
                <w:sz w:val="20"/>
                <w:szCs w:val="20"/>
              </w:rPr>
            </w:pPr>
            <w:r w:rsidRPr="008B6A75">
              <w:rPr>
                <w:bCs/>
                <w:sz w:val="20"/>
                <w:szCs w:val="20"/>
              </w:rPr>
              <w:t>07</w:t>
            </w:r>
          </w:p>
        </w:tc>
        <w:tc>
          <w:tcPr>
            <w:tcW w:w="1516" w:type="dxa"/>
            <w:tcBorders>
              <w:top w:val="nil"/>
              <w:left w:val="single" w:sz="4" w:space="0" w:color="auto"/>
              <w:bottom w:val="single" w:sz="4" w:space="0" w:color="auto"/>
              <w:right w:val="nil"/>
            </w:tcBorders>
            <w:shd w:val="clear" w:color="auto" w:fill="auto"/>
            <w:noWrap/>
            <w:vAlign w:val="center"/>
            <w:hideMark/>
          </w:tcPr>
          <w:p w14:paraId="7A393BE0" w14:textId="77777777" w:rsidR="00387142" w:rsidRPr="008B6A75" w:rsidRDefault="00387142" w:rsidP="00387142">
            <w:pPr>
              <w:jc w:val="center"/>
              <w:rPr>
                <w:bCs/>
                <w:sz w:val="20"/>
                <w:szCs w:val="20"/>
              </w:rPr>
            </w:pPr>
            <w:r w:rsidRPr="008B6A75">
              <w:rPr>
                <w:bCs/>
                <w:sz w:val="20"/>
                <w:szCs w:val="20"/>
              </w:rPr>
              <w:t>99.0.00.70179</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0BAF6FE"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FA21012" w14:textId="77777777" w:rsidR="00387142" w:rsidRPr="008B6A75" w:rsidRDefault="00387142" w:rsidP="00387142">
            <w:pPr>
              <w:jc w:val="right"/>
              <w:rPr>
                <w:bCs/>
                <w:sz w:val="20"/>
                <w:szCs w:val="20"/>
              </w:rPr>
            </w:pPr>
            <w:r w:rsidRPr="008B6A75">
              <w:rPr>
                <w:bCs/>
                <w:sz w:val="20"/>
                <w:szCs w:val="20"/>
              </w:rPr>
              <w:t>10 200,00</w:t>
            </w:r>
          </w:p>
        </w:tc>
        <w:tc>
          <w:tcPr>
            <w:tcW w:w="992" w:type="dxa"/>
            <w:tcBorders>
              <w:top w:val="nil"/>
              <w:left w:val="single" w:sz="4" w:space="0" w:color="auto"/>
              <w:bottom w:val="single" w:sz="4" w:space="0" w:color="auto"/>
              <w:right w:val="nil"/>
            </w:tcBorders>
            <w:shd w:val="clear" w:color="auto" w:fill="auto"/>
            <w:vAlign w:val="center"/>
            <w:hideMark/>
          </w:tcPr>
          <w:p w14:paraId="274F32F2" w14:textId="77777777" w:rsidR="00387142" w:rsidRPr="008B6A75" w:rsidRDefault="00387142" w:rsidP="00387142">
            <w:pPr>
              <w:jc w:val="right"/>
              <w:rPr>
                <w:bCs/>
                <w:sz w:val="20"/>
                <w:szCs w:val="20"/>
              </w:rPr>
            </w:pPr>
            <w:r w:rsidRPr="008B6A75">
              <w:rPr>
                <w:bCs/>
                <w:sz w:val="20"/>
                <w:szCs w:val="20"/>
              </w:rPr>
              <w:t>10 200,00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246239EE" w14:textId="77777777" w:rsidR="00387142" w:rsidRPr="008B6A75" w:rsidRDefault="00387142" w:rsidP="00387142">
            <w:pPr>
              <w:jc w:val="right"/>
              <w:rPr>
                <w:bCs/>
                <w:sz w:val="20"/>
                <w:szCs w:val="20"/>
              </w:rPr>
            </w:pPr>
            <w:r w:rsidRPr="008B6A75">
              <w:rPr>
                <w:bCs/>
                <w:sz w:val="20"/>
                <w:szCs w:val="20"/>
              </w:rPr>
              <w:t>10 200,00</w:t>
            </w:r>
          </w:p>
        </w:tc>
      </w:tr>
      <w:tr w:rsidR="00387142" w:rsidRPr="008B6A75" w14:paraId="49AD1CD3" w14:textId="77777777" w:rsidTr="00387142">
        <w:trPr>
          <w:trHeight w:val="585"/>
        </w:trPr>
        <w:tc>
          <w:tcPr>
            <w:tcW w:w="3261" w:type="dxa"/>
            <w:tcBorders>
              <w:top w:val="nil"/>
              <w:left w:val="single" w:sz="4" w:space="0" w:color="auto"/>
              <w:bottom w:val="single" w:sz="4" w:space="0" w:color="auto"/>
              <w:right w:val="nil"/>
            </w:tcBorders>
            <w:shd w:val="clear" w:color="auto" w:fill="auto"/>
            <w:vAlign w:val="center"/>
            <w:hideMark/>
          </w:tcPr>
          <w:p w14:paraId="4A380F95" w14:textId="77777777" w:rsidR="00387142" w:rsidRPr="008B6A75" w:rsidRDefault="00387142" w:rsidP="00387142">
            <w:pPr>
              <w:rPr>
                <w:sz w:val="20"/>
                <w:szCs w:val="20"/>
              </w:rPr>
            </w:pPr>
            <w:r w:rsidRPr="008B6A75">
              <w:rPr>
                <w:sz w:val="20"/>
                <w:szCs w:val="20"/>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63BA9CFF" w14:textId="77777777" w:rsidR="00387142" w:rsidRPr="008B6A75" w:rsidRDefault="00387142" w:rsidP="00387142">
            <w:pPr>
              <w:jc w:val="center"/>
              <w:rPr>
                <w:sz w:val="20"/>
                <w:szCs w:val="20"/>
              </w:rPr>
            </w:pPr>
            <w:r w:rsidRPr="008B6A75">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925C2A0" w14:textId="77777777" w:rsidR="00387142" w:rsidRPr="008B6A75" w:rsidRDefault="00387142" w:rsidP="00387142">
            <w:pPr>
              <w:jc w:val="center"/>
              <w:rPr>
                <w:sz w:val="20"/>
                <w:szCs w:val="20"/>
              </w:rPr>
            </w:pPr>
            <w:r w:rsidRPr="008B6A75">
              <w:rPr>
                <w:sz w:val="20"/>
                <w:szCs w:val="20"/>
              </w:rPr>
              <w:t>07</w:t>
            </w:r>
          </w:p>
        </w:tc>
        <w:tc>
          <w:tcPr>
            <w:tcW w:w="1516" w:type="dxa"/>
            <w:tcBorders>
              <w:top w:val="nil"/>
              <w:left w:val="single" w:sz="4" w:space="0" w:color="auto"/>
              <w:bottom w:val="single" w:sz="4" w:space="0" w:color="auto"/>
              <w:right w:val="nil"/>
            </w:tcBorders>
            <w:shd w:val="clear" w:color="auto" w:fill="auto"/>
            <w:noWrap/>
            <w:vAlign w:val="center"/>
            <w:hideMark/>
          </w:tcPr>
          <w:p w14:paraId="08A81B64" w14:textId="77777777" w:rsidR="00387142" w:rsidRPr="008B6A75" w:rsidRDefault="00387142" w:rsidP="00387142">
            <w:pPr>
              <w:jc w:val="center"/>
              <w:rPr>
                <w:sz w:val="20"/>
                <w:szCs w:val="20"/>
              </w:rPr>
            </w:pPr>
            <w:r w:rsidRPr="008B6A75">
              <w:rPr>
                <w:sz w:val="20"/>
                <w:szCs w:val="20"/>
              </w:rPr>
              <w:t>99.0.00.70179</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42F85B3" w14:textId="77777777" w:rsidR="00387142" w:rsidRPr="008B6A75" w:rsidRDefault="00387142" w:rsidP="00387142">
            <w:pPr>
              <w:jc w:val="center"/>
              <w:rPr>
                <w:sz w:val="20"/>
                <w:szCs w:val="20"/>
              </w:rPr>
            </w:pPr>
            <w:r w:rsidRPr="008B6A75">
              <w:rPr>
                <w:sz w:val="20"/>
                <w:szCs w:val="20"/>
              </w:rPr>
              <w:t>200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E28EA9D" w14:textId="77777777" w:rsidR="00387142" w:rsidRPr="008B6A75" w:rsidRDefault="00387142" w:rsidP="00387142">
            <w:pPr>
              <w:jc w:val="right"/>
              <w:rPr>
                <w:sz w:val="20"/>
                <w:szCs w:val="20"/>
              </w:rPr>
            </w:pPr>
            <w:r w:rsidRPr="008B6A75">
              <w:rPr>
                <w:sz w:val="20"/>
                <w:szCs w:val="20"/>
              </w:rPr>
              <w:t>0,00</w:t>
            </w:r>
          </w:p>
        </w:tc>
        <w:tc>
          <w:tcPr>
            <w:tcW w:w="992" w:type="dxa"/>
            <w:tcBorders>
              <w:top w:val="nil"/>
              <w:left w:val="single" w:sz="4" w:space="0" w:color="auto"/>
              <w:bottom w:val="single" w:sz="4" w:space="0" w:color="auto"/>
              <w:right w:val="nil"/>
            </w:tcBorders>
            <w:shd w:val="clear" w:color="auto" w:fill="auto"/>
            <w:vAlign w:val="center"/>
            <w:hideMark/>
          </w:tcPr>
          <w:p w14:paraId="22BD408F" w14:textId="77777777" w:rsidR="00387142" w:rsidRPr="008B6A75" w:rsidRDefault="00387142" w:rsidP="00387142">
            <w:pPr>
              <w:jc w:val="right"/>
              <w:rPr>
                <w:sz w:val="20"/>
                <w:szCs w:val="20"/>
              </w:rPr>
            </w:pPr>
            <w:r w:rsidRPr="008B6A75">
              <w:rPr>
                <w:sz w:val="20"/>
                <w:szCs w:val="20"/>
              </w:rPr>
              <w:t>10 200,00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51627847" w14:textId="77777777" w:rsidR="00387142" w:rsidRPr="008B6A75" w:rsidRDefault="00387142" w:rsidP="00387142">
            <w:pPr>
              <w:jc w:val="right"/>
              <w:rPr>
                <w:sz w:val="20"/>
                <w:szCs w:val="20"/>
              </w:rPr>
            </w:pPr>
            <w:r w:rsidRPr="008B6A75">
              <w:rPr>
                <w:sz w:val="20"/>
                <w:szCs w:val="20"/>
              </w:rPr>
              <w:t>10 200,00</w:t>
            </w:r>
          </w:p>
        </w:tc>
      </w:tr>
      <w:tr w:rsidR="00387142" w:rsidRPr="008B6A75" w14:paraId="185CC26B" w14:textId="77777777" w:rsidTr="00387142">
        <w:trPr>
          <w:trHeight w:val="870"/>
        </w:trPr>
        <w:tc>
          <w:tcPr>
            <w:tcW w:w="3261" w:type="dxa"/>
            <w:tcBorders>
              <w:top w:val="nil"/>
              <w:left w:val="single" w:sz="4" w:space="0" w:color="auto"/>
              <w:bottom w:val="single" w:sz="4" w:space="0" w:color="auto"/>
              <w:right w:val="nil"/>
            </w:tcBorders>
            <w:shd w:val="clear" w:color="auto" w:fill="auto"/>
            <w:vAlign w:val="center"/>
            <w:hideMark/>
          </w:tcPr>
          <w:p w14:paraId="1137AD1C" w14:textId="77777777" w:rsidR="00387142" w:rsidRPr="008B6A75" w:rsidRDefault="00387142" w:rsidP="00387142">
            <w:pPr>
              <w:rPr>
                <w:sz w:val="20"/>
                <w:szCs w:val="20"/>
              </w:rPr>
            </w:pPr>
            <w:r w:rsidRPr="008B6A75">
              <w:rPr>
                <w:sz w:val="20"/>
                <w:szCs w:val="20"/>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1FF8D893" w14:textId="77777777" w:rsidR="00387142" w:rsidRPr="008B6A75" w:rsidRDefault="00387142" w:rsidP="00387142">
            <w:pPr>
              <w:jc w:val="center"/>
              <w:rPr>
                <w:sz w:val="20"/>
                <w:szCs w:val="20"/>
              </w:rPr>
            </w:pPr>
            <w:r w:rsidRPr="008B6A75">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8994B3B" w14:textId="77777777" w:rsidR="00387142" w:rsidRPr="008B6A75" w:rsidRDefault="00387142" w:rsidP="00387142">
            <w:pPr>
              <w:jc w:val="center"/>
              <w:rPr>
                <w:sz w:val="20"/>
                <w:szCs w:val="20"/>
              </w:rPr>
            </w:pPr>
            <w:r w:rsidRPr="008B6A75">
              <w:rPr>
                <w:sz w:val="20"/>
                <w:szCs w:val="20"/>
              </w:rPr>
              <w:t>07</w:t>
            </w:r>
          </w:p>
        </w:tc>
        <w:tc>
          <w:tcPr>
            <w:tcW w:w="1516" w:type="dxa"/>
            <w:tcBorders>
              <w:top w:val="nil"/>
              <w:left w:val="single" w:sz="4" w:space="0" w:color="auto"/>
              <w:bottom w:val="single" w:sz="4" w:space="0" w:color="auto"/>
              <w:right w:val="nil"/>
            </w:tcBorders>
            <w:shd w:val="clear" w:color="auto" w:fill="auto"/>
            <w:noWrap/>
            <w:vAlign w:val="center"/>
            <w:hideMark/>
          </w:tcPr>
          <w:p w14:paraId="1BE7E962" w14:textId="77777777" w:rsidR="00387142" w:rsidRPr="008B6A75" w:rsidRDefault="00387142" w:rsidP="00387142">
            <w:pPr>
              <w:jc w:val="center"/>
              <w:rPr>
                <w:sz w:val="20"/>
                <w:szCs w:val="20"/>
              </w:rPr>
            </w:pPr>
            <w:r w:rsidRPr="008B6A75">
              <w:rPr>
                <w:sz w:val="20"/>
                <w:szCs w:val="20"/>
              </w:rPr>
              <w:t>99.0.00.70179</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AF10B00" w14:textId="77777777" w:rsidR="00387142" w:rsidRPr="008B6A75" w:rsidRDefault="00387142" w:rsidP="00387142">
            <w:pPr>
              <w:jc w:val="center"/>
              <w:rPr>
                <w:sz w:val="20"/>
                <w:szCs w:val="20"/>
              </w:rPr>
            </w:pPr>
            <w:r w:rsidRPr="008B6A75">
              <w:rPr>
                <w:sz w:val="20"/>
                <w:szCs w:val="20"/>
              </w:rPr>
              <w:t>240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C3FD3E4" w14:textId="77777777" w:rsidR="00387142" w:rsidRPr="008B6A75" w:rsidRDefault="00387142" w:rsidP="00387142">
            <w:pPr>
              <w:jc w:val="right"/>
              <w:rPr>
                <w:sz w:val="20"/>
                <w:szCs w:val="20"/>
              </w:rPr>
            </w:pPr>
            <w:r w:rsidRPr="008B6A75">
              <w:rPr>
                <w:sz w:val="20"/>
                <w:szCs w:val="20"/>
              </w:rPr>
              <w:t>0,00</w:t>
            </w:r>
          </w:p>
        </w:tc>
        <w:tc>
          <w:tcPr>
            <w:tcW w:w="992" w:type="dxa"/>
            <w:tcBorders>
              <w:top w:val="nil"/>
              <w:left w:val="single" w:sz="4" w:space="0" w:color="auto"/>
              <w:bottom w:val="single" w:sz="4" w:space="0" w:color="auto"/>
              <w:right w:val="nil"/>
            </w:tcBorders>
            <w:shd w:val="clear" w:color="auto" w:fill="auto"/>
            <w:vAlign w:val="center"/>
            <w:hideMark/>
          </w:tcPr>
          <w:p w14:paraId="37B0CA50" w14:textId="77777777" w:rsidR="00387142" w:rsidRPr="008B6A75" w:rsidRDefault="00387142" w:rsidP="00387142">
            <w:pPr>
              <w:jc w:val="right"/>
              <w:rPr>
                <w:sz w:val="20"/>
                <w:szCs w:val="20"/>
              </w:rPr>
            </w:pPr>
            <w:r w:rsidRPr="008B6A75">
              <w:rPr>
                <w:sz w:val="20"/>
                <w:szCs w:val="20"/>
              </w:rPr>
              <w:t>10 200,00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144E3BE7" w14:textId="77777777" w:rsidR="00387142" w:rsidRPr="008B6A75" w:rsidRDefault="00387142" w:rsidP="00387142">
            <w:pPr>
              <w:jc w:val="right"/>
              <w:rPr>
                <w:sz w:val="20"/>
                <w:szCs w:val="20"/>
              </w:rPr>
            </w:pPr>
            <w:r w:rsidRPr="008B6A75">
              <w:rPr>
                <w:sz w:val="20"/>
                <w:szCs w:val="20"/>
              </w:rPr>
              <w:t>10 200,00</w:t>
            </w:r>
          </w:p>
        </w:tc>
      </w:tr>
      <w:tr w:rsidR="00387142" w:rsidRPr="008B6A75" w14:paraId="082B7D92" w14:textId="77777777" w:rsidTr="00387142">
        <w:trPr>
          <w:trHeight w:val="870"/>
        </w:trPr>
        <w:tc>
          <w:tcPr>
            <w:tcW w:w="3261" w:type="dxa"/>
            <w:tcBorders>
              <w:top w:val="nil"/>
              <w:left w:val="single" w:sz="4" w:space="0" w:color="auto"/>
              <w:bottom w:val="single" w:sz="4" w:space="0" w:color="auto"/>
              <w:right w:val="nil"/>
            </w:tcBorders>
            <w:shd w:val="clear" w:color="auto" w:fill="auto"/>
            <w:vAlign w:val="center"/>
            <w:hideMark/>
          </w:tcPr>
          <w:p w14:paraId="399B50DF" w14:textId="77777777" w:rsidR="00387142" w:rsidRPr="008B6A75" w:rsidRDefault="00387142" w:rsidP="00387142">
            <w:pPr>
              <w:rPr>
                <w:sz w:val="20"/>
                <w:szCs w:val="20"/>
              </w:rPr>
            </w:pPr>
            <w:r w:rsidRPr="008B6A75">
              <w:rPr>
                <w:sz w:val="20"/>
                <w:szCs w:val="20"/>
              </w:rPr>
              <w:lastRenderedPageBreak/>
              <w:t>Предоставление субсидий бюджетным, автономным учреждениям и иным некоммерческим организациям</w:t>
            </w:r>
          </w:p>
        </w:tc>
        <w:tc>
          <w:tcPr>
            <w:tcW w:w="720" w:type="dxa"/>
            <w:tcBorders>
              <w:top w:val="nil"/>
              <w:left w:val="single" w:sz="4" w:space="0" w:color="auto"/>
              <w:bottom w:val="single" w:sz="4" w:space="0" w:color="auto"/>
              <w:right w:val="nil"/>
            </w:tcBorders>
            <w:shd w:val="clear" w:color="auto" w:fill="auto"/>
            <w:noWrap/>
            <w:vAlign w:val="center"/>
            <w:hideMark/>
          </w:tcPr>
          <w:p w14:paraId="167A583A" w14:textId="77777777" w:rsidR="00387142" w:rsidRPr="008B6A75" w:rsidRDefault="00387142" w:rsidP="00387142">
            <w:pPr>
              <w:jc w:val="center"/>
              <w:rPr>
                <w:sz w:val="20"/>
                <w:szCs w:val="20"/>
              </w:rPr>
            </w:pPr>
            <w:r w:rsidRPr="008B6A75">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E975B0C" w14:textId="77777777" w:rsidR="00387142" w:rsidRPr="008B6A75" w:rsidRDefault="00387142" w:rsidP="00387142">
            <w:pPr>
              <w:jc w:val="center"/>
              <w:rPr>
                <w:sz w:val="20"/>
                <w:szCs w:val="20"/>
              </w:rPr>
            </w:pPr>
            <w:r w:rsidRPr="008B6A75">
              <w:rPr>
                <w:sz w:val="20"/>
                <w:szCs w:val="20"/>
              </w:rPr>
              <w:t>07</w:t>
            </w:r>
          </w:p>
        </w:tc>
        <w:tc>
          <w:tcPr>
            <w:tcW w:w="1516" w:type="dxa"/>
            <w:tcBorders>
              <w:top w:val="nil"/>
              <w:left w:val="single" w:sz="4" w:space="0" w:color="auto"/>
              <w:bottom w:val="single" w:sz="4" w:space="0" w:color="auto"/>
              <w:right w:val="nil"/>
            </w:tcBorders>
            <w:shd w:val="clear" w:color="auto" w:fill="auto"/>
            <w:noWrap/>
            <w:vAlign w:val="center"/>
            <w:hideMark/>
          </w:tcPr>
          <w:p w14:paraId="3F8CBB1E" w14:textId="77777777" w:rsidR="00387142" w:rsidRPr="008B6A75" w:rsidRDefault="00387142" w:rsidP="00387142">
            <w:pPr>
              <w:jc w:val="center"/>
              <w:rPr>
                <w:sz w:val="20"/>
                <w:szCs w:val="20"/>
              </w:rPr>
            </w:pPr>
            <w:r w:rsidRPr="008B6A75">
              <w:rPr>
                <w:sz w:val="20"/>
                <w:szCs w:val="20"/>
              </w:rPr>
              <w:t>99.0.00.70179</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4F34D23" w14:textId="77777777" w:rsidR="00387142" w:rsidRPr="008B6A75" w:rsidRDefault="00387142" w:rsidP="00387142">
            <w:pPr>
              <w:jc w:val="center"/>
              <w:rPr>
                <w:sz w:val="20"/>
                <w:szCs w:val="20"/>
              </w:rPr>
            </w:pPr>
            <w:r w:rsidRPr="008B6A75">
              <w:rPr>
                <w:sz w:val="20"/>
                <w:szCs w:val="20"/>
              </w:rPr>
              <w:t>600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4E2E605" w14:textId="77777777" w:rsidR="00387142" w:rsidRPr="008B6A75" w:rsidRDefault="00387142" w:rsidP="00387142">
            <w:pPr>
              <w:jc w:val="right"/>
              <w:rPr>
                <w:sz w:val="20"/>
                <w:szCs w:val="20"/>
              </w:rPr>
            </w:pPr>
            <w:r w:rsidRPr="008B6A75">
              <w:rPr>
                <w:sz w:val="20"/>
                <w:szCs w:val="20"/>
              </w:rPr>
              <w:t>10 200,00</w:t>
            </w:r>
          </w:p>
        </w:tc>
        <w:tc>
          <w:tcPr>
            <w:tcW w:w="992" w:type="dxa"/>
            <w:tcBorders>
              <w:top w:val="nil"/>
              <w:left w:val="single" w:sz="4" w:space="0" w:color="auto"/>
              <w:bottom w:val="single" w:sz="4" w:space="0" w:color="auto"/>
              <w:right w:val="nil"/>
            </w:tcBorders>
            <w:shd w:val="clear" w:color="auto" w:fill="auto"/>
            <w:vAlign w:val="center"/>
            <w:hideMark/>
          </w:tcPr>
          <w:p w14:paraId="1F9F3166" w14:textId="77777777" w:rsidR="00387142" w:rsidRPr="008B6A75" w:rsidRDefault="00387142" w:rsidP="00387142">
            <w:pPr>
              <w:jc w:val="right"/>
              <w:rPr>
                <w:sz w:val="20"/>
                <w:szCs w:val="20"/>
              </w:rPr>
            </w:pPr>
            <w:r w:rsidRPr="008B6A75">
              <w:rPr>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3936D8E4" w14:textId="77777777" w:rsidR="00387142" w:rsidRPr="008B6A75" w:rsidRDefault="00387142" w:rsidP="00387142">
            <w:pPr>
              <w:jc w:val="right"/>
              <w:rPr>
                <w:sz w:val="20"/>
                <w:szCs w:val="20"/>
              </w:rPr>
            </w:pPr>
            <w:r w:rsidRPr="008B6A75">
              <w:rPr>
                <w:sz w:val="20"/>
                <w:szCs w:val="20"/>
              </w:rPr>
              <w:t>0,00</w:t>
            </w:r>
          </w:p>
        </w:tc>
      </w:tr>
      <w:tr w:rsidR="00387142" w:rsidRPr="008B6A75" w14:paraId="1A4651E1" w14:textId="77777777" w:rsidTr="00387142">
        <w:trPr>
          <w:trHeight w:val="345"/>
        </w:trPr>
        <w:tc>
          <w:tcPr>
            <w:tcW w:w="3261" w:type="dxa"/>
            <w:tcBorders>
              <w:top w:val="nil"/>
              <w:left w:val="single" w:sz="4" w:space="0" w:color="auto"/>
              <w:bottom w:val="single" w:sz="4" w:space="0" w:color="auto"/>
              <w:right w:val="nil"/>
            </w:tcBorders>
            <w:shd w:val="clear" w:color="auto" w:fill="auto"/>
            <w:vAlign w:val="center"/>
            <w:hideMark/>
          </w:tcPr>
          <w:p w14:paraId="077CFC3F" w14:textId="77777777" w:rsidR="00387142" w:rsidRPr="008B6A75" w:rsidRDefault="00387142" w:rsidP="00387142">
            <w:pPr>
              <w:rPr>
                <w:sz w:val="20"/>
                <w:szCs w:val="20"/>
              </w:rPr>
            </w:pPr>
            <w:r w:rsidRPr="008B6A75">
              <w:rPr>
                <w:sz w:val="20"/>
                <w:szCs w:val="20"/>
              </w:rPr>
              <w:t>Субсидии бюджетным учреждениям</w:t>
            </w:r>
          </w:p>
        </w:tc>
        <w:tc>
          <w:tcPr>
            <w:tcW w:w="720" w:type="dxa"/>
            <w:tcBorders>
              <w:top w:val="nil"/>
              <w:left w:val="single" w:sz="4" w:space="0" w:color="auto"/>
              <w:bottom w:val="single" w:sz="4" w:space="0" w:color="auto"/>
              <w:right w:val="nil"/>
            </w:tcBorders>
            <w:shd w:val="clear" w:color="auto" w:fill="auto"/>
            <w:noWrap/>
            <w:vAlign w:val="center"/>
            <w:hideMark/>
          </w:tcPr>
          <w:p w14:paraId="60E5A4D2" w14:textId="77777777" w:rsidR="00387142" w:rsidRPr="008B6A75" w:rsidRDefault="00387142" w:rsidP="00387142">
            <w:pPr>
              <w:jc w:val="center"/>
              <w:rPr>
                <w:sz w:val="20"/>
                <w:szCs w:val="20"/>
              </w:rPr>
            </w:pPr>
            <w:r w:rsidRPr="008B6A75">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4F1055F" w14:textId="77777777" w:rsidR="00387142" w:rsidRPr="008B6A75" w:rsidRDefault="00387142" w:rsidP="00387142">
            <w:pPr>
              <w:jc w:val="center"/>
              <w:rPr>
                <w:sz w:val="20"/>
                <w:szCs w:val="20"/>
              </w:rPr>
            </w:pPr>
            <w:r w:rsidRPr="008B6A75">
              <w:rPr>
                <w:sz w:val="20"/>
                <w:szCs w:val="20"/>
              </w:rPr>
              <w:t>07</w:t>
            </w:r>
          </w:p>
        </w:tc>
        <w:tc>
          <w:tcPr>
            <w:tcW w:w="1516" w:type="dxa"/>
            <w:tcBorders>
              <w:top w:val="nil"/>
              <w:left w:val="single" w:sz="4" w:space="0" w:color="auto"/>
              <w:bottom w:val="single" w:sz="4" w:space="0" w:color="auto"/>
              <w:right w:val="nil"/>
            </w:tcBorders>
            <w:shd w:val="clear" w:color="auto" w:fill="auto"/>
            <w:noWrap/>
            <w:vAlign w:val="center"/>
            <w:hideMark/>
          </w:tcPr>
          <w:p w14:paraId="0D67FBBC" w14:textId="77777777" w:rsidR="00387142" w:rsidRPr="008B6A75" w:rsidRDefault="00387142" w:rsidP="00387142">
            <w:pPr>
              <w:jc w:val="center"/>
              <w:rPr>
                <w:sz w:val="20"/>
                <w:szCs w:val="20"/>
              </w:rPr>
            </w:pPr>
            <w:r w:rsidRPr="008B6A75">
              <w:rPr>
                <w:sz w:val="20"/>
                <w:szCs w:val="20"/>
              </w:rPr>
              <w:t>99.0.00.70179</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9311630" w14:textId="77777777" w:rsidR="00387142" w:rsidRPr="008B6A75" w:rsidRDefault="00387142" w:rsidP="00387142">
            <w:pPr>
              <w:jc w:val="center"/>
              <w:rPr>
                <w:sz w:val="20"/>
                <w:szCs w:val="20"/>
              </w:rPr>
            </w:pPr>
            <w:r w:rsidRPr="008B6A75">
              <w:rPr>
                <w:sz w:val="20"/>
                <w:szCs w:val="20"/>
              </w:rPr>
              <w:t>610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B2D26CD" w14:textId="77777777" w:rsidR="00387142" w:rsidRPr="008B6A75" w:rsidRDefault="00387142" w:rsidP="00387142">
            <w:pPr>
              <w:jc w:val="right"/>
              <w:rPr>
                <w:sz w:val="20"/>
                <w:szCs w:val="20"/>
              </w:rPr>
            </w:pPr>
            <w:r w:rsidRPr="008B6A75">
              <w:rPr>
                <w:sz w:val="20"/>
                <w:szCs w:val="20"/>
              </w:rPr>
              <w:t>10 200,00</w:t>
            </w:r>
          </w:p>
        </w:tc>
        <w:tc>
          <w:tcPr>
            <w:tcW w:w="992" w:type="dxa"/>
            <w:tcBorders>
              <w:top w:val="nil"/>
              <w:left w:val="single" w:sz="4" w:space="0" w:color="auto"/>
              <w:bottom w:val="single" w:sz="4" w:space="0" w:color="auto"/>
              <w:right w:val="nil"/>
            </w:tcBorders>
            <w:shd w:val="clear" w:color="auto" w:fill="auto"/>
            <w:vAlign w:val="center"/>
            <w:hideMark/>
          </w:tcPr>
          <w:p w14:paraId="2E364783" w14:textId="77777777" w:rsidR="00387142" w:rsidRPr="008B6A75" w:rsidRDefault="00387142" w:rsidP="00387142">
            <w:pPr>
              <w:jc w:val="right"/>
              <w:rPr>
                <w:sz w:val="20"/>
                <w:szCs w:val="20"/>
              </w:rPr>
            </w:pPr>
            <w:r w:rsidRPr="008B6A75">
              <w:rPr>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7362398A" w14:textId="77777777" w:rsidR="00387142" w:rsidRPr="008B6A75" w:rsidRDefault="00387142" w:rsidP="00387142">
            <w:pPr>
              <w:jc w:val="right"/>
              <w:rPr>
                <w:sz w:val="20"/>
                <w:szCs w:val="20"/>
              </w:rPr>
            </w:pPr>
            <w:r w:rsidRPr="008B6A75">
              <w:rPr>
                <w:sz w:val="20"/>
                <w:szCs w:val="20"/>
              </w:rPr>
              <w:t>0,00</w:t>
            </w:r>
          </w:p>
        </w:tc>
      </w:tr>
      <w:tr w:rsidR="00387142" w:rsidRPr="008B6A75" w14:paraId="4656967E" w14:textId="77777777" w:rsidTr="00387142">
        <w:trPr>
          <w:trHeight w:val="345"/>
        </w:trPr>
        <w:tc>
          <w:tcPr>
            <w:tcW w:w="3261" w:type="dxa"/>
            <w:tcBorders>
              <w:top w:val="nil"/>
              <w:left w:val="single" w:sz="4" w:space="0" w:color="auto"/>
              <w:bottom w:val="single" w:sz="4" w:space="0" w:color="auto"/>
              <w:right w:val="nil"/>
            </w:tcBorders>
            <w:shd w:val="clear" w:color="auto" w:fill="auto"/>
            <w:vAlign w:val="center"/>
            <w:hideMark/>
          </w:tcPr>
          <w:p w14:paraId="16BFEA33" w14:textId="77777777" w:rsidR="00387142" w:rsidRPr="008B6A75" w:rsidRDefault="00387142" w:rsidP="00387142">
            <w:pPr>
              <w:rPr>
                <w:bCs/>
                <w:sz w:val="20"/>
                <w:szCs w:val="20"/>
              </w:rPr>
            </w:pPr>
            <w:r w:rsidRPr="008B6A75">
              <w:rPr>
                <w:bCs/>
                <w:sz w:val="20"/>
                <w:szCs w:val="20"/>
              </w:rPr>
              <w:t>Другие вопросы в области образования</w:t>
            </w:r>
          </w:p>
        </w:tc>
        <w:tc>
          <w:tcPr>
            <w:tcW w:w="720" w:type="dxa"/>
            <w:tcBorders>
              <w:top w:val="nil"/>
              <w:left w:val="single" w:sz="4" w:space="0" w:color="auto"/>
              <w:bottom w:val="single" w:sz="4" w:space="0" w:color="auto"/>
              <w:right w:val="nil"/>
            </w:tcBorders>
            <w:shd w:val="clear" w:color="auto" w:fill="auto"/>
            <w:noWrap/>
            <w:vAlign w:val="center"/>
            <w:hideMark/>
          </w:tcPr>
          <w:p w14:paraId="5B88689D" w14:textId="77777777" w:rsidR="00387142" w:rsidRPr="008B6A75" w:rsidRDefault="00387142" w:rsidP="00387142">
            <w:pPr>
              <w:jc w:val="center"/>
              <w:rPr>
                <w:bCs/>
                <w:sz w:val="20"/>
                <w:szCs w:val="20"/>
              </w:rPr>
            </w:pPr>
            <w:r w:rsidRPr="008B6A75">
              <w:rPr>
                <w:bCs/>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B2230D2" w14:textId="77777777" w:rsidR="00387142" w:rsidRPr="008B6A75" w:rsidRDefault="00387142" w:rsidP="00387142">
            <w:pPr>
              <w:jc w:val="center"/>
              <w:rPr>
                <w:bCs/>
                <w:sz w:val="20"/>
                <w:szCs w:val="20"/>
              </w:rPr>
            </w:pPr>
            <w:r w:rsidRPr="008B6A75">
              <w:rPr>
                <w:bCs/>
                <w:sz w:val="20"/>
                <w:szCs w:val="20"/>
              </w:rPr>
              <w:t>09</w:t>
            </w:r>
          </w:p>
        </w:tc>
        <w:tc>
          <w:tcPr>
            <w:tcW w:w="1516" w:type="dxa"/>
            <w:tcBorders>
              <w:top w:val="nil"/>
              <w:left w:val="single" w:sz="4" w:space="0" w:color="auto"/>
              <w:bottom w:val="single" w:sz="4" w:space="0" w:color="auto"/>
              <w:right w:val="nil"/>
            </w:tcBorders>
            <w:shd w:val="clear" w:color="auto" w:fill="auto"/>
            <w:noWrap/>
            <w:vAlign w:val="center"/>
            <w:hideMark/>
          </w:tcPr>
          <w:p w14:paraId="09B79D58" w14:textId="77777777" w:rsidR="00387142" w:rsidRPr="008B6A75" w:rsidRDefault="00387142" w:rsidP="00387142">
            <w:pPr>
              <w:jc w:val="center"/>
              <w:rPr>
                <w:bCs/>
                <w:sz w:val="20"/>
                <w:szCs w:val="20"/>
              </w:rPr>
            </w:pPr>
            <w:r w:rsidRPr="008B6A75">
              <w:rPr>
                <w:bCs/>
                <w:sz w:val="20"/>
                <w:szCs w:val="20"/>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41BDD28"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C003D79" w14:textId="77777777" w:rsidR="00387142" w:rsidRPr="008B6A75" w:rsidRDefault="00387142" w:rsidP="00387142">
            <w:pPr>
              <w:jc w:val="right"/>
              <w:rPr>
                <w:bCs/>
                <w:sz w:val="20"/>
                <w:szCs w:val="20"/>
              </w:rPr>
            </w:pPr>
            <w:r w:rsidRPr="008B6A75">
              <w:rPr>
                <w:bCs/>
                <w:sz w:val="20"/>
                <w:szCs w:val="20"/>
              </w:rPr>
              <w:t>85 579 124,37</w:t>
            </w:r>
          </w:p>
        </w:tc>
        <w:tc>
          <w:tcPr>
            <w:tcW w:w="992" w:type="dxa"/>
            <w:tcBorders>
              <w:top w:val="nil"/>
              <w:left w:val="single" w:sz="4" w:space="0" w:color="auto"/>
              <w:bottom w:val="single" w:sz="4" w:space="0" w:color="auto"/>
              <w:right w:val="nil"/>
            </w:tcBorders>
            <w:shd w:val="clear" w:color="auto" w:fill="auto"/>
            <w:vAlign w:val="center"/>
            <w:hideMark/>
          </w:tcPr>
          <w:p w14:paraId="5042FAB0" w14:textId="77777777" w:rsidR="00387142" w:rsidRPr="008B6A75" w:rsidRDefault="00387142" w:rsidP="00387142">
            <w:pPr>
              <w:jc w:val="right"/>
              <w:rPr>
                <w:bCs/>
                <w:sz w:val="20"/>
                <w:szCs w:val="20"/>
              </w:rPr>
            </w:pPr>
            <w:r w:rsidRPr="008B6A75">
              <w:rPr>
                <w:bCs/>
                <w:sz w:val="20"/>
                <w:szCs w:val="20"/>
              </w:rPr>
              <w:t>43 656 950,00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34980077" w14:textId="77777777" w:rsidR="00387142" w:rsidRPr="008B6A75" w:rsidRDefault="00387142" w:rsidP="00387142">
            <w:pPr>
              <w:jc w:val="right"/>
              <w:rPr>
                <w:bCs/>
                <w:sz w:val="20"/>
                <w:szCs w:val="20"/>
              </w:rPr>
            </w:pPr>
            <w:r w:rsidRPr="008B6A75">
              <w:rPr>
                <w:bCs/>
                <w:sz w:val="20"/>
                <w:szCs w:val="20"/>
              </w:rPr>
              <w:t>29 190 660,00</w:t>
            </w:r>
          </w:p>
        </w:tc>
      </w:tr>
      <w:tr w:rsidR="00387142" w:rsidRPr="008B6A75" w14:paraId="34AEC0CF" w14:textId="77777777" w:rsidTr="00387142">
        <w:trPr>
          <w:trHeight w:val="585"/>
        </w:trPr>
        <w:tc>
          <w:tcPr>
            <w:tcW w:w="3261" w:type="dxa"/>
            <w:tcBorders>
              <w:top w:val="nil"/>
              <w:left w:val="single" w:sz="4" w:space="0" w:color="auto"/>
              <w:bottom w:val="single" w:sz="4" w:space="0" w:color="auto"/>
              <w:right w:val="nil"/>
            </w:tcBorders>
            <w:shd w:val="clear" w:color="auto" w:fill="auto"/>
            <w:vAlign w:val="center"/>
            <w:hideMark/>
          </w:tcPr>
          <w:p w14:paraId="02D841A2" w14:textId="77777777" w:rsidR="00387142" w:rsidRPr="008B6A75" w:rsidRDefault="00387142" w:rsidP="00387142">
            <w:pPr>
              <w:rPr>
                <w:bCs/>
                <w:sz w:val="20"/>
                <w:szCs w:val="20"/>
              </w:rPr>
            </w:pPr>
            <w:r w:rsidRPr="008B6A75">
              <w:rPr>
                <w:bCs/>
                <w:sz w:val="20"/>
                <w:szCs w:val="20"/>
              </w:rPr>
              <w:t>Муниципальная программа "Развитие системы образования Куйбышевского района"</w:t>
            </w:r>
          </w:p>
        </w:tc>
        <w:tc>
          <w:tcPr>
            <w:tcW w:w="720" w:type="dxa"/>
            <w:tcBorders>
              <w:top w:val="nil"/>
              <w:left w:val="single" w:sz="4" w:space="0" w:color="auto"/>
              <w:bottom w:val="single" w:sz="4" w:space="0" w:color="auto"/>
              <w:right w:val="nil"/>
            </w:tcBorders>
            <w:shd w:val="clear" w:color="auto" w:fill="auto"/>
            <w:noWrap/>
            <w:vAlign w:val="center"/>
            <w:hideMark/>
          </w:tcPr>
          <w:p w14:paraId="3D5A9FDF" w14:textId="77777777" w:rsidR="00387142" w:rsidRPr="008B6A75" w:rsidRDefault="00387142" w:rsidP="00387142">
            <w:pPr>
              <w:jc w:val="center"/>
              <w:rPr>
                <w:bCs/>
                <w:sz w:val="20"/>
                <w:szCs w:val="20"/>
              </w:rPr>
            </w:pPr>
            <w:r w:rsidRPr="008B6A75">
              <w:rPr>
                <w:bCs/>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8B3F472" w14:textId="77777777" w:rsidR="00387142" w:rsidRPr="008B6A75" w:rsidRDefault="00387142" w:rsidP="00387142">
            <w:pPr>
              <w:jc w:val="center"/>
              <w:rPr>
                <w:bCs/>
                <w:sz w:val="20"/>
                <w:szCs w:val="20"/>
              </w:rPr>
            </w:pPr>
            <w:r w:rsidRPr="008B6A75">
              <w:rPr>
                <w:bCs/>
                <w:sz w:val="20"/>
                <w:szCs w:val="20"/>
              </w:rPr>
              <w:t>09</w:t>
            </w:r>
          </w:p>
        </w:tc>
        <w:tc>
          <w:tcPr>
            <w:tcW w:w="1516" w:type="dxa"/>
            <w:tcBorders>
              <w:top w:val="nil"/>
              <w:left w:val="single" w:sz="4" w:space="0" w:color="auto"/>
              <w:bottom w:val="single" w:sz="4" w:space="0" w:color="auto"/>
              <w:right w:val="nil"/>
            </w:tcBorders>
            <w:shd w:val="clear" w:color="auto" w:fill="auto"/>
            <w:noWrap/>
            <w:vAlign w:val="center"/>
            <w:hideMark/>
          </w:tcPr>
          <w:p w14:paraId="0AB5A05E" w14:textId="77777777" w:rsidR="00387142" w:rsidRPr="008B6A75" w:rsidRDefault="00387142" w:rsidP="00387142">
            <w:pPr>
              <w:jc w:val="center"/>
              <w:rPr>
                <w:bCs/>
                <w:sz w:val="20"/>
                <w:szCs w:val="20"/>
              </w:rPr>
            </w:pPr>
            <w:r w:rsidRPr="008B6A75">
              <w:rPr>
                <w:bCs/>
                <w:sz w:val="20"/>
                <w:szCs w:val="20"/>
              </w:rPr>
              <w:t>07.0.00.00000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4D5FFA6"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0BD8AC6" w14:textId="77777777" w:rsidR="00387142" w:rsidRPr="008B6A75" w:rsidRDefault="00387142" w:rsidP="00387142">
            <w:pPr>
              <w:jc w:val="right"/>
              <w:rPr>
                <w:bCs/>
                <w:sz w:val="20"/>
                <w:szCs w:val="20"/>
              </w:rPr>
            </w:pPr>
            <w:r w:rsidRPr="008B6A75">
              <w:rPr>
                <w:bCs/>
                <w:sz w:val="20"/>
                <w:szCs w:val="20"/>
              </w:rPr>
              <w:t>82 579 124,37</w:t>
            </w:r>
          </w:p>
        </w:tc>
        <w:tc>
          <w:tcPr>
            <w:tcW w:w="992" w:type="dxa"/>
            <w:tcBorders>
              <w:top w:val="nil"/>
              <w:left w:val="single" w:sz="4" w:space="0" w:color="auto"/>
              <w:bottom w:val="single" w:sz="4" w:space="0" w:color="auto"/>
              <w:right w:val="nil"/>
            </w:tcBorders>
            <w:shd w:val="clear" w:color="auto" w:fill="auto"/>
            <w:vAlign w:val="center"/>
            <w:hideMark/>
          </w:tcPr>
          <w:p w14:paraId="1281B75B" w14:textId="77777777" w:rsidR="00387142" w:rsidRPr="008B6A75" w:rsidRDefault="00387142" w:rsidP="00387142">
            <w:pPr>
              <w:jc w:val="right"/>
              <w:rPr>
                <w:bCs/>
                <w:sz w:val="20"/>
                <w:szCs w:val="20"/>
              </w:rPr>
            </w:pPr>
            <w:r w:rsidRPr="008B6A75">
              <w:rPr>
                <w:bCs/>
                <w:sz w:val="20"/>
                <w:szCs w:val="20"/>
              </w:rPr>
              <w:t>41 928 450,00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1563E757" w14:textId="77777777" w:rsidR="00387142" w:rsidRPr="008B6A75" w:rsidRDefault="00387142" w:rsidP="00387142">
            <w:pPr>
              <w:jc w:val="right"/>
              <w:rPr>
                <w:bCs/>
                <w:sz w:val="20"/>
                <w:szCs w:val="20"/>
              </w:rPr>
            </w:pPr>
            <w:r w:rsidRPr="008B6A75">
              <w:rPr>
                <w:bCs/>
                <w:sz w:val="20"/>
                <w:szCs w:val="20"/>
              </w:rPr>
              <w:t>29 190 660,00</w:t>
            </w:r>
          </w:p>
        </w:tc>
      </w:tr>
      <w:tr w:rsidR="00387142" w:rsidRPr="008B6A75" w14:paraId="4A35338E" w14:textId="77777777" w:rsidTr="00387142">
        <w:trPr>
          <w:trHeight w:val="585"/>
        </w:trPr>
        <w:tc>
          <w:tcPr>
            <w:tcW w:w="3261" w:type="dxa"/>
            <w:tcBorders>
              <w:top w:val="nil"/>
              <w:left w:val="single" w:sz="4" w:space="0" w:color="auto"/>
              <w:bottom w:val="single" w:sz="4" w:space="0" w:color="auto"/>
              <w:right w:val="nil"/>
            </w:tcBorders>
            <w:shd w:val="clear" w:color="auto" w:fill="auto"/>
            <w:vAlign w:val="center"/>
            <w:hideMark/>
          </w:tcPr>
          <w:p w14:paraId="2F2794A0" w14:textId="77777777" w:rsidR="00387142" w:rsidRPr="008B6A75" w:rsidRDefault="00387142" w:rsidP="00387142">
            <w:pPr>
              <w:rPr>
                <w:bCs/>
                <w:sz w:val="20"/>
                <w:szCs w:val="20"/>
              </w:rPr>
            </w:pPr>
            <w:r w:rsidRPr="008B6A75">
              <w:rPr>
                <w:bCs/>
                <w:sz w:val="20"/>
                <w:szCs w:val="20"/>
              </w:rPr>
              <w:t>Подпрограмма "Развитие дошкольного, общего и дополнительного образования детей"</w:t>
            </w:r>
          </w:p>
        </w:tc>
        <w:tc>
          <w:tcPr>
            <w:tcW w:w="720" w:type="dxa"/>
            <w:tcBorders>
              <w:top w:val="nil"/>
              <w:left w:val="single" w:sz="4" w:space="0" w:color="auto"/>
              <w:bottom w:val="single" w:sz="4" w:space="0" w:color="auto"/>
              <w:right w:val="nil"/>
            </w:tcBorders>
            <w:shd w:val="clear" w:color="auto" w:fill="auto"/>
            <w:noWrap/>
            <w:vAlign w:val="center"/>
            <w:hideMark/>
          </w:tcPr>
          <w:p w14:paraId="1C7D8649" w14:textId="77777777" w:rsidR="00387142" w:rsidRPr="008B6A75" w:rsidRDefault="00387142" w:rsidP="00387142">
            <w:pPr>
              <w:jc w:val="center"/>
              <w:rPr>
                <w:bCs/>
                <w:sz w:val="20"/>
                <w:szCs w:val="20"/>
              </w:rPr>
            </w:pPr>
            <w:r w:rsidRPr="008B6A75">
              <w:rPr>
                <w:bCs/>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6954EED" w14:textId="77777777" w:rsidR="00387142" w:rsidRPr="008B6A75" w:rsidRDefault="00387142" w:rsidP="00387142">
            <w:pPr>
              <w:jc w:val="center"/>
              <w:rPr>
                <w:bCs/>
                <w:sz w:val="20"/>
                <w:szCs w:val="20"/>
              </w:rPr>
            </w:pPr>
            <w:r w:rsidRPr="008B6A75">
              <w:rPr>
                <w:bCs/>
                <w:sz w:val="20"/>
                <w:szCs w:val="20"/>
              </w:rPr>
              <w:t>09</w:t>
            </w:r>
          </w:p>
        </w:tc>
        <w:tc>
          <w:tcPr>
            <w:tcW w:w="1516" w:type="dxa"/>
            <w:tcBorders>
              <w:top w:val="nil"/>
              <w:left w:val="single" w:sz="4" w:space="0" w:color="auto"/>
              <w:bottom w:val="single" w:sz="4" w:space="0" w:color="auto"/>
              <w:right w:val="nil"/>
            </w:tcBorders>
            <w:shd w:val="clear" w:color="auto" w:fill="auto"/>
            <w:noWrap/>
            <w:vAlign w:val="center"/>
            <w:hideMark/>
          </w:tcPr>
          <w:p w14:paraId="79019A9C" w14:textId="77777777" w:rsidR="00387142" w:rsidRPr="008B6A75" w:rsidRDefault="00387142" w:rsidP="00387142">
            <w:pPr>
              <w:jc w:val="center"/>
              <w:rPr>
                <w:bCs/>
                <w:sz w:val="20"/>
                <w:szCs w:val="20"/>
              </w:rPr>
            </w:pPr>
            <w:r w:rsidRPr="008B6A75">
              <w:rPr>
                <w:bCs/>
                <w:sz w:val="20"/>
                <w:szCs w:val="20"/>
              </w:rPr>
              <w:t>07.1.00.00000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D953B92"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11B3544" w14:textId="77777777" w:rsidR="00387142" w:rsidRPr="008B6A75" w:rsidRDefault="00387142" w:rsidP="00387142">
            <w:pPr>
              <w:jc w:val="right"/>
              <w:rPr>
                <w:bCs/>
                <w:sz w:val="20"/>
                <w:szCs w:val="20"/>
              </w:rPr>
            </w:pPr>
            <w:r w:rsidRPr="008B6A75">
              <w:rPr>
                <w:bCs/>
                <w:sz w:val="20"/>
                <w:szCs w:val="20"/>
              </w:rPr>
              <w:t>82 579 124,37</w:t>
            </w:r>
          </w:p>
        </w:tc>
        <w:tc>
          <w:tcPr>
            <w:tcW w:w="992" w:type="dxa"/>
            <w:tcBorders>
              <w:top w:val="nil"/>
              <w:left w:val="single" w:sz="4" w:space="0" w:color="auto"/>
              <w:bottom w:val="single" w:sz="4" w:space="0" w:color="auto"/>
              <w:right w:val="nil"/>
            </w:tcBorders>
            <w:shd w:val="clear" w:color="auto" w:fill="auto"/>
            <w:vAlign w:val="center"/>
            <w:hideMark/>
          </w:tcPr>
          <w:p w14:paraId="3BD75AC1" w14:textId="77777777" w:rsidR="00387142" w:rsidRPr="008B6A75" w:rsidRDefault="00387142" w:rsidP="00387142">
            <w:pPr>
              <w:jc w:val="right"/>
              <w:rPr>
                <w:bCs/>
                <w:sz w:val="20"/>
                <w:szCs w:val="20"/>
              </w:rPr>
            </w:pPr>
            <w:r w:rsidRPr="008B6A75">
              <w:rPr>
                <w:bCs/>
                <w:sz w:val="20"/>
                <w:szCs w:val="20"/>
              </w:rPr>
              <w:t>41 928 450,00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4FC16B10" w14:textId="77777777" w:rsidR="00387142" w:rsidRPr="008B6A75" w:rsidRDefault="00387142" w:rsidP="00387142">
            <w:pPr>
              <w:jc w:val="right"/>
              <w:rPr>
                <w:bCs/>
                <w:sz w:val="20"/>
                <w:szCs w:val="20"/>
              </w:rPr>
            </w:pPr>
            <w:r w:rsidRPr="008B6A75">
              <w:rPr>
                <w:bCs/>
                <w:sz w:val="20"/>
                <w:szCs w:val="20"/>
              </w:rPr>
              <w:t>29 190 660,00</w:t>
            </w:r>
          </w:p>
        </w:tc>
      </w:tr>
      <w:tr w:rsidR="00387142" w:rsidRPr="008B6A75" w14:paraId="137BFB99" w14:textId="77777777" w:rsidTr="00387142">
        <w:trPr>
          <w:trHeight w:val="2295"/>
        </w:trPr>
        <w:tc>
          <w:tcPr>
            <w:tcW w:w="3261" w:type="dxa"/>
            <w:tcBorders>
              <w:top w:val="nil"/>
              <w:left w:val="single" w:sz="4" w:space="0" w:color="auto"/>
              <w:bottom w:val="single" w:sz="4" w:space="0" w:color="auto"/>
              <w:right w:val="nil"/>
            </w:tcBorders>
            <w:shd w:val="clear" w:color="auto" w:fill="auto"/>
            <w:vAlign w:val="center"/>
            <w:hideMark/>
          </w:tcPr>
          <w:p w14:paraId="7607BA41" w14:textId="77777777" w:rsidR="00387142" w:rsidRPr="008B6A75" w:rsidRDefault="00387142" w:rsidP="00387142">
            <w:pPr>
              <w:rPr>
                <w:bCs/>
                <w:sz w:val="20"/>
                <w:szCs w:val="20"/>
              </w:rPr>
            </w:pPr>
            <w:r w:rsidRPr="008B6A75">
              <w:rPr>
                <w:bCs/>
                <w:sz w:val="20"/>
                <w:szCs w:val="20"/>
              </w:rPr>
              <w:t>Реализация мероприятий по установке и модернизации систем видеонаблюдения, автоматической пожарной сигнализации и пожарного мониторинга государственной программы Новосибирской области "Построение и развитие аппаратно-программного комплекса "Безопасный город" в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14:paraId="2181507E" w14:textId="77777777" w:rsidR="00387142" w:rsidRPr="008B6A75" w:rsidRDefault="00387142" w:rsidP="00387142">
            <w:pPr>
              <w:jc w:val="center"/>
              <w:rPr>
                <w:bCs/>
                <w:sz w:val="20"/>
                <w:szCs w:val="20"/>
              </w:rPr>
            </w:pPr>
            <w:r w:rsidRPr="008B6A75">
              <w:rPr>
                <w:bCs/>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8F9B56E" w14:textId="77777777" w:rsidR="00387142" w:rsidRPr="008B6A75" w:rsidRDefault="00387142" w:rsidP="00387142">
            <w:pPr>
              <w:jc w:val="center"/>
              <w:rPr>
                <w:bCs/>
                <w:sz w:val="20"/>
                <w:szCs w:val="20"/>
              </w:rPr>
            </w:pPr>
            <w:r w:rsidRPr="008B6A75">
              <w:rPr>
                <w:bCs/>
                <w:sz w:val="20"/>
                <w:szCs w:val="20"/>
              </w:rPr>
              <w:t>09</w:t>
            </w:r>
          </w:p>
        </w:tc>
        <w:tc>
          <w:tcPr>
            <w:tcW w:w="1516" w:type="dxa"/>
            <w:tcBorders>
              <w:top w:val="nil"/>
              <w:left w:val="single" w:sz="4" w:space="0" w:color="auto"/>
              <w:bottom w:val="single" w:sz="4" w:space="0" w:color="auto"/>
              <w:right w:val="nil"/>
            </w:tcBorders>
            <w:shd w:val="clear" w:color="auto" w:fill="auto"/>
            <w:noWrap/>
            <w:vAlign w:val="center"/>
            <w:hideMark/>
          </w:tcPr>
          <w:p w14:paraId="1EB23DFD" w14:textId="77777777" w:rsidR="00387142" w:rsidRPr="008B6A75" w:rsidRDefault="00387142" w:rsidP="00387142">
            <w:pPr>
              <w:jc w:val="center"/>
              <w:rPr>
                <w:bCs/>
                <w:sz w:val="20"/>
                <w:szCs w:val="20"/>
              </w:rPr>
            </w:pPr>
            <w:r w:rsidRPr="008B6A75">
              <w:rPr>
                <w:bCs/>
                <w:sz w:val="20"/>
                <w:szCs w:val="20"/>
              </w:rPr>
              <w:t>07.1.00.02590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700E4A8"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850E164" w14:textId="77777777" w:rsidR="00387142" w:rsidRPr="008B6A75" w:rsidRDefault="00387142" w:rsidP="00387142">
            <w:pPr>
              <w:jc w:val="right"/>
              <w:rPr>
                <w:bCs/>
                <w:sz w:val="20"/>
                <w:szCs w:val="20"/>
              </w:rPr>
            </w:pPr>
            <w:r w:rsidRPr="008B6A75">
              <w:rPr>
                <w:bCs/>
                <w:sz w:val="20"/>
                <w:szCs w:val="20"/>
              </w:rPr>
              <w:t>0,00</w:t>
            </w:r>
          </w:p>
        </w:tc>
        <w:tc>
          <w:tcPr>
            <w:tcW w:w="992" w:type="dxa"/>
            <w:tcBorders>
              <w:top w:val="nil"/>
              <w:left w:val="single" w:sz="4" w:space="0" w:color="auto"/>
              <w:bottom w:val="single" w:sz="4" w:space="0" w:color="auto"/>
              <w:right w:val="nil"/>
            </w:tcBorders>
            <w:shd w:val="clear" w:color="auto" w:fill="auto"/>
            <w:vAlign w:val="center"/>
            <w:hideMark/>
          </w:tcPr>
          <w:p w14:paraId="11E3836F" w14:textId="77777777" w:rsidR="00387142" w:rsidRPr="008B6A75" w:rsidRDefault="00387142" w:rsidP="00387142">
            <w:pPr>
              <w:jc w:val="right"/>
              <w:rPr>
                <w:bCs/>
                <w:sz w:val="20"/>
                <w:szCs w:val="20"/>
              </w:rPr>
            </w:pPr>
            <w:r w:rsidRPr="008B6A75">
              <w:rPr>
                <w:bCs/>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60360573" w14:textId="77777777" w:rsidR="00387142" w:rsidRPr="008B6A75" w:rsidRDefault="00387142" w:rsidP="00387142">
            <w:pPr>
              <w:jc w:val="right"/>
              <w:rPr>
                <w:bCs/>
                <w:sz w:val="20"/>
                <w:szCs w:val="20"/>
              </w:rPr>
            </w:pPr>
            <w:r w:rsidRPr="008B6A75">
              <w:rPr>
                <w:bCs/>
                <w:sz w:val="20"/>
                <w:szCs w:val="20"/>
              </w:rPr>
              <w:t>1 000 000,00</w:t>
            </w:r>
          </w:p>
        </w:tc>
      </w:tr>
      <w:tr w:rsidR="00387142" w:rsidRPr="008B6A75" w14:paraId="7683CED4" w14:textId="77777777" w:rsidTr="00387142">
        <w:trPr>
          <w:trHeight w:val="585"/>
        </w:trPr>
        <w:tc>
          <w:tcPr>
            <w:tcW w:w="3261" w:type="dxa"/>
            <w:tcBorders>
              <w:top w:val="nil"/>
              <w:left w:val="single" w:sz="4" w:space="0" w:color="auto"/>
              <w:bottom w:val="single" w:sz="4" w:space="0" w:color="auto"/>
              <w:right w:val="nil"/>
            </w:tcBorders>
            <w:shd w:val="clear" w:color="auto" w:fill="auto"/>
            <w:vAlign w:val="center"/>
            <w:hideMark/>
          </w:tcPr>
          <w:p w14:paraId="166FE8DD" w14:textId="77777777" w:rsidR="00387142" w:rsidRPr="008B6A75" w:rsidRDefault="00387142" w:rsidP="00387142">
            <w:pPr>
              <w:rPr>
                <w:sz w:val="20"/>
                <w:szCs w:val="20"/>
              </w:rPr>
            </w:pPr>
            <w:r w:rsidRPr="008B6A75">
              <w:rPr>
                <w:sz w:val="20"/>
                <w:szCs w:val="20"/>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5E451650" w14:textId="77777777" w:rsidR="00387142" w:rsidRPr="008B6A75" w:rsidRDefault="00387142" w:rsidP="00387142">
            <w:pPr>
              <w:jc w:val="center"/>
              <w:rPr>
                <w:sz w:val="20"/>
                <w:szCs w:val="20"/>
              </w:rPr>
            </w:pPr>
            <w:r w:rsidRPr="008B6A75">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B75E577" w14:textId="77777777" w:rsidR="00387142" w:rsidRPr="008B6A75" w:rsidRDefault="00387142" w:rsidP="00387142">
            <w:pPr>
              <w:jc w:val="center"/>
              <w:rPr>
                <w:sz w:val="20"/>
                <w:szCs w:val="20"/>
              </w:rPr>
            </w:pPr>
            <w:r w:rsidRPr="008B6A75">
              <w:rPr>
                <w:sz w:val="20"/>
                <w:szCs w:val="20"/>
              </w:rPr>
              <w:t>09</w:t>
            </w:r>
          </w:p>
        </w:tc>
        <w:tc>
          <w:tcPr>
            <w:tcW w:w="1516" w:type="dxa"/>
            <w:tcBorders>
              <w:top w:val="nil"/>
              <w:left w:val="single" w:sz="4" w:space="0" w:color="auto"/>
              <w:bottom w:val="single" w:sz="4" w:space="0" w:color="auto"/>
              <w:right w:val="nil"/>
            </w:tcBorders>
            <w:shd w:val="clear" w:color="auto" w:fill="auto"/>
            <w:noWrap/>
            <w:vAlign w:val="center"/>
            <w:hideMark/>
          </w:tcPr>
          <w:p w14:paraId="14F0B703" w14:textId="77777777" w:rsidR="00387142" w:rsidRPr="008B6A75" w:rsidRDefault="00387142" w:rsidP="00387142">
            <w:pPr>
              <w:jc w:val="center"/>
              <w:rPr>
                <w:sz w:val="20"/>
                <w:szCs w:val="20"/>
              </w:rPr>
            </w:pPr>
            <w:r w:rsidRPr="008B6A75">
              <w:rPr>
                <w:sz w:val="20"/>
                <w:szCs w:val="20"/>
              </w:rPr>
              <w:t>07.1.00.02590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1A9AB14" w14:textId="77777777" w:rsidR="00387142" w:rsidRPr="008B6A75" w:rsidRDefault="00387142" w:rsidP="00387142">
            <w:pPr>
              <w:jc w:val="center"/>
              <w:rPr>
                <w:sz w:val="20"/>
                <w:szCs w:val="20"/>
              </w:rPr>
            </w:pPr>
            <w:r w:rsidRPr="008B6A75">
              <w:rPr>
                <w:sz w:val="20"/>
                <w:szCs w:val="20"/>
              </w:rPr>
              <w:t>200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51518ED" w14:textId="77777777" w:rsidR="00387142" w:rsidRPr="008B6A75" w:rsidRDefault="00387142" w:rsidP="00387142">
            <w:pPr>
              <w:jc w:val="right"/>
              <w:rPr>
                <w:sz w:val="20"/>
                <w:szCs w:val="20"/>
              </w:rPr>
            </w:pPr>
            <w:r w:rsidRPr="008B6A75">
              <w:rPr>
                <w:sz w:val="20"/>
                <w:szCs w:val="20"/>
              </w:rPr>
              <w:t>0,00</w:t>
            </w:r>
          </w:p>
        </w:tc>
        <w:tc>
          <w:tcPr>
            <w:tcW w:w="992" w:type="dxa"/>
            <w:tcBorders>
              <w:top w:val="nil"/>
              <w:left w:val="single" w:sz="4" w:space="0" w:color="auto"/>
              <w:bottom w:val="single" w:sz="4" w:space="0" w:color="auto"/>
              <w:right w:val="nil"/>
            </w:tcBorders>
            <w:shd w:val="clear" w:color="auto" w:fill="auto"/>
            <w:vAlign w:val="center"/>
            <w:hideMark/>
          </w:tcPr>
          <w:p w14:paraId="6569FCE9" w14:textId="77777777" w:rsidR="00387142" w:rsidRPr="008B6A75" w:rsidRDefault="00387142" w:rsidP="00387142">
            <w:pPr>
              <w:jc w:val="right"/>
              <w:rPr>
                <w:sz w:val="20"/>
                <w:szCs w:val="20"/>
              </w:rPr>
            </w:pPr>
            <w:r w:rsidRPr="008B6A75">
              <w:rPr>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2E18550E" w14:textId="77777777" w:rsidR="00387142" w:rsidRPr="008B6A75" w:rsidRDefault="00387142" w:rsidP="00387142">
            <w:pPr>
              <w:jc w:val="right"/>
              <w:rPr>
                <w:sz w:val="20"/>
                <w:szCs w:val="20"/>
              </w:rPr>
            </w:pPr>
            <w:r w:rsidRPr="008B6A75">
              <w:rPr>
                <w:sz w:val="20"/>
                <w:szCs w:val="20"/>
              </w:rPr>
              <w:t>1 000 000,00</w:t>
            </w:r>
          </w:p>
        </w:tc>
      </w:tr>
      <w:tr w:rsidR="00387142" w:rsidRPr="008B6A75" w14:paraId="33FD90EB" w14:textId="77777777" w:rsidTr="00387142">
        <w:trPr>
          <w:trHeight w:val="870"/>
        </w:trPr>
        <w:tc>
          <w:tcPr>
            <w:tcW w:w="3261" w:type="dxa"/>
            <w:tcBorders>
              <w:top w:val="nil"/>
              <w:left w:val="single" w:sz="4" w:space="0" w:color="auto"/>
              <w:bottom w:val="single" w:sz="4" w:space="0" w:color="auto"/>
              <w:right w:val="nil"/>
            </w:tcBorders>
            <w:shd w:val="clear" w:color="auto" w:fill="auto"/>
            <w:vAlign w:val="center"/>
            <w:hideMark/>
          </w:tcPr>
          <w:p w14:paraId="39A28590" w14:textId="77777777" w:rsidR="00387142" w:rsidRPr="008B6A75" w:rsidRDefault="00387142" w:rsidP="00387142">
            <w:pPr>
              <w:rPr>
                <w:sz w:val="20"/>
                <w:szCs w:val="20"/>
              </w:rPr>
            </w:pPr>
            <w:r w:rsidRPr="008B6A75">
              <w:rPr>
                <w:sz w:val="20"/>
                <w:szCs w:val="20"/>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2AEACA8B" w14:textId="77777777" w:rsidR="00387142" w:rsidRPr="008B6A75" w:rsidRDefault="00387142" w:rsidP="00387142">
            <w:pPr>
              <w:jc w:val="center"/>
              <w:rPr>
                <w:sz w:val="20"/>
                <w:szCs w:val="20"/>
              </w:rPr>
            </w:pPr>
            <w:r w:rsidRPr="008B6A75">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C68F930" w14:textId="77777777" w:rsidR="00387142" w:rsidRPr="008B6A75" w:rsidRDefault="00387142" w:rsidP="00387142">
            <w:pPr>
              <w:jc w:val="center"/>
              <w:rPr>
                <w:sz w:val="20"/>
                <w:szCs w:val="20"/>
              </w:rPr>
            </w:pPr>
            <w:r w:rsidRPr="008B6A75">
              <w:rPr>
                <w:sz w:val="20"/>
                <w:szCs w:val="20"/>
              </w:rPr>
              <w:t>09</w:t>
            </w:r>
          </w:p>
        </w:tc>
        <w:tc>
          <w:tcPr>
            <w:tcW w:w="1516" w:type="dxa"/>
            <w:tcBorders>
              <w:top w:val="nil"/>
              <w:left w:val="single" w:sz="4" w:space="0" w:color="auto"/>
              <w:bottom w:val="single" w:sz="4" w:space="0" w:color="auto"/>
              <w:right w:val="nil"/>
            </w:tcBorders>
            <w:shd w:val="clear" w:color="auto" w:fill="auto"/>
            <w:noWrap/>
            <w:vAlign w:val="center"/>
            <w:hideMark/>
          </w:tcPr>
          <w:p w14:paraId="322C4CE0" w14:textId="77777777" w:rsidR="00387142" w:rsidRPr="008B6A75" w:rsidRDefault="00387142" w:rsidP="00387142">
            <w:pPr>
              <w:jc w:val="center"/>
              <w:rPr>
                <w:sz w:val="20"/>
                <w:szCs w:val="20"/>
              </w:rPr>
            </w:pPr>
            <w:r w:rsidRPr="008B6A75">
              <w:rPr>
                <w:sz w:val="20"/>
                <w:szCs w:val="20"/>
              </w:rPr>
              <w:t>07.1.00.02590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88E0E2E" w14:textId="77777777" w:rsidR="00387142" w:rsidRPr="008B6A75" w:rsidRDefault="00387142" w:rsidP="00387142">
            <w:pPr>
              <w:jc w:val="center"/>
              <w:rPr>
                <w:sz w:val="20"/>
                <w:szCs w:val="20"/>
              </w:rPr>
            </w:pPr>
            <w:r w:rsidRPr="008B6A75">
              <w:rPr>
                <w:sz w:val="20"/>
                <w:szCs w:val="20"/>
              </w:rPr>
              <w:t>240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CC2EEA0" w14:textId="77777777" w:rsidR="00387142" w:rsidRPr="008B6A75" w:rsidRDefault="00387142" w:rsidP="00387142">
            <w:pPr>
              <w:jc w:val="right"/>
              <w:rPr>
                <w:sz w:val="20"/>
                <w:szCs w:val="20"/>
              </w:rPr>
            </w:pPr>
            <w:r w:rsidRPr="008B6A75">
              <w:rPr>
                <w:sz w:val="20"/>
                <w:szCs w:val="20"/>
              </w:rPr>
              <w:t>0,00</w:t>
            </w:r>
          </w:p>
        </w:tc>
        <w:tc>
          <w:tcPr>
            <w:tcW w:w="992" w:type="dxa"/>
            <w:tcBorders>
              <w:top w:val="nil"/>
              <w:left w:val="single" w:sz="4" w:space="0" w:color="auto"/>
              <w:bottom w:val="single" w:sz="4" w:space="0" w:color="auto"/>
              <w:right w:val="nil"/>
            </w:tcBorders>
            <w:shd w:val="clear" w:color="auto" w:fill="auto"/>
            <w:vAlign w:val="center"/>
            <w:hideMark/>
          </w:tcPr>
          <w:p w14:paraId="4D4949E3" w14:textId="77777777" w:rsidR="00387142" w:rsidRPr="008B6A75" w:rsidRDefault="00387142" w:rsidP="00387142">
            <w:pPr>
              <w:jc w:val="right"/>
              <w:rPr>
                <w:sz w:val="20"/>
                <w:szCs w:val="20"/>
              </w:rPr>
            </w:pPr>
            <w:r w:rsidRPr="008B6A75">
              <w:rPr>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0FA47A89" w14:textId="77777777" w:rsidR="00387142" w:rsidRPr="008B6A75" w:rsidRDefault="00387142" w:rsidP="00387142">
            <w:pPr>
              <w:jc w:val="right"/>
              <w:rPr>
                <w:sz w:val="20"/>
                <w:szCs w:val="20"/>
              </w:rPr>
            </w:pPr>
            <w:r w:rsidRPr="008B6A75">
              <w:rPr>
                <w:sz w:val="20"/>
                <w:szCs w:val="20"/>
              </w:rPr>
              <w:t>1 000 000,00</w:t>
            </w:r>
          </w:p>
        </w:tc>
      </w:tr>
      <w:tr w:rsidR="00387142" w:rsidRPr="008B6A75" w14:paraId="01D0D7BD" w14:textId="77777777" w:rsidTr="00387142">
        <w:trPr>
          <w:trHeight w:val="2580"/>
        </w:trPr>
        <w:tc>
          <w:tcPr>
            <w:tcW w:w="3261" w:type="dxa"/>
            <w:tcBorders>
              <w:top w:val="nil"/>
              <w:left w:val="single" w:sz="4" w:space="0" w:color="auto"/>
              <w:bottom w:val="single" w:sz="4" w:space="0" w:color="auto"/>
              <w:right w:val="nil"/>
            </w:tcBorders>
            <w:shd w:val="clear" w:color="auto" w:fill="auto"/>
            <w:vAlign w:val="center"/>
            <w:hideMark/>
          </w:tcPr>
          <w:p w14:paraId="21AD5539" w14:textId="77777777" w:rsidR="00387142" w:rsidRPr="008B6A75" w:rsidRDefault="00387142" w:rsidP="00387142">
            <w:pPr>
              <w:rPr>
                <w:bCs/>
                <w:sz w:val="20"/>
                <w:szCs w:val="20"/>
              </w:rPr>
            </w:pPr>
            <w:r w:rsidRPr="008B6A75">
              <w:rPr>
                <w:bCs/>
                <w:sz w:val="20"/>
                <w:szCs w:val="20"/>
              </w:rPr>
              <w:t xml:space="preserve">Реализация мероприятий по модернизации образования Новосибирской </w:t>
            </w:r>
            <w:proofErr w:type="gramStart"/>
            <w:r w:rsidRPr="008B6A75">
              <w:rPr>
                <w:bCs/>
                <w:sz w:val="20"/>
                <w:szCs w:val="20"/>
              </w:rPr>
              <w:t>области  подпрограммы</w:t>
            </w:r>
            <w:proofErr w:type="gramEnd"/>
            <w:r w:rsidRPr="008B6A75">
              <w:rPr>
                <w:bCs/>
                <w:sz w:val="20"/>
                <w:szCs w:val="20"/>
              </w:rPr>
              <w:t xml:space="preserve"> "Развитие дошкольного, общего и дополнительного образования детей" в рамках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14:paraId="11AB3AFC" w14:textId="77777777" w:rsidR="00387142" w:rsidRPr="008B6A75" w:rsidRDefault="00387142" w:rsidP="00387142">
            <w:pPr>
              <w:jc w:val="center"/>
              <w:rPr>
                <w:bCs/>
                <w:sz w:val="20"/>
                <w:szCs w:val="20"/>
              </w:rPr>
            </w:pPr>
            <w:r w:rsidRPr="008B6A75">
              <w:rPr>
                <w:bCs/>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1028FC3" w14:textId="77777777" w:rsidR="00387142" w:rsidRPr="008B6A75" w:rsidRDefault="00387142" w:rsidP="00387142">
            <w:pPr>
              <w:jc w:val="center"/>
              <w:rPr>
                <w:bCs/>
                <w:sz w:val="20"/>
                <w:szCs w:val="20"/>
              </w:rPr>
            </w:pPr>
            <w:r w:rsidRPr="008B6A75">
              <w:rPr>
                <w:bCs/>
                <w:sz w:val="20"/>
                <w:szCs w:val="20"/>
              </w:rPr>
              <w:t>09</w:t>
            </w:r>
          </w:p>
        </w:tc>
        <w:tc>
          <w:tcPr>
            <w:tcW w:w="1516" w:type="dxa"/>
            <w:tcBorders>
              <w:top w:val="nil"/>
              <w:left w:val="single" w:sz="4" w:space="0" w:color="auto"/>
              <w:bottom w:val="single" w:sz="4" w:space="0" w:color="auto"/>
              <w:right w:val="nil"/>
            </w:tcBorders>
            <w:shd w:val="clear" w:color="auto" w:fill="auto"/>
            <w:noWrap/>
            <w:vAlign w:val="center"/>
            <w:hideMark/>
          </w:tcPr>
          <w:p w14:paraId="0A523137" w14:textId="77777777" w:rsidR="00387142" w:rsidRPr="008B6A75" w:rsidRDefault="00387142" w:rsidP="00387142">
            <w:pPr>
              <w:jc w:val="center"/>
              <w:rPr>
                <w:bCs/>
                <w:sz w:val="20"/>
                <w:szCs w:val="20"/>
              </w:rPr>
            </w:pPr>
            <w:r w:rsidRPr="008B6A75">
              <w:rPr>
                <w:bCs/>
                <w:sz w:val="20"/>
                <w:szCs w:val="20"/>
              </w:rPr>
              <w:t>07.1.00.03470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E36CABF"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70CCAF7" w14:textId="77777777" w:rsidR="00387142" w:rsidRPr="008B6A75" w:rsidRDefault="00387142" w:rsidP="00387142">
            <w:pPr>
              <w:jc w:val="right"/>
              <w:rPr>
                <w:bCs/>
                <w:sz w:val="20"/>
                <w:szCs w:val="20"/>
              </w:rPr>
            </w:pPr>
            <w:r w:rsidRPr="008B6A75">
              <w:rPr>
                <w:bCs/>
                <w:sz w:val="20"/>
                <w:szCs w:val="20"/>
              </w:rPr>
              <w:t>200 000,00</w:t>
            </w:r>
          </w:p>
        </w:tc>
        <w:tc>
          <w:tcPr>
            <w:tcW w:w="992" w:type="dxa"/>
            <w:tcBorders>
              <w:top w:val="nil"/>
              <w:left w:val="single" w:sz="4" w:space="0" w:color="auto"/>
              <w:bottom w:val="single" w:sz="4" w:space="0" w:color="auto"/>
              <w:right w:val="nil"/>
            </w:tcBorders>
            <w:shd w:val="clear" w:color="auto" w:fill="auto"/>
            <w:vAlign w:val="center"/>
            <w:hideMark/>
          </w:tcPr>
          <w:p w14:paraId="70D34DCE" w14:textId="77777777" w:rsidR="00387142" w:rsidRPr="008B6A75" w:rsidRDefault="00387142" w:rsidP="00387142">
            <w:pPr>
              <w:jc w:val="right"/>
              <w:rPr>
                <w:bCs/>
                <w:sz w:val="20"/>
                <w:szCs w:val="20"/>
              </w:rPr>
            </w:pPr>
            <w:r w:rsidRPr="008B6A75">
              <w:rPr>
                <w:bCs/>
                <w:sz w:val="20"/>
                <w:szCs w:val="20"/>
              </w:rPr>
              <w:t>1 112 900,00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755CBD23" w14:textId="77777777" w:rsidR="00387142" w:rsidRPr="008B6A75" w:rsidRDefault="00387142" w:rsidP="00387142">
            <w:pPr>
              <w:jc w:val="right"/>
              <w:rPr>
                <w:bCs/>
                <w:sz w:val="20"/>
                <w:szCs w:val="20"/>
              </w:rPr>
            </w:pPr>
            <w:r w:rsidRPr="008B6A75">
              <w:rPr>
                <w:bCs/>
                <w:sz w:val="20"/>
                <w:szCs w:val="20"/>
              </w:rPr>
              <w:t>1 112 900,00</w:t>
            </w:r>
          </w:p>
        </w:tc>
      </w:tr>
      <w:tr w:rsidR="00387142" w:rsidRPr="008B6A75" w14:paraId="343D52D7" w14:textId="77777777" w:rsidTr="00387142">
        <w:trPr>
          <w:trHeight w:val="585"/>
        </w:trPr>
        <w:tc>
          <w:tcPr>
            <w:tcW w:w="3261" w:type="dxa"/>
            <w:tcBorders>
              <w:top w:val="nil"/>
              <w:left w:val="single" w:sz="4" w:space="0" w:color="auto"/>
              <w:bottom w:val="single" w:sz="4" w:space="0" w:color="auto"/>
              <w:right w:val="nil"/>
            </w:tcBorders>
            <w:shd w:val="clear" w:color="auto" w:fill="auto"/>
            <w:vAlign w:val="center"/>
            <w:hideMark/>
          </w:tcPr>
          <w:p w14:paraId="43F1100D" w14:textId="77777777" w:rsidR="00387142" w:rsidRPr="008B6A75" w:rsidRDefault="00387142" w:rsidP="00387142">
            <w:pPr>
              <w:rPr>
                <w:sz w:val="20"/>
                <w:szCs w:val="20"/>
              </w:rPr>
            </w:pPr>
            <w:r w:rsidRPr="008B6A75">
              <w:rPr>
                <w:sz w:val="20"/>
                <w:szCs w:val="20"/>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1201AAE1" w14:textId="77777777" w:rsidR="00387142" w:rsidRPr="008B6A75" w:rsidRDefault="00387142" w:rsidP="00387142">
            <w:pPr>
              <w:jc w:val="center"/>
              <w:rPr>
                <w:sz w:val="20"/>
                <w:szCs w:val="20"/>
              </w:rPr>
            </w:pPr>
            <w:r w:rsidRPr="008B6A75">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5053049" w14:textId="77777777" w:rsidR="00387142" w:rsidRPr="008B6A75" w:rsidRDefault="00387142" w:rsidP="00387142">
            <w:pPr>
              <w:jc w:val="center"/>
              <w:rPr>
                <w:sz w:val="20"/>
                <w:szCs w:val="20"/>
              </w:rPr>
            </w:pPr>
            <w:r w:rsidRPr="008B6A75">
              <w:rPr>
                <w:sz w:val="20"/>
                <w:szCs w:val="20"/>
              </w:rPr>
              <w:t>09</w:t>
            </w:r>
          </w:p>
        </w:tc>
        <w:tc>
          <w:tcPr>
            <w:tcW w:w="1516" w:type="dxa"/>
            <w:tcBorders>
              <w:top w:val="nil"/>
              <w:left w:val="single" w:sz="4" w:space="0" w:color="auto"/>
              <w:bottom w:val="single" w:sz="4" w:space="0" w:color="auto"/>
              <w:right w:val="nil"/>
            </w:tcBorders>
            <w:shd w:val="clear" w:color="auto" w:fill="auto"/>
            <w:noWrap/>
            <w:vAlign w:val="center"/>
            <w:hideMark/>
          </w:tcPr>
          <w:p w14:paraId="131A435A" w14:textId="77777777" w:rsidR="00387142" w:rsidRPr="008B6A75" w:rsidRDefault="00387142" w:rsidP="00387142">
            <w:pPr>
              <w:jc w:val="center"/>
              <w:rPr>
                <w:sz w:val="20"/>
                <w:szCs w:val="20"/>
              </w:rPr>
            </w:pPr>
            <w:r w:rsidRPr="008B6A75">
              <w:rPr>
                <w:sz w:val="20"/>
                <w:szCs w:val="20"/>
              </w:rPr>
              <w:t>07.1.00.03470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1969D92" w14:textId="77777777" w:rsidR="00387142" w:rsidRPr="008B6A75" w:rsidRDefault="00387142" w:rsidP="00387142">
            <w:pPr>
              <w:jc w:val="center"/>
              <w:rPr>
                <w:sz w:val="20"/>
                <w:szCs w:val="20"/>
              </w:rPr>
            </w:pPr>
            <w:r w:rsidRPr="008B6A75">
              <w:rPr>
                <w:sz w:val="20"/>
                <w:szCs w:val="20"/>
              </w:rPr>
              <w:t>200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A27EDFD" w14:textId="77777777" w:rsidR="00387142" w:rsidRPr="008B6A75" w:rsidRDefault="00387142" w:rsidP="00387142">
            <w:pPr>
              <w:jc w:val="right"/>
              <w:rPr>
                <w:sz w:val="20"/>
                <w:szCs w:val="20"/>
              </w:rPr>
            </w:pPr>
            <w:r w:rsidRPr="008B6A75">
              <w:rPr>
                <w:sz w:val="20"/>
                <w:szCs w:val="20"/>
              </w:rPr>
              <w:t>200 000,00</w:t>
            </w:r>
          </w:p>
        </w:tc>
        <w:tc>
          <w:tcPr>
            <w:tcW w:w="992" w:type="dxa"/>
            <w:tcBorders>
              <w:top w:val="nil"/>
              <w:left w:val="single" w:sz="4" w:space="0" w:color="auto"/>
              <w:bottom w:val="single" w:sz="4" w:space="0" w:color="auto"/>
              <w:right w:val="nil"/>
            </w:tcBorders>
            <w:shd w:val="clear" w:color="auto" w:fill="auto"/>
            <w:vAlign w:val="center"/>
            <w:hideMark/>
          </w:tcPr>
          <w:p w14:paraId="28E1D7CE" w14:textId="77777777" w:rsidR="00387142" w:rsidRPr="008B6A75" w:rsidRDefault="00387142" w:rsidP="00387142">
            <w:pPr>
              <w:jc w:val="right"/>
              <w:rPr>
                <w:sz w:val="20"/>
                <w:szCs w:val="20"/>
              </w:rPr>
            </w:pPr>
            <w:r w:rsidRPr="008B6A75">
              <w:rPr>
                <w:sz w:val="20"/>
                <w:szCs w:val="20"/>
              </w:rPr>
              <w:t>1 112 900,00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7B20CBF4" w14:textId="77777777" w:rsidR="00387142" w:rsidRPr="008B6A75" w:rsidRDefault="00387142" w:rsidP="00387142">
            <w:pPr>
              <w:jc w:val="right"/>
              <w:rPr>
                <w:sz w:val="20"/>
                <w:szCs w:val="20"/>
              </w:rPr>
            </w:pPr>
            <w:r w:rsidRPr="008B6A75">
              <w:rPr>
                <w:sz w:val="20"/>
                <w:szCs w:val="20"/>
              </w:rPr>
              <w:t>1 112 900,00</w:t>
            </w:r>
          </w:p>
        </w:tc>
      </w:tr>
      <w:tr w:rsidR="00387142" w:rsidRPr="008B6A75" w14:paraId="327369F6" w14:textId="77777777" w:rsidTr="00387142">
        <w:trPr>
          <w:trHeight w:val="870"/>
        </w:trPr>
        <w:tc>
          <w:tcPr>
            <w:tcW w:w="3261" w:type="dxa"/>
            <w:tcBorders>
              <w:top w:val="nil"/>
              <w:left w:val="single" w:sz="4" w:space="0" w:color="auto"/>
              <w:bottom w:val="single" w:sz="4" w:space="0" w:color="auto"/>
              <w:right w:val="nil"/>
            </w:tcBorders>
            <w:shd w:val="clear" w:color="auto" w:fill="auto"/>
            <w:vAlign w:val="center"/>
            <w:hideMark/>
          </w:tcPr>
          <w:p w14:paraId="2F9FDE0B" w14:textId="77777777" w:rsidR="00387142" w:rsidRPr="008B6A75" w:rsidRDefault="00387142" w:rsidP="00387142">
            <w:pPr>
              <w:rPr>
                <w:sz w:val="20"/>
                <w:szCs w:val="20"/>
              </w:rPr>
            </w:pPr>
            <w:r w:rsidRPr="008B6A75">
              <w:rPr>
                <w:sz w:val="20"/>
                <w:szCs w:val="20"/>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231620F8" w14:textId="77777777" w:rsidR="00387142" w:rsidRPr="008B6A75" w:rsidRDefault="00387142" w:rsidP="00387142">
            <w:pPr>
              <w:jc w:val="center"/>
              <w:rPr>
                <w:sz w:val="20"/>
                <w:szCs w:val="20"/>
              </w:rPr>
            </w:pPr>
            <w:r w:rsidRPr="008B6A75">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2FB7CD3" w14:textId="77777777" w:rsidR="00387142" w:rsidRPr="008B6A75" w:rsidRDefault="00387142" w:rsidP="00387142">
            <w:pPr>
              <w:jc w:val="center"/>
              <w:rPr>
                <w:sz w:val="20"/>
                <w:szCs w:val="20"/>
              </w:rPr>
            </w:pPr>
            <w:r w:rsidRPr="008B6A75">
              <w:rPr>
                <w:sz w:val="20"/>
                <w:szCs w:val="20"/>
              </w:rPr>
              <w:t>09</w:t>
            </w:r>
          </w:p>
        </w:tc>
        <w:tc>
          <w:tcPr>
            <w:tcW w:w="1516" w:type="dxa"/>
            <w:tcBorders>
              <w:top w:val="nil"/>
              <w:left w:val="single" w:sz="4" w:space="0" w:color="auto"/>
              <w:bottom w:val="single" w:sz="4" w:space="0" w:color="auto"/>
              <w:right w:val="nil"/>
            </w:tcBorders>
            <w:shd w:val="clear" w:color="auto" w:fill="auto"/>
            <w:noWrap/>
            <w:vAlign w:val="center"/>
            <w:hideMark/>
          </w:tcPr>
          <w:p w14:paraId="24F05D02" w14:textId="77777777" w:rsidR="00387142" w:rsidRPr="008B6A75" w:rsidRDefault="00387142" w:rsidP="00387142">
            <w:pPr>
              <w:jc w:val="center"/>
              <w:rPr>
                <w:sz w:val="20"/>
                <w:szCs w:val="20"/>
              </w:rPr>
            </w:pPr>
            <w:r w:rsidRPr="008B6A75">
              <w:rPr>
                <w:sz w:val="20"/>
                <w:szCs w:val="20"/>
              </w:rPr>
              <w:t>07.1.00.03470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42CCB9A" w14:textId="77777777" w:rsidR="00387142" w:rsidRPr="008B6A75" w:rsidRDefault="00387142" w:rsidP="00387142">
            <w:pPr>
              <w:jc w:val="center"/>
              <w:rPr>
                <w:sz w:val="20"/>
                <w:szCs w:val="20"/>
              </w:rPr>
            </w:pPr>
            <w:r w:rsidRPr="008B6A75">
              <w:rPr>
                <w:sz w:val="20"/>
                <w:szCs w:val="20"/>
              </w:rPr>
              <w:t>240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58B9D6D" w14:textId="77777777" w:rsidR="00387142" w:rsidRPr="008B6A75" w:rsidRDefault="00387142" w:rsidP="00387142">
            <w:pPr>
              <w:jc w:val="right"/>
              <w:rPr>
                <w:sz w:val="20"/>
                <w:szCs w:val="20"/>
              </w:rPr>
            </w:pPr>
            <w:r w:rsidRPr="008B6A75">
              <w:rPr>
                <w:sz w:val="20"/>
                <w:szCs w:val="20"/>
              </w:rPr>
              <w:t>200 000,00</w:t>
            </w:r>
          </w:p>
        </w:tc>
        <w:tc>
          <w:tcPr>
            <w:tcW w:w="992" w:type="dxa"/>
            <w:tcBorders>
              <w:top w:val="nil"/>
              <w:left w:val="single" w:sz="4" w:space="0" w:color="auto"/>
              <w:bottom w:val="single" w:sz="4" w:space="0" w:color="auto"/>
              <w:right w:val="nil"/>
            </w:tcBorders>
            <w:shd w:val="clear" w:color="auto" w:fill="auto"/>
            <w:vAlign w:val="center"/>
            <w:hideMark/>
          </w:tcPr>
          <w:p w14:paraId="48232734" w14:textId="77777777" w:rsidR="00387142" w:rsidRPr="008B6A75" w:rsidRDefault="00387142" w:rsidP="00387142">
            <w:pPr>
              <w:jc w:val="right"/>
              <w:rPr>
                <w:sz w:val="20"/>
                <w:szCs w:val="20"/>
              </w:rPr>
            </w:pPr>
            <w:r w:rsidRPr="008B6A75">
              <w:rPr>
                <w:sz w:val="20"/>
                <w:szCs w:val="20"/>
              </w:rPr>
              <w:t>1 112 900,00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07A3D01C" w14:textId="77777777" w:rsidR="00387142" w:rsidRPr="008B6A75" w:rsidRDefault="00387142" w:rsidP="00387142">
            <w:pPr>
              <w:jc w:val="right"/>
              <w:rPr>
                <w:sz w:val="20"/>
                <w:szCs w:val="20"/>
              </w:rPr>
            </w:pPr>
            <w:r w:rsidRPr="008B6A75">
              <w:rPr>
                <w:sz w:val="20"/>
                <w:szCs w:val="20"/>
              </w:rPr>
              <w:t>1 112 900,00</w:t>
            </w:r>
          </w:p>
        </w:tc>
      </w:tr>
      <w:tr w:rsidR="00387142" w:rsidRPr="008B6A75" w14:paraId="37ED02D9" w14:textId="77777777" w:rsidTr="00387142">
        <w:trPr>
          <w:trHeight w:val="870"/>
        </w:trPr>
        <w:tc>
          <w:tcPr>
            <w:tcW w:w="3261" w:type="dxa"/>
            <w:tcBorders>
              <w:top w:val="nil"/>
              <w:left w:val="single" w:sz="4" w:space="0" w:color="auto"/>
              <w:bottom w:val="single" w:sz="4" w:space="0" w:color="auto"/>
              <w:right w:val="nil"/>
            </w:tcBorders>
            <w:shd w:val="clear" w:color="auto" w:fill="auto"/>
            <w:vAlign w:val="center"/>
            <w:hideMark/>
          </w:tcPr>
          <w:p w14:paraId="10B4C728" w14:textId="77777777" w:rsidR="00387142" w:rsidRPr="008B6A75" w:rsidRDefault="00387142" w:rsidP="00387142">
            <w:pPr>
              <w:rPr>
                <w:bCs/>
                <w:sz w:val="20"/>
                <w:szCs w:val="20"/>
              </w:rPr>
            </w:pPr>
            <w:r w:rsidRPr="008B6A75">
              <w:rPr>
                <w:bCs/>
                <w:sz w:val="20"/>
                <w:szCs w:val="20"/>
              </w:rPr>
              <w:t>Расходы на обеспечение деятельности (оказание услуг) центра бухгалтерского, материально-технического обеспечения</w:t>
            </w:r>
          </w:p>
        </w:tc>
        <w:tc>
          <w:tcPr>
            <w:tcW w:w="720" w:type="dxa"/>
            <w:tcBorders>
              <w:top w:val="nil"/>
              <w:left w:val="single" w:sz="4" w:space="0" w:color="auto"/>
              <w:bottom w:val="single" w:sz="4" w:space="0" w:color="auto"/>
              <w:right w:val="nil"/>
            </w:tcBorders>
            <w:shd w:val="clear" w:color="auto" w:fill="auto"/>
            <w:noWrap/>
            <w:vAlign w:val="center"/>
            <w:hideMark/>
          </w:tcPr>
          <w:p w14:paraId="0248F345" w14:textId="77777777" w:rsidR="00387142" w:rsidRPr="008B6A75" w:rsidRDefault="00387142" w:rsidP="00387142">
            <w:pPr>
              <w:jc w:val="center"/>
              <w:rPr>
                <w:bCs/>
                <w:sz w:val="20"/>
                <w:szCs w:val="20"/>
              </w:rPr>
            </w:pPr>
            <w:r w:rsidRPr="008B6A75">
              <w:rPr>
                <w:bCs/>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3A95836" w14:textId="77777777" w:rsidR="00387142" w:rsidRPr="008B6A75" w:rsidRDefault="00387142" w:rsidP="00387142">
            <w:pPr>
              <w:jc w:val="center"/>
              <w:rPr>
                <w:bCs/>
                <w:sz w:val="20"/>
                <w:szCs w:val="20"/>
              </w:rPr>
            </w:pPr>
            <w:r w:rsidRPr="008B6A75">
              <w:rPr>
                <w:bCs/>
                <w:sz w:val="20"/>
                <w:szCs w:val="20"/>
              </w:rPr>
              <w:t>09</w:t>
            </w:r>
          </w:p>
        </w:tc>
        <w:tc>
          <w:tcPr>
            <w:tcW w:w="1516" w:type="dxa"/>
            <w:tcBorders>
              <w:top w:val="nil"/>
              <w:left w:val="single" w:sz="4" w:space="0" w:color="auto"/>
              <w:bottom w:val="single" w:sz="4" w:space="0" w:color="auto"/>
              <w:right w:val="nil"/>
            </w:tcBorders>
            <w:shd w:val="clear" w:color="auto" w:fill="auto"/>
            <w:noWrap/>
            <w:vAlign w:val="center"/>
            <w:hideMark/>
          </w:tcPr>
          <w:p w14:paraId="52A9E7A9" w14:textId="77777777" w:rsidR="00387142" w:rsidRPr="008B6A75" w:rsidRDefault="00387142" w:rsidP="00387142">
            <w:pPr>
              <w:jc w:val="center"/>
              <w:rPr>
                <w:bCs/>
                <w:sz w:val="20"/>
                <w:szCs w:val="20"/>
              </w:rPr>
            </w:pPr>
            <w:r w:rsidRPr="008B6A75">
              <w:rPr>
                <w:bCs/>
                <w:sz w:val="20"/>
                <w:szCs w:val="20"/>
              </w:rPr>
              <w:t>07.1.00.07890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B291948"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2BBC5A8" w14:textId="77777777" w:rsidR="00387142" w:rsidRPr="008B6A75" w:rsidRDefault="00387142" w:rsidP="00387142">
            <w:pPr>
              <w:jc w:val="right"/>
              <w:rPr>
                <w:bCs/>
                <w:sz w:val="20"/>
                <w:szCs w:val="20"/>
              </w:rPr>
            </w:pPr>
            <w:r w:rsidRPr="008B6A75">
              <w:rPr>
                <w:bCs/>
                <w:sz w:val="20"/>
                <w:szCs w:val="20"/>
              </w:rPr>
              <w:t>73 001 526,93</w:t>
            </w:r>
          </w:p>
        </w:tc>
        <w:tc>
          <w:tcPr>
            <w:tcW w:w="992" w:type="dxa"/>
            <w:tcBorders>
              <w:top w:val="nil"/>
              <w:left w:val="single" w:sz="4" w:space="0" w:color="auto"/>
              <w:bottom w:val="single" w:sz="4" w:space="0" w:color="auto"/>
              <w:right w:val="nil"/>
            </w:tcBorders>
            <w:shd w:val="clear" w:color="auto" w:fill="auto"/>
            <w:vAlign w:val="center"/>
            <w:hideMark/>
          </w:tcPr>
          <w:p w14:paraId="089AAA75" w14:textId="77777777" w:rsidR="00387142" w:rsidRPr="008B6A75" w:rsidRDefault="00387142" w:rsidP="00387142">
            <w:pPr>
              <w:jc w:val="right"/>
              <w:rPr>
                <w:bCs/>
                <w:sz w:val="20"/>
                <w:szCs w:val="20"/>
              </w:rPr>
            </w:pPr>
            <w:r w:rsidRPr="008B6A75">
              <w:rPr>
                <w:bCs/>
                <w:sz w:val="20"/>
                <w:szCs w:val="20"/>
              </w:rPr>
              <w:t>40 796 900,00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3089F79D" w14:textId="77777777" w:rsidR="00387142" w:rsidRPr="008B6A75" w:rsidRDefault="00387142" w:rsidP="00387142">
            <w:pPr>
              <w:jc w:val="right"/>
              <w:rPr>
                <w:bCs/>
                <w:sz w:val="20"/>
                <w:szCs w:val="20"/>
              </w:rPr>
            </w:pPr>
            <w:r w:rsidRPr="008B6A75">
              <w:rPr>
                <w:bCs/>
                <w:sz w:val="20"/>
                <w:szCs w:val="20"/>
              </w:rPr>
              <w:t>27 038 700,00</w:t>
            </w:r>
          </w:p>
        </w:tc>
      </w:tr>
      <w:tr w:rsidR="00387142" w:rsidRPr="008B6A75" w14:paraId="774D2A56" w14:textId="77777777" w:rsidTr="00387142">
        <w:trPr>
          <w:trHeight w:val="1440"/>
        </w:trPr>
        <w:tc>
          <w:tcPr>
            <w:tcW w:w="3261" w:type="dxa"/>
            <w:tcBorders>
              <w:top w:val="nil"/>
              <w:left w:val="single" w:sz="4" w:space="0" w:color="auto"/>
              <w:bottom w:val="single" w:sz="4" w:space="0" w:color="auto"/>
              <w:right w:val="nil"/>
            </w:tcBorders>
            <w:shd w:val="clear" w:color="auto" w:fill="auto"/>
            <w:vAlign w:val="center"/>
            <w:hideMark/>
          </w:tcPr>
          <w:p w14:paraId="1A931D3F" w14:textId="77777777" w:rsidR="00387142" w:rsidRPr="008B6A75" w:rsidRDefault="00387142" w:rsidP="00387142">
            <w:pPr>
              <w:rPr>
                <w:sz w:val="20"/>
                <w:szCs w:val="20"/>
              </w:rPr>
            </w:pPr>
            <w:r w:rsidRPr="008B6A75">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14:paraId="18D5A845" w14:textId="77777777" w:rsidR="00387142" w:rsidRPr="008B6A75" w:rsidRDefault="00387142" w:rsidP="00387142">
            <w:pPr>
              <w:jc w:val="center"/>
              <w:rPr>
                <w:sz w:val="20"/>
                <w:szCs w:val="20"/>
              </w:rPr>
            </w:pPr>
            <w:r w:rsidRPr="008B6A75">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7A52340" w14:textId="77777777" w:rsidR="00387142" w:rsidRPr="008B6A75" w:rsidRDefault="00387142" w:rsidP="00387142">
            <w:pPr>
              <w:jc w:val="center"/>
              <w:rPr>
                <w:sz w:val="20"/>
                <w:szCs w:val="20"/>
              </w:rPr>
            </w:pPr>
            <w:r w:rsidRPr="008B6A75">
              <w:rPr>
                <w:sz w:val="20"/>
                <w:szCs w:val="20"/>
              </w:rPr>
              <w:t>09</w:t>
            </w:r>
          </w:p>
        </w:tc>
        <w:tc>
          <w:tcPr>
            <w:tcW w:w="1516" w:type="dxa"/>
            <w:tcBorders>
              <w:top w:val="nil"/>
              <w:left w:val="single" w:sz="4" w:space="0" w:color="auto"/>
              <w:bottom w:val="single" w:sz="4" w:space="0" w:color="auto"/>
              <w:right w:val="nil"/>
            </w:tcBorders>
            <w:shd w:val="clear" w:color="auto" w:fill="auto"/>
            <w:noWrap/>
            <w:vAlign w:val="center"/>
            <w:hideMark/>
          </w:tcPr>
          <w:p w14:paraId="75463353" w14:textId="77777777" w:rsidR="00387142" w:rsidRPr="008B6A75" w:rsidRDefault="00387142" w:rsidP="00387142">
            <w:pPr>
              <w:jc w:val="center"/>
              <w:rPr>
                <w:sz w:val="20"/>
                <w:szCs w:val="20"/>
              </w:rPr>
            </w:pPr>
            <w:r w:rsidRPr="008B6A75">
              <w:rPr>
                <w:sz w:val="20"/>
                <w:szCs w:val="20"/>
              </w:rPr>
              <w:t>07.1.00.07890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12BF8A1" w14:textId="77777777" w:rsidR="00387142" w:rsidRPr="008B6A75" w:rsidRDefault="00387142" w:rsidP="00387142">
            <w:pPr>
              <w:jc w:val="center"/>
              <w:rPr>
                <w:sz w:val="20"/>
                <w:szCs w:val="20"/>
              </w:rPr>
            </w:pPr>
            <w:r w:rsidRPr="008B6A75">
              <w:rPr>
                <w:sz w:val="20"/>
                <w:szCs w:val="20"/>
              </w:rPr>
              <w:t>100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EEE0D89" w14:textId="77777777" w:rsidR="00387142" w:rsidRPr="008B6A75" w:rsidRDefault="00387142" w:rsidP="00387142">
            <w:pPr>
              <w:jc w:val="right"/>
              <w:rPr>
                <w:sz w:val="20"/>
                <w:szCs w:val="20"/>
              </w:rPr>
            </w:pPr>
            <w:r w:rsidRPr="008B6A75">
              <w:rPr>
                <w:sz w:val="20"/>
                <w:szCs w:val="20"/>
              </w:rPr>
              <w:t>60 211 562,74</w:t>
            </w:r>
          </w:p>
        </w:tc>
        <w:tc>
          <w:tcPr>
            <w:tcW w:w="992" w:type="dxa"/>
            <w:tcBorders>
              <w:top w:val="nil"/>
              <w:left w:val="single" w:sz="4" w:space="0" w:color="auto"/>
              <w:bottom w:val="single" w:sz="4" w:space="0" w:color="auto"/>
              <w:right w:val="nil"/>
            </w:tcBorders>
            <w:shd w:val="clear" w:color="auto" w:fill="auto"/>
            <w:vAlign w:val="center"/>
            <w:hideMark/>
          </w:tcPr>
          <w:p w14:paraId="7D89FA76" w14:textId="77777777" w:rsidR="00387142" w:rsidRPr="008B6A75" w:rsidRDefault="00387142" w:rsidP="00387142">
            <w:pPr>
              <w:jc w:val="right"/>
              <w:rPr>
                <w:sz w:val="20"/>
                <w:szCs w:val="20"/>
              </w:rPr>
            </w:pPr>
            <w:r w:rsidRPr="008B6A75">
              <w:rPr>
                <w:sz w:val="20"/>
                <w:szCs w:val="20"/>
              </w:rPr>
              <w:t>33 596 900,00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315A7BD3" w14:textId="77777777" w:rsidR="00387142" w:rsidRPr="008B6A75" w:rsidRDefault="00387142" w:rsidP="00387142">
            <w:pPr>
              <w:jc w:val="right"/>
              <w:rPr>
                <w:sz w:val="20"/>
                <w:szCs w:val="20"/>
              </w:rPr>
            </w:pPr>
            <w:r w:rsidRPr="008B6A75">
              <w:rPr>
                <w:sz w:val="20"/>
                <w:szCs w:val="20"/>
              </w:rPr>
              <w:t>24 938 700,00</w:t>
            </w:r>
          </w:p>
        </w:tc>
      </w:tr>
      <w:tr w:rsidR="00387142" w:rsidRPr="008B6A75" w14:paraId="6FC7C743" w14:textId="77777777" w:rsidTr="00387142">
        <w:trPr>
          <w:trHeight w:val="585"/>
        </w:trPr>
        <w:tc>
          <w:tcPr>
            <w:tcW w:w="3261" w:type="dxa"/>
            <w:tcBorders>
              <w:top w:val="nil"/>
              <w:left w:val="single" w:sz="4" w:space="0" w:color="auto"/>
              <w:bottom w:val="single" w:sz="4" w:space="0" w:color="auto"/>
              <w:right w:val="nil"/>
            </w:tcBorders>
            <w:shd w:val="clear" w:color="auto" w:fill="auto"/>
            <w:vAlign w:val="center"/>
            <w:hideMark/>
          </w:tcPr>
          <w:p w14:paraId="665E1987" w14:textId="77777777" w:rsidR="00387142" w:rsidRPr="008B6A75" w:rsidRDefault="00387142" w:rsidP="00387142">
            <w:pPr>
              <w:rPr>
                <w:sz w:val="20"/>
                <w:szCs w:val="20"/>
              </w:rPr>
            </w:pPr>
            <w:r w:rsidRPr="008B6A75">
              <w:rPr>
                <w:sz w:val="20"/>
                <w:szCs w:val="20"/>
              </w:rPr>
              <w:t>Расходы на выплаты персоналу казенных учреждений</w:t>
            </w:r>
          </w:p>
        </w:tc>
        <w:tc>
          <w:tcPr>
            <w:tcW w:w="720" w:type="dxa"/>
            <w:tcBorders>
              <w:top w:val="nil"/>
              <w:left w:val="single" w:sz="4" w:space="0" w:color="auto"/>
              <w:bottom w:val="single" w:sz="4" w:space="0" w:color="auto"/>
              <w:right w:val="nil"/>
            </w:tcBorders>
            <w:shd w:val="clear" w:color="auto" w:fill="auto"/>
            <w:noWrap/>
            <w:vAlign w:val="center"/>
            <w:hideMark/>
          </w:tcPr>
          <w:p w14:paraId="43064CA6" w14:textId="77777777" w:rsidR="00387142" w:rsidRPr="008B6A75" w:rsidRDefault="00387142" w:rsidP="00387142">
            <w:pPr>
              <w:jc w:val="center"/>
              <w:rPr>
                <w:sz w:val="20"/>
                <w:szCs w:val="20"/>
              </w:rPr>
            </w:pPr>
            <w:r w:rsidRPr="008B6A75">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3B758C4" w14:textId="77777777" w:rsidR="00387142" w:rsidRPr="008B6A75" w:rsidRDefault="00387142" w:rsidP="00387142">
            <w:pPr>
              <w:jc w:val="center"/>
              <w:rPr>
                <w:sz w:val="20"/>
                <w:szCs w:val="20"/>
              </w:rPr>
            </w:pPr>
            <w:r w:rsidRPr="008B6A75">
              <w:rPr>
                <w:sz w:val="20"/>
                <w:szCs w:val="20"/>
              </w:rPr>
              <w:t>09</w:t>
            </w:r>
          </w:p>
        </w:tc>
        <w:tc>
          <w:tcPr>
            <w:tcW w:w="1516" w:type="dxa"/>
            <w:tcBorders>
              <w:top w:val="nil"/>
              <w:left w:val="single" w:sz="4" w:space="0" w:color="auto"/>
              <w:bottom w:val="single" w:sz="4" w:space="0" w:color="auto"/>
              <w:right w:val="nil"/>
            </w:tcBorders>
            <w:shd w:val="clear" w:color="auto" w:fill="auto"/>
            <w:noWrap/>
            <w:vAlign w:val="center"/>
            <w:hideMark/>
          </w:tcPr>
          <w:p w14:paraId="0BD53697" w14:textId="77777777" w:rsidR="00387142" w:rsidRPr="008B6A75" w:rsidRDefault="00387142" w:rsidP="00387142">
            <w:pPr>
              <w:jc w:val="center"/>
              <w:rPr>
                <w:sz w:val="20"/>
                <w:szCs w:val="20"/>
              </w:rPr>
            </w:pPr>
            <w:r w:rsidRPr="008B6A75">
              <w:rPr>
                <w:sz w:val="20"/>
                <w:szCs w:val="20"/>
              </w:rPr>
              <w:t>07.1.00.07890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D9BFB1A" w14:textId="77777777" w:rsidR="00387142" w:rsidRPr="008B6A75" w:rsidRDefault="00387142" w:rsidP="00387142">
            <w:pPr>
              <w:jc w:val="center"/>
              <w:rPr>
                <w:sz w:val="20"/>
                <w:szCs w:val="20"/>
              </w:rPr>
            </w:pPr>
            <w:r w:rsidRPr="008B6A75">
              <w:rPr>
                <w:sz w:val="20"/>
                <w:szCs w:val="20"/>
              </w:rPr>
              <w:t>110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3FCC96C" w14:textId="77777777" w:rsidR="00387142" w:rsidRPr="008B6A75" w:rsidRDefault="00387142" w:rsidP="00387142">
            <w:pPr>
              <w:jc w:val="right"/>
              <w:rPr>
                <w:sz w:val="20"/>
                <w:szCs w:val="20"/>
              </w:rPr>
            </w:pPr>
            <w:r w:rsidRPr="008B6A75">
              <w:rPr>
                <w:sz w:val="20"/>
                <w:szCs w:val="20"/>
              </w:rPr>
              <w:t>60 211 562,74</w:t>
            </w:r>
          </w:p>
        </w:tc>
        <w:tc>
          <w:tcPr>
            <w:tcW w:w="992" w:type="dxa"/>
            <w:tcBorders>
              <w:top w:val="nil"/>
              <w:left w:val="single" w:sz="4" w:space="0" w:color="auto"/>
              <w:bottom w:val="single" w:sz="4" w:space="0" w:color="auto"/>
              <w:right w:val="nil"/>
            </w:tcBorders>
            <w:shd w:val="clear" w:color="auto" w:fill="auto"/>
            <w:vAlign w:val="center"/>
            <w:hideMark/>
          </w:tcPr>
          <w:p w14:paraId="03C7F7D3" w14:textId="77777777" w:rsidR="00387142" w:rsidRPr="008B6A75" w:rsidRDefault="00387142" w:rsidP="00387142">
            <w:pPr>
              <w:jc w:val="right"/>
              <w:rPr>
                <w:sz w:val="20"/>
                <w:szCs w:val="20"/>
              </w:rPr>
            </w:pPr>
            <w:r w:rsidRPr="008B6A75">
              <w:rPr>
                <w:sz w:val="20"/>
                <w:szCs w:val="20"/>
              </w:rPr>
              <w:t>33 596 900,00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297B06FC" w14:textId="77777777" w:rsidR="00387142" w:rsidRPr="008B6A75" w:rsidRDefault="00387142" w:rsidP="00387142">
            <w:pPr>
              <w:jc w:val="right"/>
              <w:rPr>
                <w:sz w:val="20"/>
                <w:szCs w:val="20"/>
              </w:rPr>
            </w:pPr>
            <w:r w:rsidRPr="008B6A75">
              <w:rPr>
                <w:sz w:val="20"/>
                <w:szCs w:val="20"/>
              </w:rPr>
              <w:t>24 938 700,00</w:t>
            </w:r>
          </w:p>
        </w:tc>
      </w:tr>
      <w:tr w:rsidR="00387142" w:rsidRPr="008B6A75" w14:paraId="4CC72ACA" w14:textId="77777777" w:rsidTr="00387142">
        <w:trPr>
          <w:trHeight w:val="585"/>
        </w:trPr>
        <w:tc>
          <w:tcPr>
            <w:tcW w:w="3261" w:type="dxa"/>
            <w:tcBorders>
              <w:top w:val="nil"/>
              <w:left w:val="single" w:sz="4" w:space="0" w:color="auto"/>
              <w:bottom w:val="single" w:sz="4" w:space="0" w:color="auto"/>
              <w:right w:val="nil"/>
            </w:tcBorders>
            <w:shd w:val="clear" w:color="auto" w:fill="auto"/>
            <w:vAlign w:val="center"/>
            <w:hideMark/>
          </w:tcPr>
          <w:p w14:paraId="5E344DC0" w14:textId="77777777" w:rsidR="00387142" w:rsidRPr="008B6A75" w:rsidRDefault="00387142" w:rsidP="00387142">
            <w:pPr>
              <w:rPr>
                <w:sz w:val="20"/>
                <w:szCs w:val="20"/>
              </w:rPr>
            </w:pPr>
            <w:r w:rsidRPr="008B6A75">
              <w:rPr>
                <w:sz w:val="20"/>
                <w:szCs w:val="20"/>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179794B2" w14:textId="77777777" w:rsidR="00387142" w:rsidRPr="008B6A75" w:rsidRDefault="00387142" w:rsidP="00387142">
            <w:pPr>
              <w:jc w:val="center"/>
              <w:rPr>
                <w:sz w:val="20"/>
                <w:szCs w:val="20"/>
              </w:rPr>
            </w:pPr>
            <w:r w:rsidRPr="008B6A75">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D303141" w14:textId="77777777" w:rsidR="00387142" w:rsidRPr="008B6A75" w:rsidRDefault="00387142" w:rsidP="00387142">
            <w:pPr>
              <w:jc w:val="center"/>
              <w:rPr>
                <w:sz w:val="20"/>
                <w:szCs w:val="20"/>
              </w:rPr>
            </w:pPr>
            <w:r w:rsidRPr="008B6A75">
              <w:rPr>
                <w:sz w:val="20"/>
                <w:szCs w:val="20"/>
              </w:rPr>
              <w:t>09</w:t>
            </w:r>
          </w:p>
        </w:tc>
        <w:tc>
          <w:tcPr>
            <w:tcW w:w="1516" w:type="dxa"/>
            <w:tcBorders>
              <w:top w:val="nil"/>
              <w:left w:val="single" w:sz="4" w:space="0" w:color="auto"/>
              <w:bottom w:val="single" w:sz="4" w:space="0" w:color="auto"/>
              <w:right w:val="nil"/>
            </w:tcBorders>
            <w:shd w:val="clear" w:color="auto" w:fill="auto"/>
            <w:noWrap/>
            <w:vAlign w:val="center"/>
            <w:hideMark/>
          </w:tcPr>
          <w:p w14:paraId="2CDE541F" w14:textId="77777777" w:rsidR="00387142" w:rsidRPr="008B6A75" w:rsidRDefault="00387142" w:rsidP="00387142">
            <w:pPr>
              <w:jc w:val="center"/>
              <w:rPr>
                <w:sz w:val="20"/>
                <w:szCs w:val="20"/>
              </w:rPr>
            </w:pPr>
            <w:r w:rsidRPr="008B6A75">
              <w:rPr>
                <w:sz w:val="20"/>
                <w:szCs w:val="20"/>
              </w:rPr>
              <w:t>07.1.00.07890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84DE401" w14:textId="77777777" w:rsidR="00387142" w:rsidRPr="008B6A75" w:rsidRDefault="00387142" w:rsidP="00387142">
            <w:pPr>
              <w:jc w:val="center"/>
              <w:rPr>
                <w:sz w:val="20"/>
                <w:szCs w:val="20"/>
              </w:rPr>
            </w:pPr>
            <w:r w:rsidRPr="008B6A75">
              <w:rPr>
                <w:sz w:val="20"/>
                <w:szCs w:val="20"/>
              </w:rPr>
              <w:t>200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F30E3CA" w14:textId="77777777" w:rsidR="00387142" w:rsidRPr="008B6A75" w:rsidRDefault="00387142" w:rsidP="00387142">
            <w:pPr>
              <w:jc w:val="right"/>
              <w:rPr>
                <w:sz w:val="20"/>
                <w:szCs w:val="20"/>
              </w:rPr>
            </w:pPr>
            <w:r w:rsidRPr="008B6A75">
              <w:rPr>
                <w:sz w:val="20"/>
                <w:szCs w:val="20"/>
              </w:rPr>
              <w:t>12 592 951,11</w:t>
            </w:r>
          </w:p>
        </w:tc>
        <w:tc>
          <w:tcPr>
            <w:tcW w:w="992" w:type="dxa"/>
            <w:tcBorders>
              <w:top w:val="nil"/>
              <w:left w:val="single" w:sz="4" w:space="0" w:color="auto"/>
              <w:bottom w:val="single" w:sz="4" w:space="0" w:color="auto"/>
              <w:right w:val="nil"/>
            </w:tcBorders>
            <w:shd w:val="clear" w:color="auto" w:fill="auto"/>
            <w:vAlign w:val="center"/>
            <w:hideMark/>
          </w:tcPr>
          <w:p w14:paraId="619F85A9" w14:textId="77777777" w:rsidR="00387142" w:rsidRPr="008B6A75" w:rsidRDefault="00387142" w:rsidP="00387142">
            <w:pPr>
              <w:jc w:val="right"/>
              <w:rPr>
                <w:sz w:val="20"/>
                <w:szCs w:val="20"/>
              </w:rPr>
            </w:pPr>
            <w:r w:rsidRPr="008B6A75">
              <w:rPr>
                <w:sz w:val="20"/>
                <w:szCs w:val="20"/>
              </w:rPr>
              <w:t>7 200 000,00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3FD796F6" w14:textId="77777777" w:rsidR="00387142" w:rsidRPr="008B6A75" w:rsidRDefault="00387142" w:rsidP="00387142">
            <w:pPr>
              <w:jc w:val="right"/>
              <w:rPr>
                <w:sz w:val="20"/>
                <w:szCs w:val="20"/>
              </w:rPr>
            </w:pPr>
            <w:r w:rsidRPr="008B6A75">
              <w:rPr>
                <w:sz w:val="20"/>
                <w:szCs w:val="20"/>
              </w:rPr>
              <w:t>2 100 000,00</w:t>
            </w:r>
          </w:p>
        </w:tc>
      </w:tr>
      <w:tr w:rsidR="00387142" w:rsidRPr="008B6A75" w14:paraId="78A9C178" w14:textId="77777777" w:rsidTr="00387142">
        <w:trPr>
          <w:trHeight w:val="870"/>
        </w:trPr>
        <w:tc>
          <w:tcPr>
            <w:tcW w:w="3261" w:type="dxa"/>
            <w:tcBorders>
              <w:top w:val="nil"/>
              <w:left w:val="single" w:sz="4" w:space="0" w:color="auto"/>
              <w:bottom w:val="single" w:sz="4" w:space="0" w:color="auto"/>
              <w:right w:val="nil"/>
            </w:tcBorders>
            <w:shd w:val="clear" w:color="auto" w:fill="auto"/>
            <w:vAlign w:val="center"/>
            <w:hideMark/>
          </w:tcPr>
          <w:p w14:paraId="0FC175E8" w14:textId="77777777" w:rsidR="00387142" w:rsidRPr="008B6A75" w:rsidRDefault="00387142" w:rsidP="00387142">
            <w:pPr>
              <w:rPr>
                <w:sz w:val="20"/>
                <w:szCs w:val="20"/>
              </w:rPr>
            </w:pPr>
            <w:r w:rsidRPr="008B6A75">
              <w:rPr>
                <w:sz w:val="20"/>
                <w:szCs w:val="20"/>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0BD4F5B0" w14:textId="77777777" w:rsidR="00387142" w:rsidRPr="008B6A75" w:rsidRDefault="00387142" w:rsidP="00387142">
            <w:pPr>
              <w:jc w:val="center"/>
              <w:rPr>
                <w:sz w:val="20"/>
                <w:szCs w:val="20"/>
              </w:rPr>
            </w:pPr>
            <w:r w:rsidRPr="008B6A75">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3E22174" w14:textId="77777777" w:rsidR="00387142" w:rsidRPr="008B6A75" w:rsidRDefault="00387142" w:rsidP="00387142">
            <w:pPr>
              <w:jc w:val="center"/>
              <w:rPr>
                <w:sz w:val="20"/>
                <w:szCs w:val="20"/>
              </w:rPr>
            </w:pPr>
            <w:r w:rsidRPr="008B6A75">
              <w:rPr>
                <w:sz w:val="20"/>
                <w:szCs w:val="20"/>
              </w:rPr>
              <w:t>09</w:t>
            </w:r>
          </w:p>
        </w:tc>
        <w:tc>
          <w:tcPr>
            <w:tcW w:w="1516" w:type="dxa"/>
            <w:tcBorders>
              <w:top w:val="nil"/>
              <w:left w:val="single" w:sz="4" w:space="0" w:color="auto"/>
              <w:bottom w:val="single" w:sz="4" w:space="0" w:color="auto"/>
              <w:right w:val="nil"/>
            </w:tcBorders>
            <w:shd w:val="clear" w:color="auto" w:fill="auto"/>
            <w:noWrap/>
            <w:vAlign w:val="center"/>
            <w:hideMark/>
          </w:tcPr>
          <w:p w14:paraId="152A21AE" w14:textId="77777777" w:rsidR="00387142" w:rsidRPr="008B6A75" w:rsidRDefault="00387142" w:rsidP="00387142">
            <w:pPr>
              <w:jc w:val="center"/>
              <w:rPr>
                <w:sz w:val="20"/>
                <w:szCs w:val="20"/>
              </w:rPr>
            </w:pPr>
            <w:r w:rsidRPr="008B6A75">
              <w:rPr>
                <w:sz w:val="20"/>
                <w:szCs w:val="20"/>
              </w:rPr>
              <w:t>07.1.00.07890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C5ACF14" w14:textId="77777777" w:rsidR="00387142" w:rsidRPr="008B6A75" w:rsidRDefault="00387142" w:rsidP="00387142">
            <w:pPr>
              <w:jc w:val="center"/>
              <w:rPr>
                <w:sz w:val="20"/>
                <w:szCs w:val="20"/>
              </w:rPr>
            </w:pPr>
            <w:r w:rsidRPr="008B6A75">
              <w:rPr>
                <w:sz w:val="20"/>
                <w:szCs w:val="20"/>
              </w:rPr>
              <w:t>240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2C6F4F4" w14:textId="77777777" w:rsidR="00387142" w:rsidRPr="008B6A75" w:rsidRDefault="00387142" w:rsidP="00387142">
            <w:pPr>
              <w:jc w:val="right"/>
              <w:rPr>
                <w:sz w:val="20"/>
                <w:szCs w:val="20"/>
              </w:rPr>
            </w:pPr>
            <w:r w:rsidRPr="008B6A75">
              <w:rPr>
                <w:sz w:val="20"/>
                <w:szCs w:val="20"/>
              </w:rPr>
              <w:t>12 592 951,11</w:t>
            </w:r>
          </w:p>
        </w:tc>
        <w:tc>
          <w:tcPr>
            <w:tcW w:w="992" w:type="dxa"/>
            <w:tcBorders>
              <w:top w:val="nil"/>
              <w:left w:val="single" w:sz="4" w:space="0" w:color="auto"/>
              <w:bottom w:val="single" w:sz="4" w:space="0" w:color="auto"/>
              <w:right w:val="nil"/>
            </w:tcBorders>
            <w:shd w:val="clear" w:color="auto" w:fill="auto"/>
            <w:vAlign w:val="center"/>
            <w:hideMark/>
          </w:tcPr>
          <w:p w14:paraId="75B00170" w14:textId="77777777" w:rsidR="00387142" w:rsidRPr="008B6A75" w:rsidRDefault="00387142" w:rsidP="00387142">
            <w:pPr>
              <w:jc w:val="right"/>
              <w:rPr>
                <w:sz w:val="20"/>
                <w:szCs w:val="20"/>
              </w:rPr>
            </w:pPr>
            <w:r w:rsidRPr="008B6A75">
              <w:rPr>
                <w:sz w:val="20"/>
                <w:szCs w:val="20"/>
              </w:rPr>
              <w:t>7 200 000,00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7C342CDB" w14:textId="77777777" w:rsidR="00387142" w:rsidRPr="008B6A75" w:rsidRDefault="00387142" w:rsidP="00387142">
            <w:pPr>
              <w:jc w:val="right"/>
              <w:rPr>
                <w:sz w:val="20"/>
                <w:szCs w:val="20"/>
              </w:rPr>
            </w:pPr>
            <w:r w:rsidRPr="008B6A75">
              <w:rPr>
                <w:sz w:val="20"/>
                <w:szCs w:val="20"/>
              </w:rPr>
              <w:t>2 100 000,00</w:t>
            </w:r>
          </w:p>
        </w:tc>
      </w:tr>
      <w:tr w:rsidR="00387142" w:rsidRPr="008B6A75" w14:paraId="6A7229B8" w14:textId="77777777" w:rsidTr="00387142">
        <w:trPr>
          <w:trHeight w:val="345"/>
        </w:trPr>
        <w:tc>
          <w:tcPr>
            <w:tcW w:w="3261" w:type="dxa"/>
            <w:tcBorders>
              <w:top w:val="nil"/>
              <w:left w:val="single" w:sz="4" w:space="0" w:color="auto"/>
              <w:bottom w:val="single" w:sz="4" w:space="0" w:color="auto"/>
              <w:right w:val="nil"/>
            </w:tcBorders>
            <w:shd w:val="clear" w:color="auto" w:fill="auto"/>
            <w:vAlign w:val="center"/>
            <w:hideMark/>
          </w:tcPr>
          <w:p w14:paraId="237018CC" w14:textId="77777777" w:rsidR="00387142" w:rsidRPr="008B6A75" w:rsidRDefault="00387142" w:rsidP="00387142">
            <w:pPr>
              <w:rPr>
                <w:sz w:val="20"/>
                <w:szCs w:val="20"/>
              </w:rPr>
            </w:pPr>
            <w:r w:rsidRPr="008B6A75">
              <w:rPr>
                <w:sz w:val="20"/>
                <w:szCs w:val="20"/>
              </w:rPr>
              <w:t>Иные бюджетные ассигнования</w:t>
            </w:r>
          </w:p>
        </w:tc>
        <w:tc>
          <w:tcPr>
            <w:tcW w:w="720" w:type="dxa"/>
            <w:tcBorders>
              <w:top w:val="nil"/>
              <w:left w:val="single" w:sz="4" w:space="0" w:color="auto"/>
              <w:bottom w:val="single" w:sz="4" w:space="0" w:color="auto"/>
              <w:right w:val="nil"/>
            </w:tcBorders>
            <w:shd w:val="clear" w:color="auto" w:fill="auto"/>
            <w:noWrap/>
            <w:vAlign w:val="center"/>
            <w:hideMark/>
          </w:tcPr>
          <w:p w14:paraId="1E741BDC" w14:textId="77777777" w:rsidR="00387142" w:rsidRPr="008B6A75" w:rsidRDefault="00387142" w:rsidP="00387142">
            <w:pPr>
              <w:jc w:val="center"/>
              <w:rPr>
                <w:sz w:val="20"/>
                <w:szCs w:val="20"/>
              </w:rPr>
            </w:pPr>
            <w:r w:rsidRPr="008B6A75">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75D80EA" w14:textId="77777777" w:rsidR="00387142" w:rsidRPr="008B6A75" w:rsidRDefault="00387142" w:rsidP="00387142">
            <w:pPr>
              <w:jc w:val="center"/>
              <w:rPr>
                <w:sz w:val="20"/>
                <w:szCs w:val="20"/>
              </w:rPr>
            </w:pPr>
            <w:r w:rsidRPr="008B6A75">
              <w:rPr>
                <w:sz w:val="20"/>
                <w:szCs w:val="20"/>
              </w:rPr>
              <w:t>09</w:t>
            </w:r>
          </w:p>
        </w:tc>
        <w:tc>
          <w:tcPr>
            <w:tcW w:w="1516" w:type="dxa"/>
            <w:tcBorders>
              <w:top w:val="nil"/>
              <w:left w:val="single" w:sz="4" w:space="0" w:color="auto"/>
              <w:bottom w:val="single" w:sz="4" w:space="0" w:color="auto"/>
              <w:right w:val="nil"/>
            </w:tcBorders>
            <w:shd w:val="clear" w:color="auto" w:fill="auto"/>
            <w:noWrap/>
            <w:vAlign w:val="center"/>
            <w:hideMark/>
          </w:tcPr>
          <w:p w14:paraId="0927817B" w14:textId="77777777" w:rsidR="00387142" w:rsidRPr="008B6A75" w:rsidRDefault="00387142" w:rsidP="00387142">
            <w:pPr>
              <w:jc w:val="center"/>
              <w:rPr>
                <w:sz w:val="20"/>
                <w:szCs w:val="20"/>
              </w:rPr>
            </w:pPr>
            <w:r w:rsidRPr="008B6A75">
              <w:rPr>
                <w:sz w:val="20"/>
                <w:szCs w:val="20"/>
              </w:rPr>
              <w:t>07.1.00.07890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B9EF172" w14:textId="77777777" w:rsidR="00387142" w:rsidRPr="008B6A75" w:rsidRDefault="00387142" w:rsidP="00387142">
            <w:pPr>
              <w:jc w:val="center"/>
              <w:rPr>
                <w:sz w:val="20"/>
                <w:szCs w:val="20"/>
              </w:rPr>
            </w:pPr>
            <w:r w:rsidRPr="008B6A75">
              <w:rPr>
                <w:sz w:val="20"/>
                <w:szCs w:val="20"/>
              </w:rPr>
              <w:t>800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BA1913C" w14:textId="77777777" w:rsidR="00387142" w:rsidRPr="008B6A75" w:rsidRDefault="00387142" w:rsidP="00387142">
            <w:pPr>
              <w:jc w:val="right"/>
              <w:rPr>
                <w:sz w:val="20"/>
                <w:szCs w:val="20"/>
              </w:rPr>
            </w:pPr>
            <w:r w:rsidRPr="008B6A75">
              <w:rPr>
                <w:sz w:val="20"/>
                <w:szCs w:val="20"/>
              </w:rPr>
              <w:t>197 013,08</w:t>
            </w:r>
          </w:p>
        </w:tc>
        <w:tc>
          <w:tcPr>
            <w:tcW w:w="992" w:type="dxa"/>
            <w:tcBorders>
              <w:top w:val="nil"/>
              <w:left w:val="single" w:sz="4" w:space="0" w:color="auto"/>
              <w:bottom w:val="single" w:sz="4" w:space="0" w:color="auto"/>
              <w:right w:val="nil"/>
            </w:tcBorders>
            <w:shd w:val="clear" w:color="auto" w:fill="auto"/>
            <w:vAlign w:val="center"/>
            <w:hideMark/>
          </w:tcPr>
          <w:p w14:paraId="704D7712" w14:textId="77777777" w:rsidR="00387142" w:rsidRPr="008B6A75" w:rsidRDefault="00387142" w:rsidP="00387142">
            <w:pPr>
              <w:jc w:val="right"/>
              <w:rPr>
                <w:sz w:val="20"/>
                <w:szCs w:val="20"/>
              </w:rPr>
            </w:pPr>
            <w:r w:rsidRPr="008B6A75">
              <w:rPr>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66DDEA4B" w14:textId="77777777" w:rsidR="00387142" w:rsidRPr="008B6A75" w:rsidRDefault="00387142" w:rsidP="00387142">
            <w:pPr>
              <w:jc w:val="right"/>
              <w:rPr>
                <w:sz w:val="20"/>
                <w:szCs w:val="20"/>
              </w:rPr>
            </w:pPr>
            <w:r w:rsidRPr="008B6A75">
              <w:rPr>
                <w:sz w:val="20"/>
                <w:szCs w:val="20"/>
              </w:rPr>
              <w:t>0,00</w:t>
            </w:r>
          </w:p>
        </w:tc>
      </w:tr>
      <w:tr w:rsidR="00387142" w:rsidRPr="008B6A75" w14:paraId="6131DBFE" w14:textId="77777777" w:rsidTr="00387142">
        <w:trPr>
          <w:trHeight w:val="345"/>
        </w:trPr>
        <w:tc>
          <w:tcPr>
            <w:tcW w:w="3261" w:type="dxa"/>
            <w:tcBorders>
              <w:top w:val="nil"/>
              <w:left w:val="single" w:sz="4" w:space="0" w:color="auto"/>
              <w:bottom w:val="single" w:sz="4" w:space="0" w:color="auto"/>
              <w:right w:val="nil"/>
            </w:tcBorders>
            <w:shd w:val="clear" w:color="auto" w:fill="auto"/>
            <w:vAlign w:val="center"/>
            <w:hideMark/>
          </w:tcPr>
          <w:p w14:paraId="38B755F4" w14:textId="77777777" w:rsidR="00387142" w:rsidRPr="008B6A75" w:rsidRDefault="00387142" w:rsidP="00387142">
            <w:pPr>
              <w:rPr>
                <w:sz w:val="20"/>
                <w:szCs w:val="20"/>
              </w:rPr>
            </w:pPr>
            <w:r w:rsidRPr="008B6A75">
              <w:rPr>
                <w:sz w:val="20"/>
                <w:szCs w:val="20"/>
              </w:rPr>
              <w:t>Уплата налогов, сборов и иных платежей</w:t>
            </w:r>
          </w:p>
        </w:tc>
        <w:tc>
          <w:tcPr>
            <w:tcW w:w="720" w:type="dxa"/>
            <w:tcBorders>
              <w:top w:val="nil"/>
              <w:left w:val="single" w:sz="4" w:space="0" w:color="auto"/>
              <w:bottom w:val="single" w:sz="4" w:space="0" w:color="auto"/>
              <w:right w:val="nil"/>
            </w:tcBorders>
            <w:shd w:val="clear" w:color="auto" w:fill="auto"/>
            <w:noWrap/>
            <w:vAlign w:val="center"/>
            <w:hideMark/>
          </w:tcPr>
          <w:p w14:paraId="6C6950DF" w14:textId="77777777" w:rsidR="00387142" w:rsidRPr="008B6A75" w:rsidRDefault="00387142" w:rsidP="00387142">
            <w:pPr>
              <w:jc w:val="center"/>
              <w:rPr>
                <w:sz w:val="20"/>
                <w:szCs w:val="20"/>
              </w:rPr>
            </w:pPr>
            <w:r w:rsidRPr="008B6A75">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F50760C" w14:textId="77777777" w:rsidR="00387142" w:rsidRPr="008B6A75" w:rsidRDefault="00387142" w:rsidP="00387142">
            <w:pPr>
              <w:jc w:val="center"/>
              <w:rPr>
                <w:sz w:val="20"/>
                <w:szCs w:val="20"/>
              </w:rPr>
            </w:pPr>
            <w:r w:rsidRPr="008B6A75">
              <w:rPr>
                <w:sz w:val="20"/>
                <w:szCs w:val="20"/>
              </w:rPr>
              <w:t>09</w:t>
            </w:r>
          </w:p>
        </w:tc>
        <w:tc>
          <w:tcPr>
            <w:tcW w:w="1516" w:type="dxa"/>
            <w:tcBorders>
              <w:top w:val="nil"/>
              <w:left w:val="single" w:sz="4" w:space="0" w:color="auto"/>
              <w:bottom w:val="single" w:sz="4" w:space="0" w:color="auto"/>
              <w:right w:val="nil"/>
            </w:tcBorders>
            <w:shd w:val="clear" w:color="auto" w:fill="auto"/>
            <w:noWrap/>
            <w:vAlign w:val="center"/>
            <w:hideMark/>
          </w:tcPr>
          <w:p w14:paraId="6CCD67B9" w14:textId="77777777" w:rsidR="00387142" w:rsidRPr="008B6A75" w:rsidRDefault="00387142" w:rsidP="00387142">
            <w:pPr>
              <w:jc w:val="center"/>
              <w:rPr>
                <w:sz w:val="20"/>
                <w:szCs w:val="20"/>
              </w:rPr>
            </w:pPr>
            <w:r w:rsidRPr="008B6A75">
              <w:rPr>
                <w:sz w:val="20"/>
                <w:szCs w:val="20"/>
              </w:rPr>
              <w:t>07.1.00.07890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F111B58" w14:textId="77777777" w:rsidR="00387142" w:rsidRPr="008B6A75" w:rsidRDefault="00387142" w:rsidP="00387142">
            <w:pPr>
              <w:jc w:val="center"/>
              <w:rPr>
                <w:sz w:val="20"/>
                <w:szCs w:val="20"/>
              </w:rPr>
            </w:pPr>
            <w:r w:rsidRPr="008B6A75">
              <w:rPr>
                <w:sz w:val="20"/>
                <w:szCs w:val="20"/>
              </w:rPr>
              <w:t>850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E52D19D" w14:textId="77777777" w:rsidR="00387142" w:rsidRPr="008B6A75" w:rsidRDefault="00387142" w:rsidP="00387142">
            <w:pPr>
              <w:jc w:val="right"/>
              <w:rPr>
                <w:sz w:val="20"/>
                <w:szCs w:val="20"/>
              </w:rPr>
            </w:pPr>
            <w:r w:rsidRPr="008B6A75">
              <w:rPr>
                <w:sz w:val="20"/>
                <w:szCs w:val="20"/>
              </w:rPr>
              <w:t>197 013,08</w:t>
            </w:r>
          </w:p>
        </w:tc>
        <w:tc>
          <w:tcPr>
            <w:tcW w:w="992" w:type="dxa"/>
            <w:tcBorders>
              <w:top w:val="nil"/>
              <w:left w:val="single" w:sz="4" w:space="0" w:color="auto"/>
              <w:bottom w:val="single" w:sz="4" w:space="0" w:color="auto"/>
              <w:right w:val="nil"/>
            </w:tcBorders>
            <w:shd w:val="clear" w:color="auto" w:fill="auto"/>
            <w:vAlign w:val="center"/>
            <w:hideMark/>
          </w:tcPr>
          <w:p w14:paraId="7A405B48" w14:textId="77777777" w:rsidR="00387142" w:rsidRPr="008B6A75" w:rsidRDefault="00387142" w:rsidP="00387142">
            <w:pPr>
              <w:jc w:val="right"/>
              <w:rPr>
                <w:sz w:val="20"/>
                <w:szCs w:val="20"/>
              </w:rPr>
            </w:pPr>
            <w:r w:rsidRPr="008B6A75">
              <w:rPr>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11FAE50D" w14:textId="77777777" w:rsidR="00387142" w:rsidRPr="008B6A75" w:rsidRDefault="00387142" w:rsidP="00387142">
            <w:pPr>
              <w:jc w:val="right"/>
              <w:rPr>
                <w:sz w:val="20"/>
                <w:szCs w:val="20"/>
              </w:rPr>
            </w:pPr>
            <w:r w:rsidRPr="008B6A75">
              <w:rPr>
                <w:sz w:val="20"/>
                <w:szCs w:val="20"/>
              </w:rPr>
              <w:t>0,00</w:t>
            </w:r>
          </w:p>
        </w:tc>
      </w:tr>
      <w:tr w:rsidR="00387142" w:rsidRPr="008B6A75" w14:paraId="39376F69" w14:textId="77777777" w:rsidTr="00387142">
        <w:trPr>
          <w:trHeight w:val="1440"/>
        </w:trPr>
        <w:tc>
          <w:tcPr>
            <w:tcW w:w="3261" w:type="dxa"/>
            <w:tcBorders>
              <w:top w:val="nil"/>
              <w:left w:val="single" w:sz="4" w:space="0" w:color="auto"/>
              <w:bottom w:val="single" w:sz="4" w:space="0" w:color="auto"/>
              <w:right w:val="nil"/>
            </w:tcBorders>
            <w:shd w:val="clear" w:color="auto" w:fill="auto"/>
            <w:vAlign w:val="center"/>
            <w:hideMark/>
          </w:tcPr>
          <w:p w14:paraId="50D188EC" w14:textId="77777777" w:rsidR="00387142" w:rsidRPr="008B6A75" w:rsidRDefault="00387142" w:rsidP="00387142">
            <w:pPr>
              <w:rPr>
                <w:bCs/>
                <w:sz w:val="20"/>
                <w:szCs w:val="20"/>
              </w:rPr>
            </w:pPr>
            <w:r w:rsidRPr="008B6A75">
              <w:rPr>
                <w:bCs/>
                <w:sz w:val="20"/>
                <w:szCs w:val="20"/>
              </w:rPr>
              <w:t xml:space="preserve">Реализация мероприятий по обеспечению сбалансированности местных </w:t>
            </w:r>
            <w:proofErr w:type="gramStart"/>
            <w:r w:rsidRPr="008B6A75">
              <w:rPr>
                <w:bCs/>
                <w:sz w:val="20"/>
                <w:szCs w:val="20"/>
              </w:rPr>
              <w:t>бюджетов  государственной</w:t>
            </w:r>
            <w:proofErr w:type="gramEnd"/>
            <w:r w:rsidRPr="008B6A75">
              <w:rPr>
                <w:bCs/>
                <w:sz w:val="20"/>
                <w:szCs w:val="20"/>
              </w:rPr>
              <w:t xml:space="preserve"> программы Новосибирской области "Управление  финансами в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14:paraId="117EA3EC" w14:textId="77777777" w:rsidR="00387142" w:rsidRPr="008B6A75" w:rsidRDefault="00387142" w:rsidP="00387142">
            <w:pPr>
              <w:jc w:val="center"/>
              <w:rPr>
                <w:bCs/>
                <w:sz w:val="20"/>
                <w:szCs w:val="20"/>
              </w:rPr>
            </w:pPr>
            <w:r w:rsidRPr="008B6A75">
              <w:rPr>
                <w:bCs/>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2635493" w14:textId="77777777" w:rsidR="00387142" w:rsidRPr="008B6A75" w:rsidRDefault="00387142" w:rsidP="00387142">
            <w:pPr>
              <w:jc w:val="center"/>
              <w:rPr>
                <w:bCs/>
                <w:sz w:val="20"/>
                <w:szCs w:val="20"/>
              </w:rPr>
            </w:pPr>
            <w:r w:rsidRPr="008B6A75">
              <w:rPr>
                <w:bCs/>
                <w:sz w:val="20"/>
                <w:szCs w:val="20"/>
              </w:rPr>
              <w:t>09</w:t>
            </w:r>
          </w:p>
        </w:tc>
        <w:tc>
          <w:tcPr>
            <w:tcW w:w="1516" w:type="dxa"/>
            <w:tcBorders>
              <w:top w:val="nil"/>
              <w:left w:val="single" w:sz="4" w:space="0" w:color="auto"/>
              <w:bottom w:val="single" w:sz="4" w:space="0" w:color="auto"/>
              <w:right w:val="nil"/>
            </w:tcBorders>
            <w:shd w:val="clear" w:color="auto" w:fill="auto"/>
            <w:noWrap/>
            <w:vAlign w:val="center"/>
            <w:hideMark/>
          </w:tcPr>
          <w:p w14:paraId="77B05BF2" w14:textId="77777777" w:rsidR="00387142" w:rsidRPr="008B6A75" w:rsidRDefault="00387142" w:rsidP="00387142">
            <w:pPr>
              <w:jc w:val="center"/>
              <w:rPr>
                <w:bCs/>
                <w:sz w:val="20"/>
                <w:szCs w:val="20"/>
              </w:rPr>
            </w:pPr>
            <w:r w:rsidRPr="008B6A75">
              <w:rPr>
                <w:bCs/>
                <w:sz w:val="20"/>
                <w:szCs w:val="20"/>
              </w:rPr>
              <w:t>07.1.00.70510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3C45D3B"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F398642" w14:textId="77777777" w:rsidR="00387142" w:rsidRPr="008B6A75" w:rsidRDefault="00387142" w:rsidP="00387142">
            <w:pPr>
              <w:jc w:val="right"/>
              <w:rPr>
                <w:bCs/>
                <w:sz w:val="20"/>
                <w:szCs w:val="20"/>
              </w:rPr>
            </w:pPr>
            <w:r w:rsidRPr="008B6A75">
              <w:rPr>
                <w:bCs/>
                <w:sz w:val="20"/>
                <w:szCs w:val="20"/>
              </w:rPr>
              <w:t>9 377 597,44</w:t>
            </w:r>
          </w:p>
        </w:tc>
        <w:tc>
          <w:tcPr>
            <w:tcW w:w="992" w:type="dxa"/>
            <w:tcBorders>
              <w:top w:val="nil"/>
              <w:left w:val="single" w:sz="4" w:space="0" w:color="auto"/>
              <w:bottom w:val="single" w:sz="4" w:space="0" w:color="auto"/>
              <w:right w:val="nil"/>
            </w:tcBorders>
            <w:shd w:val="clear" w:color="auto" w:fill="auto"/>
            <w:vAlign w:val="center"/>
            <w:hideMark/>
          </w:tcPr>
          <w:p w14:paraId="3CE08C69" w14:textId="77777777" w:rsidR="00387142" w:rsidRPr="008B6A75" w:rsidRDefault="00387142" w:rsidP="00387142">
            <w:pPr>
              <w:jc w:val="right"/>
              <w:rPr>
                <w:bCs/>
                <w:sz w:val="20"/>
                <w:szCs w:val="20"/>
              </w:rPr>
            </w:pPr>
            <w:r w:rsidRPr="008B6A75">
              <w:rPr>
                <w:bCs/>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0D776A58" w14:textId="77777777" w:rsidR="00387142" w:rsidRPr="008B6A75" w:rsidRDefault="00387142" w:rsidP="00387142">
            <w:pPr>
              <w:jc w:val="right"/>
              <w:rPr>
                <w:bCs/>
                <w:sz w:val="20"/>
                <w:szCs w:val="20"/>
              </w:rPr>
            </w:pPr>
            <w:r w:rsidRPr="008B6A75">
              <w:rPr>
                <w:bCs/>
                <w:sz w:val="20"/>
                <w:szCs w:val="20"/>
              </w:rPr>
              <w:t>0,00</w:t>
            </w:r>
          </w:p>
        </w:tc>
      </w:tr>
      <w:tr w:rsidR="00387142" w:rsidRPr="008B6A75" w14:paraId="76FDC891" w14:textId="77777777" w:rsidTr="00387142">
        <w:trPr>
          <w:trHeight w:val="1440"/>
        </w:trPr>
        <w:tc>
          <w:tcPr>
            <w:tcW w:w="3261" w:type="dxa"/>
            <w:tcBorders>
              <w:top w:val="nil"/>
              <w:left w:val="single" w:sz="4" w:space="0" w:color="auto"/>
              <w:bottom w:val="single" w:sz="4" w:space="0" w:color="auto"/>
              <w:right w:val="nil"/>
            </w:tcBorders>
            <w:shd w:val="clear" w:color="auto" w:fill="auto"/>
            <w:vAlign w:val="center"/>
            <w:hideMark/>
          </w:tcPr>
          <w:p w14:paraId="1EB9E6E3" w14:textId="77777777" w:rsidR="00387142" w:rsidRPr="008B6A75" w:rsidRDefault="00387142" w:rsidP="00387142">
            <w:pPr>
              <w:rPr>
                <w:sz w:val="20"/>
                <w:szCs w:val="20"/>
              </w:rPr>
            </w:pPr>
            <w:r w:rsidRPr="008B6A7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14:paraId="5CDB60D7" w14:textId="77777777" w:rsidR="00387142" w:rsidRPr="008B6A75" w:rsidRDefault="00387142" w:rsidP="00387142">
            <w:pPr>
              <w:jc w:val="center"/>
              <w:rPr>
                <w:sz w:val="20"/>
                <w:szCs w:val="20"/>
              </w:rPr>
            </w:pPr>
            <w:r w:rsidRPr="008B6A75">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71EF1CB" w14:textId="77777777" w:rsidR="00387142" w:rsidRPr="008B6A75" w:rsidRDefault="00387142" w:rsidP="00387142">
            <w:pPr>
              <w:jc w:val="center"/>
              <w:rPr>
                <w:sz w:val="20"/>
                <w:szCs w:val="20"/>
              </w:rPr>
            </w:pPr>
            <w:r w:rsidRPr="008B6A75">
              <w:rPr>
                <w:sz w:val="20"/>
                <w:szCs w:val="20"/>
              </w:rPr>
              <w:t>09</w:t>
            </w:r>
          </w:p>
        </w:tc>
        <w:tc>
          <w:tcPr>
            <w:tcW w:w="1516" w:type="dxa"/>
            <w:tcBorders>
              <w:top w:val="nil"/>
              <w:left w:val="single" w:sz="4" w:space="0" w:color="auto"/>
              <w:bottom w:val="single" w:sz="4" w:space="0" w:color="auto"/>
              <w:right w:val="nil"/>
            </w:tcBorders>
            <w:shd w:val="clear" w:color="auto" w:fill="auto"/>
            <w:noWrap/>
            <w:vAlign w:val="center"/>
            <w:hideMark/>
          </w:tcPr>
          <w:p w14:paraId="292EE2D9" w14:textId="77777777" w:rsidR="00387142" w:rsidRPr="008B6A75" w:rsidRDefault="00387142" w:rsidP="00387142">
            <w:pPr>
              <w:jc w:val="center"/>
              <w:rPr>
                <w:sz w:val="20"/>
                <w:szCs w:val="20"/>
              </w:rPr>
            </w:pPr>
            <w:r w:rsidRPr="008B6A75">
              <w:rPr>
                <w:sz w:val="20"/>
                <w:szCs w:val="20"/>
              </w:rPr>
              <w:t>07.1.00.70510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6C15A1B" w14:textId="77777777" w:rsidR="00387142" w:rsidRPr="008B6A75" w:rsidRDefault="00387142" w:rsidP="00387142">
            <w:pPr>
              <w:jc w:val="center"/>
              <w:rPr>
                <w:sz w:val="20"/>
                <w:szCs w:val="20"/>
              </w:rPr>
            </w:pPr>
            <w:r w:rsidRPr="008B6A75">
              <w:rPr>
                <w:sz w:val="20"/>
                <w:szCs w:val="20"/>
              </w:rPr>
              <w:t>100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2AA64EC" w14:textId="77777777" w:rsidR="00387142" w:rsidRPr="008B6A75" w:rsidRDefault="00387142" w:rsidP="00387142">
            <w:pPr>
              <w:jc w:val="right"/>
              <w:rPr>
                <w:sz w:val="20"/>
                <w:szCs w:val="20"/>
              </w:rPr>
            </w:pPr>
            <w:r w:rsidRPr="008B6A75">
              <w:rPr>
                <w:sz w:val="20"/>
                <w:szCs w:val="20"/>
              </w:rPr>
              <w:t>9 377 597,44</w:t>
            </w:r>
          </w:p>
        </w:tc>
        <w:tc>
          <w:tcPr>
            <w:tcW w:w="992" w:type="dxa"/>
            <w:tcBorders>
              <w:top w:val="nil"/>
              <w:left w:val="single" w:sz="4" w:space="0" w:color="auto"/>
              <w:bottom w:val="single" w:sz="4" w:space="0" w:color="auto"/>
              <w:right w:val="nil"/>
            </w:tcBorders>
            <w:shd w:val="clear" w:color="auto" w:fill="auto"/>
            <w:vAlign w:val="center"/>
            <w:hideMark/>
          </w:tcPr>
          <w:p w14:paraId="1DEE8488" w14:textId="77777777" w:rsidR="00387142" w:rsidRPr="008B6A75" w:rsidRDefault="00387142" w:rsidP="00387142">
            <w:pPr>
              <w:jc w:val="right"/>
              <w:rPr>
                <w:sz w:val="20"/>
                <w:szCs w:val="20"/>
              </w:rPr>
            </w:pPr>
            <w:r w:rsidRPr="008B6A75">
              <w:rPr>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625F243B" w14:textId="77777777" w:rsidR="00387142" w:rsidRPr="008B6A75" w:rsidRDefault="00387142" w:rsidP="00387142">
            <w:pPr>
              <w:jc w:val="right"/>
              <w:rPr>
                <w:sz w:val="20"/>
                <w:szCs w:val="20"/>
              </w:rPr>
            </w:pPr>
            <w:r w:rsidRPr="008B6A75">
              <w:rPr>
                <w:sz w:val="20"/>
                <w:szCs w:val="20"/>
              </w:rPr>
              <w:t>0,00</w:t>
            </w:r>
          </w:p>
        </w:tc>
      </w:tr>
      <w:tr w:rsidR="00387142" w:rsidRPr="008B6A75" w14:paraId="26334072" w14:textId="77777777" w:rsidTr="00387142">
        <w:trPr>
          <w:trHeight w:val="585"/>
        </w:trPr>
        <w:tc>
          <w:tcPr>
            <w:tcW w:w="3261" w:type="dxa"/>
            <w:tcBorders>
              <w:top w:val="nil"/>
              <w:left w:val="single" w:sz="4" w:space="0" w:color="auto"/>
              <w:bottom w:val="single" w:sz="4" w:space="0" w:color="auto"/>
              <w:right w:val="nil"/>
            </w:tcBorders>
            <w:shd w:val="clear" w:color="auto" w:fill="auto"/>
            <w:vAlign w:val="center"/>
            <w:hideMark/>
          </w:tcPr>
          <w:p w14:paraId="01045A6A" w14:textId="77777777" w:rsidR="00387142" w:rsidRPr="008B6A75" w:rsidRDefault="00387142" w:rsidP="00387142">
            <w:pPr>
              <w:rPr>
                <w:sz w:val="20"/>
                <w:szCs w:val="20"/>
              </w:rPr>
            </w:pPr>
            <w:r w:rsidRPr="008B6A75">
              <w:rPr>
                <w:sz w:val="20"/>
                <w:szCs w:val="20"/>
              </w:rPr>
              <w:t>Расходы на выплаты персоналу казенных учреждений</w:t>
            </w:r>
          </w:p>
        </w:tc>
        <w:tc>
          <w:tcPr>
            <w:tcW w:w="720" w:type="dxa"/>
            <w:tcBorders>
              <w:top w:val="nil"/>
              <w:left w:val="single" w:sz="4" w:space="0" w:color="auto"/>
              <w:bottom w:val="single" w:sz="4" w:space="0" w:color="auto"/>
              <w:right w:val="nil"/>
            </w:tcBorders>
            <w:shd w:val="clear" w:color="auto" w:fill="auto"/>
            <w:noWrap/>
            <w:vAlign w:val="center"/>
            <w:hideMark/>
          </w:tcPr>
          <w:p w14:paraId="1F0D522D" w14:textId="77777777" w:rsidR="00387142" w:rsidRPr="008B6A75" w:rsidRDefault="00387142" w:rsidP="00387142">
            <w:pPr>
              <w:jc w:val="center"/>
              <w:rPr>
                <w:sz w:val="20"/>
                <w:szCs w:val="20"/>
              </w:rPr>
            </w:pPr>
            <w:r w:rsidRPr="008B6A75">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D164EA1" w14:textId="77777777" w:rsidR="00387142" w:rsidRPr="008B6A75" w:rsidRDefault="00387142" w:rsidP="00387142">
            <w:pPr>
              <w:jc w:val="center"/>
              <w:rPr>
                <w:sz w:val="20"/>
                <w:szCs w:val="20"/>
              </w:rPr>
            </w:pPr>
            <w:r w:rsidRPr="008B6A75">
              <w:rPr>
                <w:sz w:val="20"/>
                <w:szCs w:val="20"/>
              </w:rPr>
              <w:t>09</w:t>
            </w:r>
          </w:p>
        </w:tc>
        <w:tc>
          <w:tcPr>
            <w:tcW w:w="1516" w:type="dxa"/>
            <w:tcBorders>
              <w:top w:val="nil"/>
              <w:left w:val="single" w:sz="4" w:space="0" w:color="auto"/>
              <w:bottom w:val="single" w:sz="4" w:space="0" w:color="auto"/>
              <w:right w:val="nil"/>
            </w:tcBorders>
            <w:shd w:val="clear" w:color="auto" w:fill="auto"/>
            <w:noWrap/>
            <w:vAlign w:val="center"/>
            <w:hideMark/>
          </w:tcPr>
          <w:p w14:paraId="3BD36A5E" w14:textId="77777777" w:rsidR="00387142" w:rsidRPr="008B6A75" w:rsidRDefault="00387142" w:rsidP="00387142">
            <w:pPr>
              <w:jc w:val="center"/>
              <w:rPr>
                <w:sz w:val="20"/>
                <w:szCs w:val="20"/>
              </w:rPr>
            </w:pPr>
            <w:r w:rsidRPr="008B6A75">
              <w:rPr>
                <w:sz w:val="20"/>
                <w:szCs w:val="20"/>
              </w:rPr>
              <w:t>07.1.00.70510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8A45B49" w14:textId="77777777" w:rsidR="00387142" w:rsidRPr="008B6A75" w:rsidRDefault="00387142" w:rsidP="00387142">
            <w:pPr>
              <w:jc w:val="center"/>
              <w:rPr>
                <w:sz w:val="20"/>
                <w:szCs w:val="20"/>
              </w:rPr>
            </w:pPr>
            <w:r w:rsidRPr="008B6A75">
              <w:rPr>
                <w:sz w:val="20"/>
                <w:szCs w:val="20"/>
              </w:rPr>
              <w:t>110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44ECFC5" w14:textId="77777777" w:rsidR="00387142" w:rsidRPr="008B6A75" w:rsidRDefault="00387142" w:rsidP="00387142">
            <w:pPr>
              <w:jc w:val="right"/>
              <w:rPr>
                <w:sz w:val="20"/>
                <w:szCs w:val="20"/>
              </w:rPr>
            </w:pPr>
            <w:r w:rsidRPr="008B6A75">
              <w:rPr>
                <w:sz w:val="20"/>
                <w:szCs w:val="20"/>
              </w:rPr>
              <w:t>9 377 597,44</w:t>
            </w:r>
          </w:p>
        </w:tc>
        <w:tc>
          <w:tcPr>
            <w:tcW w:w="992" w:type="dxa"/>
            <w:tcBorders>
              <w:top w:val="nil"/>
              <w:left w:val="single" w:sz="4" w:space="0" w:color="auto"/>
              <w:bottom w:val="single" w:sz="4" w:space="0" w:color="auto"/>
              <w:right w:val="nil"/>
            </w:tcBorders>
            <w:shd w:val="clear" w:color="auto" w:fill="auto"/>
            <w:vAlign w:val="center"/>
            <w:hideMark/>
          </w:tcPr>
          <w:p w14:paraId="2E8580A6" w14:textId="77777777" w:rsidR="00387142" w:rsidRPr="008B6A75" w:rsidRDefault="00387142" w:rsidP="00387142">
            <w:pPr>
              <w:jc w:val="right"/>
              <w:rPr>
                <w:sz w:val="20"/>
                <w:szCs w:val="20"/>
              </w:rPr>
            </w:pPr>
            <w:r w:rsidRPr="008B6A75">
              <w:rPr>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52A5301A" w14:textId="77777777" w:rsidR="00387142" w:rsidRPr="008B6A75" w:rsidRDefault="00387142" w:rsidP="00387142">
            <w:pPr>
              <w:jc w:val="right"/>
              <w:rPr>
                <w:sz w:val="20"/>
                <w:szCs w:val="20"/>
              </w:rPr>
            </w:pPr>
            <w:r w:rsidRPr="008B6A75">
              <w:rPr>
                <w:sz w:val="20"/>
                <w:szCs w:val="20"/>
              </w:rPr>
              <w:t>0,00</w:t>
            </w:r>
          </w:p>
        </w:tc>
      </w:tr>
      <w:tr w:rsidR="00387142" w:rsidRPr="008B6A75" w14:paraId="5516EF18" w14:textId="77777777" w:rsidTr="00387142">
        <w:trPr>
          <w:trHeight w:val="2580"/>
        </w:trPr>
        <w:tc>
          <w:tcPr>
            <w:tcW w:w="3261" w:type="dxa"/>
            <w:tcBorders>
              <w:top w:val="nil"/>
              <w:left w:val="single" w:sz="4" w:space="0" w:color="auto"/>
              <w:bottom w:val="single" w:sz="4" w:space="0" w:color="auto"/>
              <w:right w:val="nil"/>
            </w:tcBorders>
            <w:shd w:val="clear" w:color="auto" w:fill="auto"/>
            <w:vAlign w:val="center"/>
            <w:hideMark/>
          </w:tcPr>
          <w:p w14:paraId="173C1794" w14:textId="77777777" w:rsidR="00387142" w:rsidRPr="008B6A75" w:rsidRDefault="00387142" w:rsidP="00387142">
            <w:pPr>
              <w:rPr>
                <w:bCs/>
                <w:sz w:val="20"/>
                <w:szCs w:val="20"/>
              </w:rPr>
            </w:pPr>
            <w:proofErr w:type="spellStart"/>
            <w:r w:rsidRPr="008B6A75">
              <w:rPr>
                <w:bCs/>
                <w:sz w:val="20"/>
                <w:szCs w:val="20"/>
              </w:rPr>
              <w:t>Софинансирование</w:t>
            </w:r>
            <w:proofErr w:type="spellEnd"/>
            <w:r w:rsidRPr="008B6A75">
              <w:rPr>
                <w:bCs/>
                <w:sz w:val="20"/>
                <w:szCs w:val="20"/>
              </w:rPr>
              <w:t xml:space="preserve"> местного бюджета на реализацию мероприятий по установке и модернизации систем видеонаблюдения, автоматической пожарной сигнализации и пожарного мониторинга государственной программы Новосибирской области "Построение и развитие аппаратно-программного комплекса "Безопасный город" в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14:paraId="77614B26" w14:textId="77777777" w:rsidR="00387142" w:rsidRPr="008B6A75" w:rsidRDefault="00387142" w:rsidP="00387142">
            <w:pPr>
              <w:jc w:val="center"/>
              <w:rPr>
                <w:bCs/>
                <w:sz w:val="20"/>
                <w:szCs w:val="20"/>
              </w:rPr>
            </w:pPr>
            <w:r w:rsidRPr="008B6A75">
              <w:rPr>
                <w:bCs/>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A8CEE75" w14:textId="77777777" w:rsidR="00387142" w:rsidRPr="008B6A75" w:rsidRDefault="00387142" w:rsidP="00387142">
            <w:pPr>
              <w:jc w:val="center"/>
              <w:rPr>
                <w:bCs/>
                <w:sz w:val="20"/>
                <w:szCs w:val="20"/>
              </w:rPr>
            </w:pPr>
            <w:r w:rsidRPr="008B6A75">
              <w:rPr>
                <w:bCs/>
                <w:sz w:val="20"/>
                <w:szCs w:val="20"/>
              </w:rPr>
              <w:t>09</w:t>
            </w:r>
          </w:p>
        </w:tc>
        <w:tc>
          <w:tcPr>
            <w:tcW w:w="1516" w:type="dxa"/>
            <w:tcBorders>
              <w:top w:val="nil"/>
              <w:left w:val="single" w:sz="4" w:space="0" w:color="auto"/>
              <w:bottom w:val="single" w:sz="4" w:space="0" w:color="auto"/>
              <w:right w:val="nil"/>
            </w:tcBorders>
            <w:shd w:val="clear" w:color="auto" w:fill="auto"/>
            <w:noWrap/>
            <w:vAlign w:val="center"/>
            <w:hideMark/>
          </w:tcPr>
          <w:p w14:paraId="3BA4EFDF" w14:textId="77777777" w:rsidR="00387142" w:rsidRPr="008B6A75" w:rsidRDefault="00387142" w:rsidP="00387142">
            <w:pPr>
              <w:jc w:val="center"/>
              <w:rPr>
                <w:bCs/>
                <w:sz w:val="20"/>
                <w:szCs w:val="20"/>
              </w:rPr>
            </w:pPr>
            <w:r w:rsidRPr="008B6A75">
              <w:rPr>
                <w:bCs/>
                <w:sz w:val="20"/>
                <w:szCs w:val="20"/>
              </w:rPr>
              <w:t>07.1.00.S2590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1931108"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20143A3" w14:textId="77777777" w:rsidR="00387142" w:rsidRPr="008B6A75" w:rsidRDefault="00387142" w:rsidP="00387142">
            <w:pPr>
              <w:jc w:val="right"/>
              <w:rPr>
                <w:bCs/>
                <w:sz w:val="20"/>
                <w:szCs w:val="20"/>
              </w:rPr>
            </w:pPr>
            <w:r w:rsidRPr="008B6A75">
              <w:rPr>
                <w:bCs/>
                <w:sz w:val="20"/>
                <w:szCs w:val="20"/>
              </w:rPr>
              <w:t>0,00</w:t>
            </w:r>
          </w:p>
        </w:tc>
        <w:tc>
          <w:tcPr>
            <w:tcW w:w="992" w:type="dxa"/>
            <w:tcBorders>
              <w:top w:val="nil"/>
              <w:left w:val="single" w:sz="4" w:space="0" w:color="auto"/>
              <w:bottom w:val="single" w:sz="4" w:space="0" w:color="auto"/>
              <w:right w:val="nil"/>
            </w:tcBorders>
            <w:shd w:val="clear" w:color="auto" w:fill="auto"/>
            <w:vAlign w:val="center"/>
            <w:hideMark/>
          </w:tcPr>
          <w:p w14:paraId="458C94FD" w14:textId="77777777" w:rsidR="00387142" w:rsidRPr="008B6A75" w:rsidRDefault="00387142" w:rsidP="00387142">
            <w:pPr>
              <w:jc w:val="right"/>
              <w:rPr>
                <w:bCs/>
                <w:sz w:val="20"/>
                <w:szCs w:val="20"/>
              </w:rPr>
            </w:pPr>
            <w:r w:rsidRPr="008B6A75">
              <w:rPr>
                <w:bCs/>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3D3C8068" w14:textId="77777777" w:rsidR="00387142" w:rsidRPr="008B6A75" w:rsidRDefault="00387142" w:rsidP="00387142">
            <w:pPr>
              <w:jc w:val="right"/>
              <w:rPr>
                <w:bCs/>
                <w:sz w:val="20"/>
                <w:szCs w:val="20"/>
              </w:rPr>
            </w:pPr>
            <w:r w:rsidRPr="008B6A75">
              <w:rPr>
                <w:bCs/>
                <w:sz w:val="20"/>
                <w:szCs w:val="20"/>
              </w:rPr>
              <w:t>20 410,00</w:t>
            </w:r>
          </w:p>
        </w:tc>
      </w:tr>
      <w:tr w:rsidR="00387142" w:rsidRPr="008B6A75" w14:paraId="0639E934" w14:textId="77777777" w:rsidTr="00387142">
        <w:trPr>
          <w:trHeight w:val="585"/>
        </w:trPr>
        <w:tc>
          <w:tcPr>
            <w:tcW w:w="3261" w:type="dxa"/>
            <w:tcBorders>
              <w:top w:val="nil"/>
              <w:left w:val="single" w:sz="4" w:space="0" w:color="auto"/>
              <w:bottom w:val="single" w:sz="4" w:space="0" w:color="auto"/>
              <w:right w:val="nil"/>
            </w:tcBorders>
            <w:shd w:val="clear" w:color="auto" w:fill="auto"/>
            <w:vAlign w:val="center"/>
            <w:hideMark/>
          </w:tcPr>
          <w:p w14:paraId="6BDF5956" w14:textId="77777777" w:rsidR="00387142" w:rsidRPr="008B6A75" w:rsidRDefault="00387142" w:rsidP="00387142">
            <w:pPr>
              <w:rPr>
                <w:sz w:val="20"/>
                <w:szCs w:val="20"/>
              </w:rPr>
            </w:pPr>
            <w:r w:rsidRPr="008B6A75">
              <w:rPr>
                <w:sz w:val="20"/>
                <w:szCs w:val="20"/>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72732E7A" w14:textId="77777777" w:rsidR="00387142" w:rsidRPr="008B6A75" w:rsidRDefault="00387142" w:rsidP="00387142">
            <w:pPr>
              <w:jc w:val="center"/>
              <w:rPr>
                <w:sz w:val="20"/>
                <w:szCs w:val="20"/>
              </w:rPr>
            </w:pPr>
            <w:r w:rsidRPr="008B6A75">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7CAF070" w14:textId="77777777" w:rsidR="00387142" w:rsidRPr="008B6A75" w:rsidRDefault="00387142" w:rsidP="00387142">
            <w:pPr>
              <w:jc w:val="center"/>
              <w:rPr>
                <w:sz w:val="20"/>
                <w:szCs w:val="20"/>
              </w:rPr>
            </w:pPr>
            <w:r w:rsidRPr="008B6A75">
              <w:rPr>
                <w:sz w:val="20"/>
                <w:szCs w:val="20"/>
              </w:rPr>
              <w:t>09</w:t>
            </w:r>
          </w:p>
        </w:tc>
        <w:tc>
          <w:tcPr>
            <w:tcW w:w="1516" w:type="dxa"/>
            <w:tcBorders>
              <w:top w:val="nil"/>
              <w:left w:val="single" w:sz="4" w:space="0" w:color="auto"/>
              <w:bottom w:val="single" w:sz="4" w:space="0" w:color="auto"/>
              <w:right w:val="nil"/>
            </w:tcBorders>
            <w:shd w:val="clear" w:color="auto" w:fill="auto"/>
            <w:noWrap/>
            <w:vAlign w:val="center"/>
            <w:hideMark/>
          </w:tcPr>
          <w:p w14:paraId="4F76C4BD" w14:textId="77777777" w:rsidR="00387142" w:rsidRPr="008B6A75" w:rsidRDefault="00387142" w:rsidP="00387142">
            <w:pPr>
              <w:jc w:val="center"/>
              <w:rPr>
                <w:sz w:val="20"/>
                <w:szCs w:val="20"/>
              </w:rPr>
            </w:pPr>
            <w:r w:rsidRPr="008B6A75">
              <w:rPr>
                <w:sz w:val="20"/>
                <w:szCs w:val="20"/>
              </w:rPr>
              <w:t>07.1.00.S2590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A666E83" w14:textId="77777777" w:rsidR="00387142" w:rsidRPr="008B6A75" w:rsidRDefault="00387142" w:rsidP="00387142">
            <w:pPr>
              <w:jc w:val="center"/>
              <w:rPr>
                <w:sz w:val="20"/>
                <w:szCs w:val="20"/>
              </w:rPr>
            </w:pPr>
            <w:r w:rsidRPr="008B6A75">
              <w:rPr>
                <w:sz w:val="20"/>
                <w:szCs w:val="20"/>
              </w:rPr>
              <w:t>200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6AA67FC" w14:textId="77777777" w:rsidR="00387142" w:rsidRPr="008B6A75" w:rsidRDefault="00387142" w:rsidP="00387142">
            <w:pPr>
              <w:jc w:val="right"/>
              <w:rPr>
                <w:sz w:val="20"/>
                <w:szCs w:val="20"/>
              </w:rPr>
            </w:pPr>
            <w:r w:rsidRPr="008B6A75">
              <w:rPr>
                <w:sz w:val="20"/>
                <w:szCs w:val="20"/>
              </w:rPr>
              <w:t>0,00</w:t>
            </w:r>
          </w:p>
        </w:tc>
        <w:tc>
          <w:tcPr>
            <w:tcW w:w="992" w:type="dxa"/>
            <w:tcBorders>
              <w:top w:val="nil"/>
              <w:left w:val="single" w:sz="4" w:space="0" w:color="auto"/>
              <w:bottom w:val="single" w:sz="4" w:space="0" w:color="auto"/>
              <w:right w:val="nil"/>
            </w:tcBorders>
            <w:shd w:val="clear" w:color="auto" w:fill="auto"/>
            <w:vAlign w:val="center"/>
            <w:hideMark/>
          </w:tcPr>
          <w:p w14:paraId="32642AEE" w14:textId="77777777" w:rsidR="00387142" w:rsidRPr="008B6A75" w:rsidRDefault="00387142" w:rsidP="00387142">
            <w:pPr>
              <w:jc w:val="right"/>
              <w:rPr>
                <w:sz w:val="20"/>
                <w:szCs w:val="20"/>
              </w:rPr>
            </w:pPr>
            <w:r w:rsidRPr="008B6A75">
              <w:rPr>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47CFB404" w14:textId="77777777" w:rsidR="00387142" w:rsidRPr="008B6A75" w:rsidRDefault="00387142" w:rsidP="00387142">
            <w:pPr>
              <w:jc w:val="right"/>
              <w:rPr>
                <w:sz w:val="20"/>
                <w:szCs w:val="20"/>
              </w:rPr>
            </w:pPr>
            <w:r w:rsidRPr="008B6A75">
              <w:rPr>
                <w:sz w:val="20"/>
                <w:szCs w:val="20"/>
              </w:rPr>
              <w:t>20 410,00</w:t>
            </w:r>
          </w:p>
        </w:tc>
      </w:tr>
      <w:tr w:rsidR="00387142" w:rsidRPr="008B6A75" w14:paraId="3E4424E7" w14:textId="77777777" w:rsidTr="00387142">
        <w:trPr>
          <w:trHeight w:val="870"/>
        </w:trPr>
        <w:tc>
          <w:tcPr>
            <w:tcW w:w="3261" w:type="dxa"/>
            <w:tcBorders>
              <w:top w:val="nil"/>
              <w:left w:val="single" w:sz="4" w:space="0" w:color="auto"/>
              <w:bottom w:val="single" w:sz="4" w:space="0" w:color="auto"/>
              <w:right w:val="nil"/>
            </w:tcBorders>
            <w:shd w:val="clear" w:color="auto" w:fill="auto"/>
            <w:vAlign w:val="center"/>
            <w:hideMark/>
          </w:tcPr>
          <w:p w14:paraId="76B42B02" w14:textId="77777777" w:rsidR="00387142" w:rsidRPr="008B6A75" w:rsidRDefault="00387142" w:rsidP="00387142">
            <w:pPr>
              <w:rPr>
                <w:sz w:val="20"/>
                <w:szCs w:val="20"/>
              </w:rPr>
            </w:pPr>
            <w:r w:rsidRPr="008B6A75">
              <w:rPr>
                <w:sz w:val="20"/>
                <w:szCs w:val="20"/>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78E2D1A0" w14:textId="77777777" w:rsidR="00387142" w:rsidRPr="008B6A75" w:rsidRDefault="00387142" w:rsidP="00387142">
            <w:pPr>
              <w:jc w:val="center"/>
              <w:rPr>
                <w:sz w:val="20"/>
                <w:szCs w:val="20"/>
              </w:rPr>
            </w:pPr>
            <w:r w:rsidRPr="008B6A75">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090E887" w14:textId="77777777" w:rsidR="00387142" w:rsidRPr="008B6A75" w:rsidRDefault="00387142" w:rsidP="00387142">
            <w:pPr>
              <w:jc w:val="center"/>
              <w:rPr>
                <w:sz w:val="20"/>
                <w:szCs w:val="20"/>
              </w:rPr>
            </w:pPr>
            <w:r w:rsidRPr="008B6A75">
              <w:rPr>
                <w:sz w:val="20"/>
                <w:szCs w:val="20"/>
              </w:rPr>
              <w:t>09</w:t>
            </w:r>
          </w:p>
        </w:tc>
        <w:tc>
          <w:tcPr>
            <w:tcW w:w="1516" w:type="dxa"/>
            <w:tcBorders>
              <w:top w:val="nil"/>
              <w:left w:val="single" w:sz="4" w:space="0" w:color="auto"/>
              <w:bottom w:val="single" w:sz="4" w:space="0" w:color="auto"/>
              <w:right w:val="nil"/>
            </w:tcBorders>
            <w:shd w:val="clear" w:color="auto" w:fill="auto"/>
            <w:noWrap/>
            <w:vAlign w:val="center"/>
            <w:hideMark/>
          </w:tcPr>
          <w:p w14:paraId="42355132" w14:textId="77777777" w:rsidR="00387142" w:rsidRPr="008B6A75" w:rsidRDefault="00387142" w:rsidP="00387142">
            <w:pPr>
              <w:jc w:val="center"/>
              <w:rPr>
                <w:sz w:val="20"/>
                <w:szCs w:val="20"/>
              </w:rPr>
            </w:pPr>
            <w:r w:rsidRPr="008B6A75">
              <w:rPr>
                <w:sz w:val="20"/>
                <w:szCs w:val="20"/>
              </w:rPr>
              <w:t>07.1.00.S2590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278AFF4" w14:textId="77777777" w:rsidR="00387142" w:rsidRPr="008B6A75" w:rsidRDefault="00387142" w:rsidP="00387142">
            <w:pPr>
              <w:jc w:val="center"/>
              <w:rPr>
                <w:sz w:val="20"/>
                <w:szCs w:val="20"/>
              </w:rPr>
            </w:pPr>
            <w:r w:rsidRPr="008B6A75">
              <w:rPr>
                <w:sz w:val="20"/>
                <w:szCs w:val="20"/>
              </w:rPr>
              <w:t>240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B02CD60" w14:textId="77777777" w:rsidR="00387142" w:rsidRPr="008B6A75" w:rsidRDefault="00387142" w:rsidP="00387142">
            <w:pPr>
              <w:jc w:val="right"/>
              <w:rPr>
                <w:sz w:val="20"/>
                <w:szCs w:val="20"/>
              </w:rPr>
            </w:pPr>
            <w:r w:rsidRPr="008B6A75">
              <w:rPr>
                <w:sz w:val="20"/>
                <w:szCs w:val="20"/>
              </w:rPr>
              <w:t>0,00</w:t>
            </w:r>
          </w:p>
        </w:tc>
        <w:tc>
          <w:tcPr>
            <w:tcW w:w="992" w:type="dxa"/>
            <w:tcBorders>
              <w:top w:val="nil"/>
              <w:left w:val="single" w:sz="4" w:space="0" w:color="auto"/>
              <w:bottom w:val="single" w:sz="4" w:space="0" w:color="auto"/>
              <w:right w:val="nil"/>
            </w:tcBorders>
            <w:shd w:val="clear" w:color="auto" w:fill="auto"/>
            <w:vAlign w:val="center"/>
            <w:hideMark/>
          </w:tcPr>
          <w:p w14:paraId="758DBC61" w14:textId="77777777" w:rsidR="00387142" w:rsidRPr="008B6A75" w:rsidRDefault="00387142" w:rsidP="00387142">
            <w:pPr>
              <w:jc w:val="right"/>
              <w:rPr>
                <w:sz w:val="20"/>
                <w:szCs w:val="20"/>
              </w:rPr>
            </w:pPr>
            <w:r w:rsidRPr="008B6A75">
              <w:rPr>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5980D3A4" w14:textId="77777777" w:rsidR="00387142" w:rsidRPr="008B6A75" w:rsidRDefault="00387142" w:rsidP="00387142">
            <w:pPr>
              <w:jc w:val="right"/>
              <w:rPr>
                <w:sz w:val="20"/>
                <w:szCs w:val="20"/>
              </w:rPr>
            </w:pPr>
            <w:r w:rsidRPr="008B6A75">
              <w:rPr>
                <w:sz w:val="20"/>
                <w:szCs w:val="20"/>
              </w:rPr>
              <w:t>20 410,00</w:t>
            </w:r>
          </w:p>
        </w:tc>
      </w:tr>
      <w:tr w:rsidR="00387142" w:rsidRPr="008B6A75" w14:paraId="5CD964E1" w14:textId="77777777" w:rsidTr="00387142">
        <w:trPr>
          <w:trHeight w:val="2865"/>
        </w:trPr>
        <w:tc>
          <w:tcPr>
            <w:tcW w:w="3261" w:type="dxa"/>
            <w:tcBorders>
              <w:top w:val="nil"/>
              <w:left w:val="single" w:sz="4" w:space="0" w:color="auto"/>
              <w:bottom w:val="single" w:sz="4" w:space="0" w:color="auto"/>
              <w:right w:val="nil"/>
            </w:tcBorders>
            <w:shd w:val="clear" w:color="auto" w:fill="auto"/>
            <w:vAlign w:val="center"/>
            <w:hideMark/>
          </w:tcPr>
          <w:p w14:paraId="57488217" w14:textId="77777777" w:rsidR="00387142" w:rsidRPr="008B6A75" w:rsidRDefault="00387142" w:rsidP="00387142">
            <w:pPr>
              <w:rPr>
                <w:bCs/>
                <w:sz w:val="20"/>
                <w:szCs w:val="20"/>
              </w:rPr>
            </w:pPr>
            <w:proofErr w:type="spellStart"/>
            <w:r w:rsidRPr="008B6A75">
              <w:rPr>
                <w:bCs/>
                <w:sz w:val="20"/>
                <w:szCs w:val="20"/>
              </w:rPr>
              <w:lastRenderedPageBreak/>
              <w:t>Софинансирование</w:t>
            </w:r>
            <w:proofErr w:type="spellEnd"/>
            <w:r w:rsidRPr="008B6A75">
              <w:rPr>
                <w:bCs/>
                <w:sz w:val="20"/>
                <w:szCs w:val="20"/>
              </w:rPr>
              <w:t xml:space="preserve"> местного бюджета на реализацию мероприятий по модернизации образования Новосибирской </w:t>
            </w:r>
            <w:proofErr w:type="gramStart"/>
            <w:r w:rsidRPr="008B6A75">
              <w:rPr>
                <w:bCs/>
                <w:sz w:val="20"/>
                <w:szCs w:val="20"/>
              </w:rPr>
              <w:t>области  подпрограммы</w:t>
            </w:r>
            <w:proofErr w:type="gramEnd"/>
            <w:r w:rsidRPr="008B6A75">
              <w:rPr>
                <w:bCs/>
                <w:sz w:val="20"/>
                <w:szCs w:val="20"/>
              </w:rPr>
              <w:t xml:space="preserve"> "Развитие дошкольного, общего и дополнительного образования детей" в рамках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14:paraId="13B393D6" w14:textId="77777777" w:rsidR="00387142" w:rsidRPr="008B6A75" w:rsidRDefault="00387142" w:rsidP="00387142">
            <w:pPr>
              <w:jc w:val="center"/>
              <w:rPr>
                <w:bCs/>
                <w:sz w:val="20"/>
                <w:szCs w:val="20"/>
              </w:rPr>
            </w:pPr>
            <w:r w:rsidRPr="008B6A75">
              <w:rPr>
                <w:bCs/>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B3B264C" w14:textId="77777777" w:rsidR="00387142" w:rsidRPr="008B6A75" w:rsidRDefault="00387142" w:rsidP="00387142">
            <w:pPr>
              <w:jc w:val="center"/>
              <w:rPr>
                <w:bCs/>
                <w:sz w:val="20"/>
                <w:szCs w:val="20"/>
              </w:rPr>
            </w:pPr>
            <w:r w:rsidRPr="008B6A75">
              <w:rPr>
                <w:bCs/>
                <w:sz w:val="20"/>
                <w:szCs w:val="20"/>
              </w:rPr>
              <w:t>09</w:t>
            </w:r>
          </w:p>
        </w:tc>
        <w:tc>
          <w:tcPr>
            <w:tcW w:w="1516" w:type="dxa"/>
            <w:tcBorders>
              <w:top w:val="nil"/>
              <w:left w:val="single" w:sz="4" w:space="0" w:color="auto"/>
              <w:bottom w:val="single" w:sz="4" w:space="0" w:color="auto"/>
              <w:right w:val="nil"/>
            </w:tcBorders>
            <w:shd w:val="clear" w:color="auto" w:fill="auto"/>
            <w:noWrap/>
            <w:vAlign w:val="center"/>
            <w:hideMark/>
          </w:tcPr>
          <w:p w14:paraId="57391C3B" w14:textId="77777777" w:rsidR="00387142" w:rsidRPr="008B6A75" w:rsidRDefault="00387142" w:rsidP="00387142">
            <w:pPr>
              <w:jc w:val="center"/>
              <w:rPr>
                <w:bCs/>
                <w:sz w:val="20"/>
                <w:szCs w:val="20"/>
              </w:rPr>
            </w:pPr>
            <w:r w:rsidRPr="008B6A75">
              <w:rPr>
                <w:bCs/>
                <w:sz w:val="20"/>
                <w:szCs w:val="20"/>
              </w:rPr>
              <w:t>07.1.00.S3470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4FCEF8E"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67EF88C" w14:textId="77777777" w:rsidR="00387142" w:rsidRPr="008B6A75" w:rsidRDefault="00387142" w:rsidP="00387142">
            <w:pPr>
              <w:jc w:val="right"/>
              <w:rPr>
                <w:bCs/>
                <w:sz w:val="20"/>
                <w:szCs w:val="20"/>
              </w:rPr>
            </w:pPr>
            <w:r w:rsidRPr="008B6A75">
              <w:rPr>
                <w:bCs/>
                <w:sz w:val="20"/>
                <w:szCs w:val="20"/>
              </w:rPr>
              <w:t>0,00</w:t>
            </w:r>
          </w:p>
        </w:tc>
        <w:tc>
          <w:tcPr>
            <w:tcW w:w="992" w:type="dxa"/>
            <w:tcBorders>
              <w:top w:val="nil"/>
              <w:left w:val="single" w:sz="4" w:space="0" w:color="auto"/>
              <w:bottom w:val="single" w:sz="4" w:space="0" w:color="auto"/>
              <w:right w:val="nil"/>
            </w:tcBorders>
            <w:shd w:val="clear" w:color="auto" w:fill="auto"/>
            <w:vAlign w:val="center"/>
            <w:hideMark/>
          </w:tcPr>
          <w:p w14:paraId="4011E428" w14:textId="77777777" w:rsidR="00387142" w:rsidRPr="008B6A75" w:rsidRDefault="00387142" w:rsidP="00387142">
            <w:pPr>
              <w:jc w:val="right"/>
              <w:rPr>
                <w:bCs/>
                <w:sz w:val="20"/>
                <w:szCs w:val="20"/>
              </w:rPr>
            </w:pPr>
            <w:r w:rsidRPr="008B6A75">
              <w:rPr>
                <w:bCs/>
                <w:sz w:val="20"/>
                <w:szCs w:val="20"/>
              </w:rPr>
              <w:t>18 650,00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096AAF72" w14:textId="77777777" w:rsidR="00387142" w:rsidRPr="008B6A75" w:rsidRDefault="00387142" w:rsidP="00387142">
            <w:pPr>
              <w:jc w:val="right"/>
              <w:rPr>
                <w:bCs/>
                <w:sz w:val="20"/>
                <w:szCs w:val="20"/>
              </w:rPr>
            </w:pPr>
            <w:r w:rsidRPr="008B6A75">
              <w:rPr>
                <w:bCs/>
                <w:sz w:val="20"/>
                <w:szCs w:val="20"/>
              </w:rPr>
              <w:t>18 650,00</w:t>
            </w:r>
          </w:p>
        </w:tc>
      </w:tr>
      <w:tr w:rsidR="00387142" w:rsidRPr="008B6A75" w14:paraId="0A47234C" w14:textId="77777777" w:rsidTr="00387142">
        <w:trPr>
          <w:trHeight w:val="585"/>
        </w:trPr>
        <w:tc>
          <w:tcPr>
            <w:tcW w:w="3261" w:type="dxa"/>
            <w:tcBorders>
              <w:top w:val="nil"/>
              <w:left w:val="single" w:sz="4" w:space="0" w:color="auto"/>
              <w:bottom w:val="single" w:sz="4" w:space="0" w:color="auto"/>
              <w:right w:val="nil"/>
            </w:tcBorders>
            <w:shd w:val="clear" w:color="auto" w:fill="auto"/>
            <w:vAlign w:val="center"/>
            <w:hideMark/>
          </w:tcPr>
          <w:p w14:paraId="1AFFFBFC" w14:textId="77777777" w:rsidR="00387142" w:rsidRPr="008B6A75" w:rsidRDefault="00387142" w:rsidP="00387142">
            <w:pPr>
              <w:rPr>
                <w:sz w:val="20"/>
                <w:szCs w:val="20"/>
              </w:rPr>
            </w:pPr>
            <w:r w:rsidRPr="008B6A75">
              <w:rPr>
                <w:sz w:val="20"/>
                <w:szCs w:val="20"/>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6972A9C4" w14:textId="77777777" w:rsidR="00387142" w:rsidRPr="008B6A75" w:rsidRDefault="00387142" w:rsidP="00387142">
            <w:pPr>
              <w:jc w:val="center"/>
              <w:rPr>
                <w:sz w:val="20"/>
                <w:szCs w:val="20"/>
              </w:rPr>
            </w:pPr>
            <w:r w:rsidRPr="008B6A75">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EE7BF62" w14:textId="77777777" w:rsidR="00387142" w:rsidRPr="008B6A75" w:rsidRDefault="00387142" w:rsidP="00387142">
            <w:pPr>
              <w:jc w:val="center"/>
              <w:rPr>
                <w:sz w:val="20"/>
                <w:szCs w:val="20"/>
              </w:rPr>
            </w:pPr>
            <w:r w:rsidRPr="008B6A75">
              <w:rPr>
                <w:sz w:val="20"/>
                <w:szCs w:val="20"/>
              </w:rPr>
              <w:t>09</w:t>
            </w:r>
          </w:p>
        </w:tc>
        <w:tc>
          <w:tcPr>
            <w:tcW w:w="1516" w:type="dxa"/>
            <w:tcBorders>
              <w:top w:val="nil"/>
              <w:left w:val="single" w:sz="4" w:space="0" w:color="auto"/>
              <w:bottom w:val="single" w:sz="4" w:space="0" w:color="auto"/>
              <w:right w:val="nil"/>
            </w:tcBorders>
            <w:shd w:val="clear" w:color="auto" w:fill="auto"/>
            <w:noWrap/>
            <w:vAlign w:val="center"/>
            <w:hideMark/>
          </w:tcPr>
          <w:p w14:paraId="4BA6041E" w14:textId="77777777" w:rsidR="00387142" w:rsidRPr="008B6A75" w:rsidRDefault="00387142" w:rsidP="00387142">
            <w:pPr>
              <w:jc w:val="center"/>
              <w:rPr>
                <w:sz w:val="20"/>
                <w:szCs w:val="20"/>
              </w:rPr>
            </w:pPr>
            <w:r w:rsidRPr="008B6A75">
              <w:rPr>
                <w:sz w:val="20"/>
                <w:szCs w:val="20"/>
              </w:rPr>
              <w:t>07.1.00.S3470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AF8D3EE" w14:textId="77777777" w:rsidR="00387142" w:rsidRPr="008B6A75" w:rsidRDefault="00387142" w:rsidP="00387142">
            <w:pPr>
              <w:jc w:val="center"/>
              <w:rPr>
                <w:sz w:val="20"/>
                <w:szCs w:val="20"/>
              </w:rPr>
            </w:pPr>
            <w:r w:rsidRPr="008B6A75">
              <w:rPr>
                <w:sz w:val="20"/>
                <w:szCs w:val="20"/>
              </w:rPr>
              <w:t>200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6E733EA" w14:textId="77777777" w:rsidR="00387142" w:rsidRPr="008B6A75" w:rsidRDefault="00387142" w:rsidP="00387142">
            <w:pPr>
              <w:jc w:val="right"/>
              <w:rPr>
                <w:sz w:val="20"/>
                <w:szCs w:val="20"/>
              </w:rPr>
            </w:pPr>
            <w:r w:rsidRPr="008B6A75">
              <w:rPr>
                <w:sz w:val="20"/>
                <w:szCs w:val="20"/>
              </w:rPr>
              <w:t>0,00</w:t>
            </w:r>
          </w:p>
        </w:tc>
        <w:tc>
          <w:tcPr>
            <w:tcW w:w="992" w:type="dxa"/>
            <w:tcBorders>
              <w:top w:val="nil"/>
              <w:left w:val="single" w:sz="4" w:space="0" w:color="auto"/>
              <w:bottom w:val="single" w:sz="4" w:space="0" w:color="auto"/>
              <w:right w:val="nil"/>
            </w:tcBorders>
            <w:shd w:val="clear" w:color="auto" w:fill="auto"/>
            <w:vAlign w:val="center"/>
            <w:hideMark/>
          </w:tcPr>
          <w:p w14:paraId="1EBF8BC6" w14:textId="77777777" w:rsidR="00387142" w:rsidRPr="008B6A75" w:rsidRDefault="00387142" w:rsidP="00387142">
            <w:pPr>
              <w:jc w:val="right"/>
              <w:rPr>
                <w:sz w:val="20"/>
                <w:szCs w:val="20"/>
              </w:rPr>
            </w:pPr>
            <w:r w:rsidRPr="008B6A75">
              <w:rPr>
                <w:sz w:val="20"/>
                <w:szCs w:val="20"/>
              </w:rPr>
              <w:t>18 650,00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3561F6D5" w14:textId="77777777" w:rsidR="00387142" w:rsidRPr="008B6A75" w:rsidRDefault="00387142" w:rsidP="00387142">
            <w:pPr>
              <w:jc w:val="right"/>
              <w:rPr>
                <w:sz w:val="20"/>
                <w:szCs w:val="20"/>
              </w:rPr>
            </w:pPr>
            <w:r w:rsidRPr="008B6A75">
              <w:rPr>
                <w:sz w:val="20"/>
                <w:szCs w:val="20"/>
              </w:rPr>
              <w:t>18 650,00</w:t>
            </w:r>
          </w:p>
        </w:tc>
      </w:tr>
      <w:tr w:rsidR="00387142" w:rsidRPr="008B6A75" w14:paraId="7C53E3B2" w14:textId="77777777" w:rsidTr="00387142">
        <w:trPr>
          <w:trHeight w:val="870"/>
        </w:trPr>
        <w:tc>
          <w:tcPr>
            <w:tcW w:w="3261" w:type="dxa"/>
            <w:tcBorders>
              <w:top w:val="nil"/>
              <w:left w:val="single" w:sz="4" w:space="0" w:color="auto"/>
              <w:bottom w:val="single" w:sz="4" w:space="0" w:color="auto"/>
              <w:right w:val="nil"/>
            </w:tcBorders>
            <w:shd w:val="clear" w:color="auto" w:fill="auto"/>
            <w:vAlign w:val="center"/>
            <w:hideMark/>
          </w:tcPr>
          <w:p w14:paraId="6621CCE2" w14:textId="77777777" w:rsidR="00387142" w:rsidRPr="008B6A75" w:rsidRDefault="00387142" w:rsidP="00387142">
            <w:pPr>
              <w:rPr>
                <w:sz w:val="20"/>
                <w:szCs w:val="20"/>
              </w:rPr>
            </w:pPr>
            <w:r w:rsidRPr="008B6A75">
              <w:rPr>
                <w:sz w:val="20"/>
                <w:szCs w:val="20"/>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39BDF5BC" w14:textId="77777777" w:rsidR="00387142" w:rsidRPr="008B6A75" w:rsidRDefault="00387142" w:rsidP="00387142">
            <w:pPr>
              <w:jc w:val="center"/>
              <w:rPr>
                <w:sz w:val="20"/>
                <w:szCs w:val="20"/>
              </w:rPr>
            </w:pPr>
            <w:r w:rsidRPr="008B6A75">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788FBE6" w14:textId="77777777" w:rsidR="00387142" w:rsidRPr="008B6A75" w:rsidRDefault="00387142" w:rsidP="00387142">
            <w:pPr>
              <w:jc w:val="center"/>
              <w:rPr>
                <w:sz w:val="20"/>
                <w:szCs w:val="20"/>
              </w:rPr>
            </w:pPr>
            <w:r w:rsidRPr="008B6A75">
              <w:rPr>
                <w:sz w:val="20"/>
                <w:szCs w:val="20"/>
              </w:rPr>
              <w:t>09</w:t>
            </w:r>
          </w:p>
        </w:tc>
        <w:tc>
          <w:tcPr>
            <w:tcW w:w="1516" w:type="dxa"/>
            <w:tcBorders>
              <w:top w:val="nil"/>
              <w:left w:val="single" w:sz="4" w:space="0" w:color="auto"/>
              <w:bottom w:val="single" w:sz="4" w:space="0" w:color="auto"/>
              <w:right w:val="nil"/>
            </w:tcBorders>
            <w:shd w:val="clear" w:color="auto" w:fill="auto"/>
            <w:noWrap/>
            <w:vAlign w:val="center"/>
            <w:hideMark/>
          </w:tcPr>
          <w:p w14:paraId="6D346EC8" w14:textId="77777777" w:rsidR="00387142" w:rsidRPr="008B6A75" w:rsidRDefault="00387142" w:rsidP="00387142">
            <w:pPr>
              <w:jc w:val="center"/>
              <w:rPr>
                <w:sz w:val="20"/>
                <w:szCs w:val="20"/>
              </w:rPr>
            </w:pPr>
            <w:r w:rsidRPr="008B6A75">
              <w:rPr>
                <w:sz w:val="20"/>
                <w:szCs w:val="20"/>
              </w:rPr>
              <w:t>07.1.00.S3470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F8AF2C2" w14:textId="77777777" w:rsidR="00387142" w:rsidRPr="008B6A75" w:rsidRDefault="00387142" w:rsidP="00387142">
            <w:pPr>
              <w:jc w:val="center"/>
              <w:rPr>
                <w:sz w:val="20"/>
                <w:szCs w:val="20"/>
              </w:rPr>
            </w:pPr>
            <w:r w:rsidRPr="008B6A75">
              <w:rPr>
                <w:sz w:val="20"/>
                <w:szCs w:val="20"/>
              </w:rPr>
              <w:t>240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08FB8F1" w14:textId="77777777" w:rsidR="00387142" w:rsidRPr="008B6A75" w:rsidRDefault="00387142" w:rsidP="00387142">
            <w:pPr>
              <w:jc w:val="right"/>
              <w:rPr>
                <w:sz w:val="20"/>
                <w:szCs w:val="20"/>
              </w:rPr>
            </w:pPr>
            <w:r w:rsidRPr="008B6A75">
              <w:rPr>
                <w:sz w:val="20"/>
                <w:szCs w:val="20"/>
              </w:rPr>
              <w:t>0,00</w:t>
            </w:r>
          </w:p>
        </w:tc>
        <w:tc>
          <w:tcPr>
            <w:tcW w:w="992" w:type="dxa"/>
            <w:tcBorders>
              <w:top w:val="nil"/>
              <w:left w:val="single" w:sz="4" w:space="0" w:color="auto"/>
              <w:bottom w:val="single" w:sz="4" w:space="0" w:color="auto"/>
              <w:right w:val="nil"/>
            </w:tcBorders>
            <w:shd w:val="clear" w:color="auto" w:fill="auto"/>
            <w:vAlign w:val="center"/>
            <w:hideMark/>
          </w:tcPr>
          <w:p w14:paraId="04B6E5CC" w14:textId="77777777" w:rsidR="00387142" w:rsidRPr="008B6A75" w:rsidRDefault="00387142" w:rsidP="00387142">
            <w:pPr>
              <w:jc w:val="right"/>
              <w:rPr>
                <w:sz w:val="20"/>
                <w:szCs w:val="20"/>
              </w:rPr>
            </w:pPr>
            <w:r w:rsidRPr="008B6A75">
              <w:rPr>
                <w:sz w:val="20"/>
                <w:szCs w:val="20"/>
              </w:rPr>
              <w:t>18 650,00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779A7A54" w14:textId="77777777" w:rsidR="00387142" w:rsidRPr="008B6A75" w:rsidRDefault="00387142" w:rsidP="00387142">
            <w:pPr>
              <w:jc w:val="right"/>
              <w:rPr>
                <w:sz w:val="20"/>
                <w:szCs w:val="20"/>
              </w:rPr>
            </w:pPr>
            <w:r w:rsidRPr="008B6A75">
              <w:rPr>
                <w:sz w:val="20"/>
                <w:szCs w:val="20"/>
              </w:rPr>
              <w:t>18 650,00</w:t>
            </w:r>
          </w:p>
        </w:tc>
      </w:tr>
      <w:tr w:rsidR="00387142" w:rsidRPr="008B6A75" w14:paraId="1FB55F98" w14:textId="77777777" w:rsidTr="00387142">
        <w:trPr>
          <w:trHeight w:val="1155"/>
        </w:trPr>
        <w:tc>
          <w:tcPr>
            <w:tcW w:w="3261" w:type="dxa"/>
            <w:tcBorders>
              <w:top w:val="nil"/>
              <w:left w:val="single" w:sz="4" w:space="0" w:color="auto"/>
              <w:bottom w:val="single" w:sz="4" w:space="0" w:color="auto"/>
              <w:right w:val="nil"/>
            </w:tcBorders>
            <w:shd w:val="clear" w:color="auto" w:fill="auto"/>
            <w:vAlign w:val="center"/>
            <w:hideMark/>
          </w:tcPr>
          <w:p w14:paraId="3953152E" w14:textId="77777777" w:rsidR="00387142" w:rsidRPr="008B6A75" w:rsidRDefault="00387142" w:rsidP="00387142">
            <w:pPr>
              <w:rPr>
                <w:bCs/>
                <w:sz w:val="20"/>
                <w:szCs w:val="20"/>
              </w:rPr>
            </w:pPr>
            <w:r w:rsidRPr="008B6A75">
              <w:rPr>
                <w:bCs/>
                <w:sz w:val="20"/>
                <w:szCs w:val="20"/>
              </w:rPr>
              <w:t>Муниципальная программа "Развитие физической культуры и спорта в Куйбышевском районе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14:paraId="436066BE" w14:textId="77777777" w:rsidR="00387142" w:rsidRPr="008B6A75" w:rsidRDefault="00387142" w:rsidP="00387142">
            <w:pPr>
              <w:jc w:val="center"/>
              <w:rPr>
                <w:bCs/>
                <w:sz w:val="20"/>
                <w:szCs w:val="20"/>
              </w:rPr>
            </w:pPr>
            <w:r w:rsidRPr="008B6A75">
              <w:rPr>
                <w:bCs/>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452697A" w14:textId="77777777" w:rsidR="00387142" w:rsidRPr="008B6A75" w:rsidRDefault="00387142" w:rsidP="00387142">
            <w:pPr>
              <w:jc w:val="center"/>
              <w:rPr>
                <w:bCs/>
                <w:sz w:val="20"/>
                <w:szCs w:val="20"/>
              </w:rPr>
            </w:pPr>
            <w:r w:rsidRPr="008B6A75">
              <w:rPr>
                <w:bCs/>
                <w:sz w:val="20"/>
                <w:szCs w:val="20"/>
              </w:rPr>
              <w:t>09</w:t>
            </w:r>
          </w:p>
        </w:tc>
        <w:tc>
          <w:tcPr>
            <w:tcW w:w="1516" w:type="dxa"/>
            <w:tcBorders>
              <w:top w:val="nil"/>
              <w:left w:val="single" w:sz="4" w:space="0" w:color="auto"/>
              <w:bottom w:val="single" w:sz="4" w:space="0" w:color="auto"/>
              <w:right w:val="nil"/>
            </w:tcBorders>
            <w:shd w:val="clear" w:color="auto" w:fill="auto"/>
            <w:noWrap/>
            <w:vAlign w:val="center"/>
            <w:hideMark/>
          </w:tcPr>
          <w:p w14:paraId="48A56116" w14:textId="77777777" w:rsidR="00387142" w:rsidRPr="008B6A75" w:rsidRDefault="00387142" w:rsidP="00387142">
            <w:pPr>
              <w:jc w:val="center"/>
              <w:rPr>
                <w:bCs/>
                <w:sz w:val="20"/>
                <w:szCs w:val="20"/>
              </w:rPr>
            </w:pPr>
            <w:r w:rsidRPr="008B6A75">
              <w:rPr>
                <w:bCs/>
                <w:sz w:val="20"/>
                <w:szCs w:val="20"/>
              </w:rPr>
              <w:t>11.0.00.00000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B8A54D3"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4E4CF3C" w14:textId="77777777" w:rsidR="00387142" w:rsidRPr="008B6A75" w:rsidRDefault="00387142" w:rsidP="00387142">
            <w:pPr>
              <w:jc w:val="right"/>
              <w:rPr>
                <w:bCs/>
                <w:sz w:val="20"/>
                <w:szCs w:val="20"/>
              </w:rPr>
            </w:pPr>
            <w:r w:rsidRPr="008B6A75">
              <w:rPr>
                <w:bCs/>
                <w:sz w:val="20"/>
                <w:szCs w:val="20"/>
              </w:rPr>
              <w:t>0,00</w:t>
            </w:r>
          </w:p>
        </w:tc>
        <w:tc>
          <w:tcPr>
            <w:tcW w:w="992" w:type="dxa"/>
            <w:tcBorders>
              <w:top w:val="nil"/>
              <w:left w:val="single" w:sz="4" w:space="0" w:color="auto"/>
              <w:bottom w:val="single" w:sz="4" w:space="0" w:color="auto"/>
              <w:right w:val="nil"/>
            </w:tcBorders>
            <w:shd w:val="clear" w:color="auto" w:fill="auto"/>
            <w:vAlign w:val="center"/>
            <w:hideMark/>
          </w:tcPr>
          <w:p w14:paraId="68EF0D8E" w14:textId="77777777" w:rsidR="00387142" w:rsidRPr="008B6A75" w:rsidRDefault="00387142" w:rsidP="00387142">
            <w:pPr>
              <w:jc w:val="right"/>
              <w:rPr>
                <w:bCs/>
                <w:sz w:val="20"/>
                <w:szCs w:val="20"/>
              </w:rPr>
            </w:pPr>
            <w:r w:rsidRPr="008B6A75">
              <w:rPr>
                <w:bCs/>
                <w:sz w:val="20"/>
                <w:szCs w:val="20"/>
              </w:rPr>
              <w:t>1 728 500,00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35E7FBD8" w14:textId="77777777" w:rsidR="00387142" w:rsidRPr="008B6A75" w:rsidRDefault="00387142" w:rsidP="00387142">
            <w:pPr>
              <w:jc w:val="right"/>
              <w:rPr>
                <w:bCs/>
                <w:sz w:val="20"/>
                <w:szCs w:val="20"/>
              </w:rPr>
            </w:pPr>
            <w:r w:rsidRPr="008B6A75">
              <w:rPr>
                <w:bCs/>
                <w:sz w:val="20"/>
                <w:szCs w:val="20"/>
              </w:rPr>
              <w:t>0,00</w:t>
            </w:r>
          </w:p>
        </w:tc>
      </w:tr>
      <w:tr w:rsidR="00387142" w:rsidRPr="008B6A75" w14:paraId="743E6948" w14:textId="77777777" w:rsidTr="00387142">
        <w:trPr>
          <w:trHeight w:val="2010"/>
        </w:trPr>
        <w:tc>
          <w:tcPr>
            <w:tcW w:w="3261" w:type="dxa"/>
            <w:tcBorders>
              <w:top w:val="nil"/>
              <w:left w:val="single" w:sz="4" w:space="0" w:color="auto"/>
              <w:bottom w:val="single" w:sz="4" w:space="0" w:color="auto"/>
              <w:right w:val="nil"/>
            </w:tcBorders>
            <w:shd w:val="clear" w:color="auto" w:fill="auto"/>
            <w:vAlign w:val="center"/>
            <w:hideMark/>
          </w:tcPr>
          <w:p w14:paraId="0C2100B2" w14:textId="77777777" w:rsidR="00387142" w:rsidRPr="008B6A75" w:rsidRDefault="00387142" w:rsidP="00387142">
            <w:pPr>
              <w:rPr>
                <w:bCs/>
                <w:sz w:val="20"/>
                <w:szCs w:val="20"/>
              </w:rPr>
            </w:pPr>
            <w:r w:rsidRPr="008B6A75">
              <w:rPr>
                <w:bCs/>
                <w:sz w:val="20"/>
                <w:szCs w:val="20"/>
              </w:rPr>
              <w:t>Реализация мероприятий по созданию в общеобразовательных организациях, расположенных в сельской местности, условий для занятий физической культурой и спортом государственной программы Новосибирской области "Развитие физической культуры и спорта в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14:paraId="69246229" w14:textId="77777777" w:rsidR="00387142" w:rsidRPr="008B6A75" w:rsidRDefault="00387142" w:rsidP="00387142">
            <w:pPr>
              <w:jc w:val="center"/>
              <w:rPr>
                <w:bCs/>
                <w:sz w:val="20"/>
                <w:szCs w:val="20"/>
              </w:rPr>
            </w:pPr>
            <w:r w:rsidRPr="008B6A75">
              <w:rPr>
                <w:bCs/>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3D6B342" w14:textId="77777777" w:rsidR="00387142" w:rsidRPr="008B6A75" w:rsidRDefault="00387142" w:rsidP="00387142">
            <w:pPr>
              <w:jc w:val="center"/>
              <w:rPr>
                <w:bCs/>
                <w:sz w:val="20"/>
                <w:szCs w:val="20"/>
              </w:rPr>
            </w:pPr>
            <w:r w:rsidRPr="008B6A75">
              <w:rPr>
                <w:bCs/>
                <w:sz w:val="20"/>
                <w:szCs w:val="20"/>
              </w:rPr>
              <w:t>09</w:t>
            </w:r>
          </w:p>
        </w:tc>
        <w:tc>
          <w:tcPr>
            <w:tcW w:w="1516" w:type="dxa"/>
            <w:tcBorders>
              <w:top w:val="nil"/>
              <w:left w:val="single" w:sz="4" w:space="0" w:color="auto"/>
              <w:bottom w:val="single" w:sz="4" w:space="0" w:color="auto"/>
              <w:right w:val="nil"/>
            </w:tcBorders>
            <w:shd w:val="clear" w:color="auto" w:fill="auto"/>
            <w:noWrap/>
            <w:vAlign w:val="center"/>
            <w:hideMark/>
          </w:tcPr>
          <w:p w14:paraId="4EA7C830" w14:textId="77777777" w:rsidR="00387142" w:rsidRPr="008B6A75" w:rsidRDefault="00387142" w:rsidP="00387142">
            <w:pPr>
              <w:jc w:val="center"/>
              <w:rPr>
                <w:bCs/>
                <w:sz w:val="20"/>
                <w:szCs w:val="20"/>
              </w:rPr>
            </w:pPr>
            <w:r w:rsidRPr="008B6A75">
              <w:rPr>
                <w:bCs/>
                <w:sz w:val="20"/>
                <w:szCs w:val="20"/>
              </w:rPr>
              <w:t>11.0.E2.00000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5B7B1C8"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32BFF0D" w14:textId="77777777" w:rsidR="00387142" w:rsidRPr="008B6A75" w:rsidRDefault="00387142" w:rsidP="00387142">
            <w:pPr>
              <w:jc w:val="right"/>
              <w:rPr>
                <w:bCs/>
                <w:sz w:val="20"/>
                <w:szCs w:val="20"/>
              </w:rPr>
            </w:pPr>
            <w:r w:rsidRPr="008B6A75">
              <w:rPr>
                <w:bCs/>
                <w:sz w:val="20"/>
                <w:szCs w:val="20"/>
              </w:rPr>
              <w:t>0,00</w:t>
            </w:r>
          </w:p>
        </w:tc>
        <w:tc>
          <w:tcPr>
            <w:tcW w:w="992" w:type="dxa"/>
            <w:tcBorders>
              <w:top w:val="nil"/>
              <w:left w:val="single" w:sz="4" w:space="0" w:color="auto"/>
              <w:bottom w:val="single" w:sz="4" w:space="0" w:color="auto"/>
              <w:right w:val="nil"/>
            </w:tcBorders>
            <w:shd w:val="clear" w:color="auto" w:fill="auto"/>
            <w:vAlign w:val="center"/>
            <w:hideMark/>
          </w:tcPr>
          <w:p w14:paraId="09E474CF" w14:textId="77777777" w:rsidR="00387142" w:rsidRPr="008B6A75" w:rsidRDefault="00387142" w:rsidP="00387142">
            <w:pPr>
              <w:jc w:val="right"/>
              <w:rPr>
                <w:bCs/>
                <w:sz w:val="20"/>
                <w:szCs w:val="20"/>
              </w:rPr>
            </w:pPr>
            <w:r w:rsidRPr="008B6A75">
              <w:rPr>
                <w:bCs/>
                <w:sz w:val="20"/>
                <w:szCs w:val="20"/>
              </w:rPr>
              <w:t>1 728 500,00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1C61EFEF" w14:textId="77777777" w:rsidR="00387142" w:rsidRPr="008B6A75" w:rsidRDefault="00387142" w:rsidP="00387142">
            <w:pPr>
              <w:jc w:val="right"/>
              <w:rPr>
                <w:bCs/>
                <w:sz w:val="20"/>
                <w:szCs w:val="20"/>
              </w:rPr>
            </w:pPr>
            <w:r w:rsidRPr="008B6A75">
              <w:rPr>
                <w:bCs/>
                <w:sz w:val="20"/>
                <w:szCs w:val="20"/>
              </w:rPr>
              <w:t>0,00</w:t>
            </w:r>
          </w:p>
        </w:tc>
      </w:tr>
      <w:tr w:rsidR="00387142" w:rsidRPr="008B6A75" w14:paraId="118FE0DE" w14:textId="77777777" w:rsidTr="00387142">
        <w:trPr>
          <w:trHeight w:val="2010"/>
        </w:trPr>
        <w:tc>
          <w:tcPr>
            <w:tcW w:w="3261" w:type="dxa"/>
            <w:tcBorders>
              <w:top w:val="nil"/>
              <w:left w:val="single" w:sz="4" w:space="0" w:color="auto"/>
              <w:bottom w:val="single" w:sz="4" w:space="0" w:color="auto"/>
              <w:right w:val="nil"/>
            </w:tcBorders>
            <w:shd w:val="clear" w:color="auto" w:fill="auto"/>
            <w:vAlign w:val="center"/>
            <w:hideMark/>
          </w:tcPr>
          <w:p w14:paraId="1959D79C" w14:textId="77777777" w:rsidR="00387142" w:rsidRPr="008B6A75" w:rsidRDefault="00387142" w:rsidP="00387142">
            <w:pPr>
              <w:rPr>
                <w:bCs/>
                <w:sz w:val="20"/>
                <w:szCs w:val="20"/>
              </w:rPr>
            </w:pPr>
            <w:r w:rsidRPr="008B6A75">
              <w:rPr>
                <w:bCs/>
                <w:sz w:val="20"/>
                <w:szCs w:val="20"/>
              </w:rPr>
              <w:t>Реализация мероприятий по созданию в общеобразовательных организациях, расположенных в сельской местности, условий для занятий физической культурой и спортом государственной программы Новосибирской области "Развитие физической культуры и спорта в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14:paraId="26B1373E" w14:textId="77777777" w:rsidR="00387142" w:rsidRPr="008B6A75" w:rsidRDefault="00387142" w:rsidP="00387142">
            <w:pPr>
              <w:jc w:val="center"/>
              <w:rPr>
                <w:bCs/>
                <w:sz w:val="20"/>
                <w:szCs w:val="20"/>
              </w:rPr>
            </w:pPr>
            <w:r w:rsidRPr="008B6A75">
              <w:rPr>
                <w:bCs/>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7A10882" w14:textId="77777777" w:rsidR="00387142" w:rsidRPr="008B6A75" w:rsidRDefault="00387142" w:rsidP="00387142">
            <w:pPr>
              <w:jc w:val="center"/>
              <w:rPr>
                <w:bCs/>
                <w:sz w:val="20"/>
                <w:szCs w:val="20"/>
              </w:rPr>
            </w:pPr>
            <w:r w:rsidRPr="008B6A75">
              <w:rPr>
                <w:bCs/>
                <w:sz w:val="20"/>
                <w:szCs w:val="20"/>
              </w:rPr>
              <w:t>09</w:t>
            </w:r>
          </w:p>
        </w:tc>
        <w:tc>
          <w:tcPr>
            <w:tcW w:w="1516" w:type="dxa"/>
            <w:tcBorders>
              <w:top w:val="nil"/>
              <w:left w:val="single" w:sz="4" w:space="0" w:color="auto"/>
              <w:bottom w:val="single" w:sz="4" w:space="0" w:color="auto"/>
              <w:right w:val="nil"/>
            </w:tcBorders>
            <w:shd w:val="clear" w:color="auto" w:fill="auto"/>
            <w:noWrap/>
            <w:vAlign w:val="center"/>
            <w:hideMark/>
          </w:tcPr>
          <w:p w14:paraId="77D04BE6" w14:textId="77777777" w:rsidR="00387142" w:rsidRPr="008B6A75" w:rsidRDefault="00387142" w:rsidP="00387142">
            <w:pPr>
              <w:jc w:val="center"/>
              <w:rPr>
                <w:bCs/>
                <w:sz w:val="20"/>
                <w:szCs w:val="20"/>
              </w:rPr>
            </w:pPr>
            <w:r w:rsidRPr="008B6A75">
              <w:rPr>
                <w:bCs/>
                <w:sz w:val="20"/>
                <w:szCs w:val="20"/>
              </w:rPr>
              <w:t>11.0.E2.50970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CFCAD52"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491D284" w14:textId="77777777" w:rsidR="00387142" w:rsidRPr="008B6A75" w:rsidRDefault="00387142" w:rsidP="00387142">
            <w:pPr>
              <w:jc w:val="right"/>
              <w:rPr>
                <w:bCs/>
                <w:sz w:val="20"/>
                <w:szCs w:val="20"/>
              </w:rPr>
            </w:pPr>
            <w:r w:rsidRPr="008B6A75">
              <w:rPr>
                <w:bCs/>
                <w:sz w:val="20"/>
                <w:szCs w:val="20"/>
              </w:rPr>
              <w:t>0,00</w:t>
            </w:r>
          </w:p>
        </w:tc>
        <w:tc>
          <w:tcPr>
            <w:tcW w:w="992" w:type="dxa"/>
            <w:tcBorders>
              <w:top w:val="nil"/>
              <w:left w:val="single" w:sz="4" w:space="0" w:color="auto"/>
              <w:bottom w:val="single" w:sz="4" w:space="0" w:color="auto"/>
              <w:right w:val="nil"/>
            </w:tcBorders>
            <w:shd w:val="clear" w:color="auto" w:fill="auto"/>
            <w:vAlign w:val="center"/>
            <w:hideMark/>
          </w:tcPr>
          <w:p w14:paraId="794606D7" w14:textId="77777777" w:rsidR="00387142" w:rsidRPr="008B6A75" w:rsidRDefault="00387142" w:rsidP="00387142">
            <w:pPr>
              <w:jc w:val="right"/>
              <w:rPr>
                <w:bCs/>
                <w:sz w:val="20"/>
                <w:szCs w:val="20"/>
              </w:rPr>
            </w:pPr>
            <w:r w:rsidRPr="008B6A75">
              <w:rPr>
                <w:bCs/>
                <w:sz w:val="20"/>
                <w:szCs w:val="20"/>
              </w:rPr>
              <w:t>1 728 500,00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0E814DBC" w14:textId="77777777" w:rsidR="00387142" w:rsidRPr="008B6A75" w:rsidRDefault="00387142" w:rsidP="00387142">
            <w:pPr>
              <w:jc w:val="right"/>
              <w:rPr>
                <w:bCs/>
                <w:sz w:val="20"/>
                <w:szCs w:val="20"/>
              </w:rPr>
            </w:pPr>
            <w:r w:rsidRPr="008B6A75">
              <w:rPr>
                <w:bCs/>
                <w:sz w:val="20"/>
                <w:szCs w:val="20"/>
              </w:rPr>
              <w:t>0,00</w:t>
            </w:r>
          </w:p>
        </w:tc>
      </w:tr>
      <w:tr w:rsidR="00387142" w:rsidRPr="008B6A75" w14:paraId="45CD00C6" w14:textId="77777777" w:rsidTr="00387142">
        <w:trPr>
          <w:trHeight w:val="585"/>
        </w:trPr>
        <w:tc>
          <w:tcPr>
            <w:tcW w:w="3261" w:type="dxa"/>
            <w:tcBorders>
              <w:top w:val="nil"/>
              <w:left w:val="single" w:sz="4" w:space="0" w:color="auto"/>
              <w:bottom w:val="single" w:sz="4" w:space="0" w:color="auto"/>
              <w:right w:val="nil"/>
            </w:tcBorders>
            <w:shd w:val="clear" w:color="auto" w:fill="auto"/>
            <w:vAlign w:val="center"/>
            <w:hideMark/>
          </w:tcPr>
          <w:p w14:paraId="57B267A2" w14:textId="77777777" w:rsidR="00387142" w:rsidRPr="008B6A75" w:rsidRDefault="00387142" w:rsidP="00387142">
            <w:pPr>
              <w:rPr>
                <w:sz w:val="20"/>
                <w:szCs w:val="20"/>
              </w:rPr>
            </w:pPr>
            <w:r w:rsidRPr="008B6A75">
              <w:rPr>
                <w:sz w:val="20"/>
                <w:szCs w:val="20"/>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723E9A86" w14:textId="77777777" w:rsidR="00387142" w:rsidRPr="008B6A75" w:rsidRDefault="00387142" w:rsidP="00387142">
            <w:pPr>
              <w:jc w:val="center"/>
              <w:rPr>
                <w:sz w:val="20"/>
                <w:szCs w:val="20"/>
              </w:rPr>
            </w:pPr>
            <w:r w:rsidRPr="008B6A75">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6BAFD5D" w14:textId="77777777" w:rsidR="00387142" w:rsidRPr="008B6A75" w:rsidRDefault="00387142" w:rsidP="00387142">
            <w:pPr>
              <w:jc w:val="center"/>
              <w:rPr>
                <w:sz w:val="20"/>
                <w:szCs w:val="20"/>
              </w:rPr>
            </w:pPr>
            <w:r w:rsidRPr="008B6A75">
              <w:rPr>
                <w:sz w:val="20"/>
                <w:szCs w:val="20"/>
              </w:rPr>
              <w:t>09</w:t>
            </w:r>
          </w:p>
        </w:tc>
        <w:tc>
          <w:tcPr>
            <w:tcW w:w="1516" w:type="dxa"/>
            <w:tcBorders>
              <w:top w:val="nil"/>
              <w:left w:val="single" w:sz="4" w:space="0" w:color="auto"/>
              <w:bottom w:val="single" w:sz="4" w:space="0" w:color="auto"/>
              <w:right w:val="nil"/>
            </w:tcBorders>
            <w:shd w:val="clear" w:color="auto" w:fill="auto"/>
            <w:noWrap/>
            <w:vAlign w:val="center"/>
            <w:hideMark/>
          </w:tcPr>
          <w:p w14:paraId="2E96CE33" w14:textId="77777777" w:rsidR="00387142" w:rsidRPr="008B6A75" w:rsidRDefault="00387142" w:rsidP="00387142">
            <w:pPr>
              <w:jc w:val="center"/>
              <w:rPr>
                <w:sz w:val="20"/>
                <w:szCs w:val="20"/>
              </w:rPr>
            </w:pPr>
            <w:r w:rsidRPr="008B6A75">
              <w:rPr>
                <w:sz w:val="20"/>
                <w:szCs w:val="20"/>
              </w:rPr>
              <w:t>11.0.E2.50970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A714634" w14:textId="77777777" w:rsidR="00387142" w:rsidRPr="008B6A75" w:rsidRDefault="00387142" w:rsidP="00387142">
            <w:pPr>
              <w:jc w:val="center"/>
              <w:rPr>
                <w:sz w:val="20"/>
                <w:szCs w:val="20"/>
              </w:rPr>
            </w:pPr>
            <w:r w:rsidRPr="008B6A75">
              <w:rPr>
                <w:sz w:val="20"/>
                <w:szCs w:val="20"/>
              </w:rPr>
              <w:t>200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69F2444" w14:textId="77777777" w:rsidR="00387142" w:rsidRPr="008B6A75" w:rsidRDefault="00387142" w:rsidP="00387142">
            <w:pPr>
              <w:jc w:val="right"/>
              <w:rPr>
                <w:sz w:val="20"/>
                <w:szCs w:val="20"/>
              </w:rPr>
            </w:pPr>
            <w:r w:rsidRPr="008B6A75">
              <w:rPr>
                <w:sz w:val="20"/>
                <w:szCs w:val="20"/>
              </w:rPr>
              <w:t>0,00</w:t>
            </w:r>
          </w:p>
        </w:tc>
        <w:tc>
          <w:tcPr>
            <w:tcW w:w="992" w:type="dxa"/>
            <w:tcBorders>
              <w:top w:val="nil"/>
              <w:left w:val="single" w:sz="4" w:space="0" w:color="auto"/>
              <w:bottom w:val="single" w:sz="4" w:space="0" w:color="auto"/>
              <w:right w:val="nil"/>
            </w:tcBorders>
            <w:shd w:val="clear" w:color="auto" w:fill="auto"/>
            <w:vAlign w:val="center"/>
            <w:hideMark/>
          </w:tcPr>
          <w:p w14:paraId="723F0357" w14:textId="77777777" w:rsidR="00387142" w:rsidRPr="008B6A75" w:rsidRDefault="00387142" w:rsidP="00387142">
            <w:pPr>
              <w:jc w:val="right"/>
              <w:rPr>
                <w:sz w:val="20"/>
                <w:szCs w:val="20"/>
              </w:rPr>
            </w:pPr>
            <w:r w:rsidRPr="008B6A75">
              <w:rPr>
                <w:sz w:val="20"/>
                <w:szCs w:val="20"/>
              </w:rPr>
              <w:t>1 728 500,00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76701B1C" w14:textId="77777777" w:rsidR="00387142" w:rsidRPr="008B6A75" w:rsidRDefault="00387142" w:rsidP="00387142">
            <w:pPr>
              <w:jc w:val="right"/>
              <w:rPr>
                <w:sz w:val="20"/>
                <w:szCs w:val="20"/>
              </w:rPr>
            </w:pPr>
            <w:r w:rsidRPr="008B6A75">
              <w:rPr>
                <w:sz w:val="20"/>
                <w:szCs w:val="20"/>
              </w:rPr>
              <w:t>0,00</w:t>
            </w:r>
          </w:p>
        </w:tc>
      </w:tr>
      <w:tr w:rsidR="00387142" w:rsidRPr="008B6A75" w14:paraId="350DC574" w14:textId="77777777" w:rsidTr="00387142">
        <w:trPr>
          <w:trHeight w:val="870"/>
        </w:trPr>
        <w:tc>
          <w:tcPr>
            <w:tcW w:w="3261" w:type="dxa"/>
            <w:tcBorders>
              <w:top w:val="nil"/>
              <w:left w:val="single" w:sz="4" w:space="0" w:color="auto"/>
              <w:bottom w:val="single" w:sz="4" w:space="0" w:color="auto"/>
              <w:right w:val="nil"/>
            </w:tcBorders>
            <w:shd w:val="clear" w:color="auto" w:fill="auto"/>
            <w:vAlign w:val="center"/>
            <w:hideMark/>
          </w:tcPr>
          <w:p w14:paraId="64A392A8" w14:textId="77777777" w:rsidR="00387142" w:rsidRPr="008B6A75" w:rsidRDefault="00387142" w:rsidP="00387142">
            <w:pPr>
              <w:rPr>
                <w:sz w:val="20"/>
                <w:szCs w:val="20"/>
              </w:rPr>
            </w:pPr>
            <w:r w:rsidRPr="008B6A75">
              <w:rPr>
                <w:sz w:val="20"/>
                <w:szCs w:val="20"/>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723E11FE" w14:textId="77777777" w:rsidR="00387142" w:rsidRPr="008B6A75" w:rsidRDefault="00387142" w:rsidP="00387142">
            <w:pPr>
              <w:jc w:val="center"/>
              <w:rPr>
                <w:sz w:val="20"/>
                <w:szCs w:val="20"/>
              </w:rPr>
            </w:pPr>
            <w:r w:rsidRPr="008B6A75">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2452ABE" w14:textId="77777777" w:rsidR="00387142" w:rsidRPr="008B6A75" w:rsidRDefault="00387142" w:rsidP="00387142">
            <w:pPr>
              <w:jc w:val="center"/>
              <w:rPr>
                <w:sz w:val="20"/>
                <w:szCs w:val="20"/>
              </w:rPr>
            </w:pPr>
            <w:r w:rsidRPr="008B6A75">
              <w:rPr>
                <w:sz w:val="20"/>
                <w:szCs w:val="20"/>
              </w:rPr>
              <w:t>09</w:t>
            </w:r>
          </w:p>
        </w:tc>
        <w:tc>
          <w:tcPr>
            <w:tcW w:w="1516" w:type="dxa"/>
            <w:tcBorders>
              <w:top w:val="nil"/>
              <w:left w:val="single" w:sz="4" w:space="0" w:color="auto"/>
              <w:bottom w:val="single" w:sz="4" w:space="0" w:color="auto"/>
              <w:right w:val="nil"/>
            </w:tcBorders>
            <w:shd w:val="clear" w:color="auto" w:fill="auto"/>
            <w:noWrap/>
            <w:vAlign w:val="center"/>
            <w:hideMark/>
          </w:tcPr>
          <w:p w14:paraId="4285A366" w14:textId="77777777" w:rsidR="00387142" w:rsidRPr="008B6A75" w:rsidRDefault="00387142" w:rsidP="00387142">
            <w:pPr>
              <w:jc w:val="center"/>
              <w:rPr>
                <w:sz w:val="20"/>
                <w:szCs w:val="20"/>
              </w:rPr>
            </w:pPr>
            <w:r w:rsidRPr="008B6A75">
              <w:rPr>
                <w:sz w:val="20"/>
                <w:szCs w:val="20"/>
              </w:rPr>
              <w:t>11.0.E2.50970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BDA5ADF" w14:textId="77777777" w:rsidR="00387142" w:rsidRPr="008B6A75" w:rsidRDefault="00387142" w:rsidP="00387142">
            <w:pPr>
              <w:jc w:val="center"/>
              <w:rPr>
                <w:sz w:val="20"/>
                <w:szCs w:val="20"/>
              </w:rPr>
            </w:pPr>
            <w:r w:rsidRPr="008B6A75">
              <w:rPr>
                <w:sz w:val="20"/>
                <w:szCs w:val="20"/>
              </w:rPr>
              <w:t>240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2DCD62F" w14:textId="77777777" w:rsidR="00387142" w:rsidRPr="008B6A75" w:rsidRDefault="00387142" w:rsidP="00387142">
            <w:pPr>
              <w:jc w:val="right"/>
              <w:rPr>
                <w:sz w:val="20"/>
                <w:szCs w:val="20"/>
              </w:rPr>
            </w:pPr>
            <w:r w:rsidRPr="008B6A75">
              <w:rPr>
                <w:sz w:val="20"/>
                <w:szCs w:val="20"/>
              </w:rPr>
              <w:t>0,00</w:t>
            </w:r>
          </w:p>
        </w:tc>
        <w:tc>
          <w:tcPr>
            <w:tcW w:w="992" w:type="dxa"/>
            <w:tcBorders>
              <w:top w:val="nil"/>
              <w:left w:val="single" w:sz="4" w:space="0" w:color="auto"/>
              <w:bottom w:val="single" w:sz="4" w:space="0" w:color="auto"/>
              <w:right w:val="nil"/>
            </w:tcBorders>
            <w:shd w:val="clear" w:color="auto" w:fill="auto"/>
            <w:vAlign w:val="center"/>
            <w:hideMark/>
          </w:tcPr>
          <w:p w14:paraId="0D119342" w14:textId="77777777" w:rsidR="00387142" w:rsidRPr="008B6A75" w:rsidRDefault="00387142" w:rsidP="00387142">
            <w:pPr>
              <w:jc w:val="right"/>
              <w:rPr>
                <w:sz w:val="20"/>
                <w:szCs w:val="20"/>
              </w:rPr>
            </w:pPr>
            <w:r w:rsidRPr="008B6A75">
              <w:rPr>
                <w:sz w:val="20"/>
                <w:szCs w:val="20"/>
              </w:rPr>
              <w:t>1 728 500,00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764AF7B5" w14:textId="77777777" w:rsidR="00387142" w:rsidRPr="008B6A75" w:rsidRDefault="00387142" w:rsidP="00387142">
            <w:pPr>
              <w:jc w:val="right"/>
              <w:rPr>
                <w:sz w:val="20"/>
                <w:szCs w:val="20"/>
              </w:rPr>
            </w:pPr>
            <w:r w:rsidRPr="008B6A75">
              <w:rPr>
                <w:sz w:val="20"/>
                <w:szCs w:val="20"/>
              </w:rPr>
              <w:t>0,00</w:t>
            </w:r>
          </w:p>
        </w:tc>
      </w:tr>
      <w:tr w:rsidR="00387142" w:rsidRPr="008B6A75" w14:paraId="4D2BA8E9" w14:textId="77777777" w:rsidTr="00387142">
        <w:trPr>
          <w:trHeight w:val="345"/>
        </w:trPr>
        <w:tc>
          <w:tcPr>
            <w:tcW w:w="3261" w:type="dxa"/>
            <w:tcBorders>
              <w:top w:val="nil"/>
              <w:left w:val="single" w:sz="4" w:space="0" w:color="auto"/>
              <w:bottom w:val="single" w:sz="4" w:space="0" w:color="auto"/>
              <w:right w:val="nil"/>
            </w:tcBorders>
            <w:shd w:val="clear" w:color="auto" w:fill="auto"/>
            <w:vAlign w:val="center"/>
            <w:hideMark/>
          </w:tcPr>
          <w:p w14:paraId="6C5CBFCA" w14:textId="77777777" w:rsidR="00387142" w:rsidRPr="008B6A75" w:rsidRDefault="00387142" w:rsidP="00387142">
            <w:pPr>
              <w:rPr>
                <w:bCs/>
                <w:sz w:val="20"/>
                <w:szCs w:val="20"/>
              </w:rPr>
            </w:pPr>
            <w:r w:rsidRPr="008B6A75">
              <w:rPr>
                <w:bCs/>
                <w:sz w:val="20"/>
                <w:szCs w:val="20"/>
              </w:rPr>
              <w:t>Непрограммные направления бюджета</w:t>
            </w:r>
          </w:p>
        </w:tc>
        <w:tc>
          <w:tcPr>
            <w:tcW w:w="720" w:type="dxa"/>
            <w:tcBorders>
              <w:top w:val="nil"/>
              <w:left w:val="single" w:sz="4" w:space="0" w:color="auto"/>
              <w:bottom w:val="single" w:sz="4" w:space="0" w:color="auto"/>
              <w:right w:val="nil"/>
            </w:tcBorders>
            <w:shd w:val="clear" w:color="auto" w:fill="auto"/>
            <w:noWrap/>
            <w:vAlign w:val="center"/>
            <w:hideMark/>
          </w:tcPr>
          <w:p w14:paraId="3D36A19E" w14:textId="77777777" w:rsidR="00387142" w:rsidRPr="008B6A75" w:rsidRDefault="00387142" w:rsidP="00387142">
            <w:pPr>
              <w:jc w:val="center"/>
              <w:rPr>
                <w:bCs/>
                <w:sz w:val="20"/>
                <w:szCs w:val="20"/>
              </w:rPr>
            </w:pPr>
            <w:r w:rsidRPr="008B6A75">
              <w:rPr>
                <w:bCs/>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3E30057" w14:textId="77777777" w:rsidR="00387142" w:rsidRPr="008B6A75" w:rsidRDefault="00387142" w:rsidP="00387142">
            <w:pPr>
              <w:jc w:val="center"/>
              <w:rPr>
                <w:bCs/>
                <w:sz w:val="20"/>
                <w:szCs w:val="20"/>
              </w:rPr>
            </w:pPr>
            <w:r w:rsidRPr="008B6A75">
              <w:rPr>
                <w:bCs/>
                <w:sz w:val="20"/>
                <w:szCs w:val="20"/>
              </w:rPr>
              <w:t>09</w:t>
            </w:r>
          </w:p>
        </w:tc>
        <w:tc>
          <w:tcPr>
            <w:tcW w:w="1516" w:type="dxa"/>
            <w:tcBorders>
              <w:top w:val="nil"/>
              <w:left w:val="single" w:sz="4" w:space="0" w:color="auto"/>
              <w:bottom w:val="single" w:sz="4" w:space="0" w:color="auto"/>
              <w:right w:val="nil"/>
            </w:tcBorders>
            <w:shd w:val="clear" w:color="auto" w:fill="auto"/>
            <w:noWrap/>
            <w:vAlign w:val="center"/>
            <w:hideMark/>
          </w:tcPr>
          <w:p w14:paraId="6690F08E" w14:textId="77777777" w:rsidR="00387142" w:rsidRPr="008B6A75" w:rsidRDefault="00387142" w:rsidP="00387142">
            <w:pPr>
              <w:jc w:val="center"/>
              <w:rPr>
                <w:bCs/>
                <w:sz w:val="20"/>
                <w:szCs w:val="20"/>
              </w:rPr>
            </w:pPr>
            <w:r w:rsidRPr="008B6A75">
              <w:rPr>
                <w:bCs/>
                <w:sz w:val="20"/>
                <w:szCs w:val="20"/>
              </w:rPr>
              <w:t>99.0.00.00000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169679A"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3B86DFE" w14:textId="77777777" w:rsidR="00387142" w:rsidRPr="008B6A75" w:rsidRDefault="00387142" w:rsidP="00387142">
            <w:pPr>
              <w:jc w:val="right"/>
              <w:rPr>
                <w:bCs/>
                <w:sz w:val="20"/>
                <w:szCs w:val="20"/>
              </w:rPr>
            </w:pPr>
            <w:r w:rsidRPr="008B6A75">
              <w:rPr>
                <w:bCs/>
                <w:sz w:val="20"/>
                <w:szCs w:val="20"/>
              </w:rPr>
              <w:t>3 000 000,00</w:t>
            </w:r>
          </w:p>
        </w:tc>
        <w:tc>
          <w:tcPr>
            <w:tcW w:w="992" w:type="dxa"/>
            <w:tcBorders>
              <w:top w:val="nil"/>
              <w:left w:val="single" w:sz="4" w:space="0" w:color="auto"/>
              <w:bottom w:val="single" w:sz="4" w:space="0" w:color="auto"/>
              <w:right w:val="nil"/>
            </w:tcBorders>
            <w:shd w:val="clear" w:color="auto" w:fill="auto"/>
            <w:vAlign w:val="center"/>
            <w:hideMark/>
          </w:tcPr>
          <w:p w14:paraId="75606417" w14:textId="77777777" w:rsidR="00387142" w:rsidRPr="008B6A75" w:rsidRDefault="00387142" w:rsidP="00387142">
            <w:pPr>
              <w:jc w:val="right"/>
              <w:rPr>
                <w:bCs/>
                <w:sz w:val="20"/>
                <w:szCs w:val="20"/>
              </w:rPr>
            </w:pPr>
            <w:r w:rsidRPr="008B6A75">
              <w:rPr>
                <w:bCs/>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0DECB6C0" w14:textId="77777777" w:rsidR="00387142" w:rsidRPr="008B6A75" w:rsidRDefault="00387142" w:rsidP="00387142">
            <w:pPr>
              <w:jc w:val="right"/>
              <w:rPr>
                <w:bCs/>
                <w:sz w:val="20"/>
                <w:szCs w:val="20"/>
              </w:rPr>
            </w:pPr>
            <w:r w:rsidRPr="008B6A75">
              <w:rPr>
                <w:bCs/>
                <w:sz w:val="20"/>
                <w:szCs w:val="20"/>
              </w:rPr>
              <w:t>0,00</w:t>
            </w:r>
          </w:p>
        </w:tc>
      </w:tr>
      <w:tr w:rsidR="00387142" w:rsidRPr="008B6A75" w14:paraId="21D01C32" w14:textId="77777777" w:rsidTr="00387142">
        <w:trPr>
          <w:trHeight w:val="585"/>
        </w:trPr>
        <w:tc>
          <w:tcPr>
            <w:tcW w:w="3261" w:type="dxa"/>
            <w:tcBorders>
              <w:top w:val="nil"/>
              <w:left w:val="single" w:sz="4" w:space="0" w:color="auto"/>
              <w:bottom w:val="single" w:sz="4" w:space="0" w:color="auto"/>
              <w:right w:val="nil"/>
            </w:tcBorders>
            <w:shd w:val="clear" w:color="auto" w:fill="auto"/>
            <w:vAlign w:val="center"/>
            <w:hideMark/>
          </w:tcPr>
          <w:p w14:paraId="1EFBBF39" w14:textId="77777777" w:rsidR="00387142" w:rsidRPr="008B6A75" w:rsidRDefault="00387142" w:rsidP="00387142">
            <w:pPr>
              <w:rPr>
                <w:bCs/>
                <w:sz w:val="20"/>
                <w:szCs w:val="20"/>
              </w:rPr>
            </w:pPr>
            <w:r w:rsidRPr="008B6A75">
              <w:rPr>
                <w:bCs/>
                <w:sz w:val="20"/>
                <w:szCs w:val="20"/>
              </w:rPr>
              <w:t xml:space="preserve">Расходы на предоставление субсидии автономным учреждениям </w:t>
            </w:r>
          </w:p>
        </w:tc>
        <w:tc>
          <w:tcPr>
            <w:tcW w:w="720" w:type="dxa"/>
            <w:tcBorders>
              <w:top w:val="nil"/>
              <w:left w:val="single" w:sz="4" w:space="0" w:color="auto"/>
              <w:bottom w:val="single" w:sz="4" w:space="0" w:color="auto"/>
              <w:right w:val="nil"/>
            </w:tcBorders>
            <w:shd w:val="clear" w:color="auto" w:fill="auto"/>
            <w:noWrap/>
            <w:vAlign w:val="center"/>
            <w:hideMark/>
          </w:tcPr>
          <w:p w14:paraId="3AE3B99C" w14:textId="77777777" w:rsidR="00387142" w:rsidRPr="008B6A75" w:rsidRDefault="00387142" w:rsidP="00387142">
            <w:pPr>
              <w:jc w:val="center"/>
              <w:rPr>
                <w:bCs/>
                <w:sz w:val="20"/>
                <w:szCs w:val="20"/>
              </w:rPr>
            </w:pPr>
            <w:r w:rsidRPr="008B6A75">
              <w:rPr>
                <w:bCs/>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D546F96" w14:textId="77777777" w:rsidR="00387142" w:rsidRPr="008B6A75" w:rsidRDefault="00387142" w:rsidP="00387142">
            <w:pPr>
              <w:jc w:val="center"/>
              <w:rPr>
                <w:bCs/>
                <w:sz w:val="20"/>
                <w:szCs w:val="20"/>
              </w:rPr>
            </w:pPr>
            <w:r w:rsidRPr="008B6A75">
              <w:rPr>
                <w:bCs/>
                <w:sz w:val="20"/>
                <w:szCs w:val="20"/>
              </w:rPr>
              <w:t>09</w:t>
            </w:r>
          </w:p>
        </w:tc>
        <w:tc>
          <w:tcPr>
            <w:tcW w:w="1516" w:type="dxa"/>
            <w:tcBorders>
              <w:top w:val="nil"/>
              <w:left w:val="single" w:sz="4" w:space="0" w:color="auto"/>
              <w:bottom w:val="single" w:sz="4" w:space="0" w:color="auto"/>
              <w:right w:val="nil"/>
            </w:tcBorders>
            <w:shd w:val="clear" w:color="auto" w:fill="auto"/>
            <w:noWrap/>
            <w:vAlign w:val="center"/>
            <w:hideMark/>
          </w:tcPr>
          <w:p w14:paraId="3B49A622" w14:textId="77777777" w:rsidR="00387142" w:rsidRPr="008B6A75" w:rsidRDefault="00387142" w:rsidP="00387142">
            <w:pPr>
              <w:jc w:val="center"/>
              <w:rPr>
                <w:bCs/>
                <w:sz w:val="20"/>
                <w:szCs w:val="20"/>
              </w:rPr>
            </w:pPr>
            <w:r w:rsidRPr="008B6A75">
              <w:rPr>
                <w:bCs/>
                <w:sz w:val="20"/>
                <w:szCs w:val="20"/>
              </w:rPr>
              <w:t>99.0.00.07710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3773B9F"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037115C" w14:textId="77777777" w:rsidR="00387142" w:rsidRPr="008B6A75" w:rsidRDefault="00387142" w:rsidP="00387142">
            <w:pPr>
              <w:jc w:val="right"/>
              <w:rPr>
                <w:bCs/>
                <w:sz w:val="20"/>
                <w:szCs w:val="20"/>
              </w:rPr>
            </w:pPr>
            <w:r w:rsidRPr="008B6A75">
              <w:rPr>
                <w:bCs/>
                <w:sz w:val="20"/>
                <w:szCs w:val="20"/>
              </w:rPr>
              <w:t>3 000 000,00</w:t>
            </w:r>
          </w:p>
        </w:tc>
        <w:tc>
          <w:tcPr>
            <w:tcW w:w="992" w:type="dxa"/>
            <w:tcBorders>
              <w:top w:val="nil"/>
              <w:left w:val="single" w:sz="4" w:space="0" w:color="auto"/>
              <w:bottom w:val="single" w:sz="4" w:space="0" w:color="auto"/>
              <w:right w:val="nil"/>
            </w:tcBorders>
            <w:shd w:val="clear" w:color="auto" w:fill="auto"/>
            <w:vAlign w:val="center"/>
            <w:hideMark/>
          </w:tcPr>
          <w:p w14:paraId="3BA1E504" w14:textId="77777777" w:rsidR="00387142" w:rsidRPr="008B6A75" w:rsidRDefault="00387142" w:rsidP="00387142">
            <w:pPr>
              <w:jc w:val="right"/>
              <w:rPr>
                <w:bCs/>
                <w:sz w:val="20"/>
                <w:szCs w:val="20"/>
              </w:rPr>
            </w:pPr>
            <w:r w:rsidRPr="008B6A75">
              <w:rPr>
                <w:bCs/>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4CDBA830" w14:textId="77777777" w:rsidR="00387142" w:rsidRPr="008B6A75" w:rsidRDefault="00387142" w:rsidP="00387142">
            <w:pPr>
              <w:jc w:val="right"/>
              <w:rPr>
                <w:bCs/>
                <w:sz w:val="20"/>
                <w:szCs w:val="20"/>
              </w:rPr>
            </w:pPr>
            <w:r w:rsidRPr="008B6A75">
              <w:rPr>
                <w:bCs/>
                <w:sz w:val="20"/>
                <w:szCs w:val="20"/>
              </w:rPr>
              <w:t>0,00</w:t>
            </w:r>
          </w:p>
        </w:tc>
      </w:tr>
      <w:tr w:rsidR="00387142" w:rsidRPr="008B6A75" w14:paraId="7FA2F2EA" w14:textId="77777777" w:rsidTr="00387142">
        <w:trPr>
          <w:trHeight w:val="870"/>
        </w:trPr>
        <w:tc>
          <w:tcPr>
            <w:tcW w:w="3261" w:type="dxa"/>
            <w:tcBorders>
              <w:top w:val="nil"/>
              <w:left w:val="single" w:sz="4" w:space="0" w:color="auto"/>
              <w:bottom w:val="single" w:sz="4" w:space="0" w:color="auto"/>
              <w:right w:val="nil"/>
            </w:tcBorders>
            <w:shd w:val="clear" w:color="auto" w:fill="auto"/>
            <w:vAlign w:val="center"/>
            <w:hideMark/>
          </w:tcPr>
          <w:p w14:paraId="47D66D13" w14:textId="77777777" w:rsidR="00387142" w:rsidRPr="008B6A75" w:rsidRDefault="00387142" w:rsidP="00387142">
            <w:pPr>
              <w:rPr>
                <w:sz w:val="20"/>
                <w:szCs w:val="20"/>
              </w:rPr>
            </w:pPr>
            <w:r w:rsidRPr="008B6A75">
              <w:rPr>
                <w:sz w:val="20"/>
                <w:szCs w:val="20"/>
              </w:rPr>
              <w:t>Предоставление субсидий бюджетным, автономным учреждениям и иным некоммерческим организациям</w:t>
            </w:r>
          </w:p>
        </w:tc>
        <w:tc>
          <w:tcPr>
            <w:tcW w:w="720" w:type="dxa"/>
            <w:tcBorders>
              <w:top w:val="nil"/>
              <w:left w:val="single" w:sz="4" w:space="0" w:color="auto"/>
              <w:bottom w:val="single" w:sz="4" w:space="0" w:color="auto"/>
              <w:right w:val="nil"/>
            </w:tcBorders>
            <w:shd w:val="clear" w:color="auto" w:fill="auto"/>
            <w:noWrap/>
            <w:vAlign w:val="center"/>
            <w:hideMark/>
          </w:tcPr>
          <w:p w14:paraId="0823539D" w14:textId="77777777" w:rsidR="00387142" w:rsidRPr="008B6A75" w:rsidRDefault="00387142" w:rsidP="00387142">
            <w:pPr>
              <w:jc w:val="center"/>
              <w:rPr>
                <w:sz w:val="20"/>
                <w:szCs w:val="20"/>
              </w:rPr>
            </w:pPr>
            <w:r w:rsidRPr="008B6A75">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E4B5C1E" w14:textId="77777777" w:rsidR="00387142" w:rsidRPr="008B6A75" w:rsidRDefault="00387142" w:rsidP="00387142">
            <w:pPr>
              <w:jc w:val="center"/>
              <w:rPr>
                <w:sz w:val="20"/>
                <w:szCs w:val="20"/>
              </w:rPr>
            </w:pPr>
            <w:r w:rsidRPr="008B6A75">
              <w:rPr>
                <w:sz w:val="20"/>
                <w:szCs w:val="20"/>
              </w:rPr>
              <w:t>09</w:t>
            </w:r>
          </w:p>
        </w:tc>
        <w:tc>
          <w:tcPr>
            <w:tcW w:w="1516" w:type="dxa"/>
            <w:tcBorders>
              <w:top w:val="nil"/>
              <w:left w:val="single" w:sz="4" w:space="0" w:color="auto"/>
              <w:bottom w:val="single" w:sz="4" w:space="0" w:color="auto"/>
              <w:right w:val="nil"/>
            </w:tcBorders>
            <w:shd w:val="clear" w:color="auto" w:fill="auto"/>
            <w:noWrap/>
            <w:vAlign w:val="center"/>
            <w:hideMark/>
          </w:tcPr>
          <w:p w14:paraId="3C19B993" w14:textId="77777777" w:rsidR="00387142" w:rsidRPr="008B6A75" w:rsidRDefault="00387142" w:rsidP="00387142">
            <w:pPr>
              <w:jc w:val="center"/>
              <w:rPr>
                <w:sz w:val="20"/>
                <w:szCs w:val="20"/>
              </w:rPr>
            </w:pPr>
            <w:r w:rsidRPr="008B6A75">
              <w:rPr>
                <w:sz w:val="20"/>
                <w:szCs w:val="20"/>
              </w:rPr>
              <w:t>99.0.00.07710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1F10B9A" w14:textId="77777777" w:rsidR="00387142" w:rsidRPr="008B6A75" w:rsidRDefault="00387142" w:rsidP="00387142">
            <w:pPr>
              <w:jc w:val="center"/>
              <w:rPr>
                <w:sz w:val="20"/>
                <w:szCs w:val="20"/>
              </w:rPr>
            </w:pPr>
            <w:r w:rsidRPr="008B6A75">
              <w:rPr>
                <w:sz w:val="20"/>
                <w:szCs w:val="20"/>
              </w:rPr>
              <w:t>600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756EC8F" w14:textId="77777777" w:rsidR="00387142" w:rsidRPr="008B6A75" w:rsidRDefault="00387142" w:rsidP="00387142">
            <w:pPr>
              <w:jc w:val="right"/>
              <w:rPr>
                <w:sz w:val="20"/>
                <w:szCs w:val="20"/>
              </w:rPr>
            </w:pPr>
            <w:r w:rsidRPr="008B6A75">
              <w:rPr>
                <w:sz w:val="20"/>
                <w:szCs w:val="20"/>
              </w:rPr>
              <w:t>3 000 000,00</w:t>
            </w:r>
          </w:p>
        </w:tc>
        <w:tc>
          <w:tcPr>
            <w:tcW w:w="992" w:type="dxa"/>
            <w:tcBorders>
              <w:top w:val="nil"/>
              <w:left w:val="single" w:sz="4" w:space="0" w:color="auto"/>
              <w:bottom w:val="single" w:sz="4" w:space="0" w:color="auto"/>
              <w:right w:val="nil"/>
            </w:tcBorders>
            <w:shd w:val="clear" w:color="auto" w:fill="auto"/>
            <w:vAlign w:val="center"/>
            <w:hideMark/>
          </w:tcPr>
          <w:p w14:paraId="3CBE0D14" w14:textId="77777777" w:rsidR="00387142" w:rsidRPr="008B6A75" w:rsidRDefault="00387142" w:rsidP="00387142">
            <w:pPr>
              <w:jc w:val="right"/>
              <w:rPr>
                <w:sz w:val="20"/>
                <w:szCs w:val="20"/>
              </w:rPr>
            </w:pPr>
            <w:r w:rsidRPr="008B6A75">
              <w:rPr>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62089E04" w14:textId="77777777" w:rsidR="00387142" w:rsidRPr="008B6A75" w:rsidRDefault="00387142" w:rsidP="00387142">
            <w:pPr>
              <w:jc w:val="right"/>
              <w:rPr>
                <w:sz w:val="20"/>
                <w:szCs w:val="20"/>
              </w:rPr>
            </w:pPr>
            <w:r w:rsidRPr="008B6A75">
              <w:rPr>
                <w:sz w:val="20"/>
                <w:szCs w:val="20"/>
              </w:rPr>
              <w:t>0,00</w:t>
            </w:r>
          </w:p>
        </w:tc>
      </w:tr>
      <w:tr w:rsidR="00387142" w:rsidRPr="008B6A75" w14:paraId="1AC320E4" w14:textId="77777777" w:rsidTr="00387142">
        <w:trPr>
          <w:trHeight w:val="345"/>
        </w:trPr>
        <w:tc>
          <w:tcPr>
            <w:tcW w:w="3261" w:type="dxa"/>
            <w:tcBorders>
              <w:top w:val="nil"/>
              <w:left w:val="single" w:sz="4" w:space="0" w:color="auto"/>
              <w:bottom w:val="single" w:sz="4" w:space="0" w:color="auto"/>
              <w:right w:val="nil"/>
            </w:tcBorders>
            <w:shd w:val="clear" w:color="auto" w:fill="auto"/>
            <w:vAlign w:val="center"/>
            <w:hideMark/>
          </w:tcPr>
          <w:p w14:paraId="294DF7B1" w14:textId="77777777" w:rsidR="00387142" w:rsidRPr="008B6A75" w:rsidRDefault="00387142" w:rsidP="00387142">
            <w:pPr>
              <w:rPr>
                <w:sz w:val="20"/>
                <w:szCs w:val="20"/>
              </w:rPr>
            </w:pPr>
            <w:r w:rsidRPr="008B6A75">
              <w:rPr>
                <w:sz w:val="20"/>
                <w:szCs w:val="20"/>
              </w:rPr>
              <w:lastRenderedPageBreak/>
              <w:t>Субсидии автономным учреждениям</w:t>
            </w:r>
          </w:p>
        </w:tc>
        <w:tc>
          <w:tcPr>
            <w:tcW w:w="720" w:type="dxa"/>
            <w:tcBorders>
              <w:top w:val="nil"/>
              <w:left w:val="single" w:sz="4" w:space="0" w:color="auto"/>
              <w:bottom w:val="single" w:sz="4" w:space="0" w:color="auto"/>
              <w:right w:val="nil"/>
            </w:tcBorders>
            <w:shd w:val="clear" w:color="auto" w:fill="auto"/>
            <w:noWrap/>
            <w:vAlign w:val="center"/>
            <w:hideMark/>
          </w:tcPr>
          <w:p w14:paraId="2F23FE5E" w14:textId="77777777" w:rsidR="00387142" w:rsidRPr="008B6A75" w:rsidRDefault="00387142" w:rsidP="00387142">
            <w:pPr>
              <w:jc w:val="center"/>
              <w:rPr>
                <w:sz w:val="20"/>
                <w:szCs w:val="20"/>
              </w:rPr>
            </w:pPr>
            <w:r w:rsidRPr="008B6A75">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2E2376A" w14:textId="77777777" w:rsidR="00387142" w:rsidRPr="008B6A75" w:rsidRDefault="00387142" w:rsidP="00387142">
            <w:pPr>
              <w:jc w:val="center"/>
              <w:rPr>
                <w:sz w:val="20"/>
                <w:szCs w:val="20"/>
              </w:rPr>
            </w:pPr>
            <w:r w:rsidRPr="008B6A75">
              <w:rPr>
                <w:sz w:val="20"/>
                <w:szCs w:val="20"/>
              </w:rPr>
              <w:t>09</w:t>
            </w:r>
          </w:p>
        </w:tc>
        <w:tc>
          <w:tcPr>
            <w:tcW w:w="1516" w:type="dxa"/>
            <w:tcBorders>
              <w:top w:val="nil"/>
              <w:left w:val="single" w:sz="4" w:space="0" w:color="auto"/>
              <w:bottom w:val="single" w:sz="4" w:space="0" w:color="auto"/>
              <w:right w:val="nil"/>
            </w:tcBorders>
            <w:shd w:val="clear" w:color="auto" w:fill="auto"/>
            <w:noWrap/>
            <w:vAlign w:val="center"/>
            <w:hideMark/>
          </w:tcPr>
          <w:p w14:paraId="0B749A21" w14:textId="77777777" w:rsidR="00387142" w:rsidRPr="008B6A75" w:rsidRDefault="00387142" w:rsidP="00387142">
            <w:pPr>
              <w:jc w:val="center"/>
              <w:rPr>
                <w:sz w:val="20"/>
                <w:szCs w:val="20"/>
              </w:rPr>
            </w:pPr>
            <w:r w:rsidRPr="008B6A75">
              <w:rPr>
                <w:sz w:val="20"/>
                <w:szCs w:val="20"/>
              </w:rPr>
              <w:t>99.0.00.07710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3499572" w14:textId="77777777" w:rsidR="00387142" w:rsidRPr="008B6A75" w:rsidRDefault="00387142" w:rsidP="00387142">
            <w:pPr>
              <w:jc w:val="center"/>
              <w:rPr>
                <w:sz w:val="20"/>
                <w:szCs w:val="20"/>
              </w:rPr>
            </w:pPr>
            <w:r w:rsidRPr="008B6A75">
              <w:rPr>
                <w:sz w:val="20"/>
                <w:szCs w:val="20"/>
              </w:rPr>
              <w:t>620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8F6E566" w14:textId="77777777" w:rsidR="00387142" w:rsidRPr="008B6A75" w:rsidRDefault="00387142" w:rsidP="00387142">
            <w:pPr>
              <w:jc w:val="right"/>
              <w:rPr>
                <w:sz w:val="20"/>
                <w:szCs w:val="20"/>
              </w:rPr>
            </w:pPr>
            <w:r w:rsidRPr="008B6A75">
              <w:rPr>
                <w:sz w:val="20"/>
                <w:szCs w:val="20"/>
              </w:rPr>
              <w:t>3 000 000,00</w:t>
            </w:r>
          </w:p>
        </w:tc>
        <w:tc>
          <w:tcPr>
            <w:tcW w:w="992" w:type="dxa"/>
            <w:tcBorders>
              <w:top w:val="nil"/>
              <w:left w:val="single" w:sz="4" w:space="0" w:color="auto"/>
              <w:bottom w:val="single" w:sz="4" w:space="0" w:color="auto"/>
              <w:right w:val="nil"/>
            </w:tcBorders>
            <w:shd w:val="clear" w:color="auto" w:fill="auto"/>
            <w:vAlign w:val="center"/>
            <w:hideMark/>
          </w:tcPr>
          <w:p w14:paraId="02CB2943" w14:textId="77777777" w:rsidR="00387142" w:rsidRPr="008B6A75" w:rsidRDefault="00387142" w:rsidP="00387142">
            <w:pPr>
              <w:jc w:val="right"/>
              <w:rPr>
                <w:sz w:val="20"/>
                <w:szCs w:val="20"/>
              </w:rPr>
            </w:pPr>
            <w:r w:rsidRPr="008B6A75">
              <w:rPr>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46FAB373" w14:textId="77777777" w:rsidR="00387142" w:rsidRPr="008B6A75" w:rsidRDefault="00387142" w:rsidP="00387142">
            <w:pPr>
              <w:jc w:val="right"/>
              <w:rPr>
                <w:sz w:val="20"/>
                <w:szCs w:val="20"/>
              </w:rPr>
            </w:pPr>
            <w:r w:rsidRPr="008B6A75">
              <w:rPr>
                <w:sz w:val="20"/>
                <w:szCs w:val="20"/>
              </w:rPr>
              <w:t>0,00</w:t>
            </w:r>
          </w:p>
        </w:tc>
      </w:tr>
      <w:tr w:rsidR="00387142" w:rsidRPr="008B6A75" w14:paraId="2B0338DC" w14:textId="77777777" w:rsidTr="00387142">
        <w:trPr>
          <w:trHeight w:val="345"/>
        </w:trPr>
        <w:tc>
          <w:tcPr>
            <w:tcW w:w="3261" w:type="dxa"/>
            <w:tcBorders>
              <w:top w:val="nil"/>
              <w:left w:val="single" w:sz="4" w:space="0" w:color="auto"/>
              <w:bottom w:val="single" w:sz="4" w:space="0" w:color="auto"/>
              <w:right w:val="nil"/>
            </w:tcBorders>
            <w:shd w:val="clear" w:color="auto" w:fill="auto"/>
            <w:vAlign w:val="center"/>
            <w:hideMark/>
          </w:tcPr>
          <w:p w14:paraId="4AD19AB4" w14:textId="77777777" w:rsidR="00387142" w:rsidRPr="008B6A75" w:rsidRDefault="00387142" w:rsidP="00387142">
            <w:pPr>
              <w:rPr>
                <w:bCs/>
                <w:sz w:val="20"/>
                <w:szCs w:val="20"/>
              </w:rPr>
            </w:pPr>
            <w:r w:rsidRPr="008B6A75">
              <w:rPr>
                <w:bCs/>
                <w:sz w:val="20"/>
                <w:szCs w:val="20"/>
              </w:rPr>
              <w:t>КУЛЬТУРА, КИНЕМАТОГРАФИЯ</w:t>
            </w:r>
          </w:p>
        </w:tc>
        <w:tc>
          <w:tcPr>
            <w:tcW w:w="720" w:type="dxa"/>
            <w:tcBorders>
              <w:top w:val="nil"/>
              <w:left w:val="single" w:sz="4" w:space="0" w:color="auto"/>
              <w:bottom w:val="single" w:sz="4" w:space="0" w:color="auto"/>
              <w:right w:val="nil"/>
            </w:tcBorders>
            <w:shd w:val="clear" w:color="auto" w:fill="auto"/>
            <w:noWrap/>
            <w:vAlign w:val="center"/>
            <w:hideMark/>
          </w:tcPr>
          <w:p w14:paraId="6628B6FE" w14:textId="77777777" w:rsidR="00387142" w:rsidRPr="008B6A75" w:rsidRDefault="00387142" w:rsidP="00387142">
            <w:pPr>
              <w:jc w:val="center"/>
              <w:rPr>
                <w:bCs/>
                <w:sz w:val="20"/>
                <w:szCs w:val="20"/>
              </w:rPr>
            </w:pPr>
            <w:r w:rsidRPr="008B6A75">
              <w:rPr>
                <w:bCs/>
                <w:sz w:val="20"/>
                <w:szCs w:val="20"/>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30112AD" w14:textId="77777777" w:rsidR="00387142" w:rsidRPr="008B6A75" w:rsidRDefault="00387142" w:rsidP="00387142">
            <w:pPr>
              <w:jc w:val="center"/>
              <w:rPr>
                <w:bCs/>
                <w:sz w:val="20"/>
                <w:szCs w:val="20"/>
              </w:rPr>
            </w:pPr>
            <w:r w:rsidRPr="008B6A75">
              <w:rPr>
                <w:bCs/>
                <w:sz w:val="20"/>
                <w:szCs w:val="20"/>
              </w:rPr>
              <w:t> </w:t>
            </w:r>
          </w:p>
        </w:tc>
        <w:tc>
          <w:tcPr>
            <w:tcW w:w="1516" w:type="dxa"/>
            <w:tcBorders>
              <w:top w:val="nil"/>
              <w:left w:val="single" w:sz="4" w:space="0" w:color="auto"/>
              <w:bottom w:val="single" w:sz="4" w:space="0" w:color="auto"/>
              <w:right w:val="nil"/>
            </w:tcBorders>
            <w:shd w:val="clear" w:color="auto" w:fill="auto"/>
            <w:noWrap/>
            <w:vAlign w:val="center"/>
            <w:hideMark/>
          </w:tcPr>
          <w:p w14:paraId="1B365FFA" w14:textId="77777777" w:rsidR="00387142" w:rsidRPr="008B6A75" w:rsidRDefault="00387142" w:rsidP="00387142">
            <w:pPr>
              <w:jc w:val="center"/>
              <w:rPr>
                <w:bCs/>
                <w:sz w:val="20"/>
                <w:szCs w:val="20"/>
              </w:rPr>
            </w:pPr>
            <w:r w:rsidRPr="008B6A75">
              <w:rPr>
                <w:bCs/>
                <w:sz w:val="20"/>
                <w:szCs w:val="20"/>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00CA73B"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07838C2" w14:textId="77777777" w:rsidR="00387142" w:rsidRPr="008B6A75" w:rsidRDefault="00387142" w:rsidP="00387142">
            <w:pPr>
              <w:jc w:val="right"/>
              <w:rPr>
                <w:bCs/>
                <w:sz w:val="20"/>
                <w:szCs w:val="20"/>
              </w:rPr>
            </w:pPr>
            <w:r w:rsidRPr="008B6A75">
              <w:rPr>
                <w:bCs/>
                <w:sz w:val="20"/>
                <w:szCs w:val="20"/>
              </w:rPr>
              <w:t>130 259 973,59</w:t>
            </w:r>
          </w:p>
        </w:tc>
        <w:tc>
          <w:tcPr>
            <w:tcW w:w="992" w:type="dxa"/>
            <w:tcBorders>
              <w:top w:val="nil"/>
              <w:left w:val="single" w:sz="4" w:space="0" w:color="auto"/>
              <w:bottom w:val="single" w:sz="4" w:space="0" w:color="auto"/>
              <w:right w:val="nil"/>
            </w:tcBorders>
            <w:shd w:val="clear" w:color="auto" w:fill="auto"/>
            <w:vAlign w:val="center"/>
            <w:hideMark/>
          </w:tcPr>
          <w:p w14:paraId="2F263867" w14:textId="77777777" w:rsidR="00387142" w:rsidRPr="008B6A75" w:rsidRDefault="00387142" w:rsidP="00387142">
            <w:pPr>
              <w:jc w:val="right"/>
              <w:rPr>
                <w:bCs/>
                <w:sz w:val="20"/>
                <w:szCs w:val="20"/>
              </w:rPr>
            </w:pPr>
            <w:r w:rsidRPr="008B6A75">
              <w:rPr>
                <w:bCs/>
                <w:sz w:val="20"/>
                <w:szCs w:val="20"/>
              </w:rPr>
              <w:t>50 317 100,00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684E9DA9" w14:textId="77777777" w:rsidR="00387142" w:rsidRPr="008B6A75" w:rsidRDefault="00387142" w:rsidP="00387142">
            <w:pPr>
              <w:jc w:val="right"/>
              <w:rPr>
                <w:bCs/>
                <w:sz w:val="20"/>
                <w:szCs w:val="20"/>
              </w:rPr>
            </w:pPr>
            <w:r w:rsidRPr="008B6A75">
              <w:rPr>
                <w:bCs/>
                <w:sz w:val="20"/>
                <w:szCs w:val="20"/>
              </w:rPr>
              <w:t>50 969 900,00</w:t>
            </w:r>
          </w:p>
        </w:tc>
      </w:tr>
      <w:tr w:rsidR="00387142" w:rsidRPr="008B6A75" w14:paraId="5ED0B4D0" w14:textId="77777777" w:rsidTr="00387142">
        <w:trPr>
          <w:trHeight w:val="345"/>
        </w:trPr>
        <w:tc>
          <w:tcPr>
            <w:tcW w:w="3261" w:type="dxa"/>
            <w:tcBorders>
              <w:top w:val="nil"/>
              <w:left w:val="single" w:sz="4" w:space="0" w:color="auto"/>
              <w:bottom w:val="single" w:sz="4" w:space="0" w:color="auto"/>
              <w:right w:val="nil"/>
            </w:tcBorders>
            <w:shd w:val="clear" w:color="auto" w:fill="auto"/>
            <w:vAlign w:val="center"/>
            <w:hideMark/>
          </w:tcPr>
          <w:p w14:paraId="35A908F1" w14:textId="77777777" w:rsidR="00387142" w:rsidRPr="008B6A75" w:rsidRDefault="00387142" w:rsidP="00387142">
            <w:pPr>
              <w:rPr>
                <w:bCs/>
                <w:sz w:val="20"/>
                <w:szCs w:val="20"/>
              </w:rPr>
            </w:pPr>
            <w:r w:rsidRPr="008B6A75">
              <w:rPr>
                <w:bCs/>
                <w:sz w:val="20"/>
                <w:szCs w:val="20"/>
              </w:rPr>
              <w:t>Культура</w:t>
            </w:r>
          </w:p>
        </w:tc>
        <w:tc>
          <w:tcPr>
            <w:tcW w:w="720" w:type="dxa"/>
            <w:tcBorders>
              <w:top w:val="nil"/>
              <w:left w:val="single" w:sz="4" w:space="0" w:color="auto"/>
              <w:bottom w:val="single" w:sz="4" w:space="0" w:color="auto"/>
              <w:right w:val="nil"/>
            </w:tcBorders>
            <w:shd w:val="clear" w:color="auto" w:fill="auto"/>
            <w:noWrap/>
            <w:vAlign w:val="center"/>
            <w:hideMark/>
          </w:tcPr>
          <w:p w14:paraId="30C8E828" w14:textId="77777777" w:rsidR="00387142" w:rsidRPr="008B6A75" w:rsidRDefault="00387142" w:rsidP="00387142">
            <w:pPr>
              <w:jc w:val="center"/>
              <w:rPr>
                <w:bCs/>
                <w:sz w:val="20"/>
                <w:szCs w:val="20"/>
              </w:rPr>
            </w:pPr>
            <w:r w:rsidRPr="008B6A75">
              <w:rPr>
                <w:bCs/>
                <w:sz w:val="20"/>
                <w:szCs w:val="20"/>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67F21DF" w14:textId="77777777" w:rsidR="00387142" w:rsidRPr="008B6A75" w:rsidRDefault="00387142" w:rsidP="00387142">
            <w:pPr>
              <w:jc w:val="center"/>
              <w:rPr>
                <w:bCs/>
                <w:sz w:val="20"/>
                <w:szCs w:val="20"/>
              </w:rPr>
            </w:pPr>
            <w:r w:rsidRPr="008B6A75">
              <w:rPr>
                <w:bCs/>
                <w:sz w:val="20"/>
                <w:szCs w:val="20"/>
              </w:rPr>
              <w:t>01</w:t>
            </w:r>
          </w:p>
        </w:tc>
        <w:tc>
          <w:tcPr>
            <w:tcW w:w="1516" w:type="dxa"/>
            <w:tcBorders>
              <w:top w:val="nil"/>
              <w:left w:val="single" w:sz="4" w:space="0" w:color="auto"/>
              <w:bottom w:val="single" w:sz="4" w:space="0" w:color="auto"/>
              <w:right w:val="nil"/>
            </w:tcBorders>
            <w:shd w:val="clear" w:color="auto" w:fill="auto"/>
            <w:noWrap/>
            <w:vAlign w:val="center"/>
            <w:hideMark/>
          </w:tcPr>
          <w:p w14:paraId="76432B98" w14:textId="77777777" w:rsidR="00387142" w:rsidRPr="008B6A75" w:rsidRDefault="00387142" w:rsidP="00387142">
            <w:pPr>
              <w:jc w:val="center"/>
              <w:rPr>
                <w:bCs/>
                <w:sz w:val="20"/>
                <w:szCs w:val="20"/>
              </w:rPr>
            </w:pPr>
            <w:r w:rsidRPr="008B6A75">
              <w:rPr>
                <w:bCs/>
                <w:sz w:val="20"/>
                <w:szCs w:val="20"/>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9EC6048"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C365996" w14:textId="77777777" w:rsidR="00387142" w:rsidRPr="008B6A75" w:rsidRDefault="00387142" w:rsidP="00387142">
            <w:pPr>
              <w:jc w:val="right"/>
              <w:rPr>
                <w:bCs/>
                <w:sz w:val="20"/>
                <w:szCs w:val="20"/>
              </w:rPr>
            </w:pPr>
            <w:r w:rsidRPr="008B6A75">
              <w:rPr>
                <w:bCs/>
                <w:sz w:val="20"/>
                <w:szCs w:val="20"/>
              </w:rPr>
              <w:t>130 259 973,59</w:t>
            </w:r>
          </w:p>
        </w:tc>
        <w:tc>
          <w:tcPr>
            <w:tcW w:w="992" w:type="dxa"/>
            <w:tcBorders>
              <w:top w:val="nil"/>
              <w:left w:val="single" w:sz="4" w:space="0" w:color="auto"/>
              <w:bottom w:val="single" w:sz="4" w:space="0" w:color="auto"/>
              <w:right w:val="nil"/>
            </w:tcBorders>
            <w:shd w:val="clear" w:color="auto" w:fill="auto"/>
            <w:vAlign w:val="center"/>
            <w:hideMark/>
          </w:tcPr>
          <w:p w14:paraId="5C17A881" w14:textId="77777777" w:rsidR="00387142" w:rsidRPr="008B6A75" w:rsidRDefault="00387142" w:rsidP="00387142">
            <w:pPr>
              <w:jc w:val="right"/>
              <w:rPr>
                <w:bCs/>
                <w:sz w:val="20"/>
                <w:szCs w:val="20"/>
              </w:rPr>
            </w:pPr>
            <w:r w:rsidRPr="008B6A75">
              <w:rPr>
                <w:bCs/>
                <w:sz w:val="20"/>
                <w:szCs w:val="20"/>
              </w:rPr>
              <w:t>50 317 100,00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12A854FA" w14:textId="77777777" w:rsidR="00387142" w:rsidRPr="008B6A75" w:rsidRDefault="00387142" w:rsidP="00387142">
            <w:pPr>
              <w:jc w:val="right"/>
              <w:rPr>
                <w:bCs/>
                <w:sz w:val="20"/>
                <w:szCs w:val="20"/>
              </w:rPr>
            </w:pPr>
            <w:r w:rsidRPr="008B6A75">
              <w:rPr>
                <w:bCs/>
                <w:sz w:val="20"/>
                <w:szCs w:val="20"/>
              </w:rPr>
              <w:t>50 969 900,00</w:t>
            </w:r>
          </w:p>
        </w:tc>
      </w:tr>
      <w:tr w:rsidR="00387142" w:rsidRPr="008B6A75" w14:paraId="3379ED05" w14:textId="77777777" w:rsidTr="00387142">
        <w:trPr>
          <w:trHeight w:val="585"/>
        </w:trPr>
        <w:tc>
          <w:tcPr>
            <w:tcW w:w="3261" w:type="dxa"/>
            <w:tcBorders>
              <w:top w:val="nil"/>
              <w:left w:val="single" w:sz="4" w:space="0" w:color="auto"/>
              <w:bottom w:val="single" w:sz="4" w:space="0" w:color="auto"/>
              <w:right w:val="nil"/>
            </w:tcBorders>
            <w:shd w:val="clear" w:color="auto" w:fill="auto"/>
            <w:vAlign w:val="center"/>
            <w:hideMark/>
          </w:tcPr>
          <w:p w14:paraId="07B58009" w14:textId="77777777" w:rsidR="00387142" w:rsidRPr="008B6A75" w:rsidRDefault="00387142" w:rsidP="00387142">
            <w:pPr>
              <w:rPr>
                <w:bCs/>
                <w:sz w:val="20"/>
                <w:szCs w:val="20"/>
              </w:rPr>
            </w:pPr>
            <w:r w:rsidRPr="008B6A75">
              <w:rPr>
                <w:bCs/>
                <w:sz w:val="20"/>
                <w:szCs w:val="20"/>
              </w:rPr>
              <w:t>Муниципальная программа "Развитие туризма в Куйбышевском районе"</w:t>
            </w:r>
          </w:p>
        </w:tc>
        <w:tc>
          <w:tcPr>
            <w:tcW w:w="720" w:type="dxa"/>
            <w:tcBorders>
              <w:top w:val="nil"/>
              <w:left w:val="single" w:sz="4" w:space="0" w:color="auto"/>
              <w:bottom w:val="single" w:sz="4" w:space="0" w:color="auto"/>
              <w:right w:val="nil"/>
            </w:tcBorders>
            <w:shd w:val="clear" w:color="auto" w:fill="auto"/>
            <w:noWrap/>
            <w:vAlign w:val="center"/>
            <w:hideMark/>
          </w:tcPr>
          <w:p w14:paraId="58FD7F08" w14:textId="77777777" w:rsidR="00387142" w:rsidRPr="008B6A75" w:rsidRDefault="00387142" w:rsidP="00387142">
            <w:pPr>
              <w:jc w:val="center"/>
              <w:rPr>
                <w:bCs/>
                <w:sz w:val="20"/>
                <w:szCs w:val="20"/>
              </w:rPr>
            </w:pPr>
            <w:r w:rsidRPr="008B6A75">
              <w:rPr>
                <w:bCs/>
                <w:sz w:val="20"/>
                <w:szCs w:val="20"/>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FFF44BA" w14:textId="77777777" w:rsidR="00387142" w:rsidRPr="008B6A75" w:rsidRDefault="00387142" w:rsidP="00387142">
            <w:pPr>
              <w:jc w:val="center"/>
              <w:rPr>
                <w:bCs/>
                <w:sz w:val="20"/>
                <w:szCs w:val="20"/>
              </w:rPr>
            </w:pPr>
            <w:r w:rsidRPr="008B6A75">
              <w:rPr>
                <w:bCs/>
                <w:sz w:val="20"/>
                <w:szCs w:val="20"/>
              </w:rPr>
              <w:t>01</w:t>
            </w:r>
          </w:p>
        </w:tc>
        <w:tc>
          <w:tcPr>
            <w:tcW w:w="1516" w:type="dxa"/>
            <w:tcBorders>
              <w:top w:val="nil"/>
              <w:left w:val="single" w:sz="4" w:space="0" w:color="auto"/>
              <w:bottom w:val="single" w:sz="4" w:space="0" w:color="auto"/>
              <w:right w:val="nil"/>
            </w:tcBorders>
            <w:shd w:val="clear" w:color="auto" w:fill="auto"/>
            <w:noWrap/>
            <w:vAlign w:val="center"/>
            <w:hideMark/>
          </w:tcPr>
          <w:p w14:paraId="4EFC5FD9" w14:textId="77777777" w:rsidR="00387142" w:rsidRPr="008B6A75" w:rsidRDefault="00387142" w:rsidP="00387142">
            <w:pPr>
              <w:jc w:val="center"/>
              <w:rPr>
                <w:bCs/>
                <w:sz w:val="20"/>
                <w:szCs w:val="20"/>
              </w:rPr>
            </w:pPr>
            <w:r w:rsidRPr="008B6A75">
              <w:rPr>
                <w:bCs/>
                <w:sz w:val="20"/>
                <w:szCs w:val="20"/>
              </w:rPr>
              <w:t>05.0.00.00000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2F5DE39"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D5B1B1A" w14:textId="77777777" w:rsidR="00387142" w:rsidRPr="008B6A75" w:rsidRDefault="00387142" w:rsidP="00387142">
            <w:pPr>
              <w:jc w:val="right"/>
              <w:rPr>
                <w:bCs/>
                <w:sz w:val="20"/>
                <w:szCs w:val="20"/>
              </w:rPr>
            </w:pPr>
            <w:r w:rsidRPr="008B6A75">
              <w:rPr>
                <w:bCs/>
                <w:sz w:val="20"/>
                <w:szCs w:val="20"/>
              </w:rPr>
              <w:t>600 000,00</w:t>
            </w:r>
          </w:p>
        </w:tc>
        <w:tc>
          <w:tcPr>
            <w:tcW w:w="992" w:type="dxa"/>
            <w:tcBorders>
              <w:top w:val="nil"/>
              <w:left w:val="single" w:sz="4" w:space="0" w:color="auto"/>
              <w:bottom w:val="single" w:sz="4" w:space="0" w:color="auto"/>
              <w:right w:val="nil"/>
            </w:tcBorders>
            <w:shd w:val="clear" w:color="auto" w:fill="auto"/>
            <w:vAlign w:val="center"/>
            <w:hideMark/>
          </w:tcPr>
          <w:p w14:paraId="5B2BB1F3" w14:textId="77777777" w:rsidR="00387142" w:rsidRPr="008B6A75" w:rsidRDefault="00387142" w:rsidP="00387142">
            <w:pPr>
              <w:jc w:val="right"/>
              <w:rPr>
                <w:bCs/>
                <w:sz w:val="20"/>
                <w:szCs w:val="20"/>
              </w:rPr>
            </w:pPr>
            <w:r w:rsidRPr="008B6A75">
              <w:rPr>
                <w:bCs/>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36569AB5" w14:textId="77777777" w:rsidR="00387142" w:rsidRPr="008B6A75" w:rsidRDefault="00387142" w:rsidP="00387142">
            <w:pPr>
              <w:jc w:val="right"/>
              <w:rPr>
                <w:bCs/>
                <w:sz w:val="20"/>
                <w:szCs w:val="20"/>
              </w:rPr>
            </w:pPr>
            <w:r w:rsidRPr="008B6A75">
              <w:rPr>
                <w:bCs/>
                <w:sz w:val="20"/>
                <w:szCs w:val="20"/>
              </w:rPr>
              <w:t>0,00</w:t>
            </w:r>
          </w:p>
        </w:tc>
      </w:tr>
      <w:tr w:rsidR="00387142" w:rsidRPr="008B6A75" w14:paraId="0760CAEE" w14:textId="77777777" w:rsidTr="00387142">
        <w:trPr>
          <w:trHeight w:val="585"/>
        </w:trPr>
        <w:tc>
          <w:tcPr>
            <w:tcW w:w="3261" w:type="dxa"/>
            <w:tcBorders>
              <w:top w:val="nil"/>
              <w:left w:val="single" w:sz="4" w:space="0" w:color="auto"/>
              <w:bottom w:val="single" w:sz="4" w:space="0" w:color="auto"/>
              <w:right w:val="nil"/>
            </w:tcBorders>
            <w:shd w:val="clear" w:color="auto" w:fill="auto"/>
            <w:vAlign w:val="center"/>
            <w:hideMark/>
          </w:tcPr>
          <w:p w14:paraId="6786956E" w14:textId="77777777" w:rsidR="00387142" w:rsidRPr="008B6A75" w:rsidRDefault="00387142" w:rsidP="00387142">
            <w:pPr>
              <w:rPr>
                <w:bCs/>
                <w:sz w:val="20"/>
                <w:szCs w:val="20"/>
              </w:rPr>
            </w:pPr>
            <w:r w:rsidRPr="008B6A75">
              <w:rPr>
                <w:bCs/>
                <w:sz w:val="20"/>
                <w:szCs w:val="20"/>
              </w:rPr>
              <w:t>Мероприятия в рамках МП "Развитие туризма в Куйбышевском районе"</w:t>
            </w:r>
          </w:p>
        </w:tc>
        <w:tc>
          <w:tcPr>
            <w:tcW w:w="720" w:type="dxa"/>
            <w:tcBorders>
              <w:top w:val="nil"/>
              <w:left w:val="single" w:sz="4" w:space="0" w:color="auto"/>
              <w:bottom w:val="single" w:sz="4" w:space="0" w:color="auto"/>
              <w:right w:val="nil"/>
            </w:tcBorders>
            <w:shd w:val="clear" w:color="auto" w:fill="auto"/>
            <w:noWrap/>
            <w:vAlign w:val="center"/>
            <w:hideMark/>
          </w:tcPr>
          <w:p w14:paraId="311F9B24" w14:textId="77777777" w:rsidR="00387142" w:rsidRPr="008B6A75" w:rsidRDefault="00387142" w:rsidP="00387142">
            <w:pPr>
              <w:jc w:val="center"/>
              <w:rPr>
                <w:bCs/>
                <w:sz w:val="20"/>
                <w:szCs w:val="20"/>
              </w:rPr>
            </w:pPr>
            <w:r w:rsidRPr="008B6A75">
              <w:rPr>
                <w:bCs/>
                <w:sz w:val="20"/>
                <w:szCs w:val="20"/>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48F896C" w14:textId="77777777" w:rsidR="00387142" w:rsidRPr="008B6A75" w:rsidRDefault="00387142" w:rsidP="00387142">
            <w:pPr>
              <w:jc w:val="center"/>
              <w:rPr>
                <w:bCs/>
                <w:sz w:val="20"/>
                <w:szCs w:val="20"/>
              </w:rPr>
            </w:pPr>
            <w:r w:rsidRPr="008B6A75">
              <w:rPr>
                <w:bCs/>
                <w:sz w:val="20"/>
                <w:szCs w:val="20"/>
              </w:rPr>
              <w:t>01</w:t>
            </w:r>
          </w:p>
        </w:tc>
        <w:tc>
          <w:tcPr>
            <w:tcW w:w="1516" w:type="dxa"/>
            <w:tcBorders>
              <w:top w:val="nil"/>
              <w:left w:val="single" w:sz="4" w:space="0" w:color="auto"/>
              <w:bottom w:val="single" w:sz="4" w:space="0" w:color="auto"/>
              <w:right w:val="nil"/>
            </w:tcBorders>
            <w:shd w:val="clear" w:color="auto" w:fill="auto"/>
            <w:noWrap/>
            <w:vAlign w:val="center"/>
            <w:hideMark/>
          </w:tcPr>
          <w:p w14:paraId="3197C9CE" w14:textId="77777777" w:rsidR="00387142" w:rsidRPr="008B6A75" w:rsidRDefault="00387142" w:rsidP="00387142">
            <w:pPr>
              <w:jc w:val="center"/>
              <w:rPr>
                <w:bCs/>
                <w:sz w:val="20"/>
                <w:szCs w:val="20"/>
              </w:rPr>
            </w:pPr>
            <w:r w:rsidRPr="008B6A75">
              <w:rPr>
                <w:bCs/>
                <w:sz w:val="20"/>
                <w:szCs w:val="20"/>
              </w:rPr>
              <w:t>05.0.00.11950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725A7F3"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AA8CD06" w14:textId="77777777" w:rsidR="00387142" w:rsidRPr="008B6A75" w:rsidRDefault="00387142" w:rsidP="00387142">
            <w:pPr>
              <w:jc w:val="right"/>
              <w:rPr>
                <w:bCs/>
                <w:sz w:val="20"/>
                <w:szCs w:val="20"/>
              </w:rPr>
            </w:pPr>
            <w:r w:rsidRPr="008B6A75">
              <w:rPr>
                <w:bCs/>
                <w:sz w:val="20"/>
                <w:szCs w:val="20"/>
              </w:rPr>
              <w:t>600 000,00</w:t>
            </w:r>
          </w:p>
        </w:tc>
        <w:tc>
          <w:tcPr>
            <w:tcW w:w="992" w:type="dxa"/>
            <w:tcBorders>
              <w:top w:val="nil"/>
              <w:left w:val="single" w:sz="4" w:space="0" w:color="auto"/>
              <w:bottom w:val="single" w:sz="4" w:space="0" w:color="auto"/>
              <w:right w:val="nil"/>
            </w:tcBorders>
            <w:shd w:val="clear" w:color="auto" w:fill="auto"/>
            <w:vAlign w:val="center"/>
            <w:hideMark/>
          </w:tcPr>
          <w:p w14:paraId="68CE3E69" w14:textId="77777777" w:rsidR="00387142" w:rsidRPr="008B6A75" w:rsidRDefault="00387142" w:rsidP="00387142">
            <w:pPr>
              <w:jc w:val="right"/>
              <w:rPr>
                <w:bCs/>
                <w:sz w:val="20"/>
                <w:szCs w:val="20"/>
              </w:rPr>
            </w:pPr>
            <w:r w:rsidRPr="008B6A75">
              <w:rPr>
                <w:bCs/>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4B3D3D2D" w14:textId="77777777" w:rsidR="00387142" w:rsidRPr="008B6A75" w:rsidRDefault="00387142" w:rsidP="00387142">
            <w:pPr>
              <w:jc w:val="right"/>
              <w:rPr>
                <w:bCs/>
                <w:sz w:val="20"/>
                <w:szCs w:val="20"/>
              </w:rPr>
            </w:pPr>
            <w:r w:rsidRPr="008B6A75">
              <w:rPr>
                <w:bCs/>
                <w:sz w:val="20"/>
                <w:szCs w:val="20"/>
              </w:rPr>
              <w:t>0,00</w:t>
            </w:r>
          </w:p>
        </w:tc>
      </w:tr>
      <w:tr w:rsidR="00387142" w:rsidRPr="008B6A75" w14:paraId="55317736" w14:textId="77777777" w:rsidTr="00387142">
        <w:trPr>
          <w:trHeight w:val="870"/>
        </w:trPr>
        <w:tc>
          <w:tcPr>
            <w:tcW w:w="3261" w:type="dxa"/>
            <w:tcBorders>
              <w:top w:val="nil"/>
              <w:left w:val="single" w:sz="4" w:space="0" w:color="auto"/>
              <w:bottom w:val="single" w:sz="4" w:space="0" w:color="auto"/>
              <w:right w:val="nil"/>
            </w:tcBorders>
            <w:shd w:val="clear" w:color="auto" w:fill="auto"/>
            <w:vAlign w:val="center"/>
            <w:hideMark/>
          </w:tcPr>
          <w:p w14:paraId="2755CF4C" w14:textId="77777777" w:rsidR="00387142" w:rsidRPr="008B6A75" w:rsidRDefault="00387142" w:rsidP="00387142">
            <w:pPr>
              <w:rPr>
                <w:sz w:val="20"/>
                <w:szCs w:val="20"/>
              </w:rPr>
            </w:pPr>
            <w:r w:rsidRPr="008B6A75">
              <w:rPr>
                <w:sz w:val="20"/>
                <w:szCs w:val="20"/>
              </w:rPr>
              <w:t>Предоставление субсидий бюджетным, автономным учреждениям и иным некоммерческим организациям</w:t>
            </w:r>
          </w:p>
        </w:tc>
        <w:tc>
          <w:tcPr>
            <w:tcW w:w="720" w:type="dxa"/>
            <w:tcBorders>
              <w:top w:val="nil"/>
              <w:left w:val="single" w:sz="4" w:space="0" w:color="auto"/>
              <w:bottom w:val="single" w:sz="4" w:space="0" w:color="auto"/>
              <w:right w:val="nil"/>
            </w:tcBorders>
            <w:shd w:val="clear" w:color="auto" w:fill="auto"/>
            <w:noWrap/>
            <w:vAlign w:val="center"/>
            <w:hideMark/>
          </w:tcPr>
          <w:p w14:paraId="21FE715A" w14:textId="77777777" w:rsidR="00387142" w:rsidRPr="008B6A75" w:rsidRDefault="00387142" w:rsidP="00387142">
            <w:pPr>
              <w:jc w:val="center"/>
              <w:rPr>
                <w:sz w:val="20"/>
                <w:szCs w:val="20"/>
              </w:rPr>
            </w:pPr>
            <w:r w:rsidRPr="008B6A75">
              <w:rPr>
                <w:sz w:val="20"/>
                <w:szCs w:val="20"/>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94F3BE6" w14:textId="77777777" w:rsidR="00387142" w:rsidRPr="008B6A75" w:rsidRDefault="00387142" w:rsidP="00387142">
            <w:pPr>
              <w:jc w:val="center"/>
              <w:rPr>
                <w:sz w:val="20"/>
                <w:szCs w:val="20"/>
              </w:rPr>
            </w:pPr>
            <w:r w:rsidRPr="008B6A75">
              <w:rPr>
                <w:sz w:val="20"/>
                <w:szCs w:val="20"/>
              </w:rPr>
              <w:t>01</w:t>
            </w:r>
          </w:p>
        </w:tc>
        <w:tc>
          <w:tcPr>
            <w:tcW w:w="1516" w:type="dxa"/>
            <w:tcBorders>
              <w:top w:val="nil"/>
              <w:left w:val="single" w:sz="4" w:space="0" w:color="auto"/>
              <w:bottom w:val="single" w:sz="4" w:space="0" w:color="auto"/>
              <w:right w:val="nil"/>
            </w:tcBorders>
            <w:shd w:val="clear" w:color="auto" w:fill="auto"/>
            <w:noWrap/>
            <w:vAlign w:val="center"/>
            <w:hideMark/>
          </w:tcPr>
          <w:p w14:paraId="2FB9B4DB" w14:textId="77777777" w:rsidR="00387142" w:rsidRPr="008B6A75" w:rsidRDefault="00387142" w:rsidP="00387142">
            <w:pPr>
              <w:jc w:val="center"/>
              <w:rPr>
                <w:sz w:val="20"/>
                <w:szCs w:val="20"/>
              </w:rPr>
            </w:pPr>
            <w:r w:rsidRPr="008B6A75">
              <w:rPr>
                <w:sz w:val="20"/>
                <w:szCs w:val="20"/>
              </w:rPr>
              <w:t>05.0.00.11950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25C0849" w14:textId="77777777" w:rsidR="00387142" w:rsidRPr="008B6A75" w:rsidRDefault="00387142" w:rsidP="00387142">
            <w:pPr>
              <w:jc w:val="center"/>
              <w:rPr>
                <w:sz w:val="20"/>
                <w:szCs w:val="20"/>
              </w:rPr>
            </w:pPr>
            <w:r w:rsidRPr="008B6A75">
              <w:rPr>
                <w:sz w:val="20"/>
                <w:szCs w:val="20"/>
              </w:rPr>
              <w:t>600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FB67A04" w14:textId="77777777" w:rsidR="00387142" w:rsidRPr="008B6A75" w:rsidRDefault="00387142" w:rsidP="00387142">
            <w:pPr>
              <w:jc w:val="right"/>
              <w:rPr>
                <w:sz w:val="20"/>
                <w:szCs w:val="20"/>
              </w:rPr>
            </w:pPr>
            <w:r w:rsidRPr="008B6A75">
              <w:rPr>
                <w:sz w:val="20"/>
                <w:szCs w:val="20"/>
              </w:rPr>
              <w:t>600 000,00</w:t>
            </w:r>
          </w:p>
        </w:tc>
        <w:tc>
          <w:tcPr>
            <w:tcW w:w="992" w:type="dxa"/>
            <w:tcBorders>
              <w:top w:val="nil"/>
              <w:left w:val="single" w:sz="4" w:space="0" w:color="auto"/>
              <w:bottom w:val="single" w:sz="4" w:space="0" w:color="auto"/>
              <w:right w:val="nil"/>
            </w:tcBorders>
            <w:shd w:val="clear" w:color="auto" w:fill="auto"/>
            <w:vAlign w:val="center"/>
            <w:hideMark/>
          </w:tcPr>
          <w:p w14:paraId="3673A65A" w14:textId="77777777" w:rsidR="00387142" w:rsidRPr="008B6A75" w:rsidRDefault="00387142" w:rsidP="00387142">
            <w:pPr>
              <w:jc w:val="right"/>
              <w:rPr>
                <w:sz w:val="20"/>
                <w:szCs w:val="20"/>
              </w:rPr>
            </w:pPr>
            <w:r w:rsidRPr="008B6A75">
              <w:rPr>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0DC18C56" w14:textId="77777777" w:rsidR="00387142" w:rsidRPr="008B6A75" w:rsidRDefault="00387142" w:rsidP="00387142">
            <w:pPr>
              <w:jc w:val="right"/>
              <w:rPr>
                <w:sz w:val="20"/>
                <w:szCs w:val="20"/>
              </w:rPr>
            </w:pPr>
            <w:r w:rsidRPr="008B6A75">
              <w:rPr>
                <w:sz w:val="20"/>
                <w:szCs w:val="20"/>
              </w:rPr>
              <w:t>0,00</w:t>
            </w:r>
          </w:p>
        </w:tc>
      </w:tr>
      <w:tr w:rsidR="00387142" w:rsidRPr="008B6A75" w14:paraId="7ACC850A" w14:textId="77777777" w:rsidTr="00387142">
        <w:trPr>
          <w:trHeight w:val="345"/>
        </w:trPr>
        <w:tc>
          <w:tcPr>
            <w:tcW w:w="3261" w:type="dxa"/>
            <w:tcBorders>
              <w:top w:val="nil"/>
              <w:left w:val="single" w:sz="4" w:space="0" w:color="auto"/>
              <w:bottom w:val="single" w:sz="4" w:space="0" w:color="auto"/>
              <w:right w:val="nil"/>
            </w:tcBorders>
            <w:shd w:val="clear" w:color="auto" w:fill="auto"/>
            <w:vAlign w:val="center"/>
            <w:hideMark/>
          </w:tcPr>
          <w:p w14:paraId="65B746C1" w14:textId="77777777" w:rsidR="00387142" w:rsidRPr="008B6A75" w:rsidRDefault="00387142" w:rsidP="00387142">
            <w:pPr>
              <w:rPr>
                <w:sz w:val="20"/>
                <w:szCs w:val="20"/>
              </w:rPr>
            </w:pPr>
            <w:r w:rsidRPr="008B6A75">
              <w:rPr>
                <w:sz w:val="20"/>
                <w:szCs w:val="20"/>
              </w:rPr>
              <w:t>Субсидии бюджетным учреждениям</w:t>
            </w:r>
          </w:p>
        </w:tc>
        <w:tc>
          <w:tcPr>
            <w:tcW w:w="720" w:type="dxa"/>
            <w:tcBorders>
              <w:top w:val="nil"/>
              <w:left w:val="single" w:sz="4" w:space="0" w:color="auto"/>
              <w:bottom w:val="single" w:sz="4" w:space="0" w:color="auto"/>
              <w:right w:val="nil"/>
            </w:tcBorders>
            <w:shd w:val="clear" w:color="auto" w:fill="auto"/>
            <w:noWrap/>
            <w:vAlign w:val="center"/>
            <w:hideMark/>
          </w:tcPr>
          <w:p w14:paraId="432248C8" w14:textId="77777777" w:rsidR="00387142" w:rsidRPr="008B6A75" w:rsidRDefault="00387142" w:rsidP="00387142">
            <w:pPr>
              <w:jc w:val="center"/>
              <w:rPr>
                <w:sz w:val="20"/>
                <w:szCs w:val="20"/>
              </w:rPr>
            </w:pPr>
            <w:r w:rsidRPr="008B6A75">
              <w:rPr>
                <w:sz w:val="20"/>
                <w:szCs w:val="20"/>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54F055D" w14:textId="77777777" w:rsidR="00387142" w:rsidRPr="008B6A75" w:rsidRDefault="00387142" w:rsidP="00387142">
            <w:pPr>
              <w:jc w:val="center"/>
              <w:rPr>
                <w:sz w:val="20"/>
                <w:szCs w:val="20"/>
              </w:rPr>
            </w:pPr>
            <w:r w:rsidRPr="008B6A75">
              <w:rPr>
                <w:sz w:val="20"/>
                <w:szCs w:val="20"/>
              </w:rPr>
              <w:t>01</w:t>
            </w:r>
          </w:p>
        </w:tc>
        <w:tc>
          <w:tcPr>
            <w:tcW w:w="1516" w:type="dxa"/>
            <w:tcBorders>
              <w:top w:val="nil"/>
              <w:left w:val="single" w:sz="4" w:space="0" w:color="auto"/>
              <w:bottom w:val="single" w:sz="4" w:space="0" w:color="auto"/>
              <w:right w:val="nil"/>
            </w:tcBorders>
            <w:shd w:val="clear" w:color="auto" w:fill="auto"/>
            <w:noWrap/>
            <w:vAlign w:val="center"/>
            <w:hideMark/>
          </w:tcPr>
          <w:p w14:paraId="138D790F" w14:textId="77777777" w:rsidR="00387142" w:rsidRPr="008B6A75" w:rsidRDefault="00387142" w:rsidP="00387142">
            <w:pPr>
              <w:jc w:val="center"/>
              <w:rPr>
                <w:sz w:val="20"/>
                <w:szCs w:val="20"/>
              </w:rPr>
            </w:pPr>
            <w:r w:rsidRPr="008B6A75">
              <w:rPr>
                <w:sz w:val="20"/>
                <w:szCs w:val="20"/>
              </w:rPr>
              <w:t>05.0.00.11950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569F7BC" w14:textId="77777777" w:rsidR="00387142" w:rsidRPr="008B6A75" w:rsidRDefault="00387142" w:rsidP="00387142">
            <w:pPr>
              <w:jc w:val="center"/>
              <w:rPr>
                <w:sz w:val="20"/>
                <w:szCs w:val="20"/>
              </w:rPr>
            </w:pPr>
            <w:r w:rsidRPr="008B6A75">
              <w:rPr>
                <w:sz w:val="20"/>
                <w:szCs w:val="20"/>
              </w:rPr>
              <w:t>610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D51C57B" w14:textId="77777777" w:rsidR="00387142" w:rsidRPr="008B6A75" w:rsidRDefault="00387142" w:rsidP="00387142">
            <w:pPr>
              <w:jc w:val="right"/>
              <w:rPr>
                <w:sz w:val="20"/>
                <w:szCs w:val="20"/>
              </w:rPr>
            </w:pPr>
            <w:r w:rsidRPr="008B6A75">
              <w:rPr>
                <w:sz w:val="20"/>
                <w:szCs w:val="20"/>
              </w:rPr>
              <w:t>600 000,00</w:t>
            </w:r>
          </w:p>
        </w:tc>
        <w:tc>
          <w:tcPr>
            <w:tcW w:w="992" w:type="dxa"/>
            <w:tcBorders>
              <w:top w:val="nil"/>
              <w:left w:val="single" w:sz="4" w:space="0" w:color="auto"/>
              <w:bottom w:val="single" w:sz="4" w:space="0" w:color="auto"/>
              <w:right w:val="nil"/>
            </w:tcBorders>
            <w:shd w:val="clear" w:color="auto" w:fill="auto"/>
            <w:vAlign w:val="center"/>
            <w:hideMark/>
          </w:tcPr>
          <w:p w14:paraId="0511E5E4" w14:textId="77777777" w:rsidR="00387142" w:rsidRPr="008B6A75" w:rsidRDefault="00387142" w:rsidP="00387142">
            <w:pPr>
              <w:jc w:val="right"/>
              <w:rPr>
                <w:sz w:val="20"/>
                <w:szCs w:val="20"/>
              </w:rPr>
            </w:pPr>
            <w:r w:rsidRPr="008B6A75">
              <w:rPr>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1AAD0604" w14:textId="77777777" w:rsidR="00387142" w:rsidRPr="008B6A75" w:rsidRDefault="00387142" w:rsidP="00387142">
            <w:pPr>
              <w:jc w:val="right"/>
              <w:rPr>
                <w:sz w:val="20"/>
                <w:szCs w:val="20"/>
              </w:rPr>
            </w:pPr>
            <w:r w:rsidRPr="008B6A75">
              <w:rPr>
                <w:sz w:val="20"/>
                <w:szCs w:val="20"/>
              </w:rPr>
              <w:t>0,00</w:t>
            </w:r>
          </w:p>
        </w:tc>
      </w:tr>
      <w:tr w:rsidR="00387142" w:rsidRPr="008B6A75" w14:paraId="39A62C11" w14:textId="77777777" w:rsidTr="00387142">
        <w:trPr>
          <w:trHeight w:val="870"/>
        </w:trPr>
        <w:tc>
          <w:tcPr>
            <w:tcW w:w="3261" w:type="dxa"/>
            <w:tcBorders>
              <w:top w:val="nil"/>
              <w:left w:val="single" w:sz="4" w:space="0" w:color="auto"/>
              <w:bottom w:val="single" w:sz="4" w:space="0" w:color="auto"/>
              <w:right w:val="nil"/>
            </w:tcBorders>
            <w:shd w:val="clear" w:color="auto" w:fill="auto"/>
            <w:vAlign w:val="center"/>
            <w:hideMark/>
          </w:tcPr>
          <w:p w14:paraId="1318DCAD" w14:textId="77777777" w:rsidR="00387142" w:rsidRPr="008B6A75" w:rsidRDefault="00387142" w:rsidP="00387142">
            <w:pPr>
              <w:rPr>
                <w:bCs/>
                <w:sz w:val="20"/>
                <w:szCs w:val="20"/>
              </w:rPr>
            </w:pPr>
            <w:r w:rsidRPr="008B6A75">
              <w:rPr>
                <w:bCs/>
                <w:sz w:val="20"/>
                <w:szCs w:val="20"/>
              </w:rPr>
              <w:t>Муниципальная программа "Комплексное развитие сельских территорий в Куйбышевском районе"</w:t>
            </w:r>
          </w:p>
        </w:tc>
        <w:tc>
          <w:tcPr>
            <w:tcW w:w="720" w:type="dxa"/>
            <w:tcBorders>
              <w:top w:val="nil"/>
              <w:left w:val="single" w:sz="4" w:space="0" w:color="auto"/>
              <w:bottom w:val="single" w:sz="4" w:space="0" w:color="auto"/>
              <w:right w:val="nil"/>
            </w:tcBorders>
            <w:shd w:val="clear" w:color="auto" w:fill="auto"/>
            <w:noWrap/>
            <w:vAlign w:val="center"/>
            <w:hideMark/>
          </w:tcPr>
          <w:p w14:paraId="3BD69F0E" w14:textId="77777777" w:rsidR="00387142" w:rsidRPr="008B6A75" w:rsidRDefault="00387142" w:rsidP="00387142">
            <w:pPr>
              <w:jc w:val="center"/>
              <w:rPr>
                <w:bCs/>
                <w:sz w:val="20"/>
                <w:szCs w:val="20"/>
              </w:rPr>
            </w:pPr>
            <w:r w:rsidRPr="008B6A75">
              <w:rPr>
                <w:bCs/>
                <w:sz w:val="20"/>
                <w:szCs w:val="20"/>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3A0BD7E" w14:textId="77777777" w:rsidR="00387142" w:rsidRPr="008B6A75" w:rsidRDefault="00387142" w:rsidP="00387142">
            <w:pPr>
              <w:jc w:val="center"/>
              <w:rPr>
                <w:bCs/>
                <w:sz w:val="20"/>
                <w:szCs w:val="20"/>
              </w:rPr>
            </w:pPr>
            <w:r w:rsidRPr="008B6A75">
              <w:rPr>
                <w:bCs/>
                <w:sz w:val="20"/>
                <w:szCs w:val="20"/>
              </w:rPr>
              <w:t>01</w:t>
            </w:r>
          </w:p>
        </w:tc>
        <w:tc>
          <w:tcPr>
            <w:tcW w:w="1516" w:type="dxa"/>
            <w:tcBorders>
              <w:top w:val="nil"/>
              <w:left w:val="single" w:sz="4" w:space="0" w:color="auto"/>
              <w:bottom w:val="single" w:sz="4" w:space="0" w:color="auto"/>
              <w:right w:val="nil"/>
            </w:tcBorders>
            <w:shd w:val="clear" w:color="auto" w:fill="auto"/>
            <w:noWrap/>
            <w:vAlign w:val="center"/>
            <w:hideMark/>
          </w:tcPr>
          <w:p w14:paraId="389269B5" w14:textId="77777777" w:rsidR="00387142" w:rsidRPr="008B6A75" w:rsidRDefault="00387142" w:rsidP="00387142">
            <w:pPr>
              <w:jc w:val="center"/>
              <w:rPr>
                <w:bCs/>
                <w:sz w:val="20"/>
                <w:szCs w:val="20"/>
              </w:rPr>
            </w:pPr>
            <w:r w:rsidRPr="008B6A75">
              <w:rPr>
                <w:bCs/>
                <w:sz w:val="20"/>
                <w:szCs w:val="20"/>
              </w:rPr>
              <w:t>06.0.00.00000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3EE23E9"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1E495B5" w14:textId="77777777" w:rsidR="00387142" w:rsidRPr="008B6A75" w:rsidRDefault="00387142" w:rsidP="00387142">
            <w:pPr>
              <w:jc w:val="right"/>
              <w:rPr>
                <w:bCs/>
                <w:sz w:val="20"/>
                <w:szCs w:val="20"/>
              </w:rPr>
            </w:pPr>
            <w:r w:rsidRPr="008B6A75">
              <w:rPr>
                <w:bCs/>
                <w:sz w:val="20"/>
                <w:szCs w:val="20"/>
              </w:rPr>
              <w:t>3 276 505,15</w:t>
            </w:r>
          </w:p>
        </w:tc>
        <w:tc>
          <w:tcPr>
            <w:tcW w:w="992" w:type="dxa"/>
            <w:tcBorders>
              <w:top w:val="nil"/>
              <w:left w:val="single" w:sz="4" w:space="0" w:color="auto"/>
              <w:bottom w:val="single" w:sz="4" w:space="0" w:color="auto"/>
              <w:right w:val="nil"/>
            </w:tcBorders>
            <w:shd w:val="clear" w:color="auto" w:fill="auto"/>
            <w:vAlign w:val="center"/>
            <w:hideMark/>
          </w:tcPr>
          <w:p w14:paraId="79502874" w14:textId="77777777" w:rsidR="00387142" w:rsidRPr="008B6A75" w:rsidRDefault="00387142" w:rsidP="00387142">
            <w:pPr>
              <w:jc w:val="right"/>
              <w:rPr>
                <w:bCs/>
                <w:sz w:val="20"/>
                <w:szCs w:val="20"/>
              </w:rPr>
            </w:pPr>
            <w:r w:rsidRPr="008B6A75">
              <w:rPr>
                <w:bCs/>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132CD2F8" w14:textId="77777777" w:rsidR="00387142" w:rsidRPr="008B6A75" w:rsidRDefault="00387142" w:rsidP="00387142">
            <w:pPr>
              <w:jc w:val="right"/>
              <w:rPr>
                <w:bCs/>
                <w:sz w:val="20"/>
                <w:szCs w:val="20"/>
              </w:rPr>
            </w:pPr>
            <w:r w:rsidRPr="008B6A75">
              <w:rPr>
                <w:bCs/>
                <w:sz w:val="20"/>
                <w:szCs w:val="20"/>
              </w:rPr>
              <w:t>0,00</w:t>
            </w:r>
          </w:p>
        </w:tc>
      </w:tr>
      <w:tr w:rsidR="00387142" w:rsidRPr="008B6A75" w14:paraId="036861C0" w14:textId="77777777" w:rsidTr="00387142">
        <w:trPr>
          <w:trHeight w:val="2295"/>
        </w:trPr>
        <w:tc>
          <w:tcPr>
            <w:tcW w:w="3261" w:type="dxa"/>
            <w:tcBorders>
              <w:top w:val="nil"/>
              <w:left w:val="single" w:sz="4" w:space="0" w:color="auto"/>
              <w:bottom w:val="single" w:sz="4" w:space="0" w:color="auto"/>
              <w:right w:val="nil"/>
            </w:tcBorders>
            <w:shd w:val="clear" w:color="auto" w:fill="auto"/>
            <w:vAlign w:val="center"/>
            <w:hideMark/>
          </w:tcPr>
          <w:p w14:paraId="36F555F4" w14:textId="77777777" w:rsidR="00387142" w:rsidRPr="008B6A75" w:rsidRDefault="00387142" w:rsidP="00387142">
            <w:pPr>
              <w:rPr>
                <w:bCs/>
                <w:sz w:val="20"/>
                <w:szCs w:val="20"/>
              </w:rPr>
            </w:pPr>
            <w:r w:rsidRPr="008B6A75">
              <w:rPr>
                <w:bCs/>
                <w:sz w:val="20"/>
                <w:szCs w:val="20"/>
              </w:rPr>
              <w:t>Обеспечение комплексного развития сельских территорий (формирование современного облика сельских территорий, направленных на создание и развитие инфраструктуры в сельской местности), государственной программы Новосибирской области "Комплексное развитие сельских территорий в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14:paraId="7CEF39F1" w14:textId="77777777" w:rsidR="00387142" w:rsidRPr="008B6A75" w:rsidRDefault="00387142" w:rsidP="00387142">
            <w:pPr>
              <w:jc w:val="center"/>
              <w:rPr>
                <w:bCs/>
                <w:sz w:val="20"/>
                <w:szCs w:val="20"/>
              </w:rPr>
            </w:pPr>
            <w:r w:rsidRPr="008B6A75">
              <w:rPr>
                <w:bCs/>
                <w:sz w:val="20"/>
                <w:szCs w:val="20"/>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08EDD9F" w14:textId="77777777" w:rsidR="00387142" w:rsidRPr="008B6A75" w:rsidRDefault="00387142" w:rsidP="00387142">
            <w:pPr>
              <w:jc w:val="center"/>
              <w:rPr>
                <w:bCs/>
                <w:sz w:val="20"/>
                <w:szCs w:val="20"/>
              </w:rPr>
            </w:pPr>
            <w:r w:rsidRPr="008B6A75">
              <w:rPr>
                <w:bCs/>
                <w:sz w:val="20"/>
                <w:szCs w:val="20"/>
              </w:rPr>
              <w:t>01</w:t>
            </w:r>
          </w:p>
        </w:tc>
        <w:tc>
          <w:tcPr>
            <w:tcW w:w="1516" w:type="dxa"/>
            <w:tcBorders>
              <w:top w:val="nil"/>
              <w:left w:val="single" w:sz="4" w:space="0" w:color="auto"/>
              <w:bottom w:val="single" w:sz="4" w:space="0" w:color="auto"/>
              <w:right w:val="nil"/>
            </w:tcBorders>
            <w:shd w:val="clear" w:color="auto" w:fill="auto"/>
            <w:noWrap/>
            <w:vAlign w:val="center"/>
            <w:hideMark/>
          </w:tcPr>
          <w:p w14:paraId="03D8D509" w14:textId="77777777" w:rsidR="00387142" w:rsidRPr="008B6A75" w:rsidRDefault="00387142" w:rsidP="00387142">
            <w:pPr>
              <w:jc w:val="center"/>
              <w:rPr>
                <w:bCs/>
                <w:sz w:val="20"/>
                <w:szCs w:val="20"/>
              </w:rPr>
            </w:pPr>
            <w:r w:rsidRPr="008B6A75">
              <w:rPr>
                <w:bCs/>
                <w:sz w:val="20"/>
                <w:szCs w:val="20"/>
              </w:rPr>
              <w:t>06.0.00.L5766</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0717D8F"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CEA9A45" w14:textId="77777777" w:rsidR="00387142" w:rsidRPr="008B6A75" w:rsidRDefault="00387142" w:rsidP="00387142">
            <w:pPr>
              <w:jc w:val="right"/>
              <w:rPr>
                <w:bCs/>
                <w:sz w:val="20"/>
                <w:szCs w:val="20"/>
              </w:rPr>
            </w:pPr>
            <w:r w:rsidRPr="008B6A75">
              <w:rPr>
                <w:bCs/>
                <w:sz w:val="20"/>
                <w:szCs w:val="20"/>
              </w:rPr>
              <w:t>3 276 505,15</w:t>
            </w:r>
          </w:p>
        </w:tc>
        <w:tc>
          <w:tcPr>
            <w:tcW w:w="992" w:type="dxa"/>
            <w:tcBorders>
              <w:top w:val="nil"/>
              <w:left w:val="single" w:sz="4" w:space="0" w:color="auto"/>
              <w:bottom w:val="single" w:sz="4" w:space="0" w:color="auto"/>
              <w:right w:val="nil"/>
            </w:tcBorders>
            <w:shd w:val="clear" w:color="auto" w:fill="auto"/>
            <w:vAlign w:val="center"/>
            <w:hideMark/>
          </w:tcPr>
          <w:p w14:paraId="1F2D0FEA" w14:textId="77777777" w:rsidR="00387142" w:rsidRPr="008B6A75" w:rsidRDefault="00387142" w:rsidP="00387142">
            <w:pPr>
              <w:jc w:val="right"/>
              <w:rPr>
                <w:bCs/>
                <w:sz w:val="20"/>
                <w:szCs w:val="20"/>
              </w:rPr>
            </w:pPr>
            <w:r w:rsidRPr="008B6A75">
              <w:rPr>
                <w:bCs/>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1EC840BD" w14:textId="77777777" w:rsidR="00387142" w:rsidRPr="008B6A75" w:rsidRDefault="00387142" w:rsidP="00387142">
            <w:pPr>
              <w:jc w:val="right"/>
              <w:rPr>
                <w:bCs/>
                <w:sz w:val="20"/>
                <w:szCs w:val="20"/>
              </w:rPr>
            </w:pPr>
            <w:r w:rsidRPr="008B6A75">
              <w:rPr>
                <w:bCs/>
                <w:sz w:val="20"/>
                <w:szCs w:val="20"/>
              </w:rPr>
              <w:t>0,00</w:t>
            </w:r>
          </w:p>
        </w:tc>
      </w:tr>
      <w:tr w:rsidR="00387142" w:rsidRPr="008B6A75" w14:paraId="4ACD909E" w14:textId="77777777" w:rsidTr="00387142">
        <w:trPr>
          <w:trHeight w:val="345"/>
        </w:trPr>
        <w:tc>
          <w:tcPr>
            <w:tcW w:w="3261" w:type="dxa"/>
            <w:tcBorders>
              <w:top w:val="nil"/>
              <w:left w:val="single" w:sz="4" w:space="0" w:color="auto"/>
              <w:bottom w:val="single" w:sz="4" w:space="0" w:color="auto"/>
              <w:right w:val="nil"/>
            </w:tcBorders>
            <w:shd w:val="clear" w:color="auto" w:fill="auto"/>
            <w:vAlign w:val="center"/>
            <w:hideMark/>
          </w:tcPr>
          <w:p w14:paraId="567ABEBB" w14:textId="77777777" w:rsidR="00387142" w:rsidRPr="008B6A75" w:rsidRDefault="00387142" w:rsidP="00387142">
            <w:pPr>
              <w:rPr>
                <w:sz w:val="20"/>
                <w:szCs w:val="20"/>
              </w:rPr>
            </w:pPr>
            <w:r w:rsidRPr="008B6A75">
              <w:rPr>
                <w:sz w:val="20"/>
                <w:szCs w:val="20"/>
              </w:rPr>
              <w:t>Межбюджетные трансферты</w:t>
            </w:r>
          </w:p>
        </w:tc>
        <w:tc>
          <w:tcPr>
            <w:tcW w:w="720" w:type="dxa"/>
            <w:tcBorders>
              <w:top w:val="nil"/>
              <w:left w:val="single" w:sz="4" w:space="0" w:color="auto"/>
              <w:bottom w:val="single" w:sz="4" w:space="0" w:color="auto"/>
              <w:right w:val="nil"/>
            </w:tcBorders>
            <w:shd w:val="clear" w:color="auto" w:fill="auto"/>
            <w:noWrap/>
            <w:vAlign w:val="center"/>
            <w:hideMark/>
          </w:tcPr>
          <w:p w14:paraId="3DF3E210" w14:textId="77777777" w:rsidR="00387142" w:rsidRPr="008B6A75" w:rsidRDefault="00387142" w:rsidP="00387142">
            <w:pPr>
              <w:jc w:val="center"/>
              <w:rPr>
                <w:sz w:val="20"/>
                <w:szCs w:val="20"/>
              </w:rPr>
            </w:pPr>
            <w:r w:rsidRPr="008B6A75">
              <w:rPr>
                <w:sz w:val="20"/>
                <w:szCs w:val="20"/>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03464F7" w14:textId="77777777" w:rsidR="00387142" w:rsidRPr="008B6A75" w:rsidRDefault="00387142" w:rsidP="00387142">
            <w:pPr>
              <w:jc w:val="center"/>
              <w:rPr>
                <w:sz w:val="20"/>
                <w:szCs w:val="20"/>
              </w:rPr>
            </w:pPr>
            <w:r w:rsidRPr="008B6A75">
              <w:rPr>
                <w:sz w:val="20"/>
                <w:szCs w:val="20"/>
              </w:rPr>
              <w:t>01</w:t>
            </w:r>
          </w:p>
        </w:tc>
        <w:tc>
          <w:tcPr>
            <w:tcW w:w="1516" w:type="dxa"/>
            <w:tcBorders>
              <w:top w:val="nil"/>
              <w:left w:val="single" w:sz="4" w:space="0" w:color="auto"/>
              <w:bottom w:val="single" w:sz="4" w:space="0" w:color="auto"/>
              <w:right w:val="nil"/>
            </w:tcBorders>
            <w:shd w:val="clear" w:color="auto" w:fill="auto"/>
            <w:noWrap/>
            <w:vAlign w:val="center"/>
            <w:hideMark/>
          </w:tcPr>
          <w:p w14:paraId="051239D1" w14:textId="77777777" w:rsidR="00387142" w:rsidRPr="008B6A75" w:rsidRDefault="00387142" w:rsidP="00387142">
            <w:pPr>
              <w:jc w:val="center"/>
              <w:rPr>
                <w:sz w:val="20"/>
                <w:szCs w:val="20"/>
              </w:rPr>
            </w:pPr>
            <w:r w:rsidRPr="008B6A75">
              <w:rPr>
                <w:sz w:val="20"/>
                <w:szCs w:val="20"/>
              </w:rPr>
              <w:t>06.0.00.L5766</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740B17D" w14:textId="77777777" w:rsidR="00387142" w:rsidRPr="008B6A75" w:rsidRDefault="00387142" w:rsidP="00387142">
            <w:pPr>
              <w:jc w:val="center"/>
              <w:rPr>
                <w:sz w:val="20"/>
                <w:szCs w:val="20"/>
              </w:rPr>
            </w:pPr>
            <w:r w:rsidRPr="008B6A75">
              <w:rPr>
                <w:sz w:val="20"/>
                <w:szCs w:val="20"/>
              </w:rPr>
              <w:t>500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7E5C27A" w14:textId="77777777" w:rsidR="00387142" w:rsidRPr="008B6A75" w:rsidRDefault="00387142" w:rsidP="00387142">
            <w:pPr>
              <w:jc w:val="right"/>
              <w:rPr>
                <w:sz w:val="20"/>
                <w:szCs w:val="20"/>
              </w:rPr>
            </w:pPr>
            <w:r w:rsidRPr="008B6A75">
              <w:rPr>
                <w:sz w:val="20"/>
                <w:szCs w:val="20"/>
              </w:rPr>
              <w:t>3 276 505,15</w:t>
            </w:r>
          </w:p>
        </w:tc>
        <w:tc>
          <w:tcPr>
            <w:tcW w:w="992" w:type="dxa"/>
            <w:tcBorders>
              <w:top w:val="nil"/>
              <w:left w:val="single" w:sz="4" w:space="0" w:color="auto"/>
              <w:bottom w:val="single" w:sz="4" w:space="0" w:color="auto"/>
              <w:right w:val="nil"/>
            </w:tcBorders>
            <w:shd w:val="clear" w:color="auto" w:fill="auto"/>
            <w:vAlign w:val="center"/>
            <w:hideMark/>
          </w:tcPr>
          <w:p w14:paraId="4462B9C2" w14:textId="77777777" w:rsidR="00387142" w:rsidRPr="008B6A75" w:rsidRDefault="00387142" w:rsidP="00387142">
            <w:pPr>
              <w:jc w:val="right"/>
              <w:rPr>
                <w:sz w:val="20"/>
                <w:szCs w:val="20"/>
              </w:rPr>
            </w:pPr>
            <w:r w:rsidRPr="008B6A75">
              <w:rPr>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1A7D0FA3" w14:textId="77777777" w:rsidR="00387142" w:rsidRPr="008B6A75" w:rsidRDefault="00387142" w:rsidP="00387142">
            <w:pPr>
              <w:jc w:val="right"/>
              <w:rPr>
                <w:sz w:val="20"/>
                <w:szCs w:val="20"/>
              </w:rPr>
            </w:pPr>
            <w:r w:rsidRPr="008B6A75">
              <w:rPr>
                <w:sz w:val="20"/>
                <w:szCs w:val="20"/>
              </w:rPr>
              <w:t>0,00</w:t>
            </w:r>
          </w:p>
        </w:tc>
      </w:tr>
      <w:tr w:rsidR="00387142" w:rsidRPr="008B6A75" w14:paraId="0C57CA9D" w14:textId="77777777" w:rsidTr="00387142">
        <w:trPr>
          <w:trHeight w:val="345"/>
        </w:trPr>
        <w:tc>
          <w:tcPr>
            <w:tcW w:w="3261" w:type="dxa"/>
            <w:tcBorders>
              <w:top w:val="nil"/>
              <w:left w:val="single" w:sz="4" w:space="0" w:color="auto"/>
              <w:bottom w:val="single" w:sz="4" w:space="0" w:color="auto"/>
              <w:right w:val="nil"/>
            </w:tcBorders>
            <w:shd w:val="clear" w:color="auto" w:fill="auto"/>
            <w:vAlign w:val="center"/>
            <w:hideMark/>
          </w:tcPr>
          <w:p w14:paraId="4B31E446" w14:textId="77777777" w:rsidR="00387142" w:rsidRPr="008B6A75" w:rsidRDefault="00387142" w:rsidP="00387142">
            <w:pPr>
              <w:rPr>
                <w:sz w:val="20"/>
                <w:szCs w:val="20"/>
              </w:rPr>
            </w:pPr>
            <w:r w:rsidRPr="008B6A75">
              <w:rPr>
                <w:sz w:val="20"/>
                <w:szCs w:val="20"/>
              </w:rPr>
              <w:t>Иные межбюджетные трансферты</w:t>
            </w:r>
          </w:p>
        </w:tc>
        <w:tc>
          <w:tcPr>
            <w:tcW w:w="720" w:type="dxa"/>
            <w:tcBorders>
              <w:top w:val="nil"/>
              <w:left w:val="single" w:sz="4" w:space="0" w:color="auto"/>
              <w:bottom w:val="single" w:sz="4" w:space="0" w:color="auto"/>
              <w:right w:val="nil"/>
            </w:tcBorders>
            <w:shd w:val="clear" w:color="auto" w:fill="auto"/>
            <w:noWrap/>
            <w:vAlign w:val="center"/>
            <w:hideMark/>
          </w:tcPr>
          <w:p w14:paraId="540F3A54" w14:textId="77777777" w:rsidR="00387142" w:rsidRPr="008B6A75" w:rsidRDefault="00387142" w:rsidP="00387142">
            <w:pPr>
              <w:jc w:val="center"/>
              <w:rPr>
                <w:sz w:val="20"/>
                <w:szCs w:val="20"/>
              </w:rPr>
            </w:pPr>
            <w:r w:rsidRPr="008B6A75">
              <w:rPr>
                <w:sz w:val="20"/>
                <w:szCs w:val="20"/>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73D8DBE" w14:textId="77777777" w:rsidR="00387142" w:rsidRPr="008B6A75" w:rsidRDefault="00387142" w:rsidP="00387142">
            <w:pPr>
              <w:jc w:val="center"/>
              <w:rPr>
                <w:sz w:val="20"/>
                <w:szCs w:val="20"/>
              </w:rPr>
            </w:pPr>
            <w:r w:rsidRPr="008B6A75">
              <w:rPr>
                <w:sz w:val="20"/>
                <w:szCs w:val="20"/>
              </w:rPr>
              <w:t>01</w:t>
            </w:r>
          </w:p>
        </w:tc>
        <w:tc>
          <w:tcPr>
            <w:tcW w:w="1516" w:type="dxa"/>
            <w:tcBorders>
              <w:top w:val="nil"/>
              <w:left w:val="single" w:sz="4" w:space="0" w:color="auto"/>
              <w:bottom w:val="single" w:sz="4" w:space="0" w:color="auto"/>
              <w:right w:val="nil"/>
            </w:tcBorders>
            <w:shd w:val="clear" w:color="auto" w:fill="auto"/>
            <w:noWrap/>
            <w:vAlign w:val="center"/>
            <w:hideMark/>
          </w:tcPr>
          <w:p w14:paraId="3F739B13" w14:textId="77777777" w:rsidR="00387142" w:rsidRPr="008B6A75" w:rsidRDefault="00387142" w:rsidP="00387142">
            <w:pPr>
              <w:jc w:val="center"/>
              <w:rPr>
                <w:sz w:val="20"/>
                <w:szCs w:val="20"/>
              </w:rPr>
            </w:pPr>
            <w:r w:rsidRPr="008B6A75">
              <w:rPr>
                <w:sz w:val="20"/>
                <w:szCs w:val="20"/>
              </w:rPr>
              <w:t>06.0.00.L5766</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110F4B4" w14:textId="77777777" w:rsidR="00387142" w:rsidRPr="008B6A75" w:rsidRDefault="00387142" w:rsidP="00387142">
            <w:pPr>
              <w:jc w:val="center"/>
              <w:rPr>
                <w:sz w:val="20"/>
                <w:szCs w:val="20"/>
              </w:rPr>
            </w:pPr>
            <w:r w:rsidRPr="008B6A75">
              <w:rPr>
                <w:sz w:val="20"/>
                <w:szCs w:val="20"/>
              </w:rPr>
              <w:t>540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2887E33" w14:textId="77777777" w:rsidR="00387142" w:rsidRPr="008B6A75" w:rsidRDefault="00387142" w:rsidP="00387142">
            <w:pPr>
              <w:jc w:val="right"/>
              <w:rPr>
                <w:sz w:val="20"/>
                <w:szCs w:val="20"/>
              </w:rPr>
            </w:pPr>
            <w:r w:rsidRPr="008B6A75">
              <w:rPr>
                <w:sz w:val="20"/>
                <w:szCs w:val="20"/>
              </w:rPr>
              <w:t>3 276 505,15</w:t>
            </w:r>
          </w:p>
        </w:tc>
        <w:tc>
          <w:tcPr>
            <w:tcW w:w="992" w:type="dxa"/>
            <w:tcBorders>
              <w:top w:val="nil"/>
              <w:left w:val="single" w:sz="4" w:space="0" w:color="auto"/>
              <w:bottom w:val="single" w:sz="4" w:space="0" w:color="auto"/>
              <w:right w:val="nil"/>
            </w:tcBorders>
            <w:shd w:val="clear" w:color="auto" w:fill="auto"/>
            <w:vAlign w:val="center"/>
            <w:hideMark/>
          </w:tcPr>
          <w:p w14:paraId="195E3815" w14:textId="77777777" w:rsidR="00387142" w:rsidRPr="008B6A75" w:rsidRDefault="00387142" w:rsidP="00387142">
            <w:pPr>
              <w:jc w:val="right"/>
              <w:rPr>
                <w:sz w:val="20"/>
                <w:szCs w:val="20"/>
              </w:rPr>
            </w:pPr>
            <w:r w:rsidRPr="008B6A75">
              <w:rPr>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4E9A3107" w14:textId="77777777" w:rsidR="00387142" w:rsidRPr="008B6A75" w:rsidRDefault="00387142" w:rsidP="00387142">
            <w:pPr>
              <w:jc w:val="right"/>
              <w:rPr>
                <w:sz w:val="20"/>
                <w:szCs w:val="20"/>
              </w:rPr>
            </w:pPr>
            <w:r w:rsidRPr="008B6A75">
              <w:rPr>
                <w:sz w:val="20"/>
                <w:szCs w:val="20"/>
              </w:rPr>
              <w:t>0,00</w:t>
            </w:r>
          </w:p>
        </w:tc>
      </w:tr>
      <w:tr w:rsidR="00387142" w:rsidRPr="008B6A75" w14:paraId="445876A5" w14:textId="77777777" w:rsidTr="00387142">
        <w:trPr>
          <w:trHeight w:val="585"/>
        </w:trPr>
        <w:tc>
          <w:tcPr>
            <w:tcW w:w="3261" w:type="dxa"/>
            <w:tcBorders>
              <w:top w:val="nil"/>
              <w:left w:val="single" w:sz="4" w:space="0" w:color="auto"/>
              <w:bottom w:val="single" w:sz="4" w:space="0" w:color="auto"/>
              <w:right w:val="nil"/>
            </w:tcBorders>
            <w:shd w:val="clear" w:color="auto" w:fill="auto"/>
            <w:vAlign w:val="center"/>
            <w:hideMark/>
          </w:tcPr>
          <w:p w14:paraId="1F04A02F" w14:textId="77777777" w:rsidR="00387142" w:rsidRPr="008B6A75" w:rsidRDefault="00387142" w:rsidP="00387142">
            <w:pPr>
              <w:rPr>
                <w:bCs/>
                <w:sz w:val="20"/>
                <w:szCs w:val="20"/>
              </w:rPr>
            </w:pPr>
            <w:r w:rsidRPr="008B6A75">
              <w:rPr>
                <w:bCs/>
                <w:sz w:val="20"/>
                <w:szCs w:val="20"/>
              </w:rPr>
              <w:t>Муниципальная программа "Развитие культуры в Куйбышевском районе"</w:t>
            </w:r>
          </w:p>
        </w:tc>
        <w:tc>
          <w:tcPr>
            <w:tcW w:w="720" w:type="dxa"/>
            <w:tcBorders>
              <w:top w:val="nil"/>
              <w:left w:val="single" w:sz="4" w:space="0" w:color="auto"/>
              <w:bottom w:val="single" w:sz="4" w:space="0" w:color="auto"/>
              <w:right w:val="nil"/>
            </w:tcBorders>
            <w:shd w:val="clear" w:color="auto" w:fill="auto"/>
            <w:noWrap/>
            <w:vAlign w:val="center"/>
            <w:hideMark/>
          </w:tcPr>
          <w:p w14:paraId="0F81F8EE" w14:textId="77777777" w:rsidR="00387142" w:rsidRPr="008B6A75" w:rsidRDefault="00387142" w:rsidP="00387142">
            <w:pPr>
              <w:jc w:val="center"/>
              <w:rPr>
                <w:bCs/>
                <w:sz w:val="20"/>
                <w:szCs w:val="20"/>
              </w:rPr>
            </w:pPr>
            <w:r w:rsidRPr="008B6A75">
              <w:rPr>
                <w:bCs/>
                <w:sz w:val="20"/>
                <w:szCs w:val="20"/>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8376B60" w14:textId="77777777" w:rsidR="00387142" w:rsidRPr="008B6A75" w:rsidRDefault="00387142" w:rsidP="00387142">
            <w:pPr>
              <w:jc w:val="center"/>
              <w:rPr>
                <w:bCs/>
                <w:sz w:val="20"/>
                <w:szCs w:val="20"/>
              </w:rPr>
            </w:pPr>
            <w:r w:rsidRPr="008B6A75">
              <w:rPr>
                <w:bCs/>
                <w:sz w:val="20"/>
                <w:szCs w:val="20"/>
              </w:rPr>
              <w:t>01</w:t>
            </w:r>
          </w:p>
        </w:tc>
        <w:tc>
          <w:tcPr>
            <w:tcW w:w="1516" w:type="dxa"/>
            <w:tcBorders>
              <w:top w:val="nil"/>
              <w:left w:val="single" w:sz="4" w:space="0" w:color="auto"/>
              <w:bottom w:val="single" w:sz="4" w:space="0" w:color="auto"/>
              <w:right w:val="nil"/>
            </w:tcBorders>
            <w:shd w:val="clear" w:color="auto" w:fill="auto"/>
            <w:noWrap/>
            <w:vAlign w:val="center"/>
            <w:hideMark/>
          </w:tcPr>
          <w:p w14:paraId="511EFC18" w14:textId="77777777" w:rsidR="00387142" w:rsidRPr="008B6A75" w:rsidRDefault="00387142" w:rsidP="00387142">
            <w:pPr>
              <w:jc w:val="center"/>
              <w:rPr>
                <w:bCs/>
                <w:sz w:val="20"/>
                <w:szCs w:val="20"/>
              </w:rPr>
            </w:pPr>
            <w:r w:rsidRPr="008B6A75">
              <w:rPr>
                <w:bCs/>
                <w:sz w:val="20"/>
                <w:szCs w:val="20"/>
              </w:rPr>
              <w:t>08.0.00.00000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CBA03BB"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72DDCB2" w14:textId="77777777" w:rsidR="00387142" w:rsidRPr="008B6A75" w:rsidRDefault="00387142" w:rsidP="00387142">
            <w:pPr>
              <w:jc w:val="right"/>
              <w:rPr>
                <w:bCs/>
                <w:sz w:val="20"/>
                <w:szCs w:val="20"/>
              </w:rPr>
            </w:pPr>
            <w:r w:rsidRPr="008B6A75">
              <w:rPr>
                <w:bCs/>
                <w:sz w:val="20"/>
                <w:szCs w:val="20"/>
              </w:rPr>
              <w:t>124 914 309,59</w:t>
            </w:r>
          </w:p>
        </w:tc>
        <w:tc>
          <w:tcPr>
            <w:tcW w:w="992" w:type="dxa"/>
            <w:tcBorders>
              <w:top w:val="nil"/>
              <w:left w:val="single" w:sz="4" w:space="0" w:color="auto"/>
              <w:bottom w:val="single" w:sz="4" w:space="0" w:color="auto"/>
              <w:right w:val="nil"/>
            </w:tcBorders>
            <w:shd w:val="clear" w:color="auto" w:fill="auto"/>
            <w:vAlign w:val="center"/>
            <w:hideMark/>
          </w:tcPr>
          <w:p w14:paraId="3578889C" w14:textId="77777777" w:rsidR="00387142" w:rsidRPr="008B6A75" w:rsidRDefault="00387142" w:rsidP="00387142">
            <w:pPr>
              <w:jc w:val="right"/>
              <w:rPr>
                <w:bCs/>
                <w:sz w:val="20"/>
                <w:szCs w:val="20"/>
              </w:rPr>
            </w:pPr>
            <w:r w:rsidRPr="008B6A75">
              <w:rPr>
                <w:bCs/>
                <w:sz w:val="20"/>
                <w:szCs w:val="20"/>
              </w:rPr>
              <w:t>50 317 100,00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6C1D8A88" w14:textId="77777777" w:rsidR="00387142" w:rsidRPr="008B6A75" w:rsidRDefault="00387142" w:rsidP="00387142">
            <w:pPr>
              <w:jc w:val="right"/>
              <w:rPr>
                <w:bCs/>
                <w:sz w:val="20"/>
                <w:szCs w:val="20"/>
              </w:rPr>
            </w:pPr>
            <w:r w:rsidRPr="008B6A75">
              <w:rPr>
                <w:bCs/>
                <w:sz w:val="20"/>
                <w:szCs w:val="20"/>
              </w:rPr>
              <w:t>50 969 900,00</w:t>
            </w:r>
          </w:p>
        </w:tc>
      </w:tr>
      <w:tr w:rsidR="00387142" w:rsidRPr="008B6A75" w14:paraId="2CAC2567" w14:textId="77777777" w:rsidTr="00387142">
        <w:trPr>
          <w:trHeight w:val="1155"/>
        </w:trPr>
        <w:tc>
          <w:tcPr>
            <w:tcW w:w="3261" w:type="dxa"/>
            <w:tcBorders>
              <w:top w:val="nil"/>
              <w:left w:val="single" w:sz="4" w:space="0" w:color="auto"/>
              <w:bottom w:val="single" w:sz="4" w:space="0" w:color="auto"/>
              <w:right w:val="nil"/>
            </w:tcBorders>
            <w:shd w:val="clear" w:color="auto" w:fill="auto"/>
            <w:vAlign w:val="center"/>
            <w:hideMark/>
          </w:tcPr>
          <w:p w14:paraId="10CC7FDF" w14:textId="77777777" w:rsidR="00387142" w:rsidRPr="008B6A75" w:rsidRDefault="00387142" w:rsidP="00387142">
            <w:pPr>
              <w:rPr>
                <w:bCs/>
                <w:sz w:val="20"/>
                <w:szCs w:val="20"/>
              </w:rPr>
            </w:pPr>
            <w:r w:rsidRPr="008B6A75">
              <w:rPr>
                <w:bCs/>
                <w:sz w:val="20"/>
                <w:szCs w:val="20"/>
              </w:rPr>
              <w:t>Расходы на обеспечение деятельности (оказание услуг) муниципальных учреждений культуры и мероприятий в сфере культуры и кинематографии</w:t>
            </w:r>
          </w:p>
        </w:tc>
        <w:tc>
          <w:tcPr>
            <w:tcW w:w="720" w:type="dxa"/>
            <w:tcBorders>
              <w:top w:val="nil"/>
              <w:left w:val="single" w:sz="4" w:space="0" w:color="auto"/>
              <w:bottom w:val="single" w:sz="4" w:space="0" w:color="auto"/>
              <w:right w:val="nil"/>
            </w:tcBorders>
            <w:shd w:val="clear" w:color="auto" w:fill="auto"/>
            <w:noWrap/>
            <w:vAlign w:val="center"/>
            <w:hideMark/>
          </w:tcPr>
          <w:p w14:paraId="10523F05" w14:textId="77777777" w:rsidR="00387142" w:rsidRPr="008B6A75" w:rsidRDefault="00387142" w:rsidP="00387142">
            <w:pPr>
              <w:jc w:val="center"/>
              <w:rPr>
                <w:bCs/>
                <w:sz w:val="20"/>
                <w:szCs w:val="20"/>
              </w:rPr>
            </w:pPr>
            <w:r w:rsidRPr="008B6A75">
              <w:rPr>
                <w:bCs/>
                <w:sz w:val="20"/>
                <w:szCs w:val="20"/>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E484E5A" w14:textId="77777777" w:rsidR="00387142" w:rsidRPr="008B6A75" w:rsidRDefault="00387142" w:rsidP="00387142">
            <w:pPr>
              <w:jc w:val="center"/>
              <w:rPr>
                <w:bCs/>
                <w:sz w:val="20"/>
                <w:szCs w:val="20"/>
              </w:rPr>
            </w:pPr>
            <w:r w:rsidRPr="008B6A75">
              <w:rPr>
                <w:bCs/>
                <w:sz w:val="20"/>
                <w:szCs w:val="20"/>
              </w:rPr>
              <w:t>01</w:t>
            </w:r>
          </w:p>
        </w:tc>
        <w:tc>
          <w:tcPr>
            <w:tcW w:w="1516" w:type="dxa"/>
            <w:tcBorders>
              <w:top w:val="nil"/>
              <w:left w:val="single" w:sz="4" w:space="0" w:color="auto"/>
              <w:bottom w:val="single" w:sz="4" w:space="0" w:color="auto"/>
              <w:right w:val="nil"/>
            </w:tcBorders>
            <w:shd w:val="clear" w:color="auto" w:fill="auto"/>
            <w:noWrap/>
            <w:vAlign w:val="center"/>
            <w:hideMark/>
          </w:tcPr>
          <w:p w14:paraId="76F29AA0" w14:textId="77777777" w:rsidR="00387142" w:rsidRPr="008B6A75" w:rsidRDefault="00387142" w:rsidP="00387142">
            <w:pPr>
              <w:jc w:val="center"/>
              <w:rPr>
                <w:bCs/>
                <w:sz w:val="20"/>
                <w:szCs w:val="20"/>
              </w:rPr>
            </w:pPr>
            <w:r w:rsidRPr="008B6A75">
              <w:rPr>
                <w:bCs/>
                <w:sz w:val="20"/>
                <w:szCs w:val="20"/>
              </w:rPr>
              <w:t>08.0.00.08190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422D459"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7394DA5" w14:textId="77777777" w:rsidR="00387142" w:rsidRPr="008B6A75" w:rsidRDefault="00387142" w:rsidP="00387142">
            <w:pPr>
              <w:jc w:val="right"/>
              <w:rPr>
                <w:bCs/>
                <w:sz w:val="20"/>
                <w:szCs w:val="20"/>
              </w:rPr>
            </w:pPr>
            <w:r w:rsidRPr="008B6A75">
              <w:rPr>
                <w:bCs/>
                <w:sz w:val="20"/>
                <w:szCs w:val="20"/>
              </w:rPr>
              <w:t>10 946 502,37</w:t>
            </w:r>
          </w:p>
        </w:tc>
        <w:tc>
          <w:tcPr>
            <w:tcW w:w="992" w:type="dxa"/>
            <w:tcBorders>
              <w:top w:val="nil"/>
              <w:left w:val="single" w:sz="4" w:space="0" w:color="auto"/>
              <w:bottom w:val="single" w:sz="4" w:space="0" w:color="auto"/>
              <w:right w:val="nil"/>
            </w:tcBorders>
            <w:shd w:val="clear" w:color="auto" w:fill="auto"/>
            <w:vAlign w:val="center"/>
            <w:hideMark/>
          </w:tcPr>
          <w:p w14:paraId="4C64A1AF" w14:textId="77777777" w:rsidR="00387142" w:rsidRPr="008B6A75" w:rsidRDefault="00387142" w:rsidP="00387142">
            <w:pPr>
              <w:jc w:val="right"/>
              <w:rPr>
                <w:bCs/>
                <w:sz w:val="20"/>
                <w:szCs w:val="20"/>
              </w:rPr>
            </w:pPr>
            <w:r w:rsidRPr="008B6A75">
              <w:rPr>
                <w:bCs/>
                <w:sz w:val="20"/>
                <w:szCs w:val="20"/>
              </w:rPr>
              <w:t>31 300 000,00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4B9BA23F" w14:textId="77777777" w:rsidR="00387142" w:rsidRPr="008B6A75" w:rsidRDefault="00387142" w:rsidP="00387142">
            <w:pPr>
              <w:jc w:val="right"/>
              <w:rPr>
                <w:bCs/>
                <w:sz w:val="20"/>
                <w:szCs w:val="20"/>
              </w:rPr>
            </w:pPr>
            <w:r w:rsidRPr="008B6A75">
              <w:rPr>
                <w:bCs/>
                <w:sz w:val="20"/>
                <w:szCs w:val="20"/>
              </w:rPr>
              <w:t>31 300 000,00</w:t>
            </w:r>
          </w:p>
        </w:tc>
      </w:tr>
      <w:tr w:rsidR="00387142" w:rsidRPr="008B6A75" w14:paraId="037F340E" w14:textId="77777777" w:rsidTr="00387142">
        <w:trPr>
          <w:trHeight w:val="1440"/>
        </w:trPr>
        <w:tc>
          <w:tcPr>
            <w:tcW w:w="3261" w:type="dxa"/>
            <w:tcBorders>
              <w:top w:val="nil"/>
              <w:left w:val="single" w:sz="4" w:space="0" w:color="auto"/>
              <w:bottom w:val="single" w:sz="4" w:space="0" w:color="auto"/>
              <w:right w:val="nil"/>
            </w:tcBorders>
            <w:shd w:val="clear" w:color="auto" w:fill="auto"/>
            <w:vAlign w:val="center"/>
            <w:hideMark/>
          </w:tcPr>
          <w:p w14:paraId="6323A414" w14:textId="77777777" w:rsidR="00387142" w:rsidRPr="008B6A75" w:rsidRDefault="00387142" w:rsidP="00387142">
            <w:pPr>
              <w:rPr>
                <w:sz w:val="20"/>
                <w:szCs w:val="20"/>
              </w:rPr>
            </w:pPr>
            <w:r w:rsidRPr="008B6A7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14:paraId="695A6DED" w14:textId="77777777" w:rsidR="00387142" w:rsidRPr="008B6A75" w:rsidRDefault="00387142" w:rsidP="00387142">
            <w:pPr>
              <w:jc w:val="center"/>
              <w:rPr>
                <w:sz w:val="20"/>
                <w:szCs w:val="20"/>
              </w:rPr>
            </w:pPr>
            <w:r w:rsidRPr="008B6A75">
              <w:rPr>
                <w:sz w:val="20"/>
                <w:szCs w:val="20"/>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D38150F" w14:textId="77777777" w:rsidR="00387142" w:rsidRPr="008B6A75" w:rsidRDefault="00387142" w:rsidP="00387142">
            <w:pPr>
              <w:jc w:val="center"/>
              <w:rPr>
                <w:sz w:val="20"/>
                <w:szCs w:val="20"/>
              </w:rPr>
            </w:pPr>
            <w:r w:rsidRPr="008B6A75">
              <w:rPr>
                <w:sz w:val="20"/>
                <w:szCs w:val="20"/>
              </w:rPr>
              <w:t>01</w:t>
            </w:r>
          </w:p>
        </w:tc>
        <w:tc>
          <w:tcPr>
            <w:tcW w:w="1516" w:type="dxa"/>
            <w:tcBorders>
              <w:top w:val="nil"/>
              <w:left w:val="single" w:sz="4" w:space="0" w:color="auto"/>
              <w:bottom w:val="single" w:sz="4" w:space="0" w:color="auto"/>
              <w:right w:val="nil"/>
            </w:tcBorders>
            <w:shd w:val="clear" w:color="auto" w:fill="auto"/>
            <w:noWrap/>
            <w:vAlign w:val="center"/>
            <w:hideMark/>
          </w:tcPr>
          <w:p w14:paraId="7B8CB2DE" w14:textId="77777777" w:rsidR="00387142" w:rsidRPr="008B6A75" w:rsidRDefault="00387142" w:rsidP="00387142">
            <w:pPr>
              <w:jc w:val="center"/>
              <w:rPr>
                <w:sz w:val="20"/>
                <w:szCs w:val="20"/>
              </w:rPr>
            </w:pPr>
            <w:r w:rsidRPr="008B6A75">
              <w:rPr>
                <w:sz w:val="20"/>
                <w:szCs w:val="20"/>
              </w:rPr>
              <w:t>08.0.00.08190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FB6E75B" w14:textId="77777777" w:rsidR="00387142" w:rsidRPr="008B6A75" w:rsidRDefault="00387142" w:rsidP="00387142">
            <w:pPr>
              <w:jc w:val="center"/>
              <w:rPr>
                <w:sz w:val="20"/>
                <w:szCs w:val="20"/>
              </w:rPr>
            </w:pPr>
            <w:r w:rsidRPr="008B6A75">
              <w:rPr>
                <w:sz w:val="20"/>
                <w:szCs w:val="20"/>
              </w:rPr>
              <w:t>100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6D67FE1" w14:textId="77777777" w:rsidR="00387142" w:rsidRPr="008B6A75" w:rsidRDefault="00387142" w:rsidP="00387142">
            <w:pPr>
              <w:jc w:val="right"/>
              <w:rPr>
                <w:sz w:val="20"/>
                <w:szCs w:val="20"/>
              </w:rPr>
            </w:pPr>
            <w:r w:rsidRPr="008B6A75">
              <w:rPr>
                <w:sz w:val="20"/>
                <w:szCs w:val="20"/>
              </w:rPr>
              <w:t>0,00</w:t>
            </w:r>
          </w:p>
        </w:tc>
        <w:tc>
          <w:tcPr>
            <w:tcW w:w="992" w:type="dxa"/>
            <w:tcBorders>
              <w:top w:val="nil"/>
              <w:left w:val="single" w:sz="4" w:space="0" w:color="auto"/>
              <w:bottom w:val="single" w:sz="4" w:space="0" w:color="auto"/>
              <w:right w:val="nil"/>
            </w:tcBorders>
            <w:shd w:val="clear" w:color="auto" w:fill="auto"/>
            <w:vAlign w:val="center"/>
            <w:hideMark/>
          </w:tcPr>
          <w:p w14:paraId="6DF48AD7" w14:textId="77777777" w:rsidR="00387142" w:rsidRPr="008B6A75" w:rsidRDefault="00387142" w:rsidP="00387142">
            <w:pPr>
              <w:jc w:val="right"/>
              <w:rPr>
                <w:sz w:val="20"/>
                <w:szCs w:val="20"/>
              </w:rPr>
            </w:pPr>
            <w:r w:rsidRPr="008B6A75">
              <w:rPr>
                <w:sz w:val="20"/>
                <w:szCs w:val="20"/>
              </w:rPr>
              <w:t>15 420 000,00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597F4B79" w14:textId="77777777" w:rsidR="00387142" w:rsidRPr="008B6A75" w:rsidRDefault="00387142" w:rsidP="00387142">
            <w:pPr>
              <w:jc w:val="right"/>
              <w:rPr>
                <w:sz w:val="20"/>
                <w:szCs w:val="20"/>
              </w:rPr>
            </w:pPr>
            <w:r w:rsidRPr="008B6A75">
              <w:rPr>
                <w:sz w:val="20"/>
                <w:szCs w:val="20"/>
              </w:rPr>
              <w:t>20 000 000,00</w:t>
            </w:r>
          </w:p>
        </w:tc>
      </w:tr>
      <w:tr w:rsidR="00387142" w:rsidRPr="008B6A75" w14:paraId="5EA5477F" w14:textId="77777777" w:rsidTr="00387142">
        <w:trPr>
          <w:trHeight w:val="585"/>
        </w:trPr>
        <w:tc>
          <w:tcPr>
            <w:tcW w:w="3261" w:type="dxa"/>
            <w:tcBorders>
              <w:top w:val="nil"/>
              <w:left w:val="single" w:sz="4" w:space="0" w:color="auto"/>
              <w:bottom w:val="single" w:sz="4" w:space="0" w:color="auto"/>
              <w:right w:val="nil"/>
            </w:tcBorders>
            <w:shd w:val="clear" w:color="auto" w:fill="auto"/>
            <w:vAlign w:val="center"/>
            <w:hideMark/>
          </w:tcPr>
          <w:p w14:paraId="41FCC16C" w14:textId="77777777" w:rsidR="00387142" w:rsidRPr="008B6A75" w:rsidRDefault="00387142" w:rsidP="00387142">
            <w:pPr>
              <w:rPr>
                <w:sz w:val="20"/>
                <w:szCs w:val="20"/>
              </w:rPr>
            </w:pPr>
            <w:r w:rsidRPr="008B6A75">
              <w:rPr>
                <w:sz w:val="20"/>
                <w:szCs w:val="20"/>
              </w:rPr>
              <w:t>Расходы на выплаты персоналу казенных учреждений</w:t>
            </w:r>
          </w:p>
        </w:tc>
        <w:tc>
          <w:tcPr>
            <w:tcW w:w="720" w:type="dxa"/>
            <w:tcBorders>
              <w:top w:val="nil"/>
              <w:left w:val="single" w:sz="4" w:space="0" w:color="auto"/>
              <w:bottom w:val="single" w:sz="4" w:space="0" w:color="auto"/>
              <w:right w:val="nil"/>
            </w:tcBorders>
            <w:shd w:val="clear" w:color="auto" w:fill="auto"/>
            <w:noWrap/>
            <w:vAlign w:val="center"/>
            <w:hideMark/>
          </w:tcPr>
          <w:p w14:paraId="189518E4" w14:textId="77777777" w:rsidR="00387142" w:rsidRPr="008B6A75" w:rsidRDefault="00387142" w:rsidP="00387142">
            <w:pPr>
              <w:jc w:val="center"/>
              <w:rPr>
                <w:sz w:val="20"/>
                <w:szCs w:val="20"/>
              </w:rPr>
            </w:pPr>
            <w:r w:rsidRPr="008B6A75">
              <w:rPr>
                <w:sz w:val="20"/>
                <w:szCs w:val="20"/>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AE88F56" w14:textId="77777777" w:rsidR="00387142" w:rsidRPr="008B6A75" w:rsidRDefault="00387142" w:rsidP="00387142">
            <w:pPr>
              <w:jc w:val="center"/>
              <w:rPr>
                <w:sz w:val="20"/>
                <w:szCs w:val="20"/>
              </w:rPr>
            </w:pPr>
            <w:r w:rsidRPr="008B6A75">
              <w:rPr>
                <w:sz w:val="20"/>
                <w:szCs w:val="20"/>
              </w:rPr>
              <w:t>01</w:t>
            </w:r>
          </w:p>
        </w:tc>
        <w:tc>
          <w:tcPr>
            <w:tcW w:w="1516" w:type="dxa"/>
            <w:tcBorders>
              <w:top w:val="nil"/>
              <w:left w:val="single" w:sz="4" w:space="0" w:color="auto"/>
              <w:bottom w:val="single" w:sz="4" w:space="0" w:color="auto"/>
              <w:right w:val="nil"/>
            </w:tcBorders>
            <w:shd w:val="clear" w:color="auto" w:fill="auto"/>
            <w:noWrap/>
            <w:vAlign w:val="center"/>
            <w:hideMark/>
          </w:tcPr>
          <w:p w14:paraId="36CFAC09" w14:textId="77777777" w:rsidR="00387142" w:rsidRPr="008B6A75" w:rsidRDefault="00387142" w:rsidP="00387142">
            <w:pPr>
              <w:jc w:val="center"/>
              <w:rPr>
                <w:sz w:val="20"/>
                <w:szCs w:val="20"/>
              </w:rPr>
            </w:pPr>
            <w:r w:rsidRPr="008B6A75">
              <w:rPr>
                <w:sz w:val="20"/>
                <w:szCs w:val="20"/>
              </w:rPr>
              <w:t>08.0.00.08190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807AE48" w14:textId="77777777" w:rsidR="00387142" w:rsidRPr="008B6A75" w:rsidRDefault="00387142" w:rsidP="00387142">
            <w:pPr>
              <w:jc w:val="center"/>
              <w:rPr>
                <w:sz w:val="20"/>
                <w:szCs w:val="20"/>
              </w:rPr>
            </w:pPr>
            <w:r w:rsidRPr="008B6A75">
              <w:rPr>
                <w:sz w:val="20"/>
                <w:szCs w:val="20"/>
              </w:rPr>
              <w:t>110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9B5F844" w14:textId="77777777" w:rsidR="00387142" w:rsidRPr="008B6A75" w:rsidRDefault="00387142" w:rsidP="00387142">
            <w:pPr>
              <w:jc w:val="right"/>
              <w:rPr>
                <w:sz w:val="20"/>
                <w:szCs w:val="20"/>
              </w:rPr>
            </w:pPr>
            <w:r w:rsidRPr="008B6A75">
              <w:rPr>
                <w:sz w:val="20"/>
                <w:szCs w:val="20"/>
              </w:rPr>
              <w:t>0,00</w:t>
            </w:r>
          </w:p>
        </w:tc>
        <w:tc>
          <w:tcPr>
            <w:tcW w:w="992" w:type="dxa"/>
            <w:tcBorders>
              <w:top w:val="nil"/>
              <w:left w:val="single" w:sz="4" w:space="0" w:color="auto"/>
              <w:bottom w:val="single" w:sz="4" w:space="0" w:color="auto"/>
              <w:right w:val="nil"/>
            </w:tcBorders>
            <w:shd w:val="clear" w:color="auto" w:fill="auto"/>
            <w:vAlign w:val="center"/>
            <w:hideMark/>
          </w:tcPr>
          <w:p w14:paraId="15022910" w14:textId="77777777" w:rsidR="00387142" w:rsidRPr="008B6A75" w:rsidRDefault="00387142" w:rsidP="00387142">
            <w:pPr>
              <w:jc w:val="right"/>
              <w:rPr>
                <w:sz w:val="20"/>
                <w:szCs w:val="20"/>
              </w:rPr>
            </w:pPr>
            <w:r w:rsidRPr="008B6A75">
              <w:rPr>
                <w:sz w:val="20"/>
                <w:szCs w:val="20"/>
              </w:rPr>
              <w:t>15 420 000,00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0EEE14EB" w14:textId="77777777" w:rsidR="00387142" w:rsidRPr="008B6A75" w:rsidRDefault="00387142" w:rsidP="00387142">
            <w:pPr>
              <w:jc w:val="right"/>
              <w:rPr>
                <w:sz w:val="20"/>
                <w:szCs w:val="20"/>
              </w:rPr>
            </w:pPr>
            <w:r w:rsidRPr="008B6A75">
              <w:rPr>
                <w:sz w:val="20"/>
                <w:szCs w:val="20"/>
              </w:rPr>
              <w:t>20 000 000,00</w:t>
            </w:r>
          </w:p>
        </w:tc>
      </w:tr>
      <w:tr w:rsidR="00387142" w:rsidRPr="008B6A75" w14:paraId="7E9EBBCD" w14:textId="77777777" w:rsidTr="00387142">
        <w:trPr>
          <w:trHeight w:val="585"/>
        </w:trPr>
        <w:tc>
          <w:tcPr>
            <w:tcW w:w="3261" w:type="dxa"/>
            <w:tcBorders>
              <w:top w:val="nil"/>
              <w:left w:val="single" w:sz="4" w:space="0" w:color="auto"/>
              <w:bottom w:val="single" w:sz="4" w:space="0" w:color="auto"/>
              <w:right w:val="nil"/>
            </w:tcBorders>
            <w:shd w:val="clear" w:color="auto" w:fill="auto"/>
            <w:vAlign w:val="center"/>
            <w:hideMark/>
          </w:tcPr>
          <w:p w14:paraId="05B4C1F6" w14:textId="77777777" w:rsidR="00387142" w:rsidRPr="008B6A75" w:rsidRDefault="00387142" w:rsidP="00387142">
            <w:pPr>
              <w:rPr>
                <w:sz w:val="20"/>
                <w:szCs w:val="20"/>
              </w:rPr>
            </w:pPr>
            <w:r w:rsidRPr="008B6A75">
              <w:rPr>
                <w:sz w:val="20"/>
                <w:szCs w:val="20"/>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0281A049" w14:textId="77777777" w:rsidR="00387142" w:rsidRPr="008B6A75" w:rsidRDefault="00387142" w:rsidP="00387142">
            <w:pPr>
              <w:jc w:val="center"/>
              <w:rPr>
                <w:sz w:val="20"/>
                <w:szCs w:val="20"/>
              </w:rPr>
            </w:pPr>
            <w:r w:rsidRPr="008B6A75">
              <w:rPr>
                <w:sz w:val="20"/>
                <w:szCs w:val="20"/>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1EEC08C" w14:textId="77777777" w:rsidR="00387142" w:rsidRPr="008B6A75" w:rsidRDefault="00387142" w:rsidP="00387142">
            <w:pPr>
              <w:jc w:val="center"/>
              <w:rPr>
                <w:sz w:val="20"/>
                <w:szCs w:val="20"/>
              </w:rPr>
            </w:pPr>
            <w:r w:rsidRPr="008B6A75">
              <w:rPr>
                <w:sz w:val="20"/>
                <w:szCs w:val="20"/>
              </w:rPr>
              <w:t>01</w:t>
            </w:r>
          </w:p>
        </w:tc>
        <w:tc>
          <w:tcPr>
            <w:tcW w:w="1516" w:type="dxa"/>
            <w:tcBorders>
              <w:top w:val="nil"/>
              <w:left w:val="single" w:sz="4" w:space="0" w:color="auto"/>
              <w:bottom w:val="single" w:sz="4" w:space="0" w:color="auto"/>
              <w:right w:val="nil"/>
            </w:tcBorders>
            <w:shd w:val="clear" w:color="auto" w:fill="auto"/>
            <w:noWrap/>
            <w:vAlign w:val="center"/>
            <w:hideMark/>
          </w:tcPr>
          <w:p w14:paraId="7F5DA542" w14:textId="77777777" w:rsidR="00387142" w:rsidRPr="008B6A75" w:rsidRDefault="00387142" w:rsidP="00387142">
            <w:pPr>
              <w:jc w:val="center"/>
              <w:rPr>
                <w:sz w:val="20"/>
                <w:szCs w:val="20"/>
              </w:rPr>
            </w:pPr>
            <w:r w:rsidRPr="008B6A75">
              <w:rPr>
                <w:sz w:val="20"/>
                <w:szCs w:val="20"/>
              </w:rPr>
              <w:t>08.0.00.08190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699C31F" w14:textId="77777777" w:rsidR="00387142" w:rsidRPr="008B6A75" w:rsidRDefault="00387142" w:rsidP="00387142">
            <w:pPr>
              <w:jc w:val="center"/>
              <w:rPr>
                <w:sz w:val="20"/>
                <w:szCs w:val="20"/>
              </w:rPr>
            </w:pPr>
            <w:r w:rsidRPr="008B6A75">
              <w:rPr>
                <w:sz w:val="20"/>
                <w:szCs w:val="20"/>
              </w:rPr>
              <w:t>200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3DF56B4" w14:textId="77777777" w:rsidR="00387142" w:rsidRPr="008B6A75" w:rsidRDefault="00387142" w:rsidP="00387142">
            <w:pPr>
              <w:jc w:val="right"/>
              <w:rPr>
                <w:sz w:val="20"/>
                <w:szCs w:val="20"/>
              </w:rPr>
            </w:pPr>
            <w:r w:rsidRPr="008B6A75">
              <w:rPr>
                <w:sz w:val="20"/>
                <w:szCs w:val="20"/>
              </w:rPr>
              <w:t>0,00</w:t>
            </w:r>
          </w:p>
        </w:tc>
        <w:tc>
          <w:tcPr>
            <w:tcW w:w="992" w:type="dxa"/>
            <w:tcBorders>
              <w:top w:val="nil"/>
              <w:left w:val="single" w:sz="4" w:space="0" w:color="auto"/>
              <w:bottom w:val="single" w:sz="4" w:space="0" w:color="auto"/>
              <w:right w:val="nil"/>
            </w:tcBorders>
            <w:shd w:val="clear" w:color="auto" w:fill="auto"/>
            <w:vAlign w:val="center"/>
            <w:hideMark/>
          </w:tcPr>
          <w:p w14:paraId="7A0DF414" w14:textId="77777777" w:rsidR="00387142" w:rsidRPr="008B6A75" w:rsidRDefault="00387142" w:rsidP="00387142">
            <w:pPr>
              <w:jc w:val="right"/>
              <w:rPr>
                <w:sz w:val="20"/>
                <w:szCs w:val="20"/>
              </w:rPr>
            </w:pPr>
            <w:r w:rsidRPr="008B6A75">
              <w:rPr>
                <w:sz w:val="20"/>
                <w:szCs w:val="20"/>
              </w:rPr>
              <w:t>3 880 000,00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0459A86B" w14:textId="77777777" w:rsidR="00387142" w:rsidRPr="008B6A75" w:rsidRDefault="00387142" w:rsidP="00387142">
            <w:pPr>
              <w:jc w:val="right"/>
              <w:rPr>
                <w:sz w:val="20"/>
                <w:szCs w:val="20"/>
              </w:rPr>
            </w:pPr>
            <w:r w:rsidRPr="008B6A75">
              <w:rPr>
                <w:sz w:val="20"/>
                <w:szCs w:val="20"/>
              </w:rPr>
              <w:t>1 300 000,00</w:t>
            </w:r>
          </w:p>
        </w:tc>
      </w:tr>
      <w:tr w:rsidR="00387142" w:rsidRPr="008B6A75" w14:paraId="403167D4" w14:textId="77777777" w:rsidTr="00387142">
        <w:trPr>
          <w:trHeight w:val="870"/>
        </w:trPr>
        <w:tc>
          <w:tcPr>
            <w:tcW w:w="3261" w:type="dxa"/>
            <w:tcBorders>
              <w:top w:val="nil"/>
              <w:left w:val="single" w:sz="4" w:space="0" w:color="auto"/>
              <w:bottom w:val="single" w:sz="4" w:space="0" w:color="auto"/>
              <w:right w:val="nil"/>
            </w:tcBorders>
            <w:shd w:val="clear" w:color="auto" w:fill="auto"/>
            <w:vAlign w:val="center"/>
            <w:hideMark/>
          </w:tcPr>
          <w:p w14:paraId="2A97AAC0" w14:textId="77777777" w:rsidR="00387142" w:rsidRPr="008B6A75" w:rsidRDefault="00387142" w:rsidP="00387142">
            <w:pPr>
              <w:rPr>
                <w:sz w:val="20"/>
                <w:szCs w:val="20"/>
              </w:rPr>
            </w:pPr>
            <w:r w:rsidRPr="008B6A75">
              <w:rPr>
                <w:sz w:val="20"/>
                <w:szCs w:val="20"/>
              </w:rPr>
              <w:lastRenderedPageBreak/>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177E4438" w14:textId="77777777" w:rsidR="00387142" w:rsidRPr="008B6A75" w:rsidRDefault="00387142" w:rsidP="00387142">
            <w:pPr>
              <w:jc w:val="center"/>
              <w:rPr>
                <w:sz w:val="20"/>
                <w:szCs w:val="20"/>
              </w:rPr>
            </w:pPr>
            <w:r w:rsidRPr="008B6A75">
              <w:rPr>
                <w:sz w:val="20"/>
                <w:szCs w:val="20"/>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20BE239" w14:textId="77777777" w:rsidR="00387142" w:rsidRPr="008B6A75" w:rsidRDefault="00387142" w:rsidP="00387142">
            <w:pPr>
              <w:jc w:val="center"/>
              <w:rPr>
                <w:sz w:val="20"/>
                <w:szCs w:val="20"/>
              </w:rPr>
            </w:pPr>
            <w:r w:rsidRPr="008B6A75">
              <w:rPr>
                <w:sz w:val="20"/>
                <w:szCs w:val="20"/>
              </w:rPr>
              <w:t>01</w:t>
            </w:r>
          </w:p>
        </w:tc>
        <w:tc>
          <w:tcPr>
            <w:tcW w:w="1516" w:type="dxa"/>
            <w:tcBorders>
              <w:top w:val="nil"/>
              <w:left w:val="single" w:sz="4" w:space="0" w:color="auto"/>
              <w:bottom w:val="single" w:sz="4" w:space="0" w:color="auto"/>
              <w:right w:val="nil"/>
            </w:tcBorders>
            <w:shd w:val="clear" w:color="auto" w:fill="auto"/>
            <w:noWrap/>
            <w:vAlign w:val="center"/>
            <w:hideMark/>
          </w:tcPr>
          <w:p w14:paraId="7CF2824A" w14:textId="77777777" w:rsidR="00387142" w:rsidRPr="008B6A75" w:rsidRDefault="00387142" w:rsidP="00387142">
            <w:pPr>
              <w:jc w:val="center"/>
              <w:rPr>
                <w:sz w:val="20"/>
                <w:szCs w:val="20"/>
              </w:rPr>
            </w:pPr>
            <w:r w:rsidRPr="008B6A75">
              <w:rPr>
                <w:sz w:val="20"/>
                <w:szCs w:val="20"/>
              </w:rPr>
              <w:t>08.0.00.08190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E7D4C10" w14:textId="77777777" w:rsidR="00387142" w:rsidRPr="008B6A75" w:rsidRDefault="00387142" w:rsidP="00387142">
            <w:pPr>
              <w:jc w:val="center"/>
              <w:rPr>
                <w:sz w:val="20"/>
                <w:szCs w:val="20"/>
              </w:rPr>
            </w:pPr>
            <w:r w:rsidRPr="008B6A75">
              <w:rPr>
                <w:sz w:val="20"/>
                <w:szCs w:val="20"/>
              </w:rPr>
              <w:t>240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7DBF355" w14:textId="77777777" w:rsidR="00387142" w:rsidRPr="008B6A75" w:rsidRDefault="00387142" w:rsidP="00387142">
            <w:pPr>
              <w:jc w:val="right"/>
              <w:rPr>
                <w:sz w:val="20"/>
                <w:szCs w:val="20"/>
              </w:rPr>
            </w:pPr>
            <w:r w:rsidRPr="008B6A75">
              <w:rPr>
                <w:sz w:val="20"/>
                <w:szCs w:val="20"/>
              </w:rPr>
              <w:t>0,00</w:t>
            </w:r>
          </w:p>
        </w:tc>
        <w:tc>
          <w:tcPr>
            <w:tcW w:w="992" w:type="dxa"/>
            <w:tcBorders>
              <w:top w:val="nil"/>
              <w:left w:val="single" w:sz="4" w:space="0" w:color="auto"/>
              <w:bottom w:val="single" w:sz="4" w:space="0" w:color="auto"/>
              <w:right w:val="nil"/>
            </w:tcBorders>
            <w:shd w:val="clear" w:color="auto" w:fill="auto"/>
            <w:vAlign w:val="center"/>
            <w:hideMark/>
          </w:tcPr>
          <w:p w14:paraId="3C12BE8C" w14:textId="77777777" w:rsidR="00387142" w:rsidRPr="008B6A75" w:rsidRDefault="00387142" w:rsidP="00387142">
            <w:pPr>
              <w:jc w:val="right"/>
              <w:rPr>
                <w:sz w:val="20"/>
                <w:szCs w:val="20"/>
              </w:rPr>
            </w:pPr>
            <w:r w:rsidRPr="008B6A75">
              <w:rPr>
                <w:sz w:val="20"/>
                <w:szCs w:val="20"/>
              </w:rPr>
              <w:t>3 880 000,00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3624E351" w14:textId="77777777" w:rsidR="00387142" w:rsidRPr="008B6A75" w:rsidRDefault="00387142" w:rsidP="00387142">
            <w:pPr>
              <w:jc w:val="right"/>
              <w:rPr>
                <w:sz w:val="20"/>
                <w:szCs w:val="20"/>
              </w:rPr>
            </w:pPr>
            <w:r w:rsidRPr="008B6A75">
              <w:rPr>
                <w:sz w:val="20"/>
                <w:szCs w:val="20"/>
              </w:rPr>
              <w:t>1 300 000,00</w:t>
            </w:r>
          </w:p>
        </w:tc>
      </w:tr>
      <w:tr w:rsidR="00387142" w:rsidRPr="008B6A75" w14:paraId="66F84CD9" w14:textId="77777777" w:rsidTr="00387142">
        <w:trPr>
          <w:trHeight w:val="870"/>
        </w:trPr>
        <w:tc>
          <w:tcPr>
            <w:tcW w:w="3261" w:type="dxa"/>
            <w:tcBorders>
              <w:top w:val="nil"/>
              <w:left w:val="single" w:sz="4" w:space="0" w:color="auto"/>
              <w:bottom w:val="single" w:sz="4" w:space="0" w:color="auto"/>
              <w:right w:val="nil"/>
            </w:tcBorders>
            <w:shd w:val="clear" w:color="auto" w:fill="auto"/>
            <w:vAlign w:val="center"/>
            <w:hideMark/>
          </w:tcPr>
          <w:p w14:paraId="4268FBD8" w14:textId="77777777" w:rsidR="00387142" w:rsidRPr="008B6A75" w:rsidRDefault="00387142" w:rsidP="00387142">
            <w:pPr>
              <w:rPr>
                <w:sz w:val="20"/>
                <w:szCs w:val="20"/>
              </w:rPr>
            </w:pPr>
            <w:r w:rsidRPr="008B6A75">
              <w:rPr>
                <w:sz w:val="20"/>
                <w:szCs w:val="20"/>
              </w:rPr>
              <w:t>Предоставление субсидий бюджетным, автономным учреждениям и иным некоммерческим организациям</w:t>
            </w:r>
          </w:p>
        </w:tc>
        <w:tc>
          <w:tcPr>
            <w:tcW w:w="720" w:type="dxa"/>
            <w:tcBorders>
              <w:top w:val="nil"/>
              <w:left w:val="single" w:sz="4" w:space="0" w:color="auto"/>
              <w:bottom w:val="single" w:sz="4" w:space="0" w:color="auto"/>
              <w:right w:val="nil"/>
            </w:tcBorders>
            <w:shd w:val="clear" w:color="auto" w:fill="auto"/>
            <w:noWrap/>
            <w:vAlign w:val="center"/>
            <w:hideMark/>
          </w:tcPr>
          <w:p w14:paraId="5092606A" w14:textId="77777777" w:rsidR="00387142" w:rsidRPr="008B6A75" w:rsidRDefault="00387142" w:rsidP="00387142">
            <w:pPr>
              <w:jc w:val="center"/>
              <w:rPr>
                <w:sz w:val="20"/>
                <w:szCs w:val="20"/>
              </w:rPr>
            </w:pPr>
            <w:r w:rsidRPr="008B6A75">
              <w:rPr>
                <w:sz w:val="20"/>
                <w:szCs w:val="20"/>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A899F46" w14:textId="77777777" w:rsidR="00387142" w:rsidRPr="008B6A75" w:rsidRDefault="00387142" w:rsidP="00387142">
            <w:pPr>
              <w:jc w:val="center"/>
              <w:rPr>
                <w:sz w:val="20"/>
                <w:szCs w:val="20"/>
              </w:rPr>
            </w:pPr>
            <w:r w:rsidRPr="008B6A75">
              <w:rPr>
                <w:sz w:val="20"/>
                <w:szCs w:val="20"/>
              </w:rPr>
              <w:t>01</w:t>
            </w:r>
          </w:p>
        </w:tc>
        <w:tc>
          <w:tcPr>
            <w:tcW w:w="1516" w:type="dxa"/>
            <w:tcBorders>
              <w:top w:val="nil"/>
              <w:left w:val="single" w:sz="4" w:space="0" w:color="auto"/>
              <w:bottom w:val="single" w:sz="4" w:space="0" w:color="auto"/>
              <w:right w:val="nil"/>
            </w:tcBorders>
            <w:shd w:val="clear" w:color="auto" w:fill="auto"/>
            <w:noWrap/>
            <w:vAlign w:val="center"/>
            <w:hideMark/>
          </w:tcPr>
          <w:p w14:paraId="2CAFEEF6" w14:textId="77777777" w:rsidR="00387142" w:rsidRPr="008B6A75" w:rsidRDefault="00387142" w:rsidP="00387142">
            <w:pPr>
              <w:jc w:val="center"/>
              <w:rPr>
                <w:sz w:val="20"/>
                <w:szCs w:val="20"/>
              </w:rPr>
            </w:pPr>
            <w:r w:rsidRPr="008B6A75">
              <w:rPr>
                <w:sz w:val="20"/>
                <w:szCs w:val="20"/>
              </w:rPr>
              <w:t>08.0.00.08190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46F257C" w14:textId="77777777" w:rsidR="00387142" w:rsidRPr="008B6A75" w:rsidRDefault="00387142" w:rsidP="00387142">
            <w:pPr>
              <w:jc w:val="center"/>
              <w:rPr>
                <w:sz w:val="20"/>
                <w:szCs w:val="20"/>
              </w:rPr>
            </w:pPr>
            <w:r w:rsidRPr="008B6A75">
              <w:rPr>
                <w:sz w:val="20"/>
                <w:szCs w:val="20"/>
              </w:rPr>
              <w:t>600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6FE093F" w14:textId="77777777" w:rsidR="00387142" w:rsidRPr="008B6A75" w:rsidRDefault="00387142" w:rsidP="00387142">
            <w:pPr>
              <w:jc w:val="right"/>
              <w:rPr>
                <w:sz w:val="20"/>
                <w:szCs w:val="20"/>
              </w:rPr>
            </w:pPr>
            <w:r w:rsidRPr="008B6A75">
              <w:rPr>
                <w:sz w:val="20"/>
                <w:szCs w:val="20"/>
              </w:rPr>
              <w:t>10 946 502,37</w:t>
            </w:r>
          </w:p>
        </w:tc>
        <w:tc>
          <w:tcPr>
            <w:tcW w:w="992" w:type="dxa"/>
            <w:tcBorders>
              <w:top w:val="nil"/>
              <w:left w:val="single" w:sz="4" w:space="0" w:color="auto"/>
              <w:bottom w:val="single" w:sz="4" w:space="0" w:color="auto"/>
              <w:right w:val="nil"/>
            </w:tcBorders>
            <w:shd w:val="clear" w:color="auto" w:fill="auto"/>
            <w:vAlign w:val="center"/>
            <w:hideMark/>
          </w:tcPr>
          <w:p w14:paraId="3AB591D3" w14:textId="77777777" w:rsidR="00387142" w:rsidRPr="008B6A75" w:rsidRDefault="00387142" w:rsidP="00387142">
            <w:pPr>
              <w:jc w:val="right"/>
              <w:rPr>
                <w:sz w:val="20"/>
                <w:szCs w:val="20"/>
              </w:rPr>
            </w:pPr>
            <w:r w:rsidRPr="008B6A75">
              <w:rPr>
                <w:sz w:val="20"/>
                <w:szCs w:val="20"/>
              </w:rPr>
              <w:t>12 000 000,00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62A8209F" w14:textId="77777777" w:rsidR="00387142" w:rsidRPr="008B6A75" w:rsidRDefault="00387142" w:rsidP="00387142">
            <w:pPr>
              <w:jc w:val="right"/>
              <w:rPr>
                <w:sz w:val="20"/>
                <w:szCs w:val="20"/>
              </w:rPr>
            </w:pPr>
            <w:r w:rsidRPr="008B6A75">
              <w:rPr>
                <w:sz w:val="20"/>
                <w:szCs w:val="20"/>
              </w:rPr>
              <w:t>10 000 000,00</w:t>
            </w:r>
          </w:p>
        </w:tc>
      </w:tr>
      <w:tr w:rsidR="00387142" w:rsidRPr="008B6A75" w14:paraId="4FF7AC31" w14:textId="77777777" w:rsidTr="00387142">
        <w:trPr>
          <w:trHeight w:val="345"/>
        </w:trPr>
        <w:tc>
          <w:tcPr>
            <w:tcW w:w="3261" w:type="dxa"/>
            <w:tcBorders>
              <w:top w:val="nil"/>
              <w:left w:val="single" w:sz="4" w:space="0" w:color="auto"/>
              <w:bottom w:val="single" w:sz="4" w:space="0" w:color="auto"/>
              <w:right w:val="nil"/>
            </w:tcBorders>
            <w:shd w:val="clear" w:color="auto" w:fill="auto"/>
            <w:vAlign w:val="center"/>
            <w:hideMark/>
          </w:tcPr>
          <w:p w14:paraId="5EA91FE9" w14:textId="77777777" w:rsidR="00387142" w:rsidRPr="008B6A75" w:rsidRDefault="00387142" w:rsidP="00387142">
            <w:pPr>
              <w:rPr>
                <w:sz w:val="20"/>
                <w:szCs w:val="20"/>
              </w:rPr>
            </w:pPr>
            <w:r w:rsidRPr="008B6A75">
              <w:rPr>
                <w:sz w:val="20"/>
                <w:szCs w:val="20"/>
              </w:rPr>
              <w:t>Субсидии бюджетным учреждениям</w:t>
            </w:r>
          </w:p>
        </w:tc>
        <w:tc>
          <w:tcPr>
            <w:tcW w:w="720" w:type="dxa"/>
            <w:tcBorders>
              <w:top w:val="nil"/>
              <w:left w:val="single" w:sz="4" w:space="0" w:color="auto"/>
              <w:bottom w:val="single" w:sz="4" w:space="0" w:color="auto"/>
              <w:right w:val="nil"/>
            </w:tcBorders>
            <w:shd w:val="clear" w:color="auto" w:fill="auto"/>
            <w:noWrap/>
            <w:vAlign w:val="center"/>
            <w:hideMark/>
          </w:tcPr>
          <w:p w14:paraId="193A09E2" w14:textId="77777777" w:rsidR="00387142" w:rsidRPr="008B6A75" w:rsidRDefault="00387142" w:rsidP="00387142">
            <w:pPr>
              <w:jc w:val="center"/>
              <w:rPr>
                <w:sz w:val="20"/>
                <w:szCs w:val="20"/>
              </w:rPr>
            </w:pPr>
            <w:r w:rsidRPr="008B6A75">
              <w:rPr>
                <w:sz w:val="20"/>
                <w:szCs w:val="20"/>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299ED94" w14:textId="77777777" w:rsidR="00387142" w:rsidRPr="008B6A75" w:rsidRDefault="00387142" w:rsidP="00387142">
            <w:pPr>
              <w:jc w:val="center"/>
              <w:rPr>
                <w:sz w:val="20"/>
                <w:szCs w:val="20"/>
              </w:rPr>
            </w:pPr>
            <w:r w:rsidRPr="008B6A75">
              <w:rPr>
                <w:sz w:val="20"/>
                <w:szCs w:val="20"/>
              </w:rPr>
              <w:t>01</w:t>
            </w:r>
          </w:p>
        </w:tc>
        <w:tc>
          <w:tcPr>
            <w:tcW w:w="1516" w:type="dxa"/>
            <w:tcBorders>
              <w:top w:val="nil"/>
              <w:left w:val="single" w:sz="4" w:space="0" w:color="auto"/>
              <w:bottom w:val="single" w:sz="4" w:space="0" w:color="auto"/>
              <w:right w:val="nil"/>
            </w:tcBorders>
            <w:shd w:val="clear" w:color="auto" w:fill="auto"/>
            <w:noWrap/>
            <w:vAlign w:val="center"/>
            <w:hideMark/>
          </w:tcPr>
          <w:p w14:paraId="463C35BC" w14:textId="77777777" w:rsidR="00387142" w:rsidRPr="008B6A75" w:rsidRDefault="00387142" w:rsidP="00387142">
            <w:pPr>
              <w:jc w:val="center"/>
              <w:rPr>
                <w:sz w:val="20"/>
                <w:szCs w:val="20"/>
              </w:rPr>
            </w:pPr>
            <w:r w:rsidRPr="008B6A75">
              <w:rPr>
                <w:sz w:val="20"/>
                <w:szCs w:val="20"/>
              </w:rPr>
              <w:t>08.0.00.08190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EE64784" w14:textId="77777777" w:rsidR="00387142" w:rsidRPr="008B6A75" w:rsidRDefault="00387142" w:rsidP="00387142">
            <w:pPr>
              <w:jc w:val="center"/>
              <w:rPr>
                <w:sz w:val="20"/>
                <w:szCs w:val="20"/>
              </w:rPr>
            </w:pPr>
            <w:r w:rsidRPr="008B6A75">
              <w:rPr>
                <w:sz w:val="20"/>
                <w:szCs w:val="20"/>
              </w:rPr>
              <w:t>610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3523ABE" w14:textId="77777777" w:rsidR="00387142" w:rsidRPr="008B6A75" w:rsidRDefault="00387142" w:rsidP="00387142">
            <w:pPr>
              <w:jc w:val="right"/>
              <w:rPr>
                <w:sz w:val="20"/>
                <w:szCs w:val="20"/>
              </w:rPr>
            </w:pPr>
            <w:r w:rsidRPr="008B6A75">
              <w:rPr>
                <w:sz w:val="20"/>
                <w:szCs w:val="20"/>
              </w:rPr>
              <w:t>10 946 502,37</w:t>
            </w:r>
          </w:p>
        </w:tc>
        <w:tc>
          <w:tcPr>
            <w:tcW w:w="992" w:type="dxa"/>
            <w:tcBorders>
              <w:top w:val="nil"/>
              <w:left w:val="single" w:sz="4" w:space="0" w:color="auto"/>
              <w:bottom w:val="single" w:sz="4" w:space="0" w:color="auto"/>
              <w:right w:val="nil"/>
            </w:tcBorders>
            <w:shd w:val="clear" w:color="auto" w:fill="auto"/>
            <w:vAlign w:val="center"/>
            <w:hideMark/>
          </w:tcPr>
          <w:p w14:paraId="74A44FCE" w14:textId="77777777" w:rsidR="00387142" w:rsidRPr="008B6A75" w:rsidRDefault="00387142" w:rsidP="00387142">
            <w:pPr>
              <w:jc w:val="right"/>
              <w:rPr>
                <w:sz w:val="20"/>
                <w:szCs w:val="20"/>
              </w:rPr>
            </w:pPr>
            <w:r w:rsidRPr="008B6A75">
              <w:rPr>
                <w:sz w:val="20"/>
                <w:szCs w:val="20"/>
              </w:rPr>
              <w:t>12 000 000,00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5E96884C" w14:textId="77777777" w:rsidR="00387142" w:rsidRPr="008B6A75" w:rsidRDefault="00387142" w:rsidP="00387142">
            <w:pPr>
              <w:jc w:val="right"/>
              <w:rPr>
                <w:sz w:val="20"/>
                <w:szCs w:val="20"/>
              </w:rPr>
            </w:pPr>
            <w:r w:rsidRPr="008B6A75">
              <w:rPr>
                <w:sz w:val="20"/>
                <w:szCs w:val="20"/>
              </w:rPr>
              <w:t>10 000 000,00</w:t>
            </w:r>
          </w:p>
        </w:tc>
      </w:tr>
      <w:tr w:rsidR="00387142" w:rsidRPr="008B6A75" w14:paraId="27D208C5" w14:textId="77777777" w:rsidTr="00387142">
        <w:trPr>
          <w:trHeight w:val="585"/>
        </w:trPr>
        <w:tc>
          <w:tcPr>
            <w:tcW w:w="3261" w:type="dxa"/>
            <w:tcBorders>
              <w:top w:val="nil"/>
              <w:left w:val="single" w:sz="4" w:space="0" w:color="auto"/>
              <w:bottom w:val="single" w:sz="4" w:space="0" w:color="auto"/>
              <w:right w:val="nil"/>
            </w:tcBorders>
            <w:shd w:val="clear" w:color="auto" w:fill="auto"/>
            <w:vAlign w:val="center"/>
            <w:hideMark/>
          </w:tcPr>
          <w:p w14:paraId="6B95B2CF" w14:textId="77777777" w:rsidR="00387142" w:rsidRPr="008B6A75" w:rsidRDefault="00387142" w:rsidP="00387142">
            <w:pPr>
              <w:rPr>
                <w:bCs/>
                <w:sz w:val="20"/>
                <w:szCs w:val="20"/>
              </w:rPr>
            </w:pPr>
            <w:r w:rsidRPr="008B6A75">
              <w:rPr>
                <w:bCs/>
                <w:sz w:val="20"/>
                <w:szCs w:val="20"/>
              </w:rPr>
              <w:t>Расходы на обеспечение деятельности (оказание услуг) библиотек</w:t>
            </w:r>
          </w:p>
        </w:tc>
        <w:tc>
          <w:tcPr>
            <w:tcW w:w="720" w:type="dxa"/>
            <w:tcBorders>
              <w:top w:val="nil"/>
              <w:left w:val="single" w:sz="4" w:space="0" w:color="auto"/>
              <w:bottom w:val="single" w:sz="4" w:space="0" w:color="auto"/>
              <w:right w:val="nil"/>
            </w:tcBorders>
            <w:shd w:val="clear" w:color="auto" w:fill="auto"/>
            <w:noWrap/>
            <w:vAlign w:val="center"/>
            <w:hideMark/>
          </w:tcPr>
          <w:p w14:paraId="68F99553" w14:textId="77777777" w:rsidR="00387142" w:rsidRPr="008B6A75" w:rsidRDefault="00387142" w:rsidP="00387142">
            <w:pPr>
              <w:jc w:val="center"/>
              <w:rPr>
                <w:bCs/>
                <w:sz w:val="20"/>
                <w:szCs w:val="20"/>
              </w:rPr>
            </w:pPr>
            <w:r w:rsidRPr="008B6A75">
              <w:rPr>
                <w:bCs/>
                <w:sz w:val="20"/>
                <w:szCs w:val="20"/>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9E2812B" w14:textId="77777777" w:rsidR="00387142" w:rsidRPr="008B6A75" w:rsidRDefault="00387142" w:rsidP="00387142">
            <w:pPr>
              <w:jc w:val="center"/>
              <w:rPr>
                <w:bCs/>
                <w:sz w:val="20"/>
                <w:szCs w:val="20"/>
              </w:rPr>
            </w:pPr>
            <w:r w:rsidRPr="008B6A75">
              <w:rPr>
                <w:bCs/>
                <w:sz w:val="20"/>
                <w:szCs w:val="20"/>
              </w:rPr>
              <w:t>01</w:t>
            </w:r>
          </w:p>
        </w:tc>
        <w:tc>
          <w:tcPr>
            <w:tcW w:w="1516" w:type="dxa"/>
            <w:tcBorders>
              <w:top w:val="nil"/>
              <w:left w:val="single" w:sz="4" w:space="0" w:color="auto"/>
              <w:bottom w:val="single" w:sz="4" w:space="0" w:color="auto"/>
              <w:right w:val="nil"/>
            </w:tcBorders>
            <w:shd w:val="clear" w:color="auto" w:fill="auto"/>
            <w:noWrap/>
            <w:vAlign w:val="center"/>
            <w:hideMark/>
          </w:tcPr>
          <w:p w14:paraId="11823DAB" w14:textId="77777777" w:rsidR="00387142" w:rsidRPr="008B6A75" w:rsidRDefault="00387142" w:rsidP="00387142">
            <w:pPr>
              <w:jc w:val="center"/>
              <w:rPr>
                <w:bCs/>
                <w:sz w:val="20"/>
                <w:szCs w:val="20"/>
              </w:rPr>
            </w:pPr>
            <w:r w:rsidRPr="008B6A75">
              <w:rPr>
                <w:bCs/>
                <w:sz w:val="20"/>
                <w:szCs w:val="20"/>
              </w:rPr>
              <w:t>08.0.00.08390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C8483F0"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2C67E95" w14:textId="77777777" w:rsidR="00387142" w:rsidRPr="008B6A75" w:rsidRDefault="00387142" w:rsidP="00387142">
            <w:pPr>
              <w:jc w:val="right"/>
              <w:rPr>
                <w:bCs/>
                <w:sz w:val="20"/>
                <w:szCs w:val="20"/>
              </w:rPr>
            </w:pPr>
            <w:r w:rsidRPr="008B6A75">
              <w:rPr>
                <w:bCs/>
                <w:sz w:val="20"/>
                <w:szCs w:val="20"/>
              </w:rPr>
              <w:t>2 628 498,78</w:t>
            </w:r>
          </w:p>
        </w:tc>
        <w:tc>
          <w:tcPr>
            <w:tcW w:w="992" w:type="dxa"/>
            <w:tcBorders>
              <w:top w:val="nil"/>
              <w:left w:val="single" w:sz="4" w:space="0" w:color="auto"/>
              <w:bottom w:val="single" w:sz="4" w:space="0" w:color="auto"/>
              <w:right w:val="nil"/>
            </w:tcBorders>
            <w:shd w:val="clear" w:color="auto" w:fill="auto"/>
            <w:vAlign w:val="center"/>
            <w:hideMark/>
          </w:tcPr>
          <w:p w14:paraId="63F2DF49" w14:textId="77777777" w:rsidR="00387142" w:rsidRPr="008B6A75" w:rsidRDefault="00387142" w:rsidP="00387142">
            <w:pPr>
              <w:jc w:val="right"/>
              <w:rPr>
                <w:bCs/>
                <w:sz w:val="20"/>
                <w:szCs w:val="20"/>
              </w:rPr>
            </w:pPr>
            <w:r w:rsidRPr="008B6A75">
              <w:rPr>
                <w:bCs/>
                <w:sz w:val="20"/>
                <w:szCs w:val="20"/>
              </w:rPr>
              <w:t>16 000 000,00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776CE675" w14:textId="77777777" w:rsidR="00387142" w:rsidRPr="008B6A75" w:rsidRDefault="00387142" w:rsidP="00387142">
            <w:pPr>
              <w:jc w:val="right"/>
              <w:rPr>
                <w:bCs/>
                <w:sz w:val="20"/>
                <w:szCs w:val="20"/>
              </w:rPr>
            </w:pPr>
            <w:r w:rsidRPr="008B6A75">
              <w:rPr>
                <w:bCs/>
                <w:sz w:val="20"/>
                <w:szCs w:val="20"/>
              </w:rPr>
              <w:t>16 000 000,00</w:t>
            </w:r>
          </w:p>
        </w:tc>
      </w:tr>
      <w:tr w:rsidR="00387142" w:rsidRPr="008B6A75" w14:paraId="43A1E72A" w14:textId="77777777" w:rsidTr="00387142">
        <w:trPr>
          <w:trHeight w:val="1440"/>
        </w:trPr>
        <w:tc>
          <w:tcPr>
            <w:tcW w:w="3261" w:type="dxa"/>
            <w:tcBorders>
              <w:top w:val="nil"/>
              <w:left w:val="single" w:sz="4" w:space="0" w:color="auto"/>
              <w:bottom w:val="single" w:sz="4" w:space="0" w:color="auto"/>
              <w:right w:val="nil"/>
            </w:tcBorders>
            <w:shd w:val="clear" w:color="auto" w:fill="auto"/>
            <w:vAlign w:val="center"/>
            <w:hideMark/>
          </w:tcPr>
          <w:p w14:paraId="3FA7478E" w14:textId="77777777" w:rsidR="00387142" w:rsidRPr="008B6A75" w:rsidRDefault="00387142" w:rsidP="00387142">
            <w:pPr>
              <w:rPr>
                <w:sz w:val="20"/>
                <w:szCs w:val="20"/>
              </w:rPr>
            </w:pPr>
            <w:r w:rsidRPr="008B6A7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14:paraId="0F70F233" w14:textId="77777777" w:rsidR="00387142" w:rsidRPr="008B6A75" w:rsidRDefault="00387142" w:rsidP="00387142">
            <w:pPr>
              <w:jc w:val="center"/>
              <w:rPr>
                <w:sz w:val="20"/>
                <w:szCs w:val="20"/>
              </w:rPr>
            </w:pPr>
            <w:r w:rsidRPr="008B6A75">
              <w:rPr>
                <w:sz w:val="20"/>
                <w:szCs w:val="20"/>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B08394F" w14:textId="77777777" w:rsidR="00387142" w:rsidRPr="008B6A75" w:rsidRDefault="00387142" w:rsidP="00387142">
            <w:pPr>
              <w:jc w:val="center"/>
              <w:rPr>
                <w:sz w:val="20"/>
                <w:szCs w:val="20"/>
              </w:rPr>
            </w:pPr>
            <w:r w:rsidRPr="008B6A75">
              <w:rPr>
                <w:sz w:val="20"/>
                <w:szCs w:val="20"/>
              </w:rPr>
              <w:t>01</w:t>
            </w:r>
          </w:p>
        </w:tc>
        <w:tc>
          <w:tcPr>
            <w:tcW w:w="1516" w:type="dxa"/>
            <w:tcBorders>
              <w:top w:val="nil"/>
              <w:left w:val="single" w:sz="4" w:space="0" w:color="auto"/>
              <w:bottom w:val="single" w:sz="4" w:space="0" w:color="auto"/>
              <w:right w:val="nil"/>
            </w:tcBorders>
            <w:shd w:val="clear" w:color="auto" w:fill="auto"/>
            <w:noWrap/>
            <w:vAlign w:val="center"/>
            <w:hideMark/>
          </w:tcPr>
          <w:p w14:paraId="058B810A" w14:textId="77777777" w:rsidR="00387142" w:rsidRPr="008B6A75" w:rsidRDefault="00387142" w:rsidP="00387142">
            <w:pPr>
              <w:jc w:val="center"/>
              <w:rPr>
                <w:sz w:val="20"/>
                <w:szCs w:val="20"/>
              </w:rPr>
            </w:pPr>
            <w:r w:rsidRPr="008B6A75">
              <w:rPr>
                <w:sz w:val="20"/>
                <w:szCs w:val="20"/>
              </w:rPr>
              <w:t>08.0.00.08390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3E2217E" w14:textId="77777777" w:rsidR="00387142" w:rsidRPr="008B6A75" w:rsidRDefault="00387142" w:rsidP="00387142">
            <w:pPr>
              <w:jc w:val="center"/>
              <w:rPr>
                <w:sz w:val="20"/>
                <w:szCs w:val="20"/>
              </w:rPr>
            </w:pPr>
            <w:r w:rsidRPr="008B6A75">
              <w:rPr>
                <w:sz w:val="20"/>
                <w:szCs w:val="20"/>
              </w:rPr>
              <w:t>100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52BB5D8" w14:textId="77777777" w:rsidR="00387142" w:rsidRPr="008B6A75" w:rsidRDefault="00387142" w:rsidP="00387142">
            <w:pPr>
              <w:jc w:val="right"/>
              <w:rPr>
                <w:sz w:val="20"/>
                <w:szCs w:val="20"/>
              </w:rPr>
            </w:pPr>
            <w:r w:rsidRPr="008B6A75">
              <w:rPr>
                <w:sz w:val="20"/>
                <w:szCs w:val="20"/>
              </w:rPr>
              <w:t>0,00</w:t>
            </w:r>
          </w:p>
        </w:tc>
        <w:tc>
          <w:tcPr>
            <w:tcW w:w="992" w:type="dxa"/>
            <w:tcBorders>
              <w:top w:val="nil"/>
              <w:left w:val="single" w:sz="4" w:space="0" w:color="auto"/>
              <w:bottom w:val="single" w:sz="4" w:space="0" w:color="auto"/>
              <w:right w:val="nil"/>
            </w:tcBorders>
            <w:shd w:val="clear" w:color="auto" w:fill="auto"/>
            <w:vAlign w:val="center"/>
            <w:hideMark/>
          </w:tcPr>
          <w:p w14:paraId="18EBD57F" w14:textId="77777777" w:rsidR="00387142" w:rsidRPr="008B6A75" w:rsidRDefault="00387142" w:rsidP="00387142">
            <w:pPr>
              <w:jc w:val="right"/>
              <w:rPr>
                <w:sz w:val="20"/>
                <w:szCs w:val="20"/>
              </w:rPr>
            </w:pPr>
            <w:r w:rsidRPr="008B6A75">
              <w:rPr>
                <w:sz w:val="20"/>
                <w:szCs w:val="20"/>
              </w:rPr>
              <w:t>9 000 000,00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2A6A1B31" w14:textId="77777777" w:rsidR="00387142" w:rsidRPr="008B6A75" w:rsidRDefault="00387142" w:rsidP="00387142">
            <w:pPr>
              <w:jc w:val="right"/>
              <w:rPr>
                <w:sz w:val="20"/>
                <w:szCs w:val="20"/>
              </w:rPr>
            </w:pPr>
            <w:r w:rsidRPr="008B6A75">
              <w:rPr>
                <w:sz w:val="20"/>
                <w:szCs w:val="20"/>
              </w:rPr>
              <w:t>9 000 000,00</w:t>
            </w:r>
          </w:p>
        </w:tc>
      </w:tr>
      <w:tr w:rsidR="00387142" w:rsidRPr="008B6A75" w14:paraId="5158D343" w14:textId="77777777" w:rsidTr="00387142">
        <w:trPr>
          <w:trHeight w:val="585"/>
        </w:trPr>
        <w:tc>
          <w:tcPr>
            <w:tcW w:w="3261" w:type="dxa"/>
            <w:tcBorders>
              <w:top w:val="nil"/>
              <w:left w:val="single" w:sz="4" w:space="0" w:color="auto"/>
              <w:bottom w:val="single" w:sz="4" w:space="0" w:color="auto"/>
              <w:right w:val="nil"/>
            </w:tcBorders>
            <w:shd w:val="clear" w:color="auto" w:fill="auto"/>
            <w:vAlign w:val="center"/>
            <w:hideMark/>
          </w:tcPr>
          <w:p w14:paraId="352E1139" w14:textId="77777777" w:rsidR="00387142" w:rsidRPr="008B6A75" w:rsidRDefault="00387142" w:rsidP="00387142">
            <w:pPr>
              <w:rPr>
                <w:sz w:val="20"/>
                <w:szCs w:val="20"/>
              </w:rPr>
            </w:pPr>
            <w:r w:rsidRPr="008B6A75">
              <w:rPr>
                <w:sz w:val="20"/>
                <w:szCs w:val="20"/>
              </w:rPr>
              <w:t>Расходы на выплаты персоналу казенных учреждений</w:t>
            </w:r>
          </w:p>
        </w:tc>
        <w:tc>
          <w:tcPr>
            <w:tcW w:w="720" w:type="dxa"/>
            <w:tcBorders>
              <w:top w:val="nil"/>
              <w:left w:val="single" w:sz="4" w:space="0" w:color="auto"/>
              <w:bottom w:val="single" w:sz="4" w:space="0" w:color="auto"/>
              <w:right w:val="nil"/>
            </w:tcBorders>
            <w:shd w:val="clear" w:color="auto" w:fill="auto"/>
            <w:noWrap/>
            <w:vAlign w:val="center"/>
            <w:hideMark/>
          </w:tcPr>
          <w:p w14:paraId="43577ED0" w14:textId="77777777" w:rsidR="00387142" w:rsidRPr="008B6A75" w:rsidRDefault="00387142" w:rsidP="00387142">
            <w:pPr>
              <w:jc w:val="center"/>
              <w:rPr>
                <w:sz w:val="20"/>
                <w:szCs w:val="20"/>
              </w:rPr>
            </w:pPr>
            <w:r w:rsidRPr="008B6A75">
              <w:rPr>
                <w:sz w:val="20"/>
                <w:szCs w:val="20"/>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EA8D9DE" w14:textId="77777777" w:rsidR="00387142" w:rsidRPr="008B6A75" w:rsidRDefault="00387142" w:rsidP="00387142">
            <w:pPr>
              <w:jc w:val="center"/>
              <w:rPr>
                <w:sz w:val="20"/>
                <w:szCs w:val="20"/>
              </w:rPr>
            </w:pPr>
            <w:r w:rsidRPr="008B6A75">
              <w:rPr>
                <w:sz w:val="20"/>
                <w:szCs w:val="20"/>
              </w:rPr>
              <w:t>01</w:t>
            </w:r>
          </w:p>
        </w:tc>
        <w:tc>
          <w:tcPr>
            <w:tcW w:w="1516" w:type="dxa"/>
            <w:tcBorders>
              <w:top w:val="nil"/>
              <w:left w:val="single" w:sz="4" w:space="0" w:color="auto"/>
              <w:bottom w:val="single" w:sz="4" w:space="0" w:color="auto"/>
              <w:right w:val="nil"/>
            </w:tcBorders>
            <w:shd w:val="clear" w:color="auto" w:fill="auto"/>
            <w:noWrap/>
            <w:vAlign w:val="center"/>
            <w:hideMark/>
          </w:tcPr>
          <w:p w14:paraId="7EBAC720" w14:textId="77777777" w:rsidR="00387142" w:rsidRPr="008B6A75" w:rsidRDefault="00387142" w:rsidP="00387142">
            <w:pPr>
              <w:jc w:val="center"/>
              <w:rPr>
                <w:sz w:val="20"/>
                <w:szCs w:val="20"/>
              </w:rPr>
            </w:pPr>
            <w:r w:rsidRPr="008B6A75">
              <w:rPr>
                <w:sz w:val="20"/>
                <w:szCs w:val="20"/>
              </w:rPr>
              <w:t>08.0.00.08390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E7620A4" w14:textId="77777777" w:rsidR="00387142" w:rsidRPr="008B6A75" w:rsidRDefault="00387142" w:rsidP="00387142">
            <w:pPr>
              <w:jc w:val="center"/>
              <w:rPr>
                <w:sz w:val="20"/>
                <w:szCs w:val="20"/>
              </w:rPr>
            </w:pPr>
            <w:r w:rsidRPr="008B6A75">
              <w:rPr>
                <w:sz w:val="20"/>
                <w:szCs w:val="20"/>
              </w:rPr>
              <w:t>110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4CF23E5" w14:textId="77777777" w:rsidR="00387142" w:rsidRPr="008B6A75" w:rsidRDefault="00387142" w:rsidP="00387142">
            <w:pPr>
              <w:jc w:val="right"/>
              <w:rPr>
                <w:sz w:val="20"/>
                <w:szCs w:val="20"/>
              </w:rPr>
            </w:pPr>
            <w:r w:rsidRPr="008B6A75">
              <w:rPr>
                <w:sz w:val="20"/>
                <w:szCs w:val="20"/>
              </w:rPr>
              <w:t>0,00</w:t>
            </w:r>
          </w:p>
        </w:tc>
        <w:tc>
          <w:tcPr>
            <w:tcW w:w="992" w:type="dxa"/>
            <w:tcBorders>
              <w:top w:val="nil"/>
              <w:left w:val="single" w:sz="4" w:space="0" w:color="auto"/>
              <w:bottom w:val="single" w:sz="4" w:space="0" w:color="auto"/>
              <w:right w:val="nil"/>
            </w:tcBorders>
            <w:shd w:val="clear" w:color="auto" w:fill="auto"/>
            <w:vAlign w:val="center"/>
            <w:hideMark/>
          </w:tcPr>
          <w:p w14:paraId="49A0ECBF" w14:textId="77777777" w:rsidR="00387142" w:rsidRPr="008B6A75" w:rsidRDefault="00387142" w:rsidP="00387142">
            <w:pPr>
              <w:jc w:val="right"/>
              <w:rPr>
                <w:sz w:val="20"/>
                <w:szCs w:val="20"/>
              </w:rPr>
            </w:pPr>
            <w:r w:rsidRPr="008B6A75">
              <w:rPr>
                <w:sz w:val="20"/>
                <w:szCs w:val="20"/>
              </w:rPr>
              <w:t>9 000 000,00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3DA72C3C" w14:textId="77777777" w:rsidR="00387142" w:rsidRPr="008B6A75" w:rsidRDefault="00387142" w:rsidP="00387142">
            <w:pPr>
              <w:jc w:val="right"/>
              <w:rPr>
                <w:sz w:val="20"/>
                <w:szCs w:val="20"/>
              </w:rPr>
            </w:pPr>
            <w:r w:rsidRPr="008B6A75">
              <w:rPr>
                <w:sz w:val="20"/>
                <w:szCs w:val="20"/>
              </w:rPr>
              <w:t>9 000 000,00</w:t>
            </w:r>
          </w:p>
        </w:tc>
      </w:tr>
      <w:tr w:rsidR="00387142" w:rsidRPr="008B6A75" w14:paraId="0E1C74E4" w14:textId="77777777" w:rsidTr="00387142">
        <w:trPr>
          <w:trHeight w:val="585"/>
        </w:trPr>
        <w:tc>
          <w:tcPr>
            <w:tcW w:w="3261" w:type="dxa"/>
            <w:tcBorders>
              <w:top w:val="nil"/>
              <w:left w:val="single" w:sz="4" w:space="0" w:color="auto"/>
              <w:bottom w:val="single" w:sz="4" w:space="0" w:color="auto"/>
              <w:right w:val="nil"/>
            </w:tcBorders>
            <w:shd w:val="clear" w:color="auto" w:fill="auto"/>
            <w:vAlign w:val="center"/>
            <w:hideMark/>
          </w:tcPr>
          <w:p w14:paraId="57AD8688" w14:textId="77777777" w:rsidR="00387142" w:rsidRPr="008B6A75" w:rsidRDefault="00387142" w:rsidP="00387142">
            <w:pPr>
              <w:rPr>
                <w:sz w:val="20"/>
                <w:szCs w:val="20"/>
              </w:rPr>
            </w:pPr>
            <w:r w:rsidRPr="008B6A75">
              <w:rPr>
                <w:sz w:val="20"/>
                <w:szCs w:val="20"/>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370EFD67" w14:textId="77777777" w:rsidR="00387142" w:rsidRPr="008B6A75" w:rsidRDefault="00387142" w:rsidP="00387142">
            <w:pPr>
              <w:jc w:val="center"/>
              <w:rPr>
                <w:sz w:val="20"/>
                <w:szCs w:val="20"/>
              </w:rPr>
            </w:pPr>
            <w:r w:rsidRPr="008B6A75">
              <w:rPr>
                <w:sz w:val="20"/>
                <w:szCs w:val="20"/>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51C24C5" w14:textId="77777777" w:rsidR="00387142" w:rsidRPr="008B6A75" w:rsidRDefault="00387142" w:rsidP="00387142">
            <w:pPr>
              <w:jc w:val="center"/>
              <w:rPr>
                <w:sz w:val="20"/>
                <w:szCs w:val="20"/>
              </w:rPr>
            </w:pPr>
            <w:r w:rsidRPr="008B6A75">
              <w:rPr>
                <w:sz w:val="20"/>
                <w:szCs w:val="20"/>
              </w:rPr>
              <w:t>01</w:t>
            </w:r>
          </w:p>
        </w:tc>
        <w:tc>
          <w:tcPr>
            <w:tcW w:w="1516" w:type="dxa"/>
            <w:tcBorders>
              <w:top w:val="nil"/>
              <w:left w:val="single" w:sz="4" w:space="0" w:color="auto"/>
              <w:bottom w:val="single" w:sz="4" w:space="0" w:color="auto"/>
              <w:right w:val="nil"/>
            </w:tcBorders>
            <w:shd w:val="clear" w:color="auto" w:fill="auto"/>
            <w:noWrap/>
            <w:vAlign w:val="center"/>
            <w:hideMark/>
          </w:tcPr>
          <w:p w14:paraId="33BB76EE" w14:textId="77777777" w:rsidR="00387142" w:rsidRPr="008B6A75" w:rsidRDefault="00387142" w:rsidP="00387142">
            <w:pPr>
              <w:jc w:val="center"/>
              <w:rPr>
                <w:sz w:val="20"/>
                <w:szCs w:val="20"/>
              </w:rPr>
            </w:pPr>
            <w:r w:rsidRPr="008B6A75">
              <w:rPr>
                <w:sz w:val="20"/>
                <w:szCs w:val="20"/>
              </w:rPr>
              <w:t>08.0.00.08390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9CE4860" w14:textId="77777777" w:rsidR="00387142" w:rsidRPr="008B6A75" w:rsidRDefault="00387142" w:rsidP="00387142">
            <w:pPr>
              <w:jc w:val="center"/>
              <w:rPr>
                <w:sz w:val="20"/>
                <w:szCs w:val="20"/>
              </w:rPr>
            </w:pPr>
            <w:r w:rsidRPr="008B6A75">
              <w:rPr>
                <w:sz w:val="20"/>
                <w:szCs w:val="20"/>
              </w:rPr>
              <w:t>200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9BB6264" w14:textId="77777777" w:rsidR="00387142" w:rsidRPr="008B6A75" w:rsidRDefault="00387142" w:rsidP="00387142">
            <w:pPr>
              <w:jc w:val="right"/>
              <w:rPr>
                <w:sz w:val="20"/>
                <w:szCs w:val="20"/>
              </w:rPr>
            </w:pPr>
            <w:r w:rsidRPr="008B6A75">
              <w:rPr>
                <w:sz w:val="20"/>
                <w:szCs w:val="20"/>
              </w:rPr>
              <w:t>0,00</w:t>
            </w:r>
          </w:p>
        </w:tc>
        <w:tc>
          <w:tcPr>
            <w:tcW w:w="992" w:type="dxa"/>
            <w:tcBorders>
              <w:top w:val="nil"/>
              <w:left w:val="single" w:sz="4" w:space="0" w:color="auto"/>
              <w:bottom w:val="single" w:sz="4" w:space="0" w:color="auto"/>
              <w:right w:val="nil"/>
            </w:tcBorders>
            <w:shd w:val="clear" w:color="auto" w:fill="auto"/>
            <w:vAlign w:val="center"/>
            <w:hideMark/>
          </w:tcPr>
          <w:p w14:paraId="64BA7629" w14:textId="77777777" w:rsidR="00387142" w:rsidRPr="008B6A75" w:rsidRDefault="00387142" w:rsidP="00387142">
            <w:pPr>
              <w:jc w:val="right"/>
              <w:rPr>
                <w:sz w:val="20"/>
                <w:szCs w:val="20"/>
              </w:rPr>
            </w:pPr>
            <w:r w:rsidRPr="008B6A75">
              <w:rPr>
                <w:sz w:val="20"/>
                <w:szCs w:val="20"/>
              </w:rPr>
              <w:t>500 000,00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6053E8F2" w14:textId="77777777" w:rsidR="00387142" w:rsidRPr="008B6A75" w:rsidRDefault="00387142" w:rsidP="00387142">
            <w:pPr>
              <w:jc w:val="right"/>
              <w:rPr>
                <w:sz w:val="20"/>
                <w:szCs w:val="20"/>
              </w:rPr>
            </w:pPr>
            <w:r w:rsidRPr="008B6A75">
              <w:rPr>
                <w:sz w:val="20"/>
                <w:szCs w:val="20"/>
              </w:rPr>
              <w:t>500 000,00</w:t>
            </w:r>
          </w:p>
        </w:tc>
      </w:tr>
      <w:tr w:rsidR="00387142" w:rsidRPr="008B6A75" w14:paraId="62F9D084" w14:textId="77777777" w:rsidTr="00387142">
        <w:trPr>
          <w:trHeight w:val="870"/>
        </w:trPr>
        <w:tc>
          <w:tcPr>
            <w:tcW w:w="3261" w:type="dxa"/>
            <w:tcBorders>
              <w:top w:val="nil"/>
              <w:left w:val="single" w:sz="4" w:space="0" w:color="auto"/>
              <w:bottom w:val="single" w:sz="4" w:space="0" w:color="auto"/>
              <w:right w:val="nil"/>
            </w:tcBorders>
            <w:shd w:val="clear" w:color="auto" w:fill="auto"/>
            <w:vAlign w:val="center"/>
            <w:hideMark/>
          </w:tcPr>
          <w:p w14:paraId="74BD14A9" w14:textId="77777777" w:rsidR="00387142" w:rsidRPr="008B6A75" w:rsidRDefault="00387142" w:rsidP="00387142">
            <w:pPr>
              <w:rPr>
                <w:sz w:val="20"/>
                <w:szCs w:val="20"/>
              </w:rPr>
            </w:pPr>
            <w:r w:rsidRPr="008B6A75">
              <w:rPr>
                <w:sz w:val="20"/>
                <w:szCs w:val="20"/>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14CE7C53" w14:textId="77777777" w:rsidR="00387142" w:rsidRPr="008B6A75" w:rsidRDefault="00387142" w:rsidP="00387142">
            <w:pPr>
              <w:jc w:val="center"/>
              <w:rPr>
                <w:sz w:val="20"/>
                <w:szCs w:val="20"/>
              </w:rPr>
            </w:pPr>
            <w:r w:rsidRPr="008B6A75">
              <w:rPr>
                <w:sz w:val="20"/>
                <w:szCs w:val="20"/>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0844967" w14:textId="77777777" w:rsidR="00387142" w:rsidRPr="008B6A75" w:rsidRDefault="00387142" w:rsidP="00387142">
            <w:pPr>
              <w:jc w:val="center"/>
              <w:rPr>
                <w:sz w:val="20"/>
                <w:szCs w:val="20"/>
              </w:rPr>
            </w:pPr>
            <w:r w:rsidRPr="008B6A75">
              <w:rPr>
                <w:sz w:val="20"/>
                <w:szCs w:val="20"/>
              </w:rPr>
              <w:t>01</w:t>
            </w:r>
          </w:p>
        </w:tc>
        <w:tc>
          <w:tcPr>
            <w:tcW w:w="1516" w:type="dxa"/>
            <w:tcBorders>
              <w:top w:val="nil"/>
              <w:left w:val="single" w:sz="4" w:space="0" w:color="auto"/>
              <w:bottom w:val="single" w:sz="4" w:space="0" w:color="auto"/>
              <w:right w:val="nil"/>
            </w:tcBorders>
            <w:shd w:val="clear" w:color="auto" w:fill="auto"/>
            <w:noWrap/>
            <w:vAlign w:val="center"/>
            <w:hideMark/>
          </w:tcPr>
          <w:p w14:paraId="7E00D8AB" w14:textId="77777777" w:rsidR="00387142" w:rsidRPr="008B6A75" w:rsidRDefault="00387142" w:rsidP="00387142">
            <w:pPr>
              <w:jc w:val="center"/>
              <w:rPr>
                <w:sz w:val="20"/>
                <w:szCs w:val="20"/>
              </w:rPr>
            </w:pPr>
            <w:r w:rsidRPr="008B6A75">
              <w:rPr>
                <w:sz w:val="20"/>
                <w:szCs w:val="20"/>
              </w:rPr>
              <w:t>08.0.00.08390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18519AD" w14:textId="77777777" w:rsidR="00387142" w:rsidRPr="008B6A75" w:rsidRDefault="00387142" w:rsidP="00387142">
            <w:pPr>
              <w:jc w:val="center"/>
              <w:rPr>
                <w:sz w:val="20"/>
                <w:szCs w:val="20"/>
              </w:rPr>
            </w:pPr>
            <w:r w:rsidRPr="008B6A75">
              <w:rPr>
                <w:sz w:val="20"/>
                <w:szCs w:val="20"/>
              </w:rPr>
              <w:t>240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A36B792" w14:textId="77777777" w:rsidR="00387142" w:rsidRPr="008B6A75" w:rsidRDefault="00387142" w:rsidP="00387142">
            <w:pPr>
              <w:jc w:val="right"/>
              <w:rPr>
                <w:sz w:val="20"/>
                <w:szCs w:val="20"/>
              </w:rPr>
            </w:pPr>
            <w:r w:rsidRPr="008B6A75">
              <w:rPr>
                <w:sz w:val="20"/>
                <w:szCs w:val="20"/>
              </w:rPr>
              <w:t>0,00</w:t>
            </w:r>
          </w:p>
        </w:tc>
        <w:tc>
          <w:tcPr>
            <w:tcW w:w="992" w:type="dxa"/>
            <w:tcBorders>
              <w:top w:val="nil"/>
              <w:left w:val="single" w:sz="4" w:space="0" w:color="auto"/>
              <w:bottom w:val="single" w:sz="4" w:space="0" w:color="auto"/>
              <w:right w:val="nil"/>
            </w:tcBorders>
            <w:shd w:val="clear" w:color="auto" w:fill="auto"/>
            <w:vAlign w:val="center"/>
            <w:hideMark/>
          </w:tcPr>
          <w:p w14:paraId="502D3EF2" w14:textId="77777777" w:rsidR="00387142" w:rsidRPr="008B6A75" w:rsidRDefault="00387142" w:rsidP="00387142">
            <w:pPr>
              <w:jc w:val="right"/>
              <w:rPr>
                <w:sz w:val="20"/>
                <w:szCs w:val="20"/>
              </w:rPr>
            </w:pPr>
            <w:r w:rsidRPr="008B6A75">
              <w:rPr>
                <w:sz w:val="20"/>
                <w:szCs w:val="20"/>
              </w:rPr>
              <w:t>500 000,00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72D4A639" w14:textId="77777777" w:rsidR="00387142" w:rsidRPr="008B6A75" w:rsidRDefault="00387142" w:rsidP="00387142">
            <w:pPr>
              <w:jc w:val="right"/>
              <w:rPr>
                <w:sz w:val="20"/>
                <w:szCs w:val="20"/>
              </w:rPr>
            </w:pPr>
            <w:r w:rsidRPr="008B6A75">
              <w:rPr>
                <w:sz w:val="20"/>
                <w:szCs w:val="20"/>
              </w:rPr>
              <w:t>500 000,00</w:t>
            </w:r>
          </w:p>
        </w:tc>
      </w:tr>
      <w:tr w:rsidR="00387142" w:rsidRPr="008B6A75" w14:paraId="1670C13E" w14:textId="77777777" w:rsidTr="00387142">
        <w:trPr>
          <w:trHeight w:val="870"/>
        </w:trPr>
        <w:tc>
          <w:tcPr>
            <w:tcW w:w="3261" w:type="dxa"/>
            <w:tcBorders>
              <w:top w:val="nil"/>
              <w:left w:val="single" w:sz="4" w:space="0" w:color="auto"/>
              <w:bottom w:val="single" w:sz="4" w:space="0" w:color="auto"/>
              <w:right w:val="nil"/>
            </w:tcBorders>
            <w:shd w:val="clear" w:color="auto" w:fill="auto"/>
            <w:vAlign w:val="center"/>
            <w:hideMark/>
          </w:tcPr>
          <w:p w14:paraId="24C142E1" w14:textId="77777777" w:rsidR="00387142" w:rsidRPr="008B6A75" w:rsidRDefault="00387142" w:rsidP="00387142">
            <w:pPr>
              <w:rPr>
                <w:sz w:val="20"/>
                <w:szCs w:val="20"/>
              </w:rPr>
            </w:pPr>
            <w:r w:rsidRPr="008B6A75">
              <w:rPr>
                <w:sz w:val="20"/>
                <w:szCs w:val="20"/>
              </w:rPr>
              <w:t>Предоставление субсидий бюджетным, автономным учреждениям и иным некоммерческим организациям</w:t>
            </w:r>
          </w:p>
        </w:tc>
        <w:tc>
          <w:tcPr>
            <w:tcW w:w="720" w:type="dxa"/>
            <w:tcBorders>
              <w:top w:val="nil"/>
              <w:left w:val="single" w:sz="4" w:space="0" w:color="auto"/>
              <w:bottom w:val="single" w:sz="4" w:space="0" w:color="auto"/>
              <w:right w:val="nil"/>
            </w:tcBorders>
            <w:shd w:val="clear" w:color="auto" w:fill="auto"/>
            <w:noWrap/>
            <w:vAlign w:val="center"/>
            <w:hideMark/>
          </w:tcPr>
          <w:p w14:paraId="252F6CEF" w14:textId="77777777" w:rsidR="00387142" w:rsidRPr="008B6A75" w:rsidRDefault="00387142" w:rsidP="00387142">
            <w:pPr>
              <w:jc w:val="center"/>
              <w:rPr>
                <w:sz w:val="20"/>
                <w:szCs w:val="20"/>
              </w:rPr>
            </w:pPr>
            <w:r w:rsidRPr="008B6A75">
              <w:rPr>
                <w:sz w:val="20"/>
                <w:szCs w:val="20"/>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772D355" w14:textId="77777777" w:rsidR="00387142" w:rsidRPr="008B6A75" w:rsidRDefault="00387142" w:rsidP="00387142">
            <w:pPr>
              <w:jc w:val="center"/>
              <w:rPr>
                <w:sz w:val="20"/>
                <w:szCs w:val="20"/>
              </w:rPr>
            </w:pPr>
            <w:r w:rsidRPr="008B6A75">
              <w:rPr>
                <w:sz w:val="20"/>
                <w:szCs w:val="20"/>
              </w:rPr>
              <w:t>01</w:t>
            </w:r>
          </w:p>
        </w:tc>
        <w:tc>
          <w:tcPr>
            <w:tcW w:w="1516" w:type="dxa"/>
            <w:tcBorders>
              <w:top w:val="nil"/>
              <w:left w:val="single" w:sz="4" w:space="0" w:color="auto"/>
              <w:bottom w:val="single" w:sz="4" w:space="0" w:color="auto"/>
              <w:right w:val="nil"/>
            </w:tcBorders>
            <w:shd w:val="clear" w:color="auto" w:fill="auto"/>
            <w:noWrap/>
            <w:vAlign w:val="center"/>
            <w:hideMark/>
          </w:tcPr>
          <w:p w14:paraId="7B223ACB" w14:textId="77777777" w:rsidR="00387142" w:rsidRPr="008B6A75" w:rsidRDefault="00387142" w:rsidP="00387142">
            <w:pPr>
              <w:jc w:val="center"/>
              <w:rPr>
                <w:sz w:val="20"/>
                <w:szCs w:val="20"/>
              </w:rPr>
            </w:pPr>
            <w:r w:rsidRPr="008B6A75">
              <w:rPr>
                <w:sz w:val="20"/>
                <w:szCs w:val="20"/>
              </w:rPr>
              <w:t>08.0.00.08390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B36728F" w14:textId="77777777" w:rsidR="00387142" w:rsidRPr="008B6A75" w:rsidRDefault="00387142" w:rsidP="00387142">
            <w:pPr>
              <w:jc w:val="center"/>
              <w:rPr>
                <w:sz w:val="20"/>
                <w:szCs w:val="20"/>
              </w:rPr>
            </w:pPr>
            <w:r w:rsidRPr="008B6A75">
              <w:rPr>
                <w:sz w:val="20"/>
                <w:szCs w:val="20"/>
              </w:rPr>
              <w:t>600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2D5B8AF" w14:textId="77777777" w:rsidR="00387142" w:rsidRPr="008B6A75" w:rsidRDefault="00387142" w:rsidP="00387142">
            <w:pPr>
              <w:jc w:val="right"/>
              <w:rPr>
                <w:sz w:val="20"/>
                <w:szCs w:val="20"/>
              </w:rPr>
            </w:pPr>
            <w:r w:rsidRPr="008B6A75">
              <w:rPr>
                <w:sz w:val="20"/>
                <w:szCs w:val="20"/>
              </w:rPr>
              <w:t>2 628 498,78</w:t>
            </w:r>
          </w:p>
        </w:tc>
        <w:tc>
          <w:tcPr>
            <w:tcW w:w="992" w:type="dxa"/>
            <w:tcBorders>
              <w:top w:val="nil"/>
              <w:left w:val="single" w:sz="4" w:space="0" w:color="auto"/>
              <w:bottom w:val="single" w:sz="4" w:space="0" w:color="auto"/>
              <w:right w:val="nil"/>
            </w:tcBorders>
            <w:shd w:val="clear" w:color="auto" w:fill="auto"/>
            <w:vAlign w:val="center"/>
            <w:hideMark/>
          </w:tcPr>
          <w:p w14:paraId="7C1AD83A" w14:textId="77777777" w:rsidR="00387142" w:rsidRPr="008B6A75" w:rsidRDefault="00387142" w:rsidP="00387142">
            <w:pPr>
              <w:jc w:val="right"/>
              <w:rPr>
                <w:sz w:val="20"/>
                <w:szCs w:val="20"/>
              </w:rPr>
            </w:pPr>
            <w:r w:rsidRPr="008B6A75">
              <w:rPr>
                <w:sz w:val="20"/>
                <w:szCs w:val="20"/>
              </w:rPr>
              <w:t>6 500 000,00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2CE6344A" w14:textId="77777777" w:rsidR="00387142" w:rsidRPr="008B6A75" w:rsidRDefault="00387142" w:rsidP="00387142">
            <w:pPr>
              <w:jc w:val="right"/>
              <w:rPr>
                <w:sz w:val="20"/>
                <w:szCs w:val="20"/>
              </w:rPr>
            </w:pPr>
            <w:r w:rsidRPr="008B6A75">
              <w:rPr>
                <w:sz w:val="20"/>
                <w:szCs w:val="20"/>
              </w:rPr>
              <w:t>6 500 000,00</w:t>
            </w:r>
          </w:p>
        </w:tc>
      </w:tr>
      <w:tr w:rsidR="00387142" w:rsidRPr="008B6A75" w14:paraId="6D9FD335" w14:textId="77777777" w:rsidTr="00387142">
        <w:trPr>
          <w:trHeight w:val="345"/>
        </w:trPr>
        <w:tc>
          <w:tcPr>
            <w:tcW w:w="3261" w:type="dxa"/>
            <w:tcBorders>
              <w:top w:val="nil"/>
              <w:left w:val="single" w:sz="4" w:space="0" w:color="auto"/>
              <w:bottom w:val="single" w:sz="4" w:space="0" w:color="auto"/>
              <w:right w:val="nil"/>
            </w:tcBorders>
            <w:shd w:val="clear" w:color="auto" w:fill="auto"/>
            <w:vAlign w:val="center"/>
            <w:hideMark/>
          </w:tcPr>
          <w:p w14:paraId="7EB23080" w14:textId="77777777" w:rsidR="00387142" w:rsidRPr="008B6A75" w:rsidRDefault="00387142" w:rsidP="00387142">
            <w:pPr>
              <w:rPr>
                <w:sz w:val="20"/>
                <w:szCs w:val="20"/>
              </w:rPr>
            </w:pPr>
            <w:r w:rsidRPr="008B6A75">
              <w:rPr>
                <w:sz w:val="20"/>
                <w:szCs w:val="20"/>
              </w:rPr>
              <w:t>Субсидии бюджетным учреждениям</w:t>
            </w:r>
          </w:p>
        </w:tc>
        <w:tc>
          <w:tcPr>
            <w:tcW w:w="720" w:type="dxa"/>
            <w:tcBorders>
              <w:top w:val="nil"/>
              <w:left w:val="single" w:sz="4" w:space="0" w:color="auto"/>
              <w:bottom w:val="single" w:sz="4" w:space="0" w:color="auto"/>
              <w:right w:val="nil"/>
            </w:tcBorders>
            <w:shd w:val="clear" w:color="auto" w:fill="auto"/>
            <w:noWrap/>
            <w:vAlign w:val="center"/>
            <w:hideMark/>
          </w:tcPr>
          <w:p w14:paraId="14FB9B8F" w14:textId="77777777" w:rsidR="00387142" w:rsidRPr="008B6A75" w:rsidRDefault="00387142" w:rsidP="00387142">
            <w:pPr>
              <w:jc w:val="center"/>
              <w:rPr>
                <w:sz w:val="20"/>
                <w:szCs w:val="20"/>
              </w:rPr>
            </w:pPr>
            <w:r w:rsidRPr="008B6A75">
              <w:rPr>
                <w:sz w:val="20"/>
                <w:szCs w:val="20"/>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38B7692" w14:textId="77777777" w:rsidR="00387142" w:rsidRPr="008B6A75" w:rsidRDefault="00387142" w:rsidP="00387142">
            <w:pPr>
              <w:jc w:val="center"/>
              <w:rPr>
                <w:sz w:val="20"/>
                <w:szCs w:val="20"/>
              </w:rPr>
            </w:pPr>
            <w:r w:rsidRPr="008B6A75">
              <w:rPr>
                <w:sz w:val="20"/>
                <w:szCs w:val="20"/>
              </w:rPr>
              <w:t>01</w:t>
            </w:r>
          </w:p>
        </w:tc>
        <w:tc>
          <w:tcPr>
            <w:tcW w:w="1516" w:type="dxa"/>
            <w:tcBorders>
              <w:top w:val="nil"/>
              <w:left w:val="single" w:sz="4" w:space="0" w:color="auto"/>
              <w:bottom w:val="single" w:sz="4" w:space="0" w:color="auto"/>
              <w:right w:val="nil"/>
            </w:tcBorders>
            <w:shd w:val="clear" w:color="auto" w:fill="auto"/>
            <w:noWrap/>
            <w:vAlign w:val="center"/>
            <w:hideMark/>
          </w:tcPr>
          <w:p w14:paraId="68508CAA" w14:textId="77777777" w:rsidR="00387142" w:rsidRPr="008B6A75" w:rsidRDefault="00387142" w:rsidP="00387142">
            <w:pPr>
              <w:jc w:val="center"/>
              <w:rPr>
                <w:sz w:val="20"/>
                <w:szCs w:val="20"/>
              </w:rPr>
            </w:pPr>
            <w:r w:rsidRPr="008B6A75">
              <w:rPr>
                <w:sz w:val="20"/>
                <w:szCs w:val="20"/>
              </w:rPr>
              <w:t>08.0.00.08390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531367D" w14:textId="77777777" w:rsidR="00387142" w:rsidRPr="008B6A75" w:rsidRDefault="00387142" w:rsidP="00387142">
            <w:pPr>
              <w:jc w:val="center"/>
              <w:rPr>
                <w:sz w:val="20"/>
                <w:szCs w:val="20"/>
              </w:rPr>
            </w:pPr>
            <w:r w:rsidRPr="008B6A75">
              <w:rPr>
                <w:sz w:val="20"/>
                <w:szCs w:val="20"/>
              </w:rPr>
              <w:t>610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C04465A" w14:textId="77777777" w:rsidR="00387142" w:rsidRPr="008B6A75" w:rsidRDefault="00387142" w:rsidP="00387142">
            <w:pPr>
              <w:jc w:val="right"/>
              <w:rPr>
                <w:sz w:val="20"/>
                <w:szCs w:val="20"/>
              </w:rPr>
            </w:pPr>
            <w:r w:rsidRPr="008B6A75">
              <w:rPr>
                <w:sz w:val="20"/>
                <w:szCs w:val="20"/>
              </w:rPr>
              <w:t>2 628 498,78</w:t>
            </w:r>
          </w:p>
        </w:tc>
        <w:tc>
          <w:tcPr>
            <w:tcW w:w="992" w:type="dxa"/>
            <w:tcBorders>
              <w:top w:val="nil"/>
              <w:left w:val="single" w:sz="4" w:space="0" w:color="auto"/>
              <w:bottom w:val="single" w:sz="4" w:space="0" w:color="auto"/>
              <w:right w:val="nil"/>
            </w:tcBorders>
            <w:shd w:val="clear" w:color="auto" w:fill="auto"/>
            <w:vAlign w:val="center"/>
            <w:hideMark/>
          </w:tcPr>
          <w:p w14:paraId="4B0BEF18" w14:textId="77777777" w:rsidR="00387142" w:rsidRPr="008B6A75" w:rsidRDefault="00387142" w:rsidP="00387142">
            <w:pPr>
              <w:jc w:val="right"/>
              <w:rPr>
                <w:sz w:val="20"/>
                <w:szCs w:val="20"/>
              </w:rPr>
            </w:pPr>
            <w:r w:rsidRPr="008B6A75">
              <w:rPr>
                <w:sz w:val="20"/>
                <w:szCs w:val="20"/>
              </w:rPr>
              <w:t>6 500 000,00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23E04410" w14:textId="77777777" w:rsidR="00387142" w:rsidRPr="008B6A75" w:rsidRDefault="00387142" w:rsidP="00387142">
            <w:pPr>
              <w:jc w:val="right"/>
              <w:rPr>
                <w:sz w:val="20"/>
                <w:szCs w:val="20"/>
              </w:rPr>
            </w:pPr>
            <w:r w:rsidRPr="008B6A75">
              <w:rPr>
                <w:sz w:val="20"/>
                <w:szCs w:val="20"/>
              </w:rPr>
              <w:t>6 500 000,00</w:t>
            </w:r>
          </w:p>
        </w:tc>
      </w:tr>
      <w:tr w:rsidR="00387142" w:rsidRPr="008B6A75" w14:paraId="2B1F768A" w14:textId="77777777" w:rsidTr="00387142">
        <w:trPr>
          <w:trHeight w:val="1440"/>
        </w:trPr>
        <w:tc>
          <w:tcPr>
            <w:tcW w:w="3261" w:type="dxa"/>
            <w:tcBorders>
              <w:top w:val="nil"/>
              <w:left w:val="single" w:sz="4" w:space="0" w:color="auto"/>
              <w:bottom w:val="single" w:sz="4" w:space="0" w:color="auto"/>
              <w:right w:val="nil"/>
            </w:tcBorders>
            <w:shd w:val="clear" w:color="auto" w:fill="auto"/>
            <w:vAlign w:val="center"/>
            <w:hideMark/>
          </w:tcPr>
          <w:p w14:paraId="27767757" w14:textId="77777777" w:rsidR="00387142" w:rsidRPr="008B6A75" w:rsidRDefault="00387142" w:rsidP="00387142">
            <w:pPr>
              <w:rPr>
                <w:bCs/>
                <w:sz w:val="20"/>
                <w:szCs w:val="20"/>
              </w:rPr>
            </w:pPr>
            <w:r w:rsidRPr="008B6A75">
              <w:rPr>
                <w:bCs/>
                <w:sz w:val="20"/>
                <w:szCs w:val="20"/>
              </w:rPr>
              <w:t xml:space="preserve">Реализация мероприятий по обеспечению сбалансированности местных </w:t>
            </w:r>
            <w:proofErr w:type="gramStart"/>
            <w:r w:rsidRPr="008B6A75">
              <w:rPr>
                <w:bCs/>
                <w:sz w:val="20"/>
                <w:szCs w:val="20"/>
              </w:rPr>
              <w:t>бюджетов  государственной</w:t>
            </w:r>
            <w:proofErr w:type="gramEnd"/>
            <w:r w:rsidRPr="008B6A75">
              <w:rPr>
                <w:bCs/>
                <w:sz w:val="20"/>
                <w:szCs w:val="20"/>
              </w:rPr>
              <w:t xml:space="preserve"> программы Новосибирской области "Управление  финансами в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14:paraId="06CD0B6B" w14:textId="77777777" w:rsidR="00387142" w:rsidRPr="008B6A75" w:rsidRDefault="00387142" w:rsidP="00387142">
            <w:pPr>
              <w:jc w:val="center"/>
              <w:rPr>
                <w:bCs/>
                <w:sz w:val="20"/>
                <w:szCs w:val="20"/>
              </w:rPr>
            </w:pPr>
            <w:r w:rsidRPr="008B6A75">
              <w:rPr>
                <w:bCs/>
                <w:sz w:val="20"/>
                <w:szCs w:val="20"/>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33BADF0" w14:textId="77777777" w:rsidR="00387142" w:rsidRPr="008B6A75" w:rsidRDefault="00387142" w:rsidP="00387142">
            <w:pPr>
              <w:jc w:val="center"/>
              <w:rPr>
                <w:bCs/>
                <w:sz w:val="20"/>
                <w:szCs w:val="20"/>
              </w:rPr>
            </w:pPr>
            <w:r w:rsidRPr="008B6A75">
              <w:rPr>
                <w:bCs/>
                <w:sz w:val="20"/>
                <w:szCs w:val="20"/>
              </w:rPr>
              <w:t>01</w:t>
            </w:r>
          </w:p>
        </w:tc>
        <w:tc>
          <w:tcPr>
            <w:tcW w:w="1516" w:type="dxa"/>
            <w:tcBorders>
              <w:top w:val="nil"/>
              <w:left w:val="single" w:sz="4" w:space="0" w:color="auto"/>
              <w:bottom w:val="single" w:sz="4" w:space="0" w:color="auto"/>
              <w:right w:val="nil"/>
            </w:tcBorders>
            <w:shd w:val="clear" w:color="auto" w:fill="auto"/>
            <w:noWrap/>
            <w:vAlign w:val="center"/>
            <w:hideMark/>
          </w:tcPr>
          <w:p w14:paraId="238C8E28" w14:textId="77777777" w:rsidR="00387142" w:rsidRPr="008B6A75" w:rsidRDefault="00387142" w:rsidP="00387142">
            <w:pPr>
              <w:jc w:val="center"/>
              <w:rPr>
                <w:bCs/>
                <w:sz w:val="20"/>
                <w:szCs w:val="20"/>
              </w:rPr>
            </w:pPr>
            <w:r w:rsidRPr="008B6A75">
              <w:rPr>
                <w:bCs/>
                <w:sz w:val="20"/>
                <w:szCs w:val="20"/>
              </w:rPr>
              <w:t>08.0.00.70510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2365053"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8B46F0C" w14:textId="77777777" w:rsidR="00387142" w:rsidRPr="008B6A75" w:rsidRDefault="00387142" w:rsidP="00387142">
            <w:pPr>
              <w:jc w:val="right"/>
              <w:rPr>
                <w:bCs/>
                <w:sz w:val="20"/>
                <w:szCs w:val="20"/>
              </w:rPr>
            </w:pPr>
            <w:r w:rsidRPr="008B6A75">
              <w:rPr>
                <w:bCs/>
                <w:sz w:val="20"/>
                <w:szCs w:val="20"/>
              </w:rPr>
              <w:t>57 558 583,95</w:t>
            </w:r>
          </w:p>
        </w:tc>
        <w:tc>
          <w:tcPr>
            <w:tcW w:w="992" w:type="dxa"/>
            <w:tcBorders>
              <w:top w:val="nil"/>
              <w:left w:val="single" w:sz="4" w:space="0" w:color="auto"/>
              <w:bottom w:val="single" w:sz="4" w:space="0" w:color="auto"/>
              <w:right w:val="nil"/>
            </w:tcBorders>
            <w:shd w:val="clear" w:color="auto" w:fill="auto"/>
            <w:vAlign w:val="center"/>
            <w:hideMark/>
          </w:tcPr>
          <w:p w14:paraId="1D14F29B" w14:textId="77777777" w:rsidR="00387142" w:rsidRPr="008B6A75" w:rsidRDefault="00387142" w:rsidP="00387142">
            <w:pPr>
              <w:jc w:val="right"/>
              <w:rPr>
                <w:bCs/>
                <w:sz w:val="20"/>
                <w:szCs w:val="20"/>
              </w:rPr>
            </w:pPr>
            <w:r w:rsidRPr="008B6A75">
              <w:rPr>
                <w:bCs/>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47ABF694" w14:textId="77777777" w:rsidR="00387142" w:rsidRPr="008B6A75" w:rsidRDefault="00387142" w:rsidP="00387142">
            <w:pPr>
              <w:jc w:val="right"/>
              <w:rPr>
                <w:bCs/>
                <w:sz w:val="20"/>
                <w:szCs w:val="20"/>
              </w:rPr>
            </w:pPr>
            <w:r w:rsidRPr="008B6A75">
              <w:rPr>
                <w:bCs/>
                <w:sz w:val="20"/>
                <w:szCs w:val="20"/>
              </w:rPr>
              <w:t>0,00</w:t>
            </w:r>
          </w:p>
        </w:tc>
      </w:tr>
      <w:tr w:rsidR="00387142" w:rsidRPr="008B6A75" w14:paraId="18CF3D1C" w14:textId="77777777" w:rsidTr="00387142">
        <w:trPr>
          <w:trHeight w:val="870"/>
        </w:trPr>
        <w:tc>
          <w:tcPr>
            <w:tcW w:w="3261" w:type="dxa"/>
            <w:tcBorders>
              <w:top w:val="nil"/>
              <w:left w:val="single" w:sz="4" w:space="0" w:color="auto"/>
              <w:bottom w:val="single" w:sz="4" w:space="0" w:color="auto"/>
              <w:right w:val="nil"/>
            </w:tcBorders>
            <w:shd w:val="clear" w:color="auto" w:fill="auto"/>
            <w:vAlign w:val="center"/>
            <w:hideMark/>
          </w:tcPr>
          <w:p w14:paraId="71135FC0" w14:textId="77777777" w:rsidR="00387142" w:rsidRPr="008B6A75" w:rsidRDefault="00387142" w:rsidP="00387142">
            <w:pPr>
              <w:rPr>
                <w:sz w:val="20"/>
                <w:szCs w:val="20"/>
              </w:rPr>
            </w:pPr>
            <w:r w:rsidRPr="008B6A75">
              <w:rPr>
                <w:sz w:val="20"/>
                <w:szCs w:val="20"/>
              </w:rPr>
              <w:t>Предоставление субсидий бюджетным, автономным учреждениям и иным некоммерческим организациям</w:t>
            </w:r>
          </w:p>
        </w:tc>
        <w:tc>
          <w:tcPr>
            <w:tcW w:w="720" w:type="dxa"/>
            <w:tcBorders>
              <w:top w:val="nil"/>
              <w:left w:val="single" w:sz="4" w:space="0" w:color="auto"/>
              <w:bottom w:val="single" w:sz="4" w:space="0" w:color="auto"/>
              <w:right w:val="nil"/>
            </w:tcBorders>
            <w:shd w:val="clear" w:color="auto" w:fill="auto"/>
            <w:noWrap/>
            <w:vAlign w:val="center"/>
            <w:hideMark/>
          </w:tcPr>
          <w:p w14:paraId="0F4D3DDE" w14:textId="77777777" w:rsidR="00387142" w:rsidRPr="008B6A75" w:rsidRDefault="00387142" w:rsidP="00387142">
            <w:pPr>
              <w:jc w:val="center"/>
              <w:rPr>
                <w:sz w:val="20"/>
                <w:szCs w:val="20"/>
              </w:rPr>
            </w:pPr>
            <w:r w:rsidRPr="008B6A75">
              <w:rPr>
                <w:sz w:val="20"/>
                <w:szCs w:val="20"/>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14B1D88" w14:textId="77777777" w:rsidR="00387142" w:rsidRPr="008B6A75" w:rsidRDefault="00387142" w:rsidP="00387142">
            <w:pPr>
              <w:jc w:val="center"/>
              <w:rPr>
                <w:sz w:val="20"/>
                <w:szCs w:val="20"/>
              </w:rPr>
            </w:pPr>
            <w:r w:rsidRPr="008B6A75">
              <w:rPr>
                <w:sz w:val="20"/>
                <w:szCs w:val="20"/>
              </w:rPr>
              <w:t>01</w:t>
            </w:r>
          </w:p>
        </w:tc>
        <w:tc>
          <w:tcPr>
            <w:tcW w:w="1516" w:type="dxa"/>
            <w:tcBorders>
              <w:top w:val="nil"/>
              <w:left w:val="single" w:sz="4" w:space="0" w:color="auto"/>
              <w:bottom w:val="single" w:sz="4" w:space="0" w:color="auto"/>
              <w:right w:val="nil"/>
            </w:tcBorders>
            <w:shd w:val="clear" w:color="auto" w:fill="auto"/>
            <w:noWrap/>
            <w:vAlign w:val="center"/>
            <w:hideMark/>
          </w:tcPr>
          <w:p w14:paraId="59B8A081" w14:textId="77777777" w:rsidR="00387142" w:rsidRPr="008B6A75" w:rsidRDefault="00387142" w:rsidP="00387142">
            <w:pPr>
              <w:jc w:val="center"/>
              <w:rPr>
                <w:sz w:val="20"/>
                <w:szCs w:val="20"/>
              </w:rPr>
            </w:pPr>
            <w:r w:rsidRPr="008B6A75">
              <w:rPr>
                <w:sz w:val="20"/>
                <w:szCs w:val="20"/>
              </w:rPr>
              <w:t>08.0.00.70510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AF25440" w14:textId="77777777" w:rsidR="00387142" w:rsidRPr="008B6A75" w:rsidRDefault="00387142" w:rsidP="00387142">
            <w:pPr>
              <w:jc w:val="center"/>
              <w:rPr>
                <w:sz w:val="20"/>
                <w:szCs w:val="20"/>
              </w:rPr>
            </w:pPr>
            <w:r w:rsidRPr="008B6A75">
              <w:rPr>
                <w:sz w:val="20"/>
                <w:szCs w:val="20"/>
              </w:rPr>
              <w:t>600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D96D77E" w14:textId="77777777" w:rsidR="00387142" w:rsidRPr="008B6A75" w:rsidRDefault="00387142" w:rsidP="00387142">
            <w:pPr>
              <w:jc w:val="right"/>
              <w:rPr>
                <w:sz w:val="20"/>
                <w:szCs w:val="20"/>
              </w:rPr>
            </w:pPr>
            <w:r w:rsidRPr="008B6A75">
              <w:rPr>
                <w:sz w:val="20"/>
                <w:szCs w:val="20"/>
              </w:rPr>
              <w:t>57 558 583,95</w:t>
            </w:r>
          </w:p>
        </w:tc>
        <w:tc>
          <w:tcPr>
            <w:tcW w:w="992" w:type="dxa"/>
            <w:tcBorders>
              <w:top w:val="nil"/>
              <w:left w:val="single" w:sz="4" w:space="0" w:color="auto"/>
              <w:bottom w:val="single" w:sz="4" w:space="0" w:color="auto"/>
              <w:right w:val="nil"/>
            </w:tcBorders>
            <w:shd w:val="clear" w:color="auto" w:fill="auto"/>
            <w:vAlign w:val="center"/>
            <w:hideMark/>
          </w:tcPr>
          <w:p w14:paraId="7ED5D81C" w14:textId="77777777" w:rsidR="00387142" w:rsidRPr="008B6A75" w:rsidRDefault="00387142" w:rsidP="00387142">
            <w:pPr>
              <w:jc w:val="right"/>
              <w:rPr>
                <w:sz w:val="20"/>
                <w:szCs w:val="20"/>
              </w:rPr>
            </w:pPr>
            <w:r w:rsidRPr="008B6A75">
              <w:rPr>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6CD0941E" w14:textId="77777777" w:rsidR="00387142" w:rsidRPr="008B6A75" w:rsidRDefault="00387142" w:rsidP="00387142">
            <w:pPr>
              <w:jc w:val="right"/>
              <w:rPr>
                <w:sz w:val="20"/>
                <w:szCs w:val="20"/>
              </w:rPr>
            </w:pPr>
            <w:r w:rsidRPr="008B6A75">
              <w:rPr>
                <w:sz w:val="20"/>
                <w:szCs w:val="20"/>
              </w:rPr>
              <w:t>0,00</w:t>
            </w:r>
          </w:p>
        </w:tc>
      </w:tr>
      <w:tr w:rsidR="00387142" w:rsidRPr="008B6A75" w14:paraId="06DACB0C" w14:textId="77777777" w:rsidTr="00387142">
        <w:trPr>
          <w:trHeight w:val="345"/>
        </w:trPr>
        <w:tc>
          <w:tcPr>
            <w:tcW w:w="3261" w:type="dxa"/>
            <w:tcBorders>
              <w:top w:val="nil"/>
              <w:left w:val="single" w:sz="4" w:space="0" w:color="auto"/>
              <w:bottom w:val="single" w:sz="4" w:space="0" w:color="auto"/>
              <w:right w:val="nil"/>
            </w:tcBorders>
            <w:shd w:val="clear" w:color="auto" w:fill="auto"/>
            <w:vAlign w:val="center"/>
            <w:hideMark/>
          </w:tcPr>
          <w:p w14:paraId="61681889" w14:textId="77777777" w:rsidR="00387142" w:rsidRPr="008B6A75" w:rsidRDefault="00387142" w:rsidP="00387142">
            <w:pPr>
              <w:rPr>
                <w:sz w:val="20"/>
                <w:szCs w:val="20"/>
              </w:rPr>
            </w:pPr>
            <w:r w:rsidRPr="008B6A75">
              <w:rPr>
                <w:sz w:val="20"/>
                <w:szCs w:val="20"/>
              </w:rPr>
              <w:t>Субсидии бюджетным учреждениям</w:t>
            </w:r>
          </w:p>
        </w:tc>
        <w:tc>
          <w:tcPr>
            <w:tcW w:w="720" w:type="dxa"/>
            <w:tcBorders>
              <w:top w:val="nil"/>
              <w:left w:val="single" w:sz="4" w:space="0" w:color="auto"/>
              <w:bottom w:val="single" w:sz="4" w:space="0" w:color="auto"/>
              <w:right w:val="nil"/>
            </w:tcBorders>
            <w:shd w:val="clear" w:color="auto" w:fill="auto"/>
            <w:noWrap/>
            <w:vAlign w:val="center"/>
            <w:hideMark/>
          </w:tcPr>
          <w:p w14:paraId="718236E7" w14:textId="77777777" w:rsidR="00387142" w:rsidRPr="008B6A75" w:rsidRDefault="00387142" w:rsidP="00387142">
            <w:pPr>
              <w:jc w:val="center"/>
              <w:rPr>
                <w:sz w:val="20"/>
                <w:szCs w:val="20"/>
              </w:rPr>
            </w:pPr>
            <w:r w:rsidRPr="008B6A75">
              <w:rPr>
                <w:sz w:val="20"/>
                <w:szCs w:val="20"/>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B8134C7" w14:textId="77777777" w:rsidR="00387142" w:rsidRPr="008B6A75" w:rsidRDefault="00387142" w:rsidP="00387142">
            <w:pPr>
              <w:jc w:val="center"/>
              <w:rPr>
                <w:sz w:val="20"/>
                <w:szCs w:val="20"/>
              </w:rPr>
            </w:pPr>
            <w:r w:rsidRPr="008B6A75">
              <w:rPr>
                <w:sz w:val="20"/>
                <w:szCs w:val="20"/>
              </w:rPr>
              <w:t>01</w:t>
            </w:r>
          </w:p>
        </w:tc>
        <w:tc>
          <w:tcPr>
            <w:tcW w:w="1516" w:type="dxa"/>
            <w:tcBorders>
              <w:top w:val="nil"/>
              <w:left w:val="single" w:sz="4" w:space="0" w:color="auto"/>
              <w:bottom w:val="single" w:sz="4" w:space="0" w:color="auto"/>
              <w:right w:val="nil"/>
            </w:tcBorders>
            <w:shd w:val="clear" w:color="auto" w:fill="auto"/>
            <w:noWrap/>
            <w:vAlign w:val="center"/>
            <w:hideMark/>
          </w:tcPr>
          <w:p w14:paraId="16D28FAF" w14:textId="77777777" w:rsidR="00387142" w:rsidRPr="008B6A75" w:rsidRDefault="00387142" w:rsidP="00387142">
            <w:pPr>
              <w:jc w:val="center"/>
              <w:rPr>
                <w:sz w:val="20"/>
                <w:szCs w:val="20"/>
              </w:rPr>
            </w:pPr>
            <w:r w:rsidRPr="008B6A75">
              <w:rPr>
                <w:sz w:val="20"/>
                <w:szCs w:val="20"/>
              </w:rPr>
              <w:t>08.0.00.70510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6DEFACD" w14:textId="77777777" w:rsidR="00387142" w:rsidRPr="008B6A75" w:rsidRDefault="00387142" w:rsidP="00387142">
            <w:pPr>
              <w:jc w:val="center"/>
              <w:rPr>
                <w:sz w:val="20"/>
                <w:szCs w:val="20"/>
              </w:rPr>
            </w:pPr>
            <w:r w:rsidRPr="008B6A75">
              <w:rPr>
                <w:sz w:val="20"/>
                <w:szCs w:val="20"/>
              </w:rPr>
              <w:t>610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3485639" w14:textId="77777777" w:rsidR="00387142" w:rsidRPr="008B6A75" w:rsidRDefault="00387142" w:rsidP="00387142">
            <w:pPr>
              <w:jc w:val="right"/>
              <w:rPr>
                <w:sz w:val="20"/>
                <w:szCs w:val="20"/>
              </w:rPr>
            </w:pPr>
            <w:r w:rsidRPr="008B6A75">
              <w:rPr>
                <w:sz w:val="20"/>
                <w:szCs w:val="20"/>
              </w:rPr>
              <w:t>57 558 583,95</w:t>
            </w:r>
          </w:p>
        </w:tc>
        <w:tc>
          <w:tcPr>
            <w:tcW w:w="992" w:type="dxa"/>
            <w:tcBorders>
              <w:top w:val="nil"/>
              <w:left w:val="single" w:sz="4" w:space="0" w:color="auto"/>
              <w:bottom w:val="single" w:sz="4" w:space="0" w:color="auto"/>
              <w:right w:val="nil"/>
            </w:tcBorders>
            <w:shd w:val="clear" w:color="auto" w:fill="auto"/>
            <w:vAlign w:val="center"/>
            <w:hideMark/>
          </w:tcPr>
          <w:p w14:paraId="1920BB0D" w14:textId="77777777" w:rsidR="00387142" w:rsidRPr="008B6A75" w:rsidRDefault="00387142" w:rsidP="00387142">
            <w:pPr>
              <w:jc w:val="right"/>
              <w:rPr>
                <w:sz w:val="20"/>
                <w:szCs w:val="20"/>
              </w:rPr>
            </w:pPr>
            <w:r w:rsidRPr="008B6A75">
              <w:rPr>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17B49C3F" w14:textId="77777777" w:rsidR="00387142" w:rsidRPr="008B6A75" w:rsidRDefault="00387142" w:rsidP="00387142">
            <w:pPr>
              <w:jc w:val="right"/>
              <w:rPr>
                <w:sz w:val="20"/>
                <w:szCs w:val="20"/>
              </w:rPr>
            </w:pPr>
            <w:r w:rsidRPr="008B6A75">
              <w:rPr>
                <w:sz w:val="20"/>
                <w:szCs w:val="20"/>
              </w:rPr>
              <w:t>0,00</w:t>
            </w:r>
          </w:p>
        </w:tc>
      </w:tr>
      <w:tr w:rsidR="00387142" w:rsidRPr="008B6A75" w14:paraId="37DCD73D" w14:textId="77777777" w:rsidTr="00387142">
        <w:trPr>
          <w:trHeight w:val="1440"/>
        </w:trPr>
        <w:tc>
          <w:tcPr>
            <w:tcW w:w="3261" w:type="dxa"/>
            <w:tcBorders>
              <w:top w:val="nil"/>
              <w:left w:val="single" w:sz="4" w:space="0" w:color="auto"/>
              <w:bottom w:val="single" w:sz="4" w:space="0" w:color="auto"/>
              <w:right w:val="nil"/>
            </w:tcBorders>
            <w:shd w:val="clear" w:color="auto" w:fill="auto"/>
            <w:vAlign w:val="center"/>
            <w:hideMark/>
          </w:tcPr>
          <w:p w14:paraId="12AC3AA4" w14:textId="77777777" w:rsidR="00387142" w:rsidRPr="008B6A75" w:rsidRDefault="00387142" w:rsidP="00387142">
            <w:pPr>
              <w:rPr>
                <w:bCs/>
                <w:sz w:val="20"/>
                <w:szCs w:val="20"/>
              </w:rPr>
            </w:pPr>
            <w:r w:rsidRPr="008B6A75">
              <w:rPr>
                <w:bCs/>
                <w:sz w:val="20"/>
                <w:szCs w:val="20"/>
              </w:rPr>
              <w:t>Реализация мероприятий по проведению капитального ремонта муниципальных учреждений сферы культуры на территории Новосибирской области ГП НСО "Культура Новосибирской области "</w:t>
            </w:r>
          </w:p>
        </w:tc>
        <w:tc>
          <w:tcPr>
            <w:tcW w:w="720" w:type="dxa"/>
            <w:tcBorders>
              <w:top w:val="nil"/>
              <w:left w:val="single" w:sz="4" w:space="0" w:color="auto"/>
              <w:bottom w:val="single" w:sz="4" w:space="0" w:color="auto"/>
              <w:right w:val="nil"/>
            </w:tcBorders>
            <w:shd w:val="clear" w:color="auto" w:fill="auto"/>
            <w:noWrap/>
            <w:vAlign w:val="center"/>
            <w:hideMark/>
          </w:tcPr>
          <w:p w14:paraId="745270A7" w14:textId="77777777" w:rsidR="00387142" w:rsidRPr="008B6A75" w:rsidRDefault="00387142" w:rsidP="00387142">
            <w:pPr>
              <w:jc w:val="center"/>
              <w:rPr>
                <w:bCs/>
                <w:sz w:val="20"/>
                <w:szCs w:val="20"/>
              </w:rPr>
            </w:pPr>
            <w:r w:rsidRPr="008B6A75">
              <w:rPr>
                <w:bCs/>
                <w:sz w:val="20"/>
                <w:szCs w:val="20"/>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9B8B706" w14:textId="77777777" w:rsidR="00387142" w:rsidRPr="008B6A75" w:rsidRDefault="00387142" w:rsidP="00387142">
            <w:pPr>
              <w:jc w:val="center"/>
              <w:rPr>
                <w:bCs/>
                <w:sz w:val="20"/>
                <w:szCs w:val="20"/>
              </w:rPr>
            </w:pPr>
            <w:r w:rsidRPr="008B6A75">
              <w:rPr>
                <w:bCs/>
                <w:sz w:val="20"/>
                <w:szCs w:val="20"/>
              </w:rPr>
              <w:t>01</w:t>
            </w:r>
          </w:p>
        </w:tc>
        <w:tc>
          <w:tcPr>
            <w:tcW w:w="1516" w:type="dxa"/>
            <w:tcBorders>
              <w:top w:val="nil"/>
              <w:left w:val="single" w:sz="4" w:space="0" w:color="auto"/>
              <w:bottom w:val="single" w:sz="4" w:space="0" w:color="auto"/>
              <w:right w:val="nil"/>
            </w:tcBorders>
            <w:shd w:val="clear" w:color="auto" w:fill="auto"/>
            <w:noWrap/>
            <w:vAlign w:val="center"/>
            <w:hideMark/>
          </w:tcPr>
          <w:p w14:paraId="5E521A80" w14:textId="77777777" w:rsidR="00387142" w:rsidRPr="008B6A75" w:rsidRDefault="00387142" w:rsidP="00387142">
            <w:pPr>
              <w:jc w:val="center"/>
              <w:rPr>
                <w:bCs/>
                <w:sz w:val="20"/>
                <w:szCs w:val="20"/>
              </w:rPr>
            </w:pPr>
            <w:r w:rsidRPr="008B6A75">
              <w:rPr>
                <w:bCs/>
                <w:sz w:val="20"/>
                <w:szCs w:val="20"/>
              </w:rPr>
              <w:t>08.0.00.70660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ECF789E"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8531040" w14:textId="77777777" w:rsidR="00387142" w:rsidRPr="008B6A75" w:rsidRDefault="00387142" w:rsidP="00387142">
            <w:pPr>
              <w:jc w:val="right"/>
              <w:rPr>
                <w:bCs/>
                <w:sz w:val="20"/>
                <w:szCs w:val="20"/>
              </w:rPr>
            </w:pPr>
            <w:r w:rsidRPr="008B6A75">
              <w:rPr>
                <w:bCs/>
                <w:sz w:val="20"/>
                <w:szCs w:val="20"/>
              </w:rPr>
              <w:t>47 486 700,00</w:t>
            </w:r>
          </w:p>
        </w:tc>
        <w:tc>
          <w:tcPr>
            <w:tcW w:w="992" w:type="dxa"/>
            <w:tcBorders>
              <w:top w:val="nil"/>
              <w:left w:val="single" w:sz="4" w:space="0" w:color="auto"/>
              <w:bottom w:val="single" w:sz="4" w:space="0" w:color="auto"/>
              <w:right w:val="nil"/>
            </w:tcBorders>
            <w:shd w:val="clear" w:color="auto" w:fill="auto"/>
            <w:vAlign w:val="center"/>
            <w:hideMark/>
          </w:tcPr>
          <w:p w14:paraId="35A352B3" w14:textId="77777777" w:rsidR="00387142" w:rsidRPr="008B6A75" w:rsidRDefault="00387142" w:rsidP="00387142">
            <w:pPr>
              <w:jc w:val="right"/>
              <w:rPr>
                <w:bCs/>
                <w:sz w:val="20"/>
                <w:szCs w:val="20"/>
              </w:rPr>
            </w:pPr>
            <w:r w:rsidRPr="008B6A75">
              <w:rPr>
                <w:bCs/>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55A862A2" w14:textId="77777777" w:rsidR="00387142" w:rsidRPr="008B6A75" w:rsidRDefault="00387142" w:rsidP="00387142">
            <w:pPr>
              <w:jc w:val="right"/>
              <w:rPr>
                <w:bCs/>
                <w:sz w:val="20"/>
                <w:szCs w:val="20"/>
              </w:rPr>
            </w:pPr>
            <w:r w:rsidRPr="008B6A75">
              <w:rPr>
                <w:bCs/>
                <w:sz w:val="20"/>
                <w:szCs w:val="20"/>
              </w:rPr>
              <w:t>0,00</w:t>
            </w:r>
          </w:p>
        </w:tc>
      </w:tr>
      <w:tr w:rsidR="00387142" w:rsidRPr="008B6A75" w14:paraId="5538E63B" w14:textId="77777777" w:rsidTr="00387142">
        <w:trPr>
          <w:trHeight w:val="345"/>
        </w:trPr>
        <w:tc>
          <w:tcPr>
            <w:tcW w:w="3261" w:type="dxa"/>
            <w:tcBorders>
              <w:top w:val="nil"/>
              <w:left w:val="single" w:sz="4" w:space="0" w:color="auto"/>
              <w:bottom w:val="single" w:sz="4" w:space="0" w:color="auto"/>
              <w:right w:val="nil"/>
            </w:tcBorders>
            <w:shd w:val="clear" w:color="auto" w:fill="auto"/>
            <w:vAlign w:val="center"/>
            <w:hideMark/>
          </w:tcPr>
          <w:p w14:paraId="2E3A18B3" w14:textId="77777777" w:rsidR="00387142" w:rsidRPr="008B6A75" w:rsidRDefault="00387142" w:rsidP="00387142">
            <w:pPr>
              <w:rPr>
                <w:sz w:val="20"/>
                <w:szCs w:val="20"/>
              </w:rPr>
            </w:pPr>
            <w:r w:rsidRPr="008B6A75">
              <w:rPr>
                <w:sz w:val="20"/>
                <w:szCs w:val="20"/>
              </w:rPr>
              <w:t>Межбюджетные трансферты</w:t>
            </w:r>
          </w:p>
        </w:tc>
        <w:tc>
          <w:tcPr>
            <w:tcW w:w="720" w:type="dxa"/>
            <w:tcBorders>
              <w:top w:val="nil"/>
              <w:left w:val="single" w:sz="4" w:space="0" w:color="auto"/>
              <w:bottom w:val="single" w:sz="4" w:space="0" w:color="auto"/>
              <w:right w:val="nil"/>
            </w:tcBorders>
            <w:shd w:val="clear" w:color="auto" w:fill="auto"/>
            <w:noWrap/>
            <w:vAlign w:val="center"/>
            <w:hideMark/>
          </w:tcPr>
          <w:p w14:paraId="05D26731" w14:textId="77777777" w:rsidR="00387142" w:rsidRPr="008B6A75" w:rsidRDefault="00387142" w:rsidP="00387142">
            <w:pPr>
              <w:jc w:val="center"/>
              <w:rPr>
                <w:sz w:val="20"/>
                <w:szCs w:val="20"/>
              </w:rPr>
            </w:pPr>
            <w:r w:rsidRPr="008B6A75">
              <w:rPr>
                <w:sz w:val="20"/>
                <w:szCs w:val="20"/>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3CD864F" w14:textId="77777777" w:rsidR="00387142" w:rsidRPr="008B6A75" w:rsidRDefault="00387142" w:rsidP="00387142">
            <w:pPr>
              <w:jc w:val="center"/>
              <w:rPr>
                <w:sz w:val="20"/>
                <w:szCs w:val="20"/>
              </w:rPr>
            </w:pPr>
            <w:r w:rsidRPr="008B6A75">
              <w:rPr>
                <w:sz w:val="20"/>
                <w:szCs w:val="20"/>
              </w:rPr>
              <w:t>01</w:t>
            </w:r>
          </w:p>
        </w:tc>
        <w:tc>
          <w:tcPr>
            <w:tcW w:w="1516" w:type="dxa"/>
            <w:tcBorders>
              <w:top w:val="nil"/>
              <w:left w:val="single" w:sz="4" w:space="0" w:color="auto"/>
              <w:bottom w:val="single" w:sz="4" w:space="0" w:color="auto"/>
              <w:right w:val="nil"/>
            </w:tcBorders>
            <w:shd w:val="clear" w:color="auto" w:fill="auto"/>
            <w:noWrap/>
            <w:vAlign w:val="center"/>
            <w:hideMark/>
          </w:tcPr>
          <w:p w14:paraId="2EA677CA" w14:textId="77777777" w:rsidR="00387142" w:rsidRPr="008B6A75" w:rsidRDefault="00387142" w:rsidP="00387142">
            <w:pPr>
              <w:jc w:val="center"/>
              <w:rPr>
                <w:sz w:val="20"/>
                <w:szCs w:val="20"/>
              </w:rPr>
            </w:pPr>
            <w:r w:rsidRPr="008B6A75">
              <w:rPr>
                <w:sz w:val="20"/>
                <w:szCs w:val="20"/>
              </w:rPr>
              <w:t>08.0.00.70660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34E5A39" w14:textId="77777777" w:rsidR="00387142" w:rsidRPr="008B6A75" w:rsidRDefault="00387142" w:rsidP="00387142">
            <w:pPr>
              <w:jc w:val="center"/>
              <w:rPr>
                <w:sz w:val="20"/>
                <w:szCs w:val="20"/>
              </w:rPr>
            </w:pPr>
            <w:r w:rsidRPr="008B6A75">
              <w:rPr>
                <w:sz w:val="20"/>
                <w:szCs w:val="20"/>
              </w:rPr>
              <w:t>500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FE80E61" w14:textId="77777777" w:rsidR="00387142" w:rsidRPr="008B6A75" w:rsidRDefault="00387142" w:rsidP="00387142">
            <w:pPr>
              <w:jc w:val="right"/>
              <w:rPr>
                <w:sz w:val="20"/>
                <w:szCs w:val="20"/>
              </w:rPr>
            </w:pPr>
            <w:r w:rsidRPr="008B6A75">
              <w:rPr>
                <w:sz w:val="20"/>
                <w:szCs w:val="20"/>
              </w:rPr>
              <w:t>47 486 700,00</w:t>
            </w:r>
          </w:p>
        </w:tc>
        <w:tc>
          <w:tcPr>
            <w:tcW w:w="992" w:type="dxa"/>
            <w:tcBorders>
              <w:top w:val="nil"/>
              <w:left w:val="single" w:sz="4" w:space="0" w:color="auto"/>
              <w:bottom w:val="single" w:sz="4" w:space="0" w:color="auto"/>
              <w:right w:val="nil"/>
            </w:tcBorders>
            <w:shd w:val="clear" w:color="auto" w:fill="auto"/>
            <w:vAlign w:val="center"/>
            <w:hideMark/>
          </w:tcPr>
          <w:p w14:paraId="747C78A0" w14:textId="77777777" w:rsidR="00387142" w:rsidRPr="008B6A75" w:rsidRDefault="00387142" w:rsidP="00387142">
            <w:pPr>
              <w:jc w:val="right"/>
              <w:rPr>
                <w:sz w:val="20"/>
                <w:szCs w:val="20"/>
              </w:rPr>
            </w:pPr>
            <w:r w:rsidRPr="008B6A75">
              <w:rPr>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662C86B6" w14:textId="77777777" w:rsidR="00387142" w:rsidRPr="008B6A75" w:rsidRDefault="00387142" w:rsidP="00387142">
            <w:pPr>
              <w:jc w:val="right"/>
              <w:rPr>
                <w:sz w:val="20"/>
                <w:szCs w:val="20"/>
              </w:rPr>
            </w:pPr>
            <w:r w:rsidRPr="008B6A75">
              <w:rPr>
                <w:sz w:val="20"/>
                <w:szCs w:val="20"/>
              </w:rPr>
              <w:t>0,00</w:t>
            </w:r>
          </w:p>
        </w:tc>
      </w:tr>
      <w:tr w:rsidR="00387142" w:rsidRPr="008B6A75" w14:paraId="183C639E" w14:textId="77777777" w:rsidTr="00387142">
        <w:trPr>
          <w:trHeight w:val="345"/>
        </w:trPr>
        <w:tc>
          <w:tcPr>
            <w:tcW w:w="3261" w:type="dxa"/>
            <w:tcBorders>
              <w:top w:val="nil"/>
              <w:left w:val="single" w:sz="4" w:space="0" w:color="auto"/>
              <w:bottom w:val="single" w:sz="4" w:space="0" w:color="auto"/>
              <w:right w:val="nil"/>
            </w:tcBorders>
            <w:shd w:val="clear" w:color="auto" w:fill="auto"/>
            <w:vAlign w:val="center"/>
            <w:hideMark/>
          </w:tcPr>
          <w:p w14:paraId="02E557C7" w14:textId="77777777" w:rsidR="00387142" w:rsidRPr="008B6A75" w:rsidRDefault="00387142" w:rsidP="00387142">
            <w:pPr>
              <w:rPr>
                <w:sz w:val="20"/>
                <w:szCs w:val="20"/>
              </w:rPr>
            </w:pPr>
            <w:r w:rsidRPr="008B6A75">
              <w:rPr>
                <w:sz w:val="20"/>
                <w:szCs w:val="20"/>
              </w:rPr>
              <w:t>Субсидии</w:t>
            </w:r>
          </w:p>
        </w:tc>
        <w:tc>
          <w:tcPr>
            <w:tcW w:w="720" w:type="dxa"/>
            <w:tcBorders>
              <w:top w:val="nil"/>
              <w:left w:val="single" w:sz="4" w:space="0" w:color="auto"/>
              <w:bottom w:val="single" w:sz="4" w:space="0" w:color="auto"/>
              <w:right w:val="nil"/>
            </w:tcBorders>
            <w:shd w:val="clear" w:color="auto" w:fill="auto"/>
            <w:noWrap/>
            <w:vAlign w:val="center"/>
            <w:hideMark/>
          </w:tcPr>
          <w:p w14:paraId="336527D0" w14:textId="77777777" w:rsidR="00387142" w:rsidRPr="008B6A75" w:rsidRDefault="00387142" w:rsidP="00387142">
            <w:pPr>
              <w:jc w:val="center"/>
              <w:rPr>
                <w:sz w:val="20"/>
                <w:szCs w:val="20"/>
              </w:rPr>
            </w:pPr>
            <w:r w:rsidRPr="008B6A75">
              <w:rPr>
                <w:sz w:val="20"/>
                <w:szCs w:val="20"/>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AB52B15" w14:textId="77777777" w:rsidR="00387142" w:rsidRPr="008B6A75" w:rsidRDefault="00387142" w:rsidP="00387142">
            <w:pPr>
              <w:jc w:val="center"/>
              <w:rPr>
                <w:sz w:val="20"/>
                <w:szCs w:val="20"/>
              </w:rPr>
            </w:pPr>
            <w:r w:rsidRPr="008B6A75">
              <w:rPr>
                <w:sz w:val="20"/>
                <w:szCs w:val="20"/>
              </w:rPr>
              <w:t>01</w:t>
            </w:r>
          </w:p>
        </w:tc>
        <w:tc>
          <w:tcPr>
            <w:tcW w:w="1516" w:type="dxa"/>
            <w:tcBorders>
              <w:top w:val="nil"/>
              <w:left w:val="single" w:sz="4" w:space="0" w:color="auto"/>
              <w:bottom w:val="single" w:sz="4" w:space="0" w:color="auto"/>
              <w:right w:val="nil"/>
            </w:tcBorders>
            <w:shd w:val="clear" w:color="auto" w:fill="auto"/>
            <w:noWrap/>
            <w:vAlign w:val="center"/>
            <w:hideMark/>
          </w:tcPr>
          <w:p w14:paraId="2342B147" w14:textId="77777777" w:rsidR="00387142" w:rsidRPr="008B6A75" w:rsidRDefault="00387142" w:rsidP="00387142">
            <w:pPr>
              <w:jc w:val="center"/>
              <w:rPr>
                <w:sz w:val="20"/>
                <w:szCs w:val="20"/>
              </w:rPr>
            </w:pPr>
            <w:r w:rsidRPr="008B6A75">
              <w:rPr>
                <w:sz w:val="20"/>
                <w:szCs w:val="20"/>
              </w:rPr>
              <w:t>08.0.00.70660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097B2CE" w14:textId="77777777" w:rsidR="00387142" w:rsidRPr="008B6A75" w:rsidRDefault="00387142" w:rsidP="00387142">
            <w:pPr>
              <w:jc w:val="center"/>
              <w:rPr>
                <w:sz w:val="20"/>
                <w:szCs w:val="20"/>
              </w:rPr>
            </w:pPr>
            <w:r w:rsidRPr="008B6A75">
              <w:rPr>
                <w:sz w:val="20"/>
                <w:szCs w:val="20"/>
              </w:rPr>
              <w:t>520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6B363A6" w14:textId="77777777" w:rsidR="00387142" w:rsidRPr="008B6A75" w:rsidRDefault="00387142" w:rsidP="00387142">
            <w:pPr>
              <w:jc w:val="right"/>
              <w:rPr>
                <w:sz w:val="20"/>
                <w:szCs w:val="20"/>
              </w:rPr>
            </w:pPr>
            <w:r w:rsidRPr="008B6A75">
              <w:rPr>
                <w:sz w:val="20"/>
                <w:szCs w:val="20"/>
              </w:rPr>
              <w:t>47 486 700,00</w:t>
            </w:r>
          </w:p>
        </w:tc>
        <w:tc>
          <w:tcPr>
            <w:tcW w:w="992" w:type="dxa"/>
            <w:tcBorders>
              <w:top w:val="nil"/>
              <w:left w:val="single" w:sz="4" w:space="0" w:color="auto"/>
              <w:bottom w:val="single" w:sz="4" w:space="0" w:color="auto"/>
              <w:right w:val="nil"/>
            </w:tcBorders>
            <w:shd w:val="clear" w:color="auto" w:fill="auto"/>
            <w:vAlign w:val="center"/>
            <w:hideMark/>
          </w:tcPr>
          <w:p w14:paraId="0B02B6D8" w14:textId="77777777" w:rsidR="00387142" w:rsidRPr="008B6A75" w:rsidRDefault="00387142" w:rsidP="00387142">
            <w:pPr>
              <w:jc w:val="right"/>
              <w:rPr>
                <w:sz w:val="20"/>
                <w:szCs w:val="20"/>
              </w:rPr>
            </w:pPr>
            <w:r w:rsidRPr="008B6A75">
              <w:rPr>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022D204A" w14:textId="77777777" w:rsidR="00387142" w:rsidRPr="008B6A75" w:rsidRDefault="00387142" w:rsidP="00387142">
            <w:pPr>
              <w:jc w:val="right"/>
              <w:rPr>
                <w:sz w:val="20"/>
                <w:szCs w:val="20"/>
              </w:rPr>
            </w:pPr>
            <w:r w:rsidRPr="008B6A75">
              <w:rPr>
                <w:sz w:val="20"/>
                <w:szCs w:val="20"/>
              </w:rPr>
              <w:t>0,00</w:t>
            </w:r>
          </w:p>
        </w:tc>
      </w:tr>
      <w:tr w:rsidR="00387142" w:rsidRPr="008B6A75" w14:paraId="1E3F6035" w14:textId="77777777" w:rsidTr="00387142">
        <w:trPr>
          <w:trHeight w:val="1725"/>
        </w:trPr>
        <w:tc>
          <w:tcPr>
            <w:tcW w:w="3261" w:type="dxa"/>
            <w:tcBorders>
              <w:top w:val="nil"/>
              <w:left w:val="single" w:sz="4" w:space="0" w:color="auto"/>
              <w:bottom w:val="single" w:sz="4" w:space="0" w:color="auto"/>
              <w:right w:val="nil"/>
            </w:tcBorders>
            <w:shd w:val="clear" w:color="auto" w:fill="auto"/>
            <w:vAlign w:val="center"/>
            <w:hideMark/>
          </w:tcPr>
          <w:p w14:paraId="5FC668BC" w14:textId="77777777" w:rsidR="00387142" w:rsidRPr="008B6A75" w:rsidRDefault="00387142" w:rsidP="00387142">
            <w:pPr>
              <w:rPr>
                <w:bCs/>
                <w:sz w:val="20"/>
                <w:szCs w:val="20"/>
              </w:rPr>
            </w:pPr>
            <w:r w:rsidRPr="008B6A75">
              <w:rPr>
                <w:bCs/>
                <w:sz w:val="20"/>
                <w:szCs w:val="20"/>
              </w:rPr>
              <w:lastRenderedPageBreak/>
              <w:t>Реализация мероприятий по комплектованию книжных фондов муниципальных общедоступных библиотек Новосибирской области государственной программы Новосибирской области «Культура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14:paraId="59ACD7F3" w14:textId="77777777" w:rsidR="00387142" w:rsidRPr="008B6A75" w:rsidRDefault="00387142" w:rsidP="00387142">
            <w:pPr>
              <w:jc w:val="center"/>
              <w:rPr>
                <w:bCs/>
                <w:sz w:val="20"/>
                <w:szCs w:val="20"/>
              </w:rPr>
            </w:pPr>
            <w:r w:rsidRPr="008B6A75">
              <w:rPr>
                <w:bCs/>
                <w:sz w:val="20"/>
                <w:szCs w:val="20"/>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6E57572" w14:textId="77777777" w:rsidR="00387142" w:rsidRPr="008B6A75" w:rsidRDefault="00387142" w:rsidP="00387142">
            <w:pPr>
              <w:jc w:val="center"/>
              <w:rPr>
                <w:bCs/>
                <w:sz w:val="20"/>
                <w:szCs w:val="20"/>
              </w:rPr>
            </w:pPr>
            <w:r w:rsidRPr="008B6A75">
              <w:rPr>
                <w:bCs/>
                <w:sz w:val="20"/>
                <w:szCs w:val="20"/>
              </w:rPr>
              <w:t>01</w:t>
            </w:r>
          </w:p>
        </w:tc>
        <w:tc>
          <w:tcPr>
            <w:tcW w:w="1516" w:type="dxa"/>
            <w:tcBorders>
              <w:top w:val="nil"/>
              <w:left w:val="single" w:sz="4" w:space="0" w:color="auto"/>
              <w:bottom w:val="single" w:sz="4" w:space="0" w:color="auto"/>
              <w:right w:val="nil"/>
            </w:tcBorders>
            <w:shd w:val="clear" w:color="auto" w:fill="auto"/>
            <w:noWrap/>
            <w:vAlign w:val="center"/>
            <w:hideMark/>
          </w:tcPr>
          <w:p w14:paraId="3BD76D08" w14:textId="77777777" w:rsidR="00387142" w:rsidRPr="008B6A75" w:rsidRDefault="00387142" w:rsidP="00387142">
            <w:pPr>
              <w:jc w:val="center"/>
              <w:rPr>
                <w:bCs/>
                <w:sz w:val="20"/>
                <w:szCs w:val="20"/>
              </w:rPr>
            </w:pPr>
            <w:r w:rsidRPr="008B6A75">
              <w:rPr>
                <w:bCs/>
                <w:sz w:val="20"/>
                <w:szCs w:val="20"/>
              </w:rPr>
              <w:t>08.0.00.70770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27EA4D8"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F86E39C" w14:textId="77777777" w:rsidR="00387142" w:rsidRPr="008B6A75" w:rsidRDefault="00387142" w:rsidP="00387142">
            <w:pPr>
              <w:jc w:val="right"/>
              <w:rPr>
                <w:bCs/>
                <w:sz w:val="20"/>
                <w:szCs w:val="20"/>
              </w:rPr>
            </w:pPr>
            <w:r w:rsidRPr="008B6A75">
              <w:rPr>
                <w:bCs/>
                <w:sz w:val="20"/>
                <w:szCs w:val="20"/>
              </w:rPr>
              <w:t>714 800,00</w:t>
            </w:r>
          </w:p>
        </w:tc>
        <w:tc>
          <w:tcPr>
            <w:tcW w:w="992" w:type="dxa"/>
            <w:tcBorders>
              <w:top w:val="nil"/>
              <w:left w:val="single" w:sz="4" w:space="0" w:color="auto"/>
              <w:bottom w:val="single" w:sz="4" w:space="0" w:color="auto"/>
              <w:right w:val="nil"/>
            </w:tcBorders>
            <w:shd w:val="clear" w:color="auto" w:fill="auto"/>
            <w:vAlign w:val="center"/>
            <w:hideMark/>
          </w:tcPr>
          <w:p w14:paraId="54D6BC26" w14:textId="77777777" w:rsidR="00387142" w:rsidRPr="008B6A75" w:rsidRDefault="00387142" w:rsidP="00387142">
            <w:pPr>
              <w:jc w:val="right"/>
              <w:rPr>
                <w:bCs/>
                <w:sz w:val="20"/>
                <w:szCs w:val="20"/>
              </w:rPr>
            </w:pPr>
            <w:r w:rsidRPr="008B6A75">
              <w:rPr>
                <w:bCs/>
                <w:sz w:val="20"/>
                <w:szCs w:val="20"/>
              </w:rPr>
              <w:t>714 800,00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4CFCEDE6" w14:textId="77777777" w:rsidR="00387142" w:rsidRPr="008B6A75" w:rsidRDefault="00387142" w:rsidP="00387142">
            <w:pPr>
              <w:jc w:val="right"/>
              <w:rPr>
                <w:bCs/>
                <w:sz w:val="20"/>
                <w:szCs w:val="20"/>
              </w:rPr>
            </w:pPr>
            <w:r w:rsidRPr="008B6A75">
              <w:rPr>
                <w:bCs/>
                <w:sz w:val="20"/>
                <w:szCs w:val="20"/>
              </w:rPr>
              <w:t>714 800,00</w:t>
            </w:r>
          </w:p>
        </w:tc>
      </w:tr>
      <w:tr w:rsidR="00387142" w:rsidRPr="008B6A75" w14:paraId="238C3744" w14:textId="77777777" w:rsidTr="00387142">
        <w:trPr>
          <w:trHeight w:val="345"/>
        </w:trPr>
        <w:tc>
          <w:tcPr>
            <w:tcW w:w="3261" w:type="dxa"/>
            <w:tcBorders>
              <w:top w:val="nil"/>
              <w:left w:val="single" w:sz="4" w:space="0" w:color="auto"/>
              <w:bottom w:val="single" w:sz="4" w:space="0" w:color="auto"/>
              <w:right w:val="nil"/>
            </w:tcBorders>
            <w:shd w:val="clear" w:color="auto" w:fill="auto"/>
            <w:vAlign w:val="center"/>
            <w:hideMark/>
          </w:tcPr>
          <w:p w14:paraId="005A87F5" w14:textId="77777777" w:rsidR="00387142" w:rsidRPr="008B6A75" w:rsidRDefault="00387142" w:rsidP="00387142">
            <w:pPr>
              <w:rPr>
                <w:sz w:val="20"/>
                <w:szCs w:val="20"/>
              </w:rPr>
            </w:pPr>
            <w:r w:rsidRPr="008B6A75">
              <w:rPr>
                <w:sz w:val="20"/>
                <w:szCs w:val="20"/>
              </w:rPr>
              <w:t>Межбюджетные трансферты</w:t>
            </w:r>
          </w:p>
        </w:tc>
        <w:tc>
          <w:tcPr>
            <w:tcW w:w="720" w:type="dxa"/>
            <w:tcBorders>
              <w:top w:val="nil"/>
              <w:left w:val="single" w:sz="4" w:space="0" w:color="auto"/>
              <w:bottom w:val="single" w:sz="4" w:space="0" w:color="auto"/>
              <w:right w:val="nil"/>
            </w:tcBorders>
            <w:shd w:val="clear" w:color="auto" w:fill="auto"/>
            <w:noWrap/>
            <w:vAlign w:val="center"/>
            <w:hideMark/>
          </w:tcPr>
          <w:p w14:paraId="2C1E660C" w14:textId="77777777" w:rsidR="00387142" w:rsidRPr="008B6A75" w:rsidRDefault="00387142" w:rsidP="00387142">
            <w:pPr>
              <w:jc w:val="center"/>
              <w:rPr>
                <w:sz w:val="20"/>
                <w:szCs w:val="20"/>
              </w:rPr>
            </w:pPr>
            <w:r w:rsidRPr="008B6A75">
              <w:rPr>
                <w:sz w:val="20"/>
                <w:szCs w:val="20"/>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53D9C00" w14:textId="77777777" w:rsidR="00387142" w:rsidRPr="008B6A75" w:rsidRDefault="00387142" w:rsidP="00387142">
            <w:pPr>
              <w:jc w:val="center"/>
              <w:rPr>
                <w:sz w:val="20"/>
                <w:szCs w:val="20"/>
              </w:rPr>
            </w:pPr>
            <w:r w:rsidRPr="008B6A75">
              <w:rPr>
                <w:sz w:val="20"/>
                <w:szCs w:val="20"/>
              </w:rPr>
              <w:t>01</w:t>
            </w:r>
          </w:p>
        </w:tc>
        <w:tc>
          <w:tcPr>
            <w:tcW w:w="1516" w:type="dxa"/>
            <w:tcBorders>
              <w:top w:val="nil"/>
              <w:left w:val="single" w:sz="4" w:space="0" w:color="auto"/>
              <w:bottom w:val="single" w:sz="4" w:space="0" w:color="auto"/>
              <w:right w:val="nil"/>
            </w:tcBorders>
            <w:shd w:val="clear" w:color="auto" w:fill="auto"/>
            <w:noWrap/>
            <w:vAlign w:val="center"/>
            <w:hideMark/>
          </w:tcPr>
          <w:p w14:paraId="4796725C" w14:textId="77777777" w:rsidR="00387142" w:rsidRPr="008B6A75" w:rsidRDefault="00387142" w:rsidP="00387142">
            <w:pPr>
              <w:jc w:val="center"/>
              <w:rPr>
                <w:sz w:val="20"/>
                <w:szCs w:val="20"/>
              </w:rPr>
            </w:pPr>
            <w:r w:rsidRPr="008B6A75">
              <w:rPr>
                <w:sz w:val="20"/>
                <w:szCs w:val="20"/>
              </w:rPr>
              <w:t>08.0.00.70770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1ADFC66" w14:textId="77777777" w:rsidR="00387142" w:rsidRPr="008B6A75" w:rsidRDefault="00387142" w:rsidP="00387142">
            <w:pPr>
              <w:jc w:val="center"/>
              <w:rPr>
                <w:sz w:val="20"/>
                <w:szCs w:val="20"/>
              </w:rPr>
            </w:pPr>
            <w:r w:rsidRPr="008B6A75">
              <w:rPr>
                <w:sz w:val="20"/>
                <w:szCs w:val="20"/>
              </w:rPr>
              <w:t>500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AB8D21C" w14:textId="77777777" w:rsidR="00387142" w:rsidRPr="008B6A75" w:rsidRDefault="00387142" w:rsidP="00387142">
            <w:pPr>
              <w:jc w:val="right"/>
              <w:rPr>
                <w:sz w:val="20"/>
                <w:szCs w:val="20"/>
              </w:rPr>
            </w:pPr>
            <w:r w:rsidRPr="008B6A75">
              <w:rPr>
                <w:sz w:val="20"/>
                <w:szCs w:val="20"/>
              </w:rPr>
              <w:t>315 604,36</w:t>
            </w:r>
          </w:p>
        </w:tc>
        <w:tc>
          <w:tcPr>
            <w:tcW w:w="992" w:type="dxa"/>
            <w:tcBorders>
              <w:top w:val="nil"/>
              <w:left w:val="single" w:sz="4" w:space="0" w:color="auto"/>
              <w:bottom w:val="single" w:sz="4" w:space="0" w:color="auto"/>
              <w:right w:val="nil"/>
            </w:tcBorders>
            <w:shd w:val="clear" w:color="auto" w:fill="auto"/>
            <w:vAlign w:val="center"/>
            <w:hideMark/>
          </w:tcPr>
          <w:p w14:paraId="5F615C27" w14:textId="77777777" w:rsidR="00387142" w:rsidRPr="008B6A75" w:rsidRDefault="00387142" w:rsidP="00387142">
            <w:pPr>
              <w:jc w:val="right"/>
              <w:rPr>
                <w:sz w:val="20"/>
                <w:szCs w:val="20"/>
              </w:rPr>
            </w:pPr>
            <w:r w:rsidRPr="008B6A75">
              <w:rPr>
                <w:sz w:val="20"/>
                <w:szCs w:val="20"/>
              </w:rPr>
              <w:t>315 604,36</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35193828" w14:textId="77777777" w:rsidR="00387142" w:rsidRPr="008B6A75" w:rsidRDefault="00387142" w:rsidP="00387142">
            <w:pPr>
              <w:jc w:val="right"/>
              <w:rPr>
                <w:sz w:val="20"/>
                <w:szCs w:val="20"/>
              </w:rPr>
            </w:pPr>
            <w:r w:rsidRPr="008B6A75">
              <w:rPr>
                <w:sz w:val="20"/>
                <w:szCs w:val="20"/>
              </w:rPr>
              <w:t>315 604,36</w:t>
            </w:r>
          </w:p>
        </w:tc>
      </w:tr>
      <w:tr w:rsidR="00387142" w:rsidRPr="008B6A75" w14:paraId="2B9CD6CD" w14:textId="77777777" w:rsidTr="00387142">
        <w:trPr>
          <w:trHeight w:val="345"/>
        </w:trPr>
        <w:tc>
          <w:tcPr>
            <w:tcW w:w="3261" w:type="dxa"/>
            <w:tcBorders>
              <w:top w:val="nil"/>
              <w:left w:val="single" w:sz="4" w:space="0" w:color="auto"/>
              <w:bottom w:val="single" w:sz="4" w:space="0" w:color="auto"/>
              <w:right w:val="nil"/>
            </w:tcBorders>
            <w:shd w:val="clear" w:color="auto" w:fill="auto"/>
            <w:vAlign w:val="center"/>
            <w:hideMark/>
          </w:tcPr>
          <w:p w14:paraId="5530F249" w14:textId="77777777" w:rsidR="00387142" w:rsidRPr="008B6A75" w:rsidRDefault="00387142" w:rsidP="00387142">
            <w:pPr>
              <w:rPr>
                <w:sz w:val="20"/>
                <w:szCs w:val="20"/>
              </w:rPr>
            </w:pPr>
            <w:r w:rsidRPr="008B6A75">
              <w:rPr>
                <w:sz w:val="20"/>
                <w:szCs w:val="20"/>
              </w:rPr>
              <w:t>Субсидии</w:t>
            </w:r>
          </w:p>
        </w:tc>
        <w:tc>
          <w:tcPr>
            <w:tcW w:w="720" w:type="dxa"/>
            <w:tcBorders>
              <w:top w:val="nil"/>
              <w:left w:val="single" w:sz="4" w:space="0" w:color="auto"/>
              <w:bottom w:val="single" w:sz="4" w:space="0" w:color="auto"/>
              <w:right w:val="nil"/>
            </w:tcBorders>
            <w:shd w:val="clear" w:color="auto" w:fill="auto"/>
            <w:noWrap/>
            <w:vAlign w:val="center"/>
            <w:hideMark/>
          </w:tcPr>
          <w:p w14:paraId="51CBB867" w14:textId="77777777" w:rsidR="00387142" w:rsidRPr="008B6A75" w:rsidRDefault="00387142" w:rsidP="00387142">
            <w:pPr>
              <w:jc w:val="center"/>
              <w:rPr>
                <w:sz w:val="20"/>
                <w:szCs w:val="20"/>
              </w:rPr>
            </w:pPr>
            <w:r w:rsidRPr="008B6A75">
              <w:rPr>
                <w:sz w:val="20"/>
                <w:szCs w:val="20"/>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F6E381D" w14:textId="77777777" w:rsidR="00387142" w:rsidRPr="008B6A75" w:rsidRDefault="00387142" w:rsidP="00387142">
            <w:pPr>
              <w:jc w:val="center"/>
              <w:rPr>
                <w:sz w:val="20"/>
                <w:szCs w:val="20"/>
              </w:rPr>
            </w:pPr>
            <w:r w:rsidRPr="008B6A75">
              <w:rPr>
                <w:sz w:val="20"/>
                <w:szCs w:val="20"/>
              </w:rPr>
              <w:t>01</w:t>
            </w:r>
          </w:p>
        </w:tc>
        <w:tc>
          <w:tcPr>
            <w:tcW w:w="1516" w:type="dxa"/>
            <w:tcBorders>
              <w:top w:val="nil"/>
              <w:left w:val="single" w:sz="4" w:space="0" w:color="auto"/>
              <w:bottom w:val="single" w:sz="4" w:space="0" w:color="auto"/>
              <w:right w:val="nil"/>
            </w:tcBorders>
            <w:shd w:val="clear" w:color="auto" w:fill="auto"/>
            <w:noWrap/>
            <w:vAlign w:val="center"/>
            <w:hideMark/>
          </w:tcPr>
          <w:p w14:paraId="126B6B35" w14:textId="77777777" w:rsidR="00387142" w:rsidRPr="008B6A75" w:rsidRDefault="00387142" w:rsidP="00387142">
            <w:pPr>
              <w:jc w:val="center"/>
              <w:rPr>
                <w:sz w:val="20"/>
                <w:szCs w:val="20"/>
              </w:rPr>
            </w:pPr>
            <w:r w:rsidRPr="008B6A75">
              <w:rPr>
                <w:sz w:val="20"/>
                <w:szCs w:val="20"/>
              </w:rPr>
              <w:t>08.0.00.70770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DFC8C59" w14:textId="77777777" w:rsidR="00387142" w:rsidRPr="008B6A75" w:rsidRDefault="00387142" w:rsidP="00387142">
            <w:pPr>
              <w:jc w:val="center"/>
              <w:rPr>
                <w:sz w:val="20"/>
                <w:szCs w:val="20"/>
              </w:rPr>
            </w:pPr>
            <w:r w:rsidRPr="008B6A75">
              <w:rPr>
                <w:sz w:val="20"/>
                <w:szCs w:val="20"/>
              </w:rPr>
              <w:t>520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CA0FFBC" w14:textId="77777777" w:rsidR="00387142" w:rsidRPr="008B6A75" w:rsidRDefault="00387142" w:rsidP="00387142">
            <w:pPr>
              <w:jc w:val="right"/>
              <w:rPr>
                <w:sz w:val="20"/>
                <w:szCs w:val="20"/>
              </w:rPr>
            </w:pPr>
            <w:r w:rsidRPr="008B6A75">
              <w:rPr>
                <w:sz w:val="20"/>
                <w:szCs w:val="20"/>
              </w:rPr>
              <w:t>315 604,36</w:t>
            </w:r>
          </w:p>
        </w:tc>
        <w:tc>
          <w:tcPr>
            <w:tcW w:w="992" w:type="dxa"/>
            <w:tcBorders>
              <w:top w:val="nil"/>
              <w:left w:val="single" w:sz="4" w:space="0" w:color="auto"/>
              <w:bottom w:val="single" w:sz="4" w:space="0" w:color="auto"/>
              <w:right w:val="nil"/>
            </w:tcBorders>
            <w:shd w:val="clear" w:color="auto" w:fill="auto"/>
            <w:vAlign w:val="center"/>
            <w:hideMark/>
          </w:tcPr>
          <w:p w14:paraId="677F9B1F" w14:textId="77777777" w:rsidR="00387142" w:rsidRPr="008B6A75" w:rsidRDefault="00387142" w:rsidP="00387142">
            <w:pPr>
              <w:jc w:val="right"/>
              <w:rPr>
                <w:sz w:val="20"/>
                <w:szCs w:val="20"/>
              </w:rPr>
            </w:pPr>
            <w:r w:rsidRPr="008B6A75">
              <w:rPr>
                <w:sz w:val="20"/>
                <w:szCs w:val="20"/>
              </w:rPr>
              <w:t>315 604,36</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256EED93" w14:textId="77777777" w:rsidR="00387142" w:rsidRPr="008B6A75" w:rsidRDefault="00387142" w:rsidP="00387142">
            <w:pPr>
              <w:jc w:val="right"/>
              <w:rPr>
                <w:sz w:val="20"/>
                <w:szCs w:val="20"/>
              </w:rPr>
            </w:pPr>
            <w:r w:rsidRPr="008B6A75">
              <w:rPr>
                <w:sz w:val="20"/>
                <w:szCs w:val="20"/>
              </w:rPr>
              <w:t>315 604,36</w:t>
            </w:r>
          </w:p>
        </w:tc>
      </w:tr>
      <w:tr w:rsidR="00387142" w:rsidRPr="008B6A75" w14:paraId="2A6967F4" w14:textId="77777777" w:rsidTr="00387142">
        <w:trPr>
          <w:trHeight w:val="870"/>
        </w:trPr>
        <w:tc>
          <w:tcPr>
            <w:tcW w:w="3261" w:type="dxa"/>
            <w:tcBorders>
              <w:top w:val="nil"/>
              <w:left w:val="single" w:sz="4" w:space="0" w:color="auto"/>
              <w:bottom w:val="single" w:sz="4" w:space="0" w:color="auto"/>
              <w:right w:val="nil"/>
            </w:tcBorders>
            <w:shd w:val="clear" w:color="auto" w:fill="auto"/>
            <w:vAlign w:val="center"/>
            <w:hideMark/>
          </w:tcPr>
          <w:p w14:paraId="3AE94B5E" w14:textId="77777777" w:rsidR="00387142" w:rsidRPr="008B6A75" w:rsidRDefault="00387142" w:rsidP="00387142">
            <w:pPr>
              <w:rPr>
                <w:sz w:val="20"/>
                <w:szCs w:val="20"/>
              </w:rPr>
            </w:pPr>
            <w:r w:rsidRPr="008B6A75">
              <w:rPr>
                <w:sz w:val="20"/>
                <w:szCs w:val="20"/>
              </w:rPr>
              <w:t>Предоставление субсидий бюджетным, автономным учреждениям и иным некоммерческим организациям</w:t>
            </w:r>
          </w:p>
        </w:tc>
        <w:tc>
          <w:tcPr>
            <w:tcW w:w="720" w:type="dxa"/>
            <w:tcBorders>
              <w:top w:val="nil"/>
              <w:left w:val="single" w:sz="4" w:space="0" w:color="auto"/>
              <w:bottom w:val="single" w:sz="4" w:space="0" w:color="auto"/>
              <w:right w:val="nil"/>
            </w:tcBorders>
            <w:shd w:val="clear" w:color="auto" w:fill="auto"/>
            <w:noWrap/>
            <w:vAlign w:val="center"/>
            <w:hideMark/>
          </w:tcPr>
          <w:p w14:paraId="22FD2746" w14:textId="77777777" w:rsidR="00387142" w:rsidRPr="008B6A75" w:rsidRDefault="00387142" w:rsidP="00387142">
            <w:pPr>
              <w:jc w:val="center"/>
              <w:rPr>
                <w:sz w:val="20"/>
                <w:szCs w:val="20"/>
              </w:rPr>
            </w:pPr>
            <w:r w:rsidRPr="008B6A75">
              <w:rPr>
                <w:sz w:val="20"/>
                <w:szCs w:val="20"/>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4D85EE7" w14:textId="77777777" w:rsidR="00387142" w:rsidRPr="008B6A75" w:rsidRDefault="00387142" w:rsidP="00387142">
            <w:pPr>
              <w:jc w:val="center"/>
              <w:rPr>
                <w:sz w:val="20"/>
                <w:szCs w:val="20"/>
              </w:rPr>
            </w:pPr>
            <w:r w:rsidRPr="008B6A75">
              <w:rPr>
                <w:sz w:val="20"/>
                <w:szCs w:val="20"/>
              </w:rPr>
              <w:t>01</w:t>
            </w:r>
          </w:p>
        </w:tc>
        <w:tc>
          <w:tcPr>
            <w:tcW w:w="1516" w:type="dxa"/>
            <w:tcBorders>
              <w:top w:val="nil"/>
              <w:left w:val="single" w:sz="4" w:space="0" w:color="auto"/>
              <w:bottom w:val="single" w:sz="4" w:space="0" w:color="auto"/>
              <w:right w:val="nil"/>
            </w:tcBorders>
            <w:shd w:val="clear" w:color="auto" w:fill="auto"/>
            <w:noWrap/>
            <w:vAlign w:val="center"/>
            <w:hideMark/>
          </w:tcPr>
          <w:p w14:paraId="5BBD9FC7" w14:textId="77777777" w:rsidR="00387142" w:rsidRPr="008B6A75" w:rsidRDefault="00387142" w:rsidP="00387142">
            <w:pPr>
              <w:jc w:val="center"/>
              <w:rPr>
                <w:sz w:val="20"/>
                <w:szCs w:val="20"/>
              </w:rPr>
            </w:pPr>
            <w:r w:rsidRPr="008B6A75">
              <w:rPr>
                <w:sz w:val="20"/>
                <w:szCs w:val="20"/>
              </w:rPr>
              <w:t>08.0.00.70770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4A789A9" w14:textId="77777777" w:rsidR="00387142" w:rsidRPr="008B6A75" w:rsidRDefault="00387142" w:rsidP="00387142">
            <w:pPr>
              <w:jc w:val="center"/>
              <w:rPr>
                <w:sz w:val="20"/>
                <w:szCs w:val="20"/>
              </w:rPr>
            </w:pPr>
            <w:r w:rsidRPr="008B6A75">
              <w:rPr>
                <w:sz w:val="20"/>
                <w:szCs w:val="20"/>
              </w:rPr>
              <w:t>600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A58CF3D" w14:textId="77777777" w:rsidR="00387142" w:rsidRPr="008B6A75" w:rsidRDefault="00387142" w:rsidP="00387142">
            <w:pPr>
              <w:jc w:val="right"/>
              <w:rPr>
                <w:sz w:val="20"/>
                <w:szCs w:val="20"/>
              </w:rPr>
            </w:pPr>
            <w:r w:rsidRPr="008B6A75">
              <w:rPr>
                <w:sz w:val="20"/>
                <w:szCs w:val="20"/>
              </w:rPr>
              <w:t>399 195,64</w:t>
            </w:r>
          </w:p>
        </w:tc>
        <w:tc>
          <w:tcPr>
            <w:tcW w:w="992" w:type="dxa"/>
            <w:tcBorders>
              <w:top w:val="nil"/>
              <w:left w:val="single" w:sz="4" w:space="0" w:color="auto"/>
              <w:bottom w:val="single" w:sz="4" w:space="0" w:color="auto"/>
              <w:right w:val="nil"/>
            </w:tcBorders>
            <w:shd w:val="clear" w:color="auto" w:fill="auto"/>
            <w:vAlign w:val="center"/>
            <w:hideMark/>
          </w:tcPr>
          <w:p w14:paraId="3C1355DD" w14:textId="77777777" w:rsidR="00387142" w:rsidRPr="008B6A75" w:rsidRDefault="00387142" w:rsidP="00387142">
            <w:pPr>
              <w:jc w:val="right"/>
              <w:rPr>
                <w:sz w:val="20"/>
                <w:szCs w:val="20"/>
              </w:rPr>
            </w:pPr>
            <w:r w:rsidRPr="008B6A75">
              <w:rPr>
                <w:sz w:val="20"/>
                <w:szCs w:val="20"/>
              </w:rPr>
              <w:t>399 195,64</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4CD1DF1E" w14:textId="77777777" w:rsidR="00387142" w:rsidRPr="008B6A75" w:rsidRDefault="00387142" w:rsidP="00387142">
            <w:pPr>
              <w:jc w:val="right"/>
              <w:rPr>
                <w:sz w:val="20"/>
                <w:szCs w:val="20"/>
              </w:rPr>
            </w:pPr>
            <w:r w:rsidRPr="008B6A75">
              <w:rPr>
                <w:sz w:val="20"/>
                <w:szCs w:val="20"/>
              </w:rPr>
              <w:t>399 195,64</w:t>
            </w:r>
          </w:p>
        </w:tc>
      </w:tr>
      <w:tr w:rsidR="00387142" w:rsidRPr="008B6A75" w14:paraId="0C6D438D" w14:textId="77777777" w:rsidTr="00387142">
        <w:trPr>
          <w:trHeight w:val="345"/>
        </w:trPr>
        <w:tc>
          <w:tcPr>
            <w:tcW w:w="3261" w:type="dxa"/>
            <w:tcBorders>
              <w:top w:val="nil"/>
              <w:left w:val="single" w:sz="4" w:space="0" w:color="auto"/>
              <w:bottom w:val="single" w:sz="4" w:space="0" w:color="auto"/>
              <w:right w:val="nil"/>
            </w:tcBorders>
            <w:shd w:val="clear" w:color="auto" w:fill="auto"/>
            <w:vAlign w:val="center"/>
            <w:hideMark/>
          </w:tcPr>
          <w:p w14:paraId="28C5BE41" w14:textId="77777777" w:rsidR="00387142" w:rsidRPr="008B6A75" w:rsidRDefault="00387142" w:rsidP="00387142">
            <w:pPr>
              <w:rPr>
                <w:sz w:val="20"/>
                <w:szCs w:val="20"/>
              </w:rPr>
            </w:pPr>
            <w:r w:rsidRPr="008B6A75">
              <w:rPr>
                <w:sz w:val="20"/>
                <w:szCs w:val="20"/>
              </w:rPr>
              <w:t>Субсидии бюджетным учреждениям</w:t>
            </w:r>
          </w:p>
        </w:tc>
        <w:tc>
          <w:tcPr>
            <w:tcW w:w="720" w:type="dxa"/>
            <w:tcBorders>
              <w:top w:val="nil"/>
              <w:left w:val="single" w:sz="4" w:space="0" w:color="auto"/>
              <w:bottom w:val="single" w:sz="4" w:space="0" w:color="auto"/>
              <w:right w:val="nil"/>
            </w:tcBorders>
            <w:shd w:val="clear" w:color="auto" w:fill="auto"/>
            <w:noWrap/>
            <w:vAlign w:val="center"/>
            <w:hideMark/>
          </w:tcPr>
          <w:p w14:paraId="45208972" w14:textId="77777777" w:rsidR="00387142" w:rsidRPr="008B6A75" w:rsidRDefault="00387142" w:rsidP="00387142">
            <w:pPr>
              <w:jc w:val="center"/>
              <w:rPr>
                <w:sz w:val="20"/>
                <w:szCs w:val="20"/>
              </w:rPr>
            </w:pPr>
            <w:r w:rsidRPr="008B6A75">
              <w:rPr>
                <w:sz w:val="20"/>
                <w:szCs w:val="20"/>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C45BF59" w14:textId="77777777" w:rsidR="00387142" w:rsidRPr="008B6A75" w:rsidRDefault="00387142" w:rsidP="00387142">
            <w:pPr>
              <w:jc w:val="center"/>
              <w:rPr>
                <w:sz w:val="20"/>
                <w:szCs w:val="20"/>
              </w:rPr>
            </w:pPr>
            <w:r w:rsidRPr="008B6A75">
              <w:rPr>
                <w:sz w:val="20"/>
                <w:szCs w:val="20"/>
              </w:rPr>
              <w:t>01</w:t>
            </w:r>
          </w:p>
        </w:tc>
        <w:tc>
          <w:tcPr>
            <w:tcW w:w="1516" w:type="dxa"/>
            <w:tcBorders>
              <w:top w:val="nil"/>
              <w:left w:val="single" w:sz="4" w:space="0" w:color="auto"/>
              <w:bottom w:val="single" w:sz="4" w:space="0" w:color="auto"/>
              <w:right w:val="nil"/>
            </w:tcBorders>
            <w:shd w:val="clear" w:color="auto" w:fill="auto"/>
            <w:noWrap/>
            <w:vAlign w:val="center"/>
            <w:hideMark/>
          </w:tcPr>
          <w:p w14:paraId="6ACA6025" w14:textId="77777777" w:rsidR="00387142" w:rsidRPr="008B6A75" w:rsidRDefault="00387142" w:rsidP="00387142">
            <w:pPr>
              <w:jc w:val="center"/>
              <w:rPr>
                <w:sz w:val="20"/>
                <w:szCs w:val="20"/>
              </w:rPr>
            </w:pPr>
            <w:r w:rsidRPr="008B6A75">
              <w:rPr>
                <w:sz w:val="20"/>
                <w:szCs w:val="20"/>
              </w:rPr>
              <w:t>08.0.00.70770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0D748B9" w14:textId="77777777" w:rsidR="00387142" w:rsidRPr="008B6A75" w:rsidRDefault="00387142" w:rsidP="00387142">
            <w:pPr>
              <w:jc w:val="center"/>
              <w:rPr>
                <w:sz w:val="20"/>
                <w:szCs w:val="20"/>
              </w:rPr>
            </w:pPr>
            <w:r w:rsidRPr="008B6A75">
              <w:rPr>
                <w:sz w:val="20"/>
                <w:szCs w:val="20"/>
              </w:rPr>
              <w:t>610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E0DE6F5" w14:textId="77777777" w:rsidR="00387142" w:rsidRPr="008B6A75" w:rsidRDefault="00387142" w:rsidP="00387142">
            <w:pPr>
              <w:jc w:val="right"/>
              <w:rPr>
                <w:sz w:val="20"/>
                <w:szCs w:val="20"/>
              </w:rPr>
            </w:pPr>
            <w:r w:rsidRPr="008B6A75">
              <w:rPr>
                <w:sz w:val="20"/>
                <w:szCs w:val="20"/>
              </w:rPr>
              <w:t>399 195,64</w:t>
            </w:r>
          </w:p>
        </w:tc>
        <w:tc>
          <w:tcPr>
            <w:tcW w:w="992" w:type="dxa"/>
            <w:tcBorders>
              <w:top w:val="nil"/>
              <w:left w:val="single" w:sz="4" w:space="0" w:color="auto"/>
              <w:bottom w:val="single" w:sz="4" w:space="0" w:color="auto"/>
              <w:right w:val="nil"/>
            </w:tcBorders>
            <w:shd w:val="clear" w:color="auto" w:fill="auto"/>
            <w:vAlign w:val="center"/>
            <w:hideMark/>
          </w:tcPr>
          <w:p w14:paraId="46620152" w14:textId="77777777" w:rsidR="00387142" w:rsidRPr="008B6A75" w:rsidRDefault="00387142" w:rsidP="00387142">
            <w:pPr>
              <w:jc w:val="right"/>
              <w:rPr>
                <w:sz w:val="20"/>
                <w:szCs w:val="20"/>
              </w:rPr>
            </w:pPr>
            <w:r w:rsidRPr="008B6A75">
              <w:rPr>
                <w:sz w:val="20"/>
                <w:szCs w:val="20"/>
              </w:rPr>
              <w:t>399 195,64</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38D98919" w14:textId="77777777" w:rsidR="00387142" w:rsidRPr="008B6A75" w:rsidRDefault="00387142" w:rsidP="00387142">
            <w:pPr>
              <w:jc w:val="right"/>
              <w:rPr>
                <w:sz w:val="20"/>
                <w:szCs w:val="20"/>
              </w:rPr>
            </w:pPr>
            <w:r w:rsidRPr="008B6A75">
              <w:rPr>
                <w:sz w:val="20"/>
                <w:szCs w:val="20"/>
              </w:rPr>
              <w:t>399 195,64</w:t>
            </w:r>
          </w:p>
        </w:tc>
      </w:tr>
      <w:tr w:rsidR="00387142" w:rsidRPr="008B6A75" w14:paraId="71215123" w14:textId="77777777" w:rsidTr="00387142">
        <w:trPr>
          <w:trHeight w:val="585"/>
        </w:trPr>
        <w:tc>
          <w:tcPr>
            <w:tcW w:w="3261" w:type="dxa"/>
            <w:tcBorders>
              <w:top w:val="nil"/>
              <w:left w:val="single" w:sz="4" w:space="0" w:color="auto"/>
              <w:bottom w:val="single" w:sz="4" w:space="0" w:color="auto"/>
              <w:right w:val="nil"/>
            </w:tcBorders>
            <w:shd w:val="clear" w:color="auto" w:fill="auto"/>
            <w:vAlign w:val="center"/>
            <w:hideMark/>
          </w:tcPr>
          <w:p w14:paraId="56C525EE" w14:textId="77777777" w:rsidR="00387142" w:rsidRPr="008B6A75" w:rsidRDefault="00387142" w:rsidP="00387142">
            <w:pPr>
              <w:rPr>
                <w:bCs/>
                <w:sz w:val="20"/>
                <w:szCs w:val="20"/>
              </w:rPr>
            </w:pPr>
            <w:r w:rsidRPr="008B6A75">
              <w:rPr>
                <w:bCs/>
                <w:sz w:val="20"/>
                <w:szCs w:val="20"/>
              </w:rPr>
              <w:t>Реализация мероприятий МП "Развитие культуры в Куйбышевском районе"</w:t>
            </w:r>
          </w:p>
        </w:tc>
        <w:tc>
          <w:tcPr>
            <w:tcW w:w="720" w:type="dxa"/>
            <w:tcBorders>
              <w:top w:val="nil"/>
              <w:left w:val="single" w:sz="4" w:space="0" w:color="auto"/>
              <w:bottom w:val="single" w:sz="4" w:space="0" w:color="auto"/>
              <w:right w:val="nil"/>
            </w:tcBorders>
            <w:shd w:val="clear" w:color="auto" w:fill="auto"/>
            <w:noWrap/>
            <w:vAlign w:val="center"/>
            <w:hideMark/>
          </w:tcPr>
          <w:p w14:paraId="644CEDA8" w14:textId="77777777" w:rsidR="00387142" w:rsidRPr="008B6A75" w:rsidRDefault="00387142" w:rsidP="00387142">
            <w:pPr>
              <w:jc w:val="center"/>
              <w:rPr>
                <w:bCs/>
                <w:sz w:val="20"/>
                <w:szCs w:val="20"/>
              </w:rPr>
            </w:pPr>
            <w:r w:rsidRPr="008B6A75">
              <w:rPr>
                <w:bCs/>
                <w:sz w:val="20"/>
                <w:szCs w:val="20"/>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64629D5" w14:textId="77777777" w:rsidR="00387142" w:rsidRPr="008B6A75" w:rsidRDefault="00387142" w:rsidP="00387142">
            <w:pPr>
              <w:jc w:val="center"/>
              <w:rPr>
                <w:bCs/>
                <w:sz w:val="20"/>
                <w:szCs w:val="20"/>
              </w:rPr>
            </w:pPr>
            <w:r w:rsidRPr="008B6A75">
              <w:rPr>
                <w:bCs/>
                <w:sz w:val="20"/>
                <w:szCs w:val="20"/>
              </w:rPr>
              <w:t>01</w:t>
            </w:r>
          </w:p>
        </w:tc>
        <w:tc>
          <w:tcPr>
            <w:tcW w:w="1516" w:type="dxa"/>
            <w:tcBorders>
              <w:top w:val="nil"/>
              <w:left w:val="single" w:sz="4" w:space="0" w:color="auto"/>
              <w:bottom w:val="single" w:sz="4" w:space="0" w:color="auto"/>
              <w:right w:val="nil"/>
            </w:tcBorders>
            <w:shd w:val="clear" w:color="auto" w:fill="auto"/>
            <w:noWrap/>
            <w:vAlign w:val="center"/>
            <w:hideMark/>
          </w:tcPr>
          <w:p w14:paraId="7CBFCE7B" w14:textId="77777777" w:rsidR="00387142" w:rsidRPr="008B6A75" w:rsidRDefault="00387142" w:rsidP="00387142">
            <w:pPr>
              <w:jc w:val="center"/>
              <w:rPr>
                <w:bCs/>
                <w:sz w:val="20"/>
                <w:szCs w:val="20"/>
              </w:rPr>
            </w:pPr>
            <w:r w:rsidRPr="008B6A75">
              <w:rPr>
                <w:bCs/>
                <w:sz w:val="20"/>
                <w:szCs w:val="20"/>
              </w:rPr>
              <w:t>08.0.00.89500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561397F"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DE79DDE" w14:textId="77777777" w:rsidR="00387142" w:rsidRPr="008B6A75" w:rsidRDefault="00387142" w:rsidP="00387142">
            <w:pPr>
              <w:jc w:val="right"/>
              <w:rPr>
                <w:bCs/>
                <w:sz w:val="20"/>
                <w:szCs w:val="20"/>
              </w:rPr>
            </w:pPr>
            <w:r w:rsidRPr="008B6A75">
              <w:rPr>
                <w:bCs/>
                <w:sz w:val="20"/>
                <w:szCs w:val="20"/>
              </w:rPr>
              <w:t>3 133 742,00</w:t>
            </w:r>
          </w:p>
        </w:tc>
        <w:tc>
          <w:tcPr>
            <w:tcW w:w="992" w:type="dxa"/>
            <w:tcBorders>
              <w:top w:val="nil"/>
              <w:left w:val="single" w:sz="4" w:space="0" w:color="auto"/>
              <w:bottom w:val="single" w:sz="4" w:space="0" w:color="auto"/>
              <w:right w:val="nil"/>
            </w:tcBorders>
            <w:shd w:val="clear" w:color="auto" w:fill="auto"/>
            <w:vAlign w:val="center"/>
            <w:hideMark/>
          </w:tcPr>
          <w:p w14:paraId="19A03A99" w14:textId="77777777" w:rsidR="00387142" w:rsidRPr="008B6A75" w:rsidRDefault="00387142" w:rsidP="00387142">
            <w:pPr>
              <w:jc w:val="right"/>
              <w:rPr>
                <w:bCs/>
                <w:sz w:val="20"/>
                <w:szCs w:val="20"/>
              </w:rPr>
            </w:pPr>
            <w:r w:rsidRPr="008B6A75">
              <w:rPr>
                <w:bCs/>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32F4B71B" w14:textId="77777777" w:rsidR="00387142" w:rsidRPr="008B6A75" w:rsidRDefault="00387142" w:rsidP="00387142">
            <w:pPr>
              <w:jc w:val="right"/>
              <w:rPr>
                <w:bCs/>
                <w:sz w:val="20"/>
                <w:szCs w:val="20"/>
              </w:rPr>
            </w:pPr>
            <w:r w:rsidRPr="008B6A75">
              <w:rPr>
                <w:bCs/>
                <w:sz w:val="20"/>
                <w:szCs w:val="20"/>
              </w:rPr>
              <w:t>0,00</w:t>
            </w:r>
          </w:p>
        </w:tc>
      </w:tr>
      <w:tr w:rsidR="00387142" w:rsidRPr="008B6A75" w14:paraId="286FFC81" w14:textId="77777777" w:rsidTr="00387142">
        <w:trPr>
          <w:trHeight w:val="585"/>
        </w:trPr>
        <w:tc>
          <w:tcPr>
            <w:tcW w:w="3261" w:type="dxa"/>
            <w:tcBorders>
              <w:top w:val="nil"/>
              <w:left w:val="single" w:sz="4" w:space="0" w:color="auto"/>
              <w:bottom w:val="single" w:sz="4" w:space="0" w:color="auto"/>
              <w:right w:val="nil"/>
            </w:tcBorders>
            <w:shd w:val="clear" w:color="auto" w:fill="auto"/>
            <w:vAlign w:val="center"/>
            <w:hideMark/>
          </w:tcPr>
          <w:p w14:paraId="26328CC0" w14:textId="77777777" w:rsidR="00387142" w:rsidRPr="008B6A75" w:rsidRDefault="00387142" w:rsidP="00387142">
            <w:pPr>
              <w:rPr>
                <w:bCs/>
                <w:sz w:val="20"/>
                <w:szCs w:val="20"/>
              </w:rPr>
            </w:pPr>
            <w:r w:rsidRPr="008B6A75">
              <w:rPr>
                <w:bCs/>
                <w:sz w:val="20"/>
                <w:szCs w:val="20"/>
              </w:rPr>
              <w:t>Реализация мероприятий МП "Развитие культуры в Куйбышевском районе"</w:t>
            </w:r>
          </w:p>
        </w:tc>
        <w:tc>
          <w:tcPr>
            <w:tcW w:w="720" w:type="dxa"/>
            <w:tcBorders>
              <w:top w:val="nil"/>
              <w:left w:val="single" w:sz="4" w:space="0" w:color="auto"/>
              <w:bottom w:val="single" w:sz="4" w:space="0" w:color="auto"/>
              <w:right w:val="nil"/>
            </w:tcBorders>
            <w:shd w:val="clear" w:color="auto" w:fill="auto"/>
            <w:noWrap/>
            <w:vAlign w:val="center"/>
            <w:hideMark/>
          </w:tcPr>
          <w:p w14:paraId="7C4E5DEA" w14:textId="77777777" w:rsidR="00387142" w:rsidRPr="008B6A75" w:rsidRDefault="00387142" w:rsidP="00387142">
            <w:pPr>
              <w:jc w:val="center"/>
              <w:rPr>
                <w:bCs/>
                <w:sz w:val="20"/>
                <w:szCs w:val="20"/>
              </w:rPr>
            </w:pPr>
            <w:r w:rsidRPr="008B6A75">
              <w:rPr>
                <w:bCs/>
                <w:sz w:val="20"/>
                <w:szCs w:val="20"/>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575D4BD" w14:textId="77777777" w:rsidR="00387142" w:rsidRPr="008B6A75" w:rsidRDefault="00387142" w:rsidP="00387142">
            <w:pPr>
              <w:jc w:val="center"/>
              <w:rPr>
                <w:bCs/>
                <w:sz w:val="20"/>
                <w:szCs w:val="20"/>
              </w:rPr>
            </w:pPr>
            <w:r w:rsidRPr="008B6A75">
              <w:rPr>
                <w:bCs/>
                <w:sz w:val="20"/>
                <w:szCs w:val="20"/>
              </w:rPr>
              <w:t>01</w:t>
            </w:r>
          </w:p>
        </w:tc>
        <w:tc>
          <w:tcPr>
            <w:tcW w:w="1516" w:type="dxa"/>
            <w:tcBorders>
              <w:top w:val="nil"/>
              <w:left w:val="single" w:sz="4" w:space="0" w:color="auto"/>
              <w:bottom w:val="single" w:sz="4" w:space="0" w:color="auto"/>
              <w:right w:val="nil"/>
            </w:tcBorders>
            <w:shd w:val="clear" w:color="auto" w:fill="auto"/>
            <w:noWrap/>
            <w:vAlign w:val="center"/>
            <w:hideMark/>
          </w:tcPr>
          <w:p w14:paraId="746F44E0" w14:textId="77777777" w:rsidR="00387142" w:rsidRPr="008B6A75" w:rsidRDefault="00387142" w:rsidP="00387142">
            <w:pPr>
              <w:jc w:val="center"/>
              <w:rPr>
                <w:bCs/>
                <w:sz w:val="20"/>
                <w:szCs w:val="20"/>
              </w:rPr>
            </w:pPr>
            <w:r w:rsidRPr="008B6A75">
              <w:rPr>
                <w:bCs/>
                <w:sz w:val="20"/>
                <w:szCs w:val="20"/>
              </w:rPr>
              <w:t>08.0.00.89500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BB24CFE"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240A3C9" w14:textId="77777777" w:rsidR="00387142" w:rsidRPr="008B6A75" w:rsidRDefault="00387142" w:rsidP="00387142">
            <w:pPr>
              <w:jc w:val="right"/>
              <w:rPr>
                <w:bCs/>
                <w:sz w:val="20"/>
                <w:szCs w:val="20"/>
              </w:rPr>
            </w:pPr>
            <w:r w:rsidRPr="008B6A75">
              <w:rPr>
                <w:bCs/>
                <w:sz w:val="20"/>
                <w:szCs w:val="20"/>
              </w:rPr>
              <w:t>3 133 742,00</w:t>
            </w:r>
          </w:p>
        </w:tc>
        <w:tc>
          <w:tcPr>
            <w:tcW w:w="992" w:type="dxa"/>
            <w:tcBorders>
              <w:top w:val="nil"/>
              <w:left w:val="single" w:sz="4" w:space="0" w:color="auto"/>
              <w:bottom w:val="single" w:sz="4" w:space="0" w:color="auto"/>
              <w:right w:val="nil"/>
            </w:tcBorders>
            <w:shd w:val="clear" w:color="auto" w:fill="auto"/>
            <w:vAlign w:val="center"/>
            <w:hideMark/>
          </w:tcPr>
          <w:p w14:paraId="74D82511" w14:textId="77777777" w:rsidR="00387142" w:rsidRPr="008B6A75" w:rsidRDefault="00387142" w:rsidP="00387142">
            <w:pPr>
              <w:jc w:val="right"/>
              <w:rPr>
                <w:bCs/>
                <w:sz w:val="20"/>
                <w:szCs w:val="20"/>
              </w:rPr>
            </w:pPr>
            <w:r w:rsidRPr="008B6A75">
              <w:rPr>
                <w:bCs/>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2312EF38" w14:textId="77777777" w:rsidR="00387142" w:rsidRPr="008B6A75" w:rsidRDefault="00387142" w:rsidP="00387142">
            <w:pPr>
              <w:jc w:val="right"/>
              <w:rPr>
                <w:bCs/>
                <w:sz w:val="20"/>
                <w:szCs w:val="20"/>
              </w:rPr>
            </w:pPr>
            <w:r w:rsidRPr="008B6A75">
              <w:rPr>
                <w:bCs/>
                <w:sz w:val="20"/>
                <w:szCs w:val="20"/>
              </w:rPr>
              <w:t>0,00</w:t>
            </w:r>
          </w:p>
        </w:tc>
      </w:tr>
      <w:tr w:rsidR="00387142" w:rsidRPr="008B6A75" w14:paraId="606BED91" w14:textId="77777777" w:rsidTr="00387142">
        <w:trPr>
          <w:trHeight w:val="345"/>
        </w:trPr>
        <w:tc>
          <w:tcPr>
            <w:tcW w:w="3261" w:type="dxa"/>
            <w:tcBorders>
              <w:top w:val="nil"/>
              <w:left w:val="single" w:sz="4" w:space="0" w:color="auto"/>
              <w:bottom w:val="single" w:sz="4" w:space="0" w:color="auto"/>
              <w:right w:val="nil"/>
            </w:tcBorders>
            <w:shd w:val="clear" w:color="auto" w:fill="auto"/>
            <w:vAlign w:val="center"/>
            <w:hideMark/>
          </w:tcPr>
          <w:p w14:paraId="6B36AD70" w14:textId="77777777" w:rsidR="00387142" w:rsidRPr="008B6A75" w:rsidRDefault="00387142" w:rsidP="00387142">
            <w:pPr>
              <w:rPr>
                <w:sz w:val="20"/>
                <w:szCs w:val="20"/>
              </w:rPr>
            </w:pPr>
            <w:r w:rsidRPr="008B6A75">
              <w:rPr>
                <w:sz w:val="20"/>
                <w:szCs w:val="20"/>
              </w:rPr>
              <w:t>Межбюджетные трансферты</w:t>
            </w:r>
          </w:p>
        </w:tc>
        <w:tc>
          <w:tcPr>
            <w:tcW w:w="720" w:type="dxa"/>
            <w:tcBorders>
              <w:top w:val="nil"/>
              <w:left w:val="single" w:sz="4" w:space="0" w:color="auto"/>
              <w:bottom w:val="single" w:sz="4" w:space="0" w:color="auto"/>
              <w:right w:val="nil"/>
            </w:tcBorders>
            <w:shd w:val="clear" w:color="auto" w:fill="auto"/>
            <w:noWrap/>
            <w:vAlign w:val="center"/>
            <w:hideMark/>
          </w:tcPr>
          <w:p w14:paraId="2BA893F4" w14:textId="77777777" w:rsidR="00387142" w:rsidRPr="008B6A75" w:rsidRDefault="00387142" w:rsidP="00387142">
            <w:pPr>
              <w:jc w:val="center"/>
              <w:rPr>
                <w:sz w:val="20"/>
                <w:szCs w:val="20"/>
              </w:rPr>
            </w:pPr>
            <w:r w:rsidRPr="008B6A75">
              <w:rPr>
                <w:sz w:val="20"/>
                <w:szCs w:val="20"/>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D40D1A0" w14:textId="77777777" w:rsidR="00387142" w:rsidRPr="008B6A75" w:rsidRDefault="00387142" w:rsidP="00387142">
            <w:pPr>
              <w:jc w:val="center"/>
              <w:rPr>
                <w:sz w:val="20"/>
                <w:szCs w:val="20"/>
              </w:rPr>
            </w:pPr>
            <w:r w:rsidRPr="008B6A75">
              <w:rPr>
                <w:sz w:val="20"/>
                <w:szCs w:val="20"/>
              </w:rPr>
              <w:t>01</w:t>
            </w:r>
          </w:p>
        </w:tc>
        <w:tc>
          <w:tcPr>
            <w:tcW w:w="1516" w:type="dxa"/>
            <w:tcBorders>
              <w:top w:val="nil"/>
              <w:left w:val="single" w:sz="4" w:space="0" w:color="auto"/>
              <w:bottom w:val="single" w:sz="4" w:space="0" w:color="auto"/>
              <w:right w:val="nil"/>
            </w:tcBorders>
            <w:shd w:val="clear" w:color="auto" w:fill="auto"/>
            <w:noWrap/>
            <w:vAlign w:val="center"/>
            <w:hideMark/>
          </w:tcPr>
          <w:p w14:paraId="3AB6ED19" w14:textId="77777777" w:rsidR="00387142" w:rsidRPr="008B6A75" w:rsidRDefault="00387142" w:rsidP="00387142">
            <w:pPr>
              <w:jc w:val="center"/>
              <w:rPr>
                <w:sz w:val="20"/>
                <w:szCs w:val="20"/>
              </w:rPr>
            </w:pPr>
            <w:r w:rsidRPr="008B6A75">
              <w:rPr>
                <w:sz w:val="20"/>
                <w:szCs w:val="20"/>
              </w:rPr>
              <w:t>08.0.00.89500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6B2A93B" w14:textId="77777777" w:rsidR="00387142" w:rsidRPr="008B6A75" w:rsidRDefault="00387142" w:rsidP="00387142">
            <w:pPr>
              <w:jc w:val="center"/>
              <w:rPr>
                <w:sz w:val="20"/>
                <w:szCs w:val="20"/>
              </w:rPr>
            </w:pPr>
            <w:r w:rsidRPr="008B6A75">
              <w:rPr>
                <w:sz w:val="20"/>
                <w:szCs w:val="20"/>
              </w:rPr>
              <w:t>500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F130B68" w14:textId="77777777" w:rsidR="00387142" w:rsidRPr="008B6A75" w:rsidRDefault="00387142" w:rsidP="00387142">
            <w:pPr>
              <w:jc w:val="right"/>
              <w:rPr>
                <w:sz w:val="20"/>
                <w:szCs w:val="20"/>
              </w:rPr>
            </w:pPr>
            <w:r w:rsidRPr="008B6A75">
              <w:rPr>
                <w:sz w:val="20"/>
                <w:szCs w:val="20"/>
              </w:rPr>
              <w:t>2 515 324,50</w:t>
            </w:r>
          </w:p>
        </w:tc>
        <w:tc>
          <w:tcPr>
            <w:tcW w:w="992" w:type="dxa"/>
            <w:tcBorders>
              <w:top w:val="nil"/>
              <w:left w:val="single" w:sz="4" w:space="0" w:color="auto"/>
              <w:bottom w:val="single" w:sz="4" w:space="0" w:color="auto"/>
              <w:right w:val="nil"/>
            </w:tcBorders>
            <w:shd w:val="clear" w:color="auto" w:fill="auto"/>
            <w:vAlign w:val="center"/>
            <w:hideMark/>
          </w:tcPr>
          <w:p w14:paraId="78A97FDA" w14:textId="77777777" w:rsidR="00387142" w:rsidRPr="008B6A75" w:rsidRDefault="00387142" w:rsidP="00387142">
            <w:pPr>
              <w:jc w:val="right"/>
              <w:rPr>
                <w:sz w:val="20"/>
                <w:szCs w:val="20"/>
              </w:rPr>
            </w:pPr>
            <w:r w:rsidRPr="008B6A75">
              <w:rPr>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199ABDB1" w14:textId="77777777" w:rsidR="00387142" w:rsidRPr="008B6A75" w:rsidRDefault="00387142" w:rsidP="00387142">
            <w:pPr>
              <w:jc w:val="right"/>
              <w:rPr>
                <w:sz w:val="20"/>
                <w:szCs w:val="20"/>
              </w:rPr>
            </w:pPr>
            <w:r w:rsidRPr="008B6A75">
              <w:rPr>
                <w:sz w:val="20"/>
                <w:szCs w:val="20"/>
              </w:rPr>
              <w:t>0,00</w:t>
            </w:r>
          </w:p>
        </w:tc>
      </w:tr>
      <w:tr w:rsidR="00387142" w:rsidRPr="008B6A75" w14:paraId="1FE23C4E" w14:textId="77777777" w:rsidTr="00387142">
        <w:trPr>
          <w:trHeight w:val="345"/>
        </w:trPr>
        <w:tc>
          <w:tcPr>
            <w:tcW w:w="3261" w:type="dxa"/>
            <w:tcBorders>
              <w:top w:val="nil"/>
              <w:left w:val="single" w:sz="4" w:space="0" w:color="auto"/>
              <w:bottom w:val="single" w:sz="4" w:space="0" w:color="auto"/>
              <w:right w:val="nil"/>
            </w:tcBorders>
            <w:shd w:val="clear" w:color="auto" w:fill="auto"/>
            <w:vAlign w:val="center"/>
            <w:hideMark/>
          </w:tcPr>
          <w:p w14:paraId="2785AB58" w14:textId="77777777" w:rsidR="00387142" w:rsidRPr="008B6A75" w:rsidRDefault="00387142" w:rsidP="00387142">
            <w:pPr>
              <w:rPr>
                <w:sz w:val="20"/>
                <w:szCs w:val="20"/>
              </w:rPr>
            </w:pPr>
            <w:r w:rsidRPr="008B6A75">
              <w:rPr>
                <w:sz w:val="20"/>
                <w:szCs w:val="20"/>
              </w:rPr>
              <w:t>Иные межбюджетные трансферты</w:t>
            </w:r>
          </w:p>
        </w:tc>
        <w:tc>
          <w:tcPr>
            <w:tcW w:w="720" w:type="dxa"/>
            <w:tcBorders>
              <w:top w:val="nil"/>
              <w:left w:val="single" w:sz="4" w:space="0" w:color="auto"/>
              <w:bottom w:val="single" w:sz="4" w:space="0" w:color="auto"/>
              <w:right w:val="nil"/>
            </w:tcBorders>
            <w:shd w:val="clear" w:color="auto" w:fill="auto"/>
            <w:noWrap/>
            <w:vAlign w:val="center"/>
            <w:hideMark/>
          </w:tcPr>
          <w:p w14:paraId="4E0B1660" w14:textId="77777777" w:rsidR="00387142" w:rsidRPr="008B6A75" w:rsidRDefault="00387142" w:rsidP="00387142">
            <w:pPr>
              <w:jc w:val="center"/>
              <w:rPr>
                <w:sz w:val="20"/>
                <w:szCs w:val="20"/>
              </w:rPr>
            </w:pPr>
            <w:r w:rsidRPr="008B6A75">
              <w:rPr>
                <w:sz w:val="20"/>
                <w:szCs w:val="20"/>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A663EB0" w14:textId="77777777" w:rsidR="00387142" w:rsidRPr="008B6A75" w:rsidRDefault="00387142" w:rsidP="00387142">
            <w:pPr>
              <w:jc w:val="center"/>
              <w:rPr>
                <w:sz w:val="20"/>
                <w:szCs w:val="20"/>
              </w:rPr>
            </w:pPr>
            <w:r w:rsidRPr="008B6A75">
              <w:rPr>
                <w:sz w:val="20"/>
                <w:szCs w:val="20"/>
              </w:rPr>
              <w:t>01</w:t>
            </w:r>
          </w:p>
        </w:tc>
        <w:tc>
          <w:tcPr>
            <w:tcW w:w="1516" w:type="dxa"/>
            <w:tcBorders>
              <w:top w:val="nil"/>
              <w:left w:val="single" w:sz="4" w:space="0" w:color="auto"/>
              <w:bottom w:val="single" w:sz="4" w:space="0" w:color="auto"/>
              <w:right w:val="nil"/>
            </w:tcBorders>
            <w:shd w:val="clear" w:color="auto" w:fill="auto"/>
            <w:noWrap/>
            <w:vAlign w:val="center"/>
            <w:hideMark/>
          </w:tcPr>
          <w:p w14:paraId="5F7FA94C" w14:textId="77777777" w:rsidR="00387142" w:rsidRPr="008B6A75" w:rsidRDefault="00387142" w:rsidP="00387142">
            <w:pPr>
              <w:jc w:val="center"/>
              <w:rPr>
                <w:sz w:val="20"/>
                <w:szCs w:val="20"/>
              </w:rPr>
            </w:pPr>
            <w:r w:rsidRPr="008B6A75">
              <w:rPr>
                <w:sz w:val="20"/>
                <w:szCs w:val="20"/>
              </w:rPr>
              <w:t>08.0.00.89500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F8EADC3" w14:textId="77777777" w:rsidR="00387142" w:rsidRPr="008B6A75" w:rsidRDefault="00387142" w:rsidP="00387142">
            <w:pPr>
              <w:jc w:val="center"/>
              <w:rPr>
                <w:sz w:val="20"/>
                <w:szCs w:val="20"/>
              </w:rPr>
            </w:pPr>
            <w:r w:rsidRPr="008B6A75">
              <w:rPr>
                <w:sz w:val="20"/>
                <w:szCs w:val="20"/>
              </w:rPr>
              <w:t>540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FACF3EB" w14:textId="77777777" w:rsidR="00387142" w:rsidRPr="008B6A75" w:rsidRDefault="00387142" w:rsidP="00387142">
            <w:pPr>
              <w:jc w:val="right"/>
              <w:rPr>
                <w:sz w:val="20"/>
                <w:szCs w:val="20"/>
              </w:rPr>
            </w:pPr>
            <w:r w:rsidRPr="008B6A75">
              <w:rPr>
                <w:sz w:val="20"/>
                <w:szCs w:val="20"/>
              </w:rPr>
              <w:t>2 515 324,50</w:t>
            </w:r>
          </w:p>
        </w:tc>
        <w:tc>
          <w:tcPr>
            <w:tcW w:w="992" w:type="dxa"/>
            <w:tcBorders>
              <w:top w:val="nil"/>
              <w:left w:val="single" w:sz="4" w:space="0" w:color="auto"/>
              <w:bottom w:val="single" w:sz="4" w:space="0" w:color="auto"/>
              <w:right w:val="nil"/>
            </w:tcBorders>
            <w:shd w:val="clear" w:color="auto" w:fill="auto"/>
            <w:vAlign w:val="center"/>
            <w:hideMark/>
          </w:tcPr>
          <w:p w14:paraId="091675A9" w14:textId="77777777" w:rsidR="00387142" w:rsidRPr="008B6A75" w:rsidRDefault="00387142" w:rsidP="00387142">
            <w:pPr>
              <w:jc w:val="right"/>
              <w:rPr>
                <w:sz w:val="20"/>
                <w:szCs w:val="20"/>
              </w:rPr>
            </w:pPr>
            <w:r w:rsidRPr="008B6A75">
              <w:rPr>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3DAC8E77" w14:textId="77777777" w:rsidR="00387142" w:rsidRPr="008B6A75" w:rsidRDefault="00387142" w:rsidP="00387142">
            <w:pPr>
              <w:jc w:val="right"/>
              <w:rPr>
                <w:sz w:val="20"/>
                <w:szCs w:val="20"/>
              </w:rPr>
            </w:pPr>
            <w:r w:rsidRPr="008B6A75">
              <w:rPr>
                <w:sz w:val="20"/>
                <w:szCs w:val="20"/>
              </w:rPr>
              <w:t>0,00</w:t>
            </w:r>
          </w:p>
        </w:tc>
      </w:tr>
      <w:tr w:rsidR="00387142" w:rsidRPr="008B6A75" w14:paraId="663CCD5C" w14:textId="77777777" w:rsidTr="00387142">
        <w:trPr>
          <w:trHeight w:val="870"/>
        </w:trPr>
        <w:tc>
          <w:tcPr>
            <w:tcW w:w="3261" w:type="dxa"/>
            <w:tcBorders>
              <w:top w:val="nil"/>
              <w:left w:val="single" w:sz="4" w:space="0" w:color="auto"/>
              <w:bottom w:val="single" w:sz="4" w:space="0" w:color="auto"/>
              <w:right w:val="nil"/>
            </w:tcBorders>
            <w:shd w:val="clear" w:color="auto" w:fill="auto"/>
            <w:vAlign w:val="center"/>
            <w:hideMark/>
          </w:tcPr>
          <w:p w14:paraId="45304458" w14:textId="77777777" w:rsidR="00387142" w:rsidRPr="008B6A75" w:rsidRDefault="00387142" w:rsidP="00387142">
            <w:pPr>
              <w:rPr>
                <w:sz w:val="20"/>
                <w:szCs w:val="20"/>
              </w:rPr>
            </w:pPr>
            <w:r w:rsidRPr="008B6A75">
              <w:rPr>
                <w:sz w:val="20"/>
                <w:szCs w:val="20"/>
              </w:rPr>
              <w:t>Предоставление субсидий бюджетным, автономным учреждениям и иным некоммерческим организациям</w:t>
            </w:r>
          </w:p>
        </w:tc>
        <w:tc>
          <w:tcPr>
            <w:tcW w:w="720" w:type="dxa"/>
            <w:tcBorders>
              <w:top w:val="nil"/>
              <w:left w:val="single" w:sz="4" w:space="0" w:color="auto"/>
              <w:bottom w:val="single" w:sz="4" w:space="0" w:color="auto"/>
              <w:right w:val="nil"/>
            </w:tcBorders>
            <w:shd w:val="clear" w:color="auto" w:fill="auto"/>
            <w:noWrap/>
            <w:vAlign w:val="center"/>
            <w:hideMark/>
          </w:tcPr>
          <w:p w14:paraId="67BAACCC" w14:textId="77777777" w:rsidR="00387142" w:rsidRPr="008B6A75" w:rsidRDefault="00387142" w:rsidP="00387142">
            <w:pPr>
              <w:jc w:val="center"/>
              <w:rPr>
                <w:sz w:val="20"/>
                <w:szCs w:val="20"/>
              </w:rPr>
            </w:pPr>
            <w:r w:rsidRPr="008B6A75">
              <w:rPr>
                <w:sz w:val="20"/>
                <w:szCs w:val="20"/>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F83FD39" w14:textId="77777777" w:rsidR="00387142" w:rsidRPr="008B6A75" w:rsidRDefault="00387142" w:rsidP="00387142">
            <w:pPr>
              <w:jc w:val="center"/>
              <w:rPr>
                <w:sz w:val="20"/>
                <w:szCs w:val="20"/>
              </w:rPr>
            </w:pPr>
            <w:r w:rsidRPr="008B6A75">
              <w:rPr>
                <w:sz w:val="20"/>
                <w:szCs w:val="20"/>
              </w:rPr>
              <w:t>01</w:t>
            </w:r>
          </w:p>
        </w:tc>
        <w:tc>
          <w:tcPr>
            <w:tcW w:w="1516" w:type="dxa"/>
            <w:tcBorders>
              <w:top w:val="nil"/>
              <w:left w:val="single" w:sz="4" w:space="0" w:color="auto"/>
              <w:bottom w:val="single" w:sz="4" w:space="0" w:color="auto"/>
              <w:right w:val="nil"/>
            </w:tcBorders>
            <w:shd w:val="clear" w:color="auto" w:fill="auto"/>
            <w:noWrap/>
            <w:vAlign w:val="center"/>
            <w:hideMark/>
          </w:tcPr>
          <w:p w14:paraId="05968239" w14:textId="77777777" w:rsidR="00387142" w:rsidRPr="008B6A75" w:rsidRDefault="00387142" w:rsidP="00387142">
            <w:pPr>
              <w:jc w:val="center"/>
              <w:rPr>
                <w:sz w:val="20"/>
                <w:szCs w:val="20"/>
              </w:rPr>
            </w:pPr>
            <w:r w:rsidRPr="008B6A75">
              <w:rPr>
                <w:sz w:val="20"/>
                <w:szCs w:val="20"/>
              </w:rPr>
              <w:t>08.0.00.89500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A0E8AC3" w14:textId="77777777" w:rsidR="00387142" w:rsidRPr="008B6A75" w:rsidRDefault="00387142" w:rsidP="00387142">
            <w:pPr>
              <w:jc w:val="center"/>
              <w:rPr>
                <w:sz w:val="20"/>
                <w:szCs w:val="20"/>
              </w:rPr>
            </w:pPr>
            <w:r w:rsidRPr="008B6A75">
              <w:rPr>
                <w:sz w:val="20"/>
                <w:szCs w:val="20"/>
              </w:rPr>
              <w:t>600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AEE54AD" w14:textId="77777777" w:rsidR="00387142" w:rsidRPr="008B6A75" w:rsidRDefault="00387142" w:rsidP="00387142">
            <w:pPr>
              <w:jc w:val="right"/>
              <w:rPr>
                <w:sz w:val="20"/>
                <w:szCs w:val="20"/>
              </w:rPr>
            </w:pPr>
            <w:r w:rsidRPr="008B6A75">
              <w:rPr>
                <w:sz w:val="20"/>
                <w:szCs w:val="20"/>
              </w:rPr>
              <w:t>618 417,50</w:t>
            </w:r>
          </w:p>
        </w:tc>
        <w:tc>
          <w:tcPr>
            <w:tcW w:w="992" w:type="dxa"/>
            <w:tcBorders>
              <w:top w:val="nil"/>
              <w:left w:val="single" w:sz="4" w:space="0" w:color="auto"/>
              <w:bottom w:val="single" w:sz="4" w:space="0" w:color="auto"/>
              <w:right w:val="nil"/>
            </w:tcBorders>
            <w:shd w:val="clear" w:color="auto" w:fill="auto"/>
            <w:vAlign w:val="center"/>
            <w:hideMark/>
          </w:tcPr>
          <w:p w14:paraId="443331D0" w14:textId="77777777" w:rsidR="00387142" w:rsidRPr="008B6A75" w:rsidRDefault="00387142" w:rsidP="00387142">
            <w:pPr>
              <w:jc w:val="right"/>
              <w:rPr>
                <w:sz w:val="20"/>
                <w:szCs w:val="20"/>
              </w:rPr>
            </w:pPr>
            <w:r w:rsidRPr="008B6A75">
              <w:rPr>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7B0ABE8B" w14:textId="77777777" w:rsidR="00387142" w:rsidRPr="008B6A75" w:rsidRDefault="00387142" w:rsidP="00387142">
            <w:pPr>
              <w:jc w:val="right"/>
              <w:rPr>
                <w:sz w:val="20"/>
                <w:szCs w:val="20"/>
              </w:rPr>
            </w:pPr>
            <w:r w:rsidRPr="008B6A75">
              <w:rPr>
                <w:sz w:val="20"/>
                <w:szCs w:val="20"/>
              </w:rPr>
              <w:t>0,00</w:t>
            </w:r>
          </w:p>
        </w:tc>
      </w:tr>
      <w:tr w:rsidR="00387142" w:rsidRPr="008B6A75" w14:paraId="1DBBD959" w14:textId="77777777" w:rsidTr="00387142">
        <w:trPr>
          <w:trHeight w:val="345"/>
        </w:trPr>
        <w:tc>
          <w:tcPr>
            <w:tcW w:w="3261" w:type="dxa"/>
            <w:tcBorders>
              <w:top w:val="nil"/>
              <w:left w:val="single" w:sz="4" w:space="0" w:color="auto"/>
              <w:bottom w:val="single" w:sz="4" w:space="0" w:color="auto"/>
              <w:right w:val="nil"/>
            </w:tcBorders>
            <w:shd w:val="clear" w:color="auto" w:fill="auto"/>
            <w:vAlign w:val="center"/>
            <w:hideMark/>
          </w:tcPr>
          <w:p w14:paraId="459F2DCB" w14:textId="77777777" w:rsidR="00387142" w:rsidRPr="008B6A75" w:rsidRDefault="00387142" w:rsidP="00387142">
            <w:pPr>
              <w:rPr>
                <w:sz w:val="20"/>
                <w:szCs w:val="20"/>
              </w:rPr>
            </w:pPr>
            <w:r w:rsidRPr="008B6A75">
              <w:rPr>
                <w:sz w:val="20"/>
                <w:szCs w:val="20"/>
              </w:rPr>
              <w:t>Субсидии бюджетным учреждениям</w:t>
            </w:r>
          </w:p>
        </w:tc>
        <w:tc>
          <w:tcPr>
            <w:tcW w:w="720" w:type="dxa"/>
            <w:tcBorders>
              <w:top w:val="nil"/>
              <w:left w:val="single" w:sz="4" w:space="0" w:color="auto"/>
              <w:bottom w:val="single" w:sz="4" w:space="0" w:color="auto"/>
              <w:right w:val="nil"/>
            </w:tcBorders>
            <w:shd w:val="clear" w:color="auto" w:fill="auto"/>
            <w:noWrap/>
            <w:vAlign w:val="center"/>
            <w:hideMark/>
          </w:tcPr>
          <w:p w14:paraId="06ACA9C1" w14:textId="77777777" w:rsidR="00387142" w:rsidRPr="008B6A75" w:rsidRDefault="00387142" w:rsidP="00387142">
            <w:pPr>
              <w:jc w:val="center"/>
              <w:rPr>
                <w:sz w:val="20"/>
                <w:szCs w:val="20"/>
              </w:rPr>
            </w:pPr>
            <w:r w:rsidRPr="008B6A75">
              <w:rPr>
                <w:sz w:val="20"/>
                <w:szCs w:val="20"/>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8F8FEE5" w14:textId="77777777" w:rsidR="00387142" w:rsidRPr="008B6A75" w:rsidRDefault="00387142" w:rsidP="00387142">
            <w:pPr>
              <w:jc w:val="center"/>
              <w:rPr>
                <w:sz w:val="20"/>
                <w:szCs w:val="20"/>
              </w:rPr>
            </w:pPr>
            <w:r w:rsidRPr="008B6A75">
              <w:rPr>
                <w:sz w:val="20"/>
                <w:szCs w:val="20"/>
              </w:rPr>
              <w:t>01</w:t>
            </w:r>
          </w:p>
        </w:tc>
        <w:tc>
          <w:tcPr>
            <w:tcW w:w="1516" w:type="dxa"/>
            <w:tcBorders>
              <w:top w:val="nil"/>
              <w:left w:val="single" w:sz="4" w:space="0" w:color="auto"/>
              <w:bottom w:val="single" w:sz="4" w:space="0" w:color="auto"/>
              <w:right w:val="nil"/>
            </w:tcBorders>
            <w:shd w:val="clear" w:color="auto" w:fill="auto"/>
            <w:noWrap/>
            <w:vAlign w:val="center"/>
            <w:hideMark/>
          </w:tcPr>
          <w:p w14:paraId="7357705A" w14:textId="77777777" w:rsidR="00387142" w:rsidRPr="008B6A75" w:rsidRDefault="00387142" w:rsidP="00387142">
            <w:pPr>
              <w:jc w:val="center"/>
              <w:rPr>
                <w:sz w:val="20"/>
                <w:szCs w:val="20"/>
              </w:rPr>
            </w:pPr>
            <w:r w:rsidRPr="008B6A75">
              <w:rPr>
                <w:sz w:val="20"/>
                <w:szCs w:val="20"/>
              </w:rPr>
              <w:t>08.0.00.89500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C7E32BD" w14:textId="77777777" w:rsidR="00387142" w:rsidRPr="008B6A75" w:rsidRDefault="00387142" w:rsidP="00387142">
            <w:pPr>
              <w:jc w:val="center"/>
              <w:rPr>
                <w:sz w:val="20"/>
                <w:szCs w:val="20"/>
              </w:rPr>
            </w:pPr>
            <w:r w:rsidRPr="008B6A75">
              <w:rPr>
                <w:sz w:val="20"/>
                <w:szCs w:val="20"/>
              </w:rPr>
              <w:t>610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06D7B38" w14:textId="77777777" w:rsidR="00387142" w:rsidRPr="008B6A75" w:rsidRDefault="00387142" w:rsidP="00387142">
            <w:pPr>
              <w:jc w:val="right"/>
              <w:rPr>
                <w:sz w:val="20"/>
                <w:szCs w:val="20"/>
              </w:rPr>
            </w:pPr>
            <w:r w:rsidRPr="008B6A75">
              <w:rPr>
                <w:sz w:val="20"/>
                <w:szCs w:val="20"/>
              </w:rPr>
              <w:t>618 417,50</w:t>
            </w:r>
          </w:p>
        </w:tc>
        <w:tc>
          <w:tcPr>
            <w:tcW w:w="992" w:type="dxa"/>
            <w:tcBorders>
              <w:top w:val="nil"/>
              <w:left w:val="single" w:sz="4" w:space="0" w:color="auto"/>
              <w:bottom w:val="single" w:sz="4" w:space="0" w:color="auto"/>
              <w:right w:val="nil"/>
            </w:tcBorders>
            <w:shd w:val="clear" w:color="auto" w:fill="auto"/>
            <w:vAlign w:val="center"/>
            <w:hideMark/>
          </w:tcPr>
          <w:p w14:paraId="531CBEE0" w14:textId="77777777" w:rsidR="00387142" w:rsidRPr="008B6A75" w:rsidRDefault="00387142" w:rsidP="00387142">
            <w:pPr>
              <w:jc w:val="right"/>
              <w:rPr>
                <w:sz w:val="20"/>
                <w:szCs w:val="20"/>
              </w:rPr>
            </w:pPr>
            <w:r w:rsidRPr="008B6A75">
              <w:rPr>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10D385AC" w14:textId="77777777" w:rsidR="00387142" w:rsidRPr="008B6A75" w:rsidRDefault="00387142" w:rsidP="00387142">
            <w:pPr>
              <w:jc w:val="right"/>
              <w:rPr>
                <w:sz w:val="20"/>
                <w:szCs w:val="20"/>
              </w:rPr>
            </w:pPr>
            <w:r w:rsidRPr="008B6A75">
              <w:rPr>
                <w:sz w:val="20"/>
                <w:szCs w:val="20"/>
              </w:rPr>
              <w:t>0,00</w:t>
            </w:r>
          </w:p>
        </w:tc>
      </w:tr>
      <w:tr w:rsidR="00387142" w:rsidRPr="008B6A75" w14:paraId="595129BD" w14:textId="77777777" w:rsidTr="00387142">
        <w:trPr>
          <w:trHeight w:val="1440"/>
        </w:trPr>
        <w:tc>
          <w:tcPr>
            <w:tcW w:w="3261" w:type="dxa"/>
            <w:tcBorders>
              <w:top w:val="nil"/>
              <w:left w:val="single" w:sz="4" w:space="0" w:color="auto"/>
              <w:bottom w:val="single" w:sz="4" w:space="0" w:color="auto"/>
              <w:right w:val="nil"/>
            </w:tcBorders>
            <w:shd w:val="clear" w:color="auto" w:fill="auto"/>
            <w:vAlign w:val="center"/>
            <w:hideMark/>
          </w:tcPr>
          <w:p w14:paraId="4A8DF835" w14:textId="77777777" w:rsidR="00387142" w:rsidRPr="008B6A75" w:rsidRDefault="00387142" w:rsidP="00387142">
            <w:pPr>
              <w:rPr>
                <w:bCs/>
                <w:sz w:val="20"/>
                <w:szCs w:val="20"/>
              </w:rPr>
            </w:pPr>
            <w:r w:rsidRPr="008B6A75">
              <w:rPr>
                <w:bCs/>
                <w:sz w:val="20"/>
                <w:szCs w:val="20"/>
              </w:rPr>
              <w:t>Реализация мероприятий по проведению работ на воинских захоронениях государственной программы Новосибирской области "Культура Новосибирской области" (ремонт, реставрация, благоустройство)</w:t>
            </w:r>
          </w:p>
        </w:tc>
        <w:tc>
          <w:tcPr>
            <w:tcW w:w="720" w:type="dxa"/>
            <w:tcBorders>
              <w:top w:val="nil"/>
              <w:left w:val="single" w:sz="4" w:space="0" w:color="auto"/>
              <w:bottom w:val="single" w:sz="4" w:space="0" w:color="auto"/>
              <w:right w:val="nil"/>
            </w:tcBorders>
            <w:shd w:val="clear" w:color="auto" w:fill="auto"/>
            <w:noWrap/>
            <w:vAlign w:val="center"/>
            <w:hideMark/>
          </w:tcPr>
          <w:p w14:paraId="4377F108" w14:textId="77777777" w:rsidR="00387142" w:rsidRPr="008B6A75" w:rsidRDefault="00387142" w:rsidP="00387142">
            <w:pPr>
              <w:jc w:val="center"/>
              <w:rPr>
                <w:bCs/>
                <w:sz w:val="20"/>
                <w:szCs w:val="20"/>
              </w:rPr>
            </w:pPr>
            <w:r w:rsidRPr="008B6A75">
              <w:rPr>
                <w:bCs/>
                <w:sz w:val="20"/>
                <w:szCs w:val="20"/>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B668955" w14:textId="77777777" w:rsidR="00387142" w:rsidRPr="008B6A75" w:rsidRDefault="00387142" w:rsidP="00387142">
            <w:pPr>
              <w:jc w:val="center"/>
              <w:rPr>
                <w:bCs/>
                <w:sz w:val="20"/>
                <w:szCs w:val="20"/>
              </w:rPr>
            </w:pPr>
            <w:r w:rsidRPr="008B6A75">
              <w:rPr>
                <w:bCs/>
                <w:sz w:val="20"/>
                <w:szCs w:val="20"/>
              </w:rPr>
              <w:t>01</w:t>
            </w:r>
          </w:p>
        </w:tc>
        <w:tc>
          <w:tcPr>
            <w:tcW w:w="1516" w:type="dxa"/>
            <w:tcBorders>
              <w:top w:val="nil"/>
              <w:left w:val="single" w:sz="4" w:space="0" w:color="auto"/>
              <w:bottom w:val="single" w:sz="4" w:space="0" w:color="auto"/>
              <w:right w:val="nil"/>
            </w:tcBorders>
            <w:shd w:val="clear" w:color="auto" w:fill="auto"/>
            <w:noWrap/>
            <w:vAlign w:val="center"/>
            <w:hideMark/>
          </w:tcPr>
          <w:p w14:paraId="57AF8261" w14:textId="77777777" w:rsidR="00387142" w:rsidRPr="008B6A75" w:rsidRDefault="00387142" w:rsidP="00387142">
            <w:pPr>
              <w:jc w:val="center"/>
              <w:rPr>
                <w:bCs/>
                <w:sz w:val="20"/>
                <w:szCs w:val="20"/>
              </w:rPr>
            </w:pPr>
            <w:r w:rsidRPr="008B6A75">
              <w:rPr>
                <w:bCs/>
                <w:sz w:val="20"/>
                <w:szCs w:val="20"/>
              </w:rPr>
              <w:t>08.0.00.L2991</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329B0DD"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172B7CB" w14:textId="77777777" w:rsidR="00387142" w:rsidRPr="008B6A75" w:rsidRDefault="00387142" w:rsidP="00387142">
            <w:pPr>
              <w:jc w:val="right"/>
              <w:rPr>
                <w:bCs/>
                <w:sz w:val="20"/>
                <w:szCs w:val="20"/>
              </w:rPr>
            </w:pPr>
            <w:r w:rsidRPr="008B6A75">
              <w:rPr>
                <w:bCs/>
                <w:sz w:val="20"/>
                <w:szCs w:val="20"/>
              </w:rPr>
              <w:t>0,00</w:t>
            </w:r>
          </w:p>
        </w:tc>
        <w:tc>
          <w:tcPr>
            <w:tcW w:w="992" w:type="dxa"/>
            <w:tcBorders>
              <w:top w:val="nil"/>
              <w:left w:val="single" w:sz="4" w:space="0" w:color="auto"/>
              <w:bottom w:val="single" w:sz="4" w:space="0" w:color="auto"/>
              <w:right w:val="nil"/>
            </w:tcBorders>
            <w:shd w:val="clear" w:color="auto" w:fill="auto"/>
            <w:vAlign w:val="center"/>
            <w:hideMark/>
          </w:tcPr>
          <w:p w14:paraId="5901D8B7" w14:textId="77777777" w:rsidR="00387142" w:rsidRPr="008B6A75" w:rsidRDefault="00387142" w:rsidP="00387142">
            <w:pPr>
              <w:jc w:val="right"/>
              <w:rPr>
                <w:bCs/>
                <w:sz w:val="20"/>
                <w:szCs w:val="20"/>
              </w:rPr>
            </w:pPr>
            <w:r w:rsidRPr="008B6A75">
              <w:rPr>
                <w:bCs/>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36E3B986" w14:textId="77777777" w:rsidR="00387142" w:rsidRPr="008B6A75" w:rsidRDefault="00387142" w:rsidP="00387142">
            <w:pPr>
              <w:jc w:val="right"/>
              <w:rPr>
                <w:bCs/>
                <w:sz w:val="20"/>
                <w:szCs w:val="20"/>
              </w:rPr>
            </w:pPr>
            <w:r w:rsidRPr="008B6A75">
              <w:rPr>
                <w:bCs/>
                <w:sz w:val="20"/>
                <w:szCs w:val="20"/>
              </w:rPr>
              <w:t>652 800,00</w:t>
            </w:r>
          </w:p>
        </w:tc>
      </w:tr>
      <w:tr w:rsidR="00387142" w:rsidRPr="008B6A75" w14:paraId="10367B43" w14:textId="77777777" w:rsidTr="00387142">
        <w:trPr>
          <w:trHeight w:val="345"/>
        </w:trPr>
        <w:tc>
          <w:tcPr>
            <w:tcW w:w="3261" w:type="dxa"/>
            <w:tcBorders>
              <w:top w:val="nil"/>
              <w:left w:val="single" w:sz="4" w:space="0" w:color="auto"/>
              <w:bottom w:val="single" w:sz="4" w:space="0" w:color="auto"/>
              <w:right w:val="nil"/>
            </w:tcBorders>
            <w:shd w:val="clear" w:color="auto" w:fill="auto"/>
            <w:vAlign w:val="center"/>
            <w:hideMark/>
          </w:tcPr>
          <w:p w14:paraId="19BB0C42" w14:textId="77777777" w:rsidR="00387142" w:rsidRPr="008B6A75" w:rsidRDefault="00387142" w:rsidP="00387142">
            <w:pPr>
              <w:rPr>
                <w:sz w:val="20"/>
                <w:szCs w:val="20"/>
              </w:rPr>
            </w:pPr>
            <w:r w:rsidRPr="008B6A75">
              <w:rPr>
                <w:sz w:val="20"/>
                <w:szCs w:val="20"/>
              </w:rPr>
              <w:t>Межбюджетные трансферты</w:t>
            </w:r>
          </w:p>
        </w:tc>
        <w:tc>
          <w:tcPr>
            <w:tcW w:w="720" w:type="dxa"/>
            <w:tcBorders>
              <w:top w:val="nil"/>
              <w:left w:val="single" w:sz="4" w:space="0" w:color="auto"/>
              <w:bottom w:val="single" w:sz="4" w:space="0" w:color="auto"/>
              <w:right w:val="nil"/>
            </w:tcBorders>
            <w:shd w:val="clear" w:color="auto" w:fill="auto"/>
            <w:noWrap/>
            <w:vAlign w:val="center"/>
            <w:hideMark/>
          </w:tcPr>
          <w:p w14:paraId="37D1F63A" w14:textId="77777777" w:rsidR="00387142" w:rsidRPr="008B6A75" w:rsidRDefault="00387142" w:rsidP="00387142">
            <w:pPr>
              <w:jc w:val="center"/>
              <w:rPr>
                <w:sz w:val="20"/>
                <w:szCs w:val="20"/>
              </w:rPr>
            </w:pPr>
            <w:r w:rsidRPr="008B6A75">
              <w:rPr>
                <w:sz w:val="20"/>
                <w:szCs w:val="20"/>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CDFD608" w14:textId="77777777" w:rsidR="00387142" w:rsidRPr="008B6A75" w:rsidRDefault="00387142" w:rsidP="00387142">
            <w:pPr>
              <w:jc w:val="center"/>
              <w:rPr>
                <w:sz w:val="20"/>
                <w:szCs w:val="20"/>
              </w:rPr>
            </w:pPr>
            <w:r w:rsidRPr="008B6A75">
              <w:rPr>
                <w:sz w:val="20"/>
                <w:szCs w:val="20"/>
              </w:rPr>
              <w:t>01</w:t>
            </w:r>
          </w:p>
        </w:tc>
        <w:tc>
          <w:tcPr>
            <w:tcW w:w="1516" w:type="dxa"/>
            <w:tcBorders>
              <w:top w:val="nil"/>
              <w:left w:val="single" w:sz="4" w:space="0" w:color="auto"/>
              <w:bottom w:val="single" w:sz="4" w:space="0" w:color="auto"/>
              <w:right w:val="nil"/>
            </w:tcBorders>
            <w:shd w:val="clear" w:color="auto" w:fill="auto"/>
            <w:noWrap/>
            <w:vAlign w:val="center"/>
            <w:hideMark/>
          </w:tcPr>
          <w:p w14:paraId="0222A4E9" w14:textId="77777777" w:rsidR="00387142" w:rsidRPr="008B6A75" w:rsidRDefault="00387142" w:rsidP="00387142">
            <w:pPr>
              <w:jc w:val="center"/>
              <w:rPr>
                <w:sz w:val="20"/>
                <w:szCs w:val="20"/>
              </w:rPr>
            </w:pPr>
            <w:r w:rsidRPr="008B6A75">
              <w:rPr>
                <w:sz w:val="20"/>
                <w:szCs w:val="20"/>
              </w:rPr>
              <w:t>08.0.00.L2991</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61D345F" w14:textId="77777777" w:rsidR="00387142" w:rsidRPr="008B6A75" w:rsidRDefault="00387142" w:rsidP="00387142">
            <w:pPr>
              <w:jc w:val="center"/>
              <w:rPr>
                <w:sz w:val="20"/>
                <w:szCs w:val="20"/>
              </w:rPr>
            </w:pPr>
            <w:r w:rsidRPr="008B6A75">
              <w:rPr>
                <w:sz w:val="20"/>
                <w:szCs w:val="20"/>
              </w:rPr>
              <w:t>500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96EDD0F" w14:textId="77777777" w:rsidR="00387142" w:rsidRPr="008B6A75" w:rsidRDefault="00387142" w:rsidP="00387142">
            <w:pPr>
              <w:jc w:val="right"/>
              <w:rPr>
                <w:sz w:val="20"/>
                <w:szCs w:val="20"/>
              </w:rPr>
            </w:pPr>
            <w:r w:rsidRPr="008B6A75">
              <w:rPr>
                <w:sz w:val="20"/>
                <w:szCs w:val="20"/>
              </w:rPr>
              <w:t>0,00</w:t>
            </w:r>
          </w:p>
        </w:tc>
        <w:tc>
          <w:tcPr>
            <w:tcW w:w="992" w:type="dxa"/>
            <w:tcBorders>
              <w:top w:val="nil"/>
              <w:left w:val="single" w:sz="4" w:space="0" w:color="auto"/>
              <w:bottom w:val="single" w:sz="4" w:space="0" w:color="auto"/>
              <w:right w:val="nil"/>
            </w:tcBorders>
            <w:shd w:val="clear" w:color="auto" w:fill="auto"/>
            <w:vAlign w:val="center"/>
            <w:hideMark/>
          </w:tcPr>
          <w:p w14:paraId="1D2349EE" w14:textId="77777777" w:rsidR="00387142" w:rsidRPr="008B6A75" w:rsidRDefault="00387142" w:rsidP="00387142">
            <w:pPr>
              <w:jc w:val="right"/>
              <w:rPr>
                <w:sz w:val="20"/>
                <w:szCs w:val="20"/>
              </w:rPr>
            </w:pPr>
            <w:r w:rsidRPr="008B6A75">
              <w:rPr>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6DD7F09C" w14:textId="77777777" w:rsidR="00387142" w:rsidRPr="008B6A75" w:rsidRDefault="00387142" w:rsidP="00387142">
            <w:pPr>
              <w:jc w:val="right"/>
              <w:rPr>
                <w:sz w:val="20"/>
                <w:szCs w:val="20"/>
              </w:rPr>
            </w:pPr>
            <w:r w:rsidRPr="008B6A75">
              <w:rPr>
                <w:sz w:val="20"/>
                <w:szCs w:val="20"/>
              </w:rPr>
              <w:t>652 800,00</w:t>
            </w:r>
          </w:p>
        </w:tc>
      </w:tr>
      <w:tr w:rsidR="00387142" w:rsidRPr="008B6A75" w14:paraId="3BBF7B98" w14:textId="77777777" w:rsidTr="00387142">
        <w:trPr>
          <w:trHeight w:val="345"/>
        </w:trPr>
        <w:tc>
          <w:tcPr>
            <w:tcW w:w="3261" w:type="dxa"/>
            <w:tcBorders>
              <w:top w:val="nil"/>
              <w:left w:val="single" w:sz="4" w:space="0" w:color="auto"/>
              <w:bottom w:val="single" w:sz="4" w:space="0" w:color="auto"/>
              <w:right w:val="nil"/>
            </w:tcBorders>
            <w:shd w:val="clear" w:color="auto" w:fill="auto"/>
            <w:vAlign w:val="center"/>
            <w:hideMark/>
          </w:tcPr>
          <w:p w14:paraId="15236879" w14:textId="77777777" w:rsidR="00387142" w:rsidRPr="008B6A75" w:rsidRDefault="00387142" w:rsidP="00387142">
            <w:pPr>
              <w:rPr>
                <w:sz w:val="20"/>
                <w:szCs w:val="20"/>
              </w:rPr>
            </w:pPr>
            <w:r w:rsidRPr="008B6A75">
              <w:rPr>
                <w:sz w:val="20"/>
                <w:szCs w:val="20"/>
              </w:rPr>
              <w:t>Иные межбюджетные трансферты</w:t>
            </w:r>
          </w:p>
        </w:tc>
        <w:tc>
          <w:tcPr>
            <w:tcW w:w="720" w:type="dxa"/>
            <w:tcBorders>
              <w:top w:val="nil"/>
              <w:left w:val="single" w:sz="4" w:space="0" w:color="auto"/>
              <w:bottom w:val="single" w:sz="4" w:space="0" w:color="auto"/>
              <w:right w:val="nil"/>
            </w:tcBorders>
            <w:shd w:val="clear" w:color="auto" w:fill="auto"/>
            <w:noWrap/>
            <w:vAlign w:val="center"/>
            <w:hideMark/>
          </w:tcPr>
          <w:p w14:paraId="0A6BA71A" w14:textId="77777777" w:rsidR="00387142" w:rsidRPr="008B6A75" w:rsidRDefault="00387142" w:rsidP="00387142">
            <w:pPr>
              <w:jc w:val="center"/>
              <w:rPr>
                <w:sz w:val="20"/>
                <w:szCs w:val="20"/>
              </w:rPr>
            </w:pPr>
            <w:r w:rsidRPr="008B6A75">
              <w:rPr>
                <w:sz w:val="20"/>
                <w:szCs w:val="20"/>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EF64C50" w14:textId="77777777" w:rsidR="00387142" w:rsidRPr="008B6A75" w:rsidRDefault="00387142" w:rsidP="00387142">
            <w:pPr>
              <w:jc w:val="center"/>
              <w:rPr>
                <w:sz w:val="20"/>
                <w:szCs w:val="20"/>
              </w:rPr>
            </w:pPr>
            <w:r w:rsidRPr="008B6A75">
              <w:rPr>
                <w:sz w:val="20"/>
                <w:szCs w:val="20"/>
              </w:rPr>
              <w:t>01</w:t>
            </w:r>
          </w:p>
        </w:tc>
        <w:tc>
          <w:tcPr>
            <w:tcW w:w="1516" w:type="dxa"/>
            <w:tcBorders>
              <w:top w:val="nil"/>
              <w:left w:val="single" w:sz="4" w:space="0" w:color="auto"/>
              <w:bottom w:val="single" w:sz="4" w:space="0" w:color="auto"/>
              <w:right w:val="nil"/>
            </w:tcBorders>
            <w:shd w:val="clear" w:color="auto" w:fill="auto"/>
            <w:noWrap/>
            <w:vAlign w:val="center"/>
            <w:hideMark/>
          </w:tcPr>
          <w:p w14:paraId="29DA77EC" w14:textId="77777777" w:rsidR="00387142" w:rsidRPr="008B6A75" w:rsidRDefault="00387142" w:rsidP="00387142">
            <w:pPr>
              <w:jc w:val="center"/>
              <w:rPr>
                <w:sz w:val="20"/>
                <w:szCs w:val="20"/>
              </w:rPr>
            </w:pPr>
            <w:r w:rsidRPr="008B6A75">
              <w:rPr>
                <w:sz w:val="20"/>
                <w:szCs w:val="20"/>
              </w:rPr>
              <w:t>08.0.00.L2991</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D3770ED" w14:textId="77777777" w:rsidR="00387142" w:rsidRPr="008B6A75" w:rsidRDefault="00387142" w:rsidP="00387142">
            <w:pPr>
              <w:jc w:val="center"/>
              <w:rPr>
                <w:sz w:val="20"/>
                <w:szCs w:val="20"/>
              </w:rPr>
            </w:pPr>
            <w:r w:rsidRPr="008B6A75">
              <w:rPr>
                <w:sz w:val="20"/>
                <w:szCs w:val="20"/>
              </w:rPr>
              <w:t>540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2F405EC" w14:textId="77777777" w:rsidR="00387142" w:rsidRPr="008B6A75" w:rsidRDefault="00387142" w:rsidP="00387142">
            <w:pPr>
              <w:jc w:val="right"/>
              <w:rPr>
                <w:sz w:val="20"/>
                <w:szCs w:val="20"/>
              </w:rPr>
            </w:pPr>
            <w:r w:rsidRPr="008B6A75">
              <w:rPr>
                <w:sz w:val="20"/>
                <w:szCs w:val="20"/>
              </w:rPr>
              <w:t>0,00</w:t>
            </w:r>
          </w:p>
        </w:tc>
        <w:tc>
          <w:tcPr>
            <w:tcW w:w="992" w:type="dxa"/>
            <w:tcBorders>
              <w:top w:val="nil"/>
              <w:left w:val="single" w:sz="4" w:space="0" w:color="auto"/>
              <w:bottom w:val="single" w:sz="4" w:space="0" w:color="auto"/>
              <w:right w:val="nil"/>
            </w:tcBorders>
            <w:shd w:val="clear" w:color="auto" w:fill="auto"/>
            <w:vAlign w:val="center"/>
            <w:hideMark/>
          </w:tcPr>
          <w:p w14:paraId="3693EFB3" w14:textId="77777777" w:rsidR="00387142" w:rsidRPr="008B6A75" w:rsidRDefault="00387142" w:rsidP="00387142">
            <w:pPr>
              <w:jc w:val="right"/>
              <w:rPr>
                <w:sz w:val="20"/>
                <w:szCs w:val="20"/>
              </w:rPr>
            </w:pPr>
            <w:r w:rsidRPr="008B6A75">
              <w:rPr>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645F6C02" w14:textId="77777777" w:rsidR="00387142" w:rsidRPr="008B6A75" w:rsidRDefault="00387142" w:rsidP="00387142">
            <w:pPr>
              <w:jc w:val="right"/>
              <w:rPr>
                <w:sz w:val="20"/>
                <w:szCs w:val="20"/>
              </w:rPr>
            </w:pPr>
            <w:r w:rsidRPr="008B6A75">
              <w:rPr>
                <w:sz w:val="20"/>
                <w:szCs w:val="20"/>
              </w:rPr>
              <w:t>652 800,00</w:t>
            </w:r>
          </w:p>
        </w:tc>
      </w:tr>
      <w:tr w:rsidR="00387142" w:rsidRPr="008B6A75" w14:paraId="261DBE28" w14:textId="77777777" w:rsidTr="00387142">
        <w:trPr>
          <w:trHeight w:val="1440"/>
        </w:trPr>
        <w:tc>
          <w:tcPr>
            <w:tcW w:w="3261" w:type="dxa"/>
            <w:tcBorders>
              <w:top w:val="nil"/>
              <w:left w:val="single" w:sz="4" w:space="0" w:color="auto"/>
              <w:bottom w:val="single" w:sz="4" w:space="0" w:color="auto"/>
              <w:right w:val="nil"/>
            </w:tcBorders>
            <w:shd w:val="clear" w:color="auto" w:fill="auto"/>
            <w:vAlign w:val="center"/>
            <w:hideMark/>
          </w:tcPr>
          <w:p w14:paraId="3BF53B27" w14:textId="77777777" w:rsidR="00387142" w:rsidRPr="008B6A75" w:rsidRDefault="00387142" w:rsidP="00387142">
            <w:pPr>
              <w:rPr>
                <w:bCs/>
                <w:sz w:val="20"/>
                <w:szCs w:val="20"/>
              </w:rPr>
            </w:pPr>
            <w:r w:rsidRPr="008B6A75">
              <w:rPr>
                <w:bCs/>
                <w:sz w:val="20"/>
                <w:szCs w:val="20"/>
              </w:rPr>
              <w:t>Реализация мероприятий по проведению работ на воинских захоронениях государственной программы Новосибирской области "Культура Новосибирской области" (установка мемориальных знаков)</w:t>
            </w:r>
          </w:p>
        </w:tc>
        <w:tc>
          <w:tcPr>
            <w:tcW w:w="720" w:type="dxa"/>
            <w:tcBorders>
              <w:top w:val="nil"/>
              <w:left w:val="single" w:sz="4" w:space="0" w:color="auto"/>
              <w:bottom w:val="single" w:sz="4" w:space="0" w:color="auto"/>
              <w:right w:val="nil"/>
            </w:tcBorders>
            <w:shd w:val="clear" w:color="auto" w:fill="auto"/>
            <w:noWrap/>
            <w:vAlign w:val="center"/>
            <w:hideMark/>
          </w:tcPr>
          <w:p w14:paraId="49EB2534" w14:textId="77777777" w:rsidR="00387142" w:rsidRPr="008B6A75" w:rsidRDefault="00387142" w:rsidP="00387142">
            <w:pPr>
              <w:jc w:val="center"/>
              <w:rPr>
                <w:bCs/>
                <w:sz w:val="20"/>
                <w:szCs w:val="20"/>
              </w:rPr>
            </w:pPr>
            <w:r w:rsidRPr="008B6A75">
              <w:rPr>
                <w:bCs/>
                <w:sz w:val="20"/>
                <w:szCs w:val="20"/>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CFF1428" w14:textId="77777777" w:rsidR="00387142" w:rsidRPr="008B6A75" w:rsidRDefault="00387142" w:rsidP="00387142">
            <w:pPr>
              <w:jc w:val="center"/>
              <w:rPr>
                <w:bCs/>
                <w:sz w:val="20"/>
                <w:szCs w:val="20"/>
              </w:rPr>
            </w:pPr>
            <w:r w:rsidRPr="008B6A75">
              <w:rPr>
                <w:bCs/>
                <w:sz w:val="20"/>
                <w:szCs w:val="20"/>
              </w:rPr>
              <w:t>01</w:t>
            </w:r>
          </w:p>
        </w:tc>
        <w:tc>
          <w:tcPr>
            <w:tcW w:w="1516" w:type="dxa"/>
            <w:tcBorders>
              <w:top w:val="nil"/>
              <w:left w:val="single" w:sz="4" w:space="0" w:color="auto"/>
              <w:bottom w:val="single" w:sz="4" w:space="0" w:color="auto"/>
              <w:right w:val="nil"/>
            </w:tcBorders>
            <w:shd w:val="clear" w:color="auto" w:fill="auto"/>
            <w:noWrap/>
            <w:vAlign w:val="center"/>
            <w:hideMark/>
          </w:tcPr>
          <w:p w14:paraId="40B51B52" w14:textId="77777777" w:rsidR="00387142" w:rsidRPr="008B6A75" w:rsidRDefault="00387142" w:rsidP="00387142">
            <w:pPr>
              <w:jc w:val="center"/>
              <w:rPr>
                <w:bCs/>
                <w:sz w:val="20"/>
                <w:szCs w:val="20"/>
              </w:rPr>
            </w:pPr>
            <w:r w:rsidRPr="008B6A75">
              <w:rPr>
                <w:bCs/>
                <w:sz w:val="20"/>
                <w:szCs w:val="20"/>
              </w:rPr>
              <w:t>08.0.00.L2992</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EE5FBFE"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8012BFE" w14:textId="77777777" w:rsidR="00387142" w:rsidRPr="008B6A75" w:rsidRDefault="00387142" w:rsidP="00387142">
            <w:pPr>
              <w:jc w:val="right"/>
              <w:rPr>
                <w:bCs/>
                <w:sz w:val="20"/>
                <w:szCs w:val="20"/>
              </w:rPr>
            </w:pPr>
            <w:r w:rsidRPr="008B6A75">
              <w:rPr>
                <w:bCs/>
                <w:sz w:val="20"/>
                <w:szCs w:val="20"/>
              </w:rPr>
              <w:t>127 858,00</w:t>
            </w:r>
          </w:p>
        </w:tc>
        <w:tc>
          <w:tcPr>
            <w:tcW w:w="992" w:type="dxa"/>
            <w:tcBorders>
              <w:top w:val="nil"/>
              <w:left w:val="single" w:sz="4" w:space="0" w:color="auto"/>
              <w:bottom w:val="single" w:sz="4" w:space="0" w:color="auto"/>
              <w:right w:val="nil"/>
            </w:tcBorders>
            <w:shd w:val="clear" w:color="auto" w:fill="auto"/>
            <w:vAlign w:val="center"/>
            <w:hideMark/>
          </w:tcPr>
          <w:p w14:paraId="40019EB1" w14:textId="77777777" w:rsidR="00387142" w:rsidRPr="008B6A75" w:rsidRDefault="00387142" w:rsidP="00387142">
            <w:pPr>
              <w:jc w:val="right"/>
              <w:rPr>
                <w:bCs/>
                <w:sz w:val="20"/>
                <w:szCs w:val="20"/>
              </w:rPr>
            </w:pPr>
            <w:r w:rsidRPr="008B6A75">
              <w:rPr>
                <w:bCs/>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1931C9F7" w14:textId="77777777" w:rsidR="00387142" w:rsidRPr="008B6A75" w:rsidRDefault="00387142" w:rsidP="00387142">
            <w:pPr>
              <w:jc w:val="right"/>
              <w:rPr>
                <w:bCs/>
                <w:sz w:val="20"/>
                <w:szCs w:val="20"/>
              </w:rPr>
            </w:pPr>
            <w:r w:rsidRPr="008B6A75">
              <w:rPr>
                <w:bCs/>
                <w:sz w:val="20"/>
                <w:szCs w:val="20"/>
              </w:rPr>
              <w:t>0,00</w:t>
            </w:r>
          </w:p>
        </w:tc>
      </w:tr>
      <w:tr w:rsidR="00387142" w:rsidRPr="008B6A75" w14:paraId="21BC76EB" w14:textId="77777777" w:rsidTr="00387142">
        <w:trPr>
          <w:trHeight w:val="345"/>
        </w:trPr>
        <w:tc>
          <w:tcPr>
            <w:tcW w:w="3261" w:type="dxa"/>
            <w:tcBorders>
              <w:top w:val="nil"/>
              <w:left w:val="single" w:sz="4" w:space="0" w:color="auto"/>
              <w:bottom w:val="single" w:sz="4" w:space="0" w:color="auto"/>
              <w:right w:val="nil"/>
            </w:tcBorders>
            <w:shd w:val="clear" w:color="auto" w:fill="auto"/>
            <w:vAlign w:val="center"/>
            <w:hideMark/>
          </w:tcPr>
          <w:p w14:paraId="5E14CB90" w14:textId="77777777" w:rsidR="00387142" w:rsidRPr="008B6A75" w:rsidRDefault="00387142" w:rsidP="00387142">
            <w:pPr>
              <w:rPr>
                <w:sz w:val="20"/>
                <w:szCs w:val="20"/>
              </w:rPr>
            </w:pPr>
            <w:r w:rsidRPr="008B6A75">
              <w:rPr>
                <w:sz w:val="20"/>
                <w:szCs w:val="20"/>
              </w:rPr>
              <w:t>Межбюджетные трансферты</w:t>
            </w:r>
          </w:p>
        </w:tc>
        <w:tc>
          <w:tcPr>
            <w:tcW w:w="720" w:type="dxa"/>
            <w:tcBorders>
              <w:top w:val="nil"/>
              <w:left w:val="single" w:sz="4" w:space="0" w:color="auto"/>
              <w:bottom w:val="single" w:sz="4" w:space="0" w:color="auto"/>
              <w:right w:val="nil"/>
            </w:tcBorders>
            <w:shd w:val="clear" w:color="auto" w:fill="auto"/>
            <w:noWrap/>
            <w:vAlign w:val="center"/>
            <w:hideMark/>
          </w:tcPr>
          <w:p w14:paraId="5ED234A5" w14:textId="77777777" w:rsidR="00387142" w:rsidRPr="008B6A75" w:rsidRDefault="00387142" w:rsidP="00387142">
            <w:pPr>
              <w:jc w:val="center"/>
              <w:rPr>
                <w:sz w:val="20"/>
                <w:szCs w:val="20"/>
              </w:rPr>
            </w:pPr>
            <w:r w:rsidRPr="008B6A75">
              <w:rPr>
                <w:sz w:val="20"/>
                <w:szCs w:val="20"/>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13A75E8" w14:textId="77777777" w:rsidR="00387142" w:rsidRPr="008B6A75" w:rsidRDefault="00387142" w:rsidP="00387142">
            <w:pPr>
              <w:jc w:val="center"/>
              <w:rPr>
                <w:sz w:val="20"/>
                <w:szCs w:val="20"/>
              </w:rPr>
            </w:pPr>
            <w:r w:rsidRPr="008B6A75">
              <w:rPr>
                <w:sz w:val="20"/>
                <w:szCs w:val="20"/>
              </w:rPr>
              <w:t>01</w:t>
            </w:r>
          </w:p>
        </w:tc>
        <w:tc>
          <w:tcPr>
            <w:tcW w:w="1516" w:type="dxa"/>
            <w:tcBorders>
              <w:top w:val="nil"/>
              <w:left w:val="single" w:sz="4" w:space="0" w:color="auto"/>
              <w:bottom w:val="single" w:sz="4" w:space="0" w:color="auto"/>
              <w:right w:val="nil"/>
            </w:tcBorders>
            <w:shd w:val="clear" w:color="auto" w:fill="auto"/>
            <w:noWrap/>
            <w:vAlign w:val="center"/>
            <w:hideMark/>
          </w:tcPr>
          <w:p w14:paraId="7ACA288F" w14:textId="77777777" w:rsidR="00387142" w:rsidRPr="008B6A75" w:rsidRDefault="00387142" w:rsidP="00387142">
            <w:pPr>
              <w:jc w:val="center"/>
              <w:rPr>
                <w:sz w:val="20"/>
                <w:szCs w:val="20"/>
              </w:rPr>
            </w:pPr>
            <w:r w:rsidRPr="008B6A75">
              <w:rPr>
                <w:sz w:val="20"/>
                <w:szCs w:val="20"/>
              </w:rPr>
              <w:t>08.0.00.L2992</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882E9A4" w14:textId="77777777" w:rsidR="00387142" w:rsidRPr="008B6A75" w:rsidRDefault="00387142" w:rsidP="00387142">
            <w:pPr>
              <w:jc w:val="center"/>
              <w:rPr>
                <w:sz w:val="20"/>
                <w:szCs w:val="20"/>
              </w:rPr>
            </w:pPr>
            <w:r w:rsidRPr="008B6A75">
              <w:rPr>
                <w:sz w:val="20"/>
                <w:szCs w:val="20"/>
              </w:rPr>
              <w:t>500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149FD71" w14:textId="77777777" w:rsidR="00387142" w:rsidRPr="008B6A75" w:rsidRDefault="00387142" w:rsidP="00387142">
            <w:pPr>
              <w:jc w:val="right"/>
              <w:rPr>
                <w:sz w:val="20"/>
                <w:szCs w:val="20"/>
              </w:rPr>
            </w:pPr>
            <w:r w:rsidRPr="008B6A75">
              <w:rPr>
                <w:sz w:val="20"/>
                <w:szCs w:val="20"/>
              </w:rPr>
              <w:t>127 858,00</w:t>
            </w:r>
          </w:p>
        </w:tc>
        <w:tc>
          <w:tcPr>
            <w:tcW w:w="992" w:type="dxa"/>
            <w:tcBorders>
              <w:top w:val="nil"/>
              <w:left w:val="single" w:sz="4" w:space="0" w:color="auto"/>
              <w:bottom w:val="single" w:sz="4" w:space="0" w:color="auto"/>
              <w:right w:val="nil"/>
            </w:tcBorders>
            <w:shd w:val="clear" w:color="auto" w:fill="auto"/>
            <w:vAlign w:val="center"/>
            <w:hideMark/>
          </w:tcPr>
          <w:p w14:paraId="5E8C88C1" w14:textId="77777777" w:rsidR="00387142" w:rsidRPr="008B6A75" w:rsidRDefault="00387142" w:rsidP="00387142">
            <w:pPr>
              <w:jc w:val="right"/>
              <w:rPr>
                <w:sz w:val="20"/>
                <w:szCs w:val="20"/>
              </w:rPr>
            </w:pPr>
            <w:r w:rsidRPr="008B6A75">
              <w:rPr>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50673080" w14:textId="77777777" w:rsidR="00387142" w:rsidRPr="008B6A75" w:rsidRDefault="00387142" w:rsidP="00387142">
            <w:pPr>
              <w:jc w:val="right"/>
              <w:rPr>
                <w:sz w:val="20"/>
                <w:szCs w:val="20"/>
              </w:rPr>
            </w:pPr>
            <w:r w:rsidRPr="008B6A75">
              <w:rPr>
                <w:sz w:val="20"/>
                <w:szCs w:val="20"/>
              </w:rPr>
              <w:t>0,00</w:t>
            </w:r>
          </w:p>
        </w:tc>
      </w:tr>
      <w:tr w:rsidR="00387142" w:rsidRPr="008B6A75" w14:paraId="31459220" w14:textId="77777777" w:rsidTr="00387142">
        <w:trPr>
          <w:trHeight w:val="345"/>
        </w:trPr>
        <w:tc>
          <w:tcPr>
            <w:tcW w:w="3261" w:type="dxa"/>
            <w:tcBorders>
              <w:top w:val="nil"/>
              <w:left w:val="single" w:sz="4" w:space="0" w:color="auto"/>
              <w:bottom w:val="single" w:sz="4" w:space="0" w:color="auto"/>
              <w:right w:val="nil"/>
            </w:tcBorders>
            <w:shd w:val="clear" w:color="auto" w:fill="auto"/>
            <w:vAlign w:val="center"/>
            <w:hideMark/>
          </w:tcPr>
          <w:p w14:paraId="562AD5BC" w14:textId="77777777" w:rsidR="00387142" w:rsidRPr="008B6A75" w:rsidRDefault="00387142" w:rsidP="00387142">
            <w:pPr>
              <w:rPr>
                <w:sz w:val="20"/>
                <w:szCs w:val="20"/>
              </w:rPr>
            </w:pPr>
            <w:r w:rsidRPr="008B6A75">
              <w:rPr>
                <w:sz w:val="20"/>
                <w:szCs w:val="20"/>
              </w:rPr>
              <w:t>Иные межбюджетные трансферты</w:t>
            </w:r>
          </w:p>
        </w:tc>
        <w:tc>
          <w:tcPr>
            <w:tcW w:w="720" w:type="dxa"/>
            <w:tcBorders>
              <w:top w:val="nil"/>
              <w:left w:val="single" w:sz="4" w:space="0" w:color="auto"/>
              <w:bottom w:val="single" w:sz="4" w:space="0" w:color="auto"/>
              <w:right w:val="nil"/>
            </w:tcBorders>
            <w:shd w:val="clear" w:color="auto" w:fill="auto"/>
            <w:noWrap/>
            <w:vAlign w:val="center"/>
            <w:hideMark/>
          </w:tcPr>
          <w:p w14:paraId="44566843" w14:textId="77777777" w:rsidR="00387142" w:rsidRPr="008B6A75" w:rsidRDefault="00387142" w:rsidP="00387142">
            <w:pPr>
              <w:jc w:val="center"/>
              <w:rPr>
                <w:sz w:val="20"/>
                <w:szCs w:val="20"/>
              </w:rPr>
            </w:pPr>
            <w:r w:rsidRPr="008B6A75">
              <w:rPr>
                <w:sz w:val="20"/>
                <w:szCs w:val="20"/>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1EA9972" w14:textId="77777777" w:rsidR="00387142" w:rsidRPr="008B6A75" w:rsidRDefault="00387142" w:rsidP="00387142">
            <w:pPr>
              <w:jc w:val="center"/>
              <w:rPr>
                <w:sz w:val="20"/>
                <w:szCs w:val="20"/>
              </w:rPr>
            </w:pPr>
            <w:r w:rsidRPr="008B6A75">
              <w:rPr>
                <w:sz w:val="20"/>
                <w:szCs w:val="20"/>
              </w:rPr>
              <w:t>01</w:t>
            </w:r>
          </w:p>
        </w:tc>
        <w:tc>
          <w:tcPr>
            <w:tcW w:w="1516" w:type="dxa"/>
            <w:tcBorders>
              <w:top w:val="nil"/>
              <w:left w:val="single" w:sz="4" w:space="0" w:color="auto"/>
              <w:bottom w:val="single" w:sz="4" w:space="0" w:color="auto"/>
              <w:right w:val="nil"/>
            </w:tcBorders>
            <w:shd w:val="clear" w:color="auto" w:fill="auto"/>
            <w:noWrap/>
            <w:vAlign w:val="center"/>
            <w:hideMark/>
          </w:tcPr>
          <w:p w14:paraId="600D92B6" w14:textId="77777777" w:rsidR="00387142" w:rsidRPr="008B6A75" w:rsidRDefault="00387142" w:rsidP="00387142">
            <w:pPr>
              <w:jc w:val="center"/>
              <w:rPr>
                <w:sz w:val="20"/>
                <w:szCs w:val="20"/>
              </w:rPr>
            </w:pPr>
            <w:r w:rsidRPr="008B6A75">
              <w:rPr>
                <w:sz w:val="20"/>
                <w:szCs w:val="20"/>
              </w:rPr>
              <w:t>08.0.00.L2992</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3C24A54" w14:textId="77777777" w:rsidR="00387142" w:rsidRPr="008B6A75" w:rsidRDefault="00387142" w:rsidP="00387142">
            <w:pPr>
              <w:jc w:val="center"/>
              <w:rPr>
                <w:sz w:val="20"/>
                <w:szCs w:val="20"/>
              </w:rPr>
            </w:pPr>
            <w:r w:rsidRPr="008B6A75">
              <w:rPr>
                <w:sz w:val="20"/>
                <w:szCs w:val="20"/>
              </w:rPr>
              <w:t>540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FAA35CE" w14:textId="77777777" w:rsidR="00387142" w:rsidRPr="008B6A75" w:rsidRDefault="00387142" w:rsidP="00387142">
            <w:pPr>
              <w:jc w:val="right"/>
              <w:rPr>
                <w:sz w:val="20"/>
                <w:szCs w:val="20"/>
              </w:rPr>
            </w:pPr>
            <w:r w:rsidRPr="008B6A75">
              <w:rPr>
                <w:sz w:val="20"/>
                <w:szCs w:val="20"/>
              </w:rPr>
              <w:t>127 858,00</w:t>
            </w:r>
          </w:p>
        </w:tc>
        <w:tc>
          <w:tcPr>
            <w:tcW w:w="992" w:type="dxa"/>
            <w:tcBorders>
              <w:top w:val="nil"/>
              <w:left w:val="single" w:sz="4" w:space="0" w:color="auto"/>
              <w:bottom w:val="single" w:sz="4" w:space="0" w:color="auto"/>
              <w:right w:val="nil"/>
            </w:tcBorders>
            <w:shd w:val="clear" w:color="auto" w:fill="auto"/>
            <w:vAlign w:val="center"/>
            <w:hideMark/>
          </w:tcPr>
          <w:p w14:paraId="4FDF1001" w14:textId="77777777" w:rsidR="00387142" w:rsidRPr="008B6A75" w:rsidRDefault="00387142" w:rsidP="00387142">
            <w:pPr>
              <w:jc w:val="right"/>
              <w:rPr>
                <w:sz w:val="20"/>
                <w:szCs w:val="20"/>
              </w:rPr>
            </w:pPr>
            <w:r w:rsidRPr="008B6A75">
              <w:rPr>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3B75CCFB" w14:textId="77777777" w:rsidR="00387142" w:rsidRPr="008B6A75" w:rsidRDefault="00387142" w:rsidP="00387142">
            <w:pPr>
              <w:jc w:val="right"/>
              <w:rPr>
                <w:sz w:val="20"/>
                <w:szCs w:val="20"/>
              </w:rPr>
            </w:pPr>
            <w:r w:rsidRPr="008B6A75">
              <w:rPr>
                <w:sz w:val="20"/>
                <w:szCs w:val="20"/>
              </w:rPr>
              <w:t>0,00</w:t>
            </w:r>
          </w:p>
        </w:tc>
      </w:tr>
      <w:tr w:rsidR="00387142" w:rsidRPr="008B6A75" w14:paraId="53C44079" w14:textId="77777777" w:rsidTr="00387142">
        <w:trPr>
          <w:trHeight w:val="1725"/>
        </w:trPr>
        <w:tc>
          <w:tcPr>
            <w:tcW w:w="3261" w:type="dxa"/>
            <w:tcBorders>
              <w:top w:val="nil"/>
              <w:left w:val="single" w:sz="4" w:space="0" w:color="auto"/>
              <w:bottom w:val="single" w:sz="4" w:space="0" w:color="auto"/>
              <w:right w:val="nil"/>
            </w:tcBorders>
            <w:shd w:val="clear" w:color="auto" w:fill="auto"/>
            <w:vAlign w:val="center"/>
            <w:hideMark/>
          </w:tcPr>
          <w:p w14:paraId="5503A067" w14:textId="77777777" w:rsidR="00387142" w:rsidRPr="008B6A75" w:rsidRDefault="00387142" w:rsidP="00387142">
            <w:pPr>
              <w:rPr>
                <w:bCs/>
                <w:sz w:val="20"/>
                <w:szCs w:val="20"/>
              </w:rPr>
            </w:pPr>
            <w:r w:rsidRPr="008B6A75">
              <w:rPr>
                <w:bCs/>
                <w:sz w:val="20"/>
                <w:szCs w:val="20"/>
              </w:rPr>
              <w:t xml:space="preserve">Мероприятия по обеспечению развития и укрепления материально-технической базы домов культуры в населенных пунктах с числом жителей до 50 </w:t>
            </w:r>
            <w:proofErr w:type="spellStart"/>
            <w:r w:rsidRPr="008B6A75">
              <w:rPr>
                <w:bCs/>
                <w:sz w:val="20"/>
                <w:szCs w:val="20"/>
              </w:rPr>
              <w:t>тыс.человек</w:t>
            </w:r>
            <w:proofErr w:type="spellEnd"/>
            <w:r w:rsidRPr="008B6A75">
              <w:rPr>
                <w:bCs/>
                <w:sz w:val="20"/>
                <w:szCs w:val="20"/>
              </w:rPr>
              <w:t xml:space="preserve"> в рамках реализации мероприятий ГП НСО "Культура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14:paraId="072D73E7" w14:textId="77777777" w:rsidR="00387142" w:rsidRPr="008B6A75" w:rsidRDefault="00387142" w:rsidP="00387142">
            <w:pPr>
              <w:jc w:val="center"/>
              <w:rPr>
                <w:bCs/>
                <w:sz w:val="20"/>
                <w:szCs w:val="20"/>
              </w:rPr>
            </w:pPr>
            <w:r w:rsidRPr="008B6A75">
              <w:rPr>
                <w:bCs/>
                <w:sz w:val="20"/>
                <w:szCs w:val="20"/>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5C40848" w14:textId="77777777" w:rsidR="00387142" w:rsidRPr="008B6A75" w:rsidRDefault="00387142" w:rsidP="00387142">
            <w:pPr>
              <w:jc w:val="center"/>
              <w:rPr>
                <w:bCs/>
                <w:sz w:val="20"/>
                <w:szCs w:val="20"/>
              </w:rPr>
            </w:pPr>
            <w:r w:rsidRPr="008B6A75">
              <w:rPr>
                <w:bCs/>
                <w:sz w:val="20"/>
                <w:szCs w:val="20"/>
              </w:rPr>
              <w:t>01</w:t>
            </w:r>
          </w:p>
        </w:tc>
        <w:tc>
          <w:tcPr>
            <w:tcW w:w="1516" w:type="dxa"/>
            <w:tcBorders>
              <w:top w:val="nil"/>
              <w:left w:val="single" w:sz="4" w:space="0" w:color="auto"/>
              <w:bottom w:val="single" w:sz="4" w:space="0" w:color="auto"/>
              <w:right w:val="nil"/>
            </w:tcBorders>
            <w:shd w:val="clear" w:color="auto" w:fill="auto"/>
            <w:noWrap/>
            <w:vAlign w:val="center"/>
            <w:hideMark/>
          </w:tcPr>
          <w:p w14:paraId="7C7EA82A" w14:textId="77777777" w:rsidR="00387142" w:rsidRPr="008B6A75" w:rsidRDefault="00387142" w:rsidP="00387142">
            <w:pPr>
              <w:jc w:val="center"/>
              <w:rPr>
                <w:bCs/>
                <w:sz w:val="20"/>
                <w:szCs w:val="20"/>
              </w:rPr>
            </w:pPr>
            <w:r w:rsidRPr="008B6A75">
              <w:rPr>
                <w:bCs/>
                <w:sz w:val="20"/>
                <w:szCs w:val="20"/>
              </w:rPr>
              <w:t>08.0.00.L4670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20656C2"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83B21EC" w14:textId="77777777" w:rsidR="00387142" w:rsidRPr="008B6A75" w:rsidRDefault="00387142" w:rsidP="00387142">
            <w:pPr>
              <w:jc w:val="right"/>
              <w:rPr>
                <w:bCs/>
                <w:sz w:val="20"/>
                <w:szCs w:val="20"/>
              </w:rPr>
            </w:pPr>
            <w:r w:rsidRPr="008B6A75">
              <w:rPr>
                <w:bCs/>
                <w:sz w:val="20"/>
                <w:szCs w:val="20"/>
              </w:rPr>
              <w:t>1 581 800,00</w:t>
            </w:r>
          </w:p>
        </w:tc>
        <w:tc>
          <w:tcPr>
            <w:tcW w:w="992" w:type="dxa"/>
            <w:tcBorders>
              <w:top w:val="nil"/>
              <w:left w:val="single" w:sz="4" w:space="0" w:color="auto"/>
              <w:bottom w:val="single" w:sz="4" w:space="0" w:color="auto"/>
              <w:right w:val="nil"/>
            </w:tcBorders>
            <w:shd w:val="clear" w:color="auto" w:fill="auto"/>
            <w:vAlign w:val="center"/>
            <w:hideMark/>
          </w:tcPr>
          <w:p w14:paraId="3F914595" w14:textId="77777777" w:rsidR="00387142" w:rsidRPr="008B6A75" w:rsidRDefault="00387142" w:rsidP="00387142">
            <w:pPr>
              <w:jc w:val="right"/>
              <w:rPr>
                <w:bCs/>
                <w:sz w:val="20"/>
                <w:szCs w:val="20"/>
              </w:rPr>
            </w:pPr>
            <w:r w:rsidRPr="008B6A75">
              <w:rPr>
                <w:bCs/>
                <w:sz w:val="20"/>
                <w:szCs w:val="20"/>
              </w:rPr>
              <w:t>1 581 800,00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43273FB8" w14:textId="77777777" w:rsidR="00387142" w:rsidRPr="008B6A75" w:rsidRDefault="00387142" w:rsidP="00387142">
            <w:pPr>
              <w:jc w:val="right"/>
              <w:rPr>
                <w:bCs/>
                <w:sz w:val="20"/>
                <w:szCs w:val="20"/>
              </w:rPr>
            </w:pPr>
            <w:r w:rsidRPr="008B6A75">
              <w:rPr>
                <w:bCs/>
                <w:sz w:val="20"/>
                <w:szCs w:val="20"/>
              </w:rPr>
              <w:t>1 581 800,00</w:t>
            </w:r>
          </w:p>
        </w:tc>
      </w:tr>
      <w:tr w:rsidR="00387142" w:rsidRPr="008B6A75" w14:paraId="24294386" w14:textId="77777777" w:rsidTr="00387142">
        <w:trPr>
          <w:trHeight w:val="345"/>
        </w:trPr>
        <w:tc>
          <w:tcPr>
            <w:tcW w:w="3261" w:type="dxa"/>
            <w:tcBorders>
              <w:top w:val="nil"/>
              <w:left w:val="single" w:sz="4" w:space="0" w:color="auto"/>
              <w:bottom w:val="single" w:sz="4" w:space="0" w:color="auto"/>
              <w:right w:val="nil"/>
            </w:tcBorders>
            <w:shd w:val="clear" w:color="auto" w:fill="auto"/>
            <w:vAlign w:val="center"/>
            <w:hideMark/>
          </w:tcPr>
          <w:p w14:paraId="2AEA3880" w14:textId="77777777" w:rsidR="00387142" w:rsidRPr="008B6A75" w:rsidRDefault="00387142" w:rsidP="00387142">
            <w:pPr>
              <w:rPr>
                <w:sz w:val="20"/>
                <w:szCs w:val="20"/>
              </w:rPr>
            </w:pPr>
            <w:r w:rsidRPr="008B6A75">
              <w:rPr>
                <w:sz w:val="20"/>
                <w:szCs w:val="20"/>
              </w:rPr>
              <w:lastRenderedPageBreak/>
              <w:t>Межбюджетные трансферты</w:t>
            </w:r>
          </w:p>
        </w:tc>
        <w:tc>
          <w:tcPr>
            <w:tcW w:w="720" w:type="dxa"/>
            <w:tcBorders>
              <w:top w:val="nil"/>
              <w:left w:val="single" w:sz="4" w:space="0" w:color="auto"/>
              <w:bottom w:val="single" w:sz="4" w:space="0" w:color="auto"/>
              <w:right w:val="nil"/>
            </w:tcBorders>
            <w:shd w:val="clear" w:color="auto" w:fill="auto"/>
            <w:noWrap/>
            <w:vAlign w:val="center"/>
            <w:hideMark/>
          </w:tcPr>
          <w:p w14:paraId="76865878" w14:textId="77777777" w:rsidR="00387142" w:rsidRPr="008B6A75" w:rsidRDefault="00387142" w:rsidP="00387142">
            <w:pPr>
              <w:jc w:val="center"/>
              <w:rPr>
                <w:sz w:val="20"/>
                <w:szCs w:val="20"/>
              </w:rPr>
            </w:pPr>
            <w:r w:rsidRPr="008B6A75">
              <w:rPr>
                <w:sz w:val="20"/>
                <w:szCs w:val="20"/>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AFCE8DC" w14:textId="77777777" w:rsidR="00387142" w:rsidRPr="008B6A75" w:rsidRDefault="00387142" w:rsidP="00387142">
            <w:pPr>
              <w:jc w:val="center"/>
              <w:rPr>
                <w:sz w:val="20"/>
                <w:szCs w:val="20"/>
              </w:rPr>
            </w:pPr>
            <w:r w:rsidRPr="008B6A75">
              <w:rPr>
                <w:sz w:val="20"/>
                <w:szCs w:val="20"/>
              </w:rPr>
              <w:t>01</w:t>
            </w:r>
          </w:p>
        </w:tc>
        <w:tc>
          <w:tcPr>
            <w:tcW w:w="1516" w:type="dxa"/>
            <w:tcBorders>
              <w:top w:val="nil"/>
              <w:left w:val="single" w:sz="4" w:space="0" w:color="auto"/>
              <w:bottom w:val="single" w:sz="4" w:space="0" w:color="auto"/>
              <w:right w:val="nil"/>
            </w:tcBorders>
            <w:shd w:val="clear" w:color="auto" w:fill="auto"/>
            <w:noWrap/>
            <w:vAlign w:val="center"/>
            <w:hideMark/>
          </w:tcPr>
          <w:p w14:paraId="737DFDBC" w14:textId="77777777" w:rsidR="00387142" w:rsidRPr="008B6A75" w:rsidRDefault="00387142" w:rsidP="00387142">
            <w:pPr>
              <w:jc w:val="center"/>
              <w:rPr>
                <w:sz w:val="20"/>
                <w:szCs w:val="20"/>
              </w:rPr>
            </w:pPr>
            <w:r w:rsidRPr="008B6A75">
              <w:rPr>
                <w:sz w:val="20"/>
                <w:szCs w:val="20"/>
              </w:rPr>
              <w:t>08.0.00.L4670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37C0FE1" w14:textId="77777777" w:rsidR="00387142" w:rsidRPr="008B6A75" w:rsidRDefault="00387142" w:rsidP="00387142">
            <w:pPr>
              <w:jc w:val="center"/>
              <w:rPr>
                <w:sz w:val="20"/>
                <w:szCs w:val="20"/>
              </w:rPr>
            </w:pPr>
            <w:r w:rsidRPr="008B6A75">
              <w:rPr>
                <w:sz w:val="20"/>
                <w:szCs w:val="20"/>
              </w:rPr>
              <w:t>500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97A0AE0" w14:textId="77777777" w:rsidR="00387142" w:rsidRPr="008B6A75" w:rsidRDefault="00387142" w:rsidP="00387142">
            <w:pPr>
              <w:jc w:val="right"/>
              <w:rPr>
                <w:sz w:val="20"/>
                <w:szCs w:val="20"/>
              </w:rPr>
            </w:pPr>
            <w:r w:rsidRPr="008B6A75">
              <w:rPr>
                <w:sz w:val="20"/>
                <w:szCs w:val="20"/>
              </w:rPr>
              <w:t>1 581 800,00</w:t>
            </w:r>
          </w:p>
        </w:tc>
        <w:tc>
          <w:tcPr>
            <w:tcW w:w="992" w:type="dxa"/>
            <w:tcBorders>
              <w:top w:val="nil"/>
              <w:left w:val="single" w:sz="4" w:space="0" w:color="auto"/>
              <w:bottom w:val="single" w:sz="4" w:space="0" w:color="auto"/>
              <w:right w:val="nil"/>
            </w:tcBorders>
            <w:shd w:val="clear" w:color="auto" w:fill="auto"/>
            <w:vAlign w:val="center"/>
            <w:hideMark/>
          </w:tcPr>
          <w:p w14:paraId="29FFE893" w14:textId="77777777" w:rsidR="00387142" w:rsidRPr="008B6A75" w:rsidRDefault="00387142" w:rsidP="00387142">
            <w:pPr>
              <w:jc w:val="right"/>
              <w:rPr>
                <w:sz w:val="20"/>
                <w:szCs w:val="20"/>
              </w:rPr>
            </w:pPr>
            <w:r w:rsidRPr="008B6A75">
              <w:rPr>
                <w:sz w:val="20"/>
                <w:szCs w:val="20"/>
              </w:rPr>
              <w:t>1 581 800,00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598A27E4" w14:textId="77777777" w:rsidR="00387142" w:rsidRPr="008B6A75" w:rsidRDefault="00387142" w:rsidP="00387142">
            <w:pPr>
              <w:jc w:val="right"/>
              <w:rPr>
                <w:sz w:val="20"/>
                <w:szCs w:val="20"/>
              </w:rPr>
            </w:pPr>
            <w:r w:rsidRPr="008B6A75">
              <w:rPr>
                <w:sz w:val="20"/>
                <w:szCs w:val="20"/>
              </w:rPr>
              <w:t>1 581 800,00</w:t>
            </w:r>
          </w:p>
        </w:tc>
      </w:tr>
      <w:tr w:rsidR="00387142" w:rsidRPr="008B6A75" w14:paraId="48A7CD28" w14:textId="77777777" w:rsidTr="00387142">
        <w:trPr>
          <w:trHeight w:val="345"/>
        </w:trPr>
        <w:tc>
          <w:tcPr>
            <w:tcW w:w="3261" w:type="dxa"/>
            <w:tcBorders>
              <w:top w:val="nil"/>
              <w:left w:val="single" w:sz="4" w:space="0" w:color="auto"/>
              <w:bottom w:val="single" w:sz="4" w:space="0" w:color="auto"/>
              <w:right w:val="nil"/>
            </w:tcBorders>
            <w:shd w:val="clear" w:color="auto" w:fill="auto"/>
            <w:vAlign w:val="center"/>
            <w:hideMark/>
          </w:tcPr>
          <w:p w14:paraId="5E104285" w14:textId="77777777" w:rsidR="00387142" w:rsidRPr="008B6A75" w:rsidRDefault="00387142" w:rsidP="00387142">
            <w:pPr>
              <w:rPr>
                <w:sz w:val="20"/>
                <w:szCs w:val="20"/>
              </w:rPr>
            </w:pPr>
            <w:r w:rsidRPr="008B6A75">
              <w:rPr>
                <w:sz w:val="20"/>
                <w:szCs w:val="20"/>
              </w:rPr>
              <w:t>Субсидии</w:t>
            </w:r>
          </w:p>
        </w:tc>
        <w:tc>
          <w:tcPr>
            <w:tcW w:w="720" w:type="dxa"/>
            <w:tcBorders>
              <w:top w:val="nil"/>
              <w:left w:val="single" w:sz="4" w:space="0" w:color="auto"/>
              <w:bottom w:val="single" w:sz="4" w:space="0" w:color="auto"/>
              <w:right w:val="nil"/>
            </w:tcBorders>
            <w:shd w:val="clear" w:color="auto" w:fill="auto"/>
            <w:noWrap/>
            <w:vAlign w:val="center"/>
            <w:hideMark/>
          </w:tcPr>
          <w:p w14:paraId="30D4D62A" w14:textId="77777777" w:rsidR="00387142" w:rsidRPr="008B6A75" w:rsidRDefault="00387142" w:rsidP="00387142">
            <w:pPr>
              <w:jc w:val="center"/>
              <w:rPr>
                <w:sz w:val="20"/>
                <w:szCs w:val="20"/>
              </w:rPr>
            </w:pPr>
            <w:r w:rsidRPr="008B6A75">
              <w:rPr>
                <w:sz w:val="20"/>
                <w:szCs w:val="20"/>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028C7AC" w14:textId="77777777" w:rsidR="00387142" w:rsidRPr="008B6A75" w:rsidRDefault="00387142" w:rsidP="00387142">
            <w:pPr>
              <w:jc w:val="center"/>
              <w:rPr>
                <w:sz w:val="20"/>
                <w:szCs w:val="20"/>
              </w:rPr>
            </w:pPr>
            <w:r w:rsidRPr="008B6A75">
              <w:rPr>
                <w:sz w:val="20"/>
                <w:szCs w:val="20"/>
              </w:rPr>
              <w:t>01</w:t>
            </w:r>
          </w:p>
        </w:tc>
        <w:tc>
          <w:tcPr>
            <w:tcW w:w="1516" w:type="dxa"/>
            <w:tcBorders>
              <w:top w:val="nil"/>
              <w:left w:val="single" w:sz="4" w:space="0" w:color="auto"/>
              <w:bottom w:val="single" w:sz="4" w:space="0" w:color="auto"/>
              <w:right w:val="nil"/>
            </w:tcBorders>
            <w:shd w:val="clear" w:color="auto" w:fill="auto"/>
            <w:noWrap/>
            <w:vAlign w:val="center"/>
            <w:hideMark/>
          </w:tcPr>
          <w:p w14:paraId="6780F716" w14:textId="77777777" w:rsidR="00387142" w:rsidRPr="008B6A75" w:rsidRDefault="00387142" w:rsidP="00387142">
            <w:pPr>
              <w:jc w:val="center"/>
              <w:rPr>
                <w:sz w:val="20"/>
                <w:szCs w:val="20"/>
              </w:rPr>
            </w:pPr>
            <w:r w:rsidRPr="008B6A75">
              <w:rPr>
                <w:sz w:val="20"/>
                <w:szCs w:val="20"/>
              </w:rPr>
              <w:t>08.0.00.L4670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993EC85" w14:textId="77777777" w:rsidR="00387142" w:rsidRPr="008B6A75" w:rsidRDefault="00387142" w:rsidP="00387142">
            <w:pPr>
              <w:jc w:val="center"/>
              <w:rPr>
                <w:sz w:val="20"/>
                <w:szCs w:val="20"/>
              </w:rPr>
            </w:pPr>
            <w:r w:rsidRPr="008B6A75">
              <w:rPr>
                <w:sz w:val="20"/>
                <w:szCs w:val="20"/>
              </w:rPr>
              <w:t>520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AE588E1" w14:textId="77777777" w:rsidR="00387142" w:rsidRPr="008B6A75" w:rsidRDefault="00387142" w:rsidP="00387142">
            <w:pPr>
              <w:jc w:val="right"/>
              <w:rPr>
                <w:sz w:val="20"/>
                <w:szCs w:val="20"/>
              </w:rPr>
            </w:pPr>
            <w:r w:rsidRPr="008B6A75">
              <w:rPr>
                <w:sz w:val="20"/>
                <w:szCs w:val="20"/>
              </w:rPr>
              <w:t>1 581 800,00</w:t>
            </w:r>
          </w:p>
        </w:tc>
        <w:tc>
          <w:tcPr>
            <w:tcW w:w="992" w:type="dxa"/>
            <w:tcBorders>
              <w:top w:val="nil"/>
              <w:left w:val="single" w:sz="4" w:space="0" w:color="auto"/>
              <w:bottom w:val="single" w:sz="4" w:space="0" w:color="auto"/>
              <w:right w:val="nil"/>
            </w:tcBorders>
            <w:shd w:val="clear" w:color="auto" w:fill="auto"/>
            <w:vAlign w:val="center"/>
            <w:hideMark/>
          </w:tcPr>
          <w:p w14:paraId="72C0DC0E" w14:textId="77777777" w:rsidR="00387142" w:rsidRPr="008B6A75" w:rsidRDefault="00387142" w:rsidP="00387142">
            <w:pPr>
              <w:jc w:val="right"/>
              <w:rPr>
                <w:sz w:val="20"/>
                <w:szCs w:val="20"/>
              </w:rPr>
            </w:pPr>
            <w:r w:rsidRPr="008B6A75">
              <w:rPr>
                <w:sz w:val="20"/>
                <w:szCs w:val="20"/>
              </w:rPr>
              <w:t>1 581 800,00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6BC6E764" w14:textId="77777777" w:rsidR="00387142" w:rsidRPr="008B6A75" w:rsidRDefault="00387142" w:rsidP="00387142">
            <w:pPr>
              <w:jc w:val="right"/>
              <w:rPr>
                <w:sz w:val="20"/>
                <w:szCs w:val="20"/>
              </w:rPr>
            </w:pPr>
            <w:r w:rsidRPr="008B6A75">
              <w:rPr>
                <w:sz w:val="20"/>
                <w:szCs w:val="20"/>
              </w:rPr>
              <w:t>1 581 800,00</w:t>
            </w:r>
          </w:p>
        </w:tc>
      </w:tr>
      <w:tr w:rsidR="00387142" w:rsidRPr="008B6A75" w14:paraId="048EE08A" w14:textId="77777777" w:rsidTr="00387142">
        <w:trPr>
          <w:trHeight w:val="1725"/>
        </w:trPr>
        <w:tc>
          <w:tcPr>
            <w:tcW w:w="3261" w:type="dxa"/>
            <w:tcBorders>
              <w:top w:val="nil"/>
              <w:left w:val="single" w:sz="4" w:space="0" w:color="auto"/>
              <w:bottom w:val="single" w:sz="4" w:space="0" w:color="auto"/>
              <w:right w:val="nil"/>
            </w:tcBorders>
            <w:shd w:val="clear" w:color="auto" w:fill="auto"/>
            <w:vAlign w:val="center"/>
            <w:hideMark/>
          </w:tcPr>
          <w:p w14:paraId="68764BAC" w14:textId="77777777" w:rsidR="00387142" w:rsidRPr="008B6A75" w:rsidRDefault="00387142" w:rsidP="00387142">
            <w:pPr>
              <w:rPr>
                <w:bCs/>
                <w:sz w:val="20"/>
                <w:szCs w:val="20"/>
              </w:rPr>
            </w:pPr>
            <w:r w:rsidRPr="008B6A75">
              <w:rPr>
                <w:bCs/>
                <w:sz w:val="20"/>
                <w:szCs w:val="20"/>
              </w:rPr>
              <w:t>Реализация мероприятий по комплектованию книжных фондов муниципальных общедоступных библиотек Новосибирской области государственной программы Новосибирской области "Культура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14:paraId="1D420504" w14:textId="77777777" w:rsidR="00387142" w:rsidRPr="008B6A75" w:rsidRDefault="00387142" w:rsidP="00387142">
            <w:pPr>
              <w:jc w:val="center"/>
              <w:rPr>
                <w:bCs/>
                <w:sz w:val="20"/>
                <w:szCs w:val="20"/>
              </w:rPr>
            </w:pPr>
            <w:r w:rsidRPr="008B6A75">
              <w:rPr>
                <w:bCs/>
                <w:sz w:val="20"/>
                <w:szCs w:val="20"/>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8C723C7" w14:textId="77777777" w:rsidR="00387142" w:rsidRPr="008B6A75" w:rsidRDefault="00387142" w:rsidP="00387142">
            <w:pPr>
              <w:jc w:val="center"/>
              <w:rPr>
                <w:bCs/>
                <w:sz w:val="20"/>
                <w:szCs w:val="20"/>
              </w:rPr>
            </w:pPr>
            <w:r w:rsidRPr="008B6A75">
              <w:rPr>
                <w:bCs/>
                <w:sz w:val="20"/>
                <w:szCs w:val="20"/>
              </w:rPr>
              <w:t>01</w:t>
            </w:r>
          </w:p>
        </w:tc>
        <w:tc>
          <w:tcPr>
            <w:tcW w:w="1516" w:type="dxa"/>
            <w:tcBorders>
              <w:top w:val="nil"/>
              <w:left w:val="single" w:sz="4" w:space="0" w:color="auto"/>
              <w:bottom w:val="single" w:sz="4" w:space="0" w:color="auto"/>
              <w:right w:val="nil"/>
            </w:tcBorders>
            <w:shd w:val="clear" w:color="auto" w:fill="auto"/>
            <w:noWrap/>
            <w:vAlign w:val="center"/>
            <w:hideMark/>
          </w:tcPr>
          <w:p w14:paraId="5AB43B0B" w14:textId="77777777" w:rsidR="00387142" w:rsidRPr="008B6A75" w:rsidRDefault="00387142" w:rsidP="00387142">
            <w:pPr>
              <w:jc w:val="center"/>
              <w:rPr>
                <w:bCs/>
                <w:sz w:val="20"/>
                <w:szCs w:val="20"/>
              </w:rPr>
            </w:pPr>
            <w:r w:rsidRPr="008B6A75">
              <w:rPr>
                <w:bCs/>
                <w:sz w:val="20"/>
                <w:szCs w:val="20"/>
              </w:rPr>
              <w:t>08.0.00.L5190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F4A0636"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5DD3110" w14:textId="77777777" w:rsidR="00387142" w:rsidRPr="008B6A75" w:rsidRDefault="00387142" w:rsidP="00387142">
            <w:pPr>
              <w:jc w:val="right"/>
              <w:rPr>
                <w:bCs/>
                <w:sz w:val="20"/>
                <w:szCs w:val="20"/>
              </w:rPr>
            </w:pPr>
            <w:r w:rsidRPr="008B6A75">
              <w:rPr>
                <w:bCs/>
                <w:sz w:val="20"/>
                <w:szCs w:val="20"/>
              </w:rPr>
              <w:t>727 677,64</w:t>
            </w:r>
          </w:p>
        </w:tc>
        <w:tc>
          <w:tcPr>
            <w:tcW w:w="992" w:type="dxa"/>
            <w:tcBorders>
              <w:top w:val="nil"/>
              <w:left w:val="single" w:sz="4" w:space="0" w:color="auto"/>
              <w:bottom w:val="single" w:sz="4" w:space="0" w:color="auto"/>
              <w:right w:val="nil"/>
            </w:tcBorders>
            <w:shd w:val="clear" w:color="auto" w:fill="auto"/>
            <w:vAlign w:val="center"/>
            <w:hideMark/>
          </w:tcPr>
          <w:p w14:paraId="71B01EC8" w14:textId="77777777" w:rsidR="00387142" w:rsidRPr="008B6A75" w:rsidRDefault="00387142" w:rsidP="00387142">
            <w:pPr>
              <w:jc w:val="right"/>
              <w:rPr>
                <w:bCs/>
                <w:sz w:val="20"/>
                <w:szCs w:val="20"/>
              </w:rPr>
            </w:pPr>
            <w:r w:rsidRPr="008B6A75">
              <w:rPr>
                <w:bCs/>
                <w:sz w:val="20"/>
                <w:szCs w:val="20"/>
              </w:rPr>
              <w:t>720 500,00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0C99D50C" w14:textId="77777777" w:rsidR="00387142" w:rsidRPr="008B6A75" w:rsidRDefault="00387142" w:rsidP="00387142">
            <w:pPr>
              <w:jc w:val="right"/>
              <w:rPr>
                <w:bCs/>
                <w:sz w:val="20"/>
                <w:szCs w:val="20"/>
              </w:rPr>
            </w:pPr>
            <w:r w:rsidRPr="008B6A75">
              <w:rPr>
                <w:bCs/>
                <w:sz w:val="20"/>
                <w:szCs w:val="20"/>
              </w:rPr>
              <w:t>720 500,00</w:t>
            </w:r>
          </w:p>
        </w:tc>
      </w:tr>
      <w:tr w:rsidR="00387142" w:rsidRPr="008B6A75" w14:paraId="75458F33" w14:textId="77777777" w:rsidTr="00387142">
        <w:trPr>
          <w:trHeight w:val="345"/>
        </w:trPr>
        <w:tc>
          <w:tcPr>
            <w:tcW w:w="3261" w:type="dxa"/>
            <w:tcBorders>
              <w:top w:val="nil"/>
              <w:left w:val="single" w:sz="4" w:space="0" w:color="auto"/>
              <w:bottom w:val="single" w:sz="4" w:space="0" w:color="auto"/>
              <w:right w:val="nil"/>
            </w:tcBorders>
            <w:shd w:val="clear" w:color="auto" w:fill="auto"/>
            <w:vAlign w:val="center"/>
            <w:hideMark/>
          </w:tcPr>
          <w:p w14:paraId="7848C3EE" w14:textId="77777777" w:rsidR="00387142" w:rsidRPr="008B6A75" w:rsidRDefault="00387142" w:rsidP="00387142">
            <w:pPr>
              <w:rPr>
                <w:sz w:val="20"/>
                <w:szCs w:val="20"/>
              </w:rPr>
            </w:pPr>
            <w:r w:rsidRPr="008B6A75">
              <w:rPr>
                <w:sz w:val="20"/>
                <w:szCs w:val="20"/>
              </w:rPr>
              <w:t>Межбюджетные трансферты</w:t>
            </w:r>
          </w:p>
        </w:tc>
        <w:tc>
          <w:tcPr>
            <w:tcW w:w="720" w:type="dxa"/>
            <w:tcBorders>
              <w:top w:val="nil"/>
              <w:left w:val="single" w:sz="4" w:space="0" w:color="auto"/>
              <w:bottom w:val="single" w:sz="4" w:space="0" w:color="auto"/>
              <w:right w:val="nil"/>
            </w:tcBorders>
            <w:shd w:val="clear" w:color="auto" w:fill="auto"/>
            <w:noWrap/>
            <w:vAlign w:val="center"/>
            <w:hideMark/>
          </w:tcPr>
          <w:p w14:paraId="1A916B56" w14:textId="77777777" w:rsidR="00387142" w:rsidRPr="008B6A75" w:rsidRDefault="00387142" w:rsidP="00387142">
            <w:pPr>
              <w:jc w:val="center"/>
              <w:rPr>
                <w:sz w:val="20"/>
                <w:szCs w:val="20"/>
              </w:rPr>
            </w:pPr>
            <w:r w:rsidRPr="008B6A75">
              <w:rPr>
                <w:sz w:val="20"/>
                <w:szCs w:val="20"/>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7CF8F0B" w14:textId="77777777" w:rsidR="00387142" w:rsidRPr="008B6A75" w:rsidRDefault="00387142" w:rsidP="00387142">
            <w:pPr>
              <w:jc w:val="center"/>
              <w:rPr>
                <w:sz w:val="20"/>
                <w:szCs w:val="20"/>
              </w:rPr>
            </w:pPr>
            <w:r w:rsidRPr="008B6A75">
              <w:rPr>
                <w:sz w:val="20"/>
                <w:szCs w:val="20"/>
              </w:rPr>
              <w:t>01</w:t>
            </w:r>
          </w:p>
        </w:tc>
        <w:tc>
          <w:tcPr>
            <w:tcW w:w="1516" w:type="dxa"/>
            <w:tcBorders>
              <w:top w:val="nil"/>
              <w:left w:val="single" w:sz="4" w:space="0" w:color="auto"/>
              <w:bottom w:val="single" w:sz="4" w:space="0" w:color="auto"/>
              <w:right w:val="nil"/>
            </w:tcBorders>
            <w:shd w:val="clear" w:color="auto" w:fill="auto"/>
            <w:noWrap/>
            <w:vAlign w:val="center"/>
            <w:hideMark/>
          </w:tcPr>
          <w:p w14:paraId="50AF79CE" w14:textId="77777777" w:rsidR="00387142" w:rsidRPr="008B6A75" w:rsidRDefault="00387142" w:rsidP="00387142">
            <w:pPr>
              <w:jc w:val="center"/>
              <w:rPr>
                <w:sz w:val="20"/>
                <w:szCs w:val="20"/>
              </w:rPr>
            </w:pPr>
            <w:r w:rsidRPr="008B6A75">
              <w:rPr>
                <w:sz w:val="20"/>
                <w:szCs w:val="20"/>
              </w:rPr>
              <w:t>08.0.00.L5190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6E0A162" w14:textId="77777777" w:rsidR="00387142" w:rsidRPr="008B6A75" w:rsidRDefault="00387142" w:rsidP="00387142">
            <w:pPr>
              <w:jc w:val="center"/>
              <w:rPr>
                <w:sz w:val="20"/>
                <w:szCs w:val="20"/>
              </w:rPr>
            </w:pPr>
            <w:r w:rsidRPr="008B6A75">
              <w:rPr>
                <w:sz w:val="20"/>
                <w:szCs w:val="20"/>
              </w:rPr>
              <w:t>500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29C2CBB" w14:textId="77777777" w:rsidR="00387142" w:rsidRPr="008B6A75" w:rsidRDefault="00387142" w:rsidP="00387142">
            <w:pPr>
              <w:jc w:val="right"/>
              <w:rPr>
                <w:sz w:val="20"/>
                <w:szCs w:val="20"/>
              </w:rPr>
            </w:pPr>
            <w:r w:rsidRPr="008B6A75">
              <w:rPr>
                <w:sz w:val="20"/>
                <w:szCs w:val="20"/>
              </w:rPr>
              <w:t>368 795,64</w:t>
            </w:r>
          </w:p>
        </w:tc>
        <w:tc>
          <w:tcPr>
            <w:tcW w:w="992" w:type="dxa"/>
            <w:tcBorders>
              <w:top w:val="nil"/>
              <w:left w:val="single" w:sz="4" w:space="0" w:color="auto"/>
              <w:bottom w:val="single" w:sz="4" w:space="0" w:color="auto"/>
              <w:right w:val="nil"/>
            </w:tcBorders>
            <w:shd w:val="clear" w:color="auto" w:fill="auto"/>
            <w:vAlign w:val="center"/>
            <w:hideMark/>
          </w:tcPr>
          <w:p w14:paraId="5C6CCCC9" w14:textId="77777777" w:rsidR="00387142" w:rsidRPr="008B6A75" w:rsidRDefault="00387142" w:rsidP="00387142">
            <w:pPr>
              <w:jc w:val="right"/>
              <w:rPr>
                <w:sz w:val="20"/>
                <w:szCs w:val="20"/>
              </w:rPr>
            </w:pPr>
            <w:r w:rsidRPr="008B6A75">
              <w:rPr>
                <w:sz w:val="20"/>
                <w:szCs w:val="20"/>
              </w:rPr>
              <w:t>368 795,64</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54F92677" w14:textId="77777777" w:rsidR="00387142" w:rsidRPr="008B6A75" w:rsidRDefault="00387142" w:rsidP="00387142">
            <w:pPr>
              <w:jc w:val="right"/>
              <w:rPr>
                <w:sz w:val="20"/>
                <w:szCs w:val="20"/>
              </w:rPr>
            </w:pPr>
            <w:r w:rsidRPr="008B6A75">
              <w:rPr>
                <w:sz w:val="20"/>
                <w:szCs w:val="20"/>
              </w:rPr>
              <w:t>368 795,64</w:t>
            </w:r>
          </w:p>
        </w:tc>
      </w:tr>
      <w:tr w:rsidR="00387142" w:rsidRPr="008B6A75" w14:paraId="408FF2FA" w14:textId="77777777" w:rsidTr="00387142">
        <w:trPr>
          <w:trHeight w:val="345"/>
        </w:trPr>
        <w:tc>
          <w:tcPr>
            <w:tcW w:w="3261" w:type="dxa"/>
            <w:tcBorders>
              <w:top w:val="nil"/>
              <w:left w:val="single" w:sz="4" w:space="0" w:color="auto"/>
              <w:bottom w:val="single" w:sz="4" w:space="0" w:color="auto"/>
              <w:right w:val="nil"/>
            </w:tcBorders>
            <w:shd w:val="clear" w:color="auto" w:fill="auto"/>
            <w:vAlign w:val="center"/>
            <w:hideMark/>
          </w:tcPr>
          <w:p w14:paraId="08938DEB" w14:textId="77777777" w:rsidR="00387142" w:rsidRPr="008B6A75" w:rsidRDefault="00387142" w:rsidP="00387142">
            <w:pPr>
              <w:rPr>
                <w:sz w:val="20"/>
                <w:szCs w:val="20"/>
              </w:rPr>
            </w:pPr>
            <w:r w:rsidRPr="008B6A75">
              <w:rPr>
                <w:sz w:val="20"/>
                <w:szCs w:val="20"/>
              </w:rPr>
              <w:t>Субсидии</w:t>
            </w:r>
          </w:p>
        </w:tc>
        <w:tc>
          <w:tcPr>
            <w:tcW w:w="720" w:type="dxa"/>
            <w:tcBorders>
              <w:top w:val="nil"/>
              <w:left w:val="single" w:sz="4" w:space="0" w:color="auto"/>
              <w:bottom w:val="single" w:sz="4" w:space="0" w:color="auto"/>
              <w:right w:val="nil"/>
            </w:tcBorders>
            <w:shd w:val="clear" w:color="auto" w:fill="auto"/>
            <w:noWrap/>
            <w:vAlign w:val="center"/>
            <w:hideMark/>
          </w:tcPr>
          <w:p w14:paraId="1FB8238D" w14:textId="77777777" w:rsidR="00387142" w:rsidRPr="008B6A75" w:rsidRDefault="00387142" w:rsidP="00387142">
            <w:pPr>
              <w:jc w:val="center"/>
              <w:rPr>
                <w:sz w:val="20"/>
                <w:szCs w:val="20"/>
              </w:rPr>
            </w:pPr>
            <w:r w:rsidRPr="008B6A75">
              <w:rPr>
                <w:sz w:val="20"/>
                <w:szCs w:val="20"/>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6388E05" w14:textId="77777777" w:rsidR="00387142" w:rsidRPr="008B6A75" w:rsidRDefault="00387142" w:rsidP="00387142">
            <w:pPr>
              <w:jc w:val="center"/>
              <w:rPr>
                <w:sz w:val="20"/>
                <w:szCs w:val="20"/>
              </w:rPr>
            </w:pPr>
            <w:r w:rsidRPr="008B6A75">
              <w:rPr>
                <w:sz w:val="20"/>
                <w:szCs w:val="20"/>
              </w:rPr>
              <w:t>01</w:t>
            </w:r>
          </w:p>
        </w:tc>
        <w:tc>
          <w:tcPr>
            <w:tcW w:w="1516" w:type="dxa"/>
            <w:tcBorders>
              <w:top w:val="nil"/>
              <w:left w:val="single" w:sz="4" w:space="0" w:color="auto"/>
              <w:bottom w:val="single" w:sz="4" w:space="0" w:color="auto"/>
              <w:right w:val="nil"/>
            </w:tcBorders>
            <w:shd w:val="clear" w:color="auto" w:fill="auto"/>
            <w:noWrap/>
            <w:vAlign w:val="center"/>
            <w:hideMark/>
          </w:tcPr>
          <w:p w14:paraId="72AD3FB0" w14:textId="77777777" w:rsidR="00387142" w:rsidRPr="008B6A75" w:rsidRDefault="00387142" w:rsidP="00387142">
            <w:pPr>
              <w:jc w:val="center"/>
              <w:rPr>
                <w:sz w:val="20"/>
                <w:szCs w:val="20"/>
              </w:rPr>
            </w:pPr>
            <w:r w:rsidRPr="008B6A75">
              <w:rPr>
                <w:sz w:val="20"/>
                <w:szCs w:val="20"/>
              </w:rPr>
              <w:t>08.0.00.L5190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B713619" w14:textId="77777777" w:rsidR="00387142" w:rsidRPr="008B6A75" w:rsidRDefault="00387142" w:rsidP="00387142">
            <w:pPr>
              <w:jc w:val="center"/>
              <w:rPr>
                <w:sz w:val="20"/>
                <w:szCs w:val="20"/>
              </w:rPr>
            </w:pPr>
            <w:r w:rsidRPr="008B6A75">
              <w:rPr>
                <w:sz w:val="20"/>
                <w:szCs w:val="20"/>
              </w:rPr>
              <w:t>520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1356454" w14:textId="77777777" w:rsidR="00387142" w:rsidRPr="008B6A75" w:rsidRDefault="00387142" w:rsidP="00387142">
            <w:pPr>
              <w:jc w:val="right"/>
              <w:rPr>
                <w:sz w:val="20"/>
                <w:szCs w:val="20"/>
              </w:rPr>
            </w:pPr>
            <w:r w:rsidRPr="008B6A75">
              <w:rPr>
                <w:sz w:val="20"/>
                <w:szCs w:val="20"/>
              </w:rPr>
              <w:t>368 795,64</w:t>
            </w:r>
          </w:p>
        </w:tc>
        <w:tc>
          <w:tcPr>
            <w:tcW w:w="992" w:type="dxa"/>
            <w:tcBorders>
              <w:top w:val="nil"/>
              <w:left w:val="single" w:sz="4" w:space="0" w:color="auto"/>
              <w:bottom w:val="single" w:sz="4" w:space="0" w:color="auto"/>
              <w:right w:val="nil"/>
            </w:tcBorders>
            <w:shd w:val="clear" w:color="auto" w:fill="auto"/>
            <w:vAlign w:val="center"/>
            <w:hideMark/>
          </w:tcPr>
          <w:p w14:paraId="3856BF1C" w14:textId="77777777" w:rsidR="00387142" w:rsidRPr="008B6A75" w:rsidRDefault="00387142" w:rsidP="00387142">
            <w:pPr>
              <w:jc w:val="right"/>
              <w:rPr>
                <w:sz w:val="20"/>
                <w:szCs w:val="20"/>
              </w:rPr>
            </w:pPr>
            <w:r w:rsidRPr="008B6A75">
              <w:rPr>
                <w:sz w:val="20"/>
                <w:szCs w:val="20"/>
              </w:rPr>
              <w:t>368 795,64</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72EE71C8" w14:textId="77777777" w:rsidR="00387142" w:rsidRPr="008B6A75" w:rsidRDefault="00387142" w:rsidP="00387142">
            <w:pPr>
              <w:jc w:val="right"/>
              <w:rPr>
                <w:sz w:val="20"/>
                <w:szCs w:val="20"/>
              </w:rPr>
            </w:pPr>
            <w:r w:rsidRPr="008B6A75">
              <w:rPr>
                <w:sz w:val="20"/>
                <w:szCs w:val="20"/>
              </w:rPr>
              <w:t>368 795,64</w:t>
            </w:r>
          </w:p>
        </w:tc>
      </w:tr>
      <w:tr w:rsidR="00387142" w:rsidRPr="008B6A75" w14:paraId="6A92E98B" w14:textId="77777777" w:rsidTr="00387142">
        <w:trPr>
          <w:trHeight w:val="870"/>
        </w:trPr>
        <w:tc>
          <w:tcPr>
            <w:tcW w:w="3261" w:type="dxa"/>
            <w:tcBorders>
              <w:top w:val="nil"/>
              <w:left w:val="single" w:sz="4" w:space="0" w:color="auto"/>
              <w:bottom w:val="single" w:sz="4" w:space="0" w:color="auto"/>
              <w:right w:val="nil"/>
            </w:tcBorders>
            <w:shd w:val="clear" w:color="auto" w:fill="auto"/>
            <w:vAlign w:val="center"/>
            <w:hideMark/>
          </w:tcPr>
          <w:p w14:paraId="6D693B42" w14:textId="77777777" w:rsidR="00387142" w:rsidRPr="008B6A75" w:rsidRDefault="00387142" w:rsidP="00387142">
            <w:pPr>
              <w:rPr>
                <w:sz w:val="20"/>
                <w:szCs w:val="20"/>
              </w:rPr>
            </w:pPr>
            <w:r w:rsidRPr="008B6A75">
              <w:rPr>
                <w:sz w:val="20"/>
                <w:szCs w:val="20"/>
              </w:rPr>
              <w:t>Предоставление субсидий бюджетным, автономным учреждениям и иным некоммерческим организациям</w:t>
            </w:r>
          </w:p>
        </w:tc>
        <w:tc>
          <w:tcPr>
            <w:tcW w:w="720" w:type="dxa"/>
            <w:tcBorders>
              <w:top w:val="nil"/>
              <w:left w:val="single" w:sz="4" w:space="0" w:color="auto"/>
              <w:bottom w:val="single" w:sz="4" w:space="0" w:color="auto"/>
              <w:right w:val="nil"/>
            </w:tcBorders>
            <w:shd w:val="clear" w:color="auto" w:fill="auto"/>
            <w:noWrap/>
            <w:vAlign w:val="center"/>
            <w:hideMark/>
          </w:tcPr>
          <w:p w14:paraId="79133607" w14:textId="77777777" w:rsidR="00387142" w:rsidRPr="008B6A75" w:rsidRDefault="00387142" w:rsidP="00387142">
            <w:pPr>
              <w:jc w:val="center"/>
              <w:rPr>
                <w:sz w:val="20"/>
                <w:szCs w:val="20"/>
              </w:rPr>
            </w:pPr>
            <w:r w:rsidRPr="008B6A75">
              <w:rPr>
                <w:sz w:val="20"/>
                <w:szCs w:val="20"/>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10CAFD6" w14:textId="77777777" w:rsidR="00387142" w:rsidRPr="008B6A75" w:rsidRDefault="00387142" w:rsidP="00387142">
            <w:pPr>
              <w:jc w:val="center"/>
              <w:rPr>
                <w:sz w:val="20"/>
                <w:szCs w:val="20"/>
              </w:rPr>
            </w:pPr>
            <w:r w:rsidRPr="008B6A75">
              <w:rPr>
                <w:sz w:val="20"/>
                <w:szCs w:val="20"/>
              </w:rPr>
              <w:t>01</w:t>
            </w:r>
          </w:p>
        </w:tc>
        <w:tc>
          <w:tcPr>
            <w:tcW w:w="1516" w:type="dxa"/>
            <w:tcBorders>
              <w:top w:val="nil"/>
              <w:left w:val="single" w:sz="4" w:space="0" w:color="auto"/>
              <w:bottom w:val="single" w:sz="4" w:space="0" w:color="auto"/>
              <w:right w:val="nil"/>
            </w:tcBorders>
            <w:shd w:val="clear" w:color="auto" w:fill="auto"/>
            <w:noWrap/>
            <w:vAlign w:val="center"/>
            <w:hideMark/>
          </w:tcPr>
          <w:p w14:paraId="0EC2AA58" w14:textId="77777777" w:rsidR="00387142" w:rsidRPr="008B6A75" w:rsidRDefault="00387142" w:rsidP="00387142">
            <w:pPr>
              <w:jc w:val="center"/>
              <w:rPr>
                <w:sz w:val="20"/>
                <w:szCs w:val="20"/>
              </w:rPr>
            </w:pPr>
            <w:r w:rsidRPr="008B6A75">
              <w:rPr>
                <w:sz w:val="20"/>
                <w:szCs w:val="20"/>
              </w:rPr>
              <w:t>08.0.00.L5190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D0DA059" w14:textId="77777777" w:rsidR="00387142" w:rsidRPr="008B6A75" w:rsidRDefault="00387142" w:rsidP="00387142">
            <w:pPr>
              <w:jc w:val="center"/>
              <w:rPr>
                <w:sz w:val="20"/>
                <w:szCs w:val="20"/>
              </w:rPr>
            </w:pPr>
            <w:r w:rsidRPr="008B6A75">
              <w:rPr>
                <w:sz w:val="20"/>
                <w:szCs w:val="20"/>
              </w:rPr>
              <w:t>600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ECD60E1" w14:textId="77777777" w:rsidR="00387142" w:rsidRPr="008B6A75" w:rsidRDefault="00387142" w:rsidP="00387142">
            <w:pPr>
              <w:jc w:val="right"/>
              <w:rPr>
                <w:sz w:val="20"/>
                <w:szCs w:val="20"/>
              </w:rPr>
            </w:pPr>
            <w:r w:rsidRPr="008B6A75">
              <w:rPr>
                <w:sz w:val="20"/>
                <w:szCs w:val="20"/>
              </w:rPr>
              <w:t>358 882,00</w:t>
            </w:r>
          </w:p>
        </w:tc>
        <w:tc>
          <w:tcPr>
            <w:tcW w:w="992" w:type="dxa"/>
            <w:tcBorders>
              <w:top w:val="nil"/>
              <w:left w:val="single" w:sz="4" w:space="0" w:color="auto"/>
              <w:bottom w:val="single" w:sz="4" w:space="0" w:color="auto"/>
              <w:right w:val="nil"/>
            </w:tcBorders>
            <w:shd w:val="clear" w:color="auto" w:fill="auto"/>
            <w:vAlign w:val="center"/>
            <w:hideMark/>
          </w:tcPr>
          <w:p w14:paraId="580A7CD1" w14:textId="77777777" w:rsidR="00387142" w:rsidRPr="008B6A75" w:rsidRDefault="00387142" w:rsidP="00387142">
            <w:pPr>
              <w:jc w:val="right"/>
              <w:rPr>
                <w:sz w:val="20"/>
                <w:szCs w:val="20"/>
              </w:rPr>
            </w:pPr>
            <w:r w:rsidRPr="008B6A75">
              <w:rPr>
                <w:sz w:val="20"/>
                <w:szCs w:val="20"/>
              </w:rPr>
              <w:t>351 704,36</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2563391E" w14:textId="77777777" w:rsidR="00387142" w:rsidRPr="008B6A75" w:rsidRDefault="00387142" w:rsidP="00387142">
            <w:pPr>
              <w:jc w:val="right"/>
              <w:rPr>
                <w:sz w:val="20"/>
                <w:szCs w:val="20"/>
              </w:rPr>
            </w:pPr>
            <w:r w:rsidRPr="008B6A75">
              <w:rPr>
                <w:sz w:val="20"/>
                <w:szCs w:val="20"/>
              </w:rPr>
              <w:t>351 704,36</w:t>
            </w:r>
          </w:p>
        </w:tc>
      </w:tr>
      <w:tr w:rsidR="00387142" w:rsidRPr="008B6A75" w14:paraId="22A6BB3F" w14:textId="77777777" w:rsidTr="00387142">
        <w:trPr>
          <w:trHeight w:val="345"/>
        </w:trPr>
        <w:tc>
          <w:tcPr>
            <w:tcW w:w="3261" w:type="dxa"/>
            <w:tcBorders>
              <w:top w:val="nil"/>
              <w:left w:val="single" w:sz="4" w:space="0" w:color="auto"/>
              <w:bottom w:val="single" w:sz="4" w:space="0" w:color="auto"/>
              <w:right w:val="nil"/>
            </w:tcBorders>
            <w:shd w:val="clear" w:color="auto" w:fill="auto"/>
            <w:vAlign w:val="center"/>
            <w:hideMark/>
          </w:tcPr>
          <w:p w14:paraId="21167BCC" w14:textId="77777777" w:rsidR="00387142" w:rsidRPr="008B6A75" w:rsidRDefault="00387142" w:rsidP="00387142">
            <w:pPr>
              <w:rPr>
                <w:sz w:val="20"/>
                <w:szCs w:val="20"/>
              </w:rPr>
            </w:pPr>
            <w:r w:rsidRPr="008B6A75">
              <w:rPr>
                <w:sz w:val="20"/>
                <w:szCs w:val="20"/>
              </w:rPr>
              <w:t>Субсидии бюджетным учреждениям</w:t>
            </w:r>
          </w:p>
        </w:tc>
        <w:tc>
          <w:tcPr>
            <w:tcW w:w="720" w:type="dxa"/>
            <w:tcBorders>
              <w:top w:val="nil"/>
              <w:left w:val="single" w:sz="4" w:space="0" w:color="auto"/>
              <w:bottom w:val="single" w:sz="4" w:space="0" w:color="auto"/>
              <w:right w:val="nil"/>
            </w:tcBorders>
            <w:shd w:val="clear" w:color="auto" w:fill="auto"/>
            <w:noWrap/>
            <w:vAlign w:val="center"/>
            <w:hideMark/>
          </w:tcPr>
          <w:p w14:paraId="76981613" w14:textId="77777777" w:rsidR="00387142" w:rsidRPr="008B6A75" w:rsidRDefault="00387142" w:rsidP="00387142">
            <w:pPr>
              <w:jc w:val="center"/>
              <w:rPr>
                <w:sz w:val="20"/>
                <w:szCs w:val="20"/>
              </w:rPr>
            </w:pPr>
            <w:r w:rsidRPr="008B6A75">
              <w:rPr>
                <w:sz w:val="20"/>
                <w:szCs w:val="20"/>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393D65B" w14:textId="77777777" w:rsidR="00387142" w:rsidRPr="008B6A75" w:rsidRDefault="00387142" w:rsidP="00387142">
            <w:pPr>
              <w:jc w:val="center"/>
              <w:rPr>
                <w:sz w:val="20"/>
                <w:szCs w:val="20"/>
              </w:rPr>
            </w:pPr>
            <w:r w:rsidRPr="008B6A75">
              <w:rPr>
                <w:sz w:val="20"/>
                <w:szCs w:val="20"/>
              </w:rPr>
              <w:t>01</w:t>
            </w:r>
          </w:p>
        </w:tc>
        <w:tc>
          <w:tcPr>
            <w:tcW w:w="1516" w:type="dxa"/>
            <w:tcBorders>
              <w:top w:val="nil"/>
              <w:left w:val="single" w:sz="4" w:space="0" w:color="auto"/>
              <w:bottom w:val="single" w:sz="4" w:space="0" w:color="auto"/>
              <w:right w:val="nil"/>
            </w:tcBorders>
            <w:shd w:val="clear" w:color="auto" w:fill="auto"/>
            <w:noWrap/>
            <w:vAlign w:val="center"/>
            <w:hideMark/>
          </w:tcPr>
          <w:p w14:paraId="199339DA" w14:textId="77777777" w:rsidR="00387142" w:rsidRPr="008B6A75" w:rsidRDefault="00387142" w:rsidP="00387142">
            <w:pPr>
              <w:jc w:val="center"/>
              <w:rPr>
                <w:sz w:val="20"/>
                <w:szCs w:val="20"/>
              </w:rPr>
            </w:pPr>
            <w:r w:rsidRPr="008B6A75">
              <w:rPr>
                <w:sz w:val="20"/>
                <w:szCs w:val="20"/>
              </w:rPr>
              <w:t>08.0.00.L5190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01F1D0A" w14:textId="77777777" w:rsidR="00387142" w:rsidRPr="008B6A75" w:rsidRDefault="00387142" w:rsidP="00387142">
            <w:pPr>
              <w:jc w:val="center"/>
              <w:rPr>
                <w:sz w:val="20"/>
                <w:szCs w:val="20"/>
              </w:rPr>
            </w:pPr>
            <w:r w:rsidRPr="008B6A75">
              <w:rPr>
                <w:sz w:val="20"/>
                <w:szCs w:val="20"/>
              </w:rPr>
              <w:t>610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4A9CEFF" w14:textId="77777777" w:rsidR="00387142" w:rsidRPr="008B6A75" w:rsidRDefault="00387142" w:rsidP="00387142">
            <w:pPr>
              <w:jc w:val="right"/>
              <w:rPr>
                <w:sz w:val="20"/>
                <w:szCs w:val="20"/>
              </w:rPr>
            </w:pPr>
            <w:r w:rsidRPr="008B6A75">
              <w:rPr>
                <w:sz w:val="20"/>
                <w:szCs w:val="20"/>
              </w:rPr>
              <w:t>358 882,00</w:t>
            </w:r>
          </w:p>
        </w:tc>
        <w:tc>
          <w:tcPr>
            <w:tcW w:w="992" w:type="dxa"/>
            <w:tcBorders>
              <w:top w:val="nil"/>
              <w:left w:val="single" w:sz="4" w:space="0" w:color="auto"/>
              <w:bottom w:val="single" w:sz="4" w:space="0" w:color="auto"/>
              <w:right w:val="nil"/>
            </w:tcBorders>
            <w:shd w:val="clear" w:color="auto" w:fill="auto"/>
            <w:vAlign w:val="center"/>
            <w:hideMark/>
          </w:tcPr>
          <w:p w14:paraId="0176AF42" w14:textId="77777777" w:rsidR="00387142" w:rsidRPr="008B6A75" w:rsidRDefault="00387142" w:rsidP="00387142">
            <w:pPr>
              <w:jc w:val="right"/>
              <w:rPr>
                <w:sz w:val="20"/>
                <w:szCs w:val="20"/>
              </w:rPr>
            </w:pPr>
            <w:r w:rsidRPr="008B6A75">
              <w:rPr>
                <w:sz w:val="20"/>
                <w:szCs w:val="20"/>
              </w:rPr>
              <w:t>351 704,36</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412E274E" w14:textId="77777777" w:rsidR="00387142" w:rsidRPr="008B6A75" w:rsidRDefault="00387142" w:rsidP="00387142">
            <w:pPr>
              <w:jc w:val="right"/>
              <w:rPr>
                <w:sz w:val="20"/>
                <w:szCs w:val="20"/>
              </w:rPr>
            </w:pPr>
            <w:r w:rsidRPr="008B6A75">
              <w:rPr>
                <w:sz w:val="20"/>
                <w:szCs w:val="20"/>
              </w:rPr>
              <w:t>351 704,36</w:t>
            </w:r>
          </w:p>
        </w:tc>
      </w:tr>
      <w:tr w:rsidR="00387142" w:rsidRPr="008B6A75" w14:paraId="665D49CF" w14:textId="77777777" w:rsidTr="00387142">
        <w:trPr>
          <w:trHeight w:val="2010"/>
        </w:trPr>
        <w:tc>
          <w:tcPr>
            <w:tcW w:w="3261" w:type="dxa"/>
            <w:tcBorders>
              <w:top w:val="nil"/>
              <w:left w:val="single" w:sz="4" w:space="0" w:color="auto"/>
              <w:bottom w:val="single" w:sz="4" w:space="0" w:color="auto"/>
              <w:right w:val="nil"/>
            </w:tcBorders>
            <w:shd w:val="clear" w:color="auto" w:fill="auto"/>
            <w:vAlign w:val="center"/>
            <w:hideMark/>
          </w:tcPr>
          <w:p w14:paraId="716A3201" w14:textId="77777777" w:rsidR="00387142" w:rsidRPr="008B6A75" w:rsidRDefault="00387142" w:rsidP="00387142">
            <w:pPr>
              <w:rPr>
                <w:bCs/>
                <w:sz w:val="20"/>
                <w:szCs w:val="20"/>
              </w:rPr>
            </w:pPr>
            <w:proofErr w:type="spellStart"/>
            <w:r w:rsidRPr="008B6A75">
              <w:rPr>
                <w:bCs/>
                <w:sz w:val="20"/>
                <w:szCs w:val="20"/>
              </w:rPr>
              <w:t>Софинансирование</w:t>
            </w:r>
            <w:proofErr w:type="spellEnd"/>
            <w:r w:rsidRPr="008B6A75">
              <w:rPr>
                <w:bCs/>
                <w:sz w:val="20"/>
                <w:szCs w:val="20"/>
              </w:rPr>
              <w:t xml:space="preserve"> местного бюджета на реализацию мероприятий по комплектованию книжных фондов муниципальных общедоступных библиотек Новосибирской области государственной программы Новосибирской области «Культура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14:paraId="120D5391" w14:textId="77777777" w:rsidR="00387142" w:rsidRPr="008B6A75" w:rsidRDefault="00387142" w:rsidP="00387142">
            <w:pPr>
              <w:jc w:val="center"/>
              <w:rPr>
                <w:bCs/>
                <w:sz w:val="20"/>
                <w:szCs w:val="20"/>
              </w:rPr>
            </w:pPr>
            <w:r w:rsidRPr="008B6A75">
              <w:rPr>
                <w:bCs/>
                <w:sz w:val="20"/>
                <w:szCs w:val="20"/>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44B9740" w14:textId="77777777" w:rsidR="00387142" w:rsidRPr="008B6A75" w:rsidRDefault="00387142" w:rsidP="00387142">
            <w:pPr>
              <w:jc w:val="center"/>
              <w:rPr>
                <w:bCs/>
                <w:sz w:val="20"/>
                <w:szCs w:val="20"/>
              </w:rPr>
            </w:pPr>
            <w:r w:rsidRPr="008B6A75">
              <w:rPr>
                <w:bCs/>
                <w:sz w:val="20"/>
                <w:szCs w:val="20"/>
              </w:rPr>
              <w:t>01</w:t>
            </w:r>
          </w:p>
        </w:tc>
        <w:tc>
          <w:tcPr>
            <w:tcW w:w="1516" w:type="dxa"/>
            <w:tcBorders>
              <w:top w:val="nil"/>
              <w:left w:val="single" w:sz="4" w:space="0" w:color="auto"/>
              <w:bottom w:val="single" w:sz="4" w:space="0" w:color="auto"/>
              <w:right w:val="nil"/>
            </w:tcBorders>
            <w:shd w:val="clear" w:color="auto" w:fill="auto"/>
            <w:noWrap/>
            <w:vAlign w:val="center"/>
            <w:hideMark/>
          </w:tcPr>
          <w:p w14:paraId="02F64739" w14:textId="77777777" w:rsidR="00387142" w:rsidRPr="008B6A75" w:rsidRDefault="00387142" w:rsidP="00387142">
            <w:pPr>
              <w:jc w:val="center"/>
              <w:rPr>
                <w:bCs/>
                <w:sz w:val="20"/>
                <w:szCs w:val="20"/>
              </w:rPr>
            </w:pPr>
            <w:r w:rsidRPr="008B6A75">
              <w:rPr>
                <w:bCs/>
                <w:sz w:val="20"/>
                <w:szCs w:val="20"/>
              </w:rPr>
              <w:t>08.0.00.S0770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D17086F"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7AB630B" w14:textId="77777777" w:rsidR="00387142" w:rsidRPr="008B6A75" w:rsidRDefault="00387142" w:rsidP="00387142">
            <w:pPr>
              <w:jc w:val="right"/>
              <w:rPr>
                <w:bCs/>
                <w:sz w:val="20"/>
                <w:szCs w:val="20"/>
              </w:rPr>
            </w:pPr>
            <w:r w:rsidRPr="008B6A75">
              <w:rPr>
                <w:bCs/>
                <w:sz w:val="20"/>
                <w:szCs w:val="20"/>
              </w:rPr>
              <w:t>8 146,85</w:t>
            </w:r>
          </w:p>
        </w:tc>
        <w:tc>
          <w:tcPr>
            <w:tcW w:w="992" w:type="dxa"/>
            <w:tcBorders>
              <w:top w:val="nil"/>
              <w:left w:val="single" w:sz="4" w:space="0" w:color="auto"/>
              <w:bottom w:val="single" w:sz="4" w:space="0" w:color="auto"/>
              <w:right w:val="nil"/>
            </w:tcBorders>
            <w:shd w:val="clear" w:color="auto" w:fill="auto"/>
            <w:vAlign w:val="center"/>
            <w:hideMark/>
          </w:tcPr>
          <w:p w14:paraId="450369DF" w14:textId="77777777" w:rsidR="00387142" w:rsidRPr="008B6A75" w:rsidRDefault="00387142" w:rsidP="00387142">
            <w:pPr>
              <w:jc w:val="right"/>
              <w:rPr>
                <w:bCs/>
                <w:sz w:val="20"/>
                <w:szCs w:val="20"/>
              </w:rPr>
            </w:pPr>
            <w:r w:rsidRPr="008B6A75">
              <w:rPr>
                <w:bCs/>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2F0177CA" w14:textId="77777777" w:rsidR="00387142" w:rsidRPr="008B6A75" w:rsidRDefault="00387142" w:rsidP="00387142">
            <w:pPr>
              <w:jc w:val="right"/>
              <w:rPr>
                <w:bCs/>
                <w:sz w:val="20"/>
                <w:szCs w:val="20"/>
              </w:rPr>
            </w:pPr>
            <w:r w:rsidRPr="008B6A75">
              <w:rPr>
                <w:bCs/>
                <w:sz w:val="20"/>
                <w:szCs w:val="20"/>
              </w:rPr>
              <w:t>0,00</w:t>
            </w:r>
          </w:p>
        </w:tc>
      </w:tr>
      <w:tr w:rsidR="00387142" w:rsidRPr="008B6A75" w14:paraId="26704E65" w14:textId="77777777" w:rsidTr="00387142">
        <w:trPr>
          <w:trHeight w:val="870"/>
        </w:trPr>
        <w:tc>
          <w:tcPr>
            <w:tcW w:w="3261" w:type="dxa"/>
            <w:tcBorders>
              <w:top w:val="nil"/>
              <w:left w:val="single" w:sz="4" w:space="0" w:color="auto"/>
              <w:bottom w:val="single" w:sz="4" w:space="0" w:color="auto"/>
              <w:right w:val="nil"/>
            </w:tcBorders>
            <w:shd w:val="clear" w:color="auto" w:fill="auto"/>
            <w:vAlign w:val="center"/>
            <w:hideMark/>
          </w:tcPr>
          <w:p w14:paraId="23E58AB4" w14:textId="77777777" w:rsidR="00387142" w:rsidRPr="008B6A75" w:rsidRDefault="00387142" w:rsidP="00387142">
            <w:pPr>
              <w:rPr>
                <w:sz w:val="20"/>
                <w:szCs w:val="20"/>
              </w:rPr>
            </w:pPr>
            <w:r w:rsidRPr="008B6A75">
              <w:rPr>
                <w:sz w:val="20"/>
                <w:szCs w:val="20"/>
              </w:rPr>
              <w:t>Предоставление субсидий бюджетным, автономным учреждениям и иным некоммерческим организациям</w:t>
            </w:r>
          </w:p>
        </w:tc>
        <w:tc>
          <w:tcPr>
            <w:tcW w:w="720" w:type="dxa"/>
            <w:tcBorders>
              <w:top w:val="nil"/>
              <w:left w:val="single" w:sz="4" w:space="0" w:color="auto"/>
              <w:bottom w:val="single" w:sz="4" w:space="0" w:color="auto"/>
              <w:right w:val="nil"/>
            </w:tcBorders>
            <w:shd w:val="clear" w:color="auto" w:fill="auto"/>
            <w:noWrap/>
            <w:vAlign w:val="center"/>
            <w:hideMark/>
          </w:tcPr>
          <w:p w14:paraId="3806E293" w14:textId="77777777" w:rsidR="00387142" w:rsidRPr="008B6A75" w:rsidRDefault="00387142" w:rsidP="00387142">
            <w:pPr>
              <w:jc w:val="center"/>
              <w:rPr>
                <w:sz w:val="20"/>
                <w:szCs w:val="20"/>
              </w:rPr>
            </w:pPr>
            <w:r w:rsidRPr="008B6A75">
              <w:rPr>
                <w:sz w:val="20"/>
                <w:szCs w:val="20"/>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B2EEA4E" w14:textId="77777777" w:rsidR="00387142" w:rsidRPr="008B6A75" w:rsidRDefault="00387142" w:rsidP="00387142">
            <w:pPr>
              <w:jc w:val="center"/>
              <w:rPr>
                <w:sz w:val="20"/>
                <w:szCs w:val="20"/>
              </w:rPr>
            </w:pPr>
            <w:r w:rsidRPr="008B6A75">
              <w:rPr>
                <w:sz w:val="20"/>
                <w:szCs w:val="20"/>
              </w:rPr>
              <w:t>01</w:t>
            </w:r>
          </w:p>
        </w:tc>
        <w:tc>
          <w:tcPr>
            <w:tcW w:w="1516" w:type="dxa"/>
            <w:tcBorders>
              <w:top w:val="nil"/>
              <w:left w:val="single" w:sz="4" w:space="0" w:color="auto"/>
              <w:bottom w:val="single" w:sz="4" w:space="0" w:color="auto"/>
              <w:right w:val="nil"/>
            </w:tcBorders>
            <w:shd w:val="clear" w:color="auto" w:fill="auto"/>
            <w:noWrap/>
            <w:vAlign w:val="center"/>
            <w:hideMark/>
          </w:tcPr>
          <w:p w14:paraId="51DFA86C" w14:textId="77777777" w:rsidR="00387142" w:rsidRPr="008B6A75" w:rsidRDefault="00387142" w:rsidP="00387142">
            <w:pPr>
              <w:jc w:val="center"/>
              <w:rPr>
                <w:sz w:val="20"/>
                <w:szCs w:val="20"/>
              </w:rPr>
            </w:pPr>
            <w:r w:rsidRPr="008B6A75">
              <w:rPr>
                <w:sz w:val="20"/>
                <w:szCs w:val="20"/>
              </w:rPr>
              <w:t>08.0.00.S0770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C4D1B44" w14:textId="77777777" w:rsidR="00387142" w:rsidRPr="008B6A75" w:rsidRDefault="00387142" w:rsidP="00387142">
            <w:pPr>
              <w:jc w:val="center"/>
              <w:rPr>
                <w:sz w:val="20"/>
                <w:szCs w:val="20"/>
              </w:rPr>
            </w:pPr>
            <w:r w:rsidRPr="008B6A75">
              <w:rPr>
                <w:sz w:val="20"/>
                <w:szCs w:val="20"/>
              </w:rPr>
              <w:t>600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51BC5FD" w14:textId="77777777" w:rsidR="00387142" w:rsidRPr="008B6A75" w:rsidRDefault="00387142" w:rsidP="00387142">
            <w:pPr>
              <w:jc w:val="right"/>
              <w:rPr>
                <w:sz w:val="20"/>
                <w:szCs w:val="20"/>
              </w:rPr>
            </w:pPr>
            <w:r w:rsidRPr="008B6A75">
              <w:rPr>
                <w:sz w:val="20"/>
                <w:szCs w:val="20"/>
              </w:rPr>
              <w:t>8 146,85</w:t>
            </w:r>
          </w:p>
        </w:tc>
        <w:tc>
          <w:tcPr>
            <w:tcW w:w="992" w:type="dxa"/>
            <w:tcBorders>
              <w:top w:val="nil"/>
              <w:left w:val="single" w:sz="4" w:space="0" w:color="auto"/>
              <w:bottom w:val="single" w:sz="4" w:space="0" w:color="auto"/>
              <w:right w:val="nil"/>
            </w:tcBorders>
            <w:shd w:val="clear" w:color="auto" w:fill="auto"/>
            <w:vAlign w:val="center"/>
            <w:hideMark/>
          </w:tcPr>
          <w:p w14:paraId="15873CED" w14:textId="77777777" w:rsidR="00387142" w:rsidRPr="008B6A75" w:rsidRDefault="00387142" w:rsidP="00387142">
            <w:pPr>
              <w:jc w:val="right"/>
              <w:rPr>
                <w:sz w:val="20"/>
                <w:szCs w:val="20"/>
              </w:rPr>
            </w:pPr>
            <w:r w:rsidRPr="008B6A75">
              <w:rPr>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0039048D" w14:textId="77777777" w:rsidR="00387142" w:rsidRPr="008B6A75" w:rsidRDefault="00387142" w:rsidP="00387142">
            <w:pPr>
              <w:jc w:val="right"/>
              <w:rPr>
                <w:sz w:val="20"/>
                <w:szCs w:val="20"/>
              </w:rPr>
            </w:pPr>
            <w:r w:rsidRPr="008B6A75">
              <w:rPr>
                <w:sz w:val="20"/>
                <w:szCs w:val="20"/>
              </w:rPr>
              <w:t>0,00</w:t>
            </w:r>
          </w:p>
        </w:tc>
      </w:tr>
      <w:tr w:rsidR="00387142" w:rsidRPr="008B6A75" w14:paraId="100F8173" w14:textId="77777777" w:rsidTr="00387142">
        <w:trPr>
          <w:trHeight w:val="345"/>
        </w:trPr>
        <w:tc>
          <w:tcPr>
            <w:tcW w:w="3261" w:type="dxa"/>
            <w:tcBorders>
              <w:top w:val="nil"/>
              <w:left w:val="single" w:sz="4" w:space="0" w:color="auto"/>
              <w:bottom w:val="single" w:sz="4" w:space="0" w:color="auto"/>
              <w:right w:val="nil"/>
            </w:tcBorders>
            <w:shd w:val="clear" w:color="auto" w:fill="auto"/>
            <w:vAlign w:val="center"/>
            <w:hideMark/>
          </w:tcPr>
          <w:p w14:paraId="3D7C42DF" w14:textId="77777777" w:rsidR="00387142" w:rsidRPr="008B6A75" w:rsidRDefault="00387142" w:rsidP="00387142">
            <w:pPr>
              <w:rPr>
                <w:sz w:val="20"/>
                <w:szCs w:val="20"/>
              </w:rPr>
            </w:pPr>
            <w:r w:rsidRPr="008B6A75">
              <w:rPr>
                <w:sz w:val="20"/>
                <w:szCs w:val="20"/>
              </w:rPr>
              <w:t>Субсидии бюджетным учреждениям</w:t>
            </w:r>
          </w:p>
        </w:tc>
        <w:tc>
          <w:tcPr>
            <w:tcW w:w="720" w:type="dxa"/>
            <w:tcBorders>
              <w:top w:val="nil"/>
              <w:left w:val="single" w:sz="4" w:space="0" w:color="auto"/>
              <w:bottom w:val="single" w:sz="4" w:space="0" w:color="auto"/>
              <w:right w:val="nil"/>
            </w:tcBorders>
            <w:shd w:val="clear" w:color="auto" w:fill="auto"/>
            <w:noWrap/>
            <w:vAlign w:val="center"/>
            <w:hideMark/>
          </w:tcPr>
          <w:p w14:paraId="631E467E" w14:textId="77777777" w:rsidR="00387142" w:rsidRPr="008B6A75" w:rsidRDefault="00387142" w:rsidP="00387142">
            <w:pPr>
              <w:jc w:val="center"/>
              <w:rPr>
                <w:sz w:val="20"/>
                <w:szCs w:val="20"/>
              </w:rPr>
            </w:pPr>
            <w:r w:rsidRPr="008B6A75">
              <w:rPr>
                <w:sz w:val="20"/>
                <w:szCs w:val="20"/>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B8335AE" w14:textId="77777777" w:rsidR="00387142" w:rsidRPr="008B6A75" w:rsidRDefault="00387142" w:rsidP="00387142">
            <w:pPr>
              <w:jc w:val="center"/>
              <w:rPr>
                <w:sz w:val="20"/>
                <w:szCs w:val="20"/>
              </w:rPr>
            </w:pPr>
            <w:r w:rsidRPr="008B6A75">
              <w:rPr>
                <w:sz w:val="20"/>
                <w:szCs w:val="20"/>
              </w:rPr>
              <w:t>01</w:t>
            </w:r>
          </w:p>
        </w:tc>
        <w:tc>
          <w:tcPr>
            <w:tcW w:w="1516" w:type="dxa"/>
            <w:tcBorders>
              <w:top w:val="nil"/>
              <w:left w:val="single" w:sz="4" w:space="0" w:color="auto"/>
              <w:bottom w:val="single" w:sz="4" w:space="0" w:color="auto"/>
              <w:right w:val="nil"/>
            </w:tcBorders>
            <w:shd w:val="clear" w:color="auto" w:fill="auto"/>
            <w:noWrap/>
            <w:vAlign w:val="center"/>
            <w:hideMark/>
          </w:tcPr>
          <w:p w14:paraId="13AF08E3" w14:textId="77777777" w:rsidR="00387142" w:rsidRPr="008B6A75" w:rsidRDefault="00387142" w:rsidP="00387142">
            <w:pPr>
              <w:jc w:val="center"/>
              <w:rPr>
                <w:sz w:val="20"/>
                <w:szCs w:val="20"/>
              </w:rPr>
            </w:pPr>
            <w:r w:rsidRPr="008B6A75">
              <w:rPr>
                <w:sz w:val="20"/>
                <w:szCs w:val="20"/>
              </w:rPr>
              <w:t>08.0.00.S0770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CF4BA8A" w14:textId="77777777" w:rsidR="00387142" w:rsidRPr="008B6A75" w:rsidRDefault="00387142" w:rsidP="00387142">
            <w:pPr>
              <w:jc w:val="center"/>
              <w:rPr>
                <w:sz w:val="20"/>
                <w:szCs w:val="20"/>
              </w:rPr>
            </w:pPr>
            <w:r w:rsidRPr="008B6A75">
              <w:rPr>
                <w:sz w:val="20"/>
                <w:szCs w:val="20"/>
              </w:rPr>
              <w:t>610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3A52451" w14:textId="77777777" w:rsidR="00387142" w:rsidRPr="008B6A75" w:rsidRDefault="00387142" w:rsidP="00387142">
            <w:pPr>
              <w:jc w:val="right"/>
              <w:rPr>
                <w:sz w:val="20"/>
                <w:szCs w:val="20"/>
              </w:rPr>
            </w:pPr>
            <w:r w:rsidRPr="008B6A75">
              <w:rPr>
                <w:sz w:val="20"/>
                <w:szCs w:val="20"/>
              </w:rPr>
              <w:t>8 146,85</w:t>
            </w:r>
          </w:p>
        </w:tc>
        <w:tc>
          <w:tcPr>
            <w:tcW w:w="992" w:type="dxa"/>
            <w:tcBorders>
              <w:top w:val="nil"/>
              <w:left w:val="single" w:sz="4" w:space="0" w:color="auto"/>
              <w:bottom w:val="single" w:sz="4" w:space="0" w:color="auto"/>
              <w:right w:val="nil"/>
            </w:tcBorders>
            <w:shd w:val="clear" w:color="auto" w:fill="auto"/>
            <w:vAlign w:val="center"/>
            <w:hideMark/>
          </w:tcPr>
          <w:p w14:paraId="416EE548" w14:textId="77777777" w:rsidR="00387142" w:rsidRPr="008B6A75" w:rsidRDefault="00387142" w:rsidP="00387142">
            <w:pPr>
              <w:jc w:val="right"/>
              <w:rPr>
                <w:sz w:val="20"/>
                <w:szCs w:val="20"/>
              </w:rPr>
            </w:pPr>
            <w:r w:rsidRPr="008B6A75">
              <w:rPr>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565EDB4A" w14:textId="77777777" w:rsidR="00387142" w:rsidRPr="008B6A75" w:rsidRDefault="00387142" w:rsidP="00387142">
            <w:pPr>
              <w:jc w:val="right"/>
              <w:rPr>
                <w:sz w:val="20"/>
                <w:szCs w:val="20"/>
              </w:rPr>
            </w:pPr>
            <w:r w:rsidRPr="008B6A75">
              <w:rPr>
                <w:sz w:val="20"/>
                <w:szCs w:val="20"/>
              </w:rPr>
              <w:t>0,00</w:t>
            </w:r>
          </w:p>
        </w:tc>
      </w:tr>
      <w:tr w:rsidR="00387142" w:rsidRPr="008B6A75" w14:paraId="783997AD" w14:textId="77777777" w:rsidTr="00387142">
        <w:trPr>
          <w:trHeight w:val="345"/>
        </w:trPr>
        <w:tc>
          <w:tcPr>
            <w:tcW w:w="3261" w:type="dxa"/>
            <w:tcBorders>
              <w:top w:val="nil"/>
              <w:left w:val="single" w:sz="4" w:space="0" w:color="auto"/>
              <w:bottom w:val="single" w:sz="4" w:space="0" w:color="auto"/>
              <w:right w:val="nil"/>
            </w:tcBorders>
            <w:shd w:val="clear" w:color="auto" w:fill="auto"/>
            <w:vAlign w:val="center"/>
            <w:hideMark/>
          </w:tcPr>
          <w:p w14:paraId="3DE5CAE8" w14:textId="77777777" w:rsidR="00387142" w:rsidRPr="008B6A75" w:rsidRDefault="00387142" w:rsidP="00387142">
            <w:pPr>
              <w:rPr>
                <w:bCs/>
                <w:sz w:val="20"/>
                <w:szCs w:val="20"/>
              </w:rPr>
            </w:pPr>
            <w:r w:rsidRPr="008B6A75">
              <w:rPr>
                <w:bCs/>
                <w:sz w:val="20"/>
                <w:szCs w:val="20"/>
              </w:rPr>
              <w:t>Непрограммные направления бюджета</w:t>
            </w:r>
          </w:p>
        </w:tc>
        <w:tc>
          <w:tcPr>
            <w:tcW w:w="720" w:type="dxa"/>
            <w:tcBorders>
              <w:top w:val="nil"/>
              <w:left w:val="single" w:sz="4" w:space="0" w:color="auto"/>
              <w:bottom w:val="single" w:sz="4" w:space="0" w:color="auto"/>
              <w:right w:val="nil"/>
            </w:tcBorders>
            <w:shd w:val="clear" w:color="auto" w:fill="auto"/>
            <w:noWrap/>
            <w:vAlign w:val="center"/>
            <w:hideMark/>
          </w:tcPr>
          <w:p w14:paraId="33A5ED9D" w14:textId="77777777" w:rsidR="00387142" w:rsidRPr="008B6A75" w:rsidRDefault="00387142" w:rsidP="00387142">
            <w:pPr>
              <w:jc w:val="center"/>
              <w:rPr>
                <w:bCs/>
                <w:sz w:val="20"/>
                <w:szCs w:val="20"/>
              </w:rPr>
            </w:pPr>
            <w:r w:rsidRPr="008B6A75">
              <w:rPr>
                <w:bCs/>
                <w:sz w:val="20"/>
                <w:szCs w:val="20"/>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F9976E0" w14:textId="77777777" w:rsidR="00387142" w:rsidRPr="008B6A75" w:rsidRDefault="00387142" w:rsidP="00387142">
            <w:pPr>
              <w:jc w:val="center"/>
              <w:rPr>
                <w:bCs/>
                <w:sz w:val="20"/>
                <w:szCs w:val="20"/>
              </w:rPr>
            </w:pPr>
            <w:r w:rsidRPr="008B6A75">
              <w:rPr>
                <w:bCs/>
                <w:sz w:val="20"/>
                <w:szCs w:val="20"/>
              </w:rPr>
              <w:t>01</w:t>
            </w:r>
          </w:p>
        </w:tc>
        <w:tc>
          <w:tcPr>
            <w:tcW w:w="1516" w:type="dxa"/>
            <w:tcBorders>
              <w:top w:val="nil"/>
              <w:left w:val="single" w:sz="4" w:space="0" w:color="auto"/>
              <w:bottom w:val="single" w:sz="4" w:space="0" w:color="auto"/>
              <w:right w:val="nil"/>
            </w:tcBorders>
            <w:shd w:val="clear" w:color="auto" w:fill="auto"/>
            <w:noWrap/>
            <w:vAlign w:val="center"/>
            <w:hideMark/>
          </w:tcPr>
          <w:p w14:paraId="3D725D38" w14:textId="77777777" w:rsidR="00387142" w:rsidRPr="008B6A75" w:rsidRDefault="00387142" w:rsidP="00387142">
            <w:pPr>
              <w:jc w:val="center"/>
              <w:rPr>
                <w:bCs/>
                <w:sz w:val="20"/>
                <w:szCs w:val="20"/>
              </w:rPr>
            </w:pPr>
            <w:r w:rsidRPr="008B6A75">
              <w:rPr>
                <w:bCs/>
                <w:sz w:val="20"/>
                <w:szCs w:val="20"/>
              </w:rPr>
              <w:t>99.0.00.00000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76F1245"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B1CD49C" w14:textId="77777777" w:rsidR="00387142" w:rsidRPr="008B6A75" w:rsidRDefault="00387142" w:rsidP="00387142">
            <w:pPr>
              <w:jc w:val="right"/>
              <w:rPr>
                <w:bCs/>
                <w:sz w:val="20"/>
                <w:szCs w:val="20"/>
              </w:rPr>
            </w:pPr>
            <w:r w:rsidRPr="008B6A75">
              <w:rPr>
                <w:bCs/>
                <w:sz w:val="20"/>
                <w:szCs w:val="20"/>
              </w:rPr>
              <w:t>1 469 158,85</w:t>
            </w:r>
          </w:p>
        </w:tc>
        <w:tc>
          <w:tcPr>
            <w:tcW w:w="992" w:type="dxa"/>
            <w:tcBorders>
              <w:top w:val="nil"/>
              <w:left w:val="single" w:sz="4" w:space="0" w:color="auto"/>
              <w:bottom w:val="single" w:sz="4" w:space="0" w:color="auto"/>
              <w:right w:val="nil"/>
            </w:tcBorders>
            <w:shd w:val="clear" w:color="auto" w:fill="auto"/>
            <w:vAlign w:val="center"/>
            <w:hideMark/>
          </w:tcPr>
          <w:p w14:paraId="0C151B99" w14:textId="77777777" w:rsidR="00387142" w:rsidRPr="008B6A75" w:rsidRDefault="00387142" w:rsidP="00387142">
            <w:pPr>
              <w:jc w:val="right"/>
              <w:rPr>
                <w:bCs/>
                <w:sz w:val="20"/>
                <w:szCs w:val="20"/>
              </w:rPr>
            </w:pPr>
            <w:r w:rsidRPr="008B6A75">
              <w:rPr>
                <w:bCs/>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20D07588" w14:textId="77777777" w:rsidR="00387142" w:rsidRPr="008B6A75" w:rsidRDefault="00387142" w:rsidP="00387142">
            <w:pPr>
              <w:jc w:val="right"/>
              <w:rPr>
                <w:bCs/>
                <w:sz w:val="20"/>
                <w:szCs w:val="20"/>
              </w:rPr>
            </w:pPr>
            <w:r w:rsidRPr="008B6A75">
              <w:rPr>
                <w:bCs/>
                <w:sz w:val="20"/>
                <w:szCs w:val="20"/>
              </w:rPr>
              <w:t>0,00</w:t>
            </w:r>
          </w:p>
        </w:tc>
      </w:tr>
      <w:tr w:rsidR="00387142" w:rsidRPr="008B6A75" w14:paraId="322B3949" w14:textId="77777777" w:rsidTr="00387142">
        <w:trPr>
          <w:trHeight w:val="345"/>
        </w:trPr>
        <w:tc>
          <w:tcPr>
            <w:tcW w:w="3261" w:type="dxa"/>
            <w:tcBorders>
              <w:top w:val="nil"/>
              <w:left w:val="single" w:sz="4" w:space="0" w:color="auto"/>
              <w:bottom w:val="single" w:sz="4" w:space="0" w:color="auto"/>
              <w:right w:val="nil"/>
            </w:tcBorders>
            <w:shd w:val="clear" w:color="auto" w:fill="auto"/>
            <w:vAlign w:val="center"/>
            <w:hideMark/>
          </w:tcPr>
          <w:p w14:paraId="547CCDAB" w14:textId="77777777" w:rsidR="00387142" w:rsidRPr="008B6A75" w:rsidRDefault="00387142" w:rsidP="00387142">
            <w:pPr>
              <w:rPr>
                <w:bCs/>
                <w:sz w:val="20"/>
                <w:szCs w:val="20"/>
              </w:rPr>
            </w:pPr>
            <w:r w:rsidRPr="008B6A75">
              <w:rPr>
                <w:bCs/>
                <w:sz w:val="20"/>
                <w:szCs w:val="20"/>
              </w:rPr>
              <w:t>Резервные фонды местного бюджета</w:t>
            </w:r>
          </w:p>
        </w:tc>
        <w:tc>
          <w:tcPr>
            <w:tcW w:w="720" w:type="dxa"/>
            <w:tcBorders>
              <w:top w:val="nil"/>
              <w:left w:val="single" w:sz="4" w:space="0" w:color="auto"/>
              <w:bottom w:val="single" w:sz="4" w:space="0" w:color="auto"/>
              <w:right w:val="nil"/>
            </w:tcBorders>
            <w:shd w:val="clear" w:color="auto" w:fill="auto"/>
            <w:noWrap/>
            <w:vAlign w:val="center"/>
            <w:hideMark/>
          </w:tcPr>
          <w:p w14:paraId="52EB02D8" w14:textId="77777777" w:rsidR="00387142" w:rsidRPr="008B6A75" w:rsidRDefault="00387142" w:rsidP="00387142">
            <w:pPr>
              <w:jc w:val="center"/>
              <w:rPr>
                <w:bCs/>
                <w:sz w:val="20"/>
                <w:szCs w:val="20"/>
              </w:rPr>
            </w:pPr>
            <w:r w:rsidRPr="008B6A75">
              <w:rPr>
                <w:bCs/>
                <w:sz w:val="20"/>
                <w:szCs w:val="20"/>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CD8FDA0" w14:textId="77777777" w:rsidR="00387142" w:rsidRPr="008B6A75" w:rsidRDefault="00387142" w:rsidP="00387142">
            <w:pPr>
              <w:jc w:val="center"/>
              <w:rPr>
                <w:bCs/>
                <w:sz w:val="20"/>
                <w:szCs w:val="20"/>
              </w:rPr>
            </w:pPr>
            <w:r w:rsidRPr="008B6A75">
              <w:rPr>
                <w:bCs/>
                <w:sz w:val="20"/>
                <w:szCs w:val="20"/>
              </w:rPr>
              <w:t>01</w:t>
            </w:r>
          </w:p>
        </w:tc>
        <w:tc>
          <w:tcPr>
            <w:tcW w:w="1516" w:type="dxa"/>
            <w:tcBorders>
              <w:top w:val="nil"/>
              <w:left w:val="single" w:sz="4" w:space="0" w:color="auto"/>
              <w:bottom w:val="single" w:sz="4" w:space="0" w:color="auto"/>
              <w:right w:val="nil"/>
            </w:tcBorders>
            <w:shd w:val="clear" w:color="auto" w:fill="auto"/>
            <w:noWrap/>
            <w:vAlign w:val="center"/>
            <w:hideMark/>
          </w:tcPr>
          <w:p w14:paraId="4B869ED8" w14:textId="77777777" w:rsidR="00387142" w:rsidRPr="008B6A75" w:rsidRDefault="00387142" w:rsidP="00387142">
            <w:pPr>
              <w:jc w:val="center"/>
              <w:rPr>
                <w:bCs/>
                <w:sz w:val="20"/>
                <w:szCs w:val="20"/>
              </w:rPr>
            </w:pPr>
            <w:r w:rsidRPr="008B6A75">
              <w:rPr>
                <w:bCs/>
                <w:sz w:val="20"/>
                <w:szCs w:val="20"/>
              </w:rPr>
              <w:t>99.0.00.01700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6889565"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0D7FDC3" w14:textId="77777777" w:rsidR="00387142" w:rsidRPr="008B6A75" w:rsidRDefault="00387142" w:rsidP="00387142">
            <w:pPr>
              <w:jc w:val="right"/>
              <w:rPr>
                <w:bCs/>
                <w:sz w:val="20"/>
                <w:szCs w:val="20"/>
              </w:rPr>
            </w:pPr>
            <w:r w:rsidRPr="008B6A75">
              <w:rPr>
                <w:bCs/>
                <w:sz w:val="20"/>
                <w:szCs w:val="20"/>
              </w:rPr>
              <w:t>551 000,00</w:t>
            </w:r>
          </w:p>
        </w:tc>
        <w:tc>
          <w:tcPr>
            <w:tcW w:w="992" w:type="dxa"/>
            <w:tcBorders>
              <w:top w:val="nil"/>
              <w:left w:val="single" w:sz="4" w:space="0" w:color="auto"/>
              <w:bottom w:val="single" w:sz="4" w:space="0" w:color="auto"/>
              <w:right w:val="nil"/>
            </w:tcBorders>
            <w:shd w:val="clear" w:color="auto" w:fill="auto"/>
            <w:vAlign w:val="center"/>
            <w:hideMark/>
          </w:tcPr>
          <w:p w14:paraId="392EF2EA" w14:textId="77777777" w:rsidR="00387142" w:rsidRPr="008B6A75" w:rsidRDefault="00387142" w:rsidP="00387142">
            <w:pPr>
              <w:jc w:val="right"/>
              <w:rPr>
                <w:bCs/>
                <w:sz w:val="20"/>
                <w:szCs w:val="20"/>
              </w:rPr>
            </w:pPr>
            <w:r w:rsidRPr="008B6A75">
              <w:rPr>
                <w:bCs/>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5929C303" w14:textId="77777777" w:rsidR="00387142" w:rsidRPr="008B6A75" w:rsidRDefault="00387142" w:rsidP="00387142">
            <w:pPr>
              <w:jc w:val="right"/>
              <w:rPr>
                <w:bCs/>
                <w:sz w:val="20"/>
                <w:szCs w:val="20"/>
              </w:rPr>
            </w:pPr>
            <w:r w:rsidRPr="008B6A75">
              <w:rPr>
                <w:bCs/>
                <w:sz w:val="20"/>
                <w:szCs w:val="20"/>
              </w:rPr>
              <w:t>0,00</w:t>
            </w:r>
          </w:p>
        </w:tc>
      </w:tr>
      <w:tr w:rsidR="00387142" w:rsidRPr="008B6A75" w14:paraId="0E80871C" w14:textId="77777777" w:rsidTr="00387142">
        <w:trPr>
          <w:trHeight w:val="345"/>
        </w:trPr>
        <w:tc>
          <w:tcPr>
            <w:tcW w:w="3261" w:type="dxa"/>
            <w:tcBorders>
              <w:top w:val="nil"/>
              <w:left w:val="single" w:sz="4" w:space="0" w:color="auto"/>
              <w:bottom w:val="single" w:sz="4" w:space="0" w:color="auto"/>
              <w:right w:val="nil"/>
            </w:tcBorders>
            <w:shd w:val="clear" w:color="auto" w:fill="auto"/>
            <w:vAlign w:val="center"/>
            <w:hideMark/>
          </w:tcPr>
          <w:p w14:paraId="3F416E46" w14:textId="77777777" w:rsidR="00387142" w:rsidRPr="008B6A75" w:rsidRDefault="00387142" w:rsidP="00387142">
            <w:pPr>
              <w:rPr>
                <w:sz w:val="20"/>
                <w:szCs w:val="20"/>
              </w:rPr>
            </w:pPr>
            <w:r w:rsidRPr="008B6A75">
              <w:rPr>
                <w:sz w:val="20"/>
                <w:szCs w:val="20"/>
              </w:rPr>
              <w:t>Межбюджетные трансферты</w:t>
            </w:r>
          </w:p>
        </w:tc>
        <w:tc>
          <w:tcPr>
            <w:tcW w:w="720" w:type="dxa"/>
            <w:tcBorders>
              <w:top w:val="nil"/>
              <w:left w:val="single" w:sz="4" w:space="0" w:color="auto"/>
              <w:bottom w:val="single" w:sz="4" w:space="0" w:color="auto"/>
              <w:right w:val="nil"/>
            </w:tcBorders>
            <w:shd w:val="clear" w:color="auto" w:fill="auto"/>
            <w:noWrap/>
            <w:vAlign w:val="center"/>
            <w:hideMark/>
          </w:tcPr>
          <w:p w14:paraId="4C305B94" w14:textId="77777777" w:rsidR="00387142" w:rsidRPr="008B6A75" w:rsidRDefault="00387142" w:rsidP="00387142">
            <w:pPr>
              <w:jc w:val="center"/>
              <w:rPr>
                <w:sz w:val="20"/>
                <w:szCs w:val="20"/>
              </w:rPr>
            </w:pPr>
            <w:r w:rsidRPr="008B6A75">
              <w:rPr>
                <w:sz w:val="20"/>
                <w:szCs w:val="20"/>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6362909" w14:textId="77777777" w:rsidR="00387142" w:rsidRPr="008B6A75" w:rsidRDefault="00387142" w:rsidP="00387142">
            <w:pPr>
              <w:jc w:val="center"/>
              <w:rPr>
                <w:sz w:val="20"/>
                <w:szCs w:val="20"/>
              </w:rPr>
            </w:pPr>
            <w:r w:rsidRPr="008B6A75">
              <w:rPr>
                <w:sz w:val="20"/>
                <w:szCs w:val="20"/>
              </w:rPr>
              <w:t>01</w:t>
            </w:r>
          </w:p>
        </w:tc>
        <w:tc>
          <w:tcPr>
            <w:tcW w:w="1516" w:type="dxa"/>
            <w:tcBorders>
              <w:top w:val="nil"/>
              <w:left w:val="single" w:sz="4" w:space="0" w:color="auto"/>
              <w:bottom w:val="single" w:sz="4" w:space="0" w:color="auto"/>
              <w:right w:val="nil"/>
            </w:tcBorders>
            <w:shd w:val="clear" w:color="auto" w:fill="auto"/>
            <w:noWrap/>
            <w:vAlign w:val="center"/>
            <w:hideMark/>
          </w:tcPr>
          <w:p w14:paraId="16D12A2B" w14:textId="77777777" w:rsidR="00387142" w:rsidRPr="008B6A75" w:rsidRDefault="00387142" w:rsidP="00387142">
            <w:pPr>
              <w:jc w:val="center"/>
              <w:rPr>
                <w:sz w:val="20"/>
                <w:szCs w:val="20"/>
              </w:rPr>
            </w:pPr>
            <w:r w:rsidRPr="008B6A75">
              <w:rPr>
                <w:sz w:val="20"/>
                <w:szCs w:val="20"/>
              </w:rPr>
              <w:t>99.0.00.01700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14B7CAC" w14:textId="77777777" w:rsidR="00387142" w:rsidRPr="008B6A75" w:rsidRDefault="00387142" w:rsidP="00387142">
            <w:pPr>
              <w:jc w:val="center"/>
              <w:rPr>
                <w:sz w:val="20"/>
                <w:szCs w:val="20"/>
              </w:rPr>
            </w:pPr>
            <w:r w:rsidRPr="008B6A75">
              <w:rPr>
                <w:sz w:val="20"/>
                <w:szCs w:val="20"/>
              </w:rPr>
              <w:t>500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7FAD681" w14:textId="77777777" w:rsidR="00387142" w:rsidRPr="008B6A75" w:rsidRDefault="00387142" w:rsidP="00387142">
            <w:pPr>
              <w:jc w:val="right"/>
              <w:rPr>
                <w:sz w:val="20"/>
                <w:szCs w:val="20"/>
              </w:rPr>
            </w:pPr>
            <w:r w:rsidRPr="008B6A75">
              <w:rPr>
                <w:sz w:val="20"/>
                <w:szCs w:val="20"/>
              </w:rPr>
              <w:t>551 000,00</w:t>
            </w:r>
          </w:p>
        </w:tc>
        <w:tc>
          <w:tcPr>
            <w:tcW w:w="992" w:type="dxa"/>
            <w:tcBorders>
              <w:top w:val="nil"/>
              <w:left w:val="single" w:sz="4" w:space="0" w:color="auto"/>
              <w:bottom w:val="single" w:sz="4" w:space="0" w:color="auto"/>
              <w:right w:val="nil"/>
            </w:tcBorders>
            <w:shd w:val="clear" w:color="auto" w:fill="auto"/>
            <w:vAlign w:val="center"/>
            <w:hideMark/>
          </w:tcPr>
          <w:p w14:paraId="6D041529" w14:textId="77777777" w:rsidR="00387142" w:rsidRPr="008B6A75" w:rsidRDefault="00387142" w:rsidP="00387142">
            <w:pPr>
              <w:jc w:val="right"/>
              <w:rPr>
                <w:sz w:val="20"/>
                <w:szCs w:val="20"/>
              </w:rPr>
            </w:pPr>
            <w:r w:rsidRPr="008B6A75">
              <w:rPr>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50ACC14D" w14:textId="77777777" w:rsidR="00387142" w:rsidRPr="008B6A75" w:rsidRDefault="00387142" w:rsidP="00387142">
            <w:pPr>
              <w:jc w:val="right"/>
              <w:rPr>
                <w:sz w:val="20"/>
                <w:szCs w:val="20"/>
              </w:rPr>
            </w:pPr>
            <w:r w:rsidRPr="008B6A75">
              <w:rPr>
                <w:sz w:val="20"/>
                <w:szCs w:val="20"/>
              </w:rPr>
              <w:t>0,00</w:t>
            </w:r>
          </w:p>
        </w:tc>
      </w:tr>
      <w:tr w:rsidR="00387142" w:rsidRPr="008B6A75" w14:paraId="0BE894FB" w14:textId="77777777" w:rsidTr="00387142">
        <w:trPr>
          <w:trHeight w:val="345"/>
        </w:trPr>
        <w:tc>
          <w:tcPr>
            <w:tcW w:w="3261" w:type="dxa"/>
            <w:tcBorders>
              <w:top w:val="nil"/>
              <w:left w:val="single" w:sz="4" w:space="0" w:color="auto"/>
              <w:bottom w:val="single" w:sz="4" w:space="0" w:color="auto"/>
              <w:right w:val="nil"/>
            </w:tcBorders>
            <w:shd w:val="clear" w:color="auto" w:fill="auto"/>
            <w:vAlign w:val="center"/>
            <w:hideMark/>
          </w:tcPr>
          <w:p w14:paraId="73CBF25E" w14:textId="77777777" w:rsidR="00387142" w:rsidRPr="008B6A75" w:rsidRDefault="00387142" w:rsidP="00387142">
            <w:pPr>
              <w:rPr>
                <w:sz w:val="20"/>
                <w:szCs w:val="20"/>
              </w:rPr>
            </w:pPr>
            <w:r w:rsidRPr="008B6A75">
              <w:rPr>
                <w:sz w:val="20"/>
                <w:szCs w:val="20"/>
              </w:rPr>
              <w:t>Иные межбюджетные трансферты</w:t>
            </w:r>
          </w:p>
        </w:tc>
        <w:tc>
          <w:tcPr>
            <w:tcW w:w="720" w:type="dxa"/>
            <w:tcBorders>
              <w:top w:val="nil"/>
              <w:left w:val="single" w:sz="4" w:space="0" w:color="auto"/>
              <w:bottom w:val="single" w:sz="4" w:space="0" w:color="auto"/>
              <w:right w:val="nil"/>
            </w:tcBorders>
            <w:shd w:val="clear" w:color="auto" w:fill="auto"/>
            <w:noWrap/>
            <w:vAlign w:val="center"/>
            <w:hideMark/>
          </w:tcPr>
          <w:p w14:paraId="721DFF00" w14:textId="77777777" w:rsidR="00387142" w:rsidRPr="008B6A75" w:rsidRDefault="00387142" w:rsidP="00387142">
            <w:pPr>
              <w:jc w:val="center"/>
              <w:rPr>
                <w:sz w:val="20"/>
                <w:szCs w:val="20"/>
              </w:rPr>
            </w:pPr>
            <w:r w:rsidRPr="008B6A75">
              <w:rPr>
                <w:sz w:val="20"/>
                <w:szCs w:val="20"/>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3CC90C6" w14:textId="77777777" w:rsidR="00387142" w:rsidRPr="008B6A75" w:rsidRDefault="00387142" w:rsidP="00387142">
            <w:pPr>
              <w:jc w:val="center"/>
              <w:rPr>
                <w:sz w:val="20"/>
                <w:szCs w:val="20"/>
              </w:rPr>
            </w:pPr>
            <w:r w:rsidRPr="008B6A75">
              <w:rPr>
                <w:sz w:val="20"/>
                <w:szCs w:val="20"/>
              </w:rPr>
              <w:t>01</w:t>
            </w:r>
          </w:p>
        </w:tc>
        <w:tc>
          <w:tcPr>
            <w:tcW w:w="1516" w:type="dxa"/>
            <w:tcBorders>
              <w:top w:val="nil"/>
              <w:left w:val="single" w:sz="4" w:space="0" w:color="auto"/>
              <w:bottom w:val="single" w:sz="4" w:space="0" w:color="auto"/>
              <w:right w:val="nil"/>
            </w:tcBorders>
            <w:shd w:val="clear" w:color="auto" w:fill="auto"/>
            <w:noWrap/>
            <w:vAlign w:val="center"/>
            <w:hideMark/>
          </w:tcPr>
          <w:p w14:paraId="59DAB373" w14:textId="77777777" w:rsidR="00387142" w:rsidRPr="008B6A75" w:rsidRDefault="00387142" w:rsidP="00387142">
            <w:pPr>
              <w:jc w:val="center"/>
              <w:rPr>
                <w:sz w:val="20"/>
                <w:szCs w:val="20"/>
              </w:rPr>
            </w:pPr>
            <w:r w:rsidRPr="008B6A75">
              <w:rPr>
                <w:sz w:val="20"/>
                <w:szCs w:val="20"/>
              </w:rPr>
              <w:t>99.0.00.01700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6233378" w14:textId="77777777" w:rsidR="00387142" w:rsidRPr="008B6A75" w:rsidRDefault="00387142" w:rsidP="00387142">
            <w:pPr>
              <w:jc w:val="center"/>
              <w:rPr>
                <w:sz w:val="20"/>
                <w:szCs w:val="20"/>
              </w:rPr>
            </w:pPr>
            <w:r w:rsidRPr="008B6A75">
              <w:rPr>
                <w:sz w:val="20"/>
                <w:szCs w:val="20"/>
              </w:rPr>
              <w:t>540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F7A639F" w14:textId="77777777" w:rsidR="00387142" w:rsidRPr="008B6A75" w:rsidRDefault="00387142" w:rsidP="00387142">
            <w:pPr>
              <w:jc w:val="right"/>
              <w:rPr>
                <w:sz w:val="20"/>
                <w:szCs w:val="20"/>
              </w:rPr>
            </w:pPr>
            <w:r w:rsidRPr="008B6A75">
              <w:rPr>
                <w:sz w:val="20"/>
                <w:szCs w:val="20"/>
              </w:rPr>
              <w:t>551 000,00</w:t>
            </w:r>
          </w:p>
        </w:tc>
        <w:tc>
          <w:tcPr>
            <w:tcW w:w="992" w:type="dxa"/>
            <w:tcBorders>
              <w:top w:val="nil"/>
              <w:left w:val="single" w:sz="4" w:space="0" w:color="auto"/>
              <w:bottom w:val="single" w:sz="4" w:space="0" w:color="auto"/>
              <w:right w:val="nil"/>
            </w:tcBorders>
            <w:shd w:val="clear" w:color="auto" w:fill="auto"/>
            <w:vAlign w:val="center"/>
            <w:hideMark/>
          </w:tcPr>
          <w:p w14:paraId="154CD395" w14:textId="77777777" w:rsidR="00387142" w:rsidRPr="008B6A75" w:rsidRDefault="00387142" w:rsidP="00387142">
            <w:pPr>
              <w:jc w:val="right"/>
              <w:rPr>
                <w:sz w:val="20"/>
                <w:szCs w:val="20"/>
              </w:rPr>
            </w:pPr>
            <w:r w:rsidRPr="008B6A75">
              <w:rPr>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3F5DC8AE" w14:textId="77777777" w:rsidR="00387142" w:rsidRPr="008B6A75" w:rsidRDefault="00387142" w:rsidP="00387142">
            <w:pPr>
              <w:jc w:val="right"/>
              <w:rPr>
                <w:sz w:val="20"/>
                <w:szCs w:val="20"/>
              </w:rPr>
            </w:pPr>
            <w:r w:rsidRPr="008B6A75">
              <w:rPr>
                <w:sz w:val="20"/>
                <w:szCs w:val="20"/>
              </w:rPr>
              <w:t>0,00</w:t>
            </w:r>
          </w:p>
        </w:tc>
      </w:tr>
      <w:tr w:rsidR="00387142" w:rsidRPr="008B6A75" w14:paraId="52084A87" w14:textId="77777777" w:rsidTr="00387142">
        <w:trPr>
          <w:trHeight w:val="1440"/>
        </w:trPr>
        <w:tc>
          <w:tcPr>
            <w:tcW w:w="3261" w:type="dxa"/>
            <w:tcBorders>
              <w:top w:val="nil"/>
              <w:left w:val="single" w:sz="4" w:space="0" w:color="auto"/>
              <w:bottom w:val="single" w:sz="4" w:space="0" w:color="auto"/>
              <w:right w:val="nil"/>
            </w:tcBorders>
            <w:shd w:val="clear" w:color="auto" w:fill="auto"/>
            <w:vAlign w:val="center"/>
            <w:hideMark/>
          </w:tcPr>
          <w:p w14:paraId="74A80585" w14:textId="77777777" w:rsidR="00387142" w:rsidRPr="008B6A75" w:rsidRDefault="00387142" w:rsidP="00387142">
            <w:pPr>
              <w:rPr>
                <w:bCs/>
                <w:sz w:val="20"/>
                <w:szCs w:val="20"/>
              </w:rPr>
            </w:pPr>
            <w:r w:rsidRPr="008B6A75">
              <w:rPr>
                <w:bCs/>
                <w:sz w:val="20"/>
                <w:szCs w:val="20"/>
              </w:rPr>
              <w:t xml:space="preserve">Реализация мероприятий по обеспечению сбалансированности местных </w:t>
            </w:r>
            <w:proofErr w:type="gramStart"/>
            <w:r w:rsidRPr="008B6A75">
              <w:rPr>
                <w:bCs/>
                <w:sz w:val="20"/>
                <w:szCs w:val="20"/>
              </w:rPr>
              <w:t>бюджетов  государственной</w:t>
            </w:r>
            <w:proofErr w:type="gramEnd"/>
            <w:r w:rsidRPr="008B6A75">
              <w:rPr>
                <w:bCs/>
                <w:sz w:val="20"/>
                <w:szCs w:val="20"/>
              </w:rPr>
              <w:t xml:space="preserve"> программы Новосибирской области "Управление  финансами в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14:paraId="6CE8C330" w14:textId="77777777" w:rsidR="00387142" w:rsidRPr="008B6A75" w:rsidRDefault="00387142" w:rsidP="00387142">
            <w:pPr>
              <w:jc w:val="center"/>
              <w:rPr>
                <w:bCs/>
                <w:sz w:val="20"/>
                <w:szCs w:val="20"/>
              </w:rPr>
            </w:pPr>
            <w:r w:rsidRPr="008B6A75">
              <w:rPr>
                <w:bCs/>
                <w:sz w:val="20"/>
                <w:szCs w:val="20"/>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894FCA7" w14:textId="77777777" w:rsidR="00387142" w:rsidRPr="008B6A75" w:rsidRDefault="00387142" w:rsidP="00387142">
            <w:pPr>
              <w:jc w:val="center"/>
              <w:rPr>
                <w:bCs/>
                <w:sz w:val="20"/>
                <w:szCs w:val="20"/>
              </w:rPr>
            </w:pPr>
            <w:r w:rsidRPr="008B6A75">
              <w:rPr>
                <w:bCs/>
                <w:sz w:val="20"/>
                <w:szCs w:val="20"/>
              </w:rPr>
              <w:t>01</w:t>
            </w:r>
          </w:p>
        </w:tc>
        <w:tc>
          <w:tcPr>
            <w:tcW w:w="1516" w:type="dxa"/>
            <w:tcBorders>
              <w:top w:val="nil"/>
              <w:left w:val="single" w:sz="4" w:space="0" w:color="auto"/>
              <w:bottom w:val="single" w:sz="4" w:space="0" w:color="auto"/>
              <w:right w:val="nil"/>
            </w:tcBorders>
            <w:shd w:val="clear" w:color="auto" w:fill="auto"/>
            <w:noWrap/>
            <w:vAlign w:val="center"/>
            <w:hideMark/>
          </w:tcPr>
          <w:p w14:paraId="46AD6204" w14:textId="77777777" w:rsidR="00387142" w:rsidRPr="008B6A75" w:rsidRDefault="00387142" w:rsidP="00387142">
            <w:pPr>
              <w:jc w:val="center"/>
              <w:rPr>
                <w:bCs/>
                <w:sz w:val="20"/>
                <w:szCs w:val="20"/>
              </w:rPr>
            </w:pPr>
            <w:r w:rsidRPr="008B6A75">
              <w:rPr>
                <w:bCs/>
                <w:sz w:val="20"/>
                <w:szCs w:val="20"/>
              </w:rPr>
              <w:t>99.0.00.70510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4961B02"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D96D041" w14:textId="77777777" w:rsidR="00387142" w:rsidRPr="008B6A75" w:rsidRDefault="00387142" w:rsidP="00387142">
            <w:pPr>
              <w:jc w:val="right"/>
              <w:rPr>
                <w:bCs/>
                <w:sz w:val="20"/>
                <w:szCs w:val="20"/>
              </w:rPr>
            </w:pPr>
            <w:r w:rsidRPr="008B6A75">
              <w:rPr>
                <w:bCs/>
                <w:sz w:val="20"/>
                <w:szCs w:val="20"/>
              </w:rPr>
              <w:t>918 158,85</w:t>
            </w:r>
          </w:p>
        </w:tc>
        <w:tc>
          <w:tcPr>
            <w:tcW w:w="992" w:type="dxa"/>
            <w:tcBorders>
              <w:top w:val="nil"/>
              <w:left w:val="single" w:sz="4" w:space="0" w:color="auto"/>
              <w:bottom w:val="single" w:sz="4" w:space="0" w:color="auto"/>
              <w:right w:val="nil"/>
            </w:tcBorders>
            <w:shd w:val="clear" w:color="auto" w:fill="auto"/>
            <w:vAlign w:val="center"/>
            <w:hideMark/>
          </w:tcPr>
          <w:p w14:paraId="6DC00DC0" w14:textId="77777777" w:rsidR="00387142" w:rsidRPr="008B6A75" w:rsidRDefault="00387142" w:rsidP="00387142">
            <w:pPr>
              <w:jc w:val="right"/>
              <w:rPr>
                <w:bCs/>
                <w:sz w:val="20"/>
                <w:szCs w:val="20"/>
              </w:rPr>
            </w:pPr>
            <w:r w:rsidRPr="008B6A75">
              <w:rPr>
                <w:bCs/>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7BDC6B2B" w14:textId="77777777" w:rsidR="00387142" w:rsidRPr="008B6A75" w:rsidRDefault="00387142" w:rsidP="00387142">
            <w:pPr>
              <w:jc w:val="right"/>
              <w:rPr>
                <w:bCs/>
                <w:sz w:val="20"/>
                <w:szCs w:val="20"/>
              </w:rPr>
            </w:pPr>
            <w:r w:rsidRPr="008B6A75">
              <w:rPr>
                <w:bCs/>
                <w:sz w:val="20"/>
                <w:szCs w:val="20"/>
              </w:rPr>
              <w:t>0,00</w:t>
            </w:r>
          </w:p>
        </w:tc>
      </w:tr>
      <w:tr w:rsidR="00387142" w:rsidRPr="008B6A75" w14:paraId="12BCC171" w14:textId="77777777" w:rsidTr="00387142">
        <w:trPr>
          <w:trHeight w:val="1440"/>
        </w:trPr>
        <w:tc>
          <w:tcPr>
            <w:tcW w:w="3261" w:type="dxa"/>
            <w:tcBorders>
              <w:top w:val="nil"/>
              <w:left w:val="single" w:sz="4" w:space="0" w:color="auto"/>
              <w:bottom w:val="single" w:sz="4" w:space="0" w:color="auto"/>
              <w:right w:val="nil"/>
            </w:tcBorders>
            <w:shd w:val="clear" w:color="auto" w:fill="auto"/>
            <w:vAlign w:val="center"/>
            <w:hideMark/>
          </w:tcPr>
          <w:p w14:paraId="23200B44" w14:textId="77777777" w:rsidR="00387142" w:rsidRPr="008B6A75" w:rsidRDefault="00387142" w:rsidP="00387142">
            <w:pPr>
              <w:rPr>
                <w:sz w:val="20"/>
                <w:szCs w:val="20"/>
              </w:rPr>
            </w:pPr>
            <w:r w:rsidRPr="008B6A7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14:paraId="1F5CEA99" w14:textId="77777777" w:rsidR="00387142" w:rsidRPr="008B6A75" w:rsidRDefault="00387142" w:rsidP="00387142">
            <w:pPr>
              <w:jc w:val="center"/>
              <w:rPr>
                <w:sz w:val="20"/>
                <w:szCs w:val="20"/>
              </w:rPr>
            </w:pPr>
            <w:r w:rsidRPr="008B6A75">
              <w:rPr>
                <w:sz w:val="20"/>
                <w:szCs w:val="20"/>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AA0C094" w14:textId="77777777" w:rsidR="00387142" w:rsidRPr="008B6A75" w:rsidRDefault="00387142" w:rsidP="00387142">
            <w:pPr>
              <w:jc w:val="center"/>
              <w:rPr>
                <w:sz w:val="20"/>
                <w:szCs w:val="20"/>
              </w:rPr>
            </w:pPr>
            <w:r w:rsidRPr="008B6A75">
              <w:rPr>
                <w:sz w:val="20"/>
                <w:szCs w:val="20"/>
              </w:rPr>
              <w:t>01</w:t>
            </w:r>
          </w:p>
        </w:tc>
        <w:tc>
          <w:tcPr>
            <w:tcW w:w="1516" w:type="dxa"/>
            <w:tcBorders>
              <w:top w:val="nil"/>
              <w:left w:val="single" w:sz="4" w:space="0" w:color="auto"/>
              <w:bottom w:val="single" w:sz="4" w:space="0" w:color="auto"/>
              <w:right w:val="nil"/>
            </w:tcBorders>
            <w:shd w:val="clear" w:color="auto" w:fill="auto"/>
            <w:noWrap/>
            <w:vAlign w:val="center"/>
            <w:hideMark/>
          </w:tcPr>
          <w:p w14:paraId="1408D52B" w14:textId="77777777" w:rsidR="00387142" w:rsidRPr="008B6A75" w:rsidRDefault="00387142" w:rsidP="00387142">
            <w:pPr>
              <w:jc w:val="center"/>
              <w:rPr>
                <w:sz w:val="20"/>
                <w:szCs w:val="20"/>
              </w:rPr>
            </w:pPr>
            <w:r w:rsidRPr="008B6A75">
              <w:rPr>
                <w:sz w:val="20"/>
                <w:szCs w:val="20"/>
              </w:rPr>
              <w:t>99.0.00.70510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1E69F93" w14:textId="77777777" w:rsidR="00387142" w:rsidRPr="008B6A75" w:rsidRDefault="00387142" w:rsidP="00387142">
            <w:pPr>
              <w:jc w:val="center"/>
              <w:rPr>
                <w:sz w:val="20"/>
                <w:szCs w:val="20"/>
              </w:rPr>
            </w:pPr>
            <w:r w:rsidRPr="008B6A75">
              <w:rPr>
                <w:sz w:val="20"/>
                <w:szCs w:val="20"/>
              </w:rPr>
              <w:t>100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78492C8" w14:textId="77777777" w:rsidR="00387142" w:rsidRPr="008B6A75" w:rsidRDefault="00387142" w:rsidP="00387142">
            <w:pPr>
              <w:jc w:val="right"/>
              <w:rPr>
                <w:sz w:val="20"/>
                <w:szCs w:val="20"/>
              </w:rPr>
            </w:pPr>
            <w:r w:rsidRPr="008B6A75">
              <w:rPr>
                <w:sz w:val="20"/>
                <w:szCs w:val="20"/>
              </w:rPr>
              <w:t>918 158,85</w:t>
            </w:r>
          </w:p>
        </w:tc>
        <w:tc>
          <w:tcPr>
            <w:tcW w:w="992" w:type="dxa"/>
            <w:tcBorders>
              <w:top w:val="nil"/>
              <w:left w:val="single" w:sz="4" w:space="0" w:color="auto"/>
              <w:bottom w:val="single" w:sz="4" w:space="0" w:color="auto"/>
              <w:right w:val="nil"/>
            </w:tcBorders>
            <w:shd w:val="clear" w:color="auto" w:fill="auto"/>
            <w:vAlign w:val="center"/>
            <w:hideMark/>
          </w:tcPr>
          <w:p w14:paraId="33FFEE54" w14:textId="77777777" w:rsidR="00387142" w:rsidRPr="008B6A75" w:rsidRDefault="00387142" w:rsidP="00387142">
            <w:pPr>
              <w:jc w:val="right"/>
              <w:rPr>
                <w:sz w:val="20"/>
                <w:szCs w:val="20"/>
              </w:rPr>
            </w:pPr>
            <w:r w:rsidRPr="008B6A75">
              <w:rPr>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7C66E71A" w14:textId="77777777" w:rsidR="00387142" w:rsidRPr="008B6A75" w:rsidRDefault="00387142" w:rsidP="00387142">
            <w:pPr>
              <w:jc w:val="right"/>
              <w:rPr>
                <w:sz w:val="20"/>
                <w:szCs w:val="20"/>
              </w:rPr>
            </w:pPr>
            <w:r w:rsidRPr="008B6A75">
              <w:rPr>
                <w:sz w:val="20"/>
                <w:szCs w:val="20"/>
              </w:rPr>
              <w:t>0,00</w:t>
            </w:r>
          </w:p>
        </w:tc>
      </w:tr>
      <w:tr w:rsidR="00387142" w:rsidRPr="008B6A75" w14:paraId="60B32188" w14:textId="77777777" w:rsidTr="00387142">
        <w:trPr>
          <w:trHeight w:val="585"/>
        </w:trPr>
        <w:tc>
          <w:tcPr>
            <w:tcW w:w="3261" w:type="dxa"/>
            <w:tcBorders>
              <w:top w:val="nil"/>
              <w:left w:val="single" w:sz="4" w:space="0" w:color="auto"/>
              <w:bottom w:val="single" w:sz="4" w:space="0" w:color="auto"/>
              <w:right w:val="nil"/>
            </w:tcBorders>
            <w:shd w:val="clear" w:color="auto" w:fill="auto"/>
            <w:vAlign w:val="center"/>
            <w:hideMark/>
          </w:tcPr>
          <w:p w14:paraId="6E55BC3A" w14:textId="77777777" w:rsidR="00387142" w:rsidRPr="008B6A75" w:rsidRDefault="00387142" w:rsidP="00387142">
            <w:pPr>
              <w:rPr>
                <w:sz w:val="20"/>
                <w:szCs w:val="20"/>
              </w:rPr>
            </w:pPr>
            <w:r w:rsidRPr="008B6A75">
              <w:rPr>
                <w:sz w:val="20"/>
                <w:szCs w:val="20"/>
              </w:rPr>
              <w:t>Расходы на выплаты персоналу казенных учреждений</w:t>
            </w:r>
          </w:p>
        </w:tc>
        <w:tc>
          <w:tcPr>
            <w:tcW w:w="720" w:type="dxa"/>
            <w:tcBorders>
              <w:top w:val="nil"/>
              <w:left w:val="single" w:sz="4" w:space="0" w:color="auto"/>
              <w:bottom w:val="single" w:sz="4" w:space="0" w:color="auto"/>
              <w:right w:val="nil"/>
            </w:tcBorders>
            <w:shd w:val="clear" w:color="auto" w:fill="auto"/>
            <w:noWrap/>
            <w:vAlign w:val="center"/>
            <w:hideMark/>
          </w:tcPr>
          <w:p w14:paraId="6A22F567" w14:textId="77777777" w:rsidR="00387142" w:rsidRPr="008B6A75" w:rsidRDefault="00387142" w:rsidP="00387142">
            <w:pPr>
              <w:jc w:val="center"/>
              <w:rPr>
                <w:sz w:val="20"/>
                <w:szCs w:val="20"/>
              </w:rPr>
            </w:pPr>
            <w:r w:rsidRPr="008B6A75">
              <w:rPr>
                <w:sz w:val="20"/>
                <w:szCs w:val="20"/>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A2D65D4" w14:textId="77777777" w:rsidR="00387142" w:rsidRPr="008B6A75" w:rsidRDefault="00387142" w:rsidP="00387142">
            <w:pPr>
              <w:jc w:val="center"/>
              <w:rPr>
                <w:sz w:val="20"/>
                <w:szCs w:val="20"/>
              </w:rPr>
            </w:pPr>
            <w:r w:rsidRPr="008B6A75">
              <w:rPr>
                <w:sz w:val="20"/>
                <w:szCs w:val="20"/>
              </w:rPr>
              <w:t>01</w:t>
            </w:r>
          </w:p>
        </w:tc>
        <w:tc>
          <w:tcPr>
            <w:tcW w:w="1516" w:type="dxa"/>
            <w:tcBorders>
              <w:top w:val="nil"/>
              <w:left w:val="single" w:sz="4" w:space="0" w:color="auto"/>
              <w:bottom w:val="single" w:sz="4" w:space="0" w:color="auto"/>
              <w:right w:val="nil"/>
            </w:tcBorders>
            <w:shd w:val="clear" w:color="auto" w:fill="auto"/>
            <w:noWrap/>
            <w:vAlign w:val="center"/>
            <w:hideMark/>
          </w:tcPr>
          <w:p w14:paraId="1AA8680F" w14:textId="77777777" w:rsidR="00387142" w:rsidRPr="008B6A75" w:rsidRDefault="00387142" w:rsidP="00387142">
            <w:pPr>
              <w:jc w:val="center"/>
              <w:rPr>
                <w:sz w:val="20"/>
                <w:szCs w:val="20"/>
              </w:rPr>
            </w:pPr>
            <w:r w:rsidRPr="008B6A75">
              <w:rPr>
                <w:sz w:val="20"/>
                <w:szCs w:val="20"/>
              </w:rPr>
              <w:t>99.0.00.70510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9ACCC75" w14:textId="77777777" w:rsidR="00387142" w:rsidRPr="008B6A75" w:rsidRDefault="00387142" w:rsidP="00387142">
            <w:pPr>
              <w:jc w:val="center"/>
              <w:rPr>
                <w:sz w:val="20"/>
                <w:szCs w:val="20"/>
              </w:rPr>
            </w:pPr>
            <w:r w:rsidRPr="008B6A75">
              <w:rPr>
                <w:sz w:val="20"/>
                <w:szCs w:val="20"/>
              </w:rPr>
              <w:t>110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52C8983" w14:textId="77777777" w:rsidR="00387142" w:rsidRPr="008B6A75" w:rsidRDefault="00387142" w:rsidP="00387142">
            <w:pPr>
              <w:jc w:val="right"/>
              <w:rPr>
                <w:sz w:val="20"/>
                <w:szCs w:val="20"/>
              </w:rPr>
            </w:pPr>
            <w:r w:rsidRPr="008B6A75">
              <w:rPr>
                <w:sz w:val="20"/>
                <w:szCs w:val="20"/>
              </w:rPr>
              <w:t>918 158,85</w:t>
            </w:r>
          </w:p>
        </w:tc>
        <w:tc>
          <w:tcPr>
            <w:tcW w:w="992" w:type="dxa"/>
            <w:tcBorders>
              <w:top w:val="nil"/>
              <w:left w:val="single" w:sz="4" w:space="0" w:color="auto"/>
              <w:bottom w:val="single" w:sz="4" w:space="0" w:color="auto"/>
              <w:right w:val="nil"/>
            </w:tcBorders>
            <w:shd w:val="clear" w:color="auto" w:fill="auto"/>
            <w:vAlign w:val="center"/>
            <w:hideMark/>
          </w:tcPr>
          <w:p w14:paraId="18A41460" w14:textId="77777777" w:rsidR="00387142" w:rsidRPr="008B6A75" w:rsidRDefault="00387142" w:rsidP="00387142">
            <w:pPr>
              <w:jc w:val="right"/>
              <w:rPr>
                <w:sz w:val="20"/>
                <w:szCs w:val="20"/>
              </w:rPr>
            </w:pPr>
            <w:r w:rsidRPr="008B6A75">
              <w:rPr>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69AE59AD" w14:textId="77777777" w:rsidR="00387142" w:rsidRPr="008B6A75" w:rsidRDefault="00387142" w:rsidP="00387142">
            <w:pPr>
              <w:jc w:val="right"/>
              <w:rPr>
                <w:sz w:val="20"/>
                <w:szCs w:val="20"/>
              </w:rPr>
            </w:pPr>
            <w:r w:rsidRPr="008B6A75">
              <w:rPr>
                <w:sz w:val="20"/>
                <w:szCs w:val="20"/>
              </w:rPr>
              <w:t>0,00</w:t>
            </w:r>
          </w:p>
        </w:tc>
      </w:tr>
      <w:tr w:rsidR="00387142" w:rsidRPr="008B6A75" w14:paraId="3DD210BC" w14:textId="77777777" w:rsidTr="00387142">
        <w:trPr>
          <w:trHeight w:val="345"/>
        </w:trPr>
        <w:tc>
          <w:tcPr>
            <w:tcW w:w="3261" w:type="dxa"/>
            <w:tcBorders>
              <w:top w:val="nil"/>
              <w:left w:val="single" w:sz="4" w:space="0" w:color="auto"/>
              <w:bottom w:val="single" w:sz="4" w:space="0" w:color="auto"/>
              <w:right w:val="nil"/>
            </w:tcBorders>
            <w:shd w:val="clear" w:color="auto" w:fill="auto"/>
            <w:vAlign w:val="center"/>
            <w:hideMark/>
          </w:tcPr>
          <w:p w14:paraId="531A3685" w14:textId="77777777" w:rsidR="00387142" w:rsidRPr="008B6A75" w:rsidRDefault="00387142" w:rsidP="00387142">
            <w:pPr>
              <w:rPr>
                <w:bCs/>
                <w:sz w:val="20"/>
                <w:szCs w:val="20"/>
              </w:rPr>
            </w:pPr>
            <w:r w:rsidRPr="008B6A75">
              <w:rPr>
                <w:bCs/>
                <w:sz w:val="20"/>
                <w:szCs w:val="20"/>
              </w:rPr>
              <w:lastRenderedPageBreak/>
              <w:t>СОЦИАЛЬНАЯ ПОЛИТИКА</w:t>
            </w:r>
          </w:p>
        </w:tc>
        <w:tc>
          <w:tcPr>
            <w:tcW w:w="720" w:type="dxa"/>
            <w:tcBorders>
              <w:top w:val="nil"/>
              <w:left w:val="single" w:sz="4" w:space="0" w:color="auto"/>
              <w:bottom w:val="single" w:sz="4" w:space="0" w:color="auto"/>
              <w:right w:val="nil"/>
            </w:tcBorders>
            <w:shd w:val="clear" w:color="auto" w:fill="auto"/>
            <w:noWrap/>
            <w:vAlign w:val="center"/>
            <w:hideMark/>
          </w:tcPr>
          <w:p w14:paraId="2FAA7D89" w14:textId="77777777" w:rsidR="00387142" w:rsidRPr="008B6A75" w:rsidRDefault="00387142" w:rsidP="00387142">
            <w:pPr>
              <w:jc w:val="center"/>
              <w:rPr>
                <w:bCs/>
                <w:sz w:val="20"/>
                <w:szCs w:val="20"/>
              </w:rPr>
            </w:pPr>
            <w:r w:rsidRPr="008B6A75">
              <w:rPr>
                <w:bCs/>
                <w:sz w:val="20"/>
                <w:szCs w:val="20"/>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A9EB5DB" w14:textId="77777777" w:rsidR="00387142" w:rsidRPr="008B6A75" w:rsidRDefault="00387142" w:rsidP="00387142">
            <w:pPr>
              <w:jc w:val="center"/>
              <w:rPr>
                <w:bCs/>
                <w:sz w:val="20"/>
                <w:szCs w:val="20"/>
              </w:rPr>
            </w:pPr>
            <w:r w:rsidRPr="008B6A75">
              <w:rPr>
                <w:bCs/>
                <w:sz w:val="20"/>
                <w:szCs w:val="20"/>
              </w:rPr>
              <w:t> </w:t>
            </w:r>
          </w:p>
        </w:tc>
        <w:tc>
          <w:tcPr>
            <w:tcW w:w="1516" w:type="dxa"/>
            <w:tcBorders>
              <w:top w:val="nil"/>
              <w:left w:val="single" w:sz="4" w:space="0" w:color="auto"/>
              <w:bottom w:val="single" w:sz="4" w:space="0" w:color="auto"/>
              <w:right w:val="nil"/>
            </w:tcBorders>
            <w:shd w:val="clear" w:color="auto" w:fill="auto"/>
            <w:noWrap/>
            <w:vAlign w:val="center"/>
            <w:hideMark/>
          </w:tcPr>
          <w:p w14:paraId="75B3582A" w14:textId="77777777" w:rsidR="00387142" w:rsidRPr="008B6A75" w:rsidRDefault="00387142" w:rsidP="00387142">
            <w:pPr>
              <w:jc w:val="center"/>
              <w:rPr>
                <w:bCs/>
                <w:sz w:val="20"/>
                <w:szCs w:val="20"/>
              </w:rPr>
            </w:pPr>
            <w:r w:rsidRPr="008B6A75">
              <w:rPr>
                <w:bCs/>
                <w:sz w:val="20"/>
                <w:szCs w:val="20"/>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C4A39A4"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692487B" w14:textId="77777777" w:rsidR="00387142" w:rsidRPr="008B6A75" w:rsidRDefault="00387142" w:rsidP="00387142">
            <w:pPr>
              <w:jc w:val="right"/>
              <w:rPr>
                <w:bCs/>
                <w:sz w:val="20"/>
                <w:szCs w:val="20"/>
              </w:rPr>
            </w:pPr>
            <w:r w:rsidRPr="008B6A75">
              <w:rPr>
                <w:bCs/>
                <w:sz w:val="20"/>
                <w:szCs w:val="20"/>
              </w:rPr>
              <w:t>230 167 508,47</w:t>
            </w:r>
          </w:p>
        </w:tc>
        <w:tc>
          <w:tcPr>
            <w:tcW w:w="992" w:type="dxa"/>
            <w:tcBorders>
              <w:top w:val="nil"/>
              <w:left w:val="single" w:sz="4" w:space="0" w:color="auto"/>
              <w:bottom w:val="single" w:sz="4" w:space="0" w:color="auto"/>
              <w:right w:val="nil"/>
            </w:tcBorders>
            <w:shd w:val="clear" w:color="auto" w:fill="auto"/>
            <w:vAlign w:val="center"/>
            <w:hideMark/>
          </w:tcPr>
          <w:p w14:paraId="74F372EB" w14:textId="77777777" w:rsidR="00387142" w:rsidRPr="008B6A75" w:rsidRDefault="00387142" w:rsidP="00387142">
            <w:pPr>
              <w:jc w:val="right"/>
              <w:rPr>
                <w:bCs/>
                <w:sz w:val="20"/>
                <w:szCs w:val="20"/>
              </w:rPr>
            </w:pPr>
            <w:r w:rsidRPr="008B6A75">
              <w:rPr>
                <w:bCs/>
                <w:sz w:val="20"/>
                <w:szCs w:val="20"/>
              </w:rPr>
              <w:t>232 597 506,28</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3A8C9237" w14:textId="77777777" w:rsidR="00387142" w:rsidRPr="008B6A75" w:rsidRDefault="00387142" w:rsidP="00387142">
            <w:pPr>
              <w:jc w:val="right"/>
              <w:rPr>
                <w:bCs/>
                <w:sz w:val="20"/>
                <w:szCs w:val="20"/>
              </w:rPr>
            </w:pPr>
            <w:r w:rsidRPr="008B6A75">
              <w:rPr>
                <w:bCs/>
                <w:sz w:val="20"/>
                <w:szCs w:val="20"/>
              </w:rPr>
              <w:t>200 837 441,69</w:t>
            </w:r>
          </w:p>
        </w:tc>
      </w:tr>
      <w:tr w:rsidR="00387142" w:rsidRPr="008B6A75" w14:paraId="4C324331" w14:textId="77777777" w:rsidTr="00387142">
        <w:trPr>
          <w:trHeight w:val="345"/>
        </w:trPr>
        <w:tc>
          <w:tcPr>
            <w:tcW w:w="3261" w:type="dxa"/>
            <w:tcBorders>
              <w:top w:val="nil"/>
              <w:left w:val="single" w:sz="4" w:space="0" w:color="auto"/>
              <w:bottom w:val="single" w:sz="4" w:space="0" w:color="auto"/>
              <w:right w:val="nil"/>
            </w:tcBorders>
            <w:shd w:val="clear" w:color="auto" w:fill="auto"/>
            <w:vAlign w:val="center"/>
            <w:hideMark/>
          </w:tcPr>
          <w:p w14:paraId="3ED8E473" w14:textId="77777777" w:rsidR="00387142" w:rsidRPr="008B6A75" w:rsidRDefault="00387142" w:rsidP="00387142">
            <w:pPr>
              <w:rPr>
                <w:bCs/>
                <w:sz w:val="20"/>
                <w:szCs w:val="20"/>
              </w:rPr>
            </w:pPr>
            <w:r w:rsidRPr="008B6A75">
              <w:rPr>
                <w:bCs/>
                <w:sz w:val="20"/>
                <w:szCs w:val="20"/>
              </w:rPr>
              <w:t>Пенсионное обеспечение</w:t>
            </w:r>
          </w:p>
        </w:tc>
        <w:tc>
          <w:tcPr>
            <w:tcW w:w="720" w:type="dxa"/>
            <w:tcBorders>
              <w:top w:val="nil"/>
              <w:left w:val="single" w:sz="4" w:space="0" w:color="auto"/>
              <w:bottom w:val="single" w:sz="4" w:space="0" w:color="auto"/>
              <w:right w:val="nil"/>
            </w:tcBorders>
            <w:shd w:val="clear" w:color="auto" w:fill="auto"/>
            <w:noWrap/>
            <w:vAlign w:val="center"/>
            <w:hideMark/>
          </w:tcPr>
          <w:p w14:paraId="21C0D5B0" w14:textId="77777777" w:rsidR="00387142" w:rsidRPr="008B6A75" w:rsidRDefault="00387142" w:rsidP="00387142">
            <w:pPr>
              <w:jc w:val="center"/>
              <w:rPr>
                <w:bCs/>
                <w:sz w:val="20"/>
                <w:szCs w:val="20"/>
              </w:rPr>
            </w:pPr>
            <w:r w:rsidRPr="008B6A75">
              <w:rPr>
                <w:bCs/>
                <w:sz w:val="20"/>
                <w:szCs w:val="20"/>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DD28678" w14:textId="77777777" w:rsidR="00387142" w:rsidRPr="008B6A75" w:rsidRDefault="00387142" w:rsidP="00387142">
            <w:pPr>
              <w:jc w:val="center"/>
              <w:rPr>
                <w:bCs/>
                <w:sz w:val="20"/>
                <w:szCs w:val="20"/>
              </w:rPr>
            </w:pPr>
            <w:r w:rsidRPr="008B6A75">
              <w:rPr>
                <w:bCs/>
                <w:sz w:val="20"/>
                <w:szCs w:val="20"/>
              </w:rPr>
              <w:t>01</w:t>
            </w:r>
          </w:p>
        </w:tc>
        <w:tc>
          <w:tcPr>
            <w:tcW w:w="1516" w:type="dxa"/>
            <w:tcBorders>
              <w:top w:val="nil"/>
              <w:left w:val="single" w:sz="4" w:space="0" w:color="auto"/>
              <w:bottom w:val="single" w:sz="4" w:space="0" w:color="auto"/>
              <w:right w:val="nil"/>
            </w:tcBorders>
            <w:shd w:val="clear" w:color="auto" w:fill="auto"/>
            <w:noWrap/>
            <w:vAlign w:val="center"/>
            <w:hideMark/>
          </w:tcPr>
          <w:p w14:paraId="107D9904" w14:textId="77777777" w:rsidR="00387142" w:rsidRPr="008B6A75" w:rsidRDefault="00387142" w:rsidP="00387142">
            <w:pPr>
              <w:jc w:val="center"/>
              <w:rPr>
                <w:bCs/>
                <w:sz w:val="20"/>
                <w:szCs w:val="20"/>
              </w:rPr>
            </w:pPr>
            <w:r w:rsidRPr="008B6A75">
              <w:rPr>
                <w:bCs/>
                <w:sz w:val="20"/>
                <w:szCs w:val="20"/>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D63E5D3"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C74B269" w14:textId="77777777" w:rsidR="00387142" w:rsidRPr="008B6A75" w:rsidRDefault="00387142" w:rsidP="00387142">
            <w:pPr>
              <w:jc w:val="right"/>
              <w:rPr>
                <w:bCs/>
                <w:sz w:val="20"/>
                <w:szCs w:val="20"/>
              </w:rPr>
            </w:pPr>
            <w:r w:rsidRPr="008B6A75">
              <w:rPr>
                <w:bCs/>
                <w:sz w:val="20"/>
                <w:szCs w:val="20"/>
              </w:rPr>
              <w:t>2 892 844,00</w:t>
            </w:r>
          </w:p>
        </w:tc>
        <w:tc>
          <w:tcPr>
            <w:tcW w:w="992" w:type="dxa"/>
            <w:tcBorders>
              <w:top w:val="nil"/>
              <w:left w:val="single" w:sz="4" w:space="0" w:color="auto"/>
              <w:bottom w:val="single" w:sz="4" w:space="0" w:color="auto"/>
              <w:right w:val="nil"/>
            </w:tcBorders>
            <w:shd w:val="clear" w:color="auto" w:fill="auto"/>
            <w:vAlign w:val="center"/>
            <w:hideMark/>
          </w:tcPr>
          <w:p w14:paraId="63ED290E" w14:textId="77777777" w:rsidR="00387142" w:rsidRPr="008B6A75" w:rsidRDefault="00387142" w:rsidP="00387142">
            <w:pPr>
              <w:jc w:val="right"/>
              <w:rPr>
                <w:bCs/>
                <w:sz w:val="20"/>
                <w:szCs w:val="20"/>
              </w:rPr>
            </w:pPr>
            <w:r w:rsidRPr="008B6A75">
              <w:rPr>
                <w:bCs/>
                <w:sz w:val="20"/>
                <w:szCs w:val="20"/>
              </w:rPr>
              <w:t>3 415 529,76</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1C4CDFCC" w14:textId="77777777" w:rsidR="00387142" w:rsidRPr="008B6A75" w:rsidRDefault="00387142" w:rsidP="00387142">
            <w:pPr>
              <w:jc w:val="right"/>
              <w:rPr>
                <w:bCs/>
                <w:sz w:val="20"/>
                <w:szCs w:val="20"/>
              </w:rPr>
            </w:pPr>
            <w:r w:rsidRPr="008B6A75">
              <w:rPr>
                <w:bCs/>
                <w:sz w:val="20"/>
                <w:szCs w:val="20"/>
              </w:rPr>
              <w:t>3 571 675,68</w:t>
            </w:r>
          </w:p>
        </w:tc>
      </w:tr>
      <w:tr w:rsidR="00387142" w:rsidRPr="008B6A75" w14:paraId="1CE553B1" w14:textId="77777777" w:rsidTr="00387142">
        <w:trPr>
          <w:trHeight w:val="345"/>
        </w:trPr>
        <w:tc>
          <w:tcPr>
            <w:tcW w:w="3261" w:type="dxa"/>
            <w:tcBorders>
              <w:top w:val="nil"/>
              <w:left w:val="single" w:sz="4" w:space="0" w:color="auto"/>
              <w:bottom w:val="single" w:sz="4" w:space="0" w:color="auto"/>
              <w:right w:val="nil"/>
            </w:tcBorders>
            <w:shd w:val="clear" w:color="auto" w:fill="auto"/>
            <w:vAlign w:val="center"/>
            <w:hideMark/>
          </w:tcPr>
          <w:p w14:paraId="3F487D7A" w14:textId="77777777" w:rsidR="00387142" w:rsidRPr="008B6A75" w:rsidRDefault="00387142" w:rsidP="00387142">
            <w:pPr>
              <w:rPr>
                <w:bCs/>
                <w:sz w:val="20"/>
                <w:szCs w:val="20"/>
              </w:rPr>
            </w:pPr>
            <w:r w:rsidRPr="008B6A75">
              <w:rPr>
                <w:bCs/>
                <w:sz w:val="20"/>
                <w:szCs w:val="20"/>
              </w:rPr>
              <w:t>Непрограммные направления бюджета</w:t>
            </w:r>
          </w:p>
        </w:tc>
        <w:tc>
          <w:tcPr>
            <w:tcW w:w="720" w:type="dxa"/>
            <w:tcBorders>
              <w:top w:val="nil"/>
              <w:left w:val="single" w:sz="4" w:space="0" w:color="auto"/>
              <w:bottom w:val="single" w:sz="4" w:space="0" w:color="auto"/>
              <w:right w:val="nil"/>
            </w:tcBorders>
            <w:shd w:val="clear" w:color="auto" w:fill="auto"/>
            <w:noWrap/>
            <w:vAlign w:val="center"/>
            <w:hideMark/>
          </w:tcPr>
          <w:p w14:paraId="5B028085" w14:textId="77777777" w:rsidR="00387142" w:rsidRPr="008B6A75" w:rsidRDefault="00387142" w:rsidP="00387142">
            <w:pPr>
              <w:jc w:val="center"/>
              <w:rPr>
                <w:bCs/>
                <w:sz w:val="20"/>
                <w:szCs w:val="20"/>
              </w:rPr>
            </w:pPr>
            <w:r w:rsidRPr="008B6A75">
              <w:rPr>
                <w:bCs/>
                <w:sz w:val="20"/>
                <w:szCs w:val="20"/>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A0947EF" w14:textId="77777777" w:rsidR="00387142" w:rsidRPr="008B6A75" w:rsidRDefault="00387142" w:rsidP="00387142">
            <w:pPr>
              <w:jc w:val="center"/>
              <w:rPr>
                <w:bCs/>
                <w:sz w:val="20"/>
                <w:szCs w:val="20"/>
              </w:rPr>
            </w:pPr>
            <w:r w:rsidRPr="008B6A75">
              <w:rPr>
                <w:bCs/>
                <w:sz w:val="20"/>
                <w:szCs w:val="20"/>
              </w:rPr>
              <w:t>01</w:t>
            </w:r>
          </w:p>
        </w:tc>
        <w:tc>
          <w:tcPr>
            <w:tcW w:w="1516" w:type="dxa"/>
            <w:tcBorders>
              <w:top w:val="nil"/>
              <w:left w:val="single" w:sz="4" w:space="0" w:color="auto"/>
              <w:bottom w:val="single" w:sz="4" w:space="0" w:color="auto"/>
              <w:right w:val="nil"/>
            </w:tcBorders>
            <w:shd w:val="clear" w:color="auto" w:fill="auto"/>
            <w:noWrap/>
            <w:vAlign w:val="center"/>
            <w:hideMark/>
          </w:tcPr>
          <w:p w14:paraId="21195898" w14:textId="77777777" w:rsidR="00387142" w:rsidRPr="008B6A75" w:rsidRDefault="00387142" w:rsidP="00387142">
            <w:pPr>
              <w:jc w:val="center"/>
              <w:rPr>
                <w:bCs/>
                <w:sz w:val="20"/>
                <w:szCs w:val="20"/>
              </w:rPr>
            </w:pPr>
            <w:r w:rsidRPr="008B6A75">
              <w:rPr>
                <w:bCs/>
                <w:sz w:val="20"/>
                <w:szCs w:val="20"/>
              </w:rPr>
              <w:t>99.0.00.00000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4687E9B"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7CDF3C7" w14:textId="77777777" w:rsidR="00387142" w:rsidRPr="008B6A75" w:rsidRDefault="00387142" w:rsidP="00387142">
            <w:pPr>
              <w:jc w:val="right"/>
              <w:rPr>
                <w:bCs/>
                <w:sz w:val="20"/>
                <w:szCs w:val="20"/>
              </w:rPr>
            </w:pPr>
            <w:r w:rsidRPr="008B6A75">
              <w:rPr>
                <w:bCs/>
                <w:sz w:val="20"/>
                <w:szCs w:val="20"/>
              </w:rPr>
              <w:t>2 892 844,00</w:t>
            </w:r>
          </w:p>
        </w:tc>
        <w:tc>
          <w:tcPr>
            <w:tcW w:w="992" w:type="dxa"/>
            <w:tcBorders>
              <w:top w:val="nil"/>
              <w:left w:val="single" w:sz="4" w:space="0" w:color="auto"/>
              <w:bottom w:val="single" w:sz="4" w:space="0" w:color="auto"/>
              <w:right w:val="nil"/>
            </w:tcBorders>
            <w:shd w:val="clear" w:color="auto" w:fill="auto"/>
            <w:vAlign w:val="center"/>
            <w:hideMark/>
          </w:tcPr>
          <w:p w14:paraId="530DC93F" w14:textId="77777777" w:rsidR="00387142" w:rsidRPr="008B6A75" w:rsidRDefault="00387142" w:rsidP="00387142">
            <w:pPr>
              <w:jc w:val="right"/>
              <w:rPr>
                <w:bCs/>
                <w:sz w:val="20"/>
                <w:szCs w:val="20"/>
              </w:rPr>
            </w:pPr>
            <w:r w:rsidRPr="008B6A75">
              <w:rPr>
                <w:bCs/>
                <w:sz w:val="20"/>
                <w:szCs w:val="20"/>
              </w:rPr>
              <w:t>3 415 529,76</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52EE5951" w14:textId="77777777" w:rsidR="00387142" w:rsidRPr="008B6A75" w:rsidRDefault="00387142" w:rsidP="00387142">
            <w:pPr>
              <w:jc w:val="right"/>
              <w:rPr>
                <w:bCs/>
                <w:sz w:val="20"/>
                <w:szCs w:val="20"/>
              </w:rPr>
            </w:pPr>
            <w:r w:rsidRPr="008B6A75">
              <w:rPr>
                <w:bCs/>
                <w:sz w:val="20"/>
                <w:szCs w:val="20"/>
              </w:rPr>
              <w:t>3 571 675,68</w:t>
            </w:r>
          </w:p>
        </w:tc>
      </w:tr>
      <w:tr w:rsidR="00387142" w:rsidRPr="008B6A75" w14:paraId="7C2C0CE9" w14:textId="77777777" w:rsidTr="00387142">
        <w:trPr>
          <w:trHeight w:val="585"/>
        </w:trPr>
        <w:tc>
          <w:tcPr>
            <w:tcW w:w="3261" w:type="dxa"/>
            <w:tcBorders>
              <w:top w:val="nil"/>
              <w:left w:val="single" w:sz="4" w:space="0" w:color="auto"/>
              <w:bottom w:val="single" w:sz="4" w:space="0" w:color="auto"/>
              <w:right w:val="nil"/>
            </w:tcBorders>
            <w:shd w:val="clear" w:color="auto" w:fill="auto"/>
            <w:vAlign w:val="center"/>
            <w:hideMark/>
          </w:tcPr>
          <w:p w14:paraId="24C869EB" w14:textId="77777777" w:rsidR="00387142" w:rsidRPr="008B6A75" w:rsidRDefault="00387142" w:rsidP="00387142">
            <w:pPr>
              <w:rPr>
                <w:bCs/>
                <w:sz w:val="20"/>
                <w:szCs w:val="20"/>
              </w:rPr>
            </w:pPr>
            <w:r w:rsidRPr="008B6A75">
              <w:rPr>
                <w:bCs/>
                <w:sz w:val="20"/>
                <w:szCs w:val="20"/>
              </w:rPr>
              <w:t>Выплата муниципальной социальной доплаты к пенсии</w:t>
            </w:r>
          </w:p>
        </w:tc>
        <w:tc>
          <w:tcPr>
            <w:tcW w:w="720" w:type="dxa"/>
            <w:tcBorders>
              <w:top w:val="nil"/>
              <w:left w:val="single" w:sz="4" w:space="0" w:color="auto"/>
              <w:bottom w:val="single" w:sz="4" w:space="0" w:color="auto"/>
              <w:right w:val="nil"/>
            </w:tcBorders>
            <w:shd w:val="clear" w:color="auto" w:fill="auto"/>
            <w:noWrap/>
            <w:vAlign w:val="center"/>
            <w:hideMark/>
          </w:tcPr>
          <w:p w14:paraId="37943430" w14:textId="77777777" w:rsidR="00387142" w:rsidRPr="008B6A75" w:rsidRDefault="00387142" w:rsidP="00387142">
            <w:pPr>
              <w:jc w:val="center"/>
              <w:rPr>
                <w:bCs/>
                <w:sz w:val="20"/>
                <w:szCs w:val="20"/>
              </w:rPr>
            </w:pPr>
            <w:r w:rsidRPr="008B6A75">
              <w:rPr>
                <w:bCs/>
                <w:sz w:val="20"/>
                <w:szCs w:val="20"/>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BA2EAC8" w14:textId="77777777" w:rsidR="00387142" w:rsidRPr="008B6A75" w:rsidRDefault="00387142" w:rsidP="00387142">
            <w:pPr>
              <w:jc w:val="center"/>
              <w:rPr>
                <w:bCs/>
                <w:sz w:val="20"/>
                <w:szCs w:val="20"/>
              </w:rPr>
            </w:pPr>
            <w:r w:rsidRPr="008B6A75">
              <w:rPr>
                <w:bCs/>
                <w:sz w:val="20"/>
                <w:szCs w:val="20"/>
              </w:rPr>
              <w:t>01</w:t>
            </w:r>
          </w:p>
        </w:tc>
        <w:tc>
          <w:tcPr>
            <w:tcW w:w="1516" w:type="dxa"/>
            <w:tcBorders>
              <w:top w:val="nil"/>
              <w:left w:val="single" w:sz="4" w:space="0" w:color="auto"/>
              <w:bottom w:val="single" w:sz="4" w:space="0" w:color="auto"/>
              <w:right w:val="nil"/>
            </w:tcBorders>
            <w:shd w:val="clear" w:color="auto" w:fill="auto"/>
            <w:noWrap/>
            <w:vAlign w:val="center"/>
            <w:hideMark/>
          </w:tcPr>
          <w:p w14:paraId="4415D039" w14:textId="77777777" w:rsidR="00387142" w:rsidRPr="008B6A75" w:rsidRDefault="00387142" w:rsidP="00387142">
            <w:pPr>
              <w:jc w:val="center"/>
              <w:rPr>
                <w:bCs/>
                <w:sz w:val="20"/>
                <w:szCs w:val="20"/>
              </w:rPr>
            </w:pPr>
            <w:r w:rsidRPr="008B6A75">
              <w:rPr>
                <w:bCs/>
                <w:sz w:val="20"/>
                <w:szCs w:val="20"/>
              </w:rPr>
              <w:t>99.0.00.10100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3E2052F"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0ED93D2" w14:textId="77777777" w:rsidR="00387142" w:rsidRPr="008B6A75" w:rsidRDefault="00387142" w:rsidP="00387142">
            <w:pPr>
              <w:jc w:val="right"/>
              <w:rPr>
                <w:bCs/>
                <w:sz w:val="20"/>
                <w:szCs w:val="20"/>
              </w:rPr>
            </w:pPr>
            <w:r w:rsidRPr="008B6A75">
              <w:rPr>
                <w:bCs/>
                <w:sz w:val="20"/>
                <w:szCs w:val="20"/>
              </w:rPr>
              <w:t>2 892 844,00</w:t>
            </w:r>
          </w:p>
        </w:tc>
        <w:tc>
          <w:tcPr>
            <w:tcW w:w="992" w:type="dxa"/>
            <w:tcBorders>
              <w:top w:val="nil"/>
              <w:left w:val="single" w:sz="4" w:space="0" w:color="auto"/>
              <w:bottom w:val="single" w:sz="4" w:space="0" w:color="auto"/>
              <w:right w:val="nil"/>
            </w:tcBorders>
            <w:shd w:val="clear" w:color="auto" w:fill="auto"/>
            <w:vAlign w:val="center"/>
            <w:hideMark/>
          </w:tcPr>
          <w:p w14:paraId="154CBE87" w14:textId="77777777" w:rsidR="00387142" w:rsidRPr="008B6A75" w:rsidRDefault="00387142" w:rsidP="00387142">
            <w:pPr>
              <w:jc w:val="right"/>
              <w:rPr>
                <w:bCs/>
                <w:sz w:val="20"/>
                <w:szCs w:val="20"/>
              </w:rPr>
            </w:pPr>
            <w:r w:rsidRPr="008B6A75">
              <w:rPr>
                <w:bCs/>
                <w:sz w:val="20"/>
                <w:szCs w:val="20"/>
              </w:rPr>
              <w:t>3 415 529,76</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3C35EF59" w14:textId="77777777" w:rsidR="00387142" w:rsidRPr="008B6A75" w:rsidRDefault="00387142" w:rsidP="00387142">
            <w:pPr>
              <w:jc w:val="right"/>
              <w:rPr>
                <w:bCs/>
                <w:sz w:val="20"/>
                <w:szCs w:val="20"/>
              </w:rPr>
            </w:pPr>
            <w:r w:rsidRPr="008B6A75">
              <w:rPr>
                <w:bCs/>
                <w:sz w:val="20"/>
                <w:szCs w:val="20"/>
              </w:rPr>
              <w:t>3 571 675,68</w:t>
            </w:r>
          </w:p>
        </w:tc>
      </w:tr>
      <w:tr w:rsidR="00387142" w:rsidRPr="008B6A75" w14:paraId="7DA0AE54" w14:textId="77777777" w:rsidTr="00387142">
        <w:trPr>
          <w:trHeight w:val="585"/>
        </w:trPr>
        <w:tc>
          <w:tcPr>
            <w:tcW w:w="3261" w:type="dxa"/>
            <w:tcBorders>
              <w:top w:val="nil"/>
              <w:left w:val="single" w:sz="4" w:space="0" w:color="auto"/>
              <w:bottom w:val="single" w:sz="4" w:space="0" w:color="auto"/>
              <w:right w:val="nil"/>
            </w:tcBorders>
            <w:shd w:val="clear" w:color="auto" w:fill="auto"/>
            <w:vAlign w:val="center"/>
            <w:hideMark/>
          </w:tcPr>
          <w:p w14:paraId="40F82FD8" w14:textId="77777777" w:rsidR="00387142" w:rsidRPr="008B6A75" w:rsidRDefault="00387142" w:rsidP="00387142">
            <w:pPr>
              <w:rPr>
                <w:sz w:val="20"/>
                <w:szCs w:val="20"/>
              </w:rPr>
            </w:pPr>
            <w:r w:rsidRPr="008B6A75">
              <w:rPr>
                <w:sz w:val="20"/>
                <w:szCs w:val="20"/>
              </w:rPr>
              <w:t>Социальное обеспечение и иные выплаты населению</w:t>
            </w:r>
          </w:p>
        </w:tc>
        <w:tc>
          <w:tcPr>
            <w:tcW w:w="720" w:type="dxa"/>
            <w:tcBorders>
              <w:top w:val="nil"/>
              <w:left w:val="single" w:sz="4" w:space="0" w:color="auto"/>
              <w:bottom w:val="single" w:sz="4" w:space="0" w:color="auto"/>
              <w:right w:val="nil"/>
            </w:tcBorders>
            <w:shd w:val="clear" w:color="auto" w:fill="auto"/>
            <w:noWrap/>
            <w:vAlign w:val="center"/>
            <w:hideMark/>
          </w:tcPr>
          <w:p w14:paraId="0C504C36" w14:textId="77777777" w:rsidR="00387142" w:rsidRPr="008B6A75" w:rsidRDefault="00387142" w:rsidP="00387142">
            <w:pPr>
              <w:jc w:val="center"/>
              <w:rPr>
                <w:sz w:val="20"/>
                <w:szCs w:val="20"/>
              </w:rPr>
            </w:pPr>
            <w:r w:rsidRPr="008B6A75">
              <w:rPr>
                <w:sz w:val="20"/>
                <w:szCs w:val="20"/>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F8865D1" w14:textId="77777777" w:rsidR="00387142" w:rsidRPr="008B6A75" w:rsidRDefault="00387142" w:rsidP="00387142">
            <w:pPr>
              <w:jc w:val="center"/>
              <w:rPr>
                <w:sz w:val="20"/>
                <w:szCs w:val="20"/>
              </w:rPr>
            </w:pPr>
            <w:r w:rsidRPr="008B6A75">
              <w:rPr>
                <w:sz w:val="20"/>
                <w:szCs w:val="20"/>
              </w:rPr>
              <w:t>01</w:t>
            </w:r>
          </w:p>
        </w:tc>
        <w:tc>
          <w:tcPr>
            <w:tcW w:w="1516" w:type="dxa"/>
            <w:tcBorders>
              <w:top w:val="nil"/>
              <w:left w:val="single" w:sz="4" w:space="0" w:color="auto"/>
              <w:bottom w:val="single" w:sz="4" w:space="0" w:color="auto"/>
              <w:right w:val="nil"/>
            </w:tcBorders>
            <w:shd w:val="clear" w:color="auto" w:fill="auto"/>
            <w:noWrap/>
            <w:vAlign w:val="center"/>
            <w:hideMark/>
          </w:tcPr>
          <w:p w14:paraId="2EB6F797" w14:textId="77777777" w:rsidR="00387142" w:rsidRPr="008B6A75" w:rsidRDefault="00387142" w:rsidP="00387142">
            <w:pPr>
              <w:jc w:val="center"/>
              <w:rPr>
                <w:sz w:val="20"/>
                <w:szCs w:val="20"/>
              </w:rPr>
            </w:pPr>
            <w:r w:rsidRPr="008B6A75">
              <w:rPr>
                <w:sz w:val="20"/>
                <w:szCs w:val="20"/>
              </w:rPr>
              <w:t>99.0.00.10100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C452EA7" w14:textId="77777777" w:rsidR="00387142" w:rsidRPr="008B6A75" w:rsidRDefault="00387142" w:rsidP="00387142">
            <w:pPr>
              <w:jc w:val="center"/>
              <w:rPr>
                <w:sz w:val="20"/>
                <w:szCs w:val="20"/>
              </w:rPr>
            </w:pPr>
            <w:r w:rsidRPr="008B6A75">
              <w:rPr>
                <w:sz w:val="20"/>
                <w:szCs w:val="20"/>
              </w:rPr>
              <w:t>300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51B8B7E" w14:textId="77777777" w:rsidR="00387142" w:rsidRPr="008B6A75" w:rsidRDefault="00387142" w:rsidP="00387142">
            <w:pPr>
              <w:jc w:val="right"/>
              <w:rPr>
                <w:sz w:val="20"/>
                <w:szCs w:val="20"/>
              </w:rPr>
            </w:pPr>
            <w:r w:rsidRPr="008B6A75">
              <w:rPr>
                <w:sz w:val="20"/>
                <w:szCs w:val="20"/>
              </w:rPr>
              <w:t>2 892 844,00</w:t>
            </w:r>
          </w:p>
        </w:tc>
        <w:tc>
          <w:tcPr>
            <w:tcW w:w="992" w:type="dxa"/>
            <w:tcBorders>
              <w:top w:val="nil"/>
              <w:left w:val="single" w:sz="4" w:space="0" w:color="auto"/>
              <w:bottom w:val="single" w:sz="4" w:space="0" w:color="auto"/>
              <w:right w:val="nil"/>
            </w:tcBorders>
            <w:shd w:val="clear" w:color="auto" w:fill="auto"/>
            <w:vAlign w:val="center"/>
            <w:hideMark/>
          </w:tcPr>
          <w:p w14:paraId="4CC33DE9" w14:textId="77777777" w:rsidR="00387142" w:rsidRPr="008B6A75" w:rsidRDefault="00387142" w:rsidP="00387142">
            <w:pPr>
              <w:jc w:val="right"/>
              <w:rPr>
                <w:sz w:val="20"/>
                <w:szCs w:val="20"/>
              </w:rPr>
            </w:pPr>
            <w:r w:rsidRPr="008B6A75">
              <w:rPr>
                <w:sz w:val="20"/>
                <w:szCs w:val="20"/>
              </w:rPr>
              <w:t>3 415 529,76</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792AE503" w14:textId="77777777" w:rsidR="00387142" w:rsidRPr="008B6A75" w:rsidRDefault="00387142" w:rsidP="00387142">
            <w:pPr>
              <w:jc w:val="right"/>
              <w:rPr>
                <w:sz w:val="20"/>
                <w:szCs w:val="20"/>
              </w:rPr>
            </w:pPr>
            <w:r w:rsidRPr="008B6A75">
              <w:rPr>
                <w:sz w:val="20"/>
                <w:szCs w:val="20"/>
              </w:rPr>
              <w:t>3 571 675,68</w:t>
            </w:r>
          </w:p>
        </w:tc>
      </w:tr>
      <w:tr w:rsidR="00387142" w:rsidRPr="008B6A75" w14:paraId="10A65035" w14:textId="77777777" w:rsidTr="00387142">
        <w:trPr>
          <w:trHeight w:val="585"/>
        </w:trPr>
        <w:tc>
          <w:tcPr>
            <w:tcW w:w="3261" w:type="dxa"/>
            <w:tcBorders>
              <w:top w:val="nil"/>
              <w:left w:val="single" w:sz="4" w:space="0" w:color="auto"/>
              <w:bottom w:val="single" w:sz="4" w:space="0" w:color="auto"/>
              <w:right w:val="nil"/>
            </w:tcBorders>
            <w:shd w:val="clear" w:color="auto" w:fill="auto"/>
            <w:vAlign w:val="center"/>
            <w:hideMark/>
          </w:tcPr>
          <w:p w14:paraId="184CD1AA" w14:textId="77777777" w:rsidR="00387142" w:rsidRPr="008B6A75" w:rsidRDefault="00387142" w:rsidP="00387142">
            <w:pPr>
              <w:rPr>
                <w:sz w:val="20"/>
                <w:szCs w:val="20"/>
              </w:rPr>
            </w:pPr>
            <w:r w:rsidRPr="008B6A75">
              <w:rPr>
                <w:sz w:val="20"/>
                <w:szCs w:val="20"/>
              </w:rPr>
              <w:t>Публичные нормативные социальные выплаты гражданам</w:t>
            </w:r>
          </w:p>
        </w:tc>
        <w:tc>
          <w:tcPr>
            <w:tcW w:w="720" w:type="dxa"/>
            <w:tcBorders>
              <w:top w:val="nil"/>
              <w:left w:val="single" w:sz="4" w:space="0" w:color="auto"/>
              <w:bottom w:val="single" w:sz="4" w:space="0" w:color="auto"/>
              <w:right w:val="nil"/>
            </w:tcBorders>
            <w:shd w:val="clear" w:color="auto" w:fill="auto"/>
            <w:noWrap/>
            <w:vAlign w:val="center"/>
            <w:hideMark/>
          </w:tcPr>
          <w:p w14:paraId="5614380E" w14:textId="77777777" w:rsidR="00387142" w:rsidRPr="008B6A75" w:rsidRDefault="00387142" w:rsidP="00387142">
            <w:pPr>
              <w:jc w:val="center"/>
              <w:rPr>
                <w:sz w:val="20"/>
                <w:szCs w:val="20"/>
              </w:rPr>
            </w:pPr>
            <w:r w:rsidRPr="008B6A75">
              <w:rPr>
                <w:sz w:val="20"/>
                <w:szCs w:val="20"/>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0B74DFF" w14:textId="77777777" w:rsidR="00387142" w:rsidRPr="008B6A75" w:rsidRDefault="00387142" w:rsidP="00387142">
            <w:pPr>
              <w:jc w:val="center"/>
              <w:rPr>
                <w:sz w:val="20"/>
                <w:szCs w:val="20"/>
              </w:rPr>
            </w:pPr>
            <w:r w:rsidRPr="008B6A75">
              <w:rPr>
                <w:sz w:val="20"/>
                <w:szCs w:val="20"/>
              </w:rPr>
              <w:t>01</w:t>
            </w:r>
          </w:p>
        </w:tc>
        <w:tc>
          <w:tcPr>
            <w:tcW w:w="1516" w:type="dxa"/>
            <w:tcBorders>
              <w:top w:val="nil"/>
              <w:left w:val="single" w:sz="4" w:space="0" w:color="auto"/>
              <w:bottom w:val="single" w:sz="4" w:space="0" w:color="auto"/>
              <w:right w:val="nil"/>
            </w:tcBorders>
            <w:shd w:val="clear" w:color="auto" w:fill="auto"/>
            <w:noWrap/>
            <w:vAlign w:val="center"/>
            <w:hideMark/>
          </w:tcPr>
          <w:p w14:paraId="73381277" w14:textId="77777777" w:rsidR="00387142" w:rsidRPr="008B6A75" w:rsidRDefault="00387142" w:rsidP="00387142">
            <w:pPr>
              <w:jc w:val="center"/>
              <w:rPr>
                <w:sz w:val="20"/>
                <w:szCs w:val="20"/>
              </w:rPr>
            </w:pPr>
            <w:r w:rsidRPr="008B6A75">
              <w:rPr>
                <w:sz w:val="20"/>
                <w:szCs w:val="20"/>
              </w:rPr>
              <w:t>99.0.00.10100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9294F79" w14:textId="77777777" w:rsidR="00387142" w:rsidRPr="008B6A75" w:rsidRDefault="00387142" w:rsidP="00387142">
            <w:pPr>
              <w:jc w:val="center"/>
              <w:rPr>
                <w:sz w:val="20"/>
                <w:szCs w:val="20"/>
              </w:rPr>
            </w:pPr>
            <w:r w:rsidRPr="008B6A75">
              <w:rPr>
                <w:sz w:val="20"/>
                <w:szCs w:val="20"/>
              </w:rPr>
              <w:t>310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0DAB2B1" w14:textId="77777777" w:rsidR="00387142" w:rsidRPr="008B6A75" w:rsidRDefault="00387142" w:rsidP="00387142">
            <w:pPr>
              <w:jc w:val="right"/>
              <w:rPr>
                <w:sz w:val="20"/>
                <w:szCs w:val="20"/>
              </w:rPr>
            </w:pPr>
            <w:r w:rsidRPr="008B6A75">
              <w:rPr>
                <w:sz w:val="20"/>
                <w:szCs w:val="20"/>
              </w:rPr>
              <w:t>2 892 844,00</w:t>
            </w:r>
          </w:p>
        </w:tc>
        <w:tc>
          <w:tcPr>
            <w:tcW w:w="992" w:type="dxa"/>
            <w:tcBorders>
              <w:top w:val="nil"/>
              <w:left w:val="single" w:sz="4" w:space="0" w:color="auto"/>
              <w:bottom w:val="single" w:sz="4" w:space="0" w:color="auto"/>
              <w:right w:val="nil"/>
            </w:tcBorders>
            <w:shd w:val="clear" w:color="auto" w:fill="auto"/>
            <w:vAlign w:val="center"/>
            <w:hideMark/>
          </w:tcPr>
          <w:p w14:paraId="7106130E" w14:textId="77777777" w:rsidR="00387142" w:rsidRPr="008B6A75" w:rsidRDefault="00387142" w:rsidP="00387142">
            <w:pPr>
              <w:jc w:val="right"/>
              <w:rPr>
                <w:sz w:val="20"/>
                <w:szCs w:val="20"/>
              </w:rPr>
            </w:pPr>
            <w:r w:rsidRPr="008B6A75">
              <w:rPr>
                <w:sz w:val="20"/>
                <w:szCs w:val="20"/>
              </w:rPr>
              <w:t>3 415 529,76</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1115E95D" w14:textId="77777777" w:rsidR="00387142" w:rsidRPr="008B6A75" w:rsidRDefault="00387142" w:rsidP="00387142">
            <w:pPr>
              <w:jc w:val="right"/>
              <w:rPr>
                <w:sz w:val="20"/>
                <w:szCs w:val="20"/>
              </w:rPr>
            </w:pPr>
            <w:r w:rsidRPr="008B6A75">
              <w:rPr>
                <w:sz w:val="20"/>
                <w:szCs w:val="20"/>
              </w:rPr>
              <w:t>3 571 675,68</w:t>
            </w:r>
          </w:p>
        </w:tc>
      </w:tr>
      <w:tr w:rsidR="00387142" w:rsidRPr="008B6A75" w14:paraId="09A179D4" w14:textId="77777777" w:rsidTr="00387142">
        <w:trPr>
          <w:trHeight w:val="345"/>
        </w:trPr>
        <w:tc>
          <w:tcPr>
            <w:tcW w:w="3261" w:type="dxa"/>
            <w:tcBorders>
              <w:top w:val="nil"/>
              <w:left w:val="single" w:sz="4" w:space="0" w:color="auto"/>
              <w:bottom w:val="single" w:sz="4" w:space="0" w:color="auto"/>
              <w:right w:val="nil"/>
            </w:tcBorders>
            <w:shd w:val="clear" w:color="auto" w:fill="auto"/>
            <w:vAlign w:val="center"/>
            <w:hideMark/>
          </w:tcPr>
          <w:p w14:paraId="575FB64D" w14:textId="77777777" w:rsidR="00387142" w:rsidRPr="008B6A75" w:rsidRDefault="00387142" w:rsidP="00387142">
            <w:pPr>
              <w:rPr>
                <w:bCs/>
                <w:sz w:val="20"/>
                <w:szCs w:val="20"/>
              </w:rPr>
            </w:pPr>
            <w:r w:rsidRPr="008B6A75">
              <w:rPr>
                <w:bCs/>
                <w:sz w:val="20"/>
                <w:szCs w:val="20"/>
              </w:rPr>
              <w:t>Социальное обслуживание населения</w:t>
            </w:r>
          </w:p>
        </w:tc>
        <w:tc>
          <w:tcPr>
            <w:tcW w:w="720" w:type="dxa"/>
            <w:tcBorders>
              <w:top w:val="nil"/>
              <w:left w:val="single" w:sz="4" w:space="0" w:color="auto"/>
              <w:bottom w:val="single" w:sz="4" w:space="0" w:color="auto"/>
              <w:right w:val="nil"/>
            </w:tcBorders>
            <w:shd w:val="clear" w:color="auto" w:fill="auto"/>
            <w:noWrap/>
            <w:vAlign w:val="center"/>
            <w:hideMark/>
          </w:tcPr>
          <w:p w14:paraId="0DE198E5" w14:textId="77777777" w:rsidR="00387142" w:rsidRPr="008B6A75" w:rsidRDefault="00387142" w:rsidP="00387142">
            <w:pPr>
              <w:jc w:val="center"/>
              <w:rPr>
                <w:bCs/>
                <w:sz w:val="20"/>
                <w:szCs w:val="20"/>
              </w:rPr>
            </w:pPr>
            <w:r w:rsidRPr="008B6A75">
              <w:rPr>
                <w:bCs/>
                <w:sz w:val="20"/>
                <w:szCs w:val="20"/>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2B33267" w14:textId="77777777" w:rsidR="00387142" w:rsidRPr="008B6A75" w:rsidRDefault="00387142" w:rsidP="00387142">
            <w:pPr>
              <w:jc w:val="center"/>
              <w:rPr>
                <w:bCs/>
                <w:sz w:val="20"/>
                <w:szCs w:val="20"/>
              </w:rPr>
            </w:pPr>
            <w:r w:rsidRPr="008B6A75">
              <w:rPr>
                <w:bCs/>
                <w:sz w:val="20"/>
                <w:szCs w:val="20"/>
              </w:rPr>
              <w:t>02</w:t>
            </w:r>
          </w:p>
        </w:tc>
        <w:tc>
          <w:tcPr>
            <w:tcW w:w="1516" w:type="dxa"/>
            <w:tcBorders>
              <w:top w:val="nil"/>
              <w:left w:val="single" w:sz="4" w:space="0" w:color="auto"/>
              <w:bottom w:val="single" w:sz="4" w:space="0" w:color="auto"/>
              <w:right w:val="nil"/>
            </w:tcBorders>
            <w:shd w:val="clear" w:color="auto" w:fill="auto"/>
            <w:noWrap/>
            <w:vAlign w:val="center"/>
            <w:hideMark/>
          </w:tcPr>
          <w:p w14:paraId="4FA16F83" w14:textId="77777777" w:rsidR="00387142" w:rsidRPr="008B6A75" w:rsidRDefault="00387142" w:rsidP="00387142">
            <w:pPr>
              <w:jc w:val="center"/>
              <w:rPr>
                <w:bCs/>
                <w:sz w:val="20"/>
                <w:szCs w:val="20"/>
              </w:rPr>
            </w:pPr>
            <w:r w:rsidRPr="008B6A75">
              <w:rPr>
                <w:bCs/>
                <w:sz w:val="20"/>
                <w:szCs w:val="20"/>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F3FC31C"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C2D1729" w14:textId="77777777" w:rsidR="00387142" w:rsidRPr="008B6A75" w:rsidRDefault="00387142" w:rsidP="00387142">
            <w:pPr>
              <w:jc w:val="right"/>
              <w:rPr>
                <w:bCs/>
                <w:sz w:val="20"/>
                <w:szCs w:val="20"/>
              </w:rPr>
            </w:pPr>
            <w:r w:rsidRPr="008B6A75">
              <w:rPr>
                <w:bCs/>
                <w:sz w:val="20"/>
                <w:szCs w:val="20"/>
              </w:rPr>
              <w:t>88 316 535,44</w:t>
            </w:r>
          </w:p>
        </w:tc>
        <w:tc>
          <w:tcPr>
            <w:tcW w:w="992" w:type="dxa"/>
            <w:tcBorders>
              <w:top w:val="nil"/>
              <w:left w:val="single" w:sz="4" w:space="0" w:color="auto"/>
              <w:bottom w:val="single" w:sz="4" w:space="0" w:color="auto"/>
              <w:right w:val="nil"/>
            </w:tcBorders>
            <w:shd w:val="clear" w:color="auto" w:fill="auto"/>
            <w:vAlign w:val="center"/>
            <w:hideMark/>
          </w:tcPr>
          <w:p w14:paraId="78DE61D3" w14:textId="77777777" w:rsidR="00387142" w:rsidRPr="008B6A75" w:rsidRDefault="00387142" w:rsidP="00387142">
            <w:pPr>
              <w:jc w:val="right"/>
              <w:rPr>
                <w:bCs/>
                <w:sz w:val="20"/>
                <w:szCs w:val="20"/>
              </w:rPr>
            </w:pPr>
            <w:r w:rsidRPr="008B6A75">
              <w:rPr>
                <w:bCs/>
                <w:sz w:val="20"/>
                <w:szCs w:val="20"/>
              </w:rPr>
              <w:t>85 514 000,00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065BC501" w14:textId="77777777" w:rsidR="00387142" w:rsidRPr="008B6A75" w:rsidRDefault="00387142" w:rsidP="00387142">
            <w:pPr>
              <w:jc w:val="right"/>
              <w:rPr>
                <w:bCs/>
                <w:sz w:val="20"/>
                <w:szCs w:val="20"/>
              </w:rPr>
            </w:pPr>
            <w:r w:rsidRPr="008B6A75">
              <w:rPr>
                <w:bCs/>
                <w:sz w:val="20"/>
                <w:szCs w:val="20"/>
              </w:rPr>
              <w:t>92 131 604,01</w:t>
            </w:r>
          </w:p>
        </w:tc>
      </w:tr>
      <w:tr w:rsidR="00387142" w:rsidRPr="008B6A75" w14:paraId="5493E6D0" w14:textId="77777777" w:rsidTr="00387142">
        <w:trPr>
          <w:trHeight w:val="870"/>
        </w:trPr>
        <w:tc>
          <w:tcPr>
            <w:tcW w:w="3261" w:type="dxa"/>
            <w:tcBorders>
              <w:top w:val="nil"/>
              <w:left w:val="single" w:sz="4" w:space="0" w:color="auto"/>
              <w:bottom w:val="single" w:sz="4" w:space="0" w:color="auto"/>
              <w:right w:val="nil"/>
            </w:tcBorders>
            <w:shd w:val="clear" w:color="auto" w:fill="auto"/>
            <w:vAlign w:val="center"/>
            <w:hideMark/>
          </w:tcPr>
          <w:p w14:paraId="12CB71EA" w14:textId="77777777" w:rsidR="00387142" w:rsidRPr="008B6A75" w:rsidRDefault="00387142" w:rsidP="00387142">
            <w:pPr>
              <w:rPr>
                <w:bCs/>
                <w:sz w:val="20"/>
                <w:szCs w:val="20"/>
              </w:rPr>
            </w:pPr>
            <w:r w:rsidRPr="008B6A75">
              <w:rPr>
                <w:bCs/>
                <w:sz w:val="20"/>
                <w:szCs w:val="20"/>
              </w:rPr>
              <w:t>Муниципальная программа "Организация социально-значимых мероприятий на территории Куйбышевского района"</w:t>
            </w:r>
          </w:p>
        </w:tc>
        <w:tc>
          <w:tcPr>
            <w:tcW w:w="720" w:type="dxa"/>
            <w:tcBorders>
              <w:top w:val="nil"/>
              <w:left w:val="single" w:sz="4" w:space="0" w:color="auto"/>
              <w:bottom w:val="single" w:sz="4" w:space="0" w:color="auto"/>
              <w:right w:val="nil"/>
            </w:tcBorders>
            <w:shd w:val="clear" w:color="auto" w:fill="auto"/>
            <w:noWrap/>
            <w:vAlign w:val="center"/>
            <w:hideMark/>
          </w:tcPr>
          <w:p w14:paraId="21DDE4D1" w14:textId="77777777" w:rsidR="00387142" w:rsidRPr="008B6A75" w:rsidRDefault="00387142" w:rsidP="00387142">
            <w:pPr>
              <w:jc w:val="center"/>
              <w:rPr>
                <w:bCs/>
                <w:sz w:val="20"/>
                <w:szCs w:val="20"/>
              </w:rPr>
            </w:pPr>
            <w:r w:rsidRPr="008B6A75">
              <w:rPr>
                <w:bCs/>
                <w:sz w:val="20"/>
                <w:szCs w:val="20"/>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89FF25A" w14:textId="77777777" w:rsidR="00387142" w:rsidRPr="008B6A75" w:rsidRDefault="00387142" w:rsidP="00387142">
            <w:pPr>
              <w:jc w:val="center"/>
              <w:rPr>
                <w:bCs/>
                <w:sz w:val="20"/>
                <w:szCs w:val="20"/>
              </w:rPr>
            </w:pPr>
            <w:r w:rsidRPr="008B6A75">
              <w:rPr>
                <w:bCs/>
                <w:sz w:val="20"/>
                <w:szCs w:val="20"/>
              </w:rPr>
              <w:t>02</w:t>
            </w:r>
          </w:p>
        </w:tc>
        <w:tc>
          <w:tcPr>
            <w:tcW w:w="1516" w:type="dxa"/>
            <w:tcBorders>
              <w:top w:val="nil"/>
              <w:left w:val="single" w:sz="4" w:space="0" w:color="auto"/>
              <w:bottom w:val="single" w:sz="4" w:space="0" w:color="auto"/>
              <w:right w:val="nil"/>
            </w:tcBorders>
            <w:shd w:val="clear" w:color="auto" w:fill="auto"/>
            <w:noWrap/>
            <w:vAlign w:val="center"/>
            <w:hideMark/>
          </w:tcPr>
          <w:p w14:paraId="0B214B07" w14:textId="77777777" w:rsidR="00387142" w:rsidRPr="008B6A75" w:rsidRDefault="00387142" w:rsidP="00387142">
            <w:pPr>
              <w:jc w:val="center"/>
              <w:rPr>
                <w:bCs/>
                <w:sz w:val="20"/>
                <w:szCs w:val="20"/>
              </w:rPr>
            </w:pPr>
            <w:r w:rsidRPr="008B6A75">
              <w:rPr>
                <w:bCs/>
                <w:sz w:val="20"/>
                <w:szCs w:val="20"/>
              </w:rPr>
              <w:t>30.0.00.00000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7480757"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14E4622" w14:textId="77777777" w:rsidR="00387142" w:rsidRPr="008B6A75" w:rsidRDefault="00387142" w:rsidP="00387142">
            <w:pPr>
              <w:jc w:val="right"/>
              <w:rPr>
                <w:bCs/>
                <w:sz w:val="20"/>
                <w:szCs w:val="20"/>
              </w:rPr>
            </w:pPr>
            <w:r w:rsidRPr="008B6A75">
              <w:rPr>
                <w:bCs/>
                <w:sz w:val="20"/>
                <w:szCs w:val="20"/>
              </w:rPr>
              <w:t>420 500,00</w:t>
            </w:r>
          </w:p>
        </w:tc>
        <w:tc>
          <w:tcPr>
            <w:tcW w:w="992" w:type="dxa"/>
            <w:tcBorders>
              <w:top w:val="nil"/>
              <w:left w:val="single" w:sz="4" w:space="0" w:color="auto"/>
              <w:bottom w:val="single" w:sz="4" w:space="0" w:color="auto"/>
              <w:right w:val="nil"/>
            </w:tcBorders>
            <w:shd w:val="clear" w:color="auto" w:fill="auto"/>
            <w:vAlign w:val="center"/>
            <w:hideMark/>
          </w:tcPr>
          <w:p w14:paraId="72E562A9" w14:textId="77777777" w:rsidR="00387142" w:rsidRPr="008B6A75" w:rsidRDefault="00387142" w:rsidP="00387142">
            <w:pPr>
              <w:jc w:val="right"/>
              <w:rPr>
                <w:bCs/>
                <w:sz w:val="20"/>
                <w:szCs w:val="20"/>
              </w:rPr>
            </w:pPr>
            <w:r w:rsidRPr="008B6A75">
              <w:rPr>
                <w:bCs/>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6506E534" w14:textId="77777777" w:rsidR="00387142" w:rsidRPr="008B6A75" w:rsidRDefault="00387142" w:rsidP="00387142">
            <w:pPr>
              <w:jc w:val="right"/>
              <w:rPr>
                <w:bCs/>
                <w:sz w:val="20"/>
                <w:szCs w:val="20"/>
              </w:rPr>
            </w:pPr>
            <w:r w:rsidRPr="008B6A75">
              <w:rPr>
                <w:bCs/>
                <w:sz w:val="20"/>
                <w:szCs w:val="20"/>
              </w:rPr>
              <w:t>0,00</w:t>
            </w:r>
          </w:p>
        </w:tc>
      </w:tr>
      <w:tr w:rsidR="00387142" w:rsidRPr="008B6A75" w14:paraId="3D863F45" w14:textId="77777777" w:rsidTr="00387142">
        <w:trPr>
          <w:trHeight w:val="1155"/>
        </w:trPr>
        <w:tc>
          <w:tcPr>
            <w:tcW w:w="3261" w:type="dxa"/>
            <w:tcBorders>
              <w:top w:val="nil"/>
              <w:left w:val="single" w:sz="4" w:space="0" w:color="auto"/>
              <w:bottom w:val="single" w:sz="4" w:space="0" w:color="auto"/>
              <w:right w:val="nil"/>
            </w:tcBorders>
            <w:shd w:val="clear" w:color="auto" w:fill="auto"/>
            <w:vAlign w:val="center"/>
            <w:hideMark/>
          </w:tcPr>
          <w:p w14:paraId="490A9B1E" w14:textId="77777777" w:rsidR="00387142" w:rsidRPr="008B6A75" w:rsidRDefault="00387142" w:rsidP="00387142">
            <w:pPr>
              <w:rPr>
                <w:bCs/>
                <w:sz w:val="20"/>
                <w:szCs w:val="20"/>
              </w:rPr>
            </w:pPr>
            <w:r w:rsidRPr="008B6A75">
              <w:rPr>
                <w:bCs/>
                <w:sz w:val="20"/>
                <w:szCs w:val="20"/>
              </w:rPr>
              <w:t>Реализация мероприятий муниципальной программы "Организация социально-значимых мероприятий на территории Куйбышевского района"</w:t>
            </w:r>
          </w:p>
        </w:tc>
        <w:tc>
          <w:tcPr>
            <w:tcW w:w="720" w:type="dxa"/>
            <w:tcBorders>
              <w:top w:val="nil"/>
              <w:left w:val="single" w:sz="4" w:space="0" w:color="auto"/>
              <w:bottom w:val="single" w:sz="4" w:space="0" w:color="auto"/>
              <w:right w:val="nil"/>
            </w:tcBorders>
            <w:shd w:val="clear" w:color="auto" w:fill="auto"/>
            <w:noWrap/>
            <w:vAlign w:val="center"/>
            <w:hideMark/>
          </w:tcPr>
          <w:p w14:paraId="36EDBAC5" w14:textId="77777777" w:rsidR="00387142" w:rsidRPr="008B6A75" w:rsidRDefault="00387142" w:rsidP="00387142">
            <w:pPr>
              <w:jc w:val="center"/>
              <w:rPr>
                <w:bCs/>
                <w:sz w:val="20"/>
                <w:szCs w:val="20"/>
              </w:rPr>
            </w:pPr>
            <w:r w:rsidRPr="008B6A75">
              <w:rPr>
                <w:bCs/>
                <w:sz w:val="20"/>
                <w:szCs w:val="20"/>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922EE7B" w14:textId="77777777" w:rsidR="00387142" w:rsidRPr="008B6A75" w:rsidRDefault="00387142" w:rsidP="00387142">
            <w:pPr>
              <w:jc w:val="center"/>
              <w:rPr>
                <w:bCs/>
                <w:sz w:val="20"/>
                <w:szCs w:val="20"/>
              </w:rPr>
            </w:pPr>
            <w:r w:rsidRPr="008B6A75">
              <w:rPr>
                <w:bCs/>
                <w:sz w:val="20"/>
                <w:szCs w:val="20"/>
              </w:rPr>
              <w:t>02</w:t>
            </w:r>
          </w:p>
        </w:tc>
        <w:tc>
          <w:tcPr>
            <w:tcW w:w="1516" w:type="dxa"/>
            <w:tcBorders>
              <w:top w:val="nil"/>
              <w:left w:val="single" w:sz="4" w:space="0" w:color="auto"/>
              <w:bottom w:val="single" w:sz="4" w:space="0" w:color="auto"/>
              <w:right w:val="nil"/>
            </w:tcBorders>
            <w:shd w:val="clear" w:color="auto" w:fill="auto"/>
            <w:noWrap/>
            <w:vAlign w:val="center"/>
            <w:hideMark/>
          </w:tcPr>
          <w:p w14:paraId="2C23D980" w14:textId="77777777" w:rsidR="00387142" w:rsidRPr="008B6A75" w:rsidRDefault="00387142" w:rsidP="00387142">
            <w:pPr>
              <w:jc w:val="center"/>
              <w:rPr>
                <w:bCs/>
                <w:sz w:val="20"/>
                <w:szCs w:val="20"/>
              </w:rPr>
            </w:pPr>
            <w:r w:rsidRPr="008B6A75">
              <w:rPr>
                <w:bCs/>
                <w:sz w:val="20"/>
                <w:szCs w:val="20"/>
              </w:rPr>
              <w:t>30.0.00.10950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65BBDCB"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88CFAB9" w14:textId="77777777" w:rsidR="00387142" w:rsidRPr="008B6A75" w:rsidRDefault="00387142" w:rsidP="00387142">
            <w:pPr>
              <w:jc w:val="right"/>
              <w:rPr>
                <w:bCs/>
                <w:sz w:val="20"/>
                <w:szCs w:val="20"/>
              </w:rPr>
            </w:pPr>
            <w:r w:rsidRPr="008B6A75">
              <w:rPr>
                <w:bCs/>
                <w:sz w:val="20"/>
                <w:szCs w:val="20"/>
              </w:rPr>
              <w:t>420 500,00</w:t>
            </w:r>
          </w:p>
        </w:tc>
        <w:tc>
          <w:tcPr>
            <w:tcW w:w="992" w:type="dxa"/>
            <w:tcBorders>
              <w:top w:val="nil"/>
              <w:left w:val="single" w:sz="4" w:space="0" w:color="auto"/>
              <w:bottom w:val="single" w:sz="4" w:space="0" w:color="auto"/>
              <w:right w:val="nil"/>
            </w:tcBorders>
            <w:shd w:val="clear" w:color="auto" w:fill="auto"/>
            <w:vAlign w:val="center"/>
            <w:hideMark/>
          </w:tcPr>
          <w:p w14:paraId="137B6D4B" w14:textId="77777777" w:rsidR="00387142" w:rsidRPr="008B6A75" w:rsidRDefault="00387142" w:rsidP="00387142">
            <w:pPr>
              <w:jc w:val="right"/>
              <w:rPr>
                <w:bCs/>
                <w:sz w:val="20"/>
                <w:szCs w:val="20"/>
              </w:rPr>
            </w:pPr>
            <w:r w:rsidRPr="008B6A75">
              <w:rPr>
                <w:bCs/>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011C80CF" w14:textId="77777777" w:rsidR="00387142" w:rsidRPr="008B6A75" w:rsidRDefault="00387142" w:rsidP="00387142">
            <w:pPr>
              <w:jc w:val="right"/>
              <w:rPr>
                <w:bCs/>
                <w:sz w:val="20"/>
                <w:szCs w:val="20"/>
              </w:rPr>
            </w:pPr>
            <w:r w:rsidRPr="008B6A75">
              <w:rPr>
                <w:bCs/>
                <w:sz w:val="20"/>
                <w:szCs w:val="20"/>
              </w:rPr>
              <w:t>0,00</w:t>
            </w:r>
          </w:p>
        </w:tc>
      </w:tr>
      <w:tr w:rsidR="00387142" w:rsidRPr="008B6A75" w14:paraId="106A5C39" w14:textId="77777777" w:rsidTr="00387142">
        <w:trPr>
          <w:trHeight w:val="870"/>
        </w:trPr>
        <w:tc>
          <w:tcPr>
            <w:tcW w:w="3261" w:type="dxa"/>
            <w:tcBorders>
              <w:top w:val="nil"/>
              <w:left w:val="single" w:sz="4" w:space="0" w:color="auto"/>
              <w:bottom w:val="single" w:sz="4" w:space="0" w:color="auto"/>
              <w:right w:val="nil"/>
            </w:tcBorders>
            <w:shd w:val="clear" w:color="auto" w:fill="auto"/>
            <w:vAlign w:val="center"/>
            <w:hideMark/>
          </w:tcPr>
          <w:p w14:paraId="62360B23" w14:textId="77777777" w:rsidR="00387142" w:rsidRPr="008B6A75" w:rsidRDefault="00387142" w:rsidP="00387142">
            <w:pPr>
              <w:rPr>
                <w:sz w:val="20"/>
                <w:szCs w:val="20"/>
              </w:rPr>
            </w:pPr>
            <w:r w:rsidRPr="008B6A75">
              <w:rPr>
                <w:sz w:val="20"/>
                <w:szCs w:val="20"/>
              </w:rPr>
              <w:t>Предоставление субсидий бюджетным, автономным учреждениям и иным некоммерческим организациям</w:t>
            </w:r>
          </w:p>
        </w:tc>
        <w:tc>
          <w:tcPr>
            <w:tcW w:w="720" w:type="dxa"/>
            <w:tcBorders>
              <w:top w:val="nil"/>
              <w:left w:val="single" w:sz="4" w:space="0" w:color="auto"/>
              <w:bottom w:val="single" w:sz="4" w:space="0" w:color="auto"/>
              <w:right w:val="nil"/>
            </w:tcBorders>
            <w:shd w:val="clear" w:color="auto" w:fill="auto"/>
            <w:noWrap/>
            <w:vAlign w:val="center"/>
            <w:hideMark/>
          </w:tcPr>
          <w:p w14:paraId="4E56378C" w14:textId="77777777" w:rsidR="00387142" w:rsidRPr="008B6A75" w:rsidRDefault="00387142" w:rsidP="00387142">
            <w:pPr>
              <w:jc w:val="center"/>
              <w:rPr>
                <w:sz w:val="20"/>
                <w:szCs w:val="20"/>
              </w:rPr>
            </w:pPr>
            <w:r w:rsidRPr="008B6A75">
              <w:rPr>
                <w:sz w:val="20"/>
                <w:szCs w:val="20"/>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C9DDD09" w14:textId="77777777" w:rsidR="00387142" w:rsidRPr="008B6A75" w:rsidRDefault="00387142" w:rsidP="00387142">
            <w:pPr>
              <w:jc w:val="center"/>
              <w:rPr>
                <w:sz w:val="20"/>
                <w:szCs w:val="20"/>
              </w:rPr>
            </w:pPr>
            <w:r w:rsidRPr="008B6A75">
              <w:rPr>
                <w:sz w:val="20"/>
                <w:szCs w:val="20"/>
              </w:rPr>
              <w:t>02</w:t>
            </w:r>
          </w:p>
        </w:tc>
        <w:tc>
          <w:tcPr>
            <w:tcW w:w="1516" w:type="dxa"/>
            <w:tcBorders>
              <w:top w:val="nil"/>
              <w:left w:val="single" w:sz="4" w:space="0" w:color="auto"/>
              <w:bottom w:val="single" w:sz="4" w:space="0" w:color="auto"/>
              <w:right w:val="nil"/>
            </w:tcBorders>
            <w:shd w:val="clear" w:color="auto" w:fill="auto"/>
            <w:noWrap/>
            <w:vAlign w:val="center"/>
            <w:hideMark/>
          </w:tcPr>
          <w:p w14:paraId="2F3580AE" w14:textId="77777777" w:rsidR="00387142" w:rsidRPr="008B6A75" w:rsidRDefault="00387142" w:rsidP="00387142">
            <w:pPr>
              <w:jc w:val="center"/>
              <w:rPr>
                <w:sz w:val="20"/>
                <w:szCs w:val="20"/>
              </w:rPr>
            </w:pPr>
            <w:r w:rsidRPr="008B6A75">
              <w:rPr>
                <w:sz w:val="20"/>
                <w:szCs w:val="20"/>
              </w:rPr>
              <w:t>30.0.00.10950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29667F5" w14:textId="77777777" w:rsidR="00387142" w:rsidRPr="008B6A75" w:rsidRDefault="00387142" w:rsidP="00387142">
            <w:pPr>
              <w:jc w:val="center"/>
              <w:rPr>
                <w:sz w:val="20"/>
                <w:szCs w:val="20"/>
              </w:rPr>
            </w:pPr>
            <w:r w:rsidRPr="008B6A75">
              <w:rPr>
                <w:sz w:val="20"/>
                <w:szCs w:val="20"/>
              </w:rPr>
              <w:t>600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F1EE630" w14:textId="77777777" w:rsidR="00387142" w:rsidRPr="008B6A75" w:rsidRDefault="00387142" w:rsidP="00387142">
            <w:pPr>
              <w:jc w:val="right"/>
              <w:rPr>
                <w:sz w:val="20"/>
                <w:szCs w:val="20"/>
              </w:rPr>
            </w:pPr>
            <w:r w:rsidRPr="008B6A75">
              <w:rPr>
                <w:sz w:val="20"/>
                <w:szCs w:val="20"/>
              </w:rPr>
              <w:t>420 500,00</w:t>
            </w:r>
          </w:p>
        </w:tc>
        <w:tc>
          <w:tcPr>
            <w:tcW w:w="992" w:type="dxa"/>
            <w:tcBorders>
              <w:top w:val="nil"/>
              <w:left w:val="single" w:sz="4" w:space="0" w:color="auto"/>
              <w:bottom w:val="single" w:sz="4" w:space="0" w:color="auto"/>
              <w:right w:val="nil"/>
            </w:tcBorders>
            <w:shd w:val="clear" w:color="auto" w:fill="auto"/>
            <w:vAlign w:val="center"/>
            <w:hideMark/>
          </w:tcPr>
          <w:p w14:paraId="6F71A483" w14:textId="77777777" w:rsidR="00387142" w:rsidRPr="008B6A75" w:rsidRDefault="00387142" w:rsidP="00387142">
            <w:pPr>
              <w:jc w:val="right"/>
              <w:rPr>
                <w:sz w:val="20"/>
                <w:szCs w:val="20"/>
              </w:rPr>
            </w:pPr>
            <w:r w:rsidRPr="008B6A75">
              <w:rPr>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75C13710" w14:textId="77777777" w:rsidR="00387142" w:rsidRPr="008B6A75" w:rsidRDefault="00387142" w:rsidP="00387142">
            <w:pPr>
              <w:jc w:val="right"/>
              <w:rPr>
                <w:sz w:val="20"/>
                <w:szCs w:val="20"/>
              </w:rPr>
            </w:pPr>
            <w:r w:rsidRPr="008B6A75">
              <w:rPr>
                <w:sz w:val="20"/>
                <w:szCs w:val="20"/>
              </w:rPr>
              <w:t>0,00</w:t>
            </w:r>
          </w:p>
        </w:tc>
      </w:tr>
      <w:tr w:rsidR="00387142" w:rsidRPr="008B6A75" w14:paraId="4F3FDB00" w14:textId="77777777" w:rsidTr="00387142">
        <w:trPr>
          <w:trHeight w:val="345"/>
        </w:trPr>
        <w:tc>
          <w:tcPr>
            <w:tcW w:w="3261" w:type="dxa"/>
            <w:tcBorders>
              <w:top w:val="nil"/>
              <w:left w:val="single" w:sz="4" w:space="0" w:color="auto"/>
              <w:bottom w:val="single" w:sz="4" w:space="0" w:color="auto"/>
              <w:right w:val="nil"/>
            </w:tcBorders>
            <w:shd w:val="clear" w:color="auto" w:fill="auto"/>
            <w:vAlign w:val="center"/>
            <w:hideMark/>
          </w:tcPr>
          <w:p w14:paraId="5B60B07A" w14:textId="77777777" w:rsidR="00387142" w:rsidRPr="008B6A75" w:rsidRDefault="00387142" w:rsidP="00387142">
            <w:pPr>
              <w:rPr>
                <w:sz w:val="20"/>
                <w:szCs w:val="20"/>
              </w:rPr>
            </w:pPr>
            <w:r w:rsidRPr="008B6A75">
              <w:rPr>
                <w:sz w:val="20"/>
                <w:szCs w:val="20"/>
              </w:rPr>
              <w:t>Субсидии бюджетным учреждениям</w:t>
            </w:r>
          </w:p>
        </w:tc>
        <w:tc>
          <w:tcPr>
            <w:tcW w:w="720" w:type="dxa"/>
            <w:tcBorders>
              <w:top w:val="nil"/>
              <w:left w:val="single" w:sz="4" w:space="0" w:color="auto"/>
              <w:bottom w:val="single" w:sz="4" w:space="0" w:color="auto"/>
              <w:right w:val="nil"/>
            </w:tcBorders>
            <w:shd w:val="clear" w:color="auto" w:fill="auto"/>
            <w:noWrap/>
            <w:vAlign w:val="center"/>
            <w:hideMark/>
          </w:tcPr>
          <w:p w14:paraId="275F13E2" w14:textId="77777777" w:rsidR="00387142" w:rsidRPr="008B6A75" w:rsidRDefault="00387142" w:rsidP="00387142">
            <w:pPr>
              <w:jc w:val="center"/>
              <w:rPr>
                <w:sz w:val="20"/>
                <w:szCs w:val="20"/>
              </w:rPr>
            </w:pPr>
            <w:r w:rsidRPr="008B6A75">
              <w:rPr>
                <w:sz w:val="20"/>
                <w:szCs w:val="20"/>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58A9D99" w14:textId="77777777" w:rsidR="00387142" w:rsidRPr="008B6A75" w:rsidRDefault="00387142" w:rsidP="00387142">
            <w:pPr>
              <w:jc w:val="center"/>
              <w:rPr>
                <w:sz w:val="20"/>
                <w:szCs w:val="20"/>
              </w:rPr>
            </w:pPr>
            <w:r w:rsidRPr="008B6A75">
              <w:rPr>
                <w:sz w:val="20"/>
                <w:szCs w:val="20"/>
              </w:rPr>
              <w:t>02</w:t>
            </w:r>
          </w:p>
        </w:tc>
        <w:tc>
          <w:tcPr>
            <w:tcW w:w="1516" w:type="dxa"/>
            <w:tcBorders>
              <w:top w:val="nil"/>
              <w:left w:val="single" w:sz="4" w:space="0" w:color="auto"/>
              <w:bottom w:val="single" w:sz="4" w:space="0" w:color="auto"/>
              <w:right w:val="nil"/>
            </w:tcBorders>
            <w:shd w:val="clear" w:color="auto" w:fill="auto"/>
            <w:noWrap/>
            <w:vAlign w:val="center"/>
            <w:hideMark/>
          </w:tcPr>
          <w:p w14:paraId="31CC978D" w14:textId="77777777" w:rsidR="00387142" w:rsidRPr="008B6A75" w:rsidRDefault="00387142" w:rsidP="00387142">
            <w:pPr>
              <w:jc w:val="center"/>
              <w:rPr>
                <w:sz w:val="20"/>
                <w:szCs w:val="20"/>
              </w:rPr>
            </w:pPr>
            <w:r w:rsidRPr="008B6A75">
              <w:rPr>
                <w:sz w:val="20"/>
                <w:szCs w:val="20"/>
              </w:rPr>
              <w:t>30.0.00.10950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0DED311" w14:textId="77777777" w:rsidR="00387142" w:rsidRPr="008B6A75" w:rsidRDefault="00387142" w:rsidP="00387142">
            <w:pPr>
              <w:jc w:val="center"/>
              <w:rPr>
                <w:sz w:val="20"/>
                <w:szCs w:val="20"/>
              </w:rPr>
            </w:pPr>
            <w:r w:rsidRPr="008B6A75">
              <w:rPr>
                <w:sz w:val="20"/>
                <w:szCs w:val="20"/>
              </w:rPr>
              <w:t>610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F53FAA8" w14:textId="77777777" w:rsidR="00387142" w:rsidRPr="008B6A75" w:rsidRDefault="00387142" w:rsidP="00387142">
            <w:pPr>
              <w:jc w:val="right"/>
              <w:rPr>
                <w:sz w:val="20"/>
                <w:szCs w:val="20"/>
              </w:rPr>
            </w:pPr>
            <w:r w:rsidRPr="008B6A75">
              <w:rPr>
                <w:sz w:val="20"/>
                <w:szCs w:val="20"/>
              </w:rPr>
              <w:t>420 500,00</w:t>
            </w:r>
          </w:p>
        </w:tc>
        <w:tc>
          <w:tcPr>
            <w:tcW w:w="992" w:type="dxa"/>
            <w:tcBorders>
              <w:top w:val="nil"/>
              <w:left w:val="single" w:sz="4" w:space="0" w:color="auto"/>
              <w:bottom w:val="single" w:sz="4" w:space="0" w:color="auto"/>
              <w:right w:val="nil"/>
            </w:tcBorders>
            <w:shd w:val="clear" w:color="auto" w:fill="auto"/>
            <w:vAlign w:val="center"/>
            <w:hideMark/>
          </w:tcPr>
          <w:p w14:paraId="63C3E3CF" w14:textId="77777777" w:rsidR="00387142" w:rsidRPr="008B6A75" w:rsidRDefault="00387142" w:rsidP="00387142">
            <w:pPr>
              <w:jc w:val="right"/>
              <w:rPr>
                <w:sz w:val="20"/>
                <w:szCs w:val="20"/>
              </w:rPr>
            </w:pPr>
            <w:r w:rsidRPr="008B6A75">
              <w:rPr>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6D0761CD" w14:textId="77777777" w:rsidR="00387142" w:rsidRPr="008B6A75" w:rsidRDefault="00387142" w:rsidP="00387142">
            <w:pPr>
              <w:jc w:val="right"/>
              <w:rPr>
                <w:sz w:val="20"/>
                <w:szCs w:val="20"/>
              </w:rPr>
            </w:pPr>
            <w:r w:rsidRPr="008B6A75">
              <w:rPr>
                <w:sz w:val="20"/>
                <w:szCs w:val="20"/>
              </w:rPr>
              <w:t>0,00</w:t>
            </w:r>
          </w:p>
        </w:tc>
      </w:tr>
      <w:tr w:rsidR="00387142" w:rsidRPr="008B6A75" w14:paraId="46AB425A" w14:textId="77777777" w:rsidTr="00387142">
        <w:trPr>
          <w:trHeight w:val="345"/>
        </w:trPr>
        <w:tc>
          <w:tcPr>
            <w:tcW w:w="3261" w:type="dxa"/>
            <w:tcBorders>
              <w:top w:val="nil"/>
              <w:left w:val="single" w:sz="4" w:space="0" w:color="auto"/>
              <w:bottom w:val="single" w:sz="4" w:space="0" w:color="auto"/>
              <w:right w:val="nil"/>
            </w:tcBorders>
            <w:shd w:val="clear" w:color="auto" w:fill="auto"/>
            <w:vAlign w:val="center"/>
            <w:hideMark/>
          </w:tcPr>
          <w:p w14:paraId="5FC16DA2" w14:textId="77777777" w:rsidR="00387142" w:rsidRPr="008B6A75" w:rsidRDefault="00387142" w:rsidP="00387142">
            <w:pPr>
              <w:rPr>
                <w:bCs/>
                <w:sz w:val="20"/>
                <w:szCs w:val="20"/>
              </w:rPr>
            </w:pPr>
            <w:r w:rsidRPr="008B6A75">
              <w:rPr>
                <w:bCs/>
                <w:sz w:val="20"/>
                <w:szCs w:val="20"/>
              </w:rPr>
              <w:t>Непрограммные направления бюджета</w:t>
            </w:r>
          </w:p>
        </w:tc>
        <w:tc>
          <w:tcPr>
            <w:tcW w:w="720" w:type="dxa"/>
            <w:tcBorders>
              <w:top w:val="nil"/>
              <w:left w:val="single" w:sz="4" w:space="0" w:color="auto"/>
              <w:bottom w:val="single" w:sz="4" w:space="0" w:color="auto"/>
              <w:right w:val="nil"/>
            </w:tcBorders>
            <w:shd w:val="clear" w:color="auto" w:fill="auto"/>
            <w:noWrap/>
            <w:vAlign w:val="center"/>
            <w:hideMark/>
          </w:tcPr>
          <w:p w14:paraId="1A97C981" w14:textId="77777777" w:rsidR="00387142" w:rsidRPr="008B6A75" w:rsidRDefault="00387142" w:rsidP="00387142">
            <w:pPr>
              <w:jc w:val="center"/>
              <w:rPr>
                <w:bCs/>
                <w:sz w:val="20"/>
                <w:szCs w:val="20"/>
              </w:rPr>
            </w:pPr>
            <w:r w:rsidRPr="008B6A75">
              <w:rPr>
                <w:bCs/>
                <w:sz w:val="20"/>
                <w:szCs w:val="20"/>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C1A11AF" w14:textId="77777777" w:rsidR="00387142" w:rsidRPr="008B6A75" w:rsidRDefault="00387142" w:rsidP="00387142">
            <w:pPr>
              <w:jc w:val="center"/>
              <w:rPr>
                <w:bCs/>
                <w:sz w:val="20"/>
                <w:szCs w:val="20"/>
              </w:rPr>
            </w:pPr>
            <w:r w:rsidRPr="008B6A75">
              <w:rPr>
                <w:bCs/>
                <w:sz w:val="20"/>
                <w:szCs w:val="20"/>
              </w:rPr>
              <w:t>02</w:t>
            </w:r>
          </w:p>
        </w:tc>
        <w:tc>
          <w:tcPr>
            <w:tcW w:w="1516" w:type="dxa"/>
            <w:tcBorders>
              <w:top w:val="nil"/>
              <w:left w:val="single" w:sz="4" w:space="0" w:color="auto"/>
              <w:bottom w:val="single" w:sz="4" w:space="0" w:color="auto"/>
              <w:right w:val="nil"/>
            </w:tcBorders>
            <w:shd w:val="clear" w:color="auto" w:fill="auto"/>
            <w:noWrap/>
            <w:vAlign w:val="center"/>
            <w:hideMark/>
          </w:tcPr>
          <w:p w14:paraId="1F254CC7" w14:textId="77777777" w:rsidR="00387142" w:rsidRPr="008B6A75" w:rsidRDefault="00387142" w:rsidP="00387142">
            <w:pPr>
              <w:jc w:val="center"/>
              <w:rPr>
                <w:bCs/>
                <w:sz w:val="20"/>
                <w:szCs w:val="20"/>
              </w:rPr>
            </w:pPr>
            <w:r w:rsidRPr="008B6A75">
              <w:rPr>
                <w:bCs/>
                <w:sz w:val="20"/>
                <w:szCs w:val="20"/>
              </w:rPr>
              <w:t>99.0.00.00000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4FF3ED7"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F1AA20E" w14:textId="77777777" w:rsidR="00387142" w:rsidRPr="008B6A75" w:rsidRDefault="00387142" w:rsidP="00387142">
            <w:pPr>
              <w:jc w:val="right"/>
              <w:rPr>
                <w:bCs/>
                <w:sz w:val="20"/>
                <w:szCs w:val="20"/>
              </w:rPr>
            </w:pPr>
            <w:r w:rsidRPr="008B6A75">
              <w:rPr>
                <w:bCs/>
                <w:sz w:val="20"/>
                <w:szCs w:val="20"/>
              </w:rPr>
              <w:t>87 896 035,44</w:t>
            </w:r>
          </w:p>
        </w:tc>
        <w:tc>
          <w:tcPr>
            <w:tcW w:w="992" w:type="dxa"/>
            <w:tcBorders>
              <w:top w:val="nil"/>
              <w:left w:val="single" w:sz="4" w:space="0" w:color="auto"/>
              <w:bottom w:val="single" w:sz="4" w:space="0" w:color="auto"/>
              <w:right w:val="nil"/>
            </w:tcBorders>
            <w:shd w:val="clear" w:color="auto" w:fill="auto"/>
            <w:vAlign w:val="center"/>
            <w:hideMark/>
          </w:tcPr>
          <w:p w14:paraId="3BC7FF47" w14:textId="77777777" w:rsidR="00387142" w:rsidRPr="008B6A75" w:rsidRDefault="00387142" w:rsidP="00387142">
            <w:pPr>
              <w:jc w:val="right"/>
              <w:rPr>
                <w:bCs/>
                <w:sz w:val="20"/>
                <w:szCs w:val="20"/>
              </w:rPr>
            </w:pPr>
            <w:r w:rsidRPr="008B6A75">
              <w:rPr>
                <w:bCs/>
                <w:sz w:val="20"/>
                <w:szCs w:val="20"/>
              </w:rPr>
              <w:t>85 514 000,00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02991AF1" w14:textId="77777777" w:rsidR="00387142" w:rsidRPr="008B6A75" w:rsidRDefault="00387142" w:rsidP="00387142">
            <w:pPr>
              <w:jc w:val="right"/>
              <w:rPr>
                <w:bCs/>
                <w:sz w:val="20"/>
                <w:szCs w:val="20"/>
              </w:rPr>
            </w:pPr>
            <w:r w:rsidRPr="008B6A75">
              <w:rPr>
                <w:bCs/>
                <w:sz w:val="20"/>
                <w:szCs w:val="20"/>
              </w:rPr>
              <w:t>92 131 604,01</w:t>
            </w:r>
          </w:p>
        </w:tc>
      </w:tr>
      <w:tr w:rsidR="00387142" w:rsidRPr="008B6A75" w14:paraId="5CCA3D93" w14:textId="77777777" w:rsidTr="00387142">
        <w:trPr>
          <w:trHeight w:val="345"/>
        </w:trPr>
        <w:tc>
          <w:tcPr>
            <w:tcW w:w="3261" w:type="dxa"/>
            <w:tcBorders>
              <w:top w:val="nil"/>
              <w:left w:val="single" w:sz="4" w:space="0" w:color="auto"/>
              <w:bottom w:val="single" w:sz="4" w:space="0" w:color="auto"/>
              <w:right w:val="nil"/>
            </w:tcBorders>
            <w:shd w:val="clear" w:color="auto" w:fill="auto"/>
            <w:vAlign w:val="center"/>
            <w:hideMark/>
          </w:tcPr>
          <w:p w14:paraId="331D5662" w14:textId="77777777" w:rsidR="00387142" w:rsidRPr="008B6A75" w:rsidRDefault="00387142" w:rsidP="00387142">
            <w:pPr>
              <w:rPr>
                <w:bCs/>
                <w:sz w:val="20"/>
                <w:szCs w:val="20"/>
              </w:rPr>
            </w:pPr>
            <w:r w:rsidRPr="008B6A75">
              <w:rPr>
                <w:bCs/>
                <w:sz w:val="20"/>
                <w:szCs w:val="20"/>
              </w:rPr>
              <w:t>Резервные фонды местного бюджета</w:t>
            </w:r>
          </w:p>
        </w:tc>
        <w:tc>
          <w:tcPr>
            <w:tcW w:w="720" w:type="dxa"/>
            <w:tcBorders>
              <w:top w:val="nil"/>
              <w:left w:val="single" w:sz="4" w:space="0" w:color="auto"/>
              <w:bottom w:val="single" w:sz="4" w:space="0" w:color="auto"/>
              <w:right w:val="nil"/>
            </w:tcBorders>
            <w:shd w:val="clear" w:color="auto" w:fill="auto"/>
            <w:noWrap/>
            <w:vAlign w:val="center"/>
            <w:hideMark/>
          </w:tcPr>
          <w:p w14:paraId="0787B65C" w14:textId="77777777" w:rsidR="00387142" w:rsidRPr="008B6A75" w:rsidRDefault="00387142" w:rsidP="00387142">
            <w:pPr>
              <w:jc w:val="center"/>
              <w:rPr>
                <w:bCs/>
                <w:sz w:val="20"/>
                <w:szCs w:val="20"/>
              </w:rPr>
            </w:pPr>
            <w:r w:rsidRPr="008B6A75">
              <w:rPr>
                <w:bCs/>
                <w:sz w:val="20"/>
                <w:szCs w:val="20"/>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C6BA935" w14:textId="77777777" w:rsidR="00387142" w:rsidRPr="008B6A75" w:rsidRDefault="00387142" w:rsidP="00387142">
            <w:pPr>
              <w:jc w:val="center"/>
              <w:rPr>
                <w:bCs/>
                <w:sz w:val="20"/>
                <w:szCs w:val="20"/>
              </w:rPr>
            </w:pPr>
            <w:r w:rsidRPr="008B6A75">
              <w:rPr>
                <w:bCs/>
                <w:sz w:val="20"/>
                <w:szCs w:val="20"/>
              </w:rPr>
              <w:t>02</w:t>
            </w:r>
          </w:p>
        </w:tc>
        <w:tc>
          <w:tcPr>
            <w:tcW w:w="1516" w:type="dxa"/>
            <w:tcBorders>
              <w:top w:val="nil"/>
              <w:left w:val="single" w:sz="4" w:space="0" w:color="auto"/>
              <w:bottom w:val="single" w:sz="4" w:space="0" w:color="auto"/>
              <w:right w:val="nil"/>
            </w:tcBorders>
            <w:shd w:val="clear" w:color="auto" w:fill="auto"/>
            <w:noWrap/>
            <w:vAlign w:val="center"/>
            <w:hideMark/>
          </w:tcPr>
          <w:p w14:paraId="49474286" w14:textId="77777777" w:rsidR="00387142" w:rsidRPr="008B6A75" w:rsidRDefault="00387142" w:rsidP="00387142">
            <w:pPr>
              <w:jc w:val="center"/>
              <w:rPr>
                <w:bCs/>
                <w:sz w:val="20"/>
                <w:szCs w:val="20"/>
              </w:rPr>
            </w:pPr>
            <w:r w:rsidRPr="008B6A75">
              <w:rPr>
                <w:bCs/>
                <w:sz w:val="20"/>
                <w:szCs w:val="20"/>
              </w:rPr>
              <w:t>99.0.00.01700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DCFFAA7"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ECFA8B1" w14:textId="77777777" w:rsidR="00387142" w:rsidRPr="008B6A75" w:rsidRDefault="00387142" w:rsidP="00387142">
            <w:pPr>
              <w:jc w:val="right"/>
              <w:rPr>
                <w:bCs/>
                <w:sz w:val="20"/>
                <w:szCs w:val="20"/>
              </w:rPr>
            </w:pPr>
            <w:r w:rsidRPr="008B6A75">
              <w:rPr>
                <w:bCs/>
                <w:sz w:val="20"/>
                <w:szCs w:val="20"/>
              </w:rPr>
              <w:t>2 067 400,00</w:t>
            </w:r>
          </w:p>
        </w:tc>
        <w:tc>
          <w:tcPr>
            <w:tcW w:w="992" w:type="dxa"/>
            <w:tcBorders>
              <w:top w:val="nil"/>
              <w:left w:val="single" w:sz="4" w:space="0" w:color="auto"/>
              <w:bottom w:val="single" w:sz="4" w:space="0" w:color="auto"/>
              <w:right w:val="nil"/>
            </w:tcBorders>
            <w:shd w:val="clear" w:color="auto" w:fill="auto"/>
            <w:vAlign w:val="center"/>
            <w:hideMark/>
          </w:tcPr>
          <w:p w14:paraId="3F8767D7" w14:textId="77777777" w:rsidR="00387142" w:rsidRPr="008B6A75" w:rsidRDefault="00387142" w:rsidP="00387142">
            <w:pPr>
              <w:jc w:val="right"/>
              <w:rPr>
                <w:bCs/>
                <w:sz w:val="20"/>
                <w:szCs w:val="20"/>
              </w:rPr>
            </w:pPr>
            <w:r w:rsidRPr="008B6A75">
              <w:rPr>
                <w:bCs/>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48A77F44" w14:textId="77777777" w:rsidR="00387142" w:rsidRPr="008B6A75" w:rsidRDefault="00387142" w:rsidP="00387142">
            <w:pPr>
              <w:jc w:val="right"/>
              <w:rPr>
                <w:bCs/>
                <w:sz w:val="20"/>
                <w:szCs w:val="20"/>
              </w:rPr>
            </w:pPr>
            <w:r w:rsidRPr="008B6A75">
              <w:rPr>
                <w:bCs/>
                <w:sz w:val="20"/>
                <w:szCs w:val="20"/>
              </w:rPr>
              <w:t>0,00</w:t>
            </w:r>
          </w:p>
        </w:tc>
      </w:tr>
      <w:tr w:rsidR="00387142" w:rsidRPr="008B6A75" w14:paraId="15497F96" w14:textId="77777777" w:rsidTr="00387142">
        <w:trPr>
          <w:trHeight w:val="870"/>
        </w:trPr>
        <w:tc>
          <w:tcPr>
            <w:tcW w:w="3261" w:type="dxa"/>
            <w:tcBorders>
              <w:top w:val="nil"/>
              <w:left w:val="single" w:sz="4" w:space="0" w:color="auto"/>
              <w:bottom w:val="single" w:sz="4" w:space="0" w:color="auto"/>
              <w:right w:val="nil"/>
            </w:tcBorders>
            <w:shd w:val="clear" w:color="auto" w:fill="auto"/>
            <w:vAlign w:val="center"/>
            <w:hideMark/>
          </w:tcPr>
          <w:p w14:paraId="55A9237E" w14:textId="77777777" w:rsidR="00387142" w:rsidRPr="008B6A75" w:rsidRDefault="00387142" w:rsidP="00387142">
            <w:pPr>
              <w:rPr>
                <w:sz w:val="20"/>
                <w:szCs w:val="20"/>
              </w:rPr>
            </w:pPr>
            <w:r w:rsidRPr="008B6A75">
              <w:rPr>
                <w:sz w:val="20"/>
                <w:szCs w:val="20"/>
              </w:rPr>
              <w:t>Предоставление субсидий бюджетным, автономным учреждениям и иным некоммерческим организациям</w:t>
            </w:r>
          </w:p>
        </w:tc>
        <w:tc>
          <w:tcPr>
            <w:tcW w:w="720" w:type="dxa"/>
            <w:tcBorders>
              <w:top w:val="nil"/>
              <w:left w:val="single" w:sz="4" w:space="0" w:color="auto"/>
              <w:bottom w:val="single" w:sz="4" w:space="0" w:color="auto"/>
              <w:right w:val="nil"/>
            </w:tcBorders>
            <w:shd w:val="clear" w:color="auto" w:fill="auto"/>
            <w:noWrap/>
            <w:vAlign w:val="center"/>
            <w:hideMark/>
          </w:tcPr>
          <w:p w14:paraId="54C3729D" w14:textId="77777777" w:rsidR="00387142" w:rsidRPr="008B6A75" w:rsidRDefault="00387142" w:rsidP="00387142">
            <w:pPr>
              <w:jc w:val="center"/>
              <w:rPr>
                <w:sz w:val="20"/>
                <w:szCs w:val="20"/>
              </w:rPr>
            </w:pPr>
            <w:r w:rsidRPr="008B6A75">
              <w:rPr>
                <w:sz w:val="20"/>
                <w:szCs w:val="20"/>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910C2B4" w14:textId="77777777" w:rsidR="00387142" w:rsidRPr="008B6A75" w:rsidRDefault="00387142" w:rsidP="00387142">
            <w:pPr>
              <w:jc w:val="center"/>
              <w:rPr>
                <w:sz w:val="20"/>
                <w:szCs w:val="20"/>
              </w:rPr>
            </w:pPr>
            <w:r w:rsidRPr="008B6A75">
              <w:rPr>
                <w:sz w:val="20"/>
                <w:szCs w:val="20"/>
              </w:rPr>
              <w:t>02</w:t>
            </w:r>
          </w:p>
        </w:tc>
        <w:tc>
          <w:tcPr>
            <w:tcW w:w="1516" w:type="dxa"/>
            <w:tcBorders>
              <w:top w:val="nil"/>
              <w:left w:val="single" w:sz="4" w:space="0" w:color="auto"/>
              <w:bottom w:val="single" w:sz="4" w:space="0" w:color="auto"/>
              <w:right w:val="nil"/>
            </w:tcBorders>
            <w:shd w:val="clear" w:color="auto" w:fill="auto"/>
            <w:noWrap/>
            <w:vAlign w:val="center"/>
            <w:hideMark/>
          </w:tcPr>
          <w:p w14:paraId="430A7325" w14:textId="77777777" w:rsidR="00387142" w:rsidRPr="008B6A75" w:rsidRDefault="00387142" w:rsidP="00387142">
            <w:pPr>
              <w:jc w:val="center"/>
              <w:rPr>
                <w:sz w:val="20"/>
                <w:szCs w:val="20"/>
              </w:rPr>
            </w:pPr>
            <w:r w:rsidRPr="008B6A75">
              <w:rPr>
                <w:sz w:val="20"/>
                <w:szCs w:val="20"/>
              </w:rPr>
              <w:t>99.0.00.01700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2F020AC" w14:textId="77777777" w:rsidR="00387142" w:rsidRPr="008B6A75" w:rsidRDefault="00387142" w:rsidP="00387142">
            <w:pPr>
              <w:jc w:val="center"/>
              <w:rPr>
                <w:sz w:val="20"/>
                <w:szCs w:val="20"/>
              </w:rPr>
            </w:pPr>
            <w:r w:rsidRPr="008B6A75">
              <w:rPr>
                <w:sz w:val="20"/>
                <w:szCs w:val="20"/>
              </w:rPr>
              <w:t>600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1220BDF" w14:textId="77777777" w:rsidR="00387142" w:rsidRPr="008B6A75" w:rsidRDefault="00387142" w:rsidP="00387142">
            <w:pPr>
              <w:jc w:val="right"/>
              <w:rPr>
                <w:sz w:val="20"/>
                <w:szCs w:val="20"/>
              </w:rPr>
            </w:pPr>
            <w:r w:rsidRPr="008B6A75">
              <w:rPr>
                <w:sz w:val="20"/>
                <w:szCs w:val="20"/>
              </w:rPr>
              <w:t>2 067 400,00</w:t>
            </w:r>
          </w:p>
        </w:tc>
        <w:tc>
          <w:tcPr>
            <w:tcW w:w="992" w:type="dxa"/>
            <w:tcBorders>
              <w:top w:val="nil"/>
              <w:left w:val="single" w:sz="4" w:space="0" w:color="auto"/>
              <w:bottom w:val="single" w:sz="4" w:space="0" w:color="auto"/>
              <w:right w:val="nil"/>
            </w:tcBorders>
            <w:shd w:val="clear" w:color="auto" w:fill="auto"/>
            <w:vAlign w:val="center"/>
            <w:hideMark/>
          </w:tcPr>
          <w:p w14:paraId="222E5C5B" w14:textId="77777777" w:rsidR="00387142" w:rsidRPr="008B6A75" w:rsidRDefault="00387142" w:rsidP="00387142">
            <w:pPr>
              <w:jc w:val="right"/>
              <w:rPr>
                <w:sz w:val="20"/>
                <w:szCs w:val="20"/>
              </w:rPr>
            </w:pPr>
            <w:r w:rsidRPr="008B6A75">
              <w:rPr>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6799E094" w14:textId="77777777" w:rsidR="00387142" w:rsidRPr="008B6A75" w:rsidRDefault="00387142" w:rsidP="00387142">
            <w:pPr>
              <w:jc w:val="right"/>
              <w:rPr>
                <w:sz w:val="20"/>
                <w:szCs w:val="20"/>
              </w:rPr>
            </w:pPr>
            <w:r w:rsidRPr="008B6A75">
              <w:rPr>
                <w:sz w:val="20"/>
                <w:szCs w:val="20"/>
              </w:rPr>
              <w:t>0,00</w:t>
            </w:r>
          </w:p>
        </w:tc>
      </w:tr>
      <w:tr w:rsidR="00387142" w:rsidRPr="008B6A75" w14:paraId="26228B7E" w14:textId="77777777" w:rsidTr="00387142">
        <w:trPr>
          <w:trHeight w:val="345"/>
        </w:trPr>
        <w:tc>
          <w:tcPr>
            <w:tcW w:w="3261" w:type="dxa"/>
            <w:tcBorders>
              <w:top w:val="nil"/>
              <w:left w:val="single" w:sz="4" w:space="0" w:color="auto"/>
              <w:bottom w:val="single" w:sz="4" w:space="0" w:color="auto"/>
              <w:right w:val="nil"/>
            </w:tcBorders>
            <w:shd w:val="clear" w:color="auto" w:fill="auto"/>
            <w:vAlign w:val="center"/>
            <w:hideMark/>
          </w:tcPr>
          <w:p w14:paraId="3FB04D99" w14:textId="77777777" w:rsidR="00387142" w:rsidRPr="008B6A75" w:rsidRDefault="00387142" w:rsidP="00387142">
            <w:pPr>
              <w:rPr>
                <w:sz w:val="20"/>
                <w:szCs w:val="20"/>
              </w:rPr>
            </w:pPr>
            <w:r w:rsidRPr="008B6A75">
              <w:rPr>
                <w:sz w:val="20"/>
                <w:szCs w:val="20"/>
              </w:rPr>
              <w:t>Субсидии бюджетным учреждениям</w:t>
            </w:r>
          </w:p>
        </w:tc>
        <w:tc>
          <w:tcPr>
            <w:tcW w:w="720" w:type="dxa"/>
            <w:tcBorders>
              <w:top w:val="nil"/>
              <w:left w:val="single" w:sz="4" w:space="0" w:color="auto"/>
              <w:bottom w:val="single" w:sz="4" w:space="0" w:color="auto"/>
              <w:right w:val="nil"/>
            </w:tcBorders>
            <w:shd w:val="clear" w:color="auto" w:fill="auto"/>
            <w:noWrap/>
            <w:vAlign w:val="center"/>
            <w:hideMark/>
          </w:tcPr>
          <w:p w14:paraId="699DB195" w14:textId="77777777" w:rsidR="00387142" w:rsidRPr="008B6A75" w:rsidRDefault="00387142" w:rsidP="00387142">
            <w:pPr>
              <w:jc w:val="center"/>
              <w:rPr>
                <w:sz w:val="20"/>
                <w:szCs w:val="20"/>
              </w:rPr>
            </w:pPr>
            <w:r w:rsidRPr="008B6A75">
              <w:rPr>
                <w:sz w:val="20"/>
                <w:szCs w:val="20"/>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1B29A83" w14:textId="77777777" w:rsidR="00387142" w:rsidRPr="008B6A75" w:rsidRDefault="00387142" w:rsidP="00387142">
            <w:pPr>
              <w:jc w:val="center"/>
              <w:rPr>
                <w:sz w:val="20"/>
                <w:szCs w:val="20"/>
              </w:rPr>
            </w:pPr>
            <w:r w:rsidRPr="008B6A75">
              <w:rPr>
                <w:sz w:val="20"/>
                <w:szCs w:val="20"/>
              </w:rPr>
              <w:t>02</w:t>
            </w:r>
          </w:p>
        </w:tc>
        <w:tc>
          <w:tcPr>
            <w:tcW w:w="1516" w:type="dxa"/>
            <w:tcBorders>
              <w:top w:val="nil"/>
              <w:left w:val="single" w:sz="4" w:space="0" w:color="auto"/>
              <w:bottom w:val="single" w:sz="4" w:space="0" w:color="auto"/>
              <w:right w:val="nil"/>
            </w:tcBorders>
            <w:shd w:val="clear" w:color="auto" w:fill="auto"/>
            <w:noWrap/>
            <w:vAlign w:val="center"/>
            <w:hideMark/>
          </w:tcPr>
          <w:p w14:paraId="1BDE7752" w14:textId="77777777" w:rsidR="00387142" w:rsidRPr="008B6A75" w:rsidRDefault="00387142" w:rsidP="00387142">
            <w:pPr>
              <w:jc w:val="center"/>
              <w:rPr>
                <w:sz w:val="20"/>
                <w:szCs w:val="20"/>
              </w:rPr>
            </w:pPr>
            <w:r w:rsidRPr="008B6A75">
              <w:rPr>
                <w:sz w:val="20"/>
                <w:szCs w:val="20"/>
              </w:rPr>
              <w:t>99.0.00.01700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0945590" w14:textId="77777777" w:rsidR="00387142" w:rsidRPr="008B6A75" w:rsidRDefault="00387142" w:rsidP="00387142">
            <w:pPr>
              <w:jc w:val="center"/>
              <w:rPr>
                <w:sz w:val="20"/>
                <w:szCs w:val="20"/>
              </w:rPr>
            </w:pPr>
            <w:r w:rsidRPr="008B6A75">
              <w:rPr>
                <w:sz w:val="20"/>
                <w:szCs w:val="20"/>
              </w:rPr>
              <w:t>610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5A347D0" w14:textId="77777777" w:rsidR="00387142" w:rsidRPr="008B6A75" w:rsidRDefault="00387142" w:rsidP="00387142">
            <w:pPr>
              <w:jc w:val="right"/>
              <w:rPr>
                <w:sz w:val="20"/>
                <w:szCs w:val="20"/>
              </w:rPr>
            </w:pPr>
            <w:r w:rsidRPr="008B6A75">
              <w:rPr>
                <w:sz w:val="20"/>
                <w:szCs w:val="20"/>
              </w:rPr>
              <w:t>2 067 400,00</w:t>
            </w:r>
          </w:p>
        </w:tc>
        <w:tc>
          <w:tcPr>
            <w:tcW w:w="992" w:type="dxa"/>
            <w:tcBorders>
              <w:top w:val="nil"/>
              <w:left w:val="single" w:sz="4" w:space="0" w:color="auto"/>
              <w:bottom w:val="single" w:sz="4" w:space="0" w:color="auto"/>
              <w:right w:val="nil"/>
            </w:tcBorders>
            <w:shd w:val="clear" w:color="auto" w:fill="auto"/>
            <w:vAlign w:val="center"/>
            <w:hideMark/>
          </w:tcPr>
          <w:p w14:paraId="3406A984" w14:textId="77777777" w:rsidR="00387142" w:rsidRPr="008B6A75" w:rsidRDefault="00387142" w:rsidP="00387142">
            <w:pPr>
              <w:jc w:val="right"/>
              <w:rPr>
                <w:sz w:val="20"/>
                <w:szCs w:val="20"/>
              </w:rPr>
            </w:pPr>
            <w:r w:rsidRPr="008B6A75">
              <w:rPr>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7EA1F435" w14:textId="77777777" w:rsidR="00387142" w:rsidRPr="008B6A75" w:rsidRDefault="00387142" w:rsidP="00387142">
            <w:pPr>
              <w:jc w:val="right"/>
              <w:rPr>
                <w:sz w:val="20"/>
                <w:szCs w:val="20"/>
              </w:rPr>
            </w:pPr>
            <w:r w:rsidRPr="008B6A75">
              <w:rPr>
                <w:sz w:val="20"/>
                <w:szCs w:val="20"/>
              </w:rPr>
              <w:t>0,00</w:t>
            </w:r>
          </w:p>
        </w:tc>
      </w:tr>
      <w:tr w:rsidR="00387142" w:rsidRPr="008B6A75" w14:paraId="7611370A" w14:textId="77777777" w:rsidTr="00387142">
        <w:trPr>
          <w:trHeight w:val="1440"/>
        </w:trPr>
        <w:tc>
          <w:tcPr>
            <w:tcW w:w="3261" w:type="dxa"/>
            <w:tcBorders>
              <w:top w:val="nil"/>
              <w:left w:val="single" w:sz="4" w:space="0" w:color="auto"/>
              <w:bottom w:val="single" w:sz="4" w:space="0" w:color="auto"/>
              <w:right w:val="nil"/>
            </w:tcBorders>
            <w:shd w:val="clear" w:color="auto" w:fill="auto"/>
            <w:vAlign w:val="center"/>
            <w:hideMark/>
          </w:tcPr>
          <w:p w14:paraId="164E2C87" w14:textId="77777777" w:rsidR="00387142" w:rsidRPr="008B6A75" w:rsidRDefault="00387142" w:rsidP="00387142">
            <w:pPr>
              <w:rPr>
                <w:bCs/>
                <w:sz w:val="20"/>
                <w:szCs w:val="20"/>
              </w:rPr>
            </w:pPr>
            <w:r w:rsidRPr="008B6A75">
              <w:rPr>
                <w:bCs/>
                <w:sz w:val="20"/>
                <w:szCs w:val="20"/>
              </w:rPr>
              <w:t>Развитие новых форм и технологий социального обслуживания семей с детьми государственной программы Новосибирской области «Социальная поддержка в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14:paraId="500F0305" w14:textId="77777777" w:rsidR="00387142" w:rsidRPr="008B6A75" w:rsidRDefault="00387142" w:rsidP="00387142">
            <w:pPr>
              <w:jc w:val="center"/>
              <w:rPr>
                <w:bCs/>
                <w:sz w:val="20"/>
                <w:szCs w:val="20"/>
              </w:rPr>
            </w:pPr>
            <w:r w:rsidRPr="008B6A75">
              <w:rPr>
                <w:bCs/>
                <w:sz w:val="20"/>
                <w:szCs w:val="20"/>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AF3B7B2" w14:textId="77777777" w:rsidR="00387142" w:rsidRPr="008B6A75" w:rsidRDefault="00387142" w:rsidP="00387142">
            <w:pPr>
              <w:jc w:val="center"/>
              <w:rPr>
                <w:bCs/>
                <w:sz w:val="20"/>
                <w:szCs w:val="20"/>
              </w:rPr>
            </w:pPr>
            <w:r w:rsidRPr="008B6A75">
              <w:rPr>
                <w:bCs/>
                <w:sz w:val="20"/>
                <w:szCs w:val="20"/>
              </w:rPr>
              <w:t>02</w:t>
            </w:r>
          </w:p>
        </w:tc>
        <w:tc>
          <w:tcPr>
            <w:tcW w:w="1516" w:type="dxa"/>
            <w:tcBorders>
              <w:top w:val="nil"/>
              <w:left w:val="single" w:sz="4" w:space="0" w:color="auto"/>
              <w:bottom w:val="single" w:sz="4" w:space="0" w:color="auto"/>
              <w:right w:val="nil"/>
            </w:tcBorders>
            <w:shd w:val="clear" w:color="auto" w:fill="auto"/>
            <w:noWrap/>
            <w:vAlign w:val="center"/>
            <w:hideMark/>
          </w:tcPr>
          <w:p w14:paraId="22DB228C" w14:textId="77777777" w:rsidR="00387142" w:rsidRPr="008B6A75" w:rsidRDefault="00387142" w:rsidP="00387142">
            <w:pPr>
              <w:jc w:val="center"/>
              <w:rPr>
                <w:bCs/>
                <w:sz w:val="20"/>
                <w:szCs w:val="20"/>
              </w:rPr>
            </w:pPr>
            <w:r w:rsidRPr="008B6A75">
              <w:rPr>
                <w:bCs/>
                <w:sz w:val="20"/>
                <w:szCs w:val="20"/>
              </w:rPr>
              <w:t>99.0.00.70109</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BC92A81"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F7061F0" w14:textId="77777777" w:rsidR="00387142" w:rsidRPr="008B6A75" w:rsidRDefault="00387142" w:rsidP="00387142">
            <w:pPr>
              <w:jc w:val="right"/>
              <w:rPr>
                <w:bCs/>
                <w:sz w:val="20"/>
                <w:szCs w:val="20"/>
              </w:rPr>
            </w:pPr>
            <w:r w:rsidRPr="008B6A75">
              <w:rPr>
                <w:bCs/>
                <w:sz w:val="20"/>
                <w:szCs w:val="20"/>
              </w:rPr>
              <w:t>464 100,00</w:t>
            </w:r>
          </w:p>
        </w:tc>
        <w:tc>
          <w:tcPr>
            <w:tcW w:w="992" w:type="dxa"/>
            <w:tcBorders>
              <w:top w:val="nil"/>
              <w:left w:val="single" w:sz="4" w:space="0" w:color="auto"/>
              <w:bottom w:val="single" w:sz="4" w:space="0" w:color="auto"/>
              <w:right w:val="nil"/>
            </w:tcBorders>
            <w:shd w:val="clear" w:color="auto" w:fill="auto"/>
            <w:vAlign w:val="center"/>
            <w:hideMark/>
          </w:tcPr>
          <w:p w14:paraId="156A348B" w14:textId="77777777" w:rsidR="00387142" w:rsidRPr="008B6A75" w:rsidRDefault="00387142" w:rsidP="00387142">
            <w:pPr>
              <w:jc w:val="right"/>
              <w:rPr>
                <w:bCs/>
                <w:sz w:val="20"/>
                <w:szCs w:val="20"/>
              </w:rPr>
            </w:pPr>
            <w:r w:rsidRPr="008B6A75">
              <w:rPr>
                <w:bCs/>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266E71D1" w14:textId="77777777" w:rsidR="00387142" w:rsidRPr="008B6A75" w:rsidRDefault="00387142" w:rsidP="00387142">
            <w:pPr>
              <w:jc w:val="right"/>
              <w:rPr>
                <w:bCs/>
                <w:sz w:val="20"/>
                <w:szCs w:val="20"/>
              </w:rPr>
            </w:pPr>
            <w:r w:rsidRPr="008B6A75">
              <w:rPr>
                <w:bCs/>
                <w:sz w:val="20"/>
                <w:szCs w:val="20"/>
              </w:rPr>
              <w:t>0,00</w:t>
            </w:r>
          </w:p>
        </w:tc>
      </w:tr>
      <w:tr w:rsidR="00387142" w:rsidRPr="008B6A75" w14:paraId="47F7BA5E" w14:textId="77777777" w:rsidTr="00387142">
        <w:trPr>
          <w:trHeight w:val="870"/>
        </w:trPr>
        <w:tc>
          <w:tcPr>
            <w:tcW w:w="3261" w:type="dxa"/>
            <w:tcBorders>
              <w:top w:val="nil"/>
              <w:left w:val="single" w:sz="4" w:space="0" w:color="auto"/>
              <w:bottom w:val="single" w:sz="4" w:space="0" w:color="auto"/>
              <w:right w:val="nil"/>
            </w:tcBorders>
            <w:shd w:val="clear" w:color="auto" w:fill="auto"/>
            <w:vAlign w:val="center"/>
            <w:hideMark/>
          </w:tcPr>
          <w:p w14:paraId="0D796BDA" w14:textId="77777777" w:rsidR="00387142" w:rsidRPr="008B6A75" w:rsidRDefault="00387142" w:rsidP="00387142">
            <w:pPr>
              <w:rPr>
                <w:sz w:val="20"/>
                <w:szCs w:val="20"/>
              </w:rPr>
            </w:pPr>
            <w:r w:rsidRPr="008B6A75">
              <w:rPr>
                <w:sz w:val="20"/>
                <w:szCs w:val="20"/>
              </w:rPr>
              <w:t>Предоставление субсидий бюджетным, автономным учреждениям и иным некоммерческим организациям</w:t>
            </w:r>
          </w:p>
        </w:tc>
        <w:tc>
          <w:tcPr>
            <w:tcW w:w="720" w:type="dxa"/>
            <w:tcBorders>
              <w:top w:val="nil"/>
              <w:left w:val="single" w:sz="4" w:space="0" w:color="auto"/>
              <w:bottom w:val="single" w:sz="4" w:space="0" w:color="auto"/>
              <w:right w:val="nil"/>
            </w:tcBorders>
            <w:shd w:val="clear" w:color="auto" w:fill="auto"/>
            <w:noWrap/>
            <w:vAlign w:val="center"/>
            <w:hideMark/>
          </w:tcPr>
          <w:p w14:paraId="062B4F5C" w14:textId="77777777" w:rsidR="00387142" w:rsidRPr="008B6A75" w:rsidRDefault="00387142" w:rsidP="00387142">
            <w:pPr>
              <w:jc w:val="center"/>
              <w:rPr>
                <w:sz w:val="20"/>
                <w:szCs w:val="20"/>
              </w:rPr>
            </w:pPr>
            <w:r w:rsidRPr="008B6A75">
              <w:rPr>
                <w:sz w:val="20"/>
                <w:szCs w:val="20"/>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69022A3" w14:textId="77777777" w:rsidR="00387142" w:rsidRPr="008B6A75" w:rsidRDefault="00387142" w:rsidP="00387142">
            <w:pPr>
              <w:jc w:val="center"/>
              <w:rPr>
                <w:sz w:val="20"/>
                <w:szCs w:val="20"/>
              </w:rPr>
            </w:pPr>
            <w:r w:rsidRPr="008B6A75">
              <w:rPr>
                <w:sz w:val="20"/>
                <w:szCs w:val="20"/>
              </w:rPr>
              <w:t>02</w:t>
            </w:r>
          </w:p>
        </w:tc>
        <w:tc>
          <w:tcPr>
            <w:tcW w:w="1516" w:type="dxa"/>
            <w:tcBorders>
              <w:top w:val="nil"/>
              <w:left w:val="single" w:sz="4" w:space="0" w:color="auto"/>
              <w:bottom w:val="single" w:sz="4" w:space="0" w:color="auto"/>
              <w:right w:val="nil"/>
            </w:tcBorders>
            <w:shd w:val="clear" w:color="auto" w:fill="auto"/>
            <w:noWrap/>
            <w:vAlign w:val="center"/>
            <w:hideMark/>
          </w:tcPr>
          <w:p w14:paraId="228D931F" w14:textId="77777777" w:rsidR="00387142" w:rsidRPr="008B6A75" w:rsidRDefault="00387142" w:rsidP="00387142">
            <w:pPr>
              <w:jc w:val="center"/>
              <w:rPr>
                <w:sz w:val="20"/>
                <w:szCs w:val="20"/>
              </w:rPr>
            </w:pPr>
            <w:r w:rsidRPr="008B6A75">
              <w:rPr>
                <w:sz w:val="20"/>
                <w:szCs w:val="20"/>
              </w:rPr>
              <w:t>99.0.00.70109</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C51BFD0" w14:textId="77777777" w:rsidR="00387142" w:rsidRPr="008B6A75" w:rsidRDefault="00387142" w:rsidP="00387142">
            <w:pPr>
              <w:jc w:val="center"/>
              <w:rPr>
                <w:sz w:val="20"/>
                <w:szCs w:val="20"/>
              </w:rPr>
            </w:pPr>
            <w:r w:rsidRPr="008B6A75">
              <w:rPr>
                <w:sz w:val="20"/>
                <w:szCs w:val="20"/>
              </w:rPr>
              <w:t>600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7386734" w14:textId="77777777" w:rsidR="00387142" w:rsidRPr="008B6A75" w:rsidRDefault="00387142" w:rsidP="00387142">
            <w:pPr>
              <w:jc w:val="right"/>
              <w:rPr>
                <w:sz w:val="20"/>
                <w:szCs w:val="20"/>
              </w:rPr>
            </w:pPr>
            <w:r w:rsidRPr="008B6A75">
              <w:rPr>
                <w:sz w:val="20"/>
                <w:szCs w:val="20"/>
              </w:rPr>
              <w:t>464 100,00</w:t>
            </w:r>
          </w:p>
        </w:tc>
        <w:tc>
          <w:tcPr>
            <w:tcW w:w="992" w:type="dxa"/>
            <w:tcBorders>
              <w:top w:val="nil"/>
              <w:left w:val="single" w:sz="4" w:space="0" w:color="auto"/>
              <w:bottom w:val="single" w:sz="4" w:space="0" w:color="auto"/>
              <w:right w:val="nil"/>
            </w:tcBorders>
            <w:shd w:val="clear" w:color="auto" w:fill="auto"/>
            <w:vAlign w:val="center"/>
            <w:hideMark/>
          </w:tcPr>
          <w:p w14:paraId="29DC0B29" w14:textId="77777777" w:rsidR="00387142" w:rsidRPr="008B6A75" w:rsidRDefault="00387142" w:rsidP="00387142">
            <w:pPr>
              <w:jc w:val="right"/>
              <w:rPr>
                <w:sz w:val="20"/>
                <w:szCs w:val="20"/>
              </w:rPr>
            </w:pPr>
            <w:r w:rsidRPr="008B6A75">
              <w:rPr>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79A4F27E" w14:textId="77777777" w:rsidR="00387142" w:rsidRPr="008B6A75" w:rsidRDefault="00387142" w:rsidP="00387142">
            <w:pPr>
              <w:jc w:val="right"/>
              <w:rPr>
                <w:sz w:val="20"/>
                <w:szCs w:val="20"/>
              </w:rPr>
            </w:pPr>
            <w:r w:rsidRPr="008B6A75">
              <w:rPr>
                <w:sz w:val="20"/>
                <w:szCs w:val="20"/>
              </w:rPr>
              <w:t>0,00</w:t>
            </w:r>
          </w:p>
        </w:tc>
      </w:tr>
      <w:tr w:rsidR="00387142" w:rsidRPr="008B6A75" w14:paraId="74FEFA39" w14:textId="77777777" w:rsidTr="00387142">
        <w:trPr>
          <w:trHeight w:val="345"/>
        </w:trPr>
        <w:tc>
          <w:tcPr>
            <w:tcW w:w="3261" w:type="dxa"/>
            <w:tcBorders>
              <w:top w:val="nil"/>
              <w:left w:val="single" w:sz="4" w:space="0" w:color="auto"/>
              <w:bottom w:val="single" w:sz="4" w:space="0" w:color="auto"/>
              <w:right w:val="nil"/>
            </w:tcBorders>
            <w:shd w:val="clear" w:color="auto" w:fill="auto"/>
            <w:vAlign w:val="center"/>
            <w:hideMark/>
          </w:tcPr>
          <w:p w14:paraId="05B585E3" w14:textId="77777777" w:rsidR="00387142" w:rsidRPr="008B6A75" w:rsidRDefault="00387142" w:rsidP="00387142">
            <w:pPr>
              <w:rPr>
                <w:sz w:val="20"/>
                <w:szCs w:val="20"/>
              </w:rPr>
            </w:pPr>
            <w:r w:rsidRPr="008B6A75">
              <w:rPr>
                <w:sz w:val="20"/>
                <w:szCs w:val="20"/>
              </w:rPr>
              <w:t>Субсидии бюджетным учреждениям</w:t>
            </w:r>
          </w:p>
        </w:tc>
        <w:tc>
          <w:tcPr>
            <w:tcW w:w="720" w:type="dxa"/>
            <w:tcBorders>
              <w:top w:val="nil"/>
              <w:left w:val="single" w:sz="4" w:space="0" w:color="auto"/>
              <w:bottom w:val="single" w:sz="4" w:space="0" w:color="auto"/>
              <w:right w:val="nil"/>
            </w:tcBorders>
            <w:shd w:val="clear" w:color="auto" w:fill="auto"/>
            <w:noWrap/>
            <w:vAlign w:val="center"/>
            <w:hideMark/>
          </w:tcPr>
          <w:p w14:paraId="1FDE11DC" w14:textId="77777777" w:rsidR="00387142" w:rsidRPr="008B6A75" w:rsidRDefault="00387142" w:rsidP="00387142">
            <w:pPr>
              <w:jc w:val="center"/>
              <w:rPr>
                <w:sz w:val="20"/>
                <w:szCs w:val="20"/>
              </w:rPr>
            </w:pPr>
            <w:r w:rsidRPr="008B6A75">
              <w:rPr>
                <w:sz w:val="20"/>
                <w:szCs w:val="20"/>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55FE7D6" w14:textId="77777777" w:rsidR="00387142" w:rsidRPr="008B6A75" w:rsidRDefault="00387142" w:rsidP="00387142">
            <w:pPr>
              <w:jc w:val="center"/>
              <w:rPr>
                <w:sz w:val="20"/>
                <w:szCs w:val="20"/>
              </w:rPr>
            </w:pPr>
            <w:r w:rsidRPr="008B6A75">
              <w:rPr>
                <w:sz w:val="20"/>
                <w:szCs w:val="20"/>
              </w:rPr>
              <w:t>02</w:t>
            </w:r>
          </w:p>
        </w:tc>
        <w:tc>
          <w:tcPr>
            <w:tcW w:w="1516" w:type="dxa"/>
            <w:tcBorders>
              <w:top w:val="nil"/>
              <w:left w:val="single" w:sz="4" w:space="0" w:color="auto"/>
              <w:bottom w:val="single" w:sz="4" w:space="0" w:color="auto"/>
              <w:right w:val="nil"/>
            </w:tcBorders>
            <w:shd w:val="clear" w:color="auto" w:fill="auto"/>
            <w:noWrap/>
            <w:vAlign w:val="center"/>
            <w:hideMark/>
          </w:tcPr>
          <w:p w14:paraId="6B4DB815" w14:textId="77777777" w:rsidR="00387142" w:rsidRPr="008B6A75" w:rsidRDefault="00387142" w:rsidP="00387142">
            <w:pPr>
              <w:jc w:val="center"/>
              <w:rPr>
                <w:sz w:val="20"/>
                <w:szCs w:val="20"/>
              </w:rPr>
            </w:pPr>
            <w:r w:rsidRPr="008B6A75">
              <w:rPr>
                <w:sz w:val="20"/>
                <w:szCs w:val="20"/>
              </w:rPr>
              <w:t>99.0.00.70109</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F9BF870" w14:textId="77777777" w:rsidR="00387142" w:rsidRPr="008B6A75" w:rsidRDefault="00387142" w:rsidP="00387142">
            <w:pPr>
              <w:jc w:val="center"/>
              <w:rPr>
                <w:sz w:val="20"/>
                <w:szCs w:val="20"/>
              </w:rPr>
            </w:pPr>
            <w:r w:rsidRPr="008B6A75">
              <w:rPr>
                <w:sz w:val="20"/>
                <w:szCs w:val="20"/>
              </w:rPr>
              <w:t>610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D96AF70" w14:textId="77777777" w:rsidR="00387142" w:rsidRPr="008B6A75" w:rsidRDefault="00387142" w:rsidP="00387142">
            <w:pPr>
              <w:jc w:val="right"/>
              <w:rPr>
                <w:sz w:val="20"/>
                <w:szCs w:val="20"/>
              </w:rPr>
            </w:pPr>
            <w:r w:rsidRPr="008B6A75">
              <w:rPr>
                <w:sz w:val="20"/>
                <w:szCs w:val="20"/>
              </w:rPr>
              <w:t>464 100,00</w:t>
            </w:r>
          </w:p>
        </w:tc>
        <w:tc>
          <w:tcPr>
            <w:tcW w:w="992" w:type="dxa"/>
            <w:tcBorders>
              <w:top w:val="nil"/>
              <w:left w:val="single" w:sz="4" w:space="0" w:color="auto"/>
              <w:bottom w:val="single" w:sz="4" w:space="0" w:color="auto"/>
              <w:right w:val="nil"/>
            </w:tcBorders>
            <w:shd w:val="clear" w:color="auto" w:fill="auto"/>
            <w:vAlign w:val="center"/>
            <w:hideMark/>
          </w:tcPr>
          <w:p w14:paraId="58D531DB" w14:textId="77777777" w:rsidR="00387142" w:rsidRPr="008B6A75" w:rsidRDefault="00387142" w:rsidP="00387142">
            <w:pPr>
              <w:jc w:val="right"/>
              <w:rPr>
                <w:sz w:val="20"/>
                <w:szCs w:val="20"/>
              </w:rPr>
            </w:pPr>
            <w:r w:rsidRPr="008B6A75">
              <w:rPr>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05E6740E" w14:textId="77777777" w:rsidR="00387142" w:rsidRPr="008B6A75" w:rsidRDefault="00387142" w:rsidP="00387142">
            <w:pPr>
              <w:jc w:val="right"/>
              <w:rPr>
                <w:sz w:val="20"/>
                <w:szCs w:val="20"/>
              </w:rPr>
            </w:pPr>
            <w:r w:rsidRPr="008B6A75">
              <w:rPr>
                <w:sz w:val="20"/>
                <w:szCs w:val="20"/>
              </w:rPr>
              <w:t>0,00</w:t>
            </w:r>
          </w:p>
        </w:tc>
      </w:tr>
      <w:tr w:rsidR="00387142" w:rsidRPr="008B6A75" w14:paraId="64C77021" w14:textId="77777777" w:rsidTr="00387142">
        <w:trPr>
          <w:trHeight w:val="1155"/>
        </w:trPr>
        <w:tc>
          <w:tcPr>
            <w:tcW w:w="3261" w:type="dxa"/>
            <w:tcBorders>
              <w:top w:val="nil"/>
              <w:left w:val="single" w:sz="4" w:space="0" w:color="auto"/>
              <w:bottom w:val="single" w:sz="4" w:space="0" w:color="auto"/>
              <w:right w:val="nil"/>
            </w:tcBorders>
            <w:shd w:val="clear" w:color="auto" w:fill="auto"/>
            <w:vAlign w:val="center"/>
            <w:hideMark/>
          </w:tcPr>
          <w:p w14:paraId="74D2654C" w14:textId="77777777" w:rsidR="00387142" w:rsidRPr="008B6A75" w:rsidRDefault="00387142" w:rsidP="00387142">
            <w:pPr>
              <w:rPr>
                <w:bCs/>
                <w:sz w:val="20"/>
                <w:szCs w:val="20"/>
              </w:rPr>
            </w:pPr>
            <w:r w:rsidRPr="008B6A75">
              <w:rPr>
                <w:bCs/>
                <w:sz w:val="20"/>
                <w:szCs w:val="20"/>
              </w:rPr>
              <w:t>Осуществление отдельных государственных полномочий Новосибирской области по обеспечению социального обслуживания отдельных категорий граждан</w:t>
            </w:r>
          </w:p>
        </w:tc>
        <w:tc>
          <w:tcPr>
            <w:tcW w:w="720" w:type="dxa"/>
            <w:tcBorders>
              <w:top w:val="nil"/>
              <w:left w:val="single" w:sz="4" w:space="0" w:color="auto"/>
              <w:bottom w:val="single" w:sz="4" w:space="0" w:color="auto"/>
              <w:right w:val="nil"/>
            </w:tcBorders>
            <w:shd w:val="clear" w:color="auto" w:fill="auto"/>
            <w:noWrap/>
            <w:vAlign w:val="center"/>
            <w:hideMark/>
          </w:tcPr>
          <w:p w14:paraId="468519E8" w14:textId="77777777" w:rsidR="00387142" w:rsidRPr="008B6A75" w:rsidRDefault="00387142" w:rsidP="00387142">
            <w:pPr>
              <w:jc w:val="center"/>
              <w:rPr>
                <w:bCs/>
                <w:sz w:val="20"/>
                <w:szCs w:val="20"/>
              </w:rPr>
            </w:pPr>
            <w:r w:rsidRPr="008B6A75">
              <w:rPr>
                <w:bCs/>
                <w:sz w:val="20"/>
                <w:szCs w:val="20"/>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B3FB883" w14:textId="77777777" w:rsidR="00387142" w:rsidRPr="008B6A75" w:rsidRDefault="00387142" w:rsidP="00387142">
            <w:pPr>
              <w:jc w:val="center"/>
              <w:rPr>
                <w:bCs/>
                <w:sz w:val="20"/>
                <w:szCs w:val="20"/>
              </w:rPr>
            </w:pPr>
            <w:r w:rsidRPr="008B6A75">
              <w:rPr>
                <w:bCs/>
                <w:sz w:val="20"/>
                <w:szCs w:val="20"/>
              </w:rPr>
              <w:t>02</w:t>
            </w:r>
          </w:p>
        </w:tc>
        <w:tc>
          <w:tcPr>
            <w:tcW w:w="1516" w:type="dxa"/>
            <w:tcBorders>
              <w:top w:val="nil"/>
              <w:left w:val="single" w:sz="4" w:space="0" w:color="auto"/>
              <w:bottom w:val="single" w:sz="4" w:space="0" w:color="auto"/>
              <w:right w:val="nil"/>
            </w:tcBorders>
            <w:shd w:val="clear" w:color="auto" w:fill="auto"/>
            <w:noWrap/>
            <w:vAlign w:val="center"/>
            <w:hideMark/>
          </w:tcPr>
          <w:p w14:paraId="5696749F" w14:textId="77777777" w:rsidR="00387142" w:rsidRPr="008B6A75" w:rsidRDefault="00387142" w:rsidP="00387142">
            <w:pPr>
              <w:jc w:val="center"/>
              <w:rPr>
                <w:bCs/>
                <w:sz w:val="20"/>
                <w:szCs w:val="20"/>
              </w:rPr>
            </w:pPr>
            <w:r w:rsidRPr="008B6A75">
              <w:rPr>
                <w:bCs/>
                <w:sz w:val="20"/>
                <w:szCs w:val="20"/>
              </w:rPr>
              <w:t>99.0.00.70180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504DB7D"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665418D" w14:textId="77777777" w:rsidR="00387142" w:rsidRPr="008B6A75" w:rsidRDefault="00387142" w:rsidP="00387142">
            <w:pPr>
              <w:jc w:val="right"/>
              <w:rPr>
                <w:bCs/>
                <w:sz w:val="20"/>
                <w:szCs w:val="20"/>
              </w:rPr>
            </w:pPr>
            <w:r w:rsidRPr="008B6A75">
              <w:rPr>
                <w:bCs/>
                <w:sz w:val="20"/>
                <w:szCs w:val="20"/>
              </w:rPr>
              <w:t>81 481 635,44</w:t>
            </w:r>
          </w:p>
        </w:tc>
        <w:tc>
          <w:tcPr>
            <w:tcW w:w="992" w:type="dxa"/>
            <w:tcBorders>
              <w:top w:val="nil"/>
              <w:left w:val="single" w:sz="4" w:space="0" w:color="auto"/>
              <w:bottom w:val="single" w:sz="4" w:space="0" w:color="auto"/>
              <w:right w:val="nil"/>
            </w:tcBorders>
            <w:shd w:val="clear" w:color="auto" w:fill="auto"/>
            <w:vAlign w:val="center"/>
            <w:hideMark/>
          </w:tcPr>
          <w:p w14:paraId="75906A5A" w14:textId="77777777" w:rsidR="00387142" w:rsidRPr="008B6A75" w:rsidRDefault="00387142" w:rsidP="00387142">
            <w:pPr>
              <w:jc w:val="right"/>
              <w:rPr>
                <w:bCs/>
                <w:sz w:val="20"/>
                <w:szCs w:val="20"/>
              </w:rPr>
            </w:pPr>
            <w:r w:rsidRPr="008B6A75">
              <w:rPr>
                <w:bCs/>
                <w:sz w:val="20"/>
                <w:szCs w:val="20"/>
              </w:rPr>
              <w:t>80 591 700,00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404CFE60" w14:textId="77777777" w:rsidR="00387142" w:rsidRPr="008B6A75" w:rsidRDefault="00387142" w:rsidP="00387142">
            <w:pPr>
              <w:jc w:val="right"/>
              <w:rPr>
                <w:bCs/>
                <w:sz w:val="20"/>
                <w:szCs w:val="20"/>
              </w:rPr>
            </w:pPr>
            <w:r w:rsidRPr="008B6A75">
              <w:rPr>
                <w:bCs/>
                <w:sz w:val="20"/>
                <w:szCs w:val="20"/>
              </w:rPr>
              <w:t>85 631 604,01</w:t>
            </w:r>
          </w:p>
        </w:tc>
      </w:tr>
      <w:tr w:rsidR="00387142" w:rsidRPr="008B6A75" w14:paraId="0254BA22" w14:textId="77777777" w:rsidTr="00387142">
        <w:trPr>
          <w:trHeight w:val="585"/>
        </w:trPr>
        <w:tc>
          <w:tcPr>
            <w:tcW w:w="3261" w:type="dxa"/>
            <w:tcBorders>
              <w:top w:val="nil"/>
              <w:left w:val="single" w:sz="4" w:space="0" w:color="auto"/>
              <w:bottom w:val="single" w:sz="4" w:space="0" w:color="auto"/>
              <w:right w:val="nil"/>
            </w:tcBorders>
            <w:shd w:val="clear" w:color="auto" w:fill="auto"/>
            <w:vAlign w:val="center"/>
            <w:hideMark/>
          </w:tcPr>
          <w:p w14:paraId="52259839" w14:textId="77777777" w:rsidR="00387142" w:rsidRPr="008B6A75" w:rsidRDefault="00387142" w:rsidP="00387142">
            <w:pPr>
              <w:rPr>
                <w:sz w:val="20"/>
                <w:szCs w:val="20"/>
              </w:rPr>
            </w:pPr>
            <w:r w:rsidRPr="008B6A75">
              <w:rPr>
                <w:sz w:val="20"/>
                <w:szCs w:val="20"/>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074DB4AD" w14:textId="77777777" w:rsidR="00387142" w:rsidRPr="008B6A75" w:rsidRDefault="00387142" w:rsidP="00387142">
            <w:pPr>
              <w:jc w:val="center"/>
              <w:rPr>
                <w:sz w:val="20"/>
                <w:szCs w:val="20"/>
              </w:rPr>
            </w:pPr>
            <w:r w:rsidRPr="008B6A75">
              <w:rPr>
                <w:sz w:val="20"/>
                <w:szCs w:val="20"/>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B190EE3" w14:textId="77777777" w:rsidR="00387142" w:rsidRPr="008B6A75" w:rsidRDefault="00387142" w:rsidP="00387142">
            <w:pPr>
              <w:jc w:val="center"/>
              <w:rPr>
                <w:sz w:val="20"/>
                <w:szCs w:val="20"/>
              </w:rPr>
            </w:pPr>
            <w:r w:rsidRPr="008B6A75">
              <w:rPr>
                <w:sz w:val="20"/>
                <w:szCs w:val="20"/>
              </w:rPr>
              <w:t>02</w:t>
            </w:r>
          </w:p>
        </w:tc>
        <w:tc>
          <w:tcPr>
            <w:tcW w:w="1516" w:type="dxa"/>
            <w:tcBorders>
              <w:top w:val="nil"/>
              <w:left w:val="single" w:sz="4" w:space="0" w:color="auto"/>
              <w:bottom w:val="single" w:sz="4" w:space="0" w:color="auto"/>
              <w:right w:val="nil"/>
            </w:tcBorders>
            <w:shd w:val="clear" w:color="auto" w:fill="auto"/>
            <w:noWrap/>
            <w:vAlign w:val="center"/>
            <w:hideMark/>
          </w:tcPr>
          <w:p w14:paraId="1B5D0398" w14:textId="77777777" w:rsidR="00387142" w:rsidRPr="008B6A75" w:rsidRDefault="00387142" w:rsidP="00387142">
            <w:pPr>
              <w:jc w:val="center"/>
              <w:rPr>
                <w:sz w:val="20"/>
                <w:szCs w:val="20"/>
              </w:rPr>
            </w:pPr>
            <w:r w:rsidRPr="008B6A75">
              <w:rPr>
                <w:sz w:val="20"/>
                <w:szCs w:val="20"/>
              </w:rPr>
              <w:t>99.0.00.70180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A5F8BA0" w14:textId="77777777" w:rsidR="00387142" w:rsidRPr="008B6A75" w:rsidRDefault="00387142" w:rsidP="00387142">
            <w:pPr>
              <w:jc w:val="center"/>
              <w:rPr>
                <w:sz w:val="20"/>
                <w:szCs w:val="20"/>
              </w:rPr>
            </w:pPr>
            <w:r w:rsidRPr="008B6A75">
              <w:rPr>
                <w:sz w:val="20"/>
                <w:szCs w:val="20"/>
              </w:rPr>
              <w:t>200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E7C55D0" w14:textId="77777777" w:rsidR="00387142" w:rsidRPr="008B6A75" w:rsidRDefault="00387142" w:rsidP="00387142">
            <w:pPr>
              <w:jc w:val="right"/>
              <w:rPr>
                <w:sz w:val="20"/>
                <w:szCs w:val="20"/>
              </w:rPr>
            </w:pPr>
            <w:r w:rsidRPr="008B6A75">
              <w:rPr>
                <w:sz w:val="20"/>
                <w:szCs w:val="20"/>
              </w:rPr>
              <w:t>1 870 900,00</w:t>
            </w:r>
          </w:p>
        </w:tc>
        <w:tc>
          <w:tcPr>
            <w:tcW w:w="992" w:type="dxa"/>
            <w:tcBorders>
              <w:top w:val="nil"/>
              <w:left w:val="single" w:sz="4" w:space="0" w:color="auto"/>
              <w:bottom w:val="single" w:sz="4" w:space="0" w:color="auto"/>
              <w:right w:val="nil"/>
            </w:tcBorders>
            <w:shd w:val="clear" w:color="auto" w:fill="auto"/>
            <w:vAlign w:val="center"/>
            <w:hideMark/>
          </w:tcPr>
          <w:p w14:paraId="22F4DA7D" w14:textId="77777777" w:rsidR="00387142" w:rsidRPr="008B6A75" w:rsidRDefault="00387142" w:rsidP="00387142">
            <w:pPr>
              <w:jc w:val="right"/>
              <w:rPr>
                <w:sz w:val="20"/>
                <w:szCs w:val="20"/>
              </w:rPr>
            </w:pPr>
            <w:r w:rsidRPr="008B6A75">
              <w:rPr>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266EC3A8" w14:textId="77777777" w:rsidR="00387142" w:rsidRPr="008B6A75" w:rsidRDefault="00387142" w:rsidP="00387142">
            <w:pPr>
              <w:jc w:val="right"/>
              <w:rPr>
                <w:sz w:val="20"/>
                <w:szCs w:val="20"/>
              </w:rPr>
            </w:pPr>
            <w:r w:rsidRPr="008B6A75">
              <w:rPr>
                <w:sz w:val="20"/>
                <w:szCs w:val="20"/>
              </w:rPr>
              <w:t>0,00</w:t>
            </w:r>
          </w:p>
        </w:tc>
      </w:tr>
      <w:tr w:rsidR="00387142" w:rsidRPr="008B6A75" w14:paraId="4AF351D8" w14:textId="77777777" w:rsidTr="00387142">
        <w:trPr>
          <w:trHeight w:val="870"/>
        </w:trPr>
        <w:tc>
          <w:tcPr>
            <w:tcW w:w="3261" w:type="dxa"/>
            <w:tcBorders>
              <w:top w:val="nil"/>
              <w:left w:val="single" w:sz="4" w:space="0" w:color="auto"/>
              <w:bottom w:val="single" w:sz="4" w:space="0" w:color="auto"/>
              <w:right w:val="nil"/>
            </w:tcBorders>
            <w:shd w:val="clear" w:color="auto" w:fill="auto"/>
            <w:vAlign w:val="center"/>
            <w:hideMark/>
          </w:tcPr>
          <w:p w14:paraId="07756360" w14:textId="77777777" w:rsidR="00387142" w:rsidRPr="008B6A75" w:rsidRDefault="00387142" w:rsidP="00387142">
            <w:pPr>
              <w:rPr>
                <w:sz w:val="20"/>
                <w:szCs w:val="20"/>
              </w:rPr>
            </w:pPr>
            <w:r w:rsidRPr="008B6A75">
              <w:rPr>
                <w:sz w:val="20"/>
                <w:szCs w:val="20"/>
              </w:rPr>
              <w:lastRenderedPageBreak/>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3D72161F" w14:textId="77777777" w:rsidR="00387142" w:rsidRPr="008B6A75" w:rsidRDefault="00387142" w:rsidP="00387142">
            <w:pPr>
              <w:jc w:val="center"/>
              <w:rPr>
                <w:sz w:val="20"/>
                <w:szCs w:val="20"/>
              </w:rPr>
            </w:pPr>
            <w:r w:rsidRPr="008B6A75">
              <w:rPr>
                <w:sz w:val="20"/>
                <w:szCs w:val="20"/>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CC76F3A" w14:textId="77777777" w:rsidR="00387142" w:rsidRPr="008B6A75" w:rsidRDefault="00387142" w:rsidP="00387142">
            <w:pPr>
              <w:jc w:val="center"/>
              <w:rPr>
                <w:sz w:val="20"/>
                <w:szCs w:val="20"/>
              </w:rPr>
            </w:pPr>
            <w:r w:rsidRPr="008B6A75">
              <w:rPr>
                <w:sz w:val="20"/>
                <w:szCs w:val="20"/>
              </w:rPr>
              <w:t>02</w:t>
            </w:r>
          </w:p>
        </w:tc>
        <w:tc>
          <w:tcPr>
            <w:tcW w:w="1516" w:type="dxa"/>
            <w:tcBorders>
              <w:top w:val="nil"/>
              <w:left w:val="single" w:sz="4" w:space="0" w:color="auto"/>
              <w:bottom w:val="single" w:sz="4" w:space="0" w:color="auto"/>
              <w:right w:val="nil"/>
            </w:tcBorders>
            <w:shd w:val="clear" w:color="auto" w:fill="auto"/>
            <w:noWrap/>
            <w:vAlign w:val="center"/>
            <w:hideMark/>
          </w:tcPr>
          <w:p w14:paraId="6A02FC07" w14:textId="77777777" w:rsidR="00387142" w:rsidRPr="008B6A75" w:rsidRDefault="00387142" w:rsidP="00387142">
            <w:pPr>
              <w:jc w:val="center"/>
              <w:rPr>
                <w:sz w:val="20"/>
                <w:szCs w:val="20"/>
              </w:rPr>
            </w:pPr>
            <w:r w:rsidRPr="008B6A75">
              <w:rPr>
                <w:sz w:val="20"/>
                <w:szCs w:val="20"/>
              </w:rPr>
              <w:t>99.0.00.70180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F8B9155" w14:textId="77777777" w:rsidR="00387142" w:rsidRPr="008B6A75" w:rsidRDefault="00387142" w:rsidP="00387142">
            <w:pPr>
              <w:jc w:val="center"/>
              <w:rPr>
                <w:sz w:val="20"/>
                <w:szCs w:val="20"/>
              </w:rPr>
            </w:pPr>
            <w:r w:rsidRPr="008B6A75">
              <w:rPr>
                <w:sz w:val="20"/>
                <w:szCs w:val="20"/>
              </w:rPr>
              <w:t>240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85315DC" w14:textId="77777777" w:rsidR="00387142" w:rsidRPr="008B6A75" w:rsidRDefault="00387142" w:rsidP="00387142">
            <w:pPr>
              <w:jc w:val="right"/>
              <w:rPr>
                <w:sz w:val="20"/>
                <w:szCs w:val="20"/>
              </w:rPr>
            </w:pPr>
            <w:r w:rsidRPr="008B6A75">
              <w:rPr>
                <w:sz w:val="20"/>
                <w:szCs w:val="20"/>
              </w:rPr>
              <w:t>1 870 900,00</w:t>
            </w:r>
          </w:p>
        </w:tc>
        <w:tc>
          <w:tcPr>
            <w:tcW w:w="992" w:type="dxa"/>
            <w:tcBorders>
              <w:top w:val="nil"/>
              <w:left w:val="single" w:sz="4" w:space="0" w:color="auto"/>
              <w:bottom w:val="single" w:sz="4" w:space="0" w:color="auto"/>
              <w:right w:val="nil"/>
            </w:tcBorders>
            <w:shd w:val="clear" w:color="auto" w:fill="auto"/>
            <w:vAlign w:val="center"/>
            <w:hideMark/>
          </w:tcPr>
          <w:p w14:paraId="267A8AAA" w14:textId="77777777" w:rsidR="00387142" w:rsidRPr="008B6A75" w:rsidRDefault="00387142" w:rsidP="00387142">
            <w:pPr>
              <w:jc w:val="right"/>
              <w:rPr>
                <w:sz w:val="20"/>
                <w:szCs w:val="20"/>
              </w:rPr>
            </w:pPr>
            <w:r w:rsidRPr="008B6A75">
              <w:rPr>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46266B68" w14:textId="77777777" w:rsidR="00387142" w:rsidRPr="008B6A75" w:rsidRDefault="00387142" w:rsidP="00387142">
            <w:pPr>
              <w:jc w:val="right"/>
              <w:rPr>
                <w:sz w:val="20"/>
                <w:szCs w:val="20"/>
              </w:rPr>
            </w:pPr>
            <w:r w:rsidRPr="008B6A75">
              <w:rPr>
                <w:sz w:val="20"/>
                <w:szCs w:val="20"/>
              </w:rPr>
              <w:t>0,00</w:t>
            </w:r>
          </w:p>
        </w:tc>
      </w:tr>
      <w:tr w:rsidR="00387142" w:rsidRPr="008B6A75" w14:paraId="029A78E9" w14:textId="77777777" w:rsidTr="00387142">
        <w:trPr>
          <w:trHeight w:val="870"/>
        </w:trPr>
        <w:tc>
          <w:tcPr>
            <w:tcW w:w="3261" w:type="dxa"/>
            <w:tcBorders>
              <w:top w:val="nil"/>
              <w:left w:val="single" w:sz="4" w:space="0" w:color="auto"/>
              <w:bottom w:val="single" w:sz="4" w:space="0" w:color="auto"/>
              <w:right w:val="nil"/>
            </w:tcBorders>
            <w:shd w:val="clear" w:color="auto" w:fill="auto"/>
            <w:vAlign w:val="center"/>
            <w:hideMark/>
          </w:tcPr>
          <w:p w14:paraId="739795DF" w14:textId="77777777" w:rsidR="00387142" w:rsidRPr="008B6A75" w:rsidRDefault="00387142" w:rsidP="00387142">
            <w:pPr>
              <w:rPr>
                <w:sz w:val="20"/>
                <w:szCs w:val="20"/>
              </w:rPr>
            </w:pPr>
            <w:r w:rsidRPr="008B6A75">
              <w:rPr>
                <w:sz w:val="20"/>
                <w:szCs w:val="20"/>
              </w:rPr>
              <w:t>Предоставление субсидий бюджетным, автономным учреждениям и иным некоммерческим организациям</w:t>
            </w:r>
          </w:p>
        </w:tc>
        <w:tc>
          <w:tcPr>
            <w:tcW w:w="720" w:type="dxa"/>
            <w:tcBorders>
              <w:top w:val="nil"/>
              <w:left w:val="single" w:sz="4" w:space="0" w:color="auto"/>
              <w:bottom w:val="single" w:sz="4" w:space="0" w:color="auto"/>
              <w:right w:val="nil"/>
            </w:tcBorders>
            <w:shd w:val="clear" w:color="auto" w:fill="auto"/>
            <w:noWrap/>
            <w:vAlign w:val="center"/>
            <w:hideMark/>
          </w:tcPr>
          <w:p w14:paraId="195D7404" w14:textId="77777777" w:rsidR="00387142" w:rsidRPr="008B6A75" w:rsidRDefault="00387142" w:rsidP="00387142">
            <w:pPr>
              <w:jc w:val="center"/>
              <w:rPr>
                <w:sz w:val="20"/>
                <w:szCs w:val="20"/>
              </w:rPr>
            </w:pPr>
            <w:r w:rsidRPr="008B6A75">
              <w:rPr>
                <w:sz w:val="20"/>
                <w:szCs w:val="20"/>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138756D" w14:textId="77777777" w:rsidR="00387142" w:rsidRPr="008B6A75" w:rsidRDefault="00387142" w:rsidP="00387142">
            <w:pPr>
              <w:jc w:val="center"/>
              <w:rPr>
                <w:sz w:val="20"/>
                <w:szCs w:val="20"/>
              </w:rPr>
            </w:pPr>
            <w:r w:rsidRPr="008B6A75">
              <w:rPr>
                <w:sz w:val="20"/>
                <w:szCs w:val="20"/>
              </w:rPr>
              <w:t>02</w:t>
            </w:r>
          </w:p>
        </w:tc>
        <w:tc>
          <w:tcPr>
            <w:tcW w:w="1516" w:type="dxa"/>
            <w:tcBorders>
              <w:top w:val="nil"/>
              <w:left w:val="single" w:sz="4" w:space="0" w:color="auto"/>
              <w:bottom w:val="single" w:sz="4" w:space="0" w:color="auto"/>
              <w:right w:val="nil"/>
            </w:tcBorders>
            <w:shd w:val="clear" w:color="auto" w:fill="auto"/>
            <w:noWrap/>
            <w:vAlign w:val="center"/>
            <w:hideMark/>
          </w:tcPr>
          <w:p w14:paraId="5DFDA45F" w14:textId="77777777" w:rsidR="00387142" w:rsidRPr="008B6A75" w:rsidRDefault="00387142" w:rsidP="00387142">
            <w:pPr>
              <w:jc w:val="center"/>
              <w:rPr>
                <w:sz w:val="20"/>
                <w:szCs w:val="20"/>
              </w:rPr>
            </w:pPr>
            <w:r w:rsidRPr="008B6A75">
              <w:rPr>
                <w:sz w:val="20"/>
                <w:szCs w:val="20"/>
              </w:rPr>
              <w:t>99.0.00.70180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697BF2E" w14:textId="77777777" w:rsidR="00387142" w:rsidRPr="008B6A75" w:rsidRDefault="00387142" w:rsidP="00387142">
            <w:pPr>
              <w:jc w:val="center"/>
              <w:rPr>
                <w:sz w:val="20"/>
                <w:szCs w:val="20"/>
              </w:rPr>
            </w:pPr>
            <w:r w:rsidRPr="008B6A75">
              <w:rPr>
                <w:sz w:val="20"/>
                <w:szCs w:val="20"/>
              </w:rPr>
              <w:t>600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68E2C6A" w14:textId="77777777" w:rsidR="00387142" w:rsidRPr="008B6A75" w:rsidRDefault="00387142" w:rsidP="00387142">
            <w:pPr>
              <w:jc w:val="right"/>
              <w:rPr>
                <w:sz w:val="20"/>
                <w:szCs w:val="20"/>
              </w:rPr>
            </w:pPr>
            <w:r w:rsidRPr="008B6A75">
              <w:rPr>
                <w:sz w:val="20"/>
                <w:szCs w:val="20"/>
              </w:rPr>
              <w:t>79 610 735,44</w:t>
            </w:r>
          </w:p>
        </w:tc>
        <w:tc>
          <w:tcPr>
            <w:tcW w:w="992" w:type="dxa"/>
            <w:tcBorders>
              <w:top w:val="nil"/>
              <w:left w:val="single" w:sz="4" w:space="0" w:color="auto"/>
              <w:bottom w:val="single" w:sz="4" w:space="0" w:color="auto"/>
              <w:right w:val="nil"/>
            </w:tcBorders>
            <w:shd w:val="clear" w:color="auto" w:fill="auto"/>
            <w:vAlign w:val="center"/>
            <w:hideMark/>
          </w:tcPr>
          <w:p w14:paraId="774ABD24" w14:textId="77777777" w:rsidR="00387142" w:rsidRPr="008B6A75" w:rsidRDefault="00387142" w:rsidP="00387142">
            <w:pPr>
              <w:jc w:val="right"/>
              <w:rPr>
                <w:sz w:val="20"/>
                <w:szCs w:val="20"/>
              </w:rPr>
            </w:pPr>
            <w:r w:rsidRPr="008B6A75">
              <w:rPr>
                <w:sz w:val="20"/>
                <w:szCs w:val="20"/>
              </w:rPr>
              <w:t>80 591 700,00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0946F7BB" w14:textId="77777777" w:rsidR="00387142" w:rsidRPr="008B6A75" w:rsidRDefault="00387142" w:rsidP="00387142">
            <w:pPr>
              <w:jc w:val="right"/>
              <w:rPr>
                <w:sz w:val="20"/>
                <w:szCs w:val="20"/>
              </w:rPr>
            </w:pPr>
            <w:r w:rsidRPr="008B6A75">
              <w:rPr>
                <w:sz w:val="20"/>
                <w:szCs w:val="20"/>
              </w:rPr>
              <w:t>85 631 604,01</w:t>
            </w:r>
          </w:p>
        </w:tc>
      </w:tr>
      <w:tr w:rsidR="00387142" w:rsidRPr="008B6A75" w14:paraId="5A50DFE3" w14:textId="77777777" w:rsidTr="00387142">
        <w:trPr>
          <w:trHeight w:val="345"/>
        </w:trPr>
        <w:tc>
          <w:tcPr>
            <w:tcW w:w="3261" w:type="dxa"/>
            <w:tcBorders>
              <w:top w:val="nil"/>
              <w:left w:val="single" w:sz="4" w:space="0" w:color="auto"/>
              <w:bottom w:val="single" w:sz="4" w:space="0" w:color="auto"/>
              <w:right w:val="nil"/>
            </w:tcBorders>
            <w:shd w:val="clear" w:color="auto" w:fill="auto"/>
            <w:vAlign w:val="center"/>
            <w:hideMark/>
          </w:tcPr>
          <w:p w14:paraId="7B1D2A0E" w14:textId="77777777" w:rsidR="00387142" w:rsidRPr="008B6A75" w:rsidRDefault="00387142" w:rsidP="00387142">
            <w:pPr>
              <w:rPr>
                <w:sz w:val="20"/>
                <w:szCs w:val="20"/>
              </w:rPr>
            </w:pPr>
            <w:r w:rsidRPr="008B6A75">
              <w:rPr>
                <w:sz w:val="20"/>
                <w:szCs w:val="20"/>
              </w:rPr>
              <w:t>Субсидии бюджетным учреждениям</w:t>
            </w:r>
          </w:p>
        </w:tc>
        <w:tc>
          <w:tcPr>
            <w:tcW w:w="720" w:type="dxa"/>
            <w:tcBorders>
              <w:top w:val="nil"/>
              <w:left w:val="single" w:sz="4" w:space="0" w:color="auto"/>
              <w:bottom w:val="single" w:sz="4" w:space="0" w:color="auto"/>
              <w:right w:val="nil"/>
            </w:tcBorders>
            <w:shd w:val="clear" w:color="auto" w:fill="auto"/>
            <w:noWrap/>
            <w:vAlign w:val="center"/>
            <w:hideMark/>
          </w:tcPr>
          <w:p w14:paraId="28E349C2" w14:textId="77777777" w:rsidR="00387142" w:rsidRPr="008B6A75" w:rsidRDefault="00387142" w:rsidP="00387142">
            <w:pPr>
              <w:jc w:val="center"/>
              <w:rPr>
                <w:sz w:val="20"/>
                <w:szCs w:val="20"/>
              </w:rPr>
            </w:pPr>
            <w:r w:rsidRPr="008B6A75">
              <w:rPr>
                <w:sz w:val="20"/>
                <w:szCs w:val="20"/>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2916CD2" w14:textId="77777777" w:rsidR="00387142" w:rsidRPr="008B6A75" w:rsidRDefault="00387142" w:rsidP="00387142">
            <w:pPr>
              <w:jc w:val="center"/>
              <w:rPr>
                <w:sz w:val="20"/>
                <w:szCs w:val="20"/>
              </w:rPr>
            </w:pPr>
            <w:r w:rsidRPr="008B6A75">
              <w:rPr>
                <w:sz w:val="20"/>
                <w:szCs w:val="20"/>
              </w:rPr>
              <w:t>02</w:t>
            </w:r>
          </w:p>
        </w:tc>
        <w:tc>
          <w:tcPr>
            <w:tcW w:w="1516" w:type="dxa"/>
            <w:tcBorders>
              <w:top w:val="nil"/>
              <w:left w:val="single" w:sz="4" w:space="0" w:color="auto"/>
              <w:bottom w:val="single" w:sz="4" w:space="0" w:color="auto"/>
              <w:right w:val="nil"/>
            </w:tcBorders>
            <w:shd w:val="clear" w:color="auto" w:fill="auto"/>
            <w:noWrap/>
            <w:vAlign w:val="center"/>
            <w:hideMark/>
          </w:tcPr>
          <w:p w14:paraId="100889DC" w14:textId="77777777" w:rsidR="00387142" w:rsidRPr="008B6A75" w:rsidRDefault="00387142" w:rsidP="00387142">
            <w:pPr>
              <w:jc w:val="center"/>
              <w:rPr>
                <w:sz w:val="20"/>
                <w:szCs w:val="20"/>
              </w:rPr>
            </w:pPr>
            <w:r w:rsidRPr="008B6A75">
              <w:rPr>
                <w:sz w:val="20"/>
                <w:szCs w:val="20"/>
              </w:rPr>
              <w:t>99.0.00.70180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29D8108" w14:textId="77777777" w:rsidR="00387142" w:rsidRPr="008B6A75" w:rsidRDefault="00387142" w:rsidP="00387142">
            <w:pPr>
              <w:jc w:val="center"/>
              <w:rPr>
                <w:sz w:val="20"/>
                <w:szCs w:val="20"/>
              </w:rPr>
            </w:pPr>
            <w:r w:rsidRPr="008B6A75">
              <w:rPr>
                <w:sz w:val="20"/>
                <w:szCs w:val="20"/>
              </w:rPr>
              <w:t>610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F6BEE04" w14:textId="77777777" w:rsidR="00387142" w:rsidRPr="008B6A75" w:rsidRDefault="00387142" w:rsidP="00387142">
            <w:pPr>
              <w:jc w:val="right"/>
              <w:rPr>
                <w:sz w:val="20"/>
                <w:szCs w:val="20"/>
              </w:rPr>
            </w:pPr>
            <w:r w:rsidRPr="008B6A75">
              <w:rPr>
                <w:sz w:val="20"/>
                <w:szCs w:val="20"/>
              </w:rPr>
              <w:t>79 610 735,44</w:t>
            </w:r>
          </w:p>
        </w:tc>
        <w:tc>
          <w:tcPr>
            <w:tcW w:w="992" w:type="dxa"/>
            <w:tcBorders>
              <w:top w:val="nil"/>
              <w:left w:val="single" w:sz="4" w:space="0" w:color="auto"/>
              <w:bottom w:val="single" w:sz="4" w:space="0" w:color="auto"/>
              <w:right w:val="nil"/>
            </w:tcBorders>
            <w:shd w:val="clear" w:color="auto" w:fill="auto"/>
            <w:vAlign w:val="center"/>
            <w:hideMark/>
          </w:tcPr>
          <w:p w14:paraId="4A96EEB0" w14:textId="77777777" w:rsidR="00387142" w:rsidRPr="008B6A75" w:rsidRDefault="00387142" w:rsidP="00387142">
            <w:pPr>
              <w:jc w:val="right"/>
              <w:rPr>
                <w:sz w:val="20"/>
                <w:szCs w:val="20"/>
              </w:rPr>
            </w:pPr>
            <w:r w:rsidRPr="008B6A75">
              <w:rPr>
                <w:sz w:val="20"/>
                <w:szCs w:val="20"/>
              </w:rPr>
              <w:t>80 591 700,00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1B4FAA9C" w14:textId="77777777" w:rsidR="00387142" w:rsidRPr="008B6A75" w:rsidRDefault="00387142" w:rsidP="00387142">
            <w:pPr>
              <w:jc w:val="right"/>
              <w:rPr>
                <w:sz w:val="20"/>
                <w:szCs w:val="20"/>
              </w:rPr>
            </w:pPr>
            <w:r w:rsidRPr="008B6A75">
              <w:rPr>
                <w:sz w:val="20"/>
                <w:szCs w:val="20"/>
              </w:rPr>
              <w:t>85 631 604,01</w:t>
            </w:r>
          </w:p>
        </w:tc>
      </w:tr>
      <w:tr w:rsidR="00387142" w:rsidRPr="008B6A75" w14:paraId="05F84E19" w14:textId="77777777" w:rsidTr="00387142">
        <w:trPr>
          <w:trHeight w:val="345"/>
        </w:trPr>
        <w:tc>
          <w:tcPr>
            <w:tcW w:w="3261" w:type="dxa"/>
            <w:tcBorders>
              <w:top w:val="nil"/>
              <w:left w:val="single" w:sz="4" w:space="0" w:color="auto"/>
              <w:bottom w:val="single" w:sz="4" w:space="0" w:color="auto"/>
              <w:right w:val="nil"/>
            </w:tcBorders>
            <w:shd w:val="clear" w:color="auto" w:fill="auto"/>
            <w:vAlign w:val="center"/>
            <w:hideMark/>
          </w:tcPr>
          <w:p w14:paraId="6BA9F0A9" w14:textId="77777777" w:rsidR="00387142" w:rsidRPr="008B6A75" w:rsidRDefault="00387142" w:rsidP="00387142">
            <w:pPr>
              <w:rPr>
                <w:bCs/>
                <w:sz w:val="20"/>
                <w:szCs w:val="20"/>
              </w:rPr>
            </w:pPr>
            <w:r w:rsidRPr="008B6A75">
              <w:rPr>
                <w:bCs/>
                <w:sz w:val="20"/>
                <w:szCs w:val="20"/>
              </w:rPr>
              <w:t>Региональный проект "Старшее поколение"</w:t>
            </w:r>
          </w:p>
        </w:tc>
        <w:tc>
          <w:tcPr>
            <w:tcW w:w="720" w:type="dxa"/>
            <w:tcBorders>
              <w:top w:val="nil"/>
              <w:left w:val="single" w:sz="4" w:space="0" w:color="auto"/>
              <w:bottom w:val="single" w:sz="4" w:space="0" w:color="auto"/>
              <w:right w:val="nil"/>
            </w:tcBorders>
            <w:shd w:val="clear" w:color="auto" w:fill="auto"/>
            <w:noWrap/>
            <w:vAlign w:val="center"/>
            <w:hideMark/>
          </w:tcPr>
          <w:p w14:paraId="7182847E" w14:textId="77777777" w:rsidR="00387142" w:rsidRPr="008B6A75" w:rsidRDefault="00387142" w:rsidP="00387142">
            <w:pPr>
              <w:jc w:val="center"/>
              <w:rPr>
                <w:bCs/>
                <w:sz w:val="20"/>
                <w:szCs w:val="20"/>
              </w:rPr>
            </w:pPr>
            <w:r w:rsidRPr="008B6A75">
              <w:rPr>
                <w:bCs/>
                <w:sz w:val="20"/>
                <w:szCs w:val="20"/>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721D4C7" w14:textId="77777777" w:rsidR="00387142" w:rsidRPr="008B6A75" w:rsidRDefault="00387142" w:rsidP="00387142">
            <w:pPr>
              <w:jc w:val="center"/>
              <w:rPr>
                <w:bCs/>
                <w:sz w:val="20"/>
                <w:szCs w:val="20"/>
              </w:rPr>
            </w:pPr>
            <w:r w:rsidRPr="008B6A75">
              <w:rPr>
                <w:bCs/>
                <w:sz w:val="20"/>
                <w:szCs w:val="20"/>
              </w:rPr>
              <w:t>02</w:t>
            </w:r>
          </w:p>
        </w:tc>
        <w:tc>
          <w:tcPr>
            <w:tcW w:w="1516" w:type="dxa"/>
            <w:tcBorders>
              <w:top w:val="nil"/>
              <w:left w:val="single" w:sz="4" w:space="0" w:color="auto"/>
              <w:bottom w:val="single" w:sz="4" w:space="0" w:color="auto"/>
              <w:right w:val="nil"/>
            </w:tcBorders>
            <w:shd w:val="clear" w:color="auto" w:fill="auto"/>
            <w:noWrap/>
            <w:vAlign w:val="center"/>
            <w:hideMark/>
          </w:tcPr>
          <w:p w14:paraId="27ECABA3" w14:textId="77777777" w:rsidR="00387142" w:rsidRPr="008B6A75" w:rsidRDefault="00387142" w:rsidP="00387142">
            <w:pPr>
              <w:jc w:val="center"/>
              <w:rPr>
                <w:bCs/>
                <w:sz w:val="20"/>
                <w:szCs w:val="20"/>
              </w:rPr>
            </w:pPr>
            <w:r w:rsidRPr="008B6A75">
              <w:rPr>
                <w:bCs/>
                <w:sz w:val="20"/>
                <w:szCs w:val="20"/>
              </w:rPr>
              <w:t>99.0.P3.00000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D8161C9"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7912022" w14:textId="77777777" w:rsidR="00387142" w:rsidRPr="008B6A75" w:rsidRDefault="00387142" w:rsidP="00387142">
            <w:pPr>
              <w:jc w:val="right"/>
              <w:rPr>
                <w:bCs/>
                <w:sz w:val="20"/>
                <w:szCs w:val="20"/>
              </w:rPr>
            </w:pPr>
            <w:r w:rsidRPr="008B6A75">
              <w:rPr>
                <w:bCs/>
                <w:sz w:val="20"/>
                <w:szCs w:val="20"/>
              </w:rPr>
              <w:t>3 882 900,00</w:t>
            </w:r>
          </w:p>
        </w:tc>
        <w:tc>
          <w:tcPr>
            <w:tcW w:w="992" w:type="dxa"/>
            <w:tcBorders>
              <w:top w:val="nil"/>
              <w:left w:val="single" w:sz="4" w:space="0" w:color="auto"/>
              <w:bottom w:val="single" w:sz="4" w:space="0" w:color="auto"/>
              <w:right w:val="nil"/>
            </w:tcBorders>
            <w:shd w:val="clear" w:color="auto" w:fill="auto"/>
            <w:vAlign w:val="center"/>
            <w:hideMark/>
          </w:tcPr>
          <w:p w14:paraId="058A701A" w14:textId="77777777" w:rsidR="00387142" w:rsidRPr="008B6A75" w:rsidRDefault="00387142" w:rsidP="00387142">
            <w:pPr>
              <w:jc w:val="right"/>
              <w:rPr>
                <w:bCs/>
                <w:sz w:val="20"/>
                <w:szCs w:val="20"/>
              </w:rPr>
            </w:pPr>
            <w:r w:rsidRPr="008B6A75">
              <w:rPr>
                <w:bCs/>
                <w:sz w:val="20"/>
                <w:szCs w:val="20"/>
              </w:rPr>
              <w:t>4 922 300,00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2AFB4E51" w14:textId="77777777" w:rsidR="00387142" w:rsidRPr="008B6A75" w:rsidRDefault="00387142" w:rsidP="00387142">
            <w:pPr>
              <w:jc w:val="right"/>
              <w:rPr>
                <w:bCs/>
                <w:sz w:val="20"/>
                <w:szCs w:val="20"/>
              </w:rPr>
            </w:pPr>
            <w:r w:rsidRPr="008B6A75">
              <w:rPr>
                <w:bCs/>
                <w:sz w:val="20"/>
                <w:szCs w:val="20"/>
              </w:rPr>
              <w:t>6 500 000,00</w:t>
            </w:r>
          </w:p>
        </w:tc>
      </w:tr>
      <w:tr w:rsidR="00387142" w:rsidRPr="008B6A75" w14:paraId="0A7D4014" w14:textId="77777777" w:rsidTr="00387142">
        <w:trPr>
          <w:trHeight w:val="1725"/>
        </w:trPr>
        <w:tc>
          <w:tcPr>
            <w:tcW w:w="3261" w:type="dxa"/>
            <w:tcBorders>
              <w:top w:val="nil"/>
              <w:left w:val="single" w:sz="4" w:space="0" w:color="auto"/>
              <w:bottom w:val="single" w:sz="4" w:space="0" w:color="auto"/>
              <w:right w:val="nil"/>
            </w:tcBorders>
            <w:shd w:val="clear" w:color="auto" w:fill="auto"/>
            <w:vAlign w:val="center"/>
            <w:hideMark/>
          </w:tcPr>
          <w:p w14:paraId="21D8D24D" w14:textId="77777777" w:rsidR="00387142" w:rsidRPr="008B6A75" w:rsidRDefault="00387142" w:rsidP="00387142">
            <w:pPr>
              <w:rPr>
                <w:bCs/>
                <w:sz w:val="20"/>
                <w:szCs w:val="20"/>
              </w:rPr>
            </w:pPr>
            <w:r w:rsidRPr="008B6A75">
              <w:rPr>
                <w:bCs/>
                <w:sz w:val="20"/>
                <w:szCs w:val="20"/>
              </w:rPr>
              <w:t>Реализация мероприятий по созданию системы долговременного ухода за гражданами пожилого возраста и инвалидами государственной программы Новосибирской области "Социальная поддержка в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14:paraId="160896D0" w14:textId="77777777" w:rsidR="00387142" w:rsidRPr="008B6A75" w:rsidRDefault="00387142" w:rsidP="00387142">
            <w:pPr>
              <w:jc w:val="center"/>
              <w:rPr>
                <w:bCs/>
                <w:sz w:val="20"/>
                <w:szCs w:val="20"/>
              </w:rPr>
            </w:pPr>
            <w:r w:rsidRPr="008B6A75">
              <w:rPr>
                <w:bCs/>
                <w:sz w:val="20"/>
                <w:szCs w:val="20"/>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28E5DF0" w14:textId="77777777" w:rsidR="00387142" w:rsidRPr="008B6A75" w:rsidRDefault="00387142" w:rsidP="00387142">
            <w:pPr>
              <w:jc w:val="center"/>
              <w:rPr>
                <w:bCs/>
                <w:sz w:val="20"/>
                <w:szCs w:val="20"/>
              </w:rPr>
            </w:pPr>
            <w:r w:rsidRPr="008B6A75">
              <w:rPr>
                <w:bCs/>
                <w:sz w:val="20"/>
                <w:szCs w:val="20"/>
              </w:rPr>
              <w:t>02</w:t>
            </w:r>
          </w:p>
        </w:tc>
        <w:tc>
          <w:tcPr>
            <w:tcW w:w="1516" w:type="dxa"/>
            <w:tcBorders>
              <w:top w:val="nil"/>
              <w:left w:val="single" w:sz="4" w:space="0" w:color="auto"/>
              <w:bottom w:val="single" w:sz="4" w:space="0" w:color="auto"/>
              <w:right w:val="nil"/>
            </w:tcBorders>
            <w:shd w:val="clear" w:color="auto" w:fill="auto"/>
            <w:noWrap/>
            <w:vAlign w:val="center"/>
            <w:hideMark/>
          </w:tcPr>
          <w:p w14:paraId="0AB698C2" w14:textId="77777777" w:rsidR="00387142" w:rsidRPr="008B6A75" w:rsidRDefault="00387142" w:rsidP="00387142">
            <w:pPr>
              <w:jc w:val="center"/>
              <w:rPr>
                <w:bCs/>
                <w:sz w:val="20"/>
                <w:szCs w:val="20"/>
              </w:rPr>
            </w:pPr>
            <w:r w:rsidRPr="008B6A75">
              <w:rPr>
                <w:bCs/>
                <w:sz w:val="20"/>
                <w:szCs w:val="20"/>
              </w:rPr>
              <w:t>99.0.P3.51630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A0EF26A"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A769F3A" w14:textId="77777777" w:rsidR="00387142" w:rsidRPr="008B6A75" w:rsidRDefault="00387142" w:rsidP="00387142">
            <w:pPr>
              <w:jc w:val="right"/>
              <w:rPr>
                <w:bCs/>
                <w:sz w:val="20"/>
                <w:szCs w:val="20"/>
              </w:rPr>
            </w:pPr>
            <w:r w:rsidRPr="008B6A75">
              <w:rPr>
                <w:bCs/>
                <w:sz w:val="20"/>
                <w:szCs w:val="20"/>
              </w:rPr>
              <w:t>3 882 900,00</w:t>
            </w:r>
          </w:p>
        </w:tc>
        <w:tc>
          <w:tcPr>
            <w:tcW w:w="992" w:type="dxa"/>
            <w:tcBorders>
              <w:top w:val="nil"/>
              <w:left w:val="single" w:sz="4" w:space="0" w:color="auto"/>
              <w:bottom w:val="single" w:sz="4" w:space="0" w:color="auto"/>
              <w:right w:val="nil"/>
            </w:tcBorders>
            <w:shd w:val="clear" w:color="auto" w:fill="auto"/>
            <w:vAlign w:val="center"/>
            <w:hideMark/>
          </w:tcPr>
          <w:p w14:paraId="43C7624A" w14:textId="77777777" w:rsidR="00387142" w:rsidRPr="008B6A75" w:rsidRDefault="00387142" w:rsidP="00387142">
            <w:pPr>
              <w:jc w:val="right"/>
              <w:rPr>
                <w:bCs/>
                <w:sz w:val="20"/>
                <w:szCs w:val="20"/>
              </w:rPr>
            </w:pPr>
            <w:r w:rsidRPr="008B6A75">
              <w:rPr>
                <w:bCs/>
                <w:sz w:val="20"/>
                <w:szCs w:val="20"/>
              </w:rPr>
              <w:t>4 922 300,00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53129224" w14:textId="77777777" w:rsidR="00387142" w:rsidRPr="008B6A75" w:rsidRDefault="00387142" w:rsidP="00387142">
            <w:pPr>
              <w:jc w:val="right"/>
              <w:rPr>
                <w:bCs/>
                <w:sz w:val="20"/>
                <w:szCs w:val="20"/>
              </w:rPr>
            </w:pPr>
            <w:r w:rsidRPr="008B6A75">
              <w:rPr>
                <w:bCs/>
                <w:sz w:val="20"/>
                <w:szCs w:val="20"/>
              </w:rPr>
              <w:t>6 500 000,00</w:t>
            </w:r>
          </w:p>
        </w:tc>
      </w:tr>
      <w:tr w:rsidR="00387142" w:rsidRPr="008B6A75" w14:paraId="7DCE4761" w14:textId="77777777" w:rsidTr="00387142">
        <w:trPr>
          <w:trHeight w:val="870"/>
        </w:trPr>
        <w:tc>
          <w:tcPr>
            <w:tcW w:w="3261" w:type="dxa"/>
            <w:tcBorders>
              <w:top w:val="nil"/>
              <w:left w:val="single" w:sz="4" w:space="0" w:color="auto"/>
              <w:bottom w:val="single" w:sz="4" w:space="0" w:color="auto"/>
              <w:right w:val="nil"/>
            </w:tcBorders>
            <w:shd w:val="clear" w:color="auto" w:fill="auto"/>
            <w:vAlign w:val="center"/>
            <w:hideMark/>
          </w:tcPr>
          <w:p w14:paraId="0210004F" w14:textId="77777777" w:rsidR="00387142" w:rsidRPr="008B6A75" w:rsidRDefault="00387142" w:rsidP="00387142">
            <w:pPr>
              <w:rPr>
                <w:sz w:val="20"/>
                <w:szCs w:val="20"/>
              </w:rPr>
            </w:pPr>
            <w:r w:rsidRPr="008B6A75">
              <w:rPr>
                <w:sz w:val="20"/>
                <w:szCs w:val="20"/>
              </w:rPr>
              <w:t>Предоставление субсидий бюджетным, автономным учреждениям и иным некоммерческим организациям</w:t>
            </w:r>
          </w:p>
        </w:tc>
        <w:tc>
          <w:tcPr>
            <w:tcW w:w="720" w:type="dxa"/>
            <w:tcBorders>
              <w:top w:val="nil"/>
              <w:left w:val="single" w:sz="4" w:space="0" w:color="auto"/>
              <w:bottom w:val="single" w:sz="4" w:space="0" w:color="auto"/>
              <w:right w:val="nil"/>
            </w:tcBorders>
            <w:shd w:val="clear" w:color="auto" w:fill="auto"/>
            <w:noWrap/>
            <w:vAlign w:val="center"/>
            <w:hideMark/>
          </w:tcPr>
          <w:p w14:paraId="3AE87D4A" w14:textId="77777777" w:rsidR="00387142" w:rsidRPr="008B6A75" w:rsidRDefault="00387142" w:rsidP="00387142">
            <w:pPr>
              <w:jc w:val="center"/>
              <w:rPr>
                <w:sz w:val="20"/>
                <w:szCs w:val="20"/>
              </w:rPr>
            </w:pPr>
            <w:r w:rsidRPr="008B6A75">
              <w:rPr>
                <w:sz w:val="20"/>
                <w:szCs w:val="20"/>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41B4845" w14:textId="77777777" w:rsidR="00387142" w:rsidRPr="008B6A75" w:rsidRDefault="00387142" w:rsidP="00387142">
            <w:pPr>
              <w:jc w:val="center"/>
              <w:rPr>
                <w:sz w:val="20"/>
                <w:szCs w:val="20"/>
              </w:rPr>
            </w:pPr>
            <w:r w:rsidRPr="008B6A75">
              <w:rPr>
                <w:sz w:val="20"/>
                <w:szCs w:val="20"/>
              </w:rPr>
              <w:t>02</w:t>
            </w:r>
          </w:p>
        </w:tc>
        <w:tc>
          <w:tcPr>
            <w:tcW w:w="1516" w:type="dxa"/>
            <w:tcBorders>
              <w:top w:val="nil"/>
              <w:left w:val="single" w:sz="4" w:space="0" w:color="auto"/>
              <w:bottom w:val="single" w:sz="4" w:space="0" w:color="auto"/>
              <w:right w:val="nil"/>
            </w:tcBorders>
            <w:shd w:val="clear" w:color="auto" w:fill="auto"/>
            <w:noWrap/>
            <w:vAlign w:val="center"/>
            <w:hideMark/>
          </w:tcPr>
          <w:p w14:paraId="25B03504" w14:textId="77777777" w:rsidR="00387142" w:rsidRPr="008B6A75" w:rsidRDefault="00387142" w:rsidP="00387142">
            <w:pPr>
              <w:jc w:val="center"/>
              <w:rPr>
                <w:sz w:val="20"/>
                <w:szCs w:val="20"/>
              </w:rPr>
            </w:pPr>
            <w:r w:rsidRPr="008B6A75">
              <w:rPr>
                <w:sz w:val="20"/>
                <w:szCs w:val="20"/>
              </w:rPr>
              <w:t>99.0.P3.51630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3EEABE6" w14:textId="77777777" w:rsidR="00387142" w:rsidRPr="008B6A75" w:rsidRDefault="00387142" w:rsidP="00387142">
            <w:pPr>
              <w:jc w:val="center"/>
              <w:rPr>
                <w:sz w:val="20"/>
                <w:szCs w:val="20"/>
              </w:rPr>
            </w:pPr>
            <w:r w:rsidRPr="008B6A75">
              <w:rPr>
                <w:sz w:val="20"/>
                <w:szCs w:val="20"/>
              </w:rPr>
              <w:t>600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6458168" w14:textId="77777777" w:rsidR="00387142" w:rsidRPr="008B6A75" w:rsidRDefault="00387142" w:rsidP="00387142">
            <w:pPr>
              <w:jc w:val="right"/>
              <w:rPr>
                <w:sz w:val="20"/>
                <w:szCs w:val="20"/>
              </w:rPr>
            </w:pPr>
            <w:r w:rsidRPr="008B6A75">
              <w:rPr>
                <w:sz w:val="20"/>
                <w:szCs w:val="20"/>
              </w:rPr>
              <w:t>3 882 900,00</w:t>
            </w:r>
          </w:p>
        </w:tc>
        <w:tc>
          <w:tcPr>
            <w:tcW w:w="992" w:type="dxa"/>
            <w:tcBorders>
              <w:top w:val="nil"/>
              <w:left w:val="single" w:sz="4" w:space="0" w:color="auto"/>
              <w:bottom w:val="single" w:sz="4" w:space="0" w:color="auto"/>
              <w:right w:val="nil"/>
            </w:tcBorders>
            <w:shd w:val="clear" w:color="auto" w:fill="auto"/>
            <w:vAlign w:val="center"/>
            <w:hideMark/>
          </w:tcPr>
          <w:p w14:paraId="53822728" w14:textId="77777777" w:rsidR="00387142" w:rsidRPr="008B6A75" w:rsidRDefault="00387142" w:rsidP="00387142">
            <w:pPr>
              <w:jc w:val="right"/>
              <w:rPr>
                <w:sz w:val="20"/>
                <w:szCs w:val="20"/>
              </w:rPr>
            </w:pPr>
            <w:r w:rsidRPr="008B6A75">
              <w:rPr>
                <w:sz w:val="20"/>
                <w:szCs w:val="20"/>
              </w:rPr>
              <w:t>4 922 300,00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43250219" w14:textId="77777777" w:rsidR="00387142" w:rsidRPr="008B6A75" w:rsidRDefault="00387142" w:rsidP="00387142">
            <w:pPr>
              <w:jc w:val="right"/>
              <w:rPr>
                <w:sz w:val="20"/>
                <w:szCs w:val="20"/>
              </w:rPr>
            </w:pPr>
            <w:r w:rsidRPr="008B6A75">
              <w:rPr>
                <w:sz w:val="20"/>
                <w:szCs w:val="20"/>
              </w:rPr>
              <w:t>6 500 000,00</w:t>
            </w:r>
          </w:p>
        </w:tc>
      </w:tr>
      <w:tr w:rsidR="00387142" w:rsidRPr="008B6A75" w14:paraId="5318B100" w14:textId="77777777" w:rsidTr="00387142">
        <w:trPr>
          <w:trHeight w:val="345"/>
        </w:trPr>
        <w:tc>
          <w:tcPr>
            <w:tcW w:w="3261" w:type="dxa"/>
            <w:tcBorders>
              <w:top w:val="nil"/>
              <w:left w:val="single" w:sz="4" w:space="0" w:color="auto"/>
              <w:bottom w:val="single" w:sz="4" w:space="0" w:color="auto"/>
              <w:right w:val="nil"/>
            </w:tcBorders>
            <w:shd w:val="clear" w:color="auto" w:fill="auto"/>
            <w:vAlign w:val="center"/>
            <w:hideMark/>
          </w:tcPr>
          <w:p w14:paraId="6D954D52" w14:textId="77777777" w:rsidR="00387142" w:rsidRPr="008B6A75" w:rsidRDefault="00387142" w:rsidP="00387142">
            <w:pPr>
              <w:rPr>
                <w:sz w:val="20"/>
                <w:szCs w:val="20"/>
              </w:rPr>
            </w:pPr>
            <w:r w:rsidRPr="008B6A75">
              <w:rPr>
                <w:sz w:val="20"/>
                <w:szCs w:val="20"/>
              </w:rPr>
              <w:t>Субсидии бюджетным учреждениям</w:t>
            </w:r>
          </w:p>
        </w:tc>
        <w:tc>
          <w:tcPr>
            <w:tcW w:w="720" w:type="dxa"/>
            <w:tcBorders>
              <w:top w:val="nil"/>
              <w:left w:val="single" w:sz="4" w:space="0" w:color="auto"/>
              <w:bottom w:val="single" w:sz="4" w:space="0" w:color="auto"/>
              <w:right w:val="nil"/>
            </w:tcBorders>
            <w:shd w:val="clear" w:color="auto" w:fill="auto"/>
            <w:noWrap/>
            <w:vAlign w:val="center"/>
            <w:hideMark/>
          </w:tcPr>
          <w:p w14:paraId="13C43103" w14:textId="77777777" w:rsidR="00387142" w:rsidRPr="008B6A75" w:rsidRDefault="00387142" w:rsidP="00387142">
            <w:pPr>
              <w:jc w:val="center"/>
              <w:rPr>
                <w:sz w:val="20"/>
                <w:szCs w:val="20"/>
              </w:rPr>
            </w:pPr>
            <w:r w:rsidRPr="008B6A75">
              <w:rPr>
                <w:sz w:val="20"/>
                <w:szCs w:val="20"/>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898FB0E" w14:textId="77777777" w:rsidR="00387142" w:rsidRPr="008B6A75" w:rsidRDefault="00387142" w:rsidP="00387142">
            <w:pPr>
              <w:jc w:val="center"/>
              <w:rPr>
                <w:sz w:val="20"/>
                <w:szCs w:val="20"/>
              </w:rPr>
            </w:pPr>
            <w:r w:rsidRPr="008B6A75">
              <w:rPr>
                <w:sz w:val="20"/>
                <w:szCs w:val="20"/>
              </w:rPr>
              <w:t>02</w:t>
            </w:r>
          </w:p>
        </w:tc>
        <w:tc>
          <w:tcPr>
            <w:tcW w:w="1516" w:type="dxa"/>
            <w:tcBorders>
              <w:top w:val="nil"/>
              <w:left w:val="single" w:sz="4" w:space="0" w:color="auto"/>
              <w:bottom w:val="single" w:sz="4" w:space="0" w:color="auto"/>
              <w:right w:val="nil"/>
            </w:tcBorders>
            <w:shd w:val="clear" w:color="auto" w:fill="auto"/>
            <w:noWrap/>
            <w:vAlign w:val="center"/>
            <w:hideMark/>
          </w:tcPr>
          <w:p w14:paraId="4FE4466A" w14:textId="77777777" w:rsidR="00387142" w:rsidRPr="008B6A75" w:rsidRDefault="00387142" w:rsidP="00387142">
            <w:pPr>
              <w:jc w:val="center"/>
              <w:rPr>
                <w:sz w:val="20"/>
                <w:szCs w:val="20"/>
              </w:rPr>
            </w:pPr>
            <w:r w:rsidRPr="008B6A75">
              <w:rPr>
                <w:sz w:val="20"/>
                <w:szCs w:val="20"/>
              </w:rPr>
              <w:t>99.0.P3.51630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36E33CB" w14:textId="77777777" w:rsidR="00387142" w:rsidRPr="008B6A75" w:rsidRDefault="00387142" w:rsidP="00387142">
            <w:pPr>
              <w:jc w:val="center"/>
              <w:rPr>
                <w:sz w:val="20"/>
                <w:szCs w:val="20"/>
              </w:rPr>
            </w:pPr>
            <w:r w:rsidRPr="008B6A75">
              <w:rPr>
                <w:sz w:val="20"/>
                <w:szCs w:val="20"/>
              </w:rPr>
              <w:t>610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5C599B6" w14:textId="77777777" w:rsidR="00387142" w:rsidRPr="008B6A75" w:rsidRDefault="00387142" w:rsidP="00387142">
            <w:pPr>
              <w:jc w:val="right"/>
              <w:rPr>
                <w:sz w:val="20"/>
                <w:szCs w:val="20"/>
              </w:rPr>
            </w:pPr>
            <w:r w:rsidRPr="008B6A75">
              <w:rPr>
                <w:sz w:val="20"/>
                <w:szCs w:val="20"/>
              </w:rPr>
              <w:t>3 882 900,00</w:t>
            </w:r>
          </w:p>
        </w:tc>
        <w:tc>
          <w:tcPr>
            <w:tcW w:w="992" w:type="dxa"/>
            <w:tcBorders>
              <w:top w:val="nil"/>
              <w:left w:val="single" w:sz="4" w:space="0" w:color="auto"/>
              <w:bottom w:val="single" w:sz="4" w:space="0" w:color="auto"/>
              <w:right w:val="nil"/>
            </w:tcBorders>
            <w:shd w:val="clear" w:color="auto" w:fill="auto"/>
            <w:vAlign w:val="center"/>
            <w:hideMark/>
          </w:tcPr>
          <w:p w14:paraId="78A69FF9" w14:textId="77777777" w:rsidR="00387142" w:rsidRPr="008B6A75" w:rsidRDefault="00387142" w:rsidP="00387142">
            <w:pPr>
              <w:jc w:val="right"/>
              <w:rPr>
                <w:sz w:val="20"/>
                <w:szCs w:val="20"/>
              </w:rPr>
            </w:pPr>
            <w:r w:rsidRPr="008B6A75">
              <w:rPr>
                <w:sz w:val="20"/>
                <w:szCs w:val="20"/>
              </w:rPr>
              <w:t>4 922 300,00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2B5410E3" w14:textId="77777777" w:rsidR="00387142" w:rsidRPr="008B6A75" w:rsidRDefault="00387142" w:rsidP="00387142">
            <w:pPr>
              <w:jc w:val="right"/>
              <w:rPr>
                <w:sz w:val="20"/>
                <w:szCs w:val="20"/>
              </w:rPr>
            </w:pPr>
            <w:r w:rsidRPr="008B6A75">
              <w:rPr>
                <w:sz w:val="20"/>
                <w:szCs w:val="20"/>
              </w:rPr>
              <w:t>6 500 000,00</w:t>
            </w:r>
          </w:p>
        </w:tc>
      </w:tr>
      <w:tr w:rsidR="00387142" w:rsidRPr="008B6A75" w14:paraId="0481420A" w14:textId="77777777" w:rsidTr="00387142">
        <w:trPr>
          <w:trHeight w:val="345"/>
        </w:trPr>
        <w:tc>
          <w:tcPr>
            <w:tcW w:w="3261" w:type="dxa"/>
            <w:tcBorders>
              <w:top w:val="nil"/>
              <w:left w:val="single" w:sz="4" w:space="0" w:color="auto"/>
              <w:bottom w:val="single" w:sz="4" w:space="0" w:color="auto"/>
              <w:right w:val="nil"/>
            </w:tcBorders>
            <w:shd w:val="clear" w:color="auto" w:fill="auto"/>
            <w:vAlign w:val="center"/>
            <w:hideMark/>
          </w:tcPr>
          <w:p w14:paraId="754B3359" w14:textId="77777777" w:rsidR="00387142" w:rsidRPr="008B6A75" w:rsidRDefault="00387142" w:rsidP="00387142">
            <w:pPr>
              <w:rPr>
                <w:bCs/>
                <w:sz w:val="20"/>
                <w:szCs w:val="20"/>
              </w:rPr>
            </w:pPr>
            <w:r w:rsidRPr="008B6A75">
              <w:rPr>
                <w:bCs/>
                <w:sz w:val="20"/>
                <w:szCs w:val="20"/>
              </w:rPr>
              <w:t>Социальное обеспечение населения</w:t>
            </w:r>
          </w:p>
        </w:tc>
        <w:tc>
          <w:tcPr>
            <w:tcW w:w="720" w:type="dxa"/>
            <w:tcBorders>
              <w:top w:val="nil"/>
              <w:left w:val="single" w:sz="4" w:space="0" w:color="auto"/>
              <w:bottom w:val="single" w:sz="4" w:space="0" w:color="auto"/>
              <w:right w:val="nil"/>
            </w:tcBorders>
            <w:shd w:val="clear" w:color="auto" w:fill="auto"/>
            <w:noWrap/>
            <w:vAlign w:val="center"/>
            <w:hideMark/>
          </w:tcPr>
          <w:p w14:paraId="60FDE22E" w14:textId="77777777" w:rsidR="00387142" w:rsidRPr="008B6A75" w:rsidRDefault="00387142" w:rsidP="00387142">
            <w:pPr>
              <w:jc w:val="center"/>
              <w:rPr>
                <w:bCs/>
                <w:sz w:val="20"/>
                <w:szCs w:val="20"/>
              </w:rPr>
            </w:pPr>
            <w:r w:rsidRPr="008B6A75">
              <w:rPr>
                <w:bCs/>
                <w:sz w:val="20"/>
                <w:szCs w:val="20"/>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6DADA80" w14:textId="77777777" w:rsidR="00387142" w:rsidRPr="008B6A75" w:rsidRDefault="00387142" w:rsidP="00387142">
            <w:pPr>
              <w:jc w:val="center"/>
              <w:rPr>
                <w:bCs/>
                <w:sz w:val="20"/>
                <w:szCs w:val="20"/>
              </w:rPr>
            </w:pPr>
            <w:r w:rsidRPr="008B6A75">
              <w:rPr>
                <w:bCs/>
                <w:sz w:val="20"/>
                <w:szCs w:val="20"/>
              </w:rPr>
              <w:t>03</w:t>
            </w:r>
          </w:p>
        </w:tc>
        <w:tc>
          <w:tcPr>
            <w:tcW w:w="1516" w:type="dxa"/>
            <w:tcBorders>
              <w:top w:val="nil"/>
              <w:left w:val="single" w:sz="4" w:space="0" w:color="auto"/>
              <w:bottom w:val="single" w:sz="4" w:space="0" w:color="auto"/>
              <w:right w:val="nil"/>
            </w:tcBorders>
            <w:shd w:val="clear" w:color="auto" w:fill="auto"/>
            <w:noWrap/>
            <w:vAlign w:val="center"/>
            <w:hideMark/>
          </w:tcPr>
          <w:p w14:paraId="14FD2789" w14:textId="77777777" w:rsidR="00387142" w:rsidRPr="008B6A75" w:rsidRDefault="00387142" w:rsidP="00387142">
            <w:pPr>
              <w:jc w:val="center"/>
              <w:rPr>
                <w:bCs/>
                <w:sz w:val="20"/>
                <w:szCs w:val="20"/>
              </w:rPr>
            </w:pPr>
            <w:r w:rsidRPr="008B6A75">
              <w:rPr>
                <w:bCs/>
                <w:sz w:val="20"/>
                <w:szCs w:val="20"/>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EE26DBD"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F98C3A0" w14:textId="77777777" w:rsidR="00387142" w:rsidRPr="008B6A75" w:rsidRDefault="00387142" w:rsidP="00387142">
            <w:pPr>
              <w:jc w:val="right"/>
              <w:rPr>
                <w:bCs/>
                <w:sz w:val="20"/>
                <w:szCs w:val="20"/>
              </w:rPr>
            </w:pPr>
            <w:r w:rsidRPr="008B6A75">
              <w:rPr>
                <w:bCs/>
                <w:sz w:val="20"/>
                <w:szCs w:val="20"/>
              </w:rPr>
              <w:t>10 736 446,80</w:t>
            </w:r>
          </w:p>
        </w:tc>
        <w:tc>
          <w:tcPr>
            <w:tcW w:w="992" w:type="dxa"/>
            <w:tcBorders>
              <w:top w:val="nil"/>
              <w:left w:val="single" w:sz="4" w:space="0" w:color="auto"/>
              <w:bottom w:val="single" w:sz="4" w:space="0" w:color="auto"/>
              <w:right w:val="nil"/>
            </w:tcBorders>
            <w:shd w:val="clear" w:color="auto" w:fill="auto"/>
            <w:vAlign w:val="center"/>
            <w:hideMark/>
          </w:tcPr>
          <w:p w14:paraId="0295B469" w14:textId="77777777" w:rsidR="00387142" w:rsidRPr="008B6A75" w:rsidRDefault="00387142" w:rsidP="00387142">
            <w:pPr>
              <w:jc w:val="right"/>
              <w:rPr>
                <w:bCs/>
                <w:sz w:val="20"/>
                <w:szCs w:val="20"/>
              </w:rPr>
            </w:pPr>
            <w:r w:rsidRPr="008B6A75">
              <w:rPr>
                <w:bCs/>
                <w:sz w:val="20"/>
                <w:szCs w:val="20"/>
              </w:rPr>
              <w:t>4 543 814,52</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4436C71B" w14:textId="77777777" w:rsidR="00387142" w:rsidRPr="008B6A75" w:rsidRDefault="00387142" w:rsidP="00387142">
            <w:pPr>
              <w:jc w:val="right"/>
              <w:rPr>
                <w:bCs/>
                <w:sz w:val="20"/>
                <w:szCs w:val="20"/>
              </w:rPr>
            </w:pPr>
            <w:r w:rsidRPr="008B6A75">
              <w:rPr>
                <w:bCs/>
                <w:sz w:val="20"/>
                <w:szCs w:val="20"/>
              </w:rPr>
              <w:t>3 888 500,00</w:t>
            </w:r>
          </w:p>
        </w:tc>
      </w:tr>
      <w:tr w:rsidR="00387142" w:rsidRPr="008B6A75" w14:paraId="639516A4" w14:textId="77777777" w:rsidTr="00387142">
        <w:trPr>
          <w:trHeight w:val="870"/>
        </w:trPr>
        <w:tc>
          <w:tcPr>
            <w:tcW w:w="3261" w:type="dxa"/>
            <w:tcBorders>
              <w:top w:val="nil"/>
              <w:left w:val="single" w:sz="4" w:space="0" w:color="auto"/>
              <w:bottom w:val="single" w:sz="4" w:space="0" w:color="auto"/>
              <w:right w:val="nil"/>
            </w:tcBorders>
            <w:shd w:val="clear" w:color="auto" w:fill="auto"/>
            <w:vAlign w:val="center"/>
            <w:hideMark/>
          </w:tcPr>
          <w:p w14:paraId="6DCF1AF9" w14:textId="77777777" w:rsidR="00387142" w:rsidRPr="008B6A75" w:rsidRDefault="00387142" w:rsidP="00387142">
            <w:pPr>
              <w:rPr>
                <w:bCs/>
                <w:sz w:val="20"/>
                <w:szCs w:val="20"/>
              </w:rPr>
            </w:pPr>
            <w:r w:rsidRPr="008B6A75">
              <w:rPr>
                <w:bCs/>
                <w:sz w:val="20"/>
                <w:szCs w:val="20"/>
              </w:rPr>
              <w:t>Муниципальная программа "Комплексное развитие сельских территорий в Куйбышевском районе"</w:t>
            </w:r>
          </w:p>
        </w:tc>
        <w:tc>
          <w:tcPr>
            <w:tcW w:w="720" w:type="dxa"/>
            <w:tcBorders>
              <w:top w:val="nil"/>
              <w:left w:val="single" w:sz="4" w:space="0" w:color="auto"/>
              <w:bottom w:val="single" w:sz="4" w:space="0" w:color="auto"/>
              <w:right w:val="nil"/>
            </w:tcBorders>
            <w:shd w:val="clear" w:color="auto" w:fill="auto"/>
            <w:noWrap/>
            <w:vAlign w:val="center"/>
            <w:hideMark/>
          </w:tcPr>
          <w:p w14:paraId="3D4ABC24" w14:textId="77777777" w:rsidR="00387142" w:rsidRPr="008B6A75" w:rsidRDefault="00387142" w:rsidP="00387142">
            <w:pPr>
              <w:jc w:val="center"/>
              <w:rPr>
                <w:bCs/>
                <w:sz w:val="20"/>
                <w:szCs w:val="20"/>
              </w:rPr>
            </w:pPr>
            <w:r w:rsidRPr="008B6A75">
              <w:rPr>
                <w:bCs/>
                <w:sz w:val="20"/>
                <w:szCs w:val="20"/>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7208A51" w14:textId="77777777" w:rsidR="00387142" w:rsidRPr="008B6A75" w:rsidRDefault="00387142" w:rsidP="00387142">
            <w:pPr>
              <w:jc w:val="center"/>
              <w:rPr>
                <w:bCs/>
                <w:sz w:val="20"/>
                <w:szCs w:val="20"/>
              </w:rPr>
            </w:pPr>
            <w:r w:rsidRPr="008B6A75">
              <w:rPr>
                <w:bCs/>
                <w:sz w:val="20"/>
                <w:szCs w:val="20"/>
              </w:rPr>
              <w:t>03</w:t>
            </w:r>
          </w:p>
        </w:tc>
        <w:tc>
          <w:tcPr>
            <w:tcW w:w="1516" w:type="dxa"/>
            <w:tcBorders>
              <w:top w:val="nil"/>
              <w:left w:val="single" w:sz="4" w:space="0" w:color="auto"/>
              <w:bottom w:val="single" w:sz="4" w:space="0" w:color="auto"/>
              <w:right w:val="nil"/>
            </w:tcBorders>
            <w:shd w:val="clear" w:color="auto" w:fill="auto"/>
            <w:noWrap/>
            <w:vAlign w:val="center"/>
            <w:hideMark/>
          </w:tcPr>
          <w:p w14:paraId="36672C14" w14:textId="77777777" w:rsidR="00387142" w:rsidRPr="008B6A75" w:rsidRDefault="00387142" w:rsidP="00387142">
            <w:pPr>
              <w:jc w:val="center"/>
              <w:rPr>
                <w:bCs/>
                <w:sz w:val="20"/>
                <w:szCs w:val="20"/>
              </w:rPr>
            </w:pPr>
            <w:r w:rsidRPr="008B6A75">
              <w:rPr>
                <w:bCs/>
                <w:sz w:val="20"/>
                <w:szCs w:val="20"/>
              </w:rPr>
              <w:t>06.0.00.00000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F12CF69"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FABC84E" w14:textId="77777777" w:rsidR="00387142" w:rsidRPr="008B6A75" w:rsidRDefault="00387142" w:rsidP="00387142">
            <w:pPr>
              <w:jc w:val="right"/>
              <w:rPr>
                <w:bCs/>
                <w:sz w:val="20"/>
                <w:szCs w:val="20"/>
              </w:rPr>
            </w:pPr>
            <w:r w:rsidRPr="008B6A75">
              <w:rPr>
                <w:bCs/>
                <w:sz w:val="20"/>
                <w:szCs w:val="20"/>
              </w:rPr>
              <w:t>1 469 000,00</w:t>
            </w:r>
          </w:p>
        </w:tc>
        <w:tc>
          <w:tcPr>
            <w:tcW w:w="992" w:type="dxa"/>
            <w:tcBorders>
              <w:top w:val="nil"/>
              <w:left w:val="single" w:sz="4" w:space="0" w:color="auto"/>
              <w:bottom w:val="single" w:sz="4" w:space="0" w:color="auto"/>
              <w:right w:val="nil"/>
            </w:tcBorders>
            <w:shd w:val="clear" w:color="auto" w:fill="auto"/>
            <w:vAlign w:val="center"/>
            <w:hideMark/>
          </w:tcPr>
          <w:p w14:paraId="7C305E61" w14:textId="77777777" w:rsidR="00387142" w:rsidRPr="008B6A75" w:rsidRDefault="00387142" w:rsidP="00387142">
            <w:pPr>
              <w:jc w:val="right"/>
              <w:rPr>
                <w:bCs/>
                <w:sz w:val="20"/>
                <w:szCs w:val="20"/>
              </w:rPr>
            </w:pPr>
            <w:r w:rsidRPr="008B6A75">
              <w:rPr>
                <w:bCs/>
                <w:sz w:val="20"/>
                <w:szCs w:val="20"/>
              </w:rPr>
              <w:t>1 163 114,52</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66A1ADCA" w14:textId="77777777" w:rsidR="00387142" w:rsidRPr="008B6A75" w:rsidRDefault="00387142" w:rsidP="00387142">
            <w:pPr>
              <w:jc w:val="right"/>
              <w:rPr>
                <w:bCs/>
                <w:sz w:val="20"/>
                <w:szCs w:val="20"/>
              </w:rPr>
            </w:pPr>
            <w:r w:rsidRPr="008B6A75">
              <w:rPr>
                <w:bCs/>
                <w:sz w:val="20"/>
                <w:szCs w:val="20"/>
              </w:rPr>
              <w:t>0,00</w:t>
            </w:r>
          </w:p>
        </w:tc>
      </w:tr>
      <w:tr w:rsidR="00387142" w:rsidRPr="008B6A75" w14:paraId="144D136B" w14:textId="77777777" w:rsidTr="00387142">
        <w:trPr>
          <w:trHeight w:val="1725"/>
        </w:trPr>
        <w:tc>
          <w:tcPr>
            <w:tcW w:w="3261" w:type="dxa"/>
            <w:tcBorders>
              <w:top w:val="nil"/>
              <w:left w:val="single" w:sz="4" w:space="0" w:color="auto"/>
              <w:bottom w:val="single" w:sz="4" w:space="0" w:color="auto"/>
              <w:right w:val="nil"/>
            </w:tcBorders>
            <w:shd w:val="clear" w:color="auto" w:fill="auto"/>
            <w:vAlign w:val="center"/>
            <w:hideMark/>
          </w:tcPr>
          <w:p w14:paraId="69927FDF" w14:textId="77777777" w:rsidR="00387142" w:rsidRPr="008B6A75" w:rsidRDefault="00387142" w:rsidP="00387142">
            <w:pPr>
              <w:rPr>
                <w:bCs/>
                <w:sz w:val="20"/>
                <w:szCs w:val="20"/>
              </w:rPr>
            </w:pPr>
            <w:r w:rsidRPr="008B6A75">
              <w:rPr>
                <w:bCs/>
                <w:sz w:val="20"/>
                <w:szCs w:val="20"/>
              </w:rPr>
              <w:t>Обеспечение мероприятий по улучшению жилищных условий граждан, проживающих на сельских территориях, государственной программы Новосибирской области "Комплексное развитие сельских территорий в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14:paraId="3440763D" w14:textId="77777777" w:rsidR="00387142" w:rsidRPr="008B6A75" w:rsidRDefault="00387142" w:rsidP="00387142">
            <w:pPr>
              <w:jc w:val="center"/>
              <w:rPr>
                <w:bCs/>
                <w:sz w:val="20"/>
                <w:szCs w:val="20"/>
              </w:rPr>
            </w:pPr>
            <w:r w:rsidRPr="008B6A75">
              <w:rPr>
                <w:bCs/>
                <w:sz w:val="20"/>
                <w:szCs w:val="20"/>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804CF0A" w14:textId="77777777" w:rsidR="00387142" w:rsidRPr="008B6A75" w:rsidRDefault="00387142" w:rsidP="00387142">
            <w:pPr>
              <w:jc w:val="center"/>
              <w:rPr>
                <w:bCs/>
                <w:sz w:val="20"/>
                <w:szCs w:val="20"/>
              </w:rPr>
            </w:pPr>
            <w:r w:rsidRPr="008B6A75">
              <w:rPr>
                <w:bCs/>
                <w:sz w:val="20"/>
                <w:szCs w:val="20"/>
              </w:rPr>
              <w:t>03</w:t>
            </w:r>
          </w:p>
        </w:tc>
        <w:tc>
          <w:tcPr>
            <w:tcW w:w="1516" w:type="dxa"/>
            <w:tcBorders>
              <w:top w:val="nil"/>
              <w:left w:val="single" w:sz="4" w:space="0" w:color="auto"/>
              <w:bottom w:val="single" w:sz="4" w:space="0" w:color="auto"/>
              <w:right w:val="nil"/>
            </w:tcBorders>
            <w:shd w:val="clear" w:color="auto" w:fill="auto"/>
            <w:noWrap/>
            <w:vAlign w:val="center"/>
            <w:hideMark/>
          </w:tcPr>
          <w:p w14:paraId="5B87740B" w14:textId="77777777" w:rsidR="00387142" w:rsidRPr="008B6A75" w:rsidRDefault="00387142" w:rsidP="00387142">
            <w:pPr>
              <w:jc w:val="center"/>
              <w:rPr>
                <w:bCs/>
                <w:sz w:val="20"/>
                <w:szCs w:val="20"/>
              </w:rPr>
            </w:pPr>
            <w:r w:rsidRPr="008B6A75">
              <w:rPr>
                <w:bCs/>
                <w:sz w:val="20"/>
                <w:szCs w:val="20"/>
              </w:rPr>
              <w:t>06.0.00.L5761</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67BB9C9"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3935487" w14:textId="77777777" w:rsidR="00387142" w:rsidRPr="008B6A75" w:rsidRDefault="00387142" w:rsidP="00387142">
            <w:pPr>
              <w:jc w:val="right"/>
              <w:rPr>
                <w:bCs/>
                <w:sz w:val="20"/>
                <w:szCs w:val="20"/>
              </w:rPr>
            </w:pPr>
            <w:r w:rsidRPr="008B6A75">
              <w:rPr>
                <w:bCs/>
                <w:sz w:val="20"/>
                <w:szCs w:val="20"/>
              </w:rPr>
              <w:t>1 469 000,00</w:t>
            </w:r>
          </w:p>
        </w:tc>
        <w:tc>
          <w:tcPr>
            <w:tcW w:w="992" w:type="dxa"/>
            <w:tcBorders>
              <w:top w:val="nil"/>
              <w:left w:val="single" w:sz="4" w:space="0" w:color="auto"/>
              <w:bottom w:val="single" w:sz="4" w:space="0" w:color="auto"/>
              <w:right w:val="nil"/>
            </w:tcBorders>
            <w:shd w:val="clear" w:color="auto" w:fill="auto"/>
            <w:vAlign w:val="center"/>
            <w:hideMark/>
          </w:tcPr>
          <w:p w14:paraId="461E5FF0" w14:textId="77777777" w:rsidR="00387142" w:rsidRPr="008B6A75" w:rsidRDefault="00387142" w:rsidP="00387142">
            <w:pPr>
              <w:jc w:val="right"/>
              <w:rPr>
                <w:bCs/>
                <w:sz w:val="20"/>
                <w:szCs w:val="20"/>
              </w:rPr>
            </w:pPr>
            <w:r w:rsidRPr="008B6A75">
              <w:rPr>
                <w:bCs/>
                <w:sz w:val="20"/>
                <w:szCs w:val="20"/>
              </w:rPr>
              <w:t>1 163 114,52</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16534A10" w14:textId="77777777" w:rsidR="00387142" w:rsidRPr="008B6A75" w:rsidRDefault="00387142" w:rsidP="00387142">
            <w:pPr>
              <w:jc w:val="right"/>
              <w:rPr>
                <w:bCs/>
                <w:sz w:val="20"/>
                <w:szCs w:val="20"/>
              </w:rPr>
            </w:pPr>
            <w:r w:rsidRPr="008B6A75">
              <w:rPr>
                <w:bCs/>
                <w:sz w:val="20"/>
                <w:szCs w:val="20"/>
              </w:rPr>
              <w:t>0,00</w:t>
            </w:r>
          </w:p>
        </w:tc>
      </w:tr>
      <w:tr w:rsidR="00387142" w:rsidRPr="008B6A75" w14:paraId="08383252" w14:textId="77777777" w:rsidTr="00387142">
        <w:trPr>
          <w:trHeight w:val="585"/>
        </w:trPr>
        <w:tc>
          <w:tcPr>
            <w:tcW w:w="3261" w:type="dxa"/>
            <w:tcBorders>
              <w:top w:val="nil"/>
              <w:left w:val="single" w:sz="4" w:space="0" w:color="auto"/>
              <w:bottom w:val="single" w:sz="4" w:space="0" w:color="auto"/>
              <w:right w:val="nil"/>
            </w:tcBorders>
            <w:shd w:val="clear" w:color="auto" w:fill="auto"/>
            <w:vAlign w:val="center"/>
            <w:hideMark/>
          </w:tcPr>
          <w:p w14:paraId="6BEEADE9" w14:textId="77777777" w:rsidR="00387142" w:rsidRPr="008B6A75" w:rsidRDefault="00387142" w:rsidP="00387142">
            <w:pPr>
              <w:rPr>
                <w:sz w:val="20"/>
                <w:szCs w:val="20"/>
              </w:rPr>
            </w:pPr>
            <w:r w:rsidRPr="008B6A75">
              <w:rPr>
                <w:sz w:val="20"/>
                <w:szCs w:val="20"/>
              </w:rPr>
              <w:t>Социальное обеспечение и иные выплаты населению</w:t>
            </w:r>
          </w:p>
        </w:tc>
        <w:tc>
          <w:tcPr>
            <w:tcW w:w="720" w:type="dxa"/>
            <w:tcBorders>
              <w:top w:val="nil"/>
              <w:left w:val="single" w:sz="4" w:space="0" w:color="auto"/>
              <w:bottom w:val="single" w:sz="4" w:space="0" w:color="auto"/>
              <w:right w:val="nil"/>
            </w:tcBorders>
            <w:shd w:val="clear" w:color="auto" w:fill="auto"/>
            <w:noWrap/>
            <w:vAlign w:val="center"/>
            <w:hideMark/>
          </w:tcPr>
          <w:p w14:paraId="3E92ACC5" w14:textId="77777777" w:rsidR="00387142" w:rsidRPr="008B6A75" w:rsidRDefault="00387142" w:rsidP="00387142">
            <w:pPr>
              <w:jc w:val="center"/>
              <w:rPr>
                <w:sz w:val="20"/>
                <w:szCs w:val="20"/>
              </w:rPr>
            </w:pPr>
            <w:r w:rsidRPr="008B6A75">
              <w:rPr>
                <w:sz w:val="20"/>
                <w:szCs w:val="20"/>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BFAD56A" w14:textId="77777777" w:rsidR="00387142" w:rsidRPr="008B6A75" w:rsidRDefault="00387142" w:rsidP="00387142">
            <w:pPr>
              <w:jc w:val="center"/>
              <w:rPr>
                <w:sz w:val="20"/>
                <w:szCs w:val="20"/>
              </w:rPr>
            </w:pPr>
            <w:r w:rsidRPr="008B6A75">
              <w:rPr>
                <w:sz w:val="20"/>
                <w:szCs w:val="20"/>
              </w:rPr>
              <w:t>03</w:t>
            </w:r>
          </w:p>
        </w:tc>
        <w:tc>
          <w:tcPr>
            <w:tcW w:w="1516" w:type="dxa"/>
            <w:tcBorders>
              <w:top w:val="nil"/>
              <w:left w:val="single" w:sz="4" w:space="0" w:color="auto"/>
              <w:bottom w:val="single" w:sz="4" w:space="0" w:color="auto"/>
              <w:right w:val="nil"/>
            </w:tcBorders>
            <w:shd w:val="clear" w:color="auto" w:fill="auto"/>
            <w:noWrap/>
            <w:vAlign w:val="center"/>
            <w:hideMark/>
          </w:tcPr>
          <w:p w14:paraId="00DA00CE" w14:textId="77777777" w:rsidR="00387142" w:rsidRPr="008B6A75" w:rsidRDefault="00387142" w:rsidP="00387142">
            <w:pPr>
              <w:jc w:val="center"/>
              <w:rPr>
                <w:sz w:val="20"/>
                <w:szCs w:val="20"/>
              </w:rPr>
            </w:pPr>
            <w:r w:rsidRPr="008B6A75">
              <w:rPr>
                <w:sz w:val="20"/>
                <w:szCs w:val="20"/>
              </w:rPr>
              <w:t>06.0.00.L5761</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65D8247" w14:textId="77777777" w:rsidR="00387142" w:rsidRPr="008B6A75" w:rsidRDefault="00387142" w:rsidP="00387142">
            <w:pPr>
              <w:jc w:val="center"/>
              <w:rPr>
                <w:sz w:val="20"/>
                <w:szCs w:val="20"/>
              </w:rPr>
            </w:pPr>
            <w:r w:rsidRPr="008B6A75">
              <w:rPr>
                <w:sz w:val="20"/>
                <w:szCs w:val="20"/>
              </w:rPr>
              <w:t>300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C5BB46A" w14:textId="77777777" w:rsidR="00387142" w:rsidRPr="008B6A75" w:rsidRDefault="00387142" w:rsidP="00387142">
            <w:pPr>
              <w:jc w:val="right"/>
              <w:rPr>
                <w:sz w:val="20"/>
                <w:szCs w:val="20"/>
              </w:rPr>
            </w:pPr>
            <w:r w:rsidRPr="008B6A75">
              <w:rPr>
                <w:sz w:val="20"/>
                <w:szCs w:val="20"/>
              </w:rPr>
              <w:t>1 469 000,00</w:t>
            </w:r>
          </w:p>
        </w:tc>
        <w:tc>
          <w:tcPr>
            <w:tcW w:w="992" w:type="dxa"/>
            <w:tcBorders>
              <w:top w:val="nil"/>
              <w:left w:val="single" w:sz="4" w:space="0" w:color="auto"/>
              <w:bottom w:val="single" w:sz="4" w:space="0" w:color="auto"/>
              <w:right w:val="nil"/>
            </w:tcBorders>
            <w:shd w:val="clear" w:color="auto" w:fill="auto"/>
            <w:vAlign w:val="center"/>
            <w:hideMark/>
          </w:tcPr>
          <w:p w14:paraId="3525048D" w14:textId="77777777" w:rsidR="00387142" w:rsidRPr="008B6A75" w:rsidRDefault="00387142" w:rsidP="00387142">
            <w:pPr>
              <w:jc w:val="right"/>
              <w:rPr>
                <w:sz w:val="20"/>
                <w:szCs w:val="20"/>
              </w:rPr>
            </w:pPr>
            <w:r w:rsidRPr="008B6A75">
              <w:rPr>
                <w:sz w:val="20"/>
                <w:szCs w:val="20"/>
              </w:rPr>
              <w:t>1 163 114,52</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682C57FB" w14:textId="77777777" w:rsidR="00387142" w:rsidRPr="008B6A75" w:rsidRDefault="00387142" w:rsidP="00387142">
            <w:pPr>
              <w:jc w:val="right"/>
              <w:rPr>
                <w:sz w:val="20"/>
                <w:szCs w:val="20"/>
              </w:rPr>
            </w:pPr>
            <w:r w:rsidRPr="008B6A75">
              <w:rPr>
                <w:sz w:val="20"/>
                <w:szCs w:val="20"/>
              </w:rPr>
              <w:t>0,00</w:t>
            </w:r>
          </w:p>
        </w:tc>
      </w:tr>
      <w:tr w:rsidR="00387142" w:rsidRPr="008B6A75" w14:paraId="0943A140" w14:textId="77777777" w:rsidTr="00387142">
        <w:trPr>
          <w:trHeight w:val="585"/>
        </w:trPr>
        <w:tc>
          <w:tcPr>
            <w:tcW w:w="3261" w:type="dxa"/>
            <w:tcBorders>
              <w:top w:val="nil"/>
              <w:left w:val="single" w:sz="4" w:space="0" w:color="auto"/>
              <w:bottom w:val="single" w:sz="4" w:space="0" w:color="auto"/>
              <w:right w:val="nil"/>
            </w:tcBorders>
            <w:shd w:val="clear" w:color="auto" w:fill="auto"/>
            <w:vAlign w:val="center"/>
            <w:hideMark/>
          </w:tcPr>
          <w:p w14:paraId="6EEF2A1C" w14:textId="77777777" w:rsidR="00387142" w:rsidRPr="008B6A75" w:rsidRDefault="00387142" w:rsidP="00387142">
            <w:pPr>
              <w:rPr>
                <w:sz w:val="20"/>
                <w:szCs w:val="20"/>
              </w:rPr>
            </w:pPr>
            <w:r w:rsidRPr="008B6A75">
              <w:rPr>
                <w:sz w:val="20"/>
                <w:szCs w:val="20"/>
              </w:rPr>
              <w:t>Социальные выплаты гражданам, кроме публичных нормативных социальных выплат</w:t>
            </w:r>
          </w:p>
        </w:tc>
        <w:tc>
          <w:tcPr>
            <w:tcW w:w="720" w:type="dxa"/>
            <w:tcBorders>
              <w:top w:val="nil"/>
              <w:left w:val="single" w:sz="4" w:space="0" w:color="auto"/>
              <w:bottom w:val="single" w:sz="4" w:space="0" w:color="auto"/>
              <w:right w:val="nil"/>
            </w:tcBorders>
            <w:shd w:val="clear" w:color="auto" w:fill="auto"/>
            <w:noWrap/>
            <w:vAlign w:val="center"/>
            <w:hideMark/>
          </w:tcPr>
          <w:p w14:paraId="682F6875" w14:textId="77777777" w:rsidR="00387142" w:rsidRPr="008B6A75" w:rsidRDefault="00387142" w:rsidP="00387142">
            <w:pPr>
              <w:jc w:val="center"/>
              <w:rPr>
                <w:sz w:val="20"/>
                <w:szCs w:val="20"/>
              </w:rPr>
            </w:pPr>
            <w:r w:rsidRPr="008B6A75">
              <w:rPr>
                <w:sz w:val="20"/>
                <w:szCs w:val="20"/>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DC74D1B" w14:textId="77777777" w:rsidR="00387142" w:rsidRPr="008B6A75" w:rsidRDefault="00387142" w:rsidP="00387142">
            <w:pPr>
              <w:jc w:val="center"/>
              <w:rPr>
                <w:sz w:val="20"/>
                <w:szCs w:val="20"/>
              </w:rPr>
            </w:pPr>
            <w:r w:rsidRPr="008B6A75">
              <w:rPr>
                <w:sz w:val="20"/>
                <w:szCs w:val="20"/>
              </w:rPr>
              <w:t>03</w:t>
            </w:r>
          </w:p>
        </w:tc>
        <w:tc>
          <w:tcPr>
            <w:tcW w:w="1516" w:type="dxa"/>
            <w:tcBorders>
              <w:top w:val="nil"/>
              <w:left w:val="single" w:sz="4" w:space="0" w:color="auto"/>
              <w:bottom w:val="single" w:sz="4" w:space="0" w:color="auto"/>
              <w:right w:val="nil"/>
            </w:tcBorders>
            <w:shd w:val="clear" w:color="auto" w:fill="auto"/>
            <w:noWrap/>
            <w:vAlign w:val="center"/>
            <w:hideMark/>
          </w:tcPr>
          <w:p w14:paraId="61E607A2" w14:textId="77777777" w:rsidR="00387142" w:rsidRPr="008B6A75" w:rsidRDefault="00387142" w:rsidP="00387142">
            <w:pPr>
              <w:jc w:val="center"/>
              <w:rPr>
                <w:sz w:val="20"/>
                <w:szCs w:val="20"/>
              </w:rPr>
            </w:pPr>
            <w:r w:rsidRPr="008B6A75">
              <w:rPr>
                <w:sz w:val="20"/>
                <w:szCs w:val="20"/>
              </w:rPr>
              <w:t>06.0.00.L5761</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0BFB162" w14:textId="77777777" w:rsidR="00387142" w:rsidRPr="008B6A75" w:rsidRDefault="00387142" w:rsidP="00387142">
            <w:pPr>
              <w:jc w:val="center"/>
              <w:rPr>
                <w:sz w:val="20"/>
                <w:szCs w:val="20"/>
              </w:rPr>
            </w:pPr>
            <w:r w:rsidRPr="008B6A75">
              <w:rPr>
                <w:sz w:val="20"/>
                <w:szCs w:val="20"/>
              </w:rPr>
              <w:t>320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504ED24" w14:textId="77777777" w:rsidR="00387142" w:rsidRPr="008B6A75" w:rsidRDefault="00387142" w:rsidP="00387142">
            <w:pPr>
              <w:jc w:val="right"/>
              <w:rPr>
                <w:sz w:val="20"/>
                <w:szCs w:val="20"/>
              </w:rPr>
            </w:pPr>
            <w:r w:rsidRPr="008B6A75">
              <w:rPr>
                <w:sz w:val="20"/>
                <w:szCs w:val="20"/>
              </w:rPr>
              <w:t>1 469 000,00</w:t>
            </w:r>
          </w:p>
        </w:tc>
        <w:tc>
          <w:tcPr>
            <w:tcW w:w="992" w:type="dxa"/>
            <w:tcBorders>
              <w:top w:val="nil"/>
              <w:left w:val="single" w:sz="4" w:space="0" w:color="auto"/>
              <w:bottom w:val="single" w:sz="4" w:space="0" w:color="auto"/>
              <w:right w:val="nil"/>
            </w:tcBorders>
            <w:shd w:val="clear" w:color="auto" w:fill="auto"/>
            <w:vAlign w:val="center"/>
            <w:hideMark/>
          </w:tcPr>
          <w:p w14:paraId="090A778A" w14:textId="77777777" w:rsidR="00387142" w:rsidRPr="008B6A75" w:rsidRDefault="00387142" w:rsidP="00387142">
            <w:pPr>
              <w:jc w:val="right"/>
              <w:rPr>
                <w:sz w:val="20"/>
                <w:szCs w:val="20"/>
              </w:rPr>
            </w:pPr>
            <w:r w:rsidRPr="008B6A75">
              <w:rPr>
                <w:sz w:val="20"/>
                <w:szCs w:val="20"/>
              </w:rPr>
              <w:t>1 163 114,52</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7198AD77" w14:textId="77777777" w:rsidR="00387142" w:rsidRPr="008B6A75" w:rsidRDefault="00387142" w:rsidP="00387142">
            <w:pPr>
              <w:jc w:val="right"/>
              <w:rPr>
                <w:sz w:val="20"/>
                <w:szCs w:val="20"/>
              </w:rPr>
            </w:pPr>
            <w:r w:rsidRPr="008B6A75">
              <w:rPr>
                <w:sz w:val="20"/>
                <w:szCs w:val="20"/>
              </w:rPr>
              <w:t>0,00</w:t>
            </w:r>
          </w:p>
        </w:tc>
      </w:tr>
      <w:tr w:rsidR="00387142" w:rsidRPr="008B6A75" w14:paraId="30A3F747" w14:textId="77777777" w:rsidTr="00387142">
        <w:trPr>
          <w:trHeight w:val="345"/>
        </w:trPr>
        <w:tc>
          <w:tcPr>
            <w:tcW w:w="3261" w:type="dxa"/>
            <w:tcBorders>
              <w:top w:val="nil"/>
              <w:left w:val="single" w:sz="4" w:space="0" w:color="auto"/>
              <w:bottom w:val="single" w:sz="4" w:space="0" w:color="auto"/>
              <w:right w:val="nil"/>
            </w:tcBorders>
            <w:shd w:val="clear" w:color="auto" w:fill="auto"/>
            <w:vAlign w:val="center"/>
            <w:hideMark/>
          </w:tcPr>
          <w:p w14:paraId="028DC0D6" w14:textId="77777777" w:rsidR="00387142" w:rsidRPr="008B6A75" w:rsidRDefault="00387142" w:rsidP="00387142">
            <w:pPr>
              <w:rPr>
                <w:bCs/>
                <w:sz w:val="20"/>
                <w:szCs w:val="20"/>
              </w:rPr>
            </w:pPr>
            <w:r w:rsidRPr="008B6A75">
              <w:rPr>
                <w:bCs/>
                <w:sz w:val="20"/>
                <w:szCs w:val="20"/>
              </w:rPr>
              <w:t>Непрограммные направления бюджета</w:t>
            </w:r>
          </w:p>
        </w:tc>
        <w:tc>
          <w:tcPr>
            <w:tcW w:w="720" w:type="dxa"/>
            <w:tcBorders>
              <w:top w:val="nil"/>
              <w:left w:val="single" w:sz="4" w:space="0" w:color="auto"/>
              <w:bottom w:val="single" w:sz="4" w:space="0" w:color="auto"/>
              <w:right w:val="nil"/>
            </w:tcBorders>
            <w:shd w:val="clear" w:color="auto" w:fill="auto"/>
            <w:noWrap/>
            <w:vAlign w:val="center"/>
            <w:hideMark/>
          </w:tcPr>
          <w:p w14:paraId="132B8825" w14:textId="77777777" w:rsidR="00387142" w:rsidRPr="008B6A75" w:rsidRDefault="00387142" w:rsidP="00387142">
            <w:pPr>
              <w:jc w:val="center"/>
              <w:rPr>
                <w:bCs/>
                <w:sz w:val="20"/>
                <w:szCs w:val="20"/>
              </w:rPr>
            </w:pPr>
            <w:r w:rsidRPr="008B6A75">
              <w:rPr>
                <w:bCs/>
                <w:sz w:val="20"/>
                <w:szCs w:val="20"/>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812A1FA" w14:textId="77777777" w:rsidR="00387142" w:rsidRPr="008B6A75" w:rsidRDefault="00387142" w:rsidP="00387142">
            <w:pPr>
              <w:jc w:val="center"/>
              <w:rPr>
                <w:bCs/>
                <w:sz w:val="20"/>
                <w:szCs w:val="20"/>
              </w:rPr>
            </w:pPr>
            <w:r w:rsidRPr="008B6A75">
              <w:rPr>
                <w:bCs/>
                <w:sz w:val="20"/>
                <w:szCs w:val="20"/>
              </w:rPr>
              <w:t>03</w:t>
            </w:r>
          </w:p>
        </w:tc>
        <w:tc>
          <w:tcPr>
            <w:tcW w:w="1516" w:type="dxa"/>
            <w:tcBorders>
              <w:top w:val="nil"/>
              <w:left w:val="single" w:sz="4" w:space="0" w:color="auto"/>
              <w:bottom w:val="single" w:sz="4" w:space="0" w:color="auto"/>
              <w:right w:val="nil"/>
            </w:tcBorders>
            <w:shd w:val="clear" w:color="auto" w:fill="auto"/>
            <w:noWrap/>
            <w:vAlign w:val="center"/>
            <w:hideMark/>
          </w:tcPr>
          <w:p w14:paraId="4DDCB695" w14:textId="77777777" w:rsidR="00387142" w:rsidRPr="008B6A75" w:rsidRDefault="00387142" w:rsidP="00387142">
            <w:pPr>
              <w:jc w:val="center"/>
              <w:rPr>
                <w:bCs/>
                <w:sz w:val="20"/>
                <w:szCs w:val="20"/>
              </w:rPr>
            </w:pPr>
            <w:r w:rsidRPr="008B6A75">
              <w:rPr>
                <w:bCs/>
                <w:sz w:val="20"/>
                <w:szCs w:val="20"/>
              </w:rPr>
              <w:t>99.0.00.00000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75545E7"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D67653F" w14:textId="77777777" w:rsidR="00387142" w:rsidRPr="008B6A75" w:rsidRDefault="00387142" w:rsidP="00387142">
            <w:pPr>
              <w:jc w:val="right"/>
              <w:rPr>
                <w:bCs/>
                <w:sz w:val="20"/>
                <w:szCs w:val="20"/>
              </w:rPr>
            </w:pPr>
            <w:r w:rsidRPr="008B6A75">
              <w:rPr>
                <w:bCs/>
                <w:sz w:val="20"/>
                <w:szCs w:val="20"/>
              </w:rPr>
              <w:t>9 267 446,80</w:t>
            </w:r>
          </w:p>
        </w:tc>
        <w:tc>
          <w:tcPr>
            <w:tcW w:w="992" w:type="dxa"/>
            <w:tcBorders>
              <w:top w:val="nil"/>
              <w:left w:val="single" w:sz="4" w:space="0" w:color="auto"/>
              <w:bottom w:val="single" w:sz="4" w:space="0" w:color="auto"/>
              <w:right w:val="nil"/>
            </w:tcBorders>
            <w:shd w:val="clear" w:color="auto" w:fill="auto"/>
            <w:vAlign w:val="center"/>
            <w:hideMark/>
          </w:tcPr>
          <w:p w14:paraId="52A3C973" w14:textId="77777777" w:rsidR="00387142" w:rsidRPr="008B6A75" w:rsidRDefault="00387142" w:rsidP="00387142">
            <w:pPr>
              <w:jc w:val="right"/>
              <w:rPr>
                <w:bCs/>
                <w:sz w:val="20"/>
                <w:szCs w:val="20"/>
              </w:rPr>
            </w:pPr>
            <w:r w:rsidRPr="008B6A75">
              <w:rPr>
                <w:bCs/>
                <w:sz w:val="20"/>
                <w:szCs w:val="20"/>
              </w:rPr>
              <w:t>3 380 700,00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70741704" w14:textId="77777777" w:rsidR="00387142" w:rsidRPr="008B6A75" w:rsidRDefault="00387142" w:rsidP="00387142">
            <w:pPr>
              <w:jc w:val="right"/>
              <w:rPr>
                <w:bCs/>
                <w:sz w:val="20"/>
                <w:szCs w:val="20"/>
              </w:rPr>
            </w:pPr>
            <w:r w:rsidRPr="008B6A75">
              <w:rPr>
                <w:bCs/>
                <w:sz w:val="20"/>
                <w:szCs w:val="20"/>
              </w:rPr>
              <w:t>3 888 500,00</w:t>
            </w:r>
          </w:p>
        </w:tc>
      </w:tr>
      <w:tr w:rsidR="00387142" w:rsidRPr="008B6A75" w14:paraId="10DB4D98" w14:textId="77777777" w:rsidTr="00387142">
        <w:trPr>
          <w:trHeight w:val="870"/>
        </w:trPr>
        <w:tc>
          <w:tcPr>
            <w:tcW w:w="3261" w:type="dxa"/>
            <w:tcBorders>
              <w:top w:val="nil"/>
              <w:left w:val="single" w:sz="4" w:space="0" w:color="auto"/>
              <w:bottom w:val="single" w:sz="4" w:space="0" w:color="auto"/>
              <w:right w:val="nil"/>
            </w:tcBorders>
            <w:shd w:val="clear" w:color="auto" w:fill="auto"/>
            <w:vAlign w:val="center"/>
            <w:hideMark/>
          </w:tcPr>
          <w:p w14:paraId="1D523E54" w14:textId="77777777" w:rsidR="00387142" w:rsidRPr="008B6A75" w:rsidRDefault="00387142" w:rsidP="00387142">
            <w:pPr>
              <w:rPr>
                <w:bCs/>
                <w:sz w:val="20"/>
                <w:szCs w:val="20"/>
              </w:rPr>
            </w:pPr>
            <w:r w:rsidRPr="008B6A75">
              <w:rPr>
                <w:bCs/>
                <w:sz w:val="20"/>
                <w:szCs w:val="20"/>
              </w:rPr>
              <w:t>Средства, передаваемые местным бюджетам из резервного фонда Правительства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14:paraId="772DE6B1" w14:textId="77777777" w:rsidR="00387142" w:rsidRPr="008B6A75" w:rsidRDefault="00387142" w:rsidP="00387142">
            <w:pPr>
              <w:jc w:val="center"/>
              <w:rPr>
                <w:bCs/>
                <w:sz w:val="20"/>
                <w:szCs w:val="20"/>
              </w:rPr>
            </w:pPr>
            <w:r w:rsidRPr="008B6A75">
              <w:rPr>
                <w:bCs/>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6F80DC3" w14:textId="77777777" w:rsidR="00387142" w:rsidRPr="008B6A75" w:rsidRDefault="00387142" w:rsidP="00387142">
            <w:pPr>
              <w:jc w:val="center"/>
              <w:rPr>
                <w:bCs/>
                <w:sz w:val="20"/>
                <w:szCs w:val="20"/>
              </w:rPr>
            </w:pPr>
            <w:r w:rsidRPr="008B6A75">
              <w:rPr>
                <w:bCs/>
                <w:sz w:val="20"/>
                <w:szCs w:val="20"/>
              </w:rPr>
              <w:t>02</w:t>
            </w:r>
          </w:p>
        </w:tc>
        <w:tc>
          <w:tcPr>
            <w:tcW w:w="1516" w:type="dxa"/>
            <w:tcBorders>
              <w:top w:val="nil"/>
              <w:left w:val="single" w:sz="4" w:space="0" w:color="auto"/>
              <w:bottom w:val="single" w:sz="4" w:space="0" w:color="auto"/>
              <w:right w:val="nil"/>
            </w:tcBorders>
            <w:shd w:val="clear" w:color="auto" w:fill="auto"/>
            <w:noWrap/>
            <w:vAlign w:val="center"/>
            <w:hideMark/>
          </w:tcPr>
          <w:p w14:paraId="6534B63F" w14:textId="77777777" w:rsidR="00387142" w:rsidRPr="008B6A75" w:rsidRDefault="00387142" w:rsidP="00387142">
            <w:pPr>
              <w:jc w:val="center"/>
              <w:rPr>
                <w:bCs/>
                <w:sz w:val="20"/>
                <w:szCs w:val="20"/>
              </w:rPr>
            </w:pPr>
            <w:r w:rsidRPr="008B6A75">
              <w:rPr>
                <w:bCs/>
                <w:sz w:val="20"/>
                <w:szCs w:val="20"/>
              </w:rPr>
              <w:t>99.0.00.20540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24088DF"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0CFA1C2" w14:textId="77777777" w:rsidR="00387142" w:rsidRPr="008B6A75" w:rsidRDefault="00387142" w:rsidP="00387142">
            <w:pPr>
              <w:jc w:val="right"/>
              <w:rPr>
                <w:bCs/>
                <w:sz w:val="20"/>
                <w:szCs w:val="20"/>
              </w:rPr>
            </w:pPr>
            <w:r w:rsidRPr="008B6A75">
              <w:rPr>
                <w:bCs/>
                <w:sz w:val="20"/>
                <w:szCs w:val="20"/>
              </w:rPr>
              <w:t>300 000,00</w:t>
            </w:r>
          </w:p>
        </w:tc>
        <w:tc>
          <w:tcPr>
            <w:tcW w:w="992" w:type="dxa"/>
            <w:tcBorders>
              <w:top w:val="nil"/>
              <w:left w:val="single" w:sz="4" w:space="0" w:color="auto"/>
              <w:bottom w:val="single" w:sz="4" w:space="0" w:color="auto"/>
              <w:right w:val="nil"/>
            </w:tcBorders>
            <w:shd w:val="clear" w:color="auto" w:fill="auto"/>
            <w:vAlign w:val="center"/>
            <w:hideMark/>
          </w:tcPr>
          <w:p w14:paraId="687D8C01" w14:textId="77777777" w:rsidR="00387142" w:rsidRPr="008B6A75" w:rsidRDefault="00387142" w:rsidP="00387142">
            <w:pPr>
              <w:jc w:val="right"/>
              <w:rPr>
                <w:bCs/>
                <w:sz w:val="20"/>
                <w:szCs w:val="20"/>
              </w:rPr>
            </w:pPr>
            <w:r w:rsidRPr="008B6A75">
              <w:rPr>
                <w:bCs/>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3370FE5F" w14:textId="77777777" w:rsidR="00387142" w:rsidRPr="008B6A75" w:rsidRDefault="00387142" w:rsidP="00387142">
            <w:pPr>
              <w:jc w:val="right"/>
              <w:rPr>
                <w:bCs/>
                <w:sz w:val="20"/>
                <w:szCs w:val="20"/>
              </w:rPr>
            </w:pPr>
            <w:r w:rsidRPr="008B6A75">
              <w:rPr>
                <w:bCs/>
                <w:sz w:val="20"/>
                <w:szCs w:val="20"/>
              </w:rPr>
              <w:t>0,00</w:t>
            </w:r>
          </w:p>
        </w:tc>
      </w:tr>
      <w:tr w:rsidR="00387142" w:rsidRPr="008B6A75" w14:paraId="554982F7" w14:textId="77777777" w:rsidTr="00387142">
        <w:trPr>
          <w:trHeight w:val="585"/>
        </w:trPr>
        <w:tc>
          <w:tcPr>
            <w:tcW w:w="3261" w:type="dxa"/>
            <w:tcBorders>
              <w:top w:val="nil"/>
              <w:left w:val="single" w:sz="4" w:space="0" w:color="auto"/>
              <w:bottom w:val="single" w:sz="4" w:space="0" w:color="auto"/>
              <w:right w:val="nil"/>
            </w:tcBorders>
            <w:shd w:val="clear" w:color="auto" w:fill="auto"/>
            <w:vAlign w:val="center"/>
            <w:hideMark/>
          </w:tcPr>
          <w:p w14:paraId="483C73D8" w14:textId="77777777" w:rsidR="00387142" w:rsidRPr="008B6A75" w:rsidRDefault="00387142" w:rsidP="00387142">
            <w:pPr>
              <w:rPr>
                <w:sz w:val="20"/>
                <w:szCs w:val="20"/>
              </w:rPr>
            </w:pPr>
            <w:r w:rsidRPr="008B6A75">
              <w:rPr>
                <w:sz w:val="20"/>
                <w:szCs w:val="20"/>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52350514" w14:textId="77777777" w:rsidR="00387142" w:rsidRPr="008B6A75" w:rsidRDefault="00387142" w:rsidP="00387142">
            <w:pPr>
              <w:jc w:val="center"/>
              <w:rPr>
                <w:sz w:val="20"/>
                <w:szCs w:val="20"/>
              </w:rPr>
            </w:pPr>
            <w:r w:rsidRPr="008B6A75">
              <w:rPr>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710A169" w14:textId="77777777" w:rsidR="00387142" w:rsidRPr="008B6A75" w:rsidRDefault="00387142" w:rsidP="00387142">
            <w:pPr>
              <w:jc w:val="center"/>
              <w:rPr>
                <w:sz w:val="20"/>
                <w:szCs w:val="20"/>
              </w:rPr>
            </w:pPr>
            <w:r w:rsidRPr="008B6A75">
              <w:rPr>
                <w:sz w:val="20"/>
                <w:szCs w:val="20"/>
              </w:rPr>
              <w:t>11</w:t>
            </w:r>
          </w:p>
        </w:tc>
        <w:tc>
          <w:tcPr>
            <w:tcW w:w="1516" w:type="dxa"/>
            <w:tcBorders>
              <w:top w:val="nil"/>
              <w:left w:val="single" w:sz="4" w:space="0" w:color="auto"/>
              <w:bottom w:val="single" w:sz="4" w:space="0" w:color="auto"/>
              <w:right w:val="nil"/>
            </w:tcBorders>
            <w:shd w:val="clear" w:color="auto" w:fill="auto"/>
            <w:noWrap/>
            <w:vAlign w:val="center"/>
            <w:hideMark/>
          </w:tcPr>
          <w:p w14:paraId="340D2E7C" w14:textId="77777777" w:rsidR="00387142" w:rsidRPr="008B6A75" w:rsidRDefault="00387142" w:rsidP="00387142">
            <w:pPr>
              <w:jc w:val="center"/>
              <w:rPr>
                <w:sz w:val="20"/>
                <w:szCs w:val="20"/>
              </w:rPr>
            </w:pPr>
            <w:r w:rsidRPr="008B6A75">
              <w:rPr>
                <w:sz w:val="20"/>
                <w:szCs w:val="20"/>
              </w:rPr>
              <w:t>99.0.00.20540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8BD0FC1" w14:textId="77777777" w:rsidR="00387142" w:rsidRPr="008B6A75" w:rsidRDefault="00387142" w:rsidP="00387142">
            <w:pPr>
              <w:jc w:val="center"/>
              <w:rPr>
                <w:sz w:val="20"/>
                <w:szCs w:val="20"/>
              </w:rPr>
            </w:pPr>
            <w:r w:rsidRPr="008B6A75">
              <w:rPr>
                <w:sz w:val="20"/>
                <w:szCs w:val="20"/>
              </w:rPr>
              <w:t>200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8124E9C" w14:textId="77777777" w:rsidR="00387142" w:rsidRPr="008B6A75" w:rsidRDefault="00387142" w:rsidP="00387142">
            <w:pPr>
              <w:jc w:val="right"/>
              <w:rPr>
                <w:sz w:val="20"/>
                <w:szCs w:val="20"/>
              </w:rPr>
            </w:pPr>
            <w:r w:rsidRPr="008B6A75">
              <w:rPr>
                <w:sz w:val="20"/>
                <w:szCs w:val="20"/>
              </w:rPr>
              <w:t>300 000,00</w:t>
            </w:r>
          </w:p>
        </w:tc>
        <w:tc>
          <w:tcPr>
            <w:tcW w:w="992" w:type="dxa"/>
            <w:tcBorders>
              <w:top w:val="nil"/>
              <w:left w:val="single" w:sz="4" w:space="0" w:color="auto"/>
              <w:bottom w:val="single" w:sz="4" w:space="0" w:color="auto"/>
              <w:right w:val="nil"/>
            </w:tcBorders>
            <w:shd w:val="clear" w:color="auto" w:fill="auto"/>
            <w:vAlign w:val="center"/>
            <w:hideMark/>
          </w:tcPr>
          <w:p w14:paraId="415E74F0" w14:textId="77777777" w:rsidR="00387142" w:rsidRPr="008B6A75" w:rsidRDefault="00387142" w:rsidP="00387142">
            <w:pPr>
              <w:jc w:val="right"/>
              <w:rPr>
                <w:sz w:val="20"/>
                <w:szCs w:val="20"/>
              </w:rPr>
            </w:pPr>
            <w:r w:rsidRPr="008B6A75">
              <w:rPr>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5FB8F2DA" w14:textId="77777777" w:rsidR="00387142" w:rsidRPr="008B6A75" w:rsidRDefault="00387142" w:rsidP="00387142">
            <w:pPr>
              <w:jc w:val="right"/>
              <w:rPr>
                <w:sz w:val="20"/>
                <w:szCs w:val="20"/>
              </w:rPr>
            </w:pPr>
            <w:r w:rsidRPr="008B6A75">
              <w:rPr>
                <w:sz w:val="20"/>
                <w:szCs w:val="20"/>
              </w:rPr>
              <w:t>0,00</w:t>
            </w:r>
          </w:p>
        </w:tc>
      </w:tr>
      <w:tr w:rsidR="00387142" w:rsidRPr="008B6A75" w14:paraId="091E88A5" w14:textId="77777777" w:rsidTr="00387142">
        <w:trPr>
          <w:trHeight w:val="870"/>
        </w:trPr>
        <w:tc>
          <w:tcPr>
            <w:tcW w:w="3261" w:type="dxa"/>
            <w:tcBorders>
              <w:top w:val="nil"/>
              <w:left w:val="single" w:sz="4" w:space="0" w:color="auto"/>
              <w:bottom w:val="single" w:sz="4" w:space="0" w:color="auto"/>
              <w:right w:val="nil"/>
            </w:tcBorders>
            <w:shd w:val="clear" w:color="auto" w:fill="auto"/>
            <w:vAlign w:val="center"/>
            <w:hideMark/>
          </w:tcPr>
          <w:p w14:paraId="00321B8B" w14:textId="77777777" w:rsidR="00387142" w:rsidRPr="008B6A75" w:rsidRDefault="00387142" w:rsidP="00387142">
            <w:pPr>
              <w:rPr>
                <w:sz w:val="20"/>
                <w:szCs w:val="20"/>
              </w:rPr>
            </w:pPr>
            <w:r w:rsidRPr="008B6A75">
              <w:rPr>
                <w:sz w:val="20"/>
                <w:szCs w:val="20"/>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1D5766DC" w14:textId="77777777" w:rsidR="00387142" w:rsidRPr="008B6A75" w:rsidRDefault="00387142" w:rsidP="00387142">
            <w:pPr>
              <w:jc w:val="center"/>
              <w:rPr>
                <w:sz w:val="20"/>
                <w:szCs w:val="20"/>
              </w:rPr>
            </w:pPr>
            <w:r w:rsidRPr="008B6A75">
              <w:rPr>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D11C4B7" w14:textId="77777777" w:rsidR="00387142" w:rsidRPr="008B6A75" w:rsidRDefault="00387142" w:rsidP="00387142">
            <w:pPr>
              <w:jc w:val="center"/>
              <w:rPr>
                <w:sz w:val="20"/>
                <w:szCs w:val="20"/>
              </w:rPr>
            </w:pPr>
            <w:r w:rsidRPr="008B6A75">
              <w:rPr>
                <w:sz w:val="20"/>
                <w:szCs w:val="20"/>
              </w:rPr>
              <w:t>11</w:t>
            </w:r>
          </w:p>
        </w:tc>
        <w:tc>
          <w:tcPr>
            <w:tcW w:w="1516" w:type="dxa"/>
            <w:tcBorders>
              <w:top w:val="nil"/>
              <w:left w:val="single" w:sz="4" w:space="0" w:color="auto"/>
              <w:bottom w:val="single" w:sz="4" w:space="0" w:color="auto"/>
              <w:right w:val="nil"/>
            </w:tcBorders>
            <w:shd w:val="clear" w:color="auto" w:fill="auto"/>
            <w:noWrap/>
            <w:vAlign w:val="center"/>
            <w:hideMark/>
          </w:tcPr>
          <w:p w14:paraId="6DB46A95" w14:textId="77777777" w:rsidR="00387142" w:rsidRPr="008B6A75" w:rsidRDefault="00387142" w:rsidP="00387142">
            <w:pPr>
              <w:jc w:val="center"/>
              <w:rPr>
                <w:sz w:val="20"/>
                <w:szCs w:val="20"/>
              </w:rPr>
            </w:pPr>
            <w:r w:rsidRPr="008B6A75">
              <w:rPr>
                <w:sz w:val="20"/>
                <w:szCs w:val="20"/>
              </w:rPr>
              <w:t>99.0.00.20540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D69C89F" w14:textId="77777777" w:rsidR="00387142" w:rsidRPr="008B6A75" w:rsidRDefault="00387142" w:rsidP="00387142">
            <w:pPr>
              <w:jc w:val="center"/>
              <w:rPr>
                <w:sz w:val="20"/>
                <w:szCs w:val="20"/>
              </w:rPr>
            </w:pPr>
            <w:r w:rsidRPr="008B6A75">
              <w:rPr>
                <w:sz w:val="20"/>
                <w:szCs w:val="20"/>
              </w:rPr>
              <w:t>240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E424438" w14:textId="77777777" w:rsidR="00387142" w:rsidRPr="008B6A75" w:rsidRDefault="00387142" w:rsidP="00387142">
            <w:pPr>
              <w:jc w:val="right"/>
              <w:rPr>
                <w:sz w:val="20"/>
                <w:szCs w:val="20"/>
              </w:rPr>
            </w:pPr>
            <w:r w:rsidRPr="008B6A75">
              <w:rPr>
                <w:sz w:val="20"/>
                <w:szCs w:val="20"/>
              </w:rPr>
              <w:t>300 000,00</w:t>
            </w:r>
          </w:p>
        </w:tc>
        <w:tc>
          <w:tcPr>
            <w:tcW w:w="992" w:type="dxa"/>
            <w:tcBorders>
              <w:top w:val="nil"/>
              <w:left w:val="single" w:sz="4" w:space="0" w:color="auto"/>
              <w:bottom w:val="single" w:sz="4" w:space="0" w:color="auto"/>
              <w:right w:val="nil"/>
            </w:tcBorders>
            <w:shd w:val="clear" w:color="auto" w:fill="auto"/>
            <w:vAlign w:val="center"/>
            <w:hideMark/>
          </w:tcPr>
          <w:p w14:paraId="6F3FE49E" w14:textId="77777777" w:rsidR="00387142" w:rsidRPr="008B6A75" w:rsidRDefault="00387142" w:rsidP="00387142">
            <w:pPr>
              <w:jc w:val="right"/>
              <w:rPr>
                <w:sz w:val="20"/>
                <w:szCs w:val="20"/>
              </w:rPr>
            </w:pPr>
            <w:r w:rsidRPr="008B6A75">
              <w:rPr>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01327E29" w14:textId="77777777" w:rsidR="00387142" w:rsidRPr="008B6A75" w:rsidRDefault="00387142" w:rsidP="00387142">
            <w:pPr>
              <w:jc w:val="right"/>
              <w:rPr>
                <w:sz w:val="20"/>
                <w:szCs w:val="20"/>
              </w:rPr>
            </w:pPr>
            <w:r w:rsidRPr="008B6A75">
              <w:rPr>
                <w:sz w:val="20"/>
                <w:szCs w:val="20"/>
              </w:rPr>
              <w:t>0,00</w:t>
            </w:r>
          </w:p>
        </w:tc>
      </w:tr>
      <w:tr w:rsidR="00387142" w:rsidRPr="008B6A75" w14:paraId="67F6BF1F" w14:textId="77777777" w:rsidTr="00387142">
        <w:trPr>
          <w:trHeight w:val="1440"/>
        </w:trPr>
        <w:tc>
          <w:tcPr>
            <w:tcW w:w="3261" w:type="dxa"/>
            <w:tcBorders>
              <w:top w:val="nil"/>
              <w:left w:val="single" w:sz="4" w:space="0" w:color="auto"/>
              <w:bottom w:val="single" w:sz="4" w:space="0" w:color="auto"/>
              <w:right w:val="nil"/>
            </w:tcBorders>
            <w:shd w:val="clear" w:color="auto" w:fill="auto"/>
            <w:vAlign w:val="center"/>
            <w:hideMark/>
          </w:tcPr>
          <w:p w14:paraId="736CD9B0" w14:textId="77777777" w:rsidR="00387142" w:rsidRPr="008B6A75" w:rsidRDefault="00387142" w:rsidP="00387142">
            <w:pPr>
              <w:rPr>
                <w:bCs/>
                <w:sz w:val="20"/>
                <w:szCs w:val="20"/>
              </w:rPr>
            </w:pPr>
            <w:r w:rsidRPr="008B6A75">
              <w:rPr>
                <w:bCs/>
                <w:sz w:val="20"/>
                <w:szCs w:val="20"/>
              </w:rPr>
              <w:lastRenderedPageBreak/>
              <w:t>Осуществление полномочий по обеспечению жильем отдельных категорий граждан, установленных Федеральным законом от 24 ноября 1995 года N 181-ФЗ "О социальной защите инвалидов в Российской Федерации"</w:t>
            </w:r>
          </w:p>
        </w:tc>
        <w:tc>
          <w:tcPr>
            <w:tcW w:w="720" w:type="dxa"/>
            <w:tcBorders>
              <w:top w:val="nil"/>
              <w:left w:val="single" w:sz="4" w:space="0" w:color="auto"/>
              <w:bottom w:val="single" w:sz="4" w:space="0" w:color="auto"/>
              <w:right w:val="nil"/>
            </w:tcBorders>
            <w:shd w:val="clear" w:color="auto" w:fill="auto"/>
            <w:noWrap/>
            <w:vAlign w:val="center"/>
            <w:hideMark/>
          </w:tcPr>
          <w:p w14:paraId="31E81FAD" w14:textId="77777777" w:rsidR="00387142" w:rsidRPr="008B6A75" w:rsidRDefault="00387142" w:rsidP="00387142">
            <w:pPr>
              <w:jc w:val="center"/>
              <w:rPr>
                <w:bCs/>
                <w:sz w:val="20"/>
                <w:szCs w:val="20"/>
              </w:rPr>
            </w:pPr>
            <w:r w:rsidRPr="008B6A75">
              <w:rPr>
                <w:bCs/>
                <w:sz w:val="20"/>
                <w:szCs w:val="20"/>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113ECEA" w14:textId="77777777" w:rsidR="00387142" w:rsidRPr="008B6A75" w:rsidRDefault="00387142" w:rsidP="00387142">
            <w:pPr>
              <w:jc w:val="center"/>
              <w:rPr>
                <w:bCs/>
                <w:sz w:val="20"/>
                <w:szCs w:val="20"/>
              </w:rPr>
            </w:pPr>
            <w:r w:rsidRPr="008B6A75">
              <w:rPr>
                <w:bCs/>
                <w:sz w:val="20"/>
                <w:szCs w:val="20"/>
              </w:rPr>
              <w:t>03</w:t>
            </w:r>
          </w:p>
        </w:tc>
        <w:tc>
          <w:tcPr>
            <w:tcW w:w="1516" w:type="dxa"/>
            <w:tcBorders>
              <w:top w:val="nil"/>
              <w:left w:val="single" w:sz="4" w:space="0" w:color="auto"/>
              <w:bottom w:val="single" w:sz="4" w:space="0" w:color="auto"/>
              <w:right w:val="nil"/>
            </w:tcBorders>
            <w:shd w:val="clear" w:color="auto" w:fill="auto"/>
            <w:noWrap/>
            <w:vAlign w:val="center"/>
            <w:hideMark/>
          </w:tcPr>
          <w:p w14:paraId="6474A845" w14:textId="77777777" w:rsidR="00387142" w:rsidRPr="008B6A75" w:rsidRDefault="00387142" w:rsidP="00387142">
            <w:pPr>
              <w:jc w:val="center"/>
              <w:rPr>
                <w:bCs/>
                <w:sz w:val="20"/>
                <w:szCs w:val="20"/>
              </w:rPr>
            </w:pPr>
            <w:r w:rsidRPr="008B6A75">
              <w:rPr>
                <w:bCs/>
                <w:sz w:val="20"/>
                <w:szCs w:val="20"/>
              </w:rPr>
              <w:t>99.0.00.51760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A68420B"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CBA9E2D" w14:textId="77777777" w:rsidR="00387142" w:rsidRPr="008B6A75" w:rsidRDefault="00387142" w:rsidP="00387142">
            <w:pPr>
              <w:jc w:val="right"/>
              <w:rPr>
                <w:bCs/>
                <w:sz w:val="20"/>
                <w:szCs w:val="20"/>
              </w:rPr>
            </w:pPr>
            <w:r w:rsidRPr="008B6A75">
              <w:rPr>
                <w:bCs/>
                <w:sz w:val="20"/>
                <w:szCs w:val="20"/>
              </w:rPr>
              <w:t>6 696 500,00</w:t>
            </w:r>
          </w:p>
        </w:tc>
        <w:tc>
          <w:tcPr>
            <w:tcW w:w="992" w:type="dxa"/>
            <w:tcBorders>
              <w:top w:val="nil"/>
              <w:left w:val="single" w:sz="4" w:space="0" w:color="auto"/>
              <w:bottom w:val="single" w:sz="4" w:space="0" w:color="auto"/>
              <w:right w:val="nil"/>
            </w:tcBorders>
            <w:shd w:val="clear" w:color="auto" w:fill="auto"/>
            <w:vAlign w:val="center"/>
            <w:hideMark/>
          </w:tcPr>
          <w:p w14:paraId="5E52F9B1" w14:textId="77777777" w:rsidR="00387142" w:rsidRPr="008B6A75" w:rsidRDefault="00387142" w:rsidP="00387142">
            <w:pPr>
              <w:jc w:val="right"/>
              <w:rPr>
                <w:bCs/>
                <w:sz w:val="20"/>
                <w:szCs w:val="20"/>
              </w:rPr>
            </w:pPr>
            <w:r w:rsidRPr="008B6A75">
              <w:rPr>
                <w:bCs/>
                <w:sz w:val="20"/>
                <w:szCs w:val="20"/>
              </w:rPr>
              <w:t>1 014 800,00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3041D0DF" w14:textId="77777777" w:rsidR="00387142" w:rsidRPr="008B6A75" w:rsidRDefault="00387142" w:rsidP="00387142">
            <w:pPr>
              <w:jc w:val="right"/>
              <w:rPr>
                <w:bCs/>
                <w:sz w:val="20"/>
                <w:szCs w:val="20"/>
              </w:rPr>
            </w:pPr>
            <w:r w:rsidRPr="008B6A75">
              <w:rPr>
                <w:bCs/>
                <w:sz w:val="20"/>
                <w:szCs w:val="20"/>
              </w:rPr>
              <w:t>1 014 800,00</w:t>
            </w:r>
          </w:p>
        </w:tc>
      </w:tr>
      <w:tr w:rsidR="00387142" w:rsidRPr="008B6A75" w14:paraId="2C99A23A" w14:textId="77777777" w:rsidTr="00387142">
        <w:trPr>
          <w:trHeight w:val="585"/>
        </w:trPr>
        <w:tc>
          <w:tcPr>
            <w:tcW w:w="3261" w:type="dxa"/>
            <w:tcBorders>
              <w:top w:val="nil"/>
              <w:left w:val="single" w:sz="4" w:space="0" w:color="auto"/>
              <w:bottom w:val="single" w:sz="4" w:space="0" w:color="auto"/>
              <w:right w:val="nil"/>
            </w:tcBorders>
            <w:shd w:val="clear" w:color="auto" w:fill="auto"/>
            <w:vAlign w:val="center"/>
            <w:hideMark/>
          </w:tcPr>
          <w:p w14:paraId="000EE660" w14:textId="77777777" w:rsidR="00387142" w:rsidRPr="008B6A75" w:rsidRDefault="00387142" w:rsidP="00387142">
            <w:pPr>
              <w:rPr>
                <w:sz w:val="20"/>
                <w:szCs w:val="20"/>
              </w:rPr>
            </w:pPr>
            <w:r w:rsidRPr="008B6A75">
              <w:rPr>
                <w:sz w:val="20"/>
                <w:szCs w:val="20"/>
              </w:rPr>
              <w:t>Социальное обеспечение и иные выплаты населению</w:t>
            </w:r>
          </w:p>
        </w:tc>
        <w:tc>
          <w:tcPr>
            <w:tcW w:w="720" w:type="dxa"/>
            <w:tcBorders>
              <w:top w:val="nil"/>
              <w:left w:val="single" w:sz="4" w:space="0" w:color="auto"/>
              <w:bottom w:val="single" w:sz="4" w:space="0" w:color="auto"/>
              <w:right w:val="nil"/>
            </w:tcBorders>
            <w:shd w:val="clear" w:color="auto" w:fill="auto"/>
            <w:noWrap/>
            <w:vAlign w:val="center"/>
            <w:hideMark/>
          </w:tcPr>
          <w:p w14:paraId="56A8A9BF" w14:textId="77777777" w:rsidR="00387142" w:rsidRPr="008B6A75" w:rsidRDefault="00387142" w:rsidP="00387142">
            <w:pPr>
              <w:jc w:val="center"/>
              <w:rPr>
                <w:sz w:val="20"/>
                <w:szCs w:val="20"/>
              </w:rPr>
            </w:pPr>
            <w:r w:rsidRPr="008B6A75">
              <w:rPr>
                <w:sz w:val="20"/>
                <w:szCs w:val="20"/>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F84D90F" w14:textId="77777777" w:rsidR="00387142" w:rsidRPr="008B6A75" w:rsidRDefault="00387142" w:rsidP="00387142">
            <w:pPr>
              <w:jc w:val="center"/>
              <w:rPr>
                <w:sz w:val="20"/>
                <w:szCs w:val="20"/>
              </w:rPr>
            </w:pPr>
            <w:r w:rsidRPr="008B6A75">
              <w:rPr>
                <w:sz w:val="20"/>
                <w:szCs w:val="20"/>
              </w:rPr>
              <w:t>03</w:t>
            </w:r>
          </w:p>
        </w:tc>
        <w:tc>
          <w:tcPr>
            <w:tcW w:w="1516" w:type="dxa"/>
            <w:tcBorders>
              <w:top w:val="nil"/>
              <w:left w:val="single" w:sz="4" w:space="0" w:color="auto"/>
              <w:bottom w:val="single" w:sz="4" w:space="0" w:color="auto"/>
              <w:right w:val="nil"/>
            </w:tcBorders>
            <w:shd w:val="clear" w:color="auto" w:fill="auto"/>
            <w:noWrap/>
            <w:vAlign w:val="center"/>
            <w:hideMark/>
          </w:tcPr>
          <w:p w14:paraId="4687DF4D" w14:textId="77777777" w:rsidR="00387142" w:rsidRPr="008B6A75" w:rsidRDefault="00387142" w:rsidP="00387142">
            <w:pPr>
              <w:jc w:val="center"/>
              <w:rPr>
                <w:sz w:val="20"/>
                <w:szCs w:val="20"/>
              </w:rPr>
            </w:pPr>
            <w:r w:rsidRPr="008B6A75">
              <w:rPr>
                <w:sz w:val="20"/>
                <w:szCs w:val="20"/>
              </w:rPr>
              <w:t>99.0.00.51760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58E786B" w14:textId="77777777" w:rsidR="00387142" w:rsidRPr="008B6A75" w:rsidRDefault="00387142" w:rsidP="00387142">
            <w:pPr>
              <w:jc w:val="center"/>
              <w:rPr>
                <w:sz w:val="20"/>
                <w:szCs w:val="20"/>
              </w:rPr>
            </w:pPr>
            <w:r w:rsidRPr="008B6A75">
              <w:rPr>
                <w:sz w:val="20"/>
                <w:szCs w:val="20"/>
              </w:rPr>
              <w:t>300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5AE8CD8" w14:textId="77777777" w:rsidR="00387142" w:rsidRPr="008B6A75" w:rsidRDefault="00387142" w:rsidP="00387142">
            <w:pPr>
              <w:jc w:val="right"/>
              <w:rPr>
                <w:sz w:val="20"/>
                <w:szCs w:val="20"/>
              </w:rPr>
            </w:pPr>
            <w:r w:rsidRPr="008B6A75">
              <w:rPr>
                <w:sz w:val="20"/>
                <w:szCs w:val="20"/>
              </w:rPr>
              <w:t>6 696 500,00</w:t>
            </w:r>
          </w:p>
        </w:tc>
        <w:tc>
          <w:tcPr>
            <w:tcW w:w="992" w:type="dxa"/>
            <w:tcBorders>
              <w:top w:val="nil"/>
              <w:left w:val="single" w:sz="4" w:space="0" w:color="auto"/>
              <w:bottom w:val="single" w:sz="4" w:space="0" w:color="auto"/>
              <w:right w:val="nil"/>
            </w:tcBorders>
            <w:shd w:val="clear" w:color="auto" w:fill="auto"/>
            <w:vAlign w:val="center"/>
            <w:hideMark/>
          </w:tcPr>
          <w:p w14:paraId="345E0A7E" w14:textId="77777777" w:rsidR="00387142" w:rsidRPr="008B6A75" w:rsidRDefault="00387142" w:rsidP="00387142">
            <w:pPr>
              <w:jc w:val="right"/>
              <w:rPr>
                <w:sz w:val="20"/>
                <w:szCs w:val="20"/>
              </w:rPr>
            </w:pPr>
            <w:r w:rsidRPr="008B6A75">
              <w:rPr>
                <w:sz w:val="20"/>
                <w:szCs w:val="20"/>
              </w:rPr>
              <w:t>1 014 800,00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16C55D51" w14:textId="77777777" w:rsidR="00387142" w:rsidRPr="008B6A75" w:rsidRDefault="00387142" w:rsidP="00387142">
            <w:pPr>
              <w:jc w:val="right"/>
              <w:rPr>
                <w:sz w:val="20"/>
                <w:szCs w:val="20"/>
              </w:rPr>
            </w:pPr>
            <w:r w:rsidRPr="008B6A75">
              <w:rPr>
                <w:sz w:val="20"/>
                <w:szCs w:val="20"/>
              </w:rPr>
              <w:t>1 014 800,00</w:t>
            </w:r>
          </w:p>
        </w:tc>
      </w:tr>
      <w:tr w:rsidR="00387142" w:rsidRPr="008B6A75" w14:paraId="07439631" w14:textId="77777777" w:rsidTr="00387142">
        <w:trPr>
          <w:trHeight w:val="585"/>
        </w:trPr>
        <w:tc>
          <w:tcPr>
            <w:tcW w:w="3261" w:type="dxa"/>
            <w:tcBorders>
              <w:top w:val="nil"/>
              <w:left w:val="single" w:sz="4" w:space="0" w:color="auto"/>
              <w:bottom w:val="single" w:sz="4" w:space="0" w:color="auto"/>
              <w:right w:val="nil"/>
            </w:tcBorders>
            <w:shd w:val="clear" w:color="auto" w:fill="auto"/>
            <w:vAlign w:val="center"/>
            <w:hideMark/>
          </w:tcPr>
          <w:p w14:paraId="1CF14E95" w14:textId="77777777" w:rsidR="00387142" w:rsidRPr="008B6A75" w:rsidRDefault="00387142" w:rsidP="00387142">
            <w:pPr>
              <w:rPr>
                <w:sz w:val="20"/>
                <w:szCs w:val="20"/>
              </w:rPr>
            </w:pPr>
            <w:r w:rsidRPr="008B6A75">
              <w:rPr>
                <w:sz w:val="20"/>
                <w:szCs w:val="20"/>
              </w:rPr>
              <w:t>Социальные выплаты гражданам, кроме публичных нормативных социальных выплат</w:t>
            </w:r>
          </w:p>
        </w:tc>
        <w:tc>
          <w:tcPr>
            <w:tcW w:w="720" w:type="dxa"/>
            <w:tcBorders>
              <w:top w:val="nil"/>
              <w:left w:val="single" w:sz="4" w:space="0" w:color="auto"/>
              <w:bottom w:val="single" w:sz="4" w:space="0" w:color="auto"/>
              <w:right w:val="nil"/>
            </w:tcBorders>
            <w:shd w:val="clear" w:color="auto" w:fill="auto"/>
            <w:noWrap/>
            <w:vAlign w:val="center"/>
            <w:hideMark/>
          </w:tcPr>
          <w:p w14:paraId="706076DA" w14:textId="77777777" w:rsidR="00387142" w:rsidRPr="008B6A75" w:rsidRDefault="00387142" w:rsidP="00387142">
            <w:pPr>
              <w:jc w:val="center"/>
              <w:rPr>
                <w:sz w:val="20"/>
                <w:szCs w:val="20"/>
              </w:rPr>
            </w:pPr>
            <w:r w:rsidRPr="008B6A75">
              <w:rPr>
                <w:sz w:val="20"/>
                <w:szCs w:val="20"/>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FBC8966" w14:textId="77777777" w:rsidR="00387142" w:rsidRPr="008B6A75" w:rsidRDefault="00387142" w:rsidP="00387142">
            <w:pPr>
              <w:jc w:val="center"/>
              <w:rPr>
                <w:sz w:val="20"/>
                <w:szCs w:val="20"/>
              </w:rPr>
            </w:pPr>
            <w:r w:rsidRPr="008B6A75">
              <w:rPr>
                <w:sz w:val="20"/>
                <w:szCs w:val="20"/>
              </w:rPr>
              <w:t>03</w:t>
            </w:r>
          </w:p>
        </w:tc>
        <w:tc>
          <w:tcPr>
            <w:tcW w:w="1516" w:type="dxa"/>
            <w:tcBorders>
              <w:top w:val="nil"/>
              <w:left w:val="single" w:sz="4" w:space="0" w:color="auto"/>
              <w:bottom w:val="single" w:sz="4" w:space="0" w:color="auto"/>
              <w:right w:val="nil"/>
            </w:tcBorders>
            <w:shd w:val="clear" w:color="auto" w:fill="auto"/>
            <w:noWrap/>
            <w:vAlign w:val="center"/>
            <w:hideMark/>
          </w:tcPr>
          <w:p w14:paraId="3EEFDFCD" w14:textId="77777777" w:rsidR="00387142" w:rsidRPr="008B6A75" w:rsidRDefault="00387142" w:rsidP="00387142">
            <w:pPr>
              <w:jc w:val="center"/>
              <w:rPr>
                <w:sz w:val="20"/>
                <w:szCs w:val="20"/>
              </w:rPr>
            </w:pPr>
            <w:r w:rsidRPr="008B6A75">
              <w:rPr>
                <w:sz w:val="20"/>
                <w:szCs w:val="20"/>
              </w:rPr>
              <w:t>99.0.00.51760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3699BD5" w14:textId="77777777" w:rsidR="00387142" w:rsidRPr="008B6A75" w:rsidRDefault="00387142" w:rsidP="00387142">
            <w:pPr>
              <w:jc w:val="center"/>
              <w:rPr>
                <w:sz w:val="20"/>
                <w:szCs w:val="20"/>
              </w:rPr>
            </w:pPr>
            <w:r w:rsidRPr="008B6A75">
              <w:rPr>
                <w:sz w:val="20"/>
                <w:szCs w:val="20"/>
              </w:rPr>
              <w:t>320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58C047B" w14:textId="77777777" w:rsidR="00387142" w:rsidRPr="008B6A75" w:rsidRDefault="00387142" w:rsidP="00387142">
            <w:pPr>
              <w:jc w:val="right"/>
              <w:rPr>
                <w:sz w:val="20"/>
                <w:szCs w:val="20"/>
              </w:rPr>
            </w:pPr>
            <w:r w:rsidRPr="008B6A75">
              <w:rPr>
                <w:sz w:val="20"/>
                <w:szCs w:val="20"/>
              </w:rPr>
              <w:t>6 696 500,00</w:t>
            </w:r>
          </w:p>
        </w:tc>
        <w:tc>
          <w:tcPr>
            <w:tcW w:w="992" w:type="dxa"/>
            <w:tcBorders>
              <w:top w:val="nil"/>
              <w:left w:val="single" w:sz="4" w:space="0" w:color="auto"/>
              <w:bottom w:val="single" w:sz="4" w:space="0" w:color="auto"/>
              <w:right w:val="nil"/>
            </w:tcBorders>
            <w:shd w:val="clear" w:color="auto" w:fill="auto"/>
            <w:vAlign w:val="center"/>
            <w:hideMark/>
          </w:tcPr>
          <w:p w14:paraId="7794D52C" w14:textId="77777777" w:rsidR="00387142" w:rsidRPr="008B6A75" w:rsidRDefault="00387142" w:rsidP="00387142">
            <w:pPr>
              <w:jc w:val="right"/>
              <w:rPr>
                <w:sz w:val="20"/>
                <w:szCs w:val="20"/>
              </w:rPr>
            </w:pPr>
            <w:r w:rsidRPr="008B6A75">
              <w:rPr>
                <w:sz w:val="20"/>
                <w:szCs w:val="20"/>
              </w:rPr>
              <w:t>1 014 800,00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23C2E7CE" w14:textId="77777777" w:rsidR="00387142" w:rsidRPr="008B6A75" w:rsidRDefault="00387142" w:rsidP="00387142">
            <w:pPr>
              <w:jc w:val="right"/>
              <w:rPr>
                <w:sz w:val="20"/>
                <w:szCs w:val="20"/>
              </w:rPr>
            </w:pPr>
            <w:r w:rsidRPr="008B6A75">
              <w:rPr>
                <w:sz w:val="20"/>
                <w:szCs w:val="20"/>
              </w:rPr>
              <w:t>1 014 800,00</w:t>
            </w:r>
          </w:p>
        </w:tc>
      </w:tr>
      <w:tr w:rsidR="00387142" w:rsidRPr="008B6A75" w14:paraId="7BF73292" w14:textId="77777777" w:rsidTr="00387142">
        <w:trPr>
          <w:trHeight w:val="3720"/>
        </w:trPr>
        <w:tc>
          <w:tcPr>
            <w:tcW w:w="3261" w:type="dxa"/>
            <w:tcBorders>
              <w:top w:val="nil"/>
              <w:left w:val="single" w:sz="4" w:space="0" w:color="auto"/>
              <w:bottom w:val="single" w:sz="4" w:space="0" w:color="auto"/>
              <w:right w:val="nil"/>
            </w:tcBorders>
            <w:shd w:val="clear" w:color="auto" w:fill="auto"/>
            <w:vAlign w:val="center"/>
            <w:hideMark/>
          </w:tcPr>
          <w:p w14:paraId="46E58CCC" w14:textId="77777777" w:rsidR="00387142" w:rsidRPr="008B6A75" w:rsidRDefault="00387142" w:rsidP="00387142">
            <w:pPr>
              <w:rPr>
                <w:bCs/>
                <w:sz w:val="20"/>
                <w:szCs w:val="20"/>
              </w:rPr>
            </w:pPr>
            <w:r w:rsidRPr="008B6A75">
              <w:rPr>
                <w:bCs/>
                <w:sz w:val="20"/>
                <w:szCs w:val="20"/>
              </w:rPr>
              <w:t>Субвенция на возмещение специализированной службе по вопросам похоронного дела стоимости услуг, предоставляемых согласно гарантированному перечню услуг по погребению,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 в случае рождения мертвого ребенка по истечении 154 дней беременности, а также умерших, личность которых не установлена органами внутренних дел</w:t>
            </w:r>
          </w:p>
        </w:tc>
        <w:tc>
          <w:tcPr>
            <w:tcW w:w="720" w:type="dxa"/>
            <w:tcBorders>
              <w:top w:val="nil"/>
              <w:left w:val="single" w:sz="4" w:space="0" w:color="auto"/>
              <w:bottom w:val="single" w:sz="4" w:space="0" w:color="auto"/>
              <w:right w:val="nil"/>
            </w:tcBorders>
            <w:shd w:val="clear" w:color="auto" w:fill="auto"/>
            <w:noWrap/>
            <w:vAlign w:val="center"/>
            <w:hideMark/>
          </w:tcPr>
          <w:p w14:paraId="6F575462" w14:textId="77777777" w:rsidR="00387142" w:rsidRPr="008B6A75" w:rsidRDefault="00387142" w:rsidP="00387142">
            <w:pPr>
              <w:jc w:val="center"/>
              <w:rPr>
                <w:bCs/>
                <w:sz w:val="20"/>
                <w:szCs w:val="20"/>
              </w:rPr>
            </w:pPr>
            <w:r w:rsidRPr="008B6A75">
              <w:rPr>
                <w:bCs/>
                <w:sz w:val="20"/>
                <w:szCs w:val="20"/>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44D317C" w14:textId="77777777" w:rsidR="00387142" w:rsidRPr="008B6A75" w:rsidRDefault="00387142" w:rsidP="00387142">
            <w:pPr>
              <w:jc w:val="center"/>
              <w:rPr>
                <w:bCs/>
                <w:sz w:val="20"/>
                <w:szCs w:val="20"/>
              </w:rPr>
            </w:pPr>
            <w:r w:rsidRPr="008B6A75">
              <w:rPr>
                <w:bCs/>
                <w:sz w:val="20"/>
                <w:szCs w:val="20"/>
              </w:rPr>
              <w:t>03</w:t>
            </w:r>
          </w:p>
        </w:tc>
        <w:tc>
          <w:tcPr>
            <w:tcW w:w="1516" w:type="dxa"/>
            <w:tcBorders>
              <w:top w:val="nil"/>
              <w:left w:val="single" w:sz="4" w:space="0" w:color="auto"/>
              <w:bottom w:val="single" w:sz="4" w:space="0" w:color="auto"/>
              <w:right w:val="nil"/>
            </w:tcBorders>
            <w:shd w:val="clear" w:color="auto" w:fill="auto"/>
            <w:noWrap/>
            <w:vAlign w:val="center"/>
            <w:hideMark/>
          </w:tcPr>
          <w:p w14:paraId="20701B85" w14:textId="77777777" w:rsidR="00387142" w:rsidRPr="008B6A75" w:rsidRDefault="00387142" w:rsidP="00387142">
            <w:pPr>
              <w:jc w:val="center"/>
              <w:rPr>
                <w:bCs/>
                <w:sz w:val="20"/>
                <w:szCs w:val="20"/>
              </w:rPr>
            </w:pPr>
            <w:r w:rsidRPr="008B6A75">
              <w:rPr>
                <w:bCs/>
                <w:sz w:val="20"/>
                <w:szCs w:val="20"/>
              </w:rPr>
              <w:t>99.0.00.74860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7DC7D02"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0B47857" w14:textId="77777777" w:rsidR="00387142" w:rsidRPr="008B6A75" w:rsidRDefault="00387142" w:rsidP="00387142">
            <w:pPr>
              <w:jc w:val="right"/>
              <w:rPr>
                <w:bCs/>
                <w:sz w:val="20"/>
                <w:szCs w:val="20"/>
              </w:rPr>
            </w:pPr>
            <w:r w:rsidRPr="008B6A75">
              <w:rPr>
                <w:bCs/>
                <w:sz w:val="20"/>
                <w:szCs w:val="20"/>
              </w:rPr>
              <w:t>69 646,80</w:t>
            </w:r>
          </w:p>
        </w:tc>
        <w:tc>
          <w:tcPr>
            <w:tcW w:w="992" w:type="dxa"/>
            <w:tcBorders>
              <w:top w:val="nil"/>
              <w:left w:val="single" w:sz="4" w:space="0" w:color="auto"/>
              <w:bottom w:val="single" w:sz="4" w:space="0" w:color="auto"/>
              <w:right w:val="nil"/>
            </w:tcBorders>
            <w:shd w:val="clear" w:color="auto" w:fill="auto"/>
            <w:vAlign w:val="center"/>
            <w:hideMark/>
          </w:tcPr>
          <w:p w14:paraId="16796771" w14:textId="77777777" w:rsidR="00387142" w:rsidRPr="008B6A75" w:rsidRDefault="00387142" w:rsidP="00387142">
            <w:pPr>
              <w:jc w:val="right"/>
              <w:rPr>
                <w:bCs/>
                <w:sz w:val="20"/>
                <w:szCs w:val="20"/>
              </w:rPr>
            </w:pPr>
            <w:r w:rsidRPr="008B6A75">
              <w:rPr>
                <w:bCs/>
                <w:sz w:val="20"/>
                <w:szCs w:val="20"/>
              </w:rPr>
              <w:t>69 700,00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4A82189E" w14:textId="77777777" w:rsidR="00387142" w:rsidRPr="008B6A75" w:rsidRDefault="00387142" w:rsidP="00387142">
            <w:pPr>
              <w:jc w:val="right"/>
              <w:rPr>
                <w:bCs/>
                <w:sz w:val="20"/>
                <w:szCs w:val="20"/>
              </w:rPr>
            </w:pPr>
            <w:r w:rsidRPr="008B6A75">
              <w:rPr>
                <w:bCs/>
                <w:sz w:val="20"/>
                <w:szCs w:val="20"/>
              </w:rPr>
              <w:t>69 700,00</w:t>
            </w:r>
          </w:p>
        </w:tc>
      </w:tr>
      <w:tr w:rsidR="00387142" w:rsidRPr="008B6A75" w14:paraId="5CB91E1D" w14:textId="77777777" w:rsidTr="00387142">
        <w:trPr>
          <w:trHeight w:val="585"/>
        </w:trPr>
        <w:tc>
          <w:tcPr>
            <w:tcW w:w="3261" w:type="dxa"/>
            <w:tcBorders>
              <w:top w:val="nil"/>
              <w:left w:val="single" w:sz="4" w:space="0" w:color="auto"/>
              <w:bottom w:val="single" w:sz="4" w:space="0" w:color="auto"/>
              <w:right w:val="nil"/>
            </w:tcBorders>
            <w:shd w:val="clear" w:color="auto" w:fill="auto"/>
            <w:vAlign w:val="center"/>
            <w:hideMark/>
          </w:tcPr>
          <w:p w14:paraId="555C0EB0" w14:textId="77777777" w:rsidR="00387142" w:rsidRPr="008B6A75" w:rsidRDefault="00387142" w:rsidP="00387142">
            <w:pPr>
              <w:rPr>
                <w:sz w:val="20"/>
                <w:szCs w:val="20"/>
              </w:rPr>
            </w:pPr>
            <w:r w:rsidRPr="008B6A75">
              <w:rPr>
                <w:sz w:val="20"/>
                <w:szCs w:val="20"/>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47AC5552" w14:textId="77777777" w:rsidR="00387142" w:rsidRPr="008B6A75" w:rsidRDefault="00387142" w:rsidP="00387142">
            <w:pPr>
              <w:jc w:val="center"/>
              <w:rPr>
                <w:sz w:val="20"/>
                <w:szCs w:val="20"/>
              </w:rPr>
            </w:pPr>
            <w:r w:rsidRPr="008B6A75">
              <w:rPr>
                <w:sz w:val="20"/>
                <w:szCs w:val="20"/>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9520D65" w14:textId="77777777" w:rsidR="00387142" w:rsidRPr="008B6A75" w:rsidRDefault="00387142" w:rsidP="00387142">
            <w:pPr>
              <w:jc w:val="center"/>
              <w:rPr>
                <w:sz w:val="20"/>
                <w:szCs w:val="20"/>
              </w:rPr>
            </w:pPr>
            <w:r w:rsidRPr="008B6A75">
              <w:rPr>
                <w:sz w:val="20"/>
                <w:szCs w:val="20"/>
              </w:rPr>
              <w:t>03</w:t>
            </w:r>
          </w:p>
        </w:tc>
        <w:tc>
          <w:tcPr>
            <w:tcW w:w="1516" w:type="dxa"/>
            <w:tcBorders>
              <w:top w:val="nil"/>
              <w:left w:val="single" w:sz="4" w:space="0" w:color="auto"/>
              <w:bottom w:val="single" w:sz="4" w:space="0" w:color="auto"/>
              <w:right w:val="nil"/>
            </w:tcBorders>
            <w:shd w:val="clear" w:color="auto" w:fill="auto"/>
            <w:noWrap/>
            <w:vAlign w:val="center"/>
            <w:hideMark/>
          </w:tcPr>
          <w:p w14:paraId="1BD8B708" w14:textId="77777777" w:rsidR="00387142" w:rsidRPr="008B6A75" w:rsidRDefault="00387142" w:rsidP="00387142">
            <w:pPr>
              <w:jc w:val="center"/>
              <w:rPr>
                <w:sz w:val="20"/>
                <w:szCs w:val="20"/>
              </w:rPr>
            </w:pPr>
            <w:r w:rsidRPr="008B6A75">
              <w:rPr>
                <w:sz w:val="20"/>
                <w:szCs w:val="20"/>
              </w:rPr>
              <w:t>99.0.00.74860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3F2717D" w14:textId="77777777" w:rsidR="00387142" w:rsidRPr="008B6A75" w:rsidRDefault="00387142" w:rsidP="00387142">
            <w:pPr>
              <w:jc w:val="center"/>
              <w:rPr>
                <w:sz w:val="20"/>
                <w:szCs w:val="20"/>
              </w:rPr>
            </w:pPr>
            <w:r w:rsidRPr="008B6A75">
              <w:rPr>
                <w:sz w:val="20"/>
                <w:szCs w:val="20"/>
              </w:rPr>
              <w:t>200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6F8C277" w14:textId="77777777" w:rsidR="00387142" w:rsidRPr="008B6A75" w:rsidRDefault="00387142" w:rsidP="00387142">
            <w:pPr>
              <w:jc w:val="right"/>
              <w:rPr>
                <w:sz w:val="20"/>
                <w:szCs w:val="20"/>
              </w:rPr>
            </w:pPr>
            <w:r w:rsidRPr="008B6A75">
              <w:rPr>
                <w:sz w:val="20"/>
                <w:szCs w:val="20"/>
              </w:rPr>
              <w:t>69 646,80</w:t>
            </w:r>
          </w:p>
        </w:tc>
        <w:tc>
          <w:tcPr>
            <w:tcW w:w="992" w:type="dxa"/>
            <w:tcBorders>
              <w:top w:val="nil"/>
              <w:left w:val="single" w:sz="4" w:space="0" w:color="auto"/>
              <w:bottom w:val="single" w:sz="4" w:space="0" w:color="auto"/>
              <w:right w:val="nil"/>
            </w:tcBorders>
            <w:shd w:val="clear" w:color="auto" w:fill="auto"/>
            <w:vAlign w:val="center"/>
            <w:hideMark/>
          </w:tcPr>
          <w:p w14:paraId="70494B4F" w14:textId="77777777" w:rsidR="00387142" w:rsidRPr="008B6A75" w:rsidRDefault="00387142" w:rsidP="00387142">
            <w:pPr>
              <w:jc w:val="right"/>
              <w:rPr>
                <w:sz w:val="20"/>
                <w:szCs w:val="20"/>
              </w:rPr>
            </w:pPr>
            <w:r w:rsidRPr="008B6A75">
              <w:rPr>
                <w:sz w:val="20"/>
                <w:szCs w:val="20"/>
              </w:rPr>
              <w:t>69 700,00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46DB0E1C" w14:textId="77777777" w:rsidR="00387142" w:rsidRPr="008B6A75" w:rsidRDefault="00387142" w:rsidP="00387142">
            <w:pPr>
              <w:jc w:val="right"/>
              <w:rPr>
                <w:sz w:val="20"/>
                <w:szCs w:val="20"/>
              </w:rPr>
            </w:pPr>
            <w:r w:rsidRPr="008B6A75">
              <w:rPr>
                <w:sz w:val="20"/>
                <w:szCs w:val="20"/>
              </w:rPr>
              <w:t>69 700,00</w:t>
            </w:r>
          </w:p>
        </w:tc>
      </w:tr>
      <w:tr w:rsidR="00387142" w:rsidRPr="008B6A75" w14:paraId="238678B1" w14:textId="77777777" w:rsidTr="00387142">
        <w:trPr>
          <w:trHeight w:val="870"/>
        </w:trPr>
        <w:tc>
          <w:tcPr>
            <w:tcW w:w="3261" w:type="dxa"/>
            <w:tcBorders>
              <w:top w:val="nil"/>
              <w:left w:val="single" w:sz="4" w:space="0" w:color="auto"/>
              <w:bottom w:val="single" w:sz="4" w:space="0" w:color="auto"/>
              <w:right w:val="nil"/>
            </w:tcBorders>
            <w:shd w:val="clear" w:color="auto" w:fill="auto"/>
            <w:vAlign w:val="center"/>
            <w:hideMark/>
          </w:tcPr>
          <w:p w14:paraId="44C5257D" w14:textId="77777777" w:rsidR="00387142" w:rsidRPr="008B6A75" w:rsidRDefault="00387142" w:rsidP="00387142">
            <w:pPr>
              <w:rPr>
                <w:sz w:val="20"/>
                <w:szCs w:val="20"/>
              </w:rPr>
            </w:pPr>
            <w:r w:rsidRPr="008B6A75">
              <w:rPr>
                <w:sz w:val="20"/>
                <w:szCs w:val="20"/>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5A3BF5EA" w14:textId="77777777" w:rsidR="00387142" w:rsidRPr="008B6A75" w:rsidRDefault="00387142" w:rsidP="00387142">
            <w:pPr>
              <w:jc w:val="center"/>
              <w:rPr>
                <w:sz w:val="20"/>
                <w:szCs w:val="20"/>
              </w:rPr>
            </w:pPr>
            <w:r w:rsidRPr="008B6A75">
              <w:rPr>
                <w:sz w:val="20"/>
                <w:szCs w:val="20"/>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955F31D" w14:textId="77777777" w:rsidR="00387142" w:rsidRPr="008B6A75" w:rsidRDefault="00387142" w:rsidP="00387142">
            <w:pPr>
              <w:jc w:val="center"/>
              <w:rPr>
                <w:sz w:val="20"/>
                <w:szCs w:val="20"/>
              </w:rPr>
            </w:pPr>
            <w:r w:rsidRPr="008B6A75">
              <w:rPr>
                <w:sz w:val="20"/>
                <w:szCs w:val="20"/>
              </w:rPr>
              <w:t>03</w:t>
            </w:r>
          </w:p>
        </w:tc>
        <w:tc>
          <w:tcPr>
            <w:tcW w:w="1516" w:type="dxa"/>
            <w:tcBorders>
              <w:top w:val="nil"/>
              <w:left w:val="single" w:sz="4" w:space="0" w:color="auto"/>
              <w:bottom w:val="single" w:sz="4" w:space="0" w:color="auto"/>
              <w:right w:val="nil"/>
            </w:tcBorders>
            <w:shd w:val="clear" w:color="auto" w:fill="auto"/>
            <w:noWrap/>
            <w:vAlign w:val="center"/>
            <w:hideMark/>
          </w:tcPr>
          <w:p w14:paraId="015C88F7" w14:textId="77777777" w:rsidR="00387142" w:rsidRPr="008B6A75" w:rsidRDefault="00387142" w:rsidP="00387142">
            <w:pPr>
              <w:jc w:val="center"/>
              <w:rPr>
                <w:sz w:val="20"/>
                <w:szCs w:val="20"/>
              </w:rPr>
            </w:pPr>
            <w:r w:rsidRPr="008B6A75">
              <w:rPr>
                <w:sz w:val="20"/>
                <w:szCs w:val="20"/>
              </w:rPr>
              <w:t>99.0.00.74860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5FF0EA5" w14:textId="77777777" w:rsidR="00387142" w:rsidRPr="008B6A75" w:rsidRDefault="00387142" w:rsidP="00387142">
            <w:pPr>
              <w:jc w:val="center"/>
              <w:rPr>
                <w:sz w:val="20"/>
                <w:szCs w:val="20"/>
              </w:rPr>
            </w:pPr>
            <w:r w:rsidRPr="008B6A75">
              <w:rPr>
                <w:sz w:val="20"/>
                <w:szCs w:val="20"/>
              </w:rPr>
              <w:t>240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4E1C282" w14:textId="77777777" w:rsidR="00387142" w:rsidRPr="008B6A75" w:rsidRDefault="00387142" w:rsidP="00387142">
            <w:pPr>
              <w:jc w:val="right"/>
              <w:rPr>
                <w:sz w:val="20"/>
                <w:szCs w:val="20"/>
              </w:rPr>
            </w:pPr>
            <w:r w:rsidRPr="008B6A75">
              <w:rPr>
                <w:sz w:val="20"/>
                <w:szCs w:val="20"/>
              </w:rPr>
              <w:t>69 646,80</w:t>
            </w:r>
          </w:p>
        </w:tc>
        <w:tc>
          <w:tcPr>
            <w:tcW w:w="992" w:type="dxa"/>
            <w:tcBorders>
              <w:top w:val="nil"/>
              <w:left w:val="single" w:sz="4" w:space="0" w:color="auto"/>
              <w:bottom w:val="single" w:sz="4" w:space="0" w:color="auto"/>
              <w:right w:val="nil"/>
            </w:tcBorders>
            <w:shd w:val="clear" w:color="auto" w:fill="auto"/>
            <w:vAlign w:val="center"/>
            <w:hideMark/>
          </w:tcPr>
          <w:p w14:paraId="53EFD01D" w14:textId="77777777" w:rsidR="00387142" w:rsidRPr="008B6A75" w:rsidRDefault="00387142" w:rsidP="00387142">
            <w:pPr>
              <w:jc w:val="right"/>
              <w:rPr>
                <w:sz w:val="20"/>
                <w:szCs w:val="20"/>
              </w:rPr>
            </w:pPr>
            <w:r w:rsidRPr="008B6A75">
              <w:rPr>
                <w:sz w:val="20"/>
                <w:szCs w:val="20"/>
              </w:rPr>
              <w:t>69 700,00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320FCF0A" w14:textId="77777777" w:rsidR="00387142" w:rsidRPr="008B6A75" w:rsidRDefault="00387142" w:rsidP="00387142">
            <w:pPr>
              <w:jc w:val="right"/>
              <w:rPr>
                <w:sz w:val="20"/>
                <w:szCs w:val="20"/>
              </w:rPr>
            </w:pPr>
            <w:r w:rsidRPr="008B6A75">
              <w:rPr>
                <w:sz w:val="20"/>
                <w:szCs w:val="20"/>
              </w:rPr>
              <w:t>69 700,00</w:t>
            </w:r>
          </w:p>
        </w:tc>
      </w:tr>
      <w:tr w:rsidR="00387142" w:rsidRPr="008B6A75" w14:paraId="3277ECB0" w14:textId="77777777" w:rsidTr="00387142">
        <w:trPr>
          <w:trHeight w:val="1440"/>
        </w:trPr>
        <w:tc>
          <w:tcPr>
            <w:tcW w:w="3261" w:type="dxa"/>
            <w:tcBorders>
              <w:top w:val="nil"/>
              <w:left w:val="single" w:sz="4" w:space="0" w:color="auto"/>
              <w:bottom w:val="single" w:sz="4" w:space="0" w:color="auto"/>
              <w:right w:val="nil"/>
            </w:tcBorders>
            <w:shd w:val="clear" w:color="auto" w:fill="auto"/>
            <w:vAlign w:val="center"/>
            <w:hideMark/>
          </w:tcPr>
          <w:p w14:paraId="78D0F1C5" w14:textId="77777777" w:rsidR="00387142" w:rsidRPr="008B6A75" w:rsidRDefault="00387142" w:rsidP="00387142">
            <w:pPr>
              <w:rPr>
                <w:bCs/>
                <w:sz w:val="20"/>
                <w:szCs w:val="20"/>
              </w:rPr>
            </w:pPr>
            <w:r w:rsidRPr="008B6A75">
              <w:rPr>
                <w:bCs/>
                <w:sz w:val="20"/>
                <w:szCs w:val="20"/>
              </w:rPr>
              <w:t>Реализация мероприятий по обеспечению жильем молодых семей государственной программы Новосибирской области "Обеспечение жильем молодых семей в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14:paraId="02D7F9BF" w14:textId="77777777" w:rsidR="00387142" w:rsidRPr="008B6A75" w:rsidRDefault="00387142" w:rsidP="00387142">
            <w:pPr>
              <w:jc w:val="center"/>
              <w:rPr>
                <w:bCs/>
                <w:sz w:val="20"/>
                <w:szCs w:val="20"/>
              </w:rPr>
            </w:pPr>
            <w:r w:rsidRPr="008B6A75">
              <w:rPr>
                <w:bCs/>
                <w:sz w:val="20"/>
                <w:szCs w:val="20"/>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294CC82" w14:textId="77777777" w:rsidR="00387142" w:rsidRPr="008B6A75" w:rsidRDefault="00387142" w:rsidP="00387142">
            <w:pPr>
              <w:jc w:val="center"/>
              <w:rPr>
                <w:bCs/>
                <w:sz w:val="20"/>
                <w:szCs w:val="20"/>
              </w:rPr>
            </w:pPr>
            <w:r w:rsidRPr="008B6A75">
              <w:rPr>
                <w:bCs/>
                <w:sz w:val="20"/>
                <w:szCs w:val="20"/>
              </w:rPr>
              <w:t>03</w:t>
            </w:r>
          </w:p>
        </w:tc>
        <w:tc>
          <w:tcPr>
            <w:tcW w:w="1516" w:type="dxa"/>
            <w:tcBorders>
              <w:top w:val="nil"/>
              <w:left w:val="single" w:sz="4" w:space="0" w:color="auto"/>
              <w:bottom w:val="single" w:sz="4" w:space="0" w:color="auto"/>
              <w:right w:val="nil"/>
            </w:tcBorders>
            <w:shd w:val="clear" w:color="auto" w:fill="auto"/>
            <w:noWrap/>
            <w:vAlign w:val="center"/>
            <w:hideMark/>
          </w:tcPr>
          <w:p w14:paraId="117672F2" w14:textId="77777777" w:rsidR="00387142" w:rsidRPr="008B6A75" w:rsidRDefault="00387142" w:rsidP="00387142">
            <w:pPr>
              <w:jc w:val="center"/>
              <w:rPr>
                <w:bCs/>
                <w:sz w:val="20"/>
                <w:szCs w:val="20"/>
              </w:rPr>
            </w:pPr>
            <w:r w:rsidRPr="008B6A75">
              <w:rPr>
                <w:bCs/>
                <w:sz w:val="20"/>
                <w:szCs w:val="20"/>
              </w:rPr>
              <w:t>99.0.00.L4979</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8245E9F"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64EAFC8" w14:textId="77777777" w:rsidR="00387142" w:rsidRPr="008B6A75" w:rsidRDefault="00387142" w:rsidP="00387142">
            <w:pPr>
              <w:jc w:val="right"/>
              <w:rPr>
                <w:bCs/>
                <w:sz w:val="20"/>
                <w:szCs w:val="20"/>
              </w:rPr>
            </w:pPr>
            <w:r w:rsidRPr="008B6A75">
              <w:rPr>
                <w:bCs/>
                <w:sz w:val="20"/>
                <w:szCs w:val="20"/>
              </w:rPr>
              <w:t>2 201 300,00</w:t>
            </w:r>
          </w:p>
        </w:tc>
        <w:tc>
          <w:tcPr>
            <w:tcW w:w="992" w:type="dxa"/>
            <w:tcBorders>
              <w:top w:val="nil"/>
              <w:left w:val="single" w:sz="4" w:space="0" w:color="auto"/>
              <w:bottom w:val="single" w:sz="4" w:space="0" w:color="auto"/>
              <w:right w:val="nil"/>
            </w:tcBorders>
            <w:shd w:val="clear" w:color="auto" w:fill="auto"/>
            <w:vAlign w:val="center"/>
            <w:hideMark/>
          </w:tcPr>
          <w:p w14:paraId="43BA8A6F" w14:textId="77777777" w:rsidR="00387142" w:rsidRPr="008B6A75" w:rsidRDefault="00387142" w:rsidP="00387142">
            <w:pPr>
              <w:jc w:val="right"/>
              <w:rPr>
                <w:bCs/>
                <w:sz w:val="20"/>
                <w:szCs w:val="20"/>
              </w:rPr>
            </w:pPr>
            <w:r w:rsidRPr="008B6A75">
              <w:rPr>
                <w:bCs/>
                <w:sz w:val="20"/>
                <w:szCs w:val="20"/>
              </w:rPr>
              <w:t>2 296 200,00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665DAB0D" w14:textId="77777777" w:rsidR="00387142" w:rsidRPr="008B6A75" w:rsidRDefault="00387142" w:rsidP="00387142">
            <w:pPr>
              <w:jc w:val="right"/>
              <w:rPr>
                <w:bCs/>
                <w:sz w:val="20"/>
                <w:szCs w:val="20"/>
              </w:rPr>
            </w:pPr>
            <w:r w:rsidRPr="008B6A75">
              <w:rPr>
                <w:bCs/>
                <w:sz w:val="20"/>
                <w:szCs w:val="20"/>
              </w:rPr>
              <w:t>2 804 000,00</w:t>
            </w:r>
          </w:p>
        </w:tc>
      </w:tr>
      <w:tr w:rsidR="00387142" w:rsidRPr="008B6A75" w14:paraId="7B9AD51E" w14:textId="77777777" w:rsidTr="00387142">
        <w:trPr>
          <w:trHeight w:val="585"/>
        </w:trPr>
        <w:tc>
          <w:tcPr>
            <w:tcW w:w="3261" w:type="dxa"/>
            <w:tcBorders>
              <w:top w:val="nil"/>
              <w:left w:val="single" w:sz="4" w:space="0" w:color="auto"/>
              <w:bottom w:val="single" w:sz="4" w:space="0" w:color="auto"/>
              <w:right w:val="nil"/>
            </w:tcBorders>
            <w:shd w:val="clear" w:color="auto" w:fill="auto"/>
            <w:vAlign w:val="center"/>
            <w:hideMark/>
          </w:tcPr>
          <w:p w14:paraId="3DBFE30B" w14:textId="77777777" w:rsidR="00387142" w:rsidRPr="008B6A75" w:rsidRDefault="00387142" w:rsidP="00387142">
            <w:pPr>
              <w:rPr>
                <w:sz w:val="20"/>
                <w:szCs w:val="20"/>
              </w:rPr>
            </w:pPr>
            <w:r w:rsidRPr="008B6A75">
              <w:rPr>
                <w:sz w:val="20"/>
                <w:szCs w:val="20"/>
              </w:rPr>
              <w:t>Социальное обеспечение и иные выплаты населению</w:t>
            </w:r>
          </w:p>
        </w:tc>
        <w:tc>
          <w:tcPr>
            <w:tcW w:w="720" w:type="dxa"/>
            <w:tcBorders>
              <w:top w:val="nil"/>
              <w:left w:val="single" w:sz="4" w:space="0" w:color="auto"/>
              <w:bottom w:val="single" w:sz="4" w:space="0" w:color="auto"/>
              <w:right w:val="nil"/>
            </w:tcBorders>
            <w:shd w:val="clear" w:color="auto" w:fill="auto"/>
            <w:noWrap/>
            <w:vAlign w:val="center"/>
            <w:hideMark/>
          </w:tcPr>
          <w:p w14:paraId="0576054D" w14:textId="77777777" w:rsidR="00387142" w:rsidRPr="008B6A75" w:rsidRDefault="00387142" w:rsidP="00387142">
            <w:pPr>
              <w:jc w:val="center"/>
              <w:rPr>
                <w:sz w:val="20"/>
                <w:szCs w:val="20"/>
              </w:rPr>
            </w:pPr>
            <w:r w:rsidRPr="008B6A75">
              <w:rPr>
                <w:sz w:val="20"/>
                <w:szCs w:val="20"/>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BB60875" w14:textId="77777777" w:rsidR="00387142" w:rsidRPr="008B6A75" w:rsidRDefault="00387142" w:rsidP="00387142">
            <w:pPr>
              <w:jc w:val="center"/>
              <w:rPr>
                <w:sz w:val="20"/>
                <w:szCs w:val="20"/>
              </w:rPr>
            </w:pPr>
            <w:r w:rsidRPr="008B6A75">
              <w:rPr>
                <w:sz w:val="20"/>
                <w:szCs w:val="20"/>
              </w:rPr>
              <w:t>03</w:t>
            </w:r>
          </w:p>
        </w:tc>
        <w:tc>
          <w:tcPr>
            <w:tcW w:w="1516" w:type="dxa"/>
            <w:tcBorders>
              <w:top w:val="nil"/>
              <w:left w:val="single" w:sz="4" w:space="0" w:color="auto"/>
              <w:bottom w:val="single" w:sz="4" w:space="0" w:color="auto"/>
              <w:right w:val="nil"/>
            </w:tcBorders>
            <w:shd w:val="clear" w:color="auto" w:fill="auto"/>
            <w:noWrap/>
            <w:vAlign w:val="center"/>
            <w:hideMark/>
          </w:tcPr>
          <w:p w14:paraId="316F2DCC" w14:textId="77777777" w:rsidR="00387142" w:rsidRPr="008B6A75" w:rsidRDefault="00387142" w:rsidP="00387142">
            <w:pPr>
              <w:jc w:val="center"/>
              <w:rPr>
                <w:sz w:val="20"/>
                <w:szCs w:val="20"/>
              </w:rPr>
            </w:pPr>
            <w:r w:rsidRPr="008B6A75">
              <w:rPr>
                <w:sz w:val="20"/>
                <w:szCs w:val="20"/>
              </w:rPr>
              <w:t>99.0.00.L4979</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13CB4EB" w14:textId="77777777" w:rsidR="00387142" w:rsidRPr="008B6A75" w:rsidRDefault="00387142" w:rsidP="00387142">
            <w:pPr>
              <w:jc w:val="center"/>
              <w:rPr>
                <w:sz w:val="20"/>
                <w:szCs w:val="20"/>
              </w:rPr>
            </w:pPr>
            <w:r w:rsidRPr="008B6A75">
              <w:rPr>
                <w:sz w:val="20"/>
                <w:szCs w:val="20"/>
              </w:rPr>
              <w:t>300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0F54BA0" w14:textId="77777777" w:rsidR="00387142" w:rsidRPr="008B6A75" w:rsidRDefault="00387142" w:rsidP="00387142">
            <w:pPr>
              <w:jc w:val="right"/>
              <w:rPr>
                <w:sz w:val="20"/>
                <w:szCs w:val="20"/>
              </w:rPr>
            </w:pPr>
            <w:r w:rsidRPr="008B6A75">
              <w:rPr>
                <w:sz w:val="20"/>
                <w:szCs w:val="20"/>
              </w:rPr>
              <w:t>2 201 300,00</w:t>
            </w:r>
          </w:p>
        </w:tc>
        <w:tc>
          <w:tcPr>
            <w:tcW w:w="992" w:type="dxa"/>
            <w:tcBorders>
              <w:top w:val="nil"/>
              <w:left w:val="single" w:sz="4" w:space="0" w:color="auto"/>
              <w:bottom w:val="single" w:sz="4" w:space="0" w:color="auto"/>
              <w:right w:val="nil"/>
            </w:tcBorders>
            <w:shd w:val="clear" w:color="auto" w:fill="auto"/>
            <w:vAlign w:val="center"/>
            <w:hideMark/>
          </w:tcPr>
          <w:p w14:paraId="3D631211" w14:textId="77777777" w:rsidR="00387142" w:rsidRPr="008B6A75" w:rsidRDefault="00387142" w:rsidP="00387142">
            <w:pPr>
              <w:jc w:val="right"/>
              <w:rPr>
                <w:sz w:val="20"/>
                <w:szCs w:val="20"/>
              </w:rPr>
            </w:pPr>
            <w:r w:rsidRPr="008B6A75">
              <w:rPr>
                <w:sz w:val="20"/>
                <w:szCs w:val="20"/>
              </w:rPr>
              <w:t>2 296 200,00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1CB8E0F5" w14:textId="77777777" w:rsidR="00387142" w:rsidRPr="008B6A75" w:rsidRDefault="00387142" w:rsidP="00387142">
            <w:pPr>
              <w:jc w:val="right"/>
              <w:rPr>
                <w:sz w:val="20"/>
                <w:szCs w:val="20"/>
              </w:rPr>
            </w:pPr>
            <w:r w:rsidRPr="008B6A75">
              <w:rPr>
                <w:sz w:val="20"/>
                <w:szCs w:val="20"/>
              </w:rPr>
              <w:t>2 804 000,00</w:t>
            </w:r>
          </w:p>
        </w:tc>
      </w:tr>
      <w:tr w:rsidR="00387142" w:rsidRPr="008B6A75" w14:paraId="427571DD" w14:textId="77777777" w:rsidTr="00387142">
        <w:trPr>
          <w:trHeight w:val="585"/>
        </w:trPr>
        <w:tc>
          <w:tcPr>
            <w:tcW w:w="3261" w:type="dxa"/>
            <w:tcBorders>
              <w:top w:val="nil"/>
              <w:left w:val="single" w:sz="4" w:space="0" w:color="auto"/>
              <w:bottom w:val="single" w:sz="4" w:space="0" w:color="auto"/>
              <w:right w:val="nil"/>
            </w:tcBorders>
            <w:shd w:val="clear" w:color="auto" w:fill="auto"/>
            <w:vAlign w:val="center"/>
            <w:hideMark/>
          </w:tcPr>
          <w:p w14:paraId="7DEECFFD" w14:textId="77777777" w:rsidR="00387142" w:rsidRPr="008B6A75" w:rsidRDefault="00387142" w:rsidP="00387142">
            <w:pPr>
              <w:rPr>
                <w:sz w:val="20"/>
                <w:szCs w:val="20"/>
              </w:rPr>
            </w:pPr>
            <w:r w:rsidRPr="008B6A75">
              <w:rPr>
                <w:sz w:val="20"/>
                <w:szCs w:val="20"/>
              </w:rPr>
              <w:t>Социальные выплаты гражданам, кроме публичных нормативных социальных выплат</w:t>
            </w:r>
          </w:p>
        </w:tc>
        <w:tc>
          <w:tcPr>
            <w:tcW w:w="720" w:type="dxa"/>
            <w:tcBorders>
              <w:top w:val="nil"/>
              <w:left w:val="single" w:sz="4" w:space="0" w:color="auto"/>
              <w:bottom w:val="single" w:sz="4" w:space="0" w:color="auto"/>
              <w:right w:val="nil"/>
            </w:tcBorders>
            <w:shd w:val="clear" w:color="auto" w:fill="auto"/>
            <w:noWrap/>
            <w:vAlign w:val="center"/>
            <w:hideMark/>
          </w:tcPr>
          <w:p w14:paraId="4DAE12EC" w14:textId="77777777" w:rsidR="00387142" w:rsidRPr="008B6A75" w:rsidRDefault="00387142" w:rsidP="00387142">
            <w:pPr>
              <w:jc w:val="center"/>
              <w:rPr>
                <w:sz w:val="20"/>
                <w:szCs w:val="20"/>
              </w:rPr>
            </w:pPr>
            <w:r w:rsidRPr="008B6A75">
              <w:rPr>
                <w:sz w:val="20"/>
                <w:szCs w:val="20"/>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A18C4DF" w14:textId="77777777" w:rsidR="00387142" w:rsidRPr="008B6A75" w:rsidRDefault="00387142" w:rsidP="00387142">
            <w:pPr>
              <w:jc w:val="center"/>
              <w:rPr>
                <w:sz w:val="20"/>
                <w:szCs w:val="20"/>
              </w:rPr>
            </w:pPr>
            <w:r w:rsidRPr="008B6A75">
              <w:rPr>
                <w:sz w:val="20"/>
                <w:szCs w:val="20"/>
              </w:rPr>
              <w:t>03</w:t>
            </w:r>
          </w:p>
        </w:tc>
        <w:tc>
          <w:tcPr>
            <w:tcW w:w="1516" w:type="dxa"/>
            <w:tcBorders>
              <w:top w:val="nil"/>
              <w:left w:val="single" w:sz="4" w:space="0" w:color="auto"/>
              <w:bottom w:val="single" w:sz="4" w:space="0" w:color="auto"/>
              <w:right w:val="nil"/>
            </w:tcBorders>
            <w:shd w:val="clear" w:color="auto" w:fill="auto"/>
            <w:noWrap/>
            <w:vAlign w:val="center"/>
            <w:hideMark/>
          </w:tcPr>
          <w:p w14:paraId="13457063" w14:textId="77777777" w:rsidR="00387142" w:rsidRPr="008B6A75" w:rsidRDefault="00387142" w:rsidP="00387142">
            <w:pPr>
              <w:jc w:val="center"/>
              <w:rPr>
                <w:sz w:val="20"/>
                <w:szCs w:val="20"/>
              </w:rPr>
            </w:pPr>
            <w:r w:rsidRPr="008B6A75">
              <w:rPr>
                <w:sz w:val="20"/>
                <w:szCs w:val="20"/>
              </w:rPr>
              <w:t>99.0.00.L4979</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9F5437B" w14:textId="77777777" w:rsidR="00387142" w:rsidRPr="008B6A75" w:rsidRDefault="00387142" w:rsidP="00387142">
            <w:pPr>
              <w:jc w:val="center"/>
              <w:rPr>
                <w:sz w:val="20"/>
                <w:szCs w:val="20"/>
              </w:rPr>
            </w:pPr>
            <w:r w:rsidRPr="008B6A75">
              <w:rPr>
                <w:sz w:val="20"/>
                <w:szCs w:val="20"/>
              </w:rPr>
              <w:t>320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12AA466" w14:textId="77777777" w:rsidR="00387142" w:rsidRPr="008B6A75" w:rsidRDefault="00387142" w:rsidP="00387142">
            <w:pPr>
              <w:jc w:val="right"/>
              <w:rPr>
                <w:sz w:val="20"/>
                <w:szCs w:val="20"/>
              </w:rPr>
            </w:pPr>
            <w:r w:rsidRPr="008B6A75">
              <w:rPr>
                <w:sz w:val="20"/>
                <w:szCs w:val="20"/>
              </w:rPr>
              <w:t>2 201 300,00</w:t>
            </w:r>
          </w:p>
        </w:tc>
        <w:tc>
          <w:tcPr>
            <w:tcW w:w="992" w:type="dxa"/>
            <w:tcBorders>
              <w:top w:val="nil"/>
              <w:left w:val="single" w:sz="4" w:space="0" w:color="auto"/>
              <w:bottom w:val="single" w:sz="4" w:space="0" w:color="auto"/>
              <w:right w:val="nil"/>
            </w:tcBorders>
            <w:shd w:val="clear" w:color="auto" w:fill="auto"/>
            <w:vAlign w:val="center"/>
            <w:hideMark/>
          </w:tcPr>
          <w:p w14:paraId="5BF180F2" w14:textId="77777777" w:rsidR="00387142" w:rsidRPr="008B6A75" w:rsidRDefault="00387142" w:rsidP="00387142">
            <w:pPr>
              <w:jc w:val="right"/>
              <w:rPr>
                <w:sz w:val="20"/>
                <w:szCs w:val="20"/>
              </w:rPr>
            </w:pPr>
            <w:r w:rsidRPr="008B6A75">
              <w:rPr>
                <w:sz w:val="20"/>
                <w:szCs w:val="20"/>
              </w:rPr>
              <w:t>2 296 200,00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5AEC9DFA" w14:textId="77777777" w:rsidR="00387142" w:rsidRPr="008B6A75" w:rsidRDefault="00387142" w:rsidP="00387142">
            <w:pPr>
              <w:jc w:val="right"/>
              <w:rPr>
                <w:sz w:val="20"/>
                <w:szCs w:val="20"/>
              </w:rPr>
            </w:pPr>
            <w:r w:rsidRPr="008B6A75">
              <w:rPr>
                <w:sz w:val="20"/>
                <w:szCs w:val="20"/>
              </w:rPr>
              <w:t>2 804 000,00</w:t>
            </w:r>
          </w:p>
        </w:tc>
      </w:tr>
      <w:tr w:rsidR="00387142" w:rsidRPr="008B6A75" w14:paraId="0F63B4AA" w14:textId="77777777" w:rsidTr="00387142">
        <w:trPr>
          <w:trHeight w:val="345"/>
        </w:trPr>
        <w:tc>
          <w:tcPr>
            <w:tcW w:w="3261" w:type="dxa"/>
            <w:tcBorders>
              <w:top w:val="nil"/>
              <w:left w:val="single" w:sz="4" w:space="0" w:color="auto"/>
              <w:bottom w:val="single" w:sz="4" w:space="0" w:color="auto"/>
              <w:right w:val="nil"/>
            </w:tcBorders>
            <w:shd w:val="clear" w:color="auto" w:fill="auto"/>
            <w:vAlign w:val="center"/>
            <w:hideMark/>
          </w:tcPr>
          <w:p w14:paraId="2E9DF04C" w14:textId="77777777" w:rsidR="00387142" w:rsidRPr="008B6A75" w:rsidRDefault="00387142" w:rsidP="00387142">
            <w:pPr>
              <w:rPr>
                <w:bCs/>
                <w:sz w:val="20"/>
                <w:szCs w:val="20"/>
              </w:rPr>
            </w:pPr>
            <w:r w:rsidRPr="008B6A75">
              <w:rPr>
                <w:bCs/>
                <w:sz w:val="20"/>
                <w:szCs w:val="20"/>
              </w:rPr>
              <w:t>Охрана семьи и детства</w:t>
            </w:r>
          </w:p>
        </w:tc>
        <w:tc>
          <w:tcPr>
            <w:tcW w:w="720" w:type="dxa"/>
            <w:tcBorders>
              <w:top w:val="nil"/>
              <w:left w:val="single" w:sz="4" w:space="0" w:color="auto"/>
              <w:bottom w:val="single" w:sz="4" w:space="0" w:color="auto"/>
              <w:right w:val="nil"/>
            </w:tcBorders>
            <w:shd w:val="clear" w:color="auto" w:fill="auto"/>
            <w:noWrap/>
            <w:vAlign w:val="center"/>
            <w:hideMark/>
          </w:tcPr>
          <w:p w14:paraId="7C18523F" w14:textId="77777777" w:rsidR="00387142" w:rsidRPr="008B6A75" w:rsidRDefault="00387142" w:rsidP="00387142">
            <w:pPr>
              <w:jc w:val="center"/>
              <w:rPr>
                <w:bCs/>
                <w:sz w:val="20"/>
                <w:szCs w:val="20"/>
              </w:rPr>
            </w:pPr>
            <w:r w:rsidRPr="008B6A75">
              <w:rPr>
                <w:bCs/>
                <w:sz w:val="20"/>
                <w:szCs w:val="20"/>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C183565" w14:textId="77777777" w:rsidR="00387142" w:rsidRPr="008B6A75" w:rsidRDefault="00387142" w:rsidP="00387142">
            <w:pPr>
              <w:jc w:val="center"/>
              <w:rPr>
                <w:bCs/>
                <w:sz w:val="20"/>
                <w:szCs w:val="20"/>
              </w:rPr>
            </w:pPr>
            <w:r w:rsidRPr="008B6A75">
              <w:rPr>
                <w:bCs/>
                <w:sz w:val="20"/>
                <w:szCs w:val="20"/>
              </w:rPr>
              <w:t>04</w:t>
            </w:r>
          </w:p>
        </w:tc>
        <w:tc>
          <w:tcPr>
            <w:tcW w:w="1516" w:type="dxa"/>
            <w:tcBorders>
              <w:top w:val="nil"/>
              <w:left w:val="single" w:sz="4" w:space="0" w:color="auto"/>
              <w:bottom w:val="single" w:sz="4" w:space="0" w:color="auto"/>
              <w:right w:val="nil"/>
            </w:tcBorders>
            <w:shd w:val="clear" w:color="auto" w:fill="auto"/>
            <w:noWrap/>
            <w:vAlign w:val="center"/>
            <w:hideMark/>
          </w:tcPr>
          <w:p w14:paraId="57C53CEE" w14:textId="77777777" w:rsidR="00387142" w:rsidRPr="008B6A75" w:rsidRDefault="00387142" w:rsidP="00387142">
            <w:pPr>
              <w:jc w:val="center"/>
              <w:rPr>
                <w:bCs/>
                <w:sz w:val="20"/>
                <w:szCs w:val="20"/>
              </w:rPr>
            </w:pPr>
            <w:r w:rsidRPr="008B6A75">
              <w:rPr>
                <w:bCs/>
                <w:sz w:val="20"/>
                <w:szCs w:val="20"/>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4BF5D1D"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C63F587" w14:textId="77777777" w:rsidR="00387142" w:rsidRPr="008B6A75" w:rsidRDefault="00387142" w:rsidP="00387142">
            <w:pPr>
              <w:jc w:val="right"/>
              <w:rPr>
                <w:bCs/>
                <w:sz w:val="20"/>
                <w:szCs w:val="20"/>
              </w:rPr>
            </w:pPr>
            <w:r w:rsidRPr="008B6A75">
              <w:rPr>
                <w:bCs/>
                <w:sz w:val="20"/>
                <w:szCs w:val="20"/>
              </w:rPr>
              <w:t>125 018 532,23</w:t>
            </w:r>
          </w:p>
        </w:tc>
        <w:tc>
          <w:tcPr>
            <w:tcW w:w="992" w:type="dxa"/>
            <w:tcBorders>
              <w:top w:val="nil"/>
              <w:left w:val="single" w:sz="4" w:space="0" w:color="auto"/>
              <w:bottom w:val="single" w:sz="4" w:space="0" w:color="auto"/>
              <w:right w:val="nil"/>
            </w:tcBorders>
            <w:shd w:val="clear" w:color="auto" w:fill="auto"/>
            <w:vAlign w:val="center"/>
            <w:hideMark/>
          </w:tcPr>
          <w:p w14:paraId="21CF2DA3" w14:textId="77777777" w:rsidR="00387142" w:rsidRPr="008B6A75" w:rsidRDefault="00387142" w:rsidP="00387142">
            <w:pPr>
              <w:jc w:val="right"/>
              <w:rPr>
                <w:bCs/>
                <w:sz w:val="20"/>
                <w:szCs w:val="20"/>
              </w:rPr>
            </w:pPr>
            <w:r w:rsidRPr="008B6A75">
              <w:rPr>
                <w:bCs/>
                <w:sz w:val="20"/>
                <w:szCs w:val="20"/>
              </w:rPr>
              <w:t>137 768 200,00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241687C7" w14:textId="77777777" w:rsidR="00387142" w:rsidRPr="008B6A75" w:rsidRDefault="00387142" w:rsidP="00387142">
            <w:pPr>
              <w:jc w:val="right"/>
              <w:rPr>
                <w:bCs/>
                <w:sz w:val="20"/>
                <w:szCs w:val="20"/>
              </w:rPr>
            </w:pPr>
            <w:r w:rsidRPr="008B6A75">
              <w:rPr>
                <w:bCs/>
                <w:sz w:val="20"/>
                <w:szCs w:val="20"/>
              </w:rPr>
              <w:t>100 969 800,00</w:t>
            </w:r>
          </w:p>
        </w:tc>
      </w:tr>
      <w:tr w:rsidR="00387142" w:rsidRPr="008B6A75" w14:paraId="112B9498" w14:textId="77777777" w:rsidTr="00387142">
        <w:trPr>
          <w:trHeight w:val="345"/>
        </w:trPr>
        <w:tc>
          <w:tcPr>
            <w:tcW w:w="3261" w:type="dxa"/>
            <w:tcBorders>
              <w:top w:val="nil"/>
              <w:left w:val="single" w:sz="4" w:space="0" w:color="auto"/>
              <w:bottom w:val="single" w:sz="4" w:space="0" w:color="auto"/>
              <w:right w:val="nil"/>
            </w:tcBorders>
            <w:shd w:val="clear" w:color="auto" w:fill="auto"/>
            <w:vAlign w:val="center"/>
            <w:hideMark/>
          </w:tcPr>
          <w:p w14:paraId="7F16894A" w14:textId="77777777" w:rsidR="00387142" w:rsidRPr="008B6A75" w:rsidRDefault="00387142" w:rsidP="00387142">
            <w:pPr>
              <w:rPr>
                <w:bCs/>
                <w:sz w:val="20"/>
                <w:szCs w:val="20"/>
              </w:rPr>
            </w:pPr>
            <w:r w:rsidRPr="008B6A75">
              <w:rPr>
                <w:bCs/>
                <w:sz w:val="20"/>
                <w:szCs w:val="20"/>
              </w:rPr>
              <w:t>Непрограммные направления бюджета</w:t>
            </w:r>
          </w:p>
        </w:tc>
        <w:tc>
          <w:tcPr>
            <w:tcW w:w="720" w:type="dxa"/>
            <w:tcBorders>
              <w:top w:val="nil"/>
              <w:left w:val="single" w:sz="4" w:space="0" w:color="auto"/>
              <w:bottom w:val="single" w:sz="4" w:space="0" w:color="auto"/>
              <w:right w:val="nil"/>
            </w:tcBorders>
            <w:shd w:val="clear" w:color="auto" w:fill="auto"/>
            <w:noWrap/>
            <w:vAlign w:val="center"/>
            <w:hideMark/>
          </w:tcPr>
          <w:p w14:paraId="1E9DCA2E" w14:textId="77777777" w:rsidR="00387142" w:rsidRPr="008B6A75" w:rsidRDefault="00387142" w:rsidP="00387142">
            <w:pPr>
              <w:jc w:val="center"/>
              <w:rPr>
                <w:bCs/>
                <w:sz w:val="20"/>
                <w:szCs w:val="20"/>
              </w:rPr>
            </w:pPr>
            <w:r w:rsidRPr="008B6A75">
              <w:rPr>
                <w:bCs/>
                <w:sz w:val="20"/>
                <w:szCs w:val="20"/>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6620893" w14:textId="77777777" w:rsidR="00387142" w:rsidRPr="008B6A75" w:rsidRDefault="00387142" w:rsidP="00387142">
            <w:pPr>
              <w:jc w:val="center"/>
              <w:rPr>
                <w:bCs/>
                <w:sz w:val="20"/>
                <w:szCs w:val="20"/>
              </w:rPr>
            </w:pPr>
            <w:r w:rsidRPr="008B6A75">
              <w:rPr>
                <w:bCs/>
                <w:sz w:val="20"/>
                <w:szCs w:val="20"/>
              </w:rPr>
              <w:t>04</w:t>
            </w:r>
          </w:p>
        </w:tc>
        <w:tc>
          <w:tcPr>
            <w:tcW w:w="1516" w:type="dxa"/>
            <w:tcBorders>
              <w:top w:val="nil"/>
              <w:left w:val="single" w:sz="4" w:space="0" w:color="auto"/>
              <w:bottom w:val="single" w:sz="4" w:space="0" w:color="auto"/>
              <w:right w:val="nil"/>
            </w:tcBorders>
            <w:shd w:val="clear" w:color="auto" w:fill="auto"/>
            <w:noWrap/>
            <w:vAlign w:val="center"/>
            <w:hideMark/>
          </w:tcPr>
          <w:p w14:paraId="19EFBC48" w14:textId="77777777" w:rsidR="00387142" w:rsidRPr="008B6A75" w:rsidRDefault="00387142" w:rsidP="00387142">
            <w:pPr>
              <w:jc w:val="center"/>
              <w:rPr>
                <w:bCs/>
                <w:sz w:val="20"/>
                <w:szCs w:val="20"/>
              </w:rPr>
            </w:pPr>
            <w:r w:rsidRPr="008B6A75">
              <w:rPr>
                <w:bCs/>
                <w:sz w:val="20"/>
                <w:szCs w:val="20"/>
              </w:rPr>
              <w:t>99.0.00.00000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D16D792"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058C579" w14:textId="77777777" w:rsidR="00387142" w:rsidRPr="008B6A75" w:rsidRDefault="00387142" w:rsidP="00387142">
            <w:pPr>
              <w:jc w:val="right"/>
              <w:rPr>
                <w:bCs/>
                <w:sz w:val="20"/>
                <w:szCs w:val="20"/>
              </w:rPr>
            </w:pPr>
            <w:r w:rsidRPr="008B6A75">
              <w:rPr>
                <w:bCs/>
                <w:sz w:val="20"/>
                <w:szCs w:val="20"/>
              </w:rPr>
              <w:t>125 018 532,23</w:t>
            </w:r>
          </w:p>
        </w:tc>
        <w:tc>
          <w:tcPr>
            <w:tcW w:w="992" w:type="dxa"/>
            <w:tcBorders>
              <w:top w:val="nil"/>
              <w:left w:val="single" w:sz="4" w:space="0" w:color="auto"/>
              <w:bottom w:val="single" w:sz="4" w:space="0" w:color="auto"/>
              <w:right w:val="nil"/>
            </w:tcBorders>
            <w:shd w:val="clear" w:color="auto" w:fill="auto"/>
            <w:vAlign w:val="center"/>
            <w:hideMark/>
          </w:tcPr>
          <w:p w14:paraId="389C66BC" w14:textId="77777777" w:rsidR="00387142" w:rsidRPr="008B6A75" w:rsidRDefault="00387142" w:rsidP="00387142">
            <w:pPr>
              <w:jc w:val="right"/>
              <w:rPr>
                <w:bCs/>
                <w:sz w:val="20"/>
                <w:szCs w:val="20"/>
              </w:rPr>
            </w:pPr>
            <w:r w:rsidRPr="008B6A75">
              <w:rPr>
                <w:bCs/>
                <w:sz w:val="20"/>
                <w:szCs w:val="20"/>
              </w:rPr>
              <w:t>137 768 200,00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631E017A" w14:textId="77777777" w:rsidR="00387142" w:rsidRPr="008B6A75" w:rsidRDefault="00387142" w:rsidP="00387142">
            <w:pPr>
              <w:jc w:val="right"/>
              <w:rPr>
                <w:bCs/>
                <w:sz w:val="20"/>
                <w:szCs w:val="20"/>
              </w:rPr>
            </w:pPr>
            <w:r w:rsidRPr="008B6A75">
              <w:rPr>
                <w:bCs/>
                <w:sz w:val="20"/>
                <w:szCs w:val="20"/>
              </w:rPr>
              <w:t>100 969 800,00</w:t>
            </w:r>
          </w:p>
        </w:tc>
      </w:tr>
      <w:tr w:rsidR="00387142" w:rsidRPr="008B6A75" w14:paraId="58367D6C" w14:textId="77777777" w:rsidTr="00387142">
        <w:trPr>
          <w:trHeight w:val="1440"/>
        </w:trPr>
        <w:tc>
          <w:tcPr>
            <w:tcW w:w="3261" w:type="dxa"/>
            <w:tcBorders>
              <w:top w:val="nil"/>
              <w:left w:val="single" w:sz="4" w:space="0" w:color="auto"/>
              <w:bottom w:val="single" w:sz="4" w:space="0" w:color="auto"/>
              <w:right w:val="nil"/>
            </w:tcBorders>
            <w:shd w:val="clear" w:color="auto" w:fill="auto"/>
            <w:vAlign w:val="center"/>
            <w:hideMark/>
          </w:tcPr>
          <w:p w14:paraId="4FF03494" w14:textId="77777777" w:rsidR="00387142" w:rsidRPr="008B6A75" w:rsidRDefault="00387142" w:rsidP="00387142">
            <w:pPr>
              <w:rPr>
                <w:bCs/>
                <w:sz w:val="20"/>
                <w:szCs w:val="20"/>
              </w:rPr>
            </w:pPr>
            <w:r w:rsidRPr="008B6A75">
              <w:rPr>
                <w:bCs/>
                <w:sz w:val="20"/>
                <w:szCs w:val="2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720" w:type="dxa"/>
            <w:tcBorders>
              <w:top w:val="nil"/>
              <w:left w:val="single" w:sz="4" w:space="0" w:color="auto"/>
              <w:bottom w:val="single" w:sz="4" w:space="0" w:color="auto"/>
              <w:right w:val="nil"/>
            </w:tcBorders>
            <w:shd w:val="clear" w:color="auto" w:fill="auto"/>
            <w:noWrap/>
            <w:vAlign w:val="center"/>
            <w:hideMark/>
          </w:tcPr>
          <w:p w14:paraId="4D1DF5CB" w14:textId="77777777" w:rsidR="00387142" w:rsidRPr="008B6A75" w:rsidRDefault="00387142" w:rsidP="00387142">
            <w:pPr>
              <w:jc w:val="center"/>
              <w:rPr>
                <w:bCs/>
                <w:sz w:val="20"/>
                <w:szCs w:val="20"/>
              </w:rPr>
            </w:pPr>
            <w:r w:rsidRPr="008B6A75">
              <w:rPr>
                <w:bCs/>
                <w:sz w:val="20"/>
                <w:szCs w:val="20"/>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16B5965" w14:textId="77777777" w:rsidR="00387142" w:rsidRPr="008B6A75" w:rsidRDefault="00387142" w:rsidP="00387142">
            <w:pPr>
              <w:jc w:val="center"/>
              <w:rPr>
                <w:bCs/>
                <w:sz w:val="20"/>
                <w:szCs w:val="20"/>
              </w:rPr>
            </w:pPr>
            <w:r w:rsidRPr="008B6A75">
              <w:rPr>
                <w:bCs/>
                <w:sz w:val="20"/>
                <w:szCs w:val="20"/>
              </w:rPr>
              <w:t>04</w:t>
            </w:r>
          </w:p>
        </w:tc>
        <w:tc>
          <w:tcPr>
            <w:tcW w:w="1516" w:type="dxa"/>
            <w:tcBorders>
              <w:top w:val="nil"/>
              <w:left w:val="single" w:sz="4" w:space="0" w:color="auto"/>
              <w:bottom w:val="single" w:sz="4" w:space="0" w:color="auto"/>
              <w:right w:val="nil"/>
            </w:tcBorders>
            <w:shd w:val="clear" w:color="auto" w:fill="auto"/>
            <w:noWrap/>
            <w:vAlign w:val="center"/>
            <w:hideMark/>
          </w:tcPr>
          <w:p w14:paraId="5E5139B4" w14:textId="77777777" w:rsidR="00387142" w:rsidRPr="008B6A75" w:rsidRDefault="00387142" w:rsidP="00387142">
            <w:pPr>
              <w:jc w:val="center"/>
              <w:rPr>
                <w:bCs/>
                <w:sz w:val="20"/>
                <w:szCs w:val="20"/>
              </w:rPr>
            </w:pPr>
            <w:r w:rsidRPr="008B6A75">
              <w:rPr>
                <w:bCs/>
                <w:sz w:val="20"/>
                <w:szCs w:val="20"/>
              </w:rPr>
              <w:t>99.0.00.70139</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D1F8934"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DDF6F6C" w14:textId="77777777" w:rsidR="00387142" w:rsidRPr="008B6A75" w:rsidRDefault="00387142" w:rsidP="00387142">
            <w:pPr>
              <w:jc w:val="right"/>
              <w:rPr>
                <w:bCs/>
                <w:sz w:val="20"/>
                <w:szCs w:val="20"/>
              </w:rPr>
            </w:pPr>
            <w:r w:rsidRPr="008B6A75">
              <w:rPr>
                <w:bCs/>
                <w:sz w:val="20"/>
                <w:szCs w:val="20"/>
              </w:rPr>
              <w:t>2 254 527,00</w:t>
            </w:r>
          </w:p>
        </w:tc>
        <w:tc>
          <w:tcPr>
            <w:tcW w:w="992" w:type="dxa"/>
            <w:tcBorders>
              <w:top w:val="nil"/>
              <w:left w:val="single" w:sz="4" w:space="0" w:color="auto"/>
              <w:bottom w:val="single" w:sz="4" w:space="0" w:color="auto"/>
              <w:right w:val="nil"/>
            </w:tcBorders>
            <w:shd w:val="clear" w:color="auto" w:fill="auto"/>
            <w:vAlign w:val="center"/>
            <w:hideMark/>
          </w:tcPr>
          <w:p w14:paraId="2FC272DA" w14:textId="77777777" w:rsidR="00387142" w:rsidRPr="008B6A75" w:rsidRDefault="00387142" w:rsidP="00387142">
            <w:pPr>
              <w:jc w:val="right"/>
              <w:rPr>
                <w:bCs/>
                <w:sz w:val="20"/>
                <w:szCs w:val="20"/>
              </w:rPr>
            </w:pPr>
            <w:r w:rsidRPr="008B6A75">
              <w:rPr>
                <w:bCs/>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51BCEF55" w14:textId="77777777" w:rsidR="00387142" w:rsidRPr="008B6A75" w:rsidRDefault="00387142" w:rsidP="00387142">
            <w:pPr>
              <w:jc w:val="right"/>
              <w:rPr>
                <w:bCs/>
                <w:sz w:val="20"/>
                <w:szCs w:val="20"/>
              </w:rPr>
            </w:pPr>
            <w:r w:rsidRPr="008B6A75">
              <w:rPr>
                <w:bCs/>
                <w:sz w:val="20"/>
                <w:szCs w:val="20"/>
              </w:rPr>
              <w:t>0,00</w:t>
            </w:r>
          </w:p>
        </w:tc>
      </w:tr>
      <w:tr w:rsidR="00387142" w:rsidRPr="008B6A75" w14:paraId="332F246D" w14:textId="77777777" w:rsidTr="00387142">
        <w:trPr>
          <w:trHeight w:val="585"/>
        </w:trPr>
        <w:tc>
          <w:tcPr>
            <w:tcW w:w="3261" w:type="dxa"/>
            <w:tcBorders>
              <w:top w:val="nil"/>
              <w:left w:val="single" w:sz="4" w:space="0" w:color="auto"/>
              <w:bottom w:val="single" w:sz="4" w:space="0" w:color="auto"/>
              <w:right w:val="nil"/>
            </w:tcBorders>
            <w:shd w:val="clear" w:color="auto" w:fill="auto"/>
            <w:vAlign w:val="center"/>
            <w:hideMark/>
          </w:tcPr>
          <w:p w14:paraId="3D768781" w14:textId="77777777" w:rsidR="00387142" w:rsidRPr="008B6A75" w:rsidRDefault="00387142" w:rsidP="00387142">
            <w:pPr>
              <w:rPr>
                <w:sz w:val="20"/>
                <w:szCs w:val="20"/>
              </w:rPr>
            </w:pPr>
            <w:r w:rsidRPr="008B6A75">
              <w:rPr>
                <w:sz w:val="20"/>
                <w:szCs w:val="20"/>
              </w:rPr>
              <w:t>Социальное обеспечение и иные выплаты населению</w:t>
            </w:r>
          </w:p>
        </w:tc>
        <w:tc>
          <w:tcPr>
            <w:tcW w:w="720" w:type="dxa"/>
            <w:tcBorders>
              <w:top w:val="nil"/>
              <w:left w:val="single" w:sz="4" w:space="0" w:color="auto"/>
              <w:bottom w:val="single" w:sz="4" w:space="0" w:color="auto"/>
              <w:right w:val="nil"/>
            </w:tcBorders>
            <w:shd w:val="clear" w:color="auto" w:fill="auto"/>
            <w:noWrap/>
            <w:vAlign w:val="center"/>
            <w:hideMark/>
          </w:tcPr>
          <w:p w14:paraId="07392F97" w14:textId="77777777" w:rsidR="00387142" w:rsidRPr="008B6A75" w:rsidRDefault="00387142" w:rsidP="00387142">
            <w:pPr>
              <w:jc w:val="center"/>
              <w:rPr>
                <w:sz w:val="20"/>
                <w:szCs w:val="20"/>
              </w:rPr>
            </w:pPr>
            <w:r w:rsidRPr="008B6A75">
              <w:rPr>
                <w:sz w:val="20"/>
                <w:szCs w:val="20"/>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7E37186" w14:textId="77777777" w:rsidR="00387142" w:rsidRPr="008B6A75" w:rsidRDefault="00387142" w:rsidP="00387142">
            <w:pPr>
              <w:jc w:val="center"/>
              <w:rPr>
                <w:sz w:val="20"/>
                <w:szCs w:val="20"/>
              </w:rPr>
            </w:pPr>
            <w:r w:rsidRPr="008B6A75">
              <w:rPr>
                <w:sz w:val="20"/>
                <w:szCs w:val="20"/>
              </w:rPr>
              <w:t>04</w:t>
            </w:r>
          </w:p>
        </w:tc>
        <w:tc>
          <w:tcPr>
            <w:tcW w:w="1516" w:type="dxa"/>
            <w:tcBorders>
              <w:top w:val="nil"/>
              <w:left w:val="single" w:sz="4" w:space="0" w:color="auto"/>
              <w:bottom w:val="single" w:sz="4" w:space="0" w:color="auto"/>
              <w:right w:val="nil"/>
            </w:tcBorders>
            <w:shd w:val="clear" w:color="auto" w:fill="auto"/>
            <w:noWrap/>
            <w:vAlign w:val="center"/>
            <w:hideMark/>
          </w:tcPr>
          <w:p w14:paraId="2B86E7F7" w14:textId="77777777" w:rsidR="00387142" w:rsidRPr="008B6A75" w:rsidRDefault="00387142" w:rsidP="00387142">
            <w:pPr>
              <w:jc w:val="center"/>
              <w:rPr>
                <w:sz w:val="20"/>
                <w:szCs w:val="20"/>
              </w:rPr>
            </w:pPr>
            <w:r w:rsidRPr="008B6A75">
              <w:rPr>
                <w:sz w:val="20"/>
                <w:szCs w:val="20"/>
              </w:rPr>
              <w:t>99.0.00.70139</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17DB0BD" w14:textId="77777777" w:rsidR="00387142" w:rsidRPr="008B6A75" w:rsidRDefault="00387142" w:rsidP="00387142">
            <w:pPr>
              <w:jc w:val="center"/>
              <w:rPr>
                <w:sz w:val="20"/>
                <w:szCs w:val="20"/>
              </w:rPr>
            </w:pPr>
            <w:r w:rsidRPr="008B6A75">
              <w:rPr>
                <w:sz w:val="20"/>
                <w:szCs w:val="20"/>
              </w:rPr>
              <w:t>300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DF243D5" w14:textId="77777777" w:rsidR="00387142" w:rsidRPr="008B6A75" w:rsidRDefault="00387142" w:rsidP="00387142">
            <w:pPr>
              <w:jc w:val="right"/>
              <w:rPr>
                <w:sz w:val="20"/>
                <w:szCs w:val="20"/>
              </w:rPr>
            </w:pPr>
            <w:r w:rsidRPr="008B6A75">
              <w:rPr>
                <w:sz w:val="20"/>
                <w:szCs w:val="20"/>
              </w:rPr>
              <w:t>2 254 527,00</w:t>
            </w:r>
          </w:p>
        </w:tc>
        <w:tc>
          <w:tcPr>
            <w:tcW w:w="992" w:type="dxa"/>
            <w:tcBorders>
              <w:top w:val="nil"/>
              <w:left w:val="single" w:sz="4" w:space="0" w:color="auto"/>
              <w:bottom w:val="single" w:sz="4" w:space="0" w:color="auto"/>
              <w:right w:val="nil"/>
            </w:tcBorders>
            <w:shd w:val="clear" w:color="auto" w:fill="auto"/>
            <w:vAlign w:val="center"/>
            <w:hideMark/>
          </w:tcPr>
          <w:p w14:paraId="52214846" w14:textId="77777777" w:rsidR="00387142" w:rsidRPr="008B6A75" w:rsidRDefault="00387142" w:rsidP="00387142">
            <w:pPr>
              <w:jc w:val="right"/>
              <w:rPr>
                <w:sz w:val="20"/>
                <w:szCs w:val="20"/>
              </w:rPr>
            </w:pPr>
            <w:r w:rsidRPr="008B6A75">
              <w:rPr>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61DE960C" w14:textId="77777777" w:rsidR="00387142" w:rsidRPr="008B6A75" w:rsidRDefault="00387142" w:rsidP="00387142">
            <w:pPr>
              <w:jc w:val="right"/>
              <w:rPr>
                <w:sz w:val="20"/>
                <w:szCs w:val="20"/>
              </w:rPr>
            </w:pPr>
            <w:r w:rsidRPr="008B6A75">
              <w:rPr>
                <w:sz w:val="20"/>
                <w:szCs w:val="20"/>
              </w:rPr>
              <w:t>0,00</w:t>
            </w:r>
          </w:p>
        </w:tc>
      </w:tr>
      <w:tr w:rsidR="00387142" w:rsidRPr="008B6A75" w14:paraId="31E75DBE" w14:textId="77777777" w:rsidTr="00387142">
        <w:trPr>
          <w:trHeight w:val="585"/>
        </w:trPr>
        <w:tc>
          <w:tcPr>
            <w:tcW w:w="3261" w:type="dxa"/>
            <w:tcBorders>
              <w:top w:val="nil"/>
              <w:left w:val="single" w:sz="4" w:space="0" w:color="auto"/>
              <w:bottom w:val="single" w:sz="4" w:space="0" w:color="auto"/>
              <w:right w:val="nil"/>
            </w:tcBorders>
            <w:shd w:val="clear" w:color="auto" w:fill="auto"/>
            <w:vAlign w:val="center"/>
            <w:hideMark/>
          </w:tcPr>
          <w:p w14:paraId="329529D0" w14:textId="77777777" w:rsidR="00387142" w:rsidRPr="008B6A75" w:rsidRDefault="00387142" w:rsidP="00387142">
            <w:pPr>
              <w:rPr>
                <w:sz w:val="20"/>
                <w:szCs w:val="20"/>
              </w:rPr>
            </w:pPr>
            <w:r w:rsidRPr="008B6A75">
              <w:rPr>
                <w:sz w:val="20"/>
                <w:szCs w:val="20"/>
              </w:rPr>
              <w:lastRenderedPageBreak/>
              <w:t>Социальные выплаты гражданам, кроме публичных нормативных социальных выплат</w:t>
            </w:r>
          </w:p>
        </w:tc>
        <w:tc>
          <w:tcPr>
            <w:tcW w:w="720" w:type="dxa"/>
            <w:tcBorders>
              <w:top w:val="nil"/>
              <w:left w:val="single" w:sz="4" w:space="0" w:color="auto"/>
              <w:bottom w:val="single" w:sz="4" w:space="0" w:color="auto"/>
              <w:right w:val="nil"/>
            </w:tcBorders>
            <w:shd w:val="clear" w:color="auto" w:fill="auto"/>
            <w:noWrap/>
            <w:vAlign w:val="center"/>
            <w:hideMark/>
          </w:tcPr>
          <w:p w14:paraId="1F71DD97" w14:textId="77777777" w:rsidR="00387142" w:rsidRPr="008B6A75" w:rsidRDefault="00387142" w:rsidP="00387142">
            <w:pPr>
              <w:jc w:val="center"/>
              <w:rPr>
                <w:sz w:val="20"/>
                <w:szCs w:val="20"/>
              </w:rPr>
            </w:pPr>
            <w:r w:rsidRPr="008B6A75">
              <w:rPr>
                <w:sz w:val="20"/>
                <w:szCs w:val="20"/>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E4EB934" w14:textId="77777777" w:rsidR="00387142" w:rsidRPr="008B6A75" w:rsidRDefault="00387142" w:rsidP="00387142">
            <w:pPr>
              <w:jc w:val="center"/>
              <w:rPr>
                <w:sz w:val="20"/>
                <w:szCs w:val="20"/>
              </w:rPr>
            </w:pPr>
            <w:r w:rsidRPr="008B6A75">
              <w:rPr>
                <w:sz w:val="20"/>
                <w:szCs w:val="20"/>
              </w:rPr>
              <w:t>04</w:t>
            </w:r>
          </w:p>
        </w:tc>
        <w:tc>
          <w:tcPr>
            <w:tcW w:w="1516" w:type="dxa"/>
            <w:tcBorders>
              <w:top w:val="nil"/>
              <w:left w:val="single" w:sz="4" w:space="0" w:color="auto"/>
              <w:bottom w:val="single" w:sz="4" w:space="0" w:color="auto"/>
              <w:right w:val="nil"/>
            </w:tcBorders>
            <w:shd w:val="clear" w:color="auto" w:fill="auto"/>
            <w:noWrap/>
            <w:vAlign w:val="center"/>
            <w:hideMark/>
          </w:tcPr>
          <w:p w14:paraId="5D23E771" w14:textId="77777777" w:rsidR="00387142" w:rsidRPr="008B6A75" w:rsidRDefault="00387142" w:rsidP="00387142">
            <w:pPr>
              <w:jc w:val="center"/>
              <w:rPr>
                <w:sz w:val="20"/>
                <w:szCs w:val="20"/>
              </w:rPr>
            </w:pPr>
            <w:r w:rsidRPr="008B6A75">
              <w:rPr>
                <w:sz w:val="20"/>
                <w:szCs w:val="20"/>
              </w:rPr>
              <w:t>99.0.00.70139</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572B517" w14:textId="77777777" w:rsidR="00387142" w:rsidRPr="008B6A75" w:rsidRDefault="00387142" w:rsidP="00387142">
            <w:pPr>
              <w:jc w:val="center"/>
              <w:rPr>
                <w:sz w:val="20"/>
                <w:szCs w:val="20"/>
              </w:rPr>
            </w:pPr>
            <w:r w:rsidRPr="008B6A75">
              <w:rPr>
                <w:sz w:val="20"/>
                <w:szCs w:val="20"/>
              </w:rPr>
              <w:t>320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C9A016E" w14:textId="77777777" w:rsidR="00387142" w:rsidRPr="008B6A75" w:rsidRDefault="00387142" w:rsidP="00387142">
            <w:pPr>
              <w:jc w:val="right"/>
              <w:rPr>
                <w:sz w:val="20"/>
                <w:szCs w:val="20"/>
              </w:rPr>
            </w:pPr>
            <w:r w:rsidRPr="008B6A75">
              <w:rPr>
                <w:sz w:val="20"/>
                <w:szCs w:val="20"/>
              </w:rPr>
              <w:t>2 254 527,00</w:t>
            </w:r>
          </w:p>
        </w:tc>
        <w:tc>
          <w:tcPr>
            <w:tcW w:w="992" w:type="dxa"/>
            <w:tcBorders>
              <w:top w:val="nil"/>
              <w:left w:val="single" w:sz="4" w:space="0" w:color="auto"/>
              <w:bottom w:val="single" w:sz="4" w:space="0" w:color="auto"/>
              <w:right w:val="nil"/>
            </w:tcBorders>
            <w:shd w:val="clear" w:color="auto" w:fill="auto"/>
            <w:vAlign w:val="center"/>
            <w:hideMark/>
          </w:tcPr>
          <w:p w14:paraId="1B35BD25" w14:textId="77777777" w:rsidR="00387142" w:rsidRPr="008B6A75" w:rsidRDefault="00387142" w:rsidP="00387142">
            <w:pPr>
              <w:jc w:val="right"/>
              <w:rPr>
                <w:sz w:val="20"/>
                <w:szCs w:val="20"/>
              </w:rPr>
            </w:pPr>
            <w:r w:rsidRPr="008B6A75">
              <w:rPr>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77A5E24B" w14:textId="77777777" w:rsidR="00387142" w:rsidRPr="008B6A75" w:rsidRDefault="00387142" w:rsidP="00387142">
            <w:pPr>
              <w:jc w:val="right"/>
              <w:rPr>
                <w:sz w:val="20"/>
                <w:szCs w:val="20"/>
              </w:rPr>
            </w:pPr>
            <w:r w:rsidRPr="008B6A75">
              <w:rPr>
                <w:sz w:val="20"/>
                <w:szCs w:val="20"/>
              </w:rPr>
              <w:t>0,00</w:t>
            </w:r>
          </w:p>
        </w:tc>
      </w:tr>
      <w:tr w:rsidR="00387142" w:rsidRPr="008B6A75" w14:paraId="00139079" w14:textId="77777777" w:rsidTr="00387142">
        <w:trPr>
          <w:trHeight w:val="1155"/>
        </w:trPr>
        <w:tc>
          <w:tcPr>
            <w:tcW w:w="3261" w:type="dxa"/>
            <w:tcBorders>
              <w:top w:val="nil"/>
              <w:left w:val="single" w:sz="4" w:space="0" w:color="auto"/>
              <w:bottom w:val="single" w:sz="4" w:space="0" w:color="auto"/>
              <w:right w:val="nil"/>
            </w:tcBorders>
            <w:shd w:val="clear" w:color="auto" w:fill="auto"/>
            <w:vAlign w:val="center"/>
            <w:hideMark/>
          </w:tcPr>
          <w:p w14:paraId="14041DAA" w14:textId="77777777" w:rsidR="00387142" w:rsidRPr="008B6A75" w:rsidRDefault="00387142" w:rsidP="00387142">
            <w:pPr>
              <w:rPr>
                <w:bCs/>
                <w:sz w:val="20"/>
                <w:szCs w:val="20"/>
              </w:rPr>
            </w:pPr>
            <w:r w:rsidRPr="008B6A75">
              <w:rPr>
                <w:bCs/>
                <w:sz w:val="20"/>
                <w:szCs w:val="20"/>
              </w:rPr>
              <w:t>Организация и осуществление деятельности по опеке и попечительству, социальной поддержке детей-сирот и детей, оставшихся без попечения родителей</w:t>
            </w:r>
          </w:p>
        </w:tc>
        <w:tc>
          <w:tcPr>
            <w:tcW w:w="720" w:type="dxa"/>
            <w:tcBorders>
              <w:top w:val="nil"/>
              <w:left w:val="single" w:sz="4" w:space="0" w:color="auto"/>
              <w:bottom w:val="single" w:sz="4" w:space="0" w:color="auto"/>
              <w:right w:val="nil"/>
            </w:tcBorders>
            <w:shd w:val="clear" w:color="auto" w:fill="auto"/>
            <w:noWrap/>
            <w:vAlign w:val="center"/>
            <w:hideMark/>
          </w:tcPr>
          <w:p w14:paraId="7CF2BBDA" w14:textId="77777777" w:rsidR="00387142" w:rsidRPr="008B6A75" w:rsidRDefault="00387142" w:rsidP="00387142">
            <w:pPr>
              <w:jc w:val="center"/>
              <w:rPr>
                <w:bCs/>
                <w:sz w:val="20"/>
                <w:szCs w:val="20"/>
              </w:rPr>
            </w:pPr>
            <w:r w:rsidRPr="008B6A75">
              <w:rPr>
                <w:bCs/>
                <w:sz w:val="20"/>
                <w:szCs w:val="20"/>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71D83C6" w14:textId="77777777" w:rsidR="00387142" w:rsidRPr="008B6A75" w:rsidRDefault="00387142" w:rsidP="00387142">
            <w:pPr>
              <w:jc w:val="center"/>
              <w:rPr>
                <w:bCs/>
                <w:sz w:val="20"/>
                <w:szCs w:val="20"/>
              </w:rPr>
            </w:pPr>
            <w:r w:rsidRPr="008B6A75">
              <w:rPr>
                <w:bCs/>
                <w:sz w:val="20"/>
                <w:szCs w:val="20"/>
              </w:rPr>
              <w:t>04</w:t>
            </w:r>
          </w:p>
        </w:tc>
        <w:tc>
          <w:tcPr>
            <w:tcW w:w="1516" w:type="dxa"/>
            <w:tcBorders>
              <w:top w:val="nil"/>
              <w:left w:val="single" w:sz="4" w:space="0" w:color="auto"/>
              <w:bottom w:val="single" w:sz="4" w:space="0" w:color="auto"/>
              <w:right w:val="nil"/>
            </w:tcBorders>
            <w:shd w:val="clear" w:color="auto" w:fill="auto"/>
            <w:noWrap/>
            <w:vAlign w:val="center"/>
            <w:hideMark/>
          </w:tcPr>
          <w:p w14:paraId="1254F3DC" w14:textId="77777777" w:rsidR="00387142" w:rsidRPr="008B6A75" w:rsidRDefault="00387142" w:rsidP="00387142">
            <w:pPr>
              <w:jc w:val="center"/>
              <w:rPr>
                <w:bCs/>
                <w:sz w:val="20"/>
                <w:szCs w:val="20"/>
              </w:rPr>
            </w:pPr>
            <w:r w:rsidRPr="008B6A75">
              <w:rPr>
                <w:bCs/>
                <w:sz w:val="20"/>
                <w:szCs w:val="20"/>
              </w:rPr>
              <w:t>99.0.00.70289</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01C09D9"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EB2BC40" w14:textId="77777777" w:rsidR="00387142" w:rsidRPr="008B6A75" w:rsidRDefault="00387142" w:rsidP="00387142">
            <w:pPr>
              <w:jc w:val="right"/>
              <w:rPr>
                <w:bCs/>
                <w:sz w:val="20"/>
                <w:szCs w:val="20"/>
              </w:rPr>
            </w:pPr>
            <w:r w:rsidRPr="008B6A75">
              <w:rPr>
                <w:bCs/>
                <w:sz w:val="20"/>
                <w:szCs w:val="20"/>
              </w:rPr>
              <w:t>37 043 305,23</w:t>
            </w:r>
          </w:p>
        </w:tc>
        <w:tc>
          <w:tcPr>
            <w:tcW w:w="992" w:type="dxa"/>
            <w:tcBorders>
              <w:top w:val="nil"/>
              <w:left w:val="single" w:sz="4" w:space="0" w:color="auto"/>
              <w:bottom w:val="single" w:sz="4" w:space="0" w:color="auto"/>
              <w:right w:val="nil"/>
            </w:tcBorders>
            <w:shd w:val="clear" w:color="auto" w:fill="auto"/>
            <w:vAlign w:val="center"/>
            <w:hideMark/>
          </w:tcPr>
          <w:p w14:paraId="19ECA4BD" w14:textId="77777777" w:rsidR="00387142" w:rsidRPr="008B6A75" w:rsidRDefault="00387142" w:rsidP="00387142">
            <w:pPr>
              <w:jc w:val="right"/>
              <w:rPr>
                <w:bCs/>
                <w:sz w:val="20"/>
                <w:szCs w:val="20"/>
              </w:rPr>
            </w:pPr>
            <w:r w:rsidRPr="008B6A75">
              <w:rPr>
                <w:bCs/>
                <w:sz w:val="20"/>
                <w:szCs w:val="20"/>
              </w:rPr>
              <w:t>35 865 100,00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2678B70F" w14:textId="77777777" w:rsidR="00387142" w:rsidRPr="008B6A75" w:rsidRDefault="00387142" w:rsidP="00387142">
            <w:pPr>
              <w:jc w:val="right"/>
              <w:rPr>
                <w:bCs/>
                <w:sz w:val="20"/>
                <w:szCs w:val="20"/>
              </w:rPr>
            </w:pPr>
            <w:r w:rsidRPr="008B6A75">
              <w:rPr>
                <w:bCs/>
                <w:sz w:val="20"/>
                <w:szCs w:val="20"/>
              </w:rPr>
              <w:t>35 865 100,00</w:t>
            </w:r>
          </w:p>
        </w:tc>
      </w:tr>
      <w:tr w:rsidR="00387142" w:rsidRPr="008B6A75" w14:paraId="101D1BB1" w14:textId="77777777" w:rsidTr="00387142">
        <w:trPr>
          <w:trHeight w:val="585"/>
        </w:trPr>
        <w:tc>
          <w:tcPr>
            <w:tcW w:w="3261" w:type="dxa"/>
            <w:tcBorders>
              <w:top w:val="nil"/>
              <w:left w:val="single" w:sz="4" w:space="0" w:color="auto"/>
              <w:bottom w:val="single" w:sz="4" w:space="0" w:color="auto"/>
              <w:right w:val="nil"/>
            </w:tcBorders>
            <w:shd w:val="clear" w:color="auto" w:fill="auto"/>
            <w:vAlign w:val="center"/>
            <w:hideMark/>
          </w:tcPr>
          <w:p w14:paraId="099A1327" w14:textId="77777777" w:rsidR="00387142" w:rsidRPr="008B6A75" w:rsidRDefault="00387142" w:rsidP="00387142">
            <w:pPr>
              <w:rPr>
                <w:sz w:val="20"/>
                <w:szCs w:val="20"/>
              </w:rPr>
            </w:pPr>
            <w:r w:rsidRPr="008B6A75">
              <w:rPr>
                <w:sz w:val="20"/>
                <w:szCs w:val="20"/>
              </w:rPr>
              <w:t>Социальное обеспечение и иные выплаты населению</w:t>
            </w:r>
          </w:p>
        </w:tc>
        <w:tc>
          <w:tcPr>
            <w:tcW w:w="720" w:type="dxa"/>
            <w:tcBorders>
              <w:top w:val="nil"/>
              <w:left w:val="single" w:sz="4" w:space="0" w:color="auto"/>
              <w:bottom w:val="single" w:sz="4" w:space="0" w:color="auto"/>
              <w:right w:val="nil"/>
            </w:tcBorders>
            <w:shd w:val="clear" w:color="auto" w:fill="auto"/>
            <w:noWrap/>
            <w:vAlign w:val="center"/>
            <w:hideMark/>
          </w:tcPr>
          <w:p w14:paraId="76DD848D" w14:textId="77777777" w:rsidR="00387142" w:rsidRPr="008B6A75" w:rsidRDefault="00387142" w:rsidP="00387142">
            <w:pPr>
              <w:jc w:val="center"/>
              <w:rPr>
                <w:sz w:val="20"/>
                <w:szCs w:val="20"/>
              </w:rPr>
            </w:pPr>
            <w:r w:rsidRPr="008B6A75">
              <w:rPr>
                <w:sz w:val="20"/>
                <w:szCs w:val="20"/>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B33045D" w14:textId="77777777" w:rsidR="00387142" w:rsidRPr="008B6A75" w:rsidRDefault="00387142" w:rsidP="00387142">
            <w:pPr>
              <w:jc w:val="center"/>
              <w:rPr>
                <w:sz w:val="20"/>
                <w:szCs w:val="20"/>
              </w:rPr>
            </w:pPr>
            <w:r w:rsidRPr="008B6A75">
              <w:rPr>
                <w:sz w:val="20"/>
                <w:szCs w:val="20"/>
              </w:rPr>
              <w:t>04</w:t>
            </w:r>
          </w:p>
        </w:tc>
        <w:tc>
          <w:tcPr>
            <w:tcW w:w="1516" w:type="dxa"/>
            <w:tcBorders>
              <w:top w:val="nil"/>
              <w:left w:val="single" w:sz="4" w:space="0" w:color="auto"/>
              <w:bottom w:val="single" w:sz="4" w:space="0" w:color="auto"/>
              <w:right w:val="nil"/>
            </w:tcBorders>
            <w:shd w:val="clear" w:color="auto" w:fill="auto"/>
            <w:noWrap/>
            <w:vAlign w:val="center"/>
            <w:hideMark/>
          </w:tcPr>
          <w:p w14:paraId="5F3B1DDA" w14:textId="77777777" w:rsidR="00387142" w:rsidRPr="008B6A75" w:rsidRDefault="00387142" w:rsidP="00387142">
            <w:pPr>
              <w:jc w:val="center"/>
              <w:rPr>
                <w:sz w:val="20"/>
                <w:szCs w:val="20"/>
              </w:rPr>
            </w:pPr>
            <w:r w:rsidRPr="008B6A75">
              <w:rPr>
                <w:sz w:val="20"/>
                <w:szCs w:val="20"/>
              </w:rPr>
              <w:t>99.0.00.70289</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9F52BA1" w14:textId="77777777" w:rsidR="00387142" w:rsidRPr="008B6A75" w:rsidRDefault="00387142" w:rsidP="00387142">
            <w:pPr>
              <w:jc w:val="center"/>
              <w:rPr>
                <w:sz w:val="20"/>
                <w:szCs w:val="20"/>
              </w:rPr>
            </w:pPr>
            <w:r w:rsidRPr="008B6A75">
              <w:rPr>
                <w:sz w:val="20"/>
                <w:szCs w:val="20"/>
              </w:rPr>
              <w:t>300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D97ADDB" w14:textId="77777777" w:rsidR="00387142" w:rsidRPr="008B6A75" w:rsidRDefault="00387142" w:rsidP="00387142">
            <w:pPr>
              <w:jc w:val="right"/>
              <w:rPr>
                <w:sz w:val="20"/>
                <w:szCs w:val="20"/>
              </w:rPr>
            </w:pPr>
            <w:r w:rsidRPr="008B6A75">
              <w:rPr>
                <w:sz w:val="20"/>
                <w:szCs w:val="20"/>
              </w:rPr>
              <w:t>37 043 305,23</w:t>
            </w:r>
          </w:p>
        </w:tc>
        <w:tc>
          <w:tcPr>
            <w:tcW w:w="992" w:type="dxa"/>
            <w:tcBorders>
              <w:top w:val="nil"/>
              <w:left w:val="single" w:sz="4" w:space="0" w:color="auto"/>
              <w:bottom w:val="single" w:sz="4" w:space="0" w:color="auto"/>
              <w:right w:val="nil"/>
            </w:tcBorders>
            <w:shd w:val="clear" w:color="auto" w:fill="auto"/>
            <w:vAlign w:val="center"/>
            <w:hideMark/>
          </w:tcPr>
          <w:p w14:paraId="4EF599D4" w14:textId="77777777" w:rsidR="00387142" w:rsidRPr="008B6A75" w:rsidRDefault="00387142" w:rsidP="00387142">
            <w:pPr>
              <w:jc w:val="right"/>
              <w:rPr>
                <w:sz w:val="20"/>
                <w:szCs w:val="20"/>
              </w:rPr>
            </w:pPr>
            <w:r w:rsidRPr="008B6A75">
              <w:rPr>
                <w:sz w:val="20"/>
                <w:szCs w:val="20"/>
              </w:rPr>
              <w:t>35 865 100,00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3F1B29BD" w14:textId="77777777" w:rsidR="00387142" w:rsidRPr="008B6A75" w:rsidRDefault="00387142" w:rsidP="00387142">
            <w:pPr>
              <w:jc w:val="right"/>
              <w:rPr>
                <w:sz w:val="20"/>
                <w:szCs w:val="20"/>
              </w:rPr>
            </w:pPr>
            <w:r w:rsidRPr="008B6A75">
              <w:rPr>
                <w:sz w:val="20"/>
                <w:szCs w:val="20"/>
              </w:rPr>
              <w:t>35 865 100,00</w:t>
            </w:r>
          </w:p>
        </w:tc>
      </w:tr>
      <w:tr w:rsidR="00387142" w:rsidRPr="008B6A75" w14:paraId="30D78B21" w14:textId="77777777" w:rsidTr="00387142">
        <w:trPr>
          <w:trHeight w:val="585"/>
        </w:trPr>
        <w:tc>
          <w:tcPr>
            <w:tcW w:w="3261" w:type="dxa"/>
            <w:tcBorders>
              <w:top w:val="nil"/>
              <w:left w:val="single" w:sz="4" w:space="0" w:color="auto"/>
              <w:bottom w:val="single" w:sz="4" w:space="0" w:color="auto"/>
              <w:right w:val="nil"/>
            </w:tcBorders>
            <w:shd w:val="clear" w:color="auto" w:fill="auto"/>
            <w:vAlign w:val="center"/>
            <w:hideMark/>
          </w:tcPr>
          <w:p w14:paraId="47BC1B95" w14:textId="77777777" w:rsidR="00387142" w:rsidRPr="008B6A75" w:rsidRDefault="00387142" w:rsidP="00387142">
            <w:pPr>
              <w:rPr>
                <w:sz w:val="20"/>
                <w:szCs w:val="20"/>
              </w:rPr>
            </w:pPr>
            <w:r w:rsidRPr="008B6A75">
              <w:rPr>
                <w:sz w:val="20"/>
                <w:szCs w:val="20"/>
              </w:rPr>
              <w:t>Социальные выплаты гражданам, кроме публичных нормативных социальных выплат</w:t>
            </w:r>
          </w:p>
        </w:tc>
        <w:tc>
          <w:tcPr>
            <w:tcW w:w="720" w:type="dxa"/>
            <w:tcBorders>
              <w:top w:val="nil"/>
              <w:left w:val="single" w:sz="4" w:space="0" w:color="auto"/>
              <w:bottom w:val="single" w:sz="4" w:space="0" w:color="auto"/>
              <w:right w:val="nil"/>
            </w:tcBorders>
            <w:shd w:val="clear" w:color="auto" w:fill="auto"/>
            <w:noWrap/>
            <w:vAlign w:val="center"/>
            <w:hideMark/>
          </w:tcPr>
          <w:p w14:paraId="167B0B82" w14:textId="77777777" w:rsidR="00387142" w:rsidRPr="008B6A75" w:rsidRDefault="00387142" w:rsidP="00387142">
            <w:pPr>
              <w:jc w:val="center"/>
              <w:rPr>
                <w:sz w:val="20"/>
                <w:szCs w:val="20"/>
              </w:rPr>
            </w:pPr>
            <w:r w:rsidRPr="008B6A75">
              <w:rPr>
                <w:sz w:val="20"/>
                <w:szCs w:val="20"/>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9752EAE" w14:textId="77777777" w:rsidR="00387142" w:rsidRPr="008B6A75" w:rsidRDefault="00387142" w:rsidP="00387142">
            <w:pPr>
              <w:jc w:val="center"/>
              <w:rPr>
                <w:sz w:val="20"/>
                <w:szCs w:val="20"/>
              </w:rPr>
            </w:pPr>
            <w:r w:rsidRPr="008B6A75">
              <w:rPr>
                <w:sz w:val="20"/>
                <w:szCs w:val="20"/>
              </w:rPr>
              <w:t>04</w:t>
            </w:r>
          </w:p>
        </w:tc>
        <w:tc>
          <w:tcPr>
            <w:tcW w:w="1516" w:type="dxa"/>
            <w:tcBorders>
              <w:top w:val="nil"/>
              <w:left w:val="single" w:sz="4" w:space="0" w:color="auto"/>
              <w:bottom w:val="single" w:sz="4" w:space="0" w:color="auto"/>
              <w:right w:val="nil"/>
            </w:tcBorders>
            <w:shd w:val="clear" w:color="auto" w:fill="auto"/>
            <w:noWrap/>
            <w:vAlign w:val="center"/>
            <w:hideMark/>
          </w:tcPr>
          <w:p w14:paraId="6F8C8261" w14:textId="77777777" w:rsidR="00387142" w:rsidRPr="008B6A75" w:rsidRDefault="00387142" w:rsidP="00387142">
            <w:pPr>
              <w:jc w:val="center"/>
              <w:rPr>
                <w:sz w:val="20"/>
                <w:szCs w:val="20"/>
              </w:rPr>
            </w:pPr>
            <w:r w:rsidRPr="008B6A75">
              <w:rPr>
                <w:sz w:val="20"/>
                <w:szCs w:val="20"/>
              </w:rPr>
              <w:t>99.0.00.70289</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C72B3C7" w14:textId="77777777" w:rsidR="00387142" w:rsidRPr="008B6A75" w:rsidRDefault="00387142" w:rsidP="00387142">
            <w:pPr>
              <w:jc w:val="center"/>
              <w:rPr>
                <w:sz w:val="20"/>
                <w:szCs w:val="20"/>
              </w:rPr>
            </w:pPr>
            <w:r w:rsidRPr="008B6A75">
              <w:rPr>
                <w:sz w:val="20"/>
                <w:szCs w:val="20"/>
              </w:rPr>
              <w:t>320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767D2E7" w14:textId="77777777" w:rsidR="00387142" w:rsidRPr="008B6A75" w:rsidRDefault="00387142" w:rsidP="00387142">
            <w:pPr>
              <w:jc w:val="right"/>
              <w:rPr>
                <w:sz w:val="20"/>
                <w:szCs w:val="20"/>
              </w:rPr>
            </w:pPr>
            <w:r w:rsidRPr="008B6A75">
              <w:rPr>
                <w:sz w:val="20"/>
                <w:szCs w:val="20"/>
              </w:rPr>
              <w:t>37 043 305,23</w:t>
            </w:r>
          </w:p>
        </w:tc>
        <w:tc>
          <w:tcPr>
            <w:tcW w:w="992" w:type="dxa"/>
            <w:tcBorders>
              <w:top w:val="nil"/>
              <w:left w:val="single" w:sz="4" w:space="0" w:color="auto"/>
              <w:bottom w:val="single" w:sz="4" w:space="0" w:color="auto"/>
              <w:right w:val="nil"/>
            </w:tcBorders>
            <w:shd w:val="clear" w:color="auto" w:fill="auto"/>
            <w:vAlign w:val="center"/>
            <w:hideMark/>
          </w:tcPr>
          <w:p w14:paraId="4512BA44" w14:textId="77777777" w:rsidR="00387142" w:rsidRPr="008B6A75" w:rsidRDefault="00387142" w:rsidP="00387142">
            <w:pPr>
              <w:jc w:val="right"/>
              <w:rPr>
                <w:sz w:val="20"/>
                <w:szCs w:val="20"/>
              </w:rPr>
            </w:pPr>
            <w:r w:rsidRPr="008B6A75">
              <w:rPr>
                <w:sz w:val="20"/>
                <w:szCs w:val="20"/>
              </w:rPr>
              <w:t>35 865 100,00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7A808E14" w14:textId="77777777" w:rsidR="00387142" w:rsidRPr="008B6A75" w:rsidRDefault="00387142" w:rsidP="00387142">
            <w:pPr>
              <w:jc w:val="right"/>
              <w:rPr>
                <w:sz w:val="20"/>
                <w:szCs w:val="20"/>
              </w:rPr>
            </w:pPr>
            <w:r w:rsidRPr="008B6A75">
              <w:rPr>
                <w:sz w:val="20"/>
                <w:szCs w:val="20"/>
              </w:rPr>
              <w:t>35 865 100,00</w:t>
            </w:r>
          </w:p>
        </w:tc>
      </w:tr>
      <w:tr w:rsidR="00387142" w:rsidRPr="008B6A75" w14:paraId="0A2A3C77" w14:textId="77777777" w:rsidTr="00387142">
        <w:trPr>
          <w:trHeight w:val="1155"/>
        </w:trPr>
        <w:tc>
          <w:tcPr>
            <w:tcW w:w="3261" w:type="dxa"/>
            <w:tcBorders>
              <w:top w:val="nil"/>
              <w:left w:val="single" w:sz="4" w:space="0" w:color="auto"/>
              <w:bottom w:val="single" w:sz="4" w:space="0" w:color="auto"/>
              <w:right w:val="nil"/>
            </w:tcBorders>
            <w:shd w:val="clear" w:color="auto" w:fill="auto"/>
            <w:vAlign w:val="center"/>
            <w:hideMark/>
          </w:tcPr>
          <w:p w14:paraId="58014030" w14:textId="77777777" w:rsidR="00387142" w:rsidRPr="008B6A75" w:rsidRDefault="00387142" w:rsidP="00387142">
            <w:pPr>
              <w:rPr>
                <w:bCs/>
                <w:sz w:val="20"/>
                <w:szCs w:val="20"/>
              </w:rPr>
            </w:pPr>
            <w:r w:rsidRPr="008B6A75">
              <w:rPr>
                <w:bCs/>
                <w:sz w:val="20"/>
                <w:szCs w:val="20"/>
              </w:rPr>
              <w:t>Осуществление строительства жилых помещений с целью оказания государственной поддержки детям-сиротам и детям, оставшихся без попечения родителей</w:t>
            </w:r>
          </w:p>
        </w:tc>
        <w:tc>
          <w:tcPr>
            <w:tcW w:w="720" w:type="dxa"/>
            <w:tcBorders>
              <w:top w:val="nil"/>
              <w:left w:val="single" w:sz="4" w:space="0" w:color="auto"/>
              <w:bottom w:val="single" w:sz="4" w:space="0" w:color="auto"/>
              <w:right w:val="nil"/>
            </w:tcBorders>
            <w:shd w:val="clear" w:color="auto" w:fill="auto"/>
            <w:noWrap/>
            <w:vAlign w:val="center"/>
            <w:hideMark/>
          </w:tcPr>
          <w:p w14:paraId="43084B0D" w14:textId="77777777" w:rsidR="00387142" w:rsidRPr="008B6A75" w:rsidRDefault="00387142" w:rsidP="00387142">
            <w:pPr>
              <w:jc w:val="center"/>
              <w:rPr>
                <w:bCs/>
                <w:sz w:val="20"/>
                <w:szCs w:val="20"/>
              </w:rPr>
            </w:pPr>
            <w:r w:rsidRPr="008B6A75">
              <w:rPr>
                <w:bCs/>
                <w:sz w:val="20"/>
                <w:szCs w:val="20"/>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03414DB" w14:textId="77777777" w:rsidR="00387142" w:rsidRPr="008B6A75" w:rsidRDefault="00387142" w:rsidP="00387142">
            <w:pPr>
              <w:jc w:val="center"/>
              <w:rPr>
                <w:bCs/>
                <w:sz w:val="20"/>
                <w:szCs w:val="20"/>
              </w:rPr>
            </w:pPr>
            <w:r w:rsidRPr="008B6A75">
              <w:rPr>
                <w:bCs/>
                <w:sz w:val="20"/>
                <w:szCs w:val="20"/>
              </w:rPr>
              <w:t>04</w:t>
            </w:r>
          </w:p>
        </w:tc>
        <w:tc>
          <w:tcPr>
            <w:tcW w:w="1516" w:type="dxa"/>
            <w:tcBorders>
              <w:top w:val="nil"/>
              <w:left w:val="single" w:sz="4" w:space="0" w:color="auto"/>
              <w:bottom w:val="single" w:sz="4" w:space="0" w:color="auto"/>
              <w:right w:val="nil"/>
            </w:tcBorders>
            <w:shd w:val="clear" w:color="auto" w:fill="auto"/>
            <w:noWrap/>
            <w:vAlign w:val="center"/>
            <w:hideMark/>
          </w:tcPr>
          <w:p w14:paraId="5910D4F2" w14:textId="77777777" w:rsidR="00387142" w:rsidRPr="008B6A75" w:rsidRDefault="00387142" w:rsidP="00387142">
            <w:pPr>
              <w:jc w:val="center"/>
              <w:rPr>
                <w:bCs/>
                <w:sz w:val="20"/>
                <w:szCs w:val="20"/>
              </w:rPr>
            </w:pPr>
            <w:r w:rsidRPr="008B6A75">
              <w:rPr>
                <w:bCs/>
                <w:sz w:val="20"/>
                <w:szCs w:val="20"/>
              </w:rPr>
              <w:t>99.0.00.70399</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5C63B60"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0E0CE8E" w14:textId="77777777" w:rsidR="00387142" w:rsidRPr="008B6A75" w:rsidRDefault="00387142" w:rsidP="00387142">
            <w:pPr>
              <w:jc w:val="right"/>
              <w:rPr>
                <w:bCs/>
                <w:sz w:val="20"/>
                <w:szCs w:val="20"/>
              </w:rPr>
            </w:pPr>
            <w:r w:rsidRPr="008B6A75">
              <w:rPr>
                <w:bCs/>
                <w:sz w:val="20"/>
                <w:szCs w:val="20"/>
              </w:rPr>
              <w:t>85 720 700,00</w:t>
            </w:r>
          </w:p>
        </w:tc>
        <w:tc>
          <w:tcPr>
            <w:tcW w:w="992" w:type="dxa"/>
            <w:tcBorders>
              <w:top w:val="nil"/>
              <w:left w:val="single" w:sz="4" w:space="0" w:color="auto"/>
              <w:bottom w:val="single" w:sz="4" w:space="0" w:color="auto"/>
              <w:right w:val="nil"/>
            </w:tcBorders>
            <w:shd w:val="clear" w:color="auto" w:fill="auto"/>
            <w:vAlign w:val="center"/>
            <w:hideMark/>
          </w:tcPr>
          <w:p w14:paraId="5B610104" w14:textId="77777777" w:rsidR="00387142" w:rsidRPr="008B6A75" w:rsidRDefault="00387142" w:rsidP="00387142">
            <w:pPr>
              <w:jc w:val="right"/>
              <w:rPr>
                <w:bCs/>
                <w:sz w:val="20"/>
                <w:szCs w:val="20"/>
              </w:rPr>
            </w:pPr>
            <w:r w:rsidRPr="008B6A75">
              <w:rPr>
                <w:bCs/>
                <w:sz w:val="20"/>
                <w:szCs w:val="20"/>
              </w:rPr>
              <w:t>101 903 100,00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3370D1B8" w14:textId="77777777" w:rsidR="00387142" w:rsidRPr="008B6A75" w:rsidRDefault="00387142" w:rsidP="00387142">
            <w:pPr>
              <w:jc w:val="right"/>
              <w:rPr>
                <w:bCs/>
                <w:sz w:val="20"/>
                <w:szCs w:val="20"/>
              </w:rPr>
            </w:pPr>
            <w:r w:rsidRPr="008B6A75">
              <w:rPr>
                <w:bCs/>
                <w:sz w:val="20"/>
                <w:szCs w:val="20"/>
              </w:rPr>
              <w:t>65 104 700,00</w:t>
            </w:r>
          </w:p>
        </w:tc>
      </w:tr>
      <w:tr w:rsidR="00387142" w:rsidRPr="008B6A75" w14:paraId="2C3DEF9B" w14:textId="77777777" w:rsidTr="00387142">
        <w:trPr>
          <w:trHeight w:val="870"/>
        </w:trPr>
        <w:tc>
          <w:tcPr>
            <w:tcW w:w="3261" w:type="dxa"/>
            <w:tcBorders>
              <w:top w:val="nil"/>
              <w:left w:val="single" w:sz="4" w:space="0" w:color="auto"/>
              <w:bottom w:val="single" w:sz="4" w:space="0" w:color="auto"/>
              <w:right w:val="nil"/>
            </w:tcBorders>
            <w:shd w:val="clear" w:color="auto" w:fill="auto"/>
            <w:vAlign w:val="center"/>
            <w:hideMark/>
          </w:tcPr>
          <w:p w14:paraId="115E52B0" w14:textId="77777777" w:rsidR="00387142" w:rsidRPr="008B6A75" w:rsidRDefault="00387142" w:rsidP="00387142">
            <w:pPr>
              <w:rPr>
                <w:sz w:val="20"/>
                <w:szCs w:val="20"/>
              </w:rPr>
            </w:pPr>
            <w:r w:rsidRPr="008B6A75">
              <w:rPr>
                <w:sz w:val="20"/>
                <w:szCs w:val="20"/>
              </w:rPr>
              <w:t>Капитальные вложения в объекты государственной (муниципальной) собственности</w:t>
            </w:r>
          </w:p>
        </w:tc>
        <w:tc>
          <w:tcPr>
            <w:tcW w:w="720" w:type="dxa"/>
            <w:tcBorders>
              <w:top w:val="nil"/>
              <w:left w:val="single" w:sz="4" w:space="0" w:color="auto"/>
              <w:bottom w:val="single" w:sz="4" w:space="0" w:color="auto"/>
              <w:right w:val="nil"/>
            </w:tcBorders>
            <w:shd w:val="clear" w:color="auto" w:fill="auto"/>
            <w:noWrap/>
            <w:vAlign w:val="center"/>
            <w:hideMark/>
          </w:tcPr>
          <w:p w14:paraId="6A96D8EA" w14:textId="77777777" w:rsidR="00387142" w:rsidRPr="008B6A75" w:rsidRDefault="00387142" w:rsidP="00387142">
            <w:pPr>
              <w:jc w:val="center"/>
              <w:rPr>
                <w:sz w:val="20"/>
                <w:szCs w:val="20"/>
              </w:rPr>
            </w:pPr>
            <w:r w:rsidRPr="008B6A75">
              <w:rPr>
                <w:sz w:val="20"/>
                <w:szCs w:val="20"/>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80C84F1" w14:textId="77777777" w:rsidR="00387142" w:rsidRPr="008B6A75" w:rsidRDefault="00387142" w:rsidP="00387142">
            <w:pPr>
              <w:jc w:val="center"/>
              <w:rPr>
                <w:sz w:val="20"/>
                <w:szCs w:val="20"/>
              </w:rPr>
            </w:pPr>
            <w:r w:rsidRPr="008B6A75">
              <w:rPr>
                <w:sz w:val="20"/>
                <w:szCs w:val="20"/>
              </w:rPr>
              <w:t>04</w:t>
            </w:r>
          </w:p>
        </w:tc>
        <w:tc>
          <w:tcPr>
            <w:tcW w:w="1516" w:type="dxa"/>
            <w:tcBorders>
              <w:top w:val="nil"/>
              <w:left w:val="single" w:sz="4" w:space="0" w:color="auto"/>
              <w:bottom w:val="single" w:sz="4" w:space="0" w:color="auto"/>
              <w:right w:val="nil"/>
            </w:tcBorders>
            <w:shd w:val="clear" w:color="auto" w:fill="auto"/>
            <w:noWrap/>
            <w:vAlign w:val="center"/>
            <w:hideMark/>
          </w:tcPr>
          <w:p w14:paraId="5354D5A9" w14:textId="77777777" w:rsidR="00387142" w:rsidRPr="008B6A75" w:rsidRDefault="00387142" w:rsidP="00387142">
            <w:pPr>
              <w:jc w:val="center"/>
              <w:rPr>
                <w:sz w:val="20"/>
                <w:szCs w:val="20"/>
              </w:rPr>
            </w:pPr>
            <w:r w:rsidRPr="008B6A75">
              <w:rPr>
                <w:sz w:val="20"/>
                <w:szCs w:val="20"/>
              </w:rPr>
              <w:t>99.0.00.70399</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8959280" w14:textId="77777777" w:rsidR="00387142" w:rsidRPr="008B6A75" w:rsidRDefault="00387142" w:rsidP="00387142">
            <w:pPr>
              <w:jc w:val="center"/>
              <w:rPr>
                <w:sz w:val="20"/>
                <w:szCs w:val="20"/>
              </w:rPr>
            </w:pPr>
            <w:r w:rsidRPr="008B6A75">
              <w:rPr>
                <w:sz w:val="20"/>
                <w:szCs w:val="20"/>
              </w:rPr>
              <w:t>400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D223E19" w14:textId="77777777" w:rsidR="00387142" w:rsidRPr="008B6A75" w:rsidRDefault="00387142" w:rsidP="00387142">
            <w:pPr>
              <w:jc w:val="right"/>
              <w:rPr>
                <w:sz w:val="20"/>
                <w:szCs w:val="20"/>
              </w:rPr>
            </w:pPr>
            <w:r w:rsidRPr="008B6A75">
              <w:rPr>
                <w:sz w:val="20"/>
                <w:szCs w:val="20"/>
              </w:rPr>
              <w:t>85 720 700,00</w:t>
            </w:r>
          </w:p>
        </w:tc>
        <w:tc>
          <w:tcPr>
            <w:tcW w:w="992" w:type="dxa"/>
            <w:tcBorders>
              <w:top w:val="nil"/>
              <w:left w:val="single" w:sz="4" w:space="0" w:color="auto"/>
              <w:bottom w:val="single" w:sz="4" w:space="0" w:color="auto"/>
              <w:right w:val="nil"/>
            </w:tcBorders>
            <w:shd w:val="clear" w:color="auto" w:fill="auto"/>
            <w:vAlign w:val="center"/>
            <w:hideMark/>
          </w:tcPr>
          <w:p w14:paraId="45B519D3" w14:textId="77777777" w:rsidR="00387142" w:rsidRPr="008B6A75" w:rsidRDefault="00387142" w:rsidP="00387142">
            <w:pPr>
              <w:jc w:val="right"/>
              <w:rPr>
                <w:sz w:val="20"/>
                <w:szCs w:val="20"/>
              </w:rPr>
            </w:pPr>
            <w:r w:rsidRPr="008B6A75">
              <w:rPr>
                <w:sz w:val="20"/>
                <w:szCs w:val="20"/>
              </w:rPr>
              <w:t>101 903 100,00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4FAC9E33" w14:textId="77777777" w:rsidR="00387142" w:rsidRPr="008B6A75" w:rsidRDefault="00387142" w:rsidP="00387142">
            <w:pPr>
              <w:jc w:val="right"/>
              <w:rPr>
                <w:sz w:val="20"/>
                <w:szCs w:val="20"/>
              </w:rPr>
            </w:pPr>
            <w:r w:rsidRPr="008B6A75">
              <w:rPr>
                <w:sz w:val="20"/>
                <w:szCs w:val="20"/>
              </w:rPr>
              <w:t>65 104 700,00</w:t>
            </w:r>
          </w:p>
        </w:tc>
      </w:tr>
      <w:tr w:rsidR="00387142" w:rsidRPr="008B6A75" w14:paraId="0F4835A1" w14:textId="77777777" w:rsidTr="00387142">
        <w:trPr>
          <w:trHeight w:val="345"/>
        </w:trPr>
        <w:tc>
          <w:tcPr>
            <w:tcW w:w="3261" w:type="dxa"/>
            <w:tcBorders>
              <w:top w:val="nil"/>
              <w:left w:val="single" w:sz="4" w:space="0" w:color="auto"/>
              <w:bottom w:val="single" w:sz="4" w:space="0" w:color="auto"/>
              <w:right w:val="nil"/>
            </w:tcBorders>
            <w:shd w:val="clear" w:color="auto" w:fill="auto"/>
            <w:vAlign w:val="center"/>
            <w:hideMark/>
          </w:tcPr>
          <w:p w14:paraId="5F1DE86B" w14:textId="77777777" w:rsidR="00387142" w:rsidRPr="008B6A75" w:rsidRDefault="00387142" w:rsidP="00387142">
            <w:pPr>
              <w:rPr>
                <w:sz w:val="20"/>
                <w:szCs w:val="20"/>
              </w:rPr>
            </w:pPr>
            <w:r w:rsidRPr="008B6A75">
              <w:rPr>
                <w:sz w:val="20"/>
                <w:szCs w:val="20"/>
              </w:rPr>
              <w:t>Бюджетные инвестиции</w:t>
            </w:r>
          </w:p>
        </w:tc>
        <w:tc>
          <w:tcPr>
            <w:tcW w:w="720" w:type="dxa"/>
            <w:tcBorders>
              <w:top w:val="nil"/>
              <w:left w:val="single" w:sz="4" w:space="0" w:color="auto"/>
              <w:bottom w:val="single" w:sz="4" w:space="0" w:color="auto"/>
              <w:right w:val="nil"/>
            </w:tcBorders>
            <w:shd w:val="clear" w:color="auto" w:fill="auto"/>
            <w:noWrap/>
            <w:vAlign w:val="center"/>
            <w:hideMark/>
          </w:tcPr>
          <w:p w14:paraId="196A4C48" w14:textId="77777777" w:rsidR="00387142" w:rsidRPr="008B6A75" w:rsidRDefault="00387142" w:rsidP="00387142">
            <w:pPr>
              <w:jc w:val="center"/>
              <w:rPr>
                <w:sz w:val="20"/>
                <w:szCs w:val="20"/>
              </w:rPr>
            </w:pPr>
            <w:r w:rsidRPr="008B6A75">
              <w:rPr>
                <w:sz w:val="20"/>
                <w:szCs w:val="20"/>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DFD1FDA" w14:textId="77777777" w:rsidR="00387142" w:rsidRPr="008B6A75" w:rsidRDefault="00387142" w:rsidP="00387142">
            <w:pPr>
              <w:jc w:val="center"/>
              <w:rPr>
                <w:sz w:val="20"/>
                <w:szCs w:val="20"/>
              </w:rPr>
            </w:pPr>
            <w:r w:rsidRPr="008B6A75">
              <w:rPr>
                <w:sz w:val="20"/>
                <w:szCs w:val="20"/>
              </w:rPr>
              <w:t>04</w:t>
            </w:r>
          </w:p>
        </w:tc>
        <w:tc>
          <w:tcPr>
            <w:tcW w:w="1516" w:type="dxa"/>
            <w:tcBorders>
              <w:top w:val="nil"/>
              <w:left w:val="single" w:sz="4" w:space="0" w:color="auto"/>
              <w:bottom w:val="single" w:sz="4" w:space="0" w:color="auto"/>
              <w:right w:val="nil"/>
            </w:tcBorders>
            <w:shd w:val="clear" w:color="auto" w:fill="auto"/>
            <w:noWrap/>
            <w:vAlign w:val="center"/>
            <w:hideMark/>
          </w:tcPr>
          <w:p w14:paraId="12BBC2CB" w14:textId="77777777" w:rsidR="00387142" w:rsidRPr="008B6A75" w:rsidRDefault="00387142" w:rsidP="00387142">
            <w:pPr>
              <w:jc w:val="center"/>
              <w:rPr>
                <w:sz w:val="20"/>
                <w:szCs w:val="20"/>
              </w:rPr>
            </w:pPr>
            <w:r w:rsidRPr="008B6A75">
              <w:rPr>
                <w:sz w:val="20"/>
                <w:szCs w:val="20"/>
              </w:rPr>
              <w:t>99.0.00.70399</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82C9BFE" w14:textId="77777777" w:rsidR="00387142" w:rsidRPr="008B6A75" w:rsidRDefault="00387142" w:rsidP="00387142">
            <w:pPr>
              <w:jc w:val="center"/>
              <w:rPr>
                <w:sz w:val="20"/>
                <w:szCs w:val="20"/>
              </w:rPr>
            </w:pPr>
            <w:r w:rsidRPr="008B6A75">
              <w:rPr>
                <w:sz w:val="20"/>
                <w:szCs w:val="20"/>
              </w:rPr>
              <w:t>410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2694C97" w14:textId="77777777" w:rsidR="00387142" w:rsidRPr="008B6A75" w:rsidRDefault="00387142" w:rsidP="00387142">
            <w:pPr>
              <w:jc w:val="right"/>
              <w:rPr>
                <w:sz w:val="20"/>
                <w:szCs w:val="20"/>
              </w:rPr>
            </w:pPr>
            <w:r w:rsidRPr="008B6A75">
              <w:rPr>
                <w:sz w:val="20"/>
                <w:szCs w:val="20"/>
              </w:rPr>
              <w:t>85 720 700,00</w:t>
            </w:r>
          </w:p>
        </w:tc>
        <w:tc>
          <w:tcPr>
            <w:tcW w:w="992" w:type="dxa"/>
            <w:tcBorders>
              <w:top w:val="nil"/>
              <w:left w:val="single" w:sz="4" w:space="0" w:color="auto"/>
              <w:bottom w:val="single" w:sz="4" w:space="0" w:color="auto"/>
              <w:right w:val="nil"/>
            </w:tcBorders>
            <w:shd w:val="clear" w:color="auto" w:fill="auto"/>
            <w:vAlign w:val="center"/>
            <w:hideMark/>
          </w:tcPr>
          <w:p w14:paraId="4CAC3D95" w14:textId="77777777" w:rsidR="00387142" w:rsidRPr="008B6A75" w:rsidRDefault="00387142" w:rsidP="00387142">
            <w:pPr>
              <w:jc w:val="right"/>
              <w:rPr>
                <w:sz w:val="20"/>
                <w:szCs w:val="20"/>
              </w:rPr>
            </w:pPr>
            <w:r w:rsidRPr="008B6A75">
              <w:rPr>
                <w:sz w:val="20"/>
                <w:szCs w:val="20"/>
              </w:rPr>
              <w:t>101 903 100,00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06C3595F" w14:textId="77777777" w:rsidR="00387142" w:rsidRPr="008B6A75" w:rsidRDefault="00387142" w:rsidP="00387142">
            <w:pPr>
              <w:jc w:val="right"/>
              <w:rPr>
                <w:sz w:val="20"/>
                <w:szCs w:val="20"/>
              </w:rPr>
            </w:pPr>
            <w:r w:rsidRPr="008B6A75">
              <w:rPr>
                <w:sz w:val="20"/>
                <w:szCs w:val="20"/>
              </w:rPr>
              <w:t>65 104 700,00</w:t>
            </w:r>
          </w:p>
        </w:tc>
      </w:tr>
      <w:tr w:rsidR="00387142" w:rsidRPr="008B6A75" w14:paraId="5FFA7EC0" w14:textId="77777777" w:rsidTr="00387142">
        <w:trPr>
          <w:trHeight w:val="585"/>
        </w:trPr>
        <w:tc>
          <w:tcPr>
            <w:tcW w:w="3261" w:type="dxa"/>
            <w:tcBorders>
              <w:top w:val="nil"/>
              <w:left w:val="single" w:sz="4" w:space="0" w:color="auto"/>
              <w:bottom w:val="single" w:sz="4" w:space="0" w:color="auto"/>
              <w:right w:val="nil"/>
            </w:tcBorders>
            <w:shd w:val="clear" w:color="auto" w:fill="auto"/>
            <w:vAlign w:val="center"/>
            <w:hideMark/>
          </w:tcPr>
          <w:p w14:paraId="603E2A18" w14:textId="77777777" w:rsidR="00387142" w:rsidRPr="008B6A75" w:rsidRDefault="00387142" w:rsidP="00387142">
            <w:pPr>
              <w:rPr>
                <w:bCs/>
                <w:sz w:val="20"/>
                <w:szCs w:val="20"/>
              </w:rPr>
            </w:pPr>
            <w:r w:rsidRPr="008B6A75">
              <w:rPr>
                <w:bCs/>
                <w:sz w:val="20"/>
                <w:szCs w:val="20"/>
              </w:rPr>
              <w:t>Другие вопросы в области социальной политики</w:t>
            </w:r>
          </w:p>
        </w:tc>
        <w:tc>
          <w:tcPr>
            <w:tcW w:w="720" w:type="dxa"/>
            <w:tcBorders>
              <w:top w:val="nil"/>
              <w:left w:val="single" w:sz="4" w:space="0" w:color="auto"/>
              <w:bottom w:val="single" w:sz="4" w:space="0" w:color="auto"/>
              <w:right w:val="nil"/>
            </w:tcBorders>
            <w:shd w:val="clear" w:color="auto" w:fill="auto"/>
            <w:noWrap/>
            <w:vAlign w:val="center"/>
            <w:hideMark/>
          </w:tcPr>
          <w:p w14:paraId="4BE1B4EF" w14:textId="77777777" w:rsidR="00387142" w:rsidRPr="008B6A75" w:rsidRDefault="00387142" w:rsidP="00387142">
            <w:pPr>
              <w:jc w:val="center"/>
              <w:rPr>
                <w:bCs/>
                <w:sz w:val="20"/>
                <w:szCs w:val="20"/>
              </w:rPr>
            </w:pPr>
            <w:r w:rsidRPr="008B6A75">
              <w:rPr>
                <w:bCs/>
                <w:sz w:val="20"/>
                <w:szCs w:val="20"/>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CE702FA" w14:textId="77777777" w:rsidR="00387142" w:rsidRPr="008B6A75" w:rsidRDefault="00387142" w:rsidP="00387142">
            <w:pPr>
              <w:jc w:val="center"/>
              <w:rPr>
                <w:bCs/>
                <w:sz w:val="20"/>
                <w:szCs w:val="20"/>
              </w:rPr>
            </w:pPr>
            <w:r w:rsidRPr="008B6A75">
              <w:rPr>
                <w:bCs/>
                <w:sz w:val="20"/>
                <w:szCs w:val="20"/>
              </w:rPr>
              <w:t>06</w:t>
            </w:r>
          </w:p>
        </w:tc>
        <w:tc>
          <w:tcPr>
            <w:tcW w:w="1516" w:type="dxa"/>
            <w:tcBorders>
              <w:top w:val="nil"/>
              <w:left w:val="single" w:sz="4" w:space="0" w:color="auto"/>
              <w:bottom w:val="single" w:sz="4" w:space="0" w:color="auto"/>
              <w:right w:val="nil"/>
            </w:tcBorders>
            <w:shd w:val="clear" w:color="auto" w:fill="auto"/>
            <w:noWrap/>
            <w:vAlign w:val="center"/>
            <w:hideMark/>
          </w:tcPr>
          <w:p w14:paraId="3569F59B" w14:textId="77777777" w:rsidR="00387142" w:rsidRPr="008B6A75" w:rsidRDefault="00387142" w:rsidP="00387142">
            <w:pPr>
              <w:jc w:val="center"/>
              <w:rPr>
                <w:bCs/>
                <w:sz w:val="20"/>
                <w:szCs w:val="20"/>
              </w:rPr>
            </w:pPr>
            <w:r w:rsidRPr="008B6A75">
              <w:rPr>
                <w:bCs/>
                <w:sz w:val="20"/>
                <w:szCs w:val="20"/>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D000B68"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5C2754A" w14:textId="77777777" w:rsidR="00387142" w:rsidRPr="008B6A75" w:rsidRDefault="00387142" w:rsidP="00387142">
            <w:pPr>
              <w:jc w:val="right"/>
              <w:rPr>
                <w:bCs/>
                <w:sz w:val="20"/>
                <w:szCs w:val="20"/>
              </w:rPr>
            </w:pPr>
            <w:r w:rsidRPr="008B6A75">
              <w:rPr>
                <w:bCs/>
                <w:sz w:val="20"/>
                <w:szCs w:val="20"/>
              </w:rPr>
              <w:t>3 203 150,00</w:t>
            </w:r>
          </w:p>
        </w:tc>
        <w:tc>
          <w:tcPr>
            <w:tcW w:w="992" w:type="dxa"/>
            <w:tcBorders>
              <w:top w:val="nil"/>
              <w:left w:val="single" w:sz="4" w:space="0" w:color="auto"/>
              <w:bottom w:val="single" w:sz="4" w:space="0" w:color="auto"/>
              <w:right w:val="nil"/>
            </w:tcBorders>
            <w:shd w:val="clear" w:color="auto" w:fill="auto"/>
            <w:vAlign w:val="center"/>
            <w:hideMark/>
          </w:tcPr>
          <w:p w14:paraId="501A6FEC" w14:textId="77777777" w:rsidR="00387142" w:rsidRPr="008B6A75" w:rsidRDefault="00387142" w:rsidP="00387142">
            <w:pPr>
              <w:jc w:val="right"/>
              <w:rPr>
                <w:bCs/>
                <w:sz w:val="20"/>
                <w:szCs w:val="20"/>
              </w:rPr>
            </w:pPr>
            <w:r w:rsidRPr="008B6A75">
              <w:rPr>
                <w:bCs/>
                <w:sz w:val="20"/>
                <w:szCs w:val="20"/>
              </w:rPr>
              <w:t>1 355 962,00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21449AFC" w14:textId="77777777" w:rsidR="00387142" w:rsidRPr="008B6A75" w:rsidRDefault="00387142" w:rsidP="00387142">
            <w:pPr>
              <w:jc w:val="right"/>
              <w:rPr>
                <w:bCs/>
                <w:sz w:val="20"/>
                <w:szCs w:val="20"/>
              </w:rPr>
            </w:pPr>
            <w:r w:rsidRPr="008B6A75">
              <w:rPr>
                <w:bCs/>
                <w:sz w:val="20"/>
                <w:szCs w:val="20"/>
              </w:rPr>
              <w:t>275 862,00</w:t>
            </w:r>
          </w:p>
        </w:tc>
      </w:tr>
      <w:tr w:rsidR="00387142" w:rsidRPr="008B6A75" w14:paraId="11387BF0" w14:textId="77777777" w:rsidTr="00387142">
        <w:trPr>
          <w:trHeight w:val="585"/>
        </w:trPr>
        <w:tc>
          <w:tcPr>
            <w:tcW w:w="3261" w:type="dxa"/>
            <w:tcBorders>
              <w:top w:val="nil"/>
              <w:left w:val="single" w:sz="4" w:space="0" w:color="auto"/>
              <w:bottom w:val="single" w:sz="4" w:space="0" w:color="auto"/>
              <w:right w:val="nil"/>
            </w:tcBorders>
            <w:shd w:val="clear" w:color="auto" w:fill="auto"/>
            <w:vAlign w:val="center"/>
            <w:hideMark/>
          </w:tcPr>
          <w:p w14:paraId="27DD7759" w14:textId="77777777" w:rsidR="00387142" w:rsidRPr="008B6A75" w:rsidRDefault="00387142" w:rsidP="00387142">
            <w:pPr>
              <w:rPr>
                <w:bCs/>
                <w:sz w:val="20"/>
                <w:szCs w:val="20"/>
              </w:rPr>
            </w:pPr>
            <w:r w:rsidRPr="008B6A75">
              <w:rPr>
                <w:bCs/>
                <w:sz w:val="20"/>
                <w:szCs w:val="20"/>
              </w:rPr>
              <w:t>Муниципальная программа "Развитие системы образования Куйбышевского района"</w:t>
            </w:r>
          </w:p>
        </w:tc>
        <w:tc>
          <w:tcPr>
            <w:tcW w:w="720" w:type="dxa"/>
            <w:tcBorders>
              <w:top w:val="nil"/>
              <w:left w:val="single" w:sz="4" w:space="0" w:color="auto"/>
              <w:bottom w:val="single" w:sz="4" w:space="0" w:color="auto"/>
              <w:right w:val="nil"/>
            </w:tcBorders>
            <w:shd w:val="clear" w:color="auto" w:fill="auto"/>
            <w:noWrap/>
            <w:vAlign w:val="center"/>
            <w:hideMark/>
          </w:tcPr>
          <w:p w14:paraId="763864E0" w14:textId="77777777" w:rsidR="00387142" w:rsidRPr="008B6A75" w:rsidRDefault="00387142" w:rsidP="00387142">
            <w:pPr>
              <w:jc w:val="center"/>
              <w:rPr>
                <w:bCs/>
                <w:sz w:val="20"/>
                <w:szCs w:val="20"/>
              </w:rPr>
            </w:pPr>
            <w:r w:rsidRPr="008B6A75">
              <w:rPr>
                <w:bCs/>
                <w:sz w:val="20"/>
                <w:szCs w:val="20"/>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C82D384" w14:textId="77777777" w:rsidR="00387142" w:rsidRPr="008B6A75" w:rsidRDefault="00387142" w:rsidP="00387142">
            <w:pPr>
              <w:jc w:val="center"/>
              <w:rPr>
                <w:bCs/>
                <w:sz w:val="20"/>
                <w:szCs w:val="20"/>
              </w:rPr>
            </w:pPr>
            <w:r w:rsidRPr="008B6A75">
              <w:rPr>
                <w:bCs/>
                <w:sz w:val="20"/>
                <w:szCs w:val="20"/>
              </w:rPr>
              <w:t>06</w:t>
            </w:r>
          </w:p>
        </w:tc>
        <w:tc>
          <w:tcPr>
            <w:tcW w:w="1516" w:type="dxa"/>
            <w:tcBorders>
              <w:top w:val="nil"/>
              <w:left w:val="single" w:sz="4" w:space="0" w:color="auto"/>
              <w:bottom w:val="single" w:sz="4" w:space="0" w:color="auto"/>
              <w:right w:val="nil"/>
            </w:tcBorders>
            <w:shd w:val="clear" w:color="auto" w:fill="auto"/>
            <w:noWrap/>
            <w:vAlign w:val="center"/>
            <w:hideMark/>
          </w:tcPr>
          <w:p w14:paraId="71F96FC1" w14:textId="77777777" w:rsidR="00387142" w:rsidRPr="008B6A75" w:rsidRDefault="00387142" w:rsidP="00387142">
            <w:pPr>
              <w:jc w:val="center"/>
              <w:rPr>
                <w:bCs/>
                <w:sz w:val="20"/>
                <w:szCs w:val="20"/>
              </w:rPr>
            </w:pPr>
            <w:r w:rsidRPr="008B6A75">
              <w:rPr>
                <w:bCs/>
                <w:sz w:val="20"/>
                <w:szCs w:val="20"/>
              </w:rPr>
              <w:t>07.0.00.00000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941223F"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2CB8A5A" w14:textId="77777777" w:rsidR="00387142" w:rsidRPr="008B6A75" w:rsidRDefault="00387142" w:rsidP="00387142">
            <w:pPr>
              <w:jc w:val="right"/>
              <w:rPr>
                <w:bCs/>
                <w:sz w:val="20"/>
                <w:szCs w:val="20"/>
              </w:rPr>
            </w:pPr>
            <w:r w:rsidRPr="008B6A75">
              <w:rPr>
                <w:bCs/>
                <w:sz w:val="20"/>
                <w:szCs w:val="20"/>
              </w:rPr>
              <w:t>1 839 198,00</w:t>
            </w:r>
          </w:p>
        </w:tc>
        <w:tc>
          <w:tcPr>
            <w:tcW w:w="992" w:type="dxa"/>
            <w:tcBorders>
              <w:top w:val="nil"/>
              <w:left w:val="single" w:sz="4" w:space="0" w:color="auto"/>
              <w:bottom w:val="single" w:sz="4" w:space="0" w:color="auto"/>
              <w:right w:val="nil"/>
            </w:tcBorders>
            <w:shd w:val="clear" w:color="auto" w:fill="auto"/>
            <w:vAlign w:val="center"/>
            <w:hideMark/>
          </w:tcPr>
          <w:p w14:paraId="758772C3" w14:textId="77777777" w:rsidR="00387142" w:rsidRPr="008B6A75" w:rsidRDefault="00387142" w:rsidP="00387142">
            <w:pPr>
              <w:jc w:val="right"/>
              <w:rPr>
                <w:bCs/>
                <w:sz w:val="20"/>
                <w:szCs w:val="20"/>
              </w:rPr>
            </w:pPr>
            <w:r w:rsidRPr="008B6A75">
              <w:rPr>
                <w:bCs/>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684A9B66" w14:textId="77777777" w:rsidR="00387142" w:rsidRPr="008B6A75" w:rsidRDefault="00387142" w:rsidP="00387142">
            <w:pPr>
              <w:jc w:val="right"/>
              <w:rPr>
                <w:bCs/>
                <w:sz w:val="20"/>
                <w:szCs w:val="20"/>
              </w:rPr>
            </w:pPr>
            <w:r w:rsidRPr="008B6A75">
              <w:rPr>
                <w:bCs/>
                <w:sz w:val="20"/>
                <w:szCs w:val="20"/>
              </w:rPr>
              <w:t>0,00</w:t>
            </w:r>
          </w:p>
        </w:tc>
      </w:tr>
      <w:tr w:rsidR="00387142" w:rsidRPr="008B6A75" w14:paraId="2CF1F133" w14:textId="77777777" w:rsidTr="00387142">
        <w:trPr>
          <w:trHeight w:val="585"/>
        </w:trPr>
        <w:tc>
          <w:tcPr>
            <w:tcW w:w="3261" w:type="dxa"/>
            <w:tcBorders>
              <w:top w:val="nil"/>
              <w:left w:val="single" w:sz="4" w:space="0" w:color="auto"/>
              <w:bottom w:val="single" w:sz="4" w:space="0" w:color="auto"/>
              <w:right w:val="nil"/>
            </w:tcBorders>
            <w:shd w:val="clear" w:color="auto" w:fill="auto"/>
            <w:vAlign w:val="center"/>
            <w:hideMark/>
          </w:tcPr>
          <w:p w14:paraId="3EF75E89" w14:textId="77777777" w:rsidR="00387142" w:rsidRPr="008B6A75" w:rsidRDefault="00387142" w:rsidP="00387142">
            <w:pPr>
              <w:rPr>
                <w:bCs/>
                <w:sz w:val="20"/>
                <w:szCs w:val="20"/>
              </w:rPr>
            </w:pPr>
            <w:r w:rsidRPr="008B6A75">
              <w:rPr>
                <w:bCs/>
                <w:sz w:val="20"/>
                <w:szCs w:val="20"/>
              </w:rPr>
              <w:t>Подпрограмма "Организация отдыха и оздоровления детей и подростков"</w:t>
            </w:r>
          </w:p>
        </w:tc>
        <w:tc>
          <w:tcPr>
            <w:tcW w:w="720" w:type="dxa"/>
            <w:tcBorders>
              <w:top w:val="nil"/>
              <w:left w:val="single" w:sz="4" w:space="0" w:color="auto"/>
              <w:bottom w:val="single" w:sz="4" w:space="0" w:color="auto"/>
              <w:right w:val="nil"/>
            </w:tcBorders>
            <w:shd w:val="clear" w:color="auto" w:fill="auto"/>
            <w:noWrap/>
            <w:vAlign w:val="center"/>
            <w:hideMark/>
          </w:tcPr>
          <w:p w14:paraId="32F27806" w14:textId="77777777" w:rsidR="00387142" w:rsidRPr="008B6A75" w:rsidRDefault="00387142" w:rsidP="00387142">
            <w:pPr>
              <w:jc w:val="center"/>
              <w:rPr>
                <w:bCs/>
                <w:sz w:val="20"/>
                <w:szCs w:val="20"/>
              </w:rPr>
            </w:pPr>
            <w:r w:rsidRPr="008B6A75">
              <w:rPr>
                <w:bCs/>
                <w:sz w:val="20"/>
                <w:szCs w:val="20"/>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AF3583F" w14:textId="77777777" w:rsidR="00387142" w:rsidRPr="008B6A75" w:rsidRDefault="00387142" w:rsidP="00387142">
            <w:pPr>
              <w:jc w:val="center"/>
              <w:rPr>
                <w:bCs/>
                <w:sz w:val="20"/>
                <w:szCs w:val="20"/>
              </w:rPr>
            </w:pPr>
            <w:r w:rsidRPr="008B6A75">
              <w:rPr>
                <w:bCs/>
                <w:sz w:val="20"/>
                <w:szCs w:val="20"/>
              </w:rPr>
              <w:t>06</w:t>
            </w:r>
          </w:p>
        </w:tc>
        <w:tc>
          <w:tcPr>
            <w:tcW w:w="1516" w:type="dxa"/>
            <w:tcBorders>
              <w:top w:val="nil"/>
              <w:left w:val="single" w:sz="4" w:space="0" w:color="auto"/>
              <w:bottom w:val="single" w:sz="4" w:space="0" w:color="auto"/>
              <w:right w:val="nil"/>
            </w:tcBorders>
            <w:shd w:val="clear" w:color="auto" w:fill="auto"/>
            <w:noWrap/>
            <w:vAlign w:val="center"/>
            <w:hideMark/>
          </w:tcPr>
          <w:p w14:paraId="048D291B" w14:textId="77777777" w:rsidR="00387142" w:rsidRPr="008B6A75" w:rsidRDefault="00387142" w:rsidP="00387142">
            <w:pPr>
              <w:jc w:val="center"/>
              <w:rPr>
                <w:bCs/>
                <w:sz w:val="20"/>
                <w:szCs w:val="20"/>
              </w:rPr>
            </w:pPr>
            <w:r w:rsidRPr="008B6A75">
              <w:rPr>
                <w:bCs/>
                <w:sz w:val="20"/>
                <w:szCs w:val="20"/>
              </w:rPr>
              <w:t>07.4.00.00000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66E9779"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BB5CC4E" w14:textId="77777777" w:rsidR="00387142" w:rsidRPr="008B6A75" w:rsidRDefault="00387142" w:rsidP="00387142">
            <w:pPr>
              <w:jc w:val="right"/>
              <w:rPr>
                <w:bCs/>
                <w:sz w:val="20"/>
                <w:szCs w:val="20"/>
              </w:rPr>
            </w:pPr>
            <w:r w:rsidRPr="008B6A75">
              <w:rPr>
                <w:bCs/>
                <w:sz w:val="20"/>
                <w:szCs w:val="20"/>
              </w:rPr>
              <w:t>1 839 198,00</w:t>
            </w:r>
          </w:p>
        </w:tc>
        <w:tc>
          <w:tcPr>
            <w:tcW w:w="992" w:type="dxa"/>
            <w:tcBorders>
              <w:top w:val="nil"/>
              <w:left w:val="single" w:sz="4" w:space="0" w:color="auto"/>
              <w:bottom w:val="single" w:sz="4" w:space="0" w:color="auto"/>
              <w:right w:val="nil"/>
            </w:tcBorders>
            <w:shd w:val="clear" w:color="auto" w:fill="auto"/>
            <w:vAlign w:val="center"/>
            <w:hideMark/>
          </w:tcPr>
          <w:p w14:paraId="186BB3E4" w14:textId="77777777" w:rsidR="00387142" w:rsidRPr="008B6A75" w:rsidRDefault="00387142" w:rsidP="00387142">
            <w:pPr>
              <w:jc w:val="right"/>
              <w:rPr>
                <w:bCs/>
                <w:sz w:val="20"/>
                <w:szCs w:val="20"/>
              </w:rPr>
            </w:pPr>
            <w:r w:rsidRPr="008B6A75">
              <w:rPr>
                <w:bCs/>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76E0E65A" w14:textId="77777777" w:rsidR="00387142" w:rsidRPr="008B6A75" w:rsidRDefault="00387142" w:rsidP="00387142">
            <w:pPr>
              <w:jc w:val="right"/>
              <w:rPr>
                <w:bCs/>
                <w:sz w:val="20"/>
                <w:szCs w:val="20"/>
              </w:rPr>
            </w:pPr>
            <w:r w:rsidRPr="008B6A75">
              <w:rPr>
                <w:bCs/>
                <w:sz w:val="20"/>
                <w:szCs w:val="20"/>
              </w:rPr>
              <w:t>0,00</w:t>
            </w:r>
          </w:p>
        </w:tc>
      </w:tr>
      <w:tr w:rsidR="00387142" w:rsidRPr="008B6A75" w14:paraId="25A93FEB" w14:textId="77777777" w:rsidTr="00387142">
        <w:trPr>
          <w:trHeight w:val="1725"/>
        </w:trPr>
        <w:tc>
          <w:tcPr>
            <w:tcW w:w="3261" w:type="dxa"/>
            <w:tcBorders>
              <w:top w:val="nil"/>
              <w:left w:val="single" w:sz="4" w:space="0" w:color="auto"/>
              <w:bottom w:val="single" w:sz="4" w:space="0" w:color="auto"/>
              <w:right w:val="nil"/>
            </w:tcBorders>
            <w:shd w:val="clear" w:color="auto" w:fill="auto"/>
            <w:vAlign w:val="center"/>
            <w:hideMark/>
          </w:tcPr>
          <w:p w14:paraId="58BEF796" w14:textId="77777777" w:rsidR="00387142" w:rsidRPr="008B6A75" w:rsidRDefault="00387142" w:rsidP="00387142">
            <w:pPr>
              <w:rPr>
                <w:bCs/>
                <w:sz w:val="20"/>
                <w:szCs w:val="20"/>
              </w:rPr>
            </w:pPr>
            <w:r w:rsidRPr="008B6A75">
              <w:rPr>
                <w:bCs/>
                <w:sz w:val="20"/>
                <w:szCs w:val="20"/>
              </w:rPr>
              <w:t>Развитие социальной инфраструктуры в сфере организации отдыха и оздоровления детей Новосибирской области государственной программы Новосибирской области «Социальная поддержка в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14:paraId="312D08F7" w14:textId="77777777" w:rsidR="00387142" w:rsidRPr="008B6A75" w:rsidRDefault="00387142" w:rsidP="00387142">
            <w:pPr>
              <w:jc w:val="center"/>
              <w:rPr>
                <w:bCs/>
                <w:sz w:val="20"/>
                <w:szCs w:val="20"/>
              </w:rPr>
            </w:pPr>
            <w:r w:rsidRPr="008B6A75">
              <w:rPr>
                <w:bCs/>
                <w:sz w:val="20"/>
                <w:szCs w:val="20"/>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7BDAC8C" w14:textId="77777777" w:rsidR="00387142" w:rsidRPr="008B6A75" w:rsidRDefault="00387142" w:rsidP="00387142">
            <w:pPr>
              <w:jc w:val="center"/>
              <w:rPr>
                <w:bCs/>
                <w:sz w:val="20"/>
                <w:szCs w:val="20"/>
              </w:rPr>
            </w:pPr>
            <w:r w:rsidRPr="008B6A75">
              <w:rPr>
                <w:bCs/>
                <w:sz w:val="20"/>
                <w:szCs w:val="20"/>
              </w:rPr>
              <w:t>06</w:t>
            </w:r>
          </w:p>
        </w:tc>
        <w:tc>
          <w:tcPr>
            <w:tcW w:w="1516" w:type="dxa"/>
            <w:tcBorders>
              <w:top w:val="nil"/>
              <w:left w:val="single" w:sz="4" w:space="0" w:color="auto"/>
              <w:bottom w:val="single" w:sz="4" w:space="0" w:color="auto"/>
              <w:right w:val="nil"/>
            </w:tcBorders>
            <w:shd w:val="clear" w:color="auto" w:fill="auto"/>
            <w:noWrap/>
            <w:vAlign w:val="center"/>
            <w:hideMark/>
          </w:tcPr>
          <w:p w14:paraId="32912EE8" w14:textId="77777777" w:rsidR="00387142" w:rsidRPr="008B6A75" w:rsidRDefault="00387142" w:rsidP="00387142">
            <w:pPr>
              <w:jc w:val="center"/>
              <w:rPr>
                <w:bCs/>
                <w:sz w:val="20"/>
                <w:szCs w:val="20"/>
              </w:rPr>
            </w:pPr>
            <w:r w:rsidRPr="008B6A75">
              <w:rPr>
                <w:bCs/>
                <w:sz w:val="20"/>
                <w:szCs w:val="20"/>
              </w:rPr>
              <w:t>07.4.00.70929</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6C14F07"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10183BA" w14:textId="77777777" w:rsidR="00387142" w:rsidRPr="008B6A75" w:rsidRDefault="00387142" w:rsidP="00387142">
            <w:pPr>
              <w:jc w:val="right"/>
              <w:rPr>
                <w:bCs/>
                <w:sz w:val="20"/>
                <w:szCs w:val="20"/>
              </w:rPr>
            </w:pPr>
            <w:r w:rsidRPr="008B6A75">
              <w:rPr>
                <w:bCs/>
                <w:sz w:val="20"/>
                <w:szCs w:val="20"/>
              </w:rPr>
              <w:t>1 802 420,00</w:t>
            </w:r>
          </w:p>
        </w:tc>
        <w:tc>
          <w:tcPr>
            <w:tcW w:w="992" w:type="dxa"/>
            <w:tcBorders>
              <w:top w:val="nil"/>
              <w:left w:val="single" w:sz="4" w:space="0" w:color="auto"/>
              <w:bottom w:val="single" w:sz="4" w:space="0" w:color="auto"/>
              <w:right w:val="nil"/>
            </w:tcBorders>
            <w:shd w:val="clear" w:color="auto" w:fill="auto"/>
            <w:vAlign w:val="center"/>
            <w:hideMark/>
          </w:tcPr>
          <w:p w14:paraId="72275BA5" w14:textId="77777777" w:rsidR="00387142" w:rsidRPr="008B6A75" w:rsidRDefault="00387142" w:rsidP="00387142">
            <w:pPr>
              <w:jc w:val="right"/>
              <w:rPr>
                <w:bCs/>
                <w:sz w:val="20"/>
                <w:szCs w:val="20"/>
              </w:rPr>
            </w:pPr>
            <w:r w:rsidRPr="008B6A75">
              <w:rPr>
                <w:bCs/>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6AF3CA6A" w14:textId="77777777" w:rsidR="00387142" w:rsidRPr="008B6A75" w:rsidRDefault="00387142" w:rsidP="00387142">
            <w:pPr>
              <w:jc w:val="right"/>
              <w:rPr>
                <w:bCs/>
                <w:sz w:val="20"/>
                <w:szCs w:val="20"/>
              </w:rPr>
            </w:pPr>
            <w:r w:rsidRPr="008B6A75">
              <w:rPr>
                <w:bCs/>
                <w:sz w:val="20"/>
                <w:szCs w:val="20"/>
              </w:rPr>
              <w:t>0,00</w:t>
            </w:r>
          </w:p>
        </w:tc>
      </w:tr>
      <w:tr w:rsidR="00387142" w:rsidRPr="008B6A75" w14:paraId="364CB8EA" w14:textId="77777777" w:rsidTr="00387142">
        <w:trPr>
          <w:trHeight w:val="870"/>
        </w:trPr>
        <w:tc>
          <w:tcPr>
            <w:tcW w:w="3261" w:type="dxa"/>
            <w:tcBorders>
              <w:top w:val="nil"/>
              <w:left w:val="single" w:sz="4" w:space="0" w:color="auto"/>
              <w:bottom w:val="single" w:sz="4" w:space="0" w:color="auto"/>
              <w:right w:val="nil"/>
            </w:tcBorders>
            <w:shd w:val="clear" w:color="auto" w:fill="auto"/>
            <w:vAlign w:val="center"/>
            <w:hideMark/>
          </w:tcPr>
          <w:p w14:paraId="6905D423" w14:textId="77777777" w:rsidR="00387142" w:rsidRPr="008B6A75" w:rsidRDefault="00387142" w:rsidP="00387142">
            <w:pPr>
              <w:rPr>
                <w:sz w:val="20"/>
                <w:szCs w:val="20"/>
              </w:rPr>
            </w:pPr>
            <w:r w:rsidRPr="008B6A75">
              <w:rPr>
                <w:sz w:val="20"/>
                <w:szCs w:val="20"/>
              </w:rPr>
              <w:t>Предоставление субсидий бюджетным, автономным учреждениям и иным некоммерческим организациям</w:t>
            </w:r>
          </w:p>
        </w:tc>
        <w:tc>
          <w:tcPr>
            <w:tcW w:w="720" w:type="dxa"/>
            <w:tcBorders>
              <w:top w:val="nil"/>
              <w:left w:val="single" w:sz="4" w:space="0" w:color="auto"/>
              <w:bottom w:val="single" w:sz="4" w:space="0" w:color="auto"/>
              <w:right w:val="nil"/>
            </w:tcBorders>
            <w:shd w:val="clear" w:color="auto" w:fill="auto"/>
            <w:noWrap/>
            <w:vAlign w:val="center"/>
            <w:hideMark/>
          </w:tcPr>
          <w:p w14:paraId="1FA844A5" w14:textId="77777777" w:rsidR="00387142" w:rsidRPr="008B6A75" w:rsidRDefault="00387142" w:rsidP="00387142">
            <w:pPr>
              <w:jc w:val="center"/>
              <w:rPr>
                <w:sz w:val="20"/>
                <w:szCs w:val="20"/>
              </w:rPr>
            </w:pPr>
            <w:r w:rsidRPr="008B6A75">
              <w:rPr>
                <w:sz w:val="20"/>
                <w:szCs w:val="20"/>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55E2012" w14:textId="77777777" w:rsidR="00387142" w:rsidRPr="008B6A75" w:rsidRDefault="00387142" w:rsidP="00387142">
            <w:pPr>
              <w:jc w:val="center"/>
              <w:rPr>
                <w:sz w:val="20"/>
                <w:szCs w:val="20"/>
              </w:rPr>
            </w:pPr>
            <w:r w:rsidRPr="008B6A75">
              <w:rPr>
                <w:sz w:val="20"/>
                <w:szCs w:val="20"/>
              </w:rPr>
              <w:t>06</w:t>
            </w:r>
          </w:p>
        </w:tc>
        <w:tc>
          <w:tcPr>
            <w:tcW w:w="1516" w:type="dxa"/>
            <w:tcBorders>
              <w:top w:val="nil"/>
              <w:left w:val="single" w:sz="4" w:space="0" w:color="auto"/>
              <w:bottom w:val="single" w:sz="4" w:space="0" w:color="auto"/>
              <w:right w:val="nil"/>
            </w:tcBorders>
            <w:shd w:val="clear" w:color="auto" w:fill="auto"/>
            <w:noWrap/>
            <w:vAlign w:val="center"/>
            <w:hideMark/>
          </w:tcPr>
          <w:p w14:paraId="570119DF" w14:textId="77777777" w:rsidR="00387142" w:rsidRPr="008B6A75" w:rsidRDefault="00387142" w:rsidP="00387142">
            <w:pPr>
              <w:jc w:val="center"/>
              <w:rPr>
                <w:sz w:val="20"/>
                <w:szCs w:val="20"/>
              </w:rPr>
            </w:pPr>
            <w:r w:rsidRPr="008B6A75">
              <w:rPr>
                <w:sz w:val="20"/>
                <w:szCs w:val="20"/>
              </w:rPr>
              <w:t>07.4.00.70929</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04A56DA" w14:textId="77777777" w:rsidR="00387142" w:rsidRPr="008B6A75" w:rsidRDefault="00387142" w:rsidP="00387142">
            <w:pPr>
              <w:jc w:val="center"/>
              <w:rPr>
                <w:sz w:val="20"/>
                <w:szCs w:val="20"/>
              </w:rPr>
            </w:pPr>
            <w:r w:rsidRPr="008B6A75">
              <w:rPr>
                <w:sz w:val="20"/>
                <w:szCs w:val="20"/>
              </w:rPr>
              <w:t>600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EF2D70B" w14:textId="77777777" w:rsidR="00387142" w:rsidRPr="008B6A75" w:rsidRDefault="00387142" w:rsidP="00387142">
            <w:pPr>
              <w:jc w:val="right"/>
              <w:rPr>
                <w:sz w:val="20"/>
                <w:szCs w:val="20"/>
              </w:rPr>
            </w:pPr>
            <w:r w:rsidRPr="008B6A75">
              <w:rPr>
                <w:sz w:val="20"/>
                <w:szCs w:val="20"/>
              </w:rPr>
              <w:t>1 802 420,00</w:t>
            </w:r>
          </w:p>
        </w:tc>
        <w:tc>
          <w:tcPr>
            <w:tcW w:w="992" w:type="dxa"/>
            <w:tcBorders>
              <w:top w:val="nil"/>
              <w:left w:val="single" w:sz="4" w:space="0" w:color="auto"/>
              <w:bottom w:val="single" w:sz="4" w:space="0" w:color="auto"/>
              <w:right w:val="nil"/>
            </w:tcBorders>
            <w:shd w:val="clear" w:color="auto" w:fill="auto"/>
            <w:vAlign w:val="center"/>
            <w:hideMark/>
          </w:tcPr>
          <w:p w14:paraId="65307F69" w14:textId="77777777" w:rsidR="00387142" w:rsidRPr="008B6A75" w:rsidRDefault="00387142" w:rsidP="00387142">
            <w:pPr>
              <w:jc w:val="right"/>
              <w:rPr>
                <w:sz w:val="20"/>
                <w:szCs w:val="20"/>
              </w:rPr>
            </w:pPr>
            <w:r w:rsidRPr="008B6A75">
              <w:rPr>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1094C4C0" w14:textId="77777777" w:rsidR="00387142" w:rsidRPr="008B6A75" w:rsidRDefault="00387142" w:rsidP="00387142">
            <w:pPr>
              <w:jc w:val="right"/>
              <w:rPr>
                <w:sz w:val="20"/>
                <w:szCs w:val="20"/>
              </w:rPr>
            </w:pPr>
            <w:r w:rsidRPr="008B6A75">
              <w:rPr>
                <w:sz w:val="20"/>
                <w:szCs w:val="20"/>
              </w:rPr>
              <w:t>0,00</w:t>
            </w:r>
          </w:p>
        </w:tc>
      </w:tr>
      <w:tr w:rsidR="00387142" w:rsidRPr="008B6A75" w14:paraId="5957F429" w14:textId="77777777" w:rsidTr="00387142">
        <w:trPr>
          <w:trHeight w:val="345"/>
        </w:trPr>
        <w:tc>
          <w:tcPr>
            <w:tcW w:w="3261" w:type="dxa"/>
            <w:tcBorders>
              <w:top w:val="nil"/>
              <w:left w:val="single" w:sz="4" w:space="0" w:color="auto"/>
              <w:bottom w:val="single" w:sz="4" w:space="0" w:color="auto"/>
              <w:right w:val="nil"/>
            </w:tcBorders>
            <w:shd w:val="clear" w:color="auto" w:fill="auto"/>
            <w:vAlign w:val="center"/>
            <w:hideMark/>
          </w:tcPr>
          <w:p w14:paraId="385EC791" w14:textId="77777777" w:rsidR="00387142" w:rsidRPr="008B6A75" w:rsidRDefault="00387142" w:rsidP="00387142">
            <w:pPr>
              <w:rPr>
                <w:sz w:val="20"/>
                <w:szCs w:val="20"/>
              </w:rPr>
            </w:pPr>
            <w:r w:rsidRPr="008B6A75">
              <w:rPr>
                <w:sz w:val="20"/>
                <w:szCs w:val="20"/>
              </w:rPr>
              <w:t>Субсидии бюджетным учреждениям</w:t>
            </w:r>
          </w:p>
        </w:tc>
        <w:tc>
          <w:tcPr>
            <w:tcW w:w="720" w:type="dxa"/>
            <w:tcBorders>
              <w:top w:val="nil"/>
              <w:left w:val="single" w:sz="4" w:space="0" w:color="auto"/>
              <w:bottom w:val="single" w:sz="4" w:space="0" w:color="auto"/>
              <w:right w:val="nil"/>
            </w:tcBorders>
            <w:shd w:val="clear" w:color="auto" w:fill="auto"/>
            <w:noWrap/>
            <w:vAlign w:val="center"/>
            <w:hideMark/>
          </w:tcPr>
          <w:p w14:paraId="271AE85C" w14:textId="77777777" w:rsidR="00387142" w:rsidRPr="008B6A75" w:rsidRDefault="00387142" w:rsidP="00387142">
            <w:pPr>
              <w:jc w:val="center"/>
              <w:rPr>
                <w:sz w:val="20"/>
                <w:szCs w:val="20"/>
              </w:rPr>
            </w:pPr>
            <w:r w:rsidRPr="008B6A75">
              <w:rPr>
                <w:sz w:val="20"/>
                <w:szCs w:val="20"/>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E50CD5D" w14:textId="77777777" w:rsidR="00387142" w:rsidRPr="008B6A75" w:rsidRDefault="00387142" w:rsidP="00387142">
            <w:pPr>
              <w:jc w:val="center"/>
              <w:rPr>
                <w:sz w:val="20"/>
                <w:szCs w:val="20"/>
              </w:rPr>
            </w:pPr>
            <w:r w:rsidRPr="008B6A75">
              <w:rPr>
                <w:sz w:val="20"/>
                <w:szCs w:val="20"/>
              </w:rPr>
              <w:t>06</w:t>
            </w:r>
          </w:p>
        </w:tc>
        <w:tc>
          <w:tcPr>
            <w:tcW w:w="1516" w:type="dxa"/>
            <w:tcBorders>
              <w:top w:val="nil"/>
              <w:left w:val="single" w:sz="4" w:space="0" w:color="auto"/>
              <w:bottom w:val="single" w:sz="4" w:space="0" w:color="auto"/>
              <w:right w:val="nil"/>
            </w:tcBorders>
            <w:shd w:val="clear" w:color="auto" w:fill="auto"/>
            <w:noWrap/>
            <w:vAlign w:val="center"/>
            <w:hideMark/>
          </w:tcPr>
          <w:p w14:paraId="0CE34E9E" w14:textId="77777777" w:rsidR="00387142" w:rsidRPr="008B6A75" w:rsidRDefault="00387142" w:rsidP="00387142">
            <w:pPr>
              <w:jc w:val="center"/>
              <w:rPr>
                <w:sz w:val="20"/>
                <w:szCs w:val="20"/>
              </w:rPr>
            </w:pPr>
            <w:r w:rsidRPr="008B6A75">
              <w:rPr>
                <w:sz w:val="20"/>
                <w:szCs w:val="20"/>
              </w:rPr>
              <w:t>07.4.00.70929</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74BB11C" w14:textId="77777777" w:rsidR="00387142" w:rsidRPr="008B6A75" w:rsidRDefault="00387142" w:rsidP="00387142">
            <w:pPr>
              <w:jc w:val="center"/>
              <w:rPr>
                <w:sz w:val="20"/>
                <w:szCs w:val="20"/>
              </w:rPr>
            </w:pPr>
            <w:r w:rsidRPr="008B6A75">
              <w:rPr>
                <w:sz w:val="20"/>
                <w:szCs w:val="20"/>
              </w:rPr>
              <w:t>610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DD62B00" w14:textId="77777777" w:rsidR="00387142" w:rsidRPr="008B6A75" w:rsidRDefault="00387142" w:rsidP="00387142">
            <w:pPr>
              <w:jc w:val="right"/>
              <w:rPr>
                <w:sz w:val="20"/>
                <w:szCs w:val="20"/>
              </w:rPr>
            </w:pPr>
            <w:r w:rsidRPr="008B6A75">
              <w:rPr>
                <w:sz w:val="20"/>
                <w:szCs w:val="20"/>
              </w:rPr>
              <w:t>1 802 420,00</w:t>
            </w:r>
          </w:p>
        </w:tc>
        <w:tc>
          <w:tcPr>
            <w:tcW w:w="992" w:type="dxa"/>
            <w:tcBorders>
              <w:top w:val="nil"/>
              <w:left w:val="single" w:sz="4" w:space="0" w:color="auto"/>
              <w:bottom w:val="single" w:sz="4" w:space="0" w:color="auto"/>
              <w:right w:val="nil"/>
            </w:tcBorders>
            <w:shd w:val="clear" w:color="auto" w:fill="auto"/>
            <w:vAlign w:val="center"/>
            <w:hideMark/>
          </w:tcPr>
          <w:p w14:paraId="1C3CA92C" w14:textId="77777777" w:rsidR="00387142" w:rsidRPr="008B6A75" w:rsidRDefault="00387142" w:rsidP="00387142">
            <w:pPr>
              <w:jc w:val="right"/>
              <w:rPr>
                <w:sz w:val="20"/>
                <w:szCs w:val="20"/>
              </w:rPr>
            </w:pPr>
            <w:r w:rsidRPr="008B6A75">
              <w:rPr>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5E32AE5C" w14:textId="77777777" w:rsidR="00387142" w:rsidRPr="008B6A75" w:rsidRDefault="00387142" w:rsidP="00387142">
            <w:pPr>
              <w:jc w:val="right"/>
              <w:rPr>
                <w:sz w:val="20"/>
                <w:szCs w:val="20"/>
              </w:rPr>
            </w:pPr>
            <w:r w:rsidRPr="008B6A75">
              <w:rPr>
                <w:sz w:val="20"/>
                <w:szCs w:val="20"/>
              </w:rPr>
              <w:t>0,00</w:t>
            </w:r>
          </w:p>
        </w:tc>
      </w:tr>
      <w:tr w:rsidR="00387142" w:rsidRPr="008B6A75" w14:paraId="735FF10F" w14:textId="77777777" w:rsidTr="00387142">
        <w:trPr>
          <w:trHeight w:val="2010"/>
        </w:trPr>
        <w:tc>
          <w:tcPr>
            <w:tcW w:w="3261" w:type="dxa"/>
            <w:tcBorders>
              <w:top w:val="nil"/>
              <w:left w:val="single" w:sz="4" w:space="0" w:color="auto"/>
              <w:bottom w:val="single" w:sz="4" w:space="0" w:color="auto"/>
              <w:right w:val="nil"/>
            </w:tcBorders>
            <w:shd w:val="clear" w:color="auto" w:fill="auto"/>
            <w:vAlign w:val="center"/>
            <w:hideMark/>
          </w:tcPr>
          <w:p w14:paraId="1E3EA296" w14:textId="77777777" w:rsidR="00387142" w:rsidRPr="008B6A75" w:rsidRDefault="00387142" w:rsidP="00387142">
            <w:pPr>
              <w:rPr>
                <w:bCs/>
                <w:sz w:val="20"/>
                <w:szCs w:val="20"/>
              </w:rPr>
            </w:pPr>
            <w:proofErr w:type="spellStart"/>
            <w:r w:rsidRPr="008B6A75">
              <w:rPr>
                <w:bCs/>
                <w:sz w:val="20"/>
                <w:szCs w:val="20"/>
              </w:rPr>
              <w:t>Софинансирование</w:t>
            </w:r>
            <w:proofErr w:type="spellEnd"/>
            <w:r w:rsidRPr="008B6A75">
              <w:rPr>
                <w:bCs/>
                <w:sz w:val="20"/>
                <w:szCs w:val="20"/>
              </w:rPr>
              <w:t xml:space="preserve"> местного бюджета на развитие социальной инфраструктуры в сфере организации отдыха и оздоровления детей Новосибирской области государственной программы Новосибирской области «Социальная поддержка в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14:paraId="63F0183A" w14:textId="77777777" w:rsidR="00387142" w:rsidRPr="008B6A75" w:rsidRDefault="00387142" w:rsidP="00387142">
            <w:pPr>
              <w:jc w:val="center"/>
              <w:rPr>
                <w:bCs/>
                <w:sz w:val="20"/>
                <w:szCs w:val="20"/>
              </w:rPr>
            </w:pPr>
            <w:r w:rsidRPr="008B6A75">
              <w:rPr>
                <w:bCs/>
                <w:sz w:val="20"/>
                <w:szCs w:val="20"/>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CDE4AB5" w14:textId="77777777" w:rsidR="00387142" w:rsidRPr="008B6A75" w:rsidRDefault="00387142" w:rsidP="00387142">
            <w:pPr>
              <w:jc w:val="center"/>
              <w:rPr>
                <w:bCs/>
                <w:sz w:val="20"/>
                <w:szCs w:val="20"/>
              </w:rPr>
            </w:pPr>
            <w:r w:rsidRPr="008B6A75">
              <w:rPr>
                <w:bCs/>
                <w:sz w:val="20"/>
                <w:szCs w:val="20"/>
              </w:rPr>
              <w:t>06</w:t>
            </w:r>
          </w:p>
        </w:tc>
        <w:tc>
          <w:tcPr>
            <w:tcW w:w="1516" w:type="dxa"/>
            <w:tcBorders>
              <w:top w:val="nil"/>
              <w:left w:val="single" w:sz="4" w:space="0" w:color="auto"/>
              <w:bottom w:val="single" w:sz="4" w:space="0" w:color="auto"/>
              <w:right w:val="nil"/>
            </w:tcBorders>
            <w:shd w:val="clear" w:color="auto" w:fill="auto"/>
            <w:noWrap/>
            <w:vAlign w:val="center"/>
            <w:hideMark/>
          </w:tcPr>
          <w:p w14:paraId="46E4A8DE" w14:textId="77777777" w:rsidR="00387142" w:rsidRPr="008B6A75" w:rsidRDefault="00387142" w:rsidP="00387142">
            <w:pPr>
              <w:jc w:val="center"/>
              <w:rPr>
                <w:bCs/>
                <w:sz w:val="20"/>
                <w:szCs w:val="20"/>
              </w:rPr>
            </w:pPr>
            <w:r w:rsidRPr="008B6A75">
              <w:rPr>
                <w:bCs/>
                <w:sz w:val="20"/>
                <w:szCs w:val="20"/>
              </w:rPr>
              <w:t>07.4.00.S0929</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D2F1F72"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3D6273E" w14:textId="77777777" w:rsidR="00387142" w:rsidRPr="008B6A75" w:rsidRDefault="00387142" w:rsidP="00387142">
            <w:pPr>
              <w:jc w:val="right"/>
              <w:rPr>
                <w:bCs/>
                <w:sz w:val="20"/>
                <w:szCs w:val="20"/>
              </w:rPr>
            </w:pPr>
            <w:r w:rsidRPr="008B6A75">
              <w:rPr>
                <w:bCs/>
                <w:sz w:val="20"/>
                <w:szCs w:val="20"/>
              </w:rPr>
              <w:t>36 778,00</w:t>
            </w:r>
          </w:p>
        </w:tc>
        <w:tc>
          <w:tcPr>
            <w:tcW w:w="992" w:type="dxa"/>
            <w:tcBorders>
              <w:top w:val="nil"/>
              <w:left w:val="single" w:sz="4" w:space="0" w:color="auto"/>
              <w:bottom w:val="single" w:sz="4" w:space="0" w:color="auto"/>
              <w:right w:val="nil"/>
            </w:tcBorders>
            <w:shd w:val="clear" w:color="auto" w:fill="auto"/>
            <w:vAlign w:val="center"/>
            <w:hideMark/>
          </w:tcPr>
          <w:p w14:paraId="69AC2C4B" w14:textId="77777777" w:rsidR="00387142" w:rsidRPr="008B6A75" w:rsidRDefault="00387142" w:rsidP="00387142">
            <w:pPr>
              <w:jc w:val="right"/>
              <w:rPr>
                <w:bCs/>
                <w:sz w:val="20"/>
                <w:szCs w:val="20"/>
              </w:rPr>
            </w:pPr>
            <w:r w:rsidRPr="008B6A75">
              <w:rPr>
                <w:bCs/>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0D2C30FC" w14:textId="77777777" w:rsidR="00387142" w:rsidRPr="008B6A75" w:rsidRDefault="00387142" w:rsidP="00387142">
            <w:pPr>
              <w:jc w:val="right"/>
              <w:rPr>
                <w:bCs/>
                <w:sz w:val="20"/>
                <w:szCs w:val="20"/>
              </w:rPr>
            </w:pPr>
            <w:r w:rsidRPr="008B6A75">
              <w:rPr>
                <w:bCs/>
                <w:sz w:val="20"/>
                <w:szCs w:val="20"/>
              </w:rPr>
              <w:t>0,00</w:t>
            </w:r>
          </w:p>
        </w:tc>
      </w:tr>
      <w:tr w:rsidR="00387142" w:rsidRPr="008B6A75" w14:paraId="595CF75D" w14:textId="77777777" w:rsidTr="00387142">
        <w:trPr>
          <w:trHeight w:val="870"/>
        </w:trPr>
        <w:tc>
          <w:tcPr>
            <w:tcW w:w="3261" w:type="dxa"/>
            <w:tcBorders>
              <w:top w:val="nil"/>
              <w:left w:val="single" w:sz="4" w:space="0" w:color="auto"/>
              <w:bottom w:val="single" w:sz="4" w:space="0" w:color="auto"/>
              <w:right w:val="nil"/>
            </w:tcBorders>
            <w:shd w:val="clear" w:color="auto" w:fill="auto"/>
            <w:vAlign w:val="center"/>
            <w:hideMark/>
          </w:tcPr>
          <w:p w14:paraId="42AFD186" w14:textId="77777777" w:rsidR="00387142" w:rsidRPr="008B6A75" w:rsidRDefault="00387142" w:rsidP="00387142">
            <w:pPr>
              <w:rPr>
                <w:sz w:val="20"/>
                <w:szCs w:val="20"/>
              </w:rPr>
            </w:pPr>
            <w:r w:rsidRPr="008B6A75">
              <w:rPr>
                <w:sz w:val="20"/>
                <w:szCs w:val="20"/>
              </w:rPr>
              <w:lastRenderedPageBreak/>
              <w:t>Предоставление субсидий бюджетным, автономным учреждениям и иным некоммерческим организациям</w:t>
            </w:r>
          </w:p>
        </w:tc>
        <w:tc>
          <w:tcPr>
            <w:tcW w:w="720" w:type="dxa"/>
            <w:tcBorders>
              <w:top w:val="nil"/>
              <w:left w:val="single" w:sz="4" w:space="0" w:color="auto"/>
              <w:bottom w:val="single" w:sz="4" w:space="0" w:color="auto"/>
              <w:right w:val="nil"/>
            </w:tcBorders>
            <w:shd w:val="clear" w:color="auto" w:fill="auto"/>
            <w:noWrap/>
            <w:vAlign w:val="center"/>
            <w:hideMark/>
          </w:tcPr>
          <w:p w14:paraId="6E05CBEE" w14:textId="77777777" w:rsidR="00387142" w:rsidRPr="008B6A75" w:rsidRDefault="00387142" w:rsidP="00387142">
            <w:pPr>
              <w:jc w:val="center"/>
              <w:rPr>
                <w:sz w:val="20"/>
                <w:szCs w:val="20"/>
              </w:rPr>
            </w:pPr>
            <w:r w:rsidRPr="008B6A75">
              <w:rPr>
                <w:sz w:val="20"/>
                <w:szCs w:val="20"/>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F6D69E3" w14:textId="77777777" w:rsidR="00387142" w:rsidRPr="008B6A75" w:rsidRDefault="00387142" w:rsidP="00387142">
            <w:pPr>
              <w:jc w:val="center"/>
              <w:rPr>
                <w:sz w:val="20"/>
                <w:szCs w:val="20"/>
              </w:rPr>
            </w:pPr>
            <w:r w:rsidRPr="008B6A75">
              <w:rPr>
                <w:sz w:val="20"/>
                <w:szCs w:val="20"/>
              </w:rPr>
              <w:t>06</w:t>
            </w:r>
          </w:p>
        </w:tc>
        <w:tc>
          <w:tcPr>
            <w:tcW w:w="1516" w:type="dxa"/>
            <w:tcBorders>
              <w:top w:val="nil"/>
              <w:left w:val="single" w:sz="4" w:space="0" w:color="auto"/>
              <w:bottom w:val="single" w:sz="4" w:space="0" w:color="auto"/>
              <w:right w:val="nil"/>
            </w:tcBorders>
            <w:shd w:val="clear" w:color="auto" w:fill="auto"/>
            <w:noWrap/>
            <w:vAlign w:val="center"/>
            <w:hideMark/>
          </w:tcPr>
          <w:p w14:paraId="53841031" w14:textId="77777777" w:rsidR="00387142" w:rsidRPr="008B6A75" w:rsidRDefault="00387142" w:rsidP="00387142">
            <w:pPr>
              <w:jc w:val="center"/>
              <w:rPr>
                <w:sz w:val="20"/>
                <w:szCs w:val="20"/>
              </w:rPr>
            </w:pPr>
            <w:r w:rsidRPr="008B6A75">
              <w:rPr>
                <w:sz w:val="20"/>
                <w:szCs w:val="20"/>
              </w:rPr>
              <w:t>07.4.00.S0929</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C6E02D8" w14:textId="77777777" w:rsidR="00387142" w:rsidRPr="008B6A75" w:rsidRDefault="00387142" w:rsidP="00387142">
            <w:pPr>
              <w:jc w:val="center"/>
              <w:rPr>
                <w:sz w:val="20"/>
                <w:szCs w:val="20"/>
              </w:rPr>
            </w:pPr>
            <w:r w:rsidRPr="008B6A75">
              <w:rPr>
                <w:sz w:val="20"/>
                <w:szCs w:val="20"/>
              </w:rPr>
              <w:t>600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36FC02E" w14:textId="77777777" w:rsidR="00387142" w:rsidRPr="008B6A75" w:rsidRDefault="00387142" w:rsidP="00387142">
            <w:pPr>
              <w:jc w:val="right"/>
              <w:rPr>
                <w:sz w:val="20"/>
                <w:szCs w:val="20"/>
              </w:rPr>
            </w:pPr>
            <w:r w:rsidRPr="008B6A75">
              <w:rPr>
                <w:sz w:val="20"/>
                <w:szCs w:val="20"/>
              </w:rPr>
              <w:t>36 778,00</w:t>
            </w:r>
          </w:p>
        </w:tc>
        <w:tc>
          <w:tcPr>
            <w:tcW w:w="992" w:type="dxa"/>
            <w:tcBorders>
              <w:top w:val="nil"/>
              <w:left w:val="single" w:sz="4" w:space="0" w:color="auto"/>
              <w:bottom w:val="single" w:sz="4" w:space="0" w:color="auto"/>
              <w:right w:val="nil"/>
            </w:tcBorders>
            <w:shd w:val="clear" w:color="auto" w:fill="auto"/>
            <w:vAlign w:val="center"/>
            <w:hideMark/>
          </w:tcPr>
          <w:p w14:paraId="212C88E4" w14:textId="77777777" w:rsidR="00387142" w:rsidRPr="008B6A75" w:rsidRDefault="00387142" w:rsidP="00387142">
            <w:pPr>
              <w:jc w:val="right"/>
              <w:rPr>
                <w:sz w:val="20"/>
                <w:szCs w:val="20"/>
              </w:rPr>
            </w:pPr>
            <w:r w:rsidRPr="008B6A75">
              <w:rPr>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448C671F" w14:textId="77777777" w:rsidR="00387142" w:rsidRPr="008B6A75" w:rsidRDefault="00387142" w:rsidP="00387142">
            <w:pPr>
              <w:jc w:val="right"/>
              <w:rPr>
                <w:sz w:val="20"/>
                <w:szCs w:val="20"/>
              </w:rPr>
            </w:pPr>
            <w:r w:rsidRPr="008B6A75">
              <w:rPr>
                <w:sz w:val="20"/>
                <w:szCs w:val="20"/>
              </w:rPr>
              <w:t>0,00</w:t>
            </w:r>
          </w:p>
        </w:tc>
      </w:tr>
      <w:tr w:rsidR="00387142" w:rsidRPr="008B6A75" w14:paraId="25F4B9CD" w14:textId="77777777" w:rsidTr="00387142">
        <w:trPr>
          <w:trHeight w:val="345"/>
        </w:trPr>
        <w:tc>
          <w:tcPr>
            <w:tcW w:w="3261" w:type="dxa"/>
            <w:tcBorders>
              <w:top w:val="nil"/>
              <w:left w:val="single" w:sz="4" w:space="0" w:color="auto"/>
              <w:bottom w:val="single" w:sz="4" w:space="0" w:color="auto"/>
              <w:right w:val="nil"/>
            </w:tcBorders>
            <w:shd w:val="clear" w:color="auto" w:fill="auto"/>
            <w:vAlign w:val="center"/>
            <w:hideMark/>
          </w:tcPr>
          <w:p w14:paraId="5E8A823A" w14:textId="77777777" w:rsidR="00387142" w:rsidRPr="008B6A75" w:rsidRDefault="00387142" w:rsidP="00387142">
            <w:pPr>
              <w:rPr>
                <w:sz w:val="20"/>
                <w:szCs w:val="20"/>
              </w:rPr>
            </w:pPr>
            <w:r w:rsidRPr="008B6A75">
              <w:rPr>
                <w:sz w:val="20"/>
                <w:szCs w:val="20"/>
              </w:rPr>
              <w:t>Субсидии бюджетным учреждениям</w:t>
            </w:r>
          </w:p>
        </w:tc>
        <w:tc>
          <w:tcPr>
            <w:tcW w:w="720" w:type="dxa"/>
            <w:tcBorders>
              <w:top w:val="nil"/>
              <w:left w:val="single" w:sz="4" w:space="0" w:color="auto"/>
              <w:bottom w:val="single" w:sz="4" w:space="0" w:color="auto"/>
              <w:right w:val="nil"/>
            </w:tcBorders>
            <w:shd w:val="clear" w:color="auto" w:fill="auto"/>
            <w:noWrap/>
            <w:vAlign w:val="center"/>
            <w:hideMark/>
          </w:tcPr>
          <w:p w14:paraId="02B2C3F0" w14:textId="77777777" w:rsidR="00387142" w:rsidRPr="008B6A75" w:rsidRDefault="00387142" w:rsidP="00387142">
            <w:pPr>
              <w:jc w:val="center"/>
              <w:rPr>
                <w:sz w:val="20"/>
                <w:szCs w:val="20"/>
              </w:rPr>
            </w:pPr>
            <w:r w:rsidRPr="008B6A75">
              <w:rPr>
                <w:sz w:val="20"/>
                <w:szCs w:val="20"/>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F139200" w14:textId="77777777" w:rsidR="00387142" w:rsidRPr="008B6A75" w:rsidRDefault="00387142" w:rsidP="00387142">
            <w:pPr>
              <w:jc w:val="center"/>
              <w:rPr>
                <w:sz w:val="20"/>
                <w:szCs w:val="20"/>
              </w:rPr>
            </w:pPr>
            <w:r w:rsidRPr="008B6A75">
              <w:rPr>
                <w:sz w:val="20"/>
                <w:szCs w:val="20"/>
              </w:rPr>
              <w:t>06</w:t>
            </w:r>
          </w:p>
        </w:tc>
        <w:tc>
          <w:tcPr>
            <w:tcW w:w="1516" w:type="dxa"/>
            <w:tcBorders>
              <w:top w:val="nil"/>
              <w:left w:val="single" w:sz="4" w:space="0" w:color="auto"/>
              <w:bottom w:val="single" w:sz="4" w:space="0" w:color="auto"/>
              <w:right w:val="nil"/>
            </w:tcBorders>
            <w:shd w:val="clear" w:color="auto" w:fill="auto"/>
            <w:noWrap/>
            <w:vAlign w:val="center"/>
            <w:hideMark/>
          </w:tcPr>
          <w:p w14:paraId="4CD4CC3D" w14:textId="77777777" w:rsidR="00387142" w:rsidRPr="008B6A75" w:rsidRDefault="00387142" w:rsidP="00387142">
            <w:pPr>
              <w:jc w:val="center"/>
              <w:rPr>
                <w:sz w:val="20"/>
                <w:szCs w:val="20"/>
              </w:rPr>
            </w:pPr>
            <w:r w:rsidRPr="008B6A75">
              <w:rPr>
                <w:sz w:val="20"/>
                <w:szCs w:val="20"/>
              </w:rPr>
              <w:t>07.4.00.S0929</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AAC2085" w14:textId="77777777" w:rsidR="00387142" w:rsidRPr="008B6A75" w:rsidRDefault="00387142" w:rsidP="00387142">
            <w:pPr>
              <w:jc w:val="center"/>
              <w:rPr>
                <w:sz w:val="20"/>
                <w:szCs w:val="20"/>
              </w:rPr>
            </w:pPr>
            <w:r w:rsidRPr="008B6A75">
              <w:rPr>
                <w:sz w:val="20"/>
                <w:szCs w:val="20"/>
              </w:rPr>
              <w:t>610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868586B" w14:textId="77777777" w:rsidR="00387142" w:rsidRPr="008B6A75" w:rsidRDefault="00387142" w:rsidP="00387142">
            <w:pPr>
              <w:jc w:val="right"/>
              <w:rPr>
                <w:sz w:val="20"/>
                <w:szCs w:val="20"/>
              </w:rPr>
            </w:pPr>
            <w:r w:rsidRPr="008B6A75">
              <w:rPr>
                <w:sz w:val="20"/>
                <w:szCs w:val="20"/>
              </w:rPr>
              <w:t>36 778,00</w:t>
            </w:r>
          </w:p>
        </w:tc>
        <w:tc>
          <w:tcPr>
            <w:tcW w:w="992" w:type="dxa"/>
            <w:tcBorders>
              <w:top w:val="nil"/>
              <w:left w:val="single" w:sz="4" w:space="0" w:color="auto"/>
              <w:bottom w:val="single" w:sz="4" w:space="0" w:color="auto"/>
              <w:right w:val="nil"/>
            </w:tcBorders>
            <w:shd w:val="clear" w:color="auto" w:fill="auto"/>
            <w:vAlign w:val="center"/>
            <w:hideMark/>
          </w:tcPr>
          <w:p w14:paraId="3614F35D" w14:textId="77777777" w:rsidR="00387142" w:rsidRPr="008B6A75" w:rsidRDefault="00387142" w:rsidP="00387142">
            <w:pPr>
              <w:jc w:val="right"/>
              <w:rPr>
                <w:sz w:val="20"/>
                <w:szCs w:val="20"/>
              </w:rPr>
            </w:pPr>
            <w:r w:rsidRPr="008B6A75">
              <w:rPr>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5CC8FF3D" w14:textId="77777777" w:rsidR="00387142" w:rsidRPr="008B6A75" w:rsidRDefault="00387142" w:rsidP="00387142">
            <w:pPr>
              <w:jc w:val="right"/>
              <w:rPr>
                <w:sz w:val="20"/>
                <w:szCs w:val="20"/>
              </w:rPr>
            </w:pPr>
            <w:r w:rsidRPr="008B6A75">
              <w:rPr>
                <w:sz w:val="20"/>
                <w:szCs w:val="20"/>
              </w:rPr>
              <w:t>0,00</w:t>
            </w:r>
          </w:p>
        </w:tc>
      </w:tr>
      <w:tr w:rsidR="00387142" w:rsidRPr="008B6A75" w14:paraId="46C095F1" w14:textId="77777777" w:rsidTr="00387142">
        <w:trPr>
          <w:trHeight w:val="1440"/>
        </w:trPr>
        <w:tc>
          <w:tcPr>
            <w:tcW w:w="3261" w:type="dxa"/>
            <w:tcBorders>
              <w:top w:val="nil"/>
              <w:left w:val="single" w:sz="4" w:space="0" w:color="auto"/>
              <w:bottom w:val="single" w:sz="4" w:space="0" w:color="auto"/>
              <w:right w:val="nil"/>
            </w:tcBorders>
            <w:shd w:val="clear" w:color="auto" w:fill="auto"/>
            <w:vAlign w:val="center"/>
            <w:hideMark/>
          </w:tcPr>
          <w:p w14:paraId="3888C3DE" w14:textId="77777777" w:rsidR="00387142" w:rsidRPr="008B6A75" w:rsidRDefault="00387142" w:rsidP="00387142">
            <w:pPr>
              <w:rPr>
                <w:bCs/>
                <w:sz w:val="20"/>
                <w:szCs w:val="20"/>
              </w:rPr>
            </w:pPr>
            <w:r w:rsidRPr="008B6A75">
              <w:rPr>
                <w:bCs/>
                <w:sz w:val="20"/>
                <w:szCs w:val="20"/>
              </w:rPr>
              <w:t>Муниципальная программа "Муниципальная поддержка социально ориентированных некоммерческих организаций, общественных объединений и гражданских инициатив в Куйбышевском районе"</w:t>
            </w:r>
          </w:p>
        </w:tc>
        <w:tc>
          <w:tcPr>
            <w:tcW w:w="720" w:type="dxa"/>
            <w:tcBorders>
              <w:top w:val="nil"/>
              <w:left w:val="single" w:sz="4" w:space="0" w:color="auto"/>
              <w:bottom w:val="single" w:sz="4" w:space="0" w:color="auto"/>
              <w:right w:val="nil"/>
            </w:tcBorders>
            <w:shd w:val="clear" w:color="auto" w:fill="auto"/>
            <w:noWrap/>
            <w:vAlign w:val="center"/>
            <w:hideMark/>
          </w:tcPr>
          <w:p w14:paraId="71CEDFAE" w14:textId="77777777" w:rsidR="00387142" w:rsidRPr="008B6A75" w:rsidRDefault="00387142" w:rsidP="00387142">
            <w:pPr>
              <w:jc w:val="center"/>
              <w:rPr>
                <w:bCs/>
                <w:sz w:val="20"/>
                <w:szCs w:val="20"/>
              </w:rPr>
            </w:pPr>
            <w:r w:rsidRPr="008B6A75">
              <w:rPr>
                <w:bCs/>
                <w:sz w:val="20"/>
                <w:szCs w:val="20"/>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86813B8" w14:textId="77777777" w:rsidR="00387142" w:rsidRPr="008B6A75" w:rsidRDefault="00387142" w:rsidP="00387142">
            <w:pPr>
              <w:jc w:val="center"/>
              <w:rPr>
                <w:bCs/>
                <w:sz w:val="20"/>
                <w:szCs w:val="20"/>
              </w:rPr>
            </w:pPr>
            <w:r w:rsidRPr="008B6A75">
              <w:rPr>
                <w:bCs/>
                <w:sz w:val="20"/>
                <w:szCs w:val="20"/>
              </w:rPr>
              <w:t>06</w:t>
            </w:r>
          </w:p>
        </w:tc>
        <w:tc>
          <w:tcPr>
            <w:tcW w:w="1516" w:type="dxa"/>
            <w:tcBorders>
              <w:top w:val="nil"/>
              <w:left w:val="single" w:sz="4" w:space="0" w:color="auto"/>
              <w:bottom w:val="single" w:sz="4" w:space="0" w:color="auto"/>
              <w:right w:val="nil"/>
            </w:tcBorders>
            <w:shd w:val="clear" w:color="auto" w:fill="auto"/>
            <w:noWrap/>
            <w:vAlign w:val="center"/>
            <w:hideMark/>
          </w:tcPr>
          <w:p w14:paraId="3BC936E9" w14:textId="77777777" w:rsidR="00387142" w:rsidRPr="008B6A75" w:rsidRDefault="00387142" w:rsidP="00387142">
            <w:pPr>
              <w:jc w:val="center"/>
              <w:rPr>
                <w:bCs/>
                <w:sz w:val="20"/>
                <w:szCs w:val="20"/>
              </w:rPr>
            </w:pPr>
            <w:r w:rsidRPr="008B6A75">
              <w:rPr>
                <w:bCs/>
                <w:sz w:val="20"/>
                <w:szCs w:val="20"/>
              </w:rPr>
              <w:t>31.0.00.00000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14C63E9"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AA19E43" w14:textId="77777777" w:rsidR="00387142" w:rsidRPr="008B6A75" w:rsidRDefault="00387142" w:rsidP="00387142">
            <w:pPr>
              <w:jc w:val="right"/>
              <w:rPr>
                <w:bCs/>
                <w:sz w:val="20"/>
                <w:szCs w:val="20"/>
              </w:rPr>
            </w:pPr>
            <w:r w:rsidRPr="008B6A75">
              <w:rPr>
                <w:bCs/>
                <w:sz w:val="20"/>
                <w:szCs w:val="20"/>
              </w:rPr>
              <w:t>100 000,00</w:t>
            </w:r>
          </w:p>
        </w:tc>
        <w:tc>
          <w:tcPr>
            <w:tcW w:w="992" w:type="dxa"/>
            <w:tcBorders>
              <w:top w:val="nil"/>
              <w:left w:val="single" w:sz="4" w:space="0" w:color="auto"/>
              <w:bottom w:val="single" w:sz="4" w:space="0" w:color="auto"/>
              <w:right w:val="nil"/>
            </w:tcBorders>
            <w:shd w:val="clear" w:color="auto" w:fill="auto"/>
            <w:vAlign w:val="center"/>
            <w:hideMark/>
          </w:tcPr>
          <w:p w14:paraId="05414829" w14:textId="77777777" w:rsidR="00387142" w:rsidRPr="008B6A75" w:rsidRDefault="00387142" w:rsidP="00387142">
            <w:pPr>
              <w:jc w:val="right"/>
              <w:rPr>
                <w:bCs/>
                <w:sz w:val="20"/>
                <w:szCs w:val="20"/>
              </w:rPr>
            </w:pPr>
            <w:r w:rsidRPr="008B6A75">
              <w:rPr>
                <w:bCs/>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3479FBE0" w14:textId="77777777" w:rsidR="00387142" w:rsidRPr="008B6A75" w:rsidRDefault="00387142" w:rsidP="00387142">
            <w:pPr>
              <w:jc w:val="right"/>
              <w:rPr>
                <w:bCs/>
                <w:sz w:val="20"/>
                <w:szCs w:val="20"/>
              </w:rPr>
            </w:pPr>
            <w:r w:rsidRPr="008B6A75">
              <w:rPr>
                <w:bCs/>
                <w:sz w:val="20"/>
                <w:szCs w:val="20"/>
              </w:rPr>
              <w:t>0,00</w:t>
            </w:r>
          </w:p>
        </w:tc>
      </w:tr>
      <w:tr w:rsidR="00387142" w:rsidRPr="008B6A75" w14:paraId="13F97C88" w14:textId="77777777" w:rsidTr="00387142">
        <w:trPr>
          <w:trHeight w:val="1725"/>
        </w:trPr>
        <w:tc>
          <w:tcPr>
            <w:tcW w:w="3261" w:type="dxa"/>
            <w:tcBorders>
              <w:top w:val="nil"/>
              <w:left w:val="single" w:sz="4" w:space="0" w:color="auto"/>
              <w:bottom w:val="single" w:sz="4" w:space="0" w:color="auto"/>
              <w:right w:val="nil"/>
            </w:tcBorders>
            <w:shd w:val="clear" w:color="auto" w:fill="auto"/>
            <w:vAlign w:val="center"/>
            <w:hideMark/>
          </w:tcPr>
          <w:p w14:paraId="65452906" w14:textId="77777777" w:rsidR="00387142" w:rsidRPr="008B6A75" w:rsidRDefault="00387142" w:rsidP="00387142">
            <w:pPr>
              <w:rPr>
                <w:bCs/>
                <w:sz w:val="20"/>
                <w:szCs w:val="20"/>
              </w:rPr>
            </w:pPr>
            <w:r w:rsidRPr="008B6A75">
              <w:rPr>
                <w:bCs/>
                <w:sz w:val="20"/>
                <w:szCs w:val="20"/>
              </w:rPr>
              <w:t>Реализация мероприятий муниципальной программы "Муниципальная поддержка социально ориентированных некоммерческих организаций, общественных объединений и гражданских инициатив в Куйбышевском районе"</w:t>
            </w:r>
          </w:p>
        </w:tc>
        <w:tc>
          <w:tcPr>
            <w:tcW w:w="720" w:type="dxa"/>
            <w:tcBorders>
              <w:top w:val="nil"/>
              <w:left w:val="single" w:sz="4" w:space="0" w:color="auto"/>
              <w:bottom w:val="single" w:sz="4" w:space="0" w:color="auto"/>
              <w:right w:val="nil"/>
            </w:tcBorders>
            <w:shd w:val="clear" w:color="auto" w:fill="auto"/>
            <w:noWrap/>
            <w:vAlign w:val="center"/>
            <w:hideMark/>
          </w:tcPr>
          <w:p w14:paraId="2943A94B" w14:textId="77777777" w:rsidR="00387142" w:rsidRPr="008B6A75" w:rsidRDefault="00387142" w:rsidP="00387142">
            <w:pPr>
              <w:jc w:val="center"/>
              <w:rPr>
                <w:bCs/>
                <w:sz w:val="20"/>
                <w:szCs w:val="20"/>
              </w:rPr>
            </w:pPr>
            <w:r w:rsidRPr="008B6A75">
              <w:rPr>
                <w:bCs/>
                <w:sz w:val="20"/>
                <w:szCs w:val="20"/>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3C25B1E" w14:textId="77777777" w:rsidR="00387142" w:rsidRPr="008B6A75" w:rsidRDefault="00387142" w:rsidP="00387142">
            <w:pPr>
              <w:jc w:val="center"/>
              <w:rPr>
                <w:bCs/>
                <w:sz w:val="20"/>
                <w:szCs w:val="20"/>
              </w:rPr>
            </w:pPr>
            <w:r w:rsidRPr="008B6A75">
              <w:rPr>
                <w:bCs/>
                <w:sz w:val="20"/>
                <w:szCs w:val="20"/>
              </w:rPr>
              <w:t>06</w:t>
            </w:r>
          </w:p>
        </w:tc>
        <w:tc>
          <w:tcPr>
            <w:tcW w:w="1516" w:type="dxa"/>
            <w:tcBorders>
              <w:top w:val="nil"/>
              <w:left w:val="single" w:sz="4" w:space="0" w:color="auto"/>
              <w:bottom w:val="single" w:sz="4" w:space="0" w:color="auto"/>
              <w:right w:val="nil"/>
            </w:tcBorders>
            <w:shd w:val="clear" w:color="auto" w:fill="auto"/>
            <w:noWrap/>
            <w:vAlign w:val="center"/>
            <w:hideMark/>
          </w:tcPr>
          <w:p w14:paraId="722E6291" w14:textId="77777777" w:rsidR="00387142" w:rsidRPr="008B6A75" w:rsidRDefault="00387142" w:rsidP="00387142">
            <w:pPr>
              <w:jc w:val="center"/>
              <w:rPr>
                <w:bCs/>
                <w:sz w:val="20"/>
                <w:szCs w:val="20"/>
              </w:rPr>
            </w:pPr>
            <w:r w:rsidRPr="008B6A75">
              <w:rPr>
                <w:bCs/>
                <w:sz w:val="20"/>
                <w:szCs w:val="20"/>
              </w:rPr>
              <w:t>31.0.00.10850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8883841"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CE2FEE4" w14:textId="77777777" w:rsidR="00387142" w:rsidRPr="008B6A75" w:rsidRDefault="00387142" w:rsidP="00387142">
            <w:pPr>
              <w:jc w:val="right"/>
              <w:rPr>
                <w:bCs/>
                <w:sz w:val="20"/>
                <w:szCs w:val="20"/>
              </w:rPr>
            </w:pPr>
            <w:r w:rsidRPr="008B6A75">
              <w:rPr>
                <w:bCs/>
                <w:sz w:val="20"/>
                <w:szCs w:val="20"/>
              </w:rPr>
              <w:t>100 000,00</w:t>
            </w:r>
          </w:p>
        </w:tc>
        <w:tc>
          <w:tcPr>
            <w:tcW w:w="992" w:type="dxa"/>
            <w:tcBorders>
              <w:top w:val="nil"/>
              <w:left w:val="single" w:sz="4" w:space="0" w:color="auto"/>
              <w:bottom w:val="single" w:sz="4" w:space="0" w:color="auto"/>
              <w:right w:val="nil"/>
            </w:tcBorders>
            <w:shd w:val="clear" w:color="auto" w:fill="auto"/>
            <w:vAlign w:val="center"/>
            <w:hideMark/>
          </w:tcPr>
          <w:p w14:paraId="4B592C3F" w14:textId="77777777" w:rsidR="00387142" w:rsidRPr="008B6A75" w:rsidRDefault="00387142" w:rsidP="00387142">
            <w:pPr>
              <w:jc w:val="right"/>
              <w:rPr>
                <w:bCs/>
                <w:sz w:val="20"/>
                <w:szCs w:val="20"/>
              </w:rPr>
            </w:pPr>
            <w:r w:rsidRPr="008B6A75">
              <w:rPr>
                <w:bCs/>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3703484D" w14:textId="77777777" w:rsidR="00387142" w:rsidRPr="008B6A75" w:rsidRDefault="00387142" w:rsidP="00387142">
            <w:pPr>
              <w:jc w:val="right"/>
              <w:rPr>
                <w:bCs/>
                <w:sz w:val="20"/>
                <w:szCs w:val="20"/>
              </w:rPr>
            </w:pPr>
            <w:r w:rsidRPr="008B6A75">
              <w:rPr>
                <w:bCs/>
                <w:sz w:val="20"/>
                <w:szCs w:val="20"/>
              </w:rPr>
              <w:t>0,00</w:t>
            </w:r>
          </w:p>
        </w:tc>
      </w:tr>
      <w:tr w:rsidR="00387142" w:rsidRPr="008B6A75" w14:paraId="3B5CC8A9" w14:textId="77777777" w:rsidTr="00387142">
        <w:trPr>
          <w:trHeight w:val="870"/>
        </w:trPr>
        <w:tc>
          <w:tcPr>
            <w:tcW w:w="3261" w:type="dxa"/>
            <w:tcBorders>
              <w:top w:val="nil"/>
              <w:left w:val="single" w:sz="4" w:space="0" w:color="auto"/>
              <w:bottom w:val="single" w:sz="4" w:space="0" w:color="auto"/>
              <w:right w:val="nil"/>
            </w:tcBorders>
            <w:shd w:val="clear" w:color="auto" w:fill="auto"/>
            <w:vAlign w:val="center"/>
            <w:hideMark/>
          </w:tcPr>
          <w:p w14:paraId="652B169D" w14:textId="77777777" w:rsidR="00387142" w:rsidRPr="008B6A75" w:rsidRDefault="00387142" w:rsidP="00387142">
            <w:pPr>
              <w:rPr>
                <w:sz w:val="20"/>
                <w:szCs w:val="20"/>
              </w:rPr>
            </w:pPr>
            <w:r w:rsidRPr="008B6A75">
              <w:rPr>
                <w:sz w:val="20"/>
                <w:szCs w:val="20"/>
              </w:rPr>
              <w:t>Предоставление субсидий бюджетным, автономным учреждениям и иным некоммерческим организациям</w:t>
            </w:r>
          </w:p>
        </w:tc>
        <w:tc>
          <w:tcPr>
            <w:tcW w:w="720" w:type="dxa"/>
            <w:tcBorders>
              <w:top w:val="nil"/>
              <w:left w:val="single" w:sz="4" w:space="0" w:color="auto"/>
              <w:bottom w:val="single" w:sz="4" w:space="0" w:color="auto"/>
              <w:right w:val="nil"/>
            </w:tcBorders>
            <w:shd w:val="clear" w:color="auto" w:fill="auto"/>
            <w:noWrap/>
            <w:vAlign w:val="center"/>
            <w:hideMark/>
          </w:tcPr>
          <w:p w14:paraId="410F817E" w14:textId="77777777" w:rsidR="00387142" w:rsidRPr="008B6A75" w:rsidRDefault="00387142" w:rsidP="00387142">
            <w:pPr>
              <w:jc w:val="center"/>
              <w:rPr>
                <w:sz w:val="20"/>
                <w:szCs w:val="20"/>
              </w:rPr>
            </w:pPr>
            <w:r w:rsidRPr="008B6A75">
              <w:rPr>
                <w:sz w:val="20"/>
                <w:szCs w:val="20"/>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AE78D4D" w14:textId="77777777" w:rsidR="00387142" w:rsidRPr="008B6A75" w:rsidRDefault="00387142" w:rsidP="00387142">
            <w:pPr>
              <w:jc w:val="center"/>
              <w:rPr>
                <w:sz w:val="20"/>
                <w:szCs w:val="20"/>
              </w:rPr>
            </w:pPr>
            <w:r w:rsidRPr="008B6A75">
              <w:rPr>
                <w:sz w:val="20"/>
                <w:szCs w:val="20"/>
              </w:rPr>
              <w:t>06</w:t>
            </w:r>
          </w:p>
        </w:tc>
        <w:tc>
          <w:tcPr>
            <w:tcW w:w="1516" w:type="dxa"/>
            <w:tcBorders>
              <w:top w:val="nil"/>
              <w:left w:val="single" w:sz="4" w:space="0" w:color="auto"/>
              <w:bottom w:val="single" w:sz="4" w:space="0" w:color="auto"/>
              <w:right w:val="nil"/>
            </w:tcBorders>
            <w:shd w:val="clear" w:color="auto" w:fill="auto"/>
            <w:noWrap/>
            <w:vAlign w:val="center"/>
            <w:hideMark/>
          </w:tcPr>
          <w:p w14:paraId="7024843C" w14:textId="77777777" w:rsidR="00387142" w:rsidRPr="008B6A75" w:rsidRDefault="00387142" w:rsidP="00387142">
            <w:pPr>
              <w:jc w:val="center"/>
              <w:rPr>
                <w:sz w:val="20"/>
                <w:szCs w:val="20"/>
              </w:rPr>
            </w:pPr>
            <w:r w:rsidRPr="008B6A75">
              <w:rPr>
                <w:sz w:val="20"/>
                <w:szCs w:val="20"/>
              </w:rPr>
              <w:t>31.0.00.10850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3F1D3A7" w14:textId="77777777" w:rsidR="00387142" w:rsidRPr="008B6A75" w:rsidRDefault="00387142" w:rsidP="00387142">
            <w:pPr>
              <w:jc w:val="center"/>
              <w:rPr>
                <w:sz w:val="20"/>
                <w:szCs w:val="20"/>
              </w:rPr>
            </w:pPr>
            <w:r w:rsidRPr="008B6A75">
              <w:rPr>
                <w:sz w:val="20"/>
                <w:szCs w:val="20"/>
              </w:rPr>
              <w:t>600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F519033" w14:textId="77777777" w:rsidR="00387142" w:rsidRPr="008B6A75" w:rsidRDefault="00387142" w:rsidP="00387142">
            <w:pPr>
              <w:jc w:val="right"/>
              <w:rPr>
                <w:sz w:val="20"/>
                <w:szCs w:val="20"/>
              </w:rPr>
            </w:pPr>
            <w:r w:rsidRPr="008B6A75">
              <w:rPr>
                <w:sz w:val="20"/>
                <w:szCs w:val="20"/>
              </w:rPr>
              <w:t>100 000,00</w:t>
            </w:r>
          </w:p>
        </w:tc>
        <w:tc>
          <w:tcPr>
            <w:tcW w:w="992" w:type="dxa"/>
            <w:tcBorders>
              <w:top w:val="nil"/>
              <w:left w:val="single" w:sz="4" w:space="0" w:color="auto"/>
              <w:bottom w:val="single" w:sz="4" w:space="0" w:color="auto"/>
              <w:right w:val="nil"/>
            </w:tcBorders>
            <w:shd w:val="clear" w:color="auto" w:fill="auto"/>
            <w:vAlign w:val="center"/>
            <w:hideMark/>
          </w:tcPr>
          <w:p w14:paraId="6715C8E5" w14:textId="77777777" w:rsidR="00387142" w:rsidRPr="008B6A75" w:rsidRDefault="00387142" w:rsidP="00387142">
            <w:pPr>
              <w:jc w:val="right"/>
              <w:rPr>
                <w:sz w:val="20"/>
                <w:szCs w:val="20"/>
              </w:rPr>
            </w:pPr>
            <w:r w:rsidRPr="008B6A75">
              <w:rPr>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49C8E743" w14:textId="77777777" w:rsidR="00387142" w:rsidRPr="008B6A75" w:rsidRDefault="00387142" w:rsidP="00387142">
            <w:pPr>
              <w:jc w:val="right"/>
              <w:rPr>
                <w:sz w:val="20"/>
                <w:szCs w:val="20"/>
              </w:rPr>
            </w:pPr>
            <w:r w:rsidRPr="008B6A75">
              <w:rPr>
                <w:sz w:val="20"/>
                <w:szCs w:val="20"/>
              </w:rPr>
              <w:t>0,00</w:t>
            </w:r>
          </w:p>
        </w:tc>
      </w:tr>
      <w:tr w:rsidR="00387142" w:rsidRPr="008B6A75" w14:paraId="6262B465" w14:textId="77777777" w:rsidTr="00387142">
        <w:trPr>
          <w:trHeight w:val="345"/>
        </w:trPr>
        <w:tc>
          <w:tcPr>
            <w:tcW w:w="3261" w:type="dxa"/>
            <w:tcBorders>
              <w:top w:val="nil"/>
              <w:left w:val="single" w:sz="4" w:space="0" w:color="auto"/>
              <w:bottom w:val="single" w:sz="4" w:space="0" w:color="auto"/>
              <w:right w:val="nil"/>
            </w:tcBorders>
            <w:shd w:val="clear" w:color="auto" w:fill="auto"/>
            <w:vAlign w:val="center"/>
            <w:hideMark/>
          </w:tcPr>
          <w:p w14:paraId="718AD4A2" w14:textId="77777777" w:rsidR="00387142" w:rsidRPr="008B6A75" w:rsidRDefault="00387142" w:rsidP="00387142">
            <w:pPr>
              <w:rPr>
                <w:sz w:val="20"/>
                <w:szCs w:val="20"/>
              </w:rPr>
            </w:pPr>
            <w:r w:rsidRPr="008B6A75">
              <w:rPr>
                <w:sz w:val="20"/>
                <w:szCs w:val="20"/>
              </w:rPr>
              <w:t>Субсидии бюджетным учреждениям</w:t>
            </w:r>
          </w:p>
        </w:tc>
        <w:tc>
          <w:tcPr>
            <w:tcW w:w="720" w:type="dxa"/>
            <w:tcBorders>
              <w:top w:val="nil"/>
              <w:left w:val="single" w:sz="4" w:space="0" w:color="auto"/>
              <w:bottom w:val="single" w:sz="4" w:space="0" w:color="auto"/>
              <w:right w:val="nil"/>
            </w:tcBorders>
            <w:shd w:val="clear" w:color="auto" w:fill="auto"/>
            <w:noWrap/>
            <w:vAlign w:val="center"/>
            <w:hideMark/>
          </w:tcPr>
          <w:p w14:paraId="760C3180" w14:textId="77777777" w:rsidR="00387142" w:rsidRPr="008B6A75" w:rsidRDefault="00387142" w:rsidP="00387142">
            <w:pPr>
              <w:jc w:val="center"/>
              <w:rPr>
                <w:sz w:val="20"/>
                <w:szCs w:val="20"/>
              </w:rPr>
            </w:pPr>
            <w:r w:rsidRPr="008B6A75">
              <w:rPr>
                <w:sz w:val="20"/>
                <w:szCs w:val="20"/>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CD3F602" w14:textId="77777777" w:rsidR="00387142" w:rsidRPr="008B6A75" w:rsidRDefault="00387142" w:rsidP="00387142">
            <w:pPr>
              <w:jc w:val="center"/>
              <w:rPr>
                <w:sz w:val="20"/>
                <w:szCs w:val="20"/>
              </w:rPr>
            </w:pPr>
            <w:r w:rsidRPr="008B6A75">
              <w:rPr>
                <w:sz w:val="20"/>
                <w:szCs w:val="20"/>
              </w:rPr>
              <w:t>06</w:t>
            </w:r>
          </w:p>
        </w:tc>
        <w:tc>
          <w:tcPr>
            <w:tcW w:w="1516" w:type="dxa"/>
            <w:tcBorders>
              <w:top w:val="nil"/>
              <w:left w:val="single" w:sz="4" w:space="0" w:color="auto"/>
              <w:bottom w:val="single" w:sz="4" w:space="0" w:color="auto"/>
              <w:right w:val="nil"/>
            </w:tcBorders>
            <w:shd w:val="clear" w:color="auto" w:fill="auto"/>
            <w:noWrap/>
            <w:vAlign w:val="center"/>
            <w:hideMark/>
          </w:tcPr>
          <w:p w14:paraId="7A9183F7" w14:textId="77777777" w:rsidR="00387142" w:rsidRPr="008B6A75" w:rsidRDefault="00387142" w:rsidP="00387142">
            <w:pPr>
              <w:jc w:val="center"/>
              <w:rPr>
                <w:sz w:val="20"/>
                <w:szCs w:val="20"/>
              </w:rPr>
            </w:pPr>
            <w:r w:rsidRPr="008B6A75">
              <w:rPr>
                <w:sz w:val="20"/>
                <w:szCs w:val="20"/>
              </w:rPr>
              <w:t>31.0.00.10850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B808162" w14:textId="77777777" w:rsidR="00387142" w:rsidRPr="008B6A75" w:rsidRDefault="00387142" w:rsidP="00387142">
            <w:pPr>
              <w:jc w:val="center"/>
              <w:rPr>
                <w:sz w:val="20"/>
                <w:szCs w:val="20"/>
              </w:rPr>
            </w:pPr>
            <w:r w:rsidRPr="008B6A75">
              <w:rPr>
                <w:sz w:val="20"/>
                <w:szCs w:val="20"/>
              </w:rPr>
              <w:t>610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BF060BF" w14:textId="77777777" w:rsidR="00387142" w:rsidRPr="008B6A75" w:rsidRDefault="00387142" w:rsidP="00387142">
            <w:pPr>
              <w:jc w:val="right"/>
              <w:rPr>
                <w:sz w:val="20"/>
                <w:szCs w:val="20"/>
              </w:rPr>
            </w:pPr>
            <w:r w:rsidRPr="008B6A75">
              <w:rPr>
                <w:sz w:val="20"/>
                <w:szCs w:val="20"/>
              </w:rPr>
              <w:t>100 000,00</w:t>
            </w:r>
          </w:p>
        </w:tc>
        <w:tc>
          <w:tcPr>
            <w:tcW w:w="992" w:type="dxa"/>
            <w:tcBorders>
              <w:top w:val="nil"/>
              <w:left w:val="single" w:sz="4" w:space="0" w:color="auto"/>
              <w:bottom w:val="single" w:sz="4" w:space="0" w:color="auto"/>
              <w:right w:val="nil"/>
            </w:tcBorders>
            <w:shd w:val="clear" w:color="auto" w:fill="auto"/>
            <w:vAlign w:val="center"/>
            <w:hideMark/>
          </w:tcPr>
          <w:p w14:paraId="5FBC588D" w14:textId="77777777" w:rsidR="00387142" w:rsidRPr="008B6A75" w:rsidRDefault="00387142" w:rsidP="00387142">
            <w:pPr>
              <w:jc w:val="right"/>
              <w:rPr>
                <w:sz w:val="20"/>
                <w:szCs w:val="20"/>
              </w:rPr>
            </w:pPr>
            <w:r w:rsidRPr="008B6A75">
              <w:rPr>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579DF8E8" w14:textId="77777777" w:rsidR="00387142" w:rsidRPr="008B6A75" w:rsidRDefault="00387142" w:rsidP="00387142">
            <w:pPr>
              <w:jc w:val="right"/>
              <w:rPr>
                <w:sz w:val="20"/>
                <w:szCs w:val="20"/>
              </w:rPr>
            </w:pPr>
            <w:r w:rsidRPr="008B6A75">
              <w:rPr>
                <w:sz w:val="20"/>
                <w:szCs w:val="20"/>
              </w:rPr>
              <w:t>0,00</w:t>
            </w:r>
          </w:p>
        </w:tc>
      </w:tr>
      <w:tr w:rsidR="00387142" w:rsidRPr="008B6A75" w14:paraId="6372CB2F" w14:textId="77777777" w:rsidTr="00387142">
        <w:trPr>
          <w:trHeight w:val="345"/>
        </w:trPr>
        <w:tc>
          <w:tcPr>
            <w:tcW w:w="3261" w:type="dxa"/>
            <w:tcBorders>
              <w:top w:val="nil"/>
              <w:left w:val="single" w:sz="4" w:space="0" w:color="auto"/>
              <w:bottom w:val="single" w:sz="4" w:space="0" w:color="auto"/>
              <w:right w:val="nil"/>
            </w:tcBorders>
            <w:shd w:val="clear" w:color="auto" w:fill="auto"/>
            <w:vAlign w:val="center"/>
            <w:hideMark/>
          </w:tcPr>
          <w:p w14:paraId="7FAF77E8" w14:textId="77777777" w:rsidR="00387142" w:rsidRPr="008B6A75" w:rsidRDefault="00387142" w:rsidP="00387142">
            <w:pPr>
              <w:rPr>
                <w:bCs/>
                <w:sz w:val="20"/>
                <w:szCs w:val="20"/>
              </w:rPr>
            </w:pPr>
            <w:r w:rsidRPr="008B6A75">
              <w:rPr>
                <w:bCs/>
                <w:sz w:val="20"/>
                <w:szCs w:val="20"/>
              </w:rPr>
              <w:t>Непрограммные направления бюджета</w:t>
            </w:r>
          </w:p>
        </w:tc>
        <w:tc>
          <w:tcPr>
            <w:tcW w:w="720" w:type="dxa"/>
            <w:tcBorders>
              <w:top w:val="nil"/>
              <w:left w:val="single" w:sz="4" w:space="0" w:color="auto"/>
              <w:bottom w:val="single" w:sz="4" w:space="0" w:color="auto"/>
              <w:right w:val="nil"/>
            </w:tcBorders>
            <w:shd w:val="clear" w:color="auto" w:fill="auto"/>
            <w:noWrap/>
            <w:vAlign w:val="center"/>
            <w:hideMark/>
          </w:tcPr>
          <w:p w14:paraId="0997EABB" w14:textId="77777777" w:rsidR="00387142" w:rsidRPr="008B6A75" w:rsidRDefault="00387142" w:rsidP="00387142">
            <w:pPr>
              <w:jc w:val="center"/>
              <w:rPr>
                <w:bCs/>
                <w:sz w:val="20"/>
                <w:szCs w:val="20"/>
              </w:rPr>
            </w:pPr>
            <w:r w:rsidRPr="008B6A75">
              <w:rPr>
                <w:bCs/>
                <w:sz w:val="20"/>
                <w:szCs w:val="20"/>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414CDB2" w14:textId="77777777" w:rsidR="00387142" w:rsidRPr="008B6A75" w:rsidRDefault="00387142" w:rsidP="00387142">
            <w:pPr>
              <w:jc w:val="center"/>
              <w:rPr>
                <w:bCs/>
                <w:sz w:val="20"/>
                <w:szCs w:val="20"/>
              </w:rPr>
            </w:pPr>
            <w:r w:rsidRPr="008B6A75">
              <w:rPr>
                <w:bCs/>
                <w:sz w:val="20"/>
                <w:szCs w:val="20"/>
              </w:rPr>
              <w:t>06</w:t>
            </w:r>
          </w:p>
        </w:tc>
        <w:tc>
          <w:tcPr>
            <w:tcW w:w="1516" w:type="dxa"/>
            <w:tcBorders>
              <w:top w:val="nil"/>
              <w:left w:val="single" w:sz="4" w:space="0" w:color="auto"/>
              <w:bottom w:val="single" w:sz="4" w:space="0" w:color="auto"/>
              <w:right w:val="nil"/>
            </w:tcBorders>
            <w:shd w:val="clear" w:color="auto" w:fill="auto"/>
            <w:noWrap/>
            <w:vAlign w:val="center"/>
            <w:hideMark/>
          </w:tcPr>
          <w:p w14:paraId="4D23DD43" w14:textId="77777777" w:rsidR="00387142" w:rsidRPr="008B6A75" w:rsidRDefault="00387142" w:rsidP="00387142">
            <w:pPr>
              <w:jc w:val="center"/>
              <w:rPr>
                <w:bCs/>
                <w:sz w:val="20"/>
                <w:szCs w:val="20"/>
              </w:rPr>
            </w:pPr>
            <w:r w:rsidRPr="008B6A75">
              <w:rPr>
                <w:bCs/>
                <w:sz w:val="20"/>
                <w:szCs w:val="20"/>
              </w:rPr>
              <w:t>99.0.00.00000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3EC24A2"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5465E20" w14:textId="77777777" w:rsidR="00387142" w:rsidRPr="008B6A75" w:rsidRDefault="00387142" w:rsidP="00387142">
            <w:pPr>
              <w:jc w:val="right"/>
              <w:rPr>
                <w:bCs/>
                <w:sz w:val="20"/>
                <w:szCs w:val="20"/>
              </w:rPr>
            </w:pPr>
            <w:r w:rsidRPr="008B6A75">
              <w:rPr>
                <w:bCs/>
                <w:sz w:val="20"/>
                <w:szCs w:val="20"/>
              </w:rPr>
              <w:t>1 263 952,00</w:t>
            </w:r>
          </w:p>
        </w:tc>
        <w:tc>
          <w:tcPr>
            <w:tcW w:w="992" w:type="dxa"/>
            <w:tcBorders>
              <w:top w:val="nil"/>
              <w:left w:val="single" w:sz="4" w:space="0" w:color="auto"/>
              <w:bottom w:val="single" w:sz="4" w:space="0" w:color="auto"/>
              <w:right w:val="nil"/>
            </w:tcBorders>
            <w:shd w:val="clear" w:color="auto" w:fill="auto"/>
            <w:vAlign w:val="center"/>
            <w:hideMark/>
          </w:tcPr>
          <w:p w14:paraId="3795D475" w14:textId="77777777" w:rsidR="00387142" w:rsidRPr="008B6A75" w:rsidRDefault="00387142" w:rsidP="00387142">
            <w:pPr>
              <w:jc w:val="right"/>
              <w:rPr>
                <w:bCs/>
                <w:sz w:val="20"/>
                <w:szCs w:val="20"/>
              </w:rPr>
            </w:pPr>
            <w:r w:rsidRPr="008B6A75">
              <w:rPr>
                <w:bCs/>
                <w:sz w:val="20"/>
                <w:szCs w:val="20"/>
              </w:rPr>
              <w:t>1 355 962,00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0A045663" w14:textId="77777777" w:rsidR="00387142" w:rsidRPr="008B6A75" w:rsidRDefault="00387142" w:rsidP="00387142">
            <w:pPr>
              <w:jc w:val="right"/>
              <w:rPr>
                <w:bCs/>
                <w:sz w:val="20"/>
                <w:szCs w:val="20"/>
              </w:rPr>
            </w:pPr>
            <w:r w:rsidRPr="008B6A75">
              <w:rPr>
                <w:bCs/>
                <w:sz w:val="20"/>
                <w:szCs w:val="20"/>
              </w:rPr>
              <w:t>275 862,00</w:t>
            </w:r>
          </w:p>
        </w:tc>
      </w:tr>
      <w:tr w:rsidR="00387142" w:rsidRPr="008B6A75" w14:paraId="341DBEA0" w14:textId="77777777" w:rsidTr="00387142">
        <w:trPr>
          <w:trHeight w:val="870"/>
        </w:trPr>
        <w:tc>
          <w:tcPr>
            <w:tcW w:w="3261" w:type="dxa"/>
            <w:tcBorders>
              <w:top w:val="nil"/>
              <w:left w:val="single" w:sz="4" w:space="0" w:color="auto"/>
              <w:bottom w:val="single" w:sz="4" w:space="0" w:color="auto"/>
              <w:right w:val="nil"/>
            </w:tcBorders>
            <w:shd w:val="clear" w:color="auto" w:fill="auto"/>
            <w:vAlign w:val="center"/>
            <w:hideMark/>
          </w:tcPr>
          <w:p w14:paraId="45E9C542" w14:textId="77777777" w:rsidR="00387142" w:rsidRPr="008B6A75" w:rsidRDefault="00387142" w:rsidP="00387142">
            <w:pPr>
              <w:rPr>
                <w:bCs/>
                <w:sz w:val="20"/>
                <w:szCs w:val="20"/>
              </w:rPr>
            </w:pPr>
            <w:r w:rsidRPr="008B6A75">
              <w:rPr>
                <w:bCs/>
                <w:sz w:val="20"/>
                <w:szCs w:val="20"/>
              </w:rPr>
              <w:t xml:space="preserve">Расходы на предоставление </w:t>
            </w:r>
            <w:proofErr w:type="gramStart"/>
            <w:r w:rsidRPr="008B6A75">
              <w:rPr>
                <w:bCs/>
                <w:sz w:val="20"/>
                <w:szCs w:val="20"/>
              </w:rPr>
              <w:t>субсидий  отдельным</w:t>
            </w:r>
            <w:proofErr w:type="gramEnd"/>
            <w:r w:rsidRPr="008B6A75">
              <w:rPr>
                <w:bCs/>
                <w:sz w:val="20"/>
                <w:szCs w:val="20"/>
              </w:rPr>
              <w:t xml:space="preserve"> общественным организациям и иным некоммерческих организациям</w:t>
            </w:r>
          </w:p>
        </w:tc>
        <w:tc>
          <w:tcPr>
            <w:tcW w:w="720" w:type="dxa"/>
            <w:tcBorders>
              <w:top w:val="nil"/>
              <w:left w:val="single" w:sz="4" w:space="0" w:color="auto"/>
              <w:bottom w:val="single" w:sz="4" w:space="0" w:color="auto"/>
              <w:right w:val="nil"/>
            </w:tcBorders>
            <w:shd w:val="clear" w:color="auto" w:fill="auto"/>
            <w:noWrap/>
            <w:vAlign w:val="center"/>
            <w:hideMark/>
          </w:tcPr>
          <w:p w14:paraId="34414021" w14:textId="77777777" w:rsidR="00387142" w:rsidRPr="008B6A75" w:rsidRDefault="00387142" w:rsidP="00387142">
            <w:pPr>
              <w:jc w:val="center"/>
              <w:rPr>
                <w:bCs/>
                <w:sz w:val="20"/>
                <w:szCs w:val="20"/>
              </w:rPr>
            </w:pPr>
            <w:r w:rsidRPr="008B6A75">
              <w:rPr>
                <w:bCs/>
                <w:sz w:val="20"/>
                <w:szCs w:val="20"/>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64612F2" w14:textId="77777777" w:rsidR="00387142" w:rsidRPr="008B6A75" w:rsidRDefault="00387142" w:rsidP="00387142">
            <w:pPr>
              <w:jc w:val="center"/>
              <w:rPr>
                <w:bCs/>
                <w:sz w:val="20"/>
                <w:szCs w:val="20"/>
              </w:rPr>
            </w:pPr>
            <w:r w:rsidRPr="008B6A75">
              <w:rPr>
                <w:bCs/>
                <w:sz w:val="20"/>
                <w:szCs w:val="20"/>
              </w:rPr>
              <w:t>06</w:t>
            </w:r>
          </w:p>
        </w:tc>
        <w:tc>
          <w:tcPr>
            <w:tcW w:w="1516" w:type="dxa"/>
            <w:tcBorders>
              <w:top w:val="nil"/>
              <w:left w:val="single" w:sz="4" w:space="0" w:color="auto"/>
              <w:bottom w:val="single" w:sz="4" w:space="0" w:color="auto"/>
              <w:right w:val="nil"/>
            </w:tcBorders>
            <w:shd w:val="clear" w:color="auto" w:fill="auto"/>
            <w:noWrap/>
            <w:vAlign w:val="center"/>
            <w:hideMark/>
          </w:tcPr>
          <w:p w14:paraId="0951A968" w14:textId="77777777" w:rsidR="00387142" w:rsidRPr="008B6A75" w:rsidRDefault="00387142" w:rsidP="00387142">
            <w:pPr>
              <w:jc w:val="center"/>
              <w:rPr>
                <w:bCs/>
                <w:sz w:val="20"/>
                <w:szCs w:val="20"/>
              </w:rPr>
            </w:pPr>
            <w:r w:rsidRPr="008B6A75">
              <w:rPr>
                <w:bCs/>
                <w:sz w:val="20"/>
                <w:szCs w:val="20"/>
              </w:rPr>
              <w:t>99.0.00.10210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CDCA5F1"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7D6DA01" w14:textId="77777777" w:rsidR="00387142" w:rsidRPr="008B6A75" w:rsidRDefault="00387142" w:rsidP="00387142">
            <w:pPr>
              <w:jc w:val="right"/>
              <w:rPr>
                <w:bCs/>
                <w:sz w:val="20"/>
                <w:szCs w:val="20"/>
              </w:rPr>
            </w:pPr>
            <w:r w:rsidRPr="008B6A75">
              <w:rPr>
                <w:bCs/>
                <w:sz w:val="20"/>
                <w:szCs w:val="20"/>
              </w:rPr>
              <w:t>331 790,00</w:t>
            </w:r>
          </w:p>
        </w:tc>
        <w:tc>
          <w:tcPr>
            <w:tcW w:w="992" w:type="dxa"/>
            <w:tcBorders>
              <w:top w:val="nil"/>
              <w:left w:val="single" w:sz="4" w:space="0" w:color="auto"/>
              <w:bottom w:val="single" w:sz="4" w:space="0" w:color="auto"/>
              <w:right w:val="nil"/>
            </w:tcBorders>
            <w:shd w:val="clear" w:color="auto" w:fill="auto"/>
            <w:vAlign w:val="center"/>
            <w:hideMark/>
          </w:tcPr>
          <w:p w14:paraId="68762ED4" w14:textId="77777777" w:rsidR="00387142" w:rsidRPr="008B6A75" w:rsidRDefault="00387142" w:rsidP="00387142">
            <w:pPr>
              <w:jc w:val="right"/>
              <w:rPr>
                <w:bCs/>
                <w:sz w:val="20"/>
                <w:szCs w:val="20"/>
              </w:rPr>
            </w:pPr>
            <w:r w:rsidRPr="008B6A75">
              <w:rPr>
                <w:bCs/>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18EF6C63" w14:textId="77777777" w:rsidR="00387142" w:rsidRPr="008B6A75" w:rsidRDefault="00387142" w:rsidP="00387142">
            <w:pPr>
              <w:jc w:val="right"/>
              <w:rPr>
                <w:bCs/>
                <w:sz w:val="20"/>
                <w:szCs w:val="20"/>
              </w:rPr>
            </w:pPr>
            <w:r w:rsidRPr="008B6A75">
              <w:rPr>
                <w:bCs/>
                <w:sz w:val="20"/>
                <w:szCs w:val="20"/>
              </w:rPr>
              <w:t>0,00</w:t>
            </w:r>
          </w:p>
        </w:tc>
      </w:tr>
      <w:tr w:rsidR="00387142" w:rsidRPr="008B6A75" w14:paraId="2854286B" w14:textId="77777777" w:rsidTr="00387142">
        <w:trPr>
          <w:trHeight w:val="870"/>
        </w:trPr>
        <w:tc>
          <w:tcPr>
            <w:tcW w:w="3261" w:type="dxa"/>
            <w:tcBorders>
              <w:top w:val="nil"/>
              <w:left w:val="single" w:sz="4" w:space="0" w:color="auto"/>
              <w:bottom w:val="single" w:sz="4" w:space="0" w:color="auto"/>
              <w:right w:val="nil"/>
            </w:tcBorders>
            <w:shd w:val="clear" w:color="auto" w:fill="auto"/>
            <w:vAlign w:val="center"/>
            <w:hideMark/>
          </w:tcPr>
          <w:p w14:paraId="7426BD7D" w14:textId="77777777" w:rsidR="00387142" w:rsidRPr="008B6A75" w:rsidRDefault="00387142" w:rsidP="00387142">
            <w:pPr>
              <w:rPr>
                <w:sz w:val="20"/>
                <w:szCs w:val="20"/>
              </w:rPr>
            </w:pPr>
            <w:r w:rsidRPr="008B6A75">
              <w:rPr>
                <w:sz w:val="20"/>
                <w:szCs w:val="20"/>
              </w:rPr>
              <w:t>Предоставление субсидий бюджетным, автономным учреждениям и иным некоммерческим организациям</w:t>
            </w:r>
          </w:p>
        </w:tc>
        <w:tc>
          <w:tcPr>
            <w:tcW w:w="720" w:type="dxa"/>
            <w:tcBorders>
              <w:top w:val="nil"/>
              <w:left w:val="single" w:sz="4" w:space="0" w:color="auto"/>
              <w:bottom w:val="single" w:sz="4" w:space="0" w:color="auto"/>
              <w:right w:val="nil"/>
            </w:tcBorders>
            <w:shd w:val="clear" w:color="auto" w:fill="auto"/>
            <w:noWrap/>
            <w:vAlign w:val="center"/>
            <w:hideMark/>
          </w:tcPr>
          <w:p w14:paraId="0D405B8D" w14:textId="77777777" w:rsidR="00387142" w:rsidRPr="008B6A75" w:rsidRDefault="00387142" w:rsidP="00387142">
            <w:pPr>
              <w:jc w:val="center"/>
              <w:rPr>
                <w:sz w:val="20"/>
                <w:szCs w:val="20"/>
              </w:rPr>
            </w:pPr>
            <w:r w:rsidRPr="008B6A75">
              <w:rPr>
                <w:sz w:val="20"/>
                <w:szCs w:val="20"/>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904DC81" w14:textId="77777777" w:rsidR="00387142" w:rsidRPr="008B6A75" w:rsidRDefault="00387142" w:rsidP="00387142">
            <w:pPr>
              <w:jc w:val="center"/>
              <w:rPr>
                <w:sz w:val="20"/>
                <w:szCs w:val="20"/>
              </w:rPr>
            </w:pPr>
            <w:r w:rsidRPr="008B6A75">
              <w:rPr>
                <w:sz w:val="20"/>
                <w:szCs w:val="20"/>
              </w:rPr>
              <w:t>06</w:t>
            </w:r>
          </w:p>
        </w:tc>
        <w:tc>
          <w:tcPr>
            <w:tcW w:w="1516" w:type="dxa"/>
            <w:tcBorders>
              <w:top w:val="nil"/>
              <w:left w:val="single" w:sz="4" w:space="0" w:color="auto"/>
              <w:bottom w:val="single" w:sz="4" w:space="0" w:color="auto"/>
              <w:right w:val="nil"/>
            </w:tcBorders>
            <w:shd w:val="clear" w:color="auto" w:fill="auto"/>
            <w:noWrap/>
            <w:vAlign w:val="center"/>
            <w:hideMark/>
          </w:tcPr>
          <w:p w14:paraId="4A8C281D" w14:textId="77777777" w:rsidR="00387142" w:rsidRPr="008B6A75" w:rsidRDefault="00387142" w:rsidP="00387142">
            <w:pPr>
              <w:jc w:val="center"/>
              <w:rPr>
                <w:sz w:val="20"/>
                <w:szCs w:val="20"/>
              </w:rPr>
            </w:pPr>
            <w:r w:rsidRPr="008B6A75">
              <w:rPr>
                <w:sz w:val="20"/>
                <w:szCs w:val="20"/>
              </w:rPr>
              <w:t>99.0.00.10210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DEBC60F" w14:textId="77777777" w:rsidR="00387142" w:rsidRPr="008B6A75" w:rsidRDefault="00387142" w:rsidP="00387142">
            <w:pPr>
              <w:jc w:val="center"/>
              <w:rPr>
                <w:sz w:val="20"/>
                <w:szCs w:val="20"/>
              </w:rPr>
            </w:pPr>
            <w:r w:rsidRPr="008B6A75">
              <w:rPr>
                <w:sz w:val="20"/>
                <w:szCs w:val="20"/>
              </w:rPr>
              <w:t>600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91A325F" w14:textId="77777777" w:rsidR="00387142" w:rsidRPr="008B6A75" w:rsidRDefault="00387142" w:rsidP="00387142">
            <w:pPr>
              <w:jc w:val="right"/>
              <w:rPr>
                <w:sz w:val="20"/>
                <w:szCs w:val="20"/>
              </w:rPr>
            </w:pPr>
            <w:r w:rsidRPr="008B6A75">
              <w:rPr>
                <w:sz w:val="20"/>
                <w:szCs w:val="20"/>
              </w:rPr>
              <w:t>331 790,00</w:t>
            </w:r>
          </w:p>
        </w:tc>
        <w:tc>
          <w:tcPr>
            <w:tcW w:w="992" w:type="dxa"/>
            <w:tcBorders>
              <w:top w:val="nil"/>
              <w:left w:val="single" w:sz="4" w:space="0" w:color="auto"/>
              <w:bottom w:val="single" w:sz="4" w:space="0" w:color="auto"/>
              <w:right w:val="nil"/>
            </w:tcBorders>
            <w:shd w:val="clear" w:color="auto" w:fill="auto"/>
            <w:vAlign w:val="center"/>
            <w:hideMark/>
          </w:tcPr>
          <w:p w14:paraId="5D0B4957" w14:textId="77777777" w:rsidR="00387142" w:rsidRPr="008B6A75" w:rsidRDefault="00387142" w:rsidP="00387142">
            <w:pPr>
              <w:jc w:val="right"/>
              <w:rPr>
                <w:sz w:val="20"/>
                <w:szCs w:val="20"/>
              </w:rPr>
            </w:pPr>
            <w:r w:rsidRPr="008B6A75">
              <w:rPr>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15097EDA" w14:textId="77777777" w:rsidR="00387142" w:rsidRPr="008B6A75" w:rsidRDefault="00387142" w:rsidP="00387142">
            <w:pPr>
              <w:jc w:val="right"/>
              <w:rPr>
                <w:sz w:val="20"/>
                <w:szCs w:val="20"/>
              </w:rPr>
            </w:pPr>
            <w:r w:rsidRPr="008B6A75">
              <w:rPr>
                <w:sz w:val="20"/>
                <w:szCs w:val="20"/>
              </w:rPr>
              <w:t>0,00</w:t>
            </w:r>
          </w:p>
        </w:tc>
      </w:tr>
      <w:tr w:rsidR="00387142" w:rsidRPr="008B6A75" w14:paraId="364C4C6E" w14:textId="77777777" w:rsidTr="00387142">
        <w:trPr>
          <w:trHeight w:val="870"/>
        </w:trPr>
        <w:tc>
          <w:tcPr>
            <w:tcW w:w="3261" w:type="dxa"/>
            <w:tcBorders>
              <w:top w:val="nil"/>
              <w:left w:val="single" w:sz="4" w:space="0" w:color="auto"/>
              <w:bottom w:val="single" w:sz="4" w:space="0" w:color="auto"/>
              <w:right w:val="nil"/>
            </w:tcBorders>
            <w:shd w:val="clear" w:color="auto" w:fill="auto"/>
            <w:vAlign w:val="center"/>
            <w:hideMark/>
          </w:tcPr>
          <w:p w14:paraId="3F9F65B1" w14:textId="77777777" w:rsidR="00387142" w:rsidRPr="008B6A75" w:rsidRDefault="00387142" w:rsidP="00387142">
            <w:pPr>
              <w:rPr>
                <w:sz w:val="20"/>
                <w:szCs w:val="20"/>
              </w:rPr>
            </w:pPr>
            <w:r w:rsidRPr="008B6A75">
              <w:rPr>
                <w:sz w:val="20"/>
                <w:szCs w:val="20"/>
              </w:rPr>
              <w:t>Субсидии некоммерческим организациям (за исключением государственных (муниципальных) учреждений)</w:t>
            </w:r>
          </w:p>
        </w:tc>
        <w:tc>
          <w:tcPr>
            <w:tcW w:w="720" w:type="dxa"/>
            <w:tcBorders>
              <w:top w:val="nil"/>
              <w:left w:val="single" w:sz="4" w:space="0" w:color="auto"/>
              <w:bottom w:val="single" w:sz="4" w:space="0" w:color="auto"/>
              <w:right w:val="nil"/>
            </w:tcBorders>
            <w:shd w:val="clear" w:color="auto" w:fill="auto"/>
            <w:noWrap/>
            <w:vAlign w:val="center"/>
            <w:hideMark/>
          </w:tcPr>
          <w:p w14:paraId="610D0274" w14:textId="77777777" w:rsidR="00387142" w:rsidRPr="008B6A75" w:rsidRDefault="00387142" w:rsidP="00387142">
            <w:pPr>
              <w:jc w:val="center"/>
              <w:rPr>
                <w:sz w:val="20"/>
                <w:szCs w:val="20"/>
              </w:rPr>
            </w:pPr>
            <w:r w:rsidRPr="008B6A75">
              <w:rPr>
                <w:sz w:val="20"/>
                <w:szCs w:val="20"/>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B23FD19" w14:textId="77777777" w:rsidR="00387142" w:rsidRPr="008B6A75" w:rsidRDefault="00387142" w:rsidP="00387142">
            <w:pPr>
              <w:jc w:val="center"/>
              <w:rPr>
                <w:sz w:val="20"/>
                <w:szCs w:val="20"/>
              </w:rPr>
            </w:pPr>
            <w:r w:rsidRPr="008B6A75">
              <w:rPr>
                <w:sz w:val="20"/>
                <w:szCs w:val="20"/>
              </w:rPr>
              <w:t>06</w:t>
            </w:r>
          </w:p>
        </w:tc>
        <w:tc>
          <w:tcPr>
            <w:tcW w:w="1516" w:type="dxa"/>
            <w:tcBorders>
              <w:top w:val="nil"/>
              <w:left w:val="single" w:sz="4" w:space="0" w:color="auto"/>
              <w:bottom w:val="single" w:sz="4" w:space="0" w:color="auto"/>
              <w:right w:val="nil"/>
            </w:tcBorders>
            <w:shd w:val="clear" w:color="auto" w:fill="auto"/>
            <w:noWrap/>
            <w:vAlign w:val="center"/>
            <w:hideMark/>
          </w:tcPr>
          <w:p w14:paraId="3EB18392" w14:textId="77777777" w:rsidR="00387142" w:rsidRPr="008B6A75" w:rsidRDefault="00387142" w:rsidP="00387142">
            <w:pPr>
              <w:jc w:val="center"/>
              <w:rPr>
                <w:sz w:val="20"/>
                <w:szCs w:val="20"/>
              </w:rPr>
            </w:pPr>
            <w:r w:rsidRPr="008B6A75">
              <w:rPr>
                <w:sz w:val="20"/>
                <w:szCs w:val="20"/>
              </w:rPr>
              <w:t>99.0.00.10210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B114990" w14:textId="77777777" w:rsidR="00387142" w:rsidRPr="008B6A75" w:rsidRDefault="00387142" w:rsidP="00387142">
            <w:pPr>
              <w:jc w:val="center"/>
              <w:rPr>
                <w:sz w:val="20"/>
                <w:szCs w:val="20"/>
              </w:rPr>
            </w:pPr>
            <w:r w:rsidRPr="008B6A75">
              <w:rPr>
                <w:sz w:val="20"/>
                <w:szCs w:val="20"/>
              </w:rPr>
              <w:t>630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13FE4C4" w14:textId="77777777" w:rsidR="00387142" w:rsidRPr="008B6A75" w:rsidRDefault="00387142" w:rsidP="00387142">
            <w:pPr>
              <w:jc w:val="right"/>
              <w:rPr>
                <w:sz w:val="20"/>
                <w:szCs w:val="20"/>
              </w:rPr>
            </w:pPr>
            <w:r w:rsidRPr="008B6A75">
              <w:rPr>
                <w:sz w:val="20"/>
                <w:szCs w:val="20"/>
              </w:rPr>
              <w:t>331 790,00</w:t>
            </w:r>
          </w:p>
        </w:tc>
        <w:tc>
          <w:tcPr>
            <w:tcW w:w="992" w:type="dxa"/>
            <w:tcBorders>
              <w:top w:val="nil"/>
              <w:left w:val="single" w:sz="4" w:space="0" w:color="auto"/>
              <w:bottom w:val="single" w:sz="4" w:space="0" w:color="auto"/>
              <w:right w:val="nil"/>
            </w:tcBorders>
            <w:shd w:val="clear" w:color="auto" w:fill="auto"/>
            <w:vAlign w:val="center"/>
            <w:hideMark/>
          </w:tcPr>
          <w:p w14:paraId="2B3809AC" w14:textId="77777777" w:rsidR="00387142" w:rsidRPr="008B6A75" w:rsidRDefault="00387142" w:rsidP="00387142">
            <w:pPr>
              <w:jc w:val="right"/>
              <w:rPr>
                <w:sz w:val="20"/>
                <w:szCs w:val="20"/>
              </w:rPr>
            </w:pPr>
            <w:r w:rsidRPr="008B6A75">
              <w:rPr>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1FD7D67D" w14:textId="77777777" w:rsidR="00387142" w:rsidRPr="008B6A75" w:rsidRDefault="00387142" w:rsidP="00387142">
            <w:pPr>
              <w:jc w:val="right"/>
              <w:rPr>
                <w:sz w:val="20"/>
                <w:szCs w:val="20"/>
              </w:rPr>
            </w:pPr>
            <w:r w:rsidRPr="008B6A75">
              <w:rPr>
                <w:sz w:val="20"/>
                <w:szCs w:val="20"/>
              </w:rPr>
              <w:t>0,00</w:t>
            </w:r>
          </w:p>
        </w:tc>
      </w:tr>
      <w:tr w:rsidR="00387142" w:rsidRPr="008B6A75" w14:paraId="567945E2" w14:textId="77777777" w:rsidTr="00387142">
        <w:trPr>
          <w:trHeight w:val="345"/>
        </w:trPr>
        <w:tc>
          <w:tcPr>
            <w:tcW w:w="3261" w:type="dxa"/>
            <w:tcBorders>
              <w:top w:val="nil"/>
              <w:left w:val="single" w:sz="4" w:space="0" w:color="auto"/>
              <w:bottom w:val="single" w:sz="4" w:space="0" w:color="auto"/>
              <w:right w:val="nil"/>
            </w:tcBorders>
            <w:shd w:val="clear" w:color="auto" w:fill="auto"/>
            <w:vAlign w:val="center"/>
            <w:hideMark/>
          </w:tcPr>
          <w:p w14:paraId="281CFBB1" w14:textId="77777777" w:rsidR="00387142" w:rsidRPr="008B6A75" w:rsidRDefault="00387142" w:rsidP="00387142">
            <w:pPr>
              <w:rPr>
                <w:bCs/>
                <w:sz w:val="20"/>
                <w:szCs w:val="20"/>
              </w:rPr>
            </w:pPr>
            <w:r w:rsidRPr="008B6A75">
              <w:rPr>
                <w:bCs/>
                <w:sz w:val="20"/>
                <w:szCs w:val="20"/>
              </w:rPr>
              <w:t>Денежная выплата почетным гражданам</w:t>
            </w:r>
          </w:p>
        </w:tc>
        <w:tc>
          <w:tcPr>
            <w:tcW w:w="720" w:type="dxa"/>
            <w:tcBorders>
              <w:top w:val="nil"/>
              <w:left w:val="single" w:sz="4" w:space="0" w:color="auto"/>
              <w:bottom w:val="single" w:sz="4" w:space="0" w:color="auto"/>
              <w:right w:val="nil"/>
            </w:tcBorders>
            <w:shd w:val="clear" w:color="auto" w:fill="auto"/>
            <w:noWrap/>
            <w:vAlign w:val="center"/>
            <w:hideMark/>
          </w:tcPr>
          <w:p w14:paraId="7AF08612" w14:textId="77777777" w:rsidR="00387142" w:rsidRPr="008B6A75" w:rsidRDefault="00387142" w:rsidP="00387142">
            <w:pPr>
              <w:jc w:val="center"/>
              <w:rPr>
                <w:bCs/>
                <w:sz w:val="20"/>
                <w:szCs w:val="20"/>
              </w:rPr>
            </w:pPr>
            <w:r w:rsidRPr="008B6A75">
              <w:rPr>
                <w:bCs/>
                <w:sz w:val="20"/>
                <w:szCs w:val="20"/>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8545965" w14:textId="77777777" w:rsidR="00387142" w:rsidRPr="008B6A75" w:rsidRDefault="00387142" w:rsidP="00387142">
            <w:pPr>
              <w:jc w:val="center"/>
              <w:rPr>
                <w:bCs/>
                <w:sz w:val="20"/>
                <w:szCs w:val="20"/>
              </w:rPr>
            </w:pPr>
            <w:r w:rsidRPr="008B6A75">
              <w:rPr>
                <w:bCs/>
                <w:sz w:val="20"/>
                <w:szCs w:val="20"/>
              </w:rPr>
              <w:t>06</w:t>
            </w:r>
          </w:p>
        </w:tc>
        <w:tc>
          <w:tcPr>
            <w:tcW w:w="1516" w:type="dxa"/>
            <w:tcBorders>
              <w:top w:val="nil"/>
              <w:left w:val="single" w:sz="4" w:space="0" w:color="auto"/>
              <w:bottom w:val="single" w:sz="4" w:space="0" w:color="auto"/>
              <w:right w:val="nil"/>
            </w:tcBorders>
            <w:shd w:val="clear" w:color="auto" w:fill="auto"/>
            <w:noWrap/>
            <w:vAlign w:val="center"/>
            <w:hideMark/>
          </w:tcPr>
          <w:p w14:paraId="56F67771" w14:textId="77777777" w:rsidR="00387142" w:rsidRPr="008B6A75" w:rsidRDefault="00387142" w:rsidP="00387142">
            <w:pPr>
              <w:jc w:val="center"/>
              <w:rPr>
                <w:bCs/>
                <w:sz w:val="20"/>
                <w:szCs w:val="20"/>
              </w:rPr>
            </w:pPr>
            <w:r w:rsidRPr="008B6A75">
              <w:rPr>
                <w:bCs/>
                <w:sz w:val="20"/>
                <w:szCs w:val="20"/>
              </w:rPr>
              <w:t>99.0.00.10400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8511EB7"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B142533" w14:textId="77777777" w:rsidR="00387142" w:rsidRPr="008B6A75" w:rsidRDefault="00387142" w:rsidP="00387142">
            <w:pPr>
              <w:jc w:val="right"/>
              <w:rPr>
                <w:bCs/>
                <w:sz w:val="20"/>
                <w:szCs w:val="20"/>
              </w:rPr>
            </w:pPr>
            <w:r w:rsidRPr="008B6A75">
              <w:rPr>
                <w:bCs/>
                <w:sz w:val="20"/>
                <w:szCs w:val="20"/>
              </w:rPr>
              <w:t>275 862,00</w:t>
            </w:r>
          </w:p>
        </w:tc>
        <w:tc>
          <w:tcPr>
            <w:tcW w:w="992" w:type="dxa"/>
            <w:tcBorders>
              <w:top w:val="nil"/>
              <w:left w:val="single" w:sz="4" w:space="0" w:color="auto"/>
              <w:bottom w:val="single" w:sz="4" w:space="0" w:color="auto"/>
              <w:right w:val="nil"/>
            </w:tcBorders>
            <w:shd w:val="clear" w:color="auto" w:fill="auto"/>
            <w:vAlign w:val="center"/>
            <w:hideMark/>
          </w:tcPr>
          <w:p w14:paraId="7EE403BE" w14:textId="77777777" w:rsidR="00387142" w:rsidRPr="008B6A75" w:rsidRDefault="00387142" w:rsidP="00387142">
            <w:pPr>
              <w:jc w:val="right"/>
              <w:rPr>
                <w:bCs/>
                <w:sz w:val="20"/>
                <w:szCs w:val="20"/>
              </w:rPr>
            </w:pPr>
            <w:r w:rsidRPr="008B6A75">
              <w:rPr>
                <w:bCs/>
                <w:sz w:val="20"/>
                <w:szCs w:val="20"/>
              </w:rPr>
              <w:t>275 862,00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0C7097B9" w14:textId="77777777" w:rsidR="00387142" w:rsidRPr="008B6A75" w:rsidRDefault="00387142" w:rsidP="00387142">
            <w:pPr>
              <w:jc w:val="right"/>
              <w:rPr>
                <w:bCs/>
                <w:sz w:val="20"/>
                <w:szCs w:val="20"/>
              </w:rPr>
            </w:pPr>
            <w:r w:rsidRPr="008B6A75">
              <w:rPr>
                <w:bCs/>
                <w:sz w:val="20"/>
                <w:szCs w:val="20"/>
              </w:rPr>
              <w:t>275 862,00</w:t>
            </w:r>
          </w:p>
        </w:tc>
      </w:tr>
      <w:tr w:rsidR="00387142" w:rsidRPr="008B6A75" w14:paraId="5C1011B7" w14:textId="77777777" w:rsidTr="00387142">
        <w:trPr>
          <w:trHeight w:val="585"/>
        </w:trPr>
        <w:tc>
          <w:tcPr>
            <w:tcW w:w="3261" w:type="dxa"/>
            <w:tcBorders>
              <w:top w:val="nil"/>
              <w:left w:val="single" w:sz="4" w:space="0" w:color="auto"/>
              <w:bottom w:val="single" w:sz="4" w:space="0" w:color="auto"/>
              <w:right w:val="nil"/>
            </w:tcBorders>
            <w:shd w:val="clear" w:color="auto" w:fill="auto"/>
            <w:vAlign w:val="center"/>
            <w:hideMark/>
          </w:tcPr>
          <w:p w14:paraId="057AD95B" w14:textId="77777777" w:rsidR="00387142" w:rsidRPr="008B6A75" w:rsidRDefault="00387142" w:rsidP="00387142">
            <w:pPr>
              <w:rPr>
                <w:sz w:val="20"/>
                <w:szCs w:val="20"/>
              </w:rPr>
            </w:pPr>
            <w:r w:rsidRPr="008B6A75">
              <w:rPr>
                <w:sz w:val="20"/>
                <w:szCs w:val="20"/>
              </w:rPr>
              <w:t>Социальное обеспечение и иные выплаты населению</w:t>
            </w:r>
          </w:p>
        </w:tc>
        <w:tc>
          <w:tcPr>
            <w:tcW w:w="720" w:type="dxa"/>
            <w:tcBorders>
              <w:top w:val="nil"/>
              <w:left w:val="single" w:sz="4" w:space="0" w:color="auto"/>
              <w:bottom w:val="single" w:sz="4" w:space="0" w:color="auto"/>
              <w:right w:val="nil"/>
            </w:tcBorders>
            <w:shd w:val="clear" w:color="auto" w:fill="auto"/>
            <w:noWrap/>
            <w:vAlign w:val="center"/>
            <w:hideMark/>
          </w:tcPr>
          <w:p w14:paraId="54F11AE6" w14:textId="77777777" w:rsidR="00387142" w:rsidRPr="008B6A75" w:rsidRDefault="00387142" w:rsidP="00387142">
            <w:pPr>
              <w:jc w:val="center"/>
              <w:rPr>
                <w:sz w:val="20"/>
                <w:szCs w:val="20"/>
              </w:rPr>
            </w:pPr>
            <w:r w:rsidRPr="008B6A75">
              <w:rPr>
                <w:sz w:val="20"/>
                <w:szCs w:val="20"/>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0A1D527" w14:textId="77777777" w:rsidR="00387142" w:rsidRPr="008B6A75" w:rsidRDefault="00387142" w:rsidP="00387142">
            <w:pPr>
              <w:jc w:val="center"/>
              <w:rPr>
                <w:sz w:val="20"/>
                <w:szCs w:val="20"/>
              </w:rPr>
            </w:pPr>
            <w:r w:rsidRPr="008B6A75">
              <w:rPr>
                <w:sz w:val="20"/>
                <w:szCs w:val="20"/>
              </w:rPr>
              <w:t>06</w:t>
            </w:r>
          </w:p>
        </w:tc>
        <w:tc>
          <w:tcPr>
            <w:tcW w:w="1516" w:type="dxa"/>
            <w:tcBorders>
              <w:top w:val="nil"/>
              <w:left w:val="single" w:sz="4" w:space="0" w:color="auto"/>
              <w:bottom w:val="single" w:sz="4" w:space="0" w:color="auto"/>
              <w:right w:val="nil"/>
            </w:tcBorders>
            <w:shd w:val="clear" w:color="auto" w:fill="auto"/>
            <w:noWrap/>
            <w:vAlign w:val="center"/>
            <w:hideMark/>
          </w:tcPr>
          <w:p w14:paraId="1B7B0CB7" w14:textId="77777777" w:rsidR="00387142" w:rsidRPr="008B6A75" w:rsidRDefault="00387142" w:rsidP="00387142">
            <w:pPr>
              <w:jc w:val="center"/>
              <w:rPr>
                <w:sz w:val="20"/>
                <w:szCs w:val="20"/>
              </w:rPr>
            </w:pPr>
            <w:r w:rsidRPr="008B6A75">
              <w:rPr>
                <w:sz w:val="20"/>
                <w:szCs w:val="20"/>
              </w:rPr>
              <w:t>99.0.00.10400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AA39043" w14:textId="77777777" w:rsidR="00387142" w:rsidRPr="008B6A75" w:rsidRDefault="00387142" w:rsidP="00387142">
            <w:pPr>
              <w:jc w:val="center"/>
              <w:rPr>
                <w:sz w:val="20"/>
                <w:szCs w:val="20"/>
              </w:rPr>
            </w:pPr>
            <w:r w:rsidRPr="008B6A75">
              <w:rPr>
                <w:sz w:val="20"/>
                <w:szCs w:val="20"/>
              </w:rPr>
              <w:t>300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FE234A1" w14:textId="77777777" w:rsidR="00387142" w:rsidRPr="008B6A75" w:rsidRDefault="00387142" w:rsidP="00387142">
            <w:pPr>
              <w:jc w:val="right"/>
              <w:rPr>
                <w:sz w:val="20"/>
                <w:szCs w:val="20"/>
              </w:rPr>
            </w:pPr>
            <w:r w:rsidRPr="008B6A75">
              <w:rPr>
                <w:sz w:val="20"/>
                <w:szCs w:val="20"/>
              </w:rPr>
              <w:t>275 862,00</w:t>
            </w:r>
          </w:p>
        </w:tc>
        <w:tc>
          <w:tcPr>
            <w:tcW w:w="992" w:type="dxa"/>
            <w:tcBorders>
              <w:top w:val="nil"/>
              <w:left w:val="single" w:sz="4" w:space="0" w:color="auto"/>
              <w:bottom w:val="single" w:sz="4" w:space="0" w:color="auto"/>
              <w:right w:val="nil"/>
            </w:tcBorders>
            <w:shd w:val="clear" w:color="auto" w:fill="auto"/>
            <w:vAlign w:val="center"/>
            <w:hideMark/>
          </w:tcPr>
          <w:p w14:paraId="3409D99C" w14:textId="77777777" w:rsidR="00387142" w:rsidRPr="008B6A75" w:rsidRDefault="00387142" w:rsidP="00387142">
            <w:pPr>
              <w:jc w:val="right"/>
              <w:rPr>
                <w:sz w:val="20"/>
                <w:szCs w:val="20"/>
              </w:rPr>
            </w:pPr>
            <w:r w:rsidRPr="008B6A75">
              <w:rPr>
                <w:sz w:val="20"/>
                <w:szCs w:val="20"/>
              </w:rPr>
              <w:t>275 862,00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78EDF655" w14:textId="77777777" w:rsidR="00387142" w:rsidRPr="008B6A75" w:rsidRDefault="00387142" w:rsidP="00387142">
            <w:pPr>
              <w:jc w:val="right"/>
              <w:rPr>
                <w:sz w:val="20"/>
                <w:szCs w:val="20"/>
              </w:rPr>
            </w:pPr>
            <w:r w:rsidRPr="008B6A75">
              <w:rPr>
                <w:sz w:val="20"/>
                <w:szCs w:val="20"/>
              </w:rPr>
              <w:t>275 862,00</w:t>
            </w:r>
          </w:p>
        </w:tc>
      </w:tr>
      <w:tr w:rsidR="00387142" w:rsidRPr="008B6A75" w14:paraId="0093CA9D" w14:textId="77777777" w:rsidTr="00387142">
        <w:trPr>
          <w:trHeight w:val="585"/>
        </w:trPr>
        <w:tc>
          <w:tcPr>
            <w:tcW w:w="3261" w:type="dxa"/>
            <w:tcBorders>
              <w:top w:val="nil"/>
              <w:left w:val="single" w:sz="4" w:space="0" w:color="auto"/>
              <w:bottom w:val="single" w:sz="4" w:space="0" w:color="auto"/>
              <w:right w:val="nil"/>
            </w:tcBorders>
            <w:shd w:val="clear" w:color="auto" w:fill="auto"/>
            <w:vAlign w:val="center"/>
            <w:hideMark/>
          </w:tcPr>
          <w:p w14:paraId="6F84769D" w14:textId="77777777" w:rsidR="00387142" w:rsidRPr="008B6A75" w:rsidRDefault="00387142" w:rsidP="00387142">
            <w:pPr>
              <w:rPr>
                <w:sz w:val="20"/>
                <w:szCs w:val="20"/>
              </w:rPr>
            </w:pPr>
            <w:r w:rsidRPr="008B6A75">
              <w:rPr>
                <w:sz w:val="20"/>
                <w:szCs w:val="20"/>
              </w:rPr>
              <w:t>Публичные нормативные выплаты гражданам несоциального характера</w:t>
            </w:r>
          </w:p>
        </w:tc>
        <w:tc>
          <w:tcPr>
            <w:tcW w:w="720" w:type="dxa"/>
            <w:tcBorders>
              <w:top w:val="nil"/>
              <w:left w:val="single" w:sz="4" w:space="0" w:color="auto"/>
              <w:bottom w:val="single" w:sz="4" w:space="0" w:color="auto"/>
              <w:right w:val="nil"/>
            </w:tcBorders>
            <w:shd w:val="clear" w:color="auto" w:fill="auto"/>
            <w:noWrap/>
            <w:vAlign w:val="center"/>
            <w:hideMark/>
          </w:tcPr>
          <w:p w14:paraId="47C75CC5" w14:textId="77777777" w:rsidR="00387142" w:rsidRPr="008B6A75" w:rsidRDefault="00387142" w:rsidP="00387142">
            <w:pPr>
              <w:jc w:val="center"/>
              <w:rPr>
                <w:sz w:val="20"/>
                <w:szCs w:val="20"/>
              </w:rPr>
            </w:pPr>
            <w:r w:rsidRPr="008B6A75">
              <w:rPr>
                <w:sz w:val="20"/>
                <w:szCs w:val="20"/>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63ED598" w14:textId="77777777" w:rsidR="00387142" w:rsidRPr="008B6A75" w:rsidRDefault="00387142" w:rsidP="00387142">
            <w:pPr>
              <w:jc w:val="center"/>
              <w:rPr>
                <w:sz w:val="20"/>
                <w:szCs w:val="20"/>
              </w:rPr>
            </w:pPr>
            <w:r w:rsidRPr="008B6A75">
              <w:rPr>
                <w:sz w:val="20"/>
                <w:szCs w:val="20"/>
              </w:rPr>
              <w:t>06</w:t>
            </w:r>
          </w:p>
        </w:tc>
        <w:tc>
          <w:tcPr>
            <w:tcW w:w="1516" w:type="dxa"/>
            <w:tcBorders>
              <w:top w:val="nil"/>
              <w:left w:val="single" w:sz="4" w:space="0" w:color="auto"/>
              <w:bottom w:val="single" w:sz="4" w:space="0" w:color="auto"/>
              <w:right w:val="nil"/>
            </w:tcBorders>
            <w:shd w:val="clear" w:color="auto" w:fill="auto"/>
            <w:noWrap/>
            <w:vAlign w:val="center"/>
            <w:hideMark/>
          </w:tcPr>
          <w:p w14:paraId="739514DD" w14:textId="77777777" w:rsidR="00387142" w:rsidRPr="008B6A75" w:rsidRDefault="00387142" w:rsidP="00387142">
            <w:pPr>
              <w:jc w:val="center"/>
              <w:rPr>
                <w:sz w:val="20"/>
                <w:szCs w:val="20"/>
              </w:rPr>
            </w:pPr>
            <w:r w:rsidRPr="008B6A75">
              <w:rPr>
                <w:sz w:val="20"/>
                <w:szCs w:val="20"/>
              </w:rPr>
              <w:t>99.0.00.10400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94E4AA9" w14:textId="77777777" w:rsidR="00387142" w:rsidRPr="008B6A75" w:rsidRDefault="00387142" w:rsidP="00387142">
            <w:pPr>
              <w:jc w:val="center"/>
              <w:rPr>
                <w:sz w:val="20"/>
                <w:szCs w:val="20"/>
              </w:rPr>
            </w:pPr>
            <w:r w:rsidRPr="008B6A75">
              <w:rPr>
                <w:sz w:val="20"/>
                <w:szCs w:val="20"/>
              </w:rPr>
              <w:t>330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B931049" w14:textId="77777777" w:rsidR="00387142" w:rsidRPr="008B6A75" w:rsidRDefault="00387142" w:rsidP="00387142">
            <w:pPr>
              <w:jc w:val="right"/>
              <w:rPr>
                <w:sz w:val="20"/>
                <w:szCs w:val="20"/>
              </w:rPr>
            </w:pPr>
            <w:r w:rsidRPr="008B6A75">
              <w:rPr>
                <w:sz w:val="20"/>
                <w:szCs w:val="20"/>
              </w:rPr>
              <w:t>275 862,00</w:t>
            </w:r>
          </w:p>
        </w:tc>
        <w:tc>
          <w:tcPr>
            <w:tcW w:w="992" w:type="dxa"/>
            <w:tcBorders>
              <w:top w:val="nil"/>
              <w:left w:val="single" w:sz="4" w:space="0" w:color="auto"/>
              <w:bottom w:val="single" w:sz="4" w:space="0" w:color="auto"/>
              <w:right w:val="nil"/>
            </w:tcBorders>
            <w:shd w:val="clear" w:color="auto" w:fill="auto"/>
            <w:vAlign w:val="center"/>
            <w:hideMark/>
          </w:tcPr>
          <w:p w14:paraId="23E480A9" w14:textId="77777777" w:rsidR="00387142" w:rsidRPr="008B6A75" w:rsidRDefault="00387142" w:rsidP="00387142">
            <w:pPr>
              <w:jc w:val="right"/>
              <w:rPr>
                <w:sz w:val="20"/>
                <w:szCs w:val="20"/>
              </w:rPr>
            </w:pPr>
            <w:r w:rsidRPr="008B6A75">
              <w:rPr>
                <w:sz w:val="20"/>
                <w:szCs w:val="20"/>
              </w:rPr>
              <w:t>275 862,00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10289975" w14:textId="77777777" w:rsidR="00387142" w:rsidRPr="008B6A75" w:rsidRDefault="00387142" w:rsidP="00387142">
            <w:pPr>
              <w:jc w:val="right"/>
              <w:rPr>
                <w:sz w:val="20"/>
                <w:szCs w:val="20"/>
              </w:rPr>
            </w:pPr>
            <w:r w:rsidRPr="008B6A75">
              <w:rPr>
                <w:sz w:val="20"/>
                <w:szCs w:val="20"/>
              </w:rPr>
              <w:t>275 862,00</w:t>
            </w:r>
          </w:p>
        </w:tc>
      </w:tr>
      <w:tr w:rsidR="00387142" w:rsidRPr="008B6A75" w14:paraId="7BD55A74" w14:textId="77777777" w:rsidTr="00387142">
        <w:trPr>
          <w:trHeight w:val="2580"/>
        </w:trPr>
        <w:tc>
          <w:tcPr>
            <w:tcW w:w="3261" w:type="dxa"/>
            <w:tcBorders>
              <w:top w:val="nil"/>
              <w:left w:val="single" w:sz="4" w:space="0" w:color="auto"/>
              <w:bottom w:val="single" w:sz="4" w:space="0" w:color="auto"/>
              <w:right w:val="nil"/>
            </w:tcBorders>
            <w:shd w:val="clear" w:color="auto" w:fill="auto"/>
            <w:vAlign w:val="center"/>
            <w:hideMark/>
          </w:tcPr>
          <w:p w14:paraId="40D0A9D9" w14:textId="77777777" w:rsidR="00387142" w:rsidRPr="008B6A75" w:rsidRDefault="00387142" w:rsidP="00387142">
            <w:pPr>
              <w:rPr>
                <w:bCs/>
                <w:sz w:val="20"/>
                <w:szCs w:val="20"/>
              </w:rPr>
            </w:pPr>
            <w:r w:rsidRPr="008B6A75">
              <w:rPr>
                <w:bCs/>
                <w:sz w:val="20"/>
                <w:szCs w:val="20"/>
              </w:rPr>
              <w:t>Реализация мероприятий по созданию социально-экономических, организационных условий для повышения качества жизни граждан пожилого возраста, степени их социальной защищенности, содействие их активному участию в жизни общества государственной программы Новосибирской области «Социальная поддержка в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14:paraId="2010C83F" w14:textId="77777777" w:rsidR="00387142" w:rsidRPr="008B6A75" w:rsidRDefault="00387142" w:rsidP="00387142">
            <w:pPr>
              <w:jc w:val="center"/>
              <w:rPr>
                <w:bCs/>
                <w:sz w:val="20"/>
                <w:szCs w:val="20"/>
              </w:rPr>
            </w:pPr>
            <w:r w:rsidRPr="008B6A75">
              <w:rPr>
                <w:bCs/>
                <w:sz w:val="20"/>
                <w:szCs w:val="20"/>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EDED2BB" w14:textId="77777777" w:rsidR="00387142" w:rsidRPr="008B6A75" w:rsidRDefault="00387142" w:rsidP="00387142">
            <w:pPr>
              <w:jc w:val="center"/>
              <w:rPr>
                <w:bCs/>
                <w:sz w:val="20"/>
                <w:szCs w:val="20"/>
              </w:rPr>
            </w:pPr>
            <w:r w:rsidRPr="008B6A75">
              <w:rPr>
                <w:bCs/>
                <w:sz w:val="20"/>
                <w:szCs w:val="20"/>
              </w:rPr>
              <w:t>06</w:t>
            </w:r>
          </w:p>
        </w:tc>
        <w:tc>
          <w:tcPr>
            <w:tcW w:w="1516" w:type="dxa"/>
            <w:tcBorders>
              <w:top w:val="nil"/>
              <w:left w:val="single" w:sz="4" w:space="0" w:color="auto"/>
              <w:bottom w:val="single" w:sz="4" w:space="0" w:color="auto"/>
              <w:right w:val="nil"/>
            </w:tcBorders>
            <w:shd w:val="clear" w:color="auto" w:fill="auto"/>
            <w:noWrap/>
            <w:vAlign w:val="center"/>
            <w:hideMark/>
          </w:tcPr>
          <w:p w14:paraId="05473278" w14:textId="77777777" w:rsidR="00387142" w:rsidRPr="008B6A75" w:rsidRDefault="00387142" w:rsidP="00387142">
            <w:pPr>
              <w:jc w:val="center"/>
              <w:rPr>
                <w:bCs/>
                <w:sz w:val="20"/>
                <w:szCs w:val="20"/>
              </w:rPr>
            </w:pPr>
            <w:r w:rsidRPr="008B6A75">
              <w:rPr>
                <w:bCs/>
                <w:sz w:val="20"/>
                <w:szCs w:val="20"/>
              </w:rPr>
              <w:t>99.0.00.70820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767D39A"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52D82A8" w14:textId="77777777" w:rsidR="00387142" w:rsidRPr="008B6A75" w:rsidRDefault="00387142" w:rsidP="00387142">
            <w:pPr>
              <w:jc w:val="right"/>
              <w:rPr>
                <w:bCs/>
                <w:sz w:val="20"/>
                <w:szCs w:val="20"/>
              </w:rPr>
            </w:pPr>
            <w:r w:rsidRPr="008B6A75">
              <w:rPr>
                <w:bCs/>
                <w:sz w:val="20"/>
                <w:szCs w:val="20"/>
              </w:rPr>
              <w:t>656 300,00</w:t>
            </w:r>
          </w:p>
        </w:tc>
        <w:tc>
          <w:tcPr>
            <w:tcW w:w="992" w:type="dxa"/>
            <w:tcBorders>
              <w:top w:val="nil"/>
              <w:left w:val="single" w:sz="4" w:space="0" w:color="auto"/>
              <w:bottom w:val="single" w:sz="4" w:space="0" w:color="auto"/>
              <w:right w:val="nil"/>
            </w:tcBorders>
            <w:shd w:val="clear" w:color="auto" w:fill="auto"/>
            <w:vAlign w:val="center"/>
            <w:hideMark/>
          </w:tcPr>
          <w:p w14:paraId="3DFA13FD" w14:textId="77777777" w:rsidR="00387142" w:rsidRPr="008B6A75" w:rsidRDefault="00387142" w:rsidP="00387142">
            <w:pPr>
              <w:jc w:val="right"/>
              <w:rPr>
                <w:bCs/>
                <w:sz w:val="20"/>
                <w:szCs w:val="20"/>
              </w:rPr>
            </w:pPr>
            <w:r w:rsidRPr="008B6A75">
              <w:rPr>
                <w:bCs/>
                <w:sz w:val="20"/>
                <w:szCs w:val="20"/>
              </w:rPr>
              <w:t>1 080 100,00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3DDDAA26" w14:textId="77777777" w:rsidR="00387142" w:rsidRPr="008B6A75" w:rsidRDefault="00387142" w:rsidP="00387142">
            <w:pPr>
              <w:jc w:val="right"/>
              <w:rPr>
                <w:bCs/>
                <w:sz w:val="20"/>
                <w:szCs w:val="20"/>
              </w:rPr>
            </w:pPr>
            <w:r w:rsidRPr="008B6A75">
              <w:rPr>
                <w:bCs/>
                <w:sz w:val="20"/>
                <w:szCs w:val="20"/>
              </w:rPr>
              <w:t>0,00</w:t>
            </w:r>
          </w:p>
        </w:tc>
      </w:tr>
      <w:tr w:rsidR="00387142" w:rsidRPr="008B6A75" w14:paraId="59177876" w14:textId="77777777" w:rsidTr="00387142">
        <w:trPr>
          <w:trHeight w:val="585"/>
        </w:trPr>
        <w:tc>
          <w:tcPr>
            <w:tcW w:w="3261" w:type="dxa"/>
            <w:tcBorders>
              <w:top w:val="nil"/>
              <w:left w:val="single" w:sz="4" w:space="0" w:color="auto"/>
              <w:bottom w:val="single" w:sz="4" w:space="0" w:color="auto"/>
              <w:right w:val="nil"/>
            </w:tcBorders>
            <w:shd w:val="clear" w:color="auto" w:fill="auto"/>
            <w:vAlign w:val="center"/>
            <w:hideMark/>
          </w:tcPr>
          <w:p w14:paraId="42FC0E80" w14:textId="77777777" w:rsidR="00387142" w:rsidRPr="008B6A75" w:rsidRDefault="00387142" w:rsidP="00387142">
            <w:pPr>
              <w:rPr>
                <w:sz w:val="20"/>
                <w:szCs w:val="20"/>
              </w:rPr>
            </w:pPr>
            <w:r w:rsidRPr="008B6A75">
              <w:rPr>
                <w:sz w:val="20"/>
                <w:szCs w:val="20"/>
              </w:rPr>
              <w:lastRenderedPageBreak/>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5AC50FCD" w14:textId="77777777" w:rsidR="00387142" w:rsidRPr="008B6A75" w:rsidRDefault="00387142" w:rsidP="00387142">
            <w:pPr>
              <w:jc w:val="center"/>
              <w:rPr>
                <w:sz w:val="20"/>
                <w:szCs w:val="20"/>
              </w:rPr>
            </w:pPr>
            <w:r w:rsidRPr="008B6A75">
              <w:rPr>
                <w:sz w:val="20"/>
                <w:szCs w:val="20"/>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4FC1A5E" w14:textId="77777777" w:rsidR="00387142" w:rsidRPr="008B6A75" w:rsidRDefault="00387142" w:rsidP="00387142">
            <w:pPr>
              <w:jc w:val="center"/>
              <w:rPr>
                <w:sz w:val="20"/>
                <w:szCs w:val="20"/>
              </w:rPr>
            </w:pPr>
            <w:r w:rsidRPr="008B6A75">
              <w:rPr>
                <w:sz w:val="20"/>
                <w:szCs w:val="20"/>
              </w:rPr>
              <w:t>06</w:t>
            </w:r>
          </w:p>
        </w:tc>
        <w:tc>
          <w:tcPr>
            <w:tcW w:w="1516" w:type="dxa"/>
            <w:tcBorders>
              <w:top w:val="nil"/>
              <w:left w:val="single" w:sz="4" w:space="0" w:color="auto"/>
              <w:bottom w:val="single" w:sz="4" w:space="0" w:color="auto"/>
              <w:right w:val="nil"/>
            </w:tcBorders>
            <w:shd w:val="clear" w:color="auto" w:fill="auto"/>
            <w:noWrap/>
            <w:vAlign w:val="center"/>
            <w:hideMark/>
          </w:tcPr>
          <w:p w14:paraId="668C5B64" w14:textId="77777777" w:rsidR="00387142" w:rsidRPr="008B6A75" w:rsidRDefault="00387142" w:rsidP="00387142">
            <w:pPr>
              <w:jc w:val="center"/>
              <w:rPr>
                <w:sz w:val="20"/>
                <w:szCs w:val="20"/>
              </w:rPr>
            </w:pPr>
            <w:r w:rsidRPr="008B6A75">
              <w:rPr>
                <w:sz w:val="20"/>
                <w:szCs w:val="20"/>
              </w:rPr>
              <w:t>99.0.00.70820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19B03F7" w14:textId="77777777" w:rsidR="00387142" w:rsidRPr="008B6A75" w:rsidRDefault="00387142" w:rsidP="00387142">
            <w:pPr>
              <w:jc w:val="center"/>
              <w:rPr>
                <w:sz w:val="20"/>
                <w:szCs w:val="20"/>
              </w:rPr>
            </w:pPr>
            <w:r w:rsidRPr="008B6A75">
              <w:rPr>
                <w:sz w:val="20"/>
                <w:szCs w:val="20"/>
              </w:rPr>
              <w:t>200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2F3DF24" w14:textId="77777777" w:rsidR="00387142" w:rsidRPr="008B6A75" w:rsidRDefault="00387142" w:rsidP="00387142">
            <w:pPr>
              <w:jc w:val="right"/>
              <w:rPr>
                <w:sz w:val="20"/>
                <w:szCs w:val="20"/>
              </w:rPr>
            </w:pPr>
            <w:r w:rsidRPr="008B6A75">
              <w:rPr>
                <w:sz w:val="20"/>
                <w:szCs w:val="20"/>
              </w:rPr>
              <w:t>0,00</w:t>
            </w:r>
          </w:p>
        </w:tc>
        <w:tc>
          <w:tcPr>
            <w:tcW w:w="992" w:type="dxa"/>
            <w:tcBorders>
              <w:top w:val="nil"/>
              <w:left w:val="single" w:sz="4" w:space="0" w:color="auto"/>
              <w:bottom w:val="single" w:sz="4" w:space="0" w:color="auto"/>
              <w:right w:val="nil"/>
            </w:tcBorders>
            <w:shd w:val="clear" w:color="auto" w:fill="auto"/>
            <w:vAlign w:val="center"/>
            <w:hideMark/>
          </w:tcPr>
          <w:p w14:paraId="00C43BB4" w14:textId="77777777" w:rsidR="00387142" w:rsidRPr="008B6A75" w:rsidRDefault="00387142" w:rsidP="00387142">
            <w:pPr>
              <w:jc w:val="right"/>
              <w:rPr>
                <w:sz w:val="20"/>
                <w:szCs w:val="20"/>
              </w:rPr>
            </w:pPr>
            <w:r w:rsidRPr="008B6A75">
              <w:rPr>
                <w:sz w:val="20"/>
                <w:szCs w:val="20"/>
              </w:rPr>
              <w:t>1 080 100,00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033310C8" w14:textId="77777777" w:rsidR="00387142" w:rsidRPr="008B6A75" w:rsidRDefault="00387142" w:rsidP="00387142">
            <w:pPr>
              <w:jc w:val="right"/>
              <w:rPr>
                <w:sz w:val="20"/>
                <w:szCs w:val="20"/>
              </w:rPr>
            </w:pPr>
            <w:r w:rsidRPr="008B6A75">
              <w:rPr>
                <w:sz w:val="20"/>
                <w:szCs w:val="20"/>
              </w:rPr>
              <w:t>0,00</w:t>
            </w:r>
          </w:p>
        </w:tc>
      </w:tr>
      <w:tr w:rsidR="00387142" w:rsidRPr="008B6A75" w14:paraId="696C455D" w14:textId="77777777" w:rsidTr="00387142">
        <w:trPr>
          <w:trHeight w:val="870"/>
        </w:trPr>
        <w:tc>
          <w:tcPr>
            <w:tcW w:w="3261" w:type="dxa"/>
            <w:tcBorders>
              <w:top w:val="nil"/>
              <w:left w:val="single" w:sz="4" w:space="0" w:color="auto"/>
              <w:bottom w:val="single" w:sz="4" w:space="0" w:color="auto"/>
              <w:right w:val="nil"/>
            </w:tcBorders>
            <w:shd w:val="clear" w:color="auto" w:fill="auto"/>
            <w:vAlign w:val="center"/>
            <w:hideMark/>
          </w:tcPr>
          <w:p w14:paraId="747527DB" w14:textId="77777777" w:rsidR="00387142" w:rsidRPr="008B6A75" w:rsidRDefault="00387142" w:rsidP="00387142">
            <w:pPr>
              <w:rPr>
                <w:sz w:val="20"/>
                <w:szCs w:val="20"/>
              </w:rPr>
            </w:pPr>
            <w:r w:rsidRPr="008B6A75">
              <w:rPr>
                <w:sz w:val="20"/>
                <w:szCs w:val="20"/>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4D86FE1C" w14:textId="77777777" w:rsidR="00387142" w:rsidRPr="008B6A75" w:rsidRDefault="00387142" w:rsidP="00387142">
            <w:pPr>
              <w:jc w:val="center"/>
              <w:rPr>
                <w:sz w:val="20"/>
                <w:szCs w:val="20"/>
              </w:rPr>
            </w:pPr>
            <w:r w:rsidRPr="008B6A75">
              <w:rPr>
                <w:sz w:val="20"/>
                <w:szCs w:val="20"/>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ECF5442" w14:textId="77777777" w:rsidR="00387142" w:rsidRPr="008B6A75" w:rsidRDefault="00387142" w:rsidP="00387142">
            <w:pPr>
              <w:jc w:val="center"/>
              <w:rPr>
                <w:sz w:val="20"/>
                <w:szCs w:val="20"/>
              </w:rPr>
            </w:pPr>
            <w:r w:rsidRPr="008B6A75">
              <w:rPr>
                <w:sz w:val="20"/>
                <w:szCs w:val="20"/>
              </w:rPr>
              <w:t>06</w:t>
            </w:r>
          </w:p>
        </w:tc>
        <w:tc>
          <w:tcPr>
            <w:tcW w:w="1516" w:type="dxa"/>
            <w:tcBorders>
              <w:top w:val="nil"/>
              <w:left w:val="single" w:sz="4" w:space="0" w:color="auto"/>
              <w:bottom w:val="single" w:sz="4" w:space="0" w:color="auto"/>
              <w:right w:val="nil"/>
            </w:tcBorders>
            <w:shd w:val="clear" w:color="auto" w:fill="auto"/>
            <w:noWrap/>
            <w:vAlign w:val="center"/>
            <w:hideMark/>
          </w:tcPr>
          <w:p w14:paraId="02E04AE3" w14:textId="77777777" w:rsidR="00387142" w:rsidRPr="008B6A75" w:rsidRDefault="00387142" w:rsidP="00387142">
            <w:pPr>
              <w:jc w:val="center"/>
              <w:rPr>
                <w:sz w:val="20"/>
                <w:szCs w:val="20"/>
              </w:rPr>
            </w:pPr>
            <w:r w:rsidRPr="008B6A75">
              <w:rPr>
                <w:sz w:val="20"/>
                <w:szCs w:val="20"/>
              </w:rPr>
              <w:t>99.0.00.70820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1A590F2" w14:textId="77777777" w:rsidR="00387142" w:rsidRPr="008B6A75" w:rsidRDefault="00387142" w:rsidP="00387142">
            <w:pPr>
              <w:jc w:val="center"/>
              <w:rPr>
                <w:sz w:val="20"/>
                <w:szCs w:val="20"/>
              </w:rPr>
            </w:pPr>
            <w:r w:rsidRPr="008B6A75">
              <w:rPr>
                <w:sz w:val="20"/>
                <w:szCs w:val="20"/>
              </w:rPr>
              <w:t>240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7B693BE" w14:textId="77777777" w:rsidR="00387142" w:rsidRPr="008B6A75" w:rsidRDefault="00387142" w:rsidP="00387142">
            <w:pPr>
              <w:jc w:val="right"/>
              <w:rPr>
                <w:sz w:val="20"/>
                <w:szCs w:val="20"/>
              </w:rPr>
            </w:pPr>
            <w:r w:rsidRPr="008B6A75">
              <w:rPr>
                <w:sz w:val="20"/>
                <w:szCs w:val="20"/>
              </w:rPr>
              <w:t>0,00</w:t>
            </w:r>
          </w:p>
        </w:tc>
        <w:tc>
          <w:tcPr>
            <w:tcW w:w="992" w:type="dxa"/>
            <w:tcBorders>
              <w:top w:val="nil"/>
              <w:left w:val="single" w:sz="4" w:space="0" w:color="auto"/>
              <w:bottom w:val="single" w:sz="4" w:space="0" w:color="auto"/>
              <w:right w:val="nil"/>
            </w:tcBorders>
            <w:shd w:val="clear" w:color="auto" w:fill="auto"/>
            <w:vAlign w:val="center"/>
            <w:hideMark/>
          </w:tcPr>
          <w:p w14:paraId="324ECC4C" w14:textId="77777777" w:rsidR="00387142" w:rsidRPr="008B6A75" w:rsidRDefault="00387142" w:rsidP="00387142">
            <w:pPr>
              <w:jc w:val="right"/>
              <w:rPr>
                <w:sz w:val="20"/>
                <w:szCs w:val="20"/>
              </w:rPr>
            </w:pPr>
            <w:r w:rsidRPr="008B6A75">
              <w:rPr>
                <w:sz w:val="20"/>
                <w:szCs w:val="20"/>
              </w:rPr>
              <w:t>1 080 100,00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14004539" w14:textId="77777777" w:rsidR="00387142" w:rsidRPr="008B6A75" w:rsidRDefault="00387142" w:rsidP="00387142">
            <w:pPr>
              <w:jc w:val="right"/>
              <w:rPr>
                <w:sz w:val="20"/>
                <w:szCs w:val="20"/>
              </w:rPr>
            </w:pPr>
            <w:r w:rsidRPr="008B6A75">
              <w:rPr>
                <w:sz w:val="20"/>
                <w:szCs w:val="20"/>
              </w:rPr>
              <w:t>0,00</w:t>
            </w:r>
          </w:p>
        </w:tc>
      </w:tr>
      <w:tr w:rsidR="00387142" w:rsidRPr="008B6A75" w14:paraId="54F9C4A7" w14:textId="77777777" w:rsidTr="00387142">
        <w:trPr>
          <w:trHeight w:val="870"/>
        </w:trPr>
        <w:tc>
          <w:tcPr>
            <w:tcW w:w="3261" w:type="dxa"/>
            <w:tcBorders>
              <w:top w:val="nil"/>
              <w:left w:val="single" w:sz="4" w:space="0" w:color="auto"/>
              <w:bottom w:val="single" w:sz="4" w:space="0" w:color="auto"/>
              <w:right w:val="nil"/>
            </w:tcBorders>
            <w:shd w:val="clear" w:color="auto" w:fill="auto"/>
            <w:vAlign w:val="center"/>
            <w:hideMark/>
          </w:tcPr>
          <w:p w14:paraId="79AE00AF" w14:textId="77777777" w:rsidR="00387142" w:rsidRPr="008B6A75" w:rsidRDefault="00387142" w:rsidP="00387142">
            <w:pPr>
              <w:rPr>
                <w:sz w:val="20"/>
                <w:szCs w:val="20"/>
              </w:rPr>
            </w:pPr>
            <w:r w:rsidRPr="008B6A75">
              <w:rPr>
                <w:sz w:val="20"/>
                <w:szCs w:val="20"/>
              </w:rPr>
              <w:t>Предоставление субсидий бюджетным, автономным учреждениям и иным некоммерческим организациям</w:t>
            </w:r>
          </w:p>
        </w:tc>
        <w:tc>
          <w:tcPr>
            <w:tcW w:w="720" w:type="dxa"/>
            <w:tcBorders>
              <w:top w:val="nil"/>
              <w:left w:val="single" w:sz="4" w:space="0" w:color="auto"/>
              <w:bottom w:val="single" w:sz="4" w:space="0" w:color="auto"/>
              <w:right w:val="nil"/>
            </w:tcBorders>
            <w:shd w:val="clear" w:color="auto" w:fill="auto"/>
            <w:noWrap/>
            <w:vAlign w:val="center"/>
            <w:hideMark/>
          </w:tcPr>
          <w:p w14:paraId="235D3C1A" w14:textId="77777777" w:rsidR="00387142" w:rsidRPr="008B6A75" w:rsidRDefault="00387142" w:rsidP="00387142">
            <w:pPr>
              <w:jc w:val="center"/>
              <w:rPr>
                <w:sz w:val="20"/>
                <w:szCs w:val="20"/>
              </w:rPr>
            </w:pPr>
            <w:r w:rsidRPr="008B6A75">
              <w:rPr>
                <w:sz w:val="20"/>
                <w:szCs w:val="20"/>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AD7751B" w14:textId="77777777" w:rsidR="00387142" w:rsidRPr="008B6A75" w:rsidRDefault="00387142" w:rsidP="00387142">
            <w:pPr>
              <w:jc w:val="center"/>
              <w:rPr>
                <w:sz w:val="20"/>
                <w:szCs w:val="20"/>
              </w:rPr>
            </w:pPr>
            <w:r w:rsidRPr="008B6A75">
              <w:rPr>
                <w:sz w:val="20"/>
                <w:szCs w:val="20"/>
              </w:rPr>
              <w:t>06</w:t>
            </w:r>
          </w:p>
        </w:tc>
        <w:tc>
          <w:tcPr>
            <w:tcW w:w="1516" w:type="dxa"/>
            <w:tcBorders>
              <w:top w:val="nil"/>
              <w:left w:val="single" w:sz="4" w:space="0" w:color="auto"/>
              <w:bottom w:val="single" w:sz="4" w:space="0" w:color="auto"/>
              <w:right w:val="nil"/>
            </w:tcBorders>
            <w:shd w:val="clear" w:color="auto" w:fill="auto"/>
            <w:noWrap/>
            <w:vAlign w:val="center"/>
            <w:hideMark/>
          </w:tcPr>
          <w:p w14:paraId="46B46779" w14:textId="77777777" w:rsidR="00387142" w:rsidRPr="008B6A75" w:rsidRDefault="00387142" w:rsidP="00387142">
            <w:pPr>
              <w:jc w:val="center"/>
              <w:rPr>
                <w:sz w:val="20"/>
                <w:szCs w:val="20"/>
              </w:rPr>
            </w:pPr>
            <w:r w:rsidRPr="008B6A75">
              <w:rPr>
                <w:sz w:val="20"/>
                <w:szCs w:val="20"/>
              </w:rPr>
              <w:t>99.0.00.70820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1F25E8F" w14:textId="77777777" w:rsidR="00387142" w:rsidRPr="008B6A75" w:rsidRDefault="00387142" w:rsidP="00387142">
            <w:pPr>
              <w:jc w:val="center"/>
              <w:rPr>
                <w:sz w:val="20"/>
                <w:szCs w:val="20"/>
              </w:rPr>
            </w:pPr>
            <w:r w:rsidRPr="008B6A75">
              <w:rPr>
                <w:sz w:val="20"/>
                <w:szCs w:val="20"/>
              </w:rPr>
              <w:t>600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A224002" w14:textId="77777777" w:rsidR="00387142" w:rsidRPr="008B6A75" w:rsidRDefault="00387142" w:rsidP="00387142">
            <w:pPr>
              <w:jc w:val="right"/>
              <w:rPr>
                <w:sz w:val="20"/>
                <w:szCs w:val="20"/>
              </w:rPr>
            </w:pPr>
            <w:r w:rsidRPr="008B6A75">
              <w:rPr>
                <w:sz w:val="20"/>
                <w:szCs w:val="20"/>
              </w:rPr>
              <w:t>656 300,00</w:t>
            </w:r>
          </w:p>
        </w:tc>
        <w:tc>
          <w:tcPr>
            <w:tcW w:w="992" w:type="dxa"/>
            <w:tcBorders>
              <w:top w:val="nil"/>
              <w:left w:val="single" w:sz="4" w:space="0" w:color="auto"/>
              <w:bottom w:val="single" w:sz="4" w:space="0" w:color="auto"/>
              <w:right w:val="nil"/>
            </w:tcBorders>
            <w:shd w:val="clear" w:color="auto" w:fill="auto"/>
            <w:vAlign w:val="center"/>
            <w:hideMark/>
          </w:tcPr>
          <w:p w14:paraId="2EFE5F13" w14:textId="77777777" w:rsidR="00387142" w:rsidRPr="008B6A75" w:rsidRDefault="00387142" w:rsidP="00387142">
            <w:pPr>
              <w:jc w:val="right"/>
              <w:rPr>
                <w:sz w:val="20"/>
                <w:szCs w:val="20"/>
              </w:rPr>
            </w:pPr>
            <w:r w:rsidRPr="008B6A75">
              <w:rPr>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6F922747" w14:textId="77777777" w:rsidR="00387142" w:rsidRPr="008B6A75" w:rsidRDefault="00387142" w:rsidP="00387142">
            <w:pPr>
              <w:jc w:val="right"/>
              <w:rPr>
                <w:sz w:val="20"/>
                <w:szCs w:val="20"/>
              </w:rPr>
            </w:pPr>
            <w:r w:rsidRPr="008B6A75">
              <w:rPr>
                <w:sz w:val="20"/>
                <w:szCs w:val="20"/>
              </w:rPr>
              <w:t>0,00</w:t>
            </w:r>
          </w:p>
        </w:tc>
      </w:tr>
      <w:tr w:rsidR="00387142" w:rsidRPr="008B6A75" w14:paraId="64C2282D" w14:textId="77777777" w:rsidTr="00387142">
        <w:trPr>
          <w:trHeight w:val="345"/>
        </w:trPr>
        <w:tc>
          <w:tcPr>
            <w:tcW w:w="3261" w:type="dxa"/>
            <w:tcBorders>
              <w:top w:val="nil"/>
              <w:left w:val="single" w:sz="4" w:space="0" w:color="auto"/>
              <w:bottom w:val="single" w:sz="4" w:space="0" w:color="auto"/>
              <w:right w:val="nil"/>
            </w:tcBorders>
            <w:shd w:val="clear" w:color="auto" w:fill="auto"/>
            <w:vAlign w:val="center"/>
            <w:hideMark/>
          </w:tcPr>
          <w:p w14:paraId="0CFA303C" w14:textId="77777777" w:rsidR="00387142" w:rsidRPr="008B6A75" w:rsidRDefault="00387142" w:rsidP="00387142">
            <w:pPr>
              <w:rPr>
                <w:sz w:val="20"/>
                <w:szCs w:val="20"/>
              </w:rPr>
            </w:pPr>
            <w:r w:rsidRPr="008B6A75">
              <w:rPr>
                <w:sz w:val="20"/>
                <w:szCs w:val="20"/>
              </w:rPr>
              <w:t>Субсидии бюджетным учреждениям</w:t>
            </w:r>
          </w:p>
        </w:tc>
        <w:tc>
          <w:tcPr>
            <w:tcW w:w="720" w:type="dxa"/>
            <w:tcBorders>
              <w:top w:val="nil"/>
              <w:left w:val="single" w:sz="4" w:space="0" w:color="auto"/>
              <w:bottom w:val="single" w:sz="4" w:space="0" w:color="auto"/>
              <w:right w:val="nil"/>
            </w:tcBorders>
            <w:shd w:val="clear" w:color="auto" w:fill="auto"/>
            <w:noWrap/>
            <w:vAlign w:val="center"/>
            <w:hideMark/>
          </w:tcPr>
          <w:p w14:paraId="7519210B" w14:textId="77777777" w:rsidR="00387142" w:rsidRPr="008B6A75" w:rsidRDefault="00387142" w:rsidP="00387142">
            <w:pPr>
              <w:jc w:val="center"/>
              <w:rPr>
                <w:sz w:val="20"/>
                <w:szCs w:val="20"/>
              </w:rPr>
            </w:pPr>
            <w:r w:rsidRPr="008B6A75">
              <w:rPr>
                <w:sz w:val="20"/>
                <w:szCs w:val="20"/>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015AC7D" w14:textId="77777777" w:rsidR="00387142" w:rsidRPr="008B6A75" w:rsidRDefault="00387142" w:rsidP="00387142">
            <w:pPr>
              <w:jc w:val="center"/>
              <w:rPr>
                <w:sz w:val="20"/>
                <w:szCs w:val="20"/>
              </w:rPr>
            </w:pPr>
            <w:r w:rsidRPr="008B6A75">
              <w:rPr>
                <w:sz w:val="20"/>
                <w:szCs w:val="20"/>
              </w:rPr>
              <w:t>06</w:t>
            </w:r>
          </w:p>
        </w:tc>
        <w:tc>
          <w:tcPr>
            <w:tcW w:w="1516" w:type="dxa"/>
            <w:tcBorders>
              <w:top w:val="nil"/>
              <w:left w:val="single" w:sz="4" w:space="0" w:color="auto"/>
              <w:bottom w:val="single" w:sz="4" w:space="0" w:color="auto"/>
              <w:right w:val="nil"/>
            </w:tcBorders>
            <w:shd w:val="clear" w:color="auto" w:fill="auto"/>
            <w:noWrap/>
            <w:vAlign w:val="center"/>
            <w:hideMark/>
          </w:tcPr>
          <w:p w14:paraId="3A871D3D" w14:textId="77777777" w:rsidR="00387142" w:rsidRPr="008B6A75" w:rsidRDefault="00387142" w:rsidP="00387142">
            <w:pPr>
              <w:jc w:val="center"/>
              <w:rPr>
                <w:sz w:val="20"/>
                <w:szCs w:val="20"/>
              </w:rPr>
            </w:pPr>
            <w:r w:rsidRPr="008B6A75">
              <w:rPr>
                <w:sz w:val="20"/>
                <w:szCs w:val="20"/>
              </w:rPr>
              <w:t>99.0.00.70820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C79813A" w14:textId="77777777" w:rsidR="00387142" w:rsidRPr="008B6A75" w:rsidRDefault="00387142" w:rsidP="00387142">
            <w:pPr>
              <w:jc w:val="center"/>
              <w:rPr>
                <w:sz w:val="20"/>
                <w:szCs w:val="20"/>
              </w:rPr>
            </w:pPr>
            <w:r w:rsidRPr="008B6A75">
              <w:rPr>
                <w:sz w:val="20"/>
                <w:szCs w:val="20"/>
              </w:rPr>
              <w:t>610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C5F86A2" w14:textId="77777777" w:rsidR="00387142" w:rsidRPr="008B6A75" w:rsidRDefault="00387142" w:rsidP="00387142">
            <w:pPr>
              <w:jc w:val="right"/>
              <w:rPr>
                <w:sz w:val="20"/>
                <w:szCs w:val="20"/>
              </w:rPr>
            </w:pPr>
            <w:r w:rsidRPr="008B6A75">
              <w:rPr>
                <w:sz w:val="20"/>
                <w:szCs w:val="20"/>
              </w:rPr>
              <w:t>656 300,00</w:t>
            </w:r>
          </w:p>
        </w:tc>
        <w:tc>
          <w:tcPr>
            <w:tcW w:w="992" w:type="dxa"/>
            <w:tcBorders>
              <w:top w:val="nil"/>
              <w:left w:val="single" w:sz="4" w:space="0" w:color="auto"/>
              <w:bottom w:val="single" w:sz="4" w:space="0" w:color="auto"/>
              <w:right w:val="nil"/>
            </w:tcBorders>
            <w:shd w:val="clear" w:color="auto" w:fill="auto"/>
            <w:vAlign w:val="center"/>
            <w:hideMark/>
          </w:tcPr>
          <w:p w14:paraId="47BCB25E" w14:textId="77777777" w:rsidR="00387142" w:rsidRPr="008B6A75" w:rsidRDefault="00387142" w:rsidP="00387142">
            <w:pPr>
              <w:jc w:val="right"/>
              <w:rPr>
                <w:sz w:val="20"/>
                <w:szCs w:val="20"/>
              </w:rPr>
            </w:pPr>
            <w:r w:rsidRPr="008B6A75">
              <w:rPr>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2D139EDC" w14:textId="77777777" w:rsidR="00387142" w:rsidRPr="008B6A75" w:rsidRDefault="00387142" w:rsidP="00387142">
            <w:pPr>
              <w:jc w:val="right"/>
              <w:rPr>
                <w:sz w:val="20"/>
                <w:szCs w:val="20"/>
              </w:rPr>
            </w:pPr>
            <w:r w:rsidRPr="008B6A75">
              <w:rPr>
                <w:sz w:val="20"/>
                <w:szCs w:val="20"/>
              </w:rPr>
              <w:t>0,00</w:t>
            </w:r>
          </w:p>
        </w:tc>
      </w:tr>
      <w:tr w:rsidR="00387142" w:rsidRPr="008B6A75" w14:paraId="38BB0B60" w14:textId="77777777" w:rsidTr="00387142">
        <w:trPr>
          <w:trHeight w:val="345"/>
        </w:trPr>
        <w:tc>
          <w:tcPr>
            <w:tcW w:w="3261" w:type="dxa"/>
            <w:tcBorders>
              <w:top w:val="nil"/>
              <w:left w:val="single" w:sz="4" w:space="0" w:color="auto"/>
              <w:bottom w:val="single" w:sz="4" w:space="0" w:color="auto"/>
              <w:right w:val="nil"/>
            </w:tcBorders>
            <w:shd w:val="clear" w:color="auto" w:fill="auto"/>
            <w:vAlign w:val="center"/>
            <w:hideMark/>
          </w:tcPr>
          <w:p w14:paraId="078C206A" w14:textId="77777777" w:rsidR="00387142" w:rsidRPr="008B6A75" w:rsidRDefault="00387142" w:rsidP="00387142">
            <w:pPr>
              <w:rPr>
                <w:bCs/>
                <w:sz w:val="20"/>
                <w:szCs w:val="20"/>
              </w:rPr>
            </w:pPr>
            <w:r w:rsidRPr="008B6A75">
              <w:rPr>
                <w:bCs/>
                <w:sz w:val="20"/>
                <w:szCs w:val="20"/>
              </w:rPr>
              <w:t>ФИЗИЧЕСКАЯ КУЛЬТУРА И СПОРТ</w:t>
            </w:r>
          </w:p>
        </w:tc>
        <w:tc>
          <w:tcPr>
            <w:tcW w:w="720" w:type="dxa"/>
            <w:tcBorders>
              <w:top w:val="nil"/>
              <w:left w:val="single" w:sz="4" w:space="0" w:color="auto"/>
              <w:bottom w:val="single" w:sz="4" w:space="0" w:color="auto"/>
              <w:right w:val="nil"/>
            </w:tcBorders>
            <w:shd w:val="clear" w:color="auto" w:fill="auto"/>
            <w:noWrap/>
            <w:vAlign w:val="center"/>
            <w:hideMark/>
          </w:tcPr>
          <w:p w14:paraId="25C442B9" w14:textId="77777777" w:rsidR="00387142" w:rsidRPr="008B6A75" w:rsidRDefault="00387142" w:rsidP="00387142">
            <w:pPr>
              <w:jc w:val="center"/>
              <w:rPr>
                <w:bCs/>
                <w:sz w:val="20"/>
                <w:szCs w:val="20"/>
              </w:rPr>
            </w:pPr>
            <w:r w:rsidRPr="008B6A75">
              <w:rPr>
                <w:bCs/>
                <w:sz w:val="20"/>
                <w:szCs w:val="20"/>
              </w:rPr>
              <w:t>11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540803B" w14:textId="77777777" w:rsidR="00387142" w:rsidRPr="008B6A75" w:rsidRDefault="00387142" w:rsidP="00387142">
            <w:pPr>
              <w:jc w:val="center"/>
              <w:rPr>
                <w:bCs/>
                <w:sz w:val="20"/>
                <w:szCs w:val="20"/>
              </w:rPr>
            </w:pPr>
            <w:r w:rsidRPr="008B6A75">
              <w:rPr>
                <w:bCs/>
                <w:sz w:val="20"/>
                <w:szCs w:val="20"/>
              </w:rPr>
              <w:t> </w:t>
            </w:r>
          </w:p>
        </w:tc>
        <w:tc>
          <w:tcPr>
            <w:tcW w:w="1516" w:type="dxa"/>
            <w:tcBorders>
              <w:top w:val="nil"/>
              <w:left w:val="single" w:sz="4" w:space="0" w:color="auto"/>
              <w:bottom w:val="single" w:sz="4" w:space="0" w:color="auto"/>
              <w:right w:val="nil"/>
            </w:tcBorders>
            <w:shd w:val="clear" w:color="auto" w:fill="auto"/>
            <w:noWrap/>
            <w:vAlign w:val="center"/>
            <w:hideMark/>
          </w:tcPr>
          <w:p w14:paraId="46844D25" w14:textId="77777777" w:rsidR="00387142" w:rsidRPr="008B6A75" w:rsidRDefault="00387142" w:rsidP="00387142">
            <w:pPr>
              <w:jc w:val="center"/>
              <w:rPr>
                <w:bCs/>
                <w:sz w:val="20"/>
                <w:szCs w:val="20"/>
              </w:rPr>
            </w:pPr>
            <w:r w:rsidRPr="008B6A75">
              <w:rPr>
                <w:bCs/>
                <w:sz w:val="20"/>
                <w:szCs w:val="20"/>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C906C11"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B8EAA09" w14:textId="77777777" w:rsidR="00387142" w:rsidRPr="008B6A75" w:rsidRDefault="00387142" w:rsidP="00387142">
            <w:pPr>
              <w:jc w:val="right"/>
              <w:rPr>
                <w:bCs/>
                <w:sz w:val="20"/>
                <w:szCs w:val="20"/>
              </w:rPr>
            </w:pPr>
            <w:r w:rsidRPr="008B6A75">
              <w:rPr>
                <w:bCs/>
                <w:sz w:val="20"/>
                <w:szCs w:val="20"/>
              </w:rPr>
              <w:t>100 946 075,20</w:t>
            </w:r>
          </w:p>
        </w:tc>
        <w:tc>
          <w:tcPr>
            <w:tcW w:w="992" w:type="dxa"/>
            <w:tcBorders>
              <w:top w:val="nil"/>
              <w:left w:val="single" w:sz="4" w:space="0" w:color="auto"/>
              <w:bottom w:val="single" w:sz="4" w:space="0" w:color="auto"/>
              <w:right w:val="nil"/>
            </w:tcBorders>
            <w:shd w:val="clear" w:color="auto" w:fill="auto"/>
            <w:vAlign w:val="center"/>
            <w:hideMark/>
          </w:tcPr>
          <w:p w14:paraId="1B1DD74A" w14:textId="77777777" w:rsidR="00387142" w:rsidRPr="008B6A75" w:rsidRDefault="00387142" w:rsidP="00387142">
            <w:pPr>
              <w:jc w:val="right"/>
              <w:rPr>
                <w:bCs/>
                <w:sz w:val="20"/>
                <w:szCs w:val="20"/>
              </w:rPr>
            </w:pPr>
            <w:r w:rsidRPr="008B6A75">
              <w:rPr>
                <w:bCs/>
                <w:sz w:val="20"/>
                <w:szCs w:val="20"/>
              </w:rPr>
              <w:t>32 000 000,00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62D8F850" w14:textId="77777777" w:rsidR="00387142" w:rsidRPr="008B6A75" w:rsidRDefault="00387142" w:rsidP="00387142">
            <w:pPr>
              <w:jc w:val="right"/>
              <w:rPr>
                <w:bCs/>
                <w:sz w:val="20"/>
                <w:szCs w:val="20"/>
              </w:rPr>
            </w:pPr>
            <w:r w:rsidRPr="008B6A75">
              <w:rPr>
                <w:bCs/>
                <w:sz w:val="20"/>
                <w:szCs w:val="20"/>
              </w:rPr>
              <w:t>32 000 000,00</w:t>
            </w:r>
          </w:p>
        </w:tc>
      </w:tr>
      <w:tr w:rsidR="00387142" w:rsidRPr="008B6A75" w14:paraId="780FC6D9" w14:textId="77777777" w:rsidTr="00387142">
        <w:trPr>
          <w:trHeight w:val="345"/>
        </w:trPr>
        <w:tc>
          <w:tcPr>
            <w:tcW w:w="3261" w:type="dxa"/>
            <w:tcBorders>
              <w:top w:val="nil"/>
              <w:left w:val="single" w:sz="4" w:space="0" w:color="auto"/>
              <w:bottom w:val="single" w:sz="4" w:space="0" w:color="auto"/>
              <w:right w:val="nil"/>
            </w:tcBorders>
            <w:shd w:val="clear" w:color="auto" w:fill="auto"/>
            <w:vAlign w:val="center"/>
            <w:hideMark/>
          </w:tcPr>
          <w:p w14:paraId="7AB03471" w14:textId="77777777" w:rsidR="00387142" w:rsidRPr="008B6A75" w:rsidRDefault="00387142" w:rsidP="00387142">
            <w:pPr>
              <w:rPr>
                <w:bCs/>
                <w:sz w:val="20"/>
                <w:szCs w:val="20"/>
              </w:rPr>
            </w:pPr>
            <w:r w:rsidRPr="008B6A75">
              <w:rPr>
                <w:bCs/>
                <w:sz w:val="20"/>
                <w:szCs w:val="20"/>
              </w:rPr>
              <w:t>Физическая культура</w:t>
            </w:r>
          </w:p>
        </w:tc>
        <w:tc>
          <w:tcPr>
            <w:tcW w:w="720" w:type="dxa"/>
            <w:tcBorders>
              <w:top w:val="nil"/>
              <w:left w:val="single" w:sz="4" w:space="0" w:color="auto"/>
              <w:bottom w:val="single" w:sz="4" w:space="0" w:color="auto"/>
              <w:right w:val="nil"/>
            </w:tcBorders>
            <w:shd w:val="clear" w:color="auto" w:fill="auto"/>
            <w:noWrap/>
            <w:vAlign w:val="center"/>
            <w:hideMark/>
          </w:tcPr>
          <w:p w14:paraId="54D8D9B2" w14:textId="77777777" w:rsidR="00387142" w:rsidRPr="008B6A75" w:rsidRDefault="00387142" w:rsidP="00387142">
            <w:pPr>
              <w:jc w:val="center"/>
              <w:rPr>
                <w:bCs/>
                <w:sz w:val="20"/>
                <w:szCs w:val="20"/>
              </w:rPr>
            </w:pPr>
            <w:r w:rsidRPr="008B6A75">
              <w:rPr>
                <w:bCs/>
                <w:sz w:val="20"/>
                <w:szCs w:val="20"/>
              </w:rPr>
              <w:t>11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E246B3E" w14:textId="77777777" w:rsidR="00387142" w:rsidRPr="008B6A75" w:rsidRDefault="00387142" w:rsidP="00387142">
            <w:pPr>
              <w:jc w:val="center"/>
              <w:rPr>
                <w:bCs/>
                <w:sz w:val="20"/>
                <w:szCs w:val="20"/>
              </w:rPr>
            </w:pPr>
            <w:r w:rsidRPr="008B6A75">
              <w:rPr>
                <w:bCs/>
                <w:sz w:val="20"/>
                <w:szCs w:val="20"/>
              </w:rPr>
              <w:t>01</w:t>
            </w:r>
          </w:p>
        </w:tc>
        <w:tc>
          <w:tcPr>
            <w:tcW w:w="1516" w:type="dxa"/>
            <w:tcBorders>
              <w:top w:val="nil"/>
              <w:left w:val="single" w:sz="4" w:space="0" w:color="auto"/>
              <w:bottom w:val="single" w:sz="4" w:space="0" w:color="auto"/>
              <w:right w:val="nil"/>
            </w:tcBorders>
            <w:shd w:val="clear" w:color="auto" w:fill="auto"/>
            <w:noWrap/>
            <w:vAlign w:val="center"/>
            <w:hideMark/>
          </w:tcPr>
          <w:p w14:paraId="7632DA60" w14:textId="77777777" w:rsidR="00387142" w:rsidRPr="008B6A75" w:rsidRDefault="00387142" w:rsidP="00387142">
            <w:pPr>
              <w:jc w:val="center"/>
              <w:rPr>
                <w:bCs/>
                <w:sz w:val="20"/>
                <w:szCs w:val="20"/>
              </w:rPr>
            </w:pPr>
            <w:r w:rsidRPr="008B6A75">
              <w:rPr>
                <w:bCs/>
                <w:sz w:val="20"/>
                <w:szCs w:val="20"/>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7F07F33"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04C97C8" w14:textId="77777777" w:rsidR="00387142" w:rsidRPr="008B6A75" w:rsidRDefault="00387142" w:rsidP="00387142">
            <w:pPr>
              <w:jc w:val="right"/>
              <w:rPr>
                <w:bCs/>
                <w:sz w:val="20"/>
                <w:szCs w:val="20"/>
              </w:rPr>
            </w:pPr>
            <w:r w:rsidRPr="008B6A75">
              <w:rPr>
                <w:bCs/>
                <w:sz w:val="20"/>
                <w:szCs w:val="20"/>
              </w:rPr>
              <w:t>38 359 958,87</w:t>
            </w:r>
          </w:p>
        </w:tc>
        <w:tc>
          <w:tcPr>
            <w:tcW w:w="992" w:type="dxa"/>
            <w:tcBorders>
              <w:top w:val="nil"/>
              <w:left w:val="single" w:sz="4" w:space="0" w:color="auto"/>
              <w:bottom w:val="single" w:sz="4" w:space="0" w:color="auto"/>
              <w:right w:val="nil"/>
            </w:tcBorders>
            <w:shd w:val="clear" w:color="auto" w:fill="auto"/>
            <w:vAlign w:val="center"/>
            <w:hideMark/>
          </w:tcPr>
          <w:p w14:paraId="15677560" w14:textId="77777777" w:rsidR="00387142" w:rsidRPr="008B6A75" w:rsidRDefault="00387142" w:rsidP="00387142">
            <w:pPr>
              <w:jc w:val="right"/>
              <w:rPr>
                <w:bCs/>
                <w:sz w:val="20"/>
                <w:szCs w:val="20"/>
              </w:rPr>
            </w:pPr>
            <w:r w:rsidRPr="008B6A75">
              <w:rPr>
                <w:bCs/>
                <w:sz w:val="20"/>
                <w:szCs w:val="20"/>
              </w:rPr>
              <w:t>32 000 000,00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3D0EB3AD" w14:textId="77777777" w:rsidR="00387142" w:rsidRPr="008B6A75" w:rsidRDefault="00387142" w:rsidP="00387142">
            <w:pPr>
              <w:jc w:val="right"/>
              <w:rPr>
                <w:bCs/>
                <w:sz w:val="20"/>
                <w:szCs w:val="20"/>
              </w:rPr>
            </w:pPr>
            <w:r w:rsidRPr="008B6A75">
              <w:rPr>
                <w:bCs/>
                <w:sz w:val="20"/>
                <w:szCs w:val="20"/>
              </w:rPr>
              <w:t>32 000 000,00</w:t>
            </w:r>
          </w:p>
        </w:tc>
      </w:tr>
      <w:tr w:rsidR="00387142" w:rsidRPr="008B6A75" w14:paraId="1884DAAF" w14:textId="77777777" w:rsidTr="00387142">
        <w:trPr>
          <w:trHeight w:val="1155"/>
        </w:trPr>
        <w:tc>
          <w:tcPr>
            <w:tcW w:w="3261" w:type="dxa"/>
            <w:tcBorders>
              <w:top w:val="nil"/>
              <w:left w:val="single" w:sz="4" w:space="0" w:color="auto"/>
              <w:bottom w:val="single" w:sz="4" w:space="0" w:color="auto"/>
              <w:right w:val="nil"/>
            </w:tcBorders>
            <w:shd w:val="clear" w:color="auto" w:fill="auto"/>
            <w:vAlign w:val="center"/>
            <w:hideMark/>
          </w:tcPr>
          <w:p w14:paraId="104C5E6F" w14:textId="77777777" w:rsidR="00387142" w:rsidRPr="008B6A75" w:rsidRDefault="00387142" w:rsidP="00387142">
            <w:pPr>
              <w:rPr>
                <w:bCs/>
                <w:sz w:val="20"/>
                <w:szCs w:val="20"/>
              </w:rPr>
            </w:pPr>
            <w:r w:rsidRPr="008B6A75">
              <w:rPr>
                <w:bCs/>
                <w:sz w:val="20"/>
                <w:szCs w:val="20"/>
              </w:rPr>
              <w:t>Муниципальная программа "Развитие физической культуры и спорта в Куйбышевском районе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14:paraId="5CCF7581" w14:textId="77777777" w:rsidR="00387142" w:rsidRPr="008B6A75" w:rsidRDefault="00387142" w:rsidP="00387142">
            <w:pPr>
              <w:jc w:val="center"/>
              <w:rPr>
                <w:bCs/>
                <w:sz w:val="20"/>
                <w:szCs w:val="20"/>
              </w:rPr>
            </w:pPr>
            <w:r w:rsidRPr="008B6A75">
              <w:rPr>
                <w:bCs/>
                <w:sz w:val="20"/>
                <w:szCs w:val="20"/>
              </w:rPr>
              <w:t>11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DDBC403" w14:textId="77777777" w:rsidR="00387142" w:rsidRPr="008B6A75" w:rsidRDefault="00387142" w:rsidP="00387142">
            <w:pPr>
              <w:jc w:val="center"/>
              <w:rPr>
                <w:bCs/>
                <w:sz w:val="20"/>
                <w:szCs w:val="20"/>
              </w:rPr>
            </w:pPr>
            <w:r w:rsidRPr="008B6A75">
              <w:rPr>
                <w:bCs/>
                <w:sz w:val="20"/>
                <w:szCs w:val="20"/>
              </w:rPr>
              <w:t>01</w:t>
            </w:r>
          </w:p>
        </w:tc>
        <w:tc>
          <w:tcPr>
            <w:tcW w:w="1516" w:type="dxa"/>
            <w:tcBorders>
              <w:top w:val="nil"/>
              <w:left w:val="single" w:sz="4" w:space="0" w:color="auto"/>
              <w:bottom w:val="single" w:sz="4" w:space="0" w:color="auto"/>
              <w:right w:val="nil"/>
            </w:tcBorders>
            <w:shd w:val="clear" w:color="auto" w:fill="auto"/>
            <w:noWrap/>
            <w:vAlign w:val="center"/>
            <w:hideMark/>
          </w:tcPr>
          <w:p w14:paraId="12FB5B05" w14:textId="77777777" w:rsidR="00387142" w:rsidRPr="008B6A75" w:rsidRDefault="00387142" w:rsidP="00387142">
            <w:pPr>
              <w:jc w:val="center"/>
              <w:rPr>
                <w:bCs/>
                <w:sz w:val="20"/>
                <w:szCs w:val="20"/>
              </w:rPr>
            </w:pPr>
            <w:r w:rsidRPr="008B6A75">
              <w:rPr>
                <w:bCs/>
                <w:sz w:val="20"/>
                <w:szCs w:val="20"/>
              </w:rPr>
              <w:t>11.0.00.00000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FDF7D92"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BE13111" w14:textId="77777777" w:rsidR="00387142" w:rsidRPr="008B6A75" w:rsidRDefault="00387142" w:rsidP="00387142">
            <w:pPr>
              <w:jc w:val="right"/>
              <w:rPr>
                <w:bCs/>
                <w:sz w:val="20"/>
                <w:szCs w:val="20"/>
              </w:rPr>
            </w:pPr>
            <w:r w:rsidRPr="008B6A75">
              <w:rPr>
                <w:bCs/>
                <w:sz w:val="20"/>
                <w:szCs w:val="20"/>
              </w:rPr>
              <w:t>38 359 958,87</w:t>
            </w:r>
          </w:p>
        </w:tc>
        <w:tc>
          <w:tcPr>
            <w:tcW w:w="992" w:type="dxa"/>
            <w:tcBorders>
              <w:top w:val="nil"/>
              <w:left w:val="single" w:sz="4" w:space="0" w:color="auto"/>
              <w:bottom w:val="single" w:sz="4" w:space="0" w:color="auto"/>
              <w:right w:val="nil"/>
            </w:tcBorders>
            <w:shd w:val="clear" w:color="auto" w:fill="auto"/>
            <w:vAlign w:val="center"/>
            <w:hideMark/>
          </w:tcPr>
          <w:p w14:paraId="192429A7" w14:textId="77777777" w:rsidR="00387142" w:rsidRPr="008B6A75" w:rsidRDefault="00387142" w:rsidP="00387142">
            <w:pPr>
              <w:jc w:val="right"/>
              <w:rPr>
                <w:bCs/>
                <w:sz w:val="20"/>
                <w:szCs w:val="20"/>
              </w:rPr>
            </w:pPr>
            <w:r w:rsidRPr="008B6A75">
              <w:rPr>
                <w:bCs/>
                <w:sz w:val="20"/>
                <w:szCs w:val="20"/>
              </w:rPr>
              <w:t>32 000 000,00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1B5EA24B" w14:textId="77777777" w:rsidR="00387142" w:rsidRPr="008B6A75" w:rsidRDefault="00387142" w:rsidP="00387142">
            <w:pPr>
              <w:jc w:val="right"/>
              <w:rPr>
                <w:bCs/>
                <w:sz w:val="20"/>
                <w:szCs w:val="20"/>
              </w:rPr>
            </w:pPr>
            <w:r w:rsidRPr="008B6A75">
              <w:rPr>
                <w:bCs/>
                <w:sz w:val="20"/>
                <w:szCs w:val="20"/>
              </w:rPr>
              <w:t>32 000 000,00</w:t>
            </w:r>
          </w:p>
        </w:tc>
      </w:tr>
      <w:tr w:rsidR="00387142" w:rsidRPr="008B6A75" w14:paraId="46E74A45" w14:textId="77777777" w:rsidTr="00387142">
        <w:trPr>
          <w:trHeight w:val="870"/>
        </w:trPr>
        <w:tc>
          <w:tcPr>
            <w:tcW w:w="3261" w:type="dxa"/>
            <w:tcBorders>
              <w:top w:val="nil"/>
              <w:left w:val="single" w:sz="4" w:space="0" w:color="auto"/>
              <w:bottom w:val="single" w:sz="4" w:space="0" w:color="auto"/>
              <w:right w:val="nil"/>
            </w:tcBorders>
            <w:shd w:val="clear" w:color="auto" w:fill="auto"/>
            <w:vAlign w:val="center"/>
            <w:hideMark/>
          </w:tcPr>
          <w:p w14:paraId="3BC63155" w14:textId="77777777" w:rsidR="00387142" w:rsidRPr="008B6A75" w:rsidRDefault="00387142" w:rsidP="00387142">
            <w:pPr>
              <w:rPr>
                <w:bCs/>
                <w:sz w:val="20"/>
                <w:szCs w:val="20"/>
              </w:rPr>
            </w:pPr>
            <w:r w:rsidRPr="008B6A75">
              <w:rPr>
                <w:bCs/>
                <w:sz w:val="20"/>
                <w:szCs w:val="20"/>
              </w:rPr>
              <w:t xml:space="preserve">Расходы на обеспечение деятельности (оказание услуг) центров спортивной </w:t>
            </w:r>
            <w:proofErr w:type="gramStart"/>
            <w:r w:rsidRPr="008B6A75">
              <w:rPr>
                <w:bCs/>
                <w:sz w:val="20"/>
                <w:szCs w:val="20"/>
              </w:rPr>
              <w:t>подготовки(</w:t>
            </w:r>
            <w:proofErr w:type="gramEnd"/>
            <w:r w:rsidRPr="008B6A75">
              <w:rPr>
                <w:bCs/>
                <w:sz w:val="20"/>
                <w:szCs w:val="20"/>
              </w:rPr>
              <w:t>сборных команд)</w:t>
            </w:r>
          </w:p>
        </w:tc>
        <w:tc>
          <w:tcPr>
            <w:tcW w:w="720" w:type="dxa"/>
            <w:tcBorders>
              <w:top w:val="nil"/>
              <w:left w:val="single" w:sz="4" w:space="0" w:color="auto"/>
              <w:bottom w:val="single" w:sz="4" w:space="0" w:color="auto"/>
              <w:right w:val="nil"/>
            </w:tcBorders>
            <w:shd w:val="clear" w:color="auto" w:fill="auto"/>
            <w:noWrap/>
            <w:vAlign w:val="center"/>
            <w:hideMark/>
          </w:tcPr>
          <w:p w14:paraId="3D5F67D7" w14:textId="77777777" w:rsidR="00387142" w:rsidRPr="008B6A75" w:rsidRDefault="00387142" w:rsidP="00387142">
            <w:pPr>
              <w:jc w:val="center"/>
              <w:rPr>
                <w:bCs/>
                <w:sz w:val="20"/>
                <w:szCs w:val="20"/>
              </w:rPr>
            </w:pPr>
            <w:r w:rsidRPr="008B6A75">
              <w:rPr>
                <w:bCs/>
                <w:sz w:val="20"/>
                <w:szCs w:val="20"/>
              </w:rPr>
              <w:t>11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01F7468" w14:textId="77777777" w:rsidR="00387142" w:rsidRPr="008B6A75" w:rsidRDefault="00387142" w:rsidP="00387142">
            <w:pPr>
              <w:jc w:val="center"/>
              <w:rPr>
                <w:bCs/>
                <w:sz w:val="20"/>
                <w:szCs w:val="20"/>
              </w:rPr>
            </w:pPr>
            <w:r w:rsidRPr="008B6A75">
              <w:rPr>
                <w:bCs/>
                <w:sz w:val="20"/>
                <w:szCs w:val="20"/>
              </w:rPr>
              <w:t>01</w:t>
            </w:r>
          </w:p>
        </w:tc>
        <w:tc>
          <w:tcPr>
            <w:tcW w:w="1516" w:type="dxa"/>
            <w:tcBorders>
              <w:top w:val="nil"/>
              <w:left w:val="single" w:sz="4" w:space="0" w:color="auto"/>
              <w:bottom w:val="single" w:sz="4" w:space="0" w:color="auto"/>
              <w:right w:val="nil"/>
            </w:tcBorders>
            <w:shd w:val="clear" w:color="auto" w:fill="auto"/>
            <w:noWrap/>
            <w:vAlign w:val="center"/>
            <w:hideMark/>
          </w:tcPr>
          <w:p w14:paraId="21C17055" w14:textId="77777777" w:rsidR="00387142" w:rsidRPr="008B6A75" w:rsidRDefault="00387142" w:rsidP="00387142">
            <w:pPr>
              <w:jc w:val="center"/>
              <w:rPr>
                <w:bCs/>
                <w:sz w:val="20"/>
                <w:szCs w:val="20"/>
              </w:rPr>
            </w:pPr>
            <w:r w:rsidRPr="008B6A75">
              <w:rPr>
                <w:bCs/>
                <w:sz w:val="20"/>
                <w:szCs w:val="20"/>
              </w:rPr>
              <w:t>11.0.00.11190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4FF2959"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BE20537" w14:textId="77777777" w:rsidR="00387142" w:rsidRPr="008B6A75" w:rsidRDefault="00387142" w:rsidP="00387142">
            <w:pPr>
              <w:jc w:val="right"/>
              <w:rPr>
                <w:bCs/>
                <w:sz w:val="20"/>
                <w:szCs w:val="20"/>
              </w:rPr>
            </w:pPr>
            <w:r w:rsidRPr="008B6A75">
              <w:rPr>
                <w:bCs/>
                <w:sz w:val="20"/>
                <w:szCs w:val="20"/>
              </w:rPr>
              <w:t>35 855 258,87</w:t>
            </w:r>
          </w:p>
        </w:tc>
        <w:tc>
          <w:tcPr>
            <w:tcW w:w="992" w:type="dxa"/>
            <w:tcBorders>
              <w:top w:val="nil"/>
              <w:left w:val="single" w:sz="4" w:space="0" w:color="auto"/>
              <w:bottom w:val="single" w:sz="4" w:space="0" w:color="auto"/>
              <w:right w:val="nil"/>
            </w:tcBorders>
            <w:shd w:val="clear" w:color="auto" w:fill="auto"/>
            <w:vAlign w:val="center"/>
            <w:hideMark/>
          </w:tcPr>
          <w:p w14:paraId="48EEC634" w14:textId="77777777" w:rsidR="00387142" w:rsidRPr="008B6A75" w:rsidRDefault="00387142" w:rsidP="00387142">
            <w:pPr>
              <w:jc w:val="right"/>
              <w:rPr>
                <w:bCs/>
                <w:sz w:val="20"/>
                <w:szCs w:val="20"/>
              </w:rPr>
            </w:pPr>
            <w:r w:rsidRPr="008B6A75">
              <w:rPr>
                <w:bCs/>
                <w:sz w:val="20"/>
                <w:szCs w:val="20"/>
              </w:rPr>
              <w:t>32 000 000,00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0B368DB7" w14:textId="77777777" w:rsidR="00387142" w:rsidRPr="008B6A75" w:rsidRDefault="00387142" w:rsidP="00387142">
            <w:pPr>
              <w:jc w:val="right"/>
              <w:rPr>
                <w:bCs/>
                <w:sz w:val="20"/>
                <w:szCs w:val="20"/>
              </w:rPr>
            </w:pPr>
            <w:r w:rsidRPr="008B6A75">
              <w:rPr>
                <w:bCs/>
                <w:sz w:val="20"/>
                <w:szCs w:val="20"/>
              </w:rPr>
              <w:t>32 000 000,00</w:t>
            </w:r>
          </w:p>
        </w:tc>
      </w:tr>
      <w:tr w:rsidR="00387142" w:rsidRPr="008B6A75" w14:paraId="4CE4AF20" w14:textId="77777777" w:rsidTr="00387142">
        <w:trPr>
          <w:trHeight w:val="1440"/>
        </w:trPr>
        <w:tc>
          <w:tcPr>
            <w:tcW w:w="3261" w:type="dxa"/>
            <w:tcBorders>
              <w:top w:val="nil"/>
              <w:left w:val="single" w:sz="4" w:space="0" w:color="auto"/>
              <w:bottom w:val="single" w:sz="4" w:space="0" w:color="auto"/>
              <w:right w:val="nil"/>
            </w:tcBorders>
            <w:shd w:val="clear" w:color="auto" w:fill="auto"/>
            <w:vAlign w:val="center"/>
            <w:hideMark/>
          </w:tcPr>
          <w:p w14:paraId="32191A06" w14:textId="77777777" w:rsidR="00387142" w:rsidRPr="008B6A75" w:rsidRDefault="00387142" w:rsidP="00387142">
            <w:pPr>
              <w:rPr>
                <w:sz w:val="20"/>
                <w:szCs w:val="20"/>
              </w:rPr>
            </w:pPr>
            <w:r w:rsidRPr="008B6A7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14:paraId="080833AC" w14:textId="77777777" w:rsidR="00387142" w:rsidRPr="008B6A75" w:rsidRDefault="00387142" w:rsidP="00387142">
            <w:pPr>
              <w:jc w:val="center"/>
              <w:rPr>
                <w:sz w:val="20"/>
                <w:szCs w:val="20"/>
              </w:rPr>
            </w:pPr>
            <w:r w:rsidRPr="008B6A75">
              <w:rPr>
                <w:sz w:val="20"/>
                <w:szCs w:val="20"/>
              </w:rPr>
              <w:t>11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DB2F8A5" w14:textId="77777777" w:rsidR="00387142" w:rsidRPr="008B6A75" w:rsidRDefault="00387142" w:rsidP="00387142">
            <w:pPr>
              <w:jc w:val="center"/>
              <w:rPr>
                <w:sz w:val="20"/>
                <w:szCs w:val="20"/>
              </w:rPr>
            </w:pPr>
            <w:r w:rsidRPr="008B6A75">
              <w:rPr>
                <w:sz w:val="20"/>
                <w:szCs w:val="20"/>
              </w:rPr>
              <w:t>01</w:t>
            </w:r>
          </w:p>
        </w:tc>
        <w:tc>
          <w:tcPr>
            <w:tcW w:w="1516" w:type="dxa"/>
            <w:tcBorders>
              <w:top w:val="nil"/>
              <w:left w:val="single" w:sz="4" w:space="0" w:color="auto"/>
              <w:bottom w:val="single" w:sz="4" w:space="0" w:color="auto"/>
              <w:right w:val="nil"/>
            </w:tcBorders>
            <w:shd w:val="clear" w:color="auto" w:fill="auto"/>
            <w:noWrap/>
            <w:vAlign w:val="center"/>
            <w:hideMark/>
          </w:tcPr>
          <w:p w14:paraId="15F99D66" w14:textId="77777777" w:rsidR="00387142" w:rsidRPr="008B6A75" w:rsidRDefault="00387142" w:rsidP="00387142">
            <w:pPr>
              <w:jc w:val="center"/>
              <w:rPr>
                <w:sz w:val="20"/>
                <w:szCs w:val="20"/>
              </w:rPr>
            </w:pPr>
            <w:r w:rsidRPr="008B6A75">
              <w:rPr>
                <w:sz w:val="20"/>
                <w:szCs w:val="20"/>
              </w:rPr>
              <w:t>11.0.00.11190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4180229" w14:textId="77777777" w:rsidR="00387142" w:rsidRPr="008B6A75" w:rsidRDefault="00387142" w:rsidP="00387142">
            <w:pPr>
              <w:jc w:val="center"/>
              <w:rPr>
                <w:sz w:val="20"/>
                <w:szCs w:val="20"/>
              </w:rPr>
            </w:pPr>
            <w:r w:rsidRPr="008B6A75">
              <w:rPr>
                <w:sz w:val="20"/>
                <w:szCs w:val="20"/>
              </w:rPr>
              <w:t>100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817A9E6" w14:textId="77777777" w:rsidR="00387142" w:rsidRPr="008B6A75" w:rsidRDefault="00387142" w:rsidP="00387142">
            <w:pPr>
              <w:jc w:val="right"/>
              <w:rPr>
                <w:sz w:val="20"/>
                <w:szCs w:val="20"/>
              </w:rPr>
            </w:pPr>
            <w:r w:rsidRPr="008B6A75">
              <w:rPr>
                <w:sz w:val="20"/>
                <w:szCs w:val="20"/>
              </w:rPr>
              <w:t>0,00</w:t>
            </w:r>
          </w:p>
        </w:tc>
        <w:tc>
          <w:tcPr>
            <w:tcW w:w="992" w:type="dxa"/>
            <w:tcBorders>
              <w:top w:val="nil"/>
              <w:left w:val="single" w:sz="4" w:space="0" w:color="auto"/>
              <w:bottom w:val="single" w:sz="4" w:space="0" w:color="auto"/>
              <w:right w:val="nil"/>
            </w:tcBorders>
            <w:shd w:val="clear" w:color="auto" w:fill="auto"/>
            <w:vAlign w:val="center"/>
            <w:hideMark/>
          </w:tcPr>
          <w:p w14:paraId="4EDDAF93" w14:textId="77777777" w:rsidR="00387142" w:rsidRPr="008B6A75" w:rsidRDefault="00387142" w:rsidP="00387142">
            <w:pPr>
              <w:jc w:val="right"/>
              <w:rPr>
                <w:sz w:val="20"/>
                <w:szCs w:val="20"/>
              </w:rPr>
            </w:pPr>
            <w:r w:rsidRPr="008B6A75">
              <w:rPr>
                <w:sz w:val="20"/>
                <w:szCs w:val="20"/>
              </w:rPr>
              <w:t>12 000 000,00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29A57E22" w14:textId="77777777" w:rsidR="00387142" w:rsidRPr="008B6A75" w:rsidRDefault="00387142" w:rsidP="00387142">
            <w:pPr>
              <w:jc w:val="right"/>
              <w:rPr>
                <w:sz w:val="20"/>
                <w:szCs w:val="20"/>
              </w:rPr>
            </w:pPr>
            <w:r w:rsidRPr="008B6A75">
              <w:rPr>
                <w:sz w:val="20"/>
                <w:szCs w:val="20"/>
              </w:rPr>
              <w:t>12 000 000,00</w:t>
            </w:r>
          </w:p>
        </w:tc>
      </w:tr>
      <w:tr w:rsidR="00387142" w:rsidRPr="008B6A75" w14:paraId="38D81D67" w14:textId="77777777" w:rsidTr="00387142">
        <w:trPr>
          <w:trHeight w:val="585"/>
        </w:trPr>
        <w:tc>
          <w:tcPr>
            <w:tcW w:w="3261" w:type="dxa"/>
            <w:tcBorders>
              <w:top w:val="nil"/>
              <w:left w:val="single" w:sz="4" w:space="0" w:color="auto"/>
              <w:bottom w:val="single" w:sz="4" w:space="0" w:color="auto"/>
              <w:right w:val="nil"/>
            </w:tcBorders>
            <w:shd w:val="clear" w:color="auto" w:fill="auto"/>
            <w:vAlign w:val="center"/>
            <w:hideMark/>
          </w:tcPr>
          <w:p w14:paraId="7C1F311E" w14:textId="77777777" w:rsidR="00387142" w:rsidRPr="008B6A75" w:rsidRDefault="00387142" w:rsidP="00387142">
            <w:pPr>
              <w:rPr>
                <w:sz w:val="20"/>
                <w:szCs w:val="20"/>
              </w:rPr>
            </w:pPr>
            <w:r w:rsidRPr="008B6A75">
              <w:rPr>
                <w:sz w:val="20"/>
                <w:szCs w:val="20"/>
              </w:rPr>
              <w:t>Расходы на выплаты персоналу казенных учреждений</w:t>
            </w:r>
          </w:p>
        </w:tc>
        <w:tc>
          <w:tcPr>
            <w:tcW w:w="720" w:type="dxa"/>
            <w:tcBorders>
              <w:top w:val="nil"/>
              <w:left w:val="single" w:sz="4" w:space="0" w:color="auto"/>
              <w:bottom w:val="single" w:sz="4" w:space="0" w:color="auto"/>
              <w:right w:val="nil"/>
            </w:tcBorders>
            <w:shd w:val="clear" w:color="auto" w:fill="auto"/>
            <w:noWrap/>
            <w:vAlign w:val="center"/>
            <w:hideMark/>
          </w:tcPr>
          <w:p w14:paraId="53AC4B93" w14:textId="77777777" w:rsidR="00387142" w:rsidRPr="008B6A75" w:rsidRDefault="00387142" w:rsidP="00387142">
            <w:pPr>
              <w:jc w:val="center"/>
              <w:rPr>
                <w:sz w:val="20"/>
                <w:szCs w:val="20"/>
              </w:rPr>
            </w:pPr>
            <w:r w:rsidRPr="008B6A75">
              <w:rPr>
                <w:sz w:val="20"/>
                <w:szCs w:val="20"/>
              </w:rPr>
              <w:t>11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3DC3407" w14:textId="77777777" w:rsidR="00387142" w:rsidRPr="008B6A75" w:rsidRDefault="00387142" w:rsidP="00387142">
            <w:pPr>
              <w:jc w:val="center"/>
              <w:rPr>
                <w:sz w:val="20"/>
                <w:szCs w:val="20"/>
              </w:rPr>
            </w:pPr>
            <w:r w:rsidRPr="008B6A75">
              <w:rPr>
                <w:sz w:val="20"/>
                <w:szCs w:val="20"/>
              </w:rPr>
              <w:t>01</w:t>
            </w:r>
          </w:p>
        </w:tc>
        <w:tc>
          <w:tcPr>
            <w:tcW w:w="1516" w:type="dxa"/>
            <w:tcBorders>
              <w:top w:val="nil"/>
              <w:left w:val="single" w:sz="4" w:space="0" w:color="auto"/>
              <w:bottom w:val="single" w:sz="4" w:space="0" w:color="auto"/>
              <w:right w:val="nil"/>
            </w:tcBorders>
            <w:shd w:val="clear" w:color="auto" w:fill="auto"/>
            <w:noWrap/>
            <w:vAlign w:val="center"/>
            <w:hideMark/>
          </w:tcPr>
          <w:p w14:paraId="01C49A0F" w14:textId="77777777" w:rsidR="00387142" w:rsidRPr="008B6A75" w:rsidRDefault="00387142" w:rsidP="00387142">
            <w:pPr>
              <w:jc w:val="center"/>
              <w:rPr>
                <w:sz w:val="20"/>
                <w:szCs w:val="20"/>
              </w:rPr>
            </w:pPr>
            <w:r w:rsidRPr="008B6A75">
              <w:rPr>
                <w:sz w:val="20"/>
                <w:szCs w:val="20"/>
              </w:rPr>
              <w:t>11.0.00.11190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E56D6B0" w14:textId="77777777" w:rsidR="00387142" w:rsidRPr="008B6A75" w:rsidRDefault="00387142" w:rsidP="00387142">
            <w:pPr>
              <w:jc w:val="center"/>
              <w:rPr>
                <w:sz w:val="20"/>
                <w:szCs w:val="20"/>
              </w:rPr>
            </w:pPr>
            <w:r w:rsidRPr="008B6A75">
              <w:rPr>
                <w:sz w:val="20"/>
                <w:szCs w:val="20"/>
              </w:rPr>
              <w:t>110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4770259" w14:textId="77777777" w:rsidR="00387142" w:rsidRPr="008B6A75" w:rsidRDefault="00387142" w:rsidP="00387142">
            <w:pPr>
              <w:jc w:val="right"/>
              <w:rPr>
                <w:sz w:val="20"/>
                <w:szCs w:val="20"/>
              </w:rPr>
            </w:pPr>
            <w:r w:rsidRPr="008B6A75">
              <w:rPr>
                <w:sz w:val="20"/>
                <w:szCs w:val="20"/>
              </w:rPr>
              <w:t>0,00</w:t>
            </w:r>
          </w:p>
        </w:tc>
        <w:tc>
          <w:tcPr>
            <w:tcW w:w="992" w:type="dxa"/>
            <w:tcBorders>
              <w:top w:val="nil"/>
              <w:left w:val="single" w:sz="4" w:space="0" w:color="auto"/>
              <w:bottom w:val="single" w:sz="4" w:space="0" w:color="auto"/>
              <w:right w:val="nil"/>
            </w:tcBorders>
            <w:shd w:val="clear" w:color="auto" w:fill="auto"/>
            <w:vAlign w:val="center"/>
            <w:hideMark/>
          </w:tcPr>
          <w:p w14:paraId="34A1C3CF" w14:textId="77777777" w:rsidR="00387142" w:rsidRPr="008B6A75" w:rsidRDefault="00387142" w:rsidP="00387142">
            <w:pPr>
              <w:jc w:val="right"/>
              <w:rPr>
                <w:sz w:val="20"/>
                <w:szCs w:val="20"/>
              </w:rPr>
            </w:pPr>
            <w:r w:rsidRPr="008B6A75">
              <w:rPr>
                <w:sz w:val="20"/>
                <w:szCs w:val="20"/>
              </w:rPr>
              <w:t>12 000 000,00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3CE1ADDF" w14:textId="77777777" w:rsidR="00387142" w:rsidRPr="008B6A75" w:rsidRDefault="00387142" w:rsidP="00387142">
            <w:pPr>
              <w:jc w:val="right"/>
              <w:rPr>
                <w:sz w:val="20"/>
                <w:szCs w:val="20"/>
              </w:rPr>
            </w:pPr>
            <w:r w:rsidRPr="008B6A75">
              <w:rPr>
                <w:sz w:val="20"/>
                <w:szCs w:val="20"/>
              </w:rPr>
              <w:t>12 000 000,00</w:t>
            </w:r>
          </w:p>
        </w:tc>
      </w:tr>
      <w:tr w:rsidR="00387142" w:rsidRPr="008B6A75" w14:paraId="377AB37D" w14:textId="77777777" w:rsidTr="00387142">
        <w:trPr>
          <w:trHeight w:val="585"/>
        </w:trPr>
        <w:tc>
          <w:tcPr>
            <w:tcW w:w="3261" w:type="dxa"/>
            <w:tcBorders>
              <w:top w:val="nil"/>
              <w:left w:val="single" w:sz="4" w:space="0" w:color="auto"/>
              <w:bottom w:val="single" w:sz="4" w:space="0" w:color="auto"/>
              <w:right w:val="nil"/>
            </w:tcBorders>
            <w:shd w:val="clear" w:color="auto" w:fill="auto"/>
            <w:vAlign w:val="center"/>
            <w:hideMark/>
          </w:tcPr>
          <w:p w14:paraId="55ECC6A4" w14:textId="77777777" w:rsidR="00387142" w:rsidRPr="008B6A75" w:rsidRDefault="00387142" w:rsidP="00387142">
            <w:pPr>
              <w:rPr>
                <w:sz w:val="20"/>
                <w:szCs w:val="20"/>
              </w:rPr>
            </w:pPr>
            <w:r w:rsidRPr="008B6A75">
              <w:rPr>
                <w:sz w:val="20"/>
                <w:szCs w:val="20"/>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778D73B1" w14:textId="77777777" w:rsidR="00387142" w:rsidRPr="008B6A75" w:rsidRDefault="00387142" w:rsidP="00387142">
            <w:pPr>
              <w:jc w:val="center"/>
              <w:rPr>
                <w:sz w:val="20"/>
                <w:szCs w:val="20"/>
              </w:rPr>
            </w:pPr>
            <w:r w:rsidRPr="008B6A75">
              <w:rPr>
                <w:sz w:val="20"/>
                <w:szCs w:val="20"/>
              </w:rPr>
              <w:t>11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89C3FA5" w14:textId="77777777" w:rsidR="00387142" w:rsidRPr="008B6A75" w:rsidRDefault="00387142" w:rsidP="00387142">
            <w:pPr>
              <w:jc w:val="center"/>
              <w:rPr>
                <w:sz w:val="20"/>
                <w:szCs w:val="20"/>
              </w:rPr>
            </w:pPr>
            <w:r w:rsidRPr="008B6A75">
              <w:rPr>
                <w:sz w:val="20"/>
                <w:szCs w:val="20"/>
              </w:rPr>
              <w:t>01</w:t>
            </w:r>
          </w:p>
        </w:tc>
        <w:tc>
          <w:tcPr>
            <w:tcW w:w="1516" w:type="dxa"/>
            <w:tcBorders>
              <w:top w:val="nil"/>
              <w:left w:val="single" w:sz="4" w:space="0" w:color="auto"/>
              <w:bottom w:val="single" w:sz="4" w:space="0" w:color="auto"/>
              <w:right w:val="nil"/>
            </w:tcBorders>
            <w:shd w:val="clear" w:color="auto" w:fill="auto"/>
            <w:noWrap/>
            <w:vAlign w:val="center"/>
            <w:hideMark/>
          </w:tcPr>
          <w:p w14:paraId="6D42579C" w14:textId="77777777" w:rsidR="00387142" w:rsidRPr="008B6A75" w:rsidRDefault="00387142" w:rsidP="00387142">
            <w:pPr>
              <w:jc w:val="center"/>
              <w:rPr>
                <w:sz w:val="20"/>
                <w:szCs w:val="20"/>
              </w:rPr>
            </w:pPr>
            <w:r w:rsidRPr="008B6A75">
              <w:rPr>
                <w:sz w:val="20"/>
                <w:szCs w:val="20"/>
              </w:rPr>
              <w:t>11.0.00.11190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527DE21" w14:textId="77777777" w:rsidR="00387142" w:rsidRPr="008B6A75" w:rsidRDefault="00387142" w:rsidP="00387142">
            <w:pPr>
              <w:jc w:val="center"/>
              <w:rPr>
                <w:sz w:val="20"/>
                <w:szCs w:val="20"/>
              </w:rPr>
            </w:pPr>
            <w:r w:rsidRPr="008B6A75">
              <w:rPr>
                <w:sz w:val="20"/>
                <w:szCs w:val="20"/>
              </w:rPr>
              <w:t>200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581658B" w14:textId="77777777" w:rsidR="00387142" w:rsidRPr="008B6A75" w:rsidRDefault="00387142" w:rsidP="00387142">
            <w:pPr>
              <w:jc w:val="right"/>
              <w:rPr>
                <w:sz w:val="20"/>
                <w:szCs w:val="20"/>
              </w:rPr>
            </w:pPr>
            <w:r w:rsidRPr="008B6A75">
              <w:rPr>
                <w:sz w:val="20"/>
                <w:szCs w:val="20"/>
              </w:rPr>
              <w:t>0,00</w:t>
            </w:r>
          </w:p>
        </w:tc>
        <w:tc>
          <w:tcPr>
            <w:tcW w:w="992" w:type="dxa"/>
            <w:tcBorders>
              <w:top w:val="nil"/>
              <w:left w:val="single" w:sz="4" w:space="0" w:color="auto"/>
              <w:bottom w:val="single" w:sz="4" w:space="0" w:color="auto"/>
              <w:right w:val="nil"/>
            </w:tcBorders>
            <w:shd w:val="clear" w:color="auto" w:fill="auto"/>
            <w:vAlign w:val="center"/>
            <w:hideMark/>
          </w:tcPr>
          <w:p w14:paraId="502138E5" w14:textId="77777777" w:rsidR="00387142" w:rsidRPr="008B6A75" w:rsidRDefault="00387142" w:rsidP="00387142">
            <w:pPr>
              <w:jc w:val="right"/>
              <w:rPr>
                <w:sz w:val="20"/>
                <w:szCs w:val="20"/>
              </w:rPr>
            </w:pPr>
            <w:r w:rsidRPr="008B6A75">
              <w:rPr>
                <w:sz w:val="20"/>
                <w:szCs w:val="20"/>
              </w:rPr>
              <w:t>10 000 000,00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25909A43" w14:textId="77777777" w:rsidR="00387142" w:rsidRPr="008B6A75" w:rsidRDefault="00387142" w:rsidP="00387142">
            <w:pPr>
              <w:jc w:val="right"/>
              <w:rPr>
                <w:sz w:val="20"/>
                <w:szCs w:val="20"/>
              </w:rPr>
            </w:pPr>
            <w:r w:rsidRPr="008B6A75">
              <w:rPr>
                <w:sz w:val="20"/>
                <w:szCs w:val="20"/>
              </w:rPr>
              <w:t>10 000 000,00</w:t>
            </w:r>
          </w:p>
        </w:tc>
      </w:tr>
      <w:tr w:rsidR="00387142" w:rsidRPr="008B6A75" w14:paraId="6460E954" w14:textId="77777777" w:rsidTr="00387142">
        <w:trPr>
          <w:trHeight w:val="870"/>
        </w:trPr>
        <w:tc>
          <w:tcPr>
            <w:tcW w:w="3261" w:type="dxa"/>
            <w:tcBorders>
              <w:top w:val="nil"/>
              <w:left w:val="single" w:sz="4" w:space="0" w:color="auto"/>
              <w:bottom w:val="single" w:sz="4" w:space="0" w:color="auto"/>
              <w:right w:val="nil"/>
            </w:tcBorders>
            <w:shd w:val="clear" w:color="auto" w:fill="auto"/>
            <w:vAlign w:val="center"/>
            <w:hideMark/>
          </w:tcPr>
          <w:p w14:paraId="79449042" w14:textId="77777777" w:rsidR="00387142" w:rsidRPr="008B6A75" w:rsidRDefault="00387142" w:rsidP="00387142">
            <w:pPr>
              <w:rPr>
                <w:sz w:val="20"/>
                <w:szCs w:val="20"/>
              </w:rPr>
            </w:pPr>
            <w:r w:rsidRPr="008B6A75">
              <w:rPr>
                <w:sz w:val="20"/>
                <w:szCs w:val="20"/>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565F299D" w14:textId="77777777" w:rsidR="00387142" w:rsidRPr="008B6A75" w:rsidRDefault="00387142" w:rsidP="00387142">
            <w:pPr>
              <w:jc w:val="center"/>
              <w:rPr>
                <w:sz w:val="20"/>
                <w:szCs w:val="20"/>
              </w:rPr>
            </w:pPr>
            <w:r w:rsidRPr="008B6A75">
              <w:rPr>
                <w:sz w:val="20"/>
                <w:szCs w:val="20"/>
              </w:rPr>
              <w:t>11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BCC4CC5" w14:textId="77777777" w:rsidR="00387142" w:rsidRPr="008B6A75" w:rsidRDefault="00387142" w:rsidP="00387142">
            <w:pPr>
              <w:jc w:val="center"/>
              <w:rPr>
                <w:sz w:val="20"/>
                <w:szCs w:val="20"/>
              </w:rPr>
            </w:pPr>
            <w:r w:rsidRPr="008B6A75">
              <w:rPr>
                <w:sz w:val="20"/>
                <w:szCs w:val="20"/>
              </w:rPr>
              <w:t>01</w:t>
            </w:r>
          </w:p>
        </w:tc>
        <w:tc>
          <w:tcPr>
            <w:tcW w:w="1516" w:type="dxa"/>
            <w:tcBorders>
              <w:top w:val="nil"/>
              <w:left w:val="single" w:sz="4" w:space="0" w:color="auto"/>
              <w:bottom w:val="single" w:sz="4" w:space="0" w:color="auto"/>
              <w:right w:val="nil"/>
            </w:tcBorders>
            <w:shd w:val="clear" w:color="auto" w:fill="auto"/>
            <w:noWrap/>
            <w:vAlign w:val="center"/>
            <w:hideMark/>
          </w:tcPr>
          <w:p w14:paraId="07A9E827" w14:textId="77777777" w:rsidR="00387142" w:rsidRPr="008B6A75" w:rsidRDefault="00387142" w:rsidP="00387142">
            <w:pPr>
              <w:jc w:val="center"/>
              <w:rPr>
                <w:sz w:val="20"/>
                <w:szCs w:val="20"/>
              </w:rPr>
            </w:pPr>
            <w:r w:rsidRPr="008B6A75">
              <w:rPr>
                <w:sz w:val="20"/>
                <w:szCs w:val="20"/>
              </w:rPr>
              <w:t>11.0.00.11190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C3BD7B1" w14:textId="77777777" w:rsidR="00387142" w:rsidRPr="008B6A75" w:rsidRDefault="00387142" w:rsidP="00387142">
            <w:pPr>
              <w:jc w:val="center"/>
              <w:rPr>
                <w:sz w:val="20"/>
                <w:szCs w:val="20"/>
              </w:rPr>
            </w:pPr>
            <w:r w:rsidRPr="008B6A75">
              <w:rPr>
                <w:sz w:val="20"/>
                <w:szCs w:val="20"/>
              </w:rPr>
              <w:t>240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ECE6BA1" w14:textId="77777777" w:rsidR="00387142" w:rsidRPr="008B6A75" w:rsidRDefault="00387142" w:rsidP="00387142">
            <w:pPr>
              <w:jc w:val="right"/>
              <w:rPr>
                <w:sz w:val="20"/>
                <w:szCs w:val="20"/>
              </w:rPr>
            </w:pPr>
            <w:r w:rsidRPr="008B6A75">
              <w:rPr>
                <w:sz w:val="20"/>
                <w:szCs w:val="20"/>
              </w:rPr>
              <w:t>0,00</w:t>
            </w:r>
          </w:p>
        </w:tc>
        <w:tc>
          <w:tcPr>
            <w:tcW w:w="992" w:type="dxa"/>
            <w:tcBorders>
              <w:top w:val="nil"/>
              <w:left w:val="single" w:sz="4" w:space="0" w:color="auto"/>
              <w:bottom w:val="single" w:sz="4" w:space="0" w:color="auto"/>
              <w:right w:val="nil"/>
            </w:tcBorders>
            <w:shd w:val="clear" w:color="auto" w:fill="auto"/>
            <w:vAlign w:val="center"/>
            <w:hideMark/>
          </w:tcPr>
          <w:p w14:paraId="1003E086" w14:textId="77777777" w:rsidR="00387142" w:rsidRPr="008B6A75" w:rsidRDefault="00387142" w:rsidP="00387142">
            <w:pPr>
              <w:jc w:val="right"/>
              <w:rPr>
                <w:sz w:val="20"/>
                <w:szCs w:val="20"/>
              </w:rPr>
            </w:pPr>
            <w:r w:rsidRPr="008B6A75">
              <w:rPr>
                <w:sz w:val="20"/>
                <w:szCs w:val="20"/>
              </w:rPr>
              <w:t>10 000 000,00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7FC930C5" w14:textId="77777777" w:rsidR="00387142" w:rsidRPr="008B6A75" w:rsidRDefault="00387142" w:rsidP="00387142">
            <w:pPr>
              <w:jc w:val="right"/>
              <w:rPr>
                <w:sz w:val="20"/>
                <w:szCs w:val="20"/>
              </w:rPr>
            </w:pPr>
            <w:r w:rsidRPr="008B6A75">
              <w:rPr>
                <w:sz w:val="20"/>
                <w:szCs w:val="20"/>
              </w:rPr>
              <w:t>10 000 000,00</w:t>
            </w:r>
          </w:p>
        </w:tc>
      </w:tr>
      <w:tr w:rsidR="00387142" w:rsidRPr="008B6A75" w14:paraId="23D6DFA8" w14:textId="77777777" w:rsidTr="00387142">
        <w:trPr>
          <w:trHeight w:val="870"/>
        </w:trPr>
        <w:tc>
          <w:tcPr>
            <w:tcW w:w="3261" w:type="dxa"/>
            <w:tcBorders>
              <w:top w:val="nil"/>
              <w:left w:val="single" w:sz="4" w:space="0" w:color="auto"/>
              <w:bottom w:val="single" w:sz="4" w:space="0" w:color="auto"/>
              <w:right w:val="nil"/>
            </w:tcBorders>
            <w:shd w:val="clear" w:color="auto" w:fill="auto"/>
            <w:vAlign w:val="center"/>
            <w:hideMark/>
          </w:tcPr>
          <w:p w14:paraId="74E42DC7" w14:textId="77777777" w:rsidR="00387142" w:rsidRPr="008B6A75" w:rsidRDefault="00387142" w:rsidP="00387142">
            <w:pPr>
              <w:rPr>
                <w:sz w:val="20"/>
                <w:szCs w:val="20"/>
              </w:rPr>
            </w:pPr>
            <w:r w:rsidRPr="008B6A75">
              <w:rPr>
                <w:sz w:val="20"/>
                <w:szCs w:val="20"/>
              </w:rPr>
              <w:t>Предоставление субсидий бюджетным, автономным учреждениям и иным некоммерческим организациям</w:t>
            </w:r>
          </w:p>
        </w:tc>
        <w:tc>
          <w:tcPr>
            <w:tcW w:w="720" w:type="dxa"/>
            <w:tcBorders>
              <w:top w:val="nil"/>
              <w:left w:val="single" w:sz="4" w:space="0" w:color="auto"/>
              <w:bottom w:val="single" w:sz="4" w:space="0" w:color="auto"/>
              <w:right w:val="nil"/>
            </w:tcBorders>
            <w:shd w:val="clear" w:color="auto" w:fill="auto"/>
            <w:noWrap/>
            <w:vAlign w:val="center"/>
            <w:hideMark/>
          </w:tcPr>
          <w:p w14:paraId="70BD2B91" w14:textId="77777777" w:rsidR="00387142" w:rsidRPr="008B6A75" w:rsidRDefault="00387142" w:rsidP="00387142">
            <w:pPr>
              <w:jc w:val="center"/>
              <w:rPr>
                <w:sz w:val="20"/>
                <w:szCs w:val="20"/>
              </w:rPr>
            </w:pPr>
            <w:r w:rsidRPr="008B6A75">
              <w:rPr>
                <w:sz w:val="20"/>
                <w:szCs w:val="20"/>
              </w:rPr>
              <w:t>11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43D58AE" w14:textId="77777777" w:rsidR="00387142" w:rsidRPr="008B6A75" w:rsidRDefault="00387142" w:rsidP="00387142">
            <w:pPr>
              <w:jc w:val="center"/>
              <w:rPr>
                <w:sz w:val="20"/>
                <w:szCs w:val="20"/>
              </w:rPr>
            </w:pPr>
            <w:r w:rsidRPr="008B6A75">
              <w:rPr>
                <w:sz w:val="20"/>
                <w:szCs w:val="20"/>
              </w:rPr>
              <w:t>01</w:t>
            </w:r>
          </w:p>
        </w:tc>
        <w:tc>
          <w:tcPr>
            <w:tcW w:w="1516" w:type="dxa"/>
            <w:tcBorders>
              <w:top w:val="nil"/>
              <w:left w:val="single" w:sz="4" w:space="0" w:color="auto"/>
              <w:bottom w:val="single" w:sz="4" w:space="0" w:color="auto"/>
              <w:right w:val="nil"/>
            </w:tcBorders>
            <w:shd w:val="clear" w:color="auto" w:fill="auto"/>
            <w:noWrap/>
            <w:vAlign w:val="center"/>
            <w:hideMark/>
          </w:tcPr>
          <w:p w14:paraId="607FE08D" w14:textId="77777777" w:rsidR="00387142" w:rsidRPr="008B6A75" w:rsidRDefault="00387142" w:rsidP="00387142">
            <w:pPr>
              <w:jc w:val="center"/>
              <w:rPr>
                <w:sz w:val="20"/>
                <w:szCs w:val="20"/>
              </w:rPr>
            </w:pPr>
            <w:r w:rsidRPr="008B6A75">
              <w:rPr>
                <w:sz w:val="20"/>
                <w:szCs w:val="20"/>
              </w:rPr>
              <w:t>11.0.00.11190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4D67D28" w14:textId="77777777" w:rsidR="00387142" w:rsidRPr="008B6A75" w:rsidRDefault="00387142" w:rsidP="00387142">
            <w:pPr>
              <w:jc w:val="center"/>
              <w:rPr>
                <w:sz w:val="20"/>
                <w:szCs w:val="20"/>
              </w:rPr>
            </w:pPr>
            <w:r w:rsidRPr="008B6A75">
              <w:rPr>
                <w:sz w:val="20"/>
                <w:szCs w:val="20"/>
              </w:rPr>
              <w:t>600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38C2BA4" w14:textId="77777777" w:rsidR="00387142" w:rsidRPr="008B6A75" w:rsidRDefault="00387142" w:rsidP="00387142">
            <w:pPr>
              <w:jc w:val="right"/>
              <w:rPr>
                <w:sz w:val="20"/>
                <w:szCs w:val="20"/>
              </w:rPr>
            </w:pPr>
            <w:r w:rsidRPr="008B6A75">
              <w:rPr>
                <w:sz w:val="20"/>
                <w:szCs w:val="20"/>
              </w:rPr>
              <w:t>35 855 258,87</w:t>
            </w:r>
          </w:p>
        </w:tc>
        <w:tc>
          <w:tcPr>
            <w:tcW w:w="992" w:type="dxa"/>
            <w:tcBorders>
              <w:top w:val="nil"/>
              <w:left w:val="single" w:sz="4" w:space="0" w:color="auto"/>
              <w:bottom w:val="single" w:sz="4" w:space="0" w:color="auto"/>
              <w:right w:val="nil"/>
            </w:tcBorders>
            <w:shd w:val="clear" w:color="auto" w:fill="auto"/>
            <w:vAlign w:val="center"/>
            <w:hideMark/>
          </w:tcPr>
          <w:p w14:paraId="437310B0" w14:textId="77777777" w:rsidR="00387142" w:rsidRPr="008B6A75" w:rsidRDefault="00387142" w:rsidP="00387142">
            <w:pPr>
              <w:jc w:val="right"/>
              <w:rPr>
                <w:sz w:val="20"/>
                <w:szCs w:val="20"/>
              </w:rPr>
            </w:pPr>
            <w:r w:rsidRPr="008B6A75">
              <w:rPr>
                <w:sz w:val="20"/>
                <w:szCs w:val="20"/>
              </w:rPr>
              <w:t>10 000 000,00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30540F2C" w14:textId="77777777" w:rsidR="00387142" w:rsidRPr="008B6A75" w:rsidRDefault="00387142" w:rsidP="00387142">
            <w:pPr>
              <w:jc w:val="right"/>
              <w:rPr>
                <w:sz w:val="20"/>
                <w:szCs w:val="20"/>
              </w:rPr>
            </w:pPr>
            <w:r w:rsidRPr="008B6A75">
              <w:rPr>
                <w:sz w:val="20"/>
                <w:szCs w:val="20"/>
              </w:rPr>
              <w:t>10 000 000,00</w:t>
            </w:r>
          </w:p>
        </w:tc>
      </w:tr>
      <w:tr w:rsidR="00387142" w:rsidRPr="008B6A75" w14:paraId="09FC3AE7" w14:textId="77777777" w:rsidTr="00387142">
        <w:trPr>
          <w:trHeight w:val="345"/>
        </w:trPr>
        <w:tc>
          <w:tcPr>
            <w:tcW w:w="3261" w:type="dxa"/>
            <w:tcBorders>
              <w:top w:val="nil"/>
              <w:left w:val="single" w:sz="4" w:space="0" w:color="auto"/>
              <w:bottom w:val="single" w:sz="4" w:space="0" w:color="auto"/>
              <w:right w:val="nil"/>
            </w:tcBorders>
            <w:shd w:val="clear" w:color="auto" w:fill="auto"/>
            <w:vAlign w:val="center"/>
            <w:hideMark/>
          </w:tcPr>
          <w:p w14:paraId="054EED40" w14:textId="77777777" w:rsidR="00387142" w:rsidRPr="008B6A75" w:rsidRDefault="00387142" w:rsidP="00387142">
            <w:pPr>
              <w:rPr>
                <w:sz w:val="20"/>
                <w:szCs w:val="20"/>
              </w:rPr>
            </w:pPr>
            <w:r w:rsidRPr="008B6A75">
              <w:rPr>
                <w:sz w:val="20"/>
                <w:szCs w:val="20"/>
              </w:rPr>
              <w:t>Субсидии бюджетным учреждениям</w:t>
            </w:r>
          </w:p>
        </w:tc>
        <w:tc>
          <w:tcPr>
            <w:tcW w:w="720" w:type="dxa"/>
            <w:tcBorders>
              <w:top w:val="nil"/>
              <w:left w:val="single" w:sz="4" w:space="0" w:color="auto"/>
              <w:bottom w:val="single" w:sz="4" w:space="0" w:color="auto"/>
              <w:right w:val="nil"/>
            </w:tcBorders>
            <w:shd w:val="clear" w:color="auto" w:fill="auto"/>
            <w:noWrap/>
            <w:vAlign w:val="center"/>
            <w:hideMark/>
          </w:tcPr>
          <w:p w14:paraId="3FF07316" w14:textId="77777777" w:rsidR="00387142" w:rsidRPr="008B6A75" w:rsidRDefault="00387142" w:rsidP="00387142">
            <w:pPr>
              <w:jc w:val="center"/>
              <w:rPr>
                <w:sz w:val="20"/>
                <w:szCs w:val="20"/>
              </w:rPr>
            </w:pPr>
            <w:r w:rsidRPr="008B6A75">
              <w:rPr>
                <w:sz w:val="20"/>
                <w:szCs w:val="20"/>
              </w:rPr>
              <w:t>11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67BEDBC" w14:textId="77777777" w:rsidR="00387142" w:rsidRPr="008B6A75" w:rsidRDefault="00387142" w:rsidP="00387142">
            <w:pPr>
              <w:jc w:val="center"/>
              <w:rPr>
                <w:sz w:val="20"/>
                <w:szCs w:val="20"/>
              </w:rPr>
            </w:pPr>
            <w:r w:rsidRPr="008B6A75">
              <w:rPr>
                <w:sz w:val="20"/>
                <w:szCs w:val="20"/>
              </w:rPr>
              <w:t>01</w:t>
            </w:r>
          </w:p>
        </w:tc>
        <w:tc>
          <w:tcPr>
            <w:tcW w:w="1516" w:type="dxa"/>
            <w:tcBorders>
              <w:top w:val="nil"/>
              <w:left w:val="single" w:sz="4" w:space="0" w:color="auto"/>
              <w:bottom w:val="single" w:sz="4" w:space="0" w:color="auto"/>
              <w:right w:val="nil"/>
            </w:tcBorders>
            <w:shd w:val="clear" w:color="auto" w:fill="auto"/>
            <w:noWrap/>
            <w:vAlign w:val="center"/>
            <w:hideMark/>
          </w:tcPr>
          <w:p w14:paraId="5B5BF77F" w14:textId="77777777" w:rsidR="00387142" w:rsidRPr="008B6A75" w:rsidRDefault="00387142" w:rsidP="00387142">
            <w:pPr>
              <w:jc w:val="center"/>
              <w:rPr>
                <w:sz w:val="20"/>
                <w:szCs w:val="20"/>
              </w:rPr>
            </w:pPr>
            <w:r w:rsidRPr="008B6A75">
              <w:rPr>
                <w:sz w:val="20"/>
                <w:szCs w:val="20"/>
              </w:rPr>
              <w:t>11.0.00.11190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232B7CC" w14:textId="77777777" w:rsidR="00387142" w:rsidRPr="008B6A75" w:rsidRDefault="00387142" w:rsidP="00387142">
            <w:pPr>
              <w:jc w:val="center"/>
              <w:rPr>
                <w:sz w:val="20"/>
                <w:szCs w:val="20"/>
              </w:rPr>
            </w:pPr>
            <w:r w:rsidRPr="008B6A75">
              <w:rPr>
                <w:sz w:val="20"/>
                <w:szCs w:val="20"/>
              </w:rPr>
              <w:t>610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EC20632" w14:textId="77777777" w:rsidR="00387142" w:rsidRPr="008B6A75" w:rsidRDefault="00387142" w:rsidP="00387142">
            <w:pPr>
              <w:jc w:val="right"/>
              <w:rPr>
                <w:sz w:val="20"/>
                <w:szCs w:val="20"/>
              </w:rPr>
            </w:pPr>
            <w:r w:rsidRPr="008B6A75">
              <w:rPr>
                <w:sz w:val="20"/>
                <w:szCs w:val="20"/>
              </w:rPr>
              <w:t>35 855 258,87</w:t>
            </w:r>
          </w:p>
        </w:tc>
        <w:tc>
          <w:tcPr>
            <w:tcW w:w="992" w:type="dxa"/>
            <w:tcBorders>
              <w:top w:val="nil"/>
              <w:left w:val="single" w:sz="4" w:space="0" w:color="auto"/>
              <w:bottom w:val="single" w:sz="4" w:space="0" w:color="auto"/>
              <w:right w:val="nil"/>
            </w:tcBorders>
            <w:shd w:val="clear" w:color="auto" w:fill="auto"/>
            <w:vAlign w:val="center"/>
            <w:hideMark/>
          </w:tcPr>
          <w:p w14:paraId="14747406" w14:textId="77777777" w:rsidR="00387142" w:rsidRPr="008B6A75" w:rsidRDefault="00387142" w:rsidP="00387142">
            <w:pPr>
              <w:jc w:val="right"/>
              <w:rPr>
                <w:sz w:val="20"/>
                <w:szCs w:val="20"/>
              </w:rPr>
            </w:pPr>
            <w:r w:rsidRPr="008B6A75">
              <w:rPr>
                <w:sz w:val="20"/>
                <w:szCs w:val="20"/>
              </w:rPr>
              <w:t>10 000 000,00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5293C513" w14:textId="77777777" w:rsidR="00387142" w:rsidRPr="008B6A75" w:rsidRDefault="00387142" w:rsidP="00387142">
            <w:pPr>
              <w:jc w:val="right"/>
              <w:rPr>
                <w:sz w:val="20"/>
                <w:szCs w:val="20"/>
              </w:rPr>
            </w:pPr>
            <w:r w:rsidRPr="008B6A75">
              <w:rPr>
                <w:sz w:val="20"/>
                <w:szCs w:val="20"/>
              </w:rPr>
              <w:t>10 000 000,00</w:t>
            </w:r>
          </w:p>
        </w:tc>
      </w:tr>
      <w:tr w:rsidR="00387142" w:rsidRPr="008B6A75" w14:paraId="54E3B817" w14:textId="77777777" w:rsidTr="00387142">
        <w:trPr>
          <w:trHeight w:val="1440"/>
        </w:trPr>
        <w:tc>
          <w:tcPr>
            <w:tcW w:w="3261" w:type="dxa"/>
            <w:tcBorders>
              <w:top w:val="nil"/>
              <w:left w:val="single" w:sz="4" w:space="0" w:color="auto"/>
              <w:bottom w:val="single" w:sz="4" w:space="0" w:color="auto"/>
              <w:right w:val="nil"/>
            </w:tcBorders>
            <w:shd w:val="clear" w:color="auto" w:fill="auto"/>
            <w:vAlign w:val="center"/>
            <w:hideMark/>
          </w:tcPr>
          <w:p w14:paraId="2C6C70F5" w14:textId="77777777" w:rsidR="00387142" w:rsidRPr="008B6A75" w:rsidRDefault="00387142" w:rsidP="00387142">
            <w:pPr>
              <w:rPr>
                <w:bCs/>
                <w:sz w:val="20"/>
                <w:szCs w:val="20"/>
              </w:rPr>
            </w:pPr>
            <w:r w:rsidRPr="008B6A75">
              <w:rPr>
                <w:bCs/>
                <w:sz w:val="20"/>
                <w:szCs w:val="20"/>
              </w:rPr>
              <w:t xml:space="preserve">Реализация мероприятий по обеспечению сбалансированности местных </w:t>
            </w:r>
            <w:proofErr w:type="gramStart"/>
            <w:r w:rsidRPr="008B6A75">
              <w:rPr>
                <w:bCs/>
                <w:sz w:val="20"/>
                <w:szCs w:val="20"/>
              </w:rPr>
              <w:t>бюджетов  государственной</w:t>
            </w:r>
            <w:proofErr w:type="gramEnd"/>
            <w:r w:rsidRPr="008B6A75">
              <w:rPr>
                <w:bCs/>
                <w:sz w:val="20"/>
                <w:szCs w:val="20"/>
              </w:rPr>
              <w:t xml:space="preserve"> программы Новосибирской области "Управление  финансами в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14:paraId="573633F4" w14:textId="77777777" w:rsidR="00387142" w:rsidRPr="008B6A75" w:rsidRDefault="00387142" w:rsidP="00387142">
            <w:pPr>
              <w:jc w:val="center"/>
              <w:rPr>
                <w:bCs/>
                <w:sz w:val="20"/>
                <w:szCs w:val="20"/>
              </w:rPr>
            </w:pPr>
            <w:r w:rsidRPr="008B6A75">
              <w:rPr>
                <w:bCs/>
                <w:sz w:val="20"/>
                <w:szCs w:val="20"/>
              </w:rPr>
              <w:t>11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5740662" w14:textId="77777777" w:rsidR="00387142" w:rsidRPr="008B6A75" w:rsidRDefault="00387142" w:rsidP="00387142">
            <w:pPr>
              <w:jc w:val="center"/>
              <w:rPr>
                <w:bCs/>
                <w:sz w:val="20"/>
                <w:szCs w:val="20"/>
              </w:rPr>
            </w:pPr>
            <w:r w:rsidRPr="008B6A75">
              <w:rPr>
                <w:bCs/>
                <w:sz w:val="20"/>
                <w:szCs w:val="20"/>
              </w:rPr>
              <w:t>01</w:t>
            </w:r>
          </w:p>
        </w:tc>
        <w:tc>
          <w:tcPr>
            <w:tcW w:w="1516" w:type="dxa"/>
            <w:tcBorders>
              <w:top w:val="nil"/>
              <w:left w:val="single" w:sz="4" w:space="0" w:color="auto"/>
              <w:bottom w:val="single" w:sz="4" w:space="0" w:color="auto"/>
              <w:right w:val="nil"/>
            </w:tcBorders>
            <w:shd w:val="clear" w:color="auto" w:fill="auto"/>
            <w:noWrap/>
            <w:vAlign w:val="center"/>
            <w:hideMark/>
          </w:tcPr>
          <w:p w14:paraId="5F25C946" w14:textId="77777777" w:rsidR="00387142" w:rsidRPr="008B6A75" w:rsidRDefault="00387142" w:rsidP="00387142">
            <w:pPr>
              <w:jc w:val="center"/>
              <w:rPr>
                <w:bCs/>
                <w:sz w:val="20"/>
                <w:szCs w:val="20"/>
              </w:rPr>
            </w:pPr>
            <w:r w:rsidRPr="008B6A75">
              <w:rPr>
                <w:bCs/>
                <w:sz w:val="20"/>
                <w:szCs w:val="20"/>
              </w:rPr>
              <w:t>11.0.00.70510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7A75CF1"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AA57392" w14:textId="77777777" w:rsidR="00387142" w:rsidRPr="008B6A75" w:rsidRDefault="00387142" w:rsidP="00387142">
            <w:pPr>
              <w:jc w:val="right"/>
              <w:rPr>
                <w:bCs/>
                <w:sz w:val="20"/>
                <w:szCs w:val="20"/>
              </w:rPr>
            </w:pPr>
            <w:r w:rsidRPr="008B6A75">
              <w:rPr>
                <w:bCs/>
                <w:sz w:val="20"/>
                <w:szCs w:val="20"/>
              </w:rPr>
              <w:t>2 504 700,00</w:t>
            </w:r>
          </w:p>
        </w:tc>
        <w:tc>
          <w:tcPr>
            <w:tcW w:w="992" w:type="dxa"/>
            <w:tcBorders>
              <w:top w:val="nil"/>
              <w:left w:val="single" w:sz="4" w:space="0" w:color="auto"/>
              <w:bottom w:val="single" w:sz="4" w:space="0" w:color="auto"/>
              <w:right w:val="nil"/>
            </w:tcBorders>
            <w:shd w:val="clear" w:color="auto" w:fill="auto"/>
            <w:vAlign w:val="center"/>
            <w:hideMark/>
          </w:tcPr>
          <w:p w14:paraId="384FA911" w14:textId="77777777" w:rsidR="00387142" w:rsidRPr="008B6A75" w:rsidRDefault="00387142" w:rsidP="00387142">
            <w:pPr>
              <w:jc w:val="right"/>
              <w:rPr>
                <w:bCs/>
                <w:sz w:val="20"/>
                <w:szCs w:val="20"/>
              </w:rPr>
            </w:pPr>
            <w:r w:rsidRPr="008B6A75">
              <w:rPr>
                <w:bCs/>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6315C2EC" w14:textId="77777777" w:rsidR="00387142" w:rsidRPr="008B6A75" w:rsidRDefault="00387142" w:rsidP="00387142">
            <w:pPr>
              <w:jc w:val="right"/>
              <w:rPr>
                <w:bCs/>
                <w:sz w:val="20"/>
                <w:szCs w:val="20"/>
              </w:rPr>
            </w:pPr>
            <w:r w:rsidRPr="008B6A75">
              <w:rPr>
                <w:bCs/>
                <w:sz w:val="20"/>
                <w:szCs w:val="20"/>
              </w:rPr>
              <w:t>0,00</w:t>
            </w:r>
          </w:p>
        </w:tc>
      </w:tr>
      <w:tr w:rsidR="00387142" w:rsidRPr="008B6A75" w14:paraId="556511CB" w14:textId="77777777" w:rsidTr="00387142">
        <w:trPr>
          <w:trHeight w:val="870"/>
        </w:trPr>
        <w:tc>
          <w:tcPr>
            <w:tcW w:w="3261" w:type="dxa"/>
            <w:tcBorders>
              <w:top w:val="nil"/>
              <w:left w:val="single" w:sz="4" w:space="0" w:color="auto"/>
              <w:bottom w:val="single" w:sz="4" w:space="0" w:color="auto"/>
              <w:right w:val="nil"/>
            </w:tcBorders>
            <w:shd w:val="clear" w:color="auto" w:fill="auto"/>
            <w:vAlign w:val="center"/>
            <w:hideMark/>
          </w:tcPr>
          <w:p w14:paraId="3F1A3AD3" w14:textId="77777777" w:rsidR="00387142" w:rsidRPr="008B6A75" w:rsidRDefault="00387142" w:rsidP="00387142">
            <w:pPr>
              <w:rPr>
                <w:sz w:val="20"/>
                <w:szCs w:val="20"/>
              </w:rPr>
            </w:pPr>
            <w:r w:rsidRPr="008B6A75">
              <w:rPr>
                <w:sz w:val="20"/>
                <w:szCs w:val="20"/>
              </w:rPr>
              <w:t>Предоставление субсидий бюджетным, автономным учреждениям и иным некоммерческим организациям</w:t>
            </w:r>
          </w:p>
        </w:tc>
        <w:tc>
          <w:tcPr>
            <w:tcW w:w="720" w:type="dxa"/>
            <w:tcBorders>
              <w:top w:val="nil"/>
              <w:left w:val="single" w:sz="4" w:space="0" w:color="auto"/>
              <w:bottom w:val="single" w:sz="4" w:space="0" w:color="auto"/>
              <w:right w:val="nil"/>
            </w:tcBorders>
            <w:shd w:val="clear" w:color="auto" w:fill="auto"/>
            <w:noWrap/>
            <w:vAlign w:val="center"/>
            <w:hideMark/>
          </w:tcPr>
          <w:p w14:paraId="6C4F7CC7" w14:textId="77777777" w:rsidR="00387142" w:rsidRPr="008B6A75" w:rsidRDefault="00387142" w:rsidP="00387142">
            <w:pPr>
              <w:jc w:val="center"/>
              <w:rPr>
                <w:sz w:val="20"/>
                <w:szCs w:val="20"/>
              </w:rPr>
            </w:pPr>
            <w:r w:rsidRPr="008B6A75">
              <w:rPr>
                <w:sz w:val="20"/>
                <w:szCs w:val="20"/>
              </w:rPr>
              <w:t>11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072CD1D" w14:textId="77777777" w:rsidR="00387142" w:rsidRPr="008B6A75" w:rsidRDefault="00387142" w:rsidP="00387142">
            <w:pPr>
              <w:jc w:val="center"/>
              <w:rPr>
                <w:sz w:val="20"/>
                <w:szCs w:val="20"/>
              </w:rPr>
            </w:pPr>
            <w:r w:rsidRPr="008B6A75">
              <w:rPr>
                <w:sz w:val="20"/>
                <w:szCs w:val="20"/>
              </w:rPr>
              <w:t>01</w:t>
            </w:r>
          </w:p>
        </w:tc>
        <w:tc>
          <w:tcPr>
            <w:tcW w:w="1516" w:type="dxa"/>
            <w:tcBorders>
              <w:top w:val="nil"/>
              <w:left w:val="single" w:sz="4" w:space="0" w:color="auto"/>
              <w:bottom w:val="single" w:sz="4" w:space="0" w:color="auto"/>
              <w:right w:val="nil"/>
            </w:tcBorders>
            <w:shd w:val="clear" w:color="auto" w:fill="auto"/>
            <w:noWrap/>
            <w:vAlign w:val="center"/>
            <w:hideMark/>
          </w:tcPr>
          <w:p w14:paraId="0F339DE4" w14:textId="77777777" w:rsidR="00387142" w:rsidRPr="008B6A75" w:rsidRDefault="00387142" w:rsidP="00387142">
            <w:pPr>
              <w:jc w:val="center"/>
              <w:rPr>
                <w:sz w:val="20"/>
                <w:szCs w:val="20"/>
              </w:rPr>
            </w:pPr>
            <w:r w:rsidRPr="008B6A75">
              <w:rPr>
                <w:sz w:val="20"/>
                <w:szCs w:val="20"/>
              </w:rPr>
              <w:t>11.0.00.70510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A3CEAD3" w14:textId="77777777" w:rsidR="00387142" w:rsidRPr="008B6A75" w:rsidRDefault="00387142" w:rsidP="00387142">
            <w:pPr>
              <w:jc w:val="center"/>
              <w:rPr>
                <w:sz w:val="20"/>
                <w:szCs w:val="20"/>
              </w:rPr>
            </w:pPr>
            <w:r w:rsidRPr="008B6A75">
              <w:rPr>
                <w:sz w:val="20"/>
                <w:szCs w:val="20"/>
              </w:rPr>
              <w:t>600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E0986EF" w14:textId="77777777" w:rsidR="00387142" w:rsidRPr="008B6A75" w:rsidRDefault="00387142" w:rsidP="00387142">
            <w:pPr>
              <w:jc w:val="right"/>
              <w:rPr>
                <w:sz w:val="20"/>
                <w:szCs w:val="20"/>
              </w:rPr>
            </w:pPr>
            <w:r w:rsidRPr="008B6A75">
              <w:rPr>
                <w:sz w:val="20"/>
                <w:szCs w:val="20"/>
              </w:rPr>
              <w:t>2 504 700,00</w:t>
            </w:r>
          </w:p>
        </w:tc>
        <w:tc>
          <w:tcPr>
            <w:tcW w:w="992" w:type="dxa"/>
            <w:tcBorders>
              <w:top w:val="nil"/>
              <w:left w:val="single" w:sz="4" w:space="0" w:color="auto"/>
              <w:bottom w:val="single" w:sz="4" w:space="0" w:color="auto"/>
              <w:right w:val="nil"/>
            </w:tcBorders>
            <w:shd w:val="clear" w:color="auto" w:fill="auto"/>
            <w:vAlign w:val="center"/>
            <w:hideMark/>
          </w:tcPr>
          <w:p w14:paraId="6E8A2FFA" w14:textId="77777777" w:rsidR="00387142" w:rsidRPr="008B6A75" w:rsidRDefault="00387142" w:rsidP="00387142">
            <w:pPr>
              <w:jc w:val="right"/>
              <w:rPr>
                <w:sz w:val="20"/>
                <w:szCs w:val="20"/>
              </w:rPr>
            </w:pPr>
            <w:r w:rsidRPr="008B6A75">
              <w:rPr>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465F69A7" w14:textId="77777777" w:rsidR="00387142" w:rsidRPr="008B6A75" w:rsidRDefault="00387142" w:rsidP="00387142">
            <w:pPr>
              <w:jc w:val="right"/>
              <w:rPr>
                <w:sz w:val="20"/>
                <w:szCs w:val="20"/>
              </w:rPr>
            </w:pPr>
            <w:r w:rsidRPr="008B6A75">
              <w:rPr>
                <w:sz w:val="20"/>
                <w:szCs w:val="20"/>
              </w:rPr>
              <w:t>0,00</w:t>
            </w:r>
          </w:p>
        </w:tc>
      </w:tr>
      <w:tr w:rsidR="00387142" w:rsidRPr="008B6A75" w14:paraId="249C331F" w14:textId="77777777" w:rsidTr="00387142">
        <w:trPr>
          <w:trHeight w:val="345"/>
        </w:trPr>
        <w:tc>
          <w:tcPr>
            <w:tcW w:w="3261" w:type="dxa"/>
            <w:tcBorders>
              <w:top w:val="nil"/>
              <w:left w:val="single" w:sz="4" w:space="0" w:color="auto"/>
              <w:bottom w:val="single" w:sz="4" w:space="0" w:color="auto"/>
              <w:right w:val="nil"/>
            </w:tcBorders>
            <w:shd w:val="clear" w:color="auto" w:fill="auto"/>
            <w:vAlign w:val="center"/>
            <w:hideMark/>
          </w:tcPr>
          <w:p w14:paraId="216888B1" w14:textId="77777777" w:rsidR="00387142" w:rsidRPr="008B6A75" w:rsidRDefault="00387142" w:rsidP="00387142">
            <w:pPr>
              <w:rPr>
                <w:sz w:val="20"/>
                <w:szCs w:val="20"/>
              </w:rPr>
            </w:pPr>
            <w:r w:rsidRPr="008B6A75">
              <w:rPr>
                <w:sz w:val="20"/>
                <w:szCs w:val="20"/>
              </w:rPr>
              <w:t>Субсидии бюджетным учреждениям</w:t>
            </w:r>
          </w:p>
        </w:tc>
        <w:tc>
          <w:tcPr>
            <w:tcW w:w="720" w:type="dxa"/>
            <w:tcBorders>
              <w:top w:val="nil"/>
              <w:left w:val="single" w:sz="4" w:space="0" w:color="auto"/>
              <w:bottom w:val="single" w:sz="4" w:space="0" w:color="auto"/>
              <w:right w:val="nil"/>
            </w:tcBorders>
            <w:shd w:val="clear" w:color="auto" w:fill="auto"/>
            <w:noWrap/>
            <w:vAlign w:val="center"/>
            <w:hideMark/>
          </w:tcPr>
          <w:p w14:paraId="4250B003" w14:textId="77777777" w:rsidR="00387142" w:rsidRPr="008B6A75" w:rsidRDefault="00387142" w:rsidP="00387142">
            <w:pPr>
              <w:jc w:val="center"/>
              <w:rPr>
                <w:sz w:val="20"/>
                <w:szCs w:val="20"/>
              </w:rPr>
            </w:pPr>
            <w:r w:rsidRPr="008B6A75">
              <w:rPr>
                <w:sz w:val="20"/>
                <w:szCs w:val="20"/>
              </w:rPr>
              <w:t>11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C7D4865" w14:textId="77777777" w:rsidR="00387142" w:rsidRPr="008B6A75" w:rsidRDefault="00387142" w:rsidP="00387142">
            <w:pPr>
              <w:jc w:val="center"/>
              <w:rPr>
                <w:sz w:val="20"/>
                <w:szCs w:val="20"/>
              </w:rPr>
            </w:pPr>
            <w:r w:rsidRPr="008B6A75">
              <w:rPr>
                <w:sz w:val="20"/>
                <w:szCs w:val="20"/>
              </w:rPr>
              <w:t>01</w:t>
            </w:r>
          </w:p>
        </w:tc>
        <w:tc>
          <w:tcPr>
            <w:tcW w:w="1516" w:type="dxa"/>
            <w:tcBorders>
              <w:top w:val="nil"/>
              <w:left w:val="single" w:sz="4" w:space="0" w:color="auto"/>
              <w:bottom w:val="single" w:sz="4" w:space="0" w:color="auto"/>
              <w:right w:val="nil"/>
            </w:tcBorders>
            <w:shd w:val="clear" w:color="auto" w:fill="auto"/>
            <w:noWrap/>
            <w:vAlign w:val="center"/>
            <w:hideMark/>
          </w:tcPr>
          <w:p w14:paraId="5D4F1458" w14:textId="77777777" w:rsidR="00387142" w:rsidRPr="008B6A75" w:rsidRDefault="00387142" w:rsidP="00387142">
            <w:pPr>
              <w:jc w:val="center"/>
              <w:rPr>
                <w:sz w:val="20"/>
                <w:szCs w:val="20"/>
              </w:rPr>
            </w:pPr>
            <w:r w:rsidRPr="008B6A75">
              <w:rPr>
                <w:sz w:val="20"/>
                <w:szCs w:val="20"/>
              </w:rPr>
              <w:t>11.0.00.70510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DCC6303" w14:textId="77777777" w:rsidR="00387142" w:rsidRPr="008B6A75" w:rsidRDefault="00387142" w:rsidP="00387142">
            <w:pPr>
              <w:jc w:val="center"/>
              <w:rPr>
                <w:sz w:val="20"/>
                <w:szCs w:val="20"/>
              </w:rPr>
            </w:pPr>
            <w:r w:rsidRPr="008B6A75">
              <w:rPr>
                <w:sz w:val="20"/>
                <w:szCs w:val="20"/>
              </w:rPr>
              <w:t>610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4FF4B45" w14:textId="77777777" w:rsidR="00387142" w:rsidRPr="008B6A75" w:rsidRDefault="00387142" w:rsidP="00387142">
            <w:pPr>
              <w:jc w:val="right"/>
              <w:rPr>
                <w:sz w:val="20"/>
                <w:szCs w:val="20"/>
              </w:rPr>
            </w:pPr>
            <w:r w:rsidRPr="008B6A75">
              <w:rPr>
                <w:sz w:val="20"/>
                <w:szCs w:val="20"/>
              </w:rPr>
              <w:t>2 504 700,00</w:t>
            </w:r>
          </w:p>
        </w:tc>
        <w:tc>
          <w:tcPr>
            <w:tcW w:w="992" w:type="dxa"/>
            <w:tcBorders>
              <w:top w:val="nil"/>
              <w:left w:val="single" w:sz="4" w:space="0" w:color="auto"/>
              <w:bottom w:val="single" w:sz="4" w:space="0" w:color="auto"/>
              <w:right w:val="nil"/>
            </w:tcBorders>
            <w:shd w:val="clear" w:color="auto" w:fill="auto"/>
            <w:vAlign w:val="center"/>
            <w:hideMark/>
          </w:tcPr>
          <w:p w14:paraId="30F78676" w14:textId="77777777" w:rsidR="00387142" w:rsidRPr="008B6A75" w:rsidRDefault="00387142" w:rsidP="00387142">
            <w:pPr>
              <w:jc w:val="right"/>
              <w:rPr>
                <w:sz w:val="20"/>
                <w:szCs w:val="20"/>
              </w:rPr>
            </w:pPr>
            <w:r w:rsidRPr="008B6A75">
              <w:rPr>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22EE2207" w14:textId="77777777" w:rsidR="00387142" w:rsidRPr="008B6A75" w:rsidRDefault="00387142" w:rsidP="00387142">
            <w:pPr>
              <w:jc w:val="right"/>
              <w:rPr>
                <w:sz w:val="20"/>
                <w:szCs w:val="20"/>
              </w:rPr>
            </w:pPr>
            <w:r w:rsidRPr="008B6A75">
              <w:rPr>
                <w:sz w:val="20"/>
                <w:szCs w:val="20"/>
              </w:rPr>
              <w:t>0,00</w:t>
            </w:r>
          </w:p>
        </w:tc>
      </w:tr>
      <w:tr w:rsidR="00387142" w:rsidRPr="008B6A75" w14:paraId="61FD8367" w14:textId="77777777" w:rsidTr="00387142">
        <w:trPr>
          <w:trHeight w:val="345"/>
        </w:trPr>
        <w:tc>
          <w:tcPr>
            <w:tcW w:w="3261" w:type="dxa"/>
            <w:tcBorders>
              <w:top w:val="nil"/>
              <w:left w:val="single" w:sz="4" w:space="0" w:color="auto"/>
              <w:bottom w:val="single" w:sz="4" w:space="0" w:color="auto"/>
              <w:right w:val="nil"/>
            </w:tcBorders>
            <w:shd w:val="clear" w:color="auto" w:fill="auto"/>
            <w:vAlign w:val="center"/>
            <w:hideMark/>
          </w:tcPr>
          <w:p w14:paraId="1761F82B" w14:textId="77777777" w:rsidR="00387142" w:rsidRPr="008B6A75" w:rsidRDefault="00387142" w:rsidP="00387142">
            <w:pPr>
              <w:rPr>
                <w:bCs/>
                <w:sz w:val="20"/>
                <w:szCs w:val="20"/>
              </w:rPr>
            </w:pPr>
            <w:r w:rsidRPr="008B6A75">
              <w:rPr>
                <w:bCs/>
                <w:sz w:val="20"/>
                <w:szCs w:val="20"/>
              </w:rPr>
              <w:lastRenderedPageBreak/>
              <w:t>Массовый спорт</w:t>
            </w:r>
          </w:p>
        </w:tc>
        <w:tc>
          <w:tcPr>
            <w:tcW w:w="720" w:type="dxa"/>
            <w:tcBorders>
              <w:top w:val="nil"/>
              <w:left w:val="single" w:sz="4" w:space="0" w:color="auto"/>
              <w:bottom w:val="single" w:sz="4" w:space="0" w:color="auto"/>
              <w:right w:val="nil"/>
            </w:tcBorders>
            <w:shd w:val="clear" w:color="auto" w:fill="auto"/>
            <w:noWrap/>
            <w:vAlign w:val="center"/>
            <w:hideMark/>
          </w:tcPr>
          <w:p w14:paraId="247A3D2C" w14:textId="77777777" w:rsidR="00387142" w:rsidRPr="008B6A75" w:rsidRDefault="00387142" w:rsidP="00387142">
            <w:pPr>
              <w:jc w:val="center"/>
              <w:rPr>
                <w:bCs/>
                <w:sz w:val="20"/>
                <w:szCs w:val="20"/>
              </w:rPr>
            </w:pPr>
            <w:r w:rsidRPr="008B6A75">
              <w:rPr>
                <w:bCs/>
                <w:sz w:val="20"/>
                <w:szCs w:val="20"/>
              </w:rPr>
              <w:t>11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08999A1" w14:textId="77777777" w:rsidR="00387142" w:rsidRPr="008B6A75" w:rsidRDefault="00387142" w:rsidP="00387142">
            <w:pPr>
              <w:jc w:val="center"/>
              <w:rPr>
                <w:bCs/>
                <w:sz w:val="20"/>
                <w:szCs w:val="20"/>
              </w:rPr>
            </w:pPr>
            <w:r w:rsidRPr="008B6A75">
              <w:rPr>
                <w:bCs/>
                <w:sz w:val="20"/>
                <w:szCs w:val="20"/>
              </w:rPr>
              <w:t>02</w:t>
            </w:r>
          </w:p>
        </w:tc>
        <w:tc>
          <w:tcPr>
            <w:tcW w:w="1516" w:type="dxa"/>
            <w:tcBorders>
              <w:top w:val="nil"/>
              <w:left w:val="single" w:sz="4" w:space="0" w:color="auto"/>
              <w:bottom w:val="single" w:sz="4" w:space="0" w:color="auto"/>
              <w:right w:val="nil"/>
            </w:tcBorders>
            <w:shd w:val="clear" w:color="auto" w:fill="auto"/>
            <w:noWrap/>
            <w:vAlign w:val="center"/>
            <w:hideMark/>
          </w:tcPr>
          <w:p w14:paraId="39D76465" w14:textId="77777777" w:rsidR="00387142" w:rsidRPr="008B6A75" w:rsidRDefault="00387142" w:rsidP="00387142">
            <w:pPr>
              <w:jc w:val="center"/>
              <w:rPr>
                <w:bCs/>
                <w:sz w:val="20"/>
                <w:szCs w:val="20"/>
              </w:rPr>
            </w:pPr>
            <w:r w:rsidRPr="008B6A75">
              <w:rPr>
                <w:bCs/>
                <w:sz w:val="20"/>
                <w:szCs w:val="20"/>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733454C"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4F621F1" w14:textId="77777777" w:rsidR="00387142" w:rsidRPr="008B6A75" w:rsidRDefault="00387142" w:rsidP="00387142">
            <w:pPr>
              <w:jc w:val="right"/>
              <w:rPr>
                <w:bCs/>
                <w:sz w:val="20"/>
                <w:szCs w:val="20"/>
              </w:rPr>
            </w:pPr>
            <w:r w:rsidRPr="008B6A75">
              <w:rPr>
                <w:bCs/>
                <w:sz w:val="20"/>
                <w:szCs w:val="20"/>
              </w:rPr>
              <w:t>57 245 027,00</w:t>
            </w:r>
          </w:p>
        </w:tc>
        <w:tc>
          <w:tcPr>
            <w:tcW w:w="992" w:type="dxa"/>
            <w:tcBorders>
              <w:top w:val="nil"/>
              <w:left w:val="single" w:sz="4" w:space="0" w:color="auto"/>
              <w:bottom w:val="single" w:sz="4" w:space="0" w:color="auto"/>
              <w:right w:val="nil"/>
            </w:tcBorders>
            <w:shd w:val="clear" w:color="auto" w:fill="auto"/>
            <w:vAlign w:val="center"/>
            <w:hideMark/>
          </w:tcPr>
          <w:p w14:paraId="1180F046" w14:textId="77777777" w:rsidR="00387142" w:rsidRPr="008B6A75" w:rsidRDefault="00387142" w:rsidP="00387142">
            <w:pPr>
              <w:jc w:val="right"/>
              <w:rPr>
                <w:bCs/>
                <w:sz w:val="20"/>
                <w:szCs w:val="20"/>
              </w:rPr>
            </w:pPr>
            <w:r w:rsidRPr="008B6A75">
              <w:rPr>
                <w:bCs/>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1A8E591E" w14:textId="77777777" w:rsidR="00387142" w:rsidRPr="008B6A75" w:rsidRDefault="00387142" w:rsidP="00387142">
            <w:pPr>
              <w:jc w:val="right"/>
              <w:rPr>
                <w:bCs/>
                <w:sz w:val="20"/>
                <w:szCs w:val="20"/>
              </w:rPr>
            </w:pPr>
            <w:r w:rsidRPr="008B6A75">
              <w:rPr>
                <w:bCs/>
                <w:sz w:val="20"/>
                <w:szCs w:val="20"/>
              </w:rPr>
              <w:t>0,00</w:t>
            </w:r>
          </w:p>
        </w:tc>
      </w:tr>
      <w:tr w:rsidR="00387142" w:rsidRPr="008B6A75" w14:paraId="244F5C43" w14:textId="77777777" w:rsidTr="00387142">
        <w:trPr>
          <w:trHeight w:val="1155"/>
        </w:trPr>
        <w:tc>
          <w:tcPr>
            <w:tcW w:w="3261" w:type="dxa"/>
            <w:tcBorders>
              <w:top w:val="nil"/>
              <w:left w:val="single" w:sz="4" w:space="0" w:color="auto"/>
              <w:bottom w:val="single" w:sz="4" w:space="0" w:color="auto"/>
              <w:right w:val="nil"/>
            </w:tcBorders>
            <w:shd w:val="clear" w:color="auto" w:fill="auto"/>
            <w:vAlign w:val="center"/>
            <w:hideMark/>
          </w:tcPr>
          <w:p w14:paraId="55A6E666" w14:textId="77777777" w:rsidR="00387142" w:rsidRPr="008B6A75" w:rsidRDefault="00387142" w:rsidP="00387142">
            <w:pPr>
              <w:rPr>
                <w:bCs/>
                <w:sz w:val="20"/>
                <w:szCs w:val="20"/>
              </w:rPr>
            </w:pPr>
            <w:r w:rsidRPr="008B6A75">
              <w:rPr>
                <w:bCs/>
                <w:sz w:val="20"/>
                <w:szCs w:val="20"/>
              </w:rPr>
              <w:t>Муниципальная программа "Развитие физической культуры и спорта в Куйбышевском районе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14:paraId="7EE1CB0A" w14:textId="77777777" w:rsidR="00387142" w:rsidRPr="008B6A75" w:rsidRDefault="00387142" w:rsidP="00387142">
            <w:pPr>
              <w:jc w:val="center"/>
              <w:rPr>
                <w:bCs/>
                <w:sz w:val="20"/>
                <w:szCs w:val="20"/>
              </w:rPr>
            </w:pPr>
            <w:r w:rsidRPr="008B6A75">
              <w:rPr>
                <w:bCs/>
                <w:sz w:val="20"/>
                <w:szCs w:val="20"/>
              </w:rPr>
              <w:t>11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73745BB" w14:textId="77777777" w:rsidR="00387142" w:rsidRPr="008B6A75" w:rsidRDefault="00387142" w:rsidP="00387142">
            <w:pPr>
              <w:jc w:val="center"/>
              <w:rPr>
                <w:bCs/>
                <w:sz w:val="20"/>
                <w:szCs w:val="20"/>
              </w:rPr>
            </w:pPr>
            <w:r w:rsidRPr="008B6A75">
              <w:rPr>
                <w:bCs/>
                <w:sz w:val="20"/>
                <w:szCs w:val="20"/>
              </w:rPr>
              <w:t>02</w:t>
            </w:r>
          </w:p>
        </w:tc>
        <w:tc>
          <w:tcPr>
            <w:tcW w:w="1516" w:type="dxa"/>
            <w:tcBorders>
              <w:top w:val="nil"/>
              <w:left w:val="single" w:sz="4" w:space="0" w:color="auto"/>
              <w:bottom w:val="single" w:sz="4" w:space="0" w:color="auto"/>
              <w:right w:val="nil"/>
            </w:tcBorders>
            <w:shd w:val="clear" w:color="auto" w:fill="auto"/>
            <w:noWrap/>
            <w:vAlign w:val="center"/>
            <w:hideMark/>
          </w:tcPr>
          <w:p w14:paraId="5E7ADD97" w14:textId="77777777" w:rsidR="00387142" w:rsidRPr="008B6A75" w:rsidRDefault="00387142" w:rsidP="00387142">
            <w:pPr>
              <w:jc w:val="center"/>
              <w:rPr>
                <w:bCs/>
                <w:sz w:val="20"/>
                <w:szCs w:val="20"/>
              </w:rPr>
            </w:pPr>
            <w:r w:rsidRPr="008B6A75">
              <w:rPr>
                <w:bCs/>
                <w:sz w:val="20"/>
                <w:szCs w:val="20"/>
              </w:rPr>
              <w:t>11.0.00.00000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A93CEB6"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36DE254" w14:textId="77777777" w:rsidR="00387142" w:rsidRPr="008B6A75" w:rsidRDefault="00387142" w:rsidP="00387142">
            <w:pPr>
              <w:jc w:val="right"/>
              <w:rPr>
                <w:bCs/>
                <w:sz w:val="20"/>
                <w:szCs w:val="20"/>
              </w:rPr>
            </w:pPr>
            <w:r w:rsidRPr="008B6A75">
              <w:rPr>
                <w:bCs/>
                <w:sz w:val="20"/>
                <w:szCs w:val="20"/>
              </w:rPr>
              <w:t>57 245 027,00</w:t>
            </w:r>
          </w:p>
        </w:tc>
        <w:tc>
          <w:tcPr>
            <w:tcW w:w="992" w:type="dxa"/>
            <w:tcBorders>
              <w:top w:val="nil"/>
              <w:left w:val="single" w:sz="4" w:space="0" w:color="auto"/>
              <w:bottom w:val="single" w:sz="4" w:space="0" w:color="auto"/>
              <w:right w:val="nil"/>
            </w:tcBorders>
            <w:shd w:val="clear" w:color="auto" w:fill="auto"/>
            <w:vAlign w:val="center"/>
            <w:hideMark/>
          </w:tcPr>
          <w:p w14:paraId="29906B90" w14:textId="77777777" w:rsidR="00387142" w:rsidRPr="008B6A75" w:rsidRDefault="00387142" w:rsidP="00387142">
            <w:pPr>
              <w:jc w:val="right"/>
              <w:rPr>
                <w:bCs/>
                <w:sz w:val="20"/>
                <w:szCs w:val="20"/>
              </w:rPr>
            </w:pPr>
            <w:r w:rsidRPr="008B6A75">
              <w:rPr>
                <w:bCs/>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247B2BE3" w14:textId="77777777" w:rsidR="00387142" w:rsidRPr="008B6A75" w:rsidRDefault="00387142" w:rsidP="00387142">
            <w:pPr>
              <w:jc w:val="right"/>
              <w:rPr>
                <w:bCs/>
                <w:sz w:val="20"/>
                <w:szCs w:val="20"/>
              </w:rPr>
            </w:pPr>
            <w:r w:rsidRPr="008B6A75">
              <w:rPr>
                <w:bCs/>
                <w:sz w:val="20"/>
                <w:szCs w:val="20"/>
              </w:rPr>
              <w:t>0,00</w:t>
            </w:r>
          </w:p>
        </w:tc>
      </w:tr>
      <w:tr w:rsidR="00387142" w:rsidRPr="008B6A75" w14:paraId="13D7E650" w14:textId="77777777" w:rsidTr="00387142">
        <w:trPr>
          <w:trHeight w:val="1155"/>
        </w:trPr>
        <w:tc>
          <w:tcPr>
            <w:tcW w:w="3261" w:type="dxa"/>
            <w:tcBorders>
              <w:top w:val="nil"/>
              <w:left w:val="single" w:sz="4" w:space="0" w:color="auto"/>
              <w:bottom w:val="single" w:sz="4" w:space="0" w:color="auto"/>
              <w:right w:val="nil"/>
            </w:tcBorders>
            <w:shd w:val="clear" w:color="auto" w:fill="auto"/>
            <w:vAlign w:val="center"/>
            <w:hideMark/>
          </w:tcPr>
          <w:p w14:paraId="1393440B" w14:textId="77777777" w:rsidR="00387142" w:rsidRPr="008B6A75" w:rsidRDefault="00387142" w:rsidP="00387142">
            <w:pPr>
              <w:rPr>
                <w:bCs/>
                <w:sz w:val="20"/>
                <w:szCs w:val="20"/>
              </w:rPr>
            </w:pPr>
            <w:r w:rsidRPr="008B6A75">
              <w:rPr>
                <w:bCs/>
                <w:sz w:val="20"/>
                <w:szCs w:val="20"/>
              </w:rPr>
              <w:t>Реализация мероприятий МП "Развитие физической культуры и спорта в Куйбышевском районе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14:paraId="13A61B56" w14:textId="77777777" w:rsidR="00387142" w:rsidRPr="008B6A75" w:rsidRDefault="00387142" w:rsidP="00387142">
            <w:pPr>
              <w:jc w:val="center"/>
              <w:rPr>
                <w:bCs/>
                <w:sz w:val="20"/>
                <w:szCs w:val="20"/>
              </w:rPr>
            </w:pPr>
            <w:r w:rsidRPr="008B6A75">
              <w:rPr>
                <w:bCs/>
                <w:sz w:val="20"/>
                <w:szCs w:val="20"/>
              </w:rPr>
              <w:t>11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67374B4" w14:textId="77777777" w:rsidR="00387142" w:rsidRPr="008B6A75" w:rsidRDefault="00387142" w:rsidP="00387142">
            <w:pPr>
              <w:jc w:val="center"/>
              <w:rPr>
                <w:bCs/>
                <w:sz w:val="20"/>
                <w:szCs w:val="20"/>
              </w:rPr>
            </w:pPr>
            <w:r w:rsidRPr="008B6A75">
              <w:rPr>
                <w:bCs/>
                <w:sz w:val="20"/>
                <w:szCs w:val="20"/>
              </w:rPr>
              <w:t>02</w:t>
            </w:r>
          </w:p>
        </w:tc>
        <w:tc>
          <w:tcPr>
            <w:tcW w:w="1516" w:type="dxa"/>
            <w:tcBorders>
              <w:top w:val="nil"/>
              <w:left w:val="single" w:sz="4" w:space="0" w:color="auto"/>
              <w:bottom w:val="single" w:sz="4" w:space="0" w:color="auto"/>
              <w:right w:val="nil"/>
            </w:tcBorders>
            <w:shd w:val="clear" w:color="auto" w:fill="auto"/>
            <w:noWrap/>
            <w:vAlign w:val="center"/>
            <w:hideMark/>
          </w:tcPr>
          <w:p w14:paraId="7650FBA6" w14:textId="77777777" w:rsidR="00387142" w:rsidRPr="008B6A75" w:rsidRDefault="00387142" w:rsidP="00387142">
            <w:pPr>
              <w:jc w:val="center"/>
              <w:rPr>
                <w:bCs/>
                <w:sz w:val="20"/>
                <w:szCs w:val="20"/>
              </w:rPr>
            </w:pPr>
            <w:r w:rsidRPr="008B6A75">
              <w:rPr>
                <w:bCs/>
                <w:sz w:val="20"/>
                <w:szCs w:val="20"/>
              </w:rPr>
              <w:t>11.0.00.11950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BD2FC7A"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82CA0D3" w14:textId="77777777" w:rsidR="00387142" w:rsidRPr="008B6A75" w:rsidRDefault="00387142" w:rsidP="00387142">
            <w:pPr>
              <w:jc w:val="right"/>
              <w:rPr>
                <w:bCs/>
                <w:sz w:val="20"/>
                <w:szCs w:val="20"/>
              </w:rPr>
            </w:pPr>
            <w:r w:rsidRPr="008B6A75">
              <w:rPr>
                <w:bCs/>
                <w:sz w:val="20"/>
                <w:szCs w:val="20"/>
              </w:rPr>
              <w:t>1 104 100,00</w:t>
            </w:r>
          </w:p>
        </w:tc>
        <w:tc>
          <w:tcPr>
            <w:tcW w:w="992" w:type="dxa"/>
            <w:tcBorders>
              <w:top w:val="nil"/>
              <w:left w:val="single" w:sz="4" w:space="0" w:color="auto"/>
              <w:bottom w:val="single" w:sz="4" w:space="0" w:color="auto"/>
              <w:right w:val="nil"/>
            </w:tcBorders>
            <w:shd w:val="clear" w:color="auto" w:fill="auto"/>
            <w:vAlign w:val="center"/>
            <w:hideMark/>
          </w:tcPr>
          <w:p w14:paraId="33228396" w14:textId="77777777" w:rsidR="00387142" w:rsidRPr="008B6A75" w:rsidRDefault="00387142" w:rsidP="00387142">
            <w:pPr>
              <w:jc w:val="right"/>
              <w:rPr>
                <w:bCs/>
                <w:sz w:val="20"/>
                <w:szCs w:val="20"/>
              </w:rPr>
            </w:pPr>
            <w:r w:rsidRPr="008B6A75">
              <w:rPr>
                <w:bCs/>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4E1EEF87" w14:textId="77777777" w:rsidR="00387142" w:rsidRPr="008B6A75" w:rsidRDefault="00387142" w:rsidP="00387142">
            <w:pPr>
              <w:jc w:val="right"/>
              <w:rPr>
                <w:bCs/>
                <w:sz w:val="20"/>
                <w:szCs w:val="20"/>
              </w:rPr>
            </w:pPr>
            <w:r w:rsidRPr="008B6A75">
              <w:rPr>
                <w:bCs/>
                <w:sz w:val="20"/>
                <w:szCs w:val="20"/>
              </w:rPr>
              <w:t>0,00</w:t>
            </w:r>
          </w:p>
        </w:tc>
      </w:tr>
      <w:tr w:rsidR="00387142" w:rsidRPr="008B6A75" w14:paraId="516705B3" w14:textId="77777777" w:rsidTr="00387142">
        <w:trPr>
          <w:trHeight w:val="345"/>
        </w:trPr>
        <w:tc>
          <w:tcPr>
            <w:tcW w:w="3261" w:type="dxa"/>
            <w:tcBorders>
              <w:top w:val="nil"/>
              <w:left w:val="single" w:sz="4" w:space="0" w:color="auto"/>
              <w:bottom w:val="single" w:sz="4" w:space="0" w:color="auto"/>
              <w:right w:val="nil"/>
            </w:tcBorders>
            <w:shd w:val="clear" w:color="auto" w:fill="auto"/>
            <w:vAlign w:val="center"/>
            <w:hideMark/>
          </w:tcPr>
          <w:p w14:paraId="5CAB3D7D" w14:textId="77777777" w:rsidR="00387142" w:rsidRPr="008B6A75" w:rsidRDefault="00387142" w:rsidP="00387142">
            <w:pPr>
              <w:rPr>
                <w:sz w:val="20"/>
                <w:szCs w:val="20"/>
              </w:rPr>
            </w:pPr>
            <w:r w:rsidRPr="008B6A75">
              <w:rPr>
                <w:sz w:val="20"/>
                <w:szCs w:val="20"/>
              </w:rPr>
              <w:t>Межбюджетные трансферты</w:t>
            </w:r>
          </w:p>
        </w:tc>
        <w:tc>
          <w:tcPr>
            <w:tcW w:w="720" w:type="dxa"/>
            <w:tcBorders>
              <w:top w:val="nil"/>
              <w:left w:val="single" w:sz="4" w:space="0" w:color="auto"/>
              <w:bottom w:val="single" w:sz="4" w:space="0" w:color="auto"/>
              <w:right w:val="nil"/>
            </w:tcBorders>
            <w:shd w:val="clear" w:color="auto" w:fill="auto"/>
            <w:noWrap/>
            <w:vAlign w:val="center"/>
            <w:hideMark/>
          </w:tcPr>
          <w:p w14:paraId="3062C79E" w14:textId="77777777" w:rsidR="00387142" w:rsidRPr="008B6A75" w:rsidRDefault="00387142" w:rsidP="00387142">
            <w:pPr>
              <w:jc w:val="center"/>
              <w:rPr>
                <w:sz w:val="20"/>
                <w:szCs w:val="20"/>
              </w:rPr>
            </w:pPr>
            <w:r w:rsidRPr="008B6A75">
              <w:rPr>
                <w:sz w:val="20"/>
                <w:szCs w:val="20"/>
              </w:rPr>
              <w:t>11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890BEC1" w14:textId="77777777" w:rsidR="00387142" w:rsidRPr="008B6A75" w:rsidRDefault="00387142" w:rsidP="00387142">
            <w:pPr>
              <w:jc w:val="center"/>
              <w:rPr>
                <w:sz w:val="20"/>
                <w:szCs w:val="20"/>
              </w:rPr>
            </w:pPr>
            <w:r w:rsidRPr="008B6A75">
              <w:rPr>
                <w:sz w:val="20"/>
                <w:szCs w:val="20"/>
              </w:rPr>
              <w:t>02</w:t>
            </w:r>
          </w:p>
        </w:tc>
        <w:tc>
          <w:tcPr>
            <w:tcW w:w="1516" w:type="dxa"/>
            <w:tcBorders>
              <w:top w:val="nil"/>
              <w:left w:val="single" w:sz="4" w:space="0" w:color="auto"/>
              <w:bottom w:val="single" w:sz="4" w:space="0" w:color="auto"/>
              <w:right w:val="nil"/>
            </w:tcBorders>
            <w:shd w:val="clear" w:color="auto" w:fill="auto"/>
            <w:noWrap/>
            <w:vAlign w:val="center"/>
            <w:hideMark/>
          </w:tcPr>
          <w:p w14:paraId="43F2E175" w14:textId="77777777" w:rsidR="00387142" w:rsidRPr="008B6A75" w:rsidRDefault="00387142" w:rsidP="00387142">
            <w:pPr>
              <w:jc w:val="center"/>
              <w:rPr>
                <w:sz w:val="20"/>
                <w:szCs w:val="20"/>
              </w:rPr>
            </w:pPr>
            <w:r w:rsidRPr="008B6A75">
              <w:rPr>
                <w:sz w:val="20"/>
                <w:szCs w:val="20"/>
              </w:rPr>
              <w:t>11.0.00.11950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7C01C32" w14:textId="77777777" w:rsidR="00387142" w:rsidRPr="008B6A75" w:rsidRDefault="00387142" w:rsidP="00387142">
            <w:pPr>
              <w:jc w:val="center"/>
              <w:rPr>
                <w:sz w:val="20"/>
                <w:szCs w:val="20"/>
              </w:rPr>
            </w:pPr>
            <w:r w:rsidRPr="008B6A75">
              <w:rPr>
                <w:sz w:val="20"/>
                <w:szCs w:val="20"/>
              </w:rPr>
              <w:t>500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0068A14" w14:textId="77777777" w:rsidR="00387142" w:rsidRPr="008B6A75" w:rsidRDefault="00387142" w:rsidP="00387142">
            <w:pPr>
              <w:jc w:val="right"/>
              <w:rPr>
                <w:sz w:val="20"/>
                <w:szCs w:val="20"/>
              </w:rPr>
            </w:pPr>
            <w:r w:rsidRPr="008B6A75">
              <w:rPr>
                <w:sz w:val="20"/>
                <w:szCs w:val="20"/>
              </w:rPr>
              <w:t>1 104 100,00</w:t>
            </w:r>
          </w:p>
        </w:tc>
        <w:tc>
          <w:tcPr>
            <w:tcW w:w="992" w:type="dxa"/>
            <w:tcBorders>
              <w:top w:val="nil"/>
              <w:left w:val="single" w:sz="4" w:space="0" w:color="auto"/>
              <w:bottom w:val="single" w:sz="4" w:space="0" w:color="auto"/>
              <w:right w:val="nil"/>
            </w:tcBorders>
            <w:shd w:val="clear" w:color="auto" w:fill="auto"/>
            <w:vAlign w:val="center"/>
            <w:hideMark/>
          </w:tcPr>
          <w:p w14:paraId="15EBC190" w14:textId="77777777" w:rsidR="00387142" w:rsidRPr="008B6A75" w:rsidRDefault="00387142" w:rsidP="00387142">
            <w:pPr>
              <w:jc w:val="right"/>
              <w:rPr>
                <w:sz w:val="20"/>
                <w:szCs w:val="20"/>
              </w:rPr>
            </w:pPr>
            <w:r w:rsidRPr="008B6A75">
              <w:rPr>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106D6FCF" w14:textId="77777777" w:rsidR="00387142" w:rsidRPr="008B6A75" w:rsidRDefault="00387142" w:rsidP="00387142">
            <w:pPr>
              <w:jc w:val="right"/>
              <w:rPr>
                <w:sz w:val="20"/>
                <w:szCs w:val="20"/>
              </w:rPr>
            </w:pPr>
            <w:r w:rsidRPr="008B6A75">
              <w:rPr>
                <w:sz w:val="20"/>
                <w:szCs w:val="20"/>
              </w:rPr>
              <w:t>0,00</w:t>
            </w:r>
          </w:p>
        </w:tc>
      </w:tr>
      <w:tr w:rsidR="00387142" w:rsidRPr="008B6A75" w14:paraId="2024A229" w14:textId="77777777" w:rsidTr="00387142">
        <w:trPr>
          <w:trHeight w:val="345"/>
        </w:trPr>
        <w:tc>
          <w:tcPr>
            <w:tcW w:w="3261" w:type="dxa"/>
            <w:tcBorders>
              <w:top w:val="nil"/>
              <w:left w:val="single" w:sz="4" w:space="0" w:color="auto"/>
              <w:bottom w:val="single" w:sz="4" w:space="0" w:color="auto"/>
              <w:right w:val="nil"/>
            </w:tcBorders>
            <w:shd w:val="clear" w:color="auto" w:fill="auto"/>
            <w:vAlign w:val="center"/>
            <w:hideMark/>
          </w:tcPr>
          <w:p w14:paraId="78527FD5" w14:textId="77777777" w:rsidR="00387142" w:rsidRPr="008B6A75" w:rsidRDefault="00387142" w:rsidP="00387142">
            <w:pPr>
              <w:rPr>
                <w:sz w:val="20"/>
                <w:szCs w:val="20"/>
              </w:rPr>
            </w:pPr>
            <w:r w:rsidRPr="008B6A75">
              <w:rPr>
                <w:sz w:val="20"/>
                <w:szCs w:val="20"/>
              </w:rPr>
              <w:t>Иные межбюджетные трансферты</w:t>
            </w:r>
          </w:p>
        </w:tc>
        <w:tc>
          <w:tcPr>
            <w:tcW w:w="720" w:type="dxa"/>
            <w:tcBorders>
              <w:top w:val="nil"/>
              <w:left w:val="single" w:sz="4" w:space="0" w:color="auto"/>
              <w:bottom w:val="single" w:sz="4" w:space="0" w:color="auto"/>
              <w:right w:val="nil"/>
            </w:tcBorders>
            <w:shd w:val="clear" w:color="auto" w:fill="auto"/>
            <w:noWrap/>
            <w:vAlign w:val="center"/>
            <w:hideMark/>
          </w:tcPr>
          <w:p w14:paraId="0FFEF3E9" w14:textId="77777777" w:rsidR="00387142" w:rsidRPr="008B6A75" w:rsidRDefault="00387142" w:rsidP="00387142">
            <w:pPr>
              <w:jc w:val="center"/>
              <w:rPr>
                <w:sz w:val="20"/>
                <w:szCs w:val="20"/>
              </w:rPr>
            </w:pPr>
            <w:r w:rsidRPr="008B6A75">
              <w:rPr>
                <w:sz w:val="20"/>
                <w:szCs w:val="20"/>
              </w:rPr>
              <w:t>11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2DFE9EA" w14:textId="77777777" w:rsidR="00387142" w:rsidRPr="008B6A75" w:rsidRDefault="00387142" w:rsidP="00387142">
            <w:pPr>
              <w:jc w:val="center"/>
              <w:rPr>
                <w:sz w:val="20"/>
                <w:szCs w:val="20"/>
              </w:rPr>
            </w:pPr>
            <w:r w:rsidRPr="008B6A75">
              <w:rPr>
                <w:sz w:val="20"/>
                <w:szCs w:val="20"/>
              </w:rPr>
              <w:t>02</w:t>
            </w:r>
          </w:p>
        </w:tc>
        <w:tc>
          <w:tcPr>
            <w:tcW w:w="1516" w:type="dxa"/>
            <w:tcBorders>
              <w:top w:val="nil"/>
              <w:left w:val="single" w:sz="4" w:space="0" w:color="auto"/>
              <w:bottom w:val="single" w:sz="4" w:space="0" w:color="auto"/>
              <w:right w:val="nil"/>
            </w:tcBorders>
            <w:shd w:val="clear" w:color="auto" w:fill="auto"/>
            <w:noWrap/>
            <w:vAlign w:val="center"/>
            <w:hideMark/>
          </w:tcPr>
          <w:p w14:paraId="231D9FA9" w14:textId="77777777" w:rsidR="00387142" w:rsidRPr="008B6A75" w:rsidRDefault="00387142" w:rsidP="00387142">
            <w:pPr>
              <w:jc w:val="center"/>
              <w:rPr>
                <w:sz w:val="20"/>
                <w:szCs w:val="20"/>
              </w:rPr>
            </w:pPr>
            <w:r w:rsidRPr="008B6A75">
              <w:rPr>
                <w:sz w:val="20"/>
                <w:szCs w:val="20"/>
              </w:rPr>
              <w:t>11.0.00.11950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282CE37" w14:textId="77777777" w:rsidR="00387142" w:rsidRPr="008B6A75" w:rsidRDefault="00387142" w:rsidP="00387142">
            <w:pPr>
              <w:jc w:val="center"/>
              <w:rPr>
                <w:sz w:val="20"/>
                <w:szCs w:val="20"/>
              </w:rPr>
            </w:pPr>
            <w:r w:rsidRPr="008B6A75">
              <w:rPr>
                <w:sz w:val="20"/>
                <w:szCs w:val="20"/>
              </w:rPr>
              <w:t>540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F2DFA2F" w14:textId="77777777" w:rsidR="00387142" w:rsidRPr="008B6A75" w:rsidRDefault="00387142" w:rsidP="00387142">
            <w:pPr>
              <w:jc w:val="right"/>
              <w:rPr>
                <w:sz w:val="20"/>
                <w:szCs w:val="20"/>
              </w:rPr>
            </w:pPr>
            <w:r w:rsidRPr="008B6A75">
              <w:rPr>
                <w:sz w:val="20"/>
                <w:szCs w:val="20"/>
              </w:rPr>
              <w:t>1 104 100,00</w:t>
            </w:r>
          </w:p>
        </w:tc>
        <w:tc>
          <w:tcPr>
            <w:tcW w:w="992" w:type="dxa"/>
            <w:tcBorders>
              <w:top w:val="nil"/>
              <w:left w:val="single" w:sz="4" w:space="0" w:color="auto"/>
              <w:bottom w:val="single" w:sz="4" w:space="0" w:color="auto"/>
              <w:right w:val="nil"/>
            </w:tcBorders>
            <w:shd w:val="clear" w:color="auto" w:fill="auto"/>
            <w:vAlign w:val="center"/>
            <w:hideMark/>
          </w:tcPr>
          <w:p w14:paraId="11E3ADA0" w14:textId="77777777" w:rsidR="00387142" w:rsidRPr="008B6A75" w:rsidRDefault="00387142" w:rsidP="00387142">
            <w:pPr>
              <w:jc w:val="right"/>
              <w:rPr>
                <w:sz w:val="20"/>
                <w:szCs w:val="20"/>
              </w:rPr>
            </w:pPr>
            <w:r w:rsidRPr="008B6A75">
              <w:rPr>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668890B7" w14:textId="77777777" w:rsidR="00387142" w:rsidRPr="008B6A75" w:rsidRDefault="00387142" w:rsidP="00387142">
            <w:pPr>
              <w:jc w:val="right"/>
              <w:rPr>
                <w:sz w:val="20"/>
                <w:szCs w:val="20"/>
              </w:rPr>
            </w:pPr>
            <w:r w:rsidRPr="008B6A75">
              <w:rPr>
                <w:sz w:val="20"/>
                <w:szCs w:val="20"/>
              </w:rPr>
              <w:t>0,00</w:t>
            </w:r>
          </w:p>
        </w:tc>
      </w:tr>
      <w:tr w:rsidR="00387142" w:rsidRPr="008B6A75" w14:paraId="2FF05D93" w14:textId="77777777" w:rsidTr="00387142">
        <w:trPr>
          <w:trHeight w:val="2295"/>
        </w:trPr>
        <w:tc>
          <w:tcPr>
            <w:tcW w:w="3261" w:type="dxa"/>
            <w:tcBorders>
              <w:top w:val="nil"/>
              <w:left w:val="single" w:sz="4" w:space="0" w:color="auto"/>
              <w:bottom w:val="single" w:sz="4" w:space="0" w:color="auto"/>
              <w:right w:val="nil"/>
            </w:tcBorders>
            <w:shd w:val="clear" w:color="auto" w:fill="auto"/>
            <w:vAlign w:val="center"/>
            <w:hideMark/>
          </w:tcPr>
          <w:p w14:paraId="386DC507" w14:textId="77777777" w:rsidR="00387142" w:rsidRPr="008B6A75" w:rsidRDefault="00387142" w:rsidP="00387142">
            <w:pPr>
              <w:rPr>
                <w:bCs/>
                <w:sz w:val="20"/>
                <w:szCs w:val="20"/>
              </w:rPr>
            </w:pPr>
            <w:r w:rsidRPr="008B6A75">
              <w:rPr>
                <w:bCs/>
                <w:sz w:val="20"/>
                <w:szCs w:val="20"/>
              </w:rPr>
              <w:t>Реализация мероприятий по осуществлению малобюджетного строительства, реконструкции, ремонта спортивных сооружений, обеспечения оборудованием и инвентарем спортивных объектов государственной программы Новосибирской области "Развитие физической культуры и спорта в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14:paraId="662C77FB" w14:textId="77777777" w:rsidR="00387142" w:rsidRPr="008B6A75" w:rsidRDefault="00387142" w:rsidP="00387142">
            <w:pPr>
              <w:jc w:val="center"/>
              <w:rPr>
                <w:bCs/>
                <w:sz w:val="20"/>
                <w:szCs w:val="20"/>
              </w:rPr>
            </w:pPr>
            <w:r w:rsidRPr="008B6A75">
              <w:rPr>
                <w:bCs/>
                <w:sz w:val="20"/>
                <w:szCs w:val="20"/>
              </w:rPr>
              <w:t>11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303BB3D" w14:textId="77777777" w:rsidR="00387142" w:rsidRPr="008B6A75" w:rsidRDefault="00387142" w:rsidP="00387142">
            <w:pPr>
              <w:jc w:val="center"/>
              <w:rPr>
                <w:bCs/>
                <w:sz w:val="20"/>
                <w:szCs w:val="20"/>
              </w:rPr>
            </w:pPr>
            <w:r w:rsidRPr="008B6A75">
              <w:rPr>
                <w:bCs/>
                <w:sz w:val="20"/>
                <w:szCs w:val="20"/>
              </w:rPr>
              <w:t>02</w:t>
            </w:r>
          </w:p>
        </w:tc>
        <w:tc>
          <w:tcPr>
            <w:tcW w:w="1516" w:type="dxa"/>
            <w:tcBorders>
              <w:top w:val="nil"/>
              <w:left w:val="single" w:sz="4" w:space="0" w:color="auto"/>
              <w:bottom w:val="single" w:sz="4" w:space="0" w:color="auto"/>
              <w:right w:val="nil"/>
            </w:tcBorders>
            <w:shd w:val="clear" w:color="auto" w:fill="auto"/>
            <w:noWrap/>
            <w:vAlign w:val="center"/>
            <w:hideMark/>
          </w:tcPr>
          <w:p w14:paraId="5132F1F2" w14:textId="77777777" w:rsidR="00387142" w:rsidRPr="008B6A75" w:rsidRDefault="00387142" w:rsidP="00387142">
            <w:pPr>
              <w:jc w:val="center"/>
              <w:rPr>
                <w:bCs/>
                <w:sz w:val="20"/>
                <w:szCs w:val="20"/>
              </w:rPr>
            </w:pPr>
            <w:r w:rsidRPr="008B6A75">
              <w:rPr>
                <w:bCs/>
                <w:sz w:val="20"/>
                <w:szCs w:val="20"/>
              </w:rPr>
              <w:t>11.0.00.70740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A78A223"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0F0EEA8" w14:textId="77777777" w:rsidR="00387142" w:rsidRPr="008B6A75" w:rsidRDefault="00387142" w:rsidP="00387142">
            <w:pPr>
              <w:jc w:val="right"/>
              <w:rPr>
                <w:bCs/>
                <w:sz w:val="20"/>
                <w:szCs w:val="20"/>
              </w:rPr>
            </w:pPr>
            <w:r w:rsidRPr="008B6A75">
              <w:rPr>
                <w:bCs/>
                <w:sz w:val="20"/>
                <w:szCs w:val="20"/>
              </w:rPr>
              <w:t>3 500 000,00</w:t>
            </w:r>
          </w:p>
        </w:tc>
        <w:tc>
          <w:tcPr>
            <w:tcW w:w="992" w:type="dxa"/>
            <w:tcBorders>
              <w:top w:val="nil"/>
              <w:left w:val="single" w:sz="4" w:space="0" w:color="auto"/>
              <w:bottom w:val="single" w:sz="4" w:space="0" w:color="auto"/>
              <w:right w:val="nil"/>
            </w:tcBorders>
            <w:shd w:val="clear" w:color="auto" w:fill="auto"/>
            <w:vAlign w:val="center"/>
            <w:hideMark/>
          </w:tcPr>
          <w:p w14:paraId="660089FB" w14:textId="77777777" w:rsidR="00387142" w:rsidRPr="008B6A75" w:rsidRDefault="00387142" w:rsidP="00387142">
            <w:pPr>
              <w:jc w:val="right"/>
              <w:rPr>
                <w:bCs/>
                <w:sz w:val="20"/>
                <w:szCs w:val="20"/>
              </w:rPr>
            </w:pPr>
            <w:r w:rsidRPr="008B6A75">
              <w:rPr>
                <w:bCs/>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3DBA5234" w14:textId="77777777" w:rsidR="00387142" w:rsidRPr="008B6A75" w:rsidRDefault="00387142" w:rsidP="00387142">
            <w:pPr>
              <w:jc w:val="right"/>
              <w:rPr>
                <w:bCs/>
                <w:sz w:val="20"/>
                <w:szCs w:val="20"/>
              </w:rPr>
            </w:pPr>
            <w:r w:rsidRPr="008B6A75">
              <w:rPr>
                <w:bCs/>
                <w:sz w:val="20"/>
                <w:szCs w:val="20"/>
              </w:rPr>
              <w:t>0,00</w:t>
            </w:r>
          </w:p>
        </w:tc>
      </w:tr>
      <w:tr w:rsidR="00387142" w:rsidRPr="008B6A75" w14:paraId="35EE851E" w14:textId="77777777" w:rsidTr="00387142">
        <w:trPr>
          <w:trHeight w:val="345"/>
        </w:trPr>
        <w:tc>
          <w:tcPr>
            <w:tcW w:w="3261" w:type="dxa"/>
            <w:tcBorders>
              <w:top w:val="nil"/>
              <w:left w:val="single" w:sz="4" w:space="0" w:color="auto"/>
              <w:bottom w:val="single" w:sz="4" w:space="0" w:color="auto"/>
              <w:right w:val="nil"/>
            </w:tcBorders>
            <w:shd w:val="clear" w:color="auto" w:fill="auto"/>
            <w:vAlign w:val="center"/>
            <w:hideMark/>
          </w:tcPr>
          <w:p w14:paraId="33428B39" w14:textId="77777777" w:rsidR="00387142" w:rsidRPr="008B6A75" w:rsidRDefault="00387142" w:rsidP="00387142">
            <w:pPr>
              <w:rPr>
                <w:sz w:val="20"/>
                <w:szCs w:val="20"/>
              </w:rPr>
            </w:pPr>
            <w:r w:rsidRPr="008B6A75">
              <w:rPr>
                <w:sz w:val="20"/>
                <w:szCs w:val="20"/>
              </w:rPr>
              <w:t>Межбюджетные трансферты</w:t>
            </w:r>
          </w:p>
        </w:tc>
        <w:tc>
          <w:tcPr>
            <w:tcW w:w="720" w:type="dxa"/>
            <w:tcBorders>
              <w:top w:val="nil"/>
              <w:left w:val="single" w:sz="4" w:space="0" w:color="auto"/>
              <w:bottom w:val="single" w:sz="4" w:space="0" w:color="auto"/>
              <w:right w:val="nil"/>
            </w:tcBorders>
            <w:shd w:val="clear" w:color="auto" w:fill="auto"/>
            <w:noWrap/>
            <w:vAlign w:val="center"/>
            <w:hideMark/>
          </w:tcPr>
          <w:p w14:paraId="1AE3D3BD" w14:textId="77777777" w:rsidR="00387142" w:rsidRPr="008B6A75" w:rsidRDefault="00387142" w:rsidP="00387142">
            <w:pPr>
              <w:jc w:val="center"/>
              <w:rPr>
                <w:sz w:val="20"/>
                <w:szCs w:val="20"/>
              </w:rPr>
            </w:pPr>
            <w:r w:rsidRPr="008B6A75">
              <w:rPr>
                <w:sz w:val="20"/>
                <w:szCs w:val="20"/>
              </w:rPr>
              <w:t>11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13EBED2" w14:textId="77777777" w:rsidR="00387142" w:rsidRPr="008B6A75" w:rsidRDefault="00387142" w:rsidP="00387142">
            <w:pPr>
              <w:jc w:val="center"/>
              <w:rPr>
                <w:sz w:val="20"/>
                <w:szCs w:val="20"/>
              </w:rPr>
            </w:pPr>
            <w:r w:rsidRPr="008B6A75">
              <w:rPr>
                <w:sz w:val="20"/>
                <w:szCs w:val="20"/>
              </w:rPr>
              <w:t>02</w:t>
            </w:r>
          </w:p>
        </w:tc>
        <w:tc>
          <w:tcPr>
            <w:tcW w:w="1516" w:type="dxa"/>
            <w:tcBorders>
              <w:top w:val="nil"/>
              <w:left w:val="single" w:sz="4" w:space="0" w:color="auto"/>
              <w:bottom w:val="single" w:sz="4" w:space="0" w:color="auto"/>
              <w:right w:val="nil"/>
            </w:tcBorders>
            <w:shd w:val="clear" w:color="auto" w:fill="auto"/>
            <w:noWrap/>
            <w:vAlign w:val="center"/>
            <w:hideMark/>
          </w:tcPr>
          <w:p w14:paraId="4F2B4ADD" w14:textId="77777777" w:rsidR="00387142" w:rsidRPr="008B6A75" w:rsidRDefault="00387142" w:rsidP="00387142">
            <w:pPr>
              <w:jc w:val="center"/>
              <w:rPr>
                <w:sz w:val="20"/>
                <w:szCs w:val="20"/>
              </w:rPr>
            </w:pPr>
            <w:r w:rsidRPr="008B6A75">
              <w:rPr>
                <w:sz w:val="20"/>
                <w:szCs w:val="20"/>
              </w:rPr>
              <w:t>11.0.00.70740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AE3F28D" w14:textId="77777777" w:rsidR="00387142" w:rsidRPr="008B6A75" w:rsidRDefault="00387142" w:rsidP="00387142">
            <w:pPr>
              <w:jc w:val="center"/>
              <w:rPr>
                <w:sz w:val="20"/>
                <w:szCs w:val="20"/>
              </w:rPr>
            </w:pPr>
            <w:r w:rsidRPr="008B6A75">
              <w:rPr>
                <w:sz w:val="20"/>
                <w:szCs w:val="20"/>
              </w:rPr>
              <w:t>500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5DCE523" w14:textId="77777777" w:rsidR="00387142" w:rsidRPr="008B6A75" w:rsidRDefault="00387142" w:rsidP="00387142">
            <w:pPr>
              <w:jc w:val="right"/>
              <w:rPr>
                <w:sz w:val="20"/>
                <w:szCs w:val="20"/>
              </w:rPr>
            </w:pPr>
            <w:r w:rsidRPr="008B6A75">
              <w:rPr>
                <w:sz w:val="20"/>
                <w:szCs w:val="20"/>
              </w:rPr>
              <w:t>3 500 000,00</w:t>
            </w:r>
          </w:p>
        </w:tc>
        <w:tc>
          <w:tcPr>
            <w:tcW w:w="992" w:type="dxa"/>
            <w:tcBorders>
              <w:top w:val="nil"/>
              <w:left w:val="single" w:sz="4" w:space="0" w:color="auto"/>
              <w:bottom w:val="single" w:sz="4" w:space="0" w:color="auto"/>
              <w:right w:val="nil"/>
            </w:tcBorders>
            <w:shd w:val="clear" w:color="auto" w:fill="auto"/>
            <w:vAlign w:val="center"/>
            <w:hideMark/>
          </w:tcPr>
          <w:p w14:paraId="264F485B" w14:textId="77777777" w:rsidR="00387142" w:rsidRPr="008B6A75" w:rsidRDefault="00387142" w:rsidP="00387142">
            <w:pPr>
              <w:jc w:val="right"/>
              <w:rPr>
                <w:sz w:val="20"/>
                <w:szCs w:val="20"/>
              </w:rPr>
            </w:pPr>
            <w:r w:rsidRPr="008B6A75">
              <w:rPr>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4A97A054" w14:textId="77777777" w:rsidR="00387142" w:rsidRPr="008B6A75" w:rsidRDefault="00387142" w:rsidP="00387142">
            <w:pPr>
              <w:jc w:val="right"/>
              <w:rPr>
                <w:sz w:val="20"/>
                <w:szCs w:val="20"/>
              </w:rPr>
            </w:pPr>
            <w:r w:rsidRPr="008B6A75">
              <w:rPr>
                <w:sz w:val="20"/>
                <w:szCs w:val="20"/>
              </w:rPr>
              <w:t>0,00</w:t>
            </w:r>
          </w:p>
        </w:tc>
      </w:tr>
      <w:tr w:rsidR="00387142" w:rsidRPr="008B6A75" w14:paraId="2021063C" w14:textId="77777777" w:rsidTr="00387142">
        <w:trPr>
          <w:trHeight w:val="345"/>
        </w:trPr>
        <w:tc>
          <w:tcPr>
            <w:tcW w:w="3261" w:type="dxa"/>
            <w:tcBorders>
              <w:top w:val="nil"/>
              <w:left w:val="single" w:sz="4" w:space="0" w:color="auto"/>
              <w:bottom w:val="single" w:sz="4" w:space="0" w:color="auto"/>
              <w:right w:val="nil"/>
            </w:tcBorders>
            <w:shd w:val="clear" w:color="auto" w:fill="auto"/>
            <w:vAlign w:val="center"/>
            <w:hideMark/>
          </w:tcPr>
          <w:p w14:paraId="1A759822" w14:textId="77777777" w:rsidR="00387142" w:rsidRPr="008B6A75" w:rsidRDefault="00387142" w:rsidP="00387142">
            <w:pPr>
              <w:rPr>
                <w:sz w:val="20"/>
                <w:szCs w:val="20"/>
              </w:rPr>
            </w:pPr>
            <w:r w:rsidRPr="008B6A75">
              <w:rPr>
                <w:sz w:val="20"/>
                <w:szCs w:val="20"/>
              </w:rPr>
              <w:t>Субсидии</w:t>
            </w:r>
          </w:p>
        </w:tc>
        <w:tc>
          <w:tcPr>
            <w:tcW w:w="720" w:type="dxa"/>
            <w:tcBorders>
              <w:top w:val="nil"/>
              <w:left w:val="single" w:sz="4" w:space="0" w:color="auto"/>
              <w:bottom w:val="single" w:sz="4" w:space="0" w:color="auto"/>
              <w:right w:val="nil"/>
            </w:tcBorders>
            <w:shd w:val="clear" w:color="auto" w:fill="auto"/>
            <w:noWrap/>
            <w:vAlign w:val="center"/>
            <w:hideMark/>
          </w:tcPr>
          <w:p w14:paraId="2C5A07BA" w14:textId="77777777" w:rsidR="00387142" w:rsidRPr="008B6A75" w:rsidRDefault="00387142" w:rsidP="00387142">
            <w:pPr>
              <w:jc w:val="center"/>
              <w:rPr>
                <w:sz w:val="20"/>
                <w:szCs w:val="20"/>
              </w:rPr>
            </w:pPr>
            <w:r w:rsidRPr="008B6A75">
              <w:rPr>
                <w:sz w:val="20"/>
                <w:szCs w:val="20"/>
              </w:rPr>
              <w:t>11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4E726F7" w14:textId="77777777" w:rsidR="00387142" w:rsidRPr="008B6A75" w:rsidRDefault="00387142" w:rsidP="00387142">
            <w:pPr>
              <w:jc w:val="center"/>
              <w:rPr>
                <w:sz w:val="20"/>
                <w:szCs w:val="20"/>
              </w:rPr>
            </w:pPr>
            <w:r w:rsidRPr="008B6A75">
              <w:rPr>
                <w:sz w:val="20"/>
                <w:szCs w:val="20"/>
              </w:rPr>
              <w:t>02</w:t>
            </w:r>
          </w:p>
        </w:tc>
        <w:tc>
          <w:tcPr>
            <w:tcW w:w="1516" w:type="dxa"/>
            <w:tcBorders>
              <w:top w:val="nil"/>
              <w:left w:val="single" w:sz="4" w:space="0" w:color="auto"/>
              <w:bottom w:val="single" w:sz="4" w:space="0" w:color="auto"/>
              <w:right w:val="nil"/>
            </w:tcBorders>
            <w:shd w:val="clear" w:color="auto" w:fill="auto"/>
            <w:noWrap/>
            <w:vAlign w:val="center"/>
            <w:hideMark/>
          </w:tcPr>
          <w:p w14:paraId="02CE94A5" w14:textId="77777777" w:rsidR="00387142" w:rsidRPr="008B6A75" w:rsidRDefault="00387142" w:rsidP="00387142">
            <w:pPr>
              <w:jc w:val="center"/>
              <w:rPr>
                <w:sz w:val="20"/>
                <w:szCs w:val="20"/>
              </w:rPr>
            </w:pPr>
            <w:r w:rsidRPr="008B6A75">
              <w:rPr>
                <w:sz w:val="20"/>
                <w:szCs w:val="20"/>
              </w:rPr>
              <w:t>11.0.00.70740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A293949" w14:textId="77777777" w:rsidR="00387142" w:rsidRPr="008B6A75" w:rsidRDefault="00387142" w:rsidP="00387142">
            <w:pPr>
              <w:jc w:val="center"/>
              <w:rPr>
                <w:sz w:val="20"/>
                <w:szCs w:val="20"/>
              </w:rPr>
            </w:pPr>
            <w:r w:rsidRPr="008B6A75">
              <w:rPr>
                <w:sz w:val="20"/>
                <w:szCs w:val="20"/>
              </w:rPr>
              <w:t>520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A8779F8" w14:textId="77777777" w:rsidR="00387142" w:rsidRPr="008B6A75" w:rsidRDefault="00387142" w:rsidP="00387142">
            <w:pPr>
              <w:jc w:val="right"/>
              <w:rPr>
                <w:sz w:val="20"/>
                <w:szCs w:val="20"/>
              </w:rPr>
            </w:pPr>
            <w:r w:rsidRPr="008B6A75">
              <w:rPr>
                <w:sz w:val="20"/>
                <w:szCs w:val="20"/>
              </w:rPr>
              <w:t>3 500 000,00</w:t>
            </w:r>
          </w:p>
        </w:tc>
        <w:tc>
          <w:tcPr>
            <w:tcW w:w="992" w:type="dxa"/>
            <w:tcBorders>
              <w:top w:val="nil"/>
              <w:left w:val="single" w:sz="4" w:space="0" w:color="auto"/>
              <w:bottom w:val="single" w:sz="4" w:space="0" w:color="auto"/>
              <w:right w:val="nil"/>
            </w:tcBorders>
            <w:shd w:val="clear" w:color="auto" w:fill="auto"/>
            <w:vAlign w:val="center"/>
            <w:hideMark/>
          </w:tcPr>
          <w:p w14:paraId="2A5EDE69" w14:textId="77777777" w:rsidR="00387142" w:rsidRPr="008B6A75" w:rsidRDefault="00387142" w:rsidP="00387142">
            <w:pPr>
              <w:jc w:val="right"/>
              <w:rPr>
                <w:sz w:val="20"/>
                <w:szCs w:val="20"/>
              </w:rPr>
            </w:pPr>
            <w:r w:rsidRPr="008B6A75">
              <w:rPr>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14872848" w14:textId="77777777" w:rsidR="00387142" w:rsidRPr="008B6A75" w:rsidRDefault="00387142" w:rsidP="00387142">
            <w:pPr>
              <w:jc w:val="right"/>
              <w:rPr>
                <w:sz w:val="20"/>
                <w:szCs w:val="20"/>
              </w:rPr>
            </w:pPr>
            <w:r w:rsidRPr="008B6A75">
              <w:rPr>
                <w:sz w:val="20"/>
                <w:szCs w:val="20"/>
              </w:rPr>
              <w:t>0,00</w:t>
            </w:r>
          </w:p>
        </w:tc>
      </w:tr>
      <w:tr w:rsidR="00387142" w:rsidRPr="008B6A75" w14:paraId="21EAB40C" w14:textId="77777777" w:rsidTr="00387142">
        <w:trPr>
          <w:trHeight w:val="1440"/>
        </w:trPr>
        <w:tc>
          <w:tcPr>
            <w:tcW w:w="3261" w:type="dxa"/>
            <w:tcBorders>
              <w:top w:val="nil"/>
              <w:left w:val="single" w:sz="4" w:space="0" w:color="auto"/>
              <w:bottom w:val="single" w:sz="4" w:space="0" w:color="auto"/>
              <w:right w:val="nil"/>
            </w:tcBorders>
            <w:shd w:val="clear" w:color="auto" w:fill="auto"/>
            <w:vAlign w:val="center"/>
            <w:hideMark/>
          </w:tcPr>
          <w:p w14:paraId="2DF8E87D" w14:textId="77777777" w:rsidR="00387142" w:rsidRPr="008B6A75" w:rsidRDefault="00387142" w:rsidP="00387142">
            <w:pPr>
              <w:rPr>
                <w:bCs/>
                <w:sz w:val="20"/>
                <w:szCs w:val="20"/>
              </w:rPr>
            </w:pPr>
            <w:r w:rsidRPr="008B6A75">
              <w:rPr>
                <w:bCs/>
                <w:sz w:val="20"/>
                <w:szCs w:val="20"/>
              </w:rPr>
              <w:t>Реализация мероприятий по строительству спортивных объектов муниципальной собственности государственной программы Новосибирской области "Развитие физической культуры и спорта в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14:paraId="40FBE232" w14:textId="77777777" w:rsidR="00387142" w:rsidRPr="008B6A75" w:rsidRDefault="00387142" w:rsidP="00387142">
            <w:pPr>
              <w:jc w:val="center"/>
              <w:rPr>
                <w:bCs/>
                <w:sz w:val="20"/>
                <w:szCs w:val="20"/>
              </w:rPr>
            </w:pPr>
            <w:r w:rsidRPr="008B6A75">
              <w:rPr>
                <w:bCs/>
                <w:sz w:val="20"/>
                <w:szCs w:val="20"/>
              </w:rPr>
              <w:t>11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A216964" w14:textId="77777777" w:rsidR="00387142" w:rsidRPr="008B6A75" w:rsidRDefault="00387142" w:rsidP="00387142">
            <w:pPr>
              <w:jc w:val="center"/>
              <w:rPr>
                <w:bCs/>
                <w:sz w:val="20"/>
                <w:szCs w:val="20"/>
              </w:rPr>
            </w:pPr>
            <w:r w:rsidRPr="008B6A75">
              <w:rPr>
                <w:bCs/>
                <w:sz w:val="20"/>
                <w:szCs w:val="20"/>
              </w:rPr>
              <w:t>02</w:t>
            </w:r>
          </w:p>
        </w:tc>
        <w:tc>
          <w:tcPr>
            <w:tcW w:w="1516" w:type="dxa"/>
            <w:tcBorders>
              <w:top w:val="nil"/>
              <w:left w:val="single" w:sz="4" w:space="0" w:color="auto"/>
              <w:bottom w:val="single" w:sz="4" w:space="0" w:color="auto"/>
              <w:right w:val="nil"/>
            </w:tcBorders>
            <w:shd w:val="clear" w:color="auto" w:fill="auto"/>
            <w:noWrap/>
            <w:vAlign w:val="center"/>
            <w:hideMark/>
          </w:tcPr>
          <w:p w14:paraId="0ED4D0E9" w14:textId="77777777" w:rsidR="00387142" w:rsidRPr="008B6A75" w:rsidRDefault="00387142" w:rsidP="00387142">
            <w:pPr>
              <w:jc w:val="center"/>
              <w:rPr>
                <w:bCs/>
                <w:sz w:val="20"/>
                <w:szCs w:val="20"/>
              </w:rPr>
            </w:pPr>
            <w:r w:rsidRPr="008B6A75">
              <w:rPr>
                <w:bCs/>
                <w:sz w:val="20"/>
                <w:szCs w:val="20"/>
              </w:rPr>
              <w:t>11.0.00.70750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55F3B3C"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170364E" w14:textId="77777777" w:rsidR="00387142" w:rsidRPr="008B6A75" w:rsidRDefault="00387142" w:rsidP="00387142">
            <w:pPr>
              <w:jc w:val="right"/>
              <w:rPr>
                <w:bCs/>
                <w:sz w:val="20"/>
                <w:szCs w:val="20"/>
              </w:rPr>
            </w:pPr>
            <w:r w:rsidRPr="008B6A75">
              <w:rPr>
                <w:bCs/>
                <w:sz w:val="20"/>
                <w:szCs w:val="20"/>
              </w:rPr>
              <w:t>50 599 900,00</w:t>
            </w:r>
          </w:p>
        </w:tc>
        <w:tc>
          <w:tcPr>
            <w:tcW w:w="992" w:type="dxa"/>
            <w:tcBorders>
              <w:top w:val="nil"/>
              <w:left w:val="single" w:sz="4" w:space="0" w:color="auto"/>
              <w:bottom w:val="single" w:sz="4" w:space="0" w:color="auto"/>
              <w:right w:val="nil"/>
            </w:tcBorders>
            <w:shd w:val="clear" w:color="auto" w:fill="auto"/>
            <w:vAlign w:val="center"/>
            <w:hideMark/>
          </w:tcPr>
          <w:p w14:paraId="48E00914" w14:textId="77777777" w:rsidR="00387142" w:rsidRPr="008B6A75" w:rsidRDefault="00387142" w:rsidP="00387142">
            <w:pPr>
              <w:jc w:val="right"/>
              <w:rPr>
                <w:bCs/>
                <w:sz w:val="20"/>
                <w:szCs w:val="20"/>
              </w:rPr>
            </w:pPr>
            <w:r w:rsidRPr="008B6A75">
              <w:rPr>
                <w:bCs/>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55C92DB1" w14:textId="77777777" w:rsidR="00387142" w:rsidRPr="008B6A75" w:rsidRDefault="00387142" w:rsidP="00387142">
            <w:pPr>
              <w:jc w:val="right"/>
              <w:rPr>
                <w:bCs/>
                <w:sz w:val="20"/>
                <w:szCs w:val="20"/>
              </w:rPr>
            </w:pPr>
            <w:r w:rsidRPr="008B6A75">
              <w:rPr>
                <w:bCs/>
                <w:sz w:val="20"/>
                <w:szCs w:val="20"/>
              </w:rPr>
              <w:t>0,00</w:t>
            </w:r>
          </w:p>
        </w:tc>
      </w:tr>
      <w:tr w:rsidR="00387142" w:rsidRPr="008B6A75" w14:paraId="68D1CB00" w14:textId="77777777" w:rsidTr="00387142">
        <w:trPr>
          <w:trHeight w:val="345"/>
        </w:trPr>
        <w:tc>
          <w:tcPr>
            <w:tcW w:w="3261" w:type="dxa"/>
            <w:tcBorders>
              <w:top w:val="nil"/>
              <w:left w:val="single" w:sz="4" w:space="0" w:color="auto"/>
              <w:bottom w:val="single" w:sz="4" w:space="0" w:color="auto"/>
              <w:right w:val="nil"/>
            </w:tcBorders>
            <w:shd w:val="clear" w:color="auto" w:fill="auto"/>
            <w:vAlign w:val="center"/>
            <w:hideMark/>
          </w:tcPr>
          <w:p w14:paraId="4409F48B" w14:textId="77777777" w:rsidR="00387142" w:rsidRPr="008B6A75" w:rsidRDefault="00387142" w:rsidP="00387142">
            <w:pPr>
              <w:rPr>
                <w:sz w:val="20"/>
                <w:szCs w:val="20"/>
              </w:rPr>
            </w:pPr>
            <w:r w:rsidRPr="008B6A75">
              <w:rPr>
                <w:sz w:val="20"/>
                <w:szCs w:val="20"/>
              </w:rPr>
              <w:t>Межбюджетные трансферты</w:t>
            </w:r>
          </w:p>
        </w:tc>
        <w:tc>
          <w:tcPr>
            <w:tcW w:w="720" w:type="dxa"/>
            <w:tcBorders>
              <w:top w:val="nil"/>
              <w:left w:val="single" w:sz="4" w:space="0" w:color="auto"/>
              <w:bottom w:val="single" w:sz="4" w:space="0" w:color="auto"/>
              <w:right w:val="nil"/>
            </w:tcBorders>
            <w:shd w:val="clear" w:color="auto" w:fill="auto"/>
            <w:noWrap/>
            <w:vAlign w:val="center"/>
            <w:hideMark/>
          </w:tcPr>
          <w:p w14:paraId="4CF75D93" w14:textId="77777777" w:rsidR="00387142" w:rsidRPr="008B6A75" w:rsidRDefault="00387142" w:rsidP="00387142">
            <w:pPr>
              <w:jc w:val="center"/>
              <w:rPr>
                <w:sz w:val="20"/>
                <w:szCs w:val="20"/>
              </w:rPr>
            </w:pPr>
            <w:r w:rsidRPr="008B6A75">
              <w:rPr>
                <w:sz w:val="20"/>
                <w:szCs w:val="20"/>
              </w:rPr>
              <w:t>11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8CDAB84" w14:textId="77777777" w:rsidR="00387142" w:rsidRPr="008B6A75" w:rsidRDefault="00387142" w:rsidP="00387142">
            <w:pPr>
              <w:jc w:val="center"/>
              <w:rPr>
                <w:sz w:val="20"/>
                <w:szCs w:val="20"/>
              </w:rPr>
            </w:pPr>
            <w:r w:rsidRPr="008B6A75">
              <w:rPr>
                <w:sz w:val="20"/>
                <w:szCs w:val="20"/>
              </w:rPr>
              <w:t>02</w:t>
            </w:r>
          </w:p>
        </w:tc>
        <w:tc>
          <w:tcPr>
            <w:tcW w:w="1516" w:type="dxa"/>
            <w:tcBorders>
              <w:top w:val="nil"/>
              <w:left w:val="single" w:sz="4" w:space="0" w:color="auto"/>
              <w:bottom w:val="single" w:sz="4" w:space="0" w:color="auto"/>
              <w:right w:val="nil"/>
            </w:tcBorders>
            <w:shd w:val="clear" w:color="auto" w:fill="auto"/>
            <w:noWrap/>
            <w:vAlign w:val="center"/>
            <w:hideMark/>
          </w:tcPr>
          <w:p w14:paraId="1539BC00" w14:textId="77777777" w:rsidR="00387142" w:rsidRPr="008B6A75" w:rsidRDefault="00387142" w:rsidP="00387142">
            <w:pPr>
              <w:jc w:val="center"/>
              <w:rPr>
                <w:sz w:val="20"/>
                <w:szCs w:val="20"/>
              </w:rPr>
            </w:pPr>
            <w:r w:rsidRPr="008B6A75">
              <w:rPr>
                <w:sz w:val="20"/>
                <w:szCs w:val="20"/>
              </w:rPr>
              <w:t>11.0.00.70750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2EE05B1" w14:textId="77777777" w:rsidR="00387142" w:rsidRPr="008B6A75" w:rsidRDefault="00387142" w:rsidP="00387142">
            <w:pPr>
              <w:jc w:val="center"/>
              <w:rPr>
                <w:sz w:val="20"/>
                <w:szCs w:val="20"/>
              </w:rPr>
            </w:pPr>
            <w:r w:rsidRPr="008B6A75">
              <w:rPr>
                <w:sz w:val="20"/>
                <w:szCs w:val="20"/>
              </w:rPr>
              <w:t>500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05D5242" w14:textId="77777777" w:rsidR="00387142" w:rsidRPr="008B6A75" w:rsidRDefault="00387142" w:rsidP="00387142">
            <w:pPr>
              <w:jc w:val="right"/>
              <w:rPr>
                <w:sz w:val="20"/>
                <w:szCs w:val="20"/>
              </w:rPr>
            </w:pPr>
            <w:r w:rsidRPr="008B6A75">
              <w:rPr>
                <w:sz w:val="20"/>
                <w:szCs w:val="20"/>
              </w:rPr>
              <w:t>50 599 900,00</w:t>
            </w:r>
          </w:p>
        </w:tc>
        <w:tc>
          <w:tcPr>
            <w:tcW w:w="992" w:type="dxa"/>
            <w:tcBorders>
              <w:top w:val="nil"/>
              <w:left w:val="single" w:sz="4" w:space="0" w:color="auto"/>
              <w:bottom w:val="single" w:sz="4" w:space="0" w:color="auto"/>
              <w:right w:val="nil"/>
            </w:tcBorders>
            <w:shd w:val="clear" w:color="auto" w:fill="auto"/>
            <w:vAlign w:val="center"/>
            <w:hideMark/>
          </w:tcPr>
          <w:p w14:paraId="77298A96" w14:textId="77777777" w:rsidR="00387142" w:rsidRPr="008B6A75" w:rsidRDefault="00387142" w:rsidP="00387142">
            <w:pPr>
              <w:jc w:val="right"/>
              <w:rPr>
                <w:sz w:val="20"/>
                <w:szCs w:val="20"/>
              </w:rPr>
            </w:pPr>
            <w:r w:rsidRPr="008B6A75">
              <w:rPr>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0FB689D1" w14:textId="77777777" w:rsidR="00387142" w:rsidRPr="008B6A75" w:rsidRDefault="00387142" w:rsidP="00387142">
            <w:pPr>
              <w:jc w:val="right"/>
              <w:rPr>
                <w:sz w:val="20"/>
                <w:szCs w:val="20"/>
              </w:rPr>
            </w:pPr>
            <w:r w:rsidRPr="008B6A75">
              <w:rPr>
                <w:sz w:val="20"/>
                <w:szCs w:val="20"/>
              </w:rPr>
              <w:t>0,00</w:t>
            </w:r>
          </w:p>
        </w:tc>
      </w:tr>
      <w:tr w:rsidR="00387142" w:rsidRPr="008B6A75" w14:paraId="6F289EF0" w14:textId="77777777" w:rsidTr="00387142">
        <w:trPr>
          <w:trHeight w:val="345"/>
        </w:trPr>
        <w:tc>
          <w:tcPr>
            <w:tcW w:w="3261" w:type="dxa"/>
            <w:tcBorders>
              <w:top w:val="nil"/>
              <w:left w:val="single" w:sz="4" w:space="0" w:color="auto"/>
              <w:bottom w:val="single" w:sz="4" w:space="0" w:color="auto"/>
              <w:right w:val="nil"/>
            </w:tcBorders>
            <w:shd w:val="clear" w:color="auto" w:fill="auto"/>
            <w:vAlign w:val="center"/>
            <w:hideMark/>
          </w:tcPr>
          <w:p w14:paraId="5365A20E" w14:textId="77777777" w:rsidR="00387142" w:rsidRPr="008B6A75" w:rsidRDefault="00387142" w:rsidP="00387142">
            <w:pPr>
              <w:rPr>
                <w:sz w:val="20"/>
                <w:szCs w:val="20"/>
              </w:rPr>
            </w:pPr>
            <w:r w:rsidRPr="008B6A75">
              <w:rPr>
                <w:sz w:val="20"/>
                <w:szCs w:val="20"/>
              </w:rPr>
              <w:t>Субсидии</w:t>
            </w:r>
          </w:p>
        </w:tc>
        <w:tc>
          <w:tcPr>
            <w:tcW w:w="720" w:type="dxa"/>
            <w:tcBorders>
              <w:top w:val="nil"/>
              <w:left w:val="single" w:sz="4" w:space="0" w:color="auto"/>
              <w:bottom w:val="single" w:sz="4" w:space="0" w:color="auto"/>
              <w:right w:val="nil"/>
            </w:tcBorders>
            <w:shd w:val="clear" w:color="auto" w:fill="auto"/>
            <w:noWrap/>
            <w:vAlign w:val="center"/>
            <w:hideMark/>
          </w:tcPr>
          <w:p w14:paraId="7D06D1DE" w14:textId="77777777" w:rsidR="00387142" w:rsidRPr="008B6A75" w:rsidRDefault="00387142" w:rsidP="00387142">
            <w:pPr>
              <w:jc w:val="center"/>
              <w:rPr>
                <w:sz w:val="20"/>
                <w:szCs w:val="20"/>
              </w:rPr>
            </w:pPr>
            <w:r w:rsidRPr="008B6A75">
              <w:rPr>
                <w:sz w:val="20"/>
                <w:szCs w:val="20"/>
              </w:rPr>
              <w:t>11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9AE293D" w14:textId="77777777" w:rsidR="00387142" w:rsidRPr="008B6A75" w:rsidRDefault="00387142" w:rsidP="00387142">
            <w:pPr>
              <w:jc w:val="center"/>
              <w:rPr>
                <w:sz w:val="20"/>
                <w:szCs w:val="20"/>
              </w:rPr>
            </w:pPr>
            <w:r w:rsidRPr="008B6A75">
              <w:rPr>
                <w:sz w:val="20"/>
                <w:szCs w:val="20"/>
              </w:rPr>
              <w:t>02</w:t>
            </w:r>
          </w:p>
        </w:tc>
        <w:tc>
          <w:tcPr>
            <w:tcW w:w="1516" w:type="dxa"/>
            <w:tcBorders>
              <w:top w:val="nil"/>
              <w:left w:val="single" w:sz="4" w:space="0" w:color="auto"/>
              <w:bottom w:val="single" w:sz="4" w:space="0" w:color="auto"/>
              <w:right w:val="nil"/>
            </w:tcBorders>
            <w:shd w:val="clear" w:color="auto" w:fill="auto"/>
            <w:noWrap/>
            <w:vAlign w:val="center"/>
            <w:hideMark/>
          </w:tcPr>
          <w:p w14:paraId="7970B8BD" w14:textId="77777777" w:rsidR="00387142" w:rsidRPr="008B6A75" w:rsidRDefault="00387142" w:rsidP="00387142">
            <w:pPr>
              <w:jc w:val="center"/>
              <w:rPr>
                <w:sz w:val="20"/>
                <w:szCs w:val="20"/>
              </w:rPr>
            </w:pPr>
            <w:r w:rsidRPr="008B6A75">
              <w:rPr>
                <w:sz w:val="20"/>
                <w:szCs w:val="20"/>
              </w:rPr>
              <w:t>11.0.00.70750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46C119C" w14:textId="77777777" w:rsidR="00387142" w:rsidRPr="008B6A75" w:rsidRDefault="00387142" w:rsidP="00387142">
            <w:pPr>
              <w:jc w:val="center"/>
              <w:rPr>
                <w:sz w:val="20"/>
                <w:szCs w:val="20"/>
              </w:rPr>
            </w:pPr>
            <w:r w:rsidRPr="008B6A75">
              <w:rPr>
                <w:sz w:val="20"/>
                <w:szCs w:val="20"/>
              </w:rPr>
              <w:t>520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0EC7DB0" w14:textId="77777777" w:rsidR="00387142" w:rsidRPr="008B6A75" w:rsidRDefault="00387142" w:rsidP="00387142">
            <w:pPr>
              <w:jc w:val="right"/>
              <w:rPr>
                <w:sz w:val="20"/>
                <w:szCs w:val="20"/>
              </w:rPr>
            </w:pPr>
            <w:r w:rsidRPr="008B6A75">
              <w:rPr>
                <w:sz w:val="20"/>
                <w:szCs w:val="20"/>
              </w:rPr>
              <w:t>50 599 900,00</w:t>
            </w:r>
          </w:p>
        </w:tc>
        <w:tc>
          <w:tcPr>
            <w:tcW w:w="992" w:type="dxa"/>
            <w:tcBorders>
              <w:top w:val="nil"/>
              <w:left w:val="single" w:sz="4" w:space="0" w:color="auto"/>
              <w:bottom w:val="single" w:sz="4" w:space="0" w:color="auto"/>
              <w:right w:val="nil"/>
            </w:tcBorders>
            <w:shd w:val="clear" w:color="auto" w:fill="auto"/>
            <w:vAlign w:val="center"/>
            <w:hideMark/>
          </w:tcPr>
          <w:p w14:paraId="3B9EB80F" w14:textId="77777777" w:rsidR="00387142" w:rsidRPr="008B6A75" w:rsidRDefault="00387142" w:rsidP="00387142">
            <w:pPr>
              <w:jc w:val="right"/>
              <w:rPr>
                <w:sz w:val="20"/>
                <w:szCs w:val="20"/>
              </w:rPr>
            </w:pPr>
            <w:r w:rsidRPr="008B6A75">
              <w:rPr>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5307D94F" w14:textId="77777777" w:rsidR="00387142" w:rsidRPr="008B6A75" w:rsidRDefault="00387142" w:rsidP="00387142">
            <w:pPr>
              <w:jc w:val="right"/>
              <w:rPr>
                <w:sz w:val="20"/>
                <w:szCs w:val="20"/>
              </w:rPr>
            </w:pPr>
            <w:r w:rsidRPr="008B6A75">
              <w:rPr>
                <w:sz w:val="20"/>
                <w:szCs w:val="20"/>
              </w:rPr>
              <w:t>0,00</w:t>
            </w:r>
          </w:p>
        </w:tc>
      </w:tr>
      <w:tr w:rsidR="00387142" w:rsidRPr="008B6A75" w14:paraId="69BEEB25" w14:textId="77777777" w:rsidTr="00387142">
        <w:trPr>
          <w:trHeight w:val="345"/>
        </w:trPr>
        <w:tc>
          <w:tcPr>
            <w:tcW w:w="3261" w:type="dxa"/>
            <w:tcBorders>
              <w:top w:val="nil"/>
              <w:left w:val="single" w:sz="4" w:space="0" w:color="auto"/>
              <w:bottom w:val="single" w:sz="4" w:space="0" w:color="auto"/>
              <w:right w:val="nil"/>
            </w:tcBorders>
            <w:shd w:val="clear" w:color="auto" w:fill="auto"/>
            <w:vAlign w:val="center"/>
            <w:hideMark/>
          </w:tcPr>
          <w:p w14:paraId="046644F8" w14:textId="77777777" w:rsidR="00387142" w:rsidRPr="008B6A75" w:rsidRDefault="00387142" w:rsidP="00387142">
            <w:pPr>
              <w:rPr>
                <w:bCs/>
                <w:sz w:val="20"/>
                <w:szCs w:val="20"/>
              </w:rPr>
            </w:pPr>
            <w:r w:rsidRPr="008B6A75">
              <w:rPr>
                <w:bCs/>
                <w:sz w:val="20"/>
                <w:szCs w:val="20"/>
              </w:rPr>
              <w:t>Региональный проект "Спорт - норма жизни"</w:t>
            </w:r>
          </w:p>
        </w:tc>
        <w:tc>
          <w:tcPr>
            <w:tcW w:w="720" w:type="dxa"/>
            <w:tcBorders>
              <w:top w:val="nil"/>
              <w:left w:val="single" w:sz="4" w:space="0" w:color="auto"/>
              <w:bottom w:val="single" w:sz="4" w:space="0" w:color="auto"/>
              <w:right w:val="nil"/>
            </w:tcBorders>
            <w:shd w:val="clear" w:color="auto" w:fill="auto"/>
            <w:noWrap/>
            <w:vAlign w:val="center"/>
            <w:hideMark/>
          </w:tcPr>
          <w:p w14:paraId="6270813C" w14:textId="77777777" w:rsidR="00387142" w:rsidRPr="008B6A75" w:rsidRDefault="00387142" w:rsidP="00387142">
            <w:pPr>
              <w:jc w:val="center"/>
              <w:rPr>
                <w:bCs/>
                <w:sz w:val="20"/>
                <w:szCs w:val="20"/>
              </w:rPr>
            </w:pPr>
            <w:r w:rsidRPr="008B6A75">
              <w:rPr>
                <w:bCs/>
                <w:sz w:val="20"/>
                <w:szCs w:val="20"/>
              </w:rPr>
              <w:t>11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11ABBE8" w14:textId="77777777" w:rsidR="00387142" w:rsidRPr="008B6A75" w:rsidRDefault="00387142" w:rsidP="00387142">
            <w:pPr>
              <w:jc w:val="center"/>
              <w:rPr>
                <w:bCs/>
                <w:sz w:val="20"/>
                <w:szCs w:val="20"/>
              </w:rPr>
            </w:pPr>
            <w:r w:rsidRPr="008B6A75">
              <w:rPr>
                <w:bCs/>
                <w:sz w:val="20"/>
                <w:szCs w:val="20"/>
              </w:rPr>
              <w:t>02</w:t>
            </w:r>
          </w:p>
        </w:tc>
        <w:tc>
          <w:tcPr>
            <w:tcW w:w="1516" w:type="dxa"/>
            <w:tcBorders>
              <w:top w:val="nil"/>
              <w:left w:val="single" w:sz="4" w:space="0" w:color="auto"/>
              <w:bottom w:val="single" w:sz="4" w:space="0" w:color="auto"/>
              <w:right w:val="nil"/>
            </w:tcBorders>
            <w:shd w:val="clear" w:color="auto" w:fill="auto"/>
            <w:noWrap/>
            <w:vAlign w:val="center"/>
            <w:hideMark/>
          </w:tcPr>
          <w:p w14:paraId="49A77658" w14:textId="77777777" w:rsidR="00387142" w:rsidRPr="008B6A75" w:rsidRDefault="00387142" w:rsidP="00387142">
            <w:pPr>
              <w:jc w:val="center"/>
              <w:rPr>
                <w:bCs/>
                <w:sz w:val="20"/>
                <w:szCs w:val="20"/>
              </w:rPr>
            </w:pPr>
            <w:r w:rsidRPr="008B6A75">
              <w:rPr>
                <w:bCs/>
                <w:sz w:val="20"/>
                <w:szCs w:val="20"/>
              </w:rPr>
              <w:t>11.0.P5.00000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873D740"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F157E74" w14:textId="77777777" w:rsidR="00387142" w:rsidRPr="008B6A75" w:rsidRDefault="00387142" w:rsidP="00387142">
            <w:pPr>
              <w:jc w:val="right"/>
              <w:rPr>
                <w:bCs/>
                <w:sz w:val="20"/>
                <w:szCs w:val="20"/>
              </w:rPr>
            </w:pPr>
            <w:r w:rsidRPr="008B6A75">
              <w:rPr>
                <w:bCs/>
                <w:sz w:val="20"/>
                <w:szCs w:val="20"/>
              </w:rPr>
              <w:t>2 041 027,00</w:t>
            </w:r>
          </w:p>
        </w:tc>
        <w:tc>
          <w:tcPr>
            <w:tcW w:w="992" w:type="dxa"/>
            <w:tcBorders>
              <w:top w:val="nil"/>
              <w:left w:val="single" w:sz="4" w:space="0" w:color="auto"/>
              <w:bottom w:val="single" w:sz="4" w:space="0" w:color="auto"/>
              <w:right w:val="nil"/>
            </w:tcBorders>
            <w:shd w:val="clear" w:color="auto" w:fill="auto"/>
            <w:vAlign w:val="center"/>
            <w:hideMark/>
          </w:tcPr>
          <w:p w14:paraId="06A0F792" w14:textId="77777777" w:rsidR="00387142" w:rsidRPr="008B6A75" w:rsidRDefault="00387142" w:rsidP="00387142">
            <w:pPr>
              <w:jc w:val="right"/>
              <w:rPr>
                <w:bCs/>
                <w:sz w:val="20"/>
                <w:szCs w:val="20"/>
              </w:rPr>
            </w:pPr>
            <w:r w:rsidRPr="008B6A75">
              <w:rPr>
                <w:bCs/>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68463DD4" w14:textId="77777777" w:rsidR="00387142" w:rsidRPr="008B6A75" w:rsidRDefault="00387142" w:rsidP="00387142">
            <w:pPr>
              <w:jc w:val="right"/>
              <w:rPr>
                <w:bCs/>
                <w:sz w:val="20"/>
                <w:szCs w:val="20"/>
              </w:rPr>
            </w:pPr>
            <w:r w:rsidRPr="008B6A75">
              <w:rPr>
                <w:bCs/>
                <w:sz w:val="20"/>
                <w:szCs w:val="20"/>
              </w:rPr>
              <w:t>0,00</w:t>
            </w:r>
          </w:p>
        </w:tc>
      </w:tr>
      <w:tr w:rsidR="00387142" w:rsidRPr="008B6A75" w14:paraId="0AE897B0" w14:textId="77777777" w:rsidTr="00387142">
        <w:trPr>
          <w:trHeight w:val="1440"/>
        </w:trPr>
        <w:tc>
          <w:tcPr>
            <w:tcW w:w="3261" w:type="dxa"/>
            <w:tcBorders>
              <w:top w:val="nil"/>
              <w:left w:val="single" w:sz="4" w:space="0" w:color="auto"/>
              <w:bottom w:val="single" w:sz="4" w:space="0" w:color="auto"/>
              <w:right w:val="nil"/>
            </w:tcBorders>
            <w:shd w:val="clear" w:color="auto" w:fill="auto"/>
            <w:vAlign w:val="center"/>
            <w:hideMark/>
          </w:tcPr>
          <w:p w14:paraId="5C4FD151" w14:textId="77777777" w:rsidR="00387142" w:rsidRPr="008B6A75" w:rsidRDefault="00387142" w:rsidP="00387142">
            <w:pPr>
              <w:rPr>
                <w:bCs/>
                <w:sz w:val="20"/>
                <w:szCs w:val="20"/>
              </w:rPr>
            </w:pPr>
            <w:r w:rsidRPr="008B6A75">
              <w:rPr>
                <w:bCs/>
                <w:sz w:val="20"/>
                <w:szCs w:val="20"/>
              </w:rPr>
              <w:t>Подготовка и проведение физкультурных и комплексных физкультурных мероприятий государственной программы Новосибирской области "Развитие физической культуры и спорта в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14:paraId="7D1DF952" w14:textId="77777777" w:rsidR="00387142" w:rsidRPr="008B6A75" w:rsidRDefault="00387142" w:rsidP="00387142">
            <w:pPr>
              <w:jc w:val="center"/>
              <w:rPr>
                <w:bCs/>
                <w:sz w:val="20"/>
                <w:szCs w:val="20"/>
              </w:rPr>
            </w:pPr>
            <w:r w:rsidRPr="008B6A75">
              <w:rPr>
                <w:bCs/>
                <w:sz w:val="20"/>
                <w:szCs w:val="20"/>
              </w:rPr>
              <w:t>11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1F2CA62" w14:textId="77777777" w:rsidR="00387142" w:rsidRPr="008B6A75" w:rsidRDefault="00387142" w:rsidP="00387142">
            <w:pPr>
              <w:jc w:val="center"/>
              <w:rPr>
                <w:bCs/>
                <w:sz w:val="20"/>
                <w:szCs w:val="20"/>
              </w:rPr>
            </w:pPr>
            <w:r w:rsidRPr="008B6A75">
              <w:rPr>
                <w:bCs/>
                <w:sz w:val="20"/>
                <w:szCs w:val="20"/>
              </w:rPr>
              <w:t>02</w:t>
            </w:r>
          </w:p>
        </w:tc>
        <w:tc>
          <w:tcPr>
            <w:tcW w:w="1516" w:type="dxa"/>
            <w:tcBorders>
              <w:top w:val="nil"/>
              <w:left w:val="single" w:sz="4" w:space="0" w:color="auto"/>
              <w:bottom w:val="single" w:sz="4" w:space="0" w:color="auto"/>
              <w:right w:val="nil"/>
            </w:tcBorders>
            <w:shd w:val="clear" w:color="auto" w:fill="auto"/>
            <w:noWrap/>
            <w:vAlign w:val="center"/>
            <w:hideMark/>
          </w:tcPr>
          <w:p w14:paraId="5A4AD45D" w14:textId="77777777" w:rsidR="00387142" w:rsidRPr="008B6A75" w:rsidRDefault="00387142" w:rsidP="00387142">
            <w:pPr>
              <w:jc w:val="center"/>
              <w:rPr>
                <w:bCs/>
                <w:sz w:val="20"/>
                <w:szCs w:val="20"/>
              </w:rPr>
            </w:pPr>
            <w:r w:rsidRPr="008B6A75">
              <w:rPr>
                <w:bCs/>
                <w:sz w:val="20"/>
                <w:szCs w:val="20"/>
              </w:rPr>
              <w:t>11.0.P5.70270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3C1C790"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C118647" w14:textId="77777777" w:rsidR="00387142" w:rsidRPr="008B6A75" w:rsidRDefault="00387142" w:rsidP="00387142">
            <w:pPr>
              <w:jc w:val="right"/>
              <w:rPr>
                <w:bCs/>
                <w:sz w:val="20"/>
                <w:szCs w:val="20"/>
              </w:rPr>
            </w:pPr>
            <w:r w:rsidRPr="008B6A75">
              <w:rPr>
                <w:bCs/>
                <w:sz w:val="20"/>
                <w:szCs w:val="20"/>
              </w:rPr>
              <w:t>2 041 027,00</w:t>
            </w:r>
          </w:p>
        </w:tc>
        <w:tc>
          <w:tcPr>
            <w:tcW w:w="992" w:type="dxa"/>
            <w:tcBorders>
              <w:top w:val="nil"/>
              <w:left w:val="single" w:sz="4" w:space="0" w:color="auto"/>
              <w:bottom w:val="single" w:sz="4" w:space="0" w:color="auto"/>
              <w:right w:val="nil"/>
            </w:tcBorders>
            <w:shd w:val="clear" w:color="auto" w:fill="auto"/>
            <w:vAlign w:val="center"/>
            <w:hideMark/>
          </w:tcPr>
          <w:p w14:paraId="075916A8" w14:textId="77777777" w:rsidR="00387142" w:rsidRPr="008B6A75" w:rsidRDefault="00387142" w:rsidP="00387142">
            <w:pPr>
              <w:jc w:val="right"/>
              <w:rPr>
                <w:bCs/>
                <w:sz w:val="20"/>
                <w:szCs w:val="20"/>
              </w:rPr>
            </w:pPr>
            <w:r w:rsidRPr="008B6A75">
              <w:rPr>
                <w:bCs/>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7FC6DBBB" w14:textId="77777777" w:rsidR="00387142" w:rsidRPr="008B6A75" w:rsidRDefault="00387142" w:rsidP="00387142">
            <w:pPr>
              <w:jc w:val="right"/>
              <w:rPr>
                <w:bCs/>
                <w:sz w:val="20"/>
                <w:szCs w:val="20"/>
              </w:rPr>
            </w:pPr>
            <w:r w:rsidRPr="008B6A75">
              <w:rPr>
                <w:bCs/>
                <w:sz w:val="20"/>
                <w:szCs w:val="20"/>
              </w:rPr>
              <w:t>0,00</w:t>
            </w:r>
          </w:p>
        </w:tc>
      </w:tr>
      <w:tr w:rsidR="00387142" w:rsidRPr="008B6A75" w14:paraId="06D74CEF" w14:textId="77777777" w:rsidTr="00387142">
        <w:trPr>
          <w:trHeight w:val="870"/>
        </w:trPr>
        <w:tc>
          <w:tcPr>
            <w:tcW w:w="3261" w:type="dxa"/>
            <w:tcBorders>
              <w:top w:val="nil"/>
              <w:left w:val="single" w:sz="4" w:space="0" w:color="auto"/>
              <w:bottom w:val="single" w:sz="4" w:space="0" w:color="auto"/>
              <w:right w:val="nil"/>
            </w:tcBorders>
            <w:shd w:val="clear" w:color="auto" w:fill="auto"/>
            <w:vAlign w:val="center"/>
            <w:hideMark/>
          </w:tcPr>
          <w:p w14:paraId="180FED11" w14:textId="77777777" w:rsidR="00387142" w:rsidRPr="008B6A75" w:rsidRDefault="00387142" w:rsidP="00387142">
            <w:pPr>
              <w:rPr>
                <w:sz w:val="20"/>
                <w:szCs w:val="20"/>
              </w:rPr>
            </w:pPr>
            <w:r w:rsidRPr="008B6A75">
              <w:rPr>
                <w:sz w:val="20"/>
                <w:szCs w:val="20"/>
              </w:rPr>
              <w:t>Предоставление субсидий бюджетным, автономным учреждениям и иным некоммерческим организациям</w:t>
            </w:r>
          </w:p>
        </w:tc>
        <w:tc>
          <w:tcPr>
            <w:tcW w:w="720" w:type="dxa"/>
            <w:tcBorders>
              <w:top w:val="nil"/>
              <w:left w:val="single" w:sz="4" w:space="0" w:color="auto"/>
              <w:bottom w:val="single" w:sz="4" w:space="0" w:color="auto"/>
              <w:right w:val="nil"/>
            </w:tcBorders>
            <w:shd w:val="clear" w:color="auto" w:fill="auto"/>
            <w:noWrap/>
            <w:vAlign w:val="center"/>
            <w:hideMark/>
          </w:tcPr>
          <w:p w14:paraId="36066C82" w14:textId="77777777" w:rsidR="00387142" w:rsidRPr="008B6A75" w:rsidRDefault="00387142" w:rsidP="00387142">
            <w:pPr>
              <w:jc w:val="center"/>
              <w:rPr>
                <w:sz w:val="20"/>
                <w:szCs w:val="20"/>
              </w:rPr>
            </w:pPr>
            <w:r w:rsidRPr="008B6A75">
              <w:rPr>
                <w:sz w:val="20"/>
                <w:szCs w:val="20"/>
              </w:rPr>
              <w:t>11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F7D8E12" w14:textId="77777777" w:rsidR="00387142" w:rsidRPr="008B6A75" w:rsidRDefault="00387142" w:rsidP="00387142">
            <w:pPr>
              <w:jc w:val="center"/>
              <w:rPr>
                <w:sz w:val="20"/>
                <w:szCs w:val="20"/>
              </w:rPr>
            </w:pPr>
            <w:r w:rsidRPr="008B6A75">
              <w:rPr>
                <w:sz w:val="20"/>
                <w:szCs w:val="20"/>
              </w:rPr>
              <w:t>02</w:t>
            </w:r>
          </w:p>
        </w:tc>
        <w:tc>
          <w:tcPr>
            <w:tcW w:w="1516" w:type="dxa"/>
            <w:tcBorders>
              <w:top w:val="nil"/>
              <w:left w:val="single" w:sz="4" w:space="0" w:color="auto"/>
              <w:bottom w:val="single" w:sz="4" w:space="0" w:color="auto"/>
              <w:right w:val="nil"/>
            </w:tcBorders>
            <w:shd w:val="clear" w:color="auto" w:fill="auto"/>
            <w:noWrap/>
            <w:vAlign w:val="center"/>
            <w:hideMark/>
          </w:tcPr>
          <w:p w14:paraId="7EC01004" w14:textId="77777777" w:rsidR="00387142" w:rsidRPr="008B6A75" w:rsidRDefault="00387142" w:rsidP="00387142">
            <w:pPr>
              <w:jc w:val="center"/>
              <w:rPr>
                <w:sz w:val="20"/>
                <w:szCs w:val="20"/>
              </w:rPr>
            </w:pPr>
            <w:r w:rsidRPr="008B6A75">
              <w:rPr>
                <w:sz w:val="20"/>
                <w:szCs w:val="20"/>
              </w:rPr>
              <w:t>11.0.P5.70270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9337499" w14:textId="77777777" w:rsidR="00387142" w:rsidRPr="008B6A75" w:rsidRDefault="00387142" w:rsidP="00387142">
            <w:pPr>
              <w:jc w:val="center"/>
              <w:rPr>
                <w:sz w:val="20"/>
                <w:szCs w:val="20"/>
              </w:rPr>
            </w:pPr>
            <w:r w:rsidRPr="008B6A75">
              <w:rPr>
                <w:sz w:val="20"/>
                <w:szCs w:val="20"/>
              </w:rPr>
              <w:t>600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60CD0E6" w14:textId="77777777" w:rsidR="00387142" w:rsidRPr="008B6A75" w:rsidRDefault="00387142" w:rsidP="00387142">
            <w:pPr>
              <w:jc w:val="right"/>
              <w:rPr>
                <w:sz w:val="20"/>
                <w:szCs w:val="20"/>
              </w:rPr>
            </w:pPr>
            <w:r w:rsidRPr="008B6A75">
              <w:rPr>
                <w:sz w:val="20"/>
                <w:szCs w:val="20"/>
              </w:rPr>
              <w:t>2 041 027,00</w:t>
            </w:r>
          </w:p>
        </w:tc>
        <w:tc>
          <w:tcPr>
            <w:tcW w:w="992" w:type="dxa"/>
            <w:tcBorders>
              <w:top w:val="nil"/>
              <w:left w:val="single" w:sz="4" w:space="0" w:color="auto"/>
              <w:bottom w:val="single" w:sz="4" w:space="0" w:color="auto"/>
              <w:right w:val="nil"/>
            </w:tcBorders>
            <w:shd w:val="clear" w:color="auto" w:fill="auto"/>
            <w:vAlign w:val="center"/>
            <w:hideMark/>
          </w:tcPr>
          <w:p w14:paraId="24B6CDB1" w14:textId="77777777" w:rsidR="00387142" w:rsidRPr="008B6A75" w:rsidRDefault="00387142" w:rsidP="00387142">
            <w:pPr>
              <w:jc w:val="right"/>
              <w:rPr>
                <w:sz w:val="20"/>
                <w:szCs w:val="20"/>
              </w:rPr>
            </w:pPr>
            <w:r w:rsidRPr="008B6A75">
              <w:rPr>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13FDB361" w14:textId="77777777" w:rsidR="00387142" w:rsidRPr="008B6A75" w:rsidRDefault="00387142" w:rsidP="00387142">
            <w:pPr>
              <w:jc w:val="right"/>
              <w:rPr>
                <w:sz w:val="20"/>
                <w:szCs w:val="20"/>
              </w:rPr>
            </w:pPr>
            <w:r w:rsidRPr="008B6A75">
              <w:rPr>
                <w:sz w:val="20"/>
                <w:szCs w:val="20"/>
              </w:rPr>
              <w:t>0,00</w:t>
            </w:r>
          </w:p>
        </w:tc>
      </w:tr>
      <w:tr w:rsidR="00387142" w:rsidRPr="008B6A75" w14:paraId="04739BB7" w14:textId="77777777" w:rsidTr="00387142">
        <w:trPr>
          <w:trHeight w:val="345"/>
        </w:trPr>
        <w:tc>
          <w:tcPr>
            <w:tcW w:w="3261" w:type="dxa"/>
            <w:tcBorders>
              <w:top w:val="nil"/>
              <w:left w:val="single" w:sz="4" w:space="0" w:color="auto"/>
              <w:bottom w:val="single" w:sz="4" w:space="0" w:color="auto"/>
              <w:right w:val="nil"/>
            </w:tcBorders>
            <w:shd w:val="clear" w:color="auto" w:fill="auto"/>
            <w:vAlign w:val="center"/>
            <w:hideMark/>
          </w:tcPr>
          <w:p w14:paraId="0CAF2540" w14:textId="77777777" w:rsidR="00387142" w:rsidRPr="008B6A75" w:rsidRDefault="00387142" w:rsidP="00387142">
            <w:pPr>
              <w:rPr>
                <w:sz w:val="20"/>
                <w:szCs w:val="20"/>
              </w:rPr>
            </w:pPr>
            <w:r w:rsidRPr="008B6A75">
              <w:rPr>
                <w:sz w:val="20"/>
                <w:szCs w:val="20"/>
              </w:rPr>
              <w:t>Субсидии бюджетным учреждениям</w:t>
            </w:r>
          </w:p>
        </w:tc>
        <w:tc>
          <w:tcPr>
            <w:tcW w:w="720" w:type="dxa"/>
            <w:tcBorders>
              <w:top w:val="nil"/>
              <w:left w:val="single" w:sz="4" w:space="0" w:color="auto"/>
              <w:bottom w:val="single" w:sz="4" w:space="0" w:color="auto"/>
              <w:right w:val="nil"/>
            </w:tcBorders>
            <w:shd w:val="clear" w:color="auto" w:fill="auto"/>
            <w:noWrap/>
            <w:vAlign w:val="center"/>
            <w:hideMark/>
          </w:tcPr>
          <w:p w14:paraId="3634B31C" w14:textId="77777777" w:rsidR="00387142" w:rsidRPr="008B6A75" w:rsidRDefault="00387142" w:rsidP="00387142">
            <w:pPr>
              <w:jc w:val="center"/>
              <w:rPr>
                <w:sz w:val="20"/>
                <w:szCs w:val="20"/>
              </w:rPr>
            </w:pPr>
            <w:r w:rsidRPr="008B6A75">
              <w:rPr>
                <w:sz w:val="20"/>
                <w:szCs w:val="20"/>
              </w:rPr>
              <w:t>11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EC80F1E" w14:textId="77777777" w:rsidR="00387142" w:rsidRPr="008B6A75" w:rsidRDefault="00387142" w:rsidP="00387142">
            <w:pPr>
              <w:jc w:val="center"/>
              <w:rPr>
                <w:sz w:val="20"/>
                <w:szCs w:val="20"/>
              </w:rPr>
            </w:pPr>
            <w:r w:rsidRPr="008B6A75">
              <w:rPr>
                <w:sz w:val="20"/>
                <w:szCs w:val="20"/>
              </w:rPr>
              <w:t>02</w:t>
            </w:r>
          </w:p>
        </w:tc>
        <w:tc>
          <w:tcPr>
            <w:tcW w:w="1516" w:type="dxa"/>
            <w:tcBorders>
              <w:top w:val="nil"/>
              <w:left w:val="single" w:sz="4" w:space="0" w:color="auto"/>
              <w:bottom w:val="single" w:sz="4" w:space="0" w:color="auto"/>
              <w:right w:val="nil"/>
            </w:tcBorders>
            <w:shd w:val="clear" w:color="auto" w:fill="auto"/>
            <w:noWrap/>
            <w:vAlign w:val="center"/>
            <w:hideMark/>
          </w:tcPr>
          <w:p w14:paraId="7BF8B27C" w14:textId="77777777" w:rsidR="00387142" w:rsidRPr="008B6A75" w:rsidRDefault="00387142" w:rsidP="00387142">
            <w:pPr>
              <w:jc w:val="center"/>
              <w:rPr>
                <w:sz w:val="20"/>
                <w:szCs w:val="20"/>
              </w:rPr>
            </w:pPr>
            <w:r w:rsidRPr="008B6A75">
              <w:rPr>
                <w:sz w:val="20"/>
                <w:szCs w:val="20"/>
              </w:rPr>
              <w:t>11.0.P5.70270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EE42EEB" w14:textId="77777777" w:rsidR="00387142" w:rsidRPr="008B6A75" w:rsidRDefault="00387142" w:rsidP="00387142">
            <w:pPr>
              <w:jc w:val="center"/>
              <w:rPr>
                <w:sz w:val="20"/>
                <w:szCs w:val="20"/>
              </w:rPr>
            </w:pPr>
            <w:r w:rsidRPr="008B6A75">
              <w:rPr>
                <w:sz w:val="20"/>
                <w:szCs w:val="20"/>
              </w:rPr>
              <w:t>610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2E8A830" w14:textId="77777777" w:rsidR="00387142" w:rsidRPr="008B6A75" w:rsidRDefault="00387142" w:rsidP="00387142">
            <w:pPr>
              <w:jc w:val="right"/>
              <w:rPr>
                <w:sz w:val="20"/>
                <w:szCs w:val="20"/>
              </w:rPr>
            </w:pPr>
            <w:r w:rsidRPr="008B6A75">
              <w:rPr>
                <w:sz w:val="20"/>
                <w:szCs w:val="20"/>
              </w:rPr>
              <w:t>2 041 027,00</w:t>
            </w:r>
          </w:p>
        </w:tc>
        <w:tc>
          <w:tcPr>
            <w:tcW w:w="992" w:type="dxa"/>
            <w:tcBorders>
              <w:top w:val="nil"/>
              <w:left w:val="single" w:sz="4" w:space="0" w:color="auto"/>
              <w:bottom w:val="single" w:sz="4" w:space="0" w:color="auto"/>
              <w:right w:val="nil"/>
            </w:tcBorders>
            <w:shd w:val="clear" w:color="auto" w:fill="auto"/>
            <w:vAlign w:val="center"/>
            <w:hideMark/>
          </w:tcPr>
          <w:p w14:paraId="128929D5" w14:textId="77777777" w:rsidR="00387142" w:rsidRPr="008B6A75" w:rsidRDefault="00387142" w:rsidP="00387142">
            <w:pPr>
              <w:jc w:val="right"/>
              <w:rPr>
                <w:sz w:val="20"/>
                <w:szCs w:val="20"/>
              </w:rPr>
            </w:pPr>
            <w:r w:rsidRPr="008B6A75">
              <w:rPr>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3316958A" w14:textId="77777777" w:rsidR="00387142" w:rsidRPr="008B6A75" w:rsidRDefault="00387142" w:rsidP="00387142">
            <w:pPr>
              <w:jc w:val="right"/>
              <w:rPr>
                <w:sz w:val="20"/>
                <w:szCs w:val="20"/>
              </w:rPr>
            </w:pPr>
            <w:r w:rsidRPr="008B6A75">
              <w:rPr>
                <w:sz w:val="20"/>
                <w:szCs w:val="20"/>
              </w:rPr>
              <w:t>0,00</w:t>
            </w:r>
          </w:p>
        </w:tc>
      </w:tr>
      <w:tr w:rsidR="00387142" w:rsidRPr="008B6A75" w14:paraId="1434D0A2" w14:textId="77777777" w:rsidTr="00387142">
        <w:trPr>
          <w:trHeight w:val="345"/>
        </w:trPr>
        <w:tc>
          <w:tcPr>
            <w:tcW w:w="3261" w:type="dxa"/>
            <w:tcBorders>
              <w:top w:val="nil"/>
              <w:left w:val="single" w:sz="4" w:space="0" w:color="auto"/>
              <w:bottom w:val="single" w:sz="4" w:space="0" w:color="auto"/>
              <w:right w:val="nil"/>
            </w:tcBorders>
            <w:shd w:val="clear" w:color="auto" w:fill="auto"/>
            <w:vAlign w:val="center"/>
            <w:hideMark/>
          </w:tcPr>
          <w:p w14:paraId="62296105" w14:textId="77777777" w:rsidR="00387142" w:rsidRPr="008B6A75" w:rsidRDefault="00387142" w:rsidP="00387142">
            <w:pPr>
              <w:rPr>
                <w:bCs/>
                <w:sz w:val="20"/>
                <w:szCs w:val="20"/>
              </w:rPr>
            </w:pPr>
            <w:r w:rsidRPr="008B6A75">
              <w:rPr>
                <w:bCs/>
                <w:sz w:val="20"/>
                <w:szCs w:val="20"/>
              </w:rPr>
              <w:t>Спорт высших достижений</w:t>
            </w:r>
          </w:p>
        </w:tc>
        <w:tc>
          <w:tcPr>
            <w:tcW w:w="720" w:type="dxa"/>
            <w:tcBorders>
              <w:top w:val="nil"/>
              <w:left w:val="single" w:sz="4" w:space="0" w:color="auto"/>
              <w:bottom w:val="single" w:sz="4" w:space="0" w:color="auto"/>
              <w:right w:val="nil"/>
            </w:tcBorders>
            <w:shd w:val="clear" w:color="auto" w:fill="auto"/>
            <w:noWrap/>
            <w:vAlign w:val="center"/>
            <w:hideMark/>
          </w:tcPr>
          <w:p w14:paraId="687BD6BA" w14:textId="77777777" w:rsidR="00387142" w:rsidRPr="008B6A75" w:rsidRDefault="00387142" w:rsidP="00387142">
            <w:pPr>
              <w:jc w:val="center"/>
              <w:rPr>
                <w:bCs/>
                <w:sz w:val="20"/>
                <w:szCs w:val="20"/>
              </w:rPr>
            </w:pPr>
            <w:r w:rsidRPr="008B6A75">
              <w:rPr>
                <w:bCs/>
                <w:sz w:val="20"/>
                <w:szCs w:val="20"/>
              </w:rPr>
              <w:t>11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1E99C92" w14:textId="77777777" w:rsidR="00387142" w:rsidRPr="008B6A75" w:rsidRDefault="00387142" w:rsidP="00387142">
            <w:pPr>
              <w:jc w:val="center"/>
              <w:rPr>
                <w:bCs/>
                <w:sz w:val="20"/>
                <w:szCs w:val="20"/>
              </w:rPr>
            </w:pPr>
            <w:r w:rsidRPr="008B6A75">
              <w:rPr>
                <w:bCs/>
                <w:sz w:val="20"/>
                <w:szCs w:val="20"/>
              </w:rPr>
              <w:t>03</w:t>
            </w:r>
          </w:p>
        </w:tc>
        <w:tc>
          <w:tcPr>
            <w:tcW w:w="1516" w:type="dxa"/>
            <w:tcBorders>
              <w:top w:val="nil"/>
              <w:left w:val="single" w:sz="4" w:space="0" w:color="auto"/>
              <w:bottom w:val="single" w:sz="4" w:space="0" w:color="auto"/>
              <w:right w:val="nil"/>
            </w:tcBorders>
            <w:shd w:val="clear" w:color="auto" w:fill="auto"/>
            <w:noWrap/>
            <w:vAlign w:val="center"/>
            <w:hideMark/>
          </w:tcPr>
          <w:p w14:paraId="2A2888AC" w14:textId="77777777" w:rsidR="00387142" w:rsidRPr="008B6A75" w:rsidRDefault="00387142" w:rsidP="00387142">
            <w:pPr>
              <w:jc w:val="center"/>
              <w:rPr>
                <w:bCs/>
                <w:sz w:val="20"/>
                <w:szCs w:val="20"/>
              </w:rPr>
            </w:pPr>
            <w:r w:rsidRPr="008B6A75">
              <w:rPr>
                <w:bCs/>
                <w:sz w:val="20"/>
                <w:szCs w:val="20"/>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00FFD3B"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072BCF7" w14:textId="77777777" w:rsidR="00387142" w:rsidRPr="008B6A75" w:rsidRDefault="00387142" w:rsidP="00387142">
            <w:pPr>
              <w:jc w:val="right"/>
              <w:rPr>
                <w:bCs/>
                <w:sz w:val="20"/>
                <w:szCs w:val="20"/>
              </w:rPr>
            </w:pPr>
            <w:r w:rsidRPr="008B6A75">
              <w:rPr>
                <w:bCs/>
                <w:sz w:val="20"/>
                <w:szCs w:val="20"/>
              </w:rPr>
              <w:t>5 341 089,33</w:t>
            </w:r>
          </w:p>
        </w:tc>
        <w:tc>
          <w:tcPr>
            <w:tcW w:w="992" w:type="dxa"/>
            <w:tcBorders>
              <w:top w:val="nil"/>
              <w:left w:val="single" w:sz="4" w:space="0" w:color="auto"/>
              <w:bottom w:val="single" w:sz="4" w:space="0" w:color="auto"/>
              <w:right w:val="nil"/>
            </w:tcBorders>
            <w:shd w:val="clear" w:color="auto" w:fill="auto"/>
            <w:vAlign w:val="center"/>
            <w:hideMark/>
          </w:tcPr>
          <w:p w14:paraId="3CC82560" w14:textId="77777777" w:rsidR="00387142" w:rsidRPr="008B6A75" w:rsidRDefault="00387142" w:rsidP="00387142">
            <w:pPr>
              <w:jc w:val="right"/>
              <w:rPr>
                <w:bCs/>
                <w:sz w:val="20"/>
                <w:szCs w:val="20"/>
              </w:rPr>
            </w:pPr>
            <w:r w:rsidRPr="008B6A75">
              <w:rPr>
                <w:bCs/>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654E9EF4" w14:textId="77777777" w:rsidR="00387142" w:rsidRPr="008B6A75" w:rsidRDefault="00387142" w:rsidP="00387142">
            <w:pPr>
              <w:jc w:val="right"/>
              <w:rPr>
                <w:bCs/>
                <w:sz w:val="20"/>
                <w:szCs w:val="20"/>
              </w:rPr>
            </w:pPr>
            <w:r w:rsidRPr="008B6A75">
              <w:rPr>
                <w:bCs/>
                <w:sz w:val="20"/>
                <w:szCs w:val="20"/>
              </w:rPr>
              <w:t>0,00</w:t>
            </w:r>
          </w:p>
        </w:tc>
      </w:tr>
      <w:tr w:rsidR="00387142" w:rsidRPr="008B6A75" w14:paraId="1BBCBCBA" w14:textId="77777777" w:rsidTr="00387142">
        <w:trPr>
          <w:trHeight w:val="1155"/>
        </w:trPr>
        <w:tc>
          <w:tcPr>
            <w:tcW w:w="3261" w:type="dxa"/>
            <w:tcBorders>
              <w:top w:val="nil"/>
              <w:left w:val="single" w:sz="4" w:space="0" w:color="auto"/>
              <w:bottom w:val="single" w:sz="4" w:space="0" w:color="auto"/>
              <w:right w:val="nil"/>
            </w:tcBorders>
            <w:shd w:val="clear" w:color="auto" w:fill="auto"/>
            <w:vAlign w:val="center"/>
            <w:hideMark/>
          </w:tcPr>
          <w:p w14:paraId="49349019" w14:textId="77777777" w:rsidR="00387142" w:rsidRPr="008B6A75" w:rsidRDefault="00387142" w:rsidP="00387142">
            <w:pPr>
              <w:rPr>
                <w:bCs/>
                <w:sz w:val="20"/>
                <w:szCs w:val="20"/>
              </w:rPr>
            </w:pPr>
            <w:r w:rsidRPr="008B6A75">
              <w:rPr>
                <w:bCs/>
                <w:sz w:val="20"/>
                <w:szCs w:val="20"/>
              </w:rPr>
              <w:lastRenderedPageBreak/>
              <w:t>Муниципальная программа "Развитие физической культуры и спорта в Куйбышевском районе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14:paraId="0088E03C" w14:textId="77777777" w:rsidR="00387142" w:rsidRPr="008B6A75" w:rsidRDefault="00387142" w:rsidP="00387142">
            <w:pPr>
              <w:jc w:val="center"/>
              <w:rPr>
                <w:bCs/>
                <w:sz w:val="20"/>
                <w:szCs w:val="20"/>
              </w:rPr>
            </w:pPr>
            <w:r w:rsidRPr="008B6A75">
              <w:rPr>
                <w:bCs/>
                <w:sz w:val="20"/>
                <w:szCs w:val="20"/>
              </w:rPr>
              <w:t>11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E0F0669" w14:textId="77777777" w:rsidR="00387142" w:rsidRPr="008B6A75" w:rsidRDefault="00387142" w:rsidP="00387142">
            <w:pPr>
              <w:jc w:val="center"/>
              <w:rPr>
                <w:bCs/>
                <w:sz w:val="20"/>
                <w:szCs w:val="20"/>
              </w:rPr>
            </w:pPr>
            <w:r w:rsidRPr="008B6A75">
              <w:rPr>
                <w:bCs/>
                <w:sz w:val="20"/>
                <w:szCs w:val="20"/>
              </w:rPr>
              <w:t>03</w:t>
            </w:r>
          </w:p>
        </w:tc>
        <w:tc>
          <w:tcPr>
            <w:tcW w:w="1516" w:type="dxa"/>
            <w:tcBorders>
              <w:top w:val="nil"/>
              <w:left w:val="single" w:sz="4" w:space="0" w:color="auto"/>
              <w:bottom w:val="single" w:sz="4" w:space="0" w:color="auto"/>
              <w:right w:val="nil"/>
            </w:tcBorders>
            <w:shd w:val="clear" w:color="auto" w:fill="auto"/>
            <w:noWrap/>
            <w:vAlign w:val="center"/>
            <w:hideMark/>
          </w:tcPr>
          <w:p w14:paraId="4175AEDB" w14:textId="77777777" w:rsidR="00387142" w:rsidRPr="008B6A75" w:rsidRDefault="00387142" w:rsidP="00387142">
            <w:pPr>
              <w:jc w:val="center"/>
              <w:rPr>
                <w:bCs/>
                <w:sz w:val="20"/>
                <w:szCs w:val="20"/>
              </w:rPr>
            </w:pPr>
            <w:r w:rsidRPr="008B6A75">
              <w:rPr>
                <w:bCs/>
                <w:sz w:val="20"/>
                <w:szCs w:val="20"/>
              </w:rPr>
              <w:t>11.0.00.00000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AC1DC30"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A2910AD" w14:textId="77777777" w:rsidR="00387142" w:rsidRPr="008B6A75" w:rsidRDefault="00387142" w:rsidP="00387142">
            <w:pPr>
              <w:jc w:val="right"/>
              <w:rPr>
                <w:bCs/>
                <w:sz w:val="20"/>
                <w:szCs w:val="20"/>
              </w:rPr>
            </w:pPr>
            <w:r w:rsidRPr="008B6A75">
              <w:rPr>
                <w:bCs/>
                <w:sz w:val="20"/>
                <w:szCs w:val="20"/>
              </w:rPr>
              <w:t>5 341 089,33</w:t>
            </w:r>
          </w:p>
        </w:tc>
        <w:tc>
          <w:tcPr>
            <w:tcW w:w="992" w:type="dxa"/>
            <w:tcBorders>
              <w:top w:val="nil"/>
              <w:left w:val="single" w:sz="4" w:space="0" w:color="auto"/>
              <w:bottom w:val="single" w:sz="4" w:space="0" w:color="auto"/>
              <w:right w:val="nil"/>
            </w:tcBorders>
            <w:shd w:val="clear" w:color="auto" w:fill="auto"/>
            <w:vAlign w:val="center"/>
            <w:hideMark/>
          </w:tcPr>
          <w:p w14:paraId="7471A49F" w14:textId="77777777" w:rsidR="00387142" w:rsidRPr="008B6A75" w:rsidRDefault="00387142" w:rsidP="00387142">
            <w:pPr>
              <w:jc w:val="right"/>
              <w:rPr>
                <w:bCs/>
                <w:sz w:val="20"/>
                <w:szCs w:val="20"/>
              </w:rPr>
            </w:pPr>
            <w:r w:rsidRPr="008B6A75">
              <w:rPr>
                <w:bCs/>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46C5578E" w14:textId="77777777" w:rsidR="00387142" w:rsidRPr="008B6A75" w:rsidRDefault="00387142" w:rsidP="00387142">
            <w:pPr>
              <w:jc w:val="right"/>
              <w:rPr>
                <w:bCs/>
                <w:sz w:val="20"/>
                <w:szCs w:val="20"/>
              </w:rPr>
            </w:pPr>
            <w:r w:rsidRPr="008B6A75">
              <w:rPr>
                <w:bCs/>
                <w:sz w:val="20"/>
                <w:szCs w:val="20"/>
              </w:rPr>
              <w:t>0,00</w:t>
            </w:r>
          </w:p>
        </w:tc>
      </w:tr>
      <w:tr w:rsidR="00387142" w:rsidRPr="008B6A75" w14:paraId="08053FCE" w14:textId="77777777" w:rsidTr="00387142">
        <w:trPr>
          <w:trHeight w:val="1155"/>
        </w:trPr>
        <w:tc>
          <w:tcPr>
            <w:tcW w:w="3261" w:type="dxa"/>
            <w:tcBorders>
              <w:top w:val="nil"/>
              <w:left w:val="single" w:sz="4" w:space="0" w:color="auto"/>
              <w:bottom w:val="single" w:sz="4" w:space="0" w:color="auto"/>
              <w:right w:val="nil"/>
            </w:tcBorders>
            <w:shd w:val="clear" w:color="auto" w:fill="auto"/>
            <w:vAlign w:val="center"/>
            <w:hideMark/>
          </w:tcPr>
          <w:p w14:paraId="32A0F2C1" w14:textId="77777777" w:rsidR="00387142" w:rsidRPr="008B6A75" w:rsidRDefault="00387142" w:rsidP="00387142">
            <w:pPr>
              <w:rPr>
                <w:bCs/>
                <w:sz w:val="20"/>
                <w:szCs w:val="20"/>
              </w:rPr>
            </w:pPr>
            <w:r w:rsidRPr="008B6A75">
              <w:rPr>
                <w:bCs/>
                <w:sz w:val="20"/>
                <w:szCs w:val="20"/>
              </w:rPr>
              <w:t>Реализация мероприятий МП "Развитие физической культуры и спорта в Куйбышевском районе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14:paraId="638D9F04" w14:textId="77777777" w:rsidR="00387142" w:rsidRPr="008B6A75" w:rsidRDefault="00387142" w:rsidP="00387142">
            <w:pPr>
              <w:jc w:val="center"/>
              <w:rPr>
                <w:bCs/>
                <w:sz w:val="20"/>
                <w:szCs w:val="20"/>
              </w:rPr>
            </w:pPr>
            <w:r w:rsidRPr="008B6A75">
              <w:rPr>
                <w:bCs/>
                <w:sz w:val="20"/>
                <w:szCs w:val="20"/>
              </w:rPr>
              <w:t>11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B1A528A" w14:textId="77777777" w:rsidR="00387142" w:rsidRPr="008B6A75" w:rsidRDefault="00387142" w:rsidP="00387142">
            <w:pPr>
              <w:jc w:val="center"/>
              <w:rPr>
                <w:bCs/>
                <w:sz w:val="20"/>
                <w:szCs w:val="20"/>
              </w:rPr>
            </w:pPr>
            <w:r w:rsidRPr="008B6A75">
              <w:rPr>
                <w:bCs/>
                <w:sz w:val="20"/>
                <w:szCs w:val="20"/>
              </w:rPr>
              <w:t>03</w:t>
            </w:r>
          </w:p>
        </w:tc>
        <w:tc>
          <w:tcPr>
            <w:tcW w:w="1516" w:type="dxa"/>
            <w:tcBorders>
              <w:top w:val="nil"/>
              <w:left w:val="single" w:sz="4" w:space="0" w:color="auto"/>
              <w:bottom w:val="single" w:sz="4" w:space="0" w:color="auto"/>
              <w:right w:val="nil"/>
            </w:tcBorders>
            <w:shd w:val="clear" w:color="auto" w:fill="auto"/>
            <w:noWrap/>
            <w:vAlign w:val="center"/>
            <w:hideMark/>
          </w:tcPr>
          <w:p w14:paraId="4BDD5C29" w14:textId="77777777" w:rsidR="00387142" w:rsidRPr="008B6A75" w:rsidRDefault="00387142" w:rsidP="00387142">
            <w:pPr>
              <w:jc w:val="center"/>
              <w:rPr>
                <w:bCs/>
                <w:sz w:val="20"/>
                <w:szCs w:val="20"/>
              </w:rPr>
            </w:pPr>
            <w:r w:rsidRPr="008B6A75">
              <w:rPr>
                <w:bCs/>
                <w:sz w:val="20"/>
                <w:szCs w:val="20"/>
              </w:rPr>
              <w:t>11.0.00.11950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6257D8B"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74DFF81" w14:textId="77777777" w:rsidR="00387142" w:rsidRPr="008B6A75" w:rsidRDefault="00387142" w:rsidP="00387142">
            <w:pPr>
              <w:jc w:val="right"/>
              <w:rPr>
                <w:bCs/>
                <w:sz w:val="20"/>
                <w:szCs w:val="20"/>
              </w:rPr>
            </w:pPr>
            <w:r w:rsidRPr="008B6A75">
              <w:rPr>
                <w:bCs/>
                <w:sz w:val="20"/>
                <w:szCs w:val="20"/>
              </w:rPr>
              <w:t>5 341 089,33</w:t>
            </w:r>
          </w:p>
        </w:tc>
        <w:tc>
          <w:tcPr>
            <w:tcW w:w="992" w:type="dxa"/>
            <w:tcBorders>
              <w:top w:val="nil"/>
              <w:left w:val="single" w:sz="4" w:space="0" w:color="auto"/>
              <w:bottom w:val="single" w:sz="4" w:space="0" w:color="auto"/>
              <w:right w:val="nil"/>
            </w:tcBorders>
            <w:shd w:val="clear" w:color="auto" w:fill="auto"/>
            <w:vAlign w:val="center"/>
            <w:hideMark/>
          </w:tcPr>
          <w:p w14:paraId="364FF90A" w14:textId="77777777" w:rsidR="00387142" w:rsidRPr="008B6A75" w:rsidRDefault="00387142" w:rsidP="00387142">
            <w:pPr>
              <w:jc w:val="right"/>
              <w:rPr>
                <w:bCs/>
                <w:sz w:val="20"/>
                <w:szCs w:val="20"/>
              </w:rPr>
            </w:pPr>
            <w:r w:rsidRPr="008B6A75">
              <w:rPr>
                <w:bCs/>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3511D42B" w14:textId="77777777" w:rsidR="00387142" w:rsidRPr="008B6A75" w:rsidRDefault="00387142" w:rsidP="00387142">
            <w:pPr>
              <w:jc w:val="right"/>
              <w:rPr>
                <w:bCs/>
                <w:sz w:val="20"/>
                <w:szCs w:val="20"/>
              </w:rPr>
            </w:pPr>
            <w:r w:rsidRPr="008B6A75">
              <w:rPr>
                <w:bCs/>
                <w:sz w:val="20"/>
                <w:szCs w:val="20"/>
              </w:rPr>
              <w:t>0,00</w:t>
            </w:r>
          </w:p>
        </w:tc>
      </w:tr>
      <w:tr w:rsidR="00387142" w:rsidRPr="008B6A75" w14:paraId="4F45F0AB" w14:textId="77777777" w:rsidTr="00387142">
        <w:trPr>
          <w:trHeight w:val="870"/>
        </w:trPr>
        <w:tc>
          <w:tcPr>
            <w:tcW w:w="3261" w:type="dxa"/>
            <w:tcBorders>
              <w:top w:val="nil"/>
              <w:left w:val="single" w:sz="4" w:space="0" w:color="auto"/>
              <w:bottom w:val="single" w:sz="4" w:space="0" w:color="auto"/>
              <w:right w:val="nil"/>
            </w:tcBorders>
            <w:shd w:val="clear" w:color="auto" w:fill="auto"/>
            <w:vAlign w:val="center"/>
            <w:hideMark/>
          </w:tcPr>
          <w:p w14:paraId="4C6D6E91" w14:textId="77777777" w:rsidR="00387142" w:rsidRPr="008B6A75" w:rsidRDefault="00387142" w:rsidP="00387142">
            <w:pPr>
              <w:rPr>
                <w:sz w:val="20"/>
                <w:szCs w:val="20"/>
              </w:rPr>
            </w:pPr>
            <w:r w:rsidRPr="008B6A75">
              <w:rPr>
                <w:sz w:val="20"/>
                <w:szCs w:val="20"/>
              </w:rPr>
              <w:t>Предоставление субсидий бюджетным, автономным учреждениям и иным некоммерческим организациям</w:t>
            </w:r>
          </w:p>
        </w:tc>
        <w:tc>
          <w:tcPr>
            <w:tcW w:w="720" w:type="dxa"/>
            <w:tcBorders>
              <w:top w:val="nil"/>
              <w:left w:val="single" w:sz="4" w:space="0" w:color="auto"/>
              <w:bottom w:val="single" w:sz="4" w:space="0" w:color="auto"/>
              <w:right w:val="nil"/>
            </w:tcBorders>
            <w:shd w:val="clear" w:color="auto" w:fill="auto"/>
            <w:noWrap/>
            <w:vAlign w:val="center"/>
            <w:hideMark/>
          </w:tcPr>
          <w:p w14:paraId="1D379B60" w14:textId="77777777" w:rsidR="00387142" w:rsidRPr="008B6A75" w:rsidRDefault="00387142" w:rsidP="00387142">
            <w:pPr>
              <w:jc w:val="center"/>
              <w:rPr>
                <w:sz w:val="20"/>
                <w:szCs w:val="20"/>
              </w:rPr>
            </w:pPr>
            <w:r w:rsidRPr="008B6A75">
              <w:rPr>
                <w:sz w:val="20"/>
                <w:szCs w:val="20"/>
              </w:rPr>
              <w:t>11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9507E86" w14:textId="77777777" w:rsidR="00387142" w:rsidRPr="008B6A75" w:rsidRDefault="00387142" w:rsidP="00387142">
            <w:pPr>
              <w:jc w:val="center"/>
              <w:rPr>
                <w:sz w:val="20"/>
                <w:szCs w:val="20"/>
              </w:rPr>
            </w:pPr>
            <w:r w:rsidRPr="008B6A75">
              <w:rPr>
                <w:sz w:val="20"/>
                <w:szCs w:val="20"/>
              </w:rPr>
              <w:t>03</w:t>
            </w:r>
          </w:p>
        </w:tc>
        <w:tc>
          <w:tcPr>
            <w:tcW w:w="1516" w:type="dxa"/>
            <w:tcBorders>
              <w:top w:val="nil"/>
              <w:left w:val="single" w:sz="4" w:space="0" w:color="auto"/>
              <w:bottom w:val="single" w:sz="4" w:space="0" w:color="auto"/>
              <w:right w:val="nil"/>
            </w:tcBorders>
            <w:shd w:val="clear" w:color="auto" w:fill="auto"/>
            <w:noWrap/>
            <w:vAlign w:val="center"/>
            <w:hideMark/>
          </w:tcPr>
          <w:p w14:paraId="2012D3EA" w14:textId="77777777" w:rsidR="00387142" w:rsidRPr="008B6A75" w:rsidRDefault="00387142" w:rsidP="00387142">
            <w:pPr>
              <w:jc w:val="center"/>
              <w:rPr>
                <w:sz w:val="20"/>
                <w:szCs w:val="20"/>
              </w:rPr>
            </w:pPr>
            <w:r w:rsidRPr="008B6A75">
              <w:rPr>
                <w:sz w:val="20"/>
                <w:szCs w:val="20"/>
              </w:rPr>
              <w:t>11.0.00.11950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D588DF4" w14:textId="77777777" w:rsidR="00387142" w:rsidRPr="008B6A75" w:rsidRDefault="00387142" w:rsidP="00387142">
            <w:pPr>
              <w:jc w:val="center"/>
              <w:rPr>
                <w:sz w:val="20"/>
                <w:szCs w:val="20"/>
              </w:rPr>
            </w:pPr>
            <w:r w:rsidRPr="008B6A75">
              <w:rPr>
                <w:sz w:val="20"/>
                <w:szCs w:val="20"/>
              </w:rPr>
              <w:t>600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94A8A3B" w14:textId="77777777" w:rsidR="00387142" w:rsidRPr="008B6A75" w:rsidRDefault="00387142" w:rsidP="00387142">
            <w:pPr>
              <w:jc w:val="right"/>
              <w:rPr>
                <w:sz w:val="20"/>
                <w:szCs w:val="20"/>
              </w:rPr>
            </w:pPr>
            <w:r w:rsidRPr="008B6A75">
              <w:rPr>
                <w:sz w:val="20"/>
                <w:szCs w:val="20"/>
              </w:rPr>
              <w:t>5 341 089,33</w:t>
            </w:r>
          </w:p>
        </w:tc>
        <w:tc>
          <w:tcPr>
            <w:tcW w:w="992" w:type="dxa"/>
            <w:tcBorders>
              <w:top w:val="nil"/>
              <w:left w:val="single" w:sz="4" w:space="0" w:color="auto"/>
              <w:bottom w:val="single" w:sz="4" w:space="0" w:color="auto"/>
              <w:right w:val="nil"/>
            </w:tcBorders>
            <w:shd w:val="clear" w:color="auto" w:fill="auto"/>
            <w:vAlign w:val="center"/>
            <w:hideMark/>
          </w:tcPr>
          <w:p w14:paraId="5BA5C2F0" w14:textId="77777777" w:rsidR="00387142" w:rsidRPr="008B6A75" w:rsidRDefault="00387142" w:rsidP="00387142">
            <w:pPr>
              <w:jc w:val="right"/>
              <w:rPr>
                <w:sz w:val="20"/>
                <w:szCs w:val="20"/>
              </w:rPr>
            </w:pPr>
            <w:r w:rsidRPr="008B6A75">
              <w:rPr>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0134524C" w14:textId="77777777" w:rsidR="00387142" w:rsidRPr="008B6A75" w:rsidRDefault="00387142" w:rsidP="00387142">
            <w:pPr>
              <w:jc w:val="right"/>
              <w:rPr>
                <w:sz w:val="20"/>
                <w:szCs w:val="20"/>
              </w:rPr>
            </w:pPr>
            <w:r w:rsidRPr="008B6A75">
              <w:rPr>
                <w:sz w:val="20"/>
                <w:szCs w:val="20"/>
              </w:rPr>
              <w:t>0,00</w:t>
            </w:r>
          </w:p>
        </w:tc>
      </w:tr>
      <w:tr w:rsidR="00387142" w:rsidRPr="008B6A75" w14:paraId="33DB82A2" w14:textId="77777777" w:rsidTr="00387142">
        <w:trPr>
          <w:trHeight w:val="345"/>
        </w:trPr>
        <w:tc>
          <w:tcPr>
            <w:tcW w:w="3261" w:type="dxa"/>
            <w:tcBorders>
              <w:top w:val="nil"/>
              <w:left w:val="single" w:sz="4" w:space="0" w:color="auto"/>
              <w:bottom w:val="single" w:sz="4" w:space="0" w:color="auto"/>
              <w:right w:val="nil"/>
            </w:tcBorders>
            <w:shd w:val="clear" w:color="auto" w:fill="auto"/>
            <w:vAlign w:val="center"/>
            <w:hideMark/>
          </w:tcPr>
          <w:p w14:paraId="492EBFC4" w14:textId="77777777" w:rsidR="00387142" w:rsidRPr="008B6A75" w:rsidRDefault="00387142" w:rsidP="00387142">
            <w:pPr>
              <w:rPr>
                <w:sz w:val="20"/>
                <w:szCs w:val="20"/>
              </w:rPr>
            </w:pPr>
            <w:r w:rsidRPr="008B6A75">
              <w:rPr>
                <w:sz w:val="20"/>
                <w:szCs w:val="20"/>
              </w:rPr>
              <w:t>Субсидии бюджетным учреждениям</w:t>
            </w:r>
          </w:p>
        </w:tc>
        <w:tc>
          <w:tcPr>
            <w:tcW w:w="720" w:type="dxa"/>
            <w:tcBorders>
              <w:top w:val="nil"/>
              <w:left w:val="single" w:sz="4" w:space="0" w:color="auto"/>
              <w:bottom w:val="single" w:sz="4" w:space="0" w:color="auto"/>
              <w:right w:val="nil"/>
            </w:tcBorders>
            <w:shd w:val="clear" w:color="auto" w:fill="auto"/>
            <w:noWrap/>
            <w:vAlign w:val="center"/>
            <w:hideMark/>
          </w:tcPr>
          <w:p w14:paraId="217F99DF" w14:textId="77777777" w:rsidR="00387142" w:rsidRPr="008B6A75" w:rsidRDefault="00387142" w:rsidP="00387142">
            <w:pPr>
              <w:jc w:val="center"/>
              <w:rPr>
                <w:sz w:val="20"/>
                <w:szCs w:val="20"/>
              </w:rPr>
            </w:pPr>
            <w:r w:rsidRPr="008B6A75">
              <w:rPr>
                <w:sz w:val="20"/>
                <w:szCs w:val="20"/>
              </w:rPr>
              <w:t>11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73EC76B" w14:textId="77777777" w:rsidR="00387142" w:rsidRPr="008B6A75" w:rsidRDefault="00387142" w:rsidP="00387142">
            <w:pPr>
              <w:jc w:val="center"/>
              <w:rPr>
                <w:sz w:val="20"/>
                <w:szCs w:val="20"/>
              </w:rPr>
            </w:pPr>
            <w:r w:rsidRPr="008B6A75">
              <w:rPr>
                <w:sz w:val="20"/>
                <w:szCs w:val="20"/>
              </w:rPr>
              <w:t>03</w:t>
            </w:r>
          </w:p>
        </w:tc>
        <w:tc>
          <w:tcPr>
            <w:tcW w:w="1516" w:type="dxa"/>
            <w:tcBorders>
              <w:top w:val="nil"/>
              <w:left w:val="single" w:sz="4" w:space="0" w:color="auto"/>
              <w:bottom w:val="single" w:sz="4" w:space="0" w:color="auto"/>
              <w:right w:val="nil"/>
            </w:tcBorders>
            <w:shd w:val="clear" w:color="auto" w:fill="auto"/>
            <w:noWrap/>
            <w:vAlign w:val="center"/>
            <w:hideMark/>
          </w:tcPr>
          <w:p w14:paraId="7E7531AE" w14:textId="77777777" w:rsidR="00387142" w:rsidRPr="008B6A75" w:rsidRDefault="00387142" w:rsidP="00387142">
            <w:pPr>
              <w:jc w:val="center"/>
              <w:rPr>
                <w:sz w:val="20"/>
                <w:szCs w:val="20"/>
              </w:rPr>
            </w:pPr>
            <w:r w:rsidRPr="008B6A75">
              <w:rPr>
                <w:sz w:val="20"/>
                <w:szCs w:val="20"/>
              </w:rPr>
              <w:t>11.0.00.11950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0FFC9EF" w14:textId="77777777" w:rsidR="00387142" w:rsidRPr="008B6A75" w:rsidRDefault="00387142" w:rsidP="00387142">
            <w:pPr>
              <w:jc w:val="center"/>
              <w:rPr>
                <w:sz w:val="20"/>
                <w:szCs w:val="20"/>
              </w:rPr>
            </w:pPr>
            <w:r w:rsidRPr="008B6A75">
              <w:rPr>
                <w:sz w:val="20"/>
                <w:szCs w:val="20"/>
              </w:rPr>
              <w:t>610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FF2BB0E" w14:textId="77777777" w:rsidR="00387142" w:rsidRPr="008B6A75" w:rsidRDefault="00387142" w:rsidP="00387142">
            <w:pPr>
              <w:jc w:val="right"/>
              <w:rPr>
                <w:sz w:val="20"/>
                <w:szCs w:val="20"/>
              </w:rPr>
            </w:pPr>
            <w:r w:rsidRPr="008B6A75">
              <w:rPr>
                <w:sz w:val="20"/>
                <w:szCs w:val="20"/>
              </w:rPr>
              <w:t>5 341 089,33</w:t>
            </w:r>
          </w:p>
        </w:tc>
        <w:tc>
          <w:tcPr>
            <w:tcW w:w="992" w:type="dxa"/>
            <w:tcBorders>
              <w:top w:val="nil"/>
              <w:left w:val="single" w:sz="4" w:space="0" w:color="auto"/>
              <w:bottom w:val="single" w:sz="4" w:space="0" w:color="auto"/>
              <w:right w:val="nil"/>
            </w:tcBorders>
            <w:shd w:val="clear" w:color="auto" w:fill="auto"/>
            <w:vAlign w:val="center"/>
            <w:hideMark/>
          </w:tcPr>
          <w:p w14:paraId="3DFECAD9" w14:textId="77777777" w:rsidR="00387142" w:rsidRPr="008B6A75" w:rsidRDefault="00387142" w:rsidP="00387142">
            <w:pPr>
              <w:jc w:val="right"/>
              <w:rPr>
                <w:sz w:val="20"/>
                <w:szCs w:val="20"/>
              </w:rPr>
            </w:pPr>
            <w:r w:rsidRPr="008B6A75">
              <w:rPr>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72B8BA99" w14:textId="77777777" w:rsidR="00387142" w:rsidRPr="008B6A75" w:rsidRDefault="00387142" w:rsidP="00387142">
            <w:pPr>
              <w:jc w:val="right"/>
              <w:rPr>
                <w:sz w:val="20"/>
                <w:szCs w:val="20"/>
              </w:rPr>
            </w:pPr>
            <w:r w:rsidRPr="008B6A75">
              <w:rPr>
                <w:sz w:val="20"/>
                <w:szCs w:val="20"/>
              </w:rPr>
              <w:t>0,00</w:t>
            </w:r>
          </w:p>
        </w:tc>
      </w:tr>
      <w:tr w:rsidR="00387142" w:rsidRPr="008B6A75" w14:paraId="6519509F" w14:textId="77777777" w:rsidTr="00387142">
        <w:trPr>
          <w:trHeight w:val="1155"/>
        </w:trPr>
        <w:tc>
          <w:tcPr>
            <w:tcW w:w="3261" w:type="dxa"/>
            <w:tcBorders>
              <w:top w:val="nil"/>
              <w:left w:val="single" w:sz="4" w:space="0" w:color="auto"/>
              <w:bottom w:val="single" w:sz="4" w:space="0" w:color="auto"/>
              <w:right w:val="nil"/>
            </w:tcBorders>
            <w:shd w:val="clear" w:color="auto" w:fill="auto"/>
            <w:vAlign w:val="center"/>
            <w:hideMark/>
          </w:tcPr>
          <w:p w14:paraId="072F4EDB" w14:textId="77777777" w:rsidR="00387142" w:rsidRPr="008B6A75" w:rsidRDefault="00387142" w:rsidP="00387142">
            <w:pPr>
              <w:rPr>
                <w:bCs/>
                <w:sz w:val="20"/>
                <w:szCs w:val="20"/>
              </w:rPr>
            </w:pPr>
            <w:r w:rsidRPr="008B6A75">
              <w:rPr>
                <w:bCs/>
                <w:sz w:val="20"/>
                <w:szCs w:val="20"/>
              </w:rPr>
              <w:t>МЕЖБЮДЖЕТНЫЕ ТРАНСФЕРТЫ ОБЩЕГО ХАРАКТЕРА БЮДЖЕТАМ БЮДЖЕТНОЙ СИСТЕМЫ РОССИЙСКОЙ ФЕДЕРАЦИИ</w:t>
            </w:r>
          </w:p>
        </w:tc>
        <w:tc>
          <w:tcPr>
            <w:tcW w:w="720" w:type="dxa"/>
            <w:tcBorders>
              <w:top w:val="nil"/>
              <w:left w:val="single" w:sz="4" w:space="0" w:color="auto"/>
              <w:bottom w:val="single" w:sz="4" w:space="0" w:color="auto"/>
              <w:right w:val="nil"/>
            </w:tcBorders>
            <w:shd w:val="clear" w:color="auto" w:fill="auto"/>
            <w:noWrap/>
            <w:vAlign w:val="center"/>
            <w:hideMark/>
          </w:tcPr>
          <w:p w14:paraId="3CF0DE68" w14:textId="77777777" w:rsidR="00387142" w:rsidRPr="008B6A75" w:rsidRDefault="00387142" w:rsidP="00387142">
            <w:pPr>
              <w:jc w:val="center"/>
              <w:rPr>
                <w:bCs/>
                <w:sz w:val="20"/>
                <w:szCs w:val="20"/>
              </w:rPr>
            </w:pPr>
            <w:r w:rsidRPr="008B6A75">
              <w:rPr>
                <w:bCs/>
                <w:sz w:val="20"/>
                <w:szCs w:val="20"/>
              </w:rPr>
              <w:t>14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F91141E" w14:textId="77777777" w:rsidR="00387142" w:rsidRPr="008B6A75" w:rsidRDefault="00387142" w:rsidP="00387142">
            <w:pPr>
              <w:jc w:val="center"/>
              <w:rPr>
                <w:bCs/>
                <w:sz w:val="20"/>
                <w:szCs w:val="20"/>
              </w:rPr>
            </w:pPr>
            <w:r w:rsidRPr="008B6A75">
              <w:rPr>
                <w:bCs/>
                <w:sz w:val="20"/>
                <w:szCs w:val="20"/>
              </w:rPr>
              <w:t> </w:t>
            </w:r>
          </w:p>
        </w:tc>
        <w:tc>
          <w:tcPr>
            <w:tcW w:w="1516" w:type="dxa"/>
            <w:tcBorders>
              <w:top w:val="nil"/>
              <w:left w:val="single" w:sz="4" w:space="0" w:color="auto"/>
              <w:bottom w:val="single" w:sz="4" w:space="0" w:color="auto"/>
              <w:right w:val="nil"/>
            </w:tcBorders>
            <w:shd w:val="clear" w:color="auto" w:fill="auto"/>
            <w:noWrap/>
            <w:vAlign w:val="center"/>
            <w:hideMark/>
          </w:tcPr>
          <w:p w14:paraId="7BBDC904" w14:textId="77777777" w:rsidR="00387142" w:rsidRPr="008B6A75" w:rsidRDefault="00387142" w:rsidP="00387142">
            <w:pPr>
              <w:jc w:val="center"/>
              <w:rPr>
                <w:bCs/>
                <w:sz w:val="20"/>
                <w:szCs w:val="20"/>
              </w:rPr>
            </w:pPr>
            <w:r w:rsidRPr="008B6A75">
              <w:rPr>
                <w:bCs/>
                <w:sz w:val="20"/>
                <w:szCs w:val="20"/>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AD5A40D"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1035B78" w14:textId="77777777" w:rsidR="00387142" w:rsidRPr="008B6A75" w:rsidRDefault="00387142" w:rsidP="00387142">
            <w:pPr>
              <w:jc w:val="right"/>
              <w:rPr>
                <w:bCs/>
                <w:sz w:val="20"/>
                <w:szCs w:val="20"/>
              </w:rPr>
            </w:pPr>
            <w:r w:rsidRPr="008B6A75">
              <w:rPr>
                <w:bCs/>
                <w:sz w:val="20"/>
                <w:szCs w:val="20"/>
              </w:rPr>
              <w:t>221 232 644,46</w:t>
            </w:r>
          </w:p>
        </w:tc>
        <w:tc>
          <w:tcPr>
            <w:tcW w:w="992" w:type="dxa"/>
            <w:tcBorders>
              <w:top w:val="nil"/>
              <w:left w:val="single" w:sz="4" w:space="0" w:color="auto"/>
              <w:bottom w:val="single" w:sz="4" w:space="0" w:color="auto"/>
              <w:right w:val="nil"/>
            </w:tcBorders>
            <w:shd w:val="clear" w:color="auto" w:fill="auto"/>
            <w:vAlign w:val="center"/>
            <w:hideMark/>
          </w:tcPr>
          <w:p w14:paraId="68D8CEC7" w14:textId="77777777" w:rsidR="00387142" w:rsidRPr="008B6A75" w:rsidRDefault="00387142" w:rsidP="00387142">
            <w:pPr>
              <w:jc w:val="right"/>
              <w:rPr>
                <w:bCs/>
                <w:sz w:val="20"/>
                <w:szCs w:val="20"/>
              </w:rPr>
            </w:pPr>
            <w:r w:rsidRPr="008B6A75">
              <w:rPr>
                <w:bCs/>
                <w:sz w:val="20"/>
                <w:szCs w:val="20"/>
              </w:rPr>
              <w:t>72 707 900,00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60818D5F" w14:textId="77777777" w:rsidR="00387142" w:rsidRPr="008B6A75" w:rsidRDefault="00387142" w:rsidP="00387142">
            <w:pPr>
              <w:jc w:val="right"/>
              <w:rPr>
                <w:bCs/>
                <w:sz w:val="20"/>
                <w:szCs w:val="20"/>
              </w:rPr>
            </w:pPr>
            <w:r w:rsidRPr="008B6A75">
              <w:rPr>
                <w:bCs/>
                <w:sz w:val="20"/>
                <w:szCs w:val="20"/>
              </w:rPr>
              <w:t>51 417 300,00</w:t>
            </w:r>
          </w:p>
        </w:tc>
      </w:tr>
      <w:tr w:rsidR="00387142" w:rsidRPr="008B6A75" w14:paraId="6A8E17B3" w14:textId="77777777" w:rsidTr="00387142">
        <w:trPr>
          <w:trHeight w:val="870"/>
        </w:trPr>
        <w:tc>
          <w:tcPr>
            <w:tcW w:w="3261" w:type="dxa"/>
            <w:tcBorders>
              <w:top w:val="nil"/>
              <w:left w:val="single" w:sz="4" w:space="0" w:color="auto"/>
              <w:bottom w:val="single" w:sz="4" w:space="0" w:color="auto"/>
              <w:right w:val="nil"/>
            </w:tcBorders>
            <w:shd w:val="clear" w:color="auto" w:fill="auto"/>
            <w:vAlign w:val="center"/>
            <w:hideMark/>
          </w:tcPr>
          <w:p w14:paraId="1736DF2C" w14:textId="77777777" w:rsidR="00387142" w:rsidRPr="008B6A75" w:rsidRDefault="00387142" w:rsidP="00387142">
            <w:pPr>
              <w:rPr>
                <w:bCs/>
                <w:sz w:val="20"/>
                <w:szCs w:val="20"/>
              </w:rPr>
            </w:pPr>
            <w:r w:rsidRPr="008B6A75">
              <w:rPr>
                <w:bCs/>
                <w:sz w:val="20"/>
                <w:szCs w:val="20"/>
              </w:rPr>
              <w:t>Дотации на выравнивание бюджетной обеспеченности субъектов Российской Федерации и муниципальных образований</w:t>
            </w:r>
          </w:p>
        </w:tc>
        <w:tc>
          <w:tcPr>
            <w:tcW w:w="720" w:type="dxa"/>
            <w:tcBorders>
              <w:top w:val="nil"/>
              <w:left w:val="single" w:sz="4" w:space="0" w:color="auto"/>
              <w:bottom w:val="single" w:sz="4" w:space="0" w:color="auto"/>
              <w:right w:val="nil"/>
            </w:tcBorders>
            <w:shd w:val="clear" w:color="auto" w:fill="auto"/>
            <w:noWrap/>
            <w:vAlign w:val="center"/>
            <w:hideMark/>
          </w:tcPr>
          <w:p w14:paraId="2F1C54AE" w14:textId="77777777" w:rsidR="00387142" w:rsidRPr="008B6A75" w:rsidRDefault="00387142" w:rsidP="00387142">
            <w:pPr>
              <w:jc w:val="center"/>
              <w:rPr>
                <w:bCs/>
                <w:sz w:val="20"/>
                <w:szCs w:val="20"/>
              </w:rPr>
            </w:pPr>
            <w:r w:rsidRPr="008B6A75">
              <w:rPr>
                <w:bCs/>
                <w:sz w:val="20"/>
                <w:szCs w:val="20"/>
              </w:rPr>
              <w:t>14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CE96BCD" w14:textId="77777777" w:rsidR="00387142" w:rsidRPr="008B6A75" w:rsidRDefault="00387142" w:rsidP="00387142">
            <w:pPr>
              <w:jc w:val="center"/>
              <w:rPr>
                <w:bCs/>
                <w:sz w:val="20"/>
                <w:szCs w:val="20"/>
              </w:rPr>
            </w:pPr>
            <w:r w:rsidRPr="008B6A75">
              <w:rPr>
                <w:bCs/>
                <w:sz w:val="20"/>
                <w:szCs w:val="20"/>
              </w:rPr>
              <w:t>01</w:t>
            </w:r>
          </w:p>
        </w:tc>
        <w:tc>
          <w:tcPr>
            <w:tcW w:w="1516" w:type="dxa"/>
            <w:tcBorders>
              <w:top w:val="nil"/>
              <w:left w:val="single" w:sz="4" w:space="0" w:color="auto"/>
              <w:bottom w:val="single" w:sz="4" w:space="0" w:color="auto"/>
              <w:right w:val="nil"/>
            </w:tcBorders>
            <w:shd w:val="clear" w:color="auto" w:fill="auto"/>
            <w:noWrap/>
            <w:vAlign w:val="center"/>
            <w:hideMark/>
          </w:tcPr>
          <w:p w14:paraId="51D99A72" w14:textId="77777777" w:rsidR="00387142" w:rsidRPr="008B6A75" w:rsidRDefault="00387142" w:rsidP="00387142">
            <w:pPr>
              <w:jc w:val="center"/>
              <w:rPr>
                <w:bCs/>
                <w:sz w:val="20"/>
                <w:szCs w:val="20"/>
              </w:rPr>
            </w:pPr>
            <w:r w:rsidRPr="008B6A75">
              <w:rPr>
                <w:bCs/>
                <w:sz w:val="20"/>
                <w:szCs w:val="20"/>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406F4BD"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9E7AAA9" w14:textId="77777777" w:rsidR="00387142" w:rsidRPr="008B6A75" w:rsidRDefault="00387142" w:rsidP="00387142">
            <w:pPr>
              <w:jc w:val="right"/>
              <w:rPr>
                <w:bCs/>
                <w:sz w:val="20"/>
                <w:szCs w:val="20"/>
              </w:rPr>
            </w:pPr>
            <w:r w:rsidRPr="008B6A75">
              <w:rPr>
                <w:bCs/>
                <w:sz w:val="20"/>
                <w:szCs w:val="20"/>
              </w:rPr>
              <w:t>123 737 600,00</w:t>
            </w:r>
          </w:p>
        </w:tc>
        <w:tc>
          <w:tcPr>
            <w:tcW w:w="992" w:type="dxa"/>
            <w:tcBorders>
              <w:top w:val="nil"/>
              <w:left w:val="single" w:sz="4" w:space="0" w:color="auto"/>
              <w:bottom w:val="single" w:sz="4" w:space="0" w:color="auto"/>
              <w:right w:val="nil"/>
            </w:tcBorders>
            <w:shd w:val="clear" w:color="auto" w:fill="auto"/>
            <w:vAlign w:val="center"/>
            <w:hideMark/>
          </w:tcPr>
          <w:p w14:paraId="078AF17C" w14:textId="77777777" w:rsidR="00387142" w:rsidRPr="008B6A75" w:rsidRDefault="00387142" w:rsidP="00387142">
            <w:pPr>
              <w:jc w:val="right"/>
              <w:rPr>
                <w:bCs/>
                <w:sz w:val="20"/>
                <w:szCs w:val="20"/>
              </w:rPr>
            </w:pPr>
            <w:r w:rsidRPr="008B6A75">
              <w:rPr>
                <w:bCs/>
                <w:sz w:val="20"/>
                <w:szCs w:val="20"/>
              </w:rPr>
              <w:t>72 707 900,00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785EDE96" w14:textId="77777777" w:rsidR="00387142" w:rsidRPr="008B6A75" w:rsidRDefault="00387142" w:rsidP="00387142">
            <w:pPr>
              <w:jc w:val="right"/>
              <w:rPr>
                <w:bCs/>
                <w:sz w:val="20"/>
                <w:szCs w:val="20"/>
              </w:rPr>
            </w:pPr>
            <w:r w:rsidRPr="008B6A75">
              <w:rPr>
                <w:bCs/>
                <w:sz w:val="20"/>
                <w:szCs w:val="20"/>
              </w:rPr>
              <w:t>51 417 300,00</w:t>
            </w:r>
          </w:p>
        </w:tc>
      </w:tr>
      <w:tr w:rsidR="00387142" w:rsidRPr="008B6A75" w14:paraId="716BE835" w14:textId="77777777" w:rsidTr="00387142">
        <w:trPr>
          <w:trHeight w:val="345"/>
        </w:trPr>
        <w:tc>
          <w:tcPr>
            <w:tcW w:w="3261" w:type="dxa"/>
            <w:tcBorders>
              <w:top w:val="nil"/>
              <w:left w:val="single" w:sz="4" w:space="0" w:color="auto"/>
              <w:bottom w:val="single" w:sz="4" w:space="0" w:color="auto"/>
              <w:right w:val="nil"/>
            </w:tcBorders>
            <w:shd w:val="clear" w:color="auto" w:fill="auto"/>
            <w:vAlign w:val="center"/>
            <w:hideMark/>
          </w:tcPr>
          <w:p w14:paraId="68302DEE" w14:textId="77777777" w:rsidR="00387142" w:rsidRPr="008B6A75" w:rsidRDefault="00387142" w:rsidP="00387142">
            <w:pPr>
              <w:rPr>
                <w:bCs/>
                <w:sz w:val="20"/>
                <w:szCs w:val="20"/>
              </w:rPr>
            </w:pPr>
            <w:r w:rsidRPr="008B6A75">
              <w:rPr>
                <w:bCs/>
                <w:sz w:val="20"/>
                <w:szCs w:val="20"/>
              </w:rPr>
              <w:t>Непрограммные направления бюджета</w:t>
            </w:r>
          </w:p>
        </w:tc>
        <w:tc>
          <w:tcPr>
            <w:tcW w:w="720" w:type="dxa"/>
            <w:tcBorders>
              <w:top w:val="nil"/>
              <w:left w:val="single" w:sz="4" w:space="0" w:color="auto"/>
              <w:bottom w:val="single" w:sz="4" w:space="0" w:color="auto"/>
              <w:right w:val="nil"/>
            </w:tcBorders>
            <w:shd w:val="clear" w:color="auto" w:fill="auto"/>
            <w:noWrap/>
            <w:vAlign w:val="center"/>
            <w:hideMark/>
          </w:tcPr>
          <w:p w14:paraId="1B5EDFA0" w14:textId="77777777" w:rsidR="00387142" w:rsidRPr="008B6A75" w:rsidRDefault="00387142" w:rsidP="00387142">
            <w:pPr>
              <w:jc w:val="center"/>
              <w:rPr>
                <w:bCs/>
                <w:sz w:val="20"/>
                <w:szCs w:val="20"/>
              </w:rPr>
            </w:pPr>
            <w:r w:rsidRPr="008B6A75">
              <w:rPr>
                <w:bCs/>
                <w:sz w:val="20"/>
                <w:szCs w:val="20"/>
              </w:rPr>
              <w:t>14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1B5C0A3" w14:textId="77777777" w:rsidR="00387142" w:rsidRPr="008B6A75" w:rsidRDefault="00387142" w:rsidP="00387142">
            <w:pPr>
              <w:jc w:val="center"/>
              <w:rPr>
                <w:bCs/>
                <w:sz w:val="20"/>
                <w:szCs w:val="20"/>
              </w:rPr>
            </w:pPr>
            <w:r w:rsidRPr="008B6A75">
              <w:rPr>
                <w:bCs/>
                <w:sz w:val="20"/>
                <w:szCs w:val="20"/>
              </w:rPr>
              <w:t>01</w:t>
            </w:r>
          </w:p>
        </w:tc>
        <w:tc>
          <w:tcPr>
            <w:tcW w:w="1516" w:type="dxa"/>
            <w:tcBorders>
              <w:top w:val="nil"/>
              <w:left w:val="single" w:sz="4" w:space="0" w:color="auto"/>
              <w:bottom w:val="single" w:sz="4" w:space="0" w:color="auto"/>
              <w:right w:val="nil"/>
            </w:tcBorders>
            <w:shd w:val="clear" w:color="auto" w:fill="auto"/>
            <w:noWrap/>
            <w:vAlign w:val="center"/>
            <w:hideMark/>
          </w:tcPr>
          <w:p w14:paraId="54ABF9F1" w14:textId="77777777" w:rsidR="00387142" w:rsidRPr="008B6A75" w:rsidRDefault="00387142" w:rsidP="00387142">
            <w:pPr>
              <w:jc w:val="center"/>
              <w:rPr>
                <w:bCs/>
                <w:sz w:val="20"/>
                <w:szCs w:val="20"/>
              </w:rPr>
            </w:pPr>
            <w:r w:rsidRPr="008B6A75">
              <w:rPr>
                <w:bCs/>
                <w:sz w:val="20"/>
                <w:szCs w:val="20"/>
              </w:rPr>
              <w:t>99.0.00.00000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4A06C63"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96B09FF" w14:textId="77777777" w:rsidR="00387142" w:rsidRPr="008B6A75" w:rsidRDefault="00387142" w:rsidP="00387142">
            <w:pPr>
              <w:jc w:val="right"/>
              <w:rPr>
                <w:bCs/>
                <w:sz w:val="20"/>
                <w:szCs w:val="20"/>
              </w:rPr>
            </w:pPr>
            <w:r w:rsidRPr="008B6A75">
              <w:rPr>
                <w:bCs/>
                <w:sz w:val="20"/>
                <w:szCs w:val="20"/>
              </w:rPr>
              <w:t>123 737 600,00</w:t>
            </w:r>
          </w:p>
        </w:tc>
        <w:tc>
          <w:tcPr>
            <w:tcW w:w="992" w:type="dxa"/>
            <w:tcBorders>
              <w:top w:val="nil"/>
              <w:left w:val="single" w:sz="4" w:space="0" w:color="auto"/>
              <w:bottom w:val="single" w:sz="4" w:space="0" w:color="auto"/>
              <w:right w:val="nil"/>
            </w:tcBorders>
            <w:shd w:val="clear" w:color="auto" w:fill="auto"/>
            <w:vAlign w:val="center"/>
            <w:hideMark/>
          </w:tcPr>
          <w:p w14:paraId="1A6B7B64" w14:textId="77777777" w:rsidR="00387142" w:rsidRPr="008B6A75" w:rsidRDefault="00387142" w:rsidP="00387142">
            <w:pPr>
              <w:jc w:val="right"/>
              <w:rPr>
                <w:bCs/>
                <w:sz w:val="20"/>
                <w:szCs w:val="20"/>
              </w:rPr>
            </w:pPr>
            <w:r w:rsidRPr="008B6A75">
              <w:rPr>
                <w:bCs/>
                <w:sz w:val="20"/>
                <w:szCs w:val="20"/>
              </w:rPr>
              <w:t>72 707 900,00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286979A1" w14:textId="77777777" w:rsidR="00387142" w:rsidRPr="008B6A75" w:rsidRDefault="00387142" w:rsidP="00387142">
            <w:pPr>
              <w:jc w:val="right"/>
              <w:rPr>
                <w:bCs/>
                <w:sz w:val="20"/>
                <w:szCs w:val="20"/>
              </w:rPr>
            </w:pPr>
            <w:r w:rsidRPr="008B6A75">
              <w:rPr>
                <w:bCs/>
                <w:sz w:val="20"/>
                <w:szCs w:val="20"/>
              </w:rPr>
              <w:t>51 417 300,00</w:t>
            </w:r>
          </w:p>
        </w:tc>
      </w:tr>
      <w:tr w:rsidR="00387142" w:rsidRPr="008B6A75" w14:paraId="1E06DC75" w14:textId="77777777" w:rsidTr="00387142">
        <w:trPr>
          <w:trHeight w:val="1155"/>
        </w:trPr>
        <w:tc>
          <w:tcPr>
            <w:tcW w:w="3261" w:type="dxa"/>
            <w:tcBorders>
              <w:top w:val="nil"/>
              <w:left w:val="single" w:sz="4" w:space="0" w:color="auto"/>
              <w:bottom w:val="single" w:sz="4" w:space="0" w:color="auto"/>
              <w:right w:val="nil"/>
            </w:tcBorders>
            <w:shd w:val="clear" w:color="auto" w:fill="auto"/>
            <w:vAlign w:val="center"/>
            <w:hideMark/>
          </w:tcPr>
          <w:p w14:paraId="53B82779" w14:textId="77777777" w:rsidR="00387142" w:rsidRPr="008B6A75" w:rsidRDefault="00387142" w:rsidP="00387142">
            <w:pPr>
              <w:rPr>
                <w:bCs/>
                <w:sz w:val="20"/>
                <w:szCs w:val="20"/>
              </w:rPr>
            </w:pPr>
            <w:r w:rsidRPr="008B6A75">
              <w:rPr>
                <w:bCs/>
                <w:sz w:val="20"/>
                <w:szCs w:val="20"/>
              </w:rPr>
              <w:t xml:space="preserve">Осуществление отдельных государственных полномочий Новосибирской области по расчету и предоставлению дотаций бюджетам поселений </w:t>
            </w:r>
          </w:p>
        </w:tc>
        <w:tc>
          <w:tcPr>
            <w:tcW w:w="720" w:type="dxa"/>
            <w:tcBorders>
              <w:top w:val="nil"/>
              <w:left w:val="single" w:sz="4" w:space="0" w:color="auto"/>
              <w:bottom w:val="single" w:sz="4" w:space="0" w:color="auto"/>
              <w:right w:val="nil"/>
            </w:tcBorders>
            <w:shd w:val="clear" w:color="auto" w:fill="auto"/>
            <w:noWrap/>
            <w:vAlign w:val="center"/>
            <w:hideMark/>
          </w:tcPr>
          <w:p w14:paraId="5ACF2E4A" w14:textId="77777777" w:rsidR="00387142" w:rsidRPr="008B6A75" w:rsidRDefault="00387142" w:rsidP="00387142">
            <w:pPr>
              <w:jc w:val="center"/>
              <w:rPr>
                <w:bCs/>
                <w:sz w:val="20"/>
                <w:szCs w:val="20"/>
              </w:rPr>
            </w:pPr>
            <w:r w:rsidRPr="008B6A75">
              <w:rPr>
                <w:bCs/>
                <w:sz w:val="20"/>
                <w:szCs w:val="20"/>
              </w:rPr>
              <w:t>14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92FA4D9" w14:textId="77777777" w:rsidR="00387142" w:rsidRPr="008B6A75" w:rsidRDefault="00387142" w:rsidP="00387142">
            <w:pPr>
              <w:jc w:val="center"/>
              <w:rPr>
                <w:bCs/>
                <w:sz w:val="20"/>
                <w:szCs w:val="20"/>
              </w:rPr>
            </w:pPr>
            <w:r w:rsidRPr="008B6A75">
              <w:rPr>
                <w:bCs/>
                <w:sz w:val="20"/>
                <w:szCs w:val="20"/>
              </w:rPr>
              <w:t>01</w:t>
            </w:r>
          </w:p>
        </w:tc>
        <w:tc>
          <w:tcPr>
            <w:tcW w:w="1516" w:type="dxa"/>
            <w:tcBorders>
              <w:top w:val="nil"/>
              <w:left w:val="single" w:sz="4" w:space="0" w:color="auto"/>
              <w:bottom w:val="single" w:sz="4" w:space="0" w:color="auto"/>
              <w:right w:val="nil"/>
            </w:tcBorders>
            <w:shd w:val="clear" w:color="auto" w:fill="auto"/>
            <w:noWrap/>
            <w:vAlign w:val="center"/>
            <w:hideMark/>
          </w:tcPr>
          <w:p w14:paraId="13D3FC1D" w14:textId="77777777" w:rsidR="00387142" w:rsidRPr="008B6A75" w:rsidRDefault="00387142" w:rsidP="00387142">
            <w:pPr>
              <w:jc w:val="center"/>
              <w:rPr>
                <w:bCs/>
                <w:sz w:val="20"/>
                <w:szCs w:val="20"/>
              </w:rPr>
            </w:pPr>
            <w:r w:rsidRPr="008B6A75">
              <w:rPr>
                <w:bCs/>
                <w:sz w:val="20"/>
                <w:szCs w:val="20"/>
              </w:rPr>
              <w:t>99.0.00.70220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67BB1DC"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2633026" w14:textId="77777777" w:rsidR="00387142" w:rsidRPr="008B6A75" w:rsidRDefault="00387142" w:rsidP="00387142">
            <w:pPr>
              <w:jc w:val="right"/>
              <w:rPr>
                <w:bCs/>
                <w:sz w:val="20"/>
                <w:szCs w:val="20"/>
              </w:rPr>
            </w:pPr>
            <w:r w:rsidRPr="008B6A75">
              <w:rPr>
                <w:bCs/>
                <w:sz w:val="20"/>
                <w:szCs w:val="20"/>
              </w:rPr>
              <w:t>74 764 300,00</w:t>
            </w:r>
          </w:p>
        </w:tc>
        <w:tc>
          <w:tcPr>
            <w:tcW w:w="992" w:type="dxa"/>
            <w:tcBorders>
              <w:top w:val="nil"/>
              <w:left w:val="single" w:sz="4" w:space="0" w:color="auto"/>
              <w:bottom w:val="single" w:sz="4" w:space="0" w:color="auto"/>
              <w:right w:val="nil"/>
            </w:tcBorders>
            <w:shd w:val="clear" w:color="auto" w:fill="auto"/>
            <w:vAlign w:val="center"/>
            <w:hideMark/>
          </w:tcPr>
          <w:p w14:paraId="023AD283" w14:textId="77777777" w:rsidR="00387142" w:rsidRPr="008B6A75" w:rsidRDefault="00387142" w:rsidP="00387142">
            <w:pPr>
              <w:jc w:val="right"/>
              <w:rPr>
                <w:bCs/>
                <w:sz w:val="20"/>
                <w:szCs w:val="20"/>
              </w:rPr>
            </w:pPr>
            <w:r w:rsidRPr="008B6A75">
              <w:rPr>
                <w:bCs/>
                <w:sz w:val="20"/>
                <w:szCs w:val="20"/>
              </w:rPr>
              <w:t>72 707 900,00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25AAA19D" w14:textId="77777777" w:rsidR="00387142" w:rsidRPr="008B6A75" w:rsidRDefault="00387142" w:rsidP="00387142">
            <w:pPr>
              <w:jc w:val="right"/>
              <w:rPr>
                <w:bCs/>
                <w:sz w:val="20"/>
                <w:szCs w:val="20"/>
              </w:rPr>
            </w:pPr>
            <w:r w:rsidRPr="008B6A75">
              <w:rPr>
                <w:bCs/>
                <w:sz w:val="20"/>
                <w:szCs w:val="20"/>
              </w:rPr>
              <w:t>51 417 300,00</w:t>
            </w:r>
          </w:p>
        </w:tc>
      </w:tr>
      <w:tr w:rsidR="00387142" w:rsidRPr="008B6A75" w14:paraId="38337BD8" w14:textId="77777777" w:rsidTr="00387142">
        <w:trPr>
          <w:trHeight w:val="345"/>
        </w:trPr>
        <w:tc>
          <w:tcPr>
            <w:tcW w:w="3261" w:type="dxa"/>
            <w:tcBorders>
              <w:top w:val="nil"/>
              <w:left w:val="single" w:sz="4" w:space="0" w:color="auto"/>
              <w:bottom w:val="single" w:sz="4" w:space="0" w:color="auto"/>
              <w:right w:val="nil"/>
            </w:tcBorders>
            <w:shd w:val="clear" w:color="auto" w:fill="auto"/>
            <w:vAlign w:val="center"/>
            <w:hideMark/>
          </w:tcPr>
          <w:p w14:paraId="08442583" w14:textId="77777777" w:rsidR="00387142" w:rsidRPr="008B6A75" w:rsidRDefault="00387142" w:rsidP="00387142">
            <w:pPr>
              <w:rPr>
                <w:sz w:val="20"/>
                <w:szCs w:val="20"/>
              </w:rPr>
            </w:pPr>
            <w:r w:rsidRPr="008B6A75">
              <w:rPr>
                <w:sz w:val="20"/>
                <w:szCs w:val="20"/>
              </w:rPr>
              <w:t>Межбюджетные трансферты</w:t>
            </w:r>
          </w:p>
        </w:tc>
        <w:tc>
          <w:tcPr>
            <w:tcW w:w="720" w:type="dxa"/>
            <w:tcBorders>
              <w:top w:val="nil"/>
              <w:left w:val="single" w:sz="4" w:space="0" w:color="auto"/>
              <w:bottom w:val="single" w:sz="4" w:space="0" w:color="auto"/>
              <w:right w:val="nil"/>
            </w:tcBorders>
            <w:shd w:val="clear" w:color="auto" w:fill="auto"/>
            <w:noWrap/>
            <w:vAlign w:val="center"/>
            <w:hideMark/>
          </w:tcPr>
          <w:p w14:paraId="395FBE20" w14:textId="77777777" w:rsidR="00387142" w:rsidRPr="008B6A75" w:rsidRDefault="00387142" w:rsidP="00387142">
            <w:pPr>
              <w:jc w:val="center"/>
              <w:rPr>
                <w:sz w:val="20"/>
                <w:szCs w:val="20"/>
              </w:rPr>
            </w:pPr>
            <w:r w:rsidRPr="008B6A75">
              <w:rPr>
                <w:sz w:val="20"/>
                <w:szCs w:val="20"/>
              </w:rPr>
              <w:t>14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90D998F" w14:textId="77777777" w:rsidR="00387142" w:rsidRPr="008B6A75" w:rsidRDefault="00387142" w:rsidP="00387142">
            <w:pPr>
              <w:jc w:val="center"/>
              <w:rPr>
                <w:sz w:val="20"/>
                <w:szCs w:val="20"/>
              </w:rPr>
            </w:pPr>
            <w:r w:rsidRPr="008B6A75">
              <w:rPr>
                <w:sz w:val="20"/>
                <w:szCs w:val="20"/>
              </w:rPr>
              <w:t>01</w:t>
            </w:r>
          </w:p>
        </w:tc>
        <w:tc>
          <w:tcPr>
            <w:tcW w:w="1516" w:type="dxa"/>
            <w:tcBorders>
              <w:top w:val="nil"/>
              <w:left w:val="single" w:sz="4" w:space="0" w:color="auto"/>
              <w:bottom w:val="single" w:sz="4" w:space="0" w:color="auto"/>
              <w:right w:val="nil"/>
            </w:tcBorders>
            <w:shd w:val="clear" w:color="auto" w:fill="auto"/>
            <w:noWrap/>
            <w:vAlign w:val="center"/>
            <w:hideMark/>
          </w:tcPr>
          <w:p w14:paraId="09C8C4D1" w14:textId="77777777" w:rsidR="00387142" w:rsidRPr="008B6A75" w:rsidRDefault="00387142" w:rsidP="00387142">
            <w:pPr>
              <w:jc w:val="center"/>
              <w:rPr>
                <w:sz w:val="20"/>
                <w:szCs w:val="20"/>
              </w:rPr>
            </w:pPr>
            <w:r w:rsidRPr="008B6A75">
              <w:rPr>
                <w:sz w:val="20"/>
                <w:szCs w:val="20"/>
              </w:rPr>
              <w:t>99.0.00.70220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6332C70" w14:textId="77777777" w:rsidR="00387142" w:rsidRPr="008B6A75" w:rsidRDefault="00387142" w:rsidP="00387142">
            <w:pPr>
              <w:jc w:val="center"/>
              <w:rPr>
                <w:sz w:val="20"/>
                <w:szCs w:val="20"/>
              </w:rPr>
            </w:pPr>
            <w:r w:rsidRPr="008B6A75">
              <w:rPr>
                <w:sz w:val="20"/>
                <w:szCs w:val="20"/>
              </w:rPr>
              <w:t>500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43CAC77" w14:textId="77777777" w:rsidR="00387142" w:rsidRPr="008B6A75" w:rsidRDefault="00387142" w:rsidP="00387142">
            <w:pPr>
              <w:jc w:val="right"/>
              <w:rPr>
                <w:sz w:val="20"/>
                <w:szCs w:val="20"/>
              </w:rPr>
            </w:pPr>
            <w:r w:rsidRPr="008B6A75">
              <w:rPr>
                <w:sz w:val="20"/>
                <w:szCs w:val="20"/>
              </w:rPr>
              <w:t>74 764 300,00</w:t>
            </w:r>
          </w:p>
        </w:tc>
        <w:tc>
          <w:tcPr>
            <w:tcW w:w="992" w:type="dxa"/>
            <w:tcBorders>
              <w:top w:val="nil"/>
              <w:left w:val="single" w:sz="4" w:space="0" w:color="auto"/>
              <w:bottom w:val="single" w:sz="4" w:space="0" w:color="auto"/>
              <w:right w:val="nil"/>
            </w:tcBorders>
            <w:shd w:val="clear" w:color="auto" w:fill="auto"/>
            <w:vAlign w:val="center"/>
            <w:hideMark/>
          </w:tcPr>
          <w:p w14:paraId="46B11ABC" w14:textId="77777777" w:rsidR="00387142" w:rsidRPr="008B6A75" w:rsidRDefault="00387142" w:rsidP="00387142">
            <w:pPr>
              <w:jc w:val="right"/>
              <w:rPr>
                <w:sz w:val="20"/>
                <w:szCs w:val="20"/>
              </w:rPr>
            </w:pPr>
            <w:r w:rsidRPr="008B6A75">
              <w:rPr>
                <w:sz w:val="20"/>
                <w:szCs w:val="20"/>
              </w:rPr>
              <w:t>72 707 900,00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135B7F68" w14:textId="77777777" w:rsidR="00387142" w:rsidRPr="008B6A75" w:rsidRDefault="00387142" w:rsidP="00387142">
            <w:pPr>
              <w:jc w:val="right"/>
              <w:rPr>
                <w:sz w:val="20"/>
                <w:szCs w:val="20"/>
              </w:rPr>
            </w:pPr>
            <w:r w:rsidRPr="008B6A75">
              <w:rPr>
                <w:sz w:val="20"/>
                <w:szCs w:val="20"/>
              </w:rPr>
              <w:t>51 417 300,00</w:t>
            </w:r>
          </w:p>
        </w:tc>
      </w:tr>
      <w:tr w:rsidR="00387142" w:rsidRPr="008B6A75" w14:paraId="5B062431" w14:textId="77777777" w:rsidTr="00387142">
        <w:trPr>
          <w:trHeight w:val="345"/>
        </w:trPr>
        <w:tc>
          <w:tcPr>
            <w:tcW w:w="3261" w:type="dxa"/>
            <w:tcBorders>
              <w:top w:val="nil"/>
              <w:left w:val="single" w:sz="4" w:space="0" w:color="auto"/>
              <w:bottom w:val="single" w:sz="4" w:space="0" w:color="auto"/>
              <w:right w:val="nil"/>
            </w:tcBorders>
            <w:shd w:val="clear" w:color="auto" w:fill="auto"/>
            <w:vAlign w:val="center"/>
            <w:hideMark/>
          </w:tcPr>
          <w:p w14:paraId="2A22D6C0" w14:textId="77777777" w:rsidR="00387142" w:rsidRPr="008B6A75" w:rsidRDefault="00387142" w:rsidP="00387142">
            <w:pPr>
              <w:rPr>
                <w:sz w:val="20"/>
                <w:szCs w:val="20"/>
              </w:rPr>
            </w:pPr>
            <w:r w:rsidRPr="008B6A75">
              <w:rPr>
                <w:sz w:val="20"/>
                <w:szCs w:val="20"/>
              </w:rPr>
              <w:t>Дотации</w:t>
            </w:r>
          </w:p>
        </w:tc>
        <w:tc>
          <w:tcPr>
            <w:tcW w:w="720" w:type="dxa"/>
            <w:tcBorders>
              <w:top w:val="nil"/>
              <w:left w:val="single" w:sz="4" w:space="0" w:color="auto"/>
              <w:bottom w:val="single" w:sz="4" w:space="0" w:color="auto"/>
              <w:right w:val="nil"/>
            </w:tcBorders>
            <w:shd w:val="clear" w:color="auto" w:fill="auto"/>
            <w:noWrap/>
            <w:vAlign w:val="center"/>
            <w:hideMark/>
          </w:tcPr>
          <w:p w14:paraId="15954FF4" w14:textId="77777777" w:rsidR="00387142" w:rsidRPr="008B6A75" w:rsidRDefault="00387142" w:rsidP="00387142">
            <w:pPr>
              <w:jc w:val="center"/>
              <w:rPr>
                <w:sz w:val="20"/>
                <w:szCs w:val="20"/>
              </w:rPr>
            </w:pPr>
            <w:r w:rsidRPr="008B6A75">
              <w:rPr>
                <w:sz w:val="20"/>
                <w:szCs w:val="20"/>
              </w:rPr>
              <w:t>14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C291311" w14:textId="77777777" w:rsidR="00387142" w:rsidRPr="008B6A75" w:rsidRDefault="00387142" w:rsidP="00387142">
            <w:pPr>
              <w:jc w:val="center"/>
              <w:rPr>
                <w:sz w:val="20"/>
                <w:szCs w:val="20"/>
              </w:rPr>
            </w:pPr>
            <w:r w:rsidRPr="008B6A75">
              <w:rPr>
                <w:sz w:val="20"/>
                <w:szCs w:val="20"/>
              </w:rPr>
              <w:t>01</w:t>
            </w:r>
          </w:p>
        </w:tc>
        <w:tc>
          <w:tcPr>
            <w:tcW w:w="1516" w:type="dxa"/>
            <w:tcBorders>
              <w:top w:val="nil"/>
              <w:left w:val="single" w:sz="4" w:space="0" w:color="auto"/>
              <w:bottom w:val="single" w:sz="4" w:space="0" w:color="auto"/>
              <w:right w:val="nil"/>
            </w:tcBorders>
            <w:shd w:val="clear" w:color="auto" w:fill="auto"/>
            <w:noWrap/>
            <w:vAlign w:val="center"/>
            <w:hideMark/>
          </w:tcPr>
          <w:p w14:paraId="6ECD3B54" w14:textId="77777777" w:rsidR="00387142" w:rsidRPr="008B6A75" w:rsidRDefault="00387142" w:rsidP="00387142">
            <w:pPr>
              <w:jc w:val="center"/>
              <w:rPr>
                <w:sz w:val="20"/>
                <w:szCs w:val="20"/>
              </w:rPr>
            </w:pPr>
            <w:r w:rsidRPr="008B6A75">
              <w:rPr>
                <w:sz w:val="20"/>
                <w:szCs w:val="20"/>
              </w:rPr>
              <w:t>99.0.00.70220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26A02A5" w14:textId="77777777" w:rsidR="00387142" w:rsidRPr="008B6A75" w:rsidRDefault="00387142" w:rsidP="00387142">
            <w:pPr>
              <w:jc w:val="center"/>
              <w:rPr>
                <w:sz w:val="20"/>
                <w:szCs w:val="20"/>
              </w:rPr>
            </w:pPr>
            <w:r w:rsidRPr="008B6A75">
              <w:rPr>
                <w:sz w:val="20"/>
                <w:szCs w:val="20"/>
              </w:rPr>
              <w:t>510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7F45AF8" w14:textId="77777777" w:rsidR="00387142" w:rsidRPr="008B6A75" w:rsidRDefault="00387142" w:rsidP="00387142">
            <w:pPr>
              <w:jc w:val="right"/>
              <w:rPr>
                <w:sz w:val="20"/>
                <w:szCs w:val="20"/>
              </w:rPr>
            </w:pPr>
            <w:r w:rsidRPr="008B6A75">
              <w:rPr>
                <w:sz w:val="20"/>
                <w:szCs w:val="20"/>
              </w:rPr>
              <w:t>74 764 300,00</w:t>
            </w:r>
          </w:p>
        </w:tc>
        <w:tc>
          <w:tcPr>
            <w:tcW w:w="992" w:type="dxa"/>
            <w:tcBorders>
              <w:top w:val="nil"/>
              <w:left w:val="single" w:sz="4" w:space="0" w:color="auto"/>
              <w:bottom w:val="single" w:sz="4" w:space="0" w:color="auto"/>
              <w:right w:val="nil"/>
            </w:tcBorders>
            <w:shd w:val="clear" w:color="auto" w:fill="auto"/>
            <w:vAlign w:val="center"/>
            <w:hideMark/>
          </w:tcPr>
          <w:p w14:paraId="0452AC92" w14:textId="77777777" w:rsidR="00387142" w:rsidRPr="008B6A75" w:rsidRDefault="00387142" w:rsidP="00387142">
            <w:pPr>
              <w:jc w:val="right"/>
              <w:rPr>
                <w:sz w:val="20"/>
                <w:szCs w:val="20"/>
              </w:rPr>
            </w:pPr>
            <w:r w:rsidRPr="008B6A75">
              <w:rPr>
                <w:sz w:val="20"/>
                <w:szCs w:val="20"/>
              </w:rPr>
              <w:t>72 707 900,00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72B313A9" w14:textId="77777777" w:rsidR="00387142" w:rsidRPr="008B6A75" w:rsidRDefault="00387142" w:rsidP="00387142">
            <w:pPr>
              <w:jc w:val="right"/>
              <w:rPr>
                <w:sz w:val="20"/>
                <w:szCs w:val="20"/>
              </w:rPr>
            </w:pPr>
            <w:r w:rsidRPr="008B6A75">
              <w:rPr>
                <w:sz w:val="20"/>
                <w:szCs w:val="20"/>
              </w:rPr>
              <w:t>51 417 300,00</w:t>
            </w:r>
          </w:p>
        </w:tc>
      </w:tr>
      <w:tr w:rsidR="00387142" w:rsidRPr="008B6A75" w14:paraId="798EF73B" w14:textId="77777777" w:rsidTr="00387142">
        <w:trPr>
          <w:trHeight w:val="1440"/>
        </w:trPr>
        <w:tc>
          <w:tcPr>
            <w:tcW w:w="3261" w:type="dxa"/>
            <w:tcBorders>
              <w:top w:val="nil"/>
              <w:left w:val="single" w:sz="4" w:space="0" w:color="auto"/>
              <w:bottom w:val="single" w:sz="4" w:space="0" w:color="auto"/>
              <w:right w:val="nil"/>
            </w:tcBorders>
            <w:shd w:val="clear" w:color="auto" w:fill="auto"/>
            <w:vAlign w:val="center"/>
            <w:hideMark/>
          </w:tcPr>
          <w:p w14:paraId="15A757ED" w14:textId="77777777" w:rsidR="00387142" w:rsidRPr="008B6A75" w:rsidRDefault="00387142" w:rsidP="00387142">
            <w:pPr>
              <w:rPr>
                <w:bCs/>
                <w:sz w:val="20"/>
                <w:szCs w:val="20"/>
              </w:rPr>
            </w:pPr>
            <w:r w:rsidRPr="008B6A75">
              <w:rPr>
                <w:bCs/>
                <w:sz w:val="20"/>
                <w:szCs w:val="20"/>
              </w:rPr>
              <w:t xml:space="preserve">Реализация мероприятий по обеспечению сбалансированности местных </w:t>
            </w:r>
            <w:proofErr w:type="gramStart"/>
            <w:r w:rsidRPr="008B6A75">
              <w:rPr>
                <w:bCs/>
                <w:sz w:val="20"/>
                <w:szCs w:val="20"/>
              </w:rPr>
              <w:t>бюджетов  государственной</w:t>
            </w:r>
            <w:proofErr w:type="gramEnd"/>
            <w:r w:rsidRPr="008B6A75">
              <w:rPr>
                <w:bCs/>
                <w:sz w:val="20"/>
                <w:szCs w:val="20"/>
              </w:rPr>
              <w:t xml:space="preserve"> программы Новосибирской области "Управление  финансами в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14:paraId="4FE4D6B2" w14:textId="77777777" w:rsidR="00387142" w:rsidRPr="008B6A75" w:rsidRDefault="00387142" w:rsidP="00387142">
            <w:pPr>
              <w:jc w:val="center"/>
              <w:rPr>
                <w:bCs/>
                <w:sz w:val="20"/>
                <w:szCs w:val="20"/>
              </w:rPr>
            </w:pPr>
            <w:r w:rsidRPr="008B6A75">
              <w:rPr>
                <w:bCs/>
                <w:sz w:val="20"/>
                <w:szCs w:val="20"/>
              </w:rPr>
              <w:t>14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90D3BF7" w14:textId="77777777" w:rsidR="00387142" w:rsidRPr="008B6A75" w:rsidRDefault="00387142" w:rsidP="00387142">
            <w:pPr>
              <w:jc w:val="center"/>
              <w:rPr>
                <w:bCs/>
                <w:sz w:val="20"/>
                <w:szCs w:val="20"/>
              </w:rPr>
            </w:pPr>
            <w:r w:rsidRPr="008B6A75">
              <w:rPr>
                <w:bCs/>
                <w:sz w:val="20"/>
                <w:szCs w:val="20"/>
              </w:rPr>
              <w:t>01</w:t>
            </w:r>
          </w:p>
        </w:tc>
        <w:tc>
          <w:tcPr>
            <w:tcW w:w="1516" w:type="dxa"/>
            <w:tcBorders>
              <w:top w:val="nil"/>
              <w:left w:val="single" w:sz="4" w:space="0" w:color="auto"/>
              <w:bottom w:val="single" w:sz="4" w:space="0" w:color="auto"/>
              <w:right w:val="nil"/>
            </w:tcBorders>
            <w:shd w:val="clear" w:color="auto" w:fill="auto"/>
            <w:noWrap/>
            <w:vAlign w:val="center"/>
            <w:hideMark/>
          </w:tcPr>
          <w:p w14:paraId="2BC22948" w14:textId="77777777" w:rsidR="00387142" w:rsidRPr="008B6A75" w:rsidRDefault="00387142" w:rsidP="00387142">
            <w:pPr>
              <w:jc w:val="center"/>
              <w:rPr>
                <w:bCs/>
                <w:sz w:val="20"/>
                <w:szCs w:val="20"/>
              </w:rPr>
            </w:pPr>
            <w:r w:rsidRPr="008B6A75">
              <w:rPr>
                <w:bCs/>
                <w:sz w:val="20"/>
                <w:szCs w:val="20"/>
              </w:rPr>
              <w:t>99.0.00.70510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2B66B9F"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B4BA301" w14:textId="77777777" w:rsidR="00387142" w:rsidRPr="008B6A75" w:rsidRDefault="00387142" w:rsidP="00387142">
            <w:pPr>
              <w:jc w:val="right"/>
              <w:rPr>
                <w:bCs/>
                <w:sz w:val="20"/>
                <w:szCs w:val="20"/>
              </w:rPr>
            </w:pPr>
            <w:r w:rsidRPr="008B6A75">
              <w:rPr>
                <w:bCs/>
                <w:sz w:val="20"/>
                <w:szCs w:val="20"/>
              </w:rPr>
              <w:t>48 483 500,00</w:t>
            </w:r>
          </w:p>
        </w:tc>
        <w:tc>
          <w:tcPr>
            <w:tcW w:w="992" w:type="dxa"/>
            <w:tcBorders>
              <w:top w:val="nil"/>
              <w:left w:val="single" w:sz="4" w:space="0" w:color="auto"/>
              <w:bottom w:val="single" w:sz="4" w:space="0" w:color="auto"/>
              <w:right w:val="nil"/>
            </w:tcBorders>
            <w:shd w:val="clear" w:color="auto" w:fill="auto"/>
            <w:vAlign w:val="center"/>
            <w:hideMark/>
          </w:tcPr>
          <w:p w14:paraId="5FB93AF2" w14:textId="77777777" w:rsidR="00387142" w:rsidRPr="008B6A75" w:rsidRDefault="00387142" w:rsidP="00387142">
            <w:pPr>
              <w:jc w:val="right"/>
              <w:rPr>
                <w:bCs/>
                <w:sz w:val="20"/>
                <w:szCs w:val="20"/>
              </w:rPr>
            </w:pPr>
            <w:r w:rsidRPr="008B6A75">
              <w:rPr>
                <w:bCs/>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60175118" w14:textId="77777777" w:rsidR="00387142" w:rsidRPr="008B6A75" w:rsidRDefault="00387142" w:rsidP="00387142">
            <w:pPr>
              <w:jc w:val="right"/>
              <w:rPr>
                <w:bCs/>
                <w:sz w:val="20"/>
                <w:szCs w:val="20"/>
              </w:rPr>
            </w:pPr>
            <w:r w:rsidRPr="008B6A75">
              <w:rPr>
                <w:bCs/>
                <w:sz w:val="20"/>
                <w:szCs w:val="20"/>
              </w:rPr>
              <w:t>0,00</w:t>
            </w:r>
          </w:p>
        </w:tc>
      </w:tr>
      <w:tr w:rsidR="00387142" w:rsidRPr="008B6A75" w14:paraId="17EE28A4" w14:textId="77777777" w:rsidTr="00387142">
        <w:trPr>
          <w:trHeight w:val="345"/>
        </w:trPr>
        <w:tc>
          <w:tcPr>
            <w:tcW w:w="3261" w:type="dxa"/>
            <w:tcBorders>
              <w:top w:val="nil"/>
              <w:left w:val="single" w:sz="4" w:space="0" w:color="auto"/>
              <w:bottom w:val="single" w:sz="4" w:space="0" w:color="auto"/>
              <w:right w:val="nil"/>
            </w:tcBorders>
            <w:shd w:val="clear" w:color="auto" w:fill="auto"/>
            <w:vAlign w:val="center"/>
            <w:hideMark/>
          </w:tcPr>
          <w:p w14:paraId="7CAF99C0" w14:textId="77777777" w:rsidR="00387142" w:rsidRPr="008B6A75" w:rsidRDefault="00387142" w:rsidP="00387142">
            <w:pPr>
              <w:rPr>
                <w:sz w:val="20"/>
                <w:szCs w:val="20"/>
              </w:rPr>
            </w:pPr>
            <w:r w:rsidRPr="008B6A75">
              <w:rPr>
                <w:sz w:val="20"/>
                <w:szCs w:val="20"/>
              </w:rPr>
              <w:t>Межбюджетные трансферты</w:t>
            </w:r>
          </w:p>
        </w:tc>
        <w:tc>
          <w:tcPr>
            <w:tcW w:w="720" w:type="dxa"/>
            <w:tcBorders>
              <w:top w:val="nil"/>
              <w:left w:val="single" w:sz="4" w:space="0" w:color="auto"/>
              <w:bottom w:val="single" w:sz="4" w:space="0" w:color="auto"/>
              <w:right w:val="nil"/>
            </w:tcBorders>
            <w:shd w:val="clear" w:color="auto" w:fill="auto"/>
            <w:noWrap/>
            <w:vAlign w:val="center"/>
            <w:hideMark/>
          </w:tcPr>
          <w:p w14:paraId="77AA5CBF" w14:textId="77777777" w:rsidR="00387142" w:rsidRPr="008B6A75" w:rsidRDefault="00387142" w:rsidP="00387142">
            <w:pPr>
              <w:jc w:val="center"/>
              <w:rPr>
                <w:sz w:val="20"/>
                <w:szCs w:val="20"/>
              </w:rPr>
            </w:pPr>
            <w:r w:rsidRPr="008B6A75">
              <w:rPr>
                <w:sz w:val="20"/>
                <w:szCs w:val="20"/>
              </w:rPr>
              <w:t>14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DB51148" w14:textId="77777777" w:rsidR="00387142" w:rsidRPr="008B6A75" w:rsidRDefault="00387142" w:rsidP="00387142">
            <w:pPr>
              <w:jc w:val="center"/>
              <w:rPr>
                <w:sz w:val="20"/>
                <w:szCs w:val="20"/>
              </w:rPr>
            </w:pPr>
            <w:r w:rsidRPr="008B6A75">
              <w:rPr>
                <w:sz w:val="20"/>
                <w:szCs w:val="20"/>
              </w:rPr>
              <w:t>01</w:t>
            </w:r>
          </w:p>
        </w:tc>
        <w:tc>
          <w:tcPr>
            <w:tcW w:w="1516" w:type="dxa"/>
            <w:tcBorders>
              <w:top w:val="nil"/>
              <w:left w:val="single" w:sz="4" w:space="0" w:color="auto"/>
              <w:bottom w:val="single" w:sz="4" w:space="0" w:color="auto"/>
              <w:right w:val="nil"/>
            </w:tcBorders>
            <w:shd w:val="clear" w:color="auto" w:fill="auto"/>
            <w:noWrap/>
            <w:vAlign w:val="center"/>
            <w:hideMark/>
          </w:tcPr>
          <w:p w14:paraId="0664E7C7" w14:textId="77777777" w:rsidR="00387142" w:rsidRPr="008B6A75" w:rsidRDefault="00387142" w:rsidP="00387142">
            <w:pPr>
              <w:jc w:val="center"/>
              <w:rPr>
                <w:sz w:val="20"/>
                <w:szCs w:val="20"/>
              </w:rPr>
            </w:pPr>
            <w:r w:rsidRPr="008B6A75">
              <w:rPr>
                <w:sz w:val="20"/>
                <w:szCs w:val="20"/>
              </w:rPr>
              <w:t>99.0.00.70510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81C70FE" w14:textId="77777777" w:rsidR="00387142" w:rsidRPr="008B6A75" w:rsidRDefault="00387142" w:rsidP="00387142">
            <w:pPr>
              <w:jc w:val="center"/>
              <w:rPr>
                <w:sz w:val="20"/>
                <w:szCs w:val="20"/>
              </w:rPr>
            </w:pPr>
            <w:r w:rsidRPr="008B6A75">
              <w:rPr>
                <w:sz w:val="20"/>
                <w:szCs w:val="20"/>
              </w:rPr>
              <w:t>500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627A6DA" w14:textId="77777777" w:rsidR="00387142" w:rsidRPr="008B6A75" w:rsidRDefault="00387142" w:rsidP="00387142">
            <w:pPr>
              <w:jc w:val="right"/>
              <w:rPr>
                <w:sz w:val="20"/>
                <w:szCs w:val="20"/>
              </w:rPr>
            </w:pPr>
            <w:r w:rsidRPr="008B6A75">
              <w:rPr>
                <w:sz w:val="20"/>
                <w:szCs w:val="20"/>
              </w:rPr>
              <w:t>48 483 500,00</w:t>
            </w:r>
          </w:p>
        </w:tc>
        <w:tc>
          <w:tcPr>
            <w:tcW w:w="992" w:type="dxa"/>
            <w:tcBorders>
              <w:top w:val="nil"/>
              <w:left w:val="single" w:sz="4" w:space="0" w:color="auto"/>
              <w:bottom w:val="single" w:sz="4" w:space="0" w:color="auto"/>
              <w:right w:val="nil"/>
            </w:tcBorders>
            <w:shd w:val="clear" w:color="auto" w:fill="auto"/>
            <w:vAlign w:val="center"/>
            <w:hideMark/>
          </w:tcPr>
          <w:p w14:paraId="5A38C638" w14:textId="77777777" w:rsidR="00387142" w:rsidRPr="008B6A75" w:rsidRDefault="00387142" w:rsidP="00387142">
            <w:pPr>
              <w:jc w:val="right"/>
              <w:rPr>
                <w:sz w:val="20"/>
                <w:szCs w:val="20"/>
              </w:rPr>
            </w:pPr>
            <w:r w:rsidRPr="008B6A75">
              <w:rPr>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4F19480E" w14:textId="77777777" w:rsidR="00387142" w:rsidRPr="008B6A75" w:rsidRDefault="00387142" w:rsidP="00387142">
            <w:pPr>
              <w:jc w:val="right"/>
              <w:rPr>
                <w:sz w:val="20"/>
                <w:szCs w:val="20"/>
              </w:rPr>
            </w:pPr>
            <w:r w:rsidRPr="008B6A75">
              <w:rPr>
                <w:sz w:val="20"/>
                <w:szCs w:val="20"/>
              </w:rPr>
              <w:t>0,00</w:t>
            </w:r>
          </w:p>
        </w:tc>
      </w:tr>
      <w:tr w:rsidR="00387142" w:rsidRPr="008B6A75" w14:paraId="4D7377AC" w14:textId="77777777" w:rsidTr="00387142">
        <w:trPr>
          <w:trHeight w:val="345"/>
        </w:trPr>
        <w:tc>
          <w:tcPr>
            <w:tcW w:w="3261" w:type="dxa"/>
            <w:tcBorders>
              <w:top w:val="nil"/>
              <w:left w:val="single" w:sz="4" w:space="0" w:color="auto"/>
              <w:bottom w:val="single" w:sz="4" w:space="0" w:color="auto"/>
              <w:right w:val="nil"/>
            </w:tcBorders>
            <w:shd w:val="clear" w:color="auto" w:fill="auto"/>
            <w:vAlign w:val="center"/>
            <w:hideMark/>
          </w:tcPr>
          <w:p w14:paraId="2699D01B" w14:textId="77777777" w:rsidR="00387142" w:rsidRPr="008B6A75" w:rsidRDefault="00387142" w:rsidP="00387142">
            <w:pPr>
              <w:rPr>
                <w:sz w:val="20"/>
                <w:szCs w:val="20"/>
              </w:rPr>
            </w:pPr>
            <w:r w:rsidRPr="008B6A75">
              <w:rPr>
                <w:sz w:val="20"/>
                <w:szCs w:val="20"/>
              </w:rPr>
              <w:t>Дотации</w:t>
            </w:r>
          </w:p>
        </w:tc>
        <w:tc>
          <w:tcPr>
            <w:tcW w:w="720" w:type="dxa"/>
            <w:tcBorders>
              <w:top w:val="nil"/>
              <w:left w:val="single" w:sz="4" w:space="0" w:color="auto"/>
              <w:bottom w:val="single" w:sz="4" w:space="0" w:color="auto"/>
              <w:right w:val="nil"/>
            </w:tcBorders>
            <w:shd w:val="clear" w:color="auto" w:fill="auto"/>
            <w:noWrap/>
            <w:vAlign w:val="center"/>
            <w:hideMark/>
          </w:tcPr>
          <w:p w14:paraId="75D15BF2" w14:textId="77777777" w:rsidR="00387142" w:rsidRPr="008B6A75" w:rsidRDefault="00387142" w:rsidP="00387142">
            <w:pPr>
              <w:jc w:val="center"/>
              <w:rPr>
                <w:sz w:val="20"/>
                <w:szCs w:val="20"/>
              </w:rPr>
            </w:pPr>
            <w:r w:rsidRPr="008B6A75">
              <w:rPr>
                <w:sz w:val="20"/>
                <w:szCs w:val="20"/>
              </w:rPr>
              <w:t>14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BC13F55" w14:textId="77777777" w:rsidR="00387142" w:rsidRPr="008B6A75" w:rsidRDefault="00387142" w:rsidP="00387142">
            <w:pPr>
              <w:jc w:val="center"/>
              <w:rPr>
                <w:sz w:val="20"/>
                <w:szCs w:val="20"/>
              </w:rPr>
            </w:pPr>
            <w:r w:rsidRPr="008B6A75">
              <w:rPr>
                <w:sz w:val="20"/>
                <w:szCs w:val="20"/>
              </w:rPr>
              <w:t>01</w:t>
            </w:r>
          </w:p>
        </w:tc>
        <w:tc>
          <w:tcPr>
            <w:tcW w:w="1516" w:type="dxa"/>
            <w:tcBorders>
              <w:top w:val="nil"/>
              <w:left w:val="single" w:sz="4" w:space="0" w:color="auto"/>
              <w:bottom w:val="single" w:sz="4" w:space="0" w:color="auto"/>
              <w:right w:val="nil"/>
            </w:tcBorders>
            <w:shd w:val="clear" w:color="auto" w:fill="auto"/>
            <w:noWrap/>
            <w:vAlign w:val="center"/>
            <w:hideMark/>
          </w:tcPr>
          <w:p w14:paraId="3FA799CA" w14:textId="77777777" w:rsidR="00387142" w:rsidRPr="008B6A75" w:rsidRDefault="00387142" w:rsidP="00387142">
            <w:pPr>
              <w:jc w:val="center"/>
              <w:rPr>
                <w:sz w:val="20"/>
                <w:szCs w:val="20"/>
              </w:rPr>
            </w:pPr>
            <w:r w:rsidRPr="008B6A75">
              <w:rPr>
                <w:sz w:val="20"/>
                <w:szCs w:val="20"/>
              </w:rPr>
              <w:t>99.0.00.70510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BC3A23E" w14:textId="77777777" w:rsidR="00387142" w:rsidRPr="008B6A75" w:rsidRDefault="00387142" w:rsidP="00387142">
            <w:pPr>
              <w:jc w:val="center"/>
              <w:rPr>
                <w:sz w:val="20"/>
                <w:szCs w:val="20"/>
              </w:rPr>
            </w:pPr>
            <w:r w:rsidRPr="008B6A75">
              <w:rPr>
                <w:sz w:val="20"/>
                <w:szCs w:val="20"/>
              </w:rPr>
              <w:t>510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B33DF6B" w14:textId="77777777" w:rsidR="00387142" w:rsidRPr="008B6A75" w:rsidRDefault="00387142" w:rsidP="00387142">
            <w:pPr>
              <w:jc w:val="right"/>
              <w:rPr>
                <w:sz w:val="20"/>
                <w:szCs w:val="20"/>
              </w:rPr>
            </w:pPr>
            <w:r w:rsidRPr="008B6A75">
              <w:rPr>
                <w:sz w:val="20"/>
                <w:szCs w:val="20"/>
              </w:rPr>
              <w:t>48 483 500,00</w:t>
            </w:r>
          </w:p>
        </w:tc>
        <w:tc>
          <w:tcPr>
            <w:tcW w:w="992" w:type="dxa"/>
            <w:tcBorders>
              <w:top w:val="nil"/>
              <w:left w:val="single" w:sz="4" w:space="0" w:color="auto"/>
              <w:bottom w:val="single" w:sz="4" w:space="0" w:color="auto"/>
              <w:right w:val="nil"/>
            </w:tcBorders>
            <w:shd w:val="clear" w:color="auto" w:fill="auto"/>
            <w:vAlign w:val="center"/>
            <w:hideMark/>
          </w:tcPr>
          <w:p w14:paraId="500EDCDE" w14:textId="77777777" w:rsidR="00387142" w:rsidRPr="008B6A75" w:rsidRDefault="00387142" w:rsidP="00387142">
            <w:pPr>
              <w:jc w:val="right"/>
              <w:rPr>
                <w:sz w:val="20"/>
                <w:szCs w:val="20"/>
              </w:rPr>
            </w:pPr>
            <w:r w:rsidRPr="008B6A75">
              <w:rPr>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653C180C" w14:textId="77777777" w:rsidR="00387142" w:rsidRPr="008B6A75" w:rsidRDefault="00387142" w:rsidP="00387142">
            <w:pPr>
              <w:jc w:val="right"/>
              <w:rPr>
                <w:sz w:val="20"/>
                <w:szCs w:val="20"/>
              </w:rPr>
            </w:pPr>
            <w:r w:rsidRPr="008B6A75">
              <w:rPr>
                <w:sz w:val="20"/>
                <w:szCs w:val="20"/>
              </w:rPr>
              <w:t>0,00</w:t>
            </w:r>
          </w:p>
        </w:tc>
      </w:tr>
      <w:tr w:rsidR="00387142" w:rsidRPr="008B6A75" w14:paraId="1B04971C" w14:textId="77777777" w:rsidTr="00387142">
        <w:trPr>
          <w:trHeight w:val="1725"/>
        </w:trPr>
        <w:tc>
          <w:tcPr>
            <w:tcW w:w="3261" w:type="dxa"/>
            <w:tcBorders>
              <w:top w:val="nil"/>
              <w:left w:val="single" w:sz="4" w:space="0" w:color="auto"/>
              <w:bottom w:val="single" w:sz="4" w:space="0" w:color="auto"/>
              <w:right w:val="nil"/>
            </w:tcBorders>
            <w:shd w:val="clear" w:color="auto" w:fill="auto"/>
            <w:vAlign w:val="center"/>
            <w:hideMark/>
          </w:tcPr>
          <w:p w14:paraId="61C2F03A" w14:textId="77777777" w:rsidR="00387142" w:rsidRPr="008B6A75" w:rsidRDefault="00387142" w:rsidP="00387142">
            <w:pPr>
              <w:rPr>
                <w:bCs/>
                <w:sz w:val="20"/>
                <w:szCs w:val="20"/>
              </w:rPr>
            </w:pPr>
            <w:proofErr w:type="spellStart"/>
            <w:r w:rsidRPr="008B6A75">
              <w:rPr>
                <w:bCs/>
                <w:sz w:val="20"/>
                <w:szCs w:val="20"/>
              </w:rPr>
              <w:t>Софинансирование</w:t>
            </w:r>
            <w:proofErr w:type="spellEnd"/>
            <w:r w:rsidRPr="008B6A75">
              <w:rPr>
                <w:bCs/>
                <w:sz w:val="20"/>
                <w:szCs w:val="20"/>
              </w:rPr>
              <w:t xml:space="preserve"> местного бюджета на реализацию мероприятий по обеспечению сбалансированности местных </w:t>
            </w:r>
            <w:proofErr w:type="gramStart"/>
            <w:r w:rsidRPr="008B6A75">
              <w:rPr>
                <w:bCs/>
                <w:sz w:val="20"/>
                <w:szCs w:val="20"/>
              </w:rPr>
              <w:t>бюджетов  государственной</w:t>
            </w:r>
            <w:proofErr w:type="gramEnd"/>
            <w:r w:rsidRPr="008B6A75">
              <w:rPr>
                <w:bCs/>
                <w:sz w:val="20"/>
                <w:szCs w:val="20"/>
              </w:rPr>
              <w:t xml:space="preserve"> программы Новосибирской области "Управление  финансами в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14:paraId="0E86CCBF" w14:textId="77777777" w:rsidR="00387142" w:rsidRPr="008B6A75" w:rsidRDefault="00387142" w:rsidP="00387142">
            <w:pPr>
              <w:jc w:val="center"/>
              <w:rPr>
                <w:bCs/>
                <w:sz w:val="20"/>
                <w:szCs w:val="20"/>
              </w:rPr>
            </w:pPr>
            <w:r w:rsidRPr="008B6A75">
              <w:rPr>
                <w:bCs/>
                <w:sz w:val="20"/>
                <w:szCs w:val="20"/>
              </w:rPr>
              <w:t>14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4696F89" w14:textId="77777777" w:rsidR="00387142" w:rsidRPr="008B6A75" w:rsidRDefault="00387142" w:rsidP="00387142">
            <w:pPr>
              <w:jc w:val="center"/>
              <w:rPr>
                <w:bCs/>
                <w:sz w:val="20"/>
                <w:szCs w:val="20"/>
              </w:rPr>
            </w:pPr>
            <w:r w:rsidRPr="008B6A75">
              <w:rPr>
                <w:bCs/>
                <w:sz w:val="20"/>
                <w:szCs w:val="20"/>
              </w:rPr>
              <w:t>01</w:t>
            </w:r>
          </w:p>
        </w:tc>
        <w:tc>
          <w:tcPr>
            <w:tcW w:w="1516" w:type="dxa"/>
            <w:tcBorders>
              <w:top w:val="nil"/>
              <w:left w:val="single" w:sz="4" w:space="0" w:color="auto"/>
              <w:bottom w:val="single" w:sz="4" w:space="0" w:color="auto"/>
              <w:right w:val="nil"/>
            </w:tcBorders>
            <w:shd w:val="clear" w:color="auto" w:fill="auto"/>
            <w:noWrap/>
            <w:vAlign w:val="center"/>
            <w:hideMark/>
          </w:tcPr>
          <w:p w14:paraId="3BE8C4CB" w14:textId="77777777" w:rsidR="00387142" w:rsidRPr="008B6A75" w:rsidRDefault="00387142" w:rsidP="00387142">
            <w:pPr>
              <w:jc w:val="center"/>
              <w:rPr>
                <w:bCs/>
                <w:sz w:val="20"/>
                <w:szCs w:val="20"/>
              </w:rPr>
            </w:pPr>
            <w:r w:rsidRPr="008B6A75">
              <w:rPr>
                <w:bCs/>
                <w:sz w:val="20"/>
                <w:szCs w:val="20"/>
              </w:rPr>
              <w:t>99.0.00.S0510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BD27A68"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4AEDFBF" w14:textId="77777777" w:rsidR="00387142" w:rsidRPr="008B6A75" w:rsidRDefault="00387142" w:rsidP="00387142">
            <w:pPr>
              <w:jc w:val="right"/>
              <w:rPr>
                <w:bCs/>
                <w:sz w:val="20"/>
                <w:szCs w:val="20"/>
              </w:rPr>
            </w:pPr>
            <w:r w:rsidRPr="008B6A75">
              <w:rPr>
                <w:bCs/>
                <w:sz w:val="20"/>
                <w:szCs w:val="20"/>
              </w:rPr>
              <w:t>489 800,00</w:t>
            </w:r>
          </w:p>
        </w:tc>
        <w:tc>
          <w:tcPr>
            <w:tcW w:w="992" w:type="dxa"/>
            <w:tcBorders>
              <w:top w:val="nil"/>
              <w:left w:val="single" w:sz="4" w:space="0" w:color="auto"/>
              <w:bottom w:val="single" w:sz="4" w:space="0" w:color="auto"/>
              <w:right w:val="nil"/>
            </w:tcBorders>
            <w:shd w:val="clear" w:color="auto" w:fill="auto"/>
            <w:vAlign w:val="center"/>
            <w:hideMark/>
          </w:tcPr>
          <w:p w14:paraId="43CA4E85" w14:textId="77777777" w:rsidR="00387142" w:rsidRPr="008B6A75" w:rsidRDefault="00387142" w:rsidP="00387142">
            <w:pPr>
              <w:jc w:val="right"/>
              <w:rPr>
                <w:bCs/>
                <w:sz w:val="20"/>
                <w:szCs w:val="20"/>
              </w:rPr>
            </w:pPr>
            <w:r w:rsidRPr="008B6A75">
              <w:rPr>
                <w:bCs/>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43331DA2" w14:textId="77777777" w:rsidR="00387142" w:rsidRPr="008B6A75" w:rsidRDefault="00387142" w:rsidP="00387142">
            <w:pPr>
              <w:jc w:val="right"/>
              <w:rPr>
                <w:bCs/>
                <w:sz w:val="20"/>
                <w:szCs w:val="20"/>
              </w:rPr>
            </w:pPr>
            <w:r w:rsidRPr="008B6A75">
              <w:rPr>
                <w:bCs/>
                <w:sz w:val="20"/>
                <w:szCs w:val="20"/>
              </w:rPr>
              <w:t>0,00</w:t>
            </w:r>
          </w:p>
        </w:tc>
      </w:tr>
      <w:tr w:rsidR="00387142" w:rsidRPr="008B6A75" w14:paraId="42C0DD5A" w14:textId="77777777" w:rsidTr="00387142">
        <w:trPr>
          <w:trHeight w:val="345"/>
        </w:trPr>
        <w:tc>
          <w:tcPr>
            <w:tcW w:w="3261" w:type="dxa"/>
            <w:tcBorders>
              <w:top w:val="nil"/>
              <w:left w:val="single" w:sz="4" w:space="0" w:color="auto"/>
              <w:bottom w:val="single" w:sz="4" w:space="0" w:color="auto"/>
              <w:right w:val="nil"/>
            </w:tcBorders>
            <w:shd w:val="clear" w:color="auto" w:fill="auto"/>
            <w:vAlign w:val="center"/>
            <w:hideMark/>
          </w:tcPr>
          <w:p w14:paraId="1A25DD0C" w14:textId="77777777" w:rsidR="00387142" w:rsidRPr="008B6A75" w:rsidRDefault="00387142" w:rsidP="00387142">
            <w:pPr>
              <w:rPr>
                <w:sz w:val="20"/>
                <w:szCs w:val="20"/>
              </w:rPr>
            </w:pPr>
            <w:r w:rsidRPr="008B6A75">
              <w:rPr>
                <w:sz w:val="20"/>
                <w:szCs w:val="20"/>
              </w:rPr>
              <w:t>Межбюджетные трансферты</w:t>
            </w:r>
          </w:p>
        </w:tc>
        <w:tc>
          <w:tcPr>
            <w:tcW w:w="720" w:type="dxa"/>
            <w:tcBorders>
              <w:top w:val="nil"/>
              <w:left w:val="single" w:sz="4" w:space="0" w:color="auto"/>
              <w:bottom w:val="single" w:sz="4" w:space="0" w:color="auto"/>
              <w:right w:val="nil"/>
            </w:tcBorders>
            <w:shd w:val="clear" w:color="auto" w:fill="auto"/>
            <w:noWrap/>
            <w:vAlign w:val="center"/>
            <w:hideMark/>
          </w:tcPr>
          <w:p w14:paraId="399DE0F6" w14:textId="77777777" w:rsidR="00387142" w:rsidRPr="008B6A75" w:rsidRDefault="00387142" w:rsidP="00387142">
            <w:pPr>
              <w:jc w:val="center"/>
              <w:rPr>
                <w:sz w:val="20"/>
                <w:szCs w:val="20"/>
              </w:rPr>
            </w:pPr>
            <w:r w:rsidRPr="008B6A75">
              <w:rPr>
                <w:sz w:val="20"/>
                <w:szCs w:val="20"/>
              </w:rPr>
              <w:t>14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8CC21C5" w14:textId="77777777" w:rsidR="00387142" w:rsidRPr="008B6A75" w:rsidRDefault="00387142" w:rsidP="00387142">
            <w:pPr>
              <w:jc w:val="center"/>
              <w:rPr>
                <w:sz w:val="20"/>
                <w:szCs w:val="20"/>
              </w:rPr>
            </w:pPr>
            <w:r w:rsidRPr="008B6A75">
              <w:rPr>
                <w:sz w:val="20"/>
                <w:szCs w:val="20"/>
              </w:rPr>
              <w:t>01</w:t>
            </w:r>
          </w:p>
        </w:tc>
        <w:tc>
          <w:tcPr>
            <w:tcW w:w="1516" w:type="dxa"/>
            <w:tcBorders>
              <w:top w:val="nil"/>
              <w:left w:val="single" w:sz="4" w:space="0" w:color="auto"/>
              <w:bottom w:val="single" w:sz="4" w:space="0" w:color="auto"/>
              <w:right w:val="nil"/>
            </w:tcBorders>
            <w:shd w:val="clear" w:color="auto" w:fill="auto"/>
            <w:noWrap/>
            <w:vAlign w:val="center"/>
            <w:hideMark/>
          </w:tcPr>
          <w:p w14:paraId="4A386BB1" w14:textId="77777777" w:rsidR="00387142" w:rsidRPr="008B6A75" w:rsidRDefault="00387142" w:rsidP="00387142">
            <w:pPr>
              <w:jc w:val="center"/>
              <w:rPr>
                <w:sz w:val="20"/>
                <w:szCs w:val="20"/>
              </w:rPr>
            </w:pPr>
            <w:r w:rsidRPr="008B6A75">
              <w:rPr>
                <w:sz w:val="20"/>
                <w:szCs w:val="20"/>
              </w:rPr>
              <w:t>99.0.00.S0510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1883925" w14:textId="77777777" w:rsidR="00387142" w:rsidRPr="008B6A75" w:rsidRDefault="00387142" w:rsidP="00387142">
            <w:pPr>
              <w:jc w:val="center"/>
              <w:rPr>
                <w:sz w:val="20"/>
                <w:szCs w:val="20"/>
              </w:rPr>
            </w:pPr>
            <w:r w:rsidRPr="008B6A75">
              <w:rPr>
                <w:sz w:val="20"/>
                <w:szCs w:val="20"/>
              </w:rPr>
              <w:t>500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2052419" w14:textId="77777777" w:rsidR="00387142" w:rsidRPr="008B6A75" w:rsidRDefault="00387142" w:rsidP="00387142">
            <w:pPr>
              <w:jc w:val="right"/>
              <w:rPr>
                <w:sz w:val="20"/>
                <w:szCs w:val="20"/>
              </w:rPr>
            </w:pPr>
            <w:r w:rsidRPr="008B6A75">
              <w:rPr>
                <w:sz w:val="20"/>
                <w:szCs w:val="20"/>
              </w:rPr>
              <w:t>489 800,00</w:t>
            </w:r>
          </w:p>
        </w:tc>
        <w:tc>
          <w:tcPr>
            <w:tcW w:w="992" w:type="dxa"/>
            <w:tcBorders>
              <w:top w:val="nil"/>
              <w:left w:val="single" w:sz="4" w:space="0" w:color="auto"/>
              <w:bottom w:val="single" w:sz="4" w:space="0" w:color="auto"/>
              <w:right w:val="nil"/>
            </w:tcBorders>
            <w:shd w:val="clear" w:color="auto" w:fill="auto"/>
            <w:vAlign w:val="center"/>
            <w:hideMark/>
          </w:tcPr>
          <w:p w14:paraId="6A469D09" w14:textId="77777777" w:rsidR="00387142" w:rsidRPr="008B6A75" w:rsidRDefault="00387142" w:rsidP="00387142">
            <w:pPr>
              <w:jc w:val="right"/>
              <w:rPr>
                <w:sz w:val="20"/>
                <w:szCs w:val="20"/>
              </w:rPr>
            </w:pPr>
            <w:r w:rsidRPr="008B6A75">
              <w:rPr>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320346D3" w14:textId="77777777" w:rsidR="00387142" w:rsidRPr="008B6A75" w:rsidRDefault="00387142" w:rsidP="00387142">
            <w:pPr>
              <w:jc w:val="right"/>
              <w:rPr>
                <w:sz w:val="20"/>
                <w:szCs w:val="20"/>
              </w:rPr>
            </w:pPr>
            <w:r w:rsidRPr="008B6A75">
              <w:rPr>
                <w:sz w:val="20"/>
                <w:szCs w:val="20"/>
              </w:rPr>
              <w:t>0,00</w:t>
            </w:r>
          </w:p>
        </w:tc>
      </w:tr>
      <w:tr w:rsidR="00387142" w:rsidRPr="008B6A75" w14:paraId="0AB54E8F" w14:textId="77777777" w:rsidTr="00387142">
        <w:trPr>
          <w:trHeight w:val="345"/>
        </w:trPr>
        <w:tc>
          <w:tcPr>
            <w:tcW w:w="3261" w:type="dxa"/>
            <w:tcBorders>
              <w:top w:val="nil"/>
              <w:left w:val="single" w:sz="4" w:space="0" w:color="auto"/>
              <w:bottom w:val="single" w:sz="4" w:space="0" w:color="auto"/>
              <w:right w:val="nil"/>
            </w:tcBorders>
            <w:shd w:val="clear" w:color="auto" w:fill="auto"/>
            <w:vAlign w:val="center"/>
            <w:hideMark/>
          </w:tcPr>
          <w:p w14:paraId="7BF89138" w14:textId="77777777" w:rsidR="00387142" w:rsidRPr="008B6A75" w:rsidRDefault="00387142" w:rsidP="00387142">
            <w:pPr>
              <w:rPr>
                <w:sz w:val="20"/>
                <w:szCs w:val="20"/>
              </w:rPr>
            </w:pPr>
            <w:r w:rsidRPr="008B6A75">
              <w:rPr>
                <w:sz w:val="20"/>
                <w:szCs w:val="20"/>
              </w:rPr>
              <w:t>Дотации</w:t>
            </w:r>
          </w:p>
        </w:tc>
        <w:tc>
          <w:tcPr>
            <w:tcW w:w="720" w:type="dxa"/>
            <w:tcBorders>
              <w:top w:val="nil"/>
              <w:left w:val="single" w:sz="4" w:space="0" w:color="auto"/>
              <w:bottom w:val="single" w:sz="4" w:space="0" w:color="auto"/>
              <w:right w:val="nil"/>
            </w:tcBorders>
            <w:shd w:val="clear" w:color="auto" w:fill="auto"/>
            <w:noWrap/>
            <w:vAlign w:val="center"/>
            <w:hideMark/>
          </w:tcPr>
          <w:p w14:paraId="09E81525" w14:textId="77777777" w:rsidR="00387142" w:rsidRPr="008B6A75" w:rsidRDefault="00387142" w:rsidP="00387142">
            <w:pPr>
              <w:jc w:val="center"/>
              <w:rPr>
                <w:sz w:val="20"/>
                <w:szCs w:val="20"/>
              </w:rPr>
            </w:pPr>
            <w:r w:rsidRPr="008B6A75">
              <w:rPr>
                <w:sz w:val="20"/>
                <w:szCs w:val="20"/>
              </w:rPr>
              <w:t>14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77FF366" w14:textId="77777777" w:rsidR="00387142" w:rsidRPr="008B6A75" w:rsidRDefault="00387142" w:rsidP="00387142">
            <w:pPr>
              <w:jc w:val="center"/>
              <w:rPr>
                <w:sz w:val="20"/>
                <w:szCs w:val="20"/>
              </w:rPr>
            </w:pPr>
            <w:r w:rsidRPr="008B6A75">
              <w:rPr>
                <w:sz w:val="20"/>
                <w:szCs w:val="20"/>
              </w:rPr>
              <w:t>01</w:t>
            </w:r>
          </w:p>
        </w:tc>
        <w:tc>
          <w:tcPr>
            <w:tcW w:w="1516" w:type="dxa"/>
            <w:tcBorders>
              <w:top w:val="nil"/>
              <w:left w:val="single" w:sz="4" w:space="0" w:color="auto"/>
              <w:bottom w:val="single" w:sz="4" w:space="0" w:color="auto"/>
              <w:right w:val="nil"/>
            </w:tcBorders>
            <w:shd w:val="clear" w:color="auto" w:fill="auto"/>
            <w:noWrap/>
            <w:vAlign w:val="center"/>
            <w:hideMark/>
          </w:tcPr>
          <w:p w14:paraId="72A96A6A" w14:textId="77777777" w:rsidR="00387142" w:rsidRPr="008B6A75" w:rsidRDefault="00387142" w:rsidP="00387142">
            <w:pPr>
              <w:jc w:val="center"/>
              <w:rPr>
                <w:sz w:val="20"/>
                <w:szCs w:val="20"/>
              </w:rPr>
            </w:pPr>
            <w:r w:rsidRPr="008B6A75">
              <w:rPr>
                <w:sz w:val="20"/>
                <w:szCs w:val="20"/>
              </w:rPr>
              <w:t>99.0.00.S0510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86466F5" w14:textId="77777777" w:rsidR="00387142" w:rsidRPr="008B6A75" w:rsidRDefault="00387142" w:rsidP="00387142">
            <w:pPr>
              <w:jc w:val="center"/>
              <w:rPr>
                <w:sz w:val="20"/>
                <w:szCs w:val="20"/>
              </w:rPr>
            </w:pPr>
            <w:r w:rsidRPr="008B6A75">
              <w:rPr>
                <w:sz w:val="20"/>
                <w:szCs w:val="20"/>
              </w:rPr>
              <w:t>510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ECEA7FB" w14:textId="77777777" w:rsidR="00387142" w:rsidRPr="008B6A75" w:rsidRDefault="00387142" w:rsidP="00387142">
            <w:pPr>
              <w:jc w:val="right"/>
              <w:rPr>
                <w:sz w:val="20"/>
                <w:szCs w:val="20"/>
              </w:rPr>
            </w:pPr>
            <w:r w:rsidRPr="008B6A75">
              <w:rPr>
                <w:sz w:val="20"/>
                <w:szCs w:val="20"/>
              </w:rPr>
              <w:t>489 800,00</w:t>
            </w:r>
          </w:p>
        </w:tc>
        <w:tc>
          <w:tcPr>
            <w:tcW w:w="992" w:type="dxa"/>
            <w:tcBorders>
              <w:top w:val="nil"/>
              <w:left w:val="single" w:sz="4" w:space="0" w:color="auto"/>
              <w:bottom w:val="single" w:sz="4" w:space="0" w:color="auto"/>
              <w:right w:val="nil"/>
            </w:tcBorders>
            <w:shd w:val="clear" w:color="auto" w:fill="auto"/>
            <w:vAlign w:val="center"/>
            <w:hideMark/>
          </w:tcPr>
          <w:p w14:paraId="090F465E" w14:textId="77777777" w:rsidR="00387142" w:rsidRPr="008B6A75" w:rsidRDefault="00387142" w:rsidP="00387142">
            <w:pPr>
              <w:jc w:val="right"/>
              <w:rPr>
                <w:sz w:val="20"/>
                <w:szCs w:val="20"/>
              </w:rPr>
            </w:pPr>
            <w:r w:rsidRPr="008B6A75">
              <w:rPr>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2A0B3321" w14:textId="77777777" w:rsidR="00387142" w:rsidRPr="008B6A75" w:rsidRDefault="00387142" w:rsidP="00387142">
            <w:pPr>
              <w:jc w:val="right"/>
              <w:rPr>
                <w:sz w:val="20"/>
                <w:szCs w:val="20"/>
              </w:rPr>
            </w:pPr>
            <w:r w:rsidRPr="008B6A75">
              <w:rPr>
                <w:sz w:val="20"/>
                <w:szCs w:val="20"/>
              </w:rPr>
              <w:t>0,00</w:t>
            </w:r>
          </w:p>
        </w:tc>
      </w:tr>
      <w:tr w:rsidR="00387142" w:rsidRPr="008B6A75" w14:paraId="35466C4C" w14:textId="77777777" w:rsidTr="00387142">
        <w:trPr>
          <w:trHeight w:val="585"/>
        </w:trPr>
        <w:tc>
          <w:tcPr>
            <w:tcW w:w="3261" w:type="dxa"/>
            <w:tcBorders>
              <w:top w:val="nil"/>
              <w:left w:val="single" w:sz="4" w:space="0" w:color="auto"/>
              <w:bottom w:val="single" w:sz="4" w:space="0" w:color="auto"/>
              <w:right w:val="nil"/>
            </w:tcBorders>
            <w:shd w:val="clear" w:color="auto" w:fill="auto"/>
            <w:vAlign w:val="center"/>
            <w:hideMark/>
          </w:tcPr>
          <w:p w14:paraId="6893880F" w14:textId="77777777" w:rsidR="00387142" w:rsidRPr="008B6A75" w:rsidRDefault="00387142" w:rsidP="00387142">
            <w:pPr>
              <w:rPr>
                <w:bCs/>
                <w:sz w:val="20"/>
                <w:szCs w:val="20"/>
              </w:rPr>
            </w:pPr>
            <w:r w:rsidRPr="008B6A75">
              <w:rPr>
                <w:bCs/>
                <w:sz w:val="20"/>
                <w:szCs w:val="20"/>
              </w:rPr>
              <w:t>Прочие межбюджетные трансферты общего характера</w:t>
            </w:r>
          </w:p>
        </w:tc>
        <w:tc>
          <w:tcPr>
            <w:tcW w:w="720" w:type="dxa"/>
            <w:tcBorders>
              <w:top w:val="nil"/>
              <w:left w:val="single" w:sz="4" w:space="0" w:color="auto"/>
              <w:bottom w:val="single" w:sz="4" w:space="0" w:color="auto"/>
              <w:right w:val="nil"/>
            </w:tcBorders>
            <w:shd w:val="clear" w:color="auto" w:fill="auto"/>
            <w:noWrap/>
            <w:vAlign w:val="center"/>
            <w:hideMark/>
          </w:tcPr>
          <w:p w14:paraId="7ED7858E" w14:textId="77777777" w:rsidR="00387142" w:rsidRPr="008B6A75" w:rsidRDefault="00387142" w:rsidP="00387142">
            <w:pPr>
              <w:jc w:val="center"/>
              <w:rPr>
                <w:bCs/>
                <w:sz w:val="20"/>
                <w:szCs w:val="20"/>
              </w:rPr>
            </w:pPr>
            <w:r w:rsidRPr="008B6A75">
              <w:rPr>
                <w:bCs/>
                <w:sz w:val="20"/>
                <w:szCs w:val="20"/>
              </w:rPr>
              <w:t>14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D2B9E2F" w14:textId="77777777" w:rsidR="00387142" w:rsidRPr="008B6A75" w:rsidRDefault="00387142" w:rsidP="00387142">
            <w:pPr>
              <w:jc w:val="center"/>
              <w:rPr>
                <w:bCs/>
                <w:sz w:val="20"/>
                <w:szCs w:val="20"/>
              </w:rPr>
            </w:pPr>
            <w:r w:rsidRPr="008B6A75">
              <w:rPr>
                <w:bCs/>
                <w:sz w:val="20"/>
                <w:szCs w:val="20"/>
              </w:rPr>
              <w:t>03</w:t>
            </w:r>
          </w:p>
        </w:tc>
        <w:tc>
          <w:tcPr>
            <w:tcW w:w="1516" w:type="dxa"/>
            <w:tcBorders>
              <w:top w:val="nil"/>
              <w:left w:val="single" w:sz="4" w:space="0" w:color="auto"/>
              <w:bottom w:val="single" w:sz="4" w:space="0" w:color="auto"/>
              <w:right w:val="nil"/>
            </w:tcBorders>
            <w:shd w:val="clear" w:color="auto" w:fill="auto"/>
            <w:noWrap/>
            <w:vAlign w:val="center"/>
            <w:hideMark/>
          </w:tcPr>
          <w:p w14:paraId="7D6045D1" w14:textId="77777777" w:rsidR="00387142" w:rsidRPr="008B6A75" w:rsidRDefault="00387142" w:rsidP="00387142">
            <w:pPr>
              <w:jc w:val="center"/>
              <w:rPr>
                <w:bCs/>
                <w:sz w:val="20"/>
                <w:szCs w:val="20"/>
              </w:rPr>
            </w:pPr>
            <w:r w:rsidRPr="008B6A75">
              <w:rPr>
                <w:bCs/>
                <w:sz w:val="20"/>
                <w:szCs w:val="20"/>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1634D79"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9A00030" w14:textId="77777777" w:rsidR="00387142" w:rsidRPr="008B6A75" w:rsidRDefault="00387142" w:rsidP="00387142">
            <w:pPr>
              <w:jc w:val="right"/>
              <w:rPr>
                <w:bCs/>
                <w:sz w:val="20"/>
                <w:szCs w:val="20"/>
              </w:rPr>
            </w:pPr>
            <w:r w:rsidRPr="008B6A75">
              <w:rPr>
                <w:bCs/>
                <w:sz w:val="20"/>
                <w:szCs w:val="20"/>
              </w:rPr>
              <w:t>97 495 044,46</w:t>
            </w:r>
          </w:p>
        </w:tc>
        <w:tc>
          <w:tcPr>
            <w:tcW w:w="992" w:type="dxa"/>
            <w:tcBorders>
              <w:top w:val="nil"/>
              <w:left w:val="single" w:sz="4" w:space="0" w:color="auto"/>
              <w:bottom w:val="single" w:sz="4" w:space="0" w:color="auto"/>
              <w:right w:val="nil"/>
            </w:tcBorders>
            <w:shd w:val="clear" w:color="auto" w:fill="auto"/>
            <w:vAlign w:val="center"/>
            <w:hideMark/>
          </w:tcPr>
          <w:p w14:paraId="5A33F433" w14:textId="77777777" w:rsidR="00387142" w:rsidRPr="008B6A75" w:rsidRDefault="00387142" w:rsidP="00387142">
            <w:pPr>
              <w:jc w:val="right"/>
              <w:rPr>
                <w:bCs/>
                <w:sz w:val="20"/>
                <w:szCs w:val="20"/>
              </w:rPr>
            </w:pPr>
            <w:r w:rsidRPr="008B6A75">
              <w:rPr>
                <w:bCs/>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162C1C4D" w14:textId="77777777" w:rsidR="00387142" w:rsidRPr="008B6A75" w:rsidRDefault="00387142" w:rsidP="00387142">
            <w:pPr>
              <w:jc w:val="right"/>
              <w:rPr>
                <w:bCs/>
                <w:sz w:val="20"/>
                <w:szCs w:val="20"/>
              </w:rPr>
            </w:pPr>
            <w:r w:rsidRPr="008B6A75">
              <w:rPr>
                <w:bCs/>
                <w:sz w:val="20"/>
                <w:szCs w:val="20"/>
              </w:rPr>
              <w:t>0,00</w:t>
            </w:r>
          </w:p>
        </w:tc>
      </w:tr>
      <w:tr w:rsidR="00387142" w:rsidRPr="008B6A75" w14:paraId="1CB9F9B6" w14:textId="77777777" w:rsidTr="00387142">
        <w:trPr>
          <w:trHeight w:val="345"/>
        </w:trPr>
        <w:tc>
          <w:tcPr>
            <w:tcW w:w="3261" w:type="dxa"/>
            <w:tcBorders>
              <w:top w:val="nil"/>
              <w:left w:val="single" w:sz="4" w:space="0" w:color="auto"/>
              <w:bottom w:val="single" w:sz="4" w:space="0" w:color="auto"/>
              <w:right w:val="nil"/>
            </w:tcBorders>
            <w:shd w:val="clear" w:color="auto" w:fill="auto"/>
            <w:vAlign w:val="center"/>
            <w:hideMark/>
          </w:tcPr>
          <w:p w14:paraId="69B56D88" w14:textId="77777777" w:rsidR="00387142" w:rsidRPr="008B6A75" w:rsidRDefault="00387142" w:rsidP="00387142">
            <w:pPr>
              <w:rPr>
                <w:bCs/>
                <w:sz w:val="20"/>
                <w:szCs w:val="20"/>
              </w:rPr>
            </w:pPr>
            <w:r w:rsidRPr="008B6A75">
              <w:rPr>
                <w:bCs/>
                <w:sz w:val="20"/>
                <w:szCs w:val="20"/>
              </w:rPr>
              <w:lastRenderedPageBreak/>
              <w:t>Непрограммные направления бюджета</w:t>
            </w:r>
          </w:p>
        </w:tc>
        <w:tc>
          <w:tcPr>
            <w:tcW w:w="720" w:type="dxa"/>
            <w:tcBorders>
              <w:top w:val="nil"/>
              <w:left w:val="single" w:sz="4" w:space="0" w:color="auto"/>
              <w:bottom w:val="single" w:sz="4" w:space="0" w:color="auto"/>
              <w:right w:val="nil"/>
            </w:tcBorders>
            <w:shd w:val="clear" w:color="auto" w:fill="auto"/>
            <w:noWrap/>
            <w:vAlign w:val="center"/>
            <w:hideMark/>
          </w:tcPr>
          <w:p w14:paraId="7037F702" w14:textId="77777777" w:rsidR="00387142" w:rsidRPr="008B6A75" w:rsidRDefault="00387142" w:rsidP="00387142">
            <w:pPr>
              <w:jc w:val="center"/>
              <w:rPr>
                <w:bCs/>
                <w:sz w:val="20"/>
                <w:szCs w:val="20"/>
              </w:rPr>
            </w:pPr>
            <w:r w:rsidRPr="008B6A75">
              <w:rPr>
                <w:bCs/>
                <w:sz w:val="20"/>
                <w:szCs w:val="20"/>
              </w:rPr>
              <w:t>14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E0C0A8E" w14:textId="77777777" w:rsidR="00387142" w:rsidRPr="008B6A75" w:rsidRDefault="00387142" w:rsidP="00387142">
            <w:pPr>
              <w:jc w:val="center"/>
              <w:rPr>
                <w:bCs/>
                <w:sz w:val="20"/>
                <w:szCs w:val="20"/>
              </w:rPr>
            </w:pPr>
            <w:r w:rsidRPr="008B6A75">
              <w:rPr>
                <w:bCs/>
                <w:sz w:val="20"/>
                <w:szCs w:val="20"/>
              </w:rPr>
              <w:t>03</w:t>
            </w:r>
          </w:p>
        </w:tc>
        <w:tc>
          <w:tcPr>
            <w:tcW w:w="1516" w:type="dxa"/>
            <w:tcBorders>
              <w:top w:val="nil"/>
              <w:left w:val="single" w:sz="4" w:space="0" w:color="auto"/>
              <w:bottom w:val="single" w:sz="4" w:space="0" w:color="auto"/>
              <w:right w:val="nil"/>
            </w:tcBorders>
            <w:shd w:val="clear" w:color="auto" w:fill="auto"/>
            <w:noWrap/>
            <w:vAlign w:val="center"/>
            <w:hideMark/>
          </w:tcPr>
          <w:p w14:paraId="1EFDA2C2" w14:textId="77777777" w:rsidR="00387142" w:rsidRPr="008B6A75" w:rsidRDefault="00387142" w:rsidP="00387142">
            <w:pPr>
              <w:jc w:val="center"/>
              <w:rPr>
                <w:bCs/>
                <w:sz w:val="20"/>
                <w:szCs w:val="20"/>
              </w:rPr>
            </w:pPr>
            <w:r w:rsidRPr="008B6A75">
              <w:rPr>
                <w:bCs/>
                <w:sz w:val="20"/>
                <w:szCs w:val="20"/>
              </w:rPr>
              <w:t>99.0.00.00000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359B6A9"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3C11E21" w14:textId="77777777" w:rsidR="00387142" w:rsidRPr="008B6A75" w:rsidRDefault="00387142" w:rsidP="00387142">
            <w:pPr>
              <w:jc w:val="right"/>
              <w:rPr>
                <w:bCs/>
                <w:sz w:val="20"/>
                <w:szCs w:val="20"/>
              </w:rPr>
            </w:pPr>
            <w:r w:rsidRPr="008B6A75">
              <w:rPr>
                <w:bCs/>
                <w:sz w:val="20"/>
                <w:szCs w:val="20"/>
              </w:rPr>
              <w:t>97 495 044,46</w:t>
            </w:r>
          </w:p>
        </w:tc>
        <w:tc>
          <w:tcPr>
            <w:tcW w:w="992" w:type="dxa"/>
            <w:tcBorders>
              <w:top w:val="nil"/>
              <w:left w:val="single" w:sz="4" w:space="0" w:color="auto"/>
              <w:bottom w:val="single" w:sz="4" w:space="0" w:color="auto"/>
              <w:right w:val="nil"/>
            </w:tcBorders>
            <w:shd w:val="clear" w:color="auto" w:fill="auto"/>
            <w:vAlign w:val="center"/>
            <w:hideMark/>
          </w:tcPr>
          <w:p w14:paraId="42AD9C53" w14:textId="77777777" w:rsidR="00387142" w:rsidRPr="008B6A75" w:rsidRDefault="00387142" w:rsidP="00387142">
            <w:pPr>
              <w:jc w:val="right"/>
              <w:rPr>
                <w:bCs/>
                <w:sz w:val="20"/>
                <w:szCs w:val="20"/>
              </w:rPr>
            </w:pPr>
            <w:r w:rsidRPr="008B6A75">
              <w:rPr>
                <w:bCs/>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1952E8CF" w14:textId="77777777" w:rsidR="00387142" w:rsidRPr="008B6A75" w:rsidRDefault="00387142" w:rsidP="00387142">
            <w:pPr>
              <w:jc w:val="right"/>
              <w:rPr>
                <w:bCs/>
                <w:sz w:val="20"/>
                <w:szCs w:val="20"/>
              </w:rPr>
            </w:pPr>
            <w:r w:rsidRPr="008B6A75">
              <w:rPr>
                <w:bCs/>
                <w:sz w:val="20"/>
                <w:szCs w:val="20"/>
              </w:rPr>
              <w:t>0,00</w:t>
            </w:r>
          </w:p>
        </w:tc>
      </w:tr>
      <w:tr w:rsidR="00387142" w:rsidRPr="008B6A75" w14:paraId="2CAD18F0" w14:textId="77777777" w:rsidTr="00387142">
        <w:trPr>
          <w:trHeight w:val="2580"/>
        </w:trPr>
        <w:tc>
          <w:tcPr>
            <w:tcW w:w="3261" w:type="dxa"/>
            <w:tcBorders>
              <w:top w:val="nil"/>
              <w:left w:val="single" w:sz="4" w:space="0" w:color="auto"/>
              <w:bottom w:val="single" w:sz="4" w:space="0" w:color="auto"/>
              <w:right w:val="nil"/>
            </w:tcBorders>
            <w:shd w:val="clear" w:color="auto" w:fill="auto"/>
            <w:vAlign w:val="center"/>
            <w:hideMark/>
          </w:tcPr>
          <w:p w14:paraId="25AD6A8C" w14:textId="77777777" w:rsidR="00387142" w:rsidRPr="008B6A75" w:rsidRDefault="00387142" w:rsidP="00387142">
            <w:pPr>
              <w:rPr>
                <w:bCs/>
                <w:sz w:val="20"/>
                <w:szCs w:val="20"/>
              </w:rPr>
            </w:pPr>
            <w:r w:rsidRPr="008B6A75">
              <w:rPr>
                <w:bCs/>
                <w:sz w:val="20"/>
                <w:szCs w:val="20"/>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Куйбышевского района</w:t>
            </w:r>
          </w:p>
        </w:tc>
        <w:tc>
          <w:tcPr>
            <w:tcW w:w="720" w:type="dxa"/>
            <w:tcBorders>
              <w:top w:val="nil"/>
              <w:left w:val="single" w:sz="4" w:space="0" w:color="auto"/>
              <w:bottom w:val="single" w:sz="4" w:space="0" w:color="auto"/>
              <w:right w:val="nil"/>
            </w:tcBorders>
            <w:shd w:val="clear" w:color="auto" w:fill="auto"/>
            <w:noWrap/>
            <w:vAlign w:val="center"/>
            <w:hideMark/>
          </w:tcPr>
          <w:p w14:paraId="08DD55E1" w14:textId="77777777" w:rsidR="00387142" w:rsidRPr="008B6A75" w:rsidRDefault="00387142" w:rsidP="00387142">
            <w:pPr>
              <w:jc w:val="center"/>
              <w:rPr>
                <w:bCs/>
                <w:sz w:val="20"/>
                <w:szCs w:val="20"/>
              </w:rPr>
            </w:pPr>
            <w:r w:rsidRPr="008B6A75">
              <w:rPr>
                <w:bCs/>
                <w:sz w:val="20"/>
                <w:szCs w:val="20"/>
              </w:rPr>
              <w:t>14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E344420" w14:textId="77777777" w:rsidR="00387142" w:rsidRPr="008B6A75" w:rsidRDefault="00387142" w:rsidP="00387142">
            <w:pPr>
              <w:jc w:val="center"/>
              <w:rPr>
                <w:bCs/>
                <w:sz w:val="20"/>
                <w:szCs w:val="20"/>
              </w:rPr>
            </w:pPr>
            <w:r w:rsidRPr="008B6A75">
              <w:rPr>
                <w:bCs/>
                <w:sz w:val="20"/>
                <w:szCs w:val="20"/>
              </w:rPr>
              <w:t>03</w:t>
            </w:r>
          </w:p>
        </w:tc>
        <w:tc>
          <w:tcPr>
            <w:tcW w:w="1516" w:type="dxa"/>
            <w:tcBorders>
              <w:top w:val="nil"/>
              <w:left w:val="single" w:sz="4" w:space="0" w:color="auto"/>
              <w:bottom w:val="single" w:sz="4" w:space="0" w:color="auto"/>
              <w:right w:val="nil"/>
            </w:tcBorders>
            <w:shd w:val="clear" w:color="auto" w:fill="auto"/>
            <w:noWrap/>
            <w:vAlign w:val="center"/>
            <w:hideMark/>
          </w:tcPr>
          <w:p w14:paraId="2626399F" w14:textId="77777777" w:rsidR="00387142" w:rsidRPr="008B6A75" w:rsidRDefault="00387142" w:rsidP="00387142">
            <w:pPr>
              <w:jc w:val="center"/>
              <w:rPr>
                <w:bCs/>
                <w:sz w:val="20"/>
                <w:szCs w:val="20"/>
              </w:rPr>
            </w:pPr>
            <w:r w:rsidRPr="008B6A75">
              <w:rPr>
                <w:bCs/>
                <w:sz w:val="20"/>
                <w:szCs w:val="20"/>
              </w:rPr>
              <w:t>99.0.00.14030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37D52DE"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9E0DAC7" w14:textId="77777777" w:rsidR="00387142" w:rsidRPr="008B6A75" w:rsidRDefault="00387142" w:rsidP="00387142">
            <w:pPr>
              <w:jc w:val="right"/>
              <w:rPr>
                <w:bCs/>
                <w:sz w:val="20"/>
                <w:szCs w:val="20"/>
              </w:rPr>
            </w:pPr>
            <w:r w:rsidRPr="008B6A75">
              <w:rPr>
                <w:bCs/>
                <w:sz w:val="20"/>
                <w:szCs w:val="20"/>
              </w:rPr>
              <w:t>9 926 172,46</w:t>
            </w:r>
          </w:p>
        </w:tc>
        <w:tc>
          <w:tcPr>
            <w:tcW w:w="992" w:type="dxa"/>
            <w:tcBorders>
              <w:top w:val="nil"/>
              <w:left w:val="single" w:sz="4" w:space="0" w:color="auto"/>
              <w:bottom w:val="single" w:sz="4" w:space="0" w:color="auto"/>
              <w:right w:val="nil"/>
            </w:tcBorders>
            <w:shd w:val="clear" w:color="auto" w:fill="auto"/>
            <w:vAlign w:val="center"/>
            <w:hideMark/>
          </w:tcPr>
          <w:p w14:paraId="6235CCBF" w14:textId="77777777" w:rsidR="00387142" w:rsidRPr="008B6A75" w:rsidRDefault="00387142" w:rsidP="00387142">
            <w:pPr>
              <w:jc w:val="right"/>
              <w:rPr>
                <w:bCs/>
                <w:sz w:val="20"/>
                <w:szCs w:val="20"/>
              </w:rPr>
            </w:pPr>
            <w:r w:rsidRPr="008B6A75">
              <w:rPr>
                <w:bCs/>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44FCAE07" w14:textId="77777777" w:rsidR="00387142" w:rsidRPr="008B6A75" w:rsidRDefault="00387142" w:rsidP="00387142">
            <w:pPr>
              <w:jc w:val="right"/>
              <w:rPr>
                <w:bCs/>
                <w:sz w:val="20"/>
                <w:szCs w:val="20"/>
              </w:rPr>
            </w:pPr>
            <w:r w:rsidRPr="008B6A75">
              <w:rPr>
                <w:bCs/>
                <w:sz w:val="20"/>
                <w:szCs w:val="20"/>
              </w:rPr>
              <w:t>0,00</w:t>
            </w:r>
          </w:p>
        </w:tc>
      </w:tr>
      <w:tr w:rsidR="00387142" w:rsidRPr="008B6A75" w14:paraId="411BC8E1" w14:textId="77777777" w:rsidTr="00387142">
        <w:trPr>
          <w:trHeight w:val="345"/>
        </w:trPr>
        <w:tc>
          <w:tcPr>
            <w:tcW w:w="3261" w:type="dxa"/>
            <w:tcBorders>
              <w:top w:val="nil"/>
              <w:left w:val="single" w:sz="4" w:space="0" w:color="auto"/>
              <w:bottom w:val="single" w:sz="4" w:space="0" w:color="auto"/>
              <w:right w:val="nil"/>
            </w:tcBorders>
            <w:shd w:val="clear" w:color="auto" w:fill="auto"/>
            <w:vAlign w:val="center"/>
            <w:hideMark/>
          </w:tcPr>
          <w:p w14:paraId="07A2733A" w14:textId="77777777" w:rsidR="00387142" w:rsidRPr="008B6A75" w:rsidRDefault="00387142" w:rsidP="00387142">
            <w:pPr>
              <w:rPr>
                <w:sz w:val="20"/>
                <w:szCs w:val="20"/>
              </w:rPr>
            </w:pPr>
            <w:r w:rsidRPr="008B6A75">
              <w:rPr>
                <w:sz w:val="20"/>
                <w:szCs w:val="20"/>
              </w:rPr>
              <w:t>Межбюджетные трансферты</w:t>
            </w:r>
          </w:p>
        </w:tc>
        <w:tc>
          <w:tcPr>
            <w:tcW w:w="720" w:type="dxa"/>
            <w:tcBorders>
              <w:top w:val="nil"/>
              <w:left w:val="single" w:sz="4" w:space="0" w:color="auto"/>
              <w:bottom w:val="single" w:sz="4" w:space="0" w:color="auto"/>
              <w:right w:val="nil"/>
            </w:tcBorders>
            <w:shd w:val="clear" w:color="auto" w:fill="auto"/>
            <w:noWrap/>
            <w:vAlign w:val="center"/>
            <w:hideMark/>
          </w:tcPr>
          <w:p w14:paraId="7E2B28D8" w14:textId="77777777" w:rsidR="00387142" w:rsidRPr="008B6A75" w:rsidRDefault="00387142" w:rsidP="00387142">
            <w:pPr>
              <w:jc w:val="center"/>
              <w:rPr>
                <w:sz w:val="20"/>
                <w:szCs w:val="20"/>
              </w:rPr>
            </w:pPr>
            <w:r w:rsidRPr="008B6A75">
              <w:rPr>
                <w:sz w:val="20"/>
                <w:szCs w:val="20"/>
              </w:rPr>
              <w:t>14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8CAF030" w14:textId="77777777" w:rsidR="00387142" w:rsidRPr="008B6A75" w:rsidRDefault="00387142" w:rsidP="00387142">
            <w:pPr>
              <w:jc w:val="center"/>
              <w:rPr>
                <w:sz w:val="20"/>
                <w:szCs w:val="20"/>
              </w:rPr>
            </w:pPr>
            <w:r w:rsidRPr="008B6A75">
              <w:rPr>
                <w:sz w:val="20"/>
                <w:szCs w:val="20"/>
              </w:rPr>
              <w:t>03</w:t>
            </w:r>
          </w:p>
        </w:tc>
        <w:tc>
          <w:tcPr>
            <w:tcW w:w="1516" w:type="dxa"/>
            <w:tcBorders>
              <w:top w:val="nil"/>
              <w:left w:val="single" w:sz="4" w:space="0" w:color="auto"/>
              <w:bottom w:val="single" w:sz="4" w:space="0" w:color="auto"/>
              <w:right w:val="nil"/>
            </w:tcBorders>
            <w:shd w:val="clear" w:color="auto" w:fill="auto"/>
            <w:noWrap/>
            <w:vAlign w:val="center"/>
            <w:hideMark/>
          </w:tcPr>
          <w:p w14:paraId="7C6D35E1" w14:textId="77777777" w:rsidR="00387142" w:rsidRPr="008B6A75" w:rsidRDefault="00387142" w:rsidP="00387142">
            <w:pPr>
              <w:jc w:val="center"/>
              <w:rPr>
                <w:sz w:val="20"/>
                <w:szCs w:val="20"/>
              </w:rPr>
            </w:pPr>
            <w:r w:rsidRPr="008B6A75">
              <w:rPr>
                <w:sz w:val="20"/>
                <w:szCs w:val="20"/>
              </w:rPr>
              <w:t>99.0.00.14030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4B8EDC8" w14:textId="77777777" w:rsidR="00387142" w:rsidRPr="008B6A75" w:rsidRDefault="00387142" w:rsidP="00387142">
            <w:pPr>
              <w:jc w:val="center"/>
              <w:rPr>
                <w:sz w:val="20"/>
                <w:szCs w:val="20"/>
              </w:rPr>
            </w:pPr>
            <w:r w:rsidRPr="008B6A75">
              <w:rPr>
                <w:sz w:val="20"/>
                <w:szCs w:val="20"/>
              </w:rPr>
              <w:t>500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586BAA4" w14:textId="77777777" w:rsidR="00387142" w:rsidRPr="008B6A75" w:rsidRDefault="00387142" w:rsidP="00387142">
            <w:pPr>
              <w:jc w:val="right"/>
              <w:rPr>
                <w:sz w:val="20"/>
                <w:szCs w:val="20"/>
              </w:rPr>
            </w:pPr>
            <w:r w:rsidRPr="008B6A75">
              <w:rPr>
                <w:sz w:val="20"/>
                <w:szCs w:val="20"/>
              </w:rPr>
              <w:t>9 926 172,46</w:t>
            </w:r>
          </w:p>
        </w:tc>
        <w:tc>
          <w:tcPr>
            <w:tcW w:w="992" w:type="dxa"/>
            <w:tcBorders>
              <w:top w:val="nil"/>
              <w:left w:val="single" w:sz="4" w:space="0" w:color="auto"/>
              <w:bottom w:val="single" w:sz="4" w:space="0" w:color="auto"/>
              <w:right w:val="nil"/>
            </w:tcBorders>
            <w:shd w:val="clear" w:color="auto" w:fill="auto"/>
            <w:vAlign w:val="center"/>
            <w:hideMark/>
          </w:tcPr>
          <w:p w14:paraId="5CB30D21" w14:textId="77777777" w:rsidR="00387142" w:rsidRPr="008B6A75" w:rsidRDefault="00387142" w:rsidP="00387142">
            <w:pPr>
              <w:jc w:val="right"/>
              <w:rPr>
                <w:sz w:val="20"/>
                <w:szCs w:val="20"/>
              </w:rPr>
            </w:pPr>
            <w:r w:rsidRPr="008B6A75">
              <w:rPr>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5C0B85E0" w14:textId="77777777" w:rsidR="00387142" w:rsidRPr="008B6A75" w:rsidRDefault="00387142" w:rsidP="00387142">
            <w:pPr>
              <w:jc w:val="right"/>
              <w:rPr>
                <w:sz w:val="20"/>
                <w:szCs w:val="20"/>
              </w:rPr>
            </w:pPr>
            <w:r w:rsidRPr="008B6A75">
              <w:rPr>
                <w:sz w:val="20"/>
                <w:szCs w:val="20"/>
              </w:rPr>
              <w:t>0,00</w:t>
            </w:r>
          </w:p>
        </w:tc>
      </w:tr>
      <w:tr w:rsidR="00387142" w:rsidRPr="008B6A75" w14:paraId="1B23BFC0" w14:textId="77777777" w:rsidTr="00387142">
        <w:trPr>
          <w:trHeight w:val="345"/>
        </w:trPr>
        <w:tc>
          <w:tcPr>
            <w:tcW w:w="3261" w:type="dxa"/>
            <w:tcBorders>
              <w:top w:val="nil"/>
              <w:left w:val="single" w:sz="4" w:space="0" w:color="auto"/>
              <w:bottom w:val="single" w:sz="4" w:space="0" w:color="auto"/>
              <w:right w:val="nil"/>
            </w:tcBorders>
            <w:shd w:val="clear" w:color="auto" w:fill="auto"/>
            <w:vAlign w:val="center"/>
            <w:hideMark/>
          </w:tcPr>
          <w:p w14:paraId="61F625CB" w14:textId="77777777" w:rsidR="00387142" w:rsidRPr="008B6A75" w:rsidRDefault="00387142" w:rsidP="00387142">
            <w:pPr>
              <w:rPr>
                <w:sz w:val="20"/>
                <w:szCs w:val="20"/>
              </w:rPr>
            </w:pPr>
            <w:r w:rsidRPr="008B6A75">
              <w:rPr>
                <w:sz w:val="20"/>
                <w:szCs w:val="20"/>
              </w:rPr>
              <w:t>Иные межбюджетные трансферты</w:t>
            </w:r>
          </w:p>
        </w:tc>
        <w:tc>
          <w:tcPr>
            <w:tcW w:w="720" w:type="dxa"/>
            <w:tcBorders>
              <w:top w:val="nil"/>
              <w:left w:val="single" w:sz="4" w:space="0" w:color="auto"/>
              <w:bottom w:val="single" w:sz="4" w:space="0" w:color="auto"/>
              <w:right w:val="nil"/>
            </w:tcBorders>
            <w:shd w:val="clear" w:color="auto" w:fill="auto"/>
            <w:noWrap/>
            <w:vAlign w:val="center"/>
            <w:hideMark/>
          </w:tcPr>
          <w:p w14:paraId="3B14D695" w14:textId="77777777" w:rsidR="00387142" w:rsidRPr="008B6A75" w:rsidRDefault="00387142" w:rsidP="00387142">
            <w:pPr>
              <w:jc w:val="center"/>
              <w:rPr>
                <w:sz w:val="20"/>
                <w:szCs w:val="20"/>
              </w:rPr>
            </w:pPr>
            <w:r w:rsidRPr="008B6A75">
              <w:rPr>
                <w:sz w:val="20"/>
                <w:szCs w:val="20"/>
              </w:rPr>
              <w:t>14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978D2F2" w14:textId="77777777" w:rsidR="00387142" w:rsidRPr="008B6A75" w:rsidRDefault="00387142" w:rsidP="00387142">
            <w:pPr>
              <w:jc w:val="center"/>
              <w:rPr>
                <w:sz w:val="20"/>
                <w:szCs w:val="20"/>
              </w:rPr>
            </w:pPr>
            <w:r w:rsidRPr="008B6A75">
              <w:rPr>
                <w:sz w:val="20"/>
                <w:szCs w:val="20"/>
              </w:rPr>
              <w:t>03</w:t>
            </w:r>
          </w:p>
        </w:tc>
        <w:tc>
          <w:tcPr>
            <w:tcW w:w="1516" w:type="dxa"/>
            <w:tcBorders>
              <w:top w:val="nil"/>
              <w:left w:val="single" w:sz="4" w:space="0" w:color="auto"/>
              <w:bottom w:val="single" w:sz="4" w:space="0" w:color="auto"/>
              <w:right w:val="nil"/>
            </w:tcBorders>
            <w:shd w:val="clear" w:color="auto" w:fill="auto"/>
            <w:noWrap/>
            <w:vAlign w:val="center"/>
            <w:hideMark/>
          </w:tcPr>
          <w:p w14:paraId="1B4145F7" w14:textId="77777777" w:rsidR="00387142" w:rsidRPr="008B6A75" w:rsidRDefault="00387142" w:rsidP="00387142">
            <w:pPr>
              <w:jc w:val="center"/>
              <w:rPr>
                <w:sz w:val="20"/>
                <w:szCs w:val="20"/>
              </w:rPr>
            </w:pPr>
            <w:r w:rsidRPr="008B6A75">
              <w:rPr>
                <w:sz w:val="20"/>
                <w:szCs w:val="20"/>
              </w:rPr>
              <w:t>99.0.00.14030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225C31D" w14:textId="77777777" w:rsidR="00387142" w:rsidRPr="008B6A75" w:rsidRDefault="00387142" w:rsidP="00387142">
            <w:pPr>
              <w:jc w:val="center"/>
              <w:rPr>
                <w:sz w:val="20"/>
                <w:szCs w:val="20"/>
              </w:rPr>
            </w:pPr>
            <w:r w:rsidRPr="008B6A75">
              <w:rPr>
                <w:sz w:val="20"/>
                <w:szCs w:val="20"/>
              </w:rPr>
              <w:t>540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DBAF3B8" w14:textId="77777777" w:rsidR="00387142" w:rsidRPr="008B6A75" w:rsidRDefault="00387142" w:rsidP="00387142">
            <w:pPr>
              <w:jc w:val="right"/>
              <w:rPr>
                <w:sz w:val="20"/>
                <w:szCs w:val="20"/>
              </w:rPr>
            </w:pPr>
            <w:r w:rsidRPr="008B6A75">
              <w:rPr>
                <w:sz w:val="20"/>
                <w:szCs w:val="20"/>
              </w:rPr>
              <w:t>9 926 172,46</w:t>
            </w:r>
          </w:p>
        </w:tc>
        <w:tc>
          <w:tcPr>
            <w:tcW w:w="992" w:type="dxa"/>
            <w:tcBorders>
              <w:top w:val="nil"/>
              <w:left w:val="single" w:sz="4" w:space="0" w:color="auto"/>
              <w:bottom w:val="single" w:sz="4" w:space="0" w:color="auto"/>
              <w:right w:val="nil"/>
            </w:tcBorders>
            <w:shd w:val="clear" w:color="auto" w:fill="auto"/>
            <w:vAlign w:val="center"/>
            <w:hideMark/>
          </w:tcPr>
          <w:p w14:paraId="3824BEEC" w14:textId="77777777" w:rsidR="00387142" w:rsidRPr="008B6A75" w:rsidRDefault="00387142" w:rsidP="00387142">
            <w:pPr>
              <w:jc w:val="right"/>
              <w:rPr>
                <w:sz w:val="20"/>
                <w:szCs w:val="20"/>
              </w:rPr>
            </w:pPr>
            <w:r w:rsidRPr="008B6A75">
              <w:rPr>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74BD3EEB" w14:textId="77777777" w:rsidR="00387142" w:rsidRPr="008B6A75" w:rsidRDefault="00387142" w:rsidP="00387142">
            <w:pPr>
              <w:jc w:val="right"/>
              <w:rPr>
                <w:sz w:val="20"/>
                <w:szCs w:val="20"/>
              </w:rPr>
            </w:pPr>
            <w:r w:rsidRPr="008B6A75">
              <w:rPr>
                <w:sz w:val="20"/>
                <w:szCs w:val="20"/>
              </w:rPr>
              <w:t>0,00</w:t>
            </w:r>
          </w:p>
        </w:tc>
      </w:tr>
      <w:tr w:rsidR="00387142" w:rsidRPr="008B6A75" w14:paraId="459B3730" w14:textId="77777777" w:rsidTr="00387142">
        <w:trPr>
          <w:trHeight w:val="1440"/>
        </w:trPr>
        <w:tc>
          <w:tcPr>
            <w:tcW w:w="3261" w:type="dxa"/>
            <w:tcBorders>
              <w:top w:val="nil"/>
              <w:left w:val="single" w:sz="4" w:space="0" w:color="auto"/>
              <w:bottom w:val="single" w:sz="4" w:space="0" w:color="auto"/>
              <w:right w:val="nil"/>
            </w:tcBorders>
            <w:shd w:val="clear" w:color="auto" w:fill="auto"/>
            <w:vAlign w:val="center"/>
            <w:hideMark/>
          </w:tcPr>
          <w:p w14:paraId="457FDE53" w14:textId="77777777" w:rsidR="00387142" w:rsidRPr="008B6A75" w:rsidRDefault="00387142" w:rsidP="00387142">
            <w:pPr>
              <w:rPr>
                <w:bCs/>
                <w:sz w:val="20"/>
                <w:szCs w:val="20"/>
              </w:rPr>
            </w:pPr>
            <w:r w:rsidRPr="008B6A75">
              <w:rPr>
                <w:bCs/>
                <w:sz w:val="20"/>
                <w:szCs w:val="20"/>
              </w:rPr>
              <w:t xml:space="preserve">Реализация мероприятий по обеспечению сбалансированности местных </w:t>
            </w:r>
            <w:proofErr w:type="gramStart"/>
            <w:r w:rsidRPr="008B6A75">
              <w:rPr>
                <w:bCs/>
                <w:sz w:val="20"/>
                <w:szCs w:val="20"/>
              </w:rPr>
              <w:t>бюджетов  государственной</w:t>
            </w:r>
            <w:proofErr w:type="gramEnd"/>
            <w:r w:rsidRPr="008B6A75">
              <w:rPr>
                <w:bCs/>
                <w:sz w:val="20"/>
                <w:szCs w:val="20"/>
              </w:rPr>
              <w:t xml:space="preserve"> программы Новосибирской области "Управление  финансами в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14:paraId="5580EB1F" w14:textId="77777777" w:rsidR="00387142" w:rsidRPr="008B6A75" w:rsidRDefault="00387142" w:rsidP="00387142">
            <w:pPr>
              <w:jc w:val="center"/>
              <w:rPr>
                <w:bCs/>
                <w:sz w:val="20"/>
                <w:szCs w:val="20"/>
              </w:rPr>
            </w:pPr>
            <w:r w:rsidRPr="008B6A75">
              <w:rPr>
                <w:bCs/>
                <w:sz w:val="20"/>
                <w:szCs w:val="20"/>
              </w:rPr>
              <w:t>14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DC8DD5A" w14:textId="77777777" w:rsidR="00387142" w:rsidRPr="008B6A75" w:rsidRDefault="00387142" w:rsidP="00387142">
            <w:pPr>
              <w:jc w:val="center"/>
              <w:rPr>
                <w:bCs/>
                <w:sz w:val="20"/>
                <w:szCs w:val="20"/>
              </w:rPr>
            </w:pPr>
            <w:r w:rsidRPr="008B6A75">
              <w:rPr>
                <w:bCs/>
                <w:sz w:val="20"/>
                <w:szCs w:val="20"/>
              </w:rPr>
              <w:t>03</w:t>
            </w:r>
          </w:p>
        </w:tc>
        <w:tc>
          <w:tcPr>
            <w:tcW w:w="1516" w:type="dxa"/>
            <w:tcBorders>
              <w:top w:val="nil"/>
              <w:left w:val="single" w:sz="4" w:space="0" w:color="auto"/>
              <w:bottom w:val="single" w:sz="4" w:space="0" w:color="auto"/>
              <w:right w:val="nil"/>
            </w:tcBorders>
            <w:shd w:val="clear" w:color="auto" w:fill="auto"/>
            <w:noWrap/>
            <w:vAlign w:val="center"/>
            <w:hideMark/>
          </w:tcPr>
          <w:p w14:paraId="2DE09E69" w14:textId="77777777" w:rsidR="00387142" w:rsidRPr="008B6A75" w:rsidRDefault="00387142" w:rsidP="00387142">
            <w:pPr>
              <w:jc w:val="center"/>
              <w:rPr>
                <w:bCs/>
                <w:sz w:val="20"/>
                <w:szCs w:val="20"/>
              </w:rPr>
            </w:pPr>
            <w:r w:rsidRPr="008B6A75">
              <w:rPr>
                <w:bCs/>
                <w:sz w:val="20"/>
                <w:szCs w:val="20"/>
              </w:rPr>
              <w:t>99.0.00.70510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D29FE62"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F10C014" w14:textId="77777777" w:rsidR="00387142" w:rsidRPr="008B6A75" w:rsidRDefault="00387142" w:rsidP="00387142">
            <w:pPr>
              <w:jc w:val="right"/>
              <w:rPr>
                <w:bCs/>
                <w:sz w:val="20"/>
                <w:szCs w:val="20"/>
              </w:rPr>
            </w:pPr>
            <w:r w:rsidRPr="008B6A75">
              <w:rPr>
                <w:bCs/>
                <w:sz w:val="20"/>
                <w:szCs w:val="20"/>
              </w:rPr>
              <w:t>87 568 872,00</w:t>
            </w:r>
          </w:p>
        </w:tc>
        <w:tc>
          <w:tcPr>
            <w:tcW w:w="992" w:type="dxa"/>
            <w:tcBorders>
              <w:top w:val="nil"/>
              <w:left w:val="single" w:sz="4" w:space="0" w:color="auto"/>
              <w:bottom w:val="single" w:sz="4" w:space="0" w:color="auto"/>
              <w:right w:val="nil"/>
            </w:tcBorders>
            <w:shd w:val="clear" w:color="auto" w:fill="auto"/>
            <w:vAlign w:val="center"/>
            <w:hideMark/>
          </w:tcPr>
          <w:p w14:paraId="70A5AE3B" w14:textId="77777777" w:rsidR="00387142" w:rsidRPr="008B6A75" w:rsidRDefault="00387142" w:rsidP="00387142">
            <w:pPr>
              <w:jc w:val="right"/>
              <w:rPr>
                <w:bCs/>
                <w:sz w:val="20"/>
                <w:szCs w:val="20"/>
              </w:rPr>
            </w:pPr>
            <w:r w:rsidRPr="008B6A75">
              <w:rPr>
                <w:bCs/>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1F1A0E16" w14:textId="77777777" w:rsidR="00387142" w:rsidRPr="008B6A75" w:rsidRDefault="00387142" w:rsidP="00387142">
            <w:pPr>
              <w:jc w:val="right"/>
              <w:rPr>
                <w:bCs/>
                <w:sz w:val="20"/>
                <w:szCs w:val="20"/>
              </w:rPr>
            </w:pPr>
            <w:r w:rsidRPr="008B6A75">
              <w:rPr>
                <w:bCs/>
                <w:sz w:val="20"/>
                <w:szCs w:val="20"/>
              </w:rPr>
              <w:t>0,00</w:t>
            </w:r>
          </w:p>
        </w:tc>
      </w:tr>
      <w:tr w:rsidR="00387142" w:rsidRPr="008B6A75" w14:paraId="6AFFC0E0" w14:textId="77777777" w:rsidTr="00387142">
        <w:trPr>
          <w:trHeight w:val="345"/>
        </w:trPr>
        <w:tc>
          <w:tcPr>
            <w:tcW w:w="3261" w:type="dxa"/>
            <w:tcBorders>
              <w:top w:val="nil"/>
              <w:left w:val="single" w:sz="4" w:space="0" w:color="auto"/>
              <w:bottom w:val="single" w:sz="4" w:space="0" w:color="auto"/>
              <w:right w:val="nil"/>
            </w:tcBorders>
            <w:shd w:val="clear" w:color="auto" w:fill="auto"/>
            <w:vAlign w:val="center"/>
            <w:hideMark/>
          </w:tcPr>
          <w:p w14:paraId="6EA0F411" w14:textId="77777777" w:rsidR="00387142" w:rsidRPr="008B6A75" w:rsidRDefault="00387142" w:rsidP="00387142">
            <w:pPr>
              <w:rPr>
                <w:sz w:val="20"/>
                <w:szCs w:val="20"/>
              </w:rPr>
            </w:pPr>
            <w:r w:rsidRPr="008B6A75">
              <w:rPr>
                <w:sz w:val="20"/>
                <w:szCs w:val="20"/>
              </w:rPr>
              <w:t>Межбюджетные трансферты</w:t>
            </w:r>
          </w:p>
        </w:tc>
        <w:tc>
          <w:tcPr>
            <w:tcW w:w="720" w:type="dxa"/>
            <w:tcBorders>
              <w:top w:val="nil"/>
              <w:left w:val="single" w:sz="4" w:space="0" w:color="auto"/>
              <w:bottom w:val="single" w:sz="4" w:space="0" w:color="auto"/>
              <w:right w:val="nil"/>
            </w:tcBorders>
            <w:shd w:val="clear" w:color="auto" w:fill="auto"/>
            <w:noWrap/>
            <w:vAlign w:val="center"/>
            <w:hideMark/>
          </w:tcPr>
          <w:p w14:paraId="2FC022E4" w14:textId="77777777" w:rsidR="00387142" w:rsidRPr="008B6A75" w:rsidRDefault="00387142" w:rsidP="00387142">
            <w:pPr>
              <w:jc w:val="center"/>
              <w:rPr>
                <w:sz w:val="20"/>
                <w:szCs w:val="20"/>
              </w:rPr>
            </w:pPr>
            <w:r w:rsidRPr="008B6A75">
              <w:rPr>
                <w:sz w:val="20"/>
                <w:szCs w:val="20"/>
              </w:rPr>
              <w:t>14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9076243" w14:textId="77777777" w:rsidR="00387142" w:rsidRPr="008B6A75" w:rsidRDefault="00387142" w:rsidP="00387142">
            <w:pPr>
              <w:jc w:val="center"/>
              <w:rPr>
                <w:sz w:val="20"/>
                <w:szCs w:val="20"/>
              </w:rPr>
            </w:pPr>
            <w:r w:rsidRPr="008B6A75">
              <w:rPr>
                <w:sz w:val="20"/>
                <w:szCs w:val="20"/>
              </w:rPr>
              <w:t>03</w:t>
            </w:r>
          </w:p>
        </w:tc>
        <w:tc>
          <w:tcPr>
            <w:tcW w:w="1516" w:type="dxa"/>
            <w:tcBorders>
              <w:top w:val="nil"/>
              <w:left w:val="single" w:sz="4" w:space="0" w:color="auto"/>
              <w:bottom w:val="single" w:sz="4" w:space="0" w:color="auto"/>
              <w:right w:val="nil"/>
            </w:tcBorders>
            <w:shd w:val="clear" w:color="auto" w:fill="auto"/>
            <w:noWrap/>
            <w:vAlign w:val="center"/>
            <w:hideMark/>
          </w:tcPr>
          <w:p w14:paraId="2B519196" w14:textId="77777777" w:rsidR="00387142" w:rsidRPr="008B6A75" w:rsidRDefault="00387142" w:rsidP="00387142">
            <w:pPr>
              <w:jc w:val="center"/>
              <w:rPr>
                <w:sz w:val="20"/>
                <w:szCs w:val="20"/>
              </w:rPr>
            </w:pPr>
            <w:r w:rsidRPr="008B6A75">
              <w:rPr>
                <w:sz w:val="20"/>
                <w:szCs w:val="20"/>
              </w:rPr>
              <w:t>99.0.00.70510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34AFB09" w14:textId="77777777" w:rsidR="00387142" w:rsidRPr="008B6A75" w:rsidRDefault="00387142" w:rsidP="00387142">
            <w:pPr>
              <w:jc w:val="center"/>
              <w:rPr>
                <w:sz w:val="20"/>
                <w:szCs w:val="20"/>
              </w:rPr>
            </w:pPr>
            <w:r w:rsidRPr="008B6A75">
              <w:rPr>
                <w:sz w:val="20"/>
                <w:szCs w:val="20"/>
              </w:rPr>
              <w:t>500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E8D766B" w14:textId="77777777" w:rsidR="00387142" w:rsidRPr="008B6A75" w:rsidRDefault="00387142" w:rsidP="00387142">
            <w:pPr>
              <w:jc w:val="right"/>
              <w:rPr>
                <w:sz w:val="20"/>
                <w:szCs w:val="20"/>
              </w:rPr>
            </w:pPr>
            <w:r w:rsidRPr="008B6A75">
              <w:rPr>
                <w:sz w:val="20"/>
                <w:szCs w:val="20"/>
              </w:rPr>
              <w:t>87 568 872,00</w:t>
            </w:r>
          </w:p>
        </w:tc>
        <w:tc>
          <w:tcPr>
            <w:tcW w:w="992" w:type="dxa"/>
            <w:tcBorders>
              <w:top w:val="nil"/>
              <w:left w:val="single" w:sz="4" w:space="0" w:color="auto"/>
              <w:bottom w:val="single" w:sz="4" w:space="0" w:color="auto"/>
              <w:right w:val="nil"/>
            </w:tcBorders>
            <w:shd w:val="clear" w:color="auto" w:fill="auto"/>
            <w:vAlign w:val="center"/>
            <w:hideMark/>
          </w:tcPr>
          <w:p w14:paraId="34049AF3" w14:textId="77777777" w:rsidR="00387142" w:rsidRPr="008B6A75" w:rsidRDefault="00387142" w:rsidP="00387142">
            <w:pPr>
              <w:jc w:val="right"/>
              <w:rPr>
                <w:sz w:val="20"/>
                <w:szCs w:val="20"/>
              </w:rPr>
            </w:pPr>
            <w:r w:rsidRPr="008B6A75">
              <w:rPr>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2FB918F8" w14:textId="77777777" w:rsidR="00387142" w:rsidRPr="008B6A75" w:rsidRDefault="00387142" w:rsidP="00387142">
            <w:pPr>
              <w:jc w:val="right"/>
              <w:rPr>
                <w:sz w:val="20"/>
                <w:szCs w:val="20"/>
              </w:rPr>
            </w:pPr>
            <w:r w:rsidRPr="008B6A75">
              <w:rPr>
                <w:sz w:val="20"/>
                <w:szCs w:val="20"/>
              </w:rPr>
              <w:t>0,00</w:t>
            </w:r>
          </w:p>
        </w:tc>
      </w:tr>
      <w:tr w:rsidR="00387142" w:rsidRPr="008B6A75" w14:paraId="0AD65B39" w14:textId="77777777" w:rsidTr="00387142">
        <w:trPr>
          <w:trHeight w:val="345"/>
        </w:trPr>
        <w:tc>
          <w:tcPr>
            <w:tcW w:w="3261" w:type="dxa"/>
            <w:tcBorders>
              <w:top w:val="nil"/>
              <w:left w:val="single" w:sz="4" w:space="0" w:color="auto"/>
              <w:bottom w:val="single" w:sz="4" w:space="0" w:color="auto"/>
              <w:right w:val="nil"/>
            </w:tcBorders>
            <w:shd w:val="clear" w:color="auto" w:fill="auto"/>
            <w:vAlign w:val="center"/>
            <w:hideMark/>
          </w:tcPr>
          <w:p w14:paraId="709748F5" w14:textId="77777777" w:rsidR="00387142" w:rsidRPr="008B6A75" w:rsidRDefault="00387142" w:rsidP="00387142">
            <w:pPr>
              <w:rPr>
                <w:sz w:val="20"/>
                <w:szCs w:val="20"/>
              </w:rPr>
            </w:pPr>
            <w:r w:rsidRPr="008B6A75">
              <w:rPr>
                <w:sz w:val="20"/>
                <w:szCs w:val="20"/>
              </w:rPr>
              <w:t>Иные межбюджетные трансферты</w:t>
            </w:r>
          </w:p>
        </w:tc>
        <w:tc>
          <w:tcPr>
            <w:tcW w:w="720" w:type="dxa"/>
            <w:tcBorders>
              <w:top w:val="nil"/>
              <w:left w:val="single" w:sz="4" w:space="0" w:color="auto"/>
              <w:bottom w:val="single" w:sz="4" w:space="0" w:color="auto"/>
              <w:right w:val="nil"/>
            </w:tcBorders>
            <w:shd w:val="clear" w:color="auto" w:fill="auto"/>
            <w:noWrap/>
            <w:vAlign w:val="center"/>
            <w:hideMark/>
          </w:tcPr>
          <w:p w14:paraId="76D6DB4F" w14:textId="77777777" w:rsidR="00387142" w:rsidRPr="008B6A75" w:rsidRDefault="00387142" w:rsidP="00387142">
            <w:pPr>
              <w:jc w:val="center"/>
              <w:rPr>
                <w:sz w:val="20"/>
                <w:szCs w:val="20"/>
              </w:rPr>
            </w:pPr>
            <w:r w:rsidRPr="008B6A75">
              <w:rPr>
                <w:sz w:val="20"/>
                <w:szCs w:val="20"/>
              </w:rPr>
              <w:t>14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BA84CBA" w14:textId="77777777" w:rsidR="00387142" w:rsidRPr="008B6A75" w:rsidRDefault="00387142" w:rsidP="00387142">
            <w:pPr>
              <w:jc w:val="center"/>
              <w:rPr>
                <w:sz w:val="20"/>
                <w:szCs w:val="20"/>
              </w:rPr>
            </w:pPr>
            <w:r w:rsidRPr="008B6A75">
              <w:rPr>
                <w:sz w:val="20"/>
                <w:szCs w:val="20"/>
              </w:rPr>
              <w:t>03</w:t>
            </w:r>
          </w:p>
        </w:tc>
        <w:tc>
          <w:tcPr>
            <w:tcW w:w="1516" w:type="dxa"/>
            <w:tcBorders>
              <w:top w:val="nil"/>
              <w:left w:val="single" w:sz="4" w:space="0" w:color="auto"/>
              <w:bottom w:val="single" w:sz="4" w:space="0" w:color="auto"/>
              <w:right w:val="nil"/>
            </w:tcBorders>
            <w:shd w:val="clear" w:color="auto" w:fill="auto"/>
            <w:noWrap/>
            <w:vAlign w:val="center"/>
            <w:hideMark/>
          </w:tcPr>
          <w:p w14:paraId="72944C1E" w14:textId="77777777" w:rsidR="00387142" w:rsidRPr="008B6A75" w:rsidRDefault="00387142" w:rsidP="00387142">
            <w:pPr>
              <w:jc w:val="center"/>
              <w:rPr>
                <w:sz w:val="20"/>
                <w:szCs w:val="20"/>
              </w:rPr>
            </w:pPr>
            <w:r w:rsidRPr="008B6A75">
              <w:rPr>
                <w:sz w:val="20"/>
                <w:szCs w:val="20"/>
              </w:rPr>
              <w:t>99.0.00.70510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E38FEDA" w14:textId="77777777" w:rsidR="00387142" w:rsidRPr="008B6A75" w:rsidRDefault="00387142" w:rsidP="00387142">
            <w:pPr>
              <w:jc w:val="center"/>
              <w:rPr>
                <w:sz w:val="20"/>
                <w:szCs w:val="20"/>
              </w:rPr>
            </w:pPr>
            <w:r w:rsidRPr="008B6A75">
              <w:rPr>
                <w:sz w:val="20"/>
                <w:szCs w:val="20"/>
              </w:rPr>
              <w:t>540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B95D706" w14:textId="77777777" w:rsidR="00387142" w:rsidRPr="008B6A75" w:rsidRDefault="00387142" w:rsidP="00387142">
            <w:pPr>
              <w:jc w:val="right"/>
              <w:rPr>
                <w:sz w:val="20"/>
                <w:szCs w:val="20"/>
              </w:rPr>
            </w:pPr>
            <w:r w:rsidRPr="008B6A75">
              <w:rPr>
                <w:sz w:val="20"/>
                <w:szCs w:val="20"/>
              </w:rPr>
              <w:t>87 568 872,00</w:t>
            </w:r>
          </w:p>
        </w:tc>
        <w:tc>
          <w:tcPr>
            <w:tcW w:w="992" w:type="dxa"/>
            <w:tcBorders>
              <w:top w:val="nil"/>
              <w:left w:val="single" w:sz="4" w:space="0" w:color="auto"/>
              <w:bottom w:val="single" w:sz="4" w:space="0" w:color="auto"/>
              <w:right w:val="nil"/>
            </w:tcBorders>
            <w:shd w:val="clear" w:color="auto" w:fill="auto"/>
            <w:vAlign w:val="center"/>
            <w:hideMark/>
          </w:tcPr>
          <w:p w14:paraId="2E66D540" w14:textId="77777777" w:rsidR="00387142" w:rsidRPr="008B6A75" w:rsidRDefault="00387142" w:rsidP="00387142">
            <w:pPr>
              <w:jc w:val="right"/>
              <w:rPr>
                <w:sz w:val="20"/>
                <w:szCs w:val="20"/>
              </w:rPr>
            </w:pPr>
            <w:r w:rsidRPr="008B6A75">
              <w:rPr>
                <w:sz w:val="20"/>
                <w:szCs w:val="20"/>
              </w:rPr>
              <w:t>0,00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3A0FCA72" w14:textId="77777777" w:rsidR="00387142" w:rsidRPr="008B6A75" w:rsidRDefault="00387142" w:rsidP="00387142">
            <w:pPr>
              <w:jc w:val="right"/>
              <w:rPr>
                <w:sz w:val="20"/>
                <w:szCs w:val="20"/>
              </w:rPr>
            </w:pPr>
            <w:r w:rsidRPr="008B6A75">
              <w:rPr>
                <w:sz w:val="20"/>
                <w:szCs w:val="20"/>
              </w:rPr>
              <w:t>0,00</w:t>
            </w:r>
          </w:p>
        </w:tc>
      </w:tr>
      <w:tr w:rsidR="00387142" w:rsidRPr="008B6A75" w14:paraId="41BED4A5" w14:textId="77777777" w:rsidTr="00387142">
        <w:trPr>
          <w:trHeight w:val="345"/>
        </w:trPr>
        <w:tc>
          <w:tcPr>
            <w:tcW w:w="3261" w:type="dxa"/>
            <w:tcBorders>
              <w:top w:val="nil"/>
              <w:left w:val="single" w:sz="4" w:space="0" w:color="auto"/>
              <w:bottom w:val="single" w:sz="4" w:space="0" w:color="auto"/>
              <w:right w:val="nil"/>
            </w:tcBorders>
            <w:shd w:val="clear" w:color="auto" w:fill="auto"/>
            <w:vAlign w:val="center"/>
            <w:hideMark/>
          </w:tcPr>
          <w:p w14:paraId="5C764B15" w14:textId="77777777" w:rsidR="00387142" w:rsidRPr="008B6A75" w:rsidRDefault="00387142" w:rsidP="00387142">
            <w:pPr>
              <w:rPr>
                <w:bCs/>
                <w:sz w:val="20"/>
                <w:szCs w:val="20"/>
              </w:rPr>
            </w:pPr>
            <w:r w:rsidRPr="008B6A75">
              <w:rPr>
                <w:bCs/>
                <w:sz w:val="20"/>
                <w:szCs w:val="20"/>
              </w:rPr>
              <w:t>Условно утвержденные расходы</w:t>
            </w:r>
          </w:p>
        </w:tc>
        <w:tc>
          <w:tcPr>
            <w:tcW w:w="720" w:type="dxa"/>
            <w:tcBorders>
              <w:top w:val="nil"/>
              <w:left w:val="single" w:sz="4" w:space="0" w:color="auto"/>
              <w:bottom w:val="single" w:sz="4" w:space="0" w:color="auto"/>
              <w:right w:val="nil"/>
            </w:tcBorders>
            <w:shd w:val="clear" w:color="auto" w:fill="auto"/>
            <w:noWrap/>
            <w:vAlign w:val="center"/>
            <w:hideMark/>
          </w:tcPr>
          <w:p w14:paraId="412B595E" w14:textId="77777777" w:rsidR="00387142" w:rsidRPr="008B6A75" w:rsidRDefault="00387142" w:rsidP="00387142">
            <w:pPr>
              <w:jc w:val="center"/>
              <w:rPr>
                <w:bCs/>
                <w:sz w:val="20"/>
                <w:szCs w:val="20"/>
              </w:rPr>
            </w:pPr>
            <w:r w:rsidRPr="008B6A75">
              <w:rPr>
                <w:bCs/>
                <w:sz w:val="20"/>
                <w:szCs w:val="20"/>
              </w:rPr>
              <w:t>99</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71044D7" w14:textId="77777777" w:rsidR="00387142" w:rsidRPr="008B6A75" w:rsidRDefault="00387142" w:rsidP="00387142">
            <w:pPr>
              <w:jc w:val="center"/>
              <w:rPr>
                <w:bCs/>
                <w:sz w:val="20"/>
                <w:szCs w:val="20"/>
              </w:rPr>
            </w:pPr>
            <w:r w:rsidRPr="008B6A75">
              <w:rPr>
                <w:bCs/>
                <w:sz w:val="20"/>
                <w:szCs w:val="20"/>
              </w:rPr>
              <w:t> </w:t>
            </w:r>
          </w:p>
        </w:tc>
        <w:tc>
          <w:tcPr>
            <w:tcW w:w="1516" w:type="dxa"/>
            <w:tcBorders>
              <w:top w:val="nil"/>
              <w:left w:val="single" w:sz="4" w:space="0" w:color="auto"/>
              <w:bottom w:val="single" w:sz="4" w:space="0" w:color="auto"/>
              <w:right w:val="nil"/>
            </w:tcBorders>
            <w:shd w:val="clear" w:color="auto" w:fill="auto"/>
            <w:noWrap/>
            <w:vAlign w:val="center"/>
            <w:hideMark/>
          </w:tcPr>
          <w:p w14:paraId="062DAFD8" w14:textId="77777777" w:rsidR="00387142" w:rsidRPr="008B6A75" w:rsidRDefault="00387142" w:rsidP="00387142">
            <w:pPr>
              <w:jc w:val="center"/>
              <w:rPr>
                <w:bCs/>
                <w:sz w:val="20"/>
                <w:szCs w:val="20"/>
              </w:rPr>
            </w:pPr>
            <w:r w:rsidRPr="008B6A75">
              <w:rPr>
                <w:bCs/>
                <w:sz w:val="20"/>
                <w:szCs w:val="20"/>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1BFACBD"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1529C23" w14:textId="77777777" w:rsidR="00387142" w:rsidRPr="008B6A75" w:rsidRDefault="00387142" w:rsidP="00387142">
            <w:pPr>
              <w:jc w:val="right"/>
              <w:rPr>
                <w:bCs/>
                <w:sz w:val="20"/>
                <w:szCs w:val="20"/>
              </w:rPr>
            </w:pPr>
            <w:r w:rsidRPr="008B6A75">
              <w:rPr>
                <w:bCs/>
                <w:sz w:val="20"/>
                <w:szCs w:val="20"/>
              </w:rPr>
              <w:t>0,00</w:t>
            </w:r>
          </w:p>
        </w:tc>
        <w:tc>
          <w:tcPr>
            <w:tcW w:w="992" w:type="dxa"/>
            <w:tcBorders>
              <w:top w:val="nil"/>
              <w:left w:val="single" w:sz="4" w:space="0" w:color="auto"/>
              <w:bottom w:val="single" w:sz="4" w:space="0" w:color="auto"/>
              <w:right w:val="nil"/>
            </w:tcBorders>
            <w:shd w:val="clear" w:color="auto" w:fill="auto"/>
            <w:vAlign w:val="center"/>
            <w:hideMark/>
          </w:tcPr>
          <w:p w14:paraId="693CBD82" w14:textId="77777777" w:rsidR="00387142" w:rsidRPr="008B6A75" w:rsidRDefault="00387142" w:rsidP="00387142">
            <w:pPr>
              <w:jc w:val="right"/>
              <w:rPr>
                <w:bCs/>
                <w:sz w:val="20"/>
                <w:szCs w:val="20"/>
              </w:rPr>
            </w:pPr>
            <w:r w:rsidRPr="008B6A75">
              <w:rPr>
                <w:bCs/>
                <w:sz w:val="20"/>
                <w:szCs w:val="20"/>
              </w:rPr>
              <w:t>12 290 108,00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5A3F196A" w14:textId="77777777" w:rsidR="00387142" w:rsidRPr="008B6A75" w:rsidRDefault="00387142" w:rsidP="00387142">
            <w:pPr>
              <w:jc w:val="right"/>
              <w:rPr>
                <w:bCs/>
                <w:sz w:val="20"/>
                <w:szCs w:val="20"/>
              </w:rPr>
            </w:pPr>
            <w:r w:rsidRPr="008B6A75">
              <w:rPr>
                <w:bCs/>
                <w:sz w:val="20"/>
                <w:szCs w:val="20"/>
              </w:rPr>
              <w:t>23 989 084,50</w:t>
            </w:r>
          </w:p>
        </w:tc>
      </w:tr>
      <w:tr w:rsidR="00387142" w:rsidRPr="008B6A75" w14:paraId="1795414B" w14:textId="77777777" w:rsidTr="00387142">
        <w:trPr>
          <w:trHeight w:val="345"/>
        </w:trPr>
        <w:tc>
          <w:tcPr>
            <w:tcW w:w="3261" w:type="dxa"/>
            <w:tcBorders>
              <w:top w:val="nil"/>
              <w:left w:val="single" w:sz="4" w:space="0" w:color="auto"/>
              <w:bottom w:val="single" w:sz="4" w:space="0" w:color="auto"/>
              <w:right w:val="nil"/>
            </w:tcBorders>
            <w:shd w:val="clear" w:color="auto" w:fill="auto"/>
            <w:vAlign w:val="center"/>
            <w:hideMark/>
          </w:tcPr>
          <w:p w14:paraId="50F08F50" w14:textId="77777777" w:rsidR="00387142" w:rsidRPr="008B6A75" w:rsidRDefault="00387142" w:rsidP="00387142">
            <w:pPr>
              <w:rPr>
                <w:bCs/>
                <w:sz w:val="20"/>
                <w:szCs w:val="20"/>
              </w:rPr>
            </w:pPr>
            <w:r w:rsidRPr="008B6A75">
              <w:rPr>
                <w:bCs/>
                <w:sz w:val="20"/>
                <w:szCs w:val="20"/>
              </w:rPr>
              <w:t>Условно утвержденные расходы</w:t>
            </w:r>
          </w:p>
        </w:tc>
        <w:tc>
          <w:tcPr>
            <w:tcW w:w="720" w:type="dxa"/>
            <w:tcBorders>
              <w:top w:val="nil"/>
              <w:left w:val="single" w:sz="4" w:space="0" w:color="auto"/>
              <w:bottom w:val="single" w:sz="4" w:space="0" w:color="auto"/>
              <w:right w:val="nil"/>
            </w:tcBorders>
            <w:shd w:val="clear" w:color="auto" w:fill="auto"/>
            <w:noWrap/>
            <w:vAlign w:val="center"/>
            <w:hideMark/>
          </w:tcPr>
          <w:p w14:paraId="37B6D3F1" w14:textId="77777777" w:rsidR="00387142" w:rsidRPr="008B6A75" w:rsidRDefault="00387142" w:rsidP="00387142">
            <w:pPr>
              <w:jc w:val="center"/>
              <w:rPr>
                <w:bCs/>
                <w:sz w:val="20"/>
                <w:szCs w:val="20"/>
              </w:rPr>
            </w:pPr>
            <w:r w:rsidRPr="008B6A75">
              <w:rPr>
                <w:bCs/>
                <w:sz w:val="20"/>
                <w:szCs w:val="20"/>
              </w:rPr>
              <w:t>99</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BEDA342" w14:textId="77777777" w:rsidR="00387142" w:rsidRPr="008B6A75" w:rsidRDefault="00387142" w:rsidP="00387142">
            <w:pPr>
              <w:jc w:val="center"/>
              <w:rPr>
                <w:bCs/>
                <w:sz w:val="20"/>
                <w:szCs w:val="20"/>
              </w:rPr>
            </w:pPr>
            <w:r w:rsidRPr="008B6A75">
              <w:rPr>
                <w:bCs/>
                <w:sz w:val="20"/>
                <w:szCs w:val="20"/>
              </w:rPr>
              <w:t>99</w:t>
            </w:r>
          </w:p>
        </w:tc>
        <w:tc>
          <w:tcPr>
            <w:tcW w:w="1516" w:type="dxa"/>
            <w:tcBorders>
              <w:top w:val="nil"/>
              <w:left w:val="single" w:sz="4" w:space="0" w:color="auto"/>
              <w:bottom w:val="single" w:sz="4" w:space="0" w:color="auto"/>
              <w:right w:val="nil"/>
            </w:tcBorders>
            <w:shd w:val="clear" w:color="auto" w:fill="auto"/>
            <w:noWrap/>
            <w:vAlign w:val="center"/>
            <w:hideMark/>
          </w:tcPr>
          <w:p w14:paraId="669D0B97" w14:textId="77777777" w:rsidR="00387142" w:rsidRPr="008B6A75" w:rsidRDefault="00387142" w:rsidP="00387142">
            <w:pPr>
              <w:jc w:val="center"/>
              <w:rPr>
                <w:bCs/>
                <w:sz w:val="20"/>
                <w:szCs w:val="20"/>
              </w:rPr>
            </w:pPr>
            <w:r w:rsidRPr="008B6A75">
              <w:rPr>
                <w:bCs/>
                <w:sz w:val="20"/>
                <w:szCs w:val="20"/>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1D2A05C"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85EB09A" w14:textId="77777777" w:rsidR="00387142" w:rsidRPr="008B6A75" w:rsidRDefault="00387142" w:rsidP="00387142">
            <w:pPr>
              <w:jc w:val="right"/>
              <w:rPr>
                <w:bCs/>
                <w:sz w:val="20"/>
                <w:szCs w:val="20"/>
              </w:rPr>
            </w:pPr>
            <w:r w:rsidRPr="008B6A75">
              <w:rPr>
                <w:bCs/>
                <w:sz w:val="20"/>
                <w:szCs w:val="20"/>
              </w:rPr>
              <w:t>0,00</w:t>
            </w:r>
          </w:p>
        </w:tc>
        <w:tc>
          <w:tcPr>
            <w:tcW w:w="992" w:type="dxa"/>
            <w:tcBorders>
              <w:top w:val="nil"/>
              <w:left w:val="single" w:sz="4" w:space="0" w:color="auto"/>
              <w:bottom w:val="single" w:sz="4" w:space="0" w:color="auto"/>
              <w:right w:val="nil"/>
            </w:tcBorders>
            <w:shd w:val="clear" w:color="auto" w:fill="auto"/>
            <w:vAlign w:val="center"/>
            <w:hideMark/>
          </w:tcPr>
          <w:p w14:paraId="63A9F336" w14:textId="77777777" w:rsidR="00387142" w:rsidRPr="008B6A75" w:rsidRDefault="00387142" w:rsidP="00387142">
            <w:pPr>
              <w:jc w:val="right"/>
              <w:rPr>
                <w:bCs/>
                <w:sz w:val="20"/>
                <w:szCs w:val="20"/>
              </w:rPr>
            </w:pPr>
            <w:r w:rsidRPr="008B6A75">
              <w:rPr>
                <w:bCs/>
                <w:sz w:val="20"/>
                <w:szCs w:val="20"/>
              </w:rPr>
              <w:t>12 290 108,00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09E454C8" w14:textId="77777777" w:rsidR="00387142" w:rsidRPr="008B6A75" w:rsidRDefault="00387142" w:rsidP="00387142">
            <w:pPr>
              <w:jc w:val="right"/>
              <w:rPr>
                <w:bCs/>
                <w:sz w:val="20"/>
                <w:szCs w:val="20"/>
              </w:rPr>
            </w:pPr>
            <w:r w:rsidRPr="008B6A75">
              <w:rPr>
                <w:bCs/>
                <w:sz w:val="20"/>
                <w:szCs w:val="20"/>
              </w:rPr>
              <w:t>23 989 084,50</w:t>
            </w:r>
          </w:p>
        </w:tc>
      </w:tr>
      <w:tr w:rsidR="00387142" w:rsidRPr="008B6A75" w14:paraId="171EEE26" w14:textId="77777777" w:rsidTr="00387142">
        <w:trPr>
          <w:trHeight w:val="345"/>
        </w:trPr>
        <w:tc>
          <w:tcPr>
            <w:tcW w:w="3261" w:type="dxa"/>
            <w:tcBorders>
              <w:top w:val="nil"/>
              <w:left w:val="single" w:sz="4" w:space="0" w:color="auto"/>
              <w:bottom w:val="single" w:sz="4" w:space="0" w:color="auto"/>
              <w:right w:val="nil"/>
            </w:tcBorders>
            <w:shd w:val="clear" w:color="auto" w:fill="auto"/>
            <w:vAlign w:val="center"/>
            <w:hideMark/>
          </w:tcPr>
          <w:p w14:paraId="53F69C68" w14:textId="77777777" w:rsidR="00387142" w:rsidRPr="008B6A75" w:rsidRDefault="00387142" w:rsidP="00387142">
            <w:pPr>
              <w:rPr>
                <w:bCs/>
                <w:sz w:val="20"/>
                <w:szCs w:val="20"/>
              </w:rPr>
            </w:pPr>
            <w:r w:rsidRPr="008B6A75">
              <w:rPr>
                <w:bCs/>
                <w:sz w:val="20"/>
                <w:szCs w:val="20"/>
              </w:rPr>
              <w:t>Непрограммные направления бюджета</w:t>
            </w:r>
          </w:p>
        </w:tc>
        <w:tc>
          <w:tcPr>
            <w:tcW w:w="720" w:type="dxa"/>
            <w:tcBorders>
              <w:top w:val="nil"/>
              <w:left w:val="single" w:sz="4" w:space="0" w:color="auto"/>
              <w:bottom w:val="single" w:sz="4" w:space="0" w:color="auto"/>
              <w:right w:val="nil"/>
            </w:tcBorders>
            <w:shd w:val="clear" w:color="auto" w:fill="auto"/>
            <w:noWrap/>
            <w:vAlign w:val="center"/>
            <w:hideMark/>
          </w:tcPr>
          <w:p w14:paraId="36DB2A88" w14:textId="77777777" w:rsidR="00387142" w:rsidRPr="008B6A75" w:rsidRDefault="00387142" w:rsidP="00387142">
            <w:pPr>
              <w:jc w:val="center"/>
              <w:rPr>
                <w:bCs/>
                <w:sz w:val="20"/>
                <w:szCs w:val="20"/>
              </w:rPr>
            </w:pPr>
            <w:r w:rsidRPr="008B6A75">
              <w:rPr>
                <w:bCs/>
                <w:sz w:val="20"/>
                <w:szCs w:val="20"/>
              </w:rPr>
              <w:t>99</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0FB7AB3" w14:textId="77777777" w:rsidR="00387142" w:rsidRPr="008B6A75" w:rsidRDefault="00387142" w:rsidP="00387142">
            <w:pPr>
              <w:jc w:val="center"/>
              <w:rPr>
                <w:bCs/>
                <w:sz w:val="20"/>
                <w:szCs w:val="20"/>
              </w:rPr>
            </w:pPr>
            <w:r w:rsidRPr="008B6A75">
              <w:rPr>
                <w:bCs/>
                <w:sz w:val="20"/>
                <w:szCs w:val="20"/>
              </w:rPr>
              <w:t>99</w:t>
            </w:r>
          </w:p>
        </w:tc>
        <w:tc>
          <w:tcPr>
            <w:tcW w:w="1516" w:type="dxa"/>
            <w:tcBorders>
              <w:top w:val="nil"/>
              <w:left w:val="single" w:sz="4" w:space="0" w:color="auto"/>
              <w:bottom w:val="single" w:sz="4" w:space="0" w:color="auto"/>
              <w:right w:val="nil"/>
            </w:tcBorders>
            <w:shd w:val="clear" w:color="auto" w:fill="auto"/>
            <w:noWrap/>
            <w:vAlign w:val="center"/>
            <w:hideMark/>
          </w:tcPr>
          <w:p w14:paraId="1A9EEFF5" w14:textId="77777777" w:rsidR="00387142" w:rsidRPr="008B6A75" w:rsidRDefault="00387142" w:rsidP="00387142">
            <w:pPr>
              <w:jc w:val="center"/>
              <w:rPr>
                <w:bCs/>
                <w:sz w:val="20"/>
                <w:szCs w:val="20"/>
              </w:rPr>
            </w:pPr>
            <w:r w:rsidRPr="008B6A75">
              <w:rPr>
                <w:bCs/>
                <w:sz w:val="20"/>
                <w:szCs w:val="20"/>
              </w:rPr>
              <w:t>99.0.00.00000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E68560E"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3BA3EEF" w14:textId="77777777" w:rsidR="00387142" w:rsidRPr="008B6A75" w:rsidRDefault="00387142" w:rsidP="00387142">
            <w:pPr>
              <w:jc w:val="right"/>
              <w:rPr>
                <w:bCs/>
                <w:sz w:val="20"/>
                <w:szCs w:val="20"/>
              </w:rPr>
            </w:pPr>
            <w:r w:rsidRPr="008B6A75">
              <w:rPr>
                <w:bCs/>
                <w:sz w:val="20"/>
                <w:szCs w:val="20"/>
              </w:rPr>
              <w:t>0,00</w:t>
            </w:r>
          </w:p>
        </w:tc>
        <w:tc>
          <w:tcPr>
            <w:tcW w:w="992" w:type="dxa"/>
            <w:tcBorders>
              <w:top w:val="nil"/>
              <w:left w:val="single" w:sz="4" w:space="0" w:color="auto"/>
              <w:bottom w:val="single" w:sz="4" w:space="0" w:color="auto"/>
              <w:right w:val="nil"/>
            </w:tcBorders>
            <w:shd w:val="clear" w:color="auto" w:fill="auto"/>
            <w:vAlign w:val="center"/>
            <w:hideMark/>
          </w:tcPr>
          <w:p w14:paraId="7B0D4D95" w14:textId="77777777" w:rsidR="00387142" w:rsidRPr="008B6A75" w:rsidRDefault="00387142" w:rsidP="00387142">
            <w:pPr>
              <w:jc w:val="right"/>
              <w:rPr>
                <w:bCs/>
                <w:sz w:val="20"/>
                <w:szCs w:val="20"/>
              </w:rPr>
            </w:pPr>
            <w:r w:rsidRPr="008B6A75">
              <w:rPr>
                <w:bCs/>
                <w:sz w:val="20"/>
                <w:szCs w:val="20"/>
              </w:rPr>
              <w:t>12 290 108,00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48664982" w14:textId="77777777" w:rsidR="00387142" w:rsidRPr="008B6A75" w:rsidRDefault="00387142" w:rsidP="00387142">
            <w:pPr>
              <w:jc w:val="right"/>
              <w:rPr>
                <w:bCs/>
                <w:sz w:val="20"/>
                <w:szCs w:val="20"/>
              </w:rPr>
            </w:pPr>
            <w:r w:rsidRPr="008B6A75">
              <w:rPr>
                <w:bCs/>
                <w:sz w:val="20"/>
                <w:szCs w:val="20"/>
              </w:rPr>
              <w:t>23 989 084,50</w:t>
            </w:r>
          </w:p>
        </w:tc>
      </w:tr>
      <w:tr w:rsidR="00387142" w:rsidRPr="008B6A75" w14:paraId="083DF664" w14:textId="77777777" w:rsidTr="00387142">
        <w:trPr>
          <w:trHeight w:val="345"/>
        </w:trPr>
        <w:tc>
          <w:tcPr>
            <w:tcW w:w="3261" w:type="dxa"/>
            <w:tcBorders>
              <w:top w:val="nil"/>
              <w:left w:val="single" w:sz="4" w:space="0" w:color="auto"/>
              <w:bottom w:val="single" w:sz="4" w:space="0" w:color="auto"/>
              <w:right w:val="nil"/>
            </w:tcBorders>
            <w:shd w:val="clear" w:color="auto" w:fill="auto"/>
            <w:vAlign w:val="center"/>
            <w:hideMark/>
          </w:tcPr>
          <w:p w14:paraId="18A2ED31" w14:textId="77777777" w:rsidR="00387142" w:rsidRPr="008B6A75" w:rsidRDefault="00387142" w:rsidP="00387142">
            <w:pPr>
              <w:rPr>
                <w:bCs/>
                <w:sz w:val="20"/>
                <w:szCs w:val="20"/>
              </w:rPr>
            </w:pPr>
            <w:r w:rsidRPr="008B6A75">
              <w:rPr>
                <w:bCs/>
                <w:sz w:val="20"/>
                <w:szCs w:val="20"/>
              </w:rPr>
              <w:t>Условно утвержденные расходы</w:t>
            </w:r>
          </w:p>
        </w:tc>
        <w:tc>
          <w:tcPr>
            <w:tcW w:w="720" w:type="dxa"/>
            <w:tcBorders>
              <w:top w:val="nil"/>
              <w:left w:val="single" w:sz="4" w:space="0" w:color="auto"/>
              <w:bottom w:val="single" w:sz="4" w:space="0" w:color="auto"/>
              <w:right w:val="nil"/>
            </w:tcBorders>
            <w:shd w:val="clear" w:color="auto" w:fill="auto"/>
            <w:noWrap/>
            <w:vAlign w:val="center"/>
            <w:hideMark/>
          </w:tcPr>
          <w:p w14:paraId="3D722BEB" w14:textId="77777777" w:rsidR="00387142" w:rsidRPr="008B6A75" w:rsidRDefault="00387142" w:rsidP="00387142">
            <w:pPr>
              <w:jc w:val="center"/>
              <w:rPr>
                <w:bCs/>
                <w:sz w:val="20"/>
                <w:szCs w:val="20"/>
              </w:rPr>
            </w:pPr>
            <w:r w:rsidRPr="008B6A75">
              <w:rPr>
                <w:bCs/>
                <w:sz w:val="20"/>
                <w:szCs w:val="20"/>
              </w:rPr>
              <w:t>99</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00BBC46" w14:textId="77777777" w:rsidR="00387142" w:rsidRPr="008B6A75" w:rsidRDefault="00387142" w:rsidP="00387142">
            <w:pPr>
              <w:jc w:val="center"/>
              <w:rPr>
                <w:bCs/>
                <w:sz w:val="20"/>
                <w:szCs w:val="20"/>
              </w:rPr>
            </w:pPr>
            <w:r w:rsidRPr="008B6A75">
              <w:rPr>
                <w:bCs/>
                <w:sz w:val="20"/>
                <w:szCs w:val="20"/>
              </w:rPr>
              <w:t>99</w:t>
            </w:r>
          </w:p>
        </w:tc>
        <w:tc>
          <w:tcPr>
            <w:tcW w:w="1516" w:type="dxa"/>
            <w:tcBorders>
              <w:top w:val="nil"/>
              <w:left w:val="single" w:sz="4" w:space="0" w:color="auto"/>
              <w:bottom w:val="single" w:sz="4" w:space="0" w:color="auto"/>
              <w:right w:val="nil"/>
            </w:tcBorders>
            <w:shd w:val="clear" w:color="auto" w:fill="auto"/>
            <w:noWrap/>
            <w:vAlign w:val="center"/>
            <w:hideMark/>
          </w:tcPr>
          <w:p w14:paraId="3D42A478" w14:textId="77777777" w:rsidR="00387142" w:rsidRPr="008B6A75" w:rsidRDefault="00387142" w:rsidP="00387142">
            <w:pPr>
              <w:jc w:val="center"/>
              <w:rPr>
                <w:bCs/>
                <w:sz w:val="20"/>
                <w:szCs w:val="20"/>
              </w:rPr>
            </w:pPr>
            <w:r w:rsidRPr="008B6A75">
              <w:rPr>
                <w:bCs/>
                <w:sz w:val="20"/>
                <w:szCs w:val="20"/>
              </w:rPr>
              <w:t>99.9.00.00000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0AC5DAB"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F924D4D" w14:textId="77777777" w:rsidR="00387142" w:rsidRPr="008B6A75" w:rsidRDefault="00387142" w:rsidP="00387142">
            <w:pPr>
              <w:jc w:val="right"/>
              <w:rPr>
                <w:bCs/>
                <w:sz w:val="20"/>
                <w:szCs w:val="20"/>
              </w:rPr>
            </w:pPr>
            <w:r w:rsidRPr="008B6A75">
              <w:rPr>
                <w:bCs/>
                <w:sz w:val="20"/>
                <w:szCs w:val="20"/>
              </w:rPr>
              <w:t>0,00</w:t>
            </w:r>
          </w:p>
        </w:tc>
        <w:tc>
          <w:tcPr>
            <w:tcW w:w="992" w:type="dxa"/>
            <w:tcBorders>
              <w:top w:val="nil"/>
              <w:left w:val="single" w:sz="4" w:space="0" w:color="auto"/>
              <w:bottom w:val="single" w:sz="4" w:space="0" w:color="auto"/>
              <w:right w:val="nil"/>
            </w:tcBorders>
            <w:shd w:val="clear" w:color="auto" w:fill="auto"/>
            <w:vAlign w:val="center"/>
            <w:hideMark/>
          </w:tcPr>
          <w:p w14:paraId="1AAC5732" w14:textId="77777777" w:rsidR="00387142" w:rsidRPr="008B6A75" w:rsidRDefault="00387142" w:rsidP="00387142">
            <w:pPr>
              <w:jc w:val="right"/>
              <w:rPr>
                <w:bCs/>
                <w:sz w:val="20"/>
                <w:szCs w:val="20"/>
              </w:rPr>
            </w:pPr>
            <w:r w:rsidRPr="008B6A75">
              <w:rPr>
                <w:bCs/>
                <w:sz w:val="20"/>
                <w:szCs w:val="20"/>
              </w:rPr>
              <w:t>12 290 108,00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6099D2EF" w14:textId="77777777" w:rsidR="00387142" w:rsidRPr="008B6A75" w:rsidRDefault="00387142" w:rsidP="00387142">
            <w:pPr>
              <w:jc w:val="right"/>
              <w:rPr>
                <w:bCs/>
                <w:sz w:val="20"/>
                <w:szCs w:val="20"/>
              </w:rPr>
            </w:pPr>
            <w:r w:rsidRPr="008B6A75">
              <w:rPr>
                <w:bCs/>
                <w:sz w:val="20"/>
                <w:szCs w:val="20"/>
              </w:rPr>
              <w:t>23 989 084,50</w:t>
            </w:r>
          </w:p>
        </w:tc>
      </w:tr>
      <w:tr w:rsidR="00387142" w:rsidRPr="008B6A75" w14:paraId="1333FA91" w14:textId="77777777" w:rsidTr="00387142">
        <w:trPr>
          <w:trHeight w:val="345"/>
        </w:trPr>
        <w:tc>
          <w:tcPr>
            <w:tcW w:w="3261" w:type="dxa"/>
            <w:tcBorders>
              <w:top w:val="nil"/>
              <w:left w:val="single" w:sz="4" w:space="0" w:color="auto"/>
              <w:bottom w:val="single" w:sz="4" w:space="0" w:color="auto"/>
              <w:right w:val="nil"/>
            </w:tcBorders>
            <w:shd w:val="clear" w:color="auto" w:fill="auto"/>
            <w:vAlign w:val="center"/>
            <w:hideMark/>
          </w:tcPr>
          <w:p w14:paraId="4C220C74" w14:textId="77777777" w:rsidR="00387142" w:rsidRPr="008B6A75" w:rsidRDefault="00387142" w:rsidP="00387142">
            <w:pPr>
              <w:rPr>
                <w:sz w:val="20"/>
                <w:szCs w:val="20"/>
              </w:rPr>
            </w:pPr>
            <w:r w:rsidRPr="008B6A75">
              <w:rPr>
                <w:sz w:val="20"/>
                <w:szCs w:val="20"/>
              </w:rPr>
              <w:t>Условно утвержденные расходы</w:t>
            </w:r>
          </w:p>
        </w:tc>
        <w:tc>
          <w:tcPr>
            <w:tcW w:w="720" w:type="dxa"/>
            <w:tcBorders>
              <w:top w:val="nil"/>
              <w:left w:val="single" w:sz="4" w:space="0" w:color="auto"/>
              <w:bottom w:val="single" w:sz="4" w:space="0" w:color="auto"/>
              <w:right w:val="nil"/>
            </w:tcBorders>
            <w:shd w:val="clear" w:color="auto" w:fill="auto"/>
            <w:noWrap/>
            <w:vAlign w:val="center"/>
            <w:hideMark/>
          </w:tcPr>
          <w:p w14:paraId="5144ABD6" w14:textId="77777777" w:rsidR="00387142" w:rsidRPr="008B6A75" w:rsidRDefault="00387142" w:rsidP="00387142">
            <w:pPr>
              <w:jc w:val="center"/>
              <w:rPr>
                <w:sz w:val="20"/>
                <w:szCs w:val="20"/>
              </w:rPr>
            </w:pPr>
            <w:r w:rsidRPr="008B6A75">
              <w:rPr>
                <w:sz w:val="20"/>
                <w:szCs w:val="20"/>
              </w:rPr>
              <w:t>99</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2810795" w14:textId="77777777" w:rsidR="00387142" w:rsidRPr="008B6A75" w:rsidRDefault="00387142" w:rsidP="00387142">
            <w:pPr>
              <w:jc w:val="center"/>
              <w:rPr>
                <w:sz w:val="20"/>
                <w:szCs w:val="20"/>
              </w:rPr>
            </w:pPr>
            <w:r w:rsidRPr="008B6A75">
              <w:rPr>
                <w:sz w:val="20"/>
                <w:szCs w:val="20"/>
              </w:rPr>
              <w:t>99</w:t>
            </w:r>
          </w:p>
        </w:tc>
        <w:tc>
          <w:tcPr>
            <w:tcW w:w="1516" w:type="dxa"/>
            <w:tcBorders>
              <w:top w:val="nil"/>
              <w:left w:val="single" w:sz="4" w:space="0" w:color="auto"/>
              <w:bottom w:val="single" w:sz="4" w:space="0" w:color="auto"/>
              <w:right w:val="nil"/>
            </w:tcBorders>
            <w:shd w:val="clear" w:color="auto" w:fill="auto"/>
            <w:noWrap/>
            <w:vAlign w:val="center"/>
            <w:hideMark/>
          </w:tcPr>
          <w:p w14:paraId="3B0CCCF9" w14:textId="77777777" w:rsidR="00387142" w:rsidRPr="008B6A75" w:rsidRDefault="00387142" w:rsidP="00387142">
            <w:pPr>
              <w:jc w:val="center"/>
              <w:rPr>
                <w:sz w:val="20"/>
                <w:szCs w:val="20"/>
              </w:rPr>
            </w:pPr>
            <w:r w:rsidRPr="008B6A75">
              <w:rPr>
                <w:sz w:val="20"/>
                <w:szCs w:val="20"/>
              </w:rPr>
              <w:t>99.9.00.00000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520513C" w14:textId="77777777" w:rsidR="00387142" w:rsidRPr="008B6A75" w:rsidRDefault="00387142" w:rsidP="00387142">
            <w:pPr>
              <w:jc w:val="center"/>
              <w:rPr>
                <w:sz w:val="20"/>
                <w:szCs w:val="20"/>
              </w:rPr>
            </w:pPr>
            <w:r w:rsidRPr="008B6A75">
              <w:rPr>
                <w:sz w:val="20"/>
                <w:szCs w:val="20"/>
              </w:rPr>
              <w:t>900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3D95066" w14:textId="77777777" w:rsidR="00387142" w:rsidRPr="008B6A75" w:rsidRDefault="00387142" w:rsidP="00387142">
            <w:pPr>
              <w:jc w:val="right"/>
              <w:rPr>
                <w:sz w:val="20"/>
                <w:szCs w:val="20"/>
              </w:rPr>
            </w:pPr>
            <w:r w:rsidRPr="008B6A75">
              <w:rPr>
                <w:sz w:val="20"/>
                <w:szCs w:val="20"/>
              </w:rPr>
              <w:t>0,00</w:t>
            </w:r>
          </w:p>
        </w:tc>
        <w:tc>
          <w:tcPr>
            <w:tcW w:w="992" w:type="dxa"/>
            <w:tcBorders>
              <w:top w:val="nil"/>
              <w:left w:val="single" w:sz="4" w:space="0" w:color="auto"/>
              <w:bottom w:val="single" w:sz="4" w:space="0" w:color="auto"/>
              <w:right w:val="nil"/>
            </w:tcBorders>
            <w:shd w:val="clear" w:color="auto" w:fill="auto"/>
            <w:vAlign w:val="center"/>
            <w:hideMark/>
          </w:tcPr>
          <w:p w14:paraId="72EE3E94" w14:textId="77777777" w:rsidR="00387142" w:rsidRPr="008B6A75" w:rsidRDefault="00387142" w:rsidP="00387142">
            <w:pPr>
              <w:jc w:val="right"/>
              <w:rPr>
                <w:sz w:val="20"/>
                <w:szCs w:val="20"/>
              </w:rPr>
            </w:pPr>
            <w:r w:rsidRPr="008B6A75">
              <w:rPr>
                <w:sz w:val="20"/>
                <w:szCs w:val="20"/>
              </w:rPr>
              <w:t>12 290 108,00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38E3B8C4" w14:textId="77777777" w:rsidR="00387142" w:rsidRPr="008B6A75" w:rsidRDefault="00387142" w:rsidP="00387142">
            <w:pPr>
              <w:jc w:val="right"/>
              <w:rPr>
                <w:sz w:val="20"/>
                <w:szCs w:val="20"/>
              </w:rPr>
            </w:pPr>
            <w:r w:rsidRPr="008B6A75">
              <w:rPr>
                <w:sz w:val="20"/>
                <w:szCs w:val="20"/>
              </w:rPr>
              <w:t>23 989 084,50</w:t>
            </w:r>
          </w:p>
        </w:tc>
      </w:tr>
      <w:tr w:rsidR="00387142" w:rsidRPr="008B6A75" w14:paraId="69CE906C" w14:textId="77777777" w:rsidTr="00387142">
        <w:trPr>
          <w:trHeight w:val="345"/>
        </w:trPr>
        <w:tc>
          <w:tcPr>
            <w:tcW w:w="3261" w:type="dxa"/>
            <w:tcBorders>
              <w:top w:val="nil"/>
              <w:left w:val="single" w:sz="4" w:space="0" w:color="auto"/>
              <w:bottom w:val="single" w:sz="4" w:space="0" w:color="auto"/>
              <w:right w:val="nil"/>
            </w:tcBorders>
            <w:shd w:val="clear" w:color="auto" w:fill="auto"/>
            <w:vAlign w:val="center"/>
            <w:hideMark/>
          </w:tcPr>
          <w:p w14:paraId="4C204B77" w14:textId="77777777" w:rsidR="00387142" w:rsidRPr="008B6A75" w:rsidRDefault="00387142" w:rsidP="00387142">
            <w:pPr>
              <w:rPr>
                <w:sz w:val="20"/>
                <w:szCs w:val="20"/>
              </w:rPr>
            </w:pPr>
            <w:r w:rsidRPr="008B6A75">
              <w:rPr>
                <w:sz w:val="20"/>
                <w:szCs w:val="20"/>
              </w:rPr>
              <w:t>Условно утвержденные расходы</w:t>
            </w:r>
          </w:p>
        </w:tc>
        <w:tc>
          <w:tcPr>
            <w:tcW w:w="720" w:type="dxa"/>
            <w:tcBorders>
              <w:top w:val="nil"/>
              <w:left w:val="single" w:sz="4" w:space="0" w:color="auto"/>
              <w:bottom w:val="single" w:sz="4" w:space="0" w:color="auto"/>
              <w:right w:val="nil"/>
            </w:tcBorders>
            <w:shd w:val="clear" w:color="auto" w:fill="auto"/>
            <w:noWrap/>
            <w:vAlign w:val="center"/>
            <w:hideMark/>
          </w:tcPr>
          <w:p w14:paraId="0DFBF651" w14:textId="77777777" w:rsidR="00387142" w:rsidRPr="008B6A75" w:rsidRDefault="00387142" w:rsidP="00387142">
            <w:pPr>
              <w:jc w:val="center"/>
              <w:rPr>
                <w:sz w:val="20"/>
                <w:szCs w:val="20"/>
              </w:rPr>
            </w:pPr>
            <w:r w:rsidRPr="008B6A75">
              <w:rPr>
                <w:sz w:val="20"/>
                <w:szCs w:val="20"/>
              </w:rPr>
              <w:t>99</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6252BFD" w14:textId="77777777" w:rsidR="00387142" w:rsidRPr="008B6A75" w:rsidRDefault="00387142" w:rsidP="00387142">
            <w:pPr>
              <w:jc w:val="center"/>
              <w:rPr>
                <w:sz w:val="20"/>
                <w:szCs w:val="20"/>
              </w:rPr>
            </w:pPr>
            <w:r w:rsidRPr="008B6A75">
              <w:rPr>
                <w:sz w:val="20"/>
                <w:szCs w:val="20"/>
              </w:rPr>
              <w:t>99</w:t>
            </w:r>
          </w:p>
        </w:tc>
        <w:tc>
          <w:tcPr>
            <w:tcW w:w="1516" w:type="dxa"/>
            <w:tcBorders>
              <w:top w:val="nil"/>
              <w:left w:val="single" w:sz="4" w:space="0" w:color="auto"/>
              <w:bottom w:val="single" w:sz="4" w:space="0" w:color="auto"/>
              <w:right w:val="nil"/>
            </w:tcBorders>
            <w:shd w:val="clear" w:color="auto" w:fill="auto"/>
            <w:noWrap/>
            <w:vAlign w:val="center"/>
            <w:hideMark/>
          </w:tcPr>
          <w:p w14:paraId="2B1542FB" w14:textId="77777777" w:rsidR="00387142" w:rsidRPr="008B6A75" w:rsidRDefault="00387142" w:rsidP="00387142">
            <w:pPr>
              <w:jc w:val="center"/>
              <w:rPr>
                <w:sz w:val="20"/>
                <w:szCs w:val="20"/>
              </w:rPr>
            </w:pPr>
            <w:r w:rsidRPr="008B6A75">
              <w:rPr>
                <w:sz w:val="20"/>
                <w:szCs w:val="20"/>
              </w:rPr>
              <w:t>99.9.00.00000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9B76841" w14:textId="77777777" w:rsidR="00387142" w:rsidRPr="008B6A75" w:rsidRDefault="00387142" w:rsidP="00387142">
            <w:pPr>
              <w:jc w:val="center"/>
              <w:rPr>
                <w:sz w:val="20"/>
                <w:szCs w:val="20"/>
              </w:rPr>
            </w:pPr>
            <w:r w:rsidRPr="008B6A75">
              <w:rPr>
                <w:sz w:val="20"/>
                <w:szCs w:val="20"/>
              </w:rPr>
              <w:t>990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C2773FC" w14:textId="77777777" w:rsidR="00387142" w:rsidRPr="008B6A75" w:rsidRDefault="00387142" w:rsidP="00387142">
            <w:pPr>
              <w:jc w:val="right"/>
              <w:rPr>
                <w:sz w:val="20"/>
                <w:szCs w:val="20"/>
              </w:rPr>
            </w:pPr>
            <w:r w:rsidRPr="008B6A75">
              <w:rPr>
                <w:sz w:val="20"/>
                <w:szCs w:val="20"/>
              </w:rPr>
              <w:t>0,00</w:t>
            </w:r>
          </w:p>
        </w:tc>
        <w:tc>
          <w:tcPr>
            <w:tcW w:w="992" w:type="dxa"/>
            <w:tcBorders>
              <w:top w:val="nil"/>
              <w:left w:val="single" w:sz="4" w:space="0" w:color="auto"/>
              <w:bottom w:val="single" w:sz="4" w:space="0" w:color="auto"/>
              <w:right w:val="nil"/>
            </w:tcBorders>
            <w:shd w:val="clear" w:color="auto" w:fill="auto"/>
            <w:vAlign w:val="center"/>
            <w:hideMark/>
          </w:tcPr>
          <w:p w14:paraId="50995360" w14:textId="77777777" w:rsidR="00387142" w:rsidRPr="008B6A75" w:rsidRDefault="00387142" w:rsidP="00387142">
            <w:pPr>
              <w:jc w:val="right"/>
              <w:rPr>
                <w:sz w:val="20"/>
                <w:szCs w:val="20"/>
              </w:rPr>
            </w:pPr>
            <w:r w:rsidRPr="008B6A75">
              <w:rPr>
                <w:sz w:val="20"/>
                <w:szCs w:val="20"/>
              </w:rPr>
              <w:t>12 290 108,00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252078FF" w14:textId="77777777" w:rsidR="00387142" w:rsidRPr="008B6A75" w:rsidRDefault="00387142" w:rsidP="00387142">
            <w:pPr>
              <w:jc w:val="right"/>
              <w:rPr>
                <w:sz w:val="20"/>
                <w:szCs w:val="20"/>
              </w:rPr>
            </w:pPr>
            <w:r w:rsidRPr="008B6A75">
              <w:rPr>
                <w:sz w:val="20"/>
                <w:szCs w:val="20"/>
              </w:rPr>
              <w:t>23 989 084,50</w:t>
            </w:r>
          </w:p>
        </w:tc>
      </w:tr>
      <w:tr w:rsidR="00387142" w:rsidRPr="008B6A75" w14:paraId="5831A3CA" w14:textId="77777777" w:rsidTr="00387142">
        <w:trPr>
          <w:trHeight w:val="15"/>
        </w:trPr>
        <w:tc>
          <w:tcPr>
            <w:tcW w:w="3261" w:type="dxa"/>
            <w:tcBorders>
              <w:top w:val="nil"/>
              <w:left w:val="single" w:sz="4" w:space="0" w:color="auto"/>
              <w:bottom w:val="nil"/>
              <w:right w:val="single" w:sz="4" w:space="0" w:color="auto"/>
            </w:tcBorders>
            <w:shd w:val="clear" w:color="auto" w:fill="auto"/>
            <w:noWrap/>
            <w:vAlign w:val="center"/>
            <w:hideMark/>
          </w:tcPr>
          <w:p w14:paraId="34876B82" w14:textId="77777777" w:rsidR="00387142" w:rsidRPr="008B6A75" w:rsidRDefault="00387142" w:rsidP="00387142">
            <w:pPr>
              <w:rPr>
                <w:bCs/>
                <w:sz w:val="20"/>
                <w:szCs w:val="20"/>
              </w:rPr>
            </w:pPr>
            <w:r w:rsidRPr="008B6A75">
              <w:rPr>
                <w:bCs/>
                <w:sz w:val="20"/>
                <w:szCs w:val="20"/>
              </w:rPr>
              <w:t>Итого расходов</w:t>
            </w:r>
          </w:p>
        </w:tc>
        <w:tc>
          <w:tcPr>
            <w:tcW w:w="720" w:type="dxa"/>
            <w:tcBorders>
              <w:top w:val="nil"/>
              <w:left w:val="nil"/>
              <w:bottom w:val="nil"/>
              <w:right w:val="single" w:sz="4" w:space="0" w:color="auto"/>
            </w:tcBorders>
            <w:shd w:val="clear" w:color="auto" w:fill="auto"/>
            <w:noWrap/>
            <w:vAlign w:val="center"/>
            <w:hideMark/>
          </w:tcPr>
          <w:p w14:paraId="4A341FC2" w14:textId="77777777" w:rsidR="00387142" w:rsidRPr="008B6A75" w:rsidRDefault="00387142" w:rsidP="00387142">
            <w:pPr>
              <w:rPr>
                <w:bCs/>
                <w:sz w:val="20"/>
                <w:szCs w:val="20"/>
              </w:rPr>
            </w:pPr>
            <w:r w:rsidRPr="008B6A75">
              <w:rPr>
                <w:bCs/>
                <w:sz w:val="20"/>
                <w:szCs w:val="20"/>
              </w:rPr>
              <w:t>0</w:t>
            </w:r>
          </w:p>
        </w:tc>
        <w:tc>
          <w:tcPr>
            <w:tcW w:w="600" w:type="dxa"/>
            <w:tcBorders>
              <w:top w:val="nil"/>
              <w:left w:val="nil"/>
              <w:bottom w:val="nil"/>
              <w:right w:val="single" w:sz="4" w:space="0" w:color="auto"/>
            </w:tcBorders>
            <w:shd w:val="clear" w:color="auto" w:fill="auto"/>
            <w:noWrap/>
            <w:vAlign w:val="center"/>
            <w:hideMark/>
          </w:tcPr>
          <w:p w14:paraId="4CB344E5" w14:textId="77777777" w:rsidR="00387142" w:rsidRPr="008B6A75" w:rsidRDefault="00387142" w:rsidP="00387142">
            <w:pPr>
              <w:rPr>
                <w:bCs/>
                <w:sz w:val="20"/>
                <w:szCs w:val="20"/>
              </w:rPr>
            </w:pPr>
            <w:r w:rsidRPr="008B6A75">
              <w:rPr>
                <w:bCs/>
                <w:sz w:val="20"/>
                <w:szCs w:val="20"/>
              </w:rPr>
              <w:t>0</w:t>
            </w:r>
          </w:p>
        </w:tc>
        <w:tc>
          <w:tcPr>
            <w:tcW w:w="1516" w:type="dxa"/>
            <w:tcBorders>
              <w:top w:val="nil"/>
              <w:left w:val="nil"/>
              <w:bottom w:val="nil"/>
              <w:right w:val="single" w:sz="4" w:space="0" w:color="auto"/>
            </w:tcBorders>
            <w:shd w:val="clear" w:color="auto" w:fill="auto"/>
            <w:noWrap/>
            <w:vAlign w:val="center"/>
            <w:hideMark/>
          </w:tcPr>
          <w:p w14:paraId="1466E2DB" w14:textId="77777777" w:rsidR="00387142" w:rsidRPr="008B6A75" w:rsidRDefault="00387142" w:rsidP="00387142">
            <w:pPr>
              <w:rPr>
                <w:bCs/>
                <w:sz w:val="20"/>
                <w:szCs w:val="20"/>
              </w:rPr>
            </w:pPr>
            <w:r w:rsidRPr="008B6A75">
              <w:rPr>
                <w:bCs/>
                <w:sz w:val="20"/>
                <w:szCs w:val="20"/>
              </w:rPr>
              <w:t>0000000000000</w:t>
            </w:r>
          </w:p>
        </w:tc>
        <w:tc>
          <w:tcPr>
            <w:tcW w:w="708" w:type="dxa"/>
            <w:tcBorders>
              <w:top w:val="nil"/>
              <w:left w:val="nil"/>
              <w:bottom w:val="nil"/>
              <w:right w:val="single" w:sz="4" w:space="0" w:color="auto"/>
            </w:tcBorders>
            <w:shd w:val="clear" w:color="auto" w:fill="auto"/>
            <w:noWrap/>
            <w:vAlign w:val="center"/>
            <w:hideMark/>
          </w:tcPr>
          <w:p w14:paraId="4A19A0FB" w14:textId="77777777" w:rsidR="00387142" w:rsidRPr="008B6A75" w:rsidRDefault="00387142" w:rsidP="00387142">
            <w:pPr>
              <w:rPr>
                <w:bCs/>
                <w:sz w:val="20"/>
                <w:szCs w:val="20"/>
              </w:rPr>
            </w:pPr>
            <w:r w:rsidRPr="008B6A75">
              <w:rPr>
                <w:bCs/>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14:paraId="5441AA94" w14:textId="77777777" w:rsidR="00387142" w:rsidRPr="008B6A75" w:rsidRDefault="00387142" w:rsidP="00387142">
            <w:pPr>
              <w:jc w:val="right"/>
              <w:rPr>
                <w:bCs/>
                <w:sz w:val="20"/>
                <w:szCs w:val="20"/>
              </w:rPr>
            </w:pPr>
            <w:r w:rsidRPr="008B6A75">
              <w:rPr>
                <w:bCs/>
                <w:sz w:val="20"/>
                <w:szCs w:val="20"/>
              </w:rPr>
              <w:t>2 928 088 175,3</w:t>
            </w:r>
          </w:p>
        </w:tc>
        <w:tc>
          <w:tcPr>
            <w:tcW w:w="992" w:type="dxa"/>
            <w:tcBorders>
              <w:top w:val="nil"/>
              <w:left w:val="nil"/>
              <w:bottom w:val="single" w:sz="4" w:space="0" w:color="auto"/>
              <w:right w:val="single" w:sz="4" w:space="0" w:color="auto"/>
            </w:tcBorders>
            <w:shd w:val="clear" w:color="auto" w:fill="auto"/>
            <w:noWrap/>
            <w:vAlign w:val="center"/>
            <w:hideMark/>
          </w:tcPr>
          <w:p w14:paraId="7639D118" w14:textId="77777777" w:rsidR="00387142" w:rsidRPr="008B6A75" w:rsidRDefault="00387142" w:rsidP="00387142">
            <w:pPr>
              <w:jc w:val="right"/>
              <w:rPr>
                <w:bCs/>
                <w:sz w:val="20"/>
                <w:szCs w:val="20"/>
              </w:rPr>
            </w:pPr>
            <w:r w:rsidRPr="008B6A75">
              <w:rPr>
                <w:bCs/>
                <w:sz w:val="20"/>
                <w:szCs w:val="20"/>
              </w:rPr>
              <w:t>1 950 517 508,6</w:t>
            </w:r>
          </w:p>
        </w:tc>
        <w:tc>
          <w:tcPr>
            <w:tcW w:w="2127" w:type="dxa"/>
            <w:tcBorders>
              <w:top w:val="nil"/>
              <w:left w:val="nil"/>
              <w:bottom w:val="single" w:sz="4" w:space="0" w:color="auto"/>
              <w:right w:val="single" w:sz="4" w:space="0" w:color="auto"/>
            </w:tcBorders>
            <w:shd w:val="clear" w:color="auto" w:fill="auto"/>
            <w:noWrap/>
            <w:vAlign w:val="center"/>
            <w:hideMark/>
          </w:tcPr>
          <w:p w14:paraId="2317840D" w14:textId="77777777" w:rsidR="00387142" w:rsidRPr="008B6A75" w:rsidRDefault="00387142" w:rsidP="00387142">
            <w:pPr>
              <w:jc w:val="right"/>
              <w:rPr>
                <w:bCs/>
                <w:sz w:val="20"/>
                <w:szCs w:val="20"/>
              </w:rPr>
            </w:pPr>
            <w:r w:rsidRPr="008B6A75">
              <w:rPr>
                <w:bCs/>
                <w:sz w:val="20"/>
                <w:szCs w:val="20"/>
              </w:rPr>
              <w:t>1 844 646 600,1</w:t>
            </w:r>
          </w:p>
        </w:tc>
      </w:tr>
      <w:tr w:rsidR="00387142" w:rsidRPr="008B6A75" w14:paraId="47DCFBCD" w14:textId="77777777" w:rsidTr="00387142">
        <w:trPr>
          <w:trHeight w:val="255"/>
        </w:trPr>
        <w:tc>
          <w:tcPr>
            <w:tcW w:w="3261" w:type="dxa"/>
            <w:tcBorders>
              <w:top w:val="single" w:sz="4" w:space="0" w:color="auto"/>
              <w:left w:val="single" w:sz="4" w:space="0" w:color="auto"/>
              <w:bottom w:val="single" w:sz="4" w:space="0" w:color="auto"/>
              <w:right w:val="nil"/>
            </w:tcBorders>
            <w:shd w:val="clear" w:color="auto" w:fill="auto"/>
            <w:noWrap/>
            <w:vAlign w:val="center"/>
            <w:hideMark/>
          </w:tcPr>
          <w:p w14:paraId="036557A6" w14:textId="77777777" w:rsidR="00387142" w:rsidRPr="008B6A75" w:rsidRDefault="00387142" w:rsidP="00387142">
            <w:pPr>
              <w:rPr>
                <w:bCs/>
                <w:sz w:val="20"/>
                <w:szCs w:val="20"/>
              </w:rPr>
            </w:pPr>
            <w:r w:rsidRPr="008B6A75">
              <w:rPr>
                <w:bCs/>
                <w:sz w:val="20"/>
                <w:szCs w:val="20"/>
              </w:rPr>
              <w:t>Итого расходов</w:t>
            </w:r>
          </w:p>
        </w:tc>
        <w:tc>
          <w:tcPr>
            <w:tcW w:w="720" w:type="dxa"/>
            <w:tcBorders>
              <w:top w:val="single" w:sz="4" w:space="0" w:color="auto"/>
              <w:left w:val="nil"/>
              <w:bottom w:val="single" w:sz="4" w:space="0" w:color="auto"/>
              <w:right w:val="nil"/>
            </w:tcBorders>
            <w:shd w:val="clear" w:color="auto" w:fill="auto"/>
            <w:noWrap/>
            <w:vAlign w:val="center"/>
            <w:hideMark/>
          </w:tcPr>
          <w:p w14:paraId="61E037EC" w14:textId="77777777" w:rsidR="00387142" w:rsidRPr="008B6A75" w:rsidRDefault="00387142" w:rsidP="00387142">
            <w:pPr>
              <w:rPr>
                <w:bCs/>
                <w:sz w:val="20"/>
                <w:szCs w:val="20"/>
              </w:rPr>
            </w:pPr>
            <w:r w:rsidRPr="008B6A75">
              <w:rPr>
                <w:bCs/>
                <w:sz w:val="20"/>
                <w:szCs w:val="20"/>
              </w:rPr>
              <w:t> </w:t>
            </w:r>
          </w:p>
        </w:tc>
        <w:tc>
          <w:tcPr>
            <w:tcW w:w="600" w:type="dxa"/>
            <w:tcBorders>
              <w:top w:val="single" w:sz="4" w:space="0" w:color="auto"/>
              <w:left w:val="nil"/>
              <w:bottom w:val="single" w:sz="4" w:space="0" w:color="auto"/>
              <w:right w:val="nil"/>
            </w:tcBorders>
            <w:shd w:val="clear" w:color="auto" w:fill="auto"/>
            <w:noWrap/>
            <w:vAlign w:val="center"/>
            <w:hideMark/>
          </w:tcPr>
          <w:p w14:paraId="71CE308C" w14:textId="77777777" w:rsidR="00387142" w:rsidRPr="008B6A75" w:rsidRDefault="00387142" w:rsidP="00387142">
            <w:pPr>
              <w:rPr>
                <w:bCs/>
                <w:sz w:val="20"/>
                <w:szCs w:val="20"/>
              </w:rPr>
            </w:pPr>
            <w:r w:rsidRPr="008B6A75">
              <w:rPr>
                <w:bCs/>
                <w:sz w:val="20"/>
                <w:szCs w:val="20"/>
              </w:rPr>
              <w:t> </w:t>
            </w:r>
          </w:p>
        </w:tc>
        <w:tc>
          <w:tcPr>
            <w:tcW w:w="1516" w:type="dxa"/>
            <w:tcBorders>
              <w:top w:val="single" w:sz="4" w:space="0" w:color="auto"/>
              <w:left w:val="nil"/>
              <w:bottom w:val="single" w:sz="4" w:space="0" w:color="auto"/>
              <w:right w:val="nil"/>
            </w:tcBorders>
            <w:shd w:val="clear" w:color="auto" w:fill="auto"/>
            <w:noWrap/>
            <w:vAlign w:val="center"/>
            <w:hideMark/>
          </w:tcPr>
          <w:p w14:paraId="0E296692" w14:textId="77777777" w:rsidR="00387142" w:rsidRPr="008B6A75" w:rsidRDefault="00387142" w:rsidP="00387142">
            <w:pPr>
              <w:rPr>
                <w:bCs/>
                <w:sz w:val="20"/>
                <w:szCs w:val="20"/>
              </w:rPr>
            </w:pPr>
            <w:r w:rsidRPr="008B6A75">
              <w:rPr>
                <w:bCs/>
                <w:sz w:val="20"/>
                <w:szCs w:val="20"/>
              </w:rPr>
              <w:t> </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65509E51" w14:textId="77777777" w:rsidR="00387142" w:rsidRPr="008B6A75" w:rsidRDefault="00387142" w:rsidP="00387142">
            <w:pPr>
              <w:rPr>
                <w:bCs/>
                <w:sz w:val="20"/>
                <w:szCs w:val="20"/>
              </w:rPr>
            </w:pPr>
            <w:r w:rsidRPr="008B6A75">
              <w:rPr>
                <w:bCs/>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14:paraId="60D67ADE" w14:textId="77777777" w:rsidR="00387142" w:rsidRPr="008B6A75" w:rsidRDefault="00387142" w:rsidP="00387142">
            <w:pPr>
              <w:jc w:val="right"/>
              <w:rPr>
                <w:bCs/>
                <w:sz w:val="20"/>
                <w:szCs w:val="20"/>
              </w:rPr>
            </w:pPr>
            <w:r w:rsidRPr="008B6A75">
              <w:rPr>
                <w:bCs/>
                <w:sz w:val="20"/>
                <w:szCs w:val="20"/>
              </w:rPr>
              <w:t>2 928 088 175,3</w:t>
            </w:r>
          </w:p>
        </w:tc>
        <w:tc>
          <w:tcPr>
            <w:tcW w:w="992" w:type="dxa"/>
            <w:tcBorders>
              <w:top w:val="nil"/>
              <w:left w:val="nil"/>
              <w:bottom w:val="single" w:sz="4" w:space="0" w:color="auto"/>
              <w:right w:val="single" w:sz="4" w:space="0" w:color="auto"/>
            </w:tcBorders>
            <w:shd w:val="clear" w:color="auto" w:fill="auto"/>
            <w:noWrap/>
            <w:vAlign w:val="center"/>
            <w:hideMark/>
          </w:tcPr>
          <w:p w14:paraId="1F3470A4" w14:textId="77777777" w:rsidR="00387142" w:rsidRPr="008B6A75" w:rsidRDefault="00387142" w:rsidP="00387142">
            <w:pPr>
              <w:jc w:val="right"/>
              <w:rPr>
                <w:bCs/>
                <w:sz w:val="20"/>
                <w:szCs w:val="20"/>
              </w:rPr>
            </w:pPr>
            <w:r w:rsidRPr="008B6A75">
              <w:rPr>
                <w:bCs/>
                <w:sz w:val="20"/>
                <w:szCs w:val="20"/>
              </w:rPr>
              <w:t>1 950 517 508,6</w:t>
            </w:r>
          </w:p>
        </w:tc>
        <w:tc>
          <w:tcPr>
            <w:tcW w:w="2127" w:type="dxa"/>
            <w:tcBorders>
              <w:top w:val="nil"/>
              <w:left w:val="nil"/>
              <w:bottom w:val="single" w:sz="4" w:space="0" w:color="auto"/>
              <w:right w:val="single" w:sz="4" w:space="0" w:color="auto"/>
            </w:tcBorders>
            <w:shd w:val="clear" w:color="auto" w:fill="auto"/>
            <w:noWrap/>
            <w:vAlign w:val="center"/>
            <w:hideMark/>
          </w:tcPr>
          <w:p w14:paraId="39D1FCD3" w14:textId="77777777" w:rsidR="00387142" w:rsidRPr="008B6A75" w:rsidRDefault="00387142" w:rsidP="00387142">
            <w:pPr>
              <w:jc w:val="right"/>
              <w:rPr>
                <w:bCs/>
                <w:sz w:val="20"/>
                <w:szCs w:val="20"/>
              </w:rPr>
            </w:pPr>
            <w:r w:rsidRPr="008B6A75">
              <w:rPr>
                <w:bCs/>
                <w:sz w:val="20"/>
                <w:szCs w:val="20"/>
              </w:rPr>
              <w:t>1 844 646 600,1</w:t>
            </w:r>
          </w:p>
        </w:tc>
      </w:tr>
    </w:tbl>
    <w:p w14:paraId="03B4B673" w14:textId="77777777" w:rsidR="00387142" w:rsidRPr="008B6A75" w:rsidRDefault="00387142" w:rsidP="00387142">
      <w:pPr>
        <w:rPr>
          <w:sz w:val="20"/>
          <w:szCs w:val="20"/>
        </w:rPr>
      </w:pPr>
    </w:p>
    <w:tbl>
      <w:tblPr>
        <w:tblW w:w="11058" w:type="dxa"/>
        <w:tblInd w:w="-993" w:type="dxa"/>
        <w:tblLook w:val="04A0" w:firstRow="1" w:lastRow="0" w:firstColumn="1" w:lastColumn="0" w:noHBand="0" w:noVBand="1"/>
      </w:tblPr>
      <w:tblGrid>
        <w:gridCol w:w="272"/>
        <w:gridCol w:w="3415"/>
        <w:gridCol w:w="1559"/>
        <w:gridCol w:w="850"/>
        <w:gridCol w:w="567"/>
        <w:gridCol w:w="567"/>
        <w:gridCol w:w="1134"/>
        <w:gridCol w:w="851"/>
        <w:gridCol w:w="1843"/>
      </w:tblGrid>
      <w:tr w:rsidR="00387142" w:rsidRPr="008B6A75" w14:paraId="3F50F221" w14:textId="77777777" w:rsidTr="00387142">
        <w:trPr>
          <w:trHeight w:val="255"/>
        </w:trPr>
        <w:tc>
          <w:tcPr>
            <w:tcW w:w="272" w:type="dxa"/>
            <w:tcBorders>
              <w:top w:val="nil"/>
              <w:left w:val="nil"/>
              <w:bottom w:val="nil"/>
              <w:right w:val="nil"/>
            </w:tcBorders>
            <w:shd w:val="clear" w:color="auto" w:fill="auto"/>
            <w:noWrap/>
            <w:vAlign w:val="bottom"/>
            <w:hideMark/>
          </w:tcPr>
          <w:p w14:paraId="46C81E7D" w14:textId="77777777" w:rsidR="00387142" w:rsidRPr="008B6A75" w:rsidRDefault="00387142" w:rsidP="00387142">
            <w:pPr>
              <w:rPr>
                <w:sz w:val="20"/>
                <w:szCs w:val="20"/>
              </w:rPr>
            </w:pPr>
          </w:p>
        </w:tc>
        <w:tc>
          <w:tcPr>
            <w:tcW w:w="3415" w:type="dxa"/>
            <w:tcBorders>
              <w:top w:val="nil"/>
              <w:left w:val="nil"/>
              <w:bottom w:val="nil"/>
              <w:right w:val="nil"/>
            </w:tcBorders>
            <w:shd w:val="clear" w:color="auto" w:fill="auto"/>
            <w:noWrap/>
            <w:vAlign w:val="bottom"/>
            <w:hideMark/>
          </w:tcPr>
          <w:p w14:paraId="06466A8B" w14:textId="77777777" w:rsidR="00387142" w:rsidRPr="008B6A75" w:rsidRDefault="00387142" w:rsidP="00387142">
            <w:pPr>
              <w:rPr>
                <w:sz w:val="20"/>
                <w:szCs w:val="20"/>
              </w:rPr>
            </w:pPr>
          </w:p>
        </w:tc>
        <w:tc>
          <w:tcPr>
            <w:tcW w:w="1559" w:type="dxa"/>
            <w:tcBorders>
              <w:top w:val="nil"/>
              <w:left w:val="nil"/>
              <w:bottom w:val="nil"/>
              <w:right w:val="nil"/>
            </w:tcBorders>
            <w:shd w:val="clear" w:color="auto" w:fill="auto"/>
            <w:noWrap/>
            <w:vAlign w:val="bottom"/>
            <w:hideMark/>
          </w:tcPr>
          <w:p w14:paraId="567214C3" w14:textId="77777777" w:rsidR="00387142" w:rsidRPr="008B6A75" w:rsidRDefault="00387142" w:rsidP="00387142">
            <w:pPr>
              <w:rPr>
                <w:sz w:val="20"/>
                <w:szCs w:val="20"/>
              </w:rPr>
            </w:pPr>
          </w:p>
        </w:tc>
        <w:tc>
          <w:tcPr>
            <w:tcW w:w="850" w:type="dxa"/>
            <w:tcBorders>
              <w:top w:val="nil"/>
              <w:left w:val="nil"/>
              <w:bottom w:val="nil"/>
              <w:right w:val="nil"/>
            </w:tcBorders>
            <w:shd w:val="clear" w:color="auto" w:fill="auto"/>
            <w:noWrap/>
            <w:vAlign w:val="bottom"/>
            <w:hideMark/>
          </w:tcPr>
          <w:p w14:paraId="71935481" w14:textId="77777777" w:rsidR="00387142" w:rsidRPr="008B6A75" w:rsidRDefault="00387142" w:rsidP="00387142">
            <w:pPr>
              <w:rPr>
                <w:sz w:val="20"/>
                <w:szCs w:val="20"/>
              </w:rPr>
            </w:pPr>
          </w:p>
        </w:tc>
        <w:tc>
          <w:tcPr>
            <w:tcW w:w="567" w:type="dxa"/>
            <w:tcBorders>
              <w:top w:val="nil"/>
              <w:left w:val="nil"/>
              <w:bottom w:val="nil"/>
              <w:right w:val="nil"/>
            </w:tcBorders>
            <w:shd w:val="clear" w:color="auto" w:fill="auto"/>
            <w:noWrap/>
            <w:vAlign w:val="bottom"/>
            <w:hideMark/>
          </w:tcPr>
          <w:p w14:paraId="3C1DC6A2" w14:textId="77777777" w:rsidR="00387142" w:rsidRPr="008B6A75" w:rsidRDefault="00387142" w:rsidP="00387142">
            <w:pPr>
              <w:rPr>
                <w:sz w:val="20"/>
                <w:szCs w:val="20"/>
              </w:rPr>
            </w:pPr>
          </w:p>
        </w:tc>
        <w:tc>
          <w:tcPr>
            <w:tcW w:w="567" w:type="dxa"/>
            <w:tcBorders>
              <w:top w:val="nil"/>
              <w:left w:val="nil"/>
              <w:bottom w:val="nil"/>
              <w:right w:val="nil"/>
            </w:tcBorders>
            <w:shd w:val="clear" w:color="auto" w:fill="auto"/>
            <w:noWrap/>
            <w:vAlign w:val="bottom"/>
            <w:hideMark/>
          </w:tcPr>
          <w:p w14:paraId="5D5A12BC" w14:textId="77777777" w:rsidR="00387142" w:rsidRPr="008B6A75" w:rsidRDefault="00387142" w:rsidP="00387142">
            <w:pPr>
              <w:rPr>
                <w:sz w:val="20"/>
                <w:szCs w:val="20"/>
              </w:rPr>
            </w:pPr>
          </w:p>
        </w:tc>
        <w:tc>
          <w:tcPr>
            <w:tcW w:w="1134" w:type="dxa"/>
            <w:tcBorders>
              <w:top w:val="nil"/>
              <w:left w:val="nil"/>
              <w:bottom w:val="nil"/>
              <w:right w:val="nil"/>
            </w:tcBorders>
            <w:shd w:val="clear" w:color="auto" w:fill="auto"/>
            <w:noWrap/>
            <w:vAlign w:val="bottom"/>
            <w:hideMark/>
          </w:tcPr>
          <w:p w14:paraId="638DA6FD" w14:textId="77777777" w:rsidR="00387142" w:rsidRPr="008B6A75" w:rsidRDefault="00387142" w:rsidP="00387142">
            <w:pPr>
              <w:rPr>
                <w:sz w:val="20"/>
                <w:szCs w:val="20"/>
              </w:rPr>
            </w:pPr>
          </w:p>
        </w:tc>
        <w:tc>
          <w:tcPr>
            <w:tcW w:w="851" w:type="dxa"/>
            <w:tcBorders>
              <w:top w:val="nil"/>
              <w:left w:val="nil"/>
              <w:bottom w:val="nil"/>
              <w:right w:val="nil"/>
            </w:tcBorders>
            <w:shd w:val="clear" w:color="auto" w:fill="auto"/>
            <w:noWrap/>
            <w:vAlign w:val="bottom"/>
            <w:hideMark/>
          </w:tcPr>
          <w:p w14:paraId="4C4C18F1" w14:textId="77777777" w:rsidR="00387142" w:rsidRPr="008B6A75" w:rsidRDefault="00387142" w:rsidP="00387142">
            <w:pPr>
              <w:rPr>
                <w:sz w:val="20"/>
                <w:szCs w:val="20"/>
              </w:rPr>
            </w:pPr>
          </w:p>
        </w:tc>
        <w:tc>
          <w:tcPr>
            <w:tcW w:w="1843" w:type="dxa"/>
            <w:tcBorders>
              <w:top w:val="nil"/>
              <w:left w:val="nil"/>
              <w:bottom w:val="nil"/>
              <w:right w:val="nil"/>
            </w:tcBorders>
            <w:shd w:val="clear" w:color="auto" w:fill="auto"/>
            <w:noWrap/>
            <w:vAlign w:val="bottom"/>
            <w:hideMark/>
          </w:tcPr>
          <w:p w14:paraId="1E65B802" w14:textId="77777777" w:rsidR="00387142" w:rsidRPr="008B6A75" w:rsidRDefault="00387142" w:rsidP="00387142">
            <w:pPr>
              <w:rPr>
                <w:sz w:val="20"/>
                <w:szCs w:val="20"/>
              </w:rPr>
            </w:pPr>
          </w:p>
        </w:tc>
      </w:tr>
      <w:tr w:rsidR="00387142" w:rsidRPr="008B6A75" w14:paraId="15452290" w14:textId="77777777" w:rsidTr="00387142">
        <w:trPr>
          <w:trHeight w:val="1830"/>
        </w:trPr>
        <w:tc>
          <w:tcPr>
            <w:tcW w:w="272" w:type="dxa"/>
            <w:tcBorders>
              <w:top w:val="nil"/>
              <w:left w:val="nil"/>
              <w:bottom w:val="nil"/>
              <w:right w:val="nil"/>
            </w:tcBorders>
            <w:shd w:val="clear" w:color="auto" w:fill="auto"/>
            <w:noWrap/>
            <w:vAlign w:val="bottom"/>
            <w:hideMark/>
          </w:tcPr>
          <w:p w14:paraId="1F65A7D1" w14:textId="77777777" w:rsidR="00387142" w:rsidRPr="008B6A75" w:rsidRDefault="00387142" w:rsidP="00387142">
            <w:pPr>
              <w:rPr>
                <w:sz w:val="20"/>
                <w:szCs w:val="20"/>
              </w:rPr>
            </w:pPr>
          </w:p>
        </w:tc>
        <w:tc>
          <w:tcPr>
            <w:tcW w:w="3415" w:type="dxa"/>
            <w:tcBorders>
              <w:top w:val="nil"/>
              <w:left w:val="nil"/>
              <w:bottom w:val="nil"/>
              <w:right w:val="nil"/>
            </w:tcBorders>
            <w:shd w:val="clear" w:color="auto" w:fill="auto"/>
            <w:noWrap/>
            <w:vAlign w:val="bottom"/>
            <w:hideMark/>
          </w:tcPr>
          <w:p w14:paraId="19E3CFE0" w14:textId="77777777" w:rsidR="00387142" w:rsidRPr="008B6A75" w:rsidRDefault="00387142" w:rsidP="00387142">
            <w:pPr>
              <w:rPr>
                <w:sz w:val="20"/>
                <w:szCs w:val="20"/>
              </w:rPr>
            </w:pPr>
          </w:p>
        </w:tc>
        <w:tc>
          <w:tcPr>
            <w:tcW w:w="1559" w:type="dxa"/>
            <w:tcBorders>
              <w:top w:val="nil"/>
              <w:left w:val="nil"/>
              <w:bottom w:val="nil"/>
              <w:right w:val="nil"/>
            </w:tcBorders>
            <w:shd w:val="clear" w:color="auto" w:fill="auto"/>
            <w:noWrap/>
            <w:vAlign w:val="bottom"/>
            <w:hideMark/>
          </w:tcPr>
          <w:p w14:paraId="53AA7AC6" w14:textId="77777777" w:rsidR="00387142" w:rsidRPr="008B6A75" w:rsidRDefault="00387142" w:rsidP="00387142">
            <w:pPr>
              <w:rPr>
                <w:sz w:val="20"/>
                <w:szCs w:val="20"/>
              </w:rPr>
            </w:pPr>
          </w:p>
        </w:tc>
        <w:tc>
          <w:tcPr>
            <w:tcW w:w="850" w:type="dxa"/>
            <w:tcBorders>
              <w:top w:val="nil"/>
              <w:left w:val="nil"/>
              <w:bottom w:val="nil"/>
              <w:right w:val="nil"/>
            </w:tcBorders>
            <w:shd w:val="clear" w:color="auto" w:fill="auto"/>
            <w:noWrap/>
            <w:vAlign w:val="bottom"/>
            <w:hideMark/>
          </w:tcPr>
          <w:p w14:paraId="4E34D2D3" w14:textId="77777777" w:rsidR="00387142" w:rsidRPr="008B6A75" w:rsidRDefault="00387142" w:rsidP="00387142">
            <w:pPr>
              <w:rPr>
                <w:sz w:val="20"/>
                <w:szCs w:val="20"/>
              </w:rPr>
            </w:pPr>
          </w:p>
        </w:tc>
        <w:tc>
          <w:tcPr>
            <w:tcW w:w="567" w:type="dxa"/>
            <w:tcBorders>
              <w:top w:val="nil"/>
              <w:left w:val="nil"/>
              <w:bottom w:val="nil"/>
              <w:right w:val="nil"/>
            </w:tcBorders>
            <w:shd w:val="clear" w:color="auto" w:fill="auto"/>
            <w:noWrap/>
            <w:vAlign w:val="bottom"/>
            <w:hideMark/>
          </w:tcPr>
          <w:p w14:paraId="5B88BAC6" w14:textId="77777777" w:rsidR="00387142" w:rsidRPr="008B6A75" w:rsidRDefault="00387142" w:rsidP="00387142">
            <w:pPr>
              <w:rPr>
                <w:sz w:val="20"/>
                <w:szCs w:val="20"/>
              </w:rPr>
            </w:pPr>
          </w:p>
        </w:tc>
        <w:tc>
          <w:tcPr>
            <w:tcW w:w="567" w:type="dxa"/>
            <w:tcBorders>
              <w:top w:val="nil"/>
              <w:left w:val="nil"/>
              <w:bottom w:val="nil"/>
              <w:right w:val="nil"/>
            </w:tcBorders>
            <w:shd w:val="clear" w:color="auto" w:fill="auto"/>
            <w:noWrap/>
            <w:vAlign w:val="bottom"/>
            <w:hideMark/>
          </w:tcPr>
          <w:p w14:paraId="27721AC5" w14:textId="77777777" w:rsidR="00387142" w:rsidRPr="008B6A75" w:rsidRDefault="00387142" w:rsidP="00387142">
            <w:pPr>
              <w:rPr>
                <w:sz w:val="20"/>
                <w:szCs w:val="20"/>
              </w:rPr>
            </w:pPr>
          </w:p>
        </w:tc>
        <w:tc>
          <w:tcPr>
            <w:tcW w:w="1134" w:type="dxa"/>
            <w:tcBorders>
              <w:top w:val="nil"/>
              <w:left w:val="nil"/>
              <w:bottom w:val="nil"/>
              <w:right w:val="nil"/>
            </w:tcBorders>
            <w:shd w:val="clear" w:color="auto" w:fill="auto"/>
            <w:noWrap/>
            <w:vAlign w:val="bottom"/>
            <w:hideMark/>
          </w:tcPr>
          <w:p w14:paraId="5F79AD10" w14:textId="77777777" w:rsidR="00387142" w:rsidRPr="008B6A75" w:rsidRDefault="00387142" w:rsidP="00387142">
            <w:pPr>
              <w:rPr>
                <w:sz w:val="20"/>
                <w:szCs w:val="20"/>
              </w:rPr>
            </w:pPr>
          </w:p>
        </w:tc>
        <w:tc>
          <w:tcPr>
            <w:tcW w:w="2694" w:type="dxa"/>
            <w:gridSpan w:val="2"/>
            <w:tcBorders>
              <w:top w:val="nil"/>
              <w:left w:val="nil"/>
              <w:bottom w:val="nil"/>
              <w:right w:val="nil"/>
            </w:tcBorders>
            <w:shd w:val="clear" w:color="auto" w:fill="auto"/>
            <w:vAlign w:val="center"/>
            <w:hideMark/>
          </w:tcPr>
          <w:p w14:paraId="59F1332D" w14:textId="77777777" w:rsidR="00387142" w:rsidRPr="008B6A75" w:rsidRDefault="00387142" w:rsidP="00387142">
            <w:pPr>
              <w:jc w:val="center"/>
              <w:rPr>
                <w:sz w:val="20"/>
                <w:szCs w:val="20"/>
              </w:rPr>
            </w:pPr>
            <w:r w:rsidRPr="008B6A75">
              <w:rPr>
                <w:sz w:val="20"/>
                <w:szCs w:val="20"/>
              </w:rPr>
              <w:t xml:space="preserve"> Приложение 4 к решению сессии Совета депутатов Куйбышевского муниципального района Новосибирской области "О бюджете Куйбышевского муниципального района Новосибирской области на 2022 год и плановый период 2023 и 2024 годов"</w:t>
            </w:r>
          </w:p>
        </w:tc>
      </w:tr>
      <w:tr w:rsidR="00387142" w:rsidRPr="008B6A75" w14:paraId="6351DC69" w14:textId="77777777" w:rsidTr="00387142">
        <w:trPr>
          <w:trHeight w:val="255"/>
        </w:trPr>
        <w:tc>
          <w:tcPr>
            <w:tcW w:w="272" w:type="dxa"/>
            <w:tcBorders>
              <w:top w:val="nil"/>
              <w:left w:val="nil"/>
              <w:bottom w:val="nil"/>
              <w:right w:val="nil"/>
            </w:tcBorders>
            <w:shd w:val="clear" w:color="auto" w:fill="auto"/>
            <w:noWrap/>
            <w:vAlign w:val="bottom"/>
            <w:hideMark/>
          </w:tcPr>
          <w:p w14:paraId="184BA04B" w14:textId="77777777" w:rsidR="00387142" w:rsidRPr="008B6A75" w:rsidRDefault="00387142" w:rsidP="00387142">
            <w:pPr>
              <w:jc w:val="center"/>
              <w:rPr>
                <w:sz w:val="20"/>
                <w:szCs w:val="20"/>
              </w:rPr>
            </w:pPr>
          </w:p>
        </w:tc>
        <w:tc>
          <w:tcPr>
            <w:tcW w:w="3415" w:type="dxa"/>
            <w:tcBorders>
              <w:top w:val="nil"/>
              <w:left w:val="nil"/>
              <w:bottom w:val="nil"/>
              <w:right w:val="nil"/>
            </w:tcBorders>
            <w:shd w:val="clear" w:color="auto" w:fill="auto"/>
            <w:noWrap/>
            <w:vAlign w:val="bottom"/>
            <w:hideMark/>
          </w:tcPr>
          <w:p w14:paraId="285116A5" w14:textId="77777777" w:rsidR="00387142" w:rsidRPr="008B6A75" w:rsidRDefault="00387142" w:rsidP="00387142">
            <w:pPr>
              <w:rPr>
                <w:sz w:val="20"/>
                <w:szCs w:val="20"/>
              </w:rPr>
            </w:pPr>
          </w:p>
        </w:tc>
        <w:tc>
          <w:tcPr>
            <w:tcW w:w="1559" w:type="dxa"/>
            <w:tcBorders>
              <w:top w:val="nil"/>
              <w:left w:val="nil"/>
              <w:bottom w:val="nil"/>
              <w:right w:val="nil"/>
            </w:tcBorders>
            <w:shd w:val="clear" w:color="auto" w:fill="auto"/>
            <w:noWrap/>
            <w:vAlign w:val="bottom"/>
            <w:hideMark/>
          </w:tcPr>
          <w:p w14:paraId="49DE70A9" w14:textId="77777777" w:rsidR="00387142" w:rsidRPr="008B6A75" w:rsidRDefault="00387142" w:rsidP="00387142">
            <w:pPr>
              <w:rPr>
                <w:sz w:val="20"/>
                <w:szCs w:val="20"/>
              </w:rPr>
            </w:pPr>
          </w:p>
        </w:tc>
        <w:tc>
          <w:tcPr>
            <w:tcW w:w="850" w:type="dxa"/>
            <w:tcBorders>
              <w:top w:val="nil"/>
              <w:left w:val="nil"/>
              <w:bottom w:val="nil"/>
              <w:right w:val="nil"/>
            </w:tcBorders>
            <w:shd w:val="clear" w:color="auto" w:fill="auto"/>
            <w:noWrap/>
            <w:vAlign w:val="bottom"/>
            <w:hideMark/>
          </w:tcPr>
          <w:p w14:paraId="7594F07D" w14:textId="77777777" w:rsidR="00387142" w:rsidRPr="008B6A75" w:rsidRDefault="00387142" w:rsidP="00387142">
            <w:pPr>
              <w:rPr>
                <w:sz w:val="20"/>
                <w:szCs w:val="20"/>
              </w:rPr>
            </w:pPr>
          </w:p>
        </w:tc>
        <w:tc>
          <w:tcPr>
            <w:tcW w:w="567" w:type="dxa"/>
            <w:tcBorders>
              <w:top w:val="nil"/>
              <w:left w:val="nil"/>
              <w:bottom w:val="nil"/>
              <w:right w:val="nil"/>
            </w:tcBorders>
            <w:shd w:val="clear" w:color="auto" w:fill="auto"/>
            <w:noWrap/>
            <w:vAlign w:val="bottom"/>
            <w:hideMark/>
          </w:tcPr>
          <w:p w14:paraId="6DDAD73B" w14:textId="77777777" w:rsidR="00387142" w:rsidRPr="008B6A75" w:rsidRDefault="00387142" w:rsidP="00387142">
            <w:pPr>
              <w:rPr>
                <w:sz w:val="20"/>
                <w:szCs w:val="20"/>
              </w:rPr>
            </w:pPr>
          </w:p>
        </w:tc>
        <w:tc>
          <w:tcPr>
            <w:tcW w:w="567" w:type="dxa"/>
            <w:tcBorders>
              <w:top w:val="nil"/>
              <w:left w:val="nil"/>
              <w:bottom w:val="nil"/>
              <w:right w:val="nil"/>
            </w:tcBorders>
            <w:shd w:val="clear" w:color="auto" w:fill="auto"/>
            <w:noWrap/>
            <w:vAlign w:val="bottom"/>
            <w:hideMark/>
          </w:tcPr>
          <w:p w14:paraId="7F7FDAF4" w14:textId="77777777" w:rsidR="00387142" w:rsidRPr="008B6A75" w:rsidRDefault="00387142" w:rsidP="00387142">
            <w:pPr>
              <w:rPr>
                <w:sz w:val="20"/>
                <w:szCs w:val="20"/>
              </w:rPr>
            </w:pPr>
          </w:p>
        </w:tc>
        <w:tc>
          <w:tcPr>
            <w:tcW w:w="1134" w:type="dxa"/>
            <w:tcBorders>
              <w:top w:val="nil"/>
              <w:left w:val="nil"/>
              <w:bottom w:val="nil"/>
              <w:right w:val="nil"/>
            </w:tcBorders>
            <w:shd w:val="clear" w:color="auto" w:fill="auto"/>
            <w:noWrap/>
            <w:vAlign w:val="bottom"/>
            <w:hideMark/>
          </w:tcPr>
          <w:p w14:paraId="66FFD1D4" w14:textId="77777777" w:rsidR="00387142" w:rsidRPr="008B6A75" w:rsidRDefault="00387142" w:rsidP="00387142">
            <w:pPr>
              <w:rPr>
                <w:sz w:val="20"/>
                <w:szCs w:val="20"/>
              </w:rPr>
            </w:pPr>
          </w:p>
        </w:tc>
        <w:tc>
          <w:tcPr>
            <w:tcW w:w="851" w:type="dxa"/>
            <w:tcBorders>
              <w:top w:val="nil"/>
              <w:left w:val="nil"/>
              <w:bottom w:val="nil"/>
              <w:right w:val="nil"/>
            </w:tcBorders>
            <w:shd w:val="clear" w:color="auto" w:fill="auto"/>
            <w:noWrap/>
            <w:vAlign w:val="bottom"/>
            <w:hideMark/>
          </w:tcPr>
          <w:p w14:paraId="7F219059" w14:textId="77777777" w:rsidR="00387142" w:rsidRPr="008B6A75" w:rsidRDefault="00387142" w:rsidP="00387142">
            <w:pPr>
              <w:rPr>
                <w:sz w:val="20"/>
                <w:szCs w:val="20"/>
              </w:rPr>
            </w:pPr>
          </w:p>
        </w:tc>
        <w:tc>
          <w:tcPr>
            <w:tcW w:w="1843" w:type="dxa"/>
            <w:tcBorders>
              <w:top w:val="nil"/>
              <w:left w:val="nil"/>
              <w:bottom w:val="nil"/>
              <w:right w:val="nil"/>
            </w:tcBorders>
            <w:shd w:val="clear" w:color="auto" w:fill="auto"/>
            <w:noWrap/>
            <w:vAlign w:val="bottom"/>
            <w:hideMark/>
          </w:tcPr>
          <w:p w14:paraId="45AB9A79" w14:textId="77777777" w:rsidR="00387142" w:rsidRPr="008B6A75" w:rsidRDefault="00387142" w:rsidP="00387142">
            <w:pPr>
              <w:rPr>
                <w:sz w:val="20"/>
                <w:szCs w:val="20"/>
              </w:rPr>
            </w:pPr>
          </w:p>
        </w:tc>
      </w:tr>
      <w:tr w:rsidR="00387142" w:rsidRPr="008B6A75" w14:paraId="451BE769" w14:textId="77777777" w:rsidTr="00387142">
        <w:trPr>
          <w:trHeight w:val="825"/>
        </w:trPr>
        <w:tc>
          <w:tcPr>
            <w:tcW w:w="11058" w:type="dxa"/>
            <w:gridSpan w:val="9"/>
            <w:tcBorders>
              <w:top w:val="nil"/>
              <w:left w:val="nil"/>
              <w:bottom w:val="nil"/>
              <w:right w:val="nil"/>
            </w:tcBorders>
            <w:shd w:val="clear" w:color="auto" w:fill="auto"/>
            <w:vAlign w:val="center"/>
            <w:hideMark/>
          </w:tcPr>
          <w:p w14:paraId="56819AC9" w14:textId="77777777" w:rsidR="00387142" w:rsidRPr="008B6A75" w:rsidRDefault="00387142" w:rsidP="00387142">
            <w:pPr>
              <w:jc w:val="center"/>
              <w:rPr>
                <w:bCs/>
                <w:sz w:val="20"/>
                <w:szCs w:val="20"/>
              </w:rPr>
            </w:pPr>
            <w:r w:rsidRPr="008B6A75">
              <w:rPr>
                <w:bCs/>
                <w:sz w:val="20"/>
                <w:szCs w:val="20"/>
              </w:rPr>
              <w:lastRenderedPageBreak/>
              <w:t xml:space="preserve">Распределение бюджетных ассигнований по целевым статьям (муниципальным программам и непрограммным направлениям деятельности), группам и подгруппам видов расходов на 2022 и плановый период 2023 </w:t>
            </w:r>
            <w:proofErr w:type="gramStart"/>
            <w:r w:rsidRPr="008B6A75">
              <w:rPr>
                <w:bCs/>
                <w:sz w:val="20"/>
                <w:szCs w:val="20"/>
              </w:rPr>
              <w:t>и  2024</w:t>
            </w:r>
            <w:proofErr w:type="gramEnd"/>
            <w:r w:rsidRPr="008B6A75">
              <w:rPr>
                <w:bCs/>
                <w:sz w:val="20"/>
                <w:szCs w:val="20"/>
              </w:rPr>
              <w:t xml:space="preserve">  годов</w:t>
            </w:r>
          </w:p>
        </w:tc>
      </w:tr>
      <w:tr w:rsidR="00387142" w:rsidRPr="008B6A75" w14:paraId="59A79BB8" w14:textId="77777777" w:rsidTr="00387142">
        <w:trPr>
          <w:trHeight w:val="255"/>
        </w:trPr>
        <w:tc>
          <w:tcPr>
            <w:tcW w:w="272" w:type="dxa"/>
            <w:tcBorders>
              <w:top w:val="nil"/>
              <w:left w:val="nil"/>
              <w:bottom w:val="nil"/>
              <w:right w:val="nil"/>
            </w:tcBorders>
            <w:shd w:val="clear" w:color="auto" w:fill="auto"/>
            <w:noWrap/>
            <w:vAlign w:val="bottom"/>
            <w:hideMark/>
          </w:tcPr>
          <w:p w14:paraId="5A89918B" w14:textId="77777777" w:rsidR="00387142" w:rsidRPr="008B6A75" w:rsidRDefault="00387142" w:rsidP="00387142">
            <w:pPr>
              <w:jc w:val="center"/>
              <w:rPr>
                <w:bCs/>
                <w:sz w:val="20"/>
                <w:szCs w:val="20"/>
              </w:rPr>
            </w:pPr>
          </w:p>
        </w:tc>
        <w:tc>
          <w:tcPr>
            <w:tcW w:w="3415" w:type="dxa"/>
            <w:tcBorders>
              <w:top w:val="nil"/>
              <w:left w:val="nil"/>
              <w:bottom w:val="nil"/>
              <w:right w:val="nil"/>
            </w:tcBorders>
            <w:shd w:val="clear" w:color="auto" w:fill="auto"/>
            <w:noWrap/>
            <w:vAlign w:val="bottom"/>
            <w:hideMark/>
          </w:tcPr>
          <w:p w14:paraId="6AA158A3" w14:textId="77777777" w:rsidR="00387142" w:rsidRPr="008B6A75" w:rsidRDefault="00387142" w:rsidP="00387142">
            <w:pPr>
              <w:rPr>
                <w:sz w:val="20"/>
                <w:szCs w:val="20"/>
              </w:rPr>
            </w:pPr>
          </w:p>
        </w:tc>
        <w:tc>
          <w:tcPr>
            <w:tcW w:w="1559" w:type="dxa"/>
            <w:tcBorders>
              <w:top w:val="nil"/>
              <w:left w:val="nil"/>
              <w:bottom w:val="nil"/>
              <w:right w:val="nil"/>
            </w:tcBorders>
            <w:shd w:val="clear" w:color="auto" w:fill="auto"/>
            <w:noWrap/>
            <w:vAlign w:val="bottom"/>
            <w:hideMark/>
          </w:tcPr>
          <w:p w14:paraId="4AD24892" w14:textId="77777777" w:rsidR="00387142" w:rsidRPr="008B6A75" w:rsidRDefault="00387142" w:rsidP="00387142">
            <w:pPr>
              <w:rPr>
                <w:sz w:val="20"/>
                <w:szCs w:val="20"/>
              </w:rPr>
            </w:pPr>
          </w:p>
        </w:tc>
        <w:tc>
          <w:tcPr>
            <w:tcW w:w="850" w:type="dxa"/>
            <w:tcBorders>
              <w:top w:val="nil"/>
              <w:left w:val="nil"/>
              <w:bottom w:val="nil"/>
              <w:right w:val="nil"/>
            </w:tcBorders>
            <w:shd w:val="clear" w:color="auto" w:fill="auto"/>
            <w:noWrap/>
            <w:vAlign w:val="bottom"/>
            <w:hideMark/>
          </w:tcPr>
          <w:p w14:paraId="0036DD56" w14:textId="77777777" w:rsidR="00387142" w:rsidRPr="008B6A75" w:rsidRDefault="00387142" w:rsidP="00387142">
            <w:pPr>
              <w:rPr>
                <w:sz w:val="20"/>
                <w:szCs w:val="20"/>
              </w:rPr>
            </w:pPr>
          </w:p>
        </w:tc>
        <w:tc>
          <w:tcPr>
            <w:tcW w:w="567" w:type="dxa"/>
            <w:tcBorders>
              <w:top w:val="nil"/>
              <w:left w:val="nil"/>
              <w:bottom w:val="nil"/>
              <w:right w:val="nil"/>
            </w:tcBorders>
            <w:shd w:val="clear" w:color="auto" w:fill="auto"/>
            <w:noWrap/>
            <w:vAlign w:val="bottom"/>
            <w:hideMark/>
          </w:tcPr>
          <w:p w14:paraId="53D5ECFB" w14:textId="77777777" w:rsidR="00387142" w:rsidRPr="008B6A75" w:rsidRDefault="00387142" w:rsidP="00387142">
            <w:pPr>
              <w:rPr>
                <w:sz w:val="20"/>
                <w:szCs w:val="20"/>
              </w:rPr>
            </w:pPr>
          </w:p>
        </w:tc>
        <w:tc>
          <w:tcPr>
            <w:tcW w:w="567" w:type="dxa"/>
            <w:tcBorders>
              <w:top w:val="nil"/>
              <w:left w:val="nil"/>
              <w:bottom w:val="nil"/>
              <w:right w:val="nil"/>
            </w:tcBorders>
            <w:shd w:val="clear" w:color="auto" w:fill="auto"/>
            <w:noWrap/>
            <w:vAlign w:val="bottom"/>
            <w:hideMark/>
          </w:tcPr>
          <w:p w14:paraId="50F130A0" w14:textId="77777777" w:rsidR="00387142" w:rsidRPr="008B6A75" w:rsidRDefault="00387142" w:rsidP="00387142">
            <w:pPr>
              <w:rPr>
                <w:sz w:val="20"/>
                <w:szCs w:val="20"/>
              </w:rPr>
            </w:pPr>
          </w:p>
        </w:tc>
        <w:tc>
          <w:tcPr>
            <w:tcW w:w="1134" w:type="dxa"/>
            <w:tcBorders>
              <w:top w:val="nil"/>
              <w:left w:val="nil"/>
              <w:bottom w:val="nil"/>
              <w:right w:val="nil"/>
            </w:tcBorders>
            <w:shd w:val="clear" w:color="auto" w:fill="auto"/>
            <w:noWrap/>
            <w:vAlign w:val="bottom"/>
            <w:hideMark/>
          </w:tcPr>
          <w:p w14:paraId="4FE35160" w14:textId="77777777" w:rsidR="00387142" w:rsidRPr="008B6A75" w:rsidRDefault="00387142" w:rsidP="00387142">
            <w:pPr>
              <w:rPr>
                <w:sz w:val="20"/>
                <w:szCs w:val="20"/>
              </w:rPr>
            </w:pPr>
          </w:p>
        </w:tc>
        <w:tc>
          <w:tcPr>
            <w:tcW w:w="851" w:type="dxa"/>
            <w:tcBorders>
              <w:top w:val="nil"/>
              <w:left w:val="nil"/>
              <w:bottom w:val="nil"/>
              <w:right w:val="nil"/>
            </w:tcBorders>
            <w:shd w:val="clear" w:color="auto" w:fill="auto"/>
            <w:noWrap/>
            <w:vAlign w:val="bottom"/>
            <w:hideMark/>
          </w:tcPr>
          <w:p w14:paraId="5EB5B540" w14:textId="77777777" w:rsidR="00387142" w:rsidRPr="008B6A75" w:rsidRDefault="00387142" w:rsidP="00387142">
            <w:pPr>
              <w:rPr>
                <w:sz w:val="20"/>
                <w:szCs w:val="20"/>
              </w:rPr>
            </w:pPr>
          </w:p>
        </w:tc>
        <w:tc>
          <w:tcPr>
            <w:tcW w:w="1843" w:type="dxa"/>
            <w:tcBorders>
              <w:top w:val="nil"/>
              <w:left w:val="nil"/>
              <w:bottom w:val="nil"/>
              <w:right w:val="nil"/>
            </w:tcBorders>
            <w:shd w:val="clear" w:color="auto" w:fill="auto"/>
            <w:noWrap/>
            <w:vAlign w:val="bottom"/>
            <w:hideMark/>
          </w:tcPr>
          <w:p w14:paraId="7BF74F3C" w14:textId="77777777" w:rsidR="00387142" w:rsidRPr="008B6A75" w:rsidRDefault="00387142" w:rsidP="00387142">
            <w:pPr>
              <w:jc w:val="right"/>
              <w:rPr>
                <w:sz w:val="20"/>
                <w:szCs w:val="20"/>
              </w:rPr>
            </w:pPr>
            <w:r w:rsidRPr="008B6A75">
              <w:rPr>
                <w:sz w:val="20"/>
                <w:szCs w:val="20"/>
              </w:rPr>
              <w:t>руб.</w:t>
            </w:r>
          </w:p>
        </w:tc>
      </w:tr>
      <w:tr w:rsidR="00387142" w:rsidRPr="008B6A75" w14:paraId="0E52F292" w14:textId="77777777" w:rsidTr="00387142">
        <w:trPr>
          <w:trHeight w:val="375"/>
        </w:trPr>
        <w:tc>
          <w:tcPr>
            <w:tcW w:w="272" w:type="dxa"/>
            <w:tcBorders>
              <w:top w:val="nil"/>
              <w:left w:val="nil"/>
              <w:bottom w:val="nil"/>
              <w:right w:val="nil"/>
            </w:tcBorders>
            <w:shd w:val="clear" w:color="auto" w:fill="auto"/>
            <w:noWrap/>
            <w:vAlign w:val="bottom"/>
            <w:hideMark/>
          </w:tcPr>
          <w:p w14:paraId="0E0DC37B" w14:textId="77777777" w:rsidR="00387142" w:rsidRPr="008B6A75" w:rsidRDefault="00387142" w:rsidP="00387142">
            <w:pPr>
              <w:jc w:val="right"/>
              <w:rPr>
                <w:sz w:val="20"/>
                <w:szCs w:val="20"/>
              </w:rPr>
            </w:pPr>
          </w:p>
        </w:tc>
        <w:tc>
          <w:tcPr>
            <w:tcW w:w="3415" w:type="dxa"/>
            <w:vMerge w:val="restart"/>
            <w:tcBorders>
              <w:top w:val="single" w:sz="4" w:space="0" w:color="auto"/>
              <w:left w:val="single" w:sz="4" w:space="0" w:color="auto"/>
              <w:bottom w:val="single" w:sz="4" w:space="0" w:color="auto"/>
              <w:right w:val="nil"/>
            </w:tcBorders>
            <w:shd w:val="clear" w:color="auto" w:fill="auto"/>
            <w:noWrap/>
            <w:vAlign w:val="center"/>
            <w:hideMark/>
          </w:tcPr>
          <w:p w14:paraId="4110ECCC" w14:textId="77777777" w:rsidR="00387142" w:rsidRPr="008B6A75" w:rsidRDefault="00387142" w:rsidP="00387142">
            <w:pPr>
              <w:jc w:val="center"/>
              <w:rPr>
                <w:bCs/>
                <w:sz w:val="20"/>
                <w:szCs w:val="20"/>
              </w:rPr>
            </w:pPr>
            <w:r w:rsidRPr="008B6A75">
              <w:rPr>
                <w:bCs/>
                <w:sz w:val="20"/>
                <w:szCs w:val="20"/>
              </w:rPr>
              <w:t>Наименование</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5920E8" w14:textId="77777777" w:rsidR="00387142" w:rsidRPr="008B6A75" w:rsidRDefault="00387142" w:rsidP="00387142">
            <w:pPr>
              <w:jc w:val="center"/>
              <w:rPr>
                <w:bCs/>
                <w:sz w:val="20"/>
                <w:szCs w:val="20"/>
              </w:rPr>
            </w:pPr>
            <w:r w:rsidRPr="008B6A75">
              <w:rPr>
                <w:bCs/>
                <w:sz w:val="20"/>
                <w:szCs w:val="20"/>
              </w:rPr>
              <w:t>КЦСР</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50331C" w14:textId="77777777" w:rsidR="00387142" w:rsidRPr="008B6A75" w:rsidRDefault="00387142" w:rsidP="00387142">
            <w:pPr>
              <w:jc w:val="center"/>
              <w:rPr>
                <w:bCs/>
                <w:sz w:val="20"/>
                <w:szCs w:val="20"/>
              </w:rPr>
            </w:pPr>
            <w:r w:rsidRPr="008B6A75">
              <w:rPr>
                <w:bCs/>
                <w:sz w:val="20"/>
                <w:szCs w:val="20"/>
              </w:rPr>
              <w:t>КВР</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C56FF3" w14:textId="77777777" w:rsidR="00387142" w:rsidRPr="008B6A75" w:rsidRDefault="00387142" w:rsidP="00387142">
            <w:pPr>
              <w:jc w:val="center"/>
              <w:rPr>
                <w:bCs/>
                <w:sz w:val="20"/>
                <w:szCs w:val="20"/>
              </w:rPr>
            </w:pPr>
            <w:r w:rsidRPr="008B6A75">
              <w:rPr>
                <w:bCs/>
                <w:sz w:val="20"/>
                <w:szCs w:val="20"/>
              </w:rPr>
              <w:t>РЗ</w:t>
            </w:r>
          </w:p>
        </w:tc>
        <w:tc>
          <w:tcPr>
            <w:tcW w:w="567" w:type="dxa"/>
            <w:vMerge w:val="restart"/>
            <w:tcBorders>
              <w:top w:val="single" w:sz="4" w:space="0" w:color="auto"/>
              <w:left w:val="single" w:sz="4" w:space="0" w:color="auto"/>
              <w:bottom w:val="single" w:sz="4" w:space="0" w:color="auto"/>
              <w:right w:val="nil"/>
            </w:tcBorders>
            <w:shd w:val="clear" w:color="auto" w:fill="auto"/>
            <w:noWrap/>
            <w:vAlign w:val="center"/>
            <w:hideMark/>
          </w:tcPr>
          <w:p w14:paraId="5F646849" w14:textId="77777777" w:rsidR="00387142" w:rsidRPr="008B6A75" w:rsidRDefault="00387142" w:rsidP="00387142">
            <w:pPr>
              <w:jc w:val="center"/>
              <w:rPr>
                <w:bCs/>
                <w:sz w:val="20"/>
                <w:szCs w:val="20"/>
              </w:rPr>
            </w:pPr>
            <w:r w:rsidRPr="008B6A75">
              <w:rPr>
                <w:bCs/>
                <w:sz w:val="20"/>
                <w:szCs w:val="20"/>
              </w:rPr>
              <w:t>ПР</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A019C67" w14:textId="77777777" w:rsidR="00387142" w:rsidRPr="008B6A75" w:rsidRDefault="00387142" w:rsidP="00387142">
            <w:pPr>
              <w:jc w:val="center"/>
              <w:rPr>
                <w:bCs/>
                <w:sz w:val="20"/>
                <w:szCs w:val="20"/>
              </w:rPr>
            </w:pPr>
            <w:r w:rsidRPr="008B6A75">
              <w:rPr>
                <w:bCs/>
                <w:sz w:val="20"/>
                <w:szCs w:val="20"/>
              </w:rPr>
              <w:t>Сумма на 2022 год</w:t>
            </w:r>
          </w:p>
        </w:tc>
        <w:tc>
          <w:tcPr>
            <w:tcW w:w="851" w:type="dxa"/>
            <w:vMerge w:val="restart"/>
            <w:tcBorders>
              <w:top w:val="single" w:sz="4" w:space="0" w:color="auto"/>
              <w:left w:val="nil"/>
              <w:bottom w:val="single" w:sz="4" w:space="0" w:color="auto"/>
              <w:right w:val="nil"/>
            </w:tcBorders>
            <w:shd w:val="clear" w:color="auto" w:fill="auto"/>
            <w:vAlign w:val="center"/>
            <w:hideMark/>
          </w:tcPr>
          <w:p w14:paraId="1AD9D3C4" w14:textId="77777777" w:rsidR="00387142" w:rsidRPr="008B6A75" w:rsidRDefault="00387142" w:rsidP="00387142">
            <w:pPr>
              <w:jc w:val="center"/>
              <w:rPr>
                <w:bCs/>
                <w:sz w:val="20"/>
                <w:szCs w:val="20"/>
              </w:rPr>
            </w:pPr>
            <w:r w:rsidRPr="008B6A75">
              <w:rPr>
                <w:bCs/>
                <w:sz w:val="20"/>
                <w:szCs w:val="20"/>
              </w:rPr>
              <w:t>Сумма на 2023 год</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19DD075" w14:textId="77777777" w:rsidR="00387142" w:rsidRPr="008B6A75" w:rsidRDefault="00387142" w:rsidP="00387142">
            <w:pPr>
              <w:jc w:val="center"/>
              <w:rPr>
                <w:bCs/>
                <w:sz w:val="20"/>
                <w:szCs w:val="20"/>
              </w:rPr>
            </w:pPr>
            <w:r w:rsidRPr="008B6A75">
              <w:rPr>
                <w:bCs/>
                <w:sz w:val="20"/>
                <w:szCs w:val="20"/>
              </w:rPr>
              <w:t xml:space="preserve">Сумма на </w:t>
            </w:r>
            <w:proofErr w:type="gramStart"/>
            <w:r w:rsidRPr="008B6A75">
              <w:rPr>
                <w:bCs/>
                <w:sz w:val="20"/>
                <w:szCs w:val="20"/>
              </w:rPr>
              <w:t>2024  год</w:t>
            </w:r>
            <w:proofErr w:type="gramEnd"/>
          </w:p>
        </w:tc>
      </w:tr>
      <w:tr w:rsidR="00387142" w:rsidRPr="008B6A75" w14:paraId="32BFD56A" w14:textId="77777777" w:rsidTr="00387142">
        <w:trPr>
          <w:trHeight w:val="360"/>
        </w:trPr>
        <w:tc>
          <w:tcPr>
            <w:tcW w:w="272" w:type="dxa"/>
            <w:tcBorders>
              <w:top w:val="nil"/>
              <w:left w:val="nil"/>
              <w:bottom w:val="nil"/>
              <w:right w:val="nil"/>
            </w:tcBorders>
            <w:shd w:val="clear" w:color="auto" w:fill="auto"/>
            <w:noWrap/>
            <w:vAlign w:val="bottom"/>
            <w:hideMark/>
          </w:tcPr>
          <w:p w14:paraId="1F308B41" w14:textId="77777777" w:rsidR="00387142" w:rsidRPr="008B6A75" w:rsidRDefault="00387142" w:rsidP="00387142">
            <w:pPr>
              <w:jc w:val="center"/>
              <w:rPr>
                <w:bCs/>
                <w:sz w:val="20"/>
                <w:szCs w:val="20"/>
              </w:rPr>
            </w:pPr>
          </w:p>
        </w:tc>
        <w:tc>
          <w:tcPr>
            <w:tcW w:w="3415" w:type="dxa"/>
            <w:vMerge/>
            <w:tcBorders>
              <w:top w:val="single" w:sz="4" w:space="0" w:color="auto"/>
              <w:left w:val="single" w:sz="4" w:space="0" w:color="auto"/>
              <w:bottom w:val="single" w:sz="4" w:space="0" w:color="auto"/>
              <w:right w:val="nil"/>
            </w:tcBorders>
            <w:vAlign w:val="center"/>
            <w:hideMark/>
          </w:tcPr>
          <w:p w14:paraId="245B09A4" w14:textId="77777777" w:rsidR="00387142" w:rsidRPr="008B6A75" w:rsidRDefault="00387142" w:rsidP="00387142">
            <w:pPr>
              <w:rPr>
                <w:bCs/>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38DA7ED" w14:textId="77777777" w:rsidR="00387142" w:rsidRPr="008B6A75" w:rsidRDefault="00387142" w:rsidP="00387142">
            <w:pPr>
              <w:rPr>
                <w:bCs/>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7C7016A5" w14:textId="77777777" w:rsidR="00387142" w:rsidRPr="008B6A75" w:rsidRDefault="00387142" w:rsidP="00387142">
            <w:pPr>
              <w:rPr>
                <w:bCs/>
                <w:sz w:val="20"/>
                <w:szCs w:val="2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7321B931" w14:textId="77777777" w:rsidR="00387142" w:rsidRPr="008B6A75" w:rsidRDefault="00387142" w:rsidP="00387142">
            <w:pPr>
              <w:rPr>
                <w:bCs/>
                <w:sz w:val="20"/>
                <w:szCs w:val="20"/>
              </w:rPr>
            </w:pPr>
          </w:p>
        </w:tc>
        <w:tc>
          <w:tcPr>
            <w:tcW w:w="567" w:type="dxa"/>
            <w:vMerge/>
            <w:tcBorders>
              <w:top w:val="single" w:sz="4" w:space="0" w:color="auto"/>
              <w:left w:val="single" w:sz="4" w:space="0" w:color="auto"/>
              <w:bottom w:val="single" w:sz="4" w:space="0" w:color="auto"/>
              <w:right w:val="nil"/>
            </w:tcBorders>
            <w:vAlign w:val="center"/>
            <w:hideMark/>
          </w:tcPr>
          <w:p w14:paraId="6FCA7360" w14:textId="77777777" w:rsidR="00387142" w:rsidRPr="008B6A75" w:rsidRDefault="00387142" w:rsidP="00387142">
            <w:pPr>
              <w:rPr>
                <w:bCs/>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4B91D57" w14:textId="77777777" w:rsidR="00387142" w:rsidRPr="008B6A75" w:rsidRDefault="00387142" w:rsidP="00387142">
            <w:pPr>
              <w:rPr>
                <w:bCs/>
                <w:sz w:val="20"/>
                <w:szCs w:val="20"/>
              </w:rPr>
            </w:pPr>
          </w:p>
        </w:tc>
        <w:tc>
          <w:tcPr>
            <w:tcW w:w="851" w:type="dxa"/>
            <w:vMerge/>
            <w:tcBorders>
              <w:top w:val="single" w:sz="4" w:space="0" w:color="auto"/>
              <w:left w:val="nil"/>
              <w:bottom w:val="single" w:sz="4" w:space="0" w:color="auto"/>
              <w:right w:val="nil"/>
            </w:tcBorders>
            <w:vAlign w:val="center"/>
            <w:hideMark/>
          </w:tcPr>
          <w:p w14:paraId="0CA76900" w14:textId="77777777" w:rsidR="00387142" w:rsidRPr="008B6A75" w:rsidRDefault="00387142" w:rsidP="00387142">
            <w:pPr>
              <w:rPr>
                <w:bCs/>
                <w:sz w:val="20"/>
                <w:szCs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D73E90A" w14:textId="77777777" w:rsidR="00387142" w:rsidRPr="008B6A75" w:rsidRDefault="00387142" w:rsidP="00387142">
            <w:pPr>
              <w:rPr>
                <w:bCs/>
                <w:sz w:val="20"/>
                <w:szCs w:val="20"/>
              </w:rPr>
            </w:pPr>
          </w:p>
        </w:tc>
      </w:tr>
      <w:tr w:rsidR="00387142" w:rsidRPr="008B6A75" w14:paraId="139D3A9E" w14:textId="77777777" w:rsidTr="00387142">
        <w:trPr>
          <w:trHeight w:val="300"/>
        </w:trPr>
        <w:tc>
          <w:tcPr>
            <w:tcW w:w="272" w:type="dxa"/>
            <w:tcBorders>
              <w:top w:val="nil"/>
              <w:left w:val="nil"/>
              <w:bottom w:val="nil"/>
              <w:right w:val="nil"/>
            </w:tcBorders>
            <w:shd w:val="clear" w:color="auto" w:fill="auto"/>
            <w:noWrap/>
            <w:vAlign w:val="bottom"/>
            <w:hideMark/>
          </w:tcPr>
          <w:p w14:paraId="046B0081" w14:textId="77777777" w:rsidR="00387142" w:rsidRPr="008B6A75" w:rsidRDefault="00387142" w:rsidP="00387142">
            <w:pPr>
              <w:rPr>
                <w:sz w:val="20"/>
                <w:szCs w:val="20"/>
              </w:rPr>
            </w:pPr>
          </w:p>
        </w:tc>
        <w:tc>
          <w:tcPr>
            <w:tcW w:w="3415" w:type="dxa"/>
            <w:tcBorders>
              <w:top w:val="single" w:sz="4" w:space="0" w:color="auto"/>
              <w:left w:val="single" w:sz="4" w:space="0" w:color="auto"/>
              <w:bottom w:val="single" w:sz="4" w:space="0" w:color="auto"/>
              <w:right w:val="nil"/>
            </w:tcBorders>
            <w:shd w:val="clear" w:color="auto" w:fill="auto"/>
            <w:noWrap/>
            <w:vAlign w:val="center"/>
            <w:hideMark/>
          </w:tcPr>
          <w:p w14:paraId="17FF02CC" w14:textId="77777777" w:rsidR="00387142" w:rsidRPr="008B6A75" w:rsidRDefault="00387142" w:rsidP="00387142">
            <w:pPr>
              <w:jc w:val="center"/>
              <w:rPr>
                <w:bCs/>
                <w:sz w:val="20"/>
                <w:szCs w:val="20"/>
              </w:rPr>
            </w:pPr>
            <w:r w:rsidRPr="008B6A75">
              <w:rPr>
                <w:bCs/>
                <w:sz w:val="20"/>
                <w:szCs w:val="20"/>
              </w:rPr>
              <w:t>1</w:t>
            </w:r>
          </w:p>
        </w:tc>
        <w:tc>
          <w:tcPr>
            <w:tcW w:w="1559" w:type="dxa"/>
            <w:tcBorders>
              <w:top w:val="single" w:sz="4" w:space="0" w:color="auto"/>
              <w:left w:val="single" w:sz="4" w:space="0" w:color="auto"/>
              <w:bottom w:val="single" w:sz="4" w:space="0" w:color="auto"/>
              <w:right w:val="nil"/>
            </w:tcBorders>
            <w:shd w:val="clear" w:color="auto" w:fill="auto"/>
            <w:noWrap/>
            <w:vAlign w:val="center"/>
            <w:hideMark/>
          </w:tcPr>
          <w:p w14:paraId="2D1B0CD9" w14:textId="77777777" w:rsidR="00387142" w:rsidRPr="008B6A75" w:rsidRDefault="00387142" w:rsidP="00387142">
            <w:pPr>
              <w:jc w:val="center"/>
              <w:rPr>
                <w:bCs/>
                <w:sz w:val="20"/>
                <w:szCs w:val="20"/>
              </w:rPr>
            </w:pPr>
            <w:r w:rsidRPr="008B6A75">
              <w:rPr>
                <w:bCs/>
                <w:sz w:val="20"/>
                <w:szCs w:val="20"/>
              </w:rPr>
              <w:t>2</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C8B847" w14:textId="77777777" w:rsidR="00387142" w:rsidRPr="008B6A75" w:rsidRDefault="00387142" w:rsidP="00387142">
            <w:pPr>
              <w:jc w:val="center"/>
              <w:rPr>
                <w:bCs/>
                <w:sz w:val="20"/>
                <w:szCs w:val="20"/>
              </w:rPr>
            </w:pPr>
            <w:r w:rsidRPr="008B6A75">
              <w:rPr>
                <w:bCs/>
                <w:sz w:val="20"/>
                <w:szCs w:val="20"/>
              </w:rPr>
              <w:t>3</w:t>
            </w:r>
          </w:p>
        </w:tc>
        <w:tc>
          <w:tcPr>
            <w:tcW w:w="567" w:type="dxa"/>
            <w:tcBorders>
              <w:top w:val="single" w:sz="4" w:space="0" w:color="auto"/>
              <w:left w:val="nil"/>
              <w:bottom w:val="single" w:sz="4" w:space="0" w:color="auto"/>
              <w:right w:val="nil"/>
            </w:tcBorders>
            <w:shd w:val="clear" w:color="auto" w:fill="auto"/>
            <w:noWrap/>
            <w:vAlign w:val="center"/>
            <w:hideMark/>
          </w:tcPr>
          <w:p w14:paraId="0C522E4C" w14:textId="77777777" w:rsidR="00387142" w:rsidRPr="008B6A75" w:rsidRDefault="00387142" w:rsidP="00387142">
            <w:pPr>
              <w:jc w:val="center"/>
              <w:rPr>
                <w:bCs/>
                <w:sz w:val="20"/>
                <w:szCs w:val="20"/>
              </w:rPr>
            </w:pPr>
            <w:r w:rsidRPr="008B6A75">
              <w:rPr>
                <w:bCs/>
                <w:sz w:val="20"/>
                <w:szCs w:val="20"/>
              </w:rPr>
              <w:t>4</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14:paraId="47C6DD6C" w14:textId="77777777" w:rsidR="00387142" w:rsidRPr="008B6A75" w:rsidRDefault="00387142" w:rsidP="00387142">
            <w:pPr>
              <w:jc w:val="center"/>
              <w:rPr>
                <w:bCs/>
                <w:sz w:val="20"/>
                <w:szCs w:val="20"/>
              </w:rPr>
            </w:pPr>
            <w:r w:rsidRPr="008B6A75">
              <w:rPr>
                <w:bCs/>
                <w:sz w:val="20"/>
                <w:szCs w:val="20"/>
              </w:rPr>
              <w:t>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295177" w14:textId="77777777" w:rsidR="00387142" w:rsidRPr="008B6A75" w:rsidRDefault="00387142" w:rsidP="00387142">
            <w:pPr>
              <w:jc w:val="center"/>
              <w:rPr>
                <w:bCs/>
                <w:sz w:val="20"/>
                <w:szCs w:val="20"/>
              </w:rPr>
            </w:pPr>
            <w:r w:rsidRPr="008B6A75">
              <w:rPr>
                <w:bCs/>
                <w:sz w:val="20"/>
                <w:szCs w:val="20"/>
              </w:rPr>
              <w:t>6</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53271999" w14:textId="77777777" w:rsidR="00387142" w:rsidRPr="008B6A75" w:rsidRDefault="00387142" w:rsidP="00387142">
            <w:pPr>
              <w:jc w:val="center"/>
              <w:rPr>
                <w:bCs/>
                <w:sz w:val="20"/>
                <w:szCs w:val="20"/>
              </w:rPr>
            </w:pPr>
            <w:r w:rsidRPr="008B6A75">
              <w:rPr>
                <w:bCs/>
                <w:sz w:val="20"/>
                <w:szCs w:val="20"/>
              </w:rPr>
              <w:t>7</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1E0DD47B" w14:textId="77777777" w:rsidR="00387142" w:rsidRPr="008B6A75" w:rsidRDefault="00387142" w:rsidP="00387142">
            <w:pPr>
              <w:jc w:val="center"/>
              <w:rPr>
                <w:bCs/>
                <w:sz w:val="20"/>
                <w:szCs w:val="20"/>
              </w:rPr>
            </w:pPr>
            <w:r w:rsidRPr="008B6A75">
              <w:rPr>
                <w:bCs/>
                <w:sz w:val="20"/>
                <w:szCs w:val="20"/>
              </w:rPr>
              <w:t>8</w:t>
            </w:r>
          </w:p>
        </w:tc>
      </w:tr>
      <w:tr w:rsidR="00387142" w:rsidRPr="008B6A75" w14:paraId="5F0367BC" w14:textId="77777777" w:rsidTr="00387142">
        <w:trPr>
          <w:trHeight w:val="585"/>
        </w:trPr>
        <w:tc>
          <w:tcPr>
            <w:tcW w:w="272" w:type="dxa"/>
            <w:tcBorders>
              <w:top w:val="nil"/>
              <w:left w:val="nil"/>
              <w:bottom w:val="nil"/>
              <w:right w:val="single" w:sz="4" w:space="0" w:color="auto"/>
            </w:tcBorders>
            <w:shd w:val="clear" w:color="auto" w:fill="auto"/>
            <w:noWrap/>
            <w:vAlign w:val="bottom"/>
            <w:hideMark/>
          </w:tcPr>
          <w:p w14:paraId="11DE8143"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2011B438" w14:textId="77777777" w:rsidR="00387142" w:rsidRPr="008B6A75" w:rsidRDefault="00387142" w:rsidP="00387142">
            <w:pPr>
              <w:rPr>
                <w:bCs/>
                <w:sz w:val="20"/>
                <w:szCs w:val="20"/>
              </w:rPr>
            </w:pPr>
            <w:r w:rsidRPr="008B6A75">
              <w:rPr>
                <w:bCs/>
                <w:sz w:val="20"/>
                <w:szCs w:val="20"/>
              </w:rPr>
              <w:t>Муниципальная программа "Содействие занятости населения Куйбышевского района"</w:t>
            </w:r>
          </w:p>
        </w:tc>
        <w:tc>
          <w:tcPr>
            <w:tcW w:w="1559" w:type="dxa"/>
            <w:tcBorders>
              <w:top w:val="nil"/>
              <w:left w:val="single" w:sz="4" w:space="0" w:color="auto"/>
              <w:bottom w:val="single" w:sz="4" w:space="0" w:color="auto"/>
              <w:right w:val="nil"/>
            </w:tcBorders>
            <w:shd w:val="clear" w:color="auto" w:fill="auto"/>
            <w:noWrap/>
            <w:vAlign w:val="center"/>
            <w:hideMark/>
          </w:tcPr>
          <w:p w14:paraId="623B89C1" w14:textId="77777777" w:rsidR="00387142" w:rsidRPr="008B6A75" w:rsidRDefault="00387142" w:rsidP="00387142">
            <w:pPr>
              <w:jc w:val="center"/>
              <w:rPr>
                <w:bCs/>
                <w:sz w:val="20"/>
                <w:szCs w:val="20"/>
              </w:rPr>
            </w:pPr>
            <w:r w:rsidRPr="008B6A75">
              <w:rPr>
                <w:bCs/>
                <w:sz w:val="20"/>
                <w:szCs w:val="20"/>
              </w:rPr>
              <w:t>01.0.00.00000</w:t>
            </w:r>
          </w:p>
        </w:tc>
        <w:tc>
          <w:tcPr>
            <w:tcW w:w="850" w:type="dxa"/>
            <w:tcBorders>
              <w:top w:val="nil"/>
              <w:left w:val="single" w:sz="4" w:space="0" w:color="auto"/>
              <w:bottom w:val="single" w:sz="4" w:space="0" w:color="auto"/>
              <w:right w:val="nil"/>
            </w:tcBorders>
            <w:shd w:val="clear" w:color="auto" w:fill="auto"/>
            <w:noWrap/>
            <w:vAlign w:val="center"/>
            <w:hideMark/>
          </w:tcPr>
          <w:p w14:paraId="2120A0E9" w14:textId="77777777" w:rsidR="00387142" w:rsidRPr="008B6A75" w:rsidRDefault="00387142" w:rsidP="00387142">
            <w:pPr>
              <w:jc w:val="center"/>
              <w:rPr>
                <w:bCs/>
                <w:sz w:val="20"/>
                <w:szCs w:val="20"/>
              </w:rPr>
            </w:pPr>
            <w:r w:rsidRPr="008B6A75">
              <w:rPr>
                <w:bCs/>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7BC9BE6B" w14:textId="77777777" w:rsidR="00387142" w:rsidRPr="008B6A75" w:rsidRDefault="00387142" w:rsidP="00387142">
            <w:pPr>
              <w:jc w:val="center"/>
              <w:rPr>
                <w:bCs/>
                <w:sz w:val="20"/>
                <w:szCs w:val="20"/>
              </w:rPr>
            </w:pPr>
            <w:r w:rsidRPr="008B6A75">
              <w:rPr>
                <w:bCs/>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059AFC6C" w14:textId="77777777" w:rsidR="00387142" w:rsidRPr="008B6A75" w:rsidRDefault="00387142" w:rsidP="00387142">
            <w:pPr>
              <w:jc w:val="center"/>
              <w:rPr>
                <w:bCs/>
                <w:sz w:val="20"/>
                <w:szCs w:val="20"/>
              </w:rPr>
            </w:pPr>
            <w:r w:rsidRPr="008B6A75">
              <w:rPr>
                <w:bCs/>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5D25DEE" w14:textId="77777777" w:rsidR="00387142" w:rsidRPr="008B6A75" w:rsidRDefault="00387142" w:rsidP="00387142">
            <w:pPr>
              <w:jc w:val="right"/>
              <w:rPr>
                <w:bCs/>
                <w:sz w:val="20"/>
                <w:szCs w:val="20"/>
              </w:rPr>
            </w:pPr>
            <w:r w:rsidRPr="008B6A75">
              <w:rPr>
                <w:bCs/>
                <w:sz w:val="20"/>
                <w:szCs w:val="20"/>
              </w:rPr>
              <w:t>4 813 122,23</w:t>
            </w:r>
          </w:p>
        </w:tc>
        <w:tc>
          <w:tcPr>
            <w:tcW w:w="851" w:type="dxa"/>
            <w:tcBorders>
              <w:top w:val="nil"/>
              <w:left w:val="single" w:sz="4" w:space="0" w:color="auto"/>
              <w:bottom w:val="single" w:sz="4" w:space="0" w:color="auto"/>
              <w:right w:val="nil"/>
            </w:tcBorders>
            <w:shd w:val="clear" w:color="auto" w:fill="auto"/>
            <w:noWrap/>
            <w:vAlign w:val="center"/>
            <w:hideMark/>
          </w:tcPr>
          <w:p w14:paraId="126A2AC3" w14:textId="77777777" w:rsidR="00387142" w:rsidRPr="008B6A75" w:rsidRDefault="00387142" w:rsidP="00387142">
            <w:pPr>
              <w:jc w:val="right"/>
              <w:rPr>
                <w:bCs/>
                <w:sz w:val="20"/>
                <w:szCs w:val="20"/>
              </w:rPr>
            </w:pPr>
            <w:r w:rsidRPr="008B6A75">
              <w:rPr>
                <w:bCs/>
                <w:sz w:val="20"/>
                <w:szCs w:val="20"/>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0DF73044" w14:textId="77777777" w:rsidR="00387142" w:rsidRPr="008B6A75" w:rsidRDefault="00387142" w:rsidP="00387142">
            <w:pPr>
              <w:jc w:val="right"/>
              <w:rPr>
                <w:bCs/>
                <w:sz w:val="20"/>
                <w:szCs w:val="20"/>
              </w:rPr>
            </w:pPr>
            <w:r w:rsidRPr="008B6A75">
              <w:rPr>
                <w:bCs/>
                <w:sz w:val="20"/>
                <w:szCs w:val="20"/>
              </w:rPr>
              <w:t>0,00</w:t>
            </w:r>
          </w:p>
        </w:tc>
      </w:tr>
      <w:tr w:rsidR="00387142" w:rsidRPr="008B6A75" w14:paraId="592ADAB6" w14:textId="77777777" w:rsidTr="00387142">
        <w:trPr>
          <w:trHeight w:val="870"/>
        </w:trPr>
        <w:tc>
          <w:tcPr>
            <w:tcW w:w="272" w:type="dxa"/>
            <w:tcBorders>
              <w:top w:val="nil"/>
              <w:left w:val="nil"/>
              <w:bottom w:val="nil"/>
              <w:right w:val="single" w:sz="4" w:space="0" w:color="auto"/>
            </w:tcBorders>
            <w:shd w:val="clear" w:color="auto" w:fill="auto"/>
            <w:noWrap/>
            <w:vAlign w:val="bottom"/>
            <w:hideMark/>
          </w:tcPr>
          <w:p w14:paraId="20AF78A2"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06B39075" w14:textId="77777777" w:rsidR="00387142" w:rsidRPr="008B6A75" w:rsidRDefault="00387142" w:rsidP="00387142">
            <w:pPr>
              <w:rPr>
                <w:bCs/>
                <w:sz w:val="20"/>
                <w:szCs w:val="20"/>
              </w:rPr>
            </w:pPr>
            <w:r w:rsidRPr="008B6A75">
              <w:rPr>
                <w:bCs/>
                <w:sz w:val="20"/>
                <w:szCs w:val="20"/>
              </w:rPr>
              <w:t>Реализация мероприятий в рамках МП "Содействие занятости населения Куйбышевского района"</w:t>
            </w:r>
          </w:p>
        </w:tc>
        <w:tc>
          <w:tcPr>
            <w:tcW w:w="1559" w:type="dxa"/>
            <w:tcBorders>
              <w:top w:val="nil"/>
              <w:left w:val="single" w:sz="4" w:space="0" w:color="auto"/>
              <w:bottom w:val="single" w:sz="4" w:space="0" w:color="auto"/>
              <w:right w:val="nil"/>
            </w:tcBorders>
            <w:shd w:val="clear" w:color="auto" w:fill="auto"/>
            <w:noWrap/>
            <w:vAlign w:val="center"/>
            <w:hideMark/>
          </w:tcPr>
          <w:p w14:paraId="31B9956C" w14:textId="77777777" w:rsidR="00387142" w:rsidRPr="008B6A75" w:rsidRDefault="00387142" w:rsidP="00387142">
            <w:pPr>
              <w:jc w:val="center"/>
              <w:rPr>
                <w:bCs/>
                <w:sz w:val="20"/>
                <w:szCs w:val="20"/>
              </w:rPr>
            </w:pPr>
            <w:r w:rsidRPr="008B6A75">
              <w:rPr>
                <w:bCs/>
                <w:sz w:val="20"/>
                <w:szCs w:val="20"/>
              </w:rPr>
              <w:t>01.0.00.79500</w:t>
            </w:r>
          </w:p>
        </w:tc>
        <w:tc>
          <w:tcPr>
            <w:tcW w:w="850" w:type="dxa"/>
            <w:tcBorders>
              <w:top w:val="nil"/>
              <w:left w:val="single" w:sz="4" w:space="0" w:color="auto"/>
              <w:bottom w:val="single" w:sz="4" w:space="0" w:color="auto"/>
              <w:right w:val="nil"/>
            </w:tcBorders>
            <w:shd w:val="clear" w:color="auto" w:fill="auto"/>
            <w:noWrap/>
            <w:vAlign w:val="center"/>
            <w:hideMark/>
          </w:tcPr>
          <w:p w14:paraId="37A61D90" w14:textId="77777777" w:rsidR="00387142" w:rsidRPr="008B6A75" w:rsidRDefault="00387142" w:rsidP="00387142">
            <w:pPr>
              <w:jc w:val="center"/>
              <w:rPr>
                <w:bCs/>
                <w:sz w:val="20"/>
                <w:szCs w:val="20"/>
              </w:rPr>
            </w:pPr>
            <w:r w:rsidRPr="008B6A75">
              <w:rPr>
                <w:bCs/>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7AC8E22B" w14:textId="77777777" w:rsidR="00387142" w:rsidRPr="008B6A75" w:rsidRDefault="00387142" w:rsidP="00387142">
            <w:pPr>
              <w:jc w:val="center"/>
              <w:rPr>
                <w:bCs/>
                <w:sz w:val="20"/>
                <w:szCs w:val="20"/>
              </w:rPr>
            </w:pPr>
            <w:r w:rsidRPr="008B6A75">
              <w:rPr>
                <w:bCs/>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0799890E" w14:textId="77777777" w:rsidR="00387142" w:rsidRPr="008B6A75" w:rsidRDefault="00387142" w:rsidP="00387142">
            <w:pPr>
              <w:jc w:val="center"/>
              <w:rPr>
                <w:bCs/>
                <w:sz w:val="20"/>
                <w:szCs w:val="20"/>
              </w:rPr>
            </w:pPr>
            <w:r w:rsidRPr="008B6A75">
              <w:rPr>
                <w:bCs/>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82B9443" w14:textId="77777777" w:rsidR="00387142" w:rsidRPr="008B6A75" w:rsidRDefault="00387142" w:rsidP="00387142">
            <w:pPr>
              <w:jc w:val="right"/>
              <w:rPr>
                <w:bCs/>
                <w:sz w:val="20"/>
                <w:szCs w:val="20"/>
              </w:rPr>
            </w:pPr>
            <w:r w:rsidRPr="008B6A75">
              <w:rPr>
                <w:bCs/>
                <w:sz w:val="20"/>
                <w:szCs w:val="20"/>
              </w:rPr>
              <w:t>4 813 122,23</w:t>
            </w:r>
          </w:p>
        </w:tc>
        <w:tc>
          <w:tcPr>
            <w:tcW w:w="851" w:type="dxa"/>
            <w:tcBorders>
              <w:top w:val="nil"/>
              <w:left w:val="single" w:sz="4" w:space="0" w:color="auto"/>
              <w:bottom w:val="single" w:sz="4" w:space="0" w:color="auto"/>
              <w:right w:val="nil"/>
            </w:tcBorders>
            <w:shd w:val="clear" w:color="auto" w:fill="auto"/>
            <w:noWrap/>
            <w:vAlign w:val="center"/>
            <w:hideMark/>
          </w:tcPr>
          <w:p w14:paraId="2AE38E55" w14:textId="77777777" w:rsidR="00387142" w:rsidRPr="008B6A75" w:rsidRDefault="00387142" w:rsidP="00387142">
            <w:pPr>
              <w:jc w:val="right"/>
              <w:rPr>
                <w:bCs/>
                <w:sz w:val="20"/>
                <w:szCs w:val="20"/>
              </w:rPr>
            </w:pPr>
            <w:r w:rsidRPr="008B6A75">
              <w:rPr>
                <w:bCs/>
                <w:sz w:val="20"/>
                <w:szCs w:val="20"/>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76D80AFF" w14:textId="77777777" w:rsidR="00387142" w:rsidRPr="008B6A75" w:rsidRDefault="00387142" w:rsidP="00387142">
            <w:pPr>
              <w:jc w:val="right"/>
              <w:rPr>
                <w:bCs/>
                <w:sz w:val="20"/>
                <w:szCs w:val="20"/>
              </w:rPr>
            </w:pPr>
            <w:r w:rsidRPr="008B6A75">
              <w:rPr>
                <w:bCs/>
                <w:sz w:val="20"/>
                <w:szCs w:val="20"/>
              </w:rPr>
              <w:t>0,00</w:t>
            </w:r>
          </w:p>
        </w:tc>
      </w:tr>
      <w:tr w:rsidR="00387142" w:rsidRPr="008B6A75" w14:paraId="69A328BE" w14:textId="77777777" w:rsidTr="00387142">
        <w:trPr>
          <w:trHeight w:val="300"/>
        </w:trPr>
        <w:tc>
          <w:tcPr>
            <w:tcW w:w="272" w:type="dxa"/>
            <w:tcBorders>
              <w:top w:val="nil"/>
              <w:left w:val="nil"/>
              <w:bottom w:val="nil"/>
              <w:right w:val="single" w:sz="4" w:space="0" w:color="auto"/>
            </w:tcBorders>
            <w:shd w:val="clear" w:color="auto" w:fill="auto"/>
            <w:noWrap/>
            <w:vAlign w:val="bottom"/>
            <w:hideMark/>
          </w:tcPr>
          <w:p w14:paraId="5C155E8B"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3AD8DFF3" w14:textId="77777777" w:rsidR="00387142" w:rsidRPr="008B6A75" w:rsidRDefault="00387142" w:rsidP="00387142">
            <w:pPr>
              <w:rPr>
                <w:sz w:val="20"/>
                <w:szCs w:val="20"/>
              </w:rPr>
            </w:pPr>
            <w:r w:rsidRPr="008B6A75">
              <w:rPr>
                <w:sz w:val="20"/>
                <w:szCs w:val="20"/>
              </w:rPr>
              <w:t>Межбюджетные трансферты</w:t>
            </w:r>
          </w:p>
        </w:tc>
        <w:tc>
          <w:tcPr>
            <w:tcW w:w="1559" w:type="dxa"/>
            <w:tcBorders>
              <w:top w:val="nil"/>
              <w:left w:val="single" w:sz="4" w:space="0" w:color="auto"/>
              <w:bottom w:val="single" w:sz="4" w:space="0" w:color="auto"/>
              <w:right w:val="nil"/>
            </w:tcBorders>
            <w:shd w:val="clear" w:color="auto" w:fill="auto"/>
            <w:noWrap/>
            <w:vAlign w:val="center"/>
            <w:hideMark/>
          </w:tcPr>
          <w:p w14:paraId="2D1444DF" w14:textId="77777777" w:rsidR="00387142" w:rsidRPr="008B6A75" w:rsidRDefault="00387142" w:rsidP="00387142">
            <w:pPr>
              <w:jc w:val="center"/>
              <w:rPr>
                <w:sz w:val="20"/>
                <w:szCs w:val="20"/>
              </w:rPr>
            </w:pPr>
            <w:r w:rsidRPr="008B6A75">
              <w:rPr>
                <w:sz w:val="20"/>
                <w:szCs w:val="20"/>
              </w:rPr>
              <w:t>01.0.00.79500</w:t>
            </w:r>
          </w:p>
        </w:tc>
        <w:tc>
          <w:tcPr>
            <w:tcW w:w="850" w:type="dxa"/>
            <w:tcBorders>
              <w:top w:val="nil"/>
              <w:left w:val="single" w:sz="4" w:space="0" w:color="auto"/>
              <w:bottom w:val="single" w:sz="4" w:space="0" w:color="auto"/>
              <w:right w:val="nil"/>
            </w:tcBorders>
            <w:shd w:val="clear" w:color="auto" w:fill="auto"/>
            <w:noWrap/>
            <w:vAlign w:val="center"/>
            <w:hideMark/>
          </w:tcPr>
          <w:p w14:paraId="7DA2DF72" w14:textId="77777777" w:rsidR="00387142" w:rsidRPr="008B6A75" w:rsidRDefault="00387142" w:rsidP="00387142">
            <w:pPr>
              <w:jc w:val="center"/>
              <w:rPr>
                <w:sz w:val="20"/>
                <w:szCs w:val="20"/>
              </w:rPr>
            </w:pPr>
            <w:r w:rsidRPr="008B6A75">
              <w:rPr>
                <w:sz w:val="20"/>
                <w:szCs w:val="20"/>
              </w:rPr>
              <w:t>500</w:t>
            </w:r>
          </w:p>
        </w:tc>
        <w:tc>
          <w:tcPr>
            <w:tcW w:w="567" w:type="dxa"/>
            <w:tcBorders>
              <w:top w:val="nil"/>
              <w:left w:val="single" w:sz="4" w:space="0" w:color="auto"/>
              <w:bottom w:val="single" w:sz="4" w:space="0" w:color="auto"/>
              <w:right w:val="nil"/>
            </w:tcBorders>
            <w:shd w:val="clear" w:color="auto" w:fill="auto"/>
            <w:noWrap/>
            <w:vAlign w:val="center"/>
            <w:hideMark/>
          </w:tcPr>
          <w:p w14:paraId="6C6320B5" w14:textId="77777777" w:rsidR="00387142" w:rsidRPr="008B6A75" w:rsidRDefault="00387142" w:rsidP="00387142">
            <w:pPr>
              <w:jc w:val="center"/>
              <w:rPr>
                <w:sz w:val="20"/>
                <w:szCs w:val="20"/>
              </w:rPr>
            </w:pPr>
            <w:r w:rsidRPr="008B6A75">
              <w:rPr>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31EAA92E" w14:textId="77777777" w:rsidR="00387142" w:rsidRPr="008B6A75" w:rsidRDefault="00387142" w:rsidP="00387142">
            <w:pPr>
              <w:jc w:val="center"/>
              <w:rPr>
                <w:sz w:val="20"/>
                <w:szCs w:val="20"/>
              </w:rPr>
            </w:pPr>
            <w:r w:rsidRPr="008B6A75">
              <w:rPr>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2691312" w14:textId="77777777" w:rsidR="00387142" w:rsidRPr="008B6A75" w:rsidRDefault="00387142" w:rsidP="00387142">
            <w:pPr>
              <w:jc w:val="right"/>
              <w:rPr>
                <w:sz w:val="20"/>
                <w:szCs w:val="20"/>
              </w:rPr>
            </w:pPr>
            <w:r w:rsidRPr="008B6A75">
              <w:rPr>
                <w:sz w:val="20"/>
                <w:szCs w:val="20"/>
              </w:rPr>
              <w:t>167 666,22</w:t>
            </w:r>
          </w:p>
        </w:tc>
        <w:tc>
          <w:tcPr>
            <w:tcW w:w="851" w:type="dxa"/>
            <w:tcBorders>
              <w:top w:val="nil"/>
              <w:left w:val="single" w:sz="4" w:space="0" w:color="auto"/>
              <w:bottom w:val="single" w:sz="4" w:space="0" w:color="auto"/>
              <w:right w:val="nil"/>
            </w:tcBorders>
            <w:shd w:val="clear" w:color="auto" w:fill="auto"/>
            <w:noWrap/>
            <w:vAlign w:val="center"/>
            <w:hideMark/>
          </w:tcPr>
          <w:p w14:paraId="640D4658" w14:textId="77777777" w:rsidR="00387142" w:rsidRPr="008B6A75" w:rsidRDefault="00387142" w:rsidP="00387142">
            <w:pPr>
              <w:jc w:val="right"/>
              <w:rPr>
                <w:sz w:val="20"/>
                <w:szCs w:val="20"/>
              </w:rPr>
            </w:pPr>
            <w:r w:rsidRPr="008B6A75">
              <w:rPr>
                <w:sz w:val="20"/>
                <w:szCs w:val="20"/>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6C508FA2" w14:textId="77777777" w:rsidR="00387142" w:rsidRPr="008B6A75" w:rsidRDefault="00387142" w:rsidP="00387142">
            <w:pPr>
              <w:jc w:val="right"/>
              <w:rPr>
                <w:sz w:val="20"/>
                <w:szCs w:val="20"/>
              </w:rPr>
            </w:pPr>
            <w:r w:rsidRPr="008B6A75">
              <w:rPr>
                <w:sz w:val="20"/>
                <w:szCs w:val="20"/>
              </w:rPr>
              <w:t>0,00</w:t>
            </w:r>
          </w:p>
        </w:tc>
      </w:tr>
      <w:tr w:rsidR="00387142" w:rsidRPr="008B6A75" w14:paraId="3BAC143C" w14:textId="77777777" w:rsidTr="00387142">
        <w:trPr>
          <w:trHeight w:val="300"/>
        </w:trPr>
        <w:tc>
          <w:tcPr>
            <w:tcW w:w="272" w:type="dxa"/>
            <w:tcBorders>
              <w:top w:val="nil"/>
              <w:left w:val="nil"/>
              <w:bottom w:val="nil"/>
              <w:right w:val="single" w:sz="4" w:space="0" w:color="auto"/>
            </w:tcBorders>
            <w:shd w:val="clear" w:color="auto" w:fill="auto"/>
            <w:noWrap/>
            <w:vAlign w:val="bottom"/>
            <w:hideMark/>
          </w:tcPr>
          <w:p w14:paraId="335EFAA2"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5DC1EB1F" w14:textId="77777777" w:rsidR="00387142" w:rsidRPr="008B6A75" w:rsidRDefault="00387142" w:rsidP="00387142">
            <w:pPr>
              <w:rPr>
                <w:sz w:val="20"/>
                <w:szCs w:val="20"/>
              </w:rPr>
            </w:pPr>
            <w:r w:rsidRPr="008B6A75">
              <w:rPr>
                <w:sz w:val="20"/>
                <w:szCs w:val="20"/>
              </w:rPr>
              <w:t>Иные межбюджетные трансферты</w:t>
            </w:r>
          </w:p>
        </w:tc>
        <w:tc>
          <w:tcPr>
            <w:tcW w:w="1559" w:type="dxa"/>
            <w:tcBorders>
              <w:top w:val="nil"/>
              <w:left w:val="single" w:sz="4" w:space="0" w:color="auto"/>
              <w:bottom w:val="single" w:sz="4" w:space="0" w:color="auto"/>
              <w:right w:val="nil"/>
            </w:tcBorders>
            <w:shd w:val="clear" w:color="auto" w:fill="auto"/>
            <w:noWrap/>
            <w:vAlign w:val="center"/>
            <w:hideMark/>
          </w:tcPr>
          <w:p w14:paraId="7365EF08" w14:textId="77777777" w:rsidR="00387142" w:rsidRPr="008B6A75" w:rsidRDefault="00387142" w:rsidP="00387142">
            <w:pPr>
              <w:jc w:val="center"/>
              <w:rPr>
                <w:sz w:val="20"/>
                <w:szCs w:val="20"/>
              </w:rPr>
            </w:pPr>
            <w:r w:rsidRPr="008B6A75">
              <w:rPr>
                <w:sz w:val="20"/>
                <w:szCs w:val="20"/>
              </w:rPr>
              <w:t>01.0.00.79500</w:t>
            </w:r>
          </w:p>
        </w:tc>
        <w:tc>
          <w:tcPr>
            <w:tcW w:w="850" w:type="dxa"/>
            <w:tcBorders>
              <w:top w:val="nil"/>
              <w:left w:val="single" w:sz="4" w:space="0" w:color="auto"/>
              <w:bottom w:val="single" w:sz="4" w:space="0" w:color="auto"/>
              <w:right w:val="nil"/>
            </w:tcBorders>
            <w:shd w:val="clear" w:color="auto" w:fill="auto"/>
            <w:noWrap/>
            <w:vAlign w:val="center"/>
            <w:hideMark/>
          </w:tcPr>
          <w:p w14:paraId="288FFFE4" w14:textId="77777777" w:rsidR="00387142" w:rsidRPr="008B6A75" w:rsidRDefault="00387142" w:rsidP="00387142">
            <w:pPr>
              <w:jc w:val="center"/>
              <w:rPr>
                <w:sz w:val="20"/>
                <w:szCs w:val="20"/>
              </w:rPr>
            </w:pPr>
            <w:r w:rsidRPr="008B6A75">
              <w:rPr>
                <w:sz w:val="20"/>
                <w:szCs w:val="20"/>
              </w:rPr>
              <w:t>540</w:t>
            </w:r>
          </w:p>
        </w:tc>
        <w:tc>
          <w:tcPr>
            <w:tcW w:w="567" w:type="dxa"/>
            <w:tcBorders>
              <w:top w:val="nil"/>
              <w:left w:val="single" w:sz="4" w:space="0" w:color="auto"/>
              <w:bottom w:val="single" w:sz="4" w:space="0" w:color="auto"/>
              <w:right w:val="nil"/>
            </w:tcBorders>
            <w:shd w:val="clear" w:color="auto" w:fill="auto"/>
            <w:noWrap/>
            <w:vAlign w:val="center"/>
            <w:hideMark/>
          </w:tcPr>
          <w:p w14:paraId="37589C94" w14:textId="77777777" w:rsidR="00387142" w:rsidRPr="008B6A75" w:rsidRDefault="00387142" w:rsidP="00387142">
            <w:pPr>
              <w:jc w:val="center"/>
              <w:rPr>
                <w:sz w:val="20"/>
                <w:szCs w:val="20"/>
              </w:rPr>
            </w:pPr>
            <w:r w:rsidRPr="008B6A75">
              <w:rPr>
                <w:sz w:val="20"/>
                <w:szCs w:val="20"/>
              </w:rPr>
              <w:t>05</w:t>
            </w:r>
          </w:p>
        </w:tc>
        <w:tc>
          <w:tcPr>
            <w:tcW w:w="567" w:type="dxa"/>
            <w:tcBorders>
              <w:top w:val="nil"/>
              <w:left w:val="single" w:sz="4" w:space="0" w:color="auto"/>
              <w:bottom w:val="single" w:sz="4" w:space="0" w:color="auto"/>
              <w:right w:val="nil"/>
            </w:tcBorders>
            <w:shd w:val="clear" w:color="auto" w:fill="auto"/>
            <w:noWrap/>
            <w:vAlign w:val="center"/>
            <w:hideMark/>
          </w:tcPr>
          <w:p w14:paraId="5D7BAFEF" w14:textId="77777777" w:rsidR="00387142" w:rsidRPr="008B6A75" w:rsidRDefault="00387142" w:rsidP="00387142">
            <w:pPr>
              <w:jc w:val="center"/>
              <w:rPr>
                <w:sz w:val="20"/>
                <w:szCs w:val="20"/>
              </w:rPr>
            </w:pPr>
            <w:r w:rsidRPr="008B6A75">
              <w:rPr>
                <w:sz w:val="20"/>
                <w:szCs w:val="20"/>
              </w:rPr>
              <w:t>03</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D193951" w14:textId="77777777" w:rsidR="00387142" w:rsidRPr="008B6A75" w:rsidRDefault="00387142" w:rsidP="00387142">
            <w:pPr>
              <w:jc w:val="right"/>
              <w:rPr>
                <w:sz w:val="20"/>
                <w:szCs w:val="20"/>
              </w:rPr>
            </w:pPr>
            <w:r w:rsidRPr="008B6A75">
              <w:rPr>
                <w:sz w:val="20"/>
                <w:szCs w:val="20"/>
              </w:rPr>
              <w:t>167 666,22</w:t>
            </w:r>
          </w:p>
        </w:tc>
        <w:tc>
          <w:tcPr>
            <w:tcW w:w="851" w:type="dxa"/>
            <w:tcBorders>
              <w:top w:val="nil"/>
              <w:left w:val="single" w:sz="4" w:space="0" w:color="auto"/>
              <w:bottom w:val="single" w:sz="4" w:space="0" w:color="auto"/>
              <w:right w:val="nil"/>
            </w:tcBorders>
            <w:shd w:val="clear" w:color="auto" w:fill="auto"/>
            <w:noWrap/>
            <w:vAlign w:val="center"/>
            <w:hideMark/>
          </w:tcPr>
          <w:p w14:paraId="7BB8BBED" w14:textId="77777777" w:rsidR="00387142" w:rsidRPr="008B6A75" w:rsidRDefault="00387142" w:rsidP="00387142">
            <w:pPr>
              <w:jc w:val="right"/>
              <w:rPr>
                <w:sz w:val="20"/>
                <w:szCs w:val="20"/>
              </w:rPr>
            </w:pPr>
            <w:r w:rsidRPr="008B6A75">
              <w:rPr>
                <w:sz w:val="20"/>
                <w:szCs w:val="20"/>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790E7BB0" w14:textId="77777777" w:rsidR="00387142" w:rsidRPr="008B6A75" w:rsidRDefault="00387142" w:rsidP="00387142">
            <w:pPr>
              <w:jc w:val="right"/>
              <w:rPr>
                <w:sz w:val="20"/>
                <w:szCs w:val="20"/>
              </w:rPr>
            </w:pPr>
            <w:r w:rsidRPr="008B6A75">
              <w:rPr>
                <w:sz w:val="20"/>
                <w:szCs w:val="20"/>
              </w:rPr>
              <w:t>0,00</w:t>
            </w:r>
          </w:p>
        </w:tc>
      </w:tr>
      <w:tr w:rsidR="00387142" w:rsidRPr="008B6A75" w14:paraId="421659EC" w14:textId="77777777" w:rsidTr="00387142">
        <w:trPr>
          <w:trHeight w:val="870"/>
        </w:trPr>
        <w:tc>
          <w:tcPr>
            <w:tcW w:w="272" w:type="dxa"/>
            <w:tcBorders>
              <w:top w:val="nil"/>
              <w:left w:val="nil"/>
              <w:bottom w:val="nil"/>
              <w:right w:val="single" w:sz="4" w:space="0" w:color="auto"/>
            </w:tcBorders>
            <w:shd w:val="clear" w:color="auto" w:fill="auto"/>
            <w:noWrap/>
            <w:vAlign w:val="bottom"/>
            <w:hideMark/>
          </w:tcPr>
          <w:p w14:paraId="53912108"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01AD0494" w14:textId="77777777" w:rsidR="00387142" w:rsidRPr="008B6A75" w:rsidRDefault="00387142" w:rsidP="00387142">
            <w:pPr>
              <w:rPr>
                <w:sz w:val="20"/>
                <w:szCs w:val="20"/>
              </w:rPr>
            </w:pPr>
            <w:r w:rsidRPr="008B6A75">
              <w:rPr>
                <w:sz w:val="20"/>
                <w:szCs w:val="20"/>
              </w:rPr>
              <w:t>Предоставление субсидий бюджетным, автономным учреждениям и иным некоммерческим организациям</w:t>
            </w:r>
          </w:p>
        </w:tc>
        <w:tc>
          <w:tcPr>
            <w:tcW w:w="1559" w:type="dxa"/>
            <w:tcBorders>
              <w:top w:val="nil"/>
              <w:left w:val="single" w:sz="4" w:space="0" w:color="auto"/>
              <w:bottom w:val="single" w:sz="4" w:space="0" w:color="auto"/>
              <w:right w:val="nil"/>
            </w:tcBorders>
            <w:shd w:val="clear" w:color="auto" w:fill="auto"/>
            <w:noWrap/>
            <w:vAlign w:val="center"/>
            <w:hideMark/>
          </w:tcPr>
          <w:p w14:paraId="65955EFB" w14:textId="77777777" w:rsidR="00387142" w:rsidRPr="008B6A75" w:rsidRDefault="00387142" w:rsidP="00387142">
            <w:pPr>
              <w:jc w:val="center"/>
              <w:rPr>
                <w:sz w:val="20"/>
                <w:szCs w:val="20"/>
              </w:rPr>
            </w:pPr>
            <w:r w:rsidRPr="008B6A75">
              <w:rPr>
                <w:sz w:val="20"/>
                <w:szCs w:val="20"/>
              </w:rPr>
              <w:t>01.0.00.79500</w:t>
            </w:r>
          </w:p>
        </w:tc>
        <w:tc>
          <w:tcPr>
            <w:tcW w:w="850" w:type="dxa"/>
            <w:tcBorders>
              <w:top w:val="nil"/>
              <w:left w:val="single" w:sz="4" w:space="0" w:color="auto"/>
              <w:bottom w:val="single" w:sz="4" w:space="0" w:color="auto"/>
              <w:right w:val="nil"/>
            </w:tcBorders>
            <w:shd w:val="clear" w:color="auto" w:fill="auto"/>
            <w:noWrap/>
            <w:vAlign w:val="center"/>
            <w:hideMark/>
          </w:tcPr>
          <w:p w14:paraId="2E69AC63" w14:textId="77777777" w:rsidR="00387142" w:rsidRPr="008B6A75" w:rsidRDefault="00387142" w:rsidP="00387142">
            <w:pPr>
              <w:jc w:val="center"/>
              <w:rPr>
                <w:sz w:val="20"/>
                <w:szCs w:val="20"/>
              </w:rPr>
            </w:pPr>
            <w:r w:rsidRPr="008B6A75">
              <w:rPr>
                <w:sz w:val="20"/>
                <w:szCs w:val="20"/>
              </w:rPr>
              <w:t>600</w:t>
            </w:r>
          </w:p>
        </w:tc>
        <w:tc>
          <w:tcPr>
            <w:tcW w:w="567" w:type="dxa"/>
            <w:tcBorders>
              <w:top w:val="nil"/>
              <w:left w:val="single" w:sz="4" w:space="0" w:color="auto"/>
              <w:bottom w:val="single" w:sz="4" w:space="0" w:color="auto"/>
              <w:right w:val="nil"/>
            </w:tcBorders>
            <w:shd w:val="clear" w:color="auto" w:fill="auto"/>
            <w:noWrap/>
            <w:vAlign w:val="center"/>
            <w:hideMark/>
          </w:tcPr>
          <w:p w14:paraId="27071D58" w14:textId="77777777" w:rsidR="00387142" w:rsidRPr="008B6A75" w:rsidRDefault="00387142" w:rsidP="00387142">
            <w:pPr>
              <w:jc w:val="center"/>
              <w:rPr>
                <w:sz w:val="20"/>
                <w:szCs w:val="20"/>
              </w:rPr>
            </w:pPr>
            <w:r w:rsidRPr="008B6A75">
              <w:rPr>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56FD8877" w14:textId="77777777" w:rsidR="00387142" w:rsidRPr="008B6A75" w:rsidRDefault="00387142" w:rsidP="00387142">
            <w:pPr>
              <w:jc w:val="center"/>
              <w:rPr>
                <w:sz w:val="20"/>
                <w:szCs w:val="20"/>
              </w:rPr>
            </w:pPr>
            <w:r w:rsidRPr="008B6A75">
              <w:rPr>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76932B8" w14:textId="77777777" w:rsidR="00387142" w:rsidRPr="008B6A75" w:rsidRDefault="00387142" w:rsidP="00387142">
            <w:pPr>
              <w:jc w:val="right"/>
              <w:rPr>
                <w:sz w:val="20"/>
                <w:szCs w:val="20"/>
              </w:rPr>
            </w:pPr>
            <w:r w:rsidRPr="008B6A75">
              <w:rPr>
                <w:sz w:val="20"/>
                <w:szCs w:val="20"/>
              </w:rPr>
              <w:t>4 645 456,01</w:t>
            </w:r>
          </w:p>
        </w:tc>
        <w:tc>
          <w:tcPr>
            <w:tcW w:w="851" w:type="dxa"/>
            <w:tcBorders>
              <w:top w:val="nil"/>
              <w:left w:val="single" w:sz="4" w:space="0" w:color="auto"/>
              <w:bottom w:val="single" w:sz="4" w:space="0" w:color="auto"/>
              <w:right w:val="nil"/>
            </w:tcBorders>
            <w:shd w:val="clear" w:color="auto" w:fill="auto"/>
            <w:noWrap/>
            <w:vAlign w:val="center"/>
            <w:hideMark/>
          </w:tcPr>
          <w:p w14:paraId="79CB8F7D" w14:textId="77777777" w:rsidR="00387142" w:rsidRPr="008B6A75" w:rsidRDefault="00387142" w:rsidP="00387142">
            <w:pPr>
              <w:jc w:val="right"/>
              <w:rPr>
                <w:sz w:val="20"/>
                <w:szCs w:val="20"/>
              </w:rPr>
            </w:pPr>
            <w:r w:rsidRPr="008B6A75">
              <w:rPr>
                <w:sz w:val="20"/>
                <w:szCs w:val="20"/>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114C95AA" w14:textId="77777777" w:rsidR="00387142" w:rsidRPr="008B6A75" w:rsidRDefault="00387142" w:rsidP="00387142">
            <w:pPr>
              <w:jc w:val="right"/>
              <w:rPr>
                <w:sz w:val="20"/>
                <w:szCs w:val="20"/>
              </w:rPr>
            </w:pPr>
            <w:r w:rsidRPr="008B6A75">
              <w:rPr>
                <w:sz w:val="20"/>
                <w:szCs w:val="20"/>
              </w:rPr>
              <w:t>0,00</w:t>
            </w:r>
          </w:p>
        </w:tc>
      </w:tr>
      <w:tr w:rsidR="00387142" w:rsidRPr="008B6A75" w14:paraId="251AFF7C" w14:textId="77777777" w:rsidTr="00387142">
        <w:trPr>
          <w:trHeight w:val="300"/>
        </w:trPr>
        <w:tc>
          <w:tcPr>
            <w:tcW w:w="272" w:type="dxa"/>
            <w:tcBorders>
              <w:top w:val="nil"/>
              <w:left w:val="nil"/>
              <w:bottom w:val="nil"/>
              <w:right w:val="single" w:sz="4" w:space="0" w:color="auto"/>
            </w:tcBorders>
            <w:shd w:val="clear" w:color="auto" w:fill="auto"/>
            <w:noWrap/>
            <w:vAlign w:val="bottom"/>
            <w:hideMark/>
          </w:tcPr>
          <w:p w14:paraId="6E84914B"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6EC6CCED" w14:textId="77777777" w:rsidR="00387142" w:rsidRPr="008B6A75" w:rsidRDefault="00387142" w:rsidP="00387142">
            <w:pPr>
              <w:rPr>
                <w:sz w:val="20"/>
                <w:szCs w:val="20"/>
              </w:rPr>
            </w:pPr>
            <w:r w:rsidRPr="008B6A75">
              <w:rPr>
                <w:sz w:val="20"/>
                <w:szCs w:val="20"/>
              </w:rPr>
              <w:t>Субсидии бюджетным учреждениям</w:t>
            </w:r>
          </w:p>
        </w:tc>
        <w:tc>
          <w:tcPr>
            <w:tcW w:w="1559" w:type="dxa"/>
            <w:tcBorders>
              <w:top w:val="nil"/>
              <w:left w:val="single" w:sz="4" w:space="0" w:color="auto"/>
              <w:bottom w:val="single" w:sz="4" w:space="0" w:color="auto"/>
              <w:right w:val="nil"/>
            </w:tcBorders>
            <w:shd w:val="clear" w:color="auto" w:fill="auto"/>
            <w:noWrap/>
            <w:vAlign w:val="center"/>
            <w:hideMark/>
          </w:tcPr>
          <w:p w14:paraId="5BB0827A" w14:textId="77777777" w:rsidR="00387142" w:rsidRPr="008B6A75" w:rsidRDefault="00387142" w:rsidP="00387142">
            <w:pPr>
              <w:jc w:val="center"/>
              <w:rPr>
                <w:sz w:val="20"/>
                <w:szCs w:val="20"/>
              </w:rPr>
            </w:pPr>
            <w:r w:rsidRPr="008B6A75">
              <w:rPr>
                <w:sz w:val="20"/>
                <w:szCs w:val="20"/>
              </w:rPr>
              <w:t>01.0.00.79500</w:t>
            </w:r>
          </w:p>
        </w:tc>
        <w:tc>
          <w:tcPr>
            <w:tcW w:w="850" w:type="dxa"/>
            <w:tcBorders>
              <w:top w:val="nil"/>
              <w:left w:val="single" w:sz="4" w:space="0" w:color="auto"/>
              <w:bottom w:val="single" w:sz="4" w:space="0" w:color="auto"/>
              <w:right w:val="nil"/>
            </w:tcBorders>
            <w:shd w:val="clear" w:color="auto" w:fill="auto"/>
            <w:noWrap/>
            <w:vAlign w:val="center"/>
            <w:hideMark/>
          </w:tcPr>
          <w:p w14:paraId="1D8A6F32" w14:textId="77777777" w:rsidR="00387142" w:rsidRPr="008B6A75" w:rsidRDefault="00387142" w:rsidP="00387142">
            <w:pPr>
              <w:jc w:val="center"/>
              <w:rPr>
                <w:sz w:val="20"/>
                <w:szCs w:val="20"/>
              </w:rPr>
            </w:pPr>
            <w:r w:rsidRPr="008B6A75">
              <w:rPr>
                <w:sz w:val="20"/>
                <w:szCs w:val="20"/>
              </w:rPr>
              <w:t>610</w:t>
            </w:r>
          </w:p>
        </w:tc>
        <w:tc>
          <w:tcPr>
            <w:tcW w:w="567" w:type="dxa"/>
            <w:tcBorders>
              <w:top w:val="nil"/>
              <w:left w:val="single" w:sz="4" w:space="0" w:color="auto"/>
              <w:bottom w:val="single" w:sz="4" w:space="0" w:color="auto"/>
              <w:right w:val="nil"/>
            </w:tcBorders>
            <w:shd w:val="clear" w:color="auto" w:fill="auto"/>
            <w:noWrap/>
            <w:vAlign w:val="center"/>
            <w:hideMark/>
          </w:tcPr>
          <w:p w14:paraId="62D881B7" w14:textId="77777777" w:rsidR="00387142" w:rsidRPr="008B6A75" w:rsidRDefault="00387142" w:rsidP="00387142">
            <w:pPr>
              <w:jc w:val="center"/>
              <w:rPr>
                <w:sz w:val="20"/>
                <w:szCs w:val="20"/>
              </w:rPr>
            </w:pPr>
            <w:r w:rsidRPr="008B6A75">
              <w:rPr>
                <w:sz w:val="20"/>
                <w:szCs w:val="20"/>
              </w:rPr>
              <w:t>07</w:t>
            </w:r>
          </w:p>
        </w:tc>
        <w:tc>
          <w:tcPr>
            <w:tcW w:w="567" w:type="dxa"/>
            <w:tcBorders>
              <w:top w:val="nil"/>
              <w:left w:val="single" w:sz="4" w:space="0" w:color="auto"/>
              <w:bottom w:val="single" w:sz="4" w:space="0" w:color="auto"/>
              <w:right w:val="nil"/>
            </w:tcBorders>
            <w:shd w:val="clear" w:color="auto" w:fill="auto"/>
            <w:noWrap/>
            <w:vAlign w:val="center"/>
            <w:hideMark/>
          </w:tcPr>
          <w:p w14:paraId="26F53E4C" w14:textId="77777777" w:rsidR="00387142" w:rsidRPr="008B6A75" w:rsidRDefault="00387142" w:rsidP="00387142">
            <w:pPr>
              <w:jc w:val="center"/>
              <w:rPr>
                <w:sz w:val="20"/>
                <w:szCs w:val="20"/>
              </w:rPr>
            </w:pPr>
            <w:r w:rsidRPr="008B6A75">
              <w:rPr>
                <w:sz w:val="20"/>
                <w:szCs w:val="20"/>
              </w:rPr>
              <w:t>07</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963A3E8" w14:textId="77777777" w:rsidR="00387142" w:rsidRPr="008B6A75" w:rsidRDefault="00387142" w:rsidP="00387142">
            <w:pPr>
              <w:jc w:val="right"/>
              <w:rPr>
                <w:sz w:val="20"/>
                <w:szCs w:val="20"/>
              </w:rPr>
            </w:pPr>
            <w:r w:rsidRPr="008B6A75">
              <w:rPr>
                <w:sz w:val="20"/>
                <w:szCs w:val="20"/>
              </w:rPr>
              <w:t>4 645 456,01</w:t>
            </w:r>
          </w:p>
        </w:tc>
        <w:tc>
          <w:tcPr>
            <w:tcW w:w="851" w:type="dxa"/>
            <w:tcBorders>
              <w:top w:val="nil"/>
              <w:left w:val="single" w:sz="4" w:space="0" w:color="auto"/>
              <w:bottom w:val="single" w:sz="4" w:space="0" w:color="auto"/>
              <w:right w:val="nil"/>
            </w:tcBorders>
            <w:shd w:val="clear" w:color="auto" w:fill="auto"/>
            <w:noWrap/>
            <w:vAlign w:val="center"/>
            <w:hideMark/>
          </w:tcPr>
          <w:p w14:paraId="6E93BAE5" w14:textId="77777777" w:rsidR="00387142" w:rsidRPr="008B6A75" w:rsidRDefault="00387142" w:rsidP="00387142">
            <w:pPr>
              <w:jc w:val="right"/>
              <w:rPr>
                <w:sz w:val="20"/>
                <w:szCs w:val="20"/>
              </w:rPr>
            </w:pPr>
            <w:r w:rsidRPr="008B6A75">
              <w:rPr>
                <w:sz w:val="20"/>
                <w:szCs w:val="20"/>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3475C533" w14:textId="77777777" w:rsidR="00387142" w:rsidRPr="008B6A75" w:rsidRDefault="00387142" w:rsidP="00387142">
            <w:pPr>
              <w:jc w:val="right"/>
              <w:rPr>
                <w:sz w:val="20"/>
                <w:szCs w:val="20"/>
              </w:rPr>
            </w:pPr>
            <w:r w:rsidRPr="008B6A75">
              <w:rPr>
                <w:sz w:val="20"/>
                <w:szCs w:val="20"/>
              </w:rPr>
              <w:t>0,00</w:t>
            </w:r>
          </w:p>
        </w:tc>
      </w:tr>
      <w:tr w:rsidR="00387142" w:rsidRPr="008B6A75" w14:paraId="22E96D4B" w14:textId="77777777" w:rsidTr="00387142">
        <w:trPr>
          <w:trHeight w:val="1155"/>
        </w:trPr>
        <w:tc>
          <w:tcPr>
            <w:tcW w:w="272" w:type="dxa"/>
            <w:tcBorders>
              <w:top w:val="nil"/>
              <w:left w:val="nil"/>
              <w:bottom w:val="nil"/>
              <w:right w:val="single" w:sz="4" w:space="0" w:color="auto"/>
            </w:tcBorders>
            <w:shd w:val="clear" w:color="auto" w:fill="auto"/>
            <w:noWrap/>
            <w:vAlign w:val="bottom"/>
            <w:hideMark/>
          </w:tcPr>
          <w:p w14:paraId="17C7F63D"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6D3E52DB" w14:textId="77777777" w:rsidR="00387142" w:rsidRPr="008B6A75" w:rsidRDefault="00387142" w:rsidP="00387142">
            <w:pPr>
              <w:rPr>
                <w:bCs/>
                <w:sz w:val="20"/>
                <w:szCs w:val="20"/>
              </w:rPr>
            </w:pPr>
            <w:r w:rsidRPr="008B6A75">
              <w:rPr>
                <w:bCs/>
                <w:sz w:val="20"/>
                <w:szCs w:val="20"/>
              </w:rPr>
              <w:t>Муниципальная программа "Развитие и поддержка малого и среднего предпринимательства в Куйбышевском районе"</w:t>
            </w:r>
          </w:p>
        </w:tc>
        <w:tc>
          <w:tcPr>
            <w:tcW w:w="1559" w:type="dxa"/>
            <w:tcBorders>
              <w:top w:val="nil"/>
              <w:left w:val="single" w:sz="4" w:space="0" w:color="auto"/>
              <w:bottom w:val="single" w:sz="4" w:space="0" w:color="auto"/>
              <w:right w:val="nil"/>
            </w:tcBorders>
            <w:shd w:val="clear" w:color="auto" w:fill="auto"/>
            <w:noWrap/>
            <w:vAlign w:val="center"/>
            <w:hideMark/>
          </w:tcPr>
          <w:p w14:paraId="0AFD8D74" w14:textId="77777777" w:rsidR="00387142" w:rsidRPr="008B6A75" w:rsidRDefault="00387142" w:rsidP="00387142">
            <w:pPr>
              <w:jc w:val="center"/>
              <w:rPr>
                <w:bCs/>
                <w:sz w:val="20"/>
                <w:szCs w:val="20"/>
              </w:rPr>
            </w:pPr>
            <w:r w:rsidRPr="008B6A75">
              <w:rPr>
                <w:bCs/>
                <w:sz w:val="20"/>
                <w:szCs w:val="20"/>
              </w:rPr>
              <w:t>02.0.00.00000</w:t>
            </w:r>
          </w:p>
        </w:tc>
        <w:tc>
          <w:tcPr>
            <w:tcW w:w="850" w:type="dxa"/>
            <w:tcBorders>
              <w:top w:val="nil"/>
              <w:left w:val="single" w:sz="4" w:space="0" w:color="auto"/>
              <w:bottom w:val="single" w:sz="4" w:space="0" w:color="auto"/>
              <w:right w:val="nil"/>
            </w:tcBorders>
            <w:shd w:val="clear" w:color="auto" w:fill="auto"/>
            <w:noWrap/>
            <w:vAlign w:val="center"/>
            <w:hideMark/>
          </w:tcPr>
          <w:p w14:paraId="3C285237" w14:textId="77777777" w:rsidR="00387142" w:rsidRPr="008B6A75" w:rsidRDefault="00387142" w:rsidP="00387142">
            <w:pPr>
              <w:jc w:val="center"/>
              <w:rPr>
                <w:bCs/>
                <w:sz w:val="20"/>
                <w:szCs w:val="20"/>
              </w:rPr>
            </w:pPr>
            <w:r w:rsidRPr="008B6A75">
              <w:rPr>
                <w:bCs/>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71E6CEDC" w14:textId="77777777" w:rsidR="00387142" w:rsidRPr="008B6A75" w:rsidRDefault="00387142" w:rsidP="00387142">
            <w:pPr>
              <w:jc w:val="center"/>
              <w:rPr>
                <w:bCs/>
                <w:sz w:val="20"/>
                <w:szCs w:val="20"/>
              </w:rPr>
            </w:pPr>
            <w:r w:rsidRPr="008B6A75">
              <w:rPr>
                <w:bCs/>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3E9AC7AE" w14:textId="77777777" w:rsidR="00387142" w:rsidRPr="008B6A75" w:rsidRDefault="00387142" w:rsidP="00387142">
            <w:pPr>
              <w:jc w:val="center"/>
              <w:rPr>
                <w:bCs/>
                <w:sz w:val="20"/>
                <w:szCs w:val="20"/>
              </w:rPr>
            </w:pPr>
            <w:r w:rsidRPr="008B6A75">
              <w:rPr>
                <w:bCs/>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2EB3E7E" w14:textId="77777777" w:rsidR="00387142" w:rsidRPr="008B6A75" w:rsidRDefault="00387142" w:rsidP="00387142">
            <w:pPr>
              <w:jc w:val="right"/>
              <w:rPr>
                <w:bCs/>
                <w:sz w:val="20"/>
                <w:szCs w:val="20"/>
              </w:rPr>
            </w:pPr>
            <w:r w:rsidRPr="008B6A75">
              <w:rPr>
                <w:bCs/>
                <w:sz w:val="20"/>
                <w:szCs w:val="20"/>
              </w:rPr>
              <w:t>1 904 200,00</w:t>
            </w:r>
          </w:p>
        </w:tc>
        <w:tc>
          <w:tcPr>
            <w:tcW w:w="851" w:type="dxa"/>
            <w:tcBorders>
              <w:top w:val="nil"/>
              <w:left w:val="single" w:sz="4" w:space="0" w:color="auto"/>
              <w:bottom w:val="single" w:sz="4" w:space="0" w:color="auto"/>
              <w:right w:val="nil"/>
            </w:tcBorders>
            <w:shd w:val="clear" w:color="auto" w:fill="auto"/>
            <w:noWrap/>
            <w:vAlign w:val="center"/>
            <w:hideMark/>
          </w:tcPr>
          <w:p w14:paraId="25C95146" w14:textId="77777777" w:rsidR="00387142" w:rsidRPr="008B6A75" w:rsidRDefault="00387142" w:rsidP="00387142">
            <w:pPr>
              <w:jc w:val="right"/>
              <w:rPr>
                <w:bCs/>
                <w:sz w:val="20"/>
                <w:szCs w:val="20"/>
              </w:rPr>
            </w:pPr>
            <w:r w:rsidRPr="008B6A75">
              <w:rPr>
                <w:bCs/>
                <w:sz w:val="20"/>
                <w:szCs w:val="20"/>
              </w:rPr>
              <w:t>204 200,00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373FBAAE" w14:textId="77777777" w:rsidR="00387142" w:rsidRPr="008B6A75" w:rsidRDefault="00387142" w:rsidP="00387142">
            <w:pPr>
              <w:jc w:val="right"/>
              <w:rPr>
                <w:bCs/>
                <w:sz w:val="20"/>
                <w:szCs w:val="20"/>
              </w:rPr>
            </w:pPr>
            <w:r w:rsidRPr="008B6A75">
              <w:rPr>
                <w:bCs/>
                <w:sz w:val="20"/>
                <w:szCs w:val="20"/>
              </w:rPr>
              <w:t>204 200,00</w:t>
            </w:r>
          </w:p>
        </w:tc>
      </w:tr>
      <w:tr w:rsidR="00387142" w:rsidRPr="008B6A75" w14:paraId="423057B7" w14:textId="77777777" w:rsidTr="00387142">
        <w:trPr>
          <w:trHeight w:val="1155"/>
        </w:trPr>
        <w:tc>
          <w:tcPr>
            <w:tcW w:w="272" w:type="dxa"/>
            <w:tcBorders>
              <w:top w:val="nil"/>
              <w:left w:val="nil"/>
              <w:bottom w:val="nil"/>
              <w:right w:val="single" w:sz="4" w:space="0" w:color="auto"/>
            </w:tcBorders>
            <w:shd w:val="clear" w:color="auto" w:fill="auto"/>
            <w:noWrap/>
            <w:vAlign w:val="bottom"/>
            <w:hideMark/>
          </w:tcPr>
          <w:p w14:paraId="7012A60B"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1678DEFF" w14:textId="77777777" w:rsidR="00387142" w:rsidRPr="008B6A75" w:rsidRDefault="00387142" w:rsidP="00387142">
            <w:pPr>
              <w:rPr>
                <w:bCs/>
                <w:sz w:val="20"/>
                <w:szCs w:val="20"/>
              </w:rPr>
            </w:pPr>
            <w:r w:rsidRPr="008B6A75">
              <w:rPr>
                <w:bCs/>
                <w:sz w:val="20"/>
                <w:szCs w:val="20"/>
              </w:rPr>
              <w:t>Реализация мероприятий в рамках МП "Развитие и поддержка малого и среднего предпринимательства в Куйбышевском районе"</w:t>
            </w:r>
          </w:p>
        </w:tc>
        <w:tc>
          <w:tcPr>
            <w:tcW w:w="1559" w:type="dxa"/>
            <w:tcBorders>
              <w:top w:val="nil"/>
              <w:left w:val="single" w:sz="4" w:space="0" w:color="auto"/>
              <w:bottom w:val="single" w:sz="4" w:space="0" w:color="auto"/>
              <w:right w:val="nil"/>
            </w:tcBorders>
            <w:shd w:val="clear" w:color="auto" w:fill="auto"/>
            <w:noWrap/>
            <w:vAlign w:val="center"/>
            <w:hideMark/>
          </w:tcPr>
          <w:p w14:paraId="360F9ECD" w14:textId="77777777" w:rsidR="00387142" w:rsidRPr="008B6A75" w:rsidRDefault="00387142" w:rsidP="00387142">
            <w:pPr>
              <w:jc w:val="center"/>
              <w:rPr>
                <w:bCs/>
                <w:sz w:val="20"/>
                <w:szCs w:val="20"/>
              </w:rPr>
            </w:pPr>
            <w:r w:rsidRPr="008B6A75">
              <w:rPr>
                <w:bCs/>
                <w:sz w:val="20"/>
                <w:szCs w:val="20"/>
              </w:rPr>
              <w:t>02.0.00.49500</w:t>
            </w:r>
          </w:p>
        </w:tc>
        <w:tc>
          <w:tcPr>
            <w:tcW w:w="850" w:type="dxa"/>
            <w:tcBorders>
              <w:top w:val="nil"/>
              <w:left w:val="single" w:sz="4" w:space="0" w:color="auto"/>
              <w:bottom w:val="single" w:sz="4" w:space="0" w:color="auto"/>
              <w:right w:val="nil"/>
            </w:tcBorders>
            <w:shd w:val="clear" w:color="auto" w:fill="auto"/>
            <w:noWrap/>
            <w:vAlign w:val="center"/>
            <w:hideMark/>
          </w:tcPr>
          <w:p w14:paraId="104BE0DD" w14:textId="77777777" w:rsidR="00387142" w:rsidRPr="008B6A75" w:rsidRDefault="00387142" w:rsidP="00387142">
            <w:pPr>
              <w:jc w:val="center"/>
              <w:rPr>
                <w:bCs/>
                <w:sz w:val="20"/>
                <w:szCs w:val="20"/>
              </w:rPr>
            </w:pPr>
            <w:r w:rsidRPr="008B6A75">
              <w:rPr>
                <w:bCs/>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49FE2F37" w14:textId="77777777" w:rsidR="00387142" w:rsidRPr="008B6A75" w:rsidRDefault="00387142" w:rsidP="00387142">
            <w:pPr>
              <w:jc w:val="center"/>
              <w:rPr>
                <w:bCs/>
                <w:sz w:val="20"/>
                <w:szCs w:val="20"/>
              </w:rPr>
            </w:pPr>
            <w:r w:rsidRPr="008B6A75">
              <w:rPr>
                <w:bCs/>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37661BE9" w14:textId="77777777" w:rsidR="00387142" w:rsidRPr="008B6A75" w:rsidRDefault="00387142" w:rsidP="00387142">
            <w:pPr>
              <w:jc w:val="center"/>
              <w:rPr>
                <w:bCs/>
                <w:sz w:val="20"/>
                <w:szCs w:val="20"/>
              </w:rPr>
            </w:pPr>
            <w:r w:rsidRPr="008B6A75">
              <w:rPr>
                <w:bCs/>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34985B2" w14:textId="77777777" w:rsidR="00387142" w:rsidRPr="008B6A75" w:rsidRDefault="00387142" w:rsidP="00387142">
            <w:pPr>
              <w:jc w:val="right"/>
              <w:rPr>
                <w:bCs/>
                <w:sz w:val="20"/>
                <w:szCs w:val="20"/>
              </w:rPr>
            </w:pPr>
            <w:r w:rsidRPr="008B6A75">
              <w:rPr>
                <w:bCs/>
                <w:sz w:val="20"/>
                <w:szCs w:val="20"/>
              </w:rPr>
              <w:t>1 700 000,00</w:t>
            </w:r>
          </w:p>
        </w:tc>
        <w:tc>
          <w:tcPr>
            <w:tcW w:w="851" w:type="dxa"/>
            <w:tcBorders>
              <w:top w:val="nil"/>
              <w:left w:val="single" w:sz="4" w:space="0" w:color="auto"/>
              <w:bottom w:val="single" w:sz="4" w:space="0" w:color="auto"/>
              <w:right w:val="nil"/>
            </w:tcBorders>
            <w:shd w:val="clear" w:color="auto" w:fill="auto"/>
            <w:noWrap/>
            <w:vAlign w:val="center"/>
            <w:hideMark/>
          </w:tcPr>
          <w:p w14:paraId="169AE584" w14:textId="77777777" w:rsidR="00387142" w:rsidRPr="008B6A75" w:rsidRDefault="00387142" w:rsidP="00387142">
            <w:pPr>
              <w:jc w:val="right"/>
              <w:rPr>
                <w:bCs/>
                <w:sz w:val="20"/>
                <w:szCs w:val="20"/>
              </w:rPr>
            </w:pPr>
            <w:r w:rsidRPr="008B6A75">
              <w:rPr>
                <w:bCs/>
                <w:sz w:val="20"/>
                <w:szCs w:val="20"/>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4F63C95A" w14:textId="77777777" w:rsidR="00387142" w:rsidRPr="008B6A75" w:rsidRDefault="00387142" w:rsidP="00387142">
            <w:pPr>
              <w:jc w:val="right"/>
              <w:rPr>
                <w:bCs/>
                <w:sz w:val="20"/>
                <w:szCs w:val="20"/>
              </w:rPr>
            </w:pPr>
            <w:r w:rsidRPr="008B6A75">
              <w:rPr>
                <w:bCs/>
                <w:sz w:val="20"/>
                <w:szCs w:val="20"/>
              </w:rPr>
              <w:t>0,00</w:t>
            </w:r>
          </w:p>
        </w:tc>
      </w:tr>
      <w:tr w:rsidR="00387142" w:rsidRPr="008B6A75" w14:paraId="4F1AAF8A" w14:textId="77777777" w:rsidTr="00387142">
        <w:trPr>
          <w:trHeight w:val="300"/>
        </w:trPr>
        <w:tc>
          <w:tcPr>
            <w:tcW w:w="272" w:type="dxa"/>
            <w:tcBorders>
              <w:top w:val="nil"/>
              <w:left w:val="nil"/>
              <w:bottom w:val="nil"/>
              <w:right w:val="single" w:sz="4" w:space="0" w:color="auto"/>
            </w:tcBorders>
            <w:shd w:val="clear" w:color="auto" w:fill="auto"/>
            <w:noWrap/>
            <w:vAlign w:val="bottom"/>
            <w:hideMark/>
          </w:tcPr>
          <w:p w14:paraId="53A1CF09"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01907805" w14:textId="77777777" w:rsidR="00387142" w:rsidRPr="008B6A75" w:rsidRDefault="00387142" w:rsidP="00387142">
            <w:pPr>
              <w:rPr>
                <w:sz w:val="20"/>
                <w:szCs w:val="20"/>
              </w:rPr>
            </w:pPr>
            <w:r w:rsidRPr="008B6A75">
              <w:rPr>
                <w:sz w:val="20"/>
                <w:szCs w:val="20"/>
              </w:rPr>
              <w:t>Иные бюджетные ассигнования</w:t>
            </w:r>
          </w:p>
        </w:tc>
        <w:tc>
          <w:tcPr>
            <w:tcW w:w="1559" w:type="dxa"/>
            <w:tcBorders>
              <w:top w:val="nil"/>
              <w:left w:val="single" w:sz="4" w:space="0" w:color="auto"/>
              <w:bottom w:val="single" w:sz="4" w:space="0" w:color="auto"/>
              <w:right w:val="nil"/>
            </w:tcBorders>
            <w:shd w:val="clear" w:color="auto" w:fill="auto"/>
            <w:noWrap/>
            <w:vAlign w:val="center"/>
            <w:hideMark/>
          </w:tcPr>
          <w:p w14:paraId="1E5912F0" w14:textId="77777777" w:rsidR="00387142" w:rsidRPr="008B6A75" w:rsidRDefault="00387142" w:rsidP="00387142">
            <w:pPr>
              <w:jc w:val="center"/>
              <w:rPr>
                <w:sz w:val="20"/>
                <w:szCs w:val="20"/>
              </w:rPr>
            </w:pPr>
            <w:r w:rsidRPr="008B6A75">
              <w:rPr>
                <w:sz w:val="20"/>
                <w:szCs w:val="20"/>
              </w:rPr>
              <w:t>02.0.00.49500</w:t>
            </w:r>
          </w:p>
        </w:tc>
        <w:tc>
          <w:tcPr>
            <w:tcW w:w="850" w:type="dxa"/>
            <w:tcBorders>
              <w:top w:val="nil"/>
              <w:left w:val="single" w:sz="4" w:space="0" w:color="auto"/>
              <w:bottom w:val="single" w:sz="4" w:space="0" w:color="auto"/>
              <w:right w:val="nil"/>
            </w:tcBorders>
            <w:shd w:val="clear" w:color="auto" w:fill="auto"/>
            <w:noWrap/>
            <w:vAlign w:val="center"/>
            <w:hideMark/>
          </w:tcPr>
          <w:p w14:paraId="5A3840BA" w14:textId="77777777" w:rsidR="00387142" w:rsidRPr="008B6A75" w:rsidRDefault="00387142" w:rsidP="00387142">
            <w:pPr>
              <w:jc w:val="center"/>
              <w:rPr>
                <w:sz w:val="20"/>
                <w:szCs w:val="20"/>
              </w:rPr>
            </w:pPr>
            <w:r w:rsidRPr="008B6A75">
              <w:rPr>
                <w:sz w:val="20"/>
                <w:szCs w:val="20"/>
              </w:rPr>
              <w:t>800</w:t>
            </w:r>
          </w:p>
        </w:tc>
        <w:tc>
          <w:tcPr>
            <w:tcW w:w="567" w:type="dxa"/>
            <w:tcBorders>
              <w:top w:val="nil"/>
              <w:left w:val="single" w:sz="4" w:space="0" w:color="auto"/>
              <w:bottom w:val="single" w:sz="4" w:space="0" w:color="auto"/>
              <w:right w:val="nil"/>
            </w:tcBorders>
            <w:shd w:val="clear" w:color="auto" w:fill="auto"/>
            <w:noWrap/>
            <w:vAlign w:val="center"/>
            <w:hideMark/>
          </w:tcPr>
          <w:p w14:paraId="3B18061C" w14:textId="77777777" w:rsidR="00387142" w:rsidRPr="008B6A75" w:rsidRDefault="00387142" w:rsidP="00387142">
            <w:pPr>
              <w:jc w:val="center"/>
              <w:rPr>
                <w:sz w:val="20"/>
                <w:szCs w:val="20"/>
              </w:rPr>
            </w:pPr>
            <w:r w:rsidRPr="008B6A75">
              <w:rPr>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23AF3CEF" w14:textId="77777777" w:rsidR="00387142" w:rsidRPr="008B6A75" w:rsidRDefault="00387142" w:rsidP="00387142">
            <w:pPr>
              <w:jc w:val="center"/>
              <w:rPr>
                <w:sz w:val="20"/>
                <w:szCs w:val="20"/>
              </w:rPr>
            </w:pPr>
            <w:r w:rsidRPr="008B6A75">
              <w:rPr>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4C171B9" w14:textId="77777777" w:rsidR="00387142" w:rsidRPr="008B6A75" w:rsidRDefault="00387142" w:rsidP="00387142">
            <w:pPr>
              <w:jc w:val="right"/>
              <w:rPr>
                <w:sz w:val="20"/>
                <w:szCs w:val="20"/>
              </w:rPr>
            </w:pPr>
            <w:r w:rsidRPr="008B6A75">
              <w:rPr>
                <w:sz w:val="20"/>
                <w:szCs w:val="20"/>
              </w:rPr>
              <w:t>1 700 000,00</w:t>
            </w:r>
          </w:p>
        </w:tc>
        <w:tc>
          <w:tcPr>
            <w:tcW w:w="851" w:type="dxa"/>
            <w:tcBorders>
              <w:top w:val="nil"/>
              <w:left w:val="single" w:sz="4" w:space="0" w:color="auto"/>
              <w:bottom w:val="single" w:sz="4" w:space="0" w:color="auto"/>
              <w:right w:val="nil"/>
            </w:tcBorders>
            <w:shd w:val="clear" w:color="auto" w:fill="auto"/>
            <w:noWrap/>
            <w:vAlign w:val="center"/>
            <w:hideMark/>
          </w:tcPr>
          <w:p w14:paraId="5C3471F7" w14:textId="77777777" w:rsidR="00387142" w:rsidRPr="008B6A75" w:rsidRDefault="00387142" w:rsidP="00387142">
            <w:pPr>
              <w:jc w:val="right"/>
              <w:rPr>
                <w:sz w:val="20"/>
                <w:szCs w:val="20"/>
              </w:rPr>
            </w:pPr>
            <w:r w:rsidRPr="008B6A75">
              <w:rPr>
                <w:sz w:val="20"/>
                <w:szCs w:val="20"/>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6304ED91" w14:textId="77777777" w:rsidR="00387142" w:rsidRPr="008B6A75" w:rsidRDefault="00387142" w:rsidP="00387142">
            <w:pPr>
              <w:jc w:val="right"/>
              <w:rPr>
                <w:sz w:val="20"/>
                <w:szCs w:val="20"/>
              </w:rPr>
            </w:pPr>
            <w:r w:rsidRPr="008B6A75">
              <w:rPr>
                <w:sz w:val="20"/>
                <w:szCs w:val="20"/>
              </w:rPr>
              <w:t>0,00</w:t>
            </w:r>
          </w:p>
        </w:tc>
      </w:tr>
      <w:tr w:rsidR="00387142" w:rsidRPr="008B6A75" w14:paraId="2CB3FCAA" w14:textId="77777777" w:rsidTr="00387142">
        <w:trPr>
          <w:trHeight w:val="1155"/>
        </w:trPr>
        <w:tc>
          <w:tcPr>
            <w:tcW w:w="272" w:type="dxa"/>
            <w:tcBorders>
              <w:top w:val="nil"/>
              <w:left w:val="nil"/>
              <w:bottom w:val="nil"/>
              <w:right w:val="single" w:sz="4" w:space="0" w:color="auto"/>
            </w:tcBorders>
            <w:shd w:val="clear" w:color="auto" w:fill="auto"/>
            <w:noWrap/>
            <w:vAlign w:val="bottom"/>
            <w:hideMark/>
          </w:tcPr>
          <w:p w14:paraId="4DCD0F22"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4ECA6890" w14:textId="77777777" w:rsidR="00387142" w:rsidRPr="008B6A75" w:rsidRDefault="00387142" w:rsidP="00387142">
            <w:pPr>
              <w:rPr>
                <w:sz w:val="20"/>
                <w:szCs w:val="20"/>
              </w:rPr>
            </w:pPr>
            <w:r w:rsidRPr="008B6A75">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59" w:type="dxa"/>
            <w:tcBorders>
              <w:top w:val="nil"/>
              <w:left w:val="single" w:sz="4" w:space="0" w:color="auto"/>
              <w:bottom w:val="single" w:sz="4" w:space="0" w:color="auto"/>
              <w:right w:val="nil"/>
            </w:tcBorders>
            <w:shd w:val="clear" w:color="auto" w:fill="auto"/>
            <w:noWrap/>
            <w:vAlign w:val="center"/>
            <w:hideMark/>
          </w:tcPr>
          <w:p w14:paraId="461A34A7" w14:textId="77777777" w:rsidR="00387142" w:rsidRPr="008B6A75" w:rsidRDefault="00387142" w:rsidP="00387142">
            <w:pPr>
              <w:jc w:val="center"/>
              <w:rPr>
                <w:sz w:val="20"/>
                <w:szCs w:val="20"/>
              </w:rPr>
            </w:pPr>
            <w:r w:rsidRPr="008B6A75">
              <w:rPr>
                <w:sz w:val="20"/>
                <w:szCs w:val="20"/>
              </w:rPr>
              <w:t>02.0.00.49500</w:t>
            </w:r>
          </w:p>
        </w:tc>
        <w:tc>
          <w:tcPr>
            <w:tcW w:w="850" w:type="dxa"/>
            <w:tcBorders>
              <w:top w:val="nil"/>
              <w:left w:val="single" w:sz="4" w:space="0" w:color="auto"/>
              <w:bottom w:val="single" w:sz="4" w:space="0" w:color="auto"/>
              <w:right w:val="nil"/>
            </w:tcBorders>
            <w:shd w:val="clear" w:color="auto" w:fill="auto"/>
            <w:noWrap/>
            <w:vAlign w:val="center"/>
            <w:hideMark/>
          </w:tcPr>
          <w:p w14:paraId="7662CA6C" w14:textId="77777777" w:rsidR="00387142" w:rsidRPr="008B6A75" w:rsidRDefault="00387142" w:rsidP="00387142">
            <w:pPr>
              <w:jc w:val="center"/>
              <w:rPr>
                <w:sz w:val="20"/>
                <w:szCs w:val="20"/>
              </w:rPr>
            </w:pPr>
            <w:r w:rsidRPr="008B6A75">
              <w:rPr>
                <w:sz w:val="20"/>
                <w:szCs w:val="20"/>
              </w:rPr>
              <w:t>810</w:t>
            </w:r>
          </w:p>
        </w:tc>
        <w:tc>
          <w:tcPr>
            <w:tcW w:w="567" w:type="dxa"/>
            <w:tcBorders>
              <w:top w:val="nil"/>
              <w:left w:val="single" w:sz="4" w:space="0" w:color="auto"/>
              <w:bottom w:val="single" w:sz="4" w:space="0" w:color="auto"/>
              <w:right w:val="nil"/>
            </w:tcBorders>
            <w:shd w:val="clear" w:color="auto" w:fill="auto"/>
            <w:noWrap/>
            <w:vAlign w:val="center"/>
            <w:hideMark/>
          </w:tcPr>
          <w:p w14:paraId="46FC96AE" w14:textId="77777777" w:rsidR="00387142" w:rsidRPr="008B6A75" w:rsidRDefault="00387142" w:rsidP="00387142">
            <w:pPr>
              <w:jc w:val="center"/>
              <w:rPr>
                <w:sz w:val="20"/>
                <w:szCs w:val="20"/>
              </w:rPr>
            </w:pPr>
            <w:r w:rsidRPr="008B6A75">
              <w:rPr>
                <w:sz w:val="20"/>
                <w:szCs w:val="20"/>
              </w:rPr>
              <w:t>04</w:t>
            </w:r>
          </w:p>
        </w:tc>
        <w:tc>
          <w:tcPr>
            <w:tcW w:w="567" w:type="dxa"/>
            <w:tcBorders>
              <w:top w:val="nil"/>
              <w:left w:val="single" w:sz="4" w:space="0" w:color="auto"/>
              <w:bottom w:val="single" w:sz="4" w:space="0" w:color="auto"/>
              <w:right w:val="nil"/>
            </w:tcBorders>
            <w:shd w:val="clear" w:color="auto" w:fill="auto"/>
            <w:noWrap/>
            <w:vAlign w:val="center"/>
            <w:hideMark/>
          </w:tcPr>
          <w:p w14:paraId="632D7E61" w14:textId="77777777" w:rsidR="00387142" w:rsidRPr="008B6A75" w:rsidRDefault="00387142" w:rsidP="00387142">
            <w:pPr>
              <w:jc w:val="center"/>
              <w:rPr>
                <w:sz w:val="20"/>
                <w:szCs w:val="20"/>
              </w:rPr>
            </w:pPr>
            <w:r w:rsidRPr="008B6A75">
              <w:rPr>
                <w:sz w:val="20"/>
                <w:szCs w:val="20"/>
              </w:rPr>
              <w:t>12</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3564207" w14:textId="77777777" w:rsidR="00387142" w:rsidRPr="008B6A75" w:rsidRDefault="00387142" w:rsidP="00387142">
            <w:pPr>
              <w:jc w:val="right"/>
              <w:rPr>
                <w:sz w:val="20"/>
                <w:szCs w:val="20"/>
              </w:rPr>
            </w:pPr>
            <w:r w:rsidRPr="008B6A75">
              <w:rPr>
                <w:sz w:val="20"/>
                <w:szCs w:val="20"/>
              </w:rPr>
              <w:t>1 700 000,00</w:t>
            </w:r>
          </w:p>
        </w:tc>
        <w:tc>
          <w:tcPr>
            <w:tcW w:w="851" w:type="dxa"/>
            <w:tcBorders>
              <w:top w:val="nil"/>
              <w:left w:val="single" w:sz="4" w:space="0" w:color="auto"/>
              <w:bottom w:val="single" w:sz="4" w:space="0" w:color="auto"/>
              <w:right w:val="nil"/>
            </w:tcBorders>
            <w:shd w:val="clear" w:color="auto" w:fill="auto"/>
            <w:noWrap/>
            <w:vAlign w:val="center"/>
            <w:hideMark/>
          </w:tcPr>
          <w:p w14:paraId="7F2FEADE" w14:textId="77777777" w:rsidR="00387142" w:rsidRPr="008B6A75" w:rsidRDefault="00387142" w:rsidP="00387142">
            <w:pPr>
              <w:jc w:val="right"/>
              <w:rPr>
                <w:sz w:val="20"/>
                <w:szCs w:val="20"/>
              </w:rPr>
            </w:pPr>
            <w:r w:rsidRPr="008B6A75">
              <w:rPr>
                <w:sz w:val="20"/>
                <w:szCs w:val="20"/>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6C524F2A" w14:textId="77777777" w:rsidR="00387142" w:rsidRPr="008B6A75" w:rsidRDefault="00387142" w:rsidP="00387142">
            <w:pPr>
              <w:jc w:val="right"/>
              <w:rPr>
                <w:sz w:val="20"/>
                <w:szCs w:val="20"/>
              </w:rPr>
            </w:pPr>
            <w:r w:rsidRPr="008B6A75">
              <w:rPr>
                <w:sz w:val="20"/>
                <w:szCs w:val="20"/>
              </w:rPr>
              <w:t>0,00</w:t>
            </w:r>
          </w:p>
        </w:tc>
      </w:tr>
      <w:tr w:rsidR="00387142" w:rsidRPr="008B6A75" w14:paraId="741C1F8F" w14:textId="77777777" w:rsidTr="00387142">
        <w:trPr>
          <w:trHeight w:val="2295"/>
        </w:trPr>
        <w:tc>
          <w:tcPr>
            <w:tcW w:w="272" w:type="dxa"/>
            <w:tcBorders>
              <w:top w:val="nil"/>
              <w:left w:val="nil"/>
              <w:bottom w:val="nil"/>
              <w:right w:val="single" w:sz="4" w:space="0" w:color="auto"/>
            </w:tcBorders>
            <w:shd w:val="clear" w:color="auto" w:fill="auto"/>
            <w:noWrap/>
            <w:vAlign w:val="bottom"/>
            <w:hideMark/>
          </w:tcPr>
          <w:p w14:paraId="0FF0C9B9"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23776805" w14:textId="77777777" w:rsidR="00387142" w:rsidRPr="008B6A75" w:rsidRDefault="00387142" w:rsidP="00387142">
            <w:pPr>
              <w:rPr>
                <w:bCs/>
                <w:sz w:val="20"/>
                <w:szCs w:val="20"/>
              </w:rPr>
            </w:pPr>
            <w:r w:rsidRPr="008B6A75">
              <w:rPr>
                <w:bCs/>
                <w:sz w:val="20"/>
                <w:szCs w:val="20"/>
              </w:rPr>
              <w:t xml:space="preserve">Реализация мероприятий на </w:t>
            </w:r>
            <w:proofErr w:type="spellStart"/>
            <w:r w:rsidRPr="008B6A75">
              <w:rPr>
                <w:bCs/>
                <w:sz w:val="20"/>
                <w:szCs w:val="20"/>
              </w:rPr>
              <w:t>софинансирование</w:t>
            </w:r>
            <w:proofErr w:type="spellEnd"/>
            <w:r w:rsidRPr="008B6A75">
              <w:rPr>
                <w:bCs/>
                <w:sz w:val="20"/>
                <w:szCs w:val="20"/>
              </w:rPr>
              <w:t xml:space="preserve"> муниципальных программ развития малого и среднего предпринимательства государственной программы Новосибирской области «Развитие субъектов малого и среднего предпринимательства в Новосибирской области»</w:t>
            </w:r>
          </w:p>
        </w:tc>
        <w:tc>
          <w:tcPr>
            <w:tcW w:w="1559" w:type="dxa"/>
            <w:tcBorders>
              <w:top w:val="nil"/>
              <w:left w:val="single" w:sz="4" w:space="0" w:color="auto"/>
              <w:bottom w:val="single" w:sz="4" w:space="0" w:color="auto"/>
              <w:right w:val="nil"/>
            </w:tcBorders>
            <w:shd w:val="clear" w:color="auto" w:fill="auto"/>
            <w:noWrap/>
            <w:vAlign w:val="center"/>
            <w:hideMark/>
          </w:tcPr>
          <w:p w14:paraId="36DE48EE" w14:textId="77777777" w:rsidR="00387142" w:rsidRPr="008B6A75" w:rsidRDefault="00387142" w:rsidP="00387142">
            <w:pPr>
              <w:jc w:val="center"/>
              <w:rPr>
                <w:bCs/>
                <w:sz w:val="20"/>
                <w:szCs w:val="20"/>
              </w:rPr>
            </w:pPr>
            <w:r w:rsidRPr="008B6A75">
              <w:rPr>
                <w:bCs/>
                <w:sz w:val="20"/>
                <w:szCs w:val="20"/>
              </w:rPr>
              <w:t>02.0.00.70690</w:t>
            </w:r>
          </w:p>
        </w:tc>
        <w:tc>
          <w:tcPr>
            <w:tcW w:w="850" w:type="dxa"/>
            <w:tcBorders>
              <w:top w:val="nil"/>
              <w:left w:val="single" w:sz="4" w:space="0" w:color="auto"/>
              <w:bottom w:val="single" w:sz="4" w:space="0" w:color="auto"/>
              <w:right w:val="nil"/>
            </w:tcBorders>
            <w:shd w:val="clear" w:color="auto" w:fill="auto"/>
            <w:noWrap/>
            <w:vAlign w:val="center"/>
            <w:hideMark/>
          </w:tcPr>
          <w:p w14:paraId="08A0A662" w14:textId="77777777" w:rsidR="00387142" w:rsidRPr="008B6A75" w:rsidRDefault="00387142" w:rsidP="00387142">
            <w:pPr>
              <w:jc w:val="center"/>
              <w:rPr>
                <w:bCs/>
                <w:sz w:val="20"/>
                <w:szCs w:val="20"/>
              </w:rPr>
            </w:pPr>
            <w:r w:rsidRPr="008B6A75">
              <w:rPr>
                <w:bCs/>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161BC1DD" w14:textId="77777777" w:rsidR="00387142" w:rsidRPr="008B6A75" w:rsidRDefault="00387142" w:rsidP="00387142">
            <w:pPr>
              <w:jc w:val="center"/>
              <w:rPr>
                <w:bCs/>
                <w:sz w:val="20"/>
                <w:szCs w:val="20"/>
              </w:rPr>
            </w:pPr>
            <w:r w:rsidRPr="008B6A75">
              <w:rPr>
                <w:bCs/>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41E900F8" w14:textId="77777777" w:rsidR="00387142" w:rsidRPr="008B6A75" w:rsidRDefault="00387142" w:rsidP="00387142">
            <w:pPr>
              <w:jc w:val="center"/>
              <w:rPr>
                <w:bCs/>
                <w:sz w:val="20"/>
                <w:szCs w:val="20"/>
              </w:rPr>
            </w:pPr>
            <w:r w:rsidRPr="008B6A75">
              <w:rPr>
                <w:bCs/>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2D70116" w14:textId="77777777" w:rsidR="00387142" w:rsidRPr="008B6A75" w:rsidRDefault="00387142" w:rsidP="00387142">
            <w:pPr>
              <w:jc w:val="right"/>
              <w:rPr>
                <w:bCs/>
                <w:sz w:val="20"/>
                <w:szCs w:val="20"/>
              </w:rPr>
            </w:pPr>
            <w:r w:rsidRPr="008B6A75">
              <w:rPr>
                <w:bCs/>
                <w:sz w:val="20"/>
                <w:szCs w:val="20"/>
              </w:rPr>
              <w:t>204 200,00</w:t>
            </w:r>
          </w:p>
        </w:tc>
        <w:tc>
          <w:tcPr>
            <w:tcW w:w="851" w:type="dxa"/>
            <w:tcBorders>
              <w:top w:val="nil"/>
              <w:left w:val="single" w:sz="4" w:space="0" w:color="auto"/>
              <w:bottom w:val="single" w:sz="4" w:space="0" w:color="auto"/>
              <w:right w:val="nil"/>
            </w:tcBorders>
            <w:shd w:val="clear" w:color="auto" w:fill="auto"/>
            <w:noWrap/>
            <w:vAlign w:val="center"/>
            <w:hideMark/>
          </w:tcPr>
          <w:p w14:paraId="2D517E69" w14:textId="77777777" w:rsidR="00387142" w:rsidRPr="008B6A75" w:rsidRDefault="00387142" w:rsidP="00387142">
            <w:pPr>
              <w:jc w:val="right"/>
              <w:rPr>
                <w:bCs/>
                <w:sz w:val="20"/>
                <w:szCs w:val="20"/>
              </w:rPr>
            </w:pPr>
            <w:r w:rsidRPr="008B6A75">
              <w:rPr>
                <w:bCs/>
                <w:sz w:val="20"/>
                <w:szCs w:val="20"/>
              </w:rPr>
              <w:t>204 200,00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2A6B5EAF" w14:textId="77777777" w:rsidR="00387142" w:rsidRPr="008B6A75" w:rsidRDefault="00387142" w:rsidP="00387142">
            <w:pPr>
              <w:jc w:val="right"/>
              <w:rPr>
                <w:bCs/>
                <w:sz w:val="20"/>
                <w:szCs w:val="20"/>
              </w:rPr>
            </w:pPr>
            <w:r w:rsidRPr="008B6A75">
              <w:rPr>
                <w:bCs/>
                <w:sz w:val="20"/>
                <w:szCs w:val="20"/>
              </w:rPr>
              <w:t>204 200,00</w:t>
            </w:r>
          </w:p>
        </w:tc>
      </w:tr>
      <w:tr w:rsidR="00387142" w:rsidRPr="008B6A75" w14:paraId="0AAF59D8" w14:textId="77777777" w:rsidTr="00387142">
        <w:trPr>
          <w:trHeight w:val="300"/>
        </w:trPr>
        <w:tc>
          <w:tcPr>
            <w:tcW w:w="272" w:type="dxa"/>
            <w:tcBorders>
              <w:top w:val="nil"/>
              <w:left w:val="nil"/>
              <w:bottom w:val="nil"/>
              <w:right w:val="single" w:sz="4" w:space="0" w:color="auto"/>
            </w:tcBorders>
            <w:shd w:val="clear" w:color="auto" w:fill="auto"/>
            <w:noWrap/>
            <w:vAlign w:val="bottom"/>
            <w:hideMark/>
          </w:tcPr>
          <w:p w14:paraId="75F3B5CB"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21922EE6" w14:textId="77777777" w:rsidR="00387142" w:rsidRPr="008B6A75" w:rsidRDefault="00387142" w:rsidP="00387142">
            <w:pPr>
              <w:rPr>
                <w:sz w:val="20"/>
                <w:szCs w:val="20"/>
              </w:rPr>
            </w:pPr>
            <w:r w:rsidRPr="008B6A75">
              <w:rPr>
                <w:sz w:val="20"/>
                <w:szCs w:val="20"/>
              </w:rPr>
              <w:t>Иные бюджетные ассигнования</w:t>
            </w:r>
          </w:p>
        </w:tc>
        <w:tc>
          <w:tcPr>
            <w:tcW w:w="1559" w:type="dxa"/>
            <w:tcBorders>
              <w:top w:val="nil"/>
              <w:left w:val="single" w:sz="4" w:space="0" w:color="auto"/>
              <w:bottom w:val="single" w:sz="4" w:space="0" w:color="auto"/>
              <w:right w:val="nil"/>
            </w:tcBorders>
            <w:shd w:val="clear" w:color="auto" w:fill="auto"/>
            <w:noWrap/>
            <w:vAlign w:val="center"/>
            <w:hideMark/>
          </w:tcPr>
          <w:p w14:paraId="001DF4AA" w14:textId="77777777" w:rsidR="00387142" w:rsidRPr="008B6A75" w:rsidRDefault="00387142" w:rsidP="00387142">
            <w:pPr>
              <w:jc w:val="center"/>
              <w:rPr>
                <w:sz w:val="20"/>
                <w:szCs w:val="20"/>
              </w:rPr>
            </w:pPr>
            <w:r w:rsidRPr="008B6A75">
              <w:rPr>
                <w:sz w:val="20"/>
                <w:szCs w:val="20"/>
              </w:rPr>
              <w:t>02.0.00.70690</w:t>
            </w:r>
          </w:p>
        </w:tc>
        <w:tc>
          <w:tcPr>
            <w:tcW w:w="850" w:type="dxa"/>
            <w:tcBorders>
              <w:top w:val="nil"/>
              <w:left w:val="single" w:sz="4" w:space="0" w:color="auto"/>
              <w:bottom w:val="single" w:sz="4" w:space="0" w:color="auto"/>
              <w:right w:val="nil"/>
            </w:tcBorders>
            <w:shd w:val="clear" w:color="auto" w:fill="auto"/>
            <w:noWrap/>
            <w:vAlign w:val="center"/>
            <w:hideMark/>
          </w:tcPr>
          <w:p w14:paraId="183FDFB3" w14:textId="77777777" w:rsidR="00387142" w:rsidRPr="008B6A75" w:rsidRDefault="00387142" w:rsidP="00387142">
            <w:pPr>
              <w:jc w:val="center"/>
              <w:rPr>
                <w:sz w:val="20"/>
                <w:szCs w:val="20"/>
              </w:rPr>
            </w:pPr>
            <w:r w:rsidRPr="008B6A75">
              <w:rPr>
                <w:sz w:val="20"/>
                <w:szCs w:val="20"/>
              </w:rPr>
              <w:t>800</w:t>
            </w:r>
          </w:p>
        </w:tc>
        <w:tc>
          <w:tcPr>
            <w:tcW w:w="567" w:type="dxa"/>
            <w:tcBorders>
              <w:top w:val="nil"/>
              <w:left w:val="single" w:sz="4" w:space="0" w:color="auto"/>
              <w:bottom w:val="single" w:sz="4" w:space="0" w:color="auto"/>
              <w:right w:val="nil"/>
            </w:tcBorders>
            <w:shd w:val="clear" w:color="auto" w:fill="auto"/>
            <w:noWrap/>
            <w:vAlign w:val="center"/>
            <w:hideMark/>
          </w:tcPr>
          <w:p w14:paraId="65758382" w14:textId="77777777" w:rsidR="00387142" w:rsidRPr="008B6A75" w:rsidRDefault="00387142" w:rsidP="00387142">
            <w:pPr>
              <w:jc w:val="center"/>
              <w:rPr>
                <w:sz w:val="20"/>
                <w:szCs w:val="20"/>
              </w:rPr>
            </w:pPr>
            <w:r w:rsidRPr="008B6A75">
              <w:rPr>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6843043F" w14:textId="77777777" w:rsidR="00387142" w:rsidRPr="008B6A75" w:rsidRDefault="00387142" w:rsidP="00387142">
            <w:pPr>
              <w:jc w:val="center"/>
              <w:rPr>
                <w:sz w:val="20"/>
                <w:szCs w:val="20"/>
              </w:rPr>
            </w:pPr>
            <w:r w:rsidRPr="008B6A75">
              <w:rPr>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E06D820" w14:textId="77777777" w:rsidR="00387142" w:rsidRPr="008B6A75" w:rsidRDefault="00387142" w:rsidP="00387142">
            <w:pPr>
              <w:jc w:val="right"/>
              <w:rPr>
                <w:sz w:val="20"/>
                <w:szCs w:val="20"/>
              </w:rPr>
            </w:pPr>
            <w:r w:rsidRPr="008B6A75">
              <w:rPr>
                <w:sz w:val="20"/>
                <w:szCs w:val="20"/>
              </w:rPr>
              <w:t>204 200,00</w:t>
            </w:r>
          </w:p>
        </w:tc>
        <w:tc>
          <w:tcPr>
            <w:tcW w:w="851" w:type="dxa"/>
            <w:tcBorders>
              <w:top w:val="nil"/>
              <w:left w:val="single" w:sz="4" w:space="0" w:color="auto"/>
              <w:bottom w:val="single" w:sz="4" w:space="0" w:color="auto"/>
              <w:right w:val="nil"/>
            </w:tcBorders>
            <w:shd w:val="clear" w:color="auto" w:fill="auto"/>
            <w:noWrap/>
            <w:vAlign w:val="center"/>
            <w:hideMark/>
          </w:tcPr>
          <w:p w14:paraId="179E2B67" w14:textId="77777777" w:rsidR="00387142" w:rsidRPr="008B6A75" w:rsidRDefault="00387142" w:rsidP="00387142">
            <w:pPr>
              <w:jc w:val="right"/>
              <w:rPr>
                <w:sz w:val="20"/>
                <w:szCs w:val="20"/>
              </w:rPr>
            </w:pPr>
            <w:r w:rsidRPr="008B6A75">
              <w:rPr>
                <w:sz w:val="20"/>
                <w:szCs w:val="20"/>
              </w:rPr>
              <w:t>204 200,00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29F3D7ED" w14:textId="77777777" w:rsidR="00387142" w:rsidRPr="008B6A75" w:rsidRDefault="00387142" w:rsidP="00387142">
            <w:pPr>
              <w:jc w:val="right"/>
              <w:rPr>
                <w:sz w:val="20"/>
                <w:szCs w:val="20"/>
              </w:rPr>
            </w:pPr>
            <w:r w:rsidRPr="008B6A75">
              <w:rPr>
                <w:sz w:val="20"/>
                <w:szCs w:val="20"/>
              </w:rPr>
              <w:t>204 200,00</w:t>
            </w:r>
          </w:p>
        </w:tc>
      </w:tr>
      <w:tr w:rsidR="00387142" w:rsidRPr="008B6A75" w14:paraId="1BBF2BE2" w14:textId="77777777" w:rsidTr="00387142">
        <w:trPr>
          <w:trHeight w:val="1155"/>
        </w:trPr>
        <w:tc>
          <w:tcPr>
            <w:tcW w:w="272" w:type="dxa"/>
            <w:tcBorders>
              <w:top w:val="nil"/>
              <w:left w:val="nil"/>
              <w:bottom w:val="nil"/>
              <w:right w:val="single" w:sz="4" w:space="0" w:color="auto"/>
            </w:tcBorders>
            <w:shd w:val="clear" w:color="auto" w:fill="auto"/>
            <w:noWrap/>
            <w:vAlign w:val="bottom"/>
            <w:hideMark/>
          </w:tcPr>
          <w:p w14:paraId="04167689"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6CCE08AF" w14:textId="77777777" w:rsidR="00387142" w:rsidRPr="008B6A75" w:rsidRDefault="00387142" w:rsidP="00387142">
            <w:pPr>
              <w:rPr>
                <w:sz w:val="20"/>
                <w:szCs w:val="20"/>
              </w:rPr>
            </w:pPr>
            <w:r w:rsidRPr="008B6A75">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59" w:type="dxa"/>
            <w:tcBorders>
              <w:top w:val="nil"/>
              <w:left w:val="single" w:sz="4" w:space="0" w:color="auto"/>
              <w:bottom w:val="single" w:sz="4" w:space="0" w:color="auto"/>
              <w:right w:val="nil"/>
            </w:tcBorders>
            <w:shd w:val="clear" w:color="auto" w:fill="auto"/>
            <w:noWrap/>
            <w:vAlign w:val="center"/>
            <w:hideMark/>
          </w:tcPr>
          <w:p w14:paraId="37301424" w14:textId="77777777" w:rsidR="00387142" w:rsidRPr="008B6A75" w:rsidRDefault="00387142" w:rsidP="00387142">
            <w:pPr>
              <w:jc w:val="center"/>
              <w:rPr>
                <w:sz w:val="20"/>
                <w:szCs w:val="20"/>
              </w:rPr>
            </w:pPr>
            <w:r w:rsidRPr="008B6A75">
              <w:rPr>
                <w:sz w:val="20"/>
                <w:szCs w:val="20"/>
              </w:rPr>
              <w:t>02.0.00.70690</w:t>
            </w:r>
          </w:p>
        </w:tc>
        <w:tc>
          <w:tcPr>
            <w:tcW w:w="850" w:type="dxa"/>
            <w:tcBorders>
              <w:top w:val="nil"/>
              <w:left w:val="single" w:sz="4" w:space="0" w:color="auto"/>
              <w:bottom w:val="single" w:sz="4" w:space="0" w:color="auto"/>
              <w:right w:val="nil"/>
            </w:tcBorders>
            <w:shd w:val="clear" w:color="auto" w:fill="auto"/>
            <w:noWrap/>
            <w:vAlign w:val="center"/>
            <w:hideMark/>
          </w:tcPr>
          <w:p w14:paraId="4A817894" w14:textId="77777777" w:rsidR="00387142" w:rsidRPr="008B6A75" w:rsidRDefault="00387142" w:rsidP="00387142">
            <w:pPr>
              <w:jc w:val="center"/>
              <w:rPr>
                <w:sz w:val="20"/>
                <w:szCs w:val="20"/>
              </w:rPr>
            </w:pPr>
            <w:r w:rsidRPr="008B6A75">
              <w:rPr>
                <w:sz w:val="20"/>
                <w:szCs w:val="20"/>
              </w:rPr>
              <w:t>810</w:t>
            </w:r>
          </w:p>
        </w:tc>
        <w:tc>
          <w:tcPr>
            <w:tcW w:w="567" w:type="dxa"/>
            <w:tcBorders>
              <w:top w:val="nil"/>
              <w:left w:val="single" w:sz="4" w:space="0" w:color="auto"/>
              <w:bottom w:val="single" w:sz="4" w:space="0" w:color="auto"/>
              <w:right w:val="nil"/>
            </w:tcBorders>
            <w:shd w:val="clear" w:color="auto" w:fill="auto"/>
            <w:noWrap/>
            <w:vAlign w:val="center"/>
            <w:hideMark/>
          </w:tcPr>
          <w:p w14:paraId="63FB94E3" w14:textId="77777777" w:rsidR="00387142" w:rsidRPr="008B6A75" w:rsidRDefault="00387142" w:rsidP="00387142">
            <w:pPr>
              <w:jc w:val="center"/>
              <w:rPr>
                <w:sz w:val="20"/>
                <w:szCs w:val="20"/>
              </w:rPr>
            </w:pPr>
            <w:r w:rsidRPr="008B6A75">
              <w:rPr>
                <w:sz w:val="20"/>
                <w:szCs w:val="20"/>
              </w:rPr>
              <w:t>04</w:t>
            </w:r>
          </w:p>
        </w:tc>
        <w:tc>
          <w:tcPr>
            <w:tcW w:w="567" w:type="dxa"/>
            <w:tcBorders>
              <w:top w:val="nil"/>
              <w:left w:val="single" w:sz="4" w:space="0" w:color="auto"/>
              <w:bottom w:val="single" w:sz="4" w:space="0" w:color="auto"/>
              <w:right w:val="nil"/>
            </w:tcBorders>
            <w:shd w:val="clear" w:color="auto" w:fill="auto"/>
            <w:noWrap/>
            <w:vAlign w:val="center"/>
            <w:hideMark/>
          </w:tcPr>
          <w:p w14:paraId="458BC179" w14:textId="77777777" w:rsidR="00387142" w:rsidRPr="008B6A75" w:rsidRDefault="00387142" w:rsidP="00387142">
            <w:pPr>
              <w:jc w:val="center"/>
              <w:rPr>
                <w:sz w:val="20"/>
                <w:szCs w:val="20"/>
              </w:rPr>
            </w:pPr>
            <w:r w:rsidRPr="008B6A75">
              <w:rPr>
                <w:sz w:val="20"/>
                <w:szCs w:val="20"/>
              </w:rPr>
              <w:t>12</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D8A2636" w14:textId="77777777" w:rsidR="00387142" w:rsidRPr="008B6A75" w:rsidRDefault="00387142" w:rsidP="00387142">
            <w:pPr>
              <w:jc w:val="right"/>
              <w:rPr>
                <w:sz w:val="20"/>
                <w:szCs w:val="20"/>
              </w:rPr>
            </w:pPr>
            <w:r w:rsidRPr="008B6A75">
              <w:rPr>
                <w:sz w:val="20"/>
                <w:szCs w:val="20"/>
              </w:rPr>
              <w:t>204 200,00</w:t>
            </w:r>
          </w:p>
        </w:tc>
        <w:tc>
          <w:tcPr>
            <w:tcW w:w="851" w:type="dxa"/>
            <w:tcBorders>
              <w:top w:val="nil"/>
              <w:left w:val="single" w:sz="4" w:space="0" w:color="auto"/>
              <w:bottom w:val="single" w:sz="4" w:space="0" w:color="auto"/>
              <w:right w:val="nil"/>
            </w:tcBorders>
            <w:shd w:val="clear" w:color="auto" w:fill="auto"/>
            <w:noWrap/>
            <w:vAlign w:val="center"/>
            <w:hideMark/>
          </w:tcPr>
          <w:p w14:paraId="57E8A4A1" w14:textId="77777777" w:rsidR="00387142" w:rsidRPr="008B6A75" w:rsidRDefault="00387142" w:rsidP="00387142">
            <w:pPr>
              <w:jc w:val="right"/>
              <w:rPr>
                <w:sz w:val="20"/>
                <w:szCs w:val="20"/>
              </w:rPr>
            </w:pPr>
            <w:r w:rsidRPr="008B6A75">
              <w:rPr>
                <w:sz w:val="20"/>
                <w:szCs w:val="20"/>
              </w:rPr>
              <w:t>204 200,00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1300AB7A" w14:textId="77777777" w:rsidR="00387142" w:rsidRPr="008B6A75" w:rsidRDefault="00387142" w:rsidP="00387142">
            <w:pPr>
              <w:jc w:val="right"/>
              <w:rPr>
                <w:sz w:val="20"/>
                <w:szCs w:val="20"/>
              </w:rPr>
            </w:pPr>
            <w:r w:rsidRPr="008B6A75">
              <w:rPr>
                <w:sz w:val="20"/>
                <w:szCs w:val="20"/>
              </w:rPr>
              <w:t>204 200,00</w:t>
            </w:r>
          </w:p>
        </w:tc>
      </w:tr>
      <w:tr w:rsidR="00387142" w:rsidRPr="008B6A75" w14:paraId="5891E0A5" w14:textId="77777777" w:rsidTr="00387142">
        <w:trPr>
          <w:trHeight w:val="585"/>
        </w:trPr>
        <w:tc>
          <w:tcPr>
            <w:tcW w:w="272" w:type="dxa"/>
            <w:tcBorders>
              <w:top w:val="nil"/>
              <w:left w:val="nil"/>
              <w:bottom w:val="nil"/>
              <w:right w:val="single" w:sz="4" w:space="0" w:color="auto"/>
            </w:tcBorders>
            <w:shd w:val="clear" w:color="auto" w:fill="auto"/>
            <w:noWrap/>
            <w:vAlign w:val="bottom"/>
            <w:hideMark/>
          </w:tcPr>
          <w:p w14:paraId="1003384C" w14:textId="77777777" w:rsidR="00387142" w:rsidRPr="008B6A75" w:rsidRDefault="00387142" w:rsidP="00387142">
            <w:pPr>
              <w:rPr>
                <w:sz w:val="20"/>
                <w:szCs w:val="20"/>
              </w:rPr>
            </w:pPr>
            <w:r w:rsidRPr="008B6A75">
              <w:rPr>
                <w:sz w:val="20"/>
                <w:szCs w:val="20"/>
              </w:rPr>
              <w:lastRenderedPageBreak/>
              <w:t> </w:t>
            </w:r>
          </w:p>
        </w:tc>
        <w:tc>
          <w:tcPr>
            <w:tcW w:w="3415" w:type="dxa"/>
            <w:tcBorders>
              <w:top w:val="nil"/>
              <w:left w:val="single" w:sz="4" w:space="0" w:color="auto"/>
              <w:bottom w:val="single" w:sz="4" w:space="0" w:color="auto"/>
              <w:right w:val="nil"/>
            </w:tcBorders>
            <w:shd w:val="clear" w:color="auto" w:fill="auto"/>
            <w:vAlign w:val="center"/>
            <w:hideMark/>
          </w:tcPr>
          <w:p w14:paraId="6693821D" w14:textId="77777777" w:rsidR="00387142" w:rsidRPr="008B6A75" w:rsidRDefault="00387142" w:rsidP="00387142">
            <w:pPr>
              <w:rPr>
                <w:bCs/>
                <w:sz w:val="20"/>
                <w:szCs w:val="20"/>
              </w:rPr>
            </w:pPr>
            <w:r w:rsidRPr="008B6A75">
              <w:rPr>
                <w:bCs/>
                <w:sz w:val="20"/>
                <w:szCs w:val="20"/>
              </w:rPr>
              <w:t>Муниципальная программа "Патриотическое воспитание граждан Куйбышевского района"</w:t>
            </w:r>
          </w:p>
        </w:tc>
        <w:tc>
          <w:tcPr>
            <w:tcW w:w="1559" w:type="dxa"/>
            <w:tcBorders>
              <w:top w:val="nil"/>
              <w:left w:val="single" w:sz="4" w:space="0" w:color="auto"/>
              <w:bottom w:val="single" w:sz="4" w:space="0" w:color="auto"/>
              <w:right w:val="nil"/>
            </w:tcBorders>
            <w:shd w:val="clear" w:color="auto" w:fill="auto"/>
            <w:noWrap/>
            <w:vAlign w:val="center"/>
            <w:hideMark/>
          </w:tcPr>
          <w:p w14:paraId="43F38FD1" w14:textId="77777777" w:rsidR="00387142" w:rsidRPr="008B6A75" w:rsidRDefault="00387142" w:rsidP="00387142">
            <w:pPr>
              <w:jc w:val="center"/>
              <w:rPr>
                <w:bCs/>
                <w:sz w:val="20"/>
                <w:szCs w:val="20"/>
              </w:rPr>
            </w:pPr>
            <w:r w:rsidRPr="008B6A75">
              <w:rPr>
                <w:bCs/>
                <w:sz w:val="20"/>
                <w:szCs w:val="20"/>
              </w:rPr>
              <w:t>03.0.00.00000</w:t>
            </w:r>
          </w:p>
        </w:tc>
        <w:tc>
          <w:tcPr>
            <w:tcW w:w="850" w:type="dxa"/>
            <w:tcBorders>
              <w:top w:val="nil"/>
              <w:left w:val="single" w:sz="4" w:space="0" w:color="auto"/>
              <w:bottom w:val="single" w:sz="4" w:space="0" w:color="auto"/>
              <w:right w:val="nil"/>
            </w:tcBorders>
            <w:shd w:val="clear" w:color="auto" w:fill="auto"/>
            <w:noWrap/>
            <w:vAlign w:val="center"/>
            <w:hideMark/>
          </w:tcPr>
          <w:p w14:paraId="71E1135F" w14:textId="77777777" w:rsidR="00387142" w:rsidRPr="008B6A75" w:rsidRDefault="00387142" w:rsidP="00387142">
            <w:pPr>
              <w:jc w:val="center"/>
              <w:rPr>
                <w:bCs/>
                <w:sz w:val="20"/>
                <w:szCs w:val="20"/>
              </w:rPr>
            </w:pPr>
            <w:r w:rsidRPr="008B6A75">
              <w:rPr>
                <w:bCs/>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62B12A88" w14:textId="77777777" w:rsidR="00387142" w:rsidRPr="008B6A75" w:rsidRDefault="00387142" w:rsidP="00387142">
            <w:pPr>
              <w:jc w:val="center"/>
              <w:rPr>
                <w:bCs/>
                <w:sz w:val="20"/>
                <w:szCs w:val="20"/>
              </w:rPr>
            </w:pPr>
            <w:r w:rsidRPr="008B6A75">
              <w:rPr>
                <w:bCs/>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41B98989" w14:textId="77777777" w:rsidR="00387142" w:rsidRPr="008B6A75" w:rsidRDefault="00387142" w:rsidP="00387142">
            <w:pPr>
              <w:jc w:val="center"/>
              <w:rPr>
                <w:bCs/>
                <w:sz w:val="20"/>
                <w:szCs w:val="20"/>
              </w:rPr>
            </w:pPr>
            <w:r w:rsidRPr="008B6A75">
              <w:rPr>
                <w:bCs/>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5DE165A" w14:textId="77777777" w:rsidR="00387142" w:rsidRPr="008B6A75" w:rsidRDefault="00387142" w:rsidP="00387142">
            <w:pPr>
              <w:jc w:val="right"/>
              <w:rPr>
                <w:bCs/>
                <w:sz w:val="20"/>
                <w:szCs w:val="20"/>
              </w:rPr>
            </w:pPr>
            <w:r w:rsidRPr="008B6A75">
              <w:rPr>
                <w:bCs/>
                <w:sz w:val="20"/>
                <w:szCs w:val="20"/>
              </w:rPr>
              <w:t>1 000 000,00</w:t>
            </w:r>
          </w:p>
        </w:tc>
        <w:tc>
          <w:tcPr>
            <w:tcW w:w="851" w:type="dxa"/>
            <w:tcBorders>
              <w:top w:val="nil"/>
              <w:left w:val="single" w:sz="4" w:space="0" w:color="auto"/>
              <w:bottom w:val="single" w:sz="4" w:space="0" w:color="auto"/>
              <w:right w:val="nil"/>
            </w:tcBorders>
            <w:shd w:val="clear" w:color="auto" w:fill="auto"/>
            <w:noWrap/>
            <w:vAlign w:val="center"/>
            <w:hideMark/>
          </w:tcPr>
          <w:p w14:paraId="340C3C69" w14:textId="77777777" w:rsidR="00387142" w:rsidRPr="008B6A75" w:rsidRDefault="00387142" w:rsidP="00387142">
            <w:pPr>
              <w:jc w:val="right"/>
              <w:rPr>
                <w:bCs/>
                <w:sz w:val="20"/>
                <w:szCs w:val="20"/>
              </w:rPr>
            </w:pPr>
            <w:r w:rsidRPr="008B6A75">
              <w:rPr>
                <w:bCs/>
                <w:sz w:val="20"/>
                <w:szCs w:val="20"/>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54764715" w14:textId="77777777" w:rsidR="00387142" w:rsidRPr="008B6A75" w:rsidRDefault="00387142" w:rsidP="00387142">
            <w:pPr>
              <w:jc w:val="right"/>
              <w:rPr>
                <w:bCs/>
                <w:sz w:val="20"/>
                <w:szCs w:val="20"/>
              </w:rPr>
            </w:pPr>
            <w:r w:rsidRPr="008B6A75">
              <w:rPr>
                <w:bCs/>
                <w:sz w:val="20"/>
                <w:szCs w:val="20"/>
              </w:rPr>
              <w:t>0,00</w:t>
            </w:r>
          </w:p>
        </w:tc>
      </w:tr>
      <w:tr w:rsidR="00387142" w:rsidRPr="008B6A75" w14:paraId="2C6294F4" w14:textId="77777777" w:rsidTr="00387142">
        <w:trPr>
          <w:trHeight w:val="870"/>
        </w:trPr>
        <w:tc>
          <w:tcPr>
            <w:tcW w:w="272" w:type="dxa"/>
            <w:tcBorders>
              <w:top w:val="nil"/>
              <w:left w:val="nil"/>
              <w:bottom w:val="nil"/>
              <w:right w:val="single" w:sz="4" w:space="0" w:color="auto"/>
            </w:tcBorders>
            <w:shd w:val="clear" w:color="auto" w:fill="auto"/>
            <w:noWrap/>
            <w:vAlign w:val="bottom"/>
            <w:hideMark/>
          </w:tcPr>
          <w:p w14:paraId="6F6408FC"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6BB98CBA" w14:textId="77777777" w:rsidR="00387142" w:rsidRPr="008B6A75" w:rsidRDefault="00387142" w:rsidP="00387142">
            <w:pPr>
              <w:rPr>
                <w:bCs/>
                <w:sz w:val="20"/>
                <w:szCs w:val="20"/>
              </w:rPr>
            </w:pPr>
            <w:r w:rsidRPr="008B6A75">
              <w:rPr>
                <w:bCs/>
                <w:sz w:val="20"/>
                <w:szCs w:val="20"/>
              </w:rPr>
              <w:t>Реализация мероприятий в рамках МП "Патриотическое воспитание граждан Куйбышевского района"</w:t>
            </w:r>
          </w:p>
        </w:tc>
        <w:tc>
          <w:tcPr>
            <w:tcW w:w="1559" w:type="dxa"/>
            <w:tcBorders>
              <w:top w:val="nil"/>
              <w:left w:val="single" w:sz="4" w:space="0" w:color="auto"/>
              <w:bottom w:val="single" w:sz="4" w:space="0" w:color="auto"/>
              <w:right w:val="nil"/>
            </w:tcBorders>
            <w:shd w:val="clear" w:color="auto" w:fill="auto"/>
            <w:noWrap/>
            <w:vAlign w:val="center"/>
            <w:hideMark/>
          </w:tcPr>
          <w:p w14:paraId="4858AC0A" w14:textId="77777777" w:rsidR="00387142" w:rsidRPr="008B6A75" w:rsidRDefault="00387142" w:rsidP="00387142">
            <w:pPr>
              <w:jc w:val="center"/>
              <w:rPr>
                <w:bCs/>
                <w:sz w:val="20"/>
                <w:szCs w:val="20"/>
              </w:rPr>
            </w:pPr>
            <w:r w:rsidRPr="008B6A75">
              <w:rPr>
                <w:bCs/>
                <w:sz w:val="20"/>
                <w:szCs w:val="20"/>
              </w:rPr>
              <w:t>03.0.00.79500</w:t>
            </w:r>
          </w:p>
        </w:tc>
        <w:tc>
          <w:tcPr>
            <w:tcW w:w="850" w:type="dxa"/>
            <w:tcBorders>
              <w:top w:val="nil"/>
              <w:left w:val="single" w:sz="4" w:space="0" w:color="auto"/>
              <w:bottom w:val="single" w:sz="4" w:space="0" w:color="auto"/>
              <w:right w:val="nil"/>
            </w:tcBorders>
            <w:shd w:val="clear" w:color="auto" w:fill="auto"/>
            <w:noWrap/>
            <w:vAlign w:val="center"/>
            <w:hideMark/>
          </w:tcPr>
          <w:p w14:paraId="0CCCC7D7" w14:textId="77777777" w:rsidR="00387142" w:rsidRPr="008B6A75" w:rsidRDefault="00387142" w:rsidP="00387142">
            <w:pPr>
              <w:jc w:val="center"/>
              <w:rPr>
                <w:bCs/>
                <w:sz w:val="20"/>
                <w:szCs w:val="20"/>
              </w:rPr>
            </w:pPr>
            <w:r w:rsidRPr="008B6A75">
              <w:rPr>
                <w:bCs/>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271B2C2B" w14:textId="77777777" w:rsidR="00387142" w:rsidRPr="008B6A75" w:rsidRDefault="00387142" w:rsidP="00387142">
            <w:pPr>
              <w:jc w:val="center"/>
              <w:rPr>
                <w:bCs/>
                <w:sz w:val="20"/>
                <w:szCs w:val="20"/>
              </w:rPr>
            </w:pPr>
            <w:r w:rsidRPr="008B6A75">
              <w:rPr>
                <w:bCs/>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587A35C7" w14:textId="77777777" w:rsidR="00387142" w:rsidRPr="008B6A75" w:rsidRDefault="00387142" w:rsidP="00387142">
            <w:pPr>
              <w:jc w:val="center"/>
              <w:rPr>
                <w:bCs/>
                <w:sz w:val="20"/>
                <w:szCs w:val="20"/>
              </w:rPr>
            </w:pPr>
            <w:r w:rsidRPr="008B6A75">
              <w:rPr>
                <w:bCs/>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36DEA0F" w14:textId="77777777" w:rsidR="00387142" w:rsidRPr="008B6A75" w:rsidRDefault="00387142" w:rsidP="00387142">
            <w:pPr>
              <w:jc w:val="right"/>
              <w:rPr>
                <w:bCs/>
                <w:sz w:val="20"/>
                <w:szCs w:val="20"/>
              </w:rPr>
            </w:pPr>
            <w:r w:rsidRPr="008B6A75">
              <w:rPr>
                <w:bCs/>
                <w:sz w:val="20"/>
                <w:szCs w:val="20"/>
              </w:rPr>
              <w:t>1 000 000,00</w:t>
            </w:r>
          </w:p>
        </w:tc>
        <w:tc>
          <w:tcPr>
            <w:tcW w:w="851" w:type="dxa"/>
            <w:tcBorders>
              <w:top w:val="nil"/>
              <w:left w:val="single" w:sz="4" w:space="0" w:color="auto"/>
              <w:bottom w:val="single" w:sz="4" w:space="0" w:color="auto"/>
              <w:right w:val="nil"/>
            </w:tcBorders>
            <w:shd w:val="clear" w:color="auto" w:fill="auto"/>
            <w:noWrap/>
            <w:vAlign w:val="center"/>
            <w:hideMark/>
          </w:tcPr>
          <w:p w14:paraId="0AB92854" w14:textId="77777777" w:rsidR="00387142" w:rsidRPr="008B6A75" w:rsidRDefault="00387142" w:rsidP="00387142">
            <w:pPr>
              <w:jc w:val="right"/>
              <w:rPr>
                <w:bCs/>
                <w:sz w:val="20"/>
                <w:szCs w:val="20"/>
              </w:rPr>
            </w:pPr>
            <w:r w:rsidRPr="008B6A75">
              <w:rPr>
                <w:bCs/>
                <w:sz w:val="20"/>
                <w:szCs w:val="20"/>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7C4CE10C" w14:textId="77777777" w:rsidR="00387142" w:rsidRPr="008B6A75" w:rsidRDefault="00387142" w:rsidP="00387142">
            <w:pPr>
              <w:jc w:val="right"/>
              <w:rPr>
                <w:bCs/>
                <w:sz w:val="20"/>
                <w:szCs w:val="20"/>
              </w:rPr>
            </w:pPr>
            <w:r w:rsidRPr="008B6A75">
              <w:rPr>
                <w:bCs/>
                <w:sz w:val="20"/>
                <w:szCs w:val="20"/>
              </w:rPr>
              <w:t>0,00</w:t>
            </w:r>
          </w:p>
        </w:tc>
      </w:tr>
      <w:tr w:rsidR="00387142" w:rsidRPr="008B6A75" w14:paraId="281AE3AE" w14:textId="77777777" w:rsidTr="00387142">
        <w:trPr>
          <w:trHeight w:val="300"/>
        </w:trPr>
        <w:tc>
          <w:tcPr>
            <w:tcW w:w="272" w:type="dxa"/>
            <w:tcBorders>
              <w:top w:val="nil"/>
              <w:left w:val="nil"/>
              <w:bottom w:val="nil"/>
              <w:right w:val="single" w:sz="4" w:space="0" w:color="auto"/>
            </w:tcBorders>
            <w:shd w:val="clear" w:color="auto" w:fill="auto"/>
            <w:noWrap/>
            <w:vAlign w:val="bottom"/>
            <w:hideMark/>
          </w:tcPr>
          <w:p w14:paraId="5CF91766"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5B039E30" w14:textId="77777777" w:rsidR="00387142" w:rsidRPr="008B6A75" w:rsidRDefault="00387142" w:rsidP="00387142">
            <w:pPr>
              <w:rPr>
                <w:sz w:val="20"/>
                <w:szCs w:val="20"/>
              </w:rPr>
            </w:pPr>
            <w:r w:rsidRPr="008B6A75">
              <w:rPr>
                <w:sz w:val="20"/>
                <w:szCs w:val="20"/>
              </w:rPr>
              <w:t>Межбюджетные трансферты</w:t>
            </w:r>
          </w:p>
        </w:tc>
        <w:tc>
          <w:tcPr>
            <w:tcW w:w="1559" w:type="dxa"/>
            <w:tcBorders>
              <w:top w:val="nil"/>
              <w:left w:val="single" w:sz="4" w:space="0" w:color="auto"/>
              <w:bottom w:val="single" w:sz="4" w:space="0" w:color="auto"/>
              <w:right w:val="nil"/>
            </w:tcBorders>
            <w:shd w:val="clear" w:color="auto" w:fill="auto"/>
            <w:noWrap/>
            <w:vAlign w:val="center"/>
            <w:hideMark/>
          </w:tcPr>
          <w:p w14:paraId="34D87420" w14:textId="77777777" w:rsidR="00387142" w:rsidRPr="008B6A75" w:rsidRDefault="00387142" w:rsidP="00387142">
            <w:pPr>
              <w:jc w:val="center"/>
              <w:rPr>
                <w:sz w:val="20"/>
                <w:szCs w:val="20"/>
              </w:rPr>
            </w:pPr>
            <w:r w:rsidRPr="008B6A75">
              <w:rPr>
                <w:sz w:val="20"/>
                <w:szCs w:val="20"/>
              </w:rPr>
              <w:t>03.0.00.79500</w:t>
            </w:r>
          </w:p>
        </w:tc>
        <w:tc>
          <w:tcPr>
            <w:tcW w:w="850" w:type="dxa"/>
            <w:tcBorders>
              <w:top w:val="nil"/>
              <w:left w:val="single" w:sz="4" w:space="0" w:color="auto"/>
              <w:bottom w:val="single" w:sz="4" w:space="0" w:color="auto"/>
              <w:right w:val="nil"/>
            </w:tcBorders>
            <w:shd w:val="clear" w:color="auto" w:fill="auto"/>
            <w:noWrap/>
            <w:vAlign w:val="center"/>
            <w:hideMark/>
          </w:tcPr>
          <w:p w14:paraId="6EEBBD8C" w14:textId="77777777" w:rsidR="00387142" w:rsidRPr="008B6A75" w:rsidRDefault="00387142" w:rsidP="00387142">
            <w:pPr>
              <w:jc w:val="center"/>
              <w:rPr>
                <w:sz w:val="20"/>
                <w:szCs w:val="20"/>
              </w:rPr>
            </w:pPr>
            <w:r w:rsidRPr="008B6A75">
              <w:rPr>
                <w:sz w:val="20"/>
                <w:szCs w:val="20"/>
              </w:rPr>
              <w:t>500</w:t>
            </w:r>
          </w:p>
        </w:tc>
        <w:tc>
          <w:tcPr>
            <w:tcW w:w="567" w:type="dxa"/>
            <w:tcBorders>
              <w:top w:val="nil"/>
              <w:left w:val="single" w:sz="4" w:space="0" w:color="auto"/>
              <w:bottom w:val="single" w:sz="4" w:space="0" w:color="auto"/>
              <w:right w:val="nil"/>
            </w:tcBorders>
            <w:shd w:val="clear" w:color="auto" w:fill="auto"/>
            <w:noWrap/>
            <w:vAlign w:val="center"/>
            <w:hideMark/>
          </w:tcPr>
          <w:p w14:paraId="64D3A077" w14:textId="77777777" w:rsidR="00387142" w:rsidRPr="008B6A75" w:rsidRDefault="00387142" w:rsidP="00387142">
            <w:pPr>
              <w:jc w:val="center"/>
              <w:rPr>
                <w:sz w:val="20"/>
                <w:szCs w:val="20"/>
              </w:rPr>
            </w:pPr>
            <w:r w:rsidRPr="008B6A75">
              <w:rPr>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25BFD1C5" w14:textId="77777777" w:rsidR="00387142" w:rsidRPr="008B6A75" w:rsidRDefault="00387142" w:rsidP="00387142">
            <w:pPr>
              <w:jc w:val="center"/>
              <w:rPr>
                <w:sz w:val="20"/>
                <w:szCs w:val="20"/>
              </w:rPr>
            </w:pPr>
            <w:r w:rsidRPr="008B6A75">
              <w:rPr>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ADF328E" w14:textId="77777777" w:rsidR="00387142" w:rsidRPr="008B6A75" w:rsidRDefault="00387142" w:rsidP="00387142">
            <w:pPr>
              <w:jc w:val="right"/>
              <w:rPr>
                <w:sz w:val="20"/>
                <w:szCs w:val="20"/>
              </w:rPr>
            </w:pPr>
            <w:r w:rsidRPr="008B6A75">
              <w:rPr>
                <w:sz w:val="20"/>
                <w:szCs w:val="20"/>
              </w:rPr>
              <w:t>100 000,00</w:t>
            </w:r>
          </w:p>
        </w:tc>
        <w:tc>
          <w:tcPr>
            <w:tcW w:w="851" w:type="dxa"/>
            <w:tcBorders>
              <w:top w:val="nil"/>
              <w:left w:val="single" w:sz="4" w:space="0" w:color="auto"/>
              <w:bottom w:val="single" w:sz="4" w:space="0" w:color="auto"/>
              <w:right w:val="nil"/>
            </w:tcBorders>
            <w:shd w:val="clear" w:color="auto" w:fill="auto"/>
            <w:noWrap/>
            <w:vAlign w:val="center"/>
            <w:hideMark/>
          </w:tcPr>
          <w:p w14:paraId="6FA35011" w14:textId="77777777" w:rsidR="00387142" w:rsidRPr="008B6A75" w:rsidRDefault="00387142" w:rsidP="00387142">
            <w:pPr>
              <w:jc w:val="right"/>
              <w:rPr>
                <w:sz w:val="20"/>
                <w:szCs w:val="20"/>
              </w:rPr>
            </w:pPr>
            <w:r w:rsidRPr="008B6A75">
              <w:rPr>
                <w:sz w:val="20"/>
                <w:szCs w:val="20"/>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67439E40" w14:textId="77777777" w:rsidR="00387142" w:rsidRPr="008B6A75" w:rsidRDefault="00387142" w:rsidP="00387142">
            <w:pPr>
              <w:jc w:val="right"/>
              <w:rPr>
                <w:sz w:val="20"/>
                <w:szCs w:val="20"/>
              </w:rPr>
            </w:pPr>
            <w:r w:rsidRPr="008B6A75">
              <w:rPr>
                <w:sz w:val="20"/>
                <w:szCs w:val="20"/>
              </w:rPr>
              <w:t>0,00</w:t>
            </w:r>
          </w:p>
        </w:tc>
      </w:tr>
      <w:tr w:rsidR="00387142" w:rsidRPr="008B6A75" w14:paraId="2A2AC14E" w14:textId="77777777" w:rsidTr="00387142">
        <w:trPr>
          <w:trHeight w:val="300"/>
        </w:trPr>
        <w:tc>
          <w:tcPr>
            <w:tcW w:w="272" w:type="dxa"/>
            <w:tcBorders>
              <w:top w:val="nil"/>
              <w:left w:val="nil"/>
              <w:bottom w:val="nil"/>
              <w:right w:val="single" w:sz="4" w:space="0" w:color="auto"/>
            </w:tcBorders>
            <w:shd w:val="clear" w:color="auto" w:fill="auto"/>
            <w:noWrap/>
            <w:vAlign w:val="bottom"/>
            <w:hideMark/>
          </w:tcPr>
          <w:p w14:paraId="2A9D494D"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6F11E690" w14:textId="77777777" w:rsidR="00387142" w:rsidRPr="008B6A75" w:rsidRDefault="00387142" w:rsidP="00387142">
            <w:pPr>
              <w:rPr>
                <w:sz w:val="20"/>
                <w:szCs w:val="20"/>
              </w:rPr>
            </w:pPr>
            <w:r w:rsidRPr="008B6A75">
              <w:rPr>
                <w:sz w:val="20"/>
                <w:szCs w:val="20"/>
              </w:rPr>
              <w:t>Иные межбюджетные трансферты</w:t>
            </w:r>
          </w:p>
        </w:tc>
        <w:tc>
          <w:tcPr>
            <w:tcW w:w="1559" w:type="dxa"/>
            <w:tcBorders>
              <w:top w:val="nil"/>
              <w:left w:val="single" w:sz="4" w:space="0" w:color="auto"/>
              <w:bottom w:val="single" w:sz="4" w:space="0" w:color="auto"/>
              <w:right w:val="nil"/>
            </w:tcBorders>
            <w:shd w:val="clear" w:color="auto" w:fill="auto"/>
            <w:noWrap/>
            <w:vAlign w:val="center"/>
            <w:hideMark/>
          </w:tcPr>
          <w:p w14:paraId="1CC7091E" w14:textId="77777777" w:rsidR="00387142" w:rsidRPr="008B6A75" w:rsidRDefault="00387142" w:rsidP="00387142">
            <w:pPr>
              <w:jc w:val="center"/>
              <w:rPr>
                <w:sz w:val="20"/>
                <w:szCs w:val="20"/>
              </w:rPr>
            </w:pPr>
            <w:r w:rsidRPr="008B6A75">
              <w:rPr>
                <w:sz w:val="20"/>
                <w:szCs w:val="20"/>
              </w:rPr>
              <w:t>03.0.00.79500</w:t>
            </w:r>
          </w:p>
        </w:tc>
        <w:tc>
          <w:tcPr>
            <w:tcW w:w="850" w:type="dxa"/>
            <w:tcBorders>
              <w:top w:val="nil"/>
              <w:left w:val="single" w:sz="4" w:space="0" w:color="auto"/>
              <w:bottom w:val="single" w:sz="4" w:space="0" w:color="auto"/>
              <w:right w:val="nil"/>
            </w:tcBorders>
            <w:shd w:val="clear" w:color="auto" w:fill="auto"/>
            <w:noWrap/>
            <w:vAlign w:val="center"/>
            <w:hideMark/>
          </w:tcPr>
          <w:p w14:paraId="1AB57F78" w14:textId="77777777" w:rsidR="00387142" w:rsidRPr="008B6A75" w:rsidRDefault="00387142" w:rsidP="00387142">
            <w:pPr>
              <w:jc w:val="center"/>
              <w:rPr>
                <w:sz w:val="20"/>
                <w:szCs w:val="20"/>
              </w:rPr>
            </w:pPr>
            <w:r w:rsidRPr="008B6A75">
              <w:rPr>
                <w:sz w:val="20"/>
                <w:szCs w:val="20"/>
              </w:rPr>
              <w:t>540</w:t>
            </w:r>
          </w:p>
        </w:tc>
        <w:tc>
          <w:tcPr>
            <w:tcW w:w="567" w:type="dxa"/>
            <w:tcBorders>
              <w:top w:val="nil"/>
              <w:left w:val="single" w:sz="4" w:space="0" w:color="auto"/>
              <w:bottom w:val="single" w:sz="4" w:space="0" w:color="auto"/>
              <w:right w:val="nil"/>
            </w:tcBorders>
            <w:shd w:val="clear" w:color="auto" w:fill="auto"/>
            <w:noWrap/>
            <w:vAlign w:val="center"/>
            <w:hideMark/>
          </w:tcPr>
          <w:p w14:paraId="3FE7E194" w14:textId="77777777" w:rsidR="00387142" w:rsidRPr="008B6A75" w:rsidRDefault="00387142" w:rsidP="00387142">
            <w:pPr>
              <w:jc w:val="center"/>
              <w:rPr>
                <w:sz w:val="20"/>
                <w:szCs w:val="20"/>
              </w:rPr>
            </w:pPr>
            <w:r w:rsidRPr="008B6A75">
              <w:rPr>
                <w:sz w:val="20"/>
                <w:szCs w:val="20"/>
              </w:rPr>
              <w:t>07</w:t>
            </w:r>
          </w:p>
        </w:tc>
        <w:tc>
          <w:tcPr>
            <w:tcW w:w="567" w:type="dxa"/>
            <w:tcBorders>
              <w:top w:val="nil"/>
              <w:left w:val="single" w:sz="4" w:space="0" w:color="auto"/>
              <w:bottom w:val="single" w:sz="4" w:space="0" w:color="auto"/>
              <w:right w:val="nil"/>
            </w:tcBorders>
            <w:shd w:val="clear" w:color="auto" w:fill="auto"/>
            <w:noWrap/>
            <w:vAlign w:val="center"/>
            <w:hideMark/>
          </w:tcPr>
          <w:p w14:paraId="3DC5D371" w14:textId="77777777" w:rsidR="00387142" w:rsidRPr="008B6A75" w:rsidRDefault="00387142" w:rsidP="00387142">
            <w:pPr>
              <w:jc w:val="center"/>
              <w:rPr>
                <w:sz w:val="20"/>
                <w:szCs w:val="20"/>
              </w:rPr>
            </w:pPr>
            <w:r w:rsidRPr="008B6A75">
              <w:rPr>
                <w:sz w:val="20"/>
                <w:szCs w:val="20"/>
              </w:rPr>
              <w:t>07</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94D665F" w14:textId="77777777" w:rsidR="00387142" w:rsidRPr="008B6A75" w:rsidRDefault="00387142" w:rsidP="00387142">
            <w:pPr>
              <w:jc w:val="right"/>
              <w:rPr>
                <w:sz w:val="20"/>
                <w:szCs w:val="20"/>
              </w:rPr>
            </w:pPr>
            <w:r w:rsidRPr="008B6A75">
              <w:rPr>
                <w:sz w:val="20"/>
                <w:szCs w:val="20"/>
              </w:rPr>
              <w:t>100 000,00</w:t>
            </w:r>
          </w:p>
        </w:tc>
        <w:tc>
          <w:tcPr>
            <w:tcW w:w="851" w:type="dxa"/>
            <w:tcBorders>
              <w:top w:val="nil"/>
              <w:left w:val="single" w:sz="4" w:space="0" w:color="auto"/>
              <w:bottom w:val="single" w:sz="4" w:space="0" w:color="auto"/>
              <w:right w:val="nil"/>
            </w:tcBorders>
            <w:shd w:val="clear" w:color="auto" w:fill="auto"/>
            <w:noWrap/>
            <w:vAlign w:val="center"/>
            <w:hideMark/>
          </w:tcPr>
          <w:p w14:paraId="595D3FEC" w14:textId="77777777" w:rsidR="00387142" w:rsidRPr="008B6A75" w:rsidRDefault="00387142" w:rsidP="00387142">
            <w:pPr>
              <w:jc w:val="right"/>
              <w:rPr>
                <w:sz w:val="20"/>
                <w:szCs w:val="20"/>
              </w:rPr>
            </w:pPr>
            <w:r w:rsidRPr="008B6A75">
              <w:rPr>
                <w:sz w:val="20"/>
                <w:szCs w:val="20"/>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696A32C6" w14:textId="77777777" w:rsidR="00387142" w:rsidRPr="008B6A75" w:rsidRDefault="00387142" w:rsidP="00387142">
            <w:pPr>
              <w:jc w:val="right"/>
              <w:rPr>
                <w:sz w:val="20"/>
                <w:szCs w:val="20"/>
              </w:rPr>
            </w:pPr>
            <w:r w:rsidRPr="008B6A75">
              <w:rPr>
                <w:sz w:val="20"/>
                <w:szCs w:val="20"/>
              </w:rPr>
              <w:t>0,00</w:t>
            </w:r>
          </w:p>
        </w:tc>
      </w:tr>
      <w:tr w:rsidR="00387142" w:rsidRPr="008B6A75" w14:paraId="31E4BD13" w14:textId="77777777" w:rsidTr="00387142">
        <w:trPr>
          <w:trHeight w:val="870"/>
        </w:trPr>
        <w:tc>
          <w:tcPr>
            <w:tcW w:w="272" w:type="dxa"/>
            <w:tcBorders>
              <w:top w:val="nil"/>
              <w:left w:val="nil"/>
              <w:bottom w:val="nil"/>
              <w:right w:val="single" w:sz="4" w:space="0" w:color="auto"/>
            </w:tcBorders>
            <w:shd w:val="clear" w:color="auto" w:fill="auto"/>
            <w:noWrap/>
            <w:vAlign w:val="bottom"/>
            <w:hideMark/>
          </w:tcPr>
          <w:p w14:paraId="45468BFA"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3E74C9F7" w14:textId="77777777" w:rsidR="00387142" w:rsidRPr="008B6A75" w:rsidRDefault="00387142" w:rsidP="00387142">
            <w:pPr>
              <w:rPr>
                <w:sz w:val="20"/>
                <w:szCs w:val="20"/>
              </w:rPr>
            </w:pPr>
            <w:r w:rsidRPr="008B6A75">
              <w:rPr>
                <w:sz w:val="20"/>
                <w:szCs w:val="20"/>
              </w:rPr>
              <w:t>Предоставление субсидий бюджетным, автономным учреждениям и иным некоммерческим организациям</w:t>
            </w:r>
          </w:p>
        </w:tc>
        <w:tc>
          <w:tcPr>
            <w:tcW w:w="1559" w:type="dxa"/>
            <w:tcBorders>
              <w:top w:val="nil"/>
              <w:left w:val="single" w:sz="4" w:space="0" w:color="auto"/>
              <w:bottom w:val="single" w:sz="4" w:space="0" w:color="auto"/>
              <w:right w:val="nil"/>
            </w:tcBorders>
            <w:shd w:val="clear" w:color="auto" w:fill="auto"/>
            <w:noWrap/>
            <w:vAlign w:val="center"/>
            <w:hideMark/>
          </w:tcPr>
          <w:p w14:paraId="2174E1E6" w14:textId="77777777" w:rsidR="00387142" w:rsidRPr="008B6A75" w:rsidRDefault="00387142" w:rsidP="00387142">
            <w:pPr>
              <w:jc w:val="center"/>
              <w:rPr>
                <w:sz w:val="20"/>
                <w:szCs w:val="20"/>
              </w:rPr>
            </w:pPr>
            <w:r w:rsidRPr="008B6A75">
              <w:rPr>
                <w:sz w:val="20"/>
                <w:szCs w:val="20"/>
              </w:rPr>
              <w:t>03.0.00.79500</w:t>
            </w:r>
          </w:p>
        </w:tc>
        <w:tc>
          <w:tcPr>
            <w:tcW w:w="850" w:type="dxa"/>
            <w:tcBorders>
              <w:top w:val="nil"/>
              <w:left w:val="single" w:sz="4" w:space="0" w:color="auto"/>
              <w:bottom w:val="single" w:sz="4" w:space="0" w:color="auto"/>
              <w:right w:val="nil"/>
            </w:tcBorders>
            <w:shd w:val="clear" w:color="auto" w:fill="auto"/>
            <w:noWrap/>
            <w:vAlign w:val="center"/>
            <w:hideMark/>
          </w:tcPr>
          <w:p w14:paraId="1C0AEDE1" w14:textId="77777777" w:rsidR="00387142" w:rsidRPr="008B6A75" w:rsidRDefault="00387142" w:rsidP="00387142">
            <w:pPr>
              <w:jc w:val="center"/>
              <w:rPr>
                <w:sz w:val="20"/>
                <w:szCs w:val="20"/>
              </w:rPr>
            </w:pPr>
            <w:r w:rsidRPr="008B6A75">
              <w:rPr>
                <w:sz w:val="20"/>
                <w:szCs w:val="20"/>
              </w:rPr>
              <w:t>600</w:t>
            </w:r>
          </w:p>
        </w:tc>
        <w:tc>
          <w:tcPr>
            <w:tcW w:w="567" w:type="dxa"/>
            <w:tcBorders>
              <w:top w:val="nil"/>
              <w:left w:val="single" w:sz="4" w:space="0" w:color="auto"/>
              <w:bottom w:val="single" w:sz="4" w:space="0" w:color="auto"/>
              <w:right w:val="nil"/>
            </w:tcBorders>
            <w:shd w:val="clear" w:color="auto" w:fill="auto"/>
            <w:noWrap/>
            <w:vAlign w:val="center"/>
            <w:hideMark/>
          </w:tcPr>
          <w:p w14:paraId="6A54827D" w14:textId="77777777" w:rsidR="00387142" w:rsidRPr="008B6A75" w:rsidRDefault="00387142" w:rsidP="00387142">
            <w:pPr>
              <w:jc w:val="center"/>
              <w:rPr>
                <w:sz w:val="20"/>
                <w:szCs w:val="20"/>
              </w:rPr>
            </w:pPr>
            <w:r w:rsidRPr="008B6A75">
              <w:rPr>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471EE6A0" w14:textId="77777777" w:rsidR="00387142" w:rsidRPr="008B6A75" w:rsidRDefault="00387142" w:rsidP="00387142">
            <w:pPr>
              <w:jc w:val="center"/>
              <w:rPr>
                <w:sz w:val="20"/>
                <w:szCs w:val="20"/>
              </w:rPr>
            </w:pPr>
            <w:r w:rsidRPr="008B6A75">
              <w:rPr>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7827393" w14:textId="77777777" w:rsidR="00387142" w:rsidRPr="008B6A75" w:rsidRDefault="00387142" w:rsidP="00387142">
            <w:pPr>
              <w:jc w:val="right"/>
              <w:rPr>
                <w:sz w:val="20"/>
                <w:szCs w:val="20"/>
              </w:rPr>
            </w:pPr>
            <w:r w:rsidRPr="008B6A75">
              <w:rPr>
                <w:sz w:val="20"/>
                <w:szCs w:val="20"/>
              </w:rPr>
              <w:t>900 000,00</w:t>
            </w:r>
          </w:p>
        </w:tc>
        <w:tc>
          <w:tcPr>
            <w:tcW w:w="851" w:type="dxa"/>
            <w:tcBorders>
              <w:top w:val="nil"/>
              <w:left w:val="single" w:sz="4" w:space="0" w:color="auto"/>
              <w:bottom w:val="single" w:sz="4" w:space="0" w:color="auto"/>
              <w:right w:val="nil"/>
            </w:tcBorders>
            <w:shd w:val="clear" w:color="auto" w:fill="auto"/>
            <w:noWrap/>
            <w:vAlign w:val="center"/>
            <w:hideMark/>
          </w:tcPr>
          <w:p w14:paraId="32989403" w14:textId="77777777" w:rsidR="00387142" w:rsidRPr="008B6A75" w:rsidRDefault="00387142" w:rsidP="00387142">
            <w:pPr>
              <w:jc w:val="right"/>
              <w:rPr>
                <w:sz w:val="20"/>
                <w:szCs w:val="20"/>
              </w:rPr>
            </w:pPr>
            <w:r w:rsidRPr="008B6A75">
              <w:rPr>
                <w:sz w:val="20"/>
                <w:szCs w:val="20"/>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2273071E" w14:textId="77777777" w:rsidR="00387142" w:rsidRPr="008B6A75" w:rsidRDefault="00387142" w:rsidP="00387142">
            <w:pPr>
              <w:jc w:val="right"/>
              <w:rPr>
                <w:sz w:val="20"/>
                <w:szCs w:val="20"/>
              </w:rPr>
            </w:pPr>
            <w:r w:rsidRPr="008B6A75">
              <w:rPr>
                <w:sz w:val="20"/>
                <w:szCs w:val="20"/>
              </w:rPr>
              <w:t>0,00</w:t>
            </w:r>
          </w:p>
        </w:tc>
      </w:tr>
      <w:tr w:rsidR="00387142" w:rsidRPr="008B6A75" w14:paraId="6AB60363" w14:textId="77777777" w:rsidTr="00387142">
        <w:trPr>
          <w:trHeight w:val="300"/>
        </w:trPr>
        <w:tc>
          <w:tcPr>
            <w:tcW w:w="272" w:type="dxa"/>
            <w:tcBorders>
              <w:top w:val="nil"/>
              <w:left w:val="nil"/>
              <w:bottom w:val="nil"/>
              <w:right w:val="single" w:sz="4" w:space="0" w:color="auto"/>
            </w:tcBorders>
            <w:shd w:val="clear" w:color="auto" w:fill="auto"/>
            <w:noWrap/>
            <w:vAlign w:val="bottom"/>
            <w:hideMark/>
          </w:tcPr>
          <w:p w14:paraId="2F365E11"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53C375AF" w14:textId="77777777" w:rsidR="00387142" w:rsidRPr="008B6A75" w:rsidRDefault="00387142" w:rsidP="00387142">
            <w:pPr>
              <w:rPr>
                <w:sz w:val="20"/>
                <w:szCs w:val="20"/>
              </w:rPr>
            </w:pPr>
            <w:r w:rsidRPr="008B6A75">
              <w:rPr>
                <w:sz w:val="20"/>
                <w:szCs w:val="20"/>
              </w:rPr>
              <w:t>Субсидии бюджетным учреждениям</w:t>
            </w:r>
          </w:p>
        </w:tc>
        <w:tc>
          <w:tcPr>
            <w:tcW w:w="1559" w:type="dxa"/>
            <w:tcBorders>
              <w:top w:val="nil"/>
              <w:left w:val="single" w:sz="4" w:space="0" w:color="auto"/>
              <w:bottom w:val="single" w:sz="4" w:space="0" w:color="auto"/>
              <w:right w:val="nil"/>
            </w:tcBorders>
            <w:shd w:val="clear" w:color="auto" w:fill="auto"/>
            <w:noWrap/>
            <w:vAlign w:val="center"/>
            <w:hideMark/>
          </w:tcPr>
          <w:p w14:paraId="0C86ADAB" w14:textId="77777777" w:rsidR="00387142" w:rsidRPr="008B6A75" w:rsidRDefault="00387142" w:rsidP="00387142">
            <w:pPr>
              <w:jc w:val="center"/>
              <w:rPr>
                <w:sz w:val="20"/>
                <w:szCs w:val="20"/>
              </w:rPr>
            </w:pPr>
            <w:r w:rsidRPr="008B6A75">
              <w:rPr>
                <w:sz w:val="20"/>
                <w:szCs w:val="20"/>
              </w:rPr>
              <w:t>03.0.00.79500</w:t>
            </w:r>
          </w:p>
        </w:tc>
        <w:tc>
          <w:tcPr>
            <w:tcW w:w="850" w:type="dxa"/>
            <w:tcBorders>
              <w:top w:val="nil"/>
              <w:left w:val="single" w:sz="4" w:space="0" w:color="auto"/>
              <w:bottom w:val="single" w:sz="4" w:space="0" w:color="auto"/>
              <w:right w:val="nil"/>
            </w:tcBorders>
            <w:shd w:val="clear" w:color="auto" w:fill="auto"/>
            <w:noWrap/>
            <w:vAlign w:val="center"/>
            <w:hideMark/>
          </w:tcPr>
          <w:p w14:paraId="25C12C99" w14:textId="77777777" w:rsidR="00387142" w:rsidRPr="008B6A75" w:rsidRDefault="00387142" w:rsidP="00387142">
            <w:pPr>
              <w:jc w:val="center"/>
              <w:rPr>
                <w:sz w:val="20"/>
                <w:szCs w:val="20"/>
              </w:rPr>
            </w:pPr>
            <w:r w:rsidRPr="008B6A75">
              <w:rPr>
                <w:sz w:val="20"/>
                <w:szCs w:val="20"/>
              </w:rPr>
              <w:t>610</w:t>
            </w:r>
          </w:p>
        </w:tc>
        <w:tc>
          <w:tcPr>
            <w:tcW w:w="567" w:type="dxa"/>
            <w:tcBorders>
              <w:top w:val="nil"/>
              <w:left w:val="single" w:sz="4" w:space="0" w:color="auto"/>
              <w:bottom w:val="single" w:sz="4" w:space="0" w:color="auto"/>
              <w:right w:val="nil"/>
            </w:tcBorders>
            <w:shd w:val="clear" w:color="auto" w:fill="auto"/>
            <w:noWrap/>
            <w:vAlign w:val="center"/>
            <w:hideMark/>
          </w:tcPr>
          <w:p w14:paraId="7ED8BB40" w14:textId="77777777" w:rsidR="00387142" w:rsidRPr="008B6A75" w:rsidRDefault="00387142" w:rsidP="00387142">
            <w:pPr>
              <w:jc w:val="center"/>
              <w:rPr>
                <w:sz w:val="20"/>
                <w:szCs w:val="20"/>
              </w:rPr>
            </w:pPr>
            <w:r w:rsidRPr="008B6A75">
              <w:rPr>
                <w:sz w:val="20"/>
                <w:szCs w:val="20"/>
              </w:rPr>
              <w:t>07</w:t>
            </w:r>
          </w:p>
        </w:tc>
        <w:tc>
          <w:tcPr>
            <w:tcW w:w="567" w:type="dxa"/>
            <w:tcBorders>
              <w:top w:val="nil"/>
              <w:left w:val="single" w:sz="4" w:space="0" w:color="auto"/>
              <w:bottom w:val="single" w:sz="4" w:space="0" w:color="auto"/>
              <w:right w:val="nil"/>
            </w:tcBorders>
            <w:shd w:val="clear" w:color="auto" w:fill="auto"/>
            <w:noWrap/>
            <w:vAlign w:val="center"/>
            <w:hideMark/>
          </w:tcPr>
          <w:p w14:paraId="5B948600" w14:textId="77777777" w:rsidR="00387142" w:rsidRPr="008B6A75" w:rsidRDefault="00387142" w:rsidP="00387142">
            <w:pPr>
              <w:jc w:val="center"/>
              <w:rPr>
                <w:sz w:val="20"/>
                <w:szCs w:val="20"/>
              </w:rPr>
            </w:pPr>
            <w:r w:rsidRPr="008B6A75">
              <w:rPr>
                <w:sz w:val="20"/>
                <w:szCs w:val="20"/>
              </w:rPr>
              <w:t>07</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BE5A2A9" w14:textId="77777777" w:rsidR="00387142" w:rsidRPr="008B6A75" w:rsidRDefault="00387142" w:rsidP="00387142">
            <w:pPr>
              <w:jc w:val="right"/>
              <w:rPr>
                <w:sz w:val="20"/>
                <w:szCs w:val="20"/>
              </w:rPr>
            </w:pPr>
            <w:r w:rsidRPr="008B6A75">
              <w:rPr>
                <w:sz w:val="20"/>
                <w:szCs w:val="20"/>
              </w:rPr>
              <w:t>900 000,00</w:t>
            </w:r>
          </w:p>
        </w:tc>
        <w:tc>
          <w:tcPr>
            <w:tcW w:w="851" w:type="dxa"/>
            <w:tcBorders>
              <w:top w:val="nil"/>
              <w:left w:val="single" w:sz="4" w:space="0" w:color="auto"/>
              <w:bottom w:val="single" w:sz="4" w:space="0" w:color="auto"/>
              <w:right w:val="nil"/>
            </w:tcBorders>
            <w:shd w:val="clear" w:color="auto" w:fill="auto"/>
            <w:noWrap/>
            <w:vAlign w:val="center"/>
            <w:hideMark/>
          </w:tcPr>
          <w:p w14:paraId="639E267A" w14:textId="77777777" w:rsidR="00387142" w:rsidRPr="008B6A75" w:rsidRDefault="00387142" w:rsidP="00387142">
            <w:pPr>
              <w:jc w:val="right"/>
              <w:rPr>
                <w:sz w:val="20"/>
                <w:szCs w:val="20"/>
              </w:rPr>
            </w:pPr>
            <w:r w:rsidRPr="008B6A75">
              <w:rPr>
                <w:sz w:val="20"/>
                <w:szCs w:val="20"/>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4537048A" w14:textId="77777777" w:rsidR="00387142" w:rsidRPr="008B6A75" w:rsidRDefault="00387142" w:rsidP="00387142">
            <w:pPr>
              <w:jc w:val="right"/>
              <w:rPr>
                <w:sz w:val="20"/>
                <w:szCs w:val="20"/>
              </w:rPr>
            </w:pPr>
            <w:r w:rsidRPr="008B6A75">
              <w:rPr>
                <w:sz w:val="20"/>
                <w:szCs w:val="20"/>
              </w:rPr>
              <w:t>0,00</w:t>
            </w:r>
          </w:p>
        </w:tc>
      </w:tr>
      <w:tr w:rsidR="00387142" w:rsidRPr="008B6A75" w14:paraId="1E3D2ABB" w14:textId="77777777" w:rsidTr="00387142">
        <w:trPr>
          <w:trHeight w:val="870"/>
        </w:trPr>
        <w:tc>
          <w:tcPr>
            <w:tcW w:w="272" w:type="dxa"/>
            <w:tcBorders>
              <w:top w:val="nil"/>
              <w:left w:val="nil"/>
              <w:bottom w:val="nil"/>
              <w:right w:val="single" w:sz="4" w:space="0" w:color="auto"/>
            </w:tcBorders>
            <w:shd w:val="clear" w:color="auto" w:fill="auto"/>
            <w:noWrap/>
            <w:vAlign w:val="bottom"/>
            <w:hideMark/>
          </w:tcPr>
          <w:p w14:paraId="63ACE453"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7AC02B8D" w14:textId="77777777" w:rsidR="00387142" w:rsidRPr="008B6A75" w:rsidRDefault="00387142" w:rsidP="00387142">
            <w:pPr>
              <w:rPr>
                <w:bCs/>
                <w:sz w:val="20"/>
                <w:szCs w:val="20"/>
              </w:rPr>
            </w:pPr>
            <w:r w:rsidRPr="008B6A75">
              <w:rPr>
                <w:bCs/>
                <w:sz w:val="20"/>
                <w:szCs w:val="20"/>
              </w:rPr>
              <w:t>Муниципальная программа "Развитие молодёжной политики в Куйбышевском районе Новосибирской области"</w:t>
            </w:r>
          </w:p>
        </w:tc>
        <w:tc>
          <w:tcPr>
            <w:tcW w:w="1559" w:type="dxa"/>
            <w:tcBorders>
              <w:top w:val="nil"/>
              <w:left w:val="single" w:sz="4" w:space="0" w:color="auto"/>
              <w:bottom w:val="single" w:sz="4" w:space="0" w:color="auto"/>
              <w:right w:val="nil"/>
            </w:tcBorders>
            <w:shd w:val="clear" w:color="auto" w:fill="auto"/>
            <w:noWrap/>
            <w:vAlign w:val="center"/>
            <w:hideMark/>
          </w:tcPr>
          <w:p w14:paraId="3953B38A" w14:textId="77777777" w:rsidR="00387142" w:rsidRPr="008B6A75" w:rsidRDefault="00387142" w:rsidP="00387142">
            <w:pPr>
              <w:jc w:val="center"/>
              <w:rPr>
                <w:bCs/>
                <w:sz w:val="20"/>
                <w:szCs w:val="20"/>
              </w:rPr>
            </w:pPr>
            <w:r w:rsidRPr="008B6A75">
              <w:rPr>
                <w:bCs/>
                <w:sz w:val="20"/>
                <w:szCs w:val="20"/>
              </w:rPr>
              <w:t>04.0.00.00000</w:t>
            </w:r>
          </w:p>
        </w:tc>
        <w:tc>
          <w:tcPr>
            <w:tcW w:w="850" w:type="dxa"/>
            <w:tcBorders>
              <w:top w:val="nil"/>
              <w:left w:val="single" w:sz="4" w:space="0" w:color="auto"/>
              <w:bottom w:val="single" w:sz="4" w:space="0" w:color="auto"/>
              <w:right w:val="nil"/>
            </w:tcBorders>
            <w:shd w:val="clear" w:color="auto" w:fill="auto"/>
            <w:noWrap/>
            <w:vAlign w:val="center"/>
            <w:hideMark/>
          </w:tcPr>
          <w:p w14:paraId="5B1B7D96" w14:textId="77777777" w:rsidR="00387142" w:rsidRPr="008B6A75" w:rsidRDefault="00387142" w:rsidP="00387142">
            <w:pPr>
              <w:jc w:val="center"/>
              <w:rPr>
                <w:bCs/>
                <w:sz w:val="20"/>
                <w:szCs w:val="20"/>
              </w:rPr>
            </w:pPr>
            <w:r w:rsidRPr="008B6A75">
              <w:rPr>
                <w:bCs/>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48ADD622" w14:textId="77777777" w:rsidR="00387142" w:rsidRPr="008B6A75" w:rsidRDefault="00387142" w:rsidP="00387142">
            <w:pPr>
              <w:jc w:val="center"/>
              <w:rPr>
                <w:bCs/>
                <w:sz w:val="20"/>
                <w:szCs w:val="20"/>
              </w:rPr>
            </w:pPr>
            <w:r w:rsidRPr="008B6A75">
              <w:rPr>
                <w:bCs/>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4FFCACBE" w14:textId="77777777" w:rsidR="00387142" w:rsidRPr="008B6A75" w:rsidRDefault="00387142" w:rsidP="00387142">
            <w:pPr>
              <w:jc w:val="center"/>
              <w:rPr>
                <w:bCs/>
                <w:sz w:val="20"/>
                <w:szCs w:val="20"/>
              </w:rPr>
            </w:pPr>
            <w:r w:rsidRPr="008B6A75">
              <w:rPr>
                <w:bCs/>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B7BDF6C" w14:textId="77777777" w:rsidR="00387142" w:rsidRPr="008B6A75" w:rsidRDefault="00387142" w:rsidP="00387142">
            <w:pPr>
              <w:jc w:val="right"/>
              <w:rPr>
                <w:bCs/>
                <w:sz w:val="20"/>
                <w:szCs w:val="20"/>
              </w:rPr>
            </w:pPr>
            <w:r w:rsidRPr="008B6A75">
              <w:rPr>
                <w:bCs/>
                <w:sz w:val="20"/>
                <w:szCs w:val="20"/>
              </w:rPr>
              <w:t>25 774 110,12</w:t>
            </w:r>
          </w:p>
        </w:tc>
        <w:tc>
          <w:tcPr>
            <w:tcW w:w="851" w:type="dxa"/>
            <w:tcBorders>
              <w:top w:val="nil"/>
              <w:left w:val="single" w:sz="4" w:space="0" w:color="auto"/>
              <w:bottom w:val="single" w:sz="4" w:space="0" w:color="auto"/>
              <w:right w:val="nil"/>
            </w:tcBorders>
            <w:shd w:val="clear" w:color="auto" w:fill="auto"/>
            <w:noWrap/>
            <w:vAlign w:val="center"/>
            <w:hideMark/>
          </w:tcPr>
          <w:p w14:paraId="4A370960" w14:textId="77777777" w:rsidR="00387142" w:rsidRPr="008B6A75" w:rsidRDefault="00387142" w:rsidP="00387142">
            <w:pPr>
              <w:jc w:val="right"/>
              <w:rPr>
                <w:bCs/>
                <w:sz w:val="20"/>
                <w:szCs w:val="20"/>
              </w:rPr>
            </w:pPr>
            <w:r w:rsidRPr="008B6A75">
              <w:rPr>
                <w:bCs/>
                <w:sz w:val="20"/>
                <w:szCs w:val="20"/>
              </w:rPr>
              <w:t>17 000 000,00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3C6F8B3B" w14:textId="77777777" w:rsidR="00387142" w:rsidRPr="008B6A75" w:rsidRDefault="00387142" w:rsidP="00387142">
            <w:pPr>
              <w:jc w:val="right"/>
              <w:rPr>
                <w:bCs/>
                <w:sz w:val="20"/>
                <w:szCs w:val="20"/>
              </w:rPr>
            </w:pPr>
            <w:r w:rsidRPr="008B6A75">
              <w:rPr>
                <w:bCs/>
                <w:sz w:val="20"/>
                <w:szCs w:val="20"/>
              </w:rPr>
              <w:t>17 000 000,00</w:t>
            </w:r>
          </w:p>
        </w:tc>
      </w:tr>
      <w:tr w:rsidR="00387142" w:rsidRPr="008B6A75" w14:paraId="3A931F4C" w14:textId="77777777" w:rsidTr="00387142">
        <w:trPr>
          <w:trHeight w:val="1155"/>
        </w:trPr>
        <w:tc>
          <w:tcPr>
            <w:tcW w:w="272" w:type="dxa"/>
            <w:tcBorders>
              <w:top w:val="nil"/>
              <w:left w:val="nil"/>
              <w:bottom w:val="nil"/>
              <w:right w:val="single" w:sz="4" w:space="0" w:color="auto"/>
            </w:tcBorders>
            <w:shd w:val="clear" w:color="auto" w:fill="auto"/>
            <w:noWrap/>
            <w:vAlign w:val="bottom"/>
            <w:hideMark/>
          </w:tcPr>
          <w:p w14:paraId="2B9D08AC"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426285ED" w14:textId="77777777" w:rsidR="00387142" w:rsidRPr="008B6A75" w:rsidRDefault="00387142" w:rsidP="00387142">
            <w:pPr>
              <w:rPr>
                <w:bCs/>
                <w:sz w:val="20"/>
                <w:szCs w:val="20"/>
              </w:rPr>
            </w:pPr>
            <w:r w:rsidRPr="008B6A75">
              <w:rPr>
                <w:bCs/>
                <w:sz w:val="20"/>
                <w:szCs w:val="20"/>
              </w:rPr>
              <w:t>Расходы на обеспечение деятельности (оказание услуг) муниципальных учреждений по организационно-воспитательной работе с молодежью</w:t>
            </w:r>
          </w:p>
        </w:tc>
        <w:tc>
          <w:tcPr>
            <w:tcW w:w="1559" w:type="dxa"/>
            <w:tcBorders>
              <w:top w:val="nil"/>
              <w:left w:val="single" w:sz="4" w:space="0" w:color="auto"/>
              <w:bottom w:val="single" w:sz="4" w:space="0" w:color="auto"/>
              <w:right w:val="nil"/>
            </w:tcBorders>
            <w:shd w:val="clear" w:color="auto" w:fill="auto"/>
            <w:noWrap/>
            <w:vAlign w:val="center"/>
            <w:hideMark/>
          </w:tcPr>
          <w:p w14:paraId="58B8ADF6" w14:textId="77777777" w:rsidR="00387142" w:rsidRPr="008B6A75" w:rsidRDefault="00387142" w:rsidP="00387142">
            <w:pPr>
              <w:jc w:val="center"/>
              <w:rPr>
                <w:bCs/>
                <w:sz w:val="20"/>
                <w:szCs w:val="20"/>
              </w:rPr>
            </w:pPr>
            <w:r w:rsidRPr="008B6A75">
              <w:rPr>
                <w:bCs/>
                <w:sz w:val="20"/>
                <w:szCs w:val="20"/>
              </w:rPr>
              <w:t>04.0.00.07590</w:t>
            </w:r>
          </w:p>
        </w:tc>
        <w:tc>
          <w:tcPr>
            <w:tcW w:w="850" w:type="dxa"/>
            <w:tcBorders>
              <w:top w:val="nil"/>
              <w:left w:val="single" w:sz="4" w:space="0" w:color="auto"/>
              <w:bottom w:val="single" w:sz="4" w:space="0" w:color="auto"/>
              <w:right w:val="nil"/>
            </w:tcBorders>
            <w:shd w:val="clear" w:color="auto" w:fill="auto"/>
            <w:noWrap/>
            <w:vAlign w:val="center"/>
            <w:hideMark/>
          </w:tcPr>
          <w:p w14:paraId="3FF6A08A" w14:textId="77777777" w:rsidR="00387142" w:rsidRPr="008B6A75" w:rsidRDefault="00387142" w:rsidP="00387142">
            <w:pPr>
              <w:jc w:val="center"/>
              <w:rPr>
                <w:bCs/>
                <w:sz w:val="20"/>
                <w:szCs w:val="20"/>
              </w:rPr>
            </w:pPr>
            <w:r w:rsidRPr="008B6A75">
              <w:rPr>
                <w:bCs/>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7379B6BB" w14:textId="77777777" w:rsidR="00387142" w:rsidRPr="008B6A75" w:rsidRDefault="00387142" w:rsidP="00387142">
            <w:pPr>
              <w:jc w:val="center"/>
              <w:rPr>
                <w:bCs/>
                <w:sz w:val="20"/>
                <w:szCs w:val="20"/>
              </w:rPr>
            </w:pPr>
            <w:r w:rsidRPr="008B6A75">
              <w:rPr>
                <w:bCs/>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1F6413A7" w14:textId="77777777" w:rsidR="00387142" w:rsidRPr="008B6A75" w:rsidRDefault="00387142" w:rsidP="00387142">
            <w:pPr>
              <w:jc w:val="center"/>
              <w:rPr>
                <w:bCs/>
                <w:sz w:val="20"/>
                <w:szCs w:val="20"/>
              </w:rPr>
            </w:pPr>
            <w:r w:rsidRPr="008B6A75">
              <w:rPr>
                <w:bCs/>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D52C0E9" w14:textId="77777777" w:rsidR="00387142" w:rsidRPr="008B6A75" w:rsidRDefault="00387142" w:rsidP="00387142">
            <w:pPr>
              <w:jc w:val="right"/>
              <w:rPr>
                <w:bCs/>
                <w:sz w:val="20"/>
                <w:szCs w:val="20"/>
              </w:rPr>
            </w:pPr>
            <w:r w:rsidRPr="008B6A75">
              <w:rPr>
                <w:bCs/>
                <w:sz w:val="20"/>
                <w:szCs w:val="20"/>
              </w:rPr>
              <w:t>20 864 910,12</w:t>
            </w:r>
          </w:p>
        </w:tc>
        <w:tc>
          <w:tcPr>
            <w:tcW w:w="851" w:type="dxa"/>
            <w:tcBorders>
              <w:top w:val="nil"/>
              <w:left w:val="single" w:sz="4" w:space="0" w:color="auto"/>
              <w:bottom w:val="single" w:sz="4" w:space="0" w:color="auto"/>
              <w:right w:val="nil"/>
            </w:tcBorders>
            <w:shd w:val="clear" w:color="auto" w:fill="auto"/>
            <w:noWrap/>
            <w:vAlign w:val="center"/>
            <w:hideMark/>
          </w:tcPr>
          <w:p w14:paraId="4ABFA347" w14:textId="77777777" w:rsidR="00387142" w:rsidRPr="008B6A75" w:rsidRDefault="00387142" w:rsidP="00387142">
            <w:pPr>
              <w:jc w:val="right"/>
              <w:rPr>
                <w:bCs/>
                <w:sz w:val="20"/>
                <w:szCs w:val="20"/>
              </w:rPr>
            </w:pPr>
            <w:r w:rsidRPr="008B6A75">
              <w:rPr>
                <w:bCs/>
                <w:sz w:val="20"/>
                <w:szCs w:val="20"/>
              </w:rPr>
              <w:t>17 000 000,00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34E7C591" w14:textId="77777777" w:rsidR="00387142" w:rsidRPr="008B6A75" w:rsidRDefault="00387142" w:rsidP="00387142">
            <w:pPr>
              <w:jc w:val="right"/>
              <w:rPr>
                <w:bCs/>
                <w:sz w:val="20"/>
                <w:szCs w:val="20"/>
              </w:rPr>
            </w:pPr>
            <w:r w:rsidRPr="008B6A75">
              <w:rPr>
                <w:bCs/>
                <w:sz w:val="20"/>
                <w:szCs w:val="20"/>
              </w:rPr>
              <w:t>17 000 000,00</w:t>
            </w:r>
          </w:p>
        </w:tc>
      </w:tr>
      <w:tr w:rsidR="00387142" w:rsidRPr="008B6A75" w14:paraId="7C541E77" w14:textId="77777777" w:rsidTr="00387142">
        <w:trPr>
          <w:trHeight w:val="1440"/>
        </w:trPr>
        <w:tc>
          <w:tcPr>
            <w:tcW w:w="272" w:type="dxa"/>
            <w:tcBorders>
              <w:top w:val="nil"/>
              <w:left w:val="nil"/>
              <w:bottom w:val="nil"/>
              <w:right w:val="single" w:sz="4" w:space="0" w:color="auto"/>
            </w:tcBorders>
            <w:shd w:val="clear" w:color="auto" w:fill="auto"/>
            <w:noWrap/>
            <w:vAlign w:val="bottom"/>
            <w:hideMark/>
          </w:tcPr>
          <w:p w14:paraId="3924755C"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46B72097" w14:textId="77777777" w:rsidR="00387142" w:rsidRPr="008B6A75" w:rsidRDefault="00387142" w:rsidP="00387142">
            <w:pPr>
              <w:rPr>
                <w:sz w:val="20"/>
                <w:szCs w:val="20"/>
              </w:rPr>
            </w:pPr>
            <w:r w:rsidRPr="008B6A7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single" w:sz="4" w:space="0" w:color="auto"/>
              <w:bottom w:val="single" w:sz="4" w:space="0" w:color="auto"/>
              <w:right w:val="nil"/>
            </w:tcBorders>
            <w:shd w:val="clear" w:color="auto" w:fill="auto"/>
            <w:noWrap/>
            <w:vAlign w:val="center"/>
            <w:hideMark/>
          </w:tcPr>
          <w:p w14:paraId="7A6A1658" w14:textId="77777777" w:rsidR="00387142" w:rsidRPr="008B6A75" w:rsidRDefault="00387142" w:rsidP="00387142">
            <w:pPr>
              <w:jc w:val="center"/>
              <w:rPr>
                <w:sz w:val="20"/>
                <w:szCs w:val="20"/>
              </w:rPr>
            </w:pPr>
            <w:r w:rsidRPr="008B6A75">
              <w:rPr>
                <w:sz w:val="20"/>
                <w:szCs w:val="20"/>
              </w:rPr>
              <w:t>04.0.00.07590</w:t>
            </w:r>
          </w:p>
        </w:tc>
        <w:tc>
          <w:tcPr>
            <w:tcW w:w="850" w:type="dxa"/>
            <w:tcBorders>
              <w:top w:val="nil"/>
              <w:left w:val="single" w:sz="4" w:space="0" w:color="auto"/>
              <w:bottom w:val="single" w:sz="4" w:space="0" w:color="auto"/>
              <w:right w:val="nil"/>
            </w:tcBorders>
            <w:shd w:val="clear" w:color="auto" w:fill="auto"/>
            <w:noWrap/>
            <w:vAlign w:val="center"/>
            <w:hideMark/>
          </w:tcPr>
          <w:p w14:paraId="52E837D6" w14:textId="77777777" w:rsidR="00387142" w:rsidRPr="008B6A75" w:rsidRDefault="00387142" w:rsidP="00387142">
            <w:pPr>
              <w:jc w:val="center"/>
              <w:rPr>
                <w:sz w:val="20"/>
                <w:szCs w:val="20"/>
              </w:rPr>
            </w:pPr>
            <w:r w:rsidRPr="008B6A75">
              <w:rPr>
                <w:sz w:val="20"/>
                <w:szCs w:val="20"/>
              </w:rPr>
              <w:t>100</w:t>
            </w:r>
          </w:p>
        </w:tc>
        <w:tc>
          <w:tcPr>
            <w:tcW w:w="567" w:type="dxa"/>
            <w:tcBorders>
              <w:top w:val="nil"/>
              <w:left w:val="single" w:sz="4" w:space="0" w:color="auto"/>
              <w:bottom w:val="single" w:sz="4" w:space="0" w:color="auto"/>
              <w:right w:val="nil"/>
            </w:tcBorders>
            <w:shd w:val="clear" w:color="auto" w:fill="auto"/>
            <w:noWrap/>
            <w:vAlign w:val="center"/>
            <w:hideMark/>
          </w:tcPr>
          <w:p w14:paraId="31B2EEF9" w14:textId="77777777" w:rsidR="00387142" w:rsidRPr="008B6A75" w:rsidRDefault="00387142" w:rsidP="00387142">
            <w:pPr>
              <w:jc w:val="center"/>
              <w:rPr>
                <w:sz w:val="20"/>
                <w:szCs w:val="20"/>
              </w:rPr>
            </w:pPr>
            <w:r w:rsidRPr="008B6A75">
              <w:rPr>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3886A551" w14:textId="77777777" w:rsidR="00387142" w:rsidRPr="008B6A75" w:rsidRDefault="00387142" w:rsidP="00387142">
            <w:pPr>
              <w:jc w:val="center"/>
              <w:rPr>
                <w:sz w:val="20"/>
                <w:szCs w:val="20"/>
              </w:rPr>
            </w:pPr>
            <w:r w:rsidRPr="008B6A75">
              <w:rPr>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080EC9E" w14:textId="77777777" w:rsidR="00387142" w:rsidRPr="008B6A75" w:rsidRDefault="00387142" w:rsidP="00387142">
            <w:pPr>
              <w:jc w:val="right"/>
              <w:rPr>
                <w:sz w:val="20"/>
                <w:szCs w:val="20"/>
              </w:rPr>
            </w:pPr>
            <w:r w:rsidRPr="008B6A75">
              <w:rPr>
                <w:sz w:val="20"/>
                <w:szCs w:val="20"/>
              </w:rPr>
              <w:t>0,00</w:t>
            </w:r>
          </w:p>
        </w:tc>
        <w:tc>
          <w:tcPr>
            <w:tcW w:w="851" w:type="dxa"/>
            <w:tcBorders>
              <w:top w:val="nil"/>
              <w:left w:val="single" w:sz="4" w:space="0" w:color="auto"/>
              <w:bottom w:val="single" w:sz="4" w:space="0" w:color="auto"/>
              <w:right w:val="nil"/>
            </w:tcBorders>
            <w:shd w:val="clear" w:color="auto" w:fill="auto"/>
            <w:noWrap/>
            <w:vAlign w:val="center"/>
            <w:hideMark/>
          </w:tcPr>
          <w:p w14:paraId="0D023B39" w14:textId="77777777" w:rsidR="00387142" w:rsidRPr="008B6A75" w:rsidRDefault="00387142" w:rsidP="00387142">
            <w:pPr>
              <w:jc w:val="right"/>
              <w:rPr>
                <w:sz w:val="20"/>
                <w:szCs w:val="20"/>
              </w:rPr>
            </w:pPr>
            <w:r w:rsidRPr="008B6A75">
              <w:rPr>
                <w:sz w:val="20"/>
                <w:szCs w:val="20"/>
              </w:rPr>
              <w:t>10 000 000,00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29A6BAAC" w14:textId="77777777" w:rsidR="00387142" w:rsidRPr="008B6A75" w:rsidRDefault="00387142" w:rsidP="00387142">
            <w:pPr>
              <w:jc w:val="right"/>
              <w:rPr>
                <w:sz w:val="20"/>
                <w:szCs w:val="20"/>
              </w:rPr>
            </w:pPr>
            <w:r w:rsidRPr="008B6A75">
              <w:rPr>
                <w:sz w:val="20"/>
                <w:szCs w:val="20"/>
              </w:rPr>
              <w:t>10 000 000,00</w:t>
            </w:r>
          </w:p>
        </w:tc>
      </w:tr>
      <w:tr w:rsidR="00387142" w:rsidRPr="008B6A75" w14:paraId="49D4CC6B" w14:textId="77777777" w:rsidTr="00387142">
        <w:trPr>
          <w:trHeight w:val="585"/>
        </w:trPr>
        <w:tc>
          <w:tcPr>
            <w:tcW w:w="272" w:type="dxa"/>
            <w:tcBorders>
              <w:top w:val="nil"/>
              <w:left w:val="nil"/>
              <w:bottom w:val="nil"/>
              <w:right w:val="single" w:sz="4" w:space="0" w:color="auto"/>
            </w:tcBorders>
            <w:shd w:val="clear" w:color="auto" w:fill="auto"/>
            <w:noWrap/>
            <w:vAlign w:val="bottom"/>
            <w:hideMark/>
          </w:tcPr>
          <w:p w14:paraId="4221AE19"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2120BA18" w14:textId="77777777" w:rsidR="00387142" w:rsidRPr="008B6A75" w:rsidRDefault="00387142" w:rsidP="00387142">
            <w:pPr>
              <w:rPr>
                <w:sz w:val="20"/>
                <w:szCs w:val="20"/>
              </w:rPr>
            </w:pPr>
            <w:r w:rsidRPr="008B6A75">
              <w:rPr>
                <w:sz w:val="20"/>
                <w:szCs w:val="20"/>
              </w:rPr>
              <w:t>Расходы на выплаты персоналу казенных учреждений</w:t>
            </w:r>
          </w:p>
        </w:tc>
        <w:tc>
          <w:tcPr>
            <w:tcW w:w="1559" w:type="dxa"/>
            <w:tcBorders>
              <w:top w:val="nil"/>
              <w:left w:val="single" w:sz="4" w:space="0" w:color="auto"/>
              <w:bottom w:val="single" w:sz="4" w:space="0" w:color="auto"/>
              <w:right w:val="nil"/>
            </w:tcBorders>
            <w:shd w:val="clear" w:color="auto" w:fill="auto"/>
            <w:noWrap/>
            <w:vAlign w:val="center"/>
            <w:hideMark/>
          </w:tcPr>
          <w:p w14:paraId="7F8FE95B" w14:textId="77777777" w:rsidR="00387142" w:rsidRPr="008B6A75" w:rsidRDefault="00387142" w:rsidP="00387142">
            <w:pPr>
              <w:jc w:val="center"/>
              <w:rPr>
                <w:sz w:val="20"/>
                <w:szCs w:val="20"/>
              </w:rPr>
            </w:pPr>
            <w:r w:rsidRPr="008B6A75">
              <w:rPr>
                <w:sz w:val="20"/>
                <w:szCs w:val="20"/>
              </w:rPr>
              <w:t>04.0.00.07590</w:t>
            </w:r>
          </w:p>
        </w:tc>
        <w:tc>
          <w:tcPr>
            <w:tcW w:w="850" w:type="dxa"/>
            <w:tcBorders>
              <w:top w:val="nil"/>
              <w:left w:val="single" w:sz="4" w:space="0" w:color="auto"/>
              <w:bottom w:val="single" w:sz="4" w:space="0" w:color="auto"/>
              <w:right w:val="nil"/>
            </w:tcBorders>
            <w:shd w:val="clear" w:color="auto" w:fill="auto"/>
            <w:noWrap/>
            <w:vAlign w:val="center"/>
            <w:hideMark/>
          </w:tcPr>
          <w:p w14:paraId="4EF84291" w14:textId="77777777" w:rsidR="00387142" w:rsidRPr="008B6A75" w:rsidRDefault="00387142" w:rsidP="00387142">
            <w:pPr>
              <w:jc w:val="center"/>
              <w:rPr>
                <w:sz w:val="20"/>
                <w:szCs w:val="20"/>
              </w:rPr>
            </w:pPr>
            <w:r w:rsidRPr="008B6A75">
              <w:rPr>
                <w:sz w:val="20"/>
                <w:szCs w:val="20"/>
              </w:rPr>
              <w:t>110</w:t>
            </w:r>
          </w:p>
        </w:tc>
        <w:tc>
          <w:tcPr>
            <w:tcW w:w="567" w:type="dxa"/>
            <w:tcBorders>
              <w:top w:val="nil"/>
              <w:left w:val="single" w:sz="4" w:space="0" w:color="auto"/>
              <w:bottom w:val="single" w:sz="4" w:space="0" w:color="auto"/>
              <w:right w:val="nil"/>
            </w:tcBorders>
            <w:shd w:val="clear" w:color="auto" w:fill="auto"/>
            <w:noWrap/>
            <w:vAlign w:val="center"/>
            <w:hideMark/>
          </w:tcPr>
          <w:p w14:paraId="251E8DEB" w14:textId="77777777" w:rsidR="00387142" w:rsidRPr="008B6A75" w:rsidRDefault="00387142" w:rsidP="00387142">
            <w:pPr>
              <w:jc w:val="center"/>
              <w:rPr>
                <w:sz w:val="20"/>
                <w:szCs w:val="20"/>
              </w:rPr>
            </w:pPr>
            <w:r w:rsidRPr="008B6A75">
              <w:rPr>
                <w:sz w:val="20"/>
                <w:szCs w:val="20"/>
              </w:rPr>
              <w:t>07</w:t>
            </w:r>
          </w:p>
        </w:tc>
        <w:tc>
          <w:tcPr>
            <w:tcW w:w="567" w:type="dxa"/>
            <w:tcBorders>
              <w:top w:val="nil"/>
              <w:left w:val="single" w:sz="4" w:space="0" w:color="auto"/>
              <w:bottom w:val="single" w:sz="4" w:space="0" w:color="auto"/>
              <w:right w:val="nil"/>
            </w:tcBorders>
            <w:shd w:val="clear" w:color="auto" w:fill="auto"/>
            <w:noWrap/>
            <w:vAlign w:val="center"/>
            <w:hideMark/>
          </w:tcPr>
          <w:p w14:paraId="203730A9" w14:textId="77777777" w:rsidR="00387142" w:rsidRPr="008B6A75" w:rsidRDefault="00387142" w:rsidP="00387142">
            <w:pPr>
              <w:jc w:val="center"/>
              <w:rPr>
                <w:sz w:val="20"/>
                <w:szCs w:val="20"/>
              </w:rPr>
            </w:pPr>
            <w:r w:rsidRPr="008B6A75">
              <w:rPr>
                <w:sz w:val="20"/>
                <w:szCs w:val="20"/>
              </w:rPr>
              <w:t>07</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0529765" w14:textId="77777777" w:rsidR="00387142" w:rsidRPr="008B6A75" w:rsidRDefault="00387142" w:rsidP="00387142">
            <w:pPr>
              <w:jc w:val="right"/>
              <w:rPr>
                <w:sz w:val="20"/>
                <w:szCs w:val="20"/>
              </w:rPr>
            </w:pPr>
            <w:r w:rsidRPr="008B6A75">
              <w:rPr>
                <w:sz w:val="20"/>
                <w:szCs w:val="20"/>
              </w:rPr>
              <w:t>0,00</w:t>
            </w:r>
          </w:p>
        </w:tc>
        <w:tc>
          <w:tcPr>
            <w:tcW w:w="851" w:type="dxa"/>
            <w:tcBorders>
              <w:top w:val="nil"/>
              <w:left w:val="single" w:sz="4" w:space="0" w:color="auto"/>
              <w:bottom w:val="single" w:sz="4" w:space="0" w:color="auto"/>
              <w:right w:val="nil"/>
            </w:tcBorders>
            <w:shd w:val="clear" w:color="auto" w:fill="auto"/>
            <w:noWrap/>
            <w:vAlign w:val="center"/>
            <w:hideMark/>
          </w:tcPr>
          <w:p w14:paraId="7B86A28E" w14:textId="77777777" w:rsidR="00387142" w:rsidRPr="008B6A75" w:rsidRDefault="00387142" w:rsidP="00387142">
            <w:pPr>
              <w:jc w:val="right"/>
              <w:rPr>
                <w:sz w:val="20"/>
                <w:szCs w:val="20"/>
              </w:rPr>
            </w:pPr>
            <w:r w:rsidRPr="008B6A75">
              <w:rPr>
                <w:sz w:val="20"/>
                <w:szCs w:val="20"/>
              </w:rPr>
              <w:t>10 000 000,00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77170983" w14:textId="77777777" w:rsidR="00387142" w:rsidRPr="008B6A75" w:rsidRDefault="00387142" w:rsidP="00387142">
            <w:pPr>
              <w:jc w:val="right"/>
              <w:rPr>
                <w:sz w:val="20"/>
                <w:szCs w:val="20"/>
              </w:rPr>
            </w:pPr>
            <w:r w:rsidRPr="008B6A75">
              <w:rPr>
                <w:sz w:val="20"/>
                <w:szCs w:val="20"/>
              </w:rPr>
              <w:t>10 000 000,00</w:t>
            </w:r>
          </w:p>
        </w:tc>
      </w:tr>
      <w:tr w:rsidR="00387142" w:rsidRPr="008B6A75" w14:paraId="256AAFD2" w14:textId="77777777" w:rsidTr="00387142">
        <w:trPr>
          <w:trHeight w:val="585"/>
        </w:trPr>
        <w:tc>
          <w:tcPr>
            <w:tcW w:w="272" w:type="dxa"/>
            <w:tcBorders>
              <w:top w:val="nil"/>
              <w:left w:val="nil"/>
              <w:bottom w:val="nil"/>
              <w:right w:val="single" w:sz="4" w:space="0" w:color="auto"/>
            </w:tcBorders>
            <w:shd w:val="clear" w:color="auto" w:fill="auto"/>
            <w:noWrap/>
            <w:vAlign w:val="bottom"/>
            <w:hideMark/>
          </w:tcPr>
          <w:p w14:paraId="03B2F905"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0407E79F" w14:textId="77777777" w:rsidR="00387142" w:rsidRPr="008B6A75" w:rsidRDefault="00387142" w:rsidP="00387142">
            <w:pPr>
              <w:rPr>
                <w:sz w:val="20"/>
                <w:szCs w:val="20"/>
              </w:rPr>
            </w:pPr>
            <w:r w:rsidRPr="008B6A75">
              <w:rPr>
                <w:sz w:val="20"/>
                <w:szCs w:val="20"/>
              </w:rPr>
              <w:t>Закупка товаров, работ и услуг для обеспечения государственных (муниципальных) нужд</w:t>
            </w:r>
          </w:p>
        </w:tc>
        <w:tc>
          <w:tcPr>
            <w:tcW w:w="1559" w:type="dxa"/>
            <w:tcBorders>
              <w:top w:val="nil"/>
              <w:left w:val="single" w:sz="4" w:space="0" w:color="auto"/>
              <w:bottom w:val="single" w:sz="4" w:space="0" w:color="auto"/>
              <w:right w:val="nil"/>
            </w:tcBorders>
            <w:shd w:val="clear" w:color="auto" w:fill="auto"/>
            <w:noWrap/>
            <w:vAlign w:val="center"/>
            <w:hideMark/>
          </w:tcPr>
          <w:p w14:paraId="3E4D7815" w14:textId="77777777" w:rsidR="00387142" w:rsidRPr="008B6A75" w:rsidRDefault="00387142" w:rsidP="00387142">
            <w:pPr>
              <w:jc w:val="center"/>
              <w:rPr>
                <w:sz w:val="20"/>
                <w:szCs w:val="20"/>
              </w:rPr>
            </w:pPr>
            <w:r w:rsidRPr="008B6A75">
              <w:rPr>
                <w:sz w:val="20"/>
                <w:szCs w:val="20"/>
              </w:rPr>
              <w:t>04.0.00.07590</w:t>
            </w:r>
          </w:p>
        </w:tc>
        <w:tc>
          <w:tcPr>
            <w:tcW w:w="850" w:type="dxa"/>
            <w:tcBorders>
              <w:top w:val="nil"/>
              <w:left w:val="single" w:sz="4" w:space="0" w:color="auto"/>
              <w:bottom w:val="single" w:sz="4" w:space="0" w:color="auto"/>
              <w:right w:val="nil"/>
            </w:tcBorders>
            <w:shd w:val="clear" w:color="auto" w:fill="auto"/>
            <w:noWrap/>
            <w:vAlign w:val="center"/>
            <w:hideMark/>
          </w:tcPr>
          <w:p w14:paraId="3D0495BF" w14:textId="77777777" w:rsidR="00387142" w:rsidRPr="008B6A75" w:rsidRDefault="00387142" w:rsidP="00387142">
            <w:pPr>
              <w:jc w:val="center"/>
              <w:rPr>
                <w:sz w:val="20"/>
                <w:szCs w:val="20"/>
              </w:rPr>
            </w:pPr>
            <w:r w:rsidRPr="008B6A75">
              <w:rPr>
                <w:sz w:val="20"/>
                <w:szCs w:val="20"/>
              </w:rPr>
              <w:t>200</w:t>
            </w:r>
          </w:p>
        </w:tc>
        <w:tc>
          <w:tcPr>
            <w:tcW w:w="567" w:type="dxa"/>
            <w:tcBorders>
              <w:top w:val="nil"/>
              <w:left w:val="single" w:sz="4" w:space="0" w:color="auto"/>
              <w:bottom w:val="single" w:sz="4" w:space="0" w:color="auto"/>
              <w:right w:val="nil"/>
            </w:tcBorders>
            <w:shd w:val="clear" w:color="auto" w:fill="auto"/>
            <w:noWrap/>
            <w:vAlign w:val="center"/>
            <w:hideMark/>
          </w:tcPr>
          <w:p w14:paraId="73F18B3D" w14:textId="77777777" w:rsidR="00387142" w:rsidRPr="008B6A75" w:rsidRDefault="00387142" w:rsidP="00387142">
            <w:pPr>
              <w:jc w:val="center"/>
              <w:rPr>
                <w:sz w:val="20"/>
                <w:szCs w:val="20"/>
              </w:rPr>
            </w:pPr>
            <w:r w:rsidRPr="008B6A75">
              <w:rPr>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14778E9C" w14:textId="77777777" w:rsidR="00387142" w:rsidRPr="008B6A75" w:rsidRDefault="00387142" w:rsidP="00387142">
            <w:pPr>
              <w:jc w:val="center"/>
              <w:rPr>
                <w:sz w:val="20"/>
                <w:szCs w:val="20"/>
              </w:rPr>
            </w:pPr>
            <w:r w:rsidRPr="008B6A75">
              <w:rPr>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9A6BC6E" w14:textId="77777777" w:rsidR="00387142" w:rsidRPr="008B6A75" w:rsidRDefault="00387142" w:rsidP="00387142">
            <w:pPr>
              <w:jc w:val="right"/>
              <w:rPr>
                <w:sz w:val="20"/>
                <w:szCs w:val="20"/>
              </w:rPr>
            </w:pPr>
            <w:r w:rsidRPr="008B6A75">
              <w:rPr>
                <w:sz w:val="20"/>
                <w:szCs w:val="20"/>
              </w:rPr>
              <w:t>0,00</w:t>
            </w:r>
          </w:p>
        </w:tc>
        <w:tc>
          <w:tcPr>
            <w:tcW w:w="851" w:type="dxa"/>
            <w:tcBorders>
              <w:top w:val="nil"/>
              <w:left w:val="single" w:sz="4" w:space="0" w:color="auto"/>
              <w:bottom w:val="single" w:sz="4" w:space="0" w:color="auto"/>
              <w:right w:val="nil"/>
            </w:tcBorders>
            <w:shd w:val="clear" w:color="auto" w:fill="auto"/>
            <w:noWrap/>
            <w:vAlign w:val="center"/>
            <w:hideMark/>
          </w:tcPr>
          <w:p w14:paraId="1C97A5EC" w14:textId="77777777" w:rsidR="00387142" w:rsidRPr="008B6A75" w:rsidRDefault="00387142" w:rsidP="00387142">
            <w:pPr>
              <w:jc w:val="right"/>
              <w:rPr>
                <w:sz w:val="20"/>
                <w:szCs w:val="20"/>
              </w:rPr>
            </w:pPr>
            <w:r w:rsidRPr="008B6A75">
              <w:rPr>
                <w:sz w:val="20"/>
                <w:szCs w:val="20"/>
              </w:rPr>
              <w:t>2 000 000,00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00C52009" w14:textId="77777777" w:rsidR="00387142" w:rsidRPr="008B6A75" w:rsidRDefault="00387142" w:rsidP="00387142">
            <w:pPr>
              <w:jc w:val="right"/>
              <w:rPr>
                <w:sz w:val="20"/>
                <w:szCs w:val="20"/>
              </w:rPr>
            </w:pPr>
            <w:r w:rsidRPr="008B6A75">
              <w:rPr>
                <w:sz w:val="20"/>
                <w:szCs w:val="20"/>
              </w:rPr>
              <w:t>2 000 000,00</w:t>
            </w:r>
          </w:p>
        </w:tc>
      </w:tr>
      <w:tr w:rsidR="00387142" w:rsidRPr="008B6A75" w14:paraId="32429D37" w14:textId="77777777" w:rsidTr="00387142">
        <w:trPr>
          <w:trHeight w:val="870"/>
        </w:trPr>
        <w:tc>
          <w:tcPr>
            <w:tcW w:w="272" w:type="dxa"/>
            <w:tcBorders>
              <w:top w:val="nil"/>
              <w:left w:val="nil"/>
              <w:bottom w:val="nil"/>
              <w:right w:val="single" w:sz="4" w:space="0" w:color="auto"/>
            </w:tcBorders>
            <w:shd w:val="clear" w:color="auto" w:fill="auto"/>
            <w:noWrap/>
            <w:vAlign w:val="bottom"/>
            <w:hideMark/>
          </w:tcPr>
          <w:p w14:paraId="08E7C7C3"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3EE732DC" w14:textId="77777777" w:rsidR="00387142" w:rsidRPr="008B6A75" w:rsidRDefault="00387142" w:rsidP="00387142">
            <w:pPr>
              <w:rPr>
                <w:sz w:val="20"/>
                <w:szCs w:val="20"/>
              </w:rPr>
            </w:pPr>
            <w:r w:rsidRPr="008B6A75">
              <w:rPr>
                <w:sz w:val="20"/>
                <w:szCs w:val="20"/>
              </w:rPr>
              <w:t>Иные закупки товаров, работ и услуг для обеспечения государственных (муниципальных) нужд</w:t>
            </w:r>
          </w:p>
        </w:tc>
        <w:tc>
          <w:tcPr>
            <w:tcW w:w="1559" w:type="dxa"/>
            <w:tcBorders>
              <w:top w:val="nil"/>
              <w:left w:val="single" w:sz="4" w:space="0" w:color="auto"/>
              <w:bottom w:val="single" w:sz="4" w:space="0" w:color="auto"/>
              <w:right w:val="nil"/>
            </w:tcBorders>
            <w:shd w:val="clear" w:color="auto" w:fill="auto"/>
            <w:noWrap/>
            <w:vAlign w:val="center"/>
            <w:hideMark/>
          </w:tcPr>
          <w:p w14:paraId="4696E7CB" w14:textId="77777777" w:rsidR="00387142" w:rsidRPr="008B6A75" w:rsidRDefault="00387142" w:rsidP="00387142">
            <w:pPr>
              <w:jc w:val="center"/>
              <w:rPr>
                <w:sz w:val="20"/>
                <w:szCs w:val="20"/>
              </w:rPr>
            </w:pPr>
            <w:r w:rsidRPr="008B6A75">
              <w:rPr>
                <w:sz w:val="20"/>
                <w:szCs w:val="20"/>
              </w:rPr>
              <w:t>04.0.00.07590</w:t>
            </w:r>
          </w:p>
        </w:tc>
        <w:tc>
          <w:tcPr>
            <w:tcW w:w="850" w:type="dxa"/>
            <w:tcBorders>
              <w:top w:val="nil"/>
              <w:left w:val="single" w:sz="4" w:space="0" w:color="auto"/>
              <w:bottom w:val="single" w:sz="4" w:space="0" w:color="auto"/>
              <w:right w:val="nil"/>
            </w:tcBorders>
            <w:shd w:val="clear" w:color="auto" w:fill="auto"/>
            <w:noWrap/>
            <w:vAlign w:val="center"/>
            <w:hideMark/>
          </w:tcPr>
          <w:p w14:paraId="26472C04" w14:textId="77777777" w:rsidR="00387142" w:rsidRPr="008B6A75" w:rsidRDefault="00387142" w:rsidP="00387142">
            <w:pPr>
              <w:jc w:val="center"/>
              <w:rPr>
                <w:sz w:val="20"/>
                <w:szCs w:val="20"/>
              </w:rPr>
            </w:pPr>
            <w:r w:rsidRPr="008B6A75">
              <w:rPr>
                <w:sz w:val="20"/>
                <w:szCs w:val="20"/>
              </w:rPr>
              <w:t>240</w:t>
            </w:r>
          </w:p>
        </w:tc>
        <w:tc>
          <w:tcPr>
            <w:tcW w:w="567" w:type="dxa"/>
            <w:tcBorders>
              <w:top w:val="nil"/>
              <w:left w:val="single" w:sz="4" w:space="0" w:color="auto"/>
              <w:bottom w:val="single" w:sz="4" w:space="0" w:color="auto"/>
              <w:right w:val="nil"/>
            </w:tcBorders>
            <w:shd w:val="clear" w:color="auto" w:fill="auto"/>
            <w:noWrap/>
            <w:vAlign w:val="center"/>
            <w:hideMark/>
          </w:tcPr>
          <w:p w14:paraId="1370640E" w14:textId="77777777" w:rsidR="00387142" w:rsidRPr="008B6A75" w:rsidRDefault="00387142" w:rsidP="00387142">
            <w:pPr>
              <w:jc w:val="center"/>
              <w:rPr>
                <w:sz w:val="20"/>
                <w:szCs w:val="20"/>
              </w:rPr>
            </w:pPr>
            <w:r w:rsidRPr="008B6A75">
              <w:rPr>
                <w:sz w:val="20"/>
                <w:szCs w:val="20"/>
              </w:rPr>
              <w:t>07</w:t>
            </w:r>
          </w:p>
        </w:tc>
        <w:tc>
          <w:tcPr>
            <w:tcW w:w="567" w:type="dxa"/>
            <w:tcBorders>
              <w:top w:val="nil"/>
              <w:left w:val="single" w:sz="4" w:space="0" w:color="auto"/>
              <w:bottom w:val="single" w:sz="4" w:space="0" w:color="auto"/>
              <w:right w:val="nil"/>
            </w:tcBorders>
            <w:shd w:val="clear" w:color="auto" w:fill="auto"/>
            <w:noWrap/>
            <w:vAlign w:val="center"/>
            <w:hideMark/>
          </w:tcPr>
          <w:p w14:paraId="59BB3551" w14:textId="77777777" w:rsidR="00387142" w:rsidRPr="008B6A75" w:rsidRDefault="00387142" w:rsidP="00387142">
            <w:pPr>
              <w:jc w:val="center"/>
              <w:rPr>
                <w:sz w:val="20"/>
                <w:szCs w:val="20"/>
              </w:rPr>
            </w:pPr>
            <w:r w:rsidRPr="008B6A75">
              <w:rPr>
                <w:sz w:val="20"/>
                <w:szCs w:val="20"/>
              </w:rPr>
              <w:t>07</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DF94228" w14:textId="77777777" w:rsidR="00387142" w:rsidRPr="008B6A75" w:rsidRDefault="00387142" w:rsidP="00387142">
            <w:pPr>
              <w:jc w:val="right"/>
              <w:rPr>
                <w:sz w:val="20"/>
                <w:szCs w:val="20"/>
              </w:rPr>
            </w:pPr>
            <w:r w:rsidRPr="008B6A75">
              <w:rPr>
                <w:sz w:val="20"/>
                <w:szCs w:val="20"/>
              </w:rPr>
              <w:t>0,00</w:t>
            </w:r>
          </w:p>
        </w:tc>
        <w:tc>
          <w:tcPr>
            <w:tcW w:w="851" w:type="dxa"/>
            <w:tcBorders>
              <w:top w:val="nil"/>
              <w:left w:val="single" w:sz="4" w:space="0" w:color="auto"/>
              <w:bottom w:val="single" w:sz="4" w:space="0" w:color="auto"/>
              <w:right w:val="nil"/>
            </w:tcBorders>
            <w:shd w:val="clear" w:color="auto" w:fill="auto"/>
            <w:noWrap/>
            <w:vAlign w:val="center"/>
            <w:hideMark/>
          </w:tcPr>
          <w:p w14:paraId="5E6C01A6" w14:textId="77777777" w:rsidR="00387142" w:rsidRPr="008B6A75" w:rsidRDefault="00387142" w:rsidP="00387142">
            <w:pPr>
              <w:jc w:val="right"/>
              <w:rPr>
                <w:sz w:val="20"/>
                <w:szCs w:val="20"/>
              </w:rPr>
            </w:pPr>
            <w:r w:rsidRPr="008B6A75">
              <w:rPr>
                <w:sz w:val="20"/>
                <w:szCs w:val="20"/>
              </w:rPr>
              <w:t>2 000 000,00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708826BA" w14:textId="77777777" w:rsidR="00387142" w:rsidRPr="008B6A75" w:rsidRDefault="00387142" w:rsidP="00387142">
            <w:pPr>
              <w:jc w:val="right"/>
              <w:rPr>
                <w:sz w:val="20"/>
                <w:szCs w:val="20"/>
              </w:rPr>
            </w:pPr>
            <w:r w:rsidRPr="008B6A75">
              <w:rPr>
                <w:sz w:val="20"/>
                <w:szCs w:val="20"/>
              </w:rPr>
              <w:t>2 000 000,00</w:t>
            </w:r>
          </w:p>
        </w:tc>
      </w:tr>
      <w:tr w:rsidR="00387142" w:rsidRPr="008B6A75" w14:paraId="73841D02" w14:textId="77777777" w:rsidTr="00387142">
        <w:trPr>
          <w:trHeight w:val="870"/>
        </w:trPr>
        <w:tc>
          <w:tcPr>
            <w:tcW w:w="272" w:type="dxa"/>
            <w:tcBorders>
              <w:top w:val="nil"/>
              <w:left w:val="nil"/>
              <w:bottom w:val="nil"/>
              <w:right w:val="single" w:sz="4" w:space="0" w:color="auto"/>
            </w:tcBorders>
            <w:shd w:val="clear" w:color="auto" w:fill="auto"/>
            <w:noWrap/>
            <w:vAlign w:val="bottom"/>
            <w:hideMark/>
          </w:tcPr>
          <w:p w14:paraId="40961355"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5870813D" w14:textId="77777777" w:rsidR="00387142" w:rsidRPr="008B6A75" w:rsidRDefault="00387142" w:rsidP="00387142">
            <w:pPr>
              <w:rPr>
                <w:sz w:val="20"/>
                <w:szCs w:val="20"/>
              </w:rPr>
            </w:pPr>
            <w:r w:rsidRPr="008B6A75">
              <w:rPr>
                <w:sz w:val="20"/>
                <w:szCs w:val="20"/>
              </w:rPr>
              <w:t>Предоставление субсидий бюджетным, автономным учреждениям и иным некоммерческим организациям</w:t>
            </w:r>
          </w:p>
        </w:tc>
        <w:tc>
          <w:tcPr>
            <w:tcW w:w="1559" w:type="dxa"/>
            <w:tcBorders>
              <w:top w:val="nil"/>
              <w:left w:val="single" w:sz="4" w:space="0" w:color="auto"/>
              <w:bottom w:val="single" w:sz="4" w:space="0" w:color="auto"/>
              <w:right w:val="nil"/>
            </w:tcBorders>
            <w:shd w:val="clear" w:color="auto" w:fill="auto"/>
            <w:noWrap/>
            <w:vAlign w:val="center"/>
            <w:hideMark/>
          </w:tcPr>
          <w:p w14:paraId="6F1AE76F" w14:textId="77777777" w:rsidR="00387142" w:rsidRPr="008B6A75" w:rsidRDefault="00387142" w:rsidP="00387142">
            <w:pPr>
              <w:jc w:val="center"/>
              <w:rPr>
                <w:sz w:val="20"/>
                <w:szCs w:val="20"/>
              </w:rPr>
            </w:pPr>
            <w:r w:rsidRPr="008B6A75">
              <w:rPr>
                <w:sz w:val="20"/>
                <w:szCs w:val="20"/>
              </w:rPr>
              <w:t>04.0.00.07590</w:t>
            </w:r>
          </w:p>
        </w:tc>
        <w:tc>
          <w:tcPr>
            <w:tcW w:w="850" w:type="dxa"/>
            <w:tcBorders>
              <w:top w:val="nil"/>
              <w:left w:val="single" w:sz="4" w:space="0" w:color="auto"/>
              <w:bottom w:val="single" w:sz="4" w:space="0" w:color="auto"/>
              <w:right w:val="nil"/>
            </w:tcBorders>
            <w:shd w:val="clear" w:color="auto" w:fill="auto"/>
            <w:noWrap/>
            <w:vAlign w:val="center"/>
            <w:hideMark/>
          </w:tcPr>
          <w:p w14:paraId="762D8B33" w14:textId="77777777" w:rsidR="00387142" w:rsidRPr="008B6A75" w:rsidRDefault="00387142" w:rsidP="00387142">
            <w:pPr>
              <w:jc w:val="center"/>
              <w:rPr>
                <w:sz w:val="20"/>
                <w:szCs w:val="20"/>
              </w:rPr>
            </w:pPr>
            <w:r w:rsidRPr="008B6A75">
              <w:rPr>
                <w:sz w:val="20"/>
                <w:szCs w:val="20"/>
              </w:rPr>
              <w:t>600</w:t>
            </w:r>
          </w:p>
        </w:tc>
        <w:tc>
          <w:tcPr>
            <w:tcW w:w="567" w:type="dxa"/>
            <w:tcBorders>
              <w:top w:val="nil"/>
              <w:left w:val="single" w:sz="4" w:space="0" w:color="auto"/>
              <w:bottom w:val="single" w:sz="4" w:space="0" w:color="auto"/>
              <w:right w:val="nil"/>
            </w:tcBorders>
            <w:shd w:val="clear" w:color="auto" w:fill="auto"/>
            <w:noWrap/>
            <w:vAlign w:val="center"/>
            <w:hideMark/>
          </w:tcPr>
          <w:p w14:paraId="4C4229B9" w14:textId="77777777" w:rsidR="00387142" w:rsidRPr="008B6A75" w:rsidRDefault="00387142" w:rsidP="00387142">
            <w:pPr>
              <w:jc w:val="center"/>
              <w:rPr>
                <w:sz w:val="20"/>
                <w:szCs w:val="20"/>
              </w:rPr>
            </w:pPr>
            <w:r w:rsidRPr="008B6A75">
              <w:rPr>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21478456" w14:textId="77777777" w:rsidR="00387142" w:rsidRPr="008B6A75" w:rsidRDefault="00387142" w:rsidP="00387142">
            <w:pPr>
              <w:jc w:val="center"/>
              <w:rPr>
                <w:sz w:val="20"/>
                <w:szCs w:val="20"/>
              </w:rPr>
            </w:pPr>
            <w:r w:rsidRPr="008B6A75">
              <w:rPr>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FACA0D2" w14:textId="77777777" w:rsidR="00387142" w:rsidRPr="008B6A75" w:rsidRDefault="00387142" w:rsidP="00387142">
            <w:pPr>
              <w:jc w:val="right"/>
              <w:rPr>
                <w:sz w:val="20"/>
                <w:szCs w:val="20"/>
              </w:rPr>
            </w:pPr>
            <w:r w:rsidRPr="008B6A75">
              <w:rPr>
                <w:sz w:val="20"/>
                <w:szCs w:val="20"/>
              </w:rPr>
              <w:t>20 864 910,12</w:t>
            </w:r>
          </w:p>
        </w:tc>
        <w:tc>
          <w:tcPr>
            <w:tcW w:w="851" w:type="dxa"/>
            <w:tcBorders>
              <w:top w:val="nil"/>
              <w:left w:val="single" w:sz="4" w:space="0" w:color="auto"/>
              <w:bottom w:val="single" w:sz="4" w:space="0" w:color="auto"/>
              <w:right w:val="nil"/>
            </w:tcBorders>
            <w:shd w:val="clear" w:color="auto" w:fill="auto"/>
            <w:noWrap/>
            <w:vAlign w:val="center"/>
            <w:hideMark/>
          </w:tcPr>
          <w:p w14:paraId="2CA2805E" w14:textId="77777777" w:rsidR="00387142" w:rsidRPr="008B6A75" w:rsidRDefault="00387142" w:rsidP="00387142">
            <w:pPr>
              <w:jc w:val="right"/>
              <w:rPr>
                <w:sz w:val="20"/>
                <w:szCs w:val="20"/>
              </w:rPr>
            </w:pPr>
            <w:r w:rsidRPr="008B6A75">
              <w:rPr>
                <w:sz w:val="20"/>
                <w:szCs w:val="20"/>
              </w:rPr>
              <w:t>5 000 000,00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71235516" w14:textId="77777777" w:rsidR="00387142" w:rsidRPr="008B6A75" w:rsidRDefault="00387142" w:rsidP="00387142">
            <w:pPr>
              <w:jc w:val="right"/>
              <w:rPr>
                <w:sz w:val="20"/>
                <w:szCs w:val="20"/>
              </w:rPr>
            </w:pPr>
            <w:r w:rsidRPr="008B6A75">
              <w:rPr>
                <w:sz w:val="20"/>
                <w:szCs w:val="20"/>
              </w:rPr>
              <w:t>5 000 000,00</w:t>
            </w:r>
          </w:p>
        </w:tc>
      </w:tr>
      <w:tr w:rsidR="00387142" w:rsidRPr="008B6A75" w14:paraId="7155E34A" w14:textId="77777777" w:rsidTr="00387142">
        <w:trPr>
          <w:trHeight w:val="300"/>
        </w:trPr>
        <w:tc>
          <w:tcPr>
            <w:tcW w:w="272" w:type="dxa"/>
            <w:tcBorders>
              <w:top w:val="nil"/>
              <w:left w:val="nil"/>
              <w:bottom w:val="nil"/>
              <w:right w:val="single" w:sz="4" w:space="0" w:color="auto"/>
            </w:tcBorders>
            <w:shd w:val="clear" w:color="auto" w:fill="auto"/>
            <w:noWrap/>
            <w:vAlign w:val="bottom"/>
            <w:hideMark/>
          </w:tcPr>
          <w:p w14:paraId="2E59C4D9"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44E17AB2" w14:textId="77777777" w:rsidR="00387142" w:rsidRPr="008B6A75" w:rsidRDefault="00387142" w:rsidP="00387142">
            <w:pPr>
              <w:rPr>
                <w:sz w:val="20"/>
                <w:szCs w:val="20"/>
              </w:rPr>
            </w:pPr>
            <w:r w:rsidRPr="008B6A75">
              <w:rPr>
                <w:sz w:val="20"/>
                <w:szCs w:val="20"/>
              </w:rPr>
              <w:t>Субсидии бюджетным учреждениям</w:t>
            </w:r>
          </w:p>
        </w:tc>
        <w:tc>
          <w:tcPr>
            <w:tcW w:w="1559" w:type="dxa"/>
            <w:tcBorders>
              <w:top w:val="nil"/>
              <w:left w:val="single" w:sz="4" w:space="0" w:color="auto"/>
              <w:bottom w:val="single" w:sz="4" w:space="0" w:color="auto"/>
              <w:right w:val="nil"/>
            </w:tcBorders>
            <w:shd w:val="clear" w:color="auto" w:fill="auto"/>
            <w:noWrap/>
            <w:vAlign w:val="center"/>
            <w:hideMark/>
          </w:tcPr>
          <w:p w14:paraId="192CCB8B" w14:textId="77777777" w:rsidR="00387142" w:rsidRPr="008B6A75" w:rsidRDefault="00387142" w:rsidP="00387142">
            <w:pPr>
              <w:jc w:val="center"/>
              <w:rPr>
                <w:sz w:val="20"/>
                <w:szCs w:val="20"/>
              </w:rPr>
            </w:pPr>
            <w:r w:rsidRPr="008B6A75">
              <w:rPr>
                <w:sz w:val="20"/>
                <w:szCs w:val="20"/>
              </w:rPr>
              <w:t>04.0.00.07590</w:t>
            </w:r>
          </w:p>
        </w:tc>
        <w:tc>
          <w:tcPr>
            <w:tcW w:w="850" w:type="dxa"/>
            <w:tcBorders>
              <w:top w:val="nil"/>
              <w:left w:val="single" w:sz="4" w:space="0" w:color="auto"/>
              <w:bottom w:val="single" w:sz="4" w:space="0" w:color="auto"/>
              <w:right w:val="nil"/>
            </w:tcBorders>
            <w:shd w:val="clear" w:color="auto" w:fill="auto"/>
            <w:noWrap/>
            <w:vAlign w:val="center"/>
            <w:hideMark/>
          </w:tcPr>
          <w:p w14:paraId="668954E8" w14:textId="77777777" w:rsidR="00387142" w:rsidRPr="008B6A75" w:rsidRDefault="00387142" w:rsidP="00387142">
            <w:pPr>
              <w:jc w:val="center"/>
              <w:rPr>
                <w:sz w:val="20"/>
                <w:szCs w:val="20"/>
              </w:rPr>
            </w:pPr>
            <w:r w:rsidRPr="008B6A75">
              <w:rPr>
                <w:sz w:val="20"/>
                <w:szCs w:val="20"/>
              </w:rPr>
              <w:t>610</w:t>
            </w:r>
          </w:p>
        </w:tc>
        <w:tc>
          <w:tcPr>
            <w:tcW w:w="567" w:type="dxa"/>
            <w:tcBorders>
              <w:top w:val="nil"/>
              <w:left w:val="single" w:sz="4" w:space="0" w:color="auto"/>
              <w:bottom w:val="single" w:sz="4" w:space="0" w:color="auto"/>
              <w:right w:val="nil"/>
            </w:tcBorders>
            <w:shd w:val="clear" w:color="auto" w:fill="auto"/>
            <w:noWrap/>
            <w:vAlign w:val="center"/>
            <w:hideMark/>
          </w:tcPr>
          <w:p w14:paraId="3D8B3813" w14:textId="77777777" w:rsidR="00387142" w:rsidRPr="008B6A75" w:rsidRDefault="00387142" w:rsidP="00387142">
            <w:pPr>
              <w:jc w:val="center"/>
              <w:rPr>
                <w:sz w:val="20"/>
                <w:szCs w:val="20"/>
              </w:rPr>
            </w:pPr>
            <w:r w:rsidRPr="008B6A75">
              <w:rPr>
                <w:sz w:val="20"/>
                <w:szCs w:val="20"/>
              </w:rPr>
              <w:t>07</w:t>
            </w:r>
          </w:p>
        </w:tc>
        <w:tc>
          <w:tcPr>
            <w:tcW w:w="567" w:type="dxa"/>
            <w:tcBorders>
              <w:top w:val="nil"/>
              <w:left w:val="single" w:sz="4" w:space="0" w:color="auto"/>
              <w:bottom w:val="single" w:sz="4" w:space="0" w:color="auto"/>
              <w:right w:val="nil"/>
            </w:tcBorders>
            <w:shd w:val="clear" w:color="auto" w:fill="auto"/>
            <w:noWrap/>
            <w:vAlign w:val="center"/>
            <w:hideMark/>
          </w:tcPr>
          <w:p w14:paraId="20F30B0B" w14:textId="77777777" w:rsidR="00387142" w:rsidRPr="008B6A75" w:rsidRDefault="00387142" w:rsidP="00387142">
            <w:pPr>
              <w:jc w:val="center"/>
              <w:rPr>
                <w:sz w:val="20"/>
                <w:szCs w:val="20"/>
              </w:rPr>
            </w:pPr>
            <w:r w:rsidRPr="008B6A75">
              <w:rPr>
                <w:sz w:val="20"/>
                <w:szCs w:val="20"/>
              </w:rPr>
              <w:t>07</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6FB6C2E" w14:textId="77777777" w:rsidR="00387142" w:rsidRPr="008B6A75" w:rsidRDefault="00387142" w:rsidP="00387142">
            <w:pPr>
              <w:jc w:val="right"/>
              <w:rPr>
                <w:sz w:val="20"/>
                <w:szCs w:val="20"/>
              </w:rPr>
            </w:pPr>
            <w:r w:rsidRPr="008B6A75">
              <w:rPr>
                <w:sz w:val="20"/>
                <w:szCs w:val="20"/>
              </w:rPr>
              <w:t>20 864 910,12</w:t>
            </w:r>
          </w:p>
        </w:tc>
        <w:tc>
          <w:tcPr>
            <w:tcW w:w="851" w:type="dxa"/>
            <w:tcBorders>
              <w:top w:val="nil"/>
              <w:left w:val="single" w:sz="4" w:space="0" w:color="auto"/>
              <w:bottom w:val="single" w:sz="4" w:space="0" w:color="auto"/>
              <w:right w:val="nil"/>
            </w:tcBorders>
            <w:shd w:val="clear" w:color="auto" w:fill="auto"/>
            <w:noWrap/>
            <w:vAlign w:val="center"/>
            <w:hideMark/>
          </w:tcPr>
          <w:p w14:paraId="1671E99E" w14:textId="77777777" w:rsidR="00387142" w:rsidRPr="008B6A75" w:rsidRDefault="00387142" w:rsidP="00387142">
            <w:pPr>
              <w:jc w:val="right"/>
              <w:rPr>
                <w:sz w:val="20"/>
                <w:szCs w:val="20"/>
              </w:rPr>
            </w:pPr>
            <w:r w:rsidRPr="008B6A75">
              <w:rPr>
                <w:sz w:val="20"/>
                <w:szCs w:val="20"/>
              </w:rPr>
              <w:t>5 000 000,00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2B1C2220" w14:textId="77777777" w:rsidR="00387142" w:rsidRPr="008B6A75" w:rsidRDefault="00387142" w:rsidP="00387142">
            <w:pPr>
              <w:jc w:val="right"/>
              <w:rPr>
                <w:sz w:val="20"/>
                <w:szCs w:val="20"/>
              </w:rPr>
            </w:pPr>
            <w:r w:rsidRPr="008B6A75">
              <w:rPr>
                <w:sz w:val="20"/>
                <w:szCs w:val="20"/>
              </w:rPr>
              <w:t>5 000 000,00</w:t>
            </w:r>
          </w:p>
        </w:tc>
      </w:tr>
      <w:tr w:rsidR="00387142" w:rsidRPr="008B6A75" w14:paraId="48F0D306" w14:textId="77777777" w:rsidTr="00387142">
        <w:trPr>
          <w:trHeight w:val="1440"/>
        </w:trPr>
        <w:tc>
          <w:tcPr>
            <w:tcW w:w="272" w:type="dxa"/>
            <w:tcBorders>
              <w:top w:val="nil"/>
              <w:left w:val="nil"/>
              <w:bottom w:val="nil"/>
              <w:right w:val="single" w:sz="4" w:space="0" w:color="auto"/>
            </w:tcBorders>
            <w:shd w:val="clear" w:color="auto" w:fill="auto"/>
            <w:noWrap/>
            <w:vAlign w:val="bottom"/>
            <w:hideMark/>
          </w:tcPr>
          <w:p w14:paraId="06FD7A88"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45527591" w14:textId="77777777" w:rsidR="00387142" w:rsidRPr="008B6A75" w:rsidRDefault="00387142" w:rsidP="00387142">
            <w:pPr>
              <w:rPr>
                <w:bCs/>
                <w:sz w:val="20"/>
                <w:szCs w:val="20"/>
              </w:rPr>
            </w:pPr>
            <w:r w:rsidRPr="008B6A75">
              <w:rPr>
                <w:bCs/>
                <w:sz w:val="20"/>
                <w:szCs w:val="20"/>
              </w:rPr>
              <w:t xml:space="preserve">Реализация мероприятий по обеспечению сбалансированности местных </w:t>
            </w:r>
            <w:proofErr w:type="gramStart"/>
            <w:r w:rsidRPr="008B6A75">
              <w:rPr>
                <w:bCs/>
                <w:sz w:val="20"/>
                <w:szCs w:val="20"/>
              </w:rPr>
              <w:t>бюджетов  государственной</w:t>
            </w:r>
            <w:proofErr w:type="gramEnd"/>
            <w:r w:rsidRPr="008B6A75">
              <w:rPr>
                <w:bCs/>
                <w:sz w:val="20"/>
                <w:szCs w:val="20"/>
              </w:rPr>
              <w:t xml:space="preserve"> программы Новосибирской области "Управление  финансами в Новосибирской области"</w:t>
            </w:r>
          </w:p>
        </w:tc>
        <w:tc>
          <w:tcPr>
            <w:tcW w:w="1559" w:type="dxa"/>
            <w:tcBorders>
              <w:top w:val="nil"/>
              <w:left w:val="single" w:sz="4" w:space="0" w:color="auto"/>
              <w:bottom w:val="single" w:sz="4" w:space="0" w:color="auto"/>
              <w:right w:val="nil"/>
            </w:tcBorders>
            <w:shd w:val="clear" w:color="auto" w:fill="auto"/>
            <w:noWrap/>
            <w:vAlign w:val="center"/>
            <w:hideMark/>
          </w:tcPr>
          <w:p w14:paraId="0775246E" w14:textId="77777777" w:rsidR="00387142" w:rsidRPr="008B6A75" w:rsidRDefault="00387142" w:rsidP="00387142">
            <w:pPr>
              <w:jc w:val="center"/>
              <w:rPr>
                <w:bCs/>
                <w:sz w:val="20"/>
                <w:szCs w:val="20"/>
              </w:rPr>
            </w:pPr>
            <w:r w:rsidRPr="008B6A75">
              <w:rPr>
                <w:bCs/>
                <w:sz w:val="20"/>
                <w:szCs w:val="20"/>
              </w:rPr>
              <w:t>04.0.00.70510</w:t>
            </w:r>
          </w:p>
        </w:tc>
        <w:tc>
          <w:tcPr>
            <w:tcW w:w="850" w:type="dxa"/>
            <w:tcBorders>
              <w:top w:val="nil"/>
              <w:left w:val="single" w:sz="4" w:space="0" w:color="auto"/>
              <w:bottom w:val="single" w:sz="4" w:space="0" w:color="auto"/>
              <w:right w:val="nil"/>
            </w:tcBorders>
            <w:shd w:val="clear" w:color="auto" w:fill="auto"/>
            <w:noWrap/>
            <w:vAlign w:val="center"/>
            <w:hideMark/>
          </w:tcPr>
          <w:p w14:paraId="340340E4" w14:textId="77777777" w:rsidR="00387142" w:rsidRPr="008B6A75" w:rsidRDefault="00387142" w:rsidP="00387142">
            <w:pPr>
              <w:jc w:val="center"/>
              <w:rPr>
                <w:bCs/>
                <w:sz w:val="20"/>
                <w:szCs w:val="20"/>
              </w:rPr>
            </w:pPr>
            <w:r w:rsidRPr="008B6A75">
              <w:rPr>
                <w:bCs/>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7BDD35C1" w14:textId="77777777" w:rsidR="00387142" w:rsidRPr="008B6A75" w:rsidRDefault="00387142" w:rsidP="00387142">
            <w:pPr>
              <w:jc w:val="center"/>
              <w:rPr>
                <w:bCs/>
                <w:sz w:val="20"/>
                <w:szCs w:val="20"/>
              </w:rPr>
            </w:pPr>
            <w:r w:rsidRPr="008B6A75">
              <w:rPr>
                <w:bCs/>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70641F87" w14:textId="77777777" w:rsidR="00387142" w:rsidRPr="008B6A75" w:rsidRDefault="00387142" w:rsidP="00387142">
            <w:pPr>
              <w:jc w:val="center"/>
              <w:rPr>
                <w:bCs/>
                <w:sz w:val="20"/>
                <w:szCs w:val="20"/>
              </w:rPr>
            </w:pPr>
            <w:r w:rsidRPr="008B6A75">
              <w:rPr>
                <w:bCs/>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C1A65F8" w14:textId="77777777" w:rsidR="00387142" w:rsidRPr="008B6A75" w:rsidRDefault="00387142" w:rsidP="00387142">
            <w:pPr>
              <w:jc w:val="right"/>
              <w:rPr>
                <w:bCs/>
                <w:sz w:val="20"/>
                <w:szCs w:val="20"/>
              </w:rPr>
            </w:pPr>
            <w:r w:rsidRPr="008B6A75">
              <w:rPr>
                <w:bCs/>
                <w:sz w:val="20"/>
                <w:szCs w:val="20"/>
              </w:rPr>
              <w:t>2 909 200,00</w:t>
            </w:r>
          </w:p>
        </w:tc>
        <w:tc>
          <w:tcPr>
            <w:tcW w:w="851" w:type="dxa"/>
            <w:tcBorders>
              <w:top w:val="nil"/>
              <w:left w:val="single" w:sz="4" w:space="0" w:color="auto"/>
              <w:bottom w:val="single" w:sz="4" w:space="0" w:color="auto"/>
              <w:right w:val="nil"/>
            </w:tcBorders>
            <w:shd w:val="clear" w:color="auto" w:fill="auto"/>
            <w:noWrap/>
            <w:vAlign w:val="center"/>
            <w:hideMark/>
          </w:tcPr>
          <w:p w14:paraId="2BC6B289" w14:textId="77777777" w:rsidR="00387142" w:rsidRPr="008B6A75" w:rsidRDefault="00387142" w:rsidP="00387142">
            <w:pPr>
              <w:jc w:val="right"/>
              <w:rPr>
                <w:bCs/>
                <w:sz w:val="20"/>
                <w:szCs w:val="20"/>
              </w:rPr>
            </w:pPr>
            <w:r w:rsidRPr="008B6A75">
              <w:rPr>
                <w:bCs/>
                <w:sz w:val="20"/>
                <w:szCs w:val="20"/>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00BC0AA4" w14:textId="77777777" w:rsidR="00387142" w:rsidRPr="008B6A75" w:rsidRDefault="00387142" w:rsidP="00387142">
            <w:pPr>
              <w:jc w:val="right"/>
              <w:rPr>
                <w:bCs/>
                <w:sz w:val="20"/>
                <w:szCs w:val="20"/>
              </w:rPr>
            </w:pPr>
            <w:r w:rsidRPr="008B6A75">
              <w:rPr>
                <w:bCs/>
                <w:sz w:val="20"/>
                <w:szCs w:val="20"/>
              </w:rPr>
              <w:t>0,00</w:t>
            </w:r>
          </w:p>
        </w:tc>
      </w:tr>
      <w:tr w:rsidR="00387142" w:rsidRPr="008B6A75" w14:paraId="25034DE7" w14:textId="77777777" w:rsidTr="00387142">
        <w:trPr>
          <w:trHeight w:val="870"/>
        </w:trPr>
        <w:tc>
          <w:tcPr>
            <w:tcW w:w="272" w:type="dxa"/>
            <w:tcBorders>
              <w:top w:val="nil"/>
              <w:left w:val="nil"/>
              <w:bottom w:val="nil"/>
              <w:right w:val="single" w:sz="4" w:space="0" w:color="auto"/>
            </w:tcBorders>
            <w:shd w:val="clear" w:color="auto" w:fill="auto"/>
            <w:noWrap/>
            <w:vAlign w:val="bottom"/>
            <w:hideMark/>
          </w:tcPr>
          <w:p w14:paraId="59DC75C8"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799F4E79" w14:textId="77777777" w:rsidR="00387142" w:rsidRPr="008B6A75" w:rsidRDefault="00387142" w:rsidP="00387142">
            <w:pPr>
              <w:rPr>
                <w:sz w:val="20"/>
                <w:szCs w:val="20"/>
              </w:rPr>
            </w:pPr>
            <w:r w:rsidRPr="008B6A75">
              <w:rPr>
                <w:sz w:val="20"/>
                <w:szCs w:val="20"/>
              </w:rPr>
              <w:t>Предоставление субсидий бюджетным, автономным учреждениям и иным некоммерческим организациям</w:t>
            </w:r>
          </w:p>
        </w:tc>
        <w:tc>
          <w:tcPr>
            <w:tcW w:w="1559" w:type="dxa"/>
            <w:tcBorders>
              <w:top w:val="nil"/>
              <w:left w:val="single" w:sz="4" w:space="0" w:color="auto"/>
              <w:bottom w:val="single" w:sz="4" w:space="0" w:color="auto"/>
              <w:right w:val="nil"/>
            </w:tcBorders>
            <w:shd w:val="clear" w:color="auto" w:fill="auto"/>
            <w:noWrap/>
            <w:vAlign w:val="center"/>
            <w:hideMark/>
          </w:tcPr>
          <w:p w14:paraId="6F926979" w14:textId="77777777" w:rsidR="00387142" w:rsidRPr="008B6A75" w:rsidRDefault="00387142" w:rsidP="00387142">
            <w:pPr>
              <w:jc w:val="center"/>
              <w:rPr>
                <w:sz w:val="20"/>
                <w:szCs w:val="20"/>
              </w:rPr>
            </w:pPr>
            <w:r w:rsidRPr="008B6A75">
              <w:rPr>
                <w:sz w:val="20"/>
                <w:szCs w:val="20"/>
              </w:rPr>
              <w:t>04.0.00.70510</w:t>
            </w:r>
          </w:p>
        </w:tc>
        <w:tc>
          <w:tcPr>
            <w:tcW w:w="850" w:type="dxa"/>
            <w:tcBorders>
              <w:top w:val="nil"/>
              <w:left w:val="single" w:sz="4" w:space="0" w:color="auto"/>
              <w:bottom w:val="single" w:sz="4" w:space="0" w:color="auto"/>
              <w:right w:val="nil"/>
            </w:tcBorders>
            <w:shd w:val="clear" w:color="auto" w:fill="auto"/>
            <w:noWrap/>
            <w:vAlign w:val="center"/>
            <w:hideMark/>
          </w:tcPr>
          <w:p w14:paraId="5EE527FD" w14:textId="77777777" w:rsidR="00387142" w:rsidRPr="008B6A75" w:rsidRDefault="00387142" w:rsidP="00387142">
            <w:pPr>
              <w:jc w:val="center"/>
              <w:rPr>
                <w:sz w:val="20"/>
                <w:szCs w:val="20"/>
              </w:rPr>
            </w:pPr>
            <w:r w:rsidRPr="008B6A75">
              <w:rPr>
                <w:sz w:val="20"/>
                <w:szCs w:val="20"/>
              </w:rPr>
              <w:t>600</w:t>
            </w:r>
          </w:p>
        </w:tc>
        <w:tc>
          <w:tcPr>
            <w:tcW w:w="567" w:type="dxa"/>
            <w:tcBorders>
              <w:top w:val="nil"/>
              <w:left w:val="single" w:sz="4" w:space="0" w:color="auto"/>
              <w:bottom w:val="single" w:sz="4" w:space="0" w:color="auto"/>
              <w:right w:val="nil"/>
            </w:tcBorders>
            <w:shd w:val="clear" w:color="auto" w:fill="auto"/>
            <w:noWrap/>
            <w:vAlign w:val="center"/>
            <w:hideMark/>
          </w:tcPr>
          <w:p w14:paraId="183BF772" w14:textId="77777777" w:rsidR="00387142" w:rsidRPr="008B6A75" w:rsidRDefault="00387142" w:rsidP="00387142">
            <w:pPr>
              <w:jc w:val="center"/>
              <w:rPr>
                <w:sz w:val="20"/>
                <w:szCs w:val="20"/>
              </w:rPr>
            </w:pPr>
            <w:r w:rsidRPr="008B6A75">
              <w:rPr>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4F907E6B" w14:textId="77777777" w:rsidR="00387142" w:rsidRPr="008B6A75" w:rsidRDefault="00387142" w:rsidP="00387142">
            <w:pPr>
              <w:jc w:val="center"/>
              <w:rPr>
                <w:sz w:val="20"/>
                <w:szCs w:val="20"/>
              </w:rPr>
            </w:pPr>
            <w:r w:rsidRPr="008B6A75">
              <w:rPr>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54EBCF0" w14:textId="77777777" w:rsidR="00387142" w:rsidRPr="008B6A75" w:rsidRDefault="00387142" w:rsidP="00387142">
            <w:pPr>
              <w:jc w:val="right"/>
              <w:rPr>
                <w:sz w:val="20"/>
                <w:szCs w:val="20"/>
              </w:rPr>
            </w:pPr>
            <w:r w:rsidRPr="008B6A75">
              <w:rPr>
                <w:sz w:val="20"/>
                <w:szCs w:val="20"/>
              </w:rPr>
              <w:t>2 909 200,00</w:t>
            </w:r>
          </w:p>
        </w:tc>
        <w:tc>
          <w:tcPr>
            <w:tcW w:w="851" w:type="dxa"/>
            <w:tcBorders>
              <w:top w:val="nil"/>
              <w:left w:val="single" w:sz="4" w:space="0" w:color="auto"/>
              <w:bottom w:val="single" w:sz="4" w:space="0" w:color="auto"/>
              <w:right w:val="nil"/>
            </w:tcBorders>
            <w:shd w:val="clear" w:color="auto" w:fill="auto"/>
            <w:noWrap/>
            <w:vAlign w:val="center"/>
            <w:hideMark/>
          </w:tcPr>
          <w:p w14:paraId="68B33CDE" w14:textId="77777777" w:rsidR="00387142" w:rsidRPr="008B6A75" w:rsidRDefault="00387142" w:rsidP="00387142">
            <w:pPr>
              <w:jc w:val="right"/>
              <w:rPr>
                <w:sz w:val="20"/>
                <w:szCs w:val="20"/>
              </w:rPr>
            </w:pPr>
            <w:r w:rsidRPr="008B6A75">
              <w:rPr>
                <w:sz w:val="20"/>
                <w:szCs w:val="20"/>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3F331040" w14:textId="77777777" w:rsidR="00387142" w:rsidRPr="008B6A75" w:rsidRDefault="00387142" w:rsidP="00387142">
            <w:pPr>
              <w:jc w:val="right"/>
              <w:rPr>
                <w:sz w:val="20"/>
                <w:szCs w:val="20"/>
              </w:rPr>
            </w:pPr>
            <w:r w:rsidRPr="008B6A75">
              <w:rPr>
                <w:sz w:val="20"/>
                <w:szCs w:val="20"/>
              </w:rPr>
              <w:t>0,00</w:t>
            </w:r>
          </w:p>
        </w:tc>
      </w:tr>
      <w:tr w:rsidR="00387142" w:rsidRPr="008B6A75" w14:paraId="7359056A" w14:textId="77777777" w:rsidTr="00387142">
        <w:trPr>
          <w:trHeight w:val="300"/>
        </w:trPr>
        <w:tc>
          <w:tcPr>
            <w:tcW w:w="272" w:type="dxa"/>
            <w:tcBorders>
              <w:top w:val="nil"/>
              <w:left w:val="nil"/>
              <w:bottom w:val="nil"/>
              <w:right w:val="single" w:sz="4" w:space="0" w:color="auto"/>
            </w:tcBorders>
            <w:shd w:val="clear" w:color="auto" w:fill="auto"/>
            <w:noWrap/>
            <w:vAlign w:val="bottom"/>
            <w:hideMark/>
          </w:tcPr>
          <w:p w14:paraId="0AD06AEB"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78A25E3C" w14:textId="77777777" w:rsidR="00387142" w:rsidRPr="008B6A75" w:rsidRDefault="00387142" w:rsidP="00387142">
            <w:pPr>
              <w:rPr>
                <w:sz w:val="20"/>
                <w:szCs w:val="20"/>
              </w:rPr>
            </w:pPr>
            <w:r w:rsidRPr="008B6A75">
              <w:rPr>
                <w:sz w:val="20"/>
                <w:szCs w:val="20"/>
              </w:rPr>
              <w:t>Субсидии бюджетным учреждениям</w:t>
            </w:r>
          </w:p>
        </w:tc>
        <w:tc>
          <w:tcPr>
            <w:tcW w:w="1559" w:type="dxa"/>
            <w:tcBorders>
              <w:top w:val="nil"/>
              <w:left w:val="single" w:sz="4" w:space="0" w:color="auto"/>
              <w:bottom w:val="single" w:sz="4" w:space="0" w:color="auto"/>
              <w:right w:val="nil"/>
            </w:tcBorders>
            <w:shd w:val="clear" w:color="auto" w:fill="auto"/>
            <w:noWrap/>
            <w:vAlign w:val="center"/>
            <w:hideMark/>
          </w:tcPr>
          <w:p w14:paraId="08060BBA" w14:textId="77777777" w:rsidR="00387142" w:rsidRPr="008B6A75" w:rsidRDefault="00387142" w:rsidP="00387142">
            <w:pPr>
              <w:jc w:val="center"/>
              <w:rPr>
                <w:sz w:val="20"/>
                <w:szCs w:val="20"/>
              </w:rPr>
            </w:pPr>
            <w:r w:rsidRPr="008B6A75">
              <w:rPr>
                <w:sz w:val="20"/>
                <w:szCs w:val="20"/>
              </w:rPr>
              <w:t>04.0.00.70510</w:t>
            </w:r>
          </w:p>
        </w:tc>
        <w:tc>
          <w:tcPr>
            <w:tcW w:w="850" w:type="dxa"/>
            <w:tcBorders>
              <w:top w:val="nil"/>
              <w:left w:val="single" w:sz="4" w:space="0" w:color="auto"/>
              <w:bottom w:val="single" w:sz="4" w:space="0" w:color="auto"/>
              <w:right w:val="nil"/>
            </w:tcBorders>
            <w:shd w:val="clear" w:color="auto" w:fill="auto"/>
            <w:noWrap/>
            <w:vAlign w:val="center"/>
            <w:hideMark/>
          </w:tcPr>
          <w:p w14:paraId="6AFC8FA5" w14:textId="77777777" w:rsidR="00387142" w:rsidRPr="008B6A75" w:rsidRDefault="00387142" w:rsidP="00387142">
            <w:pPr>
              <w:jc w:val="center"/>
              <w:rPr>
                <w:sz w:val="20"/>
                <w:szCs w:val="20"/>
              </w:rPr>
            </w:pPr>
            <w:r w:rsidRPr="008B6A75">
              <w:rPr>
                <w:sz w:val="20"/>
                <w:szCs w:val="20"/>
              </w:rPr>
              <w:t>610</w:t>
            </w:r>
          </w:p>
        </w:tc>
        <w:tc>
          <w:tcPr>
            <w:tcW w:w="567" w:type="dxa"/>
            <w:tcBorders>
              <w:top w:val="nil"/>
              <w:left w:val="single" w:sz="4" w:space="0" w:color="auto"/>
              <w:bottom w:val="single" w:sz="4" w:space="0" w:color="auto"/>
              <w:right w:val="nil"/>
            </w:tcBorders>
            <w:shd w:val="clear" w:color="auto" w:fill="auto"/>
            <w:noWrap/>
            <w:vAlign w:val="center"/>
            <w:hideMark/>
          </w:tcPr>
          <w:p w14:paraId="761FAC2B" w14:textId="77777777" w:rsidR="00387142" w:rsidRPr="008B6A75" w:rsidRDefault="00387142" w:rsidP="00387142">
            <w:pPr>
              <w:jc w:val="center"/>
              <w:rPr>
                <w:sz w:val="20"/>
                <w:szCs w:val="20"/>
              </w:rPr>
            </w:pPr>
            <w:r w:rsidRPr="008B6A75">
              <w:rPr>
                <w:sz w:val="20"/>
                <w:szCs w:val="20"/>
              </w:rPr>
              <w:t>07</w:t>
            </w:r>
          </w:p>
        </w:tc>
        <w:tc>
          <w:tcPr>
            <w:tcW w:w="567" w:type="dxa"/>
            <w:tcBorders>
              <w:top w:val="nil"/>
              <w:left w:val="single" w:sz="4" w:space="0" w:color="auto"/>
              <w:bottom w:val="single" w:sz="4" w:space="0" w:color="auto"/>
              <w:right w:val="nil"/>
            </w:tcBorders>
            <w:shd w:val="clear" w:color="auto" w:fill="auto"/>
            <w:noWrap/>
            <w:vAlign w:val="center"/>
            <w:hideMark/>
          </w:tcPr>
          <w:p w14:paraId="381CD7F2" w14:textId="77777777" w:rsidR="00387142" w:rsidRPr="008B6A75" w:rsidRDefault="00387142" w:rsidP="00387142">
            <w:pPr>
              <w:jc w:val="center"/>
              <w:rPr>
                <w:sz w:val="20"/>
                <w:szCs w:val="20"/>
              </w:rPr>
            </w:pPr>
            <w:r w:rsidRPr="008B6A75">
              <w:rPr>
                <w:sz w:val="20"/>
                <w:szCs w:val="20"/>
              </w:rPr>
              <w:t>07</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5952F2A" w14:textId="77777777" w:rsidR="00387142" w:rsidRPr="008B6A75" w:rsidRDefault="00387142" w:rsidP="00387142">
            <w:pPr>
              <w:jc w:val="right"/>
              <w:rPr>
                <w:sz w:val="20"/>
                <w:szCs w:val="20"/>
              </w:rPr>
            </w:pPr>
            <w:r w:rsidRPr="008B6A75">
              <w:rPr>
                <w:sz w:val="20"/>
                <w:szCs w:val="20"/>
              </w:rPr>
              <w:t>2 909 200,00</w:t>
            </w:r>
          </w:p>
        </w:tc>
        <w:tc>
          <w:tcPr>
            <w:tcW w:w="851" w:type="dxa"/>
            <w:tcBorders>
              <w:top w:val="nil"/>
              <w:left w:val="single" w:sz="4" w:space="0" w:color="auto"/>
              <w:bottom w:val="single" w:sz="4" w:space="0" w:color="auto"/>
              <w:right w:val="nil"/>
            </w:tcBorders>
            <w:shd w:val="clear" w:color="auto" w:fill="auto"/>
            <w:noWrap/>
            <w:vAlign w:val="center"/>
            <w:hideMark/>
          </w:tcPr>
          <w:p w14:paraId="073F2658" w14:textId="77777777" w:rsidR="00387142" w:rsidRPr="008B6A75" w:rsidRDefault="00387142" w:rsidP="00387142">
            <w:pPr>
              <w:jc w:val="right"/>
              <w:rPr>
                <w:sz w:val="20"/>
                <w:szCs w:val="20"/>
              </w:rPr>
            </w:pPr>
            <w:r w:rsidRPr="008B6A75">
              <w:rPr>
                <w:sz w:val="20"/>
                <w:szCs w:val="20"/>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1CAEA768" w14:textId="77777777" w:rsidR="00387142" w:rsidRPr="008B6A75" w:rsidRDefault="00387142" w:rsidP="00387142">
            <w:pPr>
              <w:jc w:val="right"/>
              <w:rPr>
                <w:sz w:val="20"/>
                <w:szCs w:val="20"/>
              </w:rPr>
            </w:pPr>
            <w:r w:rsidRPr="008B6A75">
              <w:rPr>
                <w:sz w:val="20"/>
                <w:szCs w:val="20"/>
              </w:rPr>
              <w:t>0,00</w:t>
            </w:r>
          </w:p>
        </w:tc>
      </w:tr>
      <w:tr w:rsidR="00387142" w:rsidRPr="008B6A75" w14:paraId="42DBE705" w14:textId="77777777" w:rsidTr="00387142">
        <w:trPr>
          <w:trHeight w:val="1155"/>
        </w:trPr>
        <w:tc>
          <w:tcPr>
            <w:tcW w:w="272" w:type="dxa"/>
            <w:tcBorders>
              <w:top w:val="nil"/>
              <w:left w:val="nil"/>
              <w:bottom w:val="nil"/>
              <w:right w:val="single" w:sz="4" w:space="0" w:color="auto"/>
            </w:tcBorders>
            <w:shd w:val="clear" w:color="auto" w:fill="auto"/>
            <w:noWrap/>
            <w:vAlign w:val="bottom"/>
            <w:hideMark/>
          </w:tcPr>
          <w:p w14:paraId="39319C09" w14:textId="77777777" w:rsidR="00387142" w:rsidRPr="008B6A75" w:rsidRDefault="00387142" w:rsidP="00387142">
            <w:pPr>
              <w:rPr>
                <w:sz w:val="20"/>
                <w:szCs w:val="20"/>
              </w:rPr>
            </w:pPr>
            <w:r w:rsidRPr="008B6A75">
              <w:rPr>
                <w:sz w:val="20"/>
                <w:szCs w:val="20"/>
              </w:rPr>
              <w:lastRenderedPageBreak/>
              <w:t> </w:t>
            </w:r>
          </w:p>
        </w:tc>
        <w:tc>
          <w:tcPr>
            <w:tcW w:w="3415" w:type="dxa"/>
            <w:tcBorders>
              <w:top w:val="nil"/>
              <w:left w:val="single" w:sz="4" w:space="0" w:color="auto"/>
              <w:bottom w:val="single" w:sz="4" w:space="0" w:color="auto"/>
              <w:right w:val="nil"/>
            </w:tcBorders>
            <w:shd w:val="clear" w:color="auto" w:fill="auto"/>
            <w:vAlign w:val="center"/>
            <w:hideMark/>
          </w:tcPr>
          <w:p w14:paraId="3F3BC7BB" w14:textId="77777777" w:rsidR="00387142" w:rsidRPr="008B6A75" w:rsidRDefault="00387142" w:rsidP="00387142">
            <w:pPr>
              <w:rPr>
                <w:bCs/>
                <w:sz w:val="20"/>
                <w:szCs w:val="20"/>
              </w:rPr>
            </w:pPr>
            <w:r w:rsidRPr="008B6A75">
              <w:rPr>
                <w:bCs/>
                <w:sz w:val="20"/>
                <w:szCs w:val="20"/>
              </w:rPr>
              <w:t>Реализация мероприятий муниципальной программы "Развитие молодёжной политики в Куйбышевском районе Новосибирской области"</w:t>
            </w:r>
          </w:p>
        </w:tc>
        <w:tc>
          <w:tcPr>
            <w:tcW w:w="1559" w:type="dxa"/>
            <w:tcBorders>
              <w:top w:val="nil"/>
              <w:left w:val="single" w:sz="4" w:space="0" w:color="auto"/>
              <w:bottom w:val="single" w:sz="4" w:space="0" w:color="auto"/>
              <w:right w:val="nil"/>
            </w:tcBorders>
            <w:shd w:val="clear" w:color="auto" w:fill="auto"/>
            <w:noWrap/>
            <w:vAlign w:val="center"/>
            <w:hideMark/>
          </w:tcPr>
          <w:p w14:paraId="736A2F31" w14:textId="77777777" w:rsidR="00387142" w:rsidRPr="008B6A75" w:rsidRDefault="00387142" w:rsidP="00387142">
            <w:pPr>
              <w:jc w:val="center"/>
              <w:rPr>
                <w:bCs/>
                <w:sz w:val="20"/>
                <w:szCs w:val="20"/>
              </w:rPr>
            </w:pPr>
            <w:r w:rsidRPr="008B6A75">
              <w:rPr>
                <w:bCs/>
                <w:sz w:val="20"/>
                <w:szCs w:val="20"/>
              </w:rPr>
              <w:t>04.0.00.79500</w:t>
            </w:r>
          </w:p>
        </w:tc>
        <w:tc>
          <w:tcPr>
            <w:tcW w:w="850" w:type="dxa"/>
            <w:tcBorders>
              <w:top w:val="nil"/>
              <w:left w:val="single" w:sz="4" w:space="0" w:color="auto"/>
              <w:bottom w:val="single" w:sz="4" w:space="0" w:color="auto"/>
              <w:right w:val="nil"/>
            </w:tcBorders>
            <w:shd w:val="clear" w:color="auto" w:fill="auto"/>
            <w:noWrap/>
            <w:vAlign w:val="center"/>
            <w:hideMark/>
          </w:tcPr>
          <w:p w14:paraId="4BA157F9" w14:textId="77777777" w:rsidR="00387142" w:rsidRPr="008B6A75" w:rsidRDefault="00387142" w:rsidP="00387142">
            <w:pPr>
              <w:jc w:val="center"/>
              <w:rPr>
                <w:bCs/>
                <w:sz w:val="20"/>
                <w:szCs w:val="20"/>
              </w:rPr>
            </w:pPr>
            <w:r w:rsidRPr="008B6A75">
              <w:rPr>
                <w:bCs/>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07B8B7F6" w14:textId="77777777" w:rsidR="00387142" w:rsidRPr="008B6A75" w:rsidRDefault="00387142" w:rsidP="00387142">
            <w:pPr>
              <w:jc w:val="center"/>
              <w:rPr>
                <w:bCs/>
                <w:sz w:val="20"/>
                <w:szCs w:val="20"/>
              </w:rPr>
            </w:pPr>
            <w:r w:rsidRPr="008B6A75">
              <w:rPr>
                <w:bCs/>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54761D4D" w14:textId="77777777" w:rsidR="00387142" w:rsidRPr="008B6A75" w:rsidRDefault="00387142" w:rsidP="00387142">
            <w:pPr>
              <w:jc w:val="center"/>
              <w:rPr>
                <w:bCs/>
                <w:sz w:val="20"/>
                <w:szCs w:val="20"/>
              </w:rPr>
            </w:pPr>
            <w:r w:rsidRPr="008B6A75">
              <w:rPr>
                <w:bCs/>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24EF102" w14:textId="77777777" w:rsidR="00387142" w:rsidRPr="008B6A75" w:rsidRDefault="00387142" w:rsidP="00387142">
            <w:pPr>
              <w:jc w:val="right"/>
              <w:rPr>
                <w:bCs/>
                <w:sz w:val="20"/>
                <w:szCs w:val="20"/>
              </w:rPr>
            </w:pPr>
            <w:r w:rsidRPr="008B6A75">
              <w:rPr>
                <w:bCs/>
                <w:sz w:val="20"/>
                <w:szCs w:val="20"/>
              </w:rPr>
              <w:t>2 000 000,00</w:t>
            </w:r>
          </w:p>
        </w:tc>
        <w:tc>
          <w:tcPr>
            <w:tcW w:w="851" w:type="dxa"/>
            <w:tcBorders>
              <w:top w:val="nil"/>
              <w:left w:val="single" w:sz="4" w:space="0" w:color="auto"/>
              <w:bottom w:val="single" w:sz="4" w:space="0" w:color="auto"/>
              <w:right w:val="nil"/>
            </w:tcBorders>
            <w:shd w:val="clear" w:color="auto" w:fill="auto"/>
            <w:noWrap/>
            <w:vAlign w:val="center"/>
            <w:hideMark/>
          </w:tcPr>
          <w:p w14:paraId="3980B1FE" w14:textId="77777777" w:rsidR="00387142" w:rsidRPr="008B6A75" w:rsidRDefault="00387142" w:rsidP="00387142">
            <w:pPr>
              <w:jc w:val="right"/>
              <w:rPr>
                <w:bCs/>
                <w:sz w:val="20"/>
                <w:szCs w:val="20"/>
              </w:rPr>
            </w:pPr>
            <w:r w:rsidRPr="008B6A75">
              <w:rPr>
                <w:bCs/>
                <w:sz w:val="20"/>
                <w:szCs w:val="20"/>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19393611" w14:textId="77777777" w:rsidR="00387142" w:rsidRPr="008B6A75" w:rsidRDefault="00387142" w:rsidP="00387142">
            <w:pPr>
              <w:jc w:val="right"/>
              <w:rPr>
                <w:bCs/>
                <w:sz w:val="20"/>
                <w:szCs w:val="20"/>
              </w:rPr>
            </w:pPr>
            <w:r w:rsidRPr="008B6A75">
              <w:rPr>
                <w:bCs/>
                <w:sz w:val="20"/>
                <w:szCs w:val="20"/>
              </w:rPr>
              <w:t>0,00</w:t>
            </w:r>
          </w:p>
        </w:tc>
      </w:tr>
      <w:tr w:rsidR="00387142" w:rsidRPr="008B6A75" w14:paraId="1C712F1A" w14:textId="77777777" w:rsidTr="00387142">
        <w:trPr>
          <w:trHeight w:val="585"/>
        </w:trPr>
        <w:tc>
          <w:tcPr>
            <w:tcW w:w="272" w:type="dxa"/>
            <w:tcBorders>
              <w:top w:val="nil"/>
              <w:left w:val="nil"/>
              <w:bottom w:val="nil"/>
              <w:right w:val="single" w:sz="4" w:space="0" w:color="auto"/>
            </w:tcBorders>
            <w:shd w:val="clear" w:color="auto" w:fill="auto"/>
            <w:noWrap/>
            <w:vAlign w:val="bottom"/>
            <w:hideMark/>
          </w:tcPr>
          <w:p w14:paraId="093A712E"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22149454" w14:textId="77777777" w:rsidR="00387142" w:rsidRPr="008B6A75" w:rsidRDefault="00387142" w:rsidP="00387142">
            <w:pPr>
              <w:rPr>
                <w:sz w:val="20"/>
                <w:szCs w:val="20"/>
              </w:rPr>
            </w:pPr>
            <w:r w:rsidRPr="008B6A75">
              <w:rPr>
                <w:sz w:val="20"/>
                <w:szCs w:val="20"/>
              </w:rPr>
              <w:t>Социальное обеспечение и иные выплаты населению</w:t>
            </w:r>
          </w:p>
        </w:tc>
        <w:tc>
          <w:tcPr>
            <w:tcW w:w="1559" w:type="dxa"/>
            <w:tcBorders>
              <w:top w:val="nil"/>
              <w:left w:val="single" w:sz="4" w:space="0" w:color="auto"/>
              <w:bottom w:val="single" w:sz="4" w:space="0" w:color="auto"/>
              <w:right w:val="nil"/>
            </w:tcBorders>
            <w:shd w:val="clear" w:color="auto" w:fill="auto"/>
            <w:noWrap/>
            <w:vAlign w:val="center"/>
            <w:hideMark/>
          </w:tcPr>
          <w:p w14:paraId="0A8B3136" w14:textId="77777777" w:rsidR="00387142" w:rsidRPr="008B6A75" w:rsidRDefault="00387142" w:rsidP="00387142">
            <w:pPr>
              <w:jc w:val="center"/>
              <w:rPr>
                <w:sz w:val="20"/>
                <w:szCs w:val="20"/>
              </w:rPr>
            </w:pPr>
            <w:r w:rsidRPr="008B6A75">
              <w:rPr>
                <w:sz w:val="20"/>
                <w:szCs w:val="20"/>
              </w:rPr>
              <w:t>04.0.00.79500</w:t>
            </w:r>
          </w:p>
        </w:tc>
        <w:tc>
          <w:tcPr>
            <w:tcW w:w="850" w:type="dxa"/>
            <w:tcBorders>
              <w:top w:val="nil"/>
              <w:left w:val="single" w:sz="4" w:space="0" w:color="auto"/>
              <w:bottom w:val="single" w:sz="4" w:space="0" w:color="auto"/>
              <w:right w:val="nil"/>
            </w:tcBorders>
            <w:shd w:val="clear" w:color="auto" w:fill="auto"/>
            <w:noWrap/>
            <w:vAlign w:val="center"/>
            <w:hideMark/>
          </w:tcPr>
          <w:p w14:paraId="18EB9E2A" w14:textId="77777777" w:rsidR="00387142" w:rsidRPr="008B6A75" w:rsidRDefault="00387142" w:rsidP="00387142">
            <w:pPr>
              <w:jc w:val="center"/>
              <w:rPr>
                <w:sz w:val="20"/>
                <w:szCs w:val="20"/>
              </w:rPr>
            </w:pPr>
            <w:r w:rsidRPr="008B6A75">
              <w:rPr>
                <w:sz w:val="20"/>
                <w:szCs w:val="20"/>
              </w:rPr>
              <w:t>300</w:t>
            </w:r>
          </w:p>
        </w:tc>
        <w:tc>
          <w:tcPr>
            <w:tcW w:w="567" w:type="dxa"/>
            <w:tcBorders>
              <w:top w:val="nil"/>
              <w:left w:val="single" w:sz="4" w:space="0" w:color="auto"/>
              <w:bottom w:val="single" w:sz="4" w:space="0" w:color="auto"/>
              <w:right w:val="nil"/>
            </w:tcBorders>
            <w:shd w:val="clear" w:color="auto" w:fill="auto"/>
            <w:noWrap/>
            <w:vAlign w:val="center"/>
            <w:hideMark/>
          </w:tcPr>
          <w:p w14:paraId="221F77EB" w14:textId="77777777" w:rsidR="00387142" w:rsidRPr="008B6A75" w:rsidRDefault="00387142" w:rsidP="00387142">
            <w:pPr>
              <w:jc w:val="center"/>
              <w:rPr>
                <w:sz w:val="20"/>
                <w:szCs w:val="20"/>
              </w:rPr>
            </w:pPr>
            <w:r w:rsidRPr="008B6A75">
              <w:rPr>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2C4830DD" w14:textId="77777777" w:rsidR="00387142" w:rsidRPr="008B6A75" w:rsidRDefault="00387142" w:rsidP="00387142">
            <w:pPr>
              <w:jc w:val="center"/>
              <w:rPr>
                <w:sz w:val="20"/>
                <w:szCs w:val="20"/>
              </w:rPr>
            </w:pPr>
            <w:r w:rsidRPr="008B6A75">
              <w:rPr>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887547E" w14:textId="77777777" w:rsidR="00387142" w:rsidRPr="008B6A75" w:rsidRDefault="00387142" w:rsidP="00387142">
            <w:pPr>
              <w:jc w:val="right"/>
              <w:rPr>
                <w:sz w:val="20"/>
                <w:szCs w:val="20"/>
              </w:rPr>
            </w:pPr>
            <w:r w:rsidRPr="008B6A75">
              <w:rPr>
                <w:sz w:val="20"/>
                <w:szCs w:val="20"/>
              </w:rPr>
              <w:t>1 153 579,08</w:t>
            </w:r>
          </w:p>
        </w:tc>
        <w:tc>
          <w:tcPr>
            <w:tcW w:w="851" w:type="dxa"/>
            <w:tcBorders>
              <w:top w:val="nil"/>
              <w:left w:val="single" w:sz="4" w:space="0" w:color="auto"/>
              <w:bottom w:val="single" w:sz="4" w:space="0" w:color="auto"/>
              <w:right w:val="nil"/>
            </w:tcBorders>
            <w:shd w:val="clear" w:color="auto" w:fill="auto"/>
            <w:noWrap/>
            <w:vAlign w:val="center"/>
            <w:hideMark/>
          </w:tcPr>
          <w:p w14:paraId="2AC1472F" w14:textId="77777777" w:rsidR="00387142" w:rsidRPr="008B6A75" w:rsidRDefault="00387142" w:rsidP="00387142">
            <w:pPr>
              <w:jc w:val="right"/>
              <w:rPr>
                <w:sz w:val="20"/>
                <w:szCs w:val="20"/>
              </w:rPr>
            </w:pPr>
            <w:r w:rsidRPr="008B6A75">
              <w:rPr>
                <w:sz w:val="20"/>
                <w:szCs w:val="20"/>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53D48EA5" w14:textId="77777777" w:rsidR="00387142" w:rsidRPr="008B6A75" w:rsidRDefault="00387142" w:rsidP="00387142">
            <w:pPr>
              <w:jc w:val="right"/>
              <w:rPr>
                <w:sz w:val="20"/>
                <w:szCs w:val="20"/>
              </w:rPr>
            </w:pPr>
            <w:r w:rsidRPr="008B6A75">
              <w:rPr>
                <w:sz w:val="20"/>
                <w:szCs w:val="20"/>
              </w:rPr>
              <w:t>0,00</w:t>
            </w:r>
          </w:p>
        </w:tc>
      </w:tr>
      <w:tr w:rsidR="00387142" w:rsidRPr="008B6A75" w14:paraId="17B3F54E" w14:textId="77777777" w:rsidTr="00387142">
        <w:trPr>
          <w:trHeight w:val="300"/>
        </w:trPr>
        <w:tc>
          <w:tcPr>
            <w:tcW w:w="272" w:type="dxa"/>
            <w:tcBorders>
              <w:top w:val="nil"/>
              <w:left w:val="nil"/>
              <w:bottom w:val="nil"/>
              <w:right w:val="single" w:sz="4" w:space="0" w:color="auto"/>
            </w:tcBorders>
            <w:shd w:val="clear" w:color="auto" w:fill="auto"/>
            <w:noWrap/>
            <w:vAlign w:val="bottom"/>
            <w:hideMark/>
          </w:tcPr>
          <w:p w14:paraId="3D28C625"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60466124" w14:textId="77777777" w:rsidR="00387142" w:rsidRPr="008B6A75" w:rsidRDefault="00387142" w:rsidP="00387142">
            <w:pPr>
              <w:rPr>
                <w:sz w:val="20"/>
                <w:szCs w:val="20"/>
              </w:rPr>
            </w:pPr>
            <w:r w:rsidRPr="008B6A75">
              <w:rPr>
                <w:sz w:val="20"/>
                <w:szCs w:val="20"/>
              </w:rPr>
              <w:t>Стипендии</w:t>
            </w:r>
          </w:p>
        </w:tc>
        <w:tc>
          <w:tcPr>
            <w:tcW w:w="1559" w:type="dxa"/>
            <w:tcBorders>
              <w:top w:val="nil"/>
              <w:left w:val="single" w:sz="4" w:space="0" w:color="auto"/>
              <w:bottom w:val="single" w:sz="4" w:space="0" w:color="auto"/>
              <w:right w:val="nil"/>
            </w:tcBorders>
            <w:shd w:val="clear" w:color="auto" w:fill="auto"/>
            <w:noWrap/>
            <w:vAlign w:val="center"/>
            <w:hideMark/>
          </w:tcPr>
          <w:p w14:paraId="07098AE8" w14:textId="77777777" w:rsidR="00387142" w:rsidRPr="008B6A75" w:rsidRDefault="00387142" w:rsidP="00387142">
            <w:pPr>
              <w:jc w:val="center"/>
              <w:rPr>
                <w:sz w:val="20"/>
                <w:szCs w:val="20"/>
              </w:rPr>
            </w:pPr>
            <w:r w:rsidRPr="008B6A75">
              <w:rPr>
                <w:sz w:val="20"/>
                <w:szCs w:val="20"/>
              </w:rPr>
              <w:t>04.0.00.79500</w:t>
            </w:r>
          </w:p>
        </w:tc>
        <w:tc>
          <w:tcPr>
            <w:tcW w:w="850" w:type="dxa"/>
            <w:tcBorders>
              <w:top w:val="nil"/>
              <w:left w:val="single" w:sz="4" w:space="0" w:color="auto"/>
              <w:bottom w:val="single" w:sz="4" w:space="0" w:color="auto"/>
              <w:right w:val="nil"/>
            </w:tcBorders>
            <w:shd w:val="clear" w:color="auto" w:fill="auto"/>
            <w:noWrap/>
            <w:vAlign w:val="center"/>
            <w:hideMark/>
          </w:tcPr>
          <w:p w14:paraId="14229E2E" w14:textId="77777777" w:rsidR="00387142" w:rsidRPr="008B6A75" w:rsidRDefault="00387142" w:rsidP="00387142">
            <w:pPr>
              <w:jc w:val="center"/>
              <w:rPr>
                <w:sz w:val="20"/>
                <w:szCs w:val="20"/>
              </w:rPr>
            </w:pPr>
            <w:r w:rsidRPr="008B6A75">
              <w:rPr>
                <w:sz w:val="20"/>
                <w:szCs w:val="20"/>
              </w:rPr>
              <w:t>340</w:t>
            </w:r>
          </w:p>
        </w:tc>
        <w:tc>
          <w:tcPr>
            <w:tcW w:w="567" w:type="dxa"/>
            <w:tcBorders>
              <w:top w:val="nil"/>
              <w:left w:val="single" w:sz="4" w:space="0" w:color="auto"/>
              <w:bottom w:val="single" w:sz="4" w:space="0" w:color="auto"/>
              <w:right w:val="nil"/>
            </w:tcBorders>
            <w:shd w:val="clear" w:color="auto" w:fill="auto"/>
            <w:noWrap/>
            <w:vAlign w:val="center"/>
            <w:hideMark/>
          </w:tcPr>
          <w:p w14:paraId="0F1B1186" w14:textId="77777777" w:rsidR="00387142" w:rsidRPr="008B6A75" w:rsidRDefault="00387142" w:rsidP="00387142">
            <w:pPr>
              <w:jc w:val="center"/>
              <w:rPr>
                <w:sz w:val="20"/>
                <w:szCs w:val="20"/>
              </w:rPr>
            </w:pPr>
            <w:r w:rsidRPr="008B6A75">
              <w:rPr>
                <w:sz w:val="20"/>
                <w:szCs w:val="20"/>
              </w:rPr>
              <w:t>07</w:t>
            </w:r>
          </w:p>
        </w:tc>
        <w:tc>
          <w:tcPr>
            <w:tcW w:w="567" w:type="dxa"/>
            <w:tcBorders>
              <w:top w:val="nil"/>
              <w:left w:val="single" w:sz="4" w:space="0" w:color="auto"/>
              <w:bottom w:val="single" w:sz="4" w:space="0" w:color="auto"/>
              <w:right w:val="nil"/>
            </w:tcBorders>
            <w:shd w:val="clear" w:color="auto" w:fill="auto"/>
            <w:noWrap/>
            <w:vAlign w:val="center"/>
            <w:hideMark/>
          </w:tcPr>
          <w:p w14:paraId="1C7BE7BF" w14:textId="77777777" w:rsidR="00387142" w:rsidRPr="008B6A75" w:rsidRDefault="00387142" w:rsidP="00387142">
            <w:pPr>
              <w:jc w:val="center"/>
              <w:rPr>
                <w:sz w:val="20"/>
                <w:szCs w:val="20"/>
              </w:rPr>
            </w:pPr>
            <w:r w:rsidRPr="008B6A75">
              <w:rPr>
                <w:sz w:val="20"/>
                <w:szCs w:val="20"/>
              </w:rPr>
              <w:t>07</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876485A" w14:textId="77777777" w:rsidR="00387142" w:rsidRPr="008B6A75" w:rsidRDefault="00387142" w:rsidP="00387142">
            <w:pPr>
              <w:jc w:val="right"/>
              <w:rPr>
                <w:sz w:val="20"/>
                <w:szCs w:val="20"/>
              </w:rPr>
            </w:pPr>
            <w:r w:rsidRPr="008B6A75">
              <w:rPr>
                <w:sz w:val="20"/>
                <w:szCs w:val="20"/>
              </w:rPr>
              <w:t>1 153 579,08</w:t>
            </w:r>
          </w:p>
        </w:tc>
        <w:tc>
          <w:tcPr>
            <w:tcW w:w="851" w:type="dxa"/>
            <w:tcBorders>
              <w:top w:val="nil"/>
              <w:left w:val="single" w:sz="4" w:space="0" w:color="auto"/>
              <w:bottom w:val="single" w:sz="4" w:space="0" w:color="auto"/>
              <w:right w:val="nil"/>
            </w:tcBorders>
            <w:shd w:val="clear" w:color="auto" w:fill="auto"/>
            <w:noWrap/>
            <w:vAlign w:val="center"/>
            <w:hideMark/>
          </w:tcPr>
          <w:p w14:paraId="4CC286DA" w14:textId="77777777" w:rsidR="00387142" w:rsidRPr="008B6A75" w:rsidRDefault="00387142" w:rsidP="00387142">
            <w:pPr>
              <w:jc w:val="right"/>
              <w:rPr>
                <w:sz w:val="20"/>
                <w:szCs w:val="20"/>
              </w:rPr>
            </w:pPr>
            <w:r w:rsidRPr="008B6A75">
              <w:rPr>
                <w:sz w:val="20"/>
                <w:szCs w:val="20"/>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5DBC3116" w14:textId="77777777" w:rsidR="00387142" w:rsidRPr="008B6A75" w:rsidRDefault="00387142" w:rsidP="00387142">
            <w:pPr>
              <w:jc w:val="right"/>
              <w:rPr>
                <w:sz w:val="20"/>
                <w:szCs w:val="20"/>
              </w:rPr>
            </w:pPr>
            <w:r w:rsidRPr="008B6A75">
              <w:rPr>
                <w:sz w:val="20"/>
                <w:szCs w:val="20"/>
              </w:rPr>
              <w:t>0,00</w:t>
            </w:r>
          </w:p>
        </w:tc>
      </w:tr>
      <w:tr w:rsidR="00387142" w:rsidRPr="008B6A75" w14:paraId="6E24F715" w14:textId="77777777" w:rsidTr="00387142">
        <w:trPr>
          <w:trHeight w:val="300"/>
        </w:trPr>
        <w:tc>
          <w:tcPr>
            <w:tcW w:w="272" w:type="dxa"/>
            <w:tcBorders>
              <w:top w:val="nil"/>
              <w:left w:val="nil"/>
              <w:bottom w:val="nil"/>
              <w:right w:val="single" w:sz="4" w:space="0" w:color="auto"/>
            </w:tcBorders>
            <w:shd w:val="clear" w:color="auto" w:fill="auto"/>
            <w:noWrap/>
            <w:vAlign w:val="bottom"/>
            <w:hideMark/>
          </w:tcPr>
          <w:p w14:paraId="6DD682C8"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59641D81" w14:textId="77777777" w:rsidR="00387142" w:rsidRPr="008B6A75" w:rsidRDefault="00387142" w:rsidP="00387142">
            <w:pPr>
              <w:rPr>
                <w:sz w:val="20"/>
                <w:szCs w:val="20"/>
              </w:rPr>
            </w:pPr>
            <w:r w:rsidRPr="008B6A75">
              <w:rPr>
                <w:sz w:val="20"/>
                <w:szCs w:val="20"/>
              </w:rPr>
              <w:t>Межбюджетные трансферты</w:t>
            </w:r>
          </w:p>
        </w:tc>
        <w:tc>
          <w:tcPr>
            <w:tcW w:w="1559" w:type="dxa"/>
            <w:tcBorders>
              <w:top w:val="nil"/>
              <w:left w:val="single" w:sz="4" w:space="0" w:color="auto"/>
              <w:bottom w:val="single" w:sz="4" w:space="0" w:color="auto"/>
              <w:right w:val="nil"/>
            </w:tcBorders>
            <w:shd w:val="clear" w:color="auto" w:fill="auto"/>
            <w:noWrap/>
            <w:vAlign w:val="center"/>
            <w:hideMark/>
          </w:tcPr>
          <w:p w14:paraId="70CCB899" w14:textId="77777777" w:rsidR="00387142" w:rsidRPr="008B6A75" w:rsidRDefault="00387142" w:rsidP="00387142">
            <w:pPr>
              <w:jc w:val="center"/>
              <w:rPr>
                <w:sz w:val="20"/>
                <w:szCs w:val="20"/>
              </w:rPr>
            </w:pPr>
            <w:r w:rsidRPr="008B6A75">
              <w:rPr>
                <w:sz w:val="20"/>
                <w:szCs w:val="20"/>
              </w:rPr>
              <w:t>04.0.00.79500</w:t>
            </w:r>
          </w:p>
        </w:tc>
        <w:tc>
          <w:tcPr>
            <w:tcW w:w="850" w:type="dxa"/>
            <w:tcBorders>
              <w:top w:val="nil"/>
              <w:left w:val="single" w:sz="4" w:space="0" w:color="auto"/>
              <w:bottom w:val="single" w:sz="4" w:space="0" w:color="auto"/>
              <w:right w:val="nil"/>
            </w:tcBorders>
            <w:shd w:val="clear" w:color="auto" w:fill="auto"/>
            <w:noWrap/>
            <w:vAlign w:val="center"/>
            <w:hideMark/>
          </w:tcPr>
          <w:p w14:paraId="78D2C482" w14:textId="77777777" w:rsidR="00387142" w:rsidRPr="008B6A75" w:rsidRDefault="00387142" w:rsidP="00387142">
            <w:pPr>
              <w:jc w:val="center"/>
              <w:rPr>
                <w:sz w:val="20"/>
                <w:szCs w:val="20"/>
              </w:rPr>
            </w:pPr>
            <w:r w:rsidRPr="008B6A75">
              <w:rPr>
                <w:sz w:val="20"/>
                <w:szCs w:val="20"/>
              </w:rPr>
              <w:t>500</w:t>
            </w:r>
          </w:p>
        </w:tc>
        <w:tc>
          <w:tcPr>
            <w:tcW w:w="567" w:type="dxa"/>
            <w:tcBorders>
              <w:top w:val="nil"/>
              <w:left w:val="single" w:sz="4" w:space="0" w:color="auto"/>
              <w:bottom w:val="single" w:sz="4" w:space="0" w:color="auto"/>
              <w:right w:val="nil"/>
            </w:tcBorders>
            <w:shd w:val="clear" w:color="auto" w:fill="auto"/>
            <w:noWrap/>
            <w:vAlign w:val="center"/>
            <w:hideMark/>
          </w:tcPr>
          <w:p w14:paraId="48C9A40A" w14:textId="77777777" w:rsidR="00387142" w:rsidRPr="008B6A75" w:rsidRDefault="00387142" w:rsidP="00387142">
            <w:pPr>
              <w:jc w:val="center"/>
              <w:rPr>
                <w:sz w:val="20"/>
                <w:szCs w:val="20"/>
              </w:rPr>
            </w:pPr>
            <w:r w:rsidRPr="008B6A75">
              <w:rPr>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7AA6F45D" w14:textId="77777777" w:rsidR="00387142" w:rsidRPr="008B6A75" w:rsidRDefault="00387142" w:rsidP="00387142">
            <w:pPr>
              <w:jc w:val="center"/>
              <w:rPr>
                <w:sz w:val="20"/>
                <w:szCs w:val="20"/>
              </w:rPr>
            </w:pPr>
            <w:r w:rsidRPr="008B6A75">
              <w:rPr>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1F980BA" w14:textId="77777777" w:rsidR="00387142" w:rsidRPr="008B6A75" w:rsidRDefault="00387142" w:rsidP="00387142">
            <w:pPr>
              <w:jc w:val="right"/>
              <w:rPr>
                <w:sz w:val="20"/>
                <w:szCs w:val="20"/>
              </w:rPr>
            </w:pPr>
            <w:r w:rsidRPr="008B6A75">
              <w:rPr>
                <w:sz w:val="20"/>
                <w:szCs w:val="20"/>
              </w:rPr>
              <w:t>30 000,00</w:t>
            </w:r>
          </w:p>
        </w:tc>
        <w:tc>
          <w:tcPr>
            <w:tcW w:w="851" w:type="dxa"/>
            <w:tcBorders>
              <w:top w:val="nil"/>
              <w:left w:val="single" w:sz="4" w:space="0" w:color="auto"/>
              <w:bottom w:val="single" w:sz="4" w:space="0" w:color="auto"/>
              <w:right w:val="nil"/>
            </w:tcBorders>
            <w:shd w:val="clear" w:color="auto" w:fill="auto"/>
            <w:noWrap/>
            <w:vAlign w:val="center"/>
            <w:hideMark/>
          </w:tcPr>
          <w:p w14:paraId="0BCC63F9" w14:textId="77777777" w:rsidR="00387142" w:rsidRPr="008B6A75" w:rsidRDefault="00387142" w:rsidP="00387142">
            <w:pPr>
              <w:jc w:val="right"/>
              <w:rPr>
                <w:sz w:val="20"/>
                <w:szCs w:val="20"/>
              </w:rPr>
            </w:pPr>
            <w:r w:rsidRPr="008B6A75">
              <w:rPr>
                <w:sz w:val="20"/>
                <w:szCs w:val="20"/>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3B23F96F" w14:textId="77777777" w:rsidR="00387142" w:rsidRPr="008B6A75" w:rsidRDefault="00387142" w:rsidP="00387142">
            <w:pPr>
              <w:jc w:val="right"/>
              <w:rPr>
                <w:sz w:val="20"/>
                <w:szCs w:val="20"/>
              </w:rPr>
            </w:pPr>
            <w:r w:rsidRPr="008B6A75">
              <w:rPr>
                <w:sz w:val="20"/>
                <w:szCs w:val="20"/>
              </w:rPr>
              <w:t>0,00</w:t>
            </w:r>
          </w:p>
        </w:tc>
      </w:tr>
      <w:tr w:rsidR="00387142" w:rsidRPr="008B6A75" w14:paraId="02DA705A" w14:textId="77777777" w:rsidTr="00387142">
        <w:trPr>
          <w:trHeight w:val="300"/>
        </w:trPr>
        <w:tc>
          <w:tcPr>
            <w:tcW w:w="272" w:type="dxa"/>
            <w:tcBorders>
              <w:top w:val="nil"/>
              <w:left w:val="nil"/>
              <w:bottom w:val="nil"/>
              <w:right w:val="single" w:sz="4" w:space="0" w:color="auto"/>
            </w:tcBorders>
            <w:shd w:val="clear" w:color="auto" w:fill="auto"/>
            <w:noWrap/>
            <w:vAlign w:val="bottom"/>
            <w:hideMark/>
          </w:tcPr>
          <w:p w14:paraId="1B27BFB7"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5EF29649" w14:textId="77777777" w:rsidR="00387142" w:rsidRPr="008B6A75" w:rsidRDefault="00387142" w:rsidP="00387142">
            <w:pPr>
              <w:rPr>
                <w:sz w:val="20"/>
                <w:szCs w:val="20"/>
              </w:rPr>
            </w:pPr>
            <w:r w:rsidRPr="008B6A75">
              <w:rPr>
                <w:sz w:val="20"/>
                <w:szCs w:val="20"/>
              </w:rPr>
              <w:t>Иные межбюджетные трансферты</w:t>
            </w:r>
          </w:p>
        </w:tc>
        <w:tc>
          <w:tcPr>
            <w:tcW w:w="1559" w:type="dxa"/>
            <w:tcBorders>
              <w:top w:val="nil"/>
              <w:left w:val="single" w:sz="4" w:space="0" w:color="auto"/>
              <w:bottom w:val="single" w:sz="4" w:space="0" w:color="auto"/>
              <w:right w:val="nil"/>
            </w:tcBorders>
            <w:shd w:val="clear" w:color="auto" w:fill="auto"/>
            <w:noWrap/>
            <w:vAlign w:val="center"/>
            <w:hideMark/>
          </w:tcPr>
          <w:p w14:paraId="1B7C6150" w14:textId="77777777" w:rsidR="00387142" w:rsidRPr="008B6A75" w:rsidRDefault="00387142" w:rsidP="00387142">
            <w:pPr>
              <w:jc w:val="center"/>
              <w:rPr>
                <w:sz w:val="20"/>
                <w:szCs w:val="20"/>
              </w:rPr>
            </w:pPr>
            <w:r w:rsidRPr="008B6A75">
              <w:rPr>
                <w:sz w:val="20"/>
                <w:szCs w:val="20"/>
              </w:rPr>
              <w:t>04.0.00.79500</w:t>
            </w:r>
          </w:p>
        </w:tc>
        <w:tc>
          <w:tcPr>
            <w:tcW w:w="850" w:type="dxa"/>
            <w:tcBorders>
              <w:top w:val="nil"/>
              <w:left w:val="single" w:sz="4" w:space="0" w:color="auto"/>
              <w:bottom w:val="single" w:sz="4" w:space="0" w:color="auto"/>
              <w:right w:val="nil"/>
            </w:tcBorders>
            <w:shd w:val="clear" w:color="auto" w:fill="auto"/>
            <w:noWrap/>
            <w:vAlign w:val="center"/>
            <w:hideMark/>
          </w:tcPr>
          <w:p w14:paraId="0DADF808" w14:textId="77777777" w:rsidR="00387142" w:rsidRPr="008B6A75" w:rsidRDefault="00387142" w:rsidP="00387142">
            <w:pPr>
              <w:jc w:val="center"/>
              <w:rPr>
                <w:sz w:val="20"/>
                <w:szCs w:val="20"/>
              </w:rPr>
            </w:pPr>
            <w:r w:rsidRPr="008B6A75">
              <w:rPr>
                <w:sz w:val="20"/>
                <w:szCs w:val="20"/>
              </w:rPr>
              <w:t>540</w:t>
            </w:r>
          </w:p>
        </w:tc>
        <w:tc>
          <w:tcPr>
            <w:tcW w:w="567" w:type="dxa"/>
            <w:tcBorders>
              <w:top w:val="nil"/>
              <w:left w:val="single" w:sz="4" w:space="0" w:color="auto"/>
              <w:bottom w:val="single" w:sz="4" w:space="0" w:color="auto"/>
              <w:right w:val="nil"/>
            </w:tcBorders>
            <w:shd w:val="clear" w:color="auto" w:fill="auto"/>
            <w:noWrap/>
            <w:vAlign w:val="center"/>
            <w:hideMark/>
          </w:tcPr>
          <w:p w14:paraId="661106B2" w14:textId="77777777" w:rsidR="00387142" w:rsidRPr="008B6A75" w:rsidRDefault="00387142" w:rsidP="00387142">
            <w:pPr>
              <w:jc w:val="center"/>
              <w:rPr>
                <w:sz w:val="20"/>
                <w:szCs w:val="20"/>
              </w:rPr>
            </w:pPr>
            <w:r w:rsidRPr="008B6A75">
              <w:rPr>
                <w:sz w:val="20"/>
                <w:szCs w:val="20"/>
              </w:rPr>
              <w:t>07</w:t>
            </w:r>
          </w:p>
        </w:tc>
        <w:tc>
          <w:tcPr>
            <w:tcW w:w="567" w:type="dxa"/>
            <w:tcBorders>
              <w:top w:val="nil"/>
              <w:left w:val="single" w:sz="4" w:space="0" w:color="auto"/>
              <w:bottom w:val="single" w:sz="4" w:space="0" w:color="auto"/>
              <w:right w:val="nil"/>
            </w:tcBorders>
            <w:shd w:val="clear" w:color="auto" w:fill="auto"/>
            <w:noWrap/>
            <w:vAlign w:val="center"/>
            <w:hideMark/>
          </w:tcPr>
          <w:p w14:paraId="363AD8EB" w14:textId="77777777" w:rsidR="00387142" w:rsidRPr="008B6A75" w:rsidRDefault="00387142" w:rsidP="00387142">
            <w:pPr>
              <w:jc w:val="center"/>
              <w:rPr>
                <w:sz w:val="20"/>
                <w:szCs w:val="20"/>
              </w:rPr>
            </w:pPr>
            <w:r w:rsidRPr="008B6A75">
              <w:rPr>
                <w:sz w:val="20"/>
                <w:szCs w:val="20"/>
              </w:rPr>
              <w:t>07</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AA08BB0" w14:textId="77777777" w:rsidR="00387142" w:rsidRPr="008B6A75" w:rsidRDefault="00387142" w:rsidP="00387142">
            <w:pPr>
              <w:jc w:val="right"/>
              <w:rPr>
                <w:sz w:val="20"/>
                <w:szCs w:val="20"/>
              </w:rPr>
            </w:pPr>
            <w:r w:rsidRPr="008B6A75">
              <w:rPr>
                <w:sz w:val="20"/>
                <w:szCs w:val="20"/>
              </w:rPr>
              <w:t>30 000,00</w:t>
            </w:r>
          </w:p>
        </w:tc>
        <w:tc>
          <w:tcPr>
            <w:tcW w:w="851" w:type="dxa"/>
            <w:tcBorders>
              <w:top w:val="nil"/>
              <w:left w:val="single" w:sz="4" w:space="0" w:color="auto"/>
              <w:bottom w:val="single" w:sz="4" w:space="0" w:color="auto"/>
              <w:right w:val="nil"/>
            </w:tcBorders>
            <w:shd w:val="clear" w:color="auto" w:fill="auto"/>
            <w:noWrap/>
            <w:vAlign w:val="center"/>
            <w:hideMark/>
          </w:tcPr>
          <w:p w14:paraId="4C1B8A05" w14:textId="77777777" w:rsidR="00387142" w:rsidRPr="008B6A75" w:rsidRDefault="00387142" w:rsidP="00387142">
            <w:pPr>
              <w:jc w:val="right"/>
              <w:rPr>
                <w:sz w:val="20"/>
                <w:szCs w:val="20"/>
              </w:rPr>
            </w:pPr>
            <w:r w:rsidRPr="008B6A75">
              <w:rPr>
                <w:sz w:val="20"/>
                <w:szCs w:val="20"/>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578ACCAA" w14:textId="77777777" w:rsidR="00387142" w:rsidRPr="008B6A75" w:rsidRDefault="00387142" w:rsidP="00387142">
            <w:pPr>
              <w:jc w:val="right"/>
              <w:rPr>
                <w:sz w:val="20"/>
                <w:szCs w:val="20"/>
              </w:rPr>
            </w:pPr>
            <w:r w:rsidRPr="008B6A75">
              <w:rPr>
                <w:sz w:val="20"/>
                <w:szCs w:val="20"/>
              </w:rPr>
              <w:t>0,00</w:t>
            </w:r>
          </w:p>
        </w:tc>
      </w:tr>
      <w:tr w:rsidR="00387142" w:rsidRPr="008B6A75" w14:paraId="0DCF250C" w14:textId="77777777" w:rsidTr="00387142">
        <w:trPr>
          <w:trHeight w:val="870"/>
        </w:trPr>
        <w:tc>
          <w:tcPr>
            <w:tcW w:w="272" w:type="dxa"/>
            <w:tcBorders>
              <w:top w:val="nil"/>
              <w:left w:val="nil"/>
              <w:bottom w:val="nil"/>
              <w:right w:val="single" w:sz="4" w:space="0" w:color="auto"/>
            </w:tcBorders>
            <w:shd w:val="clear" w:color="auto" w:fill="auto"/>
            <w:noWrap/>
            <w:vAlign w:val="bottom"/>
            <w:hideMark/>
          </w:tcPr>
          <w:p w14:paraId="1114D0F7"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66A143E9" w14:textId="77777777" w:rsidR="00387142" w:rsidRPr="008B6A75" w:rsidRDefault="00387142" w:rsidP="00387142">
            <w:pPr>
              <w:rPr>
                <w:sz w:val="20"/>
                <w:szCs w:val="20"/>
              </w:rPr>
            </w:pPr>
            <w:r w:rsidRPr="008B6A75">
              <w:rPr>
                <w:sz w:val="20"/>
                <w:szCs w:val="20"/>
              </w:rPr>
              <w:t>Предоставление субсидий бюджетным, автономным учреждениям и иным некоммерческим организациям</w:t>
            </w:r>
          </w:p>
        </w:tc>
        <w:tc>
          <w:tcPr>
            <w:tcW w:w="1559" w:type="dxa"/>
            <w:tcBorders>
              <w:top w:val="nil"/>
              <w:left w:val="single" w:sz="4" w:space="0" w:color="auto"/>
              <w:bottom w:val="single" w:sz="4" w:space="0" w:color="auto"/>
              <w:right w:val="nil"/>
            </w:tcBorders>
            <w:shd w:val="clear" w:color="auto" w:fill="auto"/>
            <w:noWrap/>
            <w:vAlign w:val="center"/>
            <w:hideMark/>
          </w:tcPr>
          <w:p w14:paraId="53B72A9E" w14:textId="77777777" w:rsidR="00387142" w:rsidRPr="008B6A75" w:rsidRDefault="00387142" w:rsidP="00387142">
            <w:pPr>
              <w:jc w:val="center"/>
              <w:rPr>
                <w:sz w:val="20"/>
                <w:szCs w:val="20"/>
              </w:rPr>
            </w:pPr>
            <w:r w:rsidRPr="008B6A75">
              <w:rPr>
                <w:sz w:val="20"/>
                <w:szCs w:val="20"/>
              </w:rPr>
              <w:t>04.0.00.79500</w:t>
            </w:r>
          </w:p>
        </w:tc>
        <w:tc>
          <w:tcPr>
            <w:tcW w:w="850" w:type="dxa"/>
            <w:tcBorders>
              <w:top w:val="nil"/>
              <w:left w:val="single" w:sz="4" w:space="0" w:color="auto"/>
              <w:bottom w:val="single" w:sz="4" w:space="0" w:color="auto"/>
              <w:right w:val="nil"/>
            </w:tcBorders>
            <w:shd w:val="clear" w:color="auto" w:fill="auto"/>
            <w:noWrap/>
            <w:vAlign w:val="center"/>
            <w:hideMark/>
          </w:tcPr>
          <w:p w14:paraId="34EADB99" w14:textId="77777777" w:rsidR="00387142" w:rsidRPr="008B6A75" w:rsidRDefault="00387142" w:rsidP="00387142">
            <w:pPr>
              <w:jc w:val="center"/>
              <w:rPr>
                <w:sz w:val="20"/>
                <w:szCs w:val="20"/>
              </w:rPr>
            </w:pPr>
            <w:r w:rsidRPr="008B6A75">
              <w:rPr>
                <w:sz w:val="20"/>
                <w:szCs w:val="20"/>
              </w:rPr>
              <w:t>600</w:t>
            </w:r>
          </w:p>
        </w:tc>
        <w:tc>
          <w:tcPr>
            <w:tcW w:w="567" w:type="dxa"/>
            <w:tcBorders>
              <w:top w:val="nil"/>
              <w:left w:val="single" w:sz="4" w:space="0" w:color="auto"/>
              <w:bottom w:val="single" w:sz="4" w:space="0" w:color="auto"/>
              <w:right w:val="nil"/>
            </w:tcBorders>
            <w:shd w:val="clear" w:color="auto" w:fill="auto"/>
            <w:noWrap/>
            <w:vAlign w:val="center"/>
            <w:hideMark/>
          </w:tcPr>
          <w:p w14:paraId="30F73B26" w14:textId="77777777" w:rsidR="00387142" w:rsidRPr="008B6A75" w:rsidRDefault="00387142" w:rsidP="00387142">
            <w:pPr>
              <w:jc w:val="center"/>
              <w:rPr>
                <w:sz w:val="20"/>
                <w:szCs w:val="20"/>
              </w:rPr>
            </w:pPr>
            <w:r w:rsidRPr="008B6A75">
              <w:rPr>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17A4EDFC" w14:textId="77777777" w:rsidR="00387142" w:rsidRPr="008B6A75" w:rsidRDefault="00387142" w:rsidP="00387142">
            <w:pPr>
              <w:jc w:val="center"/>
              <w:rPr>
                <w:sz w:val="20"/>
                <w:szCs w:val="20"/>
              </w:rPr>
            </w:pPr>
            <w:r w:rsidRPr="008B6A75">
              <w:rPr>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D4A9379" w14:textId="77777777" w:rsidR="00387142" w:rsidRPr="008B6A75" w:rsidRDefault="00387142" w:rsidP="00387142">
            <w:pPr>
              <w:jc w:val="right"/>
              <w:rPr>
                <w:sz w:val="20"/>
                <w:szCs w:val="20"/>
              </w:rPr>
            </w:pPr>
            <w:r w:rsidRPr="008B6A75">
              <w:rPr>
                <w:sz w:val="20"/>
                <w:szCs w:val="20"/>
              </w:rPr>
              <w:t>816 420,92</w:t>
            </w:r>
          </w:p>
        </w:tc>
        <w:tc>
          <w:tcPr>
            <w:tcW w:w="851" w:type="dxa"/>
            <w:tcBorders>
              <w:top w:val="nil"/>
              <w:left w:val="single" w:sz="4" w:space="0" w:color="auto"/>
              <w:bottom w:val="single" w:sz="4" w:space="0" w:color="auto"/>
              <w:right w:val="nil"/>
            </w:tcBorders>
            <w:shd w:val="clear" w:color="auto" w:fill="auto"/>
            <w:noWrap/>
            <w:vAlign w:val="center"/>
            <w:hideMark/>
          </w:tcPr>
          <w:p w14:paraId="210841E8" w14:textId="77777777" w:rsidR="00387142" w:rsidRPr="008B6A75" w:rsidRDefault="00387142" w:rsidP="00387142">
            <w:pPr>
              <w:jc w:val="right"/>
              <w:rPr>
                <w:sz w:val="20"/>
                <w:szCs w:val="20"/>
              </w:rPr>
            </w:pPr>
            <w:r w:rsidRPr="008B6A75">
              <w:rPr>
                <w:sz w:val="20"/>
                <w:szCs w:val="20"/>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54D5168E" w14:textId="77777777" w:rsidR="00387142" w:rsidRPr="008B6A75" w:rsidRDefault="00387142" w:rsidP="00387142">
            <w:pPr>
              <w:jc w:val="right"/>
              <w:rPr>
                <w:sz w:val="20"/>
                <w:szCs w:val="20"/>
              </w:rPr>
            </w:pPr>
            <w:r w:rsidRPr="008B6A75">
              <w:rPr>
                <w:sz w:val="20"/>
                <w:szCs w:val="20"/>
              </w:rPr>
              <w:t>0,00</w:t>
            </w:r>
          </w:p>
        </w:tc>
      </w:tr>
      <w:tr w:rsidR="00387142" w:rsidRPr="008B6A75" w14:paraId="6112E42A" w14:textId="77777777" w:rsidTr="00387142">
        <w:trPr>
          <w:trHeight w:val="300"/>
        </w:trPr>
        <w:tc>
          <w:tcPr>
            <w:tcW w:w="272" w:type="dxa"/>
            <w:tcBorders>
              <w:top w:val="nil"/>
              <w:left w:val="nil"/>
              <w:bottom w:val="nil"/>
              <w:right w:val="single" w:sz="4" w:space="0" w:color="auto"/>
            </w:tcBorders>
            <w:shd w:val="clear" w:color="auto" w:fill="auto"/>
            <w:noWrap/>
            <w:vAlign w:val="bottom"/>
            <w:hideMark/>
          </w:tcPr>
          <w:p w14:paraId="5ECD0092"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799BB841" w14:textId="77777777" w:rsidR="00387142" w:rsidRPr="008B6A75" w:rsidRDefault="00387142" w:rsidP="00387142">
            <w:pPr>
              <w:rPr>
                <w:sz w:val="20"/>
                <w:szCs w:val="20"/>
              </w:rPr>
            </w:pPr>
            <w:r w:rsidRPr="008B6A75">
              <w:rPr>
                <w:sz w:val="20"/>
                <w:szCs w:val="20"/>
              </w:rPr>
              <w:t>Субсидии бюджетным учреждениям</w:t>
            </w:r>
          </w:p>
        </w:tc>
        <w:tc>
          <w:tcPr>
            <w:tcW w:w="1559" w:type="dxa"/>
            <w:tcBorders>
              <w:top w:val="nil"/>
              <w:left w:val="single" w:sz="4" w:space="0" w:color="auto"/>
              <w:bottom w:val="single" w:sz="4" w:space="0" w:color="auto"/>
              <w:right w:val="nil"/>
            </w:tcBorders>
            <w:shd w:val="clear" w:color="auto" w:fill="auto"/>
            <w:noWrap/>
            <w:vAlign w:val="center"/>
            <w:hideMark/>
          </w:tcPr>
          <w:p w14:paraId="65F87FEF" w14:textId="77777777" w:rsidR="00387142" w:rsidRPr="008B6A75" w:rsidRDefault="00387142" w:rsidP="00387142">
            <w:pPr>
              <w:jc w:val="center"/>
              <w:rPr>
                <w:sz w:val="20"/>
                <w:szCs w:val="20"/>
              </w:rPr>
            </w:pPr>
            <w:r w:rsidRPr="008B6A75">
              <w:rPr>
                <w:sz w:val="20"/>
                <w:szCs w:val="20"/>
              </w:rPr>
              <w:t>04.0.00.79500</w:t>
            </w:r>
          </w:p>
        </w:tc>
        <w:tc>
          <w:tcPr>
            <w:tcW w:w="850" w:type="dxa"/>
            <w:tcBorders>
              <w:top w:val="nil"/>
              <w:left w:val="single" w:sz="4" w:space="0" w:color="auto"/>
              <w:bottom w:val="single" w:sz="4" w:space="0" w:color="auto"/>
              <w:right w:val="nil"/>
            </w:tcBorders>
            <w:shd w:val="clear" w:color="auto" w:fill="auto"/>
            <w:noWrap/>
            <w:vAlign w:val="center"/>
            <w:hideMark/>
          </w:tcPr>
          <w:p w14:paraId="0950EA70" w14:textId="77777777" w:rsidR="00387142" w:rsidRPr="008B6A75" w:rsidRDefault="00387142" w:rsidP="00387142">
            <w:pPr>
              <w:jc w:val="center"/>
              <w:rPr>
                <w:sz w:val="20"/>
                <w:szCs w:val="20"/>
              </w:rPr>
            </w:pPr>
            <w:r w:rsidRPr="008B6A75">
              <w:rPr>
                <w:sz w:val="20"/>
                <w:szCs w:val="20"/>
              </w:rPr>
              <w:t>610</w:t>
            </w:r>
          </w:p>
        </w:tc>
        <w:tc>
          <w:tcPr>
            <w:tcW w:w="567" w:type="dxa"/>
            <w:tcBorders>
              <w:top w:val="nil"/>
              <w:left w:val="single" w:sz="4" w:space="0" w:color="auto"/>
              <w:bottom w:val="single" w:sz="4" w:space="0" w:color="auto"/>
              <w:right w:val="nil"/>
            </w:tcBorders>
            <w:shd w:val="clear" w:color="auto" w:fill="auto"/>
            <w:noWrap/>
            <w:vAlign w:val="center"/>
            <w:hideMark/>
          </w:tcPr>
          <w:p w14:paraId="003E92C6" w14:textId="77777777" w:rsidR="00387142" w:rsidRPr="008B6A75" w:rsidRDefault="00387142" w:rsidP="00387142">
            <w:pPr>
              <w:jc w:val="center"/>
              <w:rPr>
                <w:sz w:val="20"/>
                <w:szCs w:val="20"/>
              </w:rPr>
            </w:pPr>
            <w:r w:rsidRPr="008B6A75">
              <w:rPr>
                <w:sz w:val="20"/>
                <w:szCs w:val="20"/>
              </w:rPr>
              <w:t>07</w:t>
            </w:r>
          </w:p>
        </w:tc>
        <w:tc>
          <w:tcPr>
            <w:tcW w:w="567" w:type="dxa"/>
            <w:tcBorders>
              <w:top w:val="nil"/>
              <w:left w:val="single" w:sz="4" w:space="0" w:color="auto"/>
              <w:bottom w:val="single" w:sz="4" w:space="0" w:color="auto"/>
              <w:right w:val="nil"/>
            </w:tcBorders>
            <w:shd w:val="clear" w:color="auto" w:fill="auto"/>
            <w:noWrap/>
            <w:vAlign w:val="center"/>
            <w:hideMark/>
          </w:tcPr>
          <w:p w14:paraId="7B915F5D" w14:textId="77777777" w:rsidR="00387142" w:rsidRPr="008B6A75" w:rsidRDefault="00387142" w:rsidP="00387142">
            <w:pPr>
              <w:jc w:val="center"/>
              <w:rPr>
                <w:sz w:val="20"/>
                <w:szCs w:val="20"/>
              </w:rPr>
            </w:pPr>
            <w:r w:rsidRPr="008B6A75">
              <w:rPr>
                <w:sz w:val="20"/>
                <w:szCs w:val="20"/>
              </w:rPr>
              <w:t>07</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3045DCA" w14:textId="77777777" w:rsidR="00387142" w:rsidRPr="008B6A75" w:rsidRDefault="00387142" w:rsidP="00387142">
            <w:pPr>
              <w:jc w:val="right"/>
              <w:rPr>
                <w:sz w:val="20"/>
                <w:szCs w:val="20"/>
              </w:rPr>
            </w:pPr>
            <w:r w:rsidRPr="008B6A75">
              <w:rPr>
                <w:sz w:val="20"/>
                <w:szCs w:val="20"/>
              </w:rPr>
              <w:t>816 420,92</w:t>
            </w:r>
          </w:p>
        </w:tc>
        <w:tc>
          <w:tcPr>
            <w:tcW w:w="851" w:type="dxa"/>
            <w:tcBorders>
              <w:top w:val="nil"/>
              <w:left w:val="single" w:sz="4" w:space="0" w:color="auto"/>
              <w:bottom w:val="single" w:sz="4" w:space="0" w:color="auto"/>
              <w:right w:val="nil"/>
            </w:tcBorders>
            <w:shd w:val="clear" w:color="auto" w:fill="auto"/>
            <w:noWrap/>
            <w:vAlign w:val="center"/>
            <w:hideMark/>
          </w:tcPr>
          <w:p w14:paraId="298EB892" w14:textId="77777777" w:rsidR="00387142" w:rsidRPr="008B6A75" w:rsidRDefault="00387142" w:rsidP="00387142">
            <w:pPr>
              <w:jc w:val="right"/>
              <w:rPr>
                <w:sz w:val="20"/>
                <w:szCs w:val="20"/>
              </w:rPr>
            </w:pPr>
            <w:r w:rsidRPr="008B6A75">
              <w:rPr>
                <w:sz w:val="20"/>
                <w:szCs w:val="20"/>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634B76A1" w14:textId="77777777" w:rsidR="00387142" w:rsidRPr="008B6A75" w:rsidRDefault="00387142" w:rsidP="00387142">
            <w:pPr>
              <w:jc w:val="right"/>
              <w:rPr>
                <w:sz w:val="20"/>
                <w:szCs w:val="20"/>
              </w:rPr>
            </w:pPr>
            <w:r w:rsidRPr="008B6A75">
              <w:rPr>
                <w:sz w:val="20"/>
                <w:szCs w:val="20"/>
              </w:rPr>
              <w:t>0,00</w:t>
            </w:r>
          </w:p>
        </w:tc>
      </w:tr>
      <w:tr w:rsidR="00387142" w:rsidRPr="008B6A75" w14:paraId="4046B043" w14:textId="77777777" w:rsidTr="00387142">
        <w:trPr>
          <w:trHeight w:val="585"/>
        </w:trPr>
        <w:tc>
          <w:tcPr>
            <w:tcW w:w="272" w:type="dxa"/>
            <w:tcBorders>
              <w:top w:val="nil"/>
              <w:left w:val="nil"/>
              <w:bottom w:val="nil"/>
              <w:right w:val="single" w:sz="4" w:space="0" w:color="auto"/>
            </w:tcBorders>
            <w:shd w:val="clear" w:color="auto" w:fill="auto"/>
            <w:noWrap/>
            <w:vAlign w:val="bottom"/>
            <w:hideMark/>
          </w:tcPr>
          <w:p w14:paraId="2CC80BC1"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1177C58E" w14:textId="77777777" w:rsidR="00387142" w:rsidRPr="008B6A75" w:rsidRDefault="00387142" w:rsidP="00387142">
            <w:pPr>
              <w:rPr>
                <w:bCs/>
                <w:sz w:val="20"/>
                <w:szCs w:val="20"/>
              </w:rPr>
            </w:pPr>
            <w:r w:rsidRPr="008B6A75">
              <w:rPr>
                <w:bCs/>
                <w:sz w:val="20"/>
                <w:szCs w:val="20"/>
              </w:rPr>
              <w:t>Муниципальная программа "Развитие туризма в Куйбышевском районе"</w:t>
            </w:r>
          </w:p>
        </w:tc>
        <w:tc>
          <w:tcPr>
            <w:tcW w:w="1559" w:type="dxa"/>
            <w:tcBorders>
              <w:top w:val="nil"/>
              <w:left w:val="single" w:sz="4" w:space="0" w:color="auto"/>
              <w:bottom w:val="single" w:sz="4" w:space="0" w:color="auto"/>
              <w:right w:val="nil"/>
            </w:tcBorders>
            <w:shd w:val="clear" w:color="auto" w:fill="auto"/>
            <w:noWrap/>
            <w:vAlign w:val="center"/>
            <w:hideMark/>
          </w:tcPr>
          <w:p w14:paraId="3AE29547" w14:textId="77777777" w:rsidR="00387142" w:rsidRPr="008B6A75" w:rsidRDefault="00387142" w:rsidP="00387142">
            <w:pPr>
              <w:jc w:val="center"/>
              <w:rPr>
                <w:bCs/>
                <w:sz w:val="20"/>
                <w:szCs w:val="20"/>
              </w:rPr>
            </w:pPr>
            <w:r w:rsidRPr="008B6A75">
              <w:rPr>
                <w:bCs/>
                <w:sz w:val="20"/>
                <w:szCs w:val="20"/>
              </w:rPr>
              <w:t>05.0.00.00000</w:t>
            </w:r>
          </w:p>
        </w:tc>
        <w:tc>
          <w:tcPr>
            <w:tcW w:w="850" w:type="dxa"/>
            <w:tcBorders>
              <w:top w:val="nil"/>
              <w:left w:val="single" w:sz="4" w:space="0" w:color="auto"/>
              <w:bottom w:val="single" w:sz="4" w:space="0" w:color="auto"/>
              <w:right w:val="nil"/>
            </w:tcBorders>
            <w:shd w:val="clear" w:color="auto" w:fill="auto"/>
            <w:noWrap/>
            <w:vAlign w:val="center"/>
            <w:hideMark/>
          </w:tcPr>
          <w:p w14:paraId="2185A394" w14:textId="77777777" w:rsidR="00387142" w:rsidRPr="008B6A75" w:rsidRDefault="00387142" w:rsidP="00387142">
            <w:pPr>
              <w:jc w:val="center"/>
              <w:rPr>
                <w:bCs/>
                <w:sz w:val="20"/>
                <w:szCs w:val="20"/>
              </w:rPr>
            </w:pPr>
            <w:r w:rsidRPr="008B6A75">
              <w:rPr>
                <w:bCs/>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1EE135FE" w14:textId="77777777" w:rsidR="00387142" w:rsidRPr="008B6A75" w:rsidRDefault="00387142" w:rsidP="00387142">
            <w:pPr>
              <w:jc w:val="center"/>
              <w:rPr>
                <w:bCs/>
                <w:sz w:val="20"/>
                <w:szCs w:val="20"/>
              </w:rPr>
            </w:pPr>
            <w:r w:rsidRPr="008B6A75">
              <w:rPr>
                <w:bCs/>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40E100DA" w14:textId="77777777" w:rsidR="00387142" w:rsidRPr="008B6A75" w:rsidRDefault="00387142" w:rsidP="00387142">
            <w:pPr>
              <w:jc w:val="center"/>
              <w:rPr>
                <w:bCs/>
                <w:sz w:val="20"/>
                <w:szCs w:val="20"/>
              </w:rPr>
            </w:pPr>
            <w:r w:rsidRPr="008B6A75">
              <w:rPr>
                <w:bCs/>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2EA9226" w14:textId="77777777" w:rsidR="00387142" w:rsidRPr="008B6A75" w:rsidRDefault="00387142" w:rsidP="00387142">
            <w:pPr>
              <w:jc w:val="right"/>
              <w:rPr>
                <w:bCs/>
                <w:sz w:val="20"/>
                <w:szCs w:val="20"/>
              </w:rPr>
            </w:pPr>
            <w:r w:rsidRPr="008B6A75">
              <w:rPr>
                <w:bCs/>
                <w:sz w:val="20"/>
                <w:szCs w:val="20"/>
              </w:rPr>
              <w:t>600 000,00</w:t>
            </w:r>
          </w:p>
        </w:tc>
        <w:tc>
          <w:tcPr>
            <w:tcW w:w="851" w:type="dxa"/>
            <w:tcBorders>
              <w:top w:val="nil"/>
              <w:left w:val="single" w:sz="4" w:space="0" w:color="auto"/>
              <w:bottom w:val="single" w:sz="4" w:space="0" w:color="auto"/>
              <w:right w:val="nil"/>
            </w:tcBorders>
            <w:shd w:val="clear" w:color="auto" w:fill="auto"/>
            <w:noWrap/>
            <w:vAlign w:val="center"/>
            <w:hideMark/>
          </w:tcPr>
          <w:p w14:paraId="4BF5854F" w14:textId="77777777" w:rsidR="00387142" w:rsidRPr="008B6A75" w:rsidRDefault="00387142" w:rsidP="00387142">
            <w:pPr>
              <w:jc w:val="right"/>
              <w:rPr>
                <w:bCs/>
                <w:sz w:val="20"/>
                <w:szCs w:val="20"/>
              </w:rPr>
            </w:pPr>
            <w:r w:rsidRPr="008B6A75">
              <w:rPr>
                <w:bCs/>
                <w:sz w:val="20"/>
                <w:szCs w:val="20"/>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250808CF" w14:textId="77777777" w:rsidR="00387142" w:rsidRPr="008B6A75" w:rsidRDefault="00387142" w:rsidP="00387142">
            <w:pPr>
              <w:jc w:val="right"/>
              <w:rPr>
                <w:bCs/>
                <w:sz w:val="20"/>
                <w:szCs w:val="20"/>
              </w:rPr>
            </w:pPr>
            <w:r w:rsidRPr="008B6A75">
              <w:rPr>
                <w:bCs/>
                <w:sz w:val="20"/>
                <w:szCs w:val="20"/>
              </w:rPr>
              <w:t>0,00</w:t>
            </w:r>
          </w:p>
        </w:tc>
      </w:tr>
      <w:tr w:rsidR="00387142" w:rsidRPr="008B6A75" w14:paraId="7A9F66FE" w14:textId="77777777" w:rsidTr="00387142">
        <w:trPr>
          <w:trHeight w:val="585"/>
        </w:trPr>
        <w:tc>
          <w:tcPr>
            <w:tcW w:w="272" w:type="dxa"/>
            <w:tcBorders>
              <w:top w:val="nil"/>
              <w:left w:val="nil"/>
              <w:bottom w:val="nil"/>
              <w:right w:val="single" w:sz="4" w:space="0" w:color="auto"/>
            </w:tcBorders>
            <w:shd w:val="clear" w:color="auto" w:fill="auto"/>
            <w:noWrap/>
            <w:vAlign w:val="bottom"/>
            <w:hideMark/>
          </w:tcPr>
          <w:p w14:paraId="72E4C39E"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4D3176F7" w14:textId="77777777" w:rsidR="00387142" w:rsidRPr="008B6A75" w:rsidRDefault="00387142" w:rsidP="00387142">
            <w:pPr>
              <w:rPr>
                <w:bCs/>
                <w:sz w:val="20"/>
                <w:szCs w:val="20"/>
              </w:rPr>
            </w:pPr>
            <w:r w:rsidRPr="008B6A75">
              <w:rPr>
                <w:bCs/>
                <w:sz w:val="20"/>
                <w:szCs w:val="20"/>
              </w:rPr>
              <w:t>Мероприятия в рамках МП "Развитие туризма в Куйбышевском районе"</w:t>
            </w:r>
          </w:p>
        </w:tc>
        <w:tc>
          <w:tcPr>
            <w:tcW w:w="1559" w:type="dxa"/>
            <w:tcBorders>
              <w:top w:val="nil"/>
              <w:left w:val="single" w:sz="4" w:space="0" w:color="auto"/>
              <w:bottom w:val="single" w:sz="4" w:space="0" w:color="auto"/>
              <w:right w:val="nil"/>
            </w:tcBorders>
            <w:shd w:val="clear" w:color="auto" w:fill="auto"/>
            <w:noWrap/>
            <w:vAlign w:val="center"/>
            <w:hideMark/>
          </w:tcPr>
          <w:p w14:paraId="7DADB13A" w14:textId="77777777" w:rsidR="00387142" w:rsidRPr="008B6A75" w:rsidRDefault="00387142" w:rsidP="00387142">
            <w:pPr>
              <w:jc w:val="center"/>
              <w:rPr>
                <w:bCs/>
                <w:sz w:val="20"/>
                <w:szCs w:val="20"/>
              </w:rPr>
            </w:pPr>
            <w:r w:rsidRPr="008B6A75">
              <w:rPr>
                <w:bCs/>
                <w:sz w:val="20"/>
                <w:szCs w:val="20"/>
              </w:rPr>
              <w:t>05.0.00.11950</w:t>
            </w:r>
          </w:p>
        </w:tc>
        <w:tc>
          <w:tcPr>
            <w:tcW w:w="850" w:type="dxa"/>
            <w:tcBorders>
              <w:top w:val="nil"/>
              <w:left w:val="single" w:sz="4" w:space="0" w:color="auto"/>
              <w:bottom w:val="single" w:sz="4" w:space="0" w:color="auto"/>
              <w:right w:val="nil"/>
            </w:tcBorders>
            <w:shd w:val="clear" w:color="auto" w:fill="auto"/>
            <w:noWrap/>
            <w:vAlign w:val="center"/>
            <w:hideMark/>
          </w:tcPr>
          <w:p w14:paraId="0B74F390" w14:textId="77777777" w:rsidR="00387142" w:rsidRPr="008B6A75" w:rsidRDefault="00387142" w:rsidP="00387142">
            <w:pPr>
              <w:jc w:val="center"/>
              <w:rPr>
                <w:bCs/>
                <w:sz w:val="20"/>
                <w:szCs w:val="20"/>
              </w:rPr>
            </w:pPr>
            <w:r w:rsidRPr="008B6A75">
              <w:rPr>
                <w:bCs/>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20B08799" w14:textId="77777777" w:rsidR="00387142" w:rsidRPr="008B6A75" w:rsidRDefault="00387142" w:rsidP="00387142">
            <w:pPr>
              <w:jc w:val="center"/>
              <w:rPr>
                <w:bCs/>
                <w:sz w:val="20"/>
                <w:szCs w:val="20"/>
              </w:rPr>
            </w:pPr>
            <w:r w:rsidRPr="008B6A75">
              <w:rPr>
                <w:bCs/>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2F4EB979" w14:textId="77777777" w:rsidR="00387142" w:rsidRPr="008B6A75" w:rsidRDefault="00387142" w:rsidP="00387142">
            <w:pPr>
              <w:jc w:val="center"/>
              <w:rPr>
                <w:bCs/>
                <w:sz w:val="20"/>
                <w:szCs w:val="20"/>
              </w:rPr>
            </w:pPr>
            <w:r w:rsidRPr="008B6A75">
              <w:rPr>
                <w:bCs/>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A2E15F8" w14:textId="77777777" w:rsidR="00387142" w:rsidRPr="008B6A75" w:rsidRDefault="00387142" w:rsidP="00387142">
            <w:pPr>
              <w:jc w:val="right"/>
              <w:rPr>
                <w:bCs/>
                <w:sz w:val="20"/>
                <w:szCs w:val="20"/>
              </w:rPr>
            </w:pPr>
            <w:r w:rsidRPr="008B6A75">
              <w:rPr>
                <w:bCs/>
                <w:sz w:val="20"/>
                <w:szCs w:val="20"/>
              </w:rPr>
              <w:t>600 000,00</w:t>
            </w:r>
          </w:p>
        </w:tc>
        <w:tc>
          <w:tcPr>
            <w:tcW w:w="851" w:type="dxa"/>
            <w:tcBorders>
              <w:top w:val="nil"/>
              <w:left w:val="single" w:sz="4" w:space="0" w:color="auto"/>
              <w:bottom w:val="single" w:sz="4" w:space="0" w:color="auto"/>
              <w:right w:val="nil"/>
            </w:tcBorders>
            <w:shd w:val="clear" w:color="auto" w:fill="auto"/>
            <w:noWrap/>
            <w:vAlign w:val="center"/>
            <w:hideMark/>
          </w:tcPr>
          <w:p w14:paraId="550DC214" w14:textId="77777777" w:rsidR="00387142" w:rsidRPr="008B6A75" w:rsidRDefault="00387142" w:rsidP="00387142">
            <w:pPr>
              <w:jc w:val="right"/>
              <w:rPr>
                <w:bCs/>
                <w:sz w:val="20"/>
                <w:szCs w:val="20"/>
              </w:rPr>
            </w:pPr>
            <w:r w:rsidRPr="008B6A75">
              <w:rPr>
                <w:bCs/>
                <w:sz w:val="20"/>
                <w:szCs w:val="20"/>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0BDB6431" w14:textId="77777777" w:rsidR="00387142" w:rsidRPr="008B6A75" w:rsidRDefault="00387142" w:rsidP="00387142">
            <w:pPr>
              <w:jc w:val="right"/>
              <w:rPr>
                <w:bCs/>
                <w:sz w:val="20"/>
                <w:szCs w:val="20"/>
              </w:rPr>
            </w:pPr>
            <w:r w:rsidRPr="008B6A75">
              <w:rPr>
                <w:bCs/>
                <w:sz w:val="20"/>
                <w:szCs w:val="20"/>
              </w:rPr>
              <w:t>0,00</w:t>
            </w:r>
          </w:p>
        </w:tc>
      </w:tr>
      <w:tr w:rsidR="00387142" w:rsidRPr="008B6A75" w14:paraId="6905BC4B" w14:textId="77777777" w:rsidTr="00387142">
        <w:trPr>
          <w:trHeight w:val="870"/>
        </w:trPr>
        <w:tc>
          <w:tcPr>
            <w:tcW w:w="272" w:type="dxa"/>
            <w:tcBorders>
              <w:top w:val="nil"/>
              <w:left w:val="nil"/>
              <w:bottom w:val="nil"/>
              <w:right w:val="single" w:sz="4" w:space="0" w:color="auto"/>
            </w:tcBorders>
            <w:shd w:val="clear" w:color="auto" w:fill="auto"/>
            <w:noWrap/>
            <w:vAlign w:val="bottom"/>
            <w:hideMark/>
          </w:tcPr>
          <w:p w14:paraId="503F0B25"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1D9B6170" w14:textId="77777777" w:rsidR="00387142" w:rsidRPr="008B6A75" w:rsidRDefault="00387142" w:rsidP="00387142">
            <w:pPr>
              <w:rPr>
                <w:sz w:val="20"/>
                <w:szCs w:val="20"/>
              </w:rPr>
            </w:pPr>
            <w:r w:rsidRPr="008B6A75">
              <w:rPr>
                <w:sz w:val="20"/>
                <w:szCs w:val="20"/>
              </w:rPr>
              <w:t>Предоставление субсидий бюджетным, автономным учреждениям и иным некоммерческим организациям</w:t>
            </w:r>
          </w:p>
        </w:tc>
        <w:tc>
          <w:tcPr>
            <w:tcW w:w="1559" w:type="dxa"/>
            <w:tcBorders>
              <w:top w:val="nil"/>
              <w:left w:val="single" w:sz="4" w:space="0" w:color="auto"/>
              <w:bottom w:val="single" w:sz="4" w:space="0" w:color="auto"/>
              <w:right w:val="nil"/>
            </w:tcBorders>
            <w:shd w:val="clear" w:color="auto" w:fill="auto"/>
            <w:noWrap/>
            <w:vAlign w:val="center"/>
            <w:hideMark/>
          </w:tcPr>
          <w:p w14:paraId="6CF5B4BD" w14:textId="77777777" w:rsidR="00387142" w:rsidRPr="008B6A75" w:rsidRDefault="00387142" w:rsidP="00387142">
            <w:pPr>
              <w:jc w:val="center"/>
              <w:rPr>
                <w:sz w:val="20"/>
                <w:szCs w:val="20"/>
              </w:rPr>
            </w:pPr>
            <w:r w:rsidRPr="008B6A75">
              <w:rPr>
                <w:sz w:val="20"/>
                <w:szCs w:val="20"/>
              </w:rPr>
              <w:t>05.0.00.11950</w:t>
            </w:r>
          </w:p>
        </w:tc>
        <w:tc>
          <w:tcPr>
            <w:tcW w:w="850" w:type="dxa"/>
            <w:tcBorders>
              <w:top w:val="nil"/>
              <w:left w:val="single" w:sz="4" w:space="0" w:color="auto"/>
              <w:bottom w:val="single" w:sz="4" w:space="0" w:color="auto"/>
              <w:right w:val="nil"/>
            </w:tcBorders>
            <w:shd w:val="clear" w:color="auto" w:fill="auto"/>
            <w:noWrap/>
            <w:vAlign w:val="center"/>
            <w:hideMark/>
          </w:tcPr>
          <w:p w14:paraId="2923B990" w14:textId="77777777" w:rsidR="00387142" w:rsidRPr="008B6A75" w:rsidRDefault="00387142" w:rsidP="00387142">
            <w:pPr>
              <w:jc w:val="center"/>
              <w:rPr>
                <w:sz w:val="20"/>
                <w:szCs w:val="20"/>
              </w:rPr>
            </w:pPr>
            <w:r w:rsidRPr="008B6A75">
              <w:rPr>
                <w:sz w:val="20"/>
                <w:szCs w:val="20"/>
              </w:rPr>
              <w:t>600</w:t>
            </w:r>
          </w:p>
        </w:tc>
        <w:tc>
          <w:tcPr>
            <w:tcW w:w="567" w:type="dxa"/>
            <w:tcBorders>
              <w:top w:val="nil"/>
              <w:left w:val="single" w:sz="4" w:space="0" w:color="auto"/>
              <w:bottom w:val="single" w:sz="4" w:space="0" w:color="auto"/>
              <w:right w:val="nil"/>
            </w:tcBorders>
            <w:shd w:val="clear" w:color="auto" w:fill="auto"/>
            <w:noWrap/>
            <w:vAlign w:val="center"/>
            <w:hideMark/>
          </w:tcPr>
          <w:p w14:paraId="5A928960" w14:textId="77777777" w:rsidR="00387142" w:rsidRPr="008B6A75" w:rsidRDefault="00387142" w:rsidP="00387142">
            <w:pPr>
              <w:jc w:val="center"/>
              <w:rPr>
                <w:sz w:val="20"/>
                <w:szCs w:val="20"/>
              </w:rPr>
            </w:pPr>
            <w:r w:rsidRPr="008B6A75">
              <w:rPr>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42AD0D54" w14:textId="77777777" w:rsidR="00387142" w:rsidRPr="008B6A75" w:rsidRDefault="00387142" w:rsidP="00387142">
            <w:pPr>
              <w:jc w:val="center"/>
              <w:rPr>
                <w:sz w:val="20"/>
                <w:szCs w:val="20"/>
              </w:rPr>
            </w:pPr>
            <w:r w:rsidRPr="008B6A75">
              <w:rPr>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3E5271C" w14:textId="77777777" w:rsidR="00387142" w:rsidRPr="008B6A75" w:rsidRDefault="00387142" w:rsidP="00387142">
            <w:pPr>
              <w:jc w:val="right"/>
              <w:rPr>
                <w:sz w:val="20"/>
                <w:szCs w:val="20"/>
              </w:rPr>
            </w:pPr>
            <w:r w:rsidRPr="008B6A75">
              <w:rPr>
                <w:sz w:val="20"/>
                <w:szCs w:val="20"/>
              </w:rPr>
              <w:t>600 000,00</w:t>
            </w:r>
          </w:p>
        </w:tc>
        <w:tc>
          <w:tcPr>
            <w:tcW w:w="851" w:type="dxa"/>
            <w:tcBorders>
              <w:top w:val="nil"/>
              <w:left w:val="single" w:sz="4" w:space="0" w:color="auto"/>
              <w:bottom w:val="single" w:sz="4" w:space="0" w:color="auto"/>
              <w:right w:val="nil"/>
            </w:tcBorders>
            <w:shd w:val="clear" w:color="auto" w:fill="auto"/>
            <w:noWrap/>
            <w:vAlign w:val="center"/>
            <w:hideMark/>
          </w:tcPr>
          <w:p w14:paraId="091A1D9D" w14:textId="77777777" w:rsidR="00387142" w:rsidRPr="008B6A75" w:rsidRDefault="00387142" w:rsidP="00387142">
            <w:pPr>
              <w:jc w:val="right"/>
              <w:rPr>
                <w:sz w:val="20"/>
                <w:szCs w:val="20"/>
              </w:rPr>
            </w:pPr>
            <w:r w:rsidRPr="008B6A75">
              <w:rPr>
                <w:sz w:val="20"/>
                <w:szCs w:val="20"/>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49EECB9A" w14:textId="77777777" w:rsidR="00387142" w:rsidRPr="008B6A75" w:rsidRDefault="00387142" w:rsidP="00387142">
            <w:pPr>
              <w:jc w:val="right"/>
              <w:rPr>
                <w:sz w:val="20"/>
                <w:szCs w:val="20"/>
              </w:rPr>
            </w:pPr>
            <w:r w:rsidRPr="008B6A75">
              <w:rPr>
                <w:sz w:val="20"/>
                <w:szCs w:val="20"/>
              </w:rPr>
              <w:t>0,00</w:t>
            </w:r>
          </w:p>
        </w:tc>
      </w:tr>
      <w:tr w:rsidR="00387142" w:rsidRPr="008B6A75" w14:paraId="46EBC3B5" w14:textId="77777777" w:rsidTr="00387142">
        <w:trPr>
          <w:trHeight w:val="300"/>
        </w:trPr>
        <w:tc>
          <w:tcPr>
            <w:tcW w:w="272" w:type="dxa"/>
            <w:tcBorders>
              <w:top w:val="nil"/>
              <w:left w:val="nil"/>
              <w:bottom w:val="nil"/>
              <w:right w:val="single" w:sz="4" w:space="0" w:color="auto"/>
            </w:tcBorders>
            <w:shd w:val="clear" w:color="auto" w:fill="auto"/>
            <w:noWrap/>
            <w:vAlign w:val="bottom"/>
            <w:hideMark/>
          </w:tcPr>
          <w:p w14:paraId="1C1571EC"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7DC03B0E" w14:textId="77777777" w:rsidR="00387142" w:rsidRPr="008B6A75" w:rsidRDefault="00387142" w:rsidP="00387142">
            <w:pPr>
              <w:rPr>
                <w:sz w:val="20"/>
                <w:szCs w:val="20"/>
              </w:rPr>
            </w:pPr>
            <w:r w:rsidRPr="008B6A75">
              <w:rPr>
                <w:sz w:val="20"/>
                <w:szCs w:val="20"/>
              </w:rPr>
              <w:t>Субсидии бюджетным учреждениям</w:t>
            </w:r>
          </w:p>
        </w:tc>
        <w:tc>
          <w:tcPr>
            <w:tcW w:w="1559" w:type="dxa"/>
            <w:tcBorders>
              <w:top w:val="nil"/>
              <w:left w:val="single" w:sz="4" w:space="0" w:color="auto"/>
              <w:bottom w:val="single" w:sz="4" w:space="0" w:color="auto"/>
              <w:right w:val="nil"/>
            </w:tcBorders>
            <w:shd w:val="clear" w:color="auto" w:fill="auto"/>
            <w:noWrap/>
            <w:vAlign w:val="center"/>
            <w:hideMark/>
          </w:tcPr>
          <w:p w14:paraId="52A67D7F" w14:textId="77777777" w:rsidR="00387142" w:rsidRPr="008B6A75" w:rsidRDefault="00387142" w:rsidP="00387142">
            <w:pPr>
              <w:jc w:val="center"/>
              <w:rPr>
                <w:sz w:val="20"/>
                <w:szCs w:val="20"/>
              </w:rPr>
            </w:pPr>
            <w:r w:rsidRPr="008B6A75">
              <w:rPr>
                <w:sz w:val="20"/>
                <w:szCs w:val="20"/>
              </w:rPr>
              <w:t>05.0.00.11950</w:t>
            </w:r>
          </w:p>
        </w:tc>
        <w:tc>
          <w:tcPr>
            <w:tcW w:w="850" w:type="dxa"/>
            <w:tcBorders>
              <w:top w:val="nil"/>
              <w:left w:val="single" w:sz="4" w:space="0" w:color="auto"/>
              <w:bottom w:val="single" w:sz="4" w:space="0" w:color="auto"/>
              <w:right w:val="nil"/>
            </w:tcBorders>
            <w:shd w:val="clear" w:color="auto" w:fill="auto"/>
            <w:noWrap/>
            <w:vAlign w:val="center"/>
            <w:hideMark/>
          </w:tcPr>
          <w:p w14:paraId="58296340" w14:textId="77777777" w:rsidR="00387142" w:rsidRPr="008B6A75" w:rsidRDefault="00387142" w:rsidP="00387142">
            <w:pPr>
              <w:jc w:val="center"/>
              <w:rPr>
                <w:sz w:val="20"/>
                <w:szCs w:val="20"/>
              </w:rPr>
            </w:pPr>
            <w:r w:rsidRPr="008B6A75">
              <w:rPr>
                <w:sz w:val="20"/>
                <w:szCs w:val="20"/>
              </w:rPr>
              <w:t>610</w:t>
            </w:r>
          </w:p>
        </w:tc>
        <w:tc>
          <w:tcPr>
            <w:tcW w:w="567" w:type="dxa"/>
            <w:tcBorders>
              <w:top w:val="nil"/>
              <w:left w:val="single" w:sz="4" w:space="0" w:color="auto"/>
              <w:bottom w:val="single" w:sz="4" w:space="0" w:color="auto"/>
              <w:right w:val="nil"/>
            </w:tcBorders>
            <w:shd w:val="clear" w:color="auto" w:fill="auto"/>
            <w:noWrap/>
            <w:vAlign w:val="center"/>
            <w:hideMark/>
          </w:tcPr>
          <w:p w14:paraId="46D18097" w14:textId="77777777" w:rsidR="00387142" w:rsidRPr="008B6A75" w:rsidRDefault="00387142" w:rsidP="00387142">
            <w:pPr>
              <w:jc w:val="center"/>
              <w:rPr>
                <w:sz w:val="20"/>
                <w:szCs w:val="20"/>
              </w:rPr>
            </w:pPr>
            <w:r w:rsidRPr="008B6A75">
              <w:rPr>
                <w:sz w:val="20"/>
                <w:szCs w:val="20"/>
              </w:rPr>
              <w:t>08</w:t>
            </w:r>
          </w:p>
        </w:tc>
        <w:tc>
          <w:tcPr>
            <w:tcW w:w="567" w:type="dxa"/>
            <w:tcBorders>
              <w:top w:val="nil"/>
              <w:left w:val="single" w:sz="4" w:space="0" w:color="auto"/>
              <w:bottom w:val="single" w:sz="4" w:space="0" w:color="auto"/>
              <w:right w:val="nil"/>
            </w:tcBorders>
            <w:shd w:val="clear" w:color="auto" w:fill="auto"/>
            <w:noWrap/>
            <w:vAlign w:val="center"/>
            <w:hideMark/>
          </w:tcPr>
          <w:p w14:paraId="6E3F01BC" w14:textId="77777777" w:rsidR="00387142" w:rsidRPr="008B6A75" w:rsidRDefault="00387142" w:rsidP="00387142">
            <w:pPr>
              <w:jc w:val="center"/>
              <w:rPr>
                <w:sz w:val="20"/>
                <w:szCs w:val="20"/>
              </w:rPr>
            </w:pPr>
            <w:r w:rsidRPr="008B6A75">
              <w:rPr>
                <w:sz w:val="20"/>
                <w:szCs w:val="20"/>
              </w:rPr>
              <w:t>01</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232842F" w14:textId="77777777" w:rsidR="00387142" w:rsidRPr="008B6A75" w:rsidRDefault="00387142" w:rsidP="00387142">
            <w:pPr>
              <w:jc w:val="right"/>
              <w:rPr>
                <w:sz w:val="20"/>
                <w:szCs w:val="20"/>
              </w:rPr>
            </w:pPr>
            <w:r w:rsidRPr="008B6A75">
              <w:rPr>
                <w:sz w:val="20"/>
                <w:szCs w:val="20"/>
              </w:rPr>
              <w:t>600 000,00</w:t>
            </w:r>
          </w:p>
        </w:tc>
        <w:tc>
          <w:tcPr>
            <w:tcW w:w="851" w:type="dxa"/>
            <w:tcBorders>
              <w:top w:val="nil"/>
              <w:left w:val="single" w:sz="4" w:space="0" w:color="auto"/>
              <w:bottom w:val="single" w:sz="4" w:space="0" w:color="auto"/>
              <w:right w:val="nil"/>
            </w:tcBorders>
            <w:shd w:val="clear" w:color="auto" w:fill="auto"/>
            <w:noWrap/>
            <w:vAlign w:val="center"/>
            <w:hideMark/>
          </w:tcPr>
          <w:p w14:paraId="6705AE5A" w14:textId="77777777" w:rsidR="00387142" w:rsidRPr="008B6A75" w:rsidRDefault="00387142" w:rsidP="00387142">
            <w:pPr>
              <w:jc w:val="right"/>
              <w:rPr>
                <w:sz w:val="20"/>
                <w:szCs w:val="20"/>
              </w:rPr>
            </w:pPr>
            <w:r w:rsidRPr="008B6A75">
              <w:rPr>
                <w:sz w:val="20"/>
                <w:szCs w:val="20"/>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5FFEA423" w14:textId="77777777" w:rsidR="00387142" w:rsidRPr="008B6A75" w:rsidRDefault="00387142" w:rsidP="00387142">
            <w:pPr>
              <w:jc w:val="right"/>
              <w:rPr>
                <w:sz w:val="20"/>
                <w:szCs w:val="20"/>
              </w:rPr>
            </w:pPr>
            <w:r w:rsidRPr="008B6A75">
              <w:rPr>
                <w:sz w:val="20"/>
                <w:szCs w:val="20"/>
              </w:rPr>
              <w:t>0,00</w:t>
            </w:r>
          </w:p>
        </w:tc>
      </w:tr>
      <w:tr w:rsidR="00387142" w:rsidRPr="008B6A75" w14:paraId="63E67860" w14:textId="77777777" w:rsidTr="00387142">
        <w:trPr>
          <w:trHeight w:val="870"/>
        </w:trPr>
        <w:tc>
          <w:tcPr>
            <w:tcW w:w="272" w:type="dxa"/>
            <w:tcBorders>
              <w:top w:val="nil"/>
              <w:left w:val="nil"/>
              <w:bottom w:val="nil"/>
              <w:right w:val="single" w:sz="4" w:space="0" w:color="auto"/>
            </w:tcBorders>
            <w:shd w:val="clear" w:color="auto" w:fill="auto"/>
            <w:noWrap/>
            <w:vAlign w:val="bottom"/>
            <w:hideMark/>
          </w:tcPr>
          <w:p w14:paraId="5DBFCD4B"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2233AE95" w14:textId="77777777" w:rsidR="00387142" w:rsidRPr="008B6A75" w:rsidRDefault="00387142" w:rsidP="00387142">
            <w:pPr>
              <w:rPr>
                <w:bCs/>
                <w:sz w:val="20"/>
                <w:szCs w:val="20"/>
              </w:rPr>
            </w:pPr>
            <w:r w:rsidRPr="008B6A75">
              <w:rPr>
                <w:bCs/>
                <w:sz w:val="20"/>
                <w:szCs w:val="20"/>
              </w:rPr>
              <w:t>Муниципальная программа "Комплексное развитие сельских территорий в Куйбышевском районе"</w:t>
            </w:r>
          </w:p>
        </w:tc>
        <w:tc>
          <w:tcPr>
            <w:tcW w:w="1559" w:type="dxa"/>
            <w:tcBorders>
              <w:top w:val="nil"/>
              <w:left w:val="single" w:sz="4" w:space="0" w:color="auto"/>
              <w:bottom w:val="single" w:sz="4" w:space="0" w:color="auto"/>
              <w:right w:val="nil"/>
            </w:tcBorders>
            <w:shd w:val="clear" w:color="auto" w:fill="auto"/>
            <w:noWrap/>
            <w:vAlign w:val="center"/>
            <w:hideMark/>
          </w:tcPr>
          <w:p w14:paraId="33BD5908" w14:textId="77777777" w:rsidR="00387142" w:rsidRPr="008B6A75" w:rsidRDefault="00387142" w:rsidP="00387142">
            <w:pPr>
              <w:jc w:val="center"/>
              <w:rPr>
                <w:bCs/>
                <w:sz w:val="20"/>
                <w:szCs w:val="20"/>
              </w:rPr>
            </w:pPr>
            <w:r w:rsidRPr="008B6A75">
              <w:rPr>
                <w:bCs/>
                <w:sz w:val="20"/>
                <w:szCs w:val="20"/>
              </w:rPr>
              <w:t>06.0.00.00000</w:t>
            </w:r>
          </w:p>
        </w:tc>
        <w:tc>
          <w:tcPr>
            <w:tcW w:w="850" w:type="dxa"/>
            <w:tcBorders>
              <w:top w:val="nil"/>
              <w:left w:val="single" w:sz="4" w:space="0" w:color="auto"/>
              <w:bottom w:val="single" w:sz="4" w:space="0" w:color="auto"/>
              <w:right w:val="nil"/>
            </w:tcBorders>
            <w:shd w:val="clear" w:color="auto" w:fill="auto"/>
            <w:noWrap/>
            <w:vAlign w:val="center"/>
            <w:hideMark/>
          </w:tcPr>
          <w:p w14:paraId="020D45A7" w14:textId="77777777" w:rsidR="00387142" w:rsidRPr="008B6A75" w:rsidRDefault="00387142" w:rsidP="00387142">
            <w:pPr>
              <w:jc w:val="center"/>
              <w:rPr>
                <w:bCs/>
                <w:sz w:val="20"/>
                <w:szCs w:val="20"/>
              </w:rPr>
            </w:pPr>
            <w:r w:rsidRPr="008B6A75">
              <w:rPr>
                <w:bCs/>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5235BE8E" w14:textId="77777777" w:rsidR="00387142" w:rsidRPr="008B6A75" w:rsidRDefault="00387142" w:rsidP="00387142">
            <w:pPr>
              <w:jc w:val="center"/>
              <w:rPr>
                <w:bCs/>
                <w:sz w:val="20"/>
                <w:szCs w:val="20"/>
              </w:rPr>
            </w:pPr>
            <w:r w:rsidRPr="008B6A75">
              <w:rPr>
                <w:bCs/>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72DC31D7" w14:textId="77777777" w:rsidR="00387142" w:rsidRPr="008B6A75" w:rsidRDefault="00387142" w:rsidP="00387142">
            <w:pPr>
              <w:jc w:val="center"/>
              <w:rPr>
                <w:bCs/>
                <w:sz w:val="20"/>
                <w:szCs w:val="20"/>
              </w:rPr>
            </w:pPr>
            <w:r w:rsidRPr="008B6A75">
              <w:rPr>
                <w:bCs/>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470F74D" w14:textId="77777777" w:rsidR="00387142" w:rsidRPr="008B6A75" w:rsidRDefault="00387142" w:rsidP="00387142">
            <w:pPr>
              <w:jc w:val="right"/>
              <w:rPr>
                <w:bCs/>
                <w:sz w:val="20"/>
                <w:szCs w:val="20"/>
              </w:rPr>
            </w:pPr>
            <w:r w:rsidRPr="008B6A75">
              <w:rPr>
                <w:bCs/>
                <w:sz w:val="20"/>
                <w:szCs w:val="20"/>
              </w:rPr>
              <w:t>56 344 567,69</w:t>
            </w:r>
          </w:p>
        </w:tc>
        <w:tc>
          <w:tcPr>
            <w:tcW w:w="851" w:type="dxa"/>
            <w:tcBorders>
              <w:top w:val="nil"/>
              <w:left w:val="single" w:sz="4" w:space="0" w:color="auto"/>
              <w:bottom w:val="single" w:sz="4" w:space="0" w:color="auto"/>
              <w:right w:val="nil"/>
            </w:tcBorders>
            <w:shd w:val="clear" w:color="auto" w:fill="auto"/>
            <w:noWrap/>
            <w:vAlign w:val="center"/>
            <w:hideMark/>
          </w:tcPr>
          <w:p w14:paraId="7CCBF18D" w14:textId="77777777" w:rsidR="00387142" w:rsidRPr="008B6A75" w:rsidRDefault="00387142" w:rsidP="00387142">
            <w:pPr>
              <w:jc w:val="right"/>
              <w:rPr>
                <w:bCs/>
                <w:sz w:val="20"/>
                <w:szCs w:val="20"/>
              </w:rPr>
            </w:pPr>
            <w:r w:rsidRPr="008B6A75">
              <w:rPr>
                <w:bCs/>
                <w:sz w:val="20"/>
                <w:szCs w:val="20"/>
              </w:rPr>
              <w:t>1 663 114,52</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36FEB159" w14:textId="77777777" w:rsidR="00387142" w:rsidRPr="008B6A75" w:rsidRDefault="00387142" w:rsidP="00387142">
            <w:pPr>
              <w:jc w:val="right"/>
              <w:rPr>
                <w:bCs/>
                <w:sz w:val="20"/>
                <w:szCs w:val="20"/>
              </w:rPr>
            </w:pPr>
            <w:r w:rsidRPr="008B6A75">
              <w:rPr>
                <w:bCs/>
                <w:sz w:val="20"/>
                <w:szCs w:val="20"/>
              </w:rPr>
              <w:t>500 000,00</w:t>
            </w:r>
          </w:p>
        </w:tc>
      </w:tr>
      <w:tr w:rsidR="00387142" w:rsidRPr="008B6A75" w14:paraId="184725A5" w14:textId="77777777" w:rsidTr="00387142">
        <w:trPr>
          <w:trHeight w:val="870"/>
        </w:trPr>
        <w:tc>
          <w:tcPr>
            <w:tcW w:w="272" w:type="dxa"/>
            <w:tcBorders>
              <w:top w:val="nil"/>
              <w:left w:val="nil"/>
              <w:bottom w:val="nil"/>
              <w:right w:val="single" w:sz="4" w:space="0" w:color="auto"/>
            </w:tcBorders>
            <w:shd w:val="clear" w:color="auto" w:fill="auto"/>
            <w:noWrap/>
            <w:vAlign w:val="bottom"/>
            <w:hideMark/>
          </w:tcPr>
          <w:p w14:paraId="1BA4DAF0"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1E6FD76C" w14:textId="77777777" w:rsidR="00387142" w:rsidRPr="008B6A75" w:rsidRDefault="00387142" w:rsidP="00387142">
            <w:pPr>
              <w:rPr>
                <w:bCs/>
                <w:sz w:val="20"/>
                <w:szCs w:val="20"/>
              </w:rPr>
            </w:pPr>
            <w:r w:rsidRPr="008B6A75">
              <w:rPr>
                <w:bCs/>
                <w:sz w:val="20"/>
                <w:szCs w:val="20"/>
              </w:rPr>
              <w:t>Реализация мероприятий муниципальной программы «Комплексное развитие сельских территорий в Куйбышевском районе»</w:t>
            </w:r>
          </w:p>
        </w:tc>
        <w:tc>
          <w:tcPr>
            <w:tcW w:w="1559" w:type="dxa"/>
            <w:tcBorders>
              <w:top w:val="nil"/>
              <w:left w:val="single" w:sz="4" w:space="0" w:color="auto"/>
              <w:bottom w:val="single" w:sz="4" w:space="0" w:color="auto"/>
              <w:right w:val="nil"/>
            </w:tcBorders>
            <w:shd w:val="clear" w:color="auto" w:fill="auto"/>
            <w:noWrap/>
            <w:vAlign w:val="center"/>
            <w:hideMark/>
          </w:tcPr>
          <w:p w14:paraId="43A8007C" w14:textId="77777777" w:rsidR="00387142" w:rsidRPr="008B6A75" w:rsidRDefault="00387142" w:rsidP="00387142">
            <w:pPr>
              <w:jc w:val="center"/>
              <w:rPr>
                <w:bCs/>
                <w:sz w:val="20"/>
                <w:szCs w:val="20"/>
              </w:rPr>
            </w:pPr>
            <w:r w:rsidRPr="008B6A75">
              <w:rPr>
                <w:bCs/>
                <w:sz w:val="20"/>
                <w:szCs w:val="20"/>
              </w:rPr>
              <w:t>06.0.00.05956</w:t>
            </w:r>
          </w:p>
        </w:tc>
        <w:tc>
          <w:tcPr>
            <w:tcW w:w="850" w:type="dxa"/>
            <w:tcBorders>
              <w:top w:val="nil"/>
              <w:left w:val="single" w:sz="4" w:space="0" w:color="auto"/>
              <w:bottom w:val="single" w:sz="4" w:space="0" w:color="auto"/>
              <w:right w:val="nil"/>
            </w:tcBorders>
            <w:shd w:val="clear" w:color="auto" w:fill="auto"/>
            <w:noWrap/>
            <w:vAlign w:val="center"/>
            <w:hideMark/>
          </w:tcPr>
          <w:p w14:paraId="1F275C02" w14:textId="77777777" w:rsidR="00387142" w:rsidRPr="008B6A75" w:rsidRDefault="00387142" w:rsidP="00387142">
            <w:pPr>
              <w:jc w:val="center"/>
              <w:rPr>
                <w:bCs/>
                <w:sz w:val="20"/>
                <w:szCs w:val="20"/>
              </w:rPr>
            </w:pPr>
            <w:r w:rsidRPr="008B6A75">
              <w:rPr>
                <w:bCs/>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44016CBA" w14:textId="77777777" w:rsidR="00387142" w:rsidRPr="008B6A75" w:rsidRDefault="00387142" w:rsidP="00387142">
            <w:pPr>
              <w:jc w:val="center"/>
              <w:rPr>
                <w:bCs/>
                <w:sz w:val="20"/>
                <w:szCs w:val="20"/>
              </w:rPr>
            </w:pPr>
            <w:r w:rsidRPr="008B6A75">
              <w:rPr>
                <w:bCs/>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05B4F7A9" w14:textId="77777777" w:rsidR="00387142" w:rsidRPr="008B6A75" w:rsidRDefault="00387142" w:rsidP="00387142">
            <w:pPr>
              <w:jc w:val="center"/>
              <w:rPr>
                <w:bCs/>
                <w:sz w:val="20"/>
                <w:szCs w:val="20"/>
              </w:rPr>
            </w:pPr>
            <w:r w:rsidRPr="008B6A75">
              <w:rPr>
                <w:bCs/>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A8DCAF1" w14:textId="77777777" w:rsidR="00387142" w:rsidRPr="008B6A75" w:rsidRDefault="00387142" w:rsidP="00387142">
            <w:pPr>
              <w:jc w:val="right"/>
              <w:rPr>
                <w:bCs/>
                <w:sz w:val="20"/>
                <w:szCs w:val="20"/>
              </w:rPr>
            </w:pPr>
            <w:r w:rsidRPr="008B6A75">
              <w:rPr>
                <w:bCs/>
                <w:sz w:val="20"/>
                <w:szCs w:val="20"/>
              </w:rPr>
              <w:t>1 811 629,78</w:t>
            </w:r>
          </w:p>
        </w:tc>
        <w:tc>
          <w:tcPr>
            <w:tcW w:w="851" w:type="dxa"/>
            <w:tcBorders>
              <w:top w:val="nil"/>
              <w:left w:val="single" w:sz="4" w:space="0" w:color="auto"/>
              <w:bottom w:val="single" w:sz="4" w:space="0" w:color="auto"/>
              <w:right w:val="nil"/>
            </w:tcBorders>
            <w:shd w:val="clear" w:color="auto" w:fill="auto"/>
            <w:noWrap/>
            <w:vAlign w:val="center"/>
            <w:hideMark/>
          </w:tcPr>
          <w:p w14:paraId="7CAF2A08" w14:textId="77777777" w:rsidR="00387142" w:rsidRPr="008B6A75" w:rsidRDefault="00387142" w:rsidP="00387142">
            <w:pPr>
              <w:jc w:val="right"/>
              <w:rPr>
                <w:bCs/>
                <w:sz w:val="20"/>
                <w:szCs w:val="20"/>
              </w:rPr>
            </w:pPr>
            <w:r w:rsidRPr="008B6A75">
              <w:rPr>
                <w:bCs/>
                <w:sz w:val="20"/>
                <w:szCs w:val="20"/>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66EC74BB" w14:textId="77777777" w:rsidR="00387142" w:rsidRPr="008B6A75" w:rsidRDefault="00387142" w:rsidP="00387142">
            <w:pPr>
              <w:jc w:val="right"/>
              <w:rPr>
                <w:bCs/>
                <w:sz w:val="20"/>
                <w:szCs w:val="20"/>
              </w:rPr>
            </w:pPr>
            <w:r w:rsidRPr="008B6A75">
              <w:rPr>
                <w:bCs/>
                <w:sz w:val="20"/>
                <w:szCs w:val="20"/>
              </w:rPr>
              <w:t>0,00</w:t>
            </w:r>
          </w:p>
        </w:tc>
      </w:tr>
      <w:tr w:rsidR="00387142" w:rsidRPr="008B6A75" w14:paraId="343BB493" w14:textId="77777777" w:rsidTr="00387142">
        <w:trPr>
          <w:trHeight w:val="585"/>
        </w:trPr>
        <w:tc>
          <w:tcPr>
            <w:tcW w:w="272" w:type="dxa"/>
            <w:tcBorders>
              <w:top w:val="nil"/>
              <w:left w:val="nil"/>
              <w:bottom w:val="nil"/>
              <w:right w:val="single" w:sz="4" w:space="0" w:color="auto"/>
            </w:tcBorders>
            <w:shd w:val="clear" w:color="auto" w:fill="auto"/>
            <w:noWrap/>
            <w:vAlign w:val="bottom"/>
            <w:hideMark/>
          </w:tcPr>
          <w:p w14:paraId="7C7BDA25"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366CA7EA" w14:textId="77777777" w:rsidR="00387142" w:rsidRPr="008B6A75" w:rsidRDefault="00387142" w:rsidP="00387142">
            <w:pPr>
              <w:rPr>
                <w:sz w:val="20"/>
                <w:szCs w:val="20"/>
              </w:rPr>
            </w:pPr>
            <w:r w:rsidRPr="008B6A75">
              <w:rPr>
                <w:sz w:val="20"/>
                <w:szCs w:val="20"/>
              </w:rPr>
              <w:t>Закупка товаров, работ и услуг для обеспечения государственных (муниципальных) нужд</w:t>
            </w:r>
          </w:p>
        </w:tc>
        <w:tc>
          <w:tcPr>
            <w:tcW w:w="1559" w:type="dxa"/>
            <w:tcBorders>
              <w:top w:val="nil"/>
              <w:left w:val="single" w:sz="4" w:space="0" w:color="auto"/>
              <w:bottom w:val="single" w:sz="4" w:space="0" w:color="auto"/>
              <w:right w:val="nil"/>
            </w:tcBorders>
            <w:shd w:val="clear" w:color="auto" w:fill="auto"/>
            <w:noWrap/>
            <w:vAlign w:val="center"/>
            <w:hideMark/>
          </w:tcPr>
          <w:p w14:paraId="01729A32" w14:textId="77777777" w:rsidR="00387142" w:rsidRPr="008B6A75" w:rsidRDefault="00387142" w:rsidP="00387142">
            <w:pPr>
              <w:jc w:val="center"/>
              <w:rPr>
                <w:sz w:val="20"/>
                <w:szCs w:val="20"/>
              </w:rPr>
            </w:pPr>
            <w:r w:rsidRPr="008B6A75">
              <w:rPr>
                <w:sz w:val="20"/>
                <w:szCs w:val="20"/>
              </w:rPr>
              <w:t>06.0.00.05956</w:t>
            </w:r>
          </w:p>
        </w:tc>
        <w:tc>
          <w:tcPr>
            <w:tcW w:w="850" w:type="dxa"/>
            <w:tcBorders>
              <w:top w:val="nil"/>
              <w:left w:val="single" w:sz="4" w:space="0" w:color="auto"/>
              <w:bottom w:val="single" w:sz="4" w:space="0" w:color="auto"/>
              <w:right w:val="nil"/>
            </w:tcBorders>
            <w:shd w:val="clear" w:color="auto" w:fill="auto"/>
            <w:noWrap/>
            <w:vAlign w:val="center"/>
            <w:hideMark/>
          </w:tcPr>
          <w:p w14:paraId="24923001" w14:textId="77777777" w:rsidR="00387142" w:rsidRPr="008B6A75" w:rsidRDefault="00387142" w:rsidP="00387142">
            <w:pPr>
              <w:jc w:val="center"/>
              <w:rPr>
                <w:sz w:val="20"/>
                <w:szCs w:val="20"/>
              </w:rPr>
            </w:pPr>
            <w:r w:rsidRPr="008B6A75">
              <w:rPr>
                <w:sz w:val="20"/>
                <w:szCs w:val="20"/>
              </w:rPr>
              <w:t>200</w:t>
            </w:r>
          </w:p>
        </w:tc>
        <w:tc>
          <w:tcPr>
            <w:tcW w:w="567" w:type="dxa"/>
            <w:tcBorders>
              <w:top w:val="nil"/>
              <w:left w:val="single" w:sz="4" w:space="0" w:color="auto"/>
              <w:bottom w:val="single" w:sz="4" w:space="0" w:color="auto"/>
              <w:right w:val="nil"/>
            </w:tcBorders>
            <w:shd w:val="clear" w:color="auto" w:fill="auto"/>
            <w:noWrap/>
            <w:vAlign w:val="center"/>
            <w:hideMark/>
          </w:tcPr>
          <w:p w14:paraId="174866EA" w14:textId="77777777" w:rsidR="00387142" w:rsidRPr="008B6A75" w:rsidRDefault="00387142" w:rsidP="00387142">
            <w:pPr>
              <w:jc w:val="center"/>
              <w:rPr>
                <w:sz w:val="20"/>
                <w:szCs w:val="20"/>
              </w:rPr>
            </w:pPr>
            <w:r w:rsidRPr="008B6A75">
              <w:rPr>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4FA0E81A" w14:textId="77777777" w:rsidR="00387142" w:rsidRPr="008B6A75" w:rsidRDefault="00387142" w:rsidP="00387142">
            <w:pPr>
              <w:jc w:val="center"/>
              <w:rPr>
                <w:sz w:val="20"/>
                <w:szCs w:val="20"/>
              </w:rPr>
            </w:pPr>
            <w:r w:rsidRPr="008B6A75">
              <w:rPr>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AF4FB68" w14:textId="77777777" w:rsidR="00387142" w:rsidRPr="008B6A75" w:rsidRDefault="00387142" w:rsidP="00387142">
            <w:pPr>
              <w:jc w:val="right"/>
              <w:rPr>
                <w:sz w:val="20"/>
                <w:szCs w:val="20"/>
              </w:rPr>
            </w:pPr>
            <w:r w:rsidRPr="008B6A75">
              <w:rPr>
                <w:sz w:val="20"/>
                <w:szCs w:val="20"/>
              </w:rPr>
              <w:t>135 300,00</w:t>
            </w:r>
          </w:p>
        </w:tc>
        <w:tc>
          <w:tcPr>
            <w:tcW w:w="851" w:type="dxa"/>
            <w:tcBorders>
              <w:top w:val="nil"/>
              <w:left w:val="single" w:sz="4" w:space="0" w:color="auto"/>
              <w:bottom w:val="single" w:sz="4" w:space="0" w:color="auto"/>
              <w:right w:val="nil"/>
            </w:tcBorders>
            <w:shd w:val="clear" w:color="auto" w:fill="auto"/>
            <w:noWrap/>
            <w:vAlign w:val="center"/>
            <w:hideMark/>
          </w:tcPr>
          <w:p w14:paraId="535DB1BA" w14:textId="77777777" w:rsidR="00387142" w:rsidRPr="008B6A75" w:rsidRDefault="00387142" w:rsidP="00387142">
            <w:pPr>
              <w:jc w:val="right"/>
              <w:rPr>
                <w:sz w:val="20"/>
                <w:szCs w:val="20"/>
              </w:rPr>
            </w:pPr>
            <w:r w:rsidRPr="008B6A75">
              <w:rPr>
                <w:sz w:val="20"/>
                <w:szCs w:val="20"/>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4C780A9B" w14:textId="77777777" w:rsidR="00387142" w:rsidRPr="008B6A75" w:rsidRDefault="00387142" w:rsidP="00387142">
            <w:pPr>
              <w:jc w:val="right"/>
              <w:rPr>
                <w:sz w:val="20"/>
                <w:szCs w:val="20"/>
              </w:rPr>
            </w:pPr>
            <w:r w:rsidRPr="008B6A75">
              <w:rPr>
                <w:sz w:val="20"/>
                <w:szCs w:val="20"/>
              </w:rPr>
              <w:t>0,00</w:t>
            </w:r>
          </w:p>
        </w:tc>
      </w:tr>
      <w:tr w:rsidR="00387142" w:rsidRPr="008B6A75" w14:paraId="1060C54C" w14:textId="77777777" w:rsidTr="00387142">
        <w:trPr>
          <w:trHeight w:val="870"/>
        </w:trPr>
        <w:tc>
          <w:tcPr>
            <w:tcW w:w="272" w:type="dxa"/>
            <w:tcBorders>
              <w:top w:val="nil"/>
              <w:left w:val="nil"/>
              <w:bottom w:val="nil"/>
              <w:right w:val="single" w:sz="4" w:space="0" w:color="auto"/>
            </w:tcBorders>
            <w:shd w:val="clear" w:color="auto" w:fill="auto"/>
            <w:noWrap/>
            <w:vAlign w:val="bottom"/>
            <w:hideMark/>
          </w:tcPr>
          <w:p w14:paraId="718B4431"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06C3EF02" w14:textId="77777777" w:rsidR="00387142" w:rsidRPr="008B6A75" w:rsidRDefault="00387142" w:rsidP="00387142">
            <w:pPr>
              <w:rPr>
                <w:sz w:val="20"/>
                <w:szCs w:val="20"/>
              </w:rPr>
            </w:pPr>
            <w:r w:rsidRPr="008B6A75">
              <w:rPr>
                <w:sz w:val="20"/>
                <w:szCs w:val="20"/>
              </w:rPr>
              <w:t>Иные закупки товаров, работ и услуг для обеспечения государственных (муниципальных) нужд</w:t>
            </w:r>
          </w:p>
        </w:tc>
        <w:tc>
          <w:tcPr>
            <w:tcW w:w="1559" w:type="dxa"/>
            <w:tcBorders>
              <w:top w:val="nil"/>
              <w:left w:val="single" w:sz="4" w:space="0" w:color="auto"/>
              <w:bottom w:val="single" w:sz="4" w:space="0" w:color="auto"/>
              <w:right w:val="nil"/>
            </w:tcBorders>
            <w:shd w:val="clear" w:color="auto" w:fill="auto"/>
            <w:noWrap/>
            <w:vAlign w:val="center"/>
            <w:hideMark/>
          </w:tcPr>
          <w:p w14:paraId="25B4E616" w14:textId="77777777" w:rsidR="00387142" w:rsidRPr="008B6A75" w:rsidRDefault="00387142" w:rsidP="00387142">
            <w:pPr>
              <w:jc w:val="center"/>
              <w:rPr>
                <w:sz w:val="20"/>
                <w:szCs w:val="20"/>
              </w:rPr>
            </w:pPr>
            <w:r w:rsidRPr="008B6A75">
              <w:rPr>
                <w:sz w:val="20"/>
                <w:szCs w:val="20"/>
              </w:rPr>
              <w:t>06.0.00.05956</w:t>
            </w:r>
          </w:p>
        </w:tc>
        <w:tc>
          <w:tcPr>
            <w:tcW w:w="850" w:type="dxa"/>
            <w:tcBorders>
              <w:top w:val="nil"/>
              <w:left w:val="single" w:sz="4" w:space="0" w:color="auto"/>
              <w:bottom w:val="single" w:sz="4" w:space="0" w:color="auto"/>
              <w:right w:val="nil"/>
            </w:tcBorders>
            <w:shd w:val="clear" w:color="auto" w:fill="auto"/>
            <w:noWrap/>
            <w:vAlign w:val="center"/>
            <w:hideMark/>
          </w:tcPr>
          <w:p w14:paraId="27EBA2F9" w14:textId="77777777" w:rsidR="00387142" w:rsidRPr="008B6A75" w:rsidRDefault="00387142" w:rsidP="00387142">
            <w:pPr>
              <w:jc w:val="center"/>
              <w:rPr>
                <w:sz w:val="20"/>
                <w:szCs w:val="20"/>
              </w:rPr>
            </w:pPr>
            <w:r w:rsidRPr="008B6A75">
              <w:rPr>
                <w:sz w:val="20"/>
                <w:szCs w:val="20"/>
              </w:rPr>
              <w:t>240</w:t>
            </w:r>
          </w:p>
        </w:tc>
        <w:tc>
          <w:tcPr>
            <w:tcW w:w="567" w:type="dxa"/>
            <w:tcBorders>
              <w:top w:val="nil"/>
              <w:left w:val="single" w:sz="4" w:space="0" w:color="auto"/>
              <w:bottom w:val="single" w:sz="4" w:space="0" w:color="auto"/>
              <w:right w:val="nil"/>
            </w:tcBorders>
            <w:shd w:val="clear" w:color="auto" w:fill="auto"/>
            <w:noWrap/>
            <w:vAlign w:val="center"/>
            <w:hideMark/>
          </w:tcPr>
          <w:p w14:paraId="15D80127" w14:textId="77777777" w:rsidR="00387142" w:rsidRPr="008B6A75" w:rsidRDefault="00387142" w:rsidP="00387142">
            <w:pPr>
              <w:jc w:val="center"/>
              <w:rPr>
                <w:sz w:val="20"/>
                <w:szCs w:val="20"/>
              </w:rPr>
            </w:pPr>
            <w:r w:rsidRPr="008B6A75">
              <w:rPr>
                <w:sz w:val="20"/>
                <w:szCs w:val="20"/>
              </w:rPr>
              <w:t>07</w:t>
            </w:r>
          </w:p>
        </w:tc>
        <w:tc>
          <w:tcPr>
            <w:tcW w:w="567" w:type="dxa"/>
            <w:tcBorders>
              <w:top w:val="nil"/>
              <w:left w:val="single" w:sz="4" w:space="0" w:color="auto"/>
              <w:bottom w:val="single" w:sz="4" w:space="0" w:color="auto"/>
              <w:right w:val="nil"/>
            </w:tcBorders>
            <w:shd w:val="clear" w:color="auto" w:fill="auto"/>
            <w:noWrap/>
            <w:vAlign w:val="center"/>
            <w:hideMark/>
          </w:tcPr>
          <w:p w14:paraId="1AB0EEB7" w14:textId="77777777" w:rsidR="00387142" w:rsidRPr="008B6A75" w:rsidRDefault="00387142" w:rsidP="00387142">
            <w:pPr>
              <w:jc w:val="center"/>
              <w:rPr>
                <w:sz w:val="20"/>
                <w:szCs w:val="20"/>
              </w:rPr>
            </w:pPr>
            <w:r w:rsidRPr="008B6A75">
              <w:rPr>
                <w:sz w:val="20"/>
                <w:szCs w:val="20"/>
              </w:rPr>
              <w:t>02</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0C2A924" w14:textId="77777777" w:rsidR="00387142" w:rsidRPr="008B6A75" w:rsidRDefault="00387142" w:rsidP="00387142">
            <w:pPr>
              <w:jc w:val="right"/>
              <w:rPr>
                <w:sz w:val="20"/>
                <w:szCs w:val="20"/>
              </w:rPr>
            </w:pPr>
            <w:r w:rsidRPr="008B6A75">
              <w:rPr>
                <w:sz w:val="20"/>
                <w:szCs w:val="20"/>
              </w:rPr>
              <w:t>135 300,00</w:t>
            </w:r>
          </w:p>
        </w:tc>
        <w:tc>
          <w:tcPr>
            <w:tcW w:w="851" w:type="dxa"/>
            <w:tcBorders>
              <w:top w:val="nil"/>
              <w:left w:val="single" w:sz="4" w:space="0" w:color="auto"/>
              <w:bottom w:val="single" w:sz="4" w:space="0" w:color="auto"/>
              <w:right w:val="nil"/>
            </w:tcBorders>
            <w:shd w:val="clear" w:color="auto" w:fill="auto"/>
            <w:noWrap/>
            <w:vAlign w:val="center"/>
            <w:hideMark/>
          </w:tcPr>
          <w:p w14:paraId="16DF8892" w14:textId="77777777" w:rsidR="00387142" w:rsidRPr="008B6A75" w:rsidRDefault="00387142" w:rsidP="00387142">
            <w:pPr>
              <w:jc w:val="right"/>
              <w:rPr>
                <w:sz w:val="20"/>
                <w:szCs w:val="20"/>
              </w:rPr>
            </w:pPr>
            <w:r w:rsidRPr="008B6A75">
              <w:rPr>
                <w:sz w:val="20"/>
                <w:szCs w:val="20"/>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18870F40" w14:textId="77777777" w:rsidR="00387142" w:rsidRPr="008B6A75" w:rsidRDefault="00387142" w:rsidP="00387142">
            <w:pPr>
              <w:jc w:val="right"/>
              <w:rPr>
                <w:sz w:val="20"/>
                <w:szCs w:val="20"/>
              </w:rPr>
            </w:pPr>
            <w:r w:rsidRPr="008B6A75">
              <w:rPr>
                <w:sz w:val="20"/>
                <w:szCs w:val="20"/>
              </w:rPr>
              <w:t>0,00</w:t>
            </w:r>
          </w:p>
        </w:tc>
      </w:tr>
      <w:tr w:rsidR="00387142" w:rsidRPr="008B6A75" w14:paraId="123A2198" w14:textId="77777777" w:rsidTr="00387142">
        <w:trPr>
          <w:trHeight w:val="300"/>
        </w:trPr>
        <w:tc>
          <w:tcPr>
            <w:tcW w:w="272" w:type="dxa"/>
            <w:tcBorders>
              <w:top w:val="nil"/>
              <w:left w:val="nil"/>
              <w:bottom w:val="nil"/>
              <w:right w:val="single" w:sz="4" w:space="0" w:color="auto"/>
            </w:tcBorders>
            <w:shd w:val="clear" w:color="auto" w:fill="auto"/>
            <w:noWrap/>
            <w:vAlign w:val="bottom"/>
            <w:hideMark/>
          </w:tcPr>
          <w:p w14:paraId="6B7DAD2E"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4F699CDF" w14:textId="77777777" w:rsidR="00387142" w:rsidRPr="008B6A75" w:rsidRDefault="00387142" w:rsidP="00387142">
            <w:pPr>
              <w:rPr>
                <w:sz w:val="20"/>
                <w:szCs w:val="20"/>
              </w:rPr>
            </w:pPr>
            <w:r w:rsidRPr="008B6A75">
              <w:rPr>
                <w:sz w:val="20"/>
                <w:szCs w:val="20"/>
              </w:rPr>
              <w:t>Межбюджетные трансферты</w:t>
            </w:r>
          </w:p>
        </w:tc>
        <w:tc>
          <w:tcPr>
            <w:tcW w:w="1559" w:type="dxa"/>
            <w:tcBorders>
              <w:top w:val="nil"/>
              <w:left w:val="single" w:sz="4" w:space="0" w:color="auto"/>
              <w:bottom w:val="single" w:sz="4" w:space="0" w:color="auto"/>
              <w:right w:val="nil"/>
            </w:tcBorders>
            <w:shd w:val="clear" w:color="auto" w:fill="auto"/>
            <w:noWrap/>
            <w:vAlign w:val="center"/>
            <w:hideMark/>
          </w:tcPr>
          <w:p w14:paraId="21B3E4DD" w14:textId="77777777" w:rsidR="00387142" w:rsidRPr="008B6A75" w:rsidRDefault="00387142" w:rsidP="00387142">
            <w:pPr>
              <w:jc w:val="center"/>
              <w:rPr>
                <w:sz w:val="20"/>
                <w:szCs w:val="20"/>
              </w:rPr>
            </w:pPr>
            <w:r w:rsidRPr="008B6A75">
              <w:rPr>
                <w:sz w:val="20"/>
                <w:szCs w:val="20"/>
              </w:rPr>
              <w:t>06.0.00.05956</w:t>
            </w:r>
          </w:p>
        </w:tc>
        <w:tc>
          <w:tcPr>
            <w:tcW w:w="850" w:type="dxa"/>
            <w:tcBorders>
              <w:top w:val="nil"/>
              <w:left w:val="single" w:sz="4" w:space="0" w:color="auto"/>
              <w:bottom w:val="single" w:sz="4" w:space="0" w:color="auto"/>
              <w:right w:val="nil"/>
            </w:tcBorders>
            <w:shd w:val="clear" w:color="auto" w:fill="auto"/>
            <w:noWrap/>
            <w:vAlign w:val="center"/>
            <w:hideMark/>
          </w:tcPr>
          <w:p w14:paraId="0D5FC190" w14:textId="77777777" w:rsidR="00387142" w:rsidRPr="008B6A75" w:rsidRDefault="00387142" w:rsidP="00387142">
            <w:pPr>
              <w:jc w:val="center"/>
              <w:rPr>
                <w:sz w:val="20"/>
                <w:szCs w:val="20"/>
              </w:rPr>
            </w:pPr>
            <w:r w:rsidRPr="008B6A75">
              <w:rPr>
                <w:sz w:val="20"/>
                <w:szCs w:val="20"/>
              </w:rPr>
              <w:t>500</w:t>
            </w:r>
          </w:p>
        </w:tc>
        <w:tc>
          <w:tcPr>
            <w:tcW w:w="567" w:type="dxa"/>
            <w:tcBorders>
              <w:top w:val="nil"/>
              <w:left w:val="single" w:sz="4" w:space="0" w:color="auto"/>
              <w:bottom w:val="single" w:sz="4" w:space="0" w:color="auto"/>
              <w:right w:val="nil"/>
            </w:tcBorders>
            <w:shd w:val="clear" w:color="auto" w:fill="auto"/>
            <w:noWrap/>
            <w:vAlign w:val="center"/>
            <w:hideMark/>
          </w:tcPr>
          <w:p w14:paraId="2D916B89" w14:textId="77777777" w:rsidR="00387142" w:rsidRPr="008B6A75" w:rsidRDefault="00387142" w:rsidP="00387142">
            <w:pPr>
              <w:jc w:val="center"/>
              <w:rPr>
                <w:sz w:val="20"/>
                <w:szCs w:val="20"/>
              </w:rPr>
            </w:pPr>
            <w:r w:rsidRPr="008B6A75">
              <w:rPr>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3ED71F6A" w14:textId="77777777" w:rsidR="00387142" w:rsidRPr="008B6A75" w:rsidRDefault="00387142" w:rsidP="00387142">
            <w:pPr>
              <w:jc w:val="center"/>
              <w:rPr>
                <w:sz w:val="20"/>
                <w:szCs w:val="20"/>
              </w:rPr>
            </w:pPr>
            <w:r w:rsidRPr="008B6A75">
              <w:rPr>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DDD0BA2" w14:textId="77777777" w:rsidR="00387142" w:rsidRPr="008B6A75" w:rsidRDefault="00387142" w:rsidP="00387142">
            <w:pPr>
              <w:jc w:val="right"/>
              <w:rPr>
                <w:sz w:val="20"/>
                <w:szCs w:val="20"/>
              </w:rPr>
            </w:pPr>
            <w:r w:rsidRPr="008B6A75">
              <w:rPr>
                <w:sz w:val="20"/>
                <w:szCs w:val="20"/>
              </w:rPr>
              <w:t>1 601 329,78</w:t>
            </w:r>
          </w:p>
        </w:tc>
        <w:tc>
          <w:tcPr>
            <w:tcW w:w="851" w:type="dxa"/>
            <w:tcBorders>
              <w:top w:val="nil"/>
              <w:left w:val="single" w:sz="4" w:space="0" w:color="auto"/>
              <w:bottom w:val="single" w:sz="4" w:space="0" w:color="auto"/>
              <w:right w:val="nil"/>
            </w:tcBorders>
            <w:shd w:val="clear" w:color="auto" w:fill="auto"/>
            <w:noWrap/>
            <w:vAlign w:val="center"/>
            <w:hideMark/>
          </w:tcPr>
          <w:p w14:paraId="041435CC" w14:textId="77777777" w:rsidR="00387142" w:rsidRPr="008B6A75" w:rsidRDefault="00387142" w:rsidP="00387142">
            <w:pPr>
              <w:jc w:val="right"/>
              <w:rPr>
                <w:sz w:val="20"/>
                <w:szCs w:val="20"/>
              </w:rPr>
            </w:pPr>
            <w:r w:rsidRPr="008B6A75">
              <w:rPr>
                <w:sz w:val="20"/>
                <w:szCs w:val="20"/>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166094D3" w14:textId="77777777" w:rsidR="00387142" w:rsidRPr="008B6A75" w:rsidRDefault="00387142" w:rsidP="00387142">
            <w:pPr>
              <w:jc w:val="right"/>
              <w:rPr>
                <w:sz w:val="20"/>
                <w:szCs w:val="20"/>
              </w:rPr>
            </w:pPr>
            <w:r w:rsidRPr="008B6A75">
              <w:rPr>
                <w:sz w:val="20"/>
                <w:szCs w:val="20"/>
              </w:rPr>
              <w:t>0,00</w:t>
            </w:r>
          </w:p>
        </w:tc>
      </w:tr>
      <w:tr w:rsidR="00387142" w:rsidRPr="008B6A75" w14:paraId="23D68B42" w14:textId="77777777" w:rsidTr="00387142">
        <w:trPr>
          <w:trHeight w:val="300"/>
        </w:trPr>
        <w:tc>
          <w:tcPr>
            <w:tcW w:w="272" w:type="dxa"/>
            <w:tcBorders>
              <w:top w:val="nil"/>
              <w:left w:val="nil"/>
              <w:bottom w:val="nil"/>
              <w:right w:val="single" w:sz="4" w:space="0" w:color="auto"/>
            </w:tcBorders>
            <w:shd w:val="clear" w:color="auto" w:fill="auto"/>
            <w:noWrap/>
            <w:vAlign w:val="bottom"/>
            <w:hideMark/>
          </w:tcPr>
          <w:p w14:paraId="5B278DDF"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177A930F" w14:textId="77777777" w:rsidR="00387142" w:rsidRPr="008B6A75" w:rsidRDefault="00387142" w:rsidP="00387142">
            <w:pPr>
              <w:rPr>
                <w:sz w:val="20"/>
                <w:szCs w:val="20"/>
              </w:rPr>
            </w:pPr>
            <w:r w:rsidRPr="008B6A75">
              <w:rPr>
                <w:sz w:val="20"/>
                <w:szCs w:val="20"/>
              </w:rPr>
              <w:t>Иные межбюджетные трансферты</w:t>
            </w:r>
          </w:p>
        </w:tc>
        <w:tc>
          <w:tcPr>
            <w:tcW w:w="1559" w:type="dxa"/>
            <w:tcBorders>
              <w:top w:val="nil"/>
              <w:left w:val="single" w:sz="4" w:space="0" w:color="auto"/>
              <w:bottom w:val="single" w:sz="4" w:space="0" w:color="auto"/>
              <w:right w:val="nil"/>
            </w:tcBorders>
            <w:shd w:val="clear" w:color="auto" w:fill="auto"/>
            <w:noWrap/>
            <w:vAlign w:val="center"/>
            <w:hideMark/>
          </w:tcPr>
          <w:p w14:paraId="54686144" w14:textId="77777777" w:rsidR="00387142" w:rsidRPr="008B6A75" w:rsidRDefault="00387142" w:rsidP="00387142">
            <w:pPr>
              <w:jc w:val="center"/>
              <w:rPr>
                <w:sz w:val="20"/>
                <w:szCs w:val="20"/>
              </w:rPr>
            </w:pPr>
            <w:r w:rsidRPr="008B6A75">
              <w:rPr>
                <w:sz w:val="20"/>
                <w:szCs w:val="20"/>
              </w:rPr>
              <w:t>06.0.00.05956</w:t>
            </w:r>
          </w:p>
        </w:tc>
        <w:tc>
          <w:tcPr>
            <w:tcW w:w="850" w:type="dxa"/>
            <w:tcBorders>
              <w:top w:val="nil"/>
              <w:left w:val="single" w:sz="4" w:space="0" w:color="auto"/>
              <w:bottom w:val="single" w:sz="4" w:space="0" w:color="auto"/>
              <w:right w:val="nil"/>
            </w:tcBorders>
            <w:shd w:val="clear" w:color="auto" w:fill="auto"/>
            <w:noWrap/>
            <w:vAlign w:val="center"/>
            <w:hideMark/>
          </w:tcPr>
          <w:p w14:paraId="43685E18" w14:textId="77777777" w:rsidR="00387142" w:rsidRPr="008B6A75" w:rsidRDefault="00387142" w:rsidP="00387142">
            <w:pPr>
              <w:jc w:val="center"/>
              <w:rPr>
                <w:sz w:val="20"/>
                <w:szCs w:val="20"/>
              </w:rPr>
            </w:pPr>
            <w:r w:rsidRPr="008B6A75">
              <w:rPr>
                <w:sz w:val="20"/>
                <w:szCs w:val="20"/>
              </w:rPr>
              <w:t>540</w:t>
            </w:r>
          </w:p>
        </w:tc>
        <w:tc>
          <w:tcPr>
            <w:tcW w:w="567" w:type="dxa"/>
            <w:tcBorders>
              <w:top w:val="nil"/>
              <w:left w:val="single" w:sz="4" w:space="0" w:color="auto"/>
              <w:bottom w:val="single" w:sz="4" w:space="0" w:color="auto"/>
              <w:right w:val="nil"/>
            </w:tcBorders>
            <w:shd w:val="clear" w:color="auto" w:fill="auto"/>
            <w:noWrap/>
            <w:vAlign w:val="center"/>
            <w:hideMark/>
          </w:tcPr>
          <w:p w14:paraId="15EEAA3E" w14:textId="77777777" w:rsidR="00387142" w:rsidRPr="008B6A75" w:rsidRDefault="00387142" w:rsidP="00387142">
            <w:pPr>
              <w:jc w:val="center"/>
              <w:rPr>
                <w:sz w:val="20"/>
                <w:szCs w:val="20"/>
              </w:rPr>
            </w:pPr>
            <w:r w:rsidRPr="008B6A75">
              <w:rPr>
                <w:sz w:val="20"/>
                <w:szCs w:val="20"/>
              </w:rPr>
              <w:t>05</w:t>
            </w:r>
          </w:p>
        </w:tc>
        <w:tc>
          <w:tcPr>
            <w:tcW w:w="567" w:type="dxa"/>
            <w:tcBorders>
              <w:top w:val="nil"/>
              <w:left w:val="single" w:sz="4" w:space="0" w:color="auto"/>
              <w:bottom w:val="single" w:sz="4" w:space="0" w:color="auto"/>
              <w:right w:val="nil"/>
            </w:tcBorders>
            <w:shd w:val="clear" w:color="auto" w:fill="auto"/>
            <w:noWrap/>
            <w:vAlign w:val="center"/>
            <w:hideMark/>
          </w:tcPr>
          <w:p w14:paraId="0005D91B" w14:textId="77777777" w:rsidR="00387142" w:rsidRPr="008B6A75" w:rsidRDefault="00387142" w:rsidP="00387142">
            <w:pPr>
              <w:jc w:val="center"/>
              <w:rPr>
                <w:sz w:val="20"/>
                <w:szCs w:val="20"/>
              </w:rPr>
            </w:pPr>
            <w:r w:rsidRPr="008B6A75">
              <w:rPr>
                <w:sz w:val="20"/>
                <w:szCs w:val="20"/>
              </w:rPr>
              <w:t>02</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B668658" w14:textId="77777777" w:rsidR="00387142" w:rsidRPr="008B6A75" w:rsidRDefault="00387142" w:rsidP="00387142">
            <w:pPr>
              <w:jc w:val="right"/>
              <w:rPr>
                <w:sz w:val="20"/>
                <w:szCs w:val="20"/>
              </w:rPr>
            </w:pPr>
            <w:r w:rsidRPr="008B6A75">
              <w:rPr>
                <w:sz w:val="20"/>
                <w:szCs w:val="20"/>
              </w:rPr>
              <w:t>1 047 494,78</w:t>
            </w:r>
          </w:p>
        </w:tc>
        <w:tc>
          <w:tcPr>
            <w:tcW w:w="851" w:type="dxa"/>
            <w:tcBorders>
              <w:top w:val="nil"/>
              <w:left w:val="single" w:sz="4" w:space="0" w:color="auto"/>
              <w:bottom w:val="single" w:sz="4" w:space="0" w:color="auto"/>
              <w:right w:val="nil"/>
            </w:tcBorders>
            <w:shd w:val="clear" w:color="auto" w:fill="auto"/>
            <w:noWrap/>
            <w:vAlign w:val="center"/>
            <w:hideMark/>
          </w:tcPr>
          <w:p w14:paraId="273CDE40" w14:textId="77777777" w:rsidR="00387142" w:rsidRPr="008B6A75" w:rsidRDefault="00387142" w:rsidP="00387142">
            <w:pPr>
              <w:jc w:val="right"/>
              <w:rPr>
                <w:sz w:val="20"/>
                <w:szCs w:val="20"/>
              </w:rPr>
            </w:pPr>
            <w:r w:rsidRPr="008B6A75">
              <w:rPr>
                <w:sz w:val="20"/>
                <w:szCs w:val="20"/>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6526FD76" w14:textId="77777777" w:rsidR="00387142" w:rsidRPr="008B6A75" w:rsidRDefault="00387142" w:rsidP="00387142">
            <w:pPr>
              <w:jc w:val="right"/>
              <w:rPr>
                <w:sz w:val="20"/>
                <w:szCs w:val="20"/>
              </w:rPr>
            </w:pPr>
            <w:r w:rsidRPr="008B6A75">
              <w:rPr>
                <w:sz w:val="20"/>
                <w:szCs w:val="20"/>
              </w:rPr>
              <w:t>0,00</w:t>
            </w:r>
          </w:p>
        </w:tc>
      </w:tr>
      <w:tr w:rsidR="00387142" w:rsidRPr="008B6A75" w14:paraId="5183A604" w14:textId="77777777" w:rsidTr="00387142">
        <w:trPr>
          <w:trHeight w:val="300"/>
        </w:trPr>
        <w:tc>
          <w:tcPr>
            <w:tcW w:w="272" w:type="dxa"/>
            <w:tcBorders>
              <w:top w:val="nil"/>
              <w:left w:val="nil"/>
              <w:bottom w:val="nil"/>
              <w:right w:val="single" w:sz="4" w:space="0" w:color="auto"/>
            </w:tcBorders>
            <w:shd w:val="clear" w:color="auto" w:fill="auto"/>
            <w:noWrap/>
            <w:vAlign w:val="bottom"/>
            <w:hideMark/>
          </w:tcPr>
          <w:p w14:paraId="78A93253"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0DFC81B5" w14:textId="77777777" w:rsidR="00387142" w:rsidRPr="008B6A75" w:rsidRDefault="00387142" w:rsidP="00387142">
            <w:pPr>
              <w:rPr>
                <w:sz w:val="20"/>
                <w:szCs w:val="20"/>
              </w:rPr>
            </w:pPr>
            <w:r w:rsidRPr="008B6A75">
              <w:rPr>
                <w:sz w:val="20"/>
                <w:szCs w:val="20"/>
              </w:rPr>
              <w:t>Иные межбюджетные трансферты</w:t>
            </w:r>
          </w:p>
        </w:tc>
        <w:tc>
          <w:tcPr>
            <w:tcW w:w="1559" w:type="dxa"/>
            <w:tcBorders>
              <w:top w:val="nil"/>
              <w:left w:val="single" w:sz="4" w:space="0" w:color="auto"/>
              <w:bottom w:val="single" w:sz="4" w:space="0" w:color="auto"/>
              <w:right w:val="nil"/>
            </w:tcBorders>
            <w:shd w:val="clear" w:color="auto" w:fill="auto"/>
            <w:noWrap/>
            <w:vAlign w:val="center"/>
            <w:hideMark/>
          </w:tcPr>
          <w:p w14:paraId="2B08B16E" w14:textId="77777777" w:rsidR="00387142" w:rsidRPr="008B6A75" w:rsidRDefault="00387142" w:rsidP="00387142">
            <w:pPr>
              <w:jc w:val="center"/>
              <w:rPr>
                <w:sz w:val="20"/>
                <w:szCs w:val="20"/>
              </w:rPr>
            </w:pPr>
            <w:r w:rsidRPr="008B6A75">
              <w:rPr>
                <w:sz w:val="20"/>
                <w:szCs w:val="20"/>
              </w:rPr>
              <w:t>06.0.00.05956</w:t>
            </w:r>
          </w:p>
        </w:tc>
        <w:tc>
          <w:tcPr>
            <w:tcW w:w="850" w:type="dxa"/>
            <w:tcBorders>
              <w:top w:val="nil"/>
              <w:left w:val="single" w:sz="4" w:space="0" w:color="auto"/>
              <w:bottom w:val="single" w:sz="4" w:space="0" w:color="auto"/>
              <w:right w:val="nil"/>
            </w:tcBorders>
            <w:shd w:val="clear" w:color="auto" w:fill="auto"/>
            <w:noWrap/>
            <w:vAlign w:val="center"/>
            <w:hideMark/>
          </w:tcPr>
          <w:p w14:paraId="078B970A" w14:textId="77777777" w:rsidR="00387142" w:rsidRPr="008B6A75" w:rsidRDefault="00387142" w:rsidP="00387142">
            <w:pPr>
              <w:jc w:val="center"/>
              <w:rPr>
                <w:sz w:val="20"/>
                <w:szCs w:val="20"/>
              </w:rPr>
            </w:pPr>
            <w:r w:rsidRPr="008B6A75">
              <w:rPr>
                <w:sz w:val="20"/>
                <w:szCs w:val="20"/>
              </w:rPr>
              <w:t>540</w:t>
            </w:r>
          </w:p>
        </w:tc>
        <w:tc>
          <w:tcPr>
            <w:tcW w:w="567" w:type="dxa"/>
            <w:tcBorders>
              <w:top w:val="nil"/>
              <w:left w:val="single" w:sz="4" w:space="0" w:color="auto"/>
              <w:bottom w:val="single" w:sz="4" w:space="0" w:color="auto"/>
              <w:right w:val="nil"/>
            </w:tcBorders>
            <w:shd w:val="clear" w:color="auto" w:fill="auto"/>
            <w:noWrap/>
            <w:vAlign w:val="center"/>
            <w:hideMark/>
          </w:tcPr>
          <w:p w14:paraId="112E1874" w14:textId="77777777" w:rsidR="00387142" w:rsidRPr="008B6A75" w:rsidRDefault="00387142" w:rsidP="00387142">
            <w:pPr>
              <w:jc w:val="center"/>
              <w:rPr>
                <w:sz w:val="20"/>
                <w:szCs w:val="20"/>
              </w:rPr>
            </w:pPr>
            <w:r w:rsidRPr="008B6A75">
              <w:rPr>
                <w:sz w:val="20"/>
                <w:szCs w:val="20"/>
              </w:rPr>
              <w:t>05</w:t>
            </w:r>
          </w:p>
        </w:tc>
        <w:tc>
          <w:tcPr>
            <w:tcW w:w="567" w:type="dxa"/>
            <w:tcBorders>
              <w:top w:val="nil"/>
              <w:left w:val="single" w:sz="4" w:space="0" w:color="auto"/>
              <w:bottom w:val="single" w:sz="4" w:space="0" w:color="auto"/>
              <w:right w:val="nil"/>
            </w:tcBorders>
            <w:shd w:val="clear" w:color="auto" w:fill="auto"/>
            <w:noWrap/>
            <w:vAlign w:val="center"/>
            <w:hideMark/>
          </w:tcPr>
          <w:p w14:paraId="306CC7FF" w14:textId="77777777" w:rsidR="00387142" w:rsidRPr="008B6A75" w:rsidRDefault="00387142" w:rsidP="00387142">
            <w:pPr>
              <w:jc w:val="center"/>
              <w:rPr>
                <w:sz w:val="20"/>
                <w:szCs w:val="20"/>
              </w:rPr>
            </w:pPr>
            <w:r w:rsidRPr="008B6A75">
              <w:rPr>
                <w:sz w:val="20"/>
                <w:szCs w:val="20"/>
              </w:rPr>
              <w:t>03</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84161C5" w14:textId="77777777" w:rsidR="00387142" w:rsidRPr="008B6A75" w:rsidRDefault="00387142" w:rsidP="00387142">
            <w:pPr>
              <w:jc w:val="right"/>
              <w:rPr>
                <w:sz w:val="20"/>
                <w:szCs w:val="20"/>
              </w:rPr>
            </w:pPr>
            <w:r w:rsidRPr="008B6A75">
              <w:rPr>
                <w:sz w:val="20"/>
                <w:szCs w:val="20"/>
              </w:rPr>
              <w:t>553 835,00</w:t>
            </w:r>
          </w:p>
        </w:tc>
        <w:tc>
          <w:tcPr>
            <w:tcW w:w="851" w:type="dxa"/>
            <w:tcBorders>
              <w:top w:val="nil"/>
              <w:left w:val="single" w:sz="4" w:space="0" w:color="auto"/>
              <w:bottom w:val="single" w:sz="4" w:space="0" w:color="auto"/>
              <w:right w:val="nil"/>
            </w:tcBorders>
            <w:shd w:val="clear" w:color="auto" w:fill="auto"/>
            <w:noWrap/>
            <w:vAlign w:val="center"/>
            <w:hideMark/>
          </w:tcPr>
          <w:p w14:paraId="5F509E21" w14:textId="77777777" w:rsidR="00387142" w:rsidRPr="008B6A75" w:rsidRDefault="00387142" w:rsidP="00387142">
            <w:pPr>
              <w:jc w:val="right"/>
              <w:rPr>
                <w:sz w:val="20"/>
                <w:szCs w:val="20"/>
              </w:rPr>
            </w:pPr>
            <w:r w:rsidRPr="008B6A75">
              <w:rPr>
                <w:sz w:val="20"/>
                <w:szCs w:val="20"/>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32CF307B" w14:textId="77777777" w:rsidR="00387142" w:rsidRPr="008B6A75" w:rsidRDefault="00387142" w:rsidP="00387142">
            <w:pPr>
              <w:jc w:val="right"/>
              <w:rPr>
                <w:sz w:val="20"/>
                <w:szCs w:val="20"/>
              </w:rPr>
            </w:pPr>
            <w:r w:rsidRPr="008B6A75">
              <w:rPr>
                <w:sz w:val="20"/>
                <w:szCs w:val="20"/>
              </w:rPr>
              <w:t>0,00</w:t>
            </w:r>
          </w:p>
        </w:tc>
      </w:tr>
      <w:tr w:rsidR="00387142" w:rsidRPr="008B6A75" w14:paraId="327ABF17" w14:textId="77777777" w:rsidTr="00387142">
        <w:trPr>
          <w:trHeight w:val="870"/>
        </w:trPr>
        <w:tc>
          <w:tcPr>
            <w:tcW w:w="272" w:type="dxa"/>
            <w:tcBorders>
              <w:top w:val="nil"/>
              <w:left w:val="nil"/>
              <w:bottom w:val="nil"/>
              <w:right w:val="single" w:sz="4" w:space="0" w:color="auto"/>
            </w:tcBorders>
            <w:shd w:val="clear" w:color="auto" w:fill="auto"/>
            <w:noWrap/>
            <w:vAlign w:val="bottom"/>
            <w:hideMark/>
          </w:tcPr>
          <w:p w14:paraId="4284BE4C"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79853116" w14:textId="77777777" w:rsidR="00387142" w:rsidRPr="008B6A75" w:rsidRDefault="00387142" w:rsidP="00387142">
            <w:pPr>
              <w:rPr>
                <w:sz w:val="20"/>
                <w:szCs w:val="20"/>
              </w:rPr>
            </w:pPr>
            <w:r w:rsidRPr="008B6A75">
              <w:rPr>
                <w:sz w:val="20"/>
                <w:szCs w:val="20"/>
              </w:rPr>
              <w:t>Предоставление субсидий бюджетным, автономным учреждениям и иным некоммерческим организациям</w:t>
            </w:r>
          </w:p>
        </w:tc>
        <w:tc>
          <w:tcPr>
            <w:tcW w:w="1559" w:type="dxa"/>
            <w:tcBorders>
              <w:top w:val="nil"/>
              <w:left w:val="single" w:sz="4" w:space="0" w:color="auto"/>
              <w:bottom w:val="single" w:sz="4" w:space="0" w:color="auto"/>
              <w:right w:val="nil"/>
            </w:tcBorders>
            <w:shd w:val="clear" w:color="auto" w:fill="auto"/>
            <w:noWrap/>
            <w:vAlign w:val="center"/>
            <w:hideMark/>
          </w:tcPr>
          <w:p w14:paraId="05B92423" w14:textId="77777777" w:rsidR="00387142" w:rsidRPr="008B6A75" w:rsidRDefault="00387142" w:rsidP="00387142">
            <w:pPr>
              <w:jc w:val="center"/>
              <w:rPr>
                <w:sz w:val="20"/>
                <w:szCs w:val="20"/>
              </w:rPr>
            </w:pPr>
            <w:r w:rsidRPr="008B6A75">
              <w:rPr>
                <w:sz w:val="20"/>
                <w:szCs w:val="20"/>
              </w:rPr>
              <w:t>06.0.00.05956</w:t>
            </w:r>
          </w:p>
        </w:tc>
        <w:tc>
          <w:tcPr>
            <w:tcW w:w="850" w:type="dxa"/>
            <w:tcBorders>
              <w:top w:val="nil"/>
              <w:left w:val="single" w:sz="4" w:space="0" w:color="auto"/>
              <w:bottom w:val="single" w:sz="4" w:space="0" w:color="auto"/>
              <w:right w:val="nil"/>
            </w:tcBorders>
            <w:shd w:val="clear" w:color="auto" w:fill="auto"/>
            <w:noWrap/>
            <w:vAlign w:val="center"/>
            <w:hideMark/>
          </w:tcPr>
          <w:p w14:paraId="2AAC1208" w14:textId="77777777" w:rsidR="00387142" w:rsidRPr="008B6A75" w:rsidRDefault="00387142" w:rsidP="00387142">
            <w:pPr>
              <w:jc w:val="center"/>
              <w:rPr>
                <w:sz w:val="20"/>
                <w:szCs w:val="20"/>
              </w:rPr>
            </w:pPr>
            <w:r w:rsidRPr="008B6A75">
              <w:rPr>
                <w:sz w:val="20"/>
                <w:szCs w:val="20"/>
              </w:rPr>
              <w:t>600</w:t>
            </w:r>
          </w:p>
        </w:tc>
        <w:tc>
          <w:tcPr>
            <w:tcW w:w="567" w:type="dxa"/>
            <w:tcBorders>
              <w:top w:val="nil"/>
              <w:left w:val="single" w:sz="4" w:space="0" w:color="auto"/>
              <w:bottom w:val="single" w:sz="4" w:space="0" w:color="auto"/>
              <w:right w:val="nil"/>
            </w:tcBorders>
            <w:shd w:val="clear" w:color="auto" w:fill="auto"/>
            <w:noWrap/>
            <w:vAlign w:val="center"/>
            <w:hideMark/>
          </w:tcPr>
          <w:p w14:paraId="263C830B" w14:textId="77777777" w:rsidR="00387142" w:rsidRPr="008B6A75" w:rsidRDefault="00387142" w:rsidP="00387142">
            <w:pPr>
              <w:jc w:val="center"/>
              <w:rPr>
                <w:sz w:val="20"/>
                <w:szCs w:val="20"/>
              </w:rPr>
            </w:pPr>
            <w:r w:rsidRPr="008B6A75">
              <w:rPr>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7A7BF111" w14:textId="77777777" w:rsidR="00387142" w:rsidRPr="008B6A75" w:rsidRDefault="00387142" w:rsidP="00387142">
            <w:pPr>
              <w:jc w:val="center"/>
              <w:rPr>
                <w:sz w:val="20"/>
                <w:szCs w:val="20"/>
              </w:rPr>
            </w:pPr>
            <w:r w:rsidRPr="008B6A75">
              <w:rPr>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FDC2297" w14:textId="77777777" w:rsidR="00387142" w:rsidRPr="008B6A75" w:rsidRDefault="00387142" w:rsidP="00387142">
            <w:pPr>
              <w:jc w:val="right"/>
              <w:rPr>
                <w:sz w:val="20"/>
                <w:szCs w:val="20"/>
              </w:rPr>
            </w:pPr>
            <w:r w:rsidRPr="008B6A75">
              <w:rPr>
                <w:sz w:val="20"/>
                <w:szCs w:val="20"/>
              </w:rPr>
              <w:t>75 000,00</w:t>
            </w:r>
          </w:p>
        </w:tc>
        <w:tc>
          <w:tcPr>
            <w:tcW w:w="851" w:type="dxa"/>
            <w:tcBorders>
              <w:top w:val="nil"/>
              <w:left w:val="single" w:sz="4" w:space="0" w:color="auto"/>
              <w:bottom w:val="single" w:sz="4" w:space="0" w:color="auto"/>
              <w:right w:val="nil"/>
            </w:tcBorders>
            <w:shd w:val="clear" w:color="auto" w:fill="auto"/>
            <w:noWrap/>
            <w:vAlign w:val="center"/>
            <w:hideMark/>
          </w:tcPr>
          <w:p w14:paraId="3B280027" w14:textId="77777777" w:rsidR="00387142" w:rsidRPr="008B6A75" w:rsidRDefault="00387142" w:rsidP="00387142">
            <w:pPr>
              <w:jc w:val="right"/>
              <w:rPr>
                <w:sz w:val="20"/>
                <w:szCs w:val="20"/>
              </w:rPr>
            </w:pPr>
            <w:r w:rsidRPr="008B6A75">
              <w:rPr>
                <w:sz w:val="20"/>
                <w:szCs w:val="20"/>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089AB768" w14:textId="77777777" w:rsidR="00387142" w:rsidRPr="008B6A75" w:rsidRDefault="00387142" w:rsidP="00387142">
            <w:pPr>
              <w:jc w:val="right"/>
              <w:rPr>
                <w:sz w:val="20"/>
                <w:szCs w:val="20"/>
              </w:rPr>
            </w:pPr>
            <w:r w:rsidRPr="008B6A75">
              <w:rPr>
                <w:sz w:val="20"/>
                <w:szCs w:val="20"/>
              </w:rPr>
              <w:t>0,00</w:t>
            </w:r>
          </w:p>
        </w:tc>
      </w:tr>
      <w:tr w:rsidR="00387142" w:rsidRPr="008B6A75" w14:paraId="3DA1727C" w14:textId="77777777" w:rsidTr="00387142">
        <w:trPr>
          <w:trHeight w:val="300"/>
        </w:trPr>
        <w:tc>
          <w:tcPr>
            <w:tcW w:w="272" w:type="dxa"/>
            <w:tcBorders>
              <w:top w:val="nil"/>
              <w:left w:val="nil"/>
              <w:bottom w:val="nil"/>
              <w:right w:val="single" w:sz="4" w:space="0" w:color="auto"/>
            </w:tcBorders>
            <w:shd w:val="clear" w:color="auto" w:fill="auto"/>
            <w:noWrap/>
            <w:vAlign w:val="bottom"/>
            <w:hideMark/>
          </w:tcPr>
          <w:p w14:paraId="2A019293"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1960D43E" w14:textId="77777777" w:rsidR="00387142" w:rsidRPr="008B6A75" w:rsidRDefault="00387142" w:rsidP="00387142">
            <w:pPr>
              <w:rPr>
                <w:sz w:val="20"/>
                <w:szCs w:val="20"/>
              </w:rPr>
            </w:pPr>
            <w:r w:rsidRPr="008B6A75">
              <w:rPr>
                <w:sz w:val="20"/>
                <w:szCs w:val="20"/>
              </w:rPr>
              <w:t>Субсидии бюджетным учреждениям</w:t>
            </w:r>
          </w:p>
        </w:tc>
        <w:tc>
          <w:tcPr>
            <w:tcW w:w="1559" w:type="dxa"/>
            <w:tcBorders>
              <w:top w:val="nil"/>
              <w:left w:val="single" w:sz="4" w:space="0" w:color="auto"/>
              <w:bottom w:val="single" w:sz="4" w:space="0" w:color="auto"/>
              <w:right w:val="nil"/>
            </w:tcBorders>
            <w:shd w:val="clear" w:color="auto" w:fill="auto"/>
            <w:noWrap/>
            <w:vAlign w:val="center"/>
            <w:hideMark/>
          </w:tcPr>
          <w:p w14:paraId="32BB02E6" w14:textId="77777777" w:rsidR="00387142" w:rsidRPr="008B6A75" w:rsidRDefault="00387142" w:rsidP="00387142">
            <w:pPr>
              <w:jc w:val="center"/>
              <w:rPr>
                <w:sz w:val="20"/>
                <w:szCs w:val="20"/>
              </w:rPr>
            </w:pPr>
            <w:r w:rsidRPr="008B6A75">
              <w:rPr>
                <w:sz w:val="20"/>
                <w:szCs w:val="20"/>
              </w:rPr>
              <w:t>06.0.00.05956</w:t>
            </w:r>
          </w:p>
        </w:tc>
        <w:tc>
          <w:tcPr>
            <w:tcW w:w="850" w:type="dxa"/>
            <w:tcBorders>
              <w:top w:val="nil"/>
              <w:left w:val="single" w:sz="4" w:space="0" w:color="auto"/>
              <w:bottom w:val="single" w:sz="4" w:space="0" w:color="auto"/>
              <w:right w:val="nil"/>
            </w:tcBorders>
            <w:shd w:val="clear" w:color="auto" w:fill="auto"/>
            <w:noWrap/>
            <w:vAlign w:val="center"/>
            <w:hideMark/>
          </w:tcPr>
          <w:p w14:paraId="4B6B0A1F" w14:textId="77777777" w:rsidR="00387142" w:rsidRPr="008B6A75" w:rsidRDefault="00387142" w:rsidP="00387142">
            <w:pPr>
              <w:jc w:val="center"/>
              <w:rPr>
                <w:sz w:val="20"/>
                <w:szCs w:val="20"/>
              </w:rPr>
            </w:pPr>
            <w:r w:rsidRPr="008B6A75">
              <w:rPr>
                <w:sz w:val="20"/>
                <w:szCs w:val="20"/>
              </w:rPr>
              <w:t>610</w:t>
            </w:r>
          </w:p>
        </w:tc>
        <w:tc>
          <w:tcPr>
            <w:tcW w:w="567" w:type="dxa"/>
            <w:tcBorders>
              <w:top w:val="nil"/>
              <w:left w:val="single" w:sz="4" w:space="0" w:color="auto"/>
              <w:bottom w:val="single" w:sz="4" w:space="0" w:color="auto"/>
              <w:right w:val="nil"/>
            </w:tcBorders>
            <w:shd w:val="clear" w:color="auto" w:fill="auto"/>
            <w:noWrap/>
            <w:vAlign w:val="center"/>
            <w:hideMark/>
          </w:tcPr>
          <w:p w14:paraId="6470158F" w14:textId="77777777" w:rsidR="00387142" w:rsidRPr="008B6A75" w:rsidRDefault="00387142" w:rsidP="00387142">
            <w:pPr>
              <w:jc w:val="center"/>
              <w:rPr>
                <w:sz w:val="20"/>
                <w:szCs w:val="20"/>
              </w:rPr>
            </w:pPr>
            <w:r w:rsidRPr="008B6A75">
              <w:rPr>
                <w:sz w:val="20"/>
                <w:szCs w:val="20"/>
              </w:rPr>
              <w:t>07</w:t>
            </w:r>
          </w:p>
        </w:tc>
        <w:tc>
          <w:tcPr>
            <w:tcW w:w="567" w:type="dxa"/>
            <w:tcBorders>
              <w:top w:val="nil"/>
              <w:left w:val="single" w:sz="4" w:space="0" w:color="auto"/>
              <w:bottom w:val="single" w:sz="4" w:space="0" w:color="auto"/>
              <w:right w:val="nil"/>
            </w:tcBorders>
            <w:shd w:val="clear" w:color="auto" w:fill="auto"/>
            <w:noWrap/>
            <w:vAlign w:val="center"/>
            <w:hideMark/>
          </w:tcPr>
          <w:p w14:paraId="3AF80809" w14:textId="77777777" w:rsidR="00387142" w:rsidRPr="008B6A75" w:rsidRDefault="00387142" w:rsidP="00387142">
            <w:pPr>
              <w:jc w:val="center"/>
              <w:rPr>
                <w:sz w:val="20"/>
                <w:szCs w:val="20"/>
              </w:rPr>
            </w:pPr>
            <w:r w:rsidRPr="008B6A75">
              <w:rPr>
                <w:sz w:val="20"/>
                <w:szCs w:val="20"/>
              </w:rPr>
              <w:t>03</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8590920" w14:textId="77777777" w:rsidR="00387142" w:rsidRPr="008B6A75" w:rsidRDefault="00387142" w:rsidP="00387142">
            <w:pPr>
              <w:jc w:val="right"/>
              <w:rPr>
                <w:sz w:val="20"/>
                <w:szCs w:val="20"/>
              </w:rPr>
            </w:pPr>
            <w:r w:rsidRPr="008B6A75">
              <w:rPr>
                <w:sz w:val="20"/>
                <w:szCs w:val="20"/>
              </w:rPr>
              <w:t>75 000,00</w:t>
            </w:r>
          </w:p>
        </w:tc>
        <w:tc>
          <w:tcPr>
            <w:tcW w:w="851" w:type="dxa"/>
            <w:tcBorders>
              <w:top w:val="nil"/>
              <w:left w:val="single" w:sz="4" w:space="0" w:color="auto"/>
              <w:bottom w:val="single" w:sz="4" w:space="0" w:color="auto"/>
              <w:right w:val="nil"/>
            </w:tcBorders>
            <w:shd w:val="clear" w:color="auto" w:fill="auto"/>
            <w:noWrap/>
            <w:vAlign w:val="center"/>
            <w:hideMark/>
          </w:tcPr>
          <w:p w14:paraId="6ABFF1E1" w14:textId="77777777" w:rsidR="00387142" w:rsidRPr="008B6A75" w:rsidRDefault="00387142" w:rsidP="00387142">
            <w:pPr>
              <w:jc w:val="right"/>
              <w:rPr>
                <w:sz w:val="20"/>
                <w:szCs w:val="20"/>
              </w:rPr>
            </w:pPr>
            <w:r w:rsidRPr="008B6A75">
              <w:rPr>
                <w:sz w:val="20"/>
                <w:szCs w:val="20"/>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60AF3C19" w14:textId="77777777" w:rsidR="00387142" w:rsidRPr="008B6A75" w:rsidRDefault="00387142" w:rsidP="00387142">
            <w:pPr>
              <w:jc w:val="right"/>
              <w:rPr>
                <w:sz w:val="20"/>
                <w:szCs w:val="20"/>
              </w:rPr>
            </w:pPr>
            <w:r w:rsidRPr="008B6A75">
              <w:rPr>
                <w:sz w:val="20"/>
                <w:szCs w:val="20"/>
              </w:rPr>
              <w:t>0,00</w:t>
            </w:r>
          </w:p>
        </w:tc>
      </w:tr>
      <w:tr w:rsidR="00387142" w:rsidRPr="008B6A75" w14:paraId="029FF807" w14:textId="77777777" w:rsidTr="00387142">
        <w:trPr>
          <w:trHeight w:val="1725"/>
        </w:trPr>
        <w:tc>
          <w:tcPr>
            <w:tcW w:w="272" w:type="dxa"/>
            <w:tcBorders>
              <w:top w:val="nil"/>
              <w:left w:val="nil"/>
              <w:bottom w:val="nil"/>
              <w:right w:val="single" w:sz="4" w:space="0" w:color="auto"/>
            </w:tcBorders>
            <w:shd w:val="clear" w:color="auto" w:fill="auto"/>
            <w:noWrap/>
            <w:vAlign w:val="bottom"/>
            <w:hideMark/>
          </w:tcPr>
          <w:p w14:paraId="75B1CBFF" w14:textId="77777777" w:rsidR="00387142" w:rsidRPr="008B6A75" w:rsidRDefault="00387142" w:rsidP="00387142">
            <w:pPr>
              <w:rPr>
                <w:sz w:val="20"/>
                <w:szCs w:val="20"/>
              </w:rPr>
            </w:pPr>
            <w:r w:rsidRPr="008B6A75">
              <w:rPr>
                <w:sz w:val="20"/>
                <w:szCs w:val="20"/>
              </w:rPr>
              <w:lastRenderedPageBreak/>
              <w:t> </w:t>
            </w:r>
          </w:p>
        </w:tc>
        <w:tc>
          <w:tcPr>
            <w:tcW w:w="3415" w:type="dxa"/>
            <w:tcBorders>
              <w:top w:val="nil"/>
              <w:left w:val="single" w:sz="4" w:space="0" w:color="auto"/>
              <w:bottom w:val="single" w:sz="4" w:space="0" w:color="auto"/>
              <w:right w:val="nil"/>
            </w:tcBorders>
            <w:shd w:val="clear" w:color="auto" w:fill="auto"/>
            <w:vAlign w:val="center"/>
            <w:hideMark/>
          </w:tcPr>
          <w:p w14:paraId="40EBE462" w14:textId="77777777" w:rsidR="00387142" w:rsidRPr="008B6A75" w:rsidRDefault="00387142" w:rsidP="00387142">
            <w:pPr>
              <w:rPr>
                <w:bCs/>
                <w:sz w:val="20"/>
                <w:szCs w:val="20"/>
              </w:rPr>
            </w:pPr>
            <w:r w:rsidRPr="008B6A75">
              <w:rPr>
                <w:bCs/>
                <w:sz w:val="20"/>
                <w:szCs w:val="20"/>
              </w:rPr>
              <w:t>Обеспечение мероприятий по улучшению жилищных условий граждан, проживающих на сельских территориях, государственной программы Новосибирской области "Комплексное развитие сельских территорий в Новосибирской области"</w:t>
            </w:r>
          </w:p>
        </w:tc>
        <w:tc>
          <w:tcPr>
            <w:tcW w:w="1559" w:type="dxa"/>
            <w:tcBorders>
              <w:top w:val="nil"/>
              <w:left w:val="single" w:sz="4" w:space="0" w:color="auto"/>
              <w:bottom w:val="single" w:sz="4" w:space="0" w:color="auto"/>
              <w:right w:val="nil"/>
            </w:tcBorders>
            <w:shd w:val="clear" w:color="auto" w:fill="auto"/>
            <w:noWrap/>
            <w:vAlign w:val="center"/>
            <w:hideMark/>
          </w:tcPr>
          <w:p w14:paraId="34A54910" w14:textId="77777777" w:rsidR="00387142" w:rsidRPr="008B6A75" w:rsidRDefault="00387142" w:rsidP="00387142">
            <w:pPr>
              <w:jc w:val="center"/>
              <w:rPr>
                <w:bCs/>
                <w:sz w:val="20"/>
                <w:szCs w:val="20"/>
              </w:rPr>
            </w:pPr>
            <w:r w:rsidRPr="008B6A75">
              <w:rPr>
                <w:bCs/>
                <w:sz w:val="20"/>
                <w:szCs w:val="20"/>
              </w:rPr>
              <w:t>06.0.00.L5761</w:t>
            </w:r>
          </w:p>
        </w:tc>
        <w:tc>
          <w:tcPr>
            <w:tcW w:w="850" w:type="dxa"/>
            <w:tcBorders>
              <w:top w:val="nil"/>
              <w:left w:val="single" w:sz="4" w:space="0" w:color="auto"/>
              <w:bottom w:val="single" w:sz="4" w:space="0" w:color="auto"/>
              <w:right w:val="nil"/>
            </w:tcBorders>
            <w:shd w:val="clear" w:color="auto" w:fill="auto"/>
            <w:noWrap/>
            <w:vAlign w:val="center"/>
            <w:hideMark/>
          </w:tcPr>
          <w:p w14:paraId="43F0ACE6" w14:textId="77777777" w:rsidR="00387142" w:rsidRPr="008B6A75" w:rsidRDefault="00387142" w:rsidP="00387142">
            <w:pPr>
              <w:jc w:val="center"/>
              <w:rPr>
                <w:bCs/>
                <w:sz w:val="20"/>
                <w:szCs w:val="20"/>
              </w:rPr>
            </w:pPr>
            <w:r w:rsidRPr="008B6A75">
              <w:rPr>
                <w:bCs/>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0325D557" w14:textId="77777777" w:rsidR="00387142" w:rsidRPr="008B6A75" w:rsidRDefault="00387142" w:rsidP="00387142">
            <w:pPr>
              <w:jc w:val="center"/>
              <w:rPr>
                <w:bCs/>
                <w:sz w:val="20"/>
                <w:szCs w:val="20"/>
              </w:rPr>
            </w:pPr>
            <w:r w:rsidRPr="008B6A75">
              <w:rPr>
                <w:bCs/>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5D761FA7" w14:textId="77777777" w:rsidR="00387142" w:rsidRPr="008B6A75" w:rsidRDefault="00387142" w:rsidP="00387142">
            <w:pPr>
              <w:jc w:val="center"/>
              <w:rPr>
                <w:bCs/>
                <w:sz w:val="20"/>
                <w:szCs w:val="20"/>
              </w:rPr>
            </w:pPr>
            <w:r w:rsidRPr="008B6A75">
              <w:rPr>
                <w:bCs/>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7A93A97" w14:textId="77777777" w:rsidR="00387142" w:rsidRPr="008B6A75" w:rsidRDefault="00387142" w:rsidP="00387142">
            <w:pPr>
              <w:jc w:val="right"/>
              <w:rPr>
                <w:bCs/>
                <w:sz w:val="20"/>
                <w:szCs w:val="20"/>
              </w:rPr>
            </w:pPr>
            <w:r w:rsidRPr="008B6A75">
              <w:rPr>
                <w:bCs/>
                <w:sz w:val="20"/>
                <w:szCs w:val="20"/>
              </w:rPr>
              <w:t>1 469 000,00</w:t>
            </w:r>
          </w:p>
        </w:tc>
        <w:tc>
          <w:tcPr>
            <w:tcW w:w="851" w:type="dxa"/>
            <w:tcBorders>
              <w:top w:val="nil"/>
              <w:left w:val="single" w:sz="4" w:space="0" w:color="auto"/>
              <w:bottom w:val="single" w:sz="4" w:space="0" w:color="auto"/>
              <w:right w:val="nil"/>
            </w:tcBorders>
            <w:shd w:val="clear" w:color="auto" w:fill="auto"/>
            <w:noWrap/>
            <w:vAlign w:val="center"/>
            <w:hideMark/>
          </w:tcPr>
          <w:p w14:paraId="52397311" w14:textId="77777777" w:rsidR="00387142" w:rsidRPr="008B6A75" w:rsidRDefault="00387142" w:rsidP="00387142">
            <w:pPr>
              <w:jc w:val="right"/>
              <w:rPr>
                <w:bCs/>
                <w:sz w:val="20"/>
                <w:szCs w:val="20"/>
              </w:rPr>
            </w:pPr>
            <w:r w:rsidRPr="008B6A75">
              <w:rPr>
                <w:bCs/>
                <w:sz w:val="20"/>
                <w:szCs w:val="20"/>
              </w:rPr>
              <w:t>1 163 114,52</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01004692" w14:textId="77777777" w:rsidR="00387142" w:rsidRPr="008B6A75" w:rsidRDefault="00387142" w:rsidP="00387142">
            <w:pPr>
              <w:jc w:val="right"/>
              <w:rPr>
                <w:bCs/>
                <w:sz w:val="20"/>
                <w:szCs w:val="20"/>
              </w:rPr>
            </w:pPr>
            <w:r w:rsidRPr="008B6A75">
              <w:rPr>
                <w:bCs/>
                <w:sz w:val="20"/>
                <w:szCs w:val="20"/>
              </w:rPr>
              <w:t>0,00</w:t>
            </w:r>
          </w:p>
        </w:tc>
      </w:tr>
      <w:tr w:rsidR="00387142" w:rsidRPr="008B6A75" w14:paraId="3A623327" w14:textId="77777777" w:rsidTr="00387142">
        <w:trPr>
          <w:trHeight w:val="585"/>
        </w:trPr>
        <w:tc>
          <w:tcPr>
            <w:tcW w:w="272" w:type="dxa"/>
            <w:tcBorders>
              <w:top w:val="nil"/>
              <w:left w:val="nil"/>
              <w:bottom w:val="nil"/>
              <w:right w:val="single" w:sz="4" w:space="0" w:color="auto"/>
            </w:tcBorders>
            <w:shd w:val="clear" w:color="auto" w:fill="auto"/>
            <w:noWrap/>
            <w:vAlign w:val="bottom"/>
            <w:hideMark/>
          </w:tcPr>
          <w:p w14:paraId="4DFAE5BB"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2D4C1D52" w14:textId="77777777" w:rsidR="00387142" w:rsidRPr="008B6A75" w:rsidRDefault="00387142" w:rsidP="00387142">
            <w:pPr>
              <w:rPr>
                <w:sz w:val="20"/>
                <w:szCs w:val="20"/>
              </w:rPr>
            </w:pPr>
            <w:r w:rsidRPr="008B6A75">
              <w:rPr>
                <w:sz w:val="20"/>
                <w:szCs w:val="20"/>
              </w:rPr>
              <w:t>Социальное обеспечение и иные выплаты населению</w:t>
            </w:r>
          </w:p>
        </w:tc>
        <w:tc>
          <w:tcPr>
            <w:tcW w:w="1559" w:type="dxa"/>
            <w:tcBorders>
              <w:top w:val="nil"/>
              <w:left w:val="single" w:sz="4" w:space="0" w:color="auto"/>
              <w:bottom w:val="single" w:sz="4" w:space="0" w:color="auto"/>
              <w:right w:val="nil"/>
            </w:tcBorders>
            <w:shd w:val="clear" w:color="auto" w:fill="auto"/>
            <w:noWrap/>
            <w:vAlign w:val="center"/>
            <w:hideMark/>
          </w:tcPr>
          <w:p w14:paraId="5C0DB0F9" w14:textId="77777777" w:rsidR="00387142" w:rsidRPr="008B6A75" w:rsidRDefault="00387142" w:rsidP="00387142">
            <w:pPr>
              <w:jc w:val="center"/>
              <w:rPr>
                <w:sz w:val="20"/>
                <w:szCs w:val="20"/>
              </w:rPr>
            </w:pPr>
            <w:r w:rsidRPr="008B6A75">
              <w:rPr>
                <w:sz w:val="20"/>
                <w:szCs w:val="20"/>
              </w:rPr>
              <w:t>06.0.00.L5761</w:t>
            </w:r>
          </w:p>
        </w:tc>
        <w:tc>
          <w:tcPr>
            <w:tcW w:w="850" w:type="dxa"/>
            <w:tcBorders>
              <w:top w:val="nil"/>
              <w:left w:val="single" w:sz="4" w:space="0" w:color="auto"/>
              <w:bottom w:val="single" w:sz="4" w:space="0" w:color="auto"/>
              <w:right w:val="nil"/>
            </w:tcBorders>
            <w:shd w:val="clear" w:color="auto" w:fill="auto"/>
            <w:noWrap/>
            <w:vAlign w:val="center"/>
            <w:hideMark/>
          </w:tcPr>
          <w:p w14:paraId="144B26AA" w14:textId="77777777" w:rsidR="00387142" w:rsidRPr="008B6A75" w:rsidRDefault="00387142" w:rsidP="00387142">
            <w:pPr>
              <w:jc w:val="center"/>
              <w:rPr>
                <w:sz w:val="20"/>
                <w:szCs w:val="20"/>
              </w:rPr>
            </w:pPr>
            <w:r w:rsidRPr="008B6A75">
              <w:rPr>
                <w:sz w:val="20"/>
                <w:szCs w:val="20"/>
              </w:rPr>
              <w:t>300</w:t>
            </w:r>
          </w:p>
        </w:tc>
        <w:tc>
          <w:tcPr>
            <w:tcW w:w="567" w:type="dxa"/>
            <w:tcBorders>
              <w:top w:val="nil"/>
              <w:left w:val="single" w:sz="4" w:space="0" w:color="auto"/>
              <w:bottom w:val="single" w:sz="4" w:space="0" w:color="auto"/>
              <w:right w:val="nil"/>
            </w:tcBorders>
            <w:shd w:val="clear" w:color="auto" w:fill="auto"/>
            <w:noWrap/>
            <w:vAlign w:val="center"/>
            <w:hideMark/>
          </w:tcPr>
          <w:p w14:paraId="2216F1F2" w14:textId="77777777" w:rsidR="00387142" w:rsidRPr="008B6A75" w:rsidRDefault="00387142" w:rsidP="00387142">
            <w:pPr>
              <w:jc w:val="center"/>
              <w:rPr>
                <w:sz w:val="20"/>
                <w:szCs w:val="20"/>
              </w:rPr>
            </w:pPr>
            <w:r w:rsidRPr="008B6A75">
              <w:rPr>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654C8E81" w14:textId="77777777" w:rsidR="00387142" w:rsidRPr="008B6A75" w:rsidRDefault="00387142" w:rsidP="00387142">
            <w:pPr>
              <w:jc w:val="center"/>
              <w:rPr>
                <w:sz w:val="20"/>
                <w:szCs w:val="20"/>
              </w:rPr>
            </w:pPr>
            <w:r w:rsidRPr="008B6A75">
              <w:rPr>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503D08A" w14:textId="77777777" w:rsidR="00387142" w:rsidRPr="008B6A75" w:rsidRDefault="00387142" w:rsidP="00387142">
            <w:pPr>
              <w:jc w:val="right"/>
              <w:rPr>
                <w:sz w:val="20"/>
                <w:szCs w:val="20"/>
              </w:rPr>
            </w:pPr>
            <w:r w:rsidRPr="008B6A75">
              <w:rPr>
                <w:sz w:val="20"/>
                <w:szCs w:val="20"/>
              </w:rPr>
              <w:t>1 469 000,00</w:t>
            </w:r>
          </w:p>
        </w:tc>
        <w:tc>
          <w:tcPr>
            <w:tcW w:w="851" w:type="dxa"/>
            <w:tcBorders>
              <w:top w:val="nil"/>
              <w:left w:val="single" w:sz="4" w:space="0" w:color="auto"/>
              <w:bottom w:val="single" w:sz="4" w:space="0" w:color="auto"/>
              <w:right w:val="nil"/>
            </w:tcBorders>
            <w:shd w:val="clear" w:color="auto" w:fill="auto"/>
            <w:noWrap/>
            <w:vAlign w:val="center"/>
            <w:hideMark/>
          </w:tcPr>
          <w:p w14:paraId="3E642AA1" w14:textId="77777777" w:rsidR="00387142" w:rsidRPr="008B6A75" w:rsidRDefault="00387142" w:rsidP="00387142">
            <w:pPr>
              <w:jc w:val="right"/>
              <w:rPr>
                <w:sz w:val="20"/>
                <w:szCs w:val="20"/>
              </w:rPr>
            </w:pPr>
            <w:r w:rsidRPr="008B6A75">
              <w:rPr>
                <w:sz w:val="20"/>
                <w:szCs w:val="20"/>
              </w:rPr>
              <w:t>1 163 114,52</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23C43CEE" w14:textId="77777777" w:rsidR="00387142" w:rsidRPr="008B6A75" w:rsidRDefault="00387142" w:rsidP="00387142">
            <w:pPr>
              <w:jc w:val="right"/>
              <w:rPr>
                <w:sz w:val="20"/>
                <w:szCs w:val="20"/>
              </w:rPr>
            </w:pPr>
            <w:r w:rsidRPr="008B6A75">
              <w:rPr>
                <w:sz w:val="20"/>
                <w:szCs w:val="20"/>
              </w:rPr>
              <w:t>0,00</w:t>
            </w:r>
          </w:p>
        </w:tc>
      </w:tr>
      <w:tr w:rsidR="00387142" w:rsidRPr="008B6A75" w14:paraId="48E11207" w14:textId="77777777" w:rsidTr="00387142">
        <w:trPr>
          <w:trHeight w:val="585"/>
        </w:trPr>
        <w:tc>
          <w:tcPr>
            <w:tcW w:w="272" w:type="dxa"/>
            <w:tcBorders>
              <w:top w:val="nil"/>
              <w:left w:val="nil"/>
              <w:bottom w:val="nil"/>
              <w:right w:val="single" w:sz="4" w:space="0" w:color="auto"/>
            </w:tcBorders>
            <w:shd w:val="clear" w:color="auto" w:fill="auto"/>
            <w:noWrap/>
            <w:vAlign w:val="bottom"/>
            <w:hideMark/>
          </w:tcPr>
          <w:p w14:paraId="64513DF3"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1BC28ADE" w14:textId="77777777" w:rsidR="00387142" w:rsidRPr="008B6A75" w:rsidRDefault="00387142" w:rsidP="00387142">
            <w:pPr>
              <w:rPr>
                <w:sz w:val="20"/>
                <w:szCs w:val="20"/>
              </w:rPr>
            </w:pPr>
            <w:r w:rsidRPr="008B6A75">
              <w:rPr>
                <w:sz w:val="20"/>
                <w:szCs w:val="20"/>
              </w:rPr>
              <w:t>Социальные выплаты гражданам, кроме публичных нормативных социальных выплат</w:t>
            </w:r>
          </w:p>
        </w:tc>
        <w:tc>
          <w:tcPr>
            <w:tcW w:w="1559" w:type="dxa"/>
            <w:tcBorders>
              <w:top w:val="nil"/>
              <w:left w:val="single" w:sz="4" w:space="0" w:color="auto"/>
              <w:bottom w:val="single" w:sz="4" w:space="0" w:color="auto"/>
              <w:right w:val="nil"/>
            </w:tcBorders>
            <w:shd w:val="clear" w:color="auto" w:fill="auto"/>
            <w:noWrap/>
            <w:vAlign w:val="center"/>
            <w:hideMark/>
          </w:tcPr>
          <w:p w14:paraId="1156163B" w14:textId="77777777" w:rsidR="00387142" w:rsidRPr="008B6A75" w:rsidRDefault="00387142" w:rsidP="00387142">
            <w:pPr>
              <w:jc w:val="center"/>
              <w:rPr>
                <w:sz w:val="20"/>
                <w:szCs w:val="20"/>
              </w:rPr>
            </w:pPr>
            <w:r w:rsidRPr="008B6A75">
              <w:rPr>
                <w:sz w:val="20"/>
                <w:szCs w:val="20"/>
              </w:rPr>
              <w:t>06.0.00.L5761</w:t>
            </w:r>
          </w:p>
        </w:tc>
        <w:tc>
          <w:tcPr>
            <w:tcW w:w="850" w:type="dxa"/>
            <w:tcBorders>
              <w:top w:val="nil"/>
              <w:left w:val="single" w:sz="4" w:space="0" w:color="auto"/>
              <w:bottom w:val="single" w:sz="4" w:space="0" w:color="auto"/>
              <w:right w:val="nil"/>
            </w:tcBorders>
            <w:shd w:val="clear" w:color="auto" w:fill="auto"/>
            <w:noWrap/>
            <w:vAlign w:val="center"/>
            <w:hideMark/>
          </w:tcPr>
          <w:p w14:paraId="2E9F9606" w14:textId="77777777" w:rsidR="00387142" w:rsidRPr="008B6A75" w:rsidRDefault="00387142" w:rsidP="00387142">
            <w:pPr>
              <w:jc w:val="center"/>
              <w:rPr>
                <w:sz w:val="20"/>
                <w:szCs w:val="20"/>
              </w:rPr>
            </w:pPr>
            <w:r w:rsidRPr="008B6A75">
              <w:rPr>
                <w:sz w:val="20"/>
                <w:szCs w:val="20"/>
              </w:rPr>
              <w:t>320</w:t>
            </w:r>
          </w:p>
        </w:tc>
        <w:tc>
          <w:tcPr>
            <w:tcW w:w="567" w:type="dxa"/>
            <w:tcBorders>
              <w:top w:val="nil"/>
              <w:left w:val="single" w:sz="4" w:space="0" w:color="auto"/>
              <w:bottom w:val="single" w:sz="4" w:space="0" w:color="auto"/>
              <w:right w:val="nil"/>
            </w:tcBorders>
            <w:shd w:val="clear" w:color="auto" w:fill="auto"/>
            <w:noWrap/>
            <w:vAlign w:val="center"/>
            <w:hideMark/>
          </w:tcPr>
          <w:p w14:paraId="3B4B2DAF" w14:textId="77777777" w:rsidR="00387142" w:rsidRPr="008B6A75" w:rsidRDefault="00387142" w:rsidP="00387142">
            <w:pPr>
              <w:jc w:val="center"/>
              <w:rPr>
                <w:sz w:val="20"/>
                <w:szCs w:val="20"/>
              </w:rPr>
            </w:pPr>
            <w:r w:rsidRPr="008B6A75">
              <w:rPr>
                <w:sz w:val="20"/>
                <w:szCs w:val="20"/>
              </w:rPr>
              <w:t>10</w:t>
            </w:r>
          </w:p>
        </w:tc>
        <w:tc>
          <w:tcPr>
            <w:tcW w:w="567" w:type="dxa"/>
            <w:tcBorders>
              <w:top w:val="nil"/>
              <w:left w:val="single" w:sz="4" w:space="0" w:color="auto"/>
              <w:bottom w:val="single" w:sz="4" w:space="0" w:color="auto"/>
              <w:right w:val="nil"/>
            </w:tcBorders>
            <w:shd w:val="clear" w:color="auto" w:fill="auto"/>
            <w:noWrap/>
            <w:vAlign w:val="center"/>
            <w:hideMark/>
          </w:tcPr>
          <w:p w14:paraId="4E2473AE" w14:textId="77777777" w:rsidR="00387142" w:rsidRPr="008B6A75" w:rsidRDefault="00387142" w:rsidP="00387142">
            <w:pPr>
              <w:jc w:val="center"/>
              <w:rPr>
                <w:sz w:val="20"/>
                <w:szCs w:val="20"/>
              </w:rPr>
            </w:pPr>
            <w:r w:rsidRPr="008B6A75">
              <w:rPr>
                <w:sz w:val="20"/>
                <w:szCs w:val="20"/>
              </w:rPr>
              <w:t>03</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776C3A2" w14:textId="77777777" w:rsidR="00387142" w:rsidRPr="008B6A75" w:rsidRDefault="00387142" w:rsidP="00387142">
            <w:pPr>
              <w:jc w:val="right"/>
              <w:rPr>
                <w:sz w:val="20"/>
                <w:szCs w:val="20"/>
              </w:rPr>
            </w:pPr>
            <w:r w:rsidRPr="008B6A75">
              <w:rPr>
                <w:sz w:val="20"/>
                <w:szCs w:val="20"/>
              </w:rPr>
              <w:t>1 469 000,00</w:t>
            </w:r>
          </w:p>
        </w:tc>
        <w:tc>
          <w:tcPr>
            <w:tcW w:w="851" w:type="dxa"/>
            <w:tcBorders>
              <w:top w:val="nil"/>
              <w:left w:val="single" w:sz="4" w:space="0" w:color="auto"/>
              <w:bottom w:val="single" w:sz="4" w:space="0" w:color="auto"/>
              <w:right w:val="nil"/>
            </w:tcBorders>
            <w:shd w:val="clear" w:color="auto" w:fill="auto"/>
            <w:noWrap/>
            <w:vAlign w:val="center"/>
            <w:hideMark/>
          </w:tcPr>
          <w:p w14:paraId="523C0D7E" w14:textId="77777777" w:rsidR="00387142" w:rsidRPr="008B6A75" w:rsidRDefault="00387142" w:rsidP="00387142">
            <w:pPr>
              <w:jc w:val="right"/>
              <w:rPr>
                <w:sz w:val="20"/>
                <w:szCs w:val="20"/>
              </w:rPr>
            </w:pPr>
            <w:r w:rsidRPr="008B6A75">
              <w:rPr>
                <w:sz w:val="20"/>
                <w:szCs w:val="20"/>
              </w:rPr>
              <w:t>1 163 114,52</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64DE8D56" w14:textId="77777777" w:rsidR="00387142" w:rsidRPr="008B6A75" w:rsidRDefault="00387142" w:rsidP="00387142">
            <w:pPr>
              <w:jc w:val="right"/>
              <w:rPr>
                <w:sz w:val="20"/>
                <w:szCs w:val="20"/>
              </w:rPr>
            </w:pPr>
            <w:r w:rsidRPr="008B6A75">
              <w:rPr>
                <w:sz w:val="20"/>
                <w:szCs w:val="20"/>
              </w:rPr>
              <w:t>0,00</w:t>
            </w:r>
          </w:p>
        </w:tc>
      </w:tr>
      <w:tr w:rsidR="00387142" w:rsidRPr="008B6A75" w14:paraId="2158A9E3" w14:textId="77777777" w:rsidTr="00387142">
        <w:trPr>
          <w:trHeight w:val="1725"/>
        </w:trPr>
        <w:tc>
          <w:tcPr>
            <w:tcW w:w="272" w:type="dxa"/>
            <w:tcBorders>
              <w:top w:val="nil"/>
              <w:left w:val="nil"/>
              <w:bottom w:val="nil"/>
              <w:right w:val="single" w:sz="4" w:space="0" w:color="auto"/>
            </w:tcBorders>
            <w:shd w:val="clear" w:color="auto" w:fill="auto"/>
            <w:noWrap/>
            <w:vAlign w:val="bottom"/>
            <w:hideMark/>
          </w:tcPr>
          <w:p w14:paraId="7D7D850F"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53668D94" w14:textId="77777777" w:rsidR="00387142" w:rsidRPr="008B6A75" w:rsidRDefault="00387142" w:rsidP="00387142">
            <w:pPr>
              <w:rPr>
                <w:bCs/>
                <w:sz w:val="20"/>
                <w:szCs w:val="20"/>
              </w:rPr>
            </w:pPr>
            <w:r w:rsidRPr="008B6A75">
              <w:rPr>
                <w:bCs/>
                <w:sz w:val="20"/>
                <w:szCs w:val="20"/>
              </w:rPr>
              <w:t xml:space="preserve">Реализация проектов, направленных на создание комфортных условий проживания в сельской местности, государственной программы Новосибирской области "Комплексное развитие сельских территорий в Новосибирской области" </w:t>
            </w:r>
          </w:p>
        </w:tc>
        <w:tc>
          <w:tcPr>
            <w:tcW w:w="1559" w:type="dxa"/>
            <w:tcBorders>
              <w:top w:val="nil"/>
              <w:left w:val="single" w:sz="4" w:space="0" w:color="auto"/>
              <w:bottom w:val="single" w:sz="4" w:space="0" w:color="auto"/>
              <w:right w:val="nil"/>
            </w:tcBorders>
            <w:shd w:val="clear" w:color="auto" w:fill="auto"/>
            <w:noWrap/>
            <w:vAlign w:val="center"/>
            <w:hideMark/>
          </w:tcPr>
          <w:p w14:paraId="20524DCB" w14:textId="77777777" w:rsidR="00387142" w:rsidRPr="008B6A75" w:rsidRDefault="00387142" w:rsidP="00387142">
            <w:pPr>
              <w:jc w:val="center"/>
              <w:rPr>
                <w:bCs/>
                <w:sz w:val="20"/>
                <w:szCs w:val="20"/>
              </w:rPr>
            </w:pPr>
            <w:r w:rsidRPr="008B6A75">
              <w:rPr>
                <w:bCs/>
                <w:sz w:val="20"/>
                <w:szCs w:val="20"/>
              </w:rPr>
              <w:t>06.0.00.L5765</w:t>
            </w:r>
          </w:p>
        </w:tc>
        <w:tc>
          <w:tcPr>
            <w:tcW w:w="850" w:type="dxa"/>
            <w:tcBorders>
              <w:top w:val="nil"/>
              <w:left w:val="single" w:sz="4" w:space="0" w:color="auto"/>
              <w:bottom w:val="single" w:sz="4" w:space="0" w:color="auto"/>
              <w:right w:val="nil"/>
            </w:tcBorders>
            <w:shd w:val="clear" w:color="auto" w:fill="auto"/>
            <w:noWrap/>
            <w:vAlign w:val="center"/>
            <w:hideMark/>
          </w:tcPr>
          <w:p w14:paraId="107F3539" w14:textId="77777777" w:rsidR="00387142" w:rsidRPr="008B6A75" w:rsidRDefault="00387142" w:rsidP="00387142">
            <w:pPr>
              <w:jc w:val="center"/>
              <w:rPr>
                <w:bCs/>
                <w:sz w:val="20"/>
                <w:szCs w:val="20"/>
              </w:rPr>
            </w:pPr>
            <w:r w:rsidRPr="008B6A75">
              <w:rPr>
                <w:bCs/>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7B298254" w14:textId="77777777" w:rsidR="00387142" w:rsidRPr="008B6A75" w:rsidRDefault="00387142" w:rsidP="00387142">
            <w:pPr>
              <w:jc w:val="center"/>
              <w:rPr>
                <w:bCs/>
                <w:sz w:val="20"/>
                <w:szCs w:val="20"/>
              </w:rPr>
            </w:pPr>
            <w:r w:rsidRPr="008B6A75">
              <w:rPr>
                <w:bCs/>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0279BA52" w14:textId="77777777" w:rsidR="00387142" w:rsidRPr="008B6A75" w:rsidRDefault="00387142" w:rsidP="00387142">
            <w:pPr>
              <w:jc w:val="center"/>
              <w:rPr>
                <w:bCs/>
                <w:sz w:val="20"/>
                <w:szCs w:val="20"/>
              </w:rPr>
            </w:pPr>
            <w:r w:rsidRPr="008B6A75">
              <w:rPr>
                <w:bCs/>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2ED7B30" w14:textId="77777777" w:rsidR="00387142" w:rsidRPr="008B6A75" w:rsidRDefault="00387142" w:rsidP="00387142">
            <w:pPr>
              <w:jc w:val="right"/>
              <w:rPr>
                <w:bCs/>
                <w:sz w:val="20"/>
                <w:szCs w:val="20"/>
              </w:rPr>
            </w:pPr>
            <w:r w:rsidRPr="008B6A75">
              <w:rPr>
                <w:bCs/>
                <w:sz w:val="20"/>
                <w:szCs w:val="20"/>
              </w:rPr>
              <w:t>2 427 130,00</w:t>
            </w:r>
          </w:p>
        </w:tc>
        <w:tc>
          <w:tcPr>
            <w:tcW w:w="851" w:type="dxa"/>
            <w:tcBorders>
              <w:top w:val="nil"/>
              <w:left w:val="single" w:sz="4" w:space="0" w:color="auto"/>
              <w:bottom w:val="single" w:sz="4" w:space="0" w:color="auto"/>
              <w:right w:val="nil"/>
            </w:tcBorders>
            <w:shd w:val="clear" w:color="auto" w:fill="auto"/>
            <w:noWrap/>
            <w:vAlign w:val="center"/>
            <w:hideMark/>
          </w:tcPr>
          <w:p w14:paraId="3B9B980A" w14:textId="77777777" w:rsidR="00387142" w:rsidRPr="008B6A75" w:rsidRDefault="00387142" w:rsidP="00387142">
            <w:pPr>
              <w:jc w:val="right"/>
              <w:rPr>
                <w:bCs/>
                <w:sz w:val="20"/>
                <w:szCs w:val="20"/>
              </w:rPr>
            </w:pPr>
            <w:r w:rsidRPr="008B6A75">
              <w:rPr>
                <w:bCs/>
                <w:sz w:val="20"/>
                <w:szCs w:val="20"/>
              </w:rPr>
              <w:t>500 000,00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5B247992" w14:textId="77777777" w:rsidR="00387142" w:rsidRPr="008B6A75" w:rsidRDefault="00387142" w:rsidP="00387142">
            <w:pPr>
              <w:jc w:val="right"/>
              <w:rPr>
                <w:bCs/>
                <w:sz w:val="20"/>
                <w:szCs w:val="20"/>
              </w:rPr>
            </w:pPr>
            <w:r w:rsidRPr="008B6A75">
              <w:rPr>
                <w:bCs/>
                <w:sz w:val="20"/>
                <w:szCs w:val="20"/>
              </w:rPr>
              <w:t>500 000,00</w:t>
            </w:r>
          </w:p>
        </w:tc>
      </w:tr>
      <w:tr w:rsidR="00387142" w:rsidRPr="008B6A75" w14:paraId="4AC6BF3D" w14:textId="77777777" w:rsidTr="00387142">
        <w:trPr>
          <w:trHeight w:val="585"/>
        </w:trPr>
        <w:tc>
          <w:tcPr>
            <w:tcW w:w="272" w:type="dxa"/>
            <w:tcBorders>
              <w:top w:val="nil"/>
              <w:left w:val="nil"/>
              <w:bottom w:val="nil"/>
              <w:right w:val="single" w:sz="4" w:space="0" w:color="auto"/>
            </w:tcBorders>
            <w:shd w:val="clear" w:color="auto" w:fill="auto"/>
            <w:noWrap/>
            <w:vAlign w:val="bottom"/>
            <w:hideMark/>
          </w:tcPr>
          <w:p w14:paraId="617A26C1"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262DAA48" w14:textId="77777777" w:rsidR="00387142" w:rsidRPr="008B6A75" w:rsidRDefault="00387142" w:rsidP="00387142">
            <w:pPr>
              <w:rPr>
                <w:sz w:val="20"/>
                <w:szCs w:val="20"/>
              </w:rPr>
            </w:pPr>
            <w:r w:rsidRPr="008B6A75">
              <w:rPr>
                <w:sz w:val="20"/>
                <w:szCs w:val="20"/>
              </w:rPr>
              <w:t>Закупка товаров, работ и услуг для обеспечения государственных (муниципальных) нужд</w:t>
            </w:r>
          </w:p>
        </w:tc>
        <w:tc>
          <w:tcPr>
            <w:tcW w:w="1559" w:type="dxa"/>
            <w:tcBorders>
              <w:top w:val="nil"/>
              <w:left w:val="single" w:sz="4" w:space="0" w:color="auto"/>
              <w:bottom w:val="single" w:sz="4" w:space="0" w:color="auto"/>
              <w:right w:val="nil"/>
            </w:tcBorders>
            <w:shd w:val="clear" w:color="auto" w:fill="auto"/>
            <w:noWrap/>
            <w:vAlign w:val="center"/>
            <w:hideMark/>
          </w:tcPr>
          <w:p w14:paraId="40EA62C6" w14:textId="77777777" w:rsidR="00387142" w:rsidRPr="008B6A75" w:rsidRDefault="00387142" w:rsidP="00387142">
            <w:pPr>
              <w:jc w:val="center"/>
              <w:rPr>
                <w:sz w:val="20"/>
                <w:szCs w:val="20"/>
              </w:rPr>
            </w:pPr>
            <w:r w:rsidRPr="008B6A75">
              <w:rPr>
                <w:sz w:val="20"/>
                <w:szCs w:val="20"/>
              </w:rPr>
              <w:t>06.0.00.L5765</w:t>
            </w:r>
          </w:p>
        </w:tc>
        <w:tc>
          <w:tcPr>
            <w:tcW w:w="850" w:type="dxa"/>
            <w:tcBorders>
              <w:top w:val="nil"/>
              <w:left w:val="single" w:sz="4" w:space="0" w:color="auto"/>
              <w:bottom w:val="single" w:sz="4" w:space="0" w:color="auto"/>
              <w:right w:val="nil"/>
            </w:tcBorders>
            <w:shd w:val="clear" w:color="auto" w:fill="auto"/>
            <w:noWrap/>
            <w:vAlign w:val="center"/>
            <w:hideMark/>
          </w:tcPr>
          <w:p w14:paraId="7ADC1EDE" w14:textId="77777777" w:rsidR="00387142" w:rsidRPr="008B6A75" w:rsidRDefault="00387142" w:rsidP="00387142">
            <w:pPr>
              <w:jc w:val="center"/>
              <w:rPr>
                <w:sz w:val="20"/>
                <w:szCs w:val="20"/>
              </w:rPr>
            </w:pPr>
            <w:r w:rsidRPr="008B6A75">
              <w:rPr>
                <w:sz w:val="20"/>
                <w:szCs w:val="20"/>
              </w:rPr>
              <w:t>200</w:t>
            </w:r>
          </w:p>
        </w:tc>
        <w:tc>
          <w:tcPr>
            <w:tcW w:w="567" w:type="dxa"/>
            <w:tcBorders>
              <w:top w:val="nil"/>
              <w:left w:val="single" w:sz="4" w:space="0" w:color="auto"/>
              <w:bottom w:val="single" w:sz="4" w:space="0" w:color="auto"/>
              <w:right w:val="nil"/>
            </w:tcBorders>
            <w:shd w:val="clear" w:color="auto" w:fill="auto"/>
            <w:noWrap/>
            <w:vAlign w:val="center"/>
            <w:hideMark/>
          </w:tcPr>
          <w:p w14:paraId="69991BCA" w14:textId="77777777" w:rsidR="00387142" w:rsidRPr="008B6A75" w:rsidRDefault="00387142" w:rsidP="00387142">
            <w:pPr>
              <w:jc w:val="center"/>
              <w:rPr>
                <w:sz w:val="20"/>
                <w:szCs w:val="20"/>
              </w:rPr>
            </w:pPr>
            <w:r w:rsidRPr="008B6A75">
              <w:rPr>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31CBF903" w14:textId="77777777" w:rsidR="00387142" w:rsidRPr="008B6A75" w:rsidRDefault="00387142" w:rsidP="00387142">
            <w:pPr>
              <w:jc w:val="center"/>
              <w:rPr>
                <w:sz w:val="20"/>
                <w:szCs w:val="20"/>
              </w:rPr>
            </w:pPr>
            <w:r w:rsidRPr="008B6A75">
              <w:rPr>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91CBFC1" w14:textId="77777777" w:rsidR="00387142" w:rsidRPr="008B6A75" w:rsidRDefault="00387142" w:rsidP="00387142">
            <w:pPr>
              <w:jc w:val="right"/>
              <w:rPr>
                <w:sz w:val="20"/>
                <w:szCs w:val="20"/>
              </w:rPr>
            </w:pPr>
            <w:r w:rsidRPr="008B6A75">
              <w:rPr>
                <w:sz w:val="20"/>
                <w:szCs w:val="20"/>
              </w:rPr>
              <w:t>0,00</w:t>
            </w:r>
          </w:p>
        </w:tc>
        <w:tc>
          <w:tcPr>
            <w:tcW w:w="851" w:type="dxa"/>
            <w:tcBorders>
              <w:top w:val="nil"/>
              <w:left w:val="single" w:sz="4" w:space="0" w:color="auto"/>
              <w:bottom w:val="single" w:sz="4" w:space="0" w:color="auto"/>
              <w:right w:val="nil"/>
            </w:tcBorders>
            <w:shd w:val="clear" w:color="auto" w:fill="auto"/>
            <w:noWrap/>
            <w:vAlign w:val="center"/>
            <w:hideMark/>
          </w:tcPr>
          <w:p w14:paraId="5EF53CE2" w14:textId="77777777" w:rsidR="00387142" w:rsidRPr="008B6A75" w:rsidRDefault="00387142" w:rsidP="00387142">
            <w:pPr>
              <w:jc w:val="right"/>
              <w:rPr>
                <w:sz w:val="20"/>
                <w:szCs w:val="20"/>
              </w:rPr>
            </w:pPr>
            <w:r w:rsidRPr="008B6A75">
              <w:rPr>
                <w:sz w:val="20"/>
                <w:szCs w:val="20"/>
              </w:rPr>
              <w:t>500 000,00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012D87FE" w14:textId="77777777" w:rsidR="00387142" w:rsidRPr="008B6A75" w:rsidRDefault="00387142" w:rsidP="00387142">
            <w:pPr>
              <w:jc w:val="right"/>
              <w:rPr>
                <w:sz w:val="20"/>
                <w:szCs w:val="20"/>
              </w:rPr>
            </w:pPr>
            <w:r w:rsidRPr="008B6A75">
              <w:rPr>
                <w:sz w:val="20"/>
                <w:szCs w:val="20"/>
              </w:rPr>
              <w:t>500 000,00</w:t>
            </w:r>
          </w:p>
        </w:tc>
      </w:tr>
      <w:tr w:rsidR="00387142" w:rsidRPr="008B6A75" w14:paraId="1D6EB663" w14:textId="77777777" w:rsidTr="00387142">
        <w:trPr>
          <w:trHeight w:val="870"/>
        </w:trPr>
        <w:tc>
          <w:tcPr>
            <w:tcW w:w="272" w:type="dxa"/>
            <w:tcBorders>
              <w:top w:val="nil"/>
              <w:left w:val="nil"/>
              <w:bottom w:val="nil"/>
              <w:right w:val="single" w:sz="4" w:space="0" w:color="auto"/>
            </w:tcBorders>
            <w:shd w:val="clear" w:color="auto" w:fill="auto"/>
            <w:noWrap/>
            <w:vAlign w:val="bottom"/>
            <w:hideMark/>
          </w:tcPr>
          <w:p w14:paraId="45A36832"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28E10DB9" w14:textId="77777777" w:rsidR="00387142" w:rsidRPr="008B6A75" w:rsidRDefault="00387142" w:rsidP="00387142">
            <w:pPr>
              <w:rPr>
                <w:sz w:val="20"/>
                <w:szCs w:val="20"/>
              </w:rPr>
            </w:pPr>
            <w:r w:rsidRPr="008B6A75">
              <w:rPr>
                <w:sz w:val="20"/>
                <w:szCs w:val="20"/>
              </w:rPr>
              <w:t>Иные закупки товаров, работ и услуг для обеспечения государственных (муниципальных) нужд</w:t>
            </w:r>
          </w:p>
        </w:tc>
        <w:tc>
          <w:tcPr>
            <w:tcW w:w="1559" w:type="dxa"/>
            <w:tcBorders>
              <w:top w:val="nil"/>
              <w:left w:val="single" w:sz="4" w:space="0" w:color="auto"/>
              <w:bottom w:val="single" w:sz="4" w:space="0" w:color="auto"/>
              <w:right w:val="nil"/>
            </w:tcBorders>
            <w:shd w:val="clear" w:color="auto" w:fill="auto"/>
            <w:noWrap/>
            <w:vAlign w:val="center"/>
            <w:hideMark/>
          </w:tcPr>
          <w:p w14:paraId="5CD83797" w14:textId="77777777" w:rsidR="00387142" w:rsidRPr="008B6A75" w:rsidRDefault="00387142" w:rsidP="00387142">
            <w:pPr>
              <w:jc w:val="center"/>
              <w:rPr>
                <w:sz w:val="20"/>
                <w:szCs w:val="20"/>
              </w:rPr>
            </w:pPr>
            <w:r w:rsidRPr="008B6A75">
              <w:rPr>
                <w:sz w:val="20"/>
                <w:szCs w:val="20"/>
              </w:rPr>
              <w:t>06.0.00.L5765</w:t>
            </w:r>
          </w:p>
        </w:tc>
        <w:tc>
          <w:tcPr>
            <w:tcW w:w="850" w:type="dxa"/>
            <w:tcBorders>
              <w:top w:val="nil"/>
              <w:left w:val="single" w:sz="4" w:space="0" w:color="auto"/>
              <w:bottom w:val="single" w:sz="4" w:space="0" w:color="auto"/>
              <w:right w:val="nil"/>
            </w:tcBorders>
            <w:shd w:val="clear" w:color="auto" w:fill="auto"/>
            <w:noWrap/>
            <w:vAlign w:val="center"/>
            <w:hideMark/>
          </w:tcPr>
          <w:p w14:paraId="6DD97D56" w14:textId="77777777" w:rsidR="00387142" w:rsidRPr="008B6A75" w:rsidRDefault="00387142" w:rsidP="00387142">
            <w:pPr>
              <w:jc w:val="center"/>
              <w:rPr>
                <w:sz w:val="20"/>
                <w:szCs w:val="20"/>
              </w:rPr>
            </w:pPr>
            <w:r w:rsidRPr="008B6A75">
              <w:rPr>
                <w:sz w:val="20"/>
                <w:szCs w:val="20"/>
              </w:rPr>
              <w:t>240</w:t>
            </w:r>
          </w:p>
        </w:tc>
        <w:tc>
          <w:tcPr>
            <w:tcW w:w="567" w:type="dxa"/>
            <w:tcBorders>
              <w:top w:val="nil"/>
              <w:left w:val="single" w:sz="4" w:space="0" w:color="auto"/>
              <w:bottom w:val="single" w:sz="4" w:space="0" w:color="auto"/>
              <w:right w:val="nil"/>
            </w:tcBorders>
            <w:shd w:val="clear" w:color="auto" w:fill="auto"/>
            <w:noWrap/>
            <w:vAlign w:val="center"/>
            <w:hideMark/>
          </w:tcPr>
          <w:p w14:paraId="4BAA3225" w14:textId="77777777" w:rsidR="00387142" w:rsidRPr="008B6A75" w:rsidRDefault="00387142" w:rsidP="00387142">
            <w:pPr>
              <w:jc w:val="center"/>
              <w:rPr>
                <w:sz w:val="20"/>
                <w:szCs w:val="20"/>
              </w:rPr>
            </w:pPr>
            <w:r w:rsidRPr="008B6A75">
              <w:rPr>
                <w:sz w:val="20"/>
                <w:szCs w:val="20"/>
              </w:rPr>
              <w:t>05</w:t>
            </w:r>
          </w:p>
        </w:tc>
        <w:tc>
          <w:tcPr>
            <w:tcW w:w="567" w:type="dxa"/>
            <w:tcBorders>
              <w:top w:val="nil"/>
              <w:left w:val="single" w:sz="4" w:space="0" w:color="auto"/>
              <w:bottom w:val="single" w:sz="4" w:space="0" w:color="auto"/>
              <w:right w:val="nil"/>
            </w:tcBorders>
            <w:shd w:val="clear" w:color="auto" w:fill="auto"/>
            <w:noWrap/>
            <w:vAlign w:val="center"/>
            <w:hideMark/>
          </w:tcPr>
          <w:p w14:paraId="5B52907A" w14:textId="77777777" w:rsidR="00387142" w:rsidRPr="008B6A75" w:rsidRDefault="00387142" w:rsidP="00387142">
            <w:pPr>
              <w:jc w:val="center"/>
              <w:rPr>
                <w:sz w:val="20"/>
                <w:szCs w:val="20"/>
              </w:rPr>
            </w:pPr>
            <w:r w:rsidRPr="008B6A75">
              <w:rPr>
                <w:sz w:val="20"/>
                <w:szCs w:val="20"/>
              </w:rPr>
              <w:t>03</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97D8CC3" w14:textId="77777777" w:rsidR="00387142" w:rsidRPr="008B6A75" w:rsidRDefault="00387142" w:rsidP="00387142">
            <w:pPr>
              <w:jc w:val="right"/>
              <w:rPr>
                <w:sz w:val="20"/>
                <w:szCs w:val="20"/>
              </w:rPr>
            </w:pPr>
            <w:r w:rsidRPr="008B6A75">
              <w:rPr>
                <w:sz w:val="20"/>
                <w:szCs w:val="20"/>
              </w:rPr>
              <w:t>0,00</w:t>
            </w:r>
          </w:p>
        </w:tc>
        <w:tc>
          <w:tcPr>
            <w:tcW w:w="851" w:type="dxa"/>
            <w:tcBorders>
              <w:top w:val="nil"/>
              <w:left w:val="single" w:sz="4" w:space="0" w:color="auto"/>
              <w:bottom w:val="single" w:sz="4" w:space="0" w:color="auto"/>
              <w:right w:val="nil"/>
            </w:tcBorders>
            <w:shd w:val="clear" w:color="auto" w:fill="auto"/>
            <w:noWrap/>
            <w:vAlign w:val="center"/>
            <w:hideMark/>
          </w:tcPr>
          <w:p w14:paraId="308DD2A8" w14:textId="77777777" w:rsidR="00387142" w:rsidRPr="008B6A75" w:rsidRDefault="00387142" w:rsidP="00387142">
            <w:pPr>
              <w:jc w:val="right"/>
              <w:rPr>
                <w:sz w:val="20"/>
                <w:szCs w:val="20"/>
              </w:rPr>
            </w:pPr>
            <w:r w:rsidRPr="008B6A75">
              <w:rPr>
                <w:sz w:val="20"/>
                <w:szCs w:val="20"/>
              </w:rPr>
              <w:t>500 000,00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4BD74B40" w14:textId="77777777" w:rsidR="00387142" w:rsidRPr="008B6A75" w:rsidRDefault="00387142" w:rsidP="00387142">
            <w:pPr>
              <w:jc w:val="right"/>
              <w:rPr>
                <w:sz w:val="20"/>
                <w:szCs w:val="20"/>
              </w:rPr>
            </w:pPr>
            <w:r w:rsidRPr="008B6A75">
              <w:rPr>
                <w:sz w:val="20"/>
                <w:szCs w:val="20"/>
              </w:rPr>
              <w:t>500 000,00</w:t>
            </w:r>
          </w:p>
        </w:tc>
      </w:tr>
      <w:tr w:rsidR="00387142" w:rsidRPr="008B6A75" w14:paraId="5BB08DC9" w14:textId="77777777" w:rsidTr="00387142">
        <w:trPr>
          <w:trHeight w:val="300"/>
        </w:trPr>
        <w:tc>
          <w:tcPr>
            <w:tcW w:w="272" w:type="dxa"/>
            <w:tcBorders>
              <w:top w:val="nil"/>
              <w:left w:val="nil"/>
              <w:bottom w:val="nil"/>
              <w:right w:val="single" w:sz="4" w:space="0" w:color="auto"/>
            </w:tcBorders>
            <w:shd w:val="clear" w:color="auto" w:fill="auto"/>
            <w:noWrap/>
            <w:vAlign w:val="bottom"/>
            <w:hideMark/>
          </w:tcPr>
          <w:p w14:paraId="3B57A92A"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2D0188C0" w14:textId="77777777" w:rsidR="00387142" w:rsidRPr="008B6A75" w:rsidRDefault="00387142" w:rsidP="00387142">
            <w:pPr>
              <w:rPr>
                <w:sz w:val="20"/>
                <w:szCs w:val="20"/>
              </w:rPr>
            </w:pPr>
            <w:r w:rsidRPr="008B6A75">
              <w:rPr>
                <w:sz w:val="20"/>
                <w:szCs w:val="20"/>
              </w:rPr>
              <w:t>Межбюджетные трансферты</w:t>
            </w:r>
          </w:p>
        </w:tc>
        <w:tc>
          <w:tcPr>
            <w:tcW w:w="1559" w:type="dxa"/>
            <w:tcBorders>
              <w:top w:val="nil"/>
              <w:left w:val="single" w:sz="4" w:space="0" w:color="auto"/>
              <w:bottom w:val="single" w:sz="4" w:space="0" w:color="auto"/>
              <w:right w:val="nil"/>
            </w:tcBorders>
            <w:shd w:val="clear" w:color="auto" w:fill="auto"/>
            <w:noWrap/>
            <w:vAlign w:val="center"/>
            <w:hideMark/>
          </w:tcPr>
          <w:p w14:paraId="2EE7F515" w14:textId="77777777" w:rsidR="00387142" w:rsidRPr="008B6A75" w:rsidRDefault="00387142" w:rsidP="00387142">
            <w:pPr>
              <w:jc w:val="center"/>
              <w:rPr>
                <w:sz w:val="20"/>
                <w:szCs w:val="20"/>
              </w:rPr>
            </w:pPr>
            <w:r w:rsidRPr="008B6A75">
              <w:rPr>
                <w:sz w:val="20"/>
                <w:szCs w:val="20"/>
              </w:rPr>
              <w:t>06.0.00.L5765</w:t>
            </w:r>
          </w:p>
        </w:tc>
        <w:tc>
          <w:tcPr>
            <w:tcW w:w="850" w:type="dxa"/>
            <w:tcBorders>
              <w:top w:val="nil"/>
              <w:left w:val="single" w:sz="4" w:space="0" w:color="auto"/>
              <w:bottom w:val="single" w:sz="4" w:space="0" w:color="auto"/>
              <w:right w:val="nil"/>
            </w:tcBorders>
            <w:shd w:val="clear" w:color="auto" w:fill="auto"/>
            <w:noWrap/>
            <w:vAlign w:val="center"/>
            <w:hideMark/>
          </w:tcPr>
          <w:p w14:paraId="13B1FD79" w14:textId="77777777" w:rsidR="00387142" w:rsidRPr="008B6A75" w:rsidRDefault="00387142" w:rsidP="00387142">
            <w:pPr>
              <w:jc w:val="center"/>
              <w:rPr>
                <w:sz w:val="20"/>
                <w:szCs w:val="20"/>
              </w:rPr>
            </w:pPr>
            <w:r w:rsidRPr="008B6A75">
              <w:rPr>
                <w:sz w:val="20"/>
                <w:szCs w:val="20"/>
              </w:rPr>
              <w:t>500</w:t>
            </w:r>
          </w:p>
        </w:tc>
        <w:tc>
          <w:tcPr>
            <w:tcW w:w="567" w:type="dxa"/>
            <w:tcBorders>
              <w:top w:val="nil"/>
              <w:left w:val="single" w:sz="4" w:space="0" w:color="auto"/>
              <w:bottom w:val="single" w:sz="4" w:space="0" w:color="auto"/>
              <w:right w:val="nil"/>
            </w:tcBorders>
            <w:shd w:val="clear" w:color="auto" w:fill="auto"/>
            <w:noWrap/>
            <w:vAlign w:val="center"/>
            <w:hideMark/>
          </w:tcPr>
          <w:p w14:paraId="2E55D271" w14:textId="77777777" w:rsidR="00387142" w:rsidRPr="008B6A75" w:rsidRDefault="00387142" w:rsidP="00387142">
            <w:pPr>
              <w:jc w:val="center"/>
              <w:rPr>
                <w:sz w:val="20"/>
                <w:szCs w:val="20"/>
              </w:rPr>
            </w:pPr>
            <w:r w:rsidRPr="008B6A75">
              <w:rPr>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2D76F778" w14:textId="77777777" w:rsidR="00387142" w:rsidRPr="008B6A75" w:rsidRDefault="00387142" w:rsidP="00387142">
            <w:pPr>
              <w:jc w:val="center"/>
              <w:rPr>
                <w:sz w:val="20"/>
                <w:szCs w:val="20"/>
              </w:rPr>
            </w:pPr>
            <w:r w:rsidRPr="008B6A75">
              <w:rPr>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80075D5" w14:textId="77777777" w:rsidR="00387142" w:rsidRPr="008B6A75" w:rsidRDefault="00387142" w:rsidP="00387142">
            <w:pPr>
              <w:jc w:val="right"/>
              <w:rPr>
                <w:sz w:val="20"/>
                <w:szCs w:val="20"/>
              </w:rPr>
            </w:pPr>
            <w:r w:rsidRPr="008B6A75">
              <w:rPr>
                <w:sz w:val="20"/>
                <w:szCs w:val="20"/>
              </w:rPr>
              <w:t>2 427 130,00</w:t>
            </w:r>
          </w:p>
        </w:tc>
        <w:tc>
          <w:tcPr>
            <w:tcW w:w="851" w:type="dxa"/>
            <w:tcBorders>
              <w:top w:val="nil"/>
              <w:left w:val="single" w:sz="4" w:space="0" w:color="auto"/>
              <w:bottom w:val="single" w:sz="4" w:space="0" w:color="auto"/>
              <w:right w:val="nil"/>
            </w:tcBorders>
            <w:shd w:val="clear" w:color="auto" w:fill="auto"/>
            <w:noWrap/>
            <w:vAlign w:val="center"/>
            <w:hideMark/>
          </w:tcPr>
          <w:p w14:paraId="54B551E8" w14:textId="77777777" w:rsidR="00387142" w:rsidRPr="008B6A75" w:rsidRDefault="00387142" w:rsidP="00387142">
            <w:pPr>
              <w:jc w:val="right"/>
              <w:rPr>
                <w:sz w:val="20"/>
                <w:szCs w:val="20"/>
              </w:rPr>
            </w:pPr>
            <w:r w:rsidRPr="008B6A75">
              <w:rPr>
                <w:sz w:val="20"/>
                <w:szCs w:val="20"/>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4B140FD7" w14:textId="77777777" w:rsidR="00387142" w:rsidRPr="008B6A75" w:rsidRDefault="00387142" w:rsidP="00387142">
            <w:pPr>
              <w:jc w:val="right"/>
              <w:rPr>
                <w:sz w:val="20"/>
                <w:szCs w:val="20"/>
              </w:rPr>
            </w:pPr>
            <w:r w:rsidRPr="008B6A75">
              <w:rPr>
                <w:sz w:val="20"/>
                <w:szCs w:val="20"/>
              </w:rPr>
              <w:t>0,00</w:t>
            </w:r>
          </w:p>
        </w:tc>
      </w:tr>
      <w:tr w:rsidR="00387142" w:rsidRPr="008B6A75" w14:paraId="4DFCD1BA" w14:textId="77777777" w:rsidTr="00387142">
        <w:trPr>
          <w:trHeight w:val="300"/>
        </w:trPr>
        <w:tc>
          <w:tcPr>
            <w:tcW w:w="272" w:type="dxa"/>
            <w:tcBorders>
              <w:top w:val="nil"/>
              <w:left w:val="nil"/>
              <w:bottom w:val="nil"/>
              <w:right w:val="single" w:sz="4" w:space="0" w:color="auto"/>
            </w:tcBorders>
            <w:shd w:val="clear" w:color="auto" w:fill="auto"/>
            <w:noWrap/>
            <w:vAlign w:val="bottom"/>
            <w:hideMark/>
          </w:tcPr>
          <w:p w14:paraId="1F3C3A54"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649667FA" w14:textId="77777777" w:rsidR="00387142" w:rsidRPr="008B6A75" w:rsidRDefault="00387142" w:rsidP="00387142">
            <w:pPr>
              <w:rPr>
                <w:sz w:val="20"/>
                <w:szCs w:val="20"/>
              </w:rPr>
            </w:pPr>
            <w:r w:rsidRPr="008B6A75">
              <w:rPr>
                <w:sz w:val="20"/>
                <w:szCs w:val="20"/>
              </w:rPr>
              <w:t>Иные межбюджетные трансферты</w:t>
            </w:r>
          </w:p>
        </w:tc>
        <w:tc>
          <w:tcPr>
            <w:tcW w:w="1559" w:type="dxa"/>
            <w:tcBorders>
              <w:top w:val="nil"/>
              <w:left w:val="single" w:sz="4" w:space="0" w:color="auto"/>
              <w:bottom w:val="single" w:sz="4" w:space="0" w:color="auto"/>
              <w:right w:val="nil"/>
            </w:tcBorders>
            <w:shd w:val="clear" w:color="auto" w:fill="auto"/>
            <w:noWrap/>
            <w:vAlign w:val="center"/>
            <w:hideMark/>
          </w:tcPr>
          <w:p w14:paraId="791FDC40" w14:textId="77777777" w:rsidR="00387142" w:rsidRPr="008B6A75" w:rsidRDefault="00387142" w:rsidP="00387142">
            <w:pPr>
              <w:jc w:val="center"/>
              <w:rPr>
                <w:sz w:val="20"/>
                <w:szCs w:val="20"/>
              </w:rPr>
            </w:pPr>
            <w:r w:rsidRPr="008B6A75">
              <w:rPr>
                <w:sz w:val="20"/>
                <w:szCs w:val="20"/>
              </w:rPr>
              <w:t>06.0.00.L5765</w:t>
            </w:r>
          </w:p>
        </w:tc>
        <w:tc>
          <w:tcPr>
            <w:tcW w:w="850" w:type="dxa"/>
            <w:tcBorders>
              <w:top w:val="nil"/>
              <w:left w:val="single" w:sz="4" w:space="0" w:color="auto"/>
              <w:bottom w:val="single" w:sz="4" w:space="0" w:color="auto"/>
              <w:right w:val="nil"/>
            </w:tcBorders>
            <w:shd w:val="clear" w:color="auto" w:fill="auto"/>
            <w:noWrap/>
            <w:vAlign w:val="center"/>
            <w:hideMark/>
          </w:tcPr>
          <w:p w14:paraId="56517BCF" w14:textId="77777777" w:rsidR="00387142" w:rsidRPr="008B6A75" w:rsidRDefault="00387142" w:rsidP="00387142">
            <w:pPr>
              <w:jc w:val="center"/>
              <w:rPr>
                <w:sz w:val="20"/>
                <w:szCs w:val="20"/>
              </w:rPr>
            </w:pPr>
            <w:r w:rsidRPr="008B6A75">
              <w:rPr>
                <w:sz w:val="20"/>
                <w:szCs w:val="20"/>
              </w:rPr>
              <w:t>540</w:t>
            </w:r>
          </w:p>
        </w:tc>
        <w:tc>
          <w:tcPr>
            <w:tcW w:w="567" w:type="dxa"/>
            <w:tcBorders>
              <w:top w:val="nil"/>
              <w:left w:val="single" w:sz="4" w:space="0" w:color="auto"/>
              <w:bottom w:val="single" w:sz="4" w:space="0" w:color="auto"/>
              <w:right w:val="nil"/>
            </w:tcBorders>
            <w:shd w:val="clear" w:color="auto" w:fill="auto"/>
            <w:noWrap/>
            <w:vAlign w:val="center"/>
            <w:hideMark/>
          </w:tcPr>
          <w:p w14:paraId="0F079815" w14:textId="77777777" w:rsidR="00387142" w:rsidRPr="008B6A75" w:rsidRDefault="00387142" w:rsidP="00387142">
            <w:pPr>
              <w:jc w:val="center"/>
              <w:rPr>
                <w:sz w:val="20"/>
                <w:szCs w:val="20"/>
              </w:rPr>
            </w:pPr>
            <w:r w:rsidRPr="008B6A75">
              <w:rPr>
                <w:sz w:val="20"/>
                <w:szCs w:val="20"/>
              </w:rPr>
              <w:t>05</w:t>
            </w:r>
          </w:p>
        </w:tc>
        <w:tc>
          <w:tcPr>
            <w:tcW w:w="567" w:type="dxa"/>
            <w:tcBorders>
              <w:top w:val="nil"/>
              <w:left w:val="single" w:sz="4" w:space="0" w:color="auto"/>
              <w:bottom w:val="single" w:sz="4" w:space="0" w:color="auto"/>
              <w:right w:val="nil"/>
            </w:tcBorders>
            <w:shd w:val="clear" w:color="auto" w:fill="auto"/>
            <w:noWrap/>
            <w:vAlign w:val="center"/>
            <w:hideMark/>
          </w:tcPr>
          <w:p w14:paraId="316215FA" w14:textId="77777777" w:rsidR="00387142" w:rsidRPr="008B6A75" w:rsidRDefault="00387142" w:rsidP="00387142">
            <w:pPr>
              <w:jc w:val="center"/>
              <w:rPr>
                <w:sz w:val="20"/>
                <w:szCs w:val="20"/>
              </w:rPr>
            </w:pPr>
            <w:r w:rsidRPr="008B6A75">
              <w:rPr>
                <w:sz w:val="20"/>
                <w:szCs w:val="20"/>
              </w:rPr>
              <w:t>03</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AF1E214" w14:textId="77777777" w:rsidR="00387142" w:rsidRPr="008B6A75" w:rsidRDefault="00387142" w:rsidP="00387142">
            <w:pPr>
              <w:jc w:val="right"/>
              <w:rPr>
                <w:sz w:val="20"/>
                <w:szCs w:val="20"/>
              </w:rPr>
            </w:pPr>
            <w:r w:rsidRPr="008B6A75">
              <w:rPr>
                <w:sz w:val="20"/>
                <w:szCs w:val="20"/>
              </w:rPr>
              <w:t>2 427 130,00</w:t>
            </w:r>
          </w:p>
        </w:tc>
        <w:tc>
          <w:tcPr>
            <w:tcW w:w="851" w:type="dxa"/>
            <w:tcBorders>
              <w:top w:val="nil"/>
              <w:left w:val="single" w:sz="4" w:space="0" w:color="auto"/>
              <w:bottom w:val="single" w:sz="4" w:space="0" w:color="auto"/>
              <w:right w:val="nil"/>
            </w:tcBorders>
            <w:shd w:val="clear" w:color="auto" w:fill="auto"/>
            <w:noWrap/>
            <w:vAlign w:val="center"/>
            <w:hideMark/>
          </w:tcPr>
          <w:p w14:paraId="4C7ACCF7" w14:textId="77777777" w:rsidR="00387142" w:rsidRPr="008B6A75" w:rsidRDefault="00387142" w:rsidP="00387142">
            <w:pPr>
              <w:jc w:val="right"/>
              <w:rPr>
                <w:sz w:val="20"/>
                <w:szCs w:val="20"/>
              </w:rPr>
            </w:pPr>
            <w:r w:rsidRPr="008B6A75">
              <w:rPr>
                <w:sz w:val="20"/>
                <w:szCs w:val="20"/>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1E16064F" w14:textId="77777777" w:rsidR="00387142" w:rsidRPr="008B6A75" w:rsidRDefault="00387142" w:rsidP="00387142">
            <w:pPr>
              <w:jc w:val="right"/>
              <w:rPr>
                <w:sz w:val="20"/>
                <w:szCs w:val="20"/>
              </w:rPr>
            </w:pPr>
            <w:r w:rsidRPr="008B6A75">
              <w:rPr>
                <w:sz w:val="20"/>
                <w:szCs w:val="20"/>
              </w:rPr>
              <w:t>0,00</w:t>
            </w:r>
          </w:p>
        </w:tc>
      </w:tr>
      <w:tr w:rsidR="00387142" w:rsidRPr="008B6A75" w14:paraId="0F5A753D" w14:textId="77777777" w:rsidTr="00387142">
        <w:trPr>
          <w:trHeight w:val="2295"/>
        </w:trPr>
        <w:tc>
          <w:tcPr>
            <w:tcW w:w="272" w:type="dxa"/>
            <w:tcBorders>
              <w:top w:val="nil"/>
              <w:left w:val="nil"/>
              <w:bottom w:val="nil"/>
              <w:right w:val="single" w:sz="4" w:space="0" w:color="auto"/>
            </w:tcBorders>
            <w:shd w:val="clear" w:color="auto" w:fill="auto"/>
            <w:noWrap/>
            <w:vAlign w:val="bottom"/>
            <w:hideMark/>
          </w:tcPr>
          <w:p w14:paraId="77069BEB"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53986DEC" w14:textId="77777777" w:rsidR="00387142" w:rsidRPr="008B6A75" w:rsidRDefault="00387142" w:rsidP="00387142">
            <w:pPr>
              <w:rPr>
                <w:bCs/>
                <w:sz w:val="20"/>
                <w:szCs w:val="20"/>
              </w:rPr>
            </w:pPr>
            <w:r w:rsidRPr="008B6A75">
              <w:rPr>
                <w:bCs/>
                <w:sz w:val="20"/>
                <w:szCs w:val="20"/>
              </w:rPr>
              <w:t>Обеспечение комплексного развития сельских территорий (формирование современного облика сельских территорий, направленных на создание и развитие инфраструктуры в сельской местности), государственной программы Новосибирской области "Комплексное развитие сельских территорий в Новосибирской области"</w:t>
            </w:r>
          </w:p>
        </w:tc>
        <w:tc>
          <w:tcPr>
            <w:tcW w:w="1559" w:type="dxa"/>
            <w:tcBorders>
              <w:top w:val="nil"/>
              <w:left w:val="single" w:sz="4" w:space="0" w:color="auto"/>
              <w:bottom w:val="single" w:sz="4" w:space="0" w:color="auto"/>
              <w:right w:val="nil"/>
            </w:tcBorders>
            <w:shd w:val="clear" w:color="auto" w:fill="auto"/>
            <w:noWrap/>
            <w:vAlign w:val="center"/>
            <w:hideMark/>
          </w:tcPr>
          <w:p w14:paraId="19BDD1C6" w14:textId="77777777" w:rsidR="00387142" w:rsidRPr="008B6A75" w:rsidRDefault="00387142" w:rsidP="00387142">
            <w:pPr>
              <w:jc w:val="center"/>
              <w:rPr>
                <w:bCs/>
                <w:sz w:val="20"/>
                <w:szCs w:val="20"/>
              </w:rPr>
            </w:pPr>
            <w:r w:rsidRPr="008B6A75">
              <w:rPr>
                <w:bCs/>
                <w:sz w:val="20"/>
                <w:szCs w:val="20"/>
              </w:rPr>
              <w:t>06.0.00.L5766</w:t>
            </w:r>
          </w:p>
        </w:tc>
        <w:tc>
          <w:tcPr>
            <w:tcW w:w="850" w:type="dxa"/>
            <w:tcBorders>
              <w:top w:val="nil"/>
              <w:left w:val="single" w:sz="4" w:space="0" w:color="auto"/>
              <w:bottom w:val="single" w:sz="4" w:space="0" w:color="auto"/>
              <w:right w:val="nil"/>
            </w:tcBorders>
            <w:shd w:val="clear" w:color="auto" w:fill="auto"/>
            <w:noWrap/>
            <w:vAlign w:val="center"/>
            <w:hideMark/>
          </w:tcPr>
          <w:p w14:paraId="22256702" w14:textId="77777777" w:rsidR="00387142" w:rsidRPr="008B6A75" w:rsidRDefault="00387142" w:rsidP="00387142">
            <w:pPr>
              <w:jc w:val="center"/>
              <w:rPr>
                <w:bCs/>
                <w:sz w:val="20"/>
                <w:szCs w:val="20"/>
              </w:rPr>
            </w:pPr>
            <w:r w:rsidRPr="008B6A75">
              <w:rPr>
                <w:bCs/>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0FED758C" w14:textId="77777777" w:rsidR="00387142" w:rsidRPr="008B6A75" w:rsidRDefault="00387142" w:rsidP="00387142">
            <w:pPr>
              <w:jc w:val="center"/>
              <w:rPr>
                <w:bCs/>
                <w:sz w:val="20"/>
                <w:szCs w:val="20"/>
              </w:rPr>
            </w:pPr>
            <w:r w:rsidRPr="008B6A75">
              <w:rPr>
                <w:bCs/>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23C329B8" w14:textId="77777777" w:rsidR="00387142" w:rsidRPr="008B6A75" w:rsidRDefault="00387142" w:rsidP="00387142">
            <w:pPr>
              <w:jc w:val="center"/>
              <w:rPr>
                <w:bCs/>
                <w:sz w:val="20"/>
                <w:szCs w:val="20"/>
              </w:rPr>
            </w:pPr>
            <w:r w:rsidRPr="008B6A75">
              <w:rPr>
                <w:bCs/>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124319E" w14:textId="77777777" w:rsidR="00387142" w:rsidRPr="008B6A75" w:rsidRDefault="00387142" w:rsidP="00387142">
            <w:pPr>
              <w:jc w:val="right"/>
              <w:rPr>
                <w:bCs/>
                <w:sz w:val="20"/>
                <w:szCs w:val="20"/>
              </w:rPr>
            </w:pPr>
            <w:r w:rsidRPr="008B6A75">
              <w:rPr>
                <w:bCs/>
                <w:sz w:val="20"/>
                <w:szCs w:val="20"/>
              </w:rPr>
              <w:t>45 731 707,91</w:t>
            </w:r>
          </w:p>
        </w:tc>
        <w:tc>
          <w:tcPr>
            <w:tcW w:w="851" w:type="dxa"/>
            <w:tcBorders>
              <w:top w:val="nil"/>
              <w:left w:val="single" w:sz="4" w:space="0" w:color="auto"/>
              <w:bottom w:val="single" w:sz="4" w:space="0" w:color="auto"/>
              <w:right w:val="nil"/>
            </w:tcBorders>
            <w:shd w:val="clear" w:color="auto" w:fill="auto"/>
            <w:noWrap/>
            <w:vAlign w:val="center"/>
            <w:hideMark/>
          </w:tcPr>
          <w:p w14:paraId="34902F99" w14:textId="77777777" w:rsidR="00387142" w:rsidRPr="008B6A75" w:rsidRDefault="00387142" w:rsidP="00387142">
            <w:pPr>
              <w:jc w:val="right"/>
              <w:rPr>
                <w:bCs/>
                <w:sz w:val="20"/>
                <w:szCs w:val="20"/>
              </w:rPr>
            </w:pPr>
            <w:r w:rsidRPr="008B6A75">
              <w:rPr>
                <w:bCs/>
                <w:sz w:val="20"/>
                <w:szCs w:val="20"/>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1A7ED913" w14:textId="77777777" w:rsidR="00387142" w:rsidRPr="008B6A75" w:rsidRDefault="00387142" w:rsidP="00387142">
            <w:pPr>
              <w:jc w:val="right"/>
              <w:rPr>
                <w:bCs/>
                <w:sz w:val="20"/>
                <w:szCs w:val="20"/>
              </w:rPr>
            </w:pPr>
            <w:r w:rsidRPr="008B6A75">
              <w:rPr>
                <w:bCs/>
                <w:sz w:val="20"/>
                <w:szCs w:val="20"/>
              </w:rPr>
              <w:t>0,00</w:t>
            </w:r>
          </w:p>
        </w:tc>
      </w:tr>
      <w:tr w:rsidR="00387142" w:rsidRPr="008B6A75" w14:paraId="2FE37140" w14:textId="77777777" w:rsidTr="00387142">
        <w:trPr>
          <w:trHeight w:val="585"/>
        </w:trPr>
        <w:tc>
          <w:tcPr>
            <w:tcW w:w="272" w:type="dxa"/>
            <w:tcBorders>
              <w:top w:val="nil"/>
              <w:left w:val="nil"/>
              <w:bottom w:val="nil"/>
              <w:right w:val="single" w:sz="4" w:space="0" w:color="auto"/>
            </w:tcBorders>
            <w:shd w:val="clear" w:color="auto" w:fill="auto"/>
            <w:noWrap/>
            <w:vAlign w:val="bottom"/>
            <w:hideMark/>
          </w:tcPr>
          <w:p w14:paraId="1C5055A4"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50F23C0F" w14:textId="77777777" w:rsidR="00387142" w:rsidRPr="008B6A75" w:rsidRDefault="00387142" w:rsidP="00387142">
            <w:pPr>
              <w:rPr>
                <w:sz w:val="20"/>
                <w:szCs w:val="20"/>
              </w:rPr>
            </w:pPr>
            <w:r w:rsidRPr="008B6A75">
              <w:rPr>
                <w:sz w:val="20"/>
                <w:szCs w:val="20"/>
              </w:rPr>
              <w:t>Закупка товаров, работ и услуг для обеспечения государственных (муниципальных) нужд</w:t>
            </w:r>
          </w:p>
        </w:tc>
        <w:tc>
          <w:tcPr>
            <w:tcW w:w="1559" w:type="dxa"/>
            <w:tcBorders>
              <w:top w:val="nil"/>
              <w:left w:val="single" w:sz="4" w:space="0" w:color="auto"/>
              <w:bottom w:val="single" w:sz="4" w:space="0" w:color="auto"/>
              <w:right w:val="nil"/>
            </w:tcBorders>
            <w:shd w:val="clear" w:color="auto" w:fill="auto"/>
            <w:noWrap/>
            <w:vAlign w:val="center"/>
            <w:hideMark/>
          </w:tcPr>
          <w:p w14:paraId="77F6F03A" w14:textId="77777777" w:rsidR="00387142" w:rsidRPr="008B6A75" w:rsidRDefault="00387142" w:rsidP="00387142">
            <w:pPr>
              <w:jc w:val="center"/>
              <w:rPr>
                <w:sz w:val="20"/>
                <w:szCs w:val="20"/>
              </w:rPr>
            </w:pPr>
            <w:r w:rsidRPr="008B6A75">
              <w:rPr>
                <w:sz w:val="20"/>
                <w:szCs w:val="20"/>
              </w:rPr>
              <w:t>06.0.00.L5766</w:t>
            </w:r>
          </w:p>
        </w:tc>
        <w:tc>
          <w:tcPr>
            <w:tcW w:w="850" w:type="dxa"/>
            <w:tcBorders>
              <w:top w:val="nil"/>
              <w:left w:val="single" w:sz="4" w:space="0" w:color="auto"/>
              <w:bottom w:val="single" w:sz="4" w:space="0" w:color="auto"/>
              <w:right w:val="nil"/>
            </w:tcBorders>
            <w:shd w:val="clear" w:color="auto" w:fill="auto"/>
            <w:noWrap/>
            <w:vAlign w:val="center"/>
            <w:hideMark/>
          </w:tcPr>
          <w:p w14:paraId="576AC6AC" w14:textId="77777777" w:rsidR="00387142" w:rsidRPr="008B6A75" w:rsidRDefault="00387142" w:rsidP="00387142">
            <w:pPr>
              <w:jc w:val="center"/>
              <w:rPr>
                <w:sz w:val="20"/>
                <w:szCs w:val="20"/>
              </w:rPr>
            </w:pPr>
            <w:r w:rsidRPr="008B6A75">
              <w:rPr>
                <w:sz w:val="20"/>
                <w:szCs w:val="20"/>
              </w:rPr>
              <w:t>200</w:t>
            </w:r>
          </w:p>
        </w:tc>
        <w:tc>
          <w:tcPr>
            <w:tcW w:w="567" w:type="dxa"/>
            <w:tcBorders>
              <w:top w:val="nil"/>
              <w:left w:val="single" w:sz="4" w:space="0" w:color="auto"/>
              <w:bottom w:val="single" w:sz="4" w:space="0" w:color="auto"/>
              <w:right w:val="nil"/>
            </w:tcBorders>
            <w:shd w:val="clear" w:color="auto" w:fill="auto"/>
            <w:noWrap/>
            <w:vAlign w:val="center"/>
            <w:hideMark/>
          </w:tcPr>
          <w:p w14:paraId="36549A03" w14:textId="77777777" w:rsidR="00387142" w:rsidRPr="008B6A75" w:rsidRDefault="00387142" w:rsidP="00387142">
            <w:pPr>
              <w:jc w:val="center"/>
              <w:rPr>
                <w:sz w:val="20"/>
                <w:szCs w:val="20"/>
              </w:rPr>
            </w:pPr>
            <w:r w:rsidRPr="008B6A75">
              <w:rPr>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66A543A6" w14:textId="77777777" w:rsidR="00387142" w:rsidRPr="008B6A75" w:rsidRDefault="00387142" w:rsidP="00387142">
            <w:pPr>
              <w:jc w:val="center"/>
              <w:rPr>
                <w:sz w:val="20"/>
                <w:szCs w:val="20"/>
              </w:rPr>
            </w:pPr>
            <w:r w:rsidRPr="008B6A75">
              <w:rPr>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D2119FC" w14:textId="77777777" w:rsidR="00387142" w:rsidRPr="008B6A75" w:rsidRDefault="00387142" w:rsidP="00387142">
            <w:pPr>
              <w:jc w:val="right"/>
              <w:rPr>
                <w:sz w:val="20"/>
                <w:szCs w:val="20"/>
              </w:rPr>
            </w:pPr>
            <w:r w:rsidRPr="008B6A75">
              <w:rPr>
                <w:sz w:val="20"/>
                <w:szCs w:val="20"/>
              </w:rPr>
              <w:t>26 934 880,26</w:t>
            </w:r>
          </w:p>
        </w:tc>
        <w:tc>
          <w:tcPr>
            <w:tcW w:w="851" w:type="dxa"/>
            <w:tcBorders>
              <w:top w:val="nil"/>
              <w:left w:val="single" w:sz="4" w:space="0" w:color="auto"/>
              <w:bottom w:val="single" w:sz="4" w:space="0" w:color="auto"/>
              <w:right w:val="nil"/>
            </w:tcBorders>
            <w:shd w:val="clear" w:color="auto" w:fill="auto"/>
            <w:noWrap/>
            <w:vAlign w:val="center"/>
            <w:hideMark/>
          </w:tcPr>
          <w:p w14:paraId="29EEBADB" w14:textId="77777777" w:rsidR="00387142" w:rsidRPr="008B6A75" w:rsidRDefault="00387142" w:rsidP="00387142">
            <w:pPr>
              <w:jc w:val="right"/>
              <w:rPr>
                <w:sz w:val="20"/>
                <w:szCs w:val="20"/>
              </w:rPr>
            </w:pPr>
            <w:r w:rsidRPr="008B6A75">
              <w:rPr>
                <w:sz w:val="20"/>
                <w:szCs w:val="20"/>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46832306" w14:textId="77777777" w:rsidR="00387142" w:rsidRPr="008B6A75" w:rsidRDefault="00387142" w:rsidP="00387142">
            <w:pPr>
              <w:jc w:val="right"/>
              <w:rPr>
                <w:sz w:val="20"/>
                <w:szCs w:val="20"/>
              </w:rPr>
            </w:pPr>
            <w:r w:rsidRPr="008B6A75">
              <w:rPr>
                <w:sz w:val="20"/>
                <w:szCs w:val="20"/>
              </w:rPr>
              <w:t>0,00</w:t>
            </w:r>
          </w:p>
        </w:tc>
      </w:tr>
      <w:tr w:rsidR="00387142" w:rsidRPr="008B6A75" w14:paraId="4CB57F4E" w14:textId="77777777" w:rsidTr="00387142">
        <w:trPr>
          <w:trHeight w:val="870"/>
        </w:trPr>
        <w:tc>
          <w:tcPr>
            <w:tcW w:w="272" w:type="dxa"/>
            <w:tcBorders>
              <w:top w:val="nil"/>
              <w:left w:val="nil"/>
              <w:bottom w:val="nil"/>
              <w:right w:val="single" w:sz="4" w:space="0" w:color="auto"/>
            </w:tcBorders>
            <w:shd w:val="clear" w:color="auto" w:fill="auto"/>
            <w:noWrap/>
            <w:vAlign w:val="bottom"/>
            <w:hideMark/>
          </w:tcPr>
          <w:p w14:paraId="437C7672"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18D8D739" w14:textId="77777777" w:rsidR="00387142" w:rsidRPr="008B6A75" w:rsidRDefault="00387142" w:rsidP="00387142">
            <w:pPr>
              <w:rPr>
                <w:sz w:val="20"/>
                <w:szCs w:val="20"/>
              </w:rPr>
            </w:pPr>
            <w:r w:rsidRPr="008B6A75">
              <w:rPr>
                <w:sz w:val="20"/>
                <w:szCs w:val="20"/>
              </w:rPr>
              <w:t>Иные закупки товаров, работ и услуг для обеспечения государственных (муниципальных) нужд</w:t>
            </w:r>
          </w:p>
        </w:tc>
        <w:tc>
          <w:tcPr>
            <w:tcW w:w="1559" w:type="dxa"/>
            <w:tcBorders>
              <w:top w:val="nil"/>
              <w:left w:val="single" w:sz="4" w:space="0" w:color="auto"/>
              <w:bottom w:val="single" w:sz="4" w:space="0" w:color="auto"/>
              <w:right w:val="nil"/>
            </w:tcBorders>
            <w:shd w:val="clear" w:color="auto" w:fill="auto"/>
            <w:noWrap/>
            <w:vAlign w:val="center"/>
            <w:hideMark/>
          </w:tcPr>
          <w:p w14:paraId="51C55716" w14:textId="77777777" w:rsidR="00387142" w:rsidRPr="008B6A75" w:rsidRDefault="00387142" w:rsidP="00387142">
            <w:pPr>
              <w:jc w:val="center"/>
              <w:rPr>
                <w:sz w:val="20"/>
                <w:szCs w:val="20"/>
              </w:rPr>
            </w:pPr>
            <w:r w:rsidRPr="008B6A75">
              <w:rPr>
                <w:sz w:val="20"/>
                <w:szCs w:val="20"/>
              </w:rPr>
              <w:t>06.0.00.L5766</w:t>
            </w:r>
          </w:p>
        </w:tc>
        <w:tc>
          <w:tcPr>
            <w:tcW w:w="850" w:type="dxa"/>
            <w:tcBorders>
              <w:top w:val="nil"/>
              <w:left w:val="single" w:sz="4" w:space="0" w:color="auto"/>
              <w:bottom w:val="single" w:sz="4" w:space="0" w:color="auto"/>
              <w:right w:val="nil"/>
            </w:tcBorders>
            <w:shd w:val="clear" w:color="auto" w:fill="auto"/>
            <w:noWrap/>
            <w:vAlign w:val="center"/>
            <w:hideMark/>
          </w:tcPr>
          <w:p w14:paraId="1AAAB55F" w14:textId="77777777" w:rsidR="00387142" w:rsidRPr="008B6A75" w:rsidRDefault="00387142" w:rsidP="00387142">
            <w:pPr>
              <w:jc w:val="center"/>
              <w:rPr>
                <w:sz w:val="20"/>
                <w:szCs w:val="20"/>
              </w:rPr>
            </w:pPr>
            <w:r w:rsidRPr="008B6A75">
              <w:rPr>
                <w:sz w:val="20"/>
                <w:szCs w:val="20"/>
              </w:rPr>
              <w:t>240</w:t>
            </w:r>
          </w:p>
        </w:tc>
        <w:tc>
          <w:tcPr>
            <w:tcW w:w="567" w:type="dxa"/>
            <w:tcBorders>
              <w:top w:val="nil"/>
              <w:left w:val="single" w:sz="4" w:space="0" w:color="auto"/>
              <w:bottom w:val="single" w:sz="4" w:space="0" w:color="auto"/>
              <w:right w:val="nil"/>
            </w:tcBorders>
            <w:shd w:val="clear" w:color="auto" w:fill="auto"/>
            <w:noWrap/>
            <w:vAlign w:val="center"/>
            <w:hideMark/>
          </w:tcPr>
          <w:p w14:paraId="21FCB0D7" w14:textId="77777777" w:rsidR="00387142" w:rsidRPr="008B6A75" w:rsidRDefault="00387142" w:rsidP="00387142">
            <w:pPr>
              <w:jc w:val="center"/>
              <w:rPr>
                <w:sz w:val="20"/>
                <w:szCs w:val="20"/>
              </w:rPr>
            </w:pPr>
            <w:r w:rsidRPr="008B6A75">
              <w:rPr>
                <w:sz w:val="20"/>
                <w:szCs w:val="20"/>
              </w:rPr>
              <w:t>05</w:t>
            </w:r>
          </w:p>
        </w:tc>
        <w:tc>
          <w:tcPr>
            <w:tcW w:w="567" w:type="dxa"/>
            <w:tcBorders>
              <w:top w:val="nil"/>
              <w:left w:val="single" w:sz="4" w:space="0" w:color="auto"/>
              <w:bottom w:val="single" w:sz="4" w:space="0" w:color="auto"/>
              <w:right w:val="nil"/>
            </w:tcBorders>
            <w:shd w:val="clear" w:color="auto" w:fill="auto"/>
            <w:noWrap/>
            <w:vAlign w:val="center"/>
            <w:hideMark/>
          </w:tcPr>
          <w:p w14:paraId="7618EBD6" w14:textId="77777777" w:rsidR="00387142" w:rsidRPr="008B6A75" w:rsidRDefault="00387142" w:rsidP="00387142">
            <w:pPr>
              <w:jc w:val="center"/>
              <w:rPr>
                <w:sz w:val="20"/>
                <w:szCs w:val="20"/>
              </w:rPr>
            </w:pPr>
            <w:r w:rsidRPr="008B6A75">
              <w:rPr>
                <w:sz w:val="20"/>
                <w:szCs w:val="20"/>
              </w:rPr>
              <w:t>03</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51C78BD" w14:textId="77777777" w:rsidR="00387142" w:rsidRPr="008B6A75" w:rsidRDefault="00387142" w:rsidP="00387142">
            <w:pPr>
              <w:jc w:val="right"/>
              <w:rPr>
                <w:sz w:val="20"/>
                <w:szCs w:val="20"/>
              </w:rPr>
            </w:pPr>
            <w:r w:rsidRPr="008B6A75">
              <w:rPr>
                <w:sz w:val="20"/>
                <w:szCs w:val="20"/>
              </w:rPr>
              <w:t>17 207,91</w:t>
            </w:r>
          </w:p>
        </w:tc>
        <w:tc>
          <w:tcPr>
            <w:tcW w:w="851" w:type="dxa"/>
            <w:tcBorders>
              <w:top w:val="nil"/>
              <w:left w:val="single" w:sz="4" w:space="0" w:color="auto"/>
              <w:bottom w:val="single" w:sz="4" w:space="0" w:color="auto"/>
              <w:right w:val="nil"/>
            </w:tcBorders>
            <w:shd w:val="clear" w:color="auto" w:fill="auto"/>
            <w:noWrap/>
            <w:vAlign w:val="center"/>
            <w:hideMark/>
          </w:tcPr>
          <w:p w14:paraId="2050B837" w14:textId="77777777" w:rsidR="00387142" w:rsidRPr="008B6A75" w:rsidRDefault="00387142" w:rsidP="00387142">
            <w:pPr>
              <w:jc w:val="right"/>
              <w:rPr>
                <w:sz w:val="20"/>
                <w:szCs w:val="20"/>
              </w:rPr>
            </w:pPr>
            <w:r w:rsidRPr="008B6A75">
              <w:rPr>
                <w:sz w:val="20"/>
                <w:szCs w:val="20"/>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53B7C961" w14:textId="77777777" w:rsidR="00387142" w:rsidRPr="008B6A75" w:rsidRDefault="00387142" w:rsidP="00387142">
            <w:pPr>
              <w:jc w:val="right"/>
              <w:rPr>
                <w:sz w:val="20"/>
                <w:szCs w:val="20"/>
              </w:rPr>
            </w:pPr>
            <w:r w:rsidRPr="008B6A75">
              <w:rPr>
                <w:sz w:val="20"/>
                <w:szCs w:val="20"/>
              </w:rPr>
              <w:t>0,00</w:t>
            </w:r>
          </w:p>
        </w:tc>
      </w:tr>
      <w:tr w:rsidR="00387142" w:rsidRPr="008B6A75" w14:paraId="14E3BEF2" w14:textId="77777777" w:rsidTr="00387142">
        <w:trPr>
          <w:trHeight w:val="870"/>
        </w:trPr>
        <w:tc>
          <w:tcPr>
            <w:tcW w:w="272" w:type="dxa"/>
            <w:tcBorders>
              <w:top w:val="nil"/>
              <w:left w:val="nil"/>
              <w:bottom w:val="nil"/>
              <w:right w:val="single" w:sz="4" w:space="0" w:color="auto"/>
            </w:tcBorders>
            <w:shd w:val="clear" w:color="auto" w:fill="auto"/>
            <w:noWrap/>
            <w:vAlign w:val="bottom"/>
            <w:hideMark/>
          </w:tcPr>
          <w:p w14:paraId="69E1B0D8"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124A42B0" w14:textId="77777777" w:rsidR="00387142" w:rsidRPr="008B6A75" w:rsidRDefault="00387142" w:rsidP="00387142">
            <w:pPr>
              <w:rPr>
                <w:sz w:val="20"/>
                <w:szCs w:val="20"/>
              </w:rPr>
            </w:pPr>
            <w:r w:rsidRPr="008B6A75">
              <w:rPr>
                <w:sz w:val="20"/>
                <w:szCs w:val="20"/>
              </w:rPr>
              <w:t>Иные закупки товаров, работ и услуг для обеспечения государственных (муниципальных) нужд</w:t>
            </w:r>
          </w:p>
        </w:tc>
        <w:tc>
          <w:tcPr>
            <w:tcW w:w="1559" w:type="dxa"/>
            <w:tcBorders>
              <w:top w:val="nil"/>
              <w:left w:val="single" w:sz="4" w:space="0" w:color="auto"/>
              <w:bottom w:val="single" w:sz="4" w:space="0" w:color="auto"/>
              <w:right w:val="nil"/>
            </w:tcBorders>
            <w:shd w:val="clear" w:color="auto" w:fill="auto"/>
            <w:noWrap/>
            <w:vAlign w:val="center"/>
            <w:hideMark/>
          </w:tcPr>
          <w:p w14:paraId="45ED02D9" w14:textId="77777777" w:rsidR="00387142" w:rsidRPr="008B6A75" w:rsidRDefault="00387142" w:rsidP="00387142">
            <w:pPr>
              <w:jc w:val="center"/>
              <w:rPr>
                <w:sz w:val="20"/>
                <w:szCs w:val="20"/>
              </w:rPr>
            </w:pPr>
            <w:r w:rsidRPr="008B6A75">
              <w:rPr>
                <w:sz w:val="20"/>
                <w:szCs w:val="20"/>
              </w:rPr>
              <w:t>06.0.00.L5766</w:t>
            </w:r>
          </w:p>
        </w:tc>
        <w:tc>
          <w:tcPr>
            <w:tcW w:w="850" w:type="dxa"/>
            <w:tcBorders>
              <w:top w:val="nil"/>
              <w:left w:val="single" w:sz="4" w:space="0" w:color="auto"/>
              <w:bottom w:val="single" w:sz="4" w:space="0" w:color="auto"/>
              <w:right w:val="nil"/>
            </w:tcBorders>
            <w:shd w:val="clear" w:color="auto" w:fill="auto"/>
            <w:noWrap/>
            <w:vAlign w:val="center"/>
            <w:hideMark/>
          </w:tcPr>
          <w:p w14:paraId="30931F6A" w14:textId="77777777" w:rsidR="00387142" w:rsidRPr="008B6A75" w:rsidRDefault="00387142" w:rsidP="00387142">
            <w:pPr>
              <w:jc w:val="center"/>
              <w:rPr>
                <w:sz w:val="20"/>
                <w:szCs w:val="20"/>
              </w:rPr>
            </w:pPr>
            <w:r w:rsidRPr="008B6A75">
              <w:rPr>
                <w:sz w:val="20"/>
                <w:szCs w:val="20"/>
              </w:rPr>
              <w:t>240</w:t>
            </w:r>
          </w:p>
        </w:tc>
        <w:tc>
          <w:tcPr>
            <w:tcW w:w="567" w:type="dxa"/>
            <w:tcBorders>
              <w:top w:val="nil"/>
              <w:left w:val="single" w:sz="4" w:space="0" w:color="auto"/>
              <w:bottom w:val="single" w:sz="4" w:space="0" w:color="auto"/>
              <w:right w:val="nil"/>
            </w:tcBorders>
            <w:shd w:val="clear" w:color="auto" w:fill="auto"/>
            <w:noWrap/>
            <w:vAlign w:val="center"/>
            <w:hideMark/>
          </w:tcPr>
          <w:p w14:paraId="17290485" w14:textId="77777777" w:rsidR="00387142" w:rsidRPr="008B6A75" w:rsidRDefault="00387142" w:rsidP="00387142">
            <w:pPr>
              <w:jc w:val="center"/>
              <w:rPr>
                <w:sz w:val="20"/>
                <w:szCs w:val="20"/>
              </w:rPr>
            </w:pPr>
            <w:r w:rsidRPr="008B6A75">
              <w:rPr>
                <w:sz w:val="20"/>
                <w:szCs w:val="20"/>
              </w:rPr>
              <w:t>07</w:t>
            </w:r>
          </w:p>
        </w:tc>
        <w:tc>
          <w:tcPr>
            <w:tcW w:w="567" w:type="dxa"/>
            <w:tcBorders>
              <w:top w:val="nil"/>
              <w:left w:val="single" w:sz="4" w:space="0" w:color="auto"/>
              <w:bottom w:val="single" w:sz="4" w:space="0" w:color="auto"/>
              <w:right w:val="nil"/>
            </w:tcBorders>
            <w:shd w:val="clear" w:color="auto" w:fill="auto"/>
            <w:noWrap/>
            <w:vAlign w:val="center"/>
            <w:hideMark/>
          </w:tcPr>
          <w:p w14:paraId="1B9F2215" w14:textId="77777777" w:rsidR="00387142" w:rsidRPr="008B6A75" w:rsidRDefault="00387142" w:rsidP="00387142">
            <w:pPr>
              <w:jc w:val="center"/>
              <w:rPr>
                <w:sz w:val="20"/>
                <w:szCs w:val="20"/>
              </w:rPr>
            </w:pPr>
            <w:r w:rsidRPr="008B6A75">
              <w:rPr>
                <w:sz w:val="20"/>
                <w:szCs w:val="20"/>
              </w:rPr>
              <w:t>02</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2EB4935" w14:textId="77777777" w:rsidR="00387142" w:rsidRPr="008B6A75" w:rsidRDefault="00387142" w:rsidP="00387142">
            <w:pPr>
              <w:jc w:val="right"/>
              <w:rPr>
                <w:sz w:val="20"/>
                <w:szCs w:val="20"/>
              </w:rPr>
            </w:pPr>
            <w:r w:rsidRPr="008B6A75">
              <w:rPr>
                <w:sz w:val="20"/>
                <w:szCs w:val="20"/>
              </w:rPr>
              <w:t>26 917 672,35</w:t>
            </w:r>
          </w:p>
        </w:tc>
        <w:tc>
          <w:tcPr>
            <w:tcW w:w="851" w:type="dxa"/>
            <w:tcBorders>
              <w:top w:val="nil"/>
              <w:left w:val="single" w:sz="4" w:space="0" w:color="auto"/>
              <w:bottom w:val="single" w:sz="4" w:space="0" w:color="auto"/>
              <w:right w:val="nil"/>
            </w:tcBorders>
            <w:shd w:val="clear" w:color="auto" w:fill="auto"/>
            <w:noWrap/>
            <w:vAlign w:val="center"/>
            <w:hideMark/>
          </w:tcPr>
          <w:p w14:paraId="57645E54" w14:textId="77777777" w:rsidR="00387142" w:rsidRPr="008B6A75" w:rsidRDefault="00387142" w:rsidP="00387142">
            <w:pPr>
              <w:jc w:val="right"/>
              <w:rPr>
                <w:sz w:val="20"/>
                <w:szCs w:val="20"/>
              </w:rPr>
            </w:pPr>
            <w:r w:rsidRPr="008B6A75">
              <w:rPr>
                <w:sz w:val="20"/>
                <w:szCs w:val="20"/>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4083A1D2" w14:textId="77777777" w:rsidR="00387142" w:rsidRPr="008B6A75" w:rsidRDefault="00387142" w:rsidP="00387142">
            <w:pPr>
              <w:jc w:val="right"/>
              <w:rPr>
                <w:sz w:val="20"/>
                <w:szCs w:val="20"/>
              </w:rPr>
            </w:pPr>
            <w:r w:rsidRPr="008B6A75">
              <w:rPr>
                <w:sz w:val="20"/>
                <w:szCs w:val="20"/>
              </w:rPr>
              <w:t>0,00</w:t>
            </w:r>
          </w:p>
        </w:tc>
      </w:tr>
      <w:tr w:rsidR="00387142" w:rsidRPr="008B6A75" w14:paraId="1C1F6148" w14:textId="77777777" w:rsidTr="00387142">
        <w:trPr>
          <w:trHeight w:val="300"/>
        </w:trPr>
        <w:tc>
          <w:tcPr>
            <w:tcW w:w="272" w:type="dxa"/>
            <w:tcBorders>
              <w:top w:val="nil"/>
              <w:left w:val="nil"/>
              <w:bottom w:val="nil"/>
              <w:right w:val="single" w:sz="4" w:space="0" w:color="auto"/>
            </w:tcBorders>
            <w:shd w:val="clear" w:color="auto" w:fill="auto"/>
            <w:noWrap/>
            <w:vAlign w:val="bottom"/>
            <w:hideMark/>
          </w:tcPr>
          <w:p w14:paraId="00211299"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0FD33267" w14:textId="77777777" w:rsidR="00387142" w:rsidRPr="008B6A75" w:rsidRDefault="00387142" w:rsidP="00387142">
            <w:pPr>
              <w:rPr>
                <w:sz w:val="20"/>
                <w:szCs w:val="20"/>
              </w:rPr>
            </w:pPr>
            <w:r w:rsidRPr="008B6A75">
              <w:rPr>
                <w:sz w:val="20"/>
                <w:szCs w:val="20"/>
              </w:rPr>
              <w:t>Межбюджетные трансферты</w:t>
            </w:r>
          </w:p>
        </w:tc>
        <w:tc>
          <w:tcPr>
            <w:tcW w:w="1559" w:type="dxa"/>
            <w:tcBorders>
              <w:top w:val="nil"/>
              <w:left w:val="single" w:sz="4" w:space="0" w:color="auto"/>
              <w:bottom w:val="single" w:sz="4" w:space="0" w:color="auto"/>
              <w:right w:val="nil"/>
            </w:tcBorders>
            <w:shd w:val="clear" w:color="auto" w:fill="auto"/>
            <w:noWrap/>
            <w:vAlign w:val="center"/>
            <w:hideMark/>
          </w:tcPr>
          <w:p w14:paraId="34416373" w14:textId="77777777" w:rsidR="00387142" w:rsidRPr="008B6A75" w:rsidRDefault="00387142" w:rsidP="00387142">
            <w:pPr>
              <w:jc w:val="center"/>
              <w:rPr>
                <w:sz w:val="20"/>
                <w:szCs w:val="20"/>
              </w:rPr>
            </w:pPr>
            <w:r w:rsidRPr="008B6A75">
              <w:rPr>
                <w:sz w:val="20"/>
                <w:szCs w:val="20"/>
              </w:rPr>
              <w:t>06.0.00.L5766</w:t>
            </w:r>
          </w:p>
        </w:tc>
        <w:tc>
          <w:tcPr>
            <w:tcW w:w="850" w:type="dxa"/>
            <w:tcBorders>
              <w:top w:val="nil"/>
              <w:left w:val="single" w:sz="4" w:space="0" w:color="auto"/>
              <w:bottom w:val="single" w:sz="4" w:space="0" w:color="auto"/>
              <w:right w:val="nil"/>
            </w:tcBorders>
            <w:shd w:val="clear" w:color="auto" w:fill="auto"/>
            <w:noWrap/>
            <w:vAlign w:val="center"/>
            <w:hideMark/>
          </w:tcPr>
          <w:p w14:paraId="4B91064E" w14:textId="77777777" w:rsidR="00387142" w:rsidRPr="008B6A75" w:rsidRDefault="00387142" w:rsidP="00387142">
            <w:pPr>
              <w:jc w:val="center"/>
              <w:rPr>
                <w:sz w:val="20"/>
                <w:szCs w:val="20"/>
              </w:rPr>
            </w:pPr>
            <w:r w:rsidRPr="008B6A75">
              <w:rPr>
                <w:sz w:val="20"/>
                <w:szCs w:val="20"/>
              </w:rPr>
              <w:t>500</w:t>
            </w:r>
          </w:p>
        </w:tc>
        <w:tc>
          <w:tcPr>
            <w:tcW w:w="567" w:type="dxa"/>
            <w:tcBorders>
              <w:top w:val="nil"/>
              <w:left w:val="single" w:sz="4" w:space="0" w:color="auto"/>
              <w:bottom w:val="single" w:sz="4" w:space="0" w:color="auto"/>
              <w:right w:val="nil"/>
            </w:tcBorders>
            <w:shd w:val="clear" w:color="auto" w:fill="auto"/>
            <w:noWrap/>
            <w:vAlign w:val="center"/>
            <w:hideMark/>
          </w:tcPr>
          <w:p w14:paraId="15ABADFD" w14:textId="77777777" w:rsidR="00387142" w:rsidRPr="008B6A75" w:rsidRDefault="00387142" w:rsidP="00387142">
            <w:pPr>
              <w:jc w:val="center"/>
              <w:rPr>
                <w:sz w:val="20"/>
                <w:szCs w:val="20"/>
              </w:rPr>
            </w:pPr>
            <w:r w:rsidRPr="008B6A75">
              <w:rPr>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763E799B" w14:textId="77777777" w:rsidR="00387142" w:rsidRPr="008B6A75" w:rsidRDefault="00387142" w:rsidP="00387142">
            <w:pPr>
              <w:jc w:val="center"/>
              <w:rPr>
                <w:sz w:val="20"/>
                <w:szCs w:val="20"/>
              </w:rPr>
            </w:pPr>
            <w:r w:rsidRPr="008B6A75">
              <w:rPr>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5CC2013" w14:textId="77777777" w:rsidR="00387142" w:rsidRPr="008B6A75" w:rsidRDefault="00387142" w:rsidP="00387142">
            <w:pPr>
              <w:jc w:val="right"/>
              <w:rPr>
                <w:sz w:val="20"/>
                <w:szCs w:val="20"/>
              </w:rPr>
            </w:pPr>
            <w:r w:rsidRPr="008B6A75">
              <w:rPr>
                <w:sz w:val="20"/>
                <w:szCs w:val="20"/>
              </w:rPr>
              <w:t>18 796 827,65</w:t>
            </w:r>
          </w:p>
        </w:tc>
        <w:tc>
          <w:tcPr>
            <w:tcW w:w="851" w:type="dxa"/>
            <w:tcBorders>
              <w:top w:val="nil"/>
              <w:left w:val="single" w:sz="4" w:space="0" w:color="auto"/>
              <w:bottom w:val="single" w:sz="4" w:space="0" w:color="auto"/>
              <w:right w:val="nil"/>
            </w:tcBorders>
            <w:shd w:val="clear" w:color="auto" w:fill="auto"/>
            <w:noWrap/>
            <w:vAlign w:val="center"/>
            <w:hideMark/>
          </w:tcPr>
          <w:p w14:paraId="12F760FB" w14:textId="77777777" w:rsidR="00387142" w:rsidRPr="008B6A75" w:rsidRDefault="00387142" w:rsidP="00387142">
            <w:pPr>
              <w:jc w:val="right"/>
              <w:rPr>
                <w:sz w:val="20"/>
                <w:szCs w:val="20"/>
              </w:rPr>
            </w:pPr>
            <w:r w:rsidRPr="008B6A75">
              <w:rPr>
                <w:sz w:val="20"/>
                <w:szCs w:val="20"/>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37503C20" w14:textId="77777777" w:rsidR="00387142" w:rsidRPr="008B6A75" w:rsidRDefault="00387142" w:rsidP="00387142">
            <w:pPr>
              <w:jc w:val="right"/>
              <w:rPr>
                <w:sz w:val="20"/>
                <w:szCs w:val="20"/>
              </w:rPr>
            </w:pPr>
            <w:r w:rsidRPr="008B6A75">
              <w:rPr>
                <w:sz w:val="20"/>
                <w:szCs w:val="20"/>
              </w:rPr>
              <w:t>0,00</w:t>
            </w:r>
          </w:p>
        </w:tc>
      </w:tr>
      <w:tr w:rsidR="00387142" w:rsidRPr="008B6A75" w14:paraId="65A15D3D" w14:textId="77777777" w:rsidTr="00387142">
        <w:trPr>
          <w:trHeight w:val="300"/>
        </w:trPr>
        <w:tc>
          <w:tcPr>
            <w:tcW w:w="272" w:type="dxa"/>
            <w:tcBorders>
              <w:top w:val="nil"/>
              <w:left w:val="nil"/>
              <w:bottom w:val="nil"/>
              <w:right w:val="single" w:sz="4" w:space="0" w:color="auto"/>
            </w:tcBorders>
            <w:shd w:val="clear" w:color="auto" w:fill="auto"/>
            <w:noWrap/>
            <w:vAlign w:val="bottom"/>
            <w:hideMark/>
          </w:tcPr>
          <w:p w14:paraId="7AE3CFD5"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10A925ED" w14:textId="77777777" w:rsidR="00387142" w:rsidRPr="008B6A75" w:rsidRDefault="00387142" w:rsidP="00387142">
            <w:pPr>
              <w:rPr>
                <w:sz w:val="20"/>
                <w:szCs w:val="20"/>
              </w:rPr>
            </w:pPr>
            <w:r w:rsidRPr="008B6A75">
              <w:rPr>
                <w:sz w:val="20"/>
                <w:szCs w:val="20"/>
              </w:rPr>
              <w:t>Иные межбюджетные трансферты</w:t>
            </w:r>
          </w:p>
        </w:tc>
        <w:tc>
          <w:tcPr>
            <w:tcW w:w="1559" w:type="dxa"/>
            <w:tcBorders>
              <w:top w:val="nil"/>
              <w:left w:val="single" w:sz="4" w:space="0" w:color="auto"/>
              <w:bottom w:val="single" w:sz="4" w:space="0" w:color="auto"/>
              <w:right w:val="nil"/>
            </w:tcBorders>
            <w:shd w:val="clear" w:color="auto" w:fill="auto"/>
            <w:noWrap/>
            <w:vAlign w:val="center"/>
            <w:hideMark/>
          </w:tcPr>
          <w:p w14:paraId="4420BF34" w14:textId="77777777" w:rsidR="00387142" w:rsidRPr="008B6A75" w:rsidRDefault="00387142" w:rsidP="00387142">
            <w:pPr>
              <w:jc w:val="center"/>
              <w:rPr>
                <w:sz w:val="20"/>
                <w:szCs w:val="20"/>
              </w:rPr>
            </w:pPr>
            <w:r w:rsidRPr="008B6A75">
              <w:rPr>
                <w:sz w:val="20"/>
                <w:szCs w:val="20"/>
              </w:rPr>
              <w:t>06.0.00.L5766</w:t>
            </w:r>
          </w:p>
        </w:tc>
        <w:tc>
          <w:tcPr>
            <w:tcW w:w="850" w:type="dxa"/>
            <w:tcBorders>
              <w:top w:val="nil"/>
              <w:left w:val="single" w:sz="4" w:space="0" w:color="auto"/>
              <w:bottom w:val="single" w:sz="4" w:space="0" w:color="auto"/>
              <w:right w:val="nil"/>
            </w:tcBorders>
            <w:shd w:val="clear" w:color="auto" w:fill="auto"/>
            <w:noWrap/>
            <w:vAlign w:val="center"/>
            <w:hideMark/>
          </w:tcPr>
          <w:p w14:paraId="3753FA05" w14:textId="77777777" w:rsidR="00387142" w:rsidRPr="008B6A75" w:rsidRDefault="00387142" w:rsidP="00387142">
            <w:pPr>
              <w:jc w:val="center"/>
              <w:rPr>
                <w:sz w:val="20"/>
                <w:szCs w:val="20"/>
              </w:rPr>
            </w:pPr>
            <w:r w:rsidRPr="008B6A75">
              <w:rPr>
                <w:sz w:val="20"/>
                <w:szCs w:val="20"/>
              </w:rPr>
              <w:t>540</w:t>
            </w:r>
          </w:p>
        </w:tc>
        <w:tc>
          <w:tcPr>
            <w:tcW w:w="567" w:type="dxa"/>
            <w:tcBorders>
              <w:top w:val="nil"/>
              <w:left w:val="single" w:sz="4" w:space="0" w:color="auto"/>
              <w:bottom w:val="single" w:sz="4" w:space="0" w:color="auto"/>
              <w:right w:val="nil"/>
            </w:tcBorders>
            <w:shd w:val="clear" w:color="auto" w:fill="auto"/>
            <w:noWrap/>
            <w:vAlign w:val="center"/>
            <w:hideMark/>
          </w:tcPr>
          <w:p w14:paraId="2BAB5A46" w14:textId="77777777" w:rsidR="00387142" w:rsidRPr="008B6A75" w:rsidRDefault="00387142" w:rsidP="00387142">
            <w:pPr>
              <w:jc w:val="center"/>
              <w:rPr>
                <w:sz w:val="20"/>
                <w:szCs w:val="20"/>
              </w:rPr>
            </w:pPr>
            <w:r w:rsidRPr="008B6A75">
              <w:rPr>
                <w:sz w:val="20"/>
                <w:szCs w:val="20"/>
              </w:rPr>
              <w:t>05</w:t>
            </w:r>
          </w:p>
        </w:tc>
        <w:tc>
          <w:tcPr>
            <w:tcW w:w="567" w:type="dxa"/>
            <w:tcBorders>
              <w:top w:val="nil"/>
              <w:left w:val="single" w:sz="4" w:space="0" w:color="auto"/>
              <w:bottom w:val="single" w:sz="4" w:space="0" w:color="auto"/>
              <w:right w:val="nil"/>
            </w:tcBorders>
            <w:shd w:val="clear" w:color="auto" w:fill="auto"/>
            <w:noWrap/>
            <w:vAlign w:val="center"/>
            <w:hideMark/>
          </w:tcPr>
          <w:p w14:paraId="67B2FBB4" w14:textId="77777777" w:rsidR="00387142" w:rsidRPr="008B6A75" w:rsidRDefault="00387142" w:rsidP="00387142">
            <w:pPr>
              <w:jc w:val="center"/>
              <w:rPr>
                <w:sz w:val="20"/>
                <w:szCs w:val="20"/>
              </w:rPr>
            </w:pPr>
            <w:r w:rsidRPr="008B6A75">
              <w:rPr>
                <w:sz w:val="20"/>
                <w:szCs w:val="20"/>
              </w:rPr>
              <w:t>02</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86F2525" w14:textId="77777777" w:rsidR="00387142" w:rsidRPr="008B6A75" w:rsidRDefault="00387142" w:rsidP="00387142">
            <w:pPr>
              <w:jc w:val="right"/>
              <w:rPr>
                <w:sz w:val="20"/>
                <w:szCs w:val="20"/>
              </w:rPr>
            </w:pPr>
            <w:r w:rsidRPr="008B6A75">
              <w:rPr>
                <w:sz w:val="20"/>
                <w:szCs w:val="20"/>
              </w:rPr>
              <w:t>15 520 322,50</w:t>
            </w:r>
          </w:p>
        </w:tc>
        <w:tc>
          <w:tcPr>
            <w:tcW w:w="851" w:type="dxa"/>
            <w:tcBorders>
              <w:top w:val="nil"/>
              <w:left w:val="single" w:sz="4" w:space="0" w:color="auto"/>
              <w:bottom w:val="single" w:sz="4" w:space="0" w:color="auto"/>
              <w:right w:val="nil"/>
            </w:tcBorders>
            <w:shd w:val="clear" w:color="auto" w:fill="auto"/>
            <w:noWrap/>
            <w:vAlign w:val="center"/>
            <w:hideMark/>
          </w:tcPr>
          <w:p w14:paraId="3AF0E6D7" w14:textId="77777777" w:rsidR="00387142" w:rsidRPr="008B6A75" w:rsidRDefault="00387142" w:rsidP="00387142">
            <w:pPr>
              <w:jc w:val="right"/>
              <w:rPr>
                <w:sz w:val="20"/>
                <w:szCs w:val="20"/>
              </w:rPr>
            </w:pPr>
            <w:r w:rsidRPr="008B6A75">
              <w:rPr>
                <w:sz w:val="20"/>
                <w:szCs w:val="20"/>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46D49D3F" w14:textId="77777777" w:rsidR="00387142" w:rsidRPr="008B6A75" w:rsidRDefault="00387142" w:rsidP="00387142">
            <w:pPr>
              <w:jc w:val="right"/>
              <w:rPr>
                <w:sz w:val="20"/>
                <w:szCs w:val="20"/>
              </w:rPr>
            </w:pPr>
            <w:r w:rsidRPr="008B6A75">
              <w:rPr>
                <w:sz w:val="20"/>
                <w:szCs w:val="20"/>
              </w:rPr>
              <w:t>0,00</w:t>
            </w:r>
          </w:p>
        </w:tc>
      </w:tr>
      <w:tr w:rsidR="00387142" w:rsidRPr="008B6A75" w14:paraId="3B77C1CC" w14:textId="77777777" w:rsidTr="00387142">
        <w:trPr>
          <w:trHeight w:val="300"/>
        </w:trPr>
        <w:tc>
          <w:tcPr>
            <w:tcW w:w="272" w:type="dxa"/>
            <w:tcBorders>
              <w:top w:val="nil"/>
              <w:left w:val="nil"/>
              <w:bottom w:val="nil"/>
              <w:right w:val="single" w:sz="4" w:space="0" w:color="auto"/>
            </w:tcBorders>
            <w:shd w:val="clear" w:color="auto" w:fill="auto"/>
            <w:noWrap/>
            <w:vAlign w:val="bottom"/>
            <w:hideMark/>
          </w:tcPr>
          <w:p w14:paraId="7A82E7D1"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0B042408" w14:textId="77777777" w:rsidR="00387142" w:rsidRPr="008B6A75" w:rsidRDefault="00387142" w:rsidP="00387142">
            <w:pPr>
              <w:rPr>
                <w:sz w:val="20"/>
                <w:szCs w:val="20"/>
              </w:rPr>
            </w:pPr>
            <w:r w:rsidRPr="008B6A75">
              <w:rPr>
                <w:sz w:val="20"/>
                <w:szCs w:val="20"/>
              </w:rPr>
              <w:t>Иные межбюджетные трансферты</w:t>
            </w:r>
          </w:p>
        </w:tc>
        <w:tc>
          <w:tcPr>
            <w:tcW w:w="1559" w:type="dxa"/>
            <w:tcBorders>
              <w:top w:val="nil"/>
              <w:left w:val="single" w:sz="4" w:space="0" w:color="auto"/>
              <w:bottom w:val="single" w:sz="4" w:space="0" w:color="auto"/>
              <w:right w:val="nil"/>
            </w:tcBorders>
            <w:shd w:val="clear" w:color="auto" w:fill="auto"/>
            <w:noWrap/>
            <w:vAlign w:val="center"/>
            <w:hideMark/>
          </w:tcPr>
          <w:p w14:paraId="38E6F7FC" w14:textId="77777777" w:rsidR="00387142" w:rsidRPr="008B6A75" w:rsidRDefault="00387142" w:rsidP="00387142">
            <w:pPr>
              <w:jc w:val="center"/>
              <w:rPr>
                <w:sz w:val="20"/>
                <w:szCs w:val="20"/>
              </w:rPr>
            </w:pPr>
            <w:r w:rsidRPr="008B6A75">
              <w:rPr>
                <w:sz w:val="20"/>
                <w:szCs w:val="20"/>
              </w:rPr>
              <w:t>06.0.00.L5766</w:t>
            </w:r>
          </w:p>
        </w:tc>
        <w:tc>
          <w:tcPr>
            <w:tcW w:w="850" w:type="dxa"/>
            <w:tcBorders>
              <w:top w:val="nil"/>
              <w:left w:val="single" w:sz="4" w:space="0" w:color="auto"/>
              <w:bottom w:val="single" w:sz="4" w:space="0" w:color="auto"/>
              <w:right w:val="nil"/>
            </w:tcBorders>
            <w:shd w:val="clear" w:color="auto" w:fill="auto"/>
            <w:noWrap/>
            <w:vAlign w:val="center"/>
            <w:hideMark/>
          </w:tcPr>
          <w:p w14:paraId="0FC4576A" w14:textId="77777777" w:rsidR="00387142" w:rsidRPr="008B6A75" w:rsidRDefault="00387142" w:rsidP="00387142">
            <w:pPr>
              <w:jc w:val="center"/>
              <w:rPr>
                <w:sz w:val="20"/>
                <w:szCs w:val="20"/>
              </w:rPr>
            </w:pPr>
            <w:r w:rsidRPr="008B6A75">
              <w:rPr>
                <w:sz w:val="20"/>
                <w:szCs w:val="20"/>
              </w:rPr>
              <w:t>540</w:t>
            </w:r>
          </w:p>
        </w:tc>
        <w:tc>
          <w:tcPr>
            <w:tcW w:w="567" w:type="dxa"/>
            <w:tcBorders>
              <w:top w:val="nil"/>
              <w:left w:val="single" w:sz="4" w:space="0" w:color="auto"/>
              <w:bottom w:val="single" w:sz="4" w:space="0" w:color="auto"/>
              <w:right w:val="nil"/>
            </w:tcBorders>
            <w:shd w:val="clear" w:color="auto" w:fill="auto"/>
            <w:noWrap/>
            <w:vAlign w:val="center"/>
            <w:hideMark/>
          </w:tcPr>
          <w:p w14:paraId="7A5A4151" w14:textId="77777777" w:rsidR="00387142" w:rsidRPr="008B6A75" w:rsidRDefault="00387142" w:rsidP="00387142">
            <w:pPr>
              <w:jc w:val="center"/>
              <w:rPr>
                <w:sz w:val="20"/>
                <w:szCs w:val="20"/>
              </w:rPr>
            </w:pPr>
            <w:r w:rsidRPr="008B6A75">
              <w:rPr>
                <w:sz w:val="20"/>
                <w:szCs w:val="20"/>
              </w:rPr>
              <w:t>08</w:t>
            </w:r>
          </w:p>
        </w:tc>
        <w:tc>
          <w:tcPr>
            <w:tcW w:w="567" w:type="dxa"/>
            <w:tcBorders>
              <w:top w:val="nil"/>
              <w:left w:val="single" w:sz="4" w:space="0" w:color="auto"/>
              <w:bottom w:val="single" w:sz="4" w:space="0" w:color="auto"/>
              <w:right w:val="nil"/>
            </w:tcBorders>
            <w:shd w:val="clear" w:color="auto" w:fill="auto"/>
            <w:noWrap/>
            <w:vAlign w:val="center"/>
            <w:hideMark/>
          </w:tcPr>
          <w:p w14:paraId="7388A906" w14:textId="77777777" w:rsidR="00387142" w:rsidRPr="008B6A75" w:rsidRDefault="00387142" w:rsidP="00387142">
            <w:pPr>
              <w:jc w:val="center"/>
              <w:rPr>
                <w:sz w:val="20"/>
                <w:szCs w:val="20"/>
              </w:rPr>
            </w:pPr>
            <w:r w:rsidRPr="008B6A75">
              <w:rPr>
                <w:sz w:val="20"/>
                <w:szCs w:val="20"/>
              </w:rPr>
              <w:t>01</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CC93AE5" w14:textId="77777777" w:rsidR="00387142" w:rsidRPr="008B6A75" w:rsidRDefault="00387142" w:rsidP="00387142">
            <w:pPr>
              <w:jc w:val="right"/>
              <w:rPr>
                <w:sz w:val="20"/>
                <w:szCs w:val="20"/>
              </w:rPr>
            </w:pPr>
            <w:r w:rsidRPr="008B6A75">
              <w:rPr>
                <w:sz w:val="20"/>
                <w:szCs w:val="20"/>
              </w:rPr>
              <w:t>3 276 505,15</w:t>
            </w:r>
          </w:p>
        </w:tc>
        <w:tc>
          <w:tcPr>
            <w:tcW w:w="851" w:type="dxa"/>
            <w:tcBorders>
              <w:top w:val="nil"/>
              <w:left w:val="single" w:sz="4" w:space="0" w:color="auto"/>
              <w:bottom w:val="single" w:sz="4" w:space="0" w:color="auto"/>
              <w:right w:val="nil"/>
            </w:tcBorders>
            <w:shd w:val="clear" w:color="auto" w:fill="auto"/>
            <w:noWrap/>
            <w:vAlign w:val="center"/>
            <w:hideMark/>
          </w:tcPr>
          <w:p w14:paraId="2EE55CCD" w14:textId="77777777" w:rsidR="00387142" w:rsidRPr="008B6A75" w:rsidRDefault="00387142" w:rsidP="00387142">
            <w:pPr>
              <w:jc w:val="right"/>
              <w:rPr>
                <w:sz w:val="20"/>
                <w:szCs w:val="20"/>
              </w:rPr>
            </w:pPr>
            <w:r w:rsidRPr="008B6A75">
              <w:rPr>
                <w:sz w:val="20"/>
                <w:szCs w:val="20"/>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3025F6BF" w14:textId="77777777" w:rsidR="00387142" w:rsidRPr="008B6A75" w:rsidRDefault="00387142" w:rsidP="00387142">
            <w:pPr>
              <w:jc w:val="right"/>
              <w:rPr>
                <w:sz w:val="20"/>
                <w:szCs w:val="20"/>
              </w:rPr>
            </w:pPr>
            <w:r w:rsidRPr="008B6A75">
              <w:rPr>
                <w:sz w:val="20"/>
                <w:szCs w:val="20"/>
              </w:rPr>
              <w:t>0,00</w:t>
            </w:r>
          </w:p>
        </w:tc>
      </w:tr>
      <w:tr w:rsidR="00387142" w:rsidRPr="008B6A75" w14:paraId="4C26045D" w14:textId="77777777" w:rsidTr="00387142">
        <w:trPr>
          <w:trHeight w:val="2295"/>
        </w:trPr>
        <w:tc>
          <w:tcPr>
            <w:tcW w:w="272" w:type="dxa"/>
            <w:tcBorders>
              <w:top w:val="nil"/>
              <w:left w:val="nil"/>
              <w:bottom w:val="nil"/>
              <w:right w:val="single" w:sz="4" w:space="0" w:color="auto"/>
            </w:tcBorders>
            <w:shd w:val="clear" w:color="auto" w:fill="auto"/>
            <w:noWrap/>
            <w:vAlign w:val="bottom"/>
            <w:hideMark/>
          </w:tcPr>
          <w:p w14:paraId="7C5282BA" w14:textId="77777777" w:rsidR="00387142" w:rsidRPr="008B6A75" w:rsidRDefault="00387142" w:rsidP="00387142">
            <w:pPr>
              <w:rPr>
                <w:sz w:val="20"/>
                <w:szCs w:val="20"/>
              </w:rPr>
            </w:pPr>
            <w:r w:rsidRPr="008B6A75">
              <w:rPr>
                <w:sz w:val="20"/>
                <w:szCs w:val="20"/>
              </w:rPr>
              <w:lastRenderedPageBreak/>
              <w:t> </w:t>
            </w:r>
          </w:p>
        </w:tc>
        <w:tc>
          <w:tcPr>
            <w:tcW w:w="3415" w:type="dxa"/>
            <w:tcBorders>
              <w:top w:val="nil"/>
              <w:left w:val="single" w:sz="4" w:space="0" w:color="auto"/>
              <w:bottom w:val="single" w:sz="4" w:space="0" w:color="auto"/>
              <w:right w:val="nil"/>
            </w:tcBorders>
            <w:shd w:val="clear" w:color="auto" w:fill="auto"/>
            <w:vAlign w:val="center"/>
            <w:hideMark/>
          </w:tcPr>
          <w:p w14:paraId="046E0EB0" w14:textId="77777777" w:rsidR="00387142" w:rsidRPr="008B6A75" w:rsidRDefault="00387142" w:rsidP="00387142">
            <w:pPr>
              <w:rPr>
                <w:bCs/>
                <w:sz w:val="20"/>
                <w:szCs w:val="20"/>
              </w:rPr>
            </w:pPr>
            <w:r w:rsidRPr="008B6A75">
              <w:rPr>
                <w:bCs/>
                <w:sz w:val="20"/>
                <w:szCs w:val="20"/>
              </w:rPr>
              <w:t xml:space="preserve">Реализация проектов комплексного развития сельских </w:t>
            </w:r>
            <w:proofErr w:type="spellStart"/>
            <w:r w:rsidRPr="008B6A75">
              <w:rPr>
                <w:bCs/>
                <w:sz w:val="20"/>
                <w:szCs w:val="20"/>
              </w:rPr>
              <w:t>територий</w:t>
            </w:r>
            <w:proofErr w:type="spellEnd"/>
            <w:r w:rsidRPr="008B6A75">
              <w:rPr>
                <w:bCs/>
                <w:sz w:val="20"/>
                <w:szCs w:val="20"/>
              </w:rPr>
              <w:t xml:space="preserve"> ведомственного проекта «Современный облик сельских территорий» за счет средств резервного фонда Правительства Российской Федерации государственной программы Новосибирской области «Комплексное развитие сельских территорий в Новосибирской области»</w:t>
            </w:r>
          </w:p>
        </w:tc>
        <w:tc>
          <w:tcPr>
            <w:tcW w:w="1559" w:type="dxa"/>
            <w:tcBorders>
              <w:top w:val="nil"/>
              <w:left w:val="single" w:sz="4" w:space="0" w:color="auto"/>
              <w:bottom w:val="single" w:sz="4" w:space="0" w:color="auto"/>
              <w:right w:val="nil"/>
            </w:tcBorders>
            <w:shd w:val="clear" w:color="auto" w:fill="auto"/>
            <w:noWrap/>
            <w:vAlign w:val="center"/>
            <w:hideMark/>
          </w:tcPr>
          <w:p w14:paraId="0D3625D2" w14:textId="77777777" w:rsidR="00387142" w:rsidRPr="008B6A75" w:rsidRDefault="00387142" w:rsidP="00387142">
            <w:pPr>
              <w:jc w:val="center"/>
              <w:rPr>
                <w:bCs/>
                <w:sz w:val="20"/>
                <w:szCs w:val="20"/>
              </w:rPr>
            </w:pPr>
            <w:r w:rsidRPr="008B6A75">
              <w:rPr>
                <w:bCs/>
                <w:sz w:val="20"/>
                <w:szCs w:val="20"/>
              </w:rPr>
              <w:t>06.0.00.L6350</w:t>
            </w:r>
          </w:p>
        </w:tc>
        <w:tc>
          <w:tcPr>
            <w:tcW w:w="850" w:type="dxa"/>
            <w:tcBorders>
              <w:top w:val="nil"/>
              <w:left w:val="single" w:sz="4" w:space="0" w:color="auto"/>
              <w:bottom w:val="single" w:sz="4" w:space="0" w:color="auto"/>
              <w:right w:val="nil"/>
            </w:tcBorders>
            <w:shd w:val="clear" w:color="auto" w:fill="auto"/>
            <w:noWrap/>
            <w:vAlign w:val="center"/>
            <w:hideMark/>
          </w:tcPr>
          <w:p w14:paraId="71559F62" w14:textId="77777777" w:rsidR="00387142" w:rsidRPr="008B6A75" w:rsidRDefault="00387142" w:rsidP="00387142">
            <w:pPr>
              <w:jc w:val="center"/>
              <w:rPr>
                <w:bCs/>
                <w:sz w:val="20"/>
                <w:szCs w:val="20"/>
              </w:rPr>
            </w:pPr>
            <w:r w:rsidRPr="008B6A75">
              <w:rPr>
                <w:bCs/>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7CD07858" w14:textId="77777777" w:rsidR="00387142" w:rsidRPr="008B6A75" w:rsidRDefault="00387142" w:rsidP="00387142">
            <w:pPr>
              <w:jc w:val="center"/>
              <w:rPr>
                <w:bCs/>
                <w:sz w:val="20"/>
                <w:szCs w:val="20"/>
              </w:rPr>
            </w:pPr>
            <w:r w:rsidRPr="008B6A75">
              <w:rPr>
                <w:bCs/>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64A5D103" w14:textId="77777777" w:rsidR="00387142" w:rsidRPr="008B6A75" w:rsidRDefault="00387142" w:rsidP="00387142">
            <w:pPr>
              <w:jc w:val="center"/>
              <w:rPr>
                <w:bCs/>
                <w:sz w:val="20"/>
                <w:szCs w:val="20"/>
              </w:rPr>
            </w:pPr>
            <w:r w:rsidRPr="008B6A75">
              <w:rPr>
                <w:bCs/>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8504278" w14:textId="77777777" w:rsidR="00387142" w:rsidRPr="008B6A75" w:rsidRDefault="00387142" w:rsidP="00387142">
            <w:pPr>
              <w:jc w:val="right"/>
              <w:rPr>
                <w:bCs/>
                <w:sz w:val="20"/>
                <w:szCs w:val="20"/>
              </w:rPr>
            </w:pPr>
            <w:r w:rsidRPr="008B6A75">
              <w:rPr>
                <w:bCs/>
                <w:sz w:val="20"/>
                <w:szCs w:val="20"/>
              </w:rPr>
              <w:t>4 905 100,00</w:t>
            </w:r>
          </w:p>
        </w:tc>
        <w:tc>
          <w:tcPr>
            <w:tcW w:w="851" w:type="dxa"/>
            <w:tcBorders>
              <w:top w:val="nil"/>
              <w:left w:val="single" w:sz="4" w:space="0" w:color="auto"/>
              <w:bottom w:val="single" w:sz="4" w:space="0" w:color="auto"/>
              <w:right w:val="nil"/>
            </w:tcBorders>
            <w:shd w:val="clear" w:color="auto" w:fill="auto"/>
            <w:noWrap/>
            <w:vAlign w:val="center"/>
            <w:hideMark/>
          </w:tcPr>
          <w:p w14:paraId="4A12E264" w14:textId="77777777" w:rsidR="00387142" w:rsidRPr="008B6A75" w:rsidRDefault="00387142" w:rsidP="00387142">
            <w:pPr>
              <w:jc w:val="right"/>
              <w:rPr>
                <w:bCs/>
                <w:sz w:val="20"/>
                <w:szCs w:val="20"/>
              </w:rPr>
            </w:pPr>
            <w:r w:rsidRPr="008B6A75">
              <w:rPr>
                <w:bCs/>
                <w:sz w:val="20"/>
                <w:szCs w:val="20"/>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5183E647" w14:textId="77777777" w:rsidR="00387142" w:rsidRPr="008B6A75" w:rsidRDefault="00387142" w:rsidP="00387142">
            <w:pPr>
              <w:jc w:val="right"/>
              <w:rPr>
                <w:bCs/>
                <w:sz w:val="20"/>
                <w:szCs w:val="20"/>
              </w:rPr>
            </w:pPr>
            <w:r w:rsidRPr="008B6A75">
              <w:rPr>
                <w:bCs/>
                <w:sz w:val="20"/>
                <w:szCs w:val="20"/>
              </w:rPr>
              <w:t>0,00</w:t>
            </w:r>
          </w:p>
        </w:tc>
      </w:tr>
      <w:tr w:rsidR="00387142" w:rsidRPr="008B6A75" w14:paraId="21D0A280" w14:textId="77777777" w:rsidTr="00387142">
        <w:trPr>
          <w:trHeight w:val="585"/>
        </w:trPr>
        <w:tc>
          <w:tcPr>
            <w:tcW w:w="272" w:type="dxa"/>
            <w:tcBorders>
              <w:top w:val="nil"/>
              <w:left w:val="nil"/>
              <w:bottom w:val="nil"/>
              <w:right w:val="single" w:sz="4" w:space="0" w:color="auto"/>
            </w:tcBorders>
            <w:shd w:val="clear" w:color="auto" w:fill="auto"/>
            <w:noWrap/>
            <w:vAlign w:val="bottom"/>
            <w:hideMark/>
          </w:tcPr>
          <w:p w14:paraId="69824411"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457A29AD" w14:textId="77777777" w:rsidR="00387142" w:rsidRPr="008B6A75" w:rsidRDefault="00387142" w:rsidP="00387142">
            <w:pPr>
              <w:rPr>
                <w:sz w:val="20"/>
                <w:szCs w:val="20"/>
              </w:rPr>
            </w:pPr>
            <w:r w:rsidRPr="008B6A75">
              <w:rPr>
                <w:sz w:val="20"/>
                <w:szCs w:val="20"/>
              </w:rPr>
              <w:t>Закупка товаров, работ и услуг для обеспечения государственных (муниципальных) нужд</w:t>
            </w:r>
          </w:p>
        </w:tc>
        <w:tc>
          <w:tcPr>
            <w:tcW w:w="1559" w:type="dxa"/>
            <w:tcBorders>
              <w:top w:val="nil"/>
              <w:left w:val="single" w:sz="4" w:space="0" w:color="auto"/>
              <w:bottom w:val="single" w:sz="4" w:space="0" w:color="auto"/>
              <w:right w:val="nil"/>
            </w:tcBorders>
            <w:shd w:val="clear" w:color="auto" w:fill="auto"/>
            <w:noWrap/>
            <w:vAlign w:val="center"/>
            <w:hideMark/>
          </w:tcPr>
          <w:p w14:paraId="7A9DA218" w14:textId="77777777" w:rsidR="00387142" w:rsidRPr="008B6A75" w:rsidRDefault="00387142" w:rsidP="00387142">
            <w:pPr>
              <w:jc w:val="center"/>
              <w:rPr>
                <w:sz w:val="20"/>
                <w:szCs w:val="20"/>
              </w:rPr>
            </w:pPr>
            <w:r w:rsidRPr="008B6A75">
              <w:rPr>
                <w:sz w:val="20"/>
                <w:szCs w:val="20"/>
              </w:rPr>
              <w:t>06.0.00.L6350</w:t>
            </w:r>
          </w:p>
        </w:tc>
        <w:tc>
          <w:tcPr>
            <w:tcW w:w="850" w:type="dxa"/>
            <w:tcBorders>
              <w:top w:val="nil"/>
              <w:left w:val="single" w:sz="4" w:space="0" w:color="auto"/>
              <w:bottom w:val="single" w:sz="4" w:space="0" w:color="auto"/>
              <w:right w:val="nil"/>
            </w:tcBorders>
            <w:shd w:val="clear" w:color="auto" w:fill="auto"/>
            <w:noWrap/>
            <w:vAlign w:val="center"/>
            <w:hideMark/>
          </w:tcPr>
          <w:p w14:paraId="0C60612B" w14:textId="77777777" w:rsidR="00387142" w:rsidRPr="008B6A75" w:rsidRDefault="00387142" w:rsidP="00387142">
            <w:pPr>
              <w:jc w:val="center"/>
              <w:rPr>
                <w:sz w:val="20"/>
                <w:szCs w:val="20"/>
              </w:rPr>
            </w:pPr>
            <w:r w:rsidRPr="008B6A75">
              <w:rPr>
                <w:sz w:val="20"/>
                <w:szCs w:val="20"/>
              </w:rPr>
              <w:t>200</w:t>
            </w:r>
          </w:p>
        </w:tc>
        <w:tc>
          <w:tcPr>
            <w:tcW w:w="567" w:type="dxa"/>
            <w:tcBorders>
              <w:top w:val="nil"/>
              <w:left w:val="single" w:sz="4" w:space="0" w:color="auto"/>
              <w:bottom w:val="single" w:sz="4" w:space="0" w:color="auto"/>
              <w:right w:val="nil"/>
            </w:tcBorders>
            <w:shd w:val="clear" w:color="auto" w:fill="auto"/>
            <w:noWrap/>
            <w:vAlign w:val="center"/>
            <w:hideMark/>
          </w:tcPr>
          <w:p w14:paraId="687C5834" w14:textId="77777777" w:rsidR="00387142" w:rsidRPr="008B6A75" w:rsidRDefault="00387142" w:rsidP="00387142">
            <w:pPr>
              <w:jc w:val="center"/>
              <w:rPr>
                <w:sz w:val="20"/>
                <w:szCs w:val="20"/>
              </w:rPr>
            </w:pPr>
            <w:r w:rsidRPr="008B6A75">
              <w:rPr>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0550BBD4" w14:textId="77777777" w:rsidR="00387142" w:rsidRPr="008B6A75" w:rsidRDefault="00387142" w:rsidP="00387142">
            <w:pPr>
              <w:jc w:val="center"/>
              <w:rPr>
                <w:sz w:val="20"/>
                <w:szCs w:val="20"/>
              </w:rPr>
            </w:pPr>
            <w:r w:rsidRPr="008B6A75">
              <w:rPr>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5426DF0" w14:textId="77777777" w:rsidR="00387142" w:rsidRPr="008B6A75" w:rsidRDefault="00387142" w:rsidP="00387142">
            <w:pPr>
              <w:jc w:val="right"/>
              <w:rPr>
                <w:sz w:val="20"/>
                <w:szCs w:val="20"/>
              </w:rPr>
            </w:pPr>
            <w:r w:rsidRPr="008B6A75">
              <w:rPr>
                <w:sz w:val="20"/>
                <w:szCs w:val="20"/>
              </w:rPr>
              <w:t>4 905 100,00</w:t>
            </w:r>
          </w:p>
        </w:tc>
        <w:tc>
          <w:tcPr>
            <w:tcW w:w="851" w:type="dxa"/>
            <w:tcBorders>
              <w:top w:val="nil"/>
              <w:left w:val="single" w:sz="4" w:space="0" w:color="auto"/>
              <w:bottom w:val="single" w:sz="4" w:space="0" w:color="auto"/>
              <w:right w:val="nil"/>
            </w:tcBorders>
            <w:shd w:val="clear" w:color="auto" w:fill="auto"/>
            <w:noWrap/>
            <w:vAlign w:val="center"/>
            <w:hideMark/>
          </w:tcPr>
          <w:p w14:paraId="60805352" w14:textId="77777777" w:rsidR="00387142" w:rsidRPr="008B6A75" w:rsidRDefault="00387142" w:rsidP="00387142">
            <w:pPr>
              <w:jc w:val="right"/>
              <w:rPr>
                <w:sz w:val="20"/>
                <w:szCs w:val="20"/>
              </w:rPr>
            </w:pPr>
            <w:r w:rsidRPr="008B6A75">
              <w:rPr>
                <w:sz w:val="20"/>
                <w:szCs w:val="20"/>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36096767" w14:textId="77777777" w:rsidR="00387142" w:rsidRPr="008B6A75" w:rsidRDefault="00387142" w:rsidP="00387142">
            <w:pPr>
              <w:jc w:val="right"/>
              <w:rPr>
                <w:sz w:val="20"/>
                <w:szCs w:val="20"/>
              </w:rPr>
            </w:pPr>
            <w:r w:rsidRPr="008B6A75">
              <w:rPr>
                <w:sz w:val="20"/>
                <w:szCs w:val="20"/>
              </w:rPr>
              <w:t>0,00</w:t>
            </w:r>
          </w:p>
        </w:tc>
      </w:tr>
      <w:tr w:rsidR="00387142" w:rsidRPr="008B6A75" w14:paraId="40FE7974" w14:textId="77777777" w:rsidTr="00387142">
        <w:trPr>
          <w:trHeight w:val="870"/>
        </w:trPr>
        <w:tc>
          <w:tcPr>
            <w:tcW w:w="272" w:type="dxa"/>
            <w:tcBorders>
              <w:top w:val="nil"/>
              <w:left w:val="nil"/>
              <w:bottom w:val="nil"/>
              <w:right w:val="single" w:sz="4" w:space="0" w:color="auto"/>
            </w:tcBorders>
            <w:shd w:val="clear" w:color="auto" w:fill="auto"/>
            <w:noWrap/>
            <w:vAlign w:val="bottom"/>
            <w:hideMark/>
          </w:tcPr>
          <w:p w14:paraId="5BF6D84C"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27D4C69C" w14:textId="77777777" w:rsidR="00387142" w:rsidRPr="008B6A75" w:rsidRDefault="00387142" w:rsidP="00387142">
            <w:pPr>
              <w:rPr>
                <w:sz w:val="20"/>
                <w:szCs w:val="20"/>
              </w:rPr>
            </w:pPr>
            <w:r w:rsidRPr="008B6A75">
              <w:rPr>
                <w:sz w:val="20"/>
                <w:szCs w:val="20"/>
              </w:rPr>
              <w:t>Иные закупки товаров, работ и услуг для обеспечения государственных (муниципальных) нужд</w:t>
            </w:r>
          </w:p>
        </w:tc>
        <w:tc>
          <w:tcPr>
            <w:tcW w:w="1559" w:type="dxa"/>
            <w:tcBorders>
              <w:top w:val="nil"/>
              <w:left w:val="single" w:sz="4" w:space="0" w:color="auto"/>
              <w:bottom w:val="single" w:sz="4" w:space="0" w:color="auto"/>
              <w:right w:val="nil"/>
            </w:tcBorders>
            <w:shd w:val="clear" w:color="auto" w:fill="auto"/>
            <w:noWrap/>
            <w:vAlign w:val="center"/>
            <w:hideMark/>
          </w:tcPr>
          <w:p w14:paraId="28D410D6" w14:textId="77777777" w:rsidR="00387142" w:rsidRPr="008B6A75" w:rsidRDefault="00387142" w:rsidP="00387142">
            <w:pPr>
              <w:jc w:val="center"/>
              <w:rPr>
                <w:sz w:val="20"/>
                <w:szCs w:val="20"/>
              </w:rPr>
            </w:pPr>
            <w:r w:rsidRPr="008B6A75">
              <w:rPr>
                <w:sz w:val="20"/>
                <w:szCs w:val="20"/>
              </w:rPr>
              <w:t>06.0.00.L6350</w:t>
            </w:r>
          </w:p>
        </w:tc>
        <w:tc>
          <w:tcPr>
            <w:tcW w:w="850" w:type="dxa"/>
            <w:tcBorders>
              <w:top w:val="nil"/>
              <w:left w:val="single" w:sz="4" w:space="0" w:color="auto"/>
              <w:bottom w:val="single" w:sz="4" w:space="0" w:color="auto"/>
              <w:right w:val="nil"/>
            </w:tcBorders>
            <w:shd w:val="clear" w:color="auto" w:fill="auto"/>
            <w:noWrap/>
            <w:vAlign w:val="center"/>
            <w:hideMark/>
          </w:tcPr>
          <w:p w14:paraId="6A96A420" w14:textId="77777777" w:rsidR="00387142" w:rsidRPr="008B6A75" w:rsidRDefault="00387142" w:rsidP="00387142">
            <w:pPr>
              <w:jc w:val="center"/>
              <w:rPr>
                <w:sz w:val="20"/>
                <w:szCs w:val="20"/>
              </w:rPr>
            </w:pPr>
            <w:r w:rsidRPr="008B6A75">
              <w:rPr>
                <w:sz w:val="20"/>
                <w:szCs w:val="20"/>
              </w:rPr>
              <w:t>240</w:t>
            </w:r>
          </w:p>
        </w:tc>
        <w:tc>
          <w:tcPr>
            <w:tcW w:w="567" w:type="dxa"/>
            <w:tcBorders>
              <w:top w:val="nil"/>
              <w:left w:val="single" w:sz="4" w:space="0" w:color="auto"/>
              <w:bottom w:val="single" w:sz="4" w:space="0" w:color="auto"/>
              <w:right w:val="nil"/>
            </w:tcBorders>
            <w:shd w:val="clear" w:color="auto" w:fill="auto"/>
            <w:noWrap/>
            <w:vAlign w:val="center"/>
            <w:hideMark/>
          </w:tcPr>
          <w:p w14:paraId="30235D48" w14:textId="77777777" w:rsidR="00387142" w:rsidRPr="008B6A75" w:rsidRDefault="00387142" w:rsidP="00387142">
            <w:pPr>
              <w:jc w:val="center"/>
              <w:rPr>
                <w:sz w:val="20"/>
                <w:szCs w:val="20"/>
              </w:rPr>
            </w:pPr>
            <w:r w:rsidRPr="008B6A75">
              <w:rPr>
                <w:sz w:val="20"/>
                <w:szCs w:val="20"/>
              </w:rPr>
              <w:t>07</w:t>
            </w:r>
          </w:p>
        </w:tc>
        <w:tc>
          <w:tcPr>
            <w:tcW w:w="567" w:type="dxa"/>
            <w:tcBorders>
              <w:top w:val="nil"/>
              <w:left w:val="single" w:sz="4" w:space="0" w:color="auto"/>
              <w:bottom w:val="single" w:sz="4" w:space="0" w:color="auto"/>
              <w:right w:val="nil"/>
            </w:tcBorders>
            <w:shd w:val="clear" w:color="auto" w:fill="auto"/>
            <w:noWrap/>
            <w:vAlign w:val="center"/>
            <w:hideMark/>
          </w:tcPr>
          <w:p w14:paraId="57BE5E15" w14:textId="77777777" w:rsidR="00387142" w:rsidRPr="008B6A75" w:rsidRDefault="00387142" w:rsidP="00387142">
            <w:pPr>
              <w:jc w:val="center"/>
              <w:rPr>
                <w:sz w:val="20"/>
                <w:szCs w:val="20"/>
              </w:rPr>
            </w:pPr>
            <w:r w:rsidRPr="008B6A75">
              <w:rPr>
                <w:sz w:val="20"/>
                <w:szCs w:val="20"/>
              </w:rPr>
              <w:t>02</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D2C3E0B" w14:textId="77777777" w:rsidR="00387142" w:rsidRPr="008B6A75" w:rsidRDefault="00387142" w:rsidP="00387142">
            <w:pPr>
              <w:jc w:val="right"/>
              <w:rPr>
                <w:sz w:val="20"/>
                <w:szCs w:val="20"/>
              </w:rPr>
            </w:pPr>
            <w:r w:rsidRPr="008B6A75">
              <w:rPr>
                <w:sz w:val="20"/>
                <w:szCs w:val="20"/>
              </w:rPr>
              <w:t>4 905 100,00</w:t>
            </w:r>
          </w:p>
        </w:tc>
        <w:tc>
          <w:tcPr>
            <w:tcW w:w="851" w:type="dxa"/>
            <w:tcBorders>
              <w:top w:val="nil"/>
              <w:left w:val="single" w:sz="4" w:space="0" w:color="auto"/>
              <w:bottom w:val="single" w:sz="4" w:space="0" w:color="auto"/>
              <w:right w:val="nil"/>
            </w:tcBorders>
            <w:shd w:val="clear" w:color="auto" w:fill="auto"/>
            <w:noWrap/>
            <w:vAlign w:val="center"/>
            <w:hideMark/>
          </w:tcPr>
          <w:p w14:paraId="655513D8" w14:textId="77777777" w:rsidR="00387142" w:rsidRPr="008B6A75" w:rsidRDefault="00387142" w:rsidP="00387142">
            <w:pPr>
              <w:jc w:val="right"/>
              <w:rPr>
                <w:sz w:val="20"/>
                <w:szCs w:val="20"/>
              </w:rPr>
            </w:pPr>
            <w:r w:rsidRPr="008B6A75">
              <w:rPr>
                <w:sz w:val="20"/>
                <w:szCs w:val="20"/>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0BE73C3C" w14:textId="77777777" w:rsidR="00387142" w:rsidRPr="008B6A75" w:rsidRDefault="00387142" w:rsidP="00387142">
            <w:pPr>
              <w:jc w:val="right"/>
              <w:rPr>
                <w:sz w:val="20"/>
                <w:szCs w:val="20"/>
              </w:rPr>
            </w:pPr>
            <w:r w:rsidRPr="008B6A75">
              <w:rPr>
                <w:sz w:val="20"/>
                <w:szCs w:val="20"/>
              </w:rPr>
              <w:t>0,00</w:t>
            </w:r>
          </w:p>
        </w:tc>
      </w:tr>
      <w:tr w:rsidR="00387142" w:rsidRPr="008B6A75" w14:paraId="4862BD15" w14:textId="77777777" w:rsidTr="00387142">
        <w:trPr>
          <w:trHeight w:val="585"/>
        </w:trPr>
        <w:tc>
          <w:tcPr>
            <w:tcW w:w="272" w:type="dxa"/>
            <w:tcBorders>
              <w:top w:val="nil"/>
              <w:left w:val="nil"/>
              <w:bottom w:val="nil"/>
              <w:right w:val="single" w:sz="4" w:space="0" w:color="auto"/>
            </w:tcBorders>
            <w:shd w:val="clear" w:color="auto" w:fill="auto"/>
            <w:noWrap/>
            <w:vAlign w:val="bottom"/>
            <w:hideMark/>
          </w:tcPr>
          <w:p w14:paraId="7D861EB2"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1D547E6A" w14:textId="77777777" w:rsidR="00387142" w:rsidRPr="008B6A75" w:rsidRDefault="00387142" w:rsidP="00387142">
            <w:pPr>
              <w:rPr>
                <w:bCs/>
                <w:sz w:val="20"/>
                <w:szCs w:val="20"/>
              </w:rPr>
            </w:pPr>
            <w:r w:rsidRPr="008B6A75">
              <w:rPr>
                <w:bCs/>
                <w:sz w:val="20"/>
                <w:szCs w:val="20"/>
              </w:rPr>
              <w:t>Муниципальная программа "Развитие системы образования Куйбышевского района"</w:t>
            </w:r>
          </w:p>
        </w:tc>
        <w:tc>
          <w:tcPr>
            <w:tcW w:w="1559" w:type="dxa"/>
            <w:tcBorders>
              <w:top w:val="nil"/>
              <w:left w:val="single" w:sz="4" w:space="0" w:color="auto"/>
              <w:bottom w:val="single" w:sz="4" w:space="0" w:color="auto"/>
              <w:right w:val="nil"/>
            </w:tcBorders>
            <w:shd w:val="clear" w:color="auto" w:fill="auto"/>
            <w:noWrap/>
            <w:vAlign w:val="center"/>
            <w:hideMark/>
          </w:tcPr>
          <w:p w14:paraId="4D8263C7" w14:textId="77777777" w:rsidR="00387142" w:rsidRPr="008B6A75" w:rsidRDefault="00387142" w:rsidP="00387142">
            <w:pPr>
              <w:jc w:val="center"/>
              <w:rPr>
                <w:bCs/>
                <w:sz w:val="20"/>
                <w:szCs w:val="20"/>
              </w:rPr>
            </w:pPr>
            <w:r w:rsidRPr="008B6A75">
              <w:rPr>
                <w:bCs/>
                <w:sz w:val="20"/>
                <w:szCs w:val="20"/>
              </w:rPr>
              <w:t>07.0.00.00000</w:t>
            </w:r>
          </w:p>
        </w:tc>
        <w:tc>
          <w:tcPr>
            <w:tcW w:w="850" w:type="dxa"/>
            <w:tcBorders>
              <w:top w:val="nil"/>
              <w:left w:val="single" w:sz="4" w:space="0" w:color="auto"/>
              <w:bottom w:val="single" w:sz="4" w:space="0" w:color="auto"/>
              <w:right w:val="nil"/>
            </w:tcBorders>
            <w:shd w:val="clear" w:color="auto" w:fill="auto"/>
            <w:noWrap/>
            <w:vAlign w:val="center"/>
            <w:hideMark/>
          </w:tcPr>
          <w:p w14:paraId="1E3A96C5" w14:textId="77777777" w:rsidR="00387142" w:rsidRPr="008B6A75" w:rsidRDefault="00387142" w:rsidP="00387142">
            <w:pPr>
              <w:jc w:val="center"/>
              <w:rPr>
                <w:bCs/>
                <w:sz w:val="20"/>
                <w:szCs w:val="20"/>
              </w:rPr>
            </w:pPr>
            <w:r w:rsidRPr="008B6A75">
              <w:rPr>
                <w:bCs/>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48B6D65D" w14:textId="77777777" w:rsidR="00387142" w:rsidRPr="008B6A75" w:rsidRDefault="00387142" w:rsidP="00387142">
            <w:pPr>
              <w:jc w:val="center"/>
              <w:rPr>
                <w:bCs/>
                <w:sz w:val="20"/>
                <w:szCs w:val="20"/>
              </w:rPr>
            </w:pPr>
            <w:r w:rsidRPr="008B6A75">
              <w:rPr>
                <w:bCs/>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294A7C9D" w14:textId="77777777" w:rsidR="00387142" w:rsidRPr="008B6A75" w:rsidRDefault="00387142" w:rsidP="00387142">
            <w:pPr>
              <w:jc w:val="center"/>
              <w:rPr>
                <w:bCs/>
                <w:sz w:val="20"/>
                <w:szCs w:val="20"/>
              </w:rPr>
            </w:pPr>
            <w:r w:rsidRPr="008B6A75">
              <w:rPr>
                <w:bCs/>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99B49CF" w14:textId="77777777" w:rsidR="00387142" w:rsidRPr="008B6A75" w:rsidRDefault="00387142" w:rsidP="00387142">
            <w:pPr>
              <w:jc w:val="right"/>
              <w:rPr>
                <w:bCs/>
                <w:sz w:val="20"/>
                <w:szCs w:val="20"/>
              </w:rPr>
            </w:pPr>
            <w:r w:rsidRPr="008B6A75">
              <w:rPr>
                <w:bCs/>
                <w:sz w:val="20"/>
                <w:szCs w:val="20"/>
              </w:rPr>
              <w:t>1 682 319 434,11</w:t>
            </w:r>
          </w:p>
        </w:tc>
        <w:tc>
          <w:tcPr>
            <w:tcW w:w="851" w:type="dxa"/>
            <w:tcBorders>
              <w:top w:val="nil"/>
              <w:left w:val="single" w:sz="4" w:space="0" w:color="auto"/>
              <w:bottom w:val="single" w:sz="4" w:space="0" w:color="auto"/>
              <w:right w:val="nil"/>
            </w:tcBorders>
            <w:shd w:val="clear" w:color="auto" w:fill="auto"/>
            <w:noWrap/>
            <w:vAlign w:val="center"/>
            <w:hideMark/>
          </w:tcPr>
          <w:p w14:paraId="456B5B92" w14:textId="77777777" w:rsidR="00387142" w:rsidRPr="008B6A75" w:rsidRDefault="00387142" w:rsidP="00387142">
            <w:pPr>
              <w:jc w:val="right"/>
              <w:rPr>
                <w:bCs/>
                <w:sz w:val="20"/>
                <w:szCs w:val="20"/>
              </w:rPr>
            </w:pPr>
            <w:r w:rsidRPr="008B6A75">
              <w:rPr>
                <w:bCs/>
                <w:sz w:val="20"/>
                <w:szCs w:val="20"/>
              </w:rPr>
              <w:t>1 241 908 400,00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42A4D3EB" w14:textId="77777777" w:rsidR="00387142" w:rsidRPr="008B6A75" w:rsidRDefault="00387142" w:rsidP="00387142">
            <w:pPr>
              <w:jc w:val="right"/>
              <w:rPr>
                <w:bCs/>
                <w:sz w:val="20"/>
                <w:szCs w:val="20"/>
              </w:rPr>
            </w:pPr>
            <w:r w:rsidRPr="008B6A75">
              <w:rPr>
                <w:bCs/>
                <w:sz w:val="20"/>
                <w:szCs w:val="20"/>
              </w:rPr>
              <w:t>1 259 226 900,00</w:t>
            </w:r>
          </w:p>
        </w:tc>
      </w:tr>
      <w:tr w:rsidR="00387142" w:rsidRPr="008B6A75" w14:paraId="1E5C1E47" w14:textId="77777777" w:rsidTr="00387142">
        <w:trPr>
          <w:trHeight w:val="585"/>
        </w:trPr>
        <w:tc>
          <w:tcPr>
            <w:tcW w:w="272" w:type="dxa"/>
            <w:tcBorders>
              <w:top w:val="nil"/>
              <w:left w:val="nil"/>
              <w:bottom w:val="nil"/>
              <w:right w:val="single" w:sz="4" w:space="0" w:color="auto"/>
            </w:tcBorders>
            <w:shd w:val="clear" w:color="auto" w:fill="auto"/>
            <w:noWrap/>
            <w:vAlign w:val="bottom"/>
            <w:hideMark/>
          </w:tcPr>
          <w:p w14:paraId="0EFC98E3"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0B81F02B" w14:textId="77777777" w:rsidR="00387142" w:rsidRPr="008B6A75" w:rsidRDefault="00387142" w:rsidP="00387142">
            <w:pPr>
              <w:rPr>
                <w:bCs/>
                <w:sz w:val="20"/>
                <w:szCs w:val="20"/>
              </w:rPr>
            </w:pPr>
            <w:r w:rsidRPr="008B6A75">
              <w:rPr>
                <w:bCs/>
                <w:sz w:val="20"/>
                <w:szCs w:val="20"/>
              </w:rPr>
              <w:t>Подпрограмма "Развитие дошкольного, общего и дополнительного образования детей"</w:t>
            </w:r>
          </w:p>
        </w:tc>
        <w:tc>
          <w:tcPr>
            <w:tcW w:w="1559" w:type="dxa"/>
            <w:tcBorders>
              <w:top w:val="nil"/>
              <w:left w:val="single" w:sz="4" w:space="0" w:color="auto"/>
              <w:bottom w:val="single" w:sz="4" w:space="0" w:color="auto"/>
              <w:right w:val="nil"/>
            </w:tcBorders>
            <w:shd w:val="clear" w:color="auto" w:fill="auto"/>
            <w:noWrap/>
            <w:vAlign w:val="center"/>
            <w:hideMark/>
          </w:tcPr>
          <w:p w14:paraId="12E761D6" w14:textId="77777777" w:rsidR="00387142" w:rsidRPr="008B6A75" w:rsidRDefault="00387142" w:rsidP="00387142">
            <w:pPr>
              <w:jc w:val="center"/>
              <w:rPr>
                <w:bCs/>
                <w:sz w:val="20"/>
                <w:szCs w:val="20"/>
              </w:rPr>
            </w:pPr>
            <w:r w:rsidRPr="008B6A75">
              <w:rPr>
                <w:bCs/>
                <w:sz w:val="20"/>
                <w:szCs w:val="20"/>
              </w:rPr>
              <w:t>07.1.00.00000</w:t>
            </w:r>
          </w:p>
        </w:tc>
        <w:tc>
          <w:tcPr>
            <w:tcW w:w="850" w:type="dxa"/>
            <w:tcBorders>
              <w:top w:val="nil"/>
              <w:left w:val="single" w:sz="4" w:space="0" w:color="auto"/>
              <w:bottom w:val="single" w:sz="4" w:space="0" w:color="auto"/>
              <w:right w:val="nil"/>
            </w:tcBorders>
            <w:shd w:val="clear" w:color="auto" w:fill="auto"/>
            <w:noWrap/>
            <w:vAlign w:val="center"/>
            <w:hideMark/>
          </w:tcPr>
          <w:p w14:paraId="51A11BC5" w14:textId="77777777" w:rsidR="00387142" w:rsidRPr="008B6A75" w:rsidRDefault="00387142" w:rsidP="00387142">
            <w:pPr>
              <w:jc w:val="center"/>
              <w:rPr>
                <w:bCs/>
                <w:sz w:val="20"/>
                <w:szCs w:val="20"/>
              </w:rPr>
            </w:pPr>
            <w:r w:rsidRPr="008B6A75">
              <w:rPr>
                <w:bCs/>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2CB323EB" w14:textId="77777777" w:rsidR="00387142" w:rsidRPr="008B6A75" w:rsidRDefault="00387142" w:rsidP="00387142">
            <w:pPr>
              <w:jc w:val="center"/>
              <w:rPr>
                <w:bCs/>
                <w:sz w:val="20"/>
                <w:szCs w:val="20"/>
              </w:rPr>
            </w:pPr>
            <w:r w:rsidRPr="008B6A75">
              <w:rPr>
                <w:bCs/>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6F75AF8E" w14:textId="77777777" w:rsidR="00387142" w:rsidRPr="008B6A75" w:rsidRDefault="00387142" w:rsidP="00387142">
            <w:pPr>
              <w:jc w:val="center"/>
              <w:rPr>
                <w:bCs/>
                <w:sz w:val="20"/>
                <w:szCs w:val="20"/>
              </w:rPr>
            </w:pPr>
            <w:r w:rsidRPr="008B6A75">
              <w:rPr>
                <w:bCs/>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0DCDBD7" w14:textId="77777777" w:rsidR="00387142" w:rsidRPr="008B6A75" w:rsidRDefault="00387142" w:rsidP="00387142">
            <w:pPr>
              <w:jc w:val="right"/>
              <w:rPr>
                <w:bCs/>
                <w:sz w:val="20"/>
                <w:szCs w:val="20"/>
              </w:rPr>
            </w:pPr>
            <w:r w:rsidRPr="008B6A75">
              <w:rPr>
                <w:bCs/>
                <w:sz w:val="20"/>
                <w:szCs w:val="20"/>
              </w:rPr>
              <w:t>1 669 159 312,45</w:t>
            </w:r>
          </w:p>
        </w:tc>
        <w:tc>
          <w:tcPr>
            <w:tcW w:w="851" w:type="dxa"/>
            <w:tcBorders>
              <w:top w:val="nil"/>
              <w:left w:val="single" w:sz="4" w:space="0" w:color="auto"/>
              <w:bottom w:val="single" w:sz="4" w:space="0" w:color="auto"/>
              <w:right w:val="nil"/>
            </w:tcBorders>
            <w:shd w:val="clear" w:color="auto" w:fill="auto"/>
            <w:noWrap/>
            <w:vAlign w:val="center"/>
            <w:hideMark/>
          </w:tcPr>
          <w:p w14:paraId="03EA8753" w14:textId="77777777" w:rsidR="00387142" w:rsidRPr="008B6A75" w:rsidRDefault="00387142" w:rsidP="00387142">
            <w:pPr>
              <w:jc w:val="right"/>
              <w:rPr>
                <w:bCs/>
                <w:sz w:val="20"/>
                <w:szCs w:val="20"/>
              </w:rPr>
            </w:pPr>
            <w:r w:rsidRPr="008B6A75">
              <w:rPr>
                <w:bCs/>
                <w:sz w:val="20"/>
                <w:szCs w:val="20"/>
              </w:rPr>
              <w:t>1 239 068 791,00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575621D0" w14:textId="77777777" w:rsidR="00387142" w:rsidRPr="008B6A75" w:rsidRDefault="00387142" w:rsidP="00387142">
            <w:pPr>
              <w:jc w:val="right"/>
              <w:rPr>
                <w:bCs/>
                <w:sz w:val="20"/>
                <w:szCs w:val="20"/>
              </w:rPr>
            </w:pPr>
            <w:r w:rsidRPr="008B6A75">
              <w:rPr>
                <w:bCs/>
                <w:sz w:val="20"/>
                <w:szCs w:val="20"/>
              </w:rPr>
              <w:t>1 256 513 900,00</w:t>
            </w:r>
          </w:p>
        </w:tc>
      </w:tr>
      <w:tr w:rsidR="00387142" w:rsidRPr="008B6A75" w14:paraId="2B6D6DD5" w14:textId="77777777" w:rsidTr="00387142">
        <w:trPr>
          <w:trHeight w:val="2295"/>
        </w:trPr>
        <w:tc>
          <w:tcPr>
            <w:tcW w:w="272" w:type="dxa"/>
            <w:tcBorders>
              <w:top w:val="nil"/>
              <w:left w:val="nil"/>
              <w:bottom w:val="nil"/>
              <w:right w:val="single" w:sz="4" w:space="0" w:color="auto"/>
            </w:tcBorders>
            <w:shd w:val="clear" w:color="auto" w:fill="auto"/>
            <w:noWrap/>
            <w:vAlign w:val="bottom"/>
            <w:hideMark/>
          </w:tcPr>
          <w:p w14:paraId="4F024AFB"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26035A13" w14:textId="77777777" w:rsidR="00387142" w:rsidRPr="008B6A75" w:rsidRDefault="00387142" w:rsidP="00387142">
            <w:pPr>
              <w:rPr>
                <w:bCs/>
                <w:sz w:val="20"/>
                <w:szCs w:val="20"/>
              </w:rPr>
            </w:pPr>
            <w:r w:rsidRPr="008B6A75">
              <w:rPr>
                <w:bCs/>
                <w:sz w:val="20"/>
                <w:szCs w:val="20"/>
              </w:rPr>
              <w:t>Реализация мероприятий по установке и модернизации систем видеонаблюдения, автоматической пожарной сигнализации и пожарного мониторинга государственной программы Новосибирской области "Построение и развитие аппаратно-программного комплекса "Безопасный город" в Новосибирской области"</w:t>
            </w:r>
          </w:p>
        </w:tc>
        <w:tc>
          <w:tcPr>
            <w:tcW w:w="1559" w:type="dxa"/>
            <w:tcBorders>
              <w:top w:val="nil"/>
              <w:left w:val="single" w:sz="4" w:space="0" w:color="auto"/>
              <w:bottom w:val="single" w:sz="4" w:space="0" w:color="auto"/>
              <w:right w:val="nil"/>
            </w:tcBorders>
            <w:shd w:val="clear" w:color="auto" w:fill="auto"/>
            <w:noWrap/>
            <w:vAlign w:val="center"/>
            <w:hideMark/>
          </w:tcPr>
          <w:p w14:paraId="69A34B0A" w14:textId="77777777" w:rsidR="00387142" w:rsidRPr="008B6A75" w:rsidRDefault="00387142" w:rsidP="00387142">
            <w:pPr>
              <w:jc w:val="center"/>
              <w:rPr>
                <w:bCs/>
                <w:sz w:val="20"/>
                <w:szCs w:val="20"/>
              </w:rPr>
            </w:pPr>
            <w:r w:rsidRPr="008B6A75">
              <w:rPr>
                <w:bCs/>
                <w:sz w:val="20"/>
                <w:szCs w:val="20"/>
              </w:rPr>
              <w:t>07.1.00.02590</w:t>
            </w:r>
          </w:p>
        </w:tc>
        <w:tc>
          <w:tcPr>
            <w:tcW w:w="850" w:type="dxa"/>
            <w:tcBorders>
              <w:top w:val="nil"/>
              <w:left w:val="single" w:sz="4" w:space="0" w:color="auto"/>
              <w:bottom w:val="single" w:sz="4" w:space="0" w:color="auto"/>
              <w:right w:val="nil"/>
            </w:tcBorders>
            <w:shd w:val="clear" w:color="auto" w:fill="auto"/>
            <w:noWrap/>
            <w:vAlign w:val="center"/>
            <w:hideMark/>
          </w:tcPr>
          <w:p w14:paraId="3882AB0E" w14:textId="77777777" w:rsidR="00387142" w:rsidRPr="008B6A75" w:rsidRDefault="00387142" w:rsidP="00387142">
            <w:pPr>
              <w:jc w:val="center"/>
              <w:rPr>
                <w:bCs/>
                <w:sz w:val="20"/>
                <w:szCs w:val="20"/>
              </w:rPr>
            </w:pPr>
            <w:r w:rsidRPr="008B6A75">
              <w:rPr>
                <w:bCs/>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07E90B8F" w14:textId="77777777" w:rsidR="00387142" w:rsidRPr="008B6A75" w:rsidRDefault="00387142" w:rsidP="00387142">
            <w:pPr>
              <w:jc w:val="center"/>
              <w:rPr>
                <w:bCs/>
                <w:sz w:val="20"/>
                <w:szCs w:val="20"/>
              </w:rPr>
            </w:pPr>
            <w:r w:rsidRPr="008B6A75">
              <w:rPr>
                <w:bCs/>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126D2DC4" w14:textId="77777777" w:rsidR="00387142" w:rsidRPr="008B6A75" w:rsidRDefault="00387142" w:rsidP="00387142">
            <w:pPr>
              <w:jc w:val="center"/>
              <w:rPr>
                <w:bCs/>
                <w:sz w:val="20"/>
                <w:szCs w:val="20"/>
              </w:rPr>
            </w:pPr>
            <w:r w:rsidRPr="008B6A75">
              <w:rPr>
                <w:bCs/>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1817041" w14:textId="77777777" w:rsidR="00387142" w:rsidRPr="008B6A75" w:rsidRDefault="00387142" w:rsidP="00387142">
            <w:pPr>
              <w:jc w:val="right"/>
              <w:rPr>
                <w:bCs/>
                <w:sz w:val="20"/>
                <w:szCs w:val="20"/>
              </w:rPr>
            </w:pPr>
            <w:r w:rsidRPr="008B6A75">
              <w:rPr>
                <w:bCs/>
                <w:sz w:val="20"/>
                <w:szCs w:val="20"/>
              </w:rPr>
              <w:t>1 000 000,00</w:t>
            </w:r>
          </w:p>
        </w:tc>
        <w:tc>
          <w:tcPr>
            <w:tcW w:w="851" w:type="dxa"/>
            <w:tcBorders>
              <w:top w:val="nil"/>
              <w:left w:val="single" w:sz="4" w:space="0" w:color="auto"/>
              <w:bottom w:val="single" w:sz="4" w:space="0" w:color="auto"/>
              <w:right w:val="nil"/>
            </w:tcBorders>
            <w:shd w:val="clear" w:color="auto" w:fill="auto"/>
            <w:noWrap/>
            <w:vAlign w:val="center"/>
            <w:hideMark/>
          </w:tcPr>
          <w:p w14:paraId="5DBC1BFE" w14:textId="77777777" w:rsidR="00387142" w:rsidRPr="008B6A75" w:rsidRDefault="00387142" w:rsidP="00387142">
            <w:pPr>
              <w:jc w:val="right"/>
              <w:rPr>
                <w:bCs/>
                <w:sz w:val="20"/>
                <w:szCs w:val="20"/>
              </w:rPr>
            </w:pPr>
            <w:r w:rsidRPr="008B6A75">
              <w:rPr>
                <w:bCs/>
                <w:sz w:val="20"/>
                <w:szCs w:val="20"/>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148AC9D3" w14:textId="77777777" w:rsidR="00387142" w:rsidRPr="008B6A75" w:rsidRDefault="00387142" w:rsidP="00387142">
            <w:pPr>
              <w:jc w:val="right"/>
              <w:rPr>
                <w:bCs/>
                <w:sz w:val="20"/>
                <w:szCs w:val="20"/>
              </w:rPr>
            </w:pPr>
            <w:r w:rsidRPr="008B6A75">
              <w:rPr>
                <w:bCs/>
                <w:sz w:val="20"/>
                <w:szCs w:val="20"/>
              </w:rPr>
              <w:t>1 000 000,00</w:t>
            </w:r>
          </w:p>
        </w:tc>
      </w:tr>
      <w:tr w:rsidR="00387142" w:rsidRPr="008B6A75" w14:paraId="352F8A9A" w14:textId="77777777" w:rsidTr="00387142">
        <w:trPr>
          <w:trHeight w:val="585"/>
        </w:trPr>
        <w:tc>
          <w:tcPr>
            <w:tcW w:w="272" w:type="dxa"/>
            <w:tcBorders>
              <w:top w:val="nil"/>
              <w:left w:val="nil"/>
              <w:bottom w:val="nil"/>
              <w:right w:val="single" w:sz="4" w:space="0" w:color="auto"/>
            </w:tcBorders>
            <w:shd w:val="clear" w:color="auto" w:fill="auto"/>
            <w:noWrap/>
            <w:vAlign w:val="bottom"/>
            <w:hideMark/>
          </w:tcPr>
          <w:p w14:paraId="201B577A"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53F7A7A7" w14:textId="77777777" w:rsidR="00387142" w:rsidRPr="008B6A75" w:rsidRDefault="00387142" w:rsidP="00387142">
            <w:pPr>
              <w:rPr>
                <w:sz w:val="20"/>
                <w:szCs w:val="20"/>
              </w:rPr>
            </w:pPr>
            <w:r w:rsidRPr="008B6A75">
              <w:rPr>
                <w:sz w:val="20"/>
                <w:szCs w:val="20"/>
              </w:rPr>
              <w:t>Закупка товаров, работ и услуг для обеспечения государственных (муниципальных) нужд</w:t>
            </w:r>
          </w:p>
        </w:tc>
        <w:tc>
          <w:tcPr>
            <w:tcW w:w="1559" w:type="dxa"/>
            <w:tcBorders>
              <w:top w:val="nil"/>
              <w:left w:val="single" w:sz="4" w:space="0" w:color="auto"/>
              <w:bottom w:val="single" w:sz="4" w:space="0" w:color="auto"/>
              <w:right w:val="nil"/>
            </w:tcBorders>
            <w:shd w:val="clear" w:color="auto" w:fill="auto"/>
            <w:noWrap/>
            <w:vAlign w:val="center"/>
            <w:hideMark/>
          </w:tcPr>
          <w:p w14:paraId="5EE7A4AE" w14:textId="77777777" w:rsidR="00387142" w:rsidRPr="008B6A75" w:rsidRDefault="00387142" w:rsidP="00387142">
            <w:pPr>
              <w:jc w:val="center"/>
              <w:rPr>
                <w:sz w:val="20"/>
                <w:szCs w:val="20"/>
              </w:rPr>
            </w:pPr>
            <w:r w:rsidRPr="008B6A75">
              <w:rPr>
                <w:sz w:val="20"/>
                <w:szCs w:val="20"/>
              </w:rPr>
              <w:t>07.1.00.02590</w:t>
            </w:r>
          </w:p>
        </w:tc>
        <w:tc>
          <w:tcPr>
            <w:tcW w:w="850" w:type="dxa"/>
            <w:tcBorders>
              <w:top w:val="nil"/>
              <w:left w:val="single" w:sz="4" w:space="0" w:color="auto"/>
              <w:bottom w:val="single" w:sz="4" w:space="0" w:color="auto"/>
              <w:right w:val="nil"/>
            </w:tcBorders>
            <w:shd w:val="clear" w:color="auto" w:fill="auto"/>
            <w:noWrap/>
            <w:vAlign w:val="center"/>
            <w:hideMark/>
          </w:tcPr>
          <w:p w14:paraId="77A5A071" w14:textId="77777777" w:rsidR="00387142" w:rsidRPr="008B6A75" w:rsidRDefault="00387142" w:rsidP="00387142">
            <w:pPr>
              <w:jc w:val="center"/>
              <w:rPr>
                <w:sz w:val="20"/>
                <w:szCs w:val="20"/>
              </w:rPr>
            </w:pPr>
            <w:r w:rsidRPr="008B6A75">
              <w:rPr>
                <w:sz w:val="20"/>
                <w:szCs w:val="20"/>
              </w:rPr>
              <w:t>200</w:t>
            </w:r>
          </w:p>
        </w:tc>
        <w:tc>
          <w:tcPr>
            <w:tcW w:w="567" w:type="dxa"/>
            <w:tcBorders>
              <w:top w:val="nil"/>
              <w:left w:val="single" w:sz="4" w:space="0" w:color="auto"/>
              <w:bottom w:val="single" w:sz="4" w:space="0" w:color="auto"/>
              <w:right w:val="nil"/>
            </w:tcBorders>
            <w:shd w:val="clear" w:color="auto" w:fill="auto"/>
            <w:noWrap/>
            <w:vAlign w:val="center"/>
            <w:hideMark/>
          </w:tcPr>
          <w:p w14:paraId="28090B35" w14:textId="77777777" w:rsidR="00387142" w:rsidRPr="008B6A75" w:rsidRDefault="00387142" w:rsidP="00387142">
            <w:pPr>
              <w:jc w:val="center"/>
              <w:rPr>
                <w:sz w:val="20"/>
                <w:szCs w:val="20"/>
              </w:rPr>
            </w:pPr>
            <w:r w:rsidRPr="008B6A75">
              <w:rPr>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7DFFC957" w14:textId="77777777" w:rsidR="00387142" w:rsidRPr="008B6A75" w:rsidRDefault="00387142" w:rsidP="00387142">
            <w:pPr>
              <w:jc w:val="center"/>
              <w:rPr>
                <w:sz w:val="20"/>
                <w:szCs w:val="20"/>
              </w:rPr>
            </w:pPr>
            <w:r w:rsidRPr="008B6A75">
              <w:rPr>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8DC0DAF" w14:textId="77777777" w:rsidR="00387142" w:rsidRPr="008B6A75" w:rsidRDefault="00387142" w:rsidP="00387142">
            <w:pPr>
              <w:jc w:val="right"/>
              <w:rPr>
                <w:sz w:val="20"/>
                <w:szCs w:val="20"/>
              </w:rPr>
            </w:pPr>
            <w:r w:rsidRPr="008B6A75">
              <w:rPr>
                <w:sz w:val="20"/>
                <w:szCs w:val="20"/>
              </w:rPr>
              <w:t>618 834,88</w:t>
            </w:r>
          </w:p>
        </w:tc>
        <w:tc>
          <w:tcPr>
            <w:tcW w:w="851" w:type="dxa"/>
            <w:tcBorders>
              <w:top w:val="nil"/>
              <w:left w:val="single" w:sz="4" w:space="0" w:color="auto"/>
              <w:bottom w:val="single" w:sz="4" w:space="0" w:color="auto"/>
              <w:right w:val="nil"/>
            </w:tcBorders>
            <w:shd w:val="clear" w:color="auto" w:fill="auto"/>
            <w:noWrap/>
            <w:vAlign w:val="center"/>
            <w:hideMark/>
          </w:tcPr>
          <w:p w14:paraId="0D05CED0" w14:textId="77777777" w:rsidR="00387142" w:rsidRPr="008B6A75" w:rsidRDefault="00387142" w:rsidP="00387142">
            <w:pPr>
              <w:jc w:val="right"/>
              <w:rPr>
                <w:sz w:val="20"/>
                <w:szCs w:val="20"/>
              </w:rPr>
            </w:pPr>
            <w:r w:rsidRPr="008B6A75">
              <w:rPr>
                <w:sz w:val="20"/>
                <w:szCs w:val="20"/>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32DBCC0B" w14:textId="77777777" w:rsidR="00387142" w:rsidRPr="008B6A75" w:rsidRDefault="00387142" w:rsidP="00387142">
            <w:pPr>
              <w:jc w:val="right"/>
              <w:rPr>
                <w:sz w:val="20"/>
                <w:szCs w:val="20"/>
              </w:rPr>
            </w:pPr>
            <w:r w:rsidRPr="008B6A75">
              <w:rPr>
                <w:sz w:val="20"/>
                <w:szCs w:val="20"/>
              </w:rPr>
              <w:t>1 000 000,00</w:t>
            </w:r>
          </w:p>
        </w:tc>
      </w:tr>
      <w:tr w:rsidR="00387142" w:rsidRPr="008B6A75" w14:paraId="605A7702" w14:textId="77777777" w:rsidTr="00387142">
        <w:trPr>
          <w:trHeight w:val="870"/>
        </w:trPr>
        <w:tc>
          <w:tcPr>
            <w:tcW w:w="272" w:type="dxa"/>
            <w:tcBorders>
              <w:top w:val="nil"/>
              <w:left w:val="nil"/>
              <w:bottom w:val="nil"/>
              <w:right w:val="single" w:sz="4" w:space="0" w:color="auto"/>
            </w:tcBorders>
            <w:shd w:val="clear" w:color="auto" w:fill="auto"/>
            <w:noWrap/>
            <w:vAlign w:val="bottom"/>
            <w:hideMark/>
          </w:tcPr>
          <w:p w14:paraId="7BE51028"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1DA9C30C" w14:textId="77777777" w:rsidR="00387142" w:rsidRPr="008B6A75" w:rsidRDefault="00387142" w:rsidP="00387142">
            <w:pPr>
              <w:rPr>
                <w:sz w:val="20"/>
                <w:szCs w:val="20"/>
              </w:rPr>
            </w:pPr>
            <w:r w:rsidRPr="008B6A75">
              <w:rPr>
                <w:sz w:val="20"/>
                <w:szCs w:val="20"/>
              </w:rPr>
              <w:t>Иные закупки товаров, работ и услуг для обеспечения государственных (муниципальных) нужд</w:t>
            </w:r>
          </w:p>
        </w:tc>
        <w:tc>
          <w:tcPr>
            <w:tcW w:w="1559" w:type="dxa"/>
            <w:tcBorders>
              <w:top w:val="nil"/>
              <w:left w:val="single" w:sz="4" w:space="0" w:color="auto"/>
              <w:bottom w:val="single" w:sz="4" w:space="0" w:color="auto"/>
              <w:right w:val="nil"/>
            </w:tcBorders>
            <w:shd w:val="clear" w:color="auto" w:fill="auto"/>
            <w:noWrap/>
            <w:vAlign w:val="center"/>
            <w:hideMark/>
          </w:tcPr>
          <w:p w14:paraId="14AC6839" w14:textId="77777777" w:rsidR="00387142" w:rsidRPr="008B6A75" w:rsidRDefault="00387142" w:rsidP="00387142">
            <w:pPr>
              <w:jc w:val="center"/>
              <w:rPr>
                <w:sz w:val="20"/>
                <w:szCs w:val="20"/>
              </w:rPr>
            </w:pPr>
            <w:r w:rsidRPr="008B6A75">
              <w:rPr>
                <w:sz w:val="20"/>
                <w:szCs w:val="20"/>
              </w:rPr>
              <w:t>07.1.00.02590</w:t>
            </w:r>
          </w:p>
        </w:tc>
        <w:tc>
          <w:tcPr>
            <w:tcW w:w="850" w:type="dxa"/>
            <w:tcBorders>
              <w:top w:val="nil"/>
              <w:left w:val="single" w:sz="4" w:space="0" w:color="auto"/>
              <w:bottom w:val="single" w:sz="4" w:space="0" w:color="auto"/>
              <w:right w:val="nil"/>
            </w:tcBorders>
            <w:shd w:val="clear" w:color="auto" w:fill="auto"/>
            <w:noWrap/>
            <w:vAlign w:val="center"/>
            <w:hideMark/>
          </w:tcPr>
          <w:p w14:paraId="35270369" w14:textId="77777777" w:rsidR="00387142" w:rsidRPr="008B6A75" w:rsidRDefault="00387142" w:rsidP="00387142">
            <w:pPr>
              <w:jc w:val="center"/>
              <w:rPr>
                <w:sz w:val="20"/>
                <w:szCs w:val="20"/>
              </w:rPr>
            </w:pPr>
            <w:r w:rsidRPr="008B6A75">
              <w:rPr>
                <w:sz w:val="20"/>
                <w:szCs w:val="20"/>
              </w:rPr>
              <w:t>240</w:t>
            </w:r>
          </w:p>
        </w:tc>
        <w:tc>
          <w:tcPr>
            <w:tcW w:w="567" w:type="dxa"/>
            <w:tcBorders>
              <w:top w:val="nil"/>
              <w:left w:val="single" w:sz="4" w:space="0" w:color="auto"/>
              <w:bottom w:val="single" w:sz="4" w:space="0" w:color="auto"/>
              <w:right w:val="nil"/>
            </w:tcBorders>
            <w:shd w:val="clear" w:color="auto" w:fill="auto"/>
            <w:noWrap/>
            <w:vAlign w:val="center"/>
            <w:hideMark/>
          </w:tcPr>
          <w:p w14:paraId="34BAAF88" w14:textId="77777777" w:rsidR="00387142" w:rsidRPr="008B6A75" w:rsidRDefault="00387142" w:rsidP="00387142">
            <w:pPr>
              <w:jc w:val="center"/>
              <w:rPr>
                <w:sz w:val="20"/>
                <w:szCs w:val="20"/>
              </w:rPr>
            </w:pPr>
            <w:r w:rsidRPr="008B6A75">
              <w:rPr>
                <w:sz w:val="20"/>
                <w:szCs w:val="20"/>
              </w:rPr>
              <w:t>07</w:t>
            </w:r>
          </w:p>
        </w:tc>
        <w:tc>
          <w:tcPr>
            <w:tcW w:w="567" w:type="dxa"/>
            <w:tcBorders>
              <w:top w:val="nil"/>
              <w:left w:val="single" w:sz="4" w:space="0" w:color="auto"/>
              <w:bottom w:val="single" w:sz="4" w:space="0" w:color="auto"/>
              <w:right w:val="nil"/>
            </w:tcBorders>
            <w:shd w:val="clear" w:color="auto" w:fill="auto"/>
            <w:noWrap/>
            <w:vAlign w:val="center"/>
            <w:hideMark/>
          </w:tcPr>
          <w:p w14:paraId="78ECCCD2" w14:textId="77777777" w:rsidR="00387142" w:rsidRPr="008B6A75" w:rsidRDefault="00387142" w:rsidP="00387142">
            <w:pPr>
              <w:jc w:val="center"/>
              <w:rPr>
                <w:sz w:val="20"/>
                <w:szCs w:val="20"/>
              </w:rPr>
            </w:pPr>
            <w:r w:rsidRPr="008B6A75">
              <w:rPr>
                <w:sz w:val="20"/>
                <w:szCs w:val="20"/>
              </w:rPr>
              <w:t>01</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F7A7B04" w14:textId="77777777" w:rsidR="00387142" w:rsidRPr="008B6A75" w:rsidRDefault="00387142" w:rsidP="00387142">
            <w:pPr>
              <w:jc w:val="right"/>
              <w:rPr>
                <w:sz w:val="20"/>
                <w:szCs w:val="20"/>
              </w:rPr>
            </w:pPr>
            <w:r w:rsidRPr="008B6A75">
              <w:rPr>
                <w:sz w:val="20"/>
                <w:szCs w:val="20"/>
              </w:rPr>
              <w:t>63 527,52</w:t>
            </w:r>
          </w:p>
        </w:tc>
        <w:tc>
          <w:tcPr>
            <w:tcW w:w="851" w:type="dxa"/>
            <w:tcBorders>
              <w:top w:val="nil"/>
              <w:left w:val="single" w:sz="4" w:space="0" w:color="auto"/>
              <w:bottom w:val="single" w:sz="4" w:space="0" w:color="auto"/>
              <w:right w:val="nil"/>
            </w:tcBorders>
            <w:shd w:val="clear" w:color="auto" w:fill="auto"/>
            <w:noWrap/>
            <w:vAlign w:val="center"/>
            <w:hideMark/>
          </w:tcPr>
          <w:p w14:paraId="08CE237F" w14:textId="77777777" w:rsidR="00387142" w:rsidRPr="008B6A75" w:rsidRDefault="00387142" w:rsidP="00387142">
            <w:pPr>
              <w:jc w:val="right"/>
              <w:rPr>
                <w:sz w:val="20"/>
                <w:szCs w:val="20"/>
              </w:rPr>
            </w:pPr>
            <w:r w:rsidRPr="008B6A75">
              <w:rPr>
                <w:sz w:val="20"/>
                <w:szCs w:val="20"/>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673466D9" w14:textId="77777777" w:rsidR="00387142" w:rsidRPr="008B6A75" w:rsidRDefault="00387142" w:rsidP="00387142">
            <w:pPr>
              <w:jc w:val="right"/>
              <w:rPr>
                <w:sz w:val="20"/>
                <w:szCs w:val="20"/>
              </w:rPr>
            </w:pPr>
            <w:r w:rsidRPr="008B6A75">
              <w:rPr>
                <w:sz w:val="20"/>
                <w:szCs w:val="20"/>
              </w:rPr>
              <w:t>0,00</w:t>
            </w:r>
          </w:p>
        </w:tc>
      </w:tr>
      <w:tr w:rsidR="00387142" w:rsidRPr="008B6A75" w14:paraId="2F3BFB84" w14:textId="77777777" w:rsidTr="00387142">
        <w:trPr>
          <w:trHeight w:val="870"/>
        </w:trPr>
        <w:tc>
          <w:tcPr>
            <w:tcW w:w="272" w:type="dxa"/>
            <w:tcBorders>
              <w:top w:val="nil"/>
              <w:left w:val="nil"/>
              <w:bottom w:val="nil"/>
              <w:right w:val="single" w:sz="4" w:space="0" w:color="auto"/>
            </w:tcBorders>
            <w:shd w:val="clear" w:color="auto" w:fill="auto"/>
            <w:noWrap/>
            <w:vAlign w:val="bottom"/>
            <w:hideMark/>
          </w:tcPr>
          <w:p w14:paraId="09948250"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2157F0D6" w14:textId="77777777" w:rsidR="00387142" w:rsidRPr="008B6A75" w:rsidRDefault="00387142" w:rsidP="00387142">
            <w:pPr>
              <w:rPr>
                <w:sz w:val="20"/>
                <w:szCs w:val="20"/>
              </w:rPr>
            </w:pPr>
            <w:r w:rsidRPr="008B6A75">
              <w:rPr>
                <w:sz w:val="20"/>
                <w:szCs w:val="20"/>
              </w:rPr>
              <w:t>Иные закупки товаров, работ и услуг для обеспечения государственных (муниципальных) нужд</w:t>
            </w:r>
          </w:p>
        </w:tc>
        <w:tc>
          <w:tcPr>
            <w:tcW w:w="1559" w:type="dxa"/>
            <w:tcBorders>
              <w:top w:val="nil"/>
              <w:left w:val="single" w:sz="4" w:space="0" w:color="auto"/>
              <w:bottom w:val="single" w:sz="4" w:space="0" w:color="auto"/>
              <w:right w:val="nil"/>
            </w:tcBorders>
            <w:shd w:val="clear" w:color="auto" w:fill="auto"/>
            <w:noWrap/>
            <w:vAlign w:val="center"/>
            <w:hideMark/>
          </w:tcPr>
          <w:p w14:paraId="45BEF6F1" w14:textId="77777777" w:rsidR="00387142" w:rsidRPr="008B6A75" w:rsidRDefault="00387142" w:rsidP="00387142">
            <w:pPr>
              <w:jc w:val="center"/>
              <w:rPr>
                <w:sz w:val="20"/>
                <w:szCs w:val="20"/>
              </w:rPr>
            </w:pPr>
            <w:r w:rsidRPr="008B6A75">
              <w:rPr>
                <w:sz w:val="20"/>
                <w:szCs w:val="20"/>
              </w:rPr>
              <w:t>07.1.00.02590</w:t>
            </w:r>
          </w:p>
        </w:tc>
        <w:tc>
          <w:tcPr>
            <w:tcW w:w="850" w:type="dxa"/>
            <w:tcBorders>
              <w:top w:val="nil"/>
              <w:left w:val="single" w:sz="4" w:space="0" w:color="auto"/>
              <w:bottom w:val="single" w:sz="4" w:space="0" w:color="auto"/>
              <w:right w:val="nil"/>
            </w:tcBorders>
            <w:shd w:val="clear" w:color="auto" w:fill="auto"/>
            <w:noWrap/>
            <w:vAlign w:val="center"/>
            <w:hideMark/>
          </w:tcPr>
          <w:p w14:paraId="4A14540A" w14:textId="77777777" w:rsidR="00387142" w:rsidRPr="008B6A75" w:rsidRDefault="00387142" w:rsidP="00387142">
            <w:pPr>
              <w:jc w:val="center"/>
              <w:rPr>
                <w:sz w:val="20"/>
                <w:szCs w:val="20"/>
              </w:rPr>
            </w:pPr>
            <w:r w:rsidRPr="008B6A75">
              <w:rPr>
                <w:sz w:val="20"/>
                <w:szCs w:val="20"/>
              </w:rPr>
              <w:t>240</w:t>
            </w:r>
          </w:p>
        </w:tc>
        <w:tc>
          <w:tcPr>
            <w:tcW w:w="567" w:type="dxa"/>
            <w:tcBorders>
              <w:top w:val="nil"/>
              <w:left w:val="single" w:sz="4" w:space="0" w:color="auto"/>
              <w:bottom w:val="single" w:sz="4" w:space="0" w:color="auto"/>
              <w:right w:val="nil"/>
            </w:tcBorders>
            <w:shd w:val="clear" w:color="auto" w:fill="auto"/>
            <w:noWrap/>
            <w:vAlign w:val="center"/>
            <w:hideMark/>
          </w:tcPr>
          <w:p w14:paraId="08E8F155" w14:textId="77777777" w:rsidR="00387142" w:rsidRPr="008B6A75" w:rsidRDefault="00387142" w:rsidP="00387142">
            <w:pPr>
              <w:jc w:val="center"/>
              <w:rPr>
                <w:sz w:val="20"/>
                <w:szCs w:val="20"/>
              </w:rPr>
            </w:pPr>
            <w:r w:rsidRPr="008B6A75">
              <w:rPr>
                <w:sz w:val="20"/>
                <w:szCs w:val="20"/>
              </w:rPr>
              <w:t>07</w:t>
            </w:r>
          </w:p>
        </w:tc>
        <w:tc>
          <w:tcPr>
            <w:tcW w:w="567" w:type="dxa"/>
            <w:tcBorders>
              <w:top w:val="nil"/>
              <w:left w:val="single" w:sz="4" w:space="0" w:color="auto"/>
              <w:bottom w:val="single" w:sz="4" w:space="0" w:color="auto"/>
              <w:right w:val="nil"/>
            </w:tcBorders>
            <w:shd w:val="clear" w:color="auto" w:fill="auto"/>
            <w:noWrap/>
            <w:vAlign w:val="center"/>
            <w:hideMark/>
          </w:tcPr>
          <w:p w14:paraId="6B7EFA5B" w14:textId="77777777" w:rsidR="00387142" w:rsidRPr="008B6A75" w:rsidRDefault="00387142" w:rsidP="00387142">
            <w:pPr>
              <w:jc w:val="center"/>
              <w:rPr>
                <w:sz w:val="20"/>
                <w:szCs w:val="20"/>
              </w:rPr>
            </w:pPr>
            <w:r w:rsidRPr="008B6A75">
              <w:rPr>
                <w:sz w:val="20"/>
                <w:szCs w:val="20"/>
              </w:rPr>
              <w:t>02</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15762E8" w14:textId="77777777" w:rsidR="00387142" w:rsidRPr="008B6A75" w:rsidRDefault="00387142" w:rsidP="00387142">
            <w:pPr>
              <w:jc w:val="right"/>
              <w:rPr>
                <w:sz w:val="20"/>
                <w:szCs w:val="20"/>
              </w:rPr>
            </w:pPr>
            <w:r w:rsidRPr="008B6A75">
              <w:rPr>
                <w:sz w:val="20"/>
                <w:szCs w:val="20"/>
              </w:rPr>
              <w:t>555 307,36</w:t>
            </w:r>
          </w:p>
        </w:tc>
        <w:tc>
          <w:tcPr>
            <w:tcW w:w="851" w:type="dxa"/>
            <w:tcBorders>
              <w:top w:val="nil"/>
              <w:left w:val="single" w:sz="4" w:space="0" w:color="auto"/>
              <w:bottom w:val="single" w:sz="4" w:space="0" w:color="auto"/>
              <w:right w:val="nil"/>
            </w:tcBorders>
            <w:shd w:val="clear" w:color="auto" w:fill="auto"/>
            <w:noWrap/>
            <w:vAlign w:val="center"/>
            <w:hideMark/>
          </w:tcPr>
          <w:p w14:paraId="107A1CD9" w14:textId="77777777" w:rsidR="00387142" w:rsidRPr="008B6A75" w:rsidRDefault="00387142" w:rsidP="00387142">
            <w:pPr>
              <w:jc w:val="right"/>
              <w:rPr>
                <w:sz w:val="20"/>
                <w:szCs w:val="20"/>
              </w:rPr>
            </w:pPr>
            <w:r w:rsidRPr="008B6A75">
              <w:rPr>
                <w:sz w:val="20"/>
                <w:szCs w:val="20"/>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37B17E03" w14:textId="77777777" w:rsidR="00387142" w:rsidRPr="008B6A75" w:rsidRDefault="00387142" w:rsidP="00387142">
            <w:pPr>
              <w:jc w:val="right"/>
              <w:rPr>
                <w:sz w:val="20"/>
                <w:szCs w:val="20"/>
              </w:rPr>
            </w:pPr>
            <w:r w:rsidRPr="008B6A75">
              <w:rPr>
                <w:sz w:val="20"/>
                <w:szCs w:val="20"/>
              </w:rPr>
              <w:t>0,00</w:t>
            </w:r>
          </w:p>
        </w:tc>
      </w:tr>
      <w:tr w:rsidR="00387142" w:rsidRPr="008B6A75" w14:paraId="0F7838BC" w14:textId="77777777" w:rsidTr="00387142">
        <w:trPr>
          <w:trHeight w:val="870"/>
        </w:trPr>
        <w:tc>
          <w:tcPr>
            <w:tcW w:w="272" w:type="dxa"/>
            <w:tcBorders>
              <w:top w:val="nil"/>
              <w:left w:val="nil"/>
              <w:bottom w:val="nil"/>
              <w:right w:val="single" w:sz="4" w:space="0" w:color="auto"/>
            </w:tcBorders>
            <w:shd w:val="clear" w:color="auto" w:fill="auto"/>
            <w:noWrap/>
            <w:vAlign w:val="bottom"/>
            <w:hideMark/>
          </w:tcPr>
          <w:p w14:paraId="2B2CBE96"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6E984CD7" w14:textId="77777777" w:rsidR="00387142" w:rsidRPr="008B6A75" w:rsidRDefault="00387142" w:rsidP="00387142">
            <w:pPr>
              <w:rPr>
                <w:sz w:val="20"/>
                <w:szCs w:val="20"/>
              </w:rPr>
            </w:pPr>
            <w:r w:rsidRPr="008B6A75">
              <w:rPr>
                <w:sz w:val="20"/>
                <w:szCs w:val="20"/>
              </w:rPr>
              <w:t>Иные закупки товаров, работ и услуг для обеспечения государственных (муниципальных) нужд</w:t>
            </w:r>
          </w:p>
        </w:tc>
        <w:tc>
          <w:tcPr>
            <w:tcW w:w="1559" w:type="dxa"/>
            <w:tcBorders>
              <w:top w:val="nil"/>
              <w:left w:val="single" w:sz="4" w:space="0" w:color="auto"/>
              <w:bottom w:val="single" w:sz="4" w:space="0" w:color="auto"/>
              <w:right w:val="nil"/>
            </w:tcBorders>
            <w:shd w:val="clear" w:color="auto" w:fill="auto"/>
            <w:noWrap/>
            <w:vAlign w:val="center"/>
            <w:hideMark/>
          </w:tcPr>
          <w:p w14:paraId="63C8D7D4" w14:textId="77777777" w:rsidR="00387142" w:rsidRPr="008B6A75" w:rsidRDefault="00387142" w:rsidP="00387142">
            <w:pPr>
              <w:jc w:val="center"/>
              <w:rPr>
                <w:sz w:val="20"/>
                <w:szCs w:val="20"/>
              </w:rPr>
            </w:pPr>
            <w:r w:rsidRPr="008B6A75">
              <w:rPr>
                <w:sz w:val="20"/>
                <w:szCs w:val="20"/>
              </w:rPr>
              <w:t>07.1.00.02590</w:t>
            </w:r>
          </w:p>
        </w:tc>
        <w:tc>
          <w:tcPr>
            <w:tcW w:w="850" w:type="dxa"/>
            <w:tcBorders>
              <w:top w:val="nil"/>
              <w:left w:val="single" w:sz="4" w:space="0" w:color="auto"/>
              <w:bottom w:val="single" w:sz="4" w:space="0" w:color="auto"/>
              <w:right w:val="nil"/>
            </w:tcBorders>
            <w:shd w:val="clear" w:color="auto" w:fill="auto"/>
            <w:noWrap/>
            <w:vAlign w:val="center"/>
            <w:hideMark/>
          </w:tcPr>
          <w:p w14:paraId="2B0CC672" w14:textId="77777777" w:rsidR="00387142" w:rsidRPr="008B6A75" w:rsidRDefault="00387142" w:rsidP="00387142">
            <w:pPr>
              <w:jc w:val="center"/>
              <w:rPr>
                <w:sz w:val="20"/>
                <w:szCs w:val="20"/>
              </w:rPr>
            </w:pPr>
            <w:r w:rsidRPr="008B6A75">
              <w:rPr>
                <w:sz w:val="20"/>
                <w:szCs w:val="20"/>
              </w:rPr>
              <w:t>240</w:t>
            </w:r>
          </w:p>
        </w:tc>
        <w:tc>
          <w:tcPr>
            <w:tcW w:w="567" w:type="dxa"/>
            <w:tcBorders>
              <w:top w:val="nil"/>
              <w:left w:val="single" w:sz="4" w:space="0" w:color="auto"/>
              <w:bottom w:val="single" w:sz="4" w:space="0" w:color="auto"/>
              <w:right w:val="nil"/>
            </w:tcBorders>
            <w:shd w:val="clear" w:color="auto" w:fill="auto"/>
            <w:noWrap/>
            <w:vAlign w:val="center"/>
            <w:hideMark/>
          </w:tcPr>
          <w:p w14:paraId="2425C281" w14:textId="77777777" w:rsidR="00387142" w:rsidRPr="008B6A75" w:rsidRDefault="00387142" w:rsidP="00387142">
            <w:pPr>
              <w:jc w:val="center"/>
              <w:rPr>
                <w:sz w:val="20"/>
                <w:szCs w:val="20"/>
              </w:rPr>
            </w:pPr>
            <w:r w:rsidRPr="008B6A75">
              <w:rPr>
                <w:sz w:val="20"/>
                <w:szCs w:val="20"/>
              </w:rPr>
              <w:t>07</w:t>
            </w:r>
          </w:p>
        </w:tc>
        <w:tc>
          <w:tcPr>
            <w:tcW w:w="567" w:type="dxa"/>
            <w:tcBorders>
              <w:top w:val="nil"/>
              <w:left w:val="single" w:sz="4" w:space="0" w:color="auto"/>
              <w:bottom w:val="single" w:sz="4" w:space="0" w:color="auto"/>
              <w:right w:val="nil"/>
            </w:tcBorders>
            <w:shd w:val="clear" w:color="auto" w:fill="auto"/>
            <w:noWrap/>
            <w:vAlign w:val="center"/>
            <w:hideMark/>
          </w:tcPr>
          <w:p w14:paraId="57A3A674" w14:textId="77777777" w:rsidR="00387142" w:rsidRPr="008B6A75" w:rsidRDefault="00387142" w:rsidP="00387142">
            <w:pPr>
              <w:jc w:val="center"/>
              <w:rPr>
                <w:sz w:val="20"/>
                <w:szCs w:val="20"/>
              </w:rPr>
            </w:pPr>
            <w:r w:rsidRPr="008B6A75">
              <w:rPr>
                <w:sz w:val="20"/>
                <w:szCs w:val="20"/>
              </w:rPr>
              <w:t>09</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C3596F1" w14:textId="77777777" w:rsidR="00387142" w:rsidRPr="008B6A75" w:rsidRDefault="00387142" w:rsidP="00387142">
            <w:pPr>
              <w:jc w:val="right"/>
              <w:rPr>
                <w:sz w:val="20"/>
                <w:szCs w:val="20"/>
              </w:rPr>
            </w:pPr>
            <w:r w:rsidRPr="008B6A75">
              <w:rPr>
                <w:sz w:val="20"/>
                <w:szCs w:val="20"/>
              </w:rPr>
              <w:t>0,00</w:t>
            </w:r>
          </w:p>
        </w:tc>
        <w:tc>
          <w:tcPr>
            <w:tcW w:w="851" w:type="dxa"/>
            <w:tcBorders>
              <w:top w:val="nil"/>
              <w:left w:val="single" w:sz="4" w:space="0" w:color="auto"/>
              <w:bottom w:val="single" w:sz="4" w:space="0" w:color="auto"/>
              <w:right w:val="nil"/>
            </w:tcBorders>
            <w:shd w:val="clear" w:color="auto" w:fill="auto"/>
            <w:noWrap/>
            <w:vAlign w:val="center"/>
            <w:hideMark/>
          </w:tcPr>
          <w:p w14:paraId="6EEC7D7B" w14:textId="77777777" w:rsidR="00387142" w:rsidRPr="008B6A75" w:rsidRDefault="00387142" w:rsidP="00387142">
            <w:pPr>
              <w:jc w:val="right"/>
              <w:rPr>
                <w:sz w:val="20"/>
                <w:szCs w:val="20"/>
              </w:rPr>
            </w:pPr>
            <w:r w:rsidRPr="008B6A75">
              <w:rPr>
                <w:sz w:val="20"/>
                <w:szCs w:val="20"/>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0196C109" w14:textId="77777777" w:rsidR="00387142" w:rsidRPr="008B6A75" w:rsidRDefault="00387142" w:rsidP="00387142">
            <w:pPr>
              <w:jc w:val="right"/>
              <w:rPr>
                <w:sz w:val="20"/>
                <w:szCs w:val="20"/>
              </w:rPr>
            </w:pPr>
            <w:r w:rsidRPr="008B6A75">
              <w:rPr>
                <w:sz w:val="20"/>
                <w:szCs w:val="20"/>
              </w:rPr>
              <w:t>1 000 000,00</w:t>
            </w:r>
          </w:p>
        </w:tc>
      </w:tr>
      <w:tr w:rsidR="00387142" w:rsidRPr="008B6A75" w14:paraId="153BAA4D" w14:textId="77777777" w:rsidTr="00387142">
        <w:trPr>
          <w:trHeight w:val="870"/>
        </w:trPr>
        <w:tc>
          <w:tcPr>
            <w:tcW w:w="272" w:type="dxa"/>
            <w:tcBorders>
              <w:top w:val="nil"/>
              <w:left w:val="nil"/>
              <w:bottom w:val="nil"/>
              <w:right w:val="single" w:sz="4" w:space="0" w:color="auto"/>
            </w:tcBorders>
            <w:shd w:val="clear" w:color="auto" w:fill="auto"/>
            <w:noWrap/>
            <w:vAlign w:val="bottom"/>
            <w:hideMark/>
          </w:tcPr>
          <w:p w14:paraId="12253C33"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39831C79" w14:textId="77777777" w:rsidR="00387142" w:rsidRPr="008B6A75" w:rsidRDefault="00387142" w:rsidP="00387142">
            <w:pPr>
              <w:rPr>
                <w:sz w:val="20"/>
                <w:szCs w:val="20"/>
              </w:rPr>
            </w:pPr>
            <w:r w:rsidRPr="008B6A75">
              <w:rPr>
                <w:sz w:val="20"/>
                <w:szCs w:val="20"/>
              </w:rPr>
              <w:t>Предоставление субсидий бюджетным, автономным учреждениям и иным некоммерческим организациям</w:t>
            </w:r>
          </w:p>
        </w:tc>
        <w:tc>
          <w:tcPr>
            <w:tcW w:w="1559" w:type="dxa"/>
            <w:tcBorders>
              <w:top w:val="nil"/>
              <w:left w:val="single" w:sz="4" w:space="0" w:color="auto"/>
              <w:bottom w:val="single" w:sz="4" w:space="0" w:color="auto"/>
              <w:right w:val="nil"/>
            </w:tcBorders>
            <w:shd w:val="clear" w:color="auto" w:fill="auto"/>
            <w:noWrap/>
            <w:vAlign w:val="center"/>
            <w:hideMark/>
          </w:tcPr>
          <w:p w14:paraId="75E82908" w14:textId="77777777" w:rsidR="00387142" w:rsidRPr="008B6A75" w:rsidRDefault="00387142" w:rsidP="00387142">
            <w:pPr>
              <w:jc w:val="center"/>
              <w:rPr>
                <w:sz w:val="20"/>
                <w:szCs w:val="20"/>
              </w:rPr>
            </w:pPr>
            <w:r w:rsidRPr="008B6A75">
              <w:rPr>
                <w:sz w:val="20"/>
                <w:szCs w:val="20"/>
              </w:rPr>
              <w:t>07.1.00.02590</w:t>
            </w:r>
          </w:p>
        </w:tc>
        <w:tc>
          <w:tcPr>
            <w:tcW w:w="850" w:type="dxa"/>
            <w:tcBorders>
              <w:top w:val="nil"/>
              <w:left w:val="single" w:sz="4" w:space="0" w:color="auto"/>
              <w:bottom w:val="single" w:sz="4" w:space="0" w:color="auto"/>
              <w:right w:val="nil"/>
            </w:tcBorders>
            <w:shd w:val="clear" w:color="auto" w:fill="auto"/>
            <w:noWrap/>
            <w:vAlign w:val="center"/>
            <w:hideMark/>
          </w:tcPr>
          <w:p w14:paraId="667AFC9C" w14:textId="77777777" w:rsidR="00387142" w:rsidRPr="008B6A75" w:rsidRDefault="00387142" w:rsidP="00387142">
            <w:pPr>
              <w:jc w:val="center"/>
              <w:rPr>
                <w:sz w:val="20"/>
                <w:szCs w:val="20"/>
              </w:rPr>
            </w:pPr>
            <w:r w:rsidRPr="008B6A75">
              <w:rPr>
                <w:sz w:val="20"/>
                <w:szCs w:val="20"/>
              </w:rPr>
              <w:t>600</w:t>
            </w:r>
          </w:p>
        </w:tc>
        <w:tc>
          <w:tcPr>
            <w:tcW w:w="567" w:type="dxa"/>
            <w:tcBorders>
              <w:top w:val="nil"/>
              <w:left w:val="single" w:sz="4" w:space="0" w:color="auto"/>
              <w:bottom w:val="single" w:sz="4" w:space="0" w:color="auto"/>
              <w:right w:val="nil"/>
            </w:tcBorders>
            <w:shd w:val="clear" w:color="auto" w:fill="auto"/>
            <w:noWrap/>
            <w:vAlign w:val="center"/>
            <w:hideMark/>
          </w:tcPr>
          <w:p w14:paraId="1739CB4F" w14:textId="77777777" w:rsidR="00387142" w:rsidRPr="008B6A75" w:rsidRDefault="00387142" w:rsidP="00387142">
            <w:pPr>
              <w:jc w:val="center"/>
              <w:rPr>
                <w:sz w:val="20"/>
                <w:szCs w:val="20"/>
              </w:rPr>
            </w:pPr>
            <w:r w:rsidRPr="008B6A75">
              <w:rPr>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1F3958FD" w14:textId="77777777" w:rsidR="00387142" w:rsidRPr="008B6A75" w:rsidRDefault="00387142" w:rsidP="00387142">
            <w:pPr>
              <w:jc w:val="center"/>
              <w:rPr>
                <w:sz w:val="20"/>
                <w:szCs w:val="20"/>
              </w:rPr>
            </w:pPr>
            <w:r w:rsidRPr="008B6A75">
              <w:rPr>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61799BB" w14:textId="77777777" w:rsidR="00387142" w:rsidRPr="008B6A75" w:rsidRDefault="00387142" w:rsidP="00387142">
            <w:pPr>
              <w:jc w:val="right"/>
              <w:rPr>
                <w:sz w:val="20"/>
                <w:szCs w:val="20"/>
              </w:rPr>
            </w:pPr>
            <w:r w:rsidRPr="008B6A75">
              <w:rPr>
                <w:sz w:val="20"/>
                <w:szCs w:val="20"/>
              </w:rPr>
              <w:t>381 165,12</w:t>
            </w:r>
          </w:p>
        </w:tc>
        <w:tc>
          <w:tcPr>
            <w:tcW w:w="851" w:type="dxa"/>
            <w:tcBorders>
              <w:top w:val="nil"/>
              <w:left w:val="single" w:sz="4" w:space="0" w:color="auto"/>
              <w:bottom w:val="single" w:sz="4" w:space="0" w:color="auto"/>
              <w:right w:val="nil"/>
            </w:tcBorders>
            <w:shd w:val="clear" w:color="auto" w:fill="auto"/>
            <w:noWrap/>
            <w:vAlign w:val="center"/>
            <w:hideMark/>
          </w:tcPr>
          <w:p w14:paraId="02718124" w14:textId="77777777" w:rsidR="00387142" w:rsidRPr="008B6A75" w:rsidRDefault="00387142" w:rsidP="00387142">
            <w:pPr>
              <w:jc w:val="right"/>
              <w:rPr>
                <w:sz w:val="20"/>
                <w:szCs w:val="20"/>
              </w:rPr>
            </w:pPr>
            <w:r w:rsidRPr="008B6A75">
              <w:rPr>
                <w:sz w:val="20"/>
                <w:szCs w:val="20"/>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5773EC43" w14:textId="77777777" w:rsidR="00387142" w:rsidRPr="008B6A75" w:rsidRDefault="00387142" w:rsidP="00387142">
            <w:pPr>
              <w:jc w:val="right"/>
              <w:rPr>
                <w:sz w:val="20"/>
                <w:szCs w:val="20"/>
              </w:rPr>
            </w:pPr>
            <w:r w:rsidRPr="008B6A75">
              <w:rPr>
                <w:sz w:val="20"/>
                <w:szCs w:val="20"/>
              </w:rPr>
              <w:t>0,00</w:t>
            </w:r>
          </w:p>
        </w:tc>
      </w:tr>
      <w:tr w:rsidR="00387142" w:rsidRPr="008B6A75" w14:paraId="1D841065" w14:textId="77777777" w:rsidTr="00387142">
        <w:trPr>
          <w:trHeight w:val="300"/>
        </w:trPr>
        <w:tc>
          <w:tcPr>
            <w:tcW w:w="272" w:type="dxa"/>
            <w:tcBorders>
              <w:top w:val="nil"/>
              <w:left w:val="nil"/>
              <w:bottom w:val="nil"/>
              <w:right w:val="single" w:sz="4" w:space="0" w:color="auto"/>
            </w:tcBorders>
            <w:shd w:val="clear" w:color="auto" w:fill="auto"/>
            <w:noWrap/>
            <w:vAlign w:val="bottom"/>
            <w:hideMark/>
          </w:tcPr>
          <w:p w14:paraId="2D00FBEE"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19CD9688" w14:textId="77777777" w:rsidR="00387142" w:rsidRPr="008B6A75" w:rsidRDefault="00387142" w:rsidP="00387142">
            <w:pPr>
              <w:rPr>
                <w:sz w:val="20"/>
                <w:szCs w:val="20"/>
              </w:rPr>
            </w:pPr>
            <w:r w:rsidRPr="008B6A75">
              <w:rPr>
                <w:sz w:val="20"/>
                <w:szCs w:val="20"/>
              </w:rPr>
              <w:t>Субсидии бюджетным учреждениям</w:t>
            </w:r>
          </w:p>
        </w:tc>
        <w:tc>
          <w:tcPr>
            <w:tcW w:w="1559" w:type="dxa"/>
            <w:tcBorders>
              <w:top w:val="nil"/>
              <w:left w:val="single" w:sz="4" w:space="0" w:color="auto"/>
              <w:bottom w:val="single" w:sz="4" w:space="0" w:color="auto"/>
              <w:right w:val="nil"/>
            </w:tcBorders>
            <w:shd w:val="clear" w:color="auto" w:fill="auto"/>
            <w:noWrap/>
            <w:vAlign w:val="center"/>
            <w:hideMark/>
          </w:tcPr>
          <w:p w14:paraId="7F14944D" w14:textId="77777777" w:rsidR="00387142" w:rsidRPr="008B6A75" w:rsidRDefault="00387142" w:rsidP="00387142">
            <w:pPr>
              <w:jc w:val="center"/>
              <w:rPr>
                <w:sz w:val="20"/>
                <w:szCs w:val="20"/>
              </w:rPr>
            </w:pPr>
            <w:r w:rsidRPr="008B6A75">
              <w:rPr>
                <w:sz w:val="20"/>
                <w:szCs w:val="20"/>
              </w:rPr>
              <w:t>07.1.00.02590</w:t>
            </w:r>
          </w:p>
        </w:tc>
        <w:tc>
          <w:tcPr>
            <w:tcW w:w="850" w:type="dxa"/>
            <w:tcBorders>
              <w:top w:val="nil"/>
              <w:left w:val="single" w:sz="4" w:space="0" w:color="auto"/>
              <w:bottom w:val="single" w:sz="4" w:space="0" w:color="auto"/>
              <w:right w:val="nil"/>
            </w:tcBorders>
            <w:shd w:val="clear" w:color="auto" w:fill="auto"/>
            <w:noWrap/>
            <w:vAlign w:val="center"/>
            <w:hideMark/>
          </w:tcPr>
          <w:p w14:paraId="538A5751" w14:textId="77777777" w:rsidR="00387142" w:rsidRPr="008B6A75" w:rsidRDefault="00387142" w:rsidP="00387142">
            <w:pPr>
              <w:jc w:val="center"/>
              <w:rPr>
                <w:sz w:val="20"/>
                <w:szCs w:val="20"/>
              </w:rPr>
            </w:pPr>
            <w:r w:rsidRPr="008B6A75">
              <w:rPr>
                <w:sz w:val="20"/>
                <w:szCs w:val="20"/>
              </w:rPr>
              <w:t>610</w:t>
            </w:r>
          </w:p>
        </w:tc>
        <w:tc>
          <w:tcPr>
            <w:tcW w:w="567" w:type="dxa"/>
            <w:tcBorders>
              <w:top w:val="nil"/>
              <w:left w:val="single" w:sz="4" w:space="0" w:color="auto"/>
              <w:bottom w:val="single" w:sz="4" w:space="0" w:color="auto"/>
              <w:right w:val="nil"/>
            </w:tcBorders>
            <w:shd w:val="clear" w:color="auto" w:fill="auto"/>
            <w:noWrap/>
            <w:vAlign w:val="center"/>
            <w:hideMark/>
          </w:tcPr>
          <w:p w14:paraId="7D449650" w14:textId="77777777" w:rsidR="00387142" w:rsidRPr="008B6A75" w:rsidRDefault="00387142" w:rsidP="00387142">
            <w:pPr>
              <w:jc w:val="center"/>
              <w:rPr>
                <w:sz w:val="20"/>
                <w:szCs w:val="20"/>
              </w:rPr>
            </w:pPr>
            <w:r w:rsidRPr="008B6A75">
              <w:rPr>
                <w:sz w:val="20"/>
                <w:szCs w:val="20"/>
              </w:rPr>
              <w:t>07</w:t>
            </w:r>
          </w:p>
        </w:tc>
        <w:tc>
          <w:tcPr>
            <w:tcW w:w="567" w:type="dxa"/>
            <w:tcBorders>
              <w:top w:val="nil"/>
              <w:left w:val="single" w:sz="4" w:space="0" w:color="auto"/>
              <w:bottom w:val="single" w:sz="4" w:space="0" w:color="auto"/>
              <w:right w:val="nil"/>
            </w:tcBorders>
            <w:shd w:val="clear" w:color="auto" w:fill="auto"/>
            <w:noWrap/>
            <w:vAlign w:val="center"/>
            <w:hideMark/>
          </w:tcPr>
          <w:p w14:paraId="4B477DBD" w14:textId="77777777" w:rsidR="00387142" w:rsidRPr="008B6A75" w:rsidRDefault="00387142" w:rsidP="00387142">
            <w:pPr>
              <w:jc w:val="center"/>
              <w:rPr>
                <w:sz w:val="20"/>
                <w:szCs w:val="20"/>
              </w:rPr>
            </w:pPr>
            <w:r w:rsidRPr="008B6A75">
              <w:rPr>
                <w:sz w:val="20"/>
                <w:szCs w:val="20"/>
              </w:rPr>
              <w:t>02</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0AF8D1C" w14:textId="77777777" w:rsidR="00387142" w:rsidRPr="008B6A75" w:rsidRDefault="00387142" w:rsidP="00387142">
            <w:pPr>
              <w:jc w:val="right"/>
              <w:rPr>
                <w:sz w:val="20"/>
                <w:szCs w:val="20"/>
              </w:rPr>
            </w:pPr>
            <w:r w:rsidRPr="008B6A75">
              <w:rPr>
                <w:sz w:val="20"/>
                <w:szCs w:val="20"/>
              </w:rPr>
              <w:t>381 165,12</w:t>
            </w:r>
          </w:p>
        </w:tc>
        <w:tc>
          <w:tcPr>
            <w:tcW w:w="851" w:type="dxa"/>
            <w:tcBorders>
              <w:top w:val="nil"/>
              <w:left w:val="single" w:sz="4" w:space="0" w:color="auto"/>
              <w:bottom w:val="single" w:sz="4" w:space="0" w:color="auto"/>
              <w:right w:val="nil"/>
            </w:tcBorders>
            <w:shd w:val="clear" w:color="auto" w:fill="auto"/>
            <w:noWrap/>
            <w:vAlign w:val="center"/>
            <w:hideMark/>
          </w:tcPr>
          <w:p w14:paraId="39C52FA8" w14:textId="77777777" w:rsidR="00387142" w:rsidRPr="008B6A75" w:rsidRDefault="00387142" w:rsidP="00387142">
            <w:pPr>
              <w:jc w:val="right"/>
              <w:rPr>
                <w:sz w:val="20"/>
                <w:szCs w:val="20"/>
              </w:rPr>
            </w:pPr>
            <w:r w:rsidRPr="008B6A75">
              <w:rPr>
                <w:sz w:val="20"/>
                <w:szCs w:val="20"/>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5CC21A9E" w14:textId="77777777" w:rsidR="00387142" w:rsidRPr="008B6A75" w:rsidRDefault="00387142" w:rsidP="00387142">
            <w:pPr>
              <w:jc w:val="right"/>
              <w:rPr>
                <w:sz w:val="20"/>
                <w:szCs w:val="20"/>
              </w:rPr>
            </w:pPr>
            <w:r w:rsidRPr="008B6A75">
              <w:rPr>
                <w:sz w:val="20"/>
                <w:szCs w:val="20"/>
              </w:rPr>
              <w:t>0,00</w:t>
            </w:r>
          </w:p>
        </w:tc>
      </w:tr>
      <w:tr w:rsidR="00387142" w:rsidRPr="008B6A75" w14:paraId="29F19E7E" w14:textId="77777777" w:rsidTr="00387142">
        <w:trPr>
          <w:trHeight w:val="870"/>
        </w:trPr>
        <w:tc>
          <w:tcPr>
            <w:tcW w:w="272" w:type="dxa"/>
            <w:tcBorders>
              <w:top w:val="nil"/>
              <w:left w:val="nil"/>
              <w:bottom w:val="nil"/>
              <w:right w:val="single" w:sz="4" w:space="0" w:color="auto"/>
            </w:tcBorders>
            <w:shd w:val="clear" w:color="auto" w:fill="auto"/>
            <w:noWrap/>
            <w:vAlign w:val="bottom"/>
            <w:hideMark/>
          </w:tcPr>
          <w:p w14:paraId="6E75A2DE"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31F616FC" w14:textId="77777777" w:rsidR="00387142" w:rsidRPr="008B6A75" w:rsidRDefault="00387142" w:rsidP="00387142">
            <w:pPr>
              <w:rPr>
                <w:bCs/>
                <w:sz w:val="20"/>
                <w:szCs w:val="20"/>
              </w:rPr>
            </w:pPr>
            <w:r w:rsidRPr="008B6A75">
              <w:rPr>
                <w:bCs/>
                <w:sz w:val="20"/>
                <w:szCs w:val="20"/>
              </w:rPr>
              <w:t>Реализация мероприятий на социальную поддержку отдельных категорий детей, обучающихся в образовательных организациях</w:t>
            </w:r>
          </w:p>
        </w:tc>
        <w:tc>
          <w:tcPr>
            <w:tcW w:w="1559" w:type="dxa"/>
            <w:tcBorders>
              <w:top w:val="nil"/>
              <w:left w:val="single" w:sz="4" w:space="0" w:color="auto"/>
              <w:bottom w:val="single" w:sz="4" w:space="0" w:color="auto"/>
              <w:right w:val="nil"/>
            </w:tcBorders>
            <w:shd w:val="clear" w:color="auto" w:fill="auto"/>
            <w:noWrap/>
            <w:vAlign w:val="center"/>
            <w:hideMark/>
          </w:tcPr>
          <w:p w14:paraId="48DC9099" w14:textId="77777777" w:rsidR="00387142" w:rsidRPr="008B6A75" w:rsidRDefault="00387142" w:rsidP="00387142">
            <w:pPr>
              <w:jc w:val="center"/>
              <w:rPr>
                <w:bCs/>
                <w:sz w:val="20"/>
                <w:szCs w:val="20"/>
              </w:rPr>
            </w:pPr>
            <w:r w:rsidRPr="008B6A75">
              <w:rPr>
                <w:bCs/>
                <w:sz w:val="20"/>
                <w:szCs w:val="20"/>
              </w:rPr>
              <w:t>07.1.00.03349</w:t>
            </w:r>
          </w:p>
        </w:tc>
        <w:tc>
          <w:tcPr>
            <w:tcW w:w="850" w:type="dxa"/>
            <w:tcBorders>
              <w:top w:val="nil"/>
              <w:left w:val="single" w:sz="4" w:space="0" w:color="auto"/>
              <w:bottom w:val="single" w:sz="4" w:space="0" w:color="auto"/>
              <w:right w:val="nil"/>
            </w:tcBorders>
            <w:shd w:val="clear" w:color="auto" w:fill="auto"/>
            <w:noWrap/>
            <w:vAlign w:val="center"/>
            <w:hideMark/>
          </w:tcPr>
          <w:p w14:paraId="50A40942" w14:textId="77777777" w:rsidR="00387142" w:rsidRPr="008B6A75" w:rsidRDefault="00387142" w:rsidP="00387142">
            <w:pPr>
              <w:jc w:val="center"/>
              <w:rPr>
                <w:bCs/>
                <w:sz w:val="20"/>
                <w:szCs w:val="20"/>
              </w:rPr>
            </w:pPr>
            <w:r w:rsidRPr="008B6A75">
              <w:rPr>
                <w:bCs/>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40041459" w14:textId="77777777" w:rsidR="00387142" w:rsidRPr="008B6A75" w:rsidRDefault="00387142" w:rsidP="00387142">
            <w:pPr>
              <w:jc w:val="center"/>
              <w:rPr>
                <w:bCs/>
                <w:sz w:val="20"/>
                <w:szCs w:val="20"/>
              </w:rPr>
            </w:pPr>
            <w:r w:rsidRPr="008B6A75">
              <w:rPr>
                <w:bCs/>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778D7F55" w14:textId="77777777" w:rsidR="00387142" w:rsidRPr="008B6A75" w:rsidRDefault="00387142" w:rsidP="00387142">
            <w:pPr>
              <w:jc w:val="center"/>
              <w:rPr>
                <w:bCs/>
                <w:sz w:val="20"/>
                <w:szCs w:val="20"/>
              </w:rPr>
            </w:pPr>
            <w:r w:rsidRPr="008B6A75">
              <w:rPr>
                <w:bCs/>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A5ADA64" w14:textId="77777777" w:rsidR="00387142" w:rsidRPr="008B6A75" w:rsidRDefault="00387142" w:rsidP="00387142">
            <w:pPr>
              <w:jc w:val="right"/>
              <w:rPr>
                <w:bCs/>
                <w:sz w:val="20"/>
                <w:szCs w:val="20"/>
              </w:rPr>
            </w:pPr>
            <w:r w:rsidRPr="008B6A75">
              <w:rPr>
                <w:bCs/>
                <w:sz w:val="20"/>
                <w:szCs w:val="20"/>
              </w:rPr>
              <w:t>26 813 000,00</w:t>
            </w:r>
          </w:p>
        </w:tc>
        <w:tc>
          <w:tcPr>
            <w:tcW w:w="851" w:type="dxa"/>
            <w:tcBorders>
              <w:top w:val="nil"/>
              <w:left w:val="single" w:sz="4" w:space="0" w:color="auto"/>
              <w:bottom w:val="single" w:sz="4" w:space="0" w:color="auto"/>
              <w:right w:val="nil"/>
            </w:tcBorders>
            <w:shd w:val="clear" w:color="auto" w:fill="auto"/>
            <w:noWrap/>
            <w:vAlign w:val="center"/>
            <w:hideMark/>
          </w:tcPr>
          <w:p w14:paraId="5A78E134" w14:textId="77777777" w:rsidR="00387142" w:rsidRPr="008B6A75" w:rsidRDefault="00387142" w:rsidP="00387142">
            <w:pPr>
              <w:jc w:val="right"/>
              <w:rPr>
                <w:bCs/>
                <w:sz w:val="20"/>
                <w:szCs w:val="20"/>
              </w:rPr>
            </w:pPr>
            <w:r w:rsidRPr="008B6A75">
              <w:rPr>
                <w:bCs/>
                <w:sz w:val="20"/>
                <w:szCs w:val="20"/>
              </w:rPr>
              <w:t>23 030 900,00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6A646E8A" w14:textId="77777777" w:rsidR="00387142" w:rsidRPr="008B6A75" w:rsidRDefault="00387142" w:rsidP="00387142">
            <w:pPr>
              <w:jc w:val="right"/>
              <w:rPr>
                <w:bCs/>
                <w:sz w:val="20"/>
                <w:szCs w:val="20"/>
              </w:rPr>
            </w:pPr>
            <w:r w:rsidRPr="008B6A75">
              <w:rPr>
                <w:bCs/>
                <w:sz w:val="20"/>
                <w:szCs w:val="20"/>
              </w:rPr>
              <w:t>23 030 900,00</w:t>
            </w:r>
          </w:p>
        </w:tc>
      </w:tr>
      <w:tr w:rsidR="00387142" w:rsidRPr="008B6A75" w14:paraId="0E9AADEE" w14:textId="77777777" w:rsidTr="00387142">
        <w:trPr>
          <w:trHeight w:val="585"/>
        </w:trPr>
        <w:tc>
          <w:tcPr>
            <w:tcW w:w="272" w:type="dxa"/>
            <w:tcBorders>
              <w:top w:val="nil"/>
              <w:left w:val="nil"/>
              <w:bottom w:val="nil"/>
              <w:right w:val="single" w:sz="4" w:space="0" w:color="auto"/>
            </w:tcBorders>
            <w:shd w:val="clear" w:color="auto" w:fill="auto"/>
            <w:noWrap/>
            <w:vAlign w:val="bottom"/>
            <w:hideMark/>
          </w:tcPr>
          <w:p w14:paraId="355A1301"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5B97CEED" w14:textId="77777777" w:rsidR="00387142" w:rsidRPr="008B6A75" w:rsidRDefault="00387142" w:rsidP="00387142">
            <w:pPr>
              <w:rPr>
                <w:sz w:val="20"/>
                <w:szCs w:val="20"/>
              </w:rPr>
            </w:pPr>
            <w:r w:rsidRPr="008B6A75">
              <w:rPr>
                <w:sz w:val="20"/>
                <w:szCs w:val="20"/>
              </w:rPr>
              <w:t>Закупка товаров, работ и услуг для обеспечения государственных (муниципальных) нужд</w:t>
            </w:r>
          </w:p>
        </w:tc>
        <w:tc>
          <w:tcPr>
            <w:tcW w:w="1559" w:type="dxa"/>
            <w:tcBorders>
              <w:top w:val="nil"/>
              <w:left w:val="single" w:sz="4" w:space="0" w:color="auto"/>
              <w:bottom w:val="single" w:sz="4" w:space="0" w:color="auto"/>
              <w:right w:val="nil"/>
            </w:tcBorders>
            <w:shd w:val="clear" w:color="auto" w:fill="auto"/>
            <w:noWrap/>
            <w:vAlign w:val="center"/>
            <w:hideMark/>
          </w:tcPr>
          <w:p w14:paraId="69EA3176" w14:textId="77777777" w:rsidR="00387142" w:rsidRPr="008B6A75" w:rsidRDefault="00387142" w:rsidP="00387142">
            <w:pPr>
              <w:jc w:val="center"/>
              <w:rPr>
                <w:sz w:val="20"/>
                <w:szCs w:val="20"/>
              </w:rPr>
            </w:pPr>
            <w:r w:rsidRPr="008B6A75">
              <w:rPr>
                <w:sz w:val="20"/>
                <w:szCs w:val="20"/>
              </w:rPr>
              <w:t>07.1.00.03349</w:t>
            </w:r>
          </w:p>
        </w:tc>
        <w:tc>
          <w:tcPr>
            <w:tcW w:w="850" w:type="dxa"/>
            <w:tcBorders>
              <w:top w:val="nil"/>
              <w:left w:val="single" w:sz="4" w:space="0" w:color="auto"/>
              <w:bottom w:val="single" w:sz="4" w:space="0" w:color="auto"/>
              <w:right w:val="nil"/>
            </w:tcBorders>
            <w:shd w:val="clear" w:color="auto" w:fill="auto"/>
            <w:noWrap/>
            <w:vAlign w:val="center"/>
            <w:hideMark/>
          </w:tcPr>
          <w:p w14:paraId="58787420" w14:textId="77777777" w:rsidR="00387142" w:rsidRPr="008B6A75" w:rsidRDefault="00387142" w:rsidP="00387142">
            <w:pPr>
              <w:jc w:val="center"/>
              <w:rPr>
                <w:sz w:val="20"/>
                <w:szCs w:val="20"/>
              </w:rPr>
            </w:pPr>
            <w:r w:rsidRPr="008B6A75">
              <w:rPr>
                <w:sz w:val="20"/>
                <w:szCs w:val="20"/>
              </w:rPr>
              <w:t>200</w:t>
            </w:r>
          </w:p>
        </w:tc>
        <w:tc>
          <w:tcPr>
            <w:tcW w:w="567" w:type="dxa"/>
            <w:tcBorders>
              <w:top w:val="nil"/>
              <w:left w:val="single" w:sz="4" w:space="0" w:color="auto"/>
              <w:bottom w:val="single" w:sz="4" w:space="0" w:color="auto"/>
              <w:right w:val="nil"/>
            </w:tcBorders>
            <w:shd w:val="clear" w:color="auto" w:fill="auto"/>
            <w:noWrap/>
            <w:vAlign w:val="center"/>
            <w:hideMark/>
          </w:tcPr>
          <w:p w14:paraId="200BDDEC" w14:textId="77777777" w:rsidR="00387142" w:rsidRPr="008B6A75" w:rsidRDefault="00387142" w:rsidP="00387142">
            <w:pPr>
              <w:jc w:val="center"/>
              <w:rPr>
                <w:sz w:val="20"/>
                <w:szCs w:val="20"/>
              </w:rPr>
            </w:pPr>
            <w:r w:rsidRPr="008B6A75">
              <w:rPr>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024D689A" w14:textId="77777777" w:rsidR="00387142" w:rsidRPr="008B6A75" w:rsidRDefault="00387142" w:rsidP="00387142">
            <w:pPr>
              <w:jc w:val="center"/>
              <w:rPr>
                <w:sz w:val="20"/>
                <w:szCs w:val="20"/>
              </w:rPr>
            </w:pPr>
            <w:r w:rsidRPr="008B6A75">
              <w:rPr>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EB28275" w14:textId="77777777" w:rsidR="00387142" w:rsidRPr="008B6A75" w:rsidRDefault="00387142" w:rsidP="00387142">
            <w:pPr>
              <w:jc w:val="right"/>
              <w:rPr>
                <w:sz w:val="20"/>
                <w:szCs w:val="20"/>
              </w:rPr>
            </w:pPr>
            <w:r w:rsidRPr="008B6A75">
              <w:rPr>
                <w:sz w:val="20"/>
                <w:szCs w:val="20"/>
              </w:rPr>
              <w:t>17 528 434,00</w:t>
            </w:r>
          </w:p>
        </w:tc>
        <w:tc>
          <w:tcPr>
            <w:tcW w:w="851" w:type="dxa"/>
            <w:tcBorders>
              <w:top w:val="nil"/>
              <w:left w:val="single" w:sz="4" w:space="0" w:color="auto"/>
              <w:bottom w:val="single" w:sz="4" w:space="0" w:color="auto"/>
              <w:right w:val="nil"/>
            </w:tcBorders>
            <w:shd w:val="clear" w:color="auto" w:fill="auto"/>
            <w:noWrap/>
            <w:vAlign w:val="center"/>
            <w:hideMark/>
          </w:tcPr>
          <w:p w14:paraId="5143AA48" w14:textId="77777777" w:rsidR="00387142" w:rsidRPr="008B6A75" w:rsidRDefault="00387142" w:rsidP="00387142">
            <w:pPr>
              <w:jc w:val="right"/>
              <w:rPr>
                <w:sz w:val="20"/>
                <w:szCs w:val="20"/>
              </w:rPr>
            </w:pPr>
            <w:r w:rsidRPr="008B6A75">
              <w:rPr>
                <w:sz w:val="20"/>
                <w:szCs w:val="20"/>
              </w:rPr>
              <w:t>16 200 700,00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2BE86C97" w14:textId="77777777" w:rsidR="00387142" w:rsidRPr="008B6A75" w:rsidRDefault="00387142" w:rsidP="00387142">
            <w:pPr>
              <w:jc w:val="right"/>
              <w:rPr>
                <w:sz w:val="20"/>
                <w:szCs w:val="20"/>
              </w:rPr>
            </w:pPr>
            <w:r w:rsidRPr="008B6A75">
              <w:rPr>
                <w:sz w:val="20"/>
                <w:szCs w:val="20"/>
              </w:rPr>
              <w:t>16 200 700,00</w:t>
            </w:r>
          </w:p>
        </w:tc>
      </w:tr>
      <w:tr w:rsidR="00387142" w:rsidRPr="008B6A75" w14:paraId="02BB8221" w14:textId="77777777" w:rsidTr="00387142">
        <w:trPr>
          <w:trHeight w:val="870"/>
        </w:trPr>
        <w:tc>
          <w:tcPr>
            <w:tcW w:w="272" w:type="dxa"/>
            <w:tcBorders>
              <w:top w:val="nil"/>
              <w:left w:val="nil"/>
              <w:bottom w:val="nil"/>
              <w:right w:val="single" w:sz="4" w:space="0" w:color="auto"/>
            </w:tcBorders>
            <w:shd w:val="clear" w:color="auto" w:fill="auto"/>
            <w:noWrap/>
            <w:vAlign w:val="bottom"/>
            <w:hideMark/>
          </w:tcPr>
          <w:p w14:paraId="5F0F4B77" w14:textId="77777777" w:rsidR="00387142" w:rsidRPr="008B6A75" w:rsidRDefault="00387142" w:rsidP="00387142">
            <w:pPr>
              <w:rPr>
                <w:sz w:val="20"/>
                <w:szCs w:val="20"/>
              </w:rPr>
            </w:pPr>
            <w:r w:rsidRPr="008B6A75">
              <w:rPr>
                <w:sz w:val="20"/>
                <w:szCs w:val="20"/>
              </w:rPr>
              <w:lastRenderedPageBreak/>
              <w:t> </w:t>
            </w:r>
          </w:p>
        </w:tc>
        <w:tc>
          <w:tcPr>
            <w:tcW w:w="3415" w:type="dxa"/>
            <w:tcBorders>
              <w:top w:val="nil"/>
              <w:left w:val="single" w:sz="4" w:space="0" w:color="auto"/>
              <w:bottom w:val="single" w:sz="4" w:space="0" w:color="auto"/>
              <w:right w:val="nil"/>
            </w:tcBorders>
            <w:shd w:val="clear" w:color="auto" w:fill="auto"/>
            <w:vAlign w:val="center"/>
            <w:hideMark/>
          </w:tcPr>
          <w:p w14:paraId="68CF036C" w14:textId="77777777" w:rsidR="00387142" w:rsidRPr="008B6A75" w:rsidRDefault="00387142" w:rsidP="00387142">
            <w:pPr>
              <w:rPr>
                <w:sz w:val="20"/>
                <w:szCs w:val="20"/>
              </w:rPr>
            </w:pPr>
            <w:r w:rsidRPr="008B6A75">
              <w:rPr>
                <w:sz w:val="20"/>
                <w:szCs w:val="20"/>
              </w:rPr>
              <w:t>Иные закупки товаров, работ и услуг для обеспечения государственных (муниципальных) нужд</w:t>
            </w:r>
          </w:p>
        </w:tc>
        <w:tc>
          <w:tcPr>
            <w:tcW w:w="1559" w:type="dxa"/>
            <w:tcBorders>
              <w:top w:val="nil"/>
              <w:left w:val="single" w:sz="4" w:space="0" w:color="auto"/>
              <w:bottom w:val="single" w:sz="4" w:space="0" w:color="auto"/>
              <w:right w:val="nil"/>
            </w:tcBorders>
            <w:shd w:val="clear" w:color="auto" w:fill="auto"/>
            <w:noWrap/>
            <w:vAlign w:val="center"/>
            <w:hideMark/>
          </w:tcPr>
          <w:p w14:paraId="68C3355A" w14:textId="77777777" w:rsidR="00387142" w:rsidRPr="008B6A75" w:rsidRDefault="00387142" w:rsidP="00387142">
            <w:pPr>
              <w:jc w:val="center"/>
              <w:rPr>
                <w:sz w:val="20"/>
                <w:szCs w:val="20"/>
              </w:rPr>
            </w:pPr>
            <w:r w:rsidRPr="008B6A75">
              <w:rPr>
                <w:sz w:val="20"/>
                <w:szCs w:val="20"/>
              </w:rPr>
              <w:t>07.1.00.03349</w:t>
            </w:r>
          </w:p>
        </w:tc>
        <w:tc>
          <w:tcPr>
            <w:tcW w:w="850" w:type="dxa"/>
            <w:tcBorders>
              <w:top w:val="nil"/>
              <w:left w:val="single" w:sz="4" w:space="0" w:color="auto"/>
              <w:bottom w:val="single" w:sz="4" w:space="0" w:color="auto"/>
              <w:right w:val="nil"/>
            </w:tcBorders>
            <w:shd w:val="clear" w:color="auto" w:fill="auto"/>
            <w:noWrap/>
            <w:vAlign w:val="center"/>
            <w:hideMark/>
          </w:tcPr>
          <w:p w14:paraId="23E2A5D9" w14:textId="77777777" w:rsidR="00387142" w:rsidRPr="008B6A75" w:rsidRDefault="00387142" w:rsidP="00387142">
            <w:pPr>
              <w:jc w:val="center"/>
              <w:rPr>
                <w:sz w:val="20"/>
                <w:szCs w:val="20"/>
              </w:rPr>
            </w:pPr>
            <w:r w:rsidRPr="008B6A75">
              <w:rPr>
                <w:sz w:val="20"/>
                <w:szCs w:val="20"/>
              </w:rPr>
              <w:t>240</w:t>
            </w:r>
          </w:p>
        </w:tc>
        <w:tc>
          <w:tcPr>
            <w:tcW w:w="567" w:type="dxa"/>
            <w:tcBorders>
              <w:top w:val="nil"/>
              <w:left w:val="single" w:sz="4" w:space="0" w:color="auto"/>
              <w:bottom w:val="single" w:sz="4" w:space="0" w:color="auto"/>
              <w:right w:val="nil"/>
            </w:tcBorders>
            <w:shd w:val="clear" w:color="auto" w:fill="auto"/>
            <w:noWrap/>
            <w:vAlign w:val="center"/>
            <w:hideMark/>
          </w:tcPr>
          <w:p w14:paraId="49013BBD" w14:textId="77777777" w:rsidR="00387142" w:rsidRPr="008B6A75" w:rsidRDefault="00387142" w:rsidP="00387142">
            <w:pPr>
              <w:jc w:val="center"/>
              <w:rPr>
                <w:sz w:val="20"/>
                <w:szCs w:val="20"/>
              </w:rPr>
            </w:pPr>
            <w:r w:rsidRPr="008B6A75">
              <w:rPr>
                <w:sz w:val="20"/>
                <w:szCs w:val="20"/>
              </w:rPr>
              <w:t>07</w:t>
            </w:r>
          </w:p>
        </w:tc>
        <w:tc>
          <w:tcPr>
            <w:tcW w:w="567" w:type="dxa"/>
            <w:tcBorders>
              <w:top w:val="nil"/>
              <w:left w:val="single" w:sz="4" w:space="0" w:color="auto"/>
              <w:bottom w:val="single" w:sz="4" w:space="0" w:color="auto"/>
              <w:right w:val="nil"/>
            </w:tcBorders>
            <w:shd w:val="clear" w:color="auto" w:fill="auto"/>
            <w:noWrap/>
            <w:vAlign w:val="center"/>
            <w:hideMark/>
          </w:tcPr>
          <w:p w14:paraId="4F5DAD8E" w14:textId="77777777" w:rsidR="00387142" w:rsidRPr="008B6A75" w:rsidRDefault="00387142" w:rsidP="00387142">
            <w:pPr>
              <w:jc w:val="center"/>
              <w:rPr>
                <w:sz w:val="20"/>
                <w:szCs w:val="20"/>
              </w:rPr>
            </w:pPr>
            <w:r w:rsidRPr="008B6A75">
              <w:rPr>
                <w:sz w:val="20"/>
                <w:szCs w:val="20"/>
              </w:rPr>
              <w:t>01</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7D81001" w14:textId="77777777" w:rsidR="00387142" w:rsidRPr="008B6A75" w:rsidRDefault="00387142" w:rsidP="00387142">
            <w:pPr>
              <w:jc w:val="right"/>
              <w:rPr>
                <w:sz w:val="20"/>
                <w:szCs w:val="20"/>
              </w:rPr>
            </w:pPr>
            <w:r w:rsidRPr="008B6A75">
              <w:rPr>
                <w:sz w:val="20"/>
                <w:szCs w:val="20"/>
              </w:rPr>
              <w:t>3 596 379,08</w:t>
            </w:r>
          </w:p>
        </w:tc>
        <w:tc>
          <w:tcPr>
            <w:tcW w:w="851" w:type="dxa"/>
            <w:tcBorders>
              <w:top w:val="nil"/>
              <w:left w:val="single" w:sz="4" w:space="0" w:color="auto"/>
              <w:bottom w:val="single" w:sz="4" w:space="0" w:color="auto"/>
              <w:right w:val="nil"/>
            </w:tcBorders>
            <w:shd w:val="clear" w:color="auto" w:fill="auto"/>
            <w:noWrap/>
            <w:vAlign w:val="center"/>
            <w:hideMark/>
          </w:tcPr>
          <w:p w14:paraId="16EAD407" w14:textId="77777777" w:rsidR="00387142" w:rsidRPr="008B6A75" w:rsidRDefault="00387142" w:rsidP="00387142">
            <w:pPr>
              <w:jc w:val="right"/>
              <w:rPr>
                <w:sz w:val="20"/>
                <w:szCs w:val="20"/>
              </w:rPr>
            </w:pPr>
            <w:r w:rsidRPr="008B6A75">
              <w:rPr>
                <w:sz w:val="20"/>
                <w:szCs w:val="20"/>
              </w:rPr>
              <w:t>4 020 000,00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49D4C5F7" w14:textId="77777777" w:rsidR="00387142" w:rsidRPr="008B6A75" w:rsidRDefault="00387142" w:rsidP="00387142">
            <w:pPr>
              <w:jc w:val="right"/>
              <w:rPr>
                <w:sz w:val="20"/>
                <w:szCs w:val="20"/>
              </w:rPr>
            </w:pPr>
            <w:r w:rsidRPr="008B6A75">
              <w:rPr>
                <w:sz w:val="20"/>
                <w:szCs w:val="20"/>
              </w:rPr>
              <w:t>4 020 000,00</w:t>
            </w:r>
          </w:p>
        </w:tc>
      </w:tr>
      <w:tr w:rsidR="00387142" w:rsidRPr="008B6A75" w14:paraId="1EA46F88" w14:textId="77777777" w:rsidTr="00387142">
        <w:trPr>
          <w:trHeight w:val="870"/>
        </w:trPr>
        <w:tc>
          <w:tcPr>
            <w:tcW w:w="272" w:type="dxa"/>
            <w:tcBorders>
              <w:top w:val="nil"/>
              <w:left w:val="nil"/>
              <w:bottom w:val="nil"/>
              <w:right w:val="single" w:sz="4" w:space="0" w:color="auto"/>
            </w:tcBorders>
            <w:shd w:val="clear" w:color="auto" w:fill="auto"/>
            <w:noWrap/>
            <w:vAlign w:val="bottom"/>
            <w:hideMark/>
          </w:tcPr>
          <w:p w14:paraId="6E7BE6F4"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22581CF9" w14:textId="77777777" w:rsidR="00387142" w:rsidRPr="008B6A75" w:rsidRDefault="00387142" w:rsidP="00387142">
            <w:pPr>
              <w:rPr>
                <w:sz w:val="20"/>
                <w:szCs w:val="20"/>
              </w:rPr>
            </w:pPr>
            <w:r w:rsidRPr="008B6A75">
              <w:rPr>
                <w:sz w:val="20"/>
                <w:szCs w:val="20"/>
              </w:rPr>
              <w:t>Иные закупки товаров, работ и услуг для обеспечения государственных (муниципальных) нужд</w:t>
            </w:r>
          </w:p>
        </w:tc>
        <w:tc>
          <w:tcPr>
            <w:tcW w:w="1559" w:type="dxa"/>
            <w:tcBorders>
              <w:top w:val="nil"/>
              <w:left w:val="single" w:sz="4" w:space="0" w:color="auto"/>
              <w:bottom w:val="single" w:sz="4" w:space="0" w:color="auto"/>
              <w:right w:val="nil"/>
            </w:tcBorders>
            <w:shd w:val="clear" w:color="auto" w:fill="auto"/>
            <w:noWrap/>
            <w:vAlign w:val="center"/>
            <w:hideMark/>
          </w:tcPr>
          <w:p w14:paraId="295C5074" w14:textId="77777777" w:rsidR="00387142" w:rsidRPr="008B6A75" w:rsidRDefault="00387142" w:rsidP="00387142">
            <w:pPr>
              <w:jc w:val="center"/>
              <w:rPr>
                <w:sz w:val="20"/>
                <w:szCs w:val="20"/>
              </w:rPr>
            </w:pPr>
            <w:r w:rsidRPr="008B6A75">
              <w:rPr>
                <w:sz w:val="20"/>
                <w:szCs w:val="20"/>
              </w:rPr>
              <w:t>07.1.00.03349</w:t>
            </w:r>
          </w:p>
        </w:tc>
        <w:tc>
          <w:tcPr>
            <w:tcW w:w="850" w:type="dxa"/>
            <w:tcBorders>
              <w:top w:val="nil"/>
              <w:left w:val="single" w:sz="4" w:space="0" w:color="auto"/>
              <w:bottom w:val="single" w:sz="4" w:space="0" w:color="auto"/>
              <w:right w:val="nil"/>
            </w:tcBorders>
            <w:shd w:val="clear" w:color="auto" w:fill="auto"/>
            <w:noWrap/>
            <w:vAlign w:val="center"/>
            <w:hideMark/>
          </w:tcPr>
          <w:p w14:paraId="55873D5E" w14:textId="77777777" w:rsidR="00387142" w:rsidRPr="008B6A75" w:rsidRDefault="00387142" w:rsidP="00387142">
            <w:pPr>
              <w:jc w:val="center"/>
              <w:rPr>
                <w:sz w:val="20"/>
                <w:szCs w:val="20"/>
              </w:rPr>
            </w:pPr>
            <w:r w:rsidRPr="008B6A75">
              <w:rPr>
                <w:sz w:val="20"/>
                <w:szCs w:val="20"/>
              </w:rPr>
              <w:t>240</w:t>
            </w:r>
          </w:p>
        </w:tc>
        <w:tc>
          <w:tcPr>
            <w:tcW w:w="567" w:type="dxa"/>
            <w:tcBorders>
              <w:top w:val="nil"/>
              <w:left w:val="single" w:sz="4" w:space="0" w:color="auto"/>
              <w:bottom w:val="single" w:sz="4" w:space="0" w:color="auto"/>
              <w:right w:val="nil"/>
            </w:tcBorders>
            <w:shd w:val="clear" w:color="auto" w:fill="auto"/>
            <w:noWrap/>
            <w:vAlign w:val="center"/>
            <w:hideMark/>
          </w:tcPr>
          <w:p w14:paraId="404A2713" w14:textId="77777777" w:rsidR="00387142" w:rsidRPr="008B6A75" w:rsidRDefault="00387142" w:rsidP="00387142">
            <w:pPr>
              <w:jc w:val="center"/>
              <w:rPr>
                <w:sz w:val="20"/>
                <w:szCs w:val="20"/>
              </w:rPr>
            </w:pPr>
            <w:r w:rsidRPr="008B6A75">
              <w:rPr>
                <w:sz w:val="20"/>
                <w:szCs w:val="20"/>
              </w:rPr>
              <w:t>07</w:t>
            </w:r>
          </w:p>
        </w:tc>
        <w:tc>
          <w:tcPr>
            <w:tcW w:w="567" w:type="dxa"/>
            <w:tcBorders>
              <w:top w:val="nil"/>
              <w:left w:val="single" w:sz="4" w:space="0" w:color="auto"/>
              <w:bottom w:val="single" w:sz="4" w:space="0" w:color="auto"/>
              <w:right w:val="nil"/>
            </w:tcBorders>
            <w:shd w:val="clear" w:color="auto" w:fill="auto"/>
            <w:noWrap/>
            <w:vAlign w:val="center"/>
            <w:hideMark/>
          </w:tcPr>
          <w:p w14:paraId="77C9DB44" w14:textId="77777777" w:rsidR="00387142" w:rsidRPr="008B6A75" w:rsidRDefault="00387142" w:rsidP="00387142">
            <w:pPr>
              <w:jc w:val="center"/>
              <w:rPr>
                <w:sz w:val="20"/>
                <w:szCs w:val="20"/>
              </w:rPr>
            </w:pPr>
            <w:r w:rsidRPr="008B6A75">
              <w:rPr>
                <w:sz w:val="20"/>
                <w:szCs w:val="20"/>
              </w:rPr>
              <w:t>02</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5EDB7F7" w14:textId="77777777" w:rsidR="00387142" w:rsidRPr="008B6A75" w:rsidRDefault="00387142" w:rsidP="00387142">
            <w:pPr>
              <w:jc w:val="right"/>
              <w:rPr>
                <w:sz w:val="20"/>
                <w:szCs w:val="20"/>
              </w:rPr>
            </w:pPr>
            <w:r w:rsidRPr="008B6A75">
              <w:rPr>
                <w:sz w:val="20"/>
                <w:szCs w:val="20"/>
              </w:rPr>
              <w:t>13 932 054,92</w:t>
            </w:r>
          </w:p>
        </w:tc>
        <w:tc>
          <w:tcPr>
            <w:tcW w:w="851" w:type="dxa"/>
            <w:tcBorders>
              <w:top w:val="nil"/>
              <w:left w:val="single" w:sz="4" w:space="0" w:color="auto"/>
              <w:bottom w:val="single" w:sz="4" w:space="0" w:color="auto"/>
              <w:right w:val="nil"/>
            </w:tcBorders>
            <w:shd w:val="clear" w:color="auto" w:fill="auto"/>
            <w:noWrap/>
            <w:vAlign w:val="center"/>
            <w:hideMark/>
          </w:tcPr>
          <w:p w14:paraId="5BB746BC" w14:textId="77777777" w:rsidR="00387142" w:rsidRPr="008B6A75" w:rsidRDefault="00387142" w:rsidP="00387142">
            <w:pPr>
              <w:jc w:val="right"/>
              <w:rPr>
                <w:sz w:val="20"/>
                <w:szCs w:val="20"/>
              </w:rPr>
            </w:pPr>
            <w:r w:rsidRPr="008B6A75">
              <w:rPr>
                <w:sz w:val="20"/>
                <w:szCs w:val="20"/>
              </w:rPr>
              <w:t>12 180 700,00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2121897E" w14:textId="77777777" w:rsidR="00387142" w:rsidRPr="008B6A75" w:rsidRDefault="00387142" w:rsidP="00387142">
            <w:pPr>
              <w:jc w:val="right"/>
              <w:rPr>
                <w:sz w:val="20"/>
                <w:szCs w:val="20"/>
              </w:rPr>
            </w:pPr>
            <w:r w:rsidRPr="008B6A75">
              <w:rPr>
                <w:sz w:val="20"/>
                <w:szCs w:val="20"/>
              </w:rPr>
              <w:t>12 180 700,00</w:t>
            </w:r>
          </w:p>
        </w:tc>
      </w:tr>
      <w:tr w:rsidR="00387142" w:rsidRPr="008B6A75" w14:paraId="42ADCCD5" w14:textId="77777777" w:rsidTr="00387142">
        <w:trPr>
          <w:trHeight w:val="585"/>
        </w:trPr>
        <w:tc>
          <w:tcPr>
            <w:tcW w:w="272" w:type="dxa"/>
            <w:tcBorders>
              <w:top w:val="nil"/>
              <w:left w:val="nil"/>
              <w:bottom w:val="nil"/>
              <w:right w:val="single" w:sz="4" w:space="0" w:color="auto"/>
            </w:tcBorders>
            <w:shd w:val="clear" w:color="auto" w:fill="auto"/>
            <w:noWrap/>
            <w:vAlign w:val="bottom"/>
            <w:hideMark/>
          </w:tcPr>
          <w:p w14:paraId="25577632"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275E2213" w14:textId="77777777" w:rsidR="00387142" w:rsidRPr="008B6A75" w:rsidRDefault="00387142" w:rsidP="00387142">
            <w:pPr>
              <w:rPr>
                <w:sz w:val="20"/>
                <w:szCs w:val="20"/>
              </w:rPr>
            </w:pPr>
            <w:r w:rsidRPr="008B6A75">
              <w:rPr>
                <w:sz w:val="20"/>
                <w:szCs w:val="20"/>
              </w:rPr>
              <w:t>Социальное обеспечение и иные выплаты населению</w:t>
            </w:r>
          </w:p>
        </w:tc>
        <w:tc>
          <w:tcPr>
            <w:tcW w:w="1559" w:type="dxa"/>
            <w:tcBorders>
              <w:top w:val="nil"/>
              <w:left w:val="single" w:sz="4" w:space="0" w:color="auto"/>
              <w:bottom w:val="single" w:sz="4" w:space="0" w:color="auto"/>
              <w:right w:val="nil"/>
            </w:tcBorders>
            <w:shd w:val="clear" w:color="auto" w:fill="auto"/>
            <w:noWrap/>
            <w:vAlign w:val="center"/>
            <w:hideMark/>
          </w:tcPr>
          <w:p w14:paraId="614DF86F" w14:textId="77777777" w:rsidR="00387142" w:rsidRPr="008B6A75" w:rsidRDefault="00387142" w:rsidP="00387142">
            <w:pPr>
              <w:jc w:val="center"/>
              <w:rPr>
                <w:sz w:val="20"/>
                <w:szCs w:val="20"/>
              </w:rPr>
            </w:pPr>
            <w:r w:rsidRPr="008B6A75">
              <w:rPr>
                <w:sz w:val="20"/>
                <w:szCs w:val="20"/>
              </w:rPr>
              <w:t>07.1.00.03349</w:t>
            </w:r>
          </w:p>
        </w:tc>
        <w:tc>
          <w:tcPr>
            <w:tcW w:w="850" w:type="dxa"/>
            <w:tcBorders>
              <w:top w:val="nil"/>
              <w:left w:val="single" w:sz="4" w:space="0" w:color="auto"/>
              <w:bottom w:val="single" w:sz="4" w:space="0" w:color="auto"/>
              <w:right w:val="nil"/>
            </w:tcBorders>
            <w:shd w:val="clear" w:color="auto" w:fill="auto"/>
            <w:noWrap/>
            <w:vAlign w:val="center"/>
            <w:hideMark/>
          </w:tcPr>
          <w:p w14:paraId="0740A9BF" w14:textId="77777777" w:rsidR="00387142" w:rsidRPr="008B6A75" w:rsidRDefault="00387142" w:rsidP="00387142">
            <w:pPr>
              <w:jc w:val="center"/>
              <w:rPr>
                <w:sz w:val="20"/>
                <w:szCs w:val="20"/>
              </w:rPr>
            </w:pPr>
            <w:r w:rsidRPr="008B6A75">
              <w:rPr>
                <w:sz w:val="20"/>
                <w:szCs w:val="20"/>
              </w:rPr>
              <w:t>300</w:t>
            </w:r>
          </w:p>
        </w:tc>
        <w:tc>
          <w:tcPr>
            <w:tcW w:w="567" w:type="dxa"/>
            <w:tcBorders>
              <w:top w:val="nil"/>
              <w:left w:val="single" w:sz="4" w:space="0" w:color="auto"/>
              <w:bottom w:val="single" w:sz="4" w:space="0" w:color="auto"/>
              <w:right w:val="nil"/>
            </w:tcBorders>
            <w:shd w:val="clear" w:color="auto" w:fill="auto"/>
            <w:noWrap/>
            <w:vAlign w:val="center"/>
            <w:hideMark/>
          </w:tcPr>
          <w:p w14:paraId="56BCBBAF" w14:textId="77777777" w:rsidR="00387142" w:rsidRPr="008B6A75" w:rsidRDefault="00387142" w:rsidP="00387142">
            <w:pPr>
              <w:jc w:val="center"/>
              <w:rPr>
                <w:sz w:val="20"/>
                <w:szCs w:val="20"/>
              </w:rPr>
            </w:pPr>
            <w:r w:rsidRPr="008B6A75">
              <w:rPr>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2179045D" w14:textId="77777777" w:rsidR="00387142" w:rsidRPr="008B6A75" w:rsidRDefault="00387142" w:rsidP="00387142">
            <w:pPr>
              <w:jc w:val="center"/>
              <w:rPr>
                <w:sz w:val="20"/>
                <w:szCs w:val="20"/>
              </w:rPr>
            </w:pPr>
            <w:r w:rsidRPr="008B6A75">
              <w:rPr>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AA92AD1" w14:textId="77777777" w:rsidR="00387142" w:rsidRPr="008B6A75" w:rsidRDefault="00387142" w:rsidP="00387142">
            <w:pPr>
              <w:jc w:val="right"/>
              <w:rPr>
                <w:sz w:val="20"/>
                <w:szCs w:val="20"/>
              </w:rPr>
            </w:pPr>
            <w:r w:rsidRPr="008B6A75">
              <w:rPr>
                <w:sz w:val="20"/>
                <w:szCs w:val="20"/>
              </w:rPr>
              <w:t>126 466,00</w:t>
            </w:r>
          </w:p>
        </w:tc>
        <w:tc>
          <w:tcPr>
            <w:tcW w:w="851" w:type="dxa"/>
            <w:tcBorders>
              <w:top w:val="nil"/>
              <w:left w:val="single" w:sz="4" w:space="0" w:color="auto"/>
              <w:bottom w:val="single" w:sz="4" w:space="0" w:color="auto"/>
              <w:right w:val="nil"/>
            </w:tcBorders>
            <w:shd w:val="clear" w:color="auto" w:fill="auto"/>
            <w:noWrap/>
            <w:vAlign w:val="center"/>
            <w:hideMark/>
          </w:tcPr>
          <w:p w14:paraId="06DC7543" w14:textId="77777777" w:rsidR="00387142" w:rsidRPr="008B6A75" w:rsidRDefault="00387142" w:rsidP="00387142">
            <w:pPr>
              <w:jc w:val="right"/>
              <w:rPr>
                <w:sz w:val="20"/>
                <w:szCs w:val="20"/>
              </w:rPr>
            </w:pPr>
            <w:r w:rsidRPr="008B6A75">
              <w:rPr>
                <w:sz w:val="20"/>
                <w:szCs w:val="20"/>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528B3CF1" w14:textId="77777777" w:rsidR="00387142" w:rsidRPr="008B6A75" w:rsidRDefault="00387142" w:rsidP="00387142">
            <w:pPr>
              <w:jc w:val="right"/>
              <w:rPr>
                <w:sz w:val="20"/>
                <w:szCs w:val="20"/>
              </w:rPr>
            </w:pPr>
            <w:r w:rsidRPr="008B6A75">
              <w:rPr>
                <w:sz w:val="20"/>
                <w:szCs w:val="20"/>
              </w:rPr>
              <w:t>0,00</w:t>
            </w:r>
          </w:p>
        </w:tc>
      </w:tr>
      <w:tr w:rsidR="00387142" w:rsidRPr="008B6A75" w14:paraId="68E8E615" w14:textId="77777777" w:rsidTr="00387142">
        <w:trPr>
          <w:trHeight w:val="585"/>
        </w:trPr>
        <w:tc>
          <w:tcPr>
            <w:tcW w:w="272" w:type="dxa"/>
            <w:tcBorders>
              <w:top w:val="nil"/>
              <w:left w:val="nil"/>
              <w:bottom w:val="nil"/>
              <w:right w:val="single" w:sz="4" w:space="0" w:color="auto"/>
            </w:tcBorders>
            <w:shd w:val="clear" w:color="auto" w:fill="auto"/>
            <w:noWrap/>
            <w:vAlign w:val="bottom"/>
            <w:hideMark/>
          </w:tcPr>
          <w:p w14:paraId="2097D4B5"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7BC7E89C" w14:textId="77777777" w:rsidR="00387142" w:rsidRPr="008B6A75" w:rsidRDefault="00387142" w:rsidP="00387142">
            <w:pPr>
              <w:rPr>
                <w:sz w:val="20"/>
                <w:szCs w:val="20"/>
              </w:rPr>
            </w:pPr>
            <w:r w:rsidRPr="008B6A75">
              <w:rPr>
                <w:sz w:val="20"/>
                <w:szCs w:val="20"/>
              </w:rPr>
              <w:t>Социальные выплаты гражданам, кроме публичных нормативных социальных выплат</w:t>
            </w:r>
          </w:p>
        </w:tc>
        <w:tc>
          <w:tcPr>
            <w:tcW w:w="1559" w:type="dxa"/>
            <w:tcBorders>
              <w:top w:val="nil"/>
              <w:left w:val="single" w:sz="4" w:space="0" w:color="auto"/>
              <w:bottom w:val="single" w:sz="4" w:space="0" w:color="auto"/>
              <w:right w:val="nil"/>
            </w:tcBorders>
            <w:shd w:val="clear" w:color="auto" w:fill="auto"/>
            <w:noWrap/>
            <w:vAlign w:val="center"/>
            <w:hideMark/>
          </w:tcPr>
          <w:p w14:paraId="3F33A61A" w14:textId="77777777" w:rsidR="00387142" w:rsidRPr="008B6A75" w:rsidRDefault="00387142" w:rsidP="00387142">
            <w:pPr>
              <w:jc w:val="center"/>
              <w:rPr>
                <w:sz w:val="20"/>
                <w:szCs w:val="20"/>
              </w:rPr>
            </w:pPr>
            <w:r w:rsidRPr="008B6A75">
              <w:rPr>
                <w:sz w:val="20"/>
                <w:szCs w:val="20"/>
              </w:rPr>
              <w:t>07.1.00.03349</w:t>
            </w:r>
          </w:p>
        </w:tc>
        <w:tc>
          <w:tcPr>
            <w:tcW w:w="850" w:type="dxa"/>
            <w:tcBorders>
              <w:top w:val="nil"/>
              <w:left w:val="single" w:sz="4" w:space="0" w:color="auto"/>
              <w:bottom w:val="single" w:sz="4" w:space="0" w:color="auto"/>
              <w:right w:val="nil"/>
            </w:tcBorders>
            <w:shd w:val="clear" w:color="auto" w:fill="auto"/>
            <w:noWrap/>
            <w:vAlign w:val="center"/>
            <w:hideMark/>
          </w:tcPr>
          <w:p w14:paraId="3B780FFB" w14:textId="77777777" w:rsidR="00387142" w:rsidRPr="008B6A75" w:rsidRDefault="00387142" w:rsidP="00387142">
            <w:pPr>
              <w:jc w:val="center"/>
              <w:rPr>
                <w:sz w:val="20"/>
                <w:szCs w:val="20"/>
              </w:rPr>
            </w:pPr>
            <w:r w:rsidRPr="008B6A75">
              <w:rPr>
                <w:sz w:val="20"/>
                <w:szCs w:val="20"/>
              </w:rPr>
              <w:t>320</w:t>
            </w:r>
          </w:p>
        </w:tc>
        <w:tc>
          <w:tcPr>
            <w:tcW w:w="567" w:type="dxa"/>
            <w:tcBorders>
              <w:top w:val="nil"/>
              <w:left w:val="single" w:sz="4" w:space="0" w:color="auto"/>
              <w:bottom w:val="single" w:sz="4" w:space="0" w:color="auto"/>
              <w:right w:val="nil"/>
            </w:tcBorders>
            <w:shd w:val="clear" w:color="auto" w:fill="auto"/>
            <w:noWrap/>
            <w:vAlign w:val="center"/>
            <w:hideMark/>
          </w:tcPr>
          <w:p w14:paraId="0809F68A" w14:textId="77777777" w:rsidR="00387142" w:rsidRPr="008B6A75" w:rsidRDefault="00387142" w:rsidP="00387142">
            <w:pPr>
              <w:jc w:val="center"/>
              <w:rPr>
                <w:sz w:val="20"/>
                <w:szCs w:val="20"/>
              </w:rPr>
            </w:pPr>
            <w:r w:rsidRPr="008B6A75">
              <w:rPr>
                <w:sz w:val="20"/>
                <w:szCs w:val="20"/>
              </w:rPr>
              <w:t>07</w:t>
            </w:r>
          </w:p>
        </w:tc>
        <w:tc>
          <w:tcPr>
            <w:tcW w:w="567" w:type="dxa"/>
            <w:tcBorders>
              <w:top w:val="nil"/>
              <w:left w:val="single" w:sz="4" w:space="0" w:color="auto"/>
              <w:bottom w:val="single" w:sz="4" w:space="0" w:color="auto"/>
              <w:right w:val="nil"/>
            </w:tcBorders>
            <w:shd w:val="clear" w:color="auto" w:fill="auto"/>
            <w:noWrap/>
            <w:vAlign w:val="center"/>
            <w:hideMark/>
          </w:tcPr>
          <w:p w14:paraId="0143C442" w14:textId="77777777" w:rsidR="00387142" w:rsidRPr="008B6A75" w:rsidRDefault="00387142" w:rsidP="00387142">
            <w:pPr>
              <w:jc w:val="center"/>
              <w:rPr>
                <w:sz w:val="20"/>
                <w:szCs w:val="20"/>
              </w:rPr>
            </w:pPr>
            <w:r w:rsidRPr="008B6A75">
              <w:rPr>
                <w:sz w:val="20"/>
                <w:szCs w:val="20"/>
              </w:rPr>
              <w:t>02</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FCCCD54" w14:textId="77777777" w:rsidR="00387142" w:rsidRPr="008B6A75" w:rsidRDefault="00387142" w:rsidP="00387142">
            <w:pPr>
              <w:jc w:val="right"/>
              <w:rPr>
                <w:sz w:val="20"/>
                <w:szCs w:val="20"/>
              </w:rPr>
            </w:pPr>
            <w:r w:rsidRPr="008B6A75">
              <w:rPr>
                <w:sz w:val="20"/>
                <w:szCs w:val="20"/>
              </w:rPr>
              <w:t>126 466,00</w:t>
            </w:r>
          </w:p>
        </w:tc>
        <w:tc>
          <w:tcPr>
            <w:tcW w:w="851" w:type="dxa"/>
            <w:tcBorders>
              <w:top w:val="nil"/>
              <w:left w:val="single" w:sz="4" w:space="0" w:color="auto"/>
              <w:bottom w:val="single" w:sz="4" w:space="0" w:color="auto"/>
              <w:right w:val="nil"/>
            </w:tcBorders>
            <w:shd w:val="clear" w:color="auto" w:fill="auto"/>
            <w:noWrap/>
            <w:vAlign w:val="center"/>
            <w:hideMark/>
          </w:tcPr>
          <w:p w14:paraId="0EEDCF95" w14:textId="77777777" w:rsidR="00387142" w:rsidRPr="008B6A75" w:rsidRDefault="00387142" w:rsidP="00387142">
            <w:pPr>
              <w:jc w:val="right"/>
              <w:rPr>
                <w:sz w:val="20"/>
                <w:szCs w:val="20"/>
              </w:rPr>
            </w:pPr>
            <w:r w:rsidRPr="008B6A75">
              <w:rPr>
                <w:sz w:val="20"/>
                <w:szCs w:val="20"/>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544151B8" w14:textId="77777777" w:rsidR="00387142" w:rsidRPr="008B6A75" w:rsidRDefault="00387142" w:rsidP="00387142">
            <w:pPr>
              <w:jc w:val="right"/>
              <w:rPr>
                <w:sz w:val="20"/>
                <w:szCs w:val="20"/>
              </w:rPr>
            </w:pPr>
            <w:r w:rsidRPr="008B6A75">
              <w:rPr>
                <w:sz w:val="20"/>
                <w:szCs w:val="20"/>
              </w:rPr>
              <w:t>0,00</w:t>
            </w:r>
          </w:p>
        </w:tc>
      </w:tr>
      <w:tr w:rsidR="00387142" w:rsidRPr="008B6A75" w14:paraId="7A8F501A" w14:textId="77777777" w:rsidTr="00387142">
        <w:trPr>
          <w:trHeight w:val="870"/>
        </w:trPr>
        <w:tc>
          <w:tcPr>
            <w:tcW w:w="272" w:type="dxa"/>
            <w:tcBorders>
              <w:top w:val="nil"/>
              <w:left w:val="nil"/>
              <w:bottom w:val="nil"/>
              <w:right w:val="single" w:sz="4" w:space="0" w:color="auto"/>
            </w:tcBorders>
            <w:shd w:val="clear" w:color="auto" w:fill="auto"/>
            <w:noWrap/>
            <w:vAlign w:val="bottom"/>
            <w:hideMark/>
          </w:tcPr>
          <w:p w14:paraId="49CF9AE1"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3C758F1E" w14:textId="77777777" w:rsidR="00387142" w:rsidRPr="008B6A75" w:rsidRDefault="00387142" w:rsidP="00387142">
            <w:pPr>
              <w:rPr>
                <w:sz w:val="20"/>
                <w:szCs w:val="20"/>
              </w:rPr>
            </w:pPr>
            <w:r w:rsidRPr="008B6A75">
              <w:rPr>
                <w:sz w:val="20"/>
                <w:szCs w:val="20"/>
              </w:rPr>
              <w:t>Предоставление субсидий бюджетным, автономным учреждениям и иным некоммерческим организациям</w:t>
            </w:r>
          </w:p>
        </w:tc>
        <w:tc>
          <w:tcPr>
            <w:tcW w:w="1559" w:type="dxa"/>
            <w:tcBorders>
              <w:top w:val="nil"/>
              <w:left w:val="single" w:sz="4" w:space="0" w:color="auto"/>
              <w:bottom w:val="single" w:sz="4" w:space="0" w:color="auto"/>
              <w:right w:val="nil"/>
            </w:tcBorders>
            <w:shd w:val="clear" w:color="auto" w:fill="auto"/>
            <w:noWrap/>
            <w:vAlign w:val="center"/>
            <w:hideMark/>
          </w:tcPr>
          <w:p w14:paraId="05004286" w14:textId="77777777" w:rsidR="00387142" w:rsidRPr="008B6A75" w:rsidRDefault="00387142" w:rsidP="00387142">
            <w:pPr>
              <w:jc w:val="center"/>
              <w:rPr>
                <w:sz w:val="20"/>
                <w:szCs w:val="20"/>
              </w:rPr>
            </w:pPr>
            <w:r w:rsidRPr="008B6A75">
              <w:rPr>
                <w:sz w:val="20"/>
                <w:szCs w:val="20"/>
              </w:rPr>
              <w:t>07.1.00.03349</w:t>
            </w:r>
          </w:p>
        </w:tc>
        <w:tc>
          <w:tcPr>
            <w:tcW w:w="850" w:type="dxa"/>
            <w:tcBorders>
              <w:top w:val="nil"/>
              <w:left w:val="single" w:sz="4" w:space="0" w:color="auto"/>
              <w:bottom w:val="single" w:sz="4" w:space="0" w:color="auto"/>
              <w:right w:val="nil"/>
            </w:tcBorders>
            <w:shd w:val="clear" w:color="auto" w:fill="auto"/>
            <w:noWrap/>
            <w:vAlign w:val="center"/>
            <w:hideMark/>
          </w:tcPr>
          <w:p w14:paraId="7604D33C" w14:textId="77777777" w:rsidR="00387142" w:rsidRPr="008B6A75" w:rsidRDefault="00387142" w:rsidP="00387142">
            <w:pPr>
              <w:jc w:val="center"/>
              <w:rPr>
                <w:sz w:val="20"/>
                <w:szCs w:val="20"/>
              </w:rPr>
            </w:pPr>
            <w:r w:rsidRPr="008B6A75">
              <w:rPr>
                <w:sz w:val="20"/>
                <w:szCs w:val="20"/>
              </w:rPr>
              <w:t>600</w:t>
            </w:r>
          </w:p>
        </w:tc>
        <w:tc>
          <w:tcPr>
            <w:tcW w:w="567" w:type="dxa"/>
            <w:tcBorders>
              <w:top w:val="nil"/>
              <w:left w:val="single" w:sz="4" w:space="0" w:color="auto"/>
              <w:bottom w:val="single" w:sz="4" w:space="0" w:color="auto"/>
              <w:right w:val="nil"/>
            </w:tcBorders>
            <w:shd w:val="clear" w:color="auto" w:fill="auto"/>
            <w:noWrap/>
            <w:vAlign w:val="center"/>
            <w:hideMark/>
          </w:tcPr>
          <w:p w14:paraId="3228ACB8" w14:textId="77777777" w:rsidR="00387142" w:rsidRPr="008B6A75" w:rsidRDefault="00387142" w:rsidP="00387142">
            <w:pPr>
              <w:jc w:val="center"/>
              <w:rPr>
                <w:sz w:val="20"/>
                <w:szCs w:val="20"/>
              </w:rPr>
            </w:pPr>
            <w:r w:rsidRPr="008B6A75">
              <w:rPr>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5D76D580" w14:textId="77777777" w:rsidR="00387142" w:rsidRPr="008B6A75" w:rsidRDefault="00387142" w:rsidP="00387142">
            <w:pPr>
              <w:jc w:val="center"/>
              <w:rPr>
                <w:sz w:val="20"/>
                <w:szCs w:val="20"/>
              </w:rPr>
            </w:pPr>
            <w:r w:rsidRPr="008B6A75">
              <w:rPr>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2E9745B" w14:textId="77777777" w:rsidR="00387142" w:rsidRPr="008B6A75" w:rsidRDefault="00387142" w:rsidP="00387142">
            <w:pPr>
              <w:jc w:val="right"/>
              <w:rPr>
                <w:sz w:val="20"/>
                <w:szCs w:val="20"/>
              </w:rPr>
            </w:pPr>
            <w:r w:rsidRPr="008B6A75">
              <w:rPr>
                <w:sz w:val="20"/>
                <w:szCs w:val="20"/>
              </w:rPr>
              <w:t>9 158 100,00</w:t>
            </w:r>
          </w:p>
        </w:tc>
        <w:tc>
          <w:tcPr>
            <w:tcW w:w="851" w:type="dxa"/>
            <w:tcBorders>
              <w:top w:val="nil"/>
              <w:left w:val="single" w:sz="4" w:space="0" w:color="auto"/>
              <w:bottom w:val="single" w:sz="4" w:space="0" w:color="auto"/>
              <w:right w:val="nil"/>
            </w:tcBorders>
            <w:shd w:val="clear" w:color="auto" w:fill="auto"/>
            <w:noWrap/>
            <w:vAlign w:val="center"/>
            <w:hideMark/>
          </w:tcPr>
          <w:p w14:paraId="41218D44" w14:textId="77777777" w:rsidR="00387142" w:rsidRPr="008B6A75" w:rsidRDefault="00387142" w:rsidP="00387142">
            <w:pPr>
              <w:jc w:val="right"/>
              <w:rPr>
                <w:sz w:val="20"/>
                <w:szCs w:val="20"/>
              </w:rPr>
            </w:pPr>
            <w:r w:rsidRPr="008B6A75">
              <w:rPr>
                <w:sz w:val="20"/>
                <w:szCs w:val="20"/>
              </w:rPr>
              <w:t>6 830 200,00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3F354B1C" w14:textId="77777777" w:rsidR="00387142" w:rsidRPr="008B6A75" w:rsidRDefault="00387142" w:rsidP="00387142">
            <w:pPr>
              <w:jc w:val="right"/>
              <w:rPr>
                <w:sz w:val="20"/>
                <w:szCs w:val="20"/>
              </w:rPr>
            </w:pPr>
            <w:r w:rsidRPr="008B6A75">
              <w:rPr>
                <w:sz w:val="20"/>
                <w:szCs w:val="20"/>
              </w:rPr>
              <w:t>6 830 200,00</w:t>
            </w:r>
          </w:p>
        </w:tc>
      </w:tr>
      <w:tr w:rsidR="00387142" w:rsidRPr="008B6A75" w14:paraId="6EC25814" w14:textId="77777777" w:rsidTr="00387142">
        <w:trPr>
          <w:trHeight w:val="300"/>
        </w:trPr>
        <w:tc>
          <w:tcPr>
            <w:tcW w:w="272" w:type="dxa"/>
            <w:tcBorders>
              <w:top w:val="nil"/>
              <w:left w:val="nil"/>
              <w:bottom w:val="nil"/>
              <w:right w:val="single" w:sz="4" w:space="0" w:color="auto"/>
            </w:tcBorders>
            <w:shd w:val="clear" w:color="auto" w:fill="auto"/>
            <w:noWrap/>
            <w:vAlign w:val="bottom"/>
            <w:hideMark/>
          </w:tcPr>
          <w:p w14:paraId="6700FAF7"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2BA8C9F2" w14:textId="77777777" w:rsidR="00387142" w:rsidRPr="008B6A75" w:rsidRDefault="00387142" w:rsidP="00387142">
            <w:pPr>
              <w:rPr>
                <w:sz w:val="20"/>
                <w:szCs w:val="20"/>
              </w:rPr>
            </w:pPr>
            <w:r w:rsidRPr="008B6A75">
              <w:rPr>
                <w:sz w:val="20"/>
                <w:szCs w:val="20"/>
              </w:rPr>
              <w:t>Субсидии бюджетным учреждениям</w:t>
            </w:r>
          </w:p>
        </w:tc>
        <w:tc>
          <w:tcPr>
            <w:tcW w:w="1559" w:type="dxa"/>
            <w:tcBorders>
              <w:top w:val="nil"/>
              <w:left w:val="single" w:sz="4" w:space="0" w:color="auto"/>
              <w:bottom w:val="single" w:sz="4" w:space="0" w:color="auto"/>
              <w:right w:val="nil"/>
            </w:tcBorders>
            <w:shd w:val="clear" w:color="auto" w:fill="auto"/>
            <w:noWrap/>
            <w:vAlign w:val="center"/>
            <w:hideMark/>
          </w:tcPr>
          <w:p w14:paraId="05581831" w14:textId="77777777" w:rsidR="00387142" w:rsidRPr="008B6A75" w:rsidRDefault="00387142" w:rsidP="00387142">
            <w:pPr>
              <w:jc w:val="center"/>
              <w:rPr>
                <w:sz w:val="20"/>
                <w:szCs w:val="20"/>
              </w:rPr>
            </w:pPr>
            <w:r w:rsidRPr="008B6A75">
              <w:rPr>
                <w:sz w:val="20"/>
                <w:szCs w:val="20"/>
              </w:rPr>
              <w:t>07.1.00.03349</w:t>
            </w:r>
          </w:p>
        </w:tc>
        <w:tc>
          <w:tcPr>
            <w:tcW w:w="850" w:type="dxa"/>
            <w:tcBorders>
              <w:top w:val="nil"/>
              <w:left w:val="single" w:sz="4" w:space="0" w:color="auto"/>
              <w:bottom w:val="single" w:sz="4" w:space="0" w:color="auto"/>
              <w:right w:val="nil"/>
            </w:tcBorders>
            <w:shd w:val="clear" w:color="auto" w:fill="auto"/>
            <w:noWrap/>
            <w:vAlign w:val="center"/>
            <w:hideMark/>
          </w:tcPr>
          <w:p w14:paraId="1FA4CA06" w14:textId="77777777" w:rsidR="00387142" w:rsidRPr="008B6A75" w:rsidRDefault="00387142" w:rsidP="00387142">
            <w:pPr>
              <w:jc w:val="center"/>
              <w:rPr>
                <w:sz w:val="20"/>
                <w:szCs w:val="20"/>
              </w:rPr>
            </w:pPr>
            <w:r w:rsidRPr="008B6A75">
              <w:rPr>
                <w:sz w:val="20"/>
                <w:szCs w:val="20"/>
              </w:rPr>
              <w:t>610</w:t>
            </w:r>
          </w:p>
        </w:tc>
        <w:tc>
          <w:tcPr>
            <w:tcW w:w="567" w:type="dxa"/>
            <w:tcBorders>
              <w:top w:val="nil"/>
              <w:left w:val="single" w:sz="4" w:space="0" w:color="auto"/>
              <w:bottom w:val="single" w:sz="4" w:space="0" w:color="auto"/>
              <w:right w:val="nil"/>
            </w:tcBorders>
            <w:shd w:val="clear" w:color="auto" w:fill="auto"/>
            <w:noWrap/>
            <w:vAlign w:val="center"/>
            <w:hideMark/>
          </w:tcPr>
          <w:p w14:paraId="0FE700D4" w14:textId="77777777" w:rsidR="00387142" w:rsidRPr="008B6A75" w:rsidRDefault="00387142" w:rsidP="00387142">
            <w:pPr>
              <w:jc w:val="center"/>
              <w:rPr>
                <w:sz w:val="20"/>
                <w:szCs w:val="20"/>
              </w:rPr>
            </w:pPr>
            <w:r w:rsidRPr="008B6A75">
              <w:rPr>
                <w:sz w:val="20"/>
                <w:szCs w:val="20"/>
              </w:rPr>
              <w:t>07</w:t>
            </w:r>
          </w:p>
        </w:tc>
        <w:tc>
          <w:tcPr>
            <w:tcW w:w="567" w:type="dxa"/>
            <w:tcBorders>
              <w:top w:val="nil"/>
              <w:left w:val="single" w:sz="4" w:space="0" w:color="auto"/>
              <w:bottom w:val="single" w:sz="4" w:space="0" w:color="auto"/>
              <w:right w:val="nil"/>
            </w:tcBorders>
            <w:shd w:val="clear" w:color="auto" w:fill="auto"/>
            <w:noWrap/>
            <w:vAlign w:val="center"/>
            <w:hideMark/>
          </w:tcPr>
          <w:p w14:paraId="2C1784C8" w14:textId="77777777" w:rsidR="00387142" w:rsidRPr="008B6A75" w:rsidRDefault="00387142" w:rsidP="00387142">
            <w:pPr>
              <w:jc w:val="center"/>
              <w:rPr>
                <w:sz w:val="20"/>
                <w:szCs w:val="20"/>
              </w:rPr>
            </w:pPr>
            <w:r w:rsidRPr="008B6A75">
              <w:rPr>
                <w:sz w:val="20"/>
                <w:szCs w:val="20"/>
              </w:rPr>
              <w:t>02</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D4DB63D" w14:textId="77777777" w:rsidR="00387142" w:rsidRPr="008B6A75" w:rsidRDefault="00387142" w:rsidP="00387142">
            <w:pPr>
              <w:jc w:val="right"/>
              <w:rPr>
                <w:sz w:val="20"/>
                <w:szCs w:val="20"/>
              </w:rPr>
            </w:pPr>
            <w:r w:rsidRPr="008B6A75">
              <w:rPr>
                <w:sz w:val="20"/>
                <w:szCs w:val="20"/>
              </w:rPr>
              <w:t>9 158 100,00</w:t>
            </w:r>
          </w:p>
        </w:tc>
        <w:tc>
          <w:tcPr>
            <w:tcW w:w="851" w:type="dxa"/>
            <w:tcBorders>
              <w:top w:val="nil"/>
              <w:left w:val="single" w:sz="4" w:space="0" w:color="auto"/>
              <w:bottom w:val="single" w:sz="4" w:space="0" w:color="auto"/>
              <w:right w:val="nil"/>
            </w:tcBorders>
            <w:shd w:val="clear" w:color="auto" w:fill="auto"/>
            <w:noWrap/>
            <w:vAlign w:val="center"/>
            <w:hideMark/>
          </w:tcPr>
          <w:p w14:paraId="495503DF" w14:textId="77777777" w:rsidR="00387142" w:rsidRPr="008B6A75" w:rsidRDefault="00387142" w:rsidP="00387142">
            <w:pPr>
              <w:jc w:val="right"/>
              <w:rPr>
                <w:sz w:val="20"/>
                <w:szCs w:val="20"/>
              </w:rPr>
            </w:pPr>
            <w:r w:rsidRPr="008B6A75">
              <w:rPr>
                <w:sz w:val="20"/>
                <w:szCs w:val="20"/>
              </w:rPr>
              <w:t>6 830 200,00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5D826750" w14:textId="77777777" w:rsidR="00387142" w:rsidRPr="008B6A75" w:rsidRDefault="00387142" w:rsidP="00387142">
            <w:pPr>
              <w:jc w:val="right"/>
              <w:rPr>
                <w:sz w:val="20"/>
                <w:szCs w:val="20"/>
              </w:rPr>
            </w:pPr>
            <w:r w:rsidRPr="008B6A75">
              <w:rPr>
                <w:sz w:val="20"/>
                <w:szCs w:val="20"/>
              </w:rPr>
              <w:t>6 830 200,00</w:t>
            </w:r>
          </w:p>
        </w:tc>
      </w:tr>
      <w:tr w:rsidR="00387142" w:rsidRPr="008B6A75" w14:paraId="76D88925" w14:textId="77777777" w:rsidTr="00387142">
        <w:trPr>
          <w:trHeight w:val="2580"/>
        </w:trPr>
        <w:tc>
          <w:tcPr>
            <w:tcW w:w="272" w:type="dxa"/>
            <w:tcBorders>
              <w:top w:val="nil"/>
              <w:left w:val="nil"/>
              <w:bottom w:val="nil"/>
              <w:right w:val="single" w:sz="4" w:space="0" w:color="auto"/>
            </w:tcBorders>
            <w:shd w:val="clear" w:color="auto" w:fill="auto"/>
            <w:noWrap/>
            <w:vAlign w:val="bottom"/>
            <w:hideMark/>
          </w:tcPr>
          <w:p w14:paraId="30B9E650"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66C54607" w14:textId="77777777" w:rsidR="00387142" w:rsidRPr="008B6A75" w:rsidRDefault="00387142" w:rsidP="00387142">
            <w:pPr>
              <w:rPr>
                <w:bCs/>
                <w:sz w:val="20"/>
                <w:szCs w:val="20"/>
              </w:rPr>
            </w:pPr>
            <w:r w:rsidRPr="008B6A75">
              <w:rPr>
                <w:bCs/>
                <w:sz w:val="20"/>
                <w:szCs w:val="20"/>
              </w:rPr>
              <w:t>Ежемесячное денежное вознаграждение за классное руководство педагогическим работникам муниципальных общеобразовательных организаций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за счет средств ОБ</w:t>
            </w:r>
          </w:p>
        </w:tc>
        <w:tc>
          <w:tcPr>
            <w:tcW w:w="1559" w:type="dxa"/>
            <w:tcBorders>
              <w:top w:val="nil"/>
              <w:left w:val="single" w:sz="4" w:space="0" w:color="auto"/>
              <w:bottom w:val="single" w:sz="4" w:space="0" w:color="auto"/>
              <w:right w:val="nil"/>
            </w:tcBorders>
            <w:shd w:val="clear" w:color="auto" w:fill="auto"/>
            <w:noWrap/>
            <w:vAlign w:val="center"/>
            <w:hideMark/>
          </w:tcPr>
          <w:p w14:paraId="391C78DF" w14:textId="77777777" w:rsidR="00387142" w:rsidRPr="008B6A75" w:rsidRDefault="00387142" w:rsidP="00387142">
            <w:pPr>
              <w:jc w:val="center"/>
              <w:rPr>
                <w:bCs/>
                <w:sz w:val="20"/>
                <w:szCs w:val="20"/>
              </w:rPr>
            </w:pPr>
            <w:r w:rsidRPr="008B6A75">
              <w:rPr>
                <w:bCs/>
                <w:sz w:val="20"/>
                <w:szCs w:val="20"/>
              </w:rPr>
              <w:t>07.1.00.03350</w:t>
            </w:r>
          </w:p>
        </w:tc>
        <w:tc>
          <w:tcPr>
            <w:tcW w:w="850" w:type="dxa"/>
            <w:tcBorders>
              <w:top w:val="nil"/>
              <w:left w:val="single" w:sz="4" w:space="0" w:color="auto"/>
              <w:bottom w:val="single" w:sz="4" w:space="0" w:color="auto"/>
              <w:right w:val="nil"/>
            </w:tcBorders>
            <w:shd w:val="clear" w:color="auto" w:fill="auto"/>
            <w:noWrap/>
            <w:vAlign w:val="center"/>
            <w:hideMark/>
          </w:tcPr>
          <w:p w14:paraId="1455E64B" w14:textId="77777777" w:rsidR="00387142" w:rsidRPr="008B6A75" w:rsidRDefault="00387142" w:rsidP="00387142">
            <w:pPr>
              <w:jc w:val="center"/>
              <w:rPr>
                <w:bCs/>
                <w:sz w:val="20"/>
                <w:szCs w:val="20"/>
              </w:rPr>
            </w:pPr>
            <w:r w:rsidRPr="008B6A75">
              <w:rPr>
                <w:bCs/>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3E709893" w14:textId="77777777" w:rsidR="00387142" w:rsidRPr="008B6A75" w:rsidRDefault="00387142" w:rsidP="00387142">
            <w:pPr>
              <w:jc w:val="center"/>
              <w:rPr>
                <w:bCs/>
                <w:sz w:val="20"/>
                <w:szCs w:val="20"/>
              </w:rPr>
            </w:pPr>
            <w:r w:rsidRPr="008B6A75">
              <w:rPr>
                <w:bCs/>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009A0444" w14:textId="77777777" w:rsidR="00387142" w:rsidRPr="008B6A75" w:rsidRDefault="00387142" w:rsidP="00387142">
            <w:pPr>
              <w:jc w:val="center"/>
              <w:rPr>
                <w:bCs/>
                <w:sz w:val="20"/>
                <w:szCs w:val="20"/>
              </w:rPr>
            </w:pPr>
            <w:r w:rsidRPr="008B6A75">
              <w:rPr>
                <w:bCs/>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FA25568" w14:textId="77777777" w:rsidR="00387142" w:rsidRPr="008B6A75" w:rsidRDefault="00387142" w:rsidP="00387142">
            <w:pPr>
              <w:jc w:val="right"/>
              <w:rPr>
                <w:bCs/>
                <w:sz w:val="20"/>
                <w:szCs w:val="20"/>
              </w:rPr>
            </w:pPr>
            <w:r w:rsidRPr="008B6A75">
              <w:rPr>
                <w:bCs/>
                <w:sz w:val="20"/>
                <w:szCs w:val="20"/>
              </w:rPr>
              <w:t>1 484 300,00</w:t>
            </w:r>
          </w:p>
        </w:tc>
        <w:tc>
          <w:tcPr>
            <w:tcW w:w="851" w:type="dxa"/>
            <w:tcBorders>
              <w:top w:val="nil"/>
              <w:left w:val="single" w:sz="4" w:space="0" w:color="auto"/>
              <w:bottom w:val="single" w:sz="4" w:space="0" w:color="auto"/>
              <w:right w:val="nil"/>
            </w:tcBorders>
            <w:shd w:val="clear" w:color="auto" w:fill="auto"/>
            <w:noWrap/>
            <w:vAlign w:val="center"/>
            <w:hideMark/>
          </w:tcPr>
          <w:p w14:paraId="01B3532C" w14:textId="77777777" w:rsidR="00387142" w:rsidRPr="008B6A75" w:rsidRDefault="00387142" w:rsidP="00387142">
            <w:pPr>
              <w:jc w:val="right"/>
              <w:rPr>
                <w:bCs/>
                <w:sz w:val="20"/>
                <w:szCs w:val="20"/>
              </w:rPr>
            </w:pPr>
            <w:r w:rsidRPr="008B6A75">
              <w:rPr>
                <w:bCs/>
                <w:sz w:val="20"/>
                <w:szCs w:val="20"/>
              </w:rPr>
              <w:t>1 484 300,00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578A7C89" w14:textId="77777777" w:rsidR="00387142" w:rsidRPr="008B6A75" w:rsidRDefault="00387142" w:rsidP="00387142">
            <w:pPr>
              <w:jc w:val="right"/>
              <w:rPr>
                <w:bCs/>
                <w:sz w:val="20"/>
                <w:szCs w:val="20"/>
              </w:rPr>
            </w:pPr>
            <w:r w:rsidRPr="008B6A75">
              <w:rPr>
                <w:bCs/>
                <w:sz w:val="20"/>
                <w:szCs w:val="20"/>
              </w:rPr>
              <w:t>1 484 300,00</w:t>
            </w:r>
          </w:p>
        </w:tc>
      </w:tr>
      <w:tr w:rsidR="00387142" w:rsidRPr="008B6A75" w14:paraId="1B5C392E" w14:textId="77777777" w:rsidTr="00387142">
        <w:trPr>
          <w:trHeight w:val="1440"/>
        </w:trPr>
        <w:tc>
          <w:tcPr>
            <w:tcW w:w="272" w:type="dxa"/>
            <w:tcBorders>
              <w:top w:val="nil"/>
              <w:left w:val="nil"/>
              <w:bottom w:val="nil"/>
              <w:right w:val="single" w:sz="4" w:space="0" w:color="auto"/>
            </w:tcBorders>
            <w:shd w:val="clear" w:color="auto" w:fill="auto"/>
            <w:noWrap/>
            <w:vAlign w:val="bottom"/>
            <w:hideMark/>
          </w:tcPr>
          <w:p w14:paraId="6C1242C8"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1398D3B1" w14:textId="77777777" w:rsidR="00387142" w:rsidRPr="008B6A75" w:rsidRDefault="00387142" w:rsidP="00387142">
            <w:pPr>
              <w:rPr>
                <w:sz w:val="20"/>
                <w:szCs w:val="20"/>
              </w:rPr>
            </w:pPr>
            <w:r w:rsidRPr="008B6A7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single" w:sz="4" w:space="0" w:color="auto"/>
              <w:bottom w:val="single" w:sz="4" w:space="0" w:color="auto"/>
              <w:right w:val="nil"/>
            </w:tcBorders>
            <w:shd w:val="clear" w:color="auto" w:fill="auto"/>
            <w:noWrap/>
            <w:vAlign w:val="center"/>
            <w:hideMark/>
          </w:tcPr>
          <w:p w14:paraId="68FDE977" w14:textId="77777777" w:rsidR="00387142" w:rsidRPr="008B6A75" w:rsidRDefault="00387142" w:rsidP="00387142">
            <w:pPr>
              <w:jc w:val="center"/>
              <w:rPr>
                <w:sz w:val="20"/>
                <w:szCs w:val="20"/>
              </w:rPr>
            </w:pPr>
            <w:r w:rsidRPr="008B6A75">
              <w:rPr>
                <w:sz w:val="20"/>
                <w:szCs w:val="20"/>
              </w:rPr>
              <w:t>07.1.00.03350</w:t>
            </w:r>
          </w:p>
        </w:tc>
        <w:tc>
          <w:tcPr>
            <w:tcW w:w="850" w:type="dxa"/>
            <w:tcBorders>
              <w:top w:val="nil"/>
              <w:left w:val="single" w:sz="4" w:space="0" w:color="auto"/>
              <w:bottom w:val="single" w:sz="4" w:space="0" w:color="auto"/>
              <w:right w:val="nil"/>
            </w:tcBorders>
            <w:shd w:val="clear" w:color="auto" w:fill="auto"/>
            <w:noWrap/>
            <w:vAlign w:val="center"/>
            <w:hideMark/>
          </w:tcPr>
          <w:p w14:paraId="6FF274F6" w14:textId="77777777" w:rsidR="00387142" w:rsidRPr="008B6A75" w:rsidRDefault="00387142" w:rsidP="00387142">
            <w:pPr>
              <w:jc w:val="center"/>
              <w:rPr>
                <w:sz w:val="20"/>
                <w:szCs w:val="20"/>
              </w:rPr>
            </w:pPr>
            <w:r w:rsidRPr="008B6A75">
              <w:rPr>
                <w:sz w:val="20"/>
                <w:szCs w:val="20"/>
              </w:rPr>
              <w:t>100</w:t>
            </w:r>
          </w:p>
        </w:tc>
        <w:tc>
          <w:tcPr>
            <w:tcW w:w="567" w:type="dxa"/>
            <w:tcBorders>
              <w:top w:val="nil"/>
              <w:left w:val="single" w:sz="4" w:space="0" w:color="auto"/>
              <w:bottom w:val="single" w:sz="4" w:space="0" w:color="auto"/>
              <w:right w:val="nil"/>
            </w:tcBorders>
            <w:shd w:val="clear" w:color="auto" w:fill="auto"/>
            <w:noWrap/>
            <w:vAlign w:val="center"/>
            <w:hideMark/>
          </w:tcPr>
          <w:p w14:paraId="437DEF70" w14:textId="77777777" w:rsidR="00387142" w:rsidRPr="008B6A75" w:rsidRDefault="00387142" w:rsidP="00387142">
            <w:pPr>
              <w:jc w:val="center"/>
              <w:rPr>
                <w:sz w:val="20"/>
                <w:szCs w:val="20"/>
              </w:rPr>
            </w:pPr>
            <w:r w:rsidRPr="008B6A75">
              <w:rPr>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51576F15" w14:textId="77777777" w:rsidR="00387142" w:rsidRPr="008B6A75" w:rsidRDefault="00387142" w:rsidP="00387142">
            <w:pPr>
              <w:jc w:val="center"/>
              <w:rPr>
                <w:sz w:val="20"/>
                <w:szCs w:val="20"/>
              </w:rPr>
            </w:pPr>
            <w:r w:rsidRPr="008B6A75">
              <w:rPr>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24D58D7" w14:textId="77777777" w:rsidR="00387142" w:rsidRPr="008B6A75" w:rsidRDefault="00387142" w:rsidP="00387142">
            <w:pPr>
              <w:jc w:val="right"/>
              <w:rPr>
                <w:sz w:val="20"/>
                <w:szCs w:val="20"/>
              </w:rPr>
            </w:pPr>
            <w:r w:rsidRPr="008B6A75">
              <w:rPr>
                <w:sz w:val="20"/>
                <w:szCs w:val="20"/>
              </w:rPr>
              <w:t>765 596,00</w:t>
            </w:r>
          </w:p>
        </w:tc>
        <w:tc>
          <w:tcPr>
            <w:tcW w:w="851" w:type="dxa"/>
            <w:tcBorders>
              <w:top w:val="nil"/>
              <w:left w:val="single" w:sz="4" w:space="0" w:color="auto"/>
              <w:bottom w:val="single" w:sz="4" w:space="0" w:color="auto"/>
              <w:right w:val="nil"/>
            </w:tcBorders>
            <w:shd w:val="clear" w:color="auto" w:fill="auto"/>
            <w:noWrap/>
            <w:vAlign w:val="center"/>
            <w:hideMark/>
          </w:tcPr>
          <w:p w14:paraId="0C55EC47" w14:textId="77777777" w:rsidR="00387142" w:rsidRPr="008B6A75" w:rsidRDefault="00387142" w:rsidP="00387142">
            <w:pPr>
              <w:jc w:val="right"/>
              <w:rPr>
                <w:sz w:val="20"/>
                <w:szCs w:val="20"/>
              </w:rPr>
            </w:pPr>
            <w:r w:rsidRPr="008B6A75">
              <w:rPr>
                <w:sz w:val="20"/>
                <w:szCs w:val="20"/>
              </w:rPr>
              <w:t>765 600,00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57560DCC" w14:textId="77777777" w:rsidR="00387142" w:rsidRPr="008B6A75" w:rsidRDefault="00387142" w:rsidP="00387142">
            <w:pPr>
              <w:jc w:val="right"/>
              <w:rPr>
                <w:sz w:val="20"/>
                <w:szCs w:val="20"/>
              </w:rPr>
            </w:pPr>
            <w:r w:rsidRPr="008B6A75">
              <w:rPr>
                <w:sz w:val="20"/>
                <w:szCs w:val="20"/>
              </w:rPr>
              <w:t>765 600,00</w:t>
            </w:r>
          </w:p>
        </w:tc>
      </w:tr>
      <w:tr w:rsidR="00387142" w:rsidRPr="008B6A75" w14:paraId="001A7B7A" w14:textId="77777777" w:rsidTr="00387142">
        <w:trPr>
          <w:trHeight w:val="585"/>
        </w:trPr>
        <w:tc>
          <w:tcPr>
            <w:tcW w:w="272" w:type="dxa"/>
            <w:tcBorders>
              <w:top w:val="nil"/>
              <w:left w:val="nil"/>
              <w:bottom w:val="nil"/>
              <w:right w:val="single" w:sz="4" w:space="0" w:color="auto"/>
            </w:tcBorders>
            <w:shd w:val="clear" w:color="auto" w:fill="auto"/>
            <w:noWrap/>
            <w:vAlign w:val="bottom"/>
            <w:hideMark/>
          </w:tcPr>
          <w:p w14:paraId="3C0A6D08"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7705A525" w14:textId="77777777" w:rsidR="00387142" w:rsidRPr="008B6A75" w:rsidRDefault="00387142" w:rsidP="00387142">
            <w:pPr>
              <w:rPr>
                <w:sz w:val="20"/>
                <w:szCs w:val="20"/>
              </w:rPr>
            </w:pPr>
            <w:r w:rsidRPr="008B6A75">
              <w:rPr>
                <w:sz w:val="20"/>
                <w:szCs w:val="20"/>
              </w:rPr>
              <w:t>Расходы на выплаты персоналу казенных учреждений</w:t>
            </w:r>
          </w:p>
        </w:tc>
        <w:tc>
          <w:tcPr>
            <w:tcW w:w="1559" w:type="dxa"/>
            <w:tcBorders>
              <w:top w:val="nil"/>
              <w:left w:val="single" w:sz="4" w:space="0" w:color="auto"/>
              <w:bottom w:val="single" w:sz="4" w:space="0" w:color="auto"/>
              <w:right w:val="nil"/>
            </w:tcBorders>
            <w:shd w:val="clear" w:color="auto" w:fill="auto"/>
            <w:noWrap/>
            <w:vAlign w:val="center"/>
            <w:hideMark/>
          </w:tcPr>
          <w:p w14:paraId="2E9D6318" w14:textId="77777777" w:rsidR="00387142" w:rsidRPr="008B6A75" w:rsidRDefault="00387142" w:rsidP="00387142">
            <w:pPr>
              <w:jc w:val="center"/>
              <w:rPr>
                <w:sz w:val="20"/>
                <w:szCs w:val="20"/>
              </w:rPr>
            </w:pPr>
            <w:r w:rsidRPr="008B6A75">
              <w:rPr>
                <w:sz w:val="20"/>
                <w:szCs w:val="20"/>
              </w:rPr>
              <w:t>07.1.00.03350</w:t>
            </w:r>
          </w:p>
        </w:tc>
        <w:tc>
          <w:tcPr>
            <w:tcW w:w="850" w:type="dxa"/>
            <w:tcBorders>
              <w:top w:val="nil"/>
              <w:left w:val="single" w:sz="4" w:space="0" w:color="auto"/>
              <w:bottom w:val="single" w:sz="4" w:space="0" w:color="auto"/>
              <w:right w:val="nil"/>
            </w:tcBorders>
            <w:shd w:val="clear" w:color="auto" w:fill="auto"/>
            <w:noWrap/>
            <w:vAlign w:val="center"/>
            <w:hideMark/>
          </w:tcPr>
          <w:p w14:paraId="66EF63DC" w14:textId="77777777" w:rsidR="00387142" w:rsidRPr="008B6A75" w:rsidRDefault="00387142" w:rsidP="00387142">
            <w:pPr>
              <w:jc w:val="center"/>
              <w:rPr>
                <w:sz w:val="20"/>
                <w:szCs w:val="20"/>
              </w:rPr>
            </w:pPr>
            <w:r w:rsidRPr="008B6A75">
              <w:rPr>
                <w:sz w:val="20"/>
                <w:szCs w:val="20"/>
              </w:rPr>
              <w:t>110</w:t>
            </w:r>
          </w:p>
        </w:tc>
        <w:tc>
          <w:tcPr>
            <w:tcW w:w="567" w:type="dxa"/>
            <w:tcBorders>
              <w:top w:val="nil"/>
              <w:left w:val="single" w:sz="4" w:space="0" w:color="auto"/>
              <w:bottom w:val="single" w:sz="4" w:space="0" w:color="auto"/>
              <w:right w:val="nil"/>
            </w:tcBorders>
            <w:shd w:val="clear" w:color="auto" w:fill="auto"/>
            <w:noWrap/>
            <w:vAlign w:val="center"/>
            <w:hideMark/>
          </w:tcPr>
          <w:p w14:paraId="08D6EE74" w14:textId="77777777" w:rsidR="00387142" w:rsidRPr="008B6A75" w:rsidRDefault="00387142" w:rsidP="00387142">
            <w:pPr>
              <w:jc w:val="center"/>
              <w:rPr>
                <w:sz w:val="20"/>
                <w:szCs w:val="20"/>
              </w:rPr>
            </w:pPr>
            <w:r w:rsidRPr="008B6A75">
              <w:rPr>
                <w:sz w:val="20"/>
                <w:szCs w:val="20"/>
              </w:rPr>
              <w:t>07</w:t>
            </w:r>
          </w:p>
        </w:tc>
        <w:tc>
          <w:tcPr>
            <w:tcW w:w="567" w:type="dxa"/>
            <w:tcBorders>
              <w:top w:val="nil"/>
              <w:left w:val="single" w:sz="4" w:space="0" w:color="auto"/>
              <w:bottom w:val="single" w:sz="4" w:space="0" w:color="auto"/>
              <w:right w:val="nil"/>
            </w:tcBorders>
            <w:shd w:val="clear" w:color="auto" w:fill="auto"/>
            <w:noWrap/>
            <w:vAlign w:val="center"/>
            <w:hideMark/>
          </w:tcPr>
          <w:p w14:paraId="38869176" w14:textId="77777777" w:rsidR="00387142" w:rsidRPr="008B6A75" w:rsidRDefault="00387142" w:rsidP="00387142">
            <w:pPr>
              <w:jc w:val="center"/>
              <w:rPr>
                <w:sz w:val="20"/>
                <w:szCs w:val="20"/>
              </w:rPr>
            </w:pPr>
            <w:r w:rsidRPr="008B6A75">
              <w:rPr>
                <w:sz w:val="20"/>
                <w:szCs w:val="20"/>
              </w:rPr>
              <w:t>02</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D8733FC" w14:textId="77777777" w:rsidR="00387142" w:rsidRPr="008B6A75" w:rsidRDefault="00387142" w:rsidP="00387142">
            <w:pPr>
              <w:jc w:val="right"/>
              <w:rPr>
                <w:sz w:val="20"/>
                <w:szCs w:val="20"/>
              </w:rPr>
            </w:pPr>
            <w:r w:rsidRPr="008B6A75">
              <w:rPr>
                <w:sz w:val="20"/>
                <w:szCs w:val="20"/>
              </w:rPr>
              <w:t>765 596,00</w:t>
            </w:r>
          </w:p>
        </w:tc>
        <w:tc>
          <w:tcPr>
            <w:tcW w:w="851" w:type="dxa"/>
            <w:tcBorders>
              <w:top w:val="nil"/>
              <w:left w:val="single" w:sz="4" w:space="0" w:color="auto"/>
              <w:bottom w:val="single" w:sz="4" w:space="0" w:color="auto"/>
              <w:right w:val="nil"/>
            </w:tcBorders>
            <w:shd w:val="clear" w:color="auto" w:fill="auto"/>
            <w:noWrap/>
            <w:vAlign w:val="center"/>
            <w:hideMark/>
          </w:tcPr>
          <w:p w14:paraId="66E21566" w14:textId="77777777" w:rsidR="00387142" w:rsidRPr="008B6A75" w:rsidRDefault="00387142" w:rsidP="00387142">
            <w:pPr>
              <w:jc w:val="right"/>
              <w:rPr>
                <w:sz w:val="20"/>
                <w:szCs w:val="20"/>
              </w:rPr>
            </w:pPr>
            <w:r w:rsidRPr="008B6A75">
              <w:rPr>
                <w:sz w:val="20"/>
                <w:szCs w:val="20"/>
              </w:rPr>
              <w:t>765 600,00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0A5BD581" w14:textId="77777777" w:rsidR="00387142" w:rsidRPr="008B6A75" w:rsidRDefault="00387142" w:rsidP="00387142">
            <w:pPr>
              <w:jc w:val="right"/>
              <w:rPr>
                <w:sz w:val="20"/>
                <w:szCs w:val="20"/>
              </w:rPr>
            </w:pPr>
            <w:r w:rsidRPr="008B6A75">
              <w:rPr>
                <w:sz w:val="20"/>
                <w:szCs w:val="20"/>
              </w:rPr>
              <w:t>765 600,00</w:t>
            </w:r>
          </w:p>
        </w:tc>
      </w:tr>
      <w:tr w:rsidR="00387142" w:rsidRPr="008B6A75" w14:paraId="6E2C9B00" w14:textId="77777777" w:rsidTr="00387142">
        <w:trPr>
          <w:trHeight w:val="870"/>
        </w:trPr>
        <w:tc>
          <w:tcPr>
            <w:tcW w:w="272" w:type="dxa"/>
            <w:tcBorders>
              <w:top w:val="nil"/>
              <w:left w:val="nil"/>
              <w:bottom w:val="nil"/>
              <w:right w:val="single" w:sz="4" w:space="0" w:color="auto"/>
            </w:tcBorders>
            <w:shd w:val="clear" w:color="auto" w:fill="auto"/>
            <w:noWrap/>
            <w:vAlign w:val="bottom"/>
            <w:hideMark/>
          </w:tcPr>
          <w:p w14:paraId="12FFA0FC"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73CF96B9" w14:textId="77777777" w:rsidR="00387142" w:rsidRPr="008B6A75" w:rsidRDefault="00387142" w:rsidP="00387142">
            <w:pPr>
              <w:rPr>
                <w:sz w:val="20"/>
                <w:szCs w:val="20"/>
              </w:rPr>
            </w:pPr>
            <w:r w:rsidRPr="008B6A75">
              <w:rPr>
                <w:sz w:val="20"/>
                <w:szCs w:val="20"/>
              </w:rPr>
              <w:t>Предоставление субсидий бюджетным, автономным учреждениям и иным некоммерческим организациям</w:t>
            </w:r>
          </w:p>
        </w:tc>
        <w:tc>
          <w:tcPr>
            <w:tcW w:w="1559" w:type="dxa"/>
            <w:tcBorders>
              <w:top w:val="nil"/>
              <w:left w:val="single" w:sz="4" w:space="0" w:color="auto"/>
              <w:bottom w:val="single" w:sz="4" w:space="0" w:color="auto"/>
              <w:right w:val="nil"/>
            </w:tcBorders>
            <w:shd w:val="clear" w:color="auto" w:fill="auto"/>
            <w:noWrap/>
            <w:vAlign w:val="center"/>
            <w:hideMark/>
          </w:tcPr>
          <w:p w14:paraId="7DD621BC" w14:textId="77777777" w:rsidR="00387142" w:rsidRPr="008B6A75" w:rsidRDefault="00387142" w:rsidP="00387142">
            <w:pPr>
              <w:jc w:val="center"/>
              <w:rPr>
                <w:sz w:val="20"/>
                <w:szCs w:val="20"/>
              </w:rPr>
            </w:pPr>
            <w:r w:rsidRPr="008B6A75">
              <w:rPr>
                <w:sz w:val="20"/>
                <w:szCs w:val="20"/>
              </w:rPr>
              <w:t>07.1.00.03350</w:t>
            </w:r>
          </w:p>
        </w:tc>
        <w:tc>
          <w:tcPr>
            <w:tcW w:w="850" w:type="dxa"/>
            <w:tcBorders>
              <w:top w:val="nil"/>
              <w:left w:val="single" w:sz="4" w:space="0" w:color="auto"/>
              <w:bottom w:val="single" w:sz="4" w:space="0" w:color="auto"/>
              <w:right w:val="nil"/>
            </w:tcBorders>
            <w:shd w:val="clear" w:color="auto" w:fill="auto"/>
            <w:noWrap/>
            <w:vAlign w:val="center"/>
            <w:hideMark/>
          </w:tcPr>
          <w:p w14:paraId="1AD91652" w14:textId="77777777" w:rsidR="00387142" w:rsidRPr="008B6A75" w:rsidRDefault="00387142" w:rsidP="00387142">
            <w:pPr>
              <w:jc w:val="center"/>
              <w:rPr>
                <w:sz w:val="20"/>
                <w:szCs w:val="20"/>
              </w:rPr>
            </w:pPr>
            <w:r w:rsidRPr="008B6A75">
              <w:rPr>
                <w:sz w:val="20"/>
                <w:szCs w:val="20"/>
              </w:rPr>
              <w:t>600</w:t>
            </w:r>
          </w:p>
        </w:tc>
        <w:tc>
          <w:tcPr>
            <w:tcW w:w="567" w:type="dxa"/>
            <w:tcBorders>
              <w:top w:val="nil"/>
              <w:left w:val="single" w:sz="4" w:space="0" w:color="auto"/>
              <w:bottom w:val="single" w:sz="4" w:space="0" w:color="auto"/>
              <w:right w:val="nil"/>
            </w:tcBorders>
            <w:shd w:val="clear" w:color="auto" w:fill="auto"/>
            <w:noWrap/>
            <w:vAlign w:val="center"/>
            <w:hideMark/>
          </w:tcPr>
          <w:p w14:paraId="153A065B" w14:textId="77777777" w:rsidR="00387142" w:rsidRPr="008B6A75" w:rsidRDefault="00387142" w:rsidP="00387142">
            <w:pPr>
              <w:jc w:val="center"/>
              <w:rPr>
                <w:sz w:val="20"/>
                <w:szCs w:val="20"/>
              </w:rPr>
            </w:pPr>
            <w:r w:rsidRPr="008B6A75">
              <w:rPr>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6E129E3B" w14:textId="77777777" w:rsidR="00387142" w:rsidRPr="008B6A75" w:rsidRDefault="00387142" w:rsidP="00387142">
            <w:pPr>
              <w:jc w:val="center"/>
              <w:rPr>
                <w:sz w:val="20"/>
                <w:szCs w:val="20"/>
              </w:rPr>
            </w:pPr>
            <w:r w:rsidRPr="008B6A75">
              <w:rPr>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B4D4115" w14:textId="77777777" w:rsidR="00387142" w:rsidRPr="008B6A75" w:rsidRDefault="00387142" w:rsidP="00387142">
            <w:pPr>
              <w:jc w:val="right"/>
              <w:rPr>
                <w:sz w:val="20"/>
                <w:szCs w:val="20"/>
              </w:rPr>
            </w:pPr>
            <w:r w:rsidRPr="008B6A75">
              <w:rPr>
                <w:sz w:val="20"/>
                <w:szCs w:val="20"/>
              </w:rPr>
              <w:t>718 704,00</w:t>
            </w:r>
          </w:p>
        </w:tc>
        <w:tc>
          <w:tcPr>
            <w:tcW w:w="851" w:type="dxa"/>
            <w:tcBorders>
              <w:top w:val="nil"/>
              <w:left w:val="single" w:sz="4" w:space="0" w:color="auto"/>
              <w:bottom w:val="single" w:sz="4" w:space="0" w:color="auto"/>
              <w:right w:val="nil"/>
            </w:tcBorders>
            <w:shd w:val="clear" w:color="auto" w:fill="auto"/>
            <w:noWrap/>
            <w:vAlign w:val="center"/>
            <w:hideMark/>
          </w:tcPr>
          <w:p w14:paraId="3DC6A203" w14:textId="77777777" w:rsidR="00387142" w:rsidRPr="008B6A75" w:rsidRDefault="00387142" w:rsidP="00387142">
            <w:pPr>
              <w:jc w:val="right"/>
              <w:rPr>
                <w:sz w:val="20"/>
                <w:szCs w:val="20"/>
              </w:rPr>
            </w:pPr>
            <w:r w:rsidRPr="008B6A75">
              <w:rPr>
                <w:sz w:val="20"/>
                <w:szCs w:val="20"/>
              </w:rPr>
              <w:t>718 700,00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08422FB3" w14:textId="77777777" w:rsidR="00387142" w:rsidRPr="008B6A75" w:rsidRDefault="00387142" w:rsidP="00387142">
            <w:pPr>
              <w:jc w:val="right"/>
              <w:rPr>
                <w:sz w:val="20"/>
                <w:szCs w:val="20"/>
              </w:rPr>
            </w:pPr>
            <w:r w:rsidRPr="008B6A75">
              <w:rPr>
                <w:sz w:val="20"/>
                <w:szCs w:val="20"/>
              </w:rPr>
              <w:t>718 700,00</w:t>
            </w:r>
          </w:p>
        </w:tc>
      </w:tr>
      <w:tr w:rsidR="00387142" w:rsidRPr="008B6A75" w14:paraId="0263A284" w14:textId="77777777" w:rsidTr="00387142">
        <w:trPr>
          <w:trHeight w:val="300"/>
        </w:trPr>
        <w:tc>
          <w:tcPr>
            <w:tcW w:w="272" w:type="dxa"/>
            <w:tcBorders>
              <w:top w:val="nil"/>
              <w:left w:val="nil"/>
              <w:bottom w:val="nil"/>
              <w:right w:val="single" w:sz="4" w:space="0" w:color="auto"/>
            </w:tcBorders>
            <w:shd w:val="clear" w:color="auto" w:fill="auto"/>
            <w:noWrap/>
            <w:vAlign w:val="bottom"/>
            <w:hideMark/>
          </w:tcPr>
          <w:p w14:paraId="404338F3"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6DEC961F" w14:textId="77777777" w:rsidR="00387142" w:rsidRPr="008B6A75" w:rsidRDefault="00387142" w:rsidP="00387142">
            <w:pPr>
              <w:rPr>
                <w:sz w:val="20"/>
                <w:szCs w:val="20"/>
              </w:rPr>
            </w:pPr>
            <w:r w:rsidRPr="008B6A75">
              <w:rPr>
                <w:sz w:val="20"/>
                <w:szCs w:val="20"/>
              </w:rPr>
              <w:t>Субсидии бюджетным учреждениям</w:t>
            </w:r>
          </w:p>
        </w:tc>
        <w:tc>
          <w:tcPr>
            <w:tcW w:w="1559" w:type="dxa"/>
            <w:tcBorders>
              <w:top w:val="nil"/>
              <w:left w:val="single" w:sz="4" w:space="0" w:color="auto"/>
              <w:bottom w:val="single" w:sz="4" w:space="0" w:color="auto"/>
              <w:right w:val="nil"/>
            </w:tcBorders>
            <w:shd w:val="clear" w:color="auto" w:fill="auto"/>
            <w:noWrap/>
            <w:vAlign w:val="center"/>
            <w:hideMark/>
          </w:tcPr>
          <w:p w14:paraId="284806EB" w14:textId="77777777" w:rsidR="00387142" w:rsidRPr="008B6A75" w:rsidRDefault="00387142" w:rsidP="00387142">
            <w:pPr>
              <w:jc w:val="center"/>
              <w:rPr>
                <w:sz w:val="20"/>
                <w:szCs w:val="20"/>
              </w:rPr>
            </w:pPr>
            <w:r w:rsidRPr="008B6A75">
              <w:rPr>
                <w:sz w:val="20"/>
                <w:szCs w:val="20"/>
              </w:rPr>
              <w:t>07.1.00.03350</w:t>
            </w:r>
          </w:p>
        </w:tc>
        <w:tc>
          <w:tcPr>
            <w:tcW w:w="850" w:type="dxa"/>
            <w:tcBorders>
              <w:top w:val="nil"/>
              <w:left w:val="single" w:sz="4" w:space="0" w:color="auto"/>
              <w:bottom w:val="single" w:sz="4" w:space="0" w:color="auto"/>
              <w:right w:val="nil"/>
            </w:tcBorders>
            <w:shd w:val="clear" w:color="auto" w:fill="auto"/>
            <w:noWrap/>
            <w:vAlign w:val="center"/>
            <w:hideMark/>
          </w:tcPr>
          <w:p w14:paraId="6E3E2F53" w14:textId="77777777" w:rsidR="00387142" w:rsidRPr="008B6A75" w:rsidRDefault="00387142" w:rsidP="00387142">
            <w:pPr>
              <w:jc w:val="center"/>
              <w:rPr>
                <w:sz w:val="20"/>
                <w:szCs w:val="20"/>
              </w:rPr>
            </w:pPr>
            <w:r w:rsidRPr="008B6A75">
              <w:rPr>
                <w:sz w:val="20"/>
                <w:szCs w:val="20"/>
              </w:rPr>
              <w:t>610</w:t>
            </w:r>
          </w:p>
        </w:tc>
        <w:tc>
          <w:tcPr>
            <w:tcW w:w="567" w:type="dxa"/>
            <w:tcBorders>
              <w:top w:val="nil"/>
              <w:left w:val="single" w:sz="4" w:space="0" w:color="auto"/>
              <w:bottom w:val="single" w:sz="4" w:space="0" w:color="auto"/>
              <w:right w:val="nil"/>
            </w:tcBorders>
            <w:shd w:val="clear" w:color="auto" w:fill="auto"/>
            <w:noWrap/>
            <w:vAlign w:val="center"/>
            <w:hideMark/>
          </w:tcPr>
          <w:p w14:paraId="62AA67B4" w14:textId="77777777" w:rsidR="00387142" w:rsidRPr="008B6A75" w:rsidRDefault="00387142" w:rsidP="00387142">
            <w:pPr>
              <w:jc w:val="center"/>
              <w:rPr>
                <w:sz w:val="20"/>
                <w:szCs w:val="20"/>
              </w:rPr>
            </w:pPr>
            <w:r w:rsidRPr="008B6A75">
              <w:rPr>
                <w:sz w:val="20"/>
                <w:szCs w:val="20"/>
              </w:rPr>
              <w:t>07</w:t>
            </w:r>
          </w:p>
        </w:tc>
        <w:tc>
          <w:tcPr>
            <w:tcW w:w="567" w:type="dxa"/>
            <w:tcBorders>
              <w:top w:val="nil"/>
              <w:left w:val="single" w:sz="4" w:space="0" w:color="auto"/>
              <w:bottom w:val="single" w:sz="4" w:space="0" w:color="auto"/>
              <w:right w:val="nil"/>
            </w:tcBorders>
            <w:shd w:val="clear" w:color="auto" w:fill="auto"/>
            <w:noWrap/>
            <w:vAlign w:val="center"/>
            <w:hideMark/>
          </w:tcPr>
          <w:p w14:paraId="3E595B9A" w14:textId="77777777" w:rsidR="00387142" w:rsidRPr="008B6A75" w:rsidRDefault="00387142" w:rsidP="00387142">
            <w:pPr>
              <w:jc w:val="center"/>
              <w:rPr>
                <w:sz w:val="20"/>
                <w:szCs w:val="20"/>
              </w:rPr>
            </w:pPr>
            <w:r w:rsidRPr="008B6A75">
              <w:rPr>
                <w:sz w:val="20"/>
                <w:szCs w:val="20"/>
              </w:rPr>
              <w:t>02</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51BFC6A" w14:textId="77777777" w:rsidR="00387142" w:rsidRPr="008B6A75" w:rsidRDefault="00387142" w:rsidP="00387142">
            <w:pPr>
              <w:jc w:val="right"/>
              <w:rPr>
                <w:sz w:val="20"/>
                <w:szCs w:val="20"/>
              </w:rPr>
            </w:pPr>
            <w:r w:rsidRPr="008B6A75">
              <w:rPr>
                <w:sz w:val="20"/>
                <w:szCs w:val="20"/>
              </w:rPr>
              <w:t>718 704,00</w:t>
            </w:r>
          </w:p>
        </w:tc>
        <w:tc>
          <w:tcPr>
            <w:tcW w:w="851" w:type="dxa"/>
            <w:tcBorders>
              <w:top w:val="nil"/>
              <w:left w:val="single" w:sz="4" w:space="0" w:color="auto"/>
              <w:bottom w:val="single" w:sz="4" w:space="0" w:color="auto"/>
              <w:right w:val="nil"/>
            </w:tcBorders>
            <w:shd w:val="clear" w:color="auto" w:fill="auto"/>
            <w:noWrap/>
            <w:vAlign w:val="center"/>
            <w:hideMark/>
          </w:tcPr>
          <w:p w14:paraId="1DAF1D57" w14:textId="77777777" w:rsidR="00387142" w:rsidRPr="008B6A75" w:rsidRDefault="00387142" w:rsidP="00387142">
            <w:pPr>
              <w:jc w:val="right"/>
              <w:rPr>
                <w:sz w:val="20"/>
                <w:szCs w:val="20"/>
              </w:rPr>
            </w:pPr>
            <w:r w:rsidRPr="008B6A75">
              <w:rPr>
                <w:sz w:val="20"/>
                <w:szCs w:val="20"/>
              </w:rPr>
              <w:t>718 700,00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62055A3C" w14:textId="77777777" w:rsidR="00387142" w:rsidRPr="008B6A75" w:rsidRDefault="00387142" w:rsidP="00387142">
            <w:pPr>
              <w:jc w:val="right"/>
              <w:rPr>
                <w:sz w:val="20"/>
                <w:szCs w:val="20"/>
              </w:rPr>
            </w:pPr>
            <w:r w:rsidRPr="008B6A75">
              <w:rPr>
                <w:sz w:val="20"/>
                <w:szCs w:val="20"/>
              </w:rPr>
              <w:t>718 700,00</w:t>
            </w:r>
          </w:p>
        </w:tc>
      </w:tr>
      <w:tr w:rsidR="00387142" w:rsidRPr="008B6A75" w14:paraId="0C1CB248" w14:textId="77777777" w:rsidTr="00387142">
        <w:trPr>
          <w:trHeight w:val="2580"/>
        </w:trPr>
        <w:tc>
          <w:tcPr>
            <w:tcW w:w="272" w:type="dxa"/>
            <w:tcBorders>
              <w:top w:val="nil"/>
              <w:left w:val="nil"/>
              <w:bottom w:val="nil"/>
              <w:right w:val="single" w:sz="4" w:space="0" w:color="auto"/>
            </w:tcBorders>
            <w:shd w:val="clear" w:color="auto" w:fill="auto"/>
            <w:noWrap/>
            <w:vAlign w:val="bottom"/>
            <w:hideMark/>
          </w:tcPr>
          <w:p w14:paraId="435E58F3"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1587488F" w14:textId="77777777" w:rsidR="00387142" w:rsidRPr="008B6A75" w:rsidRDefault="00387142" w:rsidP="00387142">
            <w:pPr>
              <w:rPr>
                <w:bCs/>
                <w:sz w:val="20"/>
                <w:szCs w:val="20"/>
              </w:rPr>
            </w:pPr>
            <w:r w:rsidRPr="008B6A75">
              <w:rPr>
                <w:bCs/>
                <w:sz w:val="20"/>
                <w:szCs w:val="20"/>
              </w:rPr>
              <w:t xml:space="preserve">Реализация мероприятий по модернизации образования Новосибирской </w:t>
            </w:r>
            <w:proofErr w:type="gramStart"/>
            <w:r w:rsidRPr="008B6A75">
              <w:rPr>
                <w:bCs/>
                <w:sz w:val="20"/>
                <w:szCs w:val="20"/>
              </w:rPr>
              <w:t>области  подпрограммы</w:t>
            </w:r>
            <w:proofErr w:type="gramEnd"/>
            <w:r w:rsidRPr="008B6A75">
              <w:rPr>
                <w:bCs/>
                <w:sz w:val="20"/>
                <w:szCs w:val="20"/>
              </w:rPr>
              <w:t xml:space="preserve"> "Развитие дошкольного, общего и дополнительного образования детей" в рамках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1559" w:type="dxa"/>
            <w:tcBorders>
              <w:top w:val="nil"/>
              <w:left w:val="single" w:sz="4" w:space="0" w:color="auto"/>
              <w:bottom w:val="single" w:sz="4" w:space="0" w:color="auto"/>
              <w:right w:val="nil"/>
            </w:tcBorders>
            <w:shd w:val="clear" w:color="auto" w:fill="auto"/>
            <w:noWrap/>
            <w:vAlign w:val="center"/>
            <w:hideMark/>
          </w:tcPr>
          <w:p w14:paraId="01F75E1C" w14:textId="77777777" w:rsidR="00387142" w:rsidRPr="008B6A75" w:rsidRDefault="00387142" w:rsidP="00387142">
            <w:pPr>
              <w:jc w:val="center"/>
              <w:rPr>
                <w:bCs/>
                <w:sz w:val="20"/>
                <w:szCs w:val="20"/>
              </w:rPr>
            </w:pPr>
            <w:r w:rsidRPr="008B6A75">
              <w:rPr>
                <w:bCs/>
                <w:sz w:val="20"/>
                <w:szCs w:val="20"/>
              </w:rPr>
              <w:t>07.1.00.03470</w:t>
            </w:r>
          </w:p>
        </w:tc>
        <w:tc>
          <w:tcPr>
            <w:tcW w:w="850" w:type="dxa"/>
            <w:tcBorders>
              <w:top w:val="nil"/>
              <w:left w:val="single" w:sz="4" w:space="0" w:color="auto"/>
              <w:bottom w:val="single" w:sz="4" w:space="0" w:color="auto"/>
              <w:right w:val="nil"/>
            </w:tcBorders>
            <w:shd w:val="clear" w:color="auto" w:fill="auto"/>
            <w:noWrap/>
            <w:vAlign w:val="center"/>
            <w:hideMark/>
          </w:tcPr>
          <w:p w14:paraId="09E20894" w14:textId="77777777" w:rsidR="00387142" w:rsidRPr="008B6A75" w:rsidRDefault="00387142" w:rsidP="00387142">
            <w:pPr>
              <w:jc w:val="center"/>
              <w:rPr>
                <w:bCs/>
                <w:sz w:val="20"/>
                <w:szCs w:val="20"/>
              </w:rPr>
            </w:pPr>
            <w:r w:rsidRPr="008B6A75">
              <w:rPr>
                <w:bCs/>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3F6FD648" w14:textId="77777777" w:rsidR="00387142" w:rsidRPr="008B6A75" w:rsidRDefault="00387142" w:rsidP="00387142">
            <w:pPr>
              <w:jc w:val="center"/>
              <w:rPr>
                <w:bCs/>
                <w:sz w:val="20"/>
                <w:szCs w:val="20"/>
              </w:rPr>
            </w:pPr>
            <w:r w:rsidRPr="008B6A75">
              <w:rPr>
                <w:bCs/>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407C61B0" w14:textId="77777777" w:rsidR="00387142" w:rsidRPr="008B6A75" w:rsidRDefault="00387142" w:rsidP="00387142">
            <w:pPr>
              <w:jc w:val="center"/>
              <w:rPr>
                <w:bCs/>
                <w:sz w:val="20"/>
                <w:szCs w:val="20"/>
              </w:rPr>
            </w:pPr>
            <w:r w:rsidRPr="008B6A75">
              <w:rPr>
                <w:bCs/>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EBC69CF" w14:textId="77777777" w:rsidR="00387142" w:rsidRPr="008B6A75" w:rsidRDefault="00387142" w:rsidP="00387142">
            <w:pPr>
              <w:jc w:val="right"/>
              <w:rPr>
                <w:bCs/>
                <w:sz w:val="20"/>
                <w:szCs w:val="20"/>
              </w:rPr>
            </w:pPr>
            <w:r w:rsidRPr="008B6A75">
              <w:rPr>
                <w:bCs/>
                <w:sz w:val="20"/>
                <w:szCs w:val="20"/>
              </w:rPr>
              <w:t>1 544 200,00</w:t>
            </w:r>
          </w:p>
        </w:tc>
        <w:tc>
          <w:tcPr>
            <w:tcW w:w="851" w:type="dxa"/>
            <w:tcBorders>
              <w:top w:val="nil"/>
              <w:left w:val="single" w:sz="4" w:space="0" w:color="auto"/>
              <w:bottom w:val="single" w:sz="4" w:space="0" w:color="auto"/>
              <w:right w:val="nil"/>
            </w:tcBorders>
            <w:shd w:val="clear" w:color="auto" w:fill="auto"/>
            <w:noWrap/>
            <w:vAlign w:val="center"/>
            <w:hideMark/>
          </w:tcPr>
          <w:p w14:paraId="1D343857" w14:textId="77777777" w:rsidR="00387142" w:rsidRPr="008B6A75" w:rsidRDefault="00387142" w:rsidP="00387142">
            <w:pPr>
              <w:jc w:val="right"/>
              <w:rPr>
                <w:bCs/>
                <w:sz w:val="20"/>
                <w:szCs w:val="20"/>
              </w:rPr>
            </w:pPr>
            <w:r w:rsidRPr="008B6A75">
              <w:rPr>
                <w:bCs/>
                <w:sz w:val="20"/>
                <w:szCs w:val="20"/>
              </w:rPr>
              <w:t>1 112 900,00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77622B1B" w14:textId="77777777" w:rsidR="00387142" w:rsidRPr="008B6A75" w:rsidRDefault="00387142" w:rsidP="00387142">
            <w:pPr>
              <w:jc w:val="right"/>
              <w:rPr>
                <w:bCs/>
                <w:sz w:val="20"/>
                <w:szCs w:val="20"/>
              </w:rPr>
            </w:pPr>
            <w:r w:rsidRPr="008B6A75">
              <w:rPr>
                <w:bCs/>
                <w:sz w:val="20"/>
                <w:szCs w:val="20"/>
              </w:rPr>
              <w:t>1 112 900,00</w:t>
            </w:r>
          </w:p>
        </w:tc>
      </w:tr>
      <w:tr w:rsidR="00387142" w:rsidRPr="008B6A75" w14:paraId="6B979599" w14:textId="77777777" w:rsidTr="00387142">
        <w:trPr>
          <w:trHeight w:val="585"/>
        </w:trPr>
        <w:tc>
          <w:tcPr>
            <w:tcW w:w="272" w:type="dxa"/>
            <w:tcBorders>
              <w:top w:val="nil"/>
              <w:left w:val="nil"/>
              <w:bottom w:val="nil"/>
              <w:right w:val="single" w:sz="4" w:space="0" w:color="auto"/>
            </w:tcBorders>
            <w:shd w:val="clear" w:color="auto" w:fill="auto"/>
            <w:noWrap/>
            <w:vAlign w:val="bottom"/>
            <w:hideMark/>
          </w:tcPr>
          <w:p w14:paraId="43F03738"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7183289F" w14:textId="77777777" w:rsidR="00387142" w:rsidRPr="008B6A75" w:rsidRDefault="00387142" w:rsidP="00387142">
            <w:pPr>
              <w:rPr>
                <w:sz w:val="20"/>
                <w:szCs w:val="20"/>
              </w:rPr>
            </w:pPr>
            <w:r w:rsidRPr="008B6A75">
              <w:rPr>
                <w:sz w:val="20"/>
                <w:szCs w:val="20"/>
              </w:rPr>
              <w:t>Закупка товаров, работ и услуг для обеспечения государственных (муниципальных) нужд</w:t>
            </w:r>
          </w:p>
        </w:tc>
        <w:tc>
          <w:tcPr>
            <w:tcW w:w="1559" w:type="dxa"/>
            <w:tcBorders>
              <w:top w:val="nil"/>
              <w:left w:val="single" w:sz="4" w:space="0" w:color="auto"/>
              <w:bottom w:val="single" w:sz="4" w:space="0" w:color="auto"/>
              <w:right w:val="nil"/>
            </w:tcBorders>
            <w:shd w:val="clear" w:color="auto" w:fill="auto"/>
            <w:noWrap/>
            <w:vAlign w:val="center"/>
            <w:hideMark/>
          </w:tcPr>
          <w:p w14:paraId="4FBA4E54" w14:textId="77777777" w:rsidR="00387142" w:rsidRPr="008B6A75" w:rsidRDefault="00387142" w:rsidP="00387142">
            <w:pPr>
              <w:jc w:val="center"/>
              <w:rPr>
                <w:sz w:val="20"/>
                <w:szCs w:val="20"/>
              </w:rPr>
            </w:pPr>
            <w:r w:rsidRPr="008B6A75">
              <w:rPr>
                <w:sz w:val="20"/>
                <w:szCs w:val="20"/>
              </w:rPr>
              <w:t>07.1.00.03470</w:t>
            </w:r>
          </w:p>
        </w:tc>
        <w:tc>
          <w:tcPr>
            <w:tcW w:w="850" w:type="dxa"/>
            <w:tcBorders>
              <w:top w:val="nil"/>
              <w:left w:val="single" w:sz="4" w:space="0" w:color="auto"/>
              <w:bottom w:val="single" w:sz="4" w:space="0" w:color="auto"/>
              <w:right w:val="nil"/>
            </w:tcBorders>
            <w:shd w:val="clear" w:color="auto" w:fill="auto"/>
            <w:noWrap/>
            <w:vAlign w:val="center"/>
            <w:hideMark/>
          </w:tcPr>
          <w:p w14:paraId="395BBC04" w14:textId="77777777" w:rsidR="00387142" w:rsidRPr="008B6A75" w:rsidRDefault="00387142" w:rsidP="00387142">
            <w:pPr>
              <w:jc w:val="center"/>
              <w:rPr>
                <w:sz w:val="20"/>
                <w:szCs w:val="20"/>
              </w:rPr>
            </w:pPr>
            <w:r w:rsidRPr="008B6A75">
              <w:rPr>
                <w:sz w:val="20"/>
                <w:szCs w:val="20"/>
              </w:rPr>
              <w:t>200</w:t>
            </w:r>
          </w:p>
        </w:tc>
        <w:tc>
          <w:tcPr>
            <w:tcW w:w="567" w:type="dxa"/>
            <w:tcBorders>
              <w:top w:val="nil"/>
              <w:left w:val="single" w:sz="4" w:space="0" w:color="auto"/>
              <w:bottom w:val="single" w:sz="4" w:space="0" w:color="auto"/>
              <w:right w:val="nil"/>
            </w:tcBorders>
            <w:shd w:val="clear" w:color="auto" w:fill="auto"/>
            <w:noWrap/>
            <w:vAlign w:val="center"/>
            <w:hideMark/>
          </w:tcPr>
          <w:p w14:paraId="0F48B495" w14:textId="77777777" w:rsidR="00387142" w:rsidRPr="008B6A75" w:rsidRDefault="00387142" w:rsidP="00387142">
            <w:pPr>
              <w:jc w:val="center"/>
              <w:rPr>
                <w:sz w:val="20"/>
                <w:szCs w:val="20"/>
              </w:rPr>
            </w:pPr>
            <w:r w:rsidRPr="008B6A75">
              <w:rPr>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73446469" w14:textId="77777777" w:rsidR="00387142" w:rsidRPr="008B6A75" w:rsidRDefault="00387142" w:rsidP="00387142">
            <w:pPr>
              <w:jc w:val="center"/>
              <w:rPr>
                <w:sz w:val="20"/>
                <w:szCs w:val="20"/>
              </w:rPr>
            </w:pPr>
            <w:r w:rsidRPr="008B6A75">
              <w:rPr>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1CCF766" w14:textId="77777777" w:rsidR="00387142" w:rsidRPr="008B6A75" w:rsidRDefault="00387142" w:rsidP="00387142">
            <w:pPr>
              <w:jc w:val="right"/>
              <w:rPr>
                <w:sz w:val="20"/>
                <w:szCs w:val="20"/>
              </w:rPr>
            </w:pPr>
            <w:r w:rsidRPr="008B6A75">
              <w:rPr>
                <w:sz w:val="20"/>
                <w:szCs w:val="20"/>
              </w:rPr>
              <w:t>1 544 200,00</w:t>
            </w:r>
          </w:p>
        </w:tc>
        <w:tc>
          <w:tcPr>
            <w:tcW w:w="851" w:type="dxa"/>
            <w:tcBorders>
              <w:top w:val="nil"/>
              <w:left w:val="single" w:sz="4" w:space="0" w:color="auto"/>
              <w:bottom w:val="single" w:sz="4" w:space="0" w:color="auto"/>
              <w:right w:val="nil"/>
            </w:tcBorders>
            <w:shd w:val="clear" w:color="auto" w:fill="auto"/>
            <w:noWrap/>
            <w:vAlign w:val="center"/>
            <w:hideMark/>
          </w:tcPr>
          <w:p w14:paraId="4F3BC338" w14:textId="77777777" w:rsidR="00387142" w:rsidRPr="008B6A75" w:rsidRDefault="00387142" w:rsidP="00387142">
            <w:pPr>
              <w:jc w:val="right"/>
              <w:rPr>
                <w:sz w:val="20"/>
                <w:szCs w:val="20"/>
              </w:rPr>
            </w:pPr>
            <w:r w:rsidRPr="008B6A75">
              <w:rPr>
                <w:sz w:val="20"/>
                <w:szCs w:val="20"/>
              </w:rPr>
              <w:t>1 112 900,00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42BD19E7" w14:textId="77777777" w:rsidR="00387142" w:rsidRPr="008B6A75" w:rsidRDefault="00387142" w:rsidP="00387142">
            <w:pPr>
              <w:jc w:val="right"/>
              <w:rPr>
                <w:sz w:val="20"/>
                <w:szCs w:val="20"/>
              </w:rPr>
            </w:pPr>
            <w:r w:rsidRPr="008B6A75">
              <w:rPr>
                <w:sz w:val="20"/>
                <w:szCs w:val="20"/>
              </w:rPr>
              <w:t>1 112 900,00</w:t>
            </w:r>
          </w:p>
        </w:tc>
      </w:tr>
      <w:tr w:rsidR="00387142" w:rsidRPr="008B6A75" w14:paraId="73AF35C7" w14:textId="77777777" w:rsidTr="00387142">
        <w:trPr>
          <w:trHeight w:val="870"/>
        </w:trPr>
        <w:tc>
          <w:tcPr>
            <w:tcW w:w="272" w:type="dxa"/>
            <w:tcBorders>
              <w:top w:val="nil"/>
              <w:left w:val="nil"/>
              <w:bottom w:val="nil"/>
              <w:right w:val="single" w:sz="4" w:space="0" w:color="auto"/>
            </w:tcBorders>
            <w:shd w:val="clear" w:color="auto" w:fill="auto"/>
            <w:noWrap/>
            <w:vAlign w:val="bottom"/>
            <w:hideMark/>
          </w:tcPr>
          <w:p w14:paraId="3152F0E4" w14:textId="77777777" w:rsidR="00387142" w:rsidRPr="008B6A75" w:rsidRDefault="00387142" w:rsidP="00387142">
            <w:pPr>
              <w:rPr>
                <w:sz w:val="20"/>
                <w:szCs w:val="20"/>
              </w:rPr>
            </w:pPr>
            <w:r w:rsidRPr="008B6A75">
              <w:rPr>
                <w:sz w:val="20"/>
                <w:szCs w:val="20"/>
              </w:rPr>
              <w:lastRenderedPageBreak/>
              <w:t> </w:t>
            </w:r>
          </w:p>
        </w:tc>
        <w:tc>
          <w:tcPr>
            <w:tcW w:w="3415" w:type="dxa"/>
            <w:tcBorders>
              <w:top w:val="nil"/>
              <w:left w:val="single" w:sz="4" w:space="0" w:color="auto"/>
              <w:bottom w:val="single" w:sz="4" w:space="0" w:color="auto"/>
              <w:right w:val="nil"/>
            </w:tcBorders>
            <w:shd w:val="clear" w:color="auto" w:fill="auto"/>
            <w:vAlign w:val="center"/>
            <w:hideMark/>
          </w:tcPr>
          <w:p w14:paraId="55F01A4B" w14:textId="77777777" w:rsidR="00387142" w:rsidRPr="008B6A75" w:rsidRDefault="00387142" w:rsidP="00387142">
            <w:pPr>
              <w:rPr>
                <w:sz w:val="20"/>
                <w:szCs w:val="20"/>
              </w:rPr>
            </w:pPr>
            <w:r w:rsidRPr="008B6A75">
              <w:rPr>
                <w:sz w:val="20"/>
                <w:szCs w:val="20"/>
              </w:rPr>
              <w:t>Иные закупки товаров, работ и услуг для обеспечения государственных (муниципальных) нужд</w:t>
            </w:r>
          </w:p>
        </w:tc>
        <w:tc>
          <w:tcPr>
            <w:tcW w:w="1559" w:type="dxa"/>
            <w:tcBorders>
              <w:top w:val="nil"/>
              <w:left w:val="single" w:sz="4" w:space="0" w:color="auto"/>
              <w:bottom w:val="single" w:sz="4" w:space="0" w:color="auto"/>
              <w:right w:val="nil"/>
            </w:tcBorders>
            <w:shd w:val="clear" w:color="auto" w:fill="auto"/>
            <w:noWrap/>
            <w:vAlign w:val="center"/>
            <w:hideMark/>
          </w:tcPr>
          <w:p w14:paraId="772D8350" w14:textId="77777777" w:rsidR="00387142" w:rsidRPr="008B6A75" w:rsidRDefault="00387142" w:rsidP="00387142">
            <w:pPr>
              <w:jc w:val="center"/>
              <w:rPr>
                <w:sz w:val="20"/>
                <w:szCs w:val="20"/>
              </w:rPr>
            </w:pPr>
            <w:r w:rsidRPr="008B6A75">
              <w:rPr>
                <w:sz w:val="20"/>
                <w:szCs w:val="20"/>
              </w:rPr>
              <w:t>07.1.00.03470</w:t>
            </w:r>
          </w:p>
        </w:tc>
        <w:tc>
          <w:tcPr>
            <w:tcW w:w="850" w:type="dxa"/>
            <w:tcBorders>
              <w:top w:val="nil"/>
              <w:left w:val="single" w:sz="4" w:space="0" w:color="auto"/>
              <w:bottom w:val="single" w:sz="4" w:space="0" w:color="auto"/>
              <w:right w:val="nil"/>
            </w:tcBorders>
            <w:shd w:val="clear" w:color="auto" w:fill="auto"/>
            <w:noWrap/>
            <w:vAlign w:val="center"/>
            <w:hideMark/>
          </w:tcPr>
          <w:p w14:paraId="28138CA0" w14:textId="77777777" w:rsidR="00387142" w:rsidRPr="008B6A75" w:rsidRDefault="00387142" w:rsidP="00387142">
            <w:pPr>
              <w:jc w:val="center"/>
              <w:rPr>
                <w:sz w:val="20"/>
                <w:szCs w:val="20"/>
              </w:rPr>
            </w:pPr>
            <w:r w:rsidRPr="008B6A75">
              <w:rPr>
                <w:sz w:val="20"/>
                <w:szCs w:val="20"/>
              </w:rPr>
              <w:t>240</w:t>
            </w:r>
          </w:p>
        </w:tc>
        <w:tc>
          <w:tcPr>
            <w:tcW w:w="567" w:type="dxa"/>
            <w:tcBorders>
              <w:top w:val="nil"/>
              <w:left w:val="single" w:sz="4" w:space="0" w:color="auto"/>
              <w:bottom w:val="single" w:sz="4" w:space="0" w:color="auto"/>
              <w:right w:val="nil"/>
            </w:tcBorders>
            <w:shd w:val="clear" w:color="auto" w:fill="auto"/>
            <w:noWrap/>
            <w:vAlign w:val="center"/>
            <w:hideMark/>
          </w:tcPr>
          <w:p w14:paraId="110693A5" w14:textId="77777777" w:rsidR="00387142" w:rsidRPr="008B6A75" w:rsidRDefault="00387142" w:rsidP="00387142">
            <w:pPr>
              <w:jc w:val="center"/>
              <w:rPr>
                <w:sz w:val="20"/>
                <w:szCs w:val="20"/>
              </w:rPr>
            </w:pPr>
            <w:r w:rsidRPr="008B6A75">
              <w:rPr>
                <w:sz w:val="20"/>
                <w:szCs w:val="20"/>
              </w:rPr>
              <w:t>07</w:t>
            </w:r>
          </w:p>
        </w:tc>
        <w:tc>
          <w:tcPr>
            <w:tcW w:w="567" w:type="dxa"/>
            <w:tcBorders>
              <w:top w:val="nil"/>
              <w:left w:val="single" w:sz="4" w:space="0" w:color="auto"/>
              <w:bottom w:val="single" w:sz="4" w:space="0" w:color="auto"/>
              <w:right w:val="nil"/>
            </w:tcBorders>
            <w:shd w:val="clear" w:color="auto" w:fill="auto"/>
            <w:noWrap/>
            <w:vAlign w:val="center"/>
            <w:hideMark/>
          </w:tcPr>
          <w:p w14:paraId="445AD94A" w14:textId="77777777" w:rsidR="00387142" w:rsidRPr="008B6A75" w:rsidRDefault="00387142" w:rsidP="00387142">
            <w:pPr>
              <w:jc w:val="center"/>
              <w:rPr>
                <w:sz w:val="20"/>
                <w:szCs w:val="20"/>
              </w:rPr>
            </w:pPr>
            <w:r w:rsidRPr="008B6A75">
              <w:rPr>
                <w:sz w:val="20"/>
                <w:szCs w:val="20"/>
              </w:rPr>
              <w:t>01</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C4EB622" w14:textId="77777777" w:rsidR="00387142" w:rsidRPr="008B6A75" w:rsidRDefault="00387142" w:rsidP="00387142">
            <w:pPr>
              <w:jc w:val="right"/>
              <w:rPr>
                <w:sz w:val="20"/>
                <w:szCs w:val="20"/>
              </w:rPr>
            </w:pPr>
            <w:r w:rsidRPr="008B6A75">
              <w:rPr>
                <w:sz w:val="20"/>
                <w:szCs w:val="20"/>
              </w:rPr>
              <w:t>1 344 200,00</w:t>
            </w:r>
          </w:p>
        </w:tc>
        <w:tc>
          <w:tcPr>
            <w:tcW w:w="851" w:type="dxa"/>
            <w:tcBorders>
              <w:top w:val="nil"/>
              <w:left w:val="single" w:sz="4" w:space="0" w:color="auto"/>
              <w:bottom w:val="single" w:sz="4" w:space="0" w:color="auto"/>
              <w:right w:val="nil"/>
            </w:tcBorders>
            <w:shd w:val="clear" w:color="auto" w:fill="auto"/>
            <w:noWrap/>
            <w:vAlign w:val="center"/>
            <w:hideMark/>
          </w:tcPr>
          <w:p w14:paraId="22AE36C8" w14:textId="77777777" w:rsidR="00387142" w:rsidRPr="008B6A75" w:rsidRDefault="00387142" w:rsidP="00387142">
            <w:pPr>
              <w:jc w:val="right"/>
              <w:rPr>
                <w:sz w:val="20"/>
                <w:szCs w:val="20"/>
              </w:rPr>
            </w:pPr>
            <w:r w:rsidRPr="008B6A75">
              <w:rPr>
                <w:sz w:val="20"/>
                <w:szCs w:val="20"/>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10785706" w14:textId="77777777" w:rsidR="00387142" w:rsidRPr="008B6A75" w:rsidRDefault="00387142" w:rsidP="00387142">
            <w:pPr>
              <w:jc w:val="right"/>
              <w:rPr>
                <w:sz w:val="20"/>
                <w:szCs w:val="20"/>
              </w:rPr>
            </w:pPr>
            <w:r w:rsidRPr="008B6A75">
              <w:rPr>
                <w:sz w:val="20"/>
                <w:szCs w:val="20"/>
              </w:rPr>
              <w:t>0,00</w:t>
            </w:r>
          </w:p>
        </w:tc>
      </w:tr>
      <w:tr w:rsidR="00387142" w:rsidRPr="008B6A75" w14:paraId="2700BB8B" w14:textId="77777777" w:rsidTr="00387142">
        <w:trPr>
          <w:trHeight w:val="870"/>
        </w:trPr>
        <w:tc>
          <w:tcPr>
            <w:tcW w:w="272" w:type="dxa"/>
            <w:tcBorders>
              <w:top w:val="nil"/>
              <w:left w:val="nil"/>
              <w:bottom w:val="nil"/>
              <w:right w:val="single" w:sz="4" w:space="0" w:color="auto"/>
            </w:tcBorders>
            <w:shd w:val="clear" w:color="auto" w:fill="auto"/>
            <w:noWrap/>
            <w:vAlign w:val="bottom"/>
            <w:hideMark/>
          </w:tcPr>
          <w:p w14:paraId="23AF00C4"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0BBD2138" w14:textId="77777777" w:rsidR="00387142" w:rsidRPr="008B6A75" w:rsidRDefault="00387142" w:rsidP="00387142">
            <w:pPr>
              <w:rPr>
                <w:sz w:val="20"/>
                <w:szCs w:val="20"/>
              </w:rPr>
            </w:pPr>
            <w:r w:rsidRPr="008B6A75">
              <w:rPr>
                <w:sz w:val="20"/>
                <w:szCs w:val="20"/>
              </w:rPr>
              <w:t>Иные закупки товаров, работ и услуг для обеспечения государственных (муниципальных) нужд</w:t>
            </w:r>
          </w:p>
        </w:tc>
        <w:tc>
          <w:tcPr>
            <w:tcW w:w="1559" w:type="dxa"/>
            <w:tcBorders>
              <w:top w:val="nil"/>
              <w:left w:val="single" w:sz="4" w:space="0" w:color="auto"/>
              <w:bottom w:val="single" w:sz="4" w:space="0" w:color="auto"/>
              <w:right w:val="nil"/>
            </w:tcBorders>
            <w:shd w:val="clear" w:color="auto" w:fill="auto"/>
            <w:noWrap/>
            <w:vAlign w:val="center"/>
            <w:hideMark/>
          </w:tcPr>
          <w:p w14:paraId="71B015CA" w14:textId="77777777" w:rsidR="00387142" w:rsidRPr="008B6A75" w:rsidRDefault="00387142" w:rsidP="00387142">
            <w:pPr>
              <w:jc w:val="center"/>
              <w:rPr>
                <w:sz w:val="20"/>
                <w:szCs w:val="20"/>
              </w:rPr>
            </w:pPr>
            <w:r w:rsidRPr="008B6A75">
              <w:rPr>
                <w:sz w:val="20"/>
                <w:szCs w:val="20"/>
              </w:rPr>
              <w:t>07.1.00.03470</w:t>
            </w:r>
          </w:p>
        </w:tc>
        <w:tc>
          <w:tcPr>
            <w:tcW w:w="850" w:type="dxa"/>
            <w:tcBorders>
              <w:top w:val="nil"/>
              <w:left w:val="single" w:sz="4" w:space="0" w:color="auto"/>
              <w:bottom w:val="single" w:sz="4" w:space="0" w:color="auto"/>
              <w:right w:val="nil"/>
            </w:tcBorders>
            <w:shd w:val="clear" w:color="auto" w:fill="auto"/>
            <w:noWrap/>
            <w:vAlign w:val="center"/>
            <w:hideMark/>
          </w:tcPr>
          <w:p w14:paraId="0B40EC49" w14:textId="77777777" w:rsidR="00387142" w:rsidRPr="008B6A75" w:rsidRDefault="00387142" w:rsidP="00387142">
            <w:pPr>
              <w:jc w:val="center"/>
              <w:rPr>
                <w:sz w:val="20"/>
                <w:szCs w:val="20"/>
              </w:rPr>
            </w:pPr>
            <w:r w:rsidRPr="008B6A75">
              <w:rPr>
                <w:sz w:val="20"/>
                <w:szCs w:val="20"/>
              </w:rPr>
              <w:t>240</w:t>
            </w:r>
          </w:p>
        </w:tc>
        <w:tc>
          <w:tcPr>
            <w:tcW w:w="567" w:type="dxa"/>
            <w:tcBorders>
              <w:top w:val="nil"/>
              <w:left w:val="single" w:sz="4" w:space="0" w:color="auto"/>
              <w:bottom w:val="single" w:sz="4" w:space="0" w:color="auto"/>
              <w:right w:val="nil"/>
            </w:tcBorders>
            <w:shd w:val="clear" w:color="auto" w:fill="auto"/>
            <w:noWrap/>
            <w:vAlign w:val="center"/>
            <w:hideMark/>
          </w:tcPr>
          <w:p w14:paraId="54B55069" w14:textId="77777777" w:rsidR="00387142" w:rsidRPr="008B6A75" w:rsidRDefault="00387142" w:rsidP="00387142">
            <w:pPr>
              <w:jc w:val="center"/>
              <w:rPr>
                <w:sz w:val="20"/>
                <w:szCs w:val="20"/>
              </w:rPr>
            </w:pPr>
            <w:r w:rsidRPr="008B6A75">
              <w:rPr>
                <w:sz w:val="20"/>
                <w:szCs w:val="20"/>
              </w:rPr>
              <w:t>07</w:t>
            </w:r>
          </w:p>
        </w:tc>
        <w:tc>
          <w:tcPr>
            <w:tcW w:w="567" w:type="dxa"/>
            <w:tcBorders>
              <w:top w:val="nil"/>
              <w:left w:val="single" w:sz="4" w:space="0" w:color="auto"/>
              <w:bottom w:val="single" w:sz="4" w:space="0" w:color="auto"/>
              <w:right w:val="nil"/>
            </w:tcBorders>
            <w:shd w:val="clear" w:color="auto" w:fill="auto"/>
            <w:noWrap/>
            <w:vAlign w:val="center"/>
            <w:hideMark/>
          </w:tcPr>
          <w:p w14:paraId="4ADAA635" w14:textId="77777777" w:rsidR="00387142" w:rsidRPr="008B6A75" w:rsidRDefault="00387142" w:rsidP="00387142">
            <w:pPr>
              <w:jc w:val="center"/>
              <w:rPr>
                <w:sz w:val="20"/>
                <w:szCs w:val="20"/>
              </w:rPr>
            </w:pPr>
            <w:r w:rsidRPr="008B6A75">
              <w:rPr>
                <w:sz w:val="20"/>
                <w:szCs w:val="20"/>
              </w:rPr>
              <w:t>09</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12725D5" w14:textId="77777777" w:rsidR="00387142" w:rsidRPr="008B6A75" w:rsidRDefault="00387142" w:rsidP="00387142">
            <w:pPr>
              <w:jc w:val="right"/>
              <w:rPr>
                <w:sz w:val="20"/>
                <w:szCs w:val="20"/>
              </w:rPr>
            </w:pPr>
            <w:r w:rsidRPr="008B6A75">
              <w:rPr>
                <w:sz w:val="20"/>
                <w:szCs w:val="20"/>
              </w:rPr>
              <w:t>200 000,00</w:t>
            </w:r>
          </w:p>
        </w:tc>
        <w:tc>
          <w:tcPr>
            <w:tcW w:w="851" w:type="dxa"/>
            <w:tcBorders>
              <w:top w:val="nil"/>
              <w:left w:val="single" w:sz="4" w:space="0" w:color="auto"/>
              <w:bottom w:val="single" w:sz="4" w:space="0" w:color="auto"/>
              <w:right w:val="nil"/>
            </w:tcBorders>
            <w:shd w:val="clear" w:color="auto" w:fill="auto"/>
            <w:noWrap/>
            <w:vAlign w:val="center"/>
            <w:hideMark/>
          </w:tcPr>
          <w:p w14:paraId="15E32968" w14:textId="77777777" w:rsidR="00387142" w:rsidRPr="008B6A75" w:rsidRDefault="00387142" w:rsidP="00387142">
            <w:pPr>
              <w:jc w:val="right"/>
              <w:rPr>
                <w:sz w:val="20"/>
                <w:szCs w:val="20"/>
              </w:rPr>
            </w:pPr>
            <w:r w:rsidRPr="008B6A75">
              <w:rPr>
                <w:sz w:val="20"/>
                <w:szCs w:val="20"/>
              </w:rPr>
              <w:t>1 112 900,00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46B84A21" w14:textId="77777777" w:rsidR="00387142" w:rsidRPr="008B6A75" w:rsidRDefault="00387142" w:rsidP="00387142">
            <w:pPr>
              <w:jc w:val="right"/>
              <w:rPr>
                <w:sz w:val="20"/>
                <w:szCs w:val="20"/>
              </w:rPr>
            </w:pPr>
            <w:r w:rsidRPr="008B6A75">
              <w:rPr>
                <w:sz w:val="20"/>
                <w:szCs w:val="20"/>
              </w:rPr>
              <w:t>1 112 900,00</w:t>
            </w:r>
          </w:p>
        </w:tc>
      </w:tr>
      <w:tr w:rsidR="00387142" w:rsidRPr="008B6A75" w14:paraId="4F204A6F" w14:textId="77777777" w:rsidTr="00387142">
        <w:trPr>
          <w:trHeight w:val="870"/>
        </w:trPr>
        <w:tc>
          <w:tcPr>
            <w:tcW w:w="272" w:type="dxa"/>
            <w:tcBorders>
              <w:top w:val="nil"/>
              <w:left w:val="nil"/>
              <w:bottom w:val="nil"/>
              <w:right w:val="single" w:sz="4" w:space="0" w:color="auto"/>
            </w:tcBorders>
            <w:shd w:val="clear" w:color="auto" w:fill="auto"/>
            <w:noWrap/>
            <w:vAlign w:val="bottom"/>
            <w:hideMark/>
          </w:tcPr>
          <w:p w14:paraId="62277805"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1F343E52" w14:textId="77777777" w:rsidR="00387142" w:rsidRPr="008B6A75" w:rsidRDefault="00387142" w:rsidP="00387142">
            <w:pPr>
              <w:rPr>
                <w:bCs/>
                <w:sz w:val="20"/>
                <w:szCs w:val="20"/>
              </w:rPr>
            </w:pPr>
            <w:r w:rsidRPr="008B6A75">
              <w:rPr>
                <w:bCs/>
                <w:sz w:val="20"/>
                <w:szCs w:val="20"/>
              </w:rPr>
              <w:t>Расходы на обеспечение деятельности (оказание услуг) муниципальных учреждений дошкольного образования</w:t>
            </w:r>
          </w:p>
        </w:tc>
        <w:tc>
          <w:tcPr>
            <w:tcW w:w="1559" w:type="dxa"/>
            <w:tcBorders>
              <w:top w:val="nil"/>
              <w:left w:val="single" w:sz="4" w:space="0" w:color="auto"/>
              <w:bottom w:val="single" w:sz="4" w:space="0" w:color="auto"/>
              <w:right w:val="nil"/>
            </w:tcBorders>
            <w:shd w:val="clear" w:color="auto" w:fill="auto"/>
            <w:noWrap/>
            <w:vAlign w:val="center"/>
            <w:hideMark/>
          </w:tcPr>
          <w:p w14:paraId="324795D9" w14:textId="77777777" w:rsidR="00387142" w:rsidRPr="008B6A75" w:rsidRDefault="00387142" w:rsidP="00387142">
            <w:pPr>
              <w:jc w:val="center"/>
              <w:rPr>
                <w:bCs/>
                <w:sz w:val="20"/>
                <w:szCs w:val="20"/>
              </w:rPr>
            </w:pPr>
            <w:r w:rsidRPr="008B6A75">
              <w:rPr>
                <w:bCs/>
                <w:sz w:val="20"/>
                <w:szCs w:val="20"/>
              </w:rPr>
              <w:t>07.1.00.07190</w:t>
            </w:r>
          </w:p>
        </w:tc>
        <w:tc>
          <w:tcPr>
            <w:tcW w:w="850" w:type="dxa"/>
            <w:tcBorders>
              <w:top w:val="nil"/>
              <w:left w:val="single" w:sz="4" w:space="0" w:color="auto"/>
              <w:bottom w:val="single" w:sz="4" w:space="0" w:color="auto"/>
              <w:right w:val="nil"/>
            </w:tcBorders>
            <w:shd w:val="clear" w:color="auto" w:fill="auto"/>
            <w:noWrap/>
            <w:vAlign w:val="center"/>
            <w:hideMark/>
          </w:tcPr>
          <w:p w14:paraId="7F4C794C" w14:textId="77777777" w:rsidR="00387142" w:rsidRPr="008B6A75" w:rsidRDefault="00387142" w:rsidP="00387142">
            <w:pPr>
              <w:jc w:val="center"/>
              <w:rPr>
                <w:bCs/>
                <w:sz w:val="20"/>
                <w:szCs w:val="20"/>
              </w:rPr>
            </w:pPr>
            <w:r w:rsidRPr="008B6A75">
              <w:rPr>
                <w:bCs/>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33D66626" w14:textId="77777777" w:rsidR="00387142" w:rsidRPr="008B6A75" w:rsidRDefault="00387142" w:rsidP="00387142">
            <w:pPr>
              <w:jc w:val="center"/>
              <w:rPr>
                <w:bCs/>
                <w:sz w:val="20"/>
                <w:szCs w:val="20"/>
              </w:rPr>
            </w:pPr>
            <w:r w:rsidRPr="008B6A75">
              <w:rPr>
                <w:bCs/>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43199E4A" w14:textId="77777777" w:rsidR="00387142" w:rsidRPr="008B6A75" w:rsidRDefault="00387142" w:rsidP="00387142">
            <w:pPr>
              <w:jc w:val="center"/>
              <w:rPr>
                <w:bCs/>
                <w:sz w:val="20"/>
                <w:szCs w:val="20"/>
              </w:rPr>
            </w:pPr>
            <w:r w:rsidRPr="008B6A75">
              <w:rPr>
                <w:bCs/>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8DA5898" w14:textId="77777777" w:rsidR="00387142" w:rsidRPr="008B6A75" w:rsidRDefault="00387142" w:rsidP="00387142">
            <w:pPr>
              <w:jc w:val="right"/>
              <w:rPr>
                <w:bCs/>
                <w:sz w:val="20"/>
                <w:szCs w:val="20"/>
              </w:rPr>
            </w:pPr>
            <w:r w:rsidRPr="008B6A75">
              <w:rPr>
                <w:bCs/>
                <w:sz w:val="20"/>
                <w:szCs w:val="20"/>
              </w:rPr>
              <w:t>85 220 204,57</w:t>
            </w:r>
          </w:p>
        </w:tc>
        <w:tc>
          <w:tcPr>
            <w:tcW w:w="851" w:type="dxa"/>
            <w:tcBorders>
              <w:top w:val="nil"/>
              <w:left w:val="single" w:sz="4" w:space="0" w:color="auto"/>
              <w:bottom w:val="single" w:sz="4" w:space="0" w:color="auto"/>
              <w:right w:val="nil"/>
            </w:tcBorders>
            <w:shd w:val="clear" w:color="auto" w:fill="auto"/>
            <w:noWrap/>
            <w:vAlign w:val="center"/>
            <w:hideMark/>
          </w:tcPr>
          <w:p w14:paraId="7B85A5A4" w14:textId="77777777" w:rsidR="00387142" w:rsidRPr="008B6A75" w:rsidRDefault="00387142" w:rsidP="00387142">
            <w:pPr>
              <w:jc w:val="right"/>
              <w:rPr>
                <w:bCs/>
                <w:sz w:val="20"/>
                <w:szCs w:val="20"/>
              </w:rPr>
            </w:pPr>
            <w:r w:rsidRPr="008B6A75">
              <w:rPr>
                <w:bCs/>
                <w:sz w:val="20"/>
                <w:szCs w:val="20"/>
              </w:rPr>
              <w:t>99 125 681,00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51309065" w14:textId="77777777" w:rsidR="00387142" w:rsidRPr="008B6A75" w:rsidRDefault="00387142" w:rsidP="00387142">
            <w:pPr>
              <w:jc w:val="right"/>
              <w:rPr>
                <w:bCs/>
                <w:sz w:val="20"/>
                <w:szCs w:val="20"/>
              </w:rPr>
            </w:pPr>
            <w:r w:rsidRPr="008B6A75">
              <w:rPr>
                <w:bCs/>
                <w:sz w:val="20"/>
                <w:szCs w:val="20"/>
              </w:rPr>
              <w:t>101 229 581,00</w:t>
            </w:r>
          </w:p>
        </w:tc>
      </w:tr>
      <w:tr w:rsidR="00387142" w:rsidRPr="008B6A75" w14:paraId="06EDA0E4" w14:textId="77777777" w:rsidTr="00387142">
        <w:trPr>
          <w:trHeight w:val="1440"/>
        </w:trPr>
        <w:tc>
          <w:tcPr>
            <w:tcW w:w="272" w:type="dxa"/>
            <w:tcBorders>
              <w:top w:val="nil"/>
              <w:left w:val="nil"/>
              <w:bottom w:val="nil"/>
              <w:right w:val="single" w:sz="4" w:space="0" w:color="auto"/>
            </w:tcBorders>
            <w:shd w:val="clear" w:color="auto" w:fill="auto"/>
            <w:noWrap/>
            <w:vAlign w:val="bottom"/>
            <w:hideMark/>
          </w:tcPr>
          <w:p w14:paraId="24D452B4"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007576B9" w14:textId="77777777" w:rsidR="00387142" w:rsidRPr="008B6A75" w:rsidRDefault="00387142" w:rsidP="00387142">
            <w:pPr>
              <w:rPr>
                <w:sz w:val="20"/>
                <w:szCs w:val="20"/>
              </w:rPr>
            </w:pPr>
            <w:r w:rsidRPr="008B6A7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single" w:sz="4" w:space="0" w:color="auto"/>
              <w:bottom w:val="single" w:sz="4" w:space="0" w:color="auto"/>
              <w:right w:val="nil"/>
            </w:tcBorders>
            <w:shd w:val="clear" w:color="auto" w:fill="auto"/>
            <w:noWrap/>
            <w:vAlign w:val="center"/>
            <w:hideMark/>
          </w:tcPr>
          <w:p w14:paraId="35583494" w14:textId="77777777" w:rsidR="00387142" w:rsidRPr="008B6A75" w:rsidRDefault="00387142" w:rsidP="00387142">
            <w:pPr>
              <w:jc w:val="center"/>
              <w:rPr>
                <w:sz w:val="20"/>
                <w:szCs w:val="20"/>
              </w:rPr>
            </w:pPr>
            <w:r w:rsidRPr="008B6A75">
              <w:rPr>
                <w:sz w:val="20"/>
                <w:szCs w:val="20"/>
              </w:rPr>
              <w:t>07.1.00.07190</w:t>
            </w:r>
          </w:p>
        </w:tc>
        <w:tc>
          <w:tcPr>
            <w:tcW w:w="850" w:type="dxa"/>
            <w:tcBorders>
              <w:top w:val="nil"/>
              <w:left w:val="single" w:sz="4" w:space="0" w:color="auto"/>
              <w:bottom w:val="single" w:sz="4" w:space="0" w:color="auto"/>
              <w:right w:val="nil"/>
            </w:tcBorders>
            <w:shd w:val="clear" w:color="auto" w:fill="auto"/>
            <w:noWrap/>
            <w:vAlign w:val="center"/>
            <w:hideMark/>
          </w:tcPr>
          <w:p w14:paraId="13E5F367" w14:textId="77777777" w:rsidR="00387142" w:rsidRPr="008B6A75" w:rsidRDefault="00387142" w:rsidP="00387142">
            <w:pPr>
              <w:jc w:val="center"/>
              <w:rPr>
                <w:sz w:val="20"/>
                <w:szCs w:val="20"/>
              </w:rPr>
            </w:pPr>
            <w:r w:rsidRPr="008B6A75">
              <w:rPr>
                <w:sz w:val="20"/>
                <w:szCs w:val="20"/>
              </w:rPr>
              <w:t>100</w:t>
            </w:r>
          </w:p>
        </w:tc>
        <w:tc>
          <w:tcPr>
            <w:tcW w:w="567" w:type="dxa"/>
            <w:tcBorders>
              <w:top w:val="nil"/>
              <w:left w:val="single" w:sz="4" w:space="0" w:color="auto"/>
              <w:bottom w:val="single" w:sz="4" w:space="0" w:color="auto"/>
              <w:right w:val="nil"/>
            </w:tcBorders>
            <w:shd w:val="clear" w:color="auto" w:fill="auto"/>
            <w:noWrap/>
            <w:vAlign w:val="center"/>
            <w:hideMark/>
          </w:tcPr>
          <w:p w14:paraId="77B76907" w14:textId="77777777" w:rsidR="00387142" w:rsidRPr="008B6A75" w:rsidRDefault="00387142" w:rsidP="00387142">
            <w:pPr>
              <w:jc w:val="center"/>
              <w:rPr>
                <w:sz w:val="20"/>
                <w:szCs w:val="20"/>
              </w:rPr>
            </w:pPr>
            <w:r w:rsidRPr="008B6A75">
              <w:rPr>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5245395A" w14:textId="77777777" w:rsidR="00387142" w:rsidRPr="008B6A75" w:rsidRDefault="00387142" w:rsidP="00387142">
            <w:pPr>
              <w:jc w:val="center"/>
              <w:rPr>
                <w:sz w:val="20"/>
                <w:szCs w:val="20"/>
              </w:rPr>
            </w:pPr>
            <w:r w:rsidRPr="008B6A75">
              <w:rPr>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4B6010B" w14:textId="77777777" w:rsidR="00387142" w:rsidRPr="008B6A75" w:rsidRDefault="00387142" w:rsidP="00387142">
            <w:pPr>
              <w:jc w:val="right"/>
              <w:rPr>
                <w:sz w:val="20"/>
                <w:szCs w:val="20"/>
              </w:rPr>
            </w:pPr>
            <w:r w:rsidRPr="008B6A75">
              <w:rPr>
                <w:sz w:val="20"/>
                <w:szCs w:val="20"/>
              </w:rPr>
              <w:t>2 359 637,84</w:t>
            </w:r>
          </w:p>
        </w:tc>
        <w:tc>
          <w:tcPr>
            <w:tcW w:w="851" w:type="dxa"/>
            <w:tcBorders>
              <w:top w:val="nil"/>
              <w:left w:val="single" w:sz="4" w:space="0" w:color="auto"/>
              <w:bottom w:val="single" w:sz="4" w:space="0" w:color="auto"/>
              <w:right w:val="nil"/>
            </w:tcBorders>
            <w:shd w:val="clear" w:color="auto" w:fill="auto"/>
            <w:noWrap/>
            <w:vAlign w:val="center"/>
            <w:hideMark/>
          </w:tcPr>
          <w:p w14:paraId="1552EA8D" w14:textId="77777777" w:rsidR="00387142" w:rsidRPr="008B6A75" w:rsidRDefault="00387142" w:rsidP="00387142">
            <w:pPr>
              <w:jc w:val="right"/>
              <w:rPr>
                <w:sz w:val="20"/>
                <w:szCs w:val="20"/>
              </w:rPr>
            </w:pPr>
            <w:r w:rsidRPr="008B6A75">
              <w:rPr>
                <w:sz w:val="20"/>
                <w:szCs w:val="20"/>
              </w:rPr>
              <w:t>31 595 295,36</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28FCD7C0" w14:textId="77777777" w:rsidR="00387142" w:rsidRPr="008B6A75" w:rsidRDefault="00387142" w:rsidP="00387142">
            <w:pPr>
              <w:jc w:val="right"/>
              <w:rPr>
                <w:sz w:val="20"/>
                <w:szCs w:val="20"/>
              </w:rPr>
            </w:pPr>
            <w:r w:rsidRPr="008B6A75">
              <w:rPr>
                <w:sz w:val="20"/>
                <w:szCs w:val="20"/>
              </w:rPr>
              <w:t>32 126 162,00</w:t>
            </w:r>
          </w:p>
        </w:tc>
      </w:tr>
      <w:tr w:rsidR="00387142" w:rsidRPr="008B6A75" w14:paraId="111DE6AB" w14:textId="77777777" w:rsidTr="00387142">
        <w:trPr>
          <w:trHeight w:val="585"/>
        </w:trPr>
        <w:tc>
          <w:tcPr>
            <w:tcW w:w="272" w:type="dxa"/>
            <w:tcBorders>
              <w:top w:val="nil"/>
              <w:left w:val="nil"/>
              <w:bottom w:val="nil"/>
              <w:right w:val="single" w:sz="4" w:space="0" w:color="auto"/>
            </w:tcBorders>
            <w:shd w:val="clear" w:color="auto" w:fill="auto"/>
            <w:noWrap/>
            <w:vAlign w:val="bottom"/>
            <w:hideMark/>
          </w:tcPr>
          <w:p w14:paraId="654210E2"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328EA7F0" w14:textId="77777777" w:rsidR="00387142" w:rsidRPr="008B6A75" w:rsidRDefault="00387142" w:rsidP="00387142">
            <w:pPr>
              <w:rPr>
                <w:sz w:val="20"/>
                <w:szCs w:val="20"/>
              </w:rPr>
            </w:pPr>
            <w:r w:rsidRPr="008B6A75">
              <w:rPr>
                <w:sz w:val="20"/>
                <w:szCs w:val="20"/>
              </w:rPr>
              <w:t>Расходы на выплаты персоналу казенных учреждений</w:t>
            </w:r>
          </w:p>
        </w:tc>
        <w:tc>
          <w:tcPr>
            <w:tcW w:w="1559" w:type="dxa"/>
            <w:tcBorders>
              <w:top w:val="nil"/>
              <w:left w:val="single" w:sz="4" w:space="0" w:color="auto"/>
              <w:bottom w:val="single" w:sz="4" w:space="0" w:color="auto"/>
              <w:right w:val="nil"/>
            </w:tcBorders>
            <w:shd w:val="clear" w:color="auto" w:fill="auto"/>
            <w:noWrap/>
            <w:vAlign w:val="center"/>
            <w:hideMark/>
          </w:tcPr>
          <w:p w14:paraId="25CD6301" w14:textId="77777777" w:rsidR="00387142" w:rsidRPr="008B6A75" w:rsidRDefault="00387142" w:rsidP="00387142">
            <w:pPr>
              <w:jc w:val="center"/>
              <w:rPr>
                <w:sz w:val="20"/>
                <w:szCs w:val="20"/>
              </w:rPr>
            </w:pPr>
            <w:r w:rsidRPr="008B6A75">
              <w:rPr>
                <w:sz w:val="20"/>
                <w:szCs w:val="20"/>
              </w:rPr>
              <w:t>07.1.00.07190</w:t>
            </w:r>
          </w:p>
        </w:tc>
        <w:tc>
          <w:tcPr>
            <w:tcW w:w="850" w:type="dxa"/>
            <w:tcBorders>
              <w:top w:val="nil"/>
              <w:left w:val="single" w:sz="4" w:space="0" w:color="auto"/>
              <w:bottom w:val="single" w:sz="4" w:space="0" w:color="auto"/>
              <w:right w:val="nil"/>
            </w:tcBorders>
            <w:shd w:val="clear" w:color="auto" w:fill="auto"/>
            <w:noWrap/>
            <w:vAlign w:val="center"/>
            <w:hideMark/>
          </w:tcPr>
          <w:p w14:paraId="535BD569" w14:textId="77777777" w:rsidR="00387142" w:rsidRPr="008B6A75" w:rsidRDefault="00387142" w:rsidP="00387142">
            <w:pPr>
              <w:jc w:val="center"/>
              <w:rPr>
                <w:sz w:val="20"/>
                <w:szCs w:val="20"/>
              </w:rPr>
            </w:pPr>
            <w:r w:rsidRPr="008B6A75">
              <w:rPr>
                <w:sz w:val="20"/>
                <w:szCs w:val="20"/>
              </w:rPr>
              <w:t>110</w:t>
            </w:r>
          </w:p>
        </w:tc>
        <w:tc>
          <w:tcPr>
            <w:tcW w:w="567" w:type="dxa"/>
            <w:tcBorders>
              <w:top w:val="nil"/>
              <w:left w:val="single" w:sz="4" w:space="0" w:color="auto"/>
              <w:bottom w:val="single" w:sz="4" w:space="0" w:color="auto"/>
              <w:right w:val="nil"/>
            </w:tcBorders>
            <w:shd w:val="clear" w:color="auto" w:fill="auto"/>
            <w:noWrap/>
            <w:vAlign w:val="center"/>
            <w:hideMark/>
          </w:tcPr>
          <w:p w14:paraId="0516F1E4" w14:textId="77777777" w:rsidR="00387142" w:rsidRPr="008B6A75" w:rsidRDefault="00387142" w:rsidP="00387142">
            <w:pPr>
              <w:jc w:val="center"/>
              <w:rPr>
                <w:sz w:val="20"/>
                <w:szCs w:val="20"/>
              </w:rPr>
            </w:pPr>
            <w:r w:rsidRPr="008B6A75">
              <w:rPr>
                <w:sz w:val="20"/>
                <w:szCs w:val="20"/>
              </w:rPr>
              <w:t>07</w:t>
            </w:r>
          </w:p>
        </w:tc>
        <w:tc>
          <w:tcPr>
            <w:tcW w:w="567" w:type="dxa"/>
            <w:tcBorders>
              <w:top w:val="nil"/>
              <w:left w:val="single" w:sz="4" w:space="0" w:color="auto"/>
              <w:bottom w:val="single" w:sz="4" w:space="0" w:color="auto"/>
              <w:right w:val="nil"/>
            </w:tcBorders>
            <w:shd w:val="clear" w:color="auto" w:fill="auto"/>
            <w:noWrap/>
            <w:vAlign w:val="center"/>
            <w:hideMark/>
          </w:tcPr>
          <w:p w14:paraId="5C4A7C03" w14:textId="77777777" w:rsidR="00387142" w:rsidRPr="008B6A75" w:rsidRDefault="00387142" w:rsidP="00387142">
            <w:pPr>
              <w:jc w:val="center"/>
              <w:rPr>
                <w:sz w:val="20"/>
                <w:szCs w:val="20"/>
              </w:rPr>
            </w:pPr>
            <w:r w:rsidRPr="008B6A75">
              <w:rPr>
                <w:sz w:val="20"/>
                <w:szCs w:val="20"/>
              </w:rPr>
              <w:t>01</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084642B" w14:textId="77777777" w:rsidR="00387142" w:rsidRPr="008B6A75" w:rsidRDefault="00387142" w:rsidP="00387142">
            <w:pPr>
              <w:jc w:val="right"/>
              <w:rPr>
                <w:sz w:val="20"/>
                <w:szCs w:val="20"/>
              </w:rPr>
            </w:pPr>
            <w:r w:rsidRPr="008B6A75">
              <w:rPr>
                <w:sz w:val="20"/>
                <w:szCs w:val="20"/>
              </w:rPr>
              <w:t>2 359 637,84</w:t>
            </w:r>
          </w:p>
        </w:tc>
        <w:tc>
          <w:tcPr>
            <w:tcW w:w="851" w:type="dxa"/>
            <w:tcBorders>
              <w:top w:val="nil"/>
              <w:left w:val="single" w:sz="4" w:space="0" w:color="auto"/>
              <w:bottom w:val="single" w:sz="4" w:space="0" w:color="auto"/>
              <w:right w:val="nil"/>
            </w:tcBorders>
            <w:shd w:val="clear" w:color="auto" w:fill="auto"/>
            <w:noWrap/>
            <w:vAlign w:val="center"/>
            <w:hideMark/>
          </w:tcPr>
          <w:p w14:paraId="6203A0BB" w14:textId="77777777" w:rsidR="00387142" w:rsidRPr="008B6A75" w:rsidRDefault="00387142" w:rsidP="00387142">
            <w:pPr>
              <w:jc w:val="right"/>
              <w:rPr>
                <w:sz w:val="20"/>
                <w:szCs w:val="20"/>
              </w:rPr>
            </w:pPr>
            <w:r w:rsidRPr="008B6A75">
              <w:rPr>
                <w:sz w:val="20"/>
                <w:szCs w:val="20"/>
              </w:rPr>
              <w:t>31 595 295,36</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403A2157" w14:textId="77777777" w:rsidR="00387142" w:rsidRPr="008B6A75" w:rsidRDefault="00387142" w:rsidP="00387142">
            <w:pPr>
              <w:jc w:val="right"/>
              <w:rPr>
                <w:sz w:val="20"/>
                <w:szCs w:val="20"/>
              </w:rPr>
            </w:pPr>
            <w:r w:rsidRPr="008B6A75">
              <w:rPr>
                <w:sz w:val="20"/>
                <w:szCs w:val="20"/>
              </w:rPr>
              <w:t>32 126 162,00</w:t>
            </w:r>
          </w:p>
        </w:tc>
      </w:tr>
      <w:tr w:rsidR="00387142" w:rsidRPr="008B6A75" w14:paraId="34595ACF" w14:textId="77777777" w:rsidTr="00387142">
        <w:trPr>
          <w:trHeight w:val="585"/>
        </w:trPr>
        <w:tc>
          <w:tcPr>
            <w:tcW w:w="272" w:type="dxa"/>
            <w:tcBorders>
              <w:top w:val="nil"/>
              <w:left w:val="nil"/>
              <w:bottom w:val="nil"/>
              <w:right w:val="single" w:sz="4" w:space="0" w:color="auto"/>
            </w:tcBorders>
            <w:shd w:val="clear" w:color="auto" w:fill="auto"/>
            <w:noWrap/>
            <w:vAlign w:val="bottom"/>
            <w:hideMark/>
          </w:tcPr>
          <w:p w14:paraId="4326DC5A"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44E0454F" w14:textId="77777777" w:rsidR="00387142" w:rsidRPr="008B6A75" w:rsidRDefault="00387142" w:rsidP="00387142">
            <w:pPr>
              <w:rPr>
                <w:sz w:val="20"/>
                <w:szCs w:val="20"/>
              </w:rPr>
            </w:pPr>
            <w:r w:rsidRPr="008B6A75">
              <w:rPr>
                <w:sz w:val="20"/>
                <w:szCs w:val="20"/>
              </w:rPr>
              <w:t>Закупка товаров, работ и услуг для обеспечения государственных (муниципальных) нужд</w:t>
            </w:r>
          </w:p>
        </w:tc>
        <w:tc>
          <w:tcPr>
            <w:tcW w:w="1559" w:type="dxa"/>
            <w:tcBorders>
              <w:top w:val="nil"/>
              <w:left w:val="single" w:sz="4" w:space="0" w:color="auto"/>
              <w:bottom w:val="single" w:sz="4" w:space="0" w:color="auto"/>
              <w:right w:val="nil"/>
            </w:tcBorders>
            <w:shd w:val="clear" w:color="auto" w:fill="auto"/>
            <w:noWrap/>
            <w:vAlign w:val="center"/>
            <w:hideMark/>
          </w:tcPr>
          <w:p w14:paraId="6ACFAEA7" w14:textId="77777777" w:rsidR="00387142" w:rsidRPr="008B6A75" w:rsidRDefault="00387142" w:rsidP="00387142">
            <w:pPr>
              <w:jc w:val="center"/>
              <w:rPr>
                <w:sz w:val="20"/>
                <w:szCs w:val="20"/>
              </w:rPr>
            </w:pPr>
            <w:r w:rsidRPr="008B6A75">
              <w:rPr>
                <w:sz w:val="20"/>
                <w:szCs w:val="20"/>
              </w:rPr>
              <w:t>07.1.00.07190</w:t>
            </w:r>
          </w:p>
        </w:tc>
        <w:tc>
          <w:tcPr>
            <w:tcW w:w="850" w:type="dxa"/>
            <w:tcBorders>
              <w:top w:val="nil"/>
              <w:left w:val="single" w:sz="4" w:space="0" w:color="auto"/>
              <w:bottom w:val="single" w:sz="4" w:space="0" w:color="auto"/>
              <w:right w:val="nil"/>
            </w:tcBorders>
            <w:shd w:val="clear" w:color="auto" w:fill="auto"/>
            <w:noWrap/>
            <w:vAlign w:val="center"/>
            <w:hideMark/>
          </w:tcPr>
          <w:p w14:paraId="3C6C3D65" w14:textId="77777777" w:rsidR="00387142" w:rsidRPr="008B6A75" w:rsidRDefault="00387142" w:rsidP="00387142">
            <w:pPr>
              <w:jc w:val="center"/>
              <w:rPr>
                <w:sz w:val="20"/>
                <w:szCs w:val="20"/>
              </w:rPr>
            </w:pPr>
            <w:r w:rsidRPr="008B6A75">
              <w:rPr>
                <w:sz w:val="20"/>
                <w:szCs w:val="20"/>
              </w:rPr>
              <w:t>200</w:t>
            </w:r>
          </w:p>
        </w:tc>
        <w:tc>
          <w:tcPr>
            <w:tcW w:w="567" w:type="dxa"/>
            <w:tcBorders>
              <w:top w:val="nil"/>
              <w:left w:val="single" w:sz="4" w:space="0" w:color="auto"/>
              <w:bottom w:val="single" w:sz="4" w:space="0" w:color="auto"/>
              <w:right w:val="nil"/>
            </w:tcBorders>
            <w:shd w:val="clear" w:color="auto" w:fill="auto"/>
            <w:noWrap/>
            <w:vAlign w:val="center"/>
            <w:hideMark/>
          </w:tcPr>
          <w:p w14:paraId="1F7C27EE" w14:textId="77777777" w:rsidR="00387142" w:rsidRPr="008B6A75" w:rsidRDefault="00387142" w:rsidP="00387142">
            <w:pPr>
              <w:jc w:val="center"/>
              <w:rPr>
                <w:sz w:val="20"/>
                <w:szCs w:val="20"/>
              </w:rPr>
            </w:pPr>
            <w:r w:rsidRPr="008B6A75">
              <w:rPr>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79149FF0" w14:textId="77777777" w:rsidR="00387142" w:rsidRPr="008B6A75" w:rsidRDefault="00387142" w:rsidP="00387142">
            <w:pPr>
              <w:jc w:val="center"/>
              <w:rPr>
                <w:sz w:val="20"/>
                <w:szCs w:val="20"/>
              </w:rPr>
            </w:pPr>
            <w:r w:rsidRPr="008B6A75">
              <w:rPr>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748A928" w14:textId="77777777" w:rsidR="00387142" w:rsidRPr="008B6A75" w:rsidRDefault="00387142" w:rsidP="00387142">
            <w:pPr>
              <w:jc w:val="right"/>
              <w:rPr>
                <w:sz w:val="20"/>
                <w:szCs w:val="20"/>
              </w:rPr>
            </w:pPr>
            <w:r w:rsidRPr="008B6A75">
              <w:rPr>
                <w:sz w:val="20"/>
                <w:szCs w:val="20"/>
              </w:rPr>
              <w:t>79 486 543,02</w:t>
            </w:r>
          </w:p>
        </w:tc>
        <w:tc>
          <w:tcPr>
            <w:tcW w:w="851" w:type="dxa"/>
            <w:tcBorders>
              <w:top w:val="nil"/>
              <w:left w:val="single" w:sz="4" w:space="0" w:color="auto"/>
              <w:bottom w:val="single" w:sz="4" w:space="0" w:color="auto"/>
              <w:right w:val="nil"/>
            </w:tcBorders>
            <w:shd w:val="clear" w:color="auto" w:fill="auto"/>
            <w:noWrap/>
            <w:vAlign w:val="center"/>
            <w:hideMark/>
          </w:tcPr>
          <w:p w14:paraId="298E3DD2" w14:textId="77777777" w:rsidR="00387142" w:rsidRPr="008B6A75" w:rsidRDefault="00387142" w:rsidP="00387142">
            <w:pPr>
              <w:jc w:val="right"/>
              <w:rPr>
                <w:sz w:val="20"/>
                <w:szCs w:val="20"/>
              </w:rPr>
            </w:pPr>
            <w:r w:rsidRPr="008B6A75">
              <w:rPr>
                <w:sz w:val="20"/>
                <w:szCs w:val="20"/>
              </w:rPr>
              <w:t>67 530 385,64</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50E67668" w14:textId="77777777" w:rsidR="00387142" w:rsidRPr="008B6A75" w:rsidRDefault="00387142" w:rsidP="00387142">
            <w:pPr>
              <w:jc w:val="right"/>
              <w:rPr>
                <w:sz w:val="20"/>
                <w:szCs w:val="20"/>
              </w:rPr>
            </w:pPr>
            <w:r w:rsidRPr="008B6A75">
              <w:rPr>
                <w:sz w:val="20"/>
                <w:szCs w:val="20"/>
              </w:rPr>
              <w:t>69 103 419,00</w:t>
            </w:r>
          </w:p>
        </w:tc>
      </w:tr>
      <w:tr w:rsidR="00387142" w:rsidRPr="008B6A75" w14:paraId="4CA73F22" w14:textId="77777777" w:rsidTr="00387142">
        <w:trPr>
          <w:trHeight w:val="870"/>
        </w:trPr>
        <w:tc>
          <w:tcPr>
            <w:tcW w:w="272" w:type="dxa"/>
            <w:tcBorders>
              <w:top w:val="nil"/>
              <w:left w:val="nil"/>
              <w:bottom w:val="nil"/>
              <w:right w:val="single" w:sz="4" w:space="0" w:color="auto"/>
            </w:tcBorders>
            <w:shd w:val="clear" w:color="auto" w:fill="auto"/>
            <w:noWrap/>
            <w:vAlign w:val="bottom"/>
            <w:hideMark/>
          </w:tcPr>
          <w:p w14:paraId="62FD87AC"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334AAE79" w14:textId="77777777" w:rsidR="00387142" w:rsidRPr="008B6A75" w:rsidRDefault="00387142" w:rsidP="00387142">
            <w:pPr>
              <w:rPr>
                <w:sz w:val="20"/>
                <w:szCs w:val="20"/>
              </w:rPr>
            </w:pPr>
            <w:r w:rsidRPr="008B6A75">
              <w:rPr>
                <w:sz w:val="20"/>
                <w:szCs w:val="20"/>
              </w:rPr>
              <w:t>Иные закупки товаров, работ и услуг для обеспечения государственных (муниципальных) нужд</w:t>
            </w:r>
          </w:p>
        </w:tc>
        <w:tc>
          <w:tcPr>
            <w:tcW w:w="1559" w:type="dxa"/>
            <w:tcBorders>
              <w:top w:val="nil"/>
              <w:left w:val="single" w:sz="4" w:space="0" w:color="auto"/>
              <w:bottom w:val="single" w:sz="4" w:space="0" w:color="auto"/>
              <w:right w:val="nil"/>
            </w:tcBorders>
            <w:shd w:val="clear" w:color="auto" w:fill="auto"/>
            <w:noWrap/>
            <w:vAlign w:val="center"/>
            <w:hideMark/>
          </w:tcPr>
          <w:p w14:paraId="53141B64" w14:textId="77777777" w:rsidR="00387142" w:rsidRPr="008B6A75" w:rsidRDefault="00387142" w:rsidP="00387142">
            <w:pPr>
              <w:jc w:val="center"/>
              <w:rPr>
                <w:sz w:val="20"/>
                <w:szCs w:val="20"/>
              </w:rPr>
            </w:pPr>
            <w:r w:rsidRPr="008B6A75">
              <w:rPr>
                <w:sz w:val="20"/>
                <w:szCs w:val="20"/>
              </w:rPr>
              <w:t>07.1.00.07190</w:t>
            </w:r>
          </w:p>
        </w:tc>
        <w:tc>
          <w:tcPr>
            <w:tcW w:w="850" w:type="dxa"/>
            <w:tcBorders>
              <w:top w:val="nil"/>
              <w:left w:val="single" w:sz="4" w:space="0" w:color="auto"/>
              <w:bottom w:val="single" w:sz="4" w:space="0" w:color="auto"/>
              <w:right w:val="nil"/>
            </w:tcBorders>
            <w:shd w:val="clear" w:color="auto" w:fill="auto"/>
            <w:noWrap/>
            <w:vAlign w:val="center"/>
            <w:hideMark/>
          </w:tcPr>
          <w:p w14:paraId="456BB773" w14:textId="77777777" w:rsidR="00387142" w:rsidRPr="008B6A75" w:rsidRDefault="00387142" w:rsidP="00387142">
            <w:pPr>
              <w:jc w:val="center"/>
              <w:rPr>
                <w:sz w:val="20"/>
                <w:szCs w:val="20"/>
              </w:rPr>
            </w:pPr>
            <w:r w:rsidRPr="008B6A75">
              <w:rPr>
                <w:sz w:val="20"/>
                <w:szCs w:val="20"/>
              </w:rPr>
              <w:t>240</w:t>
            </w:r>
          </w:p>
        </w:tc>
        <w:tc>
          <w:tcPr>
            <w:tcW w:w="567" w:type="dxa"/>
            <w:tcBorders>
              <w:top w:val="nil"/>
              <w:left w:val="single" w:sz="4" w:space="0" w:color="auto"/>
              <w:bottom w:val="single" w:sz="4" w:space="0" w:color="auto"/>
              <w:right w:val="nil"/>
            </w:tcBorders>
            <w:shd w:val="clear" w:color="auto" w:fill="auto"/>
            <w:noWrap/>
            <w:vAlign w:val="center"/>
            <w:hideMark/>
          </w:tcPr>
          <w:p w14:paraId="506994BD" w14:textId="77777777" w:rsidR="00387142" w:rsidRPr="008B6A75" w:rsidRDefault="00387142" w:rsidP="00387142">
            <w:pPr>
              <w:jc w:val="center"/>
              <w:rPr>
                <w:sz w:val="20"/>
                <w:szCs w:val="20"/>
              </w:rPr>
            </w:pPr>
            <w:r w:rsidRPr="008B6A75">
              <w:rPr>
                <w:sz w:val="20"/>
                <w:szCs w:val="20"/>
              </w:rPr>
              <w:t>07</w:t>
            </w:r>
          </w:p>
        </w:tc>
        <w:tc>
          <w:tcPr>
            <w:tcW w:w="567" w:type="dxa"/>
            <w:tcBorders>
              <w:top w:val="nil"/>
              <w:left w:val="single" w:sz="4" w:space="0" w:color="auto"/>
              <w:bottom w:val="single" w:sz="4" w:space="0" w:color="auto"/>
              <w:right w:val="nil"/>
            </w:tcBorders>
            <w:shd w:val="clear" w:color="auto" w:fill="auto"/>
            <w:noWrap/>
            <w:vAlign w:val="center"/>
            <w:hideMark/>
          </w:tcPr>
          <w:p w14:paraId="7D7BE7F4" w14:textId="77777777" w:rsidR="00387142" w:rsidRPr="008B6A75" w:rsidRDefault="00387142" w:rsidP="00387142">
            <w:pPr>
              <w:jc w:val="center"/>
              <w:rPr>
                <w:sz w:val="20"/>
                <w:szCs w:val="20"/>
              </w:rPr>
            </w:pPr>
            <w:r w:rsidRPr="008B6A75">
              <w:rPr>
                <w:sz w:val="20"/>
                <w:szCs w:val="20"/>
              </w:rPr>
              <w:t>01</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57E7EEB" w14:textId="77777777" w:rsidR="00387142" w:rsidRPr="008B6A75" w:rsidRDefault="00387142" w:rsidP="00387142">
            <w:pPr>
              <w:jc w:val="right"/>
              <w:rPr>
                <w:sz w:val="20"/>
                <w:szCs w:val="20"/>
              </w:rPr>
            </w:pPr>
            <w:r w:rsidRPr="008B6A75">
              <w:rPr>
                <w:sz w:val="20"/>
                <w:szCs w:val="20"/>
              </w:rPr>
              <w:t>79 486 543,02</w:t>
            </w:r>
          </w:p>
        </w:tc>
        <w:tc>
          <w:tcPr>
            <w:tcW w:w="851" w:type="dxa"/>
            <w:tcBorders>
              <w:top w:val="nil"/>
              <w:left w:val="single" w:sz="4" w:space="0" w:color="auto"/>
              <w:bottom w:val="single" w:sz="4" w:space="0" w:color="auto"/>
              <w:right w:val="nil"/>
            </w:tcBorders>
            <w:shd w:val="clear" w:color="auto" w:fill="auto"/>
            <w:noWrap/>
            <w:vAlign w:val="center"/>
            <w:hideMark/>
          </w:tcPr>
          <w:p w14:paraId="30D7B9D7" w14:textId="77777777" w:rsidR="00387142" w:rsidRPr="008B6A75" w:rsidRDefault="00387142" w:rsidP="00387142">
            <w:pPr>
              <w:jc w:val="right"/>
              <w:rPr>
                <w:sz w:val="20"/>
                <w:szCs w:val="20"/>
              </w:rPr>
            </w:pPr>
            <w:r w:rsidRPr="008B6A75">
              <w:rPr>
                <w:sz w:val="20"/>
                <w:szCs w:val="20"/>
              </w:rPr>
              <w:t>67 530 385,64</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5F0136FC" w14:textId="77777777" w:rsidR="00387142" w:rsidRPr="008B6A75" w:rsidRDefault="00387142" w:rsidP="00387142">
            <w:pPr>
              <w:jc w:val="right"/>
              <w:rPr>
                <w:sz w:val="20"/>
                <w:szCs w:val="20"/>
              </w:rPr>
            </w:pPr>
            <w:r w:rsidRPr="008B6A75">
              <w:rPr>
                <w:sz w:val="20"/>
                <w:szCs w:val="20"/>
              </w:rPr>
              <w:t>69 103 419,00</w:t>
            </w:r>
          </w:p>
        </w:tc>
      </w:tr>
      <w:tr w:rsidR="00387142" w:rsidRPr="008B6A75" w14:paraId="3A6BE19F" w14:textId="77777777" w:rsidTr="00387142">
        <w:trPr>
          <w:trHeight w:val="300"/>
        </w:trPr>
        <w:tc>
          <w:tcPr>
            <w:tcW w:w="272" w:type="dxa"/>
            <w:tcBorders>
              <w:top w:val="nil"/>
              <w:left w:val="nil"/>
              <w:bottom w:val="nil"/>
              <w:right w:val="single" w:sz="4" w:space="0" w:color="auto"/>
            </w:tcBorders>
            <w:shd w:val="clear" w:color="auto" w:fill="auto"/>
            <w:noWrap/>
            <w:vAlign w:val="bottom"/>
            <w:hideMark/>
          </w:tcPr>
          <w:p w14:paraId="472DD02C"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4397F323" w14:textId="77777777" w:rsidR="00387142" w:rsidRPr="008B6A75" w:rsidRDefault="00387142" w:rsidP="00387142">
            <w:pPr>
              <w:rPr>
                <w:sz w:val="20"/>
                <w:szCs w:val="20"/>
              </w:rPr>
            </w:pPr>
            <w:r w:rsidRPr="008B6A75">
              <w:rPr>
                <w:sz w:val="20"/>
                <w:szCs w:val="20"/>
              </w:rPr>
              <w:t>Иные бюджетные ассигнования</w:t>
            </w:r>
          </w:p>
        </w:tc>
        <w:tc>
          <w:tcPr>
            <w:tcW w:w="1559" w:type="dxa"/>
            <w:tcBorders>
              <w:top w:val="nil"/>
              <w:left w:val="single" w:sz="4" w:space="0" w:color="auto"/>
              <w:bottom w:val="single" w:sz="4" w:space="0" w:color="auto"/>
              <w:right w:val="nil"/>
            </w:tcBorders>
            <w:shd w:val="clear" w:color="auto" w:fill="auto"/>
            <w:noWrap/>
            <w:vAlign w:val="center"/>
            <w:hideMark/>
          </w:tcPr>
          <w:p w14:paraId="375766AC" w14:textId="77777777" w:rsidR="00387142" w:rsidRPr="008B6A75" w:rsidRDefault="00387142" w:rsidP="00387142">
            <w:pPr>
              <w:jc w:val="center"/>
              <w:rPr>
                <w:sz w:val="20"/>
                <w:szCs w:val="20"/>
              </w:rPr>
            </w:pPr>
            <w:r w:rsidRPr="008B6A75">
              <w:rPr>
                <w:sz w:val="20"/>
                <w:szCs w:val="20"/>
              </w:rPr>
              <w:t>07.1.00.07190</w:t>
            </w:r>
          </w:p>
        </w:tc>
        <w:tc>
          <w:tcPr>
            <w:tcW w:w="850" w:type="dxa"/>
            <w:tcBorders>
              <w:top w:val="nil"/>
              <w:left w:val="single" w:sz="4" w:space="0" w:color="auto"/>
              <w:bottom w:val="single" w:sz="4" w:space="0" w:color="auto"/>
              <w:right w:val="nil"/>
            </w:tcBorders>
            <w:shd w:val="clear" w:color="auto" w:fill="auto"/>
            <w:noWrap/>
            <w:vAlign w:val="center"/>
            <w:hideMark/>
          </w:tcPr>
          <w:p w14:paraId="2F0AAFF9" w14:textId="77777777" w:rsidR="00387142" w:rsidRPr="008B6A75" w:rsidRDefault="00387142" w:rsidP="00387142">
            <w:pPr>
              <w:jc w:val="center"/>
              <w:rPr>
                <w:sz w:val="20"/>
                <w:szCs w:val="20"/>
              </w:rPr>
            </w:pPr>
            <w:r w:rsidRPr="008B6A75">
              <w:rPr>
                <w:sz w:val="20"/>
                <w:szCs w:val="20"/>
              </w:rPr>
              <w:t>800</w:t>
            </w:r>
          </w:p>
        </w:tc>
        <w:tc>
          <w:tcPr>
            <w:tcW w:w="567" w:type="dxa"/>
            <w:tcBorders>
              <w:top w:val="nil"/>
              <w:left w:val="single" w:sz="4" w:space="0" w:color="auto"/>
              <w:bottom w:val="single" w:sz="4" w:space="0" w:color="auto"/>
              <w:right w:val="nil"/>
            </w:tcBorders>
            <w:shd w:val="clear" w:color="auto" w:fill="auto"/>
            <w:noWrap/>
            <w:vAlign w:val="center"/>
            <w:hideMark/>
          </w:tcPr>
          <w:p w14:paraId="480DB4FB" w14:textId="77777777" w:rsidR="00387142" w:rsidRPr="008B6A75" w:rsidRDefault="00387142" w:rsidP="00387142">
            <w:pPr>
              <w:jc w:val="center"/>
              <w:rPr>
                <w:sz w:val="20"/>
                <w:szCs w:val="20"/>
              </w:rPr>
            </w:pPr>
            <w:r w:rsidRPr="008B6A75">
              <w:rPr>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50E4CCA3" w14:textId="77777777" w:rsidR="00387142" w:rsidRPr="008B6A75" w:rsidRDefault="00387142" w:rsidP="00387142">
            <w:pPr>
              <w:jc w:val="center"/>
              <w:rPr>
                <w:sz w:val="20"/>
                <w:szCs w:val="20"/>
              </w:rPr>
            </w:pPr>
            <w:r w:rsidRPr="008B6A75">
              <w:rPr>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48B5FAE" w14:textId="77777777" w:rsidR="00387142" w:rsidRPr="008B6A75" w:rsidRDefault="00387142" w:rsidP="00387142">
            <w:pPr>
              <w:jc w:val="right"/>
              <w:rPr>
                <w:sz w:val="20"/>
                <w:szCs w:val="20"/>
              </w:rPr>
            </w:pPr>
            <w:r w:rsidRPr="008B6A75">
              <w:rPr>
                <w:sz w:val="20"/>
                <w:szCs w:val="20"/>
              </w:rPr>
              <w:t>3 374 023,71</w:t>
            </w:r>
          </w:p>
        </w:tc>
        <w:tc>
          <w:tcPr>
            <w:tcW w:w="851" w:type="dxa"/>
            <w:tcBorders>
              <w:top w:val="nil"/>
              <w:left w:val="single" w:sz="4" w:space="0" w:color="auto"/>
              <w:bottom w:val="single" w:sz="4" w:space="0" w:color="auto"/>
              <w:right w:val="nil"/>
            </w:tcBorders>
            <w:shd w:val="clear" w:color="auto" w:fill="auto"/>
            <w:noWrap/>
            <w:vAlign w:val="center"/>
            <w:hideMark/>
          </w:tcPr>
          <w:p w14:paraId="21E28794" w14:textId="77777777" w:rsidR="00387142" w:rsidRPr="008B6A75" w:rsidRDefault="00387142" w:rsidP="00387142">
            <w:pPr>
              <w:jc w:val="right"/>
              <w:rPr>
                <w:sz w:val="20"/>
                <w:szCs w:val="20"/>
              </w:rPr>
            </w:pPr>
            <w:r w:rsidRPr="008B6A75">
              <w:rPr>
                <w:sz w:val="20"/>
                <w:szCs w:val="20"/>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0A780BDD" w14:textId="77777777" w:rsidR="00387142" w:rsidRPr="008B6A75" w:rsidRDefault="00387142" w:rsidP="00387142">
            <w:pPr>
              <w:jc w:val="right"/>
              <w:rPr>
                <w:sz w:val="20"/>
                <w:szCs w:val="20"/>
              </w:rPr>
            </w:pPr>
            <w:r w:rsidRPr="008B6A75">
              <w:rPr>
                <w:sz w:val="20"/>
                <w:szCs w:val="20"/>
              </w:rPr>
              <w:t>0,00</w:t>
            </w:r>
          </w:p>
        </w:tc>
      </w:tr>
      <w:tr w:rsidR="00387142" w:rsidRPr="008B6A75" w14:paraId="78A8EA48" w14:textId="77777777" w:rsidTr="00387142">
        <w:trPr>
          <w:trHeight w:val="300"/>
        </w:trPr>
        <w:tc>
          <w:tcPr>
            <w:tcW w:w="272" w:type="dxa"/>
            <w:tcBorders>
              <w:top w:val="nil"/>
              <w:left w:val="nil"/>
              <w:bottom w:val="nil"/>
              <w:right w:val="single" w:sz="4" w:space="0" w:color="auto"/>
            </w:tcBorders>
            <w:shd w:val="clear" w:color="auto" w:fill="auto"/>
            <w:noWrap/>
            <w:vAlign w:val="bottom"/>
            <w:hideMark/>
          </w:tcPr>
          <w:p w14:paraId="57BB5D6A"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49FB7E61" w14:textId="77777777" w:rsidR="00387142" w:rsidRPr="008B6A75" w:rsidRDefault="00387142" w:rsidP="00387142">
            <w:pPr>
              <w:rPr>
                <w:sz w:val="20"/>
                <w:szCs w:val="20"/>
              </w:rPr>
            </w:pPr>
            <w:r w:rsidRPr="008B6A75">
              <w:rPr>
                <w:sz w:val="20"/>
                <w:szCs w:val="20"/>
              </w:rPr>
              <w:t>Уплата налогов, сборов и иных платежей</w:t>
            </w:r>
          </w:p>
        </w:tc>
        <w:tc>
          <w:tcPr>
            <w:tcW w:w="1559" w:type="dxa"/>
            <w:tcBorders>
              <w:top w:val="nil"/>
              <w:left w:val="single" w:sz="4" w:space="0" w:color="auto"/>
              <w:bottom w:val="single" w:sz="4" w:space="0" w:color="auto"/>
              <w:right w:val="nil"/>
            </w:tcBorders>
            <w:shd w:val="clear" w:color="auto" w:fill="auto"/>
            <w:noWrap/>
            <w:vAlign w:val="center"/>
            <w:hideMark/>
          </w:tcPr>
          <w:p w14:paraId="502C2508" w14:textId="77777777" w:rsidR="00387142" w:rsidRPr="008B6A75" w:rsidRDefault="00387142" w:rsidP="00387142">
            <w:pPr>
              <w:jc w:val="center"/>
              <w:rPr>
                <w:sz w:val="20"/>
                <w:szCs w:val="20"/>
              </w:rPr>
            </w:pPr>
            <w:r w:rsidRPr="008B6A75">
              <w:rPr>
                <w:sz w:val="20"/>
                <w:szCs w:val="20"/>
              </w:rPr>
              <w:t>07.1.00.07190</w:t>
            </w:r>
          </w:p>
        </w:tc>
        <w:tc>
          <w:tcPr>
            <w:tcW w:w="850" w:type="dxa"/>
            <w:tcBorders>
              <w:top w:val="nil"/>
              <w:left w:val="single" w:sz="4" w:space="0" w:color="auto"/>
              <w:bottom w:val="single" w:sz="4" w:space="0" w:color="auto"/>
              <w:right w:val="nil"/>
            </w:tcBorders>
            <w:shd w:val="clear" w:color="auto" w:fill="auto"/>
            <w:noWrap/>
            <w:vAlign w:val="center"/>
            <w:hideMark/>
          </w:tcPr>
          <w:p w14:paraId="48957CEC" w14:textId="77777777" w:rsidR="00387142" w:rsidRPr="008B6A75" w:rsidRDefault="00387142" w:rsidP="00387142">
            <w:pPr>
              <w:jc w:val="center"/>
              <w:rPr>
                <w:sz w:val="20"/>
                <w:szCs w:val="20"/>
              </w:rPr>
            </w:pPr>
            <w:r w:rsidRPr="008B6A75">
              <w:rPr>
                <w:sz w:val="20"/>
                <w:szCs w:val="20"/>
              </w:rPr>
              <w:t>850</w:t>
            </w:r>
          </w:p>
        </w:tc>
        <w:tc>
          <w:tcPr>
            <w:tcW w:w="567" w:type="dxa"/>
            <w:tcBorders>
              <w:top w:val="nil"/>
              <w:left w:val="single" w:sz="4" w:space="0" w:color="auto"/>
              <w:bottom w:val="single" w:sz="4" w:space="0" w:color="auto"/>
              <w:right w:val="nil"/>
            </w:tcBorders>
            <w:shd w:val="clear" w:color="auto" w:fill="auto"/>
            <w:noWrap/>
            <w:vAlign w:val="center"/>
            <w:hideMark/>
          </w:tcPr>
          <w:p w14:paraId="29E63B7C" w14:textId="77777777" w:rsidR="00387142" w:rsidRPr="008B6A75" w:rsidRDefault="00387142" w:rsidP="00387142">
            <w:pPr>
              <w:jc w:val="center"/>
              <w:rPr>
                <w:sz w:val="20"/>
                <w:szCs w:val="20"/>
              </w:rPr>
            </w:pPr>
            <w:r w:rsidRPr="008B6A75">
              <w:rPr>
                <w:sz w:val="20"/>
                <w:szCs w:val="20"/>
              </w:rPr>
              <w:t>07</w:t>
            </w:r>
          </w:p>
        </w:tc>
        <w:tc>
          <w:tcPr>
            <w:tcW w:w="567" w:type="dxa"/>
            <w:tcBorders>
              <w:top w:val="nil"/>
              <w:left w:val="single" w:sz="4" w:space="0" w:color="auto"/>
              <w:bottom w:val="single" w:sz="4" w:space="0" w:color="auto"/>
              <w:right w:val="nil"/>
            </w:tcBorders>
            <w:shd w:val="clear" w:color="auto" w:fill="auto"/>
            <w:noWrap/>
            <w:vAlign w:val="center"/>
            <w:hideMark/>
          </w:tcPr>
          <w:p w14:paraId="0084BE0C" w14:textId="77777777" w:rsidR="00387142" w:rsidRPr="008B6A75" w:rsidRDefault="00387142" w:rsidP="00387142">
            <w:pPr>
              <w:jc w:val="center"/>
              <w:rPr>
                <w:sz w:val="20"/>
                <w:szCs w:val="20"/>
              </w:rPr>
            </w:pPr>
            <w:r w:rsidRPr="008B6A75">
              <w:rPr>
                <w:sz w:val="20"/>
                <w:szCs w:val="20"/>
              </w:rPr>
              <w:t>01</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F7B7619" w14:textId="77777777" w:rsidR="00387142" w:rsidRPr="008B6A75" w:rsidRDefault="00387142" w:rsidP="00387142">
            <w:pPr>
              <w:jc w:val="right"/>
              <w:rPr>
                <w:sz w:val="20"/>
                <w:szCs w:val="20"/>
              </w:rPr>
            </w:pPr>
            <w:r w:rsidRPr="008B6A75">
              <w:rPr>
                <w:sz w:val="20"/>
                <w:szCs w:val="20"/>
              </w:rPr>
              <w:t>3 374 023,71</w:t>
            </w:r>
          </w:p>
        </w:tc>
        <w:tc>
          <w:tcPr>
            <w:tcW w:w="851" w:type="dxa"/>
            <w:tcBorders>
              <w:top w:val="nil"/>
              <w:left w:val="single" w:sz="4" w:space="0" w:color="auto"/>
              <w:bottom w:val="single" w:sz="4" w:space="0" w:color="auto"/>
              <w:right w:val="nil"/>
            </w:tcBorders>
            <w:shd w:val="clear" w:color="auto" w:fill="auto"/>
            <w:noWrap/>
            <w:vAlign w:val="center"/>
            <w:hideMark/>
          </w:tcPr>
          <w:p w14:paraId="3E6E8F93" w14:textId="77777777" w:rsidR="00387142" w:rsidRPr="008B6A75" w:rsidRDefault="00387142" w:rsidP="00387142">
            <w:pPr>
              <w:jc w:val="right"/>
              <w:rPr>
                <w:sz w:val="20"/>
                <w:szCs w:val="20"/>
              </w:rPr>
            </w:pPr>
            <w:r w:rsidRPr="008B6A75">
              <w:rPr>
                <w:sz w:val="20"/>
                <w:szCs w:val="20"/>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3286CE66" w14:textId="77777777" w:rsidR="00387142" w:rsidRPr="008B6A75" w:rsidRDefault="00387142" w:rsidP="00387142">
            <w:pPr>
              <w:jc w:val="right"/>
              <w:rPr>
                <w:sz w:val="20"/>
                <w:szCs w:val="20"/>
              </w:rPr>
            </w:pPr>
            <w:r w:rsidRPr="008B6A75">
              <w:rPr>
                <w:sz w:val="20"/>
                <w:szCs w:val="20"/>
              </w:rPr>
              <w:t>0,00</w:t>
            </w:r>
          </w:p>
        </w:tc>
      </w:tr>
      <w:tr w:rsidR="00387142" w:rsidRPr="008B6A75" w14:paraId="66EEDCB7" w14:textId="77777777" w:rsidTr="00387142">
        <w:trPr>
          <w:trHeight w:val="870"/>
        </w:trPr>
        <w:tc>
          <w:tcPr>
            <w:tcW w:w="272" w:type="dxa"/>
            <w:tcBorders>
              <w:top w:val="nil"/>
              <w:left w:val="nil"/>
              <w:bottom w:val="nil"/>
              <w:right w:val="single" w:sz="4" w:space="0" w:color="auto"/>
            </w:tcBorders>
            <w:shd w:val="clear" w:color="auto" w:fill="auto"/>
            <w:noWrap/>
            <w:vAlign w:val="bottom"/>
            <w:hideMark/>
          </w:tcPr>
          <w:p w14:paraId="0330B416"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7E796111" w14:textId="77777777" w:rsidR="00387142" w:rsidRPr="008B6A75" w:rsidRDefault="00387142" w:rsidP="00387142">
            <w:pPr>
              <w:rPr>
                <w:bCs/>
                <w:sz w:val="20"/>
                <w:szCs w:val="20"/>
              </w:rPr>
            </w:pPr>
            <w:r w:rsidRPr="008B6A75">
              <w:rPr>
                <w:bCs/>
                <w:sz w:val="20"/>
                <w:szCs w:val="20"/>
              </w:rPr>
              <w:t>Расходы на обеспечение деятельности (оказание услуг) дошкольных групп при школах, школах-интернатах</w:t>
            </w:r>
          </w:p>
        </w:tc>
        <w:tc>
          <w:tcPr>
            <w:tcW w:w="1559" w:type="dxa"/>
            <w:tcBorders>
              <w:top w:val="nil"/>
              <w:left w:val="single" w:sz="4" w:space="0" w:color="auto"/>
              <w:bottom w:val="single" w:sz="4" w:space="0" w:color="auto"/>
              <w:right w:val="nil"/>
            </w:tcBorders>
            <w:shd w:val="clear" w:color="auto" w:fill="auto"/>
            <w:noWrap/>
            <w:vAlign w:val="center"/>
            <w:hideMark/>
          </w:tcPr>
          <w:p w14:paraId="118DC869" w14:textId="77777777" w:rsidR="00387142" w:rsidRPr="008B6A75" w:rsidRDefault="00387142" w:rsidP="00387142">
            <w:pPr>
              <w:jc w:val="center"/>
              <w:rPr>
                <w:bCs/>
                <w:sz w:val="20"/>
                <w:szCs w:val="20"/>
              </w:rPr>
            </w:pPr>
            <w:r w:rsidRPr="008B6A75">
              <w:rPr>
                <w:bCs/>
                <w:sz w:val="20"/>
                <w:szCs w:val="20"/>
              </w:rPr>
              <w:t>07.1.00.07210</w:t>
            </w:r>
          </w:p>
        </w:tc>
        <w:tc>
          <w:tcPr>
            <w:tcW w:w="850" w:type="dxa"/>
            <w:tcBorders>
              <w:top w:val="nil"/>
              <w:left w:val="single" w:sz="4" w:space="0" w:color="auto"/>
              <w:bottom w:val="single" w:sz="4" w:space="0" w:color="auto"/>
              <w:right w:val="nil"/>
            </w:tcBorders>
            <w:shd w:val="clear" w:color="auto" w:fill="auto"/>
            <w:noWrap/>
            <w:vAlign w:val="center"/>
            <w:hideMark/>
          </w:tcPr>
          <w:p w14:paraId="074E18AC" w14:textId="77777777" w:rsidR="00387142" w:rsidRPr="008B6A75" w:rsidRDefault="00387142" w:rsidP="00387142">
            <w:pPr>
              <w:jc w:val="center"/>
              <w:rPr>
                <w:bCs/>
                <w:sz w:val="20"/>
                <w:szCs w:val="20"/>
              </w:rPr>
            </w:pPr>
            <w:r w:rsidRPr="008B6A75">
              <w:rPr>
                <w:bCs/>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5A153E9F" w14:textId="77777777" w:rsidR="00387142" w:rsidRPr="008B6A75" w:rsidRDefault="00387142" w:rsidP="00387142">
            <w:pPr>
              <w:jc w:val="center"/>
              <w:rPr>
                <w:bCs/>
                <w:sz w:val="20"/>
                <w:szCs w:val="20"/>
              </w:rPr>
            </w:pPr>
            <w:r w:rsidRPr="008B6A75">
              <w:rPr>
                <w:bCs/>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7C10462E" w14:textId="77777777" w:rsidR="00387142" w:rsidRPr="008B6A75" w:rsidRDefault="00387142" w:rsidP="00387142">
            <w:pPr>
              <w:jc w:val="center"/>
              <w:rPr>
                <w:bCs/>
                <w:sz w:val="20"/>
                <w:szCs w:val="20"/>
              </w:rPr>
            </w:pPr>
            <w:r w:rsidRPr="008B6A75">
              <w:rPr>
                <w:bCs/>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7614C8C" w14:textId="77777777" w:rsidR="00387142" w:rsidRPr="008B6A75" w:rsidRDefault="00387142" w:rsidP="00387142">
            <w:pPr>
              <w:jc w:val="right"/>
              <w:rPr>
                <w:bCs/>
                <w:sz w:val="20"/>
                <w:szCs w:val="20"/>
              </w:rPr>
            </w:pPr>
            <w:r w:rsidRPr="008B6A75">
              <w:rPr>
                <w:bCs/>
                <w:sz w:val="20"/>
                <w:szCs w:val="20"/>
              </w:rPr>
              <w:t>5 285 533,80</w:t>
            </w:r>
          </w:p>
        </w:tc>
        <w:tc>
          <w:tcPr>
            <w:tcW w:w="851" w:type="dxa"/>
            <w:tcBorders>
              <w:top w:val="nil"/>
              <w:left w:val="single" w:sz="4" w:space="0" w:color="auto"/>
              <w:bottom w:val="single" w:sz="4" w:space="0" w:color="auto"/>
              <w:right w:val="nil"/>
            </w:tcBorders>
            <w:shd w:val="clear" w:color="auto" w:fill="auto"/>
            <w:noWrap/>
            <w:vAlign w:val="center"/>
            <w:hideMark/>
          </w:tcPr>
          <w:p w14:paraId="0AC257D3" w14:textId="77777777" w:rsidR="00387142" w:rsidRPr="008B6A75" w:rsidRDefault="00387142" w:rsidP="00387142">
            <w:pPr>
              <w:jc w:val="right"/>
              <w:rPr>
                <w:bCs/>
                <w:sz w:val="20"/>
                <w:szCs w:val="20"/>
              </w:rPr>
            </w:pPr>
            <w:r w:rsidRPr="008B6A75">
              <w:rPr>
                <w:bCs/>
                <w:sz w:val="20"/>
                <w:szCs w:val="20"/>
              </w:rPr>
              <w:t>4 946 319,00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5CAFFFA2" w14:textId="77777777" w:rsidR="00387142" w:rsidRPr="008B6A75" w:rsidRDefault="00387142" w:rsidP="00387142">
            <w:pPr>
              <w:jc w:val="right"/>
              <w:rPr>
                <w:bCs/>
                <w:sz w:val="20"/>
                <w:szCs w:val="20"/>
              </w:rPr>
            </w:pPr>
            <w:r w:rsidRPr="008B6A75">
              <w:rPr>
                <w:bCs/>
                <w:sz w:val="20"/>
                <w:szCs w:val="20"/>
              </w:rPr>
              <w:t>4 946 319,00</w:t>
            </w:r>
          </w:p>
        </w:tc>
      </w:tr>
      <w:tr w:rsidR="00387142" w:rsidRPr="008B6A75" w14:paraId="60785E68" w14:textId="77777777" w:rsidTr="00387142">
        <w:trPr>
          <w:trHeight w:val="585"/>
        </w:trPr>
        <w:tc>
          <w:tcPr>
            <w:tcW w:w="272" w:type="dxa"/>
            <w:tcBorders>
              <w:top w:val="nil"/>
              <w:left w:val="nil"/>
              <w:bottom w:val="nil"/>
              <w:right w:val="single" w:sz="4" w:space="0" w:color="auto"/>
            </w:tcBorders>
            <w:shd w:val="clear" w:color="auto" w:fill="auto"/>
            <w:noWrap/>
            <w:vAlign w:val="bottom"/>
            <w:hideMark/>
          </w:tcPr>
          <w:p w14:paraId="749643C6"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43B30754" w14:textId="77777777" w:rsidR="00387142" w:rsidRPr="008B6A75" w:rsidRDefault="00387142" w:rsidP="00387142">
            <w:pPr>
              <w:rPr>
                <w:sz w:val="20"/>
                <w:szCs w:val="20"/>
              </w:rPr>
            </w:pPr>
            <w:r w:rsidRPr="008B6A75">
              <w:rPr>
                <w:sz w:val="20"/>
                <w:szCs w:val="20"/>
              </w:rPr>
              <w:t>Закупка товаров, работ и услуг для обеспечения государственных (муниципальных) нужд</w:t>
            </w:r>
          </w:p>
        </w:tc>
        <w:tc>
          <w:tcPr>
            <w:tcW w:w="1559" w:type="dxa"/>
            <w:tcBorders>
              <w:top w:val="nil"/>
              <w:left w:val="single" w:sz="4" w:space="0" w:color="auto"/>
              <w:bottom w:val="single" w:sz="4" w:space="0" w:color="auto"/>
              <w:right w:val="nil"/>
            </w:tcBorders>
            <w:shd w:val="clear" w:color="auto" w:fill="auto"/>
            <w:noWrap/>
            <w:vAlign w:val="center"/>
            <w:hideMark/>
          </w:tcPr>
          <w:p w14:paraId="462CF9DB" w14:textId="77777777" w:rsidR="00387142" w:rsidRPr="008B6A75" w:rsidRDefault="00387142" w:rsidP="00387142">
            <w:pPr>
              <w:jc w:val="center"/>
              <w:rPr>
                <w:sz w:val="20"/>
                <w:szCs w:val="20"/>
              </w:rPr>
            </w:pPr>
            <w:r w:rsidRPr="008B6A75">
              <w:rPr>
                <w:sz w:val="20"/>
                <w:szCs w:val="20"/>
              </w:rPr>
              <w:t>07.1.00.07210</w:t>
            </w:r>
          </w:p>
        </w:tc>
        <w:tc>
          <w:tcPr>
            <w:tcW w:w="850" w:type="dxa"/>
            <w:tcBorders>
              <w:top w:val="nil"/>
              <w:left w:val="single" w:sz="4" w:space="0" w:color="auto"/>
              <w:bottom w:val="single" w:sz="4" w:space="0" w:color="auto"/>
              <w:right w:val="nil"/>
            </w:tcBorders>
            <w:shd w:val="clear" w:color="auto" w:fill="auto"/>
            <w:noWrap/>
            <w:vAlign w:val="center"/>
            <w:hideMark/>
          </w:tcPr>
          <w:p w14:paraId="467A2651" w14:textId="77777777" w:rsidR="00387142" w:rsidRPr="008B6A75" w:rsidRDefault="00387142" w:rsidP="00387142">
            <w:pPr>
              <w:jc w:val="center"/>
              <w:rPr>
                <w:sz w:val="20"/>
                <w:szCs w:val="20"/>
              </w:rPr>
            </w:pPr>
            <w:r w:rsidRPr="008B6A75">
              <w:rPr>
                <w:sz w:val="20"/>
                <w:szCs w:val="20"/>
              </w:rPr>
              <w:t>200</w:t>
            </w:r>
          </w:p>
        </w:tc>
        <w:tc>
          <w:tcPr>
            <w:tcW w:w="567" w:type="dxa"/>
            <w:tcBorders>
              <w:top w:val="nil"/>
              <w:left w:val="single" w:sz="4" w:space="0" w:color="auto"/>
              <w:bottom w:val="single" w:sz="4" w:space="0" w:color="auto"/>
              <w:right w:val="nil"/>
            </w:tcBorders>
            <w:shd w:val="clear" w:color="auto" w:fill="auto"/>
            <w:noWrap/>
            <w:vAlign w:val="center"/>
            <w:hideMark/>
          </w:tcPr>
          <w:p w14:paraId="571CD082" w14:textId="77777777" w:rsidR="00387142" w:rsidRPr="008B6A75" w:rsidRDefault="00387142" w:rsidP="00387142">
            <w:pPr>
              <w:jc w:val="center"/>
              <w:rPr>
                <w:sz w:val="20"/>
                <w:szCs w:val="20"/>
              </w:rPr>
            </w:pPr>
            <w:r w:rsidRPr="008B6A75">
              <w:rPr>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0777F853" w14:textId="77777777" w:rsidR="00387142" w:rsidRPr="008B6A75" w:rsidRDefault="00387142" w:rsidP="00387142">
            <w:pPr>
              <w:jc w:val="center"/>
              <w:rPr>
                <w:sz w:val="20"/>
                <w:szCs w:val="20"/>
              </w:rPr>
            </w:pPr>
            <w:r w:rsidRPr="008B6A75">
              <w:rPr>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07E4D9D" w14:textId="77777777" w:rsidR="00387142" w:rsidRPr="008B6A75" w:rsidRDefault="00387142" w:rsidP="00387142">
            <w:pPr>
              <w:jc w:val="right"/>
              <w:rPr>
                <w:sz w:val="20"/>
                <w:szCs w:val="20"/>
              </w:rPr>
            </w:pPr>
            <w:r w:rsidRPr="008B6A75">
              <w:rPr>
                <w:sz w:val="20"/>
                <w:szCs w:val="20"/>
              </w:rPr>
              <w:t>5 207 966,80</w:t>
            </w:r>
          </w:p>
        </w:tc>
        <w:tc>
          <w:tcPr>
            <w:tcW w:w="851" w:type="dxa"/>
            <w:tcBorders>
              <w:top w:val="nil"/>
              <w:left w:val="single" w:sz="4" w:space="0" w:color="auto"/>
              <w:bottom w:val="single" w:sz="4" w:space="0" w:color="auto"/>
              <w:right w:val="nil"/>
            </w:tcBorders>
            <w:shd w:val="clear" w:color="auto" w:fill="auto"/>
            <w:noWrap/>
            <w:vAlign w:val="center"/>
            <w:hideMark/>
          </w:tcPr>
          <w:p w14:paraId="28744220" w14:textId="77777777" w:rsidR="00387142" w:rsidRPr="008B6A75" w:rsidRDefault="00387142" w:rsidP="00387142">
            <w:pPr>
              <w:jc w:val="right"/>
              <w:rPr>
                <w:sz w:val="20"/>
                <w:szCs w:val="20"/>
              </w:rPr>
            </w:pPr>
            <w:r w:rsidRPr="008B6A75">
              <w:rPr>
                <w:sz w:val="20"/>
                <w:szCs w:val="20"/>
              </w:rPr>
              <w:t>4 946 319,00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0F19810C" w14:textId="77777777" w:rsidR="00387142" w:rsidRPr="008B6A75" w:rsidRDefault="00387142" w:rsidP="00387142">
            <w:pPr>
              <w:jc w:val="right"/>
              <w:rPr>
                <w:sz w:val="20"/>
                <w:szCs w:val="20"/>
              </w:rPr>
            </w:pPr>
            <w:r w:rsidRPr="008B6A75">
              <w:rPr>
                <w:sz w:val="20"/>
                <w:szCs w:val="20"/>
              </w:rPr>
              <w:t>4 946 319,00</w:t>
            </w:r>
          </w:p>
        </w:tc>
      </w:tr>
      <w:tr w:rsidR="00387142" w:rsidRPr="008B6A75" w14:paraId="7CC7DE18" w14:textId="77777777" w:rsidTr="00387142">
        <w:trPr>
          <w:trHeight w:val="870"/>
        </w:trPr>
        <w:tc>
          <w:tcPr>
            <w:tcW w:w="272" w:type="dxa"/>
            <w:tcBorders>
              <w:top w:val="nil"/>
              <w:left w:val="nil"/>
              <w:bottom w:val="nil"/>
              <w:right w:val="single" w:sz="4" w:space="0" w:color="auto"/>
            </w:tcBorders>
            <w:shd w:val="clear" w:color="auto" w:fill="auto"/>
            <w:noWrap/>
            <w:vAlign w:val="bottom"/>
            <w:hideMark/>
          </w:tcPr>
          <w:p w14:paraId="04CAACB4"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6E501E99" w14:textId="77777777" w:rsidR="00387142" w:rsidRPr="008B6A75" w:rsidRDefault="00387142" w:rsidP="00387142">
            <w:pPr>
              <w:rPr>
                <w:sz w:val="20"/>
                <w:szCs w:val="20"/>
              </w:rPr>
            </w:pPr>
            <w:r w:rsidRPr="008B6A75">
              <w:rPr>
                <w:sz w:val="20"/>
                <w:szCs w:val="20"/>
              </w:rPr>
              <w:t>Иные закупки товаров, работ и услуг для обеспечения государственных (муниципальных) нужд</w:t>
            </w:r>
          </w:p>
        </w:tc>
        <w:tc>
          <w:tcPr>
            <w:tcW w:w="1559" w:type="dxa"/>
            <w:tcBorders>
              <w:top w:val="nil"/>
              <w:left w:val="single" w:sz="4" w:space="0" w:color="auto"/>
              <w:bottom w:val="single" w:sz="4" w:space="0" w:color="auto"/>
              <w:right w:val="nil"/>
            </w:tcBorders>
            <w:shd w:val="clear" w:color="auto" w:fill="auto"/>
            <w:noWrap/>
            <w:vAlign w:val="center"/>
            <w:hideMark/>
          </w:tcPr>
          <w:p w14:paraId="12B2D00B" w14:textId="77777777" w:rsidR="00387142" w:rsidRPr="008B6A75" w:rsidRDefault="00387142" w:rsidP="00387142">
            <w:pPr>
              <w:jc w:val="center"/>
              <w:rPr>
                <w:sz w:val="20"/>
                <w:szCs w:val="20"/>
              </w:rPr>
            </w:pPr>
            <w:r w:rsidRPr="008B6A75">
              <w:rPr>
                <w:sz w:val="20"/>
                <w:szCs w:val="20"/>
              </w:rPr>
              <w:t>07.1.00.07210</w:t>
            </w:r>
          </w:p>
        </w:tc>
        <w:tc>
          <w:tcPr>
            <w:tcW w:w="850" w:type="dxa"/>
            <w:tcBorders>
              <w:top w:val="nil"/>
              <w:left w:val="single" w:sz="4" w:space="0" w:color="auto"/>
              <w:bottom w:val="single" w:sz="4" w:space="0" w:color="auto"/>
              <w:right w:val="nil"/>
            </w:tcBorders>
            <w:shd w:val="clear" w:color="auto" w:fill="auto"/>
            <w:noWrap/>
            <w:vAlign w:val="center"/>
            <w:hideMark/>
          </w:tcPr>
          <w:p w14:paraId="70E3DE3B" w14:textId="77777777" w:rsidR="00387142" w:rsidRPr="008B6A75" w:rsidRDefault="00387142" w:rsidP="00387142">
            <w:pPr>
              <w:jc w:val="center"/>
              <w:rPr>
                <w:sz w:val="20"/>
                <w:szCs w:val="20"/>
              </w:rPr>
            </w:pPr>
            <w:r w:rsidRPr="008B6A75">
              <w:rPr>
                <w:sz w:val="20"/>
                <w:szCs w:val="20"/>
              </w:rPr>
              <w:t>240</w:t>
            </w:r>
          </w:p>
        </w:tc>
        <w:tc>
          <w:tcPr>
            <w:tcW w:w="567" w:type="dxa"/>
            <w:tcBorders>
              <w:top w:val="nil"/>
              <w:left w:val="single" w:sz="4" w:space="0" w:color="auto"/>
              <w:bottom w:val="single" w:sz="4" w:space="0" w:color="auto"/>
              <w:right w:val="nil"/>
            </w:tcBorders>
            <w:shd w:val="clear" w:color="auto" w:fill="auto"/>
            <w:noWrap/>
            <w:vAlign w:val="center"/>
            <w:hideMark/>
          </w:tcPr>
          <w:p w14:paraId="70D16C06" w14:textId="77777777" w:rsidR="00387142" w:rsidRPr="008B6A75" w:rsidRDefault="00387142" w:rsidP="00387142">
            <w:pPr>
              <w:jc w:val="center"/>
              <w:rPr>
                <w:sz w:val="20"/>
                <w:szCs w:val="20"/>
              </w:rPr>
            </w:pPr>
            <w:r w:rsidRPr="008B6A75">
              <w:rPr>
                <w:sz w:val="20"/>
                <w:szCs w:val="20"/>
              </w:rPr>
              <w:t>07</w:t>
            </w:r>
          </w:p>
        </w:tc>
        <w:tc>
          <w:tcPr>
            <w:tcW w:w="567" w:type="dxa"/>
            <w:tcBorders>
              <w:top w:val="nil"/>
              <w:left w:val="single" w:sz="4" w:space="0" w:color="auto"/>
              <w:bottom w:val="single" w:sz="4" w:space="0" w:color="auto"/>
              <w:right w:val="nil"/>
            </w:tcBorders>
            <w:shd w:val="clear" w:color="auto" w:fill="auto"/>
            <w:noWrap/>
            <w:vAlign w:val="center"/>
            <w:hideMark/>
          </w:tcPr>
          <w:p w14:paraId="2D2A2648" w14:textId="77777777" w:rsidR="00387142" w:rsidRPr="008B6A75" w:rsidRDefault="00387142" w:rsidP="00387142">
            <w:pPr>
              <w:jc w:val="center"/>
              <w:rPr>
                <w:sz w:val="20"/>
                <w:szCs w:val="20"/>
              </w:rPr>
            </w:pPr>
            <w:r w:rsidRPr="008B6A75">
              <w:rPr>
                <w:sz w:val="20"/>
                <w:szCs w:val="20"/>
              </w:rPr>
              <w:t>02</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50B54A0" w14:textId="77777777" w:rsidR="00387142" w:rsidRPr="008B6A75" w:rsidRDefault="00387142" w:rsidP="00387142">
            <w:pPr>
              <w:jc w:val="right"/>
              <w:rPr>
                <w:sz w:val="20"/>
                <w:szCs w:val="20"/>
              </w:rPr>
            </w:pPr>
            <w:r w:rsidRPr="008B6A75">
              <w:rPr>
                <w:sz w:val="20"/>
                <w:szCs w:val="20"/>
              </w:rPr>
              <w:t>5 207 966,80</w:t>
            </w:r>
          </w:p>
        </w:tc>
        <w:tc>
          <w:tcPr>
            <w:tcW w:w="851" w:type="dxa"/>
            <w:tcBorders>
              <w:top w:val="nil"/>
              <w:left w:val="single" w:sz="4" w:space="0" w:color="auto"/>
              <w:bottom w:val="single" w:sz="4" w:space="0" w:color="auto"/>
              <w:right w:val="nil"/>
            </w:tcBorders>
            <w:shd w:val="clear" w:color="auto" w:fill="auto"/>
            <w:noWrap/>
            <w:vAlign w:val="center"/>
            <w:hideMark/>
          </w:tcPr>
          <w:p w14:paraId="5EBA4801" w14:textId="77777777" w:rsidR="00387142" w:rsidRPr="008B6A75" w:rsidRDefault="00387142" w:rsidP="00387142">
            <w:pPr>
              <w:jc w:val="right"/>
              <w:rPr>
                <w:sz w:val="20"/>
                <w:szCs w:val="20"/>
              </w:rPr>
            </w:pPr>
            <w:r w:rsidRPr="008B6A75">
              <w:rPr>
                <w:sz w:val="20"/>
                <w:szCs w:val="20"/>
              </w:rPr>
              <w:t>4 946 319,00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2B692BF3" w14:textId="77777777" w:rsidR="00387142" w:rsidRPr="008B6A75" w:rsidRDefault="00387142" w:rsidP="00387142">
            <w:pPr>
              <w:jc w:val="right"/>
              <w:rPr>
                <w:sz w:val="20"/>
                <w:szCs w:val="20"/>
              </w:rPr>
            </w:pPr>
            <w:r w:rsidRPr="008B6A75">
              <w:rPr>
                <w:sz w:val="20"/>
                <w:szCs w:val="20"/>
              </w:rPr>
              <w:t>4 946 319,00</w:t>
            </w:r>
          </w:p>
        </w:tc>
      </w:tr>
      <w:tr w:rsidR="00387142" w:rsidRPr="008B6A75" w14:paraId="457E5A4F" w14:textId="77777777" w:rsidTr="00387142">
        <w:trPr>
          <w:trHeight w:val="870"/>
        </w:trPr>
        <w:tc>
          <w:tcPr>
            <w:tcW w:w="272" w:type="dxa"/>
            <w:tcBorders>
              <w:top w:val="nil"/>
              <w:left w:val="nil"/>
              <w:bottom w:val="nil"/>
              <w:right w:val="single" w:sz="4" w:space="0" w:color="auto"/>
            </w:tcBorders>
            <w:shd w:val="clear" w:color="auto" w:fill="auto"/>
            <w:noWrap/>
            <w:vAlign w:val="bottom"/>
            <w:hideMark/>
          </w:tcPr>
          <w:p w14:paraId="1AA0303D"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0E674ED5" w14:textId="77777777" w:rsidR="00387142" w:rsidRPr="008B6A75" w:rsidRDefault="00387142" w:rsidP="00387142">
            <w:pPr>
              <w:rPr>
                <w:sz w:val="20"/>
                <w:szCs w:val="20"/>
              </w:rPr>
            </w:pPr>
            <w:r w:rsidRPr="008B6A75">
              <w:rPr>
                <w:sz w:val="20"/>
                <w:szCs w:val="20"/>
              </w:rPr>
              <w:t>Предоставление субсидий бюджетным, автономным учреждениям и иным некоммерческим организациям</w:t>
            </w:r>
          </w:p>
        </w:tc>
        <w:tc>
          <w:tcPr>
            <w:tcW w:w="1559" w:type="dxa"/>
            <w:tcBorders>
              <w:top w:val="nil"/>
              <w:left w:val="single" w:sz="4" w:space="0" w:color="auto"/>
              <w:bottom w:val="single" w:sz="4" w:space="0" w:color="auto"/>
              <w:right w:val="nil"/>
            </w:tcBorders>
            <w:shd w:val="clear" w:color="auto" w:fill="auto"/>
            <w:noWrap/>
            <w:vAlign w:val="center"/>
            <w:hideMark/>
          </w:tcPr>
          <w:p w14:paraId="2C47FD79" w14:textId="77777777" w:rsidR="00387142" w:rsidRPr="008B6A75" w:rsidRDefault="00387142" w:rsidP="00387142">
            <w:pPr>
              <w:jc w:val="center"/>
              <w:rPr>
                <w:sz w:val="20"/>
                <w:szCs w:val="20"/>
              </w:rPr>
            </w:pPr>
            <w:r w:rsidRPr="008B6A75">
              <w:rPr>
                <w:sz w:val="20"/>
                <w:szCs w:val="20"/>
              </w:rPr>
              <w:t>07.1.00.07210</w:t>
            </w:r>
          </w:p>
        </w:tc>
        <w:tc>
          <w:tcPr>
            <w:tcW w:w="850" w:type="dxa"/>
            <w:tcBorders>
              <w:top w:val="nil"/>
              <w:left w:val="single" w:sz="4" w:space="0" w:color="auto"/>
              <w:bottom w:val="single" w:sz="4" w:space="0" w:color="auto"/>
              <w:right w:val="nil"/>
            </w:tcBorders>
            <w:shd w:val="clear" w:color="auto" w:fill="auto"/>
            <w:noWrap/>
            <w:vAlign w:val="center"/>
            <w:hideMark/>
          </w:tcPr>
          <w:p w14:paraId="60D3D85B" w14:textId="77777777" w:rsidR="00387142" w:rsidRPr="008B6A75" w:rsidRDefault="00387142" w:rsidP="00387142">
            <w:pPr>
              <w:jc w:val="center"/>
              <w:rPr>
                <w:sz w:val="20"/>
                <w:szCs w:val="20"/>
              </w:rPr>
            </w:pPr>
            <w:r w:rsidRPr="008B6A75">
              <w:rPr>
                <w:sz w:val="20"/>
                <w:szCs w:val="20"/>
              </w:rPr>
              <w:t>600</w:t>
            </w:r>
          </w:p>
        </w:tc>
        <w:tc>
          <w:tcPr>
            <w:tcW w:w="567" w:type="dxa"/>
            <w:tcBorders>
              <w:top w:val="nil"/>
              <w:left w:val="single" w:sz="4" w:space="0" w:color="auto"/>
              <w:bottom w:val="single" w:sz="4" w:space="0" w:color="auto"/>
              <w:right w:val="nil"/>
            </w:tcBorders>
            <w:shd w:val="clear" w:color="auto" w:fill="auto"/>
            <w:noWrap/>
            <w:vAlign w:val="center"/>
            <w:hideMark/>
          </w:tcPr>
          <w:p w14:paraId="3A200D40" w14:textId="77777777" w:rsidR="00387142" w:rsidRPr="008B6A75" w:rsidRDefault="00387142" w:rsidP="00387142">
            <w:pPr>
              <w:jc w:val="center"/>
              <w:rPr>
                <w:sz w:val="20"/>
                <w:szCs w:val="20"/>
              </w:rPr>
            </w:pPr>
            <w:r w:rsidRPr="008B6A75">
              <w:rPr>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7AA92331" w14:textId="77777777" w:rsidR="00387142" w:rsidRPr="008B6A75" w:rsidRDefault="00387142" w:rsidP="00387142">
            <w:pPr>
              <w:jc w:val="center"/>
              <w:rPr>
                <w:sz w:val="20"/>
                <w:szCs w:val="20"/>
              </w:rPr>
            </w:pPr>
            <w:r w:rsidRPr="008B6A75">
              <w:rPr>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5B811ED" w14:textId="77777777" w:rsidR="00387142" w:rsidRPr="008B6A75" w:rsidRDefault="00387142" w:rsidP="00387142">
            <w:pPr>
              <w:jc w:val="right"/>
              <w:rPr>
                <w:sz w:val="20"/>
                <w:szCs w:val="20"/>
              </w:rPr>
            </w:pPr>
            <w:r w:rsidRPr="008B6A75">
              <w:rPr>
                <w:sz w:val="20"/>
                <w:szCs w:val="20"/>
              </w:rPr>
              <w:t>77 567,00</w:t>
            </w:r>
          </w:p>
        </w:tc>
        <w:tc>
          <w:tcPr>
            <w:tcW w:w="851" w:type="dxa"/>
            <w:tcBorders>
              <w:top w:val="nil"/>
              <w:left w:val="single" w:sz="4" w:space="0" w:color="auto"/>
              <w:bottom w:val="single" w:sz="4" w:space="0" w:color="auto"/>
              <w:right w:val="nil"/>
            </w:tcBorders>
            <w:shd w:val="clear" w:color="auto" w:fill="auto"/>
            <w:noWrap/>
            <w:vAlign w:val="center"/>
            <w:hideMark/>
          </w:tcPr>
          <w:p w14:paraId="41948624" w14:textId="77777777" w:rsidR="00387142" w:rsidRPr="008B6A75" w:rsidRDefault="00387142" w:rsidP="00387142">
            <w:pPr>
              <w:jc w:val="right"/>
              <w:rPr>
                <w:sz w:val="20"/>
                <w:szCs w:val="20"/>
              </w:rPr>
            </w:pPr>
            <w:r w:rsidRPr="008B6A75">
              <w:rPr>
                <w:sz w:val="20"/>
                <w:szCs w:val="20"/>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79EAF322" w14:textId="77777777" w:rsidR="00387142" w:rsidRPr="008B6A75" w:rsidRDefault="00387142" w:rsidP="00387142">
            <w:pPr>
              <w:jc w:val="right"/>
              <w:rPr>
                <w:sz w:val="20"/>
                <w:szCs w:val="20"/>
              </w:rPr>
            </w:pPr>
            <w:r w:rsidRPr="008B6A75">
              <w:rPr>
                <w:sz w:val="20"/>
                <w:szCs w:val="20"/>
              </w:rPr>
              <w:t>0,00</w:t>
            </w:r>
          </w:p>
        </w:tc>
      </w:tr>
      <w:tr w:rsidR="00387142" w:rsidRPr="008B6A75" w14:paraId="02EE937F" w14:textId="77777777" w:rsidTr="00387142">
        <w:trPr>
          <w:trHeight w:val="300"/>
        </w:trPr>
        <w:tc>
          <w:tcPr>
            <w:tcW w:w="272" w:type="dxa"/>
            <w:tcBorders>
              <w:top w:val="nil"/>
              <w:left w:val="nil"/>
              <w:bottom w:val="nil"/>
              <w:right w:val="single" w:sz="4" w:space="0" w:color="auto"/>
            </w:tcBorders>
            <w:shd w:val="clear" w:color="auto" w:fill="auto"/>
            <w:noWrap/>
            <w:vAlign w:val="bottom"/>
            <w:hideMark/>
          </w:tcPr>
          <w:p w14:paraId="1B5B6563"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1C4D54E5" w14:textId="77777777" w:rsidR="00387142" w:rsidRPr="008B6A75" w:rsidRDefault="00387142" w:rsidP="00387142">
            <w:pPr>
              <w:rPr>
                <w:sz w:val="20"/>
                <w:szCs w:val="20"/>
              </w:rPr>
            </w:pPr>
            <w:r w:rsidRPr="008B6A75">
              <w:rPr>
                <w:sz w:val="20"/>
                <w:szCs w:val="20"/>
              </w:rPr>
              <w:t>Субсидии бюджетным учреждениям</w:t>
            </w:r>
          </w:p>
        </w:tc>
        <w:tc>
          <w:tcPr>
            <w:tcW w:w="1559" w:type="dxa"/>
            <w:tcBorders>
              <w:top w:val="nil"/>
              <w:left w:val="single" w:sz="4" w:space="0" w:color="auto"/>
              <w:bottom w:val="single" w:sz="4" w:space="0" w:color="auto"/>
              <w:right w:val="nil"/>
            </w:tcBorders>
            <w:shd w:val="clear" w:color="auto" w:fill="auto"/>
            <w:noWrap/>
            <w:vAlign w:val="center"/>
            <w:hideMark/>
          </w:tcPr>
          <w:p w14:paraId="5DBE8512" w14:textId="77777777" w:rsidR="00387142" w:rsidRPr="008B6A75" w:rsidRDefault="00387142" w:rsidP="00387142">
            <w:pPr>
              <w:jc w:val="center"/>
              <w:rPr>
                <w:sz w:val="20"/>
                <w:szCs w:val="20"/>
              </w:rPr>
            </w:pPr>
            <w:r w:rsidRPr="008B6A75">
              <w:rPr>
                <w:sz w:val="20"/>
                <w:szCs w:val="20"/>
              </w:rPr>
              <w:t>07.1.00.07210</w:t>
            </w:r>
          </w:p>
        </w:tc>
        <w:tc>
          <w:tcPr>
            <w:tcW w:w="850" w:type="dxa"/>
            <w:tcBorders>
              <w:top w:val="nil"/>
              <w:left w:val="single" w:sz="4" w:space="0" w:color="auto"/>
              <w:bottom w:val="single" w:sz="4" w:space="0" w:color="auto"/>
              <w:right w:val="nil"/>
            </w:tcBorders>
            <w:shd w:val="clear" w:color="auto" w:fill="auto"/>
            <w:noWrap/>
            <w:vAlign w:val="center"/>
            <w:hideMark/>
          </w:tcPr>
          <w:p w14:paraId="7103DFFF" w14:textId="77777777" w:rsidR="00387142" w:rsidRPr="008B6A75" w:rsidRDefault="00387142" w:rsidP="00387142">
            <w:pPr>
              <w:jc w:val="center"/>
              <w:rPr>
                <w:sz w:val="20"/>
                <w:szCs w:val="20"/>
              </w:rPr>
            </w:pPr>
            <w:r w:rsidRPr="008B6A75">
              <w:rPr>
                <w:sz w:val="20"/>
                <w:szCs w:val="20"/>
              </w:rPr>
              <w:t>610</w:t>
            </w:r>
          </w:p>
        </w:tc>
        <w:tc>
          <w:tcPr>
            <w:tcW w:w="567" w:type="dxa"/>
            <w:tcBorders>
              <w:top w:val="nil"/>
              <w:left w:val="single" w:sz="4" w:space="0" w:color="auto"/>
              <w:bottom w:val="single" w:sz="4" w:space="0" w:color="auto"/>
              <w:right w:val="nil"/>
            </w:tcBorders>
            <w:shd w:val="clear" w:color="auto" w:fill="auto"/>
            <w:noWrap/>
            <w:vAlign w:val="center"/>
            <w:hideMark/>
          </w:tcPr>
          <w:p w14:paraId="3CB53F62" w14:textId="77777777" w:rsidR="00387142" w:rsidRPr="008B6A75" w:rsidRDefault="00387142" w:rsidP="00387142">
            <w:pPr>
              <w:jc w:val="center"/>
              <w:rPr>
                <w:sz w:val="20"/>
                <w:szCs w:val="20"/>
              </w:rPr>
            </w:pPr>
            <w:r w:rsidRPr="008B6A75">
              <w:rPr>
                <w:sz w:val="20"/>
                <w:szCs w:val="20"/>
              </w:rPr>
              <w:t>07</w:t>
            </w:r>
          </w:p>
        </w:tc>
        <w:tc>
          <w:tcPr>
            <w:tcW w:w="567" w:type="dxa"/>
            <w:tcBorders>
              <w:top w:val="nil"/>
              <w:left w:val="single" w:sz="4" w:space="0" w:color="auto"/>
              <w:bottom w:val="single" w:sz="4" w:space="0" w:color="auto"/>
              <w:right w:val="nil"/>
            </w:tcBorders>
            <w:shd w:val="clear" w:color="auto" w:fill="auto"/>
            <w:noWrap/>
            <w:vAlign w:val="center"/>
            <w:hideMark/>
          </w:tcPr>
          <w:p w14:paraId="104D7549" w14:textId="77777777" w:rsidR="00387142" w:rsidRPr="008B6A75" w:rsidRDefault="00387142" w:rsidP="00387142">
            <w:pPr>
              <w:jc w:val="center"/>
              <w:rPr>
                <w:sz w:val="20"/>
                <w:szCs w:val="20"/>
              </w:rPr>
            </w:pPr>
            <w:r w:rsidRPr="008B6A75">
              <w:rPr>
                <w:sz w:val="20"/>
                <w:szCs w:val="20"/>
              </w:rPr>
              <w:t>02</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6992D77" w14:textId="77777777" w:rsidR="00387142" w:rsidRPr="008B6A75" w:rsidRDefault="00387142" w:rsidP="00387142">
            <w:pPr>
              <w:jc w:val="right"/>
              <w:rPr>
                <w:sz w:val="20"/>
                <w:szCs w:val="20"/>
              </w:rPr>
            </w:pPr>
            <w:r w:rsidRPr="008B6A75">
              <w:rPr>
                <w:sz w:val="20"/>
                <w:szCs w:val="20"/>
              </w:rPr>
              <w:t>77 567,00</w:t>
            </w:r>
          </w:p>
        </w:tc>
        <w:tc>
          <w:tcPr>
            <w:tcW w:w="851" w:type="dxa"/>
            <w:tcBorders>
              <w:top w:val="nil"/>
              <w:left w:val="single" w:sz="4" w:space="0" w:color="auto"/>
              <w:bottom w:val="single" w:sz="4" w:space="0" w:color="auto"/>
              <w:right w:val="nil"/>
            </w:tcBorders>
            <w:shd w:val="clear" w:color="auto" w:fill="auto"/>
            <w:noWrap/>
            <w:vAlign w:val="center"/>
            <w:hideMark/>
          </w:tcPr>
          <w:p w14:paraId="3D71EDB2" w14:textId="77777777" w:rsidR="00387142" w:rsidRPr="008B6A75" w:rsidRDefault="00387142" w:rsidP="00387142">
            <w:pPr>
              <w:jc w:val="right"/>
              <w:rPr>
                <w:sz w:val="20"/>
                <w:szCs w:val="20"/>
              </w:rPr>
            </w:pPr>
            <w:r w:rsidRPr="008B6A75">
              <w:rPr>
                <w:sz w:val="20"/>
                <w:szCs w:val="20"/>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56B899BC" w14:textId="77777777" w:rsidR="00387142" w:rsidRPr="008B6A75" w:rsidRDefault="00387142" w:rsidP="00387142">
            <w:pPr>
              <w:jc w:val="right"/>
              <w:rPr>
                <w:sz w:val="20"/>
                <w:szCs w:val="20"/>
              </w:rPr>
            </w:pPr>
            <w:r w:rsidRPr="008B6A75">
              <w:rPr>
                <w:sz w:val="20"/>
                <w:szCs w:val="20"/>
              </w:rPr>
              <w:t>0,00</w:t>
            </w:r>
          </w:p>
        </w:tc>
      </w:tr>
      <w:tr w:rsidR="00387142" w:rsidRPr="008B6A75" w14:paraId="14E20DF6" w14:textId="77777777" w:rsidTr="00387142">
        <w:trPr>
          <w:trHeight w:val="870"/>
        </w:trPr>
        <w:tc>
          <w:tcPr>
            <w:tcW w:w="272" w:type="dxa"/>
            <w:tcBorders>
              <w:top w:val="nil"/>
              <w:left w:val="nil"/>
              <w:bottom w:val="nil"/>
              <w:right w:val="single" w:sz="4" w:space="0" w:color="auto"/>
            </w:tcBorders>
            <w:shd w:val="clear" w:color="auto" w:fill="auto"/>
            <w:noWrap/>
            <w:vAlign w:val="bottom"/>
            <w:hideMark/>
          </w:tcPr>
          <w:p w14:paraId="159D2C95"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49C40182" w14:textId="77777777" w:rsidR="00387142" w:rsidRPr="008B6A75" w:rsidRDefault="00387142" w:rsidP="00387142">
            <w:pPr>
              <w:rPr>
                <w:bCs/>
                <w:sz w:val="20"/>
                <w:szCs w:val="20"/>
              </w:rPr>
            </w:pPr>
            <w:r w:rsidRPr="008B6A75">
              <w:rPr>
                <w:bCs/>
                <w:sz w:val="20"/>
                <w:szCs w:val="20"/>
              </w:rPr>
              <w:t>Расходы на обеспечение деятельности (оказание услуг) начальных, неполных средних и средних школ, школ-детских садов</w:t>
            </w:r>
          </w:p>
        </w:tc>
        <w:tc>
          <w:tcPr>
            <w:tcW w:w="1559" w:type="dxa"/>
            <w:tcBorders>
              <w:top w:val="nil"/>
              <w:left w:val="single" w:sz="4" w:space="0" w:color="auto"/>
              <w:bottom w:val="single" w:sz="4" w:space="0" w:color="auto"/>
              <w:right w:val="nil"/>
            </w:tcBorders>
            <w:shd w:val="clear" w:color="auto" w:fill="auto"/>
            <w:noWrap/>
            <w:vAlign w:val="center"/>
            <w:hideMark/>
          </w:tcPr>
          <w:p w14:paraId="7F7ABD9A" w14:textId="77777777" w:rsidR="00387142" w:rsidRPr="008B6A75" w:rsidRDefault="00387142" w:rsidP="00387142">
            <w:pPr>
              <w:jc w:val="center"/>
              <w:rPr>
                <w:bCs/>
                <w:sz w:val="20"/>
                <w:szCs w:val="20"/>
              </w:rPr>
            </w:pPr>
            <w:r w:rsidRPr="008B6A75">
              <w:rPr>
                <w:bCs/>
                <w:sz w:val="20"/>
                <w:szCs w:val="20"/>
              </w:rPr>
              <w:t>07.1.00.07290</w:t>
            </w:r>
          </w:p>
        </w:tc>
        <w:tc>
          <w:tcPr>
            <w:tcW w:w="850" w:type="dxa"/>
            <w:tcBorders>
              <w:top w:val="nil"/>
              <w:left w:val="single" w:sz="4" w:space="0" w:color="auto"/>
              <w:bottom w:val="single" w:sz="4" w:space="0" w:color="auto"/>
              <w:right w:val="nil"/>
            </w:tcBorders>
            <w:shd w:val="clear" w:color="auto" w:fill="auto"/>
            <w:noWrap/>
            <w:vAlign w:val="center"/>
            <w:hideMark/>
          </w:tcPr>
          <w:p w14:paraId="22C8B3EF" w14:textId="77777777" w:rsidR="00387142" w:rsidRPr="008B6A75" w:rsidRDefault="00387142" w:rsidP="00387142">
            <w:pPr>
              <w:jc w:val="center"/>
              <w:rPr>
                <w:bCs/>
                <w:sz w:val="20"/>
                <w:szCs w:val="20"/>
              </w:rPr>
            </w:pPr>
            <w:r w:rsidRPr="008B6A75">
              <w:rPr>
                <w:bCs/>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08AB9C63" w14:textId="77777777" w:rsidR="00387142" w:rsidRPr="008B6A75" w:rsidRDefault="00387142" w:rsidP="00387142">
            <w:pPr>
              <w:jc w:val="center"/>
              <w:rPr>
                <w:bCs/>
                <w:sz w:val="20"/>
                <w:szCs w:val="20"/>
              </w:rPr>
            </w:pPr>
            <w:r w:rsidRPr="008B6A75">
              <w:rPr>
                <w:bCs/>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3A9B3D29" w14:textId="77777777" w:rsidR="00387142" w:rsidRPr="008B6A75" w:rsidRDefault="00387142" w:rsidP="00387142">
            <w:pPr>
              <w:jc w:val="center"/>
              <w:rPr>
                <w:bCs/>
                <w:sz w:val="20"/>
                <w:szCs w:val="20"/>
              </w:rPr>
            </w:pPr>
            <w:r w:rsidRPr="008B6A75">
              <w:rPr>
                <w:bCs/>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0861466" w14:textId="77777777" w:rsidR="00387142" w:rsidRPr="008B6A75" w:rsidRDefault="00387142" w:rsidP="00387142">
            <w:pPr>
              <w:jc w:val="right"/>
              <w:rPr>
                <w:bCs/>
                <w:sz w:val="20"/>
                <w:szCs w:val="20"/>
              </w:rPr>
            </w:pPr>
            <w:r w:rsidRPr="008B6A75">
              <w:rPr>
                <w:bCs/>
                <w:sz w:val="20"/>
                <w:szCs w:val="20"/>
              </w:rPr>
              <w:t>122 031 819,99</w:t>
            </w:r>
          </w:p>
        </w:tc>
        <w:tc>
          <w:tcPr>
            <w:tcW w:w="851" w:type="dxa"/>
            <w:tcBorders>
              <w:top w:val="nil"/>
              <w:left w:val="single" w:sz="4" w:space="0" w:color="auto"/>
              <w:bottom w:val="single" w:sz="4" w:space="0" w:color="auto"/>
              <w:right w:val="nil"/>
            </w:tcBorders>
            <w:shd w:val="clear" w:color="auto" w:fill="auto"/>
            <w:noWrap/>
            <w:vAlign w:val="center"/>
            <w:hideMark/>
          </w:tcPr>
          <w:p w14:paraId="62C98A55" w14:textId="77777777" w:rsidR="00387142" w:rsidRPr="008B6A75" w:rsidRDefault="00387142" w:rsidP="00387142">
            <w:pPr>
              <w:jc w:val="right"/>
              <w:rPr>
                <w:bCs/>
                <w:sz w:val="20"/>
                <w:szCs w:val="20"/>
              </w:rPr>
            </w:pPr>
            <w:r w:rsidRPr="008B6A75">
              <w:rPr>
                <w:bCs/>
                <w:sz w:val="20"/>
                <w:szCs w:val="20"/>
              </w:rPr>
              <w:t>104 249 280,00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68CCD3B1" w14:textId="77777777" w:rsidR="00387142" w:rsidRPr="008B6A75" w:rsidRDefault="00387142" w:rsidP="00387142">
            <w:pPr>
              <w:jc w:val="right"/>
              <w:rPr>
                <w:bCs/>
                <w:sz w:val="20"/>
                <w:szCs w:val="20"/>
              </w:rPr>
            </w:pPr>
            <w:r w:rsidRPr="008B6A75">
              <w:rPr>
                <w:bCs/>
                <w:sz w:val="20"/>
                <w:szCs w:val="20"/>
              </w:rPr>
              <w:t>119 857 890,00</w:t>
            </w:r>
          </w:p>
        </w:tc>
      </w:tr>
      <w:tr w:rsidR="00387142" w:rsidRPr="008B6A75" w14:paraId="66328075" w14:textId="77777777" w:rsidTr="00387142">
        <w:trPr>
          <w:trHeight w:val="1440"/>
        </w:trPr>
        <w:tc>
          <w:tcPr>
            <w:tcW w:w="272" w:type="dxa"/>
            <w:tcBorders>
              <w:top w:val="nil"/>
              <w:left w:val="nil"/>
              <w:bottom w:val="nil"/>
              <w:right w:val="single" w:sz="4" w:space="0" w:color="auto"/>
            </w:tcBorders>
            <w:shd w:val="clear" w:color="auto" w:fill="auto"/>
            <w:noWrap/>
            <w:vAlign w:val="bottom"/>
            <w:hideMark/>
          </w:tcPr>
          <w:p w14:paraId="3F3E55FB"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55756030" w14:textId="77777777" w:rsidR="00387142" w:rsidRPr="008B6A75" w:rsidRDefault="00387142" w:rsidP="00387142">
            <w:pPr>
              <w:rPr>
                <w:sz w:val="20"/>
                <w:szCs w:val="20"/>
              </w:rPr>
            </w:pPr>
            <w:r w:rsidRPr="008B6A7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single" w:sz="4" w:space="0" w:color="auto"/>
              <w:bottom w:val="single" w:sz="4" w:space="0" w:color="auto"/>
              <w:right w:val="nil"/>
            </w:tcBorders>
            <w:shd w:val="clear" w:color="auto" w:fill="auto"/>
            <w:noWrap/>
            <w:vAlign w:val="center"/>
            <w:hideMark/>
          </w:tcPr>
          <w:p w14:paraId="12F801C2" w14:textId="77777777" w:rsidR="00387142" w:rsidRPr="008B6A75" w:rsidRDefault="00387142" w:rsidP="00387142">
            <w:pPr>
              <w:jc w:val="center"/>
              <w:rPr>
                <w:sz w:val="20"/>
                <w:szCs w:val="20"/>
              </w:rPr>
            </w:pPr>
            <w:r w:rsidRPr="008B6A75">
              <w:rPr>
                <w:sz w:val="20"/>
                <w:szCs w:val="20"/>
              </w:rPr>
              <w:t>07.1.00.07290</w:t>
            </w:r>
          </w:p>
        </w:tc>
        <w:tc>
          <w:tcPr>
            <w:tcW w:w="850" w:type="dxa"/>
            <w:tcBorders>
              <w:top w:val="nil"/>
              <w:left w:val="single" w:sz="4" w:space="0" w:color="auto"/>
              <w:bottom w:val="single" w:sz="4" w:space="0" w:color="auto"/>
              <w:right w:val="nil"/>
            </w:tcBorders>
            <w:shd w:val="clear" w:color="auto" w:fill="auto"/>
            <w:noWrap/>
            <w:vAlign w:val="center"/>
            <w:hideMark/>
          </w:tcPr>
          <w:p w14:paraId="4F682DAB" w14:textId="77777777" w:rsidR="00387142" w:rsidRPr="008B6A75" w:rsidRDefault="00387142" w:rsidP="00387142">
            <w:pPr>
              <w:jc w:val="center"/>
              <w:rPr>
                <w:sz w:val="20"/>
                <w:szCs w:val="20"/>
              </w:rPr>
            </w:pPr>
            <w:r w:rsidRPr="008B6A75">
              <w:rPr>
                <w:sz w:val="20"/>
                <w:szCs w:val="20"/>
              </w:rPr>
              <w:t>100</w:t>
            </w:r>
          </w:p>
        </w:tc>
        <w:tc>
          <w:tcPr>
            <w:tcW w:w="567" w:type="dxa"/>
            <w:tcBorders>
              <w:top w:val="nil"/>
              <w:left w:val="single" w:sz="4" w:space="0" w:color="auto"/>
              <w:bottom w:val="single" w:sz="4" w:space="0" w:color="auto"/>
              <w:right w:val="nil"/>
            </w:tcBorders>
            <w:shd w:val="clear" w:color="auto" w:fill="auto"/>
            <w:noWrap/>
            <w:vAlign w:val="center"/>
            <w:hideMark/>
          </w:tcPr>
          <w:p w14:paraId="6AACC9D1" w14:textId="77777777" w:rsidR="00387142" w:rsidRPr="008B6A75" w:rsidRDefault="00387142" w:rsidP="00387142">
            <w:pPr>
              <w:jc w:val="center"/>
              <w:rPr>
                <w:sz w:val="20"/>
                <w:szCs w:val="20"/>
              </w:rPr>
            </w:pPr>
            <w:r w:rsidRPr="008B6A75">
              <w:rPr>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01C748D2" w14:textId="77777777" w:rsidR="00387142" w:rsidRPr="008B6A75" w:rsidRDefault="00387142" w:rsidP="00387142">
            <w:pPr>
              <w:jc w:val="center"/>
              <w:rPr>
                <w:sz w:val="20"/>
                <w:szCs w:val="20"/>
              </w:rPr>
            </w:pPr>
            <w:r w:rsidRPr="008B6A75">
              <w:rPr>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541575C" w14:textId="77777777" w:rsidR="00387142" w:rsidRPr="008B6A75" w:rsidRDefault="00387142" w:rsidP="00387142">
            <w:pPr>
              <w:jc w:val="right"/>
              <w:rPr>
                <w:sz w:val="20"/>
                <w:szCs w:val="20"/>
              </w:rPr>
            </w:pPr>
            <w:r w:rsidRPr="008B6A75">
              <w:rPr>
                <w:sz w:val="20"/>
                <w:szCs w:val="20"/>
              </w:rPr>
              <w:t>1 300,00</w:t>
            </w:r>
          </w:p>
        </w:tc>
        <w:tc>
          <w:tcPr>
            <w:tcW w:w="851" w:type="dxa"/>
            <w:tcBorders>
              <w:top w:val="nil"/>
              <w:left w:val="single" w:sz="4" w:space="0" w:color="auto"/>
              <w:bottom w:val="single" w:sz="4" w:space="0" w:color="auto"/>
              <w:right w:val="nil"/>
            </w:tcBorders>
            <w:shd w:val="clear" w:color="auto" w:fill="auto"/>
            <w:noWrap/>
            <w:vAlign w:val="center"/>
            <w:hideMark/>
          </w:tcPr>
          <w:p w14:paraId="46C151AB" w14:textId="77777777" w:rsidR="00387142" w:rsidRPr="008B6A75" w:rsidRDefault="00387142" w:rsidP="00387142">
            <w:pPr>
              <w:jc w:val="right"/>
              <w:rPr>
                <w:sz w:val="20"/>
                <w:szCs w:val="20"/>
              </w:rPr>
            </w:pPr>
            <w:r w:rsidRPr="008B6A75">
              <w:rPr>
                <w:sz w:val="20"/>
                <w:szCs w:val="20"/>
              </w:rPr>
              <w:t>1 722 500,00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0166F786" w14:textId="77777777" w:rsidR="00387142" w:rsidRPr="008B6A75" w:rsidRDefault="00387142" w:rsidP="00387142">
            <w:pPr>
              <w:jc w:val="right"/>
              <w:rPr>
                <w:sz w:val="20"/>
                <w:szCs w:val="20"/>
              </w:rPr>
            </w:pPr>
            <w:r w:rsidRPr="008B6A75">
              <w:rPr>
                <w:sz w:val="20"/>
                <w:szCs w:val="20"/>
              </w:rPr>
              <w:t>60 001 300,00</w:t>
            </w:r>
          </w:p>
        </w:tc>
      </w:tr>
      <w:tr w:rsidR="00387142" w:rsidRPr="008B6A75" w14:paraId="38FBA13F" w14:textId="77777777" w:rsidTr="00387142">
        <w:trPr>
          <w:trHeight w:val="585"/>
        </w:trPr>
        <w:tc>
          <w:tcPr>
            <w:tcW w:w="272" w:type="dxa"/>
            <w:tcBorders>
              <w:top w:val="nil"/>
              <w:left w:val="nil"/>
              <w:bottom w:val="nil"/>
              <w:right w:val="single" w:sz="4" w:space="0" w:color="auto"/>
            </w:tcBorders>
            <w:shd w:val="clear" w:color="auto" w:fill="auto"/>
            <w:noWrap/>
            <w:vAlign w:val="bottom"/>
            <w:hideMark/>
          </w:tcPr>
          <w:p w14:paraId="3A76EBDC"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7F4336AD" w14:textId="77777777" w:rsidR="00387142" w:rsidRPr="008B6A75" w:rsidRDefault="00387142" w:rsidP="00387142">
            <w:pPr>
              <w:rPr>
                <w:sz w:val="20"/>
                <w:szCs w:val="20"/>
              </w:rPr>
            </w:pPr>
            <w:r w:rsidRPr="008B6A75">
              <w:rPr>
                <w:sz w:val="20"/>
                <w:szCs w:val="20"/>
              </w:rPr>
              <w:t>Расходы на выплаты персоналу казенных учреждений</w:t>
            </w:r>
          </w:p>
        </w:tc>
        <w:tc>
          <w:tcPr>
            <w:tcW w:w="1559" w:type="dxa"/>
            <w:tcBorders>
              <w:top w:val="nil"/>
              <w:left w:val="single" w:sz="4" w:space="0" w:color="auto"/>
              <w:bottom w:val="single" w:sz="4" w:space="0" w:color="auto"/>
              <w:right w:val="nil"/>
            </w:tcBorders>
            <w:shd w:val="clear" w:color="auto" w:fill="auto"/>
            <w:noWrap/>
            <w:vAlign w:val="center"/>
            <w:hideMark/>
          </w:tcPr>
          <w:p w14:paraId="5095904B" w14:textId="77777777" w:rsidR="00387142" w:rsidRPr="008B6A75" w:rsidRDefault="00387142" w:rsidP="00387142">
            <w:pPr>
              <w:jc w:val="center"/>
              <w:rPr>
                <w:sz w:val="20"/>
                <w:szCs w:val="20"/>
              </w:rPr>
            </w:pPr>
            <w:r w:rsidRPr="008B6A75">
              <w:rPr>
                <w:sz w:val="20"/>
                <w:szCs w:val="20"/>
              </w:rPr>
              <w:t>07.1.00.07290</w:t>
            </w:r>
          </w:p>
        </w:tc>
        <w:tc>
          <w:tcPr>
            <w:tcW w:w="850" w:type="dxa"/>
            <w:tcBorders>
              <w:top w:val="nil"/>
              <w:left w:val="single" w:sz="4" w:space="0" w:color="auto"/>
              <w:bottom w:val="single" w:sz="4" w:space="0" w:color="auto"/>
              <w:right w:val="nil"/>
            </w:tcBorders>
            <w:shd w:val="clear" w:color="auto" w:fill="auto"/>
            <w:noWrap/>
            <w:vAlign w:val="center"/>
            <w:hideMark/>
          </w:tcPr>
          <w:p w14:paraId="14CD7A6B" w14:textId="77777777" w:rsidR="00387142" w:rsidRPr="008B6A75" w:rsidRDefault="00387142" w:rsidP="00387142">
            <w:pPr>
              <w:jc w:val="center"/>
              <w:rPr>
                <w:sz w:val="20"/>
                <w:szCs w:val="20"/>
              </w:rPr>
            </w:pPr>
            <w:r w:rsidRPr="008B6A75">
              <w:rPr>
                <w:sz w:val="20"/>
                <w:szCs w:val="20"/>
              </w:rPr>
              <w:t>110</w:t>
            </w:r>
          </w:p>
        </w:tc>
        <w:tc>
          <w:tcPr>
            <w:tcW w:w="567" w:type="dxa"/>
            <w:tcBorders>
              <w:top w:val="nil"/>
              <w:left w:val="single" w:sz="4" w:space="0" w:color="auto"/>
              <w:bottom w:val="single" w:sz="4" w:space="0" w:color="auto"/>
              <w:right w:val="nil"/>
            </w:tcBorders>
            <w:shd w:val="clear" w:color="auto" w:fill="auto"/>
            <w:noWrap/>
            <w:vAlign w:val="center"/>
            <w:hideMark/>
          </w:tcPr>
          <w:p w14:paraId="29DE274D" w14:textId="77777777" w:rsidR="00387142" w:rsidRPr="008B6A75" w:rsidRDefault="00387142" w:rsidP="00387142">
            <w:pPr>
              <w:jc w:val="center"/>
              <w:rPr>
                <w:sz w:val="20"/>
                <w:szCs w:val="20"/>
              </w:rPr>
            </w:pPr>
            <w:r w:rsidRPr="008B6A75">
              <w:rPr>
                <w:sz w:val="20"/>
                <w:szCs w:val="20"/>
              </w:rPr>
              <w:t>07</w:t>
            </w:r>
          </w:p>
        </w:tc>
        <w:tc>
          <w:tcPr>
            <w:tcW w:w="567" w:type="dxa"/>
            <w:tcBorders>
              <w:top w:val="nil"/>
              <w:left w:val="single" w:sz="4" w:space="0" w:color="auto"/>
              <w:bottom w:val="single" w:sz="4" w:space="0" w:color="auto"/>
              <w:right w:val="nil"/>
            </w:tcBorders>
            <w:shd w:val="clear" w:color="auto" w:fill="auto"/>
            <w:noWrap/>
            <w:vAlign w:val="center"/>
            <w:hideMark/>
          </w:tcPr>
          <w:p w14:paraId="4A9672F0" w14:textId="77777777" w:rsidR="00387142" w:rsidRPr="008B6A75" w:rsidRDefault="00387142" w:rsidP="00387142">
            <w:pPr>
              <w:jc w:val="center"/>
              <w:rPr>
                <w:sz w:val="20"/>
                <w:szCs w:val="20"/>
              </w:rPr>
            </w:pPr>
            <w:r w:rsidRPr="008B6A75">
              <w:rPr>
                <w:sz w:val="20"/>
                <w:szCs w:val="20"/>
              </w:rPr>
              <w:t>02</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8C44359" w14:textId="77777777" w:rsidR="00387142" w:rsidRPr="008B6A75" w:rsidRDefault="00387142" w:rsidP="00387142">
            <w:pPr>
              <w:jc w:val="right"/>
              <w:rPr>
                <w:sz w:val="20"/>
                <w:szCs w:val="20"/>
              </w:rPr>
            </w:pPr>
            <w:r w:rsidRPr="008B6A75">
              <w:rPr>
                <w:sz w:val="20"/>
                <w:szCs w:val="20"/>
              </w:rPr>
              <w:t>1 300,00</w:t>
            </w:r>
          </w:p>
        </w:tc>
        <w:tc>
          <w:tcPr>
            <w:tcW w:w="851" w:type="dxa"/>
            <w:tcBorders>
              <w:top w:val="nil"/>
              <w:left w:val="single" w:sz="4" w:space="0" w:color="auto"/>
              <w:bottom w:val="single" w:sz="4" w:space="0" w:color="auto"/>
              <w:right w:val="nil"/>
            </w:tcBorders>
            <w:shd w:val="clear" w:color="auto" w:fill="auto"/>
            <w:noWrap/>
            <w:vAlign w:val="center"/>
            <w:hideMark/>
          </w:tcPr>
          <w:p w14:paraId="6C585EDB" w14:textId="77777777" w:rsidR="00387142" w:rsidRPr="008B6A75" w:rsidRDefault="00387142" w:rsidP="00387142">
            <w:pPr>
              <w:jc w:val="right"/>
              <w:rPr>
                <w:sz w:val="20"/>
                <w:szCs w:val="20"/>
              </w:rPr>
            </w:pPr>
            <w:r w:rsidRPr="008B6A75">
              <w:rPr>
                <w:sz w:val="20"/>
                <w:szCs w:val="20"/>
              </w:rPr>
              <w:t>1 722 500,00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153BFA3D" w14:textId="77777777" w:rsidR="00387142" w:rsidRPr="008B6A75" w:rsidRDefault="00387142" w:rsidP="00387142">
            <w:pPr>
              <w:jc w:val="right"/>
              <w:rPr>
                <w:sz w:val="20"/>
                <w:szCs w:val="20"/>
              </w:rPr>
            </w:pPr>
            <w:r w:rsidRPr="008B6A75">
              <w:rPr>
                <w:sz w:val="20"/>
                <w:szCs w:val="20"/>
              </w:rPr>
              <w:t>60 001 300,00</w:t>
            </w:r>
          </w:p>
        </w:tc>
      </w:tr>
      <w:tr w:rsidR="00387142" w:rsidRPr="008B6A75" w14:paraId="387EF735" w14:textId="77777777" w:rsidTr="00387142">
        <w:trPr>
          <w:trHeight w:val="585"/>
        </w:trPr>
        <w:tc>
          <w:tcPr>
            <w:tcW w:w="272" w:type="dxa"/>
            <w:tcBorders>
              <w:top w:val="nil"/>
              <w:left w:val="nil"/>
              <w:bottom w:val="nil"/>
              <w:right w:val="single" w:sz="4" w:space="0" w:color="auto"/>
            </w:tcBorders>
            <w:shd w:val="clear" w:color="auto" w:fill="auto"/>
            <w:noWrap/>
            <w:vAlign w:val="bottom"/>
            <w:hideMark/>
          </w:tcPr>
          <w:p w14:paraId="2865B25F" w14:textId="77777777" w:rsidR="00387142" w:rsidRPr="008B6A75" w:rsidRDefault="00387142" w:rsidP="00387142">
            <w:pPr>
              <w:rPr>
                <w:sz w:val="20"/>
                <w:szCs w:val="20"/>
              </w:rPr>
            </w:pPr>
            <w:r w:rsidRPr="008B6A75">
              <w:rPr>
                <w:sz w:val="20"/>
                <w:szCs w:val="20"/>
              </w:rPr>
              <w:lastRenderedPageBreak/>
              <w:t> </w:t>
            </w:r>
          </w:p>
        </w:tc>
        <w:tc>
          <w:tcPr>
            <w:tcW w:w="3415" w:type="dxa"/>
            <w:tcBorders>
              <w:top w:val="nil"/>
              <w:left w:val="single" w:sz="4" w:space="0" w:color="auto"/>
              <w:bottom w:val="single" w:sz="4" w:space="0" w:color="auto"/>
              <w:right w:val="nil"/>
            </w:tcBorders>
            <w:shd w:val="clear" w:color="auto" w:fill="auto"/>
            <w:vAlign w:val="center"/>
            <w:hideMark/>
          </w:tcPr>
          <w:p w14:paraId="6078C119" w14:textId="77777777" w:rsidR="00387142" w:rsidRPr="008B6A75" w:rsidRDefault="00387142" w:rsidP="00387142">
            <w:pPr>
              <w:rPr>
                <w:sz w:val="20"/>
                <w:szCs w:val="20"/>
              </w:rPr>
            </w:pPr>
            <w:r w:rsidRPr="008B6A75">
              <w:rPr>
                <w:sz w:val="20"/>
                <w:szCs w:val="20"/>
              </w:rPr>
              <w:t>Закупка товаров, работ и услуг для обеспечения государственных (муниципальных) нужд</w:t>
            </w:r>
          </w:p>
        </w:tc>
        <w:tc>
          <w:tcPr>
            <w:tcW w:w="1559" w:type="dxa"/>
            <w:tcBorders>
              <w:top w:val="nil"/>
              <w:left w:val="single" w:sz="4" w:space="0" w:color="auto"/>
              <w:bottom w:val="single" w:sz="4" w:space="0" w:color="auto"/>
              <w:right w:val="nil"/>
            </w:tcBorders>
            <w:shd w:val="clear" w:color="auto" w:fill="auto"/>
            <w:noWrap/>
            <w:vAlign w:val="center"/>
            <w:hideMark/>
          </w:tcPr>
          <w:p w14:paraId="1394CD14" w14:textId="77777777" w:rsidR="00387142" w:rsidRPr="008B6A75" w:rsidRDefault="00387142" w:rsidP="00387142">
            <w:pPr>
              <w:jc w:val="center"/>
              <w:rPr>
                <w:sz w:val="20"/>
                <w:szCs w:val="20"/>
              </w:rPr>
            </w:pPr>
            <w:r w:rsidRPr="008B6A75">
              <w:rPr>
                <w:sz w:val="20"/>
                <w:szCs w:val="20"/>
              </w:rPr>
              <w:t>07.1.00.07290</w:t>
            </w:r>
          </w:p>
        </w:tc>
        <w:tc>
          <w:tcPr>
            <w:tcW w:w="850" w:type="dxa"/>
            <w:tcBorders>
              <w:top w:val="nil"/>
              <w:left w:val="single" w:sz="4" w:space="0" w:color="auto"/>
              <w:bottom w:val="single" w:sz="4" w:space="0" w:color="auto"/>
              <w:right w:val="nil"/>
            </w:tcBorders>
            <w:shd w:val="clear" w:color="auto" w:fill="auto"/>
            <w:noWrap/>
            <w:vAlign w:val="center"/>
            <w:hideMark/>
          </w:tcPr>
          <w:p w14:paraId="4E8C2872" w14:textId="77777777" w:rsidR="00387142" w:rsidRPr="008B6A75" w:rsidRDefault="00387142" w:rsidP="00387142">
            <w:pPr>
              <w:jc w:val="center"/>
              <w:rPr>
                <w:sz w:val="20"/>
                <w:szCs w:val="20"/>
              </w:rPr>
            </w:pPr>
            <w:r w:rsidRPr="008B6A75">
              <w:rPr>
                <w:sz w:val="20"/>
                <w:szCs w:val="20"/>
              </w:rPr>
              <w:t>200</w:t>
            </w:r>
          </w:p>
        </w:tc>
        <w:tc>
          <w:tcPr>
            <w:tcW w:w="567" w:type="dxa"/>
            <w:tcBorders>
              <w:top w:val="nil"/>
              <w:left w:val="single" w:sz="4" w:space="0" w:color="auto"/>
              <w:bottom w:val="single" w:sz="4" w:space="0" w:color="auto"/>
              <w:right w:val="nil"/>
            </w:tcBorders>
            <w:shd w:val="clear" w:color="auto" w:fill="auto"/>
            <w:noWrap/>
            <w:vAlign w:val="center"/>
            <w:hideMark/>
          </w:tcPr>
          <w:p w14:paraId="71F86F62" w14:textId="77777777" w:rsidR="00387142" w:rsidRPr="008B6A75" w:rsidRDefault="00387142" w:rsidP="00387142">
            <w:pPr>
              <w:jc w:val="center"/>
              <w:rPr>
                <w:sz w:val="20"/>
                <w:szCs w:val="20"/>
              </w:rPr>
            </w:pPr>
            <w:r w:rsidRPr="008B6A75">
              <w:rPr>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62D5F7DD" w14:textId="77777777" w:rsidR="00387142" w:rsidRPr="008B6A75" w:rsidRDefault="00387142" w:rsidP="00387142">
            <w:pPr>
              <w:jc w:val="center"/>
              <w:rPr>
                <w:sz w:val="20"/>
                <w:szCs w:val="20"/>
              </w:rPr>
            </w:pPr>
            <w:r w:rsidRPr="008B6A75">
              <w:rPr>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592BD77" w14:textId="77777777" w:rsidR="00387142" w:rsidRPr="008B6A75" w:rsidRDefault="00387142" w:rsidP="00387142">
            <w:pPr>
              <w:jc w:val="right"/>
              <w:rPr>
                <w:sz w:val="20"/>
                <w:szCs w:val="20"/>
              </w:rPr>
            </w:pPr>
            <w:r w:rsidRPr="008B6A75">
              <w:rPr>
                <w:sz w:val="20"/>
                <w:szCs w:val="20"/>
              </w:rPr>
              <w:t>60 836 006,27</w:t>
            </w:r>
          </w:p>
        </w:tc>
        <w:tc>
          <w:tcPr>
            <w:tcW w:w="851" w:type="dxa"/>
            <w:tcBorders>
              <w:top w:val="nil"/>
              <w:left w:val="single" w:sz="4" w:space="0" w:color="auto"/>
              <w:bottom w:val="single" w:sz="4" w:space="0" w:color="auto"/>
              <w:right w:val="nil"/>
            </w:tcBorders>
            <w:shd w:val="clear" w:color="auto" w:fill="auto"/>
            <w:noWrap/>
            <w:vAlign w:val="center"/>
            <w:hideMark/>
          </w:tcPr>
          <w:p w14:paraId="297B5274" w14:textId="77777777" w:rsidR="00387142" w:rsidRPr="008B6A75" w:rsidRDefault="00387142" w:rsidP="00387142">
            <w:pPr>
              <w:jc w:val="right"/>
              <w:rPr>
                <w:sz w:val="20"/>
                <w:szCs w:val="20"/>
              </w:rPr>
            </w:pPr>
            <w:r w:rsidRPr="008B6A75">
              <w:rPr>
                <w:sz w:val="20"/>
                <w:szCs w:val="20"/>
              </w:rPr>
              <w:t>55 941 928,09</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7B16E5E8" w14:textId="77777777" w:rsidR="00387142" w:rsidRPr="008B6A75" w:rsidRDefault="00387142" w:rsidP="00387142">
            <w:pPr>
              <w:jc w:val="right"/>
              <w:rPr>
                <w:sz w:val="20"/>
                <w:szCs w:val="20"/>
              </w:rPr>
            </w:pPr>
            <w:r w:rsidRPr="008B6A75">
              <w:rPr>
                <w:sz w:val="20"/>
                <w:szCs w:val="20"/>
              </w:rPr>
              <w:t>39 856 590,00</w:t>
            </w:r>
          </w:p>
        </w:tc>
      </w:tr>
      <w:tr w:rsidR="00387142" w:rsidRPr="008B6A75" w14:paraId="57007284" w14:textId="77777777" w:rsidTr="00387142">
        <w:trPr>
          <w:trHeight w:val="870"/>
        </w:trPr>
        <w:tc>
          <w:tcPr>
            <w:tcW w:w="272" w:type="dxa"/>
            <w:tcBorders>
              <w:top w:val="nil"/>
              <w:left w:val="nil"/>
              <w:bottom w:val="nil"/>
              <w:right w:val="single" w:sz="4" w:space="0" w:color="auto"/>
            </w:tcBorders>
            <w:shd w:val="clear" w:color="auto" w:fill="auto"/>
            <w:noWrap/>
            <w:vAlign w:val="bottom"/>
            <w:hideMark/>
          </w:tcPr>
          <w:p w14:paraId="79DE84E4"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689D1A75" w14:textId="77777777" w:rsidR="00387142" w:rsidRPr="008B6A75" w:rsidRDefault="00387142" w:rsidP="00387142">
            <w:pPr>
              <w:rPr>
                <w:sz w:val="20"/>
                <w:szCs w:val="20"/>
              </w:rPr>
            </w:pPr>
            <w:r w:rsidRPr="008B6A75">
              <w:rPr>
                <w:sz w:val="20"/>
                <w:szCs w:val="20"/>
              </w:rPr>
              <w:t>Иные закупки товаров, работ и услуг для обеспечения государственных (муниципальных) нужд</w:t>
            </w:r>
          </w:p>
        </w:tc>
        <w:tc>
          <w:tcPr>
            <w:tcW w:w="1559" w:type="dxa"/>
            <w:tcBorders>
              <w:top w:val="nil"/>
              <w:left w:val="single" w:sz="4" w:space="0" w:color="auto"/>
              <w:bottom w:val="single" w:sz="4" w:space="0" w:color="auto"/>
              <w:right w:val="nil"/>
            </w:tcBorders>
            <w:shd w:val="clear" w:color="auto" w:fill="auto"/>
            <w:noWrap/>
            <w:vAlign w:val="center"/>
            <w:hideMark/>
          </w:tcPr>
          <w:p w14:paraId="6E0CEF9D" w14:textId="77777777" w:rsidR="00387142" w:rsidRPr="008B6A75" w:rsidRDefault="00387142" w:rsidP="00387142">
            <w:pPr>
              <w:jc w:val="center"/>
              <w:rPr>
                <w:sz w:val="20"/>
                <w:szCs w:val="20"/>
              </w:rPr>
            </w:pPr>
            <w:r w:rsidRPr="008B6A75">
              <w:rPr>
                <w:sz w:val="20"/>
                <w:szCs w:val="20"/>
              </w:rPr>
              <w:t>07.1.00.07290</w:t>
            </w:r>
          </w:p>
        </w:tc>
        <w:tc>
          <w:tcPr>
            <w:tcW w:w="850" w:type="dxa"/>
            <w:tcBorders>
              <w:top w:val="nil"/>
              <w:left w:val="single" w:sz="4" w:space="0" w:color="auto"/>
              <w:bottom w:val="single" w:sz="4" w:space="0" w:color="auto"/>
              <w:right w:val="nil"/>
            </w:tcBorders>
            <w:shd w:val="clear" w:color="auto" w:fill="auto"/>
            <w:noWrap/>
            <w:vAlign w:val="center"/>
            <w:hideMark/>
          </w:tcPr>
          <w:p w14:paraId="01515692" w14:textId="77777777" w:rsidR="00387142" w:rsidRPr="008B6A75" w:rsidRDefault="00387142" w:rsidP="00387142">
            <w:pPr>
              <w:jc w:val="center"/>
              <w:rPr>
                <w:sz w:val="20"/>
                <w:szCs w:val="20"/>
              </w:rPr>
            </w:pPr>
            <w:r w:rsidRPr="008B6A75">
              <w:rPr>
                <w:sz w:val="20"/>
                <w:szCs w:val="20"/>
              </w:rPr>
              <w:t>240</w:t>
            </w:r>
          </w:p>
        </w:tc>
        <w:tc>
          <w:tcPr>
            <w:tcW w:w="567" w:type="dxa"/>
            <w:tcBorders>
              <w:top w:val="nil"/>
              <w:left w:val="single" w:sz="4" w:space="0" w:color="auto"/>
              <w:bottom w:val="single" w:sz="4" w:space="0" w:color="auto"/>
              <w:right w:val="nil"/>
            </w:tcBorders>
            <w:shd w:val="clear" w:color="auto" w:fill="auto"/>
            <w:noWrap/>
            <w:vAlign w:val="center"/>
            <w:hideMark/>
          </w:tcPr>
          <w:p w14:paraId="2872CE52" w14:textId="77777777" w:rsidR="00387142" w:rsidRPr="008B6A75" w:rsidRDefault="00387142" w:rsidP="00387142">
            <w:pPr>
              <w:jc w:val="center"/>
              <w:rPr>
                <w:sz w:val="20"/>
                <w:szCs w:val="20"/>
              </w:rPr>
            </w:pPr>
            <w:r w:rsidRPr="008B6A75">
              <w:rPr>
                <w:sz w:val="20"/>
                <w:szCs w:val="20"/>
              </w:rPr>
              <w:t>07</w:t>
            </w:r>
          </w:p>
        </w:tc>
        <w:tc>
          <w:tcPr>
            <w:tcW w:w="567" w:type="dxa"/>
            <w:tcBorders>
              <w:top w:val="nil"/>
              <w:left w:val="single" w:sz="4" w:space="0" w:color="auto"/>
              <w:bottom w:val="single" w:sz="4" w:space="0" w:color="auto"/>
              <w:right w:val="nil"/>
            </w:tcBorders>
            <w:shd w:val="clear" w:color="auto" w:fill="auto"/>
            <w:noWrap/>
            <w:vAlign w:val="center"/>
            <w:hideMark/>
          </w:tcPr>
          <w:p w14:paraId="5761EADE" w14:textId="77777777" w:rsidR="00387142" w:rsidRPr="008B6A75" w:rsidRDefault="00387142" w:rsidP="00387142">
            <w:pPr>
              <w:jc w:val="center"/>
              <w:rPr>
                <w:sz w:val="20"/>
                <w:szCs w:val="20"/>
              </w:rPr>
            </w:pPr>
            <w:r w:rsidRPr="008B6A75">
              <w:rPr>
                <w:sz w:val="20"/>
                <w:szCs w:val="20"/>
              </w:rPr>
              <w:t>02</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27C2C23" w14:textId="77777777" w:rsidR="00387142" w:rsidRPr="008B6A75" w:rsidRDefault="00387142" w:rsidP="00387142">
            <w:pPr>
              <w:jc w:val="right"/>
              <w:rPr>
                <w:sz w:val="20"/>
                <w:szCs w:val="20"/>
              </w:rPr>
            </w:pPr>
            <w:r w:rsidRPr="008B6A75">
              <w:rPr>
                <w:sz w:val="20"/>
                <w:szCs w:val="20"/>
              </w:rPr>
              <w:t>60 836 006,27</w:t>
            </w:r>
          </w:p>
        </w:tc>
        <w:tc>
          <w:tcPr>
            <w:tcW w:w="851" w:type="dxa"/>
            <w:tcBorders>
              <w:top w:val="nil"/>
              <w:left w:val="single" w:sz="4" w:space="0" w:color="auto"/>
              <w:bottom w:val="single" w:sz="4" w:space="0" w:color="auto"/>
              <w:right w:val="nil"/>
            </w:tcBorders>
            <w:shd w:val="clear" w:color="auto" w:fill="auto"/>
            <w:noWrap/>
            <w:vAlign w:val="center"/>
            <w:hideMark/>
          </w:tcPr>
          <w:p w14:paraId="50B62902" w14:textId="77777777" w:rsidR="00387142" w:rsidRPr="008B6A75" w:rsidRDefault="00387142" w:rsidP="00387142">
            <w:pPr>
              <w:jc w:val="right"/>
              <w:rPr>
                <w:sz w:val="20"/>
                <w:szCs w:val="20"/>
              </w:rPr>
            </w:pPr>
            <w:r w:rsidRPr="008B6A75">
              <w:rPr>
                <w:sz w:val="20"/>
                <w:szCs w:val="20"/>
              </w:rPr>
              <w:t>55 941 928,09</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775019F3" w14:textId="77777777" w:rsidR="00387142" w:rsidRPr="008B6A75" w:rsidRDefault="00387142" w:rsidP="00387142">
            <w:pPr>
              <w:jc w:val="right"/>
              <w:rPr>
                <w:sz w:val="20"/>
                <w:szCs w:val="20"/>
              </w:rPr>
            </w:pPr>
            <w:r w:rsidRPr="008B6A75">
              <w:rPr>
                <w:sz w:val="20"/>
                <w:szCs w:val="20"/>
              </w:rPr>
              <w:t>39 856 590,00</w:t>
            </w:r>
          </w:p>
        </w:tc>
      </w:tr>
      <w:tr w:rsidR="00387142" w:rsidRPr="008B6A75" w14:paraId="3203C4DC" w14:textId="77777777" w:rsidTr="00387142">
        <w:trPr>
          <w:trHeight w:val="870"/>
        </w:trPr>
        <w:tc>
          <w:tcPr>
            <w:tcW w:w="272" w:type="dxa"/>
            <w:tcBorders>
              <w:top w:val="nil"/>
              <w:left w:val="nil"/>
              <w:bottom w:val="nil"/>
              <w:right w:val="single" w:sz="4" w:space="0" w:color="auto"/>
            </w:tcBorders>
            <w:shd w:val="clear" w:color="auto" w:fill="auto"/>
            <w:noWrap/>
            <w:vAlign w:val="bottom"/>
            <w:hideMark/>
          </w:tcPr>
          <w:p w14:paraId="473619E1"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018BA41C" w14:textId="77777777" w:rsidR="00387142" w:rsidRPr="008B6A75" w:rsidRDefault="00387142" w:rsidP="00387142">
            <w:pPr>
              <w:rPr>
                <w:sz w:val="20"/>
                <w:szCs w:val="20"/>
              </w:rPr>
            </w:pPr>
            <w:r w:rsidRPr="008B6A75">
              <w:rPr>
                <w:sz w:val="20"/>
                <w:szCs w:val="20"/>
              </w:rPr>
              <w:t>Предоставление субсидий бюджетным, автономным учреждениям и иным некоммерческим организациям</w:t>
            </w:r>
          </w:p>
        </w:tc>
        <w:tc>
          <w:tcPr>
            <w:tcW w:w="1559" w:type="dxa"/>
            <w:tcBorders>
              <w:top w:val="nil"/>
              <w:left w:val="single" w:sz="4" w:space="0" w:color="auto"/>
              <w:bottom w:val="single" w:sz="4" w:space="0" w:color="auto"/>
              <w:right w:val="nil"/>
            </w:tcBorders>
            <w:shd w:val="clear" w:color="auto" w:fill="auto"/>
            <w:noWrap/>
            <w:vAlign w:val="center"/>
            <w:hideMark/>
          </w:tcPr>
          <w:p w14:paraId="652371B4" w14:textId="77777777" w:rsidR="00387142" w:rsidRPr="008B6A75" w:rsidRDefault="00387142" w:rsidP="00387142">
            <w:pPr>
              <w:jc w:val="center"/>
              <w:rPr>
                <w:sz w:val="20"/>
                <w:szCs w:val="20"/>
              </w:rPr>
            </w:pPr>
            <w:r w:rsidRPr="008B6A75">
              <w:rPr>
                <w:sz w:val="20"/>
                <w:szCs w:val="20"/>
              </w:rPr>
              <w:t>07.1.00.07290</w:t>
            </w:r>
          </w:p>
        </w:tc>
        <w:tc>
          <w:tcPr>
            <w:tcW w:w="850" w:type="dxa"/>
            <w:tcBorders>
              <w:top w:val="nil"/>
              <w:left w:val="single" w:sz="4" w:space="0" w:color="auto"/>
              <w:bottom w:val="single" w:sz="4" w:space="0" w:color="auto"/>
              <w:right w:val="nil"/>
            </w:tcBorders>
            <w:shd w:val="clear" w:color="auto" w:fill="auto"/>
            <w:noWrap/>
            <w:vAlign w:val="center"/>
            <w:hideMark/>
          </w:tcPr>
          <w:p w14:paraId="1BCDF4B0" w14:textId="77777777" w:rsidR="00387142" w:rsidRPr="008B6A75" w:rsidRDefault="00387142" w:rsidP="00387142">
            <w:pPr>
              <w:jc w:val="center"/>
              <w:rPr>
                <w:sz w:val="20"/>
                <w:szCs w:val="20"/>
              </w:rPr>
            </w:pPr>
            <w:r w:rsidRPr="008B6A75">
              <w:rPr>
                <w:sz w:val="20"/>
                <w:szCs w:val="20"/>
              </w:rPr>
              <w:t>600</w:t>
            </w:r>
          </w:p>
        </w:tc>
        <w:tc>
          <w:tcPr>
            <w:tcW w:w="567" w:type="dxa"/>
            <w:tcBorders>
              <w:top w:val="nil"/>
              <w:left w:val="single" w:sz="4" w:space="0" w:color="auto"/>
              <w:bottom w:val="single" w:sz="4" w:space="0" w:color="auto"/>
              <w:right w:val="nil"/>
            </w:tcBorders>
            <w:shd w:val="clear" w:color="auto" w:fill="auto"/>
            <w:noWrap/>
            <w:vAlign w:val="center"/>
            <w:hideMark/>
          </w:tcPr>
          <w:p w14:paraId="4730D143" w14:textId="77777777" w:rsidR="00387142" w:rsidRPr="008B6A75" w:rsidRDefault="00387142" w:rsidP="00387142">
            <w:pPr>
              <w:jc w:val="center"/>
              <w:rPr>
                <w:sz w:val="20"/>
                <w:szCs w:val="20"/>
              </w:rPr>
            </w:pPr>
            <w:r w:rsidRPr="008B6A75">
              <w:rPr>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36D8E290" w14:textId="77777777" w:rsidR="00387142" w:rsidRPr="008B6A75" w:rsidRDefault="00387142" w:rsidP="00387142">
            <w:pPr>
              <w:jc w:val="center"/>
              <w:rPr>
                <w:sz w:val="20"/>
                <w:szCs w:val="20"/>
              </w:rPr>
            </w:pPr>
            <w:r w:rsidRPr="008B6A75">
              <w:rPr>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9788561" w14:textId="77777777" w:rsidR="00387142" w:rsidRPr="008B6A75" w:rsidRDefault="00387142" w:rsidP="00387142">
            <w:pPr>
              <w:jc w:val="right"/>
              <w:rPr>
                <w:sz w:val="20"/>
                <w:szCs w:val="20"/>
              </w:rPr>
            </w:pPr>
            <w:r w:rsidRPr="008B6A75">
              <w:rPr>
                <w:sz w:val="20"/>
                <w:szCs w:val="20"/>
              </w:rPr>
              <w:t>59 905 069,66</w:t>
            </w:r>
          </w:p>
        </w:tc>
        <w:tc>
          <w:tcPr>
            <w:tcW w:w="851" w:type="dxa"/>
            <w:tcBorders>
              <w:top w:val="nil"/>
              <w:left w:val="single" w:sz="4" w:space="0" w:color="auto"/>
              <w:bottom w:val="single" w:sz="4" w:space="0" w:color="auto"/>
              <w:right w:val="nil"/>
            </w:tcBorders>
            <w:shd w:val="clear" w:color="auto" w:fill="auto"/>
            <w:noWrap/>
            <w:vAlign w:val="center"/>
            <w:hideMark/>
          </w:tcPr>
          <w:p w14:paraId="5FA1B6A0" w14:textId="77777777" w:rsidR="00387142" w:rsidRPr="008B6A75" w:rsidRDefault="00387142" w:rsidP="00387142">
            <w:pPr>
              <w:jc w:val="right"/>
              <w:rPr>
                <w:sz w:val="20"/>
                <w:szCs w:val="20"/>
              </w:rPr>
            </w:pPr>
            <w:r w:rsidRPr="008B6A75">
              <w:rPr>
                <w:sz w:val="20"/>
                <w:szCs w:val="20"/>
              </w:rPr>
              <w:t>46 584 851,91</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59E7F08A" w14:textId="77777777" w:rsidR="00387142" w:rsidRPr="008B6A75" w:rsidRDefault="00387142" w:rsidP="00387142">
            <w:pPr>
              <w:jc w:val="right"/>
              <w:rPr>
                <w:sz w:val="20"/>
                <w:szCs w:val="20"/>
              </w:rPr>
            </w:pPr>
            <w:r w:rsidRPr="008B6A75">
              <w:rPr>
                <w:sz w:val="20"/>
                <w:szCs w:val="20"/>
              </w:rPr>
              <w:t>20 000 000,00</w:t>
            </w:r>
          </w:p>
        </w:tc>
      </w:tr>
      <w:tr w:rsidR="00387142" w:rsidRPr="008B6A75" w14:paraId="7922E805" w14:textId="77777777" w:rsidTr="00387142">
        <w:trPr>
          <w:trHeight w:val="300"/>
        </w:trPr>
        <w:tc>
          <w:tcPr>
            <w:tcW w:w="272" w:type="dxa"/>
            <w:tcBorders>
              <w:top w:val="nil"/>
              <w:left w:val="nil"/>
              <w:bottom w:val="nil"/>
              <w:right w:val="single" w:sz="4" w:space="0" w:color="auto"/>
            </w:tcBorders>
            <w:shd w:val="clear" w:color="auto" w:fill="auto"/>
            <w:noWrap/>
            <w:vAlign w:val="bottom"/>
            <w:hideMark/>
          </w:tcPr>
          <w:p w14:paraId="55A406E2"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10A8F993" w14:textId="77777777" w:rsidR="00387142" w:rsidRPr="008B6A75" w:rsidRDefault="00387142" w:rsidP="00387142">
            <w:pPr>
              <w:rPr>
                <w:sz w:val="20"/>
                <w:szCs w:val="20"/>
              </w:rPr>
            </w:pPr>
            <w:r w:rsidRPr="008B6A75">
              <w:rPr>
                <w:sz w:val="20"/>
                <w:szCs w:val="20"/>
              </w:rPr>
              <w:t>Субсидии бюджетным учреждениям</w:t>
            </w:r>
          </w:p>
        </w:tc>
        <w:tc>
          <w:tcPr>
            <w:tcW w:w="1559" w:type="dxa"/>
            <w:tcBorders>
              <w:top w:val="nil"/>
              <w:left w:val="single" w:sz="4" w:space="0" w:color="auto"/>
              <w:bottom w:val="single" w:sz="4" w:space="0" w:color="auto"/>
              <w:right w:val="nil"/>
            </w:tcBorders>
            <w:shd w:val="clear" w:color="auto" w:fill="auto"/>
            <w:noWrap/>
            <w:vAlign w:val="center"/>
            <w:hideMark/>
          </w:tcPr>
          <w:p w14:paraId="3D7B3E57" w14:textId="77777777" w:rsidR="00387142" w:rsidRPr="008B6A75" w:rsidRDefault="00387142" w:rsidP="00387142">
            <w:pPr>
              <w:jc w:val="center"/>
              <w:rPr>
                <w:sz w:val="20"/>
                <w:szCs w:val="20"/>
              </w:rPr>
            </w:pPr>
            <w:r w:rsidRPr="008B6A75">
              <w:rPr>
                <w:sz w:val="20"/>
                <w:szCs w:val="20"/>
              </w:rPr>
              <w:t>07.1.00.07290</w:t>
            </w:r>
          </w:p>
        </w:tc>
        <w:tc>
          <w:tcPr>
            <w:tcW w:w="850" w:type="dxa"/>
            <w:tcBorders>
              <w:top w:val="nil"/>
              <w:left w:val="single" w:sz="4" w:space="0" w:color="auto"/>
              <w:bottom w:val="single" w:sz="4" w:space="0" w:color="auto"/>
              <w:right w:val="nil"/>
            </w:tcBorders>
            <w:shd w:val="clear" w:color="auto" w:fill="auto"/>
            <w:noWrap/>
            <w:vAlign w:val="center"/>
            <w:hideMark/>
          </w:tcPr>
          <w:p w14:paraId="3C136373" w14:textId="77777777" w:rsidR="00387142" w:rsidRPr="008B6A75" w:rsidRDefault="00387142" w:rsidP="00387142">
            <w:pPr>
              <w:jc w:val="center"/>
              <w:rPr>
                <w:sz w:val="20"/>
                <w:szCs w:val="20"/>
              </w:rPr>
            </w:pPr>
            <w:r w:rsidRPr="008B6A75">
              <w:rPr>
                <w:sz w:val="20"/>
                <w:szCs w:val="20"/>
              </w:rPr>
              <w:t>610</w:t>
            </w:r>
          </w:p>
        </w:tc>
        <w:tc>
          <w:tcPr>
            <w:tcW w:w="567" w:type="dxa"/>
            <w:tcBorders>
              <w:top w:val="nil"/>
              <w:left w:val="single" w:sz="4" w:space="0" w:color="auto"/>
              <w:bottom w:val="single" w:sz="4" w:space="0" w:color="auto"/>
              <w:right w:val="nil"/>
            </w:tcBorders>
            <w:shd w:val="clear" w:color="auto" w:fill="auto"/>
            <w:noWrap/>
            <w:vAlign w:val="center"/>
            <w:hideMark/>
          </w:tcPr>
          <w:p w14:paraId="4EDB166E" w14:textId="77777777" w:rsidR="00387142" w:rsidRPr="008B6A75" w:rsidRDefault="00387142" w:rsidP="00387142">
            <w:pPr>
              <w:jc w:val="center"/>
              <w:rPr>
                <w:sz w:val="20"/>
                <w:szCs w:val="20"/>
              </w:rPr>
            </w:pPr>
            <w:r w:rsidRPr="008B6A75">
              <w:rPr>
                <w:sz w:val="20"/>
                <w:szCs w:val="20"/>
              </w:rPr>
              <w:t>07</w:t>
            </w:r>
          </w:p>
        </w:tc>
        <w:tc>
          <w:tcPr>
            <w:tcW w:w="567" w:type="dxa"/>
            <w:tcBorders>
              <w:top w:val="nil"/>
              <w:left w:val="single" w:sz="4" w:space="0" w:color="auto"/>
              <w:bottom w:val="single" w:sz="4" w:space="0" w:color="auto"/>
              <w:right w:val="nil"/>
            </w:tcBorders>
            <w:shd w:val="clear" w:color="auto" w:fill="auto"/>
            <w:noWrap/>
            <w:vAlign w:val="center"/>
            <w:hideMark/>
          </w:tcPr>
          <w:p w14:paraId="45F86A21" w14:textId="77777777" w:rsidR="00387142" w:rsidRPr="008B6A75" w:rsidRDefault="00387142" w:rsidP="00387142">
            <w:pPr>
              <w:jc w:val="center"/>
              <w:rPr>
                <w:sz w:val="20"/>
                <w:szCs w:val="20"/>
              </w:rPr>
            </w:pPr>
            <w:r w:rsidRPr="008B6A75">
              <w:rPr>
                <w:sz w:val="20"/>
                <w:szCs w:val="20"/>
              </w:rPr>
              <w:t>02</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60C4A9A" w14:textId="77777777" w:rsidR="00387142" w:rsidRPr="008B6A75" w:rsidRDefault="00387142" w:rsidP="00387142">
            <w:pPr>
              <w:jc w:val="right"/>
              <w:rPr>
                <w:sz w:val="20"/>
                <w:szCs w:val="20"/>
              </w:rPr>
            </w:pPr>
            <w:r w:rsidRPr="008B6A75">
              <w:rPr>
                <w:sz w:val="20"/>
                <w:szCs w:val="20"/>
              </w:rPr>
              <w:t>59 905 069,66</w:t>
            </w:r>
          </w:p>
        </w:tc>
        <w:tc>
          <w:tcPr>
            <w:tcW w:w="851" w:type="dxa"/>
            <w:tcBorders>
              <w:top w:val="nil"/>
              <w:left w:val="single" w:sz="4" w:space="0" w:color="auto"/>
              <w:bottom w:val="single" w:sz="4" w:space="0" w:color="auto"/>
              <w:right w:val="nil"/>
            </w:tcBorders>
            <w:shd w:val="clear" w:color="auto" w:fill="auto"/>
            <w:noWrap/>
            <w:vAlign w:val="center"/>
            <w:hideMark/>
          </w:tcPr>
          <w:p w14:paraId="0096F541" w14:textId="77777777" w:rsidR="00387142" w:rsidRPr="008B6A75" w:rsidRDefault="00387142" w:rsidP="00387142">
            <w:pPr>
              <w:jc w:val="right"/>
              <w:rPr>
                <w:sz w:val="20"/>
                <w:szCs w:val="20"/>
              </w:rPr>
            </w:pPr>
            <w:r w:rsidRPr="008B6A75">
              <w:rPr>
                <w:sz w:val="20"/>
                <w:szCs w:val="20"/>
              </w:rPr>
              <w:t>46 584 851,91</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3A4B6307" w14:textId="77777777" w:rsidR="00387142" w:rsidRPr="008B6A75" w:rsidRDefault="00387142" w:rsidP="00387142">
            <w:pPr>
              <w:jc w:val="right"/>
              <w:rPr>
                <w:sz w:val="20"/>
                <w:szCs w:val="20"/>
              </w:rPr>
            </w:pPr>
            <w:r w:rsidRPr="008B6A75">
              <w:rPr>
                <w:sz w:val="20"/>
                <w:szCs w:val="20"/>
              </w:rPr>
              <w:t>20 000 000,00</w:t>
            </w:r>
          </w:p>
        </w:tc>
      </w:tr>
      <w:tr w:rsidR="00387142" w:rsidRPr="008B6A75" w14:paraId="6B3163A7" w14:textId="77777777" w:rsidTr="00387142">
        <w:trPr>
          <w:trHeight w:val="300"/>
        </w:trPr>
        <w:tc>
          <w:tcPr>
            <w:tcW w:w="272" w:type="dxa"/>
            <w:tcBorders>
              <w:top w:val="nil"/>
              <w:left w:val="nil"/>
              <w:bottom w:val="nil"/>
              <w:right w:val="single" w:sz="4" w:space="0" w:color="auto"/>
            </w:tcBorders>
            <w:shd w:val="clear" w:color="auto" w:fill="auto"/>
            <w:noWrap/>
            <w:vAlign w:val="bottom"/>
            <w:hideMark/>
          </w:tcPr>
          <w:p w14:paraId="4B2C035F"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728A4194" w14:textId="77777777" w:rsidR="00387142" w:rsidRPr="008B6A75" w:rsidRDefault="00387142" w:rsidP="00387142">
            <w:pPr>
              <w:rPr>
                <w:sz w:val="20"/>
                <w:szCs w:val="20"/>
              </w:rPr>
            </w:pPr>
            <w:r w:rsidRPr="008B6A75">
              <w:rPr>
                <w:sz w:val="20"/>
                <w:szCs w:val="20"/>
              </w:rPr>
              <w:t>Иные бюджетные ассигнования</w:t>
            </w:r>
          </w:p>
        </w:tc>
        <w:tc>
          <w:tcPr>
            <w:tcW w:w="1559" w:type="dxa"/>
            <w:tcBorders>
              <w:top w:val="nil"/>
              <w:left w:val="single" w:sz="4" w:space="0" w:color="auto"/>
              <w:bottom w:val="single" w:sz="4" w:space="0" w:color="auto"/>
              <w:right w:val="nil"/>
            </w:tcBorders>
            <w:shd w:val="clear" w:color="auto" w:fill="auto"/>
            <w:noWrap/>
            <w:vAlign w:val="center"/>
            <w:hideMark/>
          </w:tcPr>
          <w:p w14:paraId="3D02C473" w14:textId="77777777" w:rsidR="00387142" w:rsidRPr="008B6A75" w:rsidRDefault="00387142" w:rsidP="00387142">
            <w:pPr>
              <w:jc w:val="center"/>
              <w:rPr>
                <w:sz w:val="20"/>
                <w:szCs w:val="20"/>
              </w:rPr>
            </w:pPr>
            <w:r w:rsidRPr="008B6A75">
              <w:rPr>
                <w:sz w:val="20"/>
                <w:szCs w:val="20"/>
              </w:rPr>
              <w:t>07.1.00.07290</w:t>
            </w:r>
          </w:p>
        </w:tc>
        <w:tc>
          <w:tcPr>
            <w:tcW w:w="850" w:type="dxa"/>
            <w:tcBorders>
              <w:top w:val="nil"/>
              <w:left w:val="single" w:sz="4" w:space="0" w:color="auto"/>
              <w:bottom w:val="single" w:sz="4" w:space="0" w:color="auto"/>
              <w:right w:val="nil"/>
            </w:tcBorders>
            <w:shd w:val="clear" w:color="auto" w:fill="auto"/>
            <w:noWrap/>
            <w:vAlign w:val="center"/>
            <w:hideMark/>
          </w:tcPr>
          <w:p w14:paraId="2E374905" w14:textId="77777777" w:rsidR="00387142" w:rsidRPr="008B6A75" w:rsidRDefault="00387142" w:rsidP="00387142">
            <w:pPr>
              <w:jc w:val="center"/>
              <w:rPr>
                <w:sz w:val="20"/>
                <w:szCs w:val="20"/>
              </w:rPr>
            </w:pPr>
            <w:r w:rsidRPr="008B6A75">
              <w:rPr>
                <w:sz w:val="20"/>
                <w:szCs w:val="20"/>
              </w:rPr>
              <w:t>800</w:t>
            </w:r>
          </w:p>
        </w:tc>
        <w:tc>
          <w:tcPr>
            <w:tcW w:w="567" w:type="dxa"/>
            <w:tcBorders>
              <w:top w:val="nil"/>
              <w:left w:val="single" w:sz="4" w:space="0" w:color="auto"/>
              <w:bottom w:val="single" w:sz="4" w:space="0" w:color="auto"/>
              <w:right w:val="nil"/>
            </w:tcBorders>
            <w:shd w:val="clear" w:color="auto" w:fill="auto"/>
            <w:noWrap/>
            <w:vAlign w:val="center"/>
            <w:hideMark/>
          </w:tcPr>
          <w:p w14:paraId="19F9051C" w14:textId="77777777" w:rsidR="00387142" w:rsidRPr="008B6A75" w:rsidRDefault="00387142" w:rsidP="00387142">
            <w:pPr>
              <w:jc w:val="center"/>
              <w:rPr>
                <w:sz w:val="20"/>
                <w:szCs w:val="20"/>
              </w:rPr>
            </w:pPr>
            <w:r w:rsidRPr="008B6A75">
              <w:rPr>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0145B0CF" w14:textId="77777777" w:rsidR="00387142" w:rsidRPr="008B6A75" w:rsidRDefault="00387142" w:rsidP="00387142">
            <w:pPr>
              <w:jc w:val="center"/>
              <w:rPr>
                <w:sz w:val="20"/>
                <w:szCs w:val="20"/>
              </w:rPr>
            </w:pPr>
            <w:r w:rsidRPr="008B6A75">
              <w:rPr>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99C9A10" w14:textId="77777777" w:rsidR="00387142" w:rsidRPr="008B6A75" w:rsidRDefault="00387142" w:rsidP="00387142">
            <w:pPr>
              <w:jc w:val="right"/>
              <w:rPr>
                <w:sz w:val="20"/>
                <w:szCs w:val="20"/>
              </w:rPr>
            </w:pPr>
            <w:r w:rsidRPr="008B6A75">
              <w:rPr>
                <w:sz w:val="20"/>
                <w:szCs w:val="20"/>
              </w:rPr>
              <w:t>1 289 444,06</w:t>
            </w:r>
          </w:p>
        </w:tc>
        <w:tc>
          <w:tcPr>
            <w:tcW w:w="851" w:type="dxa"/>
            <w:tcBorders>
              <w:top w:val="nil"/>
              <w:left w:val="single" w:sz="4" w:space="0" w:color="auto"/>
              <w:bottom w:val="single" w:sz="4" w:space="0" w:color="auto"/>
              <w:right w:val="nil"/>
            </w:tcBorders>
            <w:shd w:val="clear" w:color="auto" w:fill="auto"/>
            <w:noWrap/>
            <w:vAlign w:val="center"/>
            <w:hideMark/>
          </w:tcPr>
          <w:p w14:paraId="37CF3FBD" w14:textId="77777777" w:rsidR="00387142" w:rsidRPr="008B6A75" w:rsidRDefault="00387142" w:rsidP="00387142">
            <w:pPr>
              <w:jc w:val="right"/>
              <w:rPr>
                <w:sz w:val="20"/>
                <w:szCs w:val="20"/>
              </w:rPr>
            </w:pPr>
            <w:r w:rsidRPr="008B6A75">
              <w:rPr>
                <w:sz w:val="20"/>
                <w:szCs w:val="20"/>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24CD187E" w14:textId="77777777" w:rsidR="00387142" w:rsidRPr="008B6A75" w:rsidRDefault="00387142" w:rsidP="00387142">
            <w:pPr>
              <w:jc w:val="right"/>
              <w:rPr>
                <w:sz w:val="20"/>
                <w:szCs w:val="20"/>
              </w:rPr>
            </w:pPr>
            <w:r w:rsidRPr="008B6A75">
              <w:rPr>
                <w:sz w:val="20"/>
                <w:szCs w:val="20"/>
              </w:rPr>
              <w:t>0,00</w:t>
            </w:r>
          </w:p>
        </w:tc>
      </w:tr>
      <w:tr w:rsidR="00387142" w:rsidRPr="008B6A75" w14:paraId="6E8CAEFE" w14:textId="77777777" w:rsidTr="00387142">
        <w:trPr>
          <w:trHeight w:val="300"/>
        </w:trPr>
        <w:tc>
          <w:tcPr>
            <w:tcW w:w="272" w:type="dxa"/>
            <w:tcBorders>
              <w:top w:val="nil"/>
              <w:left w:val="nil"/>
              <w:bottom w:val="nil"/>
              <w:right w:val="single" w:sz="4" w:space="0" w:color="auto"/>
            </w:tcBorders>
            <w:shd w:val="clear" w:color="auto" w:fill="auto"/>
            <w:noWrap/>
            <w:vAlign w:val="bottom"/>
            <w:hideMark/>
          </w:tcPr>
          <w:p w14:paraId="60C8DB40"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14902183" w14:textId="77777777" w:rsidR="00387142" w:rsidRPr="008B6A75" w:rsidRDefault="00387142" w:rsidP="00387142">
            <w:pPr>
              <w:rPr>
                <w:sz w:val="20"/>
                <w:szCs w:val="20"/>
              </w:rPr>
            </w:pPr>
            <w:r w:rsidRPr="008B6A75">
              <w:rPr>
                <w:sz w:val="20"/>
                <w:szCs w:val="20"/>
              </w:rPr>
              <w:t>Уплата налогов, сборов и иных платежей</w:t>
            </w:r>
          </w:p>
        </w:tc>
        <w:tc>
          <w:tcPr>
            <w:tcW w:w="1559" w:type="dxa"/>
            <w:tcBorders>
              <w:top w:val="nil"/>
              <w:left w:val="single" w:sz="4" w:space="0" w:color="auto"/>
              <w:bottom w:val="single" w:sz="4" w:space="0" w:color="auto"/>
              <w:right w:val="nil"/>
            </w:tcBorders>
            <w:shd w:val="clear" w:color="auto" w:fill="auto"/>
            <w:noWrap/>
            <w:vAlign w:val="center"/>
            <w:hideMark/>
          </w:tcPr>
          <w:p w14:paraId="78624A58" w14:textId="77777777" w:rsidR="00387142" w:rsidRPr="008B6A75" w:rsidRDefault="00387142" w:rsidP="00387142">
            <w:pPr>
              <w:jc w:val="center"/>
              <w:rPr>
                <w:sz w:val="20"/>
                <w:szCs w:val="20"/>
              </w:rPr>
            </w:pPr>
            <w:r w:rsidRPr="008B6A75">
              <w:rPr>
                <w:sz w:val="20"/>
                <w:szCs w:val="20"/>
              </w:rPr>
              <w:t>07.1.00.07290</w:t>
            </w:r>
          </w:p>
        </w:tc>
        <w:tc>
          <w:tcPr>
            <w:tcW w:w="850" w:type="dxa"/>
            <w:tcBorders>
              <w:top w:val="nil"/>
              <w:left w:val="single" w:sz="4" w:space="0" w:color="auto"/>
              <w:bottom w:val="single" w:sz="4" w:space="0" w:color="auto"/>
              <w:right w:val="nil"/>
            </w:tcBorders>
            <w:shd w:val="clear" w:color="auto" w:fill="auto"/>
            <w:noWrap/>
            <w:vAlign w:val="center"/>
            <w:hideMark/>
          </w:tcPr>
          <w:p w14:paraId="6DCB152A" w14:textId="77777777" w:rsidR="00387142" w:rsidRPr="008B6A75" w:rsidRDefault="00387142" w:rsidP="00387142">
            <w:pPr>
              <w:jc w:val="center"/>
              <w:rPr>
                <w:sz w:val="20"/>
                <w:szCs w:val="20"/>
              </w:rPr>
            </w:pPr>
            <w:r w:rsidRPr="008B6A75">
              <w:rPr>
                <w:sz w:val="20"/>
                <w:szCs w:val="20"/>
              </w:rPr>
              <w:t>850</w:t>
            </w:r>
          </w:p>
        </w:tc>
        <w:tc>
          <w:tcPr>
            <w:tcW w:w="567" w:type="dxa"/>
            <w:tcBorders>
              <w:top w:val="nil"/>
              <w:left w:val="single" w:sz="4" w:space="0" w:color="auto"/>
              <w:bottom w:val="single" w:sz="4" w:space="0" w:color="auto"/>
              <w:right w:val="nil"/>
            </w:tcBorders>
            <w:shd w:val="clear" w:color="auto" w:fill="auto"/>
            <w:noWrap/>
            <w:vAlign w:val="center"/>
            <w:hideMark/>
          </w:tcPr>
          <w:p w14:paraId="22F7EE8F" w14:textId="77777777" w:rsidR="00387142" w:rsidRPr="008B6A75" w:rsidRDefault="00387142" w:rsidP="00387142">
            <w:pPr>
              <w:jc w:val="center"/>
              <w:rPr>
                <w:sz w:val="20"/>
                <w:szCs w:val="20"/>
              </w:rPr>
            </w:pPr>
            <w:r w:rsidRPr="008B6A75">
              <w:rPr>
                <w:sz w:val="20"/>
                <w:szCs w:val="20"/>
              </w:rPr>
              <w:t>07</w:t>
            </w:r>
          </w:p>
        </w:tc>
        <w:tc>
          <w:tcPr>
            <w:tcW w:w="567" w:type="dxa"/>
            <w:tcBorders>
              <w:top w:val="nil"/>
              <w:left w:val="single" w:sz="4" w:space="0" w:color="auto"/>
              <w:bottom w:val="single" w:sz="4" w:space="0" w:color="auto"/>
              <w:right w:val="nil"/>
            </w:tcBorders>
            <w:shd w:val="clear" w:color="auto" w:fill="auto"/>
            <w:noWrap/>
            <w:vAlign w:val="center"/>
            <w:hideMark/>
          </w:tcPr>
          <w:p w14:paraId="1C87B8FF" w14:textId="77777777" w:rsidR="00387142" w:rsidRPr="008B6A75" w:rsidRDefault="00387142" w:rsidP="00387142">
            <w:pPr>
              <w:jc w:val="center"/>
              <w:rPr>
                <w:sz w:val="20"/>
                <w:szCs w:val="20"/>
              </w:rPr>
            </w:pPr>
            <w:r w:rsidRPr="008B6A75">
              <w:rPr>
                <w:sz w:val="20"/>
                <w:szCs w:val="20"/>
              </w:rPr>
              <w:t>02</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DD0C855" w14:textId="77777777" w:rsidR="00387142" w:rsidRPr="008B6A75" w:rsidRDefault="00387142" w:rsidP="00387142">
            <w:pPr>
              <w:jc w:val="right"/>
              <w:rPr>
                <w:sz w:val="20"/>
                <w:szCs w:val="20"/>
              </w:rPr>
            </w:pPr>
            <w:r w:rsidRPr="008B6A75">
              <w:rPr>
                <w:sz w:val="20"/>
                <w:szCs w:val="20"/>
              </w:rPr>
              <w:t>1 289 444,06</w:t>
            </w:r>
          </w:p>
        </w:tc>
        <w:tc>
          <w:tcPr>
            <w:tcW w:w="851" w:type="dxa"/>
            <w:tcBorders>
              <w:top w:val="nil"/>
              <w:left w:val="single" w:sz="4" w:space="0" w:color="auto"/>
              <w:bottom w:val="single" w:sz="4" w:space="0" w:color="auto"/>
              <w:right w:val="nil"/>
            </w:tcBorders>
            <w:shd w:val="clear" w:color="auto" w:fill="auto"/>
            <w:noWrap/>
            <w:vAlign w:val="center"/>
            <w:hideMark/>
          </w:tcPr>
          <w:p w14:paraId="6DA23978" w14:textId="77777777" w:rsidR="00387142" w:rsidRPr="008B6A75" w:rsidRDefault="00387142" w:rsidP="00387142">
            <w:pPr>
              <w:jc w:val="right"/>
              <w:rPr>
                <w:sz w:val="20"/>
                <w:szCs w:val="20"/>
              </w:rPr>
            </w:pPr>
            <w:r w:rsidRPr="008B6A75">
              <w:rPr>
                <w:sz w:val="20"/>
                <w:szCs w:val="20"/>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0383B393" w14:textId="77777777" w:rsidR="00387142" w:rsidRPr="008B6A75" w:rsidRDefault="00387142" w:rsidP="00387142">
            <w:pPr>
              <w:jc w:val="right"/>
              <w:rPr>
                <w:sz w:val="20"/>
                <w:szCs w:val="20"/>
              </w:rPr>
            </w:pPr>
            <w:r w:rsidRPr="008B6A75">
              <w:rPr>
                <w:sz w:val="20"/>
                <w:szCs w:val="20"/>
              </w:rPr>
              <w:t>0,00</w:t>
            </w:r>
          </w:p>
        </w:tc>
      </w:tr>
      <w:tr w:rsidR="00387142" w:rsidRPr="008B6A75" w14:paraId="5F2DA82C" w14:textId="77777777" w:rsidTr="00387142">
        <w:trPr>
          <w:trHeight w:val="585"/>
        </w:trPr>
        <w:tc>
          <w:tcPr>
            <w:tcW w:w="272" w:type="dxa"/>
            <w:tcBorders>
              <w:top w:val="nil"/>
              <w:left w:val="nil"/>
              <w:bottom w:val="nil"/>
              <w:right w:val="single" w:sz="4" w:space="0" w:color="auto"/>
            </w:tcBorders>
            <w:shd w:val="clear" w:color="auto" w:fill="auto"/>
            <w:noWrap/>
            <w:vAlign w:val="bottom"/>
            <w:hideMark/>
          </w:tcPr>
          <w:p w14:paraId="26224701"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0C0AA73D" w14:textId="77777777" w:rsidR="00387142" w:rsidRPr="008B6A75" w:rsidRDefault="00387142" w:rsidP="00387142">
            <w:pPr>
              <w:rPr>
                <w:bCs/>
                <w:sz w:val="20"/>
                <w:szCs w:val="20"/>
              </w:rPr>
            </w:pPr>
            <w:r w:rsidRPr="008B6A75">
              <w:rPr>
                <w:bCs/>
                <w:sz w:val="20"/>
                <w:szCs w:val="20"/>
              </w:rPr>
              <w:t>Расходы на обеспечение деятельности (оказание услуг) школ-интернатов</w:t>
            </w:r>
          </w:p>
        </w:tc>
        <w:tc>
          <w:tcPr>
            <w:tcW w:w="1559" w:type="dxa"/>
            <w:tcBorders>
              <w:top w:val="nil"/>
              <w:left w:val="single" w:sz="4" w:space="0" w:color="auto"/>
              <w:bottom w:val="single" w:sz="4" w:space="0" w:color="auto"/>
              <w:right w:val="nil"/>
            </w:tcBorders>
            <w:shd w:val="clear" w:color="auto" w:fill="auto"/>
            <w:noWrap/>
            <w:vAlign w:val="center"/>
            <w:hideMark/>
          </w:tcPr>
          <w:p w14:paraId="0FBE99A4" w14:textId="77777777" w:rsidR="00387142" w:rsidRPr="008B6A75" w:rsidRDefault="00387142" w:rsidP="00387142">
            <w:pPr>
              <w:jc w:val="center"/>
              <w:rPr>
                <w:bCs/>
                <w:sz w:val="20"/>
                <w:szCs w:val="20"/>
              </w:rPr>
            </w:pPr>
            <w:r w:rsidRPr="008B6A75">
              <w:rPr>
                <w:bCs/>
                <w:sz w:val="20"/>
                <w:szCs w:val="20"/>
              </w:rPr>
              <w:t>07.1.00.07390</w:t>
            </w:r>
          </w:p>
        </w:tc>
        <w:tc>
          <w:tcPr>
            <w:tcW w:w="850" w:type="dxa"/>
            <w:tcBorders>
              <w:top w:val="nil"/>
              <w:left w:val="single" w:sz="4" w:space="0" w:color="auto"/>
              <w:bottom w:val="single" w:sz="4" w:space="0" w:color="auto"/>
              <w:right w:val="nil"/>
            </w:tcBorders>
            <w:shd w:val="clear" w:color="auto" w:fill="auto"/>
            <w:noWrap/>
            <w:vAlign w:val="center"/>
            <w:hideMark/>
          </w:tcPr>
          <w:p w14:paraId="1E18F130" w14:textId="77777777" w:rsidR="00387142" w:rsidRPr="008B6A75" w:rsidRDefault="00387142" w:rsidP="00387142">
            <w:pPr>
              <w:jc w:val="center"/>
              <w:rPr>
                <w:bCs/>
                <w:sz w:val="20"/>
                <w:szCs w:val="20"/>
              </w:rPr>
            </w:pPr>
            <w:r w:rsidRPr="008B6A75">
              <w:rPr>
                <w:bCs/>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3DE9724A" w14:textId="77777777" w:rsidR="00387142" w:rsidRPr="008B6A75" w:rsidRDefault="00387142" w:rsidP="00387142">
            <w:pPr>
              <w:jc w:val="center"/>
              <w:rPr>
                <w:bCs/>
                <w:sz w:val="20"/>
                <w:szCs w:val="20"/>
              </w:rPr>
            </w:pPr>
            <w:r w:rsidRPr="008B6A75">
              <w:rPr>
                <w:bCs/>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3FD24F09" w14:textId="77777777" w:rsidR="00387142" w:rsidRPr="008B6A75" w:rsidRDefault="00387142" w:rsidP="00387142">
            <w:pPr>
              <w:jc w:val="center"/>
              <w:rPr>
                <w:bCs/>
                <w:sz w:val="20"/>
                <w:szCs w:val="20"/>
              </w:rPr>
            </w:pPr>
            <w:r w:rsidRPr="008B6A75">
              <w:rPr>
                <w:bCs/>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22ED10F" w14:textId="77777777" w:rsidR="00387142" w:rsidRPr="008B6A75" w:rsidRDefault="00387142" w:rsidP="00387142">
            <w:pPr>
              <w:jc w:val="right"/>
              <w:rPr>
                <w:bCs/>
                <w:sz w:val="20"/>
                <w:szCs w:val="20"/>
              </w:rPr>
            </w:pPr>
            <w:r w:rsidRPr="008B6A75">
              <w:rPr>
                <w:bCs/>
                <w:sz w:val="20"/>
                <w:szCs w:val="20"/>
              </w:rPr>
              <w:t>20 260 177,78</w:t>
            </w:r>
          </w:p>
        </w:tc>
        <w:tc>
          <w:tcPr>
            <w:tcW w:w="851" w:type="dxa"/>
            <w:tcBorders>
              <w:top w:val="nil"/>
              <w:left w:val="single" w:sz="4" w:space="0" w:color="auto"/>
              <w:bottom w:val="single" w:sz="4" w:space="0" w:color="auto"/>
              <w:right w:val="nil"/>
            </w:tcBorders>
            <w:shd w:val="clear" w:color="auto" w:fill="auto"/>
            <w:noWrap/>
            <w:vAlign w:val="center"/>
            <w:hideMark/>
          </w:tcPr>
          <w:p w14:paraId="5916D62F" w14:textId="77777777" w:rsidR="00387142" w:rsidRPr="008B6A75" w:rsidRDefault="00387142" w:rsidP="00387142">
            <w:pPr>
              <w:jc w:val="right"/>
              <w:rPr>
                <w:bCs/>
                <w:sz w:val="20"/>
                <w:szCs w:val="20"/>
              </w:rPr>
            </w:pPr>
            <w:r w:rsidRPr="008B6A75">
              <w:rPr>
                <w:bCs/>
                <w:sz w:val="20"/>
                <w:szCs w:val="20"/>
              </w:rPr>
              <w:t>12 533 500,00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5C23A995" w14:textId="77777777" w:rsidR="00387142" w:rsidRPr="008B6A75" w:rsidRDefault="00387142" w:rsidP="00387142">
            <w:pPr>
              <w:jc w:val="right"/>
              <w:rPr>
                <w:bCs/>
                <w:sz w:val="20"/>
                <w:szCs w:val="20"/>
              </w:rPr>
            </w:pPr>
            <w:r w:rsidRPr="008B6A75">
              <w:rPr>
                <w:bCs/>
                <w:sz w:val="20"/>
                <w:szCs w:val="20"/>
              </w:rPr>
              <w:t>12 533 500,00</w:t>
            </w:r>
          </w:p>
        </w:tc>
      </w:tr>
      <w:tr w:rsidR="00387142" w:rsidRPr="008B6A75" w14:paraId="09D95F4C" w14:textId="77777777" w:rsidTr="00387142">
        <w:trPr>
          <w:trHeight w:val="1440"/>
        </w:trPr>
        <w:tc>
          <w:tcPr>
            <w:tcW w:w="272" w:type="dxa"/>
            <w:tcBorders>
              <w:top w:val="nil"/>
              <w:left w:val="nil"/>
              <w:bottom w:val="nil"/>
              <w:right w:val="single" w:sz="4" w:space="0" w:color="auto"/>
            </w:tcBorders>
            <w:shd w:val="clear" w:color="auto" w:fill="auto"/>
            <w:noWrap/>
            <w:vAlign w:val="bottom"/>
            <w:hideMark/>
          </w:tcPr>
          <w:p w14:paraId="7599812A"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1CFD18A7" w14:textId="77777777" w:rsidR="00387142" w:rsidRPr="008B6A75" w:rsidRDefault="00387142" w:rsidP="00387142">
            <w:pPr>
              <w:rPr>
                <w:sz w:val="20"/>
                <w:szCs w:val="20"/>
              </w:rPr>
            </w:pPr>
            <w:r w:rsidRPr="008B6A7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single" w:sz="4" w:space="0" w:color="auto"/>
              <w:bottom w:val="single" w:sz="4" w:space="0" w:color="auto"/>
              <w:right w:val="nil"/>
            </w:tcBorders>
            <w:shd w:val="clear" w:color="auto" w:fill="auto"/>
            <w:noWrap/>
            <w:vAlign w:val="center"/>
            <w:hideMark/>
          </w:tcPr>
          <w:p w14:paraId="34A783D4" w14:textId="77777777" w:rsidR="00387142" w:rsidRPr="008B6A75" w:rsidRDefault="00387142" w:rsidP="00387142">
            <w:pPr>
              <w:jc w:val="center"/>
              <w:rPr>
                <w:sz w:val="20"/>
                <w:szCs w:val="20"/>
              </w:rPr>
            </w:pPr>
            <w:r w:rsidRPr="008B6A75">
              <w:rPr>
                <w:sz w:val="20"/>
                <w:szCs w:val="20"/>
              </w:rPr>
              <w:t>07.1.00.07390</w:t>
            </w:r>
          </w:p>
        </w:tc>
        <w:tc>
          <w:tcPr>
            <w:tcW w:w="850" w:type="dxa"/>
            <w:tcBorders>
              <w:top w:val="nil"/>
              <w:left w:val="single" w:sz="4" w:space="0" w:color="auto"/>
              <w:bottom w:val="single" w:sz="4" w:space="0" w:color="auto"/>
              <w:right w:val="nil"/>
            </w:tcBorders>
            <w:shd w:val="clear" w:color="auto" w:fill="auto"/>
            <w:noWrap/>
            <w:vAlign w:val="center"/>
            <w:hideMark/>
          </w:tcPr>
          <w:p w14:paraId="19792898" w14:textId="77777777" w:rsidR="00387142" w:rsidRPr="008B6A75" w:rsidRDefault="00387142" w:rsidP="00387142">
            <w:pPr>
              <w:jc w:val="center"/>
              <w:rPr>
                <w:sz w:val="20"/>
                <w:szCs w:val="20"/>
              </w:rPr>
            </w:pPr>
            <w:r w:rsidRPr="008B6A75">
              <w:rPr>
                <w:sz w:val="20"/>
                <w:szCs w:val="20"/>
              </w:rPr>
              <w:t>100</w:t>
            </w:r>
          </w:p>
        </w:tc>
        <w:tc>
          <w:tcPr>
            <w:tcW w:w="567" w:type="dxa"/>
            <w:tcBorders>
              <w:top w:val="nil"/>
              <w:left w:val="single" w:sz="4" w:space="0" w:color="auto"/>
              <w:bottom w:val="single" w:sz="4" w:space="0" w:color="auto"/>
              <w:right w:val="nil"/>
            </w:tcBorders>
            <w:shd w:val="clear" w:color="auto" w:fill="auto"/>
            <w:noWrap/>
            <w:vAlign w:val="center"/>
            <w:hideMark/>
          </w:tcPr>
          <w:p w14:paraId="58171B1F" w14:textId="77777777" w:rsidR="00387142" w:rsidRPr="008B6A75" w:rsidRDefault="00387142" w:rsidP="00387142">
            <w:pPr>
              <w:jc w:val="center"/>
              <w:rPr>
                <w:sz w:val="20"/>
                <w:szCs w:val="20"/>
              </w:rPr>
            </w:pPr>
            <w:r w:rsidRPr="008B6A75">
              <w:rPr>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09784E2E" w14:textId="77777777" w:rsidR="00387142" w:rsidRPr="008B6A75" w:rsidRDefault="00387142" w:rsidP="00387142">
            <w:pPr>
              <w:jc w:val="center"/>
              <w:rPr>
                <w:sz w:val="20"/>
                <w:szCs w:val="20"/>
              </w:rPr>
            </w:pPr>
            <w:r w:rsidRPr="008B6A75">
              <w:rPr>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75BECFC" w14:textId="77777777" w:rsidR="00387142" w:rsidRPr="008B6A75" w:rsidRDefault="00387142" w:rsidP="00387142">
            <w:pPr>
              <w:jc w:val="right"/>
              <w:rPr>
                <w:sz w:val="20"/>
                <w:szCs w:val="20"/>
              </w:rPr>
            </w:pPr>
            <w:r w:rsidRPr="008B6A75">
              <w:rPr>
                <w:sz w:val="20"/>
                <w:szCs w:val="20"/>
              </w:rPr>
              <w:t>11 614 874,13</w:t>
            </w:r>
          </w:p>
        </w:tc>
        <w:tc>
          <w:tcPr>
            <w:tcW w:w="851" w:type="dxa"/>
            <w:tcBorders>
              <w:top w:val="nil"/>
              <w:left w:val="single" w:sz="4" w:space="0" w:color="auto"/>
              <w:bottom w:val="single" w:sz="4" w:space="0" w:color="auto"/>
              <w:right w:val="nil"/>
            </w:tcBorders>
            <w:shd w:val="clear" w:color="auto" w:fill="auto"/>
            <w:noWrap/>
            <w:vAlign w:val="center"/>
            <w:hideMark/>
          </w:tcPr>
          <w:p w14:paraId="4C9F7B2E" w14:textId="77777777" w:rsidR="00387142" w:rsidRPr="008B6A75" w:rsidRDefault="00387142" w:rsidP="00387142">
            <w:pPr>
              <w:jc w:val="right"/>
              <w:rPr>
                <w:sz w:val="20"/>
                <w:szCs w:val="20"/>
              </w:rPr>
            </w:pPr>
            <w:r w:rsidRPr="008B6A75">
              <w:rPr>
                <w:sz w:val="20"/>
                <w:szCs w:val="20"/>
              </w:rPr>
              <w:t>7 002 350,00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1D456250" w14:textId="77777777" w:rsidR="00387142" w:rsidRPr="008B6A75" w:rsidRDefault="00387142" w:rsidP="00387142">
            <w:pPr>
              <w:jc w:val="right"/>
              <w:rPr>
                <w:sz w:val="20"/>
                <w:szCs w:val="20"/>
              </w:rPr>
            </w:pPr>
            <w:r w:rsidRPr="008B6A75">
              <w:rPr>
                <w:sz w:val="20"/>
                <w:szCs w:val="20"/>
              </w:rPr>
              <w:t>7 002 350,00</w:t>
            </w:r>
          </w:p>
        </w:tc>
      </w:tr>
      <w:tr w:rsidR="00387142" w:rsidRPr="008B6A75" w14:paraId="112283FD" w14:textId="77777777" w:rsidTr="00387142">
        <w:trPr>
          <w:trHeight w:val="585"/>
        </w:trPr>
        <w:tc>
          <w:tcPr>
            <w:tcW w:w="272" w:type="dxa"/>
            <w:tcBorders>
              <w:top w:val="nil"/>
              <w:left w:val="nil"/>
              <w:bottom w:val="nil"/>
              <w:right w:val="single" w:sz="4" w:space="0" w:color="auto"/>
            </w:tcBorders>
            <w:shd w:val="clear" w:color="auto" w:fill="auto"/>
            <w:noWrap/>
            <w:vAlign w:val="bottom"/>
            <w:hideMark/>
          </w:tcPr>
          <w:p w14:paraId="73299DFB"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1E9E88F1" w14:textId="77777777" w:rsidR="00387142" w:rsidRPr="008B6A75" w:rsidRDefault="00387142" w:rsidP="00387142">
            <w:pPr>
              <w:rPr>
                <w:sz w:val="20"/>
                <w:szCs w:val="20"/>
              </w:rPr>
            </w:pPr>
            <w:r w:rsidRPr="008B6A75">
              <w:rPr>
                <w:sz w:val="20"/>
                <w:szCs w:val="20"/>
              </w:rPr>
              <w:t>Расходы на выплаты персоналу казенных учреждений</w:t>
            </w:r>
          </w:p>
        </w:tc>
        <w:tc>
          <w:tcPr>
            <w:tcW w:w="1559" w:type="dxa"/>
            <w:tcBorders>
              <w:top w:val="nil"/>
              <w:left w:val="single" w:sz="4" w:space="0" w:color="auto"/>
              <w:bottom w:val="single" w:sz="4" w:space="0" w:color="auto"/>
              <w:right w:val="nil"/>
            </w:tcBorders>
            <w:shd w:val="clear" w:color="auto" w:fill="auto"/>
            <w:noWrap/>
            <w:vAlign w:val="center"/>
            <w:hideMark/>
          </w:tcPr>
          <w:p w14:paraId="42F8489D" w14:textId="77777777" w:rsidR="00387142" w:rsidRPr="008B6A75" w:rsidRDefault="00387142" w:rsidP="00387142">
            <w:pPr>
              <w:jc w:val="center"/>
              <w:rPr>
                <w:sz w:val="20"/>
                <w:szCs w:val="20"/>
              </w:rPr>
            </w:pPr>
            <w:r w:rsidRPr="008B6A75">
              <w:rPr>
                <w:sz w:val="20"/>
                <w:szCs w:val="20"/>
              </w:rPr>
              <w:t>07.1.00.07390</w:t>
            </w:r>
          </w:p>
        </w:tc>
        <w:tc>
          <w:tcPr>
            <w:tcW w:w="850" w:type="dxa"/>
            <w:tcBorders>
              <w:top w:val="nil"/>
              <w:left w:val="single" w:sz="4" w:space="0" w:color="auto"/>
              <w:bottom w:val="single" w:sz="4" w:space="0" w:color="auto"/>
              <w:right w:val="nil"/>
            </w:tcBorders>
            <w:shd w:val="clear" w:color="auto" w:fill="auto"/>
            <w:noWrap/>
            <w:vAlign w:val="center"/>
            <w:hideMark/>
          </w:tcPr>
          <w:p w14:paraId="4A067851" w14:textId="77777777" w:rsidR="00387142" w:rsidRPr="008B6A75" w:rsidRDefault="00387142" w:rsidP="00387142">
            <w:pPr>
              <w:jc w:val="center"/>
              <w:rPr>
                <w:sz w:val="20"/>
                <w:szCs w:val="20"/>
              </w:rPr>
            </w:pPr>
            <w:r w:rsidRPr="008B6A75">
              <w:rPr>
                <w:sz w:val="20"/>
                <w:szCs w:val="20"/>
              </w:rPr>
              <w:t>110</w:t>
            </w:r>
          </w:p>
        </w:tc>
        <w:tc>
          <w:tcPr>
            <w:tcW w:w="567" w:type="dxa"/>
            <w:tcBorders>
              <w:top w:val="nil"/>
              <w:left w:val="single" w:sz="4" w:space="0" w:color="auto"/>
              <w:bottom w:val="single" w:sz="4" w:space="0" w:color="auto"/>
              <w:right w:val="nil"/>
            </w:tcBorders>
            <w:shd w:val="clear" w:color="auto" w:fill="auto"/>
            <w:noWrap/>
            <w:vAlign w:val="center"/>
            <w:hideMark/>
          </w:tcPr>
          <w:p w14:paraId="754287A0" w14:textId="77777777" w:rsidR="00387142" w:rsidRPr="008B6A75" w:rsidRDefault="00387142" w:rsidP="00387142">
            <w:pPr>
              <w:jc w:val="center"/>
              <w:rPr>
                <w:sz w:val="20"/>
                <w:szCs w:val="20"/>
              </w:rPr>
            </w:pPr>
            <w:r w:rsidRPr="008B6A75">
              <w:rPr>
                <w:sz w:val="20"/>
                <w:szCs w:val="20"/>
              </w:rPr>
              <w:t>07</w:t>
            </w:r>
          </w:p>
        </w:tc>
        <w:tc>
          <w:tcPr>
            <w:tcW w:w="567" w:type="dxa"/>
            <w:tcBorders>
              <w:top w:val="nil"/>
              <w:left w:val="single" w:sz="4" w:space="0" w:color="auto"/>
              <w:bottom w:val="single" w:sz="4" w:space="0" w:color="auto"/>
              <w:right w:val="nil"/>
            </w:tcBorders>
            <w:shd w:val="clear" w:color="auto" w:fill="auto"/>
            <w:noWrap/>
            <w:vAlign w:val="center"/>
            <w:hideMark/>
          </w:tcPr>
          <w:p w14:paraId="1459FAEA" w14:textId="77777777" w:rsidR="00387142" w:rsidRPr="008B6A75" w:rsidRDefault="00387142" w:rsidP="00387142">
            <w:pPr>
              <w:jc w:val="center"/>
              <w:rPr>
                <w:sz w:val="20"/>
                <w:szCs w:val="20"/>
              </w:rPr>
            </w:pPr>
            <w:r w:rsidRPr="008B6A75">
              <w:rPr>
                <w:sz w:val="20"/>
                <w:szCs w:val="20"/>
              </w:rPr>
              <w:t>02</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AFBAB2A" w14:textId="77777777" w:rsidR="00387142" w:rsidRPr="008B6A75" w:rsidRDefault="00387142" w:rsidP="00387142">
            <w:pPr>
              <w:jc w:val="right"/>
              <w:rPr>
                <w:sz w:val="20"/>
                <w:szCs w:val="20"/>
              </w:rPr>
            </w:pPr>
            <w:r w:rsidRPr="008B6A75">
              <w:rPr>
                <w:sz w:val="20"/>
                <w:szCs w:val="20"/>
              </w:rPr>
              <w:t>11 614 874,13</w:t>
            </w:r>
          </w:p>
        </w:tc>
        <w:tc>
          <w:tcPr>
            <w:tcW w:w="851" w:type="dxa"/>
            <w:tcBorders>
              <w:top w:val="nil"/>
              <w:left w:val="single" w:sz="4" w:space="0" w:color="auto"/>
              <w:bottom w:val="single" w:sz="4" w:space="0" w:color="auto"/>
              <w:right w:val="nil"/>
            </w:tcBorders>
            <w:shd w:val="clear" w:color="auto" w:fill="auto"/>
            <w:noWrap/>
            <w:vAlign w:val="center"/>
            <w:hideMark/>
          </w:tcPr>
          <w:p w14:paraId="03E24107" w14:textId="77777777" w:rsidR="00387142" w:rsidRPr="008B6A75" w:rsidRDefault="00387142" w:rsidP="00387142">
            <w:pPr>
              <w:jc w:val="right"/>
              <w:rPr>
                <w:sz w:val="20"/>
                <w:szCs w:val="20"/>
              </w:rPr>
            </w:pPr>
            <w:r w:rsidRPr="008B6A75">
              <w:rPr>
                <w:sz w:val="20"/>
                <w:szCs w:val="20"/>
              </w:rPr>
              <w:t>7 002 350,00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19E56A0F" w14:textId="77777777" w:rsidR="00387142" w:rsidRPr="008B6A75" w:rsidRDefault="00387142" w:rsidP="00387142">
            <w:pPr>
              <w:jc w:val="right"/>
              <w:rPr>
                <w:sz w:val="20"/>
                <w:szCs w:val="20"/>
              </w:rPr>
            </w:pPr>
            <w:r w:rsidRPr="008B6A75">
              <w:rPr>
                <w:sz w:val="20"/>
                <w:szCs w:val="20"/>
              </w:rPr>
              <w:t>7 002 350,00</w:t>
            </w:r>
          </w:p>
        </w:tc>
      </w:tr>
      <w:tr w:rsidR="00387142" w:rsidRPr="008B6A75" w14:paraId="548B4A7E" w14:textId="77777777" w:rsidTr="00387142">
        <w:trPr>
          <w:trHeight w:val="585"/>
        </w:trPr>
        <w:tc>
          <w:tcPr>
            <w:tcW w:w="272" w:type="dxa"/>
            <w:tcBorders>
              <w:top w:val="nil"/>
              <w:left w:val="nil"/>
              <w:bottom w:val="nil"/>
              <w:right w:val="single" w:sz="4" w:space="0" w:color="auto"/>
            </w:tcBorders>
            <w:shd w:val="clear" w:color="auto" w:fill="auto"/>
            <w:noWrap/>
            <w:vAlign w:val="bottom"/>
            <w:hideMark/>
          </w:tcPr>
          <w:p w14:paraId="742E3FC6"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2D5177FB" w14:textId="77777777" w:rsidR="00387142" w:rsidRPr="008B6A75" w:rsidRDefault="00387142" w:rsidP="00387142">
            <w:pPr>
              <w:rPr>
                <w:sz w:val="20"/>
                <w:szCs w:val="20"/>
              </w:rPr>
            </w:pPr>
            <w:r w:rsidRPr="008B6A75">
              <w:rPr>
                <w:sz w:val="20"/>
                <w:szCs w:val="20"/>
              </w:rPr>
              <w:t>Закупка товаров, работ и услуг для обеспечения государственных (муниципальных) нужд</w:t>
            </w:r>
          </w:p>
        </w:tc>
        <w:tc>
          <w:tcPr>
            <w:tcW w:w="1559" w:type="dxa"/>
            <w:tcBorders>
              <w:top w:val="nil"/>
              <w:left w:val="single" w:sz="4" w:space="0" w:color="auto"/>
              <w:bottom w:val="single" w:sz="4" w:space="0" w:color="auto"/>
              <w:right w:val="nil"/>
            </w:tcBorders>
            <w:shd w:val="clear" w:color="auto" w:fill="auto"/>
            <w:noWrap/>
            <w:vAlign w:val="center"/>
            <w:hideMark/>
          </w:tcPr>
          <w:p w14:paraId="2974A523" w14:textId="77777777" w:rsidR="00387142" w:rsidRPr="008B6A75" w:rsidRDefault="00387142" w:rsidP="00387142">
            <w:pPr>
              <w:jc w:val="center"/>
              <w:rPr>
                <w:sz w:val="20"/>
                <w:szCs w:val="20"/>
              </w:rPr>
            </w:pPr>
            <w:r w:rsidRPr="008B6A75">
              <w:rPr>
                <w:sz w:val="20"/>
                <w:szCs w:val="20"/>
              </w:rPr>
              <w:t>07.1.00.07390</w:t>
            </w:r>
          </w:p>
        </w:tc>
        <w:tc>
          <w:tcPr>
            <w:tcW w:w="850" w:type="dxa"/>
            <w:tcBorders>
              <w:top w:val="nil"/>
              <w:left w:val="single" w:sz="4" w:space="0" w:color="auto"/>
              <w:bottom w:val="single" w:sz="4" w:space="0" w:color="auto"/>
              <w:right w:val="nil"/>
            </w:tcBorders>
            <w:shd w:val="clear" w:color="auto" w:fill="auto"/>
            <w:noWrap/>
            <w:vAlign w:val="center"/>
            <w:hideMark/>
          </w:tcPr>
          <w:p w14:paraId="7AEFF818" w14:textId="77777777" w:rsidR="00387142" w:rsidRPr="008B6A75" w:rsidRDefault="00387142" w:rsidP="00387142">
            <w:pPr>
              <w:jc w:val="center"/>
              <w:rPr>
                <w:sz w:val="20"/>
                <w:szCs w:val="20"/>
              </w:rPr>
            </w:pPr>
            <w:r w:rsidRPr="008B6A75">
              <w:rPr>
                <w:sz w:val="20"/>
                <w:szCs w:val="20"/>
              </w:rPr>
              <w:t>200</w:t>
            </w:r>
          </w:p>
        </w:tc>
        <w:tc>
          <w:tcPr>
            <w:tcW w:w="567" w:type="dxa"/>
            <w:tcBorders>
              <w:top w:val="nil"/>
              <w:left w:val="single" w:sz="4" w:space="0" w:color="auto"/>
              <w:bottom w:val="single" w:sz="4" w:space="0" w:color="auto"/>
              <w:right w:val="nil"/>
            </w:tcBorders>
            <w:shd w:val="clear" w:color="auto" w:fill="auto"/>
            <w:noWrap/>
            <w:vAlign w:val="center"/>
            <w:hideMark/>
          </w:tcPr>
          <w:p w14:paraId="630D9C64" w14:textId="77777777" w:rsidR="00387142" w:rsidRPr="008B6A75" w:rsidRDefault="00387142" w:rsidP="00387142">
            <w:pPr>
              <w:jc w:val="center"/>
              <w:rPr>
                <w:sz w:val="20"/>
                <w:szCs w:val="20"/>
              </w:rPr>
            </w:pPr>
            <w:r w:rsidRPr="008B6A75">
              <w:rPr>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1C3582EB" w14:textId="77777777" w:rsidR="00387142" w:rsidRPr="008B6A75" w:rsidRDefault="00387142" w:rsidP="00387142">
            <w:pPr>
              <w:jc w:val="center"/>
              <w:rPr>
                <w:sz w:val="20"/>
                <w:szCs w:val="20"/>
              </w:rPr>
            </w:pPr>
            <w:r w:rsidRPr="008B6A75">
              <w:rPr>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BEC3C00" w14:textId="77777777" w:rsidR="00387142" w:rsidRPr="008B6A75" w:rsidRDefault="00387142" w:rsidP="00387142">
            <w:pPr>
              <w:jc w:val="right"/>
              <w:rPr>
                <w:sz w:val="20"/>
                <w:szCs w:val="20"/>
              </w:rPr>
            </w:pPr>
            <w:r w:rsidRPr="008B6A75">
              <w:rPr>
                <w:sz w:val="20"/>
                <w:szCs w:val="20"/>
              </w:rPr>
              <w:t>7 820 184,61</w:t>
            </w:r>
          </w:p>
        </w:tc>
        <w:tc>
          <w:tcPr>
            <w:tcW w:w="851" w:type="dxa"/>
            <w:tcBorders>
              <w:top w:val="nil"/>
              <w:left w:val="single" w:sz="4" w:space="0" w:color="auto"/>
              <w:bottom w:val="single" w:sz="4" w:space="0" w:color="auto"/>
              <w:right w:val="nil"/>
            </w:tcBorders>
            <w:shd w:val="clear" w:color="auto" w:fill="auto"/>
            <w:noWrap/>
            <w:vAlign w:val="center"/>
            <w:hideMark/>
          </w:tcPr>
          <w:p w14:paraId="40C6A28B" w14:textId="77777777" w:rsidR="00387142" w:rsidRPr="008B6A75" w:rsidRDefault="00387142" w:rsidP="00387142">
            <w:pPr>
              <w:jc w:val="right"/>
              <w:rPr>
                <w:sz w:val="20"/>
                <w:szCs w:val="20"/>
              </w:rPr>
            </w:pPr>
            <w:r w:rsidRPr="008B6A75">
              <w:rPr>
                <w:sz w:val="20"/>
                <w:szCs w:val="20"/>
              </w:rPr>
              <w:t>5 531 150,00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1F568078" w14:textId="77777777" w:rsidR="00387142" w:rsidRPr="008B6A75" w:rsidRDefault="00387142" w:rsidP="00387142">
            <w:pPr>
              <w:jc w:val="right"/>
              <w:rPr>
                <w:sz w:val="20"/>
                <w:szCs w:val="20"/>
              </w:rPr>
            </w:pPr>
            <w:r w:rsidRPr="008B6A75">
              <w:rPr>
                <w:sz w:val="20"/>
                <w:szCs w:val="20"/>
              </w:rPr>
              <w:t>5 531 150,00</w:t>
            </w:r>
          </w:p>
        </w:tc>
      </w:tr>
      <w:tr w:rsidR="00387142" w:rsidRPr="008B6A75" w14:paraId="4E965C22" w14:textId="77777777" w:rsidTr="00387142">
        <w:trPr>
          <w:trHeight w:val="870"/>
        </w:trPr>
        <w:tc>
          <w:tcPr>
            <w:tcW w:w="272" w:type="dxa"/>
            <w:tcBorders>
              <w:top w:val="nil"/>
              <w:left w:val="nil"/>
              <w:bottom w:val="nil"/>
              <w:right w:val="single" w:sz="4" w:space="0" w:color="auto"/>
            </w:tcBorders>
            <w:shd w:val="clear" w:color="auto" w:fill="auto"/>
            <w:noWrap/>
            <w:vAlign w:val="bottom"/>
            <w:hideMark/>
          </w:tcPr>
          <w:p w14:paraId="7EB5A7E0"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19F62FFE" w14:textId="77777777" w:rsidR="00387142" w:rsidRPr="008B6A75" w:rsidRDefault="00387142" w:rsidP="00387142">
            <w:pPr>
              <w:rPr>
                <w:sz w:val="20"/>
                <w:szCs w:val="20"/>
              </w:rPr>
            </w:pPr>
            <w:r w:rsidRPr="008B6A75">
              <w:rPr>
                <w:sz w:val="20"/>
                <w:szCs w:val="20"/>
              </w:rPr>
              <w:t>Иные закупки товаров, работ и услуг для обеспечения государственных (муниципальных) нужд</w:t>
            </w:r>
          </w:p>
        </w:tc>
        <w:tc>
          <w:tcPr>
            <w:tcW w:w="1559" w:type="dxa"/>
            <w:tcBorders>
              <w:top w:val="nil"/>
              <w:left w:val="single" w:sz="4" w:space="0" w:color="auto"/>
              <w:bottom w:val="single" w:sz="4" w:space="0" w:color="auto"/>
              <w:right w:val="nil"/>
            </w:tcBorders>
            <w:shd w:val="clear" w:color="auto" w:fill="auto"/>
            <w:noWrap/>
            <w:vAlign w:val="center"/>
            <w:hideMark/>
          </w:tcPr>
          <w:p w14:paraId="149BE13E" w14:textId="77777777" w:rsidR="00387142" w:rsidRPr="008B6A75" w:rsidRDefault="00387142" w:rsidP="00387142">
            <w:pPr>
              <w:jc w:val="center"/>
              <w:rPr>
                <w:sz w:val="20"/>
                <w:szCs w:val="20"/>
              </w:rPr>
            </w:pPr>
            <w:r w:rsidRPr="008B6A75">
              <w:rPr>
                <w:sz w:val="20"/>
                <w:szCs w:val="20"/>
              </w:rPr>
              <w:t>07.1.00.07390</w:t>
            </w:r>
          </w:p>
        </w:tc>
        <w:tc>
          <w:tcPr>
            <w:tcW w:w="850" w:type="dxa"/>
            <w:tcBorders>
              <w:top w:val="nil"/>
              <w:left w:val="single" w:sz="4" w:space="0" w:color="auto"/>
              <w:bottom w:val="single" w:sz="4" w:space="0" w:color="auto"/>
              <w:right w:val="nil"/>
            </w:tcBorders>
            <w:shd w:val="clear" w:color="auto" w:fill="auto"/>
            <w:noWrap/>
            <w:vAlign w:val="center"/>
            <w:hideMark/>
          </w:tcPr>
          <w:p w14:paraId="3B1CC351" w14:textId="77777777" w:rsidR="00387142" w:rsidRPr="008B6A75" w:rsidRDefault="00387142" w:rsidP="00387142">
            <w:pPr>
              <w:jc w:val="center"/>
              <w:rPr>
                <w:sz w:val="20"/>
                <w:szCs w:val="20"/>
              </w:rPr>
            </w:pPr>
            <w:r w:rsidRPr="008B6A75">
              <w:rPr>
                <w:sz w:val="20"/>
                <w:szCs w:val="20"/>
              </w:rPr>
              <w:t>240</w:t>
            </w:r>
          </w:p>
        </w:tc>
        <w:tc>
          <w:tcPr>
            <w:tcW w:w="567" w:type="dxa"/>
            <w:tcBorders>
              <w:top w:val="nil"/>
              <w:left w:val="single" w:sz="4" w:space="0" w:color="auto"/>
              <w:bottom w:val="single" w:sz="4" w:space="0" w:color="auto"/>
              <w:right w:val="nil"/>
            </w:tcBorders>
            <w:shd w:val="clear" w:color="auto" w:fill="auto"/>
            <w:noWrap/>
            <w:vAlign w:val="center"/>
            <w:hideMark/>
          </w:tcPr>
          <w:p w14:paraId="597DD251" w14:textId="77777777" w:rsidR="00387142" w:rsidRPr="008B6A75" w:rsidRDefault="00387142" w:rsidP="00387142">
            <w:pPr>
              <w:jc w:val="center"/>
              <w:rPr>
                <w:sz w:val="20"/>
                <w:szCs w:val="20"/>
              </w:rPr>
            </w:pPr>
            <w:r w:rsidRPr="008B6A75">
              <w:rPr>
                <w:sz w:val="20"/>
                <w:szCs w:val="20"/>
              </w:rPr>
              <w:t>07</w:t>
            </w:r>
          </w:p>
        </w:tc>
        <w:tc>
          <w:tcPr>
            <w:tcW w:w="567" w:type="dxa"/>
            <w:tcBorders>
              <w:top w:val="nil"/>
              <w:left w:val="single" w:sz="4" w:space="0" w:color="auto"/>
              <w:bottom w:val="single" w:sz="4" w:space="0" w:color="auto"/>
              <w:right w:val="nil"/>
            </w:tcBorders>
            <w:shd w:val="clear" w:color="auto" w:fill="auto"/>
            <w:noWrap/>
            <w:vAlign w:val="center"/>
            <w:hideMark/>
          </w:tcPr>
          <w:p w14:paraId="4AFA49BD" w14:textId="77777777" w:rsidR="00387142" w:rsidRPr="008B6A75" w:rsidRDefault="00387142" w:rsidP="00387142">
            <w:pPr>
              <w:jc w:val="center"/>
              <w:rPr>
                <w:sz w:val="20"/>
                <w:szCs w:val="20"/>
              </w:rPr>
            </w:pPr>
            <w:r w:rsidRPr="008B6A75">
              <w:rPr>
                <w:sz w:val="20"/>
                <w:szCs w:val="20"/>
              </w:rPr>
              <w:t>02</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EEBA91B" w14:textId="77777777" w:rsidR="00387142" w:rsidRPr="008B6A75" w:rsidRDefault="00387142" w:rsidP="00387142">
            <w:pPr>
              <w:jc w:val="right"/>
              <w:rPr>
                <w:sz w:val="20"/>
                <w:szCs w:val="20"/>
              </w:rPr>
            </w:pPr>
            <w:r w:rsidRPr="008B6A75">
              <w:rPr>
                <w:sz w:val="20"/>
                <w:szCs w:val="20"/>
              </w:rPr>
              <w:t>7 820 184,61</w:t>
            </w:r>
          </w:p>
        </w:tc>
        <w:tc>
          <w:tcPr>
            <w:tcW w:w="851" w:type="dxa"/>
            <w:tcBorders>
              <w:top w:val="nil"/>
              <w:left w:val="single" w:sz="4" w:space="0" w:color="auto"/>
              <w:bottom w:val="single" w:sz="4" w:space="0" w:color="auto"/>
              <w:right w:val="nil"/>
            </w:tcBorders>
            <w:shd w:val="clear" w:color="auto" w:fill="auto"/>
            <w:noWrap/>
            <w:vAlign w:val="center"/>
            <w:hideMark/>
          </w:tcPr>
          <w:p w14:paraId="31C35BA8" w14:textId="77777777" w:rsidR="00387142" w:rsidRPr="008B6A75" w:rsidRDefault="00387142" w:rsidP="00387142">
            <w:pPr>
              <w:jc w:val="right"/>
              <w:rPr>
                <w:sz w:val="20"/>
                <w:szCs w:val="20"/>
              </w:rPr>
            </w:pPr>
            <w:r w:rsidRPr="008B6A75">
              <w:rPr>
                <w:sz w:val="20"/>
                <w:szCs w:val="20"/>
              </w:rPr>
              <w:t>5 531 150,00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2EA016C5" w14:textId="77777777" w:rsidR="00387142" w:rsidRPr="008B6A75" w:rsidRDefault="00387142" w:rsidP="00387142">
            <w:pPr>
              <w:jc w:val="right"/>
              <w:rPr>
                <w:sz w:val="20"/>
                <w:szCs w:val="20"/>
              </w:rPr>
            </w:pPr>
            <w:r w:rsidRPr="008B6A75">
              <w:rPr>
                <w:sz w:val="20"/>
                <w:szCs w:val="20"/>
              </w:rPr>
              <w:t>5 531 150,00</w:t>
            </w:r>
          </w:p>
        </w:tc>
      </w:tr>
      <w:tr w:rsidR="00387142" w:rsidRPr="008B6A75" w14:paraId="506C43D1" w14:textId="77777777" w:rsidTr="00387142">
        <w:trPr>
          <w:trHeight w:val="300"/>
        </w:trPr>
        <w:tc>
          <w:tcPr>
            <w:tcW w:w="272" w:type="dxa"/>
            <w:tcBorders>
              <w:top w:val="nil"/>
              <w:left w:val="nil"/>
              <w:bottom w:val="nil"/>
              <w:right w:val="single" w:sz="4" w:space="0" w:color="auto"/>
            </w:tcBorders>
            <w:shd w:val="clear" w:color="auto" w:fill="auto"/>
            <w:noWrap/>
            <w:vAlign w:val="bottom"/>
            <w:hideMark/>
          </w:tcPr>
          <w:p w14:paraId="795952A6"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72C4A363" w14:textId="77777777" w:rsidR="00387142" w:rsidRPr="008B6A75" w:rsidRDefault="00387142" w:rsidP="00387142">
            <w:pPr>
              <w:rPr>
                <w:sz w:val="20"/>
                <w:szCs w:val="20"/>
              </w:rPr>
            </w:pPr>
            <w:r w:rsidRPr="008B6A75">
              <w:rPr>
                <w:sz w:val="20"/>
                <w:szCs w:val="20"/>
              </w:rPr>
              <w:t>Иные бюджетные ассигнования</w:t>
            </w:r>
          </w:p>
        </w:tc>
        <w:tc>
          <w:tcPr>
            <w:tcW w:w="1559" w:type="dxa"/>
            <w:tcBorders>
              <w:top w:val="nil"/>
              <w:left w:val="single" w:sz="4" w:space="0" w:color="auto"/>
              <w:bottom w:val="single" w:sz="4" w:space="0" w:color="auto"/>
              <w:right w:val="nil"/>
            </w:tcBorders>
            <w:shd w:val="clear" w:color="auto" w:fill="auto"/>
            <w:noWrap/>
            <w:vAlign w:val="center"/>
            <w:hideMark/>
          </w:tcPr>
          <w:p w14:paraId="7CBCFB2E" w14:textId="77777777" w:rsidR="00387142" w:rsidRPr="008B6A75" w:rsidRDefault="00387142" w:rsidP="00387142">
            <w:pPr>
              <w:jc w:val="center"/>
              <w:rPr>
                <w:sz w:val="20"/>
                <w:szCs w:val="20"/>
              </w:rPr>
            </w:pPr>
            <w:r w:rsidRPr="008B6A75">
              <w:rPr>
                <w:sz w:val="20"/>
                <w:szCs w:val="20"/>
              </w:rPr>
              <w:t>07.1.00.07390</w:t>
            </w:r>
          </w:p>
        </w:tc>
        <w:tc>
          <w:tcPr>
            <w:tcW w:w="850" w:type="dxa"/>
            <w:tcBorders>
              <w:top w:val="nil"/>
              <w:left w:val="single" w:sz="4" w:space="0" w:color="auto"/>
              <w:bottom w:val="single" w:sz="4" w:space="0" w:color="auto"/>
              <w:right w:val="nil"/>
            </w:tcBorders>
            <w:shd w:val="clear" w:color="auto" w:fill="auto"/>
            <w:noWrap/>
            <w:vAlign w:val="center"/>
            <w:hideMark/>
          </w:tcPr>
          <w:p w14:paraId="78FD1B67" w14:textId="77777777" w:rsidR="00387142" w:rsidRPr="008B6A75" w:rsidRDefault="00387142" w:rsidP="00387142">
            <w:pPr>
              <w:jc w:val="center"/>
              <w:rPr>
                <w:sz w:val="20"/>
                <w:szCs w:val="20"/>
              </w:rPr>
            </w:pPr>
            <w:r w:rsidRPr="008B6A75">
              <w:rPr>
                <w:sz w:val="20"/>
                <w:szCs w:val="20"/>
              </w:rPr>
              <w:t>800</w:t>
            </w:r>
          </w:p>
        </w:tc>
        <w:tc>
          <w:tcPr>
            <w:tcW w:w="567" w:type="dxa"/>
            <w:tcBorders>
              <w:top w:val="nil"/>
              <w:left w:val="single" w:sz="4" w:space="0" w:color="auto"/>
              <w:bottom w:val="single" w:sz="4" w:space="0" w:color="auto"/>
              <w:right w:val="nil"/>
            </w:tcBorders>
            <w:shd w:val="clear" w:color="auto" w:fill="auto"/>
            <w:noWrap/>
            <w:vAlign w:val="center"/>
            <w:hideMark/>
          </w:tcPr>
          <w:p w14:paraId="21113CD3" w14:textId="77777777" w:rsidR="00387142" w:rsidRPr="008B6A75" w:rsidRDefault="00387142" w:rsidP="00387142">
            <w:pPr>
              <w:jc w:val="center"/>
              <w:rPr>
                <w:sz w:val="20"/>
                <w:szCs w:val="20"/>
              </w:rPr>
            </w:pPr>
            <w:r w:rsidRPr="008B6A75">
              <w:rPr>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2D572E9D" w14:textId="77777777" w:rsidR="00387142" w:rsidRPr="008B6A75" w:rsidRDefault="00387142" w:rsidP="00387142">
            <w:pPr>
              <w:jc w:val="center"/>
              <w:rPr>
                <w:sz w:val="20"/>
                <w:szCs w:val="20"/>
              </w:rPr>
            </w:pPr>
            <w:r w:rsidRPr="008B6A75">
              <w:rPr>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4A40D36" w14:textId="77777777" w:rsidR="00387142" w:rsidRPr="008B6A75" w:rsidRDefault="00387142" w:rsidP="00387142">
            <w:pPr>
              <w:jc w:val="right"/>
              <w:rPr>
                <w:sz w:val="20"/>
                <w:szCs w:val="20"/>
              </w:rPr>
            </w:pPr>
            <w:r w:rsidRPr="008B6A75">
              <w:rPr>
                <w:sz w:val="20"/>
                <w:szCs w:val="20"/>
              </w:rPr>
              <w:t>825 119,04</w:t>
            </w:r>
          </w:p>
        </w:tc>
        <w:tc>
          <w:tcPr>
            <w:tcW w:w="851" w:type="dxa"/>
            <w:tcBorders>
              <w:top w:val="nil"/>
              <w:left w:val="single" w:sz="4" w:space="0" w:color="auto"/>
              <w:bottom w:val="single" w:sz="4" w:space="0" w:color="auto"/>
              <w:right w:val="nil"/>
            </w:tcBorders>
            <w:shd w:val="clear" w:color="auto" w:fill="auto"/>
            <w:noWrap/>
            <w:vAlign w:val="center"/>
            <w:hideMark/>
          </w:tcPr>
          <w:p w14:paraId="249B91BB" w14:textId="77777777" w:rsidR="00387142" w:rsidRPr="008B6A75" w:rsidRDefault="00387142" w:rsidP="00387142">
            <w:pPr>
              <w:jc w:val="right"/>
              <w:rPr>
                <w:sz w:val="20"/>
                <w:szCs w:val="20"/>
              </w:rPr>
            </w:pPr>
            <w:r w:rsidRPr="008B6A75">
              <w:rPr>
                <w:sz w:val="20"/>
                <w:szCs w:val="20"/>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7F3286DA" w14:textId="77777777" w:rsidR="00387142" w:rsidRPr="008B6A75" w:rsidRDefault="00387142" w:rsidP="00387142">
            <w:pPr>
              <w:jc w:val="right"/>
              <w:rPr>
                <w:sz w:val="20"/>
                <w:szCs w:val="20"/>
              </w:rPr>
            </w:pPr>
            <w:r w:rsidRPr="008B6A75">
              <w:rPr>
                <w:sz w:val="20"/>
                <w:szCs w:val="20"/>
              </w:rPr>
              <w:t>0,00</w:t>
            </w:r>
          </w:p>
        </w:tc>
      </w:tr>
      <w:tr w:rsidR="00387142" w:rsidRPr="008B6A75" w14:paraId="3A977261" w14:textId="77777777" w:rsidTr="00387142">
        <w:trPr>
          <w:trHeight w:val="300"/>
        </w:trPr>
        <w:tc>
          <w:tcPr>
            <w:tcW w:w="272" w:type="dxa"/>
            <w:tcBorders>
              <w:top w:val="nil"/>
              <w:left w:val="nil"/>
              <w:bottom w:val="nil"/>
              <w:right w:val="single" w:sz="4" w:space="0" w:color="auto"/>
            </w:tcBorders>
            <w:shd w:val="clear" w:color="auto" w:fill="auto"/>
            <w:noWrap/>
            <w:vAlign w:val="bottom"/>
            <w:hideMark/>
          </w:tcPr>
          <w:p w14:paraId="6472950C"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1ACCCB52" w14:textId="77777777" w:rsidR="00387142" w:rsidRPr="008B6A75" w:rsidRDefault="00387142" w:rsidP="00387142">
            <w:pPr>
              <w:rPr>
                <w:sz w:val="20"/>
                <w:szCs w:val="20"/>
              </w:rPr>
            </w:pPr>
            <w:r w:rsidRPr="008B6A75">
              <w:rPr>
                <w:sz w:val="20"/>
                <w:szCs w:val="20"/>
              </w:rPr>
              <w:t>Уплата налогов, сборов и иных платежей</w:t>
            </w:r>
          </w:p>
        </w:tc>
        <w:tc>
          <w:tcPr>
            <w:tcW w:w="1559" w:type="dxa"/>
            <w:tcBorders>
              <w:top w:val="nil"/>
              <w:left w:val="single" w:sz="4" w:space="0" w:color="auto"/>
              <w:bottom w:val="single" w:sz="4" w:space="0" w:color="auto"/>
              <w:right w:val="nil"/>
            </w:tcBorders>
            <w:shd w:val="clear" w:color="auto" w:fill="auto"/>
            <w:noWrap/>
            <w:vAlign w:val="center"/>
            <w:hideMark/>
          </w:tcPr>
          <w:p w14:paraId="3DA0DA16" w14:textId="77777777" w:rsidR="00387142" w:rsidRPr="008B6A75" w:rsidRDefault="00387142" w:rsidP="00387142">
            <w:pPr>
              <w:jc w:val="center"/>
              <w:rPr>
                <w:sz w:val="20"/>
                <w:szCs w:val="20"/>
              </w:rPr>
            </w:pPr>
            <w:r w:rsidRPr="008B6A75">
              <w:rPr>
                <w:sz w:val="20"/>
                <w:szCs w:val="20"/>
              </w:rPr>
              <w:t>07.1.00.07390</w:t>
            </w:r>
          </w:p>
        </w:tc>
        <w:tc>
          <w:tcPr>
            <w:tcW w:w="850" w:type="dxa"/>
            <w:tcBorders>
              <w:top w:val="nil"/>
              <w:left w:val="single" w:sz="4" w:space="0" w:color="auto"/>
              <w:bottom w:val="single" w:sz="4" w:space="0" w:color="auto"/>
              <w:right w:val="nil"/>
            </w:tcBorders>
            <w:shd w:val="clear" w:color="auto" w:fill="auto"/>
            <w:noWrap/>
            <w:vAlign w:val="center"/>
            <w:hideMark/>
          </w:tcPr>
          <w:p w14:paraId="5EDB5AE7" w14:textId="77777777" w:rsidR="00387142" w:rsidRPr="008B6A75" w:rsidRDefault="00387142" w:rsidP="00387142">
            <w:pPr>
              <w:jc w:val="center"/>
              <w:rPr>
                <w:sz w:val="20"/>
                <w:szCs w:val="20"/>
              </w:rPr>
            </w:pPr>
            <w:r w:rsidRPr="008B6A75">
              <w:rPr>
                <w:sz w:val="20"/>
                <w:szCs w:val="20"/>
              </w:rPr>
              <w:t>850</w:t>
            </w:r>
          </w:p>
        </w:tc>
        <w:tc>
          <w:tcPr>
            <w:tcW w:w="567" w:type="dxa"/>
            <w:tcBorders>
              <w:top w:val="nil"/>
              <w:left w:val="single" w:sz="4" w:space="0" w:color="auto"/>
              <w:bottom w:val="single" w:sz="4" w:space="0" w:color="auto"/>
              <w:right w:val="nil"/>
            </w:tcBorders>
            <w:shd w:val="clear" w:color="auto" w:fill="auto"/>
            <w:noWrap/>
            <w:vAlign w:val="center"/>
            <w:hideMark/>
          </w:tcPr>
          <w:p w14:paraId="203B32C0" w14:textId="77777777" w:rsidR="00387142" w:rsidRPr="008B6A75" w:rsidRDefault="00387142" w:rsidP="00387142">
            <w:pPr>
              <w:jc w:val="center"/>
              <w:rPr>
                <w:sz w:val="20"/>
                <w:szCs w:val="20"/>
              </w:rPr>
            </w:pPr>
            <w:r w:rsidRPr="008B6A75">
              <w:rPr>
                <w:sz w:val="20"/>
                <w:szCs w:val="20"/>
              </w:rPr>
              <w:t>07</w:t>
            </w:r>
          </w:p>
        </w:tc>
        <w:tc>
          <w:tcPr>
            <w:tcW w:w="567" w:type="dxa"/>
            <w:tcBorders>
              <w:top w:val="nil"/>
              <w:left w:val="single" w:sz="4" w:space="0" w:color="auto"/>
              <w:bottom w:val="single" w:sz="4" w:space="0" w:color="auto"/>
              <w:right w:val="nil"/>
            </w:tcBorders>
            <w:shd w:val="clear" w:color="auto" w:fill="auto"/>
            <w:noWrap/>
            <w:vAlign w:val="center"/>
            <w:hideMark/>
          </w:tcPr>
          <w:p w14:paraId="1A16B9A2" w14:textId="77777777" w:rsidR="00387142" w:rsidRPr="008B6A75" w:rsidRDefault="00387142" w:rsidP="00387142">
            <w:pPr>
              <w:jc w:val="center"/>
              <w:rPr>
                <w:sz w:val="20"/>
                <w:szCs w:val="20"/>
              </w:rPr>
            </w:pPr>
            <w:r w:rsidRPr="008B6A75">
              <w:rPr>
                <w:sz w:val="20"/>
                <w:szCs w:val="20"/>
              </w:rPr>
              <w:t>02</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4DC3312" w14:textId="77777777" w:rsidR="00387142" w:rsidRPr="008B6A75" w:rsidRDefault="00387142" w:rsidP="00387142">
            <w:pPr>
              <w:jc w:val="right"/>
              <w:rPr>
                <w:sz w:val="20"/>
                <w:szCs w:val="20"/>
              </w:rPr>
            </w:pPr>
            <w:r w:rsidRPr="008B6A75">
              <w:rPr>
                <w:sz w:val="20"/>
                <w:szCs w:val="20"/>
              </w:rPr>
              <w:t>825 119,04</w:t>
            </w:r>
          </w:p>
        </w:tc>
        <w:tc>
          <w:tcPr>
            <w:tcW w:w="851" w:type="dxa"/>
            <w:tcBorders>
              <w:top w:val="nil"/>
              <w:left w:val="single" w:sz="4" w:space="0" w:color="auto"/>
              <w:bottom w:val="single" w:sz="4" w:space="0" w:color="auto"/>
              <w:right w:val="nil"/>
            </w:tcBorders>
            <w:shd w:val="clear" w:color="auto" w:fill="auto"/>
            <w:noWrap/>
            <w:vAlign w:val="center"/>
            <w:hideMark/>
          </w:tcPr>
          <w:p w14:paraId="3EA034B9" w14:textId="77777777" w:rsidR="00387142" w:rsidRPr="008B6A75" w:rsidRDefault="00387142" w:rsidP="00387142">
            <w:pPr>
              <w:jc w:val="right"/>
              <w:rPr>
                <w:sz w:val="20"/>
                <w:szCs w:val="20"/>
              </w:rPr>
            </w:pPr>
            <w:r w:rsidRPr="008B6A75">
              <w:rPr>
                <w:sz w:val="20"/>
                <w:szCs w:val="20"/>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2313685D" w14:textId="77777777" w:rsidR="00387142" w:rsidRPr="008B6A75" w:rsidRDefault="00387142" w:rsidP="00387142">
            <w:pPr>
              <w:jc w:val="right"/>
              <w:rPr>
                <w:sz w:val="20"/>
                <w:szCs w:val="20"/>
              </w:rPr>
            </w:pPr>
            <w:r w:rsidRPr="008B6A75">
              <w:rPr>
                <w:sz w:val="20"/>
                <w:szCs w:val="20"/>
              </w:rPr>
              <w:t>0,00</w:t>
            </w:r>
          </w:p>
        </w:tc>
      </w:tr>
      <w:tr w:rsidR="00387142" w:rsidRPr="008B6A75" w14:paraId="4064E9FA" w14:textId="77777777" w:rsidTr="00387142">
        <w:trPr>
          <w:trHeight w:val="870"/>
        </w:trPr>
        <w:tc>
          <w:tcPr>
            <w:tcW w:w="272" w:type="dxa"/>
            <w:tcBorders>
              <w:top w:val="nil"/>
              <w:left w:val="nil"/>
              <w:bottom w:val="nil"/>
              <w:right w:val="single" w:sz="4" w:space="0" w:color="auto"/>
            </w:tcBorders>
            <w:shd w:val="clear" w:color="auto" w:fill="auto"/>
            <w:noWrap/>
            <w:vAlign w:val="bottom"/>
            <w:hideMark/>
          </w:tcPr>
          <w:p w14:paraId="5F0BCEB9"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63068717" w14:textId="77777777" w:rsidR="00387142" w:rsidRPr="008B6A75" w:rsidRDefault="00387142" w:rsidP="00387142">
            <w:pPr>
              <w:rPr>
                <w:bCs/>
                <w:sz w:val="20"/>
                <w:szCs w:val="20"/>
              </w:rPr>
            </w:pPr>
            <w:r w:rsidRPr="008B6A75">
              <w:rPr>
                <w:bCs/>
                <w:sz w:val="20"/>
                <w:szCs w:val="20"/>
              </w:rPr>
              <w:t>Расходы на обеспечение деятельности (оказание услуг) муниципальных учреждений дополнительного образования</w:t>
            </w:r>
          </w:p>
        </w:tc>
        <w:tc>
          <w:tcPr>
            <w:tcW w:w="1559" w:type="dxa"/>
            <w:tcBorders>
              <w:top w:val="nil"/>
              <w:left w:val="single" w:sz="4" w:space="0" w:color="auto"/>
              <w:bottom w:val="single" w:sz="4" w:space="0" w:color="auto"/>
              <w:right w:val="nil"/>
            </w:tcBorders>
            <w:shd w:val="clear" w:color="auto" w:fill="auto"/>
            <w:noWrap/>
            <w:vAlign w:val="center"/>
            <w:hideMark/>
          </w:tcPr>
          <w:p w14:paraId="0C796F2D" w14:textId="77777777" w:rsidR="00387142" w:rsidRPr="008B6A75" w:rsidRDefault="00387142" w:rsidP="00387142">
            <w:pPr>
              <w:jc w:val="center"/>
              <w:rPr>
                <w:bCs/>
                <w:sz w:val="20"/>
                <w:szCs w:val="20"/>
              </w:rPr>
            </w:pPr>
            <w:r w:rsidRPr="008B6A75">
              <w:rPr>
                <w:bCs/>
                <w:sz w:val="20"/>
                <w:szCs w:val="20"/>
              </w:rPr>
              <w:t>07.1.00.07490</w:t>
            </w:r>
          </w:p>
        </w:tc>
        <w:tc>
          <w:tcPr>
            <w:tcW w:w="850" w:type="dxa"/>
            <w:tcBorders>
              <w:top w:val="nil"/>
              <w:left w:val="single" w:sz="4" w:space="0" w:color="auto"/>
              <w:bottom w:val="single" w:sz="4" w:space="0" w:color="auto"/>
              <w:right w:val="nil"/>
            </w:tcBorders>
            <w:shd w:val="clear" w:color="auto" w:fill="auto"/>
            <w:noWrap/>
            <w:vAlign w:val="center"/>
            <w:hideMark/>
          </w:tcPr>
          <w:p w14:paraId="29AAC174" w14:textId="77777777" w:rsidR="00387142" w:rsidRPr="008B6A75" w:rsidRDefault="00387142" w:rsidP="00387142">
            <w:pPr>
              <w:jc w:val="center"/>
              <w:rPr>
                <w:bCs/>
                <w:sz w:val="20"/>
                <w:szCs w:val="20"/>
              </w:rPr>
            </w:pPr>
            <w:r w:rsidRPr="008B6A75">
              <w:rPr>
                <w:bCs/>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16CC4A26" w14:textId="77777777" w:rsidR="00387142" w:rsidRPr="008B6A75" w:rsidRDefault="00387142" w:rsidP="00387142">
            <w:pPr>
              <w:jc w:val="center"/>
              <w:rPr>
                <w:bCs/>
                <w:sz w:val="20"/>
                <w:szCs w:val="20"/>
              </w:rPr>
            </w:pPr>
            <w:r w:rsidRPr="008B6A75">
              <w:rPr>
                <w:bCs/>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36454076" w14:textId="77777777" w:rsidR="00387142" w:rsidRPr="008B6A75" w:rsidRDefault="00387142" w:rsidP="00387142">
            <w:pPr>
              <w:jc w:val="center"/>
              <w:rPr>
                <w:bCs/>
                <w:sz w:val="20"/>
                <w:szCs w:val="20"/>
              </w:rPr>
            </w:pPr>
            <w:r w:rsidRPr="008B6A75">
              <w:rPr>
                <w:bCs/>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9C6D299" w14:textId="77777777" w:rsidR="00387142" w:rsidRPr="008B6A75" w:rsidRDefault="00387142" w:rsidP="00387142">
            <w:pPr>
              <w:jc w:val="right"/>
              <w:rPr>
                <w:bCs/>
                <w:sz w:val="20"/>
                <w:szCs w:val="20"/>
              </w:rPr>
            </w:pPr>
            <w:r w:rsidRPr="008B6A75">
              <w:rPr>
                <w:bCs/>
                <w:sz w:val="20"/>
                <w:szCs w:val="20"/>
              </w:rPr>
              <w:t>42 506 109,19</w:t>
            </w:r>
          </w:p>
        </w:tc>
        <w:tc>
          <w:tcPr>
            <w:tcW w:w="851" w:type="dxa"/>
            <w:tcBorders>
              <w:top w:val="nil"/>
              <w:left w:val="single" w:sz="4" w:space="0" w:color="auto"/>
              <w:bottom w:val="single" w:sz="4" w:space="0" w:color="auto"/>
              <w:right w:val="nil"/>
            </w:tcBorders>
            <w:shd w:val="clear" w:color="auto" w:fill="auto"/>
            <w:noWrap/>
            <w:vAlign w:val="center"/>
            <w:hideMark/>
          </w:tcPr>
          <w:p w14:paraId="7B8A085A" w14:textId="77777777" w:rsidR="00387142" w:rsidRPr="008B6A75" w:rsidRDefault="00387142" w:rsidP="00387142">
            <w:pPr>
              <w:jc w:val="right"/>
              <w:rPr>
                <w:bCs/>
                <w:sz w:val="20"/>
                <w:szCs w:val="20"/>
              </w:rPr>
            </w:pPr>
            <w:r w:rsidRPr="008B6A75">
              <w:rPr>
                <w:bCs/>
                <w:sz w:val="20"/>
                <w:szCs w:val="20"/>
              </w:rPr>
              <w:t>50 473 391,00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796F5D8D" w14:textId="77777777" w:rsidR="00387142" w:rsidRPr="008B6A75" w:rsidRDefault="00387142" w:rsidP="00387142">
            <w:pPr>
              <w:jc w:val="right"/>
              <w:rPr>
                <w:bCs/>
                <w:sz w:val="20"/>
                <w:szCs w:val="20"/>
              </w:rPr>
            </w:pPr>
            <w:r w:rsidRPr="008B6A75">
              <w:rPr>
                <w:bCs/>
                <w:sz w:val="20"/>
                <w:szCs w:val="20"/>
              </w:rPr>
              <w:t>49 830 500,00</w:t>
            </w:r>
          </w:p>
        </w:tc>
      </w:tr>
      <w:tr w:rsidR="00387142" w:rsidRPr="008B6A75" w14:paraId="66A5DB3E" w14:textId="77777777" w:rsidTr="00387142">
        <w:trPr>
          <w:trHeight w:val="1440"/>
        </w:trPr>
        <w:tc>
          <w:tcPr>
            <w:tcW w:w="272" w:type="dxa"/>
            <w:tcBorders>
              <w:top w:val="nil"/>
              <w:left w:val="nil"/>
              <w:bottom w:val="nil"/>
              <w:right w:val="single" w:sz="4" w:space="0" w:color="auto"/>
            </w:tcBorders>
            <w:shd w:val="clear" w:color="auto" w:fill="auto"/>
            <w:noWrap/>
            <w:vAlign w:val="bottom"/>
            <w:hideMark/>
          </w:tcPr>
          <w:p w14:paraId="7A70EA1E"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58D279FB" w14:textId="77777777" w:rsidR="00387142" w:rsidRPr="008B6A75" w:rsidRDefault="00387142" w:rsidP="00387142">
            <w:pPr>
              <w:rPr>
                <w:sz w:val="20"/>
                <w:szCs w:val="20"/>
              </w:rPr>
            </w:pPr>
            <w:r w:rsidRPr="008B6A7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single" w:sz="4" w:space="0" w:color="auto"/>
              <w:bottom w:val="single" w:sz="4" w:space="0" w:color="auto"/>
              <w:right w:val="nil"/>
            </w:tcBorders>
            <w:shd w:val="clear" w:color="auto" w:fill="auto"/>
            <w:noWrap/>
            <w:vAlign w:val="center"/>
            <w:hideMark/>
          </w:tcPr>
          <w:p w14:paraId="1D9E8068" w14:textId="77777777" w:rsidR="00387142" w:rsidRPr="008B6A75" w:rsidRDefault="00387142" w:rsidP="00387142">
            <w:pPr>
              <w:jc w:val="center"/>
              <w:rPr>
                <w:sz w:val="20"/>
                <w:szCs w:val="20"/>
              </w:rPr>
            </w:pPr>
            <w:r w:rsidRPr="008B6A75">
              <w:rPr>
                <w:sz w:val="20"/>
                <w:szCs w:val="20"/>
              </w:rPr>
              <w:t>07.1.00.07490</w:t>
            </w:r>
          </w:p>
        </w:tc>
        <w:tc>
          <w:tcPr>
            <w:tcW w:w="850" w:type="dxa"/>
            <w:tcBorders>
              <w:top w:val="nil"/>
              <w:left w:val="single" w:sz="4" w:space="0" w:color="auto"/>
              <w:bottom w:val="single" w:sz="4" w:space="0" w:color="auto"/>
              <w:right w:val="nil"/>
            </w:tcBorders>
            <w:shd w:val="clear" w:color="auto" w:fill="auto"/>
            <w:noWrap/>
            <w:vAlign w:val="center"/>
            <w:hideMark/>
          </w:tcPr>
          <w:p w14:paraId="64B0D0AC" w14:textId="77777777" w:rsidR="00387142" w:rsidRPr="008B6A75" w:rsidRDefault="00387142" w:rsidP="00387142">
            <w:pPr>
              <w:jc w:val="center"/>
              <w:rPr>
                <w:sz w:val="20"/>
                <w:szCs w:val="20"/>
              </w:rPr>
            </w:pPr>
            <w:r w:rsidRPr="008B6A75">
              <w:rPr>
                <w:sz w:val="20"/>
                <w:szCs w:val="20"/>
              </w:rPr>
              <w:t>100</w:t>
            </w:r>
          </w:p>
        </w:tc>
        <w:tc>
          <w:tcPr>
            <w:tcW w:w="567" w:type="dxa"/>
            <w:tcBorders>
              <w:top w:val="nil"/>
              <w:left w:val="single" w:sz="4" w:space="0" w:color="auto"/>
              <w:bottom w:val="single" w:sz="4" w:space="0" w:color="auto"/>
              <w:right w:val="nil"/>
            </w:tcBorders>
            <w:shd w:val="clear" w:color="auto" w:fill="auto"/>
            <w:noWrap/>
            <w:vAlign w:val="center"/>
            <w:hideMark/>
          </w:tcPr>
          <w:p w14:paraId="6E424DD8" w14:textId="77777777" w:rsidR="00387142" w:rsidRPr="008B6A75" w:rsidRDefault="00387142" w:rsidP="00387142">
            <w:pPr>
              <w:jc w:val="center"/>
              <w:rPr>
                <w:sz w:val="20"/>
                <w:szCs w:val="20"/>
              </w:rPr>
            </w:pPr>
            <w:r w:rsidRPr="008B6A75">
              <w:rPr>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00B13EE0" w14:textId="77777777" w:rsidR="00387142" w:rsidRPr="008B6A75" w:rsidRDefault="00387142" w:rsidP="00387142">
            <w:pPr>
              <w:jc w:val="center"/>
              <w:rPr>
                <w:sz w:val="20"/>
                <w:szCs w:val="20"/>
              </w:rPr>
            </w:pPr>
            <w:r w:rsidRPr="008B6A75">
              <w:rPr>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AC5BDF7" w14:textId="77777777" w:rsidR="00387142" w:rsidRPr="008B6A75" w:rsidRDefault="00387142" w:rsidP="00387142">
            <w:pPr>
              <w:jc w:val="right"/>
              <w:rPr>
                <w:sz w:val="20"/>
                <w:szCs w:val="20"/>
              </w:rPr>
            </w:pPr>
            <w:r w:rsidRPr="008B6A75">
              <w:rPr>
                <w:sz w:val="20"/>
                <w:szCs w:val="20"/>
              </w:rPr>
              <w:t>3 479 826,06</w:t>
            </w:r>
          </w:p>
        </w:tc>
        <w:tc>
          <w:tcPr>
            <w:tcW w:w="851" w:type="dxa"/>
            <w:tcBorders>
              <w:top w:val="nil"/>
              <w:left w:val="single" w:sz="4" w:space="0" w:color="auto"/>
              <w:bottom w:val="single" w:sz="4" w:space="0" w:color="auto"/>
              <w:right w:val="nil"/>
            </w:tcBorders>
            <w:shd w:val="clear" w:color="auto" w:fill="auto"/>
            <w:noWrap/>
            <w:vAlign w:val="center"/>
            <w:hideMark/>
          </w:tcPr>
          <w:p w14:paraId="7F15751C" w14:textId="77777777" w:rsidR="00387142" w:rsidRPr="008B6A75" w:rsidRDefault="00387142" w:rsidP="00387142">
            <w:pPr>
              <w:jc w:val="right"/>
              <w:rPr>
                <w:sz w:val="20"/>
                <w:szCs w:val="20"/>
              </w:rPr>
            </w:pPr>
            <w:r w:rsidRPr="008B6A75">
              <w:rPr>
                <w:sz w:val="20"/>
                <w:szCs w:val="20"/>
              </w:rPr>
              <w:t>25 000 000,00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753AAA58" w14:textId="77777777" w:rsidR="00387142" w:rsidRPr="008B6A75" w:rsidRDefault="00387142" w:rsidP="00387142">
            <w:pPr>
              <w:jc w:val="right"/>
              <w:rPr>
                <w:sz w:val="20"/>
                <w:szCs w:val="20"/>
              </w:rPr>
            </w:pPr>
            <w:r w:rsidRPr="008B6A75">
              <w:rPr>
                <w:sz w:val="20"/>
                <w:szCs w:val="20"/>
              </w:rPr>
              <w:t>24 230 500,00</w:t>
            </w:r>
          </w:p>
        </w:tc>
      </w:tr>
      <w:tr w:rsidR="00387142" w:rsidRPr="008B6A75" w14:paraId="022ECB7C" w14:textId="77777777" w:rsidTr="00387142">
        <w:trPr>
          <w:trHeight w:val="585"/>
        </w:trPr>
        <w:tc>
          <w:tcPr>
            <w:tcW w:w="272" w:type="dxa"/>
            <w:tcBorders>
              <w:top w:val="nil"/>
              <w:left w:val="nil"/>
              <w:bottom w:val="nil"/>
              <w:right w:val="single" w:sz="4" w:space="0" w:color="auto"/>
            </w:tcBorders>
            <w:shd w:val="clear" w:color="auto" w:fill="auto"/>
            <w:noWrap/>
            <w:vAlign w:val="bottom"/>
            <w:hideMark/>
          </w:tcPr>
          <w:p w14:paraId="03D8BB4F"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2C967AC0" w14:textId="77777777" w:rsidR="00387142" w:rsidRPr="008B6A75" w:rsidRDefault="00387142" w:rsidP="00387142">
            <w:pPr>
              <w:rPr>
                <w:sz w:val="20"/>
                <w:szCs w:val="20"/>
              </w:rPr>
            </w:pPr>
            <w:r w:rsidRPr="008B6A75">
              <w:rPr>
                <w:sz w:val="20"/>
                <w:szCs w:val="20"/>
              </w:rPr>
              <w:t>Расходы на выплаты персоналу казенных учреждений</w:t>
            </w:r>
          </w:p>
        </w:tc>
        <w:tc>
          <w:tcPr>
            <w:tcW w:w="1559" w:type="dxa"/>
            <w:tcBorders>
              <w:top w:val="nil"/>
              <w:left w:val="single" w:sz="4" w:space="0" w:color="auto"/>
              <w:bottom w:val="single" w:sz="4" w:space="0" w:color="auto"/>
              <w:right w:val="nil"/>
            </w:tcBorders>
            <w:shd w:val="clear" w:color="auto" w:fill="auto"/>
            <w:noWrap/>
            <w:vAlign w:val="center"/>
            <w:hideMark/>
          </w:tcPr>
          <w:p w14:paraId="23EFE24E" w14:textId="77777777" w:rsidR="00387142" w:rsidRPr="008B6A75" w:rsidRDefault="00387142" w:rsidP="00387142">
            <w:pPr>
              <w:jc w:val="center"/>
              <w:rPr>
                <w:sz w:val="20"/>
                <w:szCs w:val="20"/>
              </w:rPr>
            </w:pPr>
            <w:r w:rsidRPr="008B6A75">
              <w:rPr>
                <w:sz w:val="20"/>
                <w:szCs w:val="20"/>
              </w:rPr>
              <w:t>07.1.00.07490</w:t>
            </w:r>
          </w:p>
        </w:tc>
        <w:tc>
          <w:tcPr>
            <w:tcW w:w="850" w:type="dxa"/>
            <w:tcBorders>
              <w:top w:val="nil"/>
              <w:left w:val="single" w:sz="4" w:space="0" w:color="auto"/>
              <w:bottom w:val="single" w:sz="4" w:space="0" w:color="auto"/>
              <w:right w:val="nil"/>
            </w:tcBorders>
            <w:shd w:val="clear" w:color="auto" w:fill="auto"/>
            <w:noWrap/>
            <w:vAlign w:val="center"/>
            <w:hideMark/>
          </w:tcPr>
          <w:p w14:paraId="44C999E9" w14:textId="77777777" w:rsidR="00387142" w:rsidRPr="008B6A75" w:rsidRDefault="00387142" w:rsidP="00387142">
            <w:pPr>
              <w:jc w:val="center"/>
              <w:rPr>
                <w:sz w:val="20"/>
                <w:szCs w:val="20"/>
              </w:rPr>
            </w:pPr>
            <w:r w:rsidRPr="008B6A75">
              <w:rPr>
                <w:sz w:val="20"/>
                <w:szCs w:val="20"/>
              </w:rPr>
              <w:t>110</w:t>
            </w:r>
          </w:p>
        </w:tc>
        <w:tc>
          <w:tcPr>
            <w:tcW w:w="567" w:type="dxa"/>
            <w:tcBorders>
              <w:top w:val="nil"/>
              <w:left w:val="single" w:sz="4" w:space="0" w:color="auto"/>
              <w:bottom w:val="single" w:sz="4" w:space="0" w:color="auto"/>
              <w:right w:val="nil"/>
            </w:tcBorders>
            <w:shd w:val="clear" w:color="auto" w:fill="auto"/>
            <w:noWrap/>
            <w:vAlign w:val="center"/>
            <w:hideMark/>
          </w:tcPr>
          <w:p w14:paraId="052255BE" w14:textId="77777777" w:rsidR="00387142" w:rsidRPr="008B6A75" w:rsidRDefault="00387142" w:rsidP="00387142">
            <w:pPr>
              <w:jc w:val="center"/>
              <w:rPr>
                <w:sz w:val="20"/>
                <w:szCs w:val="20"/>
              </w:rPr>
            </w:pPr>
            <w:r w:rsidRPr="008B6A75">
              <w:rPr>
                <w:sz w:val="20"/>
                <w:szCs w:val="20"/>
              </w:rPr>
              <w:t>07</w:t>
            </w:r>
          </w:p>
        </w:tc>
        <w:tc>
          <w:tcPr>
            <w:tcW w:w="567" w:type="dxa"/>
            <w:tcBorders>
              <w:top w:val="nil"/>
              <w:left w:val="single" w:sz="4" w:space="0" w:color="auto"/>
              <w:bottom w:val="single" w:sz="4" w:space="0" w:color="auto"/>
              <w:right w:val="nil"/>
            </w:tcBorders>
            <w:shd w:val="clear" w:color="auto" w:fill="auto"/>
            <w:noWrap/>
            <w:vAlign w:val="center"/>
            <w:hideMark/>
          </w:tcPr>
          <w:p w14:paraId="11400230" w14:textId="77777777" w:rsidR="00387142" w:rsidRPr="008B6A75" w:rsidRDefault="00387142" w:rsidP="00387142">
            <w:pPr>
              <w:jc w:val="center"/>
              <w:rPr>
                <w:sz w:val="20"/>
                <w:szCs w:val="20"/>
              </w:rPr>
            </w:pPr>
            <w:r w:rsidRPr="008B6A75">
              <w:rPr>
                <w:sz w:val="20"/>
                <w:szCs w:val="20"/>
              </w:rPr>
              <w:t>01</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FA0ACB3" w14:textId="77777777" w:rsidR="00387142" w:rsidRPr="008B6A75" w:rsidRDefault="00387142" w:rsidP="00387142">
            <w:pPr>
              <w:jc w:val="right"/>
              <w:rPr>
                <w:sz w:val="20"/>
                <w:szCs w:val="20"/>
              </w:rPr>
            </w:pPr>
            <w:r w:rsidRPr="008B6A75">
              <w:rPr>
                <w:sz w:val="20"/>
                <w:szCs w:val="20"/>
              </w:rPr>
              <w:t>1 985 433,71</w:t>
            </w:r>
          </w:p>
        </w:tc>
        <w:tc>
          <w:tcPr>
            <w:tcW w:w="851" w:type="dxa"/>
            <w:tcBorders>
              <w:top w:val="nil"/>
              <w:left w:val="single" w:sz="4" w:space="0" w:color="auto"/>
              <w:bottom w:val="single" w:sz="4" w:space="0" w:color="auto"/>
              <w:right w:val="nil"/>
            </w:tcBorders>
            <w:shd w:val="clear" w:color="auto" w:fill="auto"/>
            <w:noWrap/>
            <w:vAlign w:val="center"/>
            <w:hideMark/>
          </w:tcPr>
          <w:p w14:paraId="320E30E3" w14:textId="77777777" w:rsidR="00387142" w:rsidRPr="008B6A75" w:rsidRDefault="00387142" w:rsidP="00387142">
            <w:pPr>
              <w:jc w:val="right"/>
              <w:rPr>
                <w:sz w:val="20"/>
                <w:szCs w:val="20"/>
              </w:rPr>
            </w:pPr>
            <w:r w:rsidRPr="008B6A75">
              <w:rPr>
                <w:sz w:val="20"/>
                <w:szCs w:val="20"/>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6576307B" w14:textId="77777777" w:rsidR="00387142" w:rsidRPr="008B6A75" w:rsidRDefault="00387142" w:rsidP="00387142">
            <w:pPr>
              <w:jc w:val="right"/>
              <w:rPr>
                <w:sz w:val="20"/>
                <w:szCs w:val="20"/>
              </w:rPr>
            </w:pPr>
            <w:r w:rsidRPr="008B6A75">
              <w:rPr>
                <w:sz w:val="20"/>
                <w:szCs w:val="20"/>
              </w:rPr>
              <w:t>0,00</w:t>
            </w:r>
          </w:p>
        </w:tc>
      </w:tr>
      <w:tr w:rsidR="00387142" w:rsidRPr="008B6A75" w14:paraId="28F1C807" w14:textId="77777777" w:rsidTr="00387142">
        <w:trPr>
          <w:trHeight w:val="585"/>
        </w:trPr>
        <w:tc>
          <w:tcPr>
            <w:tcW w:w="272" w:type="dxa"/>
            <w:tcBorders>
              <w:top w:val="nil"/>
              <w:left w:val="nil"/>
              <w:bottom w:val="nil"/>
              <w:right w:val="single" w:sz="4" w:space="0" w:color="auto"/>
            </w:tcBorders>
            <w:shd w:val="clear" w:color="auto" w:fill="auto"/>
            <w:noWrap/>
            <w:vAlign w:val="bottom"/>
            <w:hideMark/>
          </w:tcPr>
          <w:p w14:paraId="5840FDA2"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504F026D" w14:textId="77777777" w:rsidR="00387142" w:rsidRPr="008B6A75" w:rsidRDefault="00387142" w:rsidP="00387142">
            <w:pPr>
              <w:rPr>
                <w:sz w:val="20"/>
                <w:szCs w:val="20"/>
              </w:rPr>
            </w:pPr>
            <w:r w:rsidRPr="008B6A75">
              <w:rPr>
                <w:sz w:val="20"/>
                <w:szCs w:val="20"/>
              </w:rPr>
              <w:t>Расходы на выплаты персоналу казенных учреждений</w:t>
            </w:r>
          </w:p>
        </w:tc>
        <w:tc>
          <w:tcPr>
            <w:tcW w:w="1559" w:type="dxa"/>
            <w:tcBorders>
              <w:top w:val="nil"/>
              <w:left w:val="single" w:sz="4" w:space="0" w:color="auto"/>
              <w:bottom w:val="single" w:sz="4" w:space="0" w:color="auto"/>
              <w:right w:val="nil"/>
            </w:tcBorders>
            <w:shd w:val="clear" w:color="auto" w:fill="auto"/>
            <w:noWrap/>
            <w:vAlign w:val="center"/>
            <w:hideMark/>
          </w:tcPr>
          <w:p w14:paraId="021CE086" w14:textId="77777777" w:rsidR="00387142" w:rsidRPr="008B6A75" w:rsidRDefault="00387142" w:rsidP="00387142">
            <w:pPr>
              <w:jc w:val="center"/>
              <w:rPr>
                <w:sz w:val="20"/>
                <w:szCs w:val="20"/>
              </w:rPr>
            </w:pPr>
            <w:r w:rsidRPr="008B6A75">
              <w:rPr>
                <w:sz w:val="20"/>
                <w:szCs w:val="20"/>
              </w:rPr>
              <w:t>07.1.00.07490</w:t>
            </w:r>
          </w:p>
        </w:tc>
        <w:tc>
          <w:tcPr>
            <w:tcW w:w="850" w:type="dxa"/>
            <w:tcBorders>
              <w:top w:val="nil"/>
              <w:left w:val="single" w:sz="4" w:space="0" w:color="auto"/>
              <w:bottom w:val="single" w:sz="4" w:space="0" w:color="auto"/>
              <w:right w:val="nil"/>
            </w:tcBorders>
            <w:shd w:val="clear" w:color="auto" w:fill="auto"/>
            <w:noWrap/>
            <w:vAlign w:val="center"/>
            <w:hideMark/>
          </w:tcPr>
          <w:p w14:paraId="28DE2EC0" w14:textId="77777777" w:rsidR="00387142" w:rsidRPr="008B6A75" w:rsidRDefault="00387142" w:rsidP="00387142">
            <w:pPr>
              <w:jc w:val="center"/>
              <w:rPr>
                <w:sz w:val="20"/>
                <w:szCs w:val="20"/>
              </w:rPr>
            </w:pPr>
            <w:r w:rsidRPr="008B6A75">
              <w:rPr>
                <w:sz w:val="20"/>
                <w:szCs w:val="20"/>
              </w:rPr>
              <w:t>110</w:t>
            </w:r>
          </w:p>
        </w:tc>
        <w:tc>
          <w:tcPr>
            <w:tcW w:w="567" w:type="dxa"/>
            <w:tcBorders>
              <w:top w:val="nil"/>
              <w:left w:val="single" w:sz="4" w:space="0" w:color="auto"/>
              <w:bottom w:val="single" w:sz="4" w:space="0" w:color="auto"/>
              <w:right w:val="nil"/>
            </w:tcBorders>
            <w:shd w:val="clear" w:color="auto" w:fill="auto"/>
            <w:noWrap/>
            <w:vAlign w:val="center"/>
            <w:hideMark/>
          </w:tcPr>
          <w:p w14:paraId="6EB44CD2" w14:textId="77777777" w:rsidR="00387142" w:rsidRPr="008B6A75" w:rsidRDefault="00387142" w:rsidP="00387142">
            <w:pPr>
              <w:jc w:val="center"/>
              <w:rPr>
                <w:sz w:val="20"/>
                <w:szCs w:val="20"/>
              </w:rPr>
            </w:pPr>
            <w:r w:rsidRPr="008B6A75">
              <w:rPr>
                <w:sz w:val="20"/>
                <w:szCs w:val="20"/>
              </w:rPr>
              <w:t>07</w:t>
            </w:r>
          </w:p>
        </w:tc>
        <w:tc>
          <w:tcPr>
            <w:tcW w:w="567" w:type="dxa"/>
            <w:tcBorders>
              <w:top w:val="nil"/>
              <w:left w:val="single" w:sz="4" w:space="0" w:color="auto"/>
              <w:bottom w:val="single" w:sz="4" w:space="0" w:color="auto"/>
              <w:right w:val="nil"/>
            </w:tcBorders>
            <w:shd w:val="clear" w:color="auto" w:fill="auto"/>
            <w:noWrap/>
            <w:vAlign w:val="center"/>
            <w:hideMark/>
          </w:tcPr>
          <w:p w14:paraId="15F419AA" w14:textId="77777777" w:rsidR="00387142" w:rsidRPr="008B6A75" w:rsidRDefault="00387142" w:rsidP="00387142">
            <w:pPr>
              <w:jc w:val="center"/>
              <w:rPr>
                <w:sz w:val="20"/>
                <w:szCs w:val="20"/>
              </w:rPr>
            </w:pPr>
            <w:r w:rsidRPr="008B6A75">
              <w:rPr>
                <w:sz w:val="20"/>
                <w:szCs w:val="20"/>
              </w:rPr>
              <w:t>02</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0894E85" w14:textId="77777777" w:rsidR="00387142" w:rsidRPr="008B6A75" w:rsidRDefault="00387142" w:rsidP="00387142">
            <w:pPr>
              <w:jc w:val="right"/>
              <w:rPr>
                <w:sz w:val="20"/>
                <w:szCs w:val="20"/>
              </w:rPr>
            </w:pPr>
            <w:r w:rsidRPr="008B6A75">
              <w:rPr>
                <w:sz w:val="20"/>
                <w:szCs w:val="20"/>
              </w:rPr>
              <w:t>1 494 392,35</w:t>
            </w:r>
          </w:p>
        </w:tc>
        <w:tc>
          <w:tcPr>
            <w:tcW w:w="851" w:type="dxa"/>
            <w:tcBorders>
              <w:top w:val="nil"/>
              <w:left w:val="single" w:sz="4" w:space="0" w:color="auto"/>
              <w:bottom w:val="single" w:sz="4" w:space="0" w:color="auto"/>
              <w:right w:val="nil"/>
            </w:tcBorders>
            <w:shd w:val="clear" w:color="auto" w:fill="auto"/>
            <w:noWrap/>
            <w:vAlign w:val="center"/>
            <w:hideMark/>
          </w:tcPr>
          <w:p w14:paraId="3E963442" w14:textId="77777777" w:rsidR="00387142" w:rsidRPr="008B6A75" w:rsidRDefault="00387142" w:rsidP="00387142">
            <w:pPr>
              <w:jc w:val="right"/>
              <w:rPr>
                <w:sz w:val="20"/>
                <w:szCs w:val="20"/>
              </w:rPr>
            </w:pPr>
            <w:r w:rsidRPr="008B6A75">
              <w:rPr>
                <w:sz w:val="20"/>
                <w:szCs w:val="20"/>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235FB00E" w14:textId="77777777" w:rsidR="00387142" w:rsidRPr="008B6A75" w:rsidRDefault="00387142" w:rsidP="00387142">
            <w:pPr>
              <w:jc w:val="right"/>
              <w:rPr>
                <w:sz w:val="20"/>
                <w:szCs w:val="20"/>
              </w:rPr>
            </w:pPr>
            <w:r w:rsidRPr="008B6A75">
              <w:rPr>
                <w:sz w:val="20"/>
                <w:szCs w:val="20"/>
              </w:rPr>
              <w:t>0,00</w:t>
            </w:r>
          </w:p>
        </w:tc>
      </w:tr>
      <w:tr w:rsidR="00387142" w:rsidRPr="008B6A75" w14:paraId="70F69AD7" w14:textId="77777777" w:rsidTr="00387142">
        <w:trPr>
          <w:trHeight w:val="585"/>
        </w:trPr>
        <w:tc>
          <w:tcPr>
            <w:tcW w:w="272" w:type="dxa"/>
            <w:tcBorders>
              <w:top w:val="nil"/>
              <w:left w:val="nil"/>
              <w:bottom w:val="nil"/>
              <w:right w:val="single" w:sz="4" w:space="0" w:color="auto"/>
            </w:tcBorders>
            <w:shd w:val="clear" w:color="auto" w:fill="auto"/>
            <w:noWrap/>
            <w:vAlign w:val="bottom"/>
            <w:hideMark/>
          </w:tcPr>
          <w:p w14:paraId="5E937E32"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5B5D3335" w14:textId="77777777" w:rsidR="00387142" w:rsidRPr="008B6A75" w:rsidRDefault="00387142" w:rsidP="00387142">
            <w:pPr>
              <w:rPr>
                <w:sz w:val="20"/>
                <w:szCs w:val="20"/>
              </w:rPr>
            </w:pPr>
            <w:r w:rsidRPr="008B6A75">
              <w:rPr>
                <w:sz w:val="20"/>
                <w:szCs w:val="20"/>
              </w:rPr>
              <w:t>Расходы на выплаты персоналу казенных учреждений</w:t>
            </w:r>
          </w:p>
        </w:tc>
        <w:tc>
          <w:tcPr>
            <w:tcW w:w="1559" w:type="dxa"/>
            <w:tcBorders>
              <w:top w:val="nil"/>
              <w:left w:val="single" w:sz="4" w:space="0" w:color="auto"/>
              <w:bottom w:val="single" w:sz="4" w:space="0" w:color="auto"/>
              <w:right w:val="nil"/>
            </w:tcBorders>
            <w:shd w:val="clear" w:color="auto" w:fill="auto"/>
            <w:noWrap/>
            <w:vAlign w:val="center"/>
            <w:hideMark/>
          </w:tcPr>
          <w:p w14:paraId="21825970" w14:textId="77777777" w:rsidR="00387142" w:rsidRPr="008B6A75" w:rsidRDefault="00387142" w:rsidP="00387142">
            <w:pPr>
              <w:jc w:val="center"/>
              <w:rPr>
                <w:sz w:val="20"/>
                <w:szCs w:val="20"/>
              </w:rPr>
            </w:pPr>
            <w:r w:rsidRPr="008B6A75">
              <w:rPr>
                <w:sz w:val="20"/>
                <w:szCs w:val="20"/>
              </w:rPr>
              <w:t>07.1.00.07490</w:t>
            </w:r>
          </w:p>
        </w:tc>
        <w:tc>
          <w:tcPr>
            <w:tcW w:w="850" w:type="dxa"/>
            <w:tcBorders>
              <w:top w:val="nil"/>
              <w:left w:val="single" w:sz="4" w:space="0" w:color="auto"/>
              <w:bottom w:val="single" w:sz="4" w:space="0" w:color="auto"/>
              <w:right w:val="nil"/>
            </w:tcBorders>
            <w:shd w:val="clear" w:color="auto" w:fill="auto"/>
            <w:noWrap/>
            <w:vAlign w:val="center"/>
            <w:hideMark/>
          </w:tcPr>
          <w:p w14:paraId="20ADE7B8" w14:textId="77777777" w:rsidR="00387142" w:rsidRPr="008B6A75" w:rsidRDefault="00387142" w:rsidP="00387142">
            <w:pPr>
              <w:jc w:val="center"/>
              <w:rPr>
                <w:sz w:val="20"/>
                <w:szCs w:val="20"/>
              </w:rPr>
            </w:pPr>
            <w:r w:rsidRPr="008B6A75">
              <w:rPr>
                <w:sz w:val="20"/>
                <w:szCs w:val="20"/>
              </w:rPr>
              <w:t>110</w:t>
            </w:r>
          </w:p>
        </w:tc>
        <w:tc>
          <w:tcPr>
            <w:tcW w:w="567" w:type="dxa"/>
            <w:tcBorders>
              <w:top w:val="nil"/>
              <w:left w:val="single" w:sz="4" w:space="0" w:color="auto"/>
              <w:bottom w:val="single" w:sz="4" w:space="0" w:color="auto"/>
              <w:right w:val="nil"/>
            </w:tcBorders>
            <w:shd w:val="clear" w:color="auto" w:fill="auto"/>
            <w:noWrap/>
            <w:vAlign w:val="center"/>
            <w:hideMark/>
          </w:tcPr>
          <w:p w14:paraId="4A9F4301" w14:textId="77777777" w:rsidR="00387142" w:rsidRPr="008B6A75" w:rsidRDefault="00387142" w:rsidP="00387142">
            <w:pPr>
              <w:jc w:val="center"/>
              <w:rPr>
                <w:sz w:val="20"/>
                <w:szCs w:val="20"/>
              </w:rPr>
            </w:pPr>
            <w:r w:rsidRPr="008B6A75">
              <w:rPr>
                <w:sz w:val="20"/>
                <w:szCs w:val="20"/>
              </w:rPr>
              <w:t>07</w:t>
            </w:r>
          </w:p>
        </w:tc>
        <w:tc>
          <w:tcPr>
            <w:tcW w:w="567" w:type="dxa"/>
            <w:tcBorders>
              <w:top w:val="nil"/>
              <w:left w:val="single" w:sz="4" w:space="0" w:color="auto"/>
              <w:bottom w:val="single" w:sz="4" w:space="0" w:color="auto"/>
              <w:right w:val="nil"/>
            </w:tcBorders>
            <w:shd w:val="clear" w:color="auto" w:fill="auto"/>
            <w:noWrap/>
            <w:vAlign w:val="center"/>
            <w:hideMark/>
          </w:tcPr>
          <w:p w14:paraId="5ADA49F0" w14:textId="77777777" w:rsidR="00387142" w:rsidRPr="008B6A75" w:rsidRDefault="00387142" w:rsidP="00387142">
            <w:pPr>
              <w:jc w:val="center"/>
              <w:rPr>
                <w:sz w:val="20"/>
                <w:szCs w:val="20"/>
              </w:rPr>
            </w:pPr>
            <w:r w:rsidRPr="008B6A75">
              <w:rPr>
                <w:sz w:val="20"/>
                <w:szCs w:val="20"/>
              </w:rPr>
              <w:t>03</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3536E75" w14:textId="77777777" w:rsidR="00387142" w:rsidRPr="008B6A75" w:rsidRDefault="00387142" w:rsidP="00387142">
            <w:pPr>
              <w:jc w:val="right"/>
              <w:rPr>
                <w:sz w:val="20"/>
                <w:szCs w:val="20"/>
              </w:rPr>
            </w:pPr>
            <w:r w:rsidRPr="008B6A75">
              <w:rPr>
                <w:sz w:val="20"/>
                <w:szCs w:val="20"/>
              </w:rPr>
              <w:t>0,00</w:t>
            </w:r>
          </w:p>
        </w:tc>
        <w:tc>
          <w:tcPr>
            <w:tcW w:w="851" w:type="dxa"/>
            <w:tcBorders>
              <w:top w:val="nil"/>
              <w:left w:val="single" w:sz="4" w:space="0" w:color="auto"/>
              <w:bottom w:val="single" w:sz="4" w:space="0" w:color="auto"/>
              <w:right w:val="nil"/>
            </w:tcBorders>
            <w:shd w:val="clear" w:color="auto" w:fill="auto"/>
            <w:noWrap/>
            <w:vAlign w:val="center"/>
            <w:hideMark/>
          </w:tcPr>
          <w:p w14:paraId="32C1320E" w14:textId="77777777" w:rsidR="00387142" w:rsidRPr="008B6A75" w:rsidRDefault="00387142" w:rsidP="00387142">
            <w:pPr>
              <w:jc w:val="right"/>
              <w:rPr>
                <w:sz w:val="20"/>
                <w:szCs w:val="20"/>
              </w:rPr>
            </w:pPr>
            <w:r w:rsidRPr="008B6A75">
              <w:rPr>
                <w:sz w:val="20"/>
                <w:szCs w:val="20"/>
              </w:rPr>
              <w:t>25 000 000,00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38AA1BBB" w14:textId="77777777" w:rsidR="00387142" w:rsidRPr="008B6A75" w:rsidRDefault="00387142" w:rsidP="00387142">
            <w:pPr>
              <w:jc w:val="right"/>
              <w:rPr>
                <w:sz w:val="20"/>
                <w:szCs w:val="20"/>
              </w:rPr>
            </w:pPr>
            <w:r w:rsidRPr="008B6A75">
              <w:rPr>
                <w:sz w:val="20"/>
                <w:szCs w:val="20"/>
              </w:rPr>
              <w:t>24 230 500,00</w:t>
            </w:r>
          </w:p>
        </w:tc>
      </w:tr>
      <w:tr w:rsidR="00387142" w:rsidRPr="008B6A75" w14:paraId="62709EA9" w14:textId="77777777" w:rsidTr="00387142">
        <w:trPr>
          <w:trHeight w:val="585"/>
        </w:trPr>
        <w:tc>
          <w:tcPr>
            <w:tcW w:w="272" w:type="dxa"/>
            <w:tcBorders>
              <w:top w:val="nil"/>
              <w:left w:val="nil"/>
              <w:bottom w:val="nil"/>
              <w:right w:val="single" w:sz="4" w:space="0" w:color="auto"/>
            </w:tcBorders>
            <w:shd w:val="clear" w:color="auto" w:fill="auto"/>
            <w:noWrap/>
            <w:vAlign w:val="bottom"/>
            <w:hideMark/>
          </w:tcPr>
          <w:p w14:paraId="3F9F1601"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551BED6B" w14:textId="77777777" w:rsidR="00387142" w:rsidRPr="008B6A75" w:rsidRDefault="00387142" w:rsidP="00387142">
            <w:pPr>
              <w:rPr>
                <w:sz w:val="20"/>
                <w:szCs w:val="20"/>
              </w:rPr>
            </w:pPr>
            <w:r w:rsidRPr="008B6A75">
              <w:rPr>
                <w:sz w:val="20"/>
                <w:szCs w:val="20"/>
              </w:rPr>
              <w:t>Закупка товаров, работ и услуг для обеспечения государственных (муниципальных) нужд</w:t>
            </w:r>
          </w:p>
        </w:tc>
        <w:tc>
          <w:tcPr>
            <w:tcW w:w="1559" w:type="dxa"/>
            <w:tcBorders>
              <w:top w:val="nil"/>
              <w:left w:val="single" w:sz="4" w:space="0" w:color="auto"/>
              <w:bottom w:val="single" w:sz="4" w:space="0" w:color="auto"/>
              <w:right w:val="nil"/>
            </w:tcBorders>
            <w:shd w:val="clear" w:color="auto" w:fill="auto"/>
            <w:noWrap/>
            <w:vAlign w:val="center"/>
            <w:hideMark/>
          </w:tcPr>
          <w:p w14:paraId="2B6FFF88" w14:textId="77777777" w:rsidR="00387142" w:rsidRPr="008B6A75" w:rsidRDefault="00387142" w:rsidP="00387142">
            <w:pPr>
              <w:jc w:val="center"/>
              <w:rPr>
                <w:sz w:val="20"/>
                <w:szCs w:val="20"/>
              </w:rPr>
            </w:pPr>
            <w:r w:rsidRPr="008B6A75">
              <w:rPr>
                <w:sz w:val="20"/>
                <w:szCs w:val="20"/>
              </w:rPr>
              <w:t>07.1.00.07490</w:t>
            </w:r>
          </w:p>
        </w:tc>
        <w:tc>
          <w:tcPr>
            <w:tcW w:w="850" w:type="dxa"/>
            <w:tcBorders>
              <w:top w:val="nil"/>
              <w:left w:val="single" w:sz="4" w:space="0" w:color="auto"/>
              <w:bottom w:val="single" w:sz="4" w:space="0" w:color="auto"/>
              <w:right w:val="nil"/>
            </w:tcBorders>
            <w:shd w:val="clear" w:color="auto" w:fill="auto"/>
            <w:noWrap/>
            <w:vAlign w:val="center"/>
            <w:hideMark/>
          </w:tcPr>
          <w:p w14:paraId="02AAE033" w14:textId="77777777" w:rsidR="00387142" w:rsidRPr="008B6A75" w:rsidRDefault="00387142" w:rsidP="00387142">
            <w:pPr>
              <w:jc w:val="center"/>
              <w:rPr>
                <w:sz w:val="20"/>
                <w:szCs w:val="20"/>
              </w:rPr>
            </w:pPr>
            <w:r w:rsidRPr="008B6A75">
              <w:rPr>
                <w:sz w:val="20"/>
                <w:szCs w:val="20"/>
              </w:rPr>
              <w:t>200</w:t>
            </w:r>
          </w:p>
        </w:tc>
        <w:tc>
          <w:tcPr>
            <w:tcW w:w="567" w:type="dxa"/>
            <w:tcBorders>
              <w:top w:val="nil"/>
              <w:left w:val="single" w:sz="4" w:space="0" w:color="auto"/>
              <w:bottom w:val="single" w:sz="4" w:space="0" w:color="auto"/>
              <w:right w:val="nil"/>
            </w:tcBorders>
            <w:shd w:val="clear" w:color="auto" w:fill="auto"/>
            <w:noWrap/>
            <w:vAlign w:val="center"/>
            <w:hideMark/>
          </w:tcPr>
          <w:p w14:paraId="7067A532" w14:textId="77777777" w:rsidR="00387142" w:rsidRPr="008B6A75" w:rsidRDefault="00387142" w:rsidP="00387142">
            <w:pPr>
              <w:jc w:val="center"/>
              <w:rPr>
                <w:sz w:val="20"/>
                <w:szCs w:val="20"/>
              </w:rPr>
            </w:pPr>
            <w:r w:rsidRPr="008B6A75">
              <w:rPr>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5339507F" w14:textId="77777777" w:rsidR="00387142" w:rsidRPr="008B6A75" w:rsidRDefault="00387142" w:rsidP="00387142">
            <w:pPr>
              <w:jc w:val="center"/>
              <w:rPr>
                <w:sz w:val="20"/>
                <w:szCs w:val="20"/>
              </w:rPr>
            </w:pPr>
            <w:r w:rsidRPr="008B6A75">
              <w:rPr>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8D2071B" w14:textId="77777777" w:rsidR="00387142" w:rsidRPr="008B6A75" w:rsidRDefault="00387142" w:rsidP="00387142">
            <w:pPr>
              <w:jc w:val="right"/>
              <w:rPr>
                <w:sz w:val="20"/>
                <w:szCs w:val="20"/>
              </w:rPr>
            </w:pPr>
            <w:r w:rsidRPr="008B6A75">
              <w:rPr>
                <w:sz w:val="20"/>
                <w:szCs w:val="20"/>
              </w:rPr>
              <w:t>0,00</w:t>
            </w:r>
          </w:p>
        </w:tc>
        <w:tc>
          <w:tcPr>
            <w:tcW w:w="851" w:type="dxa"/>
            <w:tcBorders>
              <w:top w:val="nil"/>
              <w:left w:val="single" w:sz="4" w:space="0" w:color="auto"/>
              <w:bottom w:val="single" w:sz="4" w:space="0" w:color="auto"/>
              <w:right w:val="nil"/>
            </w:tcBorders>
            <w:shd w:val="clear" w:color="auto" w:fill="auto"/>
            <w:noWrap/>
            <w:vAlign w:val="center"/>
            <w:hideMark/>
          </w:tcPr>
          <w:p w14:paraId="0C677107" w14:textId="77777777" w:rsidR="00387142" w:rsidRPr="008B6A75" w:rsidRDefault="00387142" w:rsidP="00387142">
            <w:pPr>
              <w:jc w:val="right"/>
              <w:rPr>
                <w:sz w:val="20"/>
                <w:szCs w:val="20"/>
              </w:rPr>
            </w:pPr>
            <w:r w:rsidRPr="008B6A75">
              <w:rPr>
                <w:sz w:val="20"/>
                <w:szCs w:val="20"/>
              </w:rPr>
              <w:t>764 954,80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7767C154" w14:textId="77777777" w:rsidR="00387142" w:rsidRPr="008B6A75" w:rsidRDefault="00387142" w:rsidP="00387142">
            <w:pPr>
              <w:jc w:val="right"/>
              <w:rPr>
                <w:sz w:val="20"/>
                <w:szCs w:val="20"/>
              </w:rPr>
            </w:pPr>
            <w:r w:rsidRPr="008B6A75">
              <w:rPr>
                <w:sz w:val="20"/>
                <w:szCs w:val="20"/>
              </w:rPr>
              <w:t>2 600 000,00</w:t>
            </w:r>
          </w:p>
        </w:tc>
      </w:tr>
      <w:tr w:rsidR="00387142" w:rsidRPr="008B6A75" w14:paraId="30244FB0" w14:textId="77777777" w:rsidTr="00387142">
        <w:trPr>
          <w:trHeight w:val="870"/>
        </w:trPr>
        <w:tc>
          <w:tcPr>
            <w:tcW w:w="272" w:type="dxa"/>
            <w:tcBorders>
              <w:top w:val="nil"/>
              <w:left w:val="nil"/>
              <w:bottom w:val="nil"/>
              <w:right w:val="single" w:sz="4" w:space="0" w:color="auto"/>
            </w:tcBorders>
            <w:shd w:val="clear" w:color="auto" w:fill="auto"/>
            <w:noWrap/>
            <w:vAlign w:val="bottom"/>
            <w:hideMark/>
          </w:tcPr>
          <w:p w14:paraId="1583B002" w14:textId="77777777" w:rsidR="00387142" w:rsidRPr="008B6A75" w:rsidRDefault="00387142" w:rsidP="00387142">
            <w:pPr>
              <w:rPr>
                <w:sz w:val="20"/>
                <w:szCs w:val="20"/>
              </w:rPr>
            </w:pPr>
            <w:r w:rsidRPr="008B6A75">
              <w:rPr>
                <w:sz w:val="20"/>
                <w:szCs w:val="20"/>
              </w:rPr>
              <w:lastRenderedPageBreak/>
              <w:t> </w:t>
            </w:r>
          </w:p>
        </w:tc>
        <w:tc>
          <w:tcPr>
            <w:tcW w:w="3415" w:type="dxa"/>
            <w:tcBorders>
              <w:top w:val="nil"/>
              <w:left w:val="single" w:sz="4" w:space="0" w:color="auto"/>
              <w:bottom w:val="single" w:sz="4" w:space="0" w:color="auto"/>
              <w:right w:val="nil"/>
            </w:tcBorders>
            <w:shd w:val="clear" w:color="auto" w:fill="auto"/>
            <w:vAlign w:val="center"/>
            <w:hideMark/>
          </w:tcPr>
          <w:p w14:paraId="780404CE" w14:textId="77777777" w:rsidR="00387142" w:rsidRPr="008B6A75" w:rsidRDefault="00387142" w:rsidP="00387142">
            <w:pPr>
              <w:rPr>
                <w:sz w:val="20"/>
                <w:szCs w:val="20"/>
              </w:rPr>
            </w:pPr>
            <w:r w:rsidRPr="008B6A75">
              <w:rPr>
                <w:sz w:val="20"/>
                <w:szCs w:val="20"/>
              </w:rPr>
              <w:t>Иные закупки товаров, работ и услуг для обеспечения государственных (муниципальных) нужд</w:t>
            </w:r>
          </w:p>
        </w:tc>
        <w:tc>
          <w:tcPr>
            <w:tcW w:w="1559" w:type="dxa"/>
            <w:tcBorders>
              <w:top w:val="nil"/>
              <w:left w:val="single" w:sz="4" w:space="0" w:color="auto"/>
              <w:bottom w:val="single" w:sz="4" w:space="0" w:color="auto"/>
              <w:right w:val="nil"/>
            </w:tcBorders>
            <w:shd w:val="clear" w:color="auto" w:fill="auto"/>
            <w:noWrap/>
            <w:vAlign w:val="center"/>
            <w:hideMark/>
          </w:tcPr>
          <w:p w14:paraId="4D3948FF" w14:textId="77777777" w:rsidR="00387142" w:rsidRPr="008B6A75" w:rsidRDefault="00387142" w:rsidP="00387142">
            <w:pPr>
              <w:jc w:val="center"/>
              <w:rPr>
                <w:sz w:val="20"/>
                <w:szCs w:val="20"/>
              </w:rPr>
            </w:pPr>
            <w:r w:rsidRPr="008B6A75">
              <w:rPr>
                <w:sz w:val="20"/>
                <w:szCs w:val="20"/>
              </w:rPr>
              <w:t>07.1.00.07490</w:t>
            </w:r>
          </w:p>
        </w:tc>
        <w:tc>
          <w:tcPr>
            <w:tcW w:w="850" w:type="dxa"/>
            <w:tcBorders>
              <w:top w:val="nil"/>
              <w:left w:val="single" w:sz="4" w:space="0" w:color="auto"/>
              <w:bottom w:val="single" w:sz="4" w:space="0" w:color="auto"/>
              <w:right w:val="nil"/>
            </w:tcBorders>
            <w:shd w:val="clear" w:color="auto" w:fill="auto"/>
            <w:noWrap/>
            <w:vAlign w:val="center"/>
            <w:hideMark/>
          </w:tcPr>
          <w:p w14:paraId="29B249B6" w14:textId="77777777" w:rsidR="00387142" w:rsidRPr="008B6A75" w:rsidRDefault="00387142" w:rsidP="00387142">
            <w:pPr>
              <w:jc w:val="center"/>
              <w:rPr>
                <w:sz w:val="20"/>
                <w:szCs w:val="20"/>
              </w:rPr>
            </w:pPr>
            <w:r w:rsidRPr="008B6A75">
              <w:rPr>
                <w:sz w:val="20"/>
                <w:szCs w:val="20"/>
              </w:rPr>
              <w:t>240</w:t>
            </w:r>
          </w:p>
        </w:tc>
        <w:tc>
          <w:tcPr>
            <w:tcW w:w="567" w:type="dxa"/>
            <w:tcBorders>
              <w:top w:val="nil"/>
              <w:left w:val="single" w:sz="4" w:space="0" w:color="auto"/>
              <w:bottom w:val="single" w:sz="4" w:space="0" w:color="auto"/>
              <w:right w:val="nil"/>
            </w:tcBorders>
            <w:shd w:val="clear" w:color="auto" w:fill="auto"/>
            <w:noWrap/>
            <w:vAlign w:val="center"/>
            <w:hideMark/>
          </w:tcPr>
          <w:p w14:paraId="37C2943F" w14:textId="77777777" w:rsidR="00387142" w:rsidRPr="008B6A75" w:rsidRDefault="00387142" w:rsidP="00387142">
            <w:pPr>
              <w:jc w:val="center"/>
              <w:rPr>
                <w:sz w:val="20"/>
                <w:szCs w:val="20"/>
              </w:rPr>
            </w:pPr>
            <w:r w:rsidRPr="008B6A75">
              <w:rPr>
                <w:sz w:val="20"/>
                <w:szCs w:val="20"/>
              </w:rPr>
              <w:t>07</w:t>
            </w:r>
          </w:p>
        </w:tc>
        <w:tc>
          <w:tcPr>
            <w:tcW w:w="567" w:type="dxa"/>
            <w:tcBorders>
              <w:top w:val="nil"/>
              <w:left w:val="single" w:sz="4" w:space="0" w:color="auto"/>
              <w:bottom w:val="single" w:sz="4" w:space="0" w:color="auto"/>
              <w:right w:val="nil"/>
            </w:tcBorders>
            <w:shd w:val="clear" w:color="auto" w:fill="auto"/>
            <w:noWrap/>
            <w:vAlign w:val="center"/>
            <w:hideMark/>
          </w:tcPr>
          <w:p w14:paraId="3EBE1984" w14:textId="77777777" w:rsidR="00387142" w:rsidRPr="008B6A75" w:rsidRDefault="00387142" w:rsidP="00387142">
            <w:pPr>
              <w:jc w:val="center"/>
              <w:rPr>
                <w:sz w:val="20"/>
                <w:szCs w:val="20"/>
              </w:rPr>
            </w:pPr>
            <w:r w:rsidRPr="008B6A75">
              <w:rPr>
                <w:sz w:val="20"/>
                <w:szCs w:val="20"/>
              </w:rPr>
              <w:t>03</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DE5B49F" w14:textId="77777777" w:rsidR="00387142" w:rsidRPr="008B6A75" w:rsidRDefault="00387142" w:rsidP="00387142">
            <w:pPr>
              <w:jc w:val="right"/>
              <w:rPr>
                <w:sz w:val="20"/>
                <w:szCs w:val="20"/>
              </w:rPr>
            </w:pPr>
            <w:r w:rsidRPr="008B6A75">
              <w:rPr>
                <w:sz w:val="20"/>
                <w:szCs w:val="20"/>
              </w:rPr>
              <w:t>0,00</w:t>
            </w:r>
          </w:p>
        </w:tc>
        <w:tc>
          <w:tcPr>
            <w:tcW w:w="851" w:type="dxa"/>
            <w:tcBorders>
              <w:top w:val="nil"/>
              <w:left w:val="single" w:sz="4" w:space="0" w:color="auto"/>
              <w:bottom w:val="single" w:sz="4" w:space="0" w:color="auto"/>
              <w:right w:val="nil"/>
            </w:tcBorders>
            <w:shd w:val="clear" w:color="auto" w:fill="auto"/>
            <w:noWrap/>
            <w:vAlign w:val="center"/>
            <w:hideMark/>
          </w:tcPr>
          <w:p w14:paraId="104EFF2C" w14:textId="77777777" w:rsidR="00387142" w:rsidRPr="008B6A75" w:rsidRDefault="00387142" w:rsidP="00387142">
            <w:pPr>
              <w:jc w:val="right"/>
              <w:rPr>
                <w:sz w:val="20"/>
                <w:szCs w:val="20"/>
              </w:rPr>
            </w:pPr>
            <w:r w:rsidRPr="008B6A75">
              <w:rPr>
                <w:sz w:val="20"/>
                <w:szCs w:val="20"/>
              </w:rPr>
              <w:t>764 954,80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419FF26E" w14:textId="77777777" w:rsidR="00387142" w:rsidRPr="008B6A75" w:rsidRDefault="00387142" w:rsidP="00387142">
            <w:pPr>
              <w:jc w:val="right"/>
              <w:rPr>
                <w:sz w:val="20"/>
                <w:szCs w:val="20"/>
              </w:rPr>
            </w:pPr>
            <w:r w:rsidRPr="008B6A75">
              <w:rPr>
                <w:sz w:val="20"/>
                <w:szCs w:val="20"/>
              </w:rPr>
              <w:t>2 600 000,00</w:t>
            </w:r>
          </w:p>
        </w:tc>
      </w:tr>
      <w:tr w:rsidR="00387142" w:rsidRPr="008B6A75" w14:paraId="325E6F25" w14:textId="77777777" w:rsidTr="00387142">
        <w:trPr>
          <w:trHeight w:val="870"/>
        </w:trPr>
        <w:tc>
          <w:tcPr>
            <w:tcW w:w="272" w:type="dxa"/>
            <w:tcBorders>
              <w:top w:val="nil"/>
              <w:left w:val="nil"/>
              <w:bottom w:val="nil"/>
              <w:right w:val="single" w:sz="4" w:space="0" w:color="auto"/>
            </w:tcBorders>
            <w:shd w:val="clear" w:color="auto" w:fill="auto"/>
            <w:noWrap/>
            <w:vAlign w:val="bottom"/>
            <w:hideMark/>
          </w:tcPr>
          <w:p w14:paraId="7C11D1B9"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52A7AEA7" w14:textId="77777777" w:rsidR="00387142" w:rsidRPr="008B6A75" w:rsidRDefault="00387142" w:rsidP="00387142">
            <w:pPr>
              <w:rPr>
                <w:sz w:val="20"/>
                <w:szCs w:val="20"/>
              </w:rPr>
            </w:pPr>
            <w:r w:rsidRPr="008B6A75">
              <w:rPr>
                <w:sz w:val="20"/>
                <w:szCs w:val="20"/>
              </w:rPr>
              <w:t>Предоставление субсидий бюджетным, автономным учреждениям и иным некоммерческим организациям</w:t>
            </w:r>
          </w:p>
        </w:tc>
        <w:tc>
          <w:tcPr>
            <w:tcW w:w="1559" w:type="dxa"/>
            <w:tcBorders>
              <w:top w:val="nil"/>
              <w:left w:val="single" w:sz="4" w:space="0" w:color="auto"/>
              <w:bottom w:val="single" w:sz="4" w:space="0" w:color="auto"/>
              <w:right w:val="nil"/>
            </w:tcBorders>
            <w:shd w:val="clear" w:color="auto" w:fill="auto"/>
            <w:noWrap/>
            <w:vAlign w:val="center"/>
            <w:hideMark/>
          </w:tcPr>
          <w:p w14:paraId="05E40DAB" w14:textId="77777777" w:rsidR="00387142" w:rsidRPr="008B6A75" w:rsidRDefault="00387142" w:rsidP="00387142">
            <w:pPr>
              <w:jc w:val="center"/>
              <w:rPr>
                <w:sz w:val="20"/>
                <w:szCs w:val="20"/>
              </w:rPr>
            </w:pPr>
            <w:r w:rsidRPr="008B6A75">
              <w:rPr>
                <w:sz w:val="20"/>
                <w:szCs w:val="20"/>
              </w:rPr>
              <w:t>07.1.00.07490</w:t>
            </w:r>
          </w:p>
        </w:tc>
        <w:tc>
          <w:tcPr>
            <w:tcW w:w="850" w:type="dxa"/>
            <w:tcBorders>
              <w:top w:val="nil"/>
              <w:left w:val="single" w:sz="4" w:space="0" w:color="auto"/>
              <w:bottom w:val="single" w:sz="4" w:space="0" w:color="auto"/>
              <w:right w:val="nil"/>
            </w:tcBorders>
            <w:shd w:val="clear" w:color="auto" w:fill="auto"/>
            <w:noWrap/>
            <w:vAlign w:val="center"/>
            <w:hideMark/>
          </w:tcPr>
          <w:p w14:paraId="18ED1A29" w14:textId="77777777" w:rsidR="00387142" w:rsidRPr="008B6A75" w:rsidRDefault="00387142" w:rsidP="00387142">
            <w:pPr>
              <w:jc w:val="center"/>
              <w:rPr>
                <w:sz w:val="20"/>
                <w:szCs w:val="20"/>
              </w:rPr>
            </w:pPr>
            <w:r w:rsidRPr="008B6A75">
              <w:rPr>
                <w:sz w:val="20"/>
                <w:szCs w:val="20"/>
              </w:rPr>
              <w:t>600</w:t>
            </w:r>
          </w:p>
        </w:tc>
        <w:tc>
          <w:tcPr>
            <w:tcW w:w="567" w:type="dxa"/>
            <w:tcBorders>
              <w:top w:val="nil"/>
              <w:left w:val="single" w:sz="4" w:space="0" w:color="auto"/>
              <w:bottom w:val="single" w:sz="4" w:space="0" w:color="auto"/>
              <w:right w:val="nil"/>
            </w:tcBorders>
            <w:shd w:val="clear" w:color="auto" w:fill="auto"/>
            <w:noWrap/>
            <w:vAlign w:val="center"/>
            <w:hideMark/>
          </w:tcPr>
          <w:p w14:paraId="5B1163D8" w14:textId="77777777" w:rsidR="00387142" w:rsidRPr="008B6A75" w:rsidRDefault="00387142" w:rsidP="00387142">
            <w:pPr>
              <w:jc w:val="center"/>
              <w:rPr>
                <w:sz w:val="20"/>
                <w:szCs w:val="20"/>
              </w:rPr>
            </w:pPr>
            <w:r w:rsidRPr="008B6A75">
              <w:rPr>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45304436" w14:textId="77777777" w:rsidR="00387142" w:rsidRPr="008B6A75" w:rsidRDefault="00387142" w:rsidP="00387142">
            <w:pPr>
              <w:jc w:val="center"/>
              <w:rPr>
                <w:sz w:val="20"/>
                <w:szCs w:val="20"/>
              </w:rPr>
            </w:pPr>
            <w:r w:rsidRPr="008B6A75">
              <w:rPr>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7B5B749" w14:textId="77777777" w:rsidR="00387142" w:rsidRPr="008B6A75" w:rsidRDefault="00387142" w:rsidP="00387142">
            <w:pPr>
              <w:jc w:val="right"/>
              <w:rPr>
                <w:sz w:val="20"/>
                <w:szCs w:val="20"/>
              </w:rPr>
            </w:pPr>
            <w:r w:rsidRPr="008B6A75">
              <w:rPr>
                <w:sz w:val="20"/>
                <w:szCs w:val="20"/>
              </w:rPr>
              <w:t>39 026 283,13</w:t>
            </w:r>
          </w:p>
        </w:tc>
        <w:tc>
          <w:tcPr>
            <w:tcW w:w="851" w:type="dxa"/>
            <w:tcBorders>
              <w:top w:val="nil"/>
              <w:left w:val="single" w:sz="4" w:space="0" w:color="auto"/>
              <w:bottom w:val="single" w:sz="4" w:space="0" w:color="auto"/>
              <w:right w:val="nil"/>
            </w:tcBorders>
            <w:shd w:val="clear" w:color="auto" w:fill="auto"/>
            <w:noWrap/>
            <w:vAlign w:val="center"/>
            <w:hideMark/>
          </w:tcPr>
          <w:p w14:paraId="41456C65" w14:textId="77777777" w:rsidR="00387142" w:rsidRPr="008B6A75" w:rsidRDefault="00387142" w:rsidP="00387142">
            <w:pPr>
              <w:jc w:val="right"/>
              <w:rPr>
                <w:sz w:val="20"/>
                <w:szCs w:val="20"/>
              </w:rPr>
            </w:pPr>
            <w:r w:rsidRPr="008B6A75">
              <w:rPr>
                <w:sz w:val="20"/>
                <w:szCs w:val="20"/>
              </w:rPr>
              <w:t>24 708 436,20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1F5C48B8" w14:textId="77777777" w:rsidR="00387142" w:rsidRPr="008B6A75" w:rsidRDefault="00387142" w:rsidP="00387142">
            <w:pPr>
              <w:jc w:val="right"/>
              <w:rPr>
                <w:sz w:val="20"/>
                <w:szCs w:val="20"/>
              </w:rPr>
            </w:pPr>
            <w:r w:rsidRPr="008B6A75">
              <w:rPr>
                <w:sz w:val="20"/>
                <w:szCs w:val="20"/>
              </w:rPr>
              <w:t>23 000 000,00</w:t>
            </w:r>
          </w:p>
        </w:tc>
      </w:tr>
      <w:tr w:rsidR="00387142" w:rsidRPr="008B6A75" w14:paraId="68DD79D1" w14:textId="77777777" w:rsidTr="00387142">
        <w:trPr>
          <w:trHeight w:val="300"/>
        </w:trPr>
        <w:tc>
          <w:tcPr>
            <w:tcW w:w="272" w:type="dxa"/>
            <w:tcBorders>
              <w:top w:val="nil"/>
              <w:left w:val="nil"/>
              <w:bottom w:val="nil"/>
              <w:right w:val="single" w:sz="4" w:space="0" w:color="auto"/>
            </w:tcBorders>
            <w:shd w:val="clear" w:color="auto" w:fill="auto"/>
            <w:noWrap/>
            <w:vAlign w:val="bottom"/>
            <w:hideMark/>
          </w:tcPr>
          <w:p w14:paraId="6BDAB009"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3FA0420E" w14:textId="77777777" w:rsidR="00387142" w:rsidRPr="008B6A75" w:rsidRDefault="00387142" w:rsidP="00387142">
            <w:pPr>
              <w:rPr>
                <w:sz w:val="20"/>
                <w:szCs w:val="20"/>
              </w:rPr>
            </w:pPr>
            <w:r w:rsidRPr="008B6A75">
              <w:rPr>
                <w:sz w:val="20"/>
                <w:szCs w:val="20"/>
              </w:rPr>
              <w:t>Субсидии бюджетным учреждениям</w:t>
            </w:r>
          </w:p>
        </w:tc>
        <w:tc>
          <w:tcPr>
            <w:tcW w:w="1559" w:type="dxa"/>
            <w:tcBorders>
              <w:top w:val="nil"/>
              <w:left w:val="single" w:sz="4" w:space="0" w:color="auto"/>
              <w:bottom w:val="single" w:sz="4" w:space="0" w:color="auto"/>
              <w:right w:val="nil"/>
            </w:tcBorders>
            <w:shd w:val="clear" w:color="auto" w:fill="auto"/>
            <w:noWrap/>
            <w:vAlign w:val="center"/>
            <w:hideMark/>
          </w:tcPr>
          <w:p w14:paraId="0212E570" w14:textId="77777777" w:rsidR="00387142" w:rsidRPr="008B6A75" w:rsidRDefault="00387142" w:rsidP="00387142">
            <w:pPr>
              <w:jc w:val="center"/>
              <w:rPr>
                <w:sz w:val="20"/>
                <w:szCs w:val="20"/>
              </w:rPr>
            </w:pPr>
            <w:r w:rsidRPr="008B6A75">
              <w:rPr>
                <w:sz w:val="20"/>
                <w:szCs w:val="20"/>
              </w:rPr>
              <w:t>07.1.00.07490</w:t>
            </w:r>
          </w:p>
        </w:tc>
        <w:tc>
          <w:tcPr>
            <w:tcW w:w="850" w:type="dxa"/>
            <w:tcBorders>
              <w:top w:val="nil"/>
              <w:left w:val="single" w:sz="4" w:space="0" w:color="auto"/>
              <w:bottom w:val="single" w:sz="4" w:space="0" w:color="auto"/>
              <w:right w:val="nil"/>
            </w:tcBorders>
            <w:shd w:val="clear" w:color="auto" w:fill="auto"/>
            <w:noWrap/>
            <w:vAlign w:val="center"/>
            <w:hideMark/>
          </w:tcPr>
          <w:p w14:paraId="29F89EB4" w14:textId="77777777" w:rsidR="00387142" w:rsidRPr="008B6A75" w:rsidRDefault="00387142" w:rsidP="00387142">
            <w:pPr>
              <w:jc w:val="center"/>
              <w:rPr>
                <w:sz w:val="20"/>
                <w:szCs w:val="20"/>
              </w:rPr>
            </w:pPr>
            <w:r w:rsidRPr="008B6A75">
              <w:rPr>
                <w:sz w:val="20"/>
                <w:szCs w:val="20"/>
              </w:rPr>
              <w:t>610</w:t>
            </w:r>
          </w:p>
        </w:tc>
        <w:tc>
          <w:tcPr>
            <w:tcW w:w="567" w:type="dxa"/>
            <w:tcBorders>
              <w:top w:val="nil"/>
              <w:left w:val="single" w:sz="4" w:space="0" w:color="auto"/>
              <w:bottom w:val="single" w:sz="4" w:space="0" w:color="auto"/>
              <w:right w:val="nil"/>
            </w:tcBorders>
            <w:shd w:val="clear" w:color="auto" w:fill="auto"/>
            <w:noWrap/>
            <w:vAlign w:val="center"/>
            <w:hideMark/>
          </w:tcPr>
          <w:p w14:paraId="41ED2EE4" w14:textId="77777777" w:rsidR="00387142" w:rsidRPr="008B6A75" w:rsidRDefault="00387142" w:rsidP="00387142">
            <w:pPr>
              <w:jc w:val="center"/>
              <w:rPr>
                <w:sz w:val="20"/>
                <w:szCs w:val="20"/>
              </w:rPr>
            </w:pPr>
            <w:r w:rsidRPr="008B6A75">
              <w:rPr>
                <w:sz w:val="20"/>
                <w:szCs w:val="20"/>
              </w:rPr>
              <w:t>07</w:t>
            </w:r>
          </w:p>
        </w:tc>
        <w:tc>
          <w:tcPr>
            <w:tcW w:w="567" w:type="dxa"/>
            <w:tcBorders>
              <w:top w:val="nil"/>
              <w:left w:val="single" w:sz="4" w:space="0" w:color="auto"/>
              <w:bottom w:val="single" w:sz="4" w:space="0" w:color="auto"/>
              <w:right w:val="nil"/>
            </w:tcBorders>
            <w:shd w:val="clear" w:color="auto" w:fill="auto"/>
            <w:noWrap/>
            <w:vAlign w:val="center"/>
            <w:hideMark/>
          </w:tcPr>
          <w:p w14:paraId="432CC6F5" w14:textId="77777777" w:rsidR="00387142" w:rsidRPr="008B6A75" w:rsidRDefault="00387142" w:rsidP="00387142">
            <w:pPr>
              <w:jc w:val="center"/>
              <w:rPr>
                <w:sz w:val="20"/>
                <w:szCs w:val="20"/>
              </w:rPr>
            </w:pPr>
            <w:r w:rsidRPr="008B6A75">
              <w:rPr>
                <w:sz w:val="20"/>
                <w:szCs w:val="20"/>
              </w:rPr>
              <w:t>02</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7D96E96" w14:textId="77777777" w:rsidR="00387142" w:rsidRPr="008B6A75" w:rsidRDefault="00387142" w:rsidP="00387142">
            <w:pPr>
              <w:jc w:val="right"/>
              <w:rPr>
                <w:sz w:val="20"/>
                <w:szCs w:val="20"/>
              </w:rPr>
            </w:pPr>
            <w:r w:rsidRPr="008B6A75">
              <w:rPr>
                <w:sz w:val="20"/>
                <w:szCs w:val="20"/>
              </w:rPr>
              <w:t>2 305 815,83</w:t>
            </w:r>
          </w:p>
        </w:tc>
        <w:tc>
          <w:tcPr>
            <w:tcW w:w="851" w:type="dxa"/>
            <w:tcBorders>
              <w:top w:val="nil"/>
              <w:left w:val="single" w:sz="4" w:space="0" w:color="auto"/>
              <w:bottom w:val="single" w:sz="4" w:space="0" w:color="auto"/>
              <w:right w:val="nil"/>
            </w:tcBorders>
            <w:shd w:val="clear" w:color="auto" w:fill="auto"/>
            <w:noWrap/>
            <w:vAlign w:val="center"/>
            <w:hideMark/>
          </w:tcPr>
          <w:p w14:paraId="5B743234" w14:textId="77777777" w:rsidR="00387142" w:rsidRPr="008B6A75" w:rsidRDefault="00387142" w:rsidP="00387142">
            <w:pPr>
              <w:jc w:val="right"/>
              <w:rPr>
                <w:sz w:val="20"/>
                <w:szCs w:val="20"/>
              </w:rPr>
            </w:pPr>
            <w:r w:rsidRPr="008B6A75">
              <w:rPr>
                <w:sz w:val="20"/>
                <w:szCs w:val="20"/>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13B6DA32" w14:textId="77777777" w:rsidR="00387142" w:rsidRPr="008B6A75" w:rsidRDefault="00387142" w:rsidP="00387142">
            <w:pPr>
              <w:jc w:val="right"/>
              <w:rPr>
                <w:sz w:val="20"/>
                <w:szCs w:val="20"/>
              </w:rPr>
            </w:pPr>
            <w:r w:rsidRPr="008B6A75">
              <w:rPr>
                <w:sz w:val="20"/>
                <w:szCs w:val="20"/>
              </w:rPr>
              <w:t>0,00</w:t>
            </w:r>
          </w:p>
        </w:tc>
      </w:tr>
      <w:tr w:rsidR="00387142" w:rsidRPr="008B6A75" w14:paraId="062B01D5" w14:textId="77777777" w:rsidTr="00387142">
        <w:trPr>
          <w:trHeight w:val="300"/>
        </w:trPr>
        <w:tc>
          <w:tcPr>
            <w:tcW w:w="272" w:type="dxa"/>
            <w:tcBorders>
              <w:top w:val="nil"/>
              <w:left w:val="nil"/>
              <w:bottom w:val="nil"/>
              <w:right w:val="single" w:sz="4" w:space="0" w:color="auto"/>
            </w:tcBorders>
            <w:shd w:val="clear" w:color="auto" w:fill="auto"/>
            <w:noWrap/>
            <w:vAlign w:val="bottom"/>
            <w:hideMark/>
          </w:tcPr>
          <w:p w14:paraId="139735F9"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2AFE4C47" w14:textId="77777777" w:rsidR="00387142" w:rsidRPr="008B6A75" w:rsidRDefault="00387142" w:rsidP="00387142">
            <w:pPr>
              <w:rPr>
                <w:sz w:val="20"/>
                <w:szCs w:val="20"/>
              </w:rPr>
            </w:pPr>
            <w:r w:rsidRPr="008B6A75">
              <w:rPr>
                <w:sz w:val="20"/>
                <w:szCs w:val="20"/>
              </w:rPr>
              <w:t>Субсидии бюджетным учреждениям</w:t>
            </w:r>
          </w:p>
        </w:tc>
        <w:tc>
          <w:tcPr>
            <w:tcW w:w="1559" w:type="dxa"/>
            <w:tcBorders>
              <w:top w:val="nil"/>
              <w:left w:val="single" w:sz="4" w:space="0" w:color="auto"/>
              <w:bottom w:val="single" w:sz="4" w:space="0" w:color="auto"/>
              <w:right w:val="nil"/>
            </w:tcBorders>
            <w:shd w:val="clear" w:color="auto" w:fill="auto"/>
            <w:noWrap/>
            <w:vAlign w:val="center"/>
            <w:hideMark/>
          </w:tcPr>
          <w:p w14:paraId="78C109D2" w14:textId="77777777" w:rsidR="00387142" w:rsidRPr="008B6A75" w:rsidRDefault="00387142" w:rsidP="00387142">
            <w:pPr>
              <w:jc w:val="center"/>
              <w:rPr>
                <w:sz w:val="20"/>
                <w:szCs w:val="20"/>
              </w:rPr>
            </w:pPr>
            <w:r w:rsidRPr="008B6A75">
              <w:rPr>
                <w:sz w:val="20"/>
                <w:szCs w:val="20"/>
              </w:rPr>
              <w:t>07.1.00.07490</w:t>
            </w:r>
          </w:p>
        </w:tc>
        <w:tc>
          <w:tcPr>
            <w:tcW w:w="850" w:type="dxa"/>
            <w:tcBorders>
              <w:top w:val="nil"/>
              <w:left w:val="single" w:sz="4" w:space="0" w:color="auto"/>
              <w:bottom w:val="single" w:sz="4" w:space="0" w:color="auto"/>
              <w:right w:val="nil"/>
            </w:tcBorders>
            <w:shd w:val="clear" w:color="auto" w:fill="auto"/>
            <w:noWrap/>
            <w:vAlign w:val="center"/>
            <w:hideMark/>
          </w:tcPr>
          <w:p w14:paraId="20A2A8D0" w14:textId="77777777" w:rsidR="00387142" w:rsidRPr="008B6A75" w:rsidRDefault="00387142" w:rsidP="00387142">
            <w:pPr>
              <w:jc w:val="center"/>
              <w:rPr>
                <w:sz w:val="20"/>
                <w:szCs w:val="20"/>
              </w:rPr>
            </w:pPr>
            <w:r w:rsidRPr="008B6A75">
              <w:rPr>
                <w:sz w:val="20"/>
                <w:szCs w:val="20"/>
              </w:rPr>
              <w:t>610</w:t>
            </w:r>
          </w:p>
        </w:tc>
        <w:tc>
          <w:tcPr>
            <w:tcW w:w="567" w:type="dxa"/>
            <w:tcBorders>
              <w:top w:val="nil"/>
              <w:left w:val="single" w:sz="4" w:space="0" w:color="auto"/>
              <w:bottom w:val="single" w:sz="4" w:space="0" w:color="auto"/>
              <w:right w:val="nil"/>
            </w:tcBorders>
            <w:shd w:val="clear" w:color="auto" w:fill="auto"/>
            <w:noWrap/>
            <w:vAlign w:val="center"/>
            <w:hideMark/>
          </w:tcPr>
          <w:p w14:paraId="1B330037" w14:textId="77777777" w:rsidR="00387142" w:rsidRPr="008B6A75" w:rsidRDefault="00387142" w:rsidP="00387142">
            <w:pPr>
              <w:jc w:val="center"/>
              <w:rPr>
                <w:sz w:val="20"/>
                <w:szCs w:val="20"/>
              </w:rPr>
            </w:pPr>
            <w:r w:rsidRPr="008B6A75">
              <w:rPr>
                <w:sz w:val="20"/>
                <w:szCs w:val="20"/>
              </w:rPr>
              <w:t>07</w:t>
            </w:r>
          </w:p>
        </w:tc>
        <w:tc>
          <w:tcPr>
            <w:tcW w:w="567" w:type="dxa"/>
            <w:tcBorders>
              <w:top w:val="nil"/>
              <w:left w:val="single" w:sz="4" w:space="0" w:color="auto"/>
              <w:bottom w:val="single" w:sz="4" w:space="0" w:color="auto"/>
              <w:right w:val="nil"/>
            </w:tcBorders>
            <w:shd w:val="clear" w:color="auto" w:fill="auto"/>
            <w:noWrap/>
            <w:vAlign w:val="center"/>
            <w:hideMark/>
          </w:tcPr>
          <w:p w14:paraId="0E9C10DB" w14:textId="77777777" w:rsidR="00387142" w:rsidRPr="008B6A75" w:rsidRDefault="00387142" w:rsidP="00387142">
            <w:pPr>
              <w:jc w:val="center"/>
              <w:rPr>
                <w:sz w:val="20"/>
                <w:szCs w:val="20"/>
              </w:rPr>
            </w:pPr>
            <w:r w:rsidRPr="008B6A75">
              <w:rPr>
                <w:sz w:val="20"/>
                <w:szCs w:val="20"/>
              </w:rPr>
              <w:t>03</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43F50FE" w14:textId="77777777" w:rsidR="00387142" w:rsidRPr="008B6A75" w:rsidRDefault="00387142" w:rsidP="00387142">
            <w:pPr>
              <w:jc w:val="right"/>
              <w:rPr>
                <w:sz w:val="20"/>
                <w:szCs w:val="20"/>
              </w:rPr>
            </w:pPr>
            <w:r w:rsidRPr="008B6A75">
              <w:rPr>
                <w:sz w:val="20"/>
                <w:szCs w:val="20"/>
              </w:rPr>
              <w:t>36 720 467,30</w:t>
            </w:r>
          </w:p>
        </w:tc>
        <w:tc>
          <w:tcPr>
            <w:tcW w:w="851" w:type="dxa"/>
            <w:tcBorders>
              <w:top w:val="nil"/>
              <w:left w:val="single" w:sz="4" w:space="0" w:color="auto"/>
              <w:bottom w:val="single" w:sz="4" w:space="0" w:color="auto"/>
              <w:right w:val="nil"/>
            </w:tcBorders>
            <w:shd w:val="clear" w:color="auto" w:fill="auto"/>
            <w:noWrap/>
            <w:vAlign w:val="center"/>
            <w:hideMark/>
          </w:tcPr>
          <w:p w14:paraId="5C12D2EC" w14:textId="77777777" w:rsidR="00387142" w:rsidRPr="008B6A75" w:rsidRDefault="00387142" w:rsidP="00387142">
            <w:pPr>
              <w:jc w:val="right"/>
              <w:rPr>
                <w:sz w:val="20"/>
                <w:szCs w:val="20"/>
              </w:rPr>
            </w:pPr>
            <w:r w:rsidRPr="008B6A75">
              <w:rPr>
                <w:sz w:val="20"/>
                <w:szCs w:val="20"/>
              </w:rPr>
              <w:t>24 708 436,20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59329FD8" w14:textId="77777777" w:rsidR="00387142" w:rsidRPr="008B6A75" w:rsidRDefault="00387142" w:rsidP="00387142">
            <w:pPr>
              <w:jc w:val="right"/>
              <w:rPr>
                <w:sz w:val="20"/>
                <w:szCs w:val="20"/>
              </w:rPr>
            </w:pPr>
            <w:r w:rsidRPr="008B6A75">
              <w:rPr>
                <w:sz w:val="20"/>
                <w:szCs w:val="20"/>
              </w:rPr>
              <w:t>23 000 000,00</w:t>
            </w:r>
          </w:p>
        </w:tc>
      </w:tr>
      <w:tr w:rsidR="00387142" w:rsidRPr="008B6A75" w14:paraId="64ED07B9" w14:textId="77777777" w:rsidTr="00387142">
        <w:trPr>
          <w:trHeight w:val="1155"/>
        </w:trPr>
        <w:tc>
          <w:tcPr>
            <w:tcW w:w="272" w:type="dxa"/>
            <w:tcBorders>
              <w:top w:val="nil"/>
              <w:left w:val="nil"/>
              <w:bottom w:val="nil"/>
              <w:right w:val="single" w:sz="4" w:space="0" w:color="auto"/>
            </w:tcBorders>
            <w:shd w:val="clear" w:color="auto" w:fill="auto"/>
            <w:noWrap/>
            <w:vAlign w:val="bottom"/>
            <w:hideMark/>
          </w:tcPr>
          <w:p w14:paraId="3AF1EC1F"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6DFC2D63" w14:textId="77777777" w:rsidR="00387142" w:rsidRPr="008B6A75" w:rsidRDefault="00387142" w:rsidP="00387142">
            <w:pPr>
              <w:rPr>
                <w:bCs/>
                <w:sz w:val="20"/>
                <w:szCs w:val="20"/>
              </w:rPr>
            </w:pPr>
            <w:r w:rsidRPr="008B6A75">
              <w:rPr>
                <w:bCs/>
                <w:sz w:val="20"/>
                <w:szCs w:val="20"/>
              </w:rPr>
              <w:t>Реализация мероприятий по формированию системы персонифицированного финансирования учреждений дополнительного образования детей</w:t>
            </w:r>
          </w:p>
        </w:tc>
        <w:tc>
          <w:tcPr>
            <w:tcW w:w="1559" w:type="dxa"/>
            <w:tcBorders>
              <w:top w:val="nil"/>
              <w:left w:val="single" w:sz="4" w:space="0" w:color="auto"/>
              <w:bottom w:val="single" w:sz="4" w:space="0" w:color="auto"/>
              <w:right w:val="nil"/>
            </w:tcBorders>
            <w:shd w:val="clear" w:color="auto" w:fill="auto"/>
            <w:noWrap/>
            <w:vAlign w:val="center"/>
            <w:hideMark/>
          </w:tcPr>
          <w:p w14:paraId="7E661DC8" w14:textId="77777777" w:rsidR="00387142" w:rsidRPr="008B6A75" w:rsidRDefault="00387142" w:rsidP="00387142">
            <w:pPr>
              <w:jc w:val="center"/>
              <w:rPr>
                <w:bCs/>
                <w:sz w:val="20"/>
                <w:szCs w:val="20"/>
              </w:rPr>
            </w:pPr>
            <w:r w:rsidRPr="008B6A75">
              <w:rPr>
                <w:bCs/>
                <w:sz w:val="20"/>
                <w:szCs w:val="20"/>
              </w:rPr>
              <w:t>07.1.00.07491</w:t>
            </w:r>
          </w:p>
        </w:tc>
        <w:tc>
          <w:tcPr>
            <w:tcW w:w="850" w:type="dxa"/>
            <w:tcBorders>
              <w:top w:val="nil"/>
              <w:left w:val="single" w:sz="4" w:space="0" w:color="auto"/>
              <w:bottom w:val="single" w:sz="4" w:space="0" w:color="auto"/>
              <w:right w:val="nil"/>
            </w:tcBorders>
            <w:shd w:val="clear" w:color="auto" w:fill="auto"/>
            <w:noWrap/>
            <w:vAlign w:val="center"/>
            <w:hideMark/>
          </w:tcPr>
          <w:p w14:paraId="2E91745F" w14:textId="77777777" w:rsidR="00387142" w:rsidRPr="008B6A75" w:rsidRDefault="00387142" w:rsidP="00387142">
            <w:pPr>
              <w:jc w:val="center"/>
              <w:rPr>
                <w:bCs/>
                <w:sz w:val="20"/>
                <w:szCs w:val="20"/>
              </w:rPr>
            </w:pPr>
            <w:r w:rsidRPr="008B6A75">
              <w:rPr>
                <w:bCs/>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1D2A3DF3" w14:textId="77777777" w:rsidR="00387142" w:rsidRPr="008B6A75" w:rsidRDefault="00387142" w:rsidP="00387142">
            <w:pPr>
              <w:jc w:val="center"/>
              <w:rPr>
                <w:bCs/>
                <w:sz w:val="20"/>
                <w:szCs w:val="20"/>
              </w:rPr>
            </w:pPr>
            <w:r w:rsidRPr="008B6A75">
              <w:rPr>
                <w:bCs/>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78975A28" w14:textId="77777777" w:rsidR="00387142" w:rsidRPr="008B6A75" w:rsidRDefault="00387142" w:rsidP="00387142">
            <w:pPr>
              <w:jc w:val="center"/>
              <w:rPr>
                <w:bCs/>
                <w:sz w:val="20"/>
                <w:szCs w:val="20"/>
              </w:rPr>
            </w:pPr>
            <w:r w:rsidRPr="008B6A75">
              <w:rPr>
                <w:bCs/>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16AAA4A" w14:textId="77777777" w:rsidR="00387142" w:rsidRPr="008B6A75" w:rsidRDefault="00387142" w:rsidP="00387142">
            <w:pPr>
              <w:jc w:val="right"/>
              <w:rPr>
                <w:bCs/>
                <w:sz w:val="20"/>
                <w:szCs w:val="20"/>
              </w:rPr>
            </w:pPr>
            <w:r w:rsidRPr="008B6A75">
              <w:rPr>
                <w:bCs/>
                <w:sz w:val="20"/>
                <w:szCs w:val="20"/>
              </w:rPr>
              <w:t>2 843 167,66</w:t>
            </w:r>
          </w:p>
        </w:tc>
        <w:tc>
          <w:tcPr>
            <w:tcW w:w="851" w:type="dxa"/>
            <w:tcBorders>
              <w:top w:val="nil"/>
              <w:left w:val="single" w:sz="4" w:space="0" w:color="auto"/>
              <w:bottom w:val="single" w:sz="4" w:space="0" w:color="auto"/>
              <w:right w:val="nil"/>
            </w:tcBorders>
            <w:shd w:val="clear" w:color="auto" w:fill="auto"/>
            <w:noWrap/>
            <w:vAlign w:val="center"/>
            <w:hideMark/>
          </w:tcPr>
          <w:p w14:paraId="5413B92A" w14:textId="77777777" w:rsidR="00387142" w:rsidRPr="008B6A75" w:rsidRDefault="00387142" w:rsidP="00387142">
            <w:pPr>
              <w:jc w:val="right"/>
              <w:rPr>
                <w:bCs/>
                <w:sz w:val="20"/>
                <w:szCs w:val="20"/>
              </w:rPr>
            </w:pPr>
            <w:r w:rsidRPr="008B6A75">
              <w:rPr>
                <w:bCs/>
                <w:sz w:val="20"/>
                <w:szCs w:val="20"/>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13B369C3" w14:textId="77777777" w:rsidR="00387142" w:rsidRPr="008B6A75" w:rsidRDefault="00387142" w:rsidP="00387142">
            <w:pPr>
              <w:jc w:val="right"/>
              <w:rPr>
                <w:bCs/>
                <w:sz w:val="20"/>
                <w:szCs w:val="20"/>
              </w:rPr>
            </w:pPr>
            <w:r w:rsidRPr="008B6A75">
              <w:rPr>
                <w:bCs/>
                <w:sz w:val="20"/>
                <w:szCs w:val="20"/>
              </w:rPr>
              <w:t>0,00</w:t>
            </w:r>
          </w:p>
        </w:tc>
      </w:tr>
      <w:tr w:rsidR="00387142" w:rsidRPr="008B6A75" w14:paraId="6515F5B5" w14:textId="77777777" w:rsidTr="00387142">
        <w:trPr>
          <w:trHeight w:val="870"/>
        </w:trPr>
        <w:tc>
          <w:tcPr>
            <w:tcW w:w="272" w:type="dxa"/>
            <w:tcBorders>
              <w:top w:val="nil"/>
              <w:left w:val="nil"/>
              <w:bottom w:val="nil"/>
              <w:right w:val="single" w:sz="4" w:space="0" w:color="auto"/>
            </w:tcBorders>
            <w:shd w:val="clear" w:color="auto" w:fill="auto"/>
            <w:noWrap/>
            <w:vAlign w:val="bottom"/>
            <w:hideMark/>
          </w:tcPr>
          <w:p w14:paraId="744E32A6"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76FA0077" w14:textId="77777777" w:rsidR="00387142" w:rsidRPr="008B6A75" w:rsidRDefault="00387142" w:rsidP="00387142">
            <w:pPr>
              <w:rPr>
                <w:sz w:val="20"/>
                <w:szCs w:val="20"/>
              </w:rPr>
            </w:pPr>
            <w:r w:rsidRPr="008B6A75">
              <w:rPr>
                <w:sz w:val="20"/>
                <w:szCs w:val="20"/>
              </w:rPr>
              <w:t>Предоставление субсидий бюджетным, автономным учреждениям и иным некоммерческим организациям</w:t>
            </w:r>
          </w:p>
        </w:tc>
        <w:tc>
          <w:tcPr>
            <w:tcW w:w="1559" w:type="dxa"/>
            <w:tcBorders>
              <w:top w:val="nil"/>
              <w:left w:val="single" w:sz="4" w:space="0" w:color="auto"/>
              <w:bottom w:val="single" w:sz="4" w:space="0" w:color="auto"/>
              <w:right w:val="nil"/>
            </w:tcBorders>
            <w:shd w:val="clear" w:color="auto" w:fill="auto"/>
            <w:noWrap/>
            <w:vAlign w:val="center"/>
            <w:hideMark/>
          </w:tcPr>
          <w:p w14:paraId="6FF0C04D" w14:textId="77777777" w:rsidR="00387142" w:rsidRPr="008B6A75" w:rsidRDefault="00387142" w:rsidP="00387142">
            <w:pPr>
              <w:jc w:val="center"/>
              <w:rPr>
                <w:sz w:val="20"/>
                <w:szCs w:val="20"/>
              </w:rPr>
            </w:pPr>
            <w:r w:rsidRPr="008B6A75">
              <w:rPr>
                <w:sz w:val="20"/>
                <w:szCs w:val="20"/>
              </w:rPr>
              <w:t>07.1.00.07491</w:t>
            </w:r>
          </w:p>
        </w:tc>
        <w:tc>
          <w:tcPr>
            <w:tcW w:w="850" w:type="dxa"/>
            <w:tcBorders>
              <w:top w:val="nil"/>
              <w:left w:val="single" w:sz="4" w:space="0" w:color="auto"/>
              <w:bottom w:val="single" w:sz="4" w:space="0" w:color="auto"/>
              <w:right w:val="nil"/>
            </w:tcBorders>
            <w:shd w:val="clear" w:color="auto" w:fill="auto"/>
            <w:noWrap/>
            <w:vAlign w:val="center"/>
            <w:hideMark/>
          </w:tcPr>
          <w:p w14:paraId="020E398C" w14:textId="77777777" w:rsidR="00387142" w:rsidRPr="008B6A75" w:rsidRDefault="00387142" w:rsidP="00387142">
            <w:pPr>
              <w:jc w:val="center"/>
              <w:rPr>
                <w:sz w:val="20"/>
                <w:szCs w:val="20"/>
              </w:rPr>
            </w:pPr>
            <w:r w:rsidRPr="008B6A75">
              <w:rPr>
                <w:sz w:val="20"/>
                <w:szCs w:val="20"/>
              </w:rPr>
              <w:t>600</w:t>
            </w:r>
          </w:p>
        </w:tc>
        <w:tc>
          <w:tcPr>
            <w:tcW w:w="567" w:type="dxa"/>
            <w:tcBorders>
              <w:top w:val="nil"/>
              <w:left w:val="single" w:sz="4" w:space="0" w:color="auto"/>
              <w:bottom w:val="single" w:sz="4" w:space="0" w:color="auto"/>
              <w:right w:val="nil"/>
            </w:tcBorders>
            <w:shd w:val="clear" w:color="auto" w:fill="auto"/>
            <w:noWrap/>
            <w:vAlign w:val="center"/>
            <w:hideMark/>
          </w:tcPr>
          <w:p w14:paraId="76C24ECD" w14:textId="77777777" w:rsidR="00387142" w:rsidRPr="008B6A75" w:rsidRDefault="00387142" w:rsidP="00387142">
            <w:pPr>
              <w:jc w:val="center"/>
              <w:rPr>
                <w:sz w:val="20"/>
                <w:szCs w:val="20"/>
              </w:rPr>
            </w:pPr>
            <w:r w:rsidRPr="008B6A75">
              <w:rPr>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17560F5B" w14:textId="77777777" w:rsidR="00387142" w:rsidRPr="008B6A75" w:rsidRDefault="00387142" w:rsidP="00387142">
            <w:pPr>
              <w:jc w:val="center"/>
              <w:rPr>
                <w:sz w:val="20"/>
                <w:szCs w:val="20"/>
              </w:rPr>
            </w:pPr>
            <w:r w:rsidRPr="008B6A75">
              <w:rPr>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B97CA6F" w14:textId="77777777" w:rsidR="00387142" w:rsidRPr="008B6A75" w:rsidRDefault="00387142" w:rsidP="00387142">
            <w:pPr>
              <w:jc w:val="right"/>
              <w:rPr>
                <w:sz w:val="20"/>
                <w:szCs w:val="20"/>
              </w:rPr>
            </w:pPr>
            <w:r w:rsidRPr="008B6A75">
              <w:rPr>
                <w:sz w:val="20"/>
                <w:szCs w:val="20"/>
              </w:rPr>
              <w:t>2 793 167,66</w:t>
            </w:r>
          </w:p>
        </w:tc>
        <w:tc>
          <w:tcPr>
            <w:tcW w:w="851" w:type="dxa"/>
            <w:tcBorders>
              <w:top w:val="nil"/>
              <w:left w:val="single" w:sz="4" w:space="0" w:color="auto"/>
              <w:bottom w:val="single" w:sz="4" w:space="0" w:color="auto"/>
              <w:right w:val="nil"/>
            </w:tcBorders>
            <w:shd w:val="clear" w:color="auto" w:fill="auto"/>
            <w:noWrap/>
            <w:vAlign w:val="center"/>
            <w:hideMark/>
          </w:tcPr>
          <w:p w14:paraId="693DDCE3" w14:textId="77777777" w:rsidR="00387142" w:rsidRPr="008B6A75" w:rsidRDefault="00387142" w:rsidP="00387142">
            <w:pPr>
              <w:jc w:val="right"/>
              <w:rPr>
                <w:sz w:val="20"/>
                <w:szCs w:val="20"/>
              </w:rPr>
            </w:pPr>
            <w:r w:rsidRPr="008B6A75">
              <w:rPr>
                <w:sz w:val="20"/>
                <w:szCs w:val="20"/>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054FE522" w14:textId="77777777" w:rsidR="00387142" w:rsidRPr="008B6A75" w:rsidRDefault="00387142" w:rsidP="00387142">
            <w:pPr>
              <w:jc w:val="right"/>
              <w:rPr>
                <w:sz w:val="20"/>
                <w:szCs w:val="20"/>
              </w:rPr>
            </w:pPr>
            <w:r w:rsidRPr="008B6A75">
              <w:rPr>
                <w:sz w:val="20"/>
                <w:szCs w:val="20"/>
              </w:rPr>
              <w:t>0,00</w:t>
            </w:r>
          </w:p>
        </w:tc>
      </w:tr>
      <w:tr w:rsidR="00387142" w:rsidRPr="008B6A75" w14:paraId="561AE972" w14:textId="77777777" w:rsidTr="00387142">
        <w:trPr>
          <w:trHeight w:val="300"/>
        </w:trPr>
        <w:tc>
          <w:tcPr>
            <w:tcW w:w="272" w:type="dxa"/>
            <w:tcBorders>
              <w:top w:val="nil"/>
              <w:left w:val="nil"/>
              <w:bottom w:val="nil"/>
              <w:right w:val="single" w:sz="4" w:space="0" w:color="auto"/>
            </w:tcBorders>
            <w:shd w:val="clear" w:color="auto" w:fill="auto"/>
            <w:noWrap/>
            <w:vAlign w:val="bottom"/>
            <w:hideMark/>
          </w:tcPr>
          <w:p w14:paraId="16800EFA"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49CB47B7" w14:textId="77777777" w:rsidR="00387142" w:rsidRPr="008B6A75" w:rsidRDefault="00387142" w:rsidP="00387142">
            <w:pPr>
              <w:rPr>
                <w:sz w:val="20"/>
                <w:szCs w:val="20"/>
              </w:rPr>
            </w:pPr>
            <w:r w:rsidRPr="008B6A75">
              <w:rPr>
                <w:sz w:val="20"/>
                <w:szCs w:val="20"/>
              </w:rPr>
              <w:t>Субсидии бюджетным учреждениям</w:t>
            </w:r>
          </w:p>
        </w:tc>
        <w:tc>
          <w:tcPr>
            <w:tcW w:w="1559" w:type="dxa"/>
            <w:tcBorders>
              <w:top w:val="nil"/>
              <w:left w:val="single" w:sz="4" w:space="0" w:color="auto"/>
              <w:bottom w:val="single" w:sz="4" w:space="0" w:color="auto"/>
              <w:right w:val="nil"/>
            </w:tcBorders>
            <w:shd w:val="clear" w:color="auto" w:fill="auto"/>
            <w:noWrap/>
            <w:vAlign w:val="center"/>
            <w:hideMark/>
          </w:tcPr>
          <w:p w14:paraId="168B087B" w14:textId="77777777" w:rsidR="00387142" w:rsidRPr="008B6A75" w:rsidRDefault="00387142" w:rsidP="00387142">
            <w:pPr>
              <w:jc w:val="center"/>
              <w:rPr>
                <w:sz w:val="20"/>
                <w:szCs w:val="20"/>
              </w:rPr>
            </w:pPr>
            <w:r w:rsidRPr="008B6A75">
              <w:rPr>
                <w:sz w:val="20"/>
                <w:szCs w:val="20"/>
              </w:rPr>
              <w:t>07.1.00.07491</w:t>
            </w:r>
          </w:p>
        </w:tc>
        <w:tc>
          <w:tcPr>
            <w:tcW w:w="850" w:type="dxa"/>
            <w:tcBorders>
              <w:top w:val="nil"/>
              <w:left w:val="single" w:sz="4" w:space="0" w:color="auto"/>
              <w:bottom w:val="single" w:sz="4" w:space="0" w:color="auto"/>
              <w:right w:val="nil"/>
            </w:tcBorders>
            <w:shd w:val="clear" w:color="auto" w:fill="auto"/>
            <w:noWrap/>
            <w:vAlign w:val="center"/>
            <w:hideMark/>
          </w:tcPr>
          <w:p w14:paraId="6ED117B8" w14:textId="77777777" w:rsidR="00387142" w:rsidRPr="008B6A75" w:rsidRDefault="00387142" w:rsidP="00387142">
            <w:pPr>
              <w:jc w:val="center"/>
              <w:rPr>
                <w:sz w:val="20"/>
                <w:szCs w:val="20"/>
              </w:rPr>
            </w:pPr>
            <w:r w:rsidRPr="008B6A75">
              <w:rPr>
                <w:sz w:val="20"/>
                <w:szCs w:val="20"/>
              </w:rPr>
              <w:t>610</w:t>
            </w:r>
          </w:p>
        </w:tc>
        <w:tc>
          <w:tcPr>
            <w:tcW w:w="567" w:type="dxa"/>
            <w:tcBorders>
              <w:top w:val="nil"/>
              <w:left w:val="single" w:sz="4" w:space="0" w:color="auto"/>
              <w:bottom w:val="single" w:sz="4" w:space="0" w:color="auto"/>
              <w:right w:val="nil"/>
            </w:tcBorders>
            <w:shd w:val="clear" w:color="auto" w:fill="auto"/>
            <w:noWrap/>
            <w:vAlign w:val="center"/>
            <w:hideMark/>
          </w:tcPr>
          <w:p w14:paraId="6687E128" w14:textId="77777777" w:rsidR="00387142" w:rsidRPr="008B6A75" w:rsidRDefault="00387142" w:rsidP="00387142">
            <w:pPr>
              <w:jc w:val="center"/>
              <w:rPr>
                <w:sz w:val="20"/>
                <w:szCs w:val="20"/>
              </w:rPr>
            </w:pPr>
            <w:r w:rsidRPr="008B6A75">
              <w:rPr>
                <w:sz w:val="20"/>
                <w:szCs w:val="20"/>
              </w:rPr>
              <w:t>07</w:t>
            </w:r>
          </w:p>
        </w:tc>
        <w:tc>
          <w:tcPr>
            <w:tcW w:w="567" w:type="dxa"/>
            <w:tcBorders>
              <w:top w:val="nil"/>
              <w:left w:val="single" w:sz="4" w:space="0" w:color="auto"/>
              <w:bottom w:val="single" w:sz="4" w:space="0" w:color="auto"/>
              <w:right w:val="nil"/>
            </w:tcBorders>
            <w:shd w:val="clear" w:color="auto" w:fill="auto"/>
            <w:noWrap/>
            <w:vAlign w:val="center"/>
            <w:hideMark/>
          </w:tcPr>
          <w:p w14:paraId="05D5AA5B" w14:textId="77777777" w:rsidR="00387142" w:rsidRPr="008B6A75" w:rsidRDefault="00387142" w:rsidP="00387142">
            <w:pPr>
              <w:jc w:val="center"/>
              <w:rPr>
                <w:sz w:val="20"/>
                <w:szCs w:val="20"/>
              </w:rPr>
            </w:pPr>
            <w:r w:rsidRPr="008B6A75">
              <w:rPr>
                <w:sz w:val="20"/>
                <w:szCs w:val="20"/>
              </w:rPr>
              <w:t>03</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0F50AF8" w14:textId="77777777" w:rsidR="00387142" w:rsidRPr="008B6A75" w:rsidRDefault="00387142" w:rsidP="00387142">
            <w:pPr>
              <w:jc w:val="right"/>
              <w:rPr>
                <w:sz w:val="20"/>
                <w:szCs w:val="20"/>
              </w:rPr>
            </w:pPr>
            <w:r w:rsidRPr="008B6A75">
              <w:rPr>
                <w:sz w:val="20"/>
                <w:szCs w:val="20"/>
              </w:rPr>
              <w:t>2 743 167,66</w:t>
            </w:r>
          </w:p>
        </w:tc>
        <w:tc>
          <w:tcPr>
            <w:tcW w:w="851" w:type="dxa"/>
            <w:tcBorders>
              <w:top w:val="nil"/>
              <w:left w:val="single" w:sz="4" w:space="0" w:color="auto"/>
              <w:bottom w:val="single" w:sz="4" w:space="0" w:color="auto"/>
              <w:right w:val="nil"/>
            </w:tcBorders>
            <w:shd w:val="clear" w:color="auto" w:fill="auto"/>
            <w:noWrap/>
            <w:vAlign w:val="center"/>
            <w:hideMark/>
          </w:tcPr>
          <w:p w14:paraId="03B2C8DA" w14:textId="77777777" w:rsidR="00387142" w:rsidRPr="008B6A75" w:rsidRDefault="00387142" w:rsidP="00387142">
            <w:pPr>
              <w:jc w:val="right"/>
              <w:rPr>
                <w:sz w:val="20"/>
                <w:szCs w:val="20"/>
              </w:rPr>
            </w:pPr>
            <w:r w:rsidRPr="008B6A75">
              <w:rPr>
                <w:sz w:val="20"/>
                <w:szCs w:val="20"/>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7CD0174D" w14:textId="77777777" w:rsidR="00387142" w:rsidRPr="008B6A75" w:rsidRDefault="00387142" w:rsidP="00387142">
            <w:pPr>
              <w:jc w:val="right"/>
              <w:rPr>
                <w:sz w:val="20"/>
                <w:szCs w:val="20"/>
              </w:rPr>
            </w:pPr>
            <w:r w:rsidRPr="008B6A75">
              <w:rPr>
                <w:sz w:val="20"/>
                <w:szCs w:val="20"/>
              </w:rPr>
              <w:t>0,00</w:t>
            </w:r>
          </w:p>
        </w:tc>
      </w:tr>
      <w:tr w:rsidR="00387142" w:rsidRPr="008B6A75" w14:paraId="2D5BD2A5" w14:textId="77777777" w:rsidTr="00387142">
        <w:trPr>
          <w:trHeight w:val="300"/>
        </w:trPr>
        <w:tc>
          <w:tcPr>
            <w:tcW w:w="272" w:type="dxa"/>
            <w:tcBorders>
              <w:top w:val="nil"/>
              <w:left w:val="nil"/>
              <w:bottom w:val="nil"/>
              <w:right w:val="single" w:sz="4" w:space="0" w:color="auto"/>
            </w:tcBorders>
            <w:shd w:val="clear" w:color="auto" w:fill="auto"/>
            <w:noWrap/>
            <w:vAlign w:val="bottom"/>
            <w:hideMark/>
          </w:tcPr>
          <w:p w14:paraId="617A99A5"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376549F9" w14:textId="77777777" w:rsidR="00387142" w:rsidRPr="008B6A75" w:rsidRDefault="00387142" w:rsidP="00387142">
            <w:pPr>
              <w:rPr>
                <w:sz w:val="20"/>
                <w:szCs w:val="20"/>
              </w:rPr>
            </w:pPr>
            <w:r w:rsidRPr="008B6A75">
              <w:rPr>
                <w:sz w:val="20"/>
                <w:szCs w:val="20"/>
              </w:rPr>
              <w:t>Субсидии автономным учреждениям</w:t>
            </w:r>
          </w:p>
        </w:tc>
        <w:tc>
          <w:tcPr>
            <w:tcW w:w="1559" w:type="dxa"/>
            <w:tcBorders>
              <w:top w:val="nil"/>
              <w:left w:val="single" w:sz="4" w:space="0" w:color="auto"/>
              <w:bottom w:val="single" w:sz="4" w:space="0" w:color="auto"/>
              <w:right w:val="nil"/>
            </w:tcBorders>
            <w:shd w:val="clear" w:color="auto" w:fill="auto"/>
            <w:noWrap/>
            <w:vAlign w:val="center"/>
            <w:hideMark/>
          </w:tcPr>
          <w:p w14:paraId="43D3B909" w14:textId="77777777" w:rsidR="00387142" w:rsidRPr="008B6A75" w:rsidRDefault="00387142" w:rsidP="00387142">
            <w:pPr>
              <w:jc w:val="center"/>
              <w:rPr>
                <w:sz w:val="20"/>
                <w:szCs w:val="20"/>
              </w:rPr>
            </w:pPr>
            <w:r w:rsidRPr="008B6A75">
              <w:rPr>
                <w:sz w:val="20"/>
                <w:szCs w:val="20"/>
              </w:rPr>
              <w:t>07.1.00.07491</w:t>
            </w:r>
          </w:p>
        </w:tc>
        <w:tc>
          <w:tcPr>
            <w:tcW w:w="850" w:type="dxa"/>
            <w:tcBorders>
              <w:top w:val="nil"/>
              <w:left w:val="single" w:sz="4" w:space="0" w:color="auto"/>
              <w:bottom w:val="single" w:sz="4" w:space="0" w:color="auto"/>
              <w:right w:val="nil"/>
            </w:tcBorders>
            <w:shd w:val="clear" w:color="auto" w:fill="auto"/>
            <w:noWrap/>
            <w:vAlign w:val="center"/>
            <w:hideMark/>
          </w:tcPr>
          <w:p w14:paraId="2C6E7778" w14:textId="77777777" w:rsidR="00387142" w:rsidRPr="008B6A75" w:rsidRDefault="00387142" w:rsidP="00387142">
            <w:pPr>
              <w:jc w:val="center"/>
              <w:rPr>
                <w:sz w:val="20"/>
                <w:szCs w:val="20"/>
              </w:rPr>
            </w:pPr>
            <w:r w:rsidRPr="008B6A75">
              <w:rPr>
                <w:sz w:val="20"/>
                <w:szCs w:val="20"/>
              </w:rPr>
              <w:t>620</w:t>
            </w:r>
          </w:p>
        </w:tc>
        <w:tc>
          <w:tcPr>
            <w:tcW w:w="567" w:type="dxa"/>
            <w:tcBorders>
              <w:top w:val="nil"/>
              <w:left w:val="single" w:sz="4" w:space="0" w:color="auto"/>
              <w:bottom w:val="single" w:sz="4" w:space="0" w:color="auto"/>
              <w:right w:val="nil"/>
            </w:tcBorders>
            <w:shd w:val="clear" w:color="auto" w:fill="auto"/>
            <w:noWrap/>
            <w:vAlign w:val="center"/>
            <w:hideMark/>
          </w:tcPr>
          <w:p w14:paraId="24EA1155" w14:textId="77777777" w:rsidR="00387142" w:rsidRPr="008B6A75" w:rsidRDefault="00387142" w:rsidP="00387142">
            <w:pPr>
              <w:jc w:val="center"/>
              <w:rPr>
                <w:sz w:val="20"/>
                <w:szCs w:val="20"/>
              </w:rPr>
            </w:pPr>
            <w:r w:rsidRPr="008B6A75">
              <w:rPr>
                <w:sz w:val="20"/>
                <w:szCs w:val="20"/>
              </w:rPr>
              <w:t>07</w:t>
            </w:r>
          </w:p>
        </w:tc>
        <w:tc>
          <w:tcPr>
            <w:tcW w:w="567" w:type="dxa"/>
            <w:tcBorders>
              <w:top w:val="nil"/>
              <w:left w:val="single" w:sz="4" w:space="0" w:color="auto"/>
              <w:bottom w:val="single" w:sz="4" w:space="0" w:color="auto"/>
              <w:right w:val="nil"/>
            </w:tcBorders>
            <w:shd w:val="clear" w:color="auto" w:fill="auto"/>
            <w:noWrap/>
            <w:vAlign w:val="center"/>
            <w:hideMark/>
          </w:tcPr>
          <w:p w14:paraId="42A7C272" w14:textId="77777777" w:rsidR="00387142" w:rsidRPr="008B6A75" w:rsidRDefault="00387142" w:rsidP="00387142">
            <w:pPr>
              <w:jc w:val="center"/>
              <w:rPr>
                <w:sz w:val="20"/>
                <w:szCs w:val="20"/>
              </w:rPr>
            </w:pPr>
            <w:r w:rsidRPr="008B6A75">
              <w:rPr>
                <w:sz w:val="20"/>
                <w:szCs w:val="20"/>
              </w:rPr>
              <w:t>03</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8DB5DB7" w14:textId="77777777" w:rsidR="00387142" w:rsidRPr="008B6A75" w:rsidRDefault="00387142" w:rsidP="00387142">
            <w:pPr>
              <w:jc w:val="right"/>
              <w:rPr>
                <w:sz w:val="20"/>
                <w:szCs w:val="20"/>
              </w:rPr>
            </w:pPr>
            <w:r w:rsidRPr="008B6A75">
              <w:rPr>
                <w:sz w:val="20"/>
                <w:szCs w:val="20"/>
              </w:rPr>
              <w:t>30 000,00</w:t>
            </w:r>
          </w:p>
        </w:tc>
        <w:tc>
          <w:tcPr>
            <w:tcW w:w="851" w:type="dxa"/>
            <w:tcBorders>
              <w:top w:val="nil"/>
              <w:left w:val="single" w:sz="4" w:space="0" w:color="auto"/>
              <w:bottom w:val="single" w:sz="4" w:space="0" w:color="auto"/>
              <w:right w:val="nil"/>
            </w:tcBorders>
            <w:shd w:val="clear" w:color="auto" w:fill="auto"/>
            <w:noWrap/>
            <w:vAlign w:val="center"/>
            <w:hideMark/>
          </w:tcPr>
          <w:p w14:paraId="52A70833" w14:textId="77777777" w:rsidR="00387142" w:rsidRPr="008B6A75" w:rsidRDefault="00387142" w:rsidP="00387142">
            <w:pPr>
              <w:jc w:val="right"/>
              <w:rPr>
                <w:sz w:val="20"/>
                <w:szCs w:val="20"/>
              </w:rPr>
            </w:pPr>
            <w:r w:rsidRPr="008B6A75">
              <w:rPr>
                <w:sz w:val="20"/>
                <w:szCs w:val="20"/>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6CF27ABF" w14:textId="77777777" w:rsidR="00387142" w:rsidRPr="008B6A75" w:rsidRDefault="00387142" w:rsidP="00387142">
            <w:pPr>
              <w:jc w:val="right"/>
              <w:rPr>
                <w:sz w:val="20"/>
                <w:szCs w:val="20"/>
              </w:rPr>
            </w:pPr>
            <w:r w:rsidRPr="008B6A75">
              <w:rPr>
                <w:sz w:val="20"/>
                <w:szCs w:val="20"/>
              </w:rPr>
              <w:t>0,00</w:t>
            </w:r>
          </w:p>
        </w:tc>
      </w:tr>
      <w:tr w:rsidR="00387142" w:rsidRPr="008B6A75" w14:paraId="2A34B830" w14:textId="77777777" w:rsidTr="00387142">
        <w:trPr>
          <w:trHeight w:val="870"/>
        </w:trPr>
        <w:tc>
          <w:tcPr>
            <w:tcW w:w="272" w:type="dxa"/>
            <w:tcBorders>
              <w:top w:val="nil"/>
              <w:left w:val="nil"/>
              <w:bottom w:val="nil"/>
              <w:right w:val="single" w:sz="4" w:space="0" w:color="auto"/>
            </w:tcBorders>
            <w:shd w:val="clear" w:color="auto" w:fill="auto"/>
            <w:noWrap/>
            <w:vAlign w:val="bottom"/>
            <w:hideMark/>
          </w:tcPr>
          <w:p w14:paraId="36ACD517"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1F77A255" w14:textId="77777777" w:rsidR="00387142" w:rsidRPr="008B6A75" w:rsidRDefault="00387142" w:rsidP="00387142">
            <w:pPr>
              <w:rPr>
                <w:sz w:val="20"/>
                <w:szCs w:val="20"/>
              </w:rPr>
            </w:pPr>
            <w:r w:rsidRPr="008B6A75">
              <w:rPr>
                <w:sz w:val="20"/>
                <w:szCs w:val="20"/>
              </w:rPr>
              <w:t>Субсидии некоммерческим организациям (за исключением государственных (муниципальных) учреждений)</w:t>
            </w:r>
          </w:p>
        </w:tc>
        <w:tc>
          <w:tcPr>
            <w:tcW w:w="1559" w:type="dxa"/>
            <w:tcBorders>
              <w:top w:val="nil"/>
              <w:left w:val="single" w:sz="4" w:space="0" w:color="auto"/>
              <w:bottom w:val="single" w:sz="4" w:space="0" w:color="auto"/>
              <w:right w:val="nil"/>
            </w:tcBorders>
            <w:shd w:val="clear" w:color="auto" w:fill="auto"/>
            <w:noWrap/>
            <w:vAlign w:val="center"/>
            <w:hideMark/>
          </w:tcPr>
          <w:p w14:paraId="4B9B5B96" w14:textId="77777777" w:rsidR="00387142" w:rsidRPr="008B6A75" w:rsidRDefault="00387142" w:rsidP="00387142">
            <w:pPr>
              <w:jc w:val="center"/>
              <w:rPr>
                <w:sz w:val="20"/>
                <w:szCs w:val="20"/>
              </w:rPr>
            </w:pPr>
            <w:r w:rsidRPr="008B6A75">
              <w:rPr>
                <w:sz w:val="20"/>
                <w:szCs w:val="20"/>
              </w:rPr>
              <w:t>07.1.00.07491</w:t>
            </w:r>
          </w:p>
        </w:tc>
        <w:tc>
          <w:tcPr>
            <w:tcW w:w="850" w:type="dxa"/>
            <w:tcBorders>
              <w:top w:val="nil"/>
              <w:left w:val="single" w:sz="4" w:space="0" w:color="auto"/>
              <w:bottom w:val="single" w:sz="4" w:space="0" w:color="auto"/>
              <w:right w:val="nil"/>
            </w:tcBorders>
            <w:shd w:val="clear" w:color="auto" w:fill="auto"/>
            <w:noWrap/>
            <w:vAlign w:val="center"/>
            <w:hideMark/>
          </w:tcPr>
          <w:p w14:paraId="221578FD" w14:textId="77777777" w:rsidR="00387142" w:rsidRPr="008B6A75" w:rsidRDefault="00387142" w:rsidP="00387142">
            <w:pPr>
              <w:jc w:val="center"/>
              <w:rPr>
                <w:sz w:val="20"/>
                <w:szCs w:val="20"/>
              </w:rPr>
            </w:pPr>
            <w:r w:rsidRPr="008B6A75">
              <w:rPr>
                <w:sz w:val="20"/>
                <w:szCs w:val="20"/>
              </w:rPr>
              <w:t>630</w:t>
            </w:r>
          </w:p>
        </w:tc>
        <w:tc>
          <w:tcPr>
            <w:tcW w:w="567" w:type="dxa"/>
            <w:tcBorders>
              <w:top w:val="nil"/>
              <w:left w:val="single" w:sz="4" w:space="0" w:color="auto"/>
              <w:bottom w:val="single" w:sz="4" w:space="0" w:color="auto"/>
              <w:right w:val="nil"/>
            </w:tcBorders>
            <w:shd w:val="clear" w:color="auto" w:fill="auto"/>
            <w:noWrap/>
            <w:vAlign w:val="center"/>
            <w:hideMark/>
          </w:tcPr>
          <w:p w14:paraId="2CCF402D" w14:textId="77777777" w:rsidR="00387142" w:rsidRPr="008B6A75" w:rsidRDefault="00387142" w:rsidP="00387142">
            <w:pPr>
              <w:jc w:val="center"/>
              <w:rPr>
                <w:sz w:val="20"/>
                <w:szCs w:val="20"/>
              </w:rPr>
            </w:pPr>
            <w:r w:rsidRPr="008B6A75">
              <w:rPr>
                <w:sz w:val="20"/>
                <w:szCs w:val="20"/>
              </w:rPr>
              <w:t>07</w:t>
            </w:r>
          </w:p>
        </w:tc>
        <w:tc>
          <w:tcPr>
            <w:tcW w:w="567" w:type="dxa"/>
            <w:tcBorders>
              <w:top w:val="nil"/>
              <w:left w:val="single" w:sz="4" w:space="0" w:color="auto"/>
              <w:bottom w:val="single" w:sz="4" w:space="0" w:color="auto"/>
              <w:right w:val="nil"/>
            </w:tcBorders>
            <w:shd w:val="clear" w:color="auto" w:fill="auto"/>
            <w:noWrap/>
            <w:vAlign w:val="center"/>
            <w:hideMark/>
          </w:tcPr>
          <w:p w14:paraId="25DDD604" w14:textId="77777777" w:rsidR="00387142" w:rsidRPr="008B6A75" w:rsidRDefault="00387142" w:rsidP="00387142">
            <w:pPr>
              <w:jc w:val="center"/>
              <w:rPr>
                <w:sz w:val="20"/>
                <w:szCs w:val="20"/>
              </w:rPr>
            </w:pPr>
            <w:r w:rsidRPr="008B6A75">
              <w:rPr>
                <w:sz w:val="20"/>
                <w:szCs w:val="20"/>
              </w:rPr>
              <w:t>03</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A681EDC" w14:textId="77777777" w:rsidR="00387142" w:rsidRPr="008B6A75" w:rsidRDefault="00387142" w:rsidP="00387142">
            <w:pPr>
              <w:jc w:val="right"/>
              <w:rPr>
                <w:sz w:val="20"/>
                <w:szCs w:val="20"/>
              </w:rPr>
            </w:pPr>
            <w:r w:rsidRPr="008B6A75">
              <w:rPr>
                <w:sz w:val="20"/>
                <w:szCs w:val="20"/>
              </w:rPr>
              <w:t>20 000,00</w:t>
            </w:r>
          </w:p>
        </w:tc>
        <w:tc>
          <w:tcPr>
            <w:tcW w:w="851" w:type="dxa"/>
            <w:tcBorders>
              <w:top w:val="nil"/>
              <w:left w:val="single" w:sz="4" w:space="0" w:color="auto"/>
              <w:bottom w:val="single" w:sz="4" w:space="0" w:color="auto"/>
              <w:right w:val="nil"/>
            </w:tcBorders>
            <w:shd w:val="clear" w:color="auto" w:fill="auto"/>
            <w:noWrap/>
            <w:vAlign w:val="center"/>
            <w:hideMark/>
          </w:tcPr>
          <w:p w14:paraId="1774BBBC" w14:textId="77777777" w:rsidR="00387142" w:rsidRPr="008B6A75" w:rsidRDefault="00387142" w:rsidP="00387142">
            <w:pPr>
              <w:jc w:val="right"/>
              <w:rPr>
                <w:sz w:val="20"/>
                <w:szCs w:val="20"/>
              </w:rPr>
            </w:pPr>
            <w:r w:rsidRPr="008B6A75">
              <w:rPr>
                <w:sz w:val="20"/>
                <w:szCs w:val="20"/>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7452DEA8" w14:textId="77777777" w:rsidR="00387142" w:rsidRPr="008B6A75" w:rsidRDefault="00387142" w:rsidP="00387142">
            <w:pPr>
              <w:jc w:val="right"/>
              <w:rPr>
                <w:sz w:val="20"/>
                <w:szCs w:val="20"/>
              </w:rPr>
            </w:pPr>
            <w:r w:rsidRPr="008B6A75">
              <w:rPr>
                <w:sz w:val="20"/>
                <w:szCs w:val="20"/>
              </w:rPr>
              <w:t>0,00</w:t>
            </w:r>
          </w:p>
        </w:tc>
      </w:tr>
      <w:tr w:rsidR="00387142" w:rsidRPr="008B6A75" w14:paraId="275D5867" w14:textId="77777777" w:rsidTr="00387142">
        <w:trPr>
          <w:trHeight w:val="300"/>
        </w:trPr>
        <w:tc>
          <w:tcPr>
            <w:tcW w:w="272" w:type="dxa"/>
            <w:tcBorders>
              <w:top w:val="nil"/>
              <w:left w:val="nil"/>
              <w:bottom w:val="nil"/>
              <w:right w:val="single" w:sz="4" w:space="0" w:color="auto"/>
            </w:tcBorders>
            <w:shd w:val="clear" w:color="auto" w:fill="auto"/>
            <w:noWrap/>
            <w:vAlign w:val="bottom"/>
            <w:hideMark/>
          </w:tcPr>
          <w:p w14:paraId="438AC54E"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3DC02032" w14:textId="77777777" w:rsidR="00387142" w:rsidRPr="008B6A75" w:rsidRDefault="00387142" w:rsidP="00387142">
            <w:pPr>
              <w:rPr>
                <w:sz w:val="20"/>
                <w:szCs w:val="20"/>
              </w:rPr>
            </w:pPr>
            <w:r w:rsidRPr="008B6A75">
              <w:rPr>
                <w:sz w:val="20"/>
                <w:szCs w:val="20"/>
              </w:rPr>
              <w:t>Иные бюджетные ассигнования</w:t>
            </w:r>
          </w:p>
        </w:tc>
        <w:tc>
          <w:tcPr>
            <w:tcW w:w="1559" w:type="dxa"/>
            <w:tcBorders>
              <w:top w:val="nil"/>
              <w:left w:val="single" w:sz="4" w:space="0" w:color="auto"/>
              <w:bottom w:val="single" w:sz="4" w:space="0" w:color="auto"/>
              <w:right w:val="nil"/>
            </w:tcBorders>
            <w:shd w:val="clear" w:color="auto" w:fill="auto"/>
            <w:noWrap/>
            <w:vAlign w:val="center"/>
            <w:hideMark/>
          </w:tcPr>
          <w:p w14:paraId="0E9FF65C" w14:textId="77777777" w:rsidR="00387142" w:rsidRPr="008B6A75" w:rsidRDefault="00387142" w:rsidP="00387142">
            <w:pPr>
              <w:jc w:val="center"/>
              <w:rPr>
                <w:sz w:val="20"/>
                <w:szCs w:val="20"/>
              </w:rPr>
            </w:pPr>
            <w:r w:rsidRPr="008B6A75">
              <w:rPr>
                <w:sz w:val="20"/>
                <w:szCs w:val="20"/>
              </w:rPr>
              <w:t>07.1.00.07491</w:t>
            </w:r>
          </w:p>
        </w:tc>
        <w:tc>
          <w:tcPr>
            <w:tcW w:w="850" w:type="dxa"/>
            <w:tcBorders>
              <w:top w:val="nil"/>
              <w:left w:val="single" w:sz="4" w:space="0" w:color="auto"/>
              <w:bottom w:val="single" w:sz="4" w:space="0" w:color="auto"/>
              <w:right w:val="nil"/>
            </w:tcBorders>
            <w:shd w:val="clear" w:color="auto" w:fill="auto"/>
            <w:noWrap/>
            <w:vAlign w:val="center"/>
            <w:hideMark/>
          </w:tcPr>
          <w:p w14:paraId="29BAD2E2" w14:textId="77777777" w:rsidR="00387142" w:rsidRPr="008B6A75" w:rsidRDefault="00387142" w:rsidP="00387142">
            <w:pPr>
              <w:jc w:val="center"/>
              <w:rPr>
                <w:sz w:val="20"/>
                <w:szCs w:val="20"/>
              </w:rPr>
            </w:pPr>
            <w:r w:rsidRPr="008B6A75">
              <w:rPr>
                <w:sz w:val="20"/>
                <w:szCs w:val="20"/>
              </w:rPr>
              <w:t>800</w:t>
            </w:r>
          </w:p>
        </w:tc>
        <w:tc>
          <w:tcPr>
            <w:tcW w:w="567" w:type="dxa"/>
            <w:tcBorders>
              <w:top w:val="nil"/>
              <w:left w:val="single" w:sz="4" w:space="0" w:color="auto"/>
              <w:bottom w:val="single" w:sz="4" w:space="0" w:color="auto"/>
              <w:right w:val="nil"/>
            </w:tcBorders>
            <w:shd w:val="clear" w:color="auto" w:fill="auto"/>
            <w:noWrap/>
            <w:vAlign w:val="center"/>
            <w:hideMark/>
          </w:tcPr>
          <w:p w14:paraId="7F38E910" w14:textId="77777777" w:rsidR="00387142" w:rsidRPr="008B6A75" w:rsidRDefault="00387142" w:rsidP="00387142">
            <w:pPr>
              <w:jc w:val="center"/>
              <w:rPr>
                <w:sz w:val="20"/>
                <w:szCs w:val="20"/>
              </w:rPr>
            </w:pPr>
            <w:r w:rsidRPr="008B6A75">
              <w:rPr>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4551F729" w14:textId="77777777" w:rsidR="00387142" w:rsidRPr="008B6A75" w:rsidRDefault="00387142" w:rsidP="00387142">
            <w:pPr>
              <w:jc w:val="center"/>
              <w:rPr>
                <w:sz w:val="20"/>
                <w:szCs w:val="20"/>
              </w:rPr>
            </w:pPr>
            <w:r w:rsidRPr="008B6A75">
              <w:rPr>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483AC8B" w14:textId="77777777" w:rsidR="00387142" w:rsidRPr="008B6A75" w:rsidRDefault="00387142" w:rsidP="00387142">
            <w:pPr>
              <w:jc w:val="right"/>
              <w:rPr>
                <w:sz w:val="20"/>
                <w:szCs w:val="20"/>
              </w:rPr>
            </w:pPr>
            <w:r w:rsidRPr="008B6A75">
              <w:rPr>
                <w:sz w:val="20"/>
                <w:szCs w:val="20"/>
              </w:rPr>
              <w:t>50 000,00</w:t>
            </w:r>
          </w:p>
        </w:tc>
        <w:tc>
          <w:tcPr>
            <w:tcW w:w="851" w:type="dxa"/>
            <w:tcBorders>
              <w:top w:val="nil"/>
              <w:left w:val="single" w:sz="4" w:space="0" w:color="auto"/>
              <w:bottom w:val="single" w:sz="4" w:space="0" w:color="auto"/>
              <w:right w:val="nil"/>
            </w:tcBorders>
            <w:shd w:val="clear" w:color="auto" w:fill="auto"/>
            <w:noWrap/>
            <w:vAlign w:val="center"/>
            <w:hideMark/>
          </w:tcPr>
          <w:p w14:paraId="7A7F49BA" w14:textId="77777777" w:rsidR="00387142" w:rsidRPr="008B6A75" w:rsidRDefault="00387142" w:rsidP="00387142">
            <w:pPr>
              <w:jc w:val="right"/>
              <w:rPr>
                <w:sz w:val="20"/>
                <w:szCs w:val="20"/>
              </w:rPr>
            </w:pPr>
            <w:r w:rsidRPr="008B6A75">
              <w:rPr>
                <w:sz w:val="20"/>
                <w:szCs w:val="20"/>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003C60E1" w14:textId="77777777" w:rsidR="00387142" w:rsidRPr="008B6A75" w:rsidRDefault="00387142" w:rsidP="00387142">
            <w:pPr>
              <w:jc w:val="right"/>
              <w:rPr>
                <w:sz w:val="20"/>
                <w:szCs w:val="20"/>
              </w:rPr>
            </w:pPr>
            <w:r w:rsidRPr="008B6A75">
              <w:rPr>
                <w:sz w:val="20"/>
                <w:szCs w:val="20"/>
              </w:rPr>
              <w:t>0,00</w:t>
            </w:r>
          </w:p>
        </w:tc>
      </w:tr>
      <w:tr w:rsidR="00387142" w:rsidRPr="008B6A75" w14:paraId="42EDE3A9" w14:textId="77777777" w:rsidTr="00387142">
        <w:trPr>
          <w:trHeight w:val="1155"/>
        </w:trPr>
        <w:tc>
          <w:tcPr>
            <w:tcW w:w="272" w:type="dxa"/>
            <w:tcBorders>
              <w:top w:val="nil"/>
              <w:left w:val="nil"/>
              <w:bottom w:val="nil"/>
              <w:right w:val="single" w:sz="4" w:space="0" w:color="auto"/>
            </w:tcBorders>
            <w:shd w:val="clear" w:color="auto" w:fill="auto"/>
            <w:noWrap/>
            <w:vAlign w:val="bottom"/>
            <w:hideMark/>
          </w:tcPr>
          <w:p w14:paraId="431537E4"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200E1134" w14:textId="77777777" w:rsidR="00387142" w:rsidRPr="008B6A75" w:rsidRDefault="00387142" w:rsidP="00387142">
            <w:pPr>
              <w:rPr>
                <w:sz w:val="20"/>
                <w:szCs w:val="20"/>
              </w:rPr>
            </w:pPr>
            <w:r w:rsidRPr="008B6A75">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59" w:type="dxa"/>
            <w:tcBorders>
              <w:top w:val="nil"/>
              <w:left w:val="single" w:sz="4" w:space="0" w:color="auto"/>
              <w:bottom w:val="single" w:sz="4" w:space="0" w:color="auto"/>
              <w:right w:val="nil"/>
            </w:tcBorders>
            <w:shd w:val="clear" w:color="auto" w:fill="auto"/>
            <w:noWrap/>
            <w:vAlign w:val="center"/>
            <w:hideMark/>
          </w:tcPr>
          <w:p w14:paraId="56B6B688" w14:textId="77777777" w:rsidR="00387142" w:rsidRPr="008B6A75" w:rsidRDefault="00387142" w:rsidP="00387142">
            <w:pPr>
              <w:jc w:val="center"/>
              <w:rPr>
                <w:sz w:val="20"/>
                <w:szCs w:val="20"/>
              </w:rPr>
            </w:pPr>
            <w:r w:rsidRPr="008B6A75">
              <w:rPr>
                <w:sz w:val="20"/>
                <w:szCs w:val="20"/>
              </w:rPr>
              <w:t>07.1.00.07491</w:t>
            </w:r>
          </w:p>
        </w:tc>
        <w:tc>
          <w:tcPr>
            <w:tcW w:w="850" w:type="dxa"/>
            <w:tcBorders>
              <w:top w:val="nil"/>
              <w:left w:val="single" w:sz="4" w:space="0" w:color="auto"/>
              <w:bottom w:val="single" w:sz="4" w:space="0" w:color="auto"/>
              <w:right w:val="nil"/>
            </w:tcBorders>
            <w:shd w:val="clear" w:color="auto" w:fill="auto"/>
            <w:noWrap/>
            <w:vAlign w:val="center"/>
            <w:hideMark/>
          </w:tcPr>
          <w:p w14:paraId="3A85538D" w14:textId="77777777" w:rsidR="00387142" w:rsidRPr="008B6A75" w:rsidRDefault="00387142" w:rsidP="00387142">
            <w:pPr>
              <w:jc w:val="center"/>
              <w:rPr>
                <w:sz w:val="20"/>
                <w:szCs w:val="20"/>
              </w:rPr>
            </w:pPr>
            <w:r w:rsidRPr="008B6A75">
              <w:rPr>
                <w:sz w:val="20"/>
                <w:szCs w:val="20"/>
              </w:rPr>
              <w:t>810</w:t>
            </w:r>
          </w:p>
        </w:tc>
        <w:tc>
          <w:tcPr>
            <w:tcW w:w="567" w:type="dxa"/>
            <w:tcBorders>
              <w:top w:val="nil"/>
              <w:left w:val="single" w:sz="4" w:space="0" w:color="auto"/>
              <w:bottom w:val="single" w:sz="4" w:space="0" w:color="auto"/>
              <w:right w:val="nil"/>
            </w:tcBorders>
            <w:shd w:val="clear" w:color="auto" w:fill="auto"/>
            <w:noWrap/>
            <w:vAlign w:val="center"/>
            <w:hideMark/>
          </w:tcPr>
          <w:p w14:paraId="27E32164" w14:textId="77777777" w:rsidR="00387142" w:rsidRPr="008B6A75" w:rsidRDefault="00387142" w:rsidP="00387142">
            <w:pPr>
              <w:jc w:val="center"/>
              <w:rPr>
                <w:sz w:val="20"/>
                <w:szCs w:val="20"/>
              </w:rPr>
            </w:pPr>
            <w:r w:rsidRPr="008B6A75">
              <w:rPr>
                <w:sz w:val="20"/>
                <w:szCs w:val="20"/>
              </w:rPr>
              <w:t>07</w:t>
            </w:r>
          </w:p>
        </w:tc>
        <w:tc>
          <w:tcPr>
            <w:tcW w:w="567" w:type="dxa"/>
            <w:tcBorders>
              <w:top w:val="nil"/>
              <w:left w:val="single" w:sz="4" w:space="0" w:color="auto"/>
              <w:bottom w:val="single" w:sz="4" w:space="0" w:color="auto"/>
              <w:right w:val="nil"/>
            </w:tcBorders>
            <w:shd w:val="clear" w:color="auto" w:fill="auto"/>
            <w:noWrap/>
            <w:vAlign w:val="center"/>
            <w:hideMark/>
          </w:tcPr>
          <w:p w14:paraId="4F84B2A6" w14:textId="77777777" w:rsidR="00387142" w:rsidRPr="008B6A75" w:rsidRDefault="00387142" w:rsidP="00387142">
            <w:pPr>
              <w:jc w:val="center"/>
              <w:rPr>
                <w:sz w:val="20"/>
                <w:szCs w:val="20"/>
              </w:rPr>
            </w:pPr>
            <w:r w:rsidRPr="008B6A75">
              <w:rPr>
                <w:sz w:val="20"/>
                <w:szCs w:val="20"/>
              </w:rPr>
              <w:t>03</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0C6626C" w14:textId="77777777" w:rsidR="00387142" w:rsidRPr="008B6A75" w:rsidRDefault="00387142" w:rsidP="00387142">
            <w:pPr>
              <w:jc w:val="right"/>
              <w:rPr>
                <w:sz w:val="20"/>
                <w:szCs w:val="20"/>
              </w:rPr>
            </w:pPr>
            <w:r w:rsidRPr="008B6A75">
              <w:rPr>
                <w:sz w:val="20"/>
                <w:szCs w:val="20"/>
              </w:rPr>
              <w:t>50 000,00</w:t>
            </w:r>
          </w:p>
        </w:tc>
        <w:tc>
          <w:tcPr>
            <w:tcW w:w="851" w:type="dxa"/>
            <w:tcBorders>
              <w:top w:val="nil"/>
              <w:left w:val="single" w:sz="4" w:space="0" w:color="auto"/>
              <w:bottom w:val="single" w:sz="4" w:space="0" w:color="auto"/>
              <w:right w:val="nil"/>
            </w:tcBorders>
            <w:shd w:val="clear" w:color="auto" w:fill="auto"/>
            <w:noWrap/>
            <w:vAlign w:val="center"/>
            <w:hideMark/>
          </w:tcPr>
          <w:p w14:paraId="45BA9416" w14:textId="77777777" w:rsidR="00387142" w:rsidRPr="008B6A75" w:rsidRDefault="00387142" w:rsidP="00387142">
            <w:pPr>
              <w:jc w:val="right"/>
              <w:rPr>
                <w:sz w:val="20"/>
                <w:szCs w:val="20"/>
              </w:rPr>
            </w:pPr>
            <w:r w:rsidRPr="008B6A75">
              <w:rPr>
                <w:sz w:val="20"/>
                <w:szCs w:val="20"/>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21CFFB71" w14:textId="77777777" w:rsidR="00387142" w:rsidRPr="008B6A75" w:rsidRDefault="00387142" w:rsidP="00387142">
            <w:pPr>
              <w:jc w:val="right"/>
              <w:rPr>
                <w:sz w:val="20"/>
                <w:szCs w:val="20"/>
              </w:rPr>
            </w:pPr>
            <w:r w:rsidRPr="008B6A75">
              <w:rPr>
                <w:sz w:val="20"/>
                <w:szCs w:val="20"/>
              </w:rPr>
              <w:t>0,00</w:t>
            </w:r>
          </w:p>
        </w:tc>
      </w:tr>
      <w:tr w:rsidR="00387142" w:rsidRPr="008B6A75" w14:paraId="05C383B3" w14:textId="77777777" w:rsidTr="00387142">
        <w:trPr>
          <w:trHeight w:val="1155"/>
        </w:trPr>
        <w:tc>
          <w:tcPr>
            <w:tcW w:w="272" w:type="dxa"/>
            <w:tcBorders>
              <w:top w:val="nil"/>
              <w:left w:val="nil"/>
              <w:bottom w:val="nil"/>
              <w:right w:val="single" w:sz="4" w:space="0" w:color="auto"/>
            </w:tcBorders>
            <w:shd w:val="clear" w:color="auto" w:fill="auto"/>
            <w:noWrap/>
            <w:vAlign w:val="bottom"/>
            <w:hideMark/>
          </w:tcPr>
          <w:p w14:paraId="3B439A6B"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2B87D469" w14:textId="77777777" w:rsidR="00387142" w:rsidRPr="008B6A75" w:rsidRDefault="00387142" w:rsidP="00387142">
            <w:pPr>
              <w:rPr>
                <w:bCs/>
                <w:sz w:val="20"/>
                <w:szCs w:val="20"/>
              </w:rPr>
            </w:pPr>
            <w:r w:rsidRPr="008B6A75">
              <w:rPr>
                <w:bCs/>
                <w:sz w:val="20"/>
                <w:szCs w:val="20"/>
              </w:rPr>
              <w:t>Расходы на обеспечение деятельности (оказание услуг) муниципальных учреждений, обеспечивающие предоставление услуг в сфере образования</w:t>
            </w:r>
          </w:p>
        </w:tc>
        <w:tc>
          <w:tcPr>
            <w:tcW w:w="1559" w:type="dxa"/>
            <w:tcBorders>
              <w:top w:val="nil"/>
              <w:left w:val="single" w:sz="4" w:space="0" w:color="auto"/>
              <w:bottom w:val="single" w:sz="4" w:space="0" w:color="auto"/>
              <w:right w:val="nil"/>
            </w:tcBorders>
            <w:shd w:val="clear" w:color="auto" w:fill="auto"/>
            <w:noWrap/>
            <w:vAlign w:val="center"/>
            <w:hideMark/>
          </w:tcPr>
          <w:p w14:paraId="14EC9C4F" w14:textId="77777777" w:rsidR="00387142" w:rsidRPr="008B6A75" w:rsidRDefault="00387142" w:rsidP="00387142">
            <w:pPr>
              <w:jc w:val="center"/>
              <w:rPr>
                <w:bCs/>
                <w:sz w:val="20"/>
                <w:szCs w:val="20"/>
              </w:rPr>
            </w:pPr>
            <w:r w:rsidRPr="008B6A75">
              <w:rPr>
                <w:bCs/>
                <w:sz w:val="20"/>
                <w:szCs w:val="20"/>
              </w:rPr>
              <w:t>07.1.00.07790</w:t>
            </w:r>
          </w:p>
        </w:tc>
        <w:tc>
          <w:tcPr>
            <w:tcW w:w="850" w:type="dxa"/>
            <w:tcBorders>
              <w:top w:val="nil"/>
              <w:left w:val="single" w:sz="4" w:space="0" w:color="auto"/>
              <w:bottom w:val="single" w:sz="4" w:space="0" w:color="auto"/>
              <w:right w:val="nil"/>
            </w:tcBorders>
            <w:shd w:val="clear" w:color="auto" w:fill="auto"/>
            <w:noWrap/>
            <w:vAlign w:val="center"/>
            <w:hideMark/>
          </w:tcPr>
          <w:p w14:paraId="54354635" w14:textId="77777777" w:rsidR="00387142" w:rsidRPr="008B6A75" w:rsidRDefault="00387142" w:rsidP="00387142">
            <w:pPr>
              <w:jc w:val="center"/>
              <w:rPr>
                <w:bCs/>
                <w:sz w:val="20"/>
                <w:szCs w:val="20"/>
              </w:rPr>
            </w:pPr>
            <w:r w:rsidRPr="008B6A75">
              <w:rPr>
                <w:bCs/>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1AD35259" w14:textId="77777777" w:rsidR="00387142" w:rsidRPr="008B6A75" w:rsidRDefault="00387142" w:rsidP="00387142">
            <w:pPr>
              <w:jc w:val="center"/>
              <w:rPr>
                <w:bCs/>
                <w:sz w:val="20"/>
                <w:szCs w:val="20"/>
              </w:rPr>
            </w:pPr>
            <w:r w:rsidRPr="008B6A75">
              <w:rPr>
                <w:bCs/>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380AD3CF" w14:textId="77777777" w:rsidR="00387142" w:rsidRPr="008B6A75" w:rsidRDefault="00387142" w:rsidP="00387142">
            <w:pPr>
              <w:jc w:val="center"/>
              <w:rPr>
                <w:bCs/>
                <w:sz w:val="20"/>
                <w:szCs w:val="20"/>
              </w:rPr>
            </w:pPr>
            <w:r w:rsidRPr="008B6A75">
              <w:rPr>
                <w:bCs/>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26C7DE0" w14:textId="77777777" w:rsidR="00387142" w:rsidRPr="008B6A75" w:rsidRDefault="00387142" w:rsidP="00387142">
            <w:pPr>
              <w:jc w:val="right"/>
              <w:rPr>
                <w:bCs/>
                <w:sz w:val="20"/>
                <w:szCs w:val="20"/>
              </w:rPr>
            </w:pPr>
            <w:r w:rsidRPr="008B6A75">
              <w:rPr>
                <w:bCs/>
                <w:sz w:val="20"/>
                <w:szCs w:val="20"/>
              </w:rPr>
              <w:t>5 238 311,08</w:t>
            </w:r>
          </w:p>
        </w:tc>
        <w:tc>
          <w:tcPr>
            <w:tcW w:w="851" w:type="dxa"/>
            <w:tcBorders>
              <w:top w:val="nil"/>
              <w:left w:val="single" w:sz="4" w:space="0" w:color="auto"/>
              <w:bottom w:val="single" w:sz="4" w:space="0" w:color="auto"/>
              <w:right w:val="nil"/>
            </w:tcBorders>
            <w:shd w:val="clear" w:color="auto" w:fill="auto"/>
            <w:noWrap/>
            <w:vAlign w:val="center"/>
            <w:hideMark/>
          </w:tcPr>
          <w:p w14:paraId="6725AD66" w14:textId="77777777" w:rsidR="00387142" w:rsidRPr="008B6A75" w:rsidRDefault="00387142" w:rsidP="00387142">
            <w:pPr>
              <w:jc w:val="right"/>
              <w:rPr>
                <w:bCs/>
                <w:sz w:val="20"/>
                <w:szCs w:val="20"/>
              </w:rPr>
            </w:pPr>
            <w:r w:rsidRPr="008B6A75">
              <w:rPr>
                <w:bCs/>
                <w:sz w:val="20"/>
                <w:szCs w:val="20"/>
              </w:rPr>
              <w:t>5 240 000,00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2B7A16A5" w14:textId="77777777" w:rsidR="00387142" w:rsidRPr="008B6A75" w:rsidRDefault="00387142" w:rsidP="00387142">
            <w:pPr>
              <w:jc w:val="right"/>
              <w:rPr>
                <w:bCs/>
                <w:sz w:val="20"/>
                <w:szCs w:val="20"/>
              </w:rPr>
            </w:pPr>
            <w:r w:rsidRPr="008B6A75">
              <w:rPr>
                <w:bCs/>
                <w:sz w:val="20"/>
                <w:szCs w:val="20"/>
              </w:rPr>
              <w:t>5 240 000,00</w:t>
            </w:r>
          </w:p>
        </w:tc>
      </w:tr>
      <w:tr w:rsidR="00387142" w:rsidRPr="008B6A75" w14:paraId="1A487096" w14:textId="77777777" w:rsidTr="00387142">
        <w:trPr>
          <w:trHeight w:val="1440"/>
        </w:trPr>
        <w:tc>
          <w:tcPr>
            <w:tcW w:w="272" w:type="dxa"/>
            <w:tcBorders>
              <w:top w:val="nil"/>
              <w:left w:val="nil"/>
              <w:bottom w:val="nil"/>
              <w:right w:val="single" w:sz="4" w:space="0" w:color="auto"/>
            </w:tcBorders>
            <w:shd w:val="clear" w:color="auto" w:fill="auto"/>
            <w:noWrap/>
            <w:vAlign w:val="bottom"/>
            <w:hideMark/>
          </w:tcPr>
          <w:p w14:paraId="38A00FA4"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6F84E775" w14:textId="77777777" w:rsidR="00387142" w:rsidRPr="008B6A75" w:rsidRDefault="00387142" w:rsidP="00387142">
            <w:pPr>
              <w:rPr>
                <w:sz w:val="20"/>
                <w:szCs w:val="20"/>
              </w:rPr>
            </w:pPr>
            <w:r w:rsidRPr="008B6A7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single" w:sz="4" w:space="0" w:color="auto"/>
              <w:bottom w:val="single" w:sz="4" w:space="0" w:color="auto"/>
              <w:right w:val="nil"/>
            </w:tcBorders>
            <w:shd w:val="clear" w:color="auto" w:fill="auto"/>
            <w:noWrap/>
            <w:vAlign w:val="center"/>
            <w:hideMark/>
          </w:tcPr>
          <w:p w14:paraId="58B06E63" w14:textId="77777777" w:rsidR="00387142" w:rsidRPr="008B6A75" w:rsidRDefault="00387142" w:rsidP="00387142">
            <w:pPr>
              <w:jc w:val="center"/>
              <w:rPr>
                <w:sz w:val="20"/>
                <w:szCs w:val="20"/>
              </w:rPr>
            </w:pPr>
            <w:r w:rsidRPr="008B6A75">
              <w:rPr>
                <w:sz w:val="20"/>
                <w:szCs w:val="20"/>
              </w:rPr>
              <w:t>07.1.00.07790</w:t>
            </w:r>
          </w:p>
        </w:tc>
        <w:tc>
          <w:tcPr>
            <w:tcW w:w="850" w:type="dxa"/>
            <w:tcBorders>
              <w:top w:val="nil"/>
              <w:left w:val="single" w:sz="4" w:space="0" w:color="auto"/>
              <w:bottom w:val="single" w:sz="4" w:space="0" w:color="auto"/>
              <w:right w:val="nil"/>
            </w:tcBorders>
            <w:shd w:val="clear" w:color="auto" w:fill="auto"/>
            <w:noWrap/>
            <w:vAlign w:val="center"/>
            <w:hideMark/>
          </w:tcPr>
          <w:p w14:paraId="0387A19D" w14:textId="77777777" w:rsidR="00387142" w:rsidRPr="008B6A75" w:rsidRDefault="00387142" w:rsidP="00387142">
            <w:pPr>
              <w:jc w:val="center"/>
              <w:rPr>
                <w:sz w:val="20"/>
                <w:szCs w:val="20"/>
              </w:rPr>
            </w:pPr>
            <w:r w:rsidRPr="008B6A75">
              <w:rPr>
                <w:sz w:val="20"/>
                <w:szCs w:val="20"/>
              </w:rPr>
              <w:t>100</w:t>
            </w:r>
          </w:p>
        </w:tc>
        <w:tc>
          <w:tcPr>
            <w:tcW w:w="567" w:type="dxa"/>
            <w:tcBorders>
              <w:top w:val="nil"/>
              <w:left w:val="single" w:sz="4" w:space="0" w:color="auto"/>
              <w:bottom w:val="single" w:sz="4" w:space="0" w:color="auto"/>
              <w:right w:val="nil"/>
            </w:tcBorders>
            <w:shd w:val="clear" w:color="auto" w:fill="auto"/>
            <w:noWrap/>
            <w:vAlign w:val="center"/>
            <w:hideMark/>
          </w:tcPr>
          <w:p w14:paraId="054FA8C1" w14:textId="77777777" w:rsidR="00387142" w:rsidRPr="008B6A75" w:rsidRDefault="00387142" w:rsidP="00387142">
            <w:pPr>
              <w:jc w:val="center"/>
              <w:rPr>
                <w:sz w:val="20"/>
                <w:szCs w:val="20"/>
              </w:rPr>
            </w:pPr>
            <w:r w:rsidRPr="008B6A75">
              <w:rPr>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5C09A7BD" w14:textId="77777777" w:rsidR="00387142" w:rsidRPr="008B6A75" w:rsidRDefault="00387142" w:rsidP="00387142">
            <w:pPr>
              <w:jc w:val="center"/>
              <w:rPr>
                <w:sz w:val="20"/>
                <w:szCs w:val="20"/>
              </w:rPr>
            </w:pPr>
            <w:r w:rsidRPr="008B6A75">
              <w:rPr>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974DD44" w14:textId="77777777" w:rsidR="00387142" w:rsidRPr="008B6A75" w:rsidRDefault="00387142" w:rsidP="00387142">
            <w:pPr>
              <w:jc w:val="right"/>
              <w:rPr>
                <w:sz w:val="20"/>
                <w:szCs w:val="20"/>
              </w:rPr>
            </w:pPr>
            <w:r w:rsidRPr="008B6A75">
              <w:rPr>
                <w:sz w:val="20"/>
                <w:szCs w:val="20"/>
              </w:rPr>
              <w:t>4 730 869,08</w:t>
            </w:r>
          </w:p>
        </w:tc>
        <w:tc>
          <w:tcPr>
            <w:tcW w:w="851" w:type="dxa"/>
            <w:tcBorders>
              <w:top w:val="nil"/>
              <w:left w:val="single" w:sz="4" w:space="0" w:color="auto"/>
              <w:bottom w:val="single" w:sz="4" w:space="0" w:color="auto"/>
              <w:right w:val="nil"/>
            </w:tcBorders>
            <w:shd w:val="clear" w:color="auto" w:fill="auto"/>
            <w:noWrap/>
            <w:vAlign w:val="center"/>
            <w:hideMark/>
          </w:tcPr>
          <w:p w14:paraId="13597138" w14:textId="77777777" w:rsidR="00387142" w:rsidRPr="008B6A75" w:rsidRDefault="00387142" w:rsidP="00387142">
            <w:pPr>
              <w:jc w:val="right"/>
              <w:rPr>
                <w:sz w:val="20"/>
                <w:szCs w:val="20"/>
              </w:rPr>
            </w:pPr>
            <w:r w:rsidRPr="008B6A75">
              <w:rPr>
                <w:sz w:val="20"/>
                <w:szCs w:val="20"/>
              </w:rPr>
              <w:t>5 000 000,00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69591A07" w14:textId="77777777" w:rsidR="00387142" w:rsidRPr="008B6A75" w:rsidRDefault="00387142" w:rsidP="00387142">
            <w:pPr>
              <w:jc w:val="right"/>
              <w:rPr>
                <w:sz w:val="20"/>
                <w:szCs w:val="20"/>
              </w:rPr>
            </w:pPr>
            <w:r w:rsidRPr="008B6A75">
              <w:rPr>
                <w:sz w:val="20"/>
                <w:szCs w:val="20"/>
              </w:rPr>
              <w:t>5 000 000,00</w:t>
            </w:r>
          </w:p>
        </w:tc>
      </w:tr>
      <w:tr w:rsidR="00387142" w:rsidRPr="008B6A75" w14:paraId="659B3B32" w14:textId="77777777" w:rsidTr="00387142">
        <w:trPr>
          <w:trHeight w:val="585"/>
        </w:trPr>
        <w:tc>
          <w:tcPr>
            <w:tcW w:w="272" w:type="dxa"/>
            <w:tcBorders>
              <w:top w:val="nil"/>
              <w:left w:val="nil"/>
              <w:bottom w:val="nil"/>
              <w:right w:val="single" w:sz="4" w:space="0" w:color="auto"/>
            </w:tcBorders>
            <w:shd w:val="clear" w:color="auto" w:fill="auto"/>
            <w:noWrap/>
            <w:vAlign w:val="bottom"/>
            <w:hideMark/>
          </w:tcPr>
          <w:p w14:paraId="6813EF80"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5FD7E680" w14:textId="77777777" w:rsidR="00387142" w:rsidRPr="008B6A75" w:rsidRDefault="00387142" w:rsidP="00387142">
            <w:pPr>
              <w:rPr>
                <w:sz w:val="20"/>
                <w:szCs w:val="20"/>
              </w:rPr>
            </w:pPr>
            <w:r w:rsidRPr="008B6A75">
              <w:rPr>
                <w:sz w:val="20"/>
                <w:szCs w:val="20"/>
              </w:rPr>
              <w:t>Расходы на выплаты персоналу казенных учреждений</w:t>
            </w:r>
          </w:p>
        </w:tc>
        <w:tc>
          <w:tcPr>
            <w:tcW w:w="1559" w:type="dxa"/>
            <w:tcBorders>
              <w:top w:val="nil"/>
              <w:left w:val="single" w:sz="4" w:space="0" w:color="auto"/>
              <w:bottom w:val="single" w:sz="4" w:space="0" w:color="auto"/>
              <w:right w:val="nil"/>
            </w:tcBorders>
            <w:shd w:val="clear" w:color="auto" w:fill="auto"/>
            <w:noWrap/>
            <w:vAlign w:val="center"/>
            <w:hideMark/>
          </w:tcPr>
          <w:p w14:paraId="78B2B701" w14:textId="77777777" w:rsidR="00387142" w:rsidRPr="008B6A75" w:rsidRDefault="00387142" w:rsidP="00387142">
            <w:pPr>
              <w:jc w:val="center"/>
              <w:rPr>
                <w:sz w:val="20"/>
                <w:szCs w:val="20"/>
              </w:rPr>
            </w:pPr>
            <w:r w:rsidRPr="008B6A75">
              <w:rPr>
                <w:sz w:val="20"/>
                <w:szCs w:val="20"/>
              </w:rPr>
              <w:t>07.1.00.07790</w:t>
            </w:r>
          </w:p>
        </w:tc>
        <w:tc>
          <w:tcPr>
            <w:tcW w:w="850" w:type="dxa"/>
            <w:tcBorders>
              <w:top w:val="nil"/>
              <w:left w:val="single" w:sz="4" w:space="0" w:color="auto"/>
              <w:bottom w:val="single" w:sz="4" w:space="0" w:color="auto"/>
              <w:right w:val="nil"/>
            </w:tcBorders>
            <w:shd w:val="clear" w:color="auto" w:fill="auto"/>
            <w:noWrap/>
            <w:vAlign w:val="center"/>
            <w:hideMark/>
          </w:tcPr>
          <w:p w14:paraId="7B23A0E3" w14:textId="77777777" w:rsidR="00387142" w:rsidRPr="008B6A75" w:rsidRDefault="00387142" w:rsidP="00387142">
            <w:pPr>
              <w:jc w:val="center"/>
              <w:rPr>
                <w:sz w:val="20"/>
                <w:szCs w:val="20"/>
              </w:rPr>
            </w:pPr>
            <w:r w:rsidRPr="008B6A75">
              <w:rPr>
                <w:sz w:val="20"/>
                <w:szCs w:val="20"/>
              </w:rPr>
              <w:t>110</w:t>
            </w:r>
          </w:p>
        </w:tc>
        <w:tc>
          <w:tcPr>
            <w:tcW w:w="567" w:type="dxa"/>
            <w:tcBorders>
              <w:top w:val="nil"/>
              <w:left w:val="single" w:sz="4" w:space="0" w:color="auto"/>
              <w:bottom w:val="single" w:sz="4" w:space="0" w:color="auto"/>
              <w:right w:val="nil"/>
            </w:tcBorders>
            <w:shd w:val="clear" w:color="auto" w:fill="auto"/>
            <w:noWrap/>
            <w:vAlign w:val="center"/>
            <w:hideMark/>
          </w:tcPr>
          <w:p w14:paraId="20E02AAA" w14:textId="77777777" w:rsidR="00387142" w:rsidRPr="008B6A75" w:rsidRDefault="00387142" w:rsidP="00387142">
            <w:pPr>
              <w:jc w:val="center"/>
              <w:rPr>
                <w:sz w:val="20"/>
                <w:szCs w:val="20"/>
              </w:rPr>
            </w:pPr>
            <w:r w:rsidRPr="008B6A75">
              <w:rPr>
                <w:sz w:val="20"/>
                <w:szCs w:val="20"/>
              </w:rPr>
              <w:t>07</w:t>
            </w:r>
          </w:p>
        </w:tc>
        <w:tc>
          <w:tcPr>
            <w:tcW w:w="567" w:type="dxa"/>
            <w:tcBorders>
              <w:top w:val="nil"/>
              <w:left w:val="single" w:sz="4" w:space="0" w:color="auto"/>
              <w:bottom w:val="single" w:sz="4" w:space="0" w:color="auto"/>
              <w:right w:val="nil"/>
            </w:tcBorders>
            <w:shd w:val="clear" w:color="auto" w:fill="auto"/>
            <w:noWrap/>
            <w:vAlign w:val="center"/>
            <w:hideMark/>
          </w:tcPr>
          <w:p w14:paraId="52D17B85" w14:textId="77777777" w:rsidR="00387142" w:rsidRPr="008B6A75" w:rsidRDefault="00387142" w:rsidP="00387142">
            <w:pPr>
              <w:jc w:val="center"/>
              <w:rPr>
                <w:sz w:val="20"/>
                <w:szCs w:val="20"/>
              </w:rPr>
            </w:pPr>
            <w:r w:rsidRPr="008B6A75">
              <w:rPr>
                <w:sz w:val="20"/>
                <w:szCs w:val="20"/>
              </w:rPr>
              <w:t>05</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97C8D42" w14:textId="77777777" w:rsidR="00387142" w:rsidRPr="008B6A75" w:rsidRDefault="00387142" w:rsidP="00387142">
            <w:pPr>
              <w:jc w:val="right"/>
              <w:rPr>
                <w:sz w:val="20"/>
                <w:szCs w:val="20"/>
              </w:rPr>
            </w:pPr>
            <w:r w:rsidRPr="008B6A75">
              <w:rPr>
                <w:sz w:val="20"/>
                <w:szCs w:val="20"/>
              </w:rPr>
              <w:t>4 730 869,08</w:t>
            </w:r>
          </w:p>
        </w:tc>
        <w:tc>
          <w:tcPr>
            <w:tcW w:w="851" w:type="dxa"/>
            <w:tcBorders>
              <w:top w:val="nil"/>
              <w:left w:val="single" w:sz="4" w:space="0" w:color="auto"/>
              <w:bottom w:val="single" w:sz="4" w:space="0" w:color="auto"/>
              <w:right w:val="nil"/>
            </w:tcBorders>
            <w:shd w:val="clear" w:color="auto" w:fill="auto"/>
            <w:noWrap/>
            <w:vAlign w:val="center"/>
            <w:hideMark/>
          </w:tcPr>
          <w:p w14:paraId="4A44050D" w14:textId="77777777" w:rsidR="00387142" w:rsidRPr="008B6A75" w:rsidRDefault="00387142" w:rsidP="00387142">
            <w:pPr>
              <w:jc w:val="right"/>
              <w:rPr>
                <w:sz w:val="20"/>
                <w:szCs w:val="20"/>
              </w:rPr>
            </w:pPr>
            <w:r w:rsidRPr="008B6A75">
              <w:rPr>
                <w:sz w:val="20"/>
                <w:szCs w:val="20"/>
              </w:rPr>
              <w:t>5 000 000,00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2E82A907" w14:textId="77777777" w:rsidR="00387142" w:rsidRPr="008B6A75" w:rsidRDefault="00387142" w:rsidP="00387142">
            <w:pPr>
              <w:jc w:val="right"/>
              <w:rPr>
                <w:sz w:val="20"/>
                <w:szCs w:val="20"/>
              </w:rPr>
            </w:pPr>
            <w:r w:rsidRPr="008B6A75">
              <w:rPr>
                <w:sz w:val="20"/>
                <w:szCs w:val="20"/>
              </w:rPr>
              <w:t>5 000 000,00</w:t>
            </w:r>
          </w:p>
        </w:tc>
      </w:tr>
      <w:tr w:rsidR="00387142" w:rsidRPr="008B6A75" w14:paraId="6D311F23" w14:textId="77777777" w:rsidTr="00387142">
        <w:trPr>
          <w:trHeight w:val="585"/>
        </w:trPr>
        <w:tc>
          <w:tcPr>
            <w:tcW w:w="272" w:type="dxa"/>
            <w:tcBorders>
              <w:top w:val="nil"/>
              <w:left w:val="nil"/>
              <w:bottom w:val="nil"/>
              <w:right w:val="single" w:sz="4" w:space="0" w:color="auto"/>
            </w:tcBorders>
            <w:shd w:val="clear" w:color="auto" w:fill="auto"/>
            <w:noWrap/>
            <w:vAlign w:val="bottom"/>
            <w:hideMark/>
          </w:tcPr>
          <w:p w14:paraId="0F3ADC36"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601EBE6F" w14:textId="77777777" w:rsidR="00387142" w:rsidRPr="008B6A75" w:rsidRDefault="00387142" w:rsidP="00387142">
            <w:pPr>
              <w:rPr>
                <w:sz w:val="20"/>
                <w:szCs w:val="20"/>
              </w:rPr>
            </w:pPr>
            <w:r w:rsidRPr="008B6A75">
              <w:rPr>
                <w:sz w:val="20"/>
                <w:szCs w:val="20"/>
              </w:rPr>
              <w:t>Закупка товаров, работ и услуг для обеспечения государственных (муниципальных) нужд</w:t>
            </w:r>
          </w:p>
        </w:tc>
        <w:tc>
          <w:tcPr>
            <w:tcW w:w="1559" w:type="dxa"/>
            <w:tcBorders>
              <w:top w:val="nil"/>
              <w:left w:val="single" w:sz="4" w:space="0" w:color="auto"/>
              <w:bottom w:val="single" w:sz="4" w:space="0" w:color="auto"/>
              <w:right w:val="nil"/>
            </w:tcBorders>
            <w:shd w:val="clear" w:color="auto" w:fill="auto"/>
            <w:noWrap/>
            <w:vAlign w:val="center"/>
            <w:hideMark/>
          </w:tcPr>
          <w:p w14:paraId="167C98B8" w14:textId="77777777" w:rsidR="00387142" w:rsidRPr="008B6A75" w:rsidRDefault="00387142" w:rsidP="00387142">
            <w:pPr>
              <w:jc w:val="center"/>
              <w:rPr>
                <w:sz w:val="20"/>
                <w:szCs w:val="20"/>
              </w:rPr>
            </w:pPr>
            <w:r w:rsidRPr="008B6A75">
              <w:rPr>
                <w:sz w:val="20"/>
                <w:szCs w:val="20"/>
              </w:rPr>
              <w:t>07.1.00.07790</w:t>
            </w:r>
          </w:p>
        </w:tc>
        <w:tc>
          <w:tcPr>
            <w:tcW w:w="850" w:type="dxa"/>
            <w:tcBorders>
              <w:top w:val="nil"/>
              <w:left w:val="single" w:sz="4" w:space="0" w:color="auto"/>
              <w:bottom w:val="single" w:sz="4" w:space="0" w:color="auto"/>
              <w:right w:val="nil"/>
            </w:tcBorders>
            <w:shd w:val="clear" w:color="auto" w:fill="auto"/>
            <w:noWrap/>
            <w:vAlign w:val="center"/>
            <w:hideMark/>
          </w:tcPr>
          <w:p w14:paraId="44FB9001" w14:textId="77777777" w:rsidR="00387142" w:rsidRPr="008B6A75" w:rsidRDefault="00387142" w:rsidP="00387142">
            <w:pPr>
              <w:jc w:val="center"/>
              <w:rPr>
                <w:sz w:val="20"/>
                <w:szCs w:val="20"/>
              </w:rPr>
            </w:pPr>
            <w:r w:rsidRPr="008B6A75">
              <w:rPr>
                <w:sz w:val="20"/>
                <w:szCs w:val="20"/>
              </w:rPr>
              <w:t>200</w:t>
            </w:r>
          </w:p>
        </w:tc>
        <w:tc>
          <w:tcPr>
            <w:tcW w:w="567" w:type="dxa"/>
            <w:tcBorders>
              <w:top w:val="nil"/>
              <w:left w:val="single" w:sz="4" w:space="0" w:color="auto"/>
              <w:bottom w:val="single" w:sz="4" w:space="0" w:color="auto"/>
              <w:right w:val="nil"/>
            </w:tcBorders>
            <w:shd w:val="clear" w:color="auto" w:fill="auto"/>
            <w:noWrap/>
            <w:vAlign w:val="center"/>
            <w:hideMark/>
          </w:tcPr>
          <w:p w14:paraId="01D042F2" w14:textId="77777777" w:rsidR="00387142" w:rsidRPr="008B6A75" w:rsidRDefault="00387142" w:rsidP="00387142">
            <w:pPr>
              <w:jc w:val="center"/>
              <w:rPr>
                <w:sz w:val="20"/>
                <w:szCs w:val="20"/>
              </w:rPr>
            </w:pPr>
            <w:r w:rsidRPr="008B6A75">
              <w:rPr>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2DA4E374" w14:textId="77777777" w:rsidR="00387142" w:rsidRPr="008B6A75" w:rsidRDefault="00387142" w:rsidP="00387142">
            <w:pPr>
              <w:jc w:val="center"/>
              <w:rPr>
                <w:sz w:val="20"/>
                <w:szCs w:val="20"/>
              </w:rPr>
            </w:pPr>
            <w:r w:rsidRPr="008B6A75">
              <w:rPr>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9B6B30F" w14:textId="77777777" w:rsidR="00387142" w:rsidRPr="008B6A75" w:rsidRDefault="00387142" w:rsidP="00387142">
            <w:pPr>
              <w:jc w:val="right"/>
              <w:rPr>
                <w:sz w:val="20"/>
                <w:szCs w:val="20"/>
              </w:rPr>
            </w:pPr>
            <w:r w:rsidRPr="008B6A75">
              <w:rPr>
                <w:sz w:val="20"/>
                <w:szCs w:val="20"/>
              </w:rPr>
              <w:t>504 442,00</w:t>
            </w:r>
          </w:p>
        </w:tc>
        <w:tc>
          <w:tcPr>
            <w:tcW w:w="851" w:type="dxa"/>
            <w:tcBorders>
              <w:top w:val="nil"/>
              <w:left w:val="single" w:sz="4" w:space="0" w:color="auto"/>
              <w:bottom w:val="single" w:sz="4" w:space="0" w:color="auto"/>
              <w:right w:val="nil"/>
            </w:tcBorders>
            <w:shd w:val="clear" w:color="auto" w:fill="auto"/>
            <w:noWrap/>
            <w:vAlign w:val="center"/>
            <w:hideMark/>
          </w:tcPr>
          <w:p w14:paraId="61000FBA" w14:textId="77777777" w:rsidR="00387142" w:rsidRPr="008B6A75" w:rsidRDefault="00387142" w:rsidP="00387142">
            <w:pPr>
              <w:jc w:val="right"/>
              <w:rPr>
                <w:sz w:val="20"/>
                <w:szCs w:val="20"/>
              </w:rPr>
            </w:pPr>
            <w:r w:rsidRPr="008B6A75">
              <w:rPr>
                <w:sz w:val="20"/>
                <w:szCs w:val="20"/>
              </w:rPr>
              <w:t>240 000,00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5A684522" w14:textId="77777777" w:rsidR="00387142" w:rsidRPr="008B6A75" w:rsidRDefault="00387142" w:rsidP="00387142">
            <w:pPr>
              <w:jc w:val="right"/>
              <w:rPr>
                <w:sz w:val="20"/>
                <w:szCs w:val="20"/>
              </w:rPr>
            </w:pPr>
            <w:r w:rsidRPr="008B6A75">
              <w:rPr>
                <w:sz w:val="20"/>
                <w:szCs w:val="20"/>
              </w:rPr>
              <w:t>240 000,00</w:t>
            </w:r>
          </w:p>
        </w:tc>
      </w:tr>
      <w:tr w:rsidR="00387142" w:rsidRPr="008B6A75" w14:paraId="1676B4C0" w14:textId="77777777" w:rsidTr="00387142">
        <w:trPr>
          <w:trHeight w:val="870"/>
        </w:trPr>
        <w:tc>
          <w:tcPr>
            <w:tcW w:w="272" w:type="dxa"/>
            <w:tcBorders>
              <w:top w:val="nil"/>
              <w:left w:val="nil"/>
              <w:bottom w:val="nil"/>
              <w:right w:val="single" w:sz="4" w:space="0" w:color="auto"/>
            </w:tcBorders>
            <w:shd w:val="clear" w:color="auto" w:fill="auto"/>
            <w:noWrap/>
            <w:vAlign w:val="bottom"/>
            <w:hideMark/>
          </w:tcPr>
          <w:p w14:paraId="1084703D"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43D284A4" w14:textId="77777777" w:rsidR="00387142" w:rsidRPr="008B6A75" w:rsidRDefault="00387142" w:rsidP="00387142">
            <w:pPr>
              <w:rPr>
                <w:sz w:val="20"/>
                <w:szCs w:val="20"/>
              </w:rPr>
            </w:pPr>
            <w:r w:rsidRPr="008B6A75">
              <w:rPr>
                <w:sz w:val="20"/>
                <w:szCs w:val="20"/>
              </w:rPr>
              <w:t>Иные закупки товаров, работ и услуг для обеспечения государственных (муниципальных) нужд</w:t>
            </w:r>
          </w:p>
        </w:tc>
        <w:tc>
          <w:tcPr>
            <w:tcW w:w="1559" w:type="dxa"/>
            <w:tcBorders>
              <w:top w:val="nil"/>
              <w:left w:val="single" w:sz="4" w:space="0" w:color="auto"/>
              <w:bottom w:val="single" w:sz="4" w:space="0" w:color="auto"/>
              <w:right w:val="nil"/>
            </w:tcBorders>
            <w:shd w:val="clear" w:color="auto" w:fill="auto"/>
            <w:noWrap/>
            <w:vAlign w:val="center"/>
            <w:hideMark/>
          </w:tcPr>
          <w:p w14:paraId="7E374F0E" w14:textId="77777777" w:rsidR="00387142" w:rsidRPr="008B6A75" w:rsidRDefault="00387142" w:rsidP="00387142">
            <w:pPr>
              <w:jc w:val="center"/>
              <w:rPr>
                <w:sz w:val="20"/>
                <w:szCs w:val="20"/>
              </w:rPr>
            </w:pPr>
            <w:r w:rsidRPr="008B6A75">
              <w:rPr>
                <w:sz w:val="20"/>
                <w:szCs w:val="20"/>
              </w:rPr>
              <w:t>07.1.00.07790</w:t>
            </w:r>
          </w:p>
        </w:tc>
        <w:tc>
          <w:tcPr>
            <w:tcW w:w="850" w:type="dxa"/>
            <w:tcBorders>
              <w:top w:val="nil"/>
              <w:left w:val="single" w:sz="4" w:space="0" w:color="auto"/>
              <w:bottom w:val="single" w:sz="4" w:space="0" w:color="auto"/>
              <w:right w:val="nil"/>
            </w:tcBorders>
            <w:shd w:val="clear" w:color="auto" w:fill="auto"/>
            <w:noWrap/>
            <w:vAlign w:val="center"/>
            <w:hideMark/>
          </w:tcPr>
          <w:p w14:paraId="2AE0D73B" w14:textId="77777777" w:rsidR="00387142" w:rsidRPr="008B6A75" w:rsidRDefault="00387142" w:rsidP="00387142">
            <w:pPr>
              <w:jc w:val="center"/>
              <w:rPr>
                <w:sz w:val="20"/>
                <w:szCs w:val="20"/>
              </w:rPr>
            </w:pPr>
            <w:r w:rsidRPr="008B6A75">
              <w:rPr>
                <w:sz w:val="20"/>
                <w:szCs w:val="20"/>
              </w:rPr>
              <w:t>240</w:t>
            </w:r>
          </w:p>
        </w:tc>
        <w:tc>
          <w:tcPr>
            <w:tcW w:w="567" w:type="dxa"/>
            <w:tcBorders>
              <w:top w:val="nil"/>
              <w:left w:val="single" w:sz="4" w:space="0" w:color="auto"/>
              <w:bottom w:val="single" w:sz="4" w:space="0" w:color="auto"/>
              <w:right w:val="nil"/>
            </w:tcBorders>
            <w:shd w:val="clear" w:color="auto" w:fill="auto"/>
            <w:noWrap/>
            <w:vAlign w:val="center"/>
            <w:hideMark/>
          </w:tcPr>
          <w:p w14:paraId="0EADB1C0" w14:textId="77777777" w:rsidR="00387142" w:rsidRPr="008B6A75" w:rsidRDefault="00387142" w:rsidP="00387142">
            <w:pPr>
              <w:jc w:val="center"/>
              <w:rPr>
                <w:sz w:val="20"/>
                <w:szCs w:val="20"/>
              </w:rPr>
            </w:pPr>
            <w:r w:rsidRPr="008B6A75">
              <w:rPr>
                <w:sz w:val="20"/>
                <w:szCs w:val="20"/>
              </w:rPr>
              <w:t>07</w:t>
            </w:r>
          </w:p>
        </w:tc>
        <w:tc>
          <w:tcPr>
            <w:tcW w:w="567" w:type="dxa"/>
            <w:tcBorders>
              <w:top w:val="nil"/>
              <w:left w:val="single" w:sz="4" w:space="0" w:color="auto"/>
              <w:bottom w:val="single" w:sz="4" w:space="0" w:color="auto"/>
              <w:right w:val="nil"/>
            </w:tcBorders>
            <w:shd w:val="clear" w:color="auto" w:fill="auto"/>
            <w:noWrap/>
            <w:vAlign w:val="center"/>
            <w:hideMark/>
          </w:tcPr>
          <w:p w14:paraId="3888D8E2" w14:textId="77777777" w:rsidR="00387142" w:rsidRPr="008B6A75" w:rsidRDefault="00387142" w:rsidP="00387142">
            <w:pPr>
              <w:jc w:val="center"/>
              <w:rPr>
                <w:sz w:val="20"/>
                <w:szCs w:val="20"/>
              </w:rPr>
            </w:pPr>
            <w:r w:rsidRPr="008B6A75">
              <w:rPr>
                <w:sz w:val="20"/>
                <w:szCs w:val="20"/>
              </w:rPr>
              <w:t>05</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4F53089" w14:textId="77777777" w:rsidR="00387142" w:rsidRPr="008B6A75" w:rsidRDefault="00387142" w:rsidP="00387142">
            <w:pPr>
              <w:jc w:val="right"/>
              <w:rPr>
                <w:sz w:val="20"/>
                <w:szCs w:val="20"/>
              </w:rPr>
            </w:pPr>
            <w:r w:rsidRPr="008B6A75">
              <w:rPr>
                <w:sz w:val="20"/>
                <w:szCs w:val="20"/>
              </w:rPr>
              <w:t>504 442,00</w:t>
            </w:r>
          </w:p>
        </w:tc>
        <w:tc>
          <w:tcPr>
            <w:tcW w:w="851" w:type="dxa"/>
            <w:tcBorders>
              <w:top w:val="nil"/>
              <w:left w:val="single" w:sz="4" w:space="0" w:color="auto"/>
              <w:bottom w:val="single" w:sz="4" w:space="0" w:color="auto"/>
              <w:right w:val="nil"/>
            </w:tcBorders>
            <w:shd w:val="clear" w:color="auto" w:fill="auto"/>
            <w:noWrap/>
            <w:vAlign w:val="center"/>
            <w:hideMark/>
          </w:tcPr>
          <w:p w14:paraId="7D54012F" w14:textId="77777777" w:rsidR="00387142" w:rsidRPr="008B6A75" w:rsidRDefault="00387142" w:rsidP="00387142">
            <w:pPr>
              <w:jc w:val="right"/>
              <w:rPr>
                <w:sz w:val="20"/>
                <w:szCs w:val="20"/>
              </w:rPr>
            </w:pPr>
            <w:r w:rsidRPr="008B6A75">
              <w:rPr>
                <w:sz w:val="20"/>
                <w:szCs w:val="20"/>
              </w:rPr>
              <w:t>240 000,00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1ABE6D60" w14:textId="77777777" w:rsidR="00387142" w:rsidRPr="008B6A75" w:rsidRDefault="00387142" w:rsidP="00387142">
            <w:pPr>
              <w:jc w:val="right"/>
              <w:rPr>
                <w:sz w:val="20"/>
                <w:szCs w:val="20"/>
              </w:rPr>
            </w:pPr>
            <w:r w:rsidRPr="008B6A75">
              <w:rPr>
                <w:sz w:val="20"/>
                <w:szCs w:val="20"/>
              </w:rPr>
              <w:t>240 000,00</w:t>
            </w:r>
          </w:p>
        </w:tc>
      </w:tr>
      <w:tr w:rsidR="00387142" w:rsidRPr="008B6A75" w14:paraId="35A4AD32" w14:textId="77777777" w:rsidTr="00387142">
        <w:trPr>
          <w:trHeight w:val="300"/>
        </w:trPr>
        <w:tc>
          <w:tcPr>
            <w:tcW w:w="272" w:type="dxa"/>
            <w:tcBorders>
              <w:top w:val="nil"/>
              <w:left w:val="nil"/>
              <w:bottom w:val="nil"/>
              <w:right w:val="single" w:sz="4" w:space="0" w:color="auto"/>
            </w:tcBorders>
            <w:shd w:val="clear" w:color="auto" w:fill="auto"/>
            <w:noWrap/>
            <w:vAlign w:val="bottom"/>
            <w:hideMark/>
          </w:tcPr>
          <w:p w14:paraId="6300D80E"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326D74AB" w14:textId="77777777" w:rsidR="00387142" w:rsidRPr="008B6A75" w:rsidRDefault="00387142" w:rsidP="00387142">
            <w:pPr>
              <w:rPr>
                <w:sz w:val="20"/>
                <w:szCs w:val="20"/>
              </w:rPr>
            </w:pPr>
            <w:r w:rsidRPr="008B6A75">
              <w:rPr>
                <w:sz w:val="20"/>
                <w:szCs w:val="20"/>
              </w:rPr>
              <w:t>Иные бюджетные ассигнования</w:t>
            </w:r>
          </w:p>
        </w:tc>
        <w:tc>
          <w:tcPr>
            <w:tcW w:w="1559" w:type="dxa"/>
            <w:tcBorders>
              <w:top w:val="nil"/>
              <w:left w:val="single" w:sz="4" w:space="0" w:color="auto"/>
              <w:bottom w:val="single" w:sz="4" w:space="0" w:color="auto"/>
              <w:right w:val="nil"/>
            </w:tcBorders>
            <w:shd w:val="clear" w:color="auto" w:fill="auto"/>
            <w:noWrap/>
            <w:vAlign w:val="center"/>
            <w:hideMark/>
          </w:tcPr>
          <w:p w14:paraId="2C2186F5" w14:textId="77777777" w:rsidR="00387142" w:rsidRPr="008B6A75" w:rsidRDefault="00387142" w:rsidP="00387142">
            <w:pPr>
              <w:jc w:val="center"/>
              <w:rPr>
                <w:sz w:val="20"/>
                <w:szCs w:val="20"/>
              </w:rPr>
            </w:pPr>
            <w:r w:rsidRPr="008B6A75">
              <w:rPr>
                <w:sz w:val="20"/>
                <w:szCs w:val="20"/>
              </w:rPr>
              <w:t>07.1.00.07790</w:t>
            </w:r>
          </w:p>
        </w:tc>
        <w:tc>
          <w:tcPr>
            <w:tcW w:w="850" w:type="dxa"/>
            <w:tcBorders>
              <w:top w:val="nil"/>
              <w:left w:val="single" w:sz="4" w:space="0" w:color="auto"/>
              <w:bottom w:val="single" w:sz="4" w:space="0" w:color="auto"/>
              <w:right w:val="nil"/>
            </w:tcBorders>
            <w:shd w:val="clear" w:color="auto" w:fill="auto"/>
            <w:noWrap/>
            <w:vAlign w:val="center"/>
            <w:hideMark/>
          </w:tcPr>
          <w:p w14:paraId="1D433FBF" w14:textId="77777777" w:rsidR="00387142" w:rsidRPr="008B6A75" w:rsidRDefault="00387142" w:rsidP="00387142">
            <w:pPr>
              <w:jc w:val="center"/>
              <w:rPr>
                <w:sz w:val="20"/>
                <w:szCs w:val="20"/>
              </w:rPr>
            </w:pPr>
            <w:r w:rsidRPr="008B6A75">
              <w:rPr>
                <w:sz w:val="20"/>
                <w:szCs w:val="20"/>
              </w:rPr>
              <w:t>800</w:t>
            </w:r>
          </w:p>
        </w:tc>
        <w:tc>
          <w:tcPr>
            <w:tcW w:w="567" w:type="dxa"/>
            <w:tcBorders>
              <w:top w:val="nil"/>
              <w:left w:val="single" w:sz="4" w:space="0" w:color="auto"/>
              <w:bottom w:val="single" w:sz="4" w:space="0" w:color="auto"/>
              <w:right w:val="nil"/>
            </w:tcBorders>
            <w:shd w:val="clear" w:color="auto" w:fill="auto"/>
            <w:noWrap/>
            <w:vAlign w:val="center"/>
            <w:hideMark/>
          </w:tcPr>
          <w:p w14:paraId="37F13497" w14:textId="77777777" w:rsidR="00387142" w:rsidRPr="008B6A75" w:rsidRDefault="00387142" w:rsidP="00387142">
            <w:pPr>
              <w:jc w:val="center"/>
              <w:rPr>
                <w:sz w:val="20"/>
                <w:szCs w:val="20"/>
              </w:rPr>
            </w:pPr>
            <w:r w:rsidRPr="008B6A75">
              <w:rPr>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3B7B5328" w14:textId="77777777" w:rsidR="00387142" w:rsidRPr="008B6A75" w:rsidRDefault="00387142" w:rsidP="00387142">
            <w:pPr>
              <w:jc w:val="center"/>
              <w:rPr>
                <w:sz w:val="20"/>
                <w:szCs w:val="20"/>
              </w:rPr>
            </w:pPr>
            <w:r w:rsidRPr="008B6A75">
              <w:rPr>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531F842" w14:textId="77777777" w:rsidR="00387142" w:rsidRPr="008B6A75" w:rsidRDefault="00387142" w:rsidP="00387142">
            <w:pPr>
              <w:jc w:val="right"/>
              <w:rPr>
                <w:sz w:val="20"/>
                <w:szCs w:val="20"/>
              </w:rPr>
            </w:pPr>
            <w:r w:rsidRPr="008B6A75">
              <w:rPr>
                <w:sz w:val="20"/>
                <w:szCs w:val="20"/>
              </w:rPr>
              <w:t>3 000,00</w:t>
            </w:r>
          </w:p>
        </w:tc>
        <w:tc>
          <w:tcPr>
            <w:tcW w:w="851" w:type="dxa"/>
            <w:tcBorders>
              <w:top w:val="nil"/>
              <w:left w:val="single" w:sz="4" w:space="0" w:color="auto"/>
              <w:bottom w:val="single" w:sz="4" w:space="0" w:color="auto"/>
              <w:right w:val="nil"/>
            </w:tcBorders>
            <w:shd w:val="clear" w:color="auto" w:fill="auto"/>
            <w:noWrap/>
            <w:vAlign w:val="center"/>
            <w:hideMark/>
          </w:tcPr>
          <w:p w14:paraId="690D9D78" w14:textId="77777777" w:rsidR="00387142" w:rsidRPr="008B6A75" w:rsidRDefault="00387142" w:rsidP="00387142">
            <w:pPr>
              <w:jc w:val="right"/>
              <w:rPr>
                <w:sz w:val="20"/>
                <w:szCs w:val="20"/>
              </w:rPr>
            </w:pPr>
            <w:r w:rsidRPr="008B6A75">
              <w:rPr>
                <w:sz w:val="20"/>
                <w:szCs w:val="20"/>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4A5EE5DA" w14:textId="77777777" w:rsidR="00387142" w:rsidRPr="008B6A75" w:rsidRDefault="00387142" w:rsidP="00387142">
            <w:pPr>
              <w:jc w:val="right"/>
              <w:rPr>
                <w:sz w:val="20"/>
                <w:szCs w:val="20"/>
              </w:rPr>
            </w:pPr>
            <w:r w:rsidRPr="008B6A75">
              <w:rPr>
                <w:sz w:val="20"/>
                <w:szCs w:val="20"/>
              </w:rPr>
              <w:t>0,00</w:t>
            </w:r>
          </w:p>
        </w:tc>
      </w:tr>
      <w:tr w:rsidR="00387142" w:rsidRPr="008B6A75" w14:paraId="1ECFF001" w14:textId="77777777" w:rsidTr="00387142">
        <w:trPr>
          <w:trHeight w:val="300"/>
        </w:trPr>
        <w:tc>
          <w:tcPr>
            <w:tcW w:w="272" w:type="dxa"/>
            <w:tcBorders>
              <w:top w:val="nil"/>
              <w:left w:val="nil"/>
              <w:bottom w:val="nil"/>
              <w:right w:val="single" w:sz="4" w:space="0" w:color="auto"/>
            </w:tcBorders>
            <w:shd w:val="clear" w:color="auto" w:fill="auto"/>
            <w:noWrap/>
            <w:vAlign w:val="bottom"/>
            <w:hideMark/>
          </w:tcPr>
          <w:p w14:paraId="09951835"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37CE4FD8" w14:textId="77777777" w:rsidR="00387142" w:rsidRPr="008B6A75" w:rsidRDefault="00387142" w:rsidP="00387142">
            <w:pPr>
              <w:rPr>
                <w:sz w:val="20"/>
                <w:szCs w:val="20"/>
              </w:rPr>
            </w:pPr>
            <w:r w:rsidRPr="008B6A75">
              <w:rPr>
                <w:sz w:val="20"/>
                <w:szCs w:val="20"/>
              </w:rPr>
              <w:t>Уплата налогов, сборов и иных платежей</w:t>
            </w:r>
          </w:p>
        </w:tc>
        <w:tc>
          <w:tcPr>
            <w:tcW w:w="1559" w:type="dxa"/>
            <w:tcBorders>
              <w:top w:val="nil"/>
              <w:left w:val="single" w:sz="4" w:space="0" w:color="auto"/>
              <w:bottom w:val="single" w:sz="4" w:space="0" w:color="auto"/>
              <w:right w:val="nil"/>
            </w:tcBorders>
            <w:shd w:val="clear" w:color="auto" w:fill="auto"/>
            <w:noWrap/>
            <w:vAlign w:val="center"/>
            <w:hideMark/>
          </w:tcPr>
          <w:p w14:paraId="00D9D9DB" w14:textId="77777777" w:rsidR="00387142" w:rsidRPr="008B6A75" w:rsidRDefault="00387142" w:rsidP="00387142">
            <w:pPr>
              <w:jc w:val="center"/>
              <w:rPr>
                <w:sz w:val="20"/>
                <w:szCs w:val="20"/>
              </w:rPr>
            </w:pPr>
            <w:r w:rsidRPr="008B6A75">
              <w:rPr>
                <w:sz w:val="20"/>
                <w:szCs w:val="20"/>
              </w:rPr>
              <w:t>07.1.00.07790</w:t>
            </w:r>
          </w:p>
        </w:tc>
        <w:tc>
          <w:tcPr>
            <w:tcW w:w="850" w:type="dxa"/>
            <w:tcBorders>
              <w:top w:val="nil"/>
              <w:left w:val="single" w:sz="4" w:space="0" w:color="auto"/>
              <w:bottom w:val="single" w:sz="4" w:space="0" w:color="auto"/>
              <w:right w:val="nil"/>
            </w:tcBorders>
            <w:shd w:val="clear" w:color="auto" w:fill="auto"/>
            <w:noWrap/>
            <w:vAlign w:val="center"/>
            <w:hideMark/>
          </w:tcPr>
          <w:p w14:paraId="40874581" w14:textId="77777777" w:rsidR="00387142" w:rsidRPr="008B6A75" w:rsidRDefault="00387142" w:rsidP="00387142">
            <w:pPr>
              <w:jc w:val="center"/>
              <w:rPr>
                <w:sz w:val="20"/>
                <w:szCs w:val="20"/>
              </w:rPr>
            </w:pPr>
            <w:r w:rsidRPr="008B6A75">
              <w:rPr>
                <w:sz w:val="20"/>
                <w:szCs w:val="20"/>
              </w:rPr>
              <w:t>850</w:t>
            </w:r>
          </w:p>
        </w:tc>
        <w:tc>
          <w:tcPr>
            <w:tcW w:w="567" w:type="dxa"/>
            <w:tcBorders>
              <w:top w:val="nil"/>
              <w:left w:val="single" w:sz="4" w:space="0" w:color="auto"/>
              <w:bottom w:val="single" w:sz="4" w:space="0" w:color="auto"/>
              <w:right w:val="nil"/>
            </w:tcBorders>
            <w:shd w:val="clear" w:color="auto" w:fill="auto"/>
            <w:noWrap/>
            <w:vAlign w:val="center"/>
            <w:hideMark/>
          </w:tcPr>
          <w:p w14:paraId="20824061" w14:textId="77777777" w:rsidR="00387142" w:rsidRPr="008B6A75" w:rsidRDefault="00387142" w:rsidP="00387142">
            <w:pPr>
              <w:jc w:val="center"/>
              <w:rPr>
                <w:sz w:val="20"/>
                <w:szCs w:val="20"/>
              </w:rPr>
            </w:pPr>
            <w:r w:rsidRPr="008B6A75">
              <w:rPr>
                <w:sz w:val="20"/>
                <w:szCs w:val="20"/>
              </w:rPr>
              <w:t>07</w:t>
            </w:r>
          </w:p>
        </w:tc>
        <w:tc>
          <w:tcPr>
            <w:tcW w:w="567" w:type="dxa"/>
            <w:tcBorders>
              <w:top w:val="nil"/>
              <w:left w:val="single" w:sz="4" w:space="0" w:color="auto"/>
              <w:bottom w:val="single" w:sz="4" w:space="0" w:color="auto"/>
              <w:right w:val="nil"/>
            </w:tcBorders>
            <w:shd w:val="clear" w:color="auto" w:fill="auto"/>
            <w:noWrap/>
            <w:vAlign w:val="center"/>
            <w:hideMark/>
          </w:tcPr>
          <w:p w14:paraId="3FEC985D" w14:textId="77777777" w:rsidR="00387142" w:rsidRPr="008B6A75" w:rsidRDefault="00387142" w:rsidP="00387142">
            <w:pPr>
              <w:jc w:val="center"/>
              <w:rPr>
                <w:sz w:val="20"/>
                <w:szCs w:val="20"/>
              </w:rPr>
            </w:pPr>
            <w:r w:rsidRPr="008B6A75">
              <w:rPr>
                <w:sz w:val="20"/>
                <w:szCs w:val="20"/>
              </w:rPr>
              <w:t>05</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29DFA6E" w14:textId="77777777" w:rsidR="00387142" w:rsidRPr="008B6A75" w:rsidRDefault="00387142" w:rsidP="00387142">
            <w:pPr>
              <w:jc w:val="right"/>
              <w:rPr>
                <w:sz w:val="20"/>
                <w:szCs w:val="20"/>
              </w:rPr>
            </w:pPr>
            <w:r w:rsidRPr="008B6A75">
              <w:rPr>
                <w:sz w:val="20"/>
                <w:szCs w:val="20"/>
              </w:rPr>
              <w:t>3 000,00</w:t>
            </w:r>
          </w:p>
        </w:tc>
        <w:tc>
          <w:tcPr>
            <w:tcW w:w="851" w:type="dxa"/>
            <w:tcBorders>
              <w:top w:val="nil"/>
              <w:left w:val="single" w:sz="4" w:space="0" w:color="auto"/>
              <w:bottom w:val="single" w:sz="4" w:space="0" w:color="auto"/>
              <w:right w:val="nil"/>
            </w:tcBorders>
            <w:shd w:val="clear" w:color="auto" w:fill="auto"/>
            <w:noWrap/>
            <w:vAlign w:val="center"/>
            <w:hideMark/>
          </w:tcPr>
          <w:p w14:paraId="319D3537" w14:textId="77777777" w:rsidR="00387142" w:rsidRPr="008B6A75" w:rsidRDefault="00387142" w:rsidP="00387142">
            <w:pPr>
              <w:jc w:val="right"/>
              <w:rPr>
                <w:sz w:val="20"/>
                <w:szCs w:val="20"/>
              </w:rPr>
            </w:pPr>
            <w:r w:rsidRPr="008B6A75">
              <w:rPr>
                <w:sz w:val="20"/>
                <w:szCs w:val="20"/>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770F3E24" w14:textId="77777777" w:rsidR="00387142" w:rsidRPr="008B6A75" w:rsidRDefault="00387142" w:rsidP="00387142">
            <w:pPr>
              <w:jc w:val="right"/>
              <w:rPr>
                <w:sz w:val="20"/>
                <w:szCs w:val="20"/>
              </w:rPr>
            </w:pPr>
            <w:r w:rsidRPr="008B6A75">
              <w:rPr>
                <w:sz w:val="20"/>
                <w:szCs w:val="20"/>
              </w:rPr>
              <w:t>0,00</w:t>
            </w:r>
          </w:p>
        </w:tc>
      </w:tr>
      <w:tr w:rsidR="00387142" w:rsidRPr="008B6A75" w14:paraId="745AA3B4" w14:textId="77777777" w:rsidTr="00387142">
        <w:trPr>
          <w:trHeight w:val="870"/>
        </w:trPr>
        <w:tc>
          <w:tcPr>
            <w:tcW w:w="272" w:type="dxa"/>
            <w:tcBorders>
              <w:top w:val="nil"/>
              <w:left w:val="nil"/>
              <w:bottom w:val="nil"/>
              <w:right w:val="single" w:sz="4" w:space="0" w:color="auto"/>
            </w:tcBorders>
            <w:shd w:val="clear" w:color="auto" w:fill="auto"/>
            <w:noWrap/>
            <w:vAlign w:val="bottom"/>
            <w:hideMark/>
          </w:tcPr>
          <w:p w14:paraId="2A3712D5" w14:textId="77777777" w:rsidR="00387142" w:rsidRPr="008B6A75" w:rsidRDefault="00387142" w:rsidP="00387142">
            <w:pPr>
              <w:rPr>
                <w:sz w:val="20"/>
                <w:szCs w:val="20"/>
              </w:rPr>
            </w:pPr>
            <w:r w:rsidRPr="008B6A75">
              <w:rPr>
                <w:sz w:val="20"/>
                <w:szCs w:val="20"/>
              </w:rPr>
              <w:lastRenderedPageBreak/>
              <w:t> </w:t>
            </w:r>
          </w:p>
        </w:tc>
        <w:tc>
          <w:tcPr>
            <w:tcW w:w="3415" w:type="dxa"/>
            <w:tcBorders>
              <w:top w:val="nil"/>
              <w:left w:val="single" w:sz="4" w:space="0" w:color="auto"/>
              <w:bottom w:val="single" w:sz="4" w:space="0" w:color="auto"/>
              <w:right w:val="nil"/>
            </w:tcBorders>
            <w:shd w:val="clear" w:color="auto" w:fill="auto"/>
            <w:vAlign w:val="center"/>
            <w:hideMark/>
          </w:tcPr>
          <w:p w14:paraId="1DDA3F43" w14:textId="77777777" w:rsidR="00387142" w:rsidRPr="008B6A75" w:rsidRDefault="00387142" w:rsidP="00387142">
            <w:pPr>
              <w:rPr>
                <w:bCs/>
                <w:sz w:val="20"/>
                <w:szCs w:val="20"/>
              </w:rPr>
            </w:pPr>
            <w:r w:rsidRPr="008B6A75">
              <w:rPr>
                <w:bCs/>
                <w:sz w:val="20"/>
                <w:szCs w:val="20"/>
              </w:rPr>
              <w:t>Расходы на обеспечение деятельности (оказание услуг) центра бухгалтерского, материально-технического обеспечения</w:t>
            </w:r>
          </w:p>
        </w:tc>
        <w:tc>
          <w:tcPr>
            <w:tcW w:w="1559" w:type="dxa"/>
            <w:tcBorders>
              <w:top w:val="nil"/>
              <w:left w:val="single" w:sz="4" w:space="0" w:color="auto"/>
              <w:bottom w:val="single" w:sz="4" w:space="0" w:color="auto"/>
              <w:right w:val="nil"/>
            </w:tcBorders>
            <w:shd w:val="clear" w:color="auto" w:fill="auto"/>
            <w:noWrap/>
            <w:vAlign w:val="center"/>
            <w:hideMark/>
          </w:tcPr>
          <w:p w14:paraId="58B9A490" w14:textId="77777777" w:rsidR="00387142" w:rsidRPr="008B6A75" w:rsidRDefault="00387142" w:rsidP="00387142">
            <w:pPr>
              <w:jc w:val="center"/>
              <w:rPr>
                <w:bCs/>
                <w:sz w:val="20"/>
                <w:szCs w:val="20"/>
              </w:rPr>
            </w:pPr>
            <w:r w:rsidRPr="008B6A75">
              <w:rPr>
                <w:bCs/>
                <w:sz w:val="20"/>
                <w:szCs w:val="20"/>
              </w:rPr>
              <w:t>07.1.00.07890</w:t>
            </w:r>
          </w:p>
        </w:tc>
        <w:tc>
          <w:tcPr>
            <w:tcW w:w="850" w:type="dxa"/>
            <w:tcBorders>
              <w:top w:val="nil"/>
              <w:left w:val="single" w:sz="4" w:space="0" w:color="auto"/>
              <w:bottom w:val="single" w:sz="4" w:space="0" w:color="auto"/>
              <w:right w:val="nil"/>
            </w:tcBorders>
            <w:shd w:val="clear" w:color="auto" w:fill="auto"/>
            <w:noWrap/>
            <w:vAlign w:val="center"/>
            <w:hideMark/>
          </w:tcPr>
          <w:p w14:paraId="64EAFD21" w14:textId="77777777" w:rsidR="00387142" w:rsidRPr="008B6A75" w:rsidRDefault="00387142" w:rsidP="00387142">
            <w:pPr>
              <w:jc w:val="center"/>
              <w:rPr>
                <w:bCs/>
                <w:sz w:val="20"/>
                <w:szCs w:val="20"/>
              </w:rPr>
            </w:pPr>
            <w:r w:rsidRPr="008B6A75">
              <w:rPr>
                <w:bCs/>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25FDCC82" w14:textId="77777777" w:rsidR="00387142" w:rsidRPr="008B6A75" w:rsidRDefault="00387142" w:rsidP="00387142">
            <w:pPr>
              <w:jc w:val="center"/>
              <w:rPr>
                <w:bCs/>
                <w:sz w:val="20"/>
                <w:szCs w:val="20"/>
              </w:rPr>
            </w:pPr>
            <w:r w:rsidRPr="008B6A75">
              <w:rPr>
                <w:bCs/>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149B51D3" w14:textId="77777777" w:rsidR="00387142" w:rsidRPr="008B6A75" w:rsidRDefault="00387142" w:rsidP="00387142">
            <w:pPr>
              <w:jc w:val="center"/>
              <w:rPr>
                <w:bCs/>
                <w:sz w:val="20"/>
                <w:szCs w:val="20"/>
              </w:rPr>
            </w:pPr>
            <w:r w:rsidRPr="008B6A75">
              <w:rPr>
                <w:bCs/>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59EC0C7" w14:textId="77777777" w:rsidR="00387142" w:rsidRPr="008B6A75" w:rsidRDefault="00387142" w:rsidP="00387142">
            <w:pPr>
              <w:jc w:val="right"/>
              <w:rPr>
                <w:bCs/>
                <w:sz w:val="20"/>
                <w:szCs w:val="20"/>
              </w:rPr>
            </w:pPr>
            <w:r w:rsidRPr="008B6A75">
              <w:rPr>
                <w:bCs/>
                <w:sz w:val="20"/>
                <w:szCs w:val="20"/>
              </w:rPr>
              <w:t>73 001 526,93</w:t>
            </w:r>
          </w:p>
        </w:tc>
        <w:tc>
          <w:tcPr>
            <w:tcW w:w="851" w:type="dxa"/>
            <w:tcBorders>
              <w:top w:val="nil"/>
              <w:left w:val="single" w:sz="4" w:space="0" w:color="auto"/>
              <w:bottom w:val="single" w:sz="4" w:space="0" w:color="auto"/>
              <w:right w:val="nil"/>
            </w:tcBorders>
            <w:shd w:val="clear" w:color="auto" w:fill="auto"/>
            <w:noWrap/>
            <w:vAlign w:val="center"/>
            <w:hideMark/>
          </w:tcPr>
          <w:p w14:paraId="565663D0" w14:textId="77777777" w:rsidR="00387142" w:rsidRPr="008B6A75" w:rsidRDefault="00387142" w:rsidP="00387142">
            <w:pPr>
              <w:jc w:val="right"/>
              <w:rPr>
                <w:bCs/>
                <w:sz w:val="20"/>
                <w:szCs w:val="20"/>
              </w:rPr>
            </w:pPr>
            <w:r w:rsidRPr="008B6A75">
              <w:rPr>
                <w:bCs/>
                <w:sz w:val="20"/>
                <w:szCs w:val="20"/>
              </w:rPr>
              <w:t>40 796 900,00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4B401461" w14:textId="77777777" w:rsidR="00387142" w:rsidRPr="008B6A75" w:rsidRDefault="00387142" w:rsidP="00387142">
            <w:pPr>
              <w:jc w:val="right"/>
              <w:rPr>
                <w:bCs/>
                <w:sz w:val="20"/>
                <w:szCs w:val="20"/>
              </w:rPr>
            </w:pPr>
            <w:r w:rsidRPr="008B6A75">
              <w:rPr>
                <w:bCs/>
                <w:sz w:val="20"/>
                <w:szCs w:val="20"/>
              </w:rPr>
              <w:t>27 038 700,00</w:t>
            </w:r>
          </w:p>
        </w:tc>
      </w:tr>
      <w:tr w:rsidR="00387142" w:rsidRPr="008B6A75" w14:paraId="1F065178" w14:textId="77777777" w:rsidTr="00387142">
        <w:trPr>
          <w:trHeight w:val="1440"/>
        </w:trPr>
        <w:tc>
          <w:tcPr>
            <w:tcW w:w="272" w:type="dxa"/>
            <w:tcBorders>
              <w:top w:val="nil"/>
              <w:left w:val="nil"/>
              <w:bottom w:val="nil"/>
              <w:right w:val="single" w:sz="4" w:space="0" w:color="auto"/>
            </w:tcBorders>
            <w:shd w:val="clear" w:color="auto" w:fill="auto"/>
            <w:noWrap/>
            <w:vAlign w:val="bottom"/>
            <w:hideMark/>
          </w:tcPr>
          <w:p w14:paraId="544721C2"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47E6E292" w14:textId="77777777" w:rsidR="00387142" w:rsidRPr="008B6A75" w:rsidRDefault="00387142" w:rsidP="00387142">
            <w:pPr>
              <w:rPr>
                <w:sz w:val="20"/>
                <w:szCs w:val="20"/>
              </w:rPr>
            </w:pPr>
            <w:r w:rsidRPr="008B6A7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single" w:sz="4" w:space="0" w:color="auto"/>
              <w:bottom w:val="single" w:sz="4" w:space="0" w:color="auto"/>
              <w:right w:val="nil"/>
            </w:tcBorders>
            <w:shd w:val="clear" w:color="auto" w:fill="auto"/>
            <w:noWrap/>
            <w:vAlign w:val="center"/>
            <w:hideMark/>
          </w:tcPr>
          <w:p w14:paraId="7F8EE5BC" w14:textId="77777777" w:rsidR="00387142" w:rsidRPr="008B6A75" w:rsidRDefault="00387142" w:rsidP="00387142">
            <w:pPr>
              <w:jc w:val="center"/>
              <w:rPr>
                <w:sz w:val="20"/>
                <w:szCs w:val="20"/>
              </w:rPr>
            </w:pPr>
            <w:r w:rsidRPr="008B6A75">
              <w:rPr>
                <w:sz w:val="20"/>
                <w:szCs w:val="20"/>
              </w:rPr>
              <w:t>07.1.00.07890</w:t>
            </w:r>
          </w:p>
        </w:tc>
        <w:tc>
          <w:tcPr>
            <w:tcW w:w="850" w:type="dxa"/>
            <w:tcBorders>
              <w:top w:val="nil"/>
              <w:left w:val="single" w:sz="4" w:space="0" w:color="auto"/>
              <w:bottom w:val="single" w:sz="4" w:space="0" w:color="auto"/>
              <w:right w:val="nil"/>
            </w:tcBorders>
            <w:shd w:val="clear" w:color="auto" w:fill="auto"/>
            <w:noWrap/>
            <w:vAlign w:val="center"/>
            <w:hideMark/>
          </w:tcPr>
          <w:p w14:paraId="28105050" w14:textId="77777777" w:rsidR="00387142" w:rsidRPr="008B6A75" w:rsidRDefault="00387142" w:rsidP="00387142">
            <w:pPr>
              <w:jc w:val="center"/>
              <w:rPr>
                <w:sz w:val="20"/>
                <w:szCs w:val="20"/>
              </w:rPr>
            </w:pPr>
            <w:r w:rsidRPr="008B6A75">
              <w:rPr>
                <w:sz w:val="20"/>
                <w:szCs w:val="20"/>
              </w:rPr>
              <w:t>100</w:t>
            </w:r>
          </w:p>
        </w:tc>
        <w:tc>
          <w:tcPr>
            <w:tcW w:w="567" w:type="dxa"/>
            <w:tcBorders>
              <w:top w:val="nil"/>
              <w:left w:val="single" w:sz="4" w:space="0" w:color="auto"/>
              <w:bottom w:val="single" w:sz="4" w:space="0" w:color="auto"/>
              <w:right w:val="nil"/>
            </w:tcBorders>
            <w:shd w:val="clear" w:color="auto" w:fill="auto"/>
            <w:noWrap/>
            <w:vAlign w:val="center"/>
            <w:hideMark/>
          </w:tcPr>
          <w:p w14:paraId="14E5E003" w14:textId="77777777" w:rsidR="00387142" w:rsidRPr="008B6A75" w:rsidRDefault="00387142" w:rsidP="00387142">
            <w:pPr>
              <w:jc w:val="center"/>
              <w:rPr>
                <w:sz w:val="20"/>
                <w:szCs w:val="20"/>
              </w:rPr>
            </w:pPr>
            <w:r w:rsidRPr="008B6A75">
              <w:rPr>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51CF897D" w14:textId="77777777" w:rsidR="00387142" w:rsidRPr="008B6A75" w:rsidRDefault="00387142" w:rsidP="00387142">
            <w:pPr>
              <w:jc w:val="center"/>
              <w:rPr>
                <w:sz w:val="20"/>
                <w:szCs w:val="20"/>
              </w:rPr>
            </w:pPr>
            <w:r w:rsidRPr="008B6A75">
              <w:rPr>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1DA554E" w14:textId="77777777" w:rsidR="00387142" w:rsidRPr="008B6A75" w:rsidRDefault="00387142" w:rsidP="00387142">
            <w:pPr>
              <w:jc w:val="right"/>
              <w:rPr>
                <w:sz w:val="20"/>
                <w:szCs w:val="20"/>
              </w:rPr>
            </w:pPr>
            <w:r w:rsidRPr="008B6A75">
              <w:rPr>
                <w:sz w:val="20"/>
                <w:szCs w:val="20"/>
              </w:rPr>
              <w:t>60 211 562,74</w:t>
            </w:r>
          </w:p>
        </w:tc>
        <w:tc>
          <w:tcPr>
            <w:tcW w:w="851" w:type="dxa"/>
            <w:tcBorders>
              <w:top w:val="nil"/>
              <w:left w:val="single" w:sz="4" w:space="0" w:color="auto"/>
              <w:bottom w:val="single" w:sz="4" w:space="0" w:color="auto"/>
              <w:right w:val="nil"/>
            </w:tcBorders>
            <w:shd w:val="clear" w:color="auto" w:fill="auto"/>
            <w:noWrap/>
            <w:vAlign w:val="center"/>
            <w:hideMark/>
          </w:tcPr>
          <w:p w14:paraId="50076375" w14:textId="77777777" w:rsidR="00387142" w:rsidRPr="008B6A75" w:rsidRDefault="00387142" w:rsidP="00387142">
            <w:pPr>
              <w:jc w:val="right"/>
              <w:rPr>
                <w:sz w:val="20"/>
                <w:szCs w:val="20"/>
              </w:rPr>
            </w:pPr>
            <w:r w:rsidRPr="008B6A75">
              <w:rPr>
                <w:sz w:val="20"/>
                <w:szCs w:val="20"/>
              </w:rPr>
              <w:t>33 596 900,00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467F5C57" w14:textId="77777777" w:rsidR="00387142" w:rsidRPr="008B6A75" w:rsidRDefault="00387142" w:rsidP="00387142">
            <w:pPr>
              <w:jc w:val="right"/>
              <w:rPr>
                <w:sz w:val="20"/>
                <w:szCs w:val="20"/>
              </w:rPr>
            </w:pPr>
            <w:r w:rsidRPr="008B6A75">
              <w:rPr>
                <w:sz w:val="20"/>
                <w:szCs w:val="20"/>
              </w:rPr>
              <w:t>24 938 700,00</w:t>
            </w:r>
          </w:p>
        </w:tc>
      </w:tr>
      <w:tr w:rsidR="00387142" w:rsidRPr="008B6A75" w14:paraId="5AD239EA" w14:textId="77777777" w:rsidTr="00387142">
        <w:trPr>
          <w:trHeight w:val="585"/>
        </w:trPr>
        <w:tc>
          <w:tcPr>
            <w:tcW w:w="272" w:type="dxa"/>
            <w:tcBorders>
              <w:top w:val="nil"/>
              <w:left w:val="nil"/>
              <w:bottom w:val="nil"/>
              <w:right w:val="single" w:sz="4" w:space="0" w:color="auto"/>
            </w:tcBorders>
            <w:shd w:val="clear" w:color="auto" w:fill="auto"/>
            <w:noWrap/>
            <w:vAlign w:val="bottom"/>
            <w:hideMark/>
          </w:tcPr>
          <w:p w14:paraId="50703698"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7BEB426D" w14:textId="77777777" w:rsidR="00387142" w:rsidRPr="008B6A75" w:rsidRDefault="00387142" w:rsidP="00387142">
            <w:pPr>
              <w:rPr>
                <w:sz w:val="20"/>
                <w:szCs w:val="20"/>
              </w:rPr>
            </w:pPr>
            <w:r w:rsidRPr="008B6A75">
              <w:rPr>
                <w:sz w:val="20"/>
                <w:szCs w:val="20"/>
              </w:rPr>
              <w:t>Расходы на выплаты персоналу казенных учреждений</w:t>
            </w:r>
          </w:p>
        </w:tc>
        <w:tc>
          <w:tcPr>
            <w:tcW w:w="1559" w:type="dxa"/>
            <w:tcBorders>
              <w:top w:val="nil"/>
              <w:left w:val="single" w:sz="4" w:space="0" w:color="auto"/>
              <w:bottom w:val="single" w:sz="4" w:space="0" w:color="auto"/>
              <w:right w:val="nil"/>
            </w:tcBorders>
            <w:shd w:val="clear" w:color="auto" w:fill="auto"/>
            <w:noWrap/>
            <w:vAlign w:val="center"/>
            <w:hideMark/>
          </w:tcPr>
          <w:p w14:paraId="0B604E4E" w14:textId="77777777" w:rsidR="00387142" w:rsidRPr="008B6A75" w:rsidRDefault="00387142" w:rsidP="00387142">
            <w:pPr>
              <w:jc w:val="center"/>
              <w:rPr>
                <w:sz w:val="20"/>
                <w:szCs w:val="20"/>
              </w:rPr>
            </w:pPr>
            <w:r w:rsidRPr="008B6A75">
              <w:rPr>
                <w:sz w:val="20"/>
                <w:szCs w:val="20"/>
              </w:rPr>
              <w:t>07.1.00.07890</w:t>
            </w:r>
          </w:p>
        </w:tc>
        <w:tc>
          <w:tcPr>
            <w:tcW w:w="850" w:type="dxa"/>
            <w:tcBorders>
              <w:top w:val="nil"/>
              <w:left w:val="single" w:sz="4" w:space="0" w:color="auto"/>
              <w:bottom w:val="single" w:sz="4" w:space="0" w:color="auto"/>
              <w:right w:val="nil"/>
            </w:tcBorders>
            <w:shd w:val="clear" w:color="auto" w:fill="auto"/>
            <w:noWrap/>
            <w:vAlign w:val="center"/>
            <w:hideMark/>
          </w:tcPr>
          <w:p w14:paraId="08A8BFCF" w14:textId="77777777" w:rsidR="00387142" w:rsidRPr="008B6A75" w:rsidRDefault="00387142" w:rsidP="00387142">
            <w:pPr>
              <w:jc w:val="center"/>
              <w:rPr>
                <w:sz w:val="20"/>
                <w:szCs w:val="20"/>
              </w:rPr>
            </w:pPr>
            <w:r w:rsidRPr="008B6A75">
              <w:rPr>
                <w:sz w:val="20"/>
                <w:szCs w:val="20"/>
              </w:rPr>
              <w:t>110</w:t>
            </w:r>
          </w:p>
        </w:tc>
        <w:tc>
          <w:tcPr>
            <w:tcW w:w="567" w:type="dxa"/>
            <w:tcBorders>
              <w:top w:val="nil"/>
              <w:left w:val="single" w:sz="4" w:space="0" w:color="auto"/>
              <w:bottom w:val="single" w:sz="4" w:space="0" w:color="auto"/>
              <w:right w:val="nil"/>
            </w:tcBorders>
            <w:shd w:val="clear" w:color="auto" w:fill="auto"/>
            <w:noWrap/>
            <w:vAlign w:val="center"/>
            <w:hideMark/>
          </w:tcPr>
          <w:p w14:paraId="4CD327E3" w14:textId="77777777" w:rsidR="00387142" w:rsidRPr="008B6A75" w:rsidRDefault="00387142" w:rsidP="00387142">
            <w:pPr>
              <w:jc w:val="center"/>
              <w:rPr>
                <w:sz w:val="20"/>
                <w:szCs w:val="20"/>
              </w:rPr>
            </w:pPr>
            <w:r w:rsidRPr="008B6A75">
              <w:rPr>
                <w:sz w:val="20"/>
                <w:szCs w:val="20"/>
              </w:rPr>
              <w:t>07</w:t>
            </w:r>
          </w:p>
        </w:tc>
        <w:tc>
          <w:tcPr>
            <w:tcW w:w="567" w:type="dxa"/>
            <w:tcBorders>
              <w:top w:val="nil"/>
              <w:left w:val="single" w:sz="4" w:space="0" w:color="auto"/>
              <w:bottom w:val="single" w:sz="4" w:space="0" w:color="auto"/>
              <w:right w:val="nil"/>
            </w:tcBorders>
            <w:shd w:val="clear" w:color="auto" w:fill="auto"/>
            <w:noWrap/>
            <w:vAlign w:val="center"/>
            <w:hideMark/>
          </w:tcPr>
          <w:p w14:paraId="5BAE1870" w14:textId="77777777" w:rsidR="00387142" w:rsidRPr="008B6A75" w:rsidRDefault="00387142" w:rsidP="00387142">
            <w:pPr>
              <w:jc w:val="center"/>
              <w:rPr>
                <w:sz w:val="20"/>
                <w:szCs w:val="20"/>
              </w:rPr>
            </w:pPr>
            <w:r w:rsidRPr="008B6A75">
              <w:rPr>
                <w:sz w:val="20"/>
                <w:szCs w:val="20"/>
              </w:rPr>
              <w:t>09</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0EC6CE2" w14:textId="77777777" w:rsidR="00387142" w:rsidRPr="008B6A75" w:rsidRDefault="00387142" w:rsidP="00387142">
            <w:pPr>
              <w:jc w:val="right"/>
              <w:rPr>
                <w:sz w:val="20"/>
                <w:szCs w:val="20"/>
              </w:rPr>
            </w:pPr>
            <w:r w:rsidRPr="008B6A75">
              <w:rPr>
                <w:sz w:val="20"/>
                <w:szCs w:val="20"/>
              </w:rPr>
              <w:t>60 211 562,74</w:t>
            </w:r>
          </w:p>
        </w:tc>
        <w:tc>
          <w:tcPr>
            <w:tcW w:w="851" w:type="dxa"/>
            <w:tcBorders>
              <w:top w:val="nil"/>
              <w:left w:val="single" w:sz="4" w:space="0" w:color="auto"/>
              <w:bottom w:val="single" w:sz="4" w:space="0" w:color="auto"/>
              <w:right w:val="nil"/>
            </w:tcBorders>
            <w:shd w:val="clear" w:color="auto" w:fill="auto"/>
            <w:noWrap/>
            <w:vAlign w:val="center"/>
            <w:hideMark/>
          </w:tcPr>
          <w:p w14:paraId="4919FF08" w14:textId="77777777" w:rsidR="00387142" w:rsidRPr="008B6A75" w:rsidRDefault="00387142" w:rsidP="00387142">
            <w:pPr>
              <w:jc w:val="right"/>
              <w:rPr>
                <w:sz w:val="20"/>
                <w:szCs w:val="20"/>
              </w:rPr>
            </w:pPr>
            <w:r w:rsidRPr="008B6A75">
              <w:rPr>
                <w:sz w:val="20"/>
                <w:szCs w:val="20"/>
              </w:rPr>
              <w:t>33 596 900,00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0559A316" w14:textId="77777777" w:rsidR="00387142" w:rsidRPr="008B6A75" w:rsidRDefault="00387142" w:rsidP="00387142">
            <w:pPr>
              <w:jc w:val="right"/>
              <w:rPr>
                <w:sz w:val="20"/>
                <w:szCs w:val="20"/>
              </w:rPr>
            </w:pPr>
            <w:r w:rsidRPr="008B6A75">
              <w:rPr>
                <w:sz w:val="20"/>
                <w:szCs w:val="20"/>
              </w:rPr>
              <w:t>24 938 700,00</w:t>
            </w:r>
          </w:p>
        </w:tc>
      </w:tr>
      <w:tr w:rsidR="00387142" w:rsidRPr="008B6A75" w14:paraId="196FCB3F" w14:textId="77777777" w:rsidTr="00387142">
        <w:trPr>
          <w:trHeight w:val="585"/>
        </w:trPr>
        <w:tc>
          <w:tcPr>
            <w:tcW w:w="272" w:type="dxa"/>
            <w:tcBorders>
              <w:top w:val="nil"/>
              <w:left w:val="nil"/>
              <w:bottom w:val="nil"/>
              <w:right w:val="single" w:sz="4" w:space="0" w:color="auto"/>
            </w:tcBorders>
            <w:shd w:val="clear" w:color="auto" w:fill="auto"/>
            <w:noWrap/>
            <w:vAlign w:val="bottom"/>
            <w:hideMark/>
          </w:tcPr>
          <w:p w14:paraId="4E04A551"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2346F011" w14:textId="77777777" w:rsidR="00387142" w:rsidRPr="008B6A75" w:rsidRDefault="00387142" w:rsidP="00387142">
            <w:pPr>
              <w:rPr>
                <w:sz w:val="20"/>
                <w:szCs w:val="20"/>
              </w:rPr>
            </w:pPr>
            <w:r w:rsidRPr="008B6A75">
              <w:rPr>
                <w:sz w:val="20"/>
                <w:szCs w:val="20"/>
              </w:rPr>
              <w:t>Закупка товаров, работ и услуг для обеспечения государственных (муниципальных) нужд</w:t>
            </w:r>
          </w:p>
        </w:tc>
        <w:tc>
          <w:tcPr>
            <w:tcW w:w="1559" w:type="dxa"/>
            <w:tcBorders>
              <w:top w:val="nil"/>
              <w:left w:val="single" w:sz="4" w:space="0" w:color="auto"/>
              <w:bottom w:val="single" w:sz="4" w:space="0" w:color="auto"/>
              <w:right w:val="nil"/>
            </w:tcBorders>
            <w:shd w:val="clear" w:color="auto" w:fill="auto"/>
            <w:noWrap/>
            <w:vAlign w:val="center"/>
            <w:hideMark/>
          </w:tcPr>
          <w:p w14:paraId="73747545" w14:textId="77777777" w:rsidR="00387142" w:rsidRPr="008B6A75" w:rsidRDefault="00387142" w:rsidP="00387142">
            <w:pPr>
              <w:jc w:val="center"/>
              <w:rPr>
                <w:sz w:val="20"/>
                <w:szCs w:val="20"/>
              </w:rPr>
            </w:pPr>
            <w:r w:rsidRPr="008B6A75">
              <w:rPr>
                <w:sz w:val="20"/>
                <w:szCs w:val="20"/>
              </w:rPr>
              <w:t>07.1.00.07890</w:t>
            </w:r>
          </w:p>
        </w:tc>
        <w:tc>
          <w:tcPr>
            <w:tcW w:w="850" w:type="dxa"/>
            <w:tcBorders>
              <w:top w:val="nil"/>
              <w:left w:val="single" w:sz="4" w:space="0" w:color="auto"/>
              <w:bottom w:val="single" w:sz="4" w:space="0" w:color="auto"/>
              <w:right w:val="nil"/>
            </w:tcBorders>
            <w:shd w:val="clear" w:color="auto" w:fill="auto"/>
            <w:noWrap/>
            <w:vAlign w:val="center"/>
            <w:hideMark/>
          </w:tcPr>
          <w:p w14:paraId="55C3C1A4" w14:textId="77777777" w:rsidR="00387142" w:rsidRPr="008B6A75" w:rsidRDefault="00387142" w:rsidP="00387142">
            <w:pPr>
              <w:jc w:val="center"/>
              <w:rPr>
                <w:sz w:val="20"/>
                <w:szCs w:val="20"/>
              </w:rPr>
            </w:pPr>
            <w:r w:rsidRPr="008B6A75">
              <w:rPr>
                <w:sz w:val="20"/>
                <w:szCs w:val="20"/>
              </w:rPr>
              <w:t>200</w:t>
            </w:r>
          </w:p>
        </w:tc>
        <w:tc>
          <w:tcPr>
            <w:tcW w:w="567" w:type="dxa"/>
            <w:tcBorders>
              <w:top w:val="nil"/>
              <w:left w:val="single" w:sz="4" w:space="0" w:color="auto"/>
              <w:bottom w:val="single" w:sz="4" w:space="0" w:color="auto"/>
              <w:right w:val="nil"/>
            </w:tcBorders>
            <w:shd w:val="clear" w:color="auto" w:fill="auto"/>
            <w:noWrap/>
            <w:vAlign w:val="center"/>
            <w:hideMark/>
          </w:tcPr>
          <w:p w14:paraId="51E887DE" w14:textId="77777777" w:rsidR="00387142" w:rsidRPr="008B6A75" w:rsidRDefault="00387142" w:rsidP="00387142">
            <w:pPr>
              <w:jc w:val="center"/>
              <w:rPr>
                <w:sz w:val="20"/>
                <w:szCs w:val="20"/>
              </w:rPr>
            </w:pPr>
            <w:r w:rsidRPr="008B6A75">
              <w:rPr>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60B140F0" w14:textId="77777777" w:rsidR="00387142" w:rsidRPr="008B6A75" w:rsidRDefault="00387142" w:rsidP="00387142">
            <w:pPr>
              <w:jc w:val="center"/>
              <w:rPr>
                <w:sz w:val="20"/>
                <w:szCs w:val="20"/>
              </w:rPr>
            </w:pPr>
            <w:r w:rsidRPr="008B6A75">
              <w:rPr>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B15299B" w14:textId="77777777" w:rsidR="00387142" w:rsidRPr="008B6A75" w:rsidRDefault="00387142" w:rsidP="00387142">
            <w:pPr>
              <w:jc w:val="right"/>
              <w:rPr>
                <w:sz w:val="20"/>
                <w:szCs w:val="20"/>
              </w:rPr>
            </w:pPr>
            <w:r w:rsidRPr="008B6A75">
              <w:rPr>
                <w:sz w:val="20"/>
                <w:szCs w:val="20"/>
              </w:rPr>
              <w:t>12 592 951,11</w:t>
            </w:r>
          </w:p>
        </w:tc>
        <w:tc>
          <w:tcPr>
            <w:tcW w:w="851" w:type="dxa"/>
            <w:tcBorders>
              <w:top w:val="nil"/>
              <w:left w:val="single" w:sz="4" w:space="0" w:color="auto"/>
              <w:bottom w:val="single" w:sz="4" w:space="0" w:color="auto"/>
              <w:right w:val="nil"/>
            </w:tcBorders>
            <w:shd w:val="clear" w:color="auto" w:fill="auto"/>
            <w:noWrap/>
            <w:vAlign w:val="center"/>
            <w:hideMark/>
          </w:tcPr>
          <w:p w14:paraId="45E9E0CC" w14:textId="77777777" w:rsidR="00387142" w:rsidRPr="008B6A75" w:rsidRDefault="00387142" w:rsidP="00387142">
            <w:pPr>
              <w:jc w:val="right"/>
              <w:rPr>
                <w:sz w:val="20"/>
                <w:szCs w:val="20"/>
              </w:rPr>
            </w:pPr>
            <w:r w:rsidRPr="008B6A75">
              <w:rPr>
                <w:sz w:val="20"/>
                <w:szCs w:val="20"/>
              </w:rPr>
              <w:t>7 200 000,00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3861C282" w14:textId="77777777" w:rsidR="00387142" w:rsidRPr="008B6A75" w:rsidRDefault="00387142" w:rsidP="00387142">
            <w:pPr>
              <w:jc w:val="right"/>
              <w:rPr>
                <w:sz w:val="20"/>
                <w:szCs w:val="20"/>
              </w:rPr>
            </w:pPr>
            <w:r w:rsidRPr="008B6A75">
              <w:rPr>
                <w:sz w:val="20"/>
                <w:szCs w:val="20"/>
              </w:rPr>
              <w:t>2 100 000,00</w:t>
            </w:r>
          </w:p>
        </w:tc>
      </w:tr>
      <w:tr w:rsidR="00387142" w:rsidRPr="008B6A75" w14:paraId="5DD58027" w14:textId="77777777" w:rsidTr="00387142">
        <w:trPr>
          <w:trHeight w:val="870"/>
        </w:trPr>
        <w:tc>
          <w:tcPr>
            <w:tcW w:w="272" w:type="dxa"/>
            <w:tcBorders>
              <w:top w:val="nil"/>
              <w:left w:val="nil"/>
              <w:bottom w:val="nil"/>
              <w:right w:val="single" w:sz="4" w:space="0" w:color="auto"/>
            </w:tcBorders>
            <w:shd w:val="clear" w:color="auto" w:fill="auto"/>
            <w:noWrap/>
            <w:vAlign w:val="bottom"/>
            <w:hideMark/>
          </w:tcPr>
          <w:p w14:paraId="70D4F771"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352595CC" w14:textId="77777777" w:rsidR="00387142" w:rsidRPr="008B6A75" w:rsidRDefault="00387142" w:rsidP="00387142">
            <w:pPr>
              <w:rPr>
                <w:sz w:val="20"/>
                <w:szCs w:val="20"/>
              </w:rPr>
            </w:pPr>
            <w:r w:rsidRPr="008B6A75">
              <w:rPr>
                <w:sz w:val="20"/>
                <w:szCs w:val="20"/>
              </w:rPr>
              <w:t>Иные закупки товаров, работ и услуг для обеспечения государственных (муниципальных) нужд</w:t>
            </w:r>
          </w:p>
        </w:tc>
        <w:tc>
          <w:tcPr>
            <w:tcW w:w="1559" w:type="dxa"/>
            <w:tcBorders>
              <w:top w:val="nil"/>
              <w:left w:val="single" w:sz="4" w:space="0" w:color="auto"/>
              <w:bottom w:val="single" w:sz="4" w:space="0" w:color="auto"/>
              <w:right w:val="nil"/>
            </w:tcBorders>
            <w:shd w:val="clear" w:color="auto" w:fill="auto"/>
            <w:noWrap/>
            <w:vAlign w:val="center"/>
            <w:hideMark/>
          </w:tcPr>
          <w:p w14:paraId="7DF094BD" w14:textId="77777777" w:rsidR="00387142" w:rsidRPr="008B6A75" w:rsidRDefault="00387142" w:rsidP="00387142">
            <w:pPr>
              <w:jc w:val="center"/>
              <w:rPr>
                <w:sz w:val="20"/>
                <w:szCs w:val="20"/>
              </w:rPr>
            </w:pPr>
            <w:r w:rsidRPr="008B6A75">
              <w:rPr>
                <w:sz w:val="20"/>
                <w:szCs w:val="20"/>
              </w:rPr>
              <w:t>07.1.00.07890</w:t>
            </w:r>
          </w:p>
        </w:tc>
        <w:tc>
          <w:tcPr>
            <w:tcW w:w="850" w:type="dxa"/>
            <w:tcBorders>
              <w:top w:val="nil"/>
              <w:left w:val="single" w:sz="4" w:space="0" w:color="auto"/>
              <w:bottom w:val="single" w:sz="4" w:space="0" w:color="auto"/>
              <w:right w:val="nil"/>
            </w:tcBorders>
            <w:shd w:val="clear" w:color="auto" w:fill="auto"/>
            <w:noWrap/>
            <w:vAlign w:val="center"/>
            <w:hideMark/>
          </w:tcPr>
          <w:p w14:paraId="11870A81" w14:textId="77777777" w:rsidR="00387142" w:rsidRPr="008B6A75" w:rsidRDefault="00387142" w:rsidP="00387142">
            <w:pPr>
              <w:jc w:val="center"/>
              <w:rPr>
                <w:sz w:val="20"/>
                <w:szCs w:val="20"/>
              </w:rPr>
            </w:pPr>
            <w:r w:rsidRPr="008B6A75">
              <w:rPr>
                <w:sz w:val="20"/>
                <w:szCs w:val="20"/>
              </w:rPr>
              <w:t>240</w:t>
            </w:r>
          </w:p>
        </w:tc>
        <w:tc>
          <w:tcPr>
            <w:tcW w:w="567" w:type="dxa"/>
            <w:tcBorders>
              <w:top w:val="nil"/>
              <w:left w:val="single" w:sz="4" w:space="0" w:color="auto"/>
              <w:bottom w:val="single" w:sz="4" w:space="0" w:color="auto"/>
              <w:right w:val="nil"/>
            </w:tcBorders>
            <w:shd w:val="clear" w:color="auto" w:fill="auto"/>
            <w:noWrap/>
            <w:vAlign w:val="center"/>
            <w:hideMark/>
          </w:tcPr>
          <w:p w14:paraId="04AAA373" w14:textId="77777777" w:rsidR="00387142" w:rsidRPr="008B6A75" w:rsidRDefault="00387142" w:rsidP="00387142">
            <w:pPr>
              <w:jc w:val="center"/>
              <w:rPr>
                <w:sz w:val="20"/>
                <w:szCs w:val="20"/>
              </w:rPr>
            </w:pPr>
            <w:r w:rsidRPr="008B6A75">
              <w:rPr>
                <w:sz w:val="20"/>
                <w:szCs w:val="20"/>
              </w:rPr>
              <w:t>07</w:t>
            </w:r>
          </w:p>
        </w:tc>
        <w:tc>
          <w:tcPr>
            <w:tcW w:w="567" w:type="dxa"/>
            <w:tcBorders>
              <w:top w:val="nil"/>
              <w:left w:val="single" w:sz="4" w:space="0" w:color="auto"/>
              <w:bottom w:val="single" w:sz="4" w:space="0" w:color="auto"/>
              <w:right w:val="nil"/>
            </w:tcBorders>
            <w:shd w:val="clear" w:color="auto" w:fill="auto"/>
            <w:noWrap/>
            <w:vAlign w:val="center"/>
            <w:hideMark/>
          </w:tcPr>
          <w:p w14:paraId="214D292D" w14:textId="77777777" w:rsidR="00387142" w:rsidRPr="008B6A75" w:rsidRDefault="00387142" w:rsidP="00387142">
            <w:pPr>
              <w:jc w:val="center"/>
              <w:rPr>
                <w:sz w:val="20"/>
                <w:szCs w:val="20"/>
              </w:rPr>
            </w:pPr>
            <w:r w:rsidRPr="008B6A75">
              <w:rPr>
                <w:sz w:val="20"/>
                <w:szCs w:val="20"/>
              </w:rPr>
              <w:t>09</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831783E" w14:textId="77777777" w:rsidR="00387142" w:rsidRPr="008B6A75" w:rsidRDefault="00387142" w:rsidP="00387142">
            <w:pPr>
              <w:jc w:val="right"/>
              <w:rPr>
                <w:sz w:val="20"/>
                <w:szCs w:val="20"/>
              </w:rPr>
            </w:pPr>
            <w:r w:rsidRPr="008B6A75">
              <w:rPr>
                <w:sz w:val="20"/>
                <w:szCs w:val="20"/>
              </w:rPr>
              <w:t>12 592 951,11</w:t>
            </w:r>
          </w:p>
        </w:tc>
        <w:tc>
          <w:tcPr>
            <w:tcW w:w="851" w:type="dxa"/>
            <w:tcBorders>
              <w:top w:val="nil"/>
              <w:left w:val="single" w:sz="4" w:space="0" w:color="auto"/>
              <w:bottom w:val="single" w:sz="4" w:space="0" w:color="auto"/>
              <w:right w:val="nil"/>
            </w:tcBorders>
            <w:shd w:val="clear" w:color="auto" w:fill="auto"/>
            <w:noWrap/>
            <w:vAlign w:val="center"/>
            <w:hideMark/>
          </w:tcPr>
          <w:p w14:paraId="0CDEB4A6" w14:textId="77777777" w:rsidR="00387142" w:rsidRPr="008B6A75" w:rsidRDefault="00387142" w:rsidP="00387142">
            <w:pPr>
              <w:jc w:val="right"/>
              <w:rPr>
                <w:sz w:val="20"/>
                <w:szCs w:val="20"/>
              </w:rPr>
            </w:pPr>
            <w:r w:rsidRPr="008B6A75">
              <w:rPr>
                <w:sz w:val="20"/>
                <w:szCs w:val="20"/>
              </w:rPr>
              <w:t>7 200 000,00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56C4FAC7" w14:textId="77777777" w:rsidR="00387142" w:rsidRPr="008B6A75" w:rsidRDefault="00387142" w:rsidP="00387142">
            <w:pPr>
              <w:jc w:val="right"/>
              <w:rPr>
                <w:sz w:val="20"/>
                <w:szCs w:val="20"/>
              </w:rPr>
            </w:pPr>
            <w:r w:rsidRPr="008B6A75">
              <w:rPr>
                <w:sz w:val="20"/>
                <w:szCs w:val="20"/>
              </w:rPr>
              <w:t>2 100 000,00</w:t>
            </w:r>
          </w:p>
        </w:tc>
      </w:tr>
      <w:tr w:rsidR="00387142" w:rsidRPr="008B6A75" w14:paraId="5488AFF2" w14:textId="77777777" w:rsidTr="00387142">
        <w:trPr>
          <w:trHeight w:val="300"/>
        </w:trPr>
        <w:tc>
          <w:tcPr>
            <w:tcW w:w="272" w:type="dxa"/>
            <w:tcBorders>
              <w:top w:val="nil"/>
              <w:left w:val="nil"/>
              <w:bottom w:val="nil"/>
              <w:right w:val="single" w:sz="4" w:space="0" w:color="auto"/>
            </w:tcBorders>
            <w:shd w:val="clear" w:color="auto" w:fill="auto"/>
            <w:noWrap/>
            <w:vAlign w:val="bottom"/>
            <w:hideMark/>
          </w:tcPr>
          <w:p w14:paraId="62A24C88"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075EDA9F" w14:textId="77777777" w:rsidR="00387142" w:rsidRPr="008B6A75" w:rsidRDefault="00387142" w:rsidP="00387142">
            <w:pPr>
              <w:rPr>
                <w:sz w:val="20"/>
                <w:szCs w:val="20"/>
              </w:rPr>
            </w:pPr>
            <w:r w:rsidRPr="008B6A75">
              <w:rPr>
                <w:sz w:val="20"/>
                <w:szCs w:val="20"/>
              </w:rPr>
              <w:t>Иные бюджетные ассигнования</w:t>
            </w:r>
          </w:p>
        </w:tc>
        <w:tc>
          <w:tcPr>
            <w:tcW w:w="1559" w:type="dxa"/>
            <w:tcBorders>
              <w:top w:val="nil"/>
              <w:left w:val="single" w:sz="4" w:space="0" w:color="auto"/>
              <w:bottom w:val="single" w:sz="4" w:space="0" w:color="auto"/>
              <w:right w:val="nil"/>
            </w:tcBorders>
            <w:shd w:val="clear" w:color="auto" w:fill="auto"/>
            <w:noWrap/>
            <w:vAlign w:val="center"/>
            <w:hideMark/>
          </w:tcPr>
          <w:p w14:paraId="5CF5B7BD" w14:textId="77777777" w:rsidR="00387142" w:rsidRPr="008B6A75" w:rsidRDefault="00387142" w:rsidP="00387142">
            <w:pPr>
              <w:jc w:val="center"/>
              <w:rPr>
                <w:sz w:val="20"/>
                <w:szCs w:val="20"/>
              </w:rPr>
            </w:pPr>
            <w:r w:rsidRPr="008B6A75">
              <w:rPr>
                <w:sz w:val="20"/>
                <w:szCs w:val="20"/>
              </w:rPr>
              <w:t>07.1.00.07890</w:t>
            </w:r>
          </w:p>
        </w:tc>
        <w:tc>
          <w:tcPr>
            <w:tcW w:w="850" w:type="dxa"/>
            <w:tcBorders>
              <w:top w:val="nil"/>
              <w:left w:val="single" w:sz="4" w:space="0" w:color="auto"/>
              <w:bottom w:val="single" w:sz="4" w:space="0" w:color="auto"/>
              <w:right w:val="nil"/>
            </w:tcBorders>
            <w:shd w:val="clear" w:color="auto" w:fill="auto"/>
            <w:noWrap/>
            <w:vAlign w:val="center"/>
            <w:hideMark/>
          </w:tcPr>
          <w:p w14:paraId="5996AD6B" w14:textId="77777777" w:rsidR="00387142" w:rsidRPr="008B6A75" w:rsidRDefault="00387142" w:rsidP="00387142">
            <w:pPr>
              <w:jc w:val="center"/>
              <w:rPr>
                <w:sz w:val="20"/>
                <w:szCs w:val="20"/>
              </w:rPr>
            </w:pPr>
            <w:r w:rsidRPr="008B6A75">
              <w:rPr>
                <w:sz w:val="20"/>
                <w:szCs w:val="20"/>
              </w:rPr>
              <w:t>800</w:t>
            </w:r>
          </w:p>
        </w:tc>
        <w:tc>
          <w:tcPr>
            <w:tcW w:w="567" w:type="dxa"/>
            <w:tcBorders>
              <w:top w:val="nil"/>
              <w:left w:val="single" w:sz="4" w:space="0" w:color="auto"/>
              <w:bottom w:val="single" w:sz="4" w:space="0" w:color="auto"/>
              <w:right w:val="nil"/>
            </w:tcBorders>
            <w:shd w:val="clear" w:color="auto" w:fill="auto"/>
            <w:noWrap/>
            <w:vAlign w:val="center"/>
            <w:hideMark/>
          </w:tcPr>
          <w:p w14:paraId="0487C0F6" w14:textId="77777777" w:rsidR="00387142" w:rsidRPr="008B6A75" w:rsidRDefault="00387142" w:rsidP="00387142">
            <w:pPr>
              <w:jc w:val="center"/>
              <w:rPr>
                <w:sz w:val="20"/>
                <w:szCs w:val="20"/>
              </w:rPr>
            </w:pPr>
            <w:r w:rsidRPr="008B6A75">
              <w:rPr>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67023DBC" w14:textId="77777777" w:rsidR="00387142" w:rsidRPr="008B6A75" w:rsidRDefault="00387142" w:rsidP="00387142">
            <w:pPr>
              <w:jc w:val="center"/>
              <w:rPr>
                <w:sz w:val="20"/>
                <w:szCs w:val="20"/>
              </w:rPr>
            </w:pPr>
            <w:r w:rsidRPr="008B6A75">
              <w:rPr>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C07411E" w14:textId="77777777" w:rsidR="00387142" w:rsidRPr="008B6A75" w:rsidRDefault="00387142" w:rsidP="00387142">
            <w:pPr>
              <w:jc w:val="right"/>
              <w:rPr>
                <w:sz w:val="20"/>
                <w:szCs w:val="20"/>
              </w:rPr>
            </w:pPr>
            <w:r w:rsidRPr="008B6A75">
              <w:rPr>
                <w:sz w:val="20"/>
                <w:szCs w:val="20"/>
              </w:rPr>
              <w:t>197 013,08</w:t>
            </w:r>
          </w:p>
        </w:tc>
        <w:tc>
          <w:tcPr>
            <w:tcW w:w="851" w:type="dxa"/>
            <w:tcBorders>
              <w:top w:val="nil"/>
              <w:left w:val="single" w:sz="4" w:space="0" w:color="auto"/>
              <w:bottom w:val="single" w:sz="4" w:space="0" w:color="auto"/>
              <w:right w:val="nil"/>
            </w:tcBorders>
            <w:shd w:val="clear" w:color="auto" w:fill="auto"/>
            <w:noWrap/>
            <w:vAlign w:val="center"/>
            <w:hideMark/>
          </w:tcPr>
          <w:p w14:paraId="1D5A045A" w14:textId="77777777" w:rsidR="00387142" w:rsidRPr="008B6A75" w:rsidRDefault="00387142" w:rsidP="00387142">
            <w:pPr>
              <w:jc w:val="right"/>
              <w:rPr>
                <w:sz w:val="20"/>
                <w:szCs w:val="20"/>
              </w:rPr>
            </w:pPr>
            <w:r w:rsidRPr="008B6A75">
              <w:rPr>
                <w:sz w:val="20"/>
                <w:szCs w:val="20"/>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2165AC1E" w14:textId="77777777" w:rsidR="00387142" w:rsidRPr="008B6A75" w:rsidRDefault="00387142" w:rsidP="00387142">
            <w:pPr>
              <w:jc w:val="right"/>
              <w:rPr>
                <w:sz w:val="20"/>
                <w:szCs w:val="20"/>
              </w:rPr>
            </w:pPr>
            <w:r w:rsidRPr="008B6A75">
              <w:rPr>
                <w:sz w:val="20"/>
                <w:szCs w:val="20"/>
              </w:rPr>
              <w:t>0,00</w:t>
            </w:r>
          </w:p>
        </w:tc>
      </w:tr>
      <w:tr w:rsidR="00387142" w:rsidRPr="008B6A75" w14:paraId="266E3D58" w14:textId="77777777" w:rsidTr="00387142">
        <w:trPr>
          <w:trHeight w:val="300"/>
        </w:trPr>
        <w:tc>
          <w:tcPr>
            <w:tcW w:w="272" w:type="dxa"/>
            <w:tcBorders>
              <w:top w:val="nil"/>
              <w:left w:val="nil"/>
              <w:bottom w:val="nil"/>
              <w:right w:val="single" w:sz="4" w:space="0" w:color="auto"/>
            </w:tcBorders>
            <w:shd w:val="clear" w:color="auto" w:fill="auto"/>
            <w:noWrap/>
            <w:vAlign w:val="bottom"/>
            <w:hideMark/>
          </w:tcPr>
          <w:p w14:paraId="1AD2C7D5"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234905F4" w14:textId="77777777" w:rsidR="00387142" w:rsidRPr="008B6A75" w:rsidRDefault="00387142" w:rsidP="00387142">
            <w:pPr>
              <w:rPr>
                <w:sz w:val="20"/>
                <w:szCs w:val="20"/>
              </w:rPr>
            </w:pPr>
            <w:r w:rsidRPr="008B6A75">
              <w:rPr>
                <w:sz w:val="20"/>
                <w:szCs w:val="20"/>
              </w:rPr>
              <w:t>Уплата налогов, сборов и иных платежей</w:t>
            </w:r>
          </w:p>
        </w:tc>
        <w:tc>
          <w:tcPr>
            <w:tcW w:w="1559" w:type="dxa"/>
            <w:tcBorders>
              <w:top w:val="nil"/>
              <w:left w:val="single" w:sz="4" w:space="0" w:color="auto"/>
              <w:bottom w:val="single" w:sz="4" w:space="0" w:color="auto"/>
              <w:right w:val="nil"/>
            </w:tcBorders>
            <w:shd w:val="clear" w:color="auto" w:fill="auto"/>
            <w:noWrap/>
            <w:vAlign w:val="center"/>
            <w:hideMark/>
          </w:tcPr>
          <w:p w14:paraId="437637BC" w14:textId="77777777" w:rsidR="00387142" w:rsidRPr="008B6A75" w:rsidRDefault="00387142" w:rsidP="00387142">
            <w:pPr>
              <w:jc w:val="center"/>
              <w:rPr>
                <w:sz w:val="20"/>
                <w:szCs w:val="20"/>
              </w:rPr>
            </w:pPr>
            <w:r w:rsidRPr="008B6A75">
              <w:rPr>
                <w:sz w:val="20"/>
                <w:szCs w:val="20"/>
              </w:rPr>
              <w:t>07.1.00.07890</w:t>
            </w:r>
          </w:p>
        </w:tc>
        <w:tc>
          <w:tcPr>
            <w:tcW w:w="850" w:type="dxa"/>
            <w:tcBorders>
              <w:top w:val="nil"/>
              <w:left w:val="single" w:sz="4" w:space="0" w:color="auto"/>
              <w:bottom w:val="single" w:sz="4" w:space="0" w:color="auto"/>
              <w:right w:val="nil"/>
            </w:tcBorders>
            <w:shd w:val="clear" w:color="auto" w:fill="auto"/>
            <w:noWrap/>
            <w:vAlign w:val="center"/>
            <w:hideMark/>
          </w:tcPr>
          <w:p w14:paraId="2944F5D3" w14:textId="77777777" w:rsidR="00387142" w:rsidRPr="008B6A75" w:rsidRDefault="00387142" w:rsidP="00387142">
            <w:pPr>
              <w:jc w:val="center"/>
              <w:rPr>
                <w:sz w:val="20"/>
                <w:szCs w:val="20"/>
              </w:rPr>
            </w:pPr>
            <w:r w:rsidRPr="008B6A75">
              <w:rPr>
                <w:sz w:val="20"/>
                <w:szCs w:val="20"/>
              </w:rPr>
              <w:t>850</w:t>
            </w:r>
          </w:p>
        </w:tc>
        <w:tc>
          <w:tcPr>
            <w:tcW w:w="567" w:type="dxa"/>
            <w:tcBorders>
              <w:top w:val="nil"/>
              <w:left w:val="single" w:sz="4" w:space="0" w:color="auto"/>
              <w:bottom w:val="single" w:sz="4" w:space="0" w:color="auto"/>
              <w:right w:val="nil"/>
            </w:tcBorders>
            <w:shd w:val="clear" w:color="auto" w:fill="auto"/>
            <w:noWrap/>
            <w:vAlign w:val="center"/>
            <w:hideMark/>
          </w:tcPr>
          <w:p w14:paraId="559760EA" w14:textId="77777777" w:rsidR="00387142" w:rsidRPr="008B6A75" w:rsidRDefault="00387142" w:rsidP="00387142">
            <w:pPr>
              <w:jc w:val="center"/>
              <w:rPr>
                <w:sz w:val="20"/>
                <w:szCs w:val="20"/>
              </w:rPr>
            </w:pPr>
            <w:r w:rsidRPr="008B6A75">
              <w:rPr>
                <w:sz w:val="20"/>
                <w:szCs w:val="20"/>
              </w:rPr>
              <w:t>07</w:t>
            </w:r>
          </w:p>
        </w:tc>
        <w:tc>
          <w:tcPr>
            <w:tcW w:w="567" w:type="dxa"/>
            <w:tcBorders>
              <w:top w:val="nil"/>
              <w:left w:val="single" w:sz="4" w:space="0" w:color="auto"/>
              <w:bottom w:val="single" w:sz="4" w:space="0" w:color="auto"/>
              <w:right w:val="nil"/>
            </w:tcBorders>
            <w:shd w:val="clear" w:color="auto" w:fill="auto"/>
            <w:noWrap/>
            <w:vAlign w:val="center"/>
            <w:hideMark/>
          </w:tcPr>
          <w:p w14:paraId="2B6DD2DE" w14:textId="77777777" w:rsidR="00387142" w:rsidRPr="008B6A75" w:rsidRDefault="00387142" w:rsidP="00387142">
            <w:pPr>
              <w:jc w:val="center"/>
              <w:rPr>
                <w:sz w:val="20"/>
                <w:szCs w:val="20"/>
              </w:rPr>
            </w:pPr>
            <w:r w:rsidRPr="008B6A75">
              <w:rPr>
                <w:sz w:val="20"/>
                <w:szCs w:val="20"/>
              </w:rPr>
              <w:t>09</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F3F4AAB" w14:textId="77777777" w:rsidR="00387142" w:rsidRPr="008B6A75" w:rsidRDefault="00387142" w:rsidP="00387142">
            <w:pPr>
              <w:jc w:val="right"/>
              <w:rPr>
                <w:sz w:val="20"/>
                <w:szCs w:val="20"/>
              </w:rPr>
            </w:pPr>
            <w:r w:rsidRPr="008B6A75">
              <w:rPr>
                <w:sz w:val="20"/>
                <w:szCs w:val="20"/>
              </w:rPr>
              <w:t>197 013,08</w:t>
            </w:r>
          </w:p>
        </w:tc>
        <w:tc>
          <w:tcPr>
            <w:tcW w:w="851" w:type="dxa"/>
            <w:tcBorders>
              <w:top w:val="nil"/>
              <w:left w:val="single" w:sz="4" w:space="0" w:color="auto"/>
              <w:bottom w:val="single" w:sz="4" w:space="0" w:color="auto"/>
              <w:right w:val="nil"/>
            </w:tcBorders>
            <w:shd w:val="clear" w:color="auto" w:fill="auto"/>
            <w:noWrap/>
            <w:vAlign w:val="center"/>
            <w:hideMark/>
          </w:tcPr>
          <w:p w14:paraId="2A20488E" w14:textId="77777777" w:rsidR="00387142" w:rsidRPr="008B6A75" w:rsidRDefault="00387142" w:rsidP="00387142">
            <w:pPr>
              <w:jc w:val="right"/>
              <w:rPr>
                <w:sz w:val="20"/>
                <w:szCs w:val="20"/>
              </w:rPr>
            </w:pPr>
            <w:r w:rsidRPr="008B6A75">
              <w:rPr>
                <w:sz w:val="20"/>
                <w:szCs w:val="20"/>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338C3F89" w14:textId="77777777" w:rsidR="00387142" w:rsidRPr="008B6A75" w:rsidRDefault="00387142" w:rsidP="00387142">
            <w:pPr>
              <w:jc w:val="right"/>
              <w:rPr>
                <w:sz w:val="20"/>
                <w:szCs w:val="20"/>
              </w:rPr>
            </w:pPr>
            <w:r w:rsidRPr="008B6A75">
              <w:rPr>
                <w:sz w:val="20"/>
                <w:szCs w:val="20"/>
              </w:rPr>
              <w:t>0,00</w:t>
            </w:r>
          </w:p>
        </w:tc>
      </w:tr>
      <w:tr w:rsidR="00387142" w:rsidRPr="008B6A75" w14:paraId="3128C93A" w14:textId="77777777" w:rsidTr="00387142">
        <w:trPr>
          <w:trHeight w:val="2295"/>
        </w:trPr>
        <w:tc>
          <w:tcPr>
            <w:tcW w:w="272" w:type="dxa"/>
            <w:tcBorders>
              <w:top w:val="nil"/>
              <w:left w:val="nil"/>
              <w:bottom w:val="nil"/>
              <w:right w:val="single" w:sz="4" w:space="0" w:color="auto"/>
            </w:tcBorders>
            <w:shd w:val="clear" w:color="auto" w:fill="auto"/>
            <w:noWrap/>
            <w:vAlign w:val="bottom"/>
            <w:hideMark/>
          </w:tcPr>
          <w:p w14:paraId="6E3412E3"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5EC577F6" w14:textId="77777777" w:rsidR="00387142" w:rsidRPr="008B6A75" w:rsidRDefault="00387142" w:rsidP="00387142">
            <w:pPr>
              <w:rPr>
                <w:bCs/>
                <w:sz w:val="20"/>
                <w:szCs w:val="20"/>
              </w:rPr>
            </w:pPr>
            <w:r w:rsidRPr="008B6A75">
              <w:rPr>
                <w:bCs/>
                <w:sz w:val="20"/>
                <w:szCs w:val="20"/>
              </w:rPr>
              <w:t xml:space="preserve">Ежемесячное денежное вознаграждение за классное руководство педагогическим работникам муниципальных общеобразовательных организаций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w:t>
            </w:r>
          </w:p>
        </w:tc>
        <w:tc>
          <w:tcPr>
            <w:tcW w:w="1559" w:type="dxa"/>
            <w:tcBorders>
              <w:top w:val="nil"/>
              <w:left w:val="single" w:sz="4" w:space="0" w:color="auto"/>
              <w:bottom w:val="single" w:sz="4" w:space="0" w:color="auto"/>
              <w:right w:val="nil"/>
            </w:tcBorders>
            <w:shd w:val="clear" w:color="auto" w:fill="auto"/>
            <w:noWrap/>
            <w:vAlign w:val="center"/>
            <w:hideMark/>
          </w:tcPr>
          <w:p w14:paraId="58980EFA" w14:textId="77777777" w:rsidR="00387142" w:rsidRPr="008B6A75" w:rsidRDefault="00387142" w:rsidP="00387142">
            <w:pPr>
              <w:jc w:val="center"/>
              <w:rPr>
                <w:bCs/>
                <w:sz w:val="20"/>
                <w:szCs w:val="20"/>
              </w:rPr>
            </w:pPr>
            <w:r w:rsidRPr="008B6A75">
              <w:rPr>
                <w:bCs/>
                <w:sz w:val="20"/>
                <w:szCs w:val="20"/>
              </w:rPr>
              <w:t>07.1.00.53030</w:t>
            </w:r>
          </w:p>
        </w:tc>
        <w:tc>
          <w:tcPr>
            <w:tcW w:w="850" w:type="dxa"/>
            <w:tcBorders>
              <w:top w:val="nil"/>
              <w:left w:val="single" w:sz="4" w:space="0" w:color="auto"/>
              <w:bottom w:val="single" w:sz="4" w:space="0" w:color="auto"/>
              <w:right w:val="nil"/>
            </w:tcBorders>
            <w:shd w:val="clear" w:color="auto" w:fill="auto"/>
            <w:noWrap/>
            <w:vAlign w:val="center"/>
            <w:hideMark/>
          </w:tcPr>
          <w:p w14:paraId="5C837B43" w14:textId="77777777" w:rsidR="00387142" w:rsidRPr="008B6A75" w:rsidRDefault="00387142" w:rsidP="00387142">
            <w:pPr>
              <w:jc w:val="center"/>
              <w:rPr>
                <w:bCs/>
                <w:sz w:val="20"/>
                <w:szCs w:val="20"/>
              </w:rPr>
            </w:pPr>
            <w:r w:rsidRPr="008B6A75">
              <w:rPr>
                <w:bCs/>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3B1CAF81" w14:textId="77777777" w:rsidR="00387142" w:rsidRPr="008B6A75" w:rsidRDefault="00387142" w:rsidP="00387142">
            <w:pPr>
              <w:jc w:val="center"/>
              <w:rPr>
                <w:bCs/>
                <w:sz w:val="20"/>
                <w:szCs w:val="20"/>
              </w:rPr>
            </w:pPr>
            <w:r w:rsidRPr="008B6A75">
              <w:rPr>
                <w:bCs/>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5685AC7F" w14:textId="77777777" w:rsidR="00387142" w:rsidRPr="008B6A75" w:rsidRDefault="00387142" w:rsidP="00387142">
            <w:pPr>
              <w:jc w:val="center"/>
              <w:rPr>
                <w:bCs/>
                <w:sz w:val="20"/>
                <w:szCs w:val="20"/>
              </w:rPr>
            </w:pPr>
            <w:r w:rsidRPr="008B6A75">
              <w:rPr>
                <w:bCs/>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1376CA9" w14:textId="77777777" w:rsidR="00387142" w:rsidRPr="008B6A75" w:rsidRDefault="00387142" w:rsidP="00387142">
            <w:pPr>
              <w:jc w:val="right"/>
              <w:rPr>
                <w:bCs/>
                <w:sz w:val="20"/>
                <w:szCs w:val="20"/>
              </w:rPr>
            </w:pPr>
            <w:r w:rsidRPr="008B6A75">
              <w:rPr>
                <w:bCs/>
                <w:sz w:val="20"/>
                <w:szCs w:val="20"/>
              </w:rPr>
              <w:t>33 810 400,00</w:t>
            </w:r>
          </w:p>
        </w:tc>
        <w:tc>
          <w:tcPr>
            <w:tcW w:w="851" w:type="dxa"/>
            <w:tcBorders>
              <w:top w:val="nil"/>
              <w:left w:val="single" w:sz="4" w:space="0" w:color="auto"/>
              <w:bottom w:val="single" w:sz="4" w:space="0" w:color="auto"/>
              <w:right w:val="nil"/>
            </w:tcBorders>
            <w:shd w:val="clear" w:color="auto" w:fill="auto"/>
            <w:noWrap/>
            <w:vAlign w:val="center"/>
            <w:hideMark/>
          </w:tcPr>
          <w:p w14:paraId="26507825" w14:textId="77777777" w:rsidR="00387142" w:rsidRPr="008B6A75" w:rsidRDefault="00387142" w:rsidP="00387142">
            <w:pPr>
              <w:jc w:val="right"/>
              <w:rPr>
                <w:bCs/>
                <w:sz w:val="20"/>
                <w:szCs w:val="20"/>
              </w:rPr>
            </w:pPr>
            <w:r w:rsidRPr="008B6A75">
              <w:rPr>
                <w:bCs/>
                <w:sz w:val="20"/>
                <w:szCs w:val="20"/>
              </w:rPr>
              <w:t>33 747 800,00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781DFABB" w14:textId="77777777" w:rsidR="00387142" w:rsidRPr="008B6A75" w:rsidRDefault="00387142" w:rsidP="00387142">
            <w:pPr>
              <w:jc w:val="right"/>
              <w:rPr>
                <w:bCs/>
                <w:sz w:val="20"/>
                <w:szCs w:val="20"/>
              </w:rPr>
            </w:pPr>
            <w:r w:rsidRPr="008B6A75">
              <w:rPr>
                <w:bCs/>
                <w:sz w:val="20"/>
                <w:szCs w:val="20"/>
              </w:rPr>
              <w:t>33 747 800,00</w:t>
            </w:r>
          </w:p>
        </w:tc>
      </w:tr>
      <w:tr w:rsidR="00387142" w:rsidRPr="008B6A75" w14:paraId="2C6AF9F9" w14:textId="77777777" w:rsidTr="00387142">
        <w:trPr>
          <w:trHeight w:val="1440"/>
        </w:trPr>
        <w:tc>
          <w:tcPr>
            <w:tcW w:w="272" w:type="dxa"/>
            <w:tcBorders>
              <w:top w:val="nil"/>
              <w:left w:val="nil"/>
              <w:bottom w:val="nil"/>
              <w:right w:val="single" w:sz="4" w:space="0" w:color="auto"/>
            </w:tcBorders>
            <w:shd w:val="clear" w:color="auto" w:fill="auto"/>
            <w:noWrap/>
            <w:vAlign w:val="bottom"/>
            <w:hideMark/>
          </w:tcPr>
          <w:p w14:paraId="04BC8220"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4ED8C71D" w14:textId="77777777" w:rsidR="00387142" w:rsidRPr="008B6A75" w:rsidRDefault="00387142" w:rsidP="00387142">
            <w:pPr>
              <w:rPr>
                <w:sz w:val="20"/>
                <w:szCs w:val="20"/>
              </w:rPr>
            </w:pPr>
            <w:r w:rsidRPr="008B6A7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single" w:sz="4" w:space="0" w:color="auto"/>
              <w:bottom w:val="single" w:sz="4" w:space="0" w:color="auto"/>
              <w:right w:val="nil"/>
            </w:tcBorders>
            <w:shd w:val="clear" w:color="auto" w:fill="auto"/>
            <w:noWrap/>
            <w:vAlign w:val="center"/>
            <w:hideMark/>
          </w:tcPr>
          <w:p w14:paraId="6D5B73EE" w14:textId="77777777" w:rsidR="00387142" w:rsidRPr="008B6A75" w:rsidRDefault="00387142" w:rsidP="00387142">
            <w:pPr>
              <w:jc w:val="center"/>
              <w:rPr>
                <w:sz w:val="20"/>
                <w:szCs w:val="20"/>
              </w:rPr>
            </w:pPr>
            <w:r w:rsidRPr="008B6A75">
              <w:rPr>
                <w:sz w:val="20"/>
                <w:szCs w:val="20"/>
              </w:rPr>
              <w:t>07.1.00.53030</w:t>
            </w:r>
          </w:p>
        </w:tc>
        <w:tc>
          <w:tcPr>
            <w:tcW w:w="850" w:type="dxa"/>
            <w:tcBorders>
              <w:top w:val="nil"/>
              <w:left w:val="single" w:sz="4" w:space="0" w:color="auto"/>
              <w:bottom w:val="single" w:sz="4" w:space="0" w:color="auto"/>
              <w:right w:val="nil"/>
            </w:tcBorders>
            <w:shd w:val="clear" w:color="auto" w:fill="auto"/>
            <w:noWrap/>
            <w:vAlign w:val="center"/>
            <w:hideMark/>
          </w:tcPr>
          <w:p w14:paraId="687B6DD7" w14:textId="77777777" w:rsidR="00387142" w:rsidRPr="008B6A75" w:rsidRDefault="00387142" w:rsidP="00387142">
            <w:pPr>
              <w:jc w:val="center"/>
              <w:rPr>
                <w:sz w:val="20"/>
                <w:szCs w:val="20"/>
              </w:rPr>
            </w:pPr>
            <w:r w:rsidRPr="008B6A75">
              <w:rPr>
                <w:sz w:val="20"/>
                <w:szCs w:val="20"/>
              </w:rPr>
              <w:t>100</w:t>
            </w:r>
          </w:p>
        </w:tc>
        <w:tc>
          <w:tcPr>
            <w:tcW w:w="567" w:type="dxa"/>
            <w:tcBorders>
              <w:top w:val="nil"/>
              <w:left w:val="single" w:sz="4" w:space="0" w:color="auto"/>
              <w:bottom w:val="single" w:sz="4" w:space="0" w:color="auto"/>
              <w:right w:val="nil"/>
            </w:tcBorders>
            <w:shd w:val="clear" w:color="auto" w:fill="auto"/>
            <w:noWrap/>
            <w:vAlign w:val="center"/>
            <w:hideMark/>
          </w:tcPr>
          <w:p w14:paraId="6231BF06" w14:textId="77777777" w:rsidR="00387142" w:rsidRPr="008B6A75" w:rsidRDefault="00387142" w:rsidP="00387142">
            <w:pPr>
              <w:jc w:val="center"/>
              <w:rPr>
                <w:sz w:val="20"/>
                <w:szCs w:val="20"/>
              </w:rPr>
            </w:pPr>
            <w:r w:rsidRPr="008B6A75">
              <w:rPr>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297A34EE" w14:textId="77777777" w:rsidR="00387142" w:rsidRPr="008B6A75" w:rsidRDefault="00387142" w:rsidP="00387142">
            <w:pPr>
              <w:jc w:val="center"/>
              <w:rPr>
                <w:sz w:val="20"/>
                <w:szCs w:val="20"/>
              </w:rPr>
            </w:pPr>
            <w:r w:rsidRPr="008B6A75">
              <w:rPr>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04D4994" w14:textId="77777777" w:rsidR="00387142" w:rsidRPr="008B6A75" w:rsidRDefault="00387142" w:rsidP="00387142">
            <w:pPr>
              <w:jc w:val="right"/>
              <w:rPr>
                <w:sz w:val="20"/>
                <w:szCs w:val="20"/>
              </w:rPr>
            </w:pPr>
            <w:r w:rsidRPr="008B6A75">
              <w:rPr>
                <w:sz w:val="20"/>
                <w:szCs w:val="20"/>
              </w:rPr>
              <w:t>16 561 504,00</w:t>
            </w:r>
          </w:p>
        </w:tc>
        <w:tc>
          <w:tcPr>
            <w:tcW w:w="851" w:type="dxa"/>
            <w:tcBorders>
              <w:top w:val="nil"/>
              <w:left w:val="single" w:sz="4" w:space="0" w:color="auto"/>
              <w:bottom w:val="single" w:sz="4" w:space="0" w:color="auto"/>
              <w:right w:val="nil"/>
            </w:tcBorders>
            <w:shd w:val="clear" w:color="auto" w:fill="auto"/>
            <w:noWrap/>
            <w:vAlign w:val="center"/>
            <w:hideMark/>
          </w:tcPr>
          <w:p w14:paraId="400C98AB" w14:textId="77777777" w:rsidR="00387142" w:rsidRPr="008B6A75" w:rsidRDefault="00387142" w:rsidP="00387142">
            <w:pPr>
              <w:jc w:val="right"/>
              <w:rPr>
                <w:sz w:val="20"/>
                <w:szCs w:val="20"/>
              </w:rPr>
            </w:pPr>
            <w:r w:rsidRPr="008B6A75">
              <w:rPr>
                <w:sz w:val="20"/>
                <w:szCs w:val="20"/>
              </w:rPr>
              <w:t>16 561 500,00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3E49B329" w14:textId="77777777" w:rsidR="00387142" w:rsidRPr="008B6A75" w:rsidRDefault="00387142" w:rsidP="00387142">
            <w:pPr>
              <w:jc w:val="right"/>
              <w:rPr>
                <w:sz w:val="20"/>
                <w:szCs w:val="20"/>
              </w:rPr>
            </w:pPr>
            <w:r w:rsidRPr="008B6A75">
              <w:rPr>
                <w:sz w:val="20"/>
                <w:szCs w:val="20"/>
              </w:rPr>
              <w:t>16 561 500,00</w:t>
            </w:r>
          </w:p>
        </w:tc>
      </w:tr>
      <w:tr w:rsidR="00387142" w:rsidRPr="008B6A75" w14:paraId="6C2242CC" w14:textId="77777777" w:rsidTr="00387142">
        <w:trPr>
          <w:trHeight w:val="585"/>
        </w:trPr>
        <w:tc>
          <w:tcPr>
            <w:tcW w:w="272" w:type="dxa"/>
            <w:tcBorders>
              <w:top w:val="nil"/>
              <w:left w:val="nil"/>
              <w:bottom w:val="nil"/>
              <w:right w:val="single" w:sz="4" w:space="0" w:color="auto"/>
            </w:tcBorders>
            <w:shd w:val="clear" w:color="auto" w:fill="auto"/>
            <w:noWrap/>
            <w:vAlign w:val="bottom"/>
            <w:hideMark/>
          </w:tcPr>
          <w:p w14:paraId="1F048346"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0B2CE8A7" w14:textId="77777777" w:rsidR="00387142" w:rsidRPr="008B6A75" w:rsidRDefault="00387142" w:rsidP="00387142">
            <w:pPr>
              <w:rPr>
                <w:sz w:val="20"/>
                <w:szCs w:val="20"/>
              </w:rPr>
            </w:pPr>
            <w:r w:rsidRPr="008B6A75">
              <w:rPr>
                <w:sz w:val="20"/>
                <w:szCs w:val="20"/>
              </w:rPr>
              <w:t>Расходы на выплаты персоналу казенных учреждений</w:t>
            </w:r>
          </w:p>
        </w:tc>
        <w:tc>
          <w:tcPr>
            <w:tcW w:w="1559" w:type="dxa"/>
            <w:tcBorders>
              <w:top w:val="nil"/>
              <w:left w:val="single" w:sz="4" w:space="0" w:color="auto"/>
              <w:bottom w:val="single" w:sz="4" w:space="0" w:color="auto"/>
              <w:right w:val="nil"/>
            </w:tcBorders>
            <w:shd w:val="clear" w:color="auto" w:fill="auto"/>
            <w:noWrap/>
            <w:vAlign w:val="center"/>
            <w:hideMark/>
          </w:tcPr>
          <w:p w14:paraId="54E60870" w14:textId="77777777" w:rsidR="00387142" w:rsidRPr="008B6A75" w:rsidRDefault="00387142" w:rsidP="00387142">
            <w:pPr>
              <w:jc w:val="center"/>
              <w:rPr>
                <w:sz w:val="20"/>
                <w:szCs w:val="20"/>
              </w:rPr>
            </w:pPr>
            <w:r w:rsidRPr="008B6A75">
              <w:rPr>
                <w:sz w:val="20"/>
                <w:szCs w:val="20"/>
              </w:rPr>
              <w:t>07.1.00.53030</w:t>
            </w:r>
          </w:p>
        </w:tc>
        <w:tc>
          <w:tcPr>
            <w:tcW w:w="850" w:type="dxa"/>
            <w:tcBorders>
              <w:top w:val="nil"/>
              <w:left w:val="single" w:sz="4" w:space="0" w:color="auto"/>
              <w:bottom w:val="single" w:sz="4" w:space="0" w:color="auto"/>
              <w:right w:val="nil"/>
            </w:tcBorders>
            <w:shd w:val="clear" w:color="auto" w:fill="auto"/>
            <w:noWrap/>
            <w:vAlign w:val="center"/>
            <w:hideMark/>
          </w:tcPr>
          <w:p w14:paraId="17DE8C41" w14:textId="77777777" w:rsidR="00387142" w:rsidRPr="008B6A75" w:rsidRDefault="00387142" w:rsidP="00387142">
            <w:pPr>
              <w:jc w:val="center"/>
              <w:rPr>
                <w:sz w:val="20"/>
                <w:szCs w:val="20"/>
              </w:rPr>
            </w:pPr>
            <w:r w:rsidRPr="008B6A75">
              <w:rPr>
                <w:sz w:val="20"/>
                <w:szCs w:val="20"/>
              </w:rPr>
              <w:t>110</w:t>
            </w:r>
          </w:p>
        </w:tc>
        <w:tc>
          <w:tcPr>
            <w:tcW w:w="567" w:type="dxa"/>
            <w:tcBorders>
              <w:top w:val="nil"/>
              <w:left w:val="single" w:sz="4" w:space="0" w:color="auto"/>
              <w:bottom w:val="single" w:sz="4" w:space="0" w:color="auto"/>
              <w:right w:val="nil"/>
            </w:tcBorders>
            <w:shd w:val="clear" w:color="auto" w:fill="auto"/>
            <w:noWrap/>
            <w:vAlign w:val="center"/>
            <w:hideMark/>
          </w:tcPr>
          <w:p w14:paraId="4FB74BBD" w14:textId="77777777" w:rsidR="00387142" w:rsidRPr="008B6A75" w:rsidRDefault="00387142" w:rsidP="00387142">
            <w:pPr>
              <w:jc w:val="center"/>
              <w:rPr>
                <w:sz w:val="20"/>
                <w:szCs w:val="20"/>
              </w:rPr>
            </w:pPr>
            <w:r w:rsidRPr="008B6A75">
              <w:rPr>
                <w:sz w:val="20"/>
                <w:szCs w:val="20"/>
              </w:rPr>
              <w:t>07</w:t>
            </w:r>
          </w:p>
        </w:tc>
        <w:tc>
          <w:tcPr>
            <w:tcW w:w="567" w:type="dxa"/>
            <w:tcBorders>
              <w:top w:val="nil"/>
              <w:left w:val="single" w:sz="4" w:space="0" w:color="auto"/>
              <w:bottom w:val="single" w:sz="4" w:space="0" w:color="auto"/>
              <w:right w:val="nil"/>
            </w:tcBorders>
            <w:shd w:val="clear" w:color="auto" w:fill="auto"/>
            <w:noWrap/>
            <w:vAlign w:val="center"/>
            <w:hideMark/>
          </w:tcPr>
          <w:p w14:paraId="45E17F5B" w14:textId="77777777" w:rsidR="00387142" w:rsidRPr="008B6A75" w:rsidRDefault="00387142" w:rsidP="00387142">
            <w:pPr>
              <w:jc w:val="center"/>
              <w:rPr>
                <w:sz w:val="20"/>
                <w:szCs w:val="20"/>
              </w:rPr>
            </w:pPr>
            <w:r w:rsidRPr="008B6A75">
              <w:rPr>
                <w:sz w:val="20"/>
                <w:szCs w:val="20"/>
              </w:rPr>
              <w:t>02</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6DF9CE6" w14:textId="77777777" w:rsidR="00387142" w:rsidRPr="008B6A75" w:rsidRDefault="00387142" w:rsidP="00387142">
            <w:pPr>
              <w:jc w:val="right"/>
              <w:rPr>
                <w:sz w:val="20"/>
                <w:szCs w:val="20"/>
              </w:rPr>
            </w:pPr>
            <w:r w:rsidRPr="008B6A75">
              <w:rPr>
                <w:sz w:val="20"/>
                <w:szCs w:val="20"/>
              </w:rPr>
              <w:t>16 561 504,00</w:t>
            </w:r>
          </w:p>
        </w:tc>
        <w:tc>
          <w:tcPr>
            <w:tcW w:w="851" w:type="dxa"/>
            <w:tcBorders>
              <w:top w:val="nil"/>
              <w:left w:val="single" w:sz="4" w:space="0" w:color="auto"/>
              <w:bottom w:val="single" w:sz="4" w:space="0" w:color="auto"/>
              <w:right w:val="nil"/>
            </w:tcBorders>
            <w:shd w:val="clear" w:color="auto" w:fill="auto"/>
            <w:noWrap/>
            <w:vAlign w:val="center"/>
            <w:hideMark/>
          </w:tcPr>
          <w:p w14:paraId="7B931165" w14:textId="77777777" w:rsidR="00387142" w:rsidRPr="008B6A75" w:rsidRDefault="00387142" w:rsidP="00387142">
            <w:pPr>
              <w:jc w:val="right"/>
              <w:rPr>
                <w:sz w:val="20"/>
                <w:szCs w:val="20"/>
              </w:rPr>
            </w:pPr>
            <w:r w:rsidRPr="008B6A75">
              <w:rPr>
                <w:sz w:val="20"/>
                <w:szCs w:val="20"/>
              </w:rPr>
              <w:t>16 561 500,00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540F5AFB" w14:textId="77777777" w:rsidR="00387142" w:rsidRPr="008B6A75" w:rsidRDefault="00387142" w:rsidP="00387142">
            <w:pPr>
              <w:jc w:val="right"/>
              <w:rPr>
                <w:sz w:val="20"/>
                <w:szCs w:val="20"/>
              </w:rPr>
            </w:pPr>
            <w:r w:rsidRPr="008B6A75">
              <w:rPr>
                <w:sz w:val="20"/>
                <w:szCs w:val="20"/>
              </w:rPr>
              <w:t>16 561 500,00</w:t>
            </w:r>
          </w:p>
        </w:tc>
      </w:tr>
      <w:tr w:rsidR="00387142" w:rsidRPr="008B6A75" w14:paraId="71EFE2ED" w14:textId="77777777" w:rsidTr="00387142">
        <w:trPr>
          <w:trHeight w:val="870"/>
        </w:trPr>
        <w:tc>
          <w:tcPr>
            <w:tcW w:w="272" w:type="dxa"/>
            <w:tcBorders>
              <w:top w:val="nil"/>
              <w:left w:val="nil"/>
              <w:bottom w:val="nil"/>
              <w:right w:val="single" w:sz="4" w:space="0" w:color="auto"/>
            </w:tcBorders>
            <w:shd w:val="clear" w:color="auto" w:fill="auto"/>
            <w:noWrap/>
            <w:vAlign w:val="bottom"/>
            <w:hideMark/>
          </w:tcPr>
          <w:p w14:paraId="7969705C"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5D087B1F" w14:textId="77777777" w:rsidR="00387142" w:rsidRPr="008B6A75" w:rsidRDefault="00387142" w:rsidP="00387142">
            <w:pPr>
              <w:rPr>
                <w:sz w:val="20"/>
                <w:szCs w:val="20"/>
              </w:rPr>
            </w:pPr>
            <w:r w:rsidRPr="008B6A75">
              <w:rPr>
                <w:sz w:val="20"/>
                <w:szCs w:val="20"/>
              </w:rPr>
              <w:t>Предоставление субсидий бюджетным, автономным учреждениям и иным некоммерческим организациям</w:t>
            </w:r>
          </w:p>
        </w:tc>
        <w:tc>
          <w:tcPr>
            <w:tcW w:w="1559" w:type="dxa"/>
            <w:tcBorders>
              <w:top w:val="nil"/>
              <w:left w:val="single" w:sz="4" w:space="0" w:color="auto"/>
              <w:bottom w:val="single" w:sz="4" w:space="0" w:color="auto"/>
              <w:right w:val="nil"/>
            </w:tcBorders>
            <w:shd w:val="clear" w:color="auto" w:fill="auto"/>
            <w:noWrap/>
            <w:vAlign w:val="center"/>
            <w:hideMark/>
          </w:tcPr>
          <w:p w14:paraId="29683E49" w14:textId="77777777" w:rsidR="00387142" w:rsidRPr="008B6A75" w:rsidRDefault="00387142" w:rsidP="00387142">
            <w:pPr>
              <w:jc w:val="center"/>
              <w:rPr>
                <w:sz w:val="20"/>
                <w:szCs w:val="20"/>
              </w:rPr>
            </w:pPr>
            <w:r w:rsidRPr="008B6A75">
              <w:rPr>
                <w:sz w:val="20"/>
                <w:szCs w:val="20"/>
              </w:rPr>
              <w:t>07.1.00.53030</w:t>
            </w:r>
          </w:p>
        </w:tc>
        <w:tc>
          <w:tcPr>
            <w:tcW w:w="850" w:type="dxa"/>
            <w:tcBorders>
              <w:top w:val="nil"/>
              <w:left w:val="single" w:sz="4" w:space="0" w:color="auto"/>
              <w:bottom w:val="single" w:sz="4" w:space="0" w:color="auto"/>
              <w:right w:val="nil"/>
            </w:tcBorders>
            <w:shd w:val="clear" w:color="auto" w:fill="auto"/>
            <w:noWrap/>
            <w:vAlign w:val="center"/>
            <w:hideMark/>
          </w:tcPr>
          <w:p w14:paraId="1F2A512F" w14:textId="77777777" w:rsidR="00387142" w:rsidRPr="008B6A75" w:rsidRDefault="00387142" w:rsidP="00387142">
            <w:pPr>
              <w:jc w:val="center"/>
              <w:rPr>
                <w:sz w:val="20"/>
                <w:szCs w:val="20"/>
              </w:rPr>
            </w:pPr>
            <w:r w:rsidRPr="008B6A75">
              <w:rPr>
                <w:sz w:val="20"/>
                <w:szCs w:val="20"/>
              </w:rPr>
              <w:t>600</w:t>
            </w:r>
          </w:p>
        </w:tc>
        <w:tc>
          <w:tcPr>
            <w:tcW w:w="567" w:type="dxa"/>
            <w:tcBorders>
              <w:top w:val="nil"/>
              <w:left w:val="single" w:sz="4" w:space="0" w:color="auto"/>
              <w:bottom w:val="single" w:sz="4" w:space="0" w:color="auto"/>
              <w:right w:val="nil"/>
            </w:tcBorders>
            <w:shd w:val="clear" w:color="auto" w:fill="auto"/>
            <w:noWrap/>
            <w:vAlign w:val="center"/>
            <w:hideMark/>
          </w:tcPr>
          <w:p w14:paraId="357949AC" w14:textId="77777777" w:rsidR="00387142" w:rsidRPr="008B6A75" w:rsidRDefault="00387142" w:rsidP="00387142">
            <w:pPr>
              <w:jc w:val="center"/>
              <w:rPr>
                <w:sz w:val="20"/>
                <w:szCs w:val="20"/>
              </w:rPr>
            </w:pPr>
            <w:r w:rsidRPr="008B6A75">
              <w:rPr>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090C1DE9" w14:textId="77777777" w:rsidR="00387142" w:rsidRPr="008B6A75" w:rsidRDefault="00387142" w:rsidP="00387142">
            <w:pPr>
              <w:jc w:val="center"/>
              <w:rPr>
                <w:sz w:val="20"/>
                <w:szCs w:val="20"/>
              </w:rPr>
            </w:pPr>
            <w:r w:rsidRPr="008B6A75">
              <w:rPr>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0E41FA1" w14:textId="77777777" w:rsidR="00387142" w:rsidRPr="008B6A75" w:rsidRDefault="00387142" w:rsidP="00387142">
            <w:pPr>
              <w:jc w:val="right"/>
              <w:rPr>
                <w:sz w:val="20"/>
                <w:szCs w:val="20"/>
              </w:rPr>
            </w:pPr>
            <w:r w:rsidRPr="008B6A75">
              <w:rPr>
                <w:sz w:val="20"/>
                <w:szCs w:val="20"/>
              </w:rPr>
              <w:t>17 248 896,00</w:t>
            </w:r>
          </w:p>
        </w:tc>
        <w:tc>
          <w:tcPr>
            <w:tcW w:w="851" w:type="dxa"/>
            <w:tcBorders>
              <w:top w:val="nil"/>
              <w:left w:val="single" w:sz="4" w:space="0" w:color="auto"/>
              <w:bottom w:val="single" w:sz="4" w:space="0" w:color="auto"/>
              <w:right w:val="nil"/>
            </w:tcBorders>
            <w:shd w:val="clear" w:color="auto" w:fill="auto"/>
            <w:noWrap/>
            <w:vAlign w:val="center"/>
            <w:hideMark/>
          </w:tcPr>
          <w:p w14:paraId="3A9E2EDE" w14:textId="77777777" w:rsidR="00387142" w:rsidRPr="008B6A75" w:rsidRDefault="00387142" w:rsidP="00387142">
            <w:pPr>
              <w:jc w:val="right"/>
              <w:rPr>
                <w:sz w:val="20"/>
                <w:szCs w:val="20"/>
              </w:rPr>
            </w:pPr>
            <w:r w:rsidRPr="008B6A75">
              <w:rPr>
                <w:sz w:val="20"/>
                <w:szCs w:val="20"/>
              </w:rPr>
              <w:t>17 186 300,00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6178CA25" w14:textId="77777777" w:rsidR="00387142" w:rsidRPr="008B6A75" w:rsidRDefault="00387142" w:rsidP="00387142">
            <w:pPr>
              <w:jc w:val="right"/>
              <w:rPr>
                <w:sz w:val="20"/>
                <w:szCs w:val="20"/>
              </w:rPr>
            </w:pPr>
            <w:r w:rsidRPr="008B6A75">
              <w:rPr>
                <w:sz w:val="20"/>
                <w:szCs w:val="20"/>
              </w:rPr>
              <w:t>17 186 300,00</w:t>
            </w:r>
          </w:p>
        </w:tc>
      </w:tr>
      <w:tr w:rsidR="00387142" w:rsidRPr="008B6A75" w14:paraId="72D2645C" w14:textId="77777777" w:rsidTr="00387142">
        <w:trPr>
          <w:trHeight w:val="300"/>
        </w:trPr>
        <w:tc>
          <w:tcPr>
            <w:tcW w:w="272" w:type="dxa"/>
            <w:tcBorders>
              <w:top w:val="nil"/>
              <w:left w:val="nil"/>
              <w:bottom w:val="nil"/>
              <w:right w:val="single" w:sz="4" w:space="0" w:color="auto"/>
            </w:tcBorders>
            <w:shd w:val="clear" w:color="auto" w:fill="auto"/>
            <w:noWrap/>
            <w:vAlign w:val="bottom"/>
            <w:hideMark/>
          </w:tcPr>
          <w:p w14:paraId="1AE1971C"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5B6ECE22" w14:textId="77777777" w:rsidR="00387142" w:rsidRPr="008B6A75" w:rsidRDefault="00387142" w:rsidP="00387142">
            <w:pPr>
              <w:rPr>
                <w:sz w:val="20"/>
                <w:szCs w:val="20"/>
              </w:rPr>
            </w:pPr>
            <w:r w:rsidRPr="008B6A75">
              <w:rPr>
                <w:sz w:val="20"/>
                <w:szCs w:val="20"/>
              </w:rPr>
              <w:t>Субсидии бюджетным учреждениям</w:t>
            </w:r>
          </w:p>
        </w:tc>
        <w:tc>
          <w:tcPr>
            <w:tcW w:w="1559" w:type="dxa"/>
            <w:tcBorders>
              <w:top w:val="nil"/>
              <w:left w:val="single" w:sz="4" w:space="0" w:color="auto"/>
              <w:bottom w:val="single" w:sz="4" w:space="0" w:color="auto"/>
              <w:right w:val="nil"/>
            </w:tcBorders>
            <w:shd w:val="clear" w:color="auto" w:fill="auto"/>
            <w:noWrap/>
            <w:vAlign w:val="center"/>
            <w:hideMark/>
          </w:tcPr>
          <w:p w14:paraId="44E6DAB3" w14:textId="77777777" w:rsidR="00387142" w:rsidRPr="008B6A75" w:rsidRDefault="00387142" w:rsidP="00387142">
            <w:pPr>
              <w:jc w:val="center"/>
              <w:rPr>
                <w:sz w:val="20"/>
                <w:szCs w:val="20"/>
              </w:rPr>
            </w:pPr>
            <w:r w:rsidRPr="008B6A75">
              <w:rPr>
                <w:sz w:val="20"/>
                <w:szCs w:val="20"/>
              </w:rPr>
              <w:t>07.1.00.53030</w:t>
            </w:r>
          </w:p>
        </w:tc>
        <w:tc>
          <w:tcPr>
            <w:tcW w:w="850" w:type="dxa"/>
            <w:tcBorders>
              <w:top w:val="nil"/>
              <w:left w:val="single" w:sz="4" w:space="0" w:color="auto"/>
              <w:bottom w:val="single" w:sz="4" w:space="0" w:color="auto"/>
              <w:right w:val="nil"/>
            </w:tcBorders>
            <w:shd w:val="clear" w:color="auto" w:fill="auto"/>
            <w:noWrap/>
            <w:vAlign w:val="center"/>
            <w:hideMark/>
          </w:tcPr>
          <w:p w14:paraId="6760D187" w14:textId="77777777" w:rsidR="00387142" w:rsidRPr="008B6A75" w:rsidRDefault="00387142" w:rsidP="00387142">
            <w:pPr>
              <w:jc w:val="center"/>
              <w:rPr>
                <w:sz w:val="20"/>
                <w:szCs w:val="20"/>
              </w:rPr>
            </w:pPr>
            <w:r w:rsidRPr="008B6A75">
              <w:rPr>
                <w:sz w:val="20"/>
                <w:szCs w:val="20"/>
              </w:rPr>
              <w:t>610</w:t>
            </w:r>
          </w:p>
        </w:tc>
        <w:tc>
          <w:tcPr>
            <w:tcW w:w="567" w:type="dxa"/>
            <w:tcBorders>
              <w:top w:val="nil"/>
              <w:left w:val="single" w:sz="4" w:space="0" w:color="auto"/>
              <w:bottom w:val="single" w:sz="4" w:space="0" w:color="auto"/>
              <w:right w:val="nil"/>
            </w:tcBorders>
            <w:shd w:val="clear" w:color="auto" w:fill="auto"/>
            <w:noWrap/>
            <w:vAlign w:val="center"/>
            <w:hideMark/>
          </w:tcPr>
          <w:p w14:paraId="08531358" w14:textId="77777777" w:rsidR="00387142" w:rsidRPr="008B6A75" w:rsidRDefault="00387142" w:rsidP="00387142">
            <w:pPr>
              <w:jc w:val="center"/>
              <w:rPr>
                <w:sz w:val="20"/>
                <w:szCs w:val="20"/>
              </w:rPr>
            </w:pPr>
            <w:r w:rsidRPr="008B6A75">
              <w:rPr>
                <w:sz w:val="20"/>
                <w:szCs w:val="20"/>
              </w:rPr>
              <w:t>07</w:t>
            </w:r>
          </w:p>
        </w:tc>
        <w:tc>
          <w:tcPr>
            <w:tcW w:w="567" w:type="dxa"/>
            <w:tcBorders>
              <w:top w:val="nil"/>
              <w:left w:val="single" w:sz="4" w:space="0" w:color="auto"/>
              <w:bottom w:val="single" w:sz="4" w:space="0" w:color="auto"/>
              <w:right w:val="nil"/>
            </w:tcBorders>
            <w:shd w:val="clear" w:color="auto" w:fill="auto"/>
            <w:noWrap/>
            <w:vAlign w:val="center"/>
            <w:hideMark/>
          </w:tcPr>
          <w:p w14:paraId="7619CEA3" w14:textId="77777777" w:rsidR="00387142" w:rsidRPr="008B6A75" w:rsidRDefault="00387142" w:rsidP="00387142">
            <w:pPr>
              <w:jc w:val="center"/>
              <w:rPr>
                <w:sz w:val="20"/>
                <w:szCs w:val="20"/>
              </w:rPr>
            </w:pPr>
            <w:r w:rsidRPr="008B6A75">
              <w:rPr>
                <w:sz w:val="20"/>
                <w:szCs w:val="20"/>
              </w:rPr>
              <w:t>02</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71941D8" w14:textId="77777777" w:rsidR="00387142" w:rsidRPr="008B6A75" w:rsidRDefault="00387142" w:rsidP="00387142">
            <w:pPr>
              <w:jc w:val="right"/>
              <w:rPr>
                <w:sz w:val="20"/>
                <w:szCs w:val="20"/>
              </w:rPr>
            </w:pPr>
            <w:r w:rsidRPr="008B6A75">
              <w:rPr>
                <w:sz w:val="20"/>
                <w:szCs w:val="20"/>
              </w:rPr>
              <w:t>17 248 896,00</w:t>
            </w:r>
          </w:p>
        </w:tc>
        <w:tc>
          <w:tcPr>
            <w:tcW w:w="851" w:type="dxa"/>
            <w:tcBorders>
              <w:top w:val="nil"/>
              <w:left w:val="single" w:sz="4" w:space="0" w:color="auto"/>
              <w:bottom w:val="single" w:sz="4" w:space="0" w:color="auto"/>
              <w:right w:val="nil"/>
            </w:tcBorders>
            <w:shd w:val="clear" w:color="auto" w:fill="auto"/>
            <w:noWrap/>
            <w:vAlign w:val="center"/>
            <w:hideMark/>
          </w:tcPr>
          <w:p w14:paraId="7EFFD468" w14:textId="77777777" w:rsidR="00387142" w:rsidRPr="008B6A75" w:rsidRDefault="00387142" w:rsidP="00387142">
            <w:pPr>
              <w:jc w:val="right"/>
              <w:rPr>
                <w:sz w:val="20"/>
                <w:szCs w:val="20"/>
              </w:rPr>
            </w:pPr>
            <w:r w:rsidRPr="008B6A75">
              <w:rPr>
                <w:sz w:val="20"/>
                <w:szCs w:val="20"/>
              </w:rPr>
              <w:t>17 186 300,00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37848AEC" w14:textId="77777777" w:rsidR="00387142" w:rsidRPr="008B6A75" w:rsidRDefault="00387142" w:rsidP="00387142">
            <w:pPr>
              <w:jc w:val="right"/>
              <w:rPr>
                <w:sz w:val="20"/>
                <w:szCs w:val="20"/>
              </w:rPr>
            </w:pPr>
            <w:r w:rsidRPr="008B6A75">
              <w:rPr>
                <w:sz w:val="20"/>
                <w:szCs w:val="20"/>
              </w:rPr>
              <w:t>17 186 300,00</w:t>
            </w:r>
          </w:p>
        </w:tc>
      </w:tr>
      <w:tr w:rsidR="00387142" w:rsidRPr="008B6A75" w14:paraId="6A3AB084" w14:textId="77777777" w:rsidTr="00387142">
        <w:trPr>
          <w:trHeight w:val="1155"/>
        </w:trPr>
        <w:tc>
          <w:tcPr>
            <w:tcW w:w="272" w:type="dxa"/>
            <w:tcBorders>
              <w:top w:val="nil"/>
              <w:left w:val="nil"/>
              <w:bottom w:val="nil"/>
              <w:right w:val="single" w:sz="4" w:space="0" w:color="auto"/>
            </w:tcBorders>
            <w:shd w:val="clear" w:color="auto" w:fill="auto"/>
            <w:noWrap/>
            <w:vAlign w:val="bottom"/>
            <w:hideMark/>
          </w:tcPr>
          <w:p w14:paraId="0C611B74"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0466F8B3" w14:textId="77777777" w:rsidR="00387142" w:rsidRPr="008B6A75" w:rsidRDefault="00387142" w:rsidP="00387142">
            <w:pPr>
              <w:rPr>
                <w:bCs/>
                <w:sz w:val="20"/>
                <w:szCs w:val="20"/>
              </w:rPr>
            </w:pPr>
            <w:r w:rsidRPr="008B6A75">
              <w:rPr>
                <w:bCs/>
                <w:sz w:val="20"/>
                <w:szCs w:val="20"/>
              </w:rPr>
              <w:t>Реализация основных общеобразовательных программ дошкольного образования в муниципальных образовательных организациях</w:t>
            </w:r>
          </w:p>
        </w:tc>
        <w:tc>
          <w:tcPr>
            <w:tcW w:w="1559" w:type="dxa"/>
            <w:tcBorders>
              <w:top w:val="nil"/>
              <w:left w:val="single" w:sz="4" w:space="0" w:color="auto"/>
              <w:bottom w:val="single" w:sz="4" w:space="0" w:color="auto"/>
              <w:right w:val="nil"/>
            </w:tcBorders>
            <w:shd w:val="clear" w:color="auto" w:fill="auto"/>
            <w:noWrap/>
            <w:vAlign w:val="center"/>
            <w:hideMark/>
          </w:tcPr>
          <w:p w14:paraId="7D5FB068" w14:textId="77777777" w:rsidR="00387142" w:rsidRPr="008B6A75" w:rsidRDefault="00387142" w:rsidP="00387142">
            <w:pPr>
              <w:jc w:val="center"/>
              <w:rPr>
                <w:bCs/>
                <w:sz w:val="20"/>
                <w:szCs w:val="20"/>
              </w:rPr>
            </w:pPr>
            <w:r w:rsidRPr="008B6A75">
              <w:rPr>
                <w:bCs/>
                <w:sz w:val="20"/>
                <w:szCs w:val="20"/>
              </w:rPr>
              <w:t>07.1.00.70110</w:t>
            </w:r>
          </w:p>
        </w:tc>
        <w:tc>
          <w:tcPr>
            <w:tcW w:w="850" w:type="dxa"/>
            <w:tcBorders>
              <w:top w:val="nil"/>
              <w:left w:val="single" w:sz="4" w:space="0" w:color="auto"/>
              <w:bottom w:val="single" w:sz="4" w:space="0" w:color="auto"/>
              <w:right w:val="nil"/>
            </w:tcBorders>
            <w:shd w:val="clear" w:color="auto" w:fill="auto"/>
            <w:noWrap/>
            <w:vAlign w:val="center"/>
            <w:hideMark/>
          </w:tcPr>
          <w:p w14:paraId="5AFF8DA0" w14:textId="77777777" w:rsidR="00387142" w:rsidRPr="008B6A75" w:rsidRDefault="00387142" w:rsidP="00387142">
            <w:pPr>
              <w:jc w:val="center"/>
              <w:rPr>
                <w:bCs/>
                <w:sz w:val="20"/>
                <w:szCs w:val="20"/>
              </w:rPr>
            </w:pPr>
            <w:r w:rsidRPr="008B6A75">
              <w:rPr>
                <w:bCs/>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18E9191B" w14:textId="77777777" w:rsidR="00387142" w:rsidRPr="008B6A75" w:rsidRDefault="00387142" w:rsidP="00387142">
            <w:pPr>
              <w:jc w:val="center"/>
              <w:rPr>
                <w:bCs/>
                <w:sz w:val="20"/>
                <w:szCs w:val="20"/>
              </w:rPr>
            </w:pPr>
            <w:r w:rsidRPr="008B6A75">
              <w:rPr>
                <w:bCs/>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4174DC74" w14:textId="77777777" w:rsidR="00387142" w:rsidRPr="008B6A75" w:rsidRDefault="00387142" w:rsidP="00387142">
            <w:pPr>
              <w:jc w:val="center"/>
              <w:rPr>
                <w:bCs/>
                <w:sz w:val="20"/>
                <w:szCs w:val="20"/>
              </w:rPr>
            </w:pPr>
            <w:r w:rsidRPr="008B6A75">
              <w:rPr>
                <w:bCs/>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B3A1818" w14:textId="77777777" w:rsidR="00387142" w:rsidRPr="008B6A75" w:rsidRDefault="00387142" w:rsidP="00387142">
            <w:pPr>
              <w:jc w:val="right"/>
              <w:rPr>
                <w:bCs/>
                <w:sz w:val="20"/>
                <w:szCs w:val="20"/>
              </w:rPr>
            </w:pPr>
            <w:r w:rsidRPr="008B6A75">
              <w:rPr>
                <w:bCs/>
                <w:sz w:val="20"/>
                <w:szCs w:val="20"/>
              </w:rPr>
              <w:t>233 817 500,00</w:t>
            </w:r>
          </w:p>
        </w:tc>
        <w:tc>
          <w:tcPr>
            <w:tcW w:w="851" w:type="dxa"/>
            <w:tcBorders>
              <w:top w:val="nil"/>
              <w:left w:val="single" w:sz="4" w:space="0" w:color="auto"/>
              <w:bottom w:val="single" w:sz="4" w:space="0" w:color="auto"/>
              <w:right w:val="nil"/>
            </w:tcBorders>
            <w:shd w:val="clear" w:color="auto" w:fill="auto"/>
            <w:noWrap/>
            <w:vAlign w:val="center"/>
            <w:hideMark/>
          </w:tcPr>
          <w:p w14:paraId="3EBB3546" w14:textId="77777777" w:rsidR="00387142" w:rsidRPr="008B6A75" w:rsidRDefault="00387142" w:rsidP="00387142">
            <w:pPr>
              <w:jc w:val="right"/>
              <w:rPr>
                <w:bCs/>
                <w:sz w:val="20"/>
                <w:szCs w:val="20"/>
              </w:rPr>
            </w:pPr>
            <w:r w:rsidRPr="008B6A75">
              <w:rPr>
                <w:bCs/>
                <w:sz w:val="20"/>
                <w:szCs w:val="20"/>
              </w:rPr>
              <w:t>241 102 200,00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2EF78F21" w14:textId="77777777" w:rsidR="00387142" w:rsidRPr="008B6A75" w:rsidRDefault="00387142" w:rsidP="00387142">
            <w:pPr>
              <w:jc w:val="right"/>
              <w:rPr>
                <w:bCs/>
                <w:sz w:val="20"/>
                <w:szCs w:val="20"/>
              </w:rPr>
            </w:pPr>
            <w:r w:rsidRPr="008B6A75">
              <w:rPr>
                <w:bCs/>
                <w:sz w:val="20"/>
                <w:szCs w:val="20"/>
              </w:rPr>
              <w:t>256 121 600,00</w:t>
            </w:r>
          </w:p>
        </w:tc>
      </w:tr>
      <w:tr w:rsidR="00387142" w:rsidRPr="008B6A75" w14:paraId="4C6F639E" w14:textId="77777777" w:rsidTr="00387142">
        <w:trPr>
          <w:trHeight w:val="1440"/>
        </w:trPr>
        <w:tc>
          <w:tcPr>
            <w:tcW w:w="272" w:type="dxa"/>
            <w:tcBorders>
              <w:top w:val="nil"/>
              <w:left w:val="nil"/>
              <w:bottom w:val="nil"/>
              <w:right w:val="single" w:sz="4" w:space="0" w:color="auto"/>
            </w:tcBorders>
            <w:shd w:val="clear" w:color="auto" w:fill="auto"/>
            <w:noWrap/>
            <w:vAlign w:val="bottom"/>
            <w:hideMark/>
          </w:tcPr>
          <w:p w14:paraId="68929563"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5A79E436" w14:textId="77777777" w:rsidR="00387142" w:rsidRPr="008B6A75" w:rsidRDefault="00387142" w:rsidP="00387142">
            <w:pPr>
              <w:rPr>
                <w:sz w:val="20"/>
                <w:szCs w:val="20"/>
              </w:rPr>
            </w:pPr>
            <w:r w:rsidRPr="008B6A7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single" w:sz="4" w:space="0" w:color="auto"/>
              <w:bottom w:val="single" w:sz="4" w:space="0" w:color="auto"/>
              <w:right w:val="nil"/>
            </w:tcBorders>
            <w:shd w:val="clear" w:color="auto" w:fill="auto"/>
            <w:noWrap/>
            <w:vAlign w:val="center"/>
            <w:hideMark/>
          </w:tcPr>
          <w:p w14:paraId="1134BF04" w14:textId="77777777" w:rsidR="00387142" w:rsidRPr="008B6A75" w:rsidRDefault="00387142" w:rsidP="00387142">
            <w:pPr>
              <w:jc w:val="center"/>
              <w:rPr>
                <w:sz w:val="20"/>
                <w:szCs w:val="20"/>
              </w:rPr>
            </w:pPr>
            <w:r w:rsidRPr="008B6A75">
              <w:rPr>
                <w:sz w:val="20"/>
                <w:szCs w:val="20"/>
              </w:rPr>
              <w:t>07.1.00.70110</w:t>
            </w:r>
          </w:p>
        </w:tc>
        <w:tc>
          <w:tcPr>
            <w:tcW w:w="850" w:type="dxa"/>
            <w:tcBorders>
              <w:top w:val="nil"/>
              <w:left w:val="single" w:sz="4" w:space="0" w:color="auto"/>
              <w:bottom w:val="single" w:sz="4" w:space="0" w:color="auto"/>
              <w:right w:val="nil"/>
            </w:tcBorders>
            <w:shd w:val="clear" w:color="auto" w:fill="auto"/>
            <w:noWrap/>
            <w:vAlign w:val="center"/>
            <w:hideMark/>
          </w:tcPr>
          <w:p w14:paraId="2F90B64D" w14:textId="77777777" w:rsidR="00387142" w:rsidRPr="008B6A75" w:rsidRDefault="00387142" w:rsidP="00387142">
            <w:pPr>
              <w:jc w:val="center"/>
              <w:rPr>
                <w:sz w:val="20"/>
                <w:szCs w:val="20"/>
              </w:rPr>
            </w:pPr>
            <w:r w:rsidRPr="008B6A75">
              <w:rPr>
                <w:sz w:val="20"/>
                <w:szCs w:val="20"/>
              </w:rPr>
              <w:t>100</w:t>
            </w:r>
          </w:p>
        </w:tc>
        <w:tc>
          <w:tcPr>
            <w:tcW w:w="567" w:type="dxa"/>
            <w:tcBorders>
              <w:top w:val="nil"/>
              <w:left w:val="single" w:sz="4" w:space="0" w:color="auto"/>
              <w:bottom w:val="single" w:sz="4" w:space="0" w:color="auto"/>
              <w:right w:val="nil"/>
            </w:tcBorders>
            <w:shd w:val="clear" w:color="auto" w:fill="auto"/>
            <w:noWrap/>
            <w:vAlign w:val="center"/>
            <w:hideMark/>
          </w:tcPr>
          <w:p w14:paraId="5DAE6423" w14:textId="77777777" w:rsidR="00387142" w:rsidRPr="008B6A75" w:rsidRDefault="00387142" w:rsidP="00387142">
            <w:pPr>
              <w:jc w:val="center"/>
              <w:rPr>
                <w:sz w:val="20"/>
                <w:szCs w:val="20"/>
              </w:rPr>
            </w:pPr>
            <w:r w:rsidRPr="008B6A75">
              <w:rPr>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06448D74" w14:textId="77777777" w:rsidR="00387142" w:rsidRPr="008B6A75" w:rsidRDefault="00387142" w:rsidP="00387142">
            <w:pPr>
              <w:jc w:val="center"/>
              <w:rPr>
                <w:sz w:val="20"/>
                <w:szCs w:val="20"/>
              </w:rPr>
            </w:pPr>
            <w:r w:rsidRPr="008B6A75">
              <w:rPr>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EF33C7D" w14:textId="77777777" w:rsidR="00387142" w:rsidRPr="008B6A75" w:rsidRDefault="00387142" w:rsidP="00387142">
            <w:pPr>
              <w:jc w:val="right"/>
              <w:rPr>
                <w:sz w:val="20"/>
                <w:szCs w:val="20"/>
              </w:rPr>
            </w:pPr>
            <w:r w:rsidRPr="008B6A75">
              <w:rPr>
                <w:sz w:val="20"/>
                <w:szCs w:val="20"/>
              </w:rPr>
              <w:t>229 245 600,00</w:t>
            </w:r>
          </w:p>
        </w:tc>
        <w:tc>
          <w:tcPr>
            <w:tcW w:w="851" w:type="dxa"/>
            <w:tcBorders>
              <w:top w:val="nil"/>
              <w:left w:val="single" w:sz="4" w:space="0" w:color="auto"/>
              <w:bottom w:val="single" w:sz="4" w:space="0" w:color="auto"/>
              <w:right w:val="nil"/>
            </w:tcBorders>
            <w:shd w:val="clear" w:color="auto" w:fill="auto"/>
            <w:noWrap/>
            <w:vAlign w:val="center"/>
            <w:hideMark/>
          </w:tcPr>
          <w:p w14:paraId="2464345F" w14:textId="77777777" w:rsidR="00387142" w:rsidRPr="008B6A75" w:rsidRDefault="00387142" w:rsidP="00387142">
            <w:pPr>
              <w:jc w:val="right"/>
              <w:rPr>
                <w:sz w:val="20"/>
                <w:szCs w:val="20"/>
              </w:rPr>
            </w:pPr>
            <w:r w:rsidRPr="008B6A75">
              <w:rPr>
                <w:sz w:val="20"/>
                <w:szCs w:val="20"/>
              </w:rPr>
              <w:t>236 745 107,60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3339D364" w14:textId="77777777" w:rsidR="00387142" w:rsidRPr="008B6A75" w:rsidRDefault="00387142" w:rsidP="00387142">
            <w:pPr>
              <w:jc w:val="right"/>
              <w:rPr>
                <w:sz w:val="20"/>
                <w:szCs w:val="20"/>
              </w:rPr>
            </w:pPr>
            <w:r w:rsidRPr="008B6A75">
              <w:rPr>
                <w:sz w:val="20"/>
                <w:szCs w:val="20"/>
              </w:rPr>
              <w:t>251 627 089,38</w:t>
            </w:r>
          </w:p>
        </w:tc>
      </w:tr>
      <w:tr w:rsidR="00387142" w:rsidRPr="008B6A75" w14:paraId="5C64A388" w14:textId="77777777" w:rsidTr="00387142">
        <w:trPr>
          <w:trHeight w:val="585"/>
        </w:trPr>
        <w:tc>
          <w:tcPr>
            <w:tcW w:w="272" w:type="dxa"/>
            <w:tcBorders>
              <w:top w:val="nil"/>
              <w:left w:val="nil"/>
              <w:bottom w:val="nil"/>
              <w:right w:val="single" w:sz="4" w:space="0" w:color="auto"/>
            </w:tcBorders>
            <w:shd w:val="clear" w:color="auto" w:fill="auto"/>
            <w:noWrap/>
            <w:vAlign w:val="bottom"/>
            <w:hideMark/>
          </w:tcPr>
          <w:p w14:paraId="684D7864" w14:textId="77777777" w:rsidR="00387142" w:rsidRPr="008B6A75" w:rsidRDefault="00387142" w:rsidP="00387142">
            <w:pPr>
              <w:rPr>
                <w:sz w:val="20"/>
                <w:szCs w:val="20"/>
              </w:rPr>
            </w:pPr>
            <w:r w:rsidRPr="008B6A75">
              <w:rPr>
                <w:sz w:val="20"/>
                <w:szCs w:val="20"/>
              </w:rPr>
              <w:lastRenderedPageBreak/>
              <w:t> </w:t>
            </w:r>
          </w:p>
        </w:tc>
        <w:tc>
          <w:tcPr>
            <w:tcW w:w="3415" w:type="dxa"/>
            <w:tcBorders>
              <w:top w:val="nil"/>
              <w:left w:val="single" w:sz="4" w:space="0" w:color="auto"/>
              <w:bottom w:val="single" w:sz="4" w:space="0" w:color="auto"/>
              <w:right w:val="nil"/>
            </w:tcBorders>
            <w:shd w:val="clear" w:color="auto" w:fill="auto"/>
            <w:vAlign w:val="center"/>
            <w:hideMark/>
          </w:tcPr>
          <w:p w14:paraId="7F1085EA" w14:textId="77777777" w:rsidR="00387142" w:rsidRPr="008B6A75" w:rsidRDefault="00387142" w:rsidP="00387142">
            <w:pPr>
              <w:rPr>
                <w:sz w:val="20"/>
                <w:szCs w:val="20"/>
              </w:rPr>
            </w:pPr>
            <w:r w:rsidRPr="008B6A75">
              <w:rPr>
                <w:sz w:val="20"/>
                <w:szCs w:val="20"/>
              </w:rPr>
              <w:t>Расходы на выплаты персоналу казенных учреждений</w:t>
            </w:r>
          </w:p>
        </w:tc>
        <w:tc>
          <w:tcPr>
            <w:tcW w:w="1559" w:type="dxa"/>
            <w:tcBorders>
              <w:top w:val="nil"/>
              <w:left w:val="single" w:sz="4" w:space="0" w:color="auto"/>
              <w:bottom w:val="single" w:sz="4" w:space="0" w:color="auto"/>
              <w:right w:val="nil"/>
            </w:tcBorders>
            <w:shd w:val="clear" w:color="auto" w:fill="auto"/>
            <w:noWrap/>
            <w:vAlign w:val="center"/>
            <w:hideMark/>
          </w:tcPr>
          <w:p w14:paraId="37EE704C" w14:textId="77777777" w:rsidR="00387142" w:rsidRPr="008B6A75" w:rsidRDefault="00387142" w:rsidP="00387142">
            <w:pPr>
              <w:jc w:val="center"/>
              <w:rPr>
                <w:sz w:val="20"/>
                <w:szCs w:val="20"/>
              </w:rPr>
            </w:pPr>
            <w:r w:rsidRPr="008B6A75">
              <w:rPr>
                <w:sz w:val="20"/>
                <w:szCs w:val="20"/>
              </w:rPr>
              <w:t>07.1.00.70110</w:t>
            </w:r>
          </w:p>
        </w:tc>
        <w:tc>
          <w:tcPr>
            <w:tcW w:w="850" w:type="dxa"/>
            <w:tcBorders>
              <w:top w:val="nil"/>
              <w:left w:val="single" w:sz="4" w:space="0" w:color="auto"/>
              <w:bottom w:val="single" w:sz="4" w:space="0" w:color="auto"/>
              <w:right w:val="nil"/>
            </w:tcBorders>
            <w:shd w:val="clear" w:color="auto" w:fill="auto"/>
            <w:noWrap/>
            <w:vAlign w:val="center"/>
            <w:hideMark/>
          </w:tcPr>
          <w:p w14:paraId="5156EB0D" w14:textId="77777777" w:rsidR="00387142" w:rsidRPr="008B6A75" w:rsidRDefault="00387142" w:rsidP="00387142">
            <w:pPr>
              <w:jc w:val="center"/>
              <w:rPr>
                <w:sz w:val="20"/>
                <w:szCs w:val="20"/>
              </w:rPr>
            </w:pPr>
            <w:r w:rsidRPr="008B6A75">
              <w:rPr>
                <w:sz w:val="20"/>
                <w:szCs w:val="20"/>
              </w:rPr>
              <w:t>110</w:t>
            </w:r>
          </w:p>
        </w:tc>
        <w:tc>
          <w:tcPr>
            <w:tcW w:w="567" w:type="dxa"/>
            <w:tcBorders>
              <w:top w:val="nil"/>
              <w:left w:val="single" w:sz="4" w:space="0" w:color="auto"/>
              <w:bottom w:val="single" w:sz="4" w:space="0" w:color="auto"/>
              <w:right w:val="nil"/>
            </w:tcBorders>
            <w:shd w:val="clear" w:color="auto" w:fill="auto"/>
            <w:noWrap/>
            <w:vAlign w:val="center"/>
            <w:hideMark/>
          </w:tcPr>
          <w:p w14:paraId="0E842A97" w14:textId="77777777" w:rsidR="00387142" w:rsidRPr="008B6A75" w:rsidRDefault="00387142" w:rsidP="00387142">
            <w:pPr>
              <w:jc w:val="center"/>
              <w:rPr>
                <w:sz w:val="20"/>
                <w:szCs w:val="20"/>
              </w:rPr>
            </w:pPr>
            <w:r w:rsidRPr="008B6A75">
              <w:rPr>
                <w:sz w:val="20"/>
                <w:szCs w:val="20"/>
              </w:rPr>
              <w:t>07</w:t>
            </w:r>
          </w:p>
        </w:tc>
        <w:tc>
          <w:tcPr>
            <w:tcW w:w="567" w:type="dxa"/>
            <w:tcBorders>
              <w:top w:val="nil"/>
              <w:left w:val="single" w:sz="4" w:space="0" w:color="auto"/>
              <w:bottom w:val="single" w:sz="4" w:space="0" w:color="auto"/>
              <w:right w:val="nil"/>
            </w:tcBorders>
            <w:shd w:val="clear" w:color="auto" w:fill="auto"/>
            <w:noWrap/>
            <w:vAlign w:val="center"/>
            <w:hideMark/>
          </w:tcPr>
          <w:p w14:paraId="7F62A6A9" w14:textId="77777777" w:rsidR="00387142" w:rsidRPr="008B6A75" w:rsidRDefault="00387142" w:rsidP="00387142">
            <w:pPr>
              <w:jc w:val="center"/>
              <w:rPr>
                <w:sz w:val="20"/>
                <w:szCs w:val="20"/>
              </w:rPr>
            </w:pPr>
            <w:r w:rsidRPr="008B6A75">
              <w:rPr>
                <w:sz w:val="20"/>
                <w:szCs w:val="20"/>
              </w:rPr>
              <w:t>01</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6A0B05D" w14:textId="77777777" w:rsidR="00387142" w:rsidRPr="008B6A75" w:rsidRDefault="00387142" w:rsidP="00387142">
            <w:pPr>
              <w:jc w:val="right"/>
              <w:rPr>
                <w:sz w:val="20"/>
                <w:szCs w:val="20"/>
              </w:rPr>
            </w:pPr>
            <w:r w:rsidRPr="008B6A75">
              <w:rPr>
                <w:sz w:val="20"/>
                <w:szCs w:val="20"/>
              </w:rPr>
              <w:t>200 796 200,00</w:t>
            </w:r>
          </w:p>
        </w:tc>
        <w:tc>
          <w:tcPr>
            <w:tcW w:w="851" w:type="dxa"/>
            <w:tcBorders>
              <w:top w:val="nil"/>
              <w:left w:val="single" w:sz="4" w:space="0" w:color="auto"/>
              <w:bottom w:val="single" w:sz="4" w:space="0" w:color="auto"/>
              <w:right w:val="nil"/>
            </w:tcBorders>
            <w:shd w:val="clear" w:color="auto" w:fill="auto"/>
            <w:noWrap/>
            <w:vAlign w:val="center"/>
            <w:hideMark/>
          </w:tcPr>
          <w:p w14:paraId="5D9A82C6" w14:textId="77777777" w:rsidR="00387142" w:rsidRPr="008B6A75" w:rsidRDefault="00387142" w:rsidP="00387142">
            <w:pPr>
              <w:jc w:val="right"/>
              <w:rPr>
                <w:sz w:val="20"/>
                <w:szCs w:val="20"/>
              </w:rPr>
            </w:pPr>
            <w:r w:rsidRPr="008B6A75">
              <w:rPr>
                <w:sz w:val="20"/>
                <w:szCs w:val="20"/>
              </w:rPr>
              <w:t>209 227 405,20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0B97DF78" w14:textId="77777777" w:rsidR="00387142" w:rsidRPr="008B6A75" w:rsidRDefault="00387142" w:rsidP="00387142">
            <w:pPr>
              <w:jc w:val="right"/>
              <w:rPr>
                <w:sz w:val="20"/>
                <w:szCs w:val="20"/>
              </w:rPr>
            </w:pPr>
            <w:r w:rsidRPr="008B6A75">
              <w:rPr>
                <w:sz w:val="20"/>
                <w:szCs w:val="20"/>
              </w:rPr>
              <w:t>222 379 602,78</w:t>
            </w:r>
          </w:p>
        </w:tc>
      </w:tr>
      <w:tr w:rsidR="00387142" w:rsidRPr="008B6A75" w14:paraId="0329F9AE" w14:textId="77777777" w:rsidTr="00387142">
        <w:trPr>
          <w:trHeight w:val="585"/>
        </w:trPr>
        <w:tc>
          <w:tcPr>
            <w:tcW w:w="272" w:type="dxa"/>
            <w:tcBorders>
              <w:top w:val="nil"/>
              <w:left w:val="nil"/>
              <w:bottom w:val="nil"/>
              <w:right w:val="single" w:sz="4" w:space="0" w:color="auto"/>
            </w:tcBorders>
            <w:shd w:val="clear" w:color="auto" w:fill="auto"/>
            <w:noWrap/>
            <w:vAlign w:val="bottom"/>
            <w:hideMark/>
          </w:tcPr>
          <w:p w14:paraId="1BE2874D"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5C6D6837" w14:textId="77777777" w:rsidR="00387142" w:rsidRPr="008B6A75" w:rsidRDefault="00387142" w:rsidP="00387142">
            <w:pPr>
              <w:rPr>
                <w:sz w:val="20"/>
                <w:szCs w:val="20"/>
              </w:rPr>
            </w:pPr>
            <w:r w:rsidRPr="008B6A75">
              <w:rPr>
                <w:sz w:val="20"/>
                <w:szCs w:val="20"/>
              </w:rPr>
              <w:t>Расходы на выплаты персоналу казенных учреждений</w:t>
            </w:r>
          </w:p>
        </w:tc>
        <w:tc>
          <w:tcPr>
            <w:tcW w:w="1559" w:type="dxa"/>
            <w:tcBorders>
              <w:top w:val="nil"/>
              <w:left w:val="single" w:sz="4" w:space="0" w:color="auto"/>
              <w:bottom w:val="single" w:sz="4" w:space="0" w:color="auto"/>
              <w:right w:val="nil"/>
            </w:tcBorders>
            <w:shd w:val="clear" w:color="auto" w:fill="auto"/>
            <w:noWrap/>
            <w:vAlign w:val="center"/>
            <w:hideMark/>
          </w:tcPr>
          <w:p w14:paraId="6C43FE9D" w14:textId="77777777" w:rsidR="00387142" w:rsidRPr="008B6A75" w:rsidRDefault="00387142" w:rsidP="00387142">
            <w:pPr>
              <w:jc w:val="center"/>
              <w:rPr>
                <w:sz w:val="20"/>
                <w:szCs w:val="20"/>
              </w:rPr>
            </w:pPr>
            <w:r w:rsidRPr="008B6A75">
              <w:rPr>
                <w:sz w:val="20"/>
                <w:szCs w:val="20"/>
              </w:rPr>
              <w:t>07.1.00.70110</w:t>
            </w:r>
          </w:p>
        </w:tc>
        <w:tc>
          <w:tcPr>
            <w:tcW w:w="850" w:type="dxa"/>
            <w:tcBorders>
              <w:top w:val="nil"/>
              <w:left w:val="single" w:sz="4" w:space="0" w:color="auto"/>
              <w:bottom w:val="single" w:sz="4" w:space="0" w:color="auto"/>
              <w:right w:val="nil"/>
            </w:tcBorders>
            <w:shd w:val="clear" w:color="auto" w:fill="auto"/>
            <w:noWrap/>
            <w:vAlign w:val="center"/>
            <w:hideMark/>
          </w:tcPr>
          <w:p w14:paraId="078BB7D0" w14:textId="77777777" w:rsidR="00387142" w:rsidRPr="008B6A75" w:rsidRDefault="00387142" w:rsidP="00387142">
            <w:pPr>
              <w:jc w:val="center"/>
              <w:rPr>
                <w:sz w:val="20"/>
                <w:szCs w:val="20"/>
              </w:rPr>
            </w:pPr>
            <w:r w:rsidRPr="008B6A75">
              <w:rPr>
                <w:sz w:val="20"/>
                <w:szCs w:val="20"/>
              </w:rPr>
              <w:t>110</w:t>
            </w:r>
          </w:p>
        </w:tc>
        <w:tc>
          <w:tcPr>
            <w:tcW w:w="567" w:type="dxa"/>
            <w:tcBorders>
              <w:top w:val="nil"/>
              <w:left w:val="single" w:sz="4" w:space="0" w:color="auto"/>
              <w:bottom w:val="single" w:sz="4" w:space="0" w:color="auto"/>
              <w:right w:val="nil"/>
            </w:tcBorders>
            <w:shd w:val="clear" w:color="auto" w:fill="auto"/>
            <w:noWrap/>
            <w:vAlign w:val="center"/>
            <w:hideMark/>
          </w:tcPr>
          <w:p w14:paraId="161753E6" w14:textId="77777777" w:rsidR="00387142" w:rsidRPr="008B6A75" w:rsidRDefault="00387142" w:rsidP="00387142">
            <w:pPr>
              <w:jc w:val="center"/>
              <w:rPr>
                <w:sz w:val="20"/>
                <w:szCs w:val="20"/>
              </w:rPr>
            </w:pPr>
            <w:r w:rsidRPr="008B6A75">
              <w:rPr>
                <w:sz w:val="20"/>
                <w:szCs w:val="20"/>
              </w:rPr>
              <w:t>07</w:t>
            </w:r>
          </w:p>
        </w:tc>
        <w:tc>
          <w:tcPr>
            <w:tcW w:w="567" w:type="dxa"/>
            <w:tcBorders>
              <w:top w:val="nil"/>
              <w:left w:val="single" w:sz="4" w:space="0" w:color="auto"/>
              <w:bottom w:val="single" w:sz="4" w:space="0" w:color="auto"/>
              <w:right w:val="nil"/>
            </w:tcBorders>
            <w:shd w:val="clear" w:color="auto" w:fill="auto"/>
            <w:noWrap/>
            <w:vAlign w:val="center"/>
            <w:hideMark/>
          </w:tcPr>
          <w:p w14:paraId="17FA4DEA" w14:textId="77777777" w:rsidR="00387142" w:rsidRPr="008B6A75" w:rsidRDefault="00387142" w:rsidP="00387142">
            <w:pPr>
              <w:jc w:val="center"/>
              <w:rPr>
                <w:sz w:val="20"/>
                <w:szCs w:val="20"/>
              </w:rPr>
            </w:pPr>
            <w:r w:rsidRPr="008B6A75">
              <w:rPr>
                <w:sz w:val="20"/>
                <w:szCs w:val="20"/>
              </w:rPr>
              <w:t>02</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88BB5B0" w14:textId="77777777" w:rsidR="00387142" w:rsidRPr="008B6A75" w:rsidRDefault="00387142" w:rsidP="00387142">
            <w:pPr>
              <w:jc w:val="right"/>
              <w:rPr>
                <w:sz w:val="20"/>
                <w:szCs w:val="20"/>
              </w:rPr>
            </w:pPr>
            <w:r w:rsidRPr="008B6A75">
              <w:rPr>
                <w:sz w:val="20"/>
                <w:szCs w:val="20"/>
              </w:rPr>
              <w:t>28 449 400,00</w:t>
            </w:r>
          </w:p>
        </w:tc>
        <w:tc>
          <w:tcPr>
            <w:tcW w:w="851" w:type="dxa"/>
            <w:tcBorders>
              <w:top w:val="nil"/>
              <w:left w:val="single" w:sz="4" w:space="0" w:color="auto"/>
              <w:bottom w:val="single" w:sz="4" w:space="0" w:color="auto"/>
              <w:right w:val="nil"/>
            </w:tcBorders>
            <w:shd w:val="clear" w:color="auto" w:fill="auto"/>
            <w:noWrap/>
            <w:vAlign w:val="center"/>
            <w:hideMark/>
          </w:tcPr>
          <w:p w14:paraId="22C61D2C" w14:textId="77777777" w:rsidR="00387142" w:rsidRPr="008B6A75" w:rsidRDefault="00387142" w:rsidP="00387142">
            <w:pPr>
              <w:jc w:val="right"/>
              <w:rPr>
                <w:sz w:val="20"/>
                <w:szCs w:val="20"/>
              </w:rPr>
            </w:pPr>
            <w:r w:rsidRPr="008B6A75">
              <w:rPr>
                <w:sz w:val="20"/>
                <w:szCs w:val="20"/>
              </w:rPr>
              <w:t>27 517 702,40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2559DAC2" w14:textId="77777777" w:rsidR="00387142" w:rsidRPr="008B6A75" w:rsidRDefault="00387142" w:rsidP="00387142">
            <w:pPr>
              <w:jc w:val="right"/>
              <w:rPr>
                <w:sz w:val="20"/>
                <w:szCs w:val="20"/>
              </w:rPr>
            </w:pPr>
            <w:r w:rsidRPr="008B6A75">
              <w:rPr>
                <w:sz w:val="20"/>
                <w:szCs w:val="20"/>
              </w:rPr>
              <w:t>29 247 486,60</w:t>
            </w:r>
          </w:p>
        </w:tc>
      </w:tr>
      <w:tr w:rsidR="00387142" w:rsidRPr="008B6A75" w14:paraId="73A46586" w14:textId="77777777" w:rsidTr="00387142">
        <w:trPr>
          <w:trHeight w:val="585"/>
        </w:trPr>
        <w:tc>
          <w:tcPr>
            <w:tcW w:w="272" w:type="dxa"/>
            <w:tcBorders>
              <w:top w:val="nil"/>
              <w:left w:val="nil"/>
              <w:bottom w:val="nil"/>
              <w:right w:val="single" w:sz="4" w:space="0" w:color="auto"/>
            </w:tcBorders>
            <w:shd w:val="clear" w:color="auto" w:fill="auto"/>
            <w:noWrap/>
            <w:vAlign w:val="bottom"/>
            <w:hideMark/>
          </w:tcPr>
          <w:p w14:paraId="7C5C3A56"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7936E2F0" w14:textId="77777777" w:rsidR="00387142" w:rsidRPr="008B6A75" w:rsidRDefault="00387142" w:rsidP="00387142">
            <w:pPr>
              <w:rPr>
                <w:sz w:val="20"/>
                <w:szCs w:val="20"/>
              </w:rPr>
            </w:pPr>
            <w:r w:rsidRPr="008B6A75">
              <w:rPr>
                <w:sz w:val="20"/>
                <w:szCs w:val="20"/>
              </w:rPr>
              <w:t>Закупка товаров, работ и услуг для обеспечения государственных (муниципальных) нужд</w:t>
            </w:r>
          </w:p>
        </w:tc>
        <w:tc>
          <w:tcPr>
            <w:tcW w:w="1559" w:type="dxa"/>
            <w:tcBorders>
              <w:top w:val="nil"/>
              <w:left w:val="single" w:sz="4" w:space="0" w:color="auto"/>
              <w:bottom w:val="single" w:sz="4" w:space="0" w:color="auto"/>
              <w:right w:val="nil"/>
            </w:tcBorders>
            <w:shd w:val="clear" w:color="auto" w:fill="auto"/>
            <w:noWrap/>
            <w:vAlign w:val="center"/>
            <w:hideMark/>
          </w:tcPr>
          <w:p w14:paraId="49ACFF1B" w14:textId="77777777" w:rsidR="00387142" w:rsidRPr="008B6A75" w:rsidRDefault="00387142" w:rsidP="00387142">
            <w:pPr>
              <w:jc w:val="center"/>
              <w:rPr>
                <w:sz w:val="20"/>
                <w:szCs w:val="20"/>
              </w:rPr>
            </w:pPr>
            <w:r w:rsidRPr="008B6A75">
              <w:rPr>
                <w:sz w:val="20"/>
                <w:szCs w:val="20"/>
              </w:rPr>
              <w:t>07.1.00.70110</w:t>
            </w:r>
          </w:p>
        </w:tc>
        <w:tc>
          <w:tcPr>
            <w:tcW w:w="850" w:type="dxa"/>
            <w:tcBorders>
              <w:top w:val="nil"/>
              <w:left w:val="single" w:sz="4" w:space="0" w:color="auto"/>
              <w:bottom w:val="single" w:sz="4" w:space="0" w:color="auto"/>
              <w:right w:val="nil"/>
            </w:tcBorders>
            <w:shd w:val="clear" w:color="auto" w:fill="auto"/>
            <w:noWrap/>
            <w:vAlign w:val="center"/>
            <w:hideMark/>
          </w:tcPr>
          <w:p w14:paraId="0CC39AA2" w14:textId="77777777" w:rsidR="00387142" w:rsidRPr="008B6A75" w:rsidRDefault="00387142" w:rsidP="00387142">
            <w:pPr>
              <w:jc w:val="center"/>
              <w:rPr>
                <w:sz w:val="20"/>
                <w:szCs w:val="20"/>
              </w:rPr>
            </w:pPr>
            <w:r w:rsidRPr="008B6A75">
              <w:rPr>
                <w:sz w:val="20"/>
                <w:szCs w:val="20"/>
              </w:rPr>
              <w:t>200</w:t>
            </w:r>
          </w:p>
        </w:tc>
        <w:tc>
          <w:tcPr>
            <w:tcW w:w="567" w:type="dxa"/>
            <w:tcBorders>
              <w:top w:val="nil"/>
              <w:left w:val="single" w:sz="4" w:space="0" w:color="auto"/>
              <w:bottom w:val="single" w:sz="4" w:space="0" w:color="auto"/>
              <w:right w:val="nil"/>
            </w:tcBorders>
            <w:shd w:val="clear" w:color="auto" w:fill="auto"/>
            <w:noWrap/>
            <w:vAlign w:val="center"/>
            <w:hideMark/>
          </w:tcPr>
          <w:p w14:paraId="470FFAF0" w14:textId="77777777" w:rsidR="00387142" w:rsidRPr="008B6A75" w:rsidRDefault="00387142" w:rsidP="00387142">
            <w:pPr>
              <w:jc w:val="center"/>
              <w:rPr>
                <w:sz w:val="20"/>
                <w:szCs w:val="20"/>
              </w:rPr>
            </w:pPr>
            <w:r w:rsidRPr="008B6A75">
              <w:rPr>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4B1AAAF8" w14:textId="77777777" w:rsidR="00387142" w:rsidRPr="008B6A75" w:rsidRDefault="00387142" w:rsidP="00387142">
            <w:pPr>
              <w:jc w:val="center"/>
              <w:rPr>
                <w:sz w:val="20"/>
                <w:szCs w:val="20"/>
              </w:rPr>
            </w:pPr>
            <w:r w:rsidRPr="008B6A75">
              <w:rPr>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91DC781" w14:textId="77777777" w:rsidR="00387142" w:rsidRPr="008B6A75" w:rsidRDefault="00387142" w:rsidP="00387142">
            <w:pPr>
              <w:jc w:val="right"/>
              <w:rPr>
                <w:sz w:val="20"/>
                <w:szCs w:val="20"/>
              </w:rPr>
            </w:pPr>
            <w:r w:rsidRPr="008B6A75">
              <w:rPr>
                <w:sz w:val="20"/>
                <w:szCs w:val="20"/>
              </w:rPr>
              <w:t>1 956 000,00</w:t>
            </w:r>
          </w:p>
        </w:tc>
        <w:tc>
          <w:tcPr>
            <w:tcW w:w="851" w:type="dxa"/>
            <w:tcBorders>
              <w:top w:val="nil"/>
              <w:left w:val="single" w:sz="4" w:space="0" w:color="auto"/>
              <w:bottom w:val="single" w:sz="4" w:space="0" w:color="auto"/>
              <w:right w:val="nil"/>
            </w:tcBorders>
            <w:shd w:val="clear" w:color="auto" w:fill="auto"/>
            <w:noWrap/>
            <w:vAlign w:val="center"/>
            <w:hideMark/>
          </w:tcPr>
          <w:p w14:paraId="667B90C7" w14:textId="77777777" w:rsidR="00387142" w:rsidRPr="008B6A75" w:rsidRDefault="00387142" w:rsidP="00387142">
            <w:pPr>
              <w:jc w:val="right"/>
              <w:rPr>
                <w:sz w:val="20"/>
                <w:szCs w:val="20"/>
              </w:rPr>
            </w:pPr>
            <w:r w:rsidRPr="008B6A75">
              <w:rPr>
                <w:sz w:val="20"/>
                <w:szCs w:val="20"/>
              </w:rPr>
              <w:t>2 147 400,00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2D6E183B" w14:textId="77777777" w:rsidR="00387142" w:rsidRPr="008B6A75" w:rsidRDefault="00387142" w:rsidP="00387142">
            <w:pPr>
              <w:jc w:val="right"/>
              <w:rPr>
                <w:sz w:val="20"/>
                <w:szCs w:val="20"/>
              </w:rPr>
            </w:pPr>
            <w:r w:rsidRPr="008B6A75">
              <w:rPr>
                <w:sz w:val="20"/>
                <w:szCs w:val="20"/>
              </w:rPr>
              <w:t>2 147 400,00</w:t>
            </w:r>
          </w:p>
        </w:tc>
      </w:tr>
      <w:tr w:rsidR="00387142" w:rsidRPr="008B6A75" w14:paraId="75353509" w14:textId="77777777" w:rsidTr="00387142">
        <w:trPr>
          <w:trHeight w:val="870"/>
        </w:trPr>
        <w:tc>
          <w:tcPr>
            <w:tcW w:w="272" w:type="dxa"/>
            <w:tcBorders>
              <w:top w:val="nil"/>
              <w:left w:val="nil"/>
              <w:bottom w:val="nil"/>
              <w:right w:val="single" w:sz="4" w:space="0" w:color="auto"/>
            </w:tcBorders>
            <w:shd w:val="clear" w:color="auto" w:fill="auto"/>
            <w:noWrap/>
            <w:vAlign w:val="bottom"/>
            <w:hideMark/>
          </w:tcPr>
          <w:p w14:paraId="04D7BA92"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631D344D" w14:textId="77777777" w:rsidR="00387142" w:rsidRPr="008B6A75" w:rsidRDefault="00387142" w:rsidP="00387142">
            <w:pPr>
              <w:rPr>
                <w:sz w:val="20"/>
                <w:szCs w:val="20"/>
              </w:rPr>
            </w:pPr>
            <w:r w:rsidRPr="008B6A75">
              <w:rPr>
                <w:sz w:val="20"/>
                <w:szCs w:val="20"/>
              </w:rPr>
              <w:t>Иные закупки товаров, работ и услуг для обеспечения государственных (муниципальных) нужд</w:t>
            </w:r>
          </w:p>
        </w:tc>
        <w:tc>
          <w:tcPr>
            <w:tcW w:w="1559" w:type="dxa"/>
            <w:tcBorders>
              <w:top w:val="nil"/>
              <w:left w:val="single" w:sz="4" w:space="0" w:color="auto"/>
              <w:bottom w:val="single" w:sz="4" w:space="0" w:color="auto"/>
              <w:right w:val="nil"/>
            </w:tcBorders>
            <w:shd w:val="clear" w:color="auto" w:fill="auto"/>
            <w:noWrap/>
            <w:vAlign w:val="center"/>
            <w:hideMark/>
          </w:tcPr>
          <w:p w14:paraId="726C4FD4" w14:textId="77777777" w:rsidR="00387142" w:rsidRPr="008B6A75" w:rsidRDefault="00387142" w:rsidP="00387142">
            <w:pPr>
              <w:jc w:val="center"/>
              <w:rPr>
                <w:sz w:val="20"/>
                <w:szCs w:val="20"/>
              </w:rPr>
            </w:pPr>
            <w:r w:rsidRPr="008B6A75">
              <w:rPr>
                <w:sz w:val="20"/>
                <w:szCs w:val="20"/>
              </w:rPr>
              <w:t>07.1.00.70110</w:t>
            </w:r>
          </w:p>
        </w:tc>
        <w:tc>
          <w:tcPr>
            <w:tcW w:w="850" w:type="dxa"/>
            <w:tcBorders>
              <w:top w:val="nil"/>
              <w:left w:val="single" w:sz="4" w:space="0" w:color="auto"/>
              <w:bottom w:val="single" w:sz="4" w:space="0" w:color="auto"/>
              <w:right w:val="nil"/>
            </w:tcBorders>
            <w:shd w:val="clear" w:color="auto" w:fill="auto"/>
            <w:noWrap/>
            <w:vAlign w:val="center"/>
            <w:hideMark/>
          </w:tcPr>
          <w:p w14:paraId="403F5A66" w14:textId="77777777" w:rsidR="00387142" w:rsidRPr="008B6A75" w:rsidRDefault="00387142" w:rsidP="00387142">
            <w:pPr>
              <w:jc w:val="center"/>
              <w:rPr>
                <w:sz w:val="20"/>
                <w:szCs w:val="20"/>
              </w:rPr>
            </w:pPr>
            <w:r w:rsidRPr="008B6A75">
              <w:rPr>
                <w:sz w:val="20"/>
                <w:szCs w:val="20"/>
              </w:rPr>
              <w:t>240</w:t>
            </w:r>
          </w:p>
        </w:tc>
        <w:tc>
          <w:tcPr>
            <w:tcW w:w="567" w:type="dxa"/>
            <w:tcBorders>
              <w:top w:val="nil"/>
              <w:left w:val="single" w:sz="4" w:space="0" w:color="auto"/>
              <w:bottom w:val="single" w:sz="4" w:space="0" w:color="auto"/>
              <w:right w:val="nil"/>
            </w:tcBorders>
            <w:shd w:val="clear" w:color="auto" w:fill="auto"/>
            <w:noWrap/>
            <w:vAlign w:val="center"/>
            <w:hideMark/>
          </w:tcPr>
          <w:p w14:paraId="597BC190" w14:textId="77777777" w:rsidR="00387142" w:rsidRPr="008B6A75" w:rsidRDefault="00387142" w:rsidP="00387142">
            <w:pPr>
              <w:jc w:val="center"/>
              <w:rPr>
                <w:sz w:val="20"/>
                <w:szCs w:val="20"/>
              </w:rPr>
            </w:pPr>
            <w:r w:rsidRPr="008B6A75">
              <w:rPr>
                <w:sz w:val="20"/>
                <w:szCs w:val="20"/>
              </w:rPr>
              <w:t>07</w:t>
            </w:r>
          </w:p>
        </w:tc>
        <w:tc>
          <w:tcPr>
            <w:tcW w:w="567" w:type="dxa"/>
            <w:tcBorders>
              <w:top w:val="nil"/>
              <w:left w:val="single" w:sz="4" w:space="0" w:color="auto"/>
              <w:bottom w:val="single" w:sz="4" w:space="0" w:color="auto"/>
              <w:right w:val="nil"/>
            </w:tcBorders>
            <w:shd w:val="clear" w:color="auto" w:fill="auto"/>
            <w:noWrap/>
            <w:vAlign w:val="center"/>
            <w:hideMark/>
          </w:tcPr>
          <w:p w14:paraId="7BBD883A" w14:textId="77777777" w:rsidR="00387142" w:rsidRPr="008B6A75" w:rsidRDefault="00387142" w:rsidP="00387142">
            <w:pPr>
              <w:jc w:val="center"/>
              <w:rPr>
                <w:sz w:val="20"/>
                <w:szCs w:val="20"/>
              </w:rPr>
            </w:pPr>
            <w:r w:rsidRPr="008B6A75">
              <w:rPr>
                <w:sz w:val="20"/>
                <w:szCs w:val="20"/>
              </w:rPr>
              <w:t>01</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1200DE2" w14:textId="77777777" w:rsidR="00387142" w:rsidRPr="008B6A75" w:rsidRDefault="00387142" w:rsidP="00387142">
            <w:pPr>
              <w:jc w:val="right"/>
              <w:rPr>
                <w:sz w:val="20"/>
                <w:szCs w:val="20"/>
              </w:rPr>
            </w:pPr>
            <w:r w:rsidRPr="008B6A75">
              <w:rPr>
                <w:sz w:val="20"/>
                <w:szCs w:val="20"/>
              </w:rPr>
              <w:t>1 713 300,00</w:t>
            </w:r>
          </w:p>
        </w:tc>
        <w:tc>
          <w:tcPr>
            <w:tcW w:w="851" w:type="dxa"/>
            <w:tcBorders>
              <w:top w:val="nil"/>
              <w:left w:val="single" w:sz="4" w:space="0" w:color="auto"/>
              <w:bottom w:val="single" w:sz="4" w:space="0" w:color="auto"/>
              <w:right w:val="nil"/>
            </w:tcBorders>
            <w:shd w:val="clear" w:color="auto" w:fill="auto"/>
            <w:noWrap/>
            <w:vAlign w:val="center"/>
            <w:hideMark/>
          </w:tcPr>
          <w:p w14:paraId="35C177D6" w14:textId="77777777" w:rsidR="00387142" w:rsidRPr="008B6A75" w:rsidRDefault="00387142" w:rsidP="00387142">
            <w:pPr>
              <w:jc w:val="right"/>
              <w:rPr>
                <w:sz w:val="20"/>
                <w:szCs w:val="20"/>
              </w:rPr>
            </w:pPr>
            <w:r w:rsidRPr="008B6A75">
              <w:rPr>
                <w:sz w:val="20"/>
                <w:szCs w:val="20"/>
              </w:rPr>
              <w:t>1 895 700,00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5A1F1353" w14:textId="77777777" w:rsidR="00387142" w:rsidRPr="008B6A75" w:rsidRDefault="00387142" w:rsidP="00387142">
            <w:pPr>
              <w:jc w:val="right"/>
              <w:rPr>
                <w:sz w:val="20"/>
                <w:szCs w:val="20"/>
              </w:rPr>
            </w:pPr>
            <w:r w:rsidRPr="008B6A75">
              <w:rPr>
                <w:sz w:val="20"/>
                <w:szCs w:val="20"/>
              </w:rPr>
              <w:t>1 895 700,00</w:t>
            </w:r>
          </w:p>
        </w:tc>
      </w:tr>
      <w:tr w:rsidR="00387142" w:rsidRPr="008B6A75" w14:paraId="5DE693A0" w14:textId="77777777" w:rsidTr="00387142">
        <w:trPr>
          <w:trHeight w:val="870"/>
        </w:trPr>
        <w:tc>
          <w:tcPr>
            <w:tcW w:w="272" w:type="dxa"/>
            <w:tcBorders>
              <w:top w:val="nil"/>
              <w:left w:val="nil"/>
              <w:bottom w:val="nil"/>
              <w:right w:val="single" w:sz="4" w:space="0" w:color="auto"/>
            </w:tcBorders>
            <w:shd w:val="clear" w:color="auto" w:fill="auto"/>
            <w:noWrap/>
            <w:vAlign w:val="bottom"/>
            <w:hideMark/>
          </w:tcPr>
          <w:p w14:paraId="15408AF7"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681FE066" w14:textId="77777777" w:rsidR="00387142" w:rsidRPr="008B6A75" w:rsidRDefault="00387142" w:rsidP="00387142">
            <w:pPr>
              <w:rPr>
                <w:sz w:val="20"/>
                <w:szCs w:val="20"/>
              </w:rPr>
            </w:pPr>
            <w:r w:rsidRPr="008B6A75">
              <w:rPr>
                <w:sz w:val="20"/>
                <w:szCs w:val="20"/>
              </w:rPr>
              <w:t>Иные закупки товаров, работ и услуг для обеспечения государственных (муниципальных) нужд</w:t>
            </w:r>
          </w:p>
        </w:tc>
        <w:tc>
          <w:tcPr>
            <w:tcW w:w="1559" w:type="dxa"/>
            <w:tcBorders>
              <w:top w:val="nil"/>
              <w:left w:val="single" w:sz="4" w:space="0" w:color="auto"/>
              <w:bottom w:val="single" w:sz="4" w:space="0" w:color="auto"/>
              <w:right w:val="nil"/>
            </w:tcBorders>
            <w:shd w:val="clear" w:color="auto" w:fill="auto"/>
            <w:noWrap/>
            <w:vAlign w:val="center"/>
            <w:hideMark/>
          </w:tcPr>
          <w:p w14:paraId="29F08B83" w14:textId="77777777" w:rsidR="00387142" w:rsidRPr="008B6A75" w:rsidRDefault="00387142" w:rsidP="00387142">
            <w:pPr>
              <w:jc w:val="center"/>
              <w:rPr>
                <w:sz w:val="20"/>
                <w:szCs w:val="20"/>
              </w:rPr>
            </w:pPr>
            <w:r w:rsidRPr="008B6A75">
              <w:rPr>
                <w:sz w:val="20"/>
                <w:szCs w:val="20"/>
              </w:rPr>
              <w:t>07.1.00.70110</w:t>
            </w:r>
          </w:p>
        </w:tc>
        <w:tc>
          <w:tcPr>
            <w:tcW w:w="850" w:type="dxa"/>
            <w:tcBorders>
              <w:top w:val="nil"/>
              <w:left w:val="single" w:sz="4" w:space="0" w:color="auto"/>
              <w:bottom w:val="single" w:sz="4" w:space="0" w:color="auto"/>
              <w:right w:val="nil"/>
            </w:tcBorders>
            <w:shd w:val="clear" w:color="auto" w:fill="auto"/>
            <w:noWrap/>
            <w:vAlign w:val="center"/>
            <w:hideMark/>
          </w:tcPr>
          <w:p w14:paraId="0C24EDFF" w14:textId="77777777" w:rsidR="00387142" w:rsidRPr="008B6A75" w:rsidRDefault="00387142" w:rsidP="00387142">
            <w:pPr>
              <w:jc w:val="center"/>
              <w:rPr>
                <w:sz w:val="20"/>
                <w:szCs w:val="20"/>
              </w:rPr>
            </w:pPr>
            <w:r w:rsidRPr="008B6A75">
              <w:rPr>
                <w:sz w:val="20"/>
                <w:szCs w:val="20"/>
              </w:rPr>
              <w:t>240</w:t>
            </w:r>
          </w:p>
        </w:tc>
        <w:tc>
          <w:tcPr>
            <w:tcW w:w="567" w:type="dxa"/>
            <w:tcBorders>
              <w:top w:val="nil"/>
              <w:left w:val="single" w:sz="4" w:space="0" w:color="auto"/>
              <w:bottom w:val="single" w:sz="4" w:space="0" w:color="auto"/>
              <w:right w:val="nil"/>
            </w:tcBorders>
            <w:shd w:val="clear" w:color="auto" w:fill="auto"/>
            <w:noWrap/>
            <w:vAlign w:val="center"/>
            <w:hideMark/>
          </w:tcPr>
          <w:p w14:paraId="7FCAF519" w14:textId="77777777" w:rsidR="00387142" w:rsidRPr="008B6A75" w:rsidRDefault="00387142" w:rsidP="00387142">
            <w:pPr>
              <w:jc w:val="center"/>
              <w:rPr>
                <w:sz w:val="20"/>
                <w:szCs w:val="20"/>
              </w:rPr>
            </w:pPr>
            <w:r w:rsidRPr="008B6A75">
              <w:rPr>
                <w:sz w:val="20"/>
                <w:szCs w:val="20"/>
              </w:rPr>
              <w:t>07</w:t>
            </w:r>
          </w:p>
        </w:tc>
        <w:tc>
          <w:tcPr>
            <w:tcW w:w="567" w:type="dxa"/>
            <w:tcBorders>
              <w:top w:val="nil"/>
              <w:left w:val="single" w:sz="4" w:space="0" w:color="auto"/>
              <w:bottom w:val="single" w:sz="4" w:space="0" w:color="auto"/>
              <w:right w:val="nil"/>
            </w:tcBorders>
            <w:shd w:val="clear" w:color="auto" w:fill="auto"/>
            <w:noWrap/>
            <w:vAlign w:val="center"/>
            <w:hideMark/>
          </w:tcPr>
          <w:p w14:paraId="2829B965" w14:textId="77777777" w:rsidR="00387142" w:rsidRPr="008B6A75" w:rsidRDefault="00387142" w:rsidP="00387142">
            <w:pPr>
              <w:jc w:val="center"/>
              <w:rPr>
                <w:sz w:val="20"/>
                <w:szCs w:val="20"/>
              </w:rPr>
            </w:pPr>
            <w:r w:rsidRPr="008B6A75">
              <w:rPr>
                <w:sz w:val="20"/>
                <w:szCs w:val="20"/>
              </w:rPr>
              <w:t>02</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3BA0E2A" w14:textId="77777777" w:rsidR="00387142" w:rsidRPr="008B6A75" w:rsidRDefault="00387142" w:rsidP="00387142">
            <w:pPr>
              <w:jc w:val="right"/>
              <w:rPr>
                <w:sz w:val="20"/>
                <w:szCs w:val="20"/>
              </w:rPr>
            </w:pPr>
            <w:r w:rsidRPr="008B6A75">
              <w:rPr>
                <w:sz w:val="20"/>
                <w:szCs w:val="20"/>
              </w:rPr>
              <w:t>242 700,00</w:t>
            </w:r>
          </w:p>
        </w:tc>
        <w:tc>
          <w:tcPr>
            <w:tcW w:w="851" w:type="dxa"/>
            <w:tcBorders>
              <w:top w:val="nil"/>
              <w:left w:val="single" w:sz="4" w:space="0" w:color="auto"/>
              <w:bottom w:val="single" w:sz="4" w:space="0" w:color="auto"/>
              <w:right w:val="nil"/>
            </w:tcBorders>
            <w:shd w:val="clear" w:color="auto" w:fill="auto"/>
            <w:noWrap/>
            <w:vAlign w:val="center"/>
            <w:hideMark/>
          </w:tcPr>
          <w:p w14:paraId="73BE3D1E" w14:textId="77777777" w:rsidR="00387142" w:rsidRPr="008B6A75" w:rsidRDefault="00387142" w:rsidP="00387142">
            <w:pPr>
              <w:jc w:val="right"/>
              <w:rPr>
                <w:sz w:val="20"/>
                <w:szCs w:val="20"/>
              </w:rPr>
            </w:pPr>
            <w:r w:rsidRPr="008B6A75">
              <w:rPr>
                <w:sz w:val="20"/>
                <w:szCs w:val="20"/>
              </w:rPr>
              <w:t>251 700,00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643B9C43" w14:textId="77777777" w:rsidR="00387142" w:rsidRPr="008B6A75" w:rsidRDefault="00387142" w:rsidP="00387142">
            <w:pPr>
              <w:jc w:val="right"/>
              <w:rPr>
                <w:sz w:val="20"/>
                <w:szCs w:val="20"/>
              </w:rPr>
            </w:pPr>
            <w:r w:rsidRPr="008B6A75">
              <w:rPr>
                <w:sz w:val="20"/>
                <w:szCs w:val="20"/>
              </w:rPr>
              <w:t>251 700,00</w:t>
            </w:r>
          </w:p>
        </w:tc>
      </w:tr>
      <w:tr w:rsidR="00387142" w:rsidRPr="008B6A75" w14:paraId="0EA9C2EA" w14:textId="77777777" w:rsidTr="00387142">
        <w:trPr>
          <w:trHeight w:val="870"/>
        </w:trPr>
        <w:tc>
          <w:tcPr>
            <w:tcW w:w="272" w:type="dxa"/>
            <w:tcBorders>
              <w:top w:val="nil"/>
              <w:left w:val="nil"/>
              <w:bottom w:val="nil"/>
              <w:right w:val="single" w:sz="4" w:space="0" w:color="auto"/>
            </w:tcBorders>
            <w:shd w:val="clear" w:color="auto" w:fill="auto"/>
            <w:noWrap/>
            <w:vAlign w:val="bottom"/>
            <w:hideMark/>
          </w:tcPr>
          <w:p w14:paraId="71BA406E"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1146BDF7" w14:textId="77777777" w:rsidR="00387142" w:rsidRPr="008B6A75" w:rsidRDefault="00387142" w:rsidP="00387142">
            <w:pPr>
              <w:rPr>
                <w:sz w:val="20"/>
                <w:szCs w:val="20"/>
              </w:rPr>
            </w:pPr>
            <w:r w:rsidRPr="008B6A75">
              <w:rPr>
                <w:sz w:val="20"/>
                <w:szCs w:val="20"/>
              </w:rPr>
              <w:t>Предоставление субсидий бюджетным, автономным учреждениям и иным некоммерческим организациям</w:t>
            </w:r>
          </w:p>
        </w:tc>
        <w:tc>
          <w:tcPr>
            <w:tcW w:w="1559" w:type="dxa"/>
            <w:tcBorders>
              <w:top w:val="nil"/>
              <w:left w:val="single" w:sz="4" w:space="0" w:color="auto"/>
              <w:bottom w:val="single" w:sz="4" w:space="0" w:color="auto"/>
              <w:right w:val="nil"/>
            </w:tcBorders>
            <w:shd w:val="clear" w:color="auto" w:fill="auto"/>
            <w:noWrap/>
            <w:vAlign w:val="center"/>
            <w:hideMark/>
          </w:tcPr>
          <w:p w14:paraId="61F265E6" w14:textId="77777777" w:rsidR="00387142" w:rsidRPr="008B6A75" w:rsidRDefault="00387142" w:rsidP="00387142">
            <w:pPr>
              <w:jc w:val="center"/>
              <w:rPr>
                <w:sz w:val="20"/>
                <w:szCs w:val="20"/>
              </w:rPr>
            </w:pPr>
            <w:r w:rsidRPr="008B6A75">
              <w:rPr>
                <w:sz w:val="20"/>
                <w:szCs w:val="20"/>
              </w:rPr>
              <w:t>07.1.00.70110</w:t>
            </w:r>
          </w:p>
        </w:tc>
        <w:tc>
          <w:tcPr>
            <w:tcW w:w="850" w:type="dxa"/>
            <w:tcBorders>
              <w:top w:val="nil"/>
              <w:left w:val="single" w:sz="4" w:space="0" w:color="auto"/>
              <w:bottom w:val="single" w:sz="4" w:space="0" w:color="auto"/>
              <w:right w:val="nil"/>
            </w:tcBorders>
            <w:shd w:val="clear" w:color="auto" w:fill="auto"/>
            <w:noWrap/>
            <w:vAlign w:val="center"/>
            <w:hideMark/>
          </w:tcPr>
          <w:p w14:paraId="2B3C1919" w14:textId="77777777" w:rsidR="00387142" w:rsidRPr="008B6A75" w:rsidRDefault="00387142" w:rsidP="00387142">
            <w:pPr>
              <w:jc w:val="center"/>
              <w:rPr>
                <w:sz w:val="20"/>
                <w:szCs w:val="20"/>
              </w:rPr>
            </w:pPr>
            <w:r w:rsidRPr="008B6A75">
              <w:rPr>
                <w:sz w:val="20"/>
                <w:szCs w:val="20"/>
              </w:rPr>
              <w:t>600</w:t>
            </w:r>
          </w:p>
        </w:tc>
        <w:tc>
          <w:tcPr>
            <w:tcW w:w="567" w:type="dxa"/>
            <w:tcBorders>
              <w:top w:val="nil"/>
              <w:left w:val="single" w:sz="4" w:space="0" w:color="auto"/>
              <w:bottom w:val="single" w:sz="4" w:space="0" w:color="auto"/>
              <w:right w:val="nil"/>
            </w:tcBorders>
            <w:shd w:val="clear" w:color="auto" w:fill="auto"/>
            <w:noWrap/>
            <w:vAlign w:val="center"/>
            <w:hideMark/>
          </w:tcPr>
          <w:p w14:paraId="3B9BA72E" w14:textId="77777777" w:rsidR="00387142" w:rsidRPr="008B6A75" w:rsidRDefault="00387142" w:rsidP="00387142">
            <w:pPr>
              <w:jc w:val="center"/>
              <w:rPr>
                <w:sz w:val="20"/>
                <w:szCs w:val="20"/>
              </w:rPr>
            </w:pPr>
            <w:r w:rsidRPr="008B6A75">
              <w:rPr>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5D69540B" w14:textId="77777777" w:rsidR="00387142" w:rsidRPr="008B6A75" w:rsidRDefault="00387142" w:rsidP="00387142">
            <w:pPr>
              <w:jc w:val="center"/>
              <w:rPr>
                <w:sz w:val="20"/>
                <w:szCs w:val="20"/>
              </w:rPr>
            </w:pPr>
            <w:r w:rsidRPr="008B6A75">
              <w:rPr>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CCA1D03" w14:textId="77777777" w:rsidR="00387142" w:rsidRPr="008B6A75" w:rsidRDefault="00387142" w:rsidP="00387142">
            <w:pPr>
              <w:jc w:val="right"/>
              <w:rPr>
                <w:sz w:val="20"/>
                <w:szCs w:val="20"/>
              </w:rPr>
            </w:pPr>
            <w:r w:rsidRPr="008B6A75">
              <w:rPr>
                <w:sz w:val="20"/>
                <w:szCs w:val="20"/>
              </w:rPr>
              <w:t>2 615 900,00</w:t>
            </w:r>
          </w:p>
        </w:tc>
        <w:tc>
          <w:tcPr>
            <w:tcW w:w="851" w:type="dxa"/>
            <w:tcBorders>
              <w:top w:val="nil"/>
              <w:left w:val="single" w:sz="4" w:space="0" w:color="auto"/>
              <w:bottom w:val="single" w:sz="4" w:space="0" w:color="auto"/>
              <w:right w:val="nil"/>
            </w:tcBorders>
            <w:shd w:val="clear" w:color="auto" w:fill="auto"/>
            <w:noWrap/>
            <w:vAlign w:val="center"/>
            <w:hideMark/>
          </w:tcPr>
          <w:p w14:paraId="60C7CEF5" w14:textId="77777777" w:rsidR="00387142" w:rsidRPr="008B6A75" w:rsidRDefault="00387142" w:rsidP="00387142">
            <w:pPr>
              <w:jc w:val="right"/>
              <w:rPr>
                <w:sz w:val="20"/>
                <w:szCs w:val="20"/>
              </w:rPr>
            </w:pPr>
            <w:r w:rsidRPr="008B6A75">
              <w:rPr>
                <w:sz w:val="20"/>
                <w:szCs w:val="20"/>
              </w:rPr>
              <w:t>2 209 692,40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6C5B8928" w14:textId="77777777" w:rsidR="00387142" w:rsidRPr="008B6A75" w:rsidRDefault="00387142" w:rsidP="00387142">
            <w:pPr>
              <w:jc w:val="right"/>
              <w:rPr>
                <w:sz w:val="20"/>
                <w:szCs w:val="20"/>
              </w:rPr>
            </w:pPr>
            <w:r w:rsidRPr="008B6A75">
              <w:rPr>
                <w:sz w:val="20"/>
                <w:szCs w:val="20"/>
              </w:rPr>
              <w:t>2 347 110,62</w:t>
            </w:r>
          </w:p>
        </w:tc>
      </w:tr>
      <w:tr w:rsidR="00387142" w:rsidRPr="008B6A75" w14:paraId="717B33E0" w14:textId="77777777" w:rsidTr="00387142">
        <w:trPr>
          <w:trHeight w:val="300"/>
        </w:trPr>
        <w:tc>
          <w:tcPr>
            <w:tcW w:w="272" w:type="dxa"/>
            <w:tcBorders>
              <w:top w:val="nil"/>
              <w:left w:val="nil"/>
              <w:bottom w:val="nil"/>
              <w:right w:val="single" w:sz="4" w:space="0" w:color="auto"/>
            </w:tcBorders>
            <w:shd w:val="clear" w:color="auto" w:fill="auto"/>
            <w:noWrap/>
            <w:vAlign w:val="bottom"/>
            <w:hideMark/>
          </w:tcPr>
          <w:p w14:paraId="21A73665"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26DE7AB0" w14:textId="77777777" w:rsidR="00387142" w:rsidRPr="008B6A75" w:rsidRDefault="00387142" w:rsidP="00387142">
            <w:pPr>
              <w:rPr>
                <w:sz w:val="20"/>
                <w:szCs w:val="20"/>
              </w:rPr>
            </w:pPr>
            <w:r w:rsidRPr="008B6A75">
              <w:rPr>
                <w:sz w:val="20"/>
                <w:szCs w:val="20"/>
              </w:rPr>
              <w:t>Субсидии бюджетным учреждениям</w:t>
            </w:r>
          </w:p>
        </w:tc>
        <w:tc>
          <w:tcPr>
            <w:tcW w:w="1559" w:type="dxa"/>
            <w:tcBorders>
              <w:top w:val="nil"/>
              <w:left w:val="single" w:sz="4" w:space="0" w:color="auto"/>
              <w:bottom w:val="single" w:sz="4" w:space="0" w:color="auto"/>
              <w:right w:val="nil"/>
            </w:tcBorders>
            <w:shd w:val="clear" w:color="auto" w:fill="auto"/>
            <w:noWrap/>
            <w:vAlign w:val="center"/>
            <w:hideMark/>
          </w:tcPr>
          <w:p w14:paraId="40157C0B" w14:textId="77777777" w:rsidR="00387142" w:rsidRPr="008B6A75" w:rsidRDefault="00387142" w:rsidP="00387142">
            <w:pPr>
              <w:jc w:val="center"/>
              <w:rPr>
                <w:sz w:val="20"/>
                <w:szCs w:val="20"/>
              </w:rPr>
            </w:pPr>
            <w:r w:rsidRPr="008B6A75">
              <w:rPr>
                <w:sz w:val="20"/>
                <w:szCs w:val="20"/>
              </w:rPr>
              <w:t>07.1.00.70110</w:t>
            </w:r>
          </w:p>
        </w:tc>
        <w:tc>
          <w:tcPr>
            <w:tcW w:w="850" w:type="dxa"/>
            <w:tcBorders>
              <w:top w:val="nil"/>
              <w:left w:val="single" w:sz="4" w:space="0" w:color="auto"/>
              <w:bottom w:val="single" w:sz="4" w:space="0" w:color="auto"/>
              <w:right w:val="nil"/>
            </w:tcBorders>
            <w:shd w:val="clear" w:color="auto" w:fill="auto"/>
            <w:noWrap/>
            <w:vAlign w:val="center"/>
            <w:hideMark/>
          </w:tcPr>
          <w:p w14:paraId="13447E20" w14:textId="77777777" w:rsidR="00387142" w:rsidRPr="008B6A75" w:rsidRDefault="00387142" w:rsidP="00387142">
            <w:pPr>
              <w:jc w:val="center"/>
              <w:rPr>
                <w:sz w:val="20"/>
                <w:szCs w:val="20"/>
              </w:rPr>
            </w:pPr>
            <w:r w:rsidRPr="008B6A75">
              <w:rPr>
                <w:sz w:val="20"/>
                <w:szCs w:val="20"/>
              </w:rPr>
              <w:t>610</w:t>
            </w:r>
          </w:p>
        </w:tc>
        <w:tc>
          <w:tcPr>
            <w:tcW w:w="567" w:type="dxa"/>
            <w:tcBorders>
              <w:top w:val="nil"/>
              <w:left w:val="single" w:sz="4" w:space="0" w:color="auto"/>
              <w:bottom w:val="single" w:sz="4" w:space="0" w:color="auto"/>
              <w:right w:val="nil"/>
            </w:tcBorders>
            <w:shd w:val="clear" w:color="auto" w:fill="auto"/>
            <w:noWrap/>
            <w:vAlign w:val="center"/>
            <w:hideMark/>
          </w:tcPr>
          <w:p w14:paraId="45A75A15" w14:textId="77777777" w:rsidR="00387142" w:rsidRPr="008B6A75" w:rsidRDefault="00387142" w:rsidP="00387142">
            <w:pPr>
              <w:jc w:val="center"/>
              <w:rPr>
                <w:sz w:val="20"/>
                <w:szCs w:val="20"/>
              </w:rPr>
            </w:pPr>
            <w:r w:rsidRPr="008B6A75">
              <w:rPr>
                <w:sz w:val="20"/>
                <w:szCs w:val="20"/>
              </w:rPr>
              <w:t>07</w:t>
            </w:r>
          </w:p>
        </w:tc>
        <w:tc>
          <w:tcPr>
            <w:tcW w:w="567" w:type="dxa"/>
            <w:tcBorders>
              <w:top w:val="nil"/>
              <w:left w:val="single" w:sz="4" w:space="0" w:color="auto"/>
              <w:bottom w:val="single" w:sz="4" w:space="0" w:color="auto"/>
              <w:right w:val="nil"/>
            </w:tcBorders>
            <w:shd w:val="clear" w:color="auto" w:fill="auto"/>
            <w:noWrap/>
            <w:vAlign w:val="center"/>
            <w:hideMark/>
          </w:tcPr>
          <w:p w14:paraId="4037A3E8" w14:textId="77777777" w:rsidR="00387142" w:rsidRPr="008B6A75" w:rsidRDefault="00387142" w:rsidP="00387142">
            <w:pPr>
              <w:jc w:val="center"/>
              <w:rPr>
                <w:sz w:val="20"/>
                <w:szCs w:val="20"/>
              </w:rPr>
            </w:pPr>
            <w:r w:rsidRPr="008B6A75">
              <w:rPr>
                <w:sz w:val="20"/>
                <w:szCs w:val="20"/>
              </w:rPr>
              <w:t>02</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197D1AD" w14:textId="77777777" w:rsidR="00387142" w:rsidRPr="008B6A75" w:rsidRDefault="00387142" w:rsidP="00387142">
            <w:pPr>
              <w:jc w:val="right"/>
              <w:rPr>
                <w:sz w:val="20"/>
                <w:szCs w:val="20"/>
              </w:rPr>
            </w:pPr>
            <w:r w:rsidRPr="008B6A75">
              <w:rPr>
                <w:sz w:val="20"/>
                <w:szCs w:val="20"/>
              </w:rPr>
              <w:t>2 615 900,00</w:t>
            </w:r>
          </w:p>
        </w:tc>
        <w:tc>
          <w:tcPr>
            <w:tcW w:w="851" w:type="dxa"/>
            <w:tcBorders>
              <w:top w:val="nil"/>
              <w:left w:val="single" w:sz="4" w:space="0" w:color="auto"/>
              <w:bottom w:val="single" w:sz="4" w:space="0" w:color="auto"/>
              <w:right w:val="nil"/>
            </w:tcBorders>
            <w:shd w:val="clear" w:color="auto" w:fill="auto"/>
            <w:noWrap/>
            <w:vAlign w:val="center"/>
            <w:hideMark/>
          </w:tcPr>
          <w:p w14:paraId="28539DE2" w14:textId="77777777" w:rsidR="00387142" w:rsidRPr="008B6A75" w:rsidRDefault="00387142" w:rsidP="00387142">
            <w:pPr>
              <w:jc w:val="right"/>
              <w:rPr>
                <w:sz w:val="20"/>
                <w:szCs w:val="20"/>
              </w:rPr>
            </w:pPr>
            <w:r w:rsidRPr="008B6A75">
              <w:rPr>
                <w:sz w:val="20"/>
                <w:szCs w:val="20"/>
              </w:rPr>
              <w:t>2 209 692,40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2ADCBE3F" w14:textId="77777777" w:rsidR="00387142" w:rsidRPr="008B6A75" w:rsidRDefault="00387142" w:rsidP="00387142">
            <w:pPr>
              <w:jc w:val="right"/>
              <w:rPr>
                <w:sz w:val="20"/>
                <w:szCs w:val="20"/>
              </w:rPr>
            </w:pPr>
            <w:r w:rsidRPr="008B6A75">
              <w:rPr>
                <w:sz w:val="20"/>
                <w:szCs w:val="20"/>
              </w:rPr>
              <w:t>2 347 110,62</w:t>
            </w:r>
          </w:p>
        </w:tc>
      </w:tr>
      <w:tr w:rsidR="00387142" w:rsidRPr="008B6A75" w14:paraId="7E6BFF8E" w14:textId="77777777" w:rsidTr="00387142">
        <w:trPr>
          <w:trHeight w:val="870"/>
        </w:trPr>
        <w:tc>
          <w:tcPr>
            <w:tcW w:w="272" w:type="dxa"/>
            <w:tcBorders>
              <w:top w:val="nil"/>
              <w:left w:val="nil"/>
              <w:bottom w:val="nil"/>
              <w:right w:val="single" w:sz="4" w:space="0" w:color="auto"/>
            </w:tcBorders>
            <w:shd w:val="clear" w:color="auto" w:fill="auto"/>
            <w:noWrap/>
            <w:vAlign w:val="bottom"/>
            <w:hideMark/>
          </w:tcPr>
          <w:p w14:paraId="1E821309"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7F210114" w14:textId="77777777" w:rsidR="00387142" w:rsidRPr="008B6A75" w:rsidRDefault="00387142" w:rsidP="00387142">
            <w:pPr>
              <w:rPr>
                <w:bCs/>
                <w:sz w:val="20"/>
                <w:szCs w:val="20"/>
              </w:rPr>
            </w:pPr>
            <w:r w:rsidRPr="008B6A75">
              <w:rPr>
                <w:bCs/>
                <w:sz w:val="20"/>
                <w:szCs w:val="20"/>
              </w:rPr>
              <w:t>Реализация основных общеобразовательных программ в муниципальных общеобразовательных организациях</w:t>
            </w:r>
          </w:p>
        </w:tc>
        <w:tc>
          <w:tcPr>
            <w:tcW w:w="1559" w:type="dxa"/>
            <w:tcBorders>
              <w:top w:val="nil"/>
              <w:left w:val="single" w:sz="4" w:space="0" w:color="auto"/>
              <w:bottom w:val="single" w:sz="4" w:space="0" w:color="auto"/>
              <w:right w:val="nil"/>
            </w:tcBorders>
            <w:shd w:val="clear" w:color="auto" w:fill="auto"/>
            <w:noWrap/>
            <w:vAlign w:val="center"/>
            <w:hideMark/>
          </w:tcPr>
          <w:p w14:paraId="3033610A" w14:textId="77777777" w:rsidR="00387142" w:rsidRPr="008B6A75" w:rsidRDefault="00387142" w:rsidP="00387142">
            <w:pPr>
              <w:jc w:val="center"/>
              <w:rPr>
                <w:bCs/>
                <w:sz w:val="20"/>
                <w:szCs w:val="20"/>
              </w:rPr>
            </w:pPr>
            <w:r w:rsidRPr="008B6A75">
              <w:rPr>
                <w:bCs/>
                <w:sz w:val="20"/>
                <w:szCs w:val="20"/>
              </w:rPr>
              <w:t>07.1.00.70120</w:t>
            </w:r>
          </w:p>
        </w:tc>
        <w:tc>
          <w:tcPr>
            <w:tcW w:w="850" w:type="dxa"/>
            <w:tcBorders>
              <w:top w:val="nil"/>
              <w:left w:val="single" w:sz="4" w:space="0" w:color="auto"/>
              <w:bottom w:val="single" w:sz="4" w:space="0" w:color="auto"/>
              <w:right w:val="nil"/>
            </w:tcBorders>
            <w:shd w:val="clear" w:color="auto" w:fill="auto"/>
            <w:noWrap/>
            <w:vAlign w:val="center"/>
            <w:hideMark/>
          </w:tcPr>
          <w:p w14:paraId="3E1E9161" w14:textId="77777777" w:rsidR="00387142" w:rsidRPr="008B6A75" w:rsidRDefault="00387142" w:rsidP="00387142">
            <w:pPr>
              <w:jc w:val="center"/>
              <w:rPr>
                <w:bCs/>
                <w:sz w:val="20"/>
                <w:szCs w:val="20"/>
              </w:rPr>
            </w:pPr>
            <w:r w:rsidRPr="008B6A75">
              <w:rPr>
                <w:bCs/>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35BBFA6D" w14:textId="77777777" w:rsidR="00387142" w:rsidRPr="008B6A75" w:rsidRDefault="00387142" w:rsidP="00387142">
            <w:pPr>
              <w:jc w:val="center"/>
              <w:rPr>
                <w:bCs/>
                <w:sz w:val="20"/>
                <w:szCs w:val="20"/>
              </w:rPr>
            </w:pPr>
            <w:r w:rsidRPr="008B6A75">
              <w:rPr>
                <w:bCs/>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0782E651" w14:textId="77777777" w:rsidR="00387142" w:rsidRPr="008B6A75" w:rsidRDefault="00387142" w:rsidP="00387142">
            <w:pPr>
              <w:jc w:val="center"/>
              <w:rPr>
                <w:bCs/>
                <w:sz w:val="20"/>
                <w:szCs w:val="20"/>
              </w:rPr>
            </w:pPr>
            <w:r w:rsidRPr="008B6A75">
              <w:rPr>
                <w:bCs/>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3CA662D" w14:textId="77777777" w:rsidR="00387142" w:rsidRPr="008B6A75" w:rsidRDefault="00387142" w:rsidP="00387142">
            <w:pPr>
              <w:jc w:val="right"/>
              <w:rPr>
                <w:bCs/>
                <w:sz w:val="20"/>
                <w:szCs w:val="20"/>
              </w:rPr>
            </w:pPr>
            <w:r w:rsidRPr="008B6A75">
              <w:rPr>
                <w:bCs/>
                <w:sz w:val="20"/>
                <w:szCs w:val="20"/>
              </w:rPr>
              <w:t>425 963 700,00</w:t>
            </w:r>
          </w:p>
        </w:tc>
        <w:tc>
          <w:tcPr>
            <w:tcW w:w="851" w:type="dxa"/>
            <w:tcBorders>
              <w:top w:val="nil"/>
              <w:left w:val="single" w:sz="4" w:space="0" w:color="auto"/>
              <w:bottom w:val="single" w:sz="4" w:space="0" w:color="auto"/>
              <w:right w:val="nil"/>
            </w:tcBorders>
            <w:shd w:val="clear" w:color="auto" w:fill="auto"/>
            <w:noWrap/>
            <w:vAlign w:val="center"/>
            <w:hideMark/>
          </w:tcPr>
          <w:p w14:paraId="46BEA164" w14:textId="77777777" w:rsidR="00387142" w:rsidRPr="008B6A75" w:rsidRDefault="00387142" w:rsidP="00387142">
            <w:pPr>
              <w:jc w:val="right"/>
              <w:rPr>
                <w:bCs/>
                <w:sz w:val="20"/>
                <w:szCs w:val="20"/>
              </w:rPr>
            </w:pPr>
            <w:r w:rsidRPr="008B6A75">
              <w:rPr>
                <w:bCs/>
                <w:sz w:val="20"/>
                <w:szCs w:val="20"/>
              </w:rPr>
              <w:t>439 421 700,00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1A425964" w14:textId="77777777" w:rsidR="00387142" w:rsidRPr="008B6A75" w:rsidRDefault="00387142" w:rsidP="00387142">
            <w:pPr>
              <w:jc w:val="right"/>
              <w:rPr>
                <w:bCs/>
                <w:sz w:val="20"/>
                <w:szCs w:val="20"/>
              </w:rPr>
            </w:pPr>
            <w:r w:rsidRPr="008B6A75">
              <w:rPr>
                <w:bCs/>
                <w:sz w:val="20"/>
                <w:szCs w:val="20"/>
              </w:rPr>
              <w:t>468 810 800,00</w:t>
            </w:r>
          </w:p>
        </w:tc>
      </w:tr>
      <w:tr w:rsidR="00387142" w:rsidRPr="008B6A75" w14:paraId="0BE17FEA" w14:textId="77777777" w:rsidTr="00387142">
        <w:trPr>
          <w:trHeight w:val="1440"/>
        </w:trPr>
        <w:tc>
          <w:tcPr>
            <w:tcW w:w="272" w:type="dxa"/>
            <w:tcBorders>
              <w:top w:val="nil"/>
              <w:left w:val="nil"/>
              <w:bottom w:val="nil"/>
              <w:right w:val="single" w:sz="4" w:space="0" w:color="auto"/>
            </w:tcBorders>
            <w:shd w:val="clear" w:color="auto" w:fill="auto"/>
            <w:noWrap/>
            <w:vAlign w:val="bottom"/>
            <w:hideMark/>
          </w:tcPr>
          <w:p w14:paraId="1037ED90"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4CA17445" w14:textId="77777777" w:rsidR="00387142" w:rsidRPr="008B6A75" w:rsidRDefault="00387142" w:rsidP="00387142">
            <w:pPr>
              <w:rPr>
                <w:sz w:val="20"/>
                <w:szCs w:val="20"/>
              </w:rPr>
            </w:pPr>
            <w:r w:rsidRPr="008B6A7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single" w:sz="4" w:space="0" w:color="auto"/>
              <w:bottom w:val="single" w:sz="4" w:space="0" w:color="auto"/>
              <w:right w:val="nil"/>
            </w:tcBorders>
            <w:shd w:val="clear" w:color="auto" w:fill="auto"/>
            <w:noWrap/>
            <w:vAlign w:val="center"/>
            <w:hideMark/>
          </w:tcPr>
          <w:p w14:paraId="68F6556E" w14:textId="77777777" w:rsidR="00387142" w:rsidRPr="008B6A75" w:rsidRDefault="00387142" w:rsidP="00387142">
            <w:pPr>
              <w:jc w:val="center"/>
              <w:rPr>
                <w:sz w:val="20"/>
                <w:szCs w:val="20"/>
              </w:rPr>
            </w:pPr>
            <w:r w:rsidRPr="008B6A75">
              <w:rPr>
                <w:sz w:val="20"/>
                <w:szCs w:val="20"/>
              </w:rPr>
              <w:t>07.1.00.70120</w:t>
            </w:r>
          </w:p>
        </w:tc>
        <w:tc>
          <w:tcPr>
            <w:tcW w:w="850" w:type="dxa"/>
            <w:tcBorders>
              <w:top w:val="nil"/>
              <w:left w:val="single" w:sz="4" w:space="0" w:color="auto"/>
              <w:bottom w:val="single" w:sz="4" w:space="0" w:color="auto"/>
              <w:right w:val="nil"/>
            </w:tcBorders>
            <w:shd w:val="clear" w:color="auto" w:fill="auto"/>
            <w:noWrap/>
            <w:vAlign w:val="center"/>
            <w:hideMark/>
          </w:tcPr>
          <w:p w14:paraId="4D38390C" w14:textId="77777777" w:rsidR="00387142" w:rsidRPr="008B6A75" w:rsidRDefault="00387142" w:rsidP="00387142">
            <w:pPr>
              <w:jc w:val="center"/>
              <w:rPr>
                <w:sz w:val="20"/>
                <w:szCs w:val="20"/>
              </w:rPr>
            </w:pPr>
            <w:r w:rsidRPr="008B6A75">
              <w:rPr>
                <w:sz w:val="20"/>
                <w:szCs w:val="20"/>
              </w:rPr>
              <w:t>100</w:t>
            </w:r>
          </w:p>
        </w:tc>
        <w:tc>
          <w:tcPr>
            <w:tcW w:w="567" w:type="dxa"/>
            <w:tcBorders>
              <w:top w:val="nil"/>
              <w:left w:val="single" w:sz="4" w:space="0" w:color="auto"/>
              <w:bottom w:val="single" w:sz="4" w:space="0" w:color="auto"/>
              <w:right w:val="nil"/>
            </w:tcBorders>
            <w:shd w:val="clear" w:color="auto" w:fill="auto"/>
            <w:noWrap/>
            <w:vAlign w:val="center"/>
            <w:hideMark/>
          </w:tcPr>
          <w:p w14:paraId="00F16445" w14:textId="77777777" w:rsidR="00387142" w:rsidRPr="008B6A75" w:rsidRDefault="00387142" w:rsidP="00387142">
            <w:pPr>
              <w:jc w:val="center"/>
              <w:rPr>
                <w:sz w:val="20"/>
                <w:szCs w:val="20"/>
              </w:rPr>
            </w:pPr>
            <w:r w:rsidRPr="008B6A75">
              <w:rPr>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47A0558D" w14:textId="77777777" w:rsidR="00387142" w:rsidRPr="008B6A75" w:rsidRDefault="00387142" w:rsidP="00387142">
            <w:pPr>
              <w:jc w:val="center"/>
              <w:rPr>
                <w:sz w:val="20"/>
                <w:szCs w:val="20"/>
              </w:rPr>
            </w:pPr>
            <w:r w:rsidRPr="008B6A75">
              <w:rPr>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CFEDBB0" w14:textId="77777777" w:rsidR="00387142" w:rsidRPr="008B6A75" w:rsidRDefault="00387142" w:rsidP="00387142">
            <w:pPr>
              <w:jc w:val="right"/>
              <w:rPr>
                <w:sz w:val="20"/>
                <w:szCs w:val="20"/>
              </w:rPr>
            </w:pPr>
            <w:r w:rsidRPr="008B6A75">
              <w:rPr>
                <w:sz w:val="20"/>
                <w:szCs w:val="20"/>
              </w:rPr>
              <w:t>200 204 137,60</w:t>
            </w:r>
          </w:p>
        </w:tc>
        <w:tc>
          <w:tcPr>
            <w:tcW w:w="851" w:type="dxa"/>
            <w:tcBorders>
              <w:top w:val="nil"/>
              <w:left w:val="single" w:sz="4" w:space="0" w:color="auto"/>
              <w:bottom w:val="single" w:sz="4" w:space="0" w:color="auto"/>
              <w:right w:val="nil"/>
            </w:tcBorders>
            <w:shd w:val="clear" w:color="auto" w:fill="auto"/>
            <w:noWrap/>
            <w:vAlign w:val="center"/>
            <w:hideMark/>
          </w:tcPr>
          <w:p w14:paraId="083ECF99" w14:textId="77777777" w:rsidR="00387142" w:rsidRPr="008B6A75" w:rsidRDefault="00387142" w:rsidP="00387142">
            <w:pPr>
              <w:jc w:val="right"/>
              <w:rPr>
                <w:sz w:val="20"/>
                <w:szCs w:val="20"/>
              </w:rPr>
            </w:pPr>
            <w:r w:rsidRPr="008B6A75">
              <w:rPr>
                <w:sz w:val="20"/>
                <w:szCs w:val="20"/>
              </w:rPr>
              <w:t>227 544 521,03</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6CAEE058" w14:textId="77777777" w:rsidR="00387142" w:rsidRPr="008B6A75" w:rsidRDefault="00387142" w:rsidP="00387142">
            <w:pPr>
              <w:jc w:val="right"/>
              <w:rPr>
                <w:sz w:val="20"/>
                <w:szCs w:val="20"/>
              </w:rPr>
            </w:pPr>
            <w:r w:rsidRPr="008B6A75">
              <w:rPr>
                <w:sz w:val="20"/>
                <w:szCs w:val="20"/>
              </w:rPr>
              <w:t>256 933 620,03</w:t>
            </w:r>
          </w:p>
        </w:tc>
      </w:tr>
      <w:tr w:rsidR="00387142" w:rsidRPr="008B6A75" w14:paraId="73525780" w14:textId="77777777" w:rsidTr="00387142">
        <w:trPr>
          <w:trHeight w:val="585"/>
        </w:trPr>
        <w:tc>
          <w:tcPr>
            <w:tcW w:w="272" w:type="dxa"/>
            <w:tcBorders>
              <w:top w:val="nil"/>
              <w:left w:val="nil"/>
              <w:bottom w:val="nil"/>
              <w:right w:val="single" w:sz="4" w:space="0" w:color="auto"/>
            </w:tcBorders>
            <w:shd w:val="clear" w:color="auto" w:fill="auto"/>
            <w:noWrap/>
            <w:vAlign w:val="bottom"/>
            <w:hideMark/>
          </w:tcPr>
          <w:p w14:paraId="64F4F5DE"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248938E4" w14:textId="77777777" w:rsidR="00387142" w:rsidRPr="008B6A75" w:rsidRDefault="00387142" w:rsidP="00387142">
            <w:pPr>
              <w:rPr>
                <w:sz w:val="20"/>
                <w:szCs w:val="20"/>
              </w:rPr>
            </w:pPr>
            <w:r w:rsidRPr="008B6A75">
              <w:rPr>
                <w:sz w:val="20"/>
                <w:szCs w:val="20"/>
              </w:rPr>
              <w:t>Расходы на выплаты персоналу казенных учреждений</w:t>
            </w:r>
          </w:p>
        </w:tc>
        <w:tc>
          <w:tcPr>
            <w:tcW w:w="1559" w:type="dxa"/>
            <w:tcBorders>
              <w:top w:val="nil"/>
              <w:left w:val="single" w:sz="4" w:space="0" w:color="auto"/>
              <w:bottom w:val="single" w:sz="4" w:space="0" w:color="auto"/>
              <w:right w:val="nil"/>
            </w:tcBorders>
            <w:shd w:val="clear" w:color="auto" w:fill="auto"/>
            <w:noWrap/>
            <w:vAlign w:val="center"/>
            <w:hideMark/>
          </w:tcPr>
          <w:p w14:paraId="3F58443E" w14:textId="77777777" w:rsidR="00387142" w:rsidRPr="008B6A75" w:rsidRDefault="00387142" w:rsidP="00387142">
            <w:pPr>
              <w:jc w:val="center"/>
              <w:rPr>
                <w:sz w:val="20"/>
                <w:szCs w:val="20"/>
              </w:rPr>
            </w:pPr>
            <w:r w:rsidRPr="008B6A75">
              <w:rPr>
                <w:sz w:val="20"/>
                <w:szCs w:val="20"/>
              </w:rPr>
              <w:t>07.1.00.70120</w:t>
            </w:r>
          </w:p>
        </w:tc>
        <w:tc>
          <w:tcPr>
            <w:tcW w:w="850" w:type="dxa"/>
            <w:tcBorders>
              <w:top w:val="nil"/>
              <w:left w:val="single" w:sz="4" w:space="0" w:color="auto"/>
              <w:bottom w:val="single" w:sz="4" w:space="0" w:color="auto"/>
              <w:right w:val="nil"/>
            </w:tcBorders>
            <w:shd w:val="clear" w:color="auto" w:fill="auto"/>
            <w:noWrap/>
            <w:vAlign w:val="center"/>
            <w:hideMark/>
          </w:tcPr>
          <w:p w14:paraId="383EC7F4" w14:textId="77777777" w:rsidR="00387142" w:rsidRPr="008B6A75" w:rsidRDefault="00387142" w:rsidP="00387142">
            <w:pPr>
              <w:jc w:val="center"/>
              <w:rPr>
                <w:sz w:val="20"/>
                <w:szCs w:val="20"/>
              </w:rPr>
            </w:pPr>
            <w:r w:rsidRPr="008B6A75">
              <w:rPr>
                <w:sz w:val="20"/>
                <w:szCs w:val="20"/>
              </w:rPr>
              <w:t>110</w:t>
            </w:r>
          </w:p>
        </w:tc>
        <w:tc>
          <w:tcPr>
            <w:tcW w:w="567" w:type="dxa"/>
            <w:tcBorders>
              <w:top w:val="nil"/>
              <w:left w:val="single" w:sz="4" w:space="0" w:color="auto"/>
              <w:bottom w:val="single" w:sz="4" w:space="0" w:color="auto"/>
              <w:right w:val="nil"/>
            </w:tcBorders>
            <w:shd w:val="clear" w:color="auto" w:fill="auto"/>
            <w:noWrap/>
            <w:vAlign w:val="center"/>
            <w:hideMark/>
          </w:tcPr>
          <w:p w14:paraId="5B89B5C7" w14:textId="77777777" w:rsidR="00387142" w:rsidRPr="008B6A75" w:rsidRDefault="00387142" w:rsidP="00387142">
            <w:pPr>
              <w:jc w:val="center"/>
              <w:rPr>
                <w:sz w:val="20"/>
                <w:szCs w:val="20"/>
              </w:rPr>
            </w:pPr>
            <w:r w:rsidRPr="008B6A75">
              <w:rPr>
                <w:sz w:val="20"/>
                <w:szCs w:val="20"/>
              </w:rPr>
              <w:t>07</w:t>
            </w:r>
          </w:p>
        </w:tc>
        <w:tc>
          <w:tcPr>
            <w:tcW w:w="567" w:type="dxa"/>
            <w:tcBorders>
              <w:top w:val="nil"/>
              <w:left w:val="single" w:sz="4" w:space="0" w:color="auto"/>
              <w:bottom w:val="single" w:sz="4" w:space="0" w:color="auto"/>
              <w:right w:val="nil"/>
            </w:tcBorders>
            <w:shd w:val="clear" w:color="auto" w:fill="auto"/>
            <w:noWrap/>
            <w:vAlign w:val="center"/>
            <w:hideMark/>
          </w:tcPr>
          <w:p w14:paraId="4D0F80D6" w14:textId="77777777" w:rsidR="00387142" w:rsidRPr="008B6A75" w:rsidRDefault="00387142" w:rsidP="00387142">
            <w:pPr>
              <w:jc w:val="center"/>
              <w:rPr>
                <w:sz w:val="20"/>
                <w:szCs w:val="20"/>
              </w:rPr>
            </w:pPr>
            <w:r w:rsidRPr="008B6A75">
              <w:rPr>
                <w:sz w:val="20"/>
                <w:szCs w:val="20"/>
              </w:rPr>
              <w:t>02</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6CE8102" w14:textId="77777777" w:rsidR="00387142" w:rsidRPr="008B6A75" w:rsidRDefault="00387142" w:rsidP="00387142">
            <w:pPr>
              <w:jc w:val="right"/>
              <w:rPr>
                <w:sz w:val="20"/>
                <w:szCs w:val="20"/>
              </w:rPr>
            </w:pPr>
            <w:r w:rsidRPr="008B6A75">
              <w:rPr>
                <w:sz w:val="20"/>
                <w:szCs w:val="20"/>
              </w:rPr>
              <w:t>200 204 137,60</w:t>
            </w:r>
          </w:p>
        </w:tc>
        <w:tc>
          <w:tcPr>
            <w:tcW w:w="851" w:type="dxa"/>
            <w:tcBorders>
              <w:top w:val="nil"/>
              <w:left w:val="single" w:sz="4" w:space="0" w:color="auto"/>
              <w:bottom w:val="single" w:sz="4" w:space="0" w:color="auto"/>
              <w:right w:val="nil"/>
            </w:tcBorders>
            <w:shd w:val="clear" w:color="auto" w:fill="auto"/>
            <w:noWrap/>
            <w:vAlign w:val="center"/>
            <w:hideMark/>
          </w:tcPr>
          <w:p w14:paraId="1B381FD1" w14:textId="77777777" w:rsidR="00387142" w:rsidRPr="008B6A75" w:rsidRDefault="00387142" w:rsidP="00387142">
            <w:pPr>
              <w:jc w:val="right"/>
              <w:rPr>
                <w:sz w:val="20"/>
                <w:szCs w:val="20"/>
              </w:rPr>
            </w:pPr>
            <w:r w:rsidRPr="008B6A75">
              <w:rPr>
                <w:sz w:val="20"/>
                <w:szCs w:val="20"/>
              </w:rPr>
              <w:t>227 544 521,03</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53295297" w14:textId="77777777" w:rsidR="00387142" w:rsidRPr="008B6A75" w:rsidRDefault="00387142" w:rsidP="00387142">
            <w:pPr>
              <w:jc w:val="right"/>
              <w:rPr>
                <w:sz w:val="20"/>
                <w:szCs w:val="20"/>
              </w:rPr>
            </w:pPr>
            <w:r w:rsidRPr="008B6A75">
              <w:rPr>
                <w:sz w:val="20"/>
                <w:szCs w:val="20"/>
              </w:rPr>
              <w:t>256 933 620,03</w:t>
            </w:r>
          </w:p>
        </w:tc>
      </w:tr>
      <w:tr w:rsidR="00387142" w:rsidRPr="008B6A75" w14:paraId="63FEEF4A" w14:textId="77777777" w:rsidTr="00387142">
        <w:trPr>
          <w:trHeight w:val="585"/>
        </w:trPr>
        <w:tc>
          <w:tcPr>
            <w:tcW w:w="272" w:type="dxa"/>
            <w:tcBorders>
              <w:top w:val="nil"/>
              <w:left w:val="nil"/>
              <w:bottom w:val="nil"/>
              <w:right w:val="single" w:sz="4" w:space="0" w:color="auto"/>
            </w:tcBorders>
            <w:shd w:val="clear" w:color="auto" w:fill="auto"/>
            <w:noWrap/>
            <w:vAlign w:val="bottom"/>
            <w:hideMark/>
          </w:tcPr>
          <w:p w14:paraId="38F3B1E0"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77FBB943" w14:textId="77777777" w:rsidR="00387142" w:rsidRPr="008B6A75" w:rsidRDefault="00387142" w:rsidP="00387142">
            <w:pPr>
              <w:rPr>
                <w:sz w:val="20"/>
                <w:szCs w:val="20"/>
              </w:rPr>
            </w:pPr>
            <w:r w:rsidRPr="008B6A75">
              <w:rPr>
                <w:sz w:val="20"/>
                <w:szCs w:val="20"/>
              </w:rPr>
              <w:t>Закупка товаров, работ и услуг для обеспечения государственных (муниципальных) нужд</w:t>
            </w:r>
          </w:p>
        </w:tc>
        <w:tc>
          <w:tcPr>
            <w:tcW w:w="1559" w:type="dxa"/>
            <w:tcBorders>
              <w:top w:val="nil"/>
              <w:left w:val="single" w:sz="4" w:space="0" w:color="auto"/>
              <w:bottom w:val="single" w:sz="4" w:space="0" w:color="auto"/>
              <w:right w:val="nil"/>
            </w:tcBorders>
            <w:shd w:val="clear" w:color="auto" w:fill="auto"/>
            <w:noWrap/>
            <w:vAlign w:val="center"/>
            <w:hideMark/>
          </w:tcPr>
          <w:p w14:paraId="0EFF25D8" w14:textId="77777777" w:rsidR="00387142" w:rsidRPr="008B6A75" w:rsidRDefault="00387142" w:rsidP="00387142">
            <w:pPr>
              <w:jc w:val="center"/>
              <w:rPr>
                <w:sz w:val="20"/>
                <w:szCs w:val="20"/>
              </w:rPr>
            </w:pPr>
            <w:r w:rsidRPr="008B6A75">
              <w:rPr>
                <w:sz w:val="20"/>
                <w:szCs w:val="20"/>
              </w:rPr>
              <w:t>07.1.00.70120</w:t>
            </w:r>
          </w:p>
        </w:tc>
        <w:tc>
          <w:tcPr>
            <w:tcW w:w="850" w:type="dxa"/>
            <w:tcBorders>
              <w:top w:val="nil"/>
              <w:left w:val="single" w:sz="4" w:space="0" w:color="auto"/>
              <w:bottom w:val="single" w:sz="4" w:space="0" w:color="auto"/>
              <w:right w:val="nil"/>
            </w:tcBorders>
            <w:shd w:val="clear" w:color="auto" w:fill="auto"/>
            <w:noWrap/>
            <w:vAlign w:val="center"/>
            <w:hideMark/>
          </w:tcPr>
          <w:p w14:paraId="6D5B9586" w14:textId="77777777" w:rsidR="00387142" w:rsidRPr="008B6A75" w:rsidRDefault="00387142" w:rsidP="00387142">
            <w:pPr>
              <w:jc w:val="center"/>
              <w:rPr>
                <w:sz w:val="20"/>
                <w:szCs w:val="20"/>
              </w:rPr>
            </w:pPr>
            <w:r w:rsidRPr="008B6A75">
              <w:rPr>
                <w:sz w:val="20"/>
                <w:szCs w:val="20"/>
              </w:rPr>
              <w:t>200</w:t>
            </w:r>
          </w:p>
        </w:tc>
        <w:tc>
          <w:tcPr>
            <w:tcW w:w="567" w:type="dxa"/>
            <w:tcBorders>
              <w:top w:val="nil"/>
              <w:left w:val="single" w:sz="4" w:space="0" w:color="auto"/>
              <w:bottom w:val="single" w:sz="4" w:space="0" w:color="auto"/>
              <w:right w:val="nil"/>
            </w:tcBorders>
            <w:shd w:val="clear" w:color="auto" w:fill="auto"/>
            <w:noWrap/>
            <w:vAlign w:val="center"/>
            <w:hideMark/>
          </w:tcPr>
          <w:p w14:paraId="6D842F83" w14:textId="77777777" w:rsidR="00387142" w:rsidRPr="008B6A75" w:rsidRDefault="00387142" w:rsidP="00387142">
            <w:pPr>
              <w:jc w:val="center"/>
              <w:rPr>
                <w:sz w:val="20"/>
                <w:szCs w:val="20"/>
              </w:rPr>
            </w:pPr>
            <w:r w:rsidRPr="008B6A75">
              <w:rPr>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031F9BEC" w14:textId="77777777" w:rsidR="00387142" w:rsidRPr="008B6A75" w:rsidRDefault="00387142" w:rsidP="00387142">
            <w:pPr>
              <w:jc w:val="center"/>
              <w:rPr>
                <w:sz w:val="20"/>
                <w:szCs w:val="20"/>
              </w:rPr>
            </w:pPr>
            <w:r w:rsidRPr="008B6A75">
              <w:rPr>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EAD4C6D" w14:textId="77777777" w:rsidR="00387142" w:rsidRPr="008B6A75" w:rsidRDefault="00387142" w:rsidP="00387142">
            <w:pPr>
              <w:jc w:val="right"/>
              <w:rPr>
                <w:sz w:val="20"/>
                <w:szCs w:val="20"/>
              </w:rPr>
            </w:pPr>
            <w:r w:rsidRPr="008B6A75">
              <w:rPr>
                <w:sz w:val="20"/>
                <w:szCs w:val="20"/>
              </w:rPr>
              <w:t>3 367 362,32</w:t>
            </w:r>
          </w:p>
        </w:tc>
        <w:tc>
          <w:tcPr>
            <w:tcW w:w="851" w:type="dxa"/>
            <w:tcBorders>
              <w:top w:val="nil"/>
              <w:left w:val="single" w:sz="4" w:space="0" w:color="auto"/>
              <w:bottom w:val="single" w:sz="4" w:space="0" w:color="auto"/>
              <w:right w:val="nil"/>
            </w:tcBorders>
            <w:shd w:val="clear" w:color="auto" w:fill="auto"/>
            <w:noWrap/>
            <w:vAlign w:val="center"/>
            <w:hideMark/>
          </w:tcPr>
          <w:p w14:paraId="0959EB70" w14:textId="77777777" w:rsidR="00387142" w:rsidRPr="008B6A75" w:rsidRDefault="00387142" w:rsidP="00387142">
            <w:pPr>
              <w:jc w:val="right"/>
              <w:rPr>
                <w:sz w:val="20"/>
                <w:szCs w:val="20"/>
              </w:rPr>
            </w:pPr>
            <w:r w:rsidRPr="008B6A75">
              <w:rPr>
                <w:sz w:val="20"/>
                <w:szCs w:val="20"/>
              </w:rPr>
              <w:t>3 425 600,00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59A9D937" w14:textId="77777777" w:rsidR="00387142" w:rsidRPr="008B6A75" w:rsidRDefault="00387142" w:rsidP="00387142">
            <w:pPr>
              <w:jc w:val="right"/>
              <w:rPr>
                <w:sz w:val="20"/>
                <w:szCs w:val="20"/>
              </w:rPr>
            </w:pPr>
            <w:r w:rsidRPr="008B6A75">
              <w:rPr>
                <w:sz w:val="20"/>
                <w:szCs w:val="20"/>
              </w:rPr>
              <w:t>3 425 600,00</w:t>
            </w:r>
          </w:p>
        </w:tc>
      </w:tr>
      <w:tr w:rsidR="00387142" w:rsidRPr="008B6A75" w14:paraId="234C3C2D" w14:textId="77777777" w:rsidTr="00387142">
        <w:trPr>
          <w:trHeight w:val="870"/>
        </w:trPr>
        <w:tc>
          <w:tcPr>
            <w:tcW w:w="272" w:type="dxa"/>
            <w:tcBorders>
              <w:top w:val="nil"/>
              <w:left w:val="nil"/>
              <w:bottom w:val="nil"/>
              <w:right w:val="single" w:sz="4" w:space="0" w:color="auto"/>
            </w:tcBorders>
            <w:shd w:val="clear" w:color="auto" w:fill="auto"/>
            <w:noWrap/>
            <w:vAlign w:val="bottom"/>
            <w:hideMark/>
          </w:tcPr>
          <w:p w14:paraId="462EE1B1"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0F952E27" w14:textId="77777777" w:rsidR="00387142" w:rsidRPr="008B6A75" w:rsidRDefault="00387142" w:rsidP="00387142">
            <w:pPr>
              <w:rPr>
                <w:sz w:val="20"/>
                <w:szCs w:val="20"/>
              </w:rPr>
            </w:pPr>
            <w:r w:rsidRPr="008B6A75">
              <w:rPr>
                <w:sz w:val="20"/>
                <w:szCs w:val="20"/>
              </w:rPr>
              <w:t>Иные закупки товаров, работ и услуг для обеспечения государственных (муниципальных) нужд</w:t>
            </w:r>
          </w:p>
        </w:tc>
        <w:tc>
          <w:tcPr>
            <w:tcW w:w="1559" w:type="dxa"/>
            <w:tcBorders>
              <w:top w:val="nil"/>
              <w:left w:val="single" w:sz="4" w:space="0" w:color="auto"/>
              <w:bottom w:val="single" w:sz="4" w:space="0" w:color="auto"/>
              <w:right w:val="nil"/>
            </w:tcBorders>
            <w:shd w:val="clear" w:color="auto" w:fill="auto"/>
            <w:noWrap/>
            <w:vAlign w:val="center"/>
            <w:hideMark/>
          </w:tcPr>
          <w:p w14:paraId="69184264" w14:textId="77777777" w:rsidR="00387142" w:rsidRPr="008B6A75" w:rsidRDefault="00387142" w:rsidP="00387142">
            <w:pPr>
              <w:jc w:val="center"/>
              <w:rPr>
                <w:sz w:val="20"/>
                <w:szCs w:val="20"/>
              </w:rPr>
            </w:pPr>
            <w:r w:rsidRPr="008B6A75">
              <w:rPr>
                <w:sz w:val="20"/>
                <w:szCs w:val="20"/>
              </w:rPr>
              <w:t>07.1.00.70120</w:t>
            </w:r>
          </w:p>
        </w:tc>
        <w:tc>
          <w:tcPr>
            <w:tcW w:w="850" w:type="dxa"/>
            <w:tcBorders>
              <w:top w:val="nil"/>
              <w:left w:val="single" w:sz="4" w:space="0" w:color="auto"/>
              <w:bottom w:val="single" w:sz="4" w:space="0" w:color="auto"/>
              <w:right w:val="nil"/>
            </w:tcBorders>
            <w:shd w:val="clear" w:color="auto" w:fill="auto"/>
            <w:noWrap/>
            <w:vAlign w:val="center"/>
            <w:hideMark/>
          </w:tcPr>
          <w:p w14:paraId="62B7E751" w14:textId="77777777" w:rsidR="00387142" w:rsidRPr="008B6A75" w:rsidRDefault="00387142" w:rsidP="00387142">
            <w:pPr>
              <w:jc w:val="center"/>
              <w:rPr>
                <w:sz w:val="20"/>
                <w:szCs w:val="20"/>
              </w:rPr>
            </w:pPr>
            <w:r w:rsidRPr="008B6A75">
              <w:rPr>
                <w:sz w:val="20"/>
                <w:szCs w:val="20"/>
              </w:rPr>
              <w:t>240</w:t>
            </w:r>
          </w:p>
        </w:tc>
        <w:tc>
          <w:tcPr>
            <w:tcW w:w="567" w:type="dxa"/>
            <w:tcBorders>
              <w:top w:val="nil"/>
              <w:left w:val="single" w:sz="4" w:space="0" w:color="auto"/>
              <w:bottom w:val="single" w:sz="4" w:space="0" w:color="auto"/>
              <w:right w:val="nil"/>
            </w:tcBorders>
            <w:shd w:val="clear" w:color="auto" w:fill="auto"/>
            <w:noWrap/>
            <w:vAlign w:val="center"/>
            <w:hideMark/>
          </w:tcPr>
          <w:p w14:paraId="44320B55" w14:textId="77777777" w:rsidR="00387142" w:rsidRPr="008B6A75" w:rsidRDefault="00387142" w:rsidP="00387142">
            <w:pPr>
              <w:jc w:val="center"/>
              <w:rPr>
                <w:sz w:val="20"/>
                <w:szCs w:val="20"/>
              </w:rPr>
            </w:pPr>
            <w:r w:rsidRPr="008B6A75">
              <w:rPr>
                <w:sz w:val="20"/>
                <w:szCs w:val="20"/>
              </w:rPr>
              <w:t>07</w:t>
            </w:r>
          </w:p>
        </w:tc>
        <w:tc>
          <w:tcPr>
            <w:tcW w:w="567" w:type="dxa"/>
            <w:tcBorders>
              <w:top w:val="nil"/>
              <w:left w:val="single" w:sz="4" w:space="0" w:color="auto"/>
              <w:bottom w:val="single" w:sz="4" w:space="0" w:color="auto"/>
              <w:right w:val="nil"/>
            </w:tcBorders>
            <w:shd w:val="clear" w:color="auto" w:fill="auto"/>
            <w:noWrap/>
            <w:vAlign w:val="center"/>
            <w:hideMark/>
          </w:tcPr>
          <w:p w14:paraId="4EE98DDA" w14:textId="77777777" w:rsidR="00387142" w:rsidRPr="008B6A75" w:rsidRDefault="00387142" w:rsidP="00387142">
            <w:pPr>
              <w:jc w:val="center"/>
              <w:rPr>
                <w:sz w:val="20"/>
                <w:szCs w:val="20"/>
              </w:rPr>
            </w:pPr>
            <w:r w:rsidRPr="008B6A75">
              <w:rPr>
                <w:sz w:val="20"/>
                <w:szCs w:val="20"/>
              </w:rPr>
              <w:t>02</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0F3B318" w14:textId="77777777" w:rsidR="00387142" w:rsidRPr="008B6A75" w:rsidRDefault="00387142" w:rsidP="00387142">
            <w:pPr>
              <w:jc w:val="right"/>
              <w:rPr>
                <w:sz w:val="20"/>
                <w:szCs w:val="20"/>
              </w:rPr>
            </w:pPr>
            <w:r w:rsidRPr="008B6A75">
              <w:rPr>
                <w:sz w:val="20"/>
                <w:szCs w:val="20"/>
              </w:rPr>
              <w:t>3 367 362,32</w:t>
            </w:r>
          </w:p>
        </w:tc>
        <w:tc>
          <w:tcPr>
            <w:tcW w:w="851" w:type="dxa"/>
            <w:tcBorders>
              <w:top w:val="nil"/>
              <w:left w:val="single" w:sz="4" w:space="0" w:color="auto"/>
              <w:bottom w:val="single" w:sz="4" w:space="0" w:color="auto"/>
              <w:right w:val="nil"/>
            </w:tcBorders>
            <w:shd w:val="clear" w:color="auto" w:fill="auto"/>
            <w:noWrap/>
            <w:vAlign w:val="center"/>
            <w:hideMark/>
          </w:tcPr>
          <w:p w14:paraId="502A83D3" w14:textId="77777777" w:rsidR="00387142" w:rsidRPr="008B6A75" w:rsidRDefault="00387142" w:rsidP="00387142">
            <w:pPr>
              <w:jc w:val="right"/>
              <w:rPr>
                <w:sz w:val="20"/>
                <w:szCs w:val="20"/>
              </w:rPr>
            </w:pPr>
            <w:r w:rsidRPr="008B6A75">
              <w:rPr>
                <w:sz w:val="20"/>
                <w:szCs w:val="20"/>
              </w:rPr>
              <w:t>3 425 600,00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0A1002E8" w14:textId="77777777" w:rsidR="00387142" w:rsidRPr="008B6A75" w:rsidRDefault="00387142" w:rsidP="00387142">
            <w:pPr>
              <w:jc w:val="right"/>
              <w:rPr>
                <w:sz w:val="20"/>
                <w:szCs w:val="20"/>
              </w:rPr>
            </w:pPr>
            <w:r w:rsidRPr="008B6A75">
              <w:rPr>
                <w:sz w:val="20"/>
                <w:szCs w:val="20"/>
              </w:rPr>
              <w:t>3 425 600,00</w:t>
            </w:r>
          </w:p>
        </w:tc>
      </w:tr>
      <w:tr w:rsidR="00387142" w:rsidRPr="008B6A75" w14:paraId="439D8A71" w14:textId="77777777" w:rsidTr="00387142">
        <w:trPr>
          <w:trHeight w:val="870"/>
        </w:trPr>
        <w:tc>
          <w:tcPr>
            <w:tcW w:w="272" w:type="dxa"/>
            <w:tcBorders>
              <w:top w:val="nil"/>
              <w:left w:val="nil"/>
              <w:bottom w:val="nil"/>
              <w:right w:val="single" w:sz="4" w:space="0" w:color="auto"/>
            </w:tcBorders>
            <w:shd w:val="clear" w:color="auto" w:fill="auto"/>
            <w:noWrap/>
            <w:vAlign w:val="bottom"/>
            <w:hideMark/>
          </w:tcPr>
          <w:p w14:paraId="3EAD3F2C"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175D5700" w14:textId="77777777" w:rsidR="00387142" w:rsidRPr="008B6A75" w:rsidRDefault="00387142" w:rsidP="00387142">
            <w:pPr>
              <w:rPr>
                <w:sz w:val="20"/>
                <w:szCs w:val="20"/>
              </w:rPr>
            </w:pPr>
            <w:r w:rsidRPr="008B6A75">
              <w:rPr>
                <w:sz w:val="20"/>
                <w:szCs w:val="20"/>
              </w:rPr>
              <w:t>Предоставление субсидий бюджетным, автономным учреждениям и иным некоммерческим организациям</w:t>
            </w:r>
          </w:p>
        </w:tc>
        <w:tc>
          <w:tcPr>
            <w:tcW w:w="1559" w:type="dxa"/>
            <w:tcBorders>
              <w:top w:val="nil"/>
              <w:left w:val="single" w:sz="4" w:space="0" w:color="auto"/>
              <w:bottom w:val="single" w:sz="4" w:space="0" w:color="auto"/>
              <w:right w:val="nil"/>
            </w:tcBorders>
            <w:shd w:val="clear" w:color="auto" w:fill="auto"/>
            <w:noWrap/>
            <w:vAlign w:val="center"/>
            <w:hideMark/>
          </w:tcPr>
          <w:p w14:paraId="72DF5092" w14:textId="77777777" w:rsidR="00387142" w:rsidRPr="008B6A75" w:rsidRDefault="00387142" w:rsidP="00387142">
            <w:pPr>
              <w:jc w:val="center"/>
              <w:rPr>
                <w:sz w:val="20"/>
                <w:szCs w:val="20"/>
              </w:rPr>
            </w:pPr>
            <w:r w:rsidRPr="008B6A75">
              <w:rPr>
                <w:sz w:val="20"/>
                <w:szCs w:val="20"/>
              </w:rPr>
              <w:t>07.1.00.70120</w:t>
            </w:r>
          </w:p>
        </w:tc>
        <w:tc>
          <w:tcPr>
            <w:tcW w:w="850" w:type="dxa"/>
            <w:tcBorders>
              <w:top w:val="nil"/>
              <w:left w:val="single" w:sz="4" w:space="0" w:color="auto"/>
              <w:bottom w:val="single" w:sz="4" w:space="0" w:color="auto"/>
              <w:right w:val="nil"/>
            </w:tcBorders>
            <w:shd w:val="clear" w:color="auto" w:fill="auto"/>
            <w:noWrap/>
            <w:vAlign w:val="center"/>
            <w:hideMark/>
          </w:tcPr>
          <w:p w14:paraId="7C22EC5E" w14:textId="77777777" w:rsidR="00387142" w:rsidRPr="008B6A75" w:rsidRDefault="00387142" w:rsidP="00387142">
            <w:pPr>
              <w:jc w:val="center"/>
              <w:rPr>
                <w:sz w:val="20"/>
                <w:szCs w:val="20"/>
              </w:rPr>
            </w:pPr>
            <w:r w:rsidRPr="008B6A75">
              <w:rPr>
                <w:sz w:val="20"/>
                <w:szCs w:val="20"/>
              </w:rPr>
              <w:t>600</w:t>
            </w:r>
          </w:p>
        </w:tc>
        <w:tc>
          <w:tcPr>
            <w:tcW w:w="567" w:type="dxa"/>
            <w:tcBorders>
              <w:top w:val="nil"/>
              <w:left w:val="single" w:sz="4" w:space="0" w:color="auto"/>
              <w:bottom w:val="single" w:sz="4" w:space="0" w:color="auto"/>
              <w:right w:val="nil"/>
            </w:tcBorders>
            <w:shd w:val="clear" w:color="auto" w:fill="auto"/>
            <w:noWrap/>
            <w:vAlign w:val="center"/>
            <w:hideMark/>
          </w:tcPr>
          <w:p w14:paraId="62D2D1C0" w14:textId="77777777" w:rsidR="00387142" w:rsidRPr="008B6A75" w:rsidRDefault="00387142" w:rsidP="00387142">
            <w:pPr>
              <w:jc w:val="center"/>
              <w:rPr>
                <w:sz w:val="20"/>
                <w:szCs w:val="20"/>
              </w:rPr>
            </w:pPr>
            <w:r w:rsidRPr="008B6A75">
              <w:rPr>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4CC5997A" w14:textId="77777777" w:rsidR="00387142" w:rsidRPr="008B6A75" w:rsidRDefault="00387142" w:rsidP="00387142">
            <w:pPr>
              <w:jc w:val="center"/>
              <w:rPr>
                <w:sz w:val="20"/>
                <w:szCs w:val="20"/>
              </w:rPr>
            </w:pPr>
            <w:r w:rsidRPr="008B6A75">
              <w:rPr>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39DB848" w14:textId="77777777" w:rsidR="00387142" w:rsidRPr="008B6A75" w:rsidRDefault="00387142" w:rsidP="00387142">
            <w:pPr>
              <w:jc w:val="right"/>
              <w:rPr>
                <w:sz w:val="20"/>
                <w:szCs w:val="20"/>
              </w:rPr>
            </w:pPr>
            <w:r w:rsidRPr="008B6A75">
              <w:rPr>
                <w:sz w:val="20"/>
                <w:szCs w:val="20"/>
              </w:rPr>
              <w:t>222 392 200,08</w:t>
            </w:r>
          </w:p>
        </w:tc>
        <w:tc>
          <w:tcPr>
            <w:tcW w:w="851" w:type="dxa"/>
            <w:tcBorders>
              <w:top w:val="nil"/>
              <w:left w:val="single" w:sz="4" w:space="0" w:color="auto"/>
              <w:bottom w:val="single" w:sz="4" w:space="0" w:color="auto"/>
              <w:right w:val="nil"/>
            </w:tcBorders>
            <w:shd w:val="clear" w:color="auto" w:fill="auto"/>
            <w:noWrap/>
            <w:vAlign w:val="center"/>
            <w:hideMark/>
          </w:tcPr>
          <w:p w14:paraId="64B38FA0" w14:textId="77777777" w:rsidR="00387142" w:rsidRPr="008B6A75" w:rsidRDefault="00387142" w:rsidP="00387142">
            <w:pPr>
              <w:jc w:val="right"/>
              <w:rPr>
                <w:sz w:val="20"/>
                <w:szCs w:val="20"/>
              </w:rPr>
            </w:pPr>
            <w:r w:rsidRPr="008B6A75">
              <w:rPr>
                <w:sz w:val="20"/>
                <w:szCs w:val="20"/>
              </w:rPr>
              <w:t>208 451 578,97</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5799D56D" w14:textId="77777777" w:rsidR="00387142" w:rsidRPr="008B6A75" w:rsidRDefault="00387142" w:rsidP="00387142">
            <w:pPr>
              <w:jc w:val="right"/>
              <w:rPr>
                <w:sz w:val="20"/>
                <w:szCs w:val="20"/>
              </w:rPr>
            </w:pPr>
            <w:r w:rsidRPr="008B6A75">
              <w:rPr>
                <w:sz w:val="20"/>
                <w:szCs w:val="20"/>
              </w:rPr>
              <w:t>208 451 579,97</w:t>
            </w:r>
          </w:p>
        </w:tc>
      </w:tr>
      <w:tr w:rsidR="00387142" w:rsidRPr="008B6A75" w14:paraId="4813B705" w14:textId="77777777" w:rsidTr="00387142">
        <w:trPr>
          <w:trHeight w:val="300"/>
        </w:trPr>
        <w:tc>
          <w:tcPr>
            <w:tcW w:w="272" w:type="dxa"/>
            <w:tcBorders>
              <w:top w:val="nil"/>
              <w:left w:val="nil"/>
              <w:bottom w:val="nil"/>
              <w:right w:val="single" w:sz="4" w:space="0" w:color="auto"/>
            </w:tcBorders>
            <w:shd w:val="clear" w:color="auto" w:fill="auto"/>
            <w:noWrap/>
            <w:vAlign w:val="bottom"/>
            <w:hideMark/>
          </w:tcPr>
          <w:p w14:paraId="0DD4F4B5"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3DBC8D8F" w14:textId="77777777" w:rsidR="00387142" w:rsidRPr="008B6A75" w:rsidRDefault="00387142" w:rsidP="00387142">
            <w:pPr>
              <w:rPr>
                <w:sz w:val="20"/>
                <w:szCs w:val="20"/>
              </w:rPr>
            </w:pPr>
            <w:r w:rsidRPr="008B6A75">
              <w:rPr>
                <w:sz w:val="20"/>
                <w:szCs w:val="20"/>
              </w:rPr>
              <w:t>Субсидии бюджетным учреждениям</w:t>
            </w:r>
          </w:p>
        </w:tc>
        <w:tc>
          <w:tcPr>
            <w:tcW w:w="1559" w:type="dxa"/>
            <w:tcBorders>
              <w:top w:val="nil"/>
              <w:left w:val="single" w:sz="4" w:space="0" w:color="auto"/>
              <w:bottom w:val="single" w:sz="4" w:space="0" w:color="auto"/>
              <w:right w:val="nil"/>
            </w:tcBorders>
            <w:shd w:val="clear" w:color="auto" w:fill="auto"/>
            <w:noWrap/>
            <w:vAlign w:val="center"/>
            <w:hideMark/>
          </w:tcPr>
          <w:p w14:paraId="058F7D92" w14:textId="77777777" w:rsidR="00387142" w:rsidRPr="008B6A75" w:rsidRDefault="00387142" w:rsidP="00387142">
            <w:pPr>
              <w:jc w:val="center"/>
              <w:rPr>
                <w:sz w:val="20"/>
                <w:szCs w:val="20"/>
              </w:rPr>
            </w:pPr>
            <w:r w:rsidRPr="008B6A75">
              <w:rPr>
                <w:sz w:val="20"/>
                <w:szCs w:val="20"/>
              </w:rPr>
              <w:t>07.1.00.70120</w:t>
            </w:r>
          </w:p>
        </w:tc>
        <w:tc>
          <w:tcPr>
            <w:tcW w:w="850" w:type="dxa"/>
            <w:tcBorders>
              <w:top w:val="nil"/>
              <w:left w:val="single" w:sz="4" w:space="0" w:color="auto"/>
              <w:bottom w:val="single" w:sz="4" w:space="0" w:color="auto"/>
              <w:right w:val="nil"/>
            </w:tcBorders>
            <w:shd w:val="clear" w:color="auto" w:fill="auto"/>
            <w:noWrap/>
            <w:vAlign w:val="center"/>
            <w:hideMark/>
          </w:tcPr>
          <w:p w14:paraId="6CD0FC9D" w14:textId="77777777" w:rsidR="00387142" w:rsidRPr="008B6A75" w:rsidRDefault="00387142" w:rsidP="00387142">
            <w:pPr>
              <w:jc w:val="center"/>
              <w:rPr>
                <w:sz w:val="20"/>
                <w:szCs w:val="20"/>
              </w:rPr>
            </w:pPr>
            <w:r w:rsidRPr="008B6A75">
              <w:rPr>
                <w:sz w:val="20"/>
                <w:szCs w:val="20"/>
              </w:rPr>
              <w:t>610</w:t>
            </w:r>
          </w:p>
        </w:tc>
        <w:tc>
          <w:tcPr>
            <w:tcW w:w="567" w:type="dxa"/>
            <w:tcBorders>
              <w:top w:val="nil"/>
              <w:left w:val="single" w:sz="4" w:space="0" w:color="auto"/>
              <w:bottom w:val="single" w:sz="4" w:space="0" w:color="auto"/>
              <w:right w:val="nil"/>
            </w:tcBorders>
            <w:shd w:val="clear" w:color="auto" w:fill="auto"/>
            <w:noWrap/>
            <w:vAlign w:val="center"/>
            <w:hideMark/>
          </w:tcPr>
          <w:p w14:paraId="2878042E" w14:textId="77777777" w:rsidR="00387142" w:rsidRPr="008B6A75" w:rsidRDefault="00387142" w:rsidP="00387142">
            <w:pPr>
              <w:jc w:val="center"/>
              <w:rPr>
                <w:sz w:val="20"/>
                <w:szCs w:val="20"/>
              </w:rPr>
            </w:pPr>
            <w:r w:rsidRPr="008B6A75">
              <w:rPr>
                <w:sz w:val="20"/>
                <w:szCs w:val="20"/>
              </w:rPr>
              <w:t>07</w:t>
            </w:r>
          </w:p>
        </w:tc>
        <w:tc>
          <w:tcPr>
            <w:tcW w:w="567" w:type="dxa"/>
            <w:tcBorders>
              <w:top w:val="nil"/>
              <w:left w:val="single" w:sz="4" w:space="0" w:color="auto"/>
              <w:bottom w:val="single" w:sz="4" w:space="0" w:color="auto"/>
              <w:right w:val="nil"/>
            </w:tcBorders>
            <w:shd w:val="clear" w:color="auto" w:fill="auto"/>
            <w:noWrap/>
            <w:vAlign w:val="center"/>
            <w:hideMark/>
          </w:tcPr>
          <w:p w14:paraId="1F4516FB" w14:textId="77777777" w:rsidR="00387142" w:rsidRPr="008B6A75" w:rsidRDefault="00387142" w:rsidP="00387142">
            <w:pPr>
              <w:jc w:val="center"/>
              <w:rPr>
                <w:sz w:val="20"/>
                <w:szCs w:val="20"/>
              </w:rPr>
            </w:pPr>
            <w:r w:rsidRPr="008B6A75">
              <w:rPr>
                <w:sz w:val="20"/>
                <w:szCs w:val="20"/>
              </w:rPr>
              <w:t>02</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88F4C7D" w14:textId="77777777" w:rsidR="00387142" w:rsidRPr="008B6A75" w:rsidRDefault="00387142" w:rsidP="00387142">
            <w:pPr>
              <w:jc w:val="right"/>
              <w:rPr>
                <w:sz w:val="20"/>
                <w:szCs w:val="20"/>
              </w:rPr>
            </w:pPr>
            <w:r w:rsidRPr="008B6A75">
              <w:rPr>
                <w:sz w:val="20"/>
                <w:szCs w:val="20"/>
              </w:rPr>
              <w:t>222 392 200,08</w:t>
            </w:r>
          </w:p>
        </w:tc>
        <w:tc>
          <w:tcPr>
            <w:tcW w:w="851" w:type="dxa"/>
            <w:tcBorders>
              <w:top w:val="nil"/>
              <w:left w:val="single" w:sz="4" w:space="0" w:color="auto"/>
              <w:bottom w:val="single" w:sz="4" w:space="0" w:color="auto"/>
              <w:right w:val="nil"/>
            </w:tcBorders>
            <w:shd w:val="clear" w:color="auto" w:fill="auto"/>
            <w:noWrap/>
            <w:vAlign w:val="center"/>
            <w:hideMark/>
          </w:tcPr>
          <w:p w14:paraId="6C761ED0" w14:textId="77777777" w:rsidR="00387142" w:rsidRPr="008B6A75" w:rsidRDefault="00387142" w:rsidP="00387142">
            <w:pPr>
              <w:jc w:val="right"/>
              <w:rPr>
                <w:sz w:val="20"/>
                <w:szCs w:val="20"/>
              </w:rPr>
            </w:pPr>
            <w:r w:rsidRPr="008B6A75">
              <w:rPr>
                <w:sz w:val="20"/>
                <w:szCs w:val="20"/>
              </w:rPr>
              <w:t>208 451 578,97</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0A8915BD" w14:textId="77777777" w:rsidR="00387142" w:rsidRPr="008B6A75" w:rsidRDefault="00387142" w:rsidP="00387142">
            <w:pPr>
              <w:jc w:val="right"/>
              <w:rPr>
                <w:sz w:val="20"/>
                <w:szCs w:val="20"/>
              </w:rPr>
            </w:pPr>
            <w:r w:rsidRPr="008B6A75">
              <w:rPr>
                <w:sz w:val="20"/>
                <w:szCs w:val="20"/>
              </w:rPr>
              <w:t>208 451 579,97</w:t>
            </w:r>
          </w:p>
        </w:tc>
      </w:tr>
      <w:tr w:rsidR="00387142" w:rsidRPr="008B6A75" w14:paraId="4FF316B2" w14:textId="77777777" w:rsidTr="00387142">
        <w:trPr>
          <w:trHeight w:val="2580"/>
        </w:trPr>
        <w:tc>
          <w:tcPr>
            <w:tcW w:w="272" w:type="dxa"/>
            <w:tcBorders>
              <w:top w:val="nil"/>
              <w:left w:val="nil"/>
              <w:bottom w:val="nil"/>
              <w:right w:val="single" w:sz="4" w:space="0" w:color="auto"/>
            </w:tcBorders>
            <w:shd w:val="clear" w:color="auto" w:fill="auto"/>
            <w:noWrap/>
            <w:vAlign w:val="bottom"/>
            <w:hideMark/>
          </w:tcPr>
          <w:p w14:paraId="37611FF8"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24144F2D" w14:textId="77777777" w:rsidR="00387142" w:rsidRPr="008B6A75" w:rsidRDefault="00387142" w:rsidP="00387142">
            <w:pPr>
              <w:rPr>
                <w:bCs/>
                <w:sz w:val="20"/>
                <w:szCs w:val="20"/>
              </w:rPr>
            </w:pPr>
            <w:r w:rsidRPr="008B6A75">
              <w:rPr>
                <w:bCs/>
                <w:sz w:val="20"/>
                <w:szCs w:val="20"/>
              </w:rPr>
              <w:t>Организация получения образования обучающимися с ограниченными возможностями здоровья в отдельных общеобразовательных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w:t>
            </w:r>
          </w:p>
        </w:tc>
        <w:tc>
          <w:tcPr>
            <w:tcW w:w="1559" w:type="dxa"/>
            <w:tcBorders>
              <w:top w:val="nil"/>
              <w:left w:val="single" w:sz="4" w:space="0" w:color="auto"/>
              <w:bottom w:val="single" w:sz="4" w:space="0" w:color="auto"/>
              <w:right w:val="nil"/>
            </w:tcBorders>
            <w:shd w:val="clear" w:color="auto" w:fill="auto"/>
            <w:noWrap/>
            <w:vAlign w:val="center"/>
            <w:hideMark/>
          </w:tcPr>
          <w:p w14:paraId="3A2E4245" w14:textId="77777777" w:rsidR="00387142" w:rsidRPr="008B6A75" w:rsidRDefault="00387142" w:rsidP="00387142">
            <w:pPr>
              <w:jc w:val="center"/>
              <w:rPr>
                <w:bCs/>
                <w:sz w:val="20"/>
                <w:szCs w:val="20"/>
              </w:rPr>
            </w:pPr>
            <w:r w:rsidRPr="008B6A75">
              <w:rPr>
                <w:bCs/>
                <w:sz w:val="20"/>
                <w:szCs w:val="20"/>
              </w:rPr>
              <w:t>07.1.00.70140</w:t>
            </w:r>
          </w:p>
        </w:tc>
        <w:tc>
          <w:tcPr>
            <w:tcW w:w="850" w:type="dxa"/>
            <w:tcBorders>
              <w:top w:val="nil"/>
              <w:left w:val="single" w:sz="4" w:space="0" w:color="auto"/>
              <w:bottom w:val="single" w:sz="4" w:space="0" w:color="auto"/>
              <w:right w:val="nil"/>
            </w:tcBorders>
            <w:shd w:val="clear" w:color="auto" w:fill="auto"/>
            <w:noWrap/>
            <w:vAlign w:val="center"/>
            <w:hideMark/>
          </w:tcPr>
          <w:p w14:paraId="1BB13180" w14:textId="77777777" w:rsidR="00387142" w:rsidRPr="008B6A75" w:rsidRDefault="00387142" w:rsidP="00387142">
            <w:pPr>
              <w:jc w:val="center"/>
              <w:rPr>
                <w:bCs/>
                <w:sz w:val="20"/>
                <w:szCs w:val="20"/>
              </w:rPr>
            </w:pPr>
            <w:r w:rsidRPr="008B6A75">
              <w:rPr>
                <w:bCs/>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77C4CC92" w14:textId="77777777" w:rsidR="00387142" w:rsidRPr="008B6A75" w:rsidRDefault="00387142" w:rsidP="00387142">
            <w:pPr>
              <w:jc w:val="center"/>
              <w:rPr>
                <w:bCs/>
                <w:sz w:val="20"/>
                <w:szCs w:val="20"/>
              </w:rPr>
            </w:pPr>
            <w:r w:rsidRPr="008B6A75">
              <w:rPr>
                <w:bCs/>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53E8EB68" w14:textId="77777777" w:rsidR="00387142" w:rsidRPr="008B6A75" w:rsidRDefault="00387142" w:rsidP="00387142">
            <w:pPr>
              <w:jc w:val="center"/>
              <w:rPr>
                <w:bCs/>
                <w:sz w:val="20"/>
                <w:szCs w:val="20"/>
              </w:rPr>
            </w:pPr>
            <w:r w:rsidRPr="008B6A75">
              <w:rPr>
                <w:bCs/>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99BE40D" w14:textId="77777777" w:rsidR="00387142" w:rsidRPr="008B6A75" w:rsidRDefault="00387142" w:rsidP="00387142">
            <w:pPr>
              <w:jc w:val="right"/>
              <w:rPr>
                <w:bCs/>
                <w:sz w:val="20"/>
                <w:szCs w:val="20"/>
              </w:rPr>
            </w:pPr>
            <w:r w:rsidRPr="008B6A75">
              <w:rPr>
                <w:bCs/>
                <w:sz w:val="20"/>
                <w:szCs w:val="20"/>
              </w:rPr>
              <w:t>62 636 900,00</w:t>
            </w:r>
          </w:p>
        </w:tc>
        <w:tc>
          <w:tcPr>
            <w:tcW w:w="851" w:type="dxa"/>
            <w:tcBorders>
              <w:top w:val="nil"/>
              <w:left w:val="single" w:sz="4" w:space="0" w:color="auto"/>
              <w:bottom w:val="single" w:sz="4" w:space="0" w:color="auto"/>
              <w:right w:val="nil"/>
            </w:tcBorders>
            <w:shd w:val="clear" w:color="auto" w:fill="auto"/>
            <w:noWrap/>
            <w:vAlign w:val="center"/>
            <w:hideMark/>
          </w:tcPr>
          <w:p w14:paraId="5C889672" w14:textId="77777777" w:rsidR="00387142" w:rsidRPr="008B6A75" w:rsidRDefault="00387142" w:rsidP="00387142">
            <w:pPr>
              <w:jc w:val="right"/>
              <w:rPr>
                <w:bCs/>
                <w:sz w:val="20"/>
                <w:szCs w:val="20"/>
              </w:rPr>
            </w:pPr>
            <w:r w:rsidRPr="008B6A75">
              <w:rPr>
                <w:bCs/>
                <w:sz w:val="20"/>
                <w:szCs w:val="20"/>
              </w:rPr>
              <w:t>63 337 500,00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7F007771" w14:textId="77777777" w:rsidR="00387142" w:rsidRPr="008B6A75" w:rsidRDefault="00387142" w:rsidP="00387142">
            <w:pPr>
              <w:jc w:val="right"/>
              <w:rPr>
                <w:bCs/>
                <w:sz w:val="20"/>
                <w:szCs w:val="20"/>
              </w:rPr>
            </w:pPr>
            <w:r w:rsidRPr="008B6A75">
              <w:rPr>
                <w:bCs/>
                <w:sz w:val="20"/>
                <w:szCs w:val="20"/>
              </w:rPr>
              <w:t>64 871 000,00</w:t>
            </w:r>
          </w:p>
        </w:tc>
      </w:tr>
      <w:tr w:rsidR="00387142" w:rsidRPr="008B6A75" w14:paraId="4A279BC3" w14:textId="77777777" w:rsidTr="00387142">
        <w:trPr>
          <w:trHeight w:val="1440"/>
        </w:trPr>
        <w:tc>
          <w:tcPr>
            <w:tcW w:w="272" w:type="dxa"/>
            <w:tcBorders>
              <w:top w:val="nil"/>
              <w:left w:val="nil"/>
              <w:bottom w:val="nil"/>
              <w:right w:val="single" w:sz="4" w:space="0" w:color="auto"/>
            </w:tcBorders>
            <w:shd w:val="clear" w:color="auto" w:fill="auto"/>
            <w:noWrap/>
            <w:vAlign w:val="bottom"/>
            <w:hideMark/>
          </w:tcPr>
          <w:p w14:paraId="3BBA9331" w14:textId="77777777" w:rsidR="00387142" w:rsidRPr="008B6A75" w:rsidRDefault="00387142" w:rsidP="00387142">
            <w:pPr>
              <w:rPr>
                <w:sz w:val="20"/>
                <w:szCs w:val="20"/>
              </w:rPr>
            </w:pPr>
            <w:r w:rsidRPr="008B6A75">
              <w:rPr>
                <w:sz w:val="20"/>
                <w:szCs w:val="20"/>
              </w:rPr>
              <w:lastRenderedPageBreak/>
              <w:t> </w:t>
            </w:r>
          </w:p>
        </w:tc>
        <w:tc>
          <w:tcPr>
            <w:tcW w:w="3415" w:type="dxa"/>
            <w:tcBorders>
              <w:top w:val="nil"/>
              <w:left w:val="single" w:sz="4" w:space="0" w:color="auto"/>
              <w:bottom w:val="single" w:sz="4" w:space="0" w:color="auto"/>
              <w:right w:val="nil"/>
            </w:tcBorders>
            <w:shd w:val="clear" w:color="auto" w:fill="auto"/>
            <w:vAlign w:val="center"/>
            <w:hideMark/>
          </w:tcPr>
          <w:p w14:paraId="7FAD812F" w14:textId="77777777" w:rsidR="00387142" w:rsidRPr="008B6A75" w:rsidRDefault="00387142" w:rsidP="00387142">
            <w:pPr>
              <w:rPr>
                <w:sz w:val="20"/>
                <w:szCs w:val="20"/>
              </w:rPr>
            </w:pPr>
            <w:r w:rsidRPr="008B6A7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single" w:sz="4" w:space="0" w:color="auto"/>
              <w:bottom w:val="single" w:sz="4" w:space="0" w:color="auto"/>
              <w:right w:val="nil"/>
            </w:tcBorders>
            <w:shd w:val="clear" w:color="auto" w:fill="auto"/>
            <w:noWrap/>
            <w:vAlign w:val="center"/>
            <w:hideMark/>
          </w:tcPr>
          <w:p w14:paraId="3E41E5BB" w14:textId="77777777" w:rsidR="00387142" w:rsidRPr="008B6A75" w:rsidRDefault="00387142" w:rsidP="00387142">
            <w:pPr>
              <w:jc w:val="center"/>
              <w:rPr>
                <w:sz w:val="20"/>
                <w:szCs w:val="20"/>
              </w:rPr>
            </w:pPr>
            <w:r w:rsidRPr="008B6A75">
              <w:rPr>
                <w:sz w:val="20"/>
                <w:szCs w:val="20"/>
              </w:rPr>
              <w:t>07.1.00.70140</w:t>
            </w:r>
          </w:p>
        </w:tc>
        <w:tc>
          <w:tcPr>
            <w:tcW w:w="850" w:type="dxa"/>
            <w:tcBorders>
              <w:top w:val="nil"/>
              <w:left w:val="single" w:sz="4" w:space="0" w:color="auto"/>
              <w:bottom w:val="single" w:sz="4" w:space="0" w:color="auto"/>
              <w:right w:val="nil"/>
            </w:tcBorders>
            <w:shd w:val="clear" w:color="auto" w:fill="auto"/>
            <w:noWrap/>
            <w:vAlign w:val="center"/>
            <w:hideMark/>
          </w:tcPr>
          <w:p w14:paraId="011701F1" w14:textId="77777777" w:rsidR="00387142" w:rsidRPr="008B6A75" w:rsidRDefault="00387142" w:rsidP="00387142">
            <w:pPr>
              <w:jc w:val="center"/>
              <w:rPr>
                <w:sz w:val="20"/>
                <w:szCs w:val="20"/>
              </w:rPr>
            </w:pPr>
            <w:r w:rsidRPr="008B6A75">
              <w:rPr>
                <w:sz w:val="20"/>
                <w:szCs w:val="20"/>
              </w:rPr>
              <w:t>100</w:t>
            </w:r>
          </w:p>
        </w:tc>
        <w:tc>
          <w:tcPr>
            <w:tcW w:w="567" w:type="dxa"/>
            <w:tcBorders>
              <w:top w:val="nil"/>
              <w:left w:val="single" w:sz="4" w:space="0" w:color="auto"/>
              <w:bottom w:val="single" w:sz="4" w:space="0" w:color="auto"/>
              <w:right w:val="nil"/>
            </w:tcBorders>
            <w:shd w:val="clear" w:color="auto" w:fill="auto"/>
            <w:noWrap/>
            <w:vAlign w:val="center"/>
            <w:hideMark/>
          </w:tcPr>
          <w:p w14:paraId="6AB22735" w14:textId="77777777" w:rsidR="00387142" w:rsidRPr="008B6A75" w:rsidRDefault="00387142" w:rsidP="00387142">
            <w:pPr>
              <w:jc w:val="center"/>
              <w:rPr>
                <w:sz w:val="20"/>
                <w:szCs w:val="20"/>
              </w:rPr>
            </w:pPr>
            <w:r w:rsidRPr="008B6A75">
              <w:rPr>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4F96FFFC" w14:textId="77777777" w:rsidR="00387142" w:rsidRPr="008B6A75" w:rsidRDefault="00387142" w:rsidP="00387142">
            <w:pPr>
              <w:jc w:val="center"/>
              <w:rPr>
                <w:sz w:val="20"/>
                <w:szCs w:val="20"/>
              </w:rPr>
            </w:pPr>
            <w:r w:rsidRPr="008B6A75">
              <w:rPr>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EE742C8" w14:textId="77777777" w:rsidR="00387142" w:rsidRPr="008B6A75" w:rsidRDefault="00387142" w:rsidP="00387142">
            <w:pPr>
              <w:jc w:val="right"/>
              <w:rPr>
                <w:sz w:val="20"/>
                <w:szCs w:val="20"/>
              </w:rPr>
            </w:pPr>
            <w:r w:rsidRPr="008B6A75">
              <w:rPr>
                <w:sz w:val="20"/>
                <w:szCs w:val="20"/>
              </w:rPr>
              <w:t>48 592 682,32</w:t>
            </w:r>
          </w:p>
        </w:tc>
        <w:tc>
          <w:tcPr>
            <w:tcW w:w="851" w:type="dxa"/>
            <w:tcBorders>
              <w:top w:val="nil"/>
              <w:left w:val="single" w:sz="4" w:space="0" w:color="auto"/>
              <w:bottom w:val="single" w:sz="4" w:space="0" w:color="auto"/>
              <w:right w:val="nil"/>
            </w:tcBorders>
            <w:shd w:val="clear" w:color="auto" w:fill="auto"/>
            <w:noWrap/>
            <w:vAlign w:val="center"/>
            <w:hideMark/>
          </w:tcPr>
          <w:p w14:paraId="38F9E380" w14:textId="77777777" w:rsidR="00387142" w:rsidRPr="008B6A75" w:rsidRDefault="00387142" w:rsidP="00387142">
            <w:pPr>
              <w:jc w:val="right"/>
              <w:rPr>
                <w:sz w:val="20"/>
                <w:szCs w:val="20"/>
              </w:rPr>
            </w:pPr>
            <w:r w:rsidRPr="008B6A75">
              <w:rPr>
                <w:sz w:val="20"/>
                <w:szCs w:val="20"/>
              </w:rPr>
              <w:t>51 797 500,00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65996E41" w14:textId="77777777" w:rsidR="00387142" w:rsidRPr="008B6A75" w:rsidRDefault="00387142" w:rsidP="00387142">
            <w:pPr>
              <w:jc w:val="right"/>
              <w:rPr>
                <w:sz w:val="20"/>
                <w:szCs w:val="20"/>
              </w:rPr>
            </w:pPr>
            <w:r w:rsidRPr="008B6A75">
              <w:rPr>
                <w:sz w:val="20"/>
                <w:szCs w:val="20"/>
              </w:rPr>
              <w:t>52 771 000,00</w:t>
            </w:r>
          </w:p>
        </w:tc>
      </w:tr>
      <w:tr w:rsidR="00387142" w:rsidRPr="008B6A75" w14:paraId="7A569353" w14:textId="77777777" w:rsidTr="00387142">
        <w:trPr>
          <w:trHeight w:val="585"/>
        </w:trPr>
        <w:tc>
          <w:tcPr>
            <w:tcW w:w="272" w:type="dxa"/>
            <w:tcBorders>
              <w:top w:val="nil"/>
              <w:left w:val="nil"/>
              <w:bottom w:val="nil"/>
              <w:right w:val="single" w:sz="4" w:space="0" w:color="auto"/>
            </w:tcBorders>
            <w:shd w:val="clear" w:color="auto" w:fill="auto"/>
            <w:noWrap/>
            <w:vAlign w:val="bottom"/>
            <w:hideMark/>
          </w:tcPr>
          <w:p w14:paraId="6C8F741C"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56664211" w14:textId="77777777" w:rsidR="00387142" w:rsidRPr="008B6A75" w:rsidRDefault="00387142" w:rsidP="00387142">
            <w:pPr>
              <w:rPr>
                <w:sz w:val="20"/>
                <w:szCs w:val="20"/>
              </w:rPr>
            </w:pPr>
            <w:r w:rsidRPr="008B6A75">
              <w:rPr>
                <w:sz w:val="20"/>
                <w:szCs w:val="20"/>
              </w:rPr>
              <w:t>Расходы на выплаты персоналу казенных учреждений</w:t>
            </w:r>
          </w:p>
        </w:tc>
        <w:tc>
          <w:tcPr>
            <w:tcW w:w="1559" w:type="dxa"/>
            <w:tcBorders>
              <w:top w:val="nil"/>
              <w:left w:val="single" w:sz="4" w:space="0" w:color="auto"/>
              <w:bottom w:val="single" w:sz="4" w:space="0" w:color="auto"/>
              <w:right w:val="nil"/>
            </w:tcBorders>
            <w:shd w:val="clear" w:color="auto" w:fill="auto"/>
            <w:noWrap/>
            <w:vAlign w:val="center"/>
            <w:hideMark/>
          </w:tcPr>
          <w:p w14:paraId="2C017598" w14:textId="77777777" w:rsidR="00387142" w:rsidRPr="008B6A75" w:rsidRDefault="00387142" w:rsidP="00387142">
            <w:pPr>
              <w:jc w:val="center"/>
              <w:rPr>
                <w:sz w:val="20"/>
                <w:szCs w:val="20"/>
              </w:rPr>
            </w:pPr>
            <w:r w:rsidRPr="008B6A75">
              <w:rPr>
                <w:sz w:val="20"/>
                <w:szCs w:val="20"/>
              </w:rPr>
              <w:t>07.1.00.70140</w:t>
            </w:r>
          </w:p>
        </w:tc>
        <w:tc>
          <w:tcPr>
            <w:tcW w:w="850" w:type="dxa"/>
            <w:tcBorders>
              <w:top w:val="nil"/>
              <w:left w:val="single" w:sz="4" w:space="0" w:color="auto"/>
              <w:bottom w:val="single" w:sz="4" w:space="0" w:color="auto"/>
              <w:right w:val="nil"/>
            </w:tcBorders>
            <w:shd w:val="clear" w:color="auto" w:fill="auto"/>
            <w:noWrap/>
            <w:vAlign w:val="center"/>
            <w:hideMark/>
          </w:tcPr>
          <w:p w14:paraId="4F0925E1" w14:textId="77777777" w:rsidR="00387142" w:rsidRPr="008B6A75" w:rsidRDefault="00387142" w:rsidP="00387142">
            <w:pPr>
              <w:jc w:val="center"/>
              <w:rPr>
                <w:sz w:val="20"/>
                <w:szCs w:val="20"/>
              </w:rPr>
            </w:pPr>
            <w:r w:rsidRPr="008B6A75">
              <w:rPr>
                <w:sz w:val="20"/>
                <w:szCs w:val="20"/>
              </w:rPr>
              <w:t>110</w:t>
            </w:r>
          </w:p>
        </w:tc>
        <w:tc>
          <w:tcPr>
            <w:tcW w:w="567" w:type="dxa"/>
            <w:tcBorders>
              <w:top w:val="nil"/>
              <w:left w:val="single" w:sz="4" w:space="0" w:color="auto"/>
              <w:bottom w:val="single" w:sz="4" w:space="0" w:color="auto"/>
              <w:right w:val="nil"/>
            </w:tcBorders>
            <w:shd w:val="clear" w:color="auto" w:fill="auto"/>
            <w:noWrap/>
            <w:vAlign w:val="center"/>
            <w:hideMark/>
          </w:tcPr>
          <w:p w14:paraId="2CFF0487" w14:textId="77777777" w:rsidR="00387142" w:rsidRPr="008B6A75" w:rsidRDefault="00387142" w:rsidP="00387142">
            <w:pPr>
              <w:jc w:val="center"/>
              <w:rPr>
                <w:sz w:val="20"/>
                <w:szCs w:val="20"/>
              </w:rPr>
            </w:pPr>
            <w:r w:rsidRPr="008B6A75">
              <w:rPr>
                <w:sz w:val="20"/>
                <w:szCs w:val="20"/>
              </w:rPr>
              <w:t>07</w:t>
            </w:r>
          </w:p>
        </w:tc>
        <w:tc>
          <w:tcPr>
            <w:tcW w:w="567" w:type="dxa"/>
            <w:tcBorders>
              <w:top w:val="nil"/>
              <w:left w:val="single" w:sz="4" w:space="0" w:color="auto"/>
              <w:bottom w:val="single" w:sz="4" w:space="0" w:color="auto"/>
              <w:right w:val="nil"/>
            </w:tcBorders>
            <w:shd w:val="clear" w:color="auto" w:fill="auto"/>
            <w:noWrap/>
            <w:vAlign w:val="center"/>
            <w:hideMark/>
          </w:tcPr>
          <w:p w14:paraId="4E5D7613" w14:textId="77777777" w:rsidR="00387142" w:rsidRPr="008B6A75" w:rsidRDefault="00387142" w:rsidP="00387142">
            <w:pPr>
              <w:jc w:val="center"/>
              <w:rPr>
                <w:sz w:val="20"/>
                <w:szCs w:val="20"/>
              </w:rPr>
            </w:pPr>
            <w:r w:rsidRPr="008B6A75">
              <w:rPr>
                <w:sz w:val="20"/>
                <w:szCs w:val="20"/>
              </w:rPr>
              <w:t>02</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287983B" w14:textId="77777777" w:rsidR="00387142" w:rsidRPr="008B6A75" w:rsidRDefault="00387142" w:rsidP="00387142">
            <w:pPr>
              <w:jc w:val="right"/>
              <w:rPr>
                <w:sz w:val="20"/>
                <w:szCs w:val="20"/>
              </w:rPr>
            </w:pPr>
            <w:r w:rsidRPr="008B6A75">
              <w:rPr>
                <w:sz w:val="20"/>
                <w:szCs w:val="20"/>
              </w:rPr>
              <w:t>48 592 682,32</w:t>
            </w:r>
          </w:p>
        </w:tc>
        <w:tc>
          <w:tcPr>
            <w:tcW w:w="851" w:type="dxa"/>
            <w:tcBorders>
              <w:top w:val="nil"/>
              <w:left w:val="single" w:sz="4" w:space="0" w:color="auto"/>
              <w:bottom w:val="single" w:sz="4" w:space="0" w:color="auto"/>
              <w:right w:val="nil"/>
            </w:tcBorders>
            <w:shd w:val="clear" w:color="auto" w:fill="auto"/>
            <w:noWrap/>
            <w:vAlign w:val="center"/>
            <w:hideMark/>
          </w:tcPr>
          <w:p w14:paraId="56E80DC3" w14:textId="77777777" w:rsidR="00387142" w:rsidRPr="008B6A75" w:rsidRDefault="00387142" w:rsidP="00387142">
            <w:pPr>
              <w:jc w:val="right"/>
              <w:rPr>
                <w:sz w:val="20"/>
                <w:szCs w:val="20"/>
              </w:rPr>
            </w:pPr>
            <w:r w:rsidRPr="008B6A75">
              <w:rPr>
                <w:sz w:val="20"/>
                <w:szCs w:val="20"/>
              </w:rPr>
              <w:t>51 797 500,00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1F64D546" w14:textId="77777777" w:rsidR="00387142" w:rsidRPr="008B6A75" w:rsidRDefault="00387142" w:rsidP="00387142">
            <w:pPr>
              <w:jc w:val="right"/>
              <w:rPr>
                <w:sz w:val="20"/>
                <w:szCs w:val="20"/>
              </w:rPr>
            </w:pPr>
            <w:r w:rsidRPr="008B6A75">
              <w:rPr>
                <w:sz w:val="20"/>
                <w:szCs w:val="20"/>
              </w:rPr>
              <w:t>52 771 000,00</w:t>
            </w:r>
          </w:p>
        </w:tc>
      </w:tr>
      <w:tr w:rsidR="00387142" w:rsidRPr="008B6A75" w14:paraId="3190DBE9" w14:textId="77777777" w:rsidTr="00387142">
        <w:trPr>
          <w:trHeight w:val="585"/>
        </w:trPr>
        <w:tc>
          <w:tcPr>
            <w:tcW w:w="272" w:type="dxa"/>
            <w:tcBorders>
              <w:top w:val="nil"/>
              <w:left w:val="nil"/>
              <w:bottom w:val="nil"/>
              <w:right w:val="single" w:sz="4" w:space="0" w:color="auto"/>
            </w:tcBorders>
            <w:shd w:val="clear" w:color="auto" w:fill="auto"/>
            <w:noWrap/>
            <w:vAlign w:val="bottom"/>
            <w:hideMark/>
          </w:tcPr>
          <w:p w14:paraId="665EE07E"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60D74007" w14:textId="77777777" w:rsidR="00387142" w:rsidRPr="008B6A75" w:rsidRDefault="00387142" w:rsidP="00387142">
            <w:pPr>
              <w:rPr>
                <w:sz w:val="20"/>
                <w:szCs w:val="20"/>
              </w:rPr>
            </w:pPr>
            <w:r w:rsidRPr="008B6A75">
              <w:rPr>
                <w:sz w:val="20"/>
                <w:szCs w:val="20"/>
              </w:rPr>
              <w:t>Закупка товаров, работ и услуг для обеспечения государственных (муниципальных) нужд</w:t>
            </w:r>
          </w:p>
        </w:tc>
        <w:tc>
          <w:tcPr>
            <w:tcW w:w="1559" w:type="dxa"/>
            <w:tcBorders>
              <w:top w:val="nil"/>
              <w:left w:val="single" w:sz="4" w:space="0" w:color="auto"/>
              <w:bottom w:val="single" w:sz="4" w:space="0" w:color="auto"/>
              <w:right w:val="nil"/>
            </w:tcBorders>
            <w:shd w:val="clear" w:color="auto" w:fill="auto"/>
            <w:noWrap/>
            <w:vAlign w:val="center"/>
            <w:hideMark/>
          </w:tcPr>
          <w:p w14:paraId="3CC028DB" w14:textId="77777777" w:rsidR="00387142" w:rsidRPr="008B6A75" w:rsidRDefault="00387142" w:rsidP="00387142">
            <w:pPr>
              <w:jc w:val="center"/>
              <w:rPr>
                <w:sz w:val="20"/>
                <w:szCs w:val="20"/>
              </w:rPr>
            </w:pPr>
            <w:r w:rsidRPr="008B6A75">
              <w:rPr>
                <w:sz w:val="20"/>
                <w:szCs w:val="20"/>
              </w:rPr>
              <w:t>07.1.00.70140</w:t>
            </w:r>
          </w:p>
        </w:tc>
        <w:tc>
          <w:tcPr>
            <w:tcW w:w="850" w:type="dxa"/>
            <w:tcBorders>
              <w:top w:val="nil"/>
              <w:left w:val="single" w:sz="4" w:space="0" w:color="auto"/>
              <w:bottom w:val="single" w:sz="4" w:space="0" w:color="auto"/>
              <w:right w:val="nil"/>
            </w:tcBorders>
            <w:shd w:val="clear" w:color="auto" w:fill="auto"/>
            <w:noWrap/>
            <w:vAlign w:val="center"/>
            <w:hideMark/>
          </w:tcPr>
          <w:p w14:paraId="32EC2B02" w14:textId="77777777" w:rsidR="00387142" w:rsidRPr="008B6A75" w:rsidRDefault="00387142" w:rsidP="00387142">
            <w:pPr>
              <w:jc w:val="center"/>
              <w:rPr>
                <w:sz w:val="20"/>
                <w:szCs w:val="20"/>
              </w:rPr>
            </w:pPr>
            <w:r w:rsidRPr="008B6A75">
              <w:rPr>
                <w:sz w:val="20"/>
                <w:szCs w:val="20"/>
              </w:rPr>
              <w:t>200</w:t>
            </w:r>
          </w:p>
        </w:tc>
        <w:tc>
          <w:tcPr>
            <w:tcW w:w="567" w:type="dxa"/>
            <w:tcBorders>
              <w:top w:val="nil"/>
              <w:left w:val="single" w:sz="4" w:space="0" w:color="auto"/>
              <w:bottom w:val="single" w:sz="4" w:space="0" w:color="auto"/>
              <w:right w:val="nil"/>
            </w:tcBorders>
            <w:shd w:val="clear" w:color="auto" w:fill="auto"/>
            <w:noWrap/>
            <w:vAlign w:val="center"/>
            <w:hideMark/>
          </w:tcPr>
          <w:p w14:paraId="293AB036" w14:textId="77777777" w:rsidR="00387142" w:rsidRPr="008B6A75" w:rsidRDefault="00387142" w:rsidP="00387142">
            <w:pPr>
              <w:jc w:val="center"/>
              <w:rPr>
                <w:sz w:val="20"/>
                <w:szCs w:val="20"/>
              </w:rPr>
            </w:pPr>
            <w:r w:rsidRPr="008B6A75">
              <w:rPr>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4B86E235" w14:textId="77777777" w:rsidR="00387142" w:rsidRPr="008B6A75" w:rsidRDefault="00387142" w:rsidP="00387142">
            <w:pPr>
              <w:jc w:val="center"/>
              <w:rPr>
                <w:sz w:val="20"/>
                <w:szCs w:val="20"/>
              </w:rPr>
            </w:pPr>
            <w:r w:rsidRPr="008B6A75">
              <w:rPr>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0A0D5E3" w14:textId="77777777" w:rsidR="00387142" w:rsidRPr="008B6A75" w:rsidRDefault="00387142" w:rsidP="00387142">
            <w:pPr>
              <w:jc w:val="right"/>
              <w:rPr>
                <w:sz w:val="20"/>
                <w:szCs w:val="20"/>
              </w:rPr>
            </w:pPr>
            <w:r w:rsidRPr="008B6A75">
              <w:rPr>
                <w:sz w:val="20"/>
                <w:szCs w:val="20"/>
              </w:rPr>
              <w:t>12 284 217,68</w:t>
            </w:r>
          </w:p>
        </w:tc>
        <w:tc>
          <w:tcPr>
            <w:tcW w:w="851" w:type="dxa"/>
            <w:tcBorders>
              <w:top w:val="nil"/>
              <w:left w:val="single" w:sz="4" w:space="0" w:color="auto"/>
              <w:bottom w:val="single" w:sz="4" w:space="0" w:color="auto"/>
              <w:right w:val="nil"/>
            </w:tcBorders>
            <w:shd w:val="clear" w:color="auto" w:fill="auto"/>
            <w:noWrap/>
            <w:vAlign w:val="center"/>
            <w:hideMark/>
          </w:tcPr>
          <w:p w14:paraId="053A15A6" w14:textId="77777777" w:rsidR="00387142" w:rsidRPr="008B6A75" w:rsidRDefault="00387142" w:rsidP="00387142">
            <w:pPr>
              <w:jc w:val="right"/>
              <w:rPr>
                <w:sz w:val="20"/>
                <w:szCs w:val="20"/>
              </w:rPr>
            </w:pPr>
            <w:r w:rsidRPr="008B6A75">
              <w:rPr>
                <w:sz w:val="20"/>
                <w:szCs w:val="20"/>
              </w:rPr>
              <w:t>9 780 000,00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205D2CEA" w14:textId="77777777" w:rsidR="00387142" w:rsidRPr="008B6A75" w:rsidRDefault="00387142" w:rsidP="00387142">
            <w:pPr>
              <w:jc w:val="right"/>
              <w:rPr>
                <w:sz w:val="20"/>
                <w:szCs w:val="20"/>
              </w:rPr>
            </w:pPr>
            <w:r w:rsidRPr="008B6A75">
              <w:rPr>
                <w:sz w:val="20"/>
                <w:szCs w:val="20"/>
              </w:rPr>
              <w:t>10 340 000,00</w:t>
            </w:r>
          </w:p>
        </w:tc>
      </w:tr>
      <w:tr w:rsidR="00387142" w:rsidRPr="008B6A75" w14:paraId="10C13D72" w14:textId="77777777" w:rsidTr="00387142">
        <w:trPr>
          <w:trHeight w:val="870"/>
        </w:trPr>
        <w:tc>
          <w:tcPr>
            <w:tcW w:w="272" w:type="dxa"/>
            <w:tcBorders>
              <w:top w:val="nil"/>
              <w:left w:val="nil"/>
              <w:bottom w:val="nil"/>
              <w:right w:val="single" w:sz="4" w:space="0" w:color="auto"/>
            </w:tcBorders>
            <w:shd w:val="clear" w:color="auto" w:fill="auto"/>
            <w:noWrap/>
            <w:vAlign w:val="bottom"/>
            <w:hideMark/>
          </w:tcPr>
          <w:p w14:paraId="1D513763"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4FC69E37" w14:textId="77777777" w:rsidR="00387142" w:rsidRPr="008B6A75" w:rsidRDefault="00387142" w:rsidP="00387142">
            <w:pPr>
              <w:rPr>
                <w:sz w:val="20"/>
                <w:szCs w:val="20"/>
              </w:rPr>
            </w:pPr>
            <w:r w:rsidRPr="008B6A75">
              <w:rPr>
                <w:sz w:val="20"/>
                <w:szCs w:val="20"/>
              </w:rPr>
              <w:t>Иные закупки товаров, работ и услуг для обеспечения государственных (муниципальных) нужд</w:t>
            </w:r>
          </w:p>
        </w:tc>
        <w:tc>
          <w:tcPr>
            <w:tcW w:w="1559" w:type="dxa"/>
            <w:tcBorders>
              <w:top w:val="nil"/>
              <w:left w:val="single" w:sz="4" w:space="0" w:color="auto"/>
              <w:bottom w:val="single" w:sz="4" w:space="0" w:color="auto"/>
              <w:right w:val="nil"/>
            </w:tcBorders>
            <w:shd w:val="clear" w:color="auto" w:fill="auto"/>
            <w:noWrap/>
            <w:vAlign w:val="center"/>
            <w:hideMark/>
          </w:tcPr>
          <w:p w14:paraId="11B0883D" w14:textId="77777777" w:rsidR="00387142" w:rsidRPr="008B6A75" w:rsidRDefault="00387142" w:rsidP="00387142">
            <w:pPr>
              <w:jc w:val="center"/>
              <w:rPr>
                <w:sz w:val="20"/>
                <w:szCs w:val="20"/>
              </w:rPr>
            </w:pPr>
            <w:r w:rsidRPr="008B6A75">
              <w:rPr>
                <w:sz w:val="20"/>
                <w:szCs w:val="20"/>
              </w:rPr>
              <w:t>07.1.00.70140</w:t>
            </w:r>
          </w:p>
        </w:tc>
        <w:tc>
          <w:tcPr>
            <w:tcW w:w="850" w:type="dxa"/>
            <w:tcBorders>
              <w:top w:val="nil"/>
              <w:left w:val="single" w:sz="4" w:space="0" w:color="auto"/>
              <w:bottom w:val="single" w:sz="4" w:space="0" w:color="auto"/>
              <w:right w:val="nil"/>
            </w:tcBorders>
            <w:shd w:val="clear" w:color="auto" w:fill="auto"/>
            <w:noWrap/>
            <w:vAlign w:val="center"/>
            <w:hideMark/>
          </w:tcPr>
          <w:p w14:paraId="3C6740FC" w14:textId="77777777" w:rsidR="00387142" w:rsidRPr="008B6A75" w:rsidRDefault="00387142" w:rsidP="00387142">
            <w:pPr>
              <w:jc w:val="center"/>
              <w:rPr>
                <w:sz w:val="20"/>
                <w:szCs w:val="20"/>
              </w:rPr>
            </w:pPr>
            <w:r w:rsidRPr="008B6A75">
              <w:rPr>
                <w:sz w:val="20"/>
                <w:szCs w:val="20"/>
              </w:rPr>
              <w:t>240</w:t>
            </w:r>
          </w:p>
        </w:tc>
        <w:tc>
          <w:tcPr>
            <w:tcW w:w="567" w:type="dxa"/>
            <w:tcBorders>
              <w:top w:val="nil"/>
              <w:left w:val="single" w:sz="4" w:space="0" w:color="auto"/>
              <w:bottom w:val="single" w:sz="4" w:space="0" w:color="auto"/>
              <w:right w:val="nil"/>
            </w:tcBorders>
            <w:shd w:val="clear" w:color="auto" w:fill="auto"/>
            <w:noWrap/>
            <w:vAlign w:val="center"/>
            <w:hideMark/>
          </w:tcPr>
          <w:p w14:paraId="6034DF8F" w14:textId="77777777" w:rsidR="00387142" w:rsidRPr="008B6A75" w:rsidRDefault="00387142" w:rsidP="00387142">
            <w:pPr>
              <w:jc w:val="center"/>
              <w:rPr>
                <w:sz w:val="20"/>
                <w:szCs w:val="20"/>
              </w:rPr>
            </w:pPr>
            <w:r w:rsidRPr="008B6A75">
              <w:rPr>
                <w:sz w:val="20"/>
                <w:szCs w:val="20"/>
              </w:rPr>
              <w:t>07</w:t>
            </w:r>
          </w:p>
        </w:tc>
        <w:tc>
          <w:tcPr>
            <w:tcW w:w="567" w:type="dxa"/>
            <w:tcBorders>
              <w:top w:val="nil"/>
              <w:left w:val="single" w:sz="4" w:space="0" w:color="auto"/>
              <w:bottom w:val="single" w:sz="4" w:space="0" w:color="auto"/>
              <w:right w:val="nil"/>
            </w:tcBorders>
            <w:shd w:val="clear" w:color="auto" w:fill="auto"/>
            <w:noWrap/>
            <w:vAlign w:val="center"/>
            <w:hideMark/>
          </w:tcPr>
          <w:p w14:paraId="67714CE2" w14:textId="77777777" w:rsidR="00387142" w:rsidRPr="008B6A75" w:rsidRDefault="00387142" w:rsidP="00387142">
            <w:pPr>
              <w:jc w:val="center"/>
              <w:rPr>
                <w:sz w:val="20"/>
                <w:szCs w:val="20"/>
              </w:rPr>
            </w:pPr>
            <w:r w:rsidRPr="008B6A75">
              <w:rPr>
                <w:sz w:val="20"/>
                <w:szCs w:val="20"/>
              </w:rPr>
              <w:t>02</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09F7570" w14:textId="77777777" w:rsidR="00387142" w:rsidRPr="008B6A75" w:rsidRDefault="00387142" w:rsidP="00387142">
            <w:pPr>
              <w:jc w:val="right"/>
              <w:rPr>
                <w:sz w:val="20"/>
                <w:szCs w:val="20"/>
              </w:rPr>
            </w:pPr>
            <w:r w:rsidRPr="008B6A75">
              <w:rPr>
                <w:sz w:val="20"/>
                <w:szCs w:val="20"/>
              </w:rPr>
              <w:t>12 284 217,68</w:t>
            </w:r>
          </w:p>
        </w:tc>
        <w:tc>
          <w:tcPr>
            <w:tcW w:w="851" w:type="dxa"/>
            <w:tcBorders>
              <w:top w:val="nil"/>
              <w:left w:val="single" w:sz="4" w:space="0" w:color="auto"/>
              <w:bottom w:val="single" w:sz="4" w:space="0" w:color="auto"/>
              <w:right w:val="nil"/>
            </w:tcBorders>
            <w:shd w:val="clear" w:color="auto" w:fill="auto"/>
            <w:noWrap/>
            <w:vAlign w:val="center"/>
            <w:hideMark/>
          </w:tcPr>
          <w:p w14:paraId="0068FC6B" w14:textId="77777777" w:rsidR="00387142" w:rsidRPr="008B6A75" w:rsidRDefault="00387142" w:rsidP="00387142">
            <w:pPr>
              <w:jc w:val="right"/>
              <w:rPr>
                <w:sz w:val="20"/>
                <w:szCs w:val="20"/>
              </w:rPr>
            </w:pPr>
            <w:r w:rsidRPr="008B6A75">
              <w:rPr>
                <w:sz w:val="20"/>
                <w:szCs w:val="20"/>
              </w:rPr>
              <w:t>9 780 000,00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56A84739" w14:textId="77777777" w:rsidR="00387142" w:rsidRPr="008B6A75" w:rsidRDefault="00387142" w:rsidP="00387142">
            <w:pPr>
              <w:jc w:val="right"/>
              <w:rPr>
                <w:sz w:val="20"/>
                <w:szCs w:val="20"/>
              </w:rPr>
            </w:pPr>
            <w:r w:rsidRPr="008B6A75">
              <w:rPr>
                <w:sz w:val="20"/>
                <w:szCs w:val="20"/>
              </w:rPr>
              <w:t>10 340 000,00</w:t>
            </w:r>
          </w:p>
        </w:tc>
      </w:tr>
      <w:tr w:rsidR="00387142" w:rsidRPr="008B6A75" w14:paraId="7D6F8F9E" w14:textId="77777777" w:rsidTr="00387142">
        <w:trPr>
          <w:trHeight w:val="300"/>
        </w:trPr>
        <w:tc>
          <w:tcPr>
            <w:tcW w:w="272" w:type="dxa"/>
            <w:tcBorders>
              <w:top w:val="nil"/>
              <w:left w:val="nil"/>
              <w:bottom w:val="nil"/>
              <w:right w:val="single" w:sz="4" w:space="0" w:color="auto"/>
            </w:tcBorders>
            <w:shd w:val="clear" w:color="auto" w:fill="auto"/>
            <w:noWrap/>
            <w:vAlign w:val="bottom"/>
            <w:hideMark/>
          </w:tcPr>
          <w:p w14:paraId="605F036C"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38132B3D" w14:textId="77777777" w:rsidR="00387142" w:rsidRPr="008B6A75" w:rsidRDefault="00387142" w:rsidP="00387142">
            <w:pPr>
              <w:rPr>
                <w:sz w:val="20"/>
                <w:szCs w:val="20"/>
              </w:rPr>
            </w:pPr>
            <w:r w:rsidRPr="008B6A75">
              <w:rPr>
                <w:sz w:val="20"/>
                <w:szCs w:val="20"/>
              </w:rPr>
              <w:t>Иные бюджетные ассигнования</w:t>
            </w:r>
          </w:p>
        </w:tc>
        <w:tc>
          <w:tcPr>
            <w:tcW w:w="1559" w:type="dxa"/>
            <w:tcBorders>
              <w:top w:val="nil"/>
              <w:left w:val="single" w:sz="4" w:space="0" w:color="auto"/>
              <w:bottom w:val="single" w:sz="4" w:space="0" w:color="auto"/>
              <w:right w:val="nil"/>
            </w:tcBorders>
            <w:shd w:val="clear" w:color="auto" w:fill="auto"/>
            <w:noWrap/>
            <w:vAlign w:val="center"/>
            <w:hideMark/>
          </w:tcPr>
          <w:p w14:paraId="526E974E" w14:textId="77777777" w:rsidR="00387142" w:rsidRPr="008B6A75" w:rsidRDefault="00387142" w:rsidP="00387142">
            <w:pPr>
              <w:jc w:val="center"/>
              <w:rPr>
                <w:sz w:val="20"/>
                <w:szCs w:val="20"/>
              </w:rPr>
            </w:pPr>
            <w:r w:rsidRPr="008B6A75">
              <w:rPr>
                <w:sz w:val="20"/>
                <w:szCs w:val="20"/>
              </w:rPr>
              <w:t>07.1.00.70140</w:t>
            </w:r>
          </w:p>
        </w:tc>
        <w:tc>
          <w:tcPr>
            <w:tcW w:w="850" w:type="dxa"/>
            <w:tcBorders>
              <w:top w:val="nil"/>
              <w:left w:val="single" w:sz="4" w:space="0" w:color="auto"/>
              <w:bottom w:val="single" w:sz="4" w:space="0" w:color="auto"/>
              <w:right w:val="nil"/>
            </w:tcBorders>
            <w:shd w:val="clear" w:color="auto" w:fill="auto"/>
            <w:noWrap/>
            <w:vAlign w:val="center"/>
            <w:hideMark/>
          </w:tcPr>
          <w:p w14:paraId="77AF647F" w14:textId="77777777" w:rsidR="00387142" w:rsidRPr="008B6A75" w:rsidRDefault="00387142" w:rsidP="00387142">
            <w:pPr>
              <w:jc w:val="center"/>
              <w:rPr>
                <w:sz w:val="20"/>
                <w:szCs w:val="20"/>
              </w:rPr>
            </w:pPr>
            <w:r w:rsidRPr="008B6A75">
              <w:rPr>
                <w:sz w:val="20"/>
                <w:szCs w:val="20"/>
              </w:rPr>
              <w:t>800</w:t>
            </w:r>
          </w:p>
        </w:tc>
        <w:tc>
          <w:tcPr>
            <w:tcW w:w="567" w:type="dxa"/>
            <w:tcBorders>
              <w:top w:val="nil"/>
              <w:left w:val="single" w:sz="4" w:space="0" w:color="auto"/>
              <w:bottom w:val="single" w:sz="4" w:space="0" w:color="auto"/>
              <w:right w:val="nil"/>
            </w:tcBorders>
            <w:shd w:val="clear" w:color="auto" w:fill="auto"/>
            <w:noWrap/>
            <w:vAlign w:val="center"/>
            <w:hideMark/>
          </w:tcPr>
          <w:p w14:paraId="1EAF6230" w14:textId="77777777" w:rsidR="00387142" w:rsidRPr="008B6A75" w:rsidRDefault="00387142" w:rsidP="00387142">
            <w:pPr>
              <w:jc w:val="center"/>
              <w:rPr>
                <w:sz w:val="20"/>
                <w:szCs w:val="20"/>
              </w:rPr>
            </w:pPr>
            <w:r w:rsidRPr="008B6A75">
              <w:rPr>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49567D44" w14:textId="77777777" w:rsidR="00387142" w:rsidRPr="008B6A75" w:rsidRDefault="00387142" w:rsidP="00387142">
            <w:pPr>
              <w:jc w:val="center"/>
              <w:rPr>
                <w:sz w:val="20"/>
                <w:szCs w:val="20"/>
              </w:rPr>
            </w:pPr>
            <w:r w:rsidRPr="008B6A75">
              <w:rPr>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6106B87" w14:textId="77777777" w:rsidR="00387142" w:rsidRPr="008B6A75" w:rsidRDefault="00387142" w:rsidP="00387142">
            <w:pPr>
              <w:jc w:val="right"/>
              <w:rPr>
                <w:sz w:val="20"/>
                <w:szCs w:val="20"/>
              </w:rPr>
            </w:pPr>
            <w:r w:rsidRPr="008B6A75">
              <w:rPr>
                <w:sz w:val="20"/>
                <w:szCs w:val="20"/>
              </w:rPr>
              <w:t>1 760 000,00</w:t>
            </w:r>
          </w:p>
        </w:tc>
        <w:tc>
          <w:tcPr>
            <w:tcW w:w="851" w:type="dxa"/>
            <w:tcBorders>
              <w:top w:val="nil"/>
              <w:left w:val="single" w:sz="4" w:space="0" w:color="auto"/>
              <w:bottom w:val="single" w:sz="4" w:space="0" w:color="auto"/>
              <w:right w:val="nil"/>
            </w:tcBorders>
            <w:shd w:val="clear" w:color="auto" w:fill="auto"/>
            <w:noWrap/>
            <w:vAlign w:val="center"/>
            <w:hideMark/>
          </w:tcPr>
          <w:p w14:paraId="0EF9DB02" w14:textId="77777777" w:rsidR="00387142" w:rsidRPr="008B6A75" w:rsidRDefault="00387142" w:rsidP="00387142">
            <w:pPr>
              <w:jc w:val="right"/>
              <w:rPr>
                <w:sz w:val="20"/>
                <w:szCs w:val="20"/>
              </w:rPr>
            </w:pPr>
            <w:r w:rsidRPr="008B6A75">
              <w:rPr>
                <w:sz w:val="20"/>
                <w:szCs w:val="20"/>
              </w:rPr>
              <w:t>1 760 000,00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2253A1B6" w14:textId="77777777" w:rsidR="00387142" w:rsidRPr="008B6A75" w:rsidRDefault="00387142" w:rsidP="00387142">
            <w:pPr>
              <w:jc w:val="right"/>
              <w:rPr>
                <w:sz w:val="20"/>
                <w:szCs w:val="20"/>
              </w:rPr>
            </w:pPr>
            <w:r w:rsidRPr="008B6A75">
              <w:rPr>
                <w:sz w:val="20"/>
                <w:szCs w:val="20"/>
              </w:rPr>
              <w:t>1 760 000,00</w:t>
            </w:r>
          </w:p>
        </w:tc>
      </w:tr>
      <w:tr w:rsidR="00387142" w:rsidRPr="008B6A75" w14:paraId="698D55B8" w14:textId="77777777" w:rsidTr="00387142">
        <w:trPr>
          <w:trHeight w:val="300"/>
        </w:trPr>
        <w:tc>
          <w:tcPr>
            <w:tcW w:w="272" w:type="dxa"/>
            <w:tcBorders>
              <w:top w:val="nil"/>
              <w:left w:val="nil"/>
              <w:bottom w:val="nil"/>
              <w:right w:val="single" w:sz="4" w:space="0" w:color="auto"/>
            </w:tcBorders>
            <w:shd w:val="clear" w:color="auto" w:fill="auto"/>
            <w:noWrap/>
            <w:vAlign w:val="bottom"/>
            <w:hideMark/>
          </w:tcPr>
          <w:p w14:paraId="3BE58BB2"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702D09B2" w14:textId="77777777" w:rsidR="00387142" w:rsidRPr="008B6A75" w:rsidRDefault="00387142" w:rsidP="00387142">
            <w:pPr>
              <w:rPr>
                <w:sz w:val="20"/>
                <w:szCs w:val="20"/>
              </w:rPr>
            </w:pPr>
            <w:r w:rsidRPr="008B6A75">
              <w:rPr>
                <w:sz w:val="20"/>
                <w:szCs w:val="20"/>
              </w:rPr>
              <w:t>Уплата налогов, сборов и иных платежей</w:t>
            </w:r>
          </w:p>
        </w:tc>
        <w:tc>
          <w:tcPr>
            <w:tcW w:w="1559" w:type="dxa"/>
            <w:tcBorders>
              <w:top w:val="nil"/>
              <w:left w:val="single" w:sz="4" w:space="0" w:color="auto"/>
              <w:bottom w:val="single" w:sz="4" w:space="0" w:color="auto"/>
              <w:right w:val="nil"/>
            </w:tcBorders>
            <w:shd w:val="clear" w:color="auto" w:fill="auto"/>
            <w:noWrap/>
            <w:vAlign w:val="center"/>
            <w:hideMark/>
          </w:tcPr>
          <w:p w14:paraId="0AD9F04C" w14:textId="77777777" w:rsidR="00387142" w:rsidRPr="008B6A75" w:rsidRDefault="00387142" w:rsidP="00387142">
            <w:pPr>
              <w:jc w:val="center"/>
              <w:rPr>
                <w:sz w:val="20"/>
                <w:szCs w:val="20"/>
              </w:rPr>
            </w:pPr>
            <w:r w:rsidRPr="008B6A75">
              <w:rPr>
                <w:sz w:val="20"/>
                <w:szCs w:val="20"/>
              </w:rPr>
              <w:t>07.1.00.70140</w:t>
            </w:r>
          </w:p>
        </w:tc>
        <w:tc>
          <w:tcPr>
            <w:tcW w:w="850" w:type="dxa"/>
            <w:tcBorders>
              <w:top w:val="nil"/>
              <w:left w:val="single" w:sz="4" w:space="0" w:color="auto"/>
              <w:bottom w:val="single" w:sz="4" w:space="0" w:color="auto"/>
              <w:right w:val="nil"/>
            </w:tcBorders>
            <w:shd w:val="clear" w:color="auto" w:fill="auto"/>
            <w:noWrap/>
            <w:vAlign w:val="center"/>
            <w:hideMark/>
          </w:tcPr>
          <w:p w14:paraId="65E4462F" w14:textId="77777777" w:rsidR="00387142" w:rsidRPr="008B6A75" w:rsidRDefault="00387142" w:rsidP="00387142">
            <w:pPr>
              <w:jc w:val="center"/>
              <w:rPr>
                <w:sz w:val="20"/>
                <w:szCs w:val="20"/>
              </w:rPr>
            </w:pPr>
            <w:r w:rsidRPr="008B6A75">
              <w:rPr>
                <w:sz w:val="20"/>
                <w:szCs w:val="20"/>
              </w:rPr>
              <w:t>850</w:t>
            </w:r>
          </w:p>
        </w:tc>
        <w:tc>
          <w:tcPr>
            <w:tcW w:w="567" w:type="dxa"/>
            <w:tcBorders>
              <w:top w:val="nil"/>
              <w:left w:val="single" w:sz="4" w:space="0" w:color="auto"/>
              <w:bottom w:val="single" w:sz="4" w:space="0" w:color="auto"/>
              <w:right w:val="nil"/>
            </w:tcBorders>
            <w:shd w:val="clear" w:color="auto" w:fill="auto"/>
            <w:noWrap/>
            <w:vAlign w:val="center"/>
            <w:hideMark/>
          </w:tcPr>
          <w:p w14:paraId="01656A38" w14:textId="77777777" w:rsidR="00387142" w:rsidRPr="008B6A75" w:rsidRDefault="00387142" w:rsidP="00387142">
            <w:pPr>
              <w:jc w:val="center"/>
              <w:rPr>
                <w:sz w:val="20"/>
                <w:szCs w:val="20"/>
              </w:rPr>
            </w:pPr>
            <w:r w:rsidRPr="008B6A75">
              <w:rPr>
                <w:sz w:val="20"/>
                <w:szCs w:val="20"/>
              </w:rPr>
              <w:t>07</w:t>
            </w:r>
          </w:p>
        </w:tc>
        <w:tc>
          <w:tcPr>
            <w:tcW w:w="567" w:type="dxa"/>
            <w:tcBorders>
              <w:top w:val="nil"/>
              <w:left w:val="single" w:sz="4" w:space="0" w:color="auto"/>
              <w:bottom w:val="single" w:sz="4" w:space="0" w:color="auto"/>
              <w:right w:val="nil"/>
            </w:tcBorders>
            <w:shd w:val="clear" w:color="auto" w:fill="auto"/>
            <w:noWrap/>
            <w:vAlign w:val="center"/>
            <w:hideMark/>
          </w:tcPr>
          <w:p w14:paraId="2AA8A476" w14:textId="77777777" w:rsidR="00387142" w:rsidRPr="008B6A75" w:rsidRDefault="00387142" w:rsidP="00387142">
            <w:pPr>
              <w:jc w:val="center"/>
              <w:rPr>
                <w:sz w:val="20"/>
                <w:szCs w:val="20"/>
              </w:rPr>
            </w:pPr>
            <w:r w:rsidRPr="008B6A75">
              <w:rPr>
                <w:sz w:val="20"/>
                <w:szCs w:val="20"/>
              </w:rPr>
              <w:t>02</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2BA0C9A" w14:textId="77777777" w:rsidR="00387142" w:rsidRPr="008B6A75" w:rsidRDefault="00387142" w:rsidP="00387142">
            <w:pPr>
              <w:jc w:val="right"/>
              <w:rPr>
                <w:sz w:val="20"/>
                <w:szCs w:val="20"/>
              </w:rPr>
            </w:pPr>
            <w:r w:rsidRPr="008B6A75">
              <w:rPr>
                <w:sz w:val="20"/>
                <w:szCs w:val="20"/>
              </w:rPr>
              <w:t>1 760 000,00</w:t>
            </w:r>
          </w:p>
        </w:tc>
        <w:tc>
          <w:tcPr>
            <w:tcW w:w="851" w:type="dxa"/>
            <w:tcBorders>
              <w:top w:val="nil"/>
              <w:left w:val="single" w:sz="4" w:space="0" w:color="auto"/>
              <w:bottom w:val="single" w:sz="4" w:space="0" w:color="auto"/>
              <w:right w:val="nil"/>
            </w:tcBorders>
            <w:shd w:val="clear" w:color="auto" w:fill="auto"/>
            <w:noWrap/>
            <w:vAlign w:val="center"/>
            <w:hideMark/>
          </w:tcPr>
          <w:p w14:paraId="568224BB" w14:textId="77777777" w:rsidR="00387142" w:rsidRPr="008B6A75" w:rsidRDefault="00387142" w:rsidP="00387142">
            <w:pPr>
              <w:jc w:val="right"/>
              <w:rPr>
                <w:sz w:val="20"/>
                <w:szCs w:val="20"/>
              </w:rPr>
            </w:pPr>
            <w:r w:rsidRPr="008B6A75">
              <w:rPr>
                <w:sz w:val="20"/>
                <w:szCs w:val="20"/>
              </w:rPr>
              <w:t>1 760 000,00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59C805A4" w14:textId="77777777" w:rsidR="00387142" w:rsidRPr="008B6A75" w:rsidRDefault="00387142" w:rsidP="00387142">
            <w:pPr>
              <w:jc w:val="right"/>
              <w:rPr>
                <w:sz w:val="20"/>
                <w:szCs w:val="20"/>
              </w:rPr>
            </w:pPr>
            <w:r w:rsidRPr="008B6A75">
              <w:rPr>
                <w:sz w:val="20"/>
                <w:szCs w:val="20"/>
              </w:rPr>
              <w:t>1 760 000,00</w:t>
            </w:r>
          </w:p>
        </w:tc>
      </w:tr>
      <w:tr w:rsidR="00387142" w:rsidRPr="008B6A75" w14:paraId="54010086" w14:textId="77777777" w:rsidTr="00387142">
        <w:trPr>
          <w:trHeight w:val="1440"/>
        </w:trPr>
        <w:tc>
          <w:tcPr>
            <w:tcW w:w="272" w:type="dxa"/>
            <w:tcBorders>
              <w:top w:val="nil"/>
              <w:left w:val="nil"/>
              <w:bottom w:val="nil"/>
              <w:right w:val="single" w:sz="4" w:space="0" w:color="auto"/>
            </w:tcBorders>
            <w:shd w:val="clear" w:color="auto" w:fill="auto"/>
            <w:noWrap/>
            <w:vAlign w:val="bottom"/>
            <w:hideMark/>
          </w:tcPr>
          <w:p w14:paraId="6E1E5852"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1D2F31E2" w14:textId="77777777" w:rsidR="00387142" w:rsidRPr="008B6A75" w:rsidRDefault="00387142" w:rsidP="00387142">
            <w:pPr>
              <w:rPr>
                <w:bCs/>
                <w:sz w:val="20"/>
                <w:szCs w:val="20"/>
              </w:rPr>
            </w:pPr>
            <w:r w:rsidRPr="008B6A75">
              <w:rPr>
                <w:bCs/>
                <w:sz w:val="20"/>
                <w:szCs w:val="20"/>
              </w:rPr>
              <w:t xml:space="preserve">Реализация мероприятий по обеспечению сбалансированности местных </w:t>
            </w:r>
            <w:proofErr w:type="gramStart"/>
            <w:r w:rsidRPr="008B6A75">
              <w:rPr>
                <w:bCs/>
                <w:sz w:val="20"/>
                <w:szCs w:val="20"/>
              </w:rPr>
              <w:t>бюджетов  государственной</w:t>
            </w:r>
            <w:proofErr w:type="gramEnd"/>
            <w:r w:rsidRPr="008B6A75">
              <w:rPr>
                <w:bCs/>
                <w:sz w:val="20"/>
                <w:szCs w:val="20"/>
              </w:rPr>
              <w:t xml:space="preserve"> программы Новосибирской области "Управление  финансами в Новосибирской области"</w:t>
            </w:r>
          </w:p>
        </w:tc>
        <w:tc>
          <w:tcPr>
            <w:tcW w:w="1559" w:type="dxa"/>
            <w:tcBorders>
              <w:top w:val="nil"/>
              <w:left w:val="single" w:sz="4" w:space="0" w:color="auto"/>
              <w:bottom w:val="single" w:sz="4" w:space="0" w:color="auto"/>
              <w:right w:val="nil"/>
            </w:tcBorders>
            <w:shd w:val="clear" w:color="auto" w:fill="auto"/>
            <w:noWrap/>
            <w:vAlign w:val="center"/>
            <w:hideMark/>
          </w:tcPr>
          <w:p w14:paraId="36997AC0" w14:textId="77777777" w:rsidR="00387142" w:rsidRPr="008B6A75" w:rsidRDefault="00387142" w:rsidP="00387142">
            <w:pPr>
              <w:jc w:val="center"/>
              <w:rPr>
                <w:bCs/>
                <w:sz w:val="20"/>
                <w:szCs w:val="20"/>
              </w:rPr>
            </w:pPr>
            <w:r w:rsidRPr="008B6A75">
              <w:rPr>
                <w:bCs/>
                <w:sz w:val="20"/>
                <w:szCs w:val="20"/>
              </w:rPr>
              <w:t>07.1.00.70510</w:t>
            </w:r>
          </w:p>
        </w:tc>
        <w:tc>
          <w:tcPr>
            <w:tcW w:w="850" w:type="dxa"/>
            <w:tcBorders>
              <w:top w:val="nil"/>
              <w:left w:val="single" w:sz="4" w:space="0" w:color="auto"/>
              <w:bottom w:val="single" w:sz="4" w:space="0" w:color="auto"/>
              <w:right w:val="nil"/>
            </w:tcBorders>
            <w:shd w:val="clear" w:color="auto" w:fill="auto"/>
            <w:noWrap/>
            <w:vAlign w:val="center"/>
            <w:hideMark/>
          </w:tcPr>
          <w:p w14:paraId="3906F4D0" w14:textId="77777777" w:rsidR="00387142" w:rsidRPr="008B6A75" w:rsidRDefault="00387142" w:rsidP="00387142">
            <w:pPr>
              <w:jc w:val="center"/>
              <w:rPr>
                <w:bCs/>
                <w:sz w:val="20"/>
                <w:szCs w:val="20"/>
              </w:rPr>
            </w:pPr>
            <w:r w:rsidRPr="008B6A75">
              <w:rPr>
                <w:bCs/>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5AEA99F7" w14:textId="77777777" w:rsidR="00387142" w:rsidRPr="008B6A75" w:rsidRDefault="00387142" w:rsidP="00387142">
            <w:pPr>
              <w:jc w:val="center"/>
              <w:rPr>
                <w:bCs/>
                <w:sz w:val="20"/>
                <w:szCs w:val="20"/>
              </w:rPr>
            </w:pPr>
            <w:r w:rsidRPr="008B6A75">
              <w:rPr>
                <w:bCs/>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752180BA" w14:textId="77777777" w:rsidR="00387142" w:rsidRPr="008B6A75" w:rsidRDefault="00387142" w:rsidP="00387142">
            <w:pPr>
              <w:jc w:val="center"/>
              <w:rPr>
                <w:bCs/>
                <w:sz w:val="20"/>
                <w:szCs w:val="20"/>
              </w:rPr>
            </w:pPr>
            <w:r w:rsidRPr="008B6A75">
              <w:rPr>
                <w:bCs/>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1546445" w14:textId="77777777" w:rsidR="00387142" w:rsidRPr="008B6A75" w:rsidRDefault="00387142" w:rsidP="00387142">
            <w:pPr>
              <w:jc w:val="right"/>
              <w:rPr>
                <w:bCs/>
                <w:sz w:val="20"/>
                <w:szCs w:val="20"/>
              </w:rPr>
            </w:pPr>
            <w:r w:rsidRPr="008B6A75">
              <w:rPr>
                <w:bCs/>
                <w:sz w:val="20"/>
                <w:szCs w:val="20"/>
              </w:rPr>
              <w:t>319 873 427,64</w:t>
            </w:r>
          </w:p>
        </w:tc>
        <w:tc>
          <w:tcPr>
            <w:tcW w:w="851" w:type="dxa"/>
            <w:tcBorders>
              <w:top w:val="nil"/>
              <w:left w:val="single" w:sz="4" w:space="0" w:color="auto"/>
              <w:bottom w:val="single" w:sz="4" w:space="0" w:color="auto"/>
              <w:right w:val="nil"/>
            </w:tcBorders>
            <w:shd w:val="clear" w:color="auto" w:fill="auto"/>
            <w:noWrap/>
            <w:vAlign w:val="center"/>
            <w:hideMark/>
          </w:tcPr>
          <w:p w14:paraId="3D9778EB" w14:textId="77777777" w:rsidR="00387142" w:rsidRPr="008B6A75" w:rsidRDefault="00387142" w:rsidP="00387142">
            <w:pPr>
              <w:jc w:val="right"/>
              <w:rPr>
                <w:bCs/>
                <w:sz w:val="20"/>
                <w:szCs w:val="20"/>
              </w:rPr>
            </w:pPr>
            <w:r w:rsidRPr="008B6A75">
              <w:rPr>
                <w:bCs/>
                <w:sz w:val="20"/>
                <w:szCs w:val="20"/>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77069EA4" w14:textId="77777777" w:rsidR="00387142" w:rsidRPr="008B6A75" w:rsidRDefault="00387142" w:rsidP="00387142">
            <w:pPr>
              <w:jc w:val="right"/>
              <w:rPr>
                <w:bCs/>
                <w:sz w:val="20"/>
                <w:szCs w:val="20"/>
              </w:rPr>
            </w:pPr>
            <w:r w:rsidRPr="008B6A75">
              <w:rPr>
                <w:bCs/>
                <w:sz w:val="20"/>
                <w:szCs w:val="20"/>
              </w:rPr>
              <w:t>0,00</w:t>
            </w:r>
          </w:p>
        </w:tc>
      </w:tr>
      <w:tr w:rsidR="00387142" w:rsidRPr="008B6A75" w14:paraId="70CBACF8" w14:textId="77777777" w:rsidTr="00387142">
        <w:trPr>
          <w:trHeight w:val="1440"/>
        </w:trPr>
        <w:tc>
          <w:tcPr>
            <w:tcW w:w="272" w:type="dxa"/>
            <w:tcBorders>
              <w:top w:val="nil"/>
              <w:left w:val="nil"/>
              <w:bottom w:val="nil"/>
              <w:right w:val="single" w:sz="4" w:space="0" w:color="auto"/>
            </w:tcBorders>
            <w:shd w:val="clear" w:color="auto" w:fill="auto"/>
            <w:noWrap/>
            <w:vAlign w:val="bottom"/>
            <w:hideMark/>
          </w:tcPr>
          <w:p w14:paraId="457DF3C4"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0BFD6CF0" w14:textId="77777777" w:rsidR="00387142" w:rsidRPr="008B6A75" w:rsidRDefault="00387142" w:rsidP="00387142">
            <w:pPr>
              <w:rPr>
                <w:sz w:val="20"/>
                <w:szCs w:val="20"/>
              </w:rPr>
            </w:pPr>
            <w:r w:rsidRPr="008B6A7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single" w:sz="4" w:space="0" w:color="auto"/>
              <w:bottom w:val="single" w:sz="4" w:space="0" w:color="auto"/>
              <w:right w:val="nil"/>
            </w:tcBorders>
            <w:shd w:val="clear" w:color="auto" w:fill="auto"/>
            <w:noWrap/>
            <w:vAlign w:val="center"/>
            <w:hideMark/>
          </w:tcPr>
          <w:p w14:paraId="1448F8A6" w14:textId="77777777" w:rsidR="00387142" w:rsidRPr="008B6A75" w:rsidRDefault="00387142" w:rsidP="00387142">
            <w:pPr>
              <w:jc w:val="center"/>
              <w:rPr>
                <w:sz w:val="20"/>
                <w:szCs w:val="20"/>
              </w:rPr>
            </w:pPr>
            <w:r w:rsidRPr="008B6A75">
              <w:rPr>
                <w:sz w:val="20"/>
                <w:szCs w:val="20"/>
              </w:rPr>
              <w:t>07.1.00.70510</w:t>
            </w:r>
          </w:p>
        </w:tc>
        <w:tc>
          <w:tcPr>
            <w:tcW w:w="850" w:type="dxa"/>
            <w:tcBorders>
              <w:top w:val="nil"/>
              <w:left w:val="single" w:sz="4" w:space="0" w:color="auto"/>
              <w:bottom w:val="single" w:sz="4" w:space="0" w:color="auto"/>
              <w:right w:val="nil"/>
            </w:tcBorders>
            <w:shd w:val="clear" w:color="auto" w:fill="auto"/>
            <w:noWrap/>
            <w:vAlign w:val="center"/>
            <w:hideMark/>
          </w:tcPr>
          <w:p w14:paraId="4E77BA64" w14:textId="77777777" w:rsidR="00387142" w:rsidRPr="008B6A75" w:rsidRDefault="00387142" w:rsidP="00387142">
            <w:pPr>
              <w:jc w:val="center"/>
              <w:rPr>
                <w:sz w:val="20"/>
                <w:szCs w:val="20"/>
              </w:rPr>
            </w:pPr>
            <w:r w:rsidRPr="008B6A75">
              <w:rPr>
                <w:sz w:val="20"/>
                <w:szCs w:val="20"/>
              </w:rPr>
              <w:t>100</w:t>
            </w:r>
          </w:p>
        </w:tc>
        <w:tc>
          <w:tcPr>
            <w:tcW w:w="567" w:type="dxa"/>
            <w:tcBorders>
              <w:top w:val="nil"/>
              <w:left w:val="single" w:sz="4" w:space="0" w:color="auto"/>
              <w:bottom w:val="single" w:sz="4" w:space="0" w:color="auto"/>
              <w:right w:val="nil"/>
            </w:tcBorders>
            <w:shd w:val="clear" w:color="auto" w:fill="auto"/>
            <w:noWrap/>
            <w:vAlign w:val="center"/>
            <w:hideMark/>
          </w:tcPr>
          <w:p w14:paraId="6236701C" w14:textId="77777777" w:rsidR="00387142" w:rsidRPr="008B6A75" w:rsidRDefault="00387142" w:rsidP="00387142">
            <w:pPr>
              <w:jc w:val="center"/>
              <w:rPr>
                <w:sz w:val="20"/>
                <w:szCs w:val="20"/>
              </w:rPr>
            </w:pPr>
            <w:r w:rsidRPr="008B6A75">
              <w:rPr>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5D77BD95" w14:textId="77777777" w:rsidR="00387142" w:rsidRPr="008B6A75" w:rsidRDefault="00387142" w:rsidP="00387142">
            <w:pPr>
              <w:jc w:val="center"/>
              <w:rPr>
                <w:sz w:val="20"/>
                <w:szCs w:val="20"/>
              </w:rPr>
            </w:pPr>
            <w:r w:rsidRPr="008B6A75">
              <w:rPr>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5B0EE0B" w14:textId="77777777" w:rsidR="00387142" w:rsidRPr="008B6A75" w:rsidRDefault="00387142" w:rsidP="00387142">
            <w:pPr>
              <w:jc w:val="right"/>
              <w:rPr>
                <w:sz w:val="20"/>
                <w:szCs w:val="20"/>
              </w:rPr>
            </w:pPr>
            <w:r w:rsidRPr="008B6A75">
              <w:rPr>
                <w:sz w:val="20"/>
                <w:szCs w:val="20"/>
              </w:rPr>
              <w:t>167 930 412,56</w:t>
            </w:r>
          </w:p>
        </w:tc>
        <w:tc>
          <w:tcPr>
            <w:tcW w:w="851" w:type="dxa"/>
            <w:tcBorders>
              <w:top w:val="nil"/>
              <w:left w:val="single" w:sz="4" w:space="0" w:color="auto"/>
              <w:bottom w:val="single" w:sz="4" w:space="0" w:color="auto"/>
              <w:right w:val="nil"/>
            </w:tcBorders>
            <w:shd w:val="clear" w:color="auto" w:fill="auto"/>
            <w:noWrap/>
            <w:vAlign w:val="center"/>
            <w:hideMark/>
          </w:tcPr>
          <w:p w14:paraId="7FA911EE" w14:textId="77777777" w:rsidR="00387142" w:rsidRPr="008B6A75" w:rsidRDefault="00387142" w:rsidP="00387142">
            <w:pPr>
              <w:jc w:val="right"/>
              <w:rPr>
                <w:sz w:val="20"/>
                <w:szCs w:val="20"/>
              </w:rPr>
            </w:pPr>
            <w:r w:rsidRPr="008B6A75">
              <w:rPr>
                <w:sz w:val="20"/>
                <w:szCs w:val="20"/>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1421D3EB" w14:textId="77777777" w:rsidR="00387142" w:rsidRPr="008B6A75" w:rsidRDefault="00387142" w:rsidP="00387142">
            <w:pPr>
              <w:jc w:val="right"/>
              <w:rPr>
                <w:sz w:val="20"/>
                <w:szCs w:val="20"/>
              </w:rPr>
            </w:pPr>
            <w:r w:rsidRPr="008B6A75">
              <w:rPr>
                <w:sz w:val="20"/>
                <w:szCs w:val="20"/>
              </w:rPr>
              <w:t>0,00</w:t>
            </w:r>
          </w:p>
        </w:tc>
      </w:tr>
      <w:tr w:rsidR="00387142" w:rsidRPr="008B6A75" w14:paraId="0206F411" w14:textId="77777777" w:rsidTr="00387142">
        <w:trPr>
          <w:trHeight w:val="585"/>
        </w:trPr>
        <w:tc>
          <w:tcPr>
            <w:tcW w:w="272" w:type="dxa"/>
            <w:tcBorders>
              <w:top w:val="nil"/>
              <w:left w:val="nil"/>
              <w:bottom w:val="nil"/>
              <w:right w:val="single" w:sz="4" w:space="0" w:color="auto"/>
            </w:tcBorders>
            <w:shd w:val="clear" w:color="auto" w:fill="auto"/>
            <w:noWrap/>
            <w:vAlign w:val="bottom"/>
            <w:hideMark/>
          </w:tcPr>
          <w:p w14:paraId="50B794B0"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2DD001AD" w14:textId="77777777" w:rsidR="00387142" w:rsidRPr="008B6A75" w:rsidRDefault="00387142" w:rsidP="00387142">
            <w:pPr>
              <w:rPr>
                <w:sz w:val="20"/>
                <w:szCs w:val="20"/>
              </w:rPr>
            </w:pPr>
            <w:r w:rsidRPr="008B6A75">
              <w:rPr>
                <w:sz w:val="20"/>
                <w:szCs w:val="20"/>
              </w:rPr>
              <w:t>Расходы на выплаты персоналу казенных учреждений</w:t>
            </w:r>
          </w:p>
        </w:tc>
        <w:tc>
          <w:tcPr>
            <w:tcW w:w="1559" w:type="dxa"/>
            <w:tcBorders>
              <w:top w:val="nil"/>
              <w:left w:val="single" w:sz="4" w:space="0" w:color="auto"/>
              <w:bottom w:val="single" w:sz="4" w:space="0" w:color="auto"/>
              <w:right w:val="nil"/>
            </w:tcBorders>
            <w:shd w:val="clear" w:color="auto" w:fill="auto"/>
            <w:noWrap/>
            <w:vAlign w:val="center"/>
            <w:hideMark/>
          </w:tcPr>
          <w:p w14:paraId="1FDD063E" w14:textId="77777777" w:rsidR="00387142" w:rsidRPr="008B6A75" w:rsidRDefault="00387142" w:rsidP="00387142">
            <w:pPr>
              <w:jc w:val="center"/>
              <w:rPr>
                <w:sz w:val="20"/>
                <w:szCs w:val="20"/>
              </w:rPr>
            </w:pPr>
            <w:r w:rsidRPr="008B6A75">
              <w:rPr>
                <w:sz w:val="20"/>
                <w:szCs w:val="20"/>
              </w:rPr>
              <w:t>07.1.00.70510</w:t>
            </w:r>
          </w:p>
        </w:tc>
        <w:tc>
          <w:tcPr>
            <w:tcW w:w="850" w:type="dxa"/>
            <w:tcBorders>
              <w:top w:val="nil"/>
              <w:left w:val="single" w:sz="4" w:space="0" w:color="auto"/>
              <w:bottom w:val="single" w:sz="4" w:space="0" w:color="auto"/>
              <w:right w:val="nil"/>
            </w:tcBorders>
            <w:shd w:val="clear" w:color="auto" w:fill="auto"/>
            <w:noWrap/>
            <w:vAlign w:val="center"/>
            <w:hideMark/>
          </w:tcPr>
          <w:p w14:paraId="7D453B6E" w14:textId="77777777" w:rsidR="00387142" w:rsidRPr="008B6A75" w:rsidRDefault="00387142" w:rsidP="00387142">
            <w:pPr>
              <w:jc w:val="center"/>
              <w:rPr>
                <w:sz w:val="20"/>
                <w:szCs w:val="20"/>
              </w:rPr>
            </w:pPr>
            <w:r w:rsidRPr="008B6A75">
              <w:rPr>
                <w:sz w:val="20"/>
                <w:szCs w:val="20"/>
              </w:rPr>
              <w:t>110</w:t>
            </w:r>
          </w:p>
        </w:tc>
        <w:tc>
          <w:tcPr>
            <w:tcW w:w="567" w:type="dxa"/>
            <w:tcBorders>
              <w:top w:val="nil"/>
              <w:left w:val="single" w:sz="4" w:space="0" w:color="auto"/>
              <w:bottom w:val="single" w:sz="4" w:space="0" w:color="auto"/>
              <w:right w:val="nil"/>
            </w:tcBorders>
            <w:shd w:val="clear" w:color="auto" w:fill="auto"/>
            <w:noWrap/>
            <w:vAlign w:val="center"/>
            <w:hideMark/>
          </w:tcPr>
          <w:p w14:paraId="6405F307" w14:textId="77777777" w:rsidR="00387142" w:rsidRPr="008B6A75" w:rsidRDefault="00387142" w:rsidP="00387142">
            <w:pPr>
              <w:jc w:val="center"/>
              <w:rPr>
                <w:sz w:val="20"/>
                <w:szCs w:val="20"/>
              </w:rPr>
            </w:pPr>
            <w:r w:rsidRPr="008B6A75">
              <w:rPr>
                <w:sz w:val="20"/>
                <w:szCs w:val="20"/>
              </w:rPr>
              <w:t>07</w:t>
            </w:r>
          </w:p>
        </w:tc>
        <w:tc>
          <w:tcPr>
            <w:tcW w:w="567" w:type="dxa"/>
            <w:tcBorders>
              <w:top w:val="nil"/>
              <w:left w:val="single" w:sz="4" w:space="0" w:color="auto"/>
              <w:bottom w:val="single" w:sz="4" w:space="0" w:color="auto"/>
              <w:right w:val="nil"/>
            </w:tcBorders>
            <w:shd w:val="clear" w:color="auto" w:fill="auto"/>
            <w:noWrap/>
            <w:vAlign w:val="center"/>
            <w:hideMark/>
          </w:tcPr>
          <w:p w14:paraId="53494E59" w14:textId="77777777" w:rsidR="00387142" w:rsidRPr="008B6A75" w:rsidRDefault="00387142" w:rsidP="00387142">
            <w:pPr>
              <w:jc w:val="center"/>
              <w:rPr>
                <w:sz w:val="20"/>
                <w:szCs w:val="20"/>
              </w:rPr>
            </w:pPr>
            <w:r w:rsidRPr="008B6A75">
              <w:rPr>
                <w:sz w:val="20"/>
                <w:szCs w:val="20"/>
              </w:rPr>
              <w:t>01</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E4FA15F" w14:textId="77777777" w:rsidR="00387142" w:rsidRPr="008B6A75" w:rsidRDefault="00387142" w:rsidP="00387142">
            <w:pPr>
              <w:jc w:val="right"/>
              <w:rPr>
                <w:sz w:val="20"/>
                <w:szCs w:val="20"/>
              </w:rPr>
            </w:pPr>
            <w:r w:rsidRPr="008B6A75">
              <w:rPr>
                <w:sz w:val="20"/>
                <w:szCs w:val="20"/>
              </w:rPr>
              <w:t>69 864 793,66</w:t>
            </w:r>
          </w:p>
        </w:tc>
        <w:tc>
          <w:tcPr>
            <w:tcW w:w="851" w:type="dxa"/>
            <w:tcBorders>
              <w:top w:val="nil"/>
              <w:left w:val="single" w:sz="4" w:space="0" w:color="auto"/>
              <w:bottom w:val="single" w:sz="4" w:space="0" w:color="auto"/>
              <w:right w:val="nil"/>
            </w:tcBorders>
            <w:shd w:val="clear" w:color="auto" w:fill="auto"/>
            <w:noWrap/>
            <w:vAlign w:val="center"/>
            <w:hideMark/>
          </w:tcPr>
          <w:p w14:paraId="0FEE88B7" w14:textId="77777777" w:rsidR="00387142" w:rsidRPr="008B6A75" w:rsidRDefault="00387142" w:rsidP="00387142">
            <w:pPr>
              <w:jc w:val="right"/>
              <w:rPr>
                <w:sz w:val="20"/>
                <w:szCs w:val="20"/>
              </w:rPr>
            </w:pPr>
            <w:r w:rsidRPr="008B6A75">
              <w:rPr>
                <w:sz w:val="20"/>
                <w:szCs w:val="20"/>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4CFF87BB" w14:textId="77777777" w:rsidR="00387142" w:rsidRPr="008B6A75" w:rsidRDefault="00387142" w:rsidP="00387142">
            <w:pPr>
              <w:jc w:val="right"/>
              <w:rPr>
                <w:sz w:val="20"/>
                <w:szCs w:val="20"/>
              </w:rPr>
            </w:pPr>
            <w:r w:rsidRPr="008B6A75">
              <w:rPr>
                <w:sz w:val="20"/>
                <w:szCs w:val="20"/>
              </w:rPr>
              <w:t>0,00</w:t>
            </w:r>
          </w:p>
        </w:tc>
      </w:tr>
      <w:tr w:rsidR="00387142" w:rsidRPr="008B6A75" w14:paraId="30F0148F" w14:textId="77777777" w:rsidTr="00387142">
        <w:trPr>
          <w:trHeight w:val="585"/>
        </w:trPr>
        <w:tc>
          <w:tcPr>
            <w:tcW w:w="272" w:type="dxa"/>
            <w:tcBorders>
              <w:top w:val="nil"/>
              <w:left w:val="nil"/>
              <w:bottom w:val="nil"/>
              <w:right w:val="single" w:sz="4" w:space="0" w:color="auto"/>
            </w:tcBorders>
            <w:shd w:val="clear" w:color="auto" w:fill="auto"/>
            <w:noWrap/>
            <w:vAlign w:val="bottom"/>
            <w:hideMark/>
          </w:tcPr>
          <w:p w14:paraId="5FCDEF90"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7A6C5AC7" w14:textId="77777777" w:rsidR="00387142" w:rsidRPr="008B6A75" w:rsidRDefault="00387142" w:rsidP="00387142">
            <w:pPr>
              <w:rPr>
                <w:sz w:val="20"/>
                <w:szCs w:val="20"/>
              </w:rPr>
            </w:pPr>
            <w:r w:rsidRPr="008B6A75">
              <w:rPr>
                <w:sz w:val="20"/>
                <w:szCs w:val="20"/>
              </w:rPr>
              <w:t>Расходы на выплаты персоналу казенных учреждений</w:t>
            </w:r>
          </w:p>
        </w:tc>
        <w:tc>
          <w:tcPr>
            <w:tcW w:w="1559" w:type="dxa"/>
            <w:tcBorders>
              <w:top w:val="nil"/>
              <w:left w:val="single" w:sz="4" w:space="0" w:color="auto"/>
              <w:bottom w:val="single" w:sz="4" w:space="0" w:color="auto"/>
              <w:right w:val="nil"/>
            </w:tcBorders>
            <w:shd w:val="clear" w:color="auto" w:fill="auto"/>
            <w:noWrap/>
            <w:vAlign w:val="center"/>
            <w:hideMark/>
          </w:tcPr>
          <w:p w14:paraId="29E3719D" w14:textId="77777777" w:rsidR="00387142" w:rsidRPr="008B6A75" w:rsidRDefault="00387142" w:rsidP="00387142">
            <w:pPr>
              <w:jc w:val="center"/>
              <w:rPr>
                <w:sz w:val="20"/>
                <w:szCs w:val="20"/>
              </w:rPr>
            </w:pPr>
            <w:r w:rsidRPr="008B6A75">
              <w:rPr>
                <w:sz w:val="20"/>
                <w:szCs w:val="20"/>
              </w:rPr>
              <w:t>07.1.00.70510</w:t>
            </w:r>
          </w:p>
        </w:tc>
        <w:tc>
          <w:tcPr>
            <w:tcW w:w="850" w:type="dxa"/>
            <w:tcBorders>
              <w:top w:val="nil"/>
              <w:left w:val="single" w:sz="4" w:space="0" w:color="auto"/>
              <w:bottom w:val="single" w:sz="4" w:space="0" w:color="auto"/>
              <w:right w:val="nil"/>
            </w:tcBorders>
            <w:shd w:val="clear" w:color="auto" w:fill="auto"/>
            <w:noWrap/>
            <w:vAlign w:val="center"/>
            <w:hideMark/>
          </w:tcPr>
          <w:p w14:paraId="158A6E7A" w14:textId="77777777" w:rsidR="00387142" w:rsidRPr="008B6A75" w:rsidRDefault="00387142" w:rsidP="00387142">
            <w:pPr>
              <w:jc w:val="center"/>
              <w:rPr>
                <w:sz w:val="20"/>
                <w:szCs w:val="20"/>
              </w:rPr>
            </w:pPr>
            <w:r w:rsidRPr="008B6A75">
              <w:rPr>
                <w:sz w:val="20"/>
                <w:szCs w:val="20"/>
              </w:rPr>
              <w:t>110</w:t>
            </w:r>
          </w:p>
        </w:tc>
        <w:tc>
          <w:tcPr>
            <w:tcW w:w="567" w:type="dxa"/>
            <w:tcBorders>
              <w:top w:val="nil"/>
              <w:left w:val="single" w:sz="4" w:space="0" w:color="auto"/>
              <w:bottom w:val="single" w:sz="4" w:space="0" w:color="auto"/>
              <w:right w:val="nil"/>
            </w:tcBorders>
            <w:shd w:val="clear" w:color="auto" w:fill="auto"/>
            <w:noWrap/>
            <w:vAlign w:val="center"/>
            <w:hideMark/>
          </w:tcPr>
          <w:p w14:paraId="7ABCFB02" w14:textId="77777777" w:rsidR="00387142" w:rsidRPr="008B6A75" w:rsidRDefault="00387142" w:rsidP="00387142">
            <w:pPr>
              <w:jc w:val="center"/>
              <w:rPr>
                <w:sz w:val="20"/>
                <w:szCs w:val="20"/>
              </w:rPr>
            </w:pPr>
            <w:r w:rsidRPr="008B6A75">
              <w:rPr>
                <w:sz w:val="20"/>
                <w:szCs w:val="20"/>
              </w:rPr>
              <w:t>07</w:t>
            </w:r>
          </w:p>
        </w:tc>
        <w:tc>
          <w:tcPr>
            <w:tcW w:w="567" w:type="dxa"/>
            <w:tcBorders>
              <w:top w:val="nil"/>
              <w:left w:val="single" w:sz="4" w:space="0" w:color="auto"/>
              <w:bottom w:val="single" w:sz="4" w:space="0" w:color="auto"/>
              <w:right w:val="nil"/>
            </w:tcBorders>
            <w:shd w:val="clear" w:color="auto" w:fill="auto"/>
            <w:noWrap/>
            <w:vAlign w:val="center"/>
            <w:hideMark/>
          </w:tcPr>
          <w:p w14:paraId="3EF680E0" w14:textId="77777777" w:rsidR="00387142" w:rsidRPr="008B6A75" w:rsidRDefault="00387142" w:rsidP="00387142">
            <w:pPr>
              <w:jc w:val="center"/>
              <w:rPr>
                <w:sz w:val="20"/>
                <w:szCs w:val="20"/>
              </w:rPr>
            </w:pPr>
            <w:r w:rsidRPr="008B6A75">
              <w:rPr>
                <w:sz w:val="20"/>
                <w:szCs w:val="20"/>
              </w:rPr>
              <w:t>02</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1BAE2AD" w14:textId="77777777" w:rsidR="00387142" w:rsidRPr="008B6A75" w:rsidRDefault="00387142" w:rsidP="00387142">
            <w:pPr>
              <w:jc w:val="right"/>
              <w:rPr>
                <w:sz w:val="20"/>
                <w:szCs w:val="20"/>
              </w:rPr>
            </w:pPr>
            <w:r w:rsidRPr="008B6A75">
              <w:rPr>
                <w:sz w:val="20"/>
                <w:szCs w:val="20"/>
              </w:rPr>
              <w:t>85 537 034,83</w:t>
            </w:r>
          </w:p>
        </w:tc>
        <w:tc>
          <w:tcPr>
            <w:tcW w:w="851" w:type="dxa"/>
            <w:tcBorders>
              <w:top w:val="nil"/>
              <w:left w:val="single" w:sz="4" w:space="0" w:color="auto"/>
              <w:bottom w:val="single" w:sz="4" w:space="0" w:color="auto"/>
              <w:right w:val="nil"/>
            </w:tcBorders>
            <w:shd w:val="clear" w:color="auto" w:fill="auto"/>
            <w:noWrap/>
            <w:vAlign w:val="center"/>
            <w:hideMark/>
          </w:tcPr>
          <w:p w14:paraId="4996BD65" w14:textId="77777777" w:rsidR="00387142" w:rsidRPr="008B6A75" w:rsidRDefault="00387142" w:rsidP="00387142">
            <w:pPr>
              <w:jc w:val="right"/>
              <w:rPr>
                <w:sz w:val="20"/>
                <w:szCs w:val="20"/>
              </w:rPr>
            </w:pPr>
            <w:r w:rsidRPr="008B6A75">
              <w:rPr>
                <w:sz w:val="20"/>
                <w:szCs w:val="20"/>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36ECAE86" w14:textId="77777777" w:rsidR="00387142" w:rsidRPr="008B6A75" w:rsidRDefault="00387142" w:rsidP="00387142">
            <w:pPr>
              <w:jc w:val="right"/>
              <w:rPr>
                <w:sz w:val="20"/>
                <w:szCs w:val="20"/>
              </w:rPr>
            </w:pPr>
            <w:r w:rsidRPr="008B6A75">
              <w:rPr>
                <w:sz w:val="20"/>
                <w:szCs w:val="20"/>
              </w:rPr>
              <w:t>0,00</w:t>
            </w:r>
          </w:p>
        </w:tc>
      </w:tr>
      <w:tr w:rsidR="00387142" w:rsidRPr="008B6A75" w14:paraId="1D7BB322" w14:textId="77777777" w:rsidTr="00387142">
        <w:trPr>
          <w:trHeight w:val="585"/>
        </w:trPr>
        <w:tc>
          <w:tcPr>
            <w:tcW w:w="272" w:type="dxa"/>
            <w:tcBorders>
              <w:top w:val="nil"/>
              <w:left w:val="nil"/>
              <w:bottom w:val="nil"/>
              <w:right w:val="single" w:sz="4" w:space="0" w:color="auto"/>
            </w:tcBorders>
            <w:shd w:val="clear" w:color="auto" w:fill="auto"/>
            <w:noWrap/>
            <w:vAlign w:val="bottom"/>
            <w:hideMark/>
          </w:tcPr>
          <w:p w14:paraId="05518F8A"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24FC4F97" w14:textId="77777777" w:rsidR="00387142" w:rsidRPr="008B6A75" w:rsidRDefault="00387142" w:rsidP="00387142">
            <w:pPr>
              <w:rPr>
                <w:sz w:val="20"/>
                <w:szCs w:val="20"/>
              </w:rPr>
            </w:pPr>
            <w:r w:rsidRPr="008B6A75">
              <w:rPr>
                <w:sz w:val="20"/>
                <w:szCs w:val="20"/>
              </w:rPr>
              <w:t>Расходы на выплаты персоналу казенных учреждений</w:t>
            </w:r>
          </w:p>
        </w:tc>
        <w:tc>
          <w:tcPr>
            <w:tcW w:w="1559" w:type="dxa"/>
            <w:tcBorders>
              <w:top w:val="nil"/>
              <w:left w:val="single" w:sz="4" w:space="0" w:color="auto"/>
              <w:bottom w:val="single" w:sz="4" w:space="0" w:color="auto"/>
              <w:right w:val="nil"/>
            </w:tcBorders>
            <w:shd w:val="clear" w:color="auto" w:fill="auto"/>
            <w:noWrap/>
            <w:vAlign w:val="center"/>
            <w:hideMark/>
          </w:tcPr>
          <w:p w14:paraId="7E861F01" w14:textId="77777777" w:rsidR="00387142" w:rsidRPr="008B6A75" w:rsidRDefault="00387142" w:rsidP="00387142">
            <w:pPr>
              <w:jc w:val="center"/>
              <w:rPr>
                <w:sz w:val="20"/>
                <w:szCs w:val="20"/>
              </w:rPr>
            </w:pPr>
            <w:r w:rsidRPr="008B6A75">
              <w:rPr>
                <w:sz w:val="20"/>
                <w:szCs w:val="20"/>
              </w:rPr>
              <w:t>07.1.00.70510</w:t>
            </w:r>
          </w:p>
        </w:tc>
        <w:tc>
          <w:tcPr>
            <w:tcW w:w="850" w:type="dxa"/>
            <w:tcBorders>
              <w:top w:val="nil"/>
              <w:left w:val="single" w:sz="4" w:space="0" w:color="auto"/>
              <w:bottom w:val="single" w:sz="4" w:space="0" w:color="auto"/>
              <w:right w:val="nil"/>
            </w:tcBorders>
            <w:shd w:val="clear" w:color="auto" w:fill="auto"/>
            <w:noWrap/>
            <w:vAlign w:val="center"/>
            <w:hideMark/>
          </w:tcPr>
          <w:p w14:paraId="7A6070AE" w14:textId="77777777" w:rsidR="00387142" w:rsidRPr="008B6A75" w:rsidRDefault="00387142" w:rsidP="00387142">
            <w:pPr>
              <w:jc w:val="center"/>
              <w:rPr>
                <w:sz w:val="20"/>
                <w:szCs w:val="20"/>
              </w:rPr>
            </w:pPr>
            <w:r w:rsidRPr="008B6A75">
              <w:rPr>
                <w:sz w:val="20"/>
                <w:szCs w:val="20"/>
              </w:rPr>
              <w:t>110</w:t>
            </w:r>
          </w:p>
        </w:tc>
        <w:tc>
          <w:tcPr>
            <w:tcW w:w="567" w:type="dxa"/>
            <w:tcBorders>
              <w:top w:val="nil"/>
              <w:left w:val="single" w:sz="4" w:space="0" w:color="auto"/>
              <w:bottom w:val="single" w:sz="4" w:space="0" w:color="auto"/>
              <w:right w:val="nil"/>
            </w:tcBorders>
            <w:shd w:val="clear" w:color="auto" w:fill="auto"/>
            <w:noWrap/>
            <w:vAlign w:val="center"/>
            <w:hideMark/>
          </w:tcPr>
          <w:p w14:paraId="60CFC536" w14:textId="77777777" w:rsidR="00387142" w:rsidRPr="008B6A75" w:rsidRDefault="00387142" w:rsidP="00387142">
            <w:pPr>
              <w:jc w:val="center"/>
              <w:rPr>
                <w:sz w:val="20"/>
                <w:szCs w:val="20"/>
              </w:rPr>
            </w:pPr>
            <w:r w:rsidRPr="008B6A75">
              <w:rPr>
                <w:sz w:val="20"/>
                <w:szCs w:val="20"/>
              </w:rPr>
              <w:t>07</w:t>
            </w:r>
          </w:p>
        </w:tc>
        <w:tc>
          <w:tcPr>
            <w:tcW w:w="567" w:type="dxa"/>
            <w:tcBorders>
              <w:top w:val="nil"/>
              <w:left w:val="single" w:sz="4" w:space="0" w:color="auto"/>
              <w:bottom w:val="single" w:sz="4" w:space="0" w:color="auto"/>
              <w:right w:val="nil"/>
            </w:tcBorders>
            <w:shd w:val="clear" w:color="auto" w:fill="auto"/>
            <w:noWrap/>
            <w:vAlign w:val="center"/>
            <w:hideMark/>
          </w:tcPr>
          <w:p w14:paraId="1DCD8827" w14:textId="77777777" w:rsidR="00387142" w:rsidRPr="008B6A75" w:rsidRDefault="00387142" w:rsidP="00387142">
            <w:pPr>
              <w:jc w:val="center"/>
              <w:rPr>
                <w:sz w:val="20"/>
                <w:szCs w:val="20"/>
              </w:rPr>
            </w:pPr>
            <w:r w:rsidRPr="008B6A75">
              <w:rPr>
                <w:sz w:val="20"/>
                <w:szCs w:val="20"/>
              </w:rPr>
              <w:t>03</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0ED0A58" w14:textId="77777777" w:rsidR="00387142" w:rsidRPr="008B6A75" w:rsidRDefault="00387142" w:rsidP="00387142">
            <w:pPr>
              <w:jc w:val="right"/>
              <w:rPr>
                <w:sz w:val="20"/>
                <w:szCs w:val="20"/>
              </w:rPr>
            </w:pPr>
            <w:r w:rsidRPr="008B6A75">
              <w:rPr>
                <w:sz w:val="20"/>
                <w:szCs w:val="20"/>
              </w:rPr>
              <w:t>2 192 937,63</w:t>
            </w:r>
          </w:p>
        </w:tc>
        <w:tc>
          <w:tcPr>
            <w:tcW w:w="851" w:type="dxa"/>
            <w:tcBorders>
              <w:top w:val="nil"/>
              <w:left w:val="single" w:sz="4" w:space="0" w:color="auto"/>
              <w:bottom w:val="single" w:sz="4" w:space="0" w:color="auto"/>
              <w:right w:val="nil"/>
            </w:tcBorders>
            <w:shd w:val="clear" w:color="auto" w:fill="auto"/>
            <w:noWrap/>
            <w:vAlign w:val="center"/>
            <w:hideMark/>
          </w:tcPr>
          <w:p w14:paraId="50B2CB6D" w14:textId="77777777" w:rsidR="00387142" w:rsidRPr="008B6A75" w:rsidRDefault="00387142" w:rsidP="00387142">
            <w:pPr>
              <w:jc w:val="right"/>
              <w:rPr>
                <w:sz w:val="20"/>
                <w:szCs w:val="20"/>
              </w:rPr>
            </w:pPr>
            <w:r w:rsidRPr="008B6A75">
              <w:rPr>
                <w:sz w:val="20"/>
                <w:szCs w:val="20"/>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7632FF5E" w14:textId="77777777" w:rsidR="00387142" w:rsidRPr="008B6A75" w:rsidRDefault="00387142" w:rsidP="00387142">
            <w:pPr>
              <w:jc w:val="right"/>
              <w:rPr>
                <w:sz w:val="20"/>
                <w:szCs w:val="20"/>
              </w:rPr>
            </w:pPr>
            <w:r w:rsidRPr="008B6A75">
              <w:rPr>
                <w:sz w:val="20"/>
                <w:szCs w:val="20"/>
              </w:rPr>
              <w:t>0,00</w:t>
            </w:r>
          </w:p>
        </w:tc>
      </w:tr>
      <w:tr w:rsidR="00387142" w:rsidRPr="008B6A75" w14:paraId="131CE33E" w14:textId="77777777" w:rsidTr="00387142">
        <w:trPr>
          <w:trHeight w:val="585"/>
        </w:trPr>
        <w:tc>
          <w:tcPr>
            <w:tcW w:w="272" w:type="dxa"/>
            <w:tcBorders>
              <w:top w:val="nil"/>
              <w:left w:val="nil"/>
              <w:bottom w:val="nil"/>
              <w:right w:val="single" w:sz="4" w:space="0" w:color="auto"/>
            </w:tcBorders>
            <w:shd w:val="clear" w:color="auto" w:fill="auto"/>
            <w:noWrap/>
            <w:vAlign w:val="bottom"/>
            <w:hideMark/>
          </w:tcPr>
          <w:p w14:paraId="2D93EE1A"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1F22319D" w14:textId="77777777" w:rsidR="00387142" w:rsidRPr="008B6A75" w:rsidRDefault="00387142" w:rsidP="00387142">
            <w:pPr>
              <w:rPr>
                <w:sz w:val="20"/>
                <w:szCs w:val="20"/>
              </w:rPr>
            </w:pPr>
            <w:r w:rsidRPr="008B6A75">
              <w:rPr>
                <w:sz w:val="20"/>
                <w:szCs w:val="20"/>
              </w:rPr>
              <w:t>Расходы на выплаты персоналу казенных учреждений</w:t>
            </w:r>
          </w:p>
        </w:tc>
        <w:tc>
          <w:tcPr>
            <w:tcW w:w="1559" w:type="dxa"/>
            <w:tcBorders>
              <w:top w:val="nil"/>
              <w:left w:val="single" w:sz="4" w:space="0" w:color="auto"/>
              <w:bottom w:val="single" w:sz="4" w:space="0" w:color="auto"/>
              <w:right w:val="nil"/>
            </w:tcBorders>
            <w:shd w:val="clear" w:color="auto" w:fill="auto"/>
            <w:noWrap/>
            <w:vAlign w:val="center"/>
            <w:hideMark/>
          </w:tcPr>
          <w:p w14:paraId="7DD62986" w14:textId="77777777" w:rsidR="00387142" w:rsidRPr="008B6A75" w:rsidRDefault="00387142" w:rsidP="00387142">
            <w:pPr>
              <w:jc w:val="center"/>
              <w:rPr>
                <w:sz w:val="20"/>
                <w:szCs w:val="20"/>
              </w:rPr>
            </w:pPr>
            <w:r w:rsidRPr="008B6A75">
              <w:rPr>
                <w:sz w:val="20"/>
                <w:szCs w:val="20"/>
              </w:rPr>
              <w:t>07.1.00.70510</w:t>
            </w:r>
          </w:p>
        </w:tc>
        <w:tc>
          <w:tcPr>
            <w:tcW w:w="850" w:type="dxa"/>
            <w:tcBorders>
              <w:top w:val="nil"/>
              <w:left w:val="single" w:sz="4" w:space="0" w:color="auto"/>
              <w:bottom w:val="single" w:sz="4" w:space="0" w:color="auto"/>
              <w:right w:val="nil"/>
            </w:tcBorders>
            <w:shd w:val="clear" w:color="auto" w:fill="auto"/>
            <w:noWrap/>
            <w:vAlign w:val="center"/>
            <w:hideMark/>
          </w:tcPr>
          <w:p w14:paraId="1C04038D" w14:textId="77777777" w:rsidR="00387142" w:rsidRPr="008B6A75" w:rsidRDefault="00387142" w:rsidP="00387142">
            <w:pPr>
              <w:jc w:val="center"/>
              <w:rPr>
                <w:sz w:val="20"/>
                <w:szCs w:val="20"/>
              </w:rPr>
            </w:pPr>
            <w:r w:rsidRPr="008B6A75">
              <w:rPr>
                <w:sz w:val="20"/>
                <w:szCs w:val="20"/>
              </w:rPr>
              <w:t>110</w:t>
            </w:r>
          </w:p>
        </w:tc>
        <w:tc>
          <w:tcPr>
            <w:tcW w:w="567" w:type="dxa"/>
            <w:tcBorders>
              <w:top w:val="nil"/>
              <w:left w:val="single" w:sz="4" w:space="0" w:color="auto"/>
              <w:bottom w:val="single" w:sz="4" w:space="0" w:color="auto"/>
              <w:right w:val="nil"/>
            </w:tcBorders>
            <w:shd w:val="clear" w:color="auto" w:fill="auto"/>
            <w:noWrap/>
            <w:vAlign w:val="center"/>
            <w:hideMark/>
          </w:tcPr>
          <w:p w14:paraId="6108F417" w14:textId="77777777" w:rsidR="00387142" w:rsidRPr="008B6A75" w:rsidRDefault="00387142" w:rsidP="00387142">
            <w:pPr>
              <w:jc w:val="center"/>
              <w:rPr>
                <w:sz w:val="20"/>
                <w:szCs w:val="20"/>
              </w:rPr>
            </w:pPr>
            <w:r w:rsidRPr="008B6A75">
              <w:rPr>
                <w:sz w:val="20"/>
                <w:szCs w:val="20"/>
              </w:rPr>
              <w:t>07</w:t>
            </w:r>
          </w:p>
        </w:tc>
        <w:tc>
          <w:tcPr>
            <w:tcW w:w="567" w:type="dxa"/>
            <w:tcBorders>
              <w:top w:val="nil"/>
              <w:left w:val="single" w:sz="4" w:space="0" w:color="auto"/>
              <w:bottom w:val="single" w:sz="4" w:space="0" w:color="auto"/>
              <w:right w:val="nil"/>
            </w:tcBorders>
            <w:shd w:val="clear" w:color="auto" w:fill="auto"/>
            <w:noWrap/>
            <w:vAlign w:val="center"/>
            <w:hideMark/>
          </w:tcPr>
          <w:p w14:paraId="2F88F537" w14:textId="77777777" w:rsidR="00387142" w:rsidRPr="008B6A75" w:rsidRDefault="00387142" w:rsidP="00387142">
            <w:pPr>
              <w:jc w:val="center"/>
              <w:rPr>
                <w:sz w:val="20"/>
                <w:szCs w:val="20"/>
              </w:rPr>
            </w:pPr>
            <w:r w:rsidRPr="008B6A75">
              <w:rPr>
                <w:sz w:val="20"/>
                <w:szCs w:val="20"/>
              </w:rPr>
              <w:t>05</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434172C" w14:textId="77777777" w:rsidR="00387142" w:rsidRPr="008B6A75" w:rsidRDefault="00387142" w:rsidP="00387142">
            <w:pPr>
              <w:jc w:val="right"/>
              <w:rPr>
                <w:sz w:val="20"/>
                <w:szCs w:val="20"/>
              </w:rPr>
            </w:pPr>
            <w:r w:rsidRPr="008B6A75">
              <w:rPr>
                <w:sz w:val="20"/>
                <w:szCs w:val="20"/>
              </w:rPr>
              <w:t>958 049,00</w:t>
            </w:r>
          </w:p>
        </w:tc>
        <w:tc>
          <w:tcPr>
            <w:tcW w:w="851" w:type="dxa"/>
            <w:tcBorders>
              <w:top w:val="nil"/>
              <w:left w:val="single" w:sz="4" w:space="0" w:color="auto"/>
              <w:bottom w:val="single" w:sz="4" w:space="0" w:color="auto"/>
              <w:right w:val="nil"/>
            </w:tcBorders>
            <w:shd w:val="clear" w:color="auto" w:fill="auto"/>
            <w:noWrap/>
            <w:vAlign w:val="center"/>
            <w:hideMark/>
          </w:tcPr>
          <w:p w14:paraId="4D69C4CE" w14:textId="77777777" w:rsidR="00387142" w:rsidRPr="008B6A75" w:rsidRDefault="00387142" w:rsidP="00387142">
            <w:pPr>
              <w:jc w:val="right"/>
              <w:rPr>
                <w:sz w:val="20"/>
                <w:szCs w:val="20"/>
              </w:rPr>
            </w:pPr>
            <w:r w:rsidRPr="008B6A75">
              <w:rPr>
                <w:sz w:val="20"/>
                <w:szCs w:val="20"/>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6DAFFA29" w14:textId="77777777" w:rsidR="00387142" w:rsidRPr="008B6A75" w:rsidRDefault="00387142" w:rsidP="00387142">
            <w:pPr>
              <w:jc w:val="right"/>
              <w:rPr>
                <w:sz w:val="20"/>
                <w:szCs w:val="20"/>
              </w:rPr>
            </w:pPr>
            <w:r w:rsidRPr="008B6A75">
              <w:rPr>
                <w:sz w:val="20"/>
                <w:szCs w:val="20"/>
              </w:rPr>
              <w:t>0,00</w:t>
            </w:r>
          </w:p>
        </w:tc>
      </w:tr>
      <w:tr w:rsidR="00387142" w:rsidRPr="008B6A75" w14:paraId="531B6959" w14:textId="77777777" w:rsidTr="00387142">
        <w:trPr>
          <w:trHeight w:val="585"/>
        </w:trPr>
        <w:tc>
          <w:tcPr>
            <w:tcW w:w="272" w:type="dxa"/>
            <w:tcBorders>
              <w:top w:val="nil"/>
              <w:left w:val="nil"/>
              <w:bottom w:val="nil"/>
              <w:right w:val="single" w:sz="4" w:space="0" w:color="auto"/>
            </w:tcBorders>
            <w:shd w:val="clear" w:color="auto" w:fill="auto"/>
            <w:noWrap/>
            <w:vAlign w:val="bottom"/>
            <w:hideMark/>
          </w:tcPr>
          <w:p w14:paraId="56468E2D"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6BC92737" w14:textId="77777777" w:rsidR="00387142" w:rsidRPr="008B6A75" w:rsidRDefault="00387142" w:rsidP="00387142">
            <w:pPr>
              <w:rPr>
                <w:sz w:val="20"/>
                <w:szCs w:val="20"/>
              </w:rPr>
            </w:pPr>
            <w:r w:rsidRPr="008B6A75">
              <w:rPr>
                <w:sz w:val="20"/>
                <w:szCs w:val="20"/>
              </w:rPr>
              <w:t>Расходы на выплаты персоналу казенных учреждений</w:t>
            </w:r>
          </w:p>
        </w:tc>
        <w:tc>
          <w:tcPr>
            <w:tcW w:w="1559" w:type="dxa"/>
            <w:tcBorders>
              <w:top w:val="nil"/>
              <w:left w:val="single" w:sz="4" w:space="0" w:color="auto"/>
              <w:bottom w:val="single" w:sz="4" w:space="0" w:color="auto"/>
              <w:right w:val="nil"/>
            </w:tcBorders>
            <w:shd w:val="clear" w:color="auto" w:fill="auto"/>
            <w:noWrap/>
            <w:vAlign w:val="center"/>
            <w:hideMark/>
          </w:tcPr>
          <w:p w14:paraId="1EF26524" w14:textId="77777777" w:rsidR="00387142" w:rsidRPr="008B6A75" w:rsidRDefault="00387142" w:rsidP="00387142">
            <w:pPr>
              <w:jc w:val="center"/>
              <w:rPr>
                <w:sz w:val="20"/>
                <w:szCs w:val="20"/>
              </w:rPr>
            </w:pPr>
            <w:r w:rsidRPr="008B6A75">
              <w:rPr>
                <w:sz w:val="20"/>
                <w:szCs w:val="20"/>
              </w:rPr>
              <w:t>07.1.00.70510</w:t>
            </w:r>
          </w:p>
        </w:tc>
        <w:tc>
          <w:tcPr>
            <w:tcW w:w="850" w:type="dxa"/>
            <w:tcBorders>
              <w:top w:val="nil"/>
              <w:left w:val="single" w:sz="4" w:space="0" w:color="auto"/>
              <w:bottom w:val="single" w:sz="4" w:space="0" w:color="auto"/>
              <w:right w:val="nil"/>
            </w:tcBorders>
            <w:shd w:val="clear" w:color="auto" w:fill="auto"/>
            <w:noWrap/>
            <w:vAlign w:val="center"/>
            <w:hideMark/>
          </w:tcPr>
          <w:p w14:paraId="541EC8CE" w14:textId="77777777" w:rsidR="00387142" w:rsidRPr="008B6A75" w:rsidRDefault="00387142" w:rsidP="00387142">
            <w:pPr>
              <w:jc w:val="center"/>
              <w:rPr>
                <w:sz w:val="20"/>
                <w:szCs w:val="20"/>
              </w:rPr>
            </w:pPr>
            <w:r w:rsidRPr="008B6A75">
              <w:rPr>
                <w:sz w:val="20"/>
                <w:szCs w:val="20"/>
              </w:rPr>
              <w:t>110</w:t>
            </w:r>
          </w:p>
        </w:tc>
        <w:tc>
          <w:tcPr>
            <w:tcW w:w="567" w:type="dxa"/>
            <w:tcBorders>
              <w:top w:val="nil"/>
              <w:left w:val="single" w:sz="4" w:space="0" w:color="auto"/>
              <w:bottom w:val="single" w:sz="4" w:space="0" w:color="auto"/>
              <w:right w:val="nil"/>
            </w:tcBorders>
            <w:shd w:val="clear" w:color="auto" w:fill="auto"/>
            <w:noWrap/>
            <w:vAlign w:val="center"/>
            <w:hideMark/>
          </w:tcPr>
          <w:p w14:paraId="3C0A5F8D" w14:textId="77777777" w:rsidR="00387142" w:rsidRPr="008B6A75" w:rsidRDefault="00387142" w:rsidP="00387142">
            <w:pPr>
              <w:jc w:val="center"/>
              <w:rPr>
                <w:sz w:val="20"/>
                <w:szCs w:val="20"/>
              </w:rPr>
            </w:pPr>
            <w:r w:rsidRPr="008B6A75">
              <w:rPr>
                <w:sz w:val="20"/>
                <w:szCs w:val="20"/>
              </w:rPr>
              <w:t>07</w:t>
            </w:r>
          </w:p>
        </w:tc>
        <w:tc>
          <w:tcPr>
            <w:tcW w:w="567" w:type="dxa"/>
            <w:tcBorders>
              <w:top w:val="nil"/>
              <w:left w:val="single" w:sz="4" w:space="0" w:color="auto"/>
              <w:bottom w:val="single" w:sz="4" w:space="0" w:color="auto"/>
              <w:right w:val="nil"/>
            </w:tcBorders>
            <w:shd w:val="clear" w:color="auto" w:fill="auto"/>
            <w:noWrap/>
            <w:vAlign w:val="center"/>
            <w:hideMark/>
          </w:tcPr>
          <w:p w14:paraId="75008075" w14:textId="77777777" w:rsidR="00387142" w:rsidRPr="008B6A75" w:rsidRDefault="00387142" w:rsidP="00387142">
            <w:pPr>
              <w:jc w:val="center"/>
              <w:rPr>
                <w:sz w:val="20"/>
                <w:szCs w:val="20"/>
              </w:rPr>
            </w:pPr>
            <w:r w:rsidRPr="008B6A75">
              <w:rPr>
                <w:sz w:val="20"/>
                <w:szCs w:val="20"/>
              </w:rPr>
              <w:t>09</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F4CF959" w14:textId="77777777" w:rsidR="00387142" w:rsidRPr="008B6A75" w:rsidRDefault="00387142" w:rsidP="00387142">
            <w:pPr>
              <w:jc w:val="right"/>
              <w:rPr>
                <w:sz w:val="20"/>
                <w:szCs w:val="20"/>
              </w:rPr>
            </w:pPr>
            <w:r w:rsidRPr="008B6A75">
              <w:rPr>
                <w:sz w:val="20"/>
                <w:szCs w:val="20"/>
              </w:rPr>
              <w:t>9 377 597,44</w:t>
            </w:r>
          </w:p>
        </w:tc>
        <w:tc>
          <w:tcPr>
            <w:tcW w:w="851" w:type="dxa"/>
            <w:tcBorders>
              <w:top w:val="nil"/>
              <w:left w:val="single" w:sz="4" w:space="0" w:color="auto"/>
              <w:bottom w:val="single" w:sz="4" w:space="0" w:color="auto"/>
              <w:right w:val="nil"/>
            </w:tcBorders>
            <w:shd w:val="clear" w:color="auto" w:fill="auto"/>
            <w:noWrap/>
            <w:vAlign w:val="center"/>
            <w:hideMark/>
          </w:tcPr>
          <w:p w14:paraId="37069417" w14:textId="77777777" w:rsidR="00387142" w:rsidRPr="008B6A75" w:rsidRDefault="00387142" w:rsidP="00387142">
            <w:pPr>
              <w:jc w:val="right"/>
              <w:rPr>
                <w:sz w:val="20"/>
                <w:szCs w:val="20"/>
              </w:rPr>
            </w:pPr>
            <w:r w:rsidRPr="008B6A75">
              <w:rPr>
                <w:sz w:val="20"/>
                <w:szCs w:val="20"/>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126BF825" w14:textId="77777777" w:rsidR="00387142" w:rsidRPr="008B6A75" w:rsidRDefault="00387142" w:rsidP="00387142">
            <w:pPr>
              <w:jc w:val="right"/>
              <w:rPr>
                <w:sz w:val="20"/>
                <w:szCs w:val="20"/>
              </w:rPr>
            </w:pPr>
            <w:r w:rsidRPr="008B6A75">
              <w:rPr>
                <w:sz w:val="20"/>
                <w:szCs w:val="20"/>
              </w:rPr>
              <w:t>0,00</w:t>
            </w:r>
          </w:p>
        </w:tc>
      </w:tr>
      <w:tr w:rsidR="00387142" w:rsidRPr="008B6A75" w14:paraId="2A3A89BC" w14:textId="77777777" w:rsidTr="00387142">
        <w:trPr>
          <w:trHeight w:val="585"/>
        </w:trPr>
        <w:tc>
          <w:tcPr>
            <w:tcW w:w="272" w:type="dxa"/>
            <w:tcBorders>
              <w:top w:val="nil"/>
              <w:left w:val="nil"/>
              <w:bottom w:val="nil"/>
              <w:right w:val="single" w:sz="4" w:space="0" w:color="auto"/>
            </w:tcBorders>
            <w:shd w:val="clear" w:color="auto" w:fill="auto"/>
            <w:noWrap/>
            <w:vAlign w:val="bottom"/>
            <w:hideMark/>
          </w:tcPr>
          <w:p w14:paraId="5DA5673A"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2D760B7D" w14:textId="77777777" w:rsidR="00387142" w:rsidRPr="008B6A75" w:rsidRDefault="00387142" w:rsidP="00387142">
            <w:pPr>
              <w:rPr>
                <w:sz w:val="20"/>
                <w:szCs w:val="20"/>
              </w:rPr>
            </w:pPr>
            <w:r w:rsidRPr="008B6A75">
              <w:rPr>
                <w:sz w:val="20"/>
                <w:szCs w:val="20"/>
              </w:rPr>
              <w:t>Закупка товаров, работ и услуг для обеспечения государственных (муниципальных) нужд</w:t>
            </w:r>
          </w:p>
        </w:tc>
        <w:tc>
          <w:tcPr>
            <w:tcW w:w="1559" w:type="dxa"/>
            <w:tcBorders>
              <w:top w:val="nil"/>
              <w:left w:val="single" w:sz="4" w:space="0" w:color="auto"/>
              <w:bottom w:val="single" w:sz="4" w:space="0" w:color="auto"/>
              <w:right w:val="nil"/>
            </w:tcBorders>
            <w:shd w:val="clear" w:color="auto" w:fill="auto"/>
            <w:noWrap/>
            <w:vAlign w:val="center"/>
            <w:hideMark/>
          </w:tcPr>
          <w:p w14:paraId="24A39813" w14:textId="77777777" w:rsidR="00387142" w:rsidRPr="008B6A75" w:rsidRDefault="00387142" w:rsidP="00387142">
            <w:pPr>
              <w:jc w:val="center"/>
              <w:rPr>
                <w:sz w:val="20"/>
                <w:szCs w:val="20"/>
              </w:rPr>
            </w:pPr>
            <w:r w:rsidRPr="008B6A75">
              <w:rPr>
                <w:sz w:val="20"/>
                <w:szCs w:val="20"/>
              </w:rPr>
              <w:t>07.1.00.70510</w:t>
            </w:r>
          </w:p>
        </w:tc>
        <w:tc>
          <w:tcPr>
            <w:tcW w:w="850" w:type="dxa"/>
            <w:tcBorders>
              <w:top w:val="nil"/>
              <w:left w:val="single" w:sz="4" w:space="0" w:color="auto"/>
              <w:bottom w:val="single" w:sz="4" w:space="0" w:color="auto"/>
              <w:right w:val="nil"/>
            </w:tcBorders>
            <w:shd w:val="clear" w:color="auto" w:fill="auto"/>
            <w:noWrap/>
            <w:vAlign w:val="center"/>
            <w:hideMark/>
          </w:tcPr>
          <w:p w14:paraId="330DC654" w14:textId="77777777" w:rsidR="00387142" w:rsidRPr="008B6A75" w:rsidRDefault="00387142" w:rsidP="00387142">
            <w:pPr>
              <w:jc w:val="center"/>
              <w:rPr>
                <w:sz w:val="20"/>
                <w:szCs w:val="20"/>
              </w:rPr>
            </w:pPr>
            <w:r w:rsidRPr="008B6A75">
              <w:rPr>
                <w:sz w:val="20"/>
                <w:szCs w:val="20"/>
              </w:rPr>
              <w:t>200</w:t>
            </w:r>
          </w:p>
        </w:tc>
        <w:tc>
          <w:tcPr>
            <w:tcW w:w="567" w:type="dxa"/>
            <w:tcBorders>
              <w:top w:val="nil"/>
              <w:left w:val="single" w:sz="4" w:space="0" w:color="auto"/>
              <w:bottom w:val="single" w:sz="4" w:space="0" w:color="auto"/>
              <w:right w:val="nil"/>
            </w:tcBorders>
            <w:shd w:val="clear" w:color="auto" w:fill="auto"/>
            <w:noWrap/>
            <w:vAlign w:val="center"/>
            <w:hideMark/>
          </w:tcPr>
          <w:p w14:paraId="327E4B8C" w14:textId="77777777" w:rsidR="00387142" w:rsidRPr="008B6A75" w:rsidRDefault="00387142" w:rsidP="00387142">
            <w:pPr>
              <w:jc w:val="center"/>
              <w:rPr>
                <w:sz w:val="20"/>
                <w:szCs w:val="20"/>
              </w:rPr>
            </w:pPr>
            <w:r w:rsidRPr="008B6A75">
              <w:rPr>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32251B31" w14:textId="77777777" w:rsidR="00387142" w:rsidRPr="008B6A75" w:rsidRDefault="00387142" w:rsidP="00387142">
            <w:pPr>
              <w:jc w:val="center"/>
              <w:rPr>
                <w:sz w:val="20"/>
                <w:szCs w:val="20"/>
              </w:rPr>
            </w:pPr>
            <w:r w:rsidRPr="008B6A75">
              <w:rPr>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490FEC4" w14:textId="77777777" w:rsidR="00387142" w:rsidRPr="008B6A75" w:rsidRDefault="00387142" w:rsidP="00387142">
            <w:pPr>
              <w:jc w:val="right"/>
              <w:rPr>
                <w:sz w:val="20"/>
                <w:szCs w:val="20"/>
              </w:rPr>
            </w:pPr>
            <w:r w:rsidRPr="008B6A75">
              <w:rPr>
                <w:sz w:val="20"/>
                <w:szCs w:val="20"/>
              </w:rPr>
              <w:t>1 016 232,18</w:t>
            </w:r>
          </w:p>
        </w:tc>
        <w:tc>
          <w:tcPr>
            <w:tcW w:w="851" w:type="dxa"/>
            <w:tcBorders>
              <w:top w:val="nil"/>
              <w:left w:val="single" w:sz="4" w:space="0" w:color="auto"/>
              <w:bottom w:val="single" w:sz="4" w:space="0" w:color="auto"/>
              <w:right w:val="nil"/>
            </w:tcBorders>
            <w:shd w:val="clear" w:color="auto" w:fill="auto"/>
            <w:noWrap/>
            <w:vAlign w:val="center"/>
            <w:hideMark/>
          </w:tcPr>
          <w:p w14:paraId="598A887B" w14:textId="77777777" w:rsidR="00387142" w:rsidRPr="008B6A75" w:rsidRDefault="00387142" w:rsidP="00387142">
            <w:pPr>
              <w:jc w:val="right"/>
              <w:rPr>
                <w:sz w:val="20"/>
                <w:szCs w:val="20"/>
              </w:rPr>
            </w:pPr>
            <w:r w:rsidRPr="008B6A75">
              <w:rPr>
                <w:sz w:val="20"/>
                <w:szCs w:val="20"/>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32A2CA60" w14:textId="77777777" w:rsidR="00387142" w:rsidRPr="008B6A75" w:rsidRDefault="00387142" w:rsidP="00387142">
            <w:pPr>
              <w:jc w:val="right"/>
              <w:rPr>
                <w:sz w:val="20"/>
                <w:szCs w:val="20"/>
              </w:rPr>
            </w:pPr>
            <w:r w:rsidRPr="008B6A75">
              <w:rPr>
                <w:sz w:val="20"/>
                <w:szCs w:val="20"/>
              </w:rPr>
              <w:t>0,00</w:t>
            </w:r>
          </w:p>
        </w:tc>
      </w:tr>
      <w:tr w:rsidR="00387142" w:rsidRPr="008B6A75" w14:paraId="00D79F0D" w14:textId="77777777" w:rsidTr="00387142">
        <w:trPr>
          <w:trHeight w:val="870"/>
        </w:trPr>
        <w:tc>
          <w:tcPr>
            <w:tcW w:w="272" w:type="dxa"/>
            <w:tcBorders>
              <w:top w:val="nil"/>
              <w:left w:val="nil"/>
              <w:bottom w:val="nil"/>
              <w:right w:val="single" w:sz="4" w:space="0" w:color="auto"/>
            </w:tcBorders>
            <w:shd w:val="clear" w:color="auto" w:fill="auto"/>
            <w:noWrap/>
            <w:vAlign w:val="bottom"/>
            <w:hideMark/>
          </w:tcPr>
          <w:p w14:paraId="22C2C85E"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258D742C" w14:textId="77777777" w:rsidR="00387142" w:rsidRPr="008B6A75" w:rsidRDefault="00387142" w:rsidP="00387142">
            <w:pPr>
              <w:rPr>
                <w:sz w:val="20"/>
                <w:szCs w:val="20"/>
              </w:rPr>
            </w:pPr>
            <w:r w:rsidRPr="008B6A75">
              <w:rPr>
                <w:sz w:val="20"/>
                <w:szCs w:val="20"/>
              </w:rPr>
              <w:t>Иные закупки товаров, работ и услуг для обеспечения государственных (муниципальных) нужд</w:t>
            </w:r>
          </w:p>
        </w:tc>
        <w:tc>
          <w:tcPr>
            <w:tcW w:w="1559" w:type="dxa"/>
            <w:tcBorders>
              <w:top w:val="nil"/>
              <w:left w:val="single" w:sz="4" w:space="0" w:color="auto"/>
              <w:bottom w:val="single" w:sz="4" w:space="0" w:color="auto"/>
              <w:right w:val="nil"/>
            </w:tcBorders>
            <w:shd w:val="clear" w:color="auto" w:fill="auto"/>
            <w:noWrap/>
            <w:vAlign w:val="center"/>
            <w:hideMark/>
          </w:tcPr>
          <w:p w14:paraId="3EAE9466" w14:textId="77777777" w:rsidR="00387142" w:rsidRPr="008B6A75" w:rsidRDefault="00387142" w:rsidP="00387142">
            <w:pPr>
              <w:jc w:val="center"/>
              <w:rPr>
                <w:sz w:val="20"/>
                <w:szCs w:val="20"/>
              </w:rPr>
            </w:pPr>
            <w:r w:rsidRPr="008B6A75">
              <w:rPr>
                <w:sz w:val="20"/>
                <w:szCs w:val="20"/>
              </w:rPr>
              <w:t>07.1.00.70510</w:t>
            </w:r>
          </w:p>
        </w:tc>
        <w:tc>
          <w:tcPr>
            <w:tcW w:w="850" w:type="dxa"/>
            <w:tcBorders>
              <w:top w:val="nil"/>
              <w:left w:val="single" w:sz="4" w:space="0" w:color="auto"/>
              <w:bottom w:val="single" w:sz="4" w:space="0" w:color="auto"/>
              <w:right w:val="nil"/>
            </w:tcBorders>
            <w:shd w:val="clear" w:color="auto" w:fill="auto"/>
            <w:noWrap/>
            <w:vAlign w:val="center"/>
            <w:hideMark/>
          </w:tcPr>
          <w:p w14:paraId="4A7FF3C8" w14:textId="77777777" w:rsidR="00387142" w:rsidRPr="008B6A75" w:rsidRDefault="00387142" w:rsidP="00387142">
            <w:pPr>
              <w:jc w:val="center"/>
              <w:rPr>
                <w:sz w:val="20"/>
                <w:szCs w:val="20"/>
              </w:rPr>
            </w:pPr>
            <w:r w:rsidRPr="008B6A75">
              <w:rPr>
                <w:sz w:val="20"/>
                <w:szCs w:val="20"/>
              </w:rPr>
              <w:t>240</w:t>
            </w:r>
          </w:p>
        </w:tc>
        <w:tc>
          <w:tcPr>
            <w:tcW w:w="567" w:type="dxa"/>
            <w:tcBorders>
              <w:top w:val="nil"/>
              <w:left w:val="single" w:sz="4" w:space="0" w:color="auto"/>
              <w:bottom w:val="single" w:sz="4" w:space="0" w:color="auto"/>
              <w:right w:val="nil"/>
            </w:tcBorders>
            <w:shd w:val="clear" w:color="auto" w:fill="auto"/>
            <w:noWrap/>
            <w:vAlign w:val="center"/>
            <w:hideMark/>
          </w:tcPr>
          <w:p w14:paraId="29B81A9F" w14:textId="77777777" w:rsidR="00387142" w:rsidRPr="008B6A75" w:rsidRDefault="00387142" w:rsidP="00387142">
            <w:pPr>
              <w:jc w:val="center"/>
              <w:rPr>
                <w:sz w:val="20"/>
                <w:szCs w:val="20"/>
              </w:rPr>
            </w:pPr>
            <w:r w:rsidRPr="008B6A75">
              <w:rPr>
                <w:sz w:val="20"/>
                <w:szCs w:val="20"/>
              </w:rPr>
              <w:t>07</w:t>
            </w:r>
          </w:p>
        </w:tc>
        <w:tc>
          <w:tcPr>
            <w:tcW w:w="567" w:type="dxa"/>
            <w:tcBorders>
              <w:top w:val="nil"/>
              <w:left w:val="single" w:sz="4" w:space="0" w:color="auto"/>
              <w:bottom w:val="single" w:sz="4" w:space="0" w:color="auto"/>
              <w:right w:val="nil"/>
            </w:tcBorders>
            <w:shd w:val="clear" w:color="auto" w:fill="auto"/>
            <w:noWrap/>
            <w:vAlign w:val="center"/>
            <w:hideMark/>
          </w:tcPr>
          <w:p w14:paraId="16E20CDF" w14:textId="77777777" w:rsidR="00387142" w:rsidRPr="008B6A75" w:rsidRDefault="00387142" w:rsidP="00387142">
            <w:pPr>
              <w:jc w:val="center"/>
              <w:rPr>
                <w:sz w:val="20"/>
                <w:szCs w:val="20"/>
              </w:rPr>
            </w:pPr>
            <w:r w:rsidRPr="008B6A75">
              <w:rPr>
                <w:sz w:val="20"/>
                <w:szCs w:val="20"/>
              </w:rPr>
              <w:t>01</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91488F2" w14:textId="77777777" w:rsidR="00387142" w:rsidRPr="008B6A75" w:rsidRDefault="00387142" w:rsidP="00387142">
            <w:pPr>
              <w:jc w:val="right"/>
              <w:rPr>
                <w:sz w:val="20"/>
                <w:szCs w:val="20"/>
              </w:rPr>
            </w:pPr>
            <w:r w:rsidRPr="008B6A75">
              <w:rPr>
                <w:sz w:val="20"/>
                <w:szCs w:val="20"/>
              </w:rPr>
              <w:t>1 016 232,18</w:t>
            </w:r>
          </w:p>
        </w:tc>
        <w:tc>
          <w:tcPr>
            <w:tcW w:w="851" w:type="dxa"/>
            <w:tcBorders>
              <w:top w:val="nil"/>
              <w:left w:val="single" w:sz="4" w:space="0" w:color="auto"/>
              <w:bottom w:val="single" w:sz="4" w:space="0" w:color="auto"/>
              <w:right w:val="nil"/>
            </w:tcBorders>
            <w:shd w:val="clear" w:color="auto" w:fill="auto"/>
            <w:noWrap/>
            <w:vAlign w:val="center"/>
            <w:hideMark/>
          </w:tcPr>
          <w:p w14:paraId="23D6A620" w14:textId="77777777" w:rsidR="00387142" w:rsidRPr="008B6A75" w:rsidRDefault="00387142" w:rsidP="00387142">
            <w:pPr>
              <w:jc w:val="right"/>
              <w:rPr>
                <w:sz w:val="20"/>
                <w:szCs w:val="20"/>
              </w:rPr>
            </w:pPr>
            <w:r w:rsidRPr="008B6A75">
              <w:rPr>
                <w:sz w:val="20"/>
                <w:szCs w:val="20"/>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7CAFD6FD" w14:textId="77777777" w:rsidR="00387142" w:rsidRPr="008B6A75" w:rsidRDefault="00387142" w:rsidP="00387142">
            <w:pPr>
              <w:jc w:val="right"/>
              <w:rPr>
                <w:sz w:val="20"/>
                <w:szCs w:val="20"/>
              </w:rPr>
            </w:pPr>
            <w:r w:rsidRPr="008B6A75">
              <w:rPr>
                <w:sz w:val="20"/>
                <w:szCs w:val="20"/>
              </w:rPr>
              <w:t>0,00</w:t>
            </w:r>
          </w:p>
        </w:tc>
      </w:tr>
      <w:tr w:rsidR="00387142" w:rsidRPr="008B6A75" w14:paraId="5DC35319" w14:textId="77777777" w:rsidTr="00387142">
        <w:trPr>
          <w:trHeight w:val="870"/>
        </w:trPr>
        <w:tc>
          <w:tcPr>
            <w:tcW w:w="272" w:type="dxa"/>
            <w:tcBorders>
              <w:top w:val="nil"/>
              <w:left w:val="nil"/>
              <w:bottom w:val="nil"/>
              <w:right w:val="single" w:sz="4" w:space="0" w:color="auto"/>
            </w:tcBorders>
            <w:shd w:val="clear" w:color="auto" w:fill="auto"/>
            <w:noWrap/>
            <w:vAlign w:val="bottom"/>
            <w:hideMark/>
          </w:tcPr>
          <w:p w14:paraId="6AFD6201"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15A5A79E" w14:textId="77777777" w:rsidR="00387142" w:rsidRPr="008B6A75" w:rsidRDefault="00387142" w:rsidP="00387142">
            <w:pPr>
              <w:rPr>
                <w:sz w:val="20"/>
                <w:szCs w:val="20"/>
              </w:rPr>
            </w:pPr>
            <w:r w:rsidRPr="008B6A75">
              <w:rPr>
                <w:sz w:val="20"/>
                <w:szCs w:val="20"/>
              </w:rPr>
              <w:t>Предоставление субсидий бюджетным, автономным учреждениям и иным некоммерческим организациям</w:t>
            </w:r>
          </w:p>
        </w:tc>
        <w:tc>
          <w:tcPr>
            <w:tcW w:w="1559" w:type="dxa"/>
            <w:tcBorders>
              <w:top w:val="nil"/>
              <w:left w:val="single" w:sz="4" w:space="0" w:color="auto"/>
              <w:bottom w:val="single" w:sz="4" w:space="0" w:color="auto"/>
              <w:right w:val="nil"/>
            </w:tcBorders>
            <w:shd w:val="clear" w:color="auto" w:fill="auto"/>
            <w:noWrap/>
            <w:vAlign w:val="center"/>
            <w:hideMark/>
          </w:tcPr>
          <w:p w14:paraId="0F1C22F5" w14:textId="77777777" w:rsidR="00387142" w:rsidRPr="008B6A75" w:rsidRDefault="00387142" w:rsidP="00387142">
            <w:pPr>
              <w:jc w:val="center"/>
              <w:rPr>
                <w:sz w:val="20"/>
                <w:szCs w:val="20"/>
              </w:rPr>
            </w:pPr>
            <w:r w:rsidRPr="008B6A75">
              <w:rPr>
                <w:sz w:val="20"/>
                <w:szCs w:val="20"/>
              </w:rPr>
              <w:t>07.1.00.70510</w:t>
            </w:r>
          </w:p>
        </w:tc>
        <w:tc>
          <w:tcPr>
            <w:tcW w:w="850" w:type="dxa"/>
            <w:tcBorders>
              <w:top w:val="nil"/>
              <w:left w:val="single" w:sz="4" w:space="0" w:color="auto"/>
              <w:bottom w:val="single" w:sz="4" w:space="0" w:color="auto"/>
              <w:right w:val="nil"/>
            </w:tcBorders>
            <w:shd w:val="clear" w:color="auto" w:fill="auto"/>
            <w:noWrap/>
            <w:vAlign w:val="center"/>
            <w:hideMark/>
          </w:tcPr>
          <w:p w14:paraId="4575BA37" w14:textId="77777777" w:rsidR="00387142" w:rsidRPr="008B6A75" w:rsidRDefault="00387142" w:rsidP="00387142">
            <w:pPr>
              <w:jc w:val="center"/>
              <w:rPr>
                <w:sz w:val="20"/>
                <w:szCs w:val="20"/>
              </w:rPr>
            </w:pPr>
            <w:r w:rsidRPr="008B6A75">
              <w:rPr>
                <w:sz w:val="20"/>
                <w:szCs w:val="20"/>
              </w:rPr>
              <w:t>600</w:t>
            </w:r>
          </w:p>
        </w:tc>
        <w:tc>
          <w:tcPr>
            <w:tcW w:w="567" w:type="dxa"/>
            <w:tcBorders>
              <w:top w:val="nil"/>
              <w:left w:val="single" w:sz="4" w:space="0" w:color="auto"/>
              <w:bottom w:val="single" w:sz="4" w:space="0" w:color="auto"/>
              <w:right w:val="nil"/>
            </w:tcBorders>
            <w:shd w:val="clear" w:color="auto" w:fill="auto"/>
            <w:noWrap/>
            <w:vAlign w:val="center"/>
            <w:hideMark/>
          </w:tcPr>
          <w:p w14:paraId="5075A613" w14:textId="77777777" w:rsidR="00387142" w:rsidRPr="008B6A75" w:rsidRDefault="00387142" w:rsidP="00387142">
            <w:pPr>
              <w:jc w:val="center"/>
              <w:rPr>
                <w:sz w:val="20"/>
                <w:szCs w:val="20"/>
              </w:rPr>
            </w:pPr>
            <w:r w:rsidRPr="008B6A75">
              <w:rPr>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4C70F56D" w14:textId="77777777" w:rsidR="00387142" w:rsidRPr="008B6A75" w:rsidRDefault="00387142" w:rsidP="00387142">
            <w:pPr>
              <w:jc w:val="center"/>
              <w:rPr>
                <w:sz w:val="20"/>
                <w:szCs w:val="20"/>
              </w:rPr>
            </w:pPr>
            <w:r w:rsidRPr="008B6A75">
              <w:rPr>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4843E3A" w14:textId="77777777" w:rsidR="00387142" w:rsidRPr="008B6A75" w:rsidRDefault="00387142" w:rsidP="00387142">
            <w:pPr>
              <w:jc w:val="right"/>
              <w:rPr>
                <w:sz w:val="20"/>
                <w:szCs w:val="20"/>
              </w:rPr>
            </w:pPr>
            <w:r w:rsidRPr="008B6A75">
              <w:rPr>
                <w:sz w:val="20"/>
                <w:szCs w:val="20"/>
              </w:rPr>
              <w:t>150 926 782,90</w:t>
            </w:r>
          </w:p>
        </w:tc>
        <w:tc>
          <w:tcPr>
            <w:tcW w:w="851" w:type="dxa"/>
            <w:tcBorders>
              <w:top w:val="nil"/>
              <w:left w:val="single" w:sz="4" w:space="0" w:color="auto"/>
              <w:bottom w:val="single" w:sz="4" w:space="0" w:color="auto"/>
              <w:right w:val="nil"/>
            </w:tcBorders>
            <w:shd w:val="clear" w:color="auto" w:fill="auto"/>
            <w:noWrap/>
            <w:vAlign w:val="center"/>
            <w:hideMark/>
          </w:tcPr>
          <w:p w14:paraId="0053F291" w14:textId="77777777" w:rsidR="00387142" w:rsidRPr="008B6A75" w:rsidRDefault="00387142" w:rsidP="00387142">
            <w:pPr>
              <w:jc w:val="right"/>
              <w:rPr>
                <w:sz w:val="20"/>
                <w:szCs w:val="20"/>
              </w:rPr>
            </w:pPr>
            <w:r w:rsidRPr="008B6A75">
              <w:rPr>
                <w:sz w:val="20"/>
                <w:szCs w:val="20"/>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2F8D60B2" w14:textId="77777777" w:rsidR="00387142" w:rsidRPr="008B6A75" w:rsidRDefault="00387142" w:rsidP="00387142">
            <w:pPr>
              <w:jc w:val="right"/>
              <w:rPr>
                <w:sz w:val="20"/>
                <w:szCs w:val="20"/>
              </w:rPr>
            </w:pPr>
            <w:r w:rsidRPr="008B6A75">
              <w:rPr>
                <w:sz w:val="20"/>
                <w:szCs w:val="20"/>
              </w:rPr>
              <w:t>0,00</w:t>
            </w:r>
          </w:p>
        </w:tc>
      </w:tr>
      <w:tr w:rsidR="00387142" w:rsidRPr="008B6A75" w14:paraId="09D98154" w14:textId="77777777" w:rsidTr="00387142">
        <w:trPr>
          <w:trHeight w:val="300"/>
        </w:trPr>
        <w:tc>
          <w:tcPr>
            <w:tcW w:w="272" w:type="dxa"/>
            <w:tcBorders>
              <w:top w:val="nil"/>
              <w:left w:val="nil"/>
              <w:bottom w:val="nil"/>
              <w:right w:val="single" w:sz="4" w:space="0" w:color="auto"/>
            </w:tcBorders>
            <w:shd w:val="clear" w:color="auto" w:fill="auto"/>
            <w:noWrap/>
            <w:vAlign w:val="bottom"/>
            <w:hideMark/>
          </w:tcPr>
          <w:p w14:paraId="2957C46B"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27170AA6" w14:textId="77777777" w:rsidR="00387142" w:rsidRPr="008B6A75" w:rsidRDefault="00387142" w:rsidP="00387142">
            <w:pPr>
              <w:rPr>
                <w:sz w:val="20"/>
                <w:szCs w:val="20"/>
              </w:rPr>
            </w:pPr>
            <w:r w:rsidRPr="008B6A75">
              <w:rPr>
                <w:sz w:val="20"/>
                <w:szCs w:val="20"/>
              </w:rPr>
              <w:t>Субсидии бюджетным учреждениям</w:t>
            </w:r>
          </w:p>
        </w:tc>
        <w:tc>
          <w:tcPr>
            <w:tcW w:w="1559" w:type="dxa"/>
            <w:tcBorders>
              <w:top w:val="nil"/>
              <w:left w:val="single" w:sz="4" w:space="0" w:color="auto"/>
              <w:bottom w:val="single" w:sz="4" w:space="0" w:color="auto"/>
              <w:right w:val="nil"/>
            </w:tcBorders>
            <w:shd w:val="clear" w:color="auto" w:fill="auto"/>
            <w:noWrap/>
            <w:vAlign w:val="center"/>
            <w:hideMark/>
          </w:tcPr>
          <w:p w14:paraId="3A004A9C" w14:textId="77777777" w:rsidR="00387142" w:rsidRPr="008B6A75" w:rsidRDefault="00387142" w:rsidP="00387142">
            <w:pPr>
              <w:jc w:val="center"/>
              <w:rPr>
                <w:sz w:val="20"/>
                <w:szCs w:val="20"/>
              </w:rPr>
            </w:pPr>
            <w:r w:rsidRPr="008B6A75">
              <w:rPr>
                <w:sz w:val="20"/>
                <w:szCs w:val="20"/>
              </w:rPr>
              <w:t>07.1.00.70510</w:t>
            </w:r>
          </w:p>
        </w:tc>
        <w:tc>
          <w:tcPr>
            <w:tcW w:w="850" w:type="dxa"/>
            <w:tcBorders>
              <w:top w:val="nil"/>
              <w:left w:val="single" w:sz="4" w:space="0" w:color="auto"/>
              <w:bottom w:val="single" w:sz="4" w:space="0" w:color="auto"/>
              <w:right w:val="nil"/>
            </w:tcBorders>
            <w:shd w:val="clear" w:color="auto" w:fill="auto"/>
            <w:noWrap/>
            <w:vAlign w:val="center"/>
            <w:hideMark/>
          </w:tcPr>
          <w:p w14:paraId="383B2760" w14:textId="77777777" w:rsidR="00387142" w:rsidRPr="008B6A75" w:rsidRDefault="00387142" w:rsidP="00387142">
            <w:pPr>
              <w:jc w:val="center"/>
              <w:rPr>
                <w:sz w:val="20"/>
                <w:szCs w:val="20"/>
              </w:rPr>
            </w:pPr>
            <w:r w:rsidRPr="008B6A75">
              <w:rPr>
                <w:sz w:val="20"/>
                <w:szCs w:val="20"/>
              </w:rPr>
              <w:t>610</w:t>
            </w:r>
          </w:p>
        </w:tc>
        <w:tc>
          <w:tcPr>
            <w:tcW w:w="567" w:type="dxa"/>
            <w:tcBorders>
              <w:top w:val="nil"/>
              <w:left w:val="single" w:sz="4" w:space="0" w:color="auto"/>
              <w:bottom w:val="single" w:sz="4" w:space="0" w:color="auto"/>
              <w:right w:val="nil"/>
            </w:tcBorders>
            <w:shd w:val="clear" w:color="auto" w:fill="auto"/>
            <w:noWrap/>
            <w:vAlign w:val="center"/>
            <w:hideMark/>
          </w:tcPr>
          <w:p w14:paraId="50626C82" w14:textId="77777777" w:rsidR="00387142" w:rsidRPr="008B6A75" w:rsidRDefault="00387142" w:rsidP="00387142">
            <w:pPr>
              <w:jc w:val="center"/>
              <w:rPr>
                <w:sz w:val="20"/>
                <w:szCs w:val="20"/>
              </w:rPr>
            </w:pPr>
            <w:r w:rsidRPr="008B6A75">
              <w:rPr>
                <w:sz w:val="20"/>
                <w:szCs w:val="20"/>
              </w:rPr>
              <w:t>07</w:t>
            </w:r>
          </w:p>
        </w:tc>
        <w:tc>
          <w:tcPr>
            <w:tcW w:w="567" w:type="dxa"/>
            <w:tcBorders>
              <w:top w:val="nil"/>
              <w:left w:val="single" w:sz="4" w:space="0" w:color="auto"/>
              <w:bottom w:val="single" w:sz="4" w:space="0" w:color="auto"/>
              <w:right w:val="nil"/>
            </w:tcBorders>
            <w:shd w:val="clear" w:color="auto" w:fill="auto"/>
            <w:noWrap/>
            <w:vAlign w:val="center"/>
            <w:hideMark/>
          </w:tcPr>
          <w:p w14:paraId="6AE9A0E0" w14:textId="77777777" w:rsidR="00387142" w:rsidRPr="008B6A75" w:rsidRDefault="00387142" w:rsidP="00387142">
            <w:pPr>
              <w:jc w:val="center"/>
              <w:rPr>
                <w:sz w:val="20"/>
                <w:szCs w:val="20"/>
              </w:rPr>
            </w:pPr>
            <w:r w:rsidRPr="008B6A75">
              <w:rPr>
                <w:sz w:val="20"/>
                <w:szCs w:val="20"/>
              </w:rPr>
              <w:t>02</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FCD8F90" w14:textId="77777777" w:rsidR="00387142" w:rsidRPr="008B6A75" w:rsidRDefault="00387142" w:rsidP="00387142">
            <w:pPr>
              <w:jc w:val="right"/>
              <w:rPr>
                <w:sz w:val="20"/>
                <w:szCs w:val="20"/>
              </w:rPr>
            </w:pPr>
            <w:r w:rsidRPr="008B6A75">
              <w:rPr>
                <w:sz w:val="20"/>
                <w:szCs w:val="20"/>
              </w:rPr>
              <w:t>66 178 504,89</w:t>
            </w:r>
          </w:p>
        </w:tc>
        <w:tc>
          <w:tcPr>
            <w:tcW w:w="851" w:type="dxa"/>
            <w:tcBorders>
              <w:top w:val="nil"/>
              <w:left w:val="single" w:sz="4" w:space="0" w:color="auto"/>
              <w:bottom w:val="single" w:sz="4" w:space="0" w:color="auto"/>
              <w:right w:val="nil"/>
            </w:tcBorders>
            <w:shd w:val="clear" w:color="auto" w:fill="auto"/>
            <w:noWrap/>
            <w:vAlign w:val="center"/>
            <w:hideMark/>
          </w:tcPr>
          <w:p w14:paraId="2C09473A" w14:textId="77777777" w:rsidR="00387142" w:rsidRPr="008B6A75" w:rsidRDefault="00387142" w:rsidP="00387142">
            <w:pPr>
              <w:jc w:val="right"/>
              <w:rPr>
                <w:sz w:val="20"/>
                <w:szCs w:val="20"/>
              </w:rPr>
            </w:pPr>
            <w:r w:rsidRPr="008B6A75">
              <w:rPr>
                <w:sz w:val="20"/>
                <w:szCs w:val="20"/>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7AFE5395" w14:textId="77777777" w:rsidR="00387142" w:rsidRPr="008B6A75" w:rsidRDefault="00387142" w:rsidP="00387142">
            <w:pPr>
              <w:jc w:val="right"/>
              <w:rPr>
                <w:sz w:val="20"/>
                <w:szCs w:val="20"/>
              </w:rPr>
            </w:pPr>
            <w:r w:rsidRPr="008B6A75">
              <w:rPr>
                <w:sz w:val="20"/>
                <w:szCs w:val="20"/>
              </w:rPr>
              <w:t>0,00</w:t>
            </w:r>
          </w:p>
        </w:tc>
      </w:tr>
      <w:tr w:rsidR="00387142" w:rsidRPr="008B6A75" w14:paraId="3CADF067" w14:textId="77777777" w:rsidTr="00387142">
        <w:trPr>
          <w:trHeight w:val="300"/>
        </w:trPr>
        <w:tc>
          <w:tcPr>
            <w:tcW w:w="272" w:type="dxa"/>
            <w:tcBorders>
              <w:top w:val="nil"/>
              <w:left w:val="nil"/>
              <w:bottom w:val="nil"/>
              <w:right w:val="single" w:sz="4" w:space="0" w:color="auto"/>
            </w:tcBorders>
            <w:shd w:val="clear" w:color="auto" w:fill="auto"/>
            <w:noWrap/>
            <w:vAlign w:val="bottom"/>
            <w:hideMark/>
          </w:tcPr>
          <w:p w14:paraId="78433347"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45131ABC" w14:textId="77777777" w:rsidR="00387142" w:rsidRPr="008B6A75" w:rsidRDefault="00387142" w:rsidP="00387142">
            <w:pPr>
              <w:rPr>
                <w:sz w:val="20"/>
                <w:szCs w:val="20"/>
              </w:rPr>
            </w:pPr>
            <w:r w:rsidRPr="008B6A75">
              <w:rPr>
                <w:sz w:val="20"/>
                <w:szCs w:val="20"/>
              </w:rPr>
              <w:t>Субсидии бюджетным учреждениям</w:t>
            </w:r>
          </w:p>
        </w:tc>
        <w:tc>
          <w:tcPr>
            <w:tcW w:w="1559" w:type="dxa"/>
            <w:tcBorders>
              <w:top w:val="nil"/>
              <w:left w:val="single" w:sz="4" w:space="0" w:color="auto"/>
              <w:bottom w:val="single" w:sz="4" w:space="0" w:color="auto"/>
              <w:right w:val="nil"/>
            </w:tcBorders>
            <w:shd w:val="clear" w:color="auto" w:fill="auto"/>
            <w:noWrap/>
            <w:vAlign w:val="center"/>
            <w:hideMark/>
          </w:tcPr>
          <w:p w14:paraId="08F58687" w14:textId="77777777" w:rsidR="00387142" w:rsidRPr="008B6A75" w:rsidRDefault="00387142" w:rsidP="00387142">
            <w:pPr>
              <w:jc w:val="center"/>
              <w:rPr>
                <w:sz w:val="20"/>
                <w:szCs w:val="20"/>
              </w:rPr>
            </w:pPr>
            <w:r w:rsidRPr="008B6A75">
              <w:rPr>
                <w:sz w:val="20"/>
                <w:szCs w:val="20"/>
              </w:rPr>
              <w:t>07.1.00.70510</w:t>
            </w:r>
          </w:p>
        </w:tc>
        <w:tc>
          <w:tcPr>
            <w:tcW w:w="850" w:type="dxa"/>
            <w:tcBorders>
              <w:top w:val="nil"/>
              <w:left w:val="single" w:sz="4" w:space="0" w:color="auto"/>
              <w:bottom w:val="single" w:sz="4" w:space="0" w:color="auto"/>
              <w:right w:val="nil"/>
            </w:tcBorders>
            <w:shd w:val="clear" w:color="auto" w:fill="auto"/>
            <w:noWrap/>
            <w:vAlign w:val="center"/>
            <w:hideMark/>
          </w:tcPr>
          <w:p w14:paraId="4E368F8E" w14:textId="77777777" w:rsidR="00387142" w:rsidRPr="008B6A75" w:rsidRDefault="00387142" w:rsidP="00387142">
            <w:pPr>
              <w:jc w:val="center"/>
              <w:rPr>
                <w:sz w:val="20"/>
                <w:szCs w:val="20"/>
              </w:rPr>
            </w:pPr>
            <w:r w:rsidRPr="008B6A75">
              <w:rPr>
                <w:sz w:val="20"/>
                <w:szCs w:val="20"/>
              </w:rPr>
              <w:t>610</w:t>
            </w:r>
          </w:p>
        </w:tc>
        <w:tc>
          <w:tcPr>
            <w:tcW w:w="567" w:type="dxa"/>
            <w:tcBorders>
              <w:top w:val="nil"/>
              <w:left w:val="single" w:sz="4" w:space="0" w:color="auto"/>
              <w:bottom w:val="single" w:sz="4" w:space="0" w:color="auto"/>
              <w:right w:val="nil"/>
            </w:tcBorders>
            <w:shd w:val="clear" w:color="auto" w:fill="auto"/>
            <w:noWrap/>
            <w:vAlign w:val="center"/>
            <w:hideMark/>
          </w:tcPr>
          <w:p w14:paraId="1E2E225D" w14:textId="77777777" w:rsidR="00387142" w:rsidRPr="008B6A75" w:rsidRDefault="00387142" w:rsidP="00387142">
            <w:pPr>
              <w:jc w:val="center"/>
              <w:rPr>
                <w:sz w:val="20"/>
                <w:szCs w:val="20"/>
              </w:rPr>
            </w:pPr>
            <w:r w:rsidRPr="008B6A75">
              <w:rPr>
                <w:sz w:val="20"/>
                <w:szCs w:val="20"/>
              </w:rPr>
              <w:t>07</w:t>
            </w:r>
          </w:p>
        </w:tc>
        <w:tc>
          <w:tcPr>
            <w:tcW w:w="567" w:type="dxa"/>
            <w:tcBorders>
              <w:top w:val="nil"/>
              <w:left w:val="single" w:sz="4" w:space="0" w:color="auto"/>
              <w:bottom w:val="single" w:sz="4" w:space="0" w:color="auto"/>
              <w:right w:val="nil"/>
            </w:tcBorders>
            <w:shd w:val="clear" w:color="auto" w:fill="auto"/>
            <w:noWrap/>
            <w:vAlign w:val="center"/>
            <w:hideMark/>
          </w:tcPr>
          <w:p w14:paraId="6AE91336" w14:textId="77777777" w:rsidR="00387142" w:rsidRPr="008B6A75" w:rsidRDefault="00387142" w:rsidP="00387142">
            <w:pPr>
              <w:jc w:val="center"/>
              <w:rPr>
                <w:sz w:val="20"/>
                <w:szCs w:val="20"/>
              </w:rPr>
            </w:pPr>
            <w:r w:rsidRPr="008B6A75">
              <w:rPr>
                <w:sz w:val="20"/>
                <w:szCs w:val="20"/>
              </w:rPr>
              <w:t>03</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A92FF1F" w14:textId="77777777" w:rsidR="00387142" w:rsidRPr="008B6A75" w:rsidRDefault="00387142" w:rsidP="00387142">
            <w:pPr>
              <w:jc w:val="right"/>
              <w:rPr>
                <w:sz w:val="20"/>
                <w:szCs w:val="20"/>
              </w:rPr>
            </w:pPr>
            <w:r w:rsidRPr="008B6A75">
              <w:rPr>
                <w:sz w:val="20"/>
                <w:szCs w:val="20"/>
              </w:rPr>
              <w:t>84 748 278,01</w:t>
            </w:r>
          </w:p>
        </w:tc>
        <w:tc>
          <w:tcPr>
            <w:tcW w:w="851" w:type="dxa"/>
            <w:tcBorders>
              <w:top w:val="nil"/>
              <w:left w:val="single" w:sz="4" w:space="0" w:color="auto"/>
              <w:bottom w:val="single" w:sz="4" w:space="0" w:color="auto"/>
              <w:right w:val="nil"/>
            </w:tcBorders>
            <w:shd w:val="clear" w:color="auto" w:fill="auto"/>
            <w:noWrap/>
            <w:vAlign w:val="center"/>
            <w:hideMark/>
          </w:tcPr>
          <w:p w14:paraId="44520F85" w14:textId="77777777" w:rsidR="00387142" w:rsidRPr="008B6A75" w:rsidRDefault="00387142" w:rsidP="00387142">
            <w:pPr>
              <w:jc w:val="right"/>
              <w:rPr>
                <w:sz w:val="20"/>
                <w:szCs w:val="20"/>
              </w:rPr>
            </w:pPr>
            <w:r w:rsidRPr="008B6A75">
              <w:rPr>
                <w:sz w:val="20"/>
                <w:szCs w:val="20"/>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1B2A3131" w14:textId="77777777" w:rsidR="00387142" w:rsidRPr="008B6A75" w:rsidRDefault="00387142" w:rsidP="00387142">
            <w:pPr>
              <w:jc w:val="right"/>
              <w:rPr>
                <w:sz w:val="20"/>
                <w:szCs w:val="20"/>
              </w:rPr>
            </w:pPr>
            <w:r w:rsidRPr="008B6A75">
              <w:rPr>
                <w:sz w:val="20"/>
                <w:szCs w:val="20"/>
              </w:rPr>
              <w:t>0,00</w:t>
            </w:r>
          </w:p>
        </w:tc>
      </w:tr>
      <w:tr w:rsidR="00387142" w:rsidRPr="008B6A75" w14:paraId="090FC5AE" w14:textId="77777777" w:rsidTr="00387142">
        <w:trPr>
          <w:trHeight w:val="870"/>
        </w:trPr>
        <w:tc>
          <w:tcPr>
            <w:tcW w:w="272" w:type="dxa"/>
            <w:tcBorders>
              <w:top w:val="nil"/>
              <w:left w:val="nil"/>
              <w:bottom w:val="nil"/>
              <w:right w:val="single" w:sz="4" w:space="0" w:color="auto"/>
            </w:tcBorders>
            <w:shd w:val="clear" w:color="auto" w:fill="auto"/>
            <w:noWrap/>
            <w:vAlign w:val="bottom"/>
            <w:hideMark/>
          </w:tcPr>
          <w:p w14:paraId="77EC83D2" w14:textId="77777777" w:rsidR="00387142" w:rsidRPr="008B6A75" w:rsidRDefault="00387142" w:rsidP="00387142">
            <w:pPr>
              <w:rPr>
                <w:sz w:val="20"/>
                <w:szCs w:val="20"/>
              </w:rPr>
            </w:pPr>
            <w:r w:rsidRPr="008B6A75">
              <w:rPr>
                <w:sz w:val="20"/>
                <w:szCs w:val="20"/>
              </w:rPr>
              <w:lastRenderedPageBreak/>
              <w:t> </w:t>
            </w:r>
          </w:p>
        </w:tc>
        <w:tc>
          <w:tcPr>
            <w:tcW w:w="3415" w:type="dxa"/>
            <w:tcBorders>
              <w:top w:val="nil"/>
              <w:left w:val="single" w:sz="4" w:space="0" w:color="auto"/>
              <w:bottom w:val="single" w:sz="4" w:space="0" w:color="auto"/>
              <w:right w:val="nil"/>
            </w:tcBorders>
            <w:shd w:val="clear" w:color="auto" w:fill="auto"/>
            <w:vAlign w:val="center"/>
            <w:hideMark/>
          </w:tcPr>
          <w:p w14:paraId="4789F86A" w14:textId="77777777" w:rsidR="00387142" w:rsidRPr="008B6A75" w:rsidRDefault="00387142" w:rsidP="00387142">
            <w:pPr>
              <w:rPr>
                <w:bCs/>
                <w:sz w:val="20"/>
                <w:szCs w:val="20"/>
              </w:rPr>
            </w:pPr>
            <w:r w:rsidRPr="008B6A75">
              <w:rPr>
                <w:bCs/>
                <w:sz w:val="20"/>
                <w:szCs w:val="20"/>
              </w:rPr>
              <w:t xml:space="preserve">Реализация мероприятий в рамках </w:t>
            </w:r>
            <w:proofErr w:type="spellStart"/>
            <w:r w:rsidRPr="008B6A75">
              <w:rPr>
                <w:bCs/>
                <w:sz w:val="20"/>
                <w:szCs w:val="20"/>
              </w:rPr>
              <w:t>подпрограммы"Развитие</w:t>
            </w:r>
            <w:proofErr w:type="spellEnd"/>
            <w:r w:rsidRPr="008B6A75">
              <w:rPr>
                <w:bCs/>
                <w:sz w:val="20"/>
                <w:szCs w:val="20"/>
              </w:rPr>
              <w:t xml:space="preserve"> дошкольного, общего и дополнительного образования детей "</w:t>
            </w:r>
          </w:p>
        </w:tc>
        <w:tc>
          <w:tcPr>
            <w:tcW w:w="1559" w:type="dxa"/>
            <w:tcBorders>
              <w:top w:val="nil"/>
              <w:left w:val="single" w:sz="4" w:space="0" w:color="auto"/>
              <w:bottom w:val="single" w:sz="4" w:space="0" w:color="auto"/>
              <w:right w:val="nil"/>
            </w:tcBorders>
            <w:shd w:val="clear" w:color="auto" w:fill="auto"/>
            <w:noWrap/>
            <w:vAlign w:val="center"/>
            <w:hideMark/>
          </w:tcPr>
          <w:p w14:paraId="130BCE5B" w14:textId="77777777" w:rsidR="00387142" w:rsidRPr="008B6A75" w:rsidRDefault="00387142" w:rsidP="00387142">
            <w:pPr>
              <w:jc w:val="center"/>
              <w:rPr>
                <w:bCs/>
                <w:sz w:val="20"/>
                <w:szCs w:val="20"/>
              </w:rPr>
            </w:pPr>
            <w:r w:rsidRPr="008B6A75">
              <w:rPr>
                <w:bCs/>
                <w:sz w:val="20"/>
                <w:szCs w:val="20"/>
              </w:rPr>
              <w:t>07.1.00.79500</w:t>
            </w:r>
          </w:p>
        </w:tc>
        <w:tc>
          <w:tcPr>
            <w:tcW w:w="850" w:type="dxa"/>
            <w:tcBorders>
              <w:top w:val="nil"/>
              <w:left w:val="single" w:sz="4" w:space="0" w:color="auto"/>
              <w:bottom w:val="single" w:sz="4" w:space="0" w:color="auto"/>
              <w:right w:val="nil"/>
            </w:tcBorders>
            <w:shd w:val="clear" w:color="auto" w:fill="auto"/>
            <w:noWrap/>
            <w:vAlign w:val="center"/>
            <w:hideMark/>
          </w:tcPr>
          <w:p w14:paraId="46F8365A" w14:textId="77777777" w:rsidR="00387142" w:rsidRPr="008B6A75" w:rsidRDefault="00387142" w:rsidP="00387142">
            <w:pPr>
              <w:jc w:val="center"/>
              <w:rPr>
                <w:bCs/>
                <w:sz w:val="20"/>
                <w:szCs w:val="20"/>
              </w:rPr>
            </w:pPr>
            <w:r w:rsidRPr="008B6A75">
              <w:rPr>
                <w:bCs/>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3B49E480" w14:textId="77777777" w:rsidR="00387142" w:rsidRPr="008B6A75" w:rsidRDefault="00387142" w:rsidP="00387142">
            <w:pPr>
              <w:jc w:val="center"/>
              <w:rPr>
                <w:bCs/>
                <w:sz w:val="20"/>
                <w:szCs w:val="20"/>
              </w:rPr>
            </w:pPr>
            <w:r w:rsidRPr="008B6A75">
              <w:rPr>
                <w:bCs/>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1CCFD91F" w14:textId="77777777" w:rsidR="00387142" w:rsidRPr="008B6A75" w:rsidRDefault="00387142" w:rsidP="00387142">
            <w:pPr>
              <w:jc w:val="center"/>
              <w:rPr>
                <w:bCs/>
                <w:sz w:val="20"/>
                <w:szCs w:val="20"/>
              </w:rPr>
            </w:pPr>
            <w:r w:rsidRPr="008B6A75">
              <w:rPr>
                <w:bCs/>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CC92CD6" w14:textId="77777777" w:rsidR="00387142" w:rsidRPr="008B6A75" w:rsidRDefault="00387142" w:rsidP="00387142">
            <w:pPr>
              <w:jc w:val="right"/>
              <w:rPr>
                <w:bCs/>
                <w:sz w:val="20"/>
                <w:szCs w:val="20"/>
              </w:rPr>
            </w:pPr>
            <w:r w:rsidRPr="008B6A75">
              <w:rPr>
                <w:bCs/>
                <w:sz w:val="20"/>
                <w:szCs w:val="20"/>
              </w:rPr>
              <w:t>1 610 520,00</w:t>
            </w:r>
          </w:p>
        </w:tc>
        <w:tc>
          <w:tcPr>
            <w:tcW w:w="851" w:type="dxa"/>
            <w:tcBorders>
              <w:top w:val="nil"/>
              <w:left w:val="single" w:sz="4" w:space="0" w:color="auto"/>
              <w:bottom w:val="single" w:sz="4" w:space="0" w:color="auto"/>
              <w:right w:val="nil"/>
            </w:tcBorders>
            <w:shd w:val="clear" w:color="auto" w:fill="auto"/>
            <w:noWrap/>
            <w:vAlign w:val="center"/>
            <w:hideMark/>
          </w:tcPr>
          <w:p w14:paraId="7CC9FEE1" w14:textId="77777777" w:rsidR="00387142" w:rsidRPr="008B6A75" w:rsidRDefault="00387142" w:rsidP="00387142">
            <w:pPr>
              <w:jc w:val="right"/>
              <w:rPr>
                <w:bCs/>
                <w:sz w:val="20"/>
                <w:szCs w:val="20"/>
              </w:rPr>
            </w:pPr>
            <w:r w:rsidRPr="008B6A75">
              <w:rPr>
                <w:bCs/>
                <w:sz w:val="20"/>
                <w:szCs w:val="20"/>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6C4408BA" w14:textId="77777777" w:rsidR="00387142" w:rsidRPr="008B6A75" w:rsidRDefault="00387142" w:rsidP="00387142">
            <w:pPr>
              <w:jc w:val="right"/>
              <w:rPr>
                <w:bCs/>
                <w:sz w:val="20"/>
                <w:szCs w:val="20"/>
              </w:rPr>
            </w:pPr>
            <w:r w:rsidRPr="008B6A75">
              <w:rPr>
                <w:bCs/>
                <w:sz w:val="20"/>
                <w:szCs w:val="20"/>
              </w:rPr>
              <w:t>0,00</w:t>
            </w:r>
          </w:p>
        </w:tc>
      </w:tr>
      <w:tr w:rsidR="00387142" w:rsidRPr="008B6A75" w14:paraId="4A10F9F0" w14:textId="77777777" w:rsidTr="00387142">
        <w:trPr>
          <w:trHeight w:val="870"/>
        </w:trPr>
        <w:tc>
          <w:tcPr>
            <w:tcW w:w="272" w:type="dxa"/>
            <w:tcBorders>
              <w:top w:val="nil"/>
              <w:left w:val="nil"/>
              <w:bottom w:val="nil"/>
              <w:right w:val="single" w:sz="4" w:space="0" w:color="auto"/>
            </w:tcBorders>
            <w:shd w:val="clear" w:color="auto" w:fill="auto"/>
            <w:noWrap/>
            <w:vAlign w:val="bottom"/>
            <w:hideMark/>
          </w:tcPr>
          <w:p w14:paraId="3D1F4C4C"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74BEE044" w14:textId="77777777" w:rsidR="00387142" w:rsidRPr="008B6A75" w:rsidRDefault="00387142" w:rsidP="00387142">
            <w:pPr>
              <w:rPr>
                <w:sz w:val="20"/>
                <w:szCs w:val="20"/>
              </w:rPr>
            </w:pPr>
            <w:r w:rsidRPr="008B6A75">
              <w:rPr>
                <w:sz w:val="20"/>
                <w:szCs w:val="20"/>
              </w:rPr>
              <w:t>Предоставление субсидий бюджетным, автономным учреждениям и иным некоммерческим организациям</w:t>
            </w:r>
          </w:p>
        </w:tc>
        <w:tc>
          <w:tcPr>
            <w:tcW w:w="1559" w:type="dxa"/>
            <w:tcBorders>
              <w:top w:val="nil"/>
              <w:left w:val="single" w:sz="4" w:space="0" w:color="auto"/>
              <w:bottom w:val="single" w:sz="4" w:space="0" w:color="auto"/>
              <w:right w:val="nil"/>
            </w:tcBorders>
            <w:shd w:val="clear" w:color="auto" w:fill="auto"/>
            <w:noWrap/>
            <w:vAlign w:val="center"/>
            <w:hideMark/>
          </w:tcPr>
          <w:p w14:paraId="59AE76AE" w14:textId="77777777" w:rsidR="00387142" w:rsidRPr="008B6A75" w:rsidRDefault="00387142" w:rsidP="00387142">
            <w:pPr>
              <w:jc w:val="center"/>
              <w:rPr>
                <w:sz w:val="20"/>
                <w:szCs w:val="20"/>
              </w:rPr>
            </w:pPr>
            <w:r w:rsidRPr="008B6A75">
              <w:rPr>
                <w:sz w:val="20"/>
                <w:szCs w:val="20"/>
              </w:rPr>
              <w:t>07.1.00.79500</w:t>
            </w:r>
          </w:p>
        </w:tc>
        <w:tc>
          <w:tcPr>
            <w:tcW w:w="850" w:type="dxa"/>
            <w:tcBorders>
              <w:top w:val="nil"/>
              <w:left w:val="single" w:sz="4" w:space="0" w:color="auto"/>
              <w:bottom w:val="single" w:sz="4" w:space="0" w:color="auto"/>
              <w:right w:val="nil"/>
            </w:tcBorders>
            <w:shd w:val="clear" w:color="auto" w:fill="auto"/>
            <w:noWrap/>
            <w:vAlign w:val="center"/>
            <w:hideMark/>
          </w:tcPr>
          <w:p w14:paraId="150BD34C" w14:textId="77777777" w:rsidR="00387142" w:rsidRPr="008B6A75" w:rsidRDefault="00387142" w:rsidP="00387142">
            <w:pPr>
              <w:jc w:val="center"/>
              <w:rPr>
                <w:sz w:val="20"/>
                <w:szCs w:val="20"/>
              </w:rPr>
            </w:pPr>
            <w:r w:rsidRPr="008B6A75">
              <w:rPr>
                <w:sz w:val="20"/>
                <w:szCs w:val="20"/>
              </w:rPr>
              <w:t>600</w:t>
            </w:r>
          </w:p>
        </w:tc>
        <w:tc>
          <w:tcPr>
            <w:tcW w:w="567" w:type="dxa"/>
            <w:tcBorders>
              <w:top w:val="nil"/>
              <w:left w:val="single" w:sz="4" w:space="0" w:color="auto"/>
              <w:bottom w:val="single" w:sz="4" w:space="0" w:color="auto"/>
              <w:right w:val="nil"/>
            </w:tcBorders>
            <w:shd w:val="clear" w:color="auto" w:fill="auto"/>
            <w:noWrap/>
            <w:vAlign w:val="center"/>
            <w:hideMark/>
          </w:tcPr>
          <w:p w14:paraId="01B5B52C" w14:textId="77777777" w:rsidR="00387142" w:rsidRPr="008B6A75" w:rsidRDefault="00387142" w:rsidP="00387142">
            <w:pPr>
              <w:jc w:val="center"/>
              <w:rPr>
                <w:sz w:val="20"/>
                <w:szCs w:val="20"/>
              </w:rPr>
            </w:pPr>
            <w:r w:rsidRPr="008B6A75">
              <w:rPr>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32F4130E" w14:textId="77777777" w:rsidR="00387142" w:rsidRPr="008B6A75" w:rsidRDefault="00387142" w:rsidP="00387142">
            <w:pPr>
              <w:jc w:val="center"/>
              <w:rPr>
                <w:sz w:val="20"/>
                <w:szCs w:val="20"/>
              </w:rPr>
            </w:pPr>
            <w:r w:rsidRPr="008B6A75">
              <w:rPr>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88BD129" w14:textId="77777777" w:rsidR="00387142" w:rsidRPr="008B6A75" w:rsidRDefault="00387142" w:rsidP="00387142">
            <w:pPr>
              <w:jc w:val="right"/>
              <w:rPr>
                <w:sz w:val="20"/>
                <w:szCs w:val="20"/>
              </w:rPr>
            </w:pPr>
            <w:r w:rsidRPr="008B6A75">
              <w:rPr>
                <w:sz w:val="20"/>
                <w:szCs w:val="20"/>
              </w:rPr>
              <w:t>1 610 520,00</w:t>
            </w:r>
          </w:p>
        </w:tc>
        <w:tc>
          <w:tcPr>
            <w:tcW w:w="851" w:type="dxa"/>
            <w:tcBorders>
              <w:top w:val="nil"/>
              <w:left w:val="single" w:sz="4" w:space="0" w:color="auto"/>
              <w:bottom w:val="single" w:sz="4" w:space="0" w:color="auto"/>
              <w:right w:val="nil"/>
            </w:tcBorders>
            <w:shd w:val="clear" w:color="auto" w:fill="auto"/>
            <w:noWrap/>
            <w:vAlign w:val="center"/>
            <w:hideMark/>
          </w:tcPr>
          <w:p w14:paraId="06E3F0E8" w14:textId="77777777" w:rsidR="00387142" w:rsidRPr="008B6A75" w:rsidRDefault="00387142" w:rsidP="00387142">
            <w:pPr>
              <w:jc w:val="right"/>
              <w:rPr>
                <w:sz w:val="20"/>
                <w:szCs w:val="20"/>
              </w:rPr>
            </w:pPr>
            <w:r w:rsidRPr="008B6A75">
              <w:rPr>
                <w:sz w:val="20"/>
                <w:szCs w:val="20"/>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719DB40B" w14:textId="77777777" w:rsidR="00387142" w:rsidRPr="008B6A75" w:rsidRDefault="00387142" w:rsidP="00387142">
            <w:pPr>
              <w:jc w:val="right"/>
              <w:rPr>
                <w:sz w:val="20"/>
                <w:szCs w:val="20"/>
              </w:rPr>
            </w:pPr>
            <w:r w:rsidRPr="008B6A75">
              <w:rPr>
                <w:sz w:val="20"/>
                <w:szCs w:val="20"/>
              </w:rPr>
              <w:t>0,00</w:t>
            </w:r>
          </w:p>
        </w:tc>
      </w:tr>
      <w:tr w:rsidR="00387142" w:rsidRPr="008B6A75" w14:paraId="393905CF" w14:textId="77777777" w:rsidTr="00387142">
        <w:trPr>
          <w:trHeight w:val="300"/>
        </w:trPr>
        <w:tc>
          <w:tcPr>
            <w:tcW w:w="272" w:type="dxa"/>
            <w:tcBorders>
              <w:top w:val="nil"/>
              <w:left w:val="nil"/>
              <w:bottom w:val="nil"/>
              <w:right w:val="single" w:sz="4" w:space="0" w:color="auto"/>
            </w:tcBorders>
            <w:shd w:val="clear" w:color="auto" w:fill="auto"/>
            <w:noWrap/>
            <w:vAlign w:val="bottom"/>
            <w:hideMark/>
          </w:tcPr>
          <w:p w14:paraId="0851546B"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33203363" w14:textId="77777777" w:rsidR="00387142" w:rsidRPr="008B6A75" w:rsidRDefault="00387142" w:rsidP="00387142">
            <w:pPr>
              <w:rPr>
                <w:sz w:val="20"/>
                <w:szCs w:val="20"/>
              </w:rPr>
            </w:pPr>
            <w:r w:rsidRPr="008B6A75">
              <w:rPr>
                <w:sz w:val="20"/>
                <w:szCs w:val="20"/>
              </w:rPr>
              <w:t>Субсидии бюджетным учреждениям</w:t>
            </w:r>
          </w:p>
        </w:tc>
        <w:tc>
          <w:tcPr>
            <w:tcW w:w="1559" w:type="dxa"/>
            <w:tcBorders>
              <w:top w:val="nil"/>
              <w:left w:val="single" w:sz="4" w:space="0" w:color="auto"/>
              <w:bottom w:val="single" w:sz="4" w:space="0" w:color="auto"/>
              <w:right w:val="nil"/>
            </w:tcBorders>
            <w:shd w:val="clear" w:color="auto" w:fill="auto"/>
            <w:noWrap/>
            <w:vAlign w:val="center"/>
            <w:hideMark/>
          </w:tcPr>
          <w:p w14:paraId="75601E60" w14:textId="77777777" w:rsidR="00387142" w:rsidRPr="008B6A75" w:rsidRDefault="00387142" w:rsidP="00387142">
            <w:pPr>
              <w:jc w:val="center"/>
              <w:rPr>
                <w:sz w:val="20"/>
                <w:szCs w:val="20"/>
              </w:rPr>
            </w:pPr>
            <w:r w:rsidRPr="008B6A75">
              <w:rPr>
                <w:sz w:val="20"/>
                <w:szCs w:val="20"/>
              </w:rPr>
              <w:t>07.1.00.79500</w:t>
            </w:r>
          </w:p>
        </w:tc>
        <w:tc>
          <w:tcPr>
            <w:tcW w:w="850" w:type="dxa"/>
            <w:tcBorders>
              <w:top w:val="nil"/>
              <w:left w:val="single" w:sz="4" w:space="0" w:color="auto"/>
              <w:bottom w:val="single" w:sz="4" w:space="0" w:color="auto"/>
              <w:right w:val="nil"/>
            </w:tcBorders>
            <w:shd w:val="clear" w:color="auto" w:fill="auto"/>
            <w:noWrap/>
            <w:vAlign w:val="center"/>
            <w:hideMark/>
          </w:tcPr>
          <w:p w14:paraId="037A38AC" w14:textId="77777777" w:rsidR="00387142" w:rsidRPr="008B6A75" w:rsidRDefault="00387142" w:rsidP="00387142">
            <w:pPr>
              <w:jc w:val="center"/>
              <w:rPr>
                <w:sz w:val="20"/>
                <w:szCs w:val="20"/>
              </w:rPr>
            </w:pPr>
            <w:r w:rsidRPr="008B6A75">
              <w:rPr>
                <w:sz w:val="20"/>
                <w:szCs w:val="20"/>
              </w:rPr>
              <w:t>610</w:t>
            </w:r>
          </w:p>
        </w:tc>
        <w:tc>
          <w:tcPr>
            <w:tcW w:w="567" w:type="dxa"/>
            <w:tcBorders>
              <w:top w:val="nil"/>
              <w:left w:val="single" w:sz="4" w:space="0" w:color="auto"/>
              <w:bottom w:val="single" w:sz="4" w:space="0" w:color="auto"/>
              <w:right w:val="nil"/>
            </w:tcBorders>
            <w:shd w:val="clear" w:color="auto" w:fill="auto"/>
            <w:noWrap/>
            <w:vAlign w:val="center"/>
            <w:hideMark/>
          </w:tcPr>
          <w:p w14:paraId="02DCD244" w14:textId="77777777" w:rsidR="00387142" w:rsidRPr="008B6A75" w:rsidRDefault="00387142" w:rsidP="00387142">
            <w:pPr>
              <w:jc w:val="center"/>
              <w:rPr>
                <w:sz w:val="20"/>
                <w:szCs w:val="20"/>
              </w:rPr>
            </w:pPr>
            <w:r w:rsidRPr="008B6A75">
              <w:rPr>
                <w:sz w:val="20"/>
                <w:szCs w:val="20"/>
              </w:rPr>
              <w:t>07</w:t>
            </w:r>
          </w:p>
        </w:tc>
        <w:tc>
          <w:tcPr>
            <w:tcW w:w="567" w:type="dxa"/>
            <w:tcBorders>
              <w:top w:val="nil"/>
              <w:left w:val="single" w:sz="4" w:space="0" w:color="auto"/>
              <w:bottom w:val="single" w:sz="4" w:space="0" w:color="auto"/>
              <w:right w:val="nil"/>
            </w:tcBorders>
            <w:shd w:val="clear" w:color="auto" w:fill="auto"/>
            <w:noWrap/>
            <w:vAlign w:val="center"/>
            <w:hideMark/>
          </w:tcPr>
          <w:p w14:paraId="6C7B1B85" w14:textId="77777777" w:rsidR="00387142" w:rsidRPr="008B6A75" w:rsidRDefault="00387142" w:rsidP="00387142">
            <w:pPr>
              <w:jc w:val="center"/>
              <w:rPr>
                <w:sz w:val="20"/>
                <w:szCs w:val="20"/>
              </w:rPr>
            </w:pPr>
            <w:r w:rsidRPr="008B6A75">
              <w:rPr>
                <w:sz w:val="20"/>
                <w:szCs w:val="20"/>
              </w:rPr>
              <w:t>02</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9DBAC96" w14:textId="77777777" w:rsidR="00387142" w:rsidRPr="008B6A75" w:rsidRDefault="00387142" w:rsidP="00387142">
            <w:pPr>
              <w:jc w:val="right"/>
              <w:rPr>
                <w:sz w:val="20"/>
                <w:szCs w:val="20"/>
              </w:rPr>
            </w:pPr>
            <w:r w:rsidRPr="008B6A75">
              <w:rPr>
                <w:sz w:val="20"/>
                <w:szCs w:val="20"/>
              </w:rPr>
              <w:t>725 240,00</w:t>
            </w:r>
          </w:p>
        </w:tc>
        <w:tc>
          <w:tcPr>
            <w:tcW w:w="851" w:type="dxa"/>
            <w:tcBorders>
              <w:top w:val="nil"/>
              <w:left w:val="single" w:sz="4" w:space="0" w:color="auto"/>
              <w:bottom w:val="single" w:sz="4" w:space="0" w:color="auto"/>
              <w:right w:val="nil"/>
            </w:tcBorders>
            <w:shd w:val="clear" w:color="auto" w:fill="auto"/>
            <w:noWrap/>
            <w:vAlign w:val="center"/>
            <w:hideMark/>
          </w:tcPr>
          <w:p w14:paraId="0B78DD39" w14:textId="77777777" w:rsidR="00387142" w:rsidRPr="008B6A75" w:rsidRDefault="00387142" w:rsidP="00387142">
            <w:pPr>
              <w:jc w:val="right"/>
              <w:rPr>
                <w:sz w:val="20"/>
                <w:szCs w:val="20"/>
              </w:rPr>
            </w:pPr>
            <w:r w:rsidRPr="008B6A75">
              <w:rPr>
                <w:sz w:val="20"/>
                <w:szCs w:val="20"/>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36CB884F" w14:textId="77777777" w:rsidR="00387142" w:rsidRPr="008B6A75" w:rsidRDefault="00387142" w:rsidP="00387142">
            <w:pPr>
              <w:jc w:val="right"/>
              <w:rPr>
                <w:sz w:val="20"/>
                <w:szCs w:val="20"/>
              </w:rPr>
            </w:pPr>
            <w:r w:rsidRPr="008B6A75">
              <w:rPr>
                <w:sz w:val="20"/>
                <w:szCs w:val="20"/>
              </w:rPr>
              <w:t>0,00</w:t>
            </w:r>
          </w:p>
        </w:tc>
      </w:tr>
      <w:tr w:rsidR="00387142" w:rsidRPr="008B6A75" w14:paraId="77246DE6" w14:textId="77777777" w:rsidTr="00387142">
        <w:trPr>
          <w:trHeight w:val="300"/>
        </w:trPr>
        <w:tc>
          <w:tcPr>
            <w:tcW w:w="272" w:type="dxa"/>
            <w:tcBorders>
              <w:top w:val="nil"/>
              <w:left w:val="nil"/>
              <w:bottom w:val="nil"/>
              <w:right w:val="single" w:sz="4" w:space="0" w:color="auto"/>
            </w:tcBorders>
            <w:shd w:val="clear" w:color="auto" w:fill="auto"/>
            <w:noWrap/>
            <w:vAlign w:val="bottom"/>
            <w:hideMark/>
          </w:tcPr>
          <w:p w14:paraId="5BA09822"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3AF94A8F" w14:textId="77777777" w:rsidR="00387142" w:rsidRPr="008B6A75" w:rsidRDefault="00387142" w:rsidP="00387142">
            <w:pPr>
              <w:rPr>
                <w:sz w:val="20"/>
                <w:szCs w:val="20"/>
              </w:rPr>
            </w:pPr>
            <w:r w:rsidRPr="008B6A75">
              <w:rPr>
                <w:sz w:val="20"/>
                <w:szCs w:val="20"/>
              </w:rPr>
              <w:t>Субсидии бюджетным учреждениям</w:t>
            </w:r>
          </w:p>
        </w:tc>
        <w:tc>
          <w:tcPr>
            <w:tcW w:w="1559" w:type="dxa"/>
            <w:tcBorders>
              <w:top w:val="nil"/>
              <w:left w:val="single" w:sz="4" w:space="0" w:color="auto"/>
              <w:bottom w:val="single" w:sz="4" w:space="0" w:color="auto"/>
              <w:right w:val="nil"/>
            </w:tcBorders>
            <w:shd w:val="clear" w:color="auto" w:fill="auto"/>
            <w:noWrap/>
            <w:vAlign w:val="center"/>
            <w:hideMark/>
          </w:tcPr>
          <w:p w14:paraId="08AE339C" w14:textId="77777777" w:rsidR="00387142" w:rsidRPr="008B6A75" w:rsidRDefault="00387142" w:rsidP="00387142">
            <w:pPr>
              <w:jc w:val="center"/>
              <w:rPr>
                <w:sz w:val="20"/>
                <w:szCs w:val="20"/>
              </w:rPr>
            </w:pPr>
            <w:r w:rsidRPr="008B6A75">
              <w:rPr>
                <w:sz w:val="20"/>
                <w:szCs w:val="20"/>
              </w:rPr>
              <w:t>07.1.00.79500</w:t>
            </w:r>
          </w:p>
        </w:tc>
        <w:tc>
          <w:tcPr>
            <w:tcW w:w="850" w:type="dxa"/>
            <w:tcBorders>
              <w:top w:val="nil"/>
              <w:left w:val="single" w:sz="4" w:space="0" w:color="auto"/>
              <w:bottom w:val="single" w:sz="4" w:space="0" w:color="auto"/>
              <w:right w:val="nil"/>
            </w:tcBorders>
            <w:shd w:val="clear" w:color="auto" w:fill="auto"/>
            <w:noWrap/>
            <w:vAlign w:val="center"/>
            <w:hideMark/>
          </w:tcPr>
          <w:p w14:paraId="1DFE8B1E" w14:textId="77777777" w:rsidR="00387142" w:rsidRPr="008B6A75" w:rsidRDefault="00387142" w:rsidP="00387142">
            <w:pPr>
              <w:jc w:val="center"/>
              <w:rPr>
                <w:sz w:val="20"/>
                <w:szCs w:val="20"/>
              </w:rPr>
            </w:pPr>
            <w:r w:rsidRPr="008B6A75">
              <w:rPr>
                <w:sz w:val="20"/>
                <w:szCs w:val="20"/>
              </w:rPr>
              <w:t>610</w:t>
            </w:r>
          </w:p>
        </w:tc>
        <w:tc>
          <w:tcPr>
            <w:tcW w:w="567" w:type="dxa"/>
            <w:tcBorders>
              <w:top w:val="nil"/>
              <w:left w:val="single" w:sz="4" w:space="0" w:color="auto"/>
              <w:bottom w:val="single" w:sz="4" w:space="0" w:color="auto"/>
              <w:right w:val="nil"/>
            </w:tcBorders>
            <w:shd w:val="clear" w:color="auto" w:fill="auto"/>
            <w:noWrap/>
            <w:vAlign w:val="center"/>
            <w:hideMark/>
          </w:tcPr>
          <w:p w14:paraId="492BAE27" w14:textId="77777777" w:rsidR="00387142" w:rsidRPr="008B6A75" w:rsidRDefault="00387142" w:rsidP="00387142">
            <w:pPr>
              <w:jc w:val="center"/>
              <w:rPr>
                <w:sz w:val="20"/>
                <w:szCs w:val="20"/>
              </w:rPr>
            </w:pPr>
            <w:r w:rsidRPr="008B6A75">
              <w:rPr>
                <w:sz w:val="20"/>
                <w:szCs w:val="20"/>
              </w:rPr>
              <w:t>07</w:t>
            </w:r>
          </w:p>
        </w:tc>
        <w:tc>
          <w:tcPr>
            <w:tcW w:w="567" w:type="dxa"/>
            <w:tcBorders>
              <w:top w:val="nil"/>
              <w:left w:val="single" w:sz="4" w:space="0" w:color="auto"/>
              <w:bottom w:val="single" w:sz="4" w:space="0" w:color="auto"/>
              <w:right w:val="nil"/>
            </w:tcBorders>
            <w:shd w:val="clear" w:color="auto" w:fill="auto"/>
            <w:noWrap/>
            <w:vAlign w:val="center"/>
            <w:hideMark/>
          </w:tcPr>
          <w:p w14:paraId="2BC4E71C" w14:textId="77777777" w:rsidR="00387142" w:rsidRPr="008B6A75" w:rsidRDefault="00387142" w:rsidP="00387142">
            <w:pPr>
              <w:jc w:val="center"/>
              <w:rPr>
                <w:sz w:val="20"/>
                <w:szCs w:val="20"/>
              </w:rPr>
            </w:pPr>
            <w:r w:rsidRPr="008B6A75">
              <w:rPr>
                <w:sz w:val="20"/>
                <w:szCs w:val="20"/>
              </w:rPr>
              <w:t>03</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BE2E7F3" w14:textId="77777777" w:rsidR="00387142" w:rsidRPr="008B6A75" w:rsidRDefault="00387142" w:rsidP="00387142">
            <w:pPr>
              <w:jc w:val="right"/>
              <w:rPr>
                <w:sz w:val="20"/>
                <w:szCs w:val="20"/>
              </w:rPr>
            </w:pPr>
            <w:r w:rsidRPr="008B6A75">
              <w:rPr>
                <w:sz w:val="20"/>
                <w:szCs w:val="20"/>
              </w:rPr>
              <w:t>885 280,00</w:t>
            </w:r>
          </w:p>
        </w:tc>
        <w:tc>
          <w:tcPr>
            <w:tcW w:w="851" w:type="dxa"/>
            <w:tcBorders>
              <w:top w:val="nil"/>
              <w:left w:val="single" w:sz="4" w:space="0" w:color="auto"/>
              <w:bottom w:val="single" w:sz="4" w:space="0" w:color="auto"/>
              <w:right w:val="nil"/>
            </w:tcBorders>
            <w:shd w:val="clear" w:color="auto" w:fill="auto"/>
            <w:noWrap/>
            <w:vAlign w:val="center"/>
            <w:hideMark/>
          </w:tcPr>
          <w:p w14:paraId="0AE939C2" w14:textId="77777777" w:rsidR="00387142" w:rsidRPr="008B6A75" w:rsidRDefault="00387142" w:rsidP="00387142">
            <w:pPr>
              <w:jc w:val="right"/>
              <w:rPr>
                <w:sz w:val="20"/>
                <w:szCs w:val="20"/>
              </w:rPr>
            </w:pPr>
            <w:r w:rsidRPr="008B6A75">
              <w:rPr>
                <w:sz w:val="20"/>
                <w:szCs w:val="20"/>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30599135" w14:textId="77777777" w:rsidR="00387142" w:rsidRPr="008B6A75" w:rsidRDefault="00387142" w:rsidP="00387142">
            <w:pPr>
              <w:jc w:val="right"/>
              <w:rPr>
                <w:sz w:val="20"/>
                <w:szCs w:val="20"/>
              </w:rPr>
            </w:pPr>
            <w:r w:rsidRPr="008B6A75">
              <w:rPr>
                <w:sz w:val="20"/>
                <w:szCs w:val="20"/>
              </w:rPr>
              <w:t>0,00</w:t>
            </w:r>
          </w:p>
        </w:tc>
      </w:tr>
      <w:tr w:rsidR="00387142" w:rsidRPr="008B6A75" w14:paraId="1F2C1DBA" w14:textId="77777777" w:rsidTr="00387142">
        <w:trPr>
          <w:trHeight w:val="2295"/>
        </w:trPr>
        <w:tc>
          <w:tcPr>
            <w:tcW w:w="272" w:type="dxa"/>
            <w:tcBorders>
              <w:top w:val="nil"/>
              <w:left w:val="nil"/>
              <w:bottom w:val="nil"/>
              <w:right w:val="single" w:sz="4" w:space="0" w:color="auto"/>
            </w:tcBorders>
            <w:shd w:val="clear" w:color="auto" w:fill="auto"/>
            <w:noWrap/>
            <w:vAlign w:val="bottom"/>
            <w:hideMark/>
          </w:tcPr>
          <w:p w14:paraId="4B9913FB"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4AA04EBD" w14:textId="77777777" w:rsidR="00387142" w:rsidRPr="008B6A75" w:rsidRDefault="00387142" w:rsidP="00387142">
            <w:pPr>
              <w:rPr>
                <w:bCs/>
                <w:sz w:val="20"/>
                <w:szCs w:val="20"/>
              </w:rPr>
            </w:pPr>
            <w:r w:rsidRPr="008B6A75">
              <w:rPr>
                <w:bCs/>
                <w:sz w:val="20"/>
                <w:szCs w:val="20"/>
              </w:rPr>
              <w:t>Организация бесплатного горячего питания обучающихся, получающих начальное общее образование в муниципальных образовательных организациях,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1559" w:type="dxa"/>
            <w:tcBorders>
              <w:top w:val="nil"/>
              <w:left w:val="single" w:sz="4" w:space="0" w:color="auto"/>
              <w:bottom w:val="single" w:sz="4" w:space="0" w:color="auto"/>
              <w:right w:val="nil"/>
            </w:tcBorders>
            <w:shd w:val="clear" w:color="auto" w:fill="auto"/>
            <w:noWrap/>
            <w:vAlign w:val="center"/>
            <w:hideMark/>
          </w:tcPr>
          <w:p w14:paraId="02F9783D" w14:textId="77777777" w:rsidR="00387142" w:rsidRPr="008B6A75" w:rsidRDefault="00387142" w:rsidP="00387142">
            <w:pPr>
              <w:jc w:val="center"/>
              <w:rPr>
                <w:bCs/>
                <w:sz w:val="20"/>
                <w:szCs w:val="20"/>
              </w:rPr>
            </w:pPr>
            <w:r w:rsidRPr="008B6A75">
              <w:rPr>
                <w:bCs/>
                <w:sz w:val="20"/>
                <w:szCs w:val="20"/>
              </w:rPr>
              <w:t>07.1.00.L3040</w:t>
            </w:r>
          </w:p>
        </w:tc>
        <w:tc>
          <w:tcPr>
            <w:tcW w:w="850" w:type="dxa"/>
            <w:tcBorders>
              <w:top w:val="nil"/>
              <w:left w:val="single" w:sz="4" w:space="0" w:color="auto"/>
              <w:bottom w:val="single" w:sz="4" w:space="0" w:color="auto"/>
              <w:right w:val="nil"/>
            </w:tcBorders>
            <w:shd w:val="clear" w:color="auto" w:fill="auto"/>
            <w:noWrap/>
            <w:vAlign w:val="center"/>
            <w:hideMark/>
          </w:tcPr>
          <w:p w14:paraId="37866BE4" w14:textId="77777777" w:rsidR="00387142" w:rsidRPr="008B6A75" w:rsidRDefault="00387142" w:rsidP="00387142">
            <w:pPr>
              <w:jc w:val="center"/>
              <w:rPr>
                <w:bCs/>
                <w:sz w:val="20"/>
                <w:szCs w:val="20"/>
              </w:rPr>
            </w:pPr>
            <w:r w:rsidRPr="008B6A75">
              <w:rPr>
                <w:bCs/>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3AE5D85B" w14:textId="77777777" w:rsidR="00387142" w:rsidRPr="008B6A75" w:rsidRDefault="00387142" w:rsidP="00387142">
            <w:pPr>
              <w:jc w:val="center"/>
              <w:rPr>
                <w:bCs/>
                <w:sz w:val="20"/>
                <w:szCs w:val="20"/>
              </w:rPr>
            </w:pPr>
            <w:r w:rsidRPr="008B6A75">
              <w:rPr>
                <w:bCs/>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1EA9F354" w14:textId="77777777" w:rsidR="00387142" w:rsidRPr="008B6A75" w:rsidRDefault="00387142" w:rsidP="00387142">
            <w:pPr>
              <w:jc w:val="center"/>
              <w:rPr>
                <w:bCs/>
                <w:sz w:val="20"/>
                <w:szCs w:val="20"/>
              </w:rPr>
            </w:pPr>
            <w:r w:rsidRPr="008B6A75">
              <w:rPr>
                <w:bCs/>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8E88FF0" w14:textId="77777777" w:rsidR="00387142" w:rsidRPr="008B6A75" w:rsidRDefault="00387142" w:rsidP="00387142">
            <w:pPr>
              <w:jc w:val="right"/>
              <w:rPr>
                <w:bCs/>
                <w:sz w:val="20"/>
                <w:szCs w:val="20"/>
              </w:rPr>
            </w:pPr>
            <w:r w:rsidRPr="008B6A75">
              <w:rPr>
                <w:bCs/>
                <w:sz w:val="20"/>
                <w:szCs w:val="20"/>
              </w:rPr>
              <w:t>37 574 500,00</w:t>
            </w:r>
          </w:p>
        </w:tc>
        <w:tc>
          <w:tcPr>
            <w:tcW w:w="851" w:type="dxa"/>
            <w:tcBorders>
              <w:top w:val="nil"/>
              <w:left w:val="single" w:sz="4" w:space="0" w:color="auto"/>
              <w:bottom w:val="single" w:sz="4" w:space="0" w:color="auto"/>
              <w:right w:val="nil"/>
            </w:tcBorders>
            <w:shd w:val="clear" w:color="auto" w:fill="auto"/>
            <w:noWrap/>
            <w:vAlign w:val="center"/>
            <w:hideMark/>
          </w:tcPr>
          <w:p w14:paraId="0CE6F3C2" w14:textId="77777777" w:rsidR="00387142" w:rsidRPr="008B6A75" w:rsidRDefault="00387142" w:rsidP="00387142">
            <w:pPr>
              <w:jc w:val="right"/>
              <w:rPr>
                <w:bCs/>
                <w:sz w:val="20"/>
                <w:szCs w:val="20"/>
              </w:rPr>
            </w:pPr>
            <w:r w:rsidRPr="008B6A75">
              <w:rPr>
                <w:bCs/>
                <w:sz w:val="20"/>
                <w:szCs w:val="20"/>
              </w:rPr>
              <w:t>37 574 500,00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13221FD6" w14:textId="77777777" w:rsidR="00387142" w:rsidRPr="008B6A75" w:rsidRDefault="00387142" w:rsidP="00387142">
            <w:pPr>
              <w:jc w:val="right"/>
              <w:rPr>
                <w:bCs/>
                <w:sz w:val="20"/>
                <w:szCs w:val="20"/>
              </w:rPr>
            </w:pPr>
            <w:r w:rsidRPr="008B6A75">
              <w:rPr>
                <w:bCs/>
                <w:sz w:val="20"/>
                <w:szCs w:val="20"/>
              </w:rPr>
              <w:t>38 464 000,00</w:t>
            </w:r>
          </w:p>
        </w:tc>
      </w:tr>
      <w:tr w:rsidR="00387142" w:rsidRPr="008B6A75" w14:paraId="5E1D2061" w14:textId="77777777" w:rsidTr="00387142">
        <w:trPr>
          <w:trHeight w:val="585"/>
        </w:trPr>
        <w:tc>
          <w:tcPr>
            <w:tcW w:w="272" w:type="dxa"/>
            <w:tcBorders>
              <w:top w:val="nil"/>
              <w:left w:val="nil"/>
              <w:bottom w:val="nil"/>
              <w:right w:val="single" w:sz="4" w:space="0" w:color="auto"/>
            </w:tcBorders>
            <w:shd w:val="clear" w:color="auto" w:fill="auto"/>
            <w:noWrap/>
            <w:vAlign w:val="bottom"/>
            <w:hideMark/>
          </w:tcPr>
          <w:p w14:paraId="7A7D18E5"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2C310F77" w14:textId="77777777" w:rsidR="00387142" w:rsidRPr="008B6A75" w:rsidRDefault="00387142" w:rsidP="00387142">
            <w:pPr>
              <w:rPr>
                <w:sz w:val="20"/>
                <w:szCs w:val="20"/>
              </w:rPr>
            </w:pPr>
            <w:r w:rsidRPr="008B6A75">
              <w:rPr>
                <w:sz w:val="20"/>
                <w:szCs w:val="20"/>
              </w:rPr>
              <w:t>Закупка товаров, работ и услуг для обеспечения государственных (муниципальных) нужд</w:t>
            </w:r>
          </w:p>
        </w:tc>
        <w:tc>
          <w:tcPr>
            <w:tcW w:w="1559" w:type="dxa"/>
            <w:tcBorders>
              <w:top w:val="nil"/>
              <w:left w:val="single" w:sz="4" w:space="0" w:color="auto"/>
              <w:bottom w:val="single" w:sz="4" w:space="0" w:color="auto"/>
              <w:right w:val="nil"/>
            </w:tcBorders>
            <w:shd w:val="clear" w:color="auto" w:fill="auto"/>
            <w:noWrap/>
            <w:vAlign w:val="center"/>
            <w:hideMark/>
          </w:tcPr>
          <w:p w14:paraId="712B0EE3" w14:textId="77777777" w:rsidR="00387142" w:rsidRPr="008B6A75" w:rsidRDefault="00387142" w:rsidP="00387142">
            <w:pPr>
              <w:jc w:val="center"/>
              <w:rPr>
                <w:sz w:val="20"/>
                <w:szCs w:val="20"/>
              </w:rPr>
            </w:pPr>
            <w:r w:rsidRPr="008B6A75">
              <w:rPr>
                <w:sz w:val="20"/>
                <w:szCs w:val="20"/>
              </w:rPr>
              <w:t>07.1.00.L3040</w:t>
            </w:r>
          </w:p>
        </w:tc>
        <w:tc>
          <w:tcPr>
            <w:tcW w:w="850" w:type="dxa"/>
            <w:tcBorders>
              <w:top w:val="nil"/>
              <w:left w:val="single" w:sz="4" w:space="0" w:color="auto"/>
              <w:bottom w:val="single" w:sz="4" w:space="0" w:color="auto"/>
              <w:right w:val="nil"/>
            </w:tcBorders>
            <w:shd w:val="clear" w:color="auto" w:fill="auto"/>
            <w:noWrap/>
            <w:vAlign w:val="center"/>
            <w:hideMark/>
          </w:tcPr>
          <w:p w14:paraId="1BE6FF52" w14:textId="77777777" w:rsidR="00387142" w:rsidRPr="008B6A75" w:rsidRDefault="00387142" w:rsidP="00387142">
            <w:pPr>
              <w:jc w:val="center"/>
              <w:rPr>
                <w:sz w:val="20"/>
                <w:szCs w:val="20"/>
              </w:rPr>
            </w:pPr>
            <w:r w:rsidRPr="008B6A75">
              <w:rPr>
                <w:sz w:val="20"/>
                <w:szCs w:val="20"/>
              </w:rPr>
              <w:t>200</w:t>
            </w:r>
          </w:p>
        </w:tc>
        <w:tc>
          <w:tcPr>
            <w:tcW w:w="567" w:type="dxa"/>
            <w:tcBorders>
              <w:top w:val="nil"/>
              <w:left w:val="single" w:sz="4" w:space="0" w:color="auto"/>
              <w:bottom w:val="single" w:sz="4" w:space="0" w:color="auto"/>
              <w:right w:val="nil"/>
            </w:tcBorders>
            <w:shd w:val="clear" w:color="auto" w:fill="auto"/>
            <w:noWrap/>
            <w:vAlign w:val="center"/>
            <w:hideMark/>
          </w:tcPr>
          <w:p w14:paraId="07DDB327" w14:textId="77777777" w:rsidR="00387142" w:rsidRPr="008B6A75" w:rsidRDefault="00387142" w:rsidP="00387142">
            <w:pPr>
              <w:jc w:val="center"/>
              <w:rPr>
                <w:sz w:val="20"/>
                <w:szCs w:val="20"/>
              </w:rPr>
            </w:pPr>
            <w:r w:rsidRPr="008B6A75">
              <w:rPr>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5F2E81C9" w14:textId="77777777" w:rsidR="00387142" w:rsidRPr="008B6A75" w:rsidRDefault="00387142" w:rsidP="00387142">
            <w:pPr>
              <w:jc w:val="center"/>
              <w:rPr>
                <w:sz w:val="20"/>
                <w:szCs w:val="20"/>
              </w:rPr>
            </w:pPr>
            <w:r w:rsidRPr="008B6A75">
              <w:rPr>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635D2B7" w14:textId="77777777" w:rsidR="00387142" w:rsidRPr="008B6A75" w:rsidRDefault="00387142" w:rsidP="00387142">
            <w:pPr>
              <w:jc w:val="right"/>
              <w:rPr>
                <w:sz w:val="20"/>
                <w:szCs w:val="20"/>
              </w:rPr>
            </w:pPr>
            <w:r w:rsidRPr="008B6A75">
              <w:rPr>
                <w:sz w:val="20"/>
                <w:szCs w:val="20"/>
              </w:rPr>
              <w:t>10 158 004,84</w:t>
            </w:r>
          </w:p>
        </w:tc>
        <w:tc>
          <w:tcPr>
            <w:tcW w:w="851" w:type="dxa"/>
            <w:tcBorders>
              <w:top w:val="nil"/>
              <w:left w:val="single" w:sz="4" w:space="0" w:color="auto"/>
              <w:bottom w:val="single" w:sz="4" w:space="0" w:color="auto"/>
              <w:right w:val="nil"/>
            </w:tcBorders>
            <w:shd w:val="clear" w:color="auto" w:fill="auto"/>
            <w:noWrap/>
            <w:vAlign w:val="center"/>
            <w:hideMark/>
          </w:tcPr>
          <w:p w14:paraId="29E17007" w14:textId="77777777" w:rsidR="00387142" w:rsidRPr="008B6A75" w:rsidRDefault="00387142" w:rsidP="00387142">
            <w:pPr>
              <w:jc w:val="right"/>
              <w:rPr>
                <w:sz w:val="20"/>
                <w:szCs w:val="20"/>
              </w:rPr>
            </w:pPr>
            <w:r w:rsidRPr="008B6A75">
              <w:rPr>
                <w:sz w:val="20"/>
                <w:szCs w:val="20"/>
              </w:rPr>
              <w:t>10 499 622,36</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48938333" w14:textId="77777777" w:rsidR="00387142" w:rsidRPr="008B6A75" w:rsidRDefault="00387142" w:rsidP="00387142">
            <w:pPr>
              <w:jc w:val="right"/>
              <w:rPr>
                <w:sz w:val="20"/>
                <w:szCs w:val="20"/>
              </w:rPr>
            </w:pPr>
            <w:r w:rsidRPr="008B6A75">
              <w:rPr>
                <w:sz w:val="20"/>
                <w:szCs w:val="20"/>
              </w:rPr>
              <w:t>10 743 300,00</w:t>
            </w:r>
          </w:p>
        </w:tc>
      </w:tr>
      <w:tr w:rsidR="00387142" w:rsidRPr="008B6A75" w14:paraId="7625645E" w14:textId="77777777" w:rsidTr="00387142">
        <w:trPr>
          <w:trHeight w:val="870"/>
        </w:trPr>
        <w:tc>
          <w:tcPr>
            <w:tcW w:w="272" w:type="dxa"/>
            <w:tcBorders>
              <w:top w:val="nil"/>
              <w:left w:val="nil"/>
              <w:bottom w:val="nil"/>
              <w:right w:val="single" w:sz="4" w:space="0" w:color="auto"/>
            </w:tcBorders>
            <w:shd w:val="clear" w:color="auto" w:fill="auto"/>
            <w:noWrap/>
            <w:vAlign w:val="bottom"/>
            <w:hideMark/>
          </w:tcPr>
          <w:p w14:paraId="1E7015D0"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4D01879B" w14:textId="77777777" w:rsidR="00387142" w:rsidRPr="008B6A75" w:rsidRDefault="00387142" w:rsidP="00387142">
            <w:pPr>
              <w:rPr>
                <w:sz w:val="20"/>
                <w:szCs w:val="20"/>
              </w:rPr>
            </w:pPr>
            <w:r w:rsidRPr="008B6A75">
              <w:rPr>
                <w:sz w:val="20"/>
                <w:szCs w:val="20"/>
              </w:rPr>
              <w:t>Иные закупки товаров, работ и услуг для обеспечения государственных (муниципальных) нужд</w:t>
            </w:r>
          </w:p>
        </w:tc>
        <w:tc>
          <w:tcPr>
            <w:tcW w:w="1559" w:type="dxa"/>
            <w:tcBorders>
              <w:top w:val="nil"/>
              <w:left w:val="single" w:sz="4" w:space="0" w:color="auto"/>
              <w:bottom w:val="single" w:sz="4" w:space="0" w:color="auto"/>
              <w:right w:val="nil"/>
            </w:tcBorders>
            <w:shd w:val="clear" w:color="auto" w:fill="auto"/>
            <w:noWrap/>
            <w:vAlign w:val="center"/>
            <w:hideMark/>
          </w:tcPr>
          <w:p w14:paraId="4EBC243E" w14:textId="77777777" w:rsidR="00387142" w:rsidRPr="008B6A75" w:rsidRDefault="00387142" w:rsidP="00387142">
            <w:pPr>
              <w:jc w:val="center"/>
              <w:rPr>
                <w:sz w:val="20"/>
                <w:szCs w:val="20"/>
              </w:rPr>
            </w:pPr>
            <w:r w:rsidRPr="008B6A75">
              <w:rPr>
                <w:sz w:val="20"/>
                <w:szCs w:val="20"/>
              </w:rPr>
              <w:t>07.1.00.L3040</w:t>
            </w:r>
          </w:p>
        </w:tc>
        <w:tc>
          <w:tcPr>
            <w:tcW w:w="850" w:type="dxa"/>
            <w:tcBorders>
              <w:top w:val="nil"/>
              <w:left w:val="single" w:sz="4" w:space="0" w:color="auto"/>
              <w:bottom w:val="single" w:sz="4" w:space="0" w:color="auto"/>
              <w:right w:val="nil"/>
            </w:tcBorders>
            <w:shd w:val="clear" w:color="auto" w:fill="auto"/>
            <w:noWrap/>
            <w:vAlign w:val="center"/>
            <w:hideMark/>
          </w:tcPr>
          <w:p w14:paraId="22C73DAF" w14:textId="77777777" w:rsidR="00387142" w:rsidRPr="008B6A75" w:rsidRDefault="00387142" w:rsidP="00387142">
            <w:pPr>
              <w:jc w:val="center"/>
              <w:rPr>
                <w:sz w:val="20"/>
                <w:szCs w:val="20"/>
              </w:rPr>
            </w:pPr>
            <w:r w:rsidRPr="008B6A75">
              <w:rPr>
                <w:sz w:val="20"/>
                <w:szCs w:val="20"/>
              </w:rPr>
              <w:t>240</w:t>
            </w:r>
          </w:p>
        </w:tc>
        <w:tc>
          <w:tcPr>
            <w:tcW w:w="567" w:type="dxa"/>
            <w:tcBorders>
              <w:top w:val="nil"/>
              <w:left w:val="single" w:sz="4" w:space="0" w:color="auto"/>
              <w:bottom w:val="single" w:sz="4" w:space="0" w:color="auto"/>
              <w:right w:val="nil"/>
            </w:tcBorders>
            <w:shd w:val="clear" w:color="auto" w:fill="auto"/>
            <w:noWrap/>
            <w:vAlign w:val="center"/>
            <w:hideMark/>
          </w:tcPr>
          <w:p w14:paraId="50963046" w14:textId="77777777" w:rsidR="00387142" w:rsidRPr="008B6A75" w:rsidRDefault="00387142" w:rsidP="00387142">
            <w:pPr>
              <w:jc w:val="center"/>
              <w:rPr>
                <w:sz w:val="20"/>
                <w:szCs w:val="20"/>
              </w:rPr>
            </w:pPr>
            <w:r w:rsidRPr="008B6A75">
              <w:rPr>
                <w:sz w:val="20"/>
                <w:szCs w:val="20"/>
              </w:rPr>
              <w:t>07</w:t>
            </w:r>
          </w:p>
        </w:tc>
        <w:tc>
          <w:tcPr>
            <w:tcW w:w="567" w:type="dxa"/>
            <w:tcBorders>
              <w:top w:val="nil"/>
              <w:left w:val="single" w:sz="4" w:space="0" w:color="auto"/>
              <w:bottom w:val="single" w:sz="4" w:space="0" w:color="auto"/>
              <w:right w:val="nil"/>
            </w:tcBorders>
            <w:shd w:val="clear" w:color="auto" w:fill="auto"/>
            <w:noWrap/>
            <w:vAlign w:val="center"/>
            <w:hideMark/>
          </w:tcPr>
          <w:p w14:paraId="2CC6D522" w14:textId="77777777" w:rsidR="00387142" w:rsidRPr="008B6A75" w:rsidRDefault="00387142" w:rsidP="00387142">
            <w:pPr>
              <w:jc w:val="center"/>
              <w:rPr>
                <w:sz w:val="20"/>
                <w:szCs w:val="20"/>
              </w:rPr>
            </w:pPr>
            <w:r w:rsidRPr="008B6A75">
              <w:rPr>
                <w:sz w:val="20"/>
                <w:szCs w:val="20"/>
              </w:rPr>
              <w:t>02</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2EB3BD0" w14:textId="77777777" w:rsidR="00387142" w:rsidRPr="008B6A75" w:rsidRDefault="00387142" w:rsidP="00387142">
            <w:pPr>
              <w:jc w:val="right"/>
              <w:rPr>
                <w:sz w:val="20"/>
                <w:szCs w:val="20"/>
              </w:rPr>
            </w:pPr>
            <w:r w:rsidRPr="008B6A75">
              <w:rPr>
                <w:sz w:val="20"/>
                <w:szCs w:val="20"/>
              </w:rPr>
              <w:t>10 158 004,84</w:t>
            </w:r>
          </w:p>
        </w:tc>
        <w:tc>
          <w:tcPr>
            <w:tcW w:w="851" w:type="dxa"/>
            <w:tcBorders>
              <w:top w:val="nil"/>
              <w:left w:val="single" w:sz="4" w:space="0" w:color="auto"/>
              <w:bottom w:val="single" w:sz="4" w:space="0" w:color="auto"/>
              <w:right w:val="nil"/>
            </w:tcBorders>
            <w:shd w:val="clear" w:color="auto" w:fill="auto"/>
            <w:noWrap/>
            <w:vAlign w:val="center"/>
            <w:hideMark/>
          </w:tcPr>
          <w:p w14:paraId="756278D2" w14:textId="77777777" w:rsidR="00387142" w:rsidRPr="008B6A75" w:rsidRDefault="00387142" w:rsidP="00387142">
            <w:pPr>
              <w:jc w:val="right"/>
              <w:rPr>
                <w:sz w:val="20"/>
                <w:szCs w:val="20"/>
              </w:rPr>
            </w:pPr>
            <w:r w:rsidRPr="008B6A75">
              <w:rPr>
                <w:sz w:val="20"/>
                <w:szCs w:val="20"/>
              </w:rPr>
              <w:t>10 499 622,36</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5DC1FD75" w14:textId="77777777" w:rsidR="00387142" w:rsidRPr="008B6A75" w:rsidRDefault="00387142" w:rsidP="00387142">
            <w:pPr>
              <w:jc w:val="right"/>
              <w:rPr>
                <w:sz w:val="20"/>
                <w:szCs w:val="20"/>
              </w:rPr>
            </w:pPr>
            <w:r w:rsidRPr="008B6A75">
              <w:rPr>
                <w:sz w:val="20"/>
                <w:szCs w:val="20"/>
              </w:rPr>
              <w:t>10 743 300,00</w:t>
            </w:r>
          </w:p>
        </w:tc>
      </w:tr>
      <w:tr w:rsidR="00387142" w:rsidRPr="008B6A75" w14:paraId="77DB5A4A" w14:textId="77777777" w:rsidTr="00387142">
        <w:trPr>
          <w:trHeight w:val="870"/>
        </w:trPr>
        <w:tc>
          <w:tcPr>
            <w:tcW w:w="272" w:type="dxa"/>
            <w:tcBorders>
              <w:top w:val="nil"/>
              <w:left w:val="nil"/>
              <w:bottom w:val="nil"/>
              <w:right w:val="single" w:sz="4" w:space="0" w:color="auto"/>
            </w:tcBorders>
            <w:shd w:val="clear" w:color="auto" w:fill="auto"/>
            <w:noWrap/>
            <w:vAlign w:val="bottom"/>
            <w:hideMark/>
          </w:tcPr>
          <w:p w14:paraId="13885573"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7042D472" w14:textId="77777777" w:rsidR="00387142" w:rsidRPr="008B6A75" w:rsidRDefault="00387142" w:rsidP="00387142">
            <w:pPr>
              <w:rPr>
                <w:sz w:val="20"/>
                <w:szCs w:val="20"/>
              </w:rPr>
            </w:pPr>
            <w:r w:rsidRPr="008B6A75">
              <w:rPr>
                <w:sz w:val="20"/>
                <w:szCs w:val="20"/>
              </w:rPr>
              <w:t>Предоставление субсидий бюджетным, автономным учреждениям и иным некоммерческим организациям</w:t>
            </w:r>
          </w:p>
        </w:tc>
        <w:tc>
          <w:tcPr>
            <w:tcW w:w="1559" w:type="dxa"/>
            <w:tcBorders>
              <w:top w:val="nil"/>
              <w:left w:val="single" w:sz="4" w:space="0" w:color="auto"/>
              <w:bottom w:val="single" w:sz="4" w:space="0" w:color="auto"/>
              <w:right w:val="nil"/>
            </w:tcBorders>
            <w:shd w:val="clear" w:color="auto" w:fill="auto"/>
            <w:noWrap/>
            <w:vAlign w:val="center"/>
            <w:hideMark/>
          </w:tcPr>
          <w:p w14:paraId="4EDD180B" w14:textId="77777777" w:rsidR="00387142" w:rsidRPr="008B6A75" w:rsidRDefault="00387142" w:rsidP="00387142">
            <w:pPr>
              <w:jc w:val="center"/>
              <w:rPr>
                <w:sz w:val="20"/>
                <w:szCs w:val="20"/>
              </w:rPr>
            </w:pPr>
            <w:r w:rsidRPr="008B6A75">
              <w:rPr>
                <w:sz w:val="20"/>
                <w:szCs w:val="20"/>
              </w:rPr>
              <w:t>07.1.00.L3040</w:t>
            </w:r>
          </w:p>
        </w:tc>
        <w:tc>
          <w:tcPr>
            <w:tcW w:w="850" w:type="dxa"/>
            <w:tcBorders>
              <w:top w:val="nil"/>
              <w:left w:val="single" w:sz="4" w:space="0" w:color="auto"/>
              <w:bottom w:val="single" w:sz="4" w:space="0" w:color="auto"/>
              <w:right w:val="nil"/>
            </w:tcBorders>
            <w:shd w:val="clear" w:color="auto" w:fill="auto"/>
            <w:noWrap/>
            <w:vAlign w:val="center"/>
            <w:hideMark/>
          </w:tcPr>
          <w:p w14:paraId="12F036F0" w14:textId="77777777" w:rsidR="00387142" w:rsidRPr="008B6A75" w:rsidRDefault="00387142" w:rsidP="00387142">
            <w:pPr>
              <w:jc w:val="center"/>
              <w:rPr>
                <w:sz w:val="20"/>
                <w:szCs w:val="20"/>
              </w:rPr>
            </w:pPr>
            <w:r w:rsidRPr="008B6A75">
              <w:rPr>
                <w:sz w:val="20"/>
                <w:szCs w:val="20"/>
              </w:rPr>
              <w:t>600</w:t>
            </w:r>
          </w:p>
        </w:tc>
        <w:tc>
          <w:tcPr>
            <w:tcW w:w="567" w:type="dxa"/>
            <w:tcBorders>
              <w:top w:val="nil"/>
              <w:left w:val="single" w:sz="4" w:space="0" w:color="auto"/>
              <w:bottom w:val="single" w:sz="4" w:space="0" w:color="auto"/>
              <w:right w:val="nil"/>
            </w:tcBorders>
            <w:shd w:val="clear" w:color="auto" w:fill="auto"/>
            <w:noWrap/>
            <w:vAlign w:val="center"/>
            <w:hideMark/>
          </w:tcPr>
          <w:p w14:paraId="24785FF8" w14:textId="77777777" w:rsidR="00387142" w:rsidRPr="008B6A75" w:rsidRDefault="00387142" w:rsidP="00387142">
            <w:pPr>
              <w:jc w:val="center"/>
              <w:rPr>
                <w:sz w:val="20"/>
                <w:szCs w:val="20"/>
              </w:rPr>
            </w:pPr>
            <w:r w:rsidRPr="008B6A75">
              <w:rPr>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39066B36" w14:textId="77777777" w:rsidR="00387142" w:rsidRPr="008B6A75" w:rsidRDefault="00387142" w:rsidP="00387142">
            <w:pPr>
              <w:jc w:val="center"/>
              <w:rPr>
                <w:sz w:val="20"/>
                <w:szCs w:val="20"/>
              </w:rPr>
            </w:pPr>
            <w:r w:rsidRPr="008B6A75">
              <w:rPr>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64BC059" w14:textId="77777777" w:rsidR="00387142" w:rsidRPr="008B6A75" w:rsidRDefault="00387142" w:rsidP="00387142">
            <w:pPr>
              <w:jc w:val="right"/>
              <w:rPr>
                <w:sz w:val="20"/>
                <w:szCs w:val="20"/>
              </w:rPr>
            </w:pPr>
            <w:r w:rsidRPr="008B6A75">
              <w:rPr>
                <w:sz w:val="20"/>
                <w:szCs w:val="20"/>
              </w:rPr>
              <w:t>27 416 495,16</w:t>
            </w:r>
          </w:p>
        </w:tc>
        <w:tc>
          <w:tcPr>
            <w:tcW w:w="851" w:type="dxa"/>
            <w:tcBorders>
              <w:top w:val="nil"/>
              <w:left w:val="single" w:sz="4" w:space="0" w:color="auto"/>
              <w:bottom w:val="single" w:sz="4" w:space="0" w:color="auto"/>
              <w:right w:val="nil"/>
            </w:tcBorders>
            <w:shd w:val="clear" w:color="auto" w:fill="auto"/>
            <w:noWrap/>
            <w:vAlign w:val="center"/>
            <w:hideMark/>
          </w:tcPr>
          <w:p w14:paraId="631EE5FB" w14:textId="77777777" w:rsidR="00387142" w:rsidRPr="008B6A75" w:rsidRDefault="00387142" w:rsidP="00387142">
            <w:pPr>
              <w:jc w:val="right"/>
              <w:rPr>
                <w:sz w:val="20"/>
                <w:szCs w:val="20"/>
              </w:rPr>
            </w:pPr>
            <w:r w:rsidRPr="008B6A75">
              <w:rPr>
                <w:sz w:val="20"/>
                <w:szCs w:val="20"/>
              </w:rPr>
              <w:t>27 074 877,64</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3369AB3F" w14:textId="77777777" w:rsidR="00387142" w:rsidRPr="008B6A75" w:rsidRDefault="00387142" w:rsidP="00387142">
            <w:pPr>
              <w:jc w:val="right"/>
              <w:rPr>
                <w:sz w:val="20"/>
                <w:szCs w:val="20"/>
              </w:rPr>
            </w:pPr>
            <w:r w:rsidRPr="008B6A75">
              <w:rPr>
                <w:sz w:val="20"/>
                <w:szCs w:val="20"/>
              </w:rPr>
              <w:t>27 720 700,00</w:t>
            </w:r>
          </w:p>
        </w:tc>
      </w:tr>
      <w:tr w:rsidR="00387142" w:rsidRPr="008B6A75" w14:paraId="7C1B96DB" w14:textId="77777777" w:rsidTr="00387142">
        <w:trPr>
          <w:trHeight w:val="300"/>
        </w:trPr>
        <w:tc>
          <w:tcPr>
            <w:tcW w:w="272" w:type="dxa"/>
            <w:tcBorders>
              <w:top w:val="nil"/>
              <w:left w:val="nil"/>
              <w:bottom w:val="nil"/>
              <w:right w:val="single" w:sz="4" w:space="0" w:color="auto"/>
            </w:tcBorders>
            <w:shd w:val="clear" w:color="auto" w:fill="auto"/>
            <w:noWrap/>
            <w:vAlign w:val="bottom"/>
            <w:hideMark/>
          </w:tcPr>
          <w:p w14:paraId="3523B0E2"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3545AC70" w14:textId="77777777" w:rsidR="00387142" w:rsidRPr="008B6A75" w:rsidRDefault="00387142" w:rsidP="00387142">
            <w:pPr>
              <w:rPr>
                <w:sz w:val="20"/>
                <w:szCs w:val="20"/>
              </w:rPr>
            </w:pPr>
            <w:r w:rsidRPr="008B6A75">
              <w:rPr>
                <w:sz w:val="20"/>
                <w:szCs w:val="20"/>
              </w:rPr>
              <w:t>Субсидии бюджетным учреждениям</w:t>
            </w:r>
          </w:p>
        </w:tc>
        <w:tc>
          <w:tcPr>
            <w:tcW w:w="1559" w:type="dxa"/>
            <w:tcBorders>
              <w:top w:val="nil"/>
              <w:left w:val="single" w:sz="4" w:space="0" w:color="auto"/>
              <w:bottom w:val="single" w:sz="4" w:space="0" w:color="auto"/>
              <w:right w:val="nil"/>
            </w:tcBorders>
            <w:shd w:val="clear" w:color="auto" w:fill="auto"/>
            <w:noWrap/>
            <w:vAlign w:val="center"/>
            <w:hideMark/>
          </w:tcPr>
          <w:p w14:paraId="4CF51276" w14:textId="77777777" w:rsidR="00387142" w:rsidRPr="008B6A75" w:rsidRDefault="00387142" w:rsidP="00387142">
            <w:pPr>
              <w:jc w:val="center"/>
              <w:rPr>
                <w:sz w:val="20"/>
                <w:szCs w:val="20"/>
              </w:rPr>
            </w:pPr>
            <w:r w:rsidRPr="008B6A75">
              <w:rPr>
                <w:sz w:val="20"/>
                <w:szCs w:val="20"/>
              </w:rPr>
              <w:t>07.1.00.L3040</w:t>
            </w:r>
          </w:p>
        </w:tc>
        <w:tc>
          <w:tcPr>
            <w:tcW w:w="850" w:type="dxa"/>
            <w:tcBorders>
              <w:top w:val="nil"/>
              <w:left w:val="single" w:sz="4" w:space="0" w:color="auto"/>
              <w:bottom w:val="single" w:sz="4" w:space="0" w:color="auto"/>
              <w:right w:val="nil"/>
            </w:tcBorders>
            <w:shd w:val="clear" w:color="auto" w:fill="auto"/>
            <w:noWrap/>
            <w:vAlign w:val="center"/>
            <w:hideMark/>
          </w:tcPr>
          <w:p w14:paraId="70D22789" w14:textId="77777777" w:rsidR="00387142" w:rsidRPr="008B6A75" w:rsidRDefault="00387142" w:rsidP="00387142">
            <w:pPr>
              <w:jc w:val="center"/>
              <w:rPr>
                <w:sz w:val="20"/>
                <w:szCs w:val="20"/>
              </w:rPr>
            </w:pPr>
            <w:r w:rsidRPr="008B6A75">
              <w:rPr>
                <w:sz w:val="20"/>
                <w:szCs w:val="20"/>
              </w:rPr>
              <w:t>610</w:t>
            </w:r>
          </w:p>
        </w:tc>
        <w:tc>
          <w:tcPr>
            <w:tcW w:w="567" w:type="dxa"/>
            <w:tcBorders>
              <w:top w:val="nil"/>
              <w:left w:val="single" w:sz="4" w:space="0" w:color="auto"/>
              <w:bottom w:val="single" w:sz="4" w:space="0" w:color="auto"/>
              <w:right w:val="nil"/>
            </w:tcBorders>
            <w:shd w:val="clear" w:color="auto" w:fill="auto"/>
            <w:noWrap/>
            <w:vAlign w:val="center"/>
            <w:hideMark/>
          </w:tcPr>
          <w:p w14:paraId="49439779" w14:textId="77777777" w:rsidR="00387142" w:rsidRPr="008B6A75" w:rsidRDefault="00387142" w:rsidP="00387142">
            <w:pPr>
              <w:jc w:val="center"/>
              <w:rPr>
                <w:sz w:val="20"/>
                <w:szCs w:val="20"/>
              </w:rPr>
            </w:pPr>
            <w:r w:rsidRPr="008B6A75">
              <w:rPr>
                <w:sz w:val="20"/>
                <w:szCs w:val="20"/>
              </w:rPr>
              <w:t>07</w:t>
            </w:r>
          </w:p>
        </w:tc>
        <w:tc>
          <w:tcPr>
            <w:tcW w:w="567" w:type="dxa"/>
            <w:tcBorders>
              <w:top w:val="nil"/>
              <w:left w:val="single" w:sz="4" w:space="0" w:color="auto"/>
              <w:bottom w:val="single" w:sz="4" w:space="0" w:color="auto"/>
              <w:right w:val="nil"/>
            </w:tcBorders>
            <w:shd w:val="clear" w:color="auto" w:fill="auto"/>
            <w:noWrap/>
            <w:vAlign w:val="center"/>
            <w:hideMark/>
          </w:tcPr>
          <w:p w14:paraId="4116DB97" w14:textId="77777777" w:rsidR="00387142" w:rsidRPr="008B6A75" w:rsidRDefault="00387142" w:rsidP="00387142">
            <w:pPr>
              <w:jc w:val="center"/>
              <w:rPr>
                <w:sz w:val="20"/>
                <w:szCs w:val="20"/>
              </w:rPr>
            </w:pPr>
            <w:r w:rsidRPr="008B6A75">
              <w:rPr>
                <w:sz w:val="20"/>
                <w:szCs w:val="20"/>
              </w:rPr>
              <w:t>02</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4F31982" w14:textId="77777777" w:rsidR="00387142" w:rsidRPr="008B6A75" w:rsidRDefault="00387142" w:rsidP="00387142">
            <w:pPr>
              <w:jc w:val="right"/>
              <w:rPr>
                <w:sz w:val="20"/>
                <w:szCs w:val="20"/>
              </w:rPr>
            </w:pPr>
            <w:r w:rsidRPr="008B6A75">
              <w:rPr>
                <w:sz w:val="20"/>
                <w:szCs w:val="20"/>
              </w:rPr>
              <w:t>27 416 495,16</w:t>
            </w:r>
          </w:p>
        </w:tc>
        <w:tc>
          <w:tcPr>
            <w:tcW w:w="851" w:type="dxa"/>
            <w:tcBorders>
              <w:top w:val="nil"/>
              <w:left w:val="single" w:sz="4" w:space="0" w:color="auto"/>
              <w:bottom w:val="single" w:sz="4" w:space="0" w:color="auto"/>
              <w:right w:val="nil"/>
            </w:tcBorders>
            <w:shd w:val="clear" w:color="auto" w:fill="auto"/>
            <w:noWrap/>
            <w:vAlign w:val="center"/>
            <w:hideMark/>
          </w:tcPr>
          <w:p w14:paraId="1D26480D" w14:textId="77777777" w:rsidR="00387142" w:rsidRPr="008B6A75" w:rsidRDefault="00387142" w:rsidP="00387142">
            <w:pPr>
              <w:jc w:val="right"/>
              <w:rPr>
                <w:sz w:val="20"/>
                <w:szCs w:val="20"/>
              </w:rPr>
            </w:pPr>
            <w:r w:rsidRPr="008B6A75">
              <w:rPr>
                <w:sz w:val="20"/>
                <w:szCs w:val="20"/>
              </w:rPr>
              <w:t>27 074 877,64</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60A6DA8F" w14:textId="77777777" w:rsidR="00387142" w:rsidRPr="008B6A75" w:rsidRDefault="00387142" w:rsidP="00387142">
            <w:pPr>
              <w:jc w:val="right"/>
              <w:rPr>
                <w:sz w:val="20"/>
                <w:szCs w:val="20"/>
              </w:rPr>
            </w:pPr>
            <w:r w:rsidRPr="008B6A75">
              <w:rPr>
                <w:sz w:val="20"/>
                <w:szCs w:val="20"/>
              </w:rPr>
              <w:t>27 720 700,00</w:t>
            </w:r>
          </w:p>
        </w:tc>
      </w:tr>
      <w:tr w:rsidR="00387142" w:rsidRPr="008B6A75" w14:paraId="5ECF9618" w14:textId="77777777" w:rsidTr="00387142">
        <w:trPr>
          <w:trHeight w:val="1725"/>
        </w:trPr>
        <w:tc>
          <w:tcPr>
            <w:tcW w:w="272" w:type="dxa"/>
            <w:tcBorders>
              <w:top w:val="nil"/>
              <w:left w:val="nil"/>
              <w:bottom w:val="nil"/>
              <w:right w:val="single" w:sz="4" w:space="0" w:color="auto"/>
            </w:tcBorders>
            <w:shd w:val="clear" w:color="auto" w:fill="auto"/>
            <w:noWrap/>
            <w:vAlign w:val="bottom"/>
            <w:hideMark/>
          </w:tcPr>
          <w:p w14:paraId="497759E0"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02BFCC35" w14:textId="77777777" w:rsidR="00387142" w:rsidRPr="008B6A75" w:rsidRDefault="00387142" w:rsidP="00387142">
            <w:pPr>
              <w:rPr>
                <w:bCs/>
                <w:sz w:val="20"/>
                <w:szCs w:val="20"/>
              </w:rPr>
            </w:pPr>
            <w:r w:rsidRPr="008B6A75">
              <w:rPr>
                <w:bCs/>
                <w:sz w:val="20"/>
                <w:szCs w:val="20"/>
              </w:rPr>
              <w:t>Реализация мероприятий по модернизации школьных систем образования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1559" w:type="dxa"/>
            <w:tcBorders>
              <w:top w:val="nil"/>
              <w:left w:val="single" w:sz="4" w:space="0" w:color="auto"/>
              <w:bottom w:val="single" w:sz="4" w:space="0" w:color="auto"/>
              <w:right w:val="nil"/>
            </w:tcBorders>
            <w:shd w:val="clear" w:color="auto" w:fill="auto"/>
            <w:noWrap/>
            <w:vAlign w:val="center"/>
            <w:hideMark/>
          </w:tcPr>
          <w:p w14:paraId="1309BAF7" w14:textId="77777777" w:rsidR="00387142" w:rsidRPr="008B6A75" w:rsidRDefault="00387142" w:rsidP="00387142">
            <w:pPr>
              <w:jc w:val="center"/>
              <w:rPr>
                <w:bCs/>
                <w:sz w:val="20"/>
                <w:szCs w:val="20"/>
              </w:rPr>
            </w:pPr>
            <w:r w:rsidRPr="008B6A75">
              <w:rPr>
                <w:bCs/>
                <w:sz w:val="20"/>
                <w:szCs w:val="20"/>
              </w:rPr>
              <w:t>07.1.00.L7500</w:t>
            </w:r>
          </w:p>
        </w:tc>
        <w:tc>
          <w:tcPr>
            <w:tcW w:w="850" w:type="dxa"/>
            <w:tcBorders>
              <w:top w:val="nil"/>
              <w:left w:val="single" w:sz="4" w:space="0" w:color="auto"/>
              <w:bottom w:val="single" w:sz="4" w:space="0" w:color="auto"/>
              <w:right w:val="nil"/>
            </w:tcBorders>
            <w:shd w:val="clear" w:color="auto" w:fill="auto"/>
            <w:noWrap/>
            <w:vAlign w:val="center"/>
            <w:hideMark/>
          </w:tcPr>
          <w:p w14:paraId="77564190" w14:textId="77777777" w:rsidR="00387142" w:rsidRPr="008B6A75" w:rsidRDefault="00387142" w:rsidP="00387142">
            <w:pPr>
              <w:jc w:val="center"/>
              <w:rPr>
                <w:bCs/>
                <w:sz w:val="20"/>
                <w:szCs w:val="20"/>
              </w:rPr>
            </w:pPr>
            <w:r w:rsidRPr="008B6A75">
              <w:rPr>
                <w:bCs/>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431E2C1F" w14:textId="77777777" w:rsidR="00387142" w:rsidRPr="008B6A75" w:rsidRDefault="00387142" w:rsidP="00387142">
            <w:pPr>
              <w:jc w:val="center"/>
              <w:rPr>
                <w:bCs/>
                <w:sz w:val="20"/>
                <w:szCs w:val="20"/>
              </w:rPr>
            </w:pPr>
            <w:r w:rsidRPr="008B6A75">
              <w:rPr>
                <w:bCs/>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778F7002" w14:textId="77777777" w:rsidR="00387142" w:rsidRPr="008B6A75" w:rsidRDefault="00387142" w:rsidP="00387142">
            <w:pPr>
              <w:jc w:val="center"/>
              <w:rPr>
                <w:bCs/>
                <w:sz w:val="20"/>
                <w:szCs w:val="20"/>
              </w:rPr>
            </w:pPr>
            <w:r w:rsidRPr="008B6A75">
              <w:rPr>
                <w:bCs/>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4C8F942" w14:textId="77777777" w:rsidR="00387142" w:rsidRPr="008B6A75" w:rsidRDefault="00387142" w:rsidP="00387142">
            <w:pPr>
              <w:jc w:val="right"/>
              <w:rPr>
                <w:bCs/>
                <w:sz w:val="20"/>
                <w:szCs w:val="20"/>
              </w:rPr>
            </w:pPr>
            <w:r w:rsidRPr="008B6A75">
              <w:rPr>
                <w:bCs/>
                <w:sz w:val="20"/>
                <w:szCs w:val="20"/>
              </w:rPr>
              <w:t>144 858 828,40</w:t>
            </w:r>
          </w:p>
        </w:tc>
        <w:tc>
          <w:tcPr>
            <w:tcW w:w="851" w:type="dxa"/>
            <w:tcBorders>
              <w:top w:val="nil"/>
              <w:left w:val="single" w:sz="4" w:space="0" w:color="auto"/>
              <w:bottom w:val="single" w:sz="4" w:space="0" w:color="auto"/>
              <w:right w:val="nil"/>
            </w:tcBorders>
            <w:shd w:val="clear" w:color="auto" w:fill="auto"/>
            <w:noWrap/>
            <w:vAlign w:val="center"/>
            <w:hideMark/>
          </w:tcPr>
          <w:p w14:paraId="3D0F2E9F" w14:textId="77777777" w:rsidR="00387142" w:rsidRPr="008B6A75" w:rsidRDefault="00387142" w:rsidP="00387142">
            <w:pPr>
              <w:jc w:val="right"/>
              <w:rPr>
                <w:bCs/>
                <w:sz w:val="20"/>
                <w:szCs w:val="20"/>
              </w:rPr>
            </w:pPr>
            <w:r w:rsidRPr="008B6A75">
              <w:rPr>
                <w:bCs/>
                <w:sz w:val="20"/>
                <w:szCs w:val="20"/>
              </w:rPr>
              <w:t>72 709 970,00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0A7C54D8" w14:textId="77777777" w:rsidR="00387142" w:rsidRPr="008B6A75" w:rsidRDefault="00387142" w:rsidP="00387142">
            <w:pPr>
              <w:jc w:val="right"/>
              <w:rPr>
                <w:bCs/>
                <w:sz w:val="20"/>
                <w:szCs w:val="20"/>
              </w:rPr>
            </w:pPr>
            <w:r w:rsidRPr="008B6A75">
              <w:rPr>
                <w:bCs/>
                <w:sz w:val="20"/>
                <w:szCs w:val="20"/>
              </w:rPr>
              <w:t>0,00</w:t>
            </w:r>
          </w:p>
        </w:tc>
      </w:tr>
      <w:tr w:rsidR="00387142" w:rsidRPr="008B6A75" w14:paraId="112DCE26" w14:textId="77777777" w:rsidTr="00387142">
        <w:trPr>
          <w:trHeight w:val="870"/>
        </w:trPr>
        <w:tc>
          <w:tcPr>
            <w:tcW w:w="272" w:type="dxa"/>
            <w:tcBorders>
              <w:top w:val="nil"/>
              <w:left w:val="nil"/>
              <w:bottom w:val="nil"/>
              <w:right w:val="single" w:sz="4" w:space="0" w:color="auto"/>
            </w:tcBorders>
            <w:shd w:val="clear" w:color="auto" w:fill="auto"/>
            <w:noWrap/>
            <w:vAlign w:val="bottom"/>
            <w:hideMark/>
          </w:tcPr>
          <w:p w14:paraId="5CBDF653"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7E9FC5A9" w14:textId="77777777" w:rsidR="00387142" w:rsidRPr="008B6A75" w:rsidRDefault="00387142" w:rsidP="00387142">
            <w:pPr>
              <w:rPr>
                <w:sz w:val="20"/>
                <w:szCs w:val="20"/>
              </w:rPr>
            </w:pPr>
            <w:r w:rsidRPr="008B6A75">
              <w:rPr>
                <w:sz w:val="20"/>
                <w:szCs w:val="20"/>
              </w:rPr>
              <w:t>Предоставление субсидий бюджетным, автономным учреждениям и иным некоммерческим организациям</w:t>
            </w:r>
          </w:p>
        </w:tc>
        <w:tc>
          <w:tcPr>
            <w:tcW w:w="1559" w:type="dxa"/>
            <w:tcBorders>
              <w:top w:val="nil"/>
              <w:left w:val="single" w:sz="4" w:space="0" w:color="auto"/>
              <w:bottom w:val="single" w:sz="4" w:space="0" w:color="auto"/>
              <w:right w:val="nil"/>
            </w:tcBorders>
            <w:shd w:val="clear" w:color="auto" w:fill="auto"/>
            <w:noWrap/>
            <w:vAlign w:val="center"/>
            <w:hideMark/>
          </w:tcPr>
          <w:p w14:paraId="526ED9BB" w14:textId="77777777" w:rsidR="00387142" w:rsidRPr="008B6A75" w:rsidRDefault="00387142" w:rsidP="00387142">
            <w:pPr>
              <w:jc w:val="center"/>
              <w:rPr>
                <w:sz w:val="20"/>
                <w:szCs w:val="20"/>
              </w:rPr>
            </w:pPr>
            <w:r w:rsidRPr="008B6A75">
              <w:rPr>
                <w:sz w:val="20"/>
                <w:szCs w:val="20"/>
              </w:rPr>
              <w:t>07.1.00.L7500</w:t>
            </w:r>
          </w:p>
        </w:tc>
        <w:tc>
          <w:tcPr>
            <w:tcW w:w="850" w:type="dxa"/>
            <w:tcBorders>
              <w:top w:val="nil"/>
              <w:left w:val="single" w:sz="4" w:space="0" w:color="auto"/>
              <w:bottom w:val="single" w:sz="4" w:space="0" w:color="auto"/>
              <w:right w:val="nil"/>
            </w:tcBorders>
            <w:shd w:val="clear" w:color="auto" w:fill="auto"/>
            <w:noWrap/>
            <w:vAlign w:val="center"/>
            <w:hideMark/>
          </w:tcPr>
          <w:p w14:paraId="01A3C629" w14:textId="77777777" w:rsidR="00387142" w:rsidRPr="008B6A75" w:rsidRDefault="00387142" w:rsidP="00387142">
            <w:pPr>
              <w:jc w:val="center"/>
              <w:rPr>
                <w:sz w:val="20"/>
                <w:szCs w:val="20"/>
              </w:rPr>
            </w:pPr>
            <w:r w:rsidRPr="008B6A75">
              <w:rPr>
                <w:sz w:val="20"/>
                <w:szCs w:val="20"/>
              </w:rPr>
              <w:t>600</w:t>
            </w:r>
          </w:p>
        </w:tc>
        <w:tc>
          <w:tcPr>
            <w:tcW w:w="567" w:type="dxa"/>
            <w:tcBorders>
              <w:top w:val="nil"/>
              <w:left w:val="single" w:sz="4" w:space="0" w:color="auto"/>
              <w:bottom w:val="single" w:sz="4" w:space="0" w:color="auto"/>
              <w:right w:val="nil"/>
            </w:tcBorders>
            <w:shd w:val="clear" w:color="auto" w:fill="auto"/>
            <w:noWrap/>
            <w:vAlign w:val="center"/>
            <w:hideMark/>
          </w:tcPr>
          <w:p w14:paraId="02F5C39A" w14:textId="77777777" w:rsidR="00387142" w:rsidRPr="008B6A75" w:rsidRDefault="00387142" w:rsidP="00387142">
            <w:pPr>
              <w:jc w:val="center"/>
              <w:rPr>
                <w:sz w:val="20"/>
                <w:szCs w:val="20"/>
              </w:rPr>
            </w:pPr>
            <w:r w:rsidRPr="008B6A75">
              <w:rPr>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295DA0F9" w14:textId="77777777" w:rsidR="00387142" w:rsidRPr="008B6A75" w:rsidRDefault="00387142" w:rsidP="00387142">
            <w:pPr>
              <w:jc w:val="center"/>
              <w:rPr>
                <w:sz w:val="20"/>
                <w:szCs w:val="20"/>
              </w:rPr>
            </w:pPr>
            <w:r w:rsidRPr="008B6A75">
              <w:rPr>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7F52E03" w14:textId="77777777" w:rsidR="00387142" w:rsidRPr="008B6A75" w:rsidRDefault="00387142" w:rsidP="00387142">
            <w:pPr>
              <w:jc w:val="right"/>
              <w:rPr>
                <w:sz w:val="20"/>
                <w:szCs w:val="20"/>
              </w:rPr>
            </w:pPr>
            <w:r w:rsidRPr="008B6A75">
              <w:rPr>
                <w:sz w:val="20"/>
                <w:szCs w:val="20"/>
              </w:rPr>
              <w:t>144 858 828,40</w:t>
            </w:r>
          </w:p>
        </w:tc>
        <w:tc>
          <w:tcPr>
            <w:tcW w:w="851" w:type="dxa"/>
            <w:tcBorders>
              <w:top w:val="nil"/>
              <w:left w:val="single" w:sz="4" w:space="0" w:color="auto"/>
              <w:bottom w:val="single" w:sz="4" w:space="0" w:color="auto"/>
              <w:right w:val="nil"/>
            </w:tcBorders>
            <w:shd w:val="clear" w:color="auto" w:fill="auto"/>
            <w:noWrap/>
            <w:vAlign w:val="center"/>
            <w:hideMark/>
          </w:tcPr>
          <w:p w14:paraId="63F2E119" w14:textId="77777777" w:rsidR="00387142" w:rsidRPr="008B6A75" w:rsidRDefault="00387142" w:rsidP="00387142">
            <w:pPr>
              <w:jc w:val="right"/>
              <w:rPr>
                <w:sz w:val="20"/>
                <w:szCs w:val="20"/>
              </w:rPr>
            </w:pPr>
            <w:r w:rsidRPr="008B6A75">
              <w:rPr>
                <w:sz w:val="20"/>
                <w:szCs w:val="20"/>
              </w:rPr>
              <w:t>72 709 970,00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77B26085" w14:textId="77777777" w:rsidR="00387142" w:rsidRPr="008B6A75" w:rsidRDefault="00387142" w:rsidP="00387142">
            <w:pPr>
              <w:jc w:val="right"/>
              <w:rPr>
                <w:sz w:val="20"/>
                <w:szCs w:val="20"/>
              </w:rPr>
            </w:pPr>
            <w:r w:rsidRPr="008B6A75">
              <w:rPr>
                <w:sz w:val="20"/>
                <w:szCs w:val="20"/>
              </w:rPr>
              <w:t>0,00</w:t>
            </w:r>
          </w:p>
        </w:tc>
      </w:tr>
      <w:tr w:rsidR="00387142" w:rsidRPr="008B6A75" w14:paraId="1ADEC665" w14:textId="77777777" w:rsidTr="00387142">
        <w:trPr>
          <w:trHeight w:val="300"/>
        </w:trPr>
        <w:tc>
          <w:tcPr>
            <w:tcW w:w="272" w:type="dxa"/>
            <w:tcBorders>
              <w:top w:val="nil"/>
              <w:left w:val="nil"/>
              <w:bottom w:val="nil"/>
              <w:right w:val="single" w:sz="4" w:space="0" w:color="auto"/>
            </w:tcBorders>
            <w:shd w:val="clear" w:color="auto" w:fill="auto"/>
            <w:noWrap/>
            <w:vAlign w:val="bottom"/>
            <w:hideMark/>
          </w:tcPr>
          <w:p w14:paraId="254A36C9"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2B249297" w14:textId="77777777" w:rsidR="00387142" w:rsidRPr="008B6A75" w:rsidRDefault="00387142" w:rsidP="00387142">
            <w:pPr>
              <w:rPr>
                <w:sz w:val="20"/>
                <w:szCs w:val="20"/>
              </w:rPr>
            </w:pPr>
            <w:r w:rsidRPr="008B6A75">
              <w:rPr>
                <w:sz w:val="20"/>
                <w:szCs w:val="20"/>
              </w:rPr>
              <w:t>Субсидии бюджетным учреждениям</w:t>
            </w:r>
          </w:p>
        </w:tc>
        <w:tc>
          <w:tcPr>
            <w:tcW w:w="1559" w:type="dxa"/>
            <w:tcBorders>
              <w:top w:val="nil"/>
              <w:left w:val="single" w:sz="4" w:space="0" w:color="auto"/>
              <w:bottom w:val="single" w:sz="4" w:space="0" w:color="auto"/>
              <w:right w:val="nil"/>
            </w:tcBorders>
            <w:shd w:val="clear" w:color="auto" w:fill="auto"/>
            <w:noWrap/>
            <w:vAlign w:val="center"/>
            <w:hideMark/>
          </w:tcPr>
          <w:p w14:paraId="35186EF7" w14:textId="77777777" w:rsidR="00387142" w:rsidRPr="008B6A75" w:rsidRDefault="00387142" w:rsidP="00387142">
            <w:pPr>
              <w:jc w:val="center"/>
              <w:rPr>
                <w:sz w:val="20"/>
                <w:szCs w:val="20"/>
              </w:rPr>
            </w:pPr>
            <w:r w:rsidRPr="008B6A75">
              <w:rPr>
                <w:sz w:val="20"/>
                <w:szCs w:val="20"/>
              </w:rPr>
              <w:t>07.1.00.L7500</w:t>
            </w:r>
          </w:p>
        </w:tc>
        <w:tc>
          <w:tcPr>
            <w:tcW w:w="850" w:type="dxa"/>
            <w:tcBorders>
              <w:top w:val="nil"/>
              <w:left w:val="single" w:sz="4" w:space="0" w:color="auto"/>
              <w:bottom w:val="single" w:sz="4" w:space="0" w:color="auto"/>
              <w:right w:val="nil"/>
            </w:tcBorders>
            <w:shd w:val="clear" w:color="auto" w:fill="auto"/>
            <w:noWrap/>
            <w:vAlign w:val="center"/>
            <w:hideMark/>
          </w:tcPr>
          <w:p w14:paraId="0565D7D8" w14:textId="77777777" w:rsidR="00387142" w:rsidRPr="008B6A75" w:rsidRDefault="00387142" w:rsidP="00387142">
            <w:pPr>
              <w:jc w:val="center"/>
              <w:rPr>
                <w:sz w:val="20"/>
                <w:szCs w:val="20"/>
              </w:rPr>
            </w:pPr>
            <w:r w:rsidRPr="008B6A75">
              <w:rPr>
                <w:sz w:val="20"/>
                <w:szCs w:val="20"/>
              </w:rPr>
              <w:t>610</w:t>
            </w:r>
          </w:p>
        </w:tc>
        <w:tc>
          <w:tcPr>
            <w:tcW w:w="567" w:type="dxa"/>
            <w:tcBorders>
              <w:top w:val="nil"/>
              <w:left w:val="single" w:sz="4" w:space="0" w:color="auto"/>
              <w:bottom w:val="single" w:sz="4" w:space="0" w:color="auto"/>
              <w:right w:val="nil"/>
            </w:tcBorders>
            <w:shd w:val="clear" w:color="auto" w:fill="auto"/>
            <w:noWrap/>
            <w:vAlign w:val="center"/>
            <w:hideMark/>
          </w:tcPr>
          <w:p w14:paraId="2F163257" w14:textId="77777777" w:rsidR="00387142" w:rsidRPr="008B6A75" w:rsidRDefault="00387142" w:rsidP="00387142">
            <w:pPr>
              <w:jc w:val="center"/>
              <w:rPr>
                <w:sz w:val="20"/>
                <w:szCs w:val="20"/>
              </w:rPr>
            </w:pPr>
            <w:r w:rsidRPr="008B6A75">
              <w:rPr>
                <w:sz w:val="20"/>
                <w:szCs w:val="20"/>
              </w:rPr>
              <w:t>07</w:t>
            </w:r>
          </w:p>
        </w:tc>
        <w:tc>
          <w:tcPr>
            <w:tcW w:w="567" w:type="dxa"/>
            <w:tcBorders>
              <w:top w:val="nil"/>
              <w:left w:val="single" w:sz="4" w:space="0" w:color="auto"/>
              <w:bottom w:val="single" w:sz="4" w:space="0" w:color="auto"/>
              <w:right w:val="nil"/>
            </w:tcBorders>
            <w:shd w:val="clear" w:color="auto" w:fill="auto"/>
            <w:noWrap/>
            <w:vAlign w:val="center"/>
            <w:hideMark/>
          </w:tcPr>
          <w:p w14:paraId="01960847" w14:textId="77777777" w:rsidR="00387142" w:rsidRPr="008B6A75" w:rsidRDefault="00387142" w:rsidP="00387142">
            <w:pPr>
              <w:jc w:val="center"/>
              <w:rPr>
                <w:sz w:val="20"/>
                <w:szCs w:val="20"/>
              </w:rPr>
            </w:pPr>
            <w:r w:rsidRPr="008B6A75">
              <w:rPr>
                <w:sz w:val="20"/>
                <w:szCs w:val="20"/>
              </w:rPr>
              <w:t>02</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3C84902" w14:textId="77777777" w:rsidR="00387142" w:rsidRPr="008B6A75" w:rsidRDefault="00387142" w:rsidP="00387142">
            <w:pPr>
              <w:jc w:val="right"/>
              <w:rPr>
                <w:sz w:val="20"/>
                <w:szCs w:val="20"/>
              </w:rPr>
            </w:pPr>
            <w:r w:rsidRPr="008B6A75">
              <w:rPr>
                <w:sz w:val="20"/>
                <w:szCs w:val="20"/>
              </w:rPr>
              <w:t>144 858 828,40</w:t>
            </w:r>
          </w:p>
        </w:tc>
        <w:tc>
          <w:tcPr>
            <w:tcW w:w="851" w:type="dxa"/>
            <w:tcBorders>
              <w:top w:val="nil"/>
              <w:left w:val="single" w:sz="4" w:space="0" w:color="auto"/>
              <w:bottom w:val="single" w:sz="4" w:space="0" w:color="auto"/>
              <w:right w:val="nil"/>
            </w:tcBorders>
            <w:shd w:val="clear" w:color="auto" w:fill="auto"/>
            <w:noWrap/>
            <w:vAlign w:val="center"/>
            <w:hideMark/>
          </w:tcPr>
          <w:p w14:paraId="65A5BAED" w14:textId="77777777" w:rsidR="00387142" w:rsidRPr="008B6A75" w:rsidRDefault="00387142" w:rsidP="00387142">
            <w:pPr>
              <w:jc w:val="right"/>
              <w:rPr>
                <w:sz w:val="20"/>
                <w:szCs w:val="20"/>
              </w:rPr>
            </w:pPr>
            <w:r w:rsidRPr="008B6A75">
              <w:rPr>
                <w:sz w:val="20"/>
                <w:szCs w:val="20"/>
              </w:rPr>
              <w:t>72 709 970,00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2200FC60" w14:textId="77777777" w:rsidR="00387142" w:rsidRPr="008B6A75" w:rsidRDefault="00387142" w:rsidP="00387142">
            <w:pPr>
              <w:jc w:val="right"/>
              <w:rPr>
                <w:sz w:val="20"/>
                <w:szCs w:val="20"/>
              </w:rPr>
            </w:pPr>
            <w:r w:rsidRPr="008B6A75">
              <w:rPr>
                <w:sz w:val="20"/>
                <w:szCs w:val="20"/>
              </w:rPr>
              <w:t>0,00</w:t>
            </w:r>
          </w:p>
        </w:tc>
      </w:tr>
      <w:tr w:rsidR="00387142" w:rsidRPr="008B6A75" w14:paraId="35BC9CCB" w14:textId="77777777" w:rsidTr="00387142">
        <w:trPr>
          <w:trHeight w:val="2580"/>
        </w:trPr>
        <w:tc>
          <w:tcPr>
            <w:tcW w:w="272" w:type="dxa"/>
            <w:tcBorders>
              <w:top w:val="nil"/>
              <w:left w:val="nil"/>
              <w:bottom w:val="nil"/>
              <w:right w:val="single" w:sz="4" w:space="0" w:color="auto"/>
            </w:tcBorders>
            <w:shd w:val="clear" w:color="auto" w:fill="auto"/>
            <w:noWrap/>
            <w:vAlign w:val="bottom"/>
            <w:hideMark/>
          </w:tcPr>
          <w:p w14:paraId="6F6DCA29"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61F16CF2" w14:textId="77777777" w:rsidR="00387142" w:rsidRPr="008B6A75" w:rsidRDefault="00387142" w:rsidP="00387142">
            <w:pPr>
              <w:rPr>
                <w:bCs/>
                <w:sz w:val="20"/>
                <w:szCs w:val="20"/>
              </w:rPr>
            </w:pPr>
            <w:proofErr w:type="spellStart"/>
            <w:r w:rsidRPr="008B6A75">
              <w:rPr>
                <w:bCs/>
                <w:sz w:val="20"/>
                <w:szCs w:val="20"/>
              </w:rPr>
              <w:t>Софинансирование</w:t>
            </w:r>
            <w:proofErr w:type="spellEnd"/>
            <w:r w:rsidRPr="008B6A75">
              <w:rPr>
                <w:bCs/>
                <w:sz w:val="20"/>
                <w:szCs w:val="20"/>
              </w:rPr>
              <w:t xml:space="preserve"> местного бюджета на реализацию мероприятий по установке и модернизации систем видеонаблюдения, автоматической пожарной сигнализации и пожарного мониторинга государственной программы Новосибирской области "Построение и развитие аппаратно-программного комплекса "Безопасный город" в Новосибирской области"</w:t>
            </w:r>
          </w:p>
        </w:tc>
        <w:tc>
          <w:tcPr>
            <w:tcW w:w="1559" w:type="dxa"/>
            <w:tcBorders>
              <w:top w:val="nil"/>
              <w:left w:val="single" w:sz="4" w:space="0" w:color="auto"/>
              <w:bottom w:val="single" w:sz="4" w:space="0" w:color="auto"/>
              <w:right w:val="nil"/>
            </w:tcBorders>
            <w:shd w:val="clear" w:color="auto" w:fill="auto"/>
            <w:noWrap/>
            <w:vAlign w:val="center"/>
            <w:hideMark/>
          </w:tcPr>
          <w:p w14:paraId="05ED690B" w14:textId="77777777" w:rsidR="00387142" w:rsidRPr="008B6A75" w:rsidRDefault="00387142" w:rsidP="00387142">
            <w:pPr>
              <w:jc w:val="center"/>
              <w:rPr>
                <w:bCs/>
                <w:sz w:val="20"/>
                <w:szCs w:val="20"/>
              </w:rPr>
            </w:pPr>
            <w:r w:rsidRPr="008B6A75">
              <w:rPr>
                <w:bCs/>
                <w:sz w:val="20"/>
                <w:szCs w:val="20"/>
              </w:rPr>
              <w:t>07.1.00.S2590</w:t>
            </w:r>
          </w:p>
        </w:tc>
        <w:tc>
          <w:tcPr>
            <w:tcW w:w="850" w:type="dxa"/>
            <w:tcBorders>
              <w:top w:val="nil"/>
              <w:left w:val="single" w:sz="4" w:space="0" w:color="auto"/>
              <w:bottom w:val="single" w:sz="4" w:space="0" w:color="auto"/>
              <w:right w:val="nil"/>
            </w:tcBorders>
            <w:shd w:val="clear" w:color="auto" w:fill="auto"/>
            <w:noWrap/>
            <w:vAlign w:val="center"/>
            <w:hideMark/>
          </w:tcPr>
          <w:p w14:paraId="7FE37866" w14:textId="77777777" w:rsidR="00387142" w:rsidRPr="008B6A75" w:rsidRDefault="00387142" w:rsidP="00387142">
            <w:pPr>
              <w:jc w:val="center"/>
              <w:rPr>
                <w:bCs/>
                <w:sz w:val="20"/>
                <w:szCs w:val="20"/>
              </w:rPr>
            </w:pPr>
            <w:r w:rsidRPr="008B6A75">
              <w:rPr>
                <w:bCs/>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548EE41A" w14:textId="77777777" w:rsidR="00387142" w:rsidRPr="008B6A75" w:rsidRDefault="00387142" w:rsidP="00387142">
            <w:pPr>
              <w:jc w:val="center"/>
              <w:rPr>
                <w:bCs/>
                <w:sz w:val="20"/>
                <w:szCs w:val="20"/>
              </w:rPr>
            </w:pPr>
            <w:r w:rsidRPr="008B6A75">
              <w:rPr>
                <w:bCs/>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08D1ADD0" w14:textId="77777777" w:rsidR="00387142" w:rsidRPr="008B6A75" w:rsidRDefault="00387142" w:rsidP="00387142">
            <w:pPr>
              <w:jc w:val="center"/>
              <w:rPr>
                <w:bCs/>
                <w:sz w:val="20"/>
                <w:szCs w:val="20"/>
              </w:rPr>
            </w:pPr>
            <w:r w:rsidRPr="008B6A75">
              <w:rPr>
                <w:bCs/>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F05BB68" w14:textId="77777777" w:rsidR="00387142" w:rsidRPr="008B6A75" w:rsidRDefault="00387142" w:rsidP="00387142">
            <w:pPr>
              <w:jc w:val="right"/>
              <w:rPr>
                <w:bCs/>
                <w:sz w:val="20"/>
                <w:szCs w:val="20"/>
              </w:rPr>
            </w:pPr>
            <w:r w:rsidRPr="008B6A75">
              <w:rPr>
                <w:bCs/>
                <w:sz w:val="20"/>
                <w:szCs w:val="20"/>
              </w:rPr>
              <w:t>20 410,00</w:t>
            </w:r>
          </w:p>
        </w:tc>
        <w:tc>
          <w:tcPr>
            <w:tcW w:w="851" w:type="dxa"/>
            <w:tcBorders>
              <w:top w:val="nil"/>
              <w:left w:val="single" w:sz="4" w:space="0" w:color="auto"/>
              <w:bottom w:val="single" w:sz="4" w:space="0" w:color="auto"/>
              <w:right w:val="nil"/>
            </w:tcBorders>
            <w:shd w:val="clear" w:color="auto" w:fill="auto"/>
            <w:noWrap/>
            <w:vAlign w:val="center"/>
            <w:hideMark/>
          </w:tcPr>
          <w:p w14:paraId="49F3837C" w14:textId="77777777" w:rsidR="00387142" w:rsidRPr="008B6A75" w:rsidRDefault="00387142" w:rsidP="00387142">
            <w:pPr>
              <w:jc w:val="right"/>
              <w:rPr>
                <w:bCs/>
                <w:sz w:val="20"/>
                <w:szCs w:val="20"/>
              </w:rPr>
            </w:pPr>
            <w:r w:rsidRPr="008B6A75">
              <w:rPr>
                <w:bCs/>
                <w:sz w:val="20"/>
                <w:szCs w:val="20"/>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1E080BE2" w14:textId="77777777" w:rsidR="00387142" w:rsidRPr="008B6A75" w:rsidRDefault="00387142" w:rsidP="00387142">
            <w:pPr>
              <w:jc w:val="right"/>
              <w:rPr>
                <w:bCs/>
                <w:sz w:val="20"/>
                <w:szCs w:val="20"/>
              </w:rPr>
            </w:pPr>
            <w:r w:rsidRPr="008B6A75">
              <w:rPr>
                <w:bCs/>
                <w:sz w:val="20"/>
                <w:szCs w:val="20"/>
              </w:rPr>
              <w:t>20 410,00</w:t>
            </w:r>
          </w:p>
        </w:tc>
      </w:tr>
      <w:tr w:rsidR="00387142" w:rsidRPr="008B6A75" w14:paraId="7DC8BF8A" w14:textId="77777777" w:rsidTr="00387142">
        <w:trPr>
          <w:trHeight w:val="585"/>
        </w:trPr>
        <w:tc>
          <w:tcPr>
            <w:tcW w:w="272" w:type="dxa"/>
            <w:tcBorders>
              <w:top w:val="nil"/>
              <w:left w:val="nil"/>
              <w:bottom w:val="nil"/>
              <w:right w:val="single" w:sz="4" w:space="0" w:color="auto"/>
            </w:tcBorders>
            <w:shd w:val="clear" w:color="auto" w:fill="auto"/>
            <w:noWrap/>
            <w:vAlign w:val="bottom"/>
            <w:hideMark/>
          </w:tcPr>
          <w:p w14:paraId="1FD7DA5C" w14:textId="77777777" w:rsidR="00387142" w:rsidRPr="008B6A75" w:rsidRDefault="00387142" w:rsidP="00387142">
            <w:pPr>
              <w:rPr>
                <w:sz w:val="20"/>
                <w:szCs w:val="20"/>
              </w:rPr>
            </w:pPr>
            <w:r w:rsidRPr="008B6A75">
              <w:rPr>
                <w:sz w:val="20"/>
                <w:szCs w:val="20"/>
              </w:rPr>
              <w:lastRenderedPageBreak/>
              <w:t> </w:t>
            </w:r>
          </w:p>
        </w:tc>
        <w:tc>
          <w:tcPr>
            <w:tcW w:w="3415" w:type="dxa"/>
            <w:tcBorders>
              <w:top w:val="nil"/>
              <w:left w:val="single" w:sz="4" w:space="0" w:color="auto"/>
              <w:bottom w:val="single" w:sz="4" w:space="0" w:color="auto"/>
              <w:right w:val="nil"/>
            </w:tcBorders>
            <w:shd w:val="clear" w:color="auto" w:fill="auto"/>
            <w:vAlign w:val="center"/>
            <w:hideMark/>
          </w:tcPr>
          <w:p w14:paraId="36E0C142" w14:textId="77777777" w:rsidR="00387142" w:rsidRPr="008B6A75" w:rsidRDefault="00387142" w:rsidP="00387142">
            <w:pPr>
              <w:rPr>
                <w:sz w:val="20"/>
                <w:szCs w:val="20"/>
              </w:rPr>
            </w:pPr>
            <w:r w:rsidRPr="008B6A75">
              <w:rPr>
                <w:sz w:val="20"/>
                <w:szCs w:val="20"/>
              </w:rPr>
              <w:t>Закупка товаров, работ и услуг для обеспечения государственных (муниципальных) нужд</w:t>
            </w:r>
          </w:p>
        </w:tc>
        <w:tc>
          <w:tcPr>
            <w:tcW w:w="1559" w:type="dxa"/>
            <w:tcBorders>
              <w:top w:val="nil"/>
              <w:left w:val="single" w:sz="4" w:space="0" w:color="auto"/>
              <w:bottom w:val="single" w:sz="4" w:space="0" w:color="auto"/>
              <w:right w:val="nil"/>
            </w:tcBorders>
            <w:shd w:val="clear" w:color="auto" w:fill="auto"/>
            <w:noWrap/>
            <w:vAlign w:val="center"/>
            <w:hideMark/>
          </w:tcPr>
          <w:p w14:paraId="6762BF8A" w14:textId="77777777" w:rsidR="00387142" w:rsidRPr="008B6A75" w:rsidRDefault="00387142" w:rsidP="00387142">
            <w:pPr>
              <w:jc w:val="center"/>
              <w:rPr>
                <w:sz w:val="20"/>
                <w:szCs w:val="20"/>
              </w:rPr>
            </w:pPr>
            <w:r w:rsidRPr="008B6A75">
              <w:rPr>
                <w:sz w:val="20"/>
                <w:szCs w:val="20"/>
              </w:rPr>
              <w:t>07.1.00.S2590</w:t>
            </w:r>
          </w:p>
        </w:tc>
        <w:tc>
          <w:tcPr>
            <w:tcW w:w="850" w:type="dxa"/>
            <w:tcBorders>
              <w:top w:val="nil"/>
              <w:left w:val="single" w:sz="4" w:space="0" w:color="auto"/>
              <w:bottom w:val="single" w:sz="4" w:space="0" w:color="auto"/>
              <w:right w:val="nil"/>
            </w:tcBorders>
            <w:shd w:val="clear" w:color="auto" w:fill="auto"/>
            <w:noWrap/>
            <w:vAlign w:val="center"/>
            <w:hideMark/>
          </w:tcPr>
          <w:p w14:paraId="525B04AC" w14:textId="77777777" w:rsidR="00387142" w:rsidRPr="008B6A75" w:rsidRDefault="00387142" w:rsidP="00387142">
            <w:pPr>
              <w:jc w:val="center"/>
              <w:rPr>
                <w:sz w:val="20"/>
                <w:szCs w:val="20"/>
              </w:rPr>
            </w:pPr>
            <w:r w:rsidRPr="008B6A75">
              <w:rPr>
                <w:sz w:val="20"/>
                <w:szCs w:val="20"/>
              </w:rPr>
              <w:t>200</w:t>
            </w:r>
          </w:p>
        </w:tc>
        <w:tc>
          <w:tcPr>
            <w:tcW w:w="567" w:type="dxa"/>
            <w:tcBorders>
              <w:top w:val="nil"/>
              <w:left w:val="single" w:sz="4" w:space="0" w:color="auto"/>
              <w:bottom w:val="single" w:sz="4" w:space="0" w:color="auto"/>
              <w:right w:val="nil"/>
            </w:tcBorders>
            <w:shd w:val="clear" w:color="auto" w:fill="auto"/>
            <w:noWrap/>
            <w:vAlign w:val="center"/>
            <w:hideMark/>
          </w:tcPr>
          <w:p w14:paraId="08CF17C6" w14:textId="77777777" w:rsidR="00387142" w:rsidRPr="008B6A75" w:rsidRDefault="00387142" w:rsidP="00387142">
            <w:pPr>
              <w:jc w:val="center"/>
              <w:rPr>
                <w:sz w:val="20"/>
                <w:szCs w:val="20"/>
              </w:rPr>
            </w:pPr>
            <w:r w:rsidRPr="008B6A75">
              <w:rPr>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0BCFBFE1" w14:textId="77777777" w:rsidR="00387142" w:rsidRPr="008B6A75" w:rsidRDefault="00387142" w:rsidP="00387142">
            <w:pPr>
              <w:jc w:val="center"/>
              <w:rPr>
                <w:sz w:val="20"/>
                <w:szCs w:val="20"/>
              </w:rPr>
            </w:pPr>
            <w:r w:rsidRPr="008B6A75">
              <w:rPr>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C00D003" w14:textId="77777777" w:rsidR="00387142" w:rsidRPr="008B6A75" w:rsidRDefault="00387142" w:rsidP="00387142">
            <w:pPr>
              <w:jc w:val="right"/>
              <w:rPr>
                <w:sz w:val="20"/>
                <w:szCs w:val="20"/>
              </w:rPr>
            </w:pPr>
            <w:r w:rsidRPr="008B6A75">
              <w:rPr>
                <w:sz w:val="20"/>
                <w:szCs w:val="20"/>
              </w:rPr>
              <w:t>12 631,12</w:t>
            </w:r>
          </w:p>
        </w:tc>
        <w:tc>
          <w:tcPr>
            <w:tcW w:w="851" w:type="dxa"/>
            <w:tcBorders>
              <w:top w:val="nil"/>
              <w:left w:val="single" w:sz="4" w:space="0" w:color="auto"/>
              <w:bottom w:val="single" w:sz="4" w:space="0" w:color="auto"/>
              <w:right w:val="nil"/>
            </w:tcBorders>
            <w:shd w:val="clear" w:color="auto" w:fill="auto"/>
            <w:noWrap/>
            <w:vAlign w:val="center"/>
            <w:hideMark/>
          </w:tcPr>
          <w:p w14:paraId="0638E28D" w14:textId="77777777" w:rsidR="00387142" w:rsidRPr="008B6A75" w:rsidRDefault="00387142" w:rsidP="00387142">
            <w:pPr>
              <w:jc w:val="right"/>
              <w:rPr>
                <w:sz w:val="20"/>
                <w:szCs w:val="20"/>
              </w:rPr>
            </w:pPr>
            <w:r w:rsidRPr="008B6A75">
              <w:rPr>
                <w:sz w:val="20"/>
                <w:szCs w:val="20"/>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4F57FE6F" w14:textId="77777777" w:rsidR="00387142" w:rsidRPr="008B6A75" w:rsidRDefault="00387142" w:rsidP="00387142">
            <w:pPr>
              <w:jc w:val="right"/>
              <w:rPr>
                <w:sz w:val="20"/>
                <w:szCs w:val="20"/>
              </w:rPr>
            </w:pPr>
            <w:r w:rsidRPr="008B6A75">
              <w:rPr>
                <w:sz w:val="20"/>
                <w:szCs w:val="20"/>
              </w:rPr>
              <w:t>20 410,00</w:t>
            </w:r>
          </w:p>
        </w:tc>
      </w:tr>
      <w:tr w:rsidR="00387142" w:rsidRPr="008B6A75" w14:paraId="774FA0EA" w14:textId="77777777" w:rsidTr="00387142">
        <w:trPr>
          <w:trHeight w:val="870"/>
        </w:trPr>
        <w:tc>
          <w:tcPr>
            <w:tcW w:w="272" w:type="dxa"/>
            <w:tcBorders>
              <w:top w:val="nil"/>
              <w:left w:val="nil"/>
              <w:bottom w:val="nil"/>
              <w:right w:val="single" w:sz="4" w:space="0" w:color="auto"/>
            </w:tcBorders>
            <w:shd w:val="clear" w:color="auto" w:fill="auto"/>
            <w:noWrap/>
            <w:vAlign w:val="bottom"/>
            <w:hideMark/>
          </w:tcPr>
          <w:p w14:paraId="1968FB75"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6B8387C0" w14:textId="77777777" w:rsidR="00387142" w:rsidRPr="008B6A75" w:rsidRDefault="00387142" w:rsidP="00387142">
            <w:pPr>
              <w:rPr>
                <w:sz w:val="20"/>
                <w:szCs w:val="20"/>
              </w:rPr>
            </w:pPr>
            <w:r w:rsidRPr="008B6A75">
              <w:rPr>
                <w:sz w:val="20"/>
                <w:szCs w:val="20"/>
              </w:rPr>
              <w:t>Иные закупки товаров, работ и услуг для обеспечения государственных (муниципальных) нужд</w:t>
            </w:r>
          </w:p>
        </w:tc>
        <w:tc>
          <w:tcPr>
            <w:tcW w:w="1559" w:type="dxa"/>
            <w:tcBorders>
              <w:top w:val="nil"/>
              <w:left w:val="single" w:sz="4" w:space="0" w:color="auto"/>
              <w:bottom w:val="single" w:sz="4" w:space="0" w:color="auto"/>
              <w:right w:val="nil"/>
            </w:tcBorders>
            <w:shd w:val="clear" w:color="auto" w:fill="auto"/>
            <w:noWrap/>
            <w:vAlign w:val="center"/>
            <w:hideMark/>
          </w:tcPr>
          <w:p w14:paraId="2FFBBF32" w14:textId="77777777" w:rsidR="00387142" w:rsidRPr="008B6A75" w:rsidRDefault="00387142" w:rsidP="00387142">
            <w:pPr>
              <w:jc w:val="center"/>
              <w:rPr>
                <w:sz w:val="20"/>
                <w:szCs w:val="20"/>
              </w:rPr>
            </w:pPr>
            <w:r w:rsidRPr="008B6A75">
              <w:rPr>
                <w:sz w:val="20"/>
                <w:szCs w:val="20"/>
              </w:rPr>
              <w:t>07.1.00.S2590</w:t>
            </w:r>
          </w:p>
        </w:tc>
        <w:tc>
          <w:tcPr>
            <w:tcW w:w="850" w:type="dxa"/>
            <w:tcBorders>
              <w:top w:val="nil"/>
              <w:left w:val="single" w:sz="4" w:space="0" w:color="auto"/>
              <w:bottom w:val="single" w:sz="4" w:space="0" w:color="auto"/>
              <w:right w:val="nil"/>
            </w:tcBorders>
            <w:shd w:val="clear" w:color="auto" w:fill="auto"/>
            <w:noWrap/>
            <w:vAlign w:val="center"/>
            <w:hideMark/>
          </w:tcPr>
          <w:p w14:paraId="67E2B11C" w14:textId="77777777" w:rsidR="00387142" w:rsidRPr="008B6A75" w:rsidRDefault="00387142" w:rsidP="00387142">
            <w:pPr>
              <w:jc w:val="center"/>
              <w:rPr>
                <w:sz w:val="20"/>
                <w:szCs w:val="20"/>
              </w:rPr>
            </w:pPr>
            <w:r w:rsidRPr="008B6A75">
              <w:rPr>
                <w:sz w:val="20"/>
                <w:szCs w:val="20"/>
              </w:rPr>
              <w:t>240</w:t>
            </w:r>
          </w:p>
        </w:tc>
        <w:tc>
          <w:tcPr>
            <w:tcW w:w="567" w:type="dxa"/>
            <w:tcBorders>
              <w:top w:val="nil"/>
              <w:left w:val="single" w:sz="4" w:space="0" w:color="auto"/>
              <w:bottom w:val="single" w:sz="4" w:space="0" w:color="auto"/>
              <w:right w:val="nil"/>
            </w:tcBorders>
            <w:shd w:val="clear" w:color="auto" w:fill="auto"/>
            <w:noWrap/>
            <w:vAlign w:val="center"/>
            <w:hideMark/>
          </w:tcPr>
          <w:p w14:paraId="7EB1781A" w14:textId="77777777" w:rsidR="00387142" w:rsidRPr="008B6A75" w:rsidRDefault="00387142" w:rsidP="00387142">
            <w:pPr>
              <w:jc w:val="center"/>
              <w:rPr>
                <w:sz w:val="20"/>
                <w:szCs w:val="20"/>
              </w:rPr>
            </w:pPr>
            <w:r w:rsidRPr="008B6A75">
              <w:rPr>
                <w:sz w:val="20"/>
                <w:szCs w:val="20"/>
              </w:rPr>
              <w:t>07</w:t>
            </w:r>
          </w:p>
        </w:tc>
        <w:tc>
          <w:tcPr>
            <w:tcW w:w="567" w:type="dxa"/>
            <w:tcBorders>
              <w:top w:val="nil"/>
              <w:left w:val="single" w:sz="4" w:space="0" w:color="auto"/>
              <w:bottom w:val="single" w:sz="4" w:space="0" w:color="auto"/>
              <w:right w:val="nil"/>
            </w:tcBorders>
            <w:shd w:val="clear" w:color="auto" w:fill="auto"/>
            <w:noWrap/>
            <w:vAlign w:val="center"/>
            <w:hideMark/>
          </w:tcPr>
          <w:p w14:paraId="79598417" w14:textId="77777777" w:rsidR="00387142" w:rsidRPr="008B6A75" w:rsidRDefault="00387142" w:rsidP="00387142">
            <w:pPr>
              <w:jc w:val="center"/>
              <w:rPr>
                <w:sz w:val="20"/>
                <w:szCs w:val="20"/>
              </w:rPr>
            </w:pPr>
            <w:r w:rsidRPr="008B6A75">
              <w:rPr>
                <w:sz w:val="20"/>
                <w:szCs w:val="20"/>
              </w:rPr>
              <w:t>01</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A2D4FED" w14:textId="77777777" w:rsidR="00387142" w:rsidRPr="008B6A75" w:rsidRDefault="00387142" w:rsidP="00387142">
            <w:pPr>
              <w:jc w:val="right"/>
              <w:rPr>
                <w:sz w:val="20"/>
                <w:szCs w:val="20"/>
              </w:rPr>
            </w:pPr>
            <w:r w:rsidRPr="008B6A75">
              <w:rPr>
                <w:sz w:val="20"/>
                <w:szCs w:val="20"/>
              </w:rPr>
              <w:t>1 296,48</w:t>
            </w:r>
          </w:p>
        </w:tc>
        <w:tc>
          <w:tcPr>
            <w:tcW w:w="851" w:type="dxa"/>
            <w:tcBorders>
              <w:top w:val="nil"/>
              <w:left w:val="single" w:sz="4" w:space="0" w:color="auto"/>
              <w:bottom w:val="single" w:sz="4" w:space="0" w:color="auto"/>
              <w:right w:val="nil"/>
            </w:tcBorders>
            <w:shd w:val="clear" w:color="auto" w:fill="auto"/>
            <w:noWrap/>
            <w:vAlign w:val="center"/>
            <w:hideMark/>
          </w:tcPr>
          <w:p w14:paraId="376034C1" w14:textId="77777777" w:rsidR="00387142" w:rsidRPr="008B6A75" w:rsidRDefault="00387142" w:rsidP="00387142">
            <w:pPr>
              <w:jc w:val="right"/>
              <w:rPr>
                <w:sz w:val="20"/>
                <w:szCs w:val="20"/>
              </w:rPr>
            </w:pPr>
            <w:r w:rsidRPr="008B6A75">
              <w:rPr>
                <w:sz w:val="20"/>
                <w:szCs w:val="20"/>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00D49B1F" w14:textId="77777777" w:rsidR="00387142" w:rsidRPr="008B6A75" w:rsidRDefault="00387142" w:rsidP="00387142">
            <w:pPr>
              <w:jc w:val="right"/>
              <w:rPr>
                <w:sz w:val="20"/>
                <w:szCs w:val="20"/>
              </w:rPr>
            </w:pPr>
            <w:r w:rsidRPr="008B6A75">
              <w:rPr>
                <w:sz w:val="20"/>
                <w:szCs w:val="20"/>
              </w:rPr>
              <w:t>0,00</w:t>
            </w:r>
          </w:p>
        </w:tc>
      </w:tr>
      <w:tr w:rsidR="00387142" w:rsidRPr="008B6A75" w14:paraId="6CBE1476" w14:textId="77777777" w:rsidTr="00387142">
        <w:trPr>
          <w:trHeight w:val="870"/>
        </w:trPr>
        <w:tc>
          <w:tcPr>
            <w:tcW w:w="272" w:type="dxa"/>
            <w:tcBorders>
              <w:top w:val="nil"/>
              <w:left w:val="nil"/>
              <w:bottom w:val="nil"/>
              <w:right w:val="single" w:sz="4" w:space="0" w:color="auto"/>
            </w:tcBorders>
            <w:shd w:val="clear" w:color="auto" w:fill="auto"/>
            <w:noWrap/>
            <w:vAlign w:val="bottom"/>
            <w:hideMark/>
          </w:tcPr>
          <w:p w14:paraId="44DD3B1A"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763130D4" w14:textId="77777777" w:rsidR="00387142" w:rsidRPr="008B6A75" w:rsidRDefault="00387142" w:rsidP="00387142">
            <w:pPr>
              <w:rPr>
                <w:sz w:val="20"/>
                <w:szCs w:val="20"/>
              </w:rPr>
            </w:pPr>
            <w:r w:rsidRPr="008B6A75">
              <w:rPr>
                <w:sz w:val="20"/>
                <w:szCs w:val="20"/>
              </w:rPr>
              <w:t>Иные закупки товаров, работ и услуг для обеспечения государственных (муниципальных) нужд</w:t>
            </w:r>
          </w:p>
        </w:tc>
        <w:tc>
          <w:tcPr>
            <w:tcW w:w="1559" w:type="dxa"/>
            <w:tcBorders>
              <w:top w:val="nil"/>
              <w:left w:val="single" w:sz="4" w:space="0" w:color="auto"/>
              <w:bottom w:val="single" w:sz="4" w:space="0" w:color="auto"/>
              <w:right w:val="nil"/>
            </w:tcBorders>
            <w:shd w:val="clear" w:color="auto" w:fill="auto"/>
            <w:noWrap/>
            <w:vAlign w:val="center"/>
            <w:hideMark/>
          </w:tcPr>
          <w:p w14:paraId="582B33CB" w14:textId="77777777" w:rsidR="00387142" w:rsidRPr="008B6A75" w:rsidRDefault="00387142" w:rsidP="00387142">
            <w:pPr>
              <w:jc w:val="center"/>
              <w:rPr>
                <w:sz w:val="20"/>
                <w:szCs w:val="20"/>
              </w:rPr>
            </w:pPr>
            <w:r w:rsidRPr="008B6A75">
              <w:rPr>
                <w:sz w:val="20"/>
                <w:szCs w:val="20"/>
              </w:rPr>
              <w:t>07.1.00.S2590</w:t>
            </w:r>
          </w:p>
        </w:tc>
        <w:tc>
          <w:tcPr>
            <w:tcW w:w="850" w:type="dxa"/>
            <w:tcBorders>
              <w:top w:val="nil"/>
              <w:left w:val="single" w:sz="4" w:space="0" w:color="auto"/>
              <w:bottom w:val="single" w:sz="4" w:space="0" w:color="auto"/>
              <w:right w:val="nil"/>
            </w:tcBorders>
            <w:shd w:val="clear" w:color="auto" w:fill="auto"/>
            <w:noWrap/>
            <w:vAlign w:val="center"/>
            <w:hideMark/>
          </w:tcPr>
          <w:p w14:paraId="0C6ED97A" w14:textId="77777777" w:rsidR="00387142" w:rsidRPr="008B6A75" w:rsidRDefault="00387142" w:rsidP="00387142">
            <w:pPr>
              <w:jc w:val="center"/>
              <w:rPr>
                <w:sz w:val="20"/>
                <w:szCs w:val="20"/>
              </w:rPr>
            </w:pPr>
            <w:r w:rsidRPr="008B6A75">
              <w:rPr>
                <w:sz w:val="20"/>
                <w:szCs w:val="20"/>
              </w:rPr>
              <w:t>240</w:t>
            </w:r>
          </w:p>
        </w:tc>
        <w:tc>
          <w:tcPr>
            <w:tcW w:w="567" w:type="dxa"/>
            <w:tcBorders>
              <w:top w:val="nil"/>
              <w:left w:val="single" w:sz="4" w:space="0" w:color="auto"/>
              <w:bottom w:val="single" w:sz="4" w:space="0" w:color="auto"/>
              <w:right w:val="nil"/>
            </w:tcBorders>
            <w:shd w:val="clear" w:color="auto" w:fill="auto"/>
            <w:noWrap/>
            <w:vAlign w:val="center"/>
            <w:hideMark/>
          </w:tcPr>
          <w:p w14:paraId="1399D1EC" w14:textId="77777777" w:rsidR="00387142" w:rsidRPr="008B6A75" w:rsidRDefault="00387142" w:rsidP="00387142">
            <w:pPr>
              <w:jc w:val="center"/>
              <w:rPr>
                <w:sz w:val="20"/>
                <w:szCs w:val="20"/>
              </w:rPr>
            </w:pPr>
            <w:r w:rsidRPr="008B6A75">
              <w:rPr>
                <w:sz w:val="20"/>
                <w:szCs w:val="20"/>
              </w:rPr>
              <w:t>07</w:t>
            </w:r>
          </w:p>
        </w:tc>
        <w:tc>
          <w:tcPr>
            <w:tcW w:w="567" w:type="dxa"/>
            <w:tcBorders>
              <w:top w:val="nil"/>
              <w:left w:val="single" w:sz="4" w:space="0" w:color="auto"/>
              <w:bottom w:val="single" w:sz="4" w:space="0" w:color="auto"/>
              <w:right w:val="nil"/>
            </w:tcBorders>
            <w:shd w:val="clear" w:color="auto" w:fill="auto"/>
            <w:noWrap/>
            <w:vAlign w:val="center"/>
            <w:hideMark/>
          </w:tcPr>
          <w:p w14:paraId="0F1711D8" w14:textId="77777777" w:rsidR="00387142" w:rsidRPr="008B6A75" w:rsidRDefault="00387142" w:rsidP="00387142">
            <w:pPr>
              <w:jc w:val="center"/>
              <w:rPr>
                <w:sz w:val="20"/>
                <w:szCs w:val="20"/>
              </w:rPr>
            </w:pPr>
            <w:r w:rsidRPr="008B6A75">
              <w:rPr>
                <w:sz w:val="20"/>
                <w:szCs w:val="20"/>
              </w:rPr>
              <w:t>02</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3144D69" w14:textId="77777777" w:rsidR="00387142" w:rsidRPr="008B6A75" w:rsidRDefault="00387142" w:rsidP="00387142">
            <w:pPr>
              <w:jc w:val="right"/>
              <w:rPr>
                <w:sz w:val="20"/>
                <w:szCs w:val="20"/>
              </w:rPr>
            </w:pPr>
            <w:r w:rsidRPr="008B6A75">
              <w:rPr>
                <w:sz w:val="20"/>
                <w:szCs w:val="20"/>
              </w:rPr>
              <w:t>11 334,64</w:t>
            </w:r>
          </w:p>
        </w:tc>
        <w:tc>
          <w:tcPr>
            <w:tcW w:w="851" w:type="dxa"/>
            <w:tcBorders>
              <w:top w:val="nil"/>
              <w:left w:val="single" w:sz="4" w:space="0" w:color="auto"/>
              <w:bottom w:val="single" w:sz="4" w:space="0" w:color="auto"/>
              <w:right w:val="nil"/>
            </w:tcBorders>
            <w:shd w:val="clear" w:color="auto" w:fill="auto"/>
            <w:noWrap/>
            <w:vAlign w:val="center"/>
            <w:hideMark/>
          </w:tcPr>
          <w:p w14:paraId="3CEA62A0" w14:textId="77777777" w:rsidR="00387142" w:rsidRPr="008B6A75" w:rsidRDefault="00387142" w:rsidP="00387142">
            <w:pPr>
              <w:jc w:val="right"/>
              <w:rPr>
                <w:sz w:val="20"/>
                <w:szCs w:val="20"/>
              </w:rPr>
            </w:pPr>
            <w:r w:rsidRPr="008B6A75">
              <w:rPr>
                <w:sz w:val="20"/>
                <w:szCs w:val="20"/>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06D677C9" w14:textId="77777777" w:rsidR="00387142" w:rsidRPr="008B6A75" w:rsidRDefault="00387142" w:rsidP="00387142">
            <w:pPr>
              <w:jc w:val="right"/>
              <w:rPr>
                <w:sz w:val="20"/>
                <w:szCs w:val="20"/>
              </w:rPr>
            </w:pPr>
            <w:r w:rsidRPr="008B6A75">
              <w:rPr>
                <w:sz w:val="20"/>
                <w:szCs w:val="20"/>
              </w:rPr>
              <w:t>0,00</w:t>
            </w:r>
          </w:p>
        </w:tc>
      </w:tr>
      <w:tr w:rsidR="00387142" w:rsidRPr="008B6A75" w14:paraId="7FD29C4B" w14:textId="77777777" w:rsidTr="00387142">
        <w:trPr>
          <w:trHeight w:val="870"/>
        </w:trPr>
        <w:tc>
          <w:tcPr>
            <w:tcW w:w="272" w:type="dxa"/>
            <w:tcBorders>
              <w:top w:val="nil"/>
              <w:left w:val="nil"/>
              <w:bottom w:val="nil"/>
              <w:right w:val="single" w:sz="4" w:space="0" w:color="auto"/>
            </w:tcBorders>
            <w:shd w:val="clear" w:color="auto" w:fill="auto"/>
            <w:noWrap/>
            <w:vAlign w:val="bottom"/>
            <w:hideMark/>
          </w:tcPr>
          <w:p w14:paraId="5323E6C8"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2359607F" w14:textId="77777777" w:rsidR="00387142" w:rsidRPr="008B6A75" w:rsidRDefault="00387142" w:rsidP="00387142">
            <w:pPr>
              <w:rPr>
                <w:sz w:val="20"/>
                <w:szCs w:val="20"/>
              </w:rPr>
            </w:pPr>
            <w:r w:rsidRPr="008B6A75">
              <w:rPr>
                <w:sz w:val="20"/>
                <w:szCs w:val="20"/>
              </w:rPr>
              <w:t>Иные закупки товаров, работ и услуг для обеспечения государственных (муниципальных) нужд</w:t>
            </w:r>
          </w:p>
        </w:tc>
        <w:tc>
          <w:tcPr>
            <w:tcW w:w="1559" w:type="dxa"/>
            <w:tcBorders>
              <w:top w:val="nil"/>
              <w:left w:val="single" w:sz="4" w:space="0" w:color="auto"/>
              <w:bottom w:val="single" w:sz="4" w:space="0" w:color="auto"/>
              <w:right w:val="nil"/>
            </w:tcBorders>
            <w:shd w:val="clear" w:color="auto" w:fill="auto"/>
            <w:noWrap/>
            <w:vAlign w:val="center"/>
            <w:hideMark/>
          </w:tcPr>
          <w:p w14:paraId="36D7B9CF" w14:textId="77777777" w:rsidR="00387142" w:rsidRPr="008B6A75" w:rsidRDefault="00387142" w:rsidP="00387142">
            <w:pPr>
              <w:jc w:val="center"/>
              <w:rPr>
                <w:sz w:val="20"/>
                <w:szCs w:val="20"/>
              </w:rPr>
            </w:pPr>
            <w:r w:rsidRPr="008B6A75">
              <w:rPr>
                <w:sz w:val="20"/>
                <w:szCs w:val="20"/>
              </w:rPr>
              <w:t>07.1.00.S2590</w:t>
            </w:r>
          </w:p>
        </w:tc>
        <w:tc>
          <w:tcPr>
            <w:tcW w:w="850" w:type="dxa"/>
            <w:tcBorders>
              <w:top w:val="nil"/>
              <w:left w:val="single" w:sz="4" w:space="0" w:color="auto"/>
              <w:bottom w:val="single" w:sz="4" w:space="0" w:color="auto"/>
              <w:right w:val="nil"/>
            </w:tcBorders>
            <w:shd w:val="clear" w:color="auto" w:fill="auto"/>
            <w:noWrap/>
            <w:vAlign w:val="center"/>
            <w:hideMark/>
          </w:tcPr>
          <w:p w14:paraId="0D001398" w14:textId="77777777" w:rsidR="00387142" w:rsidRPr="008B6A75" w:rsidRDefault="00387142" w:rsidP="00387142">
            <w:pPr>
              <w:jc w:val="center"/>
              <w:rPr>
                <w:sz w:val="20"/>
                <w:szCs w:val="20"/>
              </w:rPr>
            </w:pPr>
            <w:r w:rsidRPr="008B6A75">
              <w:rPr>
                <w:sz w:val="20"/>
                <w:szCs w:val="20"/>
              </w:rPr>
              <w:t>240</w:t>
            </w:r>
          </w:p>
        </w:tc>
        <w:tc>
          <w:tcPr>
            <w:tcW w:w="567" w:type="dxa"/>
            <w:tcBorders>
              <w:top w:val="nil"/>
              <w:left w:val="single" w:sz="4" w:space="0" w:color="auto"/>
              <w:bottom w:val="single" w:sz="4" w:space="0" w:color="auto"/>
              <w:right w:val="nil"/>
            </w:tcBorders>
            <w:shd w:val="clear" w:color="auto" w:fill="auto"/>
            <w:noWrap/>
            <w:vAlign w:val="center"/>
            <w:hideMark/>
          </w:tcPr>
          <w:p w14:paraId="56FC5614" w14:textId="77777777" w:rsidR="00387142" w:rsidRPr="008B6A75" w:rsidRDefault="00387142" w:rsidP="00387142">
            <w:pPr>
              <w:jc w:val="center"/>
              <w:rPr>
                <w:sz w:val="20"/>
                <w:szCs w:val="20"/>
              </w:rPr>
            </w:pPr>
            <w:r w:rsidRPr="008B6A75">
              <w:rPr>
                <w:sz w:val="20"/>
                <w:szCs w:val="20"/>
              </w:rPr>
              <w:t>07</w:t>
            </w:r>
          </w:p>
        </w:tc>
        <w:tc>
          <w:tcPr>
            <w:tcW w:w="567" w:type="dxa"/>
            <w:tcBorders>
              <w:top w:val="nil"/>
              <w:left w:val="single" w:sz="4" w:space="0" w:color="auto"/>
              <w:bottom w:val="single" w:sz="4" w:space="0" w:color="auto"/>
              <w:right w:val="nil"/>
            </w:tcBorders>
            <w:shd w:val="clear" w:color="auto" w:fill="auto"/>
            <w:noWrap/>
            <w:vAlign w:val="center"/>
            <w:hideMark/>
          </w:tcPr>
          <w:p w14:paraId="297F2F62" w14:textId="77777777" w:rsidR="00387142" w:rsidRPr="008B6A75" w:rsidRDefault="00387142" w:rsidP="00387142">
            <w:pPr>
              <w:jc w:val="center"/>
              <w:rPr>
                <w:sz w:val="20"/>
                <w:szCs w:val="20"/>
              </w:rPr>
            </w:pPr>
            <w:r w:rsidRPr="008B6A75">
              <w:rPr>
                <w:sz w:val="20"/>
                <w:szCs w:val="20"/>
              </w:rPr>
              <w:t>09</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F498E95" w14:textId="77777777" w:rsidR="00387142" w:rsidRPr="008B6A75" w:rsidRDefault="00387142" w:rsidP="00387142">
            <w:pPr>
              <w:jc w:val="right"/>
              <w:rPr>
                <w:sz w:val="20"/>
                <w:szCs w:val="20"/>
              </w:rPr>
            </w:pPr>
            <w:r w:rsidRPr="008B6A75">
              <w:rPr>
                <w:sz w:val="20"/>
                <w:szCs w:val="20"/>
              </w:rPr>
              <w:t>0,00</w:t>
            </w:r>
          </w:p>
        </w:tc>
        <w:tc>
          <w:tcPr>
            <w:tcW w:w="851" w:type="dxa"/>
            <w:tcBorders>
              <w:top w:val="nil"/>
              <w:left w:val="single" w:sz="4" w:space="0" w:color="auto"/>
              <w:bottom w:val="single" w:sz="4" w:space="0" w:color="auto"/>
              <w:right w:val="nil"/>
            </w:tcBorders>
            <w:shd w:val="clear" w:color="auto" w:fill="auto"/>
            <w:noWrap/>
            <w:vAlign w:val="center"/>
            <w:hideMark/>
          </w:tcPr>
          <w:p w14:paraId="13EFA4A7" w14:textId="77777777" w:rsidR="00387142" w:rsidRPr="008B6A75" w:rsidRDefault="00387142" w:rsidP="00387142">
            <w:pPr>
              <w:jc w:val="right"/>
              <w:rPr>
                <w:sz w:val="20"/>
                <w:szCs w:val="20"/>
              </w:rPr>
            </w:pPr>
            <w:r w:rsidRPr="008B6A75">
              <w:rPr>
                <w:sz w:val="20"/>
                <w:szCs w:val="20"/>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6B8C48D2" w14:textId="77777777" w:rsidR="00387142" w:rsidRPr="008B6A75" w:rsidRDefault="00387142" w:rsidP="00387142">
            <w:pPr>
              <w:jc w:val="right"/>
              <w:rPr>
                <w:sz w:val="20"/>
                <w:szCs w:val="20"/>
              </w:rPr>
            </w:pPr>
            <w:r w:rsidRPr="008B6A75">
              <w:rPr>
                <w:sz w:val="20"/>
                <w:szCs w:val="20"/>
              </w:rPr>
              <w:t>20 410,00</w:t>
            </w:r>
          </w:p>
        </w:tc>
      </w:tr>
      <w:tr w:rsidR="00387142" w:rsidRPr="008B6A75" w14:paraId="1AB8C63B" w14:textId="77777777" w:rsidTr="00387142">
        <w:trPr>
          <w:trHeight w:val="870"/>
        </w:trPr>
        <w:tc>
          <w:tcPr>
            <w:tcW w:w="272" w:type="dxa"/>
            <w:tcBorders>
              <w:top w:val="nil"/>
              <w:left w:val="nil"/>
              <w:bottom w:val="nil"/>
              <w:right w:val="single" w:sz="4" w:space="0" w:color="auto"/>
            </w:tcBorders>
            <w:shd w:val="clear" w:color="auto" w:fill="auto"/>
            <w:noWrap/>
            <w:vAlign w:val="bottom"/>
            <w:hideMark/>
          </w:tcPr>
          <w:p w14:paraId="4DC2DAC3"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474F4BDF" w14:textId="77777777" w:rsidR="00387142" w:rsidRPr="008B6A75" w:rsidRDefault="00387142" w:rsidP="00387142">
            <w:pPr>
              <w:rPr>
                <w:sz w:val="20"/>
                <w:szCs w:val="20"/>
              </w:rPr>
            </w:pPr>
            <w:r w:rsidRPr="008B6A75">
              <w:rPr>
                <w:sz w:val="20"/>
                <w:szCs w:val="20"/>
              </w:rPr>
              <w:t>Предоставление субсидий бюджетным, автономным учреждениям и иным некоммерческим организациям</w:t>
            </w:r>
          </w:p>
        </w:tc>
        <w:tc>
          <w:tcPr>
            <w:tcW w:w="1559" w:type="dxa"/>
            <w:tcBorders>
              <w:top w:val="nil"/>
              <w:left w:val="single" w:sz="4" w:space="0" w:color="auto"/>
              <w:bottom w:val="single" w:sz="4" w:space="0" w:color="auto"/>
              <w:right w:val="nil"/>
            </w:tcBorders>
            <w:shd w:val="clear" w:color="auto" w:fill="auto"/>
            <w:noWrap/>
            <w:vAlign w:val="center"/>
            <w:hideMark/>
          </w:tcPr>
          <w:p w14:paraId="481E8C78" w14:textId="77777777" w:rsidR="00387142" w:rsidRPr="008B6A75" w:rsidRDefault="00387142" w:rsidP="00387142">
            <w:pPr>
              <w:jc w:val="center"/>
              <w:rPr>
                <w:sz w:val="20"/>
                <w:szCs w:val="20"/>
              </w:rPr>
            </w:pPr>
            <w:r w:rsidRPr="008B6A75">
              <w:rPr>
                <w:sz w:val="20"/>
                <w:szCs w:val="20"/>
              </w:rPr>
              <w:t>07.1.00.S2590</w:t>
            </w:r>
          </w:p>
        </w:tc>
        <w:tc>
          <w:tcPr>
            <w:tcW w:w="850" w:type="dxa"/>
            <w:tcBorders>
              <w:top w:val="nil"/>
              <w:left w:val="single" w:sz="4" w:space="0" w:color="auto"/>
              <w:bottom w:val="single" w:sz="4" w:space="0" w:color="auto"/>
              <w:right w:val="nil"/>
            </w:tcBorders>
            <w:shd w:val="clear" w:color="auto" w:fill="auto"/>
            <w:noWrap/>
            <w:vAlign w:val="center"/>
            <w:hideMark/>
          </w:tcPr>
          <w:p w14:paraId="56FFA4FE" w14:textId="77777777" w:rsidR="00387142" w:rsidRPr="008B6A75" w:rsidRDefault="00387142" w:rsidP="00387142">
            <w:pPr>
              <w:jc w:val="center"/>
              <w:rPr>
                <w:sz w:val="20"/>
                <w:szCs w:val="20"/>
              </w:rPr>
            </w:pPr>
            <w:r w:rsidRPr="008B6A75">
              <w:rPr>
                <w:sz w:val="20"/>
                <w:szCs w:val="20"/>
              </w:rPr>
              <w:t>600</w:t>
            </w:r>
          </w:p>
        </w:tc>
        <w:tc>
          <w:tcPr>
            <w:tcW w:w="567" w:type="dxa"/>
            <w:tcBorders>
              <w:top w:val="nil"/>
              <w:left w:val="single" w:sz="4" w:space="0" w:color="auto"/>
              <w:bottom w:val="single" w:sz="4" w:space="0" w:color="auto"/>
              <w:right w:val="nil"/>
            </w:tcBorders>
            <w:shd w:val="clear" w:color="auto" w:fill="auto"/>
            <w:noWrap/>
            <w:vAlign w:val="center"/>
            <w:hideMark/>
          </w:tcPr>
          <w:p w14:paraId="28699677" w14:textId="77777777" w:rsidR="00387142" w:rsidRPr="008B6A75" w:rsidRDefault="00387142" w:rsidP="00387142">
            <w:pPr>
              <w:jc w:val="center"/>
              <w:rPr>
                <w:sz w:val="20"/>
                <w:szCs w:val="20"/>
              </w:rPr>
            </w:pPr>
            <w:r w:rsidRPr="008B6A75">
              <w:rPr>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75BE262C" w14:textId="77777777" w:rsidR="00387142" w:rsidRPr="008B6A75" w:rsidRDefault="00387142" w:rsidP="00387142">
            <w:pPr>
              <w:jc w:val="center"/>
              <w:rPr>
                <w:sz w:val="20"/>
                <w:szCs w:val="20"/>
              </w:rPr>
            </w:pPr>
            <w:r w:rsidRPr="008B6A75">
              <w:rPr>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ACB691D" w14:textId="77777777" w:rsidR="00387142" w:rsidRPr="008B6A75" w:rsidRDefault="00387142" w:rsidP="00387142">
            <w:pPr>
              <w:jc w:val="right"/>
              <w:rPr>
                <w:sz w:val="20"/>
                <w:szCs w:val="20"/>
              </w:rPr>
            </w:pPr>
            <w:r w:rsidRPr="008B6A75">
              <w:rPr>
                <w:sz w:val="20"/>
                <w:szCs w:val="20"/>
              </w:rPr>
              <w:t>7 778,88</w:t>
            </w:r>
          </w:p>
        </w:tc>
        <w:tc>
          <w:tcPr>
            <w:tcW w:w="851" w:type="dxa"/>
            <w:tcBorders>
              <w:top w:val="nil"/>
              <w:left w:val="single" w:sz="4" w:space="0" w:color="auto"/>
              <w:bottom w:val="single" w:sz="4" w:space="0" w:color="auto"/>
              <w:right w:val="nil"/>
            </w:tcBorders>
            <w:shd w:val="clear" w:color="auto" w:fill="auto"/>
            <w:noWrap/>
            <w:vAlign w:val="center"/>
            <w:hideMark/>
          </w:tcPr>
          <w:p w14:paraId="088C2C38" w14:textId="77777777" w:rsidR="00387142" w:rsidRPr="008B6A75" w:rsidRDefault="00387142" w:rsidP="00387142">
            <w:pPr>
              <w:jc w:val="right"/>
              <w:rPr>
                <w:sz w:val="20"/>
                <w:szCs w:val="20"/>
              </w:rPr>
            </w:pPr>
            <w:r w:rsidRPr="008B6A75">
              <w:rPr>
                <w:sz w:val="20"/>
                <w:szCs w:val="20"/>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04891A0B" w14:textId="77777777" w:rsidR="00387142" w:rsidRPr="008B6A75" w:rsidRDefault="00387142" w:rsidP="00387142">
            <w:pPr>
              <w:jc w:val="right"/>
              <w:rPr>
                <w:sz w:val="20"/>
                <w:szCs w:val="20"/>
              </w:rPr>
            </w:pPr>
            <w:r w:rsidRPr="008B6A75">
              <w:rPr>
                <w:sz w:val="20"/>
                <w:szCs w:val="20"/>
              </w:rPr>
              <w:t>0,00</w:t>
            </w:r>
          </w:p>
        </w:tc>
      </w:tr>
      <w:tr w:rsidR="00387142" w:rsidRPr="008B6A75" w14:paraId="52604409" w14:textId="77777777" w:rsidTr="00387142">
        <w:trPr>
          <w:trHeight w:val="300"/>
        </w:trPr>
        <w:tc>
          <w:tcPr>
            <w:tcW w:w="272" w:type="dxa"/>
            <w:tcBorders>
              <w:top w:val="nil"/>
              <w:left w:val="nil"/>
              <w:bottom w:val="nil"/>
              <w:right w:val="single" w:sz="4" w:space="0" w:color="auto"/>
            </w:tcBorders>
            <w:shd w:val="clear" w:color="auto" w:fill="auto"/>
            <w:noWrap/>
            <w:vAlign w:val="bottom"/>
            <w:hideMark/>
          </w:tcPr>
          <w:p w14:paraId="3D997BAF"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442AAF88" w14:textId="77777777" w:rsidR="00387142" w:rsidRPr="008B6A75" w:rsidRDefault="00387142" w:rsidP="00387142">
            <w:pPr>
              <w:rPr>
                <w:sz w:val="20"/>
                <w:szCs w:val="20"/>
              </w:rPr>
            </w:pPr>
            <w:r w:rsidRPr="008B6A75">
              <w:rPr>
                <w:sz w:val="20"/>
                <w:szCs w:val="20"/>
              </w:rPr>
              <w:t>Субсидии бюджетным учреждениям</w:t>
            </w:r>
          </w:p>
        </w:tc>
        <w:tc>
          <w:tcPr>
            <w:tcW w:w="1559" w:type="dxa"/>
            <w:tcBorders>
              <w:top w:val="nil"/>
              <w:left w:val="single" w:sz="4" w:space="0" w:color="auto"/>
              <w:bottom w:val="single" w:sz="4" w:space="0" w:color="auto"/>
              <w:right w:val="nil"/>
            </w:tcBorders>
            <w:shd w:val="clear" w:color="auto" w:fill="auto"/>
            <w:noWrap/>
            <w:vAlign w:val="center"/>
            <w:hideMark/>
          </w:tcPr>
          <w:p w14:paraId="349CCEC5" w14:textId="77777777" w:rsidR="00387142" w:rsidRPr="008B6A75" w:rsidRDefault="00387142" w:rsidP="00387142">
            <w:pPr>
              <w:jc w:val="center"/>
              <w:rPr>
                <w:sz w:val="20"/>
                <w:szCs w:val="20"/>
              </w:rPr>
            </w:pPr>
            <w:r w:rsidRPr="008B6A75">
              <w:rPr>
                <w:sz w:val="20"/>
                <w:szCs w:val="20"/>
              </w:rPr>
              <w:t>07.1.00.S2590</w:t>
            </w:r>
          </w:p>
        </w:tc>
        <w:tc>
          <w:tcPr>
            <w:tcW w:w="850" w:type="dxa"/>
            <w:tcBorders>
              <w:top w:val="nil"/>
              <w:left w:val="single" w:sz="4" w:space="0" w:color="auto"/>
              <w:bottom w:val="single" w:sz="4" w:space="0" w:color="auto"/>
              <w:right w:val="nil"/>
            </w:tcBorders>
            <w:shd w:val="clear" w:color="auto" w:fill="auto"/>
            <w:noWrap/>
            <w:vAlign w:val="center"/>
            <w:hideMark/>
          </w:tcPr>
          <w:p w14:paraId="7EB537A6" w14:textId="77777777" w:rsidR="00387142" w:rsidRPr="008B6A75" w:rsidRDefault="00387142" w:rsidP="00387142">
            <w:pPr>
              <w:jc w:val="center"/>
              <w:rPr>
                <w:sz w:val="20"/>
                <w:szCs w:val="20"/>
              </w:rPr>
            </w:pPr>
            <w:r w:rsidRPr="008B6A75">
              <w:rPr>
                <w:sz w:val="20"/>
                <w:szCs w:val="20"/>
              </w:rPr>
              <w:t>610</w:t>
            </w:r>
          </w:p>
        </w:tc>
        <w:tc>
          <w:tcPr>
            <w:tcW w:w="567" w:type="dxa"/>
            <w:tcBorders>
              <w:top w:val="nil"/>
              <w:left w:val="single" w:sz="4" w:space="0" w:color="auto"/>
              <w:bottom w:val="single" w:sz="4" w:space="0" w:color="auto"/>
              <w:right w:val="nil"/>
            </w:tcBorders>
            <w:shd w:val="clear" w:color="auto" w:fill="auto"/>
            <w:noWrap/>
            <w:vAlign w:val="center"/>
            <w:hideMark/>
          </w:tcPr>
          <w:p w14:paraId="0924E494" w14:textId="77777777" w:rsidR="00387142" w:rsidRPr="008B6A75" w:rsidRDefault="00387142" w:rsidP="00387142">
            <w:pPr>
              <w:jc w:val="center"/>
              <w:rPr>
                <w:sz w:val="20"/>
                <w:szCs w:val="20"/>
              </w:rPr>
            </w:pPr>
            <w:r w:rsidRPr="008B6A75">
              <w:rPr>
                <w:sz w:val="20"/>
                <w:szCs w:val="20"/>
              </w:rPr>
              <w:t>07</w:t>
            </w:r>
          </w:p>
        </w:tc>
        <w:tc>
          <w:tcPr>
            <w:tcW w:w="567" w:type="dxa"/>
            <w:tcBorders>
              <w:top w:val="nil"/>
              <w:left w:val="single" w:sz="4" w:space="0" w:color="auto"/>
              <w:bottom w:val="single" w:sz="4" w:space="0" w:color="auto"/>
              <w:right w:val="nil"/>
            </w:tcBorders>
            <w:shd w:val="clear" w:color="auto" w:fill="auto"/>
            <w:noWrap/>
            <w:vAlign w:val="center"/>
            <w:hideMark/>
          </w:tcPr>
          <w:p w14:paraId="6761AC3F" w14:textId="77777777" w:rsidR="00387142" w:rsidRPr="008B6A75" w:rsidRDefault="00387142" w:rsidP="00387142">
            <w:pPr>
              <w:jc w:val="center"/>
              <w:rPr>
                <w:sz w:val="20"/>
                <w:szCs w:val="20"/>
              </w:rPr>
            </w:pPr>
            <w:r w:rsidRPr="008B6A75">
              <w:rPr>
                <w:sz w:val="20"/>
                <w:szCs w:val="20"/>
              </w:rPr>
              <w:t>02</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919ECB7" w14:textId="77777777" w:rsidR="00387142" w:rsidRPr="008B6A75" w:rsidRDefault="00387142" w:rsidP="00387142">
            <w:pPr>
              <w:jc w:val="right"/>
              <w:rPr>
                <w:sz w:val="20"/>
                <w:szCs w:val="20"/>
              </w:rPr>
            </w:pPr>
            <w:r w:rsidRPr="008B6A75">
              <w:rPr>
                <w:sz w:val="20"/>
                <w:szCs w:val="20"/>
              </w:rPr>
              <w:t>7 778,88</w:t>
            </w:r>
          </w:p>
        </w:tc>
        <w:tc>
          <w:tcPr>
            <w:tcW w:w="851" w:type="dxa"/>
            <w:tcBorders>
              <w:top w:val="nil"/>
              <w:left w:val="single" w:sz="4" w:space="0" w:color="auto"/>
              <w:bottom w:val="single" w:sz="4" w:space="0" w:color="auto"/>
              <w:right w:val="nil"/>
            </w:tcBorders>
            <w:shd w:val="clear" w:color="auto" w:fill="auto"/>
            <w:noWrap/>
            <w:vAlign w:val="center"/>
            <w:hideMark/>
          </w:tcPr>
          <w:p w14:paraId="629AFDAC" w14:textId="77777777" w:rsidR="00387142" w:rsidRPr="008B6A75" w:rsidRDefault="00387142" w:rsidP="00387142">
            <w:pPr>
              <w:jc w:val="right"/>
              <w:rPr>
                <w:sz w:val="20"/>
                <w:szCs w:val="20"/>
              </w:rPr>
            </w:pPr>
            <w:r w:rsidRPr="008B6A75">
              <w:rPr>
                <w:sz w:val="20"/>
                <w:szCs w:val="20"/>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6F029D7A" w14:textId="77777777" w:rsidR="00387142" w:rsidRPr="008B6A75" w:rsidRDefault="00387142" w:rsidP="00387142">
            <w:pPr>
              <w:jc w:val="right"/>
              <w:rPr>
                <w:sz w:val="20"/>
                <w:szCs w:val="20"/>
              </w:rPr>
            </w:pPr>
            <w:r w:rsidRPr="008B6A75">
              <w:rPr>
                <w:sz w:val="20"/>
                <w:szCs w:val="20"/>
              </w:rPr>
              <w:t>0,00</w:t>
            </w:r>
          </w:p>
        </w:tc>
      </w:tr>
      <w:tr w:rsidR="00387142" w:rsidRPr="008B6A75" w14:paraId="5F78FB89" w14:textId="77777777" w:rsidTr="00387142">
        <w:trPr>
          <w:trHeight w:val="2865"/>
        </w:trPr>
        <w:tc>
          <w:tcPr>
            <w:tcW w:w="272" w:type="dxa"/>
            <w:tcBorders>
              <w:top w:val="nil"/>
              <w:left w:val="nil"/>
              <w:bottom w:val="nil"/>
              <w:right w:val="single" w:sz="4" w:space="0" w:color="auto"/>
            </w:tcBorders>
            <w:shd w:val="clear" w:color="auto" w:fill="auto"/>
            <w:noWrap/>
            <w:vAlign w:val="bottom"/>
            <w:hideMark/>
          </w:tcPr>
          <w:p w14:paraId="521EEAB4"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071EE8A4" w14:textId="77777777" w:rsidR="00387142" w:rsidRPr="008B6A75" w:rsidRDefault="00387142" w:rsidP="00387142">
            <w:pPr>
              <w:rPr>
                <w:bCs/>
                <w:sz w:val="20"/>
                <w:szCs w:val="20"/>
              </w:rPr>
            </w:pPr>
            <w:proofErr w:type="spellStart"/>
            <w:r w:rsidRPr="008B6A75">
              <w:rPr>
                <w:bCs/>
                <w:sz w:val="20"/>
                <w:szCs w:val="20"/>
              </w:rPr>
              <w:t>Софинансирование</w:t>
            </w:r>
            <w:proofErr w:type="spellEnd"/>
            <w:r w:rsidRPr="008B6A75">
              <w:rPr>
                <w:bCs/>
                <w:sz w:val="20"/>
                <w:szCs w:val="20"/>
              </w:rPr>
              <w:t xml:space="preserve"> местного бюджета на реализацию мероприятий по модернизации образования Новосибирской </w:t>
            </w:r>
            <w:proofErr w:type="gramStart"/>
            <w:r w:rsidRPr="008B6A75">
              <w:rPr>
                <w:bCs/>
                <w:sz w:val="20"/>
                <w:szCs w:val="20"/>
              </w:rPr>
              <w:t>области  подпрограммы</w:t>
            </w:r>
            <w:proofErr w:type="gramEnd"/>
            <w:r w:rsidRPr="008B6A75">
              <w:rPr>
                <w:bCs/>
                <w:sz w:val="20"/>
                <w:szCs w:val="20"/>
              </w:rPr>
              <w:t xml:space="preserve"> "Развитие дошкольного, общего и дополнительного образования детей" в рамках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1559" w:type="dxa"/>
            <w:tcBorders>
              <w:top w:val="nil"/>
              <w:left w:val="single" w:sz="4" w:space="0" w:color="auto"/>
              <w:bottom w:val="single" w:sz="4" w:space="0" w:color="auto"/>
              <w:right w:val="nil"/>
            </w:tcBorders>
            <w:shd w:val="clear" w:color="auto" w:fill="auto"/>
            <w:noWrap/>
            <w:vAlign w:val="center"/>
            <w:hideMark/>
          </w:tcPr>
          <w:p w14:paraId="47CF889C" w14:textId="77777777" w:rsidR="00387142" w:rsidRPr="008B6A75" w:rsidRDefault="00387142" w:rsidP="00387142">
            <w:pPr>
              <w:jc w:val="center"/>
              <w:rPr>
                <w:bCs/>
                <w:sz w:val="20"/>
                <w:szCs w:val="20"/>
              </w:rPr>
            </w:pPr>
            <w:r w:rsidRPr="008B6A75">
              <w:rPr>
                <w:bCs/>
                <w:sz w:val="20"/>
                <w:szCs w:val="20"/>
              </w:rPr>
              <w:t>07.1.00.S3470</w:t>
            </w:r>
          </w:p>
        </w:tc>
        <w:tc>
          <w:tcPr>
            <w:tcW w:w="850" w:type="dxa"/>
            <w:tcBorders>
              <w:top w:val="nil"/>
              <w:left w:val="single" w:sz="4" w:space="0" w:color="auto"/>
              <w:bottom w:val="single" w:sz="4" w:space="0" w:color="auto"/>
              <w:right w:val="nil"/>
            </w:tcBorders>
            <w:shd w:val="clear" w:color="auto" w:fill="auto"/>
            <w:noWrap/>
            <w:vAlign w:val="center"/>
            <w:hideMark/>
          </w:tcPr>
          <w:p w14:paraId="7FB8A8E0" w14:textId="77777777" w:rsidR="00387142" w:rsidRPr="008B6A75" w:rsidRDefault="00387142" w:rsidP="00387142">
            <w:pPr>
              <w:jc w:val="center"/>
              <w:rPr>
                <w:bCs/>
                <w:sz w:val="20"/>
                <w:szCs w:val="20"/>
              </w:rPr>
            </w:pPr>
            <w:r w:rsidRPr="008B6A75">
              <w:rPr>
                <w:bCs/>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6A33A244" w14:textId="77777777" w:rsidR="00387142" w:rsidRPr="008B6A75" w:rsidRDefault="00387142" w:rsidP="00387142">
            <w:pPr>
              <w:jc w:val="center"/>
              <w:rPr>
                <w:bCs/>
                <w:sz w:val="20"/>
                <w:szCs w:val="20"/>
              </w:rPr>
            </w:pPr>
            <w:r w:rsidRPr="008B6A75">
              <w:rPr>
                <w:bCs/>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59E50582" w14:textId="77777777" w:rsidR="00387142" w:rsidRPr="008B6A75" w:rsidRDefault="00387142" w:rsidP="00387142">
            <w:pPr>
              <w:jc w:val="center"/>
              <w:rPr>
                <w:bCs/>
                <w:sz w:val="20"/>
                <w:szCs w:val="20"/>
              </w:rPr>
            </w:pPr>
            <w:r w:rsidRPr="008B6A75">
              <w:rPr>
                <w:bCs/>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2114144" w14:textId="77777777" w:rsidR="00387142" w:rsidRPr="008B6A75" w:rsidRDefault="00387142" w:rsidP="00387142">
            <w:pPr>
              <w:jc w:val="right"/>
              <w:rPr>
                <w:bCs/>
                <w:sz w:val="20"/>
                <w:szCs w:val="20"/>
              </w:rPr>
            </w:pPr>
            <w:r w:rsidRPr="008B6A75">
              <w:rPr>
                <w:bCs/>
                <w:sz w:val="20"/>
                <w:szCs w:val="20"/>
              </w:rPr>
              <w:t>27 500,00</w:t>
            </w:r>
          </w:p>
        </w:tc>
        <w:tc>
          <w:tcPr>
            <w:tcW w:w="851" w:type="dxa"/>
            <w:tcBorders>
              <w:top w:val="nil"/>
              <w:left w:val="single" w:sz="4" w:space="0" w:color="auto"/>
              <w:bottom w:val="single" w:sz="4" w:space="0" w:color="auto"/>
              <w:right w:val="nil"/>
            </w:tcBorders>
            <w:shd w:val="clear" w:color="auto" w:fill="auto"/>
            <w:noWrap/>
            <w:vAlign w:val="center"/>
            <w:hideMark/>
          </w:tcPr>
          <w:p w14:paraId="2B019CE7" w14:textId="77777777" w:rsidR="00387142" w:rsidRPr="008B6A75" w:rsidRDefault="00387142" w:rsidP="00387142">
            <w:pPr>
              <w:jc w:val="right"/>
              <w:rPr>
                <w:bCs/>
                <w:sz w:val="20"/>
                <w:szCs w:val="20"/>
              </w:rPr>
            </w:pPr>
            <w:r w:rsidRPr="008B6A75">
              <w:rPr>
                <w:bCs/>
                <w:sz w:val="20"/>
                <w:szCs w:val="20"/>
              </w:rPr>
              <w:t>18 650,00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77ED2387" w14:textId="77777777" w:rsidR="00387142" w:rsidRPr="008B6A75" w:rsidRDefault="00387142" w:rsidP="00387142">
            <w:pPr>
              <w:jc w:val="right"/>
              <w:rPr>
                <w:bCs/>
                <w:sz w:val="20"/>
                <w:szCs w:val="20"/>
              </w:rPr>
            </w:pPr>
            <w:r w:rsidRPr="008B6A75">
              <w:rPr>
                <w:bCs/>
                <w:sz w:val="20"/>
                <w:szCs w:val="20"/>
              </w:rPr>
              <w:t>18 650,00</w:t>
            </w:r>
          </w:p>
        </w:tc>
      </w:tr>
      <w:tr w:rsidR="00387142" w:rsidRPr="008B6A75" w14:paraId="4D681D11" w14:textId="77777777" w:rsidTr="00387142">
        <w:trPr>
          <w:trHeight w:val="585"/>
        </w:trPr>
        <w:tc>
          <w:tcPr>
            <w:tcW w:w="272" w:type="dxa"/>
            <w:tcBorders>
              <w:top w:val="nil"/>
              <w:left w:val="nil"/>
              <w:bottom w:val="nil"/>
              <w:right w:val="single" w:sz="4" w:space="0" w:color="auto"/>
            </w:tcBorders>
            <w:shd w:val="clear" w:color="auto" w:fill="auto"/>
            <w:noWrap/>
            <w:vAlign w:val="bottom"/>
            <w:hideMark/>
          </w:tcPr>
          <w:p w14:paraId="3F569C99"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78C26DA6" w14:textId="77777777" w:rsidR="00387142" w:rsidRPr="008B6A75" w:rsidRDefault="00387142" w:rsidP="00387142">
            <w:pPr>
              <w:rPr>
                <w:sz w:val="20"/>
                <w:szCs w:val="20"/>
              </w:rPr>
            </w:pPr>
            <w:r w:rsidRPr="008B6A75">
              <w:rPr>
                <w:sz w:val="20"/>
                <w:szCs w:val="20"/>
              </w:rPr>
              <w:t>Закупка товаров, работ и услуг для обеспечения государственных (муниципальных) нужд</w:t>
            </w:r>
          </w:p>
        </w:tc>
        <w:tc>
          <w:tcPr>
            <w:tcW w:w="1559" w:type="dxa"/>
            <w:tcBorders>
              <w:top w:val="nil"/>
              <w:left w:val="single" w:sz="4" w:space="0" w:color="auto"/>
              <w:bottom w:val="single" w:sz="4" w:space="0" w:color="auto"/>
              <w:right w:val="nil"/>
            </w:tcBorders>
            <w:shd w:val="clear" w:color="auto" w:fill="auto"/>
            <w:noWrap/>
            <w:vAlign w:val="center"/>
            <w:hideMark/>
          </w:tcPr>
          <w:p w14:paraId="55F571DD" w14:textId="77777777" w:rsidR="00387142" w:rsidRPr="008B6A75" w:rsidRDefault="00387142" w:rsidP="00387142">
            <w:pPr>
              <w:jc w:val="center"/>
              <w:rPr>
                <w:sz w:val="20"/>
                <w:szCs w:val="20"/>
              </w:rPr>
            </w:pPr>
            <w:r w:rsidRPr="008B6A75">
              <w:rPr>
                <w:sz w:val="20"/>
                <w:szCs w:val="20"/>
              </w:rPr>
              <w:t>07.1.00.S3470</w:t>
            </w:r>
          </w:p>
        </w:tc>
        <w:tc>
          <w:tcPr>
            <w:tcW w:w="850" w:type="dxa"/>
            <w:tcBorders>
              <w:top w:val="nil"/>
              <w:left w:val="single" w:sz="4" w:space="0" w:color="auto"/>
              <w:bottom w:val="single" w:sz="4" w:space="0" w:color="auto"/>
              <w:right w:val="nil"/>
            </w:tcBorders>
            <w:shd w:val="clear" w:color="auto" w:fill="auto"/>
            <w:noWrap/>
            <w:vAlign w:val="center"/>
            <w:hideMark/>
          </w:tcPr>
          <w:p w14:paraId="441E0F2A" w14:textId="77777777" w:rsidR="00387142" w:rsidRPr="008B6A75" w:rsidRDefault="00387142" w:rsidP="00387142">
            <w:pPr>
              <w:jc w:val="center"/>
              <w:rPr>
                <w:sz w:val="20"/>
                <w:szCs w:val="20"/>
              </w:rPr>
            </w:pPr>
            <w:r w:rsidRPr="008B6A75">
              <w:rPr>
                <w:sz w:val="20"/>
                <w:szCs w:val="20"/>
              </w:rPr>
              <w:t>200</w:t>
            </w:r>
          </w:p>
        </w:tc>
        <w:tc>
          <w:tcPr>
            <w:tcW w:w="567" w:type="dxa"/>
            <w:tcBorders>
              <w:top w:val="nil"/>
              <w:left w:val="single" w:sz="4" w:space="0" w:color="auto"/>
              <w:bottom w:val="single" w:sz="4" w:space="0" w:color="auto"/>
              <w:right w:val="nil"/>
            </w:tcBorders>
            <w:shd w:val="clear" w:color="auto" w:fill="auto"/>
            <w:noWrap/>
            <w:vAlign w:val="center"/>
            <w:hideMark/>
          </w:tcPr>
          <w:p w14:paraId="50389CF7" w14:textId="77777777" w:rsidR="00387142" w:rsidRPr="008B6A75" w:rsidRDefault="00387142" w:rsidP="00387142">
            <w:pPr>
              <w:jc w:val="center"/>
              <w:rPr>
                <w:sz w:val="20"/>
                <w:szCs w:val="20"/>
              </w:rPr>
            </w:pPr>
            <w:r w:rsidRPr="008B6A75">
              <w:rPr>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26EAA059" w14:textId="77777777" w:rsidR="00387142" w:rsidRPr="008B6A75" w:rsidRDefault="00387142" w:rsidP="00387142">
            <w:pPr>
              <w:jc w:val="center"/>
              <w:rPr>
                <w:sz w:val="20"/>
                <w:szCs w:val="20"/>
              </w:rPr>
            </w:pPr>
            <w:r w:rsidRPr="008B6A75">
              <w:rPr>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2165066" w14:textId="77777777" w:rsidR="00387142" w:rsidRPr="008B6A75" w:rsidRDefault="00387142" w:rsidP="00387142">
            <w:pPr>
              <w:jc w:val="right"/>
              <w:rPr>
                <w:sz w:val="20"/>
                <w:szCs w:val="20"/>
              </w:rPr>
            </w:pPr>
            <w:r w:rsidRPr="008B6A75">
              <w:rPr>
                <w:sz w:val="20"/>
                <w:szCs w:val="20"/>
              </w:rPr>
              <w:t>27 500,00</w:t>
            </w:r>
          </w:p>
        </w:tc>
        <w:tc>
          <w:tcPr>
            <w:tcW w:w="851" w:type="dxa"/>
            <w:tcBorders>
              <w:top w:val="nil"/>
              <w:left w:val="single" w:sz="4" w:space="0" w:color="auto"/>
              <w:bottom w:val="single" w:sz="4" w:space="0" w:color="auto"/>
              <w:right w:val="nil"/>
            </w:tcBorders>
            <w:shd w:val="clear" w:color="auto" w:fill="auto"/>
            <w:noWrap/>
            <w:vAlign w:val="center"/>
            <w:hideMark/>
          </w:tcPr>
          <w:p w14:paraId="7D171944" w14:textId="77777777" w:rsidR="00387142" w:rsidRPr="008B6A75" w:rsidRDefault="00387142" w:rsidP="00387142">
            <w:pPr>
              <w:jc w:val="right"/>
              <w:rPr>
                <w:sz w:val="20"/>
                <w:szCs w:val="20"/>
              </w:rPr>
            </w:pPr>
            <w:r w:rsidRPr="008B6A75">
              <w:rPr>
                <w:sz w:val="20"/>
                <w:szCs w:val="20"/>
              </w:rPr>
              <w:t>18 650,00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7A313917" w14:textId="77777777" w:rsidR="00387142" w:rsidRPr="008B6A75" w:rsidRDefault="00387142" w:rsidP="00387142">
            <w:pPr>
              <w:jc w:val="right"/>
              <w:rPr>
                <w:sz w:val="20"/>
                <w:szCs w:val="20"/>
              </w:rPr>
            </w:pPr>
            <w:r w:rsidRPr="008B6A75">
              <w:rPr>
                <w:sz w:val="20"/>
                <w:szCs w:val="20"/>
              </w:rPr>
              <w:t>18 650,00</w:t>
            </w:r>
          </w:p>
        </w:tc>
      </w:tr>
      <w:tr w:rsidR="00387142" w:rsidRPr="008B6A75" w14:paraId="36399D88" w14:textId="77777777" w:rsidTr="00387142">
        <w:trPr>
          <w:trHeight w:val="870"/>
        </w:trPr>
        <w:tc>
          <w:tcPr>
            <w:tcW w:w="272" w:type="dxa"/>
            <w:tcBorders>
              <w:top w:val="nil"/>
              <w:left w:val="nil"/>
              <w:bottom w:val="nil"/>
              <w:right w:val="single" w:sz="4" w:space="0" w:color="auto"/>
            </w:tcBorders>
            <w:shd w:val="clear" w:color="auto" w:fill="auto"/>
            <w:noWrap/>
            <w:vAlign w:val="bottom"/>
            <w:hideMark/>
          </w:tcPr>
          <w:p w14:paraId="2E2FFCCE"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02022655" w14:textId="77777777" w:rsidR="00387142" w:rsidRPr="008B6A75" w:rsidRDefault="00387142" w:rsidP="00387142">
            <w:pPr>
              <w:rPr>
                <w:sz w:val="20"/>
                <w:szCs w:val="20"/>
              </w:rPr>
            </w:pPr>
            <w:r w:rsidRPr="008B6A75">
              <w:rPr>
                <w:sz w:val="20"/>
                <w:szCs w:val="20"/>
              </w:rPr>
              <w:t>Иные закупки товаров, работ и услуг для обеспечения государственных (муниципальных) нужд</w:t>
            </w:r>
          </w:p>
        </w:tc>
        <w:tc>
          <w:tcPr>
            <w:tcW w:w="1559" w:type="dxa"/>
            <w:tcBorders>
              <w:top w:val="nil"/>
              <w:left w:val="single" w:sz="4" w:space="0" w:color="auto"/>
              <w:bottom w:val="single" w:sz="4" w:space="0" w:color="auto"/>
              <w:right w:val="nil"/>
            </w:tcBorders>
            <w:shd w:val="clear" w:color="auto" w:fill="auto"/>
            <w:noWrap/>
            <w:vAlign w:val="center"/>
            <w:hideMark/>
          </w:tcPr>
          <w:p w14:paraId="278546E6" w14:textId="77777777" w:rsidR="00387142" w:rsidRPr="008B6A75" w:rsidRDefault="00387142" w:rsidP="00387142">
            <w:pPr>
              <w:jc w:val="center"/>
              <w:rPr>
                <w:sz w:val="20"/>
                <w:szCs w:val="20"/>
              </w:rPr>
            </w:pPr>
            <w:r w:rsidRPr="008B6A75">
              <w:rPr>
                <w:sz w:val="20"/>
                <w:szCs w:val="20"/>
              </w:rPr>
              <w:t>07.1.00.S3470</w:t>
            </w:r>
          </w:p>
        </w:tc>
        <w:tc>
          <w:tcPr>
            <w:tcW w:w="850" w:type="dxa"/>
            <w:tcBorders>
              <w:top w:val="nil"/>
              <w:left w:val="single" w:sz="4" w:space="0" w:color="auto"/>
              <w:bottom w:val="single" w:sz="4" w:space="0" w:color="auto"/>
              <w:right w:val="nil"/>
            </w:tcBorders>
            <w:shd w:val="clear" w:color="auto" w:fill="auto"/>
            <w:noWrap/>
            <w:vAlign w:val="center"/>
            <w:hideMark/>
          </w:tcPr>
          <w:p w14:paraId="3EFDABFD" w14:textId="77777777" w:rsidR="00387142" w:rsidRPr="008B6A75" w:rsidRDefault="00387142" w:rsidP="00387142">
            <w:pPr>
              <w:jc w:val="center"/>
              <w:rPr>
                <w:sz w:val="20"/>
                <w:szCs w:val="20"/>
              </w:rPr>
            </w:pPr>
            <w:r w:rsidRPr="008B6A75">
              <w:rPr>
                <w:sz w:val="20"/>
                <w:szCs w:val="20"/>
              </w:rPr>
              <w:t>240</w:t>
            </w:r>
          </w:p>
        </w:tc>
        <w:tc>
          <w:tcPr>
            <w:tcW w:w="567" w:type="dxa"/>
            <w:tcBorders>
              <w:top w:val="nil"/>
              <w:left w:val="single" w:sz="4" w:space="0" w:color="auto"/>
              <w:bottom w:val="single" w:sz="4" w:space="0" w:color="auto"/>
              <w:right w:val="nil"/>
            </w:tcBorders>
            <w:shd w:val="clear" w:color="auto" w:fill="auto"/>
            <w:noWrap/>
            <w:vAlign w:val="center"/>
            <w:hideMark/>
          </w:tcPr>
          <w:p w14:paraId="24BBEFDD" w14:textId="77777777" w:rsidR="00387142" w:rsidRPr="008B6A75" w:rsidRDefault="00387142" w:rsidP="00387142">
            <w:pPr>
              <w:jc w:val="center"/>
              <w:rPr>
                <w:sz w:val="20"/>
                <w:szCs w:val="20"/>
              </w:rPr>
            </w:pPr>
            <w:r w:rsidRPr="008B6A75">
              <w:rPr>
                <w:sz w:val="20"/>
                <w:szCs w:val="20"/>
              </w:rPr>
              <w:t>07</w:t>
            </w:r>
          </w:p>
        </w:tc>
        <w:tc>
          <w:tcPr>
            <w:tcW w:w="567" w:type="dxa"/>
            <w:tcBorders>
              <w:top w:val="nil"/>
              <w:left w:val="single" w:sz="4" w:space="0" w:color="auto"/>
              <w:bottom w:val="single" w:sz="4" w:space="0" w:color="auto"/>
              <w:right w:val="nil"/>
            </w:tcBorders>
            <w:shd w:val="clear" w:color="auto" w:fill="auto"/>
            <w:noWrap/>
            <w:vAlign w:val="center"/>
            <w:hideMark/>
          </w:tcPr>
          <w:p w14:paraId="58EDBACA" w14:textId="77777777" w:rsidR="00387142" w:rsidRPr="008B6A75" w:rsidRDefault="00387142" w:rsidP="00387142">
            <w:pPr>
              <w:jc w:val="center"/>
              <w:rPr>
                <w:sz w:val="20"/>
                <w:szCs w:val="20"/>
              </w:rPr>
            </w:pPr>
            <w:r w:rsidRPr="008B6A75">
              <w:rPr>
                <w:sz w:val="20"/>
                <w:szCs w:val="20"/>
              </w:rPr>
              <w:t>01</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323B87E" w14:textId="77777777" w:rsidR="00387142" w:rsidRPr="008B6A75" w:rsidRDefault="00387142" w:rsidP="00387142">
            <w:pPr>
              <w:jc w:val="right"/>
              <w:rPr>
                <w:sz w:val="20"/>
                <w:szCs w:val="20"/>
              </w:rPr>
            </w:pPr>
            <w:r w:rsidRPr="008B6A75">
              <w:rPr>
                <w:sz w:val="20"/>
                <w:szCs w:val="20"/>
              </w:rPr>
              <w:t>27 500,00</w:t>
            </w:r>
          </w:p>
        </w:tc>
        <w:tc>
          <w:tcPr>
            <w:tcW w:w="851" w:type="dxa"/>
            <w:tcBorders>
              <w:top w:val="nil"/>
              <w:left w:val="single" w:sz="4" w:space="0" w:color="auto"/>
              <w:bottom w:val="single" w:sz="4" w:space="0" w:color="auto"/>
              <w:right w:val="nil"/>
            </w:tcBorders>
            <w:shd w:val="clear" w:color="auto" w:fill="auto"/>
            <w:noWrap/>
            <w:vAlign w:val="center"/>
            <w:hideMark/>
          </w:tcPr>
          <w:p w14:paraId="7C697CD5" w14:textId="77777777" w:rsidR="00387142" w:rsidRPr="008B6A75" w:rsidRDefault="00387142" w:rsidP="00387142">
            <w:pPr>
              <w:jc w:val="right"/>
              <w:rPr>
                <w:sz w:val="20"/>
                <w:szCs w:val="20"/>
              </w:rPr>
            </w:pPr>
            <w:r w:rsidRPr="008B6A75">
              <w:rPr>
                <w:sz w:val="20"/>
                <w:szCs w:val="20"/>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75E6E705" w14:textId="77777777" w:rsidR="00387142" w:rsidRPr="008B6A75" w:rsidRDefault="00387142" w:rsidP="00387142">
            <w:pPr>
              <w:jc w:val="right"/>
              <w:rPr>
                <w:sz w:val="20"/>
                <w:szCs w:val="20"/>
              </w:rPr>
            </w:pPr>
            <w:r w:rsidRPr="008B6A75">
              <w:rPr>
                <w:sz w:val="20"/>
                <w:szCs w:val="20"/>
              </w:rPr>
              <w:t>0,00</w:t>
            </w:r>
          </w:p>
        </w:tc>
      </w:tr>
      <w:tr w:rsidR="00387142" w:rsidRPr="008B6A75" w14:paraId="09596643" w14:textId="77777777" w:rsidTr="00387142">
        <w:trPr>
          <w:trHeight w:val="870"/>
        </w:trPr>
        <w:tc>
          <w:tcPr>
            <w:tcW w:w="272" w:type="dxa"/>
            <w:tcBorders>
              <w:top w:val="nil"/>
              <w:left w:val="nil"/>
              <w:bottom w:val="nil"/>
              <w:right w:val="single" w:sz="4" w:space="0" w:color="auto"/>
            </w:tcBorders>
            <w:shd w:val="clear" w:color="auto" w:fill="auto"/>
            <w:noWrap/>
            <w:vAlign w:val="bottom"/>
            <w:hideMark/>
          </w:tcPr>
          <w:p w14:paraId="5B5D47D7"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2499F05A" w14:textId="77777777" w:rsidR="00387142" w:rsidRPr="008B6A75" w:rsidRDefault="00387142" w:rsidP="00387142">
            <w:pPr>
              <w:rPr>
                <w:sz w:val="20"/>
                <w:szCs w:val="20"/>
              </w:rPr>
            </w:pPr>
            <w:r w:rsidRPr="008B6A75">
              <w:rPr>
                <w:sz w:val="20"/>
                <w:szCs w:val="20"/>
              </w:rPr>
              <w:t>Иные закупки товаров, работ и услуг для обеспечения государственных (муниципальных) нужд</w:t>
            </w:r>
          </w:p>
        </w:tc>
        <w:tc>
          <w:tcPr>
            <w:tcW w:w="1559" w:type="dxa"/>
            <w:tcBorders>
              <w:top w:val="nil"/>
              <w:left w:val="single" w:sz="4" w:space="0" w:color="auto"/>
              <w:bottom w:val="single" w:sz="4" w:space="0" w:color="auto"/>
              <w:right w:val="nil"/>
            </w:tcBorders>
            <w:shd w:val="clear" w:color="auto" w:fill="auto"/>
            <w:noWrap/>
            <w:vAlign w:val="center"/>
            <w:hideMark/>
          </w:tcPr>
          <w:p w14:paraId="40A68017" w14:textId="77777777" w:rsidR="00387142" w:rsidRPr="008B6A75" w:rsidRDefault="00387142" w:rsidP="00387142">
            <w:pPr>
              <w:jc w:val="center"/>
              <w:rPr>
                <w:sz w:val="20"/>
                <w:szCs w:val="20"/>
              </w:rPr>
            </w:pPr>
            <w:r w:rsidRPr="008B6A75">
              <w:rPr>
                <w:sz w:val="20"/>
                <w:szCs w:val="20"/>
              </w:rPr>
              <w:t>07.1.00.S3470</w:t>
            </w:r>
          </w:p>
        </w:tc>
        <w:tc>
          <w:tcPr>
            <w:tcW w:w="850" w:type="dxa"/>
            <w:tcBorders>
              <w:top w:val="nil"/>
              <w:left w:val="single" w:sz="4" w:space="0" w:color="auto"/>
              <w:bottom w:val="single" w:sz="4" w:space="0" w:color="auto"/>
              <w:right w:val="nil"/>
            </w:tcBorders>
            <w:shd w:val="clear" w:color="auto" w:fill="auto"/>
            <w:noWrap/>
            <w:vAlign w:val="center"/>
            <w:hideMark/>
          </w:tcPr>
          <w:p w14:paraId="4E8CD290" w14:textId="77777777" w:rsidR="00387142" w:rsidRPr="008B6A75" w:rsidRDefault="00387142" w:rsidP="00387142">
            <w:pPr>
              <w:jc w:val="center"/>
              <w:rPr>
                <w:sz w:val="20"/>
                <w:szCs w:val="20"/>
              </w:rPr>
            </w:pPr>
            <w:r w:rsidRPr="008B6A75">
              <w:rPr>
                <w:sz w:val="20"/>
                <w:szCs w:val="20"/>
              </w:rPr>
              <w:t>240</w:t>
            </w:r>
          </w:p>
        </w:tc>
        <w:tc>
          <w:tcPr>
            <w:tcW w:w="567" w:type="dxa"/>
            <w:tcBorders>
              <w:top w:val="nil"/>
              <w:left w:val="single" w:sz="4" w:space="0" w:color="auto"/>
              <w:bottom w:val="single" w:sz="4" w:space="0" w:color="auto"/>
              <w:right w:val="nil"/>
            </w:tcBorders>
            <w:shd w:val="clear" w:color="auto" w:fill="auto"/>
            <w:noWrap/>
            <w:vAlign w:val="center"/>
            <w:hideMark/>
          </w:tcPr>
          <w:p w14:paraId="0B76C0D9" w14:textId="77777777" w:rsidR="00387142" w:rsidRPr="008B6A75" w:rsidRDefault="00387142" w:rsidP="00387142">
            <w:pPr>
              <w:jc w:val="center"/>
              <w:rPr>
                <w:sz w:val="20"/>
                <w:szCs w:val="20"/>
              </w:rPr>
            </w:pPr>
            <w:r w:rsidRPr="008B6A75">
              <w:rPr>
                <w:sz w:val="20"/>
                <w:szCs w:val="20"/>
              </w:rPr>
              <w:t>07</w:t>
            </w:r>
          </w:p>
        </w:tc>
        <w:tc>
          <w:tcPr>
            <w:tcW w:w="567" w:type="dxa"/>
            <w:tcBorders>
              <w:top w:val="nil"/>
              <w:left w:val="single" w:sz="4" w:space="0" w:color="auto"/>
              <w:bottom w:val="single" w:sz="4" w:space="0" w:color="auto"/>
              <w:right w:val="nil"/>
            </w:tcBorders>
            <w:shd w:val="clear" w:color="auto" w:fill="auto"/>
            <w:noWrap/>
            <w:vAlign w:val="center"/>
            <w:hideMark/>
          </w:tcPr>
          <w:p w14:paraId="65D0F2D6" w14:textId="77777777" w:rsidR="00387142" w:rsidRPr="008B6A75" w:rsidRDefault="00387142" w:rsidP="00387142">
            <w:pPr>
              <w:jc w:val="center"/>
              <w:rPr>
                <w:sz w:val="20"/>
                <w:szCs w:val="20"/>
              </w:rPr>
            </w:pPr>
            <w:r w:rsidRPr="008B6A75">
              <w:rPr>
                <w:sz w:val="20"/>
                <w:szCs w:val="20"/>
              </w:rPr>
              <w:t>09</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C00E9D0" w14:textId="77777777" w:rsidR="00387142" w:rsidRPr="008B6A75" w:rsidRDefault="00387142" w:rsidP="00387142">
            <w:pPr>
              <w:jc w:val="right"/>
              <w:rPr>
                <w:sz w:val="20"/>
                <w:szCs w:val="20"/>
              </w:rPr>
            </w:pPr>
            <w:r w:rsidRPr="008B6A75">
              <w:rPr>
                <w:sz w:val="20"/>
                <w:szCs w:val="20"/>
              </w:rPr>
              <w:t>0,00</w:t>
            </w:r>
          </w:p>
        </w:tc>
        <w:tc>
          <w:tcPr>
            <w:tcW w:w="851" w:type="dxa"/>
            <w:tcBorders>
              <w:top w:val="nil"/>
              <w:left w:val="single" w:sz="4" w:space="0" w:color="auto"/>
              <w:bottom w:val="single" w:sz="4" w:space="0" w:color="auto"/>
              <w:right w:val="nil"/>
            </w:tcBorders>
            <w:shd w:val="clear" w:color="auto" w:fill="auto"/>
            <w:noWrap/>
            <w:vAlign w:val="center"/>
            <w:hideMark/>
          </w:tcPr>
          <w:p w14:paraId="6A16A3E1" w14:textId="77777777" w:rsidR="00387142" w:rsidRPr="008B6A75" w:rsidRDefault="00387142" w:rsidP="00387142">
            <w:pPr>
              <w:jc w:val="right"/>
              <w:rPr>
                <w:sz w:val="20"/>
                <w:szCs w:val="20"/>
              </w:rPr>
            </w:pPr>
            <w:r w:rsidRPr="008B6A75">
              <w:rPr>
                <w:sz w:val="20"/>
                <w:szCs w:val="20"/>
              </w:rPr>
              <w:t>18 650,00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0199EE58" w14:textId="77777777" w:rsidR="00387142" w:rsidRPr="008B6A75" w:rsidRDefault="00387142" w:rsidP="00387142">
            <w:pPr>
              <w:jc w:val="right"/>
              <w:rPr>
                <w:sz w:val="20"/>
                <w:szCs w:val="20"/>
              </w:rPr>
            </w:pPr>
            <w:r w:rsidRPr="008B6A75">
              <w:rPr>
                <w:sz w:val="20"/>
                <w:szCs w:val="20"/>
              </w:rPr>
              <w:t>18 650,00</w:t>
            </w:r>
          </w:p>
        </w:tc>
      </w:tr>
      <w:tr w:rsidR="00387142" w:rsidRPr="008B6A75" w14:paraId="5DE56BEE" w14:textId="77777777" w:rsidTr="00387142">
        <w:trPr>
          <w:trHeight w:val="300"/>
        </w:trPr>
        <w:tc>
          <w:tcPr>
            <w:tcW w:w="272" w:type="dxa"/>
            <w:tcBorders>
              <w:top w:val="nil"/>
              <w:left w:val="nil"/>
              <w:bottom w:val="nil"/>
              <w:right w:val="single" w:sz="4" w:space="0" w:color="auto"/>
            </w:tcBorders>
            <w:shd w:val="clear" w:color="auto" w:fill="auto"/>
            <w:noWrap/>
            <w:vAlign w:val="bottom"/>
            <w:hideMark/>
          </w:tcPr>
          <w:p w14:paraId="45B4C5F9"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431BB830" w14:textId="77777777" w:rsidR="00387142" w:rsidRPr="008B6A75" w:rsidRDefault="00387142" w:rsidP="00387142">
            <w:pPr>
              <w:rPr>
                <w:bCs/>
                <w:sz w:val="20"/>
                <w:szCs w:val="20"/>
              </w:rPr>
            </w:pPr>
            <w:r w:rsidRPr="008B6A75">
              <w:rPr>
                <w:bCs/>
                <w:sz w:val="20"/>
                <w:szCs w:val="20"/>
              </w:rPr>
              <w:t>Региональный проект "Современная школа"</w:t>
            </w:r>
          </w:p>
        </w:tc>
        <w:tc>
          <w:tcPr>
            <w:tcW w:w="1559" w:type="dxa"/>
            <w:tcBorders>
              <w:top w:val="nil"/>
              <w:left w:val="single" w:sz="4" w:space="0" w:color="auto"/>
              <w:bottom w:val="single" w:sz="4" w:space="0" w:color="auto"/>
              <w:right w:val="nil"/>
            </w:tcBorders>
            <w:shd w:val="clear" w:color="auto" w:fill="auto"/>
            <w:noWrap/>
            <w:vAlign w:val="center"/>
            <w:hideMark/>
          </w:tcPr>
          <w:p w14:paraId="1975D99D" w14:textId="77777777" w:rsidR="00387142" w:rsidRPr="008B6A75" w:rsidRDefault="00387142" w:rsidP="00387142">
            <w:pPr>
              <w:jc w:val="center"/>
              <w:rPr>
                <w:bCs/>
                <w:sz w:val="20"/>
                <w:szCs w:val="20"/>
              </w:rPr>
            </w:pPr>
            <w:r w:rsidRPr="008B6A75">
              <w:rPr>
                <w:bCs/>
                <w:sz w:val="20"/>
                <w:szCs w:val="20"/>
              </w:rPr>
              <w:t>07.1.E1.00000</w:t>
            </w:r>
          </w:p>
        </w:tc>
        <w:tc>
          <w:tcPr>
            <w:tcW w:w="850" w:type="dxa"/>
            <w:tcBorders>
              <w:top w:val="nil"/>
              <w:left w:val="single" w:sz="4" w:space="0" w:color="auto"/>
              <w:bottom w:val="single" w:sz="4" w:space="0" w:color="auto"/>
              <w:right w:val="nil"/>
            </w:tcBorders>
            <w:shd w:val="clear" w:color="auto" w:fill="auto"/>
            <w:noWrap/>
            <w:vAlign w:val="center"/>
            <w:hideMark/>
          </w:tcPr>
          <w:p w14:paraId="592A1D26" w14:textId="77777777" w:rsidR="00387142" w:rsidRPr="008B6A75" w:rsidRDefault="00387142" w:rsidP="00387142">
            <w:pPr>
              <w:jc w:val="center"/>
              <w:rPr>
                <w:bCs/>
                <w:sz w:val="20"/>
                <w:szCs w:val="20"/>
              </w:rPr>
            </w:pPr>
            <w:r w:rsidRPr="008B6A75">
              <w:rPr>
                <w:bCs/>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3FAD0EBA" w14:textId="77777777" w:rsidR="00387142" w:rsidRPr="008B6A75" w:rsidRDefault="00387142" w:rsidP="00387142">
            <w:pPr>
              <w:jc w:val="center"/>
              <w:rPr>
                <w:bCs/>
                <w:sz w:val="20"/>
                <w:szCs w:val="20"/>
              </w:rPr>
            </w:pPr>
            <w:r w:rsidRPr="008B6A75">
              <w:rPr>
                <w:bCs/>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6D1AB9D4" w14:textId="77777777" w:rsidR="00387142" w:rsidRPr="008B6A75" w:rsidRDefault="00387142" w:rsidP="00387142">
            <w:pPr>
              <w:jc w:val="center"/>
              <w:rPr>
                <w:bCs/>
                <w:sz w:val="20"/>
                <w:szCs w:val="20"/>
              </w:rPr>
            </w:pPr>
            <w:r w:rsidRPr="008B6A75">
              <w:rPr>
                <w:bCs/>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557E610" w14:textId="77777777" w:rsidR="00387142" w:rsidRPr="008B6A75" w:rsidRDefault="00387142" w:rsidP="00387142">
            <w:pPr>
              <w:jc w:val="right"/>
              <w:rPr>
                <w:bCs/>
                <w:sz w:val="20"/>
                <w:szCs w:val="20"/>
              </w:rPr>
            </w:pPr>
            <w:r w:rsidRPr="008B6A75">
              <w:rPr>
                <w:bCs/>
                <w:sz w:val="20"/>
                <w:szCs w:val="20"/>
              </w:rPr>
              <w:t>21 737 275,41</w:t>
            </w:r>
          </w:p>
        </w:tc>
        <w:tc>
          <w:tcPr>
            <w:tcW w:w="851" w:type="dxa"/>
            <w:tcBorders>
              <w:top w:val="nil"/>
              <w:left w:val="single" w:sz="4" w:space="0" w:color="auto"/>
              <w:bottom w:val="single" w:sz="4" w:space="0" w:color="auto"/>
              <w:right w:val="nil"/>
            </w:tcBorders>
            <w:shd w:val="clear" w:color="auto" w:fill="auto"/>
            <w:noWrap/>
            <w:vAlign w:val="center"/>
            <w:hideMark/>
          </w:tcPr>
          <w:p w14:paraId="0821CAF5" w14:textId="77777777" w:rsidR="00387142" w:rsidRPr="008B6A75" w:rsidRDefault="00387142" w:rsidP="00387142">
            <w:pPr>
              <w:jc w:val="right"/>
              <w:rPr>
                <w:bCs/>
                <w:sz w:val="20"/>
                <w:szCs w:val="20"/>
              </w:rPr>
            </w:pPr>
            <w:r w:rsidRPr="008B6A75">
              <w:rPr>
                <w:bCs/>
                <w:sz w:val="20"/>
                <w:szCs w:val="20"/>
              </w:rPr>
              <w:t>8 163 300,00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1373D600" w14:textId="77777777" w:rsidR="00387142" w:rsidRPr="008B6A75" w:rsidRDefault="00387142" w:rsidP="00387142">
            <w:pPr>
              <w:jc w:val="right"/>
              <w:rPr>
                <w:bCs/>
                <w:sz w:val="20"/>
                <w:szCs w:val="20"/>
              </w:rPr>
            </w:pPr>
            <w:r w:rsidRPr="008B6A75">
              <w:rPr>
                <w:bCs/>
                <w:sz w:val="20"/>
                <w:szCs w:val="20"/>
              </w:rPr>
              <w:t>2 040 850,00</w:t>
            </w:r>
          </w:p>
        </w:tc>
      </w:tr>
      <w:tr w:rsidR="00387142" w:rsidRPr="008B6A75" w14:paraId="6F5FF95D" w14:textId="77777777" w:rsidTr="00387142">
        <w:trPr>
          <w:trHeight w:val="2580"/>
        </w:trPr>
        <w:tc>
          <w:tcPr>
            <w:tcW w:w="272" w:type="dxa"/>
            <w:tcBorders>
              <w:top w:val="nil"/>
              <w:left w:val="nil"/>
              <w:bottom w:val="nil"/>
              <w:right w:val="single" w:sz="4" w:space="0" w:color="auto"/>
            </w:tcBorders>
            <w:shd w:val="clear" w:color="auto" w:fill="auto"/>
            <w:noWrap/>
            <w:vAlign w:val="bottom"/>
            <w:hideMark/>
          </w:tcPr>
          <w:p w14:paraId="456A7090"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1F6D1BC2" w14:textId="77777777" w:rsidR="00387142" w:rsidRPr="008B6A75" w:rsidRDefault="00387142" w:rsidP="00387142">
            <w:pPr>
              <w:rPr>
                <w:bCs/>
                <w:sz w:val="20"/>
                <w:szCs w:val="20"/>
              </w:rPr>
            </w:pPr>
            <w:r w:rsidRPr="008B6A75">
              <w:rPr>
                <w:bCs/>
                <w:sz w:val="20"/>
                <w:szCs w:val="20"/>
              </w:rPr>
              <w:t>Реализация мероприятий по обновлению материально-технической базы для формирования у обучающихся современных технологических и гуманитарных навыков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w:t>
            </w:r>
            <w:proofErr w:type="spellStart"/>
            <w:r w:rsidRPr="008B6A75">
              <w:rPr>
                <w:bCs/>
                <w:sz w:val="20"/>
                <w:szCs w:val="20"/>
              </w:rPr>
              <w:t>брендирование</w:t>
            </w:r>
            <w:proofErr w:type="spellEnd"/>
            <w:r w:rsidRPr="008B6A75">
              <w:rPr>
                <w:bCs/>
                <w:sz w:val="20"/>
                <w:szCs w:val="20"/>
              </w:rPr>
              <w:t xml:space="preserve"> центров "Точка роста")</w:t>
            </w:r>
          </w:p>
        </w:tc>
        <w:tc>
          <w:tcPr>
            <w:tcW w:w="1559" w:type="dxa"/>
            <w:tcBorders>
              <w:top w:val="nil"/>
              <w:left w:val="single" w:sz="4" w:space="0" w:color="auto"/>
              <w:bottom w:val="single" w:sz="4" w:space="0" w:color="auto"/>
              <w:right w:val="nil"/>
            </w:tcBorders>
            <w:shd w:val="clear" w:color="auto" w:fill="auto"/>
            <w:noWrap/>
            <w:vAlign w:val="center"/>
            <w:hideMark/>
          </w:tcPr>
          <w:p w14:paraId="37CE93FB" w14:textId="77777777" w:rsidR="00387142" w:rsidRPr="008B6A75" w:rsidRDefault="00387142" w:rsidP="00387142">
            <w:pPr>
              <w:jc w:val="center"/>
              <w:rPr>
                <w:bCs/>
                <w:sz w:val="20"/>
                <w:szCs w:val="20"/>
              </w:rPr>
            </w:pPr>
            <w:r w:rsidRPr="008B6A75">
              <w:rPr>
                <w:bCs/>
                <w:sz w:val="20"/>
                <w:szCs w:val="20"/>
              </w:rPr>
              <w:t>07.1.E1.51692</w:t>
            </w:r>
          </w:p>
        </w:tc>
        <w:tc>
          <w:tcPr>
            <w:tcW w:w="850" w:type="dxa"/>
            <w:tcBorders>
              <w:top w:val="nil"/>
              <w:left w:val="single" w:sz="4" w:space="0" w:color="auto"/>
              <w:bottom w:val="single" w:sz="4" w:space="0" w:color="auto"/>
              <w:right w:val="nil"/>
            </w:tcBorders>
            <w:shd w:val="clear" w:color="auto" w:fill="auto"/>
            <w:noWrap/>
            <w:vAlign w:val="center"/>
            <w:hideMark/>
          </w:tcPr>
          <w:p w14:paraId="0B0FC7FF" w14:textId="77777777" w:rsidR="00387142" w:rsidRPr="008B6A75" w:rsidRDefault="00387142" w:rsidP="00387142">
            <w:pPr>
              <w:jc w:val="center"/>
              <w:rPr>
                <w:bCs/>
                <w:sz w:val="20"/>
                <w:szCs w:val="20"/>
              </w:rPr>
            </w:pPr>
            <w:r w:rsidRPr="008B6A75">
              <w:rPr>
                <w:bCs/>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777843DF" w14:textId="77777777" w:rsidR="00387142" w:rsidRPr="008B6A75" w:rsidRDefault="00387142" w:rsidP="00387142">
            <w:pPr>
              <w:jc w:val="center"/>
              <w:rPr>
                <w:bCs/>
                <w:sz w:val="20"/>
                <w:szCs w:val="20"/>
              </w:rPr>
            </w:pPr>
            <w:r w:rsidRPr="008B6A75">
              <w:rPr>
                <w:bCs/>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5BD0B1BA" w14:textId="77777777" w:rsidR="00387142" w:rsidRPr="008B6A75" w:rsidRDefault="00387142" w:rsidP="00387142">
            <w:pPr>
              <w:jc w:val="center"/>
              <w:rPr>
                <w:bCs/>
                <w:sz w:val="20"/>
                <w:szCs w:val="20"/>
              </w:rPr>
            </w:pPr>
            <w:r w:rsidRPr="008B6A75">
              <w:rPr>
                <w:bCs/>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03F262D" w14:textId="77777777" w:rsidR="00387142" w:rsidRPr="008B6A75" w:rsidRDefault="00387142" w:rsidP="00387142">
            <w:pPr>
              <w:jc w:val="right"/>
              <w:rPr>
                <w:bCs/>
                <w:sz w:val="20"/>
                <w:szCs w:val="20"/>
              </w:rPr>
            </w:pPr>
            <w:r w:rsidRPr="008B6A75">
              <w:rPr>
                <w:bCs/>
                <w:sz w:val="20"/>
                <w:szCs w:val="20"/>
              </w:rPr>
              <w:t>21 737 275,41</w:t>
            </w:r>
          </w:p>
        </w:tc>
        <w:tc>
          <w:tcPr>
            <w:tcW w:w="851" w:type="dxa"/>
            <w:tcBorders>
              <w:top w:val="nil"/>
              <w:left w:val="single" w:sz="4" w:space="0" w:color="auto"/>
              <w:bottom w:val="single" w:sz="4" w:space="0" w:color="auto"/>
              <w:right w:val="nil"/>
            </w:tcBorders>
            <w:shd w:val="clear" w:color="auto" w:fill="auto"/>
            <w:noWrap/>
            <w:vAlign w:val="center"/>
            <w:hideMark/>
          </w:tcPr>
          <w:p w14:paraId="41A884FC" w14:textId="77777777" w:rsidR="00387142" w:rsidRPr="008B6A75" w:rsidRDefault="00387142" w:rsidP="00387142">
            <w:pPr>
              <w:jc w:val="right"/>
              <w:rPr>
                <w:bCs/>
                <w:sz w:val="20"/>
                <w:szCs w:val="20"/>
              </w:rPr>
            </w:pPr>
            <w:r w:rsidRPr="008B6A75">
              <w:rPr>
                <w:bCs/>
                <w:sz w:val="20"/>
                <w:szCs w:val="20"/>
              </w:rPr>
              <w:t>8 163 300,00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79027C1A" w14:textId="77777777" w:rsidR="00387142" w:rsidRPr="008B6A75" w:rsidRDefault="00387142" w:rsidP="00387142">
            <w:pPr>
              <w:jc w:val="right"/>
              <w:rPr>
                <w:bCs/>
                <w:sz w:val="20"/>
                <w:szCs w:val="20"/>
              </w:rPr>
            </w:pPr>
            <w:r w:rsidRPr="008B6A75">
              <w:rPr>
                <w:bCs/>
                <w:sz w:val="20"/>
                <w:szCs w:val="20"/>
              </w:rPr>
              <w:t>2 040 850,00</w:t>
            </w:r>
          </w:p>
        </w:tc>
      </w:tr>
      <w:tr w:rsidR="00387142" w:rsidRPr="008B6A75" w14:paraId="443AFBF5" w14:textId="77777777" w:rsidTr="00387142">
        <w:trPr>
          <w:trHeight w:val="585"/>
        </w:trPr>
        <w:tc>
          <w:tcPr>
            <w:tcW w:w="272" w:type="dxa"/>
            <w:tcBorders>
              <w:top w:val="nil"/>
              <w:left w:val="nil"/>
              <w:bottom w:val="nil"/>
              <w:right w:val="single" w:sz="4" w:space="0" w:color="auto"/>
            </w:tcBorders>
            <w:shd w:val="clear" w:color="auto" w:fill="auto"/>
            <w:noWrap/>
            <w:vAlign w:val="bottom"/>
            <w:hideMark/>
          </w:tcPr>
          <w:p w14:paraId="4FEE51CE"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04C530C5" w14:textId="77777777" w:rsidR="00387142" w:rsidRPr="008B6A75" w:rsidRDefault="00387142" w:rsidP="00387142">
            <w:pPr>
              <w:rPr>
                <w:sz w:val="20"/>
                <w:szCs w:val="20"/>
              </w:rPr>
            </w:pPr>
            <w:r w:rsidRPr="008B6A75">
              <w:rPr>
                <w:sz w:val="20"/>
                <w:szCs w:val="20"/>
              </w:rPr>
              <w:t>Закупка товаров, работ и услуг для обеспечения государственных (муниципальных) нужд</w:t>
            </w:r>
          </w:p>
        </w:tc>
        <w:tc>
          <w:tcPr>
            <w:tcW w:w="1559" w:type="dxa"/>
            <w:tcBorders>
              <w:top w:val="nil"/>
              <w:left w:val="single" w:sz="4" w:space="0" w:color="auto"/>
              <w:bottom w:val="single" w:sz="4" w:space="0" w:color="auto"/>
              <w:right w:val="nil"/>
            </w:tcBorders>
            <w:shd w:val="clear" w:color="auto" w:fill="auto"/>
            <w:noWrap/>
            <w:vAlign w:val="center"/>
            <w:hideMark/>
          </w:tcPr>
          <w:p w14:paraId="1BEC9C62" w14:textId="77777777" w:rsidR="00387142" w:rsidRPr="008B6A75" w:rsidRDefault="00387142" w:rsidP="00387142">
            <w:pPr>
              <w:jc w:val="center"/>
              <w:rPr>
                <w:sz w:val="20"/>
                <w:szCs w:val="20"/>
              </w:rPr>
            </w:pPr>
            <w:r w:rsidRPr="008B6A75">
              <w:rPr>
                <w:sz w:val="20"/>
                <w:szCs w:val="20"/>
              </w:rPr>
              <w:t>07.1.E1.51692</w:t>
            </w:r>
          </w:p>
        </w:tc>
        <w:tc>
          <w:tcPr>
            <w:tcW w:w="850" w:type="dxa"/>
            <w:tcBorders>
              <w:top w:val="nil"/>
              <w:left w:val="single" w:sz="4" w:space="0" w:color="auto"/>
              <w:bottom w:val="single" w:sz="4" w:space="0" w:color="auto"/>
              <w:right w:val="nil"/>
            </w:tcBorders>
            <w:shd w:val="clear" w:color="auto" w:fill="auto"/>
            <w:noWrap/>
            <w:vAlign w:val="center"/>
            <w:hideMark/>
          </w:tcPr>
          <w:p w14:paraId="5F381286" w14:textId="77777777" w:rsidR="00387142" w:rsidRPr="008B6A75" w:rsidRDefault="00387142" w:rsidP="00387142">
            <w:pPr>
              <w:jc w:val="center"/>
              <w:rPr>
                <w:sz w:val="20"/>
                <w:szCs w:val="20"/>
              </w:rPr>
            </w:pPr>
            <w:r w:rsidRPr="008B6A75">
              <w:rPr>
                <w:sz w:val="20"/>
                <w:szCs w:val="20"/>
              </w:rPr>
              <w:t>200</w:t>
            </w:r>
          </w:p>
        </w:tc>
        <w:tc>
          <w:tcPr>
            <w:tcW w:w="567" w:type="dxa"/>
            <w:tcBorders>
              <w:top w:val="nil"/>
              <w:left w:val="single" w:sz="4" w:space="0" w:color="auto"/>
              <w:bottom w:val="single" w:sz="4" w:space="0" w:color="auto"/>
              <w:right w:val="nil"/>
            </w:tcBorders>
            <w:shd w:val="clear" w:color="auto" w:fill="auto"/>
            <w:noWrap/>
            <w:vAlign w:val="center"/>
            <w:hideMark/>
          </w:tcPr>
          <w:p w14:paraId="052B7DFE" w14:textId="77777777" w:rsidR="00387142" w:rsidRPr="008B6A75" w:rsidRDefault="00387142" w:rsidP="00387142">
            <w:pPr>
              <w:jc w:val="center"/>
              <w:rPr>
                <w:sz w:val="20"/>
                <w:szCs w:val="20"/>
              </w:rPr>
            </w:pPr>
            <w:r w:rsidRPr="008B6A75">
              <w:rPr>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708D2E8B" w14:textId="77777777" w:rsidR="00387142" w:rsidRPr="008B6A75" w:rsidRDefault="00387142" w:rsidP="00387142">
            <w:pPr>
              <w:jc w:val="center"/>
              <w:rPr>
                <w:sz w:val="20"/>
                <w:szCs w:val="20"/>
              </w:rPr>
            </w:pPr>
            <w:r w:rsidRPr="008B6A75">
              <w:rPr>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33F9051" w14:textId="77777777" w:rsidR="00387142" w:rsidRPr="008B6A75" w:rsidRDefault="00387142" w:rsidP="00387142">
            <w:pPr>
              <w:jc w:val="right"/>
              <w:rPr>
                <w:sz w:val="20"/>
                <w:szCs w:val="20"/>
              </w:rPr>
            </w:pPr>
            <w:r w:rsidRPr="008B6A75">
              <w:rPr>
                <w:sz w:val="20"/>
                <w:szCs w:val="20"/>
              </w:rPr>
              <w:t>10 823 996,69</w:t>
            </w:r>
          </w:p>
        </w:tc>
        <w:tc>
          <w:tcPr>
            <w:tcW w:w="851" w:type="dxa"/>
            <w:tcBorders>
              <w:top w:val="nil"/>
              <w:left w:val="single" w:sz="4" w:space="0" w:color="auto"/>
              <w:bottom w:val="single" w:sz="4" w:space="0" w:color="auto"/>
              <w:right w:val="nil"/>
            </w:tcBorders>
            <w:shd w:val="clear" w:color="auto" w:fill="auto"/>
            <w:noWrap/>
            <w:vAlign w:val="center"/>
            <w:hideMark/>
          </w:tcPr>
          <w:p w14:paraId="68905D26" w14:textId="77777777" w:rsidR="00387142" w:rsidRPr="008B6A75" w:rsidRDefault="00387142" w:rsidP="00387142">
            <w:pPr>
              <w:jc w:val="right"/>
              <w:rPr>
                <w:sz w:val="20"/>
                <w:szCs w:val="20"/>
              </w:rPr>
            </w:pPr>
            <w:r w:rsidRPr="008B6A75">
              <w:rPr>
                <w:sz w:val="20"/>
                <w:szCs w:val="20"/>
              </w:rPr>
              <w:t>8 163 300,00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05526009" w14:textId="77777777" w:rsidR="00387142" w:rsidRPr="008B6A75" w:rsidRDefault="00387142" w:rsidP="00387142">
            <w:pPr>
              <w:jc w:val="right"/>
              <w:rPr>
                <w:sz w:val="20"/>
                <w:szCs w:val="20"/>
              </w:rPr>
            </w:pPr>
            <w:r w:rsidRPr="008B6A75">
              <w:rPr>
                <w:sz w:val="20"/>
                <w:szCs w:val="20"/>
              </w:rPr>
              <w:t>2 040 850,00</w:t>
            </w:r>
          </w:p>
        </w:tc>
      </w:tr>
      <w:tr w:rsidR="00387142" w:rsidRPr="008B6A75" w14:paraId="7B19BEB8" w14:textId="77777777" w:rsidTr="00387142">
        <w:trPr>
          <w:trHeight w:val="870"/>
        </w:trPr>
        <w:tc>
          <w:tcPr>
            <w:tcW w:w="272" w:type="dxa"/>
            <w:tcBorders>
              <w:top w:val="nil"/>
              <w:left w:val="nil"/>
              <w:bottom w:val="nil"/>
              <w:right w:val="single" w:sz="4" w:space="0" w:color="auto"/>
            </w:tcBorders>
            <w:shd w:val="clear" w:color="auto" w:fill="auto"/>
            <w:noWrap/>
            <w:vAlign w:val="bottom"/>
            <w:hideMark/>
          </w:tcPr>
          <w:p w14:paraId="25E0B2CF" w14:textId="77777777" w:rsidR="00387142" w:rsidRPr="008B6A75" w:rsidRDefault="00387142" w:rsidP="00387142">
            <w:pPr>
              <w:rPr>
                <w:sz w:val="20"/>
                <w:szCs w:val="20"/>
              </w:rPr>
            </w:pPr>
            <w:r w:rsidRPr="008B6A75">
              <w:rPr>
                <w:sz w:val="20"/>
                <w:szCs w:val="20"/>
              </w:rPr>
              <w:lastRenderedPageBreak/>
              <w:t> </w:t>
            </w:r>
          </w:p>
        </w:tc>
        <w:tc>
          <w:tcPr>
            <w:tcW w:w="3415" w:type="dxa"/>
            <w:tcBorders>
              <w:top w:val="nil"/>
              <w:left w:val="single" w:sz="4" w:space="0" w:color="auto"/>
              <w:bottom w:val="single" w:sz="4" w:space="0" w:color="auto"/>
              <w:right w:val="nil"/>
            </w:tcBorders>
            <w:shd w:val="clear" w:color="auto" w:fill="auto"/>
            <w:vAlign w:val="center"/>
            <w:hideMark/>
          </w:tcPr>
          <w:p w14:paraId="383869A5" w14:textId="77777777" w:rsidR="00387142" w:rsidRPr="008B6A75" w:rsidRDefault="00387142" w:rsidP="00387142">
            <w:pPr>
              <w:rPr>
                <w:sz w:val="20"/>
                <w:szCs w:val="20"/>
              </w:rPr>
            </w:pPr>
            <w:r w:rsidRPr="008B6A75">
              <w:rPr>
                <w:sz w:val="20"/>
                <w:szCs w:val="20"/>
              </w:rPr>
              <w:t>Иные закупки товаров, работ и услуг для обеспечения государственных (муниципальных) нужд</w:t>
            </w:r>
          </w:p>
        </w:tc>
        <w:tc>
          <w:tcPr>
            <w:tcW w:w="1559" w:type="dxa"/>
            <w:tcBorders>
              <w:top w:val="nil"/>
              <w:left w:val="single" w:sz="4" w:space="0" w:color="auto"/>
              <w:bottom w:val="single" w:sz="4" w:space="0" w:color="auto"/>
              <w:right w:val="nil"/>
            </w:tcBorders>
            <w:shd w:val="clear" w:color="auto" w:fill="auto"/>
            <w:noWrap/>
            <w:vAlign w:val="center"/>
            <w:hideMark/>
          </w:tcPr>
          <w:p w14:paraId="6739AC7D" w14:textId="77777777" w:rsidR="00387142" w:rsidRPr="008B6A75" w:rsidRDefault="00387142" w:rsidP="00387142">
            <w:pPr>
              <w:jc w:val="center"/>
              <w:rPr>
                <w:sz w:val="20"/>
                <w:szCs w:val="20"/>
              </w:rPr>
            </w:pPr>
            <w:r w:rsidRPr="008B6A75">
              <w:rPr>
                <w:sz w:val="20"/>
                <w:szCs w:val="20"/>
              </w:rPr>
              <w:t>07.1.E1.51692</w:t>
            </w:r>
          </w:p>
        </w:tc>
        <w:tc>
          <w:tcPr>
            <w:tcW w:w="850" w:type="dxa"/>
            <w:tcBorders>
              <w:top w:val="nil"/>
              <w:left w:val="single" w:sz="4" w:space="0" w:color="auto"/>
              <w:bottom w:val="single" w:sz="4" w:space="0" w:color="auto"/>
              <w:right w:val="nil"/>
            </w:tcBorders>
            <w:shd w:val="clear" w:color="auto" w:fill="auto"/>
            <w:noWrap/>
            <w:vAlign w:val="center"/>
            <w:hideMark/>
          </w:tcPr>
          <w:p w14:paraId="2A9B378A" w14:textId="77777777" w:rsidR="00387142" w:rsidRPr="008B6A75" w:rsidRDefault="00387142" w:rsidP="00387142">
            <w:pPr>
              <w:jc w:val="center"/>
              <w:rPr>
                <w:sz w:val="20"/>
                <w:szCs w:val="20"/>
              </w:rPr>
            </w:pPr>
            <w:r w:rsidRPr="008B6A75">
              <w:rPr>
                <w:sz w:val="20"/>
                <w:szCs w:val="20"/>
              </w:rPr>
              <w:t>240</w:t>
            </w:r>
          </w:p>
        </w:tc>
        <w:tc>
          <w:tcPr>
            <w:tcW w:w="567" w:type="dxa"/>
            <w:tcBorders>
              <w:top w:val="nil"/>
              <w:left w:val="single" w:sz="4" w:space="0" w:color="auto"/>
              <w:bottom w:val="single" w:sz="4" w:space="0" w:color="auto"/>
              <w:right w:val="nil"/>
            </w:tcBorders>
            <w:shd w:val="clear" w:color="auto" w:fill="auto"/>
            <w:noWrap/>
            <w:vAlign w:val="center"/>
            <w:hideMark/>
          </w:tcPr>
          <w:p w14:paraId="1FAE73D7" w14:textId="77777777" w:rsidR="00387142" w:rsidRPr="008B6A75" w:rsidRDefault="00387142" w:rsidP="00387142">
            <w:pPr>
              <w:jc w:val="center"/>
              <w:rPr>
                <w:sz w:val="20"/>
                <w:szCs w:val="20"/>
              </w:rPr>
            </w:pPr>
            <w:r w:rsidRPr="008B6A75">
              <w:rPr>
                <w:sz w:val="20"/>
                <w:szCs w:val="20"/>
              </w:rPr>
              <w:t>07</w:t>
            </w:r>
          </w:p>
        </w:tc>
        <w:tc>
          <w:tcPr>
            <w:tcW w:w="567" w:type="dxa"/>
            <w:tcBorders>
              <w:top w:val="nil"/>
              <w:left w:val="single" w:sz="4" w:space="0" w:color="auto"/>
              <w:bottom w:val="single" w:sz="4" w:space="0" w:color="auto"/>
              <w:right w:val="nil"/>
            </w:tcBorders>
            <w:shd w:val="clear" w:color="auto" w:fill="auto"/>
            <w:noWrap/>
            <w:vAlign w:val="center"/>
            <w:hideMark/>
          </w:tcPr>
          <w:p w14:paraId="029EB642" w14:textId="77777777" w:rsidR="00387142" w:rsidRPr="008B6A75" w:rsidRDefault="00387142" w:rsidP="00387142">
            <w:pPr>
              <w:jc w:val="center"/>
              <w:rPr>
                <w:sz w:val="20"/>
                <w:szCs w:val="20"/>
              </w:rPr>
            </w:pPr>
            <w:r w:rsidRPr="008B6A75">
              <w:rPr>
                <w:sz w:val="20"/>
                <w:szCs w:val="20"/>
              </w:rPr>
              <w:t>02</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DC2A977" w14:textId="77777777" w:rsidR="00387142" w:rsidRPr="008B6A75" w:rsidRDefault="00387142" w:rsidP="00387142">
            <w:pPr>
              <w:jc w:val="right"/>
              <w:rPr>
                <w:sz w:val="20"/>
                <w:szCs w:val="20"/>
              </w:rPr>
            </w:pPr>
            <w:r w:rsidRPr="008B6A75">
              <w:rPr>
                <w:sz w:val="20"/>
                <w:szCs w:val="20"/>
              </w:rPr>
              <w:t>10 823 996,69</w:t>
            </w:r>
          </w:p>
        </w:tc>
        <w:tc>
          <w:tcPr>
            <w:tcW w:w="851" w:type="dxa"/>
            <w:tcBorders>
              <w:top w:val="nil"/>
              <w:left w:val="single" w:sz="4" w:space="0" w:color="auto"/>
              <w:bottom w:val="single" w:sz="4" w:space="0" w:color="auto"/>
              <w:right w:val="nil"/>
            </w:tcBorders>
            <w:shd w:val="clear" w:color="auto" w:fill="auto"/>
            <w:noWrap/>
            <w:vAlign w:val="center"/>
            <w:hideMark/>
          </w:tcPr>
          <w:p w14:paraId="4FEC0982" w14:textId="77777777" w:rsidR="00387142" w:rsidRPr="008B6A75" w:rsidRDefault="00387142" w:rsidP="00387142">
            <w:pPr>
              <w:jc w:val="right"/>
              <w:rPr>
                <w:sz w:val="20"/>
                <w:szCs w:val="20"/>
              </w:rPr>
            </w:pPr>
            <w:r w:rsidRPr="008B6A75">
              <w:rPr>
                <w:sz w:val="20"/>
                <w:szCs w:val="20"/>
              </w:rPr>
              <w:t>8 163 300,00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2D359173" w14:textId="77777777" w:rsidR="00387142" w:rsidRPr="008B6A75" w:rsidRDefault="00387142" w:rsidP="00387142">
            <w:pPr>
              <w:jc w:val="right"/>
              <w:rPr>
                <w:sz w:val="20"/>
                <w:szCs w:val="20"/>
              </w:rPr>
            </w:pPr>
            <w:r w:rsidRPr="008B6A75">
              <w:rPr>
                <w:sz w:val="20"/>
                <w:szCs w:val="20"/>
              </w:rPr>
              <w:t>2 040 850,00</w:t>
            </w:r>
          </w:p>
        </w:tc>
      </w:tr>
      <w:tr w:rsidR="00387142" w:rsidRPr="008B6A75" w14:paraId="04DB3CC6" w14:textId="77777777" w:rsidTr="00387142">
        <w:trPr>
          <w:trHeight w:val="870"/>
        </w:trPr>
        <w:tc>
          <w:tcPr>
            <w:tcW w:w="272" w:type="dxa"/>
            <w:tcBorders>
              <w:top w:val="nil"/>
              <w:left w:val="nil"/>
              <w:bottom w:val="nil"/>
              <w:right w:val="single" w:sz="4" w:space="0" w:color="auto"/>
            </w:tcBorders>
            <w:shd w:val="clear" w:color="auto" w:fill="auto"/>
            <w:noWrap/>
            <w:vAlign w:val="bottom"/>
            <w:hideMark/>
          </w:tcPr>
          <w:p w14:paraId="25B67FCC"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65517EC3" w14:textId="77777777" w:rsidR="00387142" w:rsidRPr="008B6A75" w:rsidRDefault="00387142" w:rsidP="00387142">
            <w:pPr>
              <w:rPr>
                <w:sz w:val="20"/>
                <w:szCs w:val="20"/>
              </w:rPr>
            </w:pPr>
            <w:r w:rsidRPr="008B6A75">
              <w:rPr>
                <w:sz w:val="20"/>
                <w:szCs w:val="20"/>
              </w:rPr>
              <w:t>Предоставление субсидий бюджетным, автономным учреждениям и иным некоммерческим организациям</w:t>
            </w:r>
          </w:p>
        </w:tc>
        <w:tc>
          <w:tcPr>
            <w:tcW w:w="1559" w:type="dxa"/>
            <w:tcBorders>
              <w:top w:val="nil"/>
              <w:left w:val="single" w:sz="4" w:space="0" w:color="auto"/>
              <w:bottom w:val="single" w:sz="4" w:space="0" w:color="auto"/>
              <w:right w:val="nil"/>
            </w:tcBorders>
            <w:shd w:val="clear" w:color="auto" w:fill="auto"/>
            <w:noWrap/>
            <w:vAlign w:val="center"/>
            <w:hideMark/>
          </w:tcPr>
          <w:p w14:paraId="0278EDE3" w14:textId="77777777" w:rsidR="00387142" w:rsidRPr="008B6A75" w:rsidRDefault="00387142" w:rsidP="00387142">
            <w:pPr>
              <w:jc w:val="center"/>
              <w:rPr>
                <w:sz w:val="20"/>
                <w:szCs w:val="20"/>
              </w:rPr>
            </w:pPr>
            <w:r w:rsidRPr="008B6A75">
              <w:rPr>
                <w:sz w:val="20"/>
                <w:szCs w:val="20"/>
              </w:rPr>
              <w:t>07.1.E1.51692</w:t>
            </w:r>
          </w:p>
        </w:tc>
        <w:tc>
          <w:tcPr>
            <w:tcW w:w="850" w:type="dxa"/>
            <w:tcBorders>
              <w:top w:val="nil"/>
              <w:left w:val="single" w:sz="4" w:space="0" w:color="auto"/>
              <w:bottom w:val="single" w:sz="4" w:space="0" w:color="auto"/>
              <w:right w:val="nil"/>
            </w:tcBorders>
            <w:shd w:val="clear" w:color="auto" w:fill="auto"/>
            <w:noWrap/>
            <w:vAlign w:val="center"/>
            <w:hideMark/>
          </w:tcPr>
          <w:p w14:paraId="744AD848" w14:textId="77777777" w:rsidR="00387142" w:rsidRPr="008B6A75" w:rsidRDefault="00387142" w:rsidP="00387142">
            <w:pPr>
              <w:jc w:val="center"/>
              <w:rPr>
                <w:sz w:val="20"/>
                <w:szCs w:val="20"/>
              </w:rPr>
            </w:pPr>
            <w:r w:rsidRPr="008B6A75">
              <w:rPr>
                <w:sz w:val="20"/>
                <w:szCs w:val="20"/>
              </w:rPr>
              <w:t>600</w:t>
            </w:r>
          </w:p>
        </w:tc>
        <w:tc>
          <w:tcPr>
            <w:tcW w:w="567" w:type="dxa"/>
            <w:tcBorders>
              <w:top w:val="nil"/>
              <w:left w:val="single" w:sz="4" w:space="0" w:color="auto"/>
              <w:bottom w:val="single" w:sz="4" w:space="0" w:color="auto"/>
              <w:right w:val="nil"/>
            </w:tcBorders>
            <w:shd w:val="clear" w:color="auto" w:fill="auto"/>
            <w:noWrap/>
            <w:vAlign w:val="center"/>
            <w:hideMark/>
          </w:tcPr>
          <w:p w14:paraId="7658328C" w14:textId="77777777" w:rsidR="00387142" w:rsidRPr="008B6A75" w:rsidRDefault="00387142" w:rsidP="00387142">
            <w:pPr>
              <w:jc w:val="center"/>
              <w:rPr>
                <w:sz w:val="20"/>
                <w:szCs w:val="20"/>
              </w:rPr>
            </w:pPr>
            <w:r w:rsidRPr="008B6A75">
              <w:rPr>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30982776" w14:textId="77777777" w:rsidR="00387142" w:rsidRPr="008B6A75" w:rsidRDefault="00387142" w:rsidP="00387142">
            <w:pPr>
              <w:jc w:val="center"/>
              <w:rPr>
                <w:sz w:val="20"/>
                <w:szCs w:val="20"/>
              </w:rPr>
            </w:pPr>
            <w:r w:rsidRPr="008B6A75">
              <w:rPr>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82EA46B" w14:textId="77777777" w:rsidR="00387142" w:rsidRPr="008B6A75" w:rsidRDefault="00387142" w:rsidP="00387142">
            <w:pPr>
              <w:jc w:val="right"/>
              <w:rPr>
                <w:sz w:val="20"/>
                <w:szCs w:val="20"/>
              </w:rPr>
            </w:pPr>
            <w:r w:rsidRPr="008B6A75">
              <w:rPr>
                <w:sz w:val="20"/>
                <w:szCs w:val="20"/>
              </w:rPr>
              <w:t>10 913 278,72</w:t>
            </w:r>
          </w:p>
        </w:tc>
        <w:tc>
          <w:tcPr>
            <w:tcW w:w="851" w:type="dxa"/>
            <w:tcBorders>
              <w:top w:val="nil"/>
              <w:left w:val="single" w:sz="4" w:space="0" w:color="auto"/>
              <w:bottom w:val="single" w:sz="4" w:space="0" w:color="auto"/>
              <w:right w:val="nil"/>
            </w:tcBorders>
            <w:shd w:val="clear" w:color="auto" w:fill="auto"/>
            <w:noWrap/>
            <w:vAlign w:val="center"/>
            <w:hideMark/>
          </w:tcPr>
          <w:p w14:paraId="106692D0" w14:textId="77777777" w:rsidR="00387142" w:rsidRPr="008B6A75" w:rsidRDefault="00387142" w:rsidP="00387142">
            <w:pPr>
              <w:jc w:val="right"/>
              <w:rPr>
                <w:sz w:val="20"/>
                <w:szCs w:val="20"/>
              </w:rPr>
            </w:pPr>
            <w:r w:rsidRPr="008B6A75">
              <w:rPr>
                <w:sz w:val="20"/>
                <w:szCs w:val="20"/>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4A1AE54B" w14:textId="77777777" w:rsidR="00387142" w:rsidRPr="008B6A75" w:rsidRDefault="00387142" w:rsidP="00387142">
            <w:pPr>
              <w:jc w:val="right"/>
              <w:rPr>
                <w:sz w:val="20"/>
                <w:szCs w:val="20"/>
              </w:rPr>
            </w:pPr>
            <w:r w:rsidRPr="008B6A75">
              <w:rPr>
                <w:sz w:val="20"/>
                <w:szCs w:val="20"/>
              </w:rPr>
              <w:t>0,00</w:t>
            </w:r>
          </w:p>
        </w:tc>
      </w:tr>
      <w:tr w:rsidR="00387142" w:rsidRPr="008B6A75" w14:paraId="67C73DEE" w14:textId="77777777" w:rsidTr="00387142">
        <w:trPr>
          <w:trHeight w:val="300"/>
        </w:trPr>
        <w:tc>
          <w:tcPr>
            <w:tcW w:w="272" w:type="dxa"/>
            <w:tcBorders>
              <w:top w:val="nil"/>
              <w:left w:val="nil"/>
              <w:bottom w:val="nil"/>
              <w:right w:val="single" w:sz="4" w:space="0" w:color="auto"/>
            </w:tcBorders>
            <w:shd w:val="clear" w:color="auto" w:fill="auto"/>
            <w:noWrap/>
            <w:vAlign w:val="bottom"/>
            <w:hideMark/>
          </w:tcPr>
          <w:p w14:paraId="69B73931"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3519EEA8" w14:textId="77777777" w:rsidR="00387142" w:rsidRPr="008B6A75" w:rsidRDefault="00387142" w:rsidP="00387142">
            <w:pPr>
              <w:rPr>
                <w:sz w:val="20"/>
                <w:szCs w:val="20"/>
              </w:rPr>
            </w:pPr>
            <w:r w:rsidRPr="008B6A75">
              <w:rPr>
                <w:sz w:val="20"/>
                <w:szCs w:val="20"/>
              </w:rPr>
              <w:t>Субсидии бюджетным учреждениям</w:t>
            </w:r>
          </w:p>
        </w:tc>
        <w:tc>
          <w:tcPr>
            <w:tcW w:w="1559" w:type="dxa"/>
            <w:tcBorders>
              <w:top w:val="nil"/>
              <w:left w:val="single" w:sz="4" w:space="0" w:color="auto"/>
              <w:bottom w:val="single" w:sz="4" w:space="0" w:color="auto"/>
              <w:right w:val="nil"/>
            </w:tcBorders>
            <w:shd w:val="clear" w:color="auto" w:fill="auto"/>
            <w:noWrap/>
            <w:vAlign w:val="center"/>
            <w:hideMark/>
          </w:tcPr>
          <w:p w14:paraId="3EE5856A" w14:textId="77777777" w:rsidR="00387142" w:rsidRPr="008B6A75" w:rsidRDefault="00387142" w:rsidP="00387142">
            <w:pPr>
              <w:jc w:val="center"/>
              <w:rPr>
                <w:sz w:val="20"/>
                <w:szCs w:val="20"/>
              </w:rPr>
            </w:pPr>
            <w:r w:rsidRPr="008B6A75">
              <w:rPr>
                <w:sz w:val="20"/>
                <w:szCs w:val="20"/>
              </w:rPr>
              <w:t>07.1.E1.51692</w:t>
            </w:r>
          </w:p>
        </w:tc>
        <w:tc>
          <w:tcPr>
            <w:tcW w:w="850" w:type="dxa"/>
            <w:tcBorders>
              <w:top w:val="nil"/>
              <w:left w:val="single" w:sz="4" w:space="0" w:color="auto"/>
              <w:bottom w:val="single" w:sz="4" w:space="0" w:color="auto"/>
              <w:right w:val="nil"/>
            </w:tcBorders>
            <w:shd w:val="clear" w:color="auto" w:fill="auto"/>
            <w:noWrap/>
            <w:vAlign w:val="center"/>
            <w:hideMark/>
          </w:tcPr>
          <w:p w14:paraId="063BF9F2" w14:textId="77777777" w:rsidR="00387142" w:rsidRPr="008B6A75" w:rsidRDefault="00387142" w:rsidP="00387142">
            <w:pPr>
              <w:jc w:val="center"/>
              <w:rPr>
                <w:sz w:val="20"/>
                <w:szCs w:val="20"/>
              </w:rPr>
            </w:pPr>
            <w:r w:rsidRPr="008B6A75">
              <w:rPr>
                <w:sz w:val="20"/>
                <w:szCs w:val="20"/>
              </w:rPr>
              <w:t>610</w:t>
            </w:r>
          </w:p>
        </w:tc>
        <w:tc>
          <w:tcPr>
            <w:tcW w:w="567" w:type="dxa"/>
            <w:tcBorders>
              <w:top w:val="nil"/>
              <w:left w:val="single" w:sz="4" w:space="0" w:color="auto"/>
              <w:bottom w:val="single" w:sz="4" w:space="0" w:color="auto"/>
              <w:right w:val="nil"/>
            </w:tcBorders>
            <w:shd w:val="clear" w:color="auto" w:fill="auto"/>
            <w:noWrap/>
            <w:vAlign w:val="center"/>
            <w:hideMark/>
          </w:tcPr>
          <w:p w14:paraId="45F06280" w14:textId="77777777" w:rsidR="00387142" w:rsidRPr="008B6A75" w:rsidRDefault="00387142" w:rsidP="00387142">
            <w:pPr>
              <w:jc w:val="center"/>
              <w:rPr>
                <w:sz w:val="20"/>
                <w:szCs w:val="20"/>
              </w:rPr>
            </w:pPr>
            <w:r w:rsidRPr="008B6A75">
              <w:rPr>
                <w:sz w:val="20"/>
                <w:szCs w:val="20"/>
              </w:rPr>
              <w:t>07</w:t>
            </w:r>
          </w:p>
        </w:tc>
        <w:tc>
          <w:tcPr>
            <w:tcW w:w="567" w:type="dxa"/>
            <w:tcBorders>
              <w:top w:val="nil"/>
              <w:left w:val="single" w:sz="4" w:space="0" w:color="auto"/>
              <w:bottom w:val="single" w:sz="4" w:space="0" w:color="auto"/>
              <w:right w:val="nil"/>
            </w:tcBorders>
            <w:shd w:val="clear" w:color="auto" w:fill="auto"/>
            <w:noWrap/>
            <w:vAlign w:val="center"/>
            <w:hideMark/>
          </w:tcPr>
          <w:p w14:paraId="31FF9B12" w14:textId="77777777" w:rsidR="00387142" w:rsidRPr="008B6A75" w:rsidRDefault="00387142" w:rsidP="00387142">
            <w:pPr>
              <w:jc w:val="center"/>
              <w:rPr>
                <w:sz w:val="20"/>
                <w:szCs w:val="20"/>
              </w:rPr>
            </w:pPr>
            <w:r w:rsidRPr="008B6A75">
              <w:rPr>
                <w:sz w:val="20"/>
                <w:szCs w:val="20"/>
              </w:rPr>
              <w:t>02</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5ECE1D3" w14:textId="77777777" w:rsidR="00387142" w:rsidRPr="008B6A75" w:rsidRDefault="00387142" w:rsidP="00387142">
            <w:pPr>
              <w:jc w:val="right"/>
              <w:rPr>
                <w:sz w:val="20"/>
                <w:szCs w:val="20"/>
              </w:rPr>
            </w:pPr>
            <w:r w:rsidRPr="008B6A75">
              <w:rPr>
                <w:sz w:val="20"/>
                <w:szCs w:val="20"/>
              </w:rPr>
              <w:t>10 913 278,72</w:t>
            </w:r>
          </w:p>
        </w:tc>
        <w:tc>
          <w:tcPr>
            <w:tcW w:w="851" w:type="dxa"/>
            <w:tcBorders>
              <w:top w:val="nil"/>
              <w:left w:val="single" w:sz="4" w:space="0" w:color="auto"/>
              <w:bottom w:val="single" w:sz="4" w:space="0" w:color="auto"/>
              <w:right w:val="nil"/>
            </w:tcBorders>
            <w:shd w:val="clear" w:color="auto" w:fill="auto"/>
            <w:noWrap/>
            <w:vAlign w:val="center"/>
            <w:hideMark/>
          </w:tcPr>
          <w:p w14:paraId="5BA01EC9" w14:textId="77777777" w:rsidR="00387142" w:rsidRPr="008B6A75" w:rsidRDefault="00387142" w:rsidP="00387142">
            <w:pPr>
              <w:jc w:val="right"/>
              <w:rPr>
                <w:sz w:val="20"/>
                <w:szCs w:val="20"/>
              </w:rPr>
            </w:pPr>
            <w:r w:rsidRPr="008B6A75">
              <w:rPr>
                <w:sz w:val="20"/>
                <w:szCs w:val="20"/>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28C9FBA2" w14:textId="77777777" w:rsidR="00387142" w:rsidRPr="008B6A75" w:rsidRDefault="00387142" w:rsidP="00387142">
            <w:pPr>
              <w:jc w:val="right"/>
              <w:rPr>
                <w:sz w:val="20"/>
                <w:szCs w:val="20"/>
              </w:rPr>
            </w:pPr>
            <w:r w:rsidRPr="008B6A75">
              <w:rPr>
                <w:sz w:val="20"/>
                <w:szCs w:val="20"/>
              </w:rPr>
              <w:t>0,00</w:t>
            </w:r>
          </w:p>
        </w:tc>
      </w:tr>
      <w:tr w:rsidR="00387142" w:rsidRPr="008B6A75" w14:paraId="21B74E70" w14:textId="77777777" w:rsidTr="00387142">
        <w:trPr>
          <w:trHeight w:val="2010"/>
        </w:trPr>
        <w:tc>
          <w:tcPr>
            <w:tcW w:w="272" w:type="dxa"/>
            <w:tcBorders>
              <w:top w:val="nil"/>
              <w:left w:val="nil"/>
              <w:bottom w:val="nil"/>
              <w:right w:val="single" w:sz="4" w:space="0" w:color="auto"/>
            </w:tcBorders>
            <w:shd w:val="clear" w:color="auto" w:fill="auto"/>
            <w:noWrap/>
            <w:vAlign w:val="bottom"/>
            <w:hideMark/>
          </w:tcPr>
          <w:p w14:paraId="619FC99F"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4A06C3C2" w14:textId="77777777" w:rsidR="00387142" w:rsidRPr="008B6A75" w:rsidRDefault="00387142" w:rsidP="00387142">
            <w:pPr>
              <w:rPr>
                <w:bCs/>
                <w:sz w:val="20"/>
                <w:szCs w:val="20"/>
              </w:rPr>
            </w:pPr>
            <w:r w:rsidRPr="008B6A75">
              <w:rPr>
                <w:bCs/>
                <w:sz w:val="20"/>
                <w:szCs w:val="20"/>
              </w:rPr>
              <w:t>Создание центров цифрового образования детей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(оснащение центров IT-куб)</w:t>
            </w:r>
          </w:p>
        </w:tc>
        <w:tc>
          <w:tcPr>
            <w:tcW w:w="1559" w:type="dxa"/>
            <w:tcBorders>
              <w:top w:val="nil"/>
              <w:left w:val="single" w:sz="4" w:space="0" w:color="auto"/>
              <w:bottom w:val="single" w:sz="4" w:space="0" w:color="auto"/>
              <w:right w:val="nil"/>
            </w:tcBorders>
            <w:shd w:val="clear" w:color="auto" w:fill="auto"/>
            <w:noWrap/>
            <w:vAlign w:val="center"/>
            <w:hideMark/>
          </w:tcPr>
          <w:p w14:paraId="0090D201" w14:textId="77777777" w:rsidR="00387142" w:rsidRPr="008B6A75" w:rsidRDefault="00387142" w:rsidP="00387142">
            <w:pPr>
              <w:jc w:val="center"/>
              <w:rPr>
                <w:bCs/>
                <w:sz w:val="20"/>
                <w:szCs w:val="20"/>
              </w:rPr>
            </w:pPr>
            <w:r w:rsidRPr="008B6A75">
              <w:rPr>
                <w:bCs/>
                <w:sz w:val="20"/>
                <w:szCs w:val="20"/>
              </w:rPr>
              <w:t>07.1.E4.00000</w:t>
            </w:r>
          </w:p>
        </w:tc>
        <w:tc>
          <w:tcPr>
            <w:tcW w:w="850" w:type="dxa"/>
            <w:tcBorders>
              <w:top w:val="nil"/>
              <w:left w:val="single" w:sz="4" w:space="0" w:color="auto"/>
              <w:bottom w:val="single" w:sz="4" w:space="0" w:color="auto"/>
              <w:right w:val="nil"/>
            </w:tcBorders>
            <w:shd w:val="clear" w:color="auto" w:fill="auto"/>
            <w:noWrap/>
            <w:vAlign w:val="center"/>
            <w:hideMark/>
          </w:tcPr>
          <w:p w14:paraId="4ED532C0" w14:textId="77777777" w:rsidR="00387142" w:rsidRPr="008B6A75" w:rsidRDefault="00387142" w:rsidP="00387142">
            <w:pPr>
              <w:jc w:val="center"/>
              <w:rPr>
                <w:bCs/>
                <w:sz w:val="20"/>
                <w:szCs w:val="20"/>
              </w:rPr>
            </w:pPr>
            <w:r w:rsidRPr="008B6A75">
              <w:rPr>
                <w:bCs/>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6408C70A" w14:textId="77777777" w:rsidR="00387142" w:rsidRPr="008B6A75" w:rsidRDefault="00387142" w:rsidP="00387142">
            <w:pPr>
              <w:jc w:val="center"/>
              <w:rPr>
                <w:bCs/>
                <w:sz w:val="20"/>
                <w:szCs w:val="20"/>
              </w:rPr>
            </w:pPr>
            <w:r w:rsidRPr="008B6A75">
              <w:rPr>
                <w:bCs/>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3FC8C764" w14:textId="77777777" w:rsidR="00387142" w:rsidRPr="008B6A75" w:rsidRDefault="00387142" w:rsidP="00387142">
            <w:pPr>
              <w:jc w:val="center"/>
              <w:rPr>
                <w:bCs/>
                <w:sz w:val="20"/>
                <w:szCs w:val="20"/>
              </w:rPr>
            </w:pPr>
            <w:r w:rsidRPr="008B6A75">
              <w:rPr>
                <w:bCs/>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4960B5E" w14:textId="77777777" w:rsidR="00387142" w:rsidRPr="008B6A75" w:rsidRDefault="00387142" w:rsidP="00387142">
            <w:pPr>
              <w:jc w:val="right"/>
              <w:rPr>
                <w:bCs/>
                <w:sz w:val="20"/>
                <w:szCs w:val="20"/>
              </w:rPr>
            </w:pPr>
            <w:r w:rsidRPr="008B6A75">
              <w:rPr>
                <w:bCs/>
                <w:sz w:val="20"/>
                <w:szCs w:val="20"/>
              </w:rPr>
              <w:t>0,00</w:t>
            </w:r>
          </w:p>
        </w:tc>
        <w:tc>
          <w:tcPr>
            <w:tcW w:w="851" w:type="dxa"/>
            <w:tcBorders>
              <w:top w:val="nil"/>
              <w:left w:val="single" w:sz="4" w:space="0" w:color="auto"/>
              <w:bottom w:val="single" w:sz="4" w:space="0" w:color="auto"/>
              <w:right w:val="nil"/>
            </w:tcBorders>
            <w:shd w:val="clear" w:color="auto" w:fill="auto"/>
            <w:noWrap/>
            <w:vAlign w:val="center"/>
            <w:hideMark/>
          </w:tcPr>
          <w:p w14:paraId="5B3EC5ED" w14:textId="77777777" w:rsidR="00387142" w:rsidRPr="008B6A75" w:rsidRDefault="00387142" w:rsidP="00387142">
            <w:pPr>
              <w:jc w:val="right"/>
              <w:rPr>
                <w:bCs/>
                <w:sz w:val="20"/>
                <w:szCs w:val="20"/>
              </w:rPr>
            </w:pPr>
            <w:r w:rsidRPr="008B6A75">
              <w:rPr>
                <w:bCs/>
                <w:sz w:val="20"/>
                <w:szCs w:val="20"/>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123BF875" w14:textId="77777777" w:rsidR="00387142" w:rsidRPr="008B6A75" w:rsidRDefault="00387142" w:rsidP="00387142">
            <w:pPr>
              <w:jc w:val="right"/>
              <w:rPr>
                <w:bCs/>
                <w:sz w:val="20"/>
                <w:szCs w:val="20"/>
              </w:rPr>
            </w:pPr>
            <w:r w:rsidRPr="008B6A75">
              <w:rPr>
                <w:bCs/>
                <w:sz w:val="20"/>
                <w:szCs w:val="20"/>
              </w:rPr>
              <w:t>45 114 200,00</w:t>
            </w:r>
          </w:p>
        </w:tc>
      </w:tr>
      <w:tr w:rsidR="00387142" w:rsidRPr="008B6A75" w14:paraId="0749171E" w14:textId="77777777" w:rsidTr="00387142">
        <w:trPr>
          <w:trHeight w:val="2010"/>
        </w:trPr>
        <w:tc>
          <w:tcPr>
            <w:tcW w:w="272" w:type="dxa"/>
            <w:tcBorders>
              <w:top w:val="nil"/>
              <w:left w:val="nil"/>
              <w:bottom w:val="nil"/>
              <w:right w:val="single" w:sz="4" w:space="0" w:color="auto"/>
            </w:tcBorders>
            <w:shd w:val="clear" w:color="auto" w:fill="auto"/>
            <w:noWrap/>
            <w:vAlign w:val="bottom"/>
            <w:hideMark/>
          </w:tcPr>
          <w:p w14:paraId="1048DF6E"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56B0300A" w14:textId="77777777" w:rsidR="00387142" w:rsidRPr="008B6A75" w:rsidRDefault="00387142" w:rsidP="00387142">
            <w:pPr>
              <w:rPr>
                <w:bCs/>
                <w:sz w:val="20"/>
                <w:szCs w:val="20"/>
              </w:rPr>
            </w:pPr>
            <w:r w:rsidRPr="008B6A75">
              <w:rPr>
                <w:bCs/>
                <w:sz w:val="20"/>
                <w:szCs w:val="20"/>
              </w:rPr>
              <w:t>Создание центров цифрового образования детей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(оснащение центров IT-куб)</w:t>
            </w:r>
          </w:p>
        </w:tc>
        <w:tc>
          <w:tcPr>
            <w:tcW w:w="1559" w:type="dxa"/>
            <w:tcBorders>
              <w:top w:val="nil"/>
              <w:left w:val="single" w:sz="4" w:space="0" w:color="auto"/>
              <w:bottom w:val="single" w:sz="4" w:space="0" w:color="auto"/>
              <w:right w:val="nil"/>
            </w:tcBorders>
            <w:shd w:val="clear" w:color="auto" w:fill="auto"/>
            <w:noWrap/>
            <w:vAlign w:val="center"/>
            <w:hideMark/>
          </w:tcPr>
          <w:p w14:paraId="402FC880" w14:textId="77777777" w:rsidR="00387142" w:rsidRPr="008B6A75" w:rsidRDefault="00387142" w:rsidP="00387142">
            <w:pPr>
              <w:jc w:val="center"/>
              <w:rPr>
                <w:bCs/>
                <w:sz w:val="20"/>
                <w:szCs w:val="20"/>
              </w:rPr>
            </w:pPr>
            <w:r w:rsidRPr="008B6A75">
              <w:rPr>
                <w:bCs/>
                <w:sz w:val="20"/>
                <w:szCs w:val="20"/>
              </w:rPr>
              <w:t>07.1.E4.52191</w:t>
            </w:r>
          </w:p>
        </w:tc>
        <w:tc>
          <w:tcPr>
            <w:tcW w:w="850" w:type="dxa"/>
            <w:tcBorders>
              <w:top w:val="nil"/>
              <w:left w:val="single" w:sz="4" w:space="0" w:color="auto"/>
              <w:bottom w:val="single" w:sz="4" w:space="0" w:color="auto"/>
              <w:right w:val="nil"/>
            </w:tcBorders>
            <w:shd w:val="clear" w:color="auto" w:fill="auto"/>
            <w:noWrap/>
            <w:vAlign w:val="center"/>
            <w:hideMark/>
          </w:tcPr>
          <w:p w14:paraId="042B9A50" w14:textId="77777777" w:rsidR="00387142" w:rsidRPr="008B6A75" w:rsidRDefault="00387142" w:rsidP="00387142">
            <w:pPr>
              <w:jc w:val="center"/>
              <w:rPr>
                <w:bCs/>
                <w:sz w:val="20"/>
                <w:szCs w:val="20"/>
              </w:rPr>
            </w:pPr>
            <w:r w:rsidRPr="008B6A75">
              <w:rPr>
                <w:bCs/>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17CBB14D" w14:textId="77777777" w:rsidR="00387142" w:rsidRPr="008B6A75" w:rsidRDefault="00387142" w:rsidP="00387142">
            <w:pPr>
              <w:jc w:val="center"/>
              <w:rPr>
                <w:bCs/>
                <w:sz w:val="20"/>
                <w:szCs w:val="20"/>
              </w:rPr>
            </w:pPr>
            <w:r w:rsidRPr="008B6A75">
              <w:rPr>
                <w:bCs/>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7C5DA053" w14:textId="77777777" w:rsidR="00387142" w:rsidRPr="008B6A75" w:rsidRDefault="00387142" w:rsidP="00387142">
            <w:pPr>
              <w:jc w:val="center"/>
              <w:rPr>
                <w:bCs/>
                <w:sz w:val="20"/>
                <w:szCs w:val="20"/>
              </w:rPr>
            </w:pPr>
            <w:r w:rsidRPr="008B6A75">
              <w:rPr>
                <w:bCs/>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EDC89B0" w14:textId="77777777" w:rsidR="00387142" w:rsidRPr="008B6A75" w:rsidRDefault="00387142" w:rsidP="00387142">
            <w:pPr>
              <w:jc w:val="right"/>
              <w:rPr>
                <w:bCs/>
                <w:sz w:val="20"/>
                <w:szCs w:val="20"/>
              </w:rPr>
            </w:pPr>
            <w:r w:rsidRPr="008B6A75">
              <w:rPr>
                <w:bCs/>
                <w:sz w:val="20"/>
                <w:szCs w:val="20"/>
              </w:rPr>
              <w:t>0,00</w:t>
            </w:r>
          </w:p>
        </w:tc>
        <w:tc>
          <w:tcPr>
            <w:tcW w:w="851" w:type="dxa"/>
            <w:tcBorders>
              <w:top w:val="nil"/>
              <w:left w:val="single" w:sz="4" w:space="0" w:color="auto"/>
              <w:bottom w:val="single" w:sz="4" w:space="0" w:color="auto"/>
              <w:right w:val="nil"/>
            </w:tcBorders>
            <w:shd w:val="clear" w:color="auto" w:fill="auto"/>
            <w:noWrap/>
            <w:vAlign w:val="center"/>
            <w:hideMark/>
          </w:tcPr>
          <w:p w14:paraId="5D9AF064" w14:textId="77777777" w:rsidR="00387142" w:rsidRPr="008B6A75" w:rsidRDefault="00387142" w:rsidP="00387142">
            <w:pPr>
              <w:jc w:val="right"/>
              <w:rPr>
                <w:bCs/>
                <w:sz w:val="20"/>
                <w:szCs w:val="20"/>
              </w:rPr>
            </w:pPr>
            <w:r w:rsidRPr="008B6A75">
              <w:rPr>
                <w:bCs/>
                <w:sz w:val="20"/>
                <w:szCs w:val="20"/>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1C0502CC" w14:textId="77777777" w:rsidR="00387142" w:rsidRPr="008B6A75" w:rsidRDefault="00387142" w:rsidP="00387142">
            <w:pPr>
              <w:jc w:val="right"/>
              <w:rPr>
                <w:bCs/>
                <w:sz w:val="20"/>
                <w:szCs w:val="20"/>
              </w:rPr>
            </w:pPr>
            <w:r w:rsidRPr="008B6A75">
              <w:rPr>
                <w:bCs/>
                <w:sz w:val="20"/>
                <w:szCs w:val="20"/>
              </w:rPr>
              <w:t>21 412 900,00</w:t>
            </w:r>
          </w:p>
        </w:tc>
      </w:tr>
      <w:tr w:rsidR="00387142" w:rsidRPr="008B6A75" w14:paraId="10C78113" w14:textId="77777777" w:rsidTr="00387142">
        <w:trPr>
          <w:trHeight w:val="870"/>
        </w:trPr>
        <w:tc>
          <w:tcPr>
            <w:tcW w:w="272" w:type="dxa"/>
            <w:tcBorders>
              <w:top w:val="nil"/>
              <w:left w:val="nil"/>
              <w:bottom w:val="nil"/>
              <w:right w:val="single" w:sz="4" w:space="0" w:color="auto"/>
            </w:tcBorders>
            <w:shd w:val="clear" w:color="auto" w:fill="auto"/>
            <w:noWrap/>
            <w:vAlign w:val="bottom"/>
            <w:hideMark/>
          </w:tcPr>
          <w:p w14:paraId="1A08868F"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541ED951" w14:textId="77777777" w:rsidR="00387142" w:rsidRPr="008B6A75" w:rsidRDefault="00387142" w:rsidP="00387142">
            <w:pPr>
              <w:rPr>
                <w:sz w:val="20"/>
                <w:szCs w:val="20"/>
              </w:rPr>
            </w:pPr>
            <w:r w:rsidRPr="008B6A75">
              <w:rPr>
                <w:sz w:val="20"/>
                <w:szCs w:val="20"/>
              </w:rPr>
              <w:t>Предоставление субсидий бюджетным, автономным учреждениям и иным некоммерческим организациям</w:t>
            </w:r>
          </w:p>
        </w:tc>
        <w:tc>
          <w:tcPr>
            <w:tcW w:w="1559" w:type="dxa"/>
            <w:tcBorders>
              <w:top w:val="nil"/>
              <w:left w:val="single" w:sz="4" w:space="0" w:color="auto"/>
              <w:bottom w:val="single" w:sz="4" w:space="0" w:color="auto"/>
              <w:right w:val="nil"/>
            </w:tcBorders>
            <w:shd w:val="clear" w:color="auto" w:fill="auto"/>
            <w:noWrap/>
            <w:vAlign w:val="center"/>
            <w:hideMark/>
          </w:tcPr>
          <w:p w14:paraId="3E83C933" w14:textId="77777777" w:rsidR="00387142" w:rsidRPr="008B6A75" w:rsidRDefault="00387142" w:rsidP="00387142">
            <w:pPr>
              <w:jc w:val="center"/>
              <w:rPr>
                <w:sz w:val="20"/>
                <w:szCs w:val="20"/>
              </w:rPr>
            </w:pPr>
            <w:r w:rsidRPr="008B6A75">
              <w:rPr>
                <w:sz w:val="20"/>
                <w:szCs w:val="20"/>
              </w:rPr>
              <w:t>07.1.E4.52191</w:t>
            </w:r>
          </w:p>
        </w:tc>
        <w:tc>
          <w:tcPr>
            <w:tcW w:w="850" w:type="dxa"/>
            <w:tcBorders>
              <w:top w:val="nil"/>
              <w:left w:val="single" w:sz="4" w:space="0" w:color="auto"/>
              <w:bottom w:val="single" w:sz="4" w:space="0" w:color="auto"/>
              <w:right w:val="nil"/>
            </w:tcBorders>
            <w:shd w:val="clear" w:color="auto" w:fill="auto"/>
            <w:noWrap/>
            <w:vAlign w:val="center"/>
            <w:hideMark/>
          </w:tcPr>
          <w:p w14:paraId="60CA7C06" w14:textId="77777777" w:rsidR="00387142" w:rsidRPr="008B6A75" w:rsidRDefault="00387142" w:rsidP="00387142">
            <w:pPr>
              <w:jc w:val="center"/>
              <w:rPr>
                <w:sz w:val="20"/>
                <w:szCs w:val="20"/>
              </w:rPr>
            </w:pPr>
            <w:r w:rsidRPr="008B6A75">
              <w:rPr>
                <w:sz w:val="20"/>
                <w:szCs w:val="20"/>
              </w:rPr>
              <w:t>600</w:t>
            </w:r>
          </w:p>
        </w:tc>
        <w:tc>
          <w:tcPr>
            <w:tcW w:w="567" w:type="dxa"/>
            <w:tcBorders>
              <w:top w:val="nil"/>
              <w:left w:val="single" w:sz="4" w:space="0" w:color="auto"/>
              <w:bottom w:val="single" w:sz="4" w:space="0" w:color="auto"/>
              <w:right w:val="nil"/>
            </w:tcBorders>
            <w:shd w:val="clear" w:color="auto" w:fill="auto"/>
            <w:noWrap/>
            <w:vAlign w:val="center"/>
            <w:hideMark/>
          </w:tcPr>
          <w:p w14:paraId="5304CB7E" w14:textId="77777777" w:rsidR="00387142" w:rsidRPr="008B6A75" w:rsidRDefault="00387142" w:rsidP="00387142">
            <w:pPr>
              <w:jc w:val="center"/>
              <w:rPr>
                <w:sz w:val="20"/>
                <w:szCs w:val="20"/>
              </w:rPr>
            </w:pPr>
            <w:r w:rsidRPr="008B6A75">
              <w:rPr>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79FF8E64" w14:textId="77777777" w:rsidR="00387142" w:rsidRPr="008B6A75" w:rsidRDefault="00387142" w:rsidP="00387142">
            <w:pPr>
              <w:jc w:val="center"/>
              <w:rPr>
                <w:sz w:val="20"/>
                <w:szCs w:val="20"/>
              </w:rPr>
            </w:pPr>
            <w:r w:rsidRPr="008B6A75">
              <w:rPr>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C068890" w14:textId="77777777" w:rsidR="00387142" w:rsidRPr="008B6A75" w:rsidRDefault="00387142" w:rsidP="00387142">
            <w:pPr>
              <w:jc w:val="right"/>
              <w:rPr>
                <w:sz w:val="20"/>
                <w:szCs w:val="20"/>
              </w:rPr>
            </w:pPr>
            <w:r w:rsidRPr="008B6A75">
              <w:rPr>
                <w:sz w:val="20"/>
                <w:szCs w:val="20"/>
              </w:rPr>
              <w:t>0,00</w:t>
            </w:r>
          </w:p>
        </w:tc>
        <w:tc>
          <w:tcPr>
            <w:tcW w:w="851" w:type="dxa"/>
            <w:tcBorders>
              <w:top w:val="nil"/>
              <w:left w:val="single" w:sz="4" w:space="0" w:color="auto"/>
              <w:bottom w:val="single" w:sz="4" w:space="0" w:color="auto"/>
              <w:right w:val="nil"/>
            </w:tcBorders>
            <w:shd w:val="clear" w:color="auto" w:fill="auto"/>
            <w:noWrap/>
            <w:vAlign w:val="center"/>
            <w:hideMark/>
          </w:tcPr>
          <w:p w14:paraId="01B1EE6F" w14:textId="77777777" w:rsidR="00387142" w:rsidRPr="008B6A75" w:rsidRDefault="00387142" w:rsidP="00387142">
            <w:pPr>
              <w:jc w:val="right"/>
              <w:rPr>
                <w:sz w:val="20"/>
                <w:szCs w:val="20"/>
              </w:rPr>
            </w:pPr>
            <w:r w:rsidRPr="008B6A75">
              <w:rPr>
                <w:sz w:val="20"/>
                <w:szCs w:val="20"/>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2214BDF1" w14:textId="77777777" w:rsidR="00387142" w:rsidRPr="008B6A75" w:rsidRDefault="00387142" w:rsidP="00387142">
            <w:pPr>
              <w:jc w:val="right"/>
              <w:rPr>
                <w:sz w:val="20"/>
                <w:szCs w:val="20"/>
              </w:rPr>
            </w:pPr>
            <w:r w:rsidRPr="008B6A75">
              <w:rPr>
                <w:sz w:val="20"/>
                <w:szCs w:val="20"/>
              </w:rPr>
              <w:t>21 412 900,00</w:t>
            </w:r>
          </w:p>
        </w:tc>
      </w:tr>
      <w:tr w:rsidR="00387142" w:rsidRPr="008B6A75" w14:paraId="6CF6A163" w14:textId="77777777" w:rsidTr="00387142">
        <w:trPr>
          <w:trHeight w:val="300"/>
        </w:trPr>
        <w:tc>
          <w:tcPr>
            <w:tcW w:w="272" w:type="dxa"/>
            <w:tcBorders>
              <w:top w:val="nil"/>
              <w:left w:val="nil"/>
              <w:bottom w:val="nil"/>
              <w:right w:val="single" w:sz="4" w:space="0" w:color="auto"/>
            </w:tcBorders>
            <w:shd w:val="clear" w:color="auto" w:fill="auto"/>
            <w:noWrap/>
            <w:vAlign w:val="bottom"/>
            <w:hideMark/>
          </w:tcPr>
          <w:p w14:paraId="50AF7B0F"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7710E163" w14:textId="77777777" w:rsidR="00387142" w:rsidRPr="008B6A75" w:rsidRDefault="00387142" w:rsidP="00387142">
            <w:pPr>
              <w:rPr>
                <w:sz w:val="20"/>
                <w:szCs w:val="20"/>
              </w:rPr>
            </w:pPr>
            <w:r w:rsidRPr="008B6A75">
              <w:rPr>
                <w:sz w:val="20"/>
                <w:szCs w:val="20"/>
              </w:rPr>
              <w:t>Субсидии бюджетным учреждениям</w:t>
            </w:r>
          </w:p>
        </w:tc>
        <w:tc>
          <w:tcPr>
            <w:tcW w:w="1559" w:type="dxa"/>
            <w:tcBorders>
              <w:top w:val="nil"/>
              <w:left w:val="single" w:sz="4" w:space="0" w:color="auto"/>
              <w:bottom w:val="single" w:sz="4" w:space="0" w:color="auto"/>
              <w:right w:val="nil"/>
            </w:tcBorders>
            <w:shd w:val="clear" w:color="auto" w:fill="auto"/>
            <w:noWrap/>
            <w:vAlign w:val="center"/>
            <w:hideMark/>
          </w:tcPr>
          <w:p w14:paraId="5DA3853B" w14:textId="77777777" w:rsidR="00387142" w:rsidRPr="008B6A75" w:rsidRDefault="00387142" w:rsidP="00387142">
            <w:pPr>
              <w:jc w:val="center"/>
              <w:rPr>
                <w:sz w:val="20"/>
                <w:szCs w:val="20"/>
              </w:rPr>
            </w:pPr>
            <w:r w:rsidRPr="008B6A75">
              <w:rPr>
                <w:sz w:val="20"/>
                <w:szCs w:val="20"/>
              </w:rPr>
              <w:t>07.1.E4.52191</w:t>
            </w:r>
          </w:p>
        </w:tc>
        <w:tc>
          <w:tcPr>
            <w:tcW w:w="850" w:type="dxa"/>
            <w:tcBorders>
              <w:top w:val="nil"/>
              <w:left w:val="single" w:sz="4" w:space="0" w:color="auto"/>
              <w:bottom w:val="single" w:sz="4" w:space="0" w:color="auto"/>
              <w:right w:val="nil"/>
            </w:tcBorders>
            <w:shd w:val="clear" w:color="auto" w:fill="auto"/>
            <w:noWrap/>
            <w:vAlign w:val="center"/>
            <w:hideMark/>
          </w:tcPr>
          <w:p w14:paraId="653B026C" w14:textId="77777777" w:rsidR="00387142" w:rsidRPr="008B6A75" w:rsidRDefault="00387142" w:rsidP="00387142">
            <w:pPr>
              <w:jc w:val="center"/>
              <w:rPr>
                <w:sz w:val="20"/>
                <w:szCs w:val="20"/>
              </w:rPr>
            </w:pPr>
            <w:r w:rsidRPr="008B6A75">
              <w:rPr>
                <w:sz w:val="20"/>
                <w:szCs w:val="20"/>
              </w:rPr>
              <w:t>610</w:t>
            </w:r>
          </w:p>
        </w:tc>
        <w:tc>
          <w:tcPr>
            <w:tcW w:w="567" w:type="dxa"/>
            <w:tcBorders>
              <w:top w:val="nil"/>
              <w:left w:val="single" w:sz="4" w:space="0" w:color="auto"/>
              <w:bottom w:val="single" w:sz="4" w:space="0" w:color="auto"/>
              <w:right w:val="nil"/>
            </w:tcBorders>
            <w:shd w:val="clear" w:color="auto" w:fill="auto"/>
            <w:noWrap/>
            <w:vAlign w:val="center"/>
            <w:hideMark/>
          </w:tcPr>
          <w:p w14:paraId="23D8C8D8" w14:textId="77777777" w:rsidR="00387142" w:rsidRPr="008B6A75" w:rsidRDefault="00387142" w:rsidP="00387142">
            <w:pPr>
              <w:jc w:val="center"/>
              <w:rPr>
                <w:sz w:val="20"/>
                <w:szCs w:val="20"/>
              </w:rPr>
            </w:pPr>
            <w:r w:rsidRPr="008B6A75">
              <w:rPr>
                <w:sz w:val="20"/>
                <w:szCs w:val="20"/>
              </w:rPr>
              <w:t>07</w:t>
            </w:r>
          </w:p>
        </w:tc>
        <w:tc>
          <w:tcPr>
            <w:tcW w:w="567" w:type="dxa"/>
            <w:tcBorders>
              <w:top w:val="nil"/>
              <w:left w:val="single" w:sz="4" w:space="0" w:color="auto"/>
              <w:bottom w:val="single" w:sz="4" w:space="0" w:color="auto"/>
              <w:right w:val="nil"/>
            </w:tcBorders>
            <w:shd w:val="clear" w:color="auto" w:fill="auto"/>
            <w:noWrap/>
            <w:vAlign w:val="center"/>
            <w:hideMark/>
          </w:tcPr>
          <w:p w14:paraId="4E9DD79E" w14:textId="77777777" w:rsidR="00387142" w:rsidRPr="008B6A75" w:rsidRDefault="00387142" w:rsidP="00387142">
            <w:pPr>
              <w:jc w:val="center"/>
              <w:rPr>
                <w:sz w:val="20"/>
                <w:szCs w:val="20"/>
              </w:rPr>
            </w:pPr>
            <w:r w:rsidRPr="008B6A75">
              <w:rPr>
                <w:sz w:val="20"/>
                <w:szCs w:val="20"/>
              </w:rPr>
              <w:t>03</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8659760" w14:textId="77777777" w:rsidR="00387142" w:rsidRPr="008B6A75" w:rsidRDefault="00387142" w:rsidP="00387142">
            <w:pPr>
              <w:jc w:val="right"/>
              <w:rPr>
                <w:sz w:val="20"/>
                <w:szCs w:val="20"/>
              </w:rPr>
            </w:pPr>
            <w:r w:rsidRPr="008B6A75">
              <w:rPr>
                <w:sz w:val="20"/>
                <w:szCs w:val="20"/>
              </w:rPr>
              <w:t>0,00</w:t>
            </w:r>
          </w:p>
        </w:tc>
        <w:tc>
          <w:tcPr>
            <w:tcW w:w="851" w:type="dxa"/>
            <w:tcBorders>
              <w:top w:val="nil"/>
              <w:left w:val="single" w:sz="4" w:space="0" w:color="auto"/>
              <w:bottom w:val="single" w:sz="4" w:space="0" w:color="auto"/>
              <w:right w:val="nil"/>
            </w:tcBorders>
            <w:shd w:val="clear" w:color="auto" w:fill="auto"/>
            <w:noWrap/>
            <w:vAlign w:val="center"/>
            <w:hideMark/>
          </w:tcPr>
          <w:p w14:paraId="0C6D0296" w14:textId="77777777" w:rsidR="00387142" w:rsidRPr="008B6A75" w:rsidRDefault="00387142" w:rsidP="00387142">
            <w:pPr>
              <w:jc w:val="right"/>
              <w:rPr>
                <w:sz w:val="20"/>
                <w:szCs w:val="20"/>
              </w:rPr>
            </w:pPr>
            <w:r w:rsidRPr="008B6A75">
              <w:rPr>
                <w:sz w:val="20"/>
                <w:szCs w:val="20"/>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4D08FD9F" w14:textId="77777777" w:rsidR="00387142" w:rsidRPr="008B6A75" w:rsidRDefault="00387142" w:rsidP="00387142">
            <w:pPr>
              <w:jc w:val="right"/>
              <w:rPr>
                <w:sz w:val="20"/>
                <w:szCs w:val="20"/>
              </w:rPr>
            </w:pPr>
            <w:r w:rsidRPr="008B6A75">
              <w:rPr>
                <w:sz w:val="20"/>
                <w:szCs w:val="20"/>
              </w:rPr>
              <w:t>21 412 900,00</w:t>
            </w:r>
          </w:p>
        </w:tc>
      </w:tr>
      <w:tr w:rsidR="00387142" w:rsidRPr="008B6A75" w14:paraId="5DC71A7B" w14:textId="77777777" w:rsidTr="00387142">
        <w:trPr>
          <w:trHeight w:val="2010"/>
        </w:trPr>
        <w:tc>
          <w:tcPr>
            <w:tcW w:w="272" w:type="dxa"/>
            <w:tcBorders>
              <w:top w:val="nil"/>
              <w:left w:val="nil"/>
              <w:bottom w:val="nil"/>
              <w:right w:val="single" w:sz="4" w:space="0" w:color="auto"/>
            </w:tcBorders>
            <w:shd w:val="clear" w:color="auto" w:fill="auto"/>
            <w:noWrap/>
            <w:vAlign w:val="bottom"/>
            <w:hideMark/>
          </w:tcPr>
          <w:p w14:paraId="4C9A50FE"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57220E31" w14:textId="77777777" w:rsidR="00387142" w:rsidRPr="008B6A75" w:rsidRDefault="00387142" w:rsidP="00387142">
            <w:pPr>
              <w:rPr>
                <w:bCs/>
                <w:sz w:val="20"/>
                <w:szCs w:val="20"/>
              </w:rPr>
            </w:pPr>
            <w:r w:rsidRPr="008B6A75">
              <w:rPr>
                <w:bCs/>
                <w:sz w:val="20"/>
                <w:szCs w:val="20"/>
              </w:rPr>
              <w:t>Создание центров цифрового образования детей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w:t>
            </w:r>
            <w:proofErr w:type="spellStart"/>
            <w:r w:rsidRPr="008B6A75">
              <w:rPr>
                <w:bCs/>
                <w:sz w:val="20"/>
                <w:szCs w:val="20"/>
              </w:rPr>
              <w:t>брендирование</w:t>
            </w:r>
            <w:proofErr w:type="spellEnd"/>
            <w:r w:rsidRPr="008B6A75">
              <w:rPr>
                <w:bCs/>
                <w:sz w:val="20"/>
                <w:szCs w:val="20"/>
              </w:rPr>
              <w:t xml:space="preserve"> центров IT-куб)</w:t>
            </w:r>
          </w:p>
        </w:tc>
        <w:tc>
          <w:tcPr>
            <w:tcW w:w="1559" w:type="dxa"/>
            <w:tcBorders>
              <w:top w:val="nil"/>
              <w:left w:val="single" w:sz="4" w:space="0" w:color="auto"/>
              <w:bottom w:val="single" w:sz="4" w:space="0" w:color="auto"/>
              <w:right w:val="nil"/>
            </w:tcBorders>
            <w:shd w:val="clear" w:color="auto" w:fill="auto"/>
            <w:noWrap/>
            <w:vAlign w:val="center"/>
            <w:hideMark/>
          </w:tcPr>
          <w:p w14:paraId="5087598C" w14:textId="77777777" w:rsidR="00387142" w:rsidRPr="008B6A75" w:rsidRDefault="00387142" w:rsidP="00387142">
            <w:pPr>
              <w:jc w:val="center"/>
              <w:rPr>
                <w:bCs/>
                <w:sz w:val="20"/>
                <w:szCs w:val="20"/>
              </w:rPr>
            </w:pPr>
            <w:r w:rsidRPr="008B6A75">
              <w:rPr>
                <w:bCs/>
                <w:sz w:val="20"/>
                <w:szCs w:val="20"/>
              </w:rPr>
              <w:t>07.1.E4.52192</w:t>
            </w:r>
          </w:p>
        </w:tc>
        <w:tc>
          <w:tcPr>
            <w:tcW w:w="850" w:type="dxa"/>
            <w:tcBorders>
              <w:top w:val="nil"/>
              <w:left w:val="single" w:sz="4" w:space="0" w:color="auto"/>
              <w:bottom w:val="single" w:sz="4" w:space="0" w:color="auto"/>
              <w:right w:val="nil"/>
            </w:tcBorders>
            <w:shd w:val="clear" w:color="auto" w:fill="auto"/>
            <w:noWrap/>
            <w:vAlign w:val="center"/>
            <w:hideMark/>
          </w:tcPr>
          <w:p w14:paraId="73833157" w14:textId="77777777" w:rsidR="00387142" w:rsidRPr="008B6A75" w:rsidRDefault="00387142" w:rsidP="00387142">
            <w:pPr>
              <w:jc w:val="center"/>
              <w:rPr>
                <w:bCs/>
                <w:sz w:val="20"/>
                <w:szCs w:val="20"/>
              </w:rPr>
            </w:pPr>
            <w:r w:rsidRPr="008B6A75">
              <w:rPr>
                <w:bCs/>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0B08BC83" w14:textId="77777777" w:rsidR="00387142" w:rsidRPr="008B6A75" w:rsidRDefault="00387142" w:rsidP="00387142">
            <w:pPr>
              <w:jc w:val="center"/>
              <w:rPr>
                <w:bCs/>
                <w:sz w:val="20"/>
                <w:szCs w:val="20"/>
              </w:rPr>
            </w:pPr>
            <w:r w:rsidRPr="008B6A75">
              <w:rPr>
                <w:bCs/>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6934A243" w14:textId="77777777" w:rsidR="00387142" w:rsidRPr="008B6A75" w:rsidRDefault="00387142" w:rsidP="00387142">
            <w:pPr>
              <w:jc w:val="center"/>
              <w:rPr>
                <w:bCs/>
                <w:sz w:val="20"/>
                <w:szCs w:val="20"/>
              </w:rPr>
            </w:pPr>
            <w:r w:rsidRPr="008B6A75">
              <w:rPr>
                <w:bCs/>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341D8C8" w14:textId="77777777" w:rsidR="00387142" w:rsidRPr="008B6A75" w:rsidRDefault="00387142" w:rsidP="00387142">
            <w:pPr>
              <w:jc w:val="right"/>
              <w:rPr>
                <w:bCs/>
                <w:sz w:val="20"/>
                <w:szCs w:val="20"/>
              </w:rPr>
            </w:pPr>
            <w:r w:rsidRPr="008B6A75">
              <w:rPr>
                <w:bCs/>
                <w:sz w:val="20"/>
                <w:szCs w:val="20"/>
              </w:rPr>
              <w:t>0,00</w:t>
            </w:r>
          </w:p>
        </w:tc>
        <w:tc>
          <w:tcPr>
            <w:tcW w:w="851" w:type="dxa"/>
            <w:tcBorders>
              <w:top w:val="nil"/>
              <w:left w:val="single" w:sz="4" w:space="0" w:color="auto"/>
              <w:bottom w:val="single" w:sz="4" w:space="0" w:color="auto"/>
              <w:right w:val="nil"/>
            </w:tcBorders>
            <w:shd w:val="clear" w:color="auto" w:fill="auto"/>
            <w:noWrap/>
            <w:vAlign w:val="center"/>
            <w:hideMark/>
          </w:tcPr>
          <w:p w14:paraId="30262E79" w14:textId="77777777" w:rsidR="00387142" w:rsidRPr="008B6A75" w:rsidRDefault="00387142" w:rsidP="00387142">
            <w:pPr>
              <w:jc w:val="right"/>
              <w:rPr>
                <w:bCs/>
                <w:sz w:val="20"/>
                <w:szCs w:val="20"/>
              </w:rPr>
            </w:pPr>
            <w:r w:rsidRPr="008B6A75">
              <w:rPr>
                <w:bCs/>
                <w:sz w:val="20"/>
                <w:szCs w:val="20"/>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43D1AC2D" w14:textId="77777777" w:rsidR="00387142" w:rsidRPr="008B6A75" w:rsidRDefault="00387142" w:rsidP="00387142">
            <w:pPr>
              <w:jc w:val="right"/>
              <w:rPr>
                <w:bCs/>
                <w:sz w:val="20"/>
                <w:szCs w:val="20"/>
              </w:rPr>
            </w:pPr>
            <w:r w:rsidRPr="008B6A75">
              <w:rPr>
                <w:bCs/>
                <w:sz w:val="20"/>
                <w:szCs w:val="20"/>
              </w:rPr>
              <w:t>17 899 500,00</w:t>
            </w:r>
          </w:p>
        </w:tc>
      </w:tr>
      <w:tr w:rsidR="00387142" w:rsidRPr="008B6A75" w14:paraId="74CD5709" w14:textId="77777777" w:rsidTr="00387142">
        <w:trPr>
          <w:trHeight w:val="870"/>
        </w:trPr>
        <w:tc>
          <w:tcPr>
            <w:tcW w:w="272" w:type="dxa"/>
            <w:tcBorders>
              <w:top w:val="nil"/>
              <w:left w:val="nil"/>
              <w:bottom w:val="nil"/>
              <w:right w:val="single" w:sz="4" w:space="0" w:color="auto"/>
            </w:tcBorders>
            <w:shd w:val="clear" w:color="auto" w:fill="auto"/>
            <w:noWrap/>
            <w:vAlign w:val="bottom"/>
            <w:hideMark/>
          </w:tcPr>
          <w:p w14:paraId="3A4FBC3F"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1FF59561" w14:textId="77777777" w:rsidR="00387142" w:rsidRPr="008B6A75" w:rsidRDefault="00387142" w:rsidP="00387142">
            <w:pPr>
              <w:rPr>
                <w:sz w:val="20"/>
                <w:szCs w:val="20"/>
              </w:rPr>
            </w:pPr>
            <w:r w:rsidRPr="008B6A75">
              <w:rPr>
                <w:sz w:val="20"/>
                <w:szCs w:val="20"/>
              </w:rPr>
              <w:t>Предоставление субсидий бюджетным, автономным учреждениям и иным некоммерческим организациям</w:t>
            </w:r>
          </w:p>
        </w:tc>
        <w:tc>
          <w:tcPr>
            <w:tcW w:w="1559" w:type="dxa"/>
            <w:tcBorders>
              <w:top w:val="nil"/>
              <w:left w:val="single" w:sz="4" w:space="0" w:color="auto"/>
              <w:bottom w:val="single" w:sz="4" w:space="0" w:color="auto"/>
              <w:right w:val="nil"/>
            </w:tcBorders>
            <w:shd w:val="clear" w:color="auto" w:fill="auto"/>
            <w:noWrap/>
            <w:vAlign w:val="center"/>
            <w:hideMark/>
          </w:tcPr>
          <w:p w14:paraId="2B707192" w14:textId="77777777" w:rsidR="00387142" w:rsidRPr="008B6A75" w:rsidRDefault="00387142" w:rsidP="00387142">
            <w:pPr>
              <w:jc w:val="center"/>
              <w:rPr>
                <w:sz w:val="20"/>
                <w:szCs w:val="20"/>
              </w:rPr>
            </w:pPr>
            <w:r w:rsidRPr="008B6A75">
              <w:rPr>
                <w:sz w:val="20"/>
                <w:szCs w:val="20"/>
              </w:rPr>
              <w:t>07.1.E4.52192</w:t>
            </w:r>
          </w:p>
        </w:tc>
        <w:tc>
          <w:tcPr>
            <w:tcW w:w="850" w:type="dxa"/>
            <w:tcBorders>
              <w:top w:val="nil"/>
              <w:left w:val="single" w:sz="4" w:space="0" w:color="auto"/>
              <w:bottom w:val="single" w:sz="4" w:space="0" w:color="auto"/>
              <w:right w:val="nil"/>
            </w:tcBorders>
            <w:shd w:val="clear" w:color="auto" w:fill="auto"/>
            <w:noWrap/>
            <w:vAlign w:val="center"/>
            <w:hideMark/>
          </w:tcPr>
          <w:p w14:paraId="13C1C4E2" w14:textId="77777777" w:rsidR="00387142" w:rsidRPr="008B6A75" w:rsidRDefault="00387142" w:rsidP="00387142">
            <w:pPr>
              <w:jc w:val="center"/>
              <w:rPr>
                <w:sz w:val="20"/>
                <w:szCs w:val="20"/>
              </w:rPr>
            </w:pPr>
            <w:r w:rsidRPr="008B6A75">
              <w:rPr>
                <w:sz w:val="20"/>
                <w:szCs w:val="20"/>
              </w:rPr>
              <w:t>600</w:t>
            </w:r>
          </w:p>
        </w:tc>
        <w:tc>
          <w:tcPr>
            <w:tcW w:w="567" w:type="dxa"/>
            <w:tcBorders>
              <w:top w:val="nil"/>
              <w:left w:val="single" w:sz="4" w:space="0" w:color="auto"/>
              <w:bottom w:val="single" w:sz="4" w:space="0" w:color="auto"/>
              <w:right w:val="nil"/>
            </w:tcBorders>
            <w:shd w:val="clear" w:color="auto" w:fill="auto"/>
            <w:noWrap/>
            <w:vAlign w:val="center"/>
            <w:hideMark/>
          </w:tcPr>
          <w:p w14:paraId="0BAAD996" w14:textId="77777777" w:rsidR="00387142" w:rsidRPr="008B6A75" w:rsidRDefault="00387142" w:rsidP="00387142">
            <w:pPr>
              <w:jc w:val="center"/>
              <w:rPr>
                <w:sz w:val="20"/>
                <w:szCs w:val="20"/>
              </w:rPr>
            </w:pPr>
            <w:r w:rsidRPr="008B6A75">
              <w:rPr>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346A0DE9" w14:textId="77777777" w:rsidR="00387142" w:rsidRPr="008B6A75" w:rsidRDefault="00387142" w:rsidP="00387142">
            <w:pPr>
              <w:jc w:val="center"/>
              <w:rPr>
                <w:sz w:val="20"/>
                <w:szCs w:val="20"/>
              </w:rPr>
            </w:pPr>
            <w:r w:rsidRPr="008B6A75">
              <w:rPr>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3A462E2" w14:textId="77777777" w:rsidR="00387142" w:rsidRPr="008B6A75" w:rsidRDefault="00387142" w:rsidP="00387142">
            <w:pPr>
              <w:jc w:val="right"/>
              <w:rPr>
                <w:sz w:val="20"/>
                <w:szCs w:val="20"/>
              </w:rPr>
            </w:pPr>
            <w:r w:rsidRPr="008B6A75">
              <w:rPr>
                <w:sz w:val="20"/>
                <w:szCs w:val="20"/>
              </w:rPr>
              <w:t>0,00</w:t>
            </w:r>
          </w:p>
        </w:tc>
        <w:tc>
          <w:tcPr>
            <w:tcW w:w="851" w:type="dxa"/>
            <w:tcBorders>
              <w:top w:val="nil"/>
              <w:left w:val="single" w:sz="4" w:space="0" w:color="auto"/>
              <w:bottom w:val="single" w:sz="4" w:space="0" w:color="auto"/>
              <w:right w:val="nil"/>
            </w:tcBorders>
            <w:shd w:val="clear" w:color="auto" w:fill="auto"/>
            <w:noWrap/>
            <w:vAlign w:val="center"/>
            <w:hideMark/>
          </w:tcPr>
          <w:p w14:paraId="34725DA1" w14:textId="77777777" w:rsidR="00387142" w:rsidRPr="008B6A75" w:rsidRDefault="00387142" w:rsidP="00387142">
            <w:pPr>
              <w:jc w:val="right"/>
              <w:rPr>
                <w:sz w:val="20"/>
                <w:szCs w:val="20"/>
              </w:rPr>
            </w:pPr>
            <w:r w:rsidRPr="008B6A75">
              <w:rPr>
                <w:sz w:val="20"/>
                <w:szCs w:val="20"/>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227EC80D" w14:textId="77777777" w:rsidR="00387142" w:rsidRPr="008B6A75" w:rsidRDefault="00387142" w:rsidP="00387142">
            <w:pPr>
              <w:jc w:val="right"/>
              <w:rPr>
                <w:sz w:val="20"/>
                <w:szCs w:val="20"/>
              </w:rPr>
            </w:pPr>
            <w:r w:rsidRPr="008B6A75">
              <w:rPr>
                <w:sz w:val="20"/>
                <w:szCs w:val="20"/>
              </w:rPr>
              <w:t>17 899 500,00</w:t>
            </w:r>
          </w:p>
        </w:tc>
      </w:tr>
      <w:tr w:rsidR="00387142" w:rsidRPr="008B6A75" w14:paraId="1B05CD7B" w14:textId="77777777" w:rsidTr="00387142">
        <w:trPr>
          <w:trHeight w:val="300"/>
        </w:trPr>
        <w:tc>
          <w:tcPr>
            <w:tcW w:w="272" w:type="dxa"/>
            <w:tcBorders>
              <w:top w:val="nil"/>
              <w:left w:val="nil"/>
              <w:bottom w:val="nil"/>
              <w:right w:val="single" w:sz="4" w:space="0" w:color="auto"/>
            </w:tcBorders>
            <w:shd w:val="clear" w:color="auto" w:fill="auto"/>
            <w:noWrap/>
            <w:vAlign w:val="bottom"/>
            <w:hideMark/>
          </w:tcPr>
          <w:p w14:paraId="0490FCF1"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49446904" w14:textId="77777777" w:rsidR="00387142" w:rsidRPr="008B6A75" w:rsidRDefault="00387142" w:rsidP="00387142">
            <w:pPr>
              <w:rPr>
                <w:sz w:val="20"/>
                <w:szCs w:val="20"/>
              </w:rPr>
            </w:pPr>
            <w:r w:rsidRPr="008B6A75">
              <w:rPr>
                <w:sz w:val="20"/>
                <w:szCs w:val="20"/>
              </w:rPr>
              <w:t>Субсидии бюджетным учреждениям</w:t>
            </w:r>
          </w:p>
        </w:tc>
        <w:tc>
          <w:tcPr>
            <w:tcW w:w="1559" w:type="dxa"/>
            <w:tcBorders>
              <w:top w:val="nil"/>
              <w:left w:val="single" w:sz="4" w:space="0" w:color="auto"/>
              <w:bottom w:val="single" w:sz="4" w:space="0" w:color="auto"/>
              <w:right w:val="nil"/>
            </w:tcBorders>
            <w:shd w:val="clear" w:color="auto" w:fill="auto"/>
            <w:noWrap/>
            <w:vAlign w:val="center"/>
            <w:hideMark/>
          </w:tcPr>
          <w:p w14:paraId="607D9285" w14:textId="77777777" w:rsidR="00387142" w:rsidRPr="008B6A75" w:rsidRDefault="00387142" w:rsidP="00387142">
            <w:pPr>
              <w:jc w:val="center"/>
              <w:rPr>
                <w:sz w:val="20"/>
                <w:szCs w:val="20"/>
              </w:rPr>
            </w:pPr>
            <w:r w:rsidRPr="008B6A75">
              <w:rPr>
                <w:sz w:val="20"/>
                <w:szCs w:val="20"/>
              </w:rPr>
              <w:t>07.1.E4.52192</w:t>
            </w:r>
          </w:p>
        </w:tc>
        <w:tc>
          <w:tcPr>
            <w:tcW w:w="850" w:type="dxa"/>
            <w:tcBorders>
              <w:top w:val="nil"/>
              <w:left w:val="single" w:sz="4" w:space="0" w:color="auto"/>
              <w:bottom w:val="single" w:sz="4" w:space="0" w:color="auto"/>
              <w:right w:val="nil"/>
            </w:tcBorders>
            <w:shd w:val="clear" w:color="auto" w:fill="auto"/>
            <w:noWrap/>
            <w:vAlign w:val="center"/>
            <w:hideMark/>
          </w:tcPr>
          <w:p w14:paraId="4C6AF0E0" w14:textId="77777777" w:rsidR="00387142" w:rsidRPr="008B6A75" w:rsidRDefault="00387142" w:rsidP="00387142">
            <w:pPr>
              <w:jc w:val="center"/>
              <w:rPr>
                <w:sz w:val="20"/>
                <w:szCs w:val="20"/>
              </w:rPr>
            </w:pPr>
            <w:r w:rsidRPr="008B6A75">
              <w:rPr>
                <w:sz w:val="20"/>
                <w:szCs w:val="20"/>
              </w:rPr>
              <w:t>610</w:t>
            </w:r>
          </w:p>
        </w:tc>
        <w:tc>
          <w:tcPr>
            <w:tcW w:w="567" w:type="dxa"/>
            <w:tcBorders>
              <w:top w:val="nil"/>
              <w:left w:val="single" w:sz="4" w:space="0" w:color="auto"/>
              <w:bottom w:val="single" w:sz="4" w:space="0" w:color="auto"/>
              <w:right w:val="nil"/>
            </w:tcBorders>
            <w:shd w:val="clear" w:color="auto" w:fill="auto"/>
            <w:noWrap/>
            <w:vAlign w:val="center"/>
            <w:hideMark/>
          </w:tcPr>
          <w:p w14:paraId="3DA7A52E" w14:textId="77777777" w:rsidR="00387142" w:rsidRPr="008B6A75" w:rsidRDefault="00387142" w:rsidP="00387142">
            <w:pPr>
              <w:jc w:val="center"/>
              <w:rPr>
                <w:sz w:val="20"/>
                <w:szCs w:val="20"/>
              </w:rPr>
            </w:pPr>
            <w:r w:rsidRPr="008B6A75">
              <w:rPr>
                <w:sz w:val="20"/>
                <w:szCs w:val="20"/>
              </w:rPr>
              <w:t>07</w:t>
            </w:r>
          </w:p>
        </w:tc>
        <w:tc>
          <w:tcPr>
            <w:tcW w:w="567" w:type="dxa"/>
            <w:tcBorders>
              <w:top w:val="nil"/>
              <w:left w:val="single" w:sz="4" w:space="0" w:color="auto"/>
              <w:bottom w:val="single" w:sz="4" w:space="0" w:color="auto"/>
              <w:right w:val="nil"/>
            </w:tcBorders>
            <w:shd w:val="clear" w:color="auto" w:fill="auto"/>
            <w:noWrap/>
            <w:vAlign w:val="center"/>
            <w:hideMark/>
          </w:tcPr>
          <w:p w14:paraId="6378AD73" w14:textId="77777777" w:rsidR="00387142" w:rsidRPr="008B6A75" w:rsidRDefault="00387142" w:rsidP="00387142">
            <w:pPr>
              <w:jc w:val="center"/>
              <w:rPr>
                <w:sz w:val="20"/>
                <w:szCs w:val="20"/>
              </w:rPr>
            </w:pPr>
            <w:r w:rsidRPr="008B6A75">
              <w:rPr>
                <w:sz w:val="20"/>
                <w:szCs w:val="20"/>
              </w:rPr>
              <w:t>03</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7A30984" w14:textId="77777777" w:rsidR="00387142" w:rsidRPr="008B6A75" w:rsidRDefault="00387142" w:rsidP="00387142">
            <w:pPr>
              <w:jc w:val="right"/>
              <w:rPr>
                <w:sz w:val="20"/>
                <w:szCs w:val="20"/>
              </w:rPr>
            </w:pPr>
            <w:r w:rsidRPr="008B6A75">
              <w:rPr>
                <w:sz w:val="20"/>
                <w:szCs w:val="20"/>
              </w:rPr>
              <w:t>0,00</w:t>
            </w:r>
          </w:p>
        </w:tc>
        <w:tc>
          <w:tcPr>
            <w:tcW w:w="851" w:type="dxa"/>
            <w:tcBorders>
              <w:top w:val="nil"/>
              <w:left w:val="single" w:sz="4" w:space="0" w:color="auto"/>
              <w:bottom w:val="single" w:sz="4" w:space="0" w:color="auto"/>
              <w:right w:val="nil"/>
            </w:tcBorders>
            <w:shd w:val="clear" w:color="auto" w:fill="auto"/>
            <w:noWrap/>
            <w:vAlign w:val="center"/>
            <w:hideMark/>
          </w:tcPr>
          <w:p w14:paraId="34B0E6A5" w14:textId="77777777" w:rsidR="00387142" w:rsidRPr="008B6A75" w:rsidRDefault="00387142" w:rsidP="00387142">
            <w:pPr>
              <w:jc w:val="right"/>
              <w:rPr>
                <w:sz w:val="20"/>
                <w:szCs w:val="20"/>
              </w:rPr>
            </w:pPr>
            <w:r w:rsidRPr="008B6A75">
              <w:rPr>
                <w:sz w:val="20"/>
                <w:szCs w:val="20"/>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018D0BAE" w14:textId="77777777" w:rsidR="00387142" w:rsidRPr="008B6A75" w:rsidRDefault="00387142" w:rsidP="00387142">
            <w:pPr>
              <w:jc w:val="right"/>
              <w:rPr>
                <w:sz w:val="20"/>
                <w:szCs w:val="20"/>
              </w:rPr>
            </w:pPr>
            <w:r w:rsidRPr="008B6A75">
              <w:rPr>
                <w:sz w:val="20"/>
                <w:szCs w:val="20"/>
              </w:rPr>
              <w:t>17 899 500,00</w:t>
            </w:r>
          </w:p>
        </w:tc>
      </w:tr>
      <w:tr w:rsidR="00387142" w:rsidRPr="008B6A75" w14:paraId="0B3F3918" w14:textId="77777777" w:rsidTr="00387142">
        <w:trPr>
          <w:trHeight w:val="1725"/>
        </w:trPr>
        <w:tc>
          <w:tcPr>
            <w:tcW w:w="272" w:type="dxa"/>
            <w:tcBorders>
              <w:top w:val="nil"/>
              <w:left w:val="nil"/>
              <w:bottom w:val="nil"/>
              <w:right w:val="single" w:sz="4" w:space="0" w:color="auto"/>
            </w:tcBorders>
            <w:shd w:val="clear" w:color="auto" w:fill="auto"/>
            <w:noWrap/>
            <w:vAlign w:val="bottom"/>
            <w:hideMark/>
          </w:tcPr>
          <w:p w14:paraId="48A8B529"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0B3AC432" w14:textId="77777777" w:rsidR="00387142" w:rsidRPr="008B6A75" w:rsidRDefault="00387142" w:rsidP="00387142">
            <w:pPr>
              <w:rPr>
                <w:bCs/>
                <w:sz w:val="20"/>
                <w:szCs w:val="20"/>
              </w:rPr>
            </w:pPr>
            <w:r w:rsidRPr="008B6A75">
              <w:rPr>
                <w:bCs/>
                <w:sz w:val="20"/>
                <w:szCs w:val="20"/>
              </w:rPr>
              <w:t>Создание центров цифрового образования детей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1559" w:type="dxa"/>
            <w:tcBorders>
              <w:top w:val="nil"/>
              <w:left w:val="single" w:sz="4" w:space="0" w:color="auto"/>
              <w:bottom w:val="single" w:sz="4" w:space="0" w:color="auto"/>
              <w:right w:val="nil"/>
            </w:tcBorders>
            <w:shd w:val="clear" w:color="auto" w:fill="auto"/>
            <w:noWrap/>
            <w:vAlign w:val="center"/>
            <w:hideMark/>
          </w:tcPr>
          <w:p w14:paraId="6885694F" w14:textId="77777777" w:rsidR="00387142" w:rsidRPr="008B6A75" w:rsidRDefault="00387142" w:rsidP="00387142">
            <w:pPr>
              <w:jc w:val="center"/>
              <w:rPr>
                <w:bCs/>
                <w:sz w:val="20"/>
                <w:szCs w:val="20"/>
              </w:rPr>
            </w:pPr>
            <w:r w:rsidRPr="008B6A75">
              <w:rPr>
                <w:bCs/>
                <w:sz w:val="20"/>
                <w:szCs w:val="20"/>
              </w:rPr>
              <w:t>07.1.E4.52193</w:t>
            </w:r>
          </w:p>
        </w:tc>
        <w:tc>
          <w:tcPr>
            <w:tcW w:w="850" w:type="dxa"/>
            <w:tcBorders>
              <w:top w:val="nil"/>
              <w:left w:val="single" w:sz="4" w:space="0" w:color="auto"/>
              <w:bottom w:val="single" w:sz="4" w:space="0" w:color="auto"/>
              <w:right w:val="nil"/>
            </w:tcBorders>
            <w:shd w:val="clear" w:color="auto" w:fill="auto"/>
            <w:noWrap/>
            <w:vAlign w:val="center"/>
            <w:hideMark/>
          </w:tcPr>
          <w:p w14:paraId="6125EFE9" w14:textId="77777777" w:rsidR="00387142" w:rsidRPr="008B6A75" w:rsidRDefault="00387142" w:rsidP="00387142">
            <w:pPr>
              <w:jc w:val="center"/>
              <w:rPr>
                <w:bCs/>
                <w:sz w:val="20"/>
                <w:szCs w:val="20"/>
              </w:rPr>
            </w:pPr>
            <w:r w:rsidRPr="008B6A75">
              <w:rPr>
                <w:bCs/>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0771B349" w14:textId="77777777" w:rsidR="00387142" w:rsidRPr="008B6A75" w:rsidRDefault="00387142" w:rsidP="00387142">
            <w:pPr>
              <w:jc w:val="center"/>
              <w:rPr>
                <w:bCs/>
                <w:sz w:val="20"/>
                <w:szCs w:val="20"/>
              </w:rPr>
            </w:pPr>
            <w:r w:rsidRPr="008B6A75">
              <w:rPr>
                <w:bCs/>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2FF7B1BD" w14:textId="77777777" w:rsidR="00387142" w:rsidRPr="008B6A75" w:rsidRDefault="00387142" w:rsidP="00387142">
            <w:pPr>
              <w:jc w:val="center"/>
              <w:rPr>
                <w:bCs/>
                <w:sz w:val="20"/>
                <w:szCs w:val="20"/>
              </w:rPr>
            </w:pPr>
            <w:r w:rsidRPr="008B6A75">
              <w:rPr>
                <w:bCs/>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C6A7EAB" w14:textId="77777777" w:rsidR="00387142" w:rsidRPr="008B6A75" w:rsidRDefault="00387142" w:rsidP="00387142">
            <w:pPr>
              <w:jc w:val="right"/>
              <w:rPr>
                <w:bCs/>
                <w:sz w:val="20"/>
                <w:szCs w:val="20"/>
              </w:rPr>
            </w:pPr>
            <w:r w:rsidRPr="008B6A75">
              <w:rPr>
                <w:bCs/>
                <w:sz w:val="20"/>
                <w:szCs w:val="20"/>
              </w:rPr>
              <w:t>0,00</w:t>
            </w:r>
          </w:p>
        </w:tc>
        <w:tc>
          <w:tcPr>
            <w:tcW w:w="851" w:type="dxa"/>
            <w:tcBorders>
              <w:top w:val="nil"/>
              <w:left w:val="single" w:sz="4" w:space="0" w:color="auto"/>
              <w:bottom w:val="single" w:sz="4" w:space="0" w:color="auto"/>
              <w:right w:val="nil"/>
            </w:tcBorders>
            <w:shd w:val="clear" w:color="auto" w:fill="auto"/>
            <w:noWrap/>
            <w:vAlign w:val="center"/>
            <w:hideMark/>
          </w:tcPr>
          <w:p w14:paraId="2C8A4C40" w14:textId="77777777" w:rsidR="00387142" w:rsidRPr="008B6A75" w:rsidRDefault="00387142" w:rsidP="00387142">
            <w:pPr>
              <w:jc w:val="right"/>
              <w:rPr>
                <w:bCs/>
                <w:sz w:val="20"/>
                <w:szCs w:val="20"/>
              </w:rPr>
            </w:pPr>
            <w:r w:rsidRPr="008B6A75">
              <w:rPr>
                <w:bCs/>
                <w:sz w:val="20"/>
                <w:szCs w:val="20"/>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509BFCD4" w14:textId="77777777" w:rsidR="00387142" w:rsidRPr="008B6A75" w:rsidRDefault="00387142" w:rsidP="00387142">
            <w:pPr>
              <w:jc w:val="right"/>
              <w:rPr>
                <w:bCs/>
                <w:sz w:val="20"/>
                <w:szCs w:val="20"/>
              </w:rPr>
            </w:pPr>
            <w:r w:rsidRPr="008B6A75">
              <w:rPr>
                <w:bCs/>
                <w:sz w:val="20"/>
                <w:szCs w:val="20"/>
              </w:rPr>
              <w:t>5 801 800,00</w:t>
            </w:r>
          </w:p>
        </w:tc>
      </w:tr>
      <w:tr w:rsidR="00387142" w:rsidRPr="008B6A75" w14:paraId="5564E91A" w14:textId="77777777" w:rsidTr="00387142">
        <w:trPr>
          <w:trHeight w:val="585"/>
        </w:trPr>
        <w:tc>
          <w:tcPr>
            <w:tcW w:w="272" w:type="dxa"/>
            <w:tcBorders>
              <w:top w:val="nil"/>
              <w:left w:val="nil"/>
              <w:bottom w:val="nil"/>
              <w:right w:val="single" w:sz="4" w:space="0" w:color="auto"/>
            </w:tcBorders>
            <w:shd w:val="clear" w:color="auto" w:fill="auto"/>
            <w:noWrap/>
            <w:vAlign w:val="bottom"/>
            <w:hideMark/>
          </w:tcPr>
          <w:p w14:paraId="137E0CA9"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65B8790C" w14:textId="77777777" w:rsidR="00387142" w:rsidRPr="008B6A75" w:rsidRDefault="00387142" w:rsidP="00387142">
            <w:pPr>
              <w:rPr>
                <w:sz w:val="20"/>
                <w:szCs w:val="20"/>
              </w:rPr>
            </w:pPr>
            <w:r w:rsidRPr="008B6A75">
              <w:rPr>
                <w:sz w:val="20"/>
                <w:szCs w:val="20"/>
              </w:rPr>
              <w:t>Закупка товаров, работ и услуг для обеспечения государственных (муниципальных) нужд</w:t>
            </w:r>
          </w:p>
        </w:tc>
        <w:tc>
          <w:tcPr>
            <w:tcW w:w="1559" w:type="dxa"/>
            <w:tcBorders>
              <w:top w:val="nil"/>
              <w:left w:val="single" w:sz="4" w:space="0" w:color="auto"/>
              <w:bottom w:val="single" w:sz="4" w:space="0" w:color="auto"/>
              <w:right w:val="nil"/>
            </w:tcBorders>
            <w:shd w:val="clear" w:color="auto" w:fill="auto"/>
            <w:noWrap/>
            <w:vAlign w:val="center"/>
            <w:hideMark/>
          </w:tcPr>
          <w:p w14:paraId="7108B067" w14:textId="77777777" w:rsidR="00387142" w:rsidRPr="008B6A75" w:rsidRDefault="00387142" w:rsidP="00387142">
            <w:pPr>
              <w:jc w:val="center"/>
              <w:rPr>
                <w:sz w:val="20"/>
                <w:szCs w:val="20"/>
              </w:rPr>
            </w:pPr>
            <w:r w:rsidRPr="008B6A75">
              <w:rPr>
                <w:sz w:val="20"/>
                <w:szCs w:val="20"/>
              </w:rPr>
              <w:t>07.1.E4.52193</w:t>
            </w:r>
          </w:p>
        </w:tc>
        <w:tc>
          <w:tcPr>
            <w:tcW w:w="850" w:type="dxa"/>
            <w:tcBorders>
              <w:top w:val="nil"/>
              <w:left w:val="single" w:sz="4" w:space="0" w:color="auto"/>
              <w:bottom w:val="single" w:sz="4" w:space="0" w:color="auto"/>
              <w:right w:val="nil"/>
            </w:tcBorders>
            <w:shd w:val="clear" w:color="auto" w:fill="auto"/>
            <w:noWrap/>
            <w:vAlign w:val="center"/>
            <w:hideMark/>
          </w:tcPr>
          <w:p w14:paraId="75644099" w14:textId="77777777" w:rsidR="00387142" w:rsidRPr="008B6A75" w:rsidRDefault="00387142" w:rsidP="00387142">
            <w:pPr>
              <w:jc w:val="center"/>
              <w:rPr>
                <w:sz w:val="20"/>
                <w:szCs w:val="20"/>
              </w:rPr>
            </w:pPr>
            <w:r w:rsidRPr="008B6A75">
              <w:rPr>
                <w:sz w:val="20"/>
                <w:szCs w:val="20"/>
              </w:rPr>
              <w:t>200</w:t>
            </w:r>
          </w:p>
        </w:tc>
        <w:tc>
          <w:tcPr>
            <w:tcW w:w="567" w:type="dxa"/>
            <w:tcBorders>
              <w:top w:val="nil"/>
              <w:left w:val="single" w:sz="4" w:space="0" w:color="auto"/>
              <w:bottom w:val="single" w:sz="4" w:space="0" w:color="auto"/>
              <w:right w:val="nil"/>
            </w:tcBorders>
            <w:shd w:val="clear" w:color="auto" w:fill="auto"/>
            <w:noWrap/>
            <w:vAlign w:val="center"/>
            <w:hideMark/>
          </w:tcPr>
          <w:p w14:paraId="220F1E0D" w14:textId="77777777" w:rsidR="00387142" w:rsidRPr="008B6A75" w:rsidRDefault="00387142" w:rsidP="00387142">
            <w:pPr>
              <w:jc w:val="center"/>
              <w:rPr>
                <w:sz w:val="20"/>
                <w:szCs w:val="20"/>
              </w:rPr>
            </w:pPr>
            <w:r w:rsidRPr="008B6A75">
              <w:rPr>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3900A4ED" w14:textId="77777777" w:rsidR="00387142" w:rsidRPr="008B6A75" w:rsidRDefault="00387142" w:rsidP="00387142">
            <w:pPr>
              <w:jc w:val="center"/>
              <w:rPr>
                <w:sz w:val="20"/>
                <w:szCs w:val="20"/>
              </w:rPr>
            </w:pPr>
            <w:r w:rsidRPr="008B6A75">
              <w:rPr>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8C3E785" w14:textId="77777777" w:rsidR="00387142" w:rsidRPr="008B6A75" w:rsidRDefault="00387142" w:rsidP="00387142">
            <w:pPr>
              <w:jc w:val="right"/>
              <w:rPr>
                <w:sz w:val="20"/>
                <w:szCs w:val="20"/>
              </w:rPr>
            </w:pPr>
            <w:r w:rsidRPr="008B6A75">
              <w:rPr>
                <w:sz w:val="20"/>
                <w:szCs w:val="20"/>
              </w:rPr>
              <w:t>0,00</w:t>
            </w:r>
          </w:p>
        </w:tc>
        <w:tc>
          <w:tcPr>
            <w:tcW w:w="851" w:type="dxa"/>
            <w:tcBorders>
              <w:top w:val="nil"/>
              <w:left w:val="single" w:sz="4" w:space="0" w:color="auto"/>
              <w:bottom w:val="single" w:sz="4" w:space="0" w:color="auto"/>
              <w:right w:val="nil"/>
            </w:tcBorders>
            <w:shd w:val="clear" w:color="auto" w:fill="auto"/>
            <w:noWrap/>
            <w:vAlign w:val="center"/>
            <w:hideMark/>
          </w:tcPr>
          <w:p w14:paraId="3E95C7D6" w14:textId="77777777" w:rsidR="00387142" w:rsidRPr="008B6A75" w:rsidRDefault="00387142" w:rsidP="00387142">
            <w:pPr>
              <w:jc w:val="right"/>
              <w:rPr>
                <w:sz w:val="20"/>
                <w:szCs w:val="20"/>
              </w:rPr>
            </w:pPr>
            <w:r w:rsidRPr="008B6A75">
              <w:rPr>
                <w:sz w:val="20"/>
                <w:szCs w:val="20"/>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13203383" w14:textId="77777777" w:rsidR="00387142" w:rsidRPr="008B6A75" w:rsidRDefault="00387142" w:rsidP="00387142">
            <w:pPr>
              <w:jc w:val="right"/>
              <w:rPr>
                <w:sz w:val="20"/>
                <w:szCs w:val="20"/>
              </w:rPr>
            </w:pPr>
            <w:r w:rsidRPr="008B6A75">
              <w:rPr>
                <w:sz w:val="20"/>
                <w:szCs w:val="20"/>
              </w:rPr>
              <w:t>5 801 800,00</w:t>
            </w:r>
          </w:p>
        </w:tc>
      </w:tr>
      <w:tr w:rsidR="00387142" w:rsidRPr="008B6A75" w14:paraId="727103A8" w14:textId="77777777" w:rsidTr="00387142">
        <w:trPr>
          <w:trHeight w:val="870"/>
        </w:trPr>
        <w:tc>
          <w:tcPr>
            <w:tcW w:w="272" w:type="dxa"/>
            <w:tcBorders>
              <w:top w:val="nil"/>
              <w:left w:val="nil"/>
              <w:bottom w:val="nil"/>
              <w:right w:val="single" w:sz="4" w:space="0" w:color="auto"/>
            </w:tcBorders>
            <w:shd w:val="clear" w:color="auto" w:fill="auto"/>
            <w:noWrap/>
            <w:vAlign w:val="bottom"/>
            <w:hideMark/>
          </w:tcPr>
          <w:p w14:paraId="1B4F7359"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5208DC32" w14:textId="77777777" w:rsidR="00387142" w:rsidRPr="008B6A75" w:rsidRDefault="00387142" w:rsidP="00387142">
            <w:pPr>
              <w:rPr>
                <w:sz w:val="20"/>
                <w:szCs w:val="20"/>
              </w:rPr>
            </w:pPr>
            <w:r w:rsidRPr="008B6A75">
              <w:rPr>
                <w:sz w:val="20"/>
                <w:szCs w:val="20"/>
              </w:rPr>
              <w:t>Иные закупки товаров, работ и услуг для обеспечения государственных (муниципальных) нужд</w:t>
            </w:r>
          </w:p>
        </w:tc>
        <w:tc>
          <w:tcPr>
            <w:tcW w:w="1559" w:type="dxa"/>
            <w:tcBorders>
              <w:top w:val="nil"/>
              <w:left w:val="single" w:sz="4" w:space="0" w:color="auto"/>
              <w:bottom w:val="single" w:sz="4" w:space="0" w:color="auto"/>
              <w:right w:val="nil"/>
            </w:tcBorders>
            <w:shd w:val="clear" w:color="auto" w:fill="auto"/>
            <w:noWrap/>
            <w:vAlign w:val="center"/>
            <w:hideMark/>
          </w:tcPr>
          <w:p w14:paraId="38F45337" w14:textId="77777777" w:rsidR="00387142" w:rsidRPr="008B6A75" w:rsidRDefault="00387142" w:rsidP="00387142">
            <w:pPr>
              <w:jc w:val="center"/>
              <w:rPr>
                <w:sz w:val="20"/>
                <w:szCs w:val="20"/>
              </w:rPr>
            </w:pPr>
            <w:r w:rsidRPr="008B6A75">
              <w:rPr>
                <w:sz w:val="20"/>
                <w:szCs w:val="20"/>
              </w:rPr>
              <w:t>07.1.E4.52193</w:t>
            </w:r>
          </w:p>
        </w:tc>
        <w:tc>
          <w:tcPr>
            <w:tcW w:w="850" w:type="dxa"/>
            <w:tcBorders>
              <w:top w:val="nil"/>
              <w:left w:val="single" w:sz="4" w:space="0" w:color="auto"/>
              <w:bottom w:val="single" w:sz="4" w:space="0" w:color="auto"/>
              <w:right w:val="nil"/>
            </w:tcBorders>
            <w:shd w:val="clear" w:color="auto" w:fill="auto"/>
            <w:noWrap/>
            <w:vAlign w:val="center"/>
            <w:hideMark/>
          </w:tcPr>
          <w:p w14:paraId="102931C9" w14:textId="77777777" w:rsidR="00387142" w:rsidRPr="008B6A75" w:rsidRDefault="00387142" w:rsidP="00387142">
            <w:pPr>
              <w:jc w:val="center"/>
              <w:rPr>
                <w:sz w:val="20"/>
                <w:szCs w:val="20"/>
              </w:rPr>
            </w:pPr>
            <w:r w:rsidRPr="008B6A75">
              <w:rPr>
                <w:sz w:val="20"/>
                <w:szCs w:val="20"/>
              </w:rPr>
              <w:t>240</w:t>
            </w:r>
          </w:p>
        </w:tc>
        <w:tc>
          <w:tcPr>
            <w:tcW w:w="567" w:type="dxa"/>
            <w:tcBorders>
              <w:top w:val="nil"/>
              <w:left w:val="single" w:sz="4" w:space="0" w:color="auto"/>
              <w:bottom w:val="single" w:sz="4" w:space="0" w:color="auto"/>
              <w:right w:val="nil"/>
            </w:tcBorders>
            <w:shd w:val="clear" w:color="auto" w:fill="auto"/>
            <w:noWrap/>
            <w:vAlign w:val="center"/>
            <w:hideMark/>
          </w:tcPr>
          <w:p w14:paraId="1767A677" w14:textId="77777777" w:rsidR="00387142" w:rsidRPr="008B6A75" w:rsidRDefault="00387142" w:rsidP="00387142">
            <w:pPr>
              <w:jc w:val="center"/>
              <w:rPr>
                <w:sz w:val="20"/>
                <w:szCs w:val="20"/>
              </w:rPr>
            </w:pPr>
            <w:r w:rsidRPr="008B6A75">
              <w:rPr>
                <w:sz w:val="20"/>
                <w:szCs w:val="20"/>
              </w:rPr>
              <w:t>07</w:t>
            </w:r>
          </w:p>
        </w:tc>
        <w:tc>
          <w:tcPr>
            <w:tcW w:w="567" w:type="dxa"/>
            <w:tcBorders>
              <w:top w:val="nil"/>
              <w:left w:val="single" w:sz="4" w:space="0" w:color="auto"/>
              <w:bottom w:val="single" w:sz="4" w:space="0" w:color="auto"/>
              <w:right w:val="nil"/>
            </w:tcBorders>
            <w:shd w:val="clear" w:color="auto" w:fill="auto"/>
            <w:noWrap/>
            <w:vAlign w:val="center"/>
            <w:hideMark/>
          </w:tcPr>
          <w:p w14:paraId="7E69F0C7" w14:textId="77777777" w:rsidR="00387142" w:rsidRPr="008B6A75" w:rsidRDefault="00387142" w:rsidP="00387142">
            <w:pPr>
              <w:jc w:val="center"/>
              <w:rPr>
                <w:sz w:val="20"/>
                <w:szCs w:val="20"/>
              </w:rPr>
            </w:pPr>
            <w:r w:rsidRPr="008B6A75">
              <w:rPr>
                <w:sz w:val="20"/>
                <w:szCs w:val="20"/>
              </w:rPr>
              <w:t>02</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147026C" w14:textId="77777777" w:rsidR="00387142" w:rsidRPr="008B6A75" w:rsidRDefault="00387142" w:rsidP="00387142">
            <w:pPr>
              <w:jc w:val="right"/>
              <w:rPr>
                <w:sz w:val="20"/>
                <w:szCs w:val="20"/>
              </w:rPr>
            </w:pPr>
            <w:r w:rsidRPr="008B6A75">
              <w:rPr>
                <w:sz w:val="20"/>
                <w:szCs w:val="20"/>
              </w:rPr>
              <w:t>0,00</w:t>
            </w:r>
          </w:p>
        </w:tc>
        <w:tc>
          <w:tcPr>
            <w:tcW w:w="851" w:type="dxa"/>
            <w:tcBorders>
              <w:top w:val="nil"/>
              <w:left w:val="single" w:sz="4" w:space="0" w:color="auto"/>
              <w:bottom w:val="single" w:sz="4" w:space="0" w:color="auto"/>
              <w:right w:val="nil"/>
            </w:tcBorders>
            <w:shd w:val="clear" w:color="auto" w:fill="auto"/>
            <w:noWrap/>
            <w:vAlign w:val="center"/>
            <w:hideMark/>
          </w:tcPr>
          <w:p w14:paraId="5C34B416" w14:textId="77777777" w:rsidR="00387142" w:rsidRPr="008B6A75" w:rsidRDefault="00387142" w:rsidP="00387142">
            <w:pPr>
              <w:jc w:val="right"/>
              <w:rPr>
                <w:sz w:val="20"/>
                <w:szCs w:val="20"/>
              </w:rPr>
            </w:pPr>
            <w:r w:rsidRPr="008B6A75">
              <w:rPr>
                <w:sz w:val="20"/>
                <w:szCs w:val="20"/>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6CED9B70" w14:textId="77777777" w:rsidR="00387142" w:rsidRPr="008B6A75" w:rsidRDefault="00387142" w:rsidP="00387142">
            <w:pPr>
              <w:jc w:val="right"/>
              <w:rPr>
                <w:sz w:val="20"/>
                <w:szCs w:val="20"/>
              </w:rPr>
            </w:pPr>
            <w:r w:rsidRPr="008B6A75">
              <w:rPr>
                <w:sz w:val="20"/>
                <w:szCs w:val="20"/>
              </w:rPr>
              <w:t>5 801 800,00</w:t>
            </w:r>
          </w:p>
        </w:tc>
      </w:tr>
      <w:tr w:rsidR="00387142" w:rsidRPr="008B6A75" w14:paraId="013402E5" w14:textId="77777777" w:rsidTr="00387142">
        <w:trPr>
          <w:trHeight w:val="870"/>
        </w:trPr>
        <w:tc>
          <w:tcPr>
            <w:tcW w:w="272" w:type="dxa"/>
            <w:tcBorders>
              <w:top w:val="nil"/>
              <w:left w:val="nil"/>
              <w:bottom w:val="nil"/>
              <w:right w:val="single" w:sz="4" w:space="0" w:color="auto"/>
            </w:tcBorders>
            <w:shd w:val="clear" w:color="auto" w:fill="auto"/>
            <w:noWrap/>
            <w:vAlign w:val="bottom"/>
            <w:hideMark/>
          </w:tcPr>
          <w:p w14:paraId="74A63A7D" w14:textId="77777777" w:rsidR="00387142" w:rsidRPr="008B6A75" w:rsidRDefault="00387142" w:rsidP="00387142">
            <w:pPr>
              <w:rPr>
                <w:sz w:val="20"/>
                <w:szCs w:val="20"/>
              </w:rPr>
            </w:pPr>
            <w:r w:rsidRPr="008B6A75">
              <w:rPr>
                <w:sz w:val="20"/>
                <w:szCs w:val="20"/>
              </w:rPr>
              <w:lastRenderedPageBreak/>
              <w:t> </w:t>
            </w:r>
          </w:p>
        </w:tc>
        <w:tc>
          <w:tcPr>
            <w:tcW w:w="3415" w:type="dxa"/>
            <w:tcBorders>
              <w:top w:val="nil"/>
              <w:left w:val="single" w:sz="4" w:space="0" w:color="auto"/>
              <w:bottom w:val="single" w:sz="4" w:space="0" w:color="auto"/>
              <w:right w:val="nil"/>
            </w:tcBorders>
            <w:shd w:val="clear" w:color="auto" w:fill="auto"/>
            <w:vAlign w:val="center"/>
            <w:hideMark/>
          </w:tcPr>
          <w:p w14:paraId="281ED45C" w14:textId="77777777" w:rsidR="00387142" w:rsidRPr="008B6A75" w:rsidRDefault="00387142" w:rsidP="00387142">
            <w:pPr>
              <w:rPr>
                <w:bCs/>
                <w:sz w:val="20"/>
                <w:szCs w:val="20"/>
              </w:rPr>
            </w:pPr>
            <w:r w:rsidRPr="008B6A75">
              <w:rPr>
                <w:bCs/>
                <w:sz w:val="20"/>
                <w:szCs w:val="20"/>
              </w:rPr>
              <w:t>Подпрограмма "Выявление и поддержка одаренных детей и талантливой молодежи Куйбышевского района"</w:t>
            </w:r>
          </w:p>
        </w:tc>
        <w:tc>
          <w:tcPr>
            <w:tcW w:w="1559" w:type="dxa"/>
            <w:tcBorders>
              <w:top w:val="nil"/>
              <w:left w:val="single" w:sz="4" w:space="0" w:color="auto"/>
              <w:bottom w:val="single" w:sz="4" w:space="0" w:color="auto"/>
              <w:right w:val="nil"/>
            </w:tcBorders>
            <w:shd w:val="clear" w:color="auto" w:fill="auto"/>
            <w:noWrap/>
            <w:vAlign w:val="center"/>
            <w:hideMark/>
          </w:tcPr>
          <w:p w14:paraId="41C58625" w14:textId="77777777" w:rsidR="00387142" w:rsidRPr="008B6A75" w:rsidRDefault="00387142" w:rsidP="00387142">
            <w:pPr>
              <w:jc w:val="center"/>
              <w:rPr>
                <w:bCs/>
                <w:sz w:val="20"/>
                <w:szCs w:val="20"/>
              </w:rPr>
            </w:pPr>
            <w:r w:rsidRPr="008B6A75">
              <w:rPr>
                <w:bCs/>
                <w:sz w:val="20"/>
                <w:szCs w:val="20"/>
              </w:rPr>
              <w:t>07.2.00.00000</w:t>
            </w:r>
          </w:p>
        </w:tc>
        <w:tc>
          <w:tcPr>
            <w:tcW w:w="850" w:type="dxa"/>
            <w:tcBorders>
              <w:top w:val="nil"/>
              <w:left w:val="single" w:sz="4" w:space="0" w:color="auto"/>
              <w:bottom w:val="single" w:sz="4" w:space="0" w:color="auto"/>
              <w:right w:val="nil"/>
            </w:tcBorders>
            <w:shd w:val="clear" w:color="auto" w:fill="auto"/>
            <w:noWrap/>
            <w:vAlign w:val="center"/>
            <w:hideMark/>
          </w:tcPr>
          <w:p w14:paraId="51B8002C" w14:textId="77777777" w:rsidR="00387142" w:rsidRPr="008B6A75" w:rsidRDefault="00387142" w:rsidP="00387142">
            <w:pPr>
              <w:jc w:val="center"/>
              <w:rPr>
                <w:bCs/>
                <w:sz w:val="20"/>
                <w:szCs w:val="20"/>
              </w:rPr>
            </w:pPr>
            <w:r w:rsidRPr="008B6A75">
              <w:rPr>
                <w:bCs/>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1AEB83CF" w14:textId="77777777" w:rsidR="00387142" w:rsidRPr="008B6A75" w:rsidRDefault="00387142" w:rsidP="00387142">
            <w:pPr>
              <w:jc w:val="center"/>
              <w:rPr>
                <w:bCs/>
                <w:sz w:val="20"/>
                <w:szCs w:val="20"/>
              </w:rPr>
            </w:pPr>
            <w:r w:rsidRPr="008B6A75">
              <w:rPr>
                <w:bCs/>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582C5E49" w14:textId="77777777" w:rsidR="00387142" w:rsidRPr="008B6A75" w:rsidRDefault="00387142" w:rsidP="00387142">
            <w:pPr>
              <w:jc w:val="center"/>
              <w:rPr>
                <w:bCs/>
                <w:sz w:val="20"/>
                <w:szCs w:val="20"/>
              </w:rPr>
            </w:pPr>
            <w:r w:rsidRPr="008B6A75">
              <w:rPr>
                <w:bCs/>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929F84D" w14:textId="77777777" w:rsidR="00387142" w:rsidRPr="008B6A75" w:rsidRDefault="00387142" w:rsidP="00387142">
            <w:pPr>
              <w:jc w:val="right"/>
              <w:rPr>
                <w:bCs/>
                <w:sz w:val="20"/>
                <w:szCs w:val="20"/>
              </w:rPr>
            </w:pPr>
            <w:r w:rsidRPr="008B6A75">
              <w:rPr>
                <w:bCs/>
                <w:sz w:val="20"/>
                <w:szCs w:val="20"/>
              </w:rPr>
              <w:t>1 190 943,80</w:t>
            </w:r>
          </w:p>
        </w:tc>
        <w:tc>
          <w:tcPr>
            <w:tcW w:w="851" w:type="dxa"/>
            <w:tcBorders>
              <w:top w:val="nil"/>
              <w:left w:val="single" w:sz="4" w:space="0" w:color="auto"/>
              <w:bottom w:val="single" w:sz="4" w:space="0" w:color="auto"/>
              <w:right w:val="nil"/>
            </w:tcBorders>
            <w:shd w:val="clear" w:color="auto" w:fill="auto"/>
            <w:noWrap/>
            <w:vAlign w:val="center"/>
            <w:hideMark/>
          </w:tcPr>
          <w:p w14:paraId="1A277D63" w14:textId="77777777" w:rsidR="00387142" w:rsidRPr="008B6A75" w:rsidRDefault="00387142" w:rsidP="00387142">
            <w:pPr>
              <w:jc w:val="right"/>
              <w:rPr>
                <w:bCs/>
                <w:sz w:val="20"/>
                <w:szCs w:val="20"/>
              </w:rPr>
            </w:pPr>
            <w:r w:rsidRPr="008B6A75">
              <w:rPr>
                <w:bCs/>
                <w:sz w:val="20"/>
                <w:szCs w:val="20"/>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78020984" w14:textId="77777777" w:rsidR="00387142" w:rsidRPr="008B6A75" w:rsidRDefault="00387142" w:rsidP="00387142">
            <w:pPr>
              <w:jc w:val="right"/>
              <w:rPr>
                <w:bCs/>
                <w:sz w:val="20"/>
                <w:szCs w:val="20"/>
              </w:rPr>
            </w:pPr>
            <w:r w:rsidRPr="008B6A75">
              <w:rPr>
                <w:bCs/>
                <w:sz w:val="20"/>
                <w:szCs w:val="20"/>
              </w:rPr>
              <w:t>0,00</w:t>
            </w:r>
          </w:p>
        </w:tc>
      </w:tr>
      <w:tr w:rsidR="00387142" w:rsidRPr="008B6A75" w14:paraId="3DDB9EFE" w14:textId="77777777" w:rsidTr="00387142">
        <w:trPr>
          <w:trHeight w:val="1155"/>
        </w:trPr>
        <w:tc>
          <w:tcPr>
            <w:tcW w:w="272" w:type="dxa"/>
            <w:tcBorders>
              <w:top w:val="nil"/>
              <w:left w:val="nil"/>
              <w:bottom w:val="nil"/>
              <w:right w:val="single" w:sz="4" w:space="0" w:color="auto"/>
            </w:tcBorders>
            <w:shd w:val="clear" w:color="auto" w:fill="auto"/>
            <w:noWrap/>
            <w:vAlign w:val="bottom"/>
            <w:hideMark/>
          </w:tcPr>
          <w:p w14:paraId="435FBB12"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4A987E00" w14:textId="77777777" w:rsidR="00387142" w:rsidRPr="008B6A75" w:rsidRDefault="00387142" w:rsidP="00387142">
            <w:pPr>
              <w:rPr>
                <w:bCs/>
                <w:sz w:val="20"/>
                <w:szCs w:val="20"/>
              </w:rPr>
            </w:pPr>
            <w:r w:rsidRPr="008B6A75">
              <w:rPr>
                <w:bCs/>
                <w:sz w:val="20"/>
                <w:szCs w:val="20"/>
              </w:rPr>
              <w:t>Реализация мероприятий подпрограммы "Выявление и поддержка одаренных детей и талантливой молодежи Куйбышевского района"</w:t>
            </w:r>
          </w:p>
        </w:tc>
        <w:tc>
          <w:tcPr>
            <w:tcW w:w="1559" w:type="dxa"/>
            <w:tcBorders>
              <w:top w:val="nil"/>
              <w:left w:val="single" w:sz="4" w:space="0" w:color="auto"/>
              <w:bottom w:val="single" w:sz="4" w:space="0" w:color="auto"/>
              <w:right w:val="nil"/>
            </w:tcBorders>
            <w:shd w:val="clear" w:color="auto" w:fill="auto"/>
            <w:noWrap/>
            <w:vAlign w:val="center"/>
            <w:hideMark/>
          </w:tcPr>
          <w:p w14:paraId="5726B0D9" w14:textId="77777777" w:rsidR="00387142" w:rsidRPr="008B6A75" w:rsidRDefault="00387142" w:rsidP="00387142">
            <w:pPr>
              <w:jc w:val="center"/>
              <w:rPr>
                <w:bCs/>
                <w:sz w:val="20"/>
                <w:szCs w:val="20"/>
              </w:rPr>
            </w:pPr>
            <w:r w:rsidRPr="008B6A75">
              <w:rPr>
                <w:bCs/>
                <w:sz w:val="20"/>
                <w:szCs w:val="20"/>
              </w:rPr>
              <w:t>07.2.00.79500</w:t>
            </w:r>
          </w:p>
        </w:tc>
        <w:tc>
          <w:tcPr>
            <w:tcW w:w="850" w:type="dxa"/>
            <w:tcBorders>
              <w:top w:val="nil"/>
              <w:left w:val="single" w:sz="4" w:space="0" w:color="auto"/>
              <w:bottom w:val="single" w:sz="4" w:space="0" w:color="auto"/>
              <w:right w:val="nil"/>
            </w:tcBorders>
            <w:shd w:val="clear" w:color="auto" w:fill="auto"/>
            <w:noWrap/>
            <w:vAlign w:val="center"/>
            <w:hideMark/>
          </w:tcPr>
          <w:p w14:paraId="025B4F6D" w14:textId="77777777" w:rsidR="00387142" w:rsidRPr="008B6A75" w:rsidRDefault="00387142" w:rsidP="00387142">
            <w:pPr>
              <w:jc w:val="center"/>
              <w:rPr>
                <w:bCs/>
                <w:sz w:val="20"/>
                <w:szCs w:val="20"/>
              </w:rPr>
            </w:pPr>
            <w:r w:rsidRPr="008B6A75">
              <w:rPr>
                <w:bCs/>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0402ACDE" w14:textId="77777777" w:rsidR="00387142" w:rsidRPr="008B6A75" w:rsidRDefault="00387142" w:rsidP="00387142">
            <w:pPr>
              <w:jc w:val="center"/>
              <w:rPr>
                <w:bCs/>
                <w:sz w:val="20"/>
                <w:szCs w:val="20"/>
              </w:rPr>
            </w:pPr>
            <w:r w:rsidRPr="008B6A75">
              <w:rPr>
                <w:bCs/>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75AE70D4" w14:textId="77777777" w:rsidR="00387142" w:rsidRPr="008B6A75" w:rsidRDefault="00387142" w:rsidP="00387142">
            <w:pPr>
              <w:jc w:val="center"/>
              <w:rPr>
                <w:bCs/>
                <w:sz w:val="20"/>
                <w:szCs w:val="20"/>
              </w:rPr>
            </w:pPr>
            <w:r w:rsidRPr="008B6A75">
              <w:rPr>
                <w:bCs/>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02B5DFB" w14:textId="77777777" w:rsidR="00387142" w:rsidRPr="008B6A75" w:rsidRDefault="00387142" w:rsidP="00387142">
            <w:pPr>
              <w:jc w:val="right"/>
              <w:rPr>
                <w:bCs/>
                <w:sz w:val="20"/>
                <w:szCs w:val="20"/>
              </w:rPr>
            </w:pPr>
            <w:r w:rsidRPr="008B6A75">
              <w:rPr>
                <w:bCs/>
                <w:sz w:val="20"/>
                <w:szCs w:val="20"/>
              </w:rPr>
              <w:t>1 190 943,80</w:t>
            </w:r>
          </w:p>
        </w:tc>
        <w:tc>
          <w:tcPr>
            <w:tcW w:w="851" w:type="dxa"/>
            <w:tcBorders>
              <w:top w:val="nil"/>
              <w:left w:val="single" w:sz="4" w:space="0" w:color="auto"/>
              <w:bottom w:val="single" w:sz="4" w:space="0" w:color="auto"/>
              <w:right w:val="nil"/>
            </w:tcBorders>
            <w:shd w:val="clear" w:color="auto" w:fill="auto"/>
            <w:noWrap/>
            <w:vAlign w:val="center"/>
            <w:hideMark/>
          </w:tcPr>
          <w:p w14:paraId="5AC1432B" w14:textId="77777777" w:rsidR="00387142" w:rsidRPr="008B6A75" w:rsidRDefault="00387142" w:rsidP="00387142">
            <w:pPr>
              <w:jc w:val="right"/>
              <w:rPr>
                <w:bCs/>
                <w:sz w:val="20"/>
                <w:szCs w:val="20"/>
              </w:rPr>
            </w:pPr>
            <w:r w:rsidRPr="008B6A75">
              <w:rPr>
                <w:bCs/>
                <w:sz w:val="20"/>
                <w:szCs w:val="20"/>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433AB26C" w14:textId="77777777" w:rsidR="00387142" w:rsidRPr="008B6A75" w:rsidRDefault="00387142" w:rsidP="00387142">
            <w:pPr>
              <w:jc w:val="right"/>
              <w:rPr>
                <w:bCs/>
                <w:sz w:val="20"/>
                <w:szCs w:val="20"/>
              </w:rPr>
            </w:pPr>
            <w:r w:rsidRPr="008B6A75">
              <w:rPr>
                <w:bCs/>
                <w:sz w:val="20"/>
                <w:szCs w:val="20"/>
              </w:rPr>
              <w:t>0,00</w:t>
            </w:r>
          </w:p>
        </w:tc>
      </w:tr>
      <w:tr w:rsidR="00387142" w:rsidRPr="008B6A75" w14:paraId="254198FC" w14:textId="77777777" w:rsidTr="00387142">
        <w:trPr>
          <w:trHeight w:val="1440"/>
        </w:trPr>
        <w:tc>
          <w:tcPr>
            <w:tcW w:w="272" w:type="dxa"/>
            <w:tcBorders>
              <w:top w:val="nil"/>
              <w:left w:val="nil"/>
              <w:bottom w:val="nil"/>
              <w:right w:val="single" w:sz="4" w:space="0" w:color="auto"/>
            </w:tcBorders>
            <w:shd w:val="clear" w:color="auto" w:fill="auto"/>
            <w:noWrap/>
            <w:vAlign w:val="bottom"/>
            <w:hideMark/>
          </w:tcPr>
          <w:p w14:paraId="2D6F543C"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22FF5319" w14:textId="77777777" w:rsidR="00387142" w:rsidRPr="008B6A75" w:rsidRDefault="00387142" w:rsidP="00387142">
            <w:pPr>
              <w:rPr>
                <w:sz w:val="20"/>
                <w:szCs w:val="20"/>
              </w:rPr>
            </w:pPr>
            <w:r w:rsidRPr="008B6A7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single" w:sz="4" w:space="0" w:color="auto"/>
              <w:bottom w:val="single" w:sz="4" w:space="0" w:color="auto"/>
              <w:right w:val="nil"/>
            </w:tcBorders>
            <w:shd w:val="clear" w:color="auto" w:fill="auto"/>
            <w:noWrap/>
            <w:vAlign w:val="center"/>
            <w:hideMark/>
          </w:tcPr>
          <w:p w14:paraId="38239CA1" w14:textId="77777777" w:rsidR="00387142" w:rsidRPr="008B6A75" w:rsidRDefault="00387142" w:rsidP="00387142">
            <w:pPr>
              <w:jc w:val="center"/>
              <w:rPr>
                <w:sz w:val="20"/>
                <w:szCs w:val="20"/>
              </w:rPr>
            </w:pPr>
            <w:r w:rsidRPr="008B6A75">
              <w:rPr>
                <w:sz w:val="20"/>
                <w:szCs w:val="20"/>
              </w:rPr>
              <w:t>07.2.00.79500</w:t>
            </w:r>
          </w:p>
        </w:tc>
        <w:tc>
          <w:tcPr>
            <w:tcW w:w="850" w:type="dxa"/>
            <w:tcBorders>
              <w:top w:val="nil"/>
              <w:left w:val="single" w:sz="4" w:space="0" w:color="auto"/>
              <w:bottom w:val="single" w:sz="4" w:space="0" w:color="auto"/>
              <w:right w:val="nil"/>
            </w:tcBorders>
            <w:shd w:val="clear" w:color="auto" w:fill="auto"/>
            <w:noWrap/>
            <w:vAlign w:val="center"/>
            <w:hideMark/>
          </w:tcPr>
          <w:p w14:paraId="493CAF52" w14:textId="77777777" w:rsidR="00387142" w:rsidRPr="008B6A75" w:rsidRDefault="00387142" w:rsidP="00387142">
            <w:pPr>
              <w:jc w:val="center"/>
              <w:rPr>
                <w:sz w:val="20"/>
                <w:szCs w:val="20"/>
              </w:rPr>
            </w:pPr>
            <w:r w:rsidRPr="008B6A75">
              <w:rPr>
                <w:sz w:val="20"/>
                <w:szCs w:val="20"/>
              </w:rPr>
              <w:t>100</w:t>
            </w:r>
          </w:p>
        </w:tc>
        <w:tc>
          <w:tcPr>
            <w:tcW w:w="567" w:type="dxa"/>
            <w:tcBorders>
              <w:top w:val="nil"/>
              <w:left w:val="single" w:sz="4" w:space="0" w:color="auto"/>
              <w:bottom w:val="single" w:sz="4" w:space="0" w:color="auto"/>
              <w:right w:val="nil"/>
            </w:tcBorders>
            <w:shd w:val="clear" w:color="auto" w:fill="auto"/>
            <w:noWrap/>
            <w:vAlign w:val="center"/>
            <w:hideMark/>
          </w:tcPr>
          <w:p w14:paraId="381EA6AB" w14:textId="77777777" w:rsidR="00387142" w:rsidRPr="008B6A75" w:rsidRDefault="00387142" w:rsidP="00387142">
            <w:pPr>
              <w:jc w:val="center"/>
              <w:rPr>
                <w:sz w:val="20"/>
                <w:szCs w:val="20"/>
              </w:rPr>
            </w:pPr>
            <w:r w:rsidRPr="008B6A75">
              <w:rPr>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0AECCBB6" w14:textId="77777777" w:rsidR="00387142" w:rsidRPr="008B6A75" w:rsidRDefault="00387142" w:rsidP="00387142">
            <w:pPr>
              <w:jc w:val="center"/>
              <w:rPr>
                <w:sz w:val="20"/>
                <w:szCs w:val="20"/>
              </w:rPr>
            </w:pPr>
            <w:r w:rsidRPr="008B6A75">
              <w:rPr>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94FB393" w14:textId="77777777" w:rsidR="00387142" w:rsidRPr="008B6A75" w:rsidRDefault="00387142" w:rsidP="00387142">
            <w:pPr>
              <w:jc w:val="right"/>
              <w:rPr>
                <w:sz w:val="20"/>
                <w:szCs w:val="20"/>
              </w:rPr>
            </w:pPr>
            <w:r w:rsidRPr="008B6A75">
              <w:rPr>
                <w:sz w:val="20"/>
                <w:szCs w:val="20"/>
              </w:rPr>
              <w:t>132 290,00</w:t>
            </w:r>
          </w:p>
        </w:tc>
        <w:tc>
          <w:tcPr>
            <w:tcW w:w="851" w:type="dxa"/>
            <w:tcBorders>
              <w:top w:val="nil"/>
              <w:left w:val="single" w:sz="4" w:space="0" w:color="auto"/>
              <w:bottom w:val="single" w:sz="4" w:space="0" w:color="auto"/>
              <w:right w:val="nil"/>
            </w:tcBorders>
            <w:shd w:val="clear" w:color="auto" w:fill="auto"/>
            <w:noWrap/>
            <w:vAlign w:val="center"/>
            <w:hideMark/>
          </w:tcPr>
          <w:p w14:paraId="41A8D98E" w14:textId="77777777" w:rsidR="00387142" w:rsidRPr="008B6A75" w:rsidRDefault="00387142" w:rsidP="00387142">
            <w:pPr>
              <w:jc w:val="right"/>
              <w:rPr>
                <w:sz w:val="20"/>
                <w:szCs w:val="20"/>
              </w:rPr>
            </w:pPr>
            <w:r w:rsidRPr="008B6A75">
              <w:rPr>
                <w:sz w:val="20"/>
                <w:szCs w:val="20"/>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05AEFD8C" w14:textId="77777777" w:rsidR="00387142" w:rsidRPr="008B6A75" w:rsidRDefault="00387142" w:rsidP="00387142">
            <w:pPr>
              <w:jc w:val="right"/>
              <w:rPr>
                <w:sz w:val="20"/>
                <w:szCs w:val="20"/>
              </w:rPr>
            </w:pPr>
            <w:r w:rsidRPr="008B6A75">
              <w:rPr>
                <w:sz w:val="20"/>
                <w:szCs w:val="20"/>
              </w:rPr>
              <w:t>0,00</w:t>
            </w:r>
          </w:p>
        </w:tc>
      </w:tr>
      <w:tr w:rsidR="00387142" w:rsidRPr="008B6A75" w14:paraId="1DF6F573" w14:textId="77777777" w:rsidTr="00387142">
        <w:trPr>
          <w:trHeight w:val="585"/>
        </w:trPr>
        <w:tc>
          <w:tcPr>
            <w:tcW w:w="272" w:type="dxa"/>
            <w:tcBorders>
              <w:top w:val="nil"/>
              <w:left w:val="nil"/>
              <w:bottom w:val="nil"/>
              <w:right w:val="single" w:sz="4" w:space="0" w:color="auto"/>
            </w:tcBorders>
            <w:shd w:val="clear" w:color="auto" w:fill="auto"/>
            <w:noWrap/>
            <w:vAlign w:val="bottom"/>
            <w:hideMark/>
          </w:tcPr>
          <w:p w14:paraId="6096CD11"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1445F6FF" w14:textId="77777777" w:rsidR="00387142" w:rsidRPr="008B6A75" w:rsidRDefault="00387142" w:rsidP="00387142">
            <w:pPr>
              <w:rPr>
                <w:sz w:val="20"/>
                <w:szCs w:val="20"/>
              </w:rPr>
            </w:pPr>
            <w:r w:rsidRPr="008B6A75">
              <w:rPr>
                <w:sz w:val="20"/>
                <w:szCs w:val="20"/>
              </w:rPr>
              <w:t>Расходы на выплаты персоналу казенных учреждений</w:t>
            </w:r>
          </w:p>
        </w:tc>
        <w:tc>
          <w:tcPr>
            <w:tcW w:w="1559" w:type="dxa"/>
            <w:tcBorders>
              <w:top w:val="nil"/>
              <w:left w:val="single" w:sz="4" w:space="0" w:color="auto"/>
              <w:bottom w:val="single" w:sz="4" w:space="0" w:color="auto"/>
              <w:right w:val="nil"/>
            </w:tcBorders>
            <w:shd w:val="clear" w:color="auto" w:fill="auto"/>
            <w:noWrap/>
            <w:vAlign w:val="center"/>
            <w:hideMark/>
          </w:tcPr>
          <w:p w14:paraId="5B2144BD" w14:textId="77777777" w:rsidR="00387142" w:rsidRPr="008B6A75" w:rsidRDefault="00387142" w:rsidP="00387142">
            <w:pPr>
              <w:jc w:val="center"/>
              <w:rPr>
                <w:sz w:val="20"/>
                <w:szCs w:val="20"/>
              </w:rPr>
            </w:pPr>
            <w:r w:rsidRPr="008B6A75">
              <w:rPr>
                <w:sz w:val="20"/>
                <w:szCs w:val="20"/>
              </w:rPr>
              <w:t>07.2.00.79500</w:t>
            </w:r>
          </w:p>
        </w:tc>
        <w:tc>
          <w:tcPr>
            <w:tcW w:w="850" w:type="dxa"/>
            <w:tcBorders>
              <w:top w:val="nil"/>
              <w:left w:val="single" w:sz="4" w:space="0" w:color="auto"/>
              <w:bottom w:val="single" w:sz="4" w:space="0" w:color="auto"/>
              <w:right w:val="nil"/>
            </w:tcBorders>
            <w:shd w:val="clear" w:color="auto" w:fill="auto"/>
            <w:noWrap/>
            <w:vAlign w:val="center"/>
            <w:hideMark/>
          </w:tcPr>
          <w:p w14:paraId="2656F807" w14:textId="77777777" w:rsidR="00387142" w:rsidRPr="008B6A75" w:rsidRDefault="00387142" w:rsidP="00387142">
            <w:pPr>
              <w:jc w:val="center"/>
              <w:rPr>
                <w:sz w:val="20"/>
                <w:szCs w:val="20"/>
              </w:rPr>
            </w:pPr>
            <w:r w:rsidRPr="008B6A75">
              <w:rPr>
                <w:sz w:val="20"/>
                <w:szCs w:val="20"/>
              </w:rPr>
              <w:t>110</w:t>
            </w:r>
          </w:p>
        </w:tc>
        <w:tc>
          <w:tcPr>
            <w:tcW w:w="567" w:type="dxa"/>
            <w:tcBorders>
              <w:top w:val="nil"/>
              <w:left w:val="single" w:sz="4" w:space="0" w:color="auto"/>
              <w:bottom w:val="single" w:sz="4" w:space="0" w:color="auto"/>
              <w:right w:val="nil"/>
            </w:tcBorders>
            <w:shd w:val="clear" w:color="auto" w:fill="auto"/>
            <w:noWrap/>
            <w:vAlign w:val="center"/>
            <w:hideMark/>
          </w:tcPr>
          <w:p w14:paraId="7175F790" w14:textId="77777777" w:rsidR="00387142" w:rsidRPr="008B6A75" w:rsidRDefault="00387142" w:rsidP="00387142">
            <w:pPr>
              <w:jc w:val="center"/>
              <w:rPr>
                <w:sz w:val="20"/>
                <w:szCs w:val="20"/>
              </w:rPr>
            </w:pPr>
            <w:r w:rsidRPr="008B6A75">
              <w:rPr>
                <w:sz w:val="20"/>
                <w:szCs w:val="20"/>
              </w:rPr>
              <w:t>07</w:t>
            </w:r>
          </w:p>
        </w:tc>
        <w:tc>
          <w:tcPr>
            <w:tcW w:w="567" w:type="dxa"/>
            <w:tcBorders>
              <w:top w:val="nil"/>
              <w:left w:val="single" w:sz="4" w:space="0" w:color="auto"/>
              <w:bottom w:val="single" w:sz="4" w:space="0" w:color="auto"/>
              <w:right w:val="nil"/>
            </w:tcBorders>
            <w:shd w:val="clear" w:color="auto" w:fill="auto"/>
            <w:noWrap/>
            <w:vAlign w:val="center"/>
            <w:hideMark/>
          </w:tcPr>
          <w:p w14:paraId="55A7330B" w14:textId="77777777" w:rsidR="00387142" w:rsidRPr="008B6A75" w:rsidRDefault="00387142" w:rsidP="00387142">
            <w:pPr>
              <w:jc w:val="center"/>
              <w:rPr>
                <w:sz w:val="20"/>
                <w:szCs w:val="20"/>
              </w:rPr>
            </w:pPr>
            <w:r w:rsidRPr="008B6A75">
              <w:rPr>
                <w:sz w:val="20"/>
                <w:szCs w:val="20"/>
              </w:rPr>
              <w:t>01</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A5DFDD9" w14:textId="77777777" w:rsidR="00387142" w:rsidRPr="008B6A75" w:rsidRDefault="00387142" w:rsidP="00387142">
            <w:pPr>
              <w:jc w:val="right"/>
              <w:rPr>
                <w:sz w:val="20"/>
                <w:szCs w:val="20"/>
              </w:rPr>
            </w:pPr>
            <w:r w:rsidRPr="008B6A75">
              <w:rPr>
                <w:sz w:val="20"/>
                <w:szCs w:val="20"/>
              </w:rPr>
              <w:t>87 980,00</w:t>
            </w:r>
          </w:p>
        </w:tc>
        <w:tc>
          <w:tcPr>
            <w:tcW w:w="851" w:type="dxa"/>
            <w:tcBorders>
              <w:top w:val="nil"/>
              <w:left w:val="single" w:sz="4" w:space="0" w:color="auto"/>
              <w:bottom w:val="single" w:sz="4" w:space="0" w:color="auto"/>
              <w:right w:val="nil"/>
            </w:tcBorders>
            <w:shd w:val="clear" w:color="auto" w:fill="auto"/>
            <w:noWrap/>
            <w:vAlign w:val="center"/>
            <w:hideMark/>
          </w:tcPr>
          <w:p w14:paraId="52E020EF" w14:textId="77777777" w:rsidR="00387142" w:rsidRPr="008B6A75" w:rsidRDefault="00387142" w:rsidP="00387142">
            <w:pPr>
              <w:jc w:val="right"/>
              <w:rPr>
                <w:sz w:val="20"/>
                <w:szCs w:val="20"/>
              </w:rPr>
            </w:pPr>
            <w:r w:rsidRPr="008B6A75">
              <w:rPr>
                <w:sz w:val="20"/>
                <w:szCs w:val="20"/>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7B5C4604" w14:textId="77777777" w:rsidR="00387142" w:rsidRPr="008B6A75" w:rsidRDefault="00387142" w:rsidP="00387142">
            <w:pPr>
              <w:jc w:val="right"/>
              <w:rPr>
                <w:sz w:val="20"/>
                <w:szCs w:val="20"/>
              </w:rPr>
            </w:pPr>
            <w:r w:rsidRPr="008B6A75">
              <w:rPr>
                <w:sz w:val="20"/>
                <w:szCs w:val="20"/>
              </w:rPr>
              <w:t>0,00</w:t>
            </w:r>
          </w:p>
        </w:tc>
      </w:tr>
      <w:tr w:rsidR="00387142" w:rsidRPr="008B6A75" w14:paraId="113C6A41" w14:textId="77777777" w:rsidTr="00387142">
        <w:trPr>
          <w:trHeight w:val="585"/>
        </w:trPr>
        <w:tc>
          <w:tcPr>
            <w:tcW w:w="272" w:type="dxa"/>
            <w:tcBorders>
              <w:top w:val="nil"/>
              <w:left w:val="nil"/>
              <w:bottom w:val="nil"/>
              <w:right w:val="single" w:sz="4" w:space="0" w:color="auto"/>
            </w:tcBorders>
            <w:shd w:val="clear" w:color="auto" w:fill="auto"/>
            <w:noWrap/>
            <w:vAlign w:val="bottom"/>
            <w:hideMark/>
          </w:tcPr>
          <w:p w14:paraId="26330922"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0EF2145A" w14:textId="77777777" w:rsidR="00387142" w:rsidRPr="008B6A75" w:rsidRDefault="00387142" w:rsidP="00387142">
            <w:pPr>
              <w:rPr>
                <w:sz w:val="20"/>
                <w:szCs w:val="20"/>
              </w:rPr>
            </w:pPr>
            <w:r w:rsidRPr="008B6A75">
              <w:rPr>
                <w:sz w:val="20"/>
                <w:szCs w:val="20"/>
              </w:rPr>
              <w:t>Расходы на выплаты персоналу казенных учреждений</w:t>
            </w:r>
          </w:p>
        </w:tc>
        <w:tc>
          <w:tcPr>
            <w:tcW w:w="1559" w:type="dxa"/>
            <w:tcBorders>
              <w:top w:val="nil"/>
              <w:left w:val="single" w:sz="4" w:space="0" w:color="auto"/>
              <w:bottom w:val="single" w:sz="4" w:space="0" w:color="auto"/>
              <w:right w:val="nil"/>
            </w:tcBorders>
            <w:shd w:val="clear" w:color="auto" w:fill="auto"/>
            <w:noWrap/>
            <w:vAlign w:val="center"/>
            <w:hideMark/>
          </w:tcPr>
          <w:p w14:paraId="7803809B" w14:textId="77777777" w:rsidR="00387142" w:rsidRPr="008B6A75" w:rsidRDefault="00387142" w:rsidP="00387142">
            <w:pPr>
              <w:jc w:val="center"/>
              <w:rPr>
                <w:sz w:val="20"/>
                <w:szCs w:val="20"/>
              </w:rPr>
            </w:pPr>
            <w:r w:rsidRPr="008B6A75">
              <w:rPr>
                <w:sz w:val="20"/>
                <w:szCs w:val="20"/>
              </w:rPr>
              <w:t>07.2.00.79500</w:t>
            </w:r>
          </w:p>
        </w:tc>
        <w:tc>
          <w:tcPr>
            <w:tcW w:w="850" w:type="dxa"/>
            <w:tcBorders>
              <w:top w:val="nil"/>
              <w:left w:val="single" w:sz="4" w:space="0" w:color="auto"/>
              <w:bottom w:val="single" w:sz="4" w:space="0" w:color="auto"/>
              <w:right w:val="nil"/>
            </w:tcBorders>
            <w:shd w:val="clear" w:color="auto" w:fill="auto"/>
            <w:noWrap/>
            <w:vAlign w:val="center"/>
            <w:hideMark/>
          </w:tcPr>
          <w:p w14:paraId="3969B830" w14:textId="77777777" w:rsidR="00387142" w:rsidRPr="008B6A75" w:rsidRDefault="00387142" w:rsidP="00387142">
            <w:pPr>
              <w:jc w:val="center"/>
              <w:rPr>
                <w:sz w:val="20"/>
                <w:szCs w:val="20"/>
              </w:rPr>
            </w:pPr>
            <w:r w:rsidRPr="008B6A75">
              <w:rPr>
                <w:sz w:val="20"/>
                <w:szCs w:val="20"/>
              </w:rPr>
              <w:t>110</w:t>
            </w:r>
          </w:p>
        </w:tc>
        <w:tc>
          <w:tcPr>
            <w:tcW w:w="567" w:type="dxa"/>
            <w:tcBorders>
              <w:top w:val="nil"/>
              <w:left w:val="single" w:sz="4" w:space="0" w:color="auto"/>
              <w:bottom w:val="single" w:sz="4" w:space="0" w:color="auto"/>
              <w:right w:val="nil"/>
            </w:tcBorders>
            <w:shd w:val="clear" w:color="auto" w:fill="auto"/>
            <w:noWrap/>
            <w:vAlign w:val="center"/>
            <w:hideMark/>
          </w:tcPr>
          <w:p w14:paraId="27CBE946" w14:textId="77777777" w:rsidR="00387142" w:rsidRPr="008B6A75" w:rsidRDefault="00387142" w:rsidP="00387142">
            <w:pPr>
              <w:jc w:val="center"/>
              <w:rPr>
                <w:sz w:val="20"/>
                <w:szCs w:val="20"/>
              </w:rPr>
            </w:pPr>
            <w:r w:rsidRPr="008B6A75">
              <w:rPr>
                <w:sz w:val="20"/>
                <w:szCs w:val="20"/>
              </w:rPr>
              <w:t>07</w:t>
            </w:r>
          </w:p>
        </w:tc>
        <w:tc>
          <w:tcPr>
            <w:tcW w:w="567" w:type="dxa"/>
            <w:tcBorders>
              <w:top w:val="nil"/>
              <w:left w:val="single" w:sz="4" w:space="0" w:color="auto"/>
              <w:bottom w:val="single" w:sz="4" w:space="0" w:color="auto"/>
              <w:right w:val="nil"/>
            </w:tcBorders>
            <w:shd w:val="clear" w:color="auto" w:fill="auto"/>
            <w:noWrap/>
            <w:vAlign w:val="center"/>
            <w:hideMark/>
          </w:tcPr>
          <w:p w14:paraId="54C0E21E" w14:textId="77777777" w:rsidR="00387142" w:rsidRPr="008B6A75" w:rsidRDefault="00387142" w:rsidP="00387142">
            <w:pPr>
              <w:jc w:val="center"/>
              <w:rPr>
                <w:sz w:val="20"/>
                <w:szCs w:val="20"/>
              </w:rPr>
            </w:pPr>
            <w:r w:rsidRPr="008B6A75">
              <w:rPr>
                <w:sz w:val="20"/>
                <w:szCs w:val="20"/>
              </w:rPr>
              <w:t>05</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6AF81E0" w14:textId="77777777" w:rsidR="00387142" w:rsidRPr="008B6A75" w:rsidRDefault="00387142" w:rsidP="00387142">
            <w:pPr>
              <w:jc w:val="right"/>
              <w:rPr>
                <w:sz w:val="20"/>
                <w:szCs w:val="20"/>
              </w:rPr>
            </w:pPr>
            <w:r w:rsidRPr="008B6A75">
              <w:rPr>
                <w:sz w:val="20"/>
                <w:szCs w:val="20"/>
              </w:rPr>
              <w:t>44 310,00</w:t>
            </w:r>
          </w:p>
        </w:tc>
        <w:tc>
          <w:tcPr>
            <w:tcW w:w="851" w:type="dxa"/>
            <w:tcBorders>
              <w:top w:val="nil"/>
              <w:left w:val="single" w:sz="4" w:space="0" w:color="auto"/>
              <w:bottom w:val="single" w:sz="4" w:space="0" w:color="auto"/>
              <w:right w:val="nil"/>
            </w:tcBorders>
            <w:shd w:val="clear" w:color="auto" w:fill="auto"/>
            <w:noWrap/>
            <w:vAlign w:val="center"/>
            <w:hideMark/>
          </w:tcPr>
          <w:p w14:paraId="16163436" w14:textId="77777777" w:rsidR="00387142" w:rsidRPr="008B6A75" w:rsidRDefault="00387142" w:rsidP="00387142">
            <w:pPr>
              <w:jc w:val="right"/>
              <w:rPr>
                <w:sz w:val="20"/>
                <w:szCs w:val="20"/>
              </w:rPr>
            </w:pPr>
            <w:r w:rsidRPr="008B6A75">
              <w:rPr>
                <w:sz w:val="20"/>
                <w:szCs w:val="20"/>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6CDDBA2E" w14:textId="77777777" w:rsidR="00387142" w:rsidRPr="008B6A75" w:rsidRDefault="00387142" w:rsidP="00387142">
            <w:pPr>
              <w:jc w:val="right"/>
              <w:rPr>
                <w:sz w:val="20"/>
                <w:szCs w:val="20"/>
              </w:rPr>
            </w:pPr>
            <w:r w:rsidRPr="008B6A75">
              <w:rPr>
                <w:sz w:val="20"/>
                <w:szCs w:val="20"/>
              </w:rPr>
              <w:t>0,00</w:t>
            </w:r>
          </w:p>
        </w:tc>
      </w:tr>
      <w:tr w:rsidR="00387142" w:rsidRPr="008B6A75" w14:paraId="5752D8E1" w14:textId="77777777" w:rsidTr="00387142">
        <w:trPr>
          <w:trHeight w:val="585"/>
        </w:trPr>
        <w:tc>
          <w:tcPr>
            <w:tcW w:w="272" w:type="dxa"/>
            <w:tcBorders>
              <w:top w:val="nil"/>
              <w:left w:val="nil"/>
              <w:bottom w:val="nil"/>
              <w:right w:val="single" w:sz="4" w:space="0" w:color="auto"/>
            </w:tcBorders>
            <w:shd w:val="clear" w:color="auto" w:fill="auto"/>
            <w:noWrap/>
            <w:vAlign w:val="bottom"/>
            <w:hideMark/>
          </w:tcPr>
          <w:p w14:paraId="55C4F6AF"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003884D3" w14:textId="77777777" w:rsidR="00387142" w:rsidRPr="008B6A75" w:rsidRDefault="00387142" w:rsidP="00387142">
            <w:pPr>
              <w:rPr>
                <w:sz w:val="20"/>
                <w:szCs w:val="20"/>
              </w:rPr>
            </w:pPr>
            <w:r w:rsidRPr="008B6A75">
              <w:rPr>
                <w:sz w:val="20"/>
                <w:szCs w:val="20"/>
              </w:rPr>
              <w:t>Закупка товаров, работ и услуг для обеспечения государственных (муниципальных) нужд</w:t>
            </w:r>
          </w:p>
        </w:tc>
        <w:tc>
          <w:tcPr>
            <w:tcW w:w="1559" w:type="dxa"/>
            <w:tcBorders>
              <w:top w:val="nil"/>
              <w:left w:val="single" w:sz="4" w:space="0" w:color="auto"/>
              <w:bottom w:val="single" w:sz="4" w:space="0" w:color="auto"/>
              <w:right w:val="nil"/>
            </w:tcBorders>
            <w:shd w:val="clear" w:color="auto" w:fill="auto"/>
            <w:noWrap/>
            <w:vAlign w:val="center"/>
            <w:hideMark/>
          </w:tcPr>
          <w:p w14:paraId="134C3FB0" w14:textId="77777777" w:rsidR="00387142" w:rsidRPr="008B6A75" w:rsidRDefault="00387142" w:rsidP="00387142">
            <w:pPr>
              <w:jc w:val="center"/>
              <w:rPr>
                <w:sz w:val="20"/>
                <w:szCs w:val="20"/>
              </w:rPr>
            </w:pPr>
            <w:r w:rsidRPr="008B6A75">
              <w:rPr>
                <w:sz w:val="20"/>
                <w:szCs w:val="20"/>
              </w:rPr>
              <w:t>07.2.00.79500</w:t>
            </w:r>
          </w:p>
        </w:tc>
        <w:tc>
          <w:tcPr>
            <w:tcW w:w="850" w:type="dxa"/>
            <w:tcBorders>
              <w:top w:val="nil"/>
              <w:left w:val="single" w:sz="4" w:space="0" w:color="auto"/>
              <w:bottom w:val="single" w:sz="4" w:space="0" w:color="auto"/>
              <w:right w:val="nil"/>
            </w:tcBorders>
            <w:shd w:val="clear" w:color="auto" w:fill="auto"/>
            <w:noWrap/>
            <w:vAlign w:val="center"/>
            <w:hideMark/>
          </w:tcPr>
          <w:p w14:paraId="6F33FCC8" w14:textId="77777777" w:rsidR="00387142" w:rsidRPr="008B6A75" w:rsidRDefault="00387142" w:rsidP="00387142">
            <w:pPr>
              <w:jc w:val="center"/>
              <w:rPr>
                <w:sz w:val="20"/>
                <w:szCs w:val="20"/>
              </w:rPr>
            </w:pPr>
            <w:r w:rsidRPr="008B6A75">
              <w:rPr>
                <w:sz w:val="20"/>
                <w:szCs w:val="20"/>
              </w:rPr>
              <w:t>200</w:t>
            </w:r>
          </w:p>
        </w:tc>
        <w:tc>
          <w:tcPr>
            <w:tcW w:w="567" w:type="dxa"/>
            <w:tcBorders>
              <w:top w:val="nil"/>
              <w:left w:val="single" w:sz="4" w:space="0" w:color="auto"/>
              <w:bottom w:val="single" w:sz="4" w:space="0" w:color="auto"/>
              <w:right w:val="nil"/>
            </w:tcBorders>
            <w:shd w:val="clear" w:color="auto" w:fill="auto"/>
            <w:noWrap/>
            <w:vAlign w:val="center"/>
            <w:hideMark/>
          </w:tcPr>
          <w:p w14:paraId="3875758E" w14:textId="77777777" w:rsidR="00387142" w:rsidRPr="008B6A75" w:rsidRDefault="00387142" w:rsidP="00387142">
            <w:pPr>
              <w:jc w:val="center"/>
              <w:rPr>
                <w:sz w:val="20"/>
                <w:szCs w:val="20"/>
              </w:rPr>
            </w:pPr>
            <w:r w:rsidRPr="008B6A75">
              <w:rPr>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0D2BA008" w14:textId="77777777" w:rsidR="00387142" w:rsidRPr="008B6A75" w:rsidRDefault="00387142" w:rsidP="00387142">
            <w:pPr>
              <w:jc w:val="center"/>
              <w:rPr>
                <w:sz w:val="20"/>
                <w:szCs w:val="20"/>
              </w:rPr>
            </w:pPr>
            <w:r w:rsidRPr="008B6A75">
              <w:rPr>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DA70568" w14:textId="77777777" w:rsidR="00387142" w:rsidRPr="008B6A75" w:rsidRDefault="00387142" w:rsidP="00387142">
            <w:pPr>
              <w:jc w:val="right"/>
              <w:rPr>
                <w:sz w:val="20"/>
                <w:szCs w:val="20"/>
              </w:rPr>
            </w:pPr>
            <w:r w:rsidRPr="008B6A75">
              <w:rPr>
                <w:sz w:val="20"/>
                <w:szCs w:val="20"/>
              </w:rPr>
              <w:t>231 670,00</w:t>
            </w:r>
          </w:p>
        </w:tc>
        <w:tc>
          <w:tcPr>
            <w:tcW w:w="851" w:type="dxa"/>
            <w:tcBorders>
              <w:top w:val="nil"/>
              <w:left w:val="single" w:sz="4" w:space="0" w:color="auto"/>
              <w:bottom w:val="single" w:sz="4" w:space="0" w:color="auto"/>
              <w:right w:val="nil"/>
            </w:tcBorders>
            <w:shd w:val="clear" w:color="auto" w:fill="auto"/>
            <w:noWrap/>
            <w:vAlign w:val="center"/>
            <w:hideMark/>
          </w:tcPr>
          <w:p w14:paraId="6B8750F4" w14:textId="77777777" w:rsidR="00387142" w:rsidRPr="008B6A75" w:rsidRDefault="00387142" w:rsidP="00387142">
            <w:pPr>
              <w:jc w:val="right"/>
              <w:rPr>
                <w:sz w:val="20"/>
                <w:szCs w:val="20"/>
              </w:rPr>
            </w:pPr>
            <w:r w:rsidRPr="008B6A75">
              <w:rPr>
                <w:sz w:val="20"/>
                <w:szCs w:val="20"/>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4139893E" w14:textId="77777777" w:rsidR="00387142" w:rsidRPr="008B6A75" w:rsidRDefault="00387142" w:rsidP="00387142">
            <w:pPr>
              <w:jc w:val="right"/>
              <w:rPr>
                <w:sz w:val="20"/>
                <w:szCs w:val="20"/>
              </w:rPr>
            </w:pPr>
            <w:r w:rsidRPr="008B6A75">
              <w:rPr>
                <w:sz w:val="20"/>
                <w:szCs w:val="20"/>
              </w:rPr>
              <w:t>0,00</w:t>
            </w:r>
          </w:p>
        </w:tc>
      </w:tr>
      <w:tr w:rsidR="00387142" w:rsidRPr="008B6A75" w14:paraId="3B3FCBA1" w14:textId="77777777" w:rsidTr="00387142">
        <w:trPr>
          <w:trHeight w:val="870"/>
        </w:trPr>
        <w:tc>
          <w:tcPr>
            <w:tcW w:w="272" w:type="dxa"/>
            <w:tcBorders>
              <w:top w:val="nil"/>
              <w:left w:val="nil"/>
              <w:bottom w:val="nil"/>
              <w:right w:val="single" w:sz="4" w:space="0" w:color="auto"/>
            </w:tcBorders>
            <w:shd w:val="clear" w:color="auto" w:fill="auto"/>
            <w:noWrap/>
            <w:vAlign w:val="bottom"/>
            <w:hideMark/>
          </w:tcPr>
          <w:p w14:paraId="205702E9"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45176FF3" w14:textId="77777777" w:rsidR="00387142" w:rsidRPr="008B6A75" w:rsidRDefault="00387142" w:rsidP="00387142">
            <w:pPr>
              <w:rPr>
                <w:sz w:val="20"/>
                <w:szCs w:val="20"/>
              </w:rPr>
            </w:pPr>
            <w:r w:rsidRPr="008B6A75">
              <w:rPr>
                <w:sz w:val="20"/>
                <w:szCs w:val="20"/>
              </w:rPr>
              <w:t>Иные закупки товаров, работ и услуг для обеспечения государственных (муниципальных) нужд</w:t>
            </w:r>
          </w:p>
        </w:tc>
        <w:tc>
          <w:tcPr>
            <w:tcW w:w="1559" w:type="dxa"/>
            <w:tcBorders>
              <w:top w:val="nil"/>
              <w:left w:val="single" w:sz="4" w:space="0" w:color="auto"/>
              <w:bottom w:val="single" w:sz="4" w:space="0" w:color="auto"/>
              <w:right w:val="nil"/>
            </w:tcBorders>
            <w:shd w:val="clear" w:color="auto" w:fill="auto"/>
            <w:noWrap/>
            <w:vAlign w:val="center"/>
            <w:hideMark/>
          </w:tcPr>
          <w:p w14:paraId="2F2E85CF" w14:textId="77777777" w:rsidR="00387142" w:rsidRPr="008B6A75" w:rsidRDefault="00387142" w:rsidP="00387142">
            <w:pPr>
              <w:jc w:val="center"/>
              <w:rPr>
                <w:sz w:val="20"/>
                <w:szCs w:val="20"/>
              </w:rPr>
            </w:pPr>
            <w:r w:rsidRPr="008B6A75">
              <w:rPr>
                <w:sz w:val="20"/>
                <w:szCs w:val="20"/>
              </w:rPr>
              <w:t>07.2.00.79500</w:t>
            </w:r>
          </w:p>
        </w:tc>
        <w:tc>
          <w:tcPr>
            <w:tcW w:w="850" w:type="dxa"/>
            <w:tcBorders>
              <w:top w:val="nil"/>
              <w:left w:val="single" w:sz="4" w:space="0" w:color="auto"/>
              <w:bottom w:val="single" w:sz="4" w:space="0" w:color="auto"/>
              <w:right w:val="nil"/>
            </w:tcBorders>
            <w:shd w:val="clear" w:color="auto" w:fill="auto"/>
            <w:noWrap/>
            <w:vAlign w:val="center"/>
            <w:hideMark/>
          </w:tcPr>
          <w:p w14:paraId="26D02972" w14:textId="77777777" w:rsidR="00387142" w:rsidRPr="008B6A75" w:rsidRDefault="00387142" w:rsidP="00387142">
            <w:pPr>
              <w:jc w:val="center"/>
              <w:rPr>
                <w:sz w:val="20"/>
                <w:szCs w:val="20"/>
              </w:rPr>
            </w:pPr>
            <w:r w:rsidRPr="008B6A75">
              <w:rPr>
                <w:sz w:val="20"/>
                <w:szCs w:val="20"/>
              </w:rPr>
              <w:t>240</w:t>
            </w:r>
          </w:p>
        </w:tc>
        <w:tc>
          <w:tcPr>
            <w:tcW w:w="567" w:type="dxa"/>
            <w:tcBorders>
              <w:top w:val="nil"/>
              <w:left w:val="single" w:sz="4" w:space="0" w:color="auto"/>
              <w:bottom w:val="single" w:sz="4" w:space="0" w:color="auto"/>
              <w:right w:val="nil"/>
            </w:tcBorders>
            <w:shd w:val="clear" w:color="auto" w:fill="auto"/>
            <w:noWrap/>
            <w:vAlign w:val="center"/>
            <w:hideMark/>
          </w:tcPr>
          <w:p w14:paraId="1AD2CCB0" w14:textId="77777777" w:rsidR="00387142" w:rsidRPr="008B6A75" w:rsidRDefault="00387142" w:rsidP="00387142">
            <w:pPr>
              <w:jc w:val="center"/>
              <w:rPr>
                <w:sz w:val="20"/>
                <w:szCs w:val="20"/>
              </w:rPr>
            </w:pPr>
            <w:r w:rsidRPr="008B6A75">
              <w:rPr>
                <w:sz w:val="20"/>
                <w:szCs w:val="20"/>
              </w:rPr>
              <w:t>07</w:t>
            </w:r>
          </w:p>
        </w:tc>
        <w:tc>
          <w:tcPr>
            <w:tcW w:w="567" w:type="dxa"/>
            <w:tcBorders>
              <w:top w:val="nil"/>
              <w:left w:val="single" w:sz="4" w:space="0" w:color="auto"/>
              <w:bottom w:val="single" w:sz="4" w:space="0" w:color="auto"/>
              <w:right w:val="nil"/>
            </w:tcBorders>
            <w:shd w:val="clear" w:color="auto" w:fill="auto"/>
            <w:noWrap/>
            <w:vAlign w:val="center"/>
            <w:hideMark/>
          </w:tcPr>
          <w:p w14:paraId="24034059" w14:textId="77777777" w:rsidR="00387142" w:rsidRPr="008B6A75" w:rsidRDefault="00387142" w:rsidP="00387142">
            <w:pPr>
              <w:jc w:val="center"/>
              <w:rPr>
                <w:sz w:val="20"/>
                <w:szCs w:val="20"/>
              </w:rPr>
            </w:pPr>
            <w:r w:rsidRPr="008B6A75">
              <w:rPr>
                <w:sz w:val="20"/>
                <w:szCs w:val="20"/>
              </w:rPr>
              <w:t>05</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BC869F4" w14:textId="77777777" w:rsidR="00387142" w:rsidRPr="008B6A75" w:rsidRDefault="00387142" w:rsidP="00387142">
            <w:pPr>
              <w:jc w:val="right"/>
              <w:rPr>
                <w:sz w:val="20"/>
                <w:szCs w:val="20"/>
              </w:rPr>
            </w:pPr>
            <w:r w:rsidRPr="008B6A75">
              <w:rPr>
                <w:sz w:val="20"/>
                <w:szCs w:val="20"/>
              </w:rPr>
              <w:t>231 670,00</w:t>
            </w:r>
          </w:p>
        </w:tc>
        <w:tc>
          <w:tcPr>
            <w:tcW w:w="851" w:type="dxa"/>
            <w:tcBorders>
              <w:top w:val="nil"/>
              <w:left w:val="single" w:sz="4" w:space="0" w:color="auto"/>
              <w:bottom w:val="single" w:sz="4" w:space="0" w:color="auto"/>
              <w:right w:val="nil"/>
            </w:tcBorders>
            <w:shd w:val="clear" w:color="auto" w:fill="auto"/>
            <w:noWrap/>
            <w:vAlign w:val="center"/>
            <w:hideMark/>
          </w:tcPr>
          <w:p w14:paraId="42958464" w14:textId="77777777" w:rsidR="00387142" w:rsidRPr="008B6A75" w:rsidRDefault="00387142" w:rsidP="00387142">
            <w:pPr>
              <w:jc w:val="right"/>
              <w:rPr>
                <w:sz w:val="20"/>
                <w:szCs w:val="20"/>
              </w:rPr>
            </w:pPr>
            <w:r w:rsidRPr="008B6A75">
              <w:rPr>
                <w:sz w:val="20"/>
                <w:szCs w:val="20"/>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7D04C67E" w14:textId="77777777" w:rsidR="00387142" w:rsidRPr="008B6A75" w:rsidRDefault="00387142" w:rsidP="00387142">
            <w:pPr>
              <w:jc w:val="right"/>
              <w:rPr>
                <w:sz w:val="20"/>
                <w:szCs w:val="20"/>
              </w:rPr>
            </w:pPr>
            <w:r w:rsidRPr="008B6A75">
              <w:rPr>
                <w:sz w:val="20"/>
                <w:szCs w:val="20"/>
              </w:rPr>
              <w:t>0,00</w:t>
            </w:r>
          </w:p>
        </w:tc>
      </w:tr>
      <w:tr w:rsidR="00387142" w:rsidRPr="008B6A75" w14:paraId="1F29F263" w14:textId="77777777" w:rsidTr="00387142">
        <w:trPr>
          <w:trHeight w:val="870"/>
        </w:trPr>
        <w:tc>
          <w:tcPr>
            <w:tcW w:w="272" w:type="dxa"/>
            <w:tcBorders>
              <w:top w:val="nil"/>
              <w:left w:val="nil"/>
              <w:bottom w:val="nil"/>
              <w:right w:val="single" w:sz="4" w:space="0" w:color="auto"/>
            </w:tcBorders>
            <w:shd w:val="clear" w:color="auto" w:fill="auto"/>
            <w:noWrap/>
            <w:vAlign w:val="bottom"/>
            <w:hideMark/>
          </w:tcPr>
          <w:p w14:paraId="1973C312"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090F4C61" w14:textId="77777777" w:rsidR="00387142" w:rsidRPr="008B6A75" w:rsidRDefault="00387142" w:rsidP="00387142">
            <w:pPr>
              <w:rPr>
                <w:sz w:val="20"/>
                <w:szCs w:val="20"/>
              </w:rPr>
            </w:pPr>
            <w:r w:rsidRPr="008B6A75">
              <w:rPr>
                <w:sz w:val="20"/>
                <w:szCs w:val="20"/>
              </w:rPr>
              <w:t>Предоставление субсидий бюджетным, автономным учреждениям и иным некоммерческим организациям</w:t>
            </w:r>
          </w:p>
        </w:tc>
        <w:tc>
          <w:tcPr>
            <w:tcW w:w="1559" w:type="dxa"/>
            <w:tcBorders>
              <w:top w:val="nil"/>
              <w:left w:val="single" w:sz="4" w:space="0" w:color="auto"/>
              <w:bottom w:val="single" w:sz="4" w:space="0" w:color="auto"/>
              <w:right w:val="nil"/>
            </w:tcBorders>
            <w:shd w:val="clear" w:color="auto" w:fill="auto"/>
            <w:noWrap/>
            <w:vAlign w:val="center"/>
            <w:hideMark/>
          </w:tcPr>
          <w:p w14:paraId="2AF1D99D" w14:textId="77777777" w:rsidR="00387142" w:rsidRPr="008B6A75" w:rsidRDefault="00387142" w:rsidP="00387142">
            <w:pPr>
              <w:jc w:val="center"/>
              <w:rPr>
                <w:sz w:val="20"/>
                <w:szCs w:val="20"/>
              </w:rPr>
            </w:pPr>
            <w:r w:rsidRPr="008B6A75">
              <w:rPr>
                <w:sz w:val="20"/>
                <w:szCs w:val="20"/>
              </w:rPr>
              <w:t>07.2.00.79500</w:t>
            </w:r>
          </w:p>
        </w:tc>
        <w:tc>
          <w:tcPr>
            <w:tcW w:w="850" w:type="dxa"/>
            <w:tcBorders>
              <w:top w:val="nil"/>
              <w:left w:val="single" w:sz="4" w:space="0" w:color="auto"/>
              <w:bottom w:val="single" w:sz="4" w:space="0" w:color="auto"/>
              <w:right w:val="nil"/>
            </w:tcBorders>
            <w:shd w:val="clear" w:color="auto" w:fill="auto"/>
            <w:noWrap/>
            <w:vAlign w:val="center"/>
            <w:hideMark/>
          </w:tcPr>
          <w:p w14:paraId="1B36349A" w14:textId="77777777" w:rsidR="00387142" w:rsidRPr="008B6A75" w:rsidRDefault="00387142" w:rsidP="00387142">
            <w:pPr>
              <w:jc w:val="center"/>
              <w:rPr>
                <w:sz w:val="20"/>
                <w:szCs w:val="20"/>
              </w:rPr>
            </w:pPr>
            <w:r w:rsidRPr="008B6A75">
              <w:rPr>
                <w:sz w:val="20"/>
                <w:szCs w:val="20"/>
              </w:rPr>
              <w:t>600</w:t>
            </w:r>
          </w:p>
        </w:tc>
        <w:tc>
          <w:tcPr>
            <w:tcW w:w="567" w:type="dxa"/>
            <w:tcBorders>
              <w:top w:val="nil"/>
              <w:left w:val="single" w:sz="4" w:space="0" w:color="auto"/>
              <w:bottom w:val="single" w:sz="4" w:space="0" w:color="auto"/>
              <w:right w:val="nil"/>
            </w:tcBorders>
            <w:shd w:val="clear" w:color="auto" w:fill="auto"/>
            <w:noWrap/>
            <w:vAlign w:val="center"/>
            <w:hideMark/>
          </w:tcPr>
          <w:p w14:paraId="098CC640" w14:textId="77777777" w:rsidR="00387142" w:rsidRPr="008B6A75" w:rsidRDefault="00387142" w:rsidP="00387142">
            <w:pPr>
              <w:jc w:val="center"/>
              <w:rPr>
                <w:sz w:val="20"/>
                <w:szCs w:val="20"/>
              </w:rPr>
            </w:pPr>
            <w:r w:rsidRPr="008B6A75">
              <w:rPr>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789E319B" w14:textId="77777777" w:rsidR="00387142" w:rsidRPr="008B6A75" w:rsidRDefault="00387142" w:rsidP="00387142">
            <w:pPr>
              <w:jc w:val="center"/>
              <w:rPr>
                <w:sz w:val="20"/>
                <w:szCs w:val="20"/>
              </w:rPr>
            </w:pPr>
            <w:r w:rsidRPr="008B6A75">
              <w:rPr>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7E1F587" w14:textId="77777777" w:rsidR="00387142" w:rsidRPr="008B6A75" w:rsidRDefault="00387142" w:rsidP="00387142">
            <w:pPr>
              <w:jc w:val="right"/>
              <w:rPr>
                <w:sz w:val="20"/>
                <w:szCs w:val="20"/>
              </w:rPr>
            </w:pPr>
            <w:r w:rsidRPr="008B6A75">
              <w:rPr>
                <w:sz w:val="20"/>
                <w:szCs w:val="20"/>
              </w:rPr>
              <w:t>826 983,80</w:t>
            </w:r>
          </w:p>
        </w:tc>
        <w:tc>
          <w:tcPr>
            <w:tcW w:w="851" w:type="dxa"/>
            <w:tcBorders>
              <w:top w:val="nil"/>
              <w:left w:val="single" w:sz="4" w:space="0" w:color="auto"/>
              <w:bottom w:val="single" w:sz="4" w:space="0" w:color="auto"/>
              <w:right w:val="nil"/>
            </w:tcBorders>
            <w:shd w:val="clear" w:color="auto" w:fill="auto"/>
            <w:noWrap/>
            <w:vAlign w:val="center"/>
            <w:hideMark/>
          </w:tcPr>
          <w:p w14:paraId="62951D5F" w14:textId="77777777" w:rsidR="00387142" w:rsidRPr="008B6A75" w:rsidRDefault="00387142" w:rsidP="00387142">
            <w:pPr>
              <w:jc w:val="right"/>
              <w:rPr>
                <w:sz w:val="20"/>
                <w:szCs w:val="20"/>
              </w:rPr>
            </w:pPr>
            <w:r w:rsidRPr="008B6A75">
              <w:rPr>
                <w:sz w:val="20"/>
                <w:szCs w:val="20"/>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0D94C3D8" w14:textId="77777777" w:rsidR="00387142" w:rsidRPr="008B6A75" w:rsidRDefault="00387142" w:rsidP="00387142">
            <w:pPr>
              <w:jc w:val="right"/>
              <w:rPr>
                <w:sz w:val="20"/>
                <w:szCs w:val="20"/>
              </w:rPr>
            </w:pPr>
            <w:r w:rsidRPr="008B6A75">
              <w:rPr>
                <w:sz w:val="20"/>
                <w:szCs w:val="20"/>
              </w:rPr>
              <w:t>0,00</w:t>
            </w:r>
          </w:p>
        </w:tc>
      </w:tr>
      <w:tr w:rsidR="00387142" w:rsidRPr="008B6A75" w14:paraId="05E75ADF" w14:textId="77777777" w:rsidTr="00387142">
        <w:trPr>
          <w:trHeight w:val="300"/>
        </w:trPr>
        <w:tc>
          <w:tcPr>
            <w:tcW w:w="272" w:type="dxa"/>
            <w:tcBorders>
              <w:top w:val="nil"/>
              <w:left w:val="nil"/>
              <w:bottom w:val="nil"/>
              <w:right w:val="single" w:sz="4" w:space="0" w:color="auto"/>
            </w:tcBorders>
            <w:shd w:val="clear" w:color="auto" w:fill="auto"/>
            <w:noWrap/>
            <w:vAlign w:val="bottom"/>
            <w:hideMark/>
          </w:tcPr>
          <w:p w14:paraId="27448D4B"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0BED3B1C" w14:textId="77777777" w:rsidR="00387142" w:rsidRPr="008B6A75" w:rsidRDefault="00387142" w:rsidP="00387142">
            <w:pPr>
              <w:rPr>
                <w:sz w:val="20"/>
                <w:szCs w:val="20"/>
              </w:rPr>
            </w:pPr>
            <w:r w:rsidRPr="008B6A75">
              <w:rPr>
                <w:sz w:val="20"/>
                <w:szCs w:val="20"/>
              </w:rPr>
              <w:t>Субсидии бюджетным учреждениям</w:t>
            </w:r>
          </w:p>
        </w:tc>
        <w:tc>
          <w:tcPr>
            <w:tcW w:w="1559" w:type="dxa"/>
            <w:tcBorders>
              <w:top w:val="nil"/>
              <w:left w:val="single" w:sz="4" w:space="0" w:color="auto"/>
              <w:bottom w:val="single" w:sz="4" w:space="0" w:color="auto"/>
              <w:right w:val="nil"/>
            </w:tcBorders>
            <w:shd w:val="clear" w:color="auto" w:fill="auto"/>
            <w:noWrap/>
            <w:vAlign w:val="center"/>
            <w:hideMark/>
          </w:tcPr>
          <w:p w14:paraId="270151E1" w14:textId="77777777" w:rsidR="00387142" w:rsidRPr="008B6A75" w:rsidRDefault="00387142" w:rsidP="00387142">
            <w:pPr>
              <w:jc w:val="center"/>
              <w:rPr>
                <w:sz w:val="20"/>
                <w:szCs w:val="20"/>
              </w:rPr>
            </w:pPr>
            <w:r w:rsidRPr="008B6A75">
              <w:rPr>
                <w:sz w:val="20"/>
                <w:szCs w:val="20"/>
              </w:rPr>
              <w:t>07.2.00.79500</w:t>
            </w:r>
          </w:p>
        </w:tc>
        <w:tc>
          <w:tcPr>
            <w:tcW w:w="850" w:type="dxa"/>
            <w:tcBorders>
              <w:top w:val="nil"/>
              <w:left w:val="single" w:sz="4" w:space="0" w:color="auto"/>
              <w:bottom w:val="single" w:sz="4" w:space="0" w:color="auto"/>
              <w:right w:val="nil"/>
            </w:tcBorders>
            <w:shd w:val="clear" w:color="auto" w:fill="auto"/>
            <w:noWrap/>
            <w:vAlign w:val="center"/>
            <w:hideMark/>
          </w:tcPr>
          <w:p w14:paraId="78AEDAC2" w14:textId="77777777" w:rsidR="00387142" w:rsidRPr="008B6A75" w:rsidRDefault="00387142" w:rsidP="00387142">
            <w:pPr>
              <w:jc w:val="center"/>
              <w:rPr>
                <w:sz w:val="20"/>
                <w:szCs w:val="20"/>
              </w:rPr>
            </w:pPr>
            <w:r w:rsidRPr="008B6A75">
              <w:rPr>
                <w:sz w:val="20"/>
                <w:szCs w:val="20"/>
              </w:rPr>
              <w:t>610</w:t>
            </w:r>
          </w:p>
        </w:tc>
        <w:tc>
          <w:tcPr>
            <w:tcW w:w="567" w:type="dxa"/>
            <w:tcBorders>
              <w:top w:val="nil"/>
              <w:left w:val="single" w:sz="4" w:space="0" w:color="auto"/>
              <w:bottom w:val="single" w:sz="4" w:space="0" w:color="auto"/>
              <w:right w:val="nil"/>
            </w:tcBorders>
            <w:shd w:val="clear" w:color="auto" w:fill="auto"/>
            <w:noWrap/>
            <w:vAlign w:val="center"/>
            <w:hideMark/>
          </w:tcPr>
          <w:p w14:paraId="670B4341" w14:textId="77777777" w:rsidR="00387142" w:rsidRPr="008B6A75" w:rsidRDefault="00387142" w:rsidP="00387142">
            <w:pPr>
              <w:jc w:val="center"/>
              <w:rPr>
                <w:sz w:val="20"/>
                <w:szCs w:val="20"/>
              </w:rPr>
            </w:pPr>
            <w:r w:rsidRPr="008B6A75">
              <w:rPr>
                <w:sz w:val="20"/>
                <w:szCs w:val="20"/>
              </w:rPr>
              <w:t>07</w:t>
            </w:r>
          </w:p>
        </w:tc>
        <w:tc>
          <w:tcPr>
            <w:tcW w:w="567" w:type="dxa"/>
            <w:tcBorders>
              <w:top w:val="nil"/>
              <w:left w:val="single" w:sz="4" w:space="0" w:color="auto"/>
              <w:bottom w:val="single" w:sz="4" w:space="0" w:color="auto"/>
              <w:right w:val="nil"/>
            </w:tcBorders>
            <w:shd w:val="clear" w:color="auto" w:fill="auto"/>
            <w:noWrap/>
            <w:vAlign w:val="center"/>
            <w:hideMark/>
          </w:tcPr>
          <w:p w14:paraId="361FFB57" w14:textId="77777777" w:rsidR="00387142" w:rsidRPr="008B6A75" w:rsidRDefault="00387142" w:rsidP="00387142">
            <w:pPr>
              <w:jc w:val="center"/>
              <w:rPr>
                <w:sz w:val="20"/>
                <w:szCs w:val="20"/>
              </w:rPr>
            </w:pPr>
            <w:r w:rsidRPr="008B6A75">
              <w:rPr>
                <w:sz w:val="20"/>
                <w:szCs w:val="20"/>
              </w:rPr>
              <w:t>02</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3FA1393" w14:textId="77777777" w:rsidR="00387142" w:rsidRPr="008B6A75" w:rsidRDefault="00387142" w:rsidP="00387142">
            <w:pPr>
              <w:jc w:val="right"/>
              <w:rPr>
                <w:sz w:val="20"/>
                <w:szCs w:val="20"/>
              </w:rPr>
            </w:pPr>
            <w:r w:rsidRPr="008B6A75">
              <w:rPr>
                <w:sz w:val="20"/>
                <w:szCs w:val="20"/>
              </w:rPr>
              <w:t>110 000,00</w:t>
            </w:r>
          </w:p>
        </w:tc>
        <w:tc>
          <w:tcPr>
            <w:tcW w:w="851" w:type="dxa"/>
            <w:tcBorders>
              <w:top w:val="nil"/>
              <w:left w:val="single" w:sz="4" w:space="0" w:color="auto"/>
              <w:bottom w:val="single" w:sz="4" w:space="0" w:color="auto"/>
              <w:right w:val="nil"/>
            </w:tcBorders>
            <w:shd w:val="clear" w:color="auto" w:fill="auto"/>
            <w:noWrap/>
            <w:vAlign w:val="center"/>
            <w:hideMark/>
          </w:tcPr>
          <w:p w14:paraId="2BCD8F26" w14:textId="77777777" w:rsidR="00387142" w:rsidRPr="008B6A75" w:rsidRDefault="00387142" w:rsidP="00387142">
            <w:pPr>
              <w:jc w:val="right"/>
              <w:rPr>
                <w:sz w:val="20"/>
                <w:szCs w:val="20"/>
              </w:rPr>
            </w:pPr>
            <w:r w:rsidRPr="008B6A75">
              <w:rPr>
                <w:sz w:val="20"/>
                <w:szCs w:val="20"/>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07F966BF" w14:textId="77777777" w:rsidR="00387142" w:rsidRPr="008B6A75" w:rsidRDefault="00387142" w:rsidP="00387142">
            <w:pPr>
              <w:jc w:val="right"/>
              <w:rPr>
                <w:sz w:val="20"/>
                <w:szCs w:val="20"/>
              </w:rPr>
            </w:pPr>
            <w:r w:rsidRPr="008B6A75">
              <w:rPr>
                <w:sz w:val="20"/>
                <w:szCs w:val="20"/>
              </w:rPr>
              <w:t>0,00</w:t>
            </w:r>
          </w:p>
        </w:tc>
      </w:tr>
      <w:tr w:rsidR="00387142" w:rsidRPr="008B6A75" w14:paraId="27A7FBFE" w14:textId="77777777" w:rsidTr="00387142">
        <w:trPr>
          <w:trHeight w:val="300"/>
        </w:trPr>
        <w:tc>
          <w:tcPr>
            <w:tcW w:w="272" w:type="dxa"/>
            <w:tcBorders>
              <w:top w:val="nil"/>
              <w:left w:val="nil"/>
              <w:bottom w:val="nil"/>
              <w:right w:val="single" w:sz="4" w:space="0" w:color="auto"/>
            </w:tcBorders>
            <w:shd w:val="clear" w:color="auto" w:fill="auto"/>
            <w:noWrap/>
            <w:vAlign w:val="bottom"/>
            <w:hideMark/>
          </w:tcPr>
          <w:p w14:paraId="1795DA4E"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6AE4AC23" w14:textId="77777777" w:rsidR="00387142" w:rsidRPr="008B6A75" w:rsidRDefault="00387142" w:rsidP="00387142">
            <w:pPr>
              <w:rPr>
                <w:sz w:val="20"/>
                <w:szCs w:val="20"/>
              </w:rPr>
            </w:pPr>
            <w:r w:rsidRPr="008B6A75">
              <w:rPr>
                <w:sz w:val="20"/>
                <w:szCs w:val="20"/>
              </w:rPr>
              <w:t>Субсидии бюджетным учреждениям</w:t>
            </w:r>
          </w:p>
        </w:tc>
        <w:tc>
          <w:tcPr>
            <w:tcW w:w="1559" w:type="dxa"/>
            <w:tcBorders>
              <w:top w:val="nil"/>
              <w:left w:val="single" w:sz="4" w:space="0" w:color="auto"/>
              <w:bottom w:val="single" w:sz="4" w:space="0" w:color="auto"/>
              <w:right w:val="nil"/>
            </w:tcBorders>
            <w:shd w:val="clear" w:color="auto" w:fill="auto"/>
            <w:noWrap/>
            <w:vAlign w:val="center"/>
            <w:hideMark/>
          </w:tcPr>
          <w:p w14:paraId="61ACB7B2" w14:textId="77777777" w:rsidR="00387142" w:rsidRPr="008B6A75" w:rsidRDefault="00387142" w:rsidP="00387142">
            <w:pPr>
              <w:jc w:val="center"/>
              <w:rPr>
                <w:sz w:val="20"/>
                <w:szCs w:val="20"/>
              </w:rPr>
            </w:pPr>
            <w:r w:rsidRPr="008B6A75">
              <w:rPr>
                <w:sz w:val="20"/>
                <w:szCs w:val="20"/>
              </w:rPr>
              <w:t>07.2.00.79500</w:t>
            </w:r>
          </w:p>
        </w:tc>
        <w:tc>
          <w:tcPr>
            <w:tcW w:w="850" w:type="dxa"/>
            <w:tcBorders>
              <w:top w:val="nil"/>
              <w:left w:val="single" w:sz="4" w:space="0" w:color="auto"/>
              <w:bottom w:val="single" w:sz="4" w:space="0" w:color="auto"/>
              <w:right w:val="nil"/>
            </w:tcBorders>
            <w:shd w:val="clear" w:color="auto" w:fill="auto"/>
            <w:noWrap/>
            <w:vAlign w:val="center"/>
            <w:hideMark/>
          </w:tcPr>
          <w:p w14:paraId="3A10009B" w14:textId="77777777" w:rsidR="00387142" w:rsidRPr="008B6A75" w:rsidRDefault="00387142" w:rsidP="00387142">
            <w:pPr>
              <w:jc w:val="center"/>
              <w:rPr>
                <w:sz w:val="20"/>
                <w:szCs w:val="20"/>
              </w:rPr>
            </w:pPr>
            <w:r w:rsidRPr="008B6A75">
              <w:rPr>
                <w:sz w:val="20"/>
                <w:szCs w:val="20"/>
              </w:rPr>
              <w:t>610</w:t>
            </w:r>
          </w:p>
        </w:tc>
        <w:tc>
          <w:tcPr>
            <w:tcW w:w="567" w:type="dxa"/>
            <w:tcBorders>
              <w:top w:val="nil"/>
              <w:left w:val="single" w:sz="4" w:space="0" w:color="auto"/>
              <w:bottom w:val="single" w:sz="4" w:space="0" w:color="auto"/>
              <w:right w:val="nil"/>
            </w:tcBorders>
            <w:shd w:val="clear" w:color="auto" w:fill="auto"/>
            <w:noWrap/>
            <w:vAlign w:val="center"/>
            <w:hideMark/>
          </w:tcPr>
          <w:p w14:paraId="12F40517" w14:textId="77777777" w:rsidR="00387142" w:rsidRPr="008B6A75" w:rsidRDefault="00387142" w:rsidP="00387142">
            <w:pPr>
              <w:jc w:val="center"/>
              <w:rPr>
                <w:sz w:val="20"/>
                <w:szCs w:val="20"/>
              </w:rPr>
            </w:pPr>
            <w:r w:rsidRPr="008B6A75">
              <w:rPr>
                <w:sz w:val="20"/>
                <w:szCs w:val="20"/>
              </w:rPr>
              <w:t>07</w:t>
            </w:r>
          </w:p>
        </w:tc>
        <w:tc>
          <w:tcPr>
            <w:tcW w:w="567" w:type="dxa"/>
            <w:tcBorders>
              <w:top w:val="nil"/>
              <w:left w:val="single" w:sz="4" w:space="0" w:color="auto"/>
              <w:bottom w:val="single" w:sz="4" w:space="0" w:color="auto"/>
              <w:right w:val="nil"/>
            </w:tcBorders>
            <w:shd w:val="clear" w:color="auto" w:fill="auto"/>
            <w:noWrap/>
            <w:vAlign w:val="center"/>
            <w:hideMark/>
          </w:tcPr>
          <w:p w14:paraId="36740179" w14:textId="77777777" w:rsidR="00387142" w:rsidRPr="008B6A75" w:rsidRDefault="00387142" w:rsidP="00387142">
            <w:pPr>
              <w:jc w:val="center"/>
              <w:rPr>
                <w:sz w:val="20"/>
                <w:szCs w:val="20"/>
              </w:rPr>
            </w:pPr>
            <w:r w:rsidRPr="008B6A75">
              <w:rPr>
                <w:sz w:val="20"/>
                <w:szCs w:val="20"/>
              </w:rPr>
              <w:t>03</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B6948B0" w14:textId="77777777" w:rsidR="00387142" w:rsidRPr="008B6A75" w:rsidRDefault="00387142" w:rsidP="00387142">
            <w:pPr>
              <w:jc w:val="right"/>
              <w:rPr>
                <w:sz w:val="20"/>
                <w:szCs w:val="20"/>
              </w:rPr>
            </w:pPr>
            <w:r w:rsidRPr="008B6A75">
              <w:rPr>
                <w:sz w:val="20"/>
                <w:szCs w:val="20"/>
              </w:rPr>
              <w:t>716 983,80</w:t>
            </w:r>
          </w:p>
        </w:tc>
        <w:tc>
          <w:tcPr>
            <w:tcW w:w="851" w:type="dxa"/>
            <w:tcBorders>
              <w:top w:val="nil"/>
              <w:left w:val="single" w:sz="4" w:space="0" w:color="auto"/>
              <w:bottom w:val="single" w:sz="4" w:space="0" w:color="auto"/>
              <w:right w:val="nil"/>
            </w:tcBorders>
            <w:shd w:val="clear" w:color="auto" w:fill="auto"/>
            <w:noWrap/>
            <w:vAlign w:val="center"/>
            <w:hideMark/>
          </w:tcPr>
          <w:p w14:paraId="31165796" w14:textId="77777777" w:rsidR="00387142" w:rsidRPr="008B6A75" w:rsidRDefault="00387142" w:rsidP="00387142">
            <w:pPr>
              <w:jc w:val="right"/>
              <w:rPr>
                <w:sz w:val="20"/>
                <w:szCs w:val="20"/>
              </w:rPr>
            </w:pPr>
            <w:r w:rsidRPr="008B6A75">
              <w:rPr>
                <w:sz w:val="20"/>
                <w:szCs w:val="20"/>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412AF28E" w14:textId="77777777" w:rsidR="00387142" w:rsidRPr="008B6A75" w:rsidRDefault="00387142" w:rsidP="00387142">
            <w:pPr>
              <w:jc w:val="right"/>
              <w:rPr>
                <w:sz w:val="20"/>
                <w:szCs w:val="20"/>
              </w:rPr>
            </w:pPr>
            <w:r w:rsidRPr="008B6A75">
              <w:rPr>
                <w:sz w:val="20"/>
                <w:szCs w:val="20"/>
              </w:rPr>
              <w:t>0,00</w:t>
            </w:r>
          </w:p>
        </w:tc>
      </w:tr>
      <w:tr w:rsidR="00387142" w:rsidRPr="008B6A75" w14:paraId="11F33F5C" w14:textId="77777777" w:rsidTr="00387142">
        <w:trPr>
          <w:trHeight w:val="870"/>
        </w:trPr>
        <w:tc>
          <w:tcPr>
            <w:tcW w:w="272" w:type="dxa"/>
            <w:tcBorders>
              <w:top w:val="nil"/>
              <w:left w:val="nil"/>
              <w:bottom w:val="nil"/>
              <w:right w:val="single" w:sz="4" w:space="0" w:color="auto"/>
            </w:tcBorders>
            <w:shd w:val="clear" w:color="auto" w:fill="auto"/>
            <w:noWrap/>
            <w:vAlign w:val="bottom"/>
            <w:hideMark/>
          </w:tcPr>
          <w:p w14:paraId="727B00E8"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73DEC8FA" w14:textId="77777777" w:rsidR="00387142" w:rsidRPr="008B6A75" w:rsidRDefault="00387142" w:rsidP="00387142">
            <w:pPr>
              <w:rPr>
                <w:bCs/>
                <w:sz w:val="20"/>
                <w:szCs w:val="20"/>
              </w:rPr>
            </w:pPr>
            <w:proofErr w:type="spellStart"/>
            <w:r w:rsidRPr="008B6A75">
              <w:rPr>
                <w:bCs/>
                <w:sz w:val="20"/>
                <w:szCs w:val="20"/>
              </w:rPr>
              <w:t>Подпрограмма"Развитие</w:t>
            </w:r>
            <w:proofErr w:type="spellEnd"/>
            <w:r w:rsidRPr="008B6A75">
              <w:rPr>
                <w:bCs/>
                <w:sz w:val="20"/>
                <w:szCs w:val="20"/>
              </w:rPr>
              <w:t xml:space="preserve"> кадрового потенциала системы дошкольного, общего и дополнительного образования детей"</w:t>
            </w:r>
          </w:p>
        </w:tc>
        <w:tc>
          <w:tcPr>
            <w:tcW w:w="1559" w:type="dxa"/>
            <w:tcBorders>
              <w:top w:val="nil"/>
              <w:left w:val="single" w:sz="4" w:space="0" w:color="auto"/>
              <w:bottom w:val="single" w:sz="4" w:space="0" w:color="auto"/>
              <w:right w:val="nil"/>
            </w:tcBorders>
            <w:shd w:val="clear" w:color="auto" w:fill="auto"/>
            <w:noWrap/>
            <w:vAlign w:val="center"/>
            <w:hideMark/>
          </w:tcPr>
          <w:p w14:paraId="44D11309" w14:textId="77777777" w:rsidR="00387142" w:rsidRPr="008B6A75" w:rsidRDefault="00387142" w:rsidP="00387142">
            <w:pPr>
              <w:jc w:val="center"/>
              <w:rPr>
                <w:bCs/>
                <w:sz w:val="20"/>
                <w:szCs w:val="20"/>
              </w:rPr>
            </w:pPr>
            <w:r w:rsidRPr="008B6A75">
              <w:rPr>
                <w:bCs/>
                <w:sz w:val="20"/>
                <w:szCs w:val="20"/>
              </w:rPr>
              <w:t>07.3.00.00000</w:t>
            </w:r>
          </w:p>
        </w:tc>
        <w:tc>
          <w:tcPr>
            <w:tcW w:w="850" w:type="dxa"/>
            <w:tcBorders>
              <w:top w:val="nil"/>
              <w:left w:val="single" w:sz="4" w:space="0" w:color="auto"/>
              <w:bottom w:val="single" w:sz="4" w:space="0" w:color="auto"/>
              <w:right w:val="nil"/>
            </w:tcBorders>
            <w:shd w:val="clear" w:color="auto" w:fill="auto"/>
            <w:noWrap/>
            <w:vAlign w:val="center"/>
            <w:hideMark/>
          </w:tcPr>
          <w:p w14:paraId="23D40F9F" w14:textId="77777777" w:rsidR="00387142" w:rsidRPr="008B6A75" w:rsidRDefault="00387142" w:rsidP="00387142">
            <w:pPr>
              <w:jc w:val="center"/>
              <w:rPr>
                <w:bCs/>
                <w:sz w:val="20"/>
                <w:szCs w:val="20"/>
              </w:rPr>
            </w:pPr>
            <w:r w:rsidRPr="008B6A75">
              <w:rPr>
                <w:bCs/>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196807F4" w14:textId="77777777" w:rsidR="00387142" w:rsidRPr="008B6A75" w:rsidRDefault="00387142" w:rsidP="00387142">
            <w:pPr>
              <w:jc w:val="center"/>
              <w:rPr>
                <w:bCs/>
                <w:sz w:val="20"/>
                <w:szCs w:val="20"/>
              </w:rPr>
            </w:pPr>
            <w:r w:rsidRPr="008B6A75">
              <w:rPr>
                <w:bCs/>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4705D02A" w14:textId="77777777" w:rsidR="00387142" w:rsidRPr="008B6A75" w:rsidRDefault="00387142" w:rsidP="00387142">
            <w:pPr>
              <w:jc w:val="center"/>
              <w:rPr>
                <w:bCs/>
                <w:sz w:val="20"/>
                <w:szCs w:val="20"/>
              </w:rPr>
            </w:pPr>
            <w:r w:rsidRPr="008B6A75">
              <w:rPr>
                <w:bCs/>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50FC1C2" w14:textId="77777777" w:rsidR="00387142" w:rsidRPr="008B6A75" w:rsidRDefault="00387142" w:rsidP="00387142">
            <w:pPr>
              <w:jc w:val="right"/>
              <w:rPr>
                <w:bCs/>
                <w:sz w:val="20"/>
                <w:szCs w:val="20"/>
              </w:rPr>
            </w:pPr>
            <w:r w:rsidRPr="008B6A75">
              <w:rPr>
                <w:bCs/>
                <w:sz w:val="20"/>
                <w:szCs w:val="20"/>
              </w:rPr>
              <w:t>991 616,20</w:t>
            </w:r>
          </w:p>
        </w:tc>
        <w:tc>
          <w:tcPr>
            <w:tcW w:w="851" w:type="dxa"/>
            <w:tcBorders>
              <w:top w:val="nil"/>
              <w:left w:val="single" w:sz="4" w:space="0" w:color="auto"/>
              <w:bottom w:val="single" w:sz="4" w:space="0" w:color="auto"/>
              <w:right w:val="nil"/>
            </w:tcBorders>
            <w:shd w:val="clear" w:color="auto" w:fill="auto"/>
            <w:noWrap/>
            <w:vAlign w:val="center"/>
            <w:hideMark/>
          </w:tcPr>
          <w:p w14:paraId="08891BE7" w14:textId="77777777" w:rsidR="00387142" w:rsidRPr="008B6A75" w:rsidRDefault="00387142" w:rsidP="00387142">
            <w:pPr>
              <w:jc w:val="right"/>
              <w:rPr>
                <w:bCs/>
                <w:sz w:val="20"/>
                <w:szCs w:val="20"/>
              </w:rPr>
            </w:pPr>
            <w:r w:rsidRPr="008B6A75">
              <w:rPr>
                <w:bCs/>
                <w:sz w:val="20"/>
                <w:szCs w:val="20"/>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0F001A07" w14:textId="77777777" w:rsidR="00387142" w:rsidRPr="008B6A75" w:rsidRDefault="00387142" w:rsidP="00387142">
            <w:pPr>
              <w:jc w:val="right"/>
              <w:rPr>
                <w:bCs/>
                <w:sz w:val="20"/>
                <w:szCs w:val="20"/>
              </w:rPr>
            </w:pPr>
            <w:r w:rsidRPr="008B6A75">
              <w:rPr>
                <w:bCs/>
                <w:sz w:val="20"/>
                <w:szCs w:val="20"/>
              </w:rPr>
              <w:t>0,00</w:t>
            </w:r>
          </w:p>
        </w:tc>
      </w:tr>
      <w:tr w:rsidR="00387142" w:rsidRPr="008B6A75" w14:paraId="68908B41" w14:textId="77777777" w:rsidTr="00387142">
        <w:trPr>
          <w:trHeight w:val="1155"/>
        </w:trPr>
        <w:tc>
          <w:tcPr>
            <w:tcW w:w="272" w:type="dxa"/>
            <w:tcBorders>
              <w:top w:val="nil"/>
              <w:left w:val="nil"/>
              <w:bottom w:val="nil"/>
              <w:right w:val="single" w:sz="4" w:space="0" w:color="auto"/>
            </w:tcBorders>
            <w:shd w:val="clear" w:color="auto" w:fill="auto"/>
            <w:noWrap/>
            <w:vAlign w:val="bottom"/>
            <w:hideMark/>
          </w:tcPr>
          <w:p w14:paraId="3BD26478"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11652457" w14:textId="77777777" w:rsidR="00387142" w:rsidRPr="008B6A75" w:rsidRDefault="00387142" w:rsidP="00387142">
            <w:pPr>
              <w:rPr>
                <w:bCs/>
                <w:sz w:val="20"/>
                <w:szCs w:val="20"/>
              </w:rPr>
            </w:pPr>
            <w:r w:rsidRPr="008B6A75">
              <w:rPr>
                <w:bCs/>
                <w:sz w:val="20"/>
                <w:szCs w:val="20"/>
              </w:rPr>
              <w:t>Реализация мероприятий подпрограммы "Развитие кадрового потенциала системы дошкольного, общего и дополнительного образования детей"</w:t>
            </w:r>
          </w:p>
        </w:tc>
        <w:tc>
          <w:tcPr>
            <w:tcW w:w="1559" w:type="dxa"/>
            <w:tcBorders>
              <w:top w:val="nil"/>
              <w:left w:val="single" w:sz="4" w:space="0" w:color="auto"/>
              <w:bottom w:val="single" w:sz="4" w:space="0" w:color="auto"/>
              <w:right w:val="nil"/>
            </w:tcBorders>
            <w:shd w:val="clear" w:color="auto" w:fill="auto"/>
            <w:noWrap/>
            <w:vAlign w:val="center"/>
            <w:hideMark/>
          </w:tcPr>
          <w:p w14:paraId="702FE1CA" w14:textId="77777777" w:rsidR="00387142" w:rsidRPr="008B6A75" w:rsidRDefault="00387142" w:rsidP="00387142">
            <w:pPr>
              <w:jc w:val="center"/>
              <w:rPr>
                <w:bCs/>
                <w:sz w:val="20"/>
                <w:szCs w:val="20"/>
              </w:rPr>
            </w:pPr>
            <w:r w:rsidRPr="008B6A75">
              <w:rPr>
                <w:bCs/>
                <w:sz w:val="20"/>
                <w:szCs w:val="20"/>
              </w:rPr>
              <w:t>07.3.00.79500</w:t>
            </w:r>
          </w:p>
        </w:tc>
        <w:tc>
          <w:tcPr>
            <w:tcW w:w="850" w:type="dxa"/>
            <w:tcBorders>
              <w:top w:val="nil"/>
              <w:left w:val="single" w:sz="4" w:space="0" w:color="auto"/>
              <w:bottom w:val="single" w:sz="4" w:space="0" w:color="auto"/>
              <w:right w:val="nil"/>
            </w:tcBorders>
            <w:shd w:val="clear" w:color="auto" w:fill="auto"/>
            <w:noWrap/>
            <w:vAlign w:val="center"/>
            <w:hideMark/>
          </w:tcPr>
          <w:p w14:paraId="77F5E775" w14:textId="77777777" w:rsidR="00387142" w:rsidRPr="008B6A75" w:rsidRDefault="00387142" w:rsidP="00387142">
            <w:pPr>
              <w:jc w:val="center"/>
              <w:rPr>
                <w:bCs/>
                <w:sz w:val="20"/>
                <w:szCs w:val="20"/>
              </w:rPr>
            </w:pPr>
            <w:r w:rsidRPr="008B6A75">
              <w:rPr>
                <w:bCs/>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2FBD750E" w14:textId="77777777" w:rsidR="00387142" w:rsidRPr="008B6A75" w:rsidRDefault="00387142" w:rsidP="00387142">
            <w:pPr>
              <w:jc w:val="center"/>
              <w:rPr>
                <w:bCs/>
                <w:sz w:val="20"/>
                <w:szCs w:val="20"/>
              </w:rPr>
            </w:pPr>
            <w:r w:rsidRPr="008B6A75">
              <w:rPr>
                <w:bCs/>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1240762D" w14:textId="77777777" w:rsidR="00387142" w:rsidRPr="008B6A75" w:rsidRDefault="00387142" w:rsidP="00387142">
            <w:pPr>
              <w:jc w:val="center"/>
              <w:rPr>
                <w:bCs/>
                <w:sz w:val="20"/>
                <w:szCs w:val="20"/>
              </w:rPr>
            </w:pPr>
            <w:r w:rsidRPr="008B6A75">
              <w:rPr>
                <w:bCs/>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E0258E4" w14:textId="77777777" w:rsidR="00387142" w:rsidRPr="008B6A75" w:rsidRDefault="00387142" w:rsidP="00387142">
            <w:pPr>
              <w:jc w:val="right"/>
              <w:rPr>
                <w:bCs/>
                <w:sz w:val="20"/>
                <w:szCs w:val="20"/>
              </w:rPr>
            </w:pPr>
            <w:r w:rsidRPr="008B6A75">
              <w:rPr>
                <w:bCs/>
                <w:sz w:val="20"/>
                <w:szCs w:val="20"/>
              </w:rPr>
              <w:t>991 616,20</w:t>
            </w:r>
          </w:p>
        </w:tc>
        <w:tc>
          <w:tcPr>
            <w:tcW w:w="851" w:type="dxa"/>
            <w:tcBorders>
              <w:top w:val="nil"/>
              <w:left w:val="single" w:sz="4" w:space="0" w:color="auto"/>
              <w:bottom w:val="single" w:sz="4" w:space="0" w:color="auto"/>
              <w:right w:val="nil"/>
            </w:tcBorders>
            <w:shd w:val="clear" w:color="auto" w:fill="auto"/>
            <w:noWrap/>
            <w:vAlign w:val="center"/>
            <w:hideMark/>
          </w:tcPr>
          <w:p w14:paraId="4B18F3AD" w14:textId="77777777" w:rsidR="00387142" w:rsidRPr="008B6A75" w:rsidRDefault="00387142" w:rsidP="00387142">
            <w:pPr>
              <w:jc w:val="right"/>
              <w:rPr>
                <w:bCs/>
                <w:sz w:val="20"/>
                <w:szCs w:val="20"/>
              </w:rPr>
            </w:pPr>
            <w:r w:rsidRPr="008B6A75">
              <w:rPr>
                <w:bCs/>
                <w:sz w:val="20"/>
                <w:szCs w:val="20"/>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17490D51" w14:textId="77777777" w:rsidR="00387142" w:rsidRPr="008B6A75" w:rsidRDefault="00387142" w:rsidP="00387142">
            <w:pPr>
              <w:jc w:val="right"/>
              <w:rPr>
                <w:bCs/>
                <w:sz w:val="20"/>
                <w:szCs w:val="20"/>
              </w:rPr>
            </w:pPr>
            <w:r w:rsidRPr="008B6A75">
              <w:rPr>
                <w:bCs/>
                <w:sz w:val="20"/>
                <w:szCs w:val="20"/>
              </w:rPr>
              <w:t>0,00</w:t>
            </w:r>
          </w:p>
        </w:tc>
      </w:tr>
      <w:tr w:rsidR="00387142" w:rsidRPr="008B6A75" w14:paraId="54A54A1B" w14:textId="77777777" w:rsidTr="00387142">
        <w:trPr>
          <w:trHeight w:val="1440"/>
        </w:trPr>
        <w:tc>
          <w:tcPr>
            <w:tcW w:w="272" w:type="dxa"/>
            <w:tcBorders>
              <w:top w:val="nil"/>
              <w:left w:val="nil"/>
              <w:bottom w:val="nil"/>
              <w:right w:val="single" w:sz="4" w:space="0" w:color="auto"/>
            </w:tcBorders>
            <w:shd w:val="clear" w:color="auto" w:fill="auto"/>
            <w:noWrap/>
            <w:vAlign w:val="bottom"/>
            <w:hideMark/>
          </w:tcPr>
          <w:p w14:paraId="0C3B2A9D"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54DE6F06" w14:textId="77777777" w:rsidR="00387142" w:rsidRPr="008B6A75" w:rsidRDefault="00387142" w:rsidP="00387142">
            <w:pPr>
              <w:rPr>
                <w:sz w:val="20"/>
                <w:szCs w:val="20"/>
              </w:rPr>
            </w:pPr>
            <w:r w:rsidRPr="008B6A7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single" w:sz="4" w:space="0" w:color="auto"/>
              <w:bottom w:val="single" w:sz="4" w:space="0" w:color="auto"/>
              <w:right w:val="nil"/>
            </w:tcBorders>
            <w:shd w:val="clear" w:color="auto" w:fill="auto"/>
            <w:noWrap/>
            <w:vAlign w:val="center"/>
            <w:hideMark/>
          </w:tcPr>
          <w:p w14:paraId="7456168A" w14:textId="77777777" w:rsidR="00387142" w:rsidRPr="008B6A75" w:rsidRDefault="00387142" w:rsidP="00387142">
            <w:pPr>
              <w:jc w:val="center"/>
              <w:rPr>
                <w:sz w:val="20"/>
                <w:szCs w:val="20"/>
              </w:rPr>
            </w:pPr>
            <w:r w:rsidRPr="008B6A75">
              <w:rPr>
                <w:sz w:val="20"/>
                <w:szCs w:val="20"/>
              </w:rPr>
              <w:t>07.3.00.79500</w:t>
            </w:r>
          </w:p>
        </w:tc>
        <w:tc>
          <w:tcPr>
            <w:tcW w:w="850" w:type="dxa"/>
            <w:tcBorders>
              <w:top w:val="nil"/>
              <w:left w:val="single" w:sz="4" w:space="0" w:color="auto"/>
              <w:bottom w:val="single" w:sz="4" w:space="0" w:color="auto"/>
              <w:right w:val="nil"/>
            </w:tcBorders>
            <w:shd w:val="clear" w:color="auto" w:fill="auto"/>
            <w:noWrap/>
            <w:vAlign w:val="center"/>
            <w:hideMark/>
          </w:tcPr>
          <w:p w14:paraId="25AB9269" w14:textId="77777777" w:rsidR="00387142" w:rsidRPr="008B6A75" w:rsidRDefault="00387142" w:rsidP="00387142">
            <w:pPr>
              <w:jc w:val="center"/>
              <w:rPr>
                <w:sz w:val="20"/>
                <w:szCs w:val="20"/>
              </w:rPr>
            </w:pPr>
            <w:r w:rsidRPr="008B6A75">
              <w:rPr>
                <w:sz w:val="20"/>
                <w:szCs w:val="20"/>
              </w:rPr>
              <w:t>100</w:t>
            </w:r>
          </w:p>
        </w:tc>
        <w:tc>
          <w:tcPr>
            <w:tcW w:w="567" w:type="dxa"/>
            <w:tcBorders>
              <w:top w:val="nil"/>
              <w:left w:val="single" w:sz="4" w:space="0" w:color="auto"/>
              <w:bottom w:val="single" w:sz="4" w:space="0" w:color="auto"/>
              <w:right w:val="nil"/>
            </w:tcBorders>
            <w:shd w:val="clear" w:color="auto" w:fill="auto"/>
            <w:noWrap/>
            <w:vAlign w:val="center"/>
            <w:hideMark/>
          </w:tcPr>
          <w:p w14:paraId="421C9DBC" w14:textId="77777777" w:rsidR="00387142" w:rsidRPr="008B6A75" w:rsidRDefault="00387142" w:rsidP="00387142">
            <w:pPr>
              <w:jc w:val="center"/>
              <w:rPr>
                <w:sz w:val="20"/>
                <w:szCs w:val="20"/>
              </w:rPr>
            </w:pPr>
            <w:r w:rsidRPr="008B6A75">
              <w:rPr>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5EDC1C19" w14:textId="77777777" w:rsidR="00387142" w:rsidRPr="008B6A75" w:rsidRDefault="00387142" w:rsidP="00387142">
            <w:pPr>
              <w:jc w:val="center"/>
              <w:rPr>
                <w:sz w:val="20"/>
                <w:szCs w:val="20"/>
              </w:rPr>
            </w:pPr>
            <w:r w:rsidRPr="008B6A75">
              <w:rPr>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D2ECD04" w14:textId="77777777" w:rsidR="00387142" w:rsidRPr="008B6A75" w:rsidRDefault="00387142" w:rsidP="00387142">
            <w:pPr>
              <w:jc w:val="right"/>
              <w:rPr>
                <w:sz w:val="20"/>
                <w:szCs w:val="20"/>
              </w:rPr>
            </w:pPr>
            <w:r w:rsidRPr="008B6A75">
              <w:rPr>
                <w:sz w:val="20"/>
                <w:szCs w:val="20"/>
              </w:rPr>
              <w:t>96 230,30</w:t>
            </w:r>
          </w:p>
        </w:tc>
        <w:tc>
          <w:tcPr>
            <w:tcW w:w="851" w:type="dxa"/>
            <w:tcBorders>
              <w:top w:val="nil"/>
              <w:left w:val="single" w:sz="4" w:space="0" w:color="auto"/>
              <w:bottom w:val="single" w:sz="4" w:space="0" w:color="auto"/>
              <w:right w:val="nil"/>
            </w:tcBorders>
            <w:shd w:val="clear" w:color="auto" w:fill="auto"/>
            <w:noWrap/>
            <w:vAlign w:val="center"/>
            <w:hideMark/>
          </w:tcPr>
          <w:p w14:paraId="477BD570" w14:textId="77777777" w:rsidR="00387142" w:rsidRPr="008B6A75" w:rsidRDefault="00387142" w:rsidP="00387142">
            <w:pPr>
              <w:jc w:val="right"/>
              <w:rPr>
                <w:sz w:val="20"/>
                <w:szCs w:val="20"/>
              </w:rPr>
            </w:pPr>
            <w:r w:rsidRPr="008B6A75">
              <w:rPr>
                <w:sz w:val="20"/>
                <w:szCs w:val="20"/>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74B8125C" w14:textId="77777777" w:rsidR="00387142" w:rsidRPr="008B6A75" w:rsidRDefault="00387142" w:rsidP="00387142">
            <w:pPr>
              <w:jc w:val="right"/>
              <w:rPr>
                <w:sz w:val="20"/>
                <w:szCs w:val="20"/>
              </w:rPr>
            </w:pPr>
            <w:r w:rsidRPr="008B6A75">
              <w:rPr>
                <w:sz w:val="20"/>
                <w:szCs w:val="20"/>
              </w:rPr>
              <w:t>0,00</w:t>
            </w:r>
          </w:p>
        </w:tc>
      </w:tr>
      <w:tr w:rsidR="00387142" w:rsidRPr="008B6A75" w14:paraId="175A4FAF" w14:textId="77777777" w:rsidTr="00387142">
        <w:trPr>
          <w:trHeight w:val="585"/>
        </w:trPr>
        <w:tc>
          <w:tcPr>
            <w:tcW w:w="272" w:type="dxa"/>
            <w:tcBorders>
              <w:top w:val="nil"/>
              <w:left w:val="nil"/>
              <w:bottom w:val="nil"/>
              <w:right w:val="single" w:sz="4" w:space="0" w:color="auto"/>
            </w:tcBorders>
            <w:shd w:val="clear" w:color="auto" w:fill="auto"/>
            <w:noWrap/>
            <w:vAlign w:val="bottom"/>
            <w:hideMark/>
          </w:tcPr>
          <w:p w14:paraId="6418E338"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29D1CD63" w14:textId="77777777" w:rsidR="00387142" w:rsidRPr="008B6A75" w:rsidRDefault="00387142" w:rsidP="00387142">
            <w:pPr>
              <w:rPr>
                <w:sz w:val="20"/>
                <w:szCs w:val="20"/>
              </w:rPr>
            </w:pPr>
            <w:r w:rsidRPr="008B6A75">
              <w:rPr>
                <w:sz w:val="20"/>
                <w:szCs w:val="20"/>
              </w:rPr>
              <w:t>Расходы на выплаты персоналу казенных учреждений</w:t>
            </w:r>
          </w:p>
        </w:tc>
        <w:tc>
          <w:tcPr>
            <w:tcW w:w="1559" w:type="dxa"/>
            <w:tcBorders>
              <w:top w:val="nil"/>
              <w:left w:val="single" w:sz="4" w:space="0" w:color="auto"/>
              <w:bottom w:val="single" w:sz="4" w:space="0" w:color="auto"/>
              <w:right w:val="nil"/>
            </w:tcBorders>
            <w:shd w:val="clear" w:color="auto" w:fill="auto"/>
            <w:noWrap/>
            <w:vAlign w:val="center"/>
            <w:hideMark/>
          </w:tcPr>
          <w:p w14:paraId="70C113F9" w14:textId="77777777" w:rsidR="00387142" w:rsidRPr="008B6A75" w:rsidRDefault="00387142" w:rsidP="00387142">
            <w:pPr>
              <w:jc w:val="center"/>
              <w:rPr>
                <w:sz w:val="20"/>
                <w:szCs w:val="20"/>
              </w:rPr>
            </w:pPr>
            <w:r w:rsidRPr="008B6A75">
              <w:rPr>
                <w:sz w:val="20"/>
                <w:szCs w:val="20"/>
              </w:rPr>
              <w:t>07.3.00.79500</w:t>
            </w:r>
          </w:p>
        </w:tc>
        <w:tc>
          <w:tcPr>
            <w:tcW w:w="850" w:type="dxa"/>
            <w:tcBorders>
              <w:top w:val="nil"/>
              <w:left w:val="single" w:sz="4" w:space="0" w:color="auto"/>
              <w:bottom w:val="single" w:sz="4" w:space="0" w:color="auto"/>
              <w:right w:val="nil"/>
            </w:tcBorders>
            <w:shd w:val="clear" w:color="auto" w:fill="auto"/>
            <w:noWrap/>
            <w:vAlign w:val="center"/>
            <w:hideMark/>
          </w:tcPr>
          <w:p w14:paraId="3A281C76" w14:textId="77777777" w:rsidR="00387142" w:rsidRPr="008B6A75" w:rsidRDefault="00387142" w:rsidP="00387142">
            <w:pPr>
              <w:jc w:val="center"/>
              <w:rPr>
                <w:sz w:val="20"/>
                <w:szCs w:val="20"/>
              </w:rPr>
            </w:pPr>
            <w:r w:rsidRPr="008B6A75">
              <w:rPr>
                <w:sz w:val="20"/>
                <w:szCs w:val="20"/>
              </w:rPr>
              <w:t>110</w:t>
            </w:r>
          </w:p>
        </w:tc>
        <w:tc>
          <w:tcPr>
            <w:tcW w:w="567" w:type="dxa"/>
            <w:tcBorders>
              <w:top w:val="nil"/>
              <w:left w:val="single" w:sz="4" w:space="0" w:color="auto"/>
              <w:bottom w:val="single" w:sz="4" w:space="0" w:color="auto"/>
              <w:right w:val="nil"/>
            </w:tcBorders>
            <w:shd w:val="clear" w:color="auto" w:fill="auto"/>
            <w:noWrap/>
            <w:vAlign w:val="center"/>
            <w:hideMark/>
          </w:tcPr>
          <w:p w14:paraId="2FD8AF03" w14:textId="77777777" w:rsidR="00387142" w:rsidRPr="008B6A75" w:rsidRDefault="00387142" w:rsidP="00387142">
            <w:pPr>
              <w:jc w:val="center"/>
              <w:rPr>
                <w:sz w:val="20"/>
                <w:szCs w:val="20"/>
              </w:rPr>
            </w:pPr>
            <w:r w:rsidRPr="008B6A75">
              <w:rPr>
                <w:sz w:val="20"/>
                <w:szCs w:val="20"/>
              </w:rPr>
              <w:t>07</w:t>
            </w:r>
          </w:p>
        </w:tc>
        <w:tc>
          <w:tcPr>
            <w:tcW w:w="567" w:type="dxa"/>
            <w:tcBorders>
              <w:top w:val="nil"/>
              <w:left w:val="single" w:sz="4" w:space="0" w:color="auto"/>
              <w:bottom w:val="single" w:sz="4" w:space="0" w:color="auto"/>
              <w:right w:val="nil"/>
            </w:tcBorders>
            <w:shd w:val="clear" w:color="auto" w:fill="auto"/>
            <w:noWrap/>
            <w:vAlign w:val="center"/>
            <w:hideMark/>
          </w:tcPr>
          <w:p w14:paraId="26BEDF42" w14:textId="77777777" w:rsidR="00387142" w:rsidRPr="008B6A75" w:rsidRDefault="00387142" w:rsidP="00387142">
            <w:pPr>
              <w:jc w:val="center"/>
              <w:rPr>
                <w:sz w:val="20"/>
                <w:szCs w:val="20"/>
              </w:rPr>
            </w:pPr>
            <w:r w:rsidRPr="008B6A75">
              <w:rPr>
                <w:sz w:val="20"/>
                <w:szCs w:val="20"/>
              </w:rPr>
              <w:t>02</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387A04D" w14:textId="77777777" w:rsidR="00387142" w:rsidRPr="008B6A75" w:rsidRDefault="00387142" w:rsidP="00387142">
            <w:pPr>
              <w:jc w:val="right"/>
              <w:rPr>
                <w:sz w:val="20"/>
                <w:szCs w:val="20"/>
              </w:rPr>
            </w:pPr>
            <w:r w:rsidRPr="008B6A75">
              <w:rPr>
                <w:sz w:val="20"/>
                <w:szCs w:val="20"/>
              </w:rPr>
              <w:t>23 912,00</w:t>
            </w:r>
          </w:p>
        </w:tc>
        <w:tc>
          <w:tcPr>
            <w:tcW w:w="851" w:type="dxa"/>
            <w:tcBorders>
              <w:top w:val="nil"/>
              <w:left w:val="single" w:sz="4" w:space="0" w:color="auto"/>
              <w:bottom w:val="single" w:sz="4" w:space="0" w:color="auto"/>
              <w:right w:val="nil"/>
            </w:tcBorders>
            <w:shd w:val="clear" w:color="auto" w:fill="auto"/>
            <w:noWrap/>
            <w:vAlign w:val="center"/>
            <w:hideMark/>
          </w:tcPr>
          <w:p w14:paraId="051D5BBB" w14:textId="77777777" w:rsidR="00387142" w:rsidRPr="008B6A75" w:rsidRDefault="00387142" w:rsidP="00387142">
            <w:pPr>
              <w:jc w:val="right"/>
              <w:rPr>
                <w:sz w:val="20"/>
                <w:szCs w:val="20"/>
              </w:rPr>
            </w:pPr>
            <w:r w:rsidRPr="008B6A75">
              <w:rPr>
                <w:sz w:val="20"/>
                <w:szCs w:val="20"/>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5254B96C" w14:textId="77777777" w:rsidR="00387142" w:rsidRPr="008B6A75" w:rsidRDefault="00387142" w:rsidP="00387142">
            <w:pPr>
              <w:jc w:val="right"/>
              <w:rPr>
                <w:sz w:val="20"/>
                <w:szCs w:val="20"/>
              </w:rPr>
            </w:pPr>
            <w:r w:rsidRPr="008B6A75">
              <w:rPr>
                <w:sz w:val="20"/>
                <w:szCs w:val="20"/>
              </w:rPr>
              <w:t>0,00</w:t>
            </w:r>
          </w:p>
        </w:tc>
      </w:tr>
      <w:tr w:rsidR="00387142" w:rsidRPr="008B6A75" w14:paraId="05FD7E14" w14:textId="77777777" w:rsidTr="00387142">
        <w:trPr>
          <w:trHeight w:val="585"/>
        </w:trPr>
        <w:tc>
          <w:tcPr>
            <w:tcW w:w="272" w:type="dxa"/>
            <w:tcBorders>
              <w:top w:val="nil"/>
              <w:left w:val="nil"/>
              <w:bottom w:val="nil"/>
              <w:right w:val="single" w:sz="4" w:space="0" w:color="auto"/>
            </w:tcBorders>
            <w:shd w:val="clear" w:color="auto" w:fill="auto"/>
            <w:noWrap/>
            <w:vAlign w:val="bottom"/>
            <w:hideMark/>
          </w:tcPr>
          <w:p w14:paraId="7EAFB22E"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35538519" w14:textId="77777777" w:rsidR="00387142" w:rsidRPr="008B6A75" w:rsidRDefault="00387142" w:rsidP="00387142">
            <w:pPr>
              <w:rPr>
                <w:sz w:val="20"/>
                <w:szCs w:val="20"/>
              </w:rPr>
            </w:pPr>
            <w:r w:rsidRPr="008B6A75">
              <w:rPr>
                <w:sz w:val="20"/>
                <w:szCs w:val="20"/>
              </w:rPr>
              <w:t>Расходы на выплаты персоналу казенных учреждений</w:t>
            </w:r>
          </w:p>
        </w:tc>
        <w:tc>
          <w:tcPr>
            <w:tcW w:w="1559" w:type="dxa"/>
            <w:tcBorders>
              <w:top w:val="nil"/>
              <w:left w:val="single" w:sz="4" w:space="0" w:color="auto"/>
              <w:bottom w:val="single" w:sz="4" w:space="0" w:color="auto"/>
              <w:right w:val="nil"/>
            </w:tcBorders>
            <w:shd w:val="clear" w:color="auto" w:fill="auto"/>
            <w:noWrap/>
            <w:vAlign w:val="center"/>
            <w:hideMark/>
          </w:tcPr>
          <w:p w14:paraId="6025E99F" w14:textId="77777777" w:rsidR="00387142" w:rsidRPr="008B6A75" w:rsidRDefault="00387142" w:rsidP="00387142">
            <w:pPr>
              <w:jc w:val="center"/>
              <w:rPr>
                <w:sz w:val="20"/>
                <w:szCs w:val="20"/>
              </w:rPr>
            </w:pPr>
            <w:r w:rsidRPr="008B6A75">
              <w:rPr>
                <w:sz w:val="20"/>
                <w:szCs w:val="20"/>
              </w:rPr>
              <w:t>07.3.00.79500</w:t>
            </w:r>
          </w:p>
        </w:tc>
        <w:tc>
          <w:tcPr>
            <w:tcW w:w="850" w:type="dxa"/>
            <w:tcBorders>
              <w:top w:val="nil"/>
              <w:left w:val="single" w:sz="4" w:space="0" w:color="auto"/>
              <w:bottom w:val="single" w:sz="4" w:space="0" w:color="auto"/>
              <w:right w:val="nil"/>
            </w:tcBorders>
            <w:shd w:val="clear" w:color="auto" w:fill="auto"/>
            <w:noWrap/>
            <w:vAlign w:val="center"/>
            <w:hideMark/>
          </w:tcPr>
          <w:p w14:paraId="298054ED" w14:textId="77777777" w:rsidR="00387142" w:rsidRPr="008B6A75" w:rsidRDefault="00387142" w:rsidP="00387142">
            <w:pPr>
              <w:jc w:val="center"/>
              <w:rPr>
                <w:sz w:val="20"/>
                <w:szCs w:val="20"/>
              </w:rPr>
            </w:pPr>
            <w:r w:rsidRPr="008B6A75">
              <w:rPr>
                <w:sz w:val="20"/>
                <w:szCs w:val="20"/>
              </w:rPr>
              <w:t>110</w:t>
            </w:r>
          </w:p>
        </w:tc>
        <w:tc>
          <w:tcPr>
            <w:tcW w:w="567" w:type="dxa"/>
            <w:tcBorders>
              <w:top w:val="nil"/>
              <w:left w:val="single" w:sz="4" w:space="0" w:color="auto"/>
              <w:bottom w:val="single" w:sz="4" w:space="0" w:color="auto"/>
              <w:right w:val="nil"/>
            </w:tcBorders>
            <w:shd w:val="clear" w:color="auto" w:fill="auto"/>
            <w:noWrap/>
            <w:vAlign w:val="center"/>
            <w:hideMark/>
          </w:tcPr>
          <w:p w14:paraId="3B46CB9C" w14:textId="77777777" w:rsidR="00387142" w:rsidRPr="008B6A75" w:rsidRDefault="00387142" w:rsidP="00387142">
            <w:pPr>
              <w:jc w:val="center"/>
              <w:rPr>
                <w:sz w:val="20"/>
                <w:szCs w:val="20"/>
              </w:rPr>
            </w:pPr>
            <w:r w:rsidRPr="008B6A75">
              <w:rPr>
                <w:sz w:val="20"/>
                <w:szCs w:val="20"/>
              </w:rPr>
              <w:t>07</w:t>
            </w:r>
          </w:p>
        </w:tc>
        <w:tc>
          <w:tcPr>
            <w:tcW w:w="567" w:type="dxa"/>
            <w:tcBorders>
              <w:top w:val="nil"/>
              <w:left w:val="single" w:sz="4" w:space="0" w:color="auto"/>
              <w:bottom w:val="single" w:sz="4" w:space="0" w:color="auto"/>
              <w:right w:val="nil"/>
            </w:tcBorders>
            <w:shd w:val="clear" w:color="auto" w:fill="auto"/>
            <w:noWrap/>
            <w:vAlign w:val="center"/>
            <w:hideMark/>
          </w:tcPr>
          <w:p w14:paraId="25FDEC66" w14:textId="77777777" w:rsidR="00387142" w:rsidRPr="008B6A75" w:rsidRDefault="00387142" w:rsidP="00387142">
            <w:pPr>
              <w:jc w:val="center"/>
              <w:rPr>
                <w:sz w:val="20"/>
                <w:szCs w:val="20"/>
              </w:rPr>
            </w:pPr>
            <w:r w:rsidRPr="008B6A75">
              <w:rPr>
                <w:sz w:val="20"/>
                <w:szCs w:val="20"/>
              </w:rPr>
              <w:t>05</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962DEE5" w14:textId="77777777" w:rsidR="00387142" w:rsidRPr="008B6A75" w:rsidRDefault="00387142" w:rsidP="00387142">
            <w:pPr>
              <w:jc w:val="right"/>
              <w:rPr>
                <w:sz w:val="20"/>
                <w:szCs w:val="20"/>
              </w:rPr>
            </w:pPr>
            <w:r w:rsidRPr="008B6A75">
              <w:rPr>
                <w:sz w:val="20"/>
                <w:szCs w:val="20"/>
              </w:rPr>
              <w:t>72 318,30</w:t>
            </w:r>
          </w:p>
        </w:tc>
        <w:tc>
          <w:tcPr>
            <w:tcW w:w="851" w:type="dxa"/>
            <w:tcBorders>
              <w:top w:val="nil"/>
              <w:left w:val="single" w:sz="4" w:space="0" w:color="auto"/>
              <w:bottom w:val="single" w:sz="4" w:space="0" w:color="auto"/>
              <w:right w:val="nil"/>
            </w:tcBorders>
            <w:shd w:val="clear" w:color="auto" w:fill="auto"/>
            <w:noWrap/>
            <w:vAlign w:val="center"/>
            <w:hideMark/>
          </w:tcPr>
          <w:p w14:paraId="010DC8DE" w14:textId="77777777" w:rsidR="00387142" w:rsidRPr="008B6A75" w:rsidRDefault="00387142" w:rsidP="00387142">
            <w:pPr>
              <w:jc w:val="right"/>
              <w:rPr>
                <w:sz w:val="20"/>
                <w:szCs w:val="20"/>
              </w:rPr>
            </w:pPr>
            <w:r w:rsidRPr="008B6A75">
              <w:rPr>
                <w:sz w:val="20"/>
                <w:szCs w:val="20"/>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08DF9FAE" w14:textId="77777777" w:rsidR="00387142" w:rsidRPr="008B6A75" w:rsidRDefault="00387142" w:rsidP="00387142">
            <w:pPr>
              <w:jc w:val="right"/>
              <w:rPr>
                <w:sz w:val="20"/>
                <w:szCs w:val="20"/>
              </w:rPr>
            </w:pPr>
            <w:r w:rsidRPr="008B6A75">
              <w:rPr>
                <w:sz w:val="20"/>
                <w:szCs w:val="20"/>
              </w:rPr>
              <w:t>0,00</w:t>
            </w:r>
          </w:p>
        </w:tc>
      </w:tr>
      <w:tr w:rsidR="00387142" w:rsidRPr="008B6A75" w14:paraId="2A821475" w14:textId="77777777" w:rsidTr="00387142">
        <w:trPr>
          <w:trHeight w:val="585"/>
        </w:trPr>
        <w:tc>
          <w:tcPr>
            <w:tcW w:w="272" w:type="dxa"/>
            <w:tcBorders>
              <w:top w:val="nil"/>
              <w:left w:val="nil"/>
              <w:bottom w:val="nil"/>
              <w:right w:val="single" w:sz="4" w:space="0" w:color="auto"/>
            </w:tcBorders>
            <w:shd w:val="clear" w:color="auto" w:fill="auto"/>
            <w:noWrap/>
            <w:vAlign w:val="bottom"/>
            <w:hideMark/>
          </w:tcPr>
          <w:p w14:paraId="68DA7627"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1FF3B729" w14:textId="77777777" w:rsidR="00387142" w:rsidRPr="008B6A75" w:rsidRDefault="00387142" w:rsidP="00387142">
            <w:pPr>
              <w:rPr>
                <w:sz w:val="20"/>
                <w:szCs w:val="20"/>
              </w:rPr>
            </w:pPr>
            <w:r w:rsidRPr="008B6A75">
              <w:rPr>
                <w:sz w:val="20"/>
                <w:szCs w:val="20"/>
              </w:rPr>
              <w:t>Закупка товаров, работ и услуг для обеспечения государственных (муниципальных) нужд</w:t>
            </w:r>
          </w:p>
        </w:tc>
        <w:tc>
          <w:tcPr>
            <w:tcW w:w="1559" w:type="dxa"/>
            <w:tcBorders>
              <w:top w:val="nil"/>
              <w:left w:val="single" w:sz="4" w:space="0" w:color="auto"/>
              <w:bottom w:val="single" w:sz="4" w:space="0" w:color="auto"/>
              <w:right w:val="nil"/>
            </w:tcBorders>
            <w:shd w:val="clear" w:color="auto" w:fill="auto"/>
            <w:noWrap/>
            <w:vAlign w:val="center"/>
            <w:hideMark/>
          </w:tcPr>
          <w:p w14:paraId="63C65AC9" w14:textId="77777777" w:rsidR="00387142" w:rsidRPr="008B6A75" w:rsidRDefault="00387142" w:rsidP="00387142">
            <w:pPr>
              <w:jc w:val="center"/>
              <w:rPr>
                <w:sz w:val="20"/>
                <w:szCs w:val="20"/>
              </w:rPr>
            </w:pPr>
            <w:r w:rsidRPr="008B6A75">
              <w:rPr>
                <w:sz w:val="20"/>
                <w:szCs w:val="20"/>
              </w:rPr>
              <w:t>07.3.00.79500</w:t>
            </w:r>
          </w:p>
        </w:tc>
        <w:tc>
          <w:tcPr>
            <w:tcW w:w="850" w:type="dxa"/>
            <w:tcBorders>
              <w:top w:val="nil"/>
              <w:left w:val="single" w:sz="4" w:space="0" w:color="auto"/>
              <w:bottom w:val="single" w:sz="4" w:space="0" w:color="auto"/>
              <w:right w:val="nil"/>
            </w:tcBorders>
            <w:shd w:val="clear" w:color="auto" w:fill="auto"/>
            <w:noWrap/>
            <w:vAlign w:val="center"/>
            <w:hideMark/>
          </w:tcPr>
          <w:p w14:paraId="4B95C861" w14:textId="77777777" w:rsidR="00387142" w:rsidRPr="008B6A75" w:rsidRDefault="00387142" w:rsidP="00387142">
            <w:pPr>
              <w:jc w:val="center"/>
              <w:rPr>
                <w:sz w:val="20"/>
                <w:szCs w:val="20"/>
              </w:rPr>
            </w:pPr>
            <w:r w:rsidRPr="008B6A75">
              <w:rPr>
                <w:sz w:val="20"/>
                <w:szCs w:val="20"/>
              </w:rPr>
              <w:t>200</w:t>
            </w:r>
          </w:p>
        </w:tc>
        <w:tc>
          <w:tcPr>
            <w:tcW w:w="567" w:type="dxa"/>
            <w:tcBorders>
              <w:top w:val="nil"/>
              <w:left w:val="single" w:sz="4" w:space="0" w:color="auto"/>
              <w:bottom w:val="single" w:sz="4" w:space="0" w:color="auto"/>
              <w:right w:val="nil"/>
            </w:tcBorders>
            <w:shd w:val="clear" w:color="auto" w:fill="auto"/>
            <w:noWrap/>
            <w:vAlign w:val="center"/>
            <w:hideMark/>
          </w:tcPr>
          <w:p w14:paraId="4C3518A4" w14:textId="77777777" w:rsidR="00387142" w:rsidRPr="008B6A75" w:rsidRDefault="00387142" w:rsidP="00387142">
            <w:pPr>
              <w:jc w:val="center"/>
              <w:rPr>
                <w:sz w:val="20"/>
                <w:szCs w:val="20"/>
              </w:rPr>
            </w:pPr>
            <w:r w:rsidRPr="008B6A75">
              <w:rPr>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2BFF1888" w14:textId="77777777" w:rsidR="00387142" w:rsidRPr="008B6A75" w:rsidRDefault="00387142" w:rsidP="00387142">
            <w:pPr>
              <w:jc w:val="center"/>
              <w:rPr>
                <w:sz w:val="20"/>
                <w:szCs w:val="20"/>
              </w:rPr>
            </w:pPr>
            <w:r w:rsidRPr="008B6A75">
              <w:rPr>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45CE1C9" w14:textId="77777777" w:rsidR="00387142" w:rsidRPr="008B6A75" w:rsidRDefault="00387142" w:rsidP="00387142">
            <w:pPr>
              <w:jc w:val="right"/>
              <w:rPr>
                <w:sz w:val="20"/>
                <w:szCs w:val="20"/>
              </w:rPr>
            </w:pPr>
            <w:r w:rsidRPr="008B6A75">
              <w:rPr>
                <w:sz w:val="20"/>
                <w:szCs w:val="20"/>
              </w:rPr>
              <w:t>709 169,70</w:t>
            </w:r>
          </w:p>
        </w:tc>
        <w:tc>
          <w:tcPr>
            <w:tcW w:w="851" w:type="dxa"/>
            <w:tcBorders>
              <w:top w:val="nil"/>
              <w:left w:val="single" w:sz="4" w:space="0" w:color="auto"/>
              <w:bottom w:val="single" w:sz="4" w:space="0" w:color="auto"/>
              <w:right w:val="nil"/>
            </w:tcBorders>
            <w:shd w:val="clear" w:color="auto" w:fill="auto"/>
            <w:noWrap/>
            <w:vAlign w:val="center"/>
            <w:hideMark/>
          </w:tcPr>
          <w:p w14:paraId="2A4EC7B1" w14:textId="77777777" w:rsidR="00387142" w:rsidRPr="008B6A75" w:rsidRDefault="00387142" w:rsidP="00387142">
            <w:pPr>
              <w:jc w:val="right"/>
              <w:rPr>
                <w:sz w:val="20"/>
                <w:szCs w:val="20"/>
              </w:rPr>
            </w:pPr>
            <w:r w:rsidRPr="008B6A75">
              <w:rPr>
                <w:sz w:val="20"/>
                <w:szCs w:val="20"/>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2B4FABE4" w14:textId="77777777" w:rsidR="00387142" w:rsidRPr="008B6A75" w:rsidRDefault="00387142" w:rsidP="00387142">
            <w:pPr>
              <w:jc w:val="right"/>
              <w:rPr>
                <w:sz w:val="20"/>
                <w:szCs w:val="20"/>
              </w:rPr>
            </w:pPr>
            <w:r w:rsidRPr="008B6A75">
              <w:rPr>
                <w:sz w:val="20"/>
                <w:szCs w:val="20"/>
              </w:rPr>
              <w:t>0,00</w:t>
            </w:r>
          </w:p>
        </w:tc>
      </w:tr>
      <w:tr w:rsidR="00387142" w:rsidRPr="008B6A75" w14:paraId="28AFA8BA" w14:textId="77777777" w:rsidTr="00387142">
        <w:trPr>
          <w:trHeight w:val="870"/>
        </w:trPr>
        <w:tc>
          <w:tcPr>
            <w:tcW w:w="272" w:type="dxa"/>
            <w:tcBorders>
              <w:top w:val="nil"/>
              <w:left w:val="nil"/>
              <w:bottom w:val="nil"/>
              <w:right w:val="single" w:sz="4" w:space="0" w:color="auto"/>
            </w:tcBorders>
            <w:shd w:val="clear" w:color="auto" w:fill="auto"/>
            <w:noWrap/>
            <w:vAlign w:val="bottom"/>
            <w:hideMark/>
          </w:tcPr>
          <w:p w14:paraId="5B57A30B"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4C16D555" w14:textId="77777777" w:rsidR="00387142" w:rsidRPr="008B6A75" w:rsidRDefault="00387142" w:rsidP="00387142">
            <w:pPr>
              <w:rPr>
                <w:sz w:val="20"/>
                <w:szCs w:val="20"/>
              </w:rPr>
            </w:pPr>
            <w:r w:rsidRPr="008B6A75">
              <w:rPr>
                <w:sz w:val="20"/>
                <w:szCs w:val="20"/>
              </w:rPr>
              <w:t>Иные закупки товаров, работ и услуг для обеспечения государственных (муниципальных) нужд</w:t>
            </w:r>
          </w:p>
        </w:tc>
        <w:tc>
          <w:tcPr>
            <w:tcW w:w="1559" w:type="dxa"/>
            <w:tcBorders>
              <w:top w:val="nil"/>
              <w:left w:val="single" w:sz="4" w:space="0" w:color="auto"/>
              <w:bottom w:val="single" w:sz="4" w:space="0" w:color="auto"/>
              <w:right w:val="nil"/>
            </w:tcBorders>
            <w:shd w:val="clear" w:color="auto" w:fill="auto"/>
            <w:noWrap/>
            <w:vAlign w:val="center"/>
            <w:hideMark/>
          </w:tcPr>
          <w:p w14:paraId="2302ECC8" w14:textId="77777777" w:rsidR="00387142" w:rsidRPr="008B6A75" w:rsidRDefault="00387142" w:rsidP="00387142">
            <w:pPr>
              <w:jc w:val="center"/>
              <w:rPr>
                <w:sz w:val="20"/>
                <w:szCs w:val="20"/>
              </w:rPr>
            </w:pPr>
            <w:r w:rsidRPr="008B6A75">
              <w:rPr>
                <w:sz w:val="20"/>
                <w:szCs w:val="20"/>
              </w:rPr>
              <w:t>07.3.00.79500</w:t>
            </w:r>
          </w:p>
        </w:tc>
        <w:tc>
          <w:tcPr>
            <w:tcW w:w="850" w:type="dxa"/>
            <w:tcBorders>
              <w:top w:val="nil"/>
              <w:left w:val="single" w:sz="4" w:space="0" w:color="auto"/>
              <w:bottom w:val="single" w:sz="4" w:space="0" w:color="auto"/>
              <w:right w:val="nil"/>
            </w:tcBorders>
            <w:shd w:val="clear" w:color="auto" w:fill="auto"/>
            <w:noWrap/>
            <w:vAlign w:val="center"/>
            <w:hideMark/>
          </w:tcPr>
          <w:p w14:paraId="42427266" w14:textId="77777777" w:rsidR="00387142" w:rsidRPr="008B6A75" w:rsidRDefault="00387142" w:rsidP="00387142">
            <w:pPr>
              <w:jc w:val="center"/>
              <w:rPr>
                <w:sz w:val="20"/>
                <w:szCs w:val="20"/>
              </w:rPr>
            </w:pPr>
            <w:r w:rsidRPr="008B6A75">
              <w:rPr>
                <w:sz w:val="20"/>
                <w:szCs w:val="20"/>
              </w:rPr>
              <w:t>240</w:t>
            </w:r>
          </w:p>
        </w:tc>
        <w:tc>
          <w:tcPr>
            <w:tcW w:w="567" w:type="dxa"/>
            <w:tcBorders>
              <w:top w:val="nil"/>
              <w:left w:val="single" w:sz="4" w:space="0" w:color="auto"/>
              <w:bottom w:val="single" w:sz="4" w:space="0" w:color="auto"/>
              <w:right w:val="nil"/>
            </w:tcBorders>
            <w:shd w:val="clear" w:color="auto" w:fill="auto"/>
            <w:noWrap/>
            <w:vAlign w:val="center"/>
            <w:hideMark/>
          </w:tcPr>
          <w:p w14:paraId="0A2B804F" w14:textId="77777777" w:rsidR="00387142" w:rsidRPr="008B6A75" w:rsidRDefault="00387142" w:rsidP="00387142">
            <w:pPr>
              <w:jc w:val="center"/>
              <w:rPr>
                <w:sz w:val="20"/>
                <w:szCs w:val="20"/>
              </w:rPr>
            </w:pPr>
            <w:r w:rsidRPr="008B6A75">
              <w:rPr>
                <w:sz w:val="20"/>
                <w:szCs w:val="20"/>
              </w:rPr>
              <w:t>07</w:t>
            </w:r>
          </w:p>
        </w:tc>
        <w:tc>
          <w:tcPr>
            <w:tcW w:w="567" w:type="dxa"/>
            <w:tcBorders>
              <w:top w:val="nil"/>
              <w:left w:val="single" w:sz="4" w:space="0" w:color="auto"/>
              <w:bottom w:val="single" w:sz="4" w:space="0" w:color="auto"/>
              <w:right w:val="nil"/>
            </w:tcBorders>
            <w:shd w:val="clear" w:color="auto" w:fill="auto"/>
            <w:noWrap/>
            <w:vAlign w:val="center"/>
            <w:hideMark/>
          </w:tcPr>
          <w:p w14:paraId="41E61497" w14:textId="77777777" w:rsidR="00387142" w:rsidRPr="008B6A75" w:rsidRDefault="00387142" w:rsidP="00387142">
            <w:pPr>
              <w:jc w:val="center"/>
              <w:rPr>
                <w:sz w:val="20"/>
                <w:szCs w:val="20"/>
              </w:rPr>
            </w:pPr>
            <w:r w:rsidRPr="008B6A75">
              <w:rPr>
                <w:sz w:val="20"/>
                <w:szCs w:val="20"/>
              </w:rPr>
              <w:t>01</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2B0C00B" w14:textId="77777777" w:rsidR="00387142" w:rsidRPr="008B6A75" w:rsidRDefault="00387142" w:rsidP="00387142">
            <w:pPr>
              <w:jc w:val="right"/>
              <w:rPr>
                <w:sz w:val="20"/>
                <w:szCs w:val="20"/>
              </w:rPr>
            </w:pPr>
            <w:r w:rsidRPr="008B6A75">
              <w:rPr>
                <w:sz w:val="20"/>
                <w:szCs w:val="20"/>
              </w:rPr>
              <w:t>50 000,00</w:t>
            </w:r>
          </w:p>
        </w:tc>
        <w:tc>
          <w:tcPr>
            <w:tcW w:w="851" w:type="dxa"/>
            <w:tcBorders>
              <w:top w:val="nil"/>
              <w:left w:val="single" w:sz="4" w:space="0" w:color="auto"/>
              <w:bottom w:val="single" w:sz="4" w:space="0" w:color="auto"/>
              <w:right w:val="nil"/>
            </w:tcBorders>
            <w:shd w:val="clear" w:color="auto" w:fill="auto"/>
            <w:noWrap/>
            <w:vAlign w:val="center"/>
            <w:hideMark/>
          </w:tcPr>
          <w:p w14:paraId="41C44202" w14:textId="77777777" w:rsidR="00387142" w:rsidRPr="008B6A75" w:rsidRDefault="00387142" w:rsidP="00387142">
            <w:pPr>
              <w:jc w:val="right"/>
              <w:rPr>
                <w:sz w:val="20"/>
                <w:szCs w:val="20"/>
              </w:rPr>
            </w:pPr>
            <w:r w:rsidRPr="008B6A75">
              <w:rPr>
                <w:sz w:val="20"/>
                <w:szCs w:val="20"/>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212522AA" w14:textId="77777777" w:rsidR="00387142" w:rsidRPr="008B6A75" w:rsidRDefault="00387142" w:rsidP="00387142">
            <w:pPr>
              <w:jc w:val="right"/>
              <w:rPr>
                <w:sz w:val="20"/>
                <w:szCs w:val="20"/>
              </w:rPr>
            </w:pPr>
            <w:r w:rsidRPr="008B6A75">
              <w:rPr>
                <w:sz w:val="20"/>
                <w:szCs w:val="20"/>
              </w:rPr>
              <w:t>0,00</w:t>
            </w:r>
          </w:p>
        </w:tc>
      </w:tr>
      <w:tr w:rsidR="00387142" w:rsidRPr="008B6A75" w14:paraId="66955E99" w14:textId="77777777" w:rsidTr="00387142">
        <w:trPr>
          <w:trHeight w:val="870"/>
        </w:trPr>
        <w:tc>
          <w:tcPr>
            <w:tcW w:w="272" w:type="dxa"/>
            <w:tcBorders>
              <w:top w:val="nil"/>
              <w:left w:val="nil"/>
              <w:bottom w:val="nil"/>
              <w:right w:val="single" w:sz="4" w:space="0" w:color="auto"/>
            </w:tcBorders>
            <w:shd w:val="clear" w:color="auto" w:fill="auto"/>
            <w:noWrap/>
            <w:vAlign w:val="bottom"/>
            <w:hideMark/>
          </w:tcPr>
          <w:p w14:paraId="75E8C0A8" w14:textId="77777777" w:rsidR="00387142" w:rsidRPr="008B6A75" w:rsidRDefault="00387142" w:rsidP="00387142">
            <w:pPr>
              <w:rPr>
                <w:sz w:val="20"/>
                <w:szCs w:val="20"/>
              </w:rPr>
            </w:pPr>
            <w:r w:rsidRPr="008B6A75">
              <w:rPr>
                <w:sz w:val="20"/>
                <w:szCs w:val="20"/>
              </w:rPr>
              <w:lastRenderedPageBreak/>
              <w:t> </w:t>
            </w:r>
          </w:p>
        </w:tc>
        <w:tc>
          <w:tcPr>
            <w:tcW w:w="3415" w:type="dxa"/>
            <w:tcBorders>
              <w:top w:val="nil"/>
              <w:left w:val="single" w:sz="4" w:space="0" w:color="auto"/>
              <w:bottom w:val="single" w:sz="4" w:space="0" w:color="auto"/>
              <w:right w:val="nil"/>
            </w:tcBorders>
            <w:shd w:val="clear" w:color="auto" w:fill="auto"/>
            <w:vAlign w:val="center"/>
            <w:hideMark/>
          </w:tcPr>
          <w:p w14:paraId="7D33EC1B" w14:textId="77777777" w:rsidR="00387142" w:rsidRPr="008B6A75" w:rsidRDefault="00387142" w:rsidP="00387142">
            <w:pPr>
              <w:rPr>
                <w:sz w:val="20"/>
                <w:szCs w:val="20"/>
              </w:rPr>
            </w:pPr>
            <w:r w:rsidRPr="008B6A75">
              <w:rPr>
                <w:sz w:val="20"/>
                <w:szCs w:val="20"/>
              </w:rPr>
              <w:t>Иные закупки товаров, работ и услуг для обеспечения государственных (муниципальных) нужд</w:t>
            </w:r>
          </w:p>
        </w:tc>
        <w:tc>
          <w:tcPr>
            <w:tcW w:w="1559" w:type="dxa"/>
            <w:tcBorders>
              <w:top w:val="nil"/>
              <w:left w:val="single" w:sz="4" w:space="0" w:color="auto"/>
              <w:bottom w:val="single" w:sz="4" w:space="0" w:color="auto"/>
              <w:right w:val="nil"/>
            </w:tcBorders>
            <w:shd w:val="clear" w:color="auto" w:fill="auto"/>
            <w:noWrap/>
            <w:vAlign w:val="center"/>
            <w:hideMark/>
          </w:tcPr>
          <w:p w14:paraId="4BF5CA69" w14:textId="77777777" w:rsidR="00387142" w:rsidRPr="008B6A75" w:rsidRDefault="00387142" w:rsidP="00387142">
            <w:pPr>
              <w:jc w:val="center"/>
              <w:rPr>
                <w:sz w:val="20"/>
                <w:szCs w:val="20"/>
              </w:rPr>
            </w:pPr>
            <w:r w:rsidRPr="008B6A75">
              <w:rPr>
                <w:sz w:val="20"/>
                <w:szCs w:val="20"/>
              </w:rPr>
              <w:t>07.3.00.79500</w:t>
            </w:r>
          </w:p>
        </w:tc>
        <w:tc>
          <w:tcPr>
            <w:tcW w:w="850" w:type="dxa"/>
            <w:tcBorders>
              <w:top w:val="nil"/>
              <w:left w:val="single" w:sz="4" w:space="0" w:color="auto"/>
              <w:bottom w:val="single" w:sz="4" w:space="0" w:color="auto"/>
              <w:right w:val="nil"/>
            </w:tcBorders>
            <w:shd w:val="clear" w:color="auto" w:fill="auto"/>
            <w:noWrap/>
            <w:vAlign w:val="center"/>
            <w:hideMark/>
          </w:tcPr>
          <w:p w14:paraId="2F62E8B3" w14:textId="77777777" w:rsidR="00387142" w:rsidRPr="008B6A75" w:rsidRDefault="00387142" w:rsidP="00387142">
            <w:pPr>
              <w:jc w:val="center"/>
              <w:rPr>
                <w:sz w:val="20"/>
                <w:szCs w:val="20"/>
              </w:rPr>
            </w:pPr>
            <w:r w:rsidRPr="008B6A75">
              <w:rPr>
                <w:sz w:val="20"/>
                <w:szCs w:val="20"/>
              </w:rPr>
              <w:t>240</w:t>
            </w:r>
          </w:p>
        </w:tc>
        <w:tc>
          <w:tcPr>
            <w:tcW w:w="567" w:type="dxa"/>
            <w:tcBorders>
              <w:top w:val="nil"/>
              <w:left w:val="single" w:sz="4" w:space="0" w:color="auto"/>
              <w:bottom w:val="single" w:sz="4" w:space="0" w:color="auto"/>
              <w:right w:val="nil"/>
            </w:tcBorders>
            <w:shd w:val="clear" w:color="auto" w:fill="auto"/>
            <w:noWrap/>
            <w:vAlign w:val="center"/>
            <w:hideMark/>
          </w:tcPr>
          <w:p w14:paraId="0085EA9B" w14:textId="77777777" w:rsidR="00387142" w:rsidRPr="008B6A75" w:rsidRDefault="00387142" w:rsidP="00387142">
            <w:pPr>
              <w:jc w:val="center"/>
              <w:rPr>
                <w:sz w:val="20"/>
                <w:szCs w:val="20"/>
              </w:rPr>
            </w:pPr>
            <w:r w:rsidRPr="008B6A75">
              <w:rPr>
                <w:sz w:val="20"/>
                <w:szCs w:val="20"/>
              </w:rPr>
              <w:t>07</w:t>
            </w:r>
          </w:p>
        </w:tc>
        <w:tc>
          <w:tcPr>
            <w:tcW w:w="567" w:type="dxa"/>
            <w:tcBorders>
              <w:top w:val="nil"/>
              <w:left w:val="single" w:sz="4" w:space="0" w:color="auto"/>
              <w:bottom w:val="single" w:sz="4" w:space="0" w:color="auto"/>
              <w:right w:val="nil"/>
            </w:tcBorders>
            <w:shd w:val="clear" w:color="auto" w:fill="auto"/>
            <w:noWrap/>
            <w:vAlign w:val="center"/>
            <w:hideMark/>
          </w:tcPr>
          <w:p w14:paraId="2C85EC0A" w14:textId="77777777" w:rsidR="00387142" w:rsidRPr="008B6A75" w:rsidRDefault="00387142" w:rsidP="00387142">
            <w:pPr>
              <w:jc w:val="center"/>
              <w:rPr>
                <w:sz w:val="20"/>
                <w:szCs w:val="20"/>
              </w:rPr>
            </w:pPr>
            <w:r w:rsidRPr="008B6A75">
              <w:rPr>
                <w:sz w:val="20"/>
                <w:szCs w:val="20"/>
              </w:rPr>
              <w:t>02</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8BD0A29" w14:textId="77777777" w:rsidR="00387142" w:rsidRPr="008B6A75" w:rsidRDefault="00387142" w:rsidP="00387142">
            <w:pPr>
              <w:jc w:val="right"/>
              <w:rPr>
                <w:sz w:val="20"/>
                <w:szCs w:val="20"/>
              </w:rPr>
            </w:pPr>
            <w:r w:rsidRPr="008B6A75">
              <w:rPr>
                <w:sz w:val="20"/>
                <w:szCs w:val="20"/>
              </w:rPr>
              <w:t>336 488,00</w:t>
            </w:r>
          </w:p>
        </w:tc>
        <w:tc>
          <w:tcPr>
            <w:tcW w:w="851" w:type="dxa"/>
            <w:tcBorders>
              <w:top w:val="nil"/>
              <w:left w:val="single" w:sz="4" w:space="0" w:color="auto"/>
              <w:bottom w:val="single" w:sz="4" w:space="0" w:color="auto"/>
              <w:right w:val="nil"/>
            </w:tcBorders>
            <w:shd w:val="clear" w:color="auto" w:fill="auto"/>
            <w:noWrap/>
            <w:vAlign w:val="center"/>
            <w:hideMark/>
          </w:tcPr>
          <w:p w14:paraId="773B93A8" w14:textId="77777777" w:rsidR="00387142" w:rsidRPr="008B6A75" w:rsidRDefault="00387142" w:rsidP="00387142">
            <w:pPr>
              <w:jc w:val="right"/>
              <w:rPr>
                <w:sz w:val="20"/>
                <w:szCs w:val="20"/>
              </w:rPr>
            </w:pPr>
            <w:r w:rsidRPr="008B6A75">
              <w:rPr>
                <w:sz w:val="20"/>
                <w:szCs w:val="20"/>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439C8489" w14:textId="77777777" w:rsidR="00387142" w:rsidRPr="008B6A75" w:rsidRDefault="00387142" w:rsidP="00387142">
            <w:pPr>
              <w:jc w:val="right"/>
              <w:rPr>
                <w:sz w:val="20"/>
                <w:szCs w:val="20"/>
              </w:rPr>
            </w:pPr>
            <w:r w:rsidRPr="008B6A75">
              <w:rPr>
                <w:sz w:val="20"/>
                <w:szCs w:val="20"/>
              </w:rPr>
              <w:t>0,00</w:t>
            </w:r>
          </w:p>
        </w:tc>
      </w:tr>
      <w:tr w:rsidR="00387142" w:rsidRPr="008B6A75" w14:paraId="34B0EFC3" w14:textId="77777777" w:rsidTr="00387142">
        <w:trPr>
          <w:trHeight w:val="870"/>
        </w:trPr>
        <w:tc>
          <w:tcPr>
            <w:tcW w:w="272" w:type="dxa"/>
            <w:tcBorders>
              <w:top w:val="nil"/>
              <w:left w:val="nil"/>
              <w:bottom w:val="nil"/>
              <w:right w:val="single" w:sz="4" w:space="0" w:color="auto"/>
            </w:tcBorders>
            <w:shd w:val="clear" w:color="auto" w:fill="auto"/>
            <w:noWrap/>
            <w:vAlign w:val="bottom"/>
            <w:hideMark/>
          </w:tcPr>
          <w:p w14:paraId="0B5B03D4"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3DAE933D" w14:textId="77777777" w:rsidR="00387142" w:rsidRPr="008B6A75" w:rsidRDefault="00387142" w:rsidP="00387142">
            <w:pPr>
              <w:rPr>
                <w:sz w:val="20"/>
                <w:szCs w:val="20"/>
              </w:rPr>
            </w:pPr>
            <w:r w:rsidRPr="008B6A75">
              <w:rPr>
                <w:sz w:val="20"/>
                <w:szCs w:val="20"/>
              </w:rPr>
              <w:t>Иные закупки товаров, работ и услуг для обеспечения государственных (муниципальных) нужд</w:t>
            </w:r>
          </w:p>
        </w:tc>
        <w:tc>
          <w:tcPr>
            <w:tcW w:w="1559" w:type="dxa"/>
            <w:tcBorders>
              <w:top w:val="nil"/>
              <w:left w:val="single" w:sz="4" w:space="0" w:color="auto"/>
              <w:bottom w:val="single" w:sz="4" w:space="0" w:color="auto"/>
              <w:right w:val="nil"/>
            </w:tcBorders>
            <w:shd w:val="clear" w:color="auto" w:fill="auto"/>
            <w:noWrap/>
            <w:vAlign w:val="center"/>
            <w:hideMark/>
          </w:tcPr>
          <w:p w14:paraId="6D535FFA" w14:textId="77777777" w:rsidR="00387142" w:rsidRPr="008B6A75" w:rsidRDefault="00387142" w:rsidP="00387142">
            <w:pPr>
              <w:jc w:val="center"/>
              <w:rPr>
                <w:sz w:val="20"/>
                <w:szCs w:val="20"/>
              </w:rPr>
            </w:pPr>
            <w:r w:rsidRPr="008B6A75">
              <w:rPr>
                <w:sz w:val="20"/>
                <w:szCs w:val="20"/>
              </w:rPr>
              <w:t>07.3.00.79500</w:t>
            </w:r>
          </w:p>
        </w:tc>
        <w:tc>
          <w:tcPr>
            <w:tcW w:w="850" w:type="dxa"/>
            <w:tcBorders>
              <w:top w:val="nil"/>
              <w:left w:val="single" w:sz="4" w:space="0" w:color="auto"/>
              <w:bottom w:val="single" w:sz="4" w:space="0" w:color="auto"/>
              <w:right w:val="nil"/>
            </w:tcBorders>
            <w:shd w:val="clear" w:color="auto" w:fill="auto"/>
            <w:noWrap/>
            <w:vAlign w:val="center"/>
            <w:hideMark/>
          </w:tcPr>
          <w:p w14:paraId="3295EB56" w14:textId="77777777" w:rsidR="00387142" w:rsidRPr="008B6A75" w:rsidRDefault="00387142" w:rsidP="00387142">
            <w:pPr>
              <w:jc w:val="center"/>
              <w:rPr>
                <w:sz w:val="20"/>
                <w:szCs w:val="20"/>
              </w:rPr>
            </w:pPr>
            <w:r w:rsidRPr="008B6A75">
              <w:rPr>
                <w:sz w:val="20"/>
                <w:szCs w:val="20"/>
              </w:rPr>
              <w:t>240</w:t>
            </w:r>
          </w:p>
        </w:tc>
        <w:tc>
          <w:tcPr>
            <w:tcW w:w="567" w:type="dxa"/>
            <w:tcBorders>
              <w:top w:val="nil"/>
              <w:left w:val="single" w:sz="4" w:space="0" w:color="auto"/>
              <w:bottom w:val="single" w:sz="4" w:space="0" w:color="auto"/>
              <w:right w:val="nil"/>
            </w:tcBorders>
            <w:shd w:val="clear" w:color="auto" w:fill="auto"/>
            <w:noWrap/>
            <w:vAlign w:val="center"/>
            <w:hideMark/>
          </w:tcPr>
          <w:p w14:paraId="3C722346" w14:textId="77777777" w:rsidR="00387142" w:rsidRPr="008B6A75" w:rsidRDefault="00387142" w:rsidP="00387142">
            <w:pPr>
              <w:jc w:val="center"/>
              <w:rPr>
                <w:sz w:val="20"/>
                <w:szCs w:val="20"/>
              </w:rPr>
            </w:pPr>
            <w:r w:rsidRPr="008B6A75">
              <w:rPr>
                <w:sz w:val="20"/>
                <w:szCs w:val="20"/>
              </w:rPr>
              <w:t>07</w:t>
            </w:r>
          </w:p>
        </w:tc>
        <w:tc>
          <w:tcPr>
            <w:tcW w:w="567" w:type="dxa"/>
            <w:tcBorders>
              <w:top w:val="nil"/>
              <w:left w:val="single" w:sz="4" w:space="0" w:color="auto"/>
              <w:bottom w:val="single" w:sz="4" w:space="0" w:color="auto"/>
              <w:right w:val="nil"/>
            </w:tcBorders>
            <w:shd w:val="clear" w:color="auto" w:fill="auto"/>
            <w:noWrap/>
            <w:vAlign w:val="center"/>
            <w:hideMark/>
          </w:tcPr>
          <w:p w14:paraId="01C016E4" w14:textId="77777777" w:rsidR="00387142" w:rsidRPr="008B6A75" w:rsidRDefault="00387142" w:rsidP="00387142">
            <w:pPr>
              <w:jc w:val="center"/>
              <w:rPr>
                <w:sz w:val="20"/>
                <w:szCs w:val="20"/>
              </w:rPr>
            </w:pPr>
            <w:r w:rsidRPr="008B6A75">
              <w:rPr>
                <w:sz w:val="20"/>
                <w:szCs w:val="20"/>
              </w:rPr>
              <w:t>05</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13ACFDE" w14:textId="77777777" w:rsidR="00387142" w:rsidRPr="008B6A75" w:rsidRDefault="00387142" w:rsidP="00387142">
            <w:pPr>
              <w:jc w:val="right"/>
              <w:rPr>
                <w:sz w:val="20"/>
                <w:szCs w:val="20"/>
              </w:rPr>
            </w:pPr>
            <w:r w:rsidRPr="008B6A75">
              <w:rPr>
                <w:sz w:val="20"/>
                <w:szCs w:val="20"/>
              </w:rPr>
              <w:t>322 681,70</w:t>
            </w:r>
          </w:p>
        </w:tc>
        <w:tc>
          <w:tcPr>
            <w:tcW w:w="851" w:type="dxa"/>
            <w:tcBorders>
              <w:top w:val="nil"/>
              <w:left w:val="single" w:sz="4" w:space="0" w:color="auto"/>
              <w:bottom w:val="single" w:sz="4" w:space="0" w:color="auto"/>
              <w:right w:val="nil"/>
            </w:tcBorders>
            <w:shd w:val="clear" w:color="auto" w:fill="auto"/>
            <w:noWrap/>
            <w:vAlign w:val="center"/>
            <w:hideMark/>
          </w:tcPr>
          <w:p w14:paraId="0845437B" w14:textId="77777777" w:rsidR="00387142" w:rsidRPr="008B6A75" w:rsidRDefault="00387142" w:rsidP="00387142">
            <w:pPr>
              <w:jc w:val="right"/>
              <w:rPr>
                <w:sz w:val="20"/>
                <w:szCs w:val="20"/>
              </w:rPr>
            </w:pPr>
            <w:r w:rsidRPr="008B6A75">
              <w:rPr>
                <w:sz w:val="20"/>
                <w:szCs w:val="20"/>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643A8944" w14:textId="77777777" w:rsidR="00387142" w:rsidRPr="008B6A75" w:rsidRDefault="00387142" w:rsidP="00387142">
            <w:pPr>
              <w:jc w:val="right"/>
              <w:rPr>
                <w:sz w:val="20"/>
                <w:szCs w:val="20"/>
              </w:rPr>
            </w:pPr>
            <w:r w:rsidRPr="008B6A75">
              <w:rPr>
                <w:sz w:val="20"/>
                <w:szCs w:val="20"/>
              </w:rPr>
              <w:t>0,00</w:t>
            </w:r>
          </w:p>
        </w:tc>
      </w:tr>
      <w:tr w:rsidR="00387142" w:rsidRPr="008B6A75" w14:paraId="64B65E72" w14:textId="77777777" w:rsidTr="00387142">
        <w:trPr>
          <w:trHeight w:val="585"/>
        </w:trPr>
        <w:tc>
          <w:tcPr>
            <w:tcW w:w="272" w:type="dxa"/>
            <w:tcBorders>
              <w:top w:val="nil"/>
              <w:left w:val="nil"/>
              <w:bottom w:val="nil"/>
              <w:right w:val="single" w:sz="4" w:space="0" w:color="auto"/>
            </w:tcBorders>
            <w:shd w:val="clear" w:color="auto" w:fill="auto"/>
            <w:noWrap/>
            <w:vAlign w:val="bottom"/>
            <w:hideMark/>
          </w:tcPr>
          <w:p w14:paraId="02EAE190"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07DBFD00" w14:textId="77777777" w:rsidR="00387142" w:rsidRPr="008B6A75" w:rsidRDefault="00387142" w:rsidP="00387142">
            <w:pPr>
              <w:rPr>
                <w:sz w:val="20"/>
                <w:szCs w:val="20"/>
              </w:rPr>
            </w:pPr>
            <w:r w:rsidRPr="008B6A75">
              <w:rPr>
                <w:sz w:val="20"/>
                <w:szCs w:val="20"/>
              </w:rPr>
              <w:t>Социальное обеспечение и иные выплаты населению</w:t>
            </w:r>
          </w:p>
        </w:tc>
        <w:tc>
          <w:tcPr>
            <w:tcW w:w="1559" w:type="dxa"/>
            <w:tcBorders>
              <w:top w:val="nil"/>
              <w:left w:val="single" w:sz="4" w:space="0" w:color="auto"/>
              <w:bottom w:val="single" w:sz="4" w:space="0" w:color="auto"/>
              <w:right w:val="nil"/>
            </w:tcBorders>
            <w:shd w:val="clear" w:color="auto" w:fill="auto"/>
            <w:noWrap/>
            <w:vAlign w:val="center"/>
            <w:hideMark/>
          </w:tcPr>
          <w:p w14:paraId="1D859882" w14:textId="77777777" w:rsidR="00387142" w:rsidRPr="008B6A75" w:rsidRDefault="00387142" w:rsidP="00387142">
            <w:pPr>
              <w:jc w:val="center"/>
              <w:rPr>
                <w:sz w:val="20"/>
                <w:szCs w:val="20"/>
              </w:rPr>
            </w:pPr>
            <w:r w:rsidRPr="008B6A75">
              <w:rPr>
                <w:sz w:val="20"/>
                <w:szCs w:val="20"/>
              </w:rPr>
              <w:t>07.3.00.79500</w:t>
            </w:r>
          </w:p>
        </w:tc>
        <w:tc>
          <w:tcPr>
            <w:tcW w:w="850" w:type="dxa"/>
            <w:tcBorders>
              <w:top w:val="nil"/>
              <w:left w:val="single" w:sz="4" w:space="0" w:color="auto"/>
              <w:bottom w:val="single" w:sz="4" w:space="0" w:color="auto"/>
              <w:right w:val="nil"/>
            </w:tcBorders>
            <w:shd w:val="clear" w:color="auto" w:fill="auto"/>
            <w:noWrap/>
            <w:vAlign w:val="center"/>
            <w:hideMark/>
          </w:tcPr>
          <w:p w14:paraId="293883D7" w14:textId="77777777" w:rsidR="00387142" w:rsidRPr="008B6A75" w:rsidRDefault="00387142" w:rsidP="00387142">
            <w:pPr>
              <w:jc w:val="center"/>
              <w:rPr>
                <w:sz w:val="20"/>
                <w:szCs w:val="20"/>
              </w:rPr>
            </w:pPr>
            <w:r w:rsidRPr="008B6A75">
              <w:rPr>
                <w:sz w:val="20"/>
                <w:szCs w:val="20"/>
              </w:rPr>
              <w:t>300</w:t>
            </w:r>
          </w:p>
        </w:tc>
        <w:tc>
          <w:tcPr>
            <w:tcW w:w="567" w:type="dxa"/>
            <w:tcBorders>
              <w:top w:val="nil"/>
              <w:left w:val="single" w:sz="4" w:space="0" w:color="auto"/>
              <w:bottom w:val="single" w:sz="4" w:space="0" w:color="auto"/>
              <w:right w:val="nil"/>
            </w:tcBorders>
            <w:shd w:val="clear" w:color="auto" w:fill="auto"/>
            <w:noWrap/>
            <w:vAlign w:val="center"/>
            <w:hideMark/>
          </w:tcPr>
          <w:p w14:paraId="7826AAC7" w14:textId="77777777" w:rsidR="00387142" w:rsidRPr="008B6A75" w:rsidRDefault="00387142" w:rsidP="00387142">
            <w:pPr>
              <w:jc w:val="center"/>
              <w:rPr>
                <w:sz w:val="20"/>
                <w:szCs w:val="20"/>
              </w:rPr>
            </w:pPr>
            <w:r w:rsidRPr="008B6A75">
              <w:rPr>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7E728A6A" w14:textId="77777777" w:rsidR="00387142" w:rsidRPr="008B6A75" w:rsidRDefault="00387142" w:rsidP="00387142">
            <w:pPr>
              <w:jc w:val="center"/>
              <w:rPr>
                <w:sz w:val="20"/>
                <w:szCs w:val="20"/>
              </w:rPr>
            </w:pPr>
            <w:r w:rsidRPr="008B6A75">
              <w:rPr>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B34FF52" w14:textId="77777777" w:rsidR="00387142" w:rsidRPr="008B6A75" w:rsidRDefault="00387142" w:rsidP="00387142">
            <w:pPr>
              <w:jc w:val="right"/>
              <w:rPr>
                <w:sz w:val="20"/>
                <w:szCs w:val="20"/>
              </w:rPr>
            </w:pPr>
            <w:r w:rsidRPr="008B6A75">
              <w:rPr>
                <w:sz w:val="20"/>
                <w:szCs w:val="20"/>
              </w:rPr>
              <w:t>50 000,00</w:t>
            </w:r>
          </w:p>
        </w:tc>
        <w:tc>
          <w:tcPr>
            <w:tcW w:w="851" w:type="dxa"/>
            <w:tcBorders>
              <w:top w:val="nil"/>
              <w:left w:val="single" w:sz="4" w:space="0" w:color="auto"/>
              <w:bottom w:val="single" w:sz="4" w:space="0" w:color="auto"/>
              <w:right w:val="nil"/>
            </w:tcBorders>
            <w:shd w:val="clear" w:color="auto" w:fill="auto"/>
            <w:noWrap/>
            <w:vAlign w:val="center"/>
            <w:hideMark/>
          </w:tcPr>
          <w:p w14:paraId="0B33952E" w14:textId="77777777" w:rsidR="00387142" w:rsidRPr="008B6A75" w:rsidRDefault="00387142" w:rsidP="00387142">
            <w:pPr>
              <w:jc w:val="right"/>
              <w:rPr>
                <w:sz w:val="20"/>
                <w:szCs w:val="20"/>
              </w:rPr>
            </w:pPr>
            <w:r w:rsidRPr="008B6A75">
              <w:rPr>
                <w:sz w:val="20"/>
                <w:szCs w:val="20"/>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54EEB584" w14:textId="77777777" w:rsidR="00387142" w:rsidRPr="008B6A75" w:rsidRDefault="00387142" w:rsidP="00387142">
            <w:pPr>
              <w:jc w:val="right"/>
              <w:rPr>
                <w:sz w:val="20"/>
                <w:szCs w:val="20"/>
              </w:rPr>
            </w:pPr>
            <w:r w:rsidRPr="008B6A75">
              <w:rPr>
                <w:sz w:val="20"/>
                <w:szCs w:val="20"/>
              </w:rPr>
              <w:t>0,00</w:t>
            </w:r>
          </w:p>
        </w:tc>
      </w:tr>
      <w:tr w:rsidR="00387142" w:rsidRPr="008B6A75" w14:paraId="702088AB" w14:textId="77777777" w:rsidTr="00387142">
        <w:trPr>
          <w:trHeight w:val="300"/>
        </w:trPr>
        <w:tc>
          <w:tcPr>
            <w:tcW w:w="272" w:type="dxa"/>
            <w:tcBorders>
              <w:top w:val="nil"/>
              <w:left w:val="nil"/>
              <w:bottom w:val="nil"/>
              <w:right w:val="single" w:sz="4" w:space="0" w:color="auto"/>
            </w:tcBorders>
            <w:shd w:val="clear" w:color="auto" w:fill="auto"/>
            <w:noWrap/>
            <w:vAlign w:val="bottom"/>
            <w:hideMark/>
          </w:tcPr>
          <w:p w14:paraId="43521EEB"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4078FF9A" w14:textId="77777777" w:rsidR="00387142" w:rsidRPr="008B6A75" w:rsidRDefault="00387142" w:rsidP="00387142">
            <w:pPr>
              <w:rPr>
                <w:sz w:val="20"/>
                <w:szCs w:val="20"/>
              </w:rPr>
            </w:pPr>
            <w:r w:rsidRPr="008B6A75">
              <w:rPr>
                <w:sz w:val="20"/>
                <w:szCs w:val="20"/>
              </w:rPr>
              <w:t>Премии и гранты</w:t>
            </w:r>
          </w:p>
        </w:tc>
        <w:tc>
          <w:tcPr>
            <w:tcW w:w="1559" w:type="dxa"/>
            <w:tcBorders>
              <w:top w:val="nil"/>
              <w:left w:val="single" w:sz="4" w:space="0" w:color="auto"/>
              <w:bottom w:val="single" w:sz="4" w:space="0" w:color="auto"/>
              <w:right w:val="nil"/>
            </w:tcBorders>
            <w:shd w:val="clear" w:color="auto" w:fill="auto"/>
            <w:noWrap/>
            <w:vAlign w:val="center"/>
            <w:hideMark/>
          </w:tcPr>
          <w:p w14:paraId="7CF295CD" w14:textId="77777777" w:rsidR="00387142" w:rsidRPr="008B6A75" w:rsidRDefault="00387142" w:rsidP="00387142">
            <w:pPr>
              <w:jc w:val="center"/>
              <w:rPr>
                <w:sz w:val="20"/>
                <w:szCs w:val="20"/>
              </w:rPr>
            </w:pPr>
            <w:r w:rsidRPr="008B6A75">
              <w:rPr>
                <w:sz w:val="20"/>
                <w:szCs w:val="20"/>
              </w:rPr>
              <w:t>07.3.00.79500</w:t>
            </w:r>
          </w:p>
        </w:tc>
        <w:tc>
          <w:tcPr>
            <w:tcW w:w="850" w:type="dxa"/>
            <w:tcBorders>
              <w:top w:val="nil"/>
              <w:left w:val="single" w:sz="4" w:space="0" w:color="auto"/>
              <w:bottom w:val="single" w:sz="4" w:space="0" w:color="auto"/>
              <w:right w:val="nil"/>
            </w:tcBorders>
            <w:shd w:val="clear" w:color="auto" w:fill="auto"/>
            <w:noWrap/>
            <w:vAlign w:val="center"/>
            <w:hideMark/>
          </w:tcPr>
          <w:p w14:paraId="0169D808" w14:textId="77777777" w:rsidR="00387142" w:rsidRPr="008B6A75" w:rsidRDefault="00387142" w:rsidP="00387142">
            <w:pPr>
              <w:jc w:val="center"/>
              <w:rPr>
                <w:sz w:val="20"/>
                <w:szCs w:val="20"/>
              </w:rPr>
            </w:pPr>
            <w:r w:rsidRPr="008B6A75">
              <w:rPr>
                <w:sz w:val="20"/>
                <w:szCs w:val="20"/>
              </w:rPr>
              <w:t>350</w:t>
            </w:r>
          </w:p>
        </w:tc>
        <w:tc>
          <w:tcPr>
            <w:tcW w:w="567" w:type="dxa"/>
            <w:tcBorders>
              <w:top w:val="nil"/>
              <w:left w:val="single" w:sz="4" w:space="0" w:color="auto"/>
              <w:bottom w:val="single" w:sz="4" w:space="0" w:color="auto"/>
              <w:right w:val="nil"/>
            </w:tcBorders>
            <w:shd w:val="clear" w:color="auto" w:fill="auto"/>
            <w:noWrap/>
            <w:vAlign w:val="center"/>
            <w:hideMark/>
          </w:tcPr>
          <w:p w14:paraId="54915670" w14:textId="77777777" w:rsidR="00387142" w:rsidRPr="008B6A75" w:rsidRDefault="00387142" w:rsidP="00387142">
            <w:pPr>
              <w:jc w:val="center"/>
              <w:rPr>
                <w:sz w:val="20"/>
                <w:szCs w:val="20"/>
              </w:rPr>
            </w:pPr>
            <w:r w:rsidRPr="008B6A75">
              <w:rPr>
                <w:sz w:val="20"/>
                <w:szCs w:val="20"/>
              </w:rPr>
              <w:t>07</w:t>
            </w:r>
          </w:p>
        </w:tc>
        <w:tc>
          <w:tcPr>
            <w:tcW w:w="567" w:type="dxa"/>
            <w:tcBorders>
              <w:top w:val="nil"/>
              <w:left w:val="single" w:sz="4" w:space="0" w:color="auto"/>
              <w:bottom w:val="single" w:sz="4" w:space="0" w:color="auto"/>
              <w:right w:val="nil"/>
            </w:tcBorders>
            <w:shd w:val="clear" w:color="auto" w:fill="auto"/>
            <w:noWrap/>
            <w:vAlign w:val="center"/>
            <w:hideMark/>
          </w:tcPr>
          <w:p w14:paraId="66ADF4FB" w14:textId="77777777" w:rsidR="00387142" w:rsidRPr="008B6A75" w:rsidRDefault="00387142" w:rsidP="00387142">
            <w:pPr>
              <w:jc w:val="center"/>
              <w:rPr>
                <w:sz w:val="20"/>
                <w:szCs w:val="20"/>
              </w:rPr>
            </w:pPr>
            <w:r w:rsidRPr="008B6A75">
              <w:rPr>
                <w:sz w:val="20"/>
                <w:szCs w:val="20"/>
              </w:rPr>
              <w:t>05</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A9C34E0" w14:textId="77777777" w:rsidR="00387142" w:rsidRPr="008B6A75" w:rsidRDefault="00387142" w:rsidP="00387142">
            <w:pPr>
              <w:jc w:val="right"/>
              <w:rPr>
                <w:sz w:val="20"/>
                <w:szCs w:val="20"/>
              </w:rPr>
            </w:pPr>
            <w:r w:rsidRPr="008B6A75">
              <w:rPr>
                <w:sz w:val="20"/>
                <w:szCs w:val="20"/>
              </w:rPr>
              <w:t>50 000,00</w:t>
            </w:r>
          </w:p>
        </w:tc>
        <w:tc>
          <w:tcPr>
            <w:tcW w:w="851" w:type="dxa"/>
            <w:tcBorders>
              <w:top w:val="nil"/>
              <w:left w:val="single" w:sz="4" w:space="0" w:color="auto"/>
              <w:bottom w:val="single" w:sz="4" w:space="0" w:color="auto"/>
              <w:right w:val="nil"/>
            </w:tcBorders>
            <w:shd w:val="clear" w:color="auto" w:fill="auto"/>
            <w:noWrap/>
            <w:vAlign w:val="center"/>
            <w:hideMark/>
          </w:tcPr>
          <w:p w14:paraId="15A53A3D" w14:textId="77777777" w:rsidR="00387142" w:rsidRPr="008B6A75" w:rsidRDefault="00387142" w:rsidP="00387142">
            <w:pPr>
              <w:jc w:val="right"/>
              <w:rPr>
                <w:sz w:val="20"/>
                <w:szCs w:val="20"/>
              </w:rPr>
            </w:pPr>
            <w:r w:rsidRPr="008B6A75">
              <w:rPr>
                <w:sz w:val="20"/>
                <w:szCs w:val="20"/>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7EB7E6DC" w14:textId="77777777" w:rsidR="00387142" w:rsidRPr="008B6A75" w:rsidRDefault="00387142" w:rsidP="00387142">
            <w:pPr>
              <w:jc w:val="right"/>
              <w:rPr>
                <w:sz w:val="20"/>
                <w:szCs w:val="20"/>
              </w:rPr>
            </w:pPr>
            <w:r w:rsidRPr="008B6A75">
              <w:rPr>
                <w:sz w:val="20"/>
                <w:szCs w:val="20"/>
              </w:rPr>
              <w:t>0,00</w:t>
            </w:r>
          </w:p>
        </w:tc>
      </w:tr>
      <w:tr w:rsidR="00387142" w:rsidRPr="008B6A75" w14:paraId="30A18E1D" w14:textId="77777777" w:rsidTr="00387142">
        <w:trPr>
          <w:trHeight w:val="870"/>
        </w:trPr>
        <w:tc>
          <w:tcPr>
            <w:tcW w:w="272" w:type="dxa"/>
            <w:tcBorders>
              <w:top w:val="nil"/>
              <w:left w:val="nil"/>
              <w:bottom w:val="nil"/>
              <w:right w:val="single" w:sz="4" w:space="0" w:color="auto"/>
            </w:tcBorders>
            <w:shd w:val="clear" w:color="auto" w:fill="auto"/>
            <w:noWrap/>
            <w:vAlign w:val="bottom"/>
            <w:hideMark/>
          </w:tcPr>
          <w:p w14:paraId="2B2806FA"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39A06C3A" w14:textId="77777777" w:rsidR="00387142" w:rsidRPr="008B6A75" w:rsidRDefault="00387142" w:rsidP="00387142">
            <w:pPr>
              <w:rPr>
                <w:sz w:val="20"/>
                <w:szCs w:val="20"/>
              </w:rPr>
            </w:pPr>
            <w:r w:rsidRPr="008B6A75">
              <w:rPr>
                <w:sz w:val="20"/>
                <w:szCs w:val="20"/>
              </w:rPr>
              <w:t>Предоставление субсидий бюджетным, автономным учреждениям и иным некоммерческим организациям</w:t>
            </w:r>
          </w:p>
        </w:tc>
        <w:tc>
          <w:tcPr>
            <w:tcW w:w="1559" w:type="dxa"/>
            <w:tcBorders>
              <w:top w:val="nil"/>
              <w:left w:val="single" w:sz="4" w:space="0" w:color="auto"/>
              <w:bottom w:val="single" w:sz="4" w:space="0" w:color="auto"/>
              <w:right w:val="nil"/>
            </w:tcBorders>
            <w:shd w:val="clear" w:color="auto" w:fill="auto"/>
            <w:noWrap/>
            <w:vAlign w:val="center"/>
            <w:hideMark/>
          </w:tcPr>
          <w:p w14:paraId="5A64CAE1" w14:textId="77777777" w:rsidR="00387142" w:rsidRPr="008B6A75" w:rsidRDefault="00387142" w:rsidP="00387142">
            <w:pPr>
              <w:jc w:val="center"/>
              <w:rPr>
                <w:sz w:val="20"/>
                <w:szCs w:val="20"/>
              </w:rPr>
            </w:pPr>
            <w:r w:rsidRPr="008B6A75">
              <w:rPr>
                <w:sz w:val="20"/>
                <w:szCs w:val="20"/>
              </w:rPr>
              <w:t>07.3.00.79500</w:t>
            </w:r>
          </w:p>
        </w:tc>
        <w:tc>
          <w:tcPr>
            <w:tcW w:w="850" w:type="dxa"/>
            <w:tcBorders>
              <w:top w:val="nil"/>
              <w:left w:val="single" w:sz="4" w:space="0" w:color="auto"/>
              <w:bottom w:val="single" w:sz="4" w:space="0" w:color="auto"/>
              <w:right w:val="nil"/>
            </w:tcBorders>
            <w:shd w:val="clear" w:color="auto" w:fill="auto"/>
            <w:noWrap/>
            <w:vAlign w:val="center"/>
            <w:hideMark/>
          </w:tcPr>
          <w:p w14:paraId="67C80376" w14:textId="77777777" w:rsidR="00387142" w:rsidRPr="008B6A75" w:rsidRDefault="00387142" w:rsidP="00387142">
            <w:pPr>
              <w:jc w:val="center"/>
              <w:rPr>
                <w:sz w:val="20"/>
                <w:szCs w:val="20"/>
              </w:rPr>
            </w:pPr>
            <w:r w:rsidRPr="008B6A75">
              <w:rPr>
                <w:sz w:val="20"/>
                <w:szCs w:val="20"/>
              </w:rPr>
              <w:t>600</w:t>
            </w:r>
          </w:p>
        </w:tc>
        <w:tc>
          <w:tcPr>
            <w:tcW w:w="567" w:type="dxa"/>
            <w:tcBorders>
              <w:top w:val="nil"/>
              <w:left w:val="single" w:sz="4" w:space="0" w:color="auto"/>
              <w:bottom w:val="single" w:sz="4" w:space="0" w:color="auto"/>
              <w:right w:val="nil"/>
            </w:tcBorders>
            <w:shd w:val="clear" w:color="auto" w:fill="auto"/>
            <w:noWrap/>
            <w:vAlign w:val="center"/>
            <w:hideMark/>
          </w:tcPr>
          <w:p w14:paraId="7F39AB04" w14:textId="77777777" w:rsidR="00387142" w:rsidRPr="008B6A75" w:rsidRDefault="00387142" w:rsidP="00387142">
            <w:pPr>
              <w:jc w:val="center"/>
              <w:rPr>
                <w:sz w:val="20"/>
                <w:szCs w:val="20"/>
              </w:rPr>
            </w:pPr>
            <w:r w:rsidRPr="008B6A75">
              <w:rPr>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6262C0E5" w14:textId="77777777" w:rsidR="00387142" w:rsidRPr="008B6A75" w:rsidRDefault="00387142" w:rsidP="00387142">
            <w:pPr>
              <w:jc w:val="center"/>
              <w:rPr>
                <w:sz w:val="20"/>
                <w:szCs w:val="20"/>
              </w:rPr>
            </w:pPr>
            <w:r w:rsidRPr="008B6A75">
              <w:rPr>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18F088E" w14:textId="77777777" w:rsidR="00387142" w:rsidRPr="008B6A75" w:rsidRDefault="00387142" w:rsidP="00387142">
            <w:pPr>
              <w:jc w:val="right"/>
              <w:rPr>
                <w:sz w:val="20"/>
                <w:szCs w:val="20"/>
              </w:rPr>
            </w:pPr>
            <w:r w:rsidRPr="008B6A75">
              <w:rPr>
                <w:sz w:val="20"/>
                <w:szCs w:val="20"/>
              </w:rPr>
              <w:t>136 216,20</w:t>
            </w:r>
          </w:p>
        </w:tc>
        <w:tc>
          <w:tcPr>
            <w:tcW w:w="851" w:type="dxa"/>
            <w:tcBorders>
              <w:top w:val="nil"/>
              <w:left w:val="single" w:sz="4" w:space="0" w:color="auto"/>
              <w:bottom w:val="single" w:sz="4" w:space="0" w:color="auto"/>
              <w:right w:val="nil"/>
            </w:tcBorders>
            <w:shd w:val="clear" w:color="auto" w:fill="auto"/>
            <w:noWrap/>
            <w:vAlign w:val="center"/>
            <w:hideMark/>
          </w:tcPr>
          <w:p w14:paraId="6747F09F" w14:textId="77777777" w:rsidR="00387142" w:rsidRPr="008B6A75" w:rsidRDefault="00387142" w:rsidP="00387142">
            <w:pPr>
              <w:jc w:val="right"/>
              <w:rPr>
                <w:sz w:val="20"/>
                <w:szCs w:val="20"/>
              </w:rPr>
            </w:pPr>
            <w:r w:rsidRPr="008B6A75">
              <w:rPr>
                <w:sz w:val="20"/>
                <w:szCs w:val="20"/>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4DE6F714" w14:textId="77777777" w:rsidR="00387142" w:rsidRPr="008B6A75" w:rsidRDefault="00387142" w:rsidP="00387142">
            <w:pPr>
              <w:jc w:val="right"/>
              <w:rPr>
                <w:sz w:val="20"/>
                <w:szCs w:val="20"/>
              </w:rPr>
            </w:pPr>
            <w:r w:rsidRPr="008B6A75">
              <w:rPr>
                <w:sz w:val="20"/>
                <w:szCs w:val="20"/>
              </w:rPr>
              <w:t>0,00</w:t>
            </w:r>
          </w:p>
        </w:tc>
      </w:tr>
      <w:tr w:rsidR="00387142" w:rsidRPr="008B6A75" w14:paraId="2EC72AB3" w14:textId="77777777" w:rsidTr="00387142">
        <w:trPr>
          <w:trHeight w:val="300"/>
        </w:trPr>
        <w:tc>
          <w:tcPr>
            <w:tcW w:w="272" w:type="dxa"/>
            <w:tcBorders>
              <w:top w:val="nil"/>
              <w:left w:val="nil"/>
              <w:bottom w:val="nil"/>
              <w:right w:val="single" w:sz="4" w:space="0" w:color="auto"/>
            </w:tcBorders>
            <w:shd w:val="clear" w:color="auto" w:fill="auto"/>
            <w:noWrap/>
            <w:vAlign w:val="bottom"/>
            <w:hideMark/>
          </w:tcPr>
          <w:p w14:paraId="40D5ABD4"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602DADD1" w14:textId="77777777" w:rsidR="00387142" w:rsidRPr="008B6A75" w:rsidRDefault="00387142" w:rsidP="00387142">
            <w:pPr>
              <w:rPr>
                <w:sz w:val="20"/>
                <w:szCs w:val="20"/>
              </w:rPr>
            </w:pPr>
            <w:r w:rsidRPr="008B6A75">
              <w:rPr>
                <w:sz w:val="20"/>
                <w:szCs w:val="20"/>
              </w:rPr>
              <w:t>Субсидии бюджетным учреждениям</w:t>
            </w:r>
          </w:p>
        </w:tc>
        <w:tc>
          <w:tcPr>
            <w:tcW w:w="1559" w:type="dxa"/>
            <w:tcBorders>
              <w:top w:val="nil"/>
              <w:left w:val="single" w:sz="4" w:space="0" w:color="auto"/>
              <w:bottom w:val="single" w:sz="4" w:space="0" w:color="auto"/>
              <w:right w:val="nil"/>
            </w:tcBorders>
            <w:shd w:val="clear" w:color="auto" w:fill="auto"/>
            <w:noWrap/>
            <w:vAlign w:val="center"/>
            <w:hideMark/>
          </w:tcPr>
          <w:p w14:paraId="537227E8" w14:textId="77777777" w:rsidR="00387142" w:rsidRPr="008B6A75" w:rsidRDefault="00387142" w:rsidP="00387142">
            <w:pPr>
              <w:jc w:val="center"/>
              <w:rPr>
                <w:sz w:val="20"/>
                <w:szCs w:val="20"/>
              </w:rPr>
            </w:pPr>
            <w:r w:rsidRPr="008B6A75">
              <w:rPr>
                <w:sz w:val="20"/>
                <w:szCs w:val="20"/>
              </w:rPr>
              <w:t>07.3.00.79500</w:t>
            </w:r>
          </w:p>
        </w:tc>
        <w:tc>
          <w:tcPr>
            <w:tcW w:w="850" w:type="dxa"/>
            <w:tcBorders>
              <w:top w:val="nil"/>
              <w:left w:val="single" w:sz="4" w:space="0" w:color="auto"/>
              <w:bottom w:val="single" w:sz="4" w:space="0" w:color="auto"/>
              <w:right w:val="nil"/>
            </w:tcBorders>
            <w:shd w:val="clear" w:color="auto" w:fill="auto"/>
            <w:noWrap/>
            <w:vAlign w:val="center"/>
            <w:hideMark/>
          </w:tcPr>
          <w:p w14:paraId="5D71C838" w14:textId="77777777" w:rsidR="00387142" w:rsidRPr="008B6A75" w:rsidRDefault="00387142" w:rsidP="00387142">
            <w:pPr>
              <w:jc w:val="center"/>
              <w:rPr>
                <w:sz w:val="20"/>
                <w:szCs w:val="20"/>
              </w:rPr>
            </w:pPr>
            <w:r w:rsidRPr="008B6A75">
              <w:rPr>
                <w:sz w:val="20"/>
                <w:szCs w:val="20"/>
              </w:rPr>
              <w:t>610</w:t>
            </w:r>
          </w:p>
        </w:tc>
        <w:tc>
          <w:tcPr>
            <w:tcW w:w="567" w:type="dxa"/>
            <w:tcBorders>
              <w:top w:val="nil"/>
              <w:left w:val="single" w:sz="4" w:space="0" w:color="auto"/>
              <w:bottom w:val="single" w:sz="4" w:space="0" w:color="auto"/>
              <w:right w:val="nil"/>
            </w:tcBorders>
            <w:shd w:val="clear" w:color="auto" w:fill="auto"/>
            <w:noWrap/>
            <w:vAlign w:val="center"/>
            <w:hideMark/>
          </w:tcPr>
          <w:p w14:paraId="711AFD7C" w14:textId="77777777" w:rsidR="00387142" w:rsidRPr="008B6A75" w:rsidRDefault="00387142" w:rsidP="00387142">
            <w:pPr>
              <w:jc w:val="center"/>
              <w:rPr>
                <w:sz w:val="20"/>
                <w:szCs w:val="20"/>
              </w:rPr>
            </w:pPr>
            <w:r w:rsidRPr="008B6A75">
              <w:rPr>
                <w:sz w:val="20"/>
                <w:szCs w:val="20"/>
              </w:rPr>
              <w:t>07</w:t>
            </w:r>
          </w:p>
        </w:tc>
        <w:tc>
          <w:tcPr>
            <w:tcW w:w="567" w:type="dxa"/>
            <w:tcBorders>
              <w:top w:val="nil"/>
              <w:left w:val="single" w:sz="4" w:space="0" w:color="auto"/>
              <w:bottom w:val="single" w:sz="4" w:space="0" w:color="auto"/>
              <w:right w:val="nil"/>
            </w:tcBorders>
            <w:shd w:val="clear" w:color="auto" w:fill="auto"/>
            <w:noWrap/>
            <w:vAlign w:val="center"/>
            <w:hideMark/>
          </w:tcPr>
          <w:p w14:paraId="337B6287" w14:textId="77777777" w:rsidR="00387142" w:rsidRPr="008B6A75" w:rsidRDefault="00387142" w:rsidP="00387142">
            <w:pPr>
              <w:jc w:val="center"/>
              <w:rPr>
                <w:sz w:val="20"/>
                <w:szCs w:val="20"/>
              </w:rPr>
            </w:pPr>
            <w:r w:rsidRPr="008B6A75">
              <w:rPr>
                <w:sz w:val="20"/>
                <w:szCs w:val="20"/>
              </w:rPr>
              <w:t>02</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F7F9EDA" w14:textId="77777777" w:rsidR="00387142" w:rsidRPr="008B6A75" w:rsidRDefault="00387142" w:rsidP="00387142">
            <w:pPr>
              <w:jc w:val="right"/>
              <w:rPr>
                <w:sz w:val="20"/>
                <w:szCs w:val="20"/>
              </w:rPr>
            </w:pPr>
            <w:r w:rsidRPr="008B6A75">
              <w:rPr>
                <w:sz w:val="20"/>
                <w:szCs w:val="20"/>
              </w:rPr>
              <w:t>114 600,00</w:t>
            </w:r>
          </w:p>
        </w:tc>
        <w:tc>
          <w:tcPr>
            <w:tcW w:w="851" w:type="dxa"/>
            <w:tcBorders>
              <w:top w:val="nil"/>
              <w:left w:val="single" w:sz="4" w:space="0" w:color="auto"/>
              <w:bottom w:val="single" w:sz="4" w:space="0" w:color="auto"/>
              <w:right w:val="nil"/>
            </w:tcBorders>
            <w:shd w:val="clear" w:color="auto" w:fill="auto"/>
            <w:noWrap/>
            <w:vAlign w:val="center"/>
            <w:hideMark/>
          </w:tcPr>
          <w:p w14:paraId="7DFDC172" w14:textId="77777777" w:rsidR="00387142" w:rsidRPr="008B6A75" w:rsidRDefault="00387142" w:rsidP="00387142">
            <w:pPr>
              <w:jc w:val="right"/>
              <w:rPr>
                <w:sz w:val="20"/>
                <w:szCs w:val="20"/>
              </w:rPr>
            </w:pPr>
            <w:r w:rsidRPr="008B6A75">
              <w:rPr>
                <w:sz w:val="20"/>
                <w:szCs w:val="20"/>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0AF331B9" w14:textId="77777777" w:rsidR="00387142" w:rsidRPr="008B6A75" w:rsidRDefault="00387142" w:rsidP="00387142">
            <w:pPr>
              <w:jc w:val="right"/>
              <w:rPr>
                <w:sz w:val="20"/>
                <w:szCs w:val="20"/>
              </w:rPr>
            </w:pPr>
            <w:r w:rsidRPr="008B6A75">
              <w:rPr>
                <w:sz w:val="20"/>
                <w:szCs w:val="20"/>
              </w:rPr>
              <w:t>0,00</w:t>
            </w:r>
          </w:p>
        </w:tc>
      </w:tr>
      <w:tr w:rsidR="00387142" w:rsidRPr="008B6A75" w14:paraId="60E58762" w14:textId="77777777" w:rsidTr="00387142">
        <w:trPr>
          <w:trHeight w:val="300"/>
        </w:trPr>
        <w:tc>
          <w:tcPr>
            <w:tcW w:w="272" w:type="dxa"/>
            <w:tcBorders>
              <w:top w:val="nil"/>
              <w:left w:val="nil"/>
              <w:bottom w:val="nil"/>
              <w:right w:val="single" w:sz="4" w:space="0" w:color="auto"/>
            </w:tcBorders>
            <w:shd w:val="clear" w:color="auto" w:fill="auto"/>
            <w:noWrap/>
            <w:vAlign w:val="bottom"/>
            <w:hideMark/>
          </w:tcPr>
          <w:p w14:paraId="29BDDA1D"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73655024" w14:textId="77777777" w:rsidR="00387142" w:rsidRPr="008B6A75" w:rsidRDefault="00387142" w:rsidP="00387142">
            <w:pPr>
              <w:rPr>
                <w:sz w:val="20"/>
                <w:szCs w:val="20"/>
              </w:rPr>
            </w:pPr>
            <w:r w:rsidRPr="008B6A75">
              <w:rPr>
                <w:sz w:val="20"/>
                <w:szCs w:val="20"/>
              </w:rPr>
              <w:t>Субсидии бюджетным учреждениям</w:t>
            </w:r>
          </w:p>
        </w:tc>
        <w:tc>
          <w:tcPr>
            <w:tcW w:w="1559" w:type="dxa"/>
            <w:tcBorders>
              <w:top w:val="nil"/>
              <w:left w:val="single" w:sz="4" w:space="0" w:color="auto"/>
              <w:bottom w:val="single" w:sz="4" w:space="0" w:color="auto"/>
              <w:right w:val="nil"/>
            </w:tcBorders>
            <w:shd w:val="clear" w:color="auto" w:fill="auto"/>
            <w:noWrap/>
            <w:vAlign w:val="center"/>
            <w:hideMark/>
          </w:tcPr>
          <w:p w14:paraId="10C06B78" w14:textId="77777777" w:rsidR="00387142" w:rsidRPr="008B6A75" w:rsidRDefault="00387142" w:rsidP="00387142">
            <w:pPr>
              <w:jc w:val="center"/>
              <w:rPr>
                <w:sz w:val="20"/>
                <w:szCs w:val="20"/>
              </w:rPr>
            </w:pPr>
            <w:r w:rsidRPr="008B6A75">
              <w:rPr>
                <w:sz w:val="20"/>
                <w:szCs w:val="20"/>
              </w:rPr>
              <w:t>07.3.00.79500</w:t>
            </w:r>
          </w:p>
        </w:tc>
        <w:tc>
          <w:tcPr>
            <w:tcW w:w="850" w:type="dxa"/>
            <w:tcBorders>
              <w:top w:val="nil"/>
              <w:left w:val="single" w:sz="4" w:space="0" w:color="auto"/>
              <w:bottom w:val="single" w:sz="4" w:space="0" w:color="auto"/>
              <w:right w:val="nil"/>
            </w:tcBorders>
            <w:shd w:val="clear" w:color="auto" w:fill="auto"/>
            <w:noWrap/>
            <w:vAlign w:val="center"/>
            <w:hideMark/>
          </w:tcPr>
          <w:p w14:paraId="40E78DC5" w14:textId="77777777" w:rsidR="00387142" w:rsidRPr="008B6A75" w:rsidRDefault="00387142" w:rsidP="00387142">
            <w:pPr>
              <w:jc w:val="center"/>
              <w:rPr>
                <w:sz w:val="20"/>
                <w:szCs w:val="20"/>
              </w:rPr>
            </w:pPr>
            <w:r w:rsidRPr="008B6A75">
              <w:rPr>
                <w:sz w:val="20"/>
                <w:szCs w:val="20"/>
              </w:rPr>
              <w:t>610</w:t>
            </w:r>
          </w:p>
        </w:tc>
        <w:tc>
          <w:tcPr>
            <w:tcW w:w="567" w:type="dxa"/>
            <w:tcBorders>
              <w:top w:val="nil"/>
              <w:left w:val="single" w:sz="4" w:space="0" w:color="auto"/>
              <w:bottom w:val="single" w:sz="4" w:space="0" w:color="auto"/>
              <w:right w:val="nil"/>
            </w:tcBorders>
            <w:shd w:val="clear" w:color="auto" w:fill="auto"/>
            <w:noWrap/>
            <w:vAlign w:val="center"/>
            <w:hideMark/>
          </w:tcPr>
          <w:p w14:paraId="0E369ABB" w14:textId="77777777" w:rsidR="00387142" w:rsidRPr="008B6A75" w:rsidRDefault="00387142" w:rsidP="00387142">
            <w:pPr>
              <w:jc w:val="center"/>
              <w:rPr>
                <w:sz w:val="20"/>
                <w:szCs w:val="20"/>
              </w:rPr>
            </w:pPr>
            <w:r w:rsidRPr="008B6A75">
              <w:rPr>
                <w:sz w:val="20"/>
                <w:szCs w:val="20"/>
              </w:rPr>
              <w:t>07</w:t>
            </w:r>
          </w:p>
        </w:tc>
        <w:tc>
          <w:tcPr>
            <w:tcW w:w="567" w:type="dxa"/>
            <w:tcBorders>
              <w:top w:val="nil"/>
              <w:left w:val="single" w:sz="4" w:space="0" w:color="auto"/>
              <w:bottom w:val="single" w:sz="4" w:space="0" w:color="auto"/>
              <w:right w:val="nil"/>
            </w:tcBorders>
            <w:shd w:val="clear" w:color="auto" w:fill="auto"/>
            <w:noWrap/>
            <w:vAlign w:val="center"/>
            <w:hideMark/>
          </w:tcPr>
          <w:p w14:paraId="5FDABB71" w14:textId="77777777" w:rsidR="00387142" w:rsidRPr="008B6A75" w:rsidRDefault="00387142" w:rsidP="00387142">
            <w:pPr>
              <w:jc w:val="center"/>
              <w:rPr>
                <w:sz w:val="20"/>
                <w:szCs w:val="20"/>
              </w:rPr>
            </w:pPr>
            <w:r w:rsidRPr="008B6A75">
              <w:rPr>
                <w:sz w:val="20"/>
                <w:szCs w:val="20"/>
              </w:rPr>
              <w:t>03</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555D124" w14:textId="77777777" w:rsidR="00387142" w:rsidRPr="008B6A75" w:rsidRDefault="00387142" w:rsidP="00387142">
            <w:pPr>
              <w:jc w:val="right"/>
              <w:rPr>
                <w:sz w:val="20"/>
                <w:szCs w:val="20"/>
              </w:rPr>
            </w:pPr>
            <w:r w:rsidRPr="008B6A75">
              <w:rPr>
                <w:sz w:val="20"/>
                <w:szCs w:val="20"/>
              </w:rPr>
              <w:t>21 616,20</w:t>
            </w:r>
          </w:p>
        </w:tc>
        <w:tc>
          <w:tcPr>
            <w:tcW w:w="851" w:type="dxa"/>
            <w:tcBorders>
              <w:top w:val="nil"/>
              <w:left w:val="single" w:sz="4" w:space="0" w:color="auto"/>
              <w:bottom w:val="single" w:sz="4" w:space="0" w:color="auto"/>
              <w:right w:val="nil"/>
            </w:tcBorders>
            <w:shd w:val="clear" w:color="auto" w:fill="auto"/>
            <w:noWrap/>
            <w:vAlign w:val="center"/>
            <w:hideMark/>
          </w:tcPr>
          <w:p w14:paraId="28452BEB" w14:textId="77777777" w:rsidR="00387142" w:rsidRPr="008B6A75" w:rsidRDefault="00387142" w:rsidP="00387142">
            <w:pPr>
              <w:jc w:val="right"/>
              <w:rPr>
                <w:sz w:val="20"/>
                <w:szCs w:val="20"/>
              </w:rPr>
            </w:pPr>
            <w:r w:rsidRPr="008B6A75">
              <w:rPr>
                <w:sz w:val="20"/>
                <w:szCs w:val="20"/>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00B2A80C" w14:textId="77777777" w:rsidR="00387142" w:rsidRPr="008B6A75" w:rsidRDefault="00387142" w:rsidP="00387142">
            <w:pPr>
              <w:jc w:val="right"/>
              <w:rPr>
                <w:sz w:val="20"/>
                <w:szCs w:val="20"/>
              </w:rPr>
            </w:pPr>
            <w:r w:rsidRPr="008B6A75">
              <w:rPr>
                <w:sz w:val="20"/>
                <w:szCs w:val="20"/>
              </w:rPr>
              <w:t>0,00</w:t>
            </w:r>
          </w:p>
        </w:tc>
      </w:tr>
      <w:tr w:rsidR="00387142" w:rsidRPr="008B6A75" w14:paraId="50E5EA74" w14:textId="77777777" w:rsidTr="00387142">
        <w:trPr>
          <w:trHeight w:val="585"/>
        </w:trPr>
        <w:tc>
          <w:tcPr>
            <w:tcW w:w="272" w:type="dxa"/>
            <w:tcBorders>
              <w:top w:val="nil"/>
              <w:left w:val="nil"/>
              <w:bottom w:val="nil"/>
              <w:right w:val="single" w:sz="4" w:space="0" w:color="auto"/>
            </w:tcBorders>
            <w:shd w:val="clear" w:color="auto" w:fill="auto"/>
            <w:noWrap/>
            <w:vAlign w:val="bottom"/>
            <w:hideMark/>
          </w:tcPr>
          <w:p w14:paraId="6087AF31"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5058C204" w14:textId="77777777" w:rsidR="00387142" w:rsidRPr="008B6A75" w:rsidRDefault="00387142" w:rsidP="00387142">
            <w:pPr>
              <w:rPr>
                <w:bCs/>
                <w:sz w:val="20"/>
                <w:szCs w:val="20"/>
              </w:rPr>
            </w:pPr>
            <w:r w:rsidRPr="008B6A75">
              <w:rPr>
                <w:bCs/>
                <w:sz w:val="20"/>
                <w:szCs w:val="20"/>
              </w:rPr>
              <w:t>Подпрограмма "Организация отдыха и оздоровления детей и подростков"</w:t>
            </w:r>
          </w:p>
        </w:tc>
        <w:tc>
          <w:tcPr>
            <w:tcW w:w="1559" w:type="dxa"/>
            <w:tcBorders>
              <w:top w:val="nil"/>
              <w:left w:val="single" w:sz="4" w:space="0" w:color="auto"/>
              <w:bottom w:val="single" w:sz="4" w:space="0" w:color="auto"/>
              <w:right w:val="nil"/>
            </w:tcBorders>
            <w:shd w:val="clear" w:color="auto" w:fill="auto"/>
            <w:noWrap/>
            <w:vAlign w:val="center"/>
            <w:hideMark/>
          </w:tcPr>
          <w:p w14:paraId="7817FDC6" w14:textId="77777777" w:rsidR="00387142" w:rsidRPr="008B6A75" w:rsidRDefault="00387142" w:rsidP="00387142">
            <w:pPr>
              <w:jc w:val="center"/>
              <w:rPr>
                <w:bCs/>
                <w:sz w:val="20"/>
                <w:szCs w:val="20"/>
              </w:rPr>
            </w:pPr>
            <w:r w:rsidRPr="008B6A75">
              <w:rPr>
                <w:bCs/>
                <w:sz w:val="20"/>
                <w:szCs w:val="20"/>
              </w:rPr>
              <w:t>07.4.00.00000</w:t>
            </w:r>
          </w:p>
        </w:tc>
        <w:tc>
          <w:tcPr>
            <w:tcW w:w="850" w:type="dxa"/>
            <w:tcBorders>
              <w:top w:val="nil"/>
              <w:left w:val="single" w:sz="4" w:space="0" w:color="auto"/>
              <w:bottom w:val="single" w:sz="4" w:space="0" w:color="auto"/>
              <w:right w:val="nil"/>
            </w:tcBorders>
            <w:shd w:val="clear" w:color="auto" w:fill="auto"/>
            <w:noWrap/>
            <w:vAlign w:val="center"/>
            <w:hideMark/>
          </w:tcPr>
          <w:p w14:paraId="4B6F8B77" w14:textId="77777777" w:rsidR="00387142" w:rsidRPr="008B6A75" w:rsidRDefault="00387142" w:rsidP="00387142">
            <w:pPr>
              <w:jc w:val="center"/>
              <w:rPr>
                <w:bCs/>
                <w:sz w:val="20"/>
                <w:szCs w:val="20"/>
              </w:rPr>
            </w:pPr>
            <w:r w:rsidRPr="008B6A75">
              <w:rPr>
                <w:bCs/>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11463BDC" w14:textId="77777777" w:rsidR="00387142" w:rsidRPr="008B6A75" w:rsidRDefault="00387142" w:rsidP="00387142">
            <w:pPr>
              <w:jc w:val="center"/>
              <w:rPr>
                <w:bCs/>
                <w:sz w:val="20"/>
                <w:szCs w:val="20"/>
              </w:rPr>
            </w:pPr>
            <w:r w:rsidRPr="008B6A75">
              <w:rPr>
                <w:bCs/>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4E73226A" w14:textId="77777777" w:rsidR="00387142" w:rsidRPr="008B6A75" w:rsidRDefault="00387142" w:rsidP="00387142">
            <w:pPr>
              <w:jc w:val="center"/>
              <w:rPr>
                <w:bCs/>
                <w:sz w:val="20"/>
                <w:szCs w:val="20"/>
              </w:rPr>
            </w:pPr>
            <w:r w:rsidRPr="008B6A75">
              <w:rPr>
                <w:bCs/>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1FC1EE4" w14:textId="77777777" w:rsidR="00387142" w:rsidRPr="008B6A75" w:rsidRDefault="00387142" w:rsidP="00387142">
            <w:pPr>
              <w:jc w:val="right"/>
              <w:rPr>
                <w:bCs/>
                <w:sz w:val="20"/>
                <w:szCs w:val="20"/>
              </w:rPr>
            </w:pPr>
            <w:r w:rsidRPr="008B6A75">
              <w:rPr>
                <w:bCs/>
                <w:sz w:val="20"/>
                <w:szCs w:val="20"/>
              </w:rPr>
              <w:t>10 977 561,66</w:t>
            </w:r>
          </w:p>
        </w:tc>
        <w:tc>
          <w:tcPr>
            <w:tcW w:w="851" w:type="dxa"/>
            <w:tcBorders>
              <w:top w:val="nil"/>
              <w:left w:val="single" w:sz="4" w:space="0" w:color="auto"/>
              <w:bottom w:val="single" w:sz="4" w:space="0" w:color="auto"/>
              <w:right w:val="nil"/>
            </w:tcBorders>
            <w:shd w:val="clear" w:color="auto" w:fill="auto"/>
            <w:noWrap/>
            <w:vAlign w:val="center"/>
            <w:hideMark/>
          </w:tcPr>
          <w:p w14:paraId="3039D743" w14:textId="77777777" w:rsidR="00387142" w:rsidRPr="008B6A75" w:rsidRDefault="00387142" w:rsidP="00387142">
            <w:pPr>
              <w:jc w:val="right"/>
              <w:rPr>
                <w:bCs/>
                <w:sz w:val="20"/>
                <w:szCs w:val="20"/>
              </w:rPr>
            </w:pPr>
            <w:r w:rsidRPr="008B6A75">
              <w:rPr>
                <w:bCs/>
                <w:sz w:val="20"/>
                <w:szCs w:val="20"/>
              </w:rPr>
              <w:t>2 839 609,00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3603F54A" w14:textId="77777777" w:rsidR="00387142" w:rsidRPr="008B6A75" w:rsidRDefault="00387142" w:rsidP="00387142">
            <w:pPr>
              <w:jc w:val="right"/>
              <w:rPr>
                <w:bCs/>
                <w:sz w:val="20"/>
                <w:szCs w:val="20"/>
              </w:rPr>
            </w:pPr>
            <w:r w:rsidRPr="008B6A75">
              <w:rPr>
                <w:bCs/>
                <w:sz w:val="20"/>
                <w:szCs w:val="20"/>
              </w:rPr>
              <w:t>2 713 000,00</w:t>
            </w:r>
          </w:p>
        </w:tc>
      </w:tr>
      <w:tr w:rsidR="00387142" w:rsidRPr="008B6A75" w14:paraId="39CF10DD" w14:textId="77777777" w:rsidTr="00387142">
        <w:trPr>
          <w:trHeight w:val="1155"/>
        </w:trPr>
        <w:tc>
          <w:tcPr>
            <w:tcW w:w="272" w:type="dxa"/>
            <w:tcBorders>
              <w:top w:val="nil"/>
              <w:left w:val="nil"/>
              <w:bottom w:val="nil"/>
              <w:right w:val="single" w:sz="4" w:space="0" w:color="auto"/>
            </w:tcBorders>
            <w:shd w:val="clear" w:color="auto" w:fill="auto"/>
            <w:noWrap/>
            <w:vAlign w:val="bottom"/>
            <w:hideMark/>
          </w:tcPr>
          <w:p w14:paraId="1F60446D"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4B2DCCBC" w14:textId="77777777" w:rsidR="00387142" w:rsidRPr="008B6A75" w:rsidRDefault="00387142" w:rsidP="00387142">
            <w:pPr>
              <w:rPr>
                <w:bCs/>
                <w:sz w:val="20"/>
                <w:szCs w:val="20"/>
              </w:rPr>
            </w:pPr>
            <w:r w:rsidRPr="008B6A75">
              <w:rPr>
                <w:bCs/>
                <w:sz w:val="20"/>
                <w:szCs w:val="20"/>
              </w:rPr>
              <w:t>Расходы на обеспечение деятельности (оказание услуг) муниципальных учреждений по проведению оздоровительной кампании детей</w:t>
            </w:r>
          </w:p>
        </w:tc>
        <w:tc>
          <w:tcPr>
            <w:tcW w:w="1559" w:type="dxa"/>
            <w:tcBorders>
              <w:top w:val="nil"/>
              <w:left w:val="single" w:sz="4" w:space="0" w:color="auto"/>
              <w:bottom w:val="single" w:sz="4" w:space="0" w:color="auto"/>
              <w:right w:val="nil"/>
            </w:tcBorders>
            <w:shd w:val="clear" w:color="auto" w:fill="auto"/>
            <w:noWrap/>
            <w:vAlign w:val="center"/>
            <w:hideMark/>
          </w:tcPr>
          <w:p w14:paraId="3714188C" w14:textId="77777777" w:rsidR="00387142" w:rsidRPr="008B6A75" w:rsidRDefault="00387142" w:rsidP="00387142">
            <w:pPr>
              <w:jc w:val="center"/>
              <w:rPr>
                <w:bCs/>
                <w:sz w:val="20"/>
                <w:szCs w:val="20"/>
              </w:rPr>
            </w:pPr>
            <w:r w:rsidRPr="008B6A75">
              <w:rPr>
                <w:bCs/>
                <w:sz w:val="20"/>
                <w:szCs w:val="20"/>
              </w:rPr>
              <w:t>07.4.00.07690</w:t>
            </w:r>
          </w:p>
        </w:tc>
        <w:tc>
          <w:tcPr>
            <w:tcW w:w="850" w:type="dxa"/>
            <w:tcBorders>
              <w:top w:val="nil"/>
              <w:left w:val="single" w:sz="4" w:space="0" w:color="auto"/>
              <w:bottom w:val="single" w:sz="4" w:space="0" w:color="auto"/>
              <w:right w:val="nil"/>
            </w:tcBorders>
            <w:shd w:val="clear" w:color="auto" w:fill="auto"/>
            <w:noWrap/>
            <w:vAlign w:val="center"/>
            <w:hideMark/>
          </w:tcPr>
          <w:p w14:paraId="18FE7AF1" w14:textId="77777777" w:rsidR="00387142" w:rsidRPr="008B6A75" w:rsidRDefault="00387142" w:rsidP="00387142">
            <w:pPr>
              <w:jc w:val="center"/>
              <w:rPr>
                <w:bCs/>
                <w:sz w:val="20"/>
                <w:szCs w:val="20"/>
              </w:rPr>
            </w:pPr>
            <w:r w:rsidRPr="008B6A75">
              <w:rPr>
                <w:bCs/>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75BF3F59" w14:textId="77777777" w:rsidR="00387142" w:rsidRPr="008B6A75" w:rsidRDefault="00387142" w:rsidP="00387142">
            <w:pPr>
              <w:jc w:val="center"/>
              <w:rPr>
                <w:bCs/>
                <w:sz w:val="20"/>
                <w:szCs w:val="20"/>
              </w:rPr>
            </w:pPr>
            <w:r w:rsidRPr="008B6A75">
              <w:rPr>
                <w:bCs/>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44EE2454" w14:textId="77777777" w:rsidR="00387142" w:rsidRPr="008B6A75" w:rsidRDefault="00387142" w:rsidP="00387142">
            <w:pPr>
              <w:jc w:val="center"/>
              <w:rPr>
                <w:bCs/>
                <w:sz w:val="20"/>
                <w:szCs w:val="20"/>
              </w:rPr>
            </w:pPr>
            <w:r w:rsidRPr="008B6A75">
              <w:rPr>
                <w:bCs/>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EF49309" w14:textId="77777777" w:rsidR="00387142" w:rsidRPr="008B6A75" w:rsidRDefault="00387142" w:rsidP="00387142">
            <w:pPr>
              <w:jc w:val="right"/>
              <w:rPr>
                <w:bCs/>
                <w:sz w:val="20"/>
                <w:szCs w:val="20"/>
              </w:rPr>
            </w:pPr>
            <w:r w:rsidRPr="008B6A75">
              <w:rPr>
                <w:bCs/>
                <w:sz w:val="20"/>
                <w:szCs w:val="20"/>
              </w:rPr>
              <w:t>1 371 607,80</w:t>
            </w:r>
          </w:p>
        </w:tc>
        <w:tc>
          <w:tcPr>
            <w:tcW w:w="851" w:type="dxa"/>
            <w:tcBorders>
              <w:top w:val="nil"/>
              <w:left w:val="single" w:sz="4" w:space="0" w:color="auto"/>
              <w:bottom w:val="single" w:sz="4" w:space="0" w:color="auto"/>
              <w:right w:val="nil"/>
            </w:tcBorders>
            <w:shd w:val="clear" w:color="auto" w:fill="auto"/>
            <w:noWrap/>
            <w:vAlign w:val="center"/>
            <w:hideMark/>
          </w:tcPr>
          <w:p w14:paraId="07B9CF63" w14:textId="77777777" w:rsidR="00387142" w:rsidRPr="008B6A75" w:rsidRDefault="00387142" w:rsidP="00387142">
            <w:pPr>
              <w:jc w:val="right"/>
              <w:rPr>
                <w:bCs/>
                <w:sz w:val="20"/>
                <w:szCs w:val="20"/>
              </w:rPr>
            </w:pPr>
            <w:r w:rsidRPr="008B6A75">
              <w:rPr>
                <w:bCs/>
                <w:sz w:val="20"/>
                <w:szCs w:val="20"/>
              </w:rPr>
              <w:t>126 609,00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7E55BA0A" w14:textId="77777777" w:rsidR="00387142" w:rsidRPr="008B6A75" w:rsidRDefault="00387142" w:rsidP="00387142">
            <w:pPr>
              <w:jc w:val="right"/>
              <w:rPr>
                <w:bCs/>
                <w:sz w:val="20"/>
                <w:szCs w:val="20"/>
              </w:rPr>
            </w:pPr>
            <w:r w:rsidRPr="008B6A75">
              <w:rPr>
                <w:bCs/>
                <w:sz w:val="20"/>
                <w:szCs w:val="20"/>
              </w:rPr>
              <w:t>0,00</w:t>
            </w:r>
          </w:p>
        </w:tc>
      </w:tr>
      <w:tr w:rsidR="00387142" w:rsidRPr="008B6A75" w14:paraId="76C091A2" w14:textId="77777777" w:rsidTr="00387142">
        <w:trPr>
          <w:trHeight w:val="870"/>
        </w:trPr>
        <w:tc>
          <w:tcPr>
            <w:tcW w:w="272" w:type="dxa"/>
            <w:tcBorders>
              <w:top w:val="nil"/>
              <w:left w:val="nil"/>
              <w:bottom w:val="nil"/>
              <w:right w:val="single" w:sz="4" w:space="0" w:color="auto"/>
            </w:tcBorders>
            <w:shd w:val="clear" w:color="auto" w:fill="auto"/>
            <w:noWrap/>
            <w:vAlign w:val="bottom"/>
            <w:hideMark/>
          </w:tcPr>
          <w:p w14:paraId="57C6B23E"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7CB0EB0E" w14:textId="77777777" w:rsidR="00387142" w:rsidRPr="008B6A75" w:rsidRDefault="00387142" w:rsidP="00387142">
            <w:pPr>
              <w:rPr>
                <w:sz w:val="20"/>
                <w:szCs w:val="20"/>
              </w:rPr>
            </w:pPr>
            <w:r w:rsidRPr="008B6A75">
              <w:rPr>
                <w:sz w:val="20"/>
                <w:szCs w:val="20"/>
              </w:rPr>
              <w:t>Предоставление субсидий бюджетным, автономным учреждениям и иным некоммерческим организациям</w:t>
            </w:r>
          </w:p>
        </w:tc>
        <w:tc>
          <w:tcPr>
            <w:tcW w:w="1559" w:type="dxa"/>
            <w:tcBorders>
              <w:top w:val="nil"/>
              <w:left w:val="single" w:sz="4" w:space="0" w:color="auto"/>
              <w:bottom w:val="single" w:sz="4" w:space="0" w:color="auto"/>
              <w:right w:val="nil"/>
            </w:tcBorders>
            <w:shd w:val="clear" w:color="auto" w:fill="auto"/>
            <w:noWrap/>
            <w:vAlign w:val="center"/>
            <w:hideMark/>
          </w:tcPr>
          <w:p w14:paraId="2A3685ED" w14:textId="77777777" w:rsidR="00387142" w:rsidRPr="008B6A75" w:rsidRDefault="00387142" w:rsidP="00387142">
            <w:pPr>
              <w:jc w:val="center"/>
              <w:rPr>
                <w:sz w:val="20"/>
                <w:szCs w:val="20"/>
              </w:rPr>
            </w:pPr>
            <w:r w:rsidRPr="008B6A75">
              <w:rPr>
                <w:sz w:val="20"/>
                <w:szCs w:val="20"/>
              </w:rPr>
              <w:t>07.4.00.07690</w:t>
            </w:r>
          </w:p>
        </w:tc>
        <w:tc>
          <w:tcPr>
            <w:tcW w:w="850" w:type="dxa"/>
            <w:tcBorders>
              <w:top w:val="nil"/>
              <w:left w:val="single" w:sz="4" w:space="0" w:color="auto"/>
              <w:bottom w:val="single" w:sz="4" w:space="0" w:color="auto"/>
              <w:right w:val="nil"/>
            </w:tcBorders>
            <w:shd w:val="clear" w:color="auto" w:fill="auto"/>
            <w:noWrap/>
            <w:vAlign w:val="center"/>
            <w:hideMark/>
          </w:tcPr>
          <w:p w14:paraId="08BCA919" w14:textId="77777777" w:rsidR="00387142" w:rsidRPr="008B6A75" w:rsidRDefault="00387142" w:rsidP="00387142">
            <w:pPr>
              <w:jc w:val="center"/>
              <w:rPr>
                <w:sz w:val="20"/>
                <w:szCs w:val="20"/>
              </w:rPr>
            </w:pPr>
            <w:r w:rsidRPr="008B6A75">
              <w:rPr>
                <w:sz w:val="20"/>
                <w:szCs w:val="20"/>
              </w:rPr>
              <w:t>600</w:t>
            </w:r>
          </w:p>
        </w:tc>
        <w:tc>
          <w:tcPr>
            <w:tcW w:w="567" w:type="dxa"/>
            <w:tcBorders>
              <w:top w:val="nil"/>
              <w:left w:val="single" w:sz="4" w:space="0" w:color="auto"/>
              <w:bottom w:val="single" w:sz="4" w:space="0" w:color="auto"/>
              <w:right w:val="nil"/>
            </w:tcBorders>
            <w:shd w:val="clear" w:color="auto" w:fill="auto"/>
            <w:noWrap/>
            <w:vAlign w:val="center"/>
            <w:hideMark/>
          </w:tcPr>
          <w:p w14:paraId="48AFC8F2" w14:textId="77777777" w:rsidR="00387142" w:rsidRPr="008B6A75" w:rsidRDefault="00387142" w:rsidP="00387142">
            <w:pPr>
              <w:jc w:val="center"/>
              <w:rPr>
                <w:sz w:val="20"/>
                <w:szCs w:val="20"/>
              </w:rPr>
            </w:pPr>
            <w:r w:rsidRPr="008B6A75">
              <w:rPr>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1ABCD3D8" w14:textId="77777777" w:rsidR="00387142" w:rsidRPr="008B6A75" w:rsidRDefault="00387142" w:rsidP="00387142">
            <w:pPr>
              <w:jc w:val="center"/>
              <w:rPr>
                <w:sz w:val="20"/>
                <w:szCs w:val="20"/>
              </w:rPr>
            </w:pPr>
            <w:r w:rsidRPr="008B6A75">
              <w:rPr>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917B678" w14:textId="77777777" w:rsidR="00387142" w:rsidRPr="008B6A75" w:rsidRDefault="00387142" w:rsidP="00387142">
            <w:pPr>
              <w:jc w:val="right"/>
              <w:rPr>
                <w:sz w:val="20"/>
                <w:szCs w:val="20"/>
              </w:rPr>
            </w:pPr>
            <w:r w:rsidRPr="008B6A75">
              <w:rPr>
                <w:sz w:val="20"/>
                <w:szCs w:val="20"/>
              </w:rPr>
              <w:t>1 371 607,80</w:t>
            </w:r>
          </w:p>
        </w:tc>
        <w:tc>
          <w:tcPr>
            <w:tcW w:w="851" w:type="dxa"/>
            <w:tcBorders>
              <w:top w:val="nil"/>
              <w:left w:val="single" w:sz="4" w:space="0" w:color="auto"/>
              <w:bottom w:val="single" w:sz="4" w:space="0" w:color="auto"/>
              <w:right w:val="nil"/>
            </w:tcBorders>
            <w:shd w:val="clear" w:color="auto" w:fill="auto"/>
            <w:noWrap/>
            <w:vAlign w:val="center"/>
            <w:hideMark/>
          </w:tcPr>
          <w:p w14:paraId="7DC011DA" w14:textId="77777777" w:rsidR="00387142" w:rsidRPr="008B6A75" w:rsidRDefault="00387142" w:rsidP="00387142">
            <w:pPr>
              <w:jc w:val="right"/>
              <w:rPr>
                <w:sz w:val="20"/>
                <w:szCs w:val="20"/>
              </w:rPr>
            </w:pPr>
            <w:r w:rsidRPr="008B6A75">
              <w:rPr>
                <w:sz w:val="20"/>
                <w:szCs w:val="20"/>
              </w:rPr>
              <w:t>126 609,00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4C79C67D" w14:textId="77777777" w:rsidR="00387142" w:rsidRPr="008B6A75" w:rsidRDefault="00387142" w:rsidP="00387142">
            <w:pPr>
              <w:jc w:val="right"/>
              <w:rPr>
                <w:sz w:val="20"/>
                <w:szCs w:val="20"/>
              </w:rPr>
            </w:pPr>
            <w:r w:rsidRPr="008B6A75">
              <w:rPr>
                <w:sz w:val="20"/>
                <w:szCs w:val="20"/>
              </w:rPr>
              <w:t>0,00</w:t>
            </w:r>
          </w:p>
        </w:tc>
      </w:tr>
      <w:tr w:rsidR="00387142" w:rsidRPr="008B6A75" w14:paraId="16B7BD11" w14:textId="77777777" w:rsidTr="00387142">
        <w:trPr>
          <w:trHeight w:val="300"/>
        </w:trPr>
        <w:tc>
          <w:tcPr>
            <w:tcW w:w="272" w:type="dxa"/>
            <w:tcBorders>
              <w:top w:val="nil"/>
              <w:left w:val="nil"/>
              <w:bottom w:val="nil"/>
              <w:right w:val="single" w:sz="4" w:space="0" w:color="auto"/>
            </w:tcBorders>
            <w:shd w:val="clear" w:color="auto" w:fill="auto"/>
            <w:noWrap/>
            <w:vAlign w:val="bottom"/>
            <w:hideMark/>
          </w:tcPr>
          <w:p w14:paraId="549FE717"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15714549" w14:textId="77777777" w:rsidR="00387142" w:rsidRPr="008B6A75" w:rsidRDefault="00387142" w:rsidP="00387142">
            <w:pPr>
              <w:rPr>
                <w:sz w:val="20"/>
                <w:szCs w:val="20"/>
              </w:rPr>
            </w:pPr>
            <w:r w:rsidRPr="008B6A75">
              <w:rPr>
                <w:sz w:val="20"/>
                <w:szCs w:val="20"/>
              </w:rPr>
              <w:t>Субсидии бюджетным учреждениям</w:t>
            </w:r>
          </w:p>
        </w:tc>
        <w:tc>
          <w:tcPr>
            <w:tcW w:w="1559" w:type="dxa"/>
            <w:tcBorders>
              <w:top w:val="nil"/>
              <w:left w:val="single" w:sz="4" w:space="0" w:color="auto"/>
              <w:bottom w:val="single" w:sz="4" w:space="0" w:color="auto"/>
              <w:right w:val="nil"/>
            </w:tcBorders>
            <w:shd w:val="clear" w:color="auto" w:fill="auto"/>
            <w:noWrap/>
            <w:vAlign w:val="center"/>
            <w:hideMark/>
          </w:tcPr>
          <w:p w14:paraId="357BB286" w14:textId="77777777" w:rsidR="00387142" w:rsidRPr="008B6A75" w:rsidRDefault="00387142" w:rsidP="00387142">
            <w:pPr>
              <w:jc w:val="center"/>
              <w:rPr>
                <w:sz w:val="20"/>
                <w:szCs w:val="20"/>
              </w:rPr>
            </w:pPr>
            <w:r w:rsidRPr="008B6A75">
              <w:rPr>
                <w:sz w:val="20"/>
                <w:szCs w:val="20"/>
              </w:rPr>
              <w:t>07.4.00.07690</w:t>
            </w:r>
          </w:p>
        </w:tc>
        <w:tc>
          <w:tcPr>
            <w:tcW w:w="850" w:type="dxa"/>
            <w:tcBorders>
              <w:top w:val="nil"/>
              <w:left w:val="single" w:sz="4" w:space="0" w:color="auto"/>
              <w:bottom w:val="single" w:sz="4" w:space="0" w:color="auto"/>
              <w:right w:val="nil"/>
            </w:tcBorders>
            <w:shd w:val="clear" w:color="auto" w:fill="auto"/>
            <w:noWrap/>
            <w:vAlign w:val="center"/>
            <w:hideMark/>
          </w:tcPr>
          <w:p w14:paraId="657C9093" w14:textId="77777777" w:rsidR="00387142" w:rsidRPr="008B6A75" w:rsidRDefault="00387142" w:rsidP="00387142">
            <w:pPr>
              <w:jc w:val="center"/>
              <w:rPr>
                <w:sz w:val="20"/>
                <w:szCs w:val="20"/>
              </w:rPr>
            </w:pPr>
            <w:r w:rsidRPr="008B6A75">
              <w:rPr>
                <w:sz w:val="20"/>
                <w:szCs w:val="20"/>
              </w:rPr>
              <w:t>610</w:t>
            </w:r>
          </w:p>
        </w:tc>
        <w:tc>
          <w:tcPr>
            <w:tcW w:w="567" w:type="dxa"/>
            <w:tcBorders>
              <w:top w:val="nil"/>
              <w:left w:val="single" w:sz="4" w:space="0" w:color="auto"/>
              <w:bottom w:val="single" w:sz="4" w:space="0" w:color="auto"/>
              <w:right w:val="nil"/>
            </w:tcBorders>
            <w:shd w:val="clear" w:color="auto" w:fill="auto"/>
            <w:noWrap/>
            <w:vAlign w:val="center"/>
            <w:hideMark/>
          </w:tcPr>
          <w:p w14:paraId="76C345B2" w14:textId="77777777" w:rsidR="00387142" w:rsidRPr="008B6A75" w:rsidRDefault="00387142" w:rsidP="00387142">
            <w:pPr>
              <w:jc w:val="center"/>
              <w:rPr>
                <w:sz w:val="20"/>
                <w:szCs w:val="20"/>
              </w:rPr>
            </w:pPr>
            <w:r w:rsidRPr="008B6A75">
              <w:rPr>
                <w:sz w:val="20"/>
                <w:szCs w:val="20"/>
              </w:rPr>
              <w:t>07</w:t>
            </w:r>
          </w:p>
        </w:tc>
        <w:tc>
          <w:tcPr>
            <w:tcW w:w="567" w:type="dxa"/>
            <w:tcBorders>
              <w:top w:val="nil"/>
              <w:left w:val="single" w:sz="4" w:space="0" w:color="auto"/>
              <w:bottom w:val="single" w:sz="4" w:space="0" w:color="auto"/>
              <w:right w:val="nil"/>
            </w:tcBorders>
            <w:shd w:val="clear" w:color="auto" w:fill="auto"/>
            <w:noWrap/>
            <w:vAlign w:val="center"/>
            <w:hideMark/>
          </w:tcPr>
          <w:p w14:paraId="3C55A5E4" w14:textId="77777777" w:rsidR="00387142" w:rsidRPr="008B6A75" w:rsidRDefault="00387142" w:rsidP="00387142">
            <w:pPr>
              <w:jc w:val="center"/>
              <w:rPr>
                <w:sz w:val="20"/>
                <w:szCs w:val="20"/>
              </w:rPr>
            </w:pPr>
            <w:r w:rsidRPr="008B6A75">
              <w:rPr>
                <w:sz w:val="20"/>
                <w:szCs w:val="20"/>
              </w:rPr>
              <w:t>07</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CC9E8C8" w14:textId="77777777" w:rsidR="00387142" w:rsidRPr="008B6A75" w:rsidRDefault="00387142" w:rsidP="00387142">
            <w:pPr>
              <w:jc w:val="right"/>
              <w:rPr>
                <w:sz w:val="20"/>
                <w:szCs w:val="20"/>
              </w:rPr>
            </w:pPr>
            <w:r w:rsidRPr="008B6A75">
              <w:rPr>
                <w:sz w:val="20"/>
                <w:szCs w:val="20"/>
              </w:rPr>
              <w:t>1 371 607,80</w:t>
            </w:r>
          </w:p>
        </w:tc>
        <w:tc>
          <w:tcPr>
            <w:tcW w:w="851" w:type="dxa"/>
            <w:tcBorders>
              <w:top w:val="nil"/>
              <w:left w:val="single" w:sz="4" w:space="0" w:color="auto"/>
              <w:bottom w:val="single" w:sz="4" w:space="0" w:color="auto"/>
              <w:right w:val="nil"/>
            </w:tcBorders>
            <w:shd w:val="clear" w:color="auto" w:fill="auto"/>
            <w:noWrap/>
            <w:vAlign w:val="center"/>
            <w:hideMark/>
          </w:tcPr>
          <w:p w14:paraId="28F4090A" w14:textId="77777777" w:rsidR="00387142" w:rsidRPr="008B6A75" w:rsidRDefault="00387142" w:rsidP="00387142">
            <w:pPr>
              <w:jc w:val="right"/>
              <w:rPr>
                <w:sz w:val="20"/>
                <w:szCs w:val="20"/>
              </w:rPr>
            </w:pPr>
            <w:r w:rsidRPr="008B6A75">
              <w:rPr>
                <w:sz w:val="20"/>
                <w:szCs w:val="20"/>
              </w:rPr>
              <w:t>126 609,00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350B89F1" w14:textId="77777777" w:rsidR="00387142" w:rsidRPr="008B6A75" w:rsidRDefault="00387142" w:rsidP="00387142">
            <w:pPr>
              <w:jc w:val="right"/>
              <w:rPr>
                <w:sz w:val="20"/>
                <w:szCs w:val="20"/>
              </w:rPr>
            </w:pPr>
            <w:r w:rsidRPr="008B6A75">
              <w:rPr>
                <w:sz w:val="20"/>
                <w:szCs w:val="20"/>
              </w:rPr>
              <w:t>0,00</w:t>
            </w:r>
          </w:p>
        </w:tc>
      </w:tr>
      <w:tr w:rsidR="00387142" w:rsidRPr="008B6A75" w14:paraId="54A17447" w14:textId="77777777" w:rsidTr="00387142">
        <w:trPr>
          <w:trHeight w:val="1155"/>
        </w:trPr>
        <w:tc>
          <w:tcPr>
            <w:tcW w:w="272" w:type="dxa"/>
            <w:tcBorders>
              <w:top w:val="nil"/>
              <w:left w:val="nil"/>
              <w:bottom w:val="nil"/>
              <w:right w:val="single" w:sz="4" w:space="0" w:color="auto"/>
            </w:tcBorders>
            <w:shd w:val="clear" w:color="auto" w:fill="auto"/>
            <w:noWrap/>
            <w:vAlign w:val="bottom"/>
            <w:hideMark/>
          </w:tcPr>
          <w:p w14:paraId="21DCF8D7"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35430468" w14:textId="77777777" w:rsidR="00387142" w:rsidRPr="008B6A75" w:rsidRDefault="00387142" w:rsidP="00387142">
            <w:pPr>
              <w:rPr>
                <w:bCs/>
                <w:sz w:val="20"/>
                <w:szCs w:val="20"/>
              </w:rPr>
            </w:pPr>
            <w:r w:rsidRPr="008B6A75">
              <w:rPr>
                <w:bCs/>
                <w:sz w:val="20"/>
                <w:szCs w:val="20"/>
              </w:rPr>
              <w:t>Реализация мероприятий по оздоровлению детей государственной программы Новосибирской области "Социальная поддержка в Новосибирской области"</w:t>
            </w:r>
          </w:p>
        </w:tc>
        <w:tc>
          <w:tcPr>
            <w:tcW w:w="1559" w:type="dxa"/>
            <w:tcBorders>
              <w:top w:val="nil"/>
              <w:left w:val="single" w:sz="4" w:space="0" w:color="auto"/>
              <w:bottom w:val="single" w:sz="4" w:space="0" w:color="auto"/>
              <w:right w:val="nil"/>
            </w:tcBorders>
            <w:shd w:val="clear" w:color="auto" w:fill="auto"/>
            <w:noWrap/>
            <w:vAlign w:val="center"/>
            <w:hideMark/>
          </w:tcPr>
          <w:p w14:paraId="670CDB60" w14:textId="77777777" w:rsidR="00387142" w:rsidRPr="008B6A75" w:rsidRDefault="00387142" w:rsidP="00387142">
            <w:pPr>
              <w:jc w:val="center"/>
              <w:rPr>
                <w:bCs/>
                <w:sz w:val="20"/>
                <w:szCs w:val="20"/>
              </w:rPr>
            </w:pPr>
            <w:r w:rsidRPr="008B6A75">
              <w:rPr>
                <w:bCs/>
                <w:sz w:val="20"/>
                <w:szCs w:val="20"/>
              </w:rPr>
              <w:t>07.4.00.70359</w:t>
            </w:r>
          </w:p>
        </w:tc>
        <w:tc>
          <w:tcPr>
            <w:tcW w:w="850" w:type="dxa"/>
            <w:tcBorders>
              <w:top w:val="nil"/>
              <w:left w:val="single" w:sz="4" w:space="0" w:color="auto"/>
              <w:bottom w:val="single" w:sz="4" w:space="0" w:color="auto"/>
              <w:right w:val="nil"/>
            </w:tcBorders>
            <w:shd w:val="clear" w:color="auto" w:fill="auto"/>
            <w:noWrap/>
            <w:vAlign w:val="center"/>
            <w:hideMark/>
          </w:tcPr>
          <w:p w14:paraId="7348EAA8" w14:textId="77777777" w:rsidR="00387142" w:rsidRPr="008B6A75" w:rsidRDefault="00387142" w:rsidP="00387142">
            <w:pPr>
              <w:jc w:val="center"/>
              <w:rPr>
                <w:bCs/>
                <w:sz w:val="20"/>
                <w:szCs w:val="20"/>
              </w:rPr>
            </w:pPr>
            <w:r w:rsidRPr="008B6A75">
              <w:rPr>
                <w:bCs/>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4F5F27BD" w14:textId="77777777" w:rsidR="00387142" w:rsidRPr="008B6A75" w:rsidRDefault="00387142" w:rsidP="00387142">
            <w:pPr>
              <w:jc w:val="center"/>
              <w:rPr>
                <w:bCs/>
                <w:sz w:val="20"/>
                <w:szCs w:val="20"/>
              </w:rPr>
            </w:pPr>
            <w:r w:rsidRPr="008B6A75">
              <w:rPr>
                <w:bCs/>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10846F7B" w14:textId="77777777" w:rsidR="00387142" w:rsidRPr="008B6A75" w:rsidRDefault="00387142" w:rsidP="00387142">
            <w:pPr>
              <w:jc w:val="center"/>
              <w:rPr>
                <w:bCs/>
                <w:sz w:val="20"/>
                <w:szCs w:val="20"/>
              </w:rPr>
            </w:pPr>
            <w:r w:rsidRPr="008B6A75">
              <w:rPr>
                <w:bCs/>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3B571CA" w14:textId="77777777" w:rsidR="00387142" w:rsidRPr="008B6A75" w:rsidRDefault="00387142" w:rsidP="00387142">
            <w:pPr>
              <w:jc w:val="right"/>
              <w:rPr>
                <w:bCs/>
                <w:sz w:val="20"/>
                <w:szCs w:val="20"/>
              </w:rPr>
            </w:pPr>
            <w:r w:rsidRPr="008B6A75">
              <w:rPr>
                <w:bCs/>
                <w:sz w:val="20"/>
                <w:szCs w:val="20"/>
              </w:rPr>
              <w:t>2 658 700,00</w:t>
            </w:r>
          </w:p>
        </w:tc>
        <w:tc>
          <w:tcPr>
            <w:tcW w:w="851" w:type="dxa"/>
            <w:tcBorders>
              <w:top w:val="nil"/>
              <w:left w:val="single" w:sz="4" w:space="0" w:color="auto"/>
              <w:bottom w:val="single" w:sz="4" w:space="0" w:color="auto"/>
              <w:right w:val="nil"/>
            </w:tcBorders>
            <w:shd w:val="clear" w:color="auto" w:fill="auto"/>
            <w:noWrap/>
            <w:vAlign w:val="center"/>
            <w:hideMark/>
          </w:tcPr>
          <w:p w14:paraId="22DB1D63" w14:textId="77777777" w:rsidR="00387142" w:rsidRPr="008B6A75" w:rsidRDefault="00387142" w:rsidP="00387142">
            <w:pPr>
              <w:jc w:val="right"/>
              <w:rPr>
                <w:bCs/>
                <w:sz w:val="20"/>
                <w:szCs w:val="20"/>
              </w:rPr>
            </w:pPr>
            <w:r w:rsidRPr="008B6A75">
              <w:rPr>
                <w:bCs/>
                <w:sz w:val="20"/>
                <w:szCs w:val="20"/>
              </w:rPr>
              <w:t>2 658 700,00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4B0331FC" w14:textId="77777777" w:rsidR="00387142" w:rsidRPr="008B6A75" w:rsidRDefault="00387142" w:rsidP="00387142">
            <w:pPr>
              <w:jc w:val="right"/>
              <w:rPr>
                <w:bCs/>
                <w:sz w:val="20"/>
                <w:szCs w:val="20"/>
              </w:rPr>
            </w:pPr>
            <w:r w:rsidRPr="008B6A75">
              <w:rPr>
                <w:bCs/>
                <w:sz w:val="20"/>
                <w:szCs w:val="20"/>
              </w:rPr>
              <w:t>2 658 700,00</w:t>
            </w:r>
          </w:p>
        </w:tc>
      </w:tr>
      <w:tr w:rsidR="00387142" w:rsidRPr="008B6A75" w14:paraId="7115CB40" w14:textId="77777777" w:rsidTr="00387142">
        <w:trPr>
          <w:trHeight w:val="585"/>
        </w:trPr>
        <w:tc>
          <w:tcPr>
            <w:tcW w:w="272" w:type="dxa"/>
            <w:tcBorders>
              <w:top w:val="nil"/>
              <w:left w:val="nil"/>
              <w:bottom w:val="nil"/>
              <w:right w:val="single" w:sz="4" w:space="0" w:color="auto"/>
            </w:tcBorders>
            <w:shd w:val="clear" w:color="auto" w:fill="auto"/>
            <w:noWrap/>
            <w:vAlign w:val="bottom"/>
            <w:hideMark/>
          </w:tcPr>
          <w:p w14:paraId="50F69891"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1F47C52D" w14:textId="77777777" w:rsidR="00387142" w:rsidRPr="008B6A75" w:rsidRDefault="00387142" w:rsidP="00387142">
            <w:pPr>
              <w:rPr>
                <w:sz w:val="20"/>
                <w:szCs w:val="20"/>
              </w:rPr>
            </w:pPr>
            <w:r w:rsidRPr="008B6A75">
              <w:rPr>
                <w:sz w:val="20"/>
                <w:szCs w:val="20"/>
              </w:rPr>
              <w:t>Закупка товаров, работ и услуг для обеспечения государственных (муниципальных) нужд</w:t>
            </w:r>
          </w:p>
        </w:tc>
        <w:tc>
          <w:tcPr>
            <w:tcW w:w="1559" w:type="dxa"/>
            <w:tcBorders>
              <w:top w:val="nil"/>
              <w:left w:val="single" w:sz="4" w:space="0" w:color="auto"/>
              <w:bottom w:val="single" w:sz="4" w:space="0" w:color="auto"/>
              <w:right w:val="nil"/>
            </w:tcBorders>
            <w:shd w:val="clear" w:color="auto" w:fill="auto"/>
            <w:noWrap/>
            <w:vAlign w:val="center"/>
            <w:hideMark/>
          </w:tcPr>
          <w:p w14:paraId="1F64024D" w14:textId="77777777" w:rsidR="00387142" w:rsidRPr="008B6A75" w:rsidRDefault="00387142" w:rsidP="00387142">
            <w:pPr>
              <w:jc w:val="center"/>
              <w:rPr>
                <w:sz w:val="20"/>
                <w:szCs w:val="20"/>
              </w:rPr>
            </w:pPr>
            <w:r w:rsidRPr="008B6A75">
              <w:rPr>
                <w:sz w:val="20"/>
                <w:szCs w:val="20"/>
              </w:rPr>
              <w:t>07.4.00.70359</w:t>
            </w:r>
          </w:p>
        </w:tc>
        <w:tc>
          <w:tcPr>
            <w:tcW w:w="850" w:type="dxa"/>
            <w:tcBorders>
              <w:top w:val="nil"/>
              <w:left w:val="single" w:sz="4" w:space="0" w:color="auto"/>
              <w:bottom w:val="single" w:sz="4" w:space="0" w:color="auto"/>
              <w:right w:val="nil"/>
            </w:tcBorders>
            <w:shd w:val="clear" w:color="auto" w:fill="auto"/>
            <w:noWrap/>
            <w:vAlign w:val="center"/>
            <w:hideMark/>
          </w:tcPr>
          <w:p w14:paraId="5AB90B3A" w14:textId="77777777" w:rsidR="00387142" w:rsidRPr="008B6A75" w:rsidRDefault="00387142" w:rsidP="00387142">
            <w:pPr>
              <w:jc w:val="center"/>
              <w:rPr>
                <w:sz w:val="20"/>
                <w:szCs w:val="20"/>
              </w:rPr>
            </w:pPr>
            <w:r w:rsidRPr="008B6A75">
              <w:rPr>
                <w:sz w:val="20"/>
                <w:szCs w:val="20"/>
              </w:rPr>
              <w:t>200</w:t>
            </w:r>
          </w:p>
        </w:tc>
        <w:tc>
          <w:tcPr>
            <w:tcW w:w="567" w:type="dxa"/>
            <w:tcBorders>
              <w:top w:val="nil"/>
              <w:left w:val="single" w:sz="4" w:space="0" w:color="auto"/>
              <w:bottom w:val="single" w:sz="4" w:space="0" w:color="auto"/>
              <w:right w:val="nil"/>
            </w:tcBorders>
            <w:shd w:val="clear" w:color="auto" w:fill="auto"/>
            <w:noWrap/>
            <w:vAlign w:val="center"/>
            <w:hideMark/>
          </w:tcPr>
          <w:p w14:paraId="07F0A650" w14:textId="77777777" w:rsidR="00387142" w:rsidRPr="008B6A75" w:rsidRDefault="00387142" w:rsidP="00387142">
            <w:pPr>
              <w:jc w:val="center"/>
              <w:rPr>
                <w:sz w:val="20"/>
                <w:szCs w:val="20"/>
              </w:rPr>
            </w:pPr>
            <w:r w:rsidRPr="008B6A75">
              <w:rPr>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3628F04E" w14:textId="77777777" w:rsidR="00387142" w:rsidRPr="008B6A75" w:rsidRDefault="00387142" w:rsidP="00387142">
            <w:pPr>
              <w:jc w:val="center"/>
              <w:rPr>
                <w:sz w:val="20"/>
                <w:szCs w:val="20"/>
              </w:rPr>
            </w:pPr>
            <w:r w:rsidRPr="008B6A75">
              <w:rPr>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B979E60" w14:textId="77777777" w:rsidR="00387142" w:rsidRPr="008B6A75" w:rsidRDefault="00387142" w:rsidP="00387142">
            <w:pPr>
              <w:jc w:val="right"/>
              <w:rPr>
                <w:sz w:val="20"/>
                <w:szCs w:val="20"/>
              </w:rPr>
            </w:pPr>
            <w:r w:rsidRPr="008B6A75">
              <w:rPr>
                <w:sz w:val="20"/>
                <w:szCs w:val="20"/>
              </w:rPr>
              <w:t>1 355 400,00</w:t>
            </w:r>
          </w:p>
        </w:tc>
        <w:tc>
          <w:tcPr>
            <w:tcW w:w="851" w:type="dxa"/>
            <w:tcBorders>
              <w:top w:val="nil"/>
              <w:left w:val="single" w:sz="4" w:space="0" w:color="auto"/>
              <w:bottom w:val="single" w:sz="4" w:space="0" w:color="auto"/>
              <w:right w:val="nil"/>
            </w:tcBorders>
            <w:shd w:val="clear" w:color="auto" w:fill="auto"/>
            <w:noWrap/>
            <w:vAlign w:val="center"/>
            <w:hideMark/>
          </w:tcPr>
          <w:p w14:paraId="62A3B1FF" w14:textId="77777777" w:rsidR="00387142" w:rsidRPr="008B6A75" w:rsidRDefault="00387142" w:rsidP="00387142">
            <w:pPr>
              <w:jc w:val="right"/>
              <w:rPr>
                <w:sz w:val="20"/>
                <w:szCs w:val="20"/>
              </w:rPr>
            </w:pPr>
            <w:r w:rsidRPr="008B6A75">
              <w:rPr>
                <w:sz w:val="20"/>
                <w:szCs w:val="20"/>
              </w:rPr>
              <w:t>2 000 000,00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3CF07DC5" w14:textId="77777777" w:rsidR="00387142" w:rsidRPr="008B6A75" w:rsidRDefault="00387142" w:rsidP="00387142">
            <w:pPr>
              <w:jc w:val="right"/>
              <w:rPr>
                <w:sz w:val="20"/>
                <w:szCs w:val="20"/>
              </w:rPr>
            </w:pPr>
            <w:r w:rsidRPr="008B6A75">
              <w:rPr>
                <w:sz w:val="20"/>
                <w:szCs w:val="20"/>
              </w:rPr>
              <w:t>2 000 000,00</w:t>
            </w:r>
          </w:p>
        </w:tc>
      </w:tr>
      <w:tr w:rsidR="00387142" w:rsidRPr="008B6A75" w14:paraId="5E3C18A6" w14:textId="77777777" w:rsidTr="00387142">
        <w:trPr>
          <w:trHeight w:val="870"/>
        </w:trPr>
        <w:tc>
          <w:tcPr>
            <w:tcW w:w="272" w:type="dxa"/>
            <w:tcBorders>
              <w:top w:val="nil"/>
              <w:left w:val="nil"/>
              <w:bottom w:val="nil"/>
              <w:right w:val="single" w:sz="4" w:space="0" w:color="auto"/>
            </w:tcBorders>
            <w:shd w:val="clear" w:color="auto" w:fill="auto"/>
            <w:noWrap/>
            <w:vAlign w:val="bottom"/>
            <w:hideMark/>
          </w:tcPr>
          <w:p w14:paraId="6C234A89"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20EF6661" w14:textId="77777777" w:rsidR="00387142" w:rsidRPr="008B6A75" w:rsidRDefault="00387142" w:rsidP="00387142">
            <w:pPr>
              <w:rPr>
                <w:sz w:val="20"/>
                <w:szCs w:val="20"/>
              </w:rPr>
            </w:pPr>
            <w:r w:rsidRPr="008B6A75">
              <w:rPr>
                <w:sz w:val="20"/>
                <w:szCs w:val="20"/>
              </w:rPr>
              <w:t>Иные закупки товаров, работ и услуг для обеспечения государственных (муниципальных) нужд</w:t>
            </w:r>
          </w:p>
        </w:tc>
        <w:tc>
          <w:tcPr>
            <w:tcW w:w="1559" w:type="dxa"/>
            <w:tcBorders>
              <w:top w:val="nil"/>
              <w:left w:val="single" w:sz="4" w:space="0" w:color="auto"/>
              <w:bottom w:val="single" w:sz="4" w:space="0" w:color="auto"/>
              <w:right w:val="nil"/>
            </w:tcBorders>
            <w:shd w:val="clear" w:color="auto" w:fill="auto"/>
            <w:noWrap/>
            <w:vAlign w:val="center"/>
            <w:hideMark/>
          </w:tcPr>
          <w:p w14:paraId="1B374D6A" w14:textId="77777777" w:rsidR="00387142" w:rsidRPr="008B6A75" w:rsidRDefault="00387142" w:rsidP="00387142">
            <w:pPr>
              <w:jc w:val="center"/>
              <w:rPr>
                <w:sz w:val="20"/>
                <w:szCs w:val="20"/>
              </w:rPr>
            </w:pPr>
            <w:r w:rsidRPr="008B6A75">
              <w:rPr>
                <w:sz w:val="20"/>
                <w:szCs w:val="20"/>
              </w:rPr>
              <w:t>07.4.00.70359</w:t>
            </w:r>
          </w:p>
        </w:tc>
        <w:tc>
          <w:tcPr>
            <w:tcW w:w="850" w:type="dxa"/>
            <w:tcBorders>
              <w:top w:val="nil"/>
              <w:left w:val="single" w:sz="4" w:space="0" w:color="auto"/>
              <w:bottom w:val="single" w:sz="4" w:space="0" w:color="auto"/>
              <w:right w:val="nil"/>
            </w:tcBorders>
            <w:shd w:val="clear" w:color="auto" w:fill="auto"/>
            <w:noWrap/>
            <w:vAlign w:val="center"/>
            <w:hideMark/>
          </w:tcPr>
          <w:p w14:paraId="33A19B7F" w14:textId="77777777" w:rsidR="00387142" w:rsidRPr="008B6A75" w:rsidRDefault="00387142" w:rsidP="00387142">
            <w:pPr>
              <w:jc w:val="center"/>
              <w:rPr>
                <w:sz w:val="20"/>
                <w:szCs w:val="20"/>
              </w:rPr>
            </w:pPr>
            <w:r w:rsidRPr="008B6A75">
              <w:rPr>
                <w:sz w:val="20"/>
                <w:szCs w:val="20"/>
              </w:rPr>
              <w:t>240</w:t>
            </w:r>
          </w:p>
        </w:tc>
        <w:tc>
          <w:tcPr>
            <w:tcW w:w="567" w:type="dxa"/>
            <w:tcBorders>
              <w:top w:val="nil"/>
              <w:left w:val="single" w:sz="4" w:space="0" w:color="auto"/>
              <w:bottom w:val="single" w:sz="4" w:space="0" w:color="auto"/>
              <w:right w:val="nil"/>
            </w:tcBorders>
            <w:shd w:val="clear" w:color="auto" w:fill="auto"/>
            <w:noWrap/>
            <w:vAlign w:val="center"/>
            <w:hideMark/>
          </w:tcPr>
          <w:p w14:paraId="59D7359F" w14:textId="77777777" w:rsidR="00387142" w:rsidRPr="008B6A75" w:rsidRDefault="00387142" w:rsidP="00387142">
            <w:pPr>
              <w:jc w:val="center"/>
              <w:rPr>
                <w:sz w:val="20"/>
                <w:szCs w:val="20"/>
              </w:rPr>
            </w:pPr>
            <w:r w:rsidRPr="008B6A75">
              <w:rPr>
                <w:sz w:val="20"/>
                <w:szCs w:val="20"/>
              </w:rPr>
              <w:t>07</w:t>
            </w:r>
          </w:p>
        </w:tc>
        <w:tc>
          <w:tcPr>
            <w:tcW w:w="567" w:type="dxa"/>
            <w:tcBorders>
              <w:top w:val="nil"/>
              <w:left w:val="single" w:sz="4" w:space="0" w:color="auto"/>
              <w:bottom w:val="single" w:sz="4" w:space="0" w:color="auto"/>
              <w:right w:val="nil"/>
            </w:tcBorders>
            <w:shd w:val="clear" w:color="auto" w:fill="auto"/>
            <w:noWrap/>
            <w:vAlign w:val="center"/>
            <w:hideMark/>
          </w:tcPr>
          <w:p w14:paraId="3030F07A" w14:textId="77777777" w:rsidR="00387142" w:rsidRPr="008B6A75" w:rsidRDefault="00387142" w:rsidP="00387142">
            <w:pPr>
              <w:jc w:val="center"/>
              <w:rPr>
                <w:sz w:val="20"/>
                <w:szCs w:val="20"/>
              </w:rPr>
            </w:pPr>
            <w:r w:rsidRPr="008B6A75">
              <w:rPr>
                <w:sz w:val="20"/>
                <w:szCs w:val="20"/>
              </w:rPr>
              <w:t>07</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0863862" w14:textId="77777777" w:rsidR="00387142" w:rsidRPr="008B6A75" w:rsidRDefault="00387142" w:rsidP="00387142">
            <w:pPr>
              <w:jc w:val="right"/>
              <w:rPr>
                <w:sz w:val="20"/>
                <w:szCs w:val="20"/>
              </w:rPr>
            </w:pPr>
            <w:r w:rsidRPr="008B6A75">
              <w:rPr>
                <w:sz w:val="20"/>
                <w:szCs w:val="20"/>
              </w:rPr>
              <w:t>1 355 400,00</w:t>
            </w:r>
          </w:p>
        </w:tc>
        <w:tc>
          <w:tcPr>
            <w:tcW w:w="851" w:type="dxa"/>
            <w:tcBorders>
              <w:top w:val="nil"/>
              <w:left w:val="single" w:sz="4" w:space="0" w:color="auto"/>
              <w:bottom w:val="single" w:sz="4" w:space="0" w:color="auto"/>
              <w:right w:val="nil"/>
            </w:tcBorders>
            <w:shd w:val="clear" w:color="auto" w:fill="auto"/>
            <w:noWrap/>
            <w:vAlign w:val="center"/>
            <w:hideMark/>
          </w:tcPr>
          <w:p w14:paraId="182DED0F" w14:textId="77777777" w:rsidR="00387142" w:rsidRPr="008B6A75" w:rsidRDefault="00387142" w:rsidP="00387142">
            <w:pPr>
              <w:jc w:val="right"/>
              <w:rPr>
                <w:sz w:val="20"/>
                <w:szCs w:val="20"/>
              </w:rPr>
            </w:pPr>
            <w:r w:rsidRPr="008B6A75">
              <w:rPr>
                <w:sz w:val="20"/>
                <w:szCs w:val="20"/>
              </w:rPr>
              <w:t>2 000 000,00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34EC09AE" w14:textId="77777777" w:rsidR="00387142" w:rsidRPr="008B6A75" w:rsidRDefault="00387142" w:rsidP="00387142">
            <w:pPr>
              <w:jc w:val="right"/>
              <w:rPr>
                <w:sz w:val="20"/>
                <w:szCs w:val="20"/>
              </w:rPr>
            </w:pPr>
            <w:r w:rsidRPr="008B6A75">
              <w:rPr>
                <w:sz w:val="20"/>
                <w:szCs w:val="20"/>
              </w:rPr>
              <w:t>2 000 000,00</w:t>
            </w:r>
          </w:p>
        </w:tc>
      </w:tr>
      <w:tr w:rsidR="00387142" w:rsidRPr="008B6A75" w14:paraId="392B3B1C" w14:textId="77777777" w:rsidTr="00387142">
        <w:trPr>
          <w:trHeight w:val="585"/>
        </w:trPr>
        <w:tc>
          <w:tcPr>
            <w:tcW w:w="272" w:type="dxa"/>
            <w:tcBorders>
              <w:top w:val="nil"/>
              <w:left w:val="nil"/>
              <w:bottom w:val="nil"/>
              <w:right w:val="single" w:sz="4" w:space="0" w:color="auto"/>
            </w:tcBorders>
            <w:shd w:val="clear" w:color="auto" w:fill="auto"/>
            <w:noWrap/>
            <w:vAlign w:val="bottom"/>
            <w:hideMark/>
          </w:tcPr>
          <w:p w14:paraId="428A7A3C"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55803925" w14:textId="77777777" w:rsidR="00387142" w:rsidRPr="008B6A75" w:rsidRDefault="00387142" w:rsidP="00387142">
            <w:pPr>
              <w:rPr>
                <w:sz w:val="20"/>
                <w:szCs w:val="20"/>
              </w:rPr>
            </w:pPr>
            <w:r w:rsidRPr="008B6A75">
              <w:rPr>
                <w:sz w:val="20"/>
                <w:szCs w:val="20"/>
              </w:rPr>
              <w:t>Социальное обеспечение и иные выплаты населению</w:t>
            </w:r>
          </w:p>
        </w:tc>
        <w:tc>
          <w:tcPr>
            <w:tcW w:w="1559" w:type="dxa"/>
            <w:tcBorders>
              <w:top w:val="nil"/>
              <w:left w:val="single" w:sz="4" w:space="0" w:color="auto"/>
              <w:bottom w:val="single" w:sz="4" w:space="0" w:color="auto"/>
              <w:right w:val="nil"/>
            </w:tcBorders>
            <w:shd w:val="clear" w:color="auto" w:fill="auto"/>
            <w:noWrap/>
            <w:vAlign w:val="center"/>
            <w:hideMark/>
          </w:tcPr>
          <w:p w14:paraId="331D291E" w14:textId="77777777" w:rsidR="00387142" w:rsidRPr="008B6A75" w:rsidRDefault="00387142" w:rsidP="00387142">
            <w:pPr>
              <w:jc w:val="center"/>
              <w:rPr>
                <w:sz w:val="20"/>
                <w:szCs w:val="20"/>
              </w:rPr>
            </w:pPr>
            <w:r w:rsidRPr="008B6A75">
              <w:rPr>
                <w:sz w:val="20"/>
                <w:szCs w:val="20"/>
              </w:rPr>
              <w:t>07.4.00.70359</w:t>
            </w:r>
          </w:p>
        </w:tc>
        <w:tc>
          <w:tcPr>
            <w:tcW w:w="850" w:type="dxa"/>
            <w:tcBorders>
              <w:top w:val="nil"/>
              <w:left w:val="single" w:sz="4" w:space="0" w:color="auto"/>
              <w:bottom w:val="single" w:sz="4" w:space="0" w:color="auto"/>
              <w:right w:val="nil"/>
            </w:tcBorders>
            <w:shd w:val="clear" w:color="auto" w:fill="auto"/>
            <w:noWrap/>
            <w:vAlign w:val="center"/>
            <w:hideMark/>
          </w:tcPr>
          <w:p w14:paraId="00BF343A" w14:textId="77777777" w:rsidR="00387142" w:rsidRPr="008B6A75" w:rsidRDefault="00387142" w:rsidP="00387142">
            <w:pPr>
              <w:jc w:val="center"/>
              <w:rPr>
                <w:sz w:val="20"/>
                <w:szCs w:val="20"/>
              </w:rPr>
            </w:pPr>
            <w:r w:rsidRPr="008B6A75">
              <w:rPr>
                <w:sz w:val="20"/>
                <w:szCs w:val="20"/>
              </w:rPr>
              <w:t>300</w:t>
            </w:r>
          </w:p>
        </w:tc>
        <w:tc>
          <w:tcPr>
            <w:tcW w:w="567" w:type="dxa"/>
            <w:tcBorders>
              <w:top w:val="nil"/>
              <w:left w:val="single" w:sz="4" w:space="0" w:color="auto"/>
              <w:bottom w:val="single" w:sz="4" w:space="0" w:color="auto"/>
              <w:right w:val="nil"/>
            </w:tcBorders>
            <w:shd w:val="clear" w:color="auto" w:fill="auto"/>
            <w:noWrap/>
            <w:vAlign w:val="center"/>
            <w:hideMark/>
          </w:tcPr>
          <w:p w14:paraId="42433DC2" w14:textId="77777777" w:rsidR="00387142" w:rsidRPr="008B6A75" w:rsidRDefault="00387142" w:rsidP="00387142">
            <w:pPr>
              <w:jc w:val="center"/>
              <w:rPr>
                <w:sz w:val="20"/>
                <w:szCs w:val="20"/>
              </w:rPr>
            </w:pPr>
            <w:r w:rsidRPr="008B6A75">
              <w:rPr>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28A50728" w14:textId="77777777" w:rsidR="00387142" w:rsidRPr="008B6A75" w:rsidRDefault="00387142" w:rsidP="00387142">
            <w:pPr>
              <w:jc w:val="center"/>
              <w:rPr>
                <w:sz w:val="20"/>
                <w:szCs w:val="20"/>
              </w:rPr>
            </w:pPr>
            <w:r w:rsidRPr="008B6A75">
              <w:rPr>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E105A01" w14:textId="77777777" w:rsidR="00387142" w:rsidRPr="008B6A75" w:rsidRDefault="00387142" w:rsidP="00387142">
            <w:pPr>
              <w:jc w:val="right"/>
              <w:rPr>
                <w:sz w:val="20"/>
                <w:szCs w:val="20"/>
              </w:rPr>
            </w:pPr>
            <w:r w:rsidRPr="008B6A75">
              <w:rPr>
                <w:sz w:val="20"/>
                <w:szCs w:val="20"/>
              </w:rPr>
              <w:t>1 900,00</w:t>
            </w:r>
          </w:p>
        </w:tc>
        <w:tc>
          <w:tcPr>
            <w:tcW w:w="851" w:type="dxa"/>
            <w:tcBorders>
              <w:top w:val="nil"/>
              <w:left w:val="single" w:sz="4" w:space="0" w:color="auto"/>
              <w:bottom w:val="single" w:sz="4" w:space="0" w:color="auto"/>
              <w:right w:val="nil"/>
            </w:tcBorders>
            <w:shd w:val="clear" w:color="auto" w:fill="auto"/>
            <w:noWrap/>
            <w:vAlign w:val="center"/>
            <w:hideMark/>
          </w:tcPr>
          <w:p w14:paraId="3459B55A" w14:textId="77777777" w:rsidR="00387142" w:rsidRPr="008B6A75" w:rsidRDefault="00387142" w:rsidP="00387142">
            <w:pPr>
              <w:jc w:val="right"/>
              <w:rPr>
                <w:sz w:val="20"/>
                <w:szCs w:val="20"/>
              </w:rPr>
            </w:pPr>
            <w:r w:rsidRPr="008B6A75">
              <w:rPr>
                <w:sz w:val="20"/>
                <w:szCs w:val="20"/>
              </w:rPr>
              <w:t>658 700,00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708F0121" w14:textId="77777777" w:rsidR="00387142" w:rsidRPr="008B6A75" w:rsidRDefault="00387142" w:rsidP="00387142">
            <w:pPr>
              <w:jc w:val="right"/>
              <w:rPr>
                <w:sz w:val="20"/>
                <w:szCs w:val="20"/>
              </w:rPr>
            </w:pPr>
            <w:r w:rsidRPr="008B6A75">
              <w:rPr>
                <w:sz w:val="20"/>
                <w:szCs w:val="20"/>
              </w:rPr>
              <w:t>658 700,00</w:t>
            </w:r>
          </w:p>
        </w:tc>
      </w:tr>
      <w:tr w:rsidR="00387142" w:rsidRPr="008B6A75" w14:paraId="11C4E7C4" w14:textId="77777777" w:rsidTr="00387142">
        <w:trPr>
          <w:trHeight w:val="585"/>
        </w:trPr>
        <w:tc>
          <w:tcPr>
            <w:tcW w:w="272" w:type="dxa"/>
            <w:tcBorders>
              <w:top w:val="nil"/>
              <w:left w:val="nil"/>
              <w:bottom w:val="nil"/>
              <w:right w:val="single" w:sz="4" w:space="0" w:color="auto"/>
            </w:tcBorders>
            <w:shd w:val="clear" w:color="auto" w:fill="auto"/>
            <w:noWrap/>
            <w:vAlign w:val="bottom"/>
            <w:hideMark/>
          </w:tcPr>
          <w:p w14:paraId="4A877F35"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4B27EC85" w14:textId="77777777" w:rsidR="00387142" w:rsidRPr="008B6A75" w:rsidRDefault="00387142" w:rsidP="00387142">
            <w:pPr>
              <w:rPr>
                <w:sz w:val="20"/>
                <w:szCs w:val="20"/>
              </w:rPr>
            </w:pPr>
            <w:r w:rsidRPr="008B6A75">
              <w:rPr>
                <w:sz w:val="20"/>
                <w:szCs w:val="20"/>
              </w:rPr>
              <w:t>Социальные выплаты гражданам, кроме публичных нормативных социальных выплат</w:t>
            </w:r>
          </w:p>
        </w:tc>
        <w:tc>
          <w:tcPr>
            <w:tcW w:w="1559" w:type="dxa"/>
            <w:tcBorders>
              <w:top w:val="nil"/>
              <w:left w:val="single" w:sz="4" w:space="0" w:color="auto"/>
              <w:bottom w:val="single" w:sz="4" w:space="0" w:color="auto"/>
              <w:right w:val="nil"/>
            </w:tcBorders>
            <w:shd w:val="clear" w:color="auto" w:fill="auto"/>
            <w:noWrap/>
            <w:vAlign w:val="center"/>
            <w:hideMark/>
          </w:tcPr>
          <w:p w14:paraId="55A9831B" w14:textId="77777777" w:rsidR="00387142" w:rsidRPr="008B6A75" w:rsidRDefault="00387142" w:rsidP="00387142">
            <w:pPr>
              <w:jc w:val="center"/>
              <w:rPr>
                <w:sz w:val="20"/>
                <w:szCs w:val="20"/>
              </w:rPr>
            </w:pPr>
            <w:r w:rsidRPr="008B6A75">
              <w:rPr>
                <w:sz w:val="20"/>
                <w:szCs w:val="20"/>
              </w:rPr>
              <w:t>07.4.00.70359</w:t>
            </w:r>
          </w:p>
        </w:tc>
        <w:tc>
          <w:tcPr>
            <w:tcW w:w="850" w:type="dxa"/>
            <w:tcBorders>
              <w:top w:val="nil"/>
              <w:left w:val="single" w:sz="4" w:space="0" w:color="auto"/>
              <w:bottom w:val="single" w:sz="4" w:space="0" w:color="auto"/>
              <w:right w:val="nil"/>
            </w:tcBorders>
            <w:shd w:val="clear" w:color="auto" w:fill="auto"/>
            <w:noWrap/>
            <w:vAlign w:val="center"/>
            <w:hideMark/>
          </w:tcPr>
          <w:p w14:paraId="63178603" w14:textId="77777777" w:rsidR="00387142" w:rsidRPr="008B6A75" w:rsidRDefault="00387142" w:rsidP="00387142">
            <w:pPr>
              <w:jc w:val="center"/>
              <w:rPr>
                <w:sz w:val="20"/>
                <w:szCs w:val="20"/>
              </w:rPr>
            </w:pPr>
            <w:r w:rsidRPr="008B6A75">
              <w:rPr>
                <w:sz w:val="20"/>
                <w:szCs w:val="20"/>
              </w:rPr>
              <w:t>320</w:t>
            </w:r>
          </w:p>
        </w:tc>
        <w:tc>
          <w:tcPr>
            <w:tcW w:w="567" w:type="dxa"/>
            <w:tcBorders>
              <w:top w:val="nil"/>
              <w:left w:val="single" w:sz="4" w:space="0" w:color="auto"/>
              <w:bottom w:val="single" w:sz="4" w:space="0" w:color="auto"/>
              <w:right w:val="nil"/>
            </w:tcBorders>
            <w:shd w:val="clear" w:color="auto" w:fill="auto"/>
            <w:noWrap/>
            <w:vAlign w:val="center"/>
            <w:hideMark/>
          </w:tcPr>
          <w:p w14:paraId="187D0DD0" w14:textId="77777777" w:rsidR="00387142" w:rsidRPr="008B6A75" w:rsidRDefault="00387142" w:rsidP="00387142">
            <w:pPr>
              <w:jc w:val="center"/>
              <w:rPr>
                <w:sz w:val="20"/>
                <w:szCs w:val="20"/>
              </w:rPr>
            </w:pPr>
            <w:r w:rsidRPr="008B6A75">
              <w:rPr>
                <w:sz w:val="20"/>
                <w:szCs w:val="20"/>
              </w:rPr>
              <w:t>07</w:t>
            </w:r>
          </w:p>
        </w:tc>
        <w:tc>
          <w:tcPr>
            <w:tcW w:w="567" w:type="dxa"/>
            <w:tcBorders>
              <w:top w:val="nil"/>
              <w:left w:val="single" w:sz="4" w:space="0" w:color="auto"/>
              <w:bottom w:val="single" w:sz="4" w:space="0" w:color="auto"/>
              <w:right w:val="nil"/>
            </w:tcBorders>
            <w:shd w:val="clear" w:color="auto" w:fill="auto"/>
            <w:noWrap/>
            <w:vAlign w:val="center"/>
            <w:hideMark/>
          </w:tcPr>
          <w:p w14:paraId="1087AD8C" w14:textId="77777777" w:rsidR="00387142" w:rsidRPr="008B6A75" w:rsidRDefault="00387142" w:rsidP="00387142">
            <w:pPr>
              <w:jc w:val="center"/>
              <w:rPr>
                <w:sz w:val="20"/>
                <w:szCs w:val="20"/>
              </w:rPr>
            </w:pPr>
            <w:r w:rsidRPr="008B6A75">
              <w:rPr>
                <w:sz w:val="20"/>
                <w:szCs w:val="20"/>
              </w:rPr>
              <w:t>07</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0198430" w14:textId="77777777" w:rsidR="00387142" w:rsidRPr="008B6A75" w:rsidRDefault="00387142" w:rsidP="00387142">
            <w:pPr>
              <w:jc w:val="right"/>
              <w:rPr>
                <w:sz w:val="20"/>
                <w:szCs w:val="20"/>
              </w:rPr>
            </w:pPr>
            <w:r w:rsidRPr="008B6A75">
              <w:rPr>
                <w:sz w:val="20"/>
                <w:szCs w:val="20"/>
              </w:rPr>
              <w:t>1 900,00</w:t>
            </w:r>
          </w:p>
        </w:tc>
        <w:tc>
          <w:tcPr>
            <w:tcW w:w="851" w:type="dxa"/>
            <w:tcBorders>
              <w:top w:val="nil"/>
              <w:left w:val="single" w:sz="4" w:space="0" w:color="auto"/>
              <w:bottom w:val="single" w:sz="4" w:space="0" w:color="auto"/>
              <w:right w:val="nil"/>
            </w:tcBorders>
            <w:shd w:val="clear" w:color="auto" w:fill="auto"/>
            <w:noWrap/>
            <w:vAlign w:val="center"/>
            <w:hideMark/>
          </w:tcPr>
          <w:p w14:paraId="2DF10559" w14:textId="77777777" w:rsidR="00387142" w:rsidRPr="008B6A75" w:rsidRDefault="00387142" w:rsidP="00387142">
            <w:pPr>
              <w:jc w:val="right"/>
              <w:rPr>
                <w:sz w:val="20"/>
                <w:szCs w:val="20"/>
              </w:rPr>
            </w:pPr>
            <w:r w:rsidRPr="008B6A75">
              <w:rPr>
                <w:sz w:val="20"/>
                <w:szCs w:val="20"/>
              </w:rPr>
              <w:t>658 700,00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1266EDFE" w14:textId="77777777" w:rsidR="00387142" w:rsidRPr="008B6A75" w:rsidRDefault="00387142" w:rsidP="00387142">
            <w:pPr>
              <w:jc w:val="right"/>
              <w:rPr>
                <w:sz w:val="20"/>
                <w:szCs w:val="20"/>
              </w:rPr>
            </w:pPr>
            <w:r w:rsidRPr="008B6A75">
              <w:rPr>
                <w:sz w:val="20"/>
                <w:szCs w:val="20"/>
              </w:rPr>
              <w:t>658 700,00</w:t>
            </w:r>
          </w:p>
        </w:tc>
      </w:tr>
      <w:tr w:rsidR="00387142" w:rsidRPr="008B6A75" w14:paraId="5868317D" w14:textId="77777777" w:rsidTr="00387142">
        <w:trPr>
          <w:trHeight w:val="870"/>
        </w:trPr>
        <w:tc>
          <w:tcPr>
            <w:tcW w:w="272" w:type="dxa"/>
            <w:tcBorders>
              <w:top w:val="nil"/>
              <w:left w:val="nil"/>
              <w:bottom w:val="nil"/>
              <w:right w:val="single" w:sz="4" w:space="0" w:color="auto"/>
            </w:tcBorders>
            <w:shd w:val="clear" w:color="auto" w:fill="auto"/>
            <w:noWrap/>
            <w:vAlign w:val="bottom"/>
            <w:hideMark/>
          </w:tcPr>
          <w:p w14:paraId="49FC1069"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660E6D8D" w14:textId="77777777" w:rsidR="00387142" w:rsidRPr="008B6A75" w:rsidRDefault="00387142" w:rsidP="00387142">
            <w:pPr>
              <w:rPr>
                <w:sz w:val="20"/>
                <w:szCs w:val="20"/>
              </w:rPr>
            </w:pPr>
            <w:r w:rsidRPr="008B6A75">
              <w:rPr>
                <w:sz w:val="20"/>
                <w:szCs w:val="20"/>
              </w:rPr>
              <w:t>Предоставление субсидий бюджетным, автономным учреждениям и иным некоммерческим организациям</w:t>
            </w:r>
          </w:p>
        </w:tc>
        <w:tc>
          <w:tcPr>
            <w:tcW w:w="1559" w:type="dxa"/>
            <w:tcBorders>
              <w:top w:val="nil"/>
              <w:left w:val="single" w:sz="4" w:space="0" w:color="auto"/>
              <w:bottom w:val="single" w:sz="4" w:space="0" w:color="auto"/>
              <w:right w:val="nil"/>
            </w:tcBorders>
            <w:shd w:val="clear" w:color="auto" w:fill="auto"/>
            <w:noWrap/>
            <w:vAlign w:val="center"/>
            <w:hideMark/>
          </w:tcPr>
          <w:p w14:paraId="528D9928" w14:textId="77777777" w:rsidR="00387142" w:rsidRPr="008B6A75" w:rsidRDefault="00387142" w:rsidP="00387142">
            <w:pPr>
              <w:jc w:val="center"/>
              <w:rPr>
                <w:sz w:val="20"/>
                <w:szCs w:val="20"/>
              </w:rPr>
            </w:pPr>
            <w:r w:rsidRPr="008B6A75">
              <w:rPr>
                <w:sz w:val="20"/>
                <w:szCs w:val="20"/>
              </w:rPr>
              <w:t>07.4.00.70359</w:t>
            </w:r>
          </w:p>
        </w:tc>
        <w:tc>
          <w:tcPr>
            <w:tcW w:w="850" w:type="dxa"/>
            <w:tcBorders>
              <w:top w:val="nil"/>
              <w:left w:val="single" w:sz="4" w:space="0" w:color="auto"/>
              <w:bottom w:val="single" w:sz="4" w:space="0" w:color="auto"/>
              <w:right w:val="nil"/>
            </w:tcBorders>
            <w:shd w:val="clear" w:color="auto" w:fill="auto"/>
            <w:noWrap/>
            <w:vAlign w:val="center"/>
            <w:hideMark/>
          </w:tcPr>
          <w:p w14:paraId="1D3972B1" w14:textId="77777777" w:rsidR="00387142" w:rsidRPr="008B6A75" w:rsidRDefault="00387142" w:rsidP="00387142">
            <w:pPr>
              <w:jc w:val="center"/>
              <w:rPr>
                <w:sz w:val="20"/>
                <w:szCs w:val="20"/>
              </w:rPr>
            </w:pPr>
            <w:r w:rsidRPr="008B6A75">
              <w:rPr>
                <w:sz w:val="20"/>
                <w:szCs w:val="20"/>
              </w:rPr>
              <w:t>600</w:t>
            </w:r>
          </w:p>
        </w:tc>
        <w:tc>
          <w:tcPr>
            <w:tcW w:w="567" w:type="dxa"/>
            <w:tcBorders>
              <w:top w:val="nil"/>
              <w:left w:val="single" w:sz="4" w:space="0" w:color="auto"/>
              <w:bottom w:val="single" w:sz="4" w:space="0" w:color="auto"/>
              <w:right w:val="nil"/>
            </w:tcBorders>
            <w:shd w:val="clear" w:color="auto" w:fill="auto"/>
            <w:noWrap/>
            <w:vAlign w:val="center"/>
            <w:hideMark/>
          </w:tcPr>
          <w:p w14:paraId="3FF1BE00" w14:textId="77777777" w:rsidR="00387142" w:rsidRPr="008B6A75" w:rsidRDefault="00387142" w:rsidP="00387142">
            <w:pPr>
              <w:jc w:val="center"/>
              <w:rPr>
                <w:sz w:val="20"/>
                <w:szCs w:val="20"/>
              </w:rPr>
            </w:pPr>
            <w:r w:rsidRPr="008B6A75">
              <w:rPr>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3812EDB4" w14:textId="77777777" w:rsidR="00387142" w:rsidRPr="008B6A75" w:rsidRDefault="00387142" w:rsidP="00387142">
            <w:pPr>
              <w:jc w:val="center"/>
              <w:rPr>
                <w:sz w:val="20"/>
                <w:szCs w:val="20"/>
              </w:rPr>
            </w:pPr>
            <w:r w:rsidRPr="008B6A75">
              <w:rPr>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935D4DA" w14:textId="77777777" w:rsidR="00387142" w:rsidRPr="008B6A75" w:rsidRDefault="00387142" w:rsidP="00387142">
            <w:pPr>
              <w:jc w:val="right"/>
              <w:rPr>
                <w:sz w:val="20"/>
                <w:szCs w:val="20"/>
              </w:rPr>
            </w:pPr>
            <w:r w:rsidRPr="008B6A75">
              <w:rPr>
                <w:sz w:val="20"/>
                <w:szCs w:val="20"/>
              </w:rPr>
              <w:t>1 301 400,00</w:t>
            </w:r>
          </w:p>
        </w:tc>
        <w:tc>
          <w:tcPr>
            <w:tcW w:w="851" w:type="dxa"/>
            <w:tcBorders>
              <w:top w:val="nil"/>
              <w:left w:val="single" w:sz="4" w:space="0" w:color="auto"/>
              <w:bottom w:val="single" w:sz="4" w:space="0" w:color="auto"/>
              <w:right w:val="nil"/>
            </w:tcBorders>
            <w:shd w:val="clear" w:color="auto" w:fill="auto"/>
            <w:noWrap/>
            <w:vAlign w:val="center"/>
            <w:hideMark/>
          </w:tcPr>
          <w:p w14:paraId="31338D75" w14:textId="77777777" w:rsidR="00387142" w:rsidRPr="008B6A75" w:rsidRDefault="00387142" w:rsidP="00387142">
            <w:pPr>
              <w:jc w:val="right"/>
              <w:rPr>
                <w:sz w:val="20"/>
                <w:szCs w:val="20"/>
              </w:rPr>
            </w:pPr>
            <w:r w:rsidRPr="008B6A75">
              <w:rPr>
                <w:sz w:val="20"/>
                <w:szCs w:val="20"/>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21C68850" w14:textId="77777777" w:rsidR="00387142" w:rsidRPr="008B6A75" w:rsidRDefault="00387142" w:rsidP="00387142">
            <w:pPr>
              <w:jc w:val="right"/>
              <w:rPr>
                <w:sz w:val="20"/>
                <w:szCs w:val="20"/>
              </w:rPr>
            </w:pPr>
            <w:r w:rsidRPr="008B6A75">
              <w:rPr>
                <w:sz w:val="20"/>
                <w:szCs w:val="20"/>
              </w:rPr>
              <w:t>0,00</w:t>
            </w:r>
          </w:p>
        </w:tc>
      </w:tr>
      <w:tr w:rsidR="00387142" w:rsidRPr="008B6A75" w14:paraId="245B207C" w14:textId="77777777" w:rsidTr="00387142">
        <w:trPr>
          <w:trHeight w:val="300"/>
        </w:trPr>
        <w:tc>
          <w:tcPr>
            <w:tcW w:w="272" w:type="dxa"/>
            <w:tcBorders>
              <w:top w:val="nil"/>
              <w:left w:val="nil"/>
              <w:bottom w:val="nil"/>
              <w:right w:val="single" w:sz="4" w:space="0" w:color="auto"/>
            </w:tcBorders>
            <w:shd w:val="clear" w:color="auto" w:fill="auto"/>
            <w:noWrap/>
            <w:vAlign w:val="bottom"/>
            <w:hideMark/>
          </w:tcPr>
          <w:p w14:paraId="303F6CBE"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0C3B70D2" w14:textId="77777777" w:rsidR="00387142" w:rsidRPr="008B6A75" w:rsidRDefault="00387142" w:rsidP="00387142">
            <w:pPr>
              <w:rPr>
                <w:sz w:val="20"/>
                <w:szCs w:val="20"/>
              </w:rPr>
            </w:pPr>
            <w:r w:rsidRPr="008B6A75">
              <w:rPr>
                <w:sz w:val="20"/>
                <w:szCs w:val="20"/>
              </w:rPr>
              <w:t>Субсидии бюджетным учреждениям</w:t>
            </w:r>
          </w:p>
        </w:tc>
        <w:tc>
          <w:tcPr>
            <w:tcW w:w="1559" w:type="dxa"/>
            <w:tcBorders>
              <w:top w:val="nil"/>
              <w:left w:val="single" w:sz="4" w:space="0" w:color="auto"/>
              <w:bottom w:val="single" w:sz="4" w:space="0" w:color="auto"/>
              <w:right w:val="nil"/>
            </w:tcBorders>
            <w:shd w:val="clear" w:color="auto" w:fill="auto"/>
            <w:noWrap/>
            <w:vAlign w:val="center"/>
            <w:hideMark/>
          </w:tcPr>
          <w:p w14:paraId="5F63D9D1" w14:textId="77777777" w:rsidR="00387142" w:rsidRPr="008B6A75" w:rsidRDefault="00387142" w:rsidP="00387142">
            <w:pPr>
              <w:jc w:val="center"/>
              <w:rPr>
                <w:sz w:val="20"/>
                <w:szCs w:val="20"/>
              </w:rPr>
            </w:pPr>
            <w:r w:rsidRPr="008B6A75">
              <w:rPr>
                <w:sz w:val="20"/>
                <w:szCs w:val="20"/>
              </w:rPr>
              <w:t>07.4.00.70359</w:t>
            </w:r>
          </w:p>
        </w:tc>
        <w:tc>
          <w:tcPr>
            <w:tcW w:w="850" w:type="dxa"/>
            <w:tcBorders>
              <w:top w:val="nil"/>
              <w:left w:val="single" w:sz="4" w:space="0" w:color="auto"/>
              <w:bottom w:val="single" w:sz="4" w:space="0" w:color="auto"/>
              <w:right w:val="nil"/>
            </w:tcBorders>
            <w:shd w:val="clear" w:color="auto" w:fill="auto"/>
            <w:noWrap/>
            <w:vAlign w:val="center"/>
            <w:hideMark/>
          </w:tcPr>
          <w:p w14:paraId="14A8033E" w14:textId="77777777" w:rsidR="00387142" w:rsidRPr="008B6A75" w:rsidRDefault="00387142" w:rsidP="00387142">
            <w:pPr>
              <w:jc w:val="center"/>
              <w:rPr>
                <w:sz w:val="20"/>
                <w:szCs w:val="20"/>
              </w:rPr>
            </w:pPr>
            <w:r w:rsidRPr="008B6A75">
              <w:rPr>
                <w:sz w:val="20"/>
                <w:szCs w:val="20"/>
              </w:rPr>
              <w:t>610</w:t>
            </w:r>
          </w:p>
        </w:tc>
        <w:tc>
          <w:tcPr>
            <w:tcW w:w="567" w:type="dxa"/>
            <w:tcBorders>
              <w:top w:val="nil"/>
              <w:left w:val="single" w:sz="4" w:space="0" w:color="auto"/>
              <w:bottom w:val="single" w:sz="4" w:space="0" w:color="auto"/>
              <w:right w:val="nil"/>
            </w:tcBorders>
            <w:shd w:val="clear" w:color="auto" w:fill="auto"/>
            <w:noWrap/>
            <w:vAlign w:val="center"/>
            <w:hideMark/>
          </w:tcPr>
          <w:p w14:paraId="0C910C9C" w14:textId="77777777" w:rsidR="00387142" w:rsidRPr="008B6A75" w:rsidRDefault="00387142" w:rsidP="00387142">
            <w:pPr>
              <w:jc w:val="center"/>
              <w:rPr>
                <w:sz w:val="20"/>
                <w:szCs w:val="20"/>
              </w:rPr>
            </w:pPr>
            <w:r w:rsidRPr="008B6A75">
              <w:rPr>
                <w:sz w:val="20"/>
                <w:szCs w:val="20"/>
              </w:rPr>
              <w:t>07</w:t>
            </w:r>
          </w:p>
        </w:tc>
        <w:tc>
          <w:tcPr>
            <w:tcW w:w="567" w:type="dxa"/>
            <w:tcBorders>
              <w:top w:val="nil"/>
              <w:left w:val="single" w:sz="4" w:space="0" w:color="auto"/>
              <w:bottom w:val="single" w:sz="4" w:space="0" w:color="auto"/>
              <w:right w:val="nil"/>
            </w:tcBorders>
            <w:shd w:val="clear" w:color="auto" w:fill="auto"/>
            <w:noWrap/>
            <w:vAlign w:val="center"/>
            <w:hideMark/>
          </w:tcPr>
          <w:p w14:paraId="339D8128" w14:textId="77777777" w:rsidR="00387142" w:rsidRPr="008B6A75" w:rsidRDefault="00387142" w:rsidP="00387142">
            <w:pPr>
              <w:jc w:val="center"/>
              <w:rPr>
                <w:sz w:val="20"/>
                <w:szCs w:val="20"/>
              </w:rPr>
            </w:pPr>
            <w:r w:rsidRPr="008B6A75">
              <w:rPr>
                <w:sz w:val="20"/>
                <w:szCs w:val="20"/>
              </w:rPr>
              <w:t>07</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C70B61F" w14:textId="77777777" w:rsidR="00387142" w:rsidRPr="008B6A75" w:rsidRDefault="00387142" w:rsidP="00387142">
            <w:pPr>
              <w:jc w:val="right"/>
              <w:rPr>
                <w:sz w:val="20"/>
                <w:szCs w:val="20"/>
              </w:rPr>
            </w:pPr>
            <w:r w:rsidRPr="008B6A75">
              <w:rPr>
                <w:sz w:val="20"/>
                <w:szCs w:val="20"/>
              </w:rPr>
              <w:t>1 301 400,00</w:t>
            </w:r>
          </w:p>
        </w:tc>
        <w:tc>
          <w:tcPr>
            <w:tcW w:w="851" w:type="dxa"/>
            <w:tcBorders>
              <w:top w:val="nil"/>
              <w:left w:val="single" w:sz="4" w:space="0" w:color="auto"/>
              <w:bottom w:val="single" w:sz="4" w:space="0" w:color="auto"/>
              <w:right w:val="nil"/>
            </w:tcBorders>
            <w:shd w:val="clear" w:color="auto" w:fill="auto"/>
            <w:noWrap/>
            <w:vAlign w:val="center"/>
            <w:hideMark/>
          </w:tcPr>
          <w:p w14:paraId="4B078DE4" w14:textId="77777777" w:rsidR="00387142" w:rsidRPr="008B6A75" w:rsidRDefault="00387142" w:rsidP="00387142">
            <w:pPr>
              <w:jc w:val="right"/>
              <w:rPr>
                <w:sz w:val="20"/>
                <w:szCs w:val="20"/>
              </w:rPr>
            </w:pPr>
            <w:r w:rsidRPr="008B6A75">
              <w:rPr>
                <w:sz w:val="20"/>
                <w:szCs w:val="20"/>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7BDB3A5E" w14:textId="77777777" w:rsidR="00387142" w:rsidRPr="008B6A75" w:rsidRDefault="00387142" w:rsidP="00387142">
            <w:pPr>
              <w:jc w:val="right"/>
              <w:rPr>
                <w:sz w:val="20"/>
                <w:szCs w:val="20"/>
              </w:rPr>
            </w:pPr>
            <w:r w:rsidRPr="008B6A75">
              <w:rPr>
                <w:sz w:val="20"/>
                <w:szCs w:val="20"/>
              </w:rPr>
              <w:t>0,00</w:t>
            </w:r>
          </w:p>
        </w:tc>
      </w:tr>
      <w:tr w:rsidR="00387142" w:rsidRPr="008B6A75" w14:paraId="530D346D" w14:textId="77777777" w:rsidTr="00387142">
        <w:trPr>
          <w:trHeight w:val="1440"/>
        </w:trPr>
        <w:tc>
          <w:tcPr>
            <w:tcW w:w="272" w:type="dxa"/>
            <w:tcBorders>
              <w:top w:val="nil"/>
              <w:left w:val="nil"/>
              <w:bottom w:val="nil"/>
              <w:right w:val="single" w:sz="4" w:space="0" w:color="auto"/>
            </w:tcBorders>
            <w:shd w:val="clear" w:color="auto" w:fill="auto"/>
            <w:noWrap/>
            <w:vAlign w:val="bottom"/>
            <w:hideMark/>
          </w:tcPr>
          <w:p w14:paraId="56FA0418"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507BFEC2" w14:textId="77777777" w:rsidR="00387142" w:rsidRPr="008B6A75" w:rsidRDefault="00387142" w:rsidP="00387142">
            <w:pPr>
              <w:rPr>
                <w:bCs/>
                <w:sz w:val="20"/>
                <w:szCs w:val="20"/>
              </w:rPr>
            </w:pPr>
            <w:r w:rsidRPr="008B6A75">
              <w:rPr>
                <w:bCs/>
                <w:sz w:val="20"/>
                <w:szCs w:val="20"/>
              </w:rPr>
              <w:t xml:space="preserve">Реализация мероприятий по обеспечению сбалансированности местных </w:t>
            </w:r>
            <w:proofErr w:type="gramStart"/>
            <w:r w:rsidRPr="008B6A75">
              <w:rPr>
                <w:bCs/>
                <w:sz w:val="20"/>
                <w:szCs w:val="20"/>
              </w:rPr>
              <w:t>бюджетов  государственной</w:t>
            </w:r>
            <w:proofErr w:type="gramEnd"/>
            <w:r w:rsidRPr="008B6A75">
              <w:rPr>
                <w:bCs/>
                <w:sz w:val="20"/>
                <w:szCs w:val="20"/>
              </w:rPr>
              <w:t xml:space="preserve"> программы Новосибирской области "Управление  финансами в Новосибирской области"</w:t>
            </w:r>
          </w:p>
        </w:tc>
        <w:tc>
          <w:tcPr>
            <w:tcW w:w="1559" w:type="dxa"/>
            <w:tcBorders>
              <w:top w:val="nil"/>
              <w:left w:val="single" w:sz="4" w:space="0" w:color="auto"/>
              <w:bottom w:val="single" w:sz="4" w:space="0" w:color="auto"/>
              <w:right w:val="nil"/>
            </w:tcBorders>
            <w:shd w:val="clear" w:color="auto" w:fill="auto"/>
            <w:noWrap/>
            <w:vAlign w:val="center"/>
            <w:hideMark/>
          </w:tcPr>
          <w:p w14:paraId="3FE943D9" w14:textId="77777777" w:rsidR="00387142" w:rsidRPr="008B6A75" w:rsidRDefault="00387142" w:rsidP="00387142">
            <w:pPr>
              <w:jc w:val="center"/>
              <w:rPr>
                <w:bCs/>
                <w:sz w:val="20"/>
                <w:szCs w:val="20"/>
              </w:rPr>
            </w:pPr>
            <w:r w:rsidRPr="008B6A75">
              <w:rPr>
                <w:bCs/>
                <w:sz w:val="20"/>
                <w:szCs w:val="20"/>
              </w:rPr>
              <w:t>07.4.00.70510</w:t>
            </w:r>
          </w:p>
        </w:tc>
        <w:tc>
          <w:tcPr>
            <w:tcW w:w="850" w:type="dxa"/>
            <w:tcBorders>
              <w:top w:val="nil"/>
              <w:left w:val="single" w:sz="4" w:space="0" w:color="auto"/>
              <w:bottom w:val="single" w:sz="4" w:space="0" w:color="auto"/>
              <w:right w:val="nil"/>
            </w:tcBorders>
            <w:shd w:val="clear" w:color="auto" w:fill="auto"/>
            <w:noWrap/>
            <w:vAlign w:val="center"/>
            <w:hideMark/>
          </w:tcPr>
          <w:p w14:paraId="72DCC0D5" w14:textId="77777777" w:rsidR="00387142" w:rsidRPr="008B6A75" w:rsidRDefault="00387142" w:rsidP="00387142">
            <w:pPr>
              <w:jc w:val="center"/>
              <w:rPr>
                <w:bCs/>
                <w:sz w:val="20"/>
                <w:szCs w:val="20"/>
              </w:rPr>
            </w:pPr>
            <w:r w:rsidRPr="008B6A75">
              <w:rPr>
                <w:bCs/>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19DEA5E4" w14:textId="77777777" w:rsidR="00387142" w:rsidRPr="008B6A75" w:rsidRDefault="00387142" w:rsidP="00387142">
            <w:pPr>
              <w:jc w:val="center"/>
              <w:rPr>
                <w:bCs/>
                <w:sz w:val="20"/>
                <w:szCs w:val="20"/>
              </w:rPr>
            </w:pPr>
            <w:r w:rsidRPr="008B6A75">
              <w:rPr>
                <w:bCs/>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0D8ECEB5" w14:textId="77777777" w:rsidR="00387142" w:rsidRPr="008B6A75" w:rsidRDefault="00387142" w:rsidP="00387142">
            <w:pPr>
              <w:jc w:val="center"/>
              <w:rPr>
                <w:bCs/>
                <w:sz w:val="20"/>
                <w:szCs w:val="20"/>
              </w:rPr>
            </w:pPr>
            <w:r w:rsidRPr="008B6A75">
              <w:rPr>
                <w:bCs/>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A9CB60B" w14:textId="77777777" w:rsidR="00387142" w:rsidRPr="008B6A75" w:rsidRDefault="00387142" w:rsidP="00387142">
            <w:pPr>
              <w:jc w:val="right"/>
              <w:rPr>
                <w:bCs/>
                <w:sz w:val="20"/>
                <w:szCs w:val="20"/>
              </w:rPr>
            </w:pPr>
            <w:r w:rsidRPr="008B6A75">
              <w:rPr>
                <w:bCs/>
                <w:sz w:val="20"/>
                <w:szCs w:val="20"/>
              </w:rPr>
              <w:t>216 451,06</w:t>
            </w:r>
          </w:p>
        </w:tc>
        <w:tc>
          <w:tcPr>
            <w:tcW w:w="851" w:type="dxa"/>
            <w:tcBorders>
              <w:top w:val="nil"/>
              <w:left w:val="single" w:sz="4" w:space="0" w:color="auto"/>
              <w:bottom w:val="single" w:sz="4" w:space="0" w:color="auto"/>
              <w:right w:val="nil"/>
            </w:tcBorders>
            <w:shd w:val="clear" w:color="auto" w:fill="auto"/>
            <w:noWrap/>
            <w:vAlign w:val="center"/>
            <w:hideMark/>
          </w:tcPr>
          <w:p w14:paraId="290097FE" w14:textId="77777777" w:rsidR="00387142" w:rsidRPr="008B6A75" w:rsidRDefault="00387142" w:rsidP="00387142">
            <w:pPr>
              <w:jc w:val="right"/>
              <w:rPr>
                <w:bCs/>
                <w:sz w:val="20"/>
                <w:szCs w:val="20"/>
              </w:rPr>
            </w:pPr>
            <w:r w:rsidRPr="008B6A75">
              <w:rPr>
                <w:bCs/>
                <w:sz w:val="20"/>
                <w:szCs w:val="20"/>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16D3B681" w14:textId="77777777" w:rsidR="00387142" w:rsidRPr="008B6A75" w:rsidRDefault="00387142" w:rsidP="00387142">
            <w:pPr>
              <w:jc w:val="right"/>
              <w:rPr>
                <w:bCs/>
                <w:sz w:val="20"/>
                <w:szCs w:val="20"/>
              </w:rPr>
            </w:pPr>
            <w:r w:rsidRPr="008B6A75">
              <w:rPr>
                <w:bCs/>
                <w:sz w:val="20"/>
                <w:szCs w:val="20"/>
              </w:rPr>
              <w:t>0,00</w:t>
            </w:r>
          </w:p>
        </w:tc>
      </w:tr>
      <w:tr w:rsidR="00387142" w:rsidRPr="008B6A75" w14:paraId="26CCD68D" w14:textId="77777777" w:rsidTr="00387142">
        <w:trPr>
          <w:trHeight w:val="870"/>
        </w:trPr>
        <w:tc>
          <w:tcPr>
            <w:tcW w:w="272" w:type="dxa"/>
            <w:tcBorders>
              <w:top w:val="nil"/>
              <w:left w:val="nil"/>
              <w:bottom w:val="nil"/>
              <w:right w:val="single" w:sz="4" w:space="0" w:color="auto"/>
            </w:tcBorders>
            <w:shd w:val="clear" w:color="auto" w:fill="auto"/>
            <w:noWrap/>
            <w:vAlign w:val="bottom"/>
            <w:hideMark/>
          </w:tcPr>
          <w:p w14:paraId="3CA110F7" w14:textId="77777777" w:rsidR="00387142" w:rsidRPr="008B6A75" w:rsidRDefault="00387142" w:rsidP="00387142">
            <w:pPr>
              <w:rPr>
                <w:sz w:val="20"/>
                <w:szCs w:val="20"/>
              </w:rPr>
            </w:pPr>
            <w:r w:rsidRPr="008B6A75">
              <w:rPr>
                <w:sz w:val="20"/>
                <w:szCs w:val="20"/>
              </w:rPr>
              <w:lastRenderedPageBreak/>
              <w:t> </w:t>
            </w:r>
          </w:p>
        </w:tc>
        <w:tc>
          <w:tcPr>
            <w:tcW w:w="3415" w:type="dxa"/>
            <w:tcBorders>
              <w:top w:val="nil"/>
              <w:left w:val="single" w:sz="4" w:space="0" w:color="auto"/>
              <w:bottom w:val="single" w:sz="4" w:space="0" w:color="auto"/>
              <w:right w:val="nil"/>
            </w:tcBorders>
            <w:shd w:val="clear" w:color="auto" w:fill="auto"/>
            <w:vAlign w:val="center"/>
            <w:hideMark/>
          </w:tcPr>
          <w:p w14:paraId="0A14A5A1" w14:textId="77777777" w:rsidR="00387142" w:rsidRPr="008B6A75" w:rsidRDefault="00387142" w:rsidP="00387142">
            <w:pPr>
              <w:rPr>
                <w:sz w:val="20"/>
                <w:szCs w:val="20"/>
              </w:rPr>
            </w:pPr>
            <w:r w:rsidRPr="008B6A75">
              <w:rPr>
                <w:sz w:val="20"/>
                <w:szCs w:val="20"/>
              </w:rPr>
              <w:t>Предоставление субсидий бюджетным, автономным учреждениям и иным некоммерческим организациям</w:t>
            </w:r>
          </w:p>
        </w:tc>
        <w:tc>
          <w:tcPr>
            <w:tcW w:w="1559" w:type="dxa"/>
            <w:tcBorders>
              <w:top w:val="nil"/>
              <w:left w:val="single" w:sz="4" w:space="0" w:color="auto"/>
              <w:bottom w:val="single" w:sz="4" w:space="0" w:color="auto"/>
              <w:right w:val="nil"/>
            </w:tcBorders>
            <w:shd w:val="clear" w:color="auto" w:fill="auto"/>
            <w:noWrap/>
            <w:vAlign w:val="center"/>
            <w:hideMark/>
          </w:tcPr>
          <w:p w14:paraId="5522D96B" w14:textId="77777777" w:rsidR="00387142" w:rsidRPr="008B6A75" w:rsidRDefault="00387142" w:rsidP="00387142">
            <w:pPr>
              <w:jc w:val="center"/>
              <w:rPr>
                <w:sz w:val="20"/>
                <w:szCs w:val="20"/>
              </w:rPr>
            </w:pPr>
            <w:r w:rsidRPr="008B6A75">
              <w:rPr>
                <w:sz w:val="20"/>
                <w:szCs w:val="20"/>
              </w:rPr>
              <w:t>07.4.00.70510</w:t>
            </w:r>
          </w:p>
        </w:tc>
        <w:tc>
          <w:tcPr>
            <w:tcW w:w="850" w:type="dxa"/>
            <w:tcBorders>
              <w:top w:val="nil"/>
              <w:left w:val="single" w:sz="4" w:space="0" w:color="auto"/>
              <w:bottom w:val="single" w:sz="4" w:space="0" w:color="auto"/>
              <w:right w:val="nil"/>
            </w:tcBorders>
            <w:shd w:val="clear" w:color="auto" w:fill="auto"/>
            <w:noWrap/>
            <w:vAlign w:val="center"/>
            <w:hideMark/>
          </w:tcPr>
          <w:p w14:paraId="34FBC619" w14:textId="77777777" w:rsidR="00387142" w:rsidRPr="008B6A75" w:rsidRDefault="00387142" w:rsidP="00387142">
            <w:pPr>
              <w:jc w:val="center"/>
              <w:rPr>
                <w:sz w:val="20"/>
                <w:szCs w:val="20"/>
              </w:rPr>
            </w:pPr>
            <w:r w:rsidRPr="008B6A75">
              <w:rPr>
                <w:sz w:val="20"/>
                <w:szCs w:val="20"/>
              </w:rPr>
              <w:t>600</w:t>
            </w:r>
          </w:p>
        </w:tc>
        <w:tc>
          <w:tcPr>
            <w:tcW w:w="567" w:type="dxa"/>
            <w:tcBorders>
              <w:top w:val="nil"/>
              <w:left w:val="single" w:sz="4" w:space="0" w:color="auto"/>
              <w:bottom w:val="single" w:sz="4" w:space="0" w:color="auto"/>
              <w:right w:val="nil"/>
            </w:tcBorders>
            <w:shd w:val="clear" w:color="auto" w:fill="auto"/>
            <w:noWrap/>
            <w:vAlign w:val="center"/>
            <w:hideMark/>
          </w:tcPr>
          <w:p w14:paraId="39EB79F6" w14:textId="77777777" w:rsidR="00387142" w:rsidRPr="008B6A75" w:rsidRDefault="00387142" w:rsidP="00387142">
            <w:pPr>
              <w:jc w:val="center"/>
              <w:rPr>
                <w:sz w:val="20"/>
                <w:szCs w:val="20"/>
              </w:rPr>
            </w:pPr>
            <w:r w:rsidRPr="008B6A75">
              <w:rPr>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19B293C8" w14:textId="77777777" w:rsidR="00387142" w:rsidRPr="008B6A75" w:rsidRDefault="00387142" w:rsidP="00387142">
            <w:pPr>
              <w:jc w:val="center"/>
              <w:rPr>
                <w:sz w:val="20"/>
                <w:szCs w:val="20"/>
              </w:rPr>
            </w:pPr>
            <w:r w:rsidRPr="008B6A75">
              <w:rPr>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2DC2915" w14:textId="77777777" w:rsidR="00387142" w:rsidRPr="008B6A75" w:rsidRDefault="00387142" w:rsidP="00387142">
            <w:pPr>
              <w:jc w:val="right"/>
              <w:rPr>
                <w:sz w:val="20"/>
                <w:szCs w:val="20"/>
              </w:rPr>
            </w:pPr>
            <w:r w:rsidRPr="008B6A75">
              <w:rPr>
                <w:sz w:val="20"/>
                <w:szCs w:val="20"/>
              </w:rPr>
              <w:t>216 451,06</w:t>
            </w:r>
          </w:p>
        </w:tc>
        <w:tc>
          <w:tcPr>
            <w:tcW w:w="851" w:type="dxa"/>
            <w:tcBorders>
              <w:top w:val="nil"/>
              <w:left w:val="single" w:sz="4" w:space="0" w:color="auto"/>
              <w:bottom w:val="single" w:sz="4" w:space="0" w:color="auto"/>
              <w:right w:val="nil"/>
            </w:tcBorders>
            <w:shd w:val="clear" w:color="auto" w:fill="auto"/>
            <w:noWrap/>
            <w:vAlign w:val="center"/>
            <w:hideMark/>
          </w:tcPr>
          <w:p w14:paraId="03210B23" w14:textId="77777777" w:rsidR="00387142" w:rsidRPr="008B6A75" w:rsidRDefault="00387142" w:rsidP="00387142">
            <w:pPr>
              <w:jc w:val="right"/>
              <w:rPr>
                <w:sz w:val="20"/>
                <w:szCs w:val="20"/>
              </w:rPr>
            </w:pPr>
            <w:r w:rsidRPr="008B6A75">
              <w:rPr>
                <w:sz w:val="20"/>
                <w:szCs w:val="20"/>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25B4DE9C" w14:textId="77777777" w:rsidR="00387142" w:rsidRPr="008B6A75" w:rsidRDefault="00387142" w:rsidP="00387142">
            <w:pPr>
              <w:jc w:val="right"/>
              <w:rPr>
                <w:sz w:val="20"/>
                <w:szCs w:val="20"/>
              </w:rPr>
            </w:pPr>
            <w:r w:rsidRPr="008B6A75">
              <w:rPr>
                <w:sz w:val="20"/>
                <w:szCs w:val="20"/>
              </w:rPr>
              <w:t>0,00</w:t>
            </w:r>
          </w:p>
        </w:tc>
      </w:tr>
      <w:tr w:rsidR="00387142" w:rsidRPr="008B6A75" w14:paraId="58C501FA" w14:textId="77777777" w:rsidTr="00387142">
        <w:trPr>
          <w:trHeight w:val="300"/>
        </w:trPr>
        <w:tc>
          <w:tcPr>
            <w:tcW w:w="272" w:type="dxa"/>
            <w:tcBorders>
              <w:top w:val="nil"/>
              <w:left w:val="nil"/>
              <w:bottom w:val="nil"/>
              <w:right w:val="single" w:sz="4" w:space="0" w:color="auto"/>
            </w:tcBorders>
            <w:shd w:val="clear" w:color="auto" w:fill="auto"/>
            <w:noWrap/>
            <w:vAlign w:val="bottom"/>
            <w:hideMark/>
          </w:tcPr>
          <w:p w14:paraId="1B4F9B78"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580BFF91" w14:textId="77777777" w:rsidR="00387142" w:rsidRPr="008B6A75" w:rsidRDefault="00387142" w:rsidP="00387142">
            <w:pPr>
              <w:rPr>
                <w:sz w:val="20"/>
                <w:szCs w:val="20"/>
              </w:rPr>
            </w:pPr>
            <w:r w:rsidRPr="008B6A75">
              <w:rPr>
                <w:sz w:val="20"/>
                <w:szCs w:val="20"/>
              </w:rPr>
              <w:t>Субсидии бюджетным учреждениям</w:t>
            </w:r>
          </w:p>
        </w:tc>
        <w:tc>
          <w:tcPr>
            <w:tcW w:w="1559" w:type="dxa"/>
            <w:tcBorders>
              <w:top w:val="nil"/>
              <w:left w:val="single" w:sz="4" w:space="0" w:color="auto"/>
              <w:bottom w:val="single" w:sz="4" w:space="0" w:color="auto"/>
              <w:right w:val="nil"/>
            </w:tcBorders>
            <w:shd w:val="clear" w:color="auto" w:fill="auto"/>
            <w:noWrap/>
            <w:vAlign w:val="center"/>
            <w:hideMark/>
          </w:tcPr>
          <w:p w14:paraId="5F58479F" w14:textId="77777777" w:rsidR="00387142" w:rsidRPr="008B6A75" w:rsidRDefault="00387142" w:rsidP="00387142">
            <w:pPr>
              <w:jc w:val="center"/>
              <w:rPr>
                <w:sz w:val="20"/>
                <w:szCs w:val="20"/>
              </w:rPr>
            </w:pPr>
            <w:r w:rsidRPr="008B6A75">
              <w:rPr>
                <w:sz w:val="20"/>
                <w:szCs w:val="20"/>
              </w:rPr>
              <w:t>07.4.00.70510</w:t>
            </w:r>
          </w:p>
        </w:tc>
        <w:tc>
          <w:tcPr>
            <w:tcW w:w="850" w:type="dxa"/>
            <w:tcBorders>
              <w:top w:val="nil"/>
              <w:left w:val="single" w:sz="4" w:space="0" w:color="auto"/>
              <w:bottom w:val="single" w:sz="4" w:space="0" w:color="auto"/>
              <w:right w:val="nil"/>
            </w:tcBorders>
            <w:shd w:val="clear" w:color="auto" w:fill="auto"/>
            <w:noWrap/>
            <w:vAlign w:val="center"/>
            <w:hideMark/>
          </w:tcPr>
          <w:p w14:paraId="58C098D2" w14:textId="77777777" w:rsidR="00387142" w:rsidRPr="008B6A75" w:rsidRDefault="00387142" w:rsidP="00387142">
            <w:pPr>
              <w:jc w:val="center"/>
              <w:rPr>
                <w:sz w:val="20"/>
                <w:szCs w:val="20"/>
              </w:rPr>
            </w:pPr>
            <w:r w:rsidRPr="008B6A75">
              <w:rPr>
                <w:sz w:val="20"/>
                <w:szCs w:val="20"/>
              </w:rPr>
              <w:t>610</w:t>
            </w:r>
          </w:p>
        </w:tc>
        <w:tc>
          <w:tcPr>
            <w:tcW w:w="567" w:type="dxa"/>
            <w:tcBorders>
              <w:top w:val="nil"/>
              <w:left w:val="single" w:sz="4" w:space="0" w:color="auto"/>
              <w:bottom w:val="single" w:sz="4" w:space="0" w:color="auto"/>
              <w:right w:val="nil"/>
            </w:tcBorders>
            <w:shd w:val="clear" w:color="auto" w:fill="auto"/>
            <w:noWrap/>
            <w:vAlign w:val="center"/>
            <w:hideMark/>
          </w:tcPr>
          <w:p w14:paraId="6FB38601" w14:textId="77777777" w:rsidR="00387142" w:rsidRPr="008B6A75" w:rsidRDefault="00387142" w:rsidP="00387142">
            <w:pPr>
              <w:jc w:val="center"/>
              <w:rPr>
                <w:sz w:val="20"/>
                <w:szCs w:val="20"/>
              </w:rPr>
            </w:pPr>
            <w:r w:rsidRPr="008B6A75">
              <w:rPr>
                <w:sz w:val="20"/>
                <w:szCs w:val="20"/>
              </w:rPr>
              <w:t>07</w:t>
            </w:r>
          </w:p>
        </w:tc>
        <w:tc>
          <w:tcPr>
            <w:tcW w:w="567" w:type="dxa"/>
            <w:tcBorders>
              <w:top w:val="nil"/>
              <w:left w:val="single" w:sz="4" w:space="0" w:color="auto"/>
              <w:bottom w:val="single" w:sz="4" w:space="0" w:color="auto"/>
              <w:right w:val="nil"/>
            </w:tcBorders>
            <w:shd w:val="clear" w:color="auto" w:fill="auto"/>
            <w:noWrap/>
            <w:vAlign w:val="center"/>
            <w:hideMark/>
          </w:tcPr>
          <w:p w14:paraId="5528CCC6" w14:textId="77777777" w:rsidR="00387142" w:rsidRPr="008B6A75" w:rsidRDefault="00387142" w:rsidP="00387142">
            <w:pPr>
              <w:jc w:val="center"/>
              <w:rPr>
                <w:sz w:val="20"/>
                <w:szCs w:val="20"/>
              </w:rPr>
            </w:pPr>
            <w:r w:rsidRPr="008B6A75">
              <w:rPr>
                <w:sz w:val="20"/>
                <w:szCs w:val="20"/>
              </w:rPr>
              <w:t>07</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9449DE0" w14:textId="77777777" w:rsidR="00387142" w:rsidRPr="008B6A75" w:rsidRDefault="00387142" w:rsidP="00387142">
            <w:pPr>
              <w:jc w:val="right"/>
              <w:rPr>
                <w:sz w:val="20"/>
                <w:szCs w:val="20"/>
              </w:rPr>
            </w:pPr>
            <w:r w:rsidRPr="008B6A75">
              <w:rPr>
                <w:sz w:val="20"/>
                <w:szCs w:val="20"/>
              </w:rPr>
              <w:t>216 451,06</w:t>
            </w:r>
          </w:p>
        </w:tc>
        <w:tc>
          <w:tcPr>
            <w:tcW w:w="851" w:type="dxa"/>
            <w:tcBorders>
              <w:top w:val="nil"/>
              <w:left w:val="single" w:sz="4" w:space="0" w:color="auto"/>
              <w:bottom w:val="single" w:sz="4" w:space="0" w:color="auto"/>
              <w:right w:val="nil"/>
            </w:tcBorders>
            <w:shd w:val="clear" w:color="auto" w:fill="auto"/>
            <w:noWrap/>
            <w:vAlign w:val="center"/>
            <w:hideMark/>
          </w:tcPr>
          <w:p w14:paraId="78695AF6" w14:textId="77777777" w:rsidR="00387142" w:rsidRPr="008B6A75" w:rsidRDefault="00387142" w:rsidP="00387142">
            <w:pPr>
              <w:jc w:val="right"/>
              <w:rPr>
                <w:sz w:val="20"/>
                <w:szCs w:val="20"/>
              </w:rPr>
            </w:pPr>
            <w:r w:rsidRPr="008B6A75">
              <w:rPr>
                <w:sz w:val="20"/>
                <w:szCs w:val="20"/>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7CD37F3B" w14:textId="77777777" w:rsidR="00387142" w:rsidRPr="008B6A75" w:rsidRDefault="00387142" w:rsidP="00387142">
            <w:pPr>
              <w:jc w:val="right"/>
              <w:rPr>
                <w:sz w:val="20"/>
                <w:szCs w:val="20"/>
              </w:rPr>
            </w:pPr>
            <w:r w:rsidRPr="008B6A75">
              <w:rPr>
                <w:sz w:val="20"/>
                <w:szCs w:val="20"/>
              </w:rPr>
              <w:t>0,00</w:t>
            </w:r>
          </w:p>
        </w:tc>
      </w:tr>
      <w:tr w:rsidR="00387142" w:rsidRPr="008B6A75" w14:paraId="3AA2AFD8" w14:textId="77777777" w:rsidTr="00387142">
        <w:trPr>
          <w:trHeight w:val="1725"/>
        </w:trPr>
        <w:tc>
          <w:tcPr>
            <w:tcW w:w="272" w:type="dxa"/>
            <w:tcBorders>
              <w:top w:val="nil"/>
              <w:left w:val="nil"/>
              <w:bottom w:val="nil"/>
              <w:right w:val="single" w:sz="4" w:space="0" w:color="auto"/>
            </w:tcBorders>
            <w:shd w:val="clear" w:color="auto" w:fill="auto"/>
            <w:noWrap/>
            <w:vAlign w:val="bottom"/>
            <w:hideMark/>
          </w:tcPr>
          <w:p w14:paraId="18E9C44A"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5B1C1702" w14:textId="77777777" w:rsidR="00387142" w:rsidRPr="008B6A75" w:rsidRDefault="00387142" w:rsidP="00387142">
            <w:pPr>
              <w:rPr>
                <w:bCs/>
                <w:sz w:val="20"/>
                <w:szCs w:val="20"/>
              </w:rPr>
            </w:pPr>
            <w:r w:rsidRPr="008B6A75">
              <w:rPr>
                <w:bCs/>
                <w:sz w:val="20"/>
                <w:szCs w:val="20"/>
              </w:rPr>
              <w:t>Развитие социальной инфраструктуры в сфере организации отдыха и оздоровления детей Новосибирской области государственной программы Новосибирской области «Социальная поддержка в Новосибирской области»</w:t>
            </w:r>
          </w:p>
        </w:tc>
        <w:tc>
          <w:tcPr>
            <w:tcW w:w="1559" w:type="dxa"/>
            <w:tcBorders>
              <w:top w:val="nil"/>
              <w:left w:val="single" w:sz="4" w:space="0" w:color="auto"/>
              <w:bottom w:val="single" w:sz="4" w:space="0" w:color="auto"/>
              <w:right w:val="nil"/>
            </w:tcBorders>
            <w:shd w:val="clear" w:color="auto" w:fill="auto"/>
            <w:noWrap/>
            <w:vAlign w:val="center"/>
            <w:hideMark/>
          </w:tcPr>
          <w:p w14:paraId="5FAB968B" w14:textId="77777777" w:rsidR="00387142" w:rsidRPr="008B6A75" w:rsidRDefault="00387142" w:rsidP="00387142">
            <w:pPr>
              <w:jc w:val="center"/>
              <w:rPr>
                <w:bCs/>
                <w:sz w:val="20"/>
                <w:szCs w:val="20"/>
              </w:rPr>
            </w:pPr>
            <w:r w:rsidRPr="008B6A75">
              <w:rPr>
                <w:bCs/>
                <w:sz w:val="20"/>
                <w:szCs w:val="20"/>
              </w:rPr>
              <w:t>07.4.00.70929</w:t>
            </w:r>
          </w:p>
        </w:tc>
        <w:tc>
          <w:tcPr>
            <w:tcW w:w="850" w:type="dxa"/>
            <w:tcBorders>
              <w:top w:val="nil"/>
              <w:left w:val="single" w:sz="4" w:space="0" w:color="auto"/>
              <w:bottom w:val="single" w:sz="4" w:space="0" w:color="auto"/>
              <w:right w:val="nil"/>
            </w:tcBorders>
            <w:shd w:val="clear" w:color="auto" w:fill="auto"/>
            <w:noWrap/>
            <w:vAlign w:val="center"/>
            <w:hideMark/>
          </w:tcPr>
          <w:p w14:paraId="54BB4523" w14:textId="77777777" w:rsidR="00387142" w:rsidRPr="008B6A75" w:rsidRDefault="00387142" w:rsidP="00387142">
            <w:pPr>
              <w:jc w:val="center"/>
              <w:rPr>
                <w:bCs/>
                <w:sz w:val="20"/>
                <w:szCs w:val="20"/>
              </w:rPr>
            </w:pPr>
            <w:r w:rsidRPr="008B6A75">
              <w:rPr>
                <w:bCs/>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2F58261C" w14:textId="77777777" w:rsidR="00387142" w:rsidRPr="008B6A75" w:rsidRDefault="00387142" w:rsidP="00387142">
            <w:pPr>
              <w:jc w:val="center"/>
              <w:rPr>
                <w:bCs/>
                <w:sz w:val="20"/>
                <w:szCs w:val="20"/>
              </w:rPr>
            </w:pPr>
            <w:r w:rsidRPr="008B6A75">
              <w:rPr>
                <w:bCs/>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63BAC434" w14:textId="77777777" w:rsidR="00387142" w:rsidRPr="008B6A75" w:rsidRDefault="00387142" w:rsidP="00387142">
            <w:pPr>
              <w:jc w:val="center"/>
              <w:rPr>
                <w:bCs/>
                <w:sz w:val="20"/>
                <w:szCs w:val="20"/>
              </w:rPr>
            </w:pPr>
            <w:r w:rsidRPr="008B6A75">
              <w:rPr>
                <w:bCs/>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F05FC66" w14:textId="77777777" w:rsidR="00387142" w:rsidRPr="008B6A75" w:rsidRDefault="00387142" w:rsidP="00387142">
            <w:pPr>
              <w:jc w:val="right"/>
              <w:rPr>
                <w:bCs/>
                <w:sz w:val="20"/>
                <w:szCs w:val="20"/>
              </w:rPr>
            </w:pPr>
            <w:r w:rsidRPr="008B6A75">
              <w:rPr>
                <w:bCs/>
                <w:sz w:val="20"/>
                <w:szCs w:val="20"/>
              </w:rPr>
              <w:t>1 802 420,00</w:t>
            </w:r>
          </w:p>
        </w:tc>
        <w:tc>
          <w:tcPr>
            <w:tcW w:w="851" w:type="dxa"/>
            <w:tcBorders>
              <w:top w:val="nil"/>
              <w:left w:val="single" w:sz="4" w:space="0" w:color="auto"/>
              <w:bottom w:val="single" w:sz="4" w:space="0" w:color="auto"/>
              <w:right w:val="nil"/>
            </w:tcBorders>
            <w:shd w:val="clear" w:color="auto" w:fill="auto"/>
            <w:noWrap/>
            <w:vAlign w:val="center"/>
            <w:hideMark/>
          </w:tcPr>
          <w:p w14:paraId="73B0920B" w14:textId="77777777" w:rsidR="00387142" w:rsidRPr="008B6A75" w:rsidRDefault="00387142" w:rsidP="00387142">
            <w:pPr>
              <w:jc w:val="right"/>
              <w:rPr>
                <w:bCs/>
                <w:sz w:val="20"/>
                <w:szCs w:val="20"/>
              </w:rPr>
            </w:pPr>
            <w:r w:rsidRPr="008B6A75">
              <w:rPr>
                <w:bCs/>
                <w:sz w:val="20"/>
                <w:szCs w:val="20"/>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57DFAAA7" w14:textId="77777777" w:rsidR="00387142" w:rsidRPr="008B6A75" w:rsidRDefault="00387142" w:rsidP="00387142">
            <w:pPr>
              <w:jc w:val="right"/>
              <w:rPr>
                <w:bCs/>
                <w:sz w:val="20"/>
                <w:szCs w:val="20"/>
              </w:rPr>
            </w:pPr>
            <w:r w:rsidRPr="008B6A75">
              <w:rPr>
                <w:bCs/>
                <w:sz w:val="20"/>
                <w:szCs w:val="20"/>
              </w:rPr>
              <w:t>0,00</w:t>
            </w:r>
          </w:p>
        </w:tc>
      </w:tr>
      <w:tr w:rsidR="00387142" w:rsidRPr="008B6A75" w14:paraId="767D3B3F" w14:textId="77777777" w:rsidTr="00387142">
        <w:trPr>
          <w:trHeight w:val="870"/>
        </w:trPr>
        <w:tc>
          <w:tcPr>
            <w:tcW w:w="272" w:type="dxa"/>
            <w:tcBorders>
              <w:top w:val="nil"/>
              <w:left w:val="nil"/>
              <w:bottom w:val="nil"/>
              <w:right w:val="single" w:sz="4" w:space="0" w:color="auto"/>
            </w:tcBorders>
            <w:shd w:val="clear" w:color="auto" w:fill="auto"/>
            <w:noWrap/>
            <w:vAlign w:val="bottom"/>
            <w:hideMark/>
          </w:tcPr>
          <w:p w14:paraId="0E40CFE2"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6773BF7B" w14:textId="77777777" w:rsidR="00387142" w:rsidRPr="008B6A75" w:rsidRDefault="00387142" w:rsidP="00387142">
            <w:pPr>
              <w:rPr>
                <w:sz w:val="20"/>
                <w:szCs w:val="20"/>
              </w:rPr>
            </w:pPr>
            <w:r w:rsidRPr="008B6A75">
              <w:rPr>
                <w:sz w:val="20"/>
                <w:szCs w:val="20"/>
              </w:rPr>
              <w:t>Предоставление субсидий бюджетным, автономным учреждениям и иным некоммерческим организациям</w:t>
            </w:r>
          </w:p>
        </w:tc>
        <w:tc>
          <w:tcPr>
            <w:tcW w:w="1559" w:type="dxa"/>
            <w:tcBorders>
              <w:top w:val="nil"/>
              <w:left w:val="single" w:sz="4" w:space="0" w:color="auto"/>
              <w:bottom w:val="single" w:sz="4" w:space="0" w:color="auto"/>
              <w:right w:val="nil"/>
            </w:tcBorders>
            <w:shd w:val="clear" w:color="auto" w:fill="auto"/>
            <w:noWrap/>
            <w:vAlign w:val="center"/>
            <w:hideMark/>
          </w:tcPr>
          <w:p w14:paraId="5E85BC3B" w14:textId="77777777" w:rsidR="00387142" w:rsidRPr="008B6A75" w:rsidRDefault="00387142" w:rsidP="00387142">
            <w:pPr>
              <w:jc w:val="center"/>
              <w:rPr>
                <w:sz w:val="20"/>
                <w:szCs w:val="20"/>
              </w:rPr>
            </w:pPr>
            <w:r w:rsidRPr="008B6A75">
              <w:rPr>
                <w:sz w:val="20"/>
                <w:szCs w:val="20"/>
              </w:rPr>
              <w:t>07.4.00.70929</w:t>
            </w:r>
          </w:p>
        </w:tc>
        <w:tc>
          <w:tcPr>
            <w:tcW w:w="850" w:type="dxa"/>
            <w:tcBorders>
              <w:top w:val="nil"/>
              <w:left w:val="single" w:sz="4" w:space="0" w:color="auto"/>
              <w:bottom w:val="single" w:sz="4" w:space="0" w:color="auto"/>
              <w:right w:val="nil"/>
            </w:tcBorders>
            <w:shd w:val="clear" w:color="auto" w:fill="auto"/>
            <w:noWrap/>
            <w:vAlign w:val="center"/>
            <w:hideMark/>
          </w:tcPr>
          <w:p w14:paraId="4B930883" w14:textId="77777777" w:rsidR="00387142" w:rsidRPr="008B6A75" w:rsidRDefault="00387142" w:rsidP="00387142">
            <w:pPr>
              <w:jc w:val="center"/>
              <w:rPr>
                <w:sz w:val="20"/>
                <w:szCs w:val="20"/>
              </w:rPr>
            </w:pPr>
            <w:r w:rsidRPr="008B6A75">
              <w:rPr>
                <w:sz w:val="20"/>
                <w:szCs w:val="20"/>
              </w:rPr>
              <w:t>600</w:t>
            </w:r>
          </w:p>
        </w:tc>
        <w:tc>
          <w:tcPr>
            <w:tcW w:w="567" w:type="dxa"/>
            <w:tcBorders>
              <w:top w:val="nil"/>
              <w:left w:val="single" w:sz="4" w:space="0" w:color="auto"/>
              <w:bottom w:val="single" w:sz="4" w:space="0" w:color="auto"/>
              <w:right w:val="nil"/>
            </w:tcBorders>
            <w:shd w:val="clear" w:color="auto" w:fill="auto"/>
            <w:noWrap/>
            <w:vAlign w:val="center"/>
            <w:hideMark/>
          </w:tcPr>
          <w:p w14:paraId="62BA64B3" w14:textId="77777777" w:rsidR="00387142" w:rsidRPr="008B6A75" w:rsidRDefault="00387142" w:rsidP="00387142">
            <w:pPr>
              <w:jc w:val="center"/>
              <w:rPr>
                <w:sz w:val="20"/>
                <w:szCs w:val="20"/>
              </w:rPr>
            </w:pPr>
            <w:r w:rsidRPr="008B6A75">
              <w:rPr>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23B62270" w14:textId="77777777" w:rsidR="00387142" w:rsidRPr="008B6A75" w:rsidRDefault="00387142" w:rsidP="00387142">
            <w:pPr>
              <w:jc w:val="center"/>
              <w:rPr>
                <w:sz w:val="20"/>
                <w:szCs w:val="20"/>
              </w:rPr>
            </w:pPr>
            <w:r w:rsidRPr="008B6A75">
              <w:rPr>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D53DC62" w14:textId="77777777" w:rsidR="00387142" w:rsidRPr="008B6A75" w:rsidRDefault="00387142" w:rsidP="00387142">
            <w:pPr>
              <w:jc w:val="right"/>
              <w:rPr>
                <w:sz w:val="20"/>
                <w:szCs w:val="20"/>
              </w:rPr>
            </w:pPr>
            <w:r w:rsidRPr="008B6A75">
              <w:rPr>
                <w:sz w:val="20"/>
                <w:szCs w:val="20"/>
              </w:rPr>
              <w:t>1 802 420,00</w:t>
            </w:r>
          </w:p>
        </w:tc>
        <w:tc>
          <w:tcPr>
            <w:tcW w:w="851" w:type="dxa"/>
            <w:tcBorders>
              <w:top w:val="nil"/>
              <w:left w:val="single" w:sz="4" w:space="0" w:color="auto"/>
              <w:bottom w:val="single" w:sz="4" w:space="0" w:color="auto"/>
              <w:right w:val="nil"/>
            </w:tcBorders>
            <w:shd w:val="clear" w:color="auto" w:fill="auto"/>
            <w:noWrap/>
            <w:vAlign w:val="center"/>
            <w:hideMark/>
          </w:tcPr>
          <w:p w14:paraId="353A7032" w14:textId="77777777" w:rsidR="00387142" w:rsidRPr="008B6A75" w:rsidRDefault="00387142" w:rsidP="00387142">
            <w:pPr>
              <w:jc w:val="right"/>
              <w:rPr>
                <w:sz w:val="20"/>
                <w:szCs w:val="20"/>
              </w:rPr>
            </w:pPr>
            <w:r w:rsidRPr="008B6A75">
              <w:rPr>
                <w:sz w:val="20"/>
                <w:szCs w:val="20"/>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1DEF0AC7" w14:textId="77777777" w:rsidR="00387142" w:rsidRPr="008B6A75" w:rsidRDefault="00387142" w:rsidP="00387142">
            <w:pPr>
              <w:jc w:val="right"/>
              <w:rPr>
                <w:sz w:val="20"/>
                <w:szCs w:val="20"/>
              </w:rPr>
            </w:pPr>
            <w:r w:rsidRPr="008B6A75">
              <w:rPr>
                <w:sz w:val="20"/>
                <w:szCs w:val="20"/>
              </w:rPr>
              <w:t>0,00</w:t>
            </w:r>
          </w:p>
        </w:tc>
      </w:tr>
      <w:tr w:rsidR="00387142" w:rsidRPr="008B6A75" w14:paraId="3393AAC7" w14:textId="77777777" w:rsidTr="00387142">
        <w:trPr>
          <w:trHeight w:val="300"/>
        </w:trPr>
        <w:tc>
          <w:tcPr>
            <w:tcW w:w="272" w:type="dxa"/>
            <w:tcBorders>
              <w:top w:val="nil"/>
              <w:left w:val="nil"/>
              <w:bottom w:val="nil"/>
              <w:right w:val="single" w:sz="4" w:space="0" w:color="auto"/>
            </w:tcBorders>
            <w:shd w:val="clear" w:color="auto" w:fill="auto"/>
            <w:noWrap/>
            <w:vAlign w:val="bottom"/>
            <w:hideMark/>
          </w:tcPr>
          <w:p w14:paraId="3D56E09D"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48F3C346" w14:textId="77777777" w:rsidR="00387142" w:rsidRPr="008B6A75" w:rsidRDefault="00387142" w:rsidP="00387142">
            <w:pPr>
              <w:rPr>
                <w:sz w:val="20"/>
                <w:szCs w:val="20"/>
              </w:rPr>
            </w:pPr>
            <w:r w:rsidRPr="008B6A75">
              <w:rPr>
                <w:sz w:val="20"/>
                <w:szCs w:val="20"/>
              </w:rPr>
              <w:t>Субсидии бюджетным учреждениям</w:t>
            </w:r>
          </w:p>
        </w:tc>
        <w:tc>
          <w:tcPr>
            <w:tcW w:w="1559" w:type="dxa"/>
            <w:tcBorders>
              <w:top w:val="nil"/>
              <w:left w:val="single" w:sz="4" w:space="0" w:color="auto"/>
              <w:bottom w:val="single" w:sz="4" w:space="0" w:color="auto"/>
              <w:right w:val="nil"/>
            </w:tcBorders>
            <w:shd w:val="clear" w:color="auto" w:fill="auto"/>
            <w:noWrap/>
            <w:vAlign w:val="center"/>
            <w:hideMark/>
          </w:tcPr>
          <w:p w14:paraId="4A971EE8" w14:textId="77777777" w:rsidR="00387142" w:rsidRPr="008B6A75" w:rsidRDefault="00387142" w:rsidP="00387142">
            <w:pPr>
              <w:jc w:val="center"/>
              <w:rPr>
                <w:sz w:val="20"/>
                <w:szCs w:val="20"/>
              </w:rPr>
            </w:pPr>
            <w:r w:rsidRPr="008B6A75">
              <w:rPr>
                <w:sz w:val="20"/>
                <w:szCs w:val="20"/>
              </w:rPr>
              <w:t>07.4.00.70929</w:t>
            </w:r>
          </w:p>
        </w:tc>
        <w:tc>
          <w:tcPr>
            <w:tcW w:w="850" w:type="dxa"/>
            <w:tcBorders>
              <w:top w:val="nil"/>
              <w:left w:val="single" w:sz="4" w:space="0" w:color="auto"/>
              <w:bottom w:val="single" w:sz="4" w:space="0" w:color="auto"/>
              <w:right w:val="nil"/>
            </w:tcBorders>
            <w:shd w:val="clear" w:color="auto" w:fill="auto"/>
            <w:noWrap/>
            <w:vAlign w:val="center"/>
            <w:hideMark/>
          </w:tcPr>
          <w:p w14:paraId="22899941" w14:textId="77777777" w:rsidR="00387142" w:rsidRPr="008B6A75" w:rsidRDefault="00387142" w:rsidP="00387142">
            <w:pPr>
              <w:jc w:val="center"/>
              <w:rPr>
                <w:sz w:val="20"/>
                <w:szCs w:val="20"/>
              </w:rPr>
            </w:pPr>
            <w:r w:rsidRPr="008B6A75">
              <w:rPr>
                <w:sz w:val="20"/>
                <w:szCs w:val="20"/>
              </w:rPr>
              <w:t>610</w:t>
            </w:r>
          </w:p>
        </w:tc>
        <w:tc>
          <w:tcPr>
            <w:tcW w:w="567" w:type="dxa"/>
            <w:tcBorders>
              <w:top w:val="nil"/>
              <w:left w:val="single" w:sz="4" w:space="0" w:color="auto"/>
              <w:bottom w:val="single" w:sz="4" w:space="0" w:color="auto"/>
              <w:right w:val="nil"/>
            </w:tcBorders>
            <w:shd w:val="clear" w:color="auto" w:fill="auto"/>
            <w:noWrap/>
            <w:vAlign w:val="center"/>
            <w:hideMark/>
          </w:tcPr>
          <w:p w14:paraId="13C90677" w14:textId="77777777" w:rsidR="00387142" w:rsidRPr="008B6A75" w:rsidRDefault="00387142" w:rsidP="00387142">
            <w:pPr>
              <w:jc w:val="center"/>
              <w:rPr>
                <w:sz w:val="20"/>
                <w:szCs w:val="20"/>
              </w:rPr>
            </w:pPr>
            <w:r w:rsidRPr="008B6A75">
              <w:rPr>
                <w:sz w:val="20"/>
                <w:szCs w:val="20"/>
              </w:rPr>
              <w:t>10</w:t>
            </w:r>
          </w:p>
        </w:tc>
        <w:tc>
          <w:tcPr>
            <w:tcW w:w="567" w:type="dxa"/>
            <w:tcBorders>
              <w:top w:val="nil"/>
              <w:left w:val="single" w:sz="4" w:space="0" w:color="auto"/>
              <w:bottom w:val="single" w:sz="4" w:space="0" w:color="auto"/>
              <w:right w:val="nil"/>
            </w:tcBorders>
            <w:shd w:val="clear" w:color="auto" w:fill="auto"/>
            <w:noWrap/>
            <w:vAlign w:val="center"/>
            <w:hideMark/>
          </w:tcPr>
          <w:p w14:paraId="2209D162" w14:textId="77777777" w:rsidR="00387142" w:rsidRPr="008B6A75" w:rsidRDefault="00387142" w:rsidP="00387142">
            <w:pPr>
              <w:jc w:val="center"/>
              <w:rPr>
                <w:sz w:val="20"/>
                <w:szCs w:val="20"/>
              </w:rPr>
            </w:pPr>
            <w:r w:rsidRPr="008B6A75">
              <w:rPr>
                <w:sz w:val="20"/>
                <w:szCs w:val="20"/>
              </w:rPr>
              <w:t>06</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DB26162" w14:textId="77777777" w:rsidR="00387142" w:rsidRPr="008B6A75" w:rsidRDefault="00387142" w:rsidP="00387142">
            <w:pPr>
              <w:jc w:val="right"/>
              <w:rPr>
                <w:sz w:val="20"/>
                <w:szCs w:val="20"/>
              </w:rPr>
            </w:pPr>
            <w:r w:rsidRPr="008B6A75">
              <w:rPr>
                <w:sz w:val="20"/>
                <w:szCs w:val="20"/>
              </w:rPr>
              <w:t>1 802 420,00</w:t>
            </w:r>
          </w:p>
        </w:tc>
        <w:tc>
          <w:tcPr>
            <w:tcW w:w="851" w:type="dxa"/>
            <w:tcBorders>
              <w:top w:val="nil"/>
              <w:left w:val="single" w:sz="4" w:space="0" w:color="auto"/>
              <w:bottom w:val="single" w:sz="4" w:space="0" w:color="auto"/>
              <w:right w:val="nil"/>
            </w:tcBorders>
            <w:shd w:val="clear" w:color="auto" w:fill="auto"/>
            <w:noWrap/>
            <w:vAlign w:val="center"/>
            <w:hideMark/>
          </w:tcPr>
          <w:p w14:paraId="6F4EE310" w14:textId="77777777" w:rsidR="00387142" w:rsidRPr="008B6A75" w:rsidRDefault="00387142" w:rsidP="00387142">
            <w:pPr>
              <w:jc w:val="right"/>
              <w:rPr>
                <w:sz w:val="20"/>
                <w:szCs w:val="20"/>
              </w:rPr>
            </w:pPr>
            <w:r w:rsidRPr="008B6A75">
              <w:rPr>
                <w:sz w:val="20"/>
                <w:szCs w:val="20"/>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4069BD65" w14:textId="77777777" w:rsidR="00387142" w:rsidRPr="008B6A75" w:rsidRDefault="00387142" w:rsidP="00387142">
            <w:pPr>
              <w:jc w:val="right"/>
              <w:rPr>
                <w:sz w:val="20"/>
                <w:szCs w:val="20"/>
              </w:rPr>
            </w:pPr>
            <w:r w:rsidRPr="008B6A75">
              <w:rPr>
                <w:sz w:val="20"/>
                <w:szCs w:val="20"/>
              </w:rPr>
              <w:t>0,00</w:t>
            </w:r>
          </w:p>
        </w:tc>
      </w:tr>
      <w:tr w:rsidR="00387142" w:rsidRPr="008B6A75" w14:paraId="631C9E0C" w14:textId="77777777" w:rsidTr="00387142">
        <w:trPr>
          <w:trHeight w:val="870"/>
        </w:trPr>
        <w:tc>
          <w:tcPr>
            <w:tcW w:w="272" w:type="dxa"/>
            <w:tcBorders>
              <w:top w:val="nil"/>
              <w:left w:val="nil"/>
              <w:bottom w:val="nil"/>
              <w:right w:val="single" w:sz="4" w:space="0" w:color="auto"/>
            </w:tcBorders>
            <w:shd w:val="clear" w:color="auto" w:fill="auto"/>
            <w:noWrap/>
            <w:vAlign w:val="bottom"/>
            <w:hideMark/>
          </w:tcPr>
          <w:p w14:paraId="430B5B07"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25AFE101" w14:textId="77777777" w:rsidR="00387142" w:rsidRPr="008B6A75" w:rsidRDefault="00387142" w:rsidP="00387142">
            <w:pPr>
              <w:rPr>
                <w:bCs/>
                <w:sz w:val="20"/>
                <w:szCs w:val="20"/>
              </w:rPr>
            </w:pPr>
            <w:r w:rsidRPr="008B6A75">
              <w:rPr>
                <w:bCs/>
                <w:sz w:val="20"/>
                <w:szCs w:val="20"/>
              </w:rPr>
              <w:t>Реализация мероприятий подпрограммы "Организация отдыха и оздоровления детей и подростков"</w:t>
            </w:r>
          </w:p>
        </w:tc>
        <w:tc>
          <w:tcPr>
            <w:tcW w:w="1559" w:type="dxa"/>
            <w:tcBorders>
              <w:top w:val="nil"/>
              <w:left w:val="single" w:sz="4" w:space="0" w:color="auto"/>
              <w:bottom w:val="single" w:sz="4" w:space="0" w:color="auto"/>
              <w:right w:val="nil"/>
            </w:tcBorders>
            <w:shd w:val="clear" w:color="auto" w:fill="auto"/>
            <w:noWrap/>
            <w:vAlign w:val="center"/>
            <w:hideMark/>
          </w:tcPr>
          <w:p w14:paraId="6757A573" w14:textId="77777777" w:rsidR="00387142" w:rsidRPr="008B6A75" w:rsidRDefault="00387142" w:rsidP="00387142">
            <w:pPr>
              <w:jc w:val="center"/>
              <w:rPr>
                <w:bCs/>
                <w:sz w:val="20"/>
                <w:szCs w:val="20"/>
              </w:rPr>
            </w:pPr>
            <w:r w:rsidRPr="008B6A75">
              <w:rPr>
                <w:bCs/>
                <w:sz w:val="20"/>
                <w:szCs w:val="20"/>
              </w:rPr>
              <w:t>07.4.00.79500</w:t>
            </w:r>
          </w:p>
        </w:tc>
        <w:tc>
          <w:tcPr>
            <w:tcW w:w="850" w:type="dxa"/>
            <w:tcBorders>
              <w:top w:val="nil"/>
              <w:left w:val="single" w:sz="4" w:space="0" w:color="auto"/>
              <w:bottom w:val="single" w:sz="4" w:space="0" w:color="auto"/>
              <w:right w:val="nil"/>
            </w:tcBorders>
            <w:shd w:val="clear" w:color="auto" w:fill="auto"/>
            <w:noWrap/>
            <w:vAlign w:val="center"/>
            <w:hideMark/>
          </w:tcPr>
          <w:p w14:paraId="28730E8F" w14:textId="77777777" w:rsidR="00387142" w:rsidRPr="008B6A75" w:rsidRDefault="00387142" w:rsidP="00387142">
            <w:pPr>
              <w:jc w:val="center"/>
              <w:rPr>
                <w:bCs/>
                <w:sz w:val="20"/>
                <w:szCs w:val="20"/>
              </w:rPr>
            </w:pPr>
            <w:r w:rsidRPr="008B6A75">
              <w:rPr>
                <w:bCs/>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61025F5C" w14:textId="77777777" w:rsidR="00387142" w:rsidRPr="008B6A75" w:rsidRDefault="00387142" w:rsidP="00387142">
            <w:pPr>
              <w:jc w:val="center"/>
              <w:rPr>
                <w:bCs/>
                <w:sz w:val="20"/>
                <w:szCs w:val="20"/>
              </w:rPr>
            </w:pPr>
            <w:r w:rsidRPr="008B6A75">
              <w:rPr>
                <w:bCs/>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33113D57" w14:textId="77777777" w:rsidR="00387142" w:rsidRPr="008B6A75" w:rsidRDefault="00387142" w:rsidP="00387142">
            <w:pPr>
              <w:jc w:val="center"/>
              <w:rPr>
                <w:bCs/>
                <w:sz w:val="20"/>
                <w:szCs w:val="20"/>
              </w:rPr>
            </w:pPr>
            <w:r w:rsidRPr="008B6A75">
              <w:rPr>
                <w:bCs/>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76B022E" w14:textId="77777777" w:rsidR="00387142" w:rsidRPr="008B6A75" w:rsidRDefault="00387142" w:rsidP="00387142">
            <w:pPr>
              <w:jc w:val="right"/>
              <w:rPr>
                <w:bCs/>
                <w:sz w:val="20"/>
                <w:szCs w:val="20"/>
              </w:rPr>
            </w:pPr>
            <w:r w:rsidRPr="008B6A75">
              <w:rPr>
                <w:bCs/>
                <w:sz w:val="20"/>
                <w:szCs w:val="20"/>
              </w:rPr>
              <w:t>2 309 502,80</w:t>
            </w:r>
          </w:p>
        </w:tc>
        <w:tc>
          <w:tcPr>
            <w:tcW w:w="851" w:type="dxa"/>
            <w:tcBorders>
              <w:top w:val="nil"/>
              <w:left w:val="single" w:sz="4" w:space="0" w:color="auto"/>
              <w:bottom w:val="single" w:sz="4" w:space="0" w:color="auto"/>
              <w:right w:val="nil"/>
            </w:tcBorders>
            <w:shd w:val="clear" w:color="auto" w:fill="auto"/>
            <w:noWrap/>
            <w:vAlign w:val="center"/>
            <w:hideMark/>
          </w:tcPr>
          <w:p w14:paraId="1F3F74CE" w14:textId="77777777" w:rsidR="00387142" w:rsidRPr="008B6A75" w:rsidRDefault="00387142" w:rsidP="00387142">
            <w:pPr>
              <w:jc w:val="right"/>
              <w:rPr>
                <w:bCs/>
                <w:sz w:val="20"/>
                <w:szCs w:val="20"/>
              </w:rPr>
            </w:pPr>
            <w:r w:rsidRPr="008B6A75">
              <w:rPr>
                <w:bCs/>
                <w:sz w:val="20"/>
                <w:szCs w:val="20"/>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6070D15C" w14:textId="77777777" w:rsidR="00387142" w:rsidRPr="008B6A75" w:rsidRDefault="00387142" w:rsidP="00387142">
            <w:pPr>
              <w:jc w:val="right"/>
              <w:rPr>
                <w:bCs/>
                <w:sz w:val="20"/>
                <w:szCs w:val="20"/>
              </w:rPr>
            </w:pPr>
            <w:r w:rsidRPr="008B6A75">
              <w:rPr>
                <w:bCs/>
                <w:sz w:val="20"/>
                <w:szCs w:val="20"/>
              </w:rPr>
              <w:t>0,00</w:t>
            </w:r>
          </w:p>
        </w:tc>
      </w:tr>
      <w:tr w:rsidR="00387142" w:rsidRPr="008B6A75" w14:paraId="501ABFE7" w14:textId="77777777" w:rsidTr="00387142">
        <w:trPr>
          <w:trHeight w:val="585"/>
        </w:trPr>
        <w:tc>
          <w:tcPr>
            <w:tcW w:w="272" w:type="dxa"/>
            <w:tcBorders>
              <w:top w:val="nil"/>
              <w:left w:val="nil"/>
              <w:bottom w:val="nil"/>
              <w:right w:val="single" w:sz="4" w:space="0" w:color="auto"/>
            </w:tcBorders>
            <w:shd w:val="clear" w:color="auto" w:fill="auto"/>
            <w:noWrap/>
            <w:vAlign w:val="bottom"/>
            <w:hideMark/>
          </w:tcPr>
          <w:p w14:paraId="5BE81437"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715C645C" w14:textId="77777777" w:rsidR="00387142" w:rsidRPr="008B6A75" w:rsidRDefault="00387142" w:rsidP="00387142">
            <w:pPr>
              <w:rPr>
                <w:sz w:val="20"/>
                <w:szCs w:val="20"/>
              </w:rPr>
            </w:pPr>
            <w:r w:rsidRPr="008B6A75">
              <w:rPr>
                <w:sz w:val="20"/>
                <w:szCs w:val="20"/>
              </w:rPr>
              <w:t>Закупка товаров, работ и услуг для обеспечения государственных (муниципальных) нужд</w:t>
            </w:r>
          </w:p>
        </w:tc>
        <w:tc>
          <w:tcPr>
            <w:tcW w:w="1559" w:type="dxa"/>
            <w:tcBorders>
              <w:top w:val="nil"/>
              <w:left w:val="single" w:sz="4" w:space="0" w:color="auto"/>
              <w:bottom w:val="single" w:sz="4" w:space="0" w:color="auto"/>
              <w:right w:val="nil"/>
            </w:tcBorders>
            <w:shd w:val="clear" w:color="auto" w:fill="auto"/>
            <w:noWrap/>
            <w:vAlign w:val="center"/>
            <w:hideMark/>
          </w:tcPr>
          <w:p w14:paraId="00830A39" w14:textId="77777777" w:rsidR="00387142" w:rsidRPr="008B6A75" w:rsidRDefault="00387142" w:rsidP="00387142">
            <w:pPr>
              <w:jc w:val="center"/>
              <w:rPr>
                <w:sz w:val="20"/>
                <w:szCs w:val="20"/>
              </w:rPr>
            </w:pPr>
            <w:r w:rsidRPr="008B6A75">
              <w:rPr>
                <w:sz w:val="20"/>
                <w:szCs w:val="20"/>
              </w:rPr>
              <w:t>07.4.00.79500</w:t>
            </w:r>
          </w:p>
        </w:tc>
        <w:tc>
          <w:tcPr>
            <w:tcW w:w="850" w:type="dxa"/>
            <w:tcBorders>
              <w:top w:val="nil"/>
              <w:left w:val="single" w:sz="4" w:space="0" w:color="auto"/>
              <w:bottom w:val="single" w:sz="4" w:space="0" w:color="auto"/>
              <w:right w:val="nil"/>
            </w:tcBorders>
            <w:shd w:val="clear" w:color="auto" w:fill="auto"/>
            <w:noWrap/>
            <w:vAlign w:val="center"/>
            <w:hideMark/>
          </w:tcPr>
          <w:p w14:paraId="3E2BD64B" w14:textId="77777777" w:rsidR="00387142" w:rsidRPr="008B6A75" w:rsidRDefault="00387142" w:rsidP="00387142">
            <w:pPr>
              <w:jc w:val="center"/>
              <w:rPr>
                <w:sz w:val="20"/>
                <w:szCs w:val="20"/>
              </w:rPr>
            </w:pPr>
            <w:r w:rsidRPr="008B6A75">
              <w:rPr>
                <w:sz w:val="20"/>
                <w:szCs w:val="20"/>
              </w:rPr>
              <w:t>200</w:t>
            </w:r>
          </w:p>
        </w:tc>
        <w:tc>
          <w:tcPr>
            <w:tcW w:w="567" w:type="dxa"/>
            <w:tcBorders>
              <w:top w:val="nil"/>
              <w:left w:val="single" w:sz="4" w:space="0" w:color="auto"/>
              <w:bottom w:val="single" w:sz="4" w:space="0" w:color="auto"/>
              <w:right w:val="nil"/>
            </w:tcBorders>
            <w:shd w:val="clear" w:color="auto" w:fill="auto"/>
            <w:noWrap/>
            <w:vAlign w:val="center"/>
            <w:hideMark/>
          </w:tcPr>
          <w:p w14:paraId="32C8CDD2" w14:textId="77777777" w:rsidR="00387142" w:rsidRPr="008B6A75" w:rsidRDefault="00387142" w:rsidP="00387142">
            <w:pPr>
              <w:jc w:val="center"/>
              <w:rPr>
                <w:sz w:val="20"/>
                <w:szCs w:val="20"/>
              </w:rPr>
            </w:pPr>
            <w:r w:rsidRPr="008B6A75">
              <w:rPr>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5C8CB6AC" w14:textId="77777777" w:rsidR="00387142" w:rsidRPr="008B6A75" w:rsidRDefault="00387142" w:rsidP="00387142">
            <w:pPr>
              <w:jc w:val="center"/>
              <w:rPr>
                <w:sz w:val="20"/>
                <w:szCs w:val="20"/>
              </w:rPr>
            </w:pPr>
            <w:r w:rsidRPr="008B6A75">
              <w:rPr>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D48C5F8" w14:textId="77777777" w:rsidR="00387142" w:rsidRPr="008B6A75" w:rsidRDefault="00387142" w:rsidP="00387142">
            <w:pPr>
              <w:jc w:val="right"/>
              <w:rPr>
                <w:sz w:val="20"/>
                <w:szCs w:val="20"/>
              </w:rPr>
            </w:pPr>
            <w:r w:rsidRPr="008B6A75">
              <w:rPr>
                <w:sz w:val="20"/>
                <w:szCs w:val="20"/>
              </w:rPr>
              <w:t>421 980,00</w:t>
            </w:r>
          </w:p>
        </w:tc>
        <w:tc>
          <w:tcPr>
            <w:tcW w:w="851" w:type="dxa"/>
            <w:tcBorders>
              <w:top w:val="nil"/>
              <w:left w:val="single" w:sz="4" w:space="0" w:color="auto"/>
              <w:bottom w:val="single" w:sz="4" w:space="0" w:color="auto"/>
              <w:right w:val="nil"/>
            </w:tcBorders>
            <w:shd w:val="clear" w:color="auto" w:fill="auto"/>
            <w:noWrap/>
            <w:vAlign w:val="center"/>
            <w:hideMark/>
          </w:tcPr>
          <w:p w14:paraId="0BDF7AA3" w14:textId="77777777" w:rsidR="00387142" w:rsidRPr="008B6A75" w:rsidRDefault="00387142" w:rsidP="00387142">
            <w:pPr>
              <w:jc w:val="right"/>
              <w:rPr>
                <w:sz w:val="20"/>
                <w:szCs w:val="20"/>
              </w:rPr>
            </w:pPr>
            <w:r w:rsidRPr="008B6A75">
              <w:rPr>
                <w:sz w:val="20"/>
                <w:szCs w:val="20"/>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177073E4" w14:textId="77777777" w:rsidR="00387142" w:rsidRPr="008B6A75" w:rsidRDefault="00387142" w:rsidP="00387142">
            <w:pPr>
              <w:jc w:val="right"/>
              <w:rPr>
                <w:sz w:val="20"/>
                <w:szCs w:val="20"/>
              </w:rPr>
            </w:pPr>
            <w:r w:rsidRPr="008B6A75">
              <w:rPr>
                <w:sz w:val="20"/>
                <w:szCs w:val="20"/>
              </w:rPr>
              <w:t>0,00</w:t>
            </w:r>
          </w:p>
        </w:tc>
      </w:tr>
      <w:tr w:rsidR="00387142" w:rsidRPr="008B6A75" w14:paraId="46FE8F15" w14:textId="77777777" w:rsidTr="00387142">
        <w:trPr>
          <w:trHeight w:val="870"/>
        </w:trPr>
        <w:tc>
          <w:tcPr>
            <w:tcW w:w="272" w:type="dxa"/>
            <w:tcBorders>
              <w:top w:val="nil"/>
              <w:left w:val="nil"/>
              <w:bottom w:val="nil"/>
              <w:right w:val="single" w:sz="4" w:space="0" w:color="auto"/>
            </w:tcBorders>
            <w:shd w:val="clear" w:color="auto" w:fill="auto"/>
            <w:noWrap/>
            <w:vAlign w:val="bottom"/>
            <w:hideMark/>
          </w:tcPr>
          <w:p w14:paraId="2D40E519"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2DA1C44E" w14:textId="77777777" w:rsidR="00387142" w:rsidRPr="008B6A75" w:rsidRDefault="00387142" w:rsidP="00387142">
            <w:pPr>
              <w:rPr>
                <w:sz w:val="20"/>
                <w:szCs w:val="20"/>
              </w:rPr>
            </w:pPr>
            <w:r w:rsidRPr="008B6A75">
              <w:rPr>
                <w:sz w:val="20"/>
                <w:szCs w:val="20"/>
              </w:rPr>
              <w:t>Иные закупки товаров, работ и услуг для обеспечения государственных (муниципальных) нужд</w:t>
            </w:r>
          </w:p>
        </w:tc>
        <w:tc>
          <w:tcPr>
            <w:tcW w:w="1559" w:type="dxa"/>
            <w:tcBorders>
              <w:top w:val="nil"/>
              <w:left w:val="single" w:sz="4" w:space="0" w:color="auto"/>
              <w:bottom w:val="single" w:sz="4" w:space="0" w:color="auto"/>
              <w:right w:val="nil"/>
            </w:tcBorders>
            <w:shd w:val="clear" w:color="auto" w:fill="auto"/>
            <w:noWrap/>
            <w:vAlign w:val="center"/>
            <w:hideMark/>
          </w:tcPr>
          <w:p w14:paraId="31F49E1B" w14:textId="77777777" w:rsidR="00387142" w:rsidRPr="008B6A75" w:rsidRDefault="00387142" w:rsidP="00387142">
            <w:pPr>
              <w:jc w:val="center"/>
              <w:rPr>
                <w:sz w:val="20"/>
                <w:szCs w:val="20"/>
              </w:rPr>
            </w:pPr>
            <w:r w:rsidRPr="008B6A75">
              <w:rPr>
                <w:sz w:val="20"/>
                <w:szCs w:val="20"/>
              </w:rPr>
              <w:t>07.4.00.79500</w:t>
            </w:r>
          </w:p>
        </w:tc>
        <w:tc>
          <w:tcPr>
            <w:tcW w:w="850" w:type="dxa"/>
            <w:tcBorders>
              <w:top w:val="nil"/>
              <w:left w:val="single" w:sz="4" w:space="0" w:color="auto"/>
              <w:bottom w:val="single" w:sz="4" w:space="0" w:color="auto"/>
              <w:right w:val="nil"/>
            </w:tcBorders>
            <w:shd w:val="clear" w:color="auto" w:fill="auto"/>
            <w:noWrap/>
            <w:vAlign w:val="center"/>
            <w:hideMark/>
          </w:tcPr>
          <w:p w14:paraId="10624D60" w14:textId="77777777" w:rsidR="00387142" w:rsidRPr="008B6A75" w:rsidRDefault="00387142" w:rsidP="00387142">
            <w:pPr>
              <w:jc w:val="center"/>
              <w:rPr>
                <w:sz w:val="20"/>
                <w:szCs w:val="20"/>
              </w:rPr>
            </w:pPr>
            <w:r w:rsidRPr="008B6A75">
              <w:rPr>
                <w:sz w:val="20"/>
                <w:szCs w:val="20"/>
              </w:rPr>
              <w:t>240</w:t>
            </w:r>
          </w:p>
        </w:tc>
        <w:tc>
          <w:tcPr>
            <w:tcW w:w="567" w:type="dxa"/>
            <w:tcBorders>
              <w:top w:val="nil"/>
              <w:left w:val="single" w:sz="4" w:space="0" w:color="auto"/>
              <w:bottom w:val="single" w:sz="4" w:space="0" w:color="auto"/>
              <w:right w:val="nil"/>
            </w:tcBorders>
            <w:shd w:val="clear" w:color="auto" w:fill="auto"/>
            <w:noWrap/>
            <w:vAlign w:val="center"/>
            <w:hideMark/>
          </w:tcPr>
          <w:p w14:paraId="263F0E01" w14:textId="77777777" w:rsidR="00387142" w:rsidRPr="008B6A75" w:rsidRDefault="00387142" w:rsidP="00387142">
            <w:pPr>
              <w:jc w:val="center"/>
              <w:rPr>
                <w:sz w:val="20"/>
                <w:szCs w:val="20"/>
              </w:rPr>
            </w:pPr>
            <w:r w:rsidRPr="008B6A75">
              <w:rPr>
                <w:sz w:val="20"/>
                <w:szCs w:val="20"/>
              </w:rPr>
              <w:t>07</w:t>
            </w:r>
          </w:p>
        </w:tc>
        <w:tc>
          <w:tcPr>
            <w:tcW w:w="567" w:type="dxa"/>
            <w:tcBorders>
              <w:top w:val="nil"/>
              <w:left w:val="single" w:sz="4" w:space="0" w:color="auto"/>
              <w:bottom w:val="single" w:sz="4" w:space="0" w:color="auto"/>
              <w:right w:val="nil"/>
            </w:tcBorders>
            <w:shd w:val="clear" w:color="auto" w:fill="auto"/>
            <w:noWrap/>
            <w:vAlign w:val="center"/>
            <w:hideMark/>
          </w:tcPr>
          <w:p w14:paraId="5C0903B2" w14:textId="77777777" w:rsidR="00387142" w:rsidRPr="008B6A75" w:rsidRDefault="00387142" w:rsidP="00387142">
            <w:pPr>
              <w:jc w:val="center"/>
              <w:rPr>
                <w:sz w:val="20"/>
                <w:szCs w:val="20"/>
              </w:rPr>
            </w:pPr>
            <w:r w:rsidRPr="008B6A75">
              <w:rPr>
                <w:sz w:val="20"/>
                <w:szCs w:val="20"/>
              </w:rPr>
              <w:t>02</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0DF9A81" w14:textId="77777777" w:rsidR="00387142" w:rsidRPr="008B6A75" w:rsidRDefault="00387142" w:rsidP="00387142">
            <w:pPr>
              <w:jc w:val="right"/>
              <w:rPr>
                <w:sz w:val="20"/>
                <w:szCs w:val="20"/>
              </w:rPr>
            </w:pPr>
            <w:r w:rsidRPr="008B6A75">
              <w:rPr>
                <w:sz w:val="20"/>
                <w:szCs w:val="20"/>
              </w:rPr>
              <w:t>421 980,00</w:t>
            </w:r>
          </w:p>
        </w:tc>
        <w:tc>
          <w:tcPr>
            <w:tcW w:w="851" w:type="dxa"/>
            <w:tcBorders>
              <w:top w:val="nil"/>
              <w:left w:val="single" w:sz="4" w:space="0" w:color="auto"/>
              <w:bottom w:val="single" w:sz="4" w:space="0" w:color="auto"/>
              <w:right w:val="nil"/>
            </w:tcBorders>
            <w:shd w:val="clear" w:color="auto" w:fill="auto"/>
            <w:noWrap/>
            <w:vAlign w:val="center"/>
            <w:hideMark/>
          </w:tcPr>
          <w:p w14:paraId="7D3734B4" w14:textId="77777777" w:rsidR="00387142" w:rsidRPr="008B6A75" w:rsidRDefault="00387142" w:rsidP="00387142">
            <w:pPr>
              <w:jc w:val="right"/>
              <w:rPr>
                <w:sz w:val="20"/>
                <w:szCs w:val="20"/>
              </w:rPr>
            </w:pPr>
            <w:r w:rsidRPr="008B6A75">
              <w:rPr>
                <w:sz w:val="20"/>
                <w:szCs w:val="20"/>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49EDE888" w14:textId="77777777" w:rsidR="00387142" w:rsidRPr="008B6A75" w:rsidRDefault="00387142" w:rsidP="00387142">
            <w:pPr>
              <w:jc w:val="right"/>
              <w:rPr>
                <w:sz w:val="20"/>
                <w:szCs w:val="20"/>
              </w:rPr>
            </w:pPr>
            <w:r w:rsidRPr="008B6A75">
              <w:rPr>
                <w:sz w:val="20"/>
                <w:szCs w:val="20"/>
              </w:rPr>
              <w:t>0,00</w:t>
            </w:r>
          </w:p>
        </w:tc>
      </w:tr>
      <w:tr w:rsidR="00387142" w:rsidRPr="008B6A75" w14:paraId="39B4DBA6" w14:textId="77777777" w:rsidTr="00387142">
        <w:trPr>
          <w:trHeight w:val="870"/>
        </w:trPr>
        <w:tc>
          <w:tcPr>
            <w:tcW w:w="272" w:type="dxa"/>
            <w:tcBorders>
              <w:top w:val="nil"/>
              <w:left w:val="nil"/>
              <w:bottom w:val="nil"/>
              <w:right w:val="single" w:sz="4" w:space="0" w:color="auto"/>
            </w:tcBorders>
            <w:shd w:val="clear" w:color="auto" w:fill="auto"/>
            <w:noWrap/>
            <w:vAlign w:val="bottom"/>
            <w:hideMark/>
          </w:tcPr>
          <w:p w14:paraId="2EC40520"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31057711" w14:textId="77777777" w:rsidR="00387142" w:rsidRPr="008B6A75" w:rsidRDefault="00387142" w:rsidP="00387142">
            <w:pPr>
              <w:rPr>
                <w:sz w:val="20"/>
                <w:szCs w:val="20"/>
              </w:rPr>
            </w:pPr>
            <w:r w:rsidRPr="008B6A75">
              <w:rPr>
                <w:sz w:val="20"/>
                <w:szCs w:val="20"/>
              </w:rPr>
              <w:t>Предоставление субсидий бюджетным, автономным учреждениям и иным некоммерческим организациям</w:t>
            </w:r>
          </w:p>
        </w:tc>
        <w:tc>
          <w:tcPr>
            <w:tcW w:w="1559" w:type="dxa"/>
            <w:tcBorders>
              <w:top w:val="nil"/>
              <w:left w:val="single" w:sz="4" w:space="0" w:color="auto"/>
              <w:bottom w:val="single" w:sz="4" w:space="0" w:color="auto"/>
              <w:right w:val="nil"/>
            </w:tcBorders>
            <w:shd w:val="clear" w:color="auto" w:fill="auto"/>
            <w:noWrap/>
            <w:vAlign w:val="center"/>
            <w:hideMark/>
          </w:tcPr>
          <w:p w14:paraId="39B583DE" w14:textId="77777777" w:rsidR="00387142" w:rsidRPr="008B6A75" w:rsidRDefault="00387142" w:rsidP="00387142">
            <w:pPr>
              <w:jc w:val="center"/>
              <w:rPr>
                <w:sz w:val="20"/>
                <w:szCs w:val="20"/>
              </w:rPr>
            </w:pPr>
            <w:r w:rsidRPr="008B6A75">
              <w:rPr>
                <w:sz w:val="20"/>
                <w:szCs w:val="20"/>
              </w:rPr>
              <w:t>07.4.00.79500</w:t>
            </w:r>
          </w:p>
        </w:tc>
        <w:tc>
          <w:tcPr>
            <w:tcW w:w="850" w:type="dxa"/>
            <w:tcBorders>
              <w:top w:val="nil"/>
              <w:left w:val="single" w:sz="4" w:space="0" w:color="auto"/>
              <w:bottom w:val="single" w:sz="4" w:space="0" w:color="auto"/>
              <w:right w:val="nil"/>
            </w:tcBorders>
            <w:shd w:val="clear" w:color="auto" w:fill="auto"/>
            <w:noWrap/>
            <w:vAlign w:val="center"/>
            <w:hideMark/>
          </w:tcPr>
          <w:p w14:paraId="0390BA70" w14:textId="77777777" w:rsidR="00387142" w:rsidRPr="008B6A75" w:rsidRDefault="00387142" w:rsidP="00387142">
            <w:pPr>
              <w:jc w:val="center"/>
              <w:rPr>
                <w:sz w:val="20"/>
                <w:szCs w:val="20"/>
              </w:rPr>
            </w:pPr>
            <w:r w:rsidRPr="008B6A75">
              <w:rPr>
                <w:sz w:val="20"/>
                <w:szCs w:val="20"/>
              </w:rPr>
              <w:t>600</w:t>
            </w:r>
          </w:p>
        </w:tc>
        <w:tc>
          <w:tcPr>
            <w:tcW w:w="567" w:type="dxa"/>
            <w:tcBorders>
              <w:top w:val="nil"/>
              <w:left w:val="single" w:sz="4" w:space="0" w:color="auto"/>
              <w:bottom w:val="single" w:sz="4" w:space="0" w:color="auto"/>
              <w:right w:val="nil"/>
            </w:tcBorders>
            <w:shd w:val="clear" w:color="auto" w:fill="auto"/>
            <w:noWrap/>
            <w:vAlign w:val="center"/>
            <w:hideMark/>
          </w:tcPr>
          <w:p w14:paraId="624D058B" w14:textId="77777777" w:rsidR="00387142" w:rsidRPr="008B6A75" w:rsidRDefault="00387142" w:rsidP="00387142">
            <w:pPr>
              <w:jc w:val="center"/>
              <w:rPr>
                <w:sz w:val="20"/>
                <w:szCs w:val="20"/>
              </w:rPr>
            </w:pPr>
            <w:r w:rsidRPr="008B6A75">
              <w:rPr>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3FDAA1CD" w14:textId="77777777" w:rsidR="00387142" w:rsidRPr="008B6A75" w:rsidRDefault="00387142" w:rsidP="00387142">
            <w:pPr>
              <w:jc w:val="center"/>
              <w:rPr>
                <w:sz w:val="20"/>
                <w:szCs w:val="20"/>
              </w:rPr>
            </w:pPr>
            <w:r w:rsidRPr="008B6A75">
              <w:rPr>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17E1C6D" w14:textId="77777777" w:rsidR="00387142" w:rsidRPr="008B6A75" w:rsidRDefault="00387142" w:rsidP="00387142">
            <w:pPr>
              <w:jc w:val="right"/>
              <w:rPr>
                <w:sz w:val="20"/>
                <w:szCs w:val="20"/>
              </w:rPr>
            </w:pPr>
            <w:r w:rsidRPr="008B6A75">
              <w:rPr>
                <w:sz w:val="20"/>
                <w:szCs w:val="20"/>
              </w:rPr>
              <w:t>1 887 522,80</w:t>
            </w:r>
          </w:p>
        </w:tc>
        <w:tc>
          <w:tcPr>
            <w:tcW w:w="851" w:type="dxa"/>
            <w:tcBorders>
              <w:top w:val="nil"/>
              <w:left w:val="single" w:sz="4" w:space="0" w:color="auto"/>
              <w:bottom w:val="single" w:sz="4" w:space="0" w:color="auto"/>
              <w:right w:val="nil"/>
            </w:tcBorders>
            <w:shd w:val="clear" w:color="auto" w:fill="auto"/>
            <w:noWrap/>
            <w:vAlign w:val="center"/>
            <w:hideMark/>
          </w:tcPr>
          <w:p w14:paraId="1E154B1B" w14:textId="77777777" w:rsidR="00387142" w:rsidRPr="008B6A75" w:rsidRDefault="00387142" w:rsidP="00387142">
            <w:pPr>
              <w:jc w:val="right"/>
              <w:rPr>
                <w:sz w:val="20"/>
                <w:szCs w:val="20"/>
              </w:rPr>
            </w:pPr>
            <w:r w:rsidRPr="008B6A75">
              <w:rPr>
                <w:sz w:val="20"/>
                <w:szCs w:val="20"/>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31EF058E" w14:textId="77777777" w:rsidR="00387142" w:rsidRPr="008B6A75" w:rsidRDefault="00387142" w:rsidP="00387142">
            <w:pPr>
              <w:jc w:val="right"/>
              <w:rPr>
                <w:sz w:val="20"/>
                <w:szCs w:val="20"/>
              </w:rPr>
            </w:pPr>
            <w:r w:rsidRPr="008B6A75">
              <w:rPr>
                <w:sz w:val="20"/>
                <w:szCs w:val="20"/>
              </w:rPr>
              <w:t>0,00</w:t>
            </w:r>
          </w:p>
        </w:tc>
      </w:tr>
      <w:tr w:rsidR="00387142" w:rsidRPr="008B6A75" w14:paraId="18B95EA0" w14:textId="77777777" w:rsidTr="00387142">
        <w:trPr>
          <w:trHeight w:val="300"/>
        </w:trPr>
        <w:tc>
          <w:tcPr>
            <w:tcW w:w="272" w:type="dxa"/>
            <w:tcBorders>
              <w:top w:val="nil"/>
              <w:left w:val="nil"/>
              <w:bottom w:val="nil"/>
              <w:right w:val="single" w:sz="4" w:space="0" w:color="auto"/>
            </w:tcBorders>
            <w:shd w:val="clear" w:color="auto" w:fill="auto"/>
            <w:noWrap/>
            <w:vAlign w:val="bottom"/>
            <w:hideMark/>
          </w:tcPr>
          <w:p w14:paraId="6A5B3895"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48969EB2" w14:textId="77777777" w:rsidR="00387142" w:rsidRPr="008B6A75" w:rsidRDefault="00387142" w:rsidP="00387142">
            <w:pPr>
              <w:rPr>
                <w:sz w:val="20"/>
                <w:szCs w:val="20"/>
              </w:rPr>
            </w:pPr>
            <w:r w:rsidRPr="008B6A75">
              <w:rPr>
                <w:sz w:val="20"/>
                <w:szCs w:val="20"/>
              </w:rPr>
              <w:t>Субсидии бюджетным учреждениям</w:t>
            </w:r>
          </w:p>
        </w:tc>
        <w:tc>
          <w:tcPr>
            <w:tcW w:w="1559" w:type="dxa"/>
            <w:tcBorders>
              <w:top w:val="nil"/>
              <w:left w:val="single" w:sz="4" w:space="0" w:color="auto"/>
              <w:bottom w:val="single" w:sz="4" w:space="0" w:color="auto"/>
              <w:right w:val="nil"/>
            </w:tcBorders>
            <w:shd w:val="clear" w:color="auto" w:fill="auto"/>
            <w:noWrap/>
            <w:vAlign w:val="center"/>
            <w:hideMark/>
          </w:tcPr>
          <w:p w14:paraId="5552E216" w14:textId="77777777" w:rsidR="00387142" w:rsidRPr="008B6A75" w:rsidRDefault="00387142" w:rsidP="00387142">
            <w:pPr>
              <w:jc w:val="center"/>
              <w:rPr>
                <w:sz w:val="20"/>
                <w:szCs w:val="20"/>
              </w:rPr>
            </w:pPr>
            <w:r w:rsidRPr="008B6A75">
              <w:rPr>
                <w:sz w:val="20"/>
                <w:szCs w:val="20"/>
              </w:rPr>
              <w:t>07.4.00.79500</w:t>
            </w:r>
          </w:p>
        </w:tc>
        <w:tc>
          <w:tcPr>
            <w:tcW w:w="850" w:type="dxa"/>
            <w:tcBorders>
              <w:top w:val="nil"/>
              <w:left w:val="single" w:sz="4" w:space="0" w:color="auto"/>
              <w:bottom w:val="single" w:sz="4" w:space="0" w:color="auto"/>
              <w:right w:val="nil"/>
            </w:tcBorders>
            <w:shd w:val="clear" w:color="auto" w:fill="auto"/>
            <w:noWrap/>
            <w:vAlign w:val="center"/>
            <w:hideMark/>
          </w:tcPr>
          <w:p w14:paraId="67B85482" w14:textId="77777777" w:rsidR="00387142" w:rsidRPr="008B6A75" w:rsidRDefault="00387142" w:rsidP="00387142">
            <w:pPr>
              <w:jc w:val="center"/>
              <w:rPr>
                <w:sz w:val="20"/>
                <w:szCs w:val="20"/>
              </w:rPr>
            </w:pPr>
            <w:r w:rsidRPr="008B6A75">
              <w:rPr>
                <w:sz w:val="20"/>
                <w:szCs w:val="20"/>
              </w:rPr>
              <w:t>610</w:t>
            </w:r>
          </w:p>
        </w:tc>
        <w:tc>
          <w:tcPr>
            <w:tcW w:w="567" w:type="dxa"/>
            <w:tcBorders>
              <w:top w:val="nil"/>
              <w:left w:val="single" w:sz="4" w:space="0" w:color="auto"/>
              <w:bottom w:val="single" w:sz="4" w:space="0" w:color="auto"/>
              <w:right w:val="nil"/>
            </w:tcBorders>
            <w:shd w:val="clear" w:color="auto" w:fill="auto"/>
            <w:noWrap/>
            <w:vAlign w:val="center"/>
            <w:hideMark/>
          </w:tcPr>
          <w:p w14:paraId="258EFC5C" w14:textId="77777777" w:rsidR="00387142" w:rsidRPr="008B6A75" w:rsidRDefault="00387142" w:rsidP="00387142">
            <w:pPr>
              <w:jc w:val="center"/>
              <w:rPr>
                <w:sz w:val="20"/>
                <w:szCs w:val="20"/>
              </w:rPr>
            </w:pPr>
            <w:r w:rsidRPr="008B6A75">
              <w:rPr>
                <w:sz w:val="20"/>
                <w:szCs w:val="20"/>
              </w:rPr>
              <w:t>07</w:t>
            </w:r>
          </w:p>
        </w:tc>
        <w:tc>
          <w:tcPr>
            <w:tcW w:w="567" w:type="dxa"/>
            <w:tcBorders>
              <w:top w:val="nil"/>
              <w:left w:val="single" w:sz="4" w:space="0" w:color="auto"/>
              <w:bottom w:val="single" w:sz="4" w:space="0" w:color="auto"/>
              <w:right w:val="nil"/>
            </w:tcBorders>
            <w:shd w:val="clear" w:color="auto" w:fill="auto"/>
            <w:noWrap/>
            <w:vAlign w:val="center"/>
            <w:hideMark/>
          </w:tcPr>
          <w:p w14:paraId="797415EF" w14:textId="77777777" w:rsidR="00387142" w:rsidRPr="008B6A75" w:rsidRDefault="00387142" w:rsidP="00387142">
            <w:pPr>
              <w:jc w:val="center"/>
              <w:rPr>
                <w:sz w:val="20"/>
                <w:szCs w:val="20"/>
              </w:rPr>
            </w:pPr>
            <w:r w:rsidRPr="008B6A75">
              <w:rPr>
                <w:sz w:val="20"/>
                <w:szCs w:val="20"/>
              </w:rPr>
              <w:t>02</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57A5AB9" w14:textId="77777777" w:rsidR="00387142" w:rsidRPr="008B6A75" w:rsidRDefault="00387142" w:rsidP="00387142">
            <w:pPr>
              <w:jc w:val="right"/>
              <w:rPr>
                <w:sz w:val="20"/>
                <w:szCs w:val="20"/>
              </w:rPr>
            </w:pPr>
            <w:r w:rsidRPr="008B6A75">
              <w:rPr>
                <w:sz w:val="20"/>
                <w:szCs w:val="20"/>
              </w:rPr>
              <w:t>54 880,00</w:t>
            </w:r>
          </w:p>
        </w:tc>
        <w:tc>
          <w:tcPr>
            <w:tcW w:w="851" w:type="dxa"/>
            <w:tcBorders>
              <w:top w:val="nil"/>
              <w:left w:val="single" w:sz="4" w:space="0" w:color="auto"/>
              <w:bottom w:val="single" w:sz="4" w:space="0" w:color="auto"/>
              <w:right w:val="nil"/>
            </w:tcBorders>
            <w:shd w:val="clear" w:color="auto" w:fill="auto"/>
            <w:noWrap/>
            <w:vAlign w:val="center"/>
            <w:hideMark/>
          </w:tcPr>
          <w:p w14:paraId="71F7506F" w14:textId="77777777" w:rsidR="00387142" w:rsidRPr="008B6A75" w:rsidRDefault="00387142" w:rsidP="00387142">
            <w:pPr>
              <w:jc w:val="right"/>
              <w:rPr>
                <w:sz w:val="20"/>
                <w:szCs w:val="20"/>
              </w:rPr>
            </w:pPr>
            <w:r w:rsidRPr="008B6A75">
              <w:rPr>
                <w:sz w:val="20"/>
                <w:szCs w:val="20"/>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37D59B73" w14:textId="77777777" w:rsidR="00387142" w:rsidRPr="008B6A75" w:rsidRDefault="00387142" w:rsidP="00387142">
            <w:pPr>
              <w:jc w:val="right"/>
              <w:rPr>
                <w:sz w:val="20"/>
                <w:szCs w:val="20"/>
              </w:rPr>
            </w:pPr>
            <w:r w:rsidRPr="008B6A75">
              <w:rPr>
                <w:sz w:val="20"/>
                <w:szCs w:val="20"/>
              </w:rPr>
              <w:t>0,00</w:t>
            </w:r>
          </w:p>
        </w:tc>
      </w:tr>
      <w:tr w:rsidR="00387142" w:rsidRPr="008B6A75" w14:paraId="21A065F3" w14:textId="77777777" w:rsidTr="00387142">
        <w:trPr>
          <w:trHeight w:val="300"/>
        </w:trPr>
        <w:tc>
          <w:tcPr>
            <w:tcW w:w="272" w:type="dxa"/>
            <w:tcBorders>
              <w:top w:val="nil"/>
              <w:left w:val="nil"/>
              <w:bottom w:val="nil"/>
              <w:right w:val="single" w:sz="4" w:space="0" w:color="auto"/>
            </w:tcBorders>
            <w:shd w:val="clear" w:color="auto" w:fill="auto"/>
            <w:noWrap/>
            <w:vAlign w:val="bottom"/>
            <w:hideMark/>
          </w:tcPr>
          <w:p w14:paraId="1A6FDD6B"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508E1BAD" w14:textId="77777777" w:rsidR="00387142" w:rsidRPr="008B6A75" w:rsidRDefault="00387142" w:rsidP="00387142">
            <w:pPr>
              <w:rPr>
                <w:sz w:val="20"/>
                <w:szCs w:val="20"/>
              </w:rPr>
            </w:pPr>
            <w:r w:rsidRPr="008B6A75">
              <w:rPr>
                <w:sz w:val="20"/>
                <w:szCs w:val="20"/>
              </w:rPr>
              <w:t>Субсидии бюджетным учреждениям</w:t>
            </w:r>
          </w:p>
        </w:tc>
        <w:tc>
          <w:tcPr>
            <w:tcW w:w="1559" w:type="dxa"/>
            <w:tcBorders>
              <w:top w:val="nil"/>
              <w:left w:val="single" w:sz="4" w:space="0" w:color="auto"/>
              <w:bottom w:val="single" w:sz="4" w:space="0" w:color="auto"/>
              <w:right w:val="nil"/>
            </w:tcBorders>
            <w:shd w:val="clear" w:color="auto" w:fill="auto"/>
            <w:noWrap/>
            <w:vAlign w:val="center"/>
            <w:hideMark/>
          </w:tcPr>
          <w:p w14:paraId="76C89276" w14:textId="77777777" w:rsidR="00387142" w:rsidRPr="008B6A75" w:rsidRDefault="00387142" w:rsidP="00387142">
            <w:pPr>
              <w:jc w:val="center"/>
              <w:rPr>
                <w:sz w:val="20"/>
                <w:szCs w:val="20"/>
              </w:rPr>
            </w:pPr>
            <w:r w:rsidRPr="008B6A75">
              <w:rPr>
                <w:sz w:val="20"/>
                <w:szCs w:val="20"/>
              </w:rPr>
              <w:t>07.4.00.79500</w:t>
            </w:r>
          </w:p>
        </w:tc>
        <w:tc>
          <w:tcPr>
            <w:tcW w:w="850" w:type="dxa"/>
            <w:tcBorders>
              <w:top w:val="nil"/>
              <w:left w:val="single" w:sz="4" w:space="0" w:color="auto"/>
              <w:bottom w:val="single" w:sz="4" w:space="0" w:color="auto"/>
              <w:right w:val="nil"/>
            </w:tcBorders>
            <w:shd w:val="clear" w:color="auto" w:fill="auto"/>
            <w:noWrap/>
            <w:vAlign w:val="center"/>
            <w:hideMark/>
          </w:tcPr>
          <w:p w14:paraId="07A7B82D" w14:textId="77777777" w:rsidR="00387142" w:rsidRPr="008B6A75" w:rsidRDefault="00387142" w:rsidP="00387142">
            <w:pPr>
              <w:jc w:val="center"/>
              <w:rPr>
                <w:sz w:val="20"/>
                <w:szCs w:val="20"/>
              </w:rPr>
            </w:pPr>
            <w:r w:rsidRPr="008B6A75">
              <w:rPr>
                <w:sz w:val="20"/>
                <w:szCs w:val="20"/>
              </w:rPr>
              <w:t>610</w:t>
            </w:r>
          </w:p>
        </w:tc>
        <w:tc>
          <w:tcPr>
            <w:tcW w:w="567" w:type="dxa"/>
            <w:tcBorders>
              <w:top w:val="nil"/>
              <w:left w:val="single" w:sz="4" w:space="0" w:color="auto"/>
              <w:bottom w:val="single" w:sz="4" w:space="0" w:color="auto"/>
              <w:right w:val="nil"/>
            </w:tcBorders>
            <w:shd w:val="clear" w:color="auto" w:fill="auto"/>
            <w:noWrap/>
            <w:vAlign w:val="center"/>
            <w:hideMark/>
          </w:tcPr>
          <w:p w14:paraId="48513AD6" w14:textId="77777777" w:rsidR="00387142" w:rsidRPr="008B6A75" w:rsidRDefault="00387142" w:rsidP="00387142">
            <w:pPr>
              <w:jc w:val="center"/>
              <w:rPr>
                <w:sz w:val="20"/>
                <w:szCs w:val="20"/>
              </w:rPr>
            </w:pPr>
            <w:r w:rsidRPr="008B6A75">
              <w:rPr>
                <w:sz w:val="20"/>
                <w:szCs w:val="20"/>
              </w:rPr>
              <w:t>07</w:t>
            </w:r>
          </w:p>
        </w:tc>
        <w:tc>
          <w:tcPr>
            <w:tcW w:w="567" w:type="dxa"/>
            <w:tcBorders>
              <w:top w:val="nil"/>
              <w:left w:val="single" w:sz="4" w:space="0" w:color="auto"/>
              <w:bottom w:val="single" w:sz="4" w:space="0" w:color="auto"/>
              <w:right w:val="nil"/>
            </w:tcBorders>
            <w:shd w:val="clear" w:color="auto" w:fill="auto"/>
            <w:noWrap/>
            <w:vAlign w:val="center"/>
            <w:hideMark/>
          </w:tcPr>
          <w:p w14:paraId="6F4B0F30" w14:textId="77777777" w:rsidR="00387142" w:rsidRPr="008B6A75" w:rsidRDefault="00387142" w:rsidP="00387142">
            <w:pPr>
              <w:jc w:val="center"/>
              <w:rPr>
                <w:sz w:val="20"/>
                <w:szCs w:val="20"/>
              </w:rPr>
            </w:pPr>
            <w:r w:rsidRPr="008B6A75">
              <w:rPr>
                <w:sz w:val="20"/>
                <w:szCs w:val="20"/>
              </w:rPr>
              <w:t>07</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D929069" w14:textId="77777777" w:rsidR="00387142" w:rsidRPr="008B6A75" w:rsidRDefault="00387142" w:rsidP="00387142">
            <w:pPr>
              <w:jc w:val="right"/>
              <w:rPr>
                <w:sz w:val="20"/>
                <w:szCs w:val="20"/>
              </w:rPr>
            </w:pPr>
            <w:r w:rsidRPr="008B6A75">
              <w:rPr>
                <w:sz w:val="20"/>
                <w:szCs w:val="20"/>
              </w:rPr>
              <w:t>1 832 642,80</w:t>
            </w:r>
          </w:p>
        </w:tc>
        <w:tc>
          <w:tcPr>
            <w:tcW w:w="851" w:type="dxa"/>
            <w:tcBorders>
              <w:top w:val="nil"/>
              <w:left w:val="single" w:sz="4" w:space="0" w:color="auto"/>
              <w:bottom w:val="single" w:sz="4" w:space="0" w:color="auto"/>
              <w:right w:val="nil"/>
            </w:tcBorders>
            <w:shd w:val="clear" w:color="auto" w:fill="auto"/>
            <w:noWrap/>
            <w:vAlign w:val="center"/>
            <w:hideMark/>
          </w:tcPr>
          <w:p w14:paraId="6ABADC3E" w14:textId="77777777" w:rsidR="00387142" w:rsidRPr="008B6A75" w:rsidRDefault="00387142" w:rsidP="00387142">
            <w:pPr>
              <w:jc w:val="right"/>
              <w:rPr>
                <w:sz w:val="20"/>
                <w:szCs w:val="20"/>
              </w:rPr>
            </w:pPr>
            <w:r w:rsidRPr="008B6A75">
              <w:rPr>
                <w:sz w:val="20"/>
                <w:szCs w:val="20"/>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1DA01709" w14:textId="77777777" w:rsidR="00387142" w:rsidRPr="008B6A75" w:rsidRDefault="00387142" w:rsidP="00387142">
            <w:pPr>
              <w:jc w:val="right"/>
              <w:rPr>
                <w:sz w:val="20"/>
                <w:szCs w:val="20"/>
              </w:rPr>
            </w:pPr>
            <w:r w:rsidRPr="008B6A75">
              <w:rPr>
                <w:sz w:val="20"/>
                <w:szCs w:val="20"/>
              </w:rPr>
              <w:t>0,00</w:t>
            </w:r>
          </w:p>
        </w:tc>
      </w:tr>
      <w:tr w:rsidR="00387142" w:rsidRPr="008B6A75" w14:paraId="27E60FF0" w14:textId="77777777" w:rsidTr="00387142">
        <w:trPr>
          <w:trHeight w:val="1440"/>
        </w:trPr>
        <w:tc>
          <w:tcPr>
            <w:tcW w:w="272" w:type="dxa"/>
            <w:tcBorders>
              <w:top w:val="nil"/>
              <w:left w:val="nil"/>
              <w:bottom w:val="nil"/>
              <w:right w:val="single" w:sz="4" w:space="0" w:color="auto"/>
            </w:tcBorders>
            <w:shd w:val="clear" w:color="auto" w:fill="auto"/>
            <w:noWrap/>
            <w:vAlign w:val="bottom"/>
            <w:hideMark/>
          </w:tcPr>
          <w:p w14:paraId="2173DF2A"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75451776" w14:textId="77777777" w:rsidR="00387142" w:rsidRPr="008B6A75" w:rsidRDefault="00387142" w:rsidP="00387142">
            <w:pPr>
              <w:rPr>
                <w:bCs/>
                <w:sz w:val="20"/>
                <w:szCs w:val="20"/>
              </w:rPr>
            </w:pPr>
            <w:proofErr w:type="spellStart"/>
            <w:r w:rsidRPr="008B6A75">
              <w:rPr>
                <w:bCs/>
                <w:sz w:val="20"/>
                <w:szCs w:val="20"/>
              </w:rPr>
              <w:t>Софинансирование</w:t>
            </w:r>
            <w:proofErr w:type="spellEnd"/>
            <w:r w:rsidRPr="008B6A75">
              <w:rPr>
                <w:bCs/>
                <w:sz w:val="20"/>
                <w:szCs w:val="20"/>
              </w:rPr>
              <w:t xml:space="preserve"> местного бюджета на реализацию мероприятий по оздоровлению детей государственной программы Новосибирской области "Социальная поддержка в Новосибирской области"</w:t>
            </w:r>
          </w:p>
        </w:tc>
        <w:tc>
          <w:tcPr>
            <w:tcW w:w="1559" w:type="dxa"/>
            <w:tcBorders>
              <w:top w:val="nil"/>
              <w:left w:val="single" w:sz="4" w:space="0" w:color="auto"/>
              <w:bottom w:val="single" w:sz="4" w:space="0" w:color="auto"/>
              <w:right w:val="nil"/>
            </w:tcBorders>
            <w:shd w:val="clear" w:color="auto" w:fill="auto"/>
            <w:noWrap/>
            <w:vAlign w:val="center"/>
            <w:hideMark/>
          </w:tcPr>
          <w:p w14:paraId="76A1F576" w14:textId="77777777" w:rsidR="00387142" w:rsidRPr="008B6A75" w:rsidRDefault="00387142" w:rsidP="00387142">
            <w:pPr>
              <w:jc w:val="center"/>
              <w:rPr>
                <w:bCs/>
                <w:sz w:val="20"/>
                <w:szCs w:val="20"/>
              </w:rPr>
            </w:pPr>
            <w:r w:rsidRPr="008B6A75">
              <w:rPr>
                <w:bCs/>
                <w:sz w:val="20"/>
                <w:szCs w:val="20"/>
              </w:rPr>
              <w:t>07.4.00.S0359</w:t>
            </w:r>
          </w:p>
        </w:tc>
        <w:tc>
          <w:tcPr>
            <w:tcW w:w="850" w:type="dxa"/>
            <w:tcBorders>
              <w:top w:val="nil"/>
              <w:left w:val="single" w:sz="4" w:space="0" w:color="auto"/>
              <w:bottom w:val="single" w:sz="4" w:space="0" w:color="auto"/>
              <w:right w:val="nil"/>
            </w:tcBorders>
            <w:shd w:val="clear" w:color="auto" w:fill="auto"/>
            <w:noWrap/>
            <w:vAlign w:val="center"/>
            <w:hideMark/>
          </w:tcPr>
          <w:p w14:paraId="3E52A9C7" w14:textId="77777777" w:rsidR="00387142" w:rsidRPr="008B6A75" w:rsidRDefault="00387142" w:rsidP="00387142">
            <w:pPr>
              <w:jc w:val="center"/>
              <w:rPr>
                <w:bCs/>
                <w:sz w:val="20"/>
                <w:szCs w:val="20"/>
              </w:rPr>
            </w:pPr>
            <w:r w:rsidRPr="008B6A75">
              <w:rPr>
                <w:bCs/>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0447FF27" w14:textId="77777777" w:rsidR="00387142" w:rsidRPr="008B6A75" w:rsidRDefault="00387142" w:rsidP="00387142">
            <w:pPr>
              <w:jc w:val="center"/>
              <w:rPr>
                <w:bCs/>
                <w:sz w:val="20"/>
                <w:szCs w:val="20"/>
              </w:rPr>
            </w:pPr>
            <w:r w:rsidRPr="008B6A75">
              <w:rPr>
                <w:bCs/>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5914360F" w14:textId="77777777" w:rsidR="00387142" w:rsidRPr="008B6A75" w:rsidRDefault="00387142" w:rsidP="00387142">
            <w:pPr>
              <w:jc w:val="center"/>
              <w:rPr>
                <w:bCs/>
                <w:sz w:val="20"/>
                <w:szCs w:val="20"/>
              </w:rPr>
            </w:pPr>
            <w:r w:rsidRPr="008B6A75">
              <w:rPr>
                <w:bCs/>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76AD4CF" w14:textId="77777777" w:rsidR="00387142" w:rsidRPr="008B6A75" w:rsidRDefault="00387142" w:rsidP="00387142">
            <w:pPr>
              <w:jc w:val="right"/>
              <w:rPr>
                <w:bCs/>
                <w:sz w:val="20"/>
                <w:szCs w:val="20"/>
              </w:rPr>
            </w:pPr>
            <w:r w:rsidRPr="008B6A75">
              <w:rPr>
                <w:bCs/>
                <w:sz w:val="20"/>
                <w:szCs w:val="20"/>
              </w:rPr>
              <w:t>2 582 102,00</w:t>
            </w:r>
          </w:p>
        </w:tc>
        <w:tc>
          <w:tcPr>
            <w:tcW w:w="851" w:type="dxa"/>
            <w:tcBorders>
              <w:top w:val="nil"/>
              <w:left w:val="single" w:sz="4" w:space="0" w:color="auto"/>
              <w:bottom w:val="single" w:sz="4" w:space="0" w:color="auto"/>
              <w:right w:val="nil"/>
            </w:tcBorders>
            <w:shd w:val="clear" w:color="auto" w:fill="auto"/>
            <w:noWrap/>
            <w:vAlign w:val="center"/>
            <w:hideMark/>
          </w:tcPr>
          <w:p w14:paraId="5872F099" w14:textId="77777777" w:rsidR="00387142" w:rsidRPr="008B6A75" w:rsidRDefault="00387142" w:rsidP="00387142">
            <w:pPr>
              <w:jc w:val="right"/>
              <w:rPr>
                <w:bCs/>
                <w:sz w:val="20"/>
                <w:szCs w:val="20"/>
              </w:rPr>
            </w:pPr>
            <w:r w:rsidRPr="008B6A75">
              <w:rPr>
                <w:bCs/>
                <w:sz w:val="20"/>
                <w:szCs w:val="20"/>
              </w:rPr>
              <w:t>54 300,00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4C8510E5" w14:textId="77777777" w:rsidR="00387142" w:rsidRPr="008B6A75" w:rsidRDefault="00387142" w:rsidP="00387142">
            <w:pPr>
              <w:jc w:val="right"/>
              <w:rPr>
                <w:bCs/>
                <w:sz w:val="20"/>
                <w:szCs w:val="20"/>
              </w:rPr>
            </w:pPr>
            <w:r w:rsidRPr="008B6A75">
              <w:rPr>
                <w:bCs/>
                <w:sz w:val="20"/>
                <w:szCs w:val="20"/>
              </w:rPr>
              <w:t>54 300,00</w:t>
            </w:r>
          </w:p>
        </w:tc>
      </w:tr>
      <w:tr w:rsidR="00387142" w:rsidRPr="008B6A75" w14:paraId="04F5D9D6" w14:textId="77777777" w:rsidTr="00387142">
        <w:trPr>
          <w:trHeight w:val="585"/>
        </w:trPr>
        <w:tc>
          <w:tcPr>
            <w:tcW w:w="272" w:type="dxa"/>
            <w:tcBorders>
              <w:top w:val="nil"/>
              <w:left w:val="nil"/>
              <w:bottom w:val="nil"/>
              <w:right w:val="single" w:sz="4" w:space="0" w:color="auto"/>
            </w:tcBorders>
            <w:shd w:val="clear" w:color="auto" w:fill="auto"/>
            <w:noWrap/>
            <w:vAlign w:val="bottom"/>
            <w:hideMark/>
          </w:tcPr>
          <w:p w14:paraId="3FFE2F7F"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1570F5A7" w14:textId="77777777" w:rsidR="00387142" w:rsidRPr="008B6A75" w:rsidRDefault="00387142" w:rsidP="00387142">
            <w:pPr>
              <w:rPr>
                <w:sz w:val="20"/>
                <w:szCs w:val="20"/>
              </w:rPr>
            </w:pPr>
            <w:r w:rsidRPr="008B6A75">
              <w:rPr>
                <w:sz w:val="20"/>
                <w:szCs w:val="20"/>
              </w:rPr>
              <w:t>Закупка товаров, работ и услуг для обеспечения государственных (муниципальных) нужд</w:t>
            </w:r>
          </w:p>
        </w:tc>
        <w:tc>
          <w:tcPr>
            <w:tcW w:w="1559" w:type="dxa"/>
            <w:tcBorders>
              <w:top w:val="nil"/>
              <w:left w:val="single" w:sz="4" w:space="0" w:color="auto"/>
              <w:bottom w:val="single" w:sz="4" w:space="0" w:color="auto"/>
              <w:right w:val="nil"/>
            </w:tcBorders>
            <w:shd w:val="clear" w:color="auto" w:fill="auto"/>
            <w:noWrap/>
            <w:vAlign w:val="center"/>
            <w:hideMark/>
          </w:tcPr>
          <w:p w14:paraId="298CCB54" w14:textId="77777777" w:rsidR="00387142" w:rsidRPr="008B6A75" w:rsidRDefault="00387142" w:rsidP="00387142">
            <w:pPr>
              <w:jc w:val="center"/>
              <w:rPr>
                <w:sz w:val="20"/>
                <w:szCs w:val="20"/>
              </w:rPr>
            </w:pPr>
            <w:r w:rsidRPr="008B6A75">
              <w:rPr>
                <w:sz w:val="20"/>
                <w:szCs w:val="20"/>
              </w:rPr>
              <w:t>07.4.00.S0359</w:t>
            </w:r>
          </w:p>
        </w:tc>
        <w:tc>
          <w:tcPr>
            <w:tcW w:w="850" w:type="dxa"/>
            <w:tcBorders>
              <w:top w:val="nil"/>
              <w:left w:val="single" w:sz="4" w:space="0" w:color="auto"/>
              <w:bottom w:val="single" w:sz="4" w:space="0" w:color="auto"/>
              <w:right w:val="nil"/>
            </w:tcBorders>
            <w:shd w:val="clear" w:color="auto" w:fill="auto"/>
            <w:noWrap/>
            <w:vAlign w:val="center"/>
            <w:hideMark/>
          </w:tcPr>
          <w:p w14:paraId="1961302E" w14:textId="77777777" w:rsidR="00387142" w:rsidRPr="008B6A75" w:rsidRDefault="00387142" w:rsidP="00387142">
            <w:pPr>
              <w:jc w:val="center"/>
              <w:rPr>
                <w:sz w:val="20"/>
                <w:szCs w:val="20"/>
              </w:rPr>
            </w:pPr>
            <w:r w:rsidRPr="008B6A75">
              <w:rPr>
                <w:sz w:val="20"/>
                <w:szCs w:val="20"/>
              </w:rPr>
              <w:t>200</w:t>
            </w:r>
          </w:p>
        </w:tc>
        <w:tc>
          <w:tcPr>
            <w:tcW w:w="567" w:type="dxa"/>
            <w:tcBorders>
              <w:top w:val="nil"/>
              <w:left w:val="single" w:sz="4" w:space="0" w:color="auto"/>
              <w:bottom w:val="single" w:sz="4" w:space="0" w:color="auto"/>
              <w:right w:val="nil"/>
            </w:tcBorders>
            <w:shd w:val="clear" w:color="auto" w:fill="auto"/>
            <w:noWrap/>
            <w:vAlign w:val="center"/>
            <w:hideMark/>
          </w:tcPr>
          <w:p w14:paraId="4082264F" w14:textId="77777777" w:rsidR="00387142" w:rsidRPr="008B6A75" w:rsidRDefault="00387142" w:rsidP="00387142">
            <w:pPr>
              <w:jc w:val="center"/>
              <w:rPr>
                <w:sz w:val="20"/>
                <w:szCs w:val="20"/>
              </w:rPr>
            </w:pPr>
            <w:r w:rsidRPr="008B6A75">
              <w:rPr>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5C04771E" w14:textId="77777777" w:rsidR="00387142" w:rsidRPr="008B6A75" w:rsidRDefault="00387142" w:rsidP="00387142">
            <w:pPr>
              <w:jc w:val="center"/>
              <w:rPr>
                <w:sz w:val="20"/>
                <w:szCs w:val="20"/>
              </w:rPr>
            </w:pPr>
            <w:r w:rsidRPr="008B6A75">
              <w:rPr>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25AB29C" w14:textId="77777777" w:rsidR="00387142" w:rsidRPr="008B6A75" w:rsidRDefault="00387142" w:rsidP="00387142">
            <w:pPr>
              <w:jc w:val="right"/>
              <w:rPr>
                <w:sz w:val="20"/>
                <w:szCs w:val="20"/>
              </w:rPr>
            </w:pPr>
            <w:r w:rsidRPr="008B6A75">
              <w:rPr>
                <w:sz w:val="20"/>
                <w:szCs w:val="20"/>
              </w:rPr>
              <w:t>580 500,00</w:t>
            </w:r>
          </w:p>
        </w:tc>
        <w:tc>
          <w:tcPr>
            <w:tcW w:w="851" w:type="dxa"/>
            <w:tcBorders>
              <w:top w:val="nil"/>
              <w:left w:val="single" w:sz="4" w:space="0" w:color="auto"/>
              <w:bottom w:val="single" w:sz="4" w:space="0" w:color="auto"/>
              <w:right w:val="nil"/>
            </w:tcBorders>
            <w:shd w:val="clear" w:color="auto" w:fill="auto"/>
            <w:noWrap/>
            <w:vAlign w:val="center"/>
            <w:hideMark/>
          </w:tcPr>
          <w:p w14:paraId="5C82D60C" w14:textId="77777777" w:rsidR="00387142" w:rsidRPr="008B6A75" w:rsidRDefault="00387142" w:rsidP="00387142">
            <w:pPr>
              <w:jc w:val="right"/>
              <w:rPr>
                <w:sz w:val="20"/>
                <w:szCs w:val="20"/>
              </w:rPr>
            </w:pPr>
            <w:r w:rsidRPr="008B6A75">
              <w:rPr>
                <w:sz w:val="20"/>
                <w:szCs w:val="20"/>
              </w:rPr>
              <w:t>54 300,00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225A8039" w14:textId="77777777" w:rsidR="00387142" w:rsidRPr="008B6A75" w:rsidRDefault="00387142" w:rsidP="00387142">
            <w:pPr>
              <w:jc w:val="right"/>
              <w:rPr>
                <w:sz w:val="20"/>
                <w:szCs w:val="20"/>
              </w:rPr>
            </w:pPr>
            <w:r w:rsidRPr="008B6A75">
              <w:rPr>
                <w:sz w:val="20"/>
                <w:szCs w:val="20"/>
              </w:rPr>
              <w:t>54 300,00</w:t>
            </w:r>
          </w:p>
        </w:tc>
      </w:tr>
      <w:tr w:rsidR="00387142" w:rsidRPr="008B6A75" w14:paraId="1B8A8E80" w14:textId="77777777" w:rsidTr="00387142">
        <w:trPr>
          <w:trHeight w:val="870"/>
        </w:trPr>
        <w:tc>
          <w:tcPr>
            <w:tcW w:w="272" w:type="dxa"/>
            <w:tcBorders>
              <w:top w:val="nil"/>
              <w:left w:val="nil"/>
              <w:bottom w:val="nil"/>
              <w:right w:val="single" w:sz="4" w:space="0" w:color="auto"/>
            </w:tcBorders>
            <w:shd w:val="clear" w:color="auto" w:fill="auto"/>
            <w:noWrap/>
            <w:vAlign w:val="bottom"/>
            <w:hideMark/>
          </w:tcPr>
          <w:p w14:paraId="66B29306"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6BBF346E" w14:textId="77777777" w:rsidR="00387142" w:rsidRPr="008B6A75" w:rsidRDefault="00387142" w:rsidP="00387142">
            <w:pPr>
              <w:rPr>
                <w:sz w:val="20"/>
                <w:szCs w:val="20"/>
              </w:rPr>
            </w:pPr>
            <w:r w:rsidRPr="008B6A75">
              <w:rPr>
                <w:sz w:val="20"/>
                <w:szCs w:val="20"/>
              </w:rPr>
              <w:t>Иные закупки товаров, работ и услуг для обеспечения государственных (муниципальных) нужд</w:t>
            </w:r>
          </w:p>
        </w:tc>
        <w:tc>
          <w:tcPr>
            <w:tcW w:w="1559" w:type="dxa"/>
            <w:tcBorders>
              <w:top w:val="nil"/>
              <w:left w:val="single" w:sz="4" w:space="0" w:color="auto"/>
              <w:bottom w:val="single" w:sz="4" w:space="0" w:color="auto"/>
              <w:right w:val="nil"/>
            </w:tcBorders>
            <w:shd w:val="clear" w:color="auto" w:fill="auto"/>
            <w:noWrap/>
            <w:vAlign w:val="center"/>
            <w:hideMark/>
          </w:tcPr>
          <w:p w14:paraId="214B4557" w14:textId="77777777" w:rsidR="00387142" w:rsidRPr="008B6A75" w:rsidRDefault="00387142" w:rsidP="00387142">
            <w:pPr>
              <w:jc w:val="center"/>
              <w:rPr>
                <w:sz w:val="20"/>
                <w:szCs w:val="20"/>
              </w:rPr>
            </w:pPr>
            <w:r w:rsidRPr="008B6A75">
              <w:rPr>
                <w:sz w:val="20"/>
                <w:szCs w:val="20"/>
              </w:rPr>
              <w:t>07.4.00.S0359</w:t>
            </w:r>
          </w:p>
        </w:tc>
        <w:tc>
          <w:tcPr>
            <w:tcW w:w="850" w:type="dxa"/>
            <w:tcBorders>
              <w:top w:val="nil"/>
              <w:left w:val="single" w:sz="4" w:space="0" w:color="auto"/>
              <w:bottom w:val="single" w:sz="4" w:space="0" w:color="auto"/>
              <w:right w:val="nil"/>
            </w:tcBorders>
            <w:shd w:val="clear" w:color="auto" w:fill="auto"/>
            <w:noWrap/>
            <w:vAlign w:val="center"/>
            <w:hideMark/>
          </w:tcPr>
          <w:p w14:paraId="5FAFEB4D" w14:textId="77777777" w:rsidR="00387142" w:rsidRPr="008B6A75" w:rsidRDefault="00387142" w:rsidP="00387142">
            <w:pPr>
              <w:jc w:val="center"/>
              <w:rPr>
                <w:sz w:val="20"/>
                <w:szCs w:val="20"/>
              </w:rPr>
            </w:pPr>
            <w:r w:rsidRPr="008B6A75">
              <w:rPr>
                <w:sz w:val="20"/>
                <w:szCs w:val="20"/>
              </w:rPr>
              <w:t>240</w:t>
            </w:r>
          </w:p>
        </w:tc>
        <w:tc>
          <w:tcPr>
            <w:tcW w:w="567" w:type="dxa"/>
            <w:tcBorders>
              <w:top w:val="nil"/>
              <w:left w:val="single" w:sz="4" w:space="0" w:color="auto"/>
              <w:bottom w:val="single" w:sz="4" w:space="0" w:color="auto"/>
              <w:right w:val="nil"/>
            </w:tcBorders>
            <w:shd w:val="clear" w:color="auto" w:fill="auto"/>
            <w:noWrap/>
            <w:vAlign w:val="center"/>
            <w:hideMark/>
          </w:tcPr>
          <w:p w14:paraId="7AE2DADC" w14:textId="77777777" w:rsidR="00387142" w:rsidRPr="008B6A75" w:rsidRDefault="00387142" w:rsidP="00387142">
            <w:pPr>
              <w:jc w:val="center"/>
              <w:rPr>
                <w:sz w:val="20"/>
                <w:szCs w:val="20"/>
              </w:rPr>
            </w:pPr>
            <w:r w:rsidRPr="008B6A75">
              <w:rPr>
                <w:sz w:val="20"/>
                <w:szCs w:val="20"/>
              </w:rPr>
              <w:t>07</w:t>
            </w:r>
          </w:p>
        </w:tc>
        <w:tc>
          <w:tcPr>
            <w:tcW w:w="567" w:type="dxa"/>
            <w:tcBorders>
              <w:top w:val="nil"/>
              <w:left w:val="single" w:sz="4" w:space="0" w:color="auto"/>
              <w:bottom w:val="single" w:sz="4" w:space="0" w:color="auto"/>
              <w:right w:val="nil"/>
            </w:tcBorders>
            <w:shd w:val="clear" w:color="auto" w:fill="auto"/>
            <w:noWrap/>
            <w:vAlign w:val="center"/>
            <w:hideMark/>
          </w:tcPr>
          <w:p w14:paraId="6BF32DB8" w14:textId="77777777" w:rsidR="00387142" w:rsidRPr="008B6A75" w:rsidRDefault="00387142" w:rsidP="00387142">
            <w:pPr>
              <w:jc w:val="center"/>
              <w:rPr>
                <w:sz w:val="20"/>
                <w:szCs w:val="20"/>
              </w:rPr>
            </w:pPr>
            <w:r w:rsidRPr="008B6A75">
              <w:rPr>
                <w:sz w:val="20"/>
                <w:szCs w:val="20"/>
              </w:rPr>
              <w:t>07</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B2DD929" w14:textId="77777777" w:rsidR="00387142" w:rsidRPr="008B6A75" w:rsidRDefault="00387142" w:rsidP="00387142">
            <w:pPr>
              <w:jc w:val="right"/>
              <w:rPr>
                <w:sz w:val="20"/>
                <w:szCs w:val="20"/>
              </w:rPr>
            </w:pPr>
            <w:r w:rsidRPr="008B6A75">
              <w:rPr>
                <w:sz w:val="20"/>
                <w:szCs w:val="20"/>
              </w:rPr>
              <w:t>580 500,00</w:t>
            </w:r>
          </w:p>
        </w:tc>
        <w:tc>
          <w:tcPr>
            <w:tcW w:w="851" w:type="dxa"/>
            <w:tcBorders>
              <w:top w:val="nil"/>
              <w:left w:val="single" w:sz="4" w:space="0" w:color="auto"/>
              <w:bottom w:val="single" w:sz="4" w:space="0" w:color="auto"/>
              <w:right w:val="nil"/>
            </w:tcBorders>
            <w:shd w:val="clear" w:color="auto" w:fill="auto"/>
            <w:noWrap/>
            <w:vAlign w:val="center"/>
            <w:hideMark/>
          </w:tcPr>
          <w:p w14:paraId="58F0FAB2" w14:textId="77777777" w:rsidR="00387142" w:rsidRPr="008B6A75" w:rsidRDefault="00387142" w:rsidP="00387142">
            <w:pPr>
              <w:jc w:val="right"/>
              <w:rPr>
                <w:sz w:val="20"/>
                <w:szCs w:val="20"/>
              </w:rPr>
            </w:pPr>
            <w:r w:rsidRPr="008B6A75">
              <w:rPr>
                <w:sz w:val="20"/>
                <w:szCs w:val="20"/>
              </w:rPr>
              <w:t>54 300,00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2FCE61CC" w14:textId="77777777" w:rsidR="00387142" w:rsidRPr="008B6A75" w:rsidRDefault="00387142" w:rsidP="00387142">
            <w:pPr>
              <w:jc w:val="right"/>
              <w:rPr>
                <w:sz w:val="20"/>
                <w:szCs w:val="20"/>
              </w:rPr>
            </w:pPr>
            <w:r w:rsidRPr="008B6A75">
              <w:rPr>
                <w:sz w:val="20"/>
                <w:szCs w:val="20"/>
              </w:rPr>
              <w:t>54 300,00</w:t>
            </w:r>
          </w:p>
        </w:tc>
      </w:tr>
      <w:tr w:rsidR="00387142" w:rsidRPr="008B6A75" w14:paraId="3E5B8456" w14:textId="77777777" w:rsidTr="00387142">
        <w:trPr>
          <w:trHeight w:val="585"/>
        </w:trPr>
        <w:tc>
          <w:tcPr>
            <w:tcW w:w="272" w:type="dxa"/>
            <w:tcBorders>
              <w:top w:val="nil"/>
              <w:left w:val="nil"/>
              <w:bottom w:val="nil"/>
              <w:right w:val="single" w:sz="4" w:space="0" w:color="auto"/>
            </w:tcBorders>
            <w:shd w:val="clear" w:color="auto" w:fill="auto"/>
            <w:noWrap/>
            <w:vAlign w:val="bottom"/>
            <w:hideMark/>
          </w:tcPr>
          <w:p w14:paraId="2D89919A"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11A39744" w14:textId="77777777" w:rsidR="00387142" w:rsidRPr="008B6A75" w:rsidRDefault="00387142" w:rsidP="00387142">
            <w:pPr>
              <w:rPr>
                <w:sz w:val="20"/>
                <w:szCs w:val="20"/>
              </w:rPr>
            </w:pPr>
            <w:r w:rsidRPr="008B6A75">
              <w:rPr>
                <w:sz w:val="20"/>
                <w:szCs w:val="20"/>
              </w:rPr>
              <w:t>Социальное обеспечение и иные выплаты населению</w:t>
            </w:r>
          </w:p>
        </w:tc>
        <w:tc>
          <w:tcPr>
            <w:tcW w:w="1559" w:type="dxa"/>
            <w:tcBorders>
              <w:top w:val="nil"/>
              <w:left w:val="single" w:sz="4" w:space="0" w:color="auto"/>
              <w:bottom w:val="single" w:sz="4" w:space="0" w:color="auto"/>
              <w:right w:val="nil"/>
            </w:tcBorders>
            <w:shd w:val="clear" w:color="auto" w:fill="auto"/>
            <w:noWrap/>
            <w:vAlign w:val="center"/>
            <w:hideMark/>
          </w:tcPr>
          <w:p w14:paraId="4BEEC8C5" w14:textId="77777777" w:rsidR="00387142" w:rsidRPr="008B6A75" w:rsidRDefault="00387142" w:rsidP="00387142">
            <w:pPr>
              <w:jc w:val="center"/>
              <w:rPr>
                <w:sz w:val="20"/>
                <w:szCs w:val="20"/>
              </w:rPr>
            </w:pPr>
            <w:r w:rsidRPr="008B6A75">
              <w:rPr>
                <w:sz w:val="20"/>
                <w:szCs w:val="20"/>
              </w:rPr>
              <w:t>07.4.00.S0359</w:t>
            </w:r>
          </w:p>
        </w:tc>
        <w:tc>
          <w:tcPr>
            <w:tcW w:w="850" w:type="dxa"/>
            <w:tcBorders>
              <w:top w:val="nil"/>
              <w:left w:val="single" w:sz="4" w:space="0" w:color="auto"/>
              <w:bottom w:val="single" w:sz="4" w:space="0" w:color="auto"/>
              <w:right w:val="nil"/>
            </w:tcBorders>
            <w:shd w:val="clear" w:color="auto" w:fill="auto"/>
            <w:noWrap/>
            <w:vAlign w:val="center"/>
            <w:hideMark/>
          </w:tcPr>
          <w:p w14:paraId="229908D5" w14:textId="77777777" w:rsidR="00387142" w:rsidRPr="008B6A75" w:rsidRDefault="00387142" w:rsidP="00387142">
            <w:pPr>
              <w:jc w:val="center"/>
              <w:rPr>
                <w:sz w:val="20"/>
                <w:szCs w:val="20"/>
              </w:rPr>
            </w:pPr>
            <w:r w:rsidRPr="008B6A75">
              <w:rPr>
                <w:sz w:val="20"/>
                <w:szCs w:val="20"/>
              </w:rPr>
              <w:t>300</w:t>
            </w:r>
          </w:p>
        </w:tc>
        <w:tc>
          <w:tcPr>
            <w:tcW w:w="567" w:type="dxa"/>
            <w:tcBorders>
              <w:top w:val="nil"/>
              <w:left w:val="single" w:sz="4" w:space="0" w:color="auto"/>
              <w:bottom w:val="single" w:sz="4" w:space="0" w:color="auto"/>
              <w:right w:val="nil"/>
            </w:tcBorders>
            <w:shd w:val="clear" w:color="auto" w:fill="auto"/>
            <w:noWrap/>
            <w:vAlign w:val="center"/>
            <w:hideMark/>
          </w:tcPr>
          <w:p w14:paraId="63F48FFE" w14:textId="77777777" w:rsidR="00387142" w:rsidRPr="008B6A75" w:rsidRDefault="00387142" w:rsidP="00387142">
            <w:pPr>
              <w:jc w:val="center"/>
              <w:rPr>
                <w:sz w:val="20"/>
                <w:szCs w:val="20"/>
              </w:rPr>
            </w:pPr>
            <w:r w:rsidRPr="008B6A75">
              <w:rPr>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38450174" w14:textId="77777777" w:rsidR="00387142" w:rsidRPr="008B6A75" w:rsidRDefault="00387142" w:rsidP="00387142">
            <w:pPr>
              <w:jc w:val="center"/>
              <w:rPr>
                <w:sz w:val="20"/>
                <w:szCs w:val="20"/>
              </w:rPr>
            </w:pPr>
            <w:r w:rsidRPr="008B6A75">
              <w:rPr>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A55947C" w14:textId="77777777" w:rsidR="00387142" w:rsidRPr="008B6A75" w:rsidRDefault="00387142" w:rsidP="00387142">
            <w:pPr>
              <w:jc w:val="right"/>
              <w:rPr>
                <w:sz w:val="20"/>
                <w:szCs w:val="20"/>
              </w:rPr>
            </w:pPr>
            <w:r w:rsidRPr="008B6A75">
              <w:rPr>
                <w:sz w:val="20"/>
                <w:szCs w:val="20"/>
              </w:rPr>
              <w:t>281 250,00</w:t>
            </w:r>
          </w:p>
        </w:tc>
        <w:tc>
          <w:tcPr>
            <w:tcW w:w="851" w:type="dxa"/>
            <w:tcBorders>
              <w:top w:val="nil"/>
              <w:left w:val="single" w:sz="4" w:space="0" w:color="auto"/>
              <w:bottom w:val="single" w:sz="4" w:space="0" w:color="auto"/>
              <w:right w:val="nil"/>
            </w:tcBorders>
            <w:shd w:val="clear" w:color="auto" w:fill="auto"/>
            <w:noWrap/>
            <w:vAlign w:val="center"/>
            <w:hideMark/>
          </w:tcPr>
          <w:p w14:paraId="502E2E9D" w14:textId="77777777" w:rsidR="00387142" w:rsidRPr="008B6A75" w:rsidRDefault="00387142" w:rsidP="00387142">
            <w:pPr>
              <w:jc w:val="right"/>
              <w:rPr>
                <w:sz w:val="20"/>
                <w:szCs w:val="20"/>
              </w:rPr>
            </w:pPr>
            <w:r w:rsidRPr="008B6A75">
              <w:rPr>
                <w:sz w:val="20"/>
                <w:szCs w:val="20"/>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16BF2783" w14:textId="77777777" w:rsidR="00387142" w:rsidRPr="008B6A75" w:rsidRDefault="00387142" w:rsidP="00387142">
            <w:pPr>
              <w:jc w:val="right"/>
              <w:rPr>
                <w:sz w:val="20"/>
                <w:szCs w:val="20"/>
              </w:rPr>
            </w:pPr>
            <w:r w:rsidRPr="008B6A75">
              <w:rPr>
                <w:sz w:val="20"/>
                <w:szCs w:val="20"/>
              </w:rPr>
              <w:t>0,00</w:t>
            </w:r>
          </w:p>
        </w:tc>
      </w:tr>
      <w:tr w:rsidR="00387142" w:rsidRPr="008B6A75" w14:paraId="3CE29D87" w14:textId="77777777" w:rsidTr="00387142">
        <w:trPr>
          <w:trHeight w:val="585"/>
        </w:trPr>
        <w:tc>
          <w:tcPr>
            <w:tcW w:w="272" w:type="dxa"/>
            <w:tcBorders>
              <w:top w:val="nil"/>
              <w:left w:val="nil"/>
              <w:bottom w:val="nil"/>
              <w:right w:val="single" w:sz="4" w:space="0" w:color="auto"/>
            </w:tcBorders>
            <w:shd w:val="clear" w:color="auto" w:fill="auto"/>
            <w:noWrap/>
            <w:vAlign w:val="bottom"/>
            <w:hideMark/>
          </w:tcPr>
          <w:p w14:paraId="57F0B67A"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48953AFD" w14:textId="77777777" w:rsidR="00387142" w:rsidRPr="008B6A75" w:rsidRDefault="00387142" w:rsidP="00387142">
            <w:pPr>
              <w:rPr>
                <w:sz w:val="20"/>
                <w:szCs w:val="20"/>
              </w:rPr>
            </w:pPr>
            <w:r w:rsidRPr="008B6A75">
              <w:rPr>
                <w:sz w:val="20"/>
                <w:szCs w:val="20"/>
              </w:rPr>
              <w:t>Социальные выплаты гражданам, кроме публичных нормативных социальных выплат</w:t>
            </w:r>
          </w:p>
        </w:tc>
        <w:tc>
          <w:tcPr>
            <w:tcW w:w="1559" w:type="dxa"/>
            <w:tcBorders>
              <w:top w:val="nil"/>
              <w:left w:val="single" w:sz="4" w:space="0" w:color="auto"/>
              <w:bottom w:val="single" w:sz="4" w:space="0" w:color="auto"/>
              <w:right w:val="nil"/>
            </w:tcBorders>
            <w:shd w:val="clear" w:color="auto" w:fill="auto"/>
            <w:noWrap/>
            <w:vAlign w:val="center"/>
            <w:hideMark/>
          </w:tcPr>
          <w:p w14:paraId="2004DF7E" w14:textId="77777777" w:rsidR="00387142" w:rsidRPr="008B6A75" w:rsidRDefault="00387142" w:rsidP="00387142">
            <w:pPr>
              <w:jc w:val="center"/>
              <w:rPr>
                <w:sz w:val="20"/>
                <w:szCs w:val="20"/>
              </w:rPr>
            </w:pPr>
            <w:r w:rsidRPr="008B6A75">
              <w:rPr>
                <w:sz w:val="20"/>
                <w:szCs w:val="20"/>
              </w:rPr>
              <w:t>07.4.00.S0359</w:t>
            </w:r>
          </w:p>
        </w:tc>
        <w:tc>
          <w:tcPr>
            <w:tcW w:w="850" w:type="dxa"/>
            <w:tcBorders>
              <w:top w:val="nil"/>
              <w:left w:val="single" w:sz="4" w:space="0" w:color="auto"/>
              <w:bottom w:val="single" w:sz="4" w:space="0" w:color="auto"/>
              <w:right w:val="nil"/>
            </w:tcBorders>
            <w:shd w:val="clear" w:color="auto" w:fill="auto"/>
            <w:noWrap/>
            <w:vAlign w:val="center"/>
            <w:hideMark/>
          </w:tcPr>
          <w:p w14:paraId="75FEA79B" w14:textId="77777777" w:rsidR="00387142" w:rsidRPr="008B6A75" w:rsidRDefault="00387142" w:rsidP="00387142">
            <w:pPr>
              <w:jc w:val="center"/>
              <w:rPr>
                <w:sz w:val="20"/>
                <w:szCs w:val="20"/>
              </w:rPr>
            </w:pPr>
            <w:r w:rsidRPr="008B6A75">
              <w:rPr>
                <w:sz w:val="20"/>
                <w:szCs w:val="20"/>
              </w:rPr>
              <w:t>320</w:t>
            </w:r>
          </w:p>
        </w:tc>
        <w:tc>
          <w:tcPr>
            <w:tcW w:w="567" w:type="dxa"/>
            <w:tcBorders>
              <w:top w:val="nil"/>
              <w:left w:val="single" w:sz="4" w:space="0" w:color="auto"/>
              <w:bottom w:val="single" w:sz="4" w:space="0" w:color="auto"/>
              <w:right w:val="nil"/>
            </w:tcBorders>
            <w:shd w:val="clear" w:color="auto" w:fill="auto"/>
            <w:noWrap/>
            <w:vAlign w:val="center"/>
            <w:hideMark/>
          </w:tcPr>
          <w:p w14:paraId="4570E669" w14:textId="77777777" w:rsidR="00387142" w:rsidRPr="008B6A75" w:rsidRDefault="00387142" w:rsidP="00387142">
            <w:pPr>
              <w:jc w:val="center"/>
              <w:rPr>
                <w:sz w:val="20"/>
                <w:szCs w:val="20"/>
              </w:rPr>
            </w:pPr>
            <w:r w:rsidRPr="008B6A75">
              <w:rPr>
                <w:sz w:val="20"/>
                <w:szCs w:val="20"/>
              </w:rPr>
              <w:t>07</w:t>
            </w:r>
          </w:p>
        </w:tc>
        <w:tc>
          <w:tcPr>
            <w:tcW w:w="567" w:type="dxa"/>
            <w:tcBorders>
              <w:top w:val="nil"/>
              <w:left w:val="single" w:sz="4" w:space="0" w:color="auto"/>
              <w:bottom w:val="single" w:sz="4" w:space="0" w:color="auto"/>
              <w:right w:val="nil"/>
            </w:tcBorders>
            <w:shd w:val="clear" w:color="auto" w:fill="auto"/>
            <w:noWrap/>
            <w:vAlign w:val="center"/>
            <w:hideMark/>
          </w:tcPr>
          <w:p w14:paraId="174422CA" w14:textId="77777777" w:rsidR="00387142" w:rsidRPr="008B6A75" w:rsidRDefault="00387142" w:rsidP="00387142">
            <w:pPr>
              <w:jc w:val="center"/>
              <w:rPr>
                <w:sz w:val="20"/>
                <w:szCs w:val="20"/>
              </w:rPr>
            </w:pPr>
            <w:r w:rsidRPr="008B6A75">
              <w:rPr>
                <w:sz w:val="20"/>
                <w:szCs w:val="20"/>
              </w:rPr>
              <w:t>07</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BF74E4A" w14:textId="77777777" w:rsidR="00387142" w:rsidRPr="008B6A75" w:rsidRDefault="00387142" w:rsidP="00387142">
            <w:pPr>
              <w:jc w:val="right"/>
              <w:rPr>
                <w:sz w:val="20"/>
                <w:szCs w:val="20"/>
              </w:rPr>
            </w:pPr>
            <w:r w:rsidRPr="008B6A75">
              <w:rPr>
                <w:sz w:val="20"/>
                <w:szCs w:val="20"/>
              </w:rPr>
              <w:t>281 250,00</w:t>
            </w:r>
          </w:p>
        </w:tc>
        <w:tc>
          <w:tcPr>
            <w:tcW w:w="851" w:type="dxa"/>
            <w:tcBorders>
              <w:top w:val="nil"/>
              <w:left w:val="single" w:sz="4" w:space="0" w:color="auto"/>
              <w:bottom w:val="single" w:sz="4" w:space="0" w:color="auto"/>
              <w:right w:val="nil"/>
            </w:tcBorders>
            <w:shd w:val="clear" w:color="auto" w:fill="auto"/>
            <w:noWrap/>
            <w:vAlign w:val="center"/>
            <w:hideMark/>
          </w:tcPr>
          <w:p w14:paraId="49833B7B" w14:textId="77777777" w:rsidR="00387142" w:rsidRPr="008B6A75" w:rsidRDefault="00387142" w:rsidP="00387142">
            <w:pPr>
              <w:jc w:val="right"/>
              <w:rPr>
                <w:sz w:val="20"/>
                <w:szCs w:val="20"/>
              </w:rPr>
            </w:pPr>
            <w:r w:rsidRPr="008B6A75">
              <w:rPr>
                <w:sz w:val="20"/>
                <w:szCs w:val="20"/>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4A8DCC47" w14:textId="77777777" w:rsidR="00387142" w:rsidRPr="008B6A75" w:rsidRDefault="00387142" w:rsidP="00387142">
            <w:pPr>
              <w:jc w:val="right"/>
              <w:rPr>
                <w:sz w:val="20"/>
                <w:szCs w:val="20"/>
              </w:rPr>
            </w:pPr>
            <w:r w:rsidRPr="008B6A75">
              <w:rPr>
                <w:sz w:val="20"/>
                <w:szCs w:val="20"/>
              </w:rPr>
              <w:t>0,00</w:t>
            </w:r>
          </w:p>
        </w:tc>
      </w:tr>
      <w:tr w:rsidR="00387142" w:rsidRPr="008B6A75" w14:paraId="326D6B82" w14:textId="77777777" w:rsidTr="00387142">
        <w:trPr>
          <w:trHeight w:val="870"/>
        </w:trPr>
        <w:tc>
          <w:tcPr>
            <w:tcW w:w="272" w:type="dxa"/>
            <w:tcBorders>
              <w:top w:val="nil"/>
              <w:left w:val="nil"/>
              <w:bottom w:val="nil"/>
              <w:right w:val="single" w:sz="4" w:space="0" w:color="auto"/>
            </w:tcBorders>
            <w:shd w:val="clear" w:color="auto" w:fill="auto"/>
            <w:noWrap/>
            <w:vAlign w:val="bottom"/>
            <w:hideMark/>
          </w:tcPr>
          <w:p w14:paraId="5CC226CC"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1F574963" w14:textId="77777777" w:rsidR="00387142" w:rsidRPr="008B6A75" w:rsidRDefault="00387142" w:rsidP="00387142">
            <w:pPr>
              <w:rPr>
                <w:sz w:val="20"/>
                <w:szCs w:val="20"/>
              </w:rPr>
            </w:pPr>
            <w:r w:rsidRPr="008B6A75">
              <w:rPr>
                <w:sz w:val="20"/>
                <w:szCs w:val="20"/>
              </w:rPr>
              <w:t>Предоставление субсидий бюджетным, автономным учреждениям и иным некоммерческим организациям</w:t>
            </w:r>
          </w:p>
        </w:tc>
        <w:tc>
          <w:tcPr>
            <w:tcW w:w="1559" w:type="dxa"/>
            <w:tcBorders>
              <w:top w:val="nil"/>
              <w:left w:val="single" w:sz="4" w:space="0" w:color="auto"/>
              <w:bottom w:val="single" w:sz="4" w:space="0" w:color="auto"/>
              <w:right w:val="nil"/>
            </w:tcBorders>
            <w:shd w:val="clear" w:color="auto" w:fill="auto"/>
            <w:noWrap/>
            <w:vAlign w:val="center"/>
            <w:hideMark/>
          </w:tcPr>
          <w:p w14:paraId="72A7164E" w14:textId="77777777" w:rsidR="00387142" w:rsidRPr="008B6A75" w:rsidRDefault="00387142" w:rsidP="00387142">
            <w:pPr>
              <w:jc w:val="center"/>
              <w:rPr>
                <w:sz w:val="20"/>
                <w:szCs w:val="20"/>
              </w:rPr>
            </w:pPr>
            <w:r w:rsidRPr="008B6A75">
              <w:rPr>
                <w:sz w:val="20"/>
                <w:szCs w:val="20"/>
              </w:rPr>
              <w:t>07.4.00.S0359</w:t>
            </w:r>
          </w:p>
        </w:tc>
        <w:tc>
          <w:tcPr>
            <w:tcW w:w="850" w:type="dxa"/>
            <w:tcBorders>
              <w:top w:val="nil"/>
              <w:left w:val="single" w:sz="4" w:space="0" w:color="auto"/>
              <w:bottom w:val="single" w:sz="4" w:space="0" w:color="auto"/>
              <w:right w:val="nil"/>
            </w:tcBorders>
            <w:shd w:val="clear" w:color="auto" w:fill="auto"/>
            <w:noWrap/>
            <w:vAlign w:val="center"/>
            <w:hideMark/>
          </w:tcPr>
          <w:p w14:paraId="0F0FA926" w14:textId="77777777" w:rsidR="00387142" w:rsidRPr="008B6A75" w:rsidRDefault="00387142" w:rsidP="00387142">
            <w:pPr>
              <w:jc w:val="center"/>
              <w:rPr>
                <w:sz w:val="20"/>
                <w:szCs w:val="20"/>
              </w:rPr>
            </w:pPr>
            <w:r w:rsidRPr="008B6A75">
              <w:rPr>
                <w:sz w:val="20"/>
                <w:szCs w:val="20"/>
              </w:rPr>
              <w:t>600</w:t>
            </w:r>
          </w:p>
        </w:tc>
        <w:tc>
          <w:tcPr>
            <w:tcW w:w="567" w:type="dxa"/>
            <w:tcBorders>
              <w:top w:val="nil"/>
              <w:left w:val="single" w:sz="4" w:space="0" w:color="auto"/>
              <w:bottom w:val="single" w:sz="4" w:space="0" w:color="auto"/>
              <w:right w:val="nil"/>
            </w:tcBorders>
            <w:shd w:val="clear" w:color="auto" w:fill="auto"/>
            <w:noWrap/>
            <w:vAlign w:val="center"/>
            <w:hideMark/>
          </w:tcPr>
          <w:p w14:paraId="66D8BF30" w14:textId="77777777" w:rsidR="00387142" w:rsidRPr="008B6A75" w:rsidRDefault="00387142" w:rsidP="00387142">
            <w:pPr>
              <w:jc w:val="center"/>
              <w:rPr>
                <w:sz w:val="20"/>
                <w:szCs w:val="20"/>
              </w:rPr>
            </w:pPr>
            <w:r w:rsidRPr="008B6A75">
              <w:rPr>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242B90F8" w14:textId="77777777" w:rsidR="00387142" w:rsidRPr="008B6A75" w:rsidRDefault="00387142" w:rsidP="00387142">
            <w:pPr>
              <w:jc w:val="center"/>
              <w:rPr>
                <w:sz w:val="20"/>
                <w:szCs w:val="20"/>
              </w:rPr>
            </w:pPr>
            <w:r w:rsidRPr="008B6A75">
              <w:rPr>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6654F96" w14:textId="77777777" w:rsidR="00387142" w:rsidRPr="008B6A75" w:rsidRDefault="00387142" w:rsidP="00387142">
            <w:pPr>
              <w:jc w:val="right"/>
              <w:rPr>
                <w:sz w:val="20"/>
                <w:szCs w:val="20"/>
              </w:rPr>
            </w:pPr>
            <w:r w:rsidRPr="008B6A75">
              <w:rPr>
                <w:sz w:val="20"/>
                <w:szCs w:val="20"/>
              </w:rPr>
              <w:t>1 720 352,00</w:t>
            </w:r>
          </w:p>
        </w:tc>
        <w:tc>
          <w:tcPr>
            <w:tcW w:w="851" w:type="dxa"/>
            <w:tcBorders>
              <w:top w:val="nil"/>
              <w:left w:val="single" w:sz="4" w:space="0" w:color="auto"/>
              <w:bottom w:val="single" w:sz="4" w:space="0" w:color="auto"/>
              <w:right w:val="nil"/>
            </w:tcBorders>
            <w:shd w:val="clear" w:color="auto" w:fill="auto"/>
            <w:noWrap/>
            <w:vAlign w:val="center"/>
            <w:hideMark/>
          </w:tcPr>
          <w:p w14:paraId="67AB10FF" w14:textId="77777777" w:rsidR="00387142" w:rsidRPr="008B6A75" w:rsidRDefault="00387142" w:rsidP="00387142">
            <w:pPr>
              <w:jc w:val="right"/>
              <w:rPr>
                <w:sz w:val="20"/>
                <w:szCs w:val="20"/>
              </w:rPr>
            </w:pPr>
            <w:r w:rsidRPr="008B6A75">
              <w:rPr>
                <w:sz w:val="20"/>
                <w:szCs w:val="20"/>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28B7E8DF" w14:textId="77777777" w:rsidR="00387142" w:rsidRPr="008B6A75" w:rsidRDefault="00387142" w:rsidP="00387142">
            <w:pPr>
              <w:jc w:val="right"/>
              <w:rPr>
                <w:sz w:val="20"/>
                <w:szCs w:val="20"/>
              </w:rPr>
            </w:pPr>
            <w:r w:rsidRPr="008B6A75">
              <w:rPr>
                <w:sz w:val="20"/>
                <w:szCs w:val="20"/>
              </w:rPr>
              <w:t>0,00</w:t>
            </w:r>
          </w:p>
        </w:tc>
      </w:tr>
      <w:tr w:rsidR="00387142" w:rsidRPr="008B6A75" w14:paraId="0D34B379" w14:textId="77777777" w:rsidTr="00387142">
        <w:trPr>
          <w:trHeight w:val="300"/>
        </w:trPr>
        <w:tc>
          <w:tcPr>
            <w:tcW w:w="272" w:type="dxa"/>
            <w:tcBorders>
              <w:top w:val="nil"/>
              <w:left w:val="nil"/>
              <w:bottom w:val="nil"/>
              <w:right w:val="single" w:sz="4" w:space="0" w:color="auto"/>
            </w:tcBorders>
            <w:shd w:val="clear" w:color="auto" w:fill="auto"/>
            <w:noWrap/>
            <w:vAlign w:val="bottom"/>
            <w:hideMark/>
          </w:tcPr>
          <w:p w14:paraId="2AC2326B"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771504B1" w14:textId="77777777" w:rsidR="00387142" w:rsidRPr="008B6A75" w:rsidRDefault="00387142" w:rsidP="00387142">
            <w:pPr>
              <w:rPr>
                <w:sz w:val="20"/>
                <w:szCs w:val="20"/>
              </w:rPr>
            </w:pPr>
            <w:r w:rsidRPr="008B6A75">
              <w:rPr>
                <w:sz w:val="20"/>
                <w:szCs w:val="20"/>
              </w:rPr>
              <w:t>Субсидии бюджетным учреждениям</w:t>
            </w:r>
          </w:p>
        </w:tc>
        <w:tc>
          <w:tcPr>
            <w:tcW w:w="1559" w:type="dxa"/>
            <w:tcBorders>
              <w:top w:val="nil"/>
              <w:left w:val="single" w:sz="4" w:space="0" w:color="auto"/>
              <w:bottom w:val="single" w:sz="4" w:space="0" w:color="auto"/>
              <w:right w:val="nil"/>
            </w:tcBorders>
            <w:shd w:val="clear" w:color="auto" w:fill="auto"/>
            <w:noWrap/>
            <w:vAlign w:val="center"/>
            <w:hideMark/>
          </w:tcPr>
          <w:p w14:paraId="7C61E1A0" w14:textId="77777777" w:rsidR="00387142" w:rsidRPr="008B6A75" w:rsidRDefault="00387142" w:rsidP="00387142">
            <w:pPr>
              <w:jc w:val="center"/>
              <w:rPr>
                <w:sz w:val="20"/>
                <w:szCs w:val="20"/>
              </w:rPr>
            </w:pPr>
            <w:r w:rsidRPr="008B6A75">
              <w:rPr>
                <w:sz w:val="20"/>
                <w:szCs w:val="20"/>
              </w:rPr>
              <w:t>07.4.00.S0359</w:t>
            </w:r>
          </w:p>
        </w:tc>
        <w:tc>
          <w:tcPr>
            <w:tcW w:w="850" w:type="dxa"/>
            <w:tcBorders>
              <w:top w:val="nil"/>
              <w:left w:val="single" w:sz="4" w:space="0" w:color="auto"/>
              <w:bottom w:val="single" w:sz="4" w:space="0" w:color="auto"/>
              <w:right w:val="nil"/>
            </w:tcBorders>
            <w:shd w:val="clear" w:color="auto" w:fill="auto"/>
            <w:noWrap/>
            <w:vAlign w:val="center"/>
            <w:hideMark/>
          </w:tcPr>
          <w:p w14:paraId="5219A38C" w14:textId="77777777" w:rsidR="00387142" w:rsidRPr="008B6A75" w:rsidRDefault="00387142" w:rsidP="00387142">
            <w:pPr>
              <w:jc w:val="center"/>
              <w:rPr>
                <w:sz w:val="20"/>
                <w:szCs w:val="20"/>
              </w:rPr>
            </w:pPr>
            <w:r w:rsidRPr="008B6A75">
              <w:rPr>
                <w:sz w:val="20"/>
                <w:szCs w:val="20"/>
              </w:rPr>
              <w:t>610</w:t>
            </w:r>
          </w:p>
        </w:tc>
        <w:tc>
          <w:tcPr>
            <w:tcW w:w="567" w:type="dxa"/>
            <w:tcBorders>
              <w:top w:val="nil"/>
              <w:left w:val="single" w:sz="4" w:space="0" w:color="auto"/>
              <w:bottom w:val="single" w:sz="4" w:space="0" w:color="auto"/>
              <w:right w:val="nil"/>
            </w:tcBorders>
            <w:shd w:val="clear" w:color="auto" w:fill="auto"/>
            <w:noWrap/>
            <w:vAlign w:val="center"/>
            <w:hideMark/>
          </w:tcPr>
          <w:p w14:paraId="3CA40568" w14:textId="77777777" w:rsidR="00387142" w:rsidRPr="008B6A75" w:rsidRDefault="00387142" w:rsidP="00387142">
            <w:pPr>
              <w:jc w:val="center"/>
              <w:rPr>
                <w:sz w:val="20"/>
                <w:szCs w:val="20"/>
              </w:rPr>
            </w:pPr>
            <w:r w:rsidRPr="008B6A75">
              <w:rPr>
                <w:sz w:val="20"/>
                <w:szCs w:val="20"/>
              </w:rPr>
              <w:t>07</w:t>
            </w:r>
          </w:p>
        </w:tc>
        <w:tc>
          <w:tcPr>
            <w:tcW w:w="567" w:type="dxa"/>
            <w:tcBorders>
              <w:top w:val="nil"/>
              <w:left w:val="single" w:sz="4" w:space="0" w:color="auto"/>
              <w:bottom w:val="single" w:sz="4" w:space="0" w:color="auto"/>
              <w:right w:val="nil"/>
            </w:tcBorders>
            <w:shd w:val="clear" w:color="auto" w:fill="auto"/>
            <w:noWrap/>
            <w:vAlign w:val="center"/>
            <w:hideMark/>
          </w:tcPr>
          <w:p w14:paraId="7B702E8F" w14:textId="77777777" w:rsidR="00387142" w:rsidRPr="008B6A75" w:rsidRDefault="00387142" w:rsidP="00387142">
            <w:pPr>
              <w:jc w:val="center"/>
              <w:rPr>
                <w:sz w:val="20"/>
                <w:szCs w:val="20"/>
              </w:rPr>
            </w:pPr>
            <w:r w:rsidRPr="008B6A75">
              <w:rPr>
                <w:sz w:val="20"/>
                <w:szCs w:val="20"/>
              </w:rPr>
              <w:t>07</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9B7249B" w14:textId="77777777" w:rsidR="00387142" w:rsidRPr="008B6A75" w:rsidRDefault="00387142" w:rsidP="00387142">
            <w:pPr>
              <w:jc w:val="right"/>
              <w:rPr>
                <w:sz w:val="20"/>
                <w:szCs w:val="20"/>
              </w:rPr>
            </w:pPr>
            <w:r w:rsidRPr="008B6A75">
              <w:rPr>
                <w:sz w:val="20"/>
                <w:szCs w:val="20"/>
              </w:rPr>
              <w:t>1 720 352,00</w:t>
            </w:r>
          </w:p>
        </w:tc>
        <w:tc>
          <w:tcPr>
            <w:tcW w:w="851" w:type="dxa"/>
            <w:tcBorders>
              <w:top w:val="nil"/>
              <w:left w:val="single" w:sz="4" w:space="0" w:color="auto"/>
              <w:bottom w:val="single" w:sz="4" w:space="0" w:color="auto"/>
              <w:right w:val="nil"/>
            </w:tcBorders>
            <w:shd w:val="clear" w:color="auto" w:fill="auto"/>
            <w:noWrap/>
            <w:vAlign w:val="center"/>
            <w:hideMark/>
          </w:tcPr>
          <w:p w14:paraId="2203FD24" w14:textId="77777777" w:rsidR="00387142" w:rsidRPr="008B6A75" w:rsidRDefault="00387142" w:rsidP="00387142">
            <w:pPr>
              <w:jc w:val="right"/>
              <w:rPr>
                <w:sz w:val="20"/>
                <w:szCs w:val="20"/>
              </w:rPr>
            </w:pPr>
            <w:r w:rsidRPr="008B6A75">
              <w:rPr>
                <w:sz w:val="20"/>
                <w:szCs w:val="20"/>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0E1315B7" w14:textId="77777777" w:rsidR="00387142" w:rsidRPr="008B6A75" w:rsidRDefault="00387142" w:rsidP="00387142">
            <w:pPr>
              <w:jc w:val="right"/>
              <w:rPr>
                <w:sz w:val="20"/>
                <w:szCs w:val="20"/>
              </w:rPr>
            </w:pPr>
            <w:r w:rsidRPr="008B6A75">
              <w:rPr>
                <w:sz w:val="20"/>
                <w:szCs w:val="20"/>
              </w:rPr>
              <w:t>0,00</w:t>
            </w:r>
          </w:p>
        </w:tc>
      </w:tr>
      <w:tr w:rsidR="00387142" w:rsidRPr="008B6A75" w14:paraId="1F9DF682" w14:textId="77777777" w:rsidTr="00387142">
        <w:trPr>
          <w:trHeight w:val="2010"/>
        </w:trPr>
        <w:tc>
          <w:tcPr>
            <w:tcW w:w="272" w:type="dxa"/>
            <w:tcBorders>
              <w:top w:val="nil"/>
              <w:left w:val="nil"/>
              <w:bottom w:val="nil"/>
              <w:right w:val="single" w:sz="4" w:space="0" w:color="auto"/>
            </w:tcBorders>
            <w:shd w:val="clear" w:color="auto" w:fill="auto"/>
            <w:noWrap/>
            <w:vAlign w:val="bottom"/>
            <w:hideMark/>
          </w:tcPr>
          <w:p w14:paraId="39D5DFF5" w14:textId="77777777" w:rsidR="00387142" w:rsidRPr="008B6A75" w:rsidRDefault="00387142" w:rsidP="00387142">
            <w:pPr>
              <w:rPr>
                <w:sz w:val="20"/>
                <w:szCs w:val="20"/>
              </w:rPr>
            </w:pPr>
            <w:r w:rsidRPr="008B6A75">
              <w:rPr>
                <w:sz w:val="20"/>
                <w:szCs w:val="20"/>
              </w:rPr>
              <w:lastRenderedPageBreak/>
              <w:t> </w:t>
            </w:r>
          </w:p>
        </w:tc>
        <w:tc>
          <w:tcPr>
            <w:tcW w:w="3415" w:type="dxa"/>
            <w:tcBorders>
              <w:top w:val="nil"/>
              <w:left w:val="single" w:sz="4" w:space="0" w:color="auto"/>
              <w:bottom w:val="single" w:sz="4" w:space="0" w:color="auto"/>
              <w:right w:val="nil"/>
            </w:tcBorders>
            <w:shd w:val="clear" w:color="auto" w:fill="auto"/>
            <w:vAlign w:val="center"/>
            <w:hideMark/>
          </w:tcPr>
          <w:p w14:paraId="5CFD79EB" w14:textId="77777777" w:rsidR="00387142" w:rsidRPr="008B6A75" w:rsidRDefault="00387142" w:rsidP="00387142">
            <w:pPr>
              <w:rPr>
                <w:bCs/>
                <w:sz w:val="20"/>
                <w:szCs w:val="20"/>
              </w:rPr>
            </w:pPr>
            <w:proofErr w:type="spellStart"/>
            <w:r w:rsidRPr="008B6A75">
              <w:rPr>
                <w:bCs/>
                <w:sz w:val="20"/>
                <w:szCs w:val="20"/>
              </w:rPr>
              <w:t>Софинансирование</w:t>
            </w:r>
            <w:proofErr w:type="spellEnd"/>
            <w:r w:rsidRPr="008B6A75">
              <w:rPr>
                <w:bCs/>
                <w:sz w:val="20"/>
                <w:szCs w:val="20"/>
              </w:rPr>
              <w:t xml:space="preserve"> местного бюджета на развитие социальной инфраструктуры в сфере организации отдыха и оздоровления детей Новосибирской области государственной программы Новосибирской области «Социальная поддержка в Новосибирской области»</w:t>
            </w:r>
          </w:p>
        </w:tc>
        <w:tc>
          <w:tcPr>
            <w:tcW w:w="1559" w:type="dxa"/>
            <w:tcBorders>
              <w:top w:val="nil"/>
              <w:left w:val="single" w:sz="4" w:space="0" w:color="auto"/>
              <w:bottom w:val="single" w:sz="4" w:space="0" w:color="auto"/>
              <w:right w:val="nil"/>
            </w:tcBorders>
            <w:shd w:val="clear" w:color="auto" w:fill="auto"/>
            <w:noWrap/>
            <w:vAlign w:val="center"/>
            <w:hideMark/>
          </w:tcPr>
          <w:p w14:paraId="033B03E4" w14:textId="77777777" w:rsidR="00387142" w:rsidRPr="008B6A75" w:rsidRDefault="00387142" w:rsidP="00387142">
            <w:pPr>
              <w:jc w:val="center"/>
              <w:rPr>
                <w:bCs/>
                <w:sz w:val="20"/>
                <w:szCs w:val="20"/>
              </w:rPr>
            </w:pPr>
            <w:r w:rsidRPr="008B6A75">
              <w:rPr>
                <w:bCs/>
                <w:sz w:val="20"/>
                <w:szCs w:val="20"/>
              </w:rPr>
              <w:t>07.4.00.S0929</w:t>
            </w:r>
          </w:p>
        </w:tc>
        <w:tc>
          <w:tcPr>
            <w:tcW w:w="850" w:type="dxa"/>
            <w:tcBorders>
              <w:top w:val="nil"/>
              <w:left w:val="single" w:sz="4" w:space="0" w:color="auto"/>
              <w:bottom w:val="single" w:sz="4" w:space="0" w:color="auto"/>
              <w:right w:val="nil"/>
            </w:tcBorders>
            <w:shd w:val="clear" w:color="auto" w:fill="auto"/>
            <w:noWrap/>
            <w:vAlign w:val="center"/>
            <w:hideMark/>
          </w:tcPr>
          <w:p w14:paraId="0A10FB4D" w14:textId="77777777" w:rsidR="00387142" w:rsidRPr="008B6A75" w:rsidRDefault="00387142" w:rsidP="00387142">
            <w:pPr>
              <w:jc w:val="center"/>
              <w:rPr>
                <w:bCs/>
                <w:sz w:val="20"/>
                <w:szCs w:val="20"/>
              </w:rPr>
            </w:pPr>
            <w:r w:rsidRPr="008B6A75">
              <w:rPr>
                <w:bCs/>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488578AA" w14:textId="77777777" w:rsidR="00387142" w:rsidRPr="008B6A75" w:rsidRDefault="00387142" w:rsidP="00387142">
            <w:pPr>
              <w:jc w:val="center"/>
              <w:rPr>
                <w:bCs/>
                <w:sz w:val="20"/>
                <w:szCs w:val="20"/>
              </w:rPr>
            </w:pPr>
            <w:r w:rsidRPr="008B6A75">
              <w:rPr>
                <w:bCs/>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4372EB5D" w14:textId="77777777" w:rsidR="00387142" w:rsidRPr="008B6A75" w:rsidRDefault="00387142" w:rsidP="00387142">
            <w:pPr>
              <w:jc w:val="center"/>
              <w:rPr>
                <w:bCs/>
                <w:sz w:val="20"/>
                <w:szCs w:val="20"/>
              </w:rPr>
            </w:pPr>
            <w:r w:rsidRPr="008B6A75">
              <w:rPr>
                <w:bCs/>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ABC22A2" w14:textId="77777777" w:rsidR="00387142" w:rsidRPr="008B6A75" w:rsidRDefault="00387142" w:rsidP="00387142">
            <w:pPr>
              <w:jc w:val="right"/>
              <w:rPr>
                <w:bCs/>
                <w:sz w:val="20"/>
                <w:szCs w:val="20"/>
              </w:rPr>
            </w:pPr>
            <w:r w:rsidRPr="008B6A75">
              <w:rPr>
                <w:bCs/>
                <w:sz w:val="20"/>
                <w:szCs w:val="20"/>
              </w:rPr>
              <w:t>36 778,00</w:t>
            </w:r>
          </w:p>
        </w:tc>
        <w:tc>
          <w:tcPr>
            <w:tcW w:w="851" w:type="dxa"/>
            <w:tcBorders>
              <w:top w:val="nil"/>
              <w:left w:val="single" w:sz="4" w:space="0" w:color="auto"/>
              <w:bottom w:val="single" w:sz="4" w:space="0" w:color="auto"/>
              <w:right w:val="nil"/>
            </w:tcBorders>
            <w:shd w:val="clear" w:color="auto" w:fill="auto"/>
            <w:noWrap/>
            <w:vAlign w:val="center"/>
            <w:hideMark/>
          </w:tcPr>
          <w:p w14:paraId="0E895E25" w14:textId="77777777" w:rsidR="00387142" w:rsidRPr="008B6A75" w:rsidRDefault="00387142" w:rsidP="00387142">
            <w:pPr>
              <w:jc w:val="right"/>
              <w:rPr>
                <w:bCs/>
                <w:sz w:val="20"/>
                <w:szCs w:val="20"/>
              </w:rPr>
            </w:pPr>
            <w:r w:rsidRPr="008B6A75">
              <w:rPr>
                <w:bCs/>
                <w:sz w:val="20"/>
                <w:szCs w:val="20"/>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46ED7B3F" w14:textId="77777777" w:rsidR="00387142" w:rsidRPr="008B6A75" w:rsidRDefault="00387142" w:rsidP="00387142">
            <w:pPr>
              <w:jc w:val="right"/>
              <w:rPr>
                <w:bCs/>
                <w:sz w:val="20"/>
                <w:szCs w:val="20"/>
              </w:rPr>
            </w:pPr>
            <w:r w:rsidRPr="008B6A75">
              <w:rPr>
                <w:bCs/>
                <w:sz w:val="20"/>
                <w:szCs w:val="20"/>
              </w:rPr>
              <w:t>0,00</w:t>
            </w:r>
          </w:p>
        </w:tc>
      </w:tr>
      <w:tr w:rsidR="00387142" w:rsidRPr="008B6A75" w14:paraId="75E2F344" w14:textId="77777777" w:rsidTr="00387142">
        <w:trPr>
          <w:trHeight w:val="870"/>
        </w:trPr>
        <w:tc>
          <w:tcPr>
            <w:tcW w:w="272" w:type="dxa"/>
            <w:tcBorders>
              <w:top w:val="nil"/>
              <w:left w:val="nil"/>
              <w:bottom w:val="nil"/>
              <w:right w:val="single" w:sz="4" w:space="0" w:color="auto"/>
            </w:tcBorders>
            <w:shd w:val="clear" w:color="auto" w:fill="auto"/>
            <w:noWrap/>
            <w:vAlign w:val="bottom"/>
            <w:hideMark/>
          </w:tcPr>
          <w:p w14:paraId="0A068BCF"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382E289D" w14:textId="77777777" w:rsidR="00387142" w:rsidRPr="008B6A75" w:rsidRDefault="00387142" w:rsidP="00387142">
            <w:pPr>
              <w:rPr>
                <w:sz w:val="20"/>
                <w:szCs w:val="20"/>
              </w:rPr>
            </w:pPr>
            <w:r w:rsidRPr="008B6A75">
              <w:rPr>
                <w:sz w:val="20"/>
                <w:szCs w:val="20"/>
              </w:rPr>
              <w:t>Предоставление субсидий бюджетным, автономным учреждениям и иным некоммерческим организациям</w:t>
            </w:r>
          </w:p>
        </w:tc>
        <w:tc>
          <w:tcPr>
            <w:tcW w:w="1559" w:type="dxa"/>
            <w:tcBorders>
              <w:top w:val="nil"/>
              <w:left w:val="single" w:sz="4" w:space="0" w:color="auto"/>
              <w:bottom w:val="single" w:sz="4" w:space="0" w:color="auto"/>
              <w:right w:val="nil"/>
            </w:tcBorders>
            <w:shd w:val="clear" w:color="auto" w:fill="auto"/>
            <w:noWrap/>
            <w:vAlign w:val="center"/>
            <w:hideMark/>
          </w:tcPr>
          <w:p w14:paraId="5DD8F383" w14:textId="77777777" w:rsidR="00387142" w:rsidRPr="008B6A75" w:rsidRDefault="00387142" w:rsidP="00387142">
            <w:pPr>
              <w:jc w:val="center"/>
              <w:rPr>
                <w:sz w:val="20"/>
                <w:szCs w:val="20"/>
              </w:rPr>
            </w:pPr>
            <w:r w:rsidRPr="008B6A75">
              <w:rPr>
                <w:sz w:val="20"/>
                <w:szCs w:val="20"/>
              </w:rPr>
              <w:t>07.4.00.S0929</w:t>
            </w:r>
          </w:p>
        </w:tc>
        <w:tc>
          <w:tcPr>
            <w:tcW w:w="850" w:type="dxa"/>
            <w:tcBorders>
              <w:top w:val="nil"/>
              <w:left w:val="single" w:sz="4" w:space="0" w:color="auto"/>
              <w:bottom w:val="single" w:sz="4" w:space="0" w:color="auto"/>
              <w:right w:val="nil"/>
            </w:tcBorders>
            <w:shd w:val="clear" w:color="auto" w:fill="auto"/>
            <w:noWrap/>
            <w:vAlign w:val="center"/>
            <w:hideMark/>
          </w:tcPr>
          <w:p w14:paraId="6702D8AE" w14:textId="77777777" w:rsidR="00387142" w:rsidRPr="008B6A75" w:rsidRDefault="00387142" w:rsidP="00387142">
            <w:pPr>
              <w:jc w:val="center"/>
              <w:rPr>
                <w:sz w:val="20"/>
                <w:szCs w:val="20"/>
              </w:rPr>
            </w:pPr>
            <w:r w:rsidRPr="008B6A75">
              <w:rPr>
                <w:sz w:val="20"/>
                <w:szCs w:val="20"/>
              </w:rPr>
              <w:t>600</w:t>
            </w:r>
          </w:p>
        </w:tc>
        <w:tc>
          <w:tcPr>
            <w:tcW w:w="567" w:type="dxa"/>
            <w:tcBorders>
              <w:top w:val="nil"/>
              <w:left w:val="single" w:sz="4" w:space="0" w:color="auto"/>
              <w:bottom w:val="single" w:sz="4" w:space="0" w:color="auto"/>
              <w:right w:val="nil"/>
            </w:tcBorders>
            <w:shd w:val="clear" w:color="auto" w:fill="auto"/>
            <w:noWrap/>
            <w:vAlign w:val="center"/>
            <w:hideMark/>
          </w:tcPr>
          <w:p w14:paraId="733F8138" w14:textId="77777777" w:rsidR="00387142" w:rsidRPr="008B6A75" w:rsidRDefault="00387142" w:rsidP="00387142">
            <w:pPr>
              <w:jc w:val="center"/>
              <w:rPr>
                <w:sz w:val="20"/>
                <w:szCs w:val="20"/>
              </w:rPr>
            </w:pPr>
            <w:r w:rsidRPr="008B6A75">
              <w:rPr>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664D44C4" w14:textId="77777777" w:rsidR="00387142" w:rsidRPr="008B6A75" w:rsidRDefault="00387142" w:rsidP="00387142">
            <w:pPr>
              <w:jc w:val="center"/>
              <w:rPr>
                <w:sz w:val="20"/>
                <w:szCs w:val="20"/>
              </w:rPr>
            </w:pPr>
            <w:r w:rsidRPr="008B6A75">
              <w:rPr>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D54041F" w14:textId="77777777" w:rsidR="00387142" w:rsidRPr="008B6A75" w:rsidRDefault="00387142" w:rsidP="00387142">
            <w:pPr>
              <w:jc w:val="right"/>
              <w:rPr>
                <w:sz w:val="20"/>
                <w:szCs w:val="20"/>
              </w:rPr>
            </w:pPr>
            <w:r w:rsidRPr="008B6A75">
              <w:rPr>
                <w:sz w:val="20"/>
                <w:szCs w:val="20"/>
              </w:rPr>
              <w:t>36 778,00</w:t>
            </w:r>
          </w:p>
        </w:tc>
        <w:tc>
          <w:tcPr>
            <w:tcW w:w="851" w:type="dxa"/>
            <w:tcBorders>
              <w:top w:val="nil"/>
              <w:left w:val="single" w:sz="4" w:space="0" w:color="auto"/>
              <w:bottom w:val="single" w:sz="4" w:space="0" w:color="auto"/>
              <w:right w:val="nil"/>
            </w:tcBorders>
            <w:shd w:val="clear" w:color="auto" w:fill="auto"/>
            <w:noWrap/>
            <w:vAlign w:val="center"/>
            <w:hideMark/>
          </w:tcPr>
          <w:p w14:paraId="5B2EE8D6" w14:textId="77777777" w:rsidR="00387142" w:rsidRPr="008B6A75" w:rsidRDefault="00387142" w:rsidP="00387142">
            <w:pPr>
              <w:jc w:val="right"/>
              <w:rPr>
                <w:sz w:val="20"/>
                <w:szCs w:val="20"/>
              </w:rPr>
            </w:pPr>
            <w:r w:rsidRPr="008B6A75">
              <w:rPr>
                <w:sz w:val="20"/>
                <w:szCs w:val="20"/>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31A72FD6" w14:textId="77777777" w:rsidR="00387142" w:rsidRPr="008B6A75" w:rsidRDefault="00387142" w:rsidP="00387142">
            <w:pPr>
              <w:jc w:val="right"/>
              <w:rPr>
                <w:sz w:val="20"/>
                <w:szCs w:val="20"/>
              </w:rPr>
            </w:pPr>
            <w:r w:rsidRPr="008B6A75">
              <w:rPr>
                <w:sz w:val="20"/>
                <w:szCs w:val="20"/>
              </w:rPr>
              <w:t>0,00</w:t>
            </w:r>
          </w:p>
        </w:tc>
      </w:tr>
      <w:tr w:rsidR="00387142" w:rsidRPr="008B6A75" w14:paraId="52F08AD2" w14:textId="77777777" w:rsidTr="00387142">
        <w:trPr>
          <w:trHeight w:val="300"/>
        </w:trPr>
        <w:tc>
          <w:tcPr>
            <w:tcW w:w="272" w:type="dxa"/>
            <w:tcBorders>
              <w:top w:val="nil"/>
              <w:left w:val="nil"/>
              <w:bottom w:val="nil"/>
              <w:right w:val="single" w:sz="4" w:space="0" w:color="auto"/>
            </w:tcBorders>
            <w:shd w:val="clear" w:color="auto" w:fill="auto"/>
            <w:noWrap/>
            <w:vAlign w:val="bottom"/>
            <w:hideMark/>
          </w:tcPr>
          <w:p w14:paraId="1E9B5F55"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49A4FB72" w14:textId="77777777" w:rsidR="00387142" w:rsidRPr="008B6A75" w:rsidRDefault="00387142" w:rsidP="00387142">
            <w:pPr>
              <w:rPr>
                <w:sz w:val="20"/>
                <w:szCs w:val="20"/>
              </w:rPr>
            </w:pPr>
            <w:r w:rsidRPr="008B6A75">
              <w:rPr>
                <w:sz w:val="20"/>
                <w:szCs w:val="20"/>
              </w:rPr>
              <w:t>Субсидии бюджетным учреждениям</w:t>
            </w:r>
          </w:p>
        </w:tc>
        <w:tc>
          <w:tcPr>
            <w:tcW w:w="1559" w:type="dxa"/>
            <w:tcBorders>
              <w:top w:val="nil"/>
              <w:left w:val="single" w:sz="4" w:space="0" w:color="auto"/>
              <w:bottom w:val="single" w:sz="4" w:space="0" w:color="auto"/>
              <w:right w:val="nil"/>
            </w:tcBorders>
            <w:shd w:val="clear" w:color="auto" w:fill="auto"/>
            <w:noWrap/>
            <w:vAlign w:val="center"/>
            <w:hideMark/>
          </w:tcPr>
          <w:p w14:paraId="594F2DC3" w14:textId="77777777" w:rsidR="00387142" w:rsidRPr="008B6A75" w:rsidRDefault="00387142" w:rsidP="00387142">
            <w:pPr>
              <w:jc w:val="center"/>
              <w:rPr>
                <w:sz w:val="20"/>
                <w:szCs w:val="20"/>
              </w:rPr>
            </w:pPr>
            <w:r w:rsidRPr="008B6A75">
              <w:rPr>
                <w:sz w:val="20"/>
                <w:szCs w:val="20"/>
              </w:rPr>
              <w:t>07.4.00.S0929</w:t>
            </w:r>
          </w:p>
        </w:tc>
        <w:tc>
          <w:tcPr>
            <w:tcW w:w="850" w:type="dxa"/>
            <w:tcBorders>
              <w:top w:val="nil"/>
              <w:left w:val="single" w:sz="4" w:space="0" w:color="auto"/>
              <w:bottom w:val="single" w:sz="4" w:space="0" w:color="auto"/>
              <w:right w:val="nil"/>
            </w:tcBorders>
            <w:shd w:val="clear" w:color="auto" w:fill="auto"/>
            <w:noWrap/>
            <w:vAlign w:val="center"/>
            <w:hideMark/>
          </w:tcPr>
          <w:p w14:paraId="4D9B7A84" w14:textId="77777777" w:rsidR="00387142" w:rsidRPr="008B6A75" w:rsidRDefault="00387142" w:rsidP="00387142">
            <w:pPr>
              <w:jc w:val="center"/>
              <w:rPr>
                <w:sz w:val="20"/>
                <w:szCs w:val="20"/>
              </w:rPr>
            </w:pPr>
            <w:r w:rsidRPr="008B6A75">
              <w:rPr>
                <w:sz w:val="20"/>
                <w:szCs w:val="20"/>
              </w:rPr>
              <w:t>610</w:t>
            </w:r>
          </w:p>
        </w:tc>
        <w:tc>
          <w:tcPr>
            <w:tcW w:w="567" w:type="dxa"/>
            <w:tcBorders>
              <w:top w:val="nil"/>
              <w:left w:val="single" w:sz="4" w:space="0" w:color="auto"/>
              <w:bottom w:val="single" w:sz="4" w:space="0" w:color="auto"/>
              <w:right w:val="nil"/>
            </w:tcBorders>
            <w:shd w:val="clear" w:color="auto" w:fill="auto"/>
            <w:noWrap/>
            <w:vAlign w:val="center"/>
            <w:hideMark/>
          </w:tcPr>
          <w:p w14:paraId="60B7EA46" w14:textId="77777777" w:rsidR="00387142" w:rsidRPr="008B6A75" w:rsidRDefault="00387142" w:rsidP="00387142">
            <w:pPr>
              <w:jc w:val="center"/>
              <w:rPr>
                <w:sz w:val="20"/>
                <w:szCs w:val="20"/>
              </w:rPr>
            </w:pPr>
            <w:r w:rsidRPr="008B6A75">
              <w:rPr>
                <w:sz w:val="20"/>
                <w:szCs w:val="20"/>
              </w:rPr>
              <w:t>10</w:t>
            </w:r>
          </w:p>
        </w:tc>
        <w:tc>
          <w:tcPr>
            <w:tcW w:w="567" w:type="dxa"/>
            <w:tcBorders>
              <w:top w:val="nil"/>
              <w:left w:val="single" w:sz="4" w:space="0" w:color="auto"/>
              <w:bottom w:val="single" w:sz="4" w:space="0" w:color="auto"/>
              <w:right w:val="nil"/>
            </w:tcBorders>
            <w:shd w:val="clear" w:color="auto" w:fill="auto"/>
            <w:noWrap/>
            <w:vAlign w:val="center"/>
            <w:hideMark/>
          </w:tcPr>
          <w:p w14:paraId="0AA374D9" w14:textId="77777777" w:rsidR="00387142" w:rsidRPr="008B6A75" w:rsidRDefault="00387142" w:rsidP="00387142">
            <w:pPr>
              <w:jc w:val="center"/>
              <w:rPr>
                <w:sz w:val="20"/>
                <w:szCs w:val="20"/>
              </w:rPr>
            </w:pPr>
            <w:r w:rsidRPr="008B6A75">
              <w:rPr>
                <w:sz w:val="20"/>
                <w:szCs w:val="20"/>
              </w:rPr>
              <w:t>06</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BC64E26" w14:textId="77777777" w:rsidR="00387142" w:rsidRPr="008B6A75" w:rsidRDefault="00387142" w:rsidP="00387142">
            <w:pPr>
              <w:jc w:val="right"/>
              <w:rPr>
                <w:sz w:val="20"/>
                <w:szCs w:val="20"/>
              </w:rPr>
            </w:pPr>
            <w:r w:rsidRPr="008B6A75">
              <w:rPr>
                <w:sz w:val="20"/>
                <w:szCs w:val="20"/>
              </w:rPr>
              <w:t>36 778,00</w:t>
            </w:r>
          </w:p>
        </w:tc>
        <w:tc>
          <w:tcPr>
            <w:tcW w:w="851" w:type="dxa"/>
            <w:tcBorders>
              <w:top w:val="nil"/>
              <w:left w:val="single" w:sz="4" w:space="0" w:color="auto"/>
              <w:bottom w:val="single" w:sz="4" w:space="0" w:color="auto"/>
              <w:right w:val="nil"/>
            </w:tcBorders>
            <w:shd w:val="clear" w:color="auto" w:fill="auto"/>
            <w:noWrap/>
            <w:vAlign w:val="center"/>
            <w:hideMark/>
          </w:tcPr>
          <w:p w14:paraId="41B0CCD0" w14:textId="77777777" w:rsidR="00387142" w:rsidRPr="008B6A75" w:rsidRDefault="00387142" w:rsidP="00387142">
            <w:pPr>
              <w:jc w:val="right"/>
              <w:rPr>
                <w:sz w:val="20"/>
                <w:szCs w:val="20"/>
              </w:rPr>
            </w:pPr>
            <w:r w:rsidRPr="008B6A75">
              <w:rPr>
                <w:sz w:val="20"/>
                <w:szCs w:val="20"/>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36AE2C91" w14:textId="77777777" w:rsidR="00387142" w:rsidRPr="008B6A75" w:rsidRDefault="00387142" w:rsidP="00387142">
            <w:pPr>
              <w:jc w:val="right"/>
              <w:rPr>
                <w:sz w:val="20"/>
                <w:szCs w:val="20"/>
              </w:rPr>
            </w:pPr>
            <w:r w:rsidRPr="008B6A75">
              <w:rPr>
                <w:sz w:val="20"/>
                <w:szCs w:val="20"/>
              </w:rPr>
              <w:t>0,00</w:t>
            </w:r>
          </w:p>
        </w:tc>
      </w:tr>
      <w:tr w:rsidR="00387142" w:rsidRPr="008B6A75" w14:paraId="018C27BC" w14:textId="77777777" w:rsidTr="00387142">
        <w:trPr>
          <w:trHeight w:val="585"/>
        </w:trPr>
        <w:tc>
          <w:tcPr>
            <w:tcW w:w="272" w:type="dxa"/>
            <w:tcBorders>
              <w:top w:val="nil"/>
              <w:left w:val="nil"/>
              <w:bottom w:val="nil"/>
              <w:right w:val="single" w:sz="4" w:space="0" w:color="auto"/>
            </w:tcBorders>
            <w:shd w:val="clear" w:color="auto" w:fill="auto"/>
            <w:noWrap/>
            <w:vAlign w:val="bottom"/>
            <w:hideMark/>
          </w:tcPr>
          <w:p w14:paraId="710A7373"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38FC08D3" w14:textId="77777777" w:rsidR="00387142" w:rsidRPr="008B6A75" w:rsidRDefault="00387142" w:rsidP="00387142">
            <w:pPr>
              <w:rPr>
                <w:bCs/>
                <w:sz w:val="20"/>
                <w:szCs w:val="20"/>
              </w:rPr>
            </w:pPr>
            <w:r w:rsidRPr="008B6A75">
              <w:rPr>
                <w:bCs/>
                <w:sz w:val="20"/>
                <w:szCs w:val="20"/>
              </w:rPr>
              <w:t>Муниципальная программа "Развитие культуры в Куйбышевском районе"</w:t>
            </w:r>
          </w:p>
        </w:tc>
        <w:tc>
          <w:tcPr>
            <w:tcW w:w="1559" w:type="dxa"/>
            <w:tcBorders>
              <w:top w:val="nil"/>
              <w:left w:val="single" w:sz="4" w:space="0" w:color="auto"/>
              <w:bottom w:val="single" w:sz="4" w:space="0" w:color="auto"/>
              <w:right w:val="nil"/>
            </w:tcBorders>
            <w:shd w:val="clear" w:color="auto" w:fill="auto"/>
            <w:noWrap/>
            <w:vAlign w:val="center"/>
            <w:hideMark/>
          </w:tcPr>
          <w:p w14:paraId="37EB5ED8" w14:textId="77777777" w:rsidR="00387142" w:rsidRPr="008B6A75" w:rsidRDefault="00387142" w:rsidP="00387142">
            <w:pPr>
              <w:jc w:val="center"/>
              <w:rPr>
                <w:bCs/>
                <w:sz w:val="20"/>
                <w:szCs w:val="20"/>
              </w:rPr>
            </w:pPr>
            <w:r w:rsidRPr="008B6A75">
              <w:rPr>
                <w:bCs/>
                <w:sz w:val="20"/>
                <w:szCs w:val="20"/>
              </w:rPr>
              <w:t>08.0.00.00000</w:t>
            </w:r>
          </w:p>
        </w:tc>
        <w:tc>
          <w:tcPr>
            <w:tcW w:w="850" w:type="dxa"/>
            <w:tcBorders>
              <w:top w:val="nil"/>
              <w:left w:val="single" w:sz="4" w:space="0" w:color="auto"/>
              <w:bottom w:val="single" w:sz="4" w:space="0" w:color="auto"/>
              <w:right w:val="nil"/>
            </w:tcBorders>
            <w:shd w:val="clear" w:color="auto" w:fill="auto"/>
            <w:noWrap/>
            <w:vAlign w:val="center"/>
            <w:hideMark/>
          </w:tcPr>
          <w:p w14:paraId="5BA2564A" w14:textId="77777777" w:rsidR="00387142" w:rsidRPr="008B6A75" w:rsidRDefault="00387142" w:rsidP="00387142">
            <w:pPr>
              <w:jc w:val="center"/>
              <w:rPr>
                <w:bCs/>
                <w:sz w:val="20"/>
                <w:szCs w:val="20"/>
              </w:rPr>
            </w:pPr>
            <w:r w:rsidRPr="008B6A75">
              <w:rPr>
                <w:bCs/>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7DD53C35" w14:textId="77777777" w:rsidR="00387142" w:rsidRPr="008B6A75" w:rsidRDefault="00387142" w:rsidP="00387142">
            <w:pPr>
              <w:jc w:val="center"/>
              <w:rPr>
                <w:bCs/>
                <w:sz w:val="20"/>
                <w:szCs w:val="20"/>
              </w:rPr>
            </w:pPr>
            <w:r w:rsidRPr="008B6A75">
              <w:rPr>
                <w:bCs/>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7873A999" w14:textId="77777777" w:rsidR="00387142" w:rsidRPr="008B6A75" w:rsidRDefault="00387142" w:rsidP="00387142">
            <w:pPr>
              <w:jc w:val="center"/>
              <w:rPr>
                <w:bCs/>
                <w:sz w:val="20"/>
                <w:szCs w:val="20"/>
              </w:rPr>
            </w:pPr>
            <w:r w:rsidRPr="008B6A75">
              <w:rPr>
                <w:bCs/>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83E459A" w14:textId="77777777" w:rsidR="00387142" w:rsidRPr="008B6A75" w:rsidRDefault="00387142" w:rsidP="00387142">
            <w:pPr>
              <w:jc w:val="right"/>
              <w:rPr>
                <w:bCs/>
                <w:sz w:val="20"/>
                <w:szCs w:val="20"/>
              </w:rPr>
            </w:pPr>
            <w:r w:rsidRPr="008B6A75">
              <w:rPr>
                <w:bCs/>
                <w:sz w:val="20"/>
                <w:szCs w:val="20"/>
              </w:rPr>
              <w:t>124 914 309,59</w:t>
            </w:r>
          </w:p>
        </w:tc>
        <w:tc>
          <w:tcPr>
            <w:tcW w:w="851" w:type="dxa"/>
            <w:tcBorders>
              <w:top w:val="nil"/>
              <w:left w:val="single" w:sz="4" w:space="0" w:color="auto"/>
              <w:bottom w:val="single" w:sz="4" w:space="0" w:color="auto"/>
              <w:right w:val="nil"/>
            </w:tcBorders>
            <w:shd w:val="clear" w:color="auto" w:fill="auto"/>
            <w:noWrap/>
            <w:vAlign w:val="center"/>
            <w:hideMark/>
          </w:tcPr>
          <w:p w14:paraId="5800D187" w14:textId="77777777" w:rsidR="00387142" w:rsidRPr="008B6A75" w:rsidRDefault="00387142" w:rsidP="00387142">
            <w:pPr>
              <w:jc w:val="right"/>
              <w:rPr>
                <w:bCs/>
                <w:sz w:val="20"/>
                <w:szCs w:val="20"/>
              </w:rPr>
            </w:pPr>
            <w:r w:rsidRPr="008B6A75">
              <w:rPr>
                <w:bCs/>
                <w:sz w:val="20"/>
                <w:szCs w:val="20"/>
              </w:rPr>
              <w:t>50 317 100,00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327304CE" w14:textId="77777777" w:rsidR="00387142" w:rsidRPr="008B6A75" w:rsidRDefault="00387142" w:rsidP="00387142">
            <w:pPr>
              <w:jc w:val="right"/>
              <w:rPr>
                <w:bCs/>
                <w:sz w:val="20"/>
                <w:szCs w:val="20"/>
              </w:rPr>
            </w:pPr>
            <w:r w:rsidRPr="008B6A75">
              <w:rPr>
                <w:bCs/>
                <w:sz w:val="20"/>
                <w:szCs w:val="20"/>
              </w:rPr>
              <w:t>50 969 900,00</w:t>
            </w:r>
          </w:p>
        </w:tc>
      </w:tr>
      <w:tr w:rsidR="00387142" w:rsidRPr="008B6A75" w14:paraId="16829579" w14:textId="77777777" w:rsidTr="00387142">
        <w:trPr>
          <w:trHeight w:val="1155"/>
        </w:trPr>
        <w:tc>
          <w:tcPr>
            <w:tcW w:w="272" w:type="dxa"/>
            <w:tcBorders>
              <w:top w:val="nil"/>
              <w:left w:val="nil"/>
              <w:bottom w:val="nil"/>
              <w:right w:val="single" w:sz="4" w:space="0" w:color="auto"/>
            </w:tcBorders>
            <w:shd w:val="clear" w:color="auto" w:fill="auto"/>
            <w:noWrap/>
            <w:vAlign w:val="bottom"/>
            <w:hideMark/>
          </w:tcPr>
          <w:p w14:paraId="78DD030D"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51CB0CEC" w14:textId="77777777" w:rsidR="00387142" w:rsidRPr="008B6A75" w:rsidRDefault="00387142" w:rsidP="00387142">
            <w:pPr>
              <w:rPr>
                <w:bCs/>
                <w:sz w:val="20"/>
                <w:szCs w:val="20"/>
              </w:rPr>
            </w:pPr>
            <w:r w:rsidRPr="008B6A75">
              <w:rPr>
                <w:bCs/>
                <w:sz w:val="20"/>
                <w:szCs w:val="20"/>
              </w:rPr>
              <w:t>Расходы на обеспечение деятельности (оказание услуг) муниципальных учреждений культуры и мероприятий в сфере культуры и кинематографии</w:t>
            </w:r>
          </w:p>
        </w:tc>
        <w:tc>
          <w:tcPr>
            <w:tcW w:w="1559" w:type="dxa"/>
            <w:tcBorders>
              <w:top w:val="nil"/>
              <w:left w:val="single" w:sz="4" w:space="0" w:color="auto"/>
              <w:bottom w:val="single" w:sz="4" w:space="0" w:color="auto"/>
              <w:right w:val="nil"/>
            </w:tcBorders>
            <w:shd w:val="clear" w:color="auto" w:fill="auto"/>
            <w:noWrap/>
            <w:vAlign w:val="center"/>
            <w:hideMark/>
          </w:tcPr>
          <w:p w14:paraId="75BBA135" w14:textId="77777777" w:rsidR="00387142" w:rsidRPr="008B6A75" w:rsidRDefault="00387142" w:rsidP="00387142">
            <w:pPr>
              <w:jc w:val="center"/>
              <w:rPr>
                <w:bCs/>
                <w:sz w:val="20"/>
                <w:szCs w:val="20"/>
              </w:rPr>
            </w:pPr>
            <w:r w:rsidRPr="008B6A75">
              <w:rPr>
                <w:bCs/>
                <w:sz w:val="20"/>
                <w:szCs w:val="20"/>
              </w:rPr>
              <w:t>08.0.00.08190</w:t>
            </w:r>
          </w:p>
        </w:tc>
        <w:tc>
          <w:tcPr>
            <w:tcW w:w="850" w:type="dxa"/>
            <w:tcBorders>
              <w:top w:val="nil"/>
              <w:left w:val="single" w:sz="4" w:space="0" w:color="auto"/>
              <w:bottom w:val="single" w:sz="4" w:space="0" w:color="auto"/>
              <w:right w:val="nil"/>
            </w:tcBorders>
            <w:shd w:val="clear" w:color="auto" w:fill="auto"/>
            <w:noWrap/>
            <w:vAlign w:val="center"/>
            <w:hideMark/>
          </w:tcPr>
          <w:p w14:paraId="3A24688A" w14:textId="77777777" w:rsidR="00387142" w:rsidRPr="008B6A75" w:rsidRDefault="00387142" w:rsidP="00387142">
            <w:pPr>
              <w:jc w:val="center"/>
              <w:rPr>
                <w:bCs/>
                <w:sz w:val="20"/>
                <w:szCs w:val="20"/>
              </w:rPr>
            </w:pPr>
            <w:r w:rsidRPr="008B6A75">
              <w:rPr>
                <w:bCs/>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21CB3A65" w14:textId="77777777" w:rsidR="00387142" w:rsidRPr="008B6A75" w:rsidRDefault="00387142" w:rsidP="00387142">
            <w:pPr>
              <w:jc w:val="center"/>
              <w:rPr>
                <w:bCs/>
                <w:sz w:val="20"/>
                <w:szCs w:val="20"/>
              </w:rPr>
            </w:pPr>
            <w:r w:rsidRPr="008B6A75">
              <w:rPr>
                <w:bCs/>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0C8BFA61" w14:textId="77777777" w:rsidR="00387142" w:rsidRPr="008B6A75" w:rsidRDefault="00387142" w:rsidP="00387142">
            <w:pPr>
              <w:jc w:val="center"/>
              <w:rPr>
                <w:bCs/>
                <w:sz w:val="20"/>
                <w:szCs w:val="20"/>
              </w:rPr>
            </w:pPr>
            <w:r w:rsidRPr="008B6A75">
              <w:rPr>
                <w:bCs/>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1110BDD" w14:textId="77777777" w:rsidR="00387142" w:rsidRPr="008B6A75" w:rsidRDefault="00387142" w:rsidP="00387142">
            <w:pPr>
              <w:jc w:val="right"/>
              <w:rPr>
                <w:bCs/>
                <w:sz w:val="20"/>
                <w:szCs w:val="20"/>
              </w:rPr>
            </w:pPr>
            <w:r w:rsidRPr="008B6A75">
              <w:rPr>
                <w:bCs/>
                <w:sz w:val="20"/>
                <w:szCs w:val="20"/>
              </w:rPr>
              <w:t>10 946 502,37</w:t>
            </w:r>
          </w:p>
        </w:tc>
        <w:tc>
          <w:tcPr>
            <w:tcW w:w="851" w:type="dxa"/>
            <w:tcBorders>
              <w:top w:val="nil"/>
              <w:left w:val="single" w:sz="4" w:space="0" w:color="auto"/>
              <w:bottom w:val="single" w:sz="4" w:space="0" w:color="auto"/>
              <w:right w:val="nil"/>
            </w:tcBorders>
            <w:shd w:val="clear" w:color="auto" w:fill="auto"/>
            <w:noWrap/>
            <w:vAlign w:val="center"/>
            <w:hideMark/>
          </w:tcPr>
          <w:p w14:paraId="36011911" w14:textId="77777777" w:rsidR="00387142" w:rsidRPr="008B6A75" w:rsidRDefault="00387142" w:rsidP="00387142">
            <w:pPr>
              <w:jc w:val="right"/>
              <w:rPr>
                <w:bCs/>
                <w:sz w:val="20"/>
                <w:szCs w:val="20"/>
              </w:rPr>
            </w:pPr>
            <w:r w:rsidRPr="008B6A75">
              <w:rPr>
                <w:bCs/>
                <w:sz w:val="20"/>
                <w:szCs w:val="20"/>
              </w:rPr>
              <w:t>31 300 000,00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632B7DB6" w14:textId="77777777" w:rsidR="00387142" w:rsidRPr="008B6A75" w:rsidRDefault="00387142" w:rsidP="00387142">
            <w:pPr>
              <w:jc w:val="right"/>
              <w:rPr>
                <w:bCs/>
                <w:sz w:val="20"/>
                <w:szCs w:val="20"/>
              </w:rPr>
            </w:pPr>
            <w:r w:rsidRPr="008B6A75">
              <w:rPr>
                <w:bCs/>
                <w:sz w:val="20"/>
                <w:szCs w:val="20"/>
              </w:rPr>
              <w:t>31 300 000,00</w:t>
            </w:r>
          </w:p>
        </w:tc>
      </w:tr>
      <w:tr w:rsidR="00387142" w:rsidRPr="008B6A75" w14:paraId="0725165B" w14:textId="77777777" w:rsidTr="00387142">
        <w:trPr>
          <w:trHeight w:val="1440"/>
        </w:trPr>
        <w:tc>
          <w:tcPr>
            <w:tcW w:w="272" w:type="dxa"/>
            <w:tcBorders>
              <w:top w:val="nil"/>
              <w:left w:val="nil"/>
              <w:bottom w:val="nil"/>
              <w:right w:val="single" w:sz="4" w:space="0" w:color="auto"/>
            </w:tcBorders>
            <w:shd w:val="clear" w:color="auto" w:fill="auto"/>
            <w:noWrap/>
            <w:vAlign w:val="bottom"/>
            <w:hideMark/>
          </w:tcPr>
          <w:p w14:paraId="2AACFB14"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492909FA" w14:textId="77777777" w:rsidR="00387142" w:rsidRPr="008B6A75" w:rsidRDefault="00387142" w:rsidP="00387142">
            <w:pPr>
              <w:rPr>
                <w:sz w:val="20"/>
                <w:szCs w:val="20"/>
              </w:rPr>
            </w:pPr>
            <w:r w:rsidRPr="008B6A7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single" w:sz="4" w:space="0" w:color="auto"/>
              <w:bottom w:val="single" w:sz="4" w:space="0" w:color="auto"/>
              <w:right w:val="nil"/>
            </w:tcBorders>
            <w:shd w:val="clear" w:color="auto" w:fill="auto"/>
            <w:noWrap/>
            <w:vAlign w:val="center"/>
            <w:hideMark/>
          </w:tcPr>
          <w:p w14:paraId="4670A23F" w14:textId="77777777" w:rsidR="00387142" w:rsidRPr="008B6A75" w:rsidRDefault="00387142" w:rsidP="00387142">
            <w:pPr>
              <w:jc w:val="center"/>
              <w:rPr>
                <w:sz w:val="20"/>
                <w:szCs w:val="20"/>
              </w:rPr>
            </w:pPr>
            <w:r w:rsidRPr="008B6A75">
              <w:rPr>
                <w:sz w:val="20"/>
                <w:szCs w:val="20"/>
              </w:rPr>
              <w:t>08.0.00.08190</w:t>
            </w:r>
          </w:p>
        </w:tc>
        <w:tc>
          <w:tcPr>
            <w:tcW w:w="850" w:type="dxa"/>
            <w:tcBorders>
              <w:top w:val="nil"/>
              <w:left w:val="single" w:sz="4" w:space="0" w:color="auto"/>
              <w:bottom w:val="single" w:sz="4" w:space="0" w:color="auto"/>
              <w:right w:val="nil"/>
            </w:tcBorders>
            <w:shd w:val="clear" w:color="auto" w:fill="auto"/>
            <w:noWrap/>
            <w:vAlign w:val="center"/>
            <w:hideMark/>
          </w:tcPr>
          <w:p w14:paraId="6A0D3056" w14:textId="77777777" w:rsidR="00387142" w:rsidRPr="008B6A75" w:rsidRDefault="00387142" w:rsidP="00387142">
            <w:pPr>
              <w:jc w:val="center"/>
              <w:rPr>
                <w:sz w:val="20"/>
                <w:szCs w:val="20"/>
              </w:rPr>
            </w:pPr>
            <w:r w:rsidRPr="008B6A75">
              <w:rPr>
                <w:sz w:val="20"/>
                <w:szCs w:val="20"/>
              </w:rPr>
              <w:t>100</w:t>
            </w:r>
          </w:p>
        </w:tc>
        <w:tc>
          <w:tcPr>
            <w:tcW w:w="567" w:type="dxa"/>
            <w:tcBorders>
              <w:top w:val="nil"/>
              <w:left w:val="single" w:sz="4" w:space="0" w:color="auto"/>
              <w:bottom w:val="single" w:sz="4" w:space="0" w:color="auto"/>
              <w:right w:val="nil"/>
            </w:tcBorders>
            <w:shd w:val="clear" w:color="auto" w:fill="auto"/>
            <w:noWrap/>
            <w:vAlign w:val="center"/>
            <w:hideMark/>
          </w:tcPr>
          <w:p w14:paraId="17045133" w14:textId="77777777" w:rsidR="00387142" w:rsidRPr="008B6A75" w:rsidRDefault="00387142" w:rsidP="00387142">
            <w:pPr>
              <w:jc w:val="center"/>
              <w:rPr>
                <w:sz w:val="20"/>
                <w:szCs w:val="20"/>
              </w:rPr>
            </w:pPr>
            <w:r w:rsidRPr="008B6A75">
              <w:rPr>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1BABD1F8" w14:textId="77777777" w:rsidR="00387142" w:rsidRPr="008B6A75" w:rsidRDefault="00387142" w:rsidP="00387142">
            <w:pPr>
              <w:jc w:val="center"/>
              <w:rPr>
                <w:sz w:val="20"/>
                <w:szCs w:val="20"/>
              </w:rPr>
            </w:pPr>
            <w:r w:rsidRPr="008B6A75">
              <w:rPr>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9A2D2AA" w14:textId="77777777" w:rsidR="00387142" w:rsidRPr="008B6A75" w:rsidRDefault="00387142" w:rsidP="00387142">
            <w:pPr>
              <w:jc w:val="right"/>
              <w:rPr>
                <w:sz w:val="20"/>
                <w:szCs w:val="20"/>
              </w:rPr>
            </w:pPr>
            <w:r w:rsidRPr="008B6A75">
              <w:rPr>
                <w:sz w:val="20"/>
                <w:szCs w:val="20"/>
              </w:rPr>
              <w:t>0,00</w:t>
            </w:r>
          </w:p>
        </w:tc>
        <w:tc>
          <w:tcPr>
            <w:tcW w:w="851" w:type="dxa"/>
            <w:tcBorders>
              <w:top w:val="nil"/>
              <w:left w:val="single" w:sz="4" w:space="0" w:color="auto"/>
              <w:bottom w:val="single" w:sz="4" w:space="0" w:color="auto"/>
              <w:right w:val="nil"/>
            </w:tcBorders>
            <w:shd w:val="clear" w:color="auto" w:fill="auto"/>
            <w:noWrap/>
            <w:vAlign w:val="center"/>
            <w:hideMark/>
          </w:tcPr>
          <w:p w14:paraId="667886BE" w14:textId="77777777" w:rsidR="00387142" w:rsidRPr="008B6A75" w:rsidRDefault="00387142" w:rsidP="00387142">
            <w:pPr>
              <w:jc w:val="right"/>
              <w:rPr>
                <w:sz w:val="20"/>
                <w:szCs w:val="20"/>
              </w:rPr>
            </w:pPr>
            <w:r w:rsidRPr="008B6A75">
              <w:rPr>
                <w:sz w:val="20"/>
                <w:szCs w:val="20"/>
              </w:rPr>
              <w:t>15 420 000,00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38D60FB3" w14:textId="77777777" w:rsidR="00387142" w:rsidRPr="008B6A75" w:rsidRDefault="00387142" w:rsidP="00387142">
            <w:pPr>
              <w:jc w:val="right"/>
              <w:rPr>
                <w:sz w:val="20"/>
                <w:szCs w:val="20"/>
              </w:rPr>
            </w:pPr>
            <w:r w:rsidRPr="008B6A75">
              <w:rPr>
                <w:sz w:val="20"/>
                <w:szCs w:val="20"/>
              </w:rPr>
              <w:t>20 000 000,00</w:t>
            </w:r>
          </w:p>
        </w:tc>
      </w:tr>
      <w:tr w:rsidR="00387142" w:rsidRPr="008B6A75" w14:paraId="21BA5901" w14:textId="77777777" w:rsidTr="00387142">
        <w:trPr>
          <w:trHeight w:val="585"/>
        </w:trPr>
        <w:tc>
          <w:tcPr>
            <w:tcW w:w="272" w:type="dxa"/>
            <w:tcBorders>
              <w:top w:val="nil"/>
              <w:left w:val="nil"/>
              <w:bottom w:val="nil"/>
              <w:right w:val="single" w:sz="4" w:space="0" w:color="auto"/>
            </w:tcBorders>
            <w:shd w:val="clear" w:color="auto" w:fill="auto"/>
            <w:noWrap/>
            <w:vAlign w:val="bottom"/>
            <w:hideMark/>
          </w:tcPr>
          <w:p w14:paraId="34D749BF"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4234F011" w14:textId="77777777" w:rsidR="00387142" w:rsidRPr="008B6A75" w:rsidRDefault="00387142" w:rsidP="00387142">
            <w:pPr>
              <w:rPr>
                <w:sz w:val="20"/>
                <w:szCs w:val="20"/>
              </w:rPr>
            </w:pPr>
            <w:r w:rsidRPr="008B6A75">
              <w:rPr>
                <w:sz w:val="20"/>
                <w:szCs w:val="20"/>
              </w:rPr>
              <w:t>Расходы на выплаты персоналу казенных учреждений</w:t>
            </w:r>
          </w:p>
        </w:tc>
        <w:tc>
          <w:tcPr>
            <w:tcW w:w="1559" w:type="dxa"/>
            <w:tcBorders>
              <w:top w:val="nil"/>
              <w:left w:val="single" w:sz="4" w:space="0" w:color="auto"/>
              <w:bottom w:val="single" w:sz="4" w:space="0" w:color="auto"/>
              <w:right w:val="nil"/>
            </w:tcBorders>
            <w:shd w:val="clear" w:color="auto" w:fill="auto"/>
            <w:noWrap/>
            <w:vAlign w:val="center"/>
            <w:hideMark/>
          </w:tcPr>
          <w:p w14:paraId="03EA8130" w14:textId="77777777" w:rsidR="00387142" w:rsidRPr="008B6A75" w:rsidRDefault="00387142" w:rsidP="00387142">
            <w:pPr>
              <w:jc w:val="center"/>
              <w:rPr>
                <w:sz w:val="20"/>
                <w:szCs w:val="20"/>
              </w:rPr>
            </w:pPr>
            <w:r w:rsidRPr="008B6A75">
              <w:rPr>
                <w:sz w:val="20"/>
                <w:szCs w:val="20"/>
              </w:rPr>
              <w:t>08.0.00.08190</w:t>
            </w:r>
          </w:p>
        </w:tc>
        <w:tc>
          <w:tcPr>
            <w:tcW w:w="850" w:type="dxa"/>
            <w:tcBorders>
              <w:top w:val="nil"/>
              <w:left w:val="single" w:sz="4" w:space="0" w:color="auto"/>
              <w:bottom w:val="single" w:sz="4" w:space="0" w:color="auto"/>
              <w:right w:val="nil"/>
            </w:tcBorders>
            <w:shd w:val="clear" w:color="auto" w:fill="auto"/>
            <w:noWrap/>
            <w:vAlign w:val="center"/>
            <w:hideMark/>
          </w:tcPr>
          <w:p w14:paraId="566ACD14" w14:textId="77777777" w:rsidR="00387142" w:rsidRPr="008B6A75" w:rsidRDefault="00387142" w:rsidP="00387142">
            <w:pPr>
              <w:jc w:val="center"/>
              <w:rPr>
                <w:sz w:val="20"/>
                <w:szCs w:val="20"/>
              </w:rPr>
            </w:pPr>
            <w:r w:rsidRPr="008B6A75">
              <w:rPr>
                <w:sz w:val="20"/>
                <w:szCs w:val="20"/>
              </w:rPr>
              <w:t>110</w:t>
            </w:r>
          </w:p>
        </w:tc>
        <w:tc>
          <w:tcPr>
            <w:tcW w:w="567" w:type="dxa"/>
            <w:tcBorders>
              <w:top w:val="nil"/>
              <w:left w:val="single" w:sz="4" w:space="0" w:color="auto"/>
              <w:bottom w:val="single" w:sz="4" w:space="0" w:color="auto"/>
              <w:right w:val="nil"/>
            </w:tcBorders>
            <w:shd w:val="clear" w:color="auto" w:fill="auto"/>
            <w:noWrap/>
            <w:vAlign w:val="center"/>
            <w:hideMark/>
          </w:tcPr>
          <w:p w14:paraId="5A4A4C69" w14:textId="77777777" w:rsidR="00387142" w:rsidRPr="008B6A75" w:rsidRDefault="00387142" w:rsidP="00387142">
            <w:pPr>
              <w:jc w:val="center"/>
              <w:rPr>
                <w:sz w:val="20"/>
                <w:szCs w:val="20"/>
              </w:rPr>
            </w:pPr>
            <w:r w:rsidRPr="008B6A75">
              <w:rPr>
                <w:sz w:val="20"/>
                <w:szCs w:val="20"/>
              </w:rPr>
              <w:t>08</w:t>
            </w:r>
          </w:p>
        </w:tc>
        <w:tc>
          <w:tcPr>
            <w:tcW w:w="567" w:type="dxa"/>
            <w:tcBorders>
              <w:top w:val="nil"/>
              <w:left w:val="single" w:sz="4" w:space="0" w:color="auto"/>
              <w:bottom w:val="single" w:sz="4" w:space="0" w:color="auto"/>
              <w:right w:val="nil"/>
            </w:tcBorders>
            <w:shd w:val="clear" w:color="auto" w:fill="auto"/>
            <w:noWrap/>
            <w:vAlign w:val="center"/>
            <w:hideMark/>
          </w:tcPr>
          <w:p w14:paraId="6F62314E" w14:textId="77777777" w:rsidR="00387142" w:rsidRPr="008B6A75" w:rsidRDefault="00387142" w:rsidP="00387142">
            <w:pPr>
              <w:jc w:val="center"/>
              <w:rPr>
                <w:sz w:val="20"/>
                <w:szCs w:val="20"/>
              </w:rPr>
            </w:pPr>
            <w:r w:rsidRPr="008B6A75">
              <w:rPr>
                <w:sz w:val="20"/>
                <w:szCs w:val="20"/>
              </w:rPr>
              <w:t>01</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50A8362" w14:textId="77777777" w:rsidR="00387142" w:rsidRPr="008B6A75" w:rsidRDefault="00387142" w:rsidP="00387142">
            <w:pPr>
              <w:jc w:val="right"/>
              <w:rPr>
                <w:sz w:val="20"/>
                <w:szCs w:val="20"/>
              </w:rPr>
            </w:pPr>
            <w:r w:rsidRPr="008B6A75">
              <w:rPr>
                <w:sz w:val="20"/>
                <w:szCs w:val="20"/>
              </w:rPr>
              <w:t>0,00</w:t>
            </w:r>
          </w:p>
        </w:tc>
        <w:tc>
          <w:tcPr>
            <w:tcW w:w="851" w:type="dxa"/>
            <w:tcBorders>
              <w:top w:val="nil"/>
              <w:left w:val="single" w:sz="4" w:space="0" w:color="auto"/>
              <w:bottom w:val="single" w:sz="4" w:space="0" w:color="auto"/>
              <w:right w:val="nil"/>
            </w:tcBorders>
            <w:shd w:val="clear" w:color="auto" w:fill="auto"/>
            <w:noWrap/>
            <w:vAlign w:val="center"/>
            <w:hideMark/>
          </w:tcPr>
          <w:p w14:paraId="1F5F1ECB" w14:textId="77777777" w:rsidR="00387142" w:rsidRPr="008B6A75" w:rsidRDefault="00387142" w:rsidP="00387142">
            <w:pPr>
              <w:jc w:val="right"/>
              <w:rPr>
                <w:sz w:val="20"/>
                <w:szCs w:val="20"/>
              </w:rPr>
            </w:pPr>
            <w:r w:rsidRPr="008B6A75">
              <w:rPr>
                <w:sz w:val="20"/>
                <w:szCs w:val="20"/>
              </w:rPr>
              <w:t>15 420 000,00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1F2D2392" w14:textId="77777777" w:rsidR="00387142" w:rsidRPr="008B6A75" w:rsidRDefault="00387142" w:rsidP="00387142">
            <w:pPr>
              <w:jc w:val="right"/>
              <w:rPr>
                <w:sz w:val="20"/>
                <w:szCs w:val="20"/>
              </w:rPr>
            </w:pPr>
            <w:r w:rsidRPr="008B6A75">
              <w:rPr>
                <w:sz w:val="20"/>
                <w:szCs w:val="20"/>
              </w:rPr>
              <w:t>20 000 000,00</w:t>
            </w:r>
          </w:p>
        </w:tc>
      </w:tr>
      <w:tr w:rsidR="00387142" w:rsidRPr="008B6A75" w14:paraId="4A352515" w14:textId="77777777" w:rsidTr="00387142">
        <w:trPr>
          <w:trHeight w:val="585"/>
        </w:trPr>
        <w:tc>
          <w:tcPr>
            <w:tcW w:w="272" w:type="dxa"/>
            <w:tcBorders>
              <w:top w:val="nil"/>
              <w:left w:val="nil"/>
              <w:bottom w:val="nil"/>
              <w:right w:val="single" w:sz="4" w:space="0" w:color="auto"/>
            </w:tcBorders>
            <w:shd w:val="clear" w:color="auto" w:fill="auto"/>
            <w:noWrap/>
            <w:vAlign w:val="bottom"/>
            <w:hideMark/>
          </w:tcPr>
          <w:p w14:paraId="04F5415A"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4FD8BFD5" w14:textId="77777777" w:rsidR="00387142" w:rsidRPr="008B6A75" w:rsidRDefault="00387142" w:rsidP="00387142">
            <w:pPr>
              <w:rPr>
                <w:sz w:val="20"/>
                <w:szCs w:val="20"/>
              </w:rPr>
            </w:pPr>
            <w:r w:rsidRPr="008B6A75">
              <w:rPr>
                <w:sz w:val="20"/>
                <w:szCs w:val="20"/>
              </w:rPr>
              <w:t>Закупка товаров, работ и услуг для обеспечения государственных (муниципальных) нужд</w:t>
            </w:r>
          </w:p>
        </w:tc>
        <w:tc>
          <w:tcPr>
            <w:tcW w:w="1559" w:type="dxa"/>
            <w:tcBorders>
              <w:top w:val="nil"/>
              <w:left w:val="single" w:sz="4" w:space="0" w:color="auto"/>
              <w:bottom w:val="single" w:sz="4" w:space="0" w:color="auto"/>
              <w:right w:val="nil"/>
            </w:tcBorders>
            <w:shd w:val="clear" w:color="auto" w:fill="auto"/>
            <w:noWrap/>
            <w:vAlign w:val="center"/>
            <w:hideMark/>
          </w:tcPr>
          <w:p w14:paraId="494439AD" w14:textId="77777777" w:rsidR="00387142" w:rsidRPr="008B6A75" w:rsidRDefault="00387142" w:rsidP="00387142">
            <w:pPr>
              <w:jc w:val="center"/>
              <w:rPr>
                <w:sz w:val="20"/>
                <w:szCs w:val="20"/>
              </w:rPr>
            </w:pPr>
            <w:r w:rsidRPr="008B6A75">
              <w:rPr>
                <w:sz w:val="20"/>
                <w:szCs w:val="20"/>
              </w:rPr>
              <w:t>08.0.00.08190</w:t>
            </w:r>
          </w:p>
        </w:tc>
        <w:tc>
          <w:tcPr>
            <w:tcW w:w="850" w:type="dxa"/>
            <w:tcBorders>
              <w:top w:val="nil"/>
              <w:left w:val="single" w:sz="4" w:space="0" w:color="auto"/>
              <w:bottom w:val="single" w:sz="4" w:space="0" w:color="auto"/>
              <w:right w:val="nil"/>
            </w:tcBorders>
            <w:shd w:val="clear" w:color="auto" w:fill="auto"/>
            <w:noWrap/>
            <w:vAlign w:val="center"/>
            <w:hideMark/>
          </w:tcPr>
          <w:p w14:paraId="59657FE2" w14:textId="77777777" w:rsidR="00387142" w:rsidRPr="008B6A75" w:rsidRDefault="00387142" w:rsidP="00387142">
            <w:pPr>
              <w:jc w:val="center"/>
              <w:rPr>
                <w:sz w:val="20"/>
                <w:szCs w:val="20"/>
              </w:rPr>
            </w:pPr>
            <w:r w:rsidRPr="008B6A75">
              <w:rPr>
                <w:sz w:val="20"/>
                <w:szCs w:val="20"/>
              </w:rPr>
              <w:t>200</w:t>
            </w:r>
          </w:p>
        </w:tc>
        <w:tc>
          <w:tcPr>
            <w:tcW w:w="567" w:type="dxa"/>
            <w:tcBorders>
              <w:top w:val="nil"/>
              <w:left w:val="single" w:sz="4" w:space="0" w:color="auto"/>
              <w:bottom w:val="single" w:sz="4" w:space="0" w:color="auto"/>
              <w:right w:val="nil"/>
            </w:tcBorders>
            <w:shd w:val="clear" w:color="auto" w:fill="auto"/>
            <w:noWrap/>
            <w:vAlign w:val="center"/>
            <w:hideMark/>
          </w:tcPr>
          <w:p w14:paraId="25E7D95E" w14:textId="77777777" w:rsidR="00387142" w:rsidRPr="008B6A75" w:rsidRDefault="00387142" w:rsidP="00387142">
            <w:pPr>
              <w:jc w:val="center"/>
              <w:rPr>
                <w:sz w:val="20"/>
                <w:szCs w:val="20"/>
              </w:rPr>
            </w:pPr>
            <w:r w:rsidRPr="008B6A75">
              <w:rPr>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4A8AC3F0" w14:textId="77777777" w:rsidR="00387142" w:rsidRPr="008B6A75" w:rsidRDefault="00387142" w:rsidP="00387142">
            <w:pPr>
              <w:jc w:val="center"/>
              <w:rPr>
                <w:sz w:val="20"/>
                <w:szCs w:val="20"/>
              </w:rPr>
            </w:pPr>
            <w:r w:rsidRPr="008B6A75">
              <w:rPr>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88BB164" w14:textId="77777777" w:rsidR="00387142" w:rsidRPr="008B6A75" w:rsidRDefault="00387142" w:rsidP="00387142">
            <w:pPr>
              <w:jc w:val="right"/>
              <w:rPr>
                <w:sz w:val="20"/>
                <w:szCs w:val="20"/>
              </w:rPr>
            </w:pPr>
            <w:r w:rsidRPr="008B6A75">
              <w:rPr>
                <w:sz w:val="20"/>
                <w:szCs w:val="20"/>
              </w:rPr>
              <w:t>0,00</w:t>
            </w:r>
          </w:p>
        </w:tc>
        <w:tc>
          <w:tcPr>
            <w:tcW w:w="851" w:type="dxa"/>
            <w:tcBorders>
              <w:top w:val="nil"/>
              <w:left w:val="single" w:sz="4" w:space="0" w:color="auto"/>
              <w:bottom w:val="single" w:sz="4" w:space="0" w:color="auto"/>
              <w:right w:val="nil"/>
            </w:tcBorders>
            <w:shd w:val="clear" w:color="auto" w:fill="auto"/>
            <w:noWrap/>
            <w:vAlign w:val="center"/>
            <w:hideMark/>
          </w:tcPr>
          <w:p w14:paraId="3221360D" w14:textId="77777777" w:rsidR="00387142" w:rsidRPr="008B6A75" w:rsidRDefault="00387142" w:rsidP="00387142">
            <w:pPr>
              <w:jc w:val="right"/>
              <w:rPr>
                <w:sz w:val="20"/>
                <w:szCs w:val="20"/>
              </w:rPr>
            </w:pPr>
            <w:r w:rsidRPr="008B6A75">
              <w:rPr>
                <w:sz w:val="20"/>
                <w:szCs w:val="20"/>
              </w:rPr>
              <w:t>3 880 000,00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3F2359B4" w14:textId="77777777" w:rsidR="00387142" w:rsidRPr="008B6A75" w:rsidRDefault="00387142" w:rsidP="00387142">
            <w:pPr>
              <w:jc w:val="right"/>
              <w:rPr>
                <w:sz w:val="20"/>
                <w:szCs w:val="20"/>
              </w:rPr>
            </w:pPr>
            <w:r w:rsidRPr="008B6A75">
              <w:rPr>
                <w:sz w:val="20"/>
                <w:szCs w:val="20"/>
              </w:rPr>
              <w:t>1 300 000,00</w:t>
            </w:r>
          </w:p>
        </w:tc>
      </w:tr>
      <w:tr w:rsidR="00387142" w:rsidRPr="008B6A75" w14:paraId="2CACEF0F" w14:textId="77777777" w:rsidTr="00387142">
        <w:trPr>
          <w:trHeight w:val="870"/>
        </w:trPr>
        <w:tc>
          <w:tcPr>
            <w:tcW w:w="272" w:type="dxa"/>
            <w:tcBorders>
              <w:top w:val="nil"/>
              <w:left w:val="nil"/>
              <w:bottom w:val="nil"/>
              <w:right w:val="single" w:sz="4" w:space="0" w:color="auto"/>
            </w:tcBorders>
            <w:shd w:val="clear" w:color="auto" w:fill="auto"/>
            <w:noWrap/>
            <w:vAlign w:val="bottom"/>
            <w:hideMark/>
          </w:tcPr>
          <w:p w14:paraId="73DC7689"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6BBC52CA" w14:textId="77777777" w:rsidR="00387142" w:rsidRPr="008B6A75" w:rsidRDefault="00387142" w:rsidP="00387142">
            <w:pPr>
              <w:rPr>
                <w:sz w:val="20"/>
                <w:szCs w:val="20"/>
              </w:rPr>
            </w:pPr>
            <w:r w:rsidRPr="008B6A75">
              <w:rPr>
                <w:sz w:val="20"/>
                <w:szCs w:val="20"/>
              </w:rPr>
              <w:t>Иные закупки товаров, работ и услуг для обеспечения государственных (муниципальных) нужд</w:t>
            </w:r>
          </w:p>
        </w:tc>
        <w:tc>
          <w:tcPr>
            <w:tcW w:w="1559" w:type="dxa"/>
            <w:tcBorders>
              <w:top w:val="nil"/>
              <w:left w:val="single" w:sz="4" w:space="0" w:color="auto"/>
              <w:bottom w:val="single" w:sz="4" w:space="0" w:color="auto"/>
              <w:right w:val="nil"/>
            </w:tcBorders>
            <w:shd w:val="clear" w:color="auto" w:fill="auto"/>
            <w:noWrap/>
            <w:vAlign w:val="center"/>
            <w:hideMark/>
          </w:tcPr>
          <w:p w14:paraId="32C0F450" w14:textId="77777777" w:rsidR="00387142" w:rsidRPr="008B6A75" w:rsidRDefault="00387142" w:rsidP="00387142">
            <w:pPr>
              <w:jc w:val="center"/>
              <w:rPr>
                <w:sz w:val="20"/>
                <w:szCs w:val="20"/>
              </w:rPr>
            </w:pPr>
            <w:r w:rsidRPr="008B6A75">
              <w:rPr>
                <w:sz w:val="20"/>
                <w:szCs w:val="20"/>
              </w:rPr>
              <w:t>08.0.00.08190</w:t>
            </w:r>
          </w:p>
        </w:tc>
        <w:tc>
          <w:tcPr>
            <w:tcW w:w="850" w:type="dxa"/>
            <w:tcBorders>
              <w:top w:val="nil"/>
              <w:left w:val="single" w:sz="4" w:space="0" w:color="auto"/>
              <w:bottom w:val="single" w:sz="4" w:space="0" w:color="auto"/>
              <w:right w:val="nil"/>
            </w:tcBorders>
            <w:shd w:val="clear" w:color="auto" w:fill="auto"/>
            <w:noWrap/>
            <w:vAlign w:val="center"/>
            <w:hideMark/>
          </w:tcPr>
          <w:p w14:paraId="2F696E51" w14:textId="77777777" w:rsidR="00387142" w:rsidRPr="008B6A75" w:rsidRDefault="00387142" w:rsidP="00387142">
            <w:pPr>
              <w:jc w:val="center"/>
              <w:rPr>
                <w:sz w:val="20"/>
                <w:szCs w:val="20"/>
              </w:rPr>
            </w:pPr>
            <w:r w:rsidRPr="008B6A75">
              <w:rPr>
                <w:sz w:val="20"/>
                <w:szCs w:val="20"/>
              </w:rPr>
              <w:t>240</w:t>
            </w:r>
          </w:p>
        </w:tc>
        <w:tc>
          <w:tcPr>
            <w:tcW w:w="567" w:type="dxa"/>
            <w:tcBorders>
              <w:top w:val="nil"/>
              <w:left w:val="single" w:sz="4" w:space="0" w:color="auto"/>
              <w:bottom w:val="single" w:sz="4" w:space="0" w:color="auto"/>
              <w:right w:val="nil"/>
            </w:tcBorders>
            <w:shd w:val="clear" w:color="auto" w:fill="auto"/>
            <w:noWrap/>
            <w:vAlign w:val="center"/>
            <w:hideMark/>
          </w:tcPr>
          <w:p w14:paraId="7AB9D750" w14:textId="77777777" w:rsidR="00387142" w:rsidRPr="008B6A75" w:rsidRDefault="00387142" w:rsidP="00387142">
            <w:pPr>
              <w:jc w:val="center"/>
              <w:rPr>
                <w:sz w:val="20"/>
                <w:szCs w:val="20"/>
              </w:rPr>
            </w:pPr>
            <w:r w:rsidRPr="008B6A75">
              <w:rPr>
                <w:sz w:val="20"/>
                <w:szCs w:val="20"/>
              </w:rPr>
              <w:t>08</w:t>
            </w:r>
          </w:p>
        </w:tc>
        <w:tc>
          <w:tcPr>
            <w:tcW w:w="567" w:type="dxa"/>
            <w:tcBorders>
              <w:top w:val="nil"/>
              <w:left w:val="single" w:sz="4" w:space="0" w:color="auto"/>
              <w:bottom w:val="single" w:sz="4" w:space="0" w:color="auto"/>
              <w:right w:val="nil"/>
            </w:tcBorders>
            <w:shd w:val="clear" w:color="auto" w:fill="auto"/>
            <w:noWrap/>
            <w:vAlign w:val="center"/>
            <w:hideMark/>
          </w:tcPr>
          <w:p w14:paraId="4686199D" w14:textId="77777777" w:rsidR="00387142" w:rsidRPr="008B6A75" w:rsidRDefault="00387142" w:rsidP="00387142">
            <w:pPr>
              <w:jc w:val="center"/>
              <w:rPr>
                <w:sz w:val="20"/>
                <w:szCs w:val="20"/>
              </w:rPr>
            </w:pPr>
            <w:r w:rsidRPr="008B6A75">
              <w:rPr>
                <w:sz w:val="20"/>
                <w:szCs w:val="20"/>
              </w:rPr>
              <w:t>01</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1917820" w14:textId="77777777" w:rsidR="00387142" w:rsidRPr="008B6A75" w:rsidRDefault="00387142" w:rsidP="00387142">
            <w:pPr>
              <w:jc w:val="right"/>
              <w:rPr>
                <w:sz w:val="20"/>
                <w:szCs w:val="20"/>
              </w:rPr>
            </w:pPr>
            <w:r w:rsidRPr="008B6A75">
              <w:rPr>
                <w:sz w:val="20"/>
                <w:szCs w:val="20"/>
              </w:rPr>
              <w:t>0,00</w:t>
            </w:r>
          </w:p>
        </w:tc>
        <w:tc>
          <w:tcPr>
            <w:tcW w:w="851" w:type="dxa"/>
            <w:tcBorders>
              <w:top w:val="nil"/>
              <w:left w:val="single" w:sz="4" w:space="0" w:color="auto"/>
              <w:bottom w:val="single" w:sz="4" w:space="0" w:color="auto"/>
              <w:right w:val="nil"/>
            </w:tcBorders>
            <w:shd w:val="clear" w:color="auto" w:fill="auto"/>
            <w:noWrap/>
            <w:vAlign w:val="center"/>
            <w:hideMark/>
          </w:tcPr>
          <w:p w14:paraId="64BA202A" w14:textId="77777777" w:rsidR="00387142" w:rsidRPr="008B6A75" w:rsidRDefault="00387142" w:rsidP="00387142">
            <w:pPr>
              <w:jc w:val="right"/>
              <w:rPr>
                <w:sz w:val="20"/>
                <w:szCs w:val="20"/>
              </w:rPr>
            </w:pPr>
            <w:r w:rsidRPr="008B6A75">
              <w:rPr>
                <w:sz w:val="20"/>
                <w:szCs w:val="20"/>
              </w:rPr>
              <w:t>3 880 000,00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5370E278" w14:textId="77777777" w:rsidR="00387142" w:rsidRPr="008B6A75" w:rsidRDefault="00387142" w:rsidP="00387142">
            <w:pPr>
              <w:jc w:val="right"/>
              <w:rPr>
                <w:sz w:val="20"/>
                <w:szCs w:val="20"/>
              </w:rPr>
            </w:pPr>
            <w:r w:rsidRPr="008B6A75">
              <w:rPr>
                <w:sz w:val="20"/>
                <w:szCs w:val="20"/>
              </w:rPr>
              <w:t>1 300 000,00</w:t>
            </w:r>
          </w:p>
        </w:tc>
      </w:tr>
      <w:tr w:rsidR="00387142" w:rsidRPr="008B6A75" w14:paraId="2525F6F8" w14:textId="77777777" w:rsidTr="00387142">
        <w:trPr>
          <w:trHeight w:val="870"/>
        </w:trPr>
        <w:tc>
          <w:tcPr>
            <w:tcW w:w="272" w:type="dxa"/>
            <w:tcBorders>
              <w:top w:val="nil"/>
              <w:left w:val="nil"/>
              <w:bottom w:val="nil"/>
              <w:right w:val="single" w:sz="4" w:space="0" w:color="auto"/>
            </w:tcBorders>
            <w:shd w:val="clear" w:color="auto" w:fill="auto"/>
            <w:noWrap/>
            <w:vAlign w:val="bottom"/>
            <w:hideMark/>
          </w:tcPr>
          <w:p w14:paraId="015BE7A6"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3DD26C93" w14:textId="77777777" w:rsidR="00387142" w:rsidRPr="008B6A75" w:rsidRDefault="00387142" w:rsidP="00387142">
            <w:pPr>
              <w:rPr>
                <w:sz w:val="20"/>
                <w:szCs w:val="20"/>
              </w:rPr>
            </w:pPr>
            <w:r w:rsidRPr="008B6A75">
              <w:rPr>
                <w:sz w:val="20"/>
                <w:szCs w:val="20"/>
              </w:rPr>
              <w:t>Предоставление субсидий бюджетным, автономным учреждениям и иным некоммерческим организациям</w:t>
            </w:r>
          </w:p>
        </w:tc>
        <w:tc>
          <w:tcPr>
            <w:tcW w:w="1559" w:type="dxa"/>
            <w:tcBorders>
              <w:top w:val="nil"/>
              <w:left w:val="single" w:sz="4" w:space="0" w:color="auto"/>
              <w:bottom w:val="single" w:sz="4" w:space="0" w:color="auto"/>
              <w:right w:val="nil"/>
            </w:tcBorders>
            <w:shd w:val="clear" w:color="auto" w:fill="auto"/>
            <w:noWrap/>
            <w:vAlign w:val="center"/>
            <w:hideMark/>
          </w:tcPr>
          <w:p w14:paraId="4C9C0FC1" w14:textId="77777777" w:rsidR="00387142" w:rsidRPr="008B6A75" w:rsidRDefault="00387142" w:rsidP="00387142">
            <w:pPr>
              <w:jc w:val="center"/>
              <w:rPr>
                <w:sz w:val="20"/>
                <w:szCs w:val="20"/>
              </w:rPr>
            </w:pPr>
            <w:r w:rsidRPr="008B6A75">
              <w:rPr>
                <w:sz w:val="20"/>
                <w:szCs w:val="20"/>
              </w:rPr>
              <w:t>08.0.00.08190</w:t>
            </w:r>
          </w:p>
        </w:tc>
        <w:tc>
          <w:tcPr>
            <w:tcW w:w="850" w:type="dxa"/>
            <w:tcBorders>
              <w:top w:val="nil"/>
              <w:left w:val="single" w:sz="4" w:space="0" w:color="auto"/>
              <w:bottom w:val="single" w:sz="4" w:space="0" w:color="auto"/>
              <w:right w:val="nil"/>
            </w:tcBorders>
            <w:shd w:val="clear" w:color="auto" w:fill="auto"/>
            <w:noWrap/>
            <w:vAlign w:val="center"/>
            <w:hideMark/>
          </w:tcPr>
          <w:p w14:paraId="1A1547F1" w14:textId="77777777" w:rsidR="00387142" w:rsidRPr="008B6A75" w:rsidRDefault="00387142" w:rsidP="00387142">
            <w:pPr>
              <w:jc w:val="center"/>
              <w:rPr>
                <w:sz w:val="20"/>
                <w:szCs w:val="20"/>
              </w:rPr>
            </w:pPr>
            <w:r w:rsidRPr="008B6A75">
              <w:rPr>
                <w:sz w:val="20"/>
                <w:szCs w:val="20"/>
              </w:rPr>
              <w:t>600</w:t>
            </w:r>
          </w:p>
        </w:tc>
        <w:tc>
          <w:tcPr>
            <w:tcW w:w="567" w:type="dxa"/>
            <w:tcBorders>
              <w:top w:val="nil"/>
              <w:left w:val="single" w:sz="4" w:space="0" w:color="auto"/>
              <w:bottom w:val="single" w:sz="4" w:space="0" w:color="auto"/>
              <w:right w:val="nil"/>
            </w:tcBorders>
            <w:shd w:val="clear" w:color="auto" w:fill="auto"/>
            <w:noWrap/>
            <w:vAlign w:val="center"/>
            <w:hideMark/>
          </w:tcPr>
          <w:p w14:paraId="3D75A073" w14:textId="77777777" w:rsidR="00387142" w:rsidRPr="008B6A75" w:rsidRDefault="00387142" w:rsidP="00387142">
            <w:pPr>
              <w:jc w:val="center"/>
              <w:rPr>
                <w:sz w:val="20"/>
                <w:szCs w:val="20"/>
              </w:rPr>
            </w:pPr>
            <w:r w:rsidRPr="008B6A75">
              <w:rPr>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64992295" w14:textId="77777777" w:rsidR="00387142" w:rsidRPr="008B6A75" w:rsidRDefault="00387142" w:rsidP="00387142">
            <w:pPr>
              <w:jc w:val="center"/>
              <w:rPr>
                <w:sz w:val="20"/>
                <w:szCs w:val="20"/>
              </w:rPr>
            </w:pPr>
            <w:r w:rsidRPr="008B6A75">
              <w:rPr>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1D0A0EB" w14:textId="77777777" w:rsidR="00387142" w:rsidRPr="008B6A75" w:rsidRDefault="00387142" w:rsidP="00387142">
            <w:pPr>
              <w:jc w:val="right"/>
              <w:rPr>
                <w:sz w:val="20"/>
                <w:szCs w:val="20"/>
              </w:rPr>
            </w:pPr>
            <w:r w:rsidRPr="008B6A75">
              <w:rPr>
                <w:sz w:val="20"/>
                <w:szCs w:val="20"/>
              </w:rPr>
              <w:t>10 946 502,37</w:t>
            </w:r>
          </w:p>
        </w:tc>
        <w:tc>
          <w:tcPr>
            <w:tcW w:w="851" w:type="dxa"/>
            <w:tcBorders>
              <w:top w:val="nil"/>
              <w:left w:val="single" w:sz="4" w:space="0" w:color="auto"/>
              <w:bottom w:val="single" w:sz="4" w:space="0" w:color="auto"/>
              <w:right w:val="nil"/>
            </w:tcBorders>
            <w:shd w:val="clear" w:color="auto" w:fill="auto"/>
            <w:noWrap/>
            <w:vAlign w:val="center"/>
            <w:hideMark/>
          </w:tcPr>
          <w:p w14:paraId="1BBA3BB4" w14:textId="77777777" w:rsidR="00387142" w:rsidRPr="008B6A75" w:rsidRDefault="00387142" w:rsidP="00387142">
            <w:pPr>
              <w:jc w:val="right"/>
              <w:rPr>
                <w:sz w:val="20"/>
                <w:szCs w:val="20"/>
              </w:rPr>
            </w:pPr>
            <w:r w:rsidRPr="008B6A75">
              <w:rPr>
                <w:sz w:val="20"/>
                <w:szCs w:val="20"/>
              </w:rPr>
              <w:t>12 000 000,00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5291242F" w14:textId="77777777" w:rsidR="00387142" w:rsidRPr="008B6A75" w:rsidRDefault="00387142" w:rsidP="00387142">
            <w:pPr>
              <w:jc w:val="right"/>
              <w:rPr>
                <w:sz w:val="20"/>
                <w:szCs w:val="20"/>
              </w:rPr>
            </w:pPr>
            <w:r w:rsidRPr="008B6A75">
              <w:rPr>
                <w:sz w:val="20"/>
                <w:szCs w:val="20"/>
              </w:rPr>
              <w:t>10 000 000,00</w:t>
            </w:r>
          </w:p>
        </w:tc>
      </w:tr>
      <w:tr w:rsidR="00387142" w:rsidRPr="008B6A75" w14:paraId="16C52A4F" w14:textId="77777777" w:rsidTr="00387142">
        <w:trPr>
          <w:trHeight w:val="300"/>
        </w:trPr>
        <w:tc>
          <w:tcPr>
            <w:tcW w:w="272" w:type="dxa"/>
            <w:tcBorders>
              <w:top w:val="nil"/>
              <w:left w:val="nil"/>
              <w:bottom w:val="nil"/>
              <w:right w:val="single" w:sz="4" w:space="0" w:color="auto"/>
            </w:tcBorders>
            <w:shd w:val="clear" w:color="auto" w:fill="auto"/>
            <w:noWrap/>
            <w:vAlign w:val="bottom"/>
            <w:hideMark/>
          </w:tcPr>
          <w:p w14:paraId="3C803E0B"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1ED8FD72" w14:textId="77777777" w:rsidR="00387142" w:rsidRPr="008B6A75" w:rsidRDefault="00387142" w:rsidP="00387142">
            <w:pPr>
              <w:rPr>
                <w:sz w:val="20"/>
                <w:szCs w:val="20"/>
              </w:rPr>
            </w:pPr>
            <w:r w:rsidRPr="008B6A75">
              <w:rPr>
                <w:sz w:val="20"/>
                <w:szCs w:val="20"/>
              </w:rPr>
              <w:t>Субсидии бюджетным учреждениям</w:t>
            </w:r>
          </w:p>
        </w:tc>
        <w:tc>
          <w:tcPr>
            <w:tcW w:w="1559" w:type="dxa"/>
            <w:tcBorders>
              <w:top w:val="nil"/>
              <w:left w:val="single" w:sz="4" w:space="0" w:color="auto"/>
              <w:bottom w:val="single" w:sz="4" w:space="0" w:color="auto"/>
              <w:right w:val="nil"/>
            </w:tcBorders>
            <w:shd w:val="clear" w:color="auto" w:fill="auto"/>
            <w:noWrap/>
            <w:vAlign w:val="center"/>
            <w:hideMark/>
          </w:tcPr>
          <w:p w14:paraId="057FC2E7" w14:textId="77777777" w:rsidR="00387142" w:rsidRPr="008B6A75" w:rsidRDefault="00387142" w:rsidP="00387142">
            <w:pPr>
              <w:jc w:val="center"/>
              <w:rPr>
                <w:sz w:val="20"/>
                <w:szCs w:val="20"/>
              </w:rPr>
            </w:pPr>
            <w:r w:rsidRPr="008B6A75">
              <w:rPr>
                <w:sz w:val="20"/>
                <w:szCs w:val="20"/>
              </w:rPr>
              <w:t>08.0.00.08190</w:t>
            </w:r>
          </w:p>
        </w:tc>
        <w:tc>
          <w:tcPr>
            <w:tcW w:w="850" w:type="dxa"/>
            <w:tcBorders>
              <w:top w:val="nil"/>
              <w:left w:val="single" w:sz="4" w:space="0" w:color="auto"/>
              <w:bottom w:val="single" w:sz="4" w:space="0" w:color="auto"/>
              <w:right w:val="nil"/>
            </w:tcBorders>
            <w:shd w:val="clear" w:color="auto" w:fill="auto"/>
            <w:noWrap/>
            <w:vAlign w:val="center"/>
            <w:hideMark/>
          </w:tcPr>
          <w:p w14:paraId="1164CC25" w14:textId="77777777" w:rsidR="00387142" w:rsidRPr="008B6A75" w:rsidRDefault="00387142" w:rsidP="00387142">
            <w:pPr>
              <w:jc w:val="center"/>
              <w:rPr>
                <w:sz w:val="20"/>
                <w:szCs w:val="20"/>
              </w:rPr>
            </w:pPr>
            <w:r w:rsidRPr="008B6A75">
              <w:rPr>
                <w:sz w:val="20"/>
                <w:szCs w:val="20"/>
              </w:rPr>
              <w:t>610</w:t>
            </w:r>
          </w:p>
        </w:tc>
        <w:tc>
          <w:tcPr>
            <w:tcW w:w="567" w:type="dxa"/>
            <w:tcBorders>
              <w:top w:val="nil"/>
              <w:left w:val="single" w:sz="4" w:space="0" w:color="auto"/>
              <w:bottom w:val="single" w:sz="4" w:space="0" w:color="auto"/>
              <w:right w:val="nil"/>
            </w:tcBorders>
            <w:shd w:val="clear" w:color="auto" w:fill="auto"/>
            <w:noWrap/>
            <w:vAlign w:val="center"/>
            <w:hideMark/>
          </w:tcPr>
          <w:p w14:paraId="62F87211" w14:textId="77777777" w:rsidR="00387142" w:rsidRPr="008B6A75" w:rsidRDefault="00387142" w:rsidP="00387142">
            <w:pPr>
              <w:jc w:val="center"/>
              <w:rPr>
                <w:sz w:val="20"/>
                <w:szCs w:val="20"/>
              </w:rPr>
            </w:pPr>
            <w:r w:rsidRPr="008B6A75">
              <w:rPr>
                <w:sz w:val="20"/>
                <w:szCs w:val="20"/>
              </w:rPr>
              <w:t>08</w:t>
            </w:r>
          </w:p>
        </w:tc>
        <w:tc>
          <w:tcPr>
            <w:tcW w:w="567" w:type="dxa"/>
            <w:tcBorders>
              <w:top w:val="nil"/>
              <w:left w:val="single" w:sz="4" w:space="0" w:color="auto"/>
              <w:bottom w:val="single" w:sz="4" w:space="0" w:color="auto"/>
              <w:right w:val="nil"/>
            </w:tcBorders>
            <w:shd w:val="clear" w:color="auto" w:fill="auto"/>
            <w:noWrap/>
            <w:vAlign w:val="center"/>
            <w:hideMark/>
          </w:tcPr>
          <w:p w14:paraId="703CF314" w14:textId="77777777" w:rsidR="00387142" w:rsidRPr="008B6A75" w:rsidRDefault="00387142" w:rsidP="00387142">
            <w:pPr>
              <w:jc w:val="center"/>
              <w:rPr>
                <w:sz w:val="20"/>
                <w:szCs w:val="20"/>
              </w:rPr>
            </w:pPr>
            <w:r w:rsidRPr="008B6A75">
              <w:rPr>
                <w:sz w:val="20"/>
                <w:szCs w:val="20"/>
              </w:rPr>
              <w:t>01</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D463E99" w14:textId="77777777" w:rsidR="00387142" w:rsidRPr="008B6A75" w:rsidRDefault="00387142" w:rsidP="00387142">
            <w:pPr>
              <w:jc w:val="right"/>
              <w:rPr>
                <w:sz w:val="20"/>
                <w:szCs w:val="20"/>
              </w:rPr>
            </w:pPr>
            <w:r w:rsidRPr="008B6A75">
              <w:rPr>
                <w:sz w:val="20"/>
                <w:szCs w:val="20"/>
              </w:rPr>
              <w:t>10 946 502,37</w:t>
            </w:r>
          </w:p>
        </w:tc>
        <w:tc>
          <w:tcPr>
            <w:tcW w:w="851" w:type="dxa"/>
            <w:tcBorders>
              <w:top w:val="nil"/>
              <w:left w:val="single" w:sz="4" w:space="0" w:color="auto"/>
              <w:bottom w:val="single" w:sz="4" w:space="0" w:color="auto"/>
              <w:right w:val="nil"/>
            </w:tcBorders>
            <w:shd w:val="clear" w:color="auto" w:fill="auto"/>
            <w:noWrap/>
            <w:vAlign w:val="center"/>
            <w:hideMark/>
          </w:tcPr>
          <w:p w14:paraId="3ADC68FF" w14:textId="77777777" w:rsidR="00387142" w:rsidRPr="008B6A75" w:rsidRDefault="00387142" w:rsidP="00387142">
            <w:pPr>
              <w:jc w:val="right"/>
              <w:rPr>
                <w:sz w:val="20"/>
                <w:szCs w:val="20"/>
              </w:rPr>
            </w:pPr>
            <w:r w:rsidRPr="008B6A75">
              <w:rPr>
                <w:sz w:val="20"/>
                <w:szCs w:val="20"/>
              </w:rPr>
              <w:t>12 000 000,00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34B4CA64" w14:textId="77777777" w:rsidR="00387142" w:rsidRPr="008B6A75" w:rsidRDefault="00387142" w:rsidP="00387142">
            <w:pPr>
              <w:jc w:val="right"/>
              <w:rPr>
                <w:sz w:val="20"/>
                <w:szCs w:val="20"/>
              </w:rPr>
            </w:pPr>
            <w:r w:rsidRPr="008B6A75">
              <w:rPr>
                <w:sz w:val="20"/>
                <w:szCs w:val="20"/>
              </w:rPr>
              <w:t>10 000 000,00</w:t>
            </w:r>
          </w:p>
        </w:tc>
      </w:tr>
      <w:tr w:rsidR="00387142" w:rsidRPr="008B6A75" w14:paraId="2A44D357" w14:textId="77777777" w:rsidTr="00387142">
        <w:trPr>
          <w:trHeight w:val="585"/>
        </w:trPr>
        <w:tc>
          <w:tcPr>
            <w:tcW w:w="272" w:type="dxa"/>
            <w:tcBorders>
              <w:top w:val="nil"/>
              <w:left w:val="nil"/>
              <w:bottom w:val="nil"/>
              <w:right w:val="single" w:sz="4" w:space="0" w:color="auto"/>
            </w:tcBorders>
            <w:shd w:val="clear" w:color="auto" w:fill="auto"/>
            <w:noWrap/>
            <w:vAlign w:val="bottom"/>
            <w:hideMark/>
          </w:tcPr>
          <w:p w14:paraId="24F4D338"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5F57DFDC" w14:textId="77777777" w:rsidR="00387142" w:rsidRPr="008B6A75" w:rsidRDefault="00387142" w:rsidP="00387142">
            <w:pPr>
              <w:rPr>
                <w:bCs/>
                <w:sz w:val="20"/>
                <w:szCs w:val="20"/>
              </w:rPr>
            </w:pPr>
            <w:r w:rsidRPr="008B6A75">
              <w:rPr>
                <w:bCs/>
                <w:sz w:val="20"/>
                <w:szCs w:val="20"/>
              </w:rPr>
              <w:t>Расходы на обеспечение деятельности (оказание услуг) библиотек</w:t>
            </w:r>
          </w:p>
        </w:tc>
        <w:tc>
          <w:tcPr>
            <w:tcW w:w="1559" w:type="dxa"/>
            <w:tcBorders>
              <w:top w:val="nil"/>
              <w:left w:val="single" w:sz="4" w:space="0" w:color="auto"/>
              <w:bottom w:val="single" w:sz="4" w:space="0" w:color="auto"/>
              <w:right w:val="nil"/>
            </w:tcBorders>
            <w:shd w:val="clear" w:color="auto" w:fill="auto"/>
            <w:noWrap/>
            <w:vAlign w:val="center"/>
            <w:hideMark/>
          </w:tcPr>
          <w:p w14:paraId="4933F6EE" w14:textId="77777777" w:rsidR="00387142" w:rsidRPr="008B6A75" w:rsidRDefault="00387142" w:rsidP="00387142">
            <w:pPr>
              <w:jc w:val="center"/>
              <w:rPr>
                <w:bCs/>
                <w:sz w:val="20"/>
                <w:szCs w:val="20"/>
              </w:rPr>
            </w:pPr>
            <w:r w:rsidRPr="008B6A75">
              <w:rPr>
                <w:bCs/>
                <w:sz w:val="20"/>
                <w:szCs w:val="20"/>
              </w:rPr>
              <w:t>08.0.00.08390</w:t>
            </w:r>
          </w:p>
        </w:tc>
        <w:tc>
          <w:tcPr>
            <w:tcW w:w="850" w:type="dxa"/>
            <w:tcBorders>
              <w:top w:val="nil"/>
              <w:left w:val="single" w:sz="4" w:space="0" w:color="auto"/>
              <w:bottom w:val="single" w:sz="4" w:space="0" w:color="auto"/>
              <w:right w:val="nil"/>
            </w:tcBorders>
            <w:shd w:val="clear" w:color="auto" w:fill="auto"/>
            <w:noWrap/>
            <w:vAlign w:val="center"/>
            <w:hideMark/>
          </w:tcPr>
          <w:p w14:paraId="6994D389" w14:textId="77777777" w:rsidR="00387142" w:rsidRPr="008B6A75" w:rsidRDefault="00387142" w:rsidP="00387142">
            <w:pPr>
              <w:jc w:val="center"/>
              <w:rPr>
                <w:bCs/>
                <w:sz w:val="20"/>
                <w:szCs w:val="20"/>
              </w:rPr>
            </w:pPr>
            <w:r w:rsidRPr="008B6A75">
              <w:rPr>
                <w:bCs/>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0D842F20" w14:textId="77777777" w:rsidR="00387142" w:rsidRPr="008B6A75" w:rsidRDefault="00387142" w:rsidP="00387142">
            <w:pPr>
              <w:jc w:val="center"/>
              <w:rPr>
                <w:bCs/>
                <w:sz w:val="20"/>
                <w:szCs w:val="20"/>
              </w:rPr>
            </w:pPr>
            <w:r w:rsidRPr="008B6A75">
              <w:rPr>
                <w:bCs/>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231097DF" w14:textId="77777777" w:rsidR="00387142" w:rsidRPr="008B6A75" w:rsidRDefault="00387142" w:rsidP="00387142">
            <w:pPr>
              <w:jc w:val="center"/>
              <w:rPr>
                <w:bCs/>
                <w:sz w:val="20"/>
                <w:szCs w:val="20"/>
              </w:rPr>
            </w:pPr>
            <w:r w:rsidRPr="008B6A75">
              <w:rPr>
                <w:bCs/>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E9F1729" w14:textId="77777777" w:rsidR="00387142" w:rsidRPr="008B6A75" w:rsidRDefault="00387142" w:rsidP="00387142">
            <w:pPr>
              <w:jc w:val="right"/>
              <w:rPr>
                <w:bCs/>
                <w:sz w:val="20"/>
                <w:szCs w:val="20"/>
              </w:rPr>
            </w:pPr>
            <w:r w:rsidRPr="008B6A75">
              <w:rPr>
                <w:bCs/>
                <w:sz w:val="20"/>
                <w:szCs w:val="20"/>
              </w:rPr>
              <w:t>2 628 498,78</w:t>
            </w:r>
          </w:p>
        </w:tc>
        <w:tc>
          <w:tcPr>
            <w:tcW w:w="851" w:type="dxa"/>
            <w:tcBorders>
              <w:top w:val="nil"/>
              <w:left w:val="single" w:sz="4" w:space="0" w:color="auto"/>
              <w:bottom w:val="single" w:sz="4" w:space="0" w:color="auto"/>
              <w:right w:val="nil"/>
            </w:tcBorders>
            <w:shd w:val="clear" w:color="auto" w:fill="auto"/>
            <w:noWrap/>
            <w:vAlign w:val="center"/>
            <w:hideMark/>
          </w:tcPr>
          <w:p w14:paraId="48484EDE" w14:textId="77777777" w:rsidR="00387142" w:rsidRPr="008B6A75" w:rsidRDefault="00387142" w:rsidP="00387142">
            <w:pPr>
              <w:jc w:val="right"/>
              <w:rPr>
                <w:bCs/>
                <w:sz w:val="20"/>
                <w:szCs w:val="20"/>
              </w:rPr>
            </w:pPr>
            <w:r w:rsidRPr="008B6A75">
              <w:rPr>
                <w:bCs/>
                <w:sz w:val="20"/>
                <w:szCs w:val="20"/>
              </w:rPr>
              <w:t>16 000 000,00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190685B9" w14:textId="77777777" w:rsidR="00387142" w:rsidRPr="008B6A75" w:rsidRDefault="00387142" w:rsidP="00387142">
            <w:pPr>
              <w:jc w:val="right"/>
              <w:rPr>
                <w:bCs/>
                <w:sz w:val="20"/>
                <w:szCs w:val="20"/>
              </w:rPr>
            </w:pPr>
            <w:r w:rsidRPr="008B6A75">
              <w:rPr>
                <w:bCs/>
                <w:sz w:val="20"/>
                <w:szCs w:val="20"/>
              </w:rPr>
              <w:t>16 000 000,00</w:t>
            </w:r>
          </w:p>
        </w:tc>
      </w:tr>
      <w:tr w:rsidR="00387142" w:rsidRPr="008B6A75" w14:paraId="6CC1AF63" w14:textId="77777777" w:rsidTr="00387142">
        <w:trPr>
          <w:trHeight w:val="1440"/>
        </w:trPr>
        <w:tc>
          <w:tcPr>
            <w:tcW w:w="272" w:type="dxa"/>
            <w:tcBorders>
              <w:top w:val="nil"/>
              <w:left w:val="nil"/>
              <w:bottom w:val="nil"/>
              <w:right w:val="single" w:sz="4" w:space="0" w:color="auto"/>
            </w:tcBorders>
            <w:shd w:val="clear" w:color="auto" w:fill="auto"/>
            <w:noWrap/>
            <w:vAlign w:val="bottom"/>
            <w:hideMark/>
          </w:tcPr>
          <w:p w14:paraId="2D6C6EDF"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33E638AE" w14:textId="77777777" w:rsidR="00387142" w:rsidRPr="008B6A75" w:rsidRDefault="00387142" w:rsidP="00387142">
            <w:pPr>
              <w:rPr>
                <w:sz w:val="20"/>
                <w:szCs w:val="20"/>
              </w:rPr>
            </w:pPr>
            <w:r w:rsidRPr="008B6A7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single" w:sz="4" w:space="0" w:color="auto"/>
              <w:bottom w:val="single" w:sz="4" w:space="0" w:color="auto"/>
              <w:right w:val="nil"/>
            </w:tcBorders>
            <w:shd w:val="clear" w:color="auto" w:fill="auto"/>
            <w:noWrap/>
            <w:vAlign w:val="center"/>
            <w:hideMark/>
          </w:tcPr>
          <w:p w14:paraId="2219329F" w14:textId="77777777" w:rsidR="00387142" w:rsidRPr="008B6A75" w:rsidRDefault="00387142" w:rsidP="00387142">
            <w:pPr>
              <w:jc w:val="center"/>
              <w:rPr>
                <w:sz w:val="20"/>
                <w:szCs w:val="20"/>
              </w:rPr>
            </w:pPr>
            <w:r w:rsidRPr="008B6A75">
              <w:rPr>
                <w:sz w:val="20"/>
                <w:szCs w:val="20"/>
              </w:rPr>
              <w:t>08.0.00.08390</w:t>
            </w:r>
          </w:p>
        </w:tc>
        <w:tc>
          <w:tcPr>
            <w:tcW w:w="850" w:type="dxa"/>
            <w:tcBorders>
              <w:top w:val="nil"/>
              <w:left w:val="single" w:sz="4" w:space="0" w:color="auto"/>
              <w:bottom w:val="single" w:sz="4" w:space="0" w:color="auto"/>
              <w:right w:val="nil"/>
            </w:tcBorders>
            <w:shd w:val="clear" w:color="auto" w:fill="auto"/>
            <w:noWrap/>
            <w:vAlign w:val="center"/>
            <w:hideMark/>
          </w:tcPr>
          <w:p w14:paraId="3BB7B536" w14:textId="77777777" w:rsidR="00387142" w:rsidRPr="008B6A75" w:rsidRDefault="00387142" w:rsidP="00387142">
            <w:pPr>
              <w:jc w:val="center"/>
              <w:rPr>
                <w:sz w:val="20"/>
                <w:szCs w:val="20"/>
              </w:rPr>
            </w:pPr>
            <w:r w:rsidRPr="008B6A75">
              <w:rPr>
                <w:sz w:val="20"/>
                <w:szCs w:val="20"/>
              </w:rPr>
              <w:t>100</w:t>
            </w:r>
          </w:p>
        </w:tc>
        <w:tc>
          <w:tcPr>
            <w:tcW w:w="567" w:type="dxa"/>
            <w:tcBorders>
              <w:top w:val="nil"/>
              <w:left w:val="single" w:sz="4" w:space="0" w:color="auto"/>
              <w:bottom w:val="single" w:sz="4" w:space="0" w:color="auto"/>
              <w:right w:val="nil"/>
            </w:tcBorders>
            <w:shd w:val="clear" w:color="auto" w:fill="auto"/>
            <w:noWrap/>
            <w:vAlign w:val="center"/>
            <w:hideMark/>
          </w:tcPr>
          <w:p w14:paraId="11AF9BFB" w14:textId="77777777" w:rsidR="00387142" w:rsidRPr="008B6A75" w:rsidRDefault="00387142" w:rsidP="00387142">
            <w:pPr>
              <w:jc w:val="center"/>
              <w:rPr>
                <w:sz w:val="20"/>
                <w:szCs w:val="20"/>
              </w:rPr>
            </w:pPr>
            <w:r w:rsidRPr="008B6A75">
              <w:rPr>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18FFAAFA" w14:textId="77777777" w:rsidR="00387142" w:rsidRPr="008B6A75" w:rsidRDefault="00387142" w:rsidP="00387142">
            <w:pPr>
              <w:jc w:val="center"/>
              <w:rPr>
                <w:sz w:val="20"/>
                <w:szCs w:val="20"/>
              </w:rPr>
            </w:pPr>
            <w:r w:rsidRPr="008B6A75">
              <w:rPr>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34EF48A" w14:textId="77777777" w:rsidR="00387142" w:rsidRPr="008B6A75" w:rsidRDefault="00387142" w:rsidP="00387142">
            <w:pPr>
              <w:jc w:val="right"/>
              <w:rPr>
                <w:sz w:val="20"/>
                <w:szCs w:val="20"/>
              </w:rPr>
            </w:pPr>
            <w:r w:rsidRPr="008B6A75">
              <w:rPr>
                <w:sz w:val="20"/>
                <w:szCs w:val="20"/>
              </w:rPr>
              <w:t>0,00</w:t>
            </w:r>
          </w:p>
        </w:tc>
        <w:tc>
          <w:tcPr>
            <w:tcW w:w="851" w:type="dxa"/>
            <w:tcBorders>
              <w:top w:val="nil"/>
              <w:left w:val="single" w:sz="4" w:space="0" w:color="auto"/>
              <w:bottom w:val="single" w:sz="4" w:space="0" w:color="auto"/>
              <w:right w:val="nil"/>
            </w:tcBorders>
            <w:shd w:val="clear" w:color="auto" w:fill="auto"/>
            <w:noWrap/>
            <w:vAlign w:val="center"/>
            <w:hideMark/>
          </w:tcPr>
          <w:p w14:paraId="2708230F" w14:textId="77777777" w:rsidR="00387142" w:rsidRPr="008B6A75" w:rsidRDefault="00387142" w:rsidP="00387142">
            <w:pPr>
              <w:jc w:val="right"/>
              <w:rPr>
                <w:sz w:val="20"/>
                <w:szCs w:val="20"/>
              </w:rPr>
            </w:pPr>
            <w:r w:rsidRPr="008B6A75">
              <w:rPr>
                <w:sz w:val="20"/>
                <w:szCs w:val="20"/>
              </w:rPr>
              <w:t>9 000 000,00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7E35B084" w14:textId="77777777" w:rsidR="00387142" w:rsidRPr="008B6A75" w:rsidRDefault="00387142" w:rsidP="00387142">
            <w:pPr>
              <w:jc w:val="right"/>
              <w:rPr>
                <w:sz w:val="20"/>
                <w:szCs w:val="20"/>
              </w:rPr>
            </w:pPr>
            <w:r w:rsidRPr="008B6A75">
              <w:rPr>
                <w:sz w:val="20"/>
                <w:szCs w:val="20"/>
              </w:rPr>
              <w:t>9 000 000,00</w:t>
            </w:r>
          </w:p>
        </w:tc>
      </w:tr>
      <w:tr w:rsidR="00387142" w:rsidRPr="008B6A75" w14:paraId="3F457C25" w14:textId="77777777" w:rsidTr="00387142">
        <w:trPr>
          <w:trHeight w:val="585"/>
        </w:trPr>
        <w:tc>
          <w:tcPr>
            <w:tcW w:w="272" w:type="dxa"/>
            <w:tcBorders>
              <w:top w:val="nil"/>
              <w:left w:val="nil"/>
              <w:bottom w:val="nil"/>
              <w:right w:val="single" w:sz="4" w:space="0" w:color="auto"/>
            </w:tcBorders>
            <w:shd w:val="clear" w:color="auto" w:fill="auto"/>
            <w:noWrap/>
            <w:vAlign w:val="bottom"/>
            <w:hideMark/>
          </w:tcPr>
          <w:p w14:paraId="5D72577C"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069306E5" w14:textId="77777777" w:rsidR="00387142" w:rsidRPr="008B6A75" w:rsidRDefault="00387142" w:rsidP="00387142">
            <w:pPr>
              <w:rPr>
                <w:sz w:val="20"/>
                <w:szCs w:val="20"/>
              </w:rPr>
            </w:pPr>
            <w:r w:rsidRPr="008B6A75">
              <w:rPr>
                <w:sz w:val="20"/>
                <w:szCs w:val="20"/>
              </w:rPr>
              <w:t>Расходы на выплаты персоналу казенных учреждений</w:t>
            </w:r>
          </w:p>
        </w:tc>
        <w:tc>
          <w:tcPr>
            <w:tcW w:w="1559" w:type="dxa"/>
            <w:tcBorders>
              <w:top w:val="nil"/>
              <w:left w:val="single" w:sz="4" w:space="0" w:color="auto"/>
              <w:bottom w:val="single" w:sz="4" w:space="0" w:color="auto"/>
              <w:right w:val="nil"/>
            </w:tcBorders>
            <w:shd w:val="clear" w:color="auto" w:fill="auto"/>
            <w:noWrap/>
            <w:vAlign w:val="center"/>
            <w:hideMark/>
          </w:tcPr>
          <w:p w14:paraId="517C204F" w14:textId="77777777" w:rsidR="00387142" w:rsidRPr="008B6A75" w:rsidRDefault="00387142" w:rsidP="00387142">
            <w:pPr>
              <w:jc w:val="center"/>
              <w:rPr>
                <w:sz w:val="20"/>
                <w:szCs w:val="20"/>
              </w:rPr>
            </w:pPr>
            <w:r w:rsidRPr="008B6A75">
              <w:rPr>
                <w:sz w:val="20"/>
                <w:szCs w:val="20"/>
              </w:rPr>
              <w:t>08.0.00.08390</w:t>
            </w:r>
          </w:p>
        </w:tc>
        <w:tc>
          <w:tcPr>
            <w:tcW w:w="850" w:type="dxa"/>
            <w:tcBorders>
              <w:top w:val="nil"/>
              <w:left w:val="single" w:sz="4" w:space="0" w:color="auto"/>
              <w:bottom w:val="single" w:sz="4" w:space="0" w:color="auto"/>
              <w:right w:val="nil"/>
            </w:tcBorders>
            <w:shd w:val="clear" w:color="auto" w:fill="auto"/>
            <w:noWrap/>
            <w:vAlign w:val="center"/>
            <w:hideMark/>
          </w:tcPr>
          <w:p w14:paraId="21F05B7B" w14:textId="77777777" w:rsidR="00387142" w:rsidRPr="008B6A75" w:rsidRDefault="00387142" w:rsidP="00387142">
            <w:pPr>
              <w:jc w:val="center"/>
              <w:rPr>
                <w:sz w:val="20"/>
                <w:szCs w:val="20"/>
              </w:rPr>
            </w:pPr>
            <w:r w:rsidRPr="008B6A75">
              <w:rPr>
                <w:sz w:val="20"/>
                <w:szCs w:val="20"/>
              </w:rPr>
              <w:t>110</w:t>
            </w:r>
          </w:p>
        </w:tc>
        <w:tc>
          <w:tcPr>
            <w:tcW w:w="567" w:type="dxa"/>
            <w:tcBorders>
              <w:top w:val="nil"/>
              <w:left w:val="single" w:sz="4" w:space="0" w:color="auto"/>
              <w:bottom w:val="single" w:sz="4" w:space="0" w:color="auto"/>
              <w:right w:val="nil"/>
            </w:tcBorders>
            <w:shd w:val="clear" w:color="auto" w:fill="auto"/>
            <w:noWrap/>
            <w:vAlign w:val="center"/>
            <w:hideMark/>
          </w:tcPr>
          <w:p w14:paraId="1CF23CED" w14:textId="77777777" w:rsidR="00387142" w:rsidRPr="008B6A75" w:rsidRDefault="00387142" w:rsidP="00387142">
            <w:pPr>
              <w:jc w:val="center"/>
              <w:rPr>
                <w:sz w:val="20"/>
                <w:szCs w:val="20"/>
              </w:rPr>
            </w:pPr>
            <w:r w:rsidRPr="008B6A75">
              <w:rPr>
                <w:sz w:val="20"/>
                <w:szCs w:val="20"/>
              </w:rPr>
              <w:t>08</w:t>
            </w:r>
          </w:p>
        </w:tc>
        <w:tc>
          <w:tcPr>
            <w:tcW w:w="567" w:type="dxa"/>
            <w:tcBorders>
              <w:top w:val="nil"/>
              <w:left w:val="single" w:sz="4" w:space="0" w:color="auto"/>
              <w:bottom w:val="single" w:sz="4" w:space="0" w:color="auto"/>
              <w:right w:val="nil"/>
            </w:tcBorders>
            <w:shd w:val="clear" w:color="auto" w:fill="auto"/>
            <w:noWrap/>
            <w:vAlign w:val="center"/>
            <w:hideMark/>
          </w:tcPr>
          <w:p w14:paraId="14180F44" w14:textId="77777777" w:rsidR="00387142" w:rsidRPr="008B6A75" w:rsidRDefault="00387142" w:rsidP="00387142">
            <w:pPr>
              <w:jc w:val="center"/>
              <w:rPr>
                <w:sz w:val="20"/>
                <w:szCs w:val="20"/>
              </w:rPr>
            </w:pPr>
            <w:r w:rsidRPr="008B6A75">
              <w:rPr>
                <w:sz w:val="20"/>
                <w:szCs w:val="20"/>
              </w:rPr>
              <w:t>01</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A0E5BE5" w14:textId="77777777" w:rsidR="00387142" w:rsidRPr="008B6A75" w:rsidRDefault="00387142" w:rsidP="00387142">
            <w:pPr>
              <w:jc w:val="right"/>
              <w:rPr>
                <w:sz w:val="20"/>
                <w:szCs w:val="20"/>
              </w:rPr>
            </w:pPr>
            <w:r w:rsidRPr="008B6A75">
              <w:rPr>
                <w:sz w:val="20"/>
                <w:szCs w:val="20"/>
              </w:rPr>
              <w:t>0,00</w:t>
            </w:r>
          </w:p>
        </w:tc>
        <w:tc>
          <w:tcPr>
            <w:tcW w:w="851" w:type="dxa"/>
            <w:tcBorders>
              <w:top w:val="nil"/>
              <w:left w:val="single" w:sz="4" w:space="0" w:color="auto"/>
              <w:bottom w:val="single" w:sz="4" w:space="0" w:color="auto"/>
              <w:right w:val="nil"/>
            </w:tcBorders>
            <w:shd w:val="clear" w:color="auto" w:fill="auto"/>
            <w:noWrap/>
            <w:vAlign w:val="center"/>
            <w:hideMark/>
          </w:tcPr>
          <w:p w14:paraId="13E8693D" w14:textId="77777777" w:rsidR="00387142" w:rsidRPr="008B6A75" w:rsidRDefault="00387142" w:rsidP="00387142">
            <w:pPr>
              <w:jc w:val="right"/>
              <w:rPr>
                <w:sz w:val="20"/>
                <w:szCs w:val="20"/>
              </w:rPr>
            </w:pPr>
            <w:r w:rsidRPr="008B6A75">
              <w:rPr>
                <w:sz w:val="20"/>
                <w:szCs w:val="20"/>
              </w:rPr>
              <w:t>9 000 000,00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561A052D" w14:textId="77777777" w:rsidR="00387142" w:rsidRPr="008B6A75" w:rsidRDefault="00387142" w:rsidP="00387142">
            <w:pPr>
              <w:jc w:val="right"/>
              <w:rPr>
                <w:sz w:val="20"/>
                <w:szCs w:val="20"/>
              </w:rPr>
            </w:pPr>
            <w:r w:rsidRPr="008B6A75">
              <w:rPr>
                <w:sz w:val="20"/>
                <w:szCs w:val="20"/>
              </w:rPr>
              <w:t>9 000 000,00</w:t>
            </w:r>
          </w:p>
        </w:tc>
      </w:tr>
      <w:tr w:rsidR="00387142" w:rsidRPr="008B6A75" w14:paraId="43CA985C" w14:textId="77777777" w:rsidTr="00387142">
        <w:trPr>
          <w:trHeight w:val="585"/>
        </w:trPr>
        <w:tc>
          <w:tcPr>
            <w:tcW w:w="272" w:type="dxa"/>
            <w:tcBorders>
              <w:top w:val="nil"/>
              <w:left w:val="nil"/>
              <w:bottom w:val="nil"/>
              <w:right w:val="single" w:sz="4" w:space="0" w:color="auto"/>
            </w:tcBorders>
            <w:shd w:val="clear" w:color="auto" w:fill="auto"/>
            <w:noWrap/>
            <w:vAlign w:val="bottom"/>
            <w:hideMark/>
          </w:tcPr>
          <w:p w14:paraId="67B86763"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286339E7" w14:textId="77777777" w:rsidR="00387142" w:rsidRPr="008B6A75" w:rsidRDefault="00387142" w:rsidP="00387142">
            <w:pPr>
              <w:rPr>
                <w:sz w:val="20"/>
                <w:szCs w:val="20"/>
              </w:rPr>
            </w:pPr>
            <w:r w:rsidRPr="008B6A75">
              <w:rPr>
                <w:sz w:val="20"/>
                <w:szCs w:val="20"/>
              </w:rPr>
              <w:t>Закупка товаров, работ и услуг для обеспечения государственных (муниципальных) нужд</w:t>
            </w:r>
          </w:p>
        </w:tc>
        <w:tc>
          <w:tcPr>
            <w:tcW w:w="1559" w:type="dxa"/>
            <w:tcBorders>
              <w:top w:val="nil"/>
              <w:left w:val="single" w:sz="4" w:space="0" w:color="auto"/>
              <w:bottom w:val="single" w:sz="4" w:space="0" w:color="auto"/>
              <w:right w:val="nil"/>
            </w:tcBorders>
            <w:shd w:val="clear" w:color="auto" w:fill="auto"/>
            <w:noWrap/>
            <w:vAlign w:val="center"/>
            <w:hideMark/>
          </w:tcPr>
          <w:p w14:paraId="01B10CD7" w14:textId="77777777" w:rsidR="00387142" w:rsidRPr="008B6A75" w:rsidRDefault="00387142" w:rsidP="00387142">
            <w:pPr>
              <w:jc w:val="center"/>
              <w:rPr>
                <w:sz w:val="20"/>
                <w:szCs w:val="20"/>
              </w:rPr>
            </w:pPr>
            <w:r w:rsidRPr="008B6A75">
              <w:rPr>
                <w:sz w:val="20"/>
                <w:szCs w:val="20"/>
              </w:rPr>
              <w:t>08.0.00.08390</w:t>
            </w:r>
          </w:p>
        </w:tc>
        <w:tc>
          <w:tcPr>
            <w:tcW w:w="850" w:type="dxa"/>
            <w:tcBorders>
              <w:top w:val="nil"/>
              <w:left w:val="single" w:sz="4" w:space="0" w:color="auto"/>
              <w:bottom w:val="single" w:sz="4" w:space="0" w:color="auto"/>
              <w:right w:val="nil"/>
            </w:tcBorders>
            <w:shd w:val="clear" w:color="auto" w:fill="auto"/>
            <w:noWrap/>
            <w:vAlign w:val="center"/>
            <w:hideMark/>
          </w:tcPr>
          <w:p w14:paraId="0046573F" w14:textId="77777777" w:rsidR="00387142" w:rsidRPr="008B6A75" w:rsidRDefault="00387142" w:rsidP="00387142">
            <w:pPr>
              <w:jc w:val="center"/>
              <w:rPr>
                <w:sz w:val="20"/>
                <w:szCs w:val="20"/>
              </w:rPr>
            </w:pPr>
            <w:r w:rsidRPr="008B6A75">
              <w:rPr>
                <w:sz w:val="20"/>
                <w:szCs w:val="20"/>
              </w:rPr>
              <w:t>200</w:t>
            </w:r>
          </w:p>
        </w:tc>
        <w:tc>
          <w:tcPr>
            <w:tcW w:w="567" w:type="dxa"/>
            <w:tcBorders>
              <w:top w:val="nil"/>
              <w:left w:val="single" w:sz="4" w:space="0" w:color="auto"/>
              <w:bottom w:val="single" w:sz="4" w:space="0" w:color="auto"/>
              <w:right w:val="nil"/>
            </w:tcBorders>
            <w:shd w:val="clear" w:color="auto" w:fill="auto"/>
            <w:noWrap/>
            <w:vAlign w:val="center"/>
            <w:hideMark/>
          </w:tcPr>
          <w:p w14:paraId="258DB5C7" w14:textId="77777777" w:rsidR="00387142" w:rsidRPr="008B6A75" w:rsidRDefault="00387142" w:rsidP="00387142">
            <w:pPr>
              <w:jc w:val="center"/>
              <w:rPr>
                <w:sz w:val="20"/>
                <w:szCs w:val="20"/>
              </w:rPr>
            </w:pPr>
            <w:r w:rsidRPr="008B6A75">
              <w:rPr>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48834C02" w14:textId="77777777" w:rsidR="00387142" w:rsidRPr="008B6A75" w:rsidRDefault="00387142" w:rsidP="00387142">
            <w:pPr>
              <w:jc w:val="center"/>
              <w:rPr>
                <w:sz w:val="20"/>
                <w:szCs w:val="20"/>
              </w:rPr>
            </w:pPr>
            <w:r w:rsidRPr="008B6A75">
              <w:rPr>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007C58F" w14:textId="77777777" w:rsidR="00387142" w:rsidRPr="008B6A75" w:rsidRDefault="00387142" w:rsidP="00387142">
            <w:pPr>
              <w:jc w:val="right"/>
              <w:rPr>
                <w:sz w:val="20"/>
                <w:szCs w:val="20"/>
              </w:rPr>
            </w:pPr>
            <w:r w:rsidRPr="008B6A75">
              <w:rPr>
                <w:sz w:val="20"/>
                <w:szCs w:val="20"/>
              </w:rPr>
              <w:t>0,00</w:t>
            </w:r>
          </w:p>
        </w:tc>
        <w:tc>
          <w:tcPr>
            <w:tcW w:w="851" w:type="dxa"/>
            <w:tcBorders>
              <w:top w:val="nil"/>
              <w:left w:val="single" w:sz="4" w:space="0" w:color="auto"/>
              <w:bottom w:val="single" w:sz="4" w:space="0" w:color="auto"/>
              <w:right w:val="nil"/>
            </w:tcBorders>
            <w:shd w:val="clear" w:color="auto" w:fill="auto"/>
            <w:noWrap/>
            <w:vAlign w:val="center"/>
            <w:hideMark/>
          </w:tcPr>
          <w:p w14:paraId="7533012C" w14:textId="77777777" w:rsidR="00387142" w:rsidRPr="008B6A75" w:rsidRDefault="00387142" w:rsidP="00387142">
            <w:pPr>
              <w:jc w:val="right"/>
              <w:rPr>
                <w:sz w:val="20"/>
                <w:szCs w:val="20"/>
              </w:rPr>
            </w:pPr>
            <w:r w:rsidRPr="008B6A75">
              <w:rPr>
                <w:sz w:val="20"/>
                <w:szCs w:val="20"/>
              </w:rPr>
              <w:t>500 000,00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40C0E980" w14:textId="77777777" w:rsidR="00387142" w:rsidRPr="008B6A75" w:rsidRDefault="00387142" w:rsidP="00387142">
            <w:pPr>
              <w:jc w:val="right"/>
              <w:rPr>
                <w:sz w:val="20"/>
                <w:szCs w:val="20"/>
              </w:rPr>
            </w:pPr>
            <w:r w:rsidRPr="008B6A75">
              <w:rPr>
                <w:sz w:val="20"/>
                <w:szCs w:val="20"/>
              </w:rPr>
              <w:t>500 000,00</w:t>
            </w:r>
          </w:p>
        </w:tc>
      </w:tr>
      <w:tr w:rsidR="00387142" w:rsidRPr="008B6A75" w14:paraId="49CF7EAC" w14:textId="77777777" w:rsidTr="00387142">
        <w:trPr>
          <w:trHeight w:val="870"/>
        </w:trPr>
        <w:tc>
          <w:tcPr>
            <w:tcW w:w="272" w:type="dxa"/>
            <w:tcBorders>
              <w:top w:val="nil"/>
              <w:left w:val="nil"/>
              <w:bottom w:val="nil"/>
              <w:right w:val="single" w:sz="4" w:space="0" w:color="auto"/>
            </w:tcBorders>
            <w:shd w:val="clear" w:color="auto" w:fill="auto"/>
            <w:noWrap/>
            <w:vAlign w:val="bottom"/>
            <w:hideMark/>
          </w:tcPr>
          <w:p w14:paraId="4E43D87D" w14:textId="77777777" w:rsidR="00387142" w:rsidRPr="008B6A75" w:rsidRDefault="00387142" w:rsidP="00387142">
            <w:pPr>
              <w:rPr>
                <w:sz w:val="20"/>
                <w:szCs w:val="20"/>
              </w:rPr>
            </w:pPr>
            <w:r w:rsidRPr="008B6A75">
              <w:rPr>
                <w:sz w:val="20"/>
                <w:szCs w:val="20"/>
              </w:rPr>
              <w:lastRenderedPageBreak/>
              <w:t> </w:t>
            </w:r>
          </w:p>
        </w:tc>
        <w:tc>
          <w:tcPr>
            <w:tcW w:w="3415" w:type="dxa"/>
            <w:tcBorders>
              <w:top w:val="nil"/>
              <w:left w:val="single" w:sz="4" w:space="0" w:color="auto"/>
              <w:bottom w:val="single" w:sz="4" w:space="0" w:color="auto"/>
              <w:right w:val="nil"/>
            </w:tcBorders>
            <w:shd w:val="clear" w:color="auto" w:fill="auto"/>
            <w:vAlign w:val="center"/>
            <w:hideMark/>
          </w:tcPr>
          <w:p w14:paraId="1BD50FCD" w14:textId="77777777" w:rsidR="00387142" w:rsidRPr="008B6A75" w:rsidRDefault="00387142" w:rsidP="00387142">
            <w:pPr>
              <w:rPr>
                <w:sz w:val="20"/>
                <w:szCs w:val="20"/>
              </w:rPr>
            </w:pPr>
            <w:r w:rsidRPr="008B6A75">
              <w:rPr>
                <w:sz w:val="20"/>
                <w:szCs w:val="20"/>
              </w:rPr>
              <w:t>Иные закупки товаров, работ и услуг для обеспечения государственных (муниципальных) нужд</w:t>
            </w:r>
          </w:p>
        </w:tc>
        <w:tc>
          <w:tcPr>
            <w:tcW w:w="1559" w:type="dxa"/>
            <w:tcBorders>
              <w:top w:val="nil"/>
              <w:left w:val="single" w:sz="4" w:space="0" w:color="auto"/>
              <w:bottom w:val="single" w:sz="4" w:space="0" w:color="auto"/>
              <w:right w:val="nil"/>
            </w:tcBorders>
            <w:shd w:val="clear" w:color="auto" w:fill="auto"/>
            <w:noWrap/>
            <w:vAlign w:val="center"/>
            <w:hideMark/>
          </w:tcPr>
          <w:p w14:paraId="57CBDD86" w14:textId="77777777" w:rsidR="00387142" w:rsidRPr="008B6A75" w:rsidRDefault="00387142" w:rsidP="00387142">
            <w:pPr>
              <w:jc w:val="center"/>
              <w:rPr>
                <w:sz w:val="20"/>
                <w:szCs w:val="20"/>
              </w:rPr>
            </w:pPr>
            <w:r w:rsidRPr="008B6A75">
              <w:rPr>
                <w:sz w:val="20"/>
                <w:szCs w:val="20"/>
              </w:rPr>
              <w:t>08.0.00.08390</w:t>
            </w:r>
          </w:p>
        </w:tc>
        <w:tc>
          <w:tcPr>
            <w:tcW w:w="850" w:type="dxa"/>
            <w:tcBorders>
              <w:top w:val="nil"/>
              <w:left w:val="single" w:sz="4" w:space="0" w:color="auto"/>
              <w:bottom w:val="single" w:sz="4" w:space="0" w:color="auto"/>
              <w:right w:val="nil"/>
            </w:tcBorders>
            <w:shd w:val="clear" w:color="auto" w:fill="auto"/>
            <w:noWrap/>
            <w:vAlign w:val="center"/>
            <w:hideMark/>
          </w:tcPr>
          <w:p w14:paraId="42FE4468" w14:textId="77777777" w:rsidR="00387142" w:rsidRPr="008B6A75" w:rsidRDefault="00387142" w:rsidP="00387142">
            <w:pPr>
              <w:jc w:val="center"/>
              <w:rPr>
                <w:sz w:val="20"/>
                <w:szCs w:val="20"/>
              </w:rPr>
            </w:pPr>
            <w:r w:rsidRPr="008B6A75">
              <w:rPr>
                <w:sz w:val="20"/>
                <w:szCs w:val="20"/>
              </w:rPr>
              <w:t>240</w:t>
            </w:r>
          </w:p>
        </w:tc>
        <w:tc>
          <w:tcPr>
            <w:tcW w:w="567" w:type="dxa"/>
            <w:tcBorders>
              <w:top w:val="nil"/>
              <w:left w:val="single" w:sz="4" w:space="0" w:color="auto"/>
              <w:bottom w:val="single" w:sz="4" w:space="0" w:color="auto"/>
              <w:right w:val="nil"/>
            </w:tcBorders>
            <w:shd w:val="clear" w:color="auto" w:fill="auto"/>
            <w:noWrap/>
            <w:vAlign w:val="center"/>
            <w:hideMark/>
          </w:tcPr>
          <w:p w14:paraId="2F9324BF" w14:textId="77777777" w:rsidR="00387142" w:rsidRPr="008B6A75" w:rsidRDefault="00387142" w:rsidP="00387142">
            <w:pPr>
              <w:jc w:val="center"/>
              <w:rPr>
                <w:sz w:val="20"/>
                <w:szCs w:val="20"/>
              </w:rPr>
            </w:pPr>
            <w:r w:rsidRPr="008B6A75">
              <w:rPr>
                <w:sz w:val="20"/>
                <w:szCs w:val="20"/>
              </w:rPr>
              <w:t>08</w:t>
            </w:r>
          </w:p>
        </w:tc>
        <w:tc>
          <w:tcPr>
            <w:tcW w:w="567" w:type="dxa"/>
            <w:tcBorders>
              <w:top w:val="nil"/>
              <w:left w:val="single" w:sz="4" w:space="0" w:color="auto"/>
              <w:bottom w:val="single" w:sz="4" w:space="0" w:color="auto"/>
              <w:right w:val="nil"/>
            </w:tcBorders>
            <w:shd w:val="clear" w:color="auto" w:fill="auto"/>
            <w:noWrap/>
            <w:vAlign w:val="center"/>
            <w:hideMark/>
          </w:tcPr>
          <w:p w14:paraId="3AF57A7F" w14:textId="77777777" w:rsidR="00387142" w:rsidRPr="008B6A75" w:rsidRDefault="00387142" w:rsidP="00387142">
            <w:pPr>
              <w:jc w:val="center"/>
              <w:rPr>
                <w:sz w:val="20"/>
                <w:szCs w:val="20"/>
              </w:rPr>
            </w:pPr>
            <w:r w:rsidRPr="008B6A75">
              <w:rPr>
                <w:sz w:val="20"/>
                <w:szCs w:val="20"/>
              </w:rPr>
              <w:t>01</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6691C12" w14:textId="77777777" w:rsidR="00387142" w:rsidRPr="008B6A75" w:rsidRDefault="00387142" w:rsidP="00387142">
            <w:pPr>
              <w:jc w:val="right"/>
              <w:rPr>
                <w:sz w:val="20"/>
                <w:szCs w:val="20"/>
              </w:rPr>
            </w:pPr>
            <w:r w:rsidRPr="008B6A75">
              <w:rPr>
                <w:sz w:val="20"/>
                <w:szCs w:val="20"/>
              </w:rPr>
              <w:t>0,00</w:t>
            </w:r>
          </w:p>
        </w:tc>
        <w:tc>
          <w:tcPr>
            <w:tcW w:w="851" w:type="dxa"/>
            <w:tcBorders>
              <w:top w:val="nil"/>
              <w:left w:val="single" w:sz="4" w:space="0" w:color="auto"/>
              <w:bottom w:val="single" w:sz="4" w:space="0" w:color="auto"/>
              <w:right w:val="nil"/>
            </w:tcBorders>
            <w:shd w:val="clear" w:color="auto" w:fill="auto"/>
            <w:noWrap/>
            <w:vAlign w:val="center"/>
            <w:hideMark/>
          </w:tcPr>
          <w:p w14:paraId="3966D8BF" w14:textId="77777777" w:rsidR="00387142" w:rsidRPr="008B6A75" w:rsidRDefault="00387142" w:rsidP="00387142">
            <w:pPr>
              <w:jc w:val="right"/>
              <w:rPr>
                <w:sz w:val="20"/>
                <w:szCs w:val="20"/>
              </w:rPr>
            </w:pPr>
            <w:r w:rsidRPr="008B6A75">
              <w:rPr>
                <w:sz w:val="20"/>
                <w:szCs w:val="20"/>
              </w:rPr>
              <w:t>500 000,00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3995FB1E" w14:textId="77777777" w:rsidR="00387142" w:rsidRPr="008B6A75" w:rsidRDefault="00387142" w:rsidP="00387142">
            <w:pPr>
              <w:jc w:val="right"/>
              <w:rPr>
                <w:sz w:val="20"/>
                <w:szCs w:val="20"/>
              </w:rPr>
            </w:pPr>
            <w:r w:rsidRPr="008B6A75">
              <w:rPr>
                <w:sz w:val="20"/>
                <w:szCs w:val="20"/>
              </w:rPr>
              <w:t>500 000,00</w:t>
            </w:r>
          </w:p>
        </w:tc>
      </w:tr>
      <w:tr w:rsidR="00387142" w:rsidRPr="008B6A75" w14:paraId="3AD3B681" w14:textId="77777777" w:rsidTr="00387142">
        <w:trPr>
          <w:trHeight w:val="870"/>
        </w:trPr>
        <w:tc>
          <w:tcPr>
            <w:tcW w:w="272" w:type="dxa"/>
            <w:tcBorders>
              <w:top w:val="nil"/>
              <w:left w:val="nil"/>
              <w:bottom w:val="nil"/>
              <w:right w:val="single" w:sz="4" w:space="0" w:color="auto"/>
            </w:tcBorders>
            <w:shd w:val="clear" w:color="auto" w:fill="auto"/>
            <w:noWrap/>
            <w:vAlign w:val="bottom"/>
            <w:hideMark/>
          </w:tcPr>
          <w:p w14:paraId="383B5EFB"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58B79C7F" w14:textId="77777777" w:rsidR="00387142" w:rsidRPr="008B6A75" w:rsidRDefault="00387142" w:rsidP="00387142">
            <w:pPr>
              <w:rPr>
                <w:sz w:val="20"/>
                <w:szCs w:val="20"/>
              </w:rPr>
            </w:pPr>
            <w:r w:rsidRPr="008B6A75">
              <w:rPr>
                <w:sz w:val="20"/>
                <w:szCs w:val="20"/>
              </w:rPr>
              <w:t>Предоставление субсидий бюджетным, автономным учреждениям и иным некоммерческим организациям</w:t>
            </w:r>
          </w:p>
        </w:tc>
        <w:tc>
          <w:tcPr>
            <w:tcW w:w="1559" w:type="dxa"/>
            <w:tcBorders>
              <w:top w:val="nil"/>
              <w:left w:val="single" w:sz="4" w:space="0" w:color="auto"/>
              <w:bottom w:val="single" w:sz="4" w:space="0" w:color="auto"/>
              <w:right w:val="nil"/>
            </w:tcBorders>
            <w:shd w:val="clear" w:color="auto" w:fill="auto"/>
            <w:noWrap/>
            <w:vAlign w:val="center"/>
            <w:hideMark/>
          </w:tcPr>
          <w:p w14:paraId="16FBA1C2" w14:textId="77777777" w:rsidR="00387142" w:rsidRPr="008B6A75" w:rsidRDefault="00387142" w:rsidP="00387142">
            <w:pPr>
              <w:jc w:val="center"/>
              <w:rPr>
                <w:sz w:val="20"/>
                <w:szCs w:val="20"/>
              </w:rPr>
            </w:pPr>
            <w:r w:rsidRPr="008B6A75">
              <w:rPr>
                <w:sz w:val="20"/>
                <w:szCs w:val="20"/>
              </w:rPr>
              <w:t>08.0.00.08390</w:t>
            </w:r>
          </w:p>
        </w:tc>
        <w:tc>
          <w:tcPr>
            <w:tcW w:w="850" w:type="dxa"/>
            <w:tcBorders>
              <w:top w:val="nil"/>
              <w:left w:val="single" w:sz="4" w:space="0" w:color="auto"/>
              <w:bottom w:val="single" w:sz="4" w:space="0" w:color="auto"/>
              <w:right w:val="nil"/>
            </w:tcBorders>
            <w:shd w:val="clear" w:color="auto" w:fill="auto"/>
            <w:noWrap/>
            <w:vAlign w:val="center"/>
            <w:hideMark/>
          </w:tcPr>
          <w:p w14:paraId="4E795F59" w14:textId="77777777" w:rsidR="00387142" w:rsidRPr="008B6A75" w:rsidRDefault="00387142" w:rsidP="00387142">
            <w:pPr>
              <w:jc w:val="center"/>
              <w:rPr>
                <w:sz w:val="20"/>
                <w:szCs w:val="20"/>
              </w:rPr>
            </w:pPr>
            <w:r w:rsidRPr="008B6A75">
              <w:rPr>
                <w:sz w:val="20"/>
                <w:szCs w:val="20"/>
              </w:rPr>
              <w:t>600</w:t>
            </w:r>
          </w:p>
        </w:tc>
        <w:tc>
          <w:tcPr>
            <w:tcW w:w="567" w:type="dxa"/>
            <w:tcBorders>
              <w:top w:val="nil"/>
              <w:left w:val="single" w:sz="4" w:space="0" w:color="auto"/>
              <w:bottom w:val="single" w:sz="4" w:space="0" w:color="auto"/>
              <w:right w:val="nil"/>
            </w:tcBorders>
            <w:shd w:val="clear" w:color="auto" w:fill="auto"/>
            <w:noWrap/>
            <w:vAlign w:val="center"/>
            <w:hideMark/>
          </w:tcPr>
          <w:p w14:paraId="214BCB4D" w14:textId="77777777" w:rsidR="00387142" w:rsidRPr="008B6A75" w:rsidRDefault="00387142" w:rsidP="00387142">
            <w:pPr>
              <w:jc w:val="center"/>
              <w:rPr>
                <w:sz w:val="20"/>
                <w:szCs w:val="20"/>
              </w:rPr>
            </w:pPr>
            <w:r w:rsidRPr="008B6A75">
              <w:rPr>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73C30703" w14:textId="77777777" w:rsidR="00387142" w:rsidRPr="008B6A75" w:rsidRDefault="00387142" w:rsidP="00387142">
            <w:pPr>
              <w:jc w:val="center"/>
              <w:rPr>
                <w:sz w:val="20"/>
                <w:szCs w:val="20"/>
              </w:rPr>
            </w:pPr>
            <w:r w:rsidRPr="008B6A75">
              <w:rPr>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BF0E737" w14:textId="77777777" w:rsidR="00387142" w:rsidRPr="008B6A75" w:rsidRDefault="00387142" w:rsidP="00387142">
            <w:pPr>
              <w:jc w:val="right"/>
              <w:rPr>
                <w:sz w:val="20"/>
                <w:szCs w:val="20"/>
              </w:rPr>
            </w:pPr>
            <w:r w:rsidRPr="008B6A75">
              <w:rPr>
                <w:sz w:val="20"/>
                <w:szCs w:val="20"/>
              </w:rPr>
              <w:t>2 628 498,78</w:t>
            </w:r>
          </w:p>
        </w:tc>
        <w:tc>
          <w:tcPr>
            <w:tcW w:w="851" w:type="dxa"/>
            <w:tcBorders>
              <w:top w:val="nil"/>
              <w:left w:val="single" w:sz="4" w:space="0" w:color="auto"/>
              <w:bottom w:val="single" w:sz="4" w:space="0" w:color="auto"/>
              <w:right w:val="nil"/>
            </w:tcBorders>
            <w:shd w:val="clear" w:color="auto" w:fill="auto"/>
            <w:noWrap/>
            <w:vAlign w:val="center"/>
            <w:hideMark/>
          </w:tcPr>
          <w:p w14:paraId="03E2FCD4" w14:textId="77777777" w:rsidR="00387142" w:rsidRPr="008B6A75" w:rsidRDefault="00387142" w:rsidP="00387142">
            <w:pPr>
              <w:jc w:val="right"/>
              <w:rPr>
                <w:sz w:val="20"/>
                <w:szCs w:val="20"/>
              </w:rPr>
            </w:pPr>
            <w:r w:rsidRPr="008B6A75">
              <w:rPr>
                <w:sz w:val="20"/>
                <w:szCs w:val="20"/>
              </w:rPr>
              <w:t>6 500 000,00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360A0E4F" w14:textId="77777777" w:rsidR="00387142" w:rsidRPr="008B6A75" w:rsidRDefault="00387142" w:rsidP="00387142">
            <w:pPr>
              <w:jc w:val="right"/>
              <w:rPr>
                <w:sz w:val="20"/>
                <w:szCs w:val="20"/>
              </w:rPr>
            </w:pPr>
            <w:r w:rsidRPr="008B6A75">
              <w:rPr>
                <w:sz w:val="20"/>
                <w:szCs w:val="20"/>
              </w:rPr>
              <w:t>6 500 000,00</w:t>
            </w:r>
          </w:p>
        </w:tc>
      </w:tr>
      <w:tr w:rsidR="00387142" w:rsidRPr="008B6A75" w14:paraId="45F85020" w14:textId="77777777" w:rsidTr="00387142">
        <w:trPr>
          <w:trHeight w:val="300"/>
        </w:trPr>
        <w:tc>
          <w:tcPr>
            <w:tcW w:w="272" w:type="dxa"/>
            <w:tcBorders>
              <w:top w:val="nil"/>
              <w:left w:val="nil"/>
              <w:bottom w:val="nil"/>
              <w:right w:val="single" w:sz="4" w:space="0" w:color="auto"/>
            </w:tcBorders>
            <w:shd w:val="clear" w:color="auto" w:fill="auto"/>
            <w:noWrap/>
            <w:vAlign w:val="bottom"/>
            <w:hideMark/>
          </w:tcPr>
          <w:p w14:paraId="670D497A"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03C8CCA1" w14:textId="77777777" w:rsidR="00387142" w:rsidRPr="008B6A75" w:rsidRDefault="00387142" w:rsidP="00387142">
            <w:pPr>
              <w:rPr>
                <w:sz w:val="20"/>
                <w:szCs w:val="20"/>
              </w:rPr>
            </w:pPr>
            <w:r w:rsidRPr="008B6A75">
              <w:rPr>
                <w:sz w:val="20"/>
                <w:szCs w:val="20"/>
              </w:rPr>
              <w:t>Субсидии бюджетным учреждениям</w:t>
            </w:r>
          </w:p>
        </w:tc>
        <w:tc>
          <w:tcPr>
            <w:tcW w:w="1559" w:type="dxa"/>
            <w:tcBorders>
              <w:top w:val="nil"/>
              <w:left w:val="single" w:sz="4" w:space="0" w:color="auto"/>
              <w:bottom w:val="single" w:sz="4" w:space="0" w:color="auto"/>
              <w:right w:val="nil"/>
            </w:tcBorders>
            <w:shd w:val="clear" w:color="auto" w:fill="auto"/>
            <w:noWrap/>
            <w:vAlign w:val="center"/>
            <w:hideMark/>
          </w:tcPr>
          <w:p w14:paraId="495EE0E7" w14:textId="77777777" w:rsidR="00387142" w:rsidRPr="008B6A75" w:rsidRDefault="00387142" w:rsidP="00387142">
            <w:pPr>
              <w:jc w:val="center"/>
              <w:rPr>
                <w:sz w:val="20"/>
                <w:szCs w:val="20"/>
              </w:rPr>
            </w:pPr>
            <w:r w:rsidRPr="008B6A75">
              <w:rPr>
                <w:sz w:val="20"/>
                <w:szCs w:val="20"/>
              </w:rPr>
              <w:t>08.0.00.08390</w:t>
            </w:r>
          </w:p>
        </w:tc>
        <w:tc>
          <w:tcPr>
            <w:tcW w:w="850" w:type="dxa"/>
            <w:tcBorders>
              <w:top w:val="nil"/>
              <w:left w:val="single" w:sz="4" w:space="0" w:color="auto"/>
              <w:bottom w:val="single" w:sz="4" w:space="0" w:color="auto"/>
              <w:right w:val="nil"/>
            </w:tcBorders>
            <w:shd w:val="clear" w:color="auto" w:fill="auto"/>
            <w:noWrap/>
            <w:vAlign w:val="center"/>
            <w:hideMark/>
          </w:tcPr>
          <w:p w14:paraId="57E6E265" w14:textId="77777777" w:rsidR="00387142" w:rsidRPr="008B6A75" w:rsidRDefault="00387142" w:rsidP="00387142">
            <w:pPr>
              <w:jc w:val="center"/>
              <w:rPr>
                <w:sz w:val="20"/>
                <w:szCs w:val="20"/>
              </w:rPr>
            </w:pPr>
            <w:r w:rsidRPr="008B6A75">
              <w:rPr>
                <w:sz w:val="20"/>
                <w:szCs w:val="20"/>
              </w:rPr>
              <w:t>610</w:t>
            </w:r>
          </w:p>
        </w:tc>
        <w:tc>
          <w:tcPr>
            <w:tcW w:w="567" w:type="dxa"/>
            <w:tcBorders>
              <w:top w:val="nil"/>
              <w:left w:val="single" w:sz="4" w:space="0" w:color="auto"/>
              <w:bottom w:val="single" w:sz="4" w:space="0" w:color="auto"/>
              <w:right w:val="nil"/>
            </w:tcBorders>
            <w:shd w:val="clear" w:color="auto" w:fill="auto"/>
            <w:noWrap/>
            <w:vAlign w:val="center"/>
            <w:hideMark/>
          </w:tcPr>
          <w:p w14:paraId="4F882CC9" w14:textId="77777777" w:rsidR="00387142" w:rsidRPr="008B6A75" w:rsidRDefault="00387142" w:rsidP="00387142">
            <w:pPr>
              <w:jc w:val="center"/>
              <w:rPr>
                <w:sz w:val="20"/>
                <w:szCs w:val="20"/>
              </w:rPr>
            </w:pPr>
            <w:r w:rsidRPr="008B6A75">
              <w:rPr>
                <w:sz w:val="20"/>
                <w:szCs w:val="20"/>
              </w:rPr>
              <w:t>08</w:t>
            </w:r>
          </w:p>
        </w:tc>
        <w:tc>
          <w:tcPr>
            <w:tcW w:w="567" w:type="dxa"/>
            <w:tcBorders>
              <w:top w:val="nil"/>
              <w:left w:val="single" w:sz="4" w:space="0" w:color="auto"/>
              <w:bottom w:val="single" w:sz="4" w:space="0" w:color="auto"/>
              <w:right w:val="nil"/>
            </w:tcBorders>
            <w:shd w:val="clear" w:color="auto" w:fill="auto"/>
            <w:noWrap/>
            <w:vAlign w:val="center"/>
            <w:hideMark/>
          </w:tcPr>
          <w:p w14:paraId="362AEAAB" w14:textId="77777777" w:rsidR="00387142" w:rsidRPr="008B6A75" w:rsidRDefault="00387142" w:rsidP="00387142">
            <w:pPr>
              <w:jc w:val="center"/>
              <w:rPr>
                <w:sz w:val="20"/>
                <w:szCs w:val="20"/>
              </w:rPr>
            </w:pPr>
            <w:r w:rsidRPr="008B6A75">
              <w:rPr>
                <w:sz w:val="20"/>
                <w:szCs w:val="20"/>
              </w:rPr>
              <w:t>01</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7797F2F" w14:textId="77777777" w:rsidR="00387142" w:rsidRPr="008B6A75" w:rsidRDefault="00387142" w:rsidP="00387142">
            <w:pPr>
              <w:jc w:val="right"/>
              <w:rPr>
                <w:sz w:val="20"/>
                <w:szCs w:val="20"/>
              </w:rPr>
            </w:pPr>
            <w:r w:rsidRPr="008B6A75">
              <w:rPr>
                <w:sz w:val="20"/>
                <w:szCs w:val="20"/>
              </w:rPr>
              <w:t>2 628 498,78</w:t>
            </w:r>
          </w:p>
        </w:tc>
        <w:tc>
          <w:tcPr>
            <w:tcW w:w="851" w:type="dxa"/>
            <w:tcBorders>
              <w:top w:val="nil"/>
              <w:left w:val="single" w:sz="4" w:space="0" w:color="auto"/>
              <w:bottom w:val="single" w:sz="4" w:space="0" w:color="auto"/>
              <w:right w:val="nil"/>
            </w:tcBorders>
            <w:shd w:val="clear" w:color="auto" w:fill="auto"/>
            <w:noWrap/>
            <w:vAlign w:val="center"/>
            <w:hideMark/>
          </w:tcPr>
          <w:p w14:paraId="7B10F87A" w14:textId="77777777" w:rsidR="00387142" w:rsidRPr="008B6A75" w:rsidRDefault="00387142" w:rsidP="00387142">
            <w:pPr>
              <w:jc w:val="right"/>
              <w:rPr>
                <w:sz w:val="20"/>
                <w:szCs w:val="20"/>
              </w:rPr>
            </w:pPr>
            <w:r w:rsidRPr="008B6A75">
              <w:rPr>
                <w:sz w:val="20"/>
                <w:szCs w:val="20"/>
              </w:rPr>
              <w:t>6 500 000,00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55194852" w14:textId="77777777" w:rsidR="00387142" w:rsidRPr="008B6A75" w:rsidRDefault="00387142" w:rsidP="00387142">
            <w:pPr>
              <w:jc w:val="right"/>
              <w:rPr>
                <w:sz w:val="20"/>
                <w:szCs w:val="20"/>
              </w:rPr>
            </w:pPr>
            <w:r w:rsidRPr="008B6A75">
              <w:rPr>
                <w:sz w:val="20"/>
                <w:szCs w:val="20"/>
              </w:rPr>
              <w:t>6 500 000,00</w:t>
            </w:r>
          </w:p>
        </w:tc>
      </w:tr>
      <w:tr w:rsidR="00387142" w:rsidRPr="008B6A75" w14:paraId="3A972D47" w14:textId="77777777" w:rsidTr="00387142">
        <w:trPr>
          <w:trHeight w:val="1440"/>
        </w:trPr>
        <w:tc>
          <w:tcPr>
            <w:tcW w:w="272" w:type="dxa"/>
            <w:tcBorders>
              <w:top w:val="nil"/>
              <w:left w:val="nil"/>
              <w:bottom w:val="nil"/>
              <w:right w:val="single" w:sz="4" w:space="0" w:color="auto"/>
            </w:tcBorders>
            <w:shd w:val="clear" w:color="auto" w:fill="auto"/>
            <w:noWrap/>
            <w:vAlign w:val="bottom"/>
            <w:hideMark/>
          </w:tcPr>
          <w:p w14:paraId="6226A966"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003D9CBA" w14:textId="77777777" w:rsidR="00387142" w:rsidRPr="008B6A75" w:rsidRDefault="00387142" w:rsidP="00387142">
            <w:pPr>
              <w:rPr>
                <w:bCs/>
                <w:sz w:val="20"/>
                <w:szCs w:val="20"/>
              </w:rPr>
            </w:pPr>
            <w:r w:rsidRPr="008B6A75">
              <w:rPr>
                <w:bCs/>
                <w:sz w:val="20"/>
                <w:szCs w:val="20"/>
              </w:rPr>
              <w:t xml:space="preserve">Реализация мероприятий по обеспечению сбалансированности местных </w:t>
            </w:r>
            <w:proofErr w:type="gramStart"/>
            <w:r w:rsidRPr="008B6A75">
              <w:rPr>
                <w:bCs/>
                <w:sz w:val="20"/>
                <w:szCs w:val="20"/>
              </w:rPr>
              <w:t>бюджетов  государственной</w:t>
            </w:r>
            <w:proofErr w:type="gramEnd"/>
            <w:r w:rsidRPr="008B6A75">
              <w:rPr>
                <w:bCs/>
                <w:sz w:val="20"/>
                <w:szCs w:val="20"/>
              </w:rPr>
              <w:t xml:space="preserve"> программы Новосибирской области "Управление  финансами в Новосибирской области"</w:t>
            </w:r>
          </w:p>
        </w:tc>
        <w:tc>
          <w:tcPr>
            <w:tcW w:w="1559" w:type="dxa"/>
            <w:tcBorders>
              <w:top w:val="nil"/>
              <w:left w:val="single" w:sz="4" w:space="0" w:color="auto"/>
              <w:bottom w:val="single" w:sz="4" w:space="0" w:color="auto"/>
              <w:right w:val="nil"/>
            </w:tcBorders>
            <w:shd w:val="clear" w:color="auto" w:fill="auto"/>
            <w:noWrap/>
            <w:vAlign w:val="center"/>
            <w:hideMark/>
          </w:tcPr>
          <w:p w14:paraId="56B249E9" w14:textId="77777777" w:rsidR="00387142" w:rsidRPr="008B6A75" w:rsidRDefault="00387142" w:rsidP="00387142">
            <w:pPr>
              <w:jc w:val="center"/>
              <w:rPr>
                <w:bCs/>
                <w:sz w:val="20"/>
                <w:szCs w:val="20"/>
              </w:rPr>
            </w:pPr>
            <w:r w:rsidRPr="008B6A75">
              <w:rPr>
                <w:bCs/>
                <w:sz w:val="20"/>
                <w:szCs w:val="20"/>
              </w:rPr>
              <w:t>08.0.00.70510</w:t>
            </w:r>
          </w:p>
        </w:tc>
        <w:tc>
          <w:tcPr>
            <w:tcW w:w="850" w:type="dxa"/>
            <w:tcBorders>
              <w:top w:val="nil"/>
              <w:left w:val="single" w:sz="4" w:space="0" w:color="auto"/>
              <w:bottom w:val="single" w:sz="4" w:space="0" w:color="auto"/>
              <w:right w:val="nil"/>
            </w:tcBorders>
            <w:shd w:val="clear" w:color="auto" w:fill="auto"/>
            <w:noWrap/>
            <w:vAlign w:val="center"/>
            <w:hideMark/>
          </w:tcPr>
          <w:p w14:paraId="10CA4E49" w14:textId="77777777" w:rsidR="00387142" w:rsidRPr="008B6A75" w:rsidRDefault="00387142" w:rsidP="00387142">
            <w:pPr>
              <w:jc w:val="center"/>
              <w:rPr>
                <w:bCs/>
                <w:sz w:val="20"/>
                <w:szCs w:val="20"/>
              </w:rPr>
            </w:pPr>
            <w:r w:rsidRPr="008B6A75">
              <w:rPr>
                <w:bCs/>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3C29F1D4" w14:textId="77777777" w:rsidR="00387142" w:rsidRPr="008B6A75" w:rsidRDefault="00387142" w:rsidP="00387142">
            <w:pPr>
              <w:jc w:val="center"/>
              <w:rPr>
                <w:bCs/>
                <w:sz w:val="20"/>
                <w:szCs w:val="20"/>
              </w:rPr>
            </w:pPr>
            <w:r w:rsidRPr="008B6A75">
              <w:rPr>
                <w:bCs/>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302F2B68" w14:textId="77777777" w:rsidR="00387142" w:rsidRPr="008B6A75" w:rsidRDefault="00387142" w:rsidP="00387142">
            <w:pPr>
              <w:jc w:val="center"/>
              <w:rPr>
                <w:bCs/>
                <w:sz w:val="20"/>
                <w:szCs w:val="20"/>
              </w:rPr>
            </w:pPr>
            <w:r w:rsidRPr="008B6A75">
              <w:rPr>
                <w:bCs/>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CA10302" w14:textId="77777777" w:rsidR="00387142" w:rsidRPr="008B6A75" w:rsidRDefault="00387142" w:rsidP="00387142">
            <w:pPr>
              <w:jc w:val="right"/>
              <w:rPr>
                <w:bCs/>
                <w:sz w:val="20"/>
                <w:szCs w:val="20"/>
              </w:rPr>
            </w:pPr>
            <w:r w:rsidRPr="008B6A75">
              <w:rPr>
                <w:bCs/>
                <w:sz w:val="20"/>
                <w:szCs w:val="20"/>
              </w:rPr>
              <w:t>57 558 583,95</w:t>
            </w:r>
          </w:p>
        </w:tc>
        <w:tc>
          <w:tcPr>
            <w:tcW w:w="851" w:type="dxa"/>
            <w:tcBorders>
              <w:top w:val="nil"/>
              <w:left w:val="single" w:sz="4" w:space="0" w:color="auto"/>
              <w:bottom w:val="single" w:sz="4" w:space="0" w:color="auto"/>
              <w:right w:val="nil"/>
            </w:tcBorders>
            <w:shd w:val="clear" w:color="auto" w:fill="auto"/>
            <w:noWrap/>
            <w:vAlign w:val="center"/>
            <w:hideMark/>
          </w:tcPr>
          <w:p w14:paraId="67FD2F7A" w14:textId="77777777" w:rsidR="00387142" w:rsidRPr="008B6A75" w:rsidRDefault="00387142" w:rsidP="00387142">
            <w:pPr>
              <w:jc w:val="right"/>
              <w:rPr>
                <w:bCs/>
                <w:sz w:val="20"/>
                <w:szCs w:val="20"/>
              </w:rPr>
            </w:pPr>
            <w:r w:rsidRPr="008B6A75">
              <w:rPr>
                <w:bCs/>
                <w:sz w:val="20"/>
                <w:szCs w:val="20"/>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77134DA8" w14:textId="77777777" w:rsidR="00387142" w:rsidRPr="008B6A75" w:rsidRDefault="00387142" w:rsidP="00387142">
            <w:pPr>
              <w:jc w:val="right"/>
              <w:rPr>
                <w:bCs/>
                <w:sz w:val="20"/>
                <w:szCs w:val="20"/>
              </w:rPr>
            </w:pPr>
            <w:r w:rsidRPr="008B6A75">
              <w:rPr>
                <w:bCs/>
                <w:sz w:val="20"/>
                <w:szCs w:val="20"/>
              </w:rPr>
              <w:t>0,00</w:t>
            </w:r>
          </w:p>
        </w:tc>
      </w:tr>
      <w:tr w:rsidR="00387142" w:rsidRPr="008B6A75" w14:paraId="7E43687F" w14:textId="77777777" w:rsidTr="00387142">
        <w:trPr>
          <w:trHeight w:val="870"/>
        </w:trPr>
        <w:tc>
          <w:tcPr>
            <w:tcW w:w="272" w:type="dxa"/>
            <w:tcBorders>
              <w:top w:val="nil"/>
              <w:left w:val="nil"/>
              <w:bottom w:val="nil"/>
              <w:right w:val="single" w:sz="4" w:space="0" w:color="auto"/>
            </w:tcBorders>
            <w:shd w:val="clear" w:color="auto" w:fill="auto"/>
            <w:noWrap/>
            <w:vAlign w:val="bottom"/>
            <w:hideMark/>
          </w:tcPr>
          <w:p w14:paraId="54B0D163"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1E5D9F94" w14:textId="77777777" w:rsidR="00387142" w:rsidRPr="008B6A75" w:rsidRDefault="00387142" w:rsidP="00387142">
            <w:pPr>
              <w:rPr>
                <w:sz w:val="20"/>
                <w:szCs w:val="20"/>
              </w:rPr>
            </w:pPr>
            <w:r w:rsidRPr="008B6A75">
              <w:rPr>
                <w:sz w:val="20"/>
                <w:szCs w:val="20"/>
              </w:rPr>
              <w:t>Предоставление субсидий бюджетным, автономным учреждениям и иным некоммерческим организациям</w:t>
            </w:r>
          </w:p>
        </w:tc>
        <w:tc>
          <w:tcPr>
            <w:tcW w:w="1559" w:type="dxa"/>
            <w:tcBorders>
              <w:top w:val="nil"/>
              <w:left w:val="single" w:sz="4" w:space="0" w:color="auto"/>
              <w:bottom w:val="single" w:sz="4" w:space="0" w:color="auto"/>
              <w:right w:val="nil"/>
            </w:tcBorders>
            <w:shd w:val="clear" w:color="auto" w:fill="auto"/>
            <w:noWrap/>
            <w:vAlign w:val="center"/>
            <w:hideMark/>
          </w:tcPr>
          <w:p w14:paraId="08BFB7BA" w14:textId="77777777" w:rsidR="00387142" w:rsidRPr="008B6A75" w:rsidRDefault="00387142" w:rsidP="00387142">
            <w:pPr>
              <w:jc w:val="center"/>
              <w:rPr>
                <w:sz w:val="20"/>
                <w:szCs w:val="20"/>
              </w:rPr>
            </w:pPr>
            <w:r w:rsidRPr="008B6A75">
              <w:rPr>
                <w:sz w:val="20"/>
                <w:szCs w:val="20"/>
              </w:rPr>
              <w:t>08.0.00.70510</w:t>
            </w:r>
          </w:p>
        </w:tc>
        <w:tc>
          <w:tcPr>
            <w:tcW w:w="850" w:type="dxa"/>
            <w:tcBorders>
              <w:top w:val="nil"/>
              <w:left w:val="single" w:sz="4" w:space="0" w:color="auto"/>
              <w:bottom w:val="single" w:sz="4" w:space="0" w:color="auto"/>
              <w:right w:val="nil"/>
            </w:tcBorders>
            <w:shd w:val="clear" w:color="auto" w:fill="auto"/>
            <w:noWrap/>
            <w:vAlign w:val="center"/>
            <w:hideMark/>
          </w:tcPr>
          <w:p w14:paraId="3DF80E92" w14:textId="77777777" w:rsidR="00387142" w:rsidRPr="008B6A75" w:rsidRDefault="00387142" w:rsidP="00387142">
            <w:pPr>
              <w:jc w:val="center"/>
              <w:rPr>
                <w:sz w:val="20"/>
                <w:szCs w:val="20"/>
              </w:rPr>
            </w:pPr>
            <w:r w:rsidRPr="008B6A75">
              <w:rPr>
                <w:sz w:val="20"/>
                <w:szCs w:val="20"/>
              </w:rPr>
              <w:t>600</w:t>
            </w:r>
          </w:p>
        </w:tc>
        <w:tc>
          <w:tcPr>
            <w:tcW w:w="567" w:type="dxa"/>
            <w:tcBorders>
              <w:top w:val="nil"/>
              <w:left w:val="single" w:sz="4" w:space="0" w:color="auto"/>
              <w:bottom w:val="single" w:sz="4" w:space="0" w:color="auto"/>
              <w:right w:val="nil"/>
            </w:tcBorders>
            <w:shd w:val="clear" w:color="auto" w:fill="auto"/>
            <w:noWrap/>
            <w:vAlign w:val="center"/>
            <w:hideMark/>
          </w:tcPr>
          <w:p w14:paraId="7053D320" w14:textId="77777777" w:rsidR="00387142" w:rsidRPr="008B6A75" w:rsidRDefault="00387142" w:rsidP="00387142">
            <w:pPr>
              <w:jc w:val="center"/>
              <w:rPr>
                <w:sz w:val="20"/>
                <w:szCs w:val="20"/>
              </w:rPr>
            </w:pPr>
            <w:r w:rsidRPr="008B6A75">
              <w:rPr>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5AD75587" w14:textId="77777777" w:rsidR="00387142" w:rsidRPr="008B6A75" w:rsidRDefault="00387142" w:rsidP="00387142">
            <w:pPr>
              <w:jc w:val="center"/>
              <w:rPr>
                <w:sz w:val="20"/>
                <w:szCs w:val="20"/>
              </w:rPr>
            </w:pPr>
            <w:r w:rsidRPr="008B6A75">
              <w:rPr>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1F91342" w14:textId="77777777" w:rsidR="00387142" w:rsidRPr="008B6A75" w:rsidRDefault="00387142" w:rsidP="00387142">
            <w:pPr>
              <w:jc w:val="right"/>
              <w:rPr>
                <w:sz w:val="20"/>
                <w:szCs w:val="20"/>
              </w:rPr>
            </w:pPr>
            <w:r w:rsidRPr="008B6A75">
              <w:rPr>
                <w:sz w:val="20"/>
                <w:szCs w:val="20"/>
              </w:rPr>
              <w:t>57 558 583,95</w:t>
            </w:r>
          </w:p>
        </w:tc>
        <w:tc>
          <w:tcPr>
            <w:tcW w:w="851" w:type="dxa"/>
            <w:tcBorders>
              <w:top w:val="nil"/>
              <w:left w:val="single" w:sz="4" w:space="0" w:color="auto"/>
              <w:bottom w:val="single" w:sz="4" w:space="0" w:color="auto"/>
              <w:right w:val="nil"/>
            </w:tcBorders>
            <w:shd w:val="clear" w:color="auto" w:fill="auto"/>
            <w:noWrap/>
            <w:vAlign w:val="center"/>
            <w:hideMark/>
          </w:tcPr>
          <w:p w14:paraId="1B647E15" w14:textId="77777777" w:rsidR="00387142" w:rsidRPr="008B6A75" w:rsidRDefault="00387142" w:rsidP="00387142">
            <w:pPr>
              <w:jc w:val="right"/>
              <w:rPr>
                <w:sz w:val="20"/>
                <w:szCs w:val="20"/>
              </w:rPr>
            </w:pPr>
            <w:r w:rsidRPr="008B6A75">
              <w:rPr>
                <w:sz w:val="20"/>
                <w:szCs w:val="20"/>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79459A75" w14:textId="77777777" w:rsidR="00387142" w:rsidRPr="008B6A75" w:rsidRDefault="00387142" w:rsidP="00387142">
            <w:pPr>
              <w:jc w:val="right"/>
              <w:rPr>
                <w:sz w:val="20"/>
                <w:szCs w:val="20"/>
              </w:rPr>
            </w:pPr>
            <w:r w:rsidRPr="008B6A75">
              <w:rPr>
                <w:sz w:val="20"/>
                <w:szCs w:val="20"/>
              </w:rPr>
              <w:t>0,00</w:t>
            </w:r>
          </w:p>
        </w:tc>
      </w:tr>
      <w:tr w:rsidR="00387142" w:rsidRPr="008B6A75" w14:paraId="12D6AA75" w14:textId="77777777" w:rsidTr="00387142">
        <w:trPr>
          <w:trHeight w:val="300"/>
        </w:trPr>
        <w:tc>
          <w:tcPr>
            <w:tcW w:w="272" w:type="dxa"/>
            <w:tcBorders>
              <w:top w:val="nil"/>
              <w:left w:val="nil"/>
              <w:bottom w:val="nil"/>
              <w:right w:val="single" w:sz="4" w:space="0" w:color="auto"/>
            </w:tcBorders>
            <w:shd w:val="clear" w:color="auto" w:fill="auto"/>
            <w:noWrap/>
            <w:vAlign w:val="bottom"/>
            <w:hideMark/>
          </w:tcPr>
          <w:p w14:paraId="7B0CC2D9"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339C02A2" w14:textId="77777777" w:rsidR="00387142" w:rsidRPr="008B6A75" w:rsidRDefault="00387142" w:rsidP="00387142">
            <w:pPr>
              <w:rPr>
                <w:sz w:val="20"/>
                <w:szCs w:val="20"/>
              </w:rPr>
            </w:pPr>
            <w:r w:rsidRPr="008B6A75">
              <w:rPr>
                <w:sz w:val="20"/>
                <w:szCs w:val="20"/>
              </w:rPr>
              <w:t>Субсидии бюджетным учреждениям</w:t>
            </w:r>
          </w:p>
        </w:tc>
        <w:tc>
          <w:tcPr>
            <w:tcW w:w="1559" w:type="dxa"/>
            <w:tcBorders>
              <w:top w:val="nil"/>
              <w:left w:val="single" w:sz="4" w:space="0" w:color="auto"/>
              <w:bottom w:val="single" w:sz="4" w:space="0" w:color="auto"/>
              <w:right w:val="nil"/>
            </w:tcBorders>
            <w:shd w:val="clear" w:color="auto" w:fill="auto"/>
            <w:noWrap/>
            <w:vAlign w:val="center"/>
            <w:hideMark/>
          </w:tcPr>
          <w:p w14:paraId="031DC7D0" w14:textId="77777777" w:rsidR="00387142" w:rsidRPr="008B6A75" w:rsidRDefault="00387142" w:rsidP="00387142">
            <w:pPr>
              <w:jc w:val="center"/>
              <w:rPr>
                <w:sz w:val="20"/>
                <w:szCs w:val="20"/>
              </w:rPr>
            </w:pPr>
            <w:r w:rsidRPr="008B6A75">
              <w:rPr>
                <w:sz w:val="20"/>
                <w:szCs w:val="20"/>
              </w:rPr>
              <w:t>08.0.00.70510</w:t>
            </w:r>
          </w:p>
        </w:tc>
        <w:tc>
          <w:tcPr>
            <w:tcW w:w="850" w:type="dxa"/>
            <w:tcBorders>
              <w:top w:val="nil"/>
              <w:left w:val="single" w:sz="4" w:space="0" w:color="auto"/>
              <w:bottom w:val="single" w:sz="4" w:space="0" w:color="auto"/>
              <w:right w:val="nil"/>
            </w:tcBorders>
            <w:shd w:val="clear" w:color="auto" w:fill="auto"/>
            <w:noWrap/>
            <w:vAlign w:val="center"/>
            <w:hideMark/>
          </w:tcPr>
          <w:p w14:paraId="28872A91" w14:textId="77777777" w:rsidR="00387142" w:rsidRPr="008B6A75" w:rsidRDefault="00387142" w:rsidP="00387142">
            <w:pPr>
              <w:jc w:val="center"/>
              <w:rPr>
                <w:sz w:val="20"/>
                <w:szCs w:val="20"/>
              </w:rPr>
            </w:pPr>
            <w:r w:rsidRPr="008B6A75">
              <w:rPr>
                <w:sz w:val="20"/>
                <w:szCs w:val="20"/>
              </w:rPr>
              <w:t>610</w:t>
            </w:r>
          </w:p>
        </w:tc>
        <w:tc>
          <w:tcPr>
            <w:tcW w:w="567" w:type="dxa"/>
            <w:tcBorders>
              <w:top w:val="nil"/>
              <w:left w:val="single" w:sz="4" w:space="0" w:color="auto"/>
              <w:bottom w:val="single" w:sz="4" w:space="0" w:color="auto"/>
              <w:right w:val="nil"/>
            </w:tcBorders>
            <w:shd w:val="clear" w:color="auto" w:fill="auto"/>
            <w:noWrap/>
            <w:vAlign w:val="center"/>
            <w:hideMark/>
          </w:tcPr>
          <w:p w14:paraId="6478B266" w14:textId="77777777" w:rsidR="00387142" w:rsidRPr="008B6A75" w:rsidRDefault="00387142" w:rsidP="00387142">
            <w:pPr>
              <w:jc w:val="center"/>
              <w:rPr>
                <w:sz w:val="20"/>
                <w:szCs w:val="20"/>
              </w:rPr>
            </w:pPr>
            <w:r w:rsidRPr="008B6A75">
              <w:rPr>
                <w:sz w:val="20"/>
                <w:szCs w:val="20"/>
              </w:rPr>
              <w:t>08</w:t>
            </w:r>
          </w:p>
        </w:tc>
        <w:tc>
          <w:tcPr>
            <w:tcW w:w="567" w:type="dxa"/>
            <w:tcBorders>
              <w:top w:val="nil"/>
              <w:left w:val="single" w:sz="4" w:space="0" w:color="auto"/>
              <w:bottom w:val="single" w:sz="4" w:space="0" w:color="auto"/>
              <w:right w:val="nil"/>
            </w:tcBorders>
            <w:shd w:val="clear" w:color="auto" w:fill="auto"/>
            <w:noWrap/>
            <w:vAlign w:val="center"/>
            <w:hideMark/>
          </w:tcPr>
          <w:p w14:paraId="0560ECF8" w14:textId="77777777" w:rsidR="00387142" w:rsidRPr="008B6A75" w:rsidRDefault="00387142" w:rsidP="00387142">
            <w:pPr>
              <w:jc w:val="center"/>
              <w:rPr>
                <w:sz w:val="20"/>
                <w:szCs w:val="20"/>
              </w:rPr>
            </w:pPr>
            <w:r w:rsidRPr="008B6A75">
              <w:rPr>
                <w:sz w:val="20"/>
                <w:szCs w:val="20"/>
              </w:rPr>
              <w:t>01</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26F8782" w14:textId="77777777" w:rsidR="00387142" w:rsidRPr="008B6A75" w:rsidRDefault="00387142" w:rsidP="00387142">
            <w:pPr>
              <w:jc w:val="right"/>
              <w:rPr>
                <w:sz w:val="20"/>
                <w:szCs w:val="20"/>
              </w:rPr>
            </w:pPr>
            <w:r w:rsidRPr="008B6A75">
              <w:rPr>
                <w:sz w:val="20"/>
                <w:szCs w:val="20"/>
              </w:rPr>
              <w:t>57 558 583,95</w:t>
            </w:r>
          </w:p>
        </w:tc>
        <w:tc>
          <w:tcPr>
            <w:tcW w:w="851" w:type="dxa"/>
            <w:tcBorders>
              <w:top w:val="nil"/>
              <w:left w:val="single" w:sz="4" w:space="0" w:color="auto"/>
              <w:bottom w:val="single" w:sz="4" w:space="0" w:color="auto"/>
              <w:right w:val="nil"/>
            </w:tcBorders>
            <w:shd w:val="clear" w:color="auto" w:fill="auto"/>
            <w:noWrap/>
            <w:vAlign w:val="center"/>
            <w:hideMark/>
          </w:tcPr>
          <w:p w14:paraId="3BAE86E1" w14:textId="77777777" w:rsidR="00387142" w:rsidRPr="008B6A75" w:rsidRDefault="00387142" w:rsidP="00387142">
            <w:pPr>
              <w:jc w:val="right"/>
              <w:rPr>
                <w:sz w:val="20"/>
                <w:szCs w:val="20"/>
              </w:rPr>
            </w:pPr>
            <w:r w:rsidRPr="008B6A75">
              <w:rPr>
                <w:sz w:val="20"/>
                <w:szCs w:val="20"/>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31793AEF" w14:textId="77777777" w:rsidR="00387142" w:rsidRPr="008B6A75" w:rsidRDefault="00387142" w:rsidP="00387142">
            <w:pPr>
              <w:jc w:val="right"/>
              <w:rPr>
                <w:sz w:val="20"/>
                <w:szCs w:val="20"/>
              </w:rPr>
            </w:pPr>
            <w:r w:rsidRPr="008B6A75">
              <w:rPr>
                <w:sz w:val="20"/>
                <w:szCs w:val="20"/>
              </w:rPr>
              <w:t>0,00</w:t>
            </w:r>
          </w:p>
        </w:tc>
      </w:tr>
      <w:tr w:rsidR="00387142" w:rsidRPr="008B6A75" w14:paraId="47A24563" w14:textId="77777777" w:rsidTr="00387142">
        <w:trPr>
          <w:trHeight w:val="1440"/>
        </w:trPr>
        <w:tc>
          <w:tcPr>
            <w:tcW w:w="272" w:type="dxa"/>
            <w:tcBorders>
              <w:top w:val="nil"/>
              <w:left w:val="nil"/>
              <w:bottom w:val="nil"/>
              <w:right w:val="single" w:sz="4" w:space="0" w:color="auto"/>
            </w:tcBorders>
            <w:shd w:val="clear" w:color="auto" w:fill="auto"/>
            <w:noWrap/>
            <w:vAlign w:val="bottom"/>
            <w:hideMark/>
          </w:tcPr>
          <w:p w14:paraId="505616DB"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11B7ACEC" w14:textId="77777777" w:rsidR="00387142" w:rsidRPr="008B6A75" w:rsidRDefault="00387142" w:rsidP="00387142">
            <w:pPr>
              <w:rPr>
                <w:bCs/>
                <w:sz w:val="20"/>
                <w:szCs w:val="20"/>
              </w:rPr>
            </w:pPr>
            <w:r w:rsidRPr="008B6A75">
              <w:rPr>
                <w:bCs/>
                <w:sz w:val="20"/>
                <w:szCs w:val="20"/>
              </w:rPr>
              <w:t>Реализация мероприятий по проведению капитального ремонта муниципальных учреждений сферы культуры на территории Новосибирской области ГП НСО "Культура Новосибирской области "</w:t>
            </w:r>
          </w:p>
        </w:tc>
        <w:tc>
          <w:tcPr>
            <w:tcW w:w="1559" w:type="dxa"/>
            <w:tcBorders>
              <w:top w:val="nil"/>
              <w:left w:val="single" w:sz="4" w:space="0" w:color="auto"/>
              <w:bottom w:val="single" w:sz="4" w:space="0" w:color="auto"/>
              <w:right w:val="nil"/>
            </w:tcBorders>
            <w:shd w:val="clear" w:color="auto" w:fill="auto"/>
            <w:noWrap/>
            <w:vAlign w:val="center"/>
            <w:hideMark/>
          </w:tcPr>
          <w:p w14:paraId="4E7199A6" w14:textId="77777777" w:rsidR="00387142" w:rsidRPr="008B6A75" w:rsidRDefault="00387142" w:rsidP="00387142">
            <w:pPr>
              <w:jc w:val="center"/>
              <w:rPr>
                <w:bCs/>
                <w:sz w:val="20"/>
                <w:szCs w:val="20"/>
              </w:rPr>
            </w:pPr>
            <w:r w:rsidRPr="008B6A75">
              <w:rPr>
                <w:bCs/>
                <w:sz w:val="20"/>
                <w:szCs w:val="20"/>
              </w:rPr>
              <w:t>08.0.00.70660</w:t>
            </w:r>
          </w:p>
        </w:tc>
        <w:tc>
          <w:tcPr>
            <w:tcW w:w="850" w:type="dxa"/>
            <w:tcBorders>
              <w:top w:val="nil"/>
              <w:left w:val="single" w:sz="4" w:space="0" w:color="auto"/>
              <w:bottom w:val="single" w:sz="4" w:space="0" w:color="auto"/>
              <w:right w:val="nil"/>
            </w:tcBorders>
            <w:shd w:val="clear" w:color="auto" w:fill="auto"/>
            <w:noWrap/>
            <w:vAlign w:val="center"/>
            <w:hideMark/>
          </w:tcPr>
          <w:p w14:paraId="77204CD1" w14:textId="77777777" w:rsidR="00387142" w:rsidRPr="008B6A75" w:rsidRDefault="00387142" w:rsidP="00387142">
            <w:pPr>
              <w:jc w:val="center"/>
              <w:rPr>
                <w:bCs/>
                <w:sz w:val="20"/>
                <w:szCs w:val="20"/>
              </w:rPr>
            </w:pPr>
            <w:r w:rsidRPr="008B6A75">
              <w:rPr>
                <w:bCs/>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2D2FF420" w14:textId="77777777" w:rsidR="00387142" w:rsidRPr="008B6A75" w:rsidRDefault="00387142" w:rsidP="00387142">
            <w:pPr>
              <w:jc w:val="center"/>
              <w:rPr>
                <w:bCs/>
                <w:sz w:val="20"/>
                <w:szCs w:val="20"/>
              </w:rPr>
            </w:pPr>
            <w:r w:rsidRPr="008B6A75">
              <w:rPr>
                <w:bCs/>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23B52F64" w14:textId="77777777" w:rsidR="00387142" w:rsidRPr="008B6A75" w:rsidRDefault="00387142" w:rsidP="00387142">
            <w:pPr>
              <w:jc w:val="center"/>
              <w:rPr>
                <w:bCs/>
                <w:sz w:val="20"/>
                <w:szCs w:val="20"/>
              </w:rPr>
            </w:pPr>
            <w:r w:rsidRPr="008B6A75">
              <w:rPr>
                <w:bCs/>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8E7D8E8" w14:textId="77777777" w:rsidR="00387142" w:rsidRPr="008B6A75" w:rsidRDefault="00387142" w:rsidP="00387142">
            <w:pPr>
              <w:jc w:val="right"/>
              <w:rPr>
                <w:bCs/>
                <w:sz w:val="20"/>
                <w:szCs w:val="20"/>
              </w:rPr>
            </w:pPr>
            <w:r w:rsidRPr="008B6A75">
              <w:rPr>
                <w:bCs/>
                <w:sz w:val="20"/>
                <w:szCs w:val="20"/>
              </w:rPr>
              <w:t>47 486 700,00</w:t>
            </w:r>
          </w:p>
        </w:tc>
        <w:tc>
          <w:tcPr>
            <w:tcW w:w="851" w:type="dxa"/>
            <w:tcBorders>
              <w:top w:val="nil"/>
              <w:left w:val="single" w:sz="4" w:space="0" w:color="auto"/>
              <w:bottom w:val="single" w:sz="4" w:space="0" w:color="auto"/>
              <w:right w:val="nil"/>
            </w:tcBorders>
            <w:shd w:val="clear" w:color="auto" w:fill="auto"/>
            <w:noWrap/>
            <w:vAlign w:val="center"/>
            <w:hideMark/>
          </w:tcPr>
          <w:p w14:paraId="7179245B" w14:textId="77777777" w:rsidR="00387142" w:rsidRPr="008B6A75" w:rsidRDefault="00387142" w:rsidP="00387142">
            <w:pPr>
              <w:jc w:val="right"/>
              <w:rPr>
                <w:bCs/>
                <w:sz w:val="20"/>
                <w:szCs w:val="20"/>
              </w:rPr>
            </w:pPr>
            <w:r w:rsidRPr="008B6A75">
              <w:rPr>
                <w:bCs/>
                <w:sz w:val="20"/>
                <w:szCs w:val="20"/>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4F749C70" w14:textId="77777777" w:rsidR="00387142" w:rsidRPr="008B6A75" w:rsidRDefault="00387142" w:rsidP="00387142">
            <w:pPr>
              <w:jc w:val="right"/>
              <w:rPr>
                <w:bCs/>
                <w:sz w:val="20"/>
                <w:szCs w:val="20"/>
              </w:rPr>
            </w:pPr>
            <w:r w:rsidRPr="008B6A75">
              <w:rPr>
                <w:bCs/>
                <w:sz w:val="20"/>
                <w:szCs w:val="20"/>
              </w:rPr>
              <w:t>0,00</w:t>
            </w:r>
          </w:p>
        </w:tc>
      </w:tr>
      <w:tr w:rsidR="00387142" w:rsidRPr="008B6A75" w14:paraId="41721A67" w14:textId="77777777" w:rsidTr="00387142">
        <w:trPr>
          <w:trHeight w:val="300"/>
        </w:trPr>
        <w:tc>
          <w:tcPr>
            <w:tcW w:w="272" w:type="dxa"/>
            <w:tcBorders>
              <w:top w:val="nil"/>
              <w:left w:val="nil"/>
              <w:bottom w:val="nil"/>
              <w:right w:val="single" w:sz="4" w:space="0" w:color="auto"/>
            </w:tcBorders>
            <w:shd w:val="clear" w:color="auto" w:fill="auto"/>
            <w:noWrap/>
            <w:vAlign w:val="bottom"/>
            <w:hideMark/>
          </w:tcPr>
          <w:p w14:paraId="374CB27E"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14686936" w14:textId="77777777" w:rsidR="00387142" w:rsidRPr="008B6A75" w:rsidRDefault="00387142" w:rsidP="00387142">
            <w:pPr>
              <w:rPr>
                <w:sz w:val="20"/>
                <w:szCs w:val="20"/>
              </w:rPr>
            </w:pPr>
            <w:r w:rsidRPr="008B6A75">
              <w:rPr>
                <w:sz w:val="20"/>
                <w:szCs w:val="20"/>
              </w:rPr>
              <w:t>Межбюджетные трансферты</w:t>
            </w:r>
          </w:p>
        </w:tc>
        <w:tc>
          <w:tcPr>
            <w:tcW w:w="1559" w:type="dxa"/>
            <w:tcBorders>
              <w:top w:val="nil"/>
              <w:left w:val="single" w:sz="4" w:space="0" w:color="auto"/>
              <w:bottom w:val="single" w:sz="4" w:space="0" w:color="auto"/>
              <w:right w:val="nil"/>
            </w:tcBorders>
            <w:shd w:val="clear" w:color="auto" w:fill="auto"/>
            <w:noWrap/>
            <w:vAlign w:val="center"/>
            <w:hideMark/>
          </w:tcPr>
          <w:p w14:paraId="04990381" w14:textId="77777777" w:rsidR="00387142" w:rsidRPr="008B6A75" w:rsidRDefault="00387142" w:rsidP="00387142">
            <w:pPr>
              <w:jc w:val="center"/>
              <w:rPr>
                <w:sz w:val="20"/>
                <w:szCs w:val="20"/>
              </w:rPr>
            </w:pPr>
            <w:r w:rsidRPr="008B6A75">
              <w:rPr>
                <w:sz w:val="20"/>
                <w:szCs w:val="20"/>
              </w:rPr>
              <w:t>08.0.00.70660</w:t>
            </w:r>
          </w:p>
        </w:tc>
        <w:tc>
          <w:tcPr>
            <w:tcW w:w="850" w:type="dxa"/>
            <w:tcBorders>
              <w:top w:val="nil"/>
              <w:left w:val="single" w:sz="4" w:space="0" w:color="auto"/>
              <w:bottom w:val="single" w:sz="4" w:space="0" w:color="auto"/>
              <w:right w:val="nil"/>
            </w:tcBorders>
            <w:shd w:val="clear" w:color="auto" w:fill="auto"/>
            <w:noWrap/>
            <w:vAlign w:val="center"/>
            <w:hideMark/>
          </w:tcPr>
          <w:p w14:paraId="7D2818E4" w14:textId="77777777" w:rsidR="00387142" w:rsidRPr="008B6A75" w:rsidRDefault="00387142" w:rsidP="00387142">
            <w:pPr>
              <w:jc w:val="center"/>
              <w:rPr>
                <w:sz w:val="20"/>
                <w:szCs w:val="20"/>
              </w:rPr>
            </w:pPr>
            <w:r w:rsidRPr="008B6A75">
              <w:rPr>
                <w:sz w:val="20"/>
                <w:szCs w:val="20"/>
              </w:rPr>
              <w:t>500</w:t>
            </w:r>
          </w:p>
        </w:tc>
        <w:tc>
          <w:tcPr>
            <w:tcW w:w="567" w:type="dxa"/>
            <w:tcBorders>
              <w:top w:val="nil"/>
              <w:left w:val="single" w:sz="4" w:space="0" w:color="auto"/>
              <w:bottom w:val="single" w:sz="4" w:space="0" w:color="auto"/>
              <w:right w:val="nil"/>
            </w:tcBorders>
            <w:shd w:val="clear" w:color="auto" w:fill="auto"/>
            <w:noWrap/>
            <w:vAlign w:val="center"/>
            <w:hideMark/>
          </w:tcPr>
          <w:p w14:paraId="064FE967" w14:textId="77777777" w:rsidR="00387142" w:rsidRPr="008B6A75" w:rsidRDefault="00387142" w:rsidP="00387142">
            <w:pPr>
              <w:jc w:val="center"/>
              <w:rPr>
                <w:sz w:val="20"/>
                <w:szCs w:val="20"/>
              </w:rPr>
            </w:pPr>
            <w:r w:rsidRPr="008B6A75">
              <w:rPr>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42B9D096" w14:textId="77777777" w:rsidR="00387142" w:rsidRPr="008B6A75" w:rsidRDefault="00387142" w:rsidP="00387142">
            <w:pPr>
              <w:jc w:val="center"/>
              <w:rPr>
                <w:sz w:val="20"/>
                <w:szCs w:val="20"/>
              </w:rPr>
            </w:pPr>
            <w:r w:rsidRPr="008B6A75">
              <w:rPr>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D83DEDC" w14:textId="77777777" w:rsidR="00387142" w:rsidRPr="008B6A75" w:rsidRDefault="00387142" w:rsidP="00387142">
            <w:pPr>
              <w:jc w:val="right"/>
              <w:rPr>
                <w:sz w:val="20"/>
                <w:szCs w:val="20"/>
              </w:rPr>
            </w:pPr>
            <w:r w:rsidRPr="008B6A75">
              <w:rPr>
                <w:sz w:val="20"/>
                <w:szCs w:val="20"/>
              </w:rPr>
              <w:t>47 486 700,00</w:t>
            </w:r>
          </w:p>
        </w:tc>
        <w:tc>
          <w:tcPr>
            <w:tcW w:w="851" w:type="dxa"/>
            <w:tcBorders>
              <w:top w:val="nil"/>
              <w:left w:val="single" w:sz="4" w:space="0" w:color="auto"/>
              <w:bottom w:val="single" w:sz="4" w:space="0" w:color="auto"/>
              <w:right w:val="nil"/>
            </w:tcBorders>
            <w:shd w:val="clear" w:color="auto" w:fill="auto"/>
            <w:noWrap/>
            <w:vAlign w:val="center"/>
            <w:hideMark/>
          </w:tcPr>
          <w:p w14:paraId="77098BFD" w14:textId="77777777" w:rsidR="00387142" w:rsidRPr="008B6A75" w:rsidRDefault="00387142" w:rsidP="00387142">
            <w:pPr>
              <w:jc w:val="right"/>
              <w:rPr>
                <w:sz w:val="20"/>
                <w:szCs w:val="20"/>
              </w:rPr>
            </w:pPr>
            <w:r w:rsidRPr="008B6A75">
              <w:rPr>
                <w:sz w:val="20"/>
                <w:szCs w:val="20"/>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444C62AB" w14:textId="77777777" w:rsidR="00387142" w:rsidRPr="008B6A75" w:rsidRDefault="00387142" w:rsidP="00387142">
            <w:pPr>
              <w:jc w:val="right"/>
              <w:rPr>
                <w:sz w:val="20"/>
                <w:szCs w:val="20"/>
              </w:rPr>
            </w:pPr>
            <w:r w:rsidRPr="008B6A75">
              <w:rPr>
                <w:sz w:val="20"/>
                <w:szCs w:val="20"/>
              </w:rPr>
              <w:t>0,00</w:t>
            </w:r>
          </w:p>
        </w:tc>
      </w:tr>
      <w:tr w:rsidR="00387142" w:rsidRPr="008B6A75" w14:paraId="393CB70C" w14:textId="77777777" w:rsidTr="00387142">
        <w:trPr>
          <w:trHeight w:val="300"/>
        </w:trPr>
        <w:tc>
          <w:tcPr>
            <w:tcW w:w="272" w:type="dxa"/>
            <w:tcBorders>
              <w:top w:val="nil"/>
              <w:left w:val="nil"/>
              <w:bottom w:val="nil"/>
              <w:right w:val="single" w:sz="4" w:space="0" w:color="auto"/>
            </w:tcBorders>
            <w:shd w:val="clear" w:color="auto" w:fill="auto"/>
            <w:noWrap/>
            <w:vAlign w:val="bottom"/>
            <w:hideMark/>
          </w:tcPr>
          <w:p w14:paraId="516BCAEB"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2F54699F" w14:textId="77777777" w:rsidR="00387142" w:rsidRPr="008B6A75" w:rsidRDefault="00387142" w:rsidP="00387142">
            <w:pPr>
              <w:rPr>
                <w:sz w:val="20"/>
                <w:szCs w:val="20"/>
              </w:rPr>
            </w:pPr>
            <w:r w:rsidRPr="008B6A75">
              <w:rPr>
                <w:sz w:val="20"/>
                <w:szCs w:val="20"/>
              </w:rPr>
              <w:t>Субсидии</w:t>
            </w:r>
          </w:p>
        </w:tc>
        <w:tc>
          <w:tcPr>
            <w:tcW w:w="1559" w:type="dxa"/>
            <w:tcBorders>
              <w:top w:val="nil"/>
              <w:left w:val="single" w:sz="4" w:space="0" w:color="auto"/>
              <w:bottom w:val="single" w:sz="4" w:space="0" w:color="auto"/>
              <w:right w:val="nil"/>
            </w:tcBorders>
            <w:shd w:val="clear" w:color="auto" w:fill="auto"/>
            <w:noWrap/>
            <w:vAlign w:val="center"/>
            <w:hideMark/>
          </w:tcPr>
          <w:p w14:paraId="5464C0D8" w14:textId="77777777" w:rsidR="00387142" w:rsidRPr="008B6A75" w:rsidRDefault="00387142" w:rsidP="00387142">
            <w:pPr>
              <w:jc w:val="center"/>
              <w:rPr>
                <w:sz w:val="20"/>
                <w:szCs w:val="20"/>
              </w:rPr>
            </w:pPr>
            <w:r w:rsidRPr="008B6A75">
              <w:rPr>
                <w:sz w:val="20"/>
                <w:szCs w:val="20"/>
              </w:rPr>
              <w:t>08.0.00.70660</w:t>
            </w:r>
          </w:p>
        </w:tc>
        <w:tc>
          <w:tcPr>
            <w:tcW w:w="850" w:type="dxa"/>
            <w:tcBorders>
              <w:top w:val="nil"/>
              <w:left w:val="single" w:sz="4" w:space="0" w:color="auto"/>
              <w:bottom w:val="single" w:sz="4" w:space="0" w:color="auto"/>
              <w:right w:val="nil"/>
            </w:tcBorders>
            <w:shd w:val="clear" w:color="auto" w:fill="auto"/>
            <w:noWrap/>
            <w:vAlign w:val="center"/>
            <w:hideMark/>
          </w:tcPr>
          <w:p w14:paraId="3846EE45" w14:textId="77777777" w:rsidR="00387142" w:rsidRPr="008B6A75" w:rsidRDefault="00387142" w:rsidP="00387142">
            <w:pPr>
              <w:jc w:val="center"/>
              <w:rPr>
                <w:sz w:val="20"/>
                <w:szCs w:val="20"/>
              </w:rPr>
            </w:pPr>
            <w:r w:rsidRPr="008B6A75">
              <w:rPr>
                <w:sz w:val="20"/>
                <w:szCs w:val="20"/>
              </w:rPr>
              <w:t>520</w:t>
            </w:r>
          </w:p>
        </w:tc>
        <w:tc>
          <w:tcPr>
            <w:tcW w:w="567" w:type="dxa"/>
            <w:tcBorders>
              <w:top w:val="nil"/>
              <w:left w:val="single" w:sz="4" w:space="0" w:color="auto"/>
              <w:bottom w:val="single" w:sz="4" w:space="0" w:color="auto"/>
              <w:right w:val="nil"/>
            </w:tcBorders>
            <w:shd w:val="clear" w:color="auto" w:fill="auto"/>
            <w:noWrap/>
            <w:vAlign w:val="center"/>
            <w:hideMark/>
          </w:tcPr>
          <w:p w14:paraId="142F91B4" w14:textId="77777777" w:rsidR="00387142" w:rsidRPr="008B6A75" w:rsidRDefault="00387142" w:rsidP="00387142">
            <w:pPr>
              <w:jc w:val="center"/>
              <w:rPr>
                <w:sz w:val="20"/>
                <w:szCs w:val="20"/>
              </w:rPr>
            </w:pPr>
            <w:r w:rsidRPr="008B6A75">
              <w:rPr>
                <w:sz w:val="20"/>
                <w:szCs w:val="20"/>
              </w:rPr>
              <w:t>08</w:t>
            </w:r>
          </w:p>
        </w:tc>
        <w:tc>
          <w:tcPr>
            <w:tcW w:w="567" w:type="dxa"/>
            <w:tcBorders>
              <w:top w:val="nil"/>
              <w:left w:val="single" w:sz="4" w:space="0" w:color="auto"/>
              <w:bottom w:val="single" w:sz="4" w:space="0" w:color="auto"/>
              <w:right w:val="nil"/>
            </w:tcBorders>
            <w:shd w:val="clear" w:color="auto" w:fill="auto"/>
            <w:noWrap/>
            <w:vAlign w:val="center"/>
            <w:hideMark/>
          </w:tcPr>
          <w:p w14:paraId="7FF5688C" w14:textId="77777777" w:rsidR="00387142" w:rsidRPr="008B6A75" w:rsidRDefault="00387142" w:rsidP="00387142">
            <w:pPr>
              <w:jc w:val="center"/>
              <w:rPr>
                <w:sz w:val="20"/>
                <w:szCs w:val="20"/>
              </w:rPr>
            </w:pPr>
            <w:r w:rsidRPr="008B6A75">
              <w:rPr>
                <w:sz w:val="20"/>
                <w:szCs w:val="20"/>
              </w:rPr>
              <w:t>01</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4B8D1FA" w14:textId="77777777" w:rsidR="00387142" w:rsidRPr="008B6A75" w:rsidRDefault="00387142" w:rsidP="00387142">
            <w:pPr>
              <w:jc w:val="right"/>
              <w:rPr>
                <w:sz w:val="20"/>
                <w:szCs w:val="20"/>
              </w:rPr>
            </w:pPr>
            <w:r w:rsidRPr="008B6A75">
              <w:rPr>
                <w:sz w:val="20"/>
                <w:szCs w:val="20"/>
              </w:rPr>
              <w:t>47 486 700,00</w:t>
            </w:r>
          </w:p>
        </w:tc>
        <w:tc>
          <w:tcPr>
            <w:tcW w:w="851" w:type="dxa"/>
            <w:tcBorders>
              <w:top w:val="nil"/>
              <w:left w:val="single" w:sz="4" w:space="0" w:color="auto"/>
              <w:bottom w:val="single" w:sz="4" w:space="0" w:color="auto"/>
              <w:right w:val="nil"/>
            </w:tcBorders>
            <w:shd w:val="clear" w:color="auto" w:fill="auto"/>
            <w:noWrap/>
            <w:vAlign w:val="center"/>
            <w:hideMark/>
          </w:tcPr>
          <w:p w14:paraId="415C14E6" w14:textId="77777777" w:rsidR="00387142" w:rsidRPr="008B6A75" w:rsidRDefault="00387142" w:rsidP="00387142">
            <w:pPr>
              <w:jc w:val="right"/>
              <w:rPr>
                <w:sz w:val="20"/>
                <w:szCs w:val="20"/>
              </w:rPr>
            </w:pPr>
            <w:r w:rsidRPr="008B6A75">
              <w:rPr>
                <w:sz w:val="20"/>
                <w:szCs w:val="20"/>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049A946C" w14:textId="77777777" w:rsidR="00387142" w:rsidRPr="008B6A75" w:rsidRDefault="00387142" w:rsidP="00387142">
            <w:pPr>
              <w:jc w:val="right"/>
              <w:rPr>
                <w:sz w:val="20"/>
                <w:szCs w:val="20"/>
              </w:rPr>
            </w:pPr>
            <w:r w:rsidRPr="008B6A75">
              <w:rPr>
                <w:sz w:val="20"/>
                <w:szCs w:val="20"/>
              </w:rPr>
              <w:t>0,00</w:t>
            </w:r>
          </w:p>
        </w:tc>
      </w:tr>
      <w:tr w:rsidR="00387142" w:rsidRPr="008B6A75" w14:paraId="3D190C9B" w14:textId="77777777" w:rsidTr="00387142">
        <w:trPr>
          <w:trHeight w:val="1725"/>
        </w:trPr>
        <w:tc>
          <w:tcPr>
            <w:tcW w:w="272" w:type="dxa"/>
            <w:tcBorders>
              <w:top w:val="nil"/>
              <w:left w:val="nil"/>
              <w:bottom w:val="nil"/>
              <w:right w:val="single" w:sz="4" w:space="0" w:color="auto"/>
            </w:tcBorders>
            <w:shd w:val="clear" w:color="auto" w:fill="auto"/>
            <w:noWrap/>
            <w:vAlign w:val="bottom"/>
            <w:hideMark/>
          </w:tcPr>
          <w:p w14:paraId="69470998"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6547FBEF" w14:textId="77777777" w:rsidR="00387142" w:rsidRPr="008B6A75" w:rsidRDefault="00387142" w:rsidP="00387142">
            <w:pPr>
              <w:rPr>
                <w:bCs/>
                <w:sz w:val="20"/>
                <w:szCs w:val="20"/>
              </w:rPr>
            </w:pPr>
            <w:r w:rsidRPr="008B6A75">
              <w:rPr>
                <w:bCs/>
                <w:sz w:val="20"/>
                <w:szCs w:val="20"/>
              </w:rPr>
              <w:t>Реализация мероприятий по комплектованию книжных фондов муниципальных общедоступных библиотек Новосибирской области государственной программы Новосибирской области «Культура Новосибирской области»</w:t>
            </w:r>
          </w:p>
        </w:tc>
        <w:tc>
          <w:tcPr>
            <w:tcW w:w="1559" w:type="dxa"/>
            <w:tcBorders>
              <w:top w:val="nil"/>
              <w:left w:val="single" w:sz="4" w:space="0" w:color="auto"/>
              <w:bottom w:val="single" w:sz="4" w:space="0" w:color="auto"/>
              <w:right w:val="nil"/>
            </w:tcBorders>
            <w:shd w:val="clear" w:color="auto" w:fill="auto"/>
            <w:noWrap/>
            <w:vAlign w:val="center"/>
            <w:hideMark/>
          </w:tcPr>
          <w:p w14:paraId="1598F95C" w14:textId="77777777" w:rsidR="00387142" w:rsidRPr="008B6A75" w:rsidRDefault="00387142" w:rsidP="00387142">
            <w:pPr>
              <w:jc w:val="center"/>
              <w:rPr>
                <w:bCs/>
                <w:sz w:val="20"/>
                <w:szCs w:val="20"/>
              </w:rPr>
            </w:pPr>
            <w:r w:rsidRPr="008B6A75">
              <w:rPr>
                <w:bCs/>
                <w:sz w:val="20"/>
                <w:szCs w:val="20"/>
              </w:rPr>
              <w:t>08.0.00.70770</w:t>
            </w:r>
          </w:p>
        </w:tc>
        <w:tc>
          <w:tcPr>
            <w:tcW w:w="850" w:type="dxa"/>
            <w:tcBorders>
              <w:top w:val="nil"/>
              <w:left w:val="single" w:sz="4" w:space="0" w:color="auto"/>
              <w:bottom w:val="single" w:sz="4" w:space="0" w:color="auto"/>
              <w:right w:val="nil"/>
            </w:tcBorders>
            <w:shd w:val="clear" w:color="auto" w:fill="auto"/>
            <w:noWrap/>
            <w:vAlign w:val="center"/>
            <w:hideMark/>
          </w:tcPr>
          <w:p w14:paraId="28A309BA" w14:textId="77777777" w:rsidR="00387142" w:rsidRPr="008B6A75" w:rsidRDefault="00387142" w:rsidP="00387142">
            <w:pPr>
              <w:jc w:val="center"/>
              <w:rPr>
                <w:bCs/>
                <w:sz w:val="20"/>
                <w:szCs w:val="20"/>
              </w:rPr>
            </w:pPr>
            <w:r w:rsidRPr="008B6A75">
              <w:rPr>
                <w:bCs/>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11B8ED1B" w14:textId="77777777" w:rsidR="00387142" w:rsidRPr="008B6A75" w:rsidRDefault="00387142" w:rsidP="00387142">
            <w:pPr>
              <w:jc w:val="center"/>
              <w:rPr>
                <w:bCs/>
                <w:sz w:val="20"/>
                <w:szCs w:val="20"/>
              </w:rPr>
            </w:pPr>
            <w:r w:rsidRPr="008B6A75">
              <w:rPr>
                <w:bCs/>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7E6CD1B0" w14:textId="77777777" w:rsidR="00387142" w:rsidRPr="008B6A75" w:rsidRDefault="00387142" w:rsidP="00387142">
            <w:pPr>
              <w:jc w:val="center"/>
              <w:rPr>
                <w:bCs/>
                <w:sz w:val="20"/>
                <w:szCs w:val="20"/>
              </w:rPr>
            </w:pPr>
            <w:r w:rsidRPr="008B6A75">
              <w:rPr>
                <w:bCs/>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FB54593" w14:textId="77777777" w:rsidR="00387142" w:rsidRPr="008B6A75" w:rsidRDefault="00387142" w:rsidP="00387142">
            <w:pPr>
              <w:jc w:val="right"/>
              <w:rPr>
                <w:bCs/>
                <w:sz w:val="20"/>
                <w:szCs w:val="20"/>
              </w:rPr>
            </w:pPr>
            <w:r w:rsidRPr="008B6A75">
              <w:rPr>
                <w:bCs/>
                <w:sz w:val="20"/>
                <w:szCs w:val="20"/>
              </w:rPr>
              <w:t>714 800,00</w:t>
            </w:r>
          </w:p>
        </w:tc>
        <w:tc>
          <w:tcPr>
            <w:tcW w:w="851" w:type="dxa"/>
            <w:tcBorders>
              <w:top w:val="nil"/>
              <w:left w:val="single" w:sz="4" w:space="0" w:color="auto"/>
              <w:bottom w:val="single" w:sz="4" w:space="0" w:color="auto"/>
              <w:right w:val="nil"/>
            </w:tcBorders>
            <w:shd w:val="clear" w:color="auto" w:fill="auto"/>
            <w:noWrap/>
            <w:vAlign w:val="center"/>
            <w:hideMark/>
          </w:tcPr>
          <w:p w14:paraId="583ADCF6" w14:textId="77777777" w:rsidR="00387142" w:rsidRPr="008B6A75" w:rsidRDefault="00387142" w:rsidP="00387142">
            <w:pPr>
              <w:jc w:val="right"/>
              <w:rPr>
                <w:bCs/>
                <w:sz w:val="20"/>
                <w:szCs w:val="20"/>
              </w:rPr>
            </w:pPr>
            <w:r w:rsidRPr="008B6A75">
              <w:rPr>
                <w:bCs/>
                <w:sz w:val="20"/>
                <w:szCs w:val="20"/>
              </w:rPr>
              <w:t>714 800,00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653BAAEC" w14:textId="77777777" w:rsidR="00387142" w:rsidRPr="008B6A75" w:rsidRDefault="00387142" w:rsidP="00387142">
            <w:pPr>
              <w:jc w:val="right"/>
              <w:rPr>
                <w:bCs/>
                <w:sz w:val="20"/>
                <w:szCs w:val="20"/>
              </w:rPr>
            </w:pPr>
            <w:r w:rsidRPr="008B6A75">
              <w:rPr>
                <w:bCs/>
                <w:sz w:val="20"/>
                <w:szCs w:val="20"/>
              </w:rPr>
              <w:t>714 800,00</w:t>
            </w:r>
          </w:p>
        </w:tc>
      </w:tr>
      <w:tr w:rsidR="00387142" w:rsidRPr="008B6A75" w14:paraId="4A0280B0" w14:textId="77777777" w:rsidTr="00387142">
        <w:trPr>
          <w:trHeight w:val="300"/>
        </w:trPr>
        <w:tc>
          <w:tcPr>
            <w:tcW w:w="272" w:type="dxa"/>
            <w:tcBorders>
              <w:top w:val="nil"/>
              <w:left w:val="nil"/>
              <w:bottom w:val="nil"/>
              <w:right w:val="single" w:sz="4" w:space="0" w:color="auto"/>
            </w:tcBorders>
            <w:shd w:val="clear" w:color="auto" w:fill="auto"/>
            <w:noWrap/>
            <w:vAlign w:val="bottom"/>
            <w:hideMark/>
          </w:tcPr>
          <w:p w14:paraId="05056D3B"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3C3C1885" w14:textId="77777777" w:rsidR="00387142" w:rsidRPr="008B6A75" w:rsidRDefault="00387142" w:rsidP="00387142">
            <w:pPr>
              <w:rPr>
                <w:sz w:val="20"/>
                <w:szCs w:val="20"/>
              </w:rPr>
            </w:pPr>
            <w:r w:rsidRPr="008B6A75">
              <w:rPr>
                <w:sz w:val="20"/>
                <w:szCs w:val="20"/>
              </w:rPr>
              <w:t>Межбюджетные трансферты</w:t>
            </w:r>
          </w:p>
        </w:tc>
        <w:tc>
          <w:tcPr>
            <w:tcW w:w="1559" w:type="dxa"/>
            <w:tcBorders>
              <w:top w:val="nil"/>
              <w:left w:val="single" w:sz="4" w:space="0" w:color="auto"/>
              <w:bottom w:val="single" w:sz="4" w:space="0" w:color="auto"/>
              <w:right w:val="nil"/>
            </w:tcBorders>
            <w:shd w:val="clear" w:color="auto" w:fill="auto"/>
            <w:noWrap/>
            <w:vAlign w:val="center"/>
            <w:hideMark/>
          </w:tcPr>
          <w:p w14:paraId="688586F9" w14:textId="77777777" w:rsidR="00387142" w:rsidRPr="008B6A75" w:rsidRDefault="00387142" w:rsidP="00387142">
            <w:pPr>
              <w:jc w:val="center"/>
              <w:rPr>
                <w:sz w:val="20"/>
                <w:szCs w:val="20"/>
              </w:rPr>
            </w:pPr>
            <w:r w:rsidRPr="008B6A75">
              <w:rPr>
                <w:sz w:val="20"/>
                <w:szCs w:val="20"/>
              </w:rPr>
              <w:t>08.0.00.70770</w:t>
            </w:r>
          </w:p>
        </w:tc>
        <w:tc>
          <w:tcPr>
            <w:tcW w:w="850" w:type="dxa"/>
            <w:tcBorders>
              <w:top w:val="nil"/>
              <w:left w:val="single" w:sz="4" w:space="0" w:color="auto"/>
              <w:bottom w:val="single" w:sz="4" w:space="0" w:color="auto"/>
              <w:right w:val="nil"/>
            </w:tcBorders>
            <w:shd w:val="clear" w:color="auto" w:fill="auto"/>
            <w:noWrap/>
            <w:vAlign w:val="center"/>
            <w:hideMark/>
          </w:tcPr>
          <w:p w14:paraId="6597E46F" w14:textId="77777777" w:rsidR="00387142" w:rsidRPr="008B6A75" w:rsidRDefault="00387142" w:rsidP="00387142">
            <w:pPr>
              <w:jc w:val="center"/>
              <w:rPr>
                <w:sz w:val="20"/>
                <w:szCs w:val="20"/>
              </w:rPr>
            </w:pPr>
            <w:r w:rsidRPr="008B6A75">
              <w:rPr>
                <w:sz w:val="20"/>
                <w:szCs w:val="20"/>
              </w:rPr>
              <w:t>500</w:t>
            </w:r>
          </w:p>
        </w:tc>
        <w:tc>
          <w:tcPr>
            <w:tcW w:w="567" w:type="dxa"/>
            <w:tcBorders>
              <w:top w:val="nil"/>
              <w:left w:val="single" w:sz="4" w:space="0" w:color="auto"/>
              <w:bottom w:val="single" w:sz="4" w:space="0" w:color="auto"/>
              <w:right w:val="nil"/>
            </w:tcBorders>
            <w:shd w:val="clear" w:color="auto" w:fill="auto"/>
            <w:noWrap/>
            <w:vAlign w:val="center"/>
            <w:hideMark/>
          </w:tcPr>
          <w:p w14:paraId="0F235855" w14:textId="77777777" w:rsidR="00387142" w:rsidRPr="008B6A75" w:rsidRDefault="00387142" w:rsidP="00387142">
            <w:pPr>
              <w:jc w:val="center"/>
              <w:rPr>
                <w:sz w:val="20"/>
                <w:szCs w:val="20"/>
              </w:rPr>
            </w:pPr>
            <w:r w:rsidRPr="008B6A75">
              <w:rPr>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5A007ED5" w14:textId="77777777" w:rsidR="00387142" w:rsidRPr="008B6A75" w:rsidRDefault="00387142" w:rsidP="00387142">
            <w:pPr>
              <w:jc w:val="center"/>
              <w:rPr>
                <w:sz w:val="20"/>
                <w:szCs w:val="20"/>
              </w:rPr>
            </w:pPr>
            <w:r w:rsidRPr="008B6A75">
              <w:rPr>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00E95EE" w14:textId="77777777" w:rsidR="00387142" w:rsidRPr="008B6A75" w:rsidRDefault="00387142" w:rsidP="00387142">
            <w:pPr>
              <w:jc w:val="right"/>
              <w:rPr>
                <w:sz w:val="20"/>
                <w:szCs w:val="20"/>
              </w:rPr>
            </w:pPr>
            <w:r w:rsidRPr="008B6A75">
              <w:rPr>
                <w:sz w:val="20"/>
                <w:szCs w:val="20"/>
              </w:rPr>
              <w:t>315 604,36</w:t>
            </w:r>
          </w:p>
        </w:tc>
        <w:tc>
          <w:tcPr>
            <w:tcW w:w="851" w:type="dxa"/>
            <w:tcBorders>
              <w:top w:val="nil"/>
              <w:left w:val="single" w:sz="4" w:space="0" w:color="auto"/>
              <w:bottom w:val="single" w:sz="4" w:space="0" w:color="auto"/>
              <w:right w:val="nil"/>
            </w:tcBorders>
            <w:shd w:val="clear" w:color="auto" w:fill="auto"/>
            <w:noWrap/>
            <w:vAlign w:val="center"/>
            <w:hideMark/>
          </w:tcPr>
          <w:p w14:paraId="2A9AC286" w14:textId="77777777" w:rsidR="00387142" w:rsidRPr="008B6A75" w:rsidRDefault="00387142" w:rsidP="00387142">
            <w:pPr>
              <w:jc w:val="right"/>
              <w:rPr>
                <w:sz w:val="20"/>
                <w:szCs w:val="20"/>
              </w:rPr>
            </w:pPr>
            <w:r w:rsidRPr="008B6A75">
              <w:rPr>
                <w:sz w:val="20"/>
                <w:szCs w:val="20"/>
              </w:rPr>
              <w:t>315 604,36</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0E255A36" w14:textId="77777777" w:rsidR="00387142" w:rsidRPr="008B6A75" w:rsidRDefault="00387142" w:rsidP="00387142">
            <w:pPr>
              <w:jc w:val="right"/>
              <w:rPr>
                <w:sz w:val="20"/>
                <w:szCs w:val="20"/>
              </w:rPr>
            </w:pPr>
            <w:r w:rsidRPr="008B6A75">
              <w:rPr>
                <w:sz w:val="20"/>
                <w:szCs w:val="20"/>
              </w:rPr>
              <w:t>315 604,36</w:t>
            </w:r>
          </w:p>
        </w:tc>
      </w:tr>
      <w:tr w:rsidR="00387142" w:rsidRPr="008B6A75" w14:paraId="5C4711F9" w14:textId="77777777" w:rsidTr="00387142">
        <w:trPr>
          <w:trHeight w:val="300"/>
        </w:trPr>
        <w:tc>
          <w:tcPr>
            <w:tcW w:w="272" w:type="dxa"/>
            <w:tcBorders>
              <w:top w:val="nil"/>
              <w:left w:val="nil"/>
              <w:bottom w:val="nil"/>
              <w:right w:val="single" w:sz="4" w:space="0" w:color="auto"/>
            </w:tcBorders>
            <w:shd w:val="clear" w:color="auto" w:fill="auto"/>
            <w:noWrap/>
            <w:vAlign w:val="bottom"/>
            <w:hideMark/>
          </w:tcPr>
          <w:p w14:paraId="5D0FCD2E"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423F5778" w14:textId="77777777" w:rsidR="00387142" w:rsidRPr="008B6A75" w:rsidRDefault="00387142" w:rsidP="00387142">
            <w:pPr>
              <w:rPr>
                <w:sz w:val="20"/>
                <w:szCs w:val="20"/>
              </w:rPr>
            </w:pPr>
            <w:r w:rsidRPr="008B6A75">
              <w:rPr>
                <w:sz w:val="20"/>
                <w:szCs w:val="20"/>
              </w:rPr>
              <w:t>Субсидии</w:t>
            </w:r>
          </w:p>
        </w:tc>
        <w:tc>
          <w:tcPr>
            <w:tcW w:w="1559" w:type="dxa"/>
            <w:tcBorders>
              <w:top w:val="nil"/>
              <w:left w:val="single" w:sz="4" w:space="0" w:color="auto"/>
              <w:bottom w:val="single" w:sz="4" w:space="0" w:color="auto"/>
              <w:right w:val="nil"/>
            </w:tcBorders>
            <w:shd w:val="clear" w:color="auto" w:fill="auto"/>
            <w:noWrap/>
            <w:vAlign w:val="center"/>
            <w:hideMark/>
          </w:tcPr>
          <w:p w14:paraId="130B76CE" w14:textId="77777777" w:rsidR="00387142" w:rsidRPr="008B6A75" w:rsidRDefault="00387142" w:rsidP="00387142">
            <w:pPr>
              <w:jc w:val="center"/>
              <w:rPr>
                <w:sz w:val="20"/>
                <w:szCs w:val="20"/>
              </w:rPr>
            </w:pPr>
            <w:r w:rsidRPr="008B6A75">
              <w:rPr>
                <w:sz w:val="20"/>
                <w:szCs w:val="20"/>
              </w:rPr>
              <w:t>08.0.00.70770</w:t>
            </w:r>
          </w:p>
        </w:tc>
        <w:tc>
          <w:tcPr>
            <w:tcW w:w="850" w:type="dxa"/>
            <w:tcBorders>
              <w:top w:val="nil"/>
              <w:left w:val="single" w:sz="4" w:space="0" w:color="auto"/>
              <w:bottom w:val="single" w:sz="4" w:space="0" w:color="auto"/>
              <w:right w:val="nil"/>
            </w:tcBorders>
            <w:shd w:val="clear" w:color="auto" w:fill="auto"/>
            <w:noWrap/>
            <w:vAlign w:val="center"/>
            <w:hideMark/>
          </w:tcPr>
          <w:p w14:paraId="39D97901" w14:textId="77777777" w:rsidR="00387142" w:rsidRPr="008B6A75" w:rsidRDefault="00387142" w:rsidP="00387142">
            <w:pPr>
              <w:jc w:val="center"/>
              <w:rPr>
                <w:sz w:val="20"/>
                <w:szCs w:val="20"/>
              </w:rPr>
            </w:pPr>
            <w:r w:rsidRPr="008B6A75">
              <w:rPr>
                <w:sz w:val="20"/>
                <w:szCs w:val="20"/>
              </w:rPr>
              <w:t>520</w:t>
            </w:r>
          </w:p>
        </w:tc>
        <w:tc>
          <w:tcPr>
            <w:tcW w:w="567" w:type="dxa"/>
            <w:tcBorders>
              <w:top w:val="nil"/>
              <w:left w:val="single" w:sz="4" w:space="0" w:color="auto"/>
              <w:bottom w:val="single" w:sz="4" w:space="0" w:color="auto"/>
              <w:right w:val="nil"/>
            </w:tcBorders>
            <w:shd w:val="clear" w:color="auto" w:fill="auto"/>
            <w:noWrap/>
            <w:vAlign w:val="center"/>
            <w:hideMark/>
          </w:tcPr>
          <w:p w14:paraId="6703EFBB" w14:textId="77777777" w:rsidR="00387142" w:rsidRPr="008B6A75" w:rsidRDefault="00387142" w:rsidP="00387142">
            <w:pPr>
              <w:jc w:val="center"/>
              <w:rPr>
                <w:sz w:val="20"/>
                <w:szCs w:val="20"/>
              </w:rPr>
            </w:pPr>
            <w:r w:rsidRPr="008B6A75">
              <w:rPr>
                <w:sz w:val="20"/>
                <w:szCs w:val="20"/>
              </w:rPr>
              <w:t>08</w:t>
            </w:r>
          </w:p>
        </w:tc>
        <w:tc>
          <w:tcPr>
            <w:tcW w:w="567" w:type="dxa"/>
            <w:tcBorders>
              <w:top w:val="nil"/>
              <w:left w:val="single" w:sz="4" w:space="0" w:color="auto"/>
              <w:bottom w:val="single" w:sz="4" w:space="0" w:color="auto"/>
              <w:right w:val="nil"/>
            </w:tcBorders>
            <w:shd w:val="clear" w:color="auto" w:fill="auto"/>
            <w:noWrap/>
            <w:vAlign w:val="center"/>
            <w:hideMark/>
          </w:tcPr>
          <w:p w14:paraId="1D10C701" w14:textId="77777777" w:rsidR="00387142" w:rsidRPr="008B6A75" w:rsidRDefault="00387142" w:rsidP="00387142">
            <w:pPr>
              <w:jc w:val="center"/>
              <w:rPr>
                <w:sz w:val="20"/>
                <w:szCs w:val="20"/>
              </w:rPr>
            </w:pPr>
            <w:r w:rsidRPr="008B6A75">
              <w:rPr>
                <w:sz w:val="20"/>
                <w:szCs w:val="20"/>
              </w:rPr>
              <w:t>01</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7AF44AF" w14:textId="77777777" w:rsidR="00387142" w:rsidRPr="008B6A75" w:rsidRDefault="00387142" w:rsidP="00387142">
            <w:pPr>
              <w:jc w:val="right"/>
              <w:rPr>
                <w:sz w:val="20"/>
                <w:szCs w:val="20"/>
              </w:rPr>
            </w:pPr>
            <w:r w:rsidRPr="008B6A75">
              <w:rPr>
                <w:sz w:val="20"/>
                <w:szCs w:val="20"/>
              </w:rPr>
              <w:t>315 604,36</w:t>
            </w:r>
          </w:p>
        </w:tc>
        <w:tc>
          <w:tcPr>
            <w:tcW w:w="851" w:type="dxa"/>
            <w:tcBorders>
              <w:top w:val="nil"/>
              <w:left w:val="single" w:sz="4" w:space="0" w:color="auto"/>
              <w:bottom w:val="single" w:sz="4" w:space="0" w:color="auto"/>
              <w:right w:val="nil"/>
            </w:tcBorders>
            <w:shd w:val="clear" w:color="auto" w:fill="auto"/>
            <w:noWrap/>
            <w:vAlign w:val="center"/>
            <w:hideMark/>
          </w:tcPr>
          <w:p w14:paraId="09EAC6D1" w14:textId="77777777" w:rsidR="00387142" w:rsidRPr="008B6A75" w:rsidRDefault="00387142" w:rsidP="00387142">
            <w:pPr>
              <w:jc w:val="right"/>
              <w:rPr>
                <w:sz w:val="20"/>
                <w:szCs w:val="20"/>
              </w:rPr>
            </w:pPr>
            <w:r w:rsidRPr="008B6A75">
              <w:rPr>
                <w:sz w:val="20"/>
                <w:szCs w:val="20"/>
              </w:rPr>
              <w:t>315 604,36</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0EDA0038" w14:textId="77777777" w:rsidR="00387142" w:rsidRPr="008B6A75" w:rsidRDefault="00387142" w:rsidP="00387142">
            <w:pPr>
              <w:jc w:val="right"/>
              <w:rPr>
                <w:sz w:val="20"/>
                <w:szCs w:val="20"/>
              </w:rPr>
            </w:pPr>
            <w:r w:rsidRPr="008B6A75">
              <w:rPr>
                <w:sz w:val="20"/>
                <w:szCs w:val="20"/>
              </w:rPr>
              <w:t>315 604,36</w:t>
            </w:r>
          </w:p>
        </w:tc>
      </w:tr>
      <w:tr w:rsidR="00387142" w:rsidRPr="008B6A75" w14:paraId="05BF97B2" w14:textId="77777777" w:rsidTr="00387142">
        <w:trPr>
          <w:trHeight w:val="870"/>
        </w:trPr>
        <w:tc>
          <w:tcPr>
            <w:tcW w:w="272" w:type="dxa"/>
            <w:tcBorders>
              <w:top w:val="nil"/>
              <w:left w:val="nil"/>
              <w:bottom w:val="nil"/>
              <w:right w:val="single" w:sz="4" w:space="0" w:color="auto"/>
            </w:tcBorders>
            <w:shd w:val="clear" w:color="auto" w:fill="auto"/>
            <w:noWrap/>
            <w:vAlign w:val="bottom"/>
            <w:hideMark/>
          </w:tcPr>
          <w:p w14:paraId="2D896F0D"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0C76074A" w14:textId="77777777" w:rsidR="00387142" w:rsidRPr="008B6A75" w:rsidRDefault="00387142" w:rsidP="00387142">
            <w:pPr>
              <w:rPr>
                <w:sz w:val="20"/>
                <w:szCs w:val="20"/>
              </w:rPr>
            </w:pPr>
            <w:r w:rsidRPr="008B6A75">
              <w:rPr>
                <w:sz w:val="20"/>
                <w:szCs w:val="20"/>
              </w:rPr>
              <w:t>Предоставление субсидий бюджетным, автономным учреждениям и иным некоммерческим организациям</w:t>
            </w:r>
          </w:p>
        </w:tc>
        <w:tc>
          <w:tcPr>
            <w:tcW w:w="1559" w:type="dxa"/>
            <w:tcBorders>
              <w:top w:val="nil"/>
              <w:left w:val="single" w:sz="4" w:space="0" w:color="auto"/>
              <w:bottom w:val="single" w:sz="4" w:space="0" w:color="auto"/>
              <w:right w:val="nil"/>
            </w:tcBorders>
            <w:shd w:val="clear" w:color="auto" w:fill="auto"/>
            <w:noWrap/>
            <w:vAlign w:val="center"/>
            <w:hideMark/>
          </w:tcPr>
          <w:p w14:paraId="270252E3" w14:textId="77777777" w:rsidR="00387142" w:rsidRPr="008B6A75" w:rsidRDefault="00387142" w:rsidP="00387142">
            <w:pPr>
              <w:jc w:val="center"/>
              <w:rPr>
                <w:sz w:val="20"/>
                <w:szCs w:val="20"/>
              </w:rPr>
            </w:pPr>
            <w:r w:rsidRPr="008B6A75">
              <w:rPr>
                <w:sz w:val="20"/>
                <w:szCs w:val="20"/>
              </w:rPr>
              <w:t>08.0.00.70770</w:t>
            </w:r>
          </w:p>
        </w:tc>
        <w:tc>
          <w:tcPr>
            <w:tcW w:w="850" w:type="dxa"/>
            <w:tcBorders>
              <w:top w:val="nil"/>
              <w:left w:val="single" w:sz="4" w:space="0" w:color="auto"/>
              <w:bottom w:val="single" w:sz="4" w:space="0" w:color="auto"/>
              <w:right w:val="nil"/>
            </w:tcBorders>
            <w:shd w:val="clear" w:color="auto" w:fill="auto"/>
            <w:noWrap/>
            <w:vAlign w:val="center"/>
            <w:hideMark/>
          </w:tcPr>
          <w:p w14:paraId="1F32A05D" w14:textId="77777777" w:rsidR="00387142" w:rsidRPr="008B6A75" w:rsidRDefault="00387142" w:rsidP="00387142">
            <w:pPr>
              <w:jc w:val="center"/>
              <w:rPr>
                <w:sz w:val="20"/>
                <w:szCs w:val="20"/>
              </w:rPr>
            </w:pPr>
            <w:r w:rsidRPr="008B6A75">
              <w:rPr>
                <w:sz w:val="20"/>
                <w:szCs w:val="20"/>
              </w:rPr>
              <w:t>600</w:t>
            </w:r>
          </w:p>
        </w:tc>
        <w:tc>
          <w:tcPr>
            <w:tcW w:w="567" w:type="dxa"/>
            <w:tcBorders>
              <w:top w:val="nil"/>
              <w:left w:val="single" w:sz="4" w:space="0" w:color="auto"/>
              <w:bottom w:val="single" w:sz="4" w:space="0" w:color="auto"/>
              <w:right w:val="nil"/>
            </w:tcBorders>
            <w:shd w:val="clear" w:color="auto" w:fill="auto"/>
            <w:noWrap/>
            <w:vAlign w:val="center"/>
            <w:hideMark/>
          </w:tcPr>
          <w:p w14:paraId="743ED7B7" w14:textId="77777777" w:rsidR="00387142" w:rsidRPr="008B6A75" w:rsidRDefault="00387142" w:rsidP="00387142">
            <w:pPr>
              <w:jc w:val="center"/>
              <w:rPr>
                <w:sz w:val="20"/>
                <w:szCs w:val="20"/>
              </w:rPr>
            </w:pPr>
            <w:r w:rsidRPr="008B6A75">
              <w:rPr>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29E66FB5" w14:textId="77777777" w:rsidR="00387142" w:rsidRPr="008B6A75" w:rsidRDefault="00387142" w:rsidP="00387142">
            <w:pPr>
              <w:jc w:val="center"/>
              <w:rPr>
                <w:sz w:val="20"/>
                <w:szCs w:val="20"/>
              </w:rPr>
            </w:pPr>
            <w:r w:rsidRPr="008B6A75">
              <w:rPr>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8583FB6" w14:textId="77777777" w:rsidR="00387142" w:rsidRPr="008B6A75" w:rsidRDefault="00387142" w:rsidP="00387142">
            <w:pPr>
              <w:jc w:val="right"/>
              <w:rPr>
                <w:sz w:val="20"/>
                <w:szCs w:val="20"/>
              </w:rPr>
            </w:pPr>
            <w:r w:rsidRPr="008B6A75">
              <w:rPr>
                <w:sz w:val="20"/>
                <w:szCs w:val="20"/>
              </w:rPr>
              <w:t>399 195,64</w:t>
            </w:r>
          </w:p>
        </w:tc>
        <w:tc>
          <w:tcPr>
            <w:tcW w:w="851" w:type="dxa"/>
            <w:tcBorders>
              <w:top w:val="nil"/>
              <w:left w:val="single" w:sz="4" w:space="0" w:color="auto"/>
              <w:bottom w:val="single" w:sz="4" w:space="0" w:color="auto"/>
              <w:right w:val="nil"/>
            </w:tcBorders>
            <w:shd w:val="clear" w:color="auto" w:fill="auto"/>
            <w:noWrap/>
            <w:vAlign w:val="center"/>
            <w:hideMark/>
          </w:tcPr>
          <w:p w14:paraId="3C90CB23" w14:textId="77777777" w:rsidR="00387142" w:rsidRPr="008B6A75" w:rsidRDefault="00387142" w:rsidP="00387142">
            <w:pPr>
              <w:jc w:val="right"/>
              <w:rPr>
                <w:sz w:val="20"/>
                <w:szCs w:val="20"/>
              </w:rPr>
            </w:pPr>
            <w:r w:rsidRPr="008B6A75">
              <w:rPr>
                <w:sz w:val="20"/>
                <w:szCs w:val="20"/>
              </w:rPr>
              <w:t>399 195,64</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19CDC307" w14:textId="77777777" w:rsidR="00387142" w:rsidRPr="008B6A75" w:rsidRDefault="00387142" w:rsidP="00387142">
            <w:pPr>
              <w:jc w:val="right"/>
              <w:rPr>
                <w:sz w:val="20"/>
                <w:szCs w:val="20"/>
              </w:rPr>
            </w:pPr>
            <w:r w:rsidRPr="008B6A75">
              <w:rPr>
                <w:sz w:val="20"/>
                <w:szCs w:val="20"/>
              </w:rPr>
              <w:t>399 195,64</w:t>
            </w:r>
          </w:p>
        </w:tc>
      </w:tr>
      <w:tr w:rsidR="00387142" w:rsidRPr="008B6A75" w14:paraId="7D73F65E" w14:textId="77777777" w:rsidTr="00387142">
        <w:trPr>
          <w:trHeight w:val="300"/>
        </w:trPr>
        <w:tc>
          <w:tcPr>
            <w:tcW w:w="272" w:type="dxa"/>
            <w:tcBorders>
              <w:top w:val="nil"/>
              <w:left w:val="nil"/>
              <w:bottom w:val="nil"/>
              <w:right w:val="single" w:sz="4" w:space="0" w:color="auto"/>
            </w:tcBorders>
            <w:shd w:val="clear" w:color="auto" w:fill="auto"/>
            <w:noWrap/>
            <w:vAlign w:val="bottom"/>
            <w:hideMark/>
          </w:tcPr>
          <w:p w14:paraId="222B4B54"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71F589D0" w14:textId="77777777" w:rsidR="00387142" w:rsidRPr="008B6A75" w:rsidRDefault="00387142" w:rsidP="00387142">
            <w:pPr>
              <w:rPr>
                <w:sz w:val="20"/>
                <w:szCs w:val="20"/>
              </w:rPr>
            </w:pPr>
            <w:r w:rsidRPr="008B6A75">
              <w:rPr>
                <w:sz w:val="20"/>
                <w:szCs w:val="20"/>
              </w:rPr>
              <w:t>Субсидии бюджетным учреждениям</w:t>
            </w:r>
          </w:p>
        </w:tc>
        <w:tc>
          <w:tcPr>
            <w:tcW w:w="1559" w:type="dxa"/>
            <w:tcBorders>
              <w:top w:val="nil"/>
              <w:left w:val="single" w:sz="4" w:space="0" w:color="auto"/>
              <w:bottom w:val="single" w:sz="4" w:space="0" w:color="auto"/>
              <w:right w:val="nil"/>
            </w:tcBorders>
            <w:shd w:val="clear" w:color="auto" w:fill="auto"/>
            <w:noWrap/>
            <w:vAlign w:val="center"/>
            <w:hideMark/>
          </w:tcPr>
          <w:p w14:paraId="73B4E885" w14:textId="77777777" w:rsidR="00387142" w:rsidRPr="008B6A75" w:rsidRDefault="00387142" w:rsidP="00387142">
            <w:pPr>
              <w:jc w:val="center"/>
              <w:rPr>
                <w:sz w:val="20"/>
                <w:szCs w:val="20"/>
              </w:rPr>
            </w:pPr>
            <w:r w:rsidRPr="008B6A75">
              <w:rPr>
                <w:sz w:val="20"/>
                <w:szCs w:val="20"/>
              </w:rPr>
              <w:t>08.0.00.70770</w:t>
            </w:r>
          </w:p>
        </w:tc>
        <w:tc>
          <w:tcPr>
            <w:tcW w:w="850" w:type="dxa"/>
            <w:tcBorders>
              <w:top w:val="nil"/>
              <w:left w:val="single" w:sz="4" w:space="0" w:color="auto"/>
              <w:bottom w:val="single" w:sz="4" w:space="0" w:color="auto"/>
              <w:right w:val="nil"/>
            </w:tcBorders>
            <w:shd w:val="clear" w:color="auto" w:fill="auto"/>
            <w:noWrap/>
            <w:vAlign w:val="center"/>
            <w:hideMark/>
          </w:tcPr>
          <w:p w14:paraId="7E492F2C" w14:textId="77777777" w:rsidR="00387142" w:rsidRPr="008B6A75" w:rsidRDefault="00387142" w:rsidP="00387142">
            <w:pPr>
              <w:jc w:val="center"/>
              <w:rPr>
                <w:sz w:val="20"/>
                <w:szCs w:val="20"/>
              </w:rPr>
            </w:pPr>
            <w:r w:rsidRPr="008B6A75">
              <w:rPr>
                <w:sz w:val="20"/>
                <w:szCs w:val="20"/>
              </w:rPr>
              <w:t>610</w:t>
            </w:r>
          </w:p>
        </w:tc>
        <w:tc>
          <w:tcPr>
            <w:tcW w:w="567" w:type="dxa"/>
            <w:tcBorders>
              <w:top w:val="nil"/>
              <w:left w:val="single" w:sz="4" w:space="0" w:color="auto"/>
              <w:bottom w:val="single" w:sz="4" w:space="0" w:color="auto"/>
              <w:right w:val="nil"/>
            </w:tcBorders>
            <w:shd w:val="clear" w:color="auto" w:fill="auto"/>
            <w:noWrap/>
            <w:vAlign w:val="center"/>
            <w:hideMark/>
          </w:tcPr>
          <w:p w14:paraId="58A3AABC" w14:textId="77777777" w:rsidR="00387142" w:rsidRPr="008B6A75" w:rsidRDefault="00387142" w:rsidP="00387142">
            <w:pPr>
              <w:jc w:val="center"/>
              <w:rPr>
                <w:sz w:val="20"/>
                <w:szCs w:val="20"/>
              </w:rPr>
            </w:pPr>
            <w:r w:rsidRPr="008B6A75">
              <w:rPr>
                <w:sz w:val="20"/>
                <w:szCs w:val="20"/>
              </w:rPr>
              <w:t>08</w:t>
            </w:r>
          </w:p>
        </w:tc>
        <w:tc>
          <w:tcPr>
            <w:tcW w:w="567" w:type="dxa"/>
            <w:tcBorders>
              <w:top w:val="nil"/>
              <w:left w:val="single" w:sz="4" w:space="0" w:color="auto"/>
              <w:bottom w:val="single" w:sz="4" w:space="0" w:color="auto"/>
              <w:right w:val="nil"/>
            </w:tcBorders>
            <w:shd w:val="clear" w:color="auto" w:fill="auto"/>
            <w:noWrap/>
            <w:vAlign w:val="center"/>
            <w:hideMark/>
          </w:tcPr>
          <w:p w14:paraId="19D9E2F6" w14:textId="77777777" w:rsidR="00387142" w:rsidRPr="008B6A75" w:rsidRDefault="00387142" w:rsidP="00387142">
            <w:pPr>
              <w:jc w:val="center"/>
              <w:rPr>
                <w:sz w:val="20"/>
                <w:szCs w:val="20"/>
              </w:rPr>
            </w:pPr>
            <w:r w:rsidRPr="008B6A75">
              <w:rPr>
                <w:sz w:val="20"/>
                <w:szCs w:val="20"/>
              </w:rPr>
              <w:t>01</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6E4CA16" w14:textId="77777777" w:rsidR="00387142" w:rsidRPr="008B6A75" w:rsidRDefault="00387142" w:rsidP="00387142">
            <w:pPr>
              <w:jc w:val="right"/>
              <w:rPr>
                <w:sz w:val="20"/>
                <w:szCs w:val="20"/>
              </w:rPr>
            </w:pPr>
            <w:r w:rsidRPr="008B6A75">
              <w:rPr>
                <w:sz w:val="20"/>
                <w:szCs w:val="20"/>
              </w:rPr>
              <w:t>399 195,64</w:t>
            </w:r>
          </w:p>
        </w:tc>
        <w:tc>
          <w:tcPr>
            <w:tcW w:w="851" w:type="dxa"/>
            <w:tcBorders>
              <w:top w:val="nil"/>
              <w:left w:val="single" w:sz="4" w:space="0" w:color="auto"/>
              <w:bottom w:val="single" w:sz="4" w:space="0" w:color="auto"/>
              <w:right w:val="nil"/>
            </w:tcBorders>
            <w:shd w:val="clear" w:color="auto" w:fill="auto"/>
            <w:noWrap/>
            <w:vAlign w:val="center"/>
            <w:hideMark/>
          </w:tcPr>
          <w:p w14:paraId="22299C37" w14:textId="77777777" w:rsidR="00387142" w:rsidRPr="008B6A75" w:rsidRDefault="00387142" w:rsidP="00387142">
            <w:pPr>
              <w:jc w:val="right"/>
              <w:rPr>
                <w:sz w:val="20"/>
                <w:szCs w:val="20"/>
              </w:rPr>
            </w:pPr>
            <w:r w:rsidRPr="008B6A75">
              <w:rPr>
                <w:sz w:val="20"/>
                <w:szCs w:val="20"/>
              </w:rPr>
              <w:t>399 195,64</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315AA4E0" w14:textId="77777777" w:rsidR="00387142" w:rsidRPr="008B6A75" w:rsidRDefault="00387142" w:rsidP="00387142">
            <w:pPr>
              <w:jc w:val="right"/>
              <w:rPr>
                <w:sz w:val="20"/>
                <w:szCs w:val="20"/>
              </w:rPr>
            </w:pPr>
            <w:r w:rsidRPr="008B6A75">
              <w:rPr>
                <w:sz w:val="20"/>
                <w:szCs w:val="20"/>
              </w:rPr>
              <w:t>399 195,64</w:t>
            </w:r>
          </w:p>
        </w:tc>
      </w:tr>
      <w:tr w:rsidR="00387142" w:rsidRPr="008B6A75" w14:paraId="347526AC" w14:textId="77777777" w:rsidTr="00387142">
        <w:trPr>
          <w:trHeight w:val="585"/>
        </w:trPr>
        <w:tc>
          <w:tcPr>
            <w:tcW w:w="272" w:type="dxa"/>
            <w:tcBorders>
              <w:top w:val="nil"/>
              <w:left w:val="nil"/>
              <w:bottom w:val="nil"/>
              <w:right w:val="single" w:sz="4" w:space="0" w:color="auto"/>
            </w:tcBorders>
            <w:shd w:val="clear" w:color="auto" w:fill="auto"/>
            <w:noWrap/>
            <w:vAlign w:val="bottom"/>
            <w:hideMark/>
          </w:tcPr>
          <w:p w14:paraId="64BF81E9"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21E7BAF6" w14:textId="77777777" w:rsidR="00387142" w:rsidRPr="008B6A75" w:rsidRDefault="00387142" w:rsidP="00387142">
            <w:pPr>
              <w:rPr>
                <w:bCs/>
                <w:sz w:val="20"/>
                <w:szCs w:val="20"/>
              </w:rPr>
            </w:pPr>
            <w:r w:rsidRPr="008B6A75">
              <w:rPr>
                <w:bCs/>
                <w:sz w:val="20"/>
                <w:szCs w:val="20"/>
              </w:rPr>
              <w:t>Реализация мероприятий МП "Развитие культуры в Куйбышевском районе"</w:t>
            </w:r>
          </w:p>
        </w:tc>
        <w:tc>
          <w:tcPr>
            <w:tcW w:w="1559" w:type="dxa"/>
            <w:tcBorders>
              <w:top w:val="nil"/>
              <w:left w:val="single" w:sz="4" w:space="0" w:color="auto"/>
              <w:bottom w:val="single" w:sz="4" w:space="0" w:color="auto"/>
              <w:right w:val="nil"/>
            </w:tcBorders>
            <w:shd w:val="clear" w:color="auto" w:fill="auto"/>
            <w:noWrap/>
            <w:vAlign w:val="center"/>
            <w:hideMark/>
          </w:tcPr>
          <w:p w14:paraId="51FC37BF" w14:textId="77777777" w:rsidR="00387142" w:rsidRPr="008B6A75" w:rsidRDefault="00387142" w:rsidP="00387142">
            <w:pPr>
              <w:jc w:val="center"/>
              <w:rPr>
                <w:bCs/>
                <w:sz w:val="20"/>
                <w:szCs w:val="20"/>
              </w:rPr>
            </w:pPr>
            <w:r w:rsidRPr="008B6A75">
              <w:rPr>
                <w:bCs/>
                <w:sz w:val="20"/>
                <w:szCs w:val="20"/>
              </w:rPr>
              <w:t>08.0.00.89500</w:t>
            </w:r>
          </w:p>
        </w:tc>
        <w:tc>
          <w:tcPr>
            <w:tcW w:w="850" w:type="dxa"/>
            <w:tcBorders>
              <w:top w:val="nil"/>
              <w:left w:val="single" w:sz="4" w:space="0" w:color="auto"/>
              <w:bottom w:val="single" w:sz="4" w:space="0" w:color="auto"/>
              <w:right w:val="nil"/>
            </w:tcBorders>
            <w:shd w:val="clear" w:color="auto" w:fill="auto"/>
            <w:noWrap/>
            <w:vAlign w:val="center"/>
            <w:hideMark/>
          </w:tcPr>
          <w:p w14:paraId="53F3860F" w14:textId="77777777" w:rsidR="00387142" w:rsidRPr="008B6A75" w:rsidRDefault="00387142" w:rsidP="00387142">
            <w:pPr>
              <w:jc w:val="center"/>
              <w:rPr>
                <w:bCs/>
                <w:sz w:val="20"/>
                <w:szCs w:val="20"/>
              </w:rPr>
            </w:pPr>
            <w:r w:rsidRPr="008B6A75">
              <w:rPr>
                <w:bCs/>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406AC7F7" w14:textId="77777777" w:rsidR="00387142" w:rsidRPr="008B6A75" w:rsidRDefault="00387142" w:rsidP="00387142">
            <w:pPr>
              <w:jc w:val="center"/>
              <w:rPr>
                <w:bCs/>
                <w:sz w:val="20"/>
                <w:szCs w:val="20"/>
              </w:rPr>
            </w:pPr>
            <w:r w:rsidRPr="008B6A75">
              <w:rPr>
                <w:bCs/>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5B861264" w14:textId="77777777" w:rsidR="00387142" w:rsidRPr="008B6A75" w:rsidRDefault="00387142" w:rsidP="00387142">
            <w:pPr>
              <w:jc w:val="center"/>
              <w:rPr>
                <w:bCs/>
                <w:sz w:val="20"/>
                <w:szCs w:val="20"/>
              </w:rPr>
            </w:pPr>
            <w:r w:rsidRPr="008B6A75">
              <w:rPr>
                <w:bCs/>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17C60FE" w14:textId="77777777" w:rsidR="00387142" w:rsidRPr="008B6A75" w:rsidRDefault="00387142" w:rsidP="00387142">
            <w:pPr>
              <w:jc w:val="right"/>
              <w:rPr>
                <w:bCs/>
                <w:sz w:val="20"/>
                <w:szCs w:val="20"/>
              </w:rPr>
            </w:pPr>
            <w:r w:rsidRPr="008B6A75">
              <w:rPr>
                <w:bCs/>
                <w:sz w:val="20"/>
                <w:szCs w:val="20"/>
              </w:rPr>
              <w:t>3 133 742,00</w:t>
            </w:r>
          </w:p>
        </w:tc>
        <w:tc>
          <w:tcPr>
            <w:tcW w:w="851" w:type="dxa"/>
            <w:tcBorders>
              <w:top w:val="nil"/>
              <w:left w:val="single" w:sz="4" w:space="0" w:color="auto"/>
              <w:bottom w:val="single" w:sz="4" w:space="0" w:color="auto"/>
              <w:right w:val="nil"/>
            </w:tcBorders>
            <w:shd w:val="clear" w:color="auto" w:fill="auto"/>
            <w:noWrap/>
            <w:vAlign w:val="center"/>
            <w:hideMark/>
          </w:tcPr>
          <w:p w14:paraId="5BA1C1DE" w14:textId="77777777" w:rsidR="00387142" w:rsidRPr="008B6A75" w:rsidRDefault="00387142" w:rsidP="00387142">
            <w:pPr>
              <w:jc w:val="right"/>
              <w:rPr>
                <w:bCs/>
                <w:sz w:val="20"/>
                <w:szCs w:val="20"/>
              </w:rPr>
            </w:pPr>
            <w:r w:rsidRPr="008B6A75">
              <w:rPr>
                <w:bCs/>
                <w:sz w:val="20"/>
                <w:szCs w:val="20"/>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67975A6E" w14:textId="77777777" w:rsidR="00387142" w:rsidRPr="008B6A75" w:rsidRDefault="00387142" w:rsidP="00387142">
            <w:pPr>
              <w:jc w:val="right"/>
              <w:rPr>
                <w:bCs/>
                <w:sz w:val="20"/>
                <w:szCs w:val="20"/>
              </w:rPr>
            </w:pPr>
            <w:r w:rsidRPr="008B6A75">
              <w:rPr>
                <w:bCs/>
                <w:sz w:val="20"/>
                <w:szCs w:val="20"/>
              </w:rPr>
              <w:t>0,00</w:t>
            </w:r>
          </w:p>
        </w:tc>
      </w:tr>
      <w:tr w:rsidR="00387142" w:rsidRPr="008B6A75" w14:paraId="3A665373" w14:textId="77777777" w:rsidTr="00387142">
        <w:trPr>
          <w:trHeight w:val="585"/>
        </w:trPr>
        <w:tc>
          <w:tcPr>
            <w:tcW w:w="272" w:type="dxa"/>
            <w:tcBorders>
              <w:top w:val="nil"/>
              <w:left w:val="nil"/>
              <w:bottom w:val="nil"/>
              <w:right w:val="single" w:sz="4" w:space="0" w:color="auto"/>
            </w:tcBorders>
            <w:shd w:val="clear" w:color="auto" w:fill="auto"/>
            <w:noWrap/>
            <w:vAlign w:val="bottom"/>
            <w:hideMark/>
          </w:tcPr>
          <w:p w14:paraId="0D595FDE"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38BF70C9" w14:textId="77777777" w:rsidR="00387142" w:rsidRPr="008B6A75" w:rsidRDefault="00387142" w:rsidP="00387142">
            <w:pPr>
              <w:rPr>
                <w:bCs/>
                <w:sz w:val="20"/>
                <w:szCs w:val="20"/>
              </w:rPr>
            </w:pPr>
            <w:r w:rsidRPr="008B6A75">
              <w:rPr>
                <w:bCs/>
                <w:sz w:val="20"/>
                <w:szCs w:val="20"/>
              </w:rPr>
              <w:t>Реализация мероприятий МП "Развитие культуры в Куйбышевском районе"</w:t>
            </w:r>
          </w:p>
        </w:tc>
        <w:tc>
          <w:tcPr>
            <w:tcW w:w="1559" w:type="dxa"/>
            <w:tcBorders>
              <w:top w:val="nil"/>
              <w:left w:val="single" w:sz="4" w:space="0" w:color="auto"/>
              <w:bottom w:val="single" w:sz="4" w:space="0" w:color="auto"/>
              <w:right w:val="nil"/>
            </w:tcBorders>
            <w:shd w:val="clear" w:color="auto" w:fill="auto"/>
            <w:noWrap/>
            <w:vAlign w:val="center"/>
            <w:hideMark/>
          </w:tcPr>
          <w:p w14:paraId="23569E25" w14:textId="77777777" w:rsidR="00387142" w:rsidRPr="008B6A75" w:rsidRDefault="00387142" w:rsidP="00387142">
            <w:pPr>
              <w:jc w:val="center"/>
              <w:rPr>
                <w:bCs/>
                <w:sz w:val="20"/>
                <w:szCs w:val="20"/>
              </w:rPr>
            </w:pPr>
            <w:r w:rsidRPr="008B6A75">
              <w:rPr>
                <w:bCs/>
                <w:sz w:val="20"/>
                <w:szCs w:val="20"/>
              </w:rPr>
              <w:t>08.0.00.89500</w:t>
            </w:r>
          </w:p>
        </w:tc>
        <w:tc>
          <w:tcPr>
            <w:tcW w:w="850" w:type="dxa"/>
            <w:tcBorders>
              <w:top w:val="nil"/>
              <w:left w:val="single" w:sz="4" w:space="0" w:color="auto"/>
              <w:bottom w:val="single" w:sz="4" w:space="0" w:color="auto"/>
              <w:right w:val="nil"/>
            </w:tcBorders>
            <w:shd w:val="clear" w:color="auto" w:fill="auto"/>
            <w:noWrap/>
            <w:vAlign w:val="center"/>
            <w:hideMark/>
          </w:tcPr>
          <w:p w14:paraId="4CFDC416" w14:textId="77777777" w:rsidR="00387142" w:rsidRPr="008B6A75" w:rsidRDefault="00387142" w:rsidP="00387142">
            <w:pPr>
              <w:jc w:val="center"/>
              <w:rPr>
                <w:bCs/>
                <w:sz w:val="20"/>
                <w:szCs w:val="20"/>
              </w:rPr>
            </w:pPr>
            <w:r w:rsidRPr="008B6A75">
              <w:rPr>
                <w:bCs/>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3E58673E" w14:textId="77777777" w:rsidR="00387142" w:rsidRPr="008B6A75" w:rsidRDefault="00387142" w:rsidP="00387142">
            <w:pPr>
              <w:jc w:val="center"/>
              <w:rPr>
                <w:bCs/>
                <w:sz w:val="20"/>
                <w:szCs w:val="20"/>
              </w:rPr>
            </w:pPr>
            <w:r w:rsidRPr="008B6A75">
              <w:rPr>
                <w:bCs/>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607D9AE6" w14:textId="77777777" w:rsidR="00387142" w:rsidRPr="008B6A75" w:rsidRDefault="00387142" w:rsidP="00387142">
            <w:pPr>
              <w:jc w:val="center"/>
              <w:rPr>
                <w:bCs/>
                <w:sz w:val="20"/>
                <w:szCs w:val="20"/>
              </w:rPr>
            </w:pPr>
            <w:r w:rsidRPr="008B6A75">
              <w:rPr>
                <w:bCs/>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DAC608A" w14:textId="77777777" w:rsidR="00387142" w:rsidRPr="008B6A75" w:rsidRDefault="00387142" w:rsidP="00387142">
            <w:pPr>
              <w:jc w:val="right"/>
              <w:rPr>
                <w:bCs/>
                <w:sz w:val="20"/>
                <w:szCs w:val="20"/>
              </w:rPr>
            </w:pPr>
            <w:r w:rsidRPr="008B6A75">
              <w:rPr>
                <w:bCs/>
                <w:sz w:val="20"/>
                <w:szCs w:val="20"/>
              </w:rPr>
              <w:t>3 133 742,00</w:t>
            </w:r>
          </w:p>
        </w:tc>
        <w:tc>
          <w:tcPr>
            <w:tcW w:w="851" w:type="dxa"/>
            <w:tcBorders>
              <w:top w:val="nil"/>
              <w:left w:val="single" w:sz="4" w:space="0" w:color="auto"/>
              <w:bottom w:val="single" w:sz="4" w:space="0" w:color="auto"/>
              <w:right w:val="nil"/>
            </w:tcBorders>
            <w:shd w:val="clear" w:color="auto" w:fill="auto"/>
            <w:noWrap/>
            <w:vAlign w:val="center"/>
            <w:hideMark/>
          </w:tcPr>
          <w:p w14:paraId="6900790E" w14:textId="77777777" w:rsidR="00387142" w:rsidRPr="008B6A75" w:rsidRDefault="00387142" w:rsidP="00387142">
            <w:pPr>
              <w:jc w:val="right"/>
              <w:rPr>
                <w:bCs/>
                <w:sz w:val="20"/>
                <w:szCs w:val="20"/>
              </w:rPr>
            </w:pPr>
            <w:r w:rsidRPr="008B6A75">
              <w:rPr>
                <w:bCs/>
                <w:sz w:val="20"/>
                <w:szCs w:val="20"/>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5230EFA4" w14:textId="77777777" w:rsidR="00387142" w:rsidRPr="008B6A75" w:rsidRDefault="00387142" w:rsidP="00387142">
            <w:pPr>
              <w:jc w:val="right"/>
              <w:rPr>
                <w:bCs/>
                <w:sz w:val="20"/>
                <w:szCs w:val="20"/>
              </w:rPr>
            </w:pPr>
            <w:r w:rsidRPr="008B6A75">
              <w:rPr>
                <w:bCs/>
                <w:sz w:val="20"/>
                <w:szCs w:val="20"/>
              </w:rPr>
              <w:t>0,00</w:t>
            </w:r>
          </w:p>
        </w:tc>
      </w:tr>
      <w:tr w:rsidR="00387142" w:rsidRPr="008B6A75" w14:paraId="1B1606B4" w14:textId="77777777" w:rsidTr="00387142">
        <w:trPr>
          <w:trHeight w:val="300"/>
        </w:trPr>
        <w:tc>
          <w:tcPr>
            <w:tcW w:w="272" w:type="dxa"/>
            <w:tcBorders>
              <w:top w:val="nil"/>
              <w:left w:val="nil"/>
              <w:bottom w:val="nil"/>
              <w:right w:val="single" w:sz="4" w:space="0" w:color="auto"/>
            </w:tcBorders>
            <w:shd w:val="clear" w:color="auto" w:fill="auto"/>
            <w:noWrap/>
            <w:vAlign w:val="bottom"/>
            <w:hideMark/>
          </w:tcPr>
          <w:p w14:paraId="029C39B3"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3E5E301D" w14:textId="77777777" w:rsidR="00387142" w:rsidRPr="008B6A75" w:rsidRDefault="00387142" w:rsidP="00387142">
            <w:pPr>
              <w:rPr>
                <w:sz w:val="20"/>
                <w:szCs w:val="20"/>
              </w:rPr>
            </w:pPr>
            <w:r w:rsidRPr="008B6A75">
              <w:rPr>
                <w:sz w:val="20"/>
                <w:szCs w:val="20"/>
              </w:rPr>
              <w:t>Межбюджетные трансферты</w:t>
            </w:r>
          </w:p>
        </w:tc>
        <w:tc>
          <w:tcPr>
            <w:tcW w:w="1559" w:type="dxa"/>
            <w:tcBorders>
              <w:top w:val="nil"/>
              <w:left w:val="single" w:sz="4" w:space="0" w:color="auto"/>
              <w:bottom w:val="single" w:sz="4" w:space="0" w:color="auto"/>
              <w:right w:val="nil"/>
            </w:tcBorders>
            <w:shd w:val="clear" w:color="auto" w:fill="auto"/>
            <w:noWrap/>
            <w:vAlign w:val="center"/>
            <w:hideMark/>
          </w:tcPr>
          <w:p w14:paraId="3E68A932" w14:textId="77777777" w:rsidR="00387142" w:rsidRPr="008B6A75" w:rsidRDefault="00387142" w:rsidP="00387142">
            <w:pPr>
              <w:jc w:val="center"/>
              <w:rPr>
                <w:sz w:val="20"/>
                <w:szCs w:val="20"/>
              </w:rPr>
            </w:pPr>
            <w:r w:rsidRPr="008B6A75">
              <w:rPr>
                <w:sz w:val="20"/>
                <w:szCs w:val="20"/>
              </w:rPr>
              <w:t>08.0.00.89500</w:t>
            </w:r>
          </w:p>
        </w:tc>
        <w:tc>
          <w:tcPr>
            <w:tcW w:w="850" w:type="dxa"/>
            <w:tcBorders>
              <w:top w:val="nil"/>
              <w:left w:val="single" w:sz="4" w:space="0" w:color="auto"/>
              <w:bottom w:val="single" w:sz="4" w:space="0" w:color="auto"/>
              <w:right w:val="nil"/>
            </w:tcBorders>
            <w:shd w:val="clear" w:color="auto" w:fill="auto"/>
            <w:noWrap/>
            <w:vAlign w:val="center"/>
            <w:hideMark/>
          </w:tcPr>
          <w:p w14:paraId="502FB9C8" w14:textId="77777777" w:rsidR="00387142" w:rsidRPr="008B6A75" w:rsidRDefault="00387142" w:rsidP="00387142">
            <w:pPr>
              <w:jc w:val="center"/>
              <w:rPr>
                <w:sz w:val="20"/>
                <w:szCs w:val="20"/>
              </w:rPr>
            </w:pPr>
            <w:r w:rsidRPr="008B6A75">
              <w:rPr>
                <w:sz w:val="20"/>
                <w:szCs w:val="20"/>
              </w:rPr>
              <w:t>500</w:t>
            </w:r>
          </w:p>
        </w:tc>
        <w:tc>
          <w:tcPr>
            <w:tcW w:w="567" w:type="dxa"/>
            <w:tcBorders>
              <w:top w:val="nil"/>
              <w:left w:val="single" w:sz="4" w:space="0" w:color="auto"/>
              <w:bottom w:val="single" w:sz="4" w:space="0" w:color="auto"/>
              <w:right w:val="nil"/>
            </w:tcBorders>
            <w:shd w:val="clear" w:color="auto" w:fill="auto"/>
            <w:noWrap/>
            <w:vAlign w:val="center"/>
            <w:hideMark/>
          </w:tcPr>
          <w:p w14:paraId="51F70698" w14:textId="77777777" w:rsidR="00387142" w:rsidRPr="008B6A75" w:rsidRDefault="00387142" w:rsidP="00387142">
            <w:pPr>
              <w:jc w:val="center"/>
              <w:rPr>
                <w:sz w:val="20"/>
                <w:szCs w:val="20"/>
              </w:rPr>
            </w:pPr>
            <w:r w:rsidRPr="008B6A75">
              <w:rPr>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0CC4E65D" w14:textId="77777777" w:rsidR="00387142" w:rsidRPr="008B6A75" w:rsidRDefault="00387142" w:rsidP="00387142">
            <w:pPr>
              <w:jc w:val="center"/>
              <w:rPr>
                <w:sz w:val="20"/>
                <w:szCs w:val="20"/>
              </w:rPr>
            </w:pPr>
            <w:r w:rsidRPr="008B6A75">
              <w:rPr>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8C63BE6" w14:textId="77777777" w:rsidR="00387142" w:rsidRPr="008B6A75" w:rsidRDefault="00387142" w:rsidP="00387142">
            <w:pPr>
              <w:jc w:val="right"/>
              <w:rPr>
                <w:sz w:val="20"/>
                <w:szCs w:val="20"/>
              </w:rPr>
            </w:pPr>
            <w:r w:rsidRPr="008B6A75">
              <w:rPr>
                <w:sz w:val="20"/>
                <w:szCs w:val="20"/>
              </w:rPr>
              <w:t>2 515 324,50</w:t>
            </w:r>
          </w:p>
        </w:tc>
        <w:tc>
          <w:tcPr>
            <w:tcW w:w="851" w:type="dxa"/>
            <w:tcBorders>
              <w:top w:val="nil"/>
              <w:left w:val="single" w:sz="4" w:space="0" w:color="auto"/>
              <w:bottom w:val="single" w:sz="4" w:space="0" w:color="auto"/>
              <w:right w:val="nil"/>
            </w:tcBorders>
            <w:shd w:val="clear" w:color="auto" w:fill="auto"/>
            <w:noWrap/>
            <w:vAlign w:val="center"/>
            <w:hideMark/>
          </w:tcPr>
          <w:p w14:paraId="67F4D6A5" w14:textId="77777777" w:rsidR="00387142" w:rsidRPr="008B6A75" w:rsidRDefault="00387142" w:rsidP="00387142">
            <w:pPr>
              <w:jc w:val="right"/>
              <w:rPr>
                <w:sz w:val="20"/>
                <w:szCs w:val="20"/>
              </w:rPr>
            </w:pPr>
            <w:r w:rsidRPr="008B6A75">
              <w:rPr>
                <w:sz w:val="20"/>
                <w:szCs w:val="20"/>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36DB6DF4" w14:textId="77777777" w:rsidR="00387142" w:rsidRPr="008B6A75" w:rsidRDefault="00387142" w:rsidP="00387142">
            <w:pPr>
              <w:jc w:val="right"/>
              <w:rPr>
                <w:sz w:val="20"/>
                <w:szCs w:val="20"/>
              </w:rPr>
            </w:pPr>
            <w:r w:rsidRPr="008B6A75">
              <w:rPr>
                <w:sz w:val="20"/>
                <w:szCs w:val="20"/>
              </w:rPr>
              <w:t>0,00</w:t>
            </w:r>
          </w:p>
        </w:tc>
      </w:tr>
      <w:tr w:rsidR="00387142" w:rsidRPr="008B6A75" w14:paraId="71A06C8C" w14:textId="77777777" w:rsidTr="00387142">
        <w:trPr>
          <w:trHeight w:val="300"/>
        </w:trPr>
        <w:tc>
          <w:tcPr>
            <w:tcW w:w="272" w:type="dxa"/>
            <w:tcBorders>
              <w:top w:val="nil"/>
              <w:left w:val="nil"/>
              <w:bottom w:val="nil"/>
              <w:right w:val="single" w:sz="4" w:space="0" w:color="auto"/>
            </w:tcBorders>
            <w:shd w:val="clear" w:color="auto" w:fill="auto"/>
            <w:noWrap/>
            <w:vAlign w:val="bottom"/>
            <w:hideMark/>
          </w:tcPr>
          <w:p w14:paraId="370BF1CC"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6047E0BF" w14:textId="77777777" w:rsidR="00387142" w:rsidRPr="008B6A75" w:rsidRDefault="00387142" w:rsidP="00387142">
            <w:pPr>
              <w:rPr>
                <w:sz w:val="20"/>
                <w:szCs w:val="20"/>
              </w:rPr>
            </w:pPr>
            <w:r w:rsidRPr="008B6A75">
              <w:rPr>
                <w:sz w:val="20"/>
                <w:szCs w:val="20"/>
              </w:rPr>
              <w:t>Иные межбюджетные трансферты</w:t>
            </w:r>
          </w:p>
        </w:tc>
        <w:tc>
          <w:tcPr>
            <w:tcW w:w="1559" w:type="dxa"/>
            <w:tcBorders>
              <w:top w:val="nil"/>
              <w:left w:val="single" w:sz="4" w:space="0" w:color="auto"/>
              <w:bottom w:val="single" w:sz="4" w:space="0" w:color="auto"/>
              <w:right w:val="nil"/>
            </w:tcBorders>
            <w:shd w:val="clear" w:color="auto" w:fill="auto"/>
            <w:noWrap/>
            <w:vAlign w:val="center"/>
            <w:hideMark/>
          </w:tcPr>
          <w:p w14:paraId="4085DDB9" w14:textId="77777777" w:rsidR="00387142" w:rsidRPr="008B6A75" w:rsidRDefault="00387142" w:rsidP="00387142">
            <w:pPr>
              <w:jc w:val="center"/>
              <w:rPr>
                <w:sz w:val="20"/>
                <w:szCs w:val="20"/>
              </w:rPr>
            </w:pPr>
            <w:r w:rsidRPr="008B6A75">
              <w:rPr>
                <w:sz w:val="20"/>
                <w:szCs w:val="20"/>
              </w:rPr>
              <w:t>08.0.00.89500</w:t>
            </w:r>
          </w:p>
        </w:tc>
        <w:tc>
          <w:tcPr>
            <w:tcW w:w="850" w:type="dxa"/>
            <w:tcBorders>
              <w:top w:val="nil"/>
              <w:left w:val="single" w:sz="4" w:space="0" w:color="auto"/>
              <w:bottom w:val="single" w:sz="4" w:space="0" w:color="auto"/>
              <w:right w:val="nil"/>
            </w:tcBorders>
            <w:shd w:val="clear" w:color="auto" w:fill="auto"/>
            <w:noWrap/>
            <w:vAlign w:val="center"/>
            <w:hideMark/>
          </w:tcPr>
          <w:p w14:paraId="6A97CFFB" w14:textId="77777777" w:rsidR="00387142" w:rsidRPr="008B6A75" w:rsidRDefault="00387142" w:rsidP="00387142">
            <w:pPr>
              <w:jc w:val="center"/>
              <w:rPr>
                <w:sz w:val="20"/>
                <w:szCs w:val="20"/>
              </w:rPr>
            </w:pPr>
            <w:r w:rsidRPr="008B6A75">
              <w:rPr>
                <w:sz w:val="20"/>
                <w:szCs w:val="20"/>
              </w:rPr>
              <w:t>540</w:t>
            </w:r>
          </w:p>
        </w:tc>
        <w:tc>
          <w:tcPr>
            <w:tcW w:w="567" w:type="dxa"/>
            <w:tcBorders>
              <w:top w:val="nil"/>
              <w:left w:val="single" w:sz="4" w:space="0" w:color="auto"/>
              <w:bottom w:val="single" w:sz="4" w:space="0" w:color="auto"/>
              <w:right w:val="nil"/>
            </w:tcBorders>
            <w:shd w:val="clear" w:color="auto" w:fill="auto"/>
            <w:noWrap/>
            <w:vAlign w:val="center"/>
            <w:hideMark/>
          </w:tcPr>
          <w:p w14:paraId="5D12BEDA" w14:textId="77777777" w:rsidR="00387142" w:rsidRPr="008B6A75" w:rsidRDefault="00387142" w:rsidP="00387142">
            <w:pPr>
              <w:jc w:val="center"/>
              <w:rPr>
                <w:sz w:val="20"/>
                <w:szCs w:val="20"/>
              </w:rPr>
            </w:pPr>
            <w:r w:rsidRPr="008B6A75">
              <w:rPr>
                <w:sz w:val="20"/>
                <w:szCs w:val="20"/>
              </w:rPr>
              <w:t>08</w:t>
            </w:r>
          </w:p>
        </w:tc>
        <w:tc>
          <w:tcPr>
            <w:tcW w:w="567" w:type="dxa"/>
            <w:tcBorders>
              <w:top w:val="nil"/>
              <w:left w:val="single" w:sz="4" w:space="0" w:color="auto"/>
              <w:bottom w:val="single" w:sz="4" w:space="0" w:color="auto"/>
              <w:right w:val="nil"/>
            </w:tcBorders>
            <w:shd w:val="clear" w:color="auto" w:fill="auto"/>
            <w:noWrap/>
            <w:vAlign w:val="center"/>
            <w:hideMark/>
          </w:tcPr>
          <w:p w14:paraId="333095E6" w14:textId="77777777" w:rsidR="00387142" w:rsidRPr="008B6A75" w:rsidRDefault="00387142" w:rsidP="00387142">
            <w:pPr>
              <w:jc w:val="center"/>
              <w:rPr>
                <w:sz w:val="20"/>
                <w:szCs w:val="20"/>
              </w:rPr>
            </w:pPr>
            <w:r w:rsidRPr="008B6A75">
              <w:rPr>
                <w:sz w:val="20"/>
                <w:szCs w:val="20"/>
              </w:rPr>
              <w:t>01</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9F37730" w14:textId="77777777" w:rsidR="00387142" w:rsidRPr="008B6A75" w:rsidRDefault="00387142" w:rsidP="00387142">
            <w:pPr>
              <w:jc w:val="right"/>
              <w:rPr>
                <w:sz w:val="20"/>
                <w:szCs w:val="20"/>
              </w:rPr>
            </w:pPr>
            <w:r w:rsidRPr="008B6A75">
              <w:rPr>
                <w:sz w:val="20"/>
                <w:szCs w:val="20"/>
              </w:rPr>
              <w:t>2 515 324,50</w:t>
            </w:r>
          </w:p>
        </w:tc>
        <w:tc>
          <w:tcPr>
            <w:tcW w:w="851" w:type="dxa"/>
            <w:tcBorders>
              <w:top w:val="nil"/>
              <w:left w:val="single" w:sz="4" w:space="0" w:color="auto"/>
              <w:bottom w:val="single" w:sz="4" w:space="0" w:color="auto"/>
              <w:right w:val="nil"/>
            </w:tcBorders>
            <w:shd w:val="clear" w:color="auto" w:fill="auto"/>
            <w:noWrap/>
            <w:vAlign w:val="center"/>
            <w:hideMark/>
          </w:tcPr>
          <w:p w14:paraId="3C305616" w14:textId="77777777" w:rsidR="00387142" w:rsidRPr="008B6A75" w:rsidRDefault="00387142" w:rsidP="00387142">
            <w:pPr>
              <w:jc w:val="right"/>
              <w:rPr>
                <w:sz w:val="20"/>
                <w:szCs w:val="20"/>
              </w:rPr>
            </w:pPr>
            <w:r w:rsidRPr="008B6A75">
              <w:rPr>
                <w:sz w:val="20"/>
                <w:szCs w:val="20"/>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2563682E" w14:textId="77777777" w:rsidR="00387142" w:rsidRPr="008B6A75" w:rsidRDefault="00387142" w:rsidP="00387142">
            <w:pPr>
              <w:jc w:val="right"/>
              <w:rPr>
                <w:sz w:val="20"/>
                <w:szCs w:val="20"/>
              </w:rPr>
            </w:pPr>
            <w:r w:rsidRPr="008B6A75">
              <w:rPr>
                <w:sz w:val="20"/>
                <w:szCs w:val="20"/>
              </w:rPr>
              <w:t>0,00</w:t>
            </w:r>
          </w:p>
        </w:tc>
      </w:tr>
      <w:tr w:rsidR="00387142" w:rsidRPr="008B6A75" w14:paraId="71CE49CA" w14:textId="77777777" w:rsidTr="00387142">
        <w:trPr>
          <w:trHeight w:val="870"/>
        </w:trPr>
        <w:tc>
          <w:tcPr>
            <w:tcW w:w="272" w:type="dxa"/>
            <w:tcBorders>
              <w:top w:val="nil"/>
              <w:left w:val="nil"/>
              <w:bottom w:val="nil"/>
              <w:right w:val="single" w:sz="4" w:space="0" w:color="auto"/>
            </w:tcBorders>
            <w:shd w:val="clear" w:color="auto" w:fill="auto"/>
            <w:noWrap/>
            <w:vAlign w:val="bottom"/>
            <w:hideMark/>
          </w:tcPr>
          <w:p w14:paraId="32712DC6" w14:textId="77777777" w:rsidR="00387142" w:rsidRPr="008B6A75" w:rsidRDefault="00387142" w:rsidP="00387142">
            <w:pPr>
              <w:rPr>
                <w:sz w:val="20"/>
                <w:szCs w:val="20"/>
              </w:rPr>
            </w:pPr>
            <w:r w:rsidRPr="008B6A75">
              <w:rPr>
                <w:sz w:val="20"/>
                <w:szCs w:val="20"/>
              </w:rPr>
              <w:lastRenderedPageBreak/>
              <w:t> </w:t>
            </w:r>
          </w:p>
        </w:tc>
        <w:tc>
          <w:tcPr>
            <w:tcW w:w="3415" w:type="dxa"/>
            <w:tcBorders>
              <w:top w:val="nil"/>
              <w:left w:val="single" w:sz="4" w:space="0" w:color="auto"/>
              <w:bottom w:val="single" w:sz="4" w:space="0" w:color="auto"/>
              <w:right w:val="nil"/>
            </w:tcBorders>
            <w:shd w:val="clear" w:color="auto" w:fill="auto"/>
            <w:vAlign w:val="center"/>
            <w:hideMark/>
          </w:tcPr>
          <w:p w14:paraId="3AF5C299" w14:textId="77777777" w:rsidR="00387142" w:rsidRPr="008B6A75" w:rsidRDefault="00387142" w:rsidP="00387142">
            <w:pPr>
              <w:rPr>
                <w:sz w:val="20"/>
                <w:szCs w:val="20"/>
              </w:rPr>
            </w:pPr>
            <w:r w:rsidRPr="008B6A75">
              <w:rPr>
                <w:sz w:val="20"/>
                <w:szCs w:val="20"/>
              </w:rPr>
              <w:t>Предоставление субсидий бюджетным, автономным учреждениям и иным некоммерческим организациям</w:t>
            </w:r>
          </w:p>
        </w:tc>
        <w:tc>
          <w:tcPr>
            <w:tcW w:w="1559" w:type="dxa"/>
            <w:tcBorders>
              <w:top w:val="nil"/>
              <w:left w:val="single" w:sz="4" w:space="0" w:color="auto"/>
              <w:bottom w:val="single" w:sz="4" w:space="0" w:color="auto"/>
              <w:right w:val="nil"/>
            </w:tcBorders>
            <w:shd w:val="clear" w:color="auto" w:fill="auto"/>
            <w:noWrap/>
            <w:vAlign w:val="center"/>
            <w:hideMark/>
          </w:tcPr>
          <w:p w14:paraId="01372DDE" w14:textId="77777777" w:rsidR="00387142" w:rsidRPr="008B6A75" w:rsidRDefault="00387142" w:rsidP="00387142">
            <w:pPr>
              <w:jc w:val="center"/>
              <w:rPr>
                <w:sz w:val="20"/>
                <w:szCs w:val="20"/>
              </w:rPr>
            </w:pPr>
            <w:r w:rsidRPr="008B6A75">
              <w:rPr>
                <w:sz w:val="20"/>
                <w:szCs w:val="20"/>
              </w:rPr>
              <w:t>08.0.00.89500</w:t>
            </w:r>
          </w:p>
        </w:tc>
        <w:tc>
          <w:tcPr>
            <w:tcW w:w="850" w:type="dxa"/>
            <w:tcBorders>
              <w:top w:val="nil"/>
              <w:left w:val="single" w:sz="4" w:space="0" w:color="auto"/>
              <w:bottom w:val="single" w:sz="4" w:space="0" w:color="auto"/>
              <w:right w:val="nil"/>
            </w:tcBorders>
            <w:shd w:val="clear" w:color="auto" w:fill="auto"/>
            <w:noWrap/>
            <w:vAlign w:val="center"/>
            <w:hideMark/>
          </w:tcPr>
          <w:p w14:paraId="3CE75FA9" w14:textId="77777777" w:rsidR="00387142" w:rsidRPr="008B6A75" w:rsidRDefault="00387142" w:rsidP="00387142">
            <w:pPr>
              <w:jc w:val="center"/>
              <w:rPr>
                <w:sz w:val="20"/>
                <w:szCs w:val="20"/>
              </w:rPr>
            </w:pPr>
            <w:r w:rsidRPr="008B6A75">
              <w:rPr>
                <w:sz w:val="20"/>
                <w:szCs w:val="20"/>
              </w:rPr>
              <w:t>600</w:t>
            </w:r>
          </w:p>
        </w:tc>
        <w:tc>
          <w:tcPr>
            <w:tcW w:w="567" w:type="dxa"/>
            <w:tcBorders>
              <w:top w:val="nil"/>
              <w:left w:val="single" w:sz="4" w:space="0" w:color="auto"/>
              <w:bottom w:val="single" w:sz="4" w:space="0" w:color="auto"/>
              <w:right w:val="nil"/>
            </w:tcBorders>
            <w:shd w:val="clear" w:color="auto" w:fill="auto"/>
            <w:noWrap/>
            <w:vAlign w:val="center"/>
            <w:hideMark/>
          </w:tcPr>
          <w:p w14:paraId="134DB136" w14:textId="77777777" w:rsidR="00387142" w:rsidRPr="008B6A75" w:rsidRDefault="00387142" w:rsidP="00387142">
            <w:pPr>
              <w:jc w:val="center"/>
              <w:rPr>
                <w:sz w:val="20"/>
                <w:szCs w:val="20"/>
              </w:rPr>
            </w:pPr>
            <w:r w:rsidRPr="008B6A75">
              <w:rPr>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26942941" w14:textId="77777777" w:rsidR="00387142" w:rsidRPr="008B6A75" w:rsidRDefault="00387142" w:rsidP="00387142">
            <w:pPr>
              <w:jc w:val="center"/>
              <w:rPr>
                <w:sz w:val="20"/>
                <w:szCs w:val="20"/>
              </w:rPr>
            </w:pPr>
            <w:r w:rsidRPr="008B6A75">
              <w:rPr>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CFF64C7" w14:textId="77777777" w:rsidR="00387142" w:rsidRPr="008B6A75" w:rsidRDefault="00387142" w:rsidP="00387142">
            <w:pPr>
              <w:jc w:val="right"/>
              <w:rPr>
                <w:sz w:val="20"/>
                <w:szCs w:val="20"/>
              </w:rPr>
            </w:pPr>
            <w:r w:rsidRPr="008B6A75">
              <w:rPr>
                <w:sz w:val="20"/>
                <w:szCs w:val="20"/>
              </w:rPr>
              <w:t>618 417,50</w:t>
            </w:r>
          </w:p>
        </w:tc>
        <w:tc>
          <w:tcPr>
            <w:tcW w:w="851" w:type="dxa"/>
            <w:tcBorders>
              <w:top w:val="nil"/>
              <w:left w:val="single" w:sz="4" w:space="0" w:color="auto"/>
              <w:bottom w:val="single" w:sz="4" w:space="0" w:color="auto"/>
              <w:right w:val="nil"/>
            </w:tcBorders>
            <w:shd w:val="clear" w:color="auto" w:fill="auto"/>
            <w:noWrap/>
            <w:vAlign w:val="center"/>
            <w:hideMark/>
          </w:tcPr>
          <w:p w14:paraId="0CC9E8AF" w14:textId="77777777" w:rsidR="00387142" w:rsidRPr="008B6A75" w:rsidRDefault="00387142" w:rsidP="00387142">
            <w:pPr>
              <w:jc w:val="right"/>
              <w:rPr>
                <w:sz w:val="20"/>
                <w:szCs w:val="20"/>
              </w:rPr>
            </w:pPr>
            <w:r w:rsidRPr="008B6A75">
              <w:rPr>
                <w:sz w:val="20"/>
                <w:szCs w:val="20"/>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38F03281" w14:textId="77777777" w:rsidR="00387142" w:rsidRPr="008B6A75" w:rsidRDefault="00387142" w:rsidP="00387142">
            <w:pPr>
              <w:jc w:val="right"/>
              <w:rPr>
                <w:sz w:val="20"/>
                <w:szCs w:val="20"/>
              </w:rPr>
            </w:pPr>
            <w:r w:rsidRPr="008B6A75">
              <w:rPr>
                <w:sz w:val="20"/>
                <w:szCs w:val="20"/>
              </w:rPr>
              <w:t>0,00</w:t>
            </w:r>
          </w:p>
        </w:tc>
      </w:tr>
      <w:tr w:rsidR="00387142" w:rsidRPr="008B6A75" w14:paraId="38061AED" w14:textId="77777777" w:rsidTr="00387142">
        <w:trPr>
          <w:trHeight w:val="300"/>
        </w:trPr>
        <w:tc>
          <w:tcPr>
            <w:tcW w:w="272" w:type="dxa"/>
            <w:tcBorders>
              <w:top w:val="nil"/>
              <w:left w:val="nil"/>
              <w:bottom w:val="nil"/>
              <w:right w:val="single" w:sz="4" w:space="0" w:color="auto"/>
            </w:tcBorders>
            <w:shd w:val="clear" w:color="auto" w:fill="auto"/>
            <w:noWrap/>
            <w:vAlign w:val="bottom"/>
            <w:hideMark/>
          </w:tcPr>
          <w:p w14:paraId="11F1BCCD"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01E4C60A" w14:textId="77777777" w:rsidR="00387142" w:rsidRPr="008B6A75" w:rsidRDefault="00387142" w:rsidP="00387142">
            <w:pPr>
              <w:rPr>
                <w:sz w:val="20"/>
                <w:szCs w:val="20"/>
              </w:rPr>
            </w:pPr>
            <w:r w:rsidRPr="008B6A75">
              <w:rPr>
                <w:sz w:val="20"/>
                <w:szCs w:val="20"/>
              </w:rPr>
              <w:t>Субсидии бюджетным учреждениям</w:t>
            </w:r>
          </w:p>
        </w:tc>
        <w:tc>
          <w:tcPr>
            <w:tcW w:w="1559" w:type="dxa"/>
            <w:tcBorders>
              <w:top w:val="nil"/>
              <w:left w:val="single" w:sz="4" w:space="0" w:color="auto"/>
              <w:bottom w:val="single" w:sz="4" w:space="0" w:color="auto"/>
              <w:right w:val="nil"/>
            </w:tcBorders>
            <w:shd w:val="clear" w:color="auto" w:fill="auto"/>
            <w:noWrap/>
            <w:vAlign w:val="center"/>
            <w:hideMark/>
          </w:tcPr>
          <w:p w14:paraId="408E1EA3" w14:textId="77777777" w:rsidR="00387142" w:rsidRPr="008B6A75" w:rsidRDefault="00387142" w:rsidP="00387142">
            <w:pPr>
              <w:jc w:val="center"/>
              <w:rPr>
                <w:sz w:val="20"/>
                <w:szCs w:val="20"/>
              </w:rPr>
            </w:pPr>
            <w:r w:rsidRPr="008B6A75">
              <w:rPr>
                <w:sz w:val="20"/>
                <w:szCs w:val="20"/>
              </w:rPr>
              <w:t>08.0.00.89500</w:t>
            </w:r>
          </w:p>
        </w:tc>
        <w:tc>
          <w:tcPr>
            <w:tcW w:w="850" w:type="dxa"/>
            <w:tcBorders>
              <w:top w:val="nil"/>
              <w:left w:val="single" w:sz="4" w:space="0" w:color="auto"/>
              <w:bottom w:val="single" w:sz="4" w:space="0" w:color="auto"/>
              <w:right w:val="nil"/>
            </w:tcBorders>
            <w:shd w:val="clear" w:color="auto" w:fill="auto"/>
            <w:noWrap/>
            <w:vAlign w:val="center"/>
            <w:hideMark/>
          </w:tcPr>
          <w:p w14:paraId="273A251E" w14:textId="77777777" w:rsidR="00387142" w:rsidRPr="008B6A75" w:rsidRDefault="00387142" w:rsidP="00387142">
            <w:pPr>
              <w:jc w:val="center"/>
              <w:rPr>
                <w:sz w:val="20"/>
                <w:szCs w:val="20"/>
              </w:rPr>
            </w:pPr>
            <w:r w:rsidRPr="008B6A75">
              <w:rPr>
                <w:sz w:val="20"/>
                <w:szCs w:val="20"/>
              </w:rPr>
              <w:t>610</w:t>
            </w:r>
          </w:p>
        </w:tc>
        <w:tc>
          <w:tcPr>
            <w:tcW w:w="567" w:type="dxa"/>
            <w:tcBorders>
              <w:top w:val="nil"/>
              <w:left w:val="single" w:sz="4" w:space="0" w:color="auto"/>
              <w:bottom w:val="single" w:sz="4" w:space="0" w:color="auto"/>
              <w:right w:val="nil"/>
            </w:tcBorders>
            <w:shd w:val="clear" w:color="auto" w:fill="auto"/>
            <w:noWrap/>
            <w:vAlign w:val="center"/>
            <w:hideMark/>
          </w:tcPr>
          <w:p w14:paraId="7CAEA877" w14:textId="77777777" w:rsidR="00387142" w:rsidRPr="008B6A75" w:rsidRDefault="00387142" w:rsidP="00387142">
            <w:pPr>
              <w:jc w:val="center"/>
              <w:rPr>
                <w:sz w:val="20"/>
                <w:szCs w:val="20"/>
              </w:rPr>
            </w:pPr>
            <w:r w:rsidRPr="008B6A75">
              <w:rPr>
                <w:sz w:val="20"/>
                <w:szCs w:val="20"/>
              </w:rPr>
              <w:t>08</w:t>
            </w:r>
          </w:p>
        </w:tc>
        <w:tc>
          <w:tcPr>
            <w:tcW w:w="567" w:type="dxa"/>
            <w:tcBorders>
              <w:top w:val="nil"/>
              <w:left w:val="single" w:sz="4" w:space="0" w:color="auto"/>
              <w:bottom w:val="single" w:sz="4" w:space="0" w:color="auto"/>
              <w:right w:val="nil"/>
            </w:tcBorders>
            <w:shd w:val="clear" w:color="auto" w:fill="auto"/>
            <w:noWrap/>
            <w:vAlign w:val="center"/>
            <w:hideMark/>
          </w:tcPr>
          <w:p w14:paraId="5381E2C0" w14:textId="77777777" w:rsidR="00387142" w:rsidRPr="008B6A75" w:rsidRDefault="00387142" w:rsidP="00387142">
            <w:pPr>
              <w:jc w:val="center"/>
              <w:rPr>
                <w:sz w:val="20"/>
                <w:szCs w:val="20"/>
              </w:rPr>
            </w:pPr>
            <w:r w:rsidRPr="008B6A75">
              <w:rPr>
                <w:sz w:val="20"/>
                <w:szCs w:val="20"/>
              </w:rPr>
              <w:t>01</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8E4D3F7" w14:textId="77777777" w:rsidR="00387142" w:rsidRPr="008B6A75" w:rsidRDefault="00387142" w:rsidP="00387142">
            <w:pPr>
              <w:jc w:val="right"/>
              <w:rPr>
                <w:sz w:val="20"/>
                <w:szCs w:val="20"/>
              </w:rPr>
            </w:pPr>
            <w:r w:rsidRPr="008B6A75">
              <w:rPr>
                <w:sz w:val="20"/>
                <w:szCs w:val="20"/>
              </w:rPr>
              <w:t>618 417,50</w:t>
            </w:r>
          </w:p>
        </w:tc>
        <w:tc>
          <w:tcPr>
            <w:tcW w:w="851" w:type="dxa"/>
            <w:tcBorders>
              <w:top w:val="nil"/>
              <w:left w:val="single" w:sz="4" w:space="0" w:color="auto"/>
              <w:bottom w:val="single" w:sz="4" w:space="0" w:color="auto"/>
              <w:right w:val="nil"/>
            </w:tcBorders>
            <w:shd w:val="clear" w:color="auto" w:fill="auto"/>
            <w:noWrap/>
            <w:vAlign w:val="center"/>
            <w:hideMark/>
          </w:tcPr>
          <w:p w14:paraId="3DA47A01" w14:textId="77777777" w:rsidR="00387142" w:rsidRPr="008B6A75" w:rsidRDefault="00387142" w:rsidP="00387142">
            <w:pPr>
              <w:jc w:val="right"/>
              <w:rPr>
                <w:sz w:val="20"/>
                <w:szCs w:val="20"/>
              </w:rPr>
            </w:pPr>
            <w:r w:rsidRPr="008B6A75">
              <w:rPr>
                <w:sz w:val="20"/>
                <w:szCs w:val="20"/>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69E958F2" w14:textId="77777777" w:rsidR="00387142" w:rsidRPr="008B6A75" w:rsidRDefault="00387142" w:rsidP="00387142">
            <w:pPr>
              <w:jc w:val="right"/>
              <w:rPr>
                <w:sz w:val="20"/>
                <w:szCs w:val="20"/>
              </w:rPr>
            </w:pPr>
            <w:r w:rsidRPr="008B6A75">
              <w:rPr>
                <w:sz w:val="20"/>
                <w:szCs w:val="20"/>
              </w:rPr>
              <w:t>0,00</w:t>
            </w:r>
          </w:p>
        </w:tc>
      </w:tr>
      <w:tr w:rsidR="00387142" w:rsidRPr="008B6A75" w14:paraId="784CB0B0" w14:textId="77777777" w:rsidTr="00387142">
        <w:trPr>
          <w:trHeight w:val="1440"/>
        </w:trPr>
        <w:tc>
          <w:tcPr>
            <w:tcW w:w="272" w:type="dxa"/>
            <w:tcBorders>
              <w:top w:val="nil"/>
              <w:left w:val="nil"/>
              <w:bottom w:val="nil"/>
              <w:right w:val="single" w:sz="4" w:space="0" w:color="auto"/>
            </w:tcBorders>
            <w:shd w:val="clear" w:color="auto" w:fill="auto"/>
            <w:noWrap/>
            <w:vAlign w:val="bottom"/>
            <w:hideMark/>
          </w:tcPr>
          <w:p w14:paraId="5D43B5DC"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09A4A8DE" w14:textId="77777777" w:rsidR="00387142" w:rsidRPr="008B6A75" w:rsidRDefault="00387142" w:rsidP="00387142">
            <w:pPr>
              <w:rPr>
                <w:bCs/>
                <w:sz w:val="20"/>
                <w:szCs w:val="20"/>
              </w:rPr>
            </w:pPr>
            <w:r w:rsidRPr="008B6A75">
              <w:rPr>
                <w:bCs/>
                <w:sz w:val="20"/>
                <w:szCs w:val="20"/>
              </w:rPr>
              <w:t>Реализация мероприятий по проведению работ на воинских захоронениях государственной программы Новосибирской области "Культура Новосибирской области" (ремонт, реставрация, благоустройство)</w:t>
            </w:r>
          </w:p>
        </w:tc>
        <w:tc>
          <w:tcPr>
            <w:tcW w:w="1559" w:type="dxa"/>
            <w:tcBorders>
              <w:top w:val="nil"/>
              <w:left w:val="single" w:sz="4" w:space="0" w:color="auto"/>
              <w:bottom w:val="single" w:sz="4" w:space="0" w:color="auto"/>
              <w:right w:val="nil"/>
            </w:tcBorders>
            <w:shd w:val="clear" w:color="auto" w:fill="auto"/>
            <w:noWrap/>
            <w:vAlign w:val="center"/>
            <w:hideMark/>
          </w:tcPr>
          <w:p w14:paraId="0CEF0E5D" w14:textId="77777777" w:rsidR="00387142" w:rsidRPr="008B6A75" w:rsidRDefault="00387142" w:rsidP="00387142">
            <w:pPr>
              <w:jc w:val="center"/>
              <w:rPr>
                <w:bCs/>
                <w:sz w:val="20"/>
                <w:szCs w:val="20"/>
              </w:rPr>
            </w:pPr>
            <w:r w:rsidRPr="008B6A75">
              <w:rPr>
                <w:bCs/>
                <w:sz w:val="20"/>
                <w:szCs w:val="20"/>
              </w:rPr>
              <w:t>08.0.00.L2991</w:t>
            </w:r>
          </w:p>
        </w:tc>
        <w:tc>
          <w:tcPr>
            <w:tcW w:w="850" w:type="dxa"/>
            <w:tcBorders>
              <w:top w:val="nil"/>
              <w:left w:val="single" w:sz="4" w:space="0" w:color="auto"/>
              <w:bottom w:val="single" w:sz="4" w:space="0" w:color="auto"/>
              <w:right w:val="nil"/>
            </w:tcBorders>
            <w:shd w:val="clear" w:color="auto" w:fill="auto"/>
            <w:noWrap/>
            <w:vAlign w:val="center"/>
            <w:hideMark/>
          </w:tcPr>
          <w:p w14:paraId="4A06C4BA" w14:textId="77777777" w:rsidR="00387142" w:rsidRPr="008B6A75" w:rsidRDefault="00387142" w:rsidP="00387142">
            <w:pPr>
              <w:jc w:val="center"/>
              <w:rPr>
                <w:bCs/>
                <w:sz w:val="20"/>
                <w:szCs w:val="20"/>
              </w:rPr>
            </w:pPr>
            <w:r w:rsidRPr="008B6A75">
              <w:rPr>
                <w:bCs/>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00B5DD3B" w14:textId="77777777" w:rsidR="00387142" w:rsidRPr="008B6A75" w:rsidRDefault="00387142" w:rsidP="00387142">
            <w:pPr>
              <w:jc w:val="center"/>
              <w:rPr>
                <w:bCs/>
                <w:sz w:val="20"/>
                <w:szCs w:val="20"/>
              </w:rPr>
            </w:pPr>
            <w:r w:rsidRPr="008B6A75">
              <w:rPr>
                <w:bCs/>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5BF4C2C0" w14:textId="77777777" w:rsidR="00387142" w:rsidRPr="008B6A75" w:rsidRDefault="00387142" w:rsidP="00387142">
            <w:pPr>
              <w:jc w:val="center"/>
              <w:rPr>
                <w:bCs/>
                <w:sz w:val="20"/>
                <w:szCs w:val="20"/>
              </w:rPr>
            </w:pPr>
            <w:r w:rsidRPr="008B6A75">
              <w:rPr>
                <w:bCs/>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7E020EF" w14:textId="77777777" w:rsidR="00387142" w:rsidRPr="008B6A75" w:rsidRDefault="00387142" w:rsidP="00387142">
            <w:pPr>
              <w:jc w:val="right"/>
              <w:rPr>
                <w:bCs/>
                <w:sz w:val="20"/>
                <w:szCs w:val="20"/>
              </w:rPr>
            </w:pPr>
            <w:r w:rsidRPr="008B6A75">
              <w:rPr>
                <w:bCs/>
                <w:sz w:val="20"/>
                <w:szCs w:val="20"/>
              </w:rPr>
              <w:t>0,00</w:t>
            </w:r>
          </w:p>
        </w:tc>
        <w:tc>
          <w:tcPr>
            <w:tcW w:w="851" w:type="dxa"/>
            <w:tcBorders>
              <w:top w:val="nil"/>
              <w:left w:val="single" w:sz="4" w:space="0" w:color="auto"/>
              <w:bottom w:val="single" w:sz="4" w:space="0" w:color="auto"/>
              <w:right w:val="nil"/>
            </w:tcBorders>
            <w:shd w:val="clear" w:color="auto" w:fill="auto"/>
            <w:noWrap/>
            <w:vAlign w:val="center"/>
            <w:hideMark/>
          </w:tcPr>
          <w:p w14:paraId="4C5C4651" w14:textId="77777777" w:rsidR="00387142" w:rsidRPr="008B6A75" w:rsidRDefault="00387142" w:rsidP="00387142">
            <w:pPr>
              <w:jc w:val="right"/>
              <w:rPr>
                <w:bCs/>
                <w:sz w:val="20"/>
                <w:szCs w:val="20"/>
              </w:rPr>
            </w:pPr>
            <w:r w:rsidRPr="008B6A75">
              <w:rPr>
                <w:bCs/>
                <w:sz w:val="20"/>
                <w:szCs w:val="20"/>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0B0274EF" w14:textId="77777777" w:rsidR="00387142" w:rsidRPr="008B6A75" w:rsidRDefault="00387142" w:rsidP="00387142">
            <w:pPr>
              <w:jc w:val="right"/>
              <w:rPr>
                <w:bCs/>
                <w:sz w:val="20"/>
                <w:szCs w:val="20"/>
              </w:rPr>
            </w:pPr>
            <w:r w:rsidRPr="008B6A75">
              <w:rPr>
                <w:bCs/>
                <w:sz w:val="20"/>
                <w:szCs w:val="20"/>
              </w:rPr>
              <w:t>652 800,00</w:t>
            </w:r>
          </w:p>
        </w:tc>
      </w:tr>
      <w:tr w:rsidR="00387142" w:rsidRPr="008B6A75" w14:paraId="47BE25B4" w14:textId="77777777" w:rsidTr="00387142">
        <w:trPr>
          <w:trHeight w:val="300"/>
        </w:trPr>
        <w:tc>
          <w:tcPr>
            <w:tcW w:w="272" w:type="dxa"/>
            <w:tcBorders>
              <w:top w:val="nil"/>
              <w:left w:val="nil"/>
              <w:bottom w:val="nil"/>
              <w:right w:val="single" w:sz="4" w:space="0" w:color="auto"/>
            </w:tcBorders>
            <w:shd w:val="clear" w:color="auto" w:fill="auto"/>
            <w:noWrap/>
            <w:vAlign w:val="bottom"/>
            <w:hideMark/>
          </w:tcPr>
          <w:p w14:paraId="31235529"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3386DE3C" w14:textId="77777777" w:rsidR="00387142" w:rsidRPr="008B6A75" w:rsidRDefault="00387142" w:rsidP="00387142">
            <w:pPr>
              <w:rPr>
                <w:sz w:val="20"/>
                <w:szCs w:val="20"/>
              </w:rPr>
            </w:pPr>
            <w:r w:rsidRPr="008B6A75">
              <w:rPr>
                <w:sz w:val="20"/>
                <w:szCs w:val="20"/>
              </w:rPr>
              <w:t>Межбюджетные трансферты</w:t>
            </w:r>
          </w:p>
        </w:tc>
        <w:tc>
          <w:tcPr>
            <w:tcW w:w="1559" w:type="dxa"/>
            <w:tcBorders>
              <w:top w:val="nil"/>
              <w:left w:val="single" w:sz="4" w:space="0" w:color="auto"/>
              <w:bottom w:val="single" w:sz="4" w:space="0" w:color="auto"/>
              <w:right w:val="nil"/>
            </w:tcBorders>
            <w:shd w:val="clear" w:color="auto" w:fill="auto"/>
            <w:noWrap/>
            <w:vAlign w:val="center"/>
            <w:hideMark/>
          </w:tcPr>
          <w:p w14:paraId="5808838E" w14:textId="77777777" w:rsidR="00387142" w:rsidRPr="008B6A75" w:rsidRDefault="00387142" w:rsidP="00387142">
            <w:pPr>
              <w:jc w:val="center"/>
              <w:rPr>
                <w:sz w:val="20"/>
                <w:szCs w:val="20"/>
              </w:rPr>
            </w:pPr>
            <w:r w:rsidRPr="008B6A75">
              <w:rPr>
                <w:sz w:val="20"/>
                <w:szCs w:val="20"/>
              </w:rPr>
              <w:t>08.0.00.L2991</w:t>
            </w:r>
          </w:p>
        </w:tc>
        <w:tc>
          <w:tcPr>
            <w:tcW w:w="850" w:type="dxa"/>
            <w:tcBorders>
              <w:top w:val="nil"/>
              <w:left w:val="single" w:sz="4" w:space="0" w:color="auto"/>
              <w:bottom w:val="single" w:sz="4" w:space="0" w:color="auto"/>
              <w:right w:val="nil"/>
            </w:tcBorders>
            <w:shd w:val="clear" w:color="auto" w:fill="auto"/>
            <w:noWrap/>
            <w:vAlign w:val="center"/>
            <w:hideMark/>
          </w:tcPr>
          <w:p w14:paraId="59ABBDAB" w14:textId="77777777" w:rsidR="00387142" w:rsidRPr="008B6A75" w:rsidRDefault="00387142" w:rsidP="00387142">
            <w:pPr>
              <w:jc w:val="center"/>
              <w:rPr>
                <w:sz w:val="20"/>
                <w:szCs w:val="20"/>
              </w:rPr>
            </w:pPr>
            <w:r w:rsidRPr="008B6A75">
              <w:rPr>
                <w:sz w:val="20"/>
                <w:szCs w:val="20"/>
              </w:rPr>
              <w:t>500</w:t>
            </w:r>
          </w:p>
        </w:tc>
        <w:tc>
          <w:tcPr>
            <w:tcW w:w="567" w:type="dxa"/>
            <w:tcBorders>
              <w:top w:val="nil"/>
              <w:left w:val="single" w:sz="4" w:space="0" w:color="auto"/>
              <w:bottom w:val="single" w:sz="4" w:space="0" w:color="auto"/>
              <w:right w:val="nil"/>
            </w:tcBorders>
            <w:shd w:val="clear" w:color="auto" w:fill="auto"/>
            <w:noWrap/>
            <w:vAlign w:val="center"/>
            <w:hideMark/>
          </w:tcPr>
          <w:p w14:paraId="2C983638" w14:textId="77777777" w:rsidR="00387142" w:rsidRPr="008B6A75" w:rsidRDefault="00387142" w:rsidP="00387142">
            <w:pPr>
              <w:jc w:val="center"/>
              <w:rPr>
                <w:sz w:val="20"/>
                <w:szCs w:val="20"/>
              </w:rPr>
            </w:pPr>
            <w:r w:rsidRPr="008B6A75">
              <w:rPr>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6664C7CD" w14:textId="77777777" w:rsidR="00387142" w:rsidRPr="008B6A75" w:rsidRDefault="00387142" w:rsidP="00387142">
            <w:pPr>
              <w:jc w:val="center"/>
              <w:rPr>
                <w:sz w:val="20"/>
                <w:szCs w:val="20"/>
              </w:rPr>
            </w:pPr>
            <w:r w:rsidRPr="008B6A75">
              <w:rPr>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351EBEC" w14:textId="77777777" w:rsidR="00387142" w:rsidRPr="008B6A75" w:rsidRDefault="00387142" w:rsidP="00387142">
            <w:pPr>
              <w:jc w:val="right"/>
              <w:rPr>
                <w:sz w:val="20"/>
                <w:szCs w:val="20"/>
              </w:rPr>
            </w:pPr>
            <w:r w:rsidRPr="008B6A75">
              <w:rPr>
                <w:sz w:val="20"/>
                <w:szCs w:val="20"/>
              </w:rPr>
              <w:t>0,00</w:t>
            </w:r>
          </w:p>
        </w:tc>
        <w:tc>
          <w:tcPr>
            <w:tcW w:w="851" w:type="dxa"/>
            <w:tcBorders>
              <w:top w:val="nil"/>
              <w:left w:val="single" w:sz="4" w:space="0" w:color="auto"/>
              <w:bottom w:val="single" w:sz="4" w:space="0" w:color="auto"/>
              <w:right w:val="nil"/>
            </w:tcBorders>
            <w:shd w:val="clear" w:color="auto" w:fill="auto"/>
            <w:noWrap/>
            <w:vAlign w:val="center"/>
            <w:hideMark/>
          </w:tcPr>
          <w:p w14:paraId="38D49E84" w14:textId="77777777" w:rsidR="00387142" w:rsidRPr="008B6A75" w:rsidRDefault="00387142" w:rsidP="00387142">
            <w:pPr>
              <w:jc w:val="right"/>
              <w:rPr>
                <w:sz w:val="20"/>
                <w:szCs w:val="20"/>
              </w:rPr>
            </w:pPr>
            <w:r w:rsidRPr="008B6A75">
              <w:rPr>
                <w:sz w:val="20"/>
                <w:szCs w:val="20"/>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4FD2095D" w14:textId="77777777" w:rsidR="00387142" w:rsidRPr="008B6A75" w:rsidRDefault="00387142" w:rsidP="00387142">
            <w:pPr>
              <w:jc w:val="right"/>
              <w:rPr>
                <w:sz w:val="20"/>
                <w:szCs w:val="20"/>
              </w:rPr>
            </w:pPr>
            <w:r w:rsidRPr="008B6A75">
              <w:rPr>
                <w:sz w:val="20"/>
                <w:szCs w:val="20"/>
              </w:rPr>
              <w:t>652 800,00</w:t>
            </w:r>
          </w:p>
        </w:tc>
      </w:tr>
      <w:tr w:rsidR="00387142" w:rsidRPr="008B6A75" w14:paraId="6A40405A" w14:textId="77777777" w:rsidTr="00387142">
        <w:trPr>
          <w:trHeight w:val="300"/>
        </w:trPr>
        <w:tc>
          <w:tcPr>
            <w:tcW w:w="272" w:type="dxa"/>
            <w:tcBorders>
              <w:top w:val="nil"/>
              <w:left w:val="nil"/>
              <w:bottom w:val="nil"/>
              <w:right w:val="single" w:sz="4" w:space="0" w:color="auto"/>
            </w:tcBorders>
            <w:shd w:val="clear" w:color="auto" w:fill="auto"/>
            <w:noWrap/>
            <w:vAlign w:val="bottom"/>
            <w:hideMark/>
          </w:tcPr>
          <w:p w14:paraId="64B939F6"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30F18ED3" w14:textId="77777777" w:rsidR="00387142" w:rsidRPr="008B6A75" w:rsidRDefault="00387142" w:rsidP="00387142">
            <w:pPr>
              <w:rPr>
                <w:sz w:val="20"/>
                <w:szCs w:val="20"/>
              </w:rPr>
            </w:pPr>
            <w:r w:rsidRPr="008B6A75">
              <w:rPr>
                <w:sz w:val="20"/>
                <w:szCs w:val="20"/>
              </w:rPr>
              <w:t>Иные межбюджетные трансферты</w:t>
            </w:r>
          </w:p>
        </w:tc>
        <w:tc>
          <w:tcPr>
            <w:tcW w:w="1559" w:type="dxa"/>
            <w:tcBorders>
              <w:top w:val="nil"/>
              <w:left w:val="single" w:sz="4" w:space="0" w:color="auto"/>
              <w:bottom w:val="single" w:sz="4" w:space="0" w:color="auto"/>
              <w:right w:val="nil"/>
            </w:tcBorders>
            <w:shd w:val="clear" w:color="auto" w:fill="auto"/>
            <w:noWrap/>
            <w:vAlign w:val="center"/>
            <w:hideMark/>
          </w:tcPr>
          <w:p w14:paraId="3E01032D" w14:textId="77777777" w:rsidR="00387142" w:rsidRPr="008B6A75" w:rsidRDefault="00387142" w:rsidP="00387142">
            <w:pPr>
              <w:jc w:val="center"/>
              <w:rPr>
                <w:sz w:val="20"/>
                <w:szCs w:val="20"/>
              </w:rPr>
            </w:pPr>
            <w:r w:rsidRPr="008B6A75">
              <w:rPr>
                <w:sz w:val="20"/>
                <w:szCs w:val="20"/>
              </w:rPr>
              <w:t>08.0.00.L2991</w:t>
            </w:r>
          </w:p>
        </w:tc>
        <w:tc>
          <w:tcPr>
            <w:tcW w:w="850" w:type="dxa"/>
            <w:tcBorders>
              <w:top w:val="nil"/>
              <w:left w:val="single" w:sz="4" w:space="0" w:color="auto"/>
              <w:bottom w:val="single" w:sz="4" w:space="0" w:color="auto"/>
              <w:right w:val="nil"/>
            </w:tcBorders>
            <w:shd w:val="clear" w:color="auto" w:fill="auto"/>
            <w:noWrap/>
            <w:vAlign w:val="center"/>
            <w:hideMark/>
          </w:tcPr>
          <w:p w14:paraId="47E3BCF9" w14:textId="77777777" w:rsidR="00387142" w:rsidRPr="008B6A75" w:rsidRDefault="00387142" w:rsidP="00387142">
            <w:pPr>
              <w:jc w:val="center"/>
              <w:rPr>
                <w:sz w:val="20"/>
                <w:szCs w:val="20"/>
              </w:rPr>
            </w:pPr>
            <w:r w:rsidRPr="008B6A75">
              <w:rPr>
                <w:sz w:val="20"/>
                <w:szCs w:val="20"/>
              </w:rPr>
              <w:t>540</w:t>
            </w:r>
          </w:p>
        </w:tc>
        <w:tc>
          <w:tcPr>
            <w:tcW w:w="567" w:type="dxa"/>
            <w:tcBorders>
              <w:top w:val="nil"/>
              <w:left w:val="single" w:sz="4" w:space="0" w:color="auto"/>
              <w:bottom w:val="single" w:sz="4" w:space="0" w:color="auto"/>
              <w:right w:val="nil"/>
            </w:tcBorders>
            <w:shd w:val="clear" w:color="auto" w:fill="auto"/>
            <w:noWrap/>
            <w:vAlign w:val="center"/>
            <w:hideMark/>
          </w:tcPr>
          <w:p w14:paraId="06D57E51" w14:textId="77777777" w:rsidR="00387142" w:rsidRPr="008B6A75" w:rsidRDefault="00387142" w:rsidP="00387142">
            <w:pPr>
              <w:jc w:val="center"/>
              <w:rPr>
                <w:sz w:val="20"/>
                <w:szCs w:val="20"/>
              </w:rPr>
            </w:pPr>
            <w:r w:rsidRPr="008B6A75">
              <w:rPr>
                <w:sz w:val="20"/>
                <w:szCs w:val="20"/>
              </w:rPr>
              <w:t>08</w:t>
            </w:r>
          </w:p>
        </w:tc>
        <w:tc>
          <w:tcPr>
            <w:tcW w:w="567" w:type="dxa"/>
            <w:tcBorders>
              <w:top w:val="nil"/>
              <w:left w:val="single" w:sz="4" w:space="0" w:color="auto"/>
              <w:bottom w:val="single" w:sz="4" w:space="0" w:color="auto"/>
              <w:right w:val="nil"/>
            </w:tcBorders>
            <w:shd w:val="clear" w:color="auto" w:fill="auto"/>
            <w:noWrap/>
            <w:vAlign w:val="center"/>
            <w:hideMark/>
          </w:tcPr>
          <w:p w14:paraId="475BA571" w14:textId="77777777" w:rsidR="00387142" w:rsidRPr="008B6A75" w:rsidRDefault="00387142" w:rsidP="00387142">
            <w:pPr>
              <w:jc w:val="center"/>
              <w:rPr>
                <w:sz w:val="20"/>
                <w:szCs w:val="20"/>
              </w:rPr>
            </w:pPr>
            <w:r w:rsidRPr="008B6A75">
              <w:rPr>
                <w:sz w:val="20"/>
                <w:szCs w:val="20"/>
              </w:rPr>
              <w:t>01</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1E6CCD9" w14:textId="77777777" w:rsidR="00387142" w:rsidRPr="008B6A75" w:rsidRDefault="00387142" w:rsidP="00387142">
            <w:pPr>
              <w:jc w:val="right"/>
              <w:rPr>
                <w:sz w:val="20"/>
                <w:szCs w:val="20"/>
              </w:rPr>
            </w:pPr>
            <w:r w:rsidRPr="008B6A75">
              <w:rPr>
                <w:sz w:val="20"/>
                <w:szCs w:val="20"/>
              </w:rPr>
              <w:t>0,00</w:t>
            </w:r>
          </w:p>
        </w:tc>
        <w:tc>
          <w:tcPr>
            <w:tcW w:w="851" w:type="dxa"/>
            <w:tcBorders>
              <w:top w:val="nil"/>
              <w:left w:val="single" w:sz="4" w:space="0" w:color="auto"/>
              <w:bottom w:val="single" w:sz="4" w:space="0" w:color="auto"/>
              <w:right w:val="nil"/>
            </w:tcBorders>
            <w:shd w:val="clear" w:color="auto" w:fill="auto"/>
            <w:noWrap/>
            <w:vAlign w:val="center"/>
            <w:hideMark/>
          </w:tcPr>
          <w:p w14:paraId="2E4D70C8" w14:textId="77777777" w:rsidR="00387142" w:rsidRPr="008B6A75" w:rsidRDefault="00387142" w:rsidP="00387142">
            <w:pPr>
              <w:jc w:val="right"/>
              <w:rPr>
                <w:sz w:val="20"/>
                <w:szCs w:val="20"/>
              </w:rPr>
            </w:pPr>
            <w:r w:rsidRPr="008B6A75">
              <w:rPr>
                <w:sz w:val="20"/>
                <w:szCs w:val="20"/>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6BEC7B3A" w14:textId="77777777" w:rsidR="00387142" w:rsidRPr="008B6A75" w:rsidRDefault="00387142" w:rsidP="00387142">
            <w:pPr>
              <w:jc w:val="right"/>
              <w:rPr>
                <w:sz w:val="20"/>
                <w:szCs w:val="20"/>
              </w:rPr>
            </w:pPr>
            <w:r w:rsidRPr="008B6A75">
              <w:rPr>
                <w:sz w:val="20"/>
                <w:szCs w:val="20"/>
              </w:rPr>
              <w:t>652 800,00</w:t>
            </w:r>
          </w:p>
        </w:tc>
      </w:tr>
      <w:tr w:rsidR="00387142" w:rsidRPr="008B6A75" w14:paraId="30BD584D" w14:textId="77777777" w:rsidTr="00387142">
        <w:trPr>
          <w:trHeight w:val="1440"/>
        </w:trPr>
        <w:tc>
          <w:tcPr>
            <w:tcW w:w="272" w:type="dxa"/>
            <w:tcBorders>
              <w:top w:val="nil"/>
              <w:left w:val="nil"/>
              <w:bottom w:val="nil"/>
              <w:right w:val="single" w:sz="4" w:space="0" w:color="auto"/>
            </w:tcBorders>
            <w:shd w:val="clear" w:color="auto" w:fill="auto"/>
            <w:noWrap/>
            <w:vAlign w:val="bottom"/>
            <w:hideMark/>
          </w:tcPr>
          <w:p w14:paraId="3DF1A645"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7A847C48" w14:textId="77777777" w:rsidR="00387142" w:rsidRPr="008B6A75" w:rsidRDefault="00387142" w:rsidP="00387142">
            <w:pPr>
              <w:rPr>
                <w:bCs/>
                <w:sz w:val="20"/>
                <w:szCs w:val="20"/>
              </w:rPr>
            </w:pPr>
            <w:r w:rsidRPr="008B6A75">
              <w:rPr>
                <w:bCs/>
                <w:sz w:val="20"/>
                <w:szCs w:val="20"/>
              </w:rPr>
              <w:t>Реализация мероприятий по проведению работ на воинских захоронениях государственной программы Новосибирской области "Культура Новосибирской области" (установка мемориальных знаков)</w:t>
            </w:r>
          </w:p>
        </w:tc>
        <w:tc>
          <w:tcPr>
            <w:tcW w:w="1559" w:type="dxa"/>
            <w:tcBorders>
              <w:top w:val="nil"/>
              <w:left w:val="single" w:sz="4" w:space="0" w:color="auto"/>
              <w:bottom w:val="single" w:sz="4" w:space="0" w:color="auto"/>
              <w:right w:val="nil"/>
            </w:tcBorders>
            <w:shd w:val="clear" w:color="auto" w:fill="auto"/>
            <w:noWrap/>
            <w:vAlign w:val="center"/>
            <w:hideMark/>
          </w:tcPr>
          <w:p w14:paraId="47A0C07B" w14:textId="77777777" w:rsidR="00387142" w:rsidRPr="008B6A75" w:rsidRDefault="00387142" w:rsidP="00387142">
            <w:pPr>
              <w:jc w:val="center"/>
              <w:rPr>
                <w:bCs/>
                <w:sz w:val="20"/>
                <w:szCs w:val="20"/>
              </w:rPr>
            </w:pPr>
            <w:r w:rsidRPr="008B6A75">
              <w:rPr>
                <w:bCs/>
                <w:sz w:val="20"/>
                <w:szCs w:val="20"/>
              </w:rPr>
              <w:t>08.0.00.L2992</w:t>
            </w:r>
          </w:p>
        </w:tc>
        <w:tc>
          <w:tcPr>
            <w:tcW w:w="850" w:type="dxa"/>
            <w:tcBorders>
              <w:top w:val="nil"/>
              <w:left w:val="single" w:sz="4" w:space="0" w:color="auto"/>
              <w:bottom w:val="single" w:sz="4" w:space="0" w:color="auto"/>
              <w:right w:val="nil"/>
            </w:tcBorders>
            <w:shd w:val="clear" w:color="auto" w:fill="auto"/>
            <w:noWrap/>
            <w:vAlign w:val="center"/>
            <w:hideMark/>
          </w:tcPr>
          <w:p w14:paraId="7D04FEEE" w14:textId="77777777" w:rsidR="00387142" w:rsidRPr="008B6A75" w:rsidRDefault="00387142" w:rsidP="00387142">
            <w:pPr>
              <w:jc w:val="center"/>
              <w:rPr>
                <w:bCs/>
                <w:sz w:val="20"/>
                <w:szCs w:val="20"/>
              </w:rPr>
            </w:pPr>
            <w:r w:rsidRPr="008B6A75">
              <w:rPr>
                <w:bCs/>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43B4DEE8" w14:textId="77777777" w:rsidR="00387142" w:rsidRPr="008B6A75" w:rsidRDefault="00387142" w:rsidP="00387142">
            <w:pPr>
              <w:jc w:val="center"/>
              <w:rPr>
                <w:bCs/>
                <w:sz w:val="20"/>
                <w:szCs w:val="20"/>
              </w:rPr>
            </w:pPr>
            <w:r w:rsidRPr="008B6A75">
              <w:rPr>
                <w:bCs/>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0CD83A3C" w14:textId="77777777" w:rsidR="00387142" w:rsidRPr="008B6A75" w:rsidRDefault="00387142" w:rsidP="00387142">
            <w:pPr>
              <w:jc w:val="center"/>
              <w:rPr>
                <w:bCs/>
                <w:sz w:val="20"/>
                <w:szCs w:val="20"/>
              </w:rPr>
            </w:pPr>
            <w:r w:rsidRPr="008B6A75">
              <w:rPr>
                <w:bCs/>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E3EBC01" w14:textId="77777777" w:rsidR="00387142" w:rsidRPr="008B6A75" w:rsidRDefault="00387142" w:rsidP="00387142">
            <w:pPr>
              <w:jc w:val="right"/>
              <w:rPr>
                <w:bCs/>
                <w:sz w:val="20"/>
                <w:szCs w:val="20"/>
              </w:rPr>
            </w:pPr>
            <w:r w:rsidRPr="008B6A75">
              <w:rPr>
                <w:bCs/>
                <w:sz w:val="20"/>
                <w:szCs w:val="20"/>
              </w:rPr>
              <w:t>127 858,00</w:t>
            </w:r>
          </w:p>
        </w:tc>
        <w:tc>
          <w:tcPr>
            <w:tcW w:w="851" w:type="dxa"/>
            <w:tcBorders>
              <w:top w:val="nil"/>
              <w:left w:val="single" w:sz="4" w:space="0" w:color="auto"/>
              <w:bottom w:val="single" w:sz="4" w:space="0" w:color="auto"/>
              <w:right w:val="nil"/>
            </w:tcBorders>
            <w:shd w:val="clear" w:color="auto" w:fill="auto"/>
            <w:noWrap/>
            <w:vAlign w:val="center"/>
            <w:hideMark/>
          </w:tcPr>
          <w:p w14:paraId="27BF52A6" w14:textId="77777777" w:rsidR="00387142" w:rsidRPr="008B6A75" w:rsidRDefault="00387142" w:rsidP="00387142">
            <w:pPr>
              <w:jc w:val="right"/>
              <w:rPr>
                <w:bCs/>
                <w:sz w:val="20"/>
                <w:szCs w:val="20"/>
              </w:rPr>
            </w:pPr>
            <w:r w:rsidRPr="008B6A75">
              <w:rPr>
                <w:bCs/>
                <w:sz w:val="20"/>
                <w:szCs w:val="20"/>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71D26D70" w14:textId="77777777" w:rsidR="00387142" w:rsidRPr="008B6A75" w:rsidRDefault="00387142" w:rsidP="00387142">
            <w:pPr>
              <w:jc w:val="right"/>
              <w:rPr>
                <w:bCs/>
                <w:sz w:val="20"/>
                <w:szCs w:val="20"/>
              </w:rPr>
            </w:pPr>
            <w:r w:rsidRPr="008B6A75">
              <w:rPr>
                <w:bCs/>
                <w:sz w:val="20"/>
                <w:szCs w:val="20"/>
              </w:rPr>
              <w:t>0,00</w:t>
            </w:r>
          </w:p>
        </w:tc>
      </w:tr>
      <w:tr w:rsidR="00387142" w:rsidRPr="008B6A75" w14:paraId="59EA82E3" w14:textId="77777777" w:rsidTr="00387142">
        <w:trPr>
          <w:trHeight w:val="300"/>
        </w:trPr>
        <w:tc>
          <w:tcPr>
            <w:tcW w:w="272" w:type="dxa"/>
            <w:tcBorders>
              <w:top w:val="nil"/>
              <w:left w:val="nil"/>
              <w:bottom w:val="nil"/>
              <w:right w:val="single" w:sz="4" w:space="0" w:color="auto"/>
            </w:tcBorders>
            <w:shd w:val="clear" w:color="auto" w:fill="auto"/>
            <w:noWrap/>
            <w:vAlign w:val="bottom"/>
            <w:hideMark/>
          </w:tcPr>
          <w:p w14:paraId="6AF14A20"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45B5AAC1" w14:textId="77777777" w:rsidR="00387142" w:rsidRPr="008B6A75" w:rsidRDefault="00387142" w:rsidP="00387142">
            <w:pPr>
              <w:rPr>
                <w:sz w:val="20"/>
                <w:szCs w:val="20"/>
              </w:rPr>
            </w:pPr>
            <w:r w:rsidRPr="008B6A75">
              <w:rPr>
                <w:sz w:val="20"/>
                <w:szCs w:val="20"/>
              </w:rPr>
              <w:t>Межбюджетные трансферты</w:t>
            </w:r>
          </w:p>
        </w:tc>
        <w:tc>
          <w:tcPr>
            <w:tcW w:w="1559" w:type="dxa"/>
            <w:tcBorders>
              <w:top w:val="nil"/>
              <w:left w:val="single" w:sz="4" w:space="0" w:color="auto"/>
              <w:bottom w:val="single" w:sz="4" w:space="0" w:color="auto"/>
              <w:right w:val="nil"/>
            </w:tcBorders>
            <w:shd w:val="clear" w:color="auto" w:fill="auto"/>
            <w:noWrap/>
            <w:vAlign w:val="center"/>
            <w:hideMark/>
          </w:tcPr>
          <w:p w14:paraId="65649523" w14:textId="77777777" w:rsidR="00387142" w:rsidRPr="008B6A75" w:rsidRDefault="00387142" w:rsidP="00387142">
            <w:pPr>
              <w:jc w:val="center"/>
              <w:rPr>
                <w:sz w:val="20"/>
                <w:szCs w:val="20"/>
              </w:rPr>
            </w:pPr>
            <w:r w:rsidRPr="008B6A75">
              <w:rPr>
                <w:sz w:val="20"/>
                <w:szCs w:val="20"/>
              </w:rPr>
              <w:t>08.0.00.L2992</w:t>
            </w:r>
          </w:p>
        </w:tc>
        <w:tc>
          <w:tcPr>
            <w:tcW w:w="850" w:type="dxa"/>
            <w:tcBorders>
              <w:top w:val="nil"/>
              <w:left w:val="single" w:sz="4" w:space="0" w:color="auto"/>
              <w:bottom w:val="single" w:sz="4" w:space="0" w:color="auto"/>
              <w:right w:val="nil"/>
            </w:tcBorders>
            <w:shd w:val="clear" w:color="auto" w:fill="auto"/>
            <w:noWrap/>
            <w:vAlign w:val="center"/>
            <w:hideMark/>
          </w:tcPr>
          <w:p w14:paraId="5EBA568D" w14:textId="77777777" w:rsidR="00387142" w:rsidRPr="008B6A75" w:rsidRDefault="00387142" w:rsidP="00387142">
            <w:pPr>
              <w:jc w:val="center"/>
              <w:rPr>
                <w:sz w:val="20"/>
                <w:szCs w:val="20"/>
              </w:rPr>
            </w:pPr>
            <w:r w:rsidRPr="008B6A75">
              <w:rPr>
                <w:sz w:val="20"/>
                <w:szCs w:val="20"/>
              </w:rPr>
              <w:t>500</w:t>
            </w:r>
          </w:p>
        </w:tc>
        <w:tc>
          <w:tcPr>
            <w:tcW w:w="567" w:type="dxa"/>
            <w:tcBorders>
              <w:top w:val="nil"/>
              <w:left w:val="single" w:sz="4" w:space="0" w:color="auto"/>
              <w:bottom w:val="single" w:sz="4" w:space="0" w:color="auto"/>
              <w:right w:val="nil"/>
            </w:tcBorders>
            <w:shd w:val="clear" w:color="auto" w:fill="auto"/>
            <w:noWrap/>
            <w:vAlign w:val="center"/>
            <w:hideMark/>
          </w:tcPr>
          <w:p w14:paraId="2D973C36" w14:textId="77777777" w:rsidR="00387142" w:rsidRPr="008B6A75" w:rsidRDefault="00387142" w:rsidP="00387142">
            <w:pPr>
              <w:jc w:val="center"/>
              <w:rPr>
                <w:sz w:val="20"/>
                <w:szCs w:val="20"/>
              </w:rPr>
            </w:pPr>
            <w:r w:rsidRPr="008B6A75">
              <w:rPr>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1DEDA70E" w14:textId="77777777" w:rsidR="00387142" w:rsidRPr="008B6A75" w:rsidRDefault="00387142" w:rsidP="00387142">
            <w:pPr>
              <w:jc w:val="center"/>
              <w:rPr>
                <w:sz w:val="20"/>
                <w:szCs w:val="20"/>
              </w:rPr>
            </w:pPr>
            <w:r w:rsidRPr="008B6A75">
              <w:rPr>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12E89D8" w14:textId="77777777" w:rsidR="00387142" w:rsidRPr="008B6A75" w:rsidRDefault="00387142" w:rsidP="00387142">
            <w:pPr>
              <w:jc w:val="right"/>
              <w:rPr>
                <w:sz w:val="20"/>
                <w:szCs w:val="20"/>
              </w:rPr>
            </w:pPr>
            <w:r w:rsidRPr="008B6A75">
              <w:rPr>
                <w:sz w:val="20"/>
                <w:szCs w:val="20"/>
              </w:rPr>
              <w:t>127 858,00</w:t>
            </w:r>
          </w:p>
        </w:tc>
        <w:tc>
          <w:tcPr>
            <w:tcW w:w="851" w:type="dxa"/>
            <w:tcBorders>
              <w:top w:val="nil"/>
              <w:left w:val="single" w:sz="4" w:space="0" w:color="auto"/>
              <w:bottom w:val="single" w:sz="4" w:space="0" w:color="auto"/>
              <w:right w:val="nil"/>
            </w:tcBorders>
            <w:shd w:val="clear" w:color="auto" w:fill="auto"/>
            <w:noWrap/>
            <w:vAlign w:val="center"/>
            <w:hideMark/>
          </w:tcPr>
          <w:p w14:paraId="316B016E" w14:textId="77777777" w:rsidR="00387142" w:rsidRPr="008B6A75" w:rsidRDefault="00387142" w:rsidP="00387142">
            <w:pPr>
              <w:jc w:val="right"/>
              <w:rPr>
                <w:sz w:val="20"/>
                <w:szCs w:val="20"/>
              </w:rPr>
            </w:pPr>
            <w:r w:rsidRPr="008B6A75">
              <w:rPr>
                <w:sz w:val="20"/>
                <w:szCs w:val="20"/>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7122AA41" w14:textId="77777777" w:rsidR="00387142" w:rsidRPr="008B6A75" w:rsidRDefault="00387142" w:rsidP="00387142">
            <w:pPr>
              <w:jc w:val="right"/>
              <w:rPr>
                <w:sz w:val="20"/>
                <w:szCs w:val="20"/>
              </w:rPr>
            </w:pPr>
            <w:r w:rsidRPr="008B6A75">
              <w:rPr>
                <w:sz w:val="20"/>
                <w:szCs w:val="20"/>
              </w:rPr>
              <w:t>0,00</w:t>
            </w:r>
          </w:p>
        </w:tc>
      </w:tr>
      <w:tr w:rsidR="00387142" w:rsidRPr="008B6A75" w14:paraId="6E1A130C" w14:textId="77777777" w:rsidTr="00387142">
        <w:trPr>
          <w:trHeight w:val="300"/>
        </w:trPr>
        <w:tc>
          <w:tcPr>
            <w:tcW w:w="272" w:type="dxa"/>
            <w:tcBorders>
              <w:top w:val="nil"/>
              <w:left w:val="nil"/>
              <w:bottom w:val="nil"/>
              <w:right w:val="single" w:sz="4" w:space="0" w:color="auto"/>
            </w:tcBorders>
            <w:shd w:val="clear" w:color="auto" w:fill="auto"/>
            <w:noWrap/>
            <w:vAlign w:val="bottom"/>
            <w:hideMark/>
          </w:tcPr>
          <w:p w14:paraId="14AC214C"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2A862A7E" w14:textId="77777777" w:rsidR="00387142" w:rsidRPr="008B6A75" w:rsidRDefault="00387142" w:rsidP="00387142">
            <w:pPr>
              <w:rPr>
                <w:sz w:val="20"/>
                <w:szCs w:val="20"/>
              </w:rPr>
            </w:pPr>
            <w:r w:rsidRPr="008B6A75">
              <w:rPr>
                <w:sz w:val="20"/>
                <w:szCs w:val="20"/>
              </w:rPr>
              <w:t>Иные межбюджетные трансферты</w:t>
            </w:r>
          </w:p>
        </w:tc>
        <w:tc>
          <w:tcPr>
            <w:tcW w:w="1559" w:type="dxa"/>
            <w:tcBorders>
              <w:top w:val="nil"/>
              <w:left w:val="single" w:sz="4" w:space="0" w:color="auto"/>
              <w:bottom w:val="single" w:sz="4" w:space="0" w:color="auto"/>
              <w:right w:val="nil"/>
            </w:tcBorders>
            <w:shd w:val="clear" w:color="auto" w:fill="auto"/>
            <w:noWrap/>
            <w:vAlign w:val="center"/>
            <w:hideMark/>
          </w:tcPr>
          <w:p w14:paraId="7818DAFE" w14:textId="77777777" w:rsidR="00387142" w:rsidRPr="008B6A75" w:rsidRDefault="00387142" w:rsidP="00387142">
            <w:pPr>
              <w:jc w:val="center"/>
              <w:rPr>
                <w:sz w:val="20"/>
                <w:szCs w:val="20"/>
              </w:rPr>
            </w:pPr>
            <w:r w:rsidRPr="008B6A75">
              <w:rPr>
                <w:sz w:val="20"/>
                <w:szCs w:val="20"/>
              </w:rPr>
              <w:t>08.0.00.L2992</w:t>
            </w:r>
          </w:p>
        </w:tc>
        <w:tc>
          <w:tcPr>
            <w:tcW w:w="850" w:type="dxa"/>
            <w:tcBorders>
              <w:top w:val="nil"/>
              <w:left w:val="single" w:sz="4" w:space="0" w:color="auto"/>
              <w:bottom w:val="single" w:sz="4" w:space="0" w:color="auto"/>
              <w:right w:val="nil"/>
            </w:tcBorders>
            <w:shd w:val="clear" w:color="auto" w:fill="auto"/>
            <w:noWrap/>
            <w:vAlign w:val="center"/>
            <w:hideMark/>
          </w:tcPr>
          <w:p w14:paraId="6C963D74" w14:textId="77777777" w:rsidR="00387142" w:rsidRPr="008B6A75" w:rsidRDefault="00387142" w:rsidP="00387142">
            <w:pPr>
              <w:jc w:val="center"/>
              <w:rPr>
                <w:sz w:val="20"/>
                <w:szCs w:val="20"/>
              </w:rPr>
            </w:pPr>
            <w:r w:rsidRPr="008B6A75">
              <w:rPr>
                <w:sz w:val="20"/>
                <w:szCs w:val="20"/>
              </w:rPr>
              <w:t>540</w:t>
            </w:r>
          </w:p>
        </w:tc>
        <w:tc>
          <w:tcPr>
            <w:tcW w:w="567" w:type="dxa"/>
            <w:tcBorders>
              <w:top w:val="nil"/>
              <w:left w:val="single" w:sz="4" w:space="0" w:color="auto"/>
              <w:bottom w:val="single" w:sz="4" w:space="0" w:color="auto"/>
              <w:right w:val="nil"/>
            </w:tcBorders>
            <w:shd w:val="clear" w:color="auto" w:fill="auto"/>
            <w:noWrap/>
            <w:vAlign w:val="center"/>
            <w:hideMark/>
          </w:tcPr>
          <w:p w14:paraId="5AC07CA8" w14:textId="77777777" w:rsidR="00387142" w:rsidRPr="008B6A75" w:rsidRDefault="00387142" w:rsidP="00387142">
            <w:pPr>
              <w:jc w:val="center"/>
              <w:rPr>
                <w:sz w:val="20"/>
                <w:szCs w:val="20"/>
              </w:rPr>
            </w:pPr>
            <w:r w:rsidRPr="008B6A75">
              <w:rPr>
                <w:sz w:val="20"/>
                <w:szCs w:val="20"/>
              </w:rPr>
              <w:t>08</w:t>
            </w:r>
          </w:p>
        </w:tc>
        <w:tc>
          <w:tcPr>
            <w:tcW w:w="567" w:type="dxa"/>
            <w:tcBorders>
              <w:top w:val="nil"/>
              <w:left w:val="single" w:sz="4" w:space="0" w:color="auto"/>
              <w:bottom w:val="single" w:sz="4" w:space="0" w:color="auto"/>
              <w:right w:val="nil"/>
            </w:tcBorders>
            <w:shd w:val="clear" w:color="auto" w:fill="auto"/>
            <w:noWrap/>
            <w:vAlign w:val="center"/>
            <w:hideMark/>
          </w:tcPr>
          <w:p w14:paraId="257B1A11" w14:textId="77777777" w:rsidR="00387142" w:rsidRPr="008B6A75" w:rsidRDefault="00387142" w:rsidP="00387142">
            <w:pPr>
              <w:jc w:val="center"/>
              <w:rPr>
                <w:sz w:val="20"/>
                <w:szCs w:val="20"/>
              </w:rPr>
            </w:pPr>
            <w:r w:rsidRPr="008B6A75">
              <w:rPr>
                <w:sz w:val="20"/>
                <w:szCs w:val="20"/>
              </w:rPr>
              <w:t>01</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EA3BA44" w14:textId="77777777" w:rsidR="00387142" w:rsidRPr="008B6A75" w:rsidRDefault="00387142" w:rsidP="00387142">
            <w:pPr>
              <w:jc w:val="right"/>
              <w:rPr>
                <w:sz w:val="20"/>
                <w:szCs w:val="20"/>
              </w:rPr>
            </w:pPr>
            <w:r w:rsidRPr="008B6A75">
              <w:rPr>
                <w:sz w:val="20"/>
                <w:szCs w:val="20"/>
              </w:rPr>
              <w:t>127 858,00</w:t>
            </w:r>
          </w:p>
        </w:tc>
        <w:tc>
          <w:tcPr>
            <w:tcW w:w="851" w:type="dxa"/>
            <w:tcBorders>
              <w:top w:val="nil"/>
              <w:left w:val="single" w:sz="4" w:space="0" w:color="auto"/>
              <w:bottom w:val="single" w:sz="4" w:space="0" w:color="auto"/>
              <w:right w:val="nil"/>
            </w:tcBorders>
            <w:shd w:val="clear" w:color="auto" w:fill="auto"/>
            <w:noWrap/>
            <w:vAlign w:val="center"/>
            <w:hideMark/>
          </w:tcPr>
          <w:p w14:paraId="6A2DB677" w14:textId="77777777" w:rsidR="00387142" w:rsidRPr="008B6A75" w:rsidRDefault="00387142" w:rsidP="00387142">
            <w:pPr>
              <w:jc w:val="right"/>
              <w:rPr>
                <w:sz w:val="20"/>
                <w:szCs w:val="20"/>
              </w:rPr>
            </w:pPr>
            <w:r w:rsidRPr="008B6A75">
              <w:rPr>
                <w:sz w:val="20"/>
                <w:szCs w:val="20"/>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76BDE57E" w14:textId="77777777" w:rsidR="00387142" w:rsidRPr="008B6A75" w:rsidRDefault="00387142" w:rsidP="00387142">
            <w:pPr>
              <w:jc w:val="right"/>
              <w:rPr>
                <w:sz w:val="20"/>
                <w:szCs w:val="20"/>
              </w:rPr>
            </w:pPr>
            <w:r w:rsidRPr="008B6A75">
              <w:rPr>
                <w:sz w:val="20"/>
                <w:szCs w:val="20"/>
              </w:rPr>
              <w:t>0,00</w:t>
            </w:r>
          </w:p>
        </w:tc>
      </w:tr>
      <w:tr w:rsidR="00387142" w:rsidRPr="008B6A75" w14:paraId="0F8929A9" w14:textId="77777777" w:rsidTr="00387142">
        <w:trPr>
          <w:trHeight w:val="1725"/>
        </w:trPr>
        <w:tc>
          <w:tcPr>
            <w:tcW w:w="272" w:type="dxa"/>
            <w:tcBorders>
              <w:top w:val="nil"/>
              <w:left w:val="nil"/>
              <w:bottom w:val="nil"/>
              <w:right w:val="single" w:sz="4" w:space="0" w:color="auto"/>
            </w:tcBorders>
            <w:shd w:val="clear" w:color="auto" w:fill="auto"/>
            <w:noWrap/>
            <w:vAlign w:val="bottom"/>
            <w:hideMark/>
          </w:tcPr>
          <w:p w14:paraId="7959B25C"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011C6F22" w14:textId="77777777" w:rsidR="00387142" w:rsidRPr="008B6A75" w:rsidRDefault="00387142" w:rsidP="00387142">
            <w:pPr>
              <w:rPr>
                <w:bCs/>
                <w:sz w:val="20"/>
                <w:szCs w:val="20"/>
              </w:rPr>
            </w:pPr>
            <w:r w:rsidRPr="008B6A75">
              <w:rPr>
                <w:bCs/>
                <w:sz w:val="20"/>
                <w:szCs w:val="20"/>
              </w:rPr>
              <w:t xml:space="preserve">Мероприятия по обеспечению развития и укрепления материально-технической базы домов культуры в населенных пунктах с числом жителей до 50 </w:t>
            </w:r>
            <w:proofErr w:type="spellStart"/>
            <w:r w:rsidRPr="008B6A75">
              <w:rPr>
                <w:bCs/>
                <w:sz w:val="20"/>
                <w:szCs w:val="20"/>
              </w:rPr>
              <w:t>тыс.человек</w:t>
            </w:r>
            <w:proofErr w:type="spellEnd"/>
            <w:r w:rsidRPr="008B6A75">
              <w:rPr>
                <w:bCs/>
                <w:sz w:val="20"/>
                <w:szCs w:val="20"/>
              </w:rPr>
              <w:t xml:space="preserve"> в рамках реализации мероприятий ГП НСО "Культура Новосибирской области"</w:t>
            </w:r>
          </w:p>
        </w:tc>
        <w:tc>
          <w:tcPr>
            <w:tcW w:w="1559" w:type="dxa"/>
            <w:tcBorders>
              <w:top w:val="nil"/>
              <w:left w:val="single" w:sz="4" w:space="0" w:color="auto"/>
              <w:bottom w:val="single" w:sz="4" w:space="0" w:color="auto"/>
              <w:right w:val="nil"/>
            </w:tcBorders>
            <w:shd w:val="clear" w:color="auto" w:fill="auto"/>
            <w:noWrap/>
            <w:vAlign w:val="center"/>
            <w:hideMark/>
          </w:tcPr>
          <w:p w14:paraId="3AE01AA2" w14:textId="77777777" w:rsidR="00387142" w:rsidRPr="008B6A75" w:rsidRDefault="00387142" w:rsidP="00387142">
            <w:pPr>
              <w:jc w:val="center"/>
              <w:rPr>
                <w:bCs/>
                <w:sz w:val="20"/>
                <w:szCs w:val="20"/>
              </w:rPr>
            </w:pPr>
            <w:r w:rsidRPr="008B6A75">
              <w:rPr>
                <w:bCs/>
                <w:sz w:val="20"/>
                <w:szCs w:val="20"/>
              </w:rPr>
              <w:t>08.0.00.L4670</w:t>
            </w:r>
          </w:p>
        </w:tc>
        <w:tc>
          <w:tcPr>
            <w:tcW w:w="850" w:type="dxa"/>
            <w:tcBorders>
              <w:top w:val="nil"/>
              <w:left w:val="single" w:sz="4" w:space="0" w:color="auto"/>
              <w:bottom w:val="single" w:sz="4" w:space="0" w:color="auto"/>
              <w:right w:val="nil"/>
            </w:tcBorders>
            <w:shd w:val="clear" w:color="auto" w:fill="auto"/>
            <w:noWrap/>
            <w:vAlign w:val="center"/>
            <w:hideMark/>
          </w:tcPr>
          <w:p w14:paraId="426A83EE" w14:textId="77777777" w:rsidR="00387142" w:rsidRPr="008B6A75" w:rsidRDefault="00387142" w:rsidP="00387142">
            <w:pPr>
              <w:jc w:val="center"/>
              <w:rPr>
                <w:bCs/>
                <w:sz w:val="20"/>
                <w:szCs w:val="20"/>
              </w:rPr>
            </w:pPr>
            <w:r w:rsidRPr="008B6A75">
              <w:rPr>
                <w:bCs/>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0B5426EB" w14:textId="77777777" w:rsidR="00387142" w:rsidRPr="008B6A75" w:rsidRDefault="00387142" w:rsidP="00387142">
            <w:pPr>
              <w:jc w:val="center"/>
              <w:rPr>
                <w:bCs/>
                <w:sz w:val="20"/>
                <w:szCs w:val="20"/>
              </w:rPr>
            </w:pPr>
            <w:r w:rsidRPr="008B6A75">
              <w:rPr>
                <w:bCs/>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3665B69A" w14:textId="77777777" w:rsidR="00387142" w:rsidRPr="008B6A75" w:rsidRDefault="00387142" w:rsidP="00387142">
            <w:pPr>
              <w:jc w:val="center"/>
              <w:rPr>
                <w:bCs/>
                <w:sz w:val="20"/>
                <w:szCs w:val="20"/>
              </w:rPr>
            </w:pPr>
            <w:r w:rsidRPr="008B6A75">
              <w:rPr>
                <w:bCs/>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71AF261" w14:textId="77777777" w:rsidR="00387142" w:rsidRPr="008B6A75" w:rsidRDefault="00387142" w:rsidP="00387142">
            <w:pPr>
              <w:jc w:val="right"/>
              <w:rPr>
                <w:bCs/>
                <w:sz w:val="20"/>
                <w:szCs w:val="20"/>
              </w:rPr>
            </w:pPr>
            <w:r w:rsidRPr="008B6A75">
              <w:rPr>
                <w:bCs/>
                <w:sz w:val="20"/>
                <w:szCs w:val="20"/>
              </w:rPr>
              <w:t>1 581 800,00</w:t>
            </w:r>
          </w:p>
        </w:tc>
        <w:tc>
          <w:tcPr>
            <w:tcW w:w="851" w:type="dxa"/>
            <w:tcBorders>
              <w:top w:val="nil"/>
              <w:left w:val="single" w:sz="4" w:space="0" w:color="auto"/>
              <w:bottom w:val="single" w:sz="4" w:space="0" w:color="auto"/>
              <w:right w:val="nil"/>
            </w:tcBorders>
            <w:shd w:val="clear" w:color="auto" w:fill="auto"/>
            <w:noWrap/>
            <w:vAlign w:val="center"/>
            <w:hideMark/>
          </w:tcPr>
          <w:p w14:paraId="5FD17B88" w14:textId="77777777" w:rsidR="00387142" w:rsidRPr="008B6A75" w:rsidRDefault="00387142" w:rsidP="00387142">
            <w:pPr>
              <w:jc w:val="right"/>
              <w:rPr>
                <w:bCs/>
                <w:sz w:val="20"/>
                <w:szCs w:val="20"/>
              </w:rPr>
            </w:pPr>
            <w:r w:rsidRPr="008B6A75">
              <w:rPr>
                <w:bCs/>
                <w:sz w:val="20"/>
                <w:szCs w:val="20"/>
              </w:rPr>
              <w:t>1 581 800,00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027CF9D6" w14:textId="77777777" w:rsidR="00387142" w:rsidRPr="008B6A75" w:rsidRDefault="00387142" w:rsidP="00387142">
            <w:pPr>
              <w:jc w:val="right"/>
              <w:rPr>
                <w:bCs/>
                <w:sz w:val="20"/>
                <w:szCs w:val="20"/>
              </w:rPr>
            </w:pPr>
            <w:r w:rsidRPr="008B6A75">
              <w:rPr>
                <w:bCs/>
                <w:sz w:val="20"/>
                <w:szCs w:val="20"/>
              </w:rPr>
              <w:t>1 581 800,00</w:t>
            </w:r>
          </w:p>
        </w:tc>
      </w:tr>
      <w:tr w:rsidR="00387142" w:rsidRPr="008B6A75" w14:paraId="77831161" w14:textId="77777777" w:rsidTr="00387142">
        <w:trPr>
          <w:trHeight w:val="300"/>
        </w:trPr>
        <w:tc>
          <w:tcPr>
            <w:tcW w:w="272" w:type="dxa"/>
            <w:tcBorders>
              <w:top w:val="nil"/>
              <w:left w:val="nil"/>
              <w:bottom w:val="nil"/>
              <w:right w:val="single" w:sz="4" w:space="0" w:color="auto"/>
            </w:tcBorders>
            <w:shd w:val="clear" w:color="auto" w:fill="auto"/>
            <w:noWrap/>
            <w:vAlign w:val="bottom"/>
            <w:hideMark/>
          </w:tcPr>
          <w:p w14:paraId="1C10049A"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2D8D4803" w14:textId="77777777" w:rsidR="00387142" w:rsidRPr="008B6A75" w:rsidRDefault="00387142" w:rsidP="00387142">
            <w:pPr>
              <w:rPr>
                <w:sz w:val="20"/>
                <w:szCs w:val="20"/>
              </w:rPr>
            </w:pPr>
            <w:r w:rsidRPr="008B6A75">
              <w:rPr>
                <w:sz w:val="20"/>
                <w:szCs w:val="20"/>
              </w:rPr>
              <w:t>Межбюджетные трансферты</w:t>
            </w:r>
          </w:p>
        </w:tc>
        <w:tc>
          <w:tcPr>
            <w:tcW w:w="1559" w:type="dxa"/>
            <w:tcBorders>
              <w:top w:val="nil"/>
              <w:left w:val="single" w:sz="4" w:space="0" w:color="auto"/>
              <w:bottom w:val="single" w:sz="4" w:space="0" w:color="auto"/>
              <w:right w:val="nil"/>
            </w:tcBorders>
            <w:shd w:val="clear" w:color="auto" w:fill="auto"/>
            <w:noWrap/>
            <w:vAlign w:val="center"/>
            <w:hideMark/>
          </w:tcPr>
          <w:p w14:paraId="20105A2F" w14:textId="77777777" w:rsidR="00387142" w:rsidRPr="008B6A75" w:rsidRDefault="00387142" w:rsidP="00387142">
            <w:pPr>
              <w:jc w:val="center"/>
              <w:rPr>
                <w:sz w:val="20"/>
                <w:szCs w:val="20"/>
              </w:rPr>
            </w:pPr>
            <w:r w:rsidRPr="008B6A75">
              <w:rPr>
                <w:sz w:val="20"/>
                <w:szCs w:val="20"/>
              </w:rPr>
              <w:t>08.0.00.L4670</w:t>
            </w:r>
          </w:p>
        </w:tc>
        <w:tc>
          <w:tcPr>
            <w:tcW w:w="850" w:type="dxa"/>
            <w:tcBorders>
              <w:top w:val="nil"/>
              <w:left w:val="single" w:sz="4" w:space="0" w:color="auto"/>
              <w:bottom w:val="single" w:sz="4" w:space="0" w:color="auto"/>
              <w:right w:val="nil"/>
            </w:tcBorders>
            <w:shd w:val="clear" w:color="auto" w:fill="auto"/>
            <w:noWrap/>
            <w:vAlign w:val="center"/>
            <w:hideMark/>
          </w:tcPr>
          <w:p w14:paraId="2E606E4E" w14:textId="77777777" w:rsidR="00387142" w:rsidRPr="008B6A75" w:rsidRDefault="00387142" w:rsidP="00387142">
            <w:pPr>
              <w:jc w:val="center"/>
              <w:rPr>
                <w:sz w:val="20"/>
                <w:szCs w:val="20"/>
              </w:rPr>
            </w:pPr>
            <w:r w:rsidRPr="008B6A75">
              <w:rPr>
                <w:sz w:val="20"/>
                <w:szCs w:val="20"/>
              </w:rPr>
              <w:t>500</w:t>
            </w:r>
          </w:p>
        </w:tc>
        <w:tc>
          <w:tcPr>
            <w:tcW w:w="567" w:type="dxa"/>
            <w:tcBorders>
              <w:top w:val="nil"/>
              <w:left w:val="single" w:sz="4" w:space="0" w:color="auto"/>
              <w:bottom w:val="single" w:sz="4" w:space="0" w:color="auto"/>
              <w:right w:val="nil"/>
            </w:tcBorders>
            <w:shd w:val="clear" w:color="auto" w:fill="auto"/>
            <w:noWrap/>
            <w:vAlign w:val="center"/>
            <w:hideMark/>
          </w:tcPr>
          <w:p w14:paraId="447466C6" w14:textId="77777777" w:rsidR="00387142" w:rsidRPr="008B6A75" w:rsidRDefault="00387142" w:rsidP="00387142">
            <w:pPr>
              <w:jc w:val="center"/>
              <w:rPr>
                <w:sz w:val="20"/>
                <w:szCs w:val="20"/>
              </w:rPr>
            </w:pPr>
            <w:r w:rsidRPr="008B6A75">
              <w:rPr>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40979BDC" w14:textId="77777777" w:rsidR="00387142" w:rsidRPr="008B6A75" w:rsidRDefault="00387142" w:rsidP="00387142">
            <w:pPr>
              <w:jc w:val="center"/>
              <w:rPr>
                <w:sz w:val="20"/>
                <w:szCs w:val="20"/>
              </w:rPr>
            </w:pPr>
            <w:r w:rsidRPr="008B6A75">
              <w:rPr>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3433046" w14:textId="77777777" w:rsidR="00387142" w:rsidRPr="008B6A75" w:rsidRDefault="00387142" w:rsidP="00387142">
            <w:pPr>
              <w:jc w:val="right"/>
              <w:rPr>
                <w:sz w:val="20"/>
                <w:szCs w:val="20"/>
              </w:rPr>
            </w:pPr>
            <w:r w:rsidRPr="008B6A75">
              <w:rPr>
                <w:sz w:val="20"/>
                <w:szCs w:val="20"/>
              </w:rPr>
              <w:t>1 581 800,00</w:t>
            </w:r>
          </w:p>
        </w:tc>
        <w:tc>
          <w:tcPr>
            <w:tcW w:w="851" w:type="dxa"/>
            <w:tcBorders>
              <w:top w:val="nil"/>
              <w:left w:val="single" w:sz="4" w:space="0" w:color="auto"/>
              <w:bottom w:val="single" w:sz="4" w:space="0" w:color="auto"/>
              <w:right w:val="nil"/>
            </w:tcBorders>
            <w:shd w:val="clear" w:color="auto" w:fill="auto"/>
            <w:noWrap/>
            <w:vAlign w:val="center"/>
            <w:hideMark/>
          </w:tcPr>
          <w:p w14:paraId="139FAFBF" w14:textId="77777777" w:rsidR="00387142" w:rsidRPr="008B6A75" w:rsidRDefault="00387142" w:rsidP="00387142">
            <w:pPr>
              <w:jc w:val="right"/>
              <w:rPr>
                <w:sz w:val="20"/>
                <w:szCs w:val="20"/>
              </w:rPr>
            </w:pPr>
            <w:r w:rsidRPr="008B6A75">
              <w:rPr>
                <w:sz w:val="20"/>
                <w:szCs w:val="20"/>
              </w:rPr>
              <w:t>1 581 800,00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7025DC58" w14:textId="77777777" w:rsidR="00387142" w:rsidRPr="008B6A75" w:rsidRDefault="00387142" w:rsidP="00387142">
            <w:pPr>
              <w:jc w:val="right"/>
              <w:rPr>
                <w:sz w:val="20"/>
                <w:szCs w:val="20"/>
              </w:rPr>
            </w:pPr>
            <w:r w:rsidRPr="008B6A75">
              <w:rPr>
                <w:sz w:val="20"/>
                <w:szCs w:val="20"/>
              </w:rPr>
              <w:t>1 581 800,00</w:t>
            </w:r>
          </w:p>
        </w:tc>
      </w:tr>
      <w:tr w:rsidR="00387142" w:rsidRPr="008B6A75" w14:paraId="0E7A7103" w14:textId="77777777" w:rsidTr="00387142">
        <w:trPr>
          <w:trHeight w:val="300"/>
        </w:trPr>
        <w:tc>
          <w:tcPr>
            <w:tcW w:w="272" w:type="dxa"/>
            <w:tcBorders>
              <w:top w:val="nil"/>
              <w:left w:val="nil"/>
              <w:bottom w:val="nil"/>
              <w:right w:val="single" w:sz="4" w:space="0" w:color="auto"/>
            </w:tcBorders>
            <w:shd w:val="clear" w:color="auto" w:fill="auto"/>
            <w:noWrap/>
            <w:vAlign w:val="bottom"/>
            <w:hideMark/>
          </w:tcPr>
          <w:p w14:paraId="7A3EA85A"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50CD771C" w14:textId="77777777" w:rsidR="00387142" w:rsidRPr="008B6A75" w:rsidRDefault="00387142" w:rsidP="00387142">
            <w:pPr>
              <w:rPr>
                <w:sz w:val="20"/>
                <w:szCs w:val="20"/>
              </w:rPr>
            </w:pPr>
            <w:r w:rsidRPr="008B6A75">
              <w:rPr>
                <w:sz w:val="20"/>
                <w:szCs w:val="20"/>
              </w:rPr>
              <w:t>Субсидии</w:t>
            </w:r>
          </w:p>
        </w:tc>
        <w:tc>
          <w:tcPr>
            <w:tcW w:w="1559" w:type="dxa"/>
            <w:tcBorders>
              <w:top w:val="nil"/>
              <w:left w:val="single" w:sz="4" w:space="0" w:color="auto"/>
              <w:bottom w:val="single" w:sz="4" w:space="0" w:color="auto"/>
              <w:right w:val="nil"/>
            </w:tcBorders>
            <w:shd w:val="clear" w:color="auto" w:fill="auto"/>
            <w:noWrap/>
            <w:vAlign w:val="center"/>
            <w:hideMark/>
          </w:tcPr>
          <w:p w14:paraId="755F5518" w14:textId="77777777" w:rsidR="00387142" w:rsidRPr="008B6A75" w:rsidRDefault="00387142" w:rsidP="00387142">
            <w:pPr>
              <w:jc w:val="center"/>
              <w:rPr>
                <w:sz w:val="20"/>
                <w:szCs w:val="20"/>
              </w:rPr>
            </w:pPr>
            <w:r w:rsidRPr="008B6A75">
              <w:rPr>
                <w:sz w:val="20"/>
                <w:szCs w:val="20"/>
              </w:rPr>
              <w:t>08.0.00.L4670</w:t>
            </w:r>
          </w:p>
        </w:tc>
        <w:tc>
          <w:tcPr>
            <w:tcW w:w="850" w:type="dxa"/>
            <w:tcBorders>
              <w:top w:val="nil"/>
              <w:left w:val="single" w:sz="4" w:space="0" w:color="auto"/>
              <w:bottom w:val="single" w:sz="4" w:space="0" w:color="auto"/>
              <w:right w:val="nil"/>
            </w:tcBorders>
            <w:shd w:val="clear" w:color="auto" w:fill="auto"/>
            <w:noWrap/>
            <w:vAlign w:val="center"/>
            <w:hideMark/>
          </w:tcPr>
          <w:p w14:paraId="65507772" w14:textId="77777777" w:rsidR="00387142" w:rsidRPr="008B6A75" w:rsidRDefault="00387142" w:rsidP="00387142">
            <w:pPr>
              <w:jc w:val="center"/>
              <w:rPr>
                <w:sz w:val="20"/>
                <w:szCs w:val="20"/>
              </w:rPr>
            </w:pPr>
            <w:r w:rsidRPr="008B6A75">
              <w:rPr>
                <w:sz w:val="20"/>
                <w:szCs w:val="20"/>
              </w:rPr>
              <w:t>520</w:t>
            </w:r>
          </w:p>
        </w:tc>
        <w:tc>
          <w:tcPr>
            <w:tcW w:w="567" w:type="dxa"/>
            <w:tcBorders>
              <w:top w:val="nil"/>
              <w:left w:val="single" w:sz="4" w:space="0" w:color="auto"/>
              <w:bottom w:val="single" w:sz="4" w:space="0" w:color="auto"/>
              <w:right w:val="nil"/>
            </w:tcBorders>
            <w:shd w:val="clear" w:color="auto" w:fill="auto"/>
            <w:noWrap/>
            <w:vAlign w:val="center"/>
            <w:hideMark/>
          </w:tcPr>
          <w:p w14:paraId="5B0348D3" w14:textId="77777777" w:rsidR="00387142" w:rsidRPr="008B6A75" w:rsidRDefault="00387142" w:rsidP="00387142">
            <w:pPr>
              <w:jc w:val="center"/>
              <w:rPr>
                <w:sz w:val="20"/>
                <w:szCs w:val="20"/>
              </w:rPr>
            </w:pPr>
            <w:r w:rsidRPr="008B6A75">
              <w:rPr>
                <w:sz w:val="20"/>
                <w:szCs w:val="20"/>
              </w:rPr>
              <w:t>08</w:t>
            </w:r>
          </w:p>
        </w:tc>
        <w:tc>
          <w:tcPr>
            <w:tcW w:w="567" w:type="dxa"/>
            <w:tcBorders>
              <w:top w:val="nil"/>
              <w:left w:val="single" w:sz="4" w:space="0" w:color="auto"/>
              <w:bottom w:val="single" w:sz="4" w:space="0" w:color="auto"/>
              <w:right w:val="nil"/>
            </w:tcBorders>
            <w:shd w:val="clear" w:color="auto" w:fill="auto"/>
            <w:noWrap/>
            <w:vAlign w:val="center"/>
            <w:hideMark/>
          </w:tcPr>
          <w:p w14:paraId="280D9C86" w14:textId="77777777" w:rsidR="00387142" w:rsidRPr="008B6A75" w:rsidRDefault="00387142" w:rsidP="00387142">
            <w:pPr>
              <w:jc w:val="center"/>
              <w:rPr>
                <w:sz w:val="20"/>
                <w:szCs w:val="20"/>
              </w:rPr>
            </w:pPr>
            <w:r w:rsidRPr="008B6A75">
              <w:rPr>
                <w:sz w:val="20"/>
                <w:szCs w:val="20"/>
              </w:rPr>
              <w:t>01</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D3A7A4D" w14:textId="77777777" w:rsidR="00387142" w:rsidRPr="008B6A75" w:rsidRDefault="00387142" w:rsidP="00387142">
            <w:pPr>
              <w:jc w:val="right"/>
              <w:rPr>
                <w:sz w:val="20"/>
                <w:szCs w:val="20"/>
              </w:rPr>
            </w:pPr>
            <w:r w:rsidRPr="008B6A75">
              <w:rPr>
                <w:sz w:val="20"/>
                <w:szCs w:val="20"/>
              </w:rPr>
              <w:t>1 581 800,00</w:t>
            </w:r>
          </w:p>
        </w:tc>
        <w:tc>
          <w:tcPr>
            <w:tcW w:w="851" w:type="dxa"/>
            <w:tcBorders>
              <w:top w:val="nil"/>
              <w:left w:val="single" w:sz="4" w:space="0" w:color="auto"/>
              <w:bottom w:val="single" w:sz="4" w:space="0" w:color="auto"/>
              <w:right w:val="nil"/>
            </w:tcBorders>
            <w:shd w:val="clear" w:color="auto" w:fill="auto"/>
            <w:noWrap/>
            <w:vAlign w:val="center"/>
            <w:hideMark/>
          </w:tcPr>
          <w:p w14:paraId="3772A999" w14:textId="77777777" w:rsidR="00387142" w:rsidRPr="008B6A75" w:rsidRDefault="00387142" w:rsidP="00387142">
            <w:pPr>
              <w:jc w:val="right"/>
              <w:rPr>
                <w:sz w:val="20"/>
                <w:szCs w:val="20"/>
              </w:rPr>
            </w:pPr>
            <w:r w:rsidRPr="008B6A75">
              <w:rPr>
                <w:sz w:val="20"/>
                <w:szCs w:val="20"/>
              </w:rPr>
              <w:t>1 581 800,00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44E13351" w14:textId="77777777" w:rsidR="00387142" w:rsidRPr="008B6A75" w:rsidRDefault="00387142" w:rsidP="00387142">
            <w:pPr>
              <w:jc w:val="right"/>
              <w:rPr>
                <w:sz w:val="20"/>
                <w:szCs w:val="20"/>
              </w:rPr>
            </w:pPr>
            <w:r w:rsidRPr="008B6A75">
              <w:rPr>
                <w:sz w:val="20"/>
                <w:szCs w:val="20"/>
              </w:rPr>
              <w:t>1 581 800,00</w:t>
            </w:r>
          </w:p>
        </w:tc>
      </w:tr>
      <w:tr w:rsidR="00387142" w:rsidRPr="008B6A75" w14:paraId="5D587C4D" w14:textId="77777777" w:rsidTr="00387142">
        <w:trPr>
          <w:trHeight w:val="1725"/>
        </w:trPr>
        <w:tc>
          <w:tcPr>
            <w:tcW w:w="272" w:type="dxa"/>
            <w:tcBorders>
              <w:top w:val="nil"/>
              <w:left w:val="nil"/>
              <w:bottom w:val="nil"/>
              <w:right w:val="single" w:sz="4" w:space="0" w:color="auto"/>
            </w:tcBorders>
            <w:shd w:val="clear" w:color="auto" w:fill="auto"/>
            <w:noWrap/>
            <w:vAlign w:val="bottom"/>
            <w:hideMark/>
          </w:tcPr>
          <w:p w14:paraId="0A4E379E"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75B84C5C" w14:textId="77777777" w:rsidR="00387142" w:rsidRPr="008B6A75" w:rsidRDefault="00387142" w:rsidP="00387142">
            <w:pPr>
              <w:rPr>
                <w:bCs/>
                <w:sz w:val="20"/>
                <w:szCs w:val="20"/>
              </w:rPr>
            </w:pPr>
            <w:r w:rsidRPr="008B6A75">
              <w:rPr>
                <w:bCs/>
                <w:sz w:val="20"/>
                <w:szCs w:val="20"/>
              </w:rPr>
              <w:t>Реализация мероприятий по комплектованию книжных фондов муниципальных общедоступных библиотек Новосибирской области государственной программы Новосибирской области "Культура Новосибирской области"</w:t>
            </w:r>
          </w:p>
        </w:tc>
        <w:tc>
          <w:tcPr>
            <w:tcW w:w="1559" w:type="dxa"/>
            <w:tcBorders>
              <w:top w:val="nil"/>
              <w:left w:val="single" w:sz="4" w:space="0" w:color="auto"/>
              <w:bottom w:val="single" w:sz="4" w:space="0" w:color="auto"/>
              <w:right w:val="nil"/>
            </w:tcBorders>
            <w:shd w:val="clear" w:color="auto" w:fill="auto"/>
            <w:noWrap/>
            <w:vAlign w:val="center"/>
            <w:hideMark/>
          </w:tcPr>
          <w:p w14:paraId="3A566CD1" w14:textId="77777777" w:rsidR="00387142" w:rsidRPr="008B6A75" w:rsidRDefault="00387142" w:rsidP="00387142">
            <w:pPr>
              <w:jc w:val="center"/>
              <w:rPr>
                <w:bCs/>
                <w:sz w:val="20"/>
                <w:szCs w:val="20"/>
              </w:rPr>
            </w:pPr>
            <w:r w:rsidRPr="008B6A75">
              <w:rPr>
                <w:bCs/>
                <w:sz w:val="20"/>
                <w:szCs w:val="20"/>
              </w:rPr>
              <w:t>08.0.00.L5190</w:t>
            </w:r>
          </w:p>
        </w:tc>
        <w:tc>
          <w:tcPr>
            <w:tcW w:w="850" w:type="dxa"/>
            <w:tcBorders>
              <w:top w:val="nil"/>
              <w:left w:val="single" w:sz="4" w:space="0" w:color="auto"/>
              <w:bottom w:val="single" w:sz="4" w:space="0" w:color="auto"/>
              <w:right w:val="nil"/>
            </w:tcBorders>
            <w:shd w:val="clear" w:color="auto" w:fill="auto"/>
            <w:noWrap/>
            <w:vAlign w:val="center"/>
            <w:hideMark/>
          </w:tcPr>
          <w:p w14:paraId="20997075" w14:textId="77777777" w:rsidR="00387142" w:rsidRPr="008B6A75" w:rsidRDefault="00387142" w:rsidP="00387142">
            <w:pPr>
              <w:jc w:val="center"/>
              <w:rPr>
                <w:bCs/>
                <w:sz w:val="20"/>
                <w:szCs w:val="20"/>
              </w:rPr>
            </w:pPr>
            <w:r w:rsidRPr="008B6A75">
              <w:rPr>
                <w:bCs/>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397C0CE0" w14:textId="77777777" w:rsidR="00387142" w:rsidRPr="008B6A75" w:rsidRDefault="00387142" w:rsidP="00387142">
            <w:pPr>
              <w:jc w:val="center"/>
              <w:rPr>
                <w:bCs/>
                <w:sz w:val="20"/>
                <w:szCs w:val="20"/>
              </w:rPr>
            </w:pPr>
            <w:r w:rsidRPr="008B6A75">
              <w:rPr>
                <w:bCs/>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6706B514" w14:textId="77777777" w:rsidR="00387142" w:rsidRPr="008B6A75" w:rsidRDefault="00387142" w:rsidP="00387142">
            <w:pPr>
              <w:jc w:val="center"/>
              <w:rPr>
                <w:bCs/>
                <w:sz w:val="20"/>
                <w:szCs w:val="20"/>
              </w:rPr>
            </w:pPr>
            <w:r w:rsidRPr="008B6A75">
              <w:rPr>
                <w:bCs/>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75DB9F4" w14:textId="77777777" w:rsidR="00387142" w:rsidRPr="008B6A75" w:rsidRDefault="00387142" w:rsidP="00387142">
            <w:pPr>
              <w:jc w:val="right"/>
              <w:rPr>
                <w:bCs/>
                <w:sz w:val="20"/>
                <w:szCs w:val="20"/>
              </w:rPr>
            </w:pPr>
            <w:r w:rsidRPr="008B6A75">
              <w:rPr>
                <w:bCs/>
                <w:sz w:val="20"/>
                <w:szCs w:val="20"/>
              </w:rPr>
              <w:t>727 677,64</w:t>
            </w:r>
          </w:p>
        </w:tc>
        <w:tc>
          <w:tcPr>
            <w:tcW w:w="851" w:type="dxa"/>
            <w:tcBorders>
              <w:top w:val="nil"/>
              <w:left w:val="single" w:sz="4" w:space="0" w:color="auto"/>
              <w:bottom w:val="single" w:sz="4" w:space="0" w:color="auto"/>
              <w:right w:val="nil"/>
            </w:tcBorders>
            <w:shd w:val="clear" w:color="auto" w:fill="auto"/>
            <w:noWrap/>
            <w:vAlign w:val="center"/>
            <w:hideMark/>
          </w:tcPr>
          <w:p w14:paraId="31B37885" w14:textId="77777777" w:rsidR="00387142" w:rsidRPr="008B6A75" w:rsidRDefault="00387142" w:rsidP="00387142">
            <w:pPr>
              <w:jc w:val="right"/>
              <w:rPr>
                <w:bCs/>
                <w:sz w:val="20"/>
                <w:szCs w:val="20"/>
              </w:rPr>
            </w:pPr>
            <w:r w:rsidRPr="008B6A75">
              <w:rPr>
                <w:bCs/>
                <w:sz w:val="20"/>
                <w:szCs w:val="20"/>
              </w:rPr>
              <w:t>720 500,00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4D23469B" w14:textId="77777777" w:rsidR="00387142" w:rsidRPr="008B6A75" w:rsidRDefault="00387142" w:rsidP="00387142">
            <w:pPr>
              <w:jc w:val="right"/>
              <w:rPr>
                <w:bCs/>
                <w:sz w:val="20"/>
                <w:szCs w:val="20"/>
              </w:rPr>
            </w:pPr>
            <w:r w:rsidRPr="008B6A75">
              <w:rPr>
                <w:bCs/>
                <w:sz w:val="20"/>
                <w:szCs w:val="20"/>
              </w:rPr>
              <w:t>720 500,00</w:t>
            </w:r>
          </w:p>
        </w:tc>
      </w:tr>
      <w:tr w:rsidR="00387142" w:rsidRPr="008B6A75" w14:paraId="28659FF2" w14:textId="77777777" w:rsidTr="00387142">
        <w:trPr>
          <w:trHeight w:val="300"/>
        </w:trPr>
        <w:tc>
          <w:tcPr>
            <w:tcW w:w="272" w:type="dxa"/>
            <w:tcBorders>
              <w:top w:val="nil"/>
              <w:left w:val="nil"/>
              <w:bottom w:val="nil"/>
              <w:right w:val="single" w:sz="4" w:space="0" w:color="auto"/>
            </w:tcBorders>
            <w:shd w:val="clear" w:color="auto" w:fill="auto"/>
            <w:noWrap/>
            <w:vAlign w:val="bottom"/>
            <w:hideMark/>
          </w:tcPr>
          <w:p w14:paraId="26A58791"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374E873D" w14:textId="77777777" w:rsidR="00387142" w:rsidRPr="008B6A75" w:rsidRDefault="00387142" w:rsidP="00387142">
            <w:pPr>
              <w:rPr>
                <w:sz w:val="20"/>
                <w:szCs w:val="20"/>
              </w:rPr>
            </w:pPr>
            <w:r w:rsidRPr="008B6A75">
              <w:rPr>
                <w:sz w:val="20"/>
                <w:szCs w:val="20"/>
              </w:rPr>
              <w:t>Межбюджетные трансферты</w:t>
            </w:r>
          </w:p>
        </w:tc>
        <w:tc>
          <w:tcPr>
            <w:tcW w:w="1559" w:type="dxa"/>
            <w:tcBorders>
              <w:top w:val="nil"/>
              <w:left w:val="single" w:sz="4" w:space="0" w:color="auto"/>
              <w:bottom w:val="single" w:sz="4" w:space="0" w:color="auto"/>
              <w:right w:val="nil"/>
            </w:tcBorders>
            <w:shd w:val="clear" w:color="auto" w:fill="auto"/>
            <w:noWrap/>
            <w:vAlign w:val="center"/>
            <w:hideMark/>
          </w:tcPr>
          <w:p w14:paraId="5AA70686" w14:textId="77777777" w:rsidR="00387142" w:rsidRPr="008B6A75" w:rsidRDefault="00387142" w:rsidP="00387142">
            <w:pPr>
              <w:jc w:val="center"/>
              <w:rPr>
                <w:sz w:val="20"/>
                <w:szCs w:val="20"/>
              </w:rPr>
            </w:pPr>
            <w:r w:rsidRPr="008B6A75">
              <w:rPr>
                <w:sz w:val="20"/>
                <w:szCs w:val="20"/>
              </w:rPr>
              <w:t>08.0.00.L5190</w:t>
            </w:r>
          </w:p>
        </w:tc>
        <w:tc>
          <w:tcPr>
            <w:tcW w:w="850" w:type="dxa"/>
            <w:tcBorders>
              <w:top w:val="nil"/>
              <w:left w:val="single" w:sz="4" w:space="0" w:color="auto"/>
              <w:bottom w:val="single" w:sz="4" w:space="0" w:color="auto"/>
              <w:right w:val="nil"/>
            </w:tcBorders>
            <w:shd w:val="clear" w:color="auto" w:fill="auto"/>
            <w:noWrap/>
            <w:vAlign w:val="center"/>
            <w:hideMark/>
          </w:tcPr>
          <w:p w14:paraId="54B23AF0" w14:textId="77777777" w:rsidR="00387142" w:rsidRPr="008B6A75" w:rsidRDefault="00387142" w:rsidP="00387142">
            <w:pPr>
              <w:jc w:val="center"/>
              <w:rPr>
                <w:sz w:val="20"/>
                <w:szCs w:val="20"/>
              </w:rPr>
            </w:pPr>
            <w:r w:rsidRPr="008B6A75">
              <w:rPr>
                <w:sz w:val="20"/>
                <w:szCs w:val="20"/>
              </w:rPr>
              <w:t>500</w:t>
            </w:r>
          </w:p>
        </w:tc>
        <w:tc>
          <w:tcPr>
            <w:tcW w:w="567" w:type="dxa"/>
            <w:tcBorders>
              <w:top w:val="nil"/>
              <w:left w:val="single" w:sz="4" w:space="0" w:color="auto"/>
              <w:bottom w:val="single" w:sz="4" w:space="0" w:color="auto"/>
              <w:right w:val="nil"/>
            </w:tcBorders>
            <w:shd w:val="clear" w:color="auto" w:fill="auto"/>
            <w:noWrap/>
            <w:vAlign w:val="center"/>
            <w:hideMark/>
          </w:tcPr>
          <w:p w14:paraId="548BF77B" w14:textId="77777777" w:rsidR="00387142" w:rsidRPr="008B6A75" w:rsidRDefault="00387142" w:rsidP="00387142">
            <w:pPr>
              <w:jc w:val="center"/>
              <w:rPr>
                <w:sz w:val="20"/>
                <w:szCs w:val="20"/>
              </w:rPr>
            </w:pPr>
            <w:r w:rsidRPr="008B6A75">
              <w:rPr>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18A211E9" w14:textId="77777777" w:rsidR="00387142" w:rsidRPr="008B6A75" w:rsidRDefault="00387142" w:rsidP="00387142">
            <w:pPr>
              <w:jc w:val="center"/>
              <w:rPr>
                <w:sz w:val="20"/>
                <w:szCs w:val="20"/>
              </w:rPr>
            </w:pPr>
            <w:r w:rsidRPr="008B6A75">
              <w:rPr>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C95E486" w14:textId="77777777" w:rsidR="00387142" w:rsidRPr="008B6A75" w:rsidRDefault="00387142" w:rsidP="00387142">
            <w:pPr>
              <w:jc w:val="right"/>
              <w:rPr>
                <w:sz w:val="20"/>
                <w:szCs w:val="20"/>
              </w:rPr>
            </w:pPr>
            <w:r w:rsidRPr="008B6A75">
              <w:rPr>
                <w:sz w:val="20"/>
                <w:szCs w:val="20"/>
              </w:rPr>
              <w:t>368 795,64</w:t>
            </w:r>
          </w:p>
        </w:tc>
        <w:tc>
          <w:tcPr>
            <w:tcW w:w="851" w:type="dxa"/>
            <w:tcBorders>
              <w:top w:val="nil"/>
              <w:left w:val="single" w:sz="4" w:space="0" w:color="auto"/>
              <w:bottom w:val="single" w:sz="4" w:space="0" w:color="auto"/>
              <w:right w:val="nil"/>
            </w:tcBorders>
            <w:shd w:val="clear" w:color="auto" w:fill="auto"/>
            <w:noWrap/>
            <w:vAlign w:val="center"/>
            <w:hideMark/>
          </w:tcPr>
          <w:p w14:paraId="3D6CAA18" w14:textId="77777777" w:rsidR="00387142" w:rsidRPr="008B6A75" w:rsidRDefault="00387142" w:rsidP="00387142">
            <w:pPr>
              <w:jc w:val="right"/>
              <w:rPr>
                <w:sz w:val="20"/>
                <w:szCs w:val="20"/>
              </w:rPr>
            </w:pPr>
            <w:r w:rsidRPr="008B6A75">
              <w:rPr>
                <w:sz w:val="20"/>
                <w:szCs w:val="20"/>
              </w:rPr>
              <w:t>368 795,64</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0CC62427" w14:textId="77777777" w:rsidR="00387142" w:rsidRPr="008B6A75" w:rsidRDefault="00387142" w:rsidP="00387142">
            <w:pPr>
              <w:jc w:val="right"/>
              <w:rPr>
                <w:sz w:val="20"/>
                <w:szCs w:val="20"/>
              </w:rPr>
            </w:pPr>
            <w:r w:rsidRPr="008B6A75">
              <w:rPr>
                <w:sz w:val="20"/>
                <w:szCs w:val="20"/>
              </w:rPr>
              <w:t>368 795,64</w:t>
            </w:r>
          </w:p>
        </w:tc>
      </w:tr>
      <w:tr w:rsidR="00387142" w:rsidRPr="008B6A75" w14:paraId="41ED18D1" w14:textId="77777777" w:rsidTr="00387142">
        <w:trPr>
          <w:trHeight w:val="300"/>
        </w:trPr>
        <w:tc>
          <w:tcPr>
            <w:tcW w:w="272" w:type="dxa"/>
            <w:tcBorders>
              <w:top w:val="nil"/>
              <w:left w:val="nil"/>
              <w:bottom w:val="nil"/>
              <w:right w:val="single" w:sz="4" w:space="0" w:color="auto"/>
            </w:tcBorders>
            <w:shd w:val="clear" w:color="auto" w:fill="auto"/>
            <w:noWrap/>
            <w:vAlign w:val="bottom"/>
            <w:hideMark/>
          </w:tcPr>
          <w:p w14:paraId="5DB5CE18"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22B05DFD" w14:textId="77777777" w:rsidR="00387142" w:rsidRPr="008B6A75" w:rsidRDefault="00387142" w:rsidP="00387142">
            <w:pPr>
              <w:rPr>
                <w:sz w:val="20"/>
                <w:szCs w:val="20"/>
              </w:rPr>
            </w:pPr>
            <w:r w:rsidRPr="008B6A75">
              <w:rPr>
                <w:sz w:val="20"/>
                <w:szCs w:val="20"/>
              </w:rPr>
              <w:t>Субсидии</w:t>
            </w:r>
          </w:p>
        </w:tc>
        <w:tc>
          <w:tcPr>
            <w:tcW w:w="1559" w:type="dxa"/>
            <w:tcBorders>
              <w:top w:val="nil"/>
              <w:left w:val="single" w:sz="4" w:space="0" w:color="auto"/>
              <w:bottom w:val="single" w:sz="4" w:space="0" w:color="auto"/>
              <w:right w:val="nil"/>
            </w:tcBorders>
            <w:shd w:val="clear" w:color="auto" w:fill="auto"/>
            <w:noWrap/>
            <w:vAlign w:val="center"/>
            <w:hideMark/>
          </w:tcPr>
          <w:p w14:paraId="631282A2" w14:textId="77777777" w:rsidR="00387142" w:rsidRPr="008B6A75" w:rsidRDefault="00387142" w:rsidP="00387142">
            <w:pPr>
              <w:jc w:val="center"/>
              <w:rPr>
                <w:sz w:val="20"/>
                <w:szCs w:val="20"/>
              </w:rPr>
            </w:pPr>
            <w:r w:rsidRPr="008B6A75">
              <w:rPr>
                <w:sz w:val="20"/>
                <w:szCs w:val="20"/>
              </w:rPr>
              <w:t>08.0.00.L5190</w:t>
            </w:r>
          </w:p>
        </w:tc>
        <w:tc>
          <w:tcPr>
            <w:tcW w:w="850" w:type="dxa"/>
            <w:tcBorders>
              <w:top w:val="nil"/>
              <w:left w:val="single" w:sz="4" w:space="0" w:color="auto"/>
              <w:bottom w:val="single" w:sz="4" w:space="0" w:color="auto"/>
              <w:right w:val="nil"/>
            </w:tcBorders>
            <w:shd w:val="clear" w:color="auto" w:fill="auto"/>
            <w:noWrap/>
            <w:vAlign w:val="center"/>
            <w:hideMark/>
          </w:tcPr>
          <w:p w14:paraId="582A64E1" w14:textId="77777777" w:rsidR="00387142" w:rsidRPr="008B6A75" w:rsidRDefault="00387142" w:rsidP="00387142">
            <w:pPr>
              <w:jc w:val="center"/>
              <w:rPr>
                <w:sz w:val="20"/>
                <w:szCs w:val="20"/>
              </w:rPr>
            </w:pPr>
            <w:r w:rsidRPr="008B6A75">
              <w:rPr>
                <w:sz w:val="20"/>
                <w:szCs w:val="20"/>
              </w:rPr>
              <w:t>520</w:t>
            </w:r>
          </w:p>
        </w:tc>
        <w:tc>
          <w:tcPr>
            <w:tcW w:w="567" w:type="dxa"/>
            <w:tcBorders>
              <w:top w:val="nil"/>
              <w:left w:val="single" w:sz="4" w:space="0" w:color="auto"/>
              <w:bottom w:val="single" w:sz="4" w:space="0" w:color="auto"/>
              <w:right w:val="nil"/>
            </w:tcBorders>
            <w:shd w:val="clear" w:color="auto" w:fill="auto"/>
            <w:noWrap/>
            <w:vAlign w:val="center"/>
            <w:hideMark/>
          </w:tcPr>
          <w:p w14:paraId="6D6CF862" w14:textId="77777777" w:rsidR="00387142" w:rsidRPr="008B6A75" w:rsidRDefault="00387142" w:rsidP="00387142">
            <w:pPr>
              <w:jc w:val="center"/>
              <w:rPr>
                <w:sz w:val="20"/>
                <w:szCs w:val="20"/>
              </w:rPr>
            </w:pPr>
            <w:r w:rsidRPr="008B6A75">
              <w:rPr>
                <w:sz w:val="20"/>
                <w:szCs w:val="20"/>
              </w:rPr>
              <w:t>08</w:t>
            </w:r>
          </w:p>
        </w:tc>
        <w:tc>
          <w:tcPr>
            <w:tcW w:w="567" w:type="dxa"/>
            <w:tcBorders>
              <w:top w:val="nil"/>
              <w:left w:val="single" w:sz="4" w:space="0" w:color="auto"/>
              <w:bottom w:val="single" w:sz="4" w:space="0" w:color="auto"/>
              <w:right w:val="nil"/>
            </w:tcBorders>
            <w:shd w:val="clear" w:color="auto" w:fill="auto"/>
            <w:noWrap/>
            <w:vAlign w:val="center"/>
            <w:hideMark/>
          </w:tcPr>
          <w:p w14:paraId="0881AFFB" w14:textId="77777777" w:rsidR="00387142" w:rsidRPr="008B6A75" w:rsidRDefault="00387142" w:rsidP="00387142">
            <w:pPr>
              <w:jc w:val="center"/>
              <w:rPr>
                <w:sz w:val="20"/>
                <w:szCs w:val="20"/>
              </w:rPr>
            </w:pPr>
            <w:r w:rsidRPr="008B6A75">
              <w:rPr>
                <w:sz w:val="20"/>
                <w:szCs w:val="20"/>
              </w:rPr>
              <w:t>01</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248E4B5" w14:textId="77777777" w:rsidR="00387142" w:rsidRPr="008B6A75" w:rsidRDefault="00387142" w:rsidP="00387142">
            <w:pPr>
              <w:jc w:val="right"/>
              <w:rPr>
                <w:sz w:val="20"/>
                <w:szCs w:val="20"/>
              </w:rPr>
            </w:pPr>
            <w:r w:rsidRPr="008B6A75">
              <w:rPr>
                <w:sz w:val="20"/>
                <w:szCs w:val="20"/>
              </w:rPr>
              <w:t>368 795,64</w:t>
            </w:r>
          </w:p>
        </w:tc>
        <w:tc>
          <w:tcPr>
            <w:tcW w:w="851" w:type="dxa"/>
            <w:tcBorders>
              <w:top w:val="nil"/>
              <w:left w:val="single" w:sz="4" w:space="0" w:color="auto"/>
              <w:bottom w:val="single" w:sz="4" w:space="0" w:color="auto"/>
              <w:right w:val="nil"/>
            </w:tcBorders>
            <w:shd w:val="clear" w:color="auto" w:fill="auto"/>
            <w:noWrap/>
            <w:vAlign w:val="center"/>
            <w:hideMark/>
          </w:tcPr>
          <w:p w14:paraId="717ADA41" w14:textId="77777777" w:rsidR="00387142" w:rsidRPr="008B6A75" w:rsidRDefault="00387142" w:rsidP="00387142">
            <w:pPr>
              <w:jc w:val="right"/>
              <w:rPr>
                <w:sz w:val="20"/>
                <w:szCs w:val="20"/>
              </w:rPr>
            </w:pPr>
            <w:r w:rsidRPr="008B6A75">
              <w:rPr>
                <w:sz w:val="20"/>
                <w:szCs w:val="20"/>
              </w:rPr>
              <w:t>368 795,64</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1113DC0A" w14:textId="77777777" w:rsidR="00387142" w:rsidRPr="008B6A75" w:rsidRDefault="00387142" w:rsidP="00387142">
            <w:pPr>
              <w:jc w:val="right"/>
              <w:rPr>
                <w:sz w:val="20"/>
                <w:szCs w:val="20"/>
              </w:rPr>
            </w:pPr>
            <w:r w:rsidRPr="008B6A75">
              <w:rPr>
                <w:sz w:val="20"/>
                <w:szCs w:val="20"/>
              </w:rPr>
              <w:t>368 795,64</w:t>
            </w:r>
          </w:p>
        </w:tc>
      </w:tr>
      <w:tr w:rsidR="00387142" w:rsidRPr="008B6A75" w14:paraId="1B336CCF" w14:textId="77777777" w:rsidTr="00387142">
        <w:trPr>
          <w:trHeight w:val="870"/>
        </w:trPr>
        <w:tc>
          <w:tcPr>
            <w:tcW w:w="272" w:type="dxa"/>
            <w:tcBorders>
              <w:top w:val="nil"/>
              <w:left w:val="nil"/>
              <w:bottom w:val="nil"/>
              <w:right w:val="single" w:sz="4" w:space="0" w:color="auto"/>
            </w:tcBorders>
            <w:shd w:val="clear" w:color="auto" w:fill="auto"/>
            <w:noWrap/>
            <w:vAlign w:val="bottom"/>
            <w:hideMark/>
          </w:tcPr>
          <w:p w14:paraId="3FDDD1B5"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3BC2E70B" w14:textId="77777777" w:rsidR="00387142" w:rsidRPr="008B6A75" w:rsidRDefault="00387142" w:rsidP="00387142">
            <w:pPr>
              <w:rPr>
                <w:sz w:val="20"/>
                <w:szCs w:val="20"/>
              </w:rPr>
            </w:pPr>
            <w:r w:rsidRPr="008B6A75">
              <w:rPr>
                <w:sz w:val="20"/>
                <w:szCs w:val="20"/>
              </w:rPr>
              <w:t>Предоставление субсидий бюджетным, автономным учреждениям и иным некоммерческим организациям</w:t>
            </w:r>
          </w:p>
        </w:tc>
        <w:tc>
          <w:tcPr>
            <w:tcW w:w="1559" w:type="dxa"/>
            <w:tcBorders>
              <w:top w:val="nil"/>
              <w:left w:val="single" w:sz="4" w:space="0" w:color="auto"/>
              <w:bottom w:val="single" w:sz="4" w:space="0" w:color="auto"/>
              <w:right w:val="nil"/>
            </w:tcBorders>
            <w:shd w:val="clear" w:color="auto" w:fill="auto"/>
            <w:noWrap/>
            <w:vAlign w:val="center"/>
            <w:hideMark/>
          </w:tcPr>
          <w:p w14:paraId="3F26661D" w14:textId="77777777" w:rsidR="00387142" w:rsidRPr="008B6A75" w:rsidRDefault="00387142" w:rsidP="00387142">
            <w:pPr>
              <w:jc w:val="center"/>
              <w:rPr>
                <w:sz w:val="20"/>
                <w:szCs w:val="20"/>
              </w:rPr>
            </w:pPr>
            <w:r w:rsidRPr="008B6A75">
              <w:rPr>
                <w:sz w:val="20"/>
                <w:szCs w:val="20"/>
              </w:rPr>
              <w:t>08.0.00.L5190</w:t>
            </w:r>
          </w:p>
        </w:tc>
        <w:tc>
          <w:tcPr>
            <w:tcW w:w="850" w:type="dxa"/>
            <w:tcBorders>
              <w:top w:val="nil"/>
              <w:left w:val="single" w:sz="4" w:space="0" w:color="auto"/>
              <w:bottom w:val="single" w:sz="4" w:space="0" w:color="auto"/>
              <w:right w:val="nil"/>
            </w:tcBorders>
            <w:shd w:val="clear" w:color="auto" w:fill="auto"/>
            <w:noWrap/>
            <w:vAlign w:val="center"/>
            <w:hideMark/>
          </w:tcPr>
          <w:p w14:paraId="3F284D90" w14:textId="77777777" w:rsidR="00387142" w:rsidRPr="008B6A75" w:rsidRDefault="00387142" w:rsidP="00387142">
            <w:pPr>
              <w:jc w:val="center"/>
              <w:rPr>
                <w:sz w:val="20"/>
                <w:szCs w:val="20"/>
              </w:rPr>
            </w:pPr>
            <w:r w:rsidRPr="008B6A75">
              <w:rPr>
                <w:sz w:val="20"/>
                <w:szCs w:val="20"/>
              </w:rPr>
              <w:t>600</w:t>
            </w:r>
          </w:p>
        </w:tc>
        <w:tc>
          <w:tcPr>
            <w:tcW w:w="567" w:type="dxa"/>
            <w:tcBorders>
              <w:top w:val="nil"/>
              <w:left w:val="single" w:sz="4" w:space="0" w:color="auto"/>
              <w:bottom w:val="single" w:sz="4" w:space="0" w:color="auto"/>
              <w:right w:val="nil"/>
            </w:tcBorders>
            <w:shd w:val="clear" w:color="auto" w:fill="auto"/>
            <w:noWrap/>
            <w:vAlign w:val="center"/>
            <w:hideMark/>
          </w:tcPr>
          <w:p w14:paraId="08345DCA" w14:textId="77777777" w:rsidR="00387142" w:rsidRPr="008B6A75" w:rsidRDefault="00387142" w:rsidP="00387142">
            <w:pPr>
              <w:jc w:val="center"/>
              <w:rPr>
                <w:sz w:val="20"/>
                <w:szCs w:val="20"/>
              </w:rPr>
            </w:pPr>
            <w:r w:rsidRPr="008B6A75">
              <w:rPr>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5BFEC501" w14:textId="77777777" w:rsidR="00387142" w:rsidRPr="008B6A75" w:rsidRDefault="00387142" w:rsidP="00387142">
            <w:pPr>
              <w:jc w:val="center"/>
              <w:rPr>
                <w:sz w:val="20"/>
                <w:szCs w:val="20"/>
              </w:rPr>
            </w:pPr>
            <w:r w:rsidRPr="008B6A75">
              <w:rPr>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7D8A129" w14:textId="77777777" w:rsidR="00387142" w:rsidRPr="008B6A75" w:rsidRDefault="00387142" w:rsidP="00387142">
            <w:pPr>
              <w:jc w:val="right"/>
              <w:rPr>
                <w:sz w:val="20"/>
                <w:szCs w:val="20"/>
              </w:rPr>
            </w:pPr>
            <w:r w:rsidRPr="008B6A75">
              <w:rPr>
                <w:sz w:val="20"/>
                <w:szCs w:val="20"/>
              </w:rPr>
              <w:t>358 882,00</w:t>
            </w:r>
          </w:p>
        </w:tc>
        <w:tc>
          <w:tcPr>
            <w:tcW w:w="851" w:type="dxa"/>
            <w:tcBorders>
              <w:top w:val="nil"/>
              <w:left w:val="single" w:sz="4" w:space="0" w:color="auto"/>
              <w:bottom w:val="single" w:sz="4" w:space="0" w:color="auto"/>
              <w:right w:val="nil"/>
            </w:tcBorders>
            <w:shd w:val="clear" w:color="auto" w:fill="auto"/>
            <w:noWrap/>
            <w:vAlign w:val="center"/>
            <w:hideMark/>
          </w:tcPr>
          <w:p w14:paraId="2CAB8E04" w14:textId="77777777" w:rsidR="00387142" w:rsidRPr="008B6A75" w:rsidRDefault="00387142" w:rsidP="00387142">
            <w:pPr>
              <w:jc w:val="right"/>
              <w:rPr>
                <w:sz w:val="20"/>
                <w:szCs w:val="20"/>
              </w:rPr>
            </w:pPr>
            <w:r w:rsidRPr="008B6A75">
              <w:rPr>
                <w:sz w:val="20"/>
                <w:szCs w:val="20"/>
              </w:rPr>
              <w:t>351 704,36</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4C740D6A" w14:textId="77777777" w:rsidR="00387142" w:rsidRPr="008B6A75" w:rsidRDefault="00387142" w:rsidP="00387142">
            <w:pPr>
              <w:jc w:val="right"/>
              <w:rPr>
                <w:sz w:val="20"/>
                <w:szCs w:val="20"/>
              </w:rPr>
            </w:pPr>
            <w:r w:rsidRPr="008B6A75">
              <w:rPr>
                <w:sz w:val="20"/>
                <w:szCs w:val="20"/>
              </w:rPr>
              <w:t>351 704,36</w:t>
            </w:r>
          </w:p>
        </w:tc>
      </w:tr>
      <w:tr w:rsidR="00387142" w:rsidRPr="008B6A75" w14:paraId="7C82878B" w14:textId="77777777" w:rsidTr="00387142">
        <w:trPr>
          <w:trHeight w:val="300"/>
        </w:trPr>
        <w:tc>
          <w:tcPr>
            <w:tcW w:w="272" w:type="dxa"/>
            <w:tcBorders>
              <w:top w:val="nil"/>
              <w:left w:val="nil"/>
              <w:bottom w:val="nil"/>
              <w:right w:val="single" w:sz="4" w:space="0" w:color="auto"/>
            </w:tcBorders>
            <w:shd w:val="clear" w:color="auto" w:fill="auto"/>
            <w:noWrap/>
            <w:vAlign w:val="bottom"/>
            <w:hideMark/>
          </w:tcPr>
          <w:p w14:paraId="1EE1F7C0"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5DEA3D37" w14:textId="77777777" w:rsidR="00387142" w:rsidRPr="008B6A75" w:rsidRDefault="00387142" w:rsidP="00387142">
            <w:pPr>
              <w:rPr>
                <w:sz w:val="20"/>
                <w:szCs w:val="20"/>
              </w:rPr>
            </w:pPr>
            <w:r w:rsidRPr="008B6A75">
              <w:rPr>
                <w:sz w:val="20"/>
                <w:szCs w:val="20"/>
              </w:rPr>
              <w:t>Субсидии бюджетным учреждениям</w:t>
            </w:r>
          </w:p>
        </w:tc>
        <w:tc>
          <w:tcPr>
            <w:tcW w:w="1559" w:type="dxa"/>
            <w:tcBorders>
              <w:top w:val="nil"/>
              <w:left w:val="single" w:sz="4" w:space="0" w:color="auto"/>
              <w:bottom w:val="single" w:sz="4" w:space="0" w:color="auto"/>
              <w:right w:val="nil"/>
            </w:tcBorders>
            <w:shd w:val="clear" w:color="auto" w:fill="auto"/>
            <w:noWrap/>
            <w:vAlign w:val="center"/>
            <w:hideMark/>
          </w:tcPr>
          <w:p w14:paraId="7E3B5738" w14:textId="77777777" w:rsidR="00387142" w:rsidRPr="008B6A75" w:rsidRDefault="00387142" w:rsidP="00387142">
            <w:pPr>
              <w:jc w:val="center"/>
              <w:rPr>
                <w:sz w:val="20"/>
                <w:szCs w:val="20"/>
              </w:rPr>
            </w:pPr>
            <w:r w:rsidRPr="008B6A75">
              <w:rPr>
                <w:sz w:val="20"/>
                <w:szCs w:val="20"/>
              </w:rPr>
              <w:t>08.0.00.L5190</w:t>
            </w:r>
          </w:p>
        </w:tc>
        <w:tc>
          <w:tcPr>
            <w:tcW w:w="850" w:type="dxa"/>
            <w:tcBorders>
              <w:top w:val="nil"/>
              <w:left w:val="single" w:sz="4" w:space="0" w:color="auto"/>
              <w:bottom w:val="single" w:sz="4" w:space="0" w:color="auto"/>
              <w:right w:val="nil"/>
            </w:tcBorders>
            <w:shd w:val="clear" w:color="auto" w:fill="auto"/>
            <w:noWrap/>
            <w:vAlign w:val="center"/>
            <w:hideMark/>
          </w:tcPr>
          <w:p w14:paraId="458E034B" w14:textId="77777777" w:rsidR="00387142" w:rsidRPr="008B6A75" w:rsidRDefault="00387142" w:rsidP="00387142">
            <w:pPr>
              <w:jc w:val="center"/>
              <w:rPr>
                <w:sz w:val="20"/>
                <w:szCs w:val="20"/>
              </w:rPr>
            </w:pPr>
            <w:r w:rsidRPr="008B6A75">
              <w:rPr>
                <w:sz w:val="20"/>
                <w:szCs w:val="20"/>
              </w:rPr>
              <w:t>610</w:t>
            </w:r>
          </w:p>
        </w:tc>
        <w:tc>
          <w:tcPr>
            <w:tcW w:w="567" w:type="dxa"/>
            <w:tcBorders>
              <w:top w:val="nil"/>
              <w:left w:val="single" w:sz="4" w:space="0" w:color="auto"/>
              <w:bottom w:val="single" w:sz="4" w:space="0" w:color="auto"/>
              <w:right w:val="nil"/>
            </w:tcBorders>
            <w:shd w:val="clear" w:color="auto" w:fill="auto"/>
            <w:noWrap/>
            <w:vAlign w:val="center"/>
            <w:hideMark/>
          </w:tcPr>
          <w:p w14:paraId="74212923" w14:textId="77777777" w:rsidR="00387142" w:rsidRPr="008B6A75" w:rsidRDefault="00387142" w:rsidP="00387142">
            <w:pPr>
              <w:jc w:val="center"/>
              <w:rPr>
                <w:sz w:val="20"/>
                <w:szCs w:val="20"/>
              </w:rPr>
            </w:pPr>
            <w:r w:rsidRPr="008B6A75">
              <w:rPr>
                <w:sz w:val="20"/>
                <w:szCs w:val="20"/>
              </w:rPr>
              <w:t>08</w:t>
            </w:r>
          </w:p>
        </w:tc>
        <w:tc>
          <w:tcPr>
            <w:tcW w:w="567" w:type="dxa"/>
            <w:tcBorders>
              <w:top w:val="nil"/>
              <w:left w:val="single" w:sz="4" w:space="0" w:color="auto"/>
              <w:bottom w:val="single" w:sz="4" w:space="0" w:color="auto"/>
              <w:right w:val="nil"/>
            </w:tcBorders>
            <w:shd w:val="clear" w:color="auto" w:fill="auto"/>
            <w:noWrap/>
            <w:vAlign w:val="center"/>
            <w:hideMark/>
          </w:tcPr>
          <w:p w14:paraId="37341C33" w14:textId="77777777" w:rsidR="00387142" w:rsidRPr="008B6A75" w:rsidRDefault="00387142" w:rsidP="00387142">
            <w:pPr>
              <w:jc w:val="center"/>
              <w:rPr>
                <w:sz w:val="20"/>
                <w:szCs w:val="20"/>
              </w:rPr>
            </w:pPr>
            <w:r w:rsidRPr="008B6A75">
              <w:rPr>
                <w:sz w:val="20"/>
                <w:szCs w:val="20"/>
              </w:rPr>
              <w:t>01</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52AAD5D" w14:textId="77777777" w:rsidR="00387142" w:rsidRPr="008B6A75" w:rsidRDefault="00387142" w:rsidP="00387142">
            <w:pPr>
              <w:jc w:val="right"/>
              <w:rPr>
                <w:sz w:val="20"/>
                <w:szCs w:val="20"/>
              </w:rPr>
            </w:pPr>
            <w:r w:rsidRPr="008B6A75">
              <w:rPr>
                <w:sz w:val="20"/>
                <w:szCs w:val="20"/>
              </w:rPr>
              <w:t>358 882,00</w:t>
            </w:r>
          </w:p>
        </w:tc>
        <w:tc>
          <w:tcPr>
            <w:tcW w:w="851" w:type="dxa"/>
            <w:tcBorders>
              <w:top w:val="nil"/>
              <w:left w:val="single" w:sz="4" w:space="0" w:color="auto"/>
              <w:bottom w:val="single" w:sz="4" w:space="0" w:color="auto"/>
              <w:right w:val="nil"/>
            </w:tcBorders>
            <w:shd w:val="clear" w:color="auto" w:fill="auto"/>
            <w:noWrap/>
            <w:vAlign w:val="center"/>
            <w:hideMark/>
          </w:tcPr>
          <w:p w14:paraId="3149A4A6" w14:textId="77777777" w:rsidR="00387142" w:rsidRPr="008B6A75" w:rsidRDefault="00387142" w:rsidP="00387142">
            <w:pPr>
              <w:jc w:val="right"/>
              <w:rPr>
                <w:sz w:val="20"/>
                <w:szCs w:val="20"/>
              </w:rPr>
            </w:pPr>
            <w:r w:rsidRPr="008B6A75">
              <w:rPr>
                <w:sz w:val="20"/>
                <w:szCs w:val="20"/>
              </w:rPr>
              <w:t>351 704,36</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713E424D" w14:textId="77777777" w:rsidR="00387142" w:rsidRPr="008B6A75" w:rsidRDefault="00387142" w:rsidP="00387142">
            <w:pPr>
              <w:jc w:val="right"/>
              <w:rPr>
                <w:sz w:val="20"/>
                <w:szCs w:val="20"/>
              </w:rPr>
            </w:pPr>
            <w:r w:rsidRPr="008B6A75">
              <w:rPr>
                <w:sz w:val="20"/>
                <w:szCs w:val="20"/>
              </w:rPr>
              <w:t>351 704,36</w:t>
            </w:r>
          </w:p>
        </w:tc>
      </w:tr>
      <w:tr w:rsidR="00387142" w:rsidRPr="008B6A75" w14:paraId="770A1391" w14:textId="77777777" w:rsidTr="00387142">
        <w:trPr>
          <w:trHeight w:val="2010"/>
        </w:trPr>
        <w:tc>
          <w:tcPr>
            <w:tcW w:w="272" w:type="dxa"/>
            <w:tcBorders>
              <w:top w:val="nil"/>
              <w:left w:val="nil"/>
              <w:bottom w:val="nil"/>
              <w:right w:val="single" w:sz="4" w:space="0" w:color="auto"/>
            </w:tcBorders>
            <w:shd w:val="clear" w:color="auto" w:fill="auto"/>
            <w:noWrap/>
            <w:vAlign w:val="bottom"/>
            <w:hideMark/>
          </w:tcPr>
          <w:p w14:paraId="3696DE33"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54D72A5C" w14:textId="77777777" w:rsidR="00387142" w:rsidRPr="008B6A75" w:rsidRDefault="00387142" w:rsidP="00387142">
            <w:pPr>
              <w:rPr>
                <w:bCs/>
                <w:sz w:val="20"/>
                <w:szCs w:val="20"/>
              </w:rPr>
            </w:pPr>
            <w:proofErr w:type="spellStart"/>
            <w:r w:rsidRPr="008B6A75">
              <w:rPr>
                <w:bCs/>
                <w:sz w:val="20"/>
                <w:szCs w:val="20"/>
              </w:rPr>
              <w:t>Софинансирование</w:t>
            </w:r>
            <w:proofErr w:type="spellEnd"/>
            <w:r w:rsidRPr="008B6A75">
              <w:rPr>
                <w:bCs/>
                <w:sz w:val="20"/>
                <w:szCs w:val="20"/>
              </w:rPr>
              <w:t xml:space="preserve"> местного бюджета на реализацию мероприятий по комплектованию книжных фондов муниципальных общедоступных библиотек Новосибирской области государственной программы Новосибирской области «Культура Новосибирской области»</w:t>
            </w:r>
          </w:p>
        </w:tc>
        <w:tc>
          <w:tcPr>
            <w:tcW w:w="1559" w:type="dxa"/>
            <w:tcBorders>
              <w:top w:val="nil"/>
              <w:left w:val="single" w:sz="4" w:space="0" w:color="auto"/>
              <w:bottom w:val="single" w:sz="4" w:space="0" w:color="auto"/>
              <w:right w:val="nil"/>
            </w:tcBorders>
            <w:shd w:val="clear" w:color="auto" w:fill="auto"/>
            <w:noWrap/>
            <w:vAlign w:val="center"/>
            <w:hideMark/>
          </w:tcPr>
          <w:p w14:paraId="5D80F179" w14:textId="77777777" w:rsidR="00387142" w:rsidRPr="008B6A75" w:rsidRDefault="00387142" w:rsidP="00387142">
            <w:pPr>
              <w:jc w:val="center"/>
              <w:rPr>
                <w:bCs/>
                <w:sz w:val="20"/>
                <w:szCs w:val="20"/>
              </w:rPr>
            </w:pPr>
            <w:r w:rsidRPr="008B6A75">
              <w:rPr>
                <w:bCs/>
                <w:sz w:val="20"/>
                <w:szCs w:val="20"/>
              </w:rPr>
              <w:t>08.0.00.S0770</w:t>
            </w:r>
          </w:p>
        </w:tc>
        <w:tc>
          <w:tcPr>
            <w:tcW w:w="850" w:type="dxa"/>
            <w:tcBorders>
              <w:top w:val="nil"/>
              <w:left w:val="single" w:sz="4" w:space="0" w:color="auto"/>
              <w:bottom w:val="single" w:sz="4" w:space="0" w:color="auto"/>
              <w:right w:val="nil"/>
            </w:tcBorders>
            <w:shd w:val="clear" w:color="auto" w:fill="auto"/>
            <w:noWrap/>
            <w:vAlign w:val="center"/>
            <w:hideMark/>
          </w:tcPr>
          <w:p w14:paraId="36BC97EF" w14:textId="77777777" w:rsidR="00387142" w:rsidRPr="008B6A75" w:rsidRDefault="00387142" w:rsidP="00387142">
            <w:pPr>
              <w:jc w:val="center"/>
              <w:rPr>
                <w:bCs/>
                <w:sz w:val="20"/>
                <w:szCs w:val="20"/>
              </w:rPr>
            </w:pPr>
            <w:r w:rsidRPr="008B6A75">
              <w:rPr>
                <w:bCs/>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7C1D71A7" w14:textId="77777777" w:rsidR="00387142" w:rsidRPr="008B6A75" w:rsidRDefault="00387142" w:rsidP="00387142">
            <w:pPr>
              <w:jc w:val="center"/>
              <w:rPr>
                <w:bCs/>
                <w:sz w:val="20"/>
                <w:szCs w:val="20"/>
              </w:rPr>
            </w:pPr>
            <w:r w:rsidRPr="008B6A75">
              <w:rPr>
                <w:bCs/>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109E1EF6" w14:textId="77777777" w:rsidR="00387142" w:rsidRPr="008B6A75" w:rsidRDefault="00387142" w:rsidP="00387142">
            <w:pPr>
              <w:jc w:val="center"/>
              <w:rPr>
                <w:bCs/>
                <w:sz w:val="20"/>
                <w:szCs w:val="20"/>
              </w:rPr>
            </w:pPr>
            <w:r w:rsidRPr="008B6A75">
              <w:rPr>
                <w:bCs/>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D16909F" w14:textId="77777777" w:rsidR="00387142" w:rsidRPr="008B6A75" w:rsidRDefault="00387142" w:rsidP="00387142">
            <w:pPr>
              <w:jc w:val="right"/>
              <w:rPr>
                <w:bCs/>
                <w:sz w:val="20"/>
                <w:szCs w:val="20"/>
              </w:rPr>
            </w:pPr>
            <w:r w:rsidRPr="008B6A75">
              <w:rPr>
                <w:bCs/>
                <w:sz w:val="20"/>
                <w:szCs w:val="20"/>
              </w:rPr>
              <w:t>8 146,85</w:t>
            </w:r>
          </w:p>
        </w:tc>
        <w:tc>
          <w:tcPr>
            <w:tcW w:w="851" w:type="dxa"/>
            <w:tcBorders>
              <w:top w:val="nil"/>
              <w:left w:val="single" w:sz="4" w:space="0" w:color="auto"/>
              <w:bottom w:val="single" w:sz="4" w:space="0" w:color="auto"/>
              <w:right w:val="nil"/>
            </w:tcBorders>
            <w:shd w:val="clear" w:color="auto" w:fill="auto"/>
            <w:noWrap/>
            <w:vAlign w:val="center"/>
            <w:hideMark/>
          </w:tcPr>
          <w:p w14:paraId="05B6E1A8" w14:textId="77777777" w:rsidR="00387142" w:rsidRPr="008B6A75" w:rsidRDefault="00387142" w:rsidP="00387142">
            <w:pPr>
              <w:jc w:val="right"/>
              <w:rPr>
                <w:bCs/>
                <w:sz w:val="20"/>
                <w:szCs w:val="20"/>
              </w:rPr>
            </w:pPr>
            <w:r w:rsidRPr="008B6A75">
              <w:rPr>
                <w:bCs/>
                <w:sz w:val="20"/>
                <w:szCs w:val="20"/>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53FB9EDB" w14:textId="77777777" w:rsidR="00387142" w:rsidRPr="008B6A75" w:rsidRDefault="00387142" w:rsidP="00387142">
            <w:pPr>
              <w:jc w:val="right"/>
              <w:rPr>
                <w:bCs/>
                <w:sz w:val="20"/>
                <w:szCs w:val="20"/>
              </w:rPr>
            </w:pPr>
            <w:r w:rsidRPr="008B6A75">
              <w:rPr>
                <w:bCs/>
                <w:sz w:val="20"/>
                <w:szCs w:val="20"/>
              </w:rPr>
              <w:t>0,00</w:t>
            </w:r>
          </w:p>
        </w:tc>
      </w:tr>
      <w:tr w:rsidR="00387142" w:rsidRPr="008B6A75" w14:paraId="06063AA7" w14:textId="77777777" w:rsidTr="00387142">
        <w:trPr>
          <w:trHeight w:val="870"/>
        </w:trPr>
        <w:tc>
          <w:tcPr>
            <w:tcW w:w="272" w:type="dxa"/>
            <w:tcBorders>
              <w:top w:val="nil"/>
              <w:left w:val="nil"/>
              <w:bottom w:val="nil"/>
              <w:right w:val="single" w:sz="4" w:space="0" w:color="auto"/>
            </w:tcBorders>
            <w:shd w:val="clear" w:color="auto" w:fill="auto"/>
            <w:noWrap/>
            <w:vAlign w:val="bottom"/>
            <w:hideMark/>
          </w:tcPr>
          <w:p w14:paraId="589DA3FA" w14:textId="77777777" w:rsidR="00387142" w:rsidRPr="008B6A75" w:rsidRDefault="00387142" w:rsidP="00387142">
            <w:pPr>
              <w:rPr>
                <w:sz w:val="20"/>
                <w:szCs w:val="20"/>
              </w:rPr>
            </w:pPr>
            <w:r w:rsidRPr="008B6A75">
              <w:rPr>
                <w:sz w:val="20"/>
                <w:szCs w:val="20"/>
              </w:rPr>
              <w:lastRenderedPageBreak/>
              <w:t> </w:t>
            </w:r>
          </w:p>
        </w:tc>
        <w:tc>
          <w:tcPr>
            <w:tcW w:w="3415" w:type="dxa"/>
            <w:tcBorders>
              <w:top w:val="nil"/>
              <w:left w:val="single" w:sz="4" w:space="0" w:color="auto"/>
              <w:bottom w:val="single" w:sz="4" w:space="0" w:color="auto"/>
              <w:right w:val="nil"/>
            </w:tcBorders>
            <w:shd w:val="clear" w:color="auto" w:fill="auto"/>
            <w:vAlign w:val="center"/>
            <w:hideMark/>
          </w:tcPr>
          <w:p w14:paraId="32A882DD" w14:textId="77777777" w:rsidR="00387142" w:rsidRPr="008B6A75" w:rsidRDefault="00387142" w:rsidP="00387142">
            <w:pPr>
              <w:rPr>
                <w:sz w:val="20"/>
                <w:szCs w:val="20"/>
              </w:rPr>
            </w:pPr>
            <w:r w:rsidRPr="008B6A75">
              <w:rPr>
                <w:sz w:val="20"/>
                <w:szCs w:val="20"/>
              </w:rPr>
              <w:t>Предоставление субсидий бюджетным, автономным учреждениям и иным некоммерческим организациям</w:t>
            </w:r>
          </w:p>
        </w:tc>
        <w:tc>
          <w:tcPr>
            <w:tcW w:w="1559" w:type="dxa"/>
            <w:tcBorders>
              <w:top w:val="nil"/>
              <w:left w:val="single" w:sz="4" w:space="0" w:color="auto"/>
              <w:bottom w:val="single" w:sz="4" w:space="0" w:color="auto"/>
              <w:right w:val="nil"/>
            </w:tcBorders>
            <w:shd w:val="clear" w:color="auto" w:fill="auto"/>
            <w:noWrap/>
            <w:vAlign w:val="center"/>
            <w:hideMark/>
          </w:tcPr>
          <w:p w14:paraId="05B13859" w14:textId="77777777" w:rsidR="00387142" w:rsidRPr="008B6A75" w:rsidRDefault="00387142" w:rsidP="00387142">
            <w:pPr>
              <w:jc w:val="center"/>
              <w:rPr>
                <w:sz w:val="20"/>
                <w:szCs w:val="20"/>
              </w:rPr>
            </w:pPr>
            <w:r w:rsidRPr="008B6A75">
              <w:rPr>
                <w:sz w:val="20"/>
                <w:szCs w:val="20"/>
              </w:rPr>
              <w:t>08.0.00.S0770</w:t>
            </w:r>
          </w:p>
        </w:tc>
        <w:tc>
          <w:tcPr>
            <w:tcW w:w="850" w:type="dxa"/>
            <w:tcBorders>
              <w:top w:val="nil"/>
              <w:left w:val="single" w:sz="4" w:space="0" w:color="auto"/>
              <w:bottom w:val="single" w:sz="4" w:space="0" w:color="auto"/>
              <w:right w:val="nil"/>
            </w:tcBorders>
            <w:shd w:val="clear" w:color="auto" w:fill="auto"/>
            <w:noWrap/>
            <w:vAlign w:val="center"/>
            <w:hideMark/>
          </w:tcPr>
          <w:p w14:paraId="7ACB5C8F" w14:textId="77777777" w:rsidR="00387142" w:rsidRPr="008B6A75" w:rsidRDefault="00387142" w:rsidP="00387142">
            <w:pPr>
              <w:jc w:val="center"/>
              <w:rPr>
                <w:sz w:val="20"/>
                <w:szCs w:val="20"/>
              </w:rPr>
            </w:pPr>
            <w:r w:rsidRPr="008B6A75">
              <w:rPr>
                <w:sz w:val="20"/>
                <w:szCs w:val="20"/>
              </w:rPr>
              <w:t>600</w:t>
            </w:r>
          </w:p>
        </w:tc>
        <w:tc>
          <w:tcPr>
            <w:tcW w:w="567" w:type="dxa"/>
            <w:tcBorders>
              <w:top w:val="nil"/>
              <w:left w:val="single" w:sz="4" w:space="0" w:color="auto"/>
              <w:bottom w:val="single" w:sz="4" w:space="0" w:color="auto"/>
              <w:right w:val="nil"/>
            </w:tcBorders>
            <w:shd w:val="clear" w:color="auto" w:fill="auto"/>
            <w:noWrap/>
            <w:vAlign w:val="center"/>
            <w:hideMark/>
          </w:tcPr>
          <w:p w14:paraId="66AADCEC" w14:textId="77777777" w:rsidR="00387142" w:rsidRPr="008B6A75" w:rsidRDefault="00387142" w:rsidP="00387142">
            <w:pPr>
              <w:jc w:val="center"/>
              <w:rPr>
                <w:sz w:val="20"/>
                <w:szCs w:val="20"/>
              </w:rPr>
            </w:pPr>
            <w:r w:rsidRPr="008B6A75">
              <w:rPr>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43EA370E" w14:textId="77777777" w:rsidR="00387142" w:rsidRPr="008B6A75" w:rsidRDefault="00387142" w:rsidP="00387142">
            <w:pPr>
              <w:jc w:val="center"/>
              <w:rPr>
                <w:sz w:val="20"/>
                <w:szCs w:val="20"/>
              </w:rPr>
            </w:pPr>
            <w:r w:rsidRPr="008B6A75">
              <w:rPr>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B4EEE74" w14:textId="77777777" w:rsidR="00387142" w:rsidRPr="008B6A75" w:rsidRDefault="00387142" w:rsidP="00387142">
            <w:pPr>
              <w:jc w:val="right"/>
              <w:rPr>
                <w:sz w:val="20"/>
                <w:szCs w:val="20"/>
              </w:rPr>
            </w:pPr>
            <w:r w:rsidRPr="008B6A75">
              <w:rPr>
                <w:sz w:val="20"/>
                <w:szCs w:val="20"/>
              </w:rPr>
              <w:t>8 146,85</w:t>
            </w:r>
          </w:p>
        </w:tc>
        <w:tc>
          <w:tcPr>
            <w:tcW w:w="851" w:type="dxa"/>
            <w:tcBorders>
              <w:top w:val="nil"/>
              <w:left w:val="single" w:sz="4" w:space="0" w:color="auto"/>
              <w:bottom w:val="single" w:sz="4" w:space="0" w:color="auto"/>
              <w:right w:val="nil"/>
            </w:tcBorders>
            <w:shd w:val="clear" w:color="auto" w:fill="auto"/>
            <w:noWrap/>
            <w:vAlign w:val="center"/>
            <w:hideMark/>
          </w:tcPr>
          <w:p w14:paraId="6E1E8DDD" w14:textId="77777777" w:rsidR="00387142" w:rsidRPr="008B6A75" w:rsidRDefault="00387142" w:rsidP="00387142">
            <w:pPr>
              <w:jc w:val="right"/>
              <w:rPr>
                <w:sz w:val="20"/>
                <w:szCs w:val="20"/>
              </w:rPr>
            </w:pPr>
            <w:r w:rsidRPr="008B6A75">
              <w:rPr>
                <w:sz w:val="20"/>
                <w:szCs w:val="20"/>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25353A31" w14:textId="77777777" w:rsidR="00387142" w:rsidRPr="008B6A75" w:rsidRDefault="00387142" w:rsidP="00387142">
            <w:pPr>
              <w:jc w:val="right"/>
              <w:rPr>
                <w:sz w:val="20"/>
                <w:szCs w:val="20"/>
              </w:rPr>
            </w:pPr>
            <w:r w:rsidRPr="008B6A75">
              <w:rPr>
                <w:sz w:val="20"/>
                <w:szCs w:val="20"/>
              </w:rPr>
              <w:t>0,00</w:t>
            </w:r>
          </w:p>
        </w:tc>
      </w:tr>
      <w:tr w:rsidR="00387142" w:rsidRPr="008B6A75" w14:paraId="4CB7FC84" w14:textId="77777777" w:rsidTr="00387142">
        <w:trPr>
          <w:trHeight w:val="300"/>
        </w:trPr>
        <w:tc>
          <w:tcPr>
            <w:tcW w:w="272" w:type="dxa"/>
            <w:tcBorders>
              <w:top w:val="nil"/>
              <w:left w:val="nil"/>
              <w:bottom w:val="nil"/>
              <w:right w:val="single" w:sz="4" w:space="0" w:color="auto"/>
            </w:tcBorders>
            <w:shd w:val="clear" w:color="auto" w:fill="auto"/>
            <w:noWrap/>
            <w:vAlign w:val="bottom"/>
            <w:hideMark/>
          </w:tcPr>
          <w:p w14:paraId="3804CBC5"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2B0A19C3" w14:textId="77777777" w:rsidR="00387142" w:rsidRPr="008B6A75" w:rsidRDefault="00387142" w:rsidP="00387142">
            <w:pPr>
              <w:rPr>
                <w:sz w:val="20"/>
                <w:szCs w:val="20"/>
              </w:rPr>
            </w:pPr>
            <w:r w:rsidRPr="008B6A75">
              <w:rPr>
                <w:sz w:val="20"/>
                <w:szCs w:val="20"/>
              </w:rPr>
              <w:t>Субсидии бюджетным учреждениям</w:t>
            </w:r>
          </w:p>
        </w:tc>
        <w:tc>
          <w:tcPr>
            <w:tcW w:w="1559" w:type="dxa"/>
            <w:tcBorders>
              <w:top w:val="nil"/>
              <w:left w:val="single" w:sz="4" w:space="0" w:color="auto"/>
              <w:bottom w:val="single" w:sz="4" w:space="0" w:color="auto"/>
              <w:right w:val="nil"/>
            </w:tcBorders>
            <w:shd w:val="clear" w:color="auto" w:fill="auto"/>
            <w:noWrap/>
            <w:vAlign w:val="center"/>
            <w:hideMark/>
          </w:tcPr>
          <w:p w14:paraId="3D8B1579" w14:textId="77777777" w:rsidR="00387142" w:rsidRPr="008B6A75" w:rsidRDefault="00387142" w:rsidP="00387142">
            <w:pPr>
              <w:jc w:val="center"/>
              <w:rPr>
                <w:sz w:val="20"/>
                <w:szCs w:val="20"/>
              </w:rPr>
            </w:pPr>
            <w:r w:rsidRPr="008B6A75">
              <w:rPr>
                <w:sz w:val="20"/>
                <w:szCs w:val="20"/>
              </w:rPr>
              <w:t>08.0.00.S0770</w:t>
            </w:r>
          </w:p>
        </w:tc>
        <w:tc>
          <w:tcPr>
            <w:tcW w:w="850" w:type="dxa"/>
            <w:tcBorders>
              <w:top w:val="nil"/>
              <w:left w:val="single" w:sz="4" w:space="0" w:color="auto"/>
              <w:bottom w:val="single" w:sz="4" w:space="0" w:color="auto"/>
              <w:right w:val="nil"/>
            </w:tcBorders>
            <w:shd w:val="clear" w:color="auto" w:fill="auto"/>
            <w:noWrap/>
            <w:vAlign w:val="center"/>
            <w:hideMark/>
          </w:tcPr>
          <w:p w14:paraId="1BC38F50" w14:textId="77777777" w:rsidR="00387142" w:rsidRPr="008B6A75" w:rsidRDefault="00387142" w:rsidP="00387142">
            <w:pPr>
              <w:jc w:val="center"/>
              <w:rPr>
                <w:sz w:val="20"/>
                <w:szCs w:val="20"/>
              </w:rPr>
            </w:pPr>
            <w:r w:rsidRPr="008B6A75">
              <w:rPr>
                <w:sz w:val="20"/>
                <w:szCs w:val="20"/>
              </w:rPr>
              <w:t>610</w:t>
            </w:r>
          </w:p>
        </w:tc>
        <w:tc>
          <w:tcPr>
            <w:tcW w:w="567" w:type="dxa"/>
            <w:tcBorders>
              <w:top w:val="nil"/>
              <w:left w:val="single" w:sz="4" w:space="0" w:color="auto"/>
              <w:bottom w:val="single" w:sz="4" w:space="0" w:color="auto"/>
              <w:right w:val="nil"/>
            </w:tcBorders>
            <w:shd w:val="clear" w:color="auto" w:fill="auto"/>
            <w:noWrap/>
            <w:vAlign w:val="center"/>
            <w:hideMark/>
          </w:tcPr>
          <w:p w14:paraId="385DA710" w14:textId="77777777" w:rsidR="00387142" w:rsidRPr="008B6A75" w:rsidRDefault="00387142" w:rsidP="00387142">
            <w:pPr>
              <w:jc w:val="center"/>
              <w:rPr>
                <w:sz w:val="20"/>
                <w:szCs w:val="20"/>
              </w:rPr>
            </w:pPr>
            <w:r w:rsidRPr="008B6A75">
              <w:rPr>
                <w:sz w:val="20"/>
                <w:szCs w:val="20"/>
              </w:rPr>
              <w:t>08</w:t>
            </w:r>
          </w:p>
        </w:tc>
        <w:tc>
          <w:tcPr>
            <w:tcW w:w="567" w:type="dxa"/>
            <w:tcBorders>
              <w:top w:val="nil"/>
              <w:left w:val="single" w:sz="4" w:space="0" w:color="auto"/>
              <w:bottom w:val="single" w:sz="4" w:space="0" w:color="auto"/>
              <w:right w:val="nil"/>
            </w:tcBorders>
            <w:shd w:val="clear" w:color="auto" w:fill="auto"/>
            <w:noWrap/>
            <w:vAlign w:val="center"/>
            <w:hideMark/>
          </w:tcPr>
          <w:p w14:paraId="7BDED0B9" w14:textId="77777777" w:rsidR="00387142" w:rsidRPr="008B6A75" w:rsidRDefault="00387142" w:rsidP="00387142">
            <w:pPr>
              <w:jc w:val="center"/>
              <w:rPr>
                <w:sz w:val="20"/>
                <w:szCs w:val="20"/>
              </w:rPr>
            </w:pPr>
            <w:r w:rsidRPr="008B6A75">
              <w:rPr>
                <w:sz w:val="20"/>
                <w:szCs w:val="20"/>
              </w:rPr>
              <w:t>01</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DFA4717" w14:textId="77777777" w:rsidR="00387142" w:rsidRPr="008B6A75" w:rsidRDefault="00387142" w:rsidP="00387142">
            <w:pPr>
              <w:jc w:val="right"/>
              <w:rPr>
                <w:sz w:val="20"/>
                <w:szCs w:val="20"/>
              </w:rPr>
            </w:pPr>
            <w:r w:rsidRPr="008B6A75">
              <w:rPr>
                <w:sz w:val="20"/>
                <w:szCs w:val="20"/>
              </w:rPr>
              <w:t>8 146,85</w:t>
            </w:r>
          </w:p>
        </w:tc>
        <w:tc>
          <w:tcPr>
            <w:tcW w:w="851" w:type="dxa"/>
            <w:tcBorders>
              <w:top w:val="nil"/>
              <w:left w:val="single" w:sz="4" w:space="0" w:color="auto"/>
              <w:bottom w:val="single" w:sz="4" w:space="0" w:color="auto"/>
              <w:right w:val="nil"/>
            </w:tcBorders>
            <w:shd w:val="clear" w:color="auto" w:fill="auto"/>
            <w:noWrap/>
            <w:vAlign w:val="center"/>
            <w:hideMark/>
          </w:tcPr>
          <w:p w14:paraId="7585F6D3" w14:textId="77777777" w:rsidR="00387142" w:rsidRPr="008B6A75" w:rsidRDefault="00387142" w:rsidP="00387142">
            <w:pPr>
              <w:jc w:val="right"/>
              <w:rPr>
                <w:sz w:val="20"/>
                <w:szCs w:val="20"/>
              </w:rPr>
            </w:pPr>
            <w:r w:rsidRPr="008B6A75">
              <w:rPr>
                <w:sz w:val="20"/>
                <w:szCs w:val="20"/>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2F5AE2B5" w14:textId="77777777" w:rsidR="00387142" w:rsidRPr="008B6A75" w:rsidRDefault="00387142" w:rsidP="00387142">
            <w:pPr>
              <w:jc w:val="right"/>
              <w:rPr>
                <w:sz w:val="20"/>
                <w:szCs w:val="20"/>
              </w:rPr>
            </w:pPr>
            <w:r w:rsidRPr="008B6A75">
              <w:rPr>
                <w:sz w:val="20"/>
                <w:szCs w:val="20"/>
              </w:rPr>
              <w:t>0,00</w:t>
            </w:r>
          </w:p>
        </w:tc>
      </w:tr>
      <w:tr w:rsidR="00387142" w:rsidRPr="008B6A75" w14:paraId="65E23315" w14:textId="77777777" w:rsidTr="00387142">
        <w:trPr>
          <w:trHeight w:val="870"/>
        </w:trPr>
        <w:tc>
          <w:tcPr>
            <w:tcW w:w="272" w:type="dxa"/>
            <w:tcBorders>
              <w:top w:val="nil"/>
              <w:left w:val="nil"/>
              <w:bottom w:val="nil"/>
              <w:right w:val="single" w:sz="4" w:space="0" w:color="auto"/>
            </w:tcBorders>
            <w:shd w:val="clear" w:color="auto" w:fill="auto"/>
            <w:noWrap/>
            <w:vAlign w:val="bottom"/>
            <w:hideMark/>
          </w:tcPr>
          <w:p w14:paraId="495F27B9"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6283C0E4" w14:textId="77777777" w:rsidR="00387142" w:rsidRPr="008B6A75" w:rsidRDefault="00387142" w:rsidP="00387142">
            <w:pPr>
              <w:rPr>
                <w:bCs/>
                <w:sz w:val="20"/>
                <w:szCs w:val="20"/>
              </w:rPr>
            </w:pPr>
            <w:r w:rsidRPr="008B6A75">
              <w:rPr>
                <w:bCs/>
                <w:sz w:val="20"/>
                <w:szCs w:val="20"/>
              </w:rPr>
              <w:t>Муниципальная программа "Развитие автомобильных дорог местного значения в Куйбышевском районе "</w:t>
            </w:r>
          </w:p>
        </w:tc>
        <w:tc>
          <w:tcPr>
            <w:tcW w:w="1559" w:type="dxa"/>
            <w:tcBorders>
              <w:top w:val="nil"/>
              <w:left w:val="single" w:sz="4" w:space="0" w:color="auto"/>
              <w:bottom w:val="single" w:sz="4" w:space="0" w:color="auto"/>
              <w:right w:val="nil"/>
            </w:tcBorders>
            <w:shd w:val="clear" w:color="auto" w:fill="auto"/>
            <w:noWrap/>
            <w:vAlign w:val="center"/>
            <w:hideMark/>
          </w:tcPr>
          <w:p w14:paraId="738BDF1D" w14:textId="77777777" w:rsidR="00387142" w:rsidRPr="008B6A75" w:rsidRDefault="00387142" w:rsidP="00387142">
            <w:pPr>
              <w:jc w:val="center"/>
              <w:rPr>
                <w:bCs/>
                <w:sz w:val="20"/>
                <w:szCs w:val="20"/>
              </w:rPr>
            </w:pPr>
            <w:r w:rsidRPr="008B6A75">
              <w:rPr>
                <w:bCs/>
                <w:sz w:val="20"/>
                <w:szCs w:val="20"/>
              </w:rPr>
              <w:t>10.0.00.00000</w:t>
            </w:r>
          </w:p>
        </w:tc>
        <w:tc>
          <w:tcPr>
            <w:tcW w:w="850" w:type="dxa"/>
            <w:tcBorders>
              <w:top w:val="nil"/>
              <w:left w:val="single" w:sz="4" w:space="0" w:color="auto"/>
              <w:bottom w:val="single" w:sz="4" w:space="0" w:color="auto"/>
              <w:right w:val="nil"/>
            </w:tcBorders>
            <w:shd w:val="clear" w:color="auto" w:fill="auto"/>
            <w:noWrap/>
            <w:vAlign w:val="center"/>
            <w:hideMark/>
          </w:tcPr>
          <w:p w14:paraId="57FB5824" w14:textId="77777777" w:rsidR="00387142" w:rsidRPr="008B6A75" w:rsidRDefault="00387142" w:rsidP="00387142">
            <w:pPr>
              <w:jc w:val="center"/>
              <w:rPr>
                <w:bCs/>
                <w:sz w:val="20"/>
                <w:szCs w:val="20"/>
              </w:rPr>
            </w:pPr>
            <w:r w:rsidRPr="008B6A75">
              <w:rPr>
                <w:bCs/>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6071399D" w14:textId="77777777" w:rsidR="00387142" w:rsidRPr="008B6A75" w:rsidRDefault="00387142" w:rsidP="00387142">
            <w:pPr>
              <w:jc w:val="center"/>
              <w:rPr>
                <w:bCs/>
                <w:sz w:val="20"/>
                <w:szCs w:val="20"/>
              </w:rPr>
            </w:pPr>
            <w:r w:rsidRPr="008B6A75">
              <w:rPr>
                <w:bCs/>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72BC2262" w14:textId="77777777" w:rsidR="00387142" w:rsidRPr="008B6A75" w:rsidRDefault="00387142" w:rsidP="00387142">
            <w:pPr>
              <w:jc w:val="center"/>
              <w:rPr>
                <w:bCs/>
                <w:sz w:val="20"/>
                <w:szCs w:val="20"/>
              </w:rPr>
            </w:pPr>
            <w:r w:rsidRPr="008B6A75">
              <w:rPr>
                <w:bCs/>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6800E73" w14:textId="77777777" w:rsidR="00387142" w:rsidRPr="008B6A75" w:rsidRDefault="00387142" w:rsidP="00387142">
            <w:pPr>
              <w:jc w:val="right"/>
              <w:rPr>
                <w:bCs/>
                <w:sz w:val="20"/>
                <w:szCs w:val="20"/>
              </w:rPr>
            </w:pPr>
            <w:r w:rsidRPr="008B6A75">
              <w:rPr>
                <w:bCs/>
                <w:sz w:val="20"/>
                <w:szCs w:val="20"/>
              </w:rPr>
              <w:t>51 995 805,58</w:t>
            </w:r>
          </w:p>
        </w:tc>
        <w:tc>
          <w:tcPr>
            <w:tcW w:w="851" w:type="dxa"/>
            <w:tcBorders>
              <w:top w:val="nil"/>
              <w:left w:val="single" w:sz="4" w:space="0" w:color="auto"/>
              <w:bottom w:val="single" w:sz="4" w:space="0" w:color="auto"/>
              <w:right w:val="nil"/>
            </w:tcBorders>
            <w:shd w:val="clear" w:color="auto" w:fill="auto"/>
            <w:noWrap/>
            <w:vAlign w:val="center"/>
            <w:hideMark/>
          </w:tcPr>
          <w:p w14:paraId="69B72D90" w14:textId="77777777" w:rsidR="00387142" w:rsidRPr="008B6A75" w:rsidRDefault="00387142" w:rsidP="00387142">
            <w:pPr>
              <w:jc w:val="right"/>
              <w:rPr>
                <w:bCs/>
                <w:sz w:val="20"/>
                <w:szCs w:val="20"/>
              </w:rPr>
            </w:pPr>
            <w:r w:rsidRPr="008B6A75">
              <w:rPr>
                <w:bCs/>
                <w:sz w:val="20"/>
                <w:szCs w:val="20"/>
              </w:rPr>
              <w:t>53 076 420,00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335BDAB5" w14:textId="77777777" w:rsidR="00387142" w:rsidRPr="008B6A75" w:rsidRDefault="00387142" w:rsidP="00387142">
            <w:pPr>
              <w:jc w:val="right"/>
              <w:rPr>
                <w:bCs/>
                <w:sz w:val="20"/>
                <w:szCs w:val="20"/>
              </w:rPr>
            </w:pPr>
            <w:r w:rsidRPr="008B6A75">
              <w:rPr>
                <w:bCs/>
                <w:sz w:val="20"/>
                <w:szCs w:val="20"/>
              </w:rPr>
              <w:t>59 506 590,00</w:t>
            </w:r>
          </w:p>
        </w:tc>
      </w:tr>
      <w:tr w:rsidR="00387142" w:rsidRPr="008B6A75" w14:paraId="301A18AB" w14:textId="77777777" w:rsidTr="00387142">
        <w:trPr>
          <w:trHeight w:val="585"/>
        </w:trPr>
        <w:tc>
          <w:tcPr>
            <w:tcW w:w="272" w:type="dxa"/>
            <w:tcBorders>
              <w:top w:val="nil"/>
              <w:left w:val="nil"/>
              <w:bottom w:val="nil"/>
              <w:right w:val="single" w:sz="4" w:space="0" w:color="auto"/>
            </w:tcBorders>
            <w:shd w:val="clear" w:color="auto" w:fill="auto"/>
            <w:noWrap/>
            <w:vAlign w:val="bottom"/>
            <w:hideMark/>
          </w:tcPr>
          <w:p w14:paraId="31CEAAF6"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60815C48" w14:textId="77777777" w:rsidR="00387142" w:rsidRPr="008B6A75" w:rsidRDefault="00387142" w:rsidP="00387142">
            <w:pPr>
              <w:rPr>
                <w:bCs/>
                <w:sz w:val="20"/>
                <w:szCs w:val="20"/>
              </w:rPr>
            </w:pPr>
            <w:r w:rsidRPr="008B6A75">
              <w:rPr>
                <w:bCs/>
                <w:sz w:val="20"/>
                <w:szCs w:val="20"/>
              </w:rPr>
              <w:t>Содержание автомобильных дорог и дорожных сооружений</w:t>
            </w:r>
          </w:p>
        </w:tc>
        <w:tc>
          <w:tcPr>
            <w:tcW w:w="1559" w:type="dxa"/>
            <w:tcBorders>
              <w:top w:val="nil"/>
              <w:left w:val="single" w:sz="4" w:space="0" w:color="auto"/>
              <w:bottom w:val="single" w:sz="4" w:space="0" w:color="auto"/>
              <w:right w:val="nil"/>
            </w:tcBorders>
            <w:shd w:val="clear" w:color="auto" w:fill="auto"/>
            <w:noWrap/>
            <w:vAlign w:val="center"/>
            <w:hideMark/>
          </w:tcPr>
          <w:p w14:paraId="5DBE29D8" w14:textId="77777777" w:rsidR="00387142" w:rsidRPr="008B6A75" w:rsidRDefault="00387142" w:rsidP="00387142">
            <w:pPr>
              <w:jc w:val="center"/>
              <w:rPr>
                <w:bCs/>
                <w:sz w:val="20"/>
                <w:szCs w:val="20"/>
              </w:rPr>
            </w:pPr>
            <w:r w:rsidRPr="008B6A75">
              <w:rPr>
                <w:bCs/>
                <w:sz w:val="20"/>
                <w:szCs w:val="20"/>
              </w:rPr>
              <w:t>10.0.00.04310</w:t>
            </w:r>
          </w:p>
        </w:tc>
        <w:tc>
          <w:tcPr>
            <w:tcW w:w="850" w:type="dxa"/>
            <w:tcBorders>
              <w:top w:val="nil"/>
              <w:left w:val="single" w:sz="4" w:space="0" w:color="auto"/>
              <w:bottom w:val="single" w:sz="4" w:space="0" w:color="auto"/>
              <w:right w:val="nil"/>
            </w:tcBorders>
            <w:shd w:val="clear" w:color="auto" w:fill="auto"/>
            <w:noWrap/>
            <w:vAlign w:val="center"/>
            <w:hideMark/>
          </w:tcPr>
          <w:p w14:paraId="63582EB0" w14:textId="77777777" w:rsidR="00387142" w:rsidRPr="008B6A75" w:rsidRDefault="00387142" w:rsidP="00387142">
            <w:pPr>
              <w:jc w:val="center"/>
              <w:rPr>
                <w:bCs/>
                <w:sz w:val="20"/>
                <w:szCs w:val="20"/>
              </w:rPr>
            </w:pPr>
            <w:r w:rsidRPr="008B6A75">
              <w:rPr>
                <w:bCs/>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4904135E" w14:textId="77777777" w:rsidR="00387142" w:rsidRPr="008B6A75" w:rsidRDefault="00387142" w:rsidP="00387142">
            <w:pPr>
              <w:jc w:val="center"/>
              <w:rPr>
                <w:bCs/>
                <w:sz w:val="20"/>
                <w:szCs w:val="20"/>
              </w:rPr>
            </w:pPr>
            <w:r w:rsidRPr="008B6A75">
              <w:rPr>
                <w:bCs/>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3C67D989" w14:textId="77777777" w:rsidR="00387142" w:rsidRPr="008B6A75" w:rsidRDefault="00387142" w:rsidP="00387142">
            <w:pPr>
              <w:jc w:val="center"/>
              <w:rPr>
                <w:bCs/>
                <w:sz w:val="20"/>
                <w:szCs w:val="20"/>
              </w:rPr>
            </w:pPr>
            <w:r w:rsidRPr="008B6A75">
              <w:rPr>
                <w:bCs/>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711352F" w14:textId="77777777" w:rsidR="00387142" w:rsidRPr="008B6A75" w:rsidRDefault="00387142" w:rsidP="00387142">
            <w:pPr>
              <w:jc w:val="right"/>
              <w:rPr>
                <w:bCs/>
                <w:sz w:val="20"/>
                <w:szCs w:val="20"/>
              </w:rPr>
            </w:pPr>
            <w:r w:rsidRPr="008B6A75">
              <w:rPr>
                <w:bCs/>
                <w:sz w:val="20"/>
                <w:szCs w:val="20"/>
              </w:rPr>
              <w:t>3 403 093,98</w:t>
            </w:r>
          </w:p>
        </w:tc>
        <w:tc>
          <w:tcPr>
            <w:tcW w:w="851" w:type="dxa"/>
            <w:tcBorders>
              <w:top w:val="nil"/>
              <w:left w:val="single" w:sz="4" w:space="0" w:color="auto"/>
              <w:bottom w:val="single" w:sz="4" w:space="0" w:color="auto"/>
              <w:right w:val="nil"/>
            </w:tcBorders>
            <w:shd w:val="clear" w:color="auto" w:fill="auto"/>
            <w:noWrap/>
            <w:vAlign w:val="center"/>
            <w:hideMark/>
          </w:tcPr>
          <w:p w14:paraId="6A3232CC" w14:textId="77777777" w:rsidR="00387142" w:rsidRPr="008B6A75" w:rsidRDefault="00387142" w:rsidP="00387142">
            <w:pPr>
              <w:jc w:val="right"/>
              <w:rPr>
                <w:bCs/>
                <w:sz w:val="20"/>
                <w:szCs w:val="20"/>
              </w:rPr>
            </w:pPr>
            <w:r w:rsidRPr="008B6A75">
              <w:rPr>
                <w:bCs/>
                <w:sz w:val="20"/>
                <w:szCs w:val="20"/>
              </w:rPr>
              <w:t>4 039 420,00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22D3BD83" w14:textId="77777777" w:rsidR="00387142" w:rsidRPr="008B6A75" w:rsidRDefault="00387142" w:rsidP="00387142">
            <w:pPr>
              <w:jc w:val="right"/>
              <w:rPr>
                <w:bCs/>
                <w:sz w:val="20"/>
                <w:szCs w:val="20"/>
              </w:rPr>
            </w:pPr>
            <w:r w:rsidRPr="008B6A75">
              <w:rPr>
                <w:bCs/>
                <w:sz w:val="20"/>
                <w:szCs w:val="20"/>
              </w:rPr>
              <w:t>4 258 990,00</w:t>
            </w:r>
          </w:p>
        </w:tc>
      </w:tr>
      <w:tr w:rsidR="00387142" w:rsidRPr="008B6A75" w14:paraId="2763E75C" w14:textId="77777777" w:rsidTr="00387142">
        <w:trPr>
          <w:trHeight w:val="585"/>
        </w:trPr>
        <w:tc>
          <w:tcPr>
            <w:tcW w:w="272" w:type="dxa"/>
            <w:tcBorders>
              <w:top w:val="nil"/>
              <w:left w:val="nil"/>
              <w:bottom w:val="nil"/>
              <w:right w:val="single" w:sz="4" w:space="0" w:color="auto"/>
            </w:tcBorders>
            <w:shd w:val="clear" w:color="auto" w:fill="auto"/>
            <w:noWrap/>
            <w:vAlign w:val="bottom"/>
            <w:hideMark/>
          </w:tcPr>
          <w:p w14:paraId="743115EF"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1A236C69" w14:textId="77777777" w:rsidR="00387142" w:rsidRPr="008B6A75" w:rsidRDefault="00387142" w:rsidP="00387142">
            <w:pPr>
              <w:rPr>
                <w:sz w:val="20"/>
                <w:szCs w:val="20"/>
              </w:rPr>
            </w:pPr>
            <w:r w:rsidRPr="008B6A75">
              <w:rPr>
                <w:sz w:val="20"/>
                <w:szCs w:val="20"/>
              </w:rPr>
              <w:t>Закупка товаров, работ и услуг для обеспечения государственных (муниципальных) нужд</w:t>
            </w:r>
          </w:p>
        </w:tc>
        <w:tc>
          <w:tcPr>
            <w:tcW w:w="1559" w:type="dxa"/>
            <w:tcBorders>
              <w:top w:val="nil"/>
              <w:left w:val="single" w:sz="4" w:space="0" w:color="auto"/>
              <w:bottom w:val="single" w:sz="4" w:space="0" w:color="auto"/>
              <w:right w:val="nil"/>
            </w:tcBorders>
            <w:shd w:val="clear" w:color="auto" w:fill="auto"/>
            <w:noWrap/>
            <w:vAlign w:val="center"/>
            <w:hideMark/>
          </w:tcPr>
          <w:p w14:paraId="5C02B1EA" w14:textId="77777777" w:rsidR="00387142" w:rsidRPr="008B6A75" w:rsidRDefault="00387142" w:rsidP="00387142">
            <w:pPr>
              <w:jc w:val="center"/>
              <w:rPr>
                <w:sz w:val="20"/>
                <w:szCs w:val="20"/>
              </w:rPr>
            </w:pPr>
            <w:r w:rsidRPr="008B6A75">
              <w:rPr>
                <w:sz w:val="20"/>
                <w:szCs w:val="20"/>
              </w:rPr>
              <w:t>10.0.00.04310</w:t>
            </w:r>
          </w:p>
        </w:tc>
        <w:tc>
          <w:tcPr>
            <w:tcW w:w="850" w:type="dxa"/>
            <w:tcBorders>
              <w:top w:val="nil"/>
              <w:left w:val="single" w:sz="4" w:space="0" w:color="auto"/>
              <w:bottom w:val="single" w:sz="4" w:space="0" w:color="auto"/>
              <w:right w:val="nil"/>
            </w:tcBorders>
            <w:shd w:val="clear" w:color="auto" w:fill="auto"/>
            <w:noWrap/>
            <w:vAlign w:val="center"/>
            <w:hideMark/>
          </w:tcPr>
          <w:p w14:paraId="6E703991" w14:textId="77777777" w:rsidR="00387142" w:rsidRPr="008B6A75" w:rsidRDefault="00387142" w:rsidP="00387142">
            <w:pPr>
              <w:jc w:val="center"/>
              <w:rPr>
                <w:sz w:val="20"/>
                <w:szCs w:val="20"/>
              </w:rPr>
            </w:pPr>
            <w:r w:rsidRPr="008B6A75">
              <w:rPr>
                <w:sz w:val="20"/>
                <w:szCs w:val="20"/>
              </w:rPr>
              <w:t>200</w:t>
            </w:r>
          </w:p>
        </w:tc>
        <w:tc>
          <w:tcPr>
            <w:tcW w:w="567" w:type="dxa"/>
            <w:tcBorders>
              <w:top w:val="nil"/>
              <w:left w:val="single" w:sz="4" w:space="0" w:color="auto"/>
              <w:bottom w:val="single" w:sz="4" w:space="0" w:color="auto"/>
              <w:right w:val="nil"/>
            </w:tcBorders>
            <w:shd w:val="clear" w:color="auto" w:fill="auto"/>
            <w:noWrap/>
            <w:vAlign w:val="center"/>
            <w:hideMark/>
          </w:tcPr>
          <w:p w14:paraId="625D6E87" w14:textId="77777777" w:rsidR="00387142" w:rsidRPr="008B6A75" w:rsidRDefault="00387142" w:rsidP="00387142">
            <w:pPr>
              <w:jc w:val="center"/>
              <w:rPr>
                <w:sz w:val="20"/>
                <w:szCs w:val="20"/>
              </w:rPr>
            </w:pPr>
            <w:r w:rsidRPr="008B6A75">
              <w:rPr>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35661ED0" w14:textId="77777777" w:rsidR="00387142" w:rsidRPr="008B6A75" w:rsidRDefault="00387142" w:rsidP="00387142">
            <w:pPr>
              <w:jc w:val="center"/>
              <w:rPr>
                <w:sz w:val="20"/>
                <w:szCs w:val="20"/>
              </w:rPr>
            </w:pPr>
            <w:r w:rsidRPr="008B6A75">
              <w:rPr>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9B8EF60" w14:textId="77777777" w:rsidR="00387142" w:rsidRPr="008B6A75" w:rsidRDefault="00387142" w:rsidP="00387142">
            <w:pPr>
              <w:jc w:val="right"/>
              <w:rPr>
                <w:sz w:val="20"/>
                <w:szCs w:val="20"/>
              </w:rPr>
            </w:pPr>
            <w:r w:rsidRPr="008B6A75">
              <w:rPr>
                <w:sz w:val="20"/>
                <w:szCs w:val="20"/>
              </w:rPr>
              <w:t>3 133 093,98</w:t>
            </w:r>
          </w:p>
        </w:tc>
        <w:tc>
          <w:tcPr>
            <w:tcW w:w="851" w:type="dxa"/>
            <w:tcBorders>
              <w:top w:val="nil"/>
              <w:left w:val="single" w:sz="4" w:space="0" w:color="auto"/>
              <w:bottom w:val="single" w:sz="4" w:space="0" w:color="auto"/>
              <w:right w:val="nil"/>
            </w:tcBorders>
            <w:shd w:val="clear" w:color="auto" w:fill="auto"/>
            <w:noWrap/>
            <w:vAlign w:val="center"/>
            <w:hideMark/>
          </w:tcPr>
          <w:p w14:paraId="36C3F93D" w14:textId="77777777" w:rsidR="00387142" w:rsidRPr="008B6A75" w:rsidRDefault="00387142" w:rsidP="00387142">
            <w:pPr>
              <w:jc w:val="right"/>
              <w:rPr>
                <w:sz w:val="20"/>
                <w:szCs w:val="20"/>
              </w:rPr>
            </w:pPr>
            <w:r w:rsidRPr="008B6A75">
              <w:rPr>
                <w:sz w:val="20"/>
                <w:szCs w:val="20"/>
              </w:rPr>
              <w:t>4 039 420,00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173D57F4" w14:textId="77777777" w:rsidR="00387142" w:rsidRPr="008B6A75" w:rsidRDefault="00387142" w:rsidP="00387142">
            <w:pPr>
              <w:jc w:val="right"/>
              <w:rPr>
                <w:sz w:val="20"/>
                <w:szCs w:val="20"/>
              </w:rPr>
            </w:pPr>
            <w:r w:rsidRPr="008B6A75">
              <w:rPr>
                <w:sz w:val="20"/>
                <w:szCs w:val="20"/>
              </w:rPr>
              <w:t>4 258 990,00</w:t>
            </w:r>
          </w:p>
        </w:tc>
      </w:tr>
      <w:tr w:rsidR="00387142" w:rsidRPr="008B6A75" w14:paraId="0B6D0721" w14:textId="77777777" w:rsidTr="00387142">
        <w:trPr>
          <w:trHeight w:val="870"/>
        </w:trPr>
        <w:tc>
          <w:tcPr>
            <w:tcW w:w="272" w:type="dxa"/>
            <w:tcBorders>
              <w:top w:val="nil"/>
              <w:left w:val="nil"/>
              <w:bottom w:val="nil"/>
              <w:right w:val="single" w:sz="4" w:space="0" w:color="auto"/>
            </w:tcBorders>
            <w:shd w:val="clear" w:color="auto" w:fill="auto"/>
            <w:noWrap/>
            <w:vAlign w:val="bottom"/>
            <w:hideMark/>
          </w:tcPr>
          <w:p w14:paraId="3EAF8558"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6E9B6166" w14:textId="77777777" w:rsidR="00387142" w:rsidRPr="008B6A75" w:rsidRDefault="00387142" w:rsidP="00387142">
            <w:pPr>
              <w:rPr>
                <w:sz w:val="20"/>
                <w:szCs w:val="20"/>
              </w:rPr>
            </w:pPr>
            <w:r w:rsidRPr="008B6A75">
              <w:rPr>
                <w:sz w:val="20"/>
                <w:szCs w:val="20"/>
              </w:rPr>
              <w:t>Иные закупки товаров, работ и услуг для обеспечения государственных (муниципальных) нужд</w:t>
            </w:r>
          </w:p>
        </w:tc>
        <w:tc>
          <w:tcPr>
            <w:tcW w:w="1559" w:type="dxa"/>
            <w:tcBorders>
              <w:top w:val="nil"/>
              <w:left w:val="single" w:sz="4" w:space="0" w:color="auto"/>
              <w:bottom w:val="single" w:sz="4" w:space="0" w:color="auto"/>
              <w:right w:val="nil"/>
            </w:tcBorders>
            <w:shd w:val="clear" w:color="auto" w:fill="auto"/>
            <w:noWrap/>
            <w:vAlign w:val="center"/>
            <w:hideMark/>
          </w:tcPr>
          <w:p w14:paraId="59F47D7D" w14:textId="77777777" w:rsidR="00387142" w:rsidRPr="008B6A75" w:rsidRDefault="00387142" w:rsidP="00387142">
            <w:pPr>
              <w:jc w:val="center"/>
              <w:rPr>
                <w:sz w:val="20"/>
                <w:szCs w:val="20"/>
              </w:rPr>
            </w:pPr>
            <w:r w:rsidRPr="008B6A75">
              <w:rPr>
                <w:sz w:val="20"/>
                <w:szCs w:val="20"/>
              </w:rPr>
              <w:t>10.0.00.04310</w:t>
            </w:r>
          </w:p>
        </w:tc>
        <w:tc>
          <w:tcPr>
            <w:tcW w:w="850" w:type="dxa"/>
            <w:tcBorders>
              <w:top w:val="nil"/>
              <w:left w:val="single" w:sz="4" w:space="0" w:color="auto"/>
              <w:bottom w:val="single" w:sz="4" w:space="0" w:color="auto"/>
              <w:right w:val="nil"/>
            </w:tcBorders>
            <w:shd w:val="clear" w:color="auto" w:fill="auto"/>
            <w:noWrap/>
            <w:vAlign w:val="center"/>
            <w:hideMark/>
          </w:tcPr>
          <w:p w14:paraId="137F12EF" w14:textId="77777777" w:rsidR="00387142" w:rsidRPr="008B6A75" w:rsidRDefault="00387142" w:rsidP="00387142">
            <w:pPr>
              <w:jc w:val="center"/>
              <w:rPr>
                <w:sz w:val="20"/>
                <w:szCs w:val="20"/>
              </w:rPr>
            </w:pPr>
            <w:r w:rsidRPr="008B6A75">
              <w:rPr>
                <w:sz w:val="20"/>
                <w:szCs w:val="20"/>
              </w:rPr>
              <w:t>240</w:t>
            </w:r>
          </w:p>
        </w:tc>
        <w:tc>
          <w:tcPr>
            <w:tcW w:w="567" w:type="dxa"/>
            <w:tcBorders>
              <w:top w:val="nil"/>
              <w:left w:val="single" w:sz="4" w:space="0" w:color="auto"/>
              <w:bottom w:val="single" w:sz="4" w:space="0" w:color="auto"/>
              <w:right w:val="nil"/>
            </w:tcBorders>
            <w:shd w:val="clear" w:color="auto" w:fill="auto"/>
            <w:noWrap/>
            <w:vAlign w:val="center"/>
            <w:hideMark/>
          </w:tcPr>
          <w:p w14:paraId="0D060B3B" w14:textId="77777777" w:rsidR="00387142" w:rsidRPr="008B6A75" w:rsidRDefault="00387142" w:rsidP="00387142">
            <w:pPr>
              <w:jc w:val="center"/>
              <w:rPr>
                <w:sz w:val="20"/>
                <w:szCs w:val="20"/>
              </w:rPr>
            </w:pPr>
            <w:r w:rsidRPr="008B6A75">
              <w:rPr>
                <w:sz w:val="20"/>
                <w:szCs w:val="20"/>
              </w:rPr>
              <w:t>04</w:t>
            </w:r>
          </w:p>
        </w:tc>
        <w:tc>
          <w:tcPr>
            <w:tcW w:w="567" w:type="dxa"/>
            <w:tcBorders>
              <w:top w:val="nil"/>
              <w:left w:val="single" w:sz="4" w:space="0" w:color="auto"/>
              <w:bottom w:val="single" w:sz="4" w:space="0" w:color="auto"/>
              <w:right w:val="nil"/>
            </w:tcBorders>
            <w:shd w:val="clear" w:color="auto" w:fill="auto"/>
            <w:noWrap/>
            <w:vAlign w:val="center"/>
            <w:hideMark/>
          </w:tcPr>
          <w:p w14:paraId="3BE996F3" w14:textId="77777777" w:rsidR="00387142" w:rsidRPr="008B6A75" w:rsidRDefault="00387142" w:rsidP="00387142">
            <w:pPr>
              <w:jc w:val="center"/>
              <w:rPr>
                <w:sz w:val="20"/>
                <w:szCs w:val="20"/>
              </w:rPr>
            </w:pPr>
            <w:r w:rsidRPr="008B6A75">
              <w:rPr>
                <w:sz w:val="20"/>
                <w:szCs w:val="20"/>
              </w:rPr>
              <w:t>09</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B50AAD1" w14:textId="77777777" w:rsidR="00387142" w:rsidRPr="008B6A75" w:rsidRDefault="00387142" w:rsidP="00387142">
            <w:pPr>
              <w:jc w:val="right"/>
              <w:rPr>
                <w:sz w:val="20"/>
                <w:szCs w:val="20"/>
              </w:rPr>
            </w:pPr>
            <w:r w:rsidRPr="008B6A75">
              <w:rPr>
                <w:sz w:val="20"/>
                <w:szCs w:val="20"/>
              </w:rPr>
              <w:t>3 133 093,98</w:t>
            </w:r>
          </w:p>
        </w:tc>
        <w:tc>
          <w:tcPr>
            <w:tcW w:w="851" w:type="dxa"/>
            <w:tcBorders>
              <w:top w:val="nil"/>
              <w:left w:val="single" w:sz="4" w:space="0" w:color="auto"/>
              <w:bottom w:val="single" w:sz="4" w:space="0" w:color="auto"/>
              <w:right w:val="nil"/>
            </w:tcBorders>
            <w:shd w:val="clear" w:color="auto" w:fill="auto"/>
            <w:noWrap/>
            <w:vAlign w:val="center"/>
            <w:hideMark/>
          </w:tcPr>
          <w:p w14:paraId="30B5D2CB" w14:textId="77777777" w:rsidR="00387142" w:rsidRPr="008B6A75" w:rsidRDefault="00387142" w:rsidP="00387142">
            <w:pPr>
              <w:jc w:val="right"/>
              <w:rPr>
                <w:sz w:val="20"/>
                <w:szCs w:val="20"/>
              </w:rPr>
            </w:pPr>
            <w:r w:rsidRPr="008B6A75">
              <w:rPr>
                <w:sz w:val="20"/>
                <w:szCs w:val="20"/>
              </w:rPr>
              <w:t>4 039 420,00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4A64786F" w14:textId="77777777" w:rsidR="00387142" w:rsidRPr="008B6A75" w:rsidRDefault="00387142" w:rsidP="00387142">
            <w:pPr>
              <w:jc w:val="right"/>
              <w:rPr>
                <w:sz w:val="20"/>
                <w:szCs w:val="20"/>
              </w:rPr>
            </w:pPr>
            <w:r w:rsidRPr="008B6A75">
              <w:rPr>
                <w:sz w:val="20"/>
                <w:szCs w:val="20"/>
              </w:rPr>
              <w:t>4 258 990,00</w:t>
            </w:r>
          </w:p>
        </w:tc>
      </w:tr>
      <w:tr w:rsidR="00387142" w:rsidRPr="008B6A75" w14:paraId="3B9D9BFE" w14:textId="77777777" w:rsidTr="00387142">
        <w:trPr>
          <w:trHeight w:val="300"/>
        </w:trPr>
        <w:tc>
          <w:tcPr>
            <w:tcW w:w="272" w:type="dxa"/>
            <w:tcBorders>
              <w:top w:val="nil"/>
              <w:left w:val="nil"/>
              <w:bottom w:val="nil"/>
              <w:right w:val="single" w:sz="4" w:space="0" w:color="auto"/>
            </w:tcBorders>
            <w:shd w:val="clear" w:color="auto" w:fill="auto"/>
            <w:noWrap/>
            <w:vAlign w:val="bottom"/>
            <w:hideMark/>
          </w:tcPr>
          <w:p w14:paraId="70B7376E"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3FD66AE0" w14:textId="77777777" w:rsidR="00387142" w:rsidRPr="008B6A75" w:rsidRDefault="00387142" w:rsidP="00387142">
            <w:pPr>
              <w:rPr>
                <w:sz w:val="20"/>
                <w:szCs w:val="20"/>
              </w:rPr>
            </w:pPr>
            <w:r w:rsidRPr="008B6A75">
              <w:rPr>
                <w:sz w:val="20"/>
                <w:szCs w:val="20"/>
              </w:rPr>
              <w:t>Межбюджетные трансферты</w:t>
            </w:r>
          </w:p>
        </w:tc>
        <w:tc>
          <w:tcPr>
            <w:tcW w:w="1559" w:type="dxa"/>
            <w:tcBorders>
              <w:top w:val="nil"/>
              <w:left w:val="single" w:sz="4" w:space="0" w:color="auto"/>
              <w:bottom w:val="single" w:sz="4" w:space="0" w:color="auto"/>
              <w:right w:val="nil"/>
            </w:tcBorders>
            <w:shd w:val="clear" w:color="auto" w:fill="auto"/>
            <w:noWrap/>
            <w:vAlign w:val="center"/>
            <w:hideMark/>
          </w:tcPr>
          <w:p w14:paraId="1FCEED37" w14:textId="77777777" w:rsidR="00387142" w:rsidRPr="008B6A75" w:rsidRDefault="00387142" w:rsidP="00387142">
            <w:pPr>
              <w:jc w:val="center"/>
              <w:rPr>
                <w:sz w:val="20"/>
                <w:szCs w:val="20"/>
              </w:rPr>
            </w:pPr>
            <w:r w:rsidRPr="008B6A75">
              <w:rPr>
                <w:sz w:val="20"/>
                <w:szCs w:val="20"/>
              </w:rPr>
              <w:t>10.0.00.04310</w:t>
            </w:r>
          </w:p>
        </w:tc>
        <w:tc>
          <w:tcPr>
            <w:tcW w:w="850" w:type="dxa"/>
            <w:tcBorders>
              <w:top w:val="nil"/>
              <w:left w:val="single" w:sz="4" w:space="0" w:color="auto"/>
              <w:bottom w:val="single" w:sz="4" w:space="0" w:color="auto"/>
              <w:right w:val="nil"/>
            </w:tcBorders>
            <w:shd w:val="clear" w:color="auto" w:fill="auto"/>
            <w:noWrap/>
            <w:vAlign w:val="center"/>
            <w:hideMark/>
          </w:tcPr>
          <w:p w14:paraId="606F28A7" w14:textId="77777777" w:rsidR="00387142" w:rsidRPr="008B6A75" w:rsidRDefault="00387142" w:rsidP="00387142">
            <w:pPr>
              <w:jc w:val="center"/>
              <w:rPr>
                <w:sz w:val="20"/>
                <w:szCs w:val="20"/>
              </w:rPr>
            </w:pPr>
            <w:r w:rsidRPr="008B6A75">
              <w:rPr>
                <w:sz w:val="20"/>
                <w:szCs w:val="20"/>
              </w:rPr>
              <w:t>500</w:t>
            </w:r>
          </w:p>
        </w:tc>
        <w:tc>
          <w:tcPr>
            <w:tcW w:w="567" w:type="dxa"/>
            <w:tcBorders>
              <w:top w:val="nil"/>
              <w:left w:val="single" w:sz="4" w:space="0" w:color="auto"/>
              <w:bottom w:val="single" w:sz="4" w:space="0" w:color="auto"/>
              <w:right w:val="nil"/>
            </w:tcBorders>
            <w:shd w:val="clear" w:color="auto" w:fill="auto"/>
            <w:noWrap/>
            <w:vAlign w:val="center"/>
            <w:hideMark/>
          </w:tcPr>
          <w:p w14:paraId="2377680F" w14:textId="77777777" w:rsidR="00387142" w:rsidRPr="008B6A75" w:rsidRDefault="00387142" w:rsidP="00387142">
            <w:pPr>
              <w:jc w:val="center"/>
              <w:rPr>
                <w:sz w:val="20"/>
                <w:szCs w:val="20"/>
              </w:rPr>
            </w:pPr>
            <w:r w:rsidRPr="008B6A75">
              <w:rPr>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36DFD5AD" w14:textId="77777777" w:rsidR="00387142" w:rsidRPr="008B6A75" w:rsidRDefault="00387142" w:rsidP="00387142">
            <w:pPr>
              <w:jc w:val="center"/>
              <w:rPr>
                <w:sz w:val="20"/>
                <w:szCs w:val="20"/>
              </w:rPr>
            </w:pPr>
            <w:r w:rsidRPr="008B6A75">
              <w:rPr>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415199A" w14:textId="77777777" w:rsidR="00387142" w:rsidRPr="008B6A75" w:rsidRDefault="00387142" w:rsidP="00387142">
            <w:pPr>
              <w:jc w:val="right"/>
              <w:rPr>
                <w:sz w:val="20"/>
                <w:szCs w:val="20"/>
              </w:rPr>
            </w:pPr>
            <w:r w:rsidRPr="008B6A75">
              <w:rPr>
                <w:sz w:val="20"/>
                <w:szCs w:val="20"/>
              </w:rPr>
              <w:t>270 000,00</w:t>
            </w:r>
          </w:p>
        </w:tc>
        <w:tc>
          <w:tcPr>
            <w:tcW w:w="851" w:type="dxa"/>
            <w:tcBorders>
              <w:top w:val="nil"/>
              <w:left w:val="single" w:sz="4" w:space="0" w:color="auto"/>
              <w:bottom w:val="single" w:sz="4" w:space="0" w:color="auto"/>
              <w:right w:val="nil"/>
            </w:tcBorders>
            <w:shd w:val="clear" w:color="auto" w:fill="auto"/>
            <w:noWrap/>
            <w:vAlign w:val="center"/>
            <w:hideMark/>
          </w:tcPr>
          <w:p w14:paraId="7883F4EB" w14:textId="77777777" w:rsidR="00387142" w:rsidRPr="008B6A75" w:rsidRDefault="00387142" w:rsidP="00387142">
            <w:pPr>
              <w:jc w:val="right"/>
              <w:rPr>
                <w:sz w:val="20"/>
                <w:szCs w:val="20"/>
              </w:rPr>
            </w:pPr>
            <w:r w:rsidRPr="008B6A75">
              <w:rPr>
                <w:sz w:val="20"/>
                <w:szCs w:val="20"/>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7957E29D" w14:textId="77777777" w:rsidR="00387142" w:rsidRPr="008B6A75" w:rsidRDefault="00387142" w:rsidP="00387142">
            <w:pPr>
              <w:jc w:val="right"/>
              <w:rPr>
                <w:sz w:val="20"/>
                <w:szCs w:val="20"/>
              </w:rPr>
            </w:pPr>
            <w:r w:rsidRPr="008B6A75">
              <w:rPr>
                <w:sz w:val="20"/>
                <w:szCs w:val="20"/>
              </w:rPr>
              <w:t>0,00</w:t>
            </w:r>
          </w:p>
        </w:tc>
      </w:tr>
      <w:tr w:rsidR="00387142" w:rsidRPr="008B6A75" w14:paraId="442D4FB7" w14:textId="77777777" w:rsidTr="00387142">
        <w:trPr>
          <w:trHeight w:val="300"/>
        </w:trPr>
        <w:tc>
          <w:tcPr>
            <w:tcW w:w="272" w:type="dxa"/>
            <w:tcBorders>
              <w:top w:val="nil"/>
              <w:left w:val="nil"/>
              <w:bottom w:val="nil"/>
              <w:right w:val="single" w:sz="4" w:space="0" w:color="auto"/>
            </w:tcBorders>
            <w:shd w:val="clear" w:color="auto" w:fill="auto"/>
            <w:noWrap/>
            <w:vAlign w:val="bottom"/>
            <w:hideMark/>
          </w:tcPr>
          <w:p w14:paraId="28763BF6"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5AE71A4B" w14:textId="77777777" w:rsidR="00387142" w:rsidRPr="008B6A75" w:rsidRDefault="00387142" w:rsidP="00387142">
            <w:pPr>
              <w:rPr>
                <w:sz w:val="20"/>
                <w:szCs w:val="20"/>
              </w:rPr>
            </w:pPr>
            <w:r w:rsidRPr="008B6A75">
              <w:rPr>
                <w:sz w:val="20"/>
                <w:szCs w:val="20"/>
              </w:rPr>
              <w:t>Иные межбюджетные трансферты</w:t>
            </w:r>
          </w:p>
        </w:tc>
        <w:tc>
          <w:tcPr>
            <w:tcW w:w="1559" w:type="dxa"/>
            <w:tcBorders>
              <w:top w:val="nil"/>
              <w:left w:val="single" w:sz="4" w:space="0" w:color="auto"/>
              <w:bottom w:val="single" w:sz="4" w:space="0" w:color="auto"/>
              <w:right w:val="nil"/>
            </w:tcBorders>
            <w:shd w:val="clear" w:color="auto" w:fill="auto"/>
            <w:noWrap/>
            <w:vAlign w:val="center"/>
            <w:hideMark/>
          </w:tcPr>
          <w:p w14:paraId="6EE8857C" w14:textId="77777777" w:rsidR="00387142" w:rsidRPr="008B6A75" w:rsidRDefault="00387142" w:rsidP="00387142">
            <w:pPr>
              <w:jc w:val="center"/>
              <w:rPr>
                <w:sz w:val="20"/>
                <w:szCs w:val="20"/>
              </w:rPr>
            </w:pPr>
            <w:r w:rsidRPr="008B6A75">
              <w:rPr>
                <w:sz w:val="20"/>
                <w:szCs w:val="20"/>
              </w:rPr>
              <w:t>10.0.00.04310</w:t>
            </w:r>
          </w:p>
        </w:tc>
        <w:tc>
          <w:tcPr>
            <w:tcW w:w="850" w:type="dxa"/>
            <w:tcBorders>
              <w:top w:val="nil"/>
              <w:left w:val="single" w:sz="4" w:space="0" w:color="auto"/>
              <w:bottom w:val="single" w:sz="4" w:space="0" w:color="auto"/>
              <w:right w:val="nil"/>
            </w:tcBorders>
            <w:shd w:val="clear" w:color="auto" w:fill="auto"/>
            <w:noWrap/>
            <w:vAlign w:val="center"/>
            <w:hideMark/>
          </w:tcPr>
          <w:p w14:paraId="6955E8DF" w14:textId="77777777" w:rsidR="00387142" w:rsidRPr="008B6A75" w:rsidRDefault="00387142" w:rsidP="00387142">
            <w:pPr>
              <w:jc w:val="center"/>
              <w:rPr>
                <w:sz w:val="20"/>
                <w:szCs w:val="20"/>
              </w:rPr>
            </w:pPr>
            <w:r w:rsidRPr="008B6A75">
              <w:rPr>
                <w:sz w:val="20"/>
                <w:szCs w:val="20"/>
              </w:rPr>
              <w:t>540</w:t>
            </w:r>
          </w:p>
        </w:tc>
        <w:tc>
          <w:tcPr>
            <w:tcW w:w="567" w:type="dxa"/>
            <w:tcBorders>
              <w:top w:val="nil"/>
              <w:left w:val="single" w:sz="4" w:space="0" w:color="auto"/>
              <w:bottom w:val="single" w:sz="4" w:space="0" w:color="auto"/>
              <w:right w:val="nil"/>
            </w:tcBorders>
            <w:shd w:val="clear" w:color="auto" w:fill="auto"/>
            <w:noWrap/>
            <w:vAlign w:val="center"/>
            <w:hideMark/>
          </w:tcPr>
          <w:p w14:paraId="1FD3928C" w14:textId="77777777" w:rsidR="00387142" w:rsidRPr="008B6A75" w:rsidRDefault="00387142" w:rsidP="00387142">
            <w:pPr>
              <w:jc w:val="center"/>
              <w:rPr>
                <w:sz w:val="20"/>
                <w:szCs w:val="20"/>
              </w:rPr>
            </w:pPr>
            <w:r w:rsidRPr="008B6A75">
              <w:rPr>
                <w:sz w:val="20"/>
                <w:szCs w:val="20"/>
              </w:rPr>
              <w:t>04</w:t>
            </w:r>
          </w:p>
        </w:tc>
        <w:tc>
          <w:tcPr>
            <w:tcW w:w="567" w:type="dxa"/>
            <w:tcBorders>
              <w:top w:val="nil"/>
              <w:left w:val="single" w:sz="4" w:space="0" w:color="auto"/>
              <w:bottom w:val="single" w:sz="4" w:space="0" w:color="auto"/>
              <w:right w:val="nil"/>
            </w:tcBorders>
            <w:shd w:val="clear" w:color="auto" w:fill="auto"/>
            <w:noWrap/>
            <w:vAlign w:val="center"/>
            <w:hideMark/>
          </w:tcPr>
          <w:p w14:paraId="12A9CF0B" w14:textId="77777777" w:rsidR="00387142" w:rsidRPr="008B6A75" w:rsidRDefault="00387142" w:rsidP="00387142">
            <w:pPr>
              <w:jc w:val="center"/>
              <w:rPr>
                <w:sz w:val="20"/>
                <w:szCs w:val="20"/>
              </w:rPr>
            </w:pPr>
            <w:r w:rsidRPr="008B6A75">
              <w:rPr>
                <w:sz w:val="20"/>
                <w:szCs w:val="20"/>
              </w:rPr>
              <w:t>09</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77885BB" w14:textId="77777777" w:rsidR="00387142" w:rsidRPr="008B6A75" w:rsidRDefault="00387142" w:rsidP="00387142">
            <w:pPr>
              <w:jc w:val="right"/>
              <w:rPr>
                <w:sz w:val="20"/>
                <w:szCs w:val="20"/>
              </w:rPr>
            </w:pPr>
            <w:r w:rsidRPr="008B6A75">
              <w:rPr>
                <w:sz w:val="20"/>
                <w:szCs w:val="20"/>
              </w:rPr>
              <w:t>270 000,00</w:t>
            </w:r>
          </w:p>
        </w:tc>
        <w:tc>
          <w:tcPr>
            <w:tcW w:w="851" w:type="dxa"/>
            <w:tcBorders>
              <w:top w:val="nil"/>
              <w:left w:val="single" w:sz="4" w:space="0" w:color="auto"/>
              <w:bottom w:val="single" w:sz="4" w:space="0" w:color="auto"/>
              <w:right w:val="nil"/>
            </w:tcBorders>
            <w:shd w:val="clear" w:color="auto" w:fill="auto"/>
            <w:noWrap/>
            <w:vAlign w:val="center"/>
            <w:hideMark/>
          </w:tcPr>
          <w:p w14:paraId="05AF1B46" w14:textId="77777777" w:rsidR="00387142" w:rsidRPr="008B6A75" w:rsidRDefault="00387142" w:rsidP="00387142">
            <w:pPr>
              <w:jc w:val="right"/>
              <w:rPr>
                <w:sz w:val="20"/>
                <w:szCs w:val="20"/>
              </w:rPr>
            </w:pPr>
            <w:r w:rsidRPr="008B6A75">
              <w:rPr>
                <w:sz w:val="20"/>
                <w:szCs w:val="20"/>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29B5F2B8" w14:textId="77777777" w:rsidR="00387142" w:rsidRPr="008B6A75" w:rsidRDefault="00387142" w:rsidP="00387142">
            <w:pPr>
              <w:jc w:val="right"/>
              <w:rPr>
                <w:sz w:val="20"/>
                <w:szCs w:val="20"/>
              </w:rPr>
            </w:pPr>
            <w:r w:rsidRPr="008B6A75">
              <w:rPr>
                <w:sz w:val="20"/>
                <w:szCs w:val="20"/>
              </w:rPr>
              <w:t>0,00</w:t>
            </w:r>
          </w:p>
        </w:tc>
      </w:tr>
      <w:tr w:rsidR="00387142" w:rsidRPr="008B6A75" w14:paraId="1E0B09F0" w14:textId="77777777" w:rsidTr="00387142">
        <w:trPr>
          <w:trHeight w:val="870"/>
        </w:trPr>
        <w:tc>
          <w:tcPr>
            <w:tcW w:w="272" w:type="dxa"/>
            <w:tcBorders>
              <w:top w:val="nil"/>
              <w:left w:val="nil"/>
              <w:bottom w:val="nil"/>
              <w:right w:val="single" w:sz="4" w:space="0" w:color="auto"/>
            </w:tcBorders>
            <w:shd w:val="clear" w:color="auto" w:fill="auto"/>
            <w:noWrap/>
            <w:vAlign w:val="bottom"/>
            <w:hideMark/>
          </w:tcPr>
          <w:p w14:paraId="1957F547"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5E695771" w14:textId="77777777" w:rsidR="00387142" w:rsidRPr="008B6A75" w:rsidRDefault="00387142" w:rsidP="00387142">
            <w:pPr>
              <w:rPr>
                <w:bCs/>
                <w:sz w:val="20"/>
                <w:szCs w:val="20"/>
              </w:rPr>
            </w:pPr>
            <w:r w:rsidRPr="008B6A75">
              <w:rPr>
                <w:bCs/>
                <w:sz w:val="20"/>
                <w:szCs w:val="20"/>
              </w:rPr>
              <w:t>Капитальный ремонт и ремонт сети автомобильных дорог общего пользования и искусственных сооружений на них</w:t>
            </w:r>
          </w:p>
        </w:tc>
        <w:tc>
          <w:tcPr>
            <w:tcW w:w="1559" w:type="dxa"/>
            <w:tcBorders>
              <w:top w:val="nil"/>
              <w:left w:val="single" w:sz="4" w:space="0" w:color="auto"/>
              <w:bottom w:val="single" w:sz="4" w:space="0" w:color="auto"/>
              <w:right w:val="nil"/>
            </w:tcBorders>
            <w:shd w:val="clear" w:color="auto" w:fill="auto"/>
            <w:noWrap/>
            <w:vAlign w:val="center"/>
            <w:hideMark/>
          </w:tcPr>
          <w:p w14:paraId="0A4C822A" w14:textId="77777777" w:rsidR="00387142" w:rsidRPr="008B6A75" w:rsidRDefault="00387142" w:rsidP="00387142">
            <w:pPr>
              <w:jc w:val="center"/>
              <w:rPr>
                <w:bCs/>
                <w:sz w:val="20"/>
                <w:szCs w:val="20"/>
              </w:rPr>
            </w:pPr>
            <w:r w:rsidRPr="008B6A75">
              <w:rPr>
                <w:bCs/>
                <w:sz w:val="20"/>
                <w:szCs w:val="20"/>
              </w:rPr>
              <w:t>10.0.00.04330</w:t>
            </w:r>
          </w:p>
        </w:tc>
        <w:tc>
          <w:tcPr>
            <w:tcW w:w="850" w:type="dxa"/>
            <w:tcBorders>
              <w:top w:val="nil"/>
              <w:left w:val="single" w:sz="4" w:space="0" w:color="auto"/>
              <w:bottom w:val="single" w:sz="4" w:space="0" w:color="auto"/>
              <w:right w:val="nil"/>
            </w:tcBorders>
            <w:shd w:val="clear" w:color="auto" w:fill="auto"/>
            <w:noWrap/>
            <w:vAlign w:val="center"/>
            <w:hideMark/>
          </w:tcPr>
          <w:p w14:paraId="342A3F41" w14:textId="77777777" w:rsidR="00387142" w:rsidRPr="008B6A75" w:rsidRDefault="00387142" w:rsidP="00387142">
            <w:pPr>
              <w:jc w:val="center"/>
              <w:rPr>
                <w:bCs/>
                <w:sz w:val="20"/>
                <w:szCs w:val="20"/>
              </w:rPr>
            </w:pPr>
            <w:r w:rsidRPr="008B6A75">
              <w:rPr>
                <w:bCs/>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53C96AB7" w14:textId="77777777" w:rsidR="00387142" w:rsidRPr="008B6A75" w:rsidRDefault="00387142" w:rsidP="00387142">
            <w:pPr>
              <w:jc w:val="center"/>
              <w:rPr>
                <w:bCs/>
                <w:sz w:val="20"/>
                <w:szCs w:val="20"/>
              </w:rPr>
            </w:pPr>
            <w:r w:rsidRPr="008B6A75">
              <w:rPr>
                <w:bCs/>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710FE0F8" w14:textId="77777777" w:rsidR="00387142" w:rsidRPr="008B6A75" w:rsidRDefault="00387142" w:rsidP="00387142">
            <w:pPr>
              <w:jc w:val="center"/>
              <w:rPr>
                <w:bCs/>
                <w:sz w:val="20"/>
                <w:szCs w:val="20"/>
              </w:rPr>
            </w:pPr>
            <w:r w:rsidRPr="008B6A75">
              <w:rPr>
                <w:bCs/>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93678EB" w14:textId="77777777" w:rsidR="00387142" w:rsidRPr="008B6A75" w:rsidRDefault="00387142" w:rsidP="00387142">
            <w:pPr>
              <w:jc w:val="right"/>
              <w:rPr>
                <w:bCs/>
                <w:sz w:val="20"/>
                <w:szCs w:val="20"/>
              </w:rPr>
            </w:pPr>
            <w:r w:rsidRPr="008B6A75">
              <w:rPr>
                <w:bCs/>
                <w:sz w:val="20"/>
                <w:szCs w:val="20"/>
              </w:rPr>
              <w:t>15 974 211,60</w:t>
            </w:r>
          </w:p>
        </w:tc>
        <w:tc>
          <w:tcPr>
            <w:tcW w:w="851" w:type="dxa"/>
            <w:tcBorders>
              <w:top w:val="nil"/>
              <w:left w:val="single" w:sz="4" w:space="0" w:color="auto"/>
              <w:bottom w:val="single" w:sz="4" w:space="0" w:color="auto"/>
              <w:right w:val="nil"/>
            </w:tcBorders>
            <w:shd w:val="clear" w:color="auto" w:fill="auto"/>
            <w:noWrap/>
            <w:vAlign w:val="center"/>
            <w:hideMark/>
          </w:tcPr>
          <w:p w14:paraId="09C9755D" w14:textId="77777777" w:rsidR="00387142" w:rsidRPr="008B6A75" w:rsidRDefault="00387142" w:rsidP="00387142">
            <w:pPr>
              <w:jc w:val="right"/>
              <w:rPr>
                <w:bCs/>
                <w:sz w:val="20"/>
                <w:szCs w:val="20"/>
              </w:rPr>
            </w:pPr>
            <w:r w:rsidRPr="008B6A75">
              <w:rPr>
                <w:bCs/>
                <w:sz w:val="20"/>
                <w:szCs w:val="20"/>
              </w:rPr>
              <w:t>15 471 200,00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10A827C9" w14:textId="77777777" w:rsidR="00387142" w:rsidRPr="008B6A75" w:rsidRDefault="00387142" w:rsidP="00387142">
            <w:pPr>
              <w:jc w:val="right"/>
              <w:rPr>
                <w:bCs/>
                <w:sz w:val="20"/>
                <w:szCs w:val="20"/>
              </w:rPr>
            </w:pPr>
            <w:r w:rsidRPr="008B6A75">
              <w:rPr>
                <w:bCs/>
                <w:sz w:val="20"/>
                <w:szCs w:val="20"/>
              </w:rPr>
              <w:t>15 584 000,00</w:t>
            </w:r>
          </w:p>
        </w:tc>
      </w:tr>
      <w:tr w:rsidR="00387142" w:rsidRPr="008B6A75" w14:paraId="557B67D1" w14:textId="77777777" w:rsidTr="00387142">
        <w:trPr>
          <w:trHeight w:val="585"/>
        </w:trPr>
        <w:tc>
          <w:tcPr>
            <w:tcW w:w="272" w:type="dxa"/>
            <w:tcBorders>
              <w:top w:val="nil"/>
              <w:left w:val="nil"/>
              <w:bottom w:val="nil"/>
              <w:right w:val="single" w:sz="4" w:space="0" w:color="auto"/>
            </w:tcBorders>
            <w:shd w:val="clear" w:color="auto" w:fill="auto"/>
            <w:noWrap/>
            <w:vAlign w:val="bottom"/>
            <w:hideMark/>
          </w:tcPr>
          <w:p w14:paraId="2888ED58"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28060271" w14:textId="77777777" w:rsidR="00387142" w:rsidRPr="008B6A75" w:rsidRDefault="00387142" w:rsidP="00387142">
            <w:pPr>
              <w:rPr>
                <w:sz w:val="20"/>
                <w:szCs w:val="20"/>
              </w:rPr>
            </w:pPr>
            <w:r w:rsidRPr="008B6A75">
              <w:rPr>
                <w:sz w:val="20"/>
                <w:szCs w:val="20"/>
              </w:rPr>
              <w:t>Закупка товаров, работ и услуг для обеспечения государственных (муниципальных) нужд</w:t>
            </w:r>
          </w:p>
        </w:tc>
        <w:tc>
          <w:tcPr>
            <w:tcW w:w="1559" w:type="dxa"/>
            <w:tcBorders>
              <w:top w:val="nil"/>
              <w:left w:val="single" w:sz="4" w:space="0" w:color="auto"/>
              <w:bottom w:val="single" w:sz="4" w:space="0" w:color="auto"/>
              <w:right w:val="nil"/>
            </w:tcBorders>
            <w:shd w:val="clear" w:color="auto" w:fill="auto"/>
            <w:noWrap/>
            <w:vAlign w:val="center"/>
            <w:hideMark/>
          </w:tcPr>
          <w:p w14:paraId="099868BE" w14:textId="77777777" w:rsidR="00387142" w:rsidRPr="008B6A75" w:rsidRDefault="00387142" w:rsidP="00387142">
            <w:pPr>
              <w:jc w:val="center"/>
              <w:rPr>
                <w:sz w:val="20"/>
                <w:szCs w:val="20"/>
              </w:rPr>
            </w:pPr>
            <w:r w:rsidRPr="008B6A75">
              <w:rPr>
                <w:sz w:val="20"/>
                <w:szCs w:val="20"/>
              </w:rPr>
              <w:t>10.0.00.04330</w:t>
            </w:r>
          </w:p>
        </w:tc>
        <w:tc>
          <w:tcPr>
            <w:tcW w:w="850" w:type="dxa"/>
            <w:tcBorders>
              <w:top w:val="nil"/>
              <w:left w:val="single" w:sz="4" w:space="0" w:color="auto"/>
              <w:bottom w:val="single" w:sz="4" w:space="0" w:color="auto"/>
              <w:right w:val="nil"/>
            </w:tcBorders>
            <w:shd w:val="clear" w:color="auto" w:fill="auto"/>
            <w:noWrap/>
            <w:vAlign w:val="center"/>
            <w:hideMark/>
          </w:tcPr>
          <w:p w14:paraId="36F703A3" w14:textId="77777777" w:rsidR="00387142" w:rsidRPr="008B6A75" w:rsidRDefault="00387142" w:rsidP="00387142">
            <w:pPr>
              <w:jc w:val="center"/>
              <w:rPr>
                <w:sz w:val="20"/>
                <w:szCs w:val="20"/>
              </w:rPr>
            </w:pPr>
            <w:r w:rsidRPr="008B6A75">
              <w:rPr>
                <w:sz w:val="20"/>
                <w:szCs w:val="20"/>
              </w:rPr>
              <w:t>200</w:t>
            </w:r>
          </w:p>
        </w:tc>
        <w:tc>
          <w:tcPr>
            <w:tcW w:w="567" w:type="dxa"/>
            <w:tcBorders>
              <w:top w:val="nil"/>
              <w:left w:val="single" w:sz="4" w:space="0" w:color="auto"/>
              <w:bottom w:val="single" w:sz="4" w:space="0" w:color="auto"/>
              <w:right w:val="nil"/>
            </w:tcBorders>
            <w:shd w:val="clear" w:color="auto" w:fill="auto"/>
            <w:noWrap/>
            <w:vAlign w:val="center"/>
            <w:hideMark/>
          </w:tcPr>
          <w:p w14:paraId="3D534A0C" w14:textId="77777777" w:rsidR="00387142" w:rsidRPr="008B6A75" w:rsidRDefault="00387142" w:rsidP="00387142">
            <w:pPr>
              <w:jc w:val="center"/>
              <w:rPr>
                <w:sz w:val="20"/>
                <w:szCs w:val="20"/>
              </w:rPr>
            </w:pPr>
            <w:r w:rsidRPr="008B6A75">
              <w:rPr>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3F4C934A" w14:textId="77777777" w:rsidR="00387142" w:rsidRPr="008B6A75" w:rsidRDefault="00387142" w:rsidP="00387142">
            <w:pPr>
              <w:jc w:val="center"/>
              <w:rPr>
                <w:sz w:val="20"/>
                <w:szCs w:val="20"/>
              </w:rPr>
            </w:pPr>
            <w:r w:rsidRPr="008B6A75">
              <w:rPr>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7BB4B0E" w14:textId="77777777" w:rsidR="00387142" w:rsidRPr="008B6A75" w:rsidRDefault="00387142" w:rsidP="00387142">
            <w:pPr>
              <w:jc w:val="right"/>
              <w:rPr>
                <w:sz w:val="20"/>
                <w:szCs w:val="20"/>
              </w:rPr>
            </w:pPr>
            <w:r w:rsidRPr="008B6A75">
              <w:rPr>
                <w:sz w:val="20"/>
                <w:szCs w:val="20"/>
              </w:rPr>
              <w:t>0,00</w:t>
            </w:r>
          </w:p>
        </w:tc>
        <w:tc>
          <w:tcPr>
            <w:tcW w:w="851" w:type="dxa"/>
            <w:tcBorders>
              <w:top w:val="nil"/>
              <w:left w:val="single" w:sz="4" w:space="0" w:color="auto"/>
              <w:bottom w:val="single" w:sz="4" w:space="0" w:color="auto"/>
              <w:right w:val="nil"/>
            </w:tcBorders>
            <w:shd w:val="clear" w:color="auto" w:fill="auto"/>
            <w:noWrap/>
            <w:vAlign w:val="center"/>
            <w:hideMark/>
          </w:tcPr>
          <w:p w14:paraId="673B5BBC" w14:textId="77777777" w:rsidR="00387142" w:rsidRPr="008B6A75" w:rsidRDefault="00387142" w:rsidP="00387142">
            <w:pPr>
              <w:jc w:val="right"/>
              <w:rPr>
                <w:sz w:val="20"/>
                <w:szCs w:val="20"/>
              </w:rPr>
            </w:pPr>
            <w:r w:rsidRPr="008B6A75">
              <w:rPr>
                <w:sz w:val="20"/>
                <w:szCs w:val="20"/>
              </w:rPr>
              <w:t>15 471 200,00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6B3B1AAE" w14:textId="77777777" w:rsidR="00387142" w:rsidRPr="008B6A75" w:rsidRDefault="00387142" w:rsidP="00387142">
            <w:pPr>
              <w:jc w:val="right"/>
              <w:rPr>
                <w:sz w:val="20"/>
                <w:szCs w:val="20"/>
              </w:rPr>
            </w:pPr>
            <w:r w:rsidRPr="008B6A75">
              <w:rPr>
                <w:sz w:val="20"/>
                <w:szCs w:val="20"/>
              </w:rPr>
              <w:t>15 584 000,00</w:t>
            </w:r>
          </w:p>
        </w:tc>
      </w:tr>
      <w:tr w:rsidR="00387142" w:rsidRPr="008B6A75" w14:paraId="42C5A5BC" w14:textId="77777777" w:rsidTr="00387142">
        <w:trPr>
          <w:trHeight w:val="870"/>
        </w:trPr>
        <w:tc>
          <w:tcPr>
            <w:tcW w:w="272" w:type="dxa"/>
            <w:tcBorders>
              <w:top w:val="nil"/>
              <w:left w:val="nil"/>
              <w:bottom w:val="nil"/>
              <w:right w:val="single" w:sz="4" w:space="0" w:color="auto"/>
            </w:tcBorders>
            <w:shd w:val="clear" w:color="auto" w:fill="auto"/>
            <w:noWrap/>
            <w:vAlign w:val="bottom"/>
            <w:hideMark/>
          </w:tcPr>
          <w:p w14:paraId="7A4A9843"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1AC02C4B" w14:textId="77777777" w:rsidR="00387142" w:rsidRPr="008B6A75" w:rsidRDefault="00387142" w:rsidP="00387142">
            <w:pPr>
              <w:rPr>
                <w:sz w:val="20"/>
                <w:szCs w:val="20"/>
              </w:rPr>
            </w:pPr>
            <w:r w:rsidRPr="008B6A75">
              <w:rPr>
                <w:sz w:val="20"/>
                <w:szCs w:val="20"/>
              </w:rPr>
              <w:t>Иные закупки товаров, работ и услуг для обеспечения государственных (муниципальных) нужд</w:t>
            </w:r>
          </w:p>
        </w:tc>
        <w:tc>
          <w:tcPr>
            <w:tcW w:w="1559" w:type="dxa"/>
            <w:tcBorders>
              <w:top w:val="nil"/>
              <w:left w:val="single" w:sz="4" w:space="0" w:color="auto"/>
              <w:bottom w:val="single" w:sz="4" w:space="0" w:color="auto"/>
              <w:right w:val="nil"/>
            </w:tcBorders>
            <w:shd w:val="clear" w:color="auto" w:fill="auto"/>
            <w:noWrap/>
            <w:vAlign w:val="center"/>
            <w:hideMark/>
          </w:tcPr>
          <w:p w14:paraId="596FE6BA" w14:textId="77777777" w:rsidR="00387142" w:rsidRPr="008B6A75" w:rsidRDefault="00387142" w:rsidP="00387142">
            <w:pPr>
              <w:jc w:val="center"/>
              <w:rPr>
                <w:sz w:val="20"/>
                <w:szCs w:val="20"/>
              </w:rPr>
            </w:pPr>
            <w:r w:rsidRPr="008B6A75">
              <w:rPr>
                <w:sz w:val="20"/>
                <w:szCs w:val="20"/>
              </w:rPr>
              <w:t>10.0.00.04330</w:t>
            </w:r>
          </w:p>
        </w:tc>
        <w:tc>
          <w:tcPr>
            <w:tcW w:w="850" w:type="dxa"/>
            <w:tcBorders>
              <w:top w:val="nil"/>
              <w:left w:val="single" w:sz="4" w:space="0" w:color="auto"/>
              <w:bottom w:val="single" w:sz="4" w:space="0" w:color="auto"/>
              <w:right w:val="nil"/>
            </w:tcBorders>
            <w:shd w:val="clear" w:color="auto" w:fill="auto"/>
            <w:noWrap/>
            <w:vAlign w:val="center"/>
            <w:hideMark/>
          </w:tcPr>
          <w:p w14:paraId="34F3513A" w14:textId="77777777" w:rsidR="00387142" w:rsidRPr="008B6A75" w:rsidRDefault="00387142" w:rsidP="00387142">
            <w:pPr>
              <w:jc w:val="center"/>
              <w:rPr>
                <w:sz w:val="20"/>
                <w:szCs w:val="20"/>
              </w:rPr>
            </w:pPr>
            <w:r w:rsidRPr="008B6A75">
              <w:rPr>
                <w:sz w:val="20"/>
                <w:szCs w:val="20"/>
              </w:rPr>
              <w:t>240</w:t>
            </w:r>
          </w:p>
        </w:tc>
        <w:tc>
          <w:tcPr>
            <w:tcW w:w="567" w:type="dxa"/>
            <w:tcBorders>
              <w:top w:val="nil"/>
              <w:left w:val="single" w:sz="4" w:space="0" w:color="auto"/>
              <w:bottom w:val="single" w:sz="4" w:space="0" w:color="auto"/>
              <w:right w:val="nil"/>
            </w:tcBorders>
            <w:shd w:val="clear" w:color="auto" w:fill="auto"/>
            <w:noWrap/>
            <w:vAlign w:val="center"/>
            <w:hideMark/>
          </w:tcPr>
          <w:p w14:paraId="757FE7DF" w14:textId="77777777" w:rsidR="00387142" w:rsidRPr="008B6A75" w:rsidRDefault="00387142" w:rsidP="00387142">
            <w:pPr>
              <w:jc w:val="center"/>
              <w:rPr>
                <w:sz w:val="20"/>
                <w:szCs w:val="20"/>
              </w:rPr>
            </w:pPr>
            <w:r w:rsidRPr="008B6A75">
              <w:rPr>
                <w:sz w:val="20"/>
                <w:szCs w:val="20"/>
              </w:rPr>
              <w:t>04</w:t>
            </w:r>
          </w:p>
        </w:tc>
        <w:tc>
          <w:tcPr>
            <w:tcW w:w="567" w:type="dxa"/>
            <w:tcBorders>
              <w:top w:val="nil"/>
              <w:left w:val="single" w:sz="4" w:space="0" w:color="auto"/>
              <w:bottom w:val="single" w:sz="4" w:space="0" w:color="auto"/>
              <w:right w:val="nil"/>
            </w:tcBorders>
            <w:shd w:val="clear" w:color="auto" w:fill="auto"/>
            <w:noWrap/>
            <w:vAlign w:val="center"/>
            <w:hideMark/>
          </w:tcPr>
          <w:p w14:paraId="46EF52FE" w14:textId="77777777" w:rsidR="00387142" w:rsidRPr="008B6A75" w:rsidRDefault="00387142" w:rsidP="00387142">
            <w:pPr>
              <w:jc w:val="center"/>
              <w:rPr>
                <w:sz w:val="20"/>
                <w:szCs w:val="20"/>
              </w:rPr>
            </w:pPr>
            <w:r w:rsidRPr="008B6A75">
              <w:rPr>
                <w:sz w:val="20"/>
                <w:szCs w:val="20"/>
              </w:rPr>
              <w:t>09</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64FB336" w14:textId="77777777" w:rsidR="00387142" w:rsidRPr="008B6A75" w:rsidRDefault="00387142" w:rsidP="00387142">
            <w:pPr>
              <w:jc w:val="right"/>
              <w:rPr>
                <w:sz w:val="20"/>
                <w:szCs w:val="20"/>
              </w:rPr>
            </w:pPr>
            <w:r w:rsidRPr="008B6A75">
              <w:rPr>
                <w:sz w:val="20"/>
                <w:szCs w:val="20"/>
              </w:rPr>
              <w:t>0,00</w:t>
            </w:r>
          </w:p>
        </w:tc>
        <w:tc>
          <w:tcPr>
            <w:tcW w:w="851" w:type="dxa"/>
            <w:tcBorders>
              <w:top w:val="nil"/>
              <w:left w:val="single" w:sz="4" w:space="0" w:color="auto"/>
              <w:bottom w:val="single" w:sz="4" w:space="0" w:color="auto"/>
              <w:right w:val="nil"/>
            </w:tcBorders>
            <w:shd w:val="clear" w:color="auto" w:fill="auto"/>
            <w:noWrap/>
            <w:vAlign w:val="center"/>
            <w:hideMark/>
          </w:tcPr>
          <w:p w14:paraId="1A9B0FC3" w14:textId="77777777" w:rsidR="00387142" w:rsidRPr="008B6A75" w:rsidRDefault="00387142" w:rsidP="00387142">
            <w:pPr>
              <w:jc w:val="right"/>
              <w:rPr>
                <w:sz w:val="20"/>
                <w:szCs w:val="20"/>
              </w:rPr>
            </w:pPr>
            <w:r w:rsidRPr="008B6A75">
              <w:rPr>
                <w:sz w:val="20"/>
                <w:szCs w:val="20"/>
              </w:rPr>
              <w:t>15 471 200,00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49B869F5" w14:textId="77777777" w:rsidR="00387142" w:rsidRPr="008B6A75" w:rsidRDefault="00387142" w:rsidP="00387142">
            <w:pPr>
              <w:jc w:val="right"/>
              <w:rPr>
                <w:sz w:val="20"/>
                <w:szCs w:val="20"/>
              </w:rPr>
            </w:pPr>
            <w:r w:rsidRPr="008B6A75">
              <w:rPr>
                <w:sz w:val="20"/>
                <w:szCs w:val="20"/>
              </w:rPr>
              <w:t>15 584 000,00</w:t>
            </w:r>
          </w:p>
        </w:tc>
      </w:tr>
      <w:tr w:rsidR="00387142" w:rsidRPr="008B6A75" w14:paraId="6306213A" w14:textId="77777777" w:rsidTr="00387142">
        <w:trPr>
          <w:trHeight w:val="300"/>
        </w:trPr>
        <w:tc>
          <w:tcPr>
            <w:tcW w:w="272" w:type="dxa"/>
            <w:tcBorders>
              <w:top w:val="nil"/>
              <w:left w:val="nil"/>
              <w:bottom w:val="nil"/>
              <w:right w:val="single" w:sz="4" w:space="0" w:color="auto"/>
            </w:tcBorders>
            <w:shd w:val="clear" w:color="auto" w:fill="auto"/>
            <w:noWrap/>
            <w:vAlign w:val="bottom"/>
            <w:hideMark/>
          </w:tcPr>
          <w:p w14:paraId="3373ECF2"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0155DCFB" w14:textId="77777777" w:rsidR="00387142" w:rsidRPr="008B6A75" w:rsidRDefault="00387142" w:rsidP="00387142">
            <w:pPr>
              <w:rPr>
                <w:sz w:val="20"/>
                <w:szCs w:val="20"/>
              </w:rPr>
            </w:pPr>
            <w:r w:rsidRPr="008B6A75">
              <w:rPr>
                <w:sz w:val="20"/>
                <w:szCs w:val="20"/>
              </w:rPr>
              <w:t>Межбюджетные трансферты</w:t>
            </w:r>
          </w:p>
        </w:tc>
        <w:tc>
          <w:tcPr>
            <w:tcW w:w="1559" w:type="dxa"/>
            <w:tcBorders>
              <w:top w:val="nil"/>
              <w:left w:val="single" w:sz="4" w:space="0" w:color="auto"/>
              <w:bottom w:val="single" w:sz="4" w:space="0" w:color="auto"/>
              <w:right w:val="nil"/>
            </w:tcBorders>
            <w:shd w:val="clear" w:color="auto" w:fill="auto"/>
            <w:noWrap/>
            <w:vAlign w:val="center"/>
            <w:hideMark/>
          </w:tcPr>
          <w:p w14:paraId="560B2D39" w14:textId="77777777" w:rsidR="00387142" w:rsidRPr="008B6A75" w:rsidRDefault="00387142" w:rsidP="00387142">
            <w:pPr>
              <w:jc w:val="center"/>
              <w:rPr>
                <w:sz w:val="20"/>
                <w:szCs w:val="20"/>
              </w:rPr>
            </w:pPr>
            <w:r w:rsidRPr="008B6A75">
              <w:rPr>
                <w:sz w:val="20"/>
                <w:szCs w:val="20"/>
              </w:rPr>
              <w:t>10.0.00.04330</w:t>
            </w:r>
          </w:p>
        </w:tc>
        <w:tc>
          <w:tcPr>
            <w:tcW w:w="850" w:type="dxa"/>
            <w:tcBorders>
              <w:top w:val="nil"/>
              <w:left w:val="single" w:sz="4" w:space="0" w:color="auto"/>
              <w:bottom w:val="single" w:sz="4" w:space="0" w:color="auto"/>
              <w:right w:val="nil"/>
            </w:tcBorders>
            <w:shd w:val="clear" w:color="auto" w:fill="auto"/>
            <w:noWrap/>
            <w:vAlign w:val="center"/>
            <w:hideMark/>
          </w:tcPr>
          <w:p w14:paraId="05D2CBB6" w14:textId="77777777" w:rsidR="00387142" w:rsidRPr="008B6A75" w:rsidRDefault="00387142" w:rsidP="00387142">
            <w:pPr>
              <w:jc w:val="center"/>
              <w:rPr>
                <w:sz w:val="20"/>
                <w:szCs w:val="20"/>
              </w:rPr>
            </w:pPr>
            <w:r w:rsidRPr="008B6A75">
              <w:rPr>
                <w:sz w:val="20"/>
                <w:szCs w:val="20"/>
              </w:rPr>
              <w:t>500</w:t>
            </w:r>
          </w:p>
        </w:tc>
        <w:tc>
          <w:tcPr>
            <w:tcW w:w="567" w:type="dxa"/>
            <w:tcBorders>
              <w:top w:val="nil"/>
              <w:left w:val="single" w:sz="4" w:space="0" w:color="auto"/>
              <w:bottom w:val="single" w:sz="4" w:space="0" w:color="auto"/>
              <w:right w:val="nil"/>
            </w:tcBorders>
            <w:shd w:val="clear" w:color="auto" w:fill="auto"/>
            <w:noWrap/>
            <w:vAlign w:val="center"/>
            <w:hideMark/>
          </w:tcPr>
          <w:p w14:paraId="02DDC88F" w14:textId="77777777" w:rsidR="00387142" w:rsidRPr="008B6A75" w:rsidRDefault="00387142" w:rsidP="00387142">
            <w:pPr>
              <w:jc w:val="center"/>
              <w:rPr>
                <w:sz w:val="20"/>
                <w:szCs w:val="20"/>
              </w:rPr>
            </w:pPr>
            <w:r w:rsidRPr="008B6A75">
              <w:rPr>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1163B559" w14:textId="77777777" w:rsidR="00387142" w:rsidRPr="008B6A75" w:rsidRDefault="00387142" w:rsidP="00387142">
            <w:pPr>
              <w:jc w:val="center"/>
              <w:rPr>
                <w:sz w:val="20"/>
                <w:szCs w:val="20"/>
              </w:rPr>
            </w:pPr>
            <w:r w:rsidRPr="008B6A75">
              <w:rPr>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930CEEF" w14:textId="77777777" w:rsidR="00387142" w:rsidRPr="008B6A75" w:rsidRDefault="00387142" w:rsidP="00387142">
            <w:pPr>
              <w:jc w:val="right"/>
              <w:rPr>
                <w:sz w:val="20"/>
                <w:szCs w:val="20"/>
              </w:rPr>
            </w:pPr>
            <w:r w:rsidRPr="008B6A75">
              <w:rPr>
                <w:sz w:val="20"/>
                <w:szCs w:val="20"/>
              </w:rPr>
              <w:t>15 974 211,60</w:t>
            </w:r>
          </w:p>
        </w:tc>
        <w:tc>
          <w:tcPr>
            <w:tcW w:w="851" w:type="dxa"/>
            <w:tcBorders>
              <w:top w:val="nil"/>
              <w:left w:val="single" w:sz="4" w:space="0" w:color="auto"/>
              <w:bottom w:val="single" w:sz="4" w:space="0" w:color="auto"/>
              <w:right w:val="nil"/>
            </w:tcBorders>
            <w:shd w:val="clear" w:color="auto" w:fill="auto"/>
            <w:noWrap/>
            <w:vAlign w:val="center"/>
            <w:hideMark/>
          </w:tcPr>
          <w:p w14:paraId="207F68C3" w14:textId="77777777" w:rsidR="00387142" w:rsidRPr="008B6A75" w:rsidRDefault="00387142" w:rsidP="00387142">
            <w:pPr>
              <w:jc w:val="right"/>
              <w:rPr>
                <w:sz w:val="20"/>
                <w:szCs w:val="20"/>
              </w:rPr>
            </w:pPr>
            <w:r w:rsidRPr="008B6A75">
              <w:rPr>
                <w:sz w:val="20"/>
                <w:szCs w:val="20"/>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52E2D4AF" w14:textId="77777777" w:rsidR="00387142" w:rsidRPr="008B6A75" w:rsidRDefault="00387142" w:rsidP="00387142">
            <w:pPr>
              <w:jc w:val="right"/>
              <w:rPr>
                <w:sz w:val="20"/>
                <w:szCs w:val="20"/>
              </w:rPr>
            </w:pPr>
            <w:r w:rsidRPr="008B6A75">
              <w:rPr>
                <w:sz w:val="20"/>
                <w:szCs w:val="20"/>
              </w:rPr>
              <w:t>0,00</w:t>
            </w:r>
          </w:p>
        </w:tc>
      </w:tr>
      <w:tr w:rsidR="00387142" w:rsidRPr="008B6A75" w14:paraId="0F5F94EF" w14:textId="77777777" w:rsidTr="00387142">
        <w:trPr>
          <w:trHeight w:val="300"/>
        </w:trPr>
        <w:tc>
          <w:tcPr>
            <w:tcW w:w="272" w:type="dxa"/>
            <w:tcBorders>
              <w:top w:val="nil"/>
              <w:left w:val="nil"/>
              <w:bottom w:val="nil"/>
              <w:right w:val="single" w:sz="4" w:space="0" w:color="auto"/>
            </w:tcBorders>
            <w:shd w:val="clear" w:color="auto" w:fill="auto"/>
            <w:noWrap/>
            <w:vAlign w:val="bottom"/>
            <w:hideMark/>
          </w:tcPr>
          <w:p w14:paraId="7D359E3C"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0D0460C8" w14:textId="77777777" w:rsidR="00387142" w:rsidRPr="008B6A75" w:rsidRDefault="00387142" w:rsidP="00387142">
            <w:pPr>
              <w:rPr>
                <w:sz w:val="20"/>
                <w:szCs w:val="20"/>
              </w:rPr>
            </w:pPr>
            <w:r w:rsidRPr="008B6A75">
              <w:rPr>
                <w:sz w:val="20"/>
                <w:szCs w:val="20"/>
              </w:rPr>
              <w:t>Иные межбюджетные трансферты</w:t>
            </w:r>
          </w:p>
        </w:tc>
        <w:tc>
          <w:tcPr>
            <w:tcW w:w="1559" w:type="dxa"/>
            <w:tcBorders>
              <w:top w:val="nil"/>
              <w:left w:val="single" w:sz="4" w:space="0" w:color="auto"/>
              <w:bottom w:val="single" w:sz="4" w:space="0" w:color="auto"/>
              <w:right w:val="nil"/>
            </w:tcBorders>
            <w:shd w:val="clear" w:color="auto" w:fill="auto"/>
            <w:noWrap/>
            <w:vAlign w:val="center"/>
            <w:hideMark/>
          </w:tcPr>
          <w:p w14:paraId="7C018B3B" w14:textId="77777777" w:rsidR="00387142" w:rsidRPr="008B6A75" w:rsidRDefault="00387142" w:rsidP="00387142">
            <w:pPr>
              <w:jc w:val="center"/>
              <w:rPr>
                <w:sz w:val="20"/>
                <w:szCs w:val="20"/>
              </w:rPr>
            </w:pPr>
            <w:r w:rsidRPr="008B6A75">
              <w:rPr>
                <w:sz w:val="20"/>
                <w:szCs w:val="20"/>
              </w:rPr>
              <w:t>10.0.00.04330</w:t>
            </w:r>
          </w:p>
        </w:tc>
        <w:tc>
          <w:tcPr>
            <w:tcW w:w="850" w:type="dxa"/>
            <w:tcBorders>
              <w:top w:val="nil"/>
              <w:left w:val="single" w:sz="4" w:space="0" w:color="auto"/>
              <w:bottom w:val="single" w:sz="4" w:space="0" w:color="auto"/>
              <w:right w:val="nil"/>
            </w:tcBorders>
            <w:shd w:val="clear" w:color="auto" w:fill="auto"/>
            <w:noWrap/>
            <w:vAlign w:val="center"/>
            <w:hideMark/>
          </w:tcPr>
          <w:p w14:paraId="62474793" w14:textId="77777777" w:rsidR="00387142" w:rsidRPr="008B6A75" w:rsidRDefault="00387142" w:rsidP="00387142">
            <w:pPr>
              <w:jc w:val="center"/>
              <w:rPr>
                <w:sz w:val="20"/>
                <w:szCs w:val="20"/>
              </w:rPr>
            </w:pPr>
            <w:r w:rsidRPr="008B6A75">
              <w:rPr>
                <w:sz w:val="20"/>
                <w:szCs w:val="20"/>
              </w:rPr>
              <w:t>540</w:t>
            </w:r>
          </w:p>
        </w:tc>
        <w:tc>
          <w:tcPr>
            <w:tcW w:w="567" w:type="dxa"/>
            <w:tcBorders>
              <w:top w:val="nil"/>
              <w:left w:val="single" w:sz="4" w:space="0" w:color="auto"/>
              <w:bottom w:val="single" w:sz="4" w:space="0" w:color="auto"/>
              <w:right w:val="nil"/>
            </w:tcBorders>
            <w:shd w:val="clear" w:color="auto" w:fill="auto"/>
            <w:noWrap/>
            <w:vAlign w:val="center"/>
            <w:hideMark/>
          </w:tcPr>
          <w:p w14:paraId="6391B707" w14:textId="77777777" w:rsidR="00387142" w:rsidRPr="008B6A75" w:rsidRDefault="00387142" w:rsidP="00387142">
            <w:pPr>
              <w:jc w:val="center"/>
              <w:rPr>
                <w:sz w:val="20"/>
                <w:szCs w:val="20"/>
              </w:rPr>
            </w:pPr>
            <w:r w:rsidRPr="008B6A75">
              <w:rPr>
                <w:sz w:val="20"/>
                <w:szCs w:val="20"/>
              </w:rPr>
              <w:t>04</w:t>
            </w:r>
          </w:p>
        </w:tc>
        <w:tc>
          <w:tcPr>
            <w:tcW w:w="567" w:type="dxa"/>
            <w:tcBorders>
              <w:top w:val="nil"/>
              <w:left w:val="single" w:sz="4" w:space="0" w:color="auto"/>
              <w:bottom w:val="single" w:sz="4" w:space="0" w:color="auto"/>
              <w:right w:val="nil"/>
            </w:tcBorders>
            <w:shd w:val="clear" w:color="auto" w:fill="auto"/>
            <w:noWrap/>
            <w:vAlign w:val="center"/>
            <w:hideMark/>
          </w:tcPr>
          <w:p w14:paraId="68278592" w14:textId="77777777" w:rsidR="00387142" w:rsidRPr="008B6A75" w:rsidRDefault="00387142" w:rsidP="00387142">
            <w:pPr>
              <w:jc w:val="center"/>
              <w:rPr>
                <w:sz w:val="20"/>
                <w:szCs w:val="20"/>
              </w:rPr>
            </w:pPr>
            <w:r w:rsidRPr="008B6A75">
              <w:rPr>
                <w:sz w:val="20"/>
                <w:szCs w:val="20"/>
              </w:rPr>
              <w:t>09</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F3C1FCF" w14:textId="77777777" w:rsidR="00387142" w:rsidRPr="008B6A75" w:rsidRDefault="00387142" w:rsidP="00387142">
            <w:pPr>
              <w:jc w:val="right"/>
              <w:rPr>
                <w:sz w:val="20"/>
                <w:szCs w:val="20"/>
              </w:rPr>
            </w:pPr>
            <w:r w:rsidRPr="008B6A75">
              <w:rPr>
                <w:sz w:val="20"/>
                <w:szCs w:val="20"/>
              </w:rPr>
              <w:t>15 974 211,60</w:t>
            </w:r>
          </w:p>
        </w:tc>
        <w:tc>
          <w:tcPr>
            <w:tcW w:w="851" w:type="dxa"/>
            <w:tcBorders>
              <w:top w:val="nil"/>
              <w:left w:val="single" w:sz="4" w:space="0" w:color="auto"/>
              <w:bottom w:val="single" w:sz="4" w:space="0" w:color="auto"/>
              <w:right w:val="nil"/>
            </w:tcBorders>
            <w:shd w:val="clear" w:color="auto" w:fill="auto"/>
            <w:noWrap/>
            <w:vAlign w:val="center"/>
            <w:hideMark/>
          </w:tcPr>
          <w:p w14:paraId="509D2602" w14:textId="77777777" w:rsidR="00387142" w:rsidRPr="008B6A75" w:rsidRDefault="00387142" w:rsidP="00387142">
            <w:pPr>
              <w:jc w:val="right"/>
              <w:rPr>
                <w:sz w:val="20"/>
                <w:szCs w:val="20"/>
              </w:rPr>
            </w:pPr>
            <w:r w:rsidRPr="008B6A75">
              <w:rPr>
                <w:sz w:val="20"/>
                <w:szCs w:val="20"/>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37C80474" w14:textId="77777777" w:rsidR="00387142" w:rsidRPr="008B6A75" w:rsidRDefault="00387142" w:rsidP="00387142">
            <w:pPr>
              <w:jc w:val="right"/>
              <w:rPr>
                <w:sz w:val="20"/>
                <w:szCs w:val="20"/>
              </w:rPr>
            </w:pPr>
            <w:r w:rsidRPr="008B6A75">
              <w:rPr>
                <w:sz w:val="20"/>
                <w:szCs w:val="20"/>
              </w:rPr>
              <w:t>0,00</w:t>
            </w:r>
          </w:p>
        </w:tc>
      </w:tr>
      <w:tr w:rsidR="00387142" w:rsidRPr="008B6A75" w14:paraId="2192F650" w14:textId="77777777" w:rsidTr="00387142">
        <w:trPr>
          <w:trHeight w:val="2865"/>
        </w:trPr>
        <w:tc>
          <w:tcPr>
            <w:tcW w:w="272" w:type="dxa"/>
            <w:tcBorders>
              <w:top w:val="nil"/>
              <w:left w:val="nil"/>
              <w:bottom w:val="nil"/>
              <w:right w:val="single" w:sz="4" w:space="0" w:color="auto"/>
            </w:tcBorders>
            <w:shd w:val="clear" w:color="auto" w:fill="auto"/>
            <w:noWrap/>
            <w:vAlign w:val="bottom"/>
            <w:hideMark/>
          </w:tcPr>
          <w:p w14:paraId="60E1508A"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3EDBB56B" w14:textId="77777777" w:rsidR="00387142" w:rsidRPr="008B6A75" w:rsidRDefault="00387142" w:rsidP="00387142">
            <w:pPr>
              <w:rPr>
                <w:bCs/>
                <w:sz w:val="20"/>
                <w:szCs w:val="20"/>
              </w:rPr>
            </w:pPr>
            <w:r w:rsidRPr="008B6A75">
              <w:rPr>
                <w:bCs/>
                <w:sz w:val="20"/>
                <w:szCs w:val="20"/>
              </w:rPr>
              <w:t>Реализация мероприятий по устойчивому функционированию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1559" w:type="dxa"/>
            <w:tcBorders>
              <w:top w:val="nil"/>
              <w:left w:val="single" w:sz="4" w:space="0" w:color="auto"/>
              <w:bottom w:val="single" w:sz="4" w:space="0" w:color="auto"/>
              <w:right w:val="nil"/>
            </w:tcBorders>
            <w:shd w:val="clear" w:color="auto" w:fill="auto"/>
            <w:noWrap/>
            <w:vAlign w:val="center"/>
            <w:hideMark/>
          </w:tcPr>
          <w:p w14:paraId="0DCBAA4F" w14:textId="77777777" w:rsidR="00387142" w:rsidRPr="008B6A75" w:rsidRDefault="00387142" w:rsidP="00387142">
            <w:pPr>
              <w:jc w:val="center"/>
              <w:rPr>
                <w:bCs/>
                <w:sz w:val="20"/>
                <w:szCs w:val="20"/>
              </w:rPr>
            </w:pPr>
            <w:r w:rsidRPr="008B6A75">
              <w:rPr>
                <w:bCs/>
                <w:sz w:val="20"/>
                <w:szCs w:val="20"/>
              </w:rPr>
              <w:t>10.0.00.70760</w:t>
            </w:r>
          </w:p>
        </w:tc>
        <w:tc>
          <w:tcPr>
            <w:tcW w:w="850" w:type="dxa"/>
            <w:tcBorders>
              <w:top w:val="nil"/>
              <w:left w:val="single" w:sz="4" w:space="0" w:color="auto"/>
              <w:bottom w:val="single" w:sz="4" w:space="0" w:color="auto"/>
              <w:right w:val="nil"/>
            </w:tcBorders>
            <w:shd w:val="clear" w:color="auto" w:fill="auto"/>
            <w:noWrap/>
            <w:vAlign w:val="center"/>
            <w:hideMark/>
          </w:tcPr>
          <w:p w14:paraId="59514368" w14:textId="77777777" w:rsidR="00387142" w:rsidRPr="008B6A75" w:rsidRDefault="00387142" w:rsidP="00387142">
            <w:pPr>
              <w:jc w:val="center"/>
              <w:rPr>
                <w:bCs/>
                <w:sz w:val="20"/>
                <w:szCs w:val="20"/>
              </w:rPr>
            </w:pPr>
            <w:r w:rsidRPr="008B6A75">
              <w:rPr>
                <w:bCs/>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1D93DB27" w14:textId="77777777" w:rsidR="00387142" w:rsidRPr="008B6A75" w:rsidRDefault="00387142" w:rsidP="00387142">
            <w:pPr>
              <w:jc w:val="center"/>
              <w:rPr>
                <w:bCs/>
                <w:sz w:val="20"/>
                <w:szCs w:val="20"/>
              </w:rPr>
            </w:pPr>
            <w:r w:rsidRPr="008B6A75">
              <w:rPr>
                <w:bCs/>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4C4B2FFF" w14:textId="77777777" w:rsidR="00387142" w:rsidRPr="008B6A75" w:rsidRDefault="00387142" w:rsidP="00387142">
            <w:pPr>
              <w:jc w:val="center"/>
              <w:rPr>
                <w:bCs/>
                <w:sz w:val="20"/>
                <w:szCs w:val="20"/>
              </w:rPr>
            </w:pPr>
            <w:r w:rsidRPr="008B6A75">
              <w:rPr>
                <w:bCs/>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B7D38C1" w14:textId="77777777" w:rsidR="00387142" w:rsidRPr="008B6A75" w:rsidRDefault="00387142" w:rsidP="00387142">
            <w:pPr>
              <w:jc w:val="right"/>
              <w:rPr>
                <w:bCs/>
                <w:sz w:val="20"/>
                <w:szCs w:val="20"/>
              </w:rPr>
            </w:pPr>
            <w:r w:rsidRPr="008B6A75">
              <w:rPr>
                <w:bCs/>
                <w:sz w:val="20"/>
                <w:szCs w:val="20"/>
              </w:rPr>
              <w:t>32 578 500,00</w:t>
            </w:r>
          </w:p>
        </w:tc>
        <w:tc>
          <w:tcPr>
            <w:tcW w:w="851" w:type="dxa"/>
            <w:tcBorders>
              <w:top w:val="nil"/>
              <w:left w:val="single" w:sz="4" w:space="0" w:color="auto"/>
              <w:bottom w:val="single" w:sz="4" w:space="0" w:color="auto"/>
              <w:right w:val="nil"/>
            </w:tcBorders>
            <w:shd w:val="clear" w:color="auto" w:fill="auto"/>
            <w:noWrap/>
            <w:vAlign w:val="center"/>
            <w:hideMark/>
          </w:tcPr>
          <w:p w14:paraId="0DF72C44" w14:textId="77777777" w:rsidR="00387142" w:rsidRPr="008B6A75" w:rsidRDefault="00387142" w:rsidP="00387142">
            <w:pPr>
              <w:jc w:val="right"/>
              <w:rPr>
                <w:bCs/>
                <w:sz w:val="20"/>
                <w:szCs w:val="20"/>
              </w:rPr>
            </w:pPr>
            <w:r w:rsidRPr="008B6A75">
              <w:rPr>
                <w:bCs/>
                <w:sz w:val="20"/>
                <w:szCs w:val="20"/>
              </w:rPr>
              <w:t>33 565 800,00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5E69F2C2" w14:textId="77777777" w:rsidR="00387142" w:rsidRPr="008B6A75" w:rsidRDefault="00387142" w:rsidP="00387142">
            <w:pPr>
              <w:jc w:val="right"/>
              <w:rPr>
                <w:bCs/>
                <w:sz w:val="20"/>
                <w:szCs w:val="20"/>
              </w:rPr>
            </w:pPr>
            <w:r w:rsidRPr="008B6A75">
              <w:rPr>
                <w:bCs/>
                <w:sz w:val="20"/>
                <w:szCs w:val="20"/>
              </w:rPr>
              <w:t>39 663 600,00</w:t>
            </w:r>
          </w:p>
        </w:tc>
      </w:tr>
      <w:tr w:rsidR="00387142" w:rsidRPr="008B6A75" w14:paraId="7B4FF492" w14:textId="77777777" w:rsidTr="00387142">
        <w:trPr>
          <w:trHeight w:val="585"/>
        </w:trPr>
        <w:tc>
          <w:tcPr>
            <w:tcW w:w="272" w:type="dxa"/>
            <w:tcBorders>
              <w:top w:val="nil"/>
              <w:left w:val="nil"/>
              <w:bottom w:val="nil"/>
              <w:right w:val="single" w:sz="4" w:space="0" w:color="auto"/>
            </w:tcBorders>
            <w:shd w:val="clear" w:color="auto" w:fill="auto"/>
            <w:noWrap/>
            <w:vAlign w:val="bottom"/>
            <w:hideMark/>
          </w:tcPr>
          <w:p w14:paraId="1E001BE1"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053A3ECA" w14:textId="77777777" w:rsidR="00387142" w:rsidRPr="008B6A75" w:rsidRDefault="00387142" w:rsidP="00387142">
            <w:pPr>
              <w:rPr>
                <w:sz w:val="20"/>
                <w:szCs w:val="20"/>
              </w:rPr>
            </w:pPr>
            <w:r w:rsidRPr="008B6A75">
              <w:rPr>
                <w:sz w:val="20"/>
                <w:szCs w:val="20"/>
              </w:rPr>
              <w:t>Закупка товаров, работ и услуг для обеспечения государственных (муниципальных) нужд</w:t>
            </w:r>
          </w:p>
        </w:tc>
        <w:tc>
          <w:tcPr>
            <w:tcW w:w="1559" w:type="dxa"/>
            <w:tcBorders>
              <w:top w:val="nil"/>
              <w:left w:val="single" w:sz="4" w:space="0" w:color="auto"/>
              <w:bottom w:val="single" w:sz="4" w:space="0" w:color="auto"/>
              <w:right w:val="nil"/>
            </w:tcBorders>
            <w:shd w:val="clear" w:color="auto" w:fill="auto"/>
            <w:noWrap/>
            <w:vAlign w:val="center"/>
            <w:hideMark/>
          </w:tcPr>
          <w:p w14:paraId="268779C4" w14:textId="77777777" w:rsidR="00387142" w:rsidRPr="008B6A75" w:rsidRDefault="00387142" w:rsidP="00387142">
            <w:pPr>
              <w:jc w:val="center"/>
              <w:rPr>
                <w:sz w:val="20"/>
                <w:szCs w:val="20"/>
              </w:rPr>
            </w:pPr>
            <w:r w:rsidRPr="008B6A75">
              <w:rPr>
                <w:sz w:val="20"/>
                <w:szCs w:val="20"/>
              </w:rPr>
              <w:t>10.0.00.70760</w:t>
            </w:r>
          </w:p>
        </w:tc>
        <w:tc>
          <w:tcPr>
            <w:tcW w:w="850" w:type="dxa"/>
            <w:tcBorders>
              <w:top w:val="nil"/>
              <w:left w:val="single" w:sz="4" w:space="0" w:color="auto"/>
              <w:bottom w:val="single" w:sz="4" w:space="0" w:color="auto"/>
              <w:right w:val="nil"/>
            </w:tcBorders>
            <w:shd w:val="clear" w:color="auto" w:fill="auto"/>
            <w:noWrap/>
            <w:vAlign w:val="center"/>
            <w:hideMark/>
          </w:tcPr>
          <w:p w14:paraId="36571864" w14:textId="77777777" w:rsidR="00387142" w:rsidRPr="008B6A75" w:rsidRDefault="00387142" w:rsidP="00387142">
            <w:pPr>
              <w:jc w:val="center"/>
              <w:rPr>
                <w:sz w:val="20"/>
                <w:szCs w:val="20"/>
              </w:rPr>
            </w:pPr>
            <w:r w:rsidRPr="008B6A75">
              <w:rPr>
                <w:sz w:val="20"/>
                <w:szCs w:val="20"/>
              </w:rPr>
              <w:t>200</w:t>
            </w:r>
          </w:p>
        </w:tc>
        <w:tc>
          <w:tcPr>
            <w:tcW w:w="567" w:type="dxa"/>
            <w:tcBorders>
              <w:top w:val="nil"/>
              <w:left w:val="single" w:sz="4" w:space="0" w:color="auto"/>
              <w:bottom w:val="single" w:sz="4" w:space="0" w:color="auto"/>
              <w:right w:val="nil"/>
            </w:tcBorders>
            <w:shd w:val="clear" w:color="auto" w:fill="auto"/>
            <w:noWrap/>
            <w:vAlign w:val="center"/>
            <w:hideMark/>
          </w:tcPr>
          <w:p w14:paraId="464F730B" w14:textId="77777777" w:rsidR="00387142" w:rsidRPr="008B6A75" w:rsidRDefault="00387142" w:rsidP="00387142">
            <w:pPr>
              <w:jc w:val="center"/>
              <w:rPr>
                <w:sz w:val="20"/>
                <w:szCs w:val="20"/>
              </w:rPr>
            </w:pPr>
            <w:r w:rsidRPr="008B6A75">
              <w:rPr>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70FD481B" w14:textId="77777777" w:rsidR="00387142" w:rsidRPr="008B6A75" w:rsidRDefault="00387142" w:rsidP="00387142">
            <w:pPr>
              <w:jc w:val="center"/>
              <w:rPr>
                <w:sz w:val="20"/>
                <w:szCs w:val="20"/>
              </w:rPr>
            </w:pPr>
            <w:r w:rsidRPr="008B6A75">
              <w:rPr>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FC42F37" w14:textId="77777777" w:rsidR="00387142" w:rsidRPr="008B6A75" w:rsidRDefault="00387142" w:rsidP="00387142">
            <w:pPr>
              <w:jc w:val="right"/>
              <w:rPr>
                <w:sz w:val="20"/>
                <w:szCs w:val="20"/>
              </w:rPr>
            </w:pPr>
            <w:r w:rsidRPr="008B6A75">
              <w:rPr>
                <w:sz w:val="20"/>
                <w:szCs w:val="20"/>
              </w:rPr>
              <w:t>1 960 000,00</w:t>
            </w:r>
          </w:p>
        </w:tc>
        <w:tc>
          <w:tcPr>
            <w:tcW w:w="851" w:type="dxa"/>
            <w:tcBorders>
              <w:top w:val="nil"/>
              <w:left w:val="single" w:sz="4" w:space="0" w:color="auto"/>
              <w:bottom w:val="single" w:sz="4" w:space="0" w:color="auto"/>
              <w:right w:val="nil"/>
            </w:tcBorders>
            <w:shd w:val="clear" w:color="auto" w:fill="auto"/>
            <w:noWrap/>
            <w:vAlign w:val="center"/>
            <w:hideMark/>
          </w:tcPr>
          <w:p w14:paraId="6454311D" w14:textId="77777777" w:rsidR="00387142" w:rsidRPr="008B6A75" w:rsidRDefault="00387142" w:rsidP="00387142">
            <w:pPr>
              <w:jc w:val="right"/>
              <w:rPr>
                <w:sz w:val="20"/>
                <w:szCs w:val="20"/>
              </w:rPr>
            </w:pPr>
            <w:r w:rsidRPr="008B6A75">
              <w:rPr>
                <w:sz w:val="20"/>
                <w:szCs w:val="20"/>
              </w:rPr>
              <w:t>33 565 800,00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0CED011A" w14:textId="77777777" w:rsidR="00387142" w:rsidRPr="008B6A75" w:rsidRDefault="00387142" w:rsidP="00387142">
            <w:pPr>
              <w:jc w:val="right"/>
              <w:rPr>
                <w:sz w:val="20"/>
                <w:szCs w:val="20"/>
              </w:rPr>
            </w:pPr>
            <w:r w:rsidRPr="008B6A75">
              <w:rPr>
                <w:sz w:val="20"/>
                <w:szCs w:val="20"/>
              </w:rPr>
              <w:t>39 663 600,00</w:t>
            </w:r>
          </w:p>
        </w:tc>
      </w:tr>
      <w:tr w:rsidR="00387142" w:rsidRPr="008B6A75" w14:paraId="4D61EA86" w14:textId="77777777" w:rsidTr="00387142">
        <w:trPr>
          <w:trHeight w:val="870"/>
        </w:trPr>
        <w:tc>
          <w:tcPr>
            <w:tcW w:w="272" w:type="dxa"/>
            <w:tcBorders>
              <w:top w:val="nil"/>
              <w:left w:val="nil"/>
              <w:bottom w:val="nil"/>
              <w:right w:val="single" w:sz="4" w:space="0" w:color="auto"/>
            </w:tcBorders>
            <w:shd w:val="clear" w:color="auto" w:fill="auto"/>
            <w:noWrap/>
            <w:vAlign w:val="bottom"/>
            <w:hideMark/>
          </w:tcPr>
          <w:p w14:paraId="456672BC"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064C6D25" w14:textId="77777777" w:rsidR="00387142" w:rsidRPr="008B6A75" w:rsidRDefault="00387142" w:rsidP="00387142">
            <w:pPr>
              <w:rPr>
                <w:sz w:val="20"/>
                <w:szCs w:val="20"/>
              </w:rPr>
            </w:pPr>
            <w:r w:rsidRPr="008B6A75">
              <w:rPr>
                <w:sz w:val="20"/>
                <w:szCs w:val="20"/>
              </w:rPr>
              <w:t>Иные закупки товаров, работ и услуг для обеспечения государственных (муниципальных) нужд</w:t>
            </w:r>
          </w:p>
        </w:tc>
        <w:tc>
          <w:tcPr>
            <w:tcW w:w="1559" w:type="dxa"/>
            <w:tcBorders>
              <w:top w:val="nil"/>
              <w:left w:val="single" w:sz="4" w:space="0" w:color="auto"/>
              <w:bottom w:val="single" w:sz="4" w:space="0" w:color="auto"/>
              <w:right w:val="nil"/>
            </w:tcBorders>
            <w:shd w:val="clear" w:color="auto" w:fill="auto"/>
            <w:noWrap/>
            <w:vAlign w:val="center"/>
            <w:hideMark/>
          </w:tcPr>
          <w:p w14:paraId="3D03C58F" w14:textId="77777777" w:rsidR="00387142" w:rsidRPr="008B6A75" w:rsidRDefault="00387142" w:rsidP="00387142">
            <w:pPr>
              <w:jc w:val="center"/>
              <w:rPr>
                <w:sz w:val="20"/>
                <w:szCs w:val="20"/>
              </w:rPr>
            </w:pPr>
            <w:r w:rsidRPr="008B6A75">
              <w:rPr>
                <w:sz w:val="20"/>
                <w:szCs w:val="20"/>
              </w:rPr>
              <w:t>10.0.00.70760</w:t>
            </w:r>
          </w:p>
        </w:tc>
        <w:tc>
          <w:tcPr>
            <w:tcW w:w="850" w:type="dxa"/>
            <w:tcBorders>
              <w:top w:val="nil"/>
              <w:left w:val="single" w:sz="4" w:space="0" w:color="auto"/>
              <w:bottom w:val="single" w:sz="4" w:space="0" w:color="auto"/>
              <w:right w:val="nil"/>
            </w:tcBorders>
            <w:shd w:val="clear" w:color="auto" w:fill="auto"/>
            <w:noWrap/>
            <w:vAlign w:val="center"/>
            <w:hideMark/>
          </w:tcPr>
          <w:p w14:paraId="54BEE3BA" w14:textId="77777777" w:rsidR="00387142" w:rsidRPr="008B6A75" w:rsidRDefault="00387142" w:rsidP="00387142">
            <w:pPr>
              <w:jc w:val="center"/>
              <w:rPr>
                <w:sz w:val="20"/>
                <w:szCs w:val="20"/>
              </w:rPr>
            </w:pPr>
            <w:r w:rsidRPr="008B6A75">
              <w:rPr>
                <w:sz w:val="20"/>
                <w:szCs w:val="20"/>
              </w:rPr>
              <w:t>240</w:t>
            </w:r>
          </w:p>
        </w:tc>
        <w:tc>
          <w:tcPr>
            <w:tcW w:w="567" w:type="dxa"/>
            <w:tcBorders>
              <w:top w:val="nil"/>
              <w:left w:val="single" w:sz="4" w:space="0" w:color="auto"/>
              <w:bottom w:val="single" w:sz="4" w:space="0" w:color="auto"/>
              <w:right w:val="nil"/>
            </w:tcBorders>
            <w:shd w:val="clear" w:color="auto" w:fill="auto"/>
            <w:noWrap/>
            <w:vAlign w:val="center"/>
            <w:hideMark/>
          </w:tcPr>
          <w:p w14:paraId="3A333C2C" w14:textId="77777777" w:rsidR="00387142" w:rsidRPr="008B6A75" w:rsidRDefault="00387142" w:rsidP="00387142">
            <w:pPr>
              <w:jc w:val="center"/>
              <w:rPr>
                <w:sz w:val="20"/>
                <w:szCs w:val="20"/>
              </w:rPr>
            </w:pPr>
            <w:r w:rsidRPr="008B6A75">
              <w:rPr>
                <w:sz w:val="20"/>
                <w:szCs w:val="20"/>
              </w:rPr>
              <w:t>04</w:t>
            </w:r>
          </w:p>
        </w:tc>
        <w:tc>
          <w:tcPr>
            <w:tcW w:w="567" w:type="dxa"/>
            <w:tcBorders>
              <w:top w:val="nil"/>
              <w:left w:val="single" w:sz="4" w:space="0" w:color="auto"/>
              <w:bottom w:val="single" w:sz="4" w:space="0" w:color="auto"/>
              <w:right w:val="nil"/>
            </w:tcBorders>
            <w:shd w:val="clear" w:color="auto" w:fill="auto"/>
            <w:noWrap/>
            <w:vAlign w:val="center"/>
            <w:hideMark/>
          </w:tcPr>
          <w:p w14:paraId="5A984983" w14:textId="77777777" w:rsidR="00387142" w:rsidRPr="008B6A75" w:rsidRDefault="00387142" w:rsidP="00387142">
            <w:pPr>
              <w:jc w:val="center"/>
              <w:rPr>
                <w:sz w:val="20"/>
                <w:szCs w:val="20"/>
              </w:rPr>
            </w:pPr>
            <w:r w:rsidRPr="008B6A75">
              <w:rPr>
                <w:sz w:val="20"/>
                <w:szCs w:val="20"/>
              </w:rPr>
              <w:t>09</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F490527" w14:textId="77777777" w:rsidR="00387142" w:rsidRPr="008B6A75" w:rsidRDefault="00387142" w:rsidP="00387142">
            <w:pPr>
              <w:jc w:val="right"/>
              <w:rPr>
                <w:sz w:val="20"/>
                <w:szCs w:val="20"/>
              </w:rPr>
            </w:pPr>
            <w:r w:rsidRPr="008B6A75">
              <w:rPr>
                <w:sz w:val="20"/>
                <w:szCs w:val="20"/>
              </w:rPr>
              <w:t>1 960 000,00</w:t>
            </w:r>
          </w:p>
        </w:tc>
        <w:tc>
          <w:tcPr>
            <w:tcW w:w="851" w:type="dxa"/>
            <w:tcBorders>
              <w:top w:val="nil"/>
              <w:left w:val="single" w:sz="4" w:space="0" w:color="auto"/>
              <w:bottom w:val="single" w:sz="4" w:space="0" w:color="auto"/>
              <w:right w:val="nil"/>
            </w:tcBorders>
            <w:shd w:val="clear" w:color="auto" w:fill="auto"/>
            <w:noWrap/>
            <w:vAlign w:val="center"/>
            <w:hideMark/>
          </w:tcPr>
          <w:p w14:paraId="4F57657C" w14:textId="77777777" w:rsidR="00387142" w:rsidRPr="008B6A75" w:rsidRDefault="00387142" w:rsidP="00387142">
            <w:pPr>
              <w:jc w:val="right"/>
              <w:rPr>
                <w:sz w:val="20"/>
                <w:szCs w:val="20"/>
              </w:rPr>
            </w:pPr>
            <w:r w:rsidRPr="008B6A75">
              <w:rPr>
                <w:sz w:val="20"/>
                <w:szCs w:val="20"/>
              </w:rPr>
              <w:t>33 565 800,00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66DD285A" w14:textId="77777777" w:rsidR="00387142" w:rsidRPr="008B6A75" w:rsidRDefault="00387142" w:rsidP="00387142">
            <w:pPr>
              <w:jc w:val="right"/>
              <w:rPr>
                <w:sz w:val="20"/>
                <w:szCs w:val="20"/>
              </w:rPr>
            </w:pPr>
            <w:r w:rsidRPr="008B6A75">
              <w:rPr>
                <w:sz w:val="20"/>
                <w:szCs w:val="20"/>
              </w:rPr>
              <w:t>39 663 600,00</w:t>
            </w:r>
          </w:p>
        </w:tc>
      </w:tr>
      <w:tr w:rsidR="00387142" w:rsidRPr="008B6A75" w14:paraId="10733D04" w14:textId="77777777" w:rsidTr="00387142">
        <w:trPr>
          <w:trHeight w:val="300"/>
        </w:trPr>
        <w:tc>
          <w:tcPr>
            <w:tcW w:w="272" w:type="dxa"/>
            <w:tcBorders>
              <w:top w:val="nil"/>
              <w:left w:val="nil"/>
              <w:bottom w:val="nil"/>
              <w:right w:val="single" w:sz="4" w:space="0" w:color="auto"/>
            </w:tcBorders>
            <w:shd w:val="clear" w:color="auto" w:fill="auto"/>
            <w:noWrap/>
            <w:vAlign w:val="bottom"/>
            <w:hideMark/>
          </w:tcPr>
          <w:p w14:paraId="406EEAC0"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7A3099F1" w14:textId="77777777" w:rsidR="00387142" w:rsidRPr="008B6A75" w:rsidRDefault="00387142" w:rsidP="00387142">
            <w:pPr>
              <w:rPr>
                <w:sz w:val="20"/>
                <w:szCs w:val="20"/>
              </w:rPr>
            </w:pPr>
            <w:r w:rsidRPr="008B6A75">
              <w:rPr>
                <w:sz w:val="20"/>
                <w:szCs w:val="20"/>
              </w:rPr>
              <w:t>Межбюджетные трансферты</w:t>
            </w:r>
          </w:p>
        </w:tc>
        <w:tc>
          <w:tcPr>
            <w:tcW w:w="1559" w:type="dxa"/>
            <w:tcBorders>
              <w:top w:val="nil"/>
              <w:left w:val="single" w:sz="4" w:space="0" w:color="auto"/>
              <w:bottom w:val="single" w:sz="4" w:space="0" w:color="auto"/>
              <w:right w:val="nil"/>
            </w:tcBorders>
            <w:shd w:val="clear" w:color="auto" w:fill="auto"/>
            <w:noWrap/>
            <w:vAlign w:val="center"/>
            <w:hideMark/>
          </w:tcPr>
          <w:p w14:paraId="358EBCB8" w14:textId="77777777" w:rsidR="00387142" w:rsidRPr="008B6A75" w:rsidRDefault="00387142" w:rsidP="00387142">
            <w:pPr>
              <w:jc w:val="center"/>
              <w:rPr>
                <w:sz w:val="20"/>
                <w:szCs w:val="20"/>
              </w:rPr>
            </w:pPr>
            <w:r w:rsidRPr="008B6A75">
              <w:rPr>
                <w:sz w:val="20"/>
                <w:szCs w:val="20"/>
              </w:rPr>
              <w:t>10.0.00.70760</w:t>
            </w:r>
          </w:p>
        </w:tc>
        <w:tc>
          <w:tcPr>
            <w:tcW w:w="850" w:type="dxa"/>
            <w:tcBorders>
              <w:top w:val="nil"/>
              <w:left w:val="single" w:sz="4" w:space="0" w:color="auto"/>
              <w:bottom w:val="single" w:sz="4" w:space="0" w:color="auto"/>
              <w:right w:val="nil"/>
            </w:tcBorders>
            <w:shd w:val="clear" w:color="auto" w:fill="auto"/>
            <w:noWrap/>
            <w:vAlign w:val="center"/>
            <w:hideMark/>
          </w:tcPr>
          <w:p w14:paraId="3FEAB696" w14:textId="77777777" w:rsidR="00387142" w:rsidRPr="008B6A75" w:rsidRDefault="00387142" w:rsidP="00387142">
            <w:pPr>
              <w:jc w:val="center"/>
              <w:rPr>
                <w:sz w:val="20"/>
                <w:szCs w:val="20"/>
              </w:rPr>
            </w:pPr>
            <w:r w:rsidRPr="008B6A75">
              <w:rPr>
                <w:sz w:val="20"/>
                <w:szCs w:val="20"/>
              </w:rPr>
              <w:t>500</w:t>
            </w:r>
          </w:p>
        </w:tc>
        <w:tc>
          <w:tcPr>
            <w:tcW w:w="567" w:type="dxa"/>
            <w:tcBorders>
              <w:top w:val="nil"/>
              <w:left w:val="single" w:sz="4" w:space="0" w:color="auto"/>
              <w:bottom w:val="single" w:sz="4" w:space="0" w:color="auto"/>
              <w:right w:val="nil"/>
            </w:tcBorders>
            <w:shd w:val="clear" w:color="auto" w:fill="auto"/>
            <w:noWrap/>
            <w:vAlign w:val="center"/>
            <w:hideMark/>
          </w:tcPr>
          <w:p w14:paraId="2A6B66DE" w14:textId="77777777" w:rsidR="00387142" w:rsidRPr="008B6A75" w:rsidRDefault="00387142" w:rsidP="00387142">
            <w:pPr>
              <w:jc w:val="center"/>
              <w:rPr>
                <w:sz w:val="20"/>
                <w:szCs w:val="20"/>
              </w:rPr>
            </w:pPr>
            <w:r w:rsidRPr="008B6A75">
              <w:rPr>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75562C56" w14:textId="77777777" w:rsidR="00387142" w:rsidRPr="008B6A75" w:rsidRDefault="00387142" w:rsidP="00387142">
            <w:pPr>
              <w:jc w:val="center"/>
              <w:rPr>
                <w:sz w:val="20"/>
                <w:szCs w:val="20"/>
              </w:rPr>
            </w:pPr>
            <w:r w:rsidRPr="008B6A75">
              <w:rPr>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5EFC958" w14:textId="77777777" w:rsidR="00387142" w:rsidRPr="008B6A75" w:rsidRDefault="00387142" w:rsidP="00387142">
            <w:pPr>
              <w:jc w:val="right"/>
              <w:rPr>
                <w:sz w:val="20"/>
                <w:szCs w:val="20"/>
              </w:rPr>
            </w:pPr>
            <w:r w:rsidRPr="008B6A75">
              <w:rPr>
                <w:sz w:val="20"/>
                <w:szCs w:val="20"/>
              </w:rPr>
              <w:t>30 618 500,00</w:t>
            </w:r>
          </w:p>
        </w:tc>
        <w:tc>
          <w:tcPr>
            <w:tcW w:w="851" w:type="dxa"/>
            <w:tcBorders>
              <w:top w:val="nil"/>
              <w:left w:val="single" w:sz="4" w:space="0" w:color="auto"/>
              <w:bottom w:val="single" w:sz="4" w:space="0" w:color="auto"/>
              <w:right w:val="nil"/>
            </w:tcBorders>
            <w:shd w:val="clear" w:color="auto" w:fill="auto"/>
            <w:noWrap/>
            <w:vAlign w:val="center"/>
            <w:hideMark/>
          </w:tcPr>
          <w:p w14:paraId="5B0BF03C" w14:textId="77777777" w:rsidR="00387142" w:rsidRPr="008B6A75" w:rsidRDefault="00387142" w:rsidP="00387142">
            <w:pPr>
              <w:jc w:val="right"/>
              <w:rPr>
                <w:sz w:val="20"/>
                <w:szCs w:val="20"/>
              </w:rPr>
            </w:pPr>
            <w:r w:rsidRPr="008B6A75">
              <w:rPr>
                <w:sz w:val="20"/>
                <w:szCs w:val="20"/>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740C21A2" w14:textId="77777777" w:rsidR="00387142" w:rsidRPr="008B6A75" w:rsidRDefault="00387142" w:rsidP="00387142">
            <w:pPr>
              <w:jc w:val="right"/>
              <w:rPr>
                <w:sz w:val="20"/>
                <w:szCs w:val="20"/>
              </w:rPr>
            </w:pPr>
            <w:r w:rsidRPr="008B6A75">
              <w:rPr>
                <w:sz w:val="20"/>
                <w:szCs w:val="20"/>
              </w:rPr>
              <w:t>0,00</w:t>
            </w:r>
          </w:p>
        </w:tc>
      </w:tr>
      <w:tr w:rsidR="00387142" w:rsidRPr="008B6A75" w14:paraId="2EDA5C38" w14:textId="77777777" w:rsidTr="00387142">
        <w:trPr>
          <w:trHeight w:val="300"/>
        </w:trPr>
        <w:tc>
          <w:tcPr>
            <w:tcW w:w="272" w:type="dxa"/>
            <w:tcBorders>
              <w:top w:val="nil"/>
              <w:left w:val="nil"/>
              <w:bottom w:val="nil"/>
              <w:right w:val="single" w:sz="4" w:space="0" w:color="auto"/>
            </w:tcBorders>
            <w:shd w:val="clear" w:color="auto" w:fill="auto"/>
            <w:noWrap/>
            <w:vAlign w:val="bottom"/>
            <w:hideMark/>
          </w:tcPr>
          <w:p w14:paraId="2FF86AFE"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682D5003" w14:textId="77777777" w:rsidR="00387142" w:rsidRPr="008B6A75" w:rsidRDefault="00387142" w:rsidP="00387142">
            <w:pPr>
              <w:rPr>
                <w:sz w:val="20"/>
                <w:szCs w:val="20"/>
              </w:rPr>
            </w:pPr>
            <w:r w:rsidRPr="008B6A75">
              <w:rPr>
                <w:sz w:val="20"/>
                <w:szCs w:val="20"/>
              </w:rPr>
              <w:t>Субсидии</w:t>
            </w:r>
          </w:p>
        </w:tc>
        <w:tc>
          <w:tcPr>
            <w:tcW w:w="1559" w:type="dxa"/>
            <w:tcBorders>
              <w:top w:val="nil"/>
              <w:left w:val="single" w:sz="4" w:space="0" w:color="auto"/>
              <w:bottom w:val="single" w:sz="4" w:space="0" w:color="auto"/>
              <w:right w:val="nil"/>
            </w:tcBorders>
            <w:shd w:val="clear" w:color="auto" w:fill="auto"/>
            <w:noWrap/>
            <w:vAlign w:val="center"/>
            <w:hideMark/>
          </w:tcPr>
          <w:p w14:paraId="2D6376B5" w14:textId="77777777" w:rsidR="00387142" w:rsidRPr="008B6A75" w:rsidRDefault="00387142" w:rsidP="00387142">
            <w:pPr>
              <w:jc w:val="center"/>
              <w:rPr>
                <w:sz w:val="20"/>
                <w:szCs w:val="20"/>
              </w:rPr>
            </w:pPr>
            <w:r w:rsidRPr="008B6A75">
              <w:rPr>
                <w:sz w:val="20"/>
                <w:szCs w:val="20"/>
              </w:rPr>
              <w:t>10.0.00.70760</w:t>
            </w:r>
          </w:p>
        </w:tc>
        <w:tc>
          <w:tcPr>
            <w:tcW w:w="850" w:type="dxa"/>
            <w:tcBorders>
              <w:top w:val="nil"/>
              <w:left w:val="single" w:sz="4" w:space="0" w:color="auto"/>
              <w:bottom w:val="single" w:sz="4" w:space="0" w:color="auto"/>
              <w:right w:val="nil"/>
            </w:tcBorders>
            <w:shd w:val="clear" w:color="auto" w:fill="auto"/>
            <w:noWrap/>
            <w:vAlign w:val="center"/>
            <w:hideMark/>
          </w:tcPr>
          <w:p w14:paraId="5BCDBBA5" w14:textId="77777777" w:rsidR="00387142" w:rsidRPr="008B6A75" w:rsidRDefault="00387142" w:rsidP="00387142">
            <w:pPr>
              <w:jc w:val="center"/>
              <w:rPr>
                <w:sz w:val="20"/>
                <w:szCs w:val="20"/>
              </w:rPr>
            </w:pPr>
            <w:r w:rsidRPr="008B6A75">
              <w:rPr>
                <w:sz w:val="20"/>
                <w:szCs w:val="20"/>
              </w:rPr>
              <w:t>520</w:t>
            </w:r>
          </w:p>
        </w:tc>
        <w:tc>
          <w:tcPr>
            <w:tcW w:w="567" w:type="dxa"/>
            <w:tcBorders>
              <w:top w:val="nil"/>
              <w:left w:val="single" w:sz="4" w:space="0" w:color="auto"/>
              <w:bottom w:val="single" w:sz="4" w:space="0" w:color="auto"/>
              <w:right w:val="nil"/>
            </w:tcBorders>
            <w:shd w:val="clear" w:color="auto" w:fill="auto"/>
            <w:noWrap/>
            <w:vAlign w:val="center"/>
            <w:hideMark/>
          </w:tcPr>
          <w:p w14:paraId="7EA48420" w14:textId="77777777" w:rsidR="00387142" w:rsidRPr="008B6A75" w:rsidRDefault="00387142" w:rsidP="00387142">
            <w:pPr>
              <w:jc w:val="center"/>
              <w:rPr>
                <w:sz w:val="20"/>
                <w:szCs w:val="20"/>
              </w:rPr>
            </w:pPr>
            <w:r w:rsidRPr="008B6A75">
              <w:rPr>
                <w:sz w:val="20"/>
                <w:szCs w:val="20"/>
              </w:rPr>
              <w:t>04</w:t>
            </w:r>
          </w:p>
        </w:tc>
        <w:tc>
          <w:tcPr>
            <w:tcW w:w="567" w:type="dxa"/>
            <w:tcBorders>
              <w:top w:val="nil"/>
              <w:left w:val="single" w:sz="4" w:space="0" w:color="auto"/>
              <w:bottom w:val="single" w:sz="4" w:space="0" w:color="auto"/>
              <w:right w:val="nil"/>
            </w:tcBorders>
            <w:shd w:val="clear" w:color="auto" w:fill="auto"/>
            <w:noWrap/>
            <w:vAlign w:val="center"/>
            <w:hideMark/>
          </w:tcPr>
          <w:p w14:paraId="086DC201" w14:textId="77777777" w:rsidR="00387142" w:rsidRPr="008B6A75" w:rsidRDefault="00387142" w:rsidP="00387142">
            <w:pPr>
              <w:jc w:val="center"/>
              <w:rPr>
                <w:sz w:val="20"/>
                <w:szCs w:val="20"/>
              </w:rPr>
            </w:pPr>
            <w:r w:rsidRPr="008B6A75">
              <w:rPr>
                <w:sz w:val="20"/>
                <w:szCs w:val="20"/>
              </w:rPr>
              <w:t>09</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5B855EF" w14:textId="77777777" w:rsidR="00387142" w:rsidRPr="008B6A75" w:rsidRDefault="00387142" w:rsidP="00387142">
            <w:pPr>
              <w:jc w:val="right"/>
              <w:rPr>
                <w:sz w:val="20"/>
                <w:szCs w:val="20"/>
              </w:rPr>
            </w:pPr>
            <w:r w:rsidRPr="008B6A75">
              <w:rPr>
                <w:sz w:val="20"/>
                <w:szCs w:val="20"/>
              </w:rPr>
              <w:t>30 618 500,00</w:t>
            </w:r>
          </w:p>
        </w:tc>
        <w:tc>
          <w:tcPr>
            <w:tcW w:w="851" w:type="dxa"/>
            <w:tcBorders>
              <w:top w:val="nil"/>
              <w:left w:val="single" w:sz="4" w:space="0" w:color="auto"/>
              <w:bottom w:val="single" w:sz="4" w:space="0" w:color="auto"/>
              <w:right w:val="nil"/>
            </w:tcBorders>
            <w:shd w:val="clear" w:color="auto" w:fill="auto"/>
            <w:noWrap/>
            <w:vAlign w:val="center"/>
            <w:hideMark/>
          </w:tcPr>
          <w:p w14:paraId="3BC5AD28" w14:textId="77777777" w:rsidR="00387142" w:rsidRPr="008B6A75" w:rsidRDefault="00387142" w:rsidP="00387142">
            <w:pPr>
              <w:jc w:val="right"/>
              <w:rPr>
                <w:sz w:val="20"/>
                <w:szCs w:val="20"/>
              </w:rPr>
            </w:pPr>
            <w:r w:rsidRPr="008B6A75">
              <w:rPr>
                <w:sz w:val="20"/>
                <w:szCs w:val="20"/>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2990B0C6" w14:textId="77777777" w:rsidR="00387142" w:rsidRPr="008B6A75" w:rsidRDefault="00387142" w:rsidP="00387142">
            <w:pPr>
              <w:jc w:val="right"/>
              <w:rPr>
                <w:sz w:val="20"/>
                <w:szCs w:val="20"/>
              </w:rPr>
            </w:pPr>
            <w:r w:rsidRPr="008B6A75">
              <w:rPr>
                <w:sz w:val="20"/>
                <w:szCs w:val="20"/>
              </w:rPr>
              <w:t>0,00</w:t>
            </w:r>
          </w:p>
        </w:tc>
      </w:tr>
      <w:tr w:rsidR="00387142" w:rsidRPr="008B6A75" w14:paraId="68E0726E" w14:textId="77777777" w:rsidTr="00387142">
        <w:trPr>
          <w:trHeight w:val="1725"/>
        </w:trPr>
        <w:tc>
          <w:tcPr>
            <w:tcW w:w="272" w:type="dxa"/>
            <w:tcBorders>
              <w:top w:val="nil"/>
              <w:left w:val="nil"/>
              <w:bottom w:val="nil"/>
              <w:right w:val="single" w:sz="4" w:space="0" w:color="auto"/>
            </w:tcBorders>
            <w:shd w:val="clear" w:color="auto" w:fill="auto"/>
            <w:noWrap/>
            <w:vAlign w:val="bottom"/>
            <w:hideMark/>
          </w:tcPr>
          <w:p w14:paraId="0A10A458" w14:textId="77777777" w:rsidR="00387142" w:rsidRPr="008B6A75" w:rsidRDefault="00387142" w:rsidP="00387142">
            <w:pPr>
              <w:rPr>
                <w:sz w:val="20"/>
                <w:szCs w:val="20"/>
              </w:rPr>
            </w:pPr>
            <w:r w:rsidRPr="008B6A75">
              <w:rPr>
                <w:sz w:val="20"/>
                <w:szCs w:val="20"/>
              </w:rPr>
              <w:lastRenderedPageBreak/>
              <w:t> </w:t>
            </w:r>
          </w:p>
        </w:tc>
        <w:tc>
          <w:tcPr>
            <w:tcW w:w="3415" w:type="dxa"/>
            <w:tcBorders>
              <w:top w:val="nil"/>
              <w:left w:val="single" w:sz="4" w:space="0" w:color="auto"/>
              <w:bottom w:val="single" w:sz="4" w:space="0" w:color="auto"/>
              <w:right w:val="nil"/>
            </w:tcBorders>
            <w:shd w:val="clear" w:color="auto" w:fill="auto"/>
            <w:vAlign w:val="center"/>
            <w:hideMark/>
          </w:tcPr>
          <w:p w14:paraId="3B7D68D6" w14:textId="77777777" w:rsidR="00387142" w:rsidRPr="008B6A75" w:rsidRDefault="00387142" w:rsidP="00387142">
            <w:pPr>
              <w:rPr>
                <w:bCs/>
                <w:sz w:val="20"/>
                <w:szCs w:val="20"/>
              </w:rPr>
            </w:pPr>
            <w:proofErr w:type="spellStart"/>
            <w:r w:rsidRPr="008B6A75">
              <w:rPr>
                <w:bCs/>
                <w:sz w:val="20"/>
                <w:szCs w:val="20"/>
              </w:rPr>
              <w:t>Софинансирование</w:t>
            </w:r>
            <w:proofErr w:type="spellEnd"/>
            <w:r w:rsidRPr="008B6A75">
              <w:rPr>
                <w:bCs/>
                <w:sz w:val="20"/>
                <w:szCs w:val="20"/>
              </w:rPr>
              <w:t xml:space="preserve"> местного бюджета на реализацию мероприятий государственной программы Новосибирской </w:t>
            </w:r>
            <w:proofErr w:type="gramStart"/>
            <w:r w:rsidRPr="008B6A75">
              <w:rPr>
                <w:bCs/>
                <w:sz w:val="20"/>
                <w:szCs w:val="20"/>
              </w:rPr>
              <w:t>области  "</w:t>
            </w:r>
            <w:proofErr w:type="gramEnd"/>
            <w:r w:rsidRPr="008B6A75">
              <w:rPr>
                <w:bCs/>
                <w:sz w:val="20"/>
                <w:szCs w:val="20"/>
              </w:rPr>
              <w:t>Развитие автомобильных дорог регионального, межмуниципального и местного значения в Новосибирской области"</w:t>
            </w:r>
          </w:p>
        </w:tc>
        <w:tc>
          <w:tcPr>
            <w:tcW w:w="1559" w:type="dxa"/>
            <w:tcBorders>
              <w:top w:val="nil"/>
              <w:left w:val="single" w:sz="4" w:space="0" w:color="auto"/>
              <w:bottom w:val="single" w:sz="4" w:space="0" w:color="auto"/>
              <w:right w:val="nil"/>
            </w:tcBorders>
            <w:shd w:val="clear" w:color="auto" w:fill="auto"/>
            <w:noWrap/>
            <w:vAlign w:val="center"/>
            <w:hideMark/>
          </w:tcPr>
          <w:p w14:paraId="552B9B4E" w14:textId="77777777" w:rsidR="00387142" w:rsidRPr="008B6A75" w:rsidRDefault="00387142" w:rsidP="00387142">
            <w:pPr>
              <w:jc w:val="center"/>
              <w:rPr>
                <w:bCs/>
                <w:sz w:val="20"/>
                <w:szCs w:val="20"/>
              </w:rPr>
            </w:pPr>
            <w:r w:rsidRPr="008B6A75">
              <w:rPr>
                <w:bCs/>
                <w:sz w:val="20"/>
                <w:szCs w:val="20"/>
              </w:rPr>
              <w:t>10.0.00.S0760</w:t>
            </w:r>
          </w:p>
        </w:tc>
        <w:tc>
          <w:tcPr>
            <w:tcW w:w="850" w:type="dxa"/>
            <w:tcBorders>
              <w:top w:val="nil"/>
              <w:left w:val="single" w:sz="4" w:space="0" w:color="auto"/>
              <w:bottom w:val="single" w:sz="4" w:space="0" w:color="auto"/>
              <w:right w:val="nil"/>
            </w:tcBorders>
            <w:shd w:val="clear" w:color="auto" w:fill="auto"/>
            <w:noWrap/>
            <w:vAlign w:val="center"/>
            <w:hideMark/>
          </w:tcPr>
          <w:p w14:paraId="04F1D6B5" w14:textId="77777777" w:rsidR="00387142" w:rsidRPr="008B6A75" w:rsidRDefault="00387142" w:rsidP="00387142">
            <w:pPr>
              <w:jc w:val="center"/>
              <w:rPr>
                <w:bCs/>
                <w:sz w:val="20"/>
                <w:szCs w:val="20"/>
              </w:rPr>
            </w:pPr>
            <w:r w:rsidRPr="008B6A75">
              <w:rPr>
                <w:bCs/>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4CC68949" w14:textId="77777777" w:rsidR="00387142" w:rsidRPr="008B6A75" w:rsidRDefault="00387142" w:rsidP="00387142">
            <w:pPr>
              <w:jc w:val="center"/>
              <w:rPr>
                <w:bCs/>
                <w:sz w:val="20"/>
                <w:szCs w:val="20"/>
              </w:rPr>
            </w:pPr>
            <w:r w:rsidRPr="008B6A75">
              <w:rPr>
                <w:bCs/>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778DA3D0" w14:textId="77777777" w:rsidR="00387142" w:rsidRPr="008B6A75" w:rsidRDefault="00387142" w:rsidP="00387142">
            <w:pPr>
              <w:jc w:val="center"/>
              <w:rPr>
                <w:bCs/>
                <w:sz w:val="20"/>
                <w:szCs w:val="20"/>
              </w:rPr>
            </w:pPr>
            <w:r w:rsidRPr="008B6A75">
              <w:rPr>
                <w:bCs/>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FD24ACB" w14:textId="77777777" w:rsidR="00387142" w:rsidRPr="008B6A75" w:rsidRDefault="00387142" w:rsidP="00387142">
            <w:pPr>
              <w:jc w:val="right"/>
              <w:rPr>
                <w:bCs/>
                <w:sz w:val="20"/>
                <w:szCs w:val="20"/>
              </w:rPr>
            </w:pPr>
            <w:r w:rsidRPr="008B6A75">
              <w:rPr>
                <w:bCs/>
                <w:sz w:val="20"/>
                <w:szCs w:val="20"/>
              </w:rPr>
              <w:t>40 000,00</w:t>
            </w:r>
          </w:p>
        </w:tc>
        <w:tc>
          <w:tcPr>
            <w:tcW w:w="851" w:type="dxa"/>
            <w:tcBorders>
              <w:top w:val="nil"/>
              <w:left w:val="single" w:sz="4" w:space="0" w:color="auto"/>
              <w:bottom w:val="single" w:sz="4" w:space="0" w:color="auto"/>
              <w:right w:val="nil"/>
            </w:tcBorders>
            <w:shd w:val="clear" w:color="auto" w:fill="auto"/>
            <w:noWrap/>
            <w:vAlign w:val="center"/>
            <w:hideMark/>
          </w:tcPr>
          <w:p w14:paraId="118BF456" w14:textId="77777777" w:rsidR="00387142" w:rsidRPr="008B6A75" w:rsidRDefault="00387142" w:rsidP="00387142">
            <w:pPr>
              <w:jc w:val="right"/>
              <w:rPr>
                <w:bCs/>
                <w:sz w:val="20"/>
                <w:szCs w:val="20"/>
              </w:rPr>
            </w:pPr>
            <w:r w:rsidRPr="008B6A75">
              <w:rPr>
                <w:bCs/>
                <w:sz w:val="20"/>
                <w:szCs w:val="20"/>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41294FA0" w14:textId="77777777" w:rsidR="00387142" w:rsidRPr="008B6A75" w:rsidRDefault="00387142" w:rsidP="00387142">
            <w:pPr>
              <w:jc w:val="right"/>
              <w:rPr>
                <w:bCs/>
                <w:sz w:val="20"/>
                <w:szCs w:val="20"/>
              </w:rPr>
            </w:pPr>
            <w:r w:rsidRPr="008B6A75">
              <w:rPr>
                <w:bCs/>
                <w:sz w:val="20"/>
                <w:szCs w:val="20"/>
              </w:rPr>
              <w:t>0,00</w:t>
            </w:r>
          </w:p>
        </w:tc>
      </w:tr>
      <w:tr w:rsidR="00387142" w:rsidRPr="008B6A75" w14:paraId="2EF25E93" w14:textId="77777777" w:rsidTr="00387142">
        <w:trPr>
          <w:trHeight w:val="585"/>
        </w:trPr>
        <w:tc>
          <w:tcPr>
            <w:tcW w:w="272" w:type="dxa"/>
            <w:tcBorders>
              <w:top w:val="nil"/>
              <w:left w:val="nil"/>
              <w:bottom w:val="nil"/>
              <w:right w:val="single" w:sz="4" w:space="0" w:color="auto"/>
            </w:tcBorders>
            <w:shd w:val="clear" w:color="auto" w:fill="auto"/>
            <w:noWrap/>
            <w:vAlign w:val="bottom"/>
            <w:hideMark/>
          </w:tcPr>
          <w:p w14:paraId="0592E6D7"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6FAE89C3" w14:textId="77777777" w:rsidR="00387142" w:rsidRPr="008B6A75" w:rsidRDefault="00387142" w:rsidP="00387142">
            <w:pPr>
              <w:rPr>
                <w:sz w:val="20"/>
                <w:szCs w:val="20"/>
              </w:rPr>
            </w:pPr>
            <w:r w:rsidRPr="008B6A75">
              <w:rPr>
                <w:sz w:val="20"/>
                <w:szCs w:val="20"/>
              </w:rPr>
              <w:t>Закупка товаров, работ и услуг для обеспечения государственных (муниципальных) нужд</w:t>
            </w:r>
          </w:p>
        </w:tc>
        <w:tc>
          <w:tcPr>
            <w:tcW w:w="1559" w:type="dxa"/>
            <w:tcBorders>
              <w:top w:val="nil"/>
              <w:left w:val="single" w:sz="4" w:space="0" w:color="auto"/>
              <w:bottom w:val="single" w:sz="4" w:space="0" w:color="auto"/>
              <w:right w:val="nil"/>
            </w:tcBorders>
            <w:shd w:val="clear" w:color="auto" w:fill="auto"/>
            <w:noWrap/>
            <w:vAlign w:val="center"/>
            <w:hideMark/>
          </w:tcPr>
          <w:p w14:paraId="15E7FEDF" w14:textId="77777777" w:rsidR="00387142" w:rsidRPr="008B6A75" w:rsidRDefault="00387142" w:rsidP="00387142">
            <w:pPr>
              <w:jc w:val="center"/>
              <w:rPr>
                <w:sz w:val="20"/>
                <w:szCs w:val="20"/>
              </w:rPr>
            </w:pPr>
            <w:r w:rsidRPr="008B6A75">
              <w:rPr>
                <w:sz w:val="20"/>
                <w:szCs w:val="20"/>
              </w:rPr>
              <w:t>10.0.00.S0760</w:t>
            </w:r>
          </w:p>
        </w:tc>
        <w:tc>
          <w:tcPr>
            <w:tcW w:w="850" w:type="dxa"/>
            <w:tcBorders>
              <w:top w:val="nil"/>
              <w:left w:val="single" w:sz="4" w:space="0" w:color="auto"/>
              <w:bottom w:val="single" w:sz="4" w:space="0" w:color="auto"/>
              <w:right w:val="nil"/>
            </w:tcBorders>
            <w:shd w:val="clear" w:color="auto" w:fill="auto"/>
            <w:noWrap/>
            <w:vAlign w:val="center"/>
            <w:hideMark/>
          </w:tcPr>
          <w:p w14:paraId="00295C66" w14:textId="77777777" w:rsidR="00387142" w:rsidRPr="008B6A75" w:rsidRDefault="00387142" w:rsidP="00387142">
            <w:pPr>
              <w:jc w:val="center"/>
              <w:rPr>
                <w:sz w:val="20"/>
                <w:szCs w:val="20"/>
              </w:rPr>
            </w:pPr>
            <w:r w:rsidRPr="008B6A75">
              <w:rPr>
                <w:sz w:val="20"/>
                <w:szCs w:val="20"/>
              </w:rPr>
              <w:t>200</w:t>
            </w:r>
          </w:p>
        </w:tc>
        <w:tc>
          <w:tcPr>
            <w:tcW w:w="567" w:type="dxa"/>
            <w:tcBorders>
              <w:top w:val="nil"/>
              <w:left w:val="single" w:sz="4" w:space="0" w:color="auto"/>
              <w:bottom w:val="single" w:sz="4" w:space="0" w:color="auto"/>
              <w:right w:val="nil"/>
            </w:tcBorders>
            <w:shd w:val="clear" w:color="auto" w:fill="auto"/>
            <w:noWrap/>
            <w:vAlign w:val="center"/>
            <w:hideMark/>
          </w:tcPr>
          <w:p w14:paraId="4DCA6F0C" w14:textId="77777777" w:rsidR="00387142" w:rsidRPr="008B6A75" w:rsidRDefault="00387142" w:rsidP="00387142">
            <w:pPr>
              <w:jc w:val="center"/>
              <w:rPr>
                <w:sz w:val="20"/>
                <w:szCs w:val="20"/>
              </w:rPr>
            </w:pPr>
            <w:r w:rsidRPr="008B6A75">
              <w:rPr>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6A130FD3" w14:textId="77777777" w:rsidR="00387142" w:rsidRPr="008B6A75" w:rsidRDefault="00387142" w:rsidP="00387142">
            <w:pPr>
              <w:jc w:val="center"/>
              <w:rPr>
                <w:sz w:val="20"/>
                <w:szCs w:val="20"/>
              </w:rPr>
            </w:pPr>
            <w:r w:rsidRPr="008B6A75">
              <w:rPr>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8531287" w14:textId="77777777" w:rsidR="00387142" w:rsidRPr="008B6A75" w:rsidRDefault="00387142" w:rsidP="00387142">
            <w:pPr>
              <w:jc w:val="right"/>
              <w:rPr>
                <w:sz w:val="20"/>
                <w:szCs w:val="20"/>
              </w:rPr>
            </w:pPr>
            <w:r w:rsidRPr="008B6A75">
              <w:rPr>
                <w:sz w:val="20"/>
                <w:szCs w:val="20"/>
              </w:rPr>
              <w:t>40 000,00</w:t>
            </w:r>
          </w:p>
        </w:tc>
        <w:tc>
          <w:tcPr>
            <w:tcW w:w="851" w:type="dxa"/>
            <w:tcBorders>
              <w:top w:val="nil"/>
              <w:left w:val="single" w:sz="4" w:space="0" w:color="auto"/>
              <w:bottom w:val="single" w:sz="4" w:space="0" w:color="auto"/>
              <w:right w:val="nil"/>
            </w:tcBorders>
            <w:shd w:val="clear" w:color="auto" w:fill="auto"/>
            <w:noWrap/>
            <w:vAlign w:val="center"/>
            <w:hideMark/>
          </w:tcPr>
          <w:p w14:paraId="25FAAF12" w14:textId="77777777" w:rsidR="00387142" w:rsidRPr="008B6A75" w:rsidRDefault="00387142" w:rsidP="00387142">
            <w:pPr>
              <w:jc w:val="right"/>
              <w:rPr>
                <w:sz w:val="20"/>
                <w:szCs w:val="20"/>
              </w:rPr>
            </w:pPr>
            <w:r w:rsidRPr="008B6A75">
              <w:rPr>
                <w:sz w:val="20"/>
                <w:szCs w:val="20"/>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1D1AF9EB" w14:textId="77777777" w:rsidR="00387142" w:rsidRPr="008B6A75" w:rsidRDefault="00387142" w:rsidP="00387142">
            <w:pPr>
              <w:jc w:val="right"/>
              <w:rPr>
                <w:sz w:val="20"/>
                <w:szCs w:val="20"/>
              </w:rPr>
            </w:pPr>
            <w:r w:rsidRPr="008B6A75">
              <w:rPr>
                <w:sz w:val="20"/>
                <w:szCs w:val="20"/>
              </w:rPr>
              <w:t>0,00</w:t>
            </w:r>
          </w:p>
        </w:tc>
      </w:tr>
      <w:tr w:rsidR="00387142" w:rsidRPr="008B6A75" w14:paraId="1C76ACD0" w14:textId="77777777" w:rsidTr="00387142">
        <w:trPr>
          <w:trHeight w:val="870"/>
        </w:trPr>
        <w:tc>
          <w:tcPr>
            <w:tcW w:w="272" w:type="dxa"/>
            <w:tcBorders>
              <w:top w:val="nil"/>
              <w:left w:val="nil"/>
              <w:bottom w:val="nil"/>
              <w:right w:val="single" w:sz="4" w:space="0" w:color="auto"/>
            </w:tcBorders>
            <w:shd w:val="clear" w:color="auto" w:fill="auto"/>
            <w:noWrap/>
            <w:vAlign w:val="bottom"/>
            <w:hideMark/>
          </w:tcPr>
          <w:p w14:paraId="2322FBB4"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101EFB1D" w14:textId="77777777" w:rsidR="00387142" w:rsidRPr="008B6A75" w:rsidRDefault="00387142" w:rsidP="00387142">
            <w:pPr>
              <w:rPr>
                <w:sz w:val="20"/>
                <w:szCs w:val="20"/>
              </w:rPr>
            </w:pPr>
            <w:r w:rsidRPr="008B6A75">
              <w:rPr>
                <w:sz w:val="20"/>
                <w:szCs w:val="20"/>
              </w:rPr>
              <w:t>Иные закупки товаров, работ и услуг для обеспечения государственных (муниципальных) нужд</w:t>
            </w:r>
          </w:p>
        </w:tc>
        <w:tc>
          <w:tcPr>
            <w:tcW w:w="1559" w:type="dxa"/>
            <w:tcBorders>
              <w:top w:val="nil"/>
              <w:left w:val="single" w:sz="4" w:space="0" w:color="auto"/>
              <w:bottom w:val="single" w:sz="4" w:space="0" w:color="auto"/>
              <w:right w:val="nil"/>
            </w:tcBorders>
            <w:shd w:val="clear" w:color="auto" w:fill="auto"/>
            <w:noWrap/>
            <w:vAlign w:val="center"/>
            <w:hideMark/>
          </w:tcPr>
          <w:p w14:paraId="0F944F65" w14:textId="77777777" w:rsidR="00387142" w:rsidRPr="008B6A75" w:rsidRDefault="00387142" w:rsidP="00387142">
            <w:pPr>
              <w:jc w:val="center"/>
              <w:rPr>
                <w:sz w:val="20"/>
                <w:szCs w:val="20"/>
              </w:rPr>
            </w:pPr>
            <w:r w:rsidRPr="008B6A75">
              <w:rPr>
                <w:sz w:val="20"/>
                <w:szCs w:val="20"/>
              </w:rPr>
              <w:t>10.0.00.S0760</w:t>
            </w:r>
          </w:p>
        </w:tc>
        <w:tc>
          <w:tcPr>
            <w:tcW w:w="850" w:type="dxa"/>
            <w:tcBorders>
              <w:top w:val="nil"/>
              <w:left w:val="single" w:sz="4" w:space="0" w:color="auto"/>
              <w:bottom w:val="single" w:sz="4" w:space="0" w:color="auto"/>
              <w:right w:val="nil"/>
            </w:tcBorders>
            <w:shd w:val="clear" w:color="auto" w:fill="auto"/>
            <w:noWrap/>
            <w:vAlign w:val="center"/>
            <w:hideMark/>
          </w:tcPr>
          <w:p w14:paraId="47B69096" w14:textId="77777777" w:rsidR="00387142" w:rsidRPr="008B6A75" w:rsidRDefault="00387142" w:rsidP="00387142">
            <w:pPr>
              <w:jc w:val="center"/>
              <w:rPr>
                <w:sz w:val="20"/>
                <w:szCs w:val="20"/>
              </w:rPr>
            </w:pPr>
            <w:r w:rsidRPr="008B6A75">
              <w:rPr>
                <w:sz w:val="20"/>
                <w:szCs w:val="20"/>
              </w:rPr>
              <w:t>240</w:t>
            </w:r>
          </w:p>
        </w:tc>
        <w:tc>
          <w:tcPr>
            <w:tcW w:w="567" w:type="dxa"/>
            <w:tcBorders>
              <w:top w:val="nil"/>
              <w:left w:val="single" w:sz="4" w:space="0" w:color="auto"/>
              <w:bottom w:val="single" w:sz="4" w:space="0" w:color="auto"/>
              <w:right w:val="nil"/>
            </w:tcBorders>
            <w:shd w:val="clear" w:color="auto" w:fill="auto"/>
            <w:noWrap/>
            <w:vAlign w:val="center"/>
            <w:hideMark/>
          </w:tcPr>
          <w:p w14:paraId="41D59B7D" w14:textId="77777777" w:rsidR="00387142" w:rsidRPr="008B6A75" w:rsidRDefault="00387142" w:rsidP="00387142">
            <w:pPr>
              <w:jc w:val="center"/>
              <w:rPr>
                <w:sz w:val="20"/>
                <w:szCs w:val="20"/>
              </w:rPr>
            </w:pPr>
            <w:r w:rsidRPr="008B6A75">
              <w:rPr>
                <w:sz w:val="20"/>
                <w:szCs w:val="20"/>
              </w:rPr>
              <w:t>04</w:t>
            </w:r>
          </w:p>
        </w:tc>
        <w:tc>
          <w:tcPr>
            <w:tcW w:w="567" w:type="dxa"/>
            <w:tcBorders>
              <w:top w:val="nil"/>
              <w:left w:val="single" w:sz="4" w:space="0" w:color="auto"/>
              <w:bottom w:val="single" w:sz="4" w:space="0" w:color="auto"/>
              <w:right w:val="nil"/>
            </w:tcBorders>
            <w:shd w:val="clear" w:color="auto" w:fill="auto"/>
            <w:noWrap/>
            <w:vAlign w:val="center"/>
            <w:hideMark/>
          </w:tcPr>
          <w:p w14:paraId="3ABAF1D0" w14:textId="77777777" w:rsidR="00387142" w:rsidRPr="008B6A75" w:rsidRDefault="00387142" w:rsidP="00387142">
            <w:pPr>
              <w:jc w:val="center"/>
              <w:rPr>
                <w:sz w:val="20"/>
                <w:szCs w:val="20"/>
              </w:rPr>
            </w:pPr>
            <w:r w:rsidRPr="008B6A75">
              <w:rPr>
                <w:sz w:val="20"/>
                <w:szCs w:val="20"/>
              </w:rPr>
              <w:t>09</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0DB8584" w14:textId="77777777" w:rsidR="00387142" w:rsidRPr="008B6A75" w:rsidRDefault="00387142" w:rsidP="00387142">
            <w:pPr>
              <w:jc w:val="right"/>
              <w:rPr>
                <w:sz w:val="20"/>
                <w:szCs w:val="20"/>
              </w:rPr>
            </w:pPr>
            <w:r w:rsidRPr="008B6A75">
              <w:rPr>
                <w:sz w:val="20"/>
                <w:szCs w:val="20"/>
              </w:rPr>
              <w:t>40 000,00</w:t>
            </w:r>
          </w:p>
        </w:tc>
        <w:tc>
          <w:tcPr>
            <w:tcW w:w="851" w:type="dxa"/>
            <w:tcBorders>
              <w:top w:val="nil"/>
              <w:left w:val="single" w:sz="4" w:space="0" w:color="auto"/>
              <w:bottom w:val="single" w:sz="4" w:space="0" w:color="auto"/>
              <w:right w:val="nil"/>
            </w:tcBorders>
            <w:shd w:val="clear" w:color="auto" w:fill="auto"/>
            <w:noWrap/>
            <w:vAlign w:val="center"/>
            <w:hideMark/>
          </w:tcPr>
          <w:p w14:paraId="709DE155" w14:textId="77777777" w:rsidR="00387142" w:rsidRPr="008B6A75" w:rsidRDefault="00387142" w:rsidP="00387142">
            <w:pPr>
              <w:jc w:val="right"/>
              <w:rPr>
                <w:sz w:val="20"/>
                <w:szCs w:val="20"/>
              </w:rPr>
            </w:pPr>
            <w:r w:rsidRPr="008B6A75">
              <w:rPr>
                <w:sz w:val="20"/>
                <w:szCs w:val="20"/>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73DA658C" w14:textId="77777777" w:rsidR="00387142" w:rsidRPr="008B6A75" w:rsidRDefault="00387142" w:rsidP="00387142">
            <w:pPr>
              <w:jc w:val="right"/>
              <w:rPr>
                <w:sz w:val="20"/>
                <w:szCs w:val="20"/>
              </w:rPr>
            </w:pPr>
            <w:r w:rsidRPr="008B6A75">
              <w:rPr>
                <w:sz w:val="20"/>
                <w:szCs w:val="20"/>
              </w:rPr>
              <w:t>0,00</w:t>
            </w:r>
          </w:p>
        </w:tc>
      </w:tr>
      <w:tr w:rsidR="00387142" w:rsidRPr="008B6A75" w14:paraId="7AA12B4D" w14:textId="77777777" w:rsidTr="00387142">
        <w:trPr>
          <w:trHeight w:val="1155"/>
        </w:trPr>
        <w:tc>
          <w:tcPr>
            <w:tcW w:w="272" w:type="dxa"/>
            <w:tcBorders>
              <w:top w:val="nil"/>
              <w:left w:val="nil"/>
              <w:bottom w:val="nil"/>
              <w:right w:val="single" w:sz="4" w:space="0" w:color="auto"/>
            </w:tcBorders>
            <w:shd w:val="clear" w:color="auto" w:fill="auto"/>
            <w:noWrap/>
            <w:vAlign w:val="bottom"/>
            <w:hideMark/>
          </w:tcPr>
          <w:p w14:paraId="0FD07245"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4ABC7837" w14:textId="77777777" w:rsidR="00387142" w:rsidRPr="008B6A75" w:rsidRDefault="00387142" w:rsidP="00387142">
            <w:pPr>
              <w:rPr>
                <w:bCs/>
                <w:sz w:val="20"/>
                <w:szCs w:val="20"/>
              </w:rPr>
            </w:pPr>
            <w:r w:rsidRPr="008B6A75">
              <w:rPr>
                <w:bCs/>
                <w:sz w:val="20"/>
                <w:szCs w:val="20"/>
              </w:rPr>
              <w:t>Муниципальная программа "Развитие физической культуры и спорта в Куйбышевском районе Новосибирской области"</w:t>
            </w:r>
          </w:p>
        </w:tc>
        <w:tc>
          <w:tcPr>
            <w:tcW w:w="1559" w:type="dxa"/>
            <w:tcBorders>
              <w:top w:val="nil"/>
              <w:left w:val="single" w:sz="4" w:space="0" w:color="auto"/>
              <w:bottom w:val="single" w:sz="4" w:space="0" w:color="auto"/>
              <w:right w:val="nil"/>
            </w:tcBorders>
            <w:shd w:val="clear" w:color="auto" w:fill="auto"/>
            <w:noWrap/>
            <w:vAlign w:val="center"/>
            <w:hideMark/>
          </w:tcPr>
          <w:p w14:paraId="3B5CA3D5" w14:textId="77777777" w:rsidR="00387142" w:rsidRPr="008B6A75" w:rsidRDefault="00387142" w:rsidP="00387142">
            <w:pPr>
              <w:jc w:val="center"/>
              <w:rPr>
                <w:bCs/>
                <w:sz w:val="20"/>
                <w:szCs w:val="20"/>
              </w:rPr>
            </w:pPr>
            <w:r w:rsidRPr="008B6A75">
              <w:rPr>
                <w:bCs/>
                <w:sz w:val="20"/>
                <w:szCs w:val="20"/>
              </w:rPr>
              <w:t>11.0.00.00000</w:t>
            </w:r>
          </w:p>
        </w:tc>
        <w:tc>
          <w:tcPr>
            <w:tcW w:w="850" w:type="dxa"/>
            <w:tcBorders>
              <w:top w:val="nil"/>
              <w:left w:val="single" w:sz="4" w:space="0" w:color="auto"/>
              <w:bottom w:val="single" w:sz="4" w:space="0" w:color="auto"/>
              <w:right w:val="nil"/>
            </w:tcBorders>
            <w:shd w:val="clear" w:color="auto" w:fill="auto"/>
            <w:noWrap/>
            <w:vAlign w:val="center"/>
            <w:hideMark/>
          </w:tcPr>
          <w:p w14:paraId="6C05F1A7" w14:textId="77777777" w:rsidR="00387142" w:rsidRPr="008B6A75" w:rsidRDefault="00387142" w:rsidP="00387142">
            <w:pPr>
              <w:jc w:val="center"/>
              <w:rPr>
                <w:bCs/>
                <w:sz w:val="20"/>
                <w:szCs w:val="20"/>
              </w:rPr>
            </w:pPr>
            <w:r w:rsidRPr="008B6A75">
              <w:rPr>
                <w:bCs/>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3B147440" w14:textId="77777777" w:rsidR="00387142" w:rsidRPr="008B6A75" w:rsidRDefault="00387142" w:rsidP="00387142">
            <w:pPr>
              <w:jc w:val="center"/>
              <w:rPr>
                <w:bCs/>
                <w:sz w:val="20"/>
                <w:szCs w:val="20"/>
              </w:rPr>
            </w:pPr>
            <w:r w:rsidRPr="008B6A75">
              <w:rPr>
                <w:bCs/>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1ABC9A56" w14:textId="77777777" w:rsidR="00387142" w:rsidRPr="008B6A75" w:rsidRDefault="00387142" w:rsidP="00387142">
            <w:pPr>
              <w:jc w:val="center"/>
              <w:rPr>
                <w:bCs/>
                <w:sz w:val="20"/>
                <w:szCs w:val="20"/>
              </w:rPr>
            </w:pPr>
            <w:r w:rsidRPr="008B6A75">
              <w:rPr>
                <w:bCs/>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0799BF9" w14:textId="77777777" w:rsidR="00387142" w:rsidRPr="008B6A75" w:rsidRDefault="00387142" w:rsidP="00387142">
            <w:pPr>
              <w:jc w:val="right"/>
              <w:rPr>
                <w:bCs/>
                <w:sz w:val="20"/>
                <w:szCs w:val="20"/>
              </w:rPr>
            </w:pPr>
            <w:r w:rsidRPr="008B6A75">
              <w:rPr>
                <w:bCs/>
                <w:sz w:val="20"/>
                <w:szCs w:val="20"/>
              </w:rPr>
              <w:t>100 946 075,20</w:t>
            </w:r>
          </w:p>
        </w:tc>
        <w:tc>
          <w:tcPr>
            <w:tcW w:w="851" w:type="dxa"/>
            <w:tcBorders>
              <w:top w:val="nil"/>
              <w:left w:val="single" w:sz="4" w:space="0" w:color="auto"/>
              <w:bottom w:val="single" w:sz="4" w:space="0" w:color="auto"/>
              <w:right w:val="nil"/>
            </w:tcBorders>
            <w:shd w:val="clear" w:color="auto" w:fill="auto"/>
            <w:noWrap/>
            <w:vAlign w:val="center"/>
            <w:hideMark/>
          </w:tcPr>
          <w:p w14:paraId="64618B47" w14:textId="77777777" w:rsidR="00387142" w:rsidRPr="008B6A75" w:rsidRDefault="00387142" w:rsidP="00387142">
            <w:pPr>
              <w:jc w:val="right"/>
              <w:rPr>
                <w:bCs/>
                <w:sz w:val="20"/>
                <w:szCs w:val="20"/>
              </w:rPr>
            </w:pPr>
            <w:r w:rsidRPr="008B6A75">
              <w:rPr>
                <w:bCs/>
                <w:sz w:val="20"/>
                <w:szCs w:val="20"/>
              </w:rPr>
              <w:t>33 728 500,00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0D290B3F" w14:textId="77777777" w:rsidR="00387142" w:rsidRPr="008B6A75" w:rsidRDefault="00387142" w:rsidP="00387142">
            <w:pPr>
              <w:jc w:val="right"/>
              <w:rPr>
                <w:bCs/>
                <w:sz w:val="20"/>
                <w:szCs w:val="20"/>
              </w:rPr>
            </w:pPr>
            <w:r w:rsidRPr="008B6A75">
              <w:rPr>
                <w:bCs/>
                <w:sz w:val="20"/>
                <w:szCs w:val="20"/>
              </w:rPr>
              <w:t>32 000 000,00</w:t>
            </w:r>
          </w:p>
        </w:tc>
      </w:tr>
      <w:tr w:rsidR="00387142" w:rsidRPr="008B6A75" w14:paraId="1156B0DA" w14:textId="77777777" w:rsidTr="00387142">
        <w:trPr>
          <w:trHeight w:val="870"/>
        </w:trPr>
        <w:tc>
          <w:tcPr>
            <w:tcW w:w="272" w:type="dxa"/>
            <w:tcBorders>
              <w:top w:val="nil"/>
              <w:left w:val="nil"/>
              <w:bottom w:val="nil"/>
              <w:right w:val="single" w:sz="4" w:space="0" w:color="auto"/>
            </w:tcBorders>
            <w:shd w:val="clear" w:color="auto" w:fill="auto"/>
            <w:noWrap/>
            <w:vAlign w:val="bottom"/>
            <w:hideMark/>
          </w:tcPr>
          <w:p w14:paraId="14072AC0"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71FFD24D" w14:textId="77777777" w:rsidR="00387142" w:rsidRPr="008B6A75" w:rsidRDefault="00387142" w:rsidP="00387142">
            <w:pPr>
              <w:rPr>
                <w:bCs/>
                <w:sz w:val="20"/>
                <w:szCs w:val="20"/>
              </w:rPr>
            </w:pPr>
            <w:r w:rsidRPr="008B6A75">
              <w:rPr>
                <w:bCs/>
                <w:sz w:val="20"/>
                <w:szCs w:val="20"/>
              </w:rPr>
              <w:t xml:space="preserve">Расходы на обеспечение деятельности (оказание услуг) центров спортивной </w:t>
            </w:r>
            <w:proofErr w:type="gramStart"/>
            <w:r w:rsidRPr="008B6A75">
              <w:rPr>
                <w:bCs/>
                <w:sz w:val="20"/>
                <w:szCs w:val="20"/>
              </w:rPr>
              <w:t>подготовки(</w:t>
            </w:r>
            <w:proofErr w:type="gramEnd"/>
            <w:r w:rsidRPr="008B6A75">
              <w:rPr>
                <w:bCs/>
                <w:sz w:val="20"/>
                <w:szCs w:val="20"/>
              </w:rPr>
              <w:t>сборных команд)</w:t>
            </w:r>
          </w:p>
        </w:tc>
        <w:tc>
          <w:tcPr>
            <w:tcW w:w="1559" w:type="dxa"/>
            <w:tcBorders>
              <w:top w:val="nil"/>
              <w:left w:val="single" w:sz="4" w:space="0" w:color="auto"/>
              <w:bottom w:val="single" w:sz="4" w:space="0" w:color="auto"/>
              <w:right w:val="nil"/>
            </w:tcBorders>
            <w:shd w:val="clear" w:color="auto" w:fill="auto"/>
            <w:noWrap/>
            <w:vAlign w:val="center"/>
            <w:hideMark/>
          </w:tcPr>
          <w:p w14:paraId="7E33C9E8" w14:textId="77777777" w:rsidR="00387142" w:rsidRPr="008B6A75" w:rsidRDefault="00387142" w:rsidP="00387142">
            <w:pPr>
              <w:jc w:val="center"/>
              <w:rPr>
                <w:bCs/>
                <w:sz w:val="20"/>
                <w:szCs w:val="20"/>
              </w:rPr>
            </w:pPr>
            <w:r w:rsidRPr="008B6A75">
              <w:rPr>
                <w:bCs/>
                <w:sz w:val="20"/>
                <w:szCs w:val="20"/>
              </w:rPr>
              <w:t>11.0.00.11190</w:t>
            </w:r>
          </w:p>
        </w:tc>
        <w:tc>
          <w:tcPr>
            <w:tcW w:w="850" w:type="dxa"/>
            <w:tcBorders>
              <w:top w:val="nil"/>
              <w:left w:val="single" w:sz="4" w:space="0" w:color="auto"/>
              <w:bottom w:val="single" w:sz="4" w:space="0" w:color="auto"/>
              <w:right w:val="nil"/>
            </w:tcBorders>
            <w:shd w:val="clear" w:color="auto" w:fill="auto"/>
            <w:noWrap/>
            <w:vAlign w:val="center"/>
            <w:hideMark/>
          </w:tcPr>
          <w:p w14:paraId="23D5C5E4" w14:textId="77777777" w:rsidR="00387142" w:rsidRPr="008B6A75" w:rsidRDefault="00387142" w:rsidP="00387142">
            <w:pPr>
              <w:jc w:val="center"/>
              <w:rPr>
                <w:bCs/>
                <w:sz w:val="20"/>
                <w:szCs w:val="20"/>
              </w:rPr>
            </w:pPr>
            <w:r w:rsidRPr="008B6A75">
              <w:rPr>
                <w:bCs/>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5B157200" w14:textId="77777777" w:rsidR="00387142" w:rsidRPr="008B6A75" w:rsidRDefault="00387142" w:rsidP="00387142">
            <w:pPr>
              <w:jc w:val="center"/>
              <w:rPr>
                <w:bCs/>
                <w:sz w:val="20"/>
                <w:szCs w:val="20"/>
              </w:rPr>
            </w:pPr>
            <w:r w:rsidRPr="008B6A75">
              <w:rPr>
                <w:bCs/>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60C3505A" w14:textId="77777777" w:rsidR="00387142" w:rsidRPr="008B6A75" w:rsidRDefault="00387142" w:rsidP="00387142">
            <w:pPr>
              <w:jc w:val="center"/>
              <w:rPr>
                <w:bCs/>
                <w:sz w:val="20"/>
                <w:szCs w:val="20"/>
              </w:rPr>
            </w:pPr>
            <w:r w:rsidRPr="008B6A75">
              <w:rPr>
                <w:bCs/>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FEE6B2E" w14:textId="77777777" w:rsidR="00387142" w:rsidRPr="008B6A75" w:rsidRDefault="00387142" w:rsidP="00387142">
            <w:pPr>
              <w:jc w:val="right"/>
              <w:rPr>
                <w:bCs/>
                <w:sz w:val="20"/>
                <w:szCs w:val="20"/>
              </w:rPr>
            </w:pPr>
            <w:r w:rsidRPr="008B6A75">
              <w:rPr>
                <w:bCs/>
                <w:sz w:val="20"/>
                <w:szCs w:val="20"/>
              </w:rPr>
              <w:t>35 855 258,87</w:t>
            </w:r>
          </w:p>
        </w:tc>
        <w:tc>
          <w:tcPr>
            <w:tcW w:w="851" w:type="dxa"/>
            <w:tcBorders>
              <w:top w:val="nil"/>
              <w:left w:val="single" w:sz="4" w:space="0" w:color="auto"/>
              <w:bottom w:val="single" w:sz="4" w:space="0" w:color="auto"/>
              <w:right w:val="nil"/>
            </w:tcBorders>
            <w:shd w:val="clear" w:color="auto" w:fill="auto"/>
            <w:noWrap/>
            <w:vAlign w:val="center"/>
            <w:hideMark/>
          </w:tcPr>
          <w:p w14:paraId="38929F6D" w14:textId="77777777" w:rsidR="00387142" w:rsidRPr="008B6A75" w:rsidRDefault="00387142" w:rsidP="00387142">
            <w:pPr>
              <w:jc w:val="right"/>
              <w:rPr>
                <w:bCs/>
                <w:sz w:val="20"/>
                <w:szCs w:val="20"/>
              </w:rPr>
            </w:pPr>
            <w:r w:rsidRPr="008B6A75">
              <w:rPr>
                <w:bCs/>
                <w:sz w:val="20"/>
                <w:szCs w:val="20"/>
              </w:rPr>
              <w:t>32 000 000,00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6BFAD8A9" w14:textId="77777777" w:rsidR="00387142" w:rsidRPr="008B6A75" w:rsidRDefault="00387142" w:rsidP="00387142">
            <w:pPr>
              <w:jc w:val="right"/>
              <w:rPr>
                <w:bCs/>
                <w:sz w:val="20"/>
                <w:szCs w:val="20"/>
              </w:rPr>
            </w:pPr>
            <w:r w:rsidRPr="008B6A75">
              <w:rPr>
                <w:bCs/>
                <w:sz w:val="20"/>
                <w:szCs w:val="20"/>
              </w:rPr>
              <w:t>32 000 000,00</w:t>
            </w:r>
          </w:p>
        </w:tc>
      </w:tr>
      <w:tr w:rsidR="00387142" w:rsidRPr="008B6A75" w14:paraId="457E9A0D" w14:textId="77777777" w:rsidTr="00387142">
        <w:trPr>
          <w:trHeight w:val="1440"/>
        </w:trPr>
        <w:tc>
          <w:tcPr>
            <w:tcW w:w="272" w:type="dxa"/>
            <w:tcBorders>
              <w:top w:val="nil"/>
              <w:left w:val="nil"/>
              <w:bottom w:val="nil"/>
              <w:right w:val="single" w:sz="4" w:space="0" w:color="auto"/>
            </w:tcBorders>
            <w:shd w:val="clear" w:color="auto" w:fill="auto"/>
            <w:noWrap/>
            <w:vAlign w:val="bottom"/>
            <w:hideMark/>
          </w:tcPr>
          <w:p w14:paraId="45CB4C93"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234571C8" w14:textId="77777777" w:rsidR="00387142" w:rsidRPr="008B6A75" w:rsidRDefault="00387142" w:rsidP="00387142">
            <w:pPr>
              <w:rPr>
                <w:sz w:val="20"/>
                <w:szCs w:val="20"/>
              </w:rPr>
            </w:pPr>
            <w:r w:rsidRPr="008B6A7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single" w:sz="4" w:space="0" w:color="auto"/>
              <w:bottom w:val="single" w:sz="4" w:space="0" w:color="auto"/>
              <w:right w:val="nil"/>
            </w:tcBorders>
            <w:shd w:val="clear" w:color="auto" w:fill="auto"/>
            <w:noWrap/>
            <w:vAlign w:val="center"/>
            <w:hideMark/>
          </w:tcPr>
          <w:p w14:paraId="3A2AB8FC" w14:textId="77777777" w:rsidR="00387142" w:rsidRPr="008B6A75" w:rsidRDefault="00387142" w:rsidP="00387142">
            <w:pPr>
              <w:jc w:val="center"/>
              <w:rPr>
                <w:sz w:val="20"/>
                <w:szCs w:val="20"/>
              </w:rPr>
            </w:pPr>
            <w:r w:rsidRPr="008B6A75">
              <w:rPr>
                <w:sz w:val="20"/>
                <w:szCs w:val="20"/>
              </w:rPr>
              <w:t>11.0.00.11190</w:t>
            </w:r>
          </w:p>
        </w:tc>
        <w:tc>
          <w:tcPr>
            <w:tcW w:w="850" w:type="dxa"/>
            <w:tcBorders>
              <w:top w:val="nil"/>
              <w:left w:val="single" w:sz="4" w:space="0" w:color="auto"/>
              <w:bottom w:val="single" w:sz="4" w:space="0" w:color="auto"/>
              <w:right w:val="nil"/>
            </w:tcBorders>
            <w:shd w:val="clear" w:color="auto" w:fill="auto"/>
            <w:noWrap/>
            <w:vAlign w:val="center"/>
            <w:hideMark/>
          </w:tcPr>
          <w:p w14:paraId="14075F49" w14:textId="77777777" w:rsidR="00387142" w:rsidRPr="008B6A75" w:rsidRDefault="00387142" w:rsidP="00387142">
            <w:pPr>
              <w:jc w:val="center"/>
              <w:rPr>
                <w:sz w:val="20"/>
                <w:szCs w:val="20"/>
              </w:rPr>
            </w:pPr>
            <w:r w:rsidRPr="008B6A75">
              <w:rPr>
                <w:sz w:val="20"/>
                <w:szCs w:val="20"/>
              </w:rPr>
              <w:t>100</w:t>
            </w:r>
          </w:p>
        </w:tc>
        <w:tc>
          <w:tcPr>
            <w:tcW w:w="567" w:type="dxa"/>
            <w:tcBorders>
              <w:top w:val="nil"/>
              <w:left w:val="single" w:sz="4" w:space="0" w:color="auto"/>
              <w:bottom w:val="single" w:sz="4" w:space="0" w:color="auto"/>
              <w:right w:val="nil"/>
            </w:tcBorders>
            <w:shd w:val="clear" w:color="auto" w:fill="auto"/>
            <w:noWrap/>
            <w:vAlign w:val="center"/>
            <w:hideMark/>
          </w:tcPr>
          <w:p w14:paraId="79DF2EC9" w14:textId="77777777" w:rsidR="00387142" w:rsidRPr="008B6A75" w:rsidRDefault="00387142" w:rsidP="00387142">
            <w:pPr>
              <w:jc w:val="center"/>
              <w:rPr>
                <w:sz w:val="20"/>
                <w:szCs w:val="20"/>
              </w:rPr>
            </w:pPr>
            <w:r w:rsidRPr="008B6A75">
              <w:rPr>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0212C8DD" w14:textId="77777777" w:rsidR="00387142" w:rsidRPr="008B6A75" w:rsidRDefault="00387142" w:rsidP="00387142">
            <w:pPr>
              <w:jc w:val="center"/>
              <w:rPr>
                <w:sz w:val="20"/>
                <w:szCs w:val="20"/>
              </w:rPr>
            </w:pPr>
            <w:r w:rsidRPr="008B6A75">
              <w:rPr>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5B072DF" w14:textId="77777777" w:rsidR="00387142" w:rsidRPr="008B6A75" w:rsidRDefault="00387142" w:rsidP="00387142">
            <w:pPr>
              <w:jc w:val="right"/>
              <w:rPr>
                <w:sz w:val="20"/>
                <w:szCs w:val="20"/>
              </w:rPr>
            </w:pPr>
            <w:r w:rsidRPr="008B6A75">
              <w:rPr>
                <w:sz w:val="20"/>
                <w:szCs w:val="20"/>
              </w:rPr>
              <w:t>0,00</w:t>
            </w:r>
          </w:p>
        </w:tc>
        <w:tc>
          <w:tcPr>
            <w:tcW w:w="851" w:type="dxa"/>
            <w:tcBorders>
              <w:top w:val="nil"/>
              <w:left w:val="single" w:sz="4" w:space="0" w:color="auto"/>
              <w:bottom w:val="single" w:sz="4" w:space="0" w:color="auto"/>
              <w:right w:val="nil"/>
            </w:tcBorders>
            <w:shd w:val="clear" w:color="auto" w:fill="auto"/>
            <w:noWrap/>
            <w:vAlign w:val="center"/>
            <w:hideMark/>
          </w:tcPr>
          <w:p w14:paraId="7D338B69" w14:textId="77777777" w:rsidR="00387142" w:rsidRPr="008B6A75" w:rsidRDefault="00387142" w:rsidP="00387142">
            <w:pPr>
              <w:jc w:val="right"/>
              <w:rPr>
                <w:sz w:val="20"/>
                <w:szCs w:val="20"/>
              </w:rPr>
            </w:pPr>
            <w:r w:rsidRPr="008B6A75">
              <w:rPr>
                <w:sz w:val="20"/>
                <w:szCs w:val="20"/>
              </w:rPr>
              <w:t>12 000 000,00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3D78270B" w14:textId="77777777" w:rsidR="00387142" w:rsidRPr="008B6A75" w:rsidRDefault="00387142" w:rsidP="00387142">
            <w:pPr>
              <w:jc w:val="right"/>
              <w:rPr>
                <w:sz w:val="20"/>
                <w:szCs w:val="20"/>
              </w:rPr>
            </w:pPr>
            <w:r w:rsidRPr="008B6A75">
              <w:rPr>
                <w:sz w:val="20"/>
                <w:szCs w:val="20"/>
              </w:rPr>
              <w:t>12 000 000,00</w:t>
            </w:r>
          </w:p>
        </w:tc>
      </w:tr>
      <w:tr w:rsidR="00387142" w:rsidRPr="008B6A75" w14:paraId="35E29D63" w14:textId="77777777" w:rsidTr="00387142">
        <w:trPr>
          <w:trHeight w:val="585"/>
        </w:trPr>
        <w:tc>
          <w:tcPr>
            <w:tcW w:w="272" w:type="dxa"/>
            <w:tcBorders>
              <w:top w:val="nil"/>
              <w:left w:val="nil"/>
              <w:bottom w:val="nil"/>
              <w:right w:val="single" w:sz="4" w:space="0" w:color="auto"/>
            </w:tcBorders>
            <w:shd w:val="clear" w:color="auto" w:fill="auto"/>
            <w:noWrap/>
            <w:vAlign w:val="bottom"/>
            <w:hideMark/>
          </w:tcPr>
          <w:p w14:paraId="24E8C263"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10760564" w14:textId="77777777" w:rsidR="00387142" w:rsidRPr="008B6A75" w:rsidRDefault="00387142" w:rsidP="00387142">
            <w:pPr>
              <w:rPr>
                <w:sz w:val="20"/>
                <w:szCs w:val="20"/>
              </w:rPr>
            </w:pPr>
            <w:r w:rsidRPr="008B6A75">
              <w:rPr>
                <w:sz w:val="20"/>
                <w:szCs w:val="20"/>
              </w:rPr>
              <w:t>Расходы на выплаты персоналу казенных учреждений</w:t>
            </w:r>
          </w:p>
        </w:tc>
        <w:tc>
          <w:tcPr>
            <w:tcW w:w="1559" w:type="dxa"/>
            <w:tcBorders>
              <w:top w:val="nil"/>
              <w:left w:val="single" w:sz="4" w:space="0" w:color="auto"/>
              <w:bottom w:val="single" w:sz="4" w:space="0" w:color="auto"/>
              <w:right w:val="nil"/>
            </w:tcBorders>
            <w:shd w:val="clear" w:color="auto" w:fill="auto"/>
            <w:noWrap/>
            <w:vAlign w:val="center"/>
            <w:hideMark/>
          </w:tcPr>
          <w:p w14:paraId="1AB9945D" w14:textId="77777777" w:rsidR="00387142" w:rsidRPr="008B6A75" w:rsidRDefault="00387142" w:rsidP="00387142">
            <w:pPr>
              <w:jc w:val="center"/>
              <w:rPr>
                <w:sz w:val="20"/>
                <w:szCs w:val="20"/>
              </w:rPr>
            </w:pPr>
            <w:r w:rsidRPr="008B6A75">
              <w:rPr>
                <w:sz w:val="20"/>
                <w:szCs w:val="20"/>
              </w:rPr>
              <w:t>11.0.00.11190</w:t>
            </w:r>
          </w:p>
        </w:tc>
        <w:tc>
          <w:tcPr>
            <w:tcW w:w="850" w:type="dxa"/>
            <w:tcBorders>
              <w:top w:val="nil"/>
              <w:left w:val="single" w:sz="4" w:space="0" w:color="auto"/>
              <w:bottom w:val="single" w:sz="4" w:space="0" w:color="auto"/>
              <w:right w:val="nil"/>
            </w:tcBorders>
            <w:shd w:val="clear" w:color="auto" w:fill="auto"/>
            <w:noWrap/>
            <w:vAlign w:val="center"/>
            <w:hideMark/>
          </w:tcPr>
          <w:p w14:paraId="5C7D6EC1" w14:textId="77777777" w:rsidR="00387142" w:rsidRPr="008B6A75" w:rsidRDefault="00387142" w:rsidP="00387142">
            <w:pPr>
              <w:jc w:val="center"/>
              <w:rPr>
                <w:sz w:val="20"/>
                <w:szCs w:val="20"/>
              </w:rPr>
            </w:pPr>
            <w:r w:rsidRPr="008B6A75">
              <w:rPr>
                <w:sz w:val="20"/>
                <w:szCs w:val="20"/>
              </w:rPr>
              <w:t>110</w:t>
            </w:r>
          </w:p>
        </w:tc>
        <w:tc>
          <w:tcPr>
            <w:tcW w:w="567" w:type="dxa"/>
            <w:tcBorders>
              <w:top w:val="nil"/>
              <w:left w:val="single" w:sz="4" w:space="0" w:color="auto"/>
              <w:bottom w:val="single" w:sz="4" w:space="0" w:color="auto"/>
              <w:right w:val="nil"/>
            </w:tcBorders>
            <w:shd w:val="clear" w:color="auto" w:fill="auto"/>
            <w:noWrap/>
            <w:vAlign w:val="center"/>
            <w:hideMark/>
          </w:tcPr>
          <w:p w14:paraId="530EBA14" w14:textId="77777777" w:rsidR="00387142" w:rsidRPr="008B6A75" w:rsidRDefault="00387142" w:rsidP="00387142">
            <w:pPr>
              <w:jc w:val="center"/>
              <w:rPr>
                <w:sz w:val="20"/>
                <w:szCs w:val="20"/>
              </w:rPr>
            </w:pPr>
            <w:r w:rsidRPr="008B6A75">
              <w:rPr>
                <w:sz w:val="20"/>
                <w:szCs w:val="20"/>
              </w:rPr>
              <w:t>11</w:t>
            </w:r>
          </w:p>
        </w:tc>
        <w:tc>
          <w:tcPr>
            <w:tcW w:w="567" w:type="dxa"/>
            <w:tcBorders>
              <w:top w:val="nil"/>
              <w:left w:val="single" w:sz="4" w:space="0" w:color="auto"/>
              <w:bottom w:val="single" w:sz="4" w:space="0" w:color="auto"/>
              <w:right w:val="nil"/>
            </w:tcBorders>
            <w:shd w:val="clear" w:color="auto" w:fill="auto"/>
            <w:noWrap/>
            <w:vAlign w:val="center"/>
            <w:hideMark/>
          </w:tcPr>
          <w:p w14:paraId="7705748B" w14:textId="77777777" w:rsidR="00387142" w:rsidRPr="008B6A75" w:rsidRDefault="00387142" w:rsidP="00387142">
            <w:pPr>
              <w:jc w:val="center"/>
              <w:rPr>
                <w:sz w:val="20"/>
                <w:szCs w:val="20"/>
              </w:rPr>
            </w:pPr>
            <w:r w:rsidRPr="008B6A75">
              <w:rPr>
                <w:sz w:val="20"/>
                <w:szCs w:val="20"/>
              </w:rPr>
              <w:t>01</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754EC30" w14:textId="77777777" w:rsidR="00387142" w:rsidRPr="008B6A75" w:rsidRDefault="00387142" w:rsidP="00387142">
            <w:pPr>
              <w:jc w:val="right"/>
              <w:rPr>
                <w:sz w:val="20"/>
                <w:szCs w:val="20"/>
              </w:rPr>
            </w:pPr>
            <w:r w:rsidRPr="008B6A75">
              <w:rPr>
                <w:sz w:val="20"/>
                <w:szCs w:val="20"/>
              </w:rPr>
              <w:t>0,00</w:t>
            </w:r>
          </w:p>
        </w:tc>
        <w:tc>
          <w:tcPr>
            <w:tcW w:w="851" w:type="dxa"/>
            <w:tcBorders>
              <w:top w:val="nil"/>
              <w:left w:val="single" w:sz="4" w:space="0" w:color="auto"/>
              <w:bottom w:val="single" w:sz="4" w:space="0" w:color="auto"/>
              <w:right w:val="nil"/>
            </w:tcBorders>
            <w:shd w:val="clear" w:color="auto" w:fill="auto"/>
            <w:noWrap/>
            <w:vAlign w:val="center"/>
            <w:hideMark/>
          </w:tcPr>
          <w:p w14:paraId="7FF5B24B" w14:textId="77777777" w:rsidR="00387142" w:rsidRPr="008B6A75" w:rsidRDefault="00387142" w:rsidP="00387142">
            <w:pPr>
              <w:jc w:val="right"/>
              <w:rPr>
                <w:sz w:val="20"/>
                <w:szCs w:val="20"/>
              </w:rPr>
            </w:pPr>
            <w:r w:rsidRPr="008B6A75">
              <w:rPr>
                <w:sz w:val="20"/>
                <w:szCs w:val="20"/>
              </w:rPr>
              <w:t>12 000 000,00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0FC5E4AE" w14:textId="77777777" w:rsidR="00387142" w:rsidRPr="008B6A75" w:rsidRDefault="00387142" w:rsidP="00387142">
            <w:pPr>
              <w:jc w:val="right"/>
              <w:rPr>
                <w:sz w:val="20"/>
                <w:szCs w:val="20"/>
              </w:rPr>
            </w:pPr>
            <w:r w:rsidRPr="008B6A75">
              <w:rPr>
                <w:sz w:val="20"/>
                <w:szCs w:val="20"/>
              </w:rPr>
              <w:t>12 000 000,00</w:t>
            </w:r>
          </w:p>
        </w:tc>
      </w:tr>
      <w:tr w:rsidR="00387142" w:rsidRPr="008B6A75" w14:paraId="3B22513F" w14:textId="77777777" w:rsidTr="00387142">
        <w:trPr>
          <w:trHeight w:val="585"/>
        </w:trPr>
        <w:tc>
          <w:tcPr>
            <w:tcW w:w="272" w:type="dxa"/>
            <w:tcBorders>
              <w:top w:val="nil"/>
              <w:left w:val="nil"/>
              <w:bottom w:val="nil"/>
              <w:right w:val="single" w:sz="4" w:space="0" w:color="auto"/>
            </w:tcBorders>
            <w:shd w:val="clear" w:color="auto" w:fill="auto"/>
            <w:noWrap/>
            <w:vAlign w:val="bottom"/>
            <w:hideMark/>
          </w:tcPr>
          <w:p w14:paraId="51BC9EF4"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4C2AD520" w14:textId="77777777" w:rsidR="00387142" w:rsidRPr="008B6A75" w:rsidRDefault="00387142" w:rsidP="00387142">
            <w:pPr>
              <w:rPr>
                <w:sz w:val="20"/>
                <w:szCs w:val="20"/>
              </w:rPr>
            </w:pPr>
            <w:r w:rsidRPr="008B6A75">
              <w:rPr>
                <w:sz w:val="20"/>
                <w:szCs w:val="20"/>
              </w:rPr>
              <w:t>Закупка товаров, работ и услуг для обеспечения государственных (муниципальных) нужд</w:t>
            </w:r>
          </w:p>
        </w:tc>
        <w:tc>
          <w:tcPr>
            <w:tcW w:w="1559" w:type="dxa"/>
            <w:tcBorders>
              <w:top w:val="nil"/>
              <w:left w:val="single" w:sz="4" w:space="0" w:color="auto"/>
              <w:bottom w:val="single" w:sz="4" w:space="0" w:color="auto"/>
              <w:right w:val="nil"/>
            </w:tcBorders>
            <w:shd w:val="clear" w:color="auto" w:fill="auto"/>
            <w:noWrap/>
            <w:vAlign w:val="center"/>
            <w:hideMark/>
          </w:tcPr>
          <w:p w14:paraId="223F0857" w14:textId="77777777" w:rsidR="00387142" w:rsidRPr="008B6A75" w:rsidRDefault="00387142" w:rsidP="00387142">
            <w:pPr>
              <w:jc w:val="center"/>
              <w:rPr>
                <w:sz w:val="20"/>
                <w:szCs w:val="20"/>
              </w:rPr>
            </w:pPr>
            <w:r w:rsidRPr="008B6A75">
              <w:rPr>
                <w:sz w:val="20"/>
                <w:szCs w:val="20"/>
              </w:rPr>
              <w:t>11.0.00.11190</w:t>
            </w:r>
          </w:p>
        </w:tc>
        <w:tc>
          <w:tcPr>
            <w:tcW w:w="850" w:type="dxa"/>
            <w:tcBorders>
              <w:top w:val="nil"/>
              <w:left w:val="single" w:sz="4" w:space="0" w:color="auto"/>
              <w:bottom w:val="single" w:sz="4" w:space="0" w:color="auto"/>
              <w:right w:val="nil"/>
            </w:tcBorders>
            <w:shd w:val="clear" w:color="auto" w:fill="auto"/>
            <w:noWrap/>
            <w:vAlign w:val="center"/>
            <w:hideMark/>
          </w:tcPr>
          <w:p w14:paraId="672FB1AB" w14:textId="77777777" w:rsidR="00387142" w:rsidRPr="008B6A75" w:rsidRDefault="00387142" w:rsidP="00387142">
            <w:pPr>
              <w:jc w:val="center"/>
              <w:rPr>
                <w:sz w:val="20"/>
                <w:szCs w:val="20"/>
              </w:rPr>
            </w:pPr>
            <w:r w:rsidRPr="008B6A75">
              <w:rPr>
                <w:sz w:val="20"/>
                <w:szCs w:val="20"/>
              </w:rPr>
              <w:t>200</w:t>
            </w:r>
          </w:p>
        </w:tc>
        <w:tc>
          <w:tcPr>
            <w:tcW w:w="567" w:type="dxa"/>
            <w:tcBorders>
              <w:top w:val="nil"/>
              <w:left w:val="single" w:sz="4" w:space="0" w:color="auto"/>
              <w:bottom w:val="single" w:sz="4" w:space="0" w:color="auto"/>
              <w:right w:val="nil"/>
            </w:tcBorders>
            <w:shd w:val="clear" w:color="auto" w:fill="auto"/>
            <w:noWrap/>
            <w:vAlign w:val="center"/>
            <w:hideMark/>
          </w:tcPr>
          <w:p w14:paraId="2BBFD293" w14:textId="77777777" w:rsidR="00387142" w:rsidRPr="008B6A75" w:rsidRDefault="00387142" w:rsidP="00387142">
            <w:pPr>
              <w:jc w:val="center"/>
              <w:rPr>
                <w:sz w:val="20"/>
                <w:szCs w:val="20"/>
              </w:rPr>
            </w:pPr>
            <w:r w:rsidRPr="008B6A75">
              <w:rPr>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78FE28FE" w14:textId="77777777" w:rsidR="00387142" w:rsidRPr="008B6A75" w:rsidRDefault="00387142" w:rsidP="00387142">
            <w:pPr>
              <w:jc w:val="center"/>
              <w:rPr>
                <w:sz w:val="20"/>
                <w:szCs w:val="20"/>
              </w:rPr>
            </w:pPr>
            <w:r w:rsidRPr="008B6A75">
              <w:rPr>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9777F13" w14:textId="77777777" w:rsidR="00387142" w:rsidRPr="008B6A75" w:rsidRDefault="00387142" w:rsidP="00387142">
            <w:pPr>
              <w:jc w:val="right"/>
              <w:rPr>
                <w:sz w:val="20"/>
                <w:szCs w:val="20"/>
              </w:rPr>
            </w:pPr>
            <w:r w:rsidRPr="008B6A75">
              <w:rPr>
                <w:sz w:val="20"/>
                <w:szCs w:val="20"/>
              </w:rPr>
              <w:t>0,00</w:t>
            </w:r>
          </w:p>
        </w:tc>
        <w:tc>
          <w:tcPr>
            <w:tcW w:w="851" w:type="dxa"/>
            <w:tcBorders>
              <w:top w:val="nil"/>
              <w:left w:val="single" w:sz="4" w:space="0" w:color="auto"/>
              <w:bottom w:val="single" w:sz="4" w:space="0" w:color="auto"/>
              <w:right w:val="nil"/>
            </w:tcBorders>
            <w:shd w:val="clear" w:color="auto" w:fill="auto"/>
            <w:noWrap/>
            <w:vAlign w:val="center"/>
            <w:hideMark/>
          </w:tcPr>
          <w:p w14:paraId="0852DDD6" w14:textId="77777777" w:rsidR="00387142" w:rsidRPr="008B6A75" w:rsidRDefault="00387142" w:rsidP="00387142">
            <w:pPr>
              <w:jc w:val="right"/>
              <w:rPr>
                <w:sz w:val="20"/>
                <w:szCs w:val="20"/>
              </w:rPr>
            </w:pPr>
            <w:r w:rsidRPr="008B6A75">
              <w:rPr>
                <w:sz w:val="20"/>
                <w:szCs w:val="20"/>
              </w:rPr>
              <w:t>10 000 000,00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6E151DBA" w14:textId="77777777" w:rsidR="00387142" w:rsidRPr="008B6A75" w:rsidRDefault="00387142" w:rsidP="00387142">
            <w:pPr>
              <w:jc w:val="right"/>
              <w:rPr>
                <w:sz w:val="20"/>
                <w:szCs w:val="20"/>
              </w:rPr>
            </w:pPr>
            <w:r w:rsidRPr="008B6A75">
              <w:rPr>
                <w:sz w:val="20"/>
                <w:szCs w:val="20"/>
              </w:rPr>
              <w:t>10 000 000,00</w:t>
            </w:r>
          </w:p>
        </w:tc>
      </w:tr>
      <w:tr w:rsidR="00387142" w:rsidRPr="008B6A75" w14:paraId="10B996E7" w14:textId="77777777" w:rsidTr="00387142">
        <w:trPr>
          <w:trHeight w:val="870"/>
        </w:trPr>
        <w:tc>
          <w:tcPr>
            <w:tcW w:w="272" w:type="dxa"/>
            <w:tcBorders>
              <w:top w:val="nil"/>
              <w:left w:val="nil"/>
              <w:bottom w:val="nil"/>
              <w:right w:val="single" w:sz="4" w:space="0" w:color="auto"/>
            </w:tcBorders>
            <w:shd w:val="clear" w:color="auto" w:fill="auto"/>
            <w:noWrap/>
            <w:vAlign w:val="bottom"/>
            <w:hideMark/>
          </w:tcPr>
          <w:p w14:paraId="2E93AE49"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7291FC89" w14:textId="77777777" w:rsidR="00387142" w:rsidRPr="008B6A75" w:rsidRDefault="00387142" w:rsidP="00387142">
            <w:pPr>
              <w:rPr>
                <w:sz w:val="20"/>
                <w:szCs w:val="20"/>
              </w:rPr>
            </w:pPr>
            <w:r w:rsidRPr="008B6A75">
              <w:rPr>
                <w:sz w:val="20"/>
                <w:szCs w:val="20"/>
              </w:rPr>
              <w:t>Иные закупки товаров, работ и услуг для обеспечения государственных (муниципальных) нужд</w:t>
            </w:r>
          </w:p>
        </w:tc>
        <w:tc>
          <w:tcPr>
            <w:tcW w:w="1559" w:type="dxa"/>
            <w:tcBorders>
              <w:top w:val="nil"/>
              <w:left w:val="single" w:sz="4" w:space="0" w:color="auto"/>
              <w:bottom w:val="single" w:sz="4" w:space="0" w:color="auto"/>
              <w:right w:val="nil"/>
            </w:tcBorders>
            <w:shd w:val="clear" w:color="auto" w:fill="auto"/>
            <w:noWrap/>
            <w:vAlign w:val="center"/>
            <w:hideMark/>
          </w:tcPr>
          <w:p w14:paraId="659201B0" w14:textId="77777777" w:rsidR="00387142" w:rsidRPr="008B6A75" w:rsidRDefault="00387142" w:rsidP="00387142">
            <w:pPr>
              <w:jc w:val="center"/>
              <w:rPr>
                <w:sz w:val="20"/>
                <w:szCs w:val="20"/>
              </w:rPr>
            </w:pPr>
            <w:r w:rsidRPr="008B6A75">
              <w:rPr>
                <w:sz w:val="20"/>
                <w:szCs w:val="20"/>
              </w:rPr>
              <w:t>11.0.00.11190</w:t>
            </w:r>
          </w:p>
        </w:tc>
        <w:tc>
          <w:tcPr>
            <w:tcW w:w="850" w:type="dxa"/>
            <w:tcBorders>
              <w:top w:val="nil"/>
              <w:left w:val="single" w:sz="4" w:space="0" w:color="auto"/>
              <w:bottom w:val="single" w:sz="4" w:space="0" w:color="auto"/>
              <w:right w:val="nil"/>
            </w:tcBorders>
            <w:shd w:val="clear" w:color="auto" w:fill="auto"/>
            <w:noWrap/>
            <w:vAlign w:val="center"/>
            <w:hideMark/>
          </w:tcPr>
          <w:p w14:paraId="2D57A8C3" w14:textId="77777777" w:rsidR="00387142" w:rsidRPr="008B6A75" w:rsidRDefault="00387142" w:rsidP="00387142">
            <w:pPr>
              <w:jc w:val="center"/>
              <w:rPr>
                <w:sz w:val="20"/>
                <w:szCs w:val="20"/>
              </w:rPr>
            </w:pPr>
            <w:r w:rsidRPr="008B6A75">
              <w:rPr>
                <w:sz w:val="20"/>
                <w:szCs w:val="20"/>
              </w:rPr>
              <w:t>240</w:t>
            </w:r>
          </w:p>
        </w:tc>
        <w:tc>
          <w:tcPr>
            <w:tcW w:w="567" w:type="dxa"/>
            <w:tcBorders>
              <w:top w:val="nil"/>
              <w:left w:val="single" w:sz="4" w:space="0" w:color="auto"/>
              <w:bottom w:val="single" w:sz="4" w:space="0" w:color="auto"/>
              <w:right w:val="nil"/>
            </w:tcBorders>
            <w:shd w:val="clear" w:color="auto" w:fill="auto"/>
            <w:noWrap/>
            <w:vAlign w:val="center"/>
            <w:hideMark/>
          </w:tcPr>
          <w:p w14:paraId="16F202EE" w14:textId="77777777" w:rsidR="00387142" w:rsidRPr="008B6A75" w:rsidRDefault="00387142" w:rsidP="00387142">
            <w:pPr>
              <w:jc w:val="center"/>
              <w:rPr>
                <w:sz w:val="20"/>
                <w:szCs w:val="20"/>
              </w:rPr>
            </w:pPr>
            <w:r w:rsidRPr="008B6A75">
              <w:rPr>
                <w:sz w:val="20"/>
                <w:szCs w:val="20"/>
              </w:rPr>
              <w:t>11</w:t>
            </w:r>
          </w:p>
        </w:tc>
        <w:tc>
          <w:tcPr>
            <w:tcW w:w="567" w:type="dxa"/>
            <w:tcBorders>
              <w:top w:val="nil"/>
              <w:left w:val="single" w:sz="4" w:space="0" w:color="auto"/>
              <w:bottom w:val="single" w:sz="4" w:space="0" w:color="auto"/>
              <w:right w:val="nil"/>
            </w:tcBorders>
            <w:shd w:val="clear" w:color="auto" w:fill="auto"/>
            <w:noWrap/>
            <w:vAlign w:val="center"/>
            <w:hideMark/>
          </w:tcPr>
          <w:p w14:paraId="5D671FE1" w14:textId="77777777" w:rsidR="00387142" w:rsidRPr="008B6A75" w:rsidRDefault="00387142" w:rsidP="00387142">
            <w:pPr>
              <w:jc w:val="center"/>
              <w:rPr>
                <w:sz w:val="20"/>
                <w:szCs w:val="20"/>
              </w:rPr>
            </w:pPr>
            <w:r w:rsidRPr="008B6A75">
              <w:rPr>
                <w:sz w:val="20"/>
                <w:szCs w:val="20"/>
              </w:rPr>
              <w:t>01</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83ED626" w14:textId="77777777" w:rsidR="00387142" w:rsidRPr="008B6A75" w:rsidRDefault="00387142" w:rsidP="00387142">
            <w:pPr>
              <w:jc w:val="right"/>
              <w:rPr>
                <w:sz w:val="20"/>
                <w:szCs w:val="20"/>
              </w:rPr>
            </w:pPr>
            <w:r w:rsidRPr="008B6A75">
              <w:rPr>
                <w:sz w:val="20"/>
                <w:szCs w:val="20"/>
              </w:rPr>
              <w:t>0,00</w:t>
            </w:r>
          </w:p>
        </w:tc>
        <w:tc>
          <w:tcPr>
            <w:tcW w:w="851" w:type="dxa"/>
            <w:tcBorders>
              <w:top w:val="nil"/>
              <w:left w:val="single" w:sz="4" w:space="0" w:color="auto"/>
              <w:bottom w:val="single" w:sz="4" w:space="0" w:color="auto"/>
              <w:right w:val="nil"/>
            </w:tcBorders>
            <w:shd w:val="clear" w:color="auto" w:fill="auto"/>
            <w:noWrap/>
            <w:vAlign w:val="center"/>
            <w:hideMark/>
          </w:tcPr>
          <w:p w14:paraId="7DAA60B8" w14:textId="77777777" w:rsidR="00387142" w:rsidRPr="008B6A75" w:rsidRDefault="00387142" w:rsidP="00387142">
            <w:pPr>
              <w:jc w:val="right"/>
              <w:rPr>
                <w:sz w:val="20"/>
                <w:szCs w:val="20"/>
              </w:rPr>
            </w:pPr>
            <w:r w:rsidRPr="008B6A75">
              <w:rPr>
                <w:sz w:val="20"/>
                <w:szCs w:val="20"/>
              </w:rPr>
              <w:t>10 000 000,00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0C4D68C9" w14:textId="77777777" w:rsidR="00387142" w:rsidRPr="008B6A75" w:rsidRDefault="00387142" w:rsidP="00387142">
            <w:pPr>
              <w:jc w:val="right"/>
              <w:rPr>
                <w:sz w:val="20"/>
                <w:szCs w:val="20"/>
              </w:rPr>
            </w:pPr>
            <w:r w:rsidRPr="008B6A75">
              <w:rPr>
                <w:sz w:val="20"/>
                <w:szCs w:val="20"/>
              </w:rPr>
              <w:t>10 000 000,00</w:t>
            </w:r>
          </w:p>
        </w:tc>
      </w:tr>
      <w:tr w:rsidR="00387142" w:rsidRPr="008B6A75" w14:paraId="113185A2" w14:textId="77777777" w:rsidTr="00387142">
        <w:trPr>
          <w:trHeight w:val="870"/>
        </w:trPr>
        <w:tc>
          <w:tcPr>
            <w:tcW w:w="272" w:type="dxa"/>
            <w:tcBorders>
              <w:top w:val="nil"/>
              <w:left w:val="nil"/>
              <w:bottom w:val="nil"/>
              <w:right w:val="single" w:sz="4" w:space="0" w:color="auto"/>
            </w:tcBorders>
            <w:shd w:val="clear" w:color="auto" w:fill="auto"/>
            <w:noWrap/>
            <w:vAlign w:val="bottom"/>
            <w:hideMark/>
          </w:tcPr>
          <w:p w14:paraId="3ADED204"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112BC2D7" w14:textId="77777777" w:rsidR="00387142" w:rsidRPr="008B6A75" w:rsidRDefault="00387142" w:rsidP="00387142">
            <w:pPr>
              <w:rPr>
                <w:sz w:val="20"/>
                <w:szCs w:val="20"/>
              </w:rPr>
            </w:pPr>
            <w:r w:rsidRPr="008B6A75">
              <w:rPr>
                <w:sz w:val="20"/>
                <w:szCs w:val="20"/>
              </w:rPr>
              <w:t>Предоставление субсидий бюджетным, автономным учреждениям и иным некоммерческим организациям</w:t>
            </w:r>
          </w:p>
        </w:tc>
        <w:tc>
          <w:tcPr>
            <w:tcW w:w="1559" w:type="dxa"/>
            <w:tcBorders>
              <w:top w:val="nil"/>
              <w:left w:val="single" w:sz="4" w:space="0" w:color="auto"/>
              <w:bottom w:val="single" w:sz="4" w:space="0" w:color="auto"/>
              <w:right w:val="nil"/>
            </w:tcBorders>
            <w:shd w:val="clear" w:color="auto" w:fill="auto"/>
            <w:noWrap/>
            <w:vAlign w:val="center"/>
            <w:hideMark/>
          </w:tcPr>
          <w:p w14:paraId="56DE6E59" w14:textId="77777777" w:rsidR="00387142" w:rsidRPr="008B6A75" w:rsidRDefault="00387142" w:rsidP="00387142">
            <w:pPr>
              <w:jc w:val="center"/>
              <w:rPr>
                <w:sz w:val="20"/>
                <w:szCs w:val="20"/>
              </w:rPr>
            </w:pPr>
            <w:r w:rsidRPr="008B6A75">
              <w:rPr>
                <w:sz w:val="20"/>
                <w:szCs w:val="20"/>
              </w:rPr>
              <w:t>11.0.00.11190</w:t>
            </w:r>
          </w:p>
        </w:tc>
        <w:tc>
          <w:tcPr>
            <w:tcW w:w="850" w:type="dxa"/>
            <w:tcBorders>
              <w:top w:val="nil"/>
              <w:left w:val="single" w:sz="4" w:space="0" w:color="auto"/>
              <w:bottom w:val="single" w:sz="4" w:space="0" w:color="auto"/>
              <w:right w:val="nil"/>
            </w:tcBorders>
            <w:shd w:val="clear" w:color="auto" w:fill="auto"/>
            <w:noWrap/>
            <w:vAlign w:val="center"/>
            <w:hideMark/>
          </w:tcPr>
          <w:p w14:paraId="2E3C27AC" w14:textId="77777777" w:rsidR="00387142" w:rsidRPr="008B6A75" w:rsidRDefault="00387142" w:rsidP="00387142">
            <w:pPr>
              <w:jc w:val="center"/>
              <w:rPr>
                <w:sz w:val="20"/>
                <w:szCs w:val="20"/>
              </w:rPr>
            </w:pPr>
            <w:r w:rsidRPr="008B6A75">
              <w:rPr>
                <w:sz w:val="20"/>
                <w:szCs w:val="20"/>
              </w:rPr>
              <w:t>600</w:t>
            </w:r>
          </w:p>
        </w:tc>
        <w:tc>
          <w:tcPr>
            <w:tcW w:w="567" w:type="dxa"/>
            <w:tcBorders>
              <w:top w:val="nil"/>
              <w:left w:val="single" w:sz="4" w:space="0" w:color="auto"/>
              <w:bottom w:val="single" w:sz="4" w:space="0" w:color="auto"/>
              <w:right w:val="nil"/>
            </w:tcBorders>
            <w:shd w:val="clear" w:color="auto" w:fill="auto"/>
            <w:noWrap/>
            <w:vAlign w:val="center"/>
            <w:hideMark/>
          </w:tcPr>
          <w:p w14:paraId="54CAB512" w14:textId="77777777" w:rsidR="00387142" w:rsidRPr="008B6A75" w:rsidRDefault="00387142" w:rsidP="00387142">
            <w:pPr>
              <w:jc w:val="center"/>
              <w:rPr>
                <w:sz w:val="20"/>
                <w:szCs w:val="20"/>
              </w:rPr>
            </w:pPr>
            <w:r w:rsidRPr="008B6A75">
              <w:rPr>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7F91473B" w14:textId="77777777" w:rsidR="00387142" w:rsidRPr="008B6A75" w:rsidRDefault="00387142" w:rsidP="00387142">
            <w:pPr>
              <w:jc w:val="center"/>
              <w:rPr>
                <w:sz w:val="20"/>
                <w:szCs w:val="20"/>
              </w:rPr>
            </w:pPr>
            <w:r w:rsidRPr="008B6A75">
              <w:rPr>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3669E85" w14:textId="77777777" w:rsidR="00387142" w:rsidRPr="008B6A75" w:rsidRDefault="00387142" w:rsidP="00387142">
            <w:pPr>
              <w:jc w:val="right"/>
              <w:rPr>
                <w:sz w:val="20"/>
                <w:szCs w:val="20"/>
              </w:rPr>
            </w:pPr>
            <w:r w:rsidRPr="008B6A75">
              <w:rPr>
                <w:sz w:val="20"/>
                <w:szCs w:val="20"/>
              </w:rPr>
              <w:t>35 855 258,87</w:t>
            </w:r>
          </w:p>
        </w:tc>
        <w:tc>
          <w:tcPr>
            <w:tcW w:w="851" w:type="dxa"/>
            <w:tcBorders>
              <w:top w:val="nil"/>
              <w:left w:val="single" w:sz="4" w:space="0" w:color="auto"/>
              <w:bottom w:val="single" w:sz="4" w:space="0" w:color="auto"/>
              <w:right w:val="nil"/>
            </w:tcBorders>
            <w:shd w:val="clear" w:color="auto" w:fill="auto"/>
            <w:noWrap/>
            <w:vAlign w:val="center"/>
            <w:hideMark/>
          </w:tcPr>
          <w:p w14:paraId="12DC0001" w14:textId="77777777" w:rsidR="00387142" w:rsidRPr="008B6A75" w:rsidRDefault="00387142" w:rsidP="00387142">
            <w:pPr>
              <w:jc w:val="right"/>
              <w:rPr>
                <w:sz w:val="20"/>
                <w:szCs w:val="20"/>
              </w:rPr>
            </w:pPr>
            <w:r w:rsidRPr="008B6A75">
              <w:rPr>
                <w:sz w:val="20"/>
                <w:szCs w:val="20"/>
              </w:rPr>
              <w:t>10 000 000,00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1CF8D5DF" w14:textId="77777777" w:rsidR="00387142" w:rsidRPr="008B6A75" w:rsidRDefault="00387142" w:rsidP="00387142">
            <w:pPr>
              <w:jc w:val="right"/>
              <w:rPr>
                <w:sz w:val="20"/>
                <w:szCs w:val="20"/>
              </w:rPr>
            </w:pPr>
            <w:r w:rsidRPr="008B6A75">
              <w:rPr>
                <w:sz w:val="20"/>
                <w:szCs w:val="20"/>
              </w:rPr>
              <w:t>10 000 000,00</w:t>
            </w:r>
          </w:p>
        </w:tc>
      </w:tr>
      <w:tr w:rsidR="00387142" w:rsidRPr="008B6A75" w14:paraId="019EBE9D" w14:textId="77777777" w:rsidTr="00387142">
        <w:trPr>
          <w:trHeight w:val="300"/>
        </w:trPr>
        <w:tc>
          <w:tcPr>
            <w:tcW w:w="272" w:type="dxa"/>
            <w:tcBorders>
              <w:top w:val="nil"/>
              <w:left w:val="nil"/>
              <w:bottom w:val="nil"/>
              <w:right w:val="single" w:sz="4" w:space="0" w:color="auto"/>
            </w:tcBorders>
            <w:shd w:val="clear" w:color="auto" w:fill="auto"/>
            <w:noWrap/>
            <w:vAlign w:val="bottom"/>
            <w:hideMark/>
          </w:tcPr>
          <w:p w14:paraId="33E0657A"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42A1DA0E" w14:textId="77777777" w:rsidR="00387142" w:rsidRPr="008B6A75" w:rsidRDefault="00387142" w:rsidP="00387142">
            <w:pPr>
              <w:rPr>
                <w:sz w:val="20"/>
                <w:szCs w:val="20"/>
              </w:rPr>
            </w:pPr>
            <w:r w:rsidRPr="008B6A75">
              <w:rPr>
                <w:sz w:val="20"/>
                <w:szCs w:val="20"/>
              </w:rPr>
              <w:t>Субсидии бюджетным учреждениям</w:t>
            </w:r>
          </w:p>
        </w:tc>
        <w:tc>
          <w:tcPr>
            <w:tcW w:w="1559" w:type="dxa"/>
            <w:tcBorders>
              <w:top w:val="nil"/>
              <w:left w:val="single" w:sz="4" w:space="0" w:color="auto"/>
              <w:bottom w:val="single" w:sz="4" w:space="0" w:color="auto"/>
              <w:right w:val="nil"/>
            </w:tcBorders>
            <w:shd w:val="clear" w:color="auto" w:fill="auto"/>
            <w:noWrap/>
            <w:vAlign w:val="center"/>
            <w:hideMark/>
          </w:tcPr>
          <w:p w14:paraId="563711AB" w14:textId="77777777" w:rsidR="00387142" w:rsidRPr="008B6A75" w:rsidRDefault="00387142" w:rsidP="00387142">
            <w:pPr>
              <w:jc w:val="center"/>
              <w:rPr>
                <w:sz w:val="20"/>
                <w:szCs w:val="20"/>
              </w:rPr>
            </w:pPr>
            <w:r w:rsidRPr="008B6A75">
              <w:rPr>
                <w:sz w:val="20"/>
                <w:szCs w:val="20"/>
              </w:rPr>
              <w:t>11.0.00.11190</w:t>
            </w:r>
          </w:p>
        </w:tc>
        <w:tc>
          <w:tcPr>
            <w:tcW w:w="850" w:type="dxa"/>
            <w:tcBorders>
              <w:top w:val="nil"/>
              <w:left w:val="single" w:sz="4" w:space="0" w:color="auto"/>
              <w:bottom w:val="single" w:sz="4" w:space="0" w:color="auto"/>
              <w:right w:val="nil"/>
            </w:tcBorders>
            <w:shd w:val="clear" w:color="auto" w:fill="auto"/>
            <w:noWrap/>
            <w:vAlign w:val="center"/>
            <w:hideMark/>
          </w:tcPr>
          <w:p w14:paraId="19ADAB02" w14:textId="77777777" w:rsidR="00387142" w:rsidRPr="008B6A75" w:rsidRDefault="00387142" w:rsidP="00387142">
            <w:pPr>
              <w:jc w:val="center"/>
              <w:rPr>
                <w:sz w:val="20"/>
                <w:szCs w:val="20"/>
              </w:rPr>
            </w:pPr>
            <w:r w:rsidRPr="008B6A75">
              <w:rPr>
                <w:sz w:val="20"/>
                <w:szCs w:val="20"/>
              </w:rPr>
              <w:t>610</w:t>
            </w:r>
          </w:p>
        </w:tc>
        <w:tc>
          <w:tcPr>
            <w:tcW w:w="567" w:type="dxa"/>
            <w:tcBorders>
              <w:top w:val="nil"/>
              <w:left w:val="single" w:sz="4" w:space="0" w:color="auto"/>
              <w:bottom w:val="single" w:sz="4" w:space="0" w:color="auto"/>
              <w:right w:val="nil"/>
            </w:tcBorders>
            <w:shd w:val="clear" w:color="auto" w:fill="auto"/>
            <w:noWrap/>
            <w:vAlign w:val="center"/>
            <w:hideMark/>
          </w:tcPr>
          <w:p w14:paraId="3686360E" w14:textId="77777777" w:rsidR="00387142" w:rsidRPr="008B6A75" w:rsidRDefault="00387142" w:rsidP="00387142">
            <w:pPr>
              <w:jc w:val="center"/>
              <w:rPr>
                <w:sz w:val="20"/>
                <w:szCs w:val="20"/>
              </w:rPr>
            </w:pPr>
            <w:r w:rsidRPr="008B6A75">
              <w:rPr>
                <w:sz w:val="20"/>
                <w:szCs w:val="20"/>
              </w:rPr>
              <w:t>11</w:t>
            </w:r>
          </w:p>
        </w:tc>
        <w:tc>
          <w:tcPr>
            <w:tcW w:w="567" w:type="dxa"/>
            <w:tcBorders>
              <w:top w:val="nil"/>
              <w:left w:val="single" w:sz="4" w:space="0" w:color="auto"/>
              <w:bottom w:val="single" w:sz="4" w:space="0" w:color="auto"/>
              <w:right w:val="nil"/>
            </w:tcBorders>
            <w:shd w:val="clear" w:color="auto" w:fill="auto"/>
            <w:noWrap/>
            <w:vAlign w:val="center"/>
            <w:hideMark/>
          </w:tcPr>
          <w:p w14:paraId="55D4981E" w14:textId="77777777" w:rsidR="00387142" w:rsidRPr="008B6A75" w:rsidRDefault="00387142" w:rsidP="00387142">
            <w:pPr>
              <w:jc w:val="center"/>
              <w:rPr>
                <w:sz w:val="20"/>
                <w:szCs w:val="20"/>
              </w:rPr>
            </w:pPr>
            <w:r w:rsidRPr="008B6A75">
              <w:rPr>
                <w:sz w:val="20"/>
                <w:szCs w:val="20"/>
              </w:rPr>
              <w:t>01</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7DC995A" w14:textId="77777777" w:rsidR="00387142" w:rsidRPr="008B6A75" w:rsidRDefault="00387142" w:rsidP="00387142">
            <w:pPr>
              <w:jc w:val="right"/>
              <w:rPr>
                <w:sz w:val="20"/>
                <w:szCs w:val="20"/>
              </w:rPr>
            </w:pPr>
            <w:r w:rsidRPr="008B6A75">
              <w:rPr>
                <w:sz w:val="20"/>
                <w:szCs w:val="20"/>
              </w:rPr>
              <w:t>35 855 258,87</w:t>
            </w:r>
          </w:p>
        </w:tc>
        <w:tc>
          <w:tcPr>
            <w:tcW w:w="851" w:type="dxa"/>
            <w:tcBorders>
              <w:top w:val="nil"/>
              <w:left w:val="single" w:sz="4" w:space="0" w:color="auto"/>
              <w:bottom w:val="single" w:sz="4" w:space="0" w:color="auto"/>
              <w:right w:val="nil"/>
            </w:tcBorders>
            <w:shd w:val="clear" w:color="auto" w:fill="auto"/>
            <w:noWrap/>
            <w:vAlign w:val="center"/>
            <w:hideMark/>
          </w:tcPr>
          <w:p w14:paraId="44F40576" w14:textId="77777777" w:rsidR="00387142" w:rsidRPr="008B6A75" w:rsidRDefault="00387142" w:rsidP="00387142">
            <w:pPr>
              <w:jc w:val="right"/>
              <w:rPr>
                <w:sz w:val="20"/>
                <w:szCs w:val="20"/>
              </w:rPr>
            </w:pPr>
            <w:r w:rsidRPr="008B6A75">
              <w:rPr>
                <w:sz w:val="20"/>
                <w:szCs w:val="20"/>
              </w:rPr>
              <w:t>10 000 000,00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60824BB1" w14:textId="77777777" w:rsidR="00387142" w:rsidRPr="008B6A75" w:rsidRDefault="00387142" w:rsidP="00387142">
            <w:pPr>
              <w:jc w:val="right"/>
              <w:rPr>
                <w:sz w:val="20"/>
                <w:szCs w:val="20"/>
              </w:rPr>
            </w:pPr>
            <w:r w:rsidRPr="008B6A75">
              <w:rPr>
                <w:sz w:val="20"/>
                <w:szCs w:val="20"/>
              </w:rPr>
              <w:t>10 000 000,00</w:t>
            </w:r>
          </w:p>
        </w:tc>
      </w:tr>
      <w:tr w:rsidR="00387142" w:rsidRPr="008B6A75" w14:paraId="60EBC791" w14:textId="77777777" w:rsidTr="00387142">
        <w:trPr>
          <w:trHeight w:val="1155"/>
        </w:trPr>
        <w:tc>
          <w:tcPr>
            <w:tcW w:w="272" w:type="dxa"/>
            <w:tcBorders>
              <w:top w:val="nil"/>
              <w:left w:val="nil"/>
              <w:bottom w:val="nil"/>
              <w:right w:val="single" w:sz="4" w:space="0" w:color="auto"/>
            </w:tcBorders>
            <w:shd w:val="clear" w:color="auto" w:fill="auto"/>
            <w:noWrap/>
            <w:vAlign w:val="bottom"/>
            <w:hideMark/>
          </w:tcPr>
          <w:p w14:paraId="4203436F"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123ECE39" w14:textId="77777777" w:rsidR="00387142" w:rsidRPr="008B6A75" w:rsidRDefault="00387142" w:rsidP="00387142">
            <w:pPr>
              <w:rPr>
                <w:bCs/>
                <w:sz w:val="20"/>
                <w:szCs w:val="20"/>
              </w:rPr>
            </w:pPr>
            <w:r w:rsidRPr="008B6A75">
              <w:rPr>
                <w:bCs/>
                <w:sz w:val="20"/>
                <w:szCs w:val="20"/>
              </w:rPr>
              <w:t>Реализация мероприятий МП "Развитие физической культуры и спорта в Куйбышевском районе Новосибирской области"</w:t>
            </w:r>
          </w:p>
        </w:tc>
        <w:tc>
          <w:tcPr>
            <w:tcW w:w="1559" w:type="dxa"/>
            <w:tcBorders>
              <w:top w:val="nil"/>
              <w:left w:val="single" w:sz="4" w:space="0" w:color="auto"/>
              <w:bottom w:val="single" w:sz="4" w:space="0" w:color="auto"/>
              <w:right w:val="nil"/>
            </w:tcBorders>
            <w:shd w:val="clear" w:color="auto" w:fill="auto"/>
            <w:noWrap/>
            <w:vAlign w:val="center"/>
            <w:hideMark/>
          </w:tcPr>
          <w:p w14:paraId="0E7A17EF" w14:textId="77777777" w:rsidR="00387142" w:rsidRPr="008B6A75" w:rsidRDefault="00387142" w:rsidP="00387142">
            <w:pPr>
              <w:jc w:val="center"/>
              <w:rPr>
                <w:bCs/>
                <w:sz w:val="20"/>
                <w:szCs w:val="20"/>
              </w:rPr>
            </w:pPr>
            <w:r w:rsidRPr="008B6A75">
              <w:rPr>
                <w:bCs/>
                <w:sz w:val="20"/>
                <w:szCs w:val="20"/>
              </w:rPr>
              <w:t>11.0.00.11950</w:t>
            </w:r>
          </w:p>
        </w:tc>
        <w:tc>
          <w:tcPr>
            <w:tcW w:w="850" w:type="dxa"/>
            <w:tcBorders>
              <w:top w:val="nil"/>
              <w:left w:val="single" w:sz="4" w:space="0" w:color="auto"/>
              <w:bottom w:val="single" w:sz="4" w:space="0" w:color="auto"/>
              <w:right w:val="nil"/>
            </w:tcBorders>
            <w:shd w:val="clear" w:color="auto" w:fill="auto"/>
            <w:noWrap/>
            <w:vAlign w:val="center"/>
            <w:hideMark/>
          </w:tcPr>
          <w:p w14:paraId="7CF4DA47" w14:textId="77777777" w:rsidR="00387142" w:rsidRPr="008B6A75" w:rsidRDefault="00387142" w:rsidP="00387142">
            <w:pPr>
              <w:jc w:val="center"/>
              <w:rPr>
                <w:bCs/>
                <w:sz w:val="20"/>
                <w:szCs w:val="20"/>
              </w:rPr>
            </w:pPr>
            <w:r w:rsidRPr="008B6A75">
              <w:rPr>
                <w:bCs/>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5866C74F" w14:textId="77777777" w:rsidR="00387142" w:rsidRPr="008B6A75" w:rsidRDefault="00387142" w:rsidP="00387142">
            <w:pPr>
              <w:jc w:val="center"/>
              <w:rPr>
                <w:bCs/>
                <w:sz w:val="20"/>
                <w:szCs w:val="20"/>
              </w:rPr>
            </w:pPr>
            <w:r w:rsidRPr="008B6A75">
              <w:rPr>
                <w:bCs/>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79F902BA" w14:textId="77777777" w:rsidR="00387142" w:rsidRPr="008B6A75" w:rsidRDefault="00387142" w:rsidP="00387142">
            <w:pPr>
              <w:jc w:val="center"/>
              <w:rPr>
                <w:bCs/>
                <w:sz w:val="20"/>
                <w:szCs w:val="20"/>
              </w:rPr>
            </w:pPr>
            <w:r w:rsidRPr="008B6A75">
              <w:rPr>
                <w:bCs/>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0EAA263" w14:textId="77777777" w:rsidR="00387142" w:rsidRPr="008B6A75" w:rsidRDefault="00387142" w:rsidP="00387142">
            <w:pPr>
              <w:jc w:val="right"/>
              <w:rPr>
                <w:bCs/>
                <w:sz w:val="20"/>
                <w:szCs w:val="20"/>
              </w:rPr>
            </w:pPr>
            <w:r w:rsidRPr="008B6A75">
              <w:rPr>
                <w:bCs/>
                <w:sz w:val="20"/>
                <w:szCs w:val="20"/>
              </w:rPr>
              <w:t>6 445 189,33</w:t>
            </w:r>
          </w:p>
        </w:tc>
        <w:tc>
          <w:tcPr>
            <w:tcW w:w="851" w:type="dxa"/>
            <w:tcBorders>
              <w:top w:val="nil"/>
              <w:left w:val="single" w:sz="4" w:space="0" w:color="auto"/>
              <w:bottom w:val="single" w:sz="4" w:space="0" w:color="auto"/>
              <w:right w:val="nil"/>
            </w:tcBorders>
            <w:shd w:val="clear" w:color="auto" w:fill="auto"/>
            <w:noWrap/>
            <w:vAlign w:val="center"/>
            <w:hideMark/>
          </w:tcPr>
          <w:p w14:paraId="2464A3E2" w14:textId="77777777" w:rsidR="00387142" w:rsidRPr="008B6A75" w:rsidRDefault="00387142" w:rsidP="00387142">
            <w:pPr>
              <w:jc w:val="right"/>
              <w:rPr>
                <w:bCs/>
                <w:sz w:val="20"/>
                <w:szCs w:val="20"/>
              </w:rPr>
            </w:pPr>
            <w:r w:rsidRPr="008B6A75">
              <w:rPr>
                <w:bCs/>
                <w:sz w:val="20"/>
                <w:szCs w:val="20"/>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43EFC881" w14:textId="77777777" w:rsidR="00387142" w:rsidRPr="008B6A75" w:rsidRDefault="00387142" w:rsidP="00387142">
            <w:pPr>
              <w:jc w:val="right"/>
              <w:rPr>
                <w:bCs/>
                <w:sz w:val="20"/>
                <w:szCs w:val="20"/>
              </w:rPr>
            </w:pPr>
            <w:r w:rsidRPr="008B6A75">
              <w:rPr>
                <w:bCs/>
                <w:sz w:val="20"/>
                <w:szCs w:val="20"/>
              </w:rPr>
              <w:t>0,00</w:t>
            </w:r>
          </w:p>
        </w:tc>
      </w:tr>
      <w:tr w:rsidR="00387142" w:rsidRPr="008B6A75" w14:paraId="3286FB6D" w14:textId="77777777" w:rsidTr="00387142">
        <w:trPr>
          <w:trHeight w:val="300"/>
        </w:trPr>
        <w:tc>
          <w:tcPr>
            <w:tcW w:w="272" w:type="dxa"/>
            <w:tcBorders>
              <w:top w:val="nil"/>
              <w:left w:val="nil"/>
              <w:bottom w:val="nil"/>
              <w:right w:val="single" w:sz="4" w:space="0" w:color="auto"/>
            </w:tcBorders>
            <w:shd w:val="clear" w:color="auto" w:fill="auto"/>
            <w:noWrap/>
            <w:vAlign w:val="bottom"/>
            <w:hideMark/>
          </w:tcPr>
          <w:p w14:paraId="5053E330"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3D3F764A" w14:textId="77777777" w:rsidR="00387142" w:rsidRPr="008B6A75" w:rsidRDefault="00387142" w:rsidP="00387142">
            <w:pPr>
              <w:rPr>
                <w:sz w:val="20"/>
                <w:szCs w:val="20"/>
              </w:rPr>
            </w:pPr>
            <w:r w:rsidRPr="008B6A75">
              <w:rPr>
                <w:sz w:val="20"/>
                <w:szCs w:val="20"/>
              </w:rPr>
              <w:t>Межбюджетные трансферты</w:t>
            </w:r>
          </w:p>
        </w:tc>
        <w:tc>
          <w:tcPr>
            <w:tcW w:w="1559" w:type="dxa"/>
            <w:tcBorders>
              <w:top w:val="nil"/>
              <w:left w:val="single" w:sz="4" w:space="0" w:color="auto"/>
              <w:bottom w:val="single" w:sz="4" w:space="0" w:color="auto"/>
              <w:right w:val="nil"/>
            </w:tcBorders>
            <w:shd w:val="clear" w:color="auto" w:fill="auto"/>
            <w:noWrap/>
            <w:vAlign w:val="center"/>
            <w:hideMark/>
          </w:tcPr>
          <w:p w14:paraId="46A9C428" w14:textId="77777777" w:rsidR="00387142" w:rsidRPr="008B6A75" w:rsidRDefault="00387142" w:rsidP="00387142">
            <w:pPr>
              <w:jc w:val="center"/>
              <w:rPr>
                <w:sz w:val="20"/>
                <w:szCs w:val="20"/>
              </w:rPr>
            </w:pPr>
            <w:r w:rsidRPr="008B6A75">
              <w:rPr>
                <w:sz w:val="20"/>
                <w:szCs w:val="20"/>
              </w:rPr>
              <w:t>11.0.00.11950</w:t>
            </w:r>
          </w:p>
        </w:tc>
        <w:tc>
          <w:tcPr>
            <w:tcW w:w="850" w:type="dxa"/>
            <w:tcBorders>
              <w:top w:val="nil"/>
              <w:left w:val="single" w:sz="4" w:space="0" w:color="auto"/>
              <w:bottom w:val="single" w:sz="4" w:space="0" w:color="auto"/>
              <w:right w:val="nil"/>
            </w:tcBorders>
            <w:shd w:val="clear" w:color="auto" w:fill="auto"/>
            <w:noWrap/>
            <w:vAlign w:val="center"/>
            <w:hideMark/>
          </w:tcPr>
          <w:p w14:paraId="79D7131C" w14:textId="77777777" w:rsidR="00387142" w:rsidRPr="008B6A75" w:rsidRDefault="00387142" w:rsidP="00387142">
            <w:pPr>
              <w:jc w:val="center"/>
              <w:rPr>
                <w:sz w:val="20"/>
                <w:szCs w:val="20"/>
              </w:rPr>
            </w:pPr>
            <w:r w:rsidRPr="008B6A75">
              <w:rPr>
                <w:sz w:val="20"/>
                <w:szCs w:val="20"/>
              </w:rPr>
              <w:t>500</w:t>
            </w:r>
          </w:p>
        </w:tc>
        <w:tc>
          <w:tcPr>
            <w:tcW w:w="567" w:type="dxa"/>
            <w:tcBorders>
              <w:top w:val="nil"/>
              <w:left w:val="single" w:sz="4" w:space="0" w:color="auto"/>
              <w:bottom w:val="single" w:sz="4" w:space="0" w:color="auto"/>
              <w:right w:val="nil"/>
            </w:tcBorders>
            <w:shd w:val="clear" w:color="auto" w:fill="auto"/>
            <w:noWrap/>
            <w:vAlign w:val="center"/>
            <w:hideMark/>
          </w:tcPr>
          <w:p w14:paraId="4B051E8B" w14:textId="77777777" w:rsidR="00387142" w:rsidRPr="008B6A75" w:rsidRDefault="00387142" w:rsidP="00387142">
            <w:pPr>
              <w:jc w:val="center"/>
              <w:rPr>
                <w:sz w:val="20"/>
                <w:szCs w:val="20"/>
              </w:rPr>
            </w:pPr>
            <w:r w:rsidRPr="008B6A75">
              <w:rPr>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1E71A0A0" w14:textId="77777777" w:rsidR="00387142" w:rsidRPr="008B6A75" w:rsidRDefault="00387142" w:rsidP="00387142">
            <w:pPr>
              <w:jc w:val="center"/>
              <w:rPr>
                <w:sz w:val="20"/>
                <w:szCs w:val="20"/>
              </w:rPr>
            </w:pPr>
            <w:r w:rsidRPr="008B6A75">
              <w:rPr>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82BE3B5" w14:textId="77777777" w:rsidR="00387142" w:rsidRPr="008B6A75" w:rsidRDefault="00387142" w:rsidP="00387142">
            <w:pPr>
              <w:jc w:val="right"/>
              <w:rPr>
                <w:sz w:val="20"/>
                <w:szCs w:val="20"/>
              </w:rPr>
            </w:pPr>
            <w:r w:rsidRPr="008B6A75">
              <w:rPr>
                <w:sz w:val="20"/>
                <w:szCs w:val="20"/>
              </w:rPr>
              <w:t>1 104 100,00</w:t>
            </w:r>
          </w:p>
        </w:tc>
        <w:tc>
          <w:tcPr>
            <w:tcW w:w="851" w:type="dxa"/>
            <w:tcBorders>
              <w:top w:val="nil"/>
              <w:left w:val="single" w:sz="4" w:space="0" w:color="auto"/>
              <w:bottom w:val="single" w:sz="4" w:space="0" w:color="auto"/>
              <w:right w:val="nil"/>
            </w:tcBorders>
            <w:shd w:val="clear" w:color="auto" w:fill="auto"/>
            <w:noWrap/>
            <w:vAlign w:val="center"/>
            <w:hideMark/>
          </w:tcPr>
          <w:p w14:paraId="16CB5878" w14:textId="77777777" w:rsidR="00387142" w:rsidRPr="008B6A75" w:rsidRDefault="00387142" w:rsidP="00387142">
            <w:pPr>
              <w:jc w:val="right"/>
              <w:rPr>
                <w:sz w:val="20"/>
                <w:szCs w:val="20"/>
              </w:rPr>
            </w:pPr>
            <w:r w:rsidRPr="008B6A75">
              <w:rPr>
                <w:sz w:val="20"/>
                <w:szCs w:val="20"/>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120DB289" w14:textId="77777777" w:rsidR="00387142" w:rsidRPr="008B6A75" w:rsidRDefault="00387142" w:rsidP="00387142">
            <w:pPr>
              <w:jc w:val="right"/>
              <w:rPr>
                <w:sz w:val="20"/>
                <w:szCs w:val="20"/>
              </w:rPr>
            </w:pPr>
            <w:r w:rsidRPr="008B6A75">
              <w:rPr>
                <w:sz w:val="20"/>
                <w:szCs w:val="20"/>
              </w:rPr>
              <w:t>0,00</w:t>
            </w:r>
          </w:p>
        </w:tc>
      </w:tr>
      <w:tr w:rsidR="00387142" w:rsidRPr="008B6A75" w14:paraId="3EA9BA52" w14:textId="77777777" w:rsidTr="00387142">
        <w:trPr>
          <w:trHeight w:val="300"/>
        </w:trPr>
        <w:tc>
          <w:tcPr>
            <w:tcW w:w="272" w:type="dxa"/>
            <w:tcBorders>
              <w:top w:val="nil"/>
              <w:left w:val="nil"/>
              <w:bottom w:val="nil"/>
              <w:right w:val="single" w:sz="4" w:space="0" w:color="auto"/>
            </w:tcBorders>
            <w:shd w:val="clear" w:color="auto" w:fill="auto"/>
            <w:noWrap/>
            <w:vAlign w:val="bottom"/>
            <w:hideMark/>
          </w:tcPr>
          <w:p w14:paraId="7F684D46"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5F697DF9" w14:textId="77777777" w:rsidR="00387142" w:rsidRPr="008B6A75" w:rsidRDefault="00387142" w:rsidP="00387142">
            <w:pPr>
              <w:rPr>
                <w:sz w:val="20"/>
                <w:szCs w:val="20"/>
              </w:rPr>
            </w:pPr>
            <w:r w:rsidRPr="008B6A75">
              <w:rPr>
                <w:sz w:val="20"/>
                <w:szCs w:val="20"/>
              </w:rPr>
              <w:t>Иные межбюджетные трансферты</w:t>
            </w:r>
          </w:p>
        </w:tc>
        <w:tc>
          <w:tcPr>
            <w:tcW w:w="1559" w:type="dxa"/>
            <w:tcBorders>
              <w:top w:val="nil"/>
              <w:left w:val="single" w:sz="4" w:space="0" w:color="auto"/>
              <w:bottom w:val="single" w:sz="4" w:space="0" w:color="auto"/>
              <w:right w:val="nil"/>
            </w:tcBorders>
            <w:shd w:val="clear" w:color="auto" w:fill="auto"/>
            <w:noWrap/>
            <w:vAlign w:val="center"/>
            <w:hideMark/>
          </w:tcPr>
          <w:p w14:paraId="6D12A9EC" w14:textId="77777777" w:rsidR="00387142" w:rsidRPr="008B6A75" w:rsidRDefault="00387142" w:rsidP="00387142">
            <w:pPr>
              <w:jc w:val="center"/>
              <w:rPr>
                <w:sz w:val="20"/>
                <w:szCs w:val="20"/>
              </w:rPr>
            </w:pPr>
            <w:r w:rsidRPr="008B6A75">
              <w:rPr>
                <w:sz w:val="20"/>
                <w:szCs w:val="20"/>
              </w:rPr>
              <w:t>11.0.00.11950</w:t>
            </w:r>
          </w:p>
        </w:tc>
        <w:tc>
          <w:tcPr>
            <w:tcW w:w="850" w:type="dxa"/>
            <w:tcBorders>
              <w:top w:val="nil"/>
              <w:left w:val="single" w:sz="4" w:space="0" w:color="auto"/>
              <w:bottom w:val="single" w:sz="4" w:space="0" w:color="auto"/>
              <w:right w:val="nil"/>
            </w:tcBorders>
            <w:shd w:val="clear" w:color="auto" w:fill="auto"/>
            <w:noWrap/>
            <w:vAlign w:val="center"/>
            <w:hideMark/>
          </w:tcPr>
          <w:p w14:paraId="000DB53B" w14:textId="77777777" w:rsidR="00387142" w:rsidRPr="008B6A75" w:rsidRDefault="00387142" w:rsidP="00387142">
            <w:pPr>
              <w:jc w:val="center"/>
              <w:rPr>
                <w:sz w:val="20"/>
                <w:szCs w:val="20"/>
              </w:rPr>
            </w:pPr>
            <w:r w:rsidRPr="008B6A75">
              <w:rPr>
                <w:sz w:val="20"/>
                <w:szCs w:val="20"/>
              </w:rPr>
              <w:t>540</w:t>
            </w:r>
          </w:p>
        </w:tc>
        <w:tc>
          <w:tcPr>
            <w:tcW w:w="567" w:type="dxa"/>
            <w:tcBorders>
              <w:top w:val="nil"/>
              <w:left w:val="single" w:sz="4" w:space="0" w:color="auto"/>
              <w:bottom w:val="single" w:sz="4" w:space="0" w:color="auto"/>
              <w:right w:val="nil"/>
            </w:tcBorders>
            <w:shd w:val="clear" w:color="auto" w:fill="auto"/>
            <w:noWrap/>
            <w:vAlign w:val="center"/>
            <w:hideMark/>
          </w:tcPr>
          <w:p w14:paraId="28EE3A87" w14:textId="77777777" w:rsidR="00387142" w:rsidRPr="008B6A75" w:rsidRDefault="00387142" w:rsidP="00387142">
            <w:pPr>
              <w:jc w:val="center"/>
              <w:rPr>
                <w:sz w:val="20"/>
                <w:szCs w:val="20"/>
              </w:rPr>
            </w:pPr>
            <w:r w:rsidRPr="008B6A75">
              <w:rPr>
                <w:sz w:val="20"/>
                <w:szCs w:val="20"/>
              </w:rPr>
              <w:t>11</w:t>
            </w:r>
          </w:p>
        </w:tc>
        <w:tc>
          <w:tcPr>
            <w:tcW w:w="567" w:type="dxa"/>
            <w:tcBorders>
              <w:top w:val="nil"/>
              <w:left w:val="single" w:sz="4" w:space="0" w:color="auto"/>
              <w:bottom w:val="single" w:sz="4" w:space="0" w:color="auto"/>
              <w:right w:val="nil"/>
            </w:tcBorders>
            <w:shd w:val="clear" w:color="auto" w:fill="auto"/>
            <w:noWrap/>
            <w:vAlign w:val="center"/>
            <w:hideMark/>
          </w:tcPr>
          <w:p w14:paraId="56481952" w14:textId="77777777" w:rsidR="00387142" w:rsidRPr="008B6A75" w:rsidRDefault="00387142" w:rsidP="00387142">
            <w:pPr>
              <w:jc w:val="center"/>
              <w:rPr>
                <w:sz w:val="20"/>
                <w:szCs w:val="20"/>
              </w:rPr>
            </w:pPr>
            <w:r w:rsidRPr="008B6A75">
              <w:rPr>
                <w:sz w:val="20"/>
                <w:szCs w:val="20"/>
              </w:rPr>
              <w:t>02</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70042D2" w14:textId="77777777" w:rsidR="00387142" w:rsidRPr="008B6A75" w:rsidRDefault="00387142" w:rsidP="00387142">
            <w:pPr>
              <w:jc w:val="right"/>
              <w:rPr>
                <w:sz w:val="20"/>
                <w:szCs w:val="20"/>
              </w:rPr>
            </w:pPr>
            <w:r w:rsidRPr="008B6A75">
              <w:rPr>
                <w:sz w:val="20"/>
                <w:szCs w:val="20"/>
              </w:rPr>
              <w:t>1 104 100,00</w:t>
            </w:r>
          </w:p>
        </w:tc>
        <w:tc>
          <w:tcPr>
            <w:tcW w:w="851" w:type="dxa"/>
            <w:tcBorders>
              <w:top w:val="nil"/>
              <w:left w:val="single" w:sz="4" w:space="0" w:color="auto"/>
              <w:bottom w:val="single" w:sz="4" w:space="0" w:color="auto"/>
              <w:right w:val="nil"/>
            </w:tcBorders>
            <w:shd w:val="clear" w:color="auto" w:fill="auto"/>
            <w:noWrap/>
            <w:vAlign w:val="center"/>
            <w:hideMark/>
          </w:tcPr>
          <w:p w14:paraId="50103892" w14:textId="77777777" w:rsidR="00387142" w:rsidRPr="008B6A75" w:rsidRDefault="00387142" w:rsidP="00387142">
            <w:pPr>
              <w:jc w:val="right"/>
              <w:rPr>
                <w:sz w:val="20"/>
                <w:szCs w:val="20"/>
              </w:rPr>
            </w:pPr>
            <w:r w:rsidRPr="008B6A75">
              <w:rPr>
                <w:sz w:val="20"/>
                <w:szCs w:val="20"/>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1957216B" w14:textId="77777777" w:rsidR="00387142" w:rsidRPr="008B6A75" w:rsidRDefault="00387142" w:rsidP="00387142">
            <w:pPr>
              <w:jc w:val="right"/>
              <w:rPr>
                <w:sz w:val="20"/>
                <w:szCs w:val="20"/>
              </w:rPr>
            </w:pPr>
            <w:r w:rsidRPr="008B6A75">
              <w:rPr>
                <w:sz w:val="20"/>
                <w:szCs w:val="20"/>
              </w:rPr>
              <w:t>0,00</w:t>
            </w:r>
          </w:p>
        </w:tc>
      </w:tr>
      <w:tr w:rsidR="00387142" w:rsidRPr="008B6A75" w14:paraId="4FB81093" w14:textId="77777777" w:rsidTr="00387142">
        <w:trPr>
          <w:trHeight w:val="870"/>
        </w:trPr>
        <w:tc>
          <w:tcPr>
            <w:tcW w:w="272" w:type="dxa"/>
            <w:tcBorders>
              <w:top w:val="nil"/>
              <w:left w:val="nil"/>
              <w:bottom w:val="nil"/>
              <w:right w:val="single" w:sz="4" w:space="0" w:color="auto"/>
            </w:tcBorders>
            <w:shd w:val="clear" w:color="auto" w:fill="auto"/>
            <w:noWrap/>
            <w:vAlign w:val="bottom"/>
            <w:hideMark/>
          </w:tcPr>
          <w:p w14:paraId="105DBB53"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76E82954" w14:textId="77777777" w:rsidR="00387142" w:rsidRPr="008B6A75" w:rsidRDefault="00387142" w:rsidP="00387142">
            <w:pPr>
              <w:rPr>
                <w:sz w:val="20"/>
                <w:szCs w:val="20"/>
              </w:rPr>
            </w:pPr>
            <w:r w:rsidRPr="008B6A75">
              <w:rPr>
                <w:sz w:val="20"/>
                <w:szCs w:val="20"/>
              </w:rPr>
              <w:t>Предоставление субсидий бюджетным, автономным учреждениям и иным некоммерческим организациям</w:t>
            </w:r>
          </w:p>
        </w:tc>
        <w:tc>
          <w:tcPr>
            <w:tcW w:w="1559" w:type="dxa"/>
            <w:tcBorders>
              <w:top w:val="nil"/>
              <w:left w:val="single" w:sz="4" w:space="0" w:color="auto"/>
              <w:bottom w:val="single" w:sz="4" w:space="0" w:color="auto"/>
              <w:right w:val="nil"/>
            </w:tcBorders>
            <w:shd w:val="clear" w:color="auto" w:fill="auto"/>
            <w:noWrap/>
            <w:vAlign w:val="center"/>
            <w:hideMark/>
          </w:tcPr>
          <w:p w14:paraId="438674F9" w14:textId="77777777" w:rsidR="00387142" w:rsidRPr="008B6A75" w:rsidRDefault="00387142" w:rsidP="00387142">
            <w:pPr>
              <w:jc w:val="center"/>
              <w:rPr>
                <w:sz w:val="20"/>
                <w:szCs w:val="20"/>
              </w:rPr>
            </w:pPr>
            <w:r w:rsidRPr="008B6A75">
              <w:rPr>
                <w:sz w:val="20"/>
                <w:szCs w:val="20"/>
              </w:rPr>
              <w:t>11.0.00.11950</w:t>
            </w:r>
          </w:p>
        </w:tc>
        <w:tc>
          <w:tcPr>
            <w:tcW w:w="850" w:type="dxa"/>
            <w:tcBorders>
              <w:top w:val="nil"/>
              <w:left w:val="single" w:sz="4" w:space="0" w:color="auto"/>
              <w:bottom w:val="single" w:sz="4" w:space="0" w:color="auto"/>
              <w:right w:val="nil"/>
            </w:tcBorders>
            <w:shd w:val="clear" w:color="auto" w:fill="auto"/>
            <w:noWrap/>
            <w:vAlign w:val="center"/>
            <w:hideMark/>
          </w:tcPr>
          <w:p w14:paraId="18425F3C" w14:textId="77777777" w:rsidR="00387142" w:rsidRPr="008B6A75" w:rsidRDefault="00387142" w:rsidP="00387142">
            <w:pPr>
              <w:jc w:val="center"/>
              <w:rPr>
                <w:sz w:val="20"/>
                <w:szCs w:val="20"/>
              </w:rPr>
            </w:pPr>
            <w:r w:rsidRPr="008B6A75">
              <w:rPr>
                <w:sz w:val="20"/>
                <w:szCs w:val="20"/>
              </w:rPr>
              <w:t>600</w:t>
            </w:r>
          </w:p>
        </w:tc>
        <w:tc>
          <w:tcPr>
            <w:tcW w:w="567" w:type="dxa"/>
            <w:tcBorders>
              <w:top w:val="nil"/>
              <w:left w:val="single" w:sz="4" w:space="0" w:color="auto"/>
              <w:bottom w:val="single" w:sz="4" w:space="0" w:color="auto"/>
              <w:right w:val="nil"/>
            </w:tcBorders>
            <w:shd w:val="clear" w:color="auto" w:fill="auto"/>
            <w:noWrap/>
            <w:vAlign w:val="center"/>
            <w:hideMark/>
          </w:tcPr>
          <w:p w14:paraId="454C2E0E" w14:textId="77777777" w:rsidR="00387142" w:rsidRPr="008B6A75" w:rsidRDefault="00387142" w:rsidP="00387142">
            <w:pPr>
              <w:jc w:val="center"/>
              <w:rPr>
                <w:sz w:val="20"/>
                <w:szCs w:val="20"/>
              </w:rPr>
            </w:pPr>
            <w:r w:rsidRPr="008B6A75">
              <w:rPr>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168F9DD7" w14:textId="77777777" w:rsidR="00387142" w:rsidRPr="008B6A75" w:rsidRDefault="00387142" w:rsidP="00387142">
            <w:pPr>
              <w:jc w:val="center"/>
              <w:rPr>
                <w:sz w:val="20"/>
                <w:szCs w:val="20"/>
              </w:rPr>
            </w:pPr>
            <w:r w:rsidRPr="008B6A75">
              <w:rPr>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EA6F0E9" w14:textId="77777777" w:rsidR="00387142" w:rsidRPr="008B6A75" w:rsidRDefault="00387142" w:rsidP="00387142">
            <w:pPr>
              <w:jc w:val="right"/>
              <w:rPr>
                <w:sz w:val="20"/>
                <w:szCs w:val="20"/>
              </w:rPr>
            </w:pPr>
            <w:r w:rsidRPr="008B6A75">
              <w:rPr>
                <w:sz w:val="20"/>
                <w:szCs w:val="20"/>
              </w:rPr>
              <w:t>5 341 089,33</w:t>
            </w:r>
          </w:p>
        </w:tc>
        <w:tc>
          <w:tcPr>
            <w:tcW w:w="851" w:type="dxa"/>
            <w:tcBorders>
              <w:top w:val="nil"/>
              <w:left w:val="single" w:sz="4" w:space="0" w:color="auto"/>
              <w:bottom w:val="single" w:sz="4" w:space="0" w:color="auto"/>
              <w:right w:val="nil"/>
            </w:tcBorders>
            <w:shd w:val="clear" w:color="auto" w:fill="auto"/>
            <w:noWrap/>
            <w:vAlign w:val="center"/>
            <w:hideMark/>
          </w:tcPr>
          <w:p w14:paraId="0574F024" w14:textId="77777777" w:rsidR="00387142" w:rsidRPr="008B6A75" w:rsidRDefault="00387142" w:rsidP="00387142">
            <w:pPr>
              <w:jc w:val="right"/>
              <w:rPr>
                <w:sz w:val="20"/>
                <w:szCs w:val="20"/>
              </w:rPr>
            </w:pPr>
            <w:r w:rsidRPr="008B6A75">
              <w:rPr>
                <w:sz w:val="20"/>
                <w:szCs w:val="20"/>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722D5238" w14:textId="77777777" w:rsidR="00387142" w:rsidRPr="008B6A75" w:rsidRDefault="00387142" w:rsidP="00387142">
            <w:pPr>
              <w:jc w:val="right"/>
              <w:rPr>
                <w:sz w:val="20"/>
                <w:szCs w:val="20"/>
              </w:rPr>
            </w:pPr>
            <w:r w:rsidRPr="008B6A75">
              <w:rPr>
                <w:sz w:val="20"/>
                <w:szCs w:val="20"/>
              </w:rPr>
              <w:t>0,00</w:t>
            </w:r>
          </w:p>
        </w:tc>
      </w:tr>
      <w:tr w:rsidR="00387142" w:rsidRPr="008B6A75" w14:paraId="3C8EFCB6" w14:textId="77777777" w:rsidTr="00387142">
        <w:trPr>
          <w:trHeight w:val="300"/>
        </w:trPr>
        <w:tc>
          <w:tcPr>
            <w:tcW w:w="272" w:type="dxa"/>
            <w:tcBorders>
              <w:top w:val="nil"/>
              <w:left w:val="nil"/>
              <w:bottom w:val="nil"/>
              <w:right w:val="single" w:sz="4" w:space="0" w:color="auto"/>
            </w:tcBorders>
            <w:shd w:val="clear" w:color="auto" w:fill="auto"/>
            <w:noWrap/>
            <w:vAlign w:val="bottom"/>
            <w:hideMark/>
          </w:tcPr>
          <w:p w14:paraId="6360B656"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103FE068" w14:textId="77777777" w:rsidR="00387142" w:rsidRPr="008B6A75" w:rsidRDefault="00387142" w:rsidP="00387142">
            <w:pPr>
              <w:rPr>
                <w:sz w:val="20"/>
                <w:szCs w:val="20"/>
              </w:rPr>
            </w:pPr>
            <w:r w:rsidRPr="008B6A75">
              <w:rPr>
                <w:sz w:val="20"/>
                <w:szCs w:val="20"/>
              </w:rPr>
              <w:t>Субсидии бюджетным учреждениям</w:t>
            </w:r>
          </w:p>
        </w:tc>
        <w:tc>
          <w:tcPr>
            <w:tcW w:w="1559" w:type="dxa"/>
            <w:tcBorders>
              <w:top w:val="nil"/>
              <w:left w:val="single" w:sz="4" w:space="0" w:color="auto"/>
              <w:bottom w:val="single" w:sz="4" w:space="0" w:color="auto"/>
              <w:right w:val="nil"/>
            </w:tcBorders>
            <w:shd w:val="clear" w:color="auto" w:fill="auto"/>
            <w:noWrap/>
            <w:vAlign w:val="center"/>
            <w:hideMark/>
          </w:tcPr>
          <w:p w14:paraId="7D909D1D" w14:textId="77777777" w:rsidR="00387142" w:rsidRPr="008B6A75" w:rsidRDefault="00387142" w:rsidP="00387142">
            <w:pPr>
              <w:jc w:val="center"/>
              <w:rPr>
                <w:sz w:val="20"/>
                <w:szCs w:val="20"/>
              </w:rPr>
            </w:pPr>
            <w:r w:rsidRPr="008B6A75">
              <w:rPr>
                <w:sz w:val="20"/>
                <w:szCs w:val="20"/>
              </w:rPr>
              <w:t>11.0.00.11950</w:t>
            </w:r>
          </w:p>
        </w:tc>
        <w:tc>
          <w:tcPr>
            <w:tcW w:w="850" w:type="dxa"/>
            <w:tcBorders>
              <w:top w:val="nil"/>
              <w:left w:val="single" w:sz="4" w:space="0" w:color="auto"/>
              <w:bottom w:val="single" w:sz="4" w:space="0" w:color="auto"/>
              <w:right w:val="nil"/>
            </w:tcBorders>
            <w:shd w:val="clear" w:color="auto" w:fill="auto"/>
            <w:noWrap/>
            <w:vAlign w:val="center"/>
            <w:hideMark/>
          </w:tcPr>
          <w:p w14:paraId="2FE86F9A" w14:textId="77777777" w:rsidR="00387142" w:rsidRPr="008B6A75" w:rsidRDefault="00387142" w:rsidP="00387142">
            <w:pPr>
              <w:jc w:val="center"/>
              <w:rPr>
                <w:sz w:val="20"/>
                <w:szCs w:val="20"/>
              </w:rPr>
            </w:pPr>
            <w:r w:rsidRPr="008B6A75">
              <w:rPr>
                <w:sz w:val="20"/>
                <w:szCs w:val="20"/>
              </w:rPr>
              <w:t>610</w:t>
            </w:r>
          </w:p>
        </w:tc>
        <w:tc>
          <w:tcPr>
            <w:tcW w:w="567" w:type="dxa"/>
            <w:tcBorders>
              <w:top w:val="nil"/>
              <w:left w:val="single" w:sz="4" w:space="0" w:color="auto"/>
              <w:bottom w:val="single" w:sz="4" w:space="0" w:color="auto"/>
              <w:right w:val="nil"/>
            </w:tcBorders>
            <w:shd w:val="clear" w:color="auto" w:fill="auto"/>
            <w:noWrap/>
            <w:vAlign w:val="center"/>
            <w:hideMark/>
          </w:tcPr>
          <w:p w14:paraId="030E2969" w14:textId="77777777" w:rsidR="00387142" w:rsidRPr="008B6A75" w:rsidRDefault="00387142" w:rsidP="00387142">
            <w:pPr>
              <w:jc w:val="center"/>
              <w:rPr>
                <w:sz w:val="20"/>
                <w:szCs w:val="20"/>
              </w:rPr>
            </w:pPr>
            <w:r w:rsidRPr="008B6A75">
              <w:rPr>
                <w:sz w:val="20"/>
                <w:szCs w:val="20"/>
              </w:rPr>
              <w:t>11</w:t>
            </w:r>
          </w:p>
        </w:tc>
        <w:tc>
          <w:tcPr>
            <w:tcW w:w="567" w:type="dxa"/>
            <w:tcBorders>
              <w:top w:val="nil"/>
              <w:left w:val="single" w:sz="4" w:space="0" w:color="auto"/>
              <w:bottom w:val="single" w:sz="4" w:space="0" w:color="auto"/>
              <w:right w:val="nil"/>
            </w:tcBorders>
            <w:shd w:val="clear" w:color="auto" w:fill="auto"/>
            <w:noWrap/>
            <w:vAlign w:val="center"/>
            <w:hideMark/>
          </w:tcPr>
          <w:p w14:paraId="5157590A" w14:textId="77777777" w:rsidR="00387142" w:rsidRPr="008B6A75" w:rsidRDefault="00387142" w:rsidP="00387142">
            <w:pPr>
              <w:jc w:val="center"/>
              <w:rPr>
                <w:sz w:val="20"/>
                <w:szCs w:val="20"/>
              </w:rPr>
            </w:pPr>
            <w:r w:rsidRPr="008B6A75">
              <w:rPr>
                <w:sz w:val="20"/>
                <w:szCs w:val="20"/>
              </w:rPr>
              <w:t>03</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EFFC1CF" w14:textId="77777777" w:rsidR="00387142" w:rsidRPr="008B6A75" w:rsidRDefault="00387142" w:rsidP="00387142">
            <w:pPr>
              <w:jc w:val="right"/>
              <w:rPr>
                <w:sz w:val="20"/>
                <w:szCs w:val="20"/>
              </w:rPr>
            </w:pPr>
            <w:r w:rsidRPr="008B6A75">
              <w:rPr>
                <w:sz w:val="20"/>
                <w:szCs w:val="20"/>
              </w:rPr>
              <w:t>5 341 089,33</w:t>
            </w:r>
          </w:p>
        </w:tc>
        <w:tc>
          <w:tcPr>
            <w:tcW w:w="851" w:type="dxa"/>
            <w:tcBorders>
              <w:top w:val="nil"/>
              <w:left w:val="single" w:sz="4" w:space="0" w:color="auto"/>
              <w:bottom w:val="single" w:sz="4" w:space="0" w:color="auto"/>
              <w:right w:val="nil"/>
            </w:tcBorders>
            <w:shd w:val="clear" w:color="auto" w:fill="auto"/>
            <w:noWrap/>
            <w:vAlign w:val="center"/>
            <w:hideMark/>
          </w:tcPr>
          <w:p w14:paraId="54BADF44" w14:textId="77777777" w:rsidR="00387142" w:rsidRPr="008B6A75" w:rsidRDefault="00387142" w:rsidP="00387142">
            <w:pPr>
              <w:jc w:val="right"/>
              <w:rPr>
                <w:sz w:val="20"/>
                <w:szCs w:val="20"/>
              </w:rPr>
            </w:pPr>
            <w:r w:rsidRPr="008B6A75">
              <w:rPr>
                <w:sz w:val="20"/>
                <w:szCs w:val="20"/>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20140EF8" w14:textId="77777777" w:rsidR="00387142" w:rsidRPr="008B6A75" w:rsidRDefault="00387142" w:rsidP="00387142">
            <w:pPr>
              <w:jc w:val="right"/>
              <w:rPr>
                <w:sz w:val="20"/>
                <w:szCs w:val="20"/>
              </w:rPr>
            </w:pPr>
            <w:r w:rsidRPr="008B6A75">
              <w:rPr>
                <w:sz w:val="20"/>
                <w:szCs w:val="20"/>
              </w:rPr>
              <w:t>0,00</w:t>
            </w:r>
          </w:p>
        </w:tc>
      </w:tr>
      <w:tr w:rsidR="00387142" w:rsidRPr="008B6A75" w14:paraId="0FA13279" w14:textId="77777777" w:rsidTr="00387142">
        <w:trPr>
          <w:trHeight w:val="1440"/>
        </w:trPr>
        <w:tc>
          <w:tcPr>
            <w:tcW w:w="272" w:type="dxa"/>
            <w:tcBorders>
              <w:top w:val="nil"/>
              <w:left w:val="nil"/>
              <w:bottom w:val="nil"/>
              <w:right w:val="single" w:sz="4" w:space="0" w:color="auto"/>
            </w:tcBorders>
            <w:shd w:val="clear" w:color="auto" w:fill="auto"/>
            <w:noWrap/>
            <w:vAlign w:val="bottom"/>
            <w:hideMark/>
          </w:tcPr>
          <w:p w14:paraId="5481A9EF" w14:textId="77777777" w:rsidR="00387142" w:rsidRPr="008B6A75" w:rsidRDefault="00387142" w:rsidP="00387142">
            <w:pPr>
              <w:rPr>
                <w:sz w:val="20"/>
                <w:szCs w:val="20"/>
              </w:rPr>
            </w:pPr>
            <w:r w:rsidRPr="008B6A75">
              <w:rPr>
                <w:sz w:val="20"/>
                <w:szCs w:val="20"/>
              </w:rPr>
              <w:lastRenderedPageBreak/>
              <w:t> </w:t>
            </w:r>
          </w:p>
        </w:tc>
        <w:tc>
          <w:tcPr>
            <w:tcW w:w="3415" w:type="dxa"/>
            <w:tcBorders>
              <w:top w:val="nil"/>
              <w:left w:val="single" w:sz="4" w:space="0" w:color="auto"/>
              <w:bottom w:val="single" w:sz="4" w:space="0" w:color="auto"/>
              <w:right w:val="nil"/>
            </w:tcBorders>
            <w:shd w:val="clear" w:color="auto" w:fill="auto"/>
            <w:vAlign w:val="center"/>
            <w:hideMark/>
          </w:tcPr>
          <w:p w14:paraId="0D610B2C" w14:textId="77777777" w:rsidR="00387142" w:rsidRPr="008B6A75" w:rsidRDefault="00387142" w:rsidP="00387142">
            <w:pPr>
              <w:rPr>
                <w:bCs/>
                <w:sz w:val="20"/>
                <w:szCs w:val="20"/>
              </w:rPr>
            </w:pPr>
            <w:r w:rsidRPr="008B6A75">
              <w:rPr>
                <w:bCs/>
                <w:sz w:val="20"/>
                <w:szCs w:val="20"/>
              </w:rPr>
              <w:t xml:space="preserve">Реализация мероприятий по обеспечению сбалансированности местных </w:t>
            </w:r>
            <w:proofErr w:type="gramStart"/>
            <w:r w:rsidRPr="008B6A75">
              <w:rPr>
                <w:bCs/>
                <w:sz w:val="20"/>
                <w:szCs w:val="20"/>
              </w:rPr>
              <w:t>бюджетов  государственной</w:t>
            </w:r>
            <w:proofErr w:type="gramEnd"/>
            <w:r w:rsidRPr="008B6A75">
              <w:rPr>
                <w:bCs/>
                <w:sz w:val="20"/>
                <w:szCs w:val="20"/>
              </w:rPr>
              <w:t xml:space="preserve"> программы Новосибирской области "Управление  финансами в Новосибирской области"</w:t>
            </w:r>
          </w:p>
        </w:tc>
        <w:tc>
          <w:tcPr>
            <w:tcW w:w="1559" w:type="dxa"/>
            <w:tcBorders>
              <w:top w:val="nil"/>
              <w:left w:val="single" w:sz="4" w:space="0" w:color="auto"/>
              <w:bottom w:val="single" w:sz="4" w:space="0" w:color="auto"/>
              <w:right w:val="nil"/>
            </w:tcBorders>
            <w:shd w:val="clear" w:color="auto" w:fill="auto"/>
            <w:noWrap/>
            <w:vAlign w:val="center"/>
            <w:hideMark/>
          </w:tcPr>
          <w:p w14:paraId="5EF64630" w14:textId="77777777" w:rsidR="00387142" w:rsidRPr="008B6A75" w:rsidRDefault="00387142" w:rsidP="00387142">
            <w:pPr>
              <w:jc w:val="center"/>
              <w:rPr>
                <w:bCs/>
                <w:sz w:val="20"/>
                <w:szCs w:val="20"/>
              </w:rPr>
            </w:pPr>
            <w:r w:rsidRPr="008B6A75">
              <w:rPr>
                <w:bCs/>
                <w:sz w:val="20"/>
                <w:szCs w:val="20"/>
              </w:rPr>
              <w:t>11.0.00.70510</w:t>
            </w:r>
          </w:p>
        </w:tc>
        <w:tc>
          <w:tcPr>
            <w:tcW w:w="850" w:type="dxa"/>
            <w:tcBorders>
              <w:top w:val="nil"/>
              <w:left w:val="single" w:sz="4" w:space="0" w:color="auto"/>
              <w:bottom w:val="single" w:sz="4" w:space="0" w:color="auto"/>
              <w:right w:val="nil"/>
            </w:tcBorders>
            <w:shd w:val="clear" w:color="auto" w:fill="auto"/>
            <w:noWrap/>
            <w:vAlign w:val="center"/>
            <w:hideMark/>
          </w:tcPr>
          <w:p w14:paraId="28EF89EA" w14:textId="77777777" w:rsidR="00387142" w:rsidRPr="008B6A75" w:rsidRDefault="00387142" w:rsidP="00387142">
            <w:pPr>
              <w:jc w:val="center"/>
              <w:rPr>
                <w:bCs/>
                <w:sz w:val="20"/>
                <w:szCs w:val="20"/>
              </w:rPr>
            </w:pPr>
            <w:r w:rsidRPr="008B6A75">
              <w:rPr>
                <w:bCs/>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088A8DC2" w14:textId="77777777" w:rsidR="00387142" w:rsidRPr="008B6A75" w:rsidRDefault="00387142" w:rsidP="00387142">
            <w:pPr>
              <w:jc w:val="center"/>
              <w:rPr>
                <w:bCs/>
                <w:sz w:val="20"/>
                <w:szCs w:val="20"/>
              </w:rPr>
            </w:pPr>
            <w:r w:rsidRPr="008B6A75">
              <w:rPr>
                <w:bCs/>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466D0459" w14:textId="77777777" w:rsidR="00387142" w:rsidRPr="008B6A75" w:rsidRDefault="00387142" w:rsidP="00387142">
            <w:pPr>
              <w:jc w:val="center"/>
              <w:rPr>
                <w:bCs/>
                <w:sz w:val="20"/>
                <w:szCs w:val="20"/>
              </w:rPr>
            </w:pPr>
            <w:r w:rsidRPr="008B6A75">
              <w:rPr>
                <w:bCs/>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F4C9F00" w14:textId="77777777" w:rsidR="00387142" w:rsidRPr="008B6A75" w:rsidRDefault="00387142" w:rsidP="00387142">
            <w:pPr>
              <w:jc w:val="right"/>
              <w:rPr>
                <w:bCs/>
                <w:sz w:val="20"/>
                <w:szCs w:val="20"/>
              </w:rPr>
            </w:pPr>
            <w:r w:rsidRPr="008B6A75">
              <w:rPr>
                <w:bCs/>
                <w:sz w:val="20"/>
                <w:szCs w:val="20"/>
              </w:rPr>
              <w:t>2 504 700,00</w:t>
            </w:r>
          </w:p>
        </w:tc>
        <w:tc>
          <w:tcPr>
            <w:tcW w:w="851" w:type="dxa"/>
            <w:tcBorders>
              <w:top w:val="nil"/>
              <w:left w:val="single" w:sz="4" w:space="0" w:color="auto"/>
              <w:bottom w:val="single" w:sz="4" w:space="0" w:color="auto"/>
              <w:right w:val="nil"/>
            </w:tcBorders>
            <w:shd w:val="clear" w:color="auto" w:fill="auto"/>
            <w:noWrap/>
            <w:vAlign w:val="center"/>
            <w:hideMark/>
          </w:tcPr>
          <w:p w14:paraId="197CA695" w14:textId="77777777" w:rsidR="00387142" w:rsidRPr="008B6A75" w:rsidRDefault="00387142" w:rsidP="00387142">
            <w:pPr>
              <w:jc w:val="right"/>
              <w:rPr>
                <w:bCs/>
                <w:sz w:val="20"/>
                <w:szCs w:val="20"/>
              </w:rPr>
            </w:pPr>
            <w:r w:rsidRPr="008B6A75">
              <w:rPr>
                <w:bCs/>
                <w:sz w:val="20"/>
                <w:szCs w:val="20"/>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5E0F64F7" w14:textId="77777777" w:rsidR="00387142" w:rsidRPr="008B6A75" w:rsidRDefault="00387142" w:rsidP="00387142">
            <w:pPr>
              <w:jc w:val="right"/>
              <w:rPr>
                <w:bCs/>
                <w:sz w:val="20"/>
                <w:szCs w:val="20"/>
              </w:rPr>
            </w:pPr>
            <w:r w:rsidRPr="008B6A75">
              <w:rPr>
                <w:bCs/>
                <w:sz w:val="20"/>
                <w:szCs w:val="20"/>
              </w:rPr>
              <w:t>0,00</w:t>
            </w:r>
          </w:p>
        </w:tc>
      </w:tr>
      <w:tr w:rsidR="00387142" w:rsidRPr="008B6A75" w14:paraId="334CA4B3" w14:textId="77777777" w:rsidTr="00387142">
        <w:trPr>
          <w:trHeight w:val="870"/>
        </w:trPr>
        <w:tc>
          <w:tcPr>
            <w:tcW w:w="272" w:type="dxa"/>
            <w:tcBorders>
              <w:top w:val="nil"/>
              <w:left w:val="nil"/>
              <w:bottom w:val="nil"/>
              <w:right w:val="single" w:sz="4" w:space="0" w:color="auto"/>
            </w:tcBorders>
            <w:shd w:val="clear" w:color="auto" w:fill="auto"/>
            <w:noWrap/>
            <w:vAlign w:val="bottom"/>
            <w:hideMark/>
          </w:tcPr>
          <w:p w14:paraId="3619FE29"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1E383932" w14:textId="77777777" w:rsidR="00387142" w:rsidRPr="008B6A75" w:rsidRDefault="00387142" w:rsidP="00387142">
            <w:pPr>
              <w:rPr>
                <w:sz w:val="20"/>
                <w:szCs w:val="20"/>
              </w:rPr>
            </w:pPr>
            <w:r w:rsidRPr="008B6A75">
              <w:rPr>
                <w:sz w:val="20"/>
                <w:szCs w:val="20"/>
              </w:rPr>
              <w:t>Предоставление субсидий бюджетным, автономным учреждениям и иным некоммерческим организациям</w:t>
            </w:r>
          </w:p>
        </w:tc>
        <w:tc>
          <w:tcPr>
            <w:tcW w:w="1559" w:type="dxa"/>
            <w:tcBorders>
              <w:top w:val="nil"/>
              <w:left w:val="single" w:sz="4" w:space="0" w:color="auto"/>
              <w:bottom w:val="single" w:sz="4" w:space="0" w:color="auto"/>
              <w:right w:val="nil"/>
            </w:tcBorders>
            <w:shd w:val="clear" w:color="auto" w:fill="auto"/>
            <w:noWrap/>
            <w:vAlign w:val="center"/>
            <w:hideMark/>
          </w:tcPr>
          <w:p w14:paraId="6DF705E2" w14:textId="77777777" w:rsidR="00387142" w:rsidRPr="008B6A75" w:rsidRDefault="00387142" w:rsidP="00387142">
            <w:pPr>
              <w:jc w:val="center"/>
              <w:rPr>
                <w:sz w:val="20"/>
                <w:szCs w:val="20"/>
              </w:rPr>
            </w:pPr>
            <w:r w:rsidRPr="008B6A75">
              <w:rPr>
                <w:sz w:val="20"/>
                <w:szCs w:val="20"/>
              </w:rPr>
              <w:t>11.0.00.70510</w:t>
            </w:r>
          </w:p>
        </w:tc>
        <w:tc>
          <w:tcPr>
            <w:tcW w:w="850" w:type="dxa"/>
            <w:tcBorders>
              <w:top w:val="nil"/>
              <w:left w:val="single" w:sz="4" w:space="0" w:color="auto"/>
              <w:bottom w:val="single" w:sz="4" w:space="0" w:color="auto"/>
              <w:right w:val="nil"/>
            </w:tcBorders>
            <w:shd w:val="clear" w:color="auto" w:fill="auto"/>
            <w:noWrap/>
            <w:vAlign w:val="center"/>
            <w:hideMark/>
          </w:tcPr>
          <w:p w14:paraId="38A99D52" w14:textId="77777777" w:rsidR="00387142" w:rsidRPr="008B6A75" w:rsidRDefault="00387142" w:rsidP="00387142">
            <w:pPr>
              <w:jc w:val="center"/>
              <w:rPr>
                <w:sz w:val="20"/>
                <w:szCs w:val="20"/>
              </w:rPr>
            </w:pPr>
            <w:r w:rsidRPr="008B6A75">
              <w:rPr>
                <w:sz w:val="20"/>
                <w:szCs w:val="20"/>
              </w:rPr>
              <w:t>600</w:t>
            </w:r>
          </w:p>
        </w:tc>
        <w:tc>
          <w:tcPr>
            <w:tcW w:w="567" w:type="dxa"/>
            <w:tcBorders>
              <w:top w:val="nil"/>
              <w:left w:val="single" w:sz="4" w:space="0" w:color="auto"/>
              <w:bottom w:val="single" w:sz="4" w:space="0" w:color="auto"/>
              <w:right w:val="nil"/>
            </w:tcBorders>
            <w:shd w:val="clear" w:color="auto" w:fill="auto"/>
            <w:noWrap/>
            <w:vAlign w:val="center"/>
            <w:hideMark/>
          </w:tcPr>
          <w:p w14:paraId="5E05341F" w14:textId="77777777" w:rsidR="00387142" w:rsidRPr="008B6A75" w:rsidRDefault="00387142" w:rsidP="00387142">
            <w:pPr>
              <w:jc w:val="center"/>
              <w:rPr>
                <w:sz w:val="20"/>
                <w:szCs w:val="20"/>
              </w:rPr>
            </w:pPr>
            <w:r w:rsidRPr="008B6A75">
              <w:rPr>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08AD613B" w14:textId="77777777" w:rsidR="00387142" w:rsidRPr="008B6A75" w:rsidRDefault="00387142" w:rsidP="00387142">
            <w:pPr>
              <w:jc w:val="center"/>
              <w:rPr>
                <w:sz w:val="20"/>
                <w:szCs w:val="20"/>
              </w:rPr>
            </w:pPr>
            <w:r w:rsidRPr="008B6A75">
              <w:rPr>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E77D159" w14:textId="77777777" w:rsidR="00387142" w:rsidRPr="008B6A75" w:rsidRDefault="00387142" w:rsidP="00387142">
            <w:pPr>
              <w:jc w:val="right"/>
              <w:rPr>
                <w:sz w:val="20"/>
                <w:szCs w:val="20"/>
              </w:rPr>
            </w:pPr>
            <w:r w:rsidRPr="008B6A75">
              <w:rPr>
                <w:sz w:val="20"/>
                <w:szCs w:val="20"/>
              </w:rPr>
              <w:t>2 504 700,00</w:t>
            </w:r>
          </w:p>
        </w:tc>
        <w:tc>
          <w:tcPr>
            <w:tcW w:w="851" w:type="dxa"/>
            <w:tcBorders>
              <w:top w:val="nil"/>
              <w:left w:val="single" w:sz="4" w:space="0" w:color="auto"/>
              <w:bottom w:val="single" w:sz="4" w:space="0" w:color="auto"/>
              <w:right w:val="nil"/>
            </w:tcBorders>
            <w:shd w:val="clear" w:color="auto" w:fill="auto"/>
            <w:noWrap/>
            <w:vAlign w:val="center"/>
            <w:hideMark/>
          </w:tcPr>
          <w:p w14:paraId="55A73705" w14:textId="77777777" w:rsidR="00387142" w:rsidRPr="008B6A75" w:rsidRDefault="00387142" w:rsidP="00387142">
            <w:pPr>
              <w:jc w:val="right"/>
              <w:rPr>
                <w:sz w:val="20"/>
                <w:szCs w:val="20"/>
              </w:rPr>
            </w:pPr>
            <w:r w:rsidRPr="008B6A75">
              <w:rPr>
                <w:sz w:val="20"/>
                <w:szCs w:val="20"/>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0AF6A60B" w14:textId="77777777" w:rsidR="00387142" w:rsidRPr="008B6A75" w:rsidRDefault="00387142" w:rsidP="00387142">
            <w:pPr>
              <w:jc w:val="right"/>
              <w:rPr>
                <w:sz w:val="20"/>
                <w:szCs w:val="20"/>
              </w:rPr>
            </w:pPr>
            <w:r w:rsidRPr="008B6A75">
              <w:rPr>
                <w:sz w:val="20"/>
                <w:szCs w:val="20"/>
              </w:rPr>
              <w:t>0,00</w:t>
            </w:r>
          </w:p>
        </w:tc>
      </w:tr>
      <w:tr w:rsidR="00387142" w:rsidRPr="008B6A75" w14:paraId="7F447F0C" w14:textId="77777777" w:rsidTr="00387142">
        <w:trPr>
          <w:trHeight w:val="300"/>
        </w:trPr>
        <w:tc>
          <w:tcPr>
            <w:tcW w:w="272" w:type="dxa"/>
            <w:tcBorders>
              <w:top w:val="nil"/>
              <w:left w:val="nil"/>
              <w:bottom w:val="nil"/>
              <w:right w:val="single" w:sz="4" w:space="0" w:color="auto"/>
            </w:tcBorders>
            <w:shd w:val="clear" w:color="auto" w:fill="auto"/>
            <w:noWrap/>
            <w:vAlign w:val="bottom"/>
            <w:hideMark/>
          </w:tcPr>
          <w:p w14:paraId="1E57436B"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14C211ED" w14:textId="77777777" w:rsidR="00387142" w:rsidRPr="008B6A75" w:rsidRDefault="00387142" w:rsidP="00387142">
            <w:pPr>
              <w:rPr>
                <w:sz w:val="20"/>
                <w:szCs w:val="20"/>
              </w:rPr>
            </w:pPr>
            <w:r w:rsidRPr="008B6A75">
              <w:rPr>
                <w:sz w:val="20"/>
                <w:szCs w:val="20"/>
              </w:rPr>
              <w:t>Субсидии бюджетным учреждениям</w:t>
            </w:r>
          </w:p>
        </w:tc>
        <w:tc>
          <w:tcPr>
            <w:tcW w:w="1559" w:type="dxa"/>
            <w:tcBorders>
              <w:top w:val="nil"/>
              <w:left w:val="single" w:sz="4" w:space="0" w:color="auto"/>
              <w:bottom w:val="single" w:sz="4" w:space="0" w:color="auto"/>
              <w:right w:val="nil"/>
            </w:tcBorders>
            <w:shd w:val="clear" w:color="auto" w:fill="auto"/>
            <w:noWrap/>
            <w:vAlign w:val="center"/>
            <w:hideMark/>
          </w:tcPr>
          <w:p w14:paraId="74367175" w14:textId="77777777" w:rsidR="00387142" w:rsidRPr="008B6A75" w:rsidRDefault="00387142" w:rsidP="00387142">
            <w:pPr>
              <w:jc w:val="center"/>
              <w:rPr>
                <w:sz w:val="20"/>
                <w:szCs w:val="20"/>
              </w:rPr>
            </w:pPr>
            <w:r w:rsidRPr="008B6A75">
              <w:rPr>
                <w:sz w:val="20"/>
                <w:szCs w:val="20"/>
              </w:rPr>
              <w:t>11.0.00.70510</w:t>
            </w:r>
          </w:p>
        </w:tc>
        <w:tc>
          <w:tcPr>
            <w:tcW w:w="850" w:type="dxa"/>
            <w:tcBorders>
              <w:top w:val="nil"/>
              <w:left w:val="single" w:sz="4" w:space="0" w:color="auto"/>
              <w:bottom w:val="single" w:sz="4" w:space="0" w:color="auto"/>
              <w:right w:val="nil"/>
            </w:tcBorders>
            <w:shd w:val="clear" w:color="auto" w:fill="auto"/>
            <w:noWrap/>
            <w:vAlign w:val="center"/>
            <w:hideMark/>
          </w:tcPr>
          <w:p w14:paraId="67AB96D4" w14:textId="77777777" w:rsidR="00387142" w:rsidRPr="008B6A75" w:rsidRDefault="00387142" w:rsidP="00387142">
            <w:pPr>
              <w:jc w:val="center"/>
              <w:rPr>
                <w:sz w:val="20"/>
                <w:szCs w:val="20"/>
              </w:rPr>
            </w:pPr>
            <w:r w:rsidRPr="008B6A75">
              <w:rPr>
                <w:sz w:val="20"/>
                <w:szCs w:val="20"/>
              </w:rPr>
              <w:t>610</w:t>
            </w:r>
          </w:p>
        </w:tc>
        <w:tc>
          <w:tcPr>
            <w:tcW w:w="567" w:type="dxa"/>
            <w:tcBorders>
              <w:top w:val="nil"/>
              <w:left w:val="single" w:sz="4" w:space="0" w:color="auto"/>
              <w:bottom w:val="single" w:sz="4" w:space="0" w:color="auto"/>
              <w:right w:val="nil"/>
            </w:tcBorders>
            <w:shd w:val="clear" w:color="auto" w:fill="auto"/>
            <w:noWrap/>
            <w:vAlign w:val="center"/>
            <w:hideMark/>
          </w:tcPr>
          <w:p w14:paraId="3CC630A3" w14:textId="77777777" w:rsidR="00387142" w:rsidRPr="008B6A75" w:rsidRDefault="00387142" w:rsidP="00387142">
            <w:pPr>
              <w:jc w:val="center"/>
              <w:rPr>
                <w:sz w:val="20"/>
                <w:szCs w:val="20"/>
              </w:rPr>
            </w:pPr>
            <w:r w:rsidRPr="008B6A75">
              <w:rPr>
                <w:sz w:val="20"/>
                <w:szCs w:val="20"/>
              </w:rPr>
              <w:t>11</w:t>
            </w:r>
          </w:p>
        </w:tc>
        <w:tc>
          <w:tcPr>
            <w:tcW w:w="567" w:type="dxa"/>
            <w:tcBorders>
              <w:top w:val="nil"/>
              <w:left w:val="single" w:sz="4" w:space="0" w:color="auto"/>
              <w:bottom w:val="single" w:sz="4" w:space="0" w:color="auto"/>
              <w:right w:val="nil"/>
            </w:tcBorders>
            <w:shd w:val="clear" w:color="auto" w:fill="auto"/>
            <w:noWrap/>
            <w:vAlign w:val="center"/>
            <w:hideMark/>
          </w:tcPr>
          <w:p w14:paraId="1A44AD17" w14:textId="77777777" w:rsidR="00387142" w:rsidRPr="008B6A75" w:rsidRDefault="00387142" w:rsidP="00387142">
            <w:pPr>
              <w:jc w:val="center"/>
              <w:rPr>
                <w:sz w:val="20"/>
                <w:szCs w:val="20"/>
              </w:rPr>
            </w:pPr>
            <w:r w:rsidRPr="008B6A75">
              <w:rPr>
                <w:sz w:val="20"/>
                <w:szCs w:val="20"/>
              </w:rPr>
              <w:t>01</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7B116F5" w14:textId="77777777" w:rsidR="00387142" w:rsidRPr="008B6A75" w:rsidRDefault="00387142" w:rsidP="00387142">
            <w:pPr>
              <w:jc w:val="right"/>
              <w:rPr>
                <w:sz w:val="20"/>
                <w:szCs w:val="20"/>
              </w:rPr>
            </w:pPr>
            <w:r w:rsidRPr="008B6A75">
              <w:rPr>
                <w:sz w:val="20"/>
                <w:szCs w:val="20"/>
              </w:rPr>
              <w:t>2 504 700,00</w:t>
            </w:r>
          </w:p>
        </w:tc>
        <w:tc>
          <w:tcPr>
            <w:tcW w:w="851" w:type="dxa"/>
            <w:tcBorders>
              <w:top w:val="nil"/>
              <w:left w:val="single" w:sz="4" w:space="0" w:color="auto"/>
              <w:bottom w:val="single" w:sz="4" w:space="0" w:color="auto"/>
              <w:right w:val="nil"/>
            </w:tcBorders>
            <w:shd w:val="clear" w:color="auto" w:fill="auto"/>
            <w:noWrap/>
            <w:vAlign w:val="center"/>
            <w:hideMark/>
          </w:tcPr>
          <w:p w14:paraId="3FCA9968" w14:textId="77777777" w:rsidR="00387142" w:rsidRPr="008B6A75" w:rsidRDefault="00387142" w:rsidP="00387142">
            <w:pPr>
              <w:jc w:val="right"/>
              <w:rPr>
                <w:sz w:val="20"/>
                <w:szCs w:val="20"/>
              </w:rPr>
            </w:pPr>
            <w:r w:rsidRPr="008B6A75">
              <w:rPr>
                <w:sz w:val="20"/>
                <w:szCs w:val="20"/>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5A6C13E8" w14:textId="77777777" w:rsidR="00387142" w:rsidRPr="008B6A75" w:rsidRDefault="00387142" w:rsidP="00387142">
            <w:pPr>
              <w:jc w:val="right"/>
              <w:rPr>
                <w:sz w:val="20"/>
                <w:szCs w:val="20"/>
              </w:rPr>
            </w:pPr>
            <w:r w:rsidRPr="008B6A75">
              <w:rPr>
                <w:sz w:val="20"/>
                <w:szCs w:val="20"/>
              </w:rPr>
              <w:t>0,00</w:t>
            </w:r>
          </w:p>
        </w:tc>
      </w:tr>
      <w:tr w:rsidR="00387142" w:rsidRPr="008B6A75" w14:paraId="1E2E0D62" w14:textId="77777777" w:rsidTr="00387142">
        <w:trPr>
          <w:trHeight w:val="2295"/>
        </w:trPr>
        <w:tc>
          <w:tcPr>
            <w:tcW w:w="272" w:type="dxa"/>
            <w:tcBorders>
              <w:top w:val="nil"/>
              <w:left w:val="nil"/>
              <w:bottom w:val="nil"/>
              <w:right w:val="single" w:sz="4" w:space="0" w:color="auto"/>
            </w:tcBorders>
            <w:shd w:val="clear" w:color="auto" w:fill="auto"/>
            <w:noWrap/>
            <w:vAlign w:val="bottom"/>
            <w:hideMark/>
          </w:tcPr>
          <w:p w14:paraId="01CAF26A"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61C27425" w14:textId="77777777" w:rsidR="00387142" w:rsidRPr="008B6A75" w:rsidRDefault="00387142" w:rsidP="00387142">
            <w:pPr>
              <w:rPr>
                <w:bCs/>
                <w:sz w:val="20"/>
                <w:szCs w:val="20"/>
              </w:rPr>
            </w:pPr>
            <w:r w:rsidRPr="008B6A75">
              <w:rPr>
                <w:bCs/>
                <w:sz w:val="20"/>
                <w:szCs w:val="20"/>
              </w:rPr>
              <w:t>Реализация мероприятий по осуществлению малобюджетного строительства, реконструкции, ремонта спортивных сооружений, обеспечения оборудованием и инвентарем спортивных объектов государственной программы Новосибирской области "Развитие физической культуры и спорта в Новосибирской области"</w:t>
            </w:r>
          </w:p>
        </w:tc>
        <w:tc>
          <w:tcPr>
            <w:tcW w:w="1559" w:type="dxa"/>
            <w:tcBorders>
              <w:top w:val="nil"/>
              <w:left w:val="single" w:sz="4" w:space="0" w:color="auto"/>
              <w:bottom w:val="single" w:sz="4" w:space="0" w:color="auto"/>
              <w:right w:val="nil"/>
            </w:tcBorders>
            <w:shd w:val="clear" w:color="auto" w:fill="auto"/>
            <w:noWrap/>
            <w:vAlign w:val="center"/>
            <w:hideMark/>
          </w:tcPr>
          <w:p w14:paraId="7BEE8CA7" w14:textId="77777777" w:rsidR="00387142" w:rsidRPr="008B6A75" w:rsidRDefault="00387142" w:rsidP="00387142">
            <w:pPr>
              <w:jc w:val="center"/>
              <w:rPr>
                <w:bCs/>
                <w:sz w:val="20"/>
                <w:szCs w:val="20"/>
              </w:rPr>
            </w:pPr>
            <w:r w:rsidRPr="008B6A75">
              <w:rPr>
                <w:bCs/>
                <w:sz w:val="20"/>
                <w:szCs w:val="20"/>
              </w:rPr>
              <w:t>11.0.00.70740</w:t>
            </w:r>
          </w:p>
        </w:tc>
        <w:tc>
          <w:tcPr>
            <w:tcW w:w="850" w:type="dxa"/>
            <w:tcBorders>
              <w:top w:val="nil"/>
              <w:left w:val="single" w:sz="4" w:space="0" w:color="auto"/>
              <w:bottom w:val="single" w:sz="4" w:space="0" w:color="auto"/>
              <w:right w:val="nil"/>
            </w:tcBorders>
            <w:shd w:val="clear" w:color="auto" w:fill="auto"/>
            <w:noWrap/>
            <w:vAlign w:val="center"/>
            <w:hideMark/>
          </w:tcPr>
          <w:p w14:paraId="0996D204" w14:textId="77777777" w:rsidR="00387142" w:rsidRPr="008B6A75" w:rsidRDefault="00387142" w:rsidP="00387142">
            <w:pPr>
              <w:jc w:val="center"/>
              <w:rPr>
                <w:bCs/>
                <w:sz w:val="20"/>
                <w:szCs w:val="20"/>
              </w:rPr>
            </w:pPr>
            <w:r w:rsidRPr="008B6A75">
              <w:rPr>
                <w:bCs/>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7A0393EE" w14:textId="77777777" w:rsidR="00387142" w:rsidRPr="008B6A75" w:rsidRDefault="00387142" w:rsidP="00387142">
            <w:pPr>
              <w:jc w:val="center"/>
              <w:rPr>
                <w:bCs/>
                <w:sz w:val="20"/>
                <w:szCs w:val="20"/>
              </w:rPr>
            </w:pPr>
            <w:r w:rsidRPr="008B6A75">
              <w:rPr>
                <w:bCs/>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764EFF4E" w14:textId="77777777" w:rsidR="00387142" w:rsidRPr="008B6A75" w:rsidRDefault="00387142" w:rsidP="00387142">
            <w:pPr>
              <w:jc w:val="center"/>
              <w:rPr>
                <w:bCs/>
                <w:sz w:val="20"/>
                <w:szCs w:val="20"/>
              </w:rPr>
            </w:pPr>
            <w:r w:rsidRPr="008B6A75">
              <w:rPr>
                <w:bCs/>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FA53844" w14:textId="77777777" w:rsidR="00387142" w:rsidRPr="008B6A75" w:rsidRDefault="00387142" w:rsidP="00387142">
            <w:pPr>
              <w:jc w:val="right"/>
              <w:rPr>
                <w:bCs/>
                <w:sz w:val="20"/>
                <w:szCs w:val="20"/>
              </w:rPr>
            </w:pPr>
            <w:r w:rsidRPr="008B6A75">
              <w:rPr>
                <w:bCs/>
                <w:sz w:val="20"/>
                <w:szCs w:val="20"/>
              </w:rPr>
              <w:t>3 500 000,00</w:t>
            </w:r>
          </w:p>
        </w:tc>
        <w:tc>
          <w:tcPr>
            <w:tcW w:w="851" w:type="dxa"/>
            <w:tcBorders>
              <w:top w:val="nil"/>
              <w:left w:val="single" w:sz="4" w:space="0" w:color="auto"/>
              <w:bottom w:val="single" w:sz="4" w:space="0" w:color="auto"/>
              <w:right w:val="nil"/>
            </w:tcBorders>
            <w:shd w:val="clear" w:color="auto" w:fill="auto"/>
            <w:noWrap/>
            <w:vAlign w:val="center"/>
            <w:hideMark/>
          </w:tcPr>
          <w:p w14:paraId="106C55F5" w14:textId="77777777" w:rsidR="00387142" w:rsidRPr="008B6A75" w:rsidRDefault="00387142" w:rsidP="00387142">
            <w:pPr>
              <w:jc w:val="right"/>
              <w:rPr>
                <w:bCs/>
                <w:sz w:val="20"/>
                <w:szCs w:val="20"/>
              </w:rPr>
            </w:pPr>
            <w:r w:rsidRPr="008B6A75">
              <w:rPr>
                <w:bCs/>
                <w:sz w:val="20"/>
                <w:szCs w:val="20"/>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272A55E6" w14:textId="77777777" w:rsidR="00387142" w:rsidRPr="008B6A75" w:rsidRDefault="00387142" w:rsidP="00387142">
            <w:pPr>
              <w:jc w:val="right"/>
              <w:rPr>
                <w:bCs/>
                <w:sz w:val="20"/>
                <w:szCs w:val="20"/>
              </w:rPr>
            </w:pPr>
            <w:r w:rsidRPr="008B6A75">
              <w:rPr>
                <w:bCs/>
                <w:sz w:val="20"/>
                <w:szCs w:val="20"/>
              </w:rPr>
              <w:t>0,00</w:t>
            </w:r>
          </w:p>
        </w:tc>
      </w:tr>
      <w:tr w:rsidR="00387142" w:rsidRPr="008B6A75" w14:paraId="59B45722" w14:textId="77777777" w:rsidTr="00387142">
        <w:trPr>
          <w:trHeight w:val="300"/>
        </w:trPr>
        <w:tc>
          <w:tcPr>
            <w:tcW w:w="272" w:type="dxa"/>
            <w:tcBorders>
              <w:top w:val="nil"/>
              <w:left w:val="nil"/>
              <w:bottom w:val="nil"/>
              <w:right w:val="single" w:sz="4" w:space="0" w:color="auto"/>
            </w:tcBorders>
            <w:shd w:val="clear" w:color="auto" w:fill="auto"/>
            <w:noWrap/>
            <w:vAlign w:val="bottom"/>
            <w:hideMark/>
          </w:tcPr>
          <w:p w14:paraId="67C41E40"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69C9592F" w14:textId="77777777" w:rsidR="00387142" w:rsidRPr="008B6A75" w:rsidRDefault="00387142" w:rsidP="00387142">
            <w:pPr>
              <w:rPr>
                <w:sz w:val="20"/>
                <w:szCs w:val="20"/>
              </w:rPr>
            </w:pPr>
            <w:r w:rsidRPr="008B6A75">
              <w:rPr>
                <w:sz w:val="20"/>
                <w:szCs w:val="20"/>
              </w:rPr>
              <w:t>Межбюджетные трансферты</w:t>
            </w:r>
          </w:p>
        </w:tc>
        <w:tc>
          <w:tcPr>
            <w:tcW w:w="1559" w:type="dxa"/>
            <w:tcBorders>
              <w:top w:val="nil"/>
              <w:left w:val="single" w:sz="4" w:space="0" w:color="auto"/>
              <w:bottom w:val="single" w:sz="4" w:space="0" w:color="auto"/>
              <w:right w:val="nil"/>
            </w:tcBorders>
            <w:shd w:val="clear" w:color="auto" w:fill="auto"/>
            <w:noWrap/>
            <w:vAlign w:val="center"/>
            <w:hideMark/>
          </w:tcPr>
          <w:p w14:paraId="6C6F5B67" w14:textId="77777777" w:rsidR="00387142" w:rsidRPr="008B6A75" w:rsidRDefault="00387142" w:rsidP="00387142">
            <w:pPr>
              <w:jc w:val="center"/>
              <w:rPr>
                <w:sz w:val="20"/>
                <w:szCs w:val="20"/>
              </w:rPr>
            </w:pPr>
            <w:r w:rsidRPr="008B6A75">
              <w:rPr>
                <w:sz w:val="20"/>
                <w:szCs w:val="20"/>
              </w:rPr>
              <w:t>11.0.00.70740</w:t>
            </w:r>
          </w:p>
        </w:tc>
        <w:tc>
          <w:tcPr>
            <w:tcW w:w="850" w:type="dxa"/>
            <w:tcBorders>
              <w:top w:val="nil"/>
              <w:left w:val="single" w:sz="4" w:space="0" w:color="auto"/>
              <w:bottom w:val="single" w:sz="4" w:space="0" w:color="auto"/>
              <w:right w:val="nil"/>
            </w:tcBorders>
            <w:shd w:val="clear" w:color="auto" w:fill="auto"/>
            <w:noWrap/>
            <w:vAlign w:val="center"/>
            <w:hideMark/>
          </w:tcPr>
          <w:p w14:paraId="07127DE0" w14:textId="77777777" w:rsidR="00387142" w:rsidRPr="008B6A75" w:rsidRDefault="00387142" w:rsidP="00387142">
            <w:pPr>
              <w:jc w:val="center"/>
              <w:rPr>
                <w:sz w:val="20"/>
                <w:szCs w:val="20"/>
              </w:rPr>
            </w:pPr>
            <w:r w:rsidRPr="008B6A75">
              <w:rPr>
                <w:sz w:val="20"/>
                <w:szCs w:val="20"/>
              </w:rPr>
              <w:t>500</w:t>
            </w:r>
          </w:p>
        </w:tc>
        <w:tc>
          <w:tcPr>
            <w:tcW w:w="567" w:type="dxa"/>
            <w:tcBorders>
              <w:top w:val="nil"/>
              <w:left w:val="single" w:sz="4" w:space="0" w:color="auto"/>
              <w:bottom w:val="single" w:sz="4" w:space="0" w:color="auto"/>
              <w:right w:val="nil"/>
            </w:tcBorders>
            <w:shd w:val="clear" w:color="auto" w:fill="auto"/>
            <w:noWrap/>
            <w:vAlign w:val="center"/>
            <w:hideMark/>
          </w:tcPr>
          <w:p w14:paraId="6B73ACCD" w14:textId="77777777" w:rsidR="00387142" w:rsidRPr="008B6A75" w:rsidRDefault="00387142" w:rsidP="00387142">
            <w:pPr>
              <w:jc w:val="center"/>
              <w:rPr>
                <w:sz w:val="20"/>
                <w:szCs w:val="20"/>
              </w:rPr>
            </w:pPr>
            <w:r w:rsidRPr="008B6A75">
              <w:rPr>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4FB917AD" w14:textId="77777777" w:rsidR="00387142" w:rsidRPr="008B6A75" w:rsidRDefault="00387142" w:rsidP="00387142">
            <w:pPr>
              <w:jc w:val="center"/>
              <w:rPr>
                <w:sz w:val="20"/>
                <w:szCs w:val="20"/>
              </w:rPr>
            </w:pPr>
            <w:r w:rsidRPr="008B6A75">
              <w:rPr>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ACE3492" w14:textId="77777777" w:rsidR="00387142" w:rsidRPr="008B6A75" w:rsidRDefault="00387142" w:rsidP="00387142">
            <w:pPr>
              <w:jc w:val="right"/>
              <w:rPr>
                <w:sz w:val="20"/>
                <w:szCs w:val="20"/>
              </w:rPr>
            </w:pPr>
            <w:r w:rsidRPr="008B6A75">
              <w:rPr>
                <w:sz w:val="20"/>
                <w:szCs w:val="20"/>
              </w:rPr>
              <w:t>3 500 000,00</w:t>
            </w:r>
          </w:p>
        </w:tc>
        <w:tc>
          <w:tcPr>
            <w:tcW w:w="851" w:type="dxa"/>
            <w:tcBorders>
              <w:top w:val="nil"/>
              <w:left w:val="single" w:sz="4" w:space="0" w:color="auto"/>
              <w:bottom w:val="single" w:sz="4" w:space="0" w:color="auto"/>
              <w:right w:val="nil"/>
            </w:tcBorders>
            <w:shd w:val="clear" w:color="auto" w:fill="auto"/>
            <w:noWrap/>
            <w:vAlign w:val="center"/>
            <w:hideMark/>
          </w:tcPr>
          <w:p w14:paraId="23C38E05" w14:textId="77777777" w:rsidR="00387142" w:rsidRPr="008B6A75" w:rsidRDefault="00387142" w:rsidP="00387142">
            <w:pPr>
              <w:jc w:val="right"/>
              <w:rPr>
                <w:sz w:val="20"/>
                <w:szCs w:val="20"/>
              </w:rPr>
            </w:pPr>
            <w:r w:rsidRPr="008B6A75">
              <w:rPr>
                <w:sz w:val="20"/>
                <w:szCs w:val="20"/>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202C2C83" w14:textId="77777777" w:rsidR="00387142" w:rsidRPr="008B6A75" w:rsidRDefault="00387142" w:rsidP="00387142">
            <w:pPr>
              <w:jc w:val="right"/>
              <w:rPr>
                <w:sz w:val="20"/>
                <w:szCs w:val="20"/>
              </w:rPr>
            </w:pPr>
            <w:r w:rsidRPr="008B6A75">
              <w:rPr>
                <w:sz w:val="20"/>
                <w:szCs w:val="20"/>
              </w:rPr>
              <w:t>0,00</w:t>
            </w:r>
          </w:p>
        </w:tc>
      </w:tr>
      <w:tr w:rsidR="00387142" w:rsidRPr="008B6A75" w14:paraId="17023128" w14:textId="77777777" w:rsidTr="00387142">
        <w:trPr>
          <w:trHeight w:val="300"/>
        </w:trPr>
        <w:tc>
          <w:tcPr>
            <w:tcW w:w="272" w:type="dxa"/>
            <w:tcBorders>
              <w:top w:val="nil"/>
              <w:left w:val="nil"/>
              <w:bottom w:val="nil"/>
              <w:right w:val="single" w:sz="4" w:space="0" w:color="auto"/>
            </w:tcBorders>
            <w:shd w:val="clear" w:color="auto" w:fill="auto"/>
            <w:noWrap/>
            <w:vAlign w:val="bottom"/>
            <w:hideMark/>
          </w:tcPr>
          <w:p w14:paraId="767FA05F"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1938415E" w14:textId="77777777" w:rsidR="00387142" w:rsidRPr="008B6A75" w:rsidRDefault="00387142" w:rsidP="00387142">
            <w:pPr>
              <w:rPr>
                <w:sz w:val="20"/>
                <w:szCs w:val="20"/>
              </w:rPr>
            </w:pPr>
            <w:r w:rsidRPr="008B6A75">
              <w:rPr>
                <w:sz w:val="20"/>
                <w:szCs w:val="20"/>
              </w:rPr>
              <w:t>Субсидии</w:t>
            </w:r>
          </w:p>
        </w:tc>
        <w:tc>
          <w:tcPr>
            <w:tcW w:w="1559" w:type="dxa"/>
            <w:tcBorders>
              <w:top w:val="nil"/>
              <w:left w:val="single" w:sz="4" w:space="0" w:color="auto"/>
              <w:bottom w:val="single" w:sz="4" w:space="0" w:color="auto"/>
              <w:right w:val="nil"/>
            </w:tcBorders>
            <w:shd w:val="clear" w:color="auto" w:fill="auto"/>
            <w:noWrap/>
            <w:vAlign w:val="center"/>
            <w:hideMark/>
          </w:tcPr>
          <w:p w14:paraId="1E307982" w14:textId="77777777" w:rsidR="00387142" w:rsidRPr="008B6A75" w:rsidRDefault="00387142" w:rsidP="00387142">
            <w:pPr>
              <w:jc w:val="center"/>
              <w:rPr>
                <w:sz w:val="20"/>
                <w:szCs w:val="20"/>
              </w:rPr>
            </w:pPr>
            <w:r w:rsidRPr="008B6A75">
              <w:rPr>
                <w:sz w:val="20"/>
                <w:szCs w:val="20"/>
              </w:rPr>
              <w:t>11.0.00.70740</w:t>
            </w:r>
          </w:p>
        </w:tc>
        <w:tc>
          <w:tcPr>
            <w:tcW w:w="850" w:type="dxa"/>
            <w:tcBorders>
              <w:top w:val="nil"/>
              <w:left w:val="single" w:sz="4" w:space="0" w:color="auto"/>
              <w:bottom w:val="single" w:sz="4" w:space="0" w:color="auto"/>
              <w:right w:val="nil"/>
            </w:tcBorders>
            <w:shd w:val="clear" w:color="auto" w:fill="auto"/>
            <w:noWrap/>
            <w:vAlign w:val="center"/>
            <w:hideMark/>
          </w:tcPr>
          <w:p w14:paraId="44B23935" w14:textId="77777777" w:rsidR="00387142" w:rsidRPr="008B6A75" w:rsidRDefault="00387142" w:rsidP="00387142">
            <w:pPr>
              <w:jc w:val="center"/>
              <w:rPr>
                <w:sz w:val="20"/>
                <w:szCs w:val="20"/>
              </w:rPr>
            </w:pPr>
            <w:r w:rsidRPr="008B6A75">
              <w:rPr>
                <w:sz w:val="20"/>
                <w:szCs w:val="20"/>
              </w:rPr>
              <w:t>520</w:t>
            </w:r>
          </w:p>
        </w:tc>
        <w:tc>
          <w:tcPr>
            <w:tcW w:w="567" w:type="dxa"/>
            <w:tcBorders>
              <w:top w:val="nil"/>
              <w:left w:val="single" w:sz="4" w:space="0" w:color="auto"/>
              <w:bottom w:val="single" w:sz="4" w:space="0" w:color="auto"/>
              <w:right w:val="nil"/>
            </w:tcBorders>
            <w:shd w:val="clear" w:color="auto" w:fill="auto"/>
            <w:noWrap/>
            <w:vAlign w:val="center"/>
            <w:hideMark/>
          </w:tcPr>
          <w:p w14:paraId="04497CF3" w14:textId="77777777" w:rsidR="00387142" w:rsidRPr="008B6A75" w:rsidRDefault="00387142" w:rsidP="00387142">
            <w:pPr>
              <w:jc w:val="center"/>
              <w:rPr>
                <w:sz w:val="20"/>
                <w:szCs w:val="20"/>
              </w:rPr>
            </w:pPr>
            <w:r w:rsidRPr="008B6A75">
              <w:rPr>
                <w:sz w:val="20"/>
                <w:szCs w:val="20"/>
              </w:rPr>
              <w:t>11</w:t>
            </w:r>
          </w:p>
        </w:tc>
        <w:tc>
          <w:tcPr>
            <w:tcW w:w="567" w:type="dxa"/>
            <w:tcBorders>
              <w:top w:val="nil"/>
              <w:left w:val="single" w:sz="4" w:space="0" w:color="auto"/>
              <w:bottom w:val="single" w:sz="4" w:space="0" w:color="auto"/>
              <w:right w:val="nil"/>
            </w:tcBorders>
            <w:shd w:val="clear" w:color="auto" w:fill="auto"/>
            <w:noWrap/>
            <w:vAlign w:val="center"/>
            <w:hideMark/>
          </w:tcPr>
          <w:p w14:paraId="124B2FD3" w14:textId="77777777" w:rsidR="00387142" w:rsidRPr="008B6A75" w:rsidRDefault="00387142" w:rsidP="00387142">
            <w:pPr>
              <w:jc w:val="center"/>
              <w:rPr>
                <w:sz w:val="20"/>
                <w:szCs w:val="20"/>
              </w:rPr>
            </w:pPr>
            <w:r w:rsidRPr="008B6A75">
              <w:rPr>
                <w:sz w:val="20"/>
                <w:szCs w:val="20"/>
              </w:rPr>
              <w:t>02</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976784F" w14:textId="77777777" w:rsidR="00387142" w:rsidRPr="008B6A75" w:rsidRDefault="00387142" w:rsidP="00387142">
            <w:pPr>
              <w:jc w:val="right"/>
              <w:rPr>
                <w:sz w:val="20"/>
                <w:szCs w:val="20"/>
              </w:rPr>
            </w:pPr>
            <w:r w:rsidRPr="008B6A75">
              <w:rPr>
                <w:sz w:val="20"/>
                <w:szCs w:val="20"/>
              </w:rPr>
              <w:t>3 500 000,00</w:t>
            </w:r>
          </w:p>
        </w:tc>
        <w:tc>
          <w:tcPr>
            <w:tcW w:w="851" w:type="dxa"/>
            <w:tcBorders>
              <w:top w:val="nil"/>
              <w:left w:val="single" w:sz="4" w:space="0" w:color="auto"/>
              <w:bottom w:val="single" w:sz="4" w:space="0" w:color="auto"/>
              <w:right w:val="nil"/>
            </w:tcBorders>
            <w:shd w:val="clear" w:color="auto" w:fill="auto"/>
            <w:noWrap/>
            <w:vAlign w:val="center"/>
            <w:hideMark/>
          </w:tcPr>
          <w:p w14:paraId="00F2538F" w14:textId="77777777" w:rsidR="00387142" w:rsidRPr="008B6A75" w:rsidRDefault="00387142" w:rsidP="00387142">
            <w:pPr>
              <w:jc w:val="right"/>
              <w:rPr>
                <w:sz w:val="20"/>
                <w:szCs w:val="20"/>
              </w:rPr>
            </w:pPr>
            <w:r w:rsidRPr="008B6A75">
              <w:rPr>
                <w:sz w:val="20"/>
                <w:szCs w:val="20"/>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6B7C34CB" w14:textId="77777777" w:rsidR="00387142" w:rsidRPr="008B6A75" w:rsidRDefault="00387142" w:rsidP="00387142">
            <w:pPr>
              <w:jc w:val="right"/>
              <w:rPr>
                <w:sz w:val="20"/>
                <w:szCs w:val="20"/>
              </w:rPr>
            </w:pPr>
            <w:r w:rsidRPr="008B6A75">
              <w:rPr>
                <w:sz w:val="20"/>
                <w:szCs w:val="20"/>
              </w:rPr>
              <w:t>0,00</w:t>
            </w:r>
          </w:p>
        </w:tc>
      </w:tr>
      <w:tr w:rsidR="00387142" w:rsidRPr="008B6A75" w14:paraId="18A6B4A0" w14:textId="77777777" w:rsidTr="00387142">
        <w:trPr>
          <w:trHeight w:val="1440"/>
        </w:trPr>
        <w:tc>
          <w:tcPr>
            <w:tcW w:w="272" w:type="dxa"/>
            <w:tcBorders>
              <w:top w:val="nil"/>
              <w:left w:val="nil"/>
              <w:bottom w:val="nil"/>
              <w:right w:val="single" w:sz="4" w:space="0" w:color="auto"/>
            </w:tcBorders>
            <w:shd w:val="clear" w:color="auto" w:fill="auto"/>
            <w:noWrap/>
            <w:vAlign w:val="bottom"/>
            <w:hideMark/>
          </w:tcPr>
          <w:p w14:paraId="4A248FA4"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77A764AF" w14:textId="77777777" w:rsidR="00387142" w:rsidRPr="008B6A75" w:rsidRDefault="00387142" w:rsidP="00387142">
            <w:pPr>
              <w:rPr>
                <w:bCs/>
                <w:sz w:val="20"/>
                <w:szCs w:val="20"/>
              </w:rPr>
            </w:pPr>
            <w:r w:rsidRPr="008B6A75">
              <w:rPr>
                <w:bCs/>
                <w:sz w:val="20"/>
                <w:szCs w:val="20"/>
              </w:rPr>
              <w:t>Реализация мероприятий по строительству спортивных объектов муниципальной собственности государственной программы Новосибирской области "Развитие физической культуры и спорта в Новосибирской области"</w:t>
            </w:r>
          </w:p>
        </w:tc>
        <w:tc>
          <w:tcPr>
            <w:tcW w:w="1559" w:type="dxa"/>
            <w:tcBorders>
              <w:top w:val="nil"/>
              <w:left w:val="single" w:sz="4" w:space="0" w:color="auto"/>
              <w:bottom w:val="single" w:sz="4" w:space="0" w:color="auto"/>
              <w:right w:val="nil"/>
            </w:tcBorders>
            <w:shd w:val="clear" w:color="auto" w:fill="auto"/>
            <w:noWrap/>
            <w:vAlign w:val="center"/>
            <w:hideMark/>
          </w:tcPr>
          <w:p w14:paraId="6BCE932B" w14:textId="77777777" w:rsidR="00387142" w:rsidRPr="008B6A75" w:rsidRDefault="00387142" w:rsidP="00387142">
            <w:pPr>
              <w:jc w:val="center"/>
              <w:rPr>
                <w:bCs/>
                <w:sz w:val="20"/>
                <w:szCs w:val="20"/>
              </w:rPr>
            </w:pPr>
            <w:r w:rsidRPr="008B6A75">
              <w:rPr>
                <w:bCs/>
                <w:sz w:val="20"/>
                <w:szCs w:val="20"/>
              </w:rPr>
              <w:t>11.0.00.70750</w:t>
            </w:r>
          </w:p>
        </w:tc>
        <w:tc>
          <w:tcPr>
            <w:tcW w:w="850" w:type="dxa"/>
            <w:tcBorders>
              <w:top w:val="nil"/>
              <w:left w:val="single" w:sz="4" w:space="0" w:color="auto"/>
              <w:bottom w:val="single" w:sz="4" w:space="0" w:color="auto"/>
              <w:right w:val="nil"/>
            </w:tcBorders>
            <w:shd w:val="clear" w:color="auto" w:fill="auto"/>
            <w:noWrap/>
            <w:vAlign w:val="center"/>
            <w:hideMark/>
          </w:tcPr>
          <w:p w14:paraId="6EF0D3BA" w14:textId="77777777" w:rsidR="00387142" w:rsidRPr="008B6A75" w:rsidRDefault="00387142" w:rsidP="00387142">
            <w:pPr>
              <w:jc w:val="center"/>
              <w:rPr>
                <w:bCs/>
                <w:sz w:val="20"/>
                <w:szCs w:val="20"/>
              </w:rPr>
            </w:pPr>
            <w:r w:rsidRPr="008B6A75">
              <w:rPr>
                <w:bCs/>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27F77132" w14:textId="77777777" w:rsidR="00387142" w:rsidRPr="008B6A75" w:rsidRDefault="00387142" w:rsidP="00387142">
            <w:pPr>
              <w:jc w:val="center"/>
              <w:rPr>
                <w:bCs/>
                <w:sz w:val="20"/>
                <w:szCs w:val="20"/>
              </w:rPr>
            </w:pPr>
            <w:r w:rsidRPr="008B6A75">
              <w:rPr>
                <w:bCs/>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5ABE50EC" w14:textId="77777777" w:rsidR="00387142" w:rsidRPr="008B6A75" w:rsidRDefault="00387142" w:rsidP="00387142">
            <w:pPr>
              <w:jc w:val="center"/>
              <w:rPr>
                <w:bCs/>
                <w:sz w:val="20"/>
                <w:szCs w:val="20"/>
              </w:rPr>
            </w:pPr>
            <w:r w:rsidRPr="008B6A75">
              <w:rPr>
                <w:bCs/>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2334BB2" w14:textId="77777777" w:rsidR="00387142" w:rsidRPr="008B6A75" w:rsidRDefault="00387142" w:rsidP="00387142">
            <w:pPr>
              <w:jc w:val="right"/>
              <w:rPr>
                <w:bCs/>
                <w:sz w:val="20"/>
                <w:szCs w:val="20"/>
              </w:rPr>
            </w:pPr>
            <w:r w:rsidRPr="008B6A75">
              <w:rPr>
                <w:bCs/>
                <w:sz w:val="20"/>
                <w:szCs w:val="20"/>
              </w:rPr>
              <w:t>50 599 900,00</w:t>
            </w:r>
          </w:p>
        </w:tc>
        <w:tc>
          <w:tcPr>
            <w:tcW w:w="851" w:type="dxa"/>
            <w:tcBorders>
              <w:top w:val="nil"/>
              <w:left w:val="single" w:sz="4" w:space="0" w:color="auto"/>
              <w:bottom w:val="single" w:sz="4" w:space="0" w:color="auto"/>
              <w:right w:val="nil"/>
            </w:tcBorders>
            <w:shd w:val="clear" w:color="auto" w:fill="auto"/>
            <w:noWrap/>
            <w:vAlign w:val="center"/>
            <w:hideMark/>
          </w:tcPr>
          <w:p w14:paraId="14EBBCF7" w14:textId="77777777" w:rsidR="00387142" w:rsidRPr="008B6A75" w:rsidRDefault="00387142" w:rsidP="00387142">
            <w:pPr>
              <w:jc w:val="right"/>
              <w:rPr>
                <w:bCs/>
                <w:sz w:val="20"/>
                <w:szCs w:val="20"/>
              </w:rPr>
            </w:pPr>
            <w:r w:rsidRPr="008B6A75">
              <w:rPr>
                <w:bCs/>
                <w:sz w:val="20"/>
                <w:szCs w:val="20"/>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32BD0648" w14:textId="77777777" w:rsidR="00387142" w:rsidRPr="008B6A75" w:rsidRDefault="00387142" w:rsidP="00387142">
            <w:pPr>
              <w:jc w:val="right"/>
              <w:rPr>
                <w:bCs/>
                <w:sz w:val="20"/>
                <w:szCs w:val="20"/>
              </w:rPr>
            </w:pPr>
            <w:r w:rsidRPr="008B6A75">
              <w:rPr>
                <w:bCs/>
                <w:sz w:val="20"/>
                <w:szCs w:val="20"/>
              </w:rPr>
              <w:t>0,00</w:t>
            </w:r>
          </w:p>
        </w:tc>
      </w:tr>
      <w:tr w:rsidR="00387142" w:rsidRPr="008B6A75" w14:paraId="442C2F05" w14:textId="77777777" w:rsidTr="00387142">
        <w:trPr>
          <w:trHeight w:val="300"/>
        </w:trPr>
        <w:tc>
          <w:tcPr>
            <w:tcW w:w="272" w:type="dxa"/>
            <w:tcBorders>
              <w:top w:val="nil"/>
              <w:left w:val="nil"/>
              <w:bottom w:val="nil"/>
              <w:right w:val="single" w:sz="4" w:space="0" w:color="auto"/>
            </w:tcBorders>
            <w:shd w:val="clear" w:color="auto" w:fill="auto"/>
            <w:noWrap/>
            <w:vAlign w:val="bottom"/>
            <w:hideMark/>
          </w:tcPr>
          <w:p w14:paraId="4E6C2801"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26478BF3" w14:textId="77777777" w:rsidR="00387142" w:rsidRPr="008B6A75" w:rsidRDefault="00387142" w:rsidP="00387142">
            <w:pPr>
              <w:rPr>
                <w:sz w:val="20"/>
                <w:szCs w:val="20"/>
              </w:rPr>
            </w:pPr>
            <w:r w:rsidRPr="008B6A75">
              <w:rPr>
                <w:sz w:val="20"/>
                <w:szCs w:val="20"/>
              </w:rPr>
              <w:t>Межбюджетные трансферты</w:t>
            </w:r>
          </w:p>
        </w:tc>
        <w:tc>
          <w:tcPr>
            <w:tcW w:w="1559" w:type="dxa"/>
            <w:tcBorders>
              <w:top w:val="nil"/>
              <w:left w:val="single" w:sz="4" w:space="0" w:color="auto"/>
              <w:bottom w:val="single" w:sz="4" w:space="0" w:color="auto"/>
              <w:right w:val="nil"/>
            </w:tcBorders>
            <w:shd w:val="clear" w:color="auto" w:fill="auto"/>
            <w:noWrap/>
            <w:vAlign w:val="center"/>
            <w:hideMark/>
          </w:tcPr>
          <w:p w14:paraId="21D0BE19" w14:textId="77777777" w:rsidR="00387142" w:rsidRPr="008B6A75" w:rsidRDefault="00387142" w:rsidP="00387142">
            <w:pPr>
              <w:jc w:val="center"/>
              <w:rPr>
                <w:sz w:val="20"/>
                <w:szCs w:val="20"/>
              </w:rPr>
            </w:pPr>
            <w:r w:rsidRPr="008B6A75">
              <w:rPr>
                <w:sz w:val="20"/>
                <w:szCs w:val="20"/>
              </w:rPr>
              <w:t>11.0.00.70750</w:t>
            </w:r>
          </w:p>
        </w:tc>
        <w:tc>
          <w:tcPr>
            <w:tcW w:w="850" w:type="dxa"/>
            <w:tcBorders>
              <w:top w:val="nil"/>
              <w:left w:val="single" w:sz="4" w:space="0" w:color="auto"/>
              <w:bottom w:val="single" w:sz="4" w:space="0" w:color="auto"/>
              <w:right w:val="nil"/>
            </w:tcBorders>
            <w:shd w:val="clear" w:color="auto" w:fill="auto"/>
            <w:noWrap/>
            <w:vAlign w:val="center"/>
            <w:hideMark/>
          </w:tcPr>
          <w:p w14:paraId="6019903C" w14:textId="77777777" w:rsidR="00387142" w:rsidRPr="008B6A75" w:rsidRDefault="00387142" w:rsidP="00387142">
            <w:pPr>
              <w:jc w:val="center"/>
              <w:rPr>
                <w:sz w:val="20"/>
                <w:szCs w:val="20"/>
              </w:rPr>
            </w:pPr>
            <w:r w:rsidRPr="008B6A75">
              <w:rPr>
                <w:sz w:val="20"/>
                <w:szCs w:val="20"/>
              </w:rPr>
              <w:t>500</w:t>
            </w:r>
          </w:p>
        </w:tc>
        <w:tc>
          <w:tcPr>
            <w:tcW w:w="567" w:type="dxa"/>
            <w:tcBorders>
              <w:top w:val="nil"/>
              <w:left w:val="single" w:sz="4" w:space="0" w:color="auto"/>
              <w:bottom w:val="single" w:sz="4" w:space="0" w:color="auto"/>
              <w:right w:val="nil"/>
            </w:tcBorders>
            <w:shd w:val="clear" w:color="auto" w:fill="auto"/>
            <w:noWrap/>
            <w:vAlign w:val="center"/>
            <w:hideMark/>
          </w:tcPr>
          <w:p w14:paraId="4FBF2EC1" w14:textId="77777777" w:rsidR="00387142" w:rsidRPr="008B6A75" w:rsidRDefault="00387142" w:rsidP="00387142">
            <w:pPr>
              <w:jc w:val="center"/>
              <w:rPr>
                <w:sz w:val="20"/>
                <w:szCs w:val="20"/>
              </w:rPr>
            </w:pPr>
            <w:r w:rsidRPr="008B6A75">
              <w:rPr>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74717D99" w14:textId="77777777" w:rsidR="00387142" w:rsidRPr="008B6A75" w:rsidRDefault="00387142" w:rsidP="00387142">
            <w:pPr>
              <w:jc w:val="center"/>
              <w:rPr>
                <w:sz w:val="20"/>
                <w:szCs w:val="20"/>
              </w:rPr>
            </w:pPr>
            <w:r w:rsidRPr="008B6A75">
              <w:rPr>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0EC4E78" w14:textId="77777777" w:rsidR="00387142" w:rsidRPr="008B6A75" w:rsidRDefault="00387142" w:rsidP="00387142">
            <w:pPr>
              <w:jc w:val="right"/>
              <w:rPr>
                <w:sz w:val="20"/>
                <w:szCs w:val="20"/>
              </w:rPr>
            </w:pPr>
            <w:r w:rsidRPr="008B6A75">
              <w:rPr>
                <w:sz w:val="20"/>
                <w:szCs w:val="20"/>
              </w:rPr>
              <w:t>50 599 900,00</w:t>
            </w:r>
          </w:p>
        </w:tc>
        <w:tc>
          <w:tcPr>
            <w:tcW w:w="851" w:type="dxa"/>
            <w:tcBorders>
              <w:top w:val="nil"/>
              <w:left w:val="single" w:sz="4" w:space="0" w:color="auto"/>
              <w:bottom w:val="single" w:sz="4" w:space="0" w:color="auto"/>
              <w:right w:val="nil"/>
            </w:tcBorders>
            <w:shd w:val="clear" w:color="auto" w:fill="auto"/>
            <w:noWrap/>
            <w:vAlign w:val="center"/>
            <w:hideMark/>
          </w:tcPr>
          <w:p w14:paraId="448B1D0C" w14:textId="77777777" w:rsidR="00387142" w:rsidRPr="008B6A75" w:rsidRDefault="00387142" w:rsidP="00387142">
            <w:pPr>
              <w:jc w:val="right"/>
              <w:rPr>
                <w:sz w:val="20"/>
                <w:szCs w:val="20"/>
              </w:rPr>
            </w:pPr>
            <w:r w:rsidRPr="008B6A75">
              <w:rPr>
                <w:sz w:val="20"/>
                <w:szCs w:val="20"/>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27E62BD4" w14:textId="77777777" w:rsidR="00387142" w:rsidRPr="008B6A75" w:rsidRDefault="00387142" w:rsidP="00387142">
            <w:pPr>
              <w:jc w:val="right"/>
              <w:rPr>
                <w:sz w:val="20"/>
                <w:szCs w:val="20"/>
              </w:rPr>
            </w:pPr>
            <w:r w:rsidRPr="008B6A75">
              <w:rPr>
                <w:sz w:val="20"/>
                <w:szCs w:val="20"/>
              </w:rPr>
              <w:t>0,00</w:t>
            </w:r>
          </w:p>
        </w:tc>
      </w:tr>
      <w:tr w:rsidR="00387142" w:rsidRPr="008B6A75" w14:paraId="22ACE62F" w14:textId="77777777" w:rsidTr="00387142">
        <w:trPr>
          <w:trHeight w:val="300"/>
        </w:trPr>
        <w:tc>
          <w:tcPr>
            <w:tcW w:w="272" w:type="dxa"/>
            <w:tcBorders>
              <w:top w:val="nil"/>
              <w:left w:val="nil"/>
              <w:bottom w:val="nil"/>
              <w:right w:val="single" w:sz="4" w:space="0" w:color="auto"/>
            </w:tcBorders>
            <w:shd w:val="clear" w:color="auto" w:fill="auto"/>
            <w:noWrap/>
            <w:vAlign w:val="bottom"/>
            <w:hideMark/>
          </w:tcPr>
          <w:p w14:paraId="6E14A5D6"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292AE679" w14:textId="77777777" w:rsidR="00387142" w:rsidRPr="008B6A75" w:rsidRDefault="00387142" w:rsidP="00387142">
            <w:pPr>
              <w:rPr>
                <w:sz w:val="20"/>
                <w:szCs w:val="20"/>
              </w:rPr>
            </w:pPr>
            <w:r w:rsidRPr="008B6A75">
              <w:rPr>
                <w:sz w:val="20"/>
                <w:szCs w:val="20"/>
              </w:rPr>
              <w:t>Субсидии</w:t>
            </w:r>
          </w:p>
        </w:tc>
        <w:tc>
          <w:tcPr>
            <w:tcW w:w="1559" w:type="dxa"/>
            <w:tcBorders>
              <w:top w:val="nil"/>
              <w:left w:val="single" w:sz="4" w:space="0" w:color="auto"/>
              <w:bottom w:val="single" w:sz="4" w:space="0" w:color="auto"/>
              <w:right w:val="nil"/>
            </w:tcBorders>
            <w:shd w:val="clear" w:color="auto" w:fill="auto"/>
            <w:noWrap/>
            <w:vAlign w:val="center"/>
            <w:hideMark/>
          </w:tcPr>
          <w:p w14:paraId="6DD880CD" w14:textId="77777777" w:rsidR="00387142" w:rsidRPr="008B6A75" w:rsidRDefault="00387142" w:rsidP="00387142">
            <w:pPr>
              <w:jc w:val="center"/>
              <w:rPr>
                <w:sz w:val="20"/>
                <w:szCs w:val="20"/>
              </w:rPr>
            </w:pPr>
            <w:r w:rsidRPr="008B6A75">
              <w:rPr>
                <w:sz w:val="20"/>
                <w:szCs w:val="20"/>
              </w:rPr>
              <w:t>11.0.00.70750</w:t>
            </w:r>
          </w:p>
        </w:tc>
        <w:tc>
          <w:tcPr>
            <w:tcW w:w="850" w:type="dxa"/>
            <w:tcBorders>
              <w:top w:val="nil"/>
              <w:left w:val="single" w:sz="4" w:space="0" w:color="auto"/>
              <w:bottom w:val="single" w:sz="4" w:space="0" w:color="auto"/>
              <w:right w:val="nil"/>
            </w:tcBorders>
            <w:shd w:val="clear" w:color="auto" w:fill="auto"/>
            <w:noWrap/>
            <w:vAlign w:val="center"/>
            <w:hideMark/>
          </w:tcPr>
          <w:p w14:paraId="25D2384D" w14:textId="77777777" w:rsidR="00387142" w:rsidRPr="008B6A75" w:rsidRDefault="00387142" w:rsidP="00387142">
            <w:pPr>
              <w:jc w:val="center"/>
              <w:rPr>
                <w:sz w:val="20"/>
                <w:szCs w:val="20"/>
              </w:rPr>
            </w:pPr>
            <w:r w:rsidRPr="008B6A75">
              <w:rPr>
                <w:sz w:val="20"/>
                <w:szCs w:val="20"/>
              </w:rPr>
              <w:t>520</w:t>
            </w:r>
          </w:p>
        </w:tc>
        <w:tc>
          <w:tcPr>
            <w:tcW w:w="567" w:type="dxa"/>
            <w:tcBorders>
              <w:top w:val="nil"/>
              <w:left w:val="single" w:sz="4" w:space="0" w:color="auto"/>
              <w:bottom w:val="single" w:sz="4" w:space="0" w:color="auto"/>
              <w:right w:val="nil"/>
            </w:tcBorders>
            <w:shd w:val="clear" w:color="auto" w:fill="auto"/>
            <w:noWrap/>
            <w:vAlign w:val="center"/>
            <w:hideMark/>
          </w:tcPr>
          <w:p w14:paraId="0CC6B752" w14:textId="77777777" w:rsidR="00387142" w:rsidRPr="008B6A75" w:rsidRDefault="00387142" w:rsidP="00387142">
            <w:pPr>
              <w:jc w:val="center"/>
              <w:rPr>
                <w:sz w:val="20"/>
                <w:szCs w:val="20"/>
              </w:rPr>
            </w:pPr>
            <w:r w:rsidRPr="008B6A75">
              <w:rPr>
                <w:sz w:val="20"/>
                <w:szCs w:val="20"/>
              </w:rPr>
              <w:t>11</w:t>
            </w:r>
          </w:p>
        </w:tc>
        <w:tc>
          <w:tcPr>
            <w:tcW w:w="567" w:type="dxa"/>
            <w:tcBorders>
              <w:top w:val="nil"/>
              <w:left w:val="single" w:sz="4" w:space="0" w:color="auto"/>
              <w:bottom w:val="single" w:sz="4" w:space="0" w:color="auto"/>
              <w:right w:val="nil"/>
            </w:tcBorders>
            <w:shd w:val="clear" w:color="auto" w:fill="auto"/>
            <w:noWrap/>
            <w:vAlign w:val="center"/>
            <w:hideMark/>
          </w:tcPr>
          <w:p w14:paraId="3E7373FF" w14:textId="77777777" w:rsidR="00387142" w:rsidRPr="008B6A75" w:rsidRDefault="00387142" w:rsidP="00387142">
            <w:pPr>
              <w:jc w:val="center"/>
              <w:rPr>
                <w:sz w:val="20"/>
                <w:szCs w:val="20"/>
              </w:rPr>
            </w:pPr>
            <w:r w:rsidRPr="008B6A75">
              <w:rPr>
                <w:sz w:val="20"/>
                <w:szCs w:val="20"/>
              </w:rPr>
              <w:t>02</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E35C1BE" w14:textId="77777777" w:rsidR="00387142" w:rsidRPr="008B6A75" w:rsidRDefault="00387142" w:rsidP="00387142">
            <w:pPr>
              <w:jc w:val="right"/>
              <w:rPr>
                <w:sz w:val="20"/>
                <w:szCs w:val="20"/>
              </w:rPr>
            </w:pPr>
            <w:r w:rsidRPr="008B6A75">
              <w:rPr>
                <w:sz w:val="20"/>
                <w:szCs w:val="20"/>
              </w:rPr>
              <w:t>50 599 900,00</w:t>
            </w:r>
          </w:p>
        </w:tc>
        <w:tc>
          <w:tcPr>
            <w:tcW w:w="851" w:type="dxa"/>
            <w:tcBorders>
              <w:top w:val="nil"/>
              <w:left w:val="single" w:sz="4" w:space="0" w:color="auto"/>
              <w:bottom w:val="single" w:sz="4" w:space="0" w:color="auto"/>
              <w:right w:val="nil"/>
            </w:tcBorders>
            <w:shd w:val="clear" w:color="auto" w:fill="auto"/>
            <w:noWrap/>
            <w:vAlign w:val="center"/>
            <w:hideMark/>
          </w:tcPr>
          <w:p w14:paraId="1F569A80" w14:textId="77777777" w:rsidR="00387142" w:rsidRPr="008B6A75" w:rsidRDefault="00387142" w:rsidP="00387142">
            <w:pPr>
              <w:jc w:val="right"/>
              <w:rPr>
                <w:sz w:val="20"/>
                <w:szCs w:val="20"/>
              </w:rPr>
            </w:pPr>
            <w:r w:rsidRPr="008B6A75">
              <w:rPr>
                <w:sz w:val="20"/>
                <w:szCs w:val="20"/>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5871D95F" w14:textId="77777777" w:rsidR="00387142" w:rsidRPr="008B6A75" w:rsidRDefault="00387142" w:rsidP="00387142">
            <w:pPr>
              <w:jc w:val="right"/>
              <w:rPr>
                <w:sz w:val="20"/>
                <w:szCs w:val="20"/>
              </w:rPr>
            </w:pPr>
            <w:r w:rsidRPr="008B6A75">
              <w:rPr>
                <w:sz w:val="20"/>
                <w:szCs w:val="20"/>
              </w:rPr>
              <w:t>0,00</w:t>
            </w:r>
          </w:p>
        </w:tc>
      </w:tr>
      <w:tr w:rsidR="00387142" w:rsidRPr="008B6A75" w14:paraId="4C5BC924" w14:textId="77777777" w:rsidTr="00387142">
        <w:trPr>
          <w:trHeight w:val="2010"/>
        </w:trPr>
        <w:tc>
          <w:tcPr>
            <w:tcW w:w="272" w:type="dxa"/>
            <w:tcBorders>
              <w:top w:val="nil"/>
              <w:left w:val="nil"/>
              <w:bottom w:val="nil"/>
              <w:right w:val="single" w:sz="4" w:space="0" w:color="auto"/>
            </w:tcBorders>
            <w:shd w:val="clear" w:color="auto" w:fill="auto"/>
            <w:noWrap/>
            <w:vAlign w:val="bottom"/>
            <w:hideMark/>
          </w:tcPr>
          <w:p w14:paraId="5E07564A"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5A863E15" w14:textId="77777777" w:rsidR="00387142" w:rsidRPr="008B6A75" w:rsidRDefault="00387142" w:rsidP="00387142">
            <w:pPr>
              <w:rPr>
                <w:bCs/>
                <w:sz w:val="20"/>
                <w:szCs w:val="20"/>
              </w:rPr>
            </w:pPr>
            <w:r w:rsidRPr="008B6A75">
              <w:rPr>
                <w:bCs/>
                <w:sz w:val="20"/>
                <w:szCs w:val="20"/>
              </w:rPr>
              <w:t>Реализация мероприятий по созданию в общеобразовательных организациях, расположенных в сельской местности, условий для занятий физической культурой и спортом государственной программы Новосибирской области "Развитие физической культуры и спорта в Новосибирской области"</w:t>
            </w:r>
          </w:p>
        </w:tc>
        <w:tc>
          <w:tcPr>
            <w:tcW w:w="1559" w:type="dxa"/>
            <w:tcBorders>
              <w:top w:val="nil"/>
              <w:left w:val="single" w:sz="4" w:space="0" w:color="auto"/>
              <w:bottom w:val="single" w:sz="4" w:space="0" w:color="auto"/>
              <w:right w:val="nil"/>
            </w:tcBorders>
            <w:shd w:val="clear" w:color="auto" w:fill="auto"/>
            <w:noWrap/>
            <w:vAlign w:val="center"/>
            <w:hideMark/>
          </w:tcPr>
          <w:p w14:paraId="6B08865D" w14:textId="77777777" w:rsidR="00387142" w:rsidRPr="008B6A75" w:rsidRDefault="00387142" w:rsidP="00387142">
            <w:pPr>
              <w:jc w:val="center"/>
              <w:rPr>
                <w:bCs/>
                <w:sz w:val="20"/>
                <w:szCs w:val="20"/>
              </w:rPr>
            </w:pPr>
            <w:r w:rsidRPr="008B6A75">
              <w:rPr>
                <w:bCs/>
                <w:sz w:val="20"/>
                <w:szCs w:val="20"/>
              </w:rPr>
              <w:t>11.0.E2.00000</w:t>
            </w:r>
          </w:p>
        </w:tc>
        <w:tc>
          <w:tcPr>
            <w:tcW w:w="850" w:type="dxa"/>
            <w:tcBorders>
              <w:top w:val="nil"/>
              <w:left w:val="single" w:sz="4" w:space="0" w:color="auto"/>
              <w:bottom w:val="single" w:sz="4" w:space="0" w:color="auto"/>
              <w:right w:val="nil"/>
            </w:tcBorders>
            <w:shd w:val="clear" w:color="auto" w:fill="auto"/>
            <w:noWrap/>
            <w:vAlign w:val="center"/>
            <w:hideMark/>
          </w:tcPr>
          <w:p w14:paraId="41179CB7" w14:textId="77777777" w:rsidR="00387142" w:rsidRPr="008B6A75" w:rsidRDefault="00387142" w:rsidP="00387142">
            <w:pPr>
              <w:jc w:val="center"/>
              <w:rPr>
                <w:bCs/>
                <w:sz w:val="20"/>
                <w:szCs w:val="20"/>
              </w:rPr>
            </w:pPr>
            <w:r w:rsidRPr="008B6A75">
              <w:rPr>
                <w:bCs/>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41E3E6EE" w14:textId="77777777" w:rsidR="00387142" w:rsidRPr="008B6A75" w:rsidRDefault="00387142" w:rsidP="00387142">
            <w:pPr>
              <w:jc w:val="center"/>
              <w:rPr>
                <w:bCs/>
                <w:sz w:val="20"/>
                <w:szCs w:val="20"/>
              </w:rPr>
            </w:pPr>
            <w:r w:rsidRPr="008B6A75">
              <w:rPr>
                <w:bCs/>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5F1F191E" w14:textId="77777777" w:rsidR="00387142" w:rsidRPr="008B6A75" w:rsidRDefault="00387142" w:rsidP="00387142">
            <w:pPr>
              <w:jc w:val="center"/>
              <w:rPr>
                <w:bCs/>
                <w:sz w:val="20"/>
                <w:szCs w:val="20"/>
              </w:rPr>
            </w:pPr>
            <w:r w:rsidRPr="008B6A75">
              <w:rPr>
                <w:bCs/>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71379E0" w14:textId="77777777" w:rsidR="00387142" w:rsidRPr="008B6A75" w:rsidRDefault="00387142" w:rsidP="00387142">
            <w:pPr>
              <w:jc w:val="right"/>
              <w:rPr>
                <w:bCs/>
                <w:sz w:val="20"/>
                <w:szCs w:val="20"/>
              </w:rPr>
            </w:pPr>
            <w:r w:rsidRPr="008B6A75">
              <w:rPr>
                <w:bCs/>
                <w:sz w:val="20"/>
                <w:szCs w:val="20"/>
              </w:rPr>
              <w:t>0,00</w:t>
            </w:r>
          </w:p>
        </w:tc>
        <w:tc>
          <w:tcPr>
            <w:tcW w:w="851" w:type="dxa"/>
            <w:tcBorders>
              <w:top w:val="nil"/>
              <w:left w:val="single" w:sz="4" w:space="0" w:color="auto"/>
              <w:bottom w:val="single" w:sz="4" w:space="0" w:color="auto"/>
              <w:right w:val="nil"/>
            </w:tcBorders>
            <w:shd w:val="clear" w:color="auto" w:fill="auto"/>
            <w:noWrap/>
            <w:vAlign w:val="center"/>
            <w:hideMark/>
          </w:tcPr>
          <w:p w14:paraId="51376861" w14:textId="77777777" w:rsidR="00387142" w:rsidRPr="008B6A75" w:rsidRDefault="00387142" w:rsidP="00387142">
            <w:pPr>
              <w:jc w:val="right"/>
              <w:rPr>
                <w:bCs/>
                <w:sz w:val="20"/>
                <w:szCs w:val="20"/>
              </w:rPr>
            </w:pPr>
            <w:r w:rsidRPr="008B6A75">
              <w:rPr>
                <w:bCs/>
                <w:sz w:val="20"/>
                <w:szCs w:val="20"/>
              </w:rPr>
              <w:t>1 728 500,00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55AC418E" w14:textId="77777777" w:rsidR="00387142" w:rsidRPr="008B6A75" w:rsidRDefault="00387142" w:rsidP="00387142">
            <w:pPr>
              <w:jc w:val="right"/>
              <w:rPr>
                <w:bCs/>
                <w:sz w:val="20"/>
                <w:szCs w:val="20"/>
              </w:rPr>
            </w:pPr>
            <w:r w:rsidRPr="008B6A75">
              <w:rPr>
                <w:bCs/>
                <w:sz w:val="20"/>
                <w:szCs w:val="20"/>
              </w:rPr>
              <w:t>0,00</w:t>
            </w:r>
          </w:p>
        </w:tc>
      </w:tr>
      <w:tr w:rsidR="00387142" w:rsidRPr="008B6A75" w14:paraId="256C946C" w14:textId="77777777" w:rsidTr="00387142">
        <w:trPr>
          <w:trHeight w:val="2010"/>
        </w:trPr>
        <w:tc>
          <w:tcPr>
            <w:tcW w:w="272" w:type="dxa"/>
            <w:tcBorders>
              <w:top w:val="nil"/>
              <w:left w:val="nil"/>
              <w:bottom w:val="nil"/>
              <w:right w:val="single" w:sz="4" w:space="0" w:color="auto"/>
            </w:tcBorders>
            <w:shd w:val="clear" w:color="auto" w:fill="auto"/>
            <w:noWrap/>
            <w:vAlign w:val="bottom"/>
            <w:hideMark/>
          </w:tcPr>
          <w:p w14:paraId="78403AC6"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531BAFD2" w14:textId="77777777" w:rsidR="00387142" w:rsidRPr="008B6A75" w:rsidRDefault="00387142" w:rsidP="00387142">
            <w:pPr>
              <w:rPr>
                <w:bCs/>
                <w:sz w:val="20"/>
                <w:szCs w:val="20"/>
              </w:rPr>
            </w:pPr>
            <w:r w:rsidRPr="008B6A75">
              <w:rPr>
                <w:bCs/>
                <w:sz w:val="20"/>
                <w:szCs w:val="20"/>
              </w:rPr>
              <w:t>Реализация мероприятий по созданию в общеобразовательных организациях, расположенных в сельской местности, условий для занятий физической культурой и спортом государственной программы Новосибирской области "Развитие физической культуры и спорта в Новосибирской области"</w:t>
            </w:r>
          </w:p>
        </w:tc>
        <w:tc>
          <w:tcPr>
            <w:tcW w:w="1559" w:type="dxa"/>
            <w:tcBorders>
              <w:top w:val="nil"/>
              <w:left w:val="single" w:sz="4" w:space="0" w:color="auto"/>
              <w:bottom w:val="single" w:sz="4" w:space="0" w:color="auto"/>
              <w:right w:val="nil"/>
            </w:tcBorders>
            <w:shd w:val="clear" w:color="auto" w:fill="auto"/>
            <w:noWrap/>
            <w:vAlign w:val="center"/>
            <w:hideMark/>
          </w:tcPr>
          <w:p w14:paraId="6834E8B9" w14:textId="77777777" w:rsidR="00387142" w:rsidRPr="008B6A75" w:rsidRDefault="00387142" w:rsidP="00387142">
            <w:pPr>
              <w:jc w:val="center"/>
              <w:rPr>
                <w:bCs/>
                <w:sz w:val="20"/>
                <w:szCs w:val="20"/>
              </w:rPr>
            </w:pPr>
            <w:r w:rsidRPr="008B6A75">
              <w:rPr>
                <w:bCs/>
                <w:sz w:val="20"/>
                <w:szCs w:val="20"/>
              </w:rPr>
              <w:t>11.0.E2.50970</w:t>
            </w:r>
          </w:p>
        </w:tc>
        <w:tc>
          <w:tcPr>
            <w:tcW w:w="850" w:type="dxa"/>
            <w:tcBorders>
              <w:top w:val="nil"/>
              <w:left w:val="single" w:sz="4" w:space="0" w:color="auto"/>
              <w:bottom w:val="single" w:sz="4" w:space="0" w:color="auto"/>
              <w:right w:val="nil"/>
            </w:tcBorders>
            <w:shd w:val="clear" w:color="auto" w:fill="auto"/>
            <w:noWrap/>
            <w:vAlign w:val="center"/>
            <w:hideMark/>
          </w:tcPr>
          <w:p w14:paraId="50D0EE74" w14:textId="77777777" w:rsidR="00387142" w:rsidRPr="008B6A75" w:rsidRDefault="00387142" w:rsidP="00387142">
            <w:pPr>
              <w:jc w:val="center"/>
              <w:rPr>
                <w:bCs/>
                <w:sz w:val="20"/>
                <w:szCs w:val="20"/>
              </w:rPr>
            </w:pPr>
            <w:r w:rsidRPr="008B6A75">
              <w:rPr>
                <w:bCs/>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7A58AB88" w14:textId="77777777" w:rsidR="00387142" w:rsidRPr="008B6A75" w:rsidRDefault="00387142" w:rsidP="00387142">
            <w:pPr>
              <w:jc w:val="center"/>
              <w:rPr>
                <w:bCs/>
                <w:sz w:val="20"/>
                <w:szCs w:val="20"/>
              </w:rPr>
            </w:pPr>
            <w:r w:rsidRPr="008B6A75">
              <w:rPr>
                <w:bCs/>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36B986FA" w14:textId="77777777" w:rsidR="00387142" w:rsidRPr="008B6A75" w:rsidRDefault="00387142" w:rsidP="00387142">
            <w:pPr>
              <w:jc w:val="center"/>
              <w:rPr>
                <w:bCs/>
                <w:sz w:val="20"/>
                <w:szCs w:val="20"/>
              </w:rPr>
            </w:pPr>
            <w:r w:rsidRPr="008B6A75">
              <w:rPr>
                <w:bCs/>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67C075B" w14:textId="77777777" w:rsidR="00387142" w:rsidRPr="008B6A75" w:rsidRDefault="00387142" w:rsidP="00387142">
            <w:pPr>
              <w:jc w:val="right"/>
              <w:rPr>
                <w:bCs/>
                <w:sz w:val="20"/>
                <w:szCs w:val="20"/>
              </w:rPr>
            </w:pPr>
            <w:r w:rsidRPr="008B6A75">
              <w:rPr>
                <w:bCs/>
                <w:sz w:val="20"/>
                <w:szCs w:val="20"/>
              </w:rPr>
              <w:t>0,00</w:t>
            </w:r>
          </w:p>
        </w:tc>
        <w:tc>
          <w:tcPr>
            <w:tcW w:w="851" w:type="dxa"/>
            <w:tcBorders>
              <w:top w:val="nil"/>
              <w:left w:val="single" w:sz="4" w:space="0" w:color="auto"/>
              <w:bottom w:val="single" w:sz="4" w:space="0" w:color="auto"/>
              <w:right w:val="nil"/>
            </w:tcBorders>
            <w:shd w:val="clear" w:color="auto" w:fill="auto"/>
            <w:noWrap/>
            <w:vAlign w:val="center"/>
            <w:hideMark/>
          </w:tcPr>
          <w:p w14:paraId="5F32DC10" w14:textId="77777777" w:rsidR="00387142" w:rsidRPr="008B6A75" w:rsidRDefault="00387142" w:rsidP="00387142">
            <w:pPr>
              <w:jc w:val="right"/>
              <w:rPr>
                <w:bCs/>
                <w:sz w:val="20"/>
                <w:szCs w:val="20"/>
              </w:rPr>
            </w:pPr>
            <w:r w:rsidRPr="008B6A75">
              <w:rPr>
                <w:bCs/>
                <w:sz w:val="20"/>
                <w:szCs w:val="20"/>
              </w:rPr>
              <w:t>1 728 500,00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3D313FE2" w14:textId="77777777" w:rsidR="00387142" w:rsidRPr="008B6A75" w:rsidRDefault="00387142" w:rsidP="00387142">
            <w:pPr>
              <w:jc w:val="right"/>
              <w:rPr>
                <w:bCs/>
                <w:sz w:val="20"/>
                <w:szCs w:val="20"/>
              </w:rPr>
            </w:pPr>
            <w:r w:rsidRPr="008B6A75">
              <w:rPr>
                <w:bCs/>
                <w:sz w:val="20"/>
                <w:szCs w:val="20"/>
              </w:rPr>
              <w:t>0,00</w:t>
            </w:r>
          </w:p>
        </w:tc>
      </w:tr>
      <w:tr w:rsidR="00387142" w:rsidRPr="008B6A75" w14:paraId="40E65B26" w14:textId="77777777" w:rsidTr="00387142">
        <w:trPr>
          <w:trHeight w:val="585"/>
        </w:trPr>
        <w:tc>
          <w:tcPr>
            <w:tcW w:w="272" w:type="dxa"/>
            <w:tcBorders>
              <w:top w:val="nil"/>
              <w:left w:val="nil"/>
              <w:bottom w:val="nil"/>
              <w:right w:val="single" w:sz="4" w:space="0" w:color="auto"/>
            </w:tcBorders>
            <w:shd w:val="clear" w:color="auto" w:fill="auto"/>
            <w:noWrap/>
            <w:vAlign w:val="bottom"/>
            <w:hideMark/>
          </w:tcPr>
          <w:p w14:paraId="5186CC79"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3B5F249C" w14:textId="77777777" w:rsidR="00387142" w:rsidRPr="008B6A75" w:rsidRDefault="00387142" w:rsidP="00387142">
            <w:pPr>
              <w:rPr>
                <w:sz w:val="20"/>
                <w:szCs w:val="20"/>
              </w:rPr>
            </w:pPr>
            <w:r w:rsidRPr="008B6A75">
              <w:rPr>
                <w:sz w:val="20"/>
                <w:szCs w:val="20"/>
              </w:rPr>
              <w:t>Закупка товаров, работ и услуг для обеспечения государственных (муниципальных) нужд</w:t>
            </w:r>
          </w:p>
        </w:tc>
        <w:tc>
          <w:tcPr>
            <w:tcW w:w="1559" w:type="dxa"/>
            <w:tcBorders>
              <w:top w:val="nil"/>
              <w:left w:val="single" w:sz="4" w:space="0" w:color="auto"/>
              <w:bottom w:val="single" w:sz="4" w:space="0" w:color="auto"/>
              <w:right w:val="nil"/>
            </w:tcBorders>
            <w:shd w:val="clear" w:color="auto" w:fill="auto"/>
            <w:noWrap/>
            <w:vAlign w:val="center"/>
            <w:hideMark/>
          </w:tcPr>
          <w:p w14:paraId="4C0C48AB" w14:textId="77777777" w:rsidR="00387142" w:rsidRPr="008B6A75" w:rsidRDefault="00387142" w:rsidP="00387142">
            <w:pPr>
              <w:jc w:val="center"/>
              <w:rPr>
                <w:sz w:val="20"/>
                <w:szCs w:val="20"/>
              </w:rPr>
            </w:pPr>
            <w:r w:rsidRPr="008B6A75">
              <w:rPr>
                <w:sz w:val="20"/>
                <w:szCs w:val="20"/>
              </w:rPr>
              <w:t>11.0.E2.50970</w:t>
            </w:r>
          </w:p>
        </w:tc>
        <w:tc>
          <w:tcPr>
            <w:tcW w:w="850" w:type="dxa"/>
            <w:tcBorders>
              <w:top w:val="nil"/>
              <w:left w:val="single" w:sz="4" w:space="0" w:color="auto"/>
              <w:bottom w:val="single" w:sz="4" w:space="0" w:color="auto"/>
              <w:right w:val="nil"/>
            </w:tcBorders>
            <w:shd w:val="clear" w:color="auto" w:fill="auto"/>
            <w:noWrap/>
            <w:vAlign w:val="center"/>
            <w:hideMark/>
          </w:tcPr>
          <w:p w14:paraId="0E4C935A" w14:textId="77777777" w:rsidR="00387142" w:rsidRPr="008B6A75" w:rsidRDefault="00387142" w:rsidP="00387142">
            <w:pPr>
              <w:jc w:val="center"/>
              <w:rPr>
                <w:sz w:val="20"/>
                <w:szCs w:val="20"/>
              </w:rPr>
            </w:pPr>
            <w:r w:rsidRPr="008B6A75">
              <w:rPr>
                <w:sz w:val="20"/>
                <w:szCs w:val="20"/>
              </w:rPr>
              <w:t>200</w:t>
            </w:r>
          </w:p>
        </w:tc>
        <w:tc>
          <w:tcPr>
            <w:tcW w:w="567" w:type="dxa"/>
            <w:tcBorders>
              <w:top w:val="nil"/>
              <w:left w:val="single" w:sz="4" w:space="0" w:color="auto"/>
              <w:bottom w:val="single" w:sz="4" w:space="0" w:color="auto"/>
              <w:right w:val="nil"/>
            </w:tcBorders>
            <w:shd w:val="clear" w:color="auto" w:fill="auto"/>
            <w:noWrap/>
            <w:vAlign w:val="center"/>
            <w:hideMark/>
          </w:tcPr>
          <w:p w14:paraId="2ABDA542" w14:textId="77777777" w:rsidR="00387142" w:rsidRPr="008B6A75" w:rsidRDefault="00387142" w:rsidP="00387142">
            <w:pPr>
              <w:jc w:val="center"/>
              <w:rPr>
                <w:sz w:val="20"/>
                <w:szCs w:val="20"/>
              </w:rPr>
            </w:pPr>
            <w:r w:rsidRPr="008B6A75">
              <w:rPr>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4879AC58" w14:textId="77777777" w:rsidR="00387142" w:rsidRPr="008B6A75" w:rsidRDefault="00387142" w:rsidP="00387142">
            <w:pPr>
              <w:jc w:val="center"/>
              <w:rPr>
                <w:sz w:val="20"/>
                <w:szCs w:val="20"/>
              </w:rPr>
            </w:pPr>
            <w:r w:rsidRPr="008B6A75">
              <w:rPr>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ED57DDD" w14:textId="77777777" w:rsidR="00387142" w:rsidRPr="008B6A75" w:rsidRDefault="00387142" w:rsidP="00387142">
            <w:pPr>
              <w:jc w:val="right"/>
              <w:rPr>
                <w:sz w:val="20"/>
                <w:szCs w:val="20"/>
              </w:rPr>
            </w:pPr>
            <w:r w:rsidRPr="008B6A75">
              <w:rPr>
                <w:sz w:val="20"/>
                <w:szCs w:val="20"/>
              </w:rPr>
              <w:t>0,00</w:t>
            </w:r>
          </w:p>
        </w:tc>
        <w:tc>
          <w:tcPr>
            <w:tcW w:w="851" w:type="dxa"/>
            <w:tcBorders>
              <w:top w:val="nil"/>
              <w:left w:val="single" w:sz="4" w:space="0" w:color="auto"/>
              <w:bottom w:val="single" w:sz="4" w:space="0" w:color="auto"/>
              <w:right w:val="nil"/>
            </w:tcBorders>
            <w:shd w:val="clear" w:color="auto" w:fill="auto"/>
            <w:noWrap/>
            <w:vAlign w:val="center"/>
            <w:hideMark/>
          </w:tcPr>
          <w:p w14:paraId="5F4A7594" w14:textId="77777777" w:rsidR="00387142" w:rsidRPr="008B6A75" w:rsidRDefault="00387142" w:rsidP="00387142">
            <w:pPr>
              <w:jc w:val="right"/>
              <w:rPr>
                <w:sz w:val="20"/>
                <w:szCs w:val="20"/>
              </w:rPr>
            </w:pPr>
            <w:r w:rsidRPr="008B6A75">
              <w:rPr>
                <w:sz w:val="20"/>
                <w:szCs w:val="20"/>
              </w:rPr>
              <w:t>1 728 500,00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468D96FE" w14:textId="77777777" w:rsidR="00387142" w:rsidRPr="008B6A75" w:rsidRDefault="00387142" w:rsidP="00387142">
            <w:pPr>
              <w:jc w:val="right"/>
              <w:rPr>
                <w:sz w:val="20"/>
                <w:szCs w:val="20"/>
              </w:rPr>
            </w:pPr>
            <w:r w:rsidRPr="008B6A75">
              <w:rPr>
                <w:sz w:val="20"/>
                <w:szCs w:val="20"/>
              </w:rPr>
              <w:t>0,00</w:t>
            </w:r>
          </w:p>
        </w:tc>
      </w:tr>
      <w:tr w:rsidR="00387142" w:rsidRPr="008B6A75" w14:paraId="3E7C5FAB" w14:textId="77777777" w:rsidTr="00387142">
        <w:trPr>
          <w:trHeight w:val="870"/>
        </w:trPr>
        <w:tc>
          <w:tcPr>
            <w:tcW w:w="272" w:type="dxa"/>
            <w:tcBorders>
              <w:top w:val="nil"/>
              <w:left w:val="nil"/>
              <w:bottom w:val="nil"/>
              <w:right w:val="single" w:sz="4" w:space="0" w:color="auto"/>
            </w:tcBorders>
            <w:shd w:val="clear" w:color="auto" w:fill="auto"/>
            <w:noWrap/>
            <w:vAlign w:val="bottom"/>
            <w:hideMark/>
          </w:tcPr>
          <w:p w14:paraId="6043A894"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1EA72590" w14:textId="77777777" w:rsidR="00387142" w:rsidRPr="008B6A75" w:rsidRDefault="00387142" w:rsidP="00387142">
            <w:pPr>
              <w:rPr>
                <w:sz w:val="20"/>
                <w:szCs w:val="20"/>
              </w:rPr>
            </w:pPr>
            <w:r w:rsidRPr="008B6A75">
              <w:rPr>
                <w:sz w:val="20"/>
                <w:szCs w:val="20"/>
              </w:rPr>
              <w:t>Иные закупки товаров, работ и услуг для обеспечения государственных (муниципальных) нужд</w:t>
            </w:r>
          </w:p>
        </w:tc>
        <w:tc>
          <w:tcPr>
            <w:tcW w:w="1559" w:type="dxa"/>
            <w:tcBorders>
              <w:top w:val="nil"/>
              <w:left w:val="single" w:sz="4" w:space="0" w:color="auto"/>
              <w:bottom w:val="single" w:sz="4" w:space="0" w:color="auto"/>
              <w:right w:val="nil"/>
            </w:tcBorders>
            <w:shd w:val="clear" w:color="auto" w:fill="auto"/>
            <w:noWrap/>
            <w:vAlign w:val="center"/>
            <w:hideMark/>
          </w:tcPr>
          <w:p w14:paraId="0D58B917" w14:textId="77777777" w:rsidR="00387142" w:rsidRPr="008B6A75" w:rsidRDefault="00387142" w:rsidP="00387142">
            <w:pPr>
              <w:jc w:val="center"/>
              <w:rPr>
                <w:sz w:val="20"/>
                <w:szCs w:val="20"/>
              </w:rPr>
            </w:pPr>
            <w:r w:rsidRPr="008B6A75">
              <w:rPr>
                <w:sz w:val="20"/>
                <w:szCs w:val="20"/>
              </w:rPr>
              <w:t>11.0.E2.50970</w:t>
            </w:r>
          </w:p>
        </w:tc>
        <w:tc>
          <w:tcPr>
            <w:tcW w:w="850" w:type="dxa"/>
            <w:tcBorders>
              <w:top w:val="nil"/>
              <w:left w:val="single" w:sz="4" w:space="0" w:color="auto"/>
              <w:bottom w:val="single" w:sz="4" w:space="0" w:color="auto"/>
              <w:right w:val="nil"/>
            </w:tcBorders>
            <w:shd w:val="clear" w:color="auto" w:fill="auto"/>
            <w:noWrap/>
            <w:vAlign w:val="center"/>
            <w:hideMark/>
          </w:tcPr>
          <w:p w14:paraId="1FC16E8A" w14:textId="77777777" w:rsidR="00387142" w:rsidRPr="008B6A75" w:rsidRDefault="00387142" w:rsidP="00387142">
            <w:pPr>
              <w:jc w:val="center"/>
              <w:rPr>
                <w:sz w:val="20"/>
                <w:szCs w:val="20"/>
              </w:rPr>
            </w:pPr>
            <w:r w:rsidRPr="008B6A75">
              <w:rPr>
                <w:sz w:val="20"/>
                <w:szCs w:val="20"/>
              </w:rPr>
              <w:t>240</w:t>
            </w:r>
          </w:p>
        </w:tc>
        <w:tc>
          <w:tcPr>
            <w:tcW w:w="567" w:type="dxa"/>
            <w:tcBorders>
              <w:top w:val="nil"/>
              <w:left w:val="single" w:sz="4" w:space="0" w:color="auto"/>
              <w:bottom w:val="single" w:sz="4" w:space="0" w:color="auto"/>
              <w:right w:val="nil"/>
            </w:tcBorders>
            <w:shd w:val="clear" w:color="auto" w:fill="auto"/>
            <w:noWrap/>
            <w:vAlign w:val="center"/>
            <w:hideMark/>
          </w:tcPr>
          <w:p w14:paraId="5ABA6D09" w14:textId="77777777" w:rsidR="00387142" w:rsidRPr="008B6A75" w:rsidRDefault="00387142" w:rsidP="00387142">
            <w:pPr>
              <w:jc w:val="center"/>
              <w:rPr>
                <w:sz w:val="20"/>
                <w:szCs w:val="20"/>
              </w:rPr>
            </w:pPr>
            <w:r w:rsidRPr="008B6A75">
              <w:rPr>
                <w:sz w:val="20"/>
                <w:szCs w:val="20"/>
              </w:rPr>
              <w:t>07</w:t>
            </w:r>
          </w:p>
        </w:tc>
        <w:tc>
          <w:tcPr>
            <w:tcW w:w="567" w:type="dxa"/>
            <w:tcBorders>
              <w:top w:val="nil"/>
              <w:left w:val="single" w:sz="4" w:space="0" w:color="auto"/>
              <w:bottom w:val="single" w:sz="4" w:space="0" w:color="auto"/>
              <w:right w:val="nil"/>
            </w:tcBorders>
            <w:shd w:val="clear" w:color="auto" w:fill="auto"/>
            <w:noWrap/>
            <w:vAlign w:val="center"/>
            <w:hideMark/>
          </w:tcPr>
          <w:p w14:paraId="3CF5E85B" w14:textId="77777777" w:rsidR="00387142" w:rsidRPr="008B6A75" w:rsidRDefault="00387142" w:rsidP="00387142">
            <w:pPr>
              <w:jc w:val="center"/>
              <w:rPr>
                <w:sz w:val="20"/>
                <w:szCs w:val="20"/>
              </w:rPr>
            </w:pPr>
            <w:r w:rsidRPr="008B6A75">
              <w:rPr>
                <w:sz w:val="20"/>
                <w:szCs w:val="20"/>
              </w:rPr>
              <w:t>09</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0DFCF17" w14:textId="77777777" w:rsidR="00387142" w:rsidRPr="008B6A75" w:rsidRDefault="00387142" w:rsidP="00387142">
            <w:pPr>
              <w:jc w:val="right"/>
              <w:rPr>
                <w:sz w:val="20"/>
                <w:szCs w:val="20"/>
              </w:rPr>
            </w:pPr>
            <w:r w:rsidRPr="008B6A75">
              <w:rPr>
                <w:sz w:val="20"/>
                <w:szCs w:val="20"/>
              </w:rPr>
              <w:t>0,00</w:t>
            </w:r>
          </w:p>
        </w:tc>
        <w:tc>
          <w:tcPr>
            <w:tcW w:w="851" w:type="dxa"/>
            <w:tcBorders>
              <w:top w:val="nil"/>
              <w:left w:val="single" w:sz="4" w:space="0" w:color="auto"/>
              <w:bottom w:val="single" w:sz="4" w:space="0" w:color="auto"/>
              <w:right w:val="nil"/>
            </w:tcBorders>
            <w:shd w:val="clear" w:color="auto" w:fill="auto"/>
            <w:noWrap/>
            <w:vAlign w:val="center"/>
            <w:hideMark/>
          </w:tcPr>
          <w:p w14:paraId="65186BA3" w14:textId="77777777" w:rsidR="00387142" w:rsidRPr="008B6A75" w:rsidRDefault="00387142" w:rsidP="00387142">
            <w:pPr>
              <w:jc w:val="right"/>
              <w:rPr>
                <w:sz w:val="20"/>
                <w:szCs w:val="20"/>
              </w:rPr>
            </w:pPr>
            <w:r w:rsidRPr="008B6A75">
              <w:rPr>
                <w:sz w:val="20"/>
                <w:szCs w:val="20"/>
              </w:rPr>
              <w:t>1 728 500,00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74E63496" w14:textId="77777777" w:rsidR="00387142" w:rsidRPr="008B6A75" w:rsidRDefault="00387142" w:rsidP="00387142">
            <w:pPr>
              <w:jc w:val="right"/>
              <w:rPr>
                <w:sz w:val="20"/>
                <w:szCs w:val="20"/>
              </w:rPr>
            </w:pPr>
            <w:r w:rsidRPr="008B6A75">
              <w:rPr>
                <w:sz w:val="20"/>
                <w:szCs w:val="20"/>
              </w:rPr>
              <w:t>0,00</w:t>
            </w:r>
          </w:p>
        </w:tc>
      </w:tr>
      <w:tr w:rsidR="00387142" w:rsidRPr="008B6A75" w14:paraId="7BE95D13" w14:textId="77777777" w:rsidTr="00387142">
        <w:trPr>
          <w:trHeight w:val="300"/>
        </w:trPr>
        <w:tc>
          <w:tcPr>
            <w:tcW w:w="272" w:type="dxa"/>
            <w:tcBorders>
              <w:top w:val="nil"/>
              <w:left w:val="nil"/>
              <w:bottom w:val="nil"/>
              <w:right w:val="single" w:sz="4" w:space="0" w:color="auto"/>
            </w:tcBorders>
            <w:shd w:val="clear" w:color="auto" w:fill="auto"/>
            <w:noWrap/>
            <w:vAlign w:val="bottom"/>
            <w:hideMark/>
          </w:tcPr>
          <w:p w14:paraId="446F02A8" w14:textId="77777777" w:rsidR="00387142" w:rsidRPr="008B6A75" w:rsidRDefault="00387142" w:rsidP="00387142">
            <w:pPr>
              <w:rPr>
                <w:sz w:val="20"/>
                <w:szCs w:val="20"/>
              </w:rPr>
            </w:pPr>
            <w:r w:rsidRPr="008B6A75">
              <w:rPr>
                <w:sz w:val="20"/>
                <w:szCs w:val="20"/>
              </w:rPr>
              <w:lastRenderedPageBreak/>
              <w:t> </w:t>
            </w:r>
          </w:p>
        </w:tc>
        <w:tc>
          <w:tcPr>
            <w:tcW w:w="3415" w:type="dxa"/>
            <w:tcBorders>
              <w:top w:val="nil"/>
              <w:left w:val="single" w:sz="4" w:space="0" w:color="auto"/>
              <w:bottom w:val="single" w:sz="4" w:space="0" w:color="auto"/>
              <w:right w:val="nil"/>
            </w:tcBorders>
            <w:shd w:val="clear" w:color="auto" w:fill="auto"/>
            <w:vAlign w:val="center"/>
            <w:hideMark/>
          </w:tcPr>
          <w:p w14:paraId="71C5B135" w14:textId="77777777" w:rsidR="00387142" w:rsidRPr="008B6A75" w:rsidRDefault="00387142" w:rsidP="00387142">
            <w:pPr>
              <w:rPr>
                <w:bCs/>
                <w:sz w:val="20"/>
                <w:szCs w:val="20"/>
              </w:rPr>
            </w:pPr>
            <w:r w:rsidRPr="008B6A75">
              <w:rPr>
                <w:bCs/>
                <w:sz w:val="20"/>
                <w:szCs w:val="20"/>
              </w:rPr>
              <w:t>Региональный проект "Спорт - норма жизни"</w:t>
            </w:r>
          </w:p>
        </w:tc>
        <w:tc>
          <w:tcPr>
            <w:tcW w:w="1559" w:type="dxa"/>
            <w:tcBorders>
              <w:top w:val="nil"/>
              <w:left w:val="single" w:sz="4" w:space="0" w:color="auto"/>
              <w:bottom w:val="single" w:sz="4" w:space="0" w:color="auto"/>
              <w:right w:val="nil"/>
            </w:tcBorders>
            <w:shd w:val="clear" w:color="auto" w:fill="auto"/>
            <w:noWrap/>
            <w:vAlign w:val="center"/>
            <w:hideMark/>
          </w:tcPr>
          <w:p w14:paraId="482C37B6" w14:textId="77777777" w:rsidR="00387142" w:rsidRPr="008B6A75" w:rsidRDefault="00387142" w:rsidP="00387142">
            <w:pPr>
              <w:jc w:val="center"/>
              <w:rPr>
                <w:bCs/>
                <w:sz w:val="20"/>
                <w:szCs w:val="20"/>
              </w:rPr>
            </w:pPr>
            <w:r w:rsidRPr="008B6A75">
              <w:rPr>
                <w:bCs/>
                <w:sz w:val="20"/>
                <w:szCs w:val="20"/>
              </w:rPr>
              <w:t>11.0.P5.00000</w:t>
            </w:r>
          </w:p>
        </w:tc>
        <w:tc>
          <w:tcPr>
            <w:tcW w:w="850" w:type="dxa"/>
            <w:tcBorders>
              <w:top w:val="nil"/>
              <w:left w:val="single" w:sz="4" w:space="0" w:color="auto"/>
              <w:bottom w:val="single" w:sz="4" w:space="0" w:color="auto"/>
              <w:right w:val="nil"/>
            </w:tcBorders>
            <w:shd w:val="clear" w:color="auto" w:fill="auto"/>
            <w:noWrap/>
            <w:vAlign w:val="center"/>
            <w:hideMark/>
          </w:tcPr>
          <w:p w14:paraId="63622BE3" w14:textId="77777777" w:rsidR="00387142" w:rsidRPr="008B6A75" w:rsidRDefault="00387142" w:rsidP="00387142">
            <w:pPr>
              <w:jc w:val="center"/>
              <w:rPr>
                <w:bCs/>
                <w:sz w:val="20"/>
                <w:szCs w:val="20"/>
              </w:rPr>
            </w:pPr>
            <w:r w:rsidRPr="008B6A75">
              <w:rPr>
                <w:bCs/>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483A9D73" w14:textId="77777777" w:rsidR="00387142" w:rsidRPr="008B6A75" w:rsidRDefault="00387142" w:rsidP="00387142">
            <w:pPr>
              <w:jc w:val="center"/>
              <w:rPr>
                <w:bCs/>
                <w:sz w:val="20"/>
                <w:szCs w:val="20"/>
              </w:rPr>
            </w:pPr>
            <w:r w:rsidRPr="008B6A75">
              <w:rPr>
                <w:bCs/>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0BB71388" w14:textId="77777777" w:rsidR="00387142" w:rsidRPr="008B6A75" w:rsidRDefault="00387142" w:rsidP="00387142">
            <w:pPr>
              <w:jc w:val="center"/>
              <w:rPr>
                <w:bCs/>
                <w:sz w:val="20"/>
                <w:szCs w:val="20"/>
              </w:rPr>
            </w:pPr>
            <w:r w:rsidRPr="008B6A75">
              <w:rPr>
                <w:bCs/>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974F837" w14:textId="77777777" w:rsidR="00387142" w:rsidRPr="008B6A75" w:rsidRDefault="00387142" w:rsidP="00387142">
            <w:pPr>
              <w:jc w:val="right"/>
              <w:rPr>
                <w:bCs/>
                <w:sz w:val="20"/>
                <w:szCs w:val="20"/>
              </w:rPr>
            </w:pPr>
            <w:r w:rsidRPr="008B6A75">
              <w:rPr>
                <w:bCs/>
                <w:sz w:val="20"/>
                <w:szCs w:val="20"/>
              </w:rPr>
              <w:t>2 041 027,00</w:t>
            </w:r>
          </w:p>
        </w:tc>
        <w:tc>
          <w:tcPr>
            <w:tcW w:w="851" w:type="dxa"/>
            <w:tcBorders>
              <w:top w:val="nil"/>
              <w:left w:val="single" w:sz="4" w:space="0" w:color="auto"/>
              <w:bottom w:val="single" w:sz="4" w:space="0" w:color="auto"/>
              <w:right w:val="nil"/>
            </w:tcBorders>
            <w:shd w:val="clear" w:color="auto" w:fill="auto"/>
            <w:noWrap/>
            <w:vAlign w:val="center"/>
            <w:hideMark/>
          </w:tcPr>
          <w:p w14:paraId="6763051C" w14:textId="77777777" w:rsidR="00387142" w:rsidRPr="008B6A75" w:rsidRDefault="00387142" w:rsidP="00387142">
            <w:pPr>
              <w:jc w:val="right"/>
              <w:rPr>
                <w:bCs/>
                <w:sz w:val="20"/>
                <w:szCs w:val="20"/>
              </w:rPr>
            </w:pPr>
            <w:r w:rsidRPr="008B6A75">
              <w:rPr>
                <w:bCs/>
                <w:sz w:val="20"/>
                <w:szCs w:val="20"/>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5CC7E6AD" w14:textId="77777777" w:rsidR="00387142" w:rsidRPr="008B6A75" w:rsidRDefault="00387142" w:rsidP="00387142">
            <w:pPr>
              <w:jc w:val="right"/>
              <w:rPr>
                <w:bCs/>
                <w:sz w:val="20"/>
                <w:szCs w:val="20"/>
              </w:rPr>
            </w:pPr>
            <w:r w:rsidRPr="008B6A75">
              <w:rPr>
                <w:bCs/>
                <w:sz w:val="20"/>
                <w:szCs w:val="20"/>
              </w:rPr>
              <w:t>0,00</w:t>
            </w:r>
          </w:p>
        </w:tc>
      </w:tr>
      <w:tr w:rsidR="00387142" w:rsidRPr="008B6A75" w14:paraId="1C959A5A" w14:textId="77777777" w:rsidTr="00387142">
        <w:trPr>
          <w:trHeight w:val="1440"/>
        </w:trPr>
        <w:tc>
          <w:tcPr>
            <w:tcW w:w="272" w:type="dxa"/>
            <w:tcBorders>
              <w:top w:val="nil"/>
              <w:left w:val="nil"/>
              <w:bottom w:val="nil"/>
              <w:right w:val="single" w:sz="4" w:space="0" w:color="auto"/>
            </w:tcBorders>
            <w:shd w:val="clear" w:color="auto" w:fill="auto"/>
            <w:noWrap/>
            <w:vAlign w:val="bottom"/>
            <w:hideMark/>
          </w:tcPr>
          <w:p w14:paraId="42A4A720"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41AC4EF7" w14:textId="77777777" w:rsidR="00387142" w:rsidRPr="008B6A75" w:rsidRDefault="00387142" w:rsidP="00387142">
            <w:pPr>
              <w:rPr>
                <w:bCs/>
                <w:sz w:val="20"/>
                <w:szCs w:val="20"/>
              </w:rPr>
            </w:pPr>
            <w:r w:rsidRPr="008B6A75">
              <w:rPr>
                <w:bCs/>
                <w:sz w:val="20"/>
                <w:szCs w:val="20"/>
              </w:rPr>
              <w:t>Подготовка и проведение физкультурных и комплексных физкультурных мероприятий государственной программы Новосибирской области "Развитие физической культуры и спорта в Новосибирской области"</w:t>
            </w:r>
          </w:p>
        </w:tc>
        <w:tc>
          <w:tcPr>
            <w:tcW w:w="1559" w:type="dxa"/>
            <w:tcBorders>
              <w:top w:val="nil"/>
              <w:left w:val="single" w:sz="4" w:space="0" w:color="auto"/>
              <w:bottom w:val="single" w:sz="4" w:space="0" w:color="auto"/>
              <w:right w:val="nil"/>
            </w:tcBorders>
            <w:shd w:val="clear" w:color="auto" w:fill="auto"/>
            <w:noWrap/>
            <w:vAlign w:val="center"/>
            <w:hideMark/>
          </w:tcPr>
          <w:p w14:paraId="0A5E397E" w14:textId="77777777" w:rsidR="00387142" w:rsidRPr="008B6A75" w:rsidRDefault="00387142" w:rsidP="00387142">
            <w:pPr>
              <w:jc w:val="center"/>
              <w:rPr>
                <w:bCs/>
                <w:sz w:val="20"/>
                <w:szCs w:val="20"/>
              </w:rPr>
            </w:pPr>
            <w:r w:rsidRPr="008B6A75">
              <w:rPr>
                <w:bCs/>
                <w:sz w:val="20"/>
                <w:szCs w:val="20"/>
              </w:rPr>
              <w:t>11.0.P5.70270</w:t>
            </w:r>
          </w:p>
        </w:tc>
        <w:tc>
          <w:tcPr>
            <w:tcW w:w="850" w:type="dxa"/>
            <w:tcBorders>
              <w:top w:val="nil"/>
              <w:left w:val="single" w:sz="4" w:space="0" w:color="auto"/>
              <w:bottom w:val="single" w:sz="4" w:space="0" w:color="auto"/>
              <w:right w:val="nil"/>
            </w:tcBorders>
            <w:shd w:val="clear" w:color="auto" w:fill="auto"/>
            <w:noWrap/>
            <w:vAlign w:val="center"/>
            <w:hideMark/>
          </w:tcPr>
          <w:p w14:paraId="5BD04F7E" w14:textId="77777777" w:rsidR="00387142" w:rsidRPr="008B6A75" w:rsidRDefault="00387142" w:rsidP="00387142">
            <w:pPr>
              <w:jc w:val="center"/>
              <w:rPr>
                <w:bCs/>
                <w:sz w:val="20"/>
                <w:szCs w:val="20"/>
              </w:rPr>
            </w:pPr>
            <w:r w:rsidRPr="008B6A75">
              <w:rPr>
                <w:bCs/>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618681DE" w14:textId="77777777" w:rsidR="00387142" w:rsidRPr="008B6A75" w:rsidRDefault="00387142" w:rsidP="00387142">
            <w:pPr>
              <w:jc w:val="center"/>
              <w:rPr>
                <w:bCs/>
                <w:sz w:val="20"/>
                <w:szCs w:val="20"/>
              </w:rPr>
            </w:pPr>
            <w:r w:rsidRPr="008B6A75">
              <w:rPr>
                <w:bCs/>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00310D79" w14:textId="77777777" w:rsidR="00387142" w:rsidRPr="008B6A75" w:rsidRDefault="00387142" w:rsidP="00387142">
            <w:pPr>
              <w:jc w:val="center"/>
              <w:rPr>
                <w:bCs/>
                <w:sz w:val="20"/>
                <w:szCs w:val="20"/>
              </w:rPr>
            </w:pPr>
            <w:r w:rsidRPr="008B6A75">
              <w:rPr>
                <w:bCs/>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4DE9D0A" w14:textId="77777777" w:rsidR="00387142" w:rsidRPr="008B6A75" w:rsidRDefault="00387142" w:rsidP="00387142">
            <w:pPr>
              <w:jc w:val="right"/>
              <w:rPr>
                <w:bCs/>
                <w:sz w:val="20"/>
                <w:szCs w:val="20"/>
              </w:rPr>
            </w:pPr>
            <w:r w:rsidRPr="008B6A75">
              <w:rPr>
                <w:bCs/>
                <w:sz w:val="20"/>
                <w:szCs w:val="20"/>
              </w:rPr>
              <w:t>2 041 027,00</w:t>
            </w:r>
          </w:p>
        </w:tc>
        <w:tc>
          <w:tcPr>
            <w:tcW w:w="851" w:type="dxa"/>
            <w:tcBorders>
              <w:top w:val="nil"/>
              <w:left w:val="single" w:sz="4" w:space="0" w:color="auto"/>
              <w:bottom w:val="single" w:sz="4" w:space="0" w:color="auto"/>
              <w:right w:val="nil"/>
            </w:tcBorders>
            <w:shd w:val="clear" w:color="auto" w:fill="auto"/>
            <w:noWrap/>
            <w:vAlign w:val="center"/>
            <w:hideMark/>
          </w:tcPr>
          <w:p w14:paraId="1B3B90C8" w14:textId="77777777" w:rsidR="00387142" w:rsidRPr="008B6A75" w:rsidRDefault="00387142" w:rsidP="00387142">
            <w:pPr>
              <w:jc w:val="right"/>
              <w:rPr>
                <w:bCs/>
                <w:sz w:val="20"/>
                <w:szCs w:val="20"/>
              </w:rPr>
            </w:pPr>
            <w:r w:rsidRPr="008B6A75">
              <w:rPr>
                <w:bCs/>
                <w:sz w:val="20"/>
                <w:szCs w:val="20"/>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572E0C2A" w14:textId="77777777" w:rsidR="00387142" w:rsidRPr="008B6A75" w:rsidRDefault="00387142" w:rsidP="00387142">
            <w:pPr>
              <w:jc w:val="right"/>
              <w:rPr>
                <w:bCs/>
                <w:sz w:val="20"/>
                <w:szCs w:val="20"/>
              </w:rPr>
            </w:pPr>
            <w:r w:rsidRPr="008B6A75">
              <w:rPr>
                <w:bCs/>
                <w:sz w:val="20"/>
                <w:szCs w:val="20"/>
              </w:rPr>
              <w:t>0,00</w:t>
            </w:r>
          </w:p>
        </w:tc>
      </w:tr>
      <w:tr w:rsidR="00387142" w:rsidRPr="008B6A75" w14:paraId="0E368E0E" w14:textId="77777777" w:rsidTr="00387142">
        <w:trPr>
          <w:trHeight w:val="870"/>
        </w:trPr>
        <w:tc>
          <w:tcPr>
            <w:tcW w:w="272" w:type="dxa"/>
            <w:tcBorders>
              <w:top w:val="nil"/>
              <w:left w:val="nil"/>
              <w:bottom w:val="nil"/>
              <w:right w:val="single" w:sz="4" w:space="0" w:color="auto"/>
            </w:tcBorders>
            <w:shd w:val="clear" w:color="auto" w:fill="auto"/>
            <w:noWrap/>
            <w:vAlign w:val="bottom"/>
            <w:hideMark/>
          </w:tcPr>
          <w:p w14:paraId="324F222C"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20DEC3A9" w14:textId="77777777" w:rsidR="00387142" w:rsidRPr="008B6A75" w:rsidRDefault="00387142" w:rsidP="00387142">
            <w:pPr>
              <w:rPr>
                <w:sz w:val="20"/>
                <w:szCs w:val="20"/>
              </w:rPr>
            </w:pPr>
            <w:r w:rsidRPr="008B6A75">
              <w:rPr>
                <w:sz w:val="20"/>
                <w:szCs w:val="20"/>
              </w:rPr>
              <w:t>Предоставление субсидий бюджетным, автономным учреждениям и иным некоммерческим организациям</w:t>
            </w:r>
          </w:p>
        </w:tc>
        <w:tc>
          <w:tcPr>
            <w:tcW w:w="1559" w:type="dxa"/>
            <w:tcBorders>
              <w:top w:val="nil"/>
              <w:left w:val="single" w:sz="4" w:space="0" w:color="auto"/>
              <w:bottom w:val="single" w:sz="4" w:space="0" w:color="auto"/>
              <w:right w:val="nil"/>
            </w:tcBorders>
            <w:shd w:val="clear" w:color="auto" w:fill="auto"/>
            <w:noWrap/>
            <w:vAlign w:val="center"/>
            <w:hideMark/>
          </w:tcPr>
          <w:p w14:paraId="1D04DD6C" w14:textId="77777777" w:rsidR="00387142" w:rsidRPr="008B6A75" w:rsidRDefault="00387142" w:rsidP="00387142">
            <w:pPr>
              <w:jc w:val="center"/>
              <w:rPr>
                <w:sz w:val="20"/>
                <w:szCs w:val="20"/>
              </w:rPr>
            </w:pPr>
            <w:r w:rsidRPr="008B6A75">
              <w:rPr>
                <w:sz w:val="20"/>
                <w:szCs w:val="20"/>
              </w:rPr>
              <w:t>11.0.P5.70270</w:t>
            </w:r>
          </w:p>
        </w:tc>
        <w:tc>
          <w:tcPr>
            <w:tcW w:w="850" w:type="dxa"/>
            <w:tcBorders>
              <w:top w:val="nil"/>
              <w:left w:val="single" w:sz="4" w:space="0" w:color="auto"/>
              <w:bottom w:val="single" w:sz="4" w:space="0" w:color="auto"/>
              <w:right w:val="nil"/>
            </w:tcBorders>
            <w:shd w:val="clear" w:color="auto" w:fill="auto"/>
            <w:noWrap/>
            <w:vAlign w:val="center"/>
            <w:hideMark/>
          </w:tcPr>
          <w:p w14:paraId="5EAF4675" w14:textId="77777777" w:rsidR="00387142" w:rsidRPr="008B6A75" w:rsidRDefault="00387142" w:rsidP="00387142">
            <w:pPr>
              <w:jc w:val="center"/>
              <w:rPr>
                <w:sz w:val="20"/>
                <w:szCs w:val="20"/>
              </w:rPr>
            </w:pPr>
            <w:r w:rsidRPr="008B6A75">
              <w:rPr>
                <w:sz w:val="20"/>
                <w:szCs w:val="20"/>
              </w:rPr>
              <w:t>600</w:t>
            </w:r>
          </w:p>
        </w:tc>
        <w:tc>
          <w:tcPr>
            <w:tcW w:w="567" w:type="dxa"/>
            <w:tcBorders>
              <w:top w:val="nil"/>
              <w:left w:val="single" w:sz="4" w:space="0" w:color="auto"/>
              <w:bottom w:val="single" w:sz="4" w:space="0" w:color="auto"/>
              <w:right w:val="nil"/>
            </w:tcBorders>
            <w:shd w:val="clear" w:color="auto" w:fill="auto"/>
            <w:noWrap/>
            <w:vAlign w:val="center"/>
            <w:hideMark/>
          </w:tcPr>
          <w:p w14:paraId="052EE8A0" w14:textId="77777777" w:rsidR="00387142" w:rsidRPr="008B6A75" w:rsidRDefault="00387142" w:rsidP="00387142">
            <w:pPr>
              <w:jc w:val="center"/>
              <w:rPr>
                <w:sz w:val="20"/>
                <w:szCs w:val="20"/>
              </w:rPr>
            </w:pPr>
            <w:r w:rsidRPr="008B6A75">
              <w:rPr>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739EE7BC" w14:textId="77777777" w:rsidR="00387142" w:rsidRPr="008B6A75" w:rsidRDefault="00387142" w:rsidP="00387142">
            <w:pPr>
              <w:jc w:val="center"/>
              <w:rPr>
                <w:sz w:val="20"/>
                <w:szCs w:val="20"/>
              </w:rPr>
            </w:pPr>
            <w:r w:rsidRPr="008B6A75">
              <w:rPr>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22D1E8B" w14:textId="77777777" w:rsidR="00387142" w:rsidRPr="008B6A75" w:rsidRDefault="00387142" w:rsidP="00387142">
            <w:pPr>
              <w:jc w:val="right"/>
              <w:rPr>
                <w:sz w:val="20"/>
                <w:szCs w:val="20"/>
              </w:rPr>
            </w:pPr>
            <w:r w:rsidRPr="008B6A75">
              <w:rPr>
                <w:sz w:val="20"/>
                <w:szCs w:val="20"/>
              </w:rPr>
              <w:t>2 041 027,00</w:t>
            </w:r>
          </w:p>
        </w:tc>
        <w:tc>
          <w:tcPr>
            <w:tcW w:w="851" w:type="dxa"/>
            <w:tcBorders>
              <w:top w:val="nil"/>
              <w:left w:val="single" w:sz="4" w:space="0" w:color="auto"/>
              <w:bottom w:val="single" w:sz="4" w:space="0" w:color="auto"/>
              <w:right w:val="nil"/>
            </w:tcBorders>
            <w:shd w:val="clear" w:color="auto" w:fill="auto"/>
            <w:noWrap/>
            <w:vAlign w:val="center"/>
            <w:hideMark/>
          </w:tcPr>
          <w:p w14:paraId="07F98F18" w14:textId="77777777" w:rsidR="00387142" w:rsidRPr="008B6A75" w:rsidRDefault="00387142" w:rsidP="00387142">
            <w:pPr>
              <w:jc w:val="right"/>
              <w:rPr>
                <w:sz w:val="20"/>
                <w:szCs w:val="20"/>
              </w:rPr>
            </w:pPr>
            <w:r w:rsidRPr="008B6A75">
              <w:rPr>
                <w:sz w:val="20"/>
                <w:szCs w:val="20"/>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0BF341F8" w14:textId="77777777" w:rsidR="00387142" w:rsidRPr="008B6A75" w:rsidRDefault="00387142" w:rsidP="00387142">
            <w:pPr>
              <w:jc w:val="right"/>
              <w:rPr>
                <w:sz w:val="20"/>
                <w:szCs w:val="20"/>
              </w:rPr>
            </w:pPr>
            <w:r w:rsidRPr="008B6A75">
              <w:rPr>
                <w:sz w:val="20"/>
                <w:szCs w:val="20"/>
              </w:rPr>
              <w:t>0,00</w:t>
            </w:r>
          </w:p>
        </w:tc>
      </w:tr>
      <w:tr w:rsidR="00387142" w:rsidRPr="008B6A75" w14:paraId="5F76DC84" w14:textId="77777777" w:rsidTr="00387142">
        <w:trPr>
          <w:trHeight w:val="300"/>
        </w:trPr>
        <w:tc>
          <w:tcPr>
            <w:tcW w:w="272" w:type="dxa"/>
            <w:tcBorders>
              <w:top w:val="nil"/>
              <w:left w:val="nil"/>
              <w:bottom w:val="nil"/>
              <w:right w:val="single" w:sz="4" w:space="0" w:color="auto"/>
            </w:tcBorders>
            <w:shd w:val="clear" w:color="auto" w:fill="auto"/>
            <w:noWrap/>
            <w:vAlign w:val="bottom"/>
            <w:hideMark/>
          </w:tcPr>
          <w:p w14:paraId="5DF46316"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038A1F15" w14:textId="77777777" w:rsidR="00387142" w:rsidRPr="008B6A75" w:rsidRDefault="00387142" w:rsidP="00387142">
            <w:pPr>
              <w:rPr>
                <w:sz w:val="20"/>
                <w:szCs w:val="20"/>
              </w:rPr>
            </w:pPr>
            <w:r w:rsidRPr="008B6A75">
              <w:rPr>
                <w:sz w:val="20"/>
                <w:szCs w:val="20"/>
              </w:rPr>
              <w:t>Субсидии бюджетным учреждениям</w:t>
            </w:r>
          </w:p>
        </w:tc>
        <w:tc>
          <w:tcPr>
            <w:tcW w:w="1559" w:type="dxa"/>
            <w:tcBorders>
              <w:top w:val="nil"/>
              <w:left w:val="single" w:sz="4" w:space="0" w:color="auto"/>
              <w:bottom w:val="single" w:sz="4" w:space="0" w:color="auto"/>
              <w:right w:val="nil"/>
            </w:tcBorders>
            <w:shd w:val="clear" w:color="auto" w:fill="auto"/>
            <w:noWrap/>
            <w:vAlign w:val="center"/>
            <w:hideMark/>
          </w:tcPr>
          <w:p w14:paraId="64D7252B" w14:textId="77777777" w:rsidR="00387142" w:rsidRPr="008B6A75" w:rsidRDefault="00387142" w:rsidP="00387142">
            <w:pPr>
              <w:jc w:val="center"/>
              <w:rPr>
                <w:sz w:val="20"/>
                <w:szCs w:val="20"/>
              </w:rPr>
            </w:pPr>
            <w:r w:rsidRPr="008B6A75">
              <w:rPr>
                <w:sz w:val="20"/>
                <w:szCs w:val="20"/>
              </w:rPr>
              <w:t>11.0.P5.70270</w:t>
            </w:r>
          </w:p>
        </w:tc>
        <w:tc>
          <w:tcPr>
            <w:tcW w:w="850" w:type="dxa"/>
            <w:tcBorders>
              <w:top w:val="nil"/>
              <w:left w:val="single" w:sz="4" w:space="0" w:color="auto"/>
              <w:bottom w:val="single" w:sz="4" w:space="0" w:color="auto"/>
              <w:right w:val="nil"/>
            </w:tcBorders>
            <w:shd w:val="clear" w:color="auto" w:fill="auto"/>
            <w:noWrap/>
            <w:vAlign w:val="center"/>
            <w:hideMark/>
          </w:tcPr>
          <w:p w14:paraId="2CB9D9D5" w14:textId="77777777" w:rsidR="00387142" w:rsidRPr="008B6A75" w:rsidRDefault="00387142" w:rsidP="00387142">
            <w:pPr>
              <w:jc w:val="center"/>
              <w:rPr>
                <w:sz w:val="20"/>
                <w:szCs w:val="20"/>
              </w:rPr>
            </w:pPr>
            <w:r w:rsidRPr="008B6A75">
              <w:rPr>
                <w:sz w:val="20"/>
                <w:szCs w:val="20"/>
              </w:rPr>
              <w:t>610</w:t>
            </w:r>
          </w:p>
        </w:tc>
        <w:tc>
          <w:tcPr>
            <w:tcW w:w="567" w:type="dxa"/>
            <w:tcBorders>
              <w:top w:val="nil"/>
              <w:left w:val="single" w:sz="4" w:space="0" w:color="auto"/>
              <w:bottom w:val="single" w:sz="4" w:space="0" w:color="auto"/>
              <w:right w:val="nil"/>
            </w:tcBorders>
            <w:shd w:val="clear" w:color="auto" w:fill="auto"/>
            <w:noWrap/>
            <w:vAlign w:val="center"/>
            <w:hideMark/>
          </w:tcPr>
          <w:p w14:paraId="70E699D7" w14:textId="77777777" w:rsidR="00387142" w:rsidRPr="008B6A75" w:rsidRDefault="00387142" w:rsidP="00387142">
            <w:pPr>
              <w:jc w:val="center"/>
              <w:rPr>
                <w:sz w:val="20"/>
                <w:szCs w:val="20"/>
              </w:rPr>
            </w:pPr>
            <w:r w:rsidRPr="008B6A75">
              <w:rPr>
                <w:sz w:val="20"/>
                <w:szCs w:val="20"/>
              </w:rPr>
              <w:t>11</w:t>
            </w:r>
          </w:p>
        </w:tc>
        <w:tc>
          <w:tcPr>
            <w:tcW w:w="567" w:type="dxa"/>
            <w:tcBorders>
              <w:top w:val="nil"/>
              <w:left w:val="single" w:sz="4" w:space="0" w:color="auto"/>
              <w:bottom w:val="single" w:sz="4" w:space="0" w:color="auto"/>
              <w:right w:val="nil"/>
            </w:tcBorders>
            <w:shd w:val="clear" w:color="auto" w:fill="auto"/>
            <w:noWrap/>
            <w:vAlign w:val="center"/>
            <w:hideMark/>
          </w:tcPr>
          <w:p w14:paraId="59A8C8A9" w14:textId="77777777" w:rsidR="00387142" w:rsidRPr="008B6A75" w:rsidRDefault="00387142" w:rsidP="00387142">
            <w:pPr>
              <w:jc w:val="center"/>
              <w:rPr>
                <w:sz w:val="20"/>
                <w:szCs w:val="20"/>
              </w:rPr>
            </w:pPr>
            <w:r w:rsidRPr="008B6A75">
              <w:rPr>
                <w:sz w:val="20"/>
                <w:szCs w:val="20"/>
              </w:rPr>
              <w:t>02</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B26E977" w14:textId="77777777" w:rsidR="00387142" w:rsidRPr="008B6A75" w:rsidRDefault="00387142" w:rsidP="00387142">
            <w:pPr>
              <w:jc w:val="right"/>
              <w:rPr>
                <w:sz w:val="20"/>
                <w:szCs w:val="20"/>
              </w:rPr>
            </w:pPr>
            <w:r w:rsidRPr="008B6A75">
              <w:rPr>
                <w:sz w:val="20"/>
                <w:szCs w:val="20"/>
              </w:rPr>
              <w:t>2 041 027,00</w:t>
            </w:r>
          </w:p>
        </w:tc>
        <w:tc>
          <w:tcPr>
            <w:tcW w:w="851" w:type="dxa"/>
            <w:tcBorders>
              <w:top w:val="nil"/>
              <w:left w:val="single" w:sz="4" w:space="0" w:color="auto"/>
              <w:bottom w:val="single" w:sz="4" w:space="0" w:color="auto"/>
              <w:right w:val="nil"/>
            </w:tcBorders>
            <w:shd w:val="clear" w:color="auto" w:fill="auto"/>
            <w:noWrap/>
            <w:vAlign w:val="center"/>
            <w:hideMark/>
          </w:tcPr>
          <w:p w14:paraId="5ED74D8D" w14:textId="77777777" w:rsidR="00387142" w:rsidRPr="008B6A75" w:rsidRDefault="00387142" w:rsidP="00387142">
            <w:pPr>
              <w:jc w:val="right"/>
              <w:rPr>
                <w:sz w:val="20"/>
                <w:szCs w:val="20"/>
              </w:rPr>
            </w:pPr>
            <w:r w:rsidRPr="008B6A75">
              <w:rPr>
                <w:sz w:val="20"/>
                <w:szCs w:val="20"/>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04C6F377" w14:textId="77777777" w:rsidR="00387142" w:rsidRPr="008B6A75" w:rsidRDefault="00387142" w:rsidP="00387142">
            <w:pPr>
              <w:jc w:val="right"/>
              <w:rPr>
                <w:sz w:val="20"/>
                <w:szCs w:val="20"/>
              </w:rPr>
            </w:pPr>
            <w:r w:rsidRPr="008B6A75">
              <w:rPr>
                <w:sz w:val="20"/>
                <w:szCs w:val="20"/>
              </w:rPr>
              <w:t>0,00</w:t>
            </w:r>
          </w:p>
        </w:tc>
      </w:tr>
      <w:tr w:rsidR="00387142" w:rsidRPr="008B6A75" w14:paraId="314BBF20" w14:textId="77777777" w:rsidTr="00387142">
        <w:trPr>
          <w:trHeight w:val="870"/>
        </w:trPr>
        <w:tc>
          <w:tcPr>
            <w:tcW w:w="272" w:type="dxa"/>
            <w:tcBorders>
              <w:top w:val="nil"/>
              <w:left w:val="nil"/>
              <w:bottom w:val="nil"/>
              <w:right w:val="single" w:sz="4" w:space="0" w:color="auto"/>
            </w:tcBorders>
            <w:shd w:val="clear" w:color="auto" w:fill="auto"/>
            <w:noWrap/>
            <w:vAlign w:val="bottom"/>
            <w:hideMark/>
          </w:tcPr>
          <w:p w14:paraId="6DF6AE4F"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2B89FE4B" w14:textId="77777777" w:rsidR="00387142" w:rsidRPr="008B6A75" w:rsidRDefault="00387142" w:rsidP="00387142">
            <w:pPr>
              <w:rPr>
                <w:bCs/>
                <w:sz w:val="20"/>
                <w:szCs w:val="20"/>
              </w:rPr>
            </w:pPr>
            <w:r w:rsidRPr="008B6A75">
              <w:rPr>
                <w:bCs/>
                <w:sz w:val="20"/>
                <w:szCs w:val="20"/>
              </w:rPr>
              <w:t>Муниципальная программа "Охрана окружающей среды Куйбышевского района Новосибирской области"</w:t>
            </w:r>
          </w:p>
        </w:tc>
        <w:tc>
          <w:tcPr>
            <w:tcW w:w="1559" w:type="dxa"/>
            <w:tcBorders>
              <w:top w:val="nil"/>
              <w:left w:val="single" w:sz="4" w:space="0" w:color="auto"/>
              <w:bottom w:val="single" w:sz="4" w:space="0" w:color="auto"/>
              <w:right w:val="nil"/>
            </w:tcBorders>
            <w:shd w:val="clear" w:color="auto" w:fill="auto"/>
            <w:noWrap/>
            <w:vAlign w:val="center"/>
            <w:hideMark/>
          </w:tcPr>
          <w:p w14:paraId="67ED44CE" w14:textId="77777777" w:rsidR="00387142" w:rsidRPr="008B6A75" w:rsidRDefault="00387142" w:rsidP="00387142">
            <w:pPr>
              <w:jc w:val="center"/>
              <w:rPr>
                <w:bCs/>
                <w:sz w:val="20"/>
                <w:szCs w:val="20"/>
              </w:rPr>
            </w:pPr>
            <w:r w:rsidRPr="008B6A75">
              <w:rPr>
                <w:bCs/>
                <w:sz w:val="20"/>
                <w:szCs w:val="20"/>
              </w:rPr>
              <w:t>12.0.00.00000</w:t>
            </w:r>
          </w:p>
        </w:tc>
        <w:tc>
          <w:tcPr>
            <w:tcW w:w="850" w:type="dxa"/>
            <w:tcBorders>
              <w:top w:val="nil"/>
              <w:left w:val="single" w:sz="4" w:space="0" w:color="auto"/>
              <w:bottom w:val="single" w:sz="4" w:space="0" w:color="auto"/>
              <w:right w:val="nil"/>
            </w:tcBorders>
            <w:shd w:val="clear" w:color="auto" w:fill="auto"/>
            <w:noWrap/>
            <w:vAlign w:val="center"/>
            <w:hideMark/>
          </w:tcPr>
          <w:p w14:paraId="14759092" w14:textId="77777777" w:rsidR="00387142" w:rsidRPr="008B6A75" w:rsidRDefault="00387142" w:rsidP="00387142">
            <w:pPr>
              <w:jc w:val="center"/>
              <w:rPr>
                <w:bCs/>
                <w:sz w:val="20"/>
                <w:szCs w:val="20"/>
              </w:rPr>
            </w:pPr>
            <w:r w:rsidRPr="008B6A75">
              <w:rPr>
                <w:bCs/>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7D37DC92" w14:textId="77777777" w:rsidR="00387142" w:rsidRPr="008B6A75" w:rsidRDefault="00387142" w:rsidP="00387142">
            <w:pPr>
              <w:jc w:val="center"/>
              <w:rPr>
                <w:bCs/>
                <w:sz w:val="20"/>
                <w:szCs w:val="20"/>
              </w:rPr>
            </w:pPr>
            <w:r w:rsidRPr="008B6A75">
              <w:rPr>
                <w:bCs/>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6315BB55" w14:textId="77777777" w:rsidR="00387142" w:rsidRPr="008B6A75" w:rsidRDefault="00387142" w:rsidP="00387142">
            <w:pPr>
              <w:jc w:val="center"/>
              <w:rPr>
                <w:bCs/>
                <w:sz w:val="20"/>
                <w:szCs w:val="20"/>
              </w:rPr>
            </w:pPr>
            <w:r w:rsidRPr="008B6A75">
              <w:rPr>
                <w:bCs/>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3C0941A" w14:textId="77777777" w:rsidR="00387142" w:rsidRPr="008B6A75" w:rsidRDefault="00387142" w:rsidP="00387142">
            <w:pPr>
              <w:jc w:val="right"/>
              <w:rPr>
                <w:bCs/>
                <w:sz w:val="20"/>
                <w:szCs w:val="20"/>
              </w:rPr>
            </w:pPr>
            <w:r w:rsidRPr="008B6A75">
              <w:rPr>
                <w:bCs/>
                <w:sz w:val="20"/>
                <w:szCs w:val="20"/>
              </w:rPr>
              <w:t>2 200 000,00</w:t>
            </w:r>
          </w:p>
        </w:tc>
        <w:tc>
          <w:tcPr>
            <w:tcW w:w="851" w:type="dxa"/>
            <w:tcBorders>
              <w:top w:val="nil"/>
              <w:left w:val="single" w:sz="4" w:space="0" w:color="auto"/>
              <w:bottom w:val="single" w:sz="4" w:space="0" w:color="auto"/>
              <w:right w:val="nil"/>
            </w:tcBorders>
            <w:shd w:val="clear" w:color="auto" w:fill="auto"/>
            <w:noWrap/>
            <w:vAlign w:val="center"/>
            <w:hideMark/>
          </w:tcPr>
          <w:p w14:paraId="1DFE9CB0" w14:textId="77777777" w:rsidR="00387142" w:rsidRPr="008B6A75" w:rsidRDefault="00387142" w:rsidP="00387142">
            <w:pPr>
              <w:jc w:val="right"/>
              <w:rPr>
                <w:bCs/>
                <w:sz w:val="20"/>
                <w:szCs w:val="20"/>
              </w:rPr>
            </w:pPr>
            <w:r w:rsidRPr="008B6A75">
              <w:rPr>
                <w:bCs/>
                <w:sz w:val="20"/>
                <w:szCs w:val="20"/>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4BCDCD59" w14:textId="77777777" w:rsidR="00387142" w:rsidRPr="008B6A75" w:rsidRDefault="00387142" w:rsidP="00387142">
            <w:pPr>
              <w:jc w:val="right"/>
              <w:rPr>
                <w:bCs/>
                <w:sz w:val="20"/>
                <w:szCs w:val="20"/>
              </w:rPr>
            </w:pPr>
            <w:r w:rsidRPr="008B6A75">
              <w:rPr>
                <w:bCs/>
                <w:sz w:val="20"/>
                <w:szCs w:val="20"/>
              </w:rPr>
              <w:t>0,00</w:t>
            </w:r>
          </w:p>
        </w:tc>
      </w:tr>
      <w:tr w:rsidR="00387142" w:rsidRPr="008B6A75" w14:paraId="2A2550AF" w14:textId="77777777" w:rsidTr="00387142">
        <w:trPr>
          <w:trHeight w:val="1155"/>
        </w:trPr>
        <w:tc>
          <w:tcPr>
            <w:tcW w:w="272" w:type="dxa"/>
            <w:tcBorders>
              <w:top w:val="nil"/>
              <w:left w:val="nil"/>
              <w:bottom w:val="nil"/>
              <w:right w:val="single" w:sz="4" w:space="0" w:color="auto"/>
            </w:tcBorders>
            <w:shd w:val="clear" w:color="auto" w:fill="auto"/>
            <w:noWrap/>
            <w:vAlign w:val="bottom"/>
            <w:hideMark/>
          </w:tcPr>
          <w:p w14:paraId="41F008C4"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308D0E63" w14:textId="77777777" w:rsidR="00387142" w:rsidRPr="008B6A75" w:rsidRDefault="00387142" w:rsidP="00387142">
            <w:pPr>
              <w:rPr>
                <w:bCs/>
                <w:sz w:val="20"/>
                <w:szCs w:val="20"/>
              </w:rPr>
            </w:pPr>
            <w:r w:rsidRPr="008B6A75">
              <w:rPr>
                <w:bCs/>
                <w:sz w:val="20"/>
                <w:szCs w:val="20"/>
              </w:rPr>
              <w:t>Реализация мероприятий муниципальной программы "Охрана окружающей среды Куйбышевского района Новосибирской области"</w:t>
            </w:r>
          </w:p>
        </w:tc>
        <w:tc>
          <w:tcPr>
            <w:tcW w:w="1559" w:type="dxa"/>
            <w:tcBorders>
              <w:top w:val="nil"/>
              <w:left w:val="single" w:sz="4" w:space="0" w:color="auto"/>
              <w:bottom w:val="single" w:sz="4" w:space="0" w:color="auto"/>
              <w:right w:val="nil"/>
            </w:tcBorders>
            <w:shd w:val="clear" w:color="auto" w:fill="auto"/>
            <w:noWrap/>
            <w:vAlign w:val="center"/>
            <w:hideMark/>
          </w:tcPr>
          <w:p w14:paraId="2E6DB4DF" w14:textId="77777777" w:rsidR="00387142" w:rsidRPr="008B6A75" w:rsidRDefault="00387142" w:rsidP="00387142">
            <w:pPr>
              <w:jc w:val="center"/>
              <w:rPr>
                <w:bCs/>
                <w:sz w:val="20"/>
                <w:szCs w:val="20"/>
              </w:rPr>
            </w:pPr>
            <w:r w:rsidRPr="008B6A75">
              <w:rPr>
                <w:bCs/>
                <w:sz w:val="20"/>
                <w:szCs w:val="20"/>
              </w:rPr>
              <w:t>12.0.00.49500</w:t>
            </w:r>
          </w:p>
        </w:tc>
        <w:tc>
          <w:tcPr>
            <w:tcW w:w="850" w:type="dxa"/>
            <w:tcBorders>
              <w:top w:val="nil"/>
              <w:left w:val="single" w:sz="4" w:space="0" w:color="auto"/>
              <w:bottom w:val="single" w:sz="4" w:space="0" w:color="auto"/>
              <w:right w:val="nil"/>
            </w:tcBorders>
            <w:shd w:val="clear" w:color="auto" w:fill="auto"/>
            <w:noWrap/>
            <w:vAlign w:val="center"/>
            <w:hideMark/>
          </w:tcPr>
          <w:p w14:paraId="41C09EBC" w14:textId="77777777" w:rsidR="00387142" w:rsidRPr="008B6A75" w:rsidRDefault="00387142" w:rsidP="00387142">
            <w:pPr>
              <w:jc w:val="center"/>
              <w:rPr>
                <w:bCs/>
                <w:sz w:val="20"/>
                <w:szCs w:val="20"/>
              </w:rPr>
            </w:pPr>
            <w:r w:rsidRPr="008B6A75">
              <w:rPr>
                <w:bCs/>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15967654" w14:textId="77777777" w:rsidR="00387142" w:rsidRPr="008B6A75" w:rsidRDefault="00387142" w:rsidP="00387142">
            <w:pPr>
              <w:jc w:val="center"/>
              <w:rPr>
                <w:bCs/>
                <w:sz w:val="20"/>
                <w:szCs w:val="20"/>
              </w:rPr>
            </w:pPr>
            <w:r w:rsidRPr="008B6A75">
              <w:rPr>
                <w:bCs/>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48463ACC" w14:textId="77777777" w:rsidR="00387142" w:rsidRPr="008B6A75" w:rsidRDefault="00387142" w:rsidP="00387142">
            <w:pPr>
              <w:jc w:val="center"/>
              <w:rPr>
                <w:bCs/>
                <w:sz w:val="20"/>
                <w:szCs w:val="20"/>
              </w:rPr>
            </w:pPr>
            <w:r w:rsidRPr="008B6A75">
              <w:rPr>
                <w:bCs/>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94A8C7C" w14:textId="77777777" w:rsidR="00387142" w:rsidRPr="008B6A75" w:rsidRDefault="00387142" w:rsidP="00387142">
            <w:pPr>
              <w:jc w:val="right"/>
              <w:rPr>
                <w:bCs/>
                <w:sz w:val="20"/>
                <w:szCs w:val="20"/>
              </w:rPr>
            </w:pPr>
            <w:r w:rsidRPr="008B6A75">
              <w:rPr>
                <w:bCs/>
                <w:sz w:val="20"/>
                <w:szCs w:val="20"/>
              </w:rPr>
              <w:t>200 000,00</w:t>
            </w:r>
          </w:p>
        </w:tc>
        <w:tc>
          <w:tcPr>
            <w:tcW w:w="851" w:type="dxa"/>
            <w:tcBorders>
              <w:top w:val="nil"/>
              <w:left w:val="single" w:sz="4" w:space="0" w:color="auto"/>
              <w:bottom w:val="single" w:sz="4" w:space="0" w:color="auto"/>
              <w:right w:val="nil"/>
            </w:tcBorders>
            <w:shd w:val="clear" w:color="auto" w:fill="auto"/>
            <w:noWrap/>
            <w:vAlign w:val="center"/>
            <w:hideMark/>
          </w:tcPr>
          <w:p w14:paraId="4BFC4BDC" w14:textId="77777777" w:rsidR="00387142" w:rsidRPr="008B6A75" w:rsidRDefault="00387142" w:rsidP="00387142">
            <w:pPr>
              <w:jc w:val="right"/>
              <w:rPr>
                <w:bCs/>
                <w:sz w:val="20"/>
                <w:szCs w:val="20"/>
              </w:rPr>
            </w:pPr>
            <w:r w:rsidRPr="008B6A75">
              <w:rPr>
                <w:bCs/>
                <w:sz w:val="20"/>
                <w:szCs w:val="20"/>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28F71675" w14:textId="77777777" w:rsidR="00387142" w:rsidRPr="008B6A75" w:rsidRDefault="00387142" w:rsidP="00387142">
            <w:pPr>
              <w:jc w:val="right"/>
              <w:rPr>
                <w:bCs/>
                <w:sz w:val="20"/>
                <w:szCs w:val="20"/>
              </w:rPr>
            </w:pPr>
            <w:r w:rsidRPr="008B6A75">
              <w:rPr>
                <w:bCs/>
                <w:sz w:val="20"/>
                <w:szCs w:val="20"/>
              </w:rPr>
              <w:t>0,00</w:t>
            </w:r>
          </w:p>
        </w:tc>
      </w:tr>
      <w:tr w:rsidR="00387142" w:rsidRPr="008B6A75" w14:paraId="3BBFACA6" w14:textId="77777777" w:rsidTr="00387142">
        <w:trPr>
          <w:trHeight w:val="300"/>
        </w:trPr>
        <w:tc>
          <w:tcPr>
            <w:tcW w:w="272" w:type="dxa"/>
            <w:tcBorders>
              <w:top w:val="nil"/>
              <w:left w:val="nil"/>
              <w:bottom w:val="nil"/>
              <w:right w:val="single" w:sz="4" w:space="0" w:color="auto"/>
            </w:tcBorders>
            <w:shd w:val="clear" w:color="auto" w:fill="auto"/>
            <w:noWrap/>
            <w:vAlign w:val="bottom"/>
            <w:hideMark/>
          </w:tcPr>
          <w:p w14:paraId="74951CAB"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1779B6D2" w14:textId="77777777" w:rsidR="00387142" w:rsidRPr="008B6A75" w:rsidRDefault="00387142" w:rsidP="00387142">
            <w:pPr>
              <w:rPr>
                <w:sz w:val="20"/>
                <w:szCs w:val="20"/>
              </w:rPr>
            </w:pPr>
            <w:r w:rsidRPr="008B6A75">
              <w:rPr>
                <w:sz w:val="20"/>
                <w:szCs w:val="20"/>
              </w:rPr>
              <w:t>Межбюджетные трансферты</w:t>
            </w:r>
          </w:p>
        </w:tc>
        <w:tc>
          <w:tcPr>
            <w:tcW w:w="1559" w:type="dxa"/>
            <w:tcBorders>
              <w:top w:val="nil"/>
              <w:left w:val="single" w:sz="4" w:space="0" w:color="auto"/>
              <w:bottom w:val="single" w:sz="4" w:space="0" w:color="auto"/>
              <w:right w:val="nil"/>
            </w:tcBorders>
            <w:shd w:val="clear" w:color="auto" w:fill="auto"/>
            <w:noWrap/>
            <w:vAlign w:val="center"/>
            <w:hideMark/>
          </w:tcPr>
          <w:p w14:paraId="336762F1" w14:textId="77777777" w:rsidR="00387142" w:rsidRPr="008B6A75" w:rsidRDefault="00387142" w:rsidP="00387142">
            <w:pPr>
              <w:jc w:val="center"/>
              <w:rPr>
                <w:sz w:val="20"/>
                <w:szCs w:val="20"/>
              </w:rPr>
            </w:pPr>
            <w:r w:rsidRPr="008B6A75">
              <w:rPr>
                <w:sz w:val="20"/>
                <w:szCs w:val="20"/>
              </w:rPr>
              <w:t>12.0.00.49500</w:t>
            </w:r>
          </w:p>
        </w:tc>
        <w:tc>
          <w:tcPr>
            <w:tcW w:w="850" w:type="dxa"/>
            <w:tcBorders>
              <w:top w:val="nil"/>
              <w:left w:val="single" w:sz="4" w:space="0" w:color="auto"/>
              <w:bottom w:val="single" w:sz="4" w:space="0" w:color="auto"/>
              <w:right w:val="nil"/>
            </w:tcBorders>
            <w:shd w:val="clear" w:color="auto" w:fill="auto"/>
            <w:noWrap/>
            <w:vAlign w:val="center"/>
            <w:hideMark/>
          </w:tcPr>
          <w:p w14:paraId="204B8A6C" w14:textId="77777777" w:rsidR="00387142" w:rsidRPr="008B6A75" w:rsidRDefault="00387142" w:rsidP="00387142">
            <w:pPr>
              <w:jc w:val="center"/>
              <w:rPr>
                <w:sz w:val="20"/>
                <w:szCs w:val="20"/>
              </w:rPr>
            </w:pPr>
            <w:r w:rsidRPr="008B6A75">
              <w:rPr>
                <w:sz w:val="20"/>
                <w:szCs w:val="20"/>
              </w:rPr>
              <w:t>500</w:t>
            </w:r>
          </w:p>
        </w:tc>
        <w:tc>
          <w:tcPr>
            <w:tcW w:w="567" w:type="dxa"/>
            <w:tcBorders>
              <w:top w:val="nil"/>
              <w:left w:val="single" w:sz="4" w:space="0" w:color="auto"/>
              <w:bottom w:val="single" w:sz="4" w:space="0" w:color="auto"/>
              <w:right w:val="nil"/>
            </w:tcBorders>
            <w:shd w:val="clear" w:color="auto" w:fill="auto"/>
            <w:noWrap/>
            <w:vAlign w:val="center"/>
            <w:hideMark/>
          </w:tcPr>
          <w:p w14:paraId="0D0A2708" w14:textId="77777777" w:rsidR="00387142" w:rsidRPr="008B6A75" w:rsidRDefault="00387142" w:rsidP="00387142">
            <w:pPr>
              <w:jc w:val="center"/>
              <w:rPr>
                <w:sz w:val="20"/>
                <w:szCs w:val="20"/>
              </w:rPr>
            </w:pPr>
            <w:r w:rsidRPr="008B6A75">
              <w:rPr>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5988108E" w14:textId="77777777" w:rsidR="00387142" w:rsidRPr="008B6A75" w:rsidRDefault="00387142" w:rsidP="00387142">
            <w:pPr>
              <w:jc w:val="center"/>
              <w:rPr>
                <w:sz w:val="20"/>
                <w:szCs w:val="20"/>
              </w:rPr>
            </w:pPr>
            <w:r w:rsidRPr="008B6A75">
              <w:rPr>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3F00FB2" w14:textId="77777777" w:rsidR="00387142" w:rsidRPr="008B6A75" w:rsidRDefault="00387142" w:rsidP="00387142">
            <w:pPr>
              <w:jc w:val="right"/>
              <w:rPr>
                <w:sz w:val="20"/>
                <w:szCs w:val="20"/>
              </w:rPr>
            </w:pPr>
            <w:r w:rsidRPr="008B6A75">
              <w:rPr>
                <w:sz w:val="20"/>
                <w:szCs w:val="20"/>
              </w:rPr>
              <w:t>200 000,00</w:t>
            </w:r>
          </w:p>
        </w:tc>
        <w:tc>
          <w:tcPr>
            <w:tcW w:w="851" w:type="dxa"/>
            <w:tcBorders>
              <w:top w:val="nil"/>
              <w:left w:val="single" w:sz="4" w:space="0" w:color="auto"/>
              <w:bottom w:val="single" w:sz="4" w:space="0" w:color="auto"/>
              <w:right w:val="nil"/>
            </w:tcBorders>
            <w:shd w:val="clear" w:color="auto" w:fill="auto"/>
            <w:noWrap/>
            <w:vAlign w:val="center"/>
            <w:hideMark/>
          </w:tcPr>
          <w:p w14:paraId="3B970006" w14:textId="77777777" w:rsidR="00387142" w:rsidRPr="008B6A75" w:rsidRDefault="00387142" w:rsidP="00387142">
            <w:pPr>
              <w:jc w:val="right"/>
              <w:rPr>
                <w:sz w:val="20"/>
                <w:szCs w:val="20"/>
              </w:rPr>
            </w:pPr>
            <w:r w:rsidRPr="008B6A75">
              <w:rPr>
                <w:sz w:val="20"/>
                <w:szCs w:val="20"/>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2AE8B049" w14:textId="77777777" w:rsidR="00387142" w:rsidRPr="008B6A75" w:rsidRDefault="00387142" w:rsidP="00387142">
            <w:pPr>
              <w:jc w:val="right"/>
              <w:rPr>
                <w:sz w:val="20"/>
                <w:szCs w:val="20"/>
              </w:rPr>
            </w:pPr>
            <w:r w:rsidRPr="008B6A75">
              <w:rPr>
                <w:sz w:val="20"/>
                <w:szCs w:val="20"/>
              </w:rPr>
              <w:t>0,00</w:t>
            </w:r>
          </w:p>
        </w:tc>
      </w:tr>
      <w:tr w:rsidR="00387142" w:rsidRPr="008B6A75" w14:paraId="2F5DD857" w14:textId="77777777" w:rsidTr="00387142">
        <w:trPr>
          <w:trHeight w:val="300"/>
        </w:trPr>
        <w:tc>
          <w:tcPr>
            <w:tcW w:w="272" w:type="dxa"/>
            <w:tcBorders>
              <w:top w:val="nil"/>
              <w:left w:val="nil"/>
              <w:bottom w:val="nil"/>
              <w:right w:val="single" w:sz="4" w:space="0" w:color="auto"/>
            </w:tcBorders>
            <w:shd w:val="clear" w:color="auto" w:fill="auto"/>
            <w:noWrap/>
            <w:vAlign w:val="bottom"/>
            <w:hideMark/>
          </w:tcPr>
          <w:p w14:paraId="434F24C3"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4E42191E" w14:textId="77777777" w:rsidR="00387142" w:rsidRPr="008B6A75" w:rsidRDefault="00387142" w:rsidP="00387142">
            <w:pPr>
              <w:rPr>
                <w:sz w:val="20"/>
                <w:szCs w:val="20"/>
              </w:rPr>
            </w:pPr>
            <w:r w:rsidRPr="008B6A75">
              <w:rPr>
                <w:sz w:val="20"/>
                <w:szCs w:val="20"/>
              </w:rPr>
              <w:t>Иные межбюджетные трансферты</w:t>
            </w:r>
          </w:p>
        </w:tc>
        <w:tc>
          <w:tcPr>
            <w:tcW w:w="1559" w:type="dxa"/>
            <w:tcBorders>
              <w:top w:val="nil"/>
              <w:left w:val="single" w:sz="4" w:space="0" w:color="auto"/>
              <w:bottom w:val="single" w:sz="4" w:space="0" w:color="auto"/>
              <w:right w:val="nil"/>
            </w:tcBorders>
            <w:shd w:val="clear" w:color="auto" w:fill="auto"/>
            <w:noWrap/>
            <w:vAlign w:val="center"/>
            <w:hideMark/>
          </w:tcPr>
          <w:p w14:paraId="58CA6A4A" w14:textId="77777777" w:rsidR="00387142" w:rsidRPr="008B6A75" w:rsidRDefault="00387142" w:rsidP="00387142">
            <w:pPr>
              <w:jc w:val="center"/>
              <w:rPr>
                <w:sz w:val="20"/>
                <w:szCs w:val="20"/>
              </w:rPr>
            </w:pPr>
            <w:r w:rsidRPr="008B6A75">
              <w:rPr>
                <w:sz w:val="20"/>
                <w:szCs w:val="20"/>
              </w:rPr>
              <w:t>12.0.00.49500</w:t>
            </w:r>
          </w:p>
        </w:tc>
        <w:tc>
          <w:tcPr>
            <w:tcW w:w="850" w:type="dxa"/>
            <w:tcBorders>
              <w:top w:val="nil"/>
              <w:left w:val="single" w:sz="4" w:space="0" w:color="auto"/>
              <w:bottom w:val="single" w:sz="4" w:space="0" w:color="auto"/>
              <w:right w:val="nil"/>
            </w:tcBorders>
            <w:shd w:val="clear" w:color="auto" w:fill="auto"/>
            <w:noWrap/>
            <w:vAlign w:val="center"/>
            <w:hideMark/>
          </w:tcPr>
          <w:p w14:paraId="685C8347" w14:textId="77777777" w:rsidR="00387142" w:rsidRPr="008B6A75" w:rsidRDefault="00387142" w:rsidP="00387142">
            <w:pPr>
              <w:jc w:val="center"/>
              <w:rPr>
                <w:sz w:val="20"/>
                <w:szCs w:val="20"/>
              </w:rPr>
            </w:pPr>
            <w:r w:rsidRPr="008B6A75">
              <w:rPr>
                <w:sz w:val="20"/>
                <w:szCs w:val="20"/>
              </w:rPr>
              <w:t>540</w:t>
            </w:r>
          </w:p>
        </w:tc>
        <w:tc>
          <w:tcPr>
            <w:tcW w:w="567" w:type="dxa"/>
            <w:tcBorders>
              <w:top w:val="nil"/>
              <w:left w:val="single" w:sz="4" w:space="0" w:color="auto"/>
              <w:bottom w:val="single" w:sz="4" w:space="0" w:color="auto"/>
              <w:right w:val="nil"/>
            </w:tcBorders>
            <w:shd w:val="clear" w:color="auto" w:fill="auto"/>
            <w:noWrap/>
            <w:vAlign w:val="center"/>
            <w:hideMark/>
          </w:tcPr>
          <w:p w14:paraId="4025384C" w14:textId="77777777" w:rsidR="00387142" w:rsidRPr="008B6A75" w:rsidRDefault="00387142" w:rsidP="00387142">
            <w:pPr>
              <w:jc w:val="center"/>
              <w:rPr>
                <w:sz w:val="20"/>
                <w:szCs w:val="20"/>
              </w:rPr>
            </w:pPr>
            <w:r w:rsidRPr="008B6A75">
              <w:rPr>
                <w:sz w:val="20"/>
                <w:szCs w:val="20"/>
              </w:rPr>
              <w:t>05</w:t>
            </w:r>
          </w:p>
        </w:tc>
        <w:tc>
          <w:tcPr>
            <w:tcW w:w="567" w:type="dxa"/>
            <w:tcBorders>
              <w:top w:val="nil"/>
              <w:left w:val="single" w:sz="4" w:space="0" w:color="auto"/>
              <w:bottom w:val="single" w:sz="4" w:space="0" w:color="auto"/>
              <w:right w:val="nil"/>
            </w:tcBorders>
            <w:shd w:val="clear" w:color="auto" w:fill="auto"/>
            <w:noWrap/>
            <w:vAlign w:val="center"/>
            <w:hideMark/>
          </w:tcPr>
          <w:p w14:paraId="6EED9EF6" w14:textId="77777777" w:rsidR="00387142" w:rsidRPr="008B6A75" w:rsidRDefault="00387142" w:rsidP="00387142">
            <w:pPr>
              <w:jc w:val="center"/>
              <w:rPr>
                <w:sz w:val="20"/>
                <w:szCs w:val="20"/>
              </w:rPr>
            </w:pPr>
            <w:r w:rsidRPr="008B6A75">
              <w:rPr>
                <w:sz w:val="20"/>
                <w:szCs w:val="20"/>
              </w:rPr>
              <w:t>03</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CF83E07" w14:textId="77777777" w:rsidR="00387142" w:rsidRPr="008B6A75" w:rsidRDefault="00387142" w:rsidP="00387142">
            <w:pPr>
              <w:jc w:val="right"/>
              <w:rPr>
                <w:sz w:val="20"/>
                <w:szCs w:val="20"/>
              </w:rPr>
            </w:pPr>
            <w:r w:rsidRPr="008B6A75">
              <w:rPr>
                <w:sz w:val="20"/>
                <w:szCs w:val="20"/>
              </w:rPr>
              <w:t>200 000,00</w:t>
            </w:r>
          </w:p>
        </w:tc>
        <w:tc>
          <w:tcPr>
            <w:tcW w:w="851" w:type="dxa"/>
            <w:tcBorders>
              <w:top w:val="nil"/>
              <w:left w:val="single" w:sz="4" w:space="0" w:color="auto"/>
              <w:bottom w:val="single" w:sz="4" w:space="0" w:color="auto"/>
              <w:right w:val="nil"/>
            </w:tcBorders>
            <w:shd w:val="clear" w:color="auto" w:fill="auto"/>
            <w:noWrap/>
            <w:vAlign w:val="center"/>
            <w:hideMark/>
          </w:tcPr>
          <w:p w14:paraId="4A70535B" w14:textId="77777777" w:rsidR="00387142" w:rsidRPr="008B6A75" w:rsidRDefault="00387142" w:rsidP="00387142">
            <w:pPr>
              <w:jc w:val="right"/>
              <w:rPr>
                <w:sz w:val="20"/>
                <w:szCs w:val="20"/>
              </w:rPr>
            </w:pPr>
            <w:r w:rsidRPr="008B6A75">
              <w:rPr>
                <w:sz w:val="20"/>
                <w:szCs w:val="20"/>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523AA878" w14:textId="77777777" w:rsidR="00387142" w:rsidRPr="008B6A75" w:rsidRDefault="00387142" w:rsidP="00387142">
            <w:pPr>
              <w:jc w:val="right"/>
              <w:rPr>
                <w:sz w:val="20"/>
                <w:szCs w:val="20"/>
              </w:rPr>
            </w:pPr>
            <w:r w:rsidRPr="008B6A75">
              <w:rPr>
                <w:sz w:val="20"/>
                <w:szCs w:val="20"/>
              </w:rPr>
              <w:t>0,00</w:t>
            </w:r>
          </w:p>
        </w:tc>
      </w:tr>
      <w:tr w:rsidR="00387142" w:rsidRPr="008B6A75" w14:paraId="14FE18DB" w14:textId="77777777" w:rsidTr="00387142">
        <w:trPr>
          <w:trHeight w:val="1725"/>
        </w:trPr>
        <w:tc>
          <w:tcPr>
            <w:tcW w:w="272" w:type="dxa"/>
            <w:tcBorders>
              <w:top w:val="nil"/>
              <w:left w:val="nil"/>
              <w:bottom w:val="nil"/>
              <w:right w:val="single" w:sz="4" w:space="0" w:color="auto"/>
            </w:tcBorders>
            <w:shd w:val="clear" w:color="auto" w:fill="auto"/>
            <w:noWrap/>
            <w:vAlign w:val="bottom"/>
            <w:hideMark/>
          </w:tcPr>
          <w:p w14:paraId="3E4145CA"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691F3B75" w14:textId="77777777" w:rsidR="00387142" w:rsidRPr="008B6A75" w:rsidRDefault="00387142" w:rsidP="00387142">
            <w:pPr>
              <w:rPr>
                <w:bCs/>
                <w:sz w:val="20"/>
                <w:szCs w:val="20"/>
              </w:rPr>
            </w:pPr>
            <w:r w:rsidRPr="008B6A75">
              <w:rPr>
                <w:bCs/>
                <w:sz w:val="20"/>
                <w:szCs w:val="20"/>
              </w:rPr>
              <w:t xml:space="preserve">Реализация </w:t>
            </w:r>
            <w:proofErr w:type="spellStart"/>
            <w:r w:rsidRPr="008B6A75">
              <w:rPr>
                <w:bCs/>
                <w:sz w:val="20"/>
                <w:szCs w:val="20"/>
              </w:rPr>
              <w:t>мероприятиий</w:t>
            </w:r>
            <w:proofErr w:type="spellEnd"/>
            <w:r w:rsidRPr="008B6A75">
              <w:rPr>
                <w:bCs/>
                <w:sz w:val="20"/>
                <w:szCs w:val="20"/>
              </w:rPr>
              <w:t xml:space="preserve"> на поддержание безопасного технического состояния гидротехнических сооружений Новосибирской области государственной программы Новосибирской области "Охрана окружающей среды"</w:t>
            </w:r>
          </w:p>
        </w:tc>
        <w:tc>
          <w:tcPr>
            <w:tcW w:w="1559" w:type="dxa"/>
            <w:tcBorders>
              <w:top w:val="nil"/>
              <w:left w:val="single" w:sz="4" w:space="0" w:color="auto"/>
              <w:bottom w:val="single" w:sz="4" w:space="0" w:color="auto"/>
              <w:right w:val="nil"/>
            </w:tcBorders>
            <w:shd w:val="clear" w:color="auto" w:fill="auto"/>
            <w:noWrap/>
            <w:vAlign w:val="center"/>
            <w:hideMark/>
          </w:tcPr>
          <w:p w14:paraId="6E38F8FA" w14:textId="77777777" w:rsidR="00387142" w:rsidRPr="008B6A75" w:rsidRDefault="00387142" w:rsidP="00387142">
            <w:pPr>
              <w:jc w:val="center"/>
              <w:rPr>
                <w:bCs/>
                <w:sz w:val="20"/>
                <w:szCs w:val="20"/>
              </w:rPr>
            </w:pPr>
            <w:r w:rsidRPr="008B6A75">
              <w:rPr>
                <w:bCs/>
                <w:sz w:val="20"/>
                <w:szCs w:val="20"/>
              </w:rPr>
              <w:t>12.0.00.70860</w:t>
            </w:r>
          </w:p>
        </w:tc>
        <w:tc>
          <w:tcPr>
            <w:tcW w:w="850" w:type="dxa"/>
            <w:tcBorders>
              <w:top w:val="nil"/>
              <w:left w:val="single" w:sz="4" w:space="0" w:color="auto"/>
              <w:bottom w:val="single" w:sz="4" w:space="0" w:color="auto"/>
              <w:right w:val="nil"/>
            </w:tcBorders>
            <w:shd w:val="clear" w:color="auto" w:fill="auto"/>
            <w:noWrap/>
            <w:vAlign w:val="center"/>
            <w:hideMark/>
          </w:tcPr>
          <w:p w14:paraId="1AB48A3B" w14:textId="77777777" w:rsidR="00387142" w:rsidRPr="008B6A75" w:rsidRDefault="00387142" w:rsidP="00387142">
            <w:pPr>
              <w:jc w:val="center"/>
              <w:rPr>
                <w:bCs/>
                <w:sz w:val="20"/>
                <w:szCs w:val="20"/>
              </w:rPr>
            </w:pPr>
            <w:r w:rsidRPr="008B6A75">
              <w:rPr>
                <w:bCs/>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1B27B335" w14:textId="77777777" w:rsidR="00387142" w:rsidRPr="008B6A75" w:rsidRDefault="00387142" w:rsidP="00387142">
            <w:pPr>
              <w:jc w:val="center"/>
              <w:rPr>
                <w:bCs/>
                <w:sz w:val="20"/>
                <w:szCs w:val="20"/>
              </w:rPr>
            </w:pPr>
            <w:r w:rsidRPr="008B6A75">
              <w:rPr>
                <w:bCs/>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5D12AD74" w14:textId="77777777" w:rsidR="00387142" w:rsidRPr="008B6A75" w:rsidRDefault="00387142" w:rsidP="00387142">
            <w:pPr>
              <w:jc w:val="center"/>
              <w:rPr>
                <w:bCs/>
                <w:sz w:val="20"/>
                <w:szCs w:val="20"/>
              </w:rPr>
            </w:pPr>
            <w:r w:rsidRPr="008B6A75">
              <w:rPr>
                <w:bCs/>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09513A2" w14:textId="77777777" w:rsidR="00387142" w:rsidRPr="008B6A75" w:rsidRDefault="00387142" w:rsidP="00387142">
            <w:pPr>
              <w:jc w:val="right"/>
              <w:rPr>
                <w:bCs/>
                <w:sz w:val="20"/>
                <w:szCs w:val="20"/>
              </w:rPr>
            </w:pPr>
            <w:r w:rsidRPr="008B6A75">
              <w:rPr>
                <w:bCs/>
                <w:sz w:val="20"/>
                <w:szCs w:val="20"/>
              </w:rPr>
              <w:t>2 000 000,00</w:t>
            </w:r>
          </w:p>
        </w:tc>
        <w:tc>
          <w:tcPr>
            <w:tcW w:w="851" w:type="dxa"/>
            <w:tcBorders>
              <w:top w:val="nil"/>
              <w:left w:val="single" w:sz="4" w:space="0" w:color="auto"/>
              <w:bottom w:val="single" w:sz="4" w:space="0" w:color="auto"/>
              <w:right w:val="nil"/>
            </w:tcBorders>
            <w:shd w:val="clear" w:color="auto" w:fill="auto"/>
            <w:noWrap/>
            <w:vAlign w:val="center"/>
            <w:hideMark/>
          </w:tcPr>
          <w:p w14:paraId="621EF52E" w14:textId="77777777" w:rsidR="00387142" w:rsidRPr="008B6A75" w:rsidRDefault="00387142" w:rsidP="00387142">
            <w:pPr>
              <w:jc w:val="right"/>
              <w:rPr>
                <w:bCs/>
                <w:sz w:val="20"/>
                <w:szCs w:val="20"/>
              </w:rPr>
            </w:pPr>
            <w:r w:rsidRPr="008B6A75">
              <w:rPr>
                <w:bCs/>
                <w:sz w:val="20"/>
                <w:szCs w:val="20"/>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58B0E2EA" w14:textId="77777777" w:rsidR="00387142" w:rsidRPr="008B6A75" w:rsidRDefault="00387142" w:rsidP="00387142">
            <w:pPr>
              <w:jc w:val="right"/>
              <w:rPr>
                <w:bCs/>
                <w:sz w:val="20"/>
                <w:szCs w:val="20"/>
              </w:rPr>
            </w:pPr>
            <w:r w:rsidRPr="008B6A75">
              <w:rPr>
                <w:bCs/>
                <w:sz w:val="20"/>
                <w:szCs w:val="20"/>
              </w:rPr>
              <w:t>0,00</w:t>
            </w:r>
          </w:p>
        </w:tc>
      </w:tr>
      <w:tr w:rsidR="00387142" w:rsidRPr="008B6A75" w14:paraId="681C613D" w14:textId="77777777" w:rsidTr="00387142">
        <w:trPr>
          <w:trHeight w:val="300"/>
        </w:trPr>
        <w:tc>
          <w:tcPr>
            <w:tcW w:w="272" w:type="dxa"/>
            <w:tcBorders>
              <w:top w:val="nil"/>
              <w:left w:val="nil"/>
              <w:bottom w:val="nil"/>
              <w:right w:val="single" w:sz="4" w:space="0" w:color="auto"/>
            </w:tcBorders>
            <w:shd w:val="clear" w:color="auto" w:fill="auto"/>
            <w:noWrap/>
            <w:vAlign w:val="bottom"/>
            <w:hideMark/>
          </w:tcPr>
          <w:p w14:paraId="730C47F9"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3932010F" w14:textId="77777777" w:rsidR="00387142" w:rsidRPr="008B6A75" w:rsidRDefault="00387142" w:rsidP="00387142">
            <w:pPr>
              <w:rPr>
                <w:sz w:val="20"/>
                <w:szCs w:val="20"/>
              </w:rPr>
            </w:pPr>
            <w:r w:rsidRPr="008B6A75">
              <w:rPr>
                <w:sz w:val="20"/>
                <w:szCs w:val="20"/>
              </w:rPr>
              <w:t>Межбюджетные трансферты</w:t>
            </w:r>
          </w:p>
        </w:tc>
        <w:tc>
          <w:tcPr>
            <w:tcW w:w="1559" w:type="dxa"/>
            <w:tcBorders>
              <w:top w:val="nil"/>
              <w:left w:val="single" w:sz="4" w:space="0" w:color="auto"/>
              <w:bottom w:val="single" w:sz="4" w:space="0" w:color="auto"/>
              <w:right w:val="nil"/>
            </w:tcBorders>
            <w:shd w:val="clear" w:color="auto" w:fill="auto"/>
            <w:noWrap/>
            <w:vAlign w:val="center"/>
            <w:hideMark/>
          </w:tcPr>
          <w:p w14:paraId="4E5F81FA" w14:textId="77777777" w:rsidR="00387142" w:rsidRPr="008B6A75" w:rsidRDefault="00387142" w:rsidP="00387142">
            <w:pPr>
              <w:jc w:val="center"/>
              <w:rPr>
                <w:sz w:val="20"/>
                <w:szCs w:val="20"/>
              </w:rPr>
            </w:pPr>
            <w:r w:rsidRPr="008B6A75">
              <w:rPr>
                <w:sz w:val="20"/>
                <w:szCs w:val="20"/>
              </w:rPr>
              <w:t>12.0.00.70860</w:t>
            </w:r>
          </w:p>
        </w:tc>
        <w:tc>
          <w:tcPr>
            <w:tcW w:w="850" w:type="dxa"/>
            <w:tcBorders>
              <w:top w:val="nil"/>
              <w:left w:val="single" w:sz="4" w:space="0" w:color="auto"/>
              <w:bottom w:val="single" w:sz="4" w:space="0" w:color="auto"/>
              <w:right w:val="nil"/>
            </w:tcBorders>
            <w:shd w:val="clear" w:color="auto" w:fill="auto"/>
            <w:noWrap/>
            <w:vAlign w:val="center"/>
            <w:hideMark/>
          </w:tcPr>
          <w:p w14:paraId="410A3261" w14:textId="77777777" w:rsidR="00387142" w:rsidRPr="008B6A75" w:rsidRDefault="00387142" w:rsidP="00387142">
            <w:pPr>
              <w:jc w:val="center"/>
              <w:rPr>
                <w:sz w:val="20"/>
                <w:szCs w:val="20"/>
              </w:rPr>
            </w:pPr>
            <w:r w:rsidRPr="008B6A75">
              <w:rPr>
                <w:sz w:val="20"/>
                <w:szCs w:val="20"/>
              </w:rPr>
              <w:t>500</w:t>
            </w:r>
          </w:p>
        </w:tc>
        <w:tc>
          <w:tcPr>
            <w:tcW w:w="567" w:type="dxa"/>
            <w:tcBorders>
              <w:top w:val="nil"/>
              <w:left w:val="single" w:sz="4" w:space="0" w:color="auto"/>
              <w:bottom w:val="single" w:sz="4" w:space="0" w:color="auto"/>
              <w:right w:val="nil"/>
            </w:tcBorders>
            <w:shd w:val="clear" w:color="auto" w:fill="auto"/>
            <w:noWrap/>
            <w:vAlign w:val="center"/>
            <w:hideMark/>
          </w:tcPr>
          <w:p w14:paraId="3F3B95EB" w14:textId="77777777" w:rsidR="00387142" w:rsidRPr="008B6A75" w:rsidRDefault="00387142" w:rsidP="00387142">
            <w:pPr>
              <w:jc w:val="center"/>
              <w:rPr>
                <w:sz w:val="20"/>
                <w:szCs w:val="20"/>
              </w:rPr>
            </w:pPr>
            <w:r w:rsidRPr="008B6A75">
              <w:rPr>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6BF33AAD" w14:textId="77777777" w:rsidR="00387142" w:rsidRPr="008B6A75" w:rsidRDefault="00387142" w:rsidP="00387142">
            <w:pPr>
              <w:jc w:val="center"/>
              <w:rPr>
                <w:sz w:val="20"/>
                <w:szCs w:val="20"/>
              </w:rPr>
            </w:pPr>
            <w:r w:rsidRPr="008B6A75">
              <w:rPr>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D1EE4AC" w14:textId="77777777" w:rsidR="00387142" w:rsidRPr="008B6A75" w:rsidRDefault="00387142" w:rsidP="00387142">
            <w:pPr>
              <w:jc w:val="right"/>
              <w:rPr>
                <w:sz w:val="20"/>
                <w:szCs w:val="20"/>
              </w:rPr>
            </w:pPr>
            <w:r w:rsidRPr="008B6A75">
              <w:rPr>
                <w:sz w:val="20"/>
                <w:szCs w:val="20"/>
              </w:rPr>
              <w:t>2 000 000,00</w:t>
            </w:r>
          </w:p>
        </w:tc>
        <w:tc>
          <w:tcPr>
            <w:tcW w:w="851" w:type="dxa"/>
            <w:tcBorders>
              <w:top w:val="nil"/>
              <w:left w:val="single" w:sz="4" w:space="0" w:color="auto"/>
              <w:bottom w:val="single" w:sz="4" w:space="0" w:color="auto"/>
              <w:right w:val="nil"/>
            </w:tcBorders>
            <w:shd w:val="clear" w:color="auto" w:fill="auto"/>
            <w:noWrap/>
            <w:vAlign w:val="center"/>
            <w:hideMark/>
          </w:tcPr>
          <w:p w14:paraId="553794FE" w14:textId="77777777" w:rsidR="00387142" w:rsidRPr="008B6A75" w:rsidRDefault="00387142" w:rsidP="00387142">
            <w:pPr>
              <w:jc w:val="right"/>
              <w:rPr>
                <w:sz w:val="20"/>
                <w:szCs w:val="20"/>
              </w:rPr>
            </w:pPr>
            <w:r w:rsidRPr="008B6A75">
              <w:rPr>
                <w:sz w:val="20"/>
                <w:szCs w:val="20"/>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505BAD83" w14:textId="77777777" w:rsidR="00387142" w:rsidRPr="008B6A75" w:rsidRDefault="00387142" w:rsidP="00387142">
            <w:pPr>
              <w:jc w:val="right"/>
              <w:rPr>
                <w:sz w:val="20"/>
                <w:szCs w:val="20"/>
              </w:rPr>
            </w:pPr>
            <w:r w:rsidRPr="008B6A75">
              <w:rPr>
                <w:sz w:val="20"/>
                <w:szCs w:val="20"/>
              </w:rPr>
              <w:t>0,00</w:t>
            </w:r>
          </w:p>
        </w:tc>
      </w:tr>
      <w:tr w:rsidR="00387142" w:rsidRPr="008B6A75" w14:paraId="77CF4FD0" w14:textId="77777777" w:rsidTr="00387142">
        <w:trPr>
          <w:trHeight w:val="300"/>
        </w:trPr>
        <w:tc>
          <w:tcPr>
            <w:tcW w:w="272" w:type="dxa"/>
            <w:tcBorders>
              <w:top w:val="nil"/>
              <w:left w:val="nil"/>
              <w:bottom w:val="nil"/>
              <w:right w:val="single" w:sz="4" w:space="0" w:color="auto"/>
            </w:tcBorders>
            <w:shd w:val="clear" w:color="auto" w:fill="auto"/>
            <w:noWrap/>
            <w:vAlign w:val="bottom"/>
            <w:hideMark/>
          </w:tcPr>
          <w:p w14:paraId="23CB5B85"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4B82C88B" w14:textId="77777777" w:rsidR="00387142" w:rsidRPr="008B6A75" w:rsidRDefault="00387142" w:rsidP="00387142">
            <w:pPr>
              <w:rPr>
                <w:sz w:val="20"/>
                <w:szCs w:val="20"/>
              </w:rPr>
            </w:pPr>
            <w:r w:rsidRPr="008B6A75">
              <w:rPr>
                <w:sz w:val="20"/>
                <w:szCs w:val="20"/>
              </w:rPr>
              <w:t>Субсидии</w:t>
            </w:r>
          </w:p>
        </w:tc>
        <w:tc>
          <w:tcPr>
            <w:tcW w:w="1559" w:type="dxa"/>
            <w:tcBorders>
              <w:top w:val="nil"/>
              <w:left w:val="single" w:sz="4" w:space="0" w:color="auto"/>
              <w:bottom w:val="single" w:sz="4" w:space="0" w:color="auto"/>
              <w:right w:val="nil"/>
            </w:tcBorders>
            <w:shd w:val="clear" w:color="auto" w:fill="auto"/>
            <w:noWrap/>
            <w:vAlign w:val="center"/>
            <w:hideMark/>
          </w:tcPr>
          <w:p w14:paraId="7354646B" w14:textId="77777777" w:rsidR="00387142" w:rsidRPr="008B6A75" w:rsidRDefault="00387142" w:rsidP="00387142">
            <w:pPr>
              <w:jc w:val="center"/>
              <w:rPr>
                <w:sz w:val="20"/>
                <w:szCs w:val="20"/>
              </w:rPr>
            </w:pPr>
            <w:r w:rsidRPr="008B6A75">
              <w:rPr>
                <w:sz w:val="20"/>
                <w:szCs w:val="20"/>
              </w:rPr>
              <w:t>12.0.00.70860</w:t>
            </w:r>
          </w:p>
        </w:tc>
        <w:tc>
          <w:tcPr>
            <w:tcW w:w="850" w:type="dxa"/>
            <w:tcBorders>
              <w:top w:val="nil"/>
              <w:left w:val="single" w:sz="4" w:space="0" w:color="auto"/>
              <w:bottom w:val="single" w:sz="4" w:space="0" w:color="auto"/>
              <w:right w:val="nil"/>
            </w:tcBorders>
            <w:shd w:val="clear" w:color="auto" w:fill="auto"/>
            <w:noWrap/>
            <w:vAlign w:val="center"/>
            <w:hideMark/>
          </w:tcPr>
          <w:p w14:paraId="079D5A9B" w14:textId="77777777" w:rsidR="00387142" w:rsidRPr="008B6A75" w:rsidRDefault="00387142" w:rsidP="00387142">
            <w:pPr>
              <w:jc w:val="center"/>
              <w:rPr>
                <w:sz w:val="20"/>
                <w:szCs w:val="20"/>
              </w:rPr>
            </w:pPr>
            <w:r w:rsidRPr="008B6A75">
              <w:rPr>
                <w:sz w:val="20"/>
                <w:szCs w:val="20"/>
              </w:rPr>
              <w:t>520</w:t>
            </w:r>
          </w:p>
        </w:tc>
        <w:tc>
          <w:tcPr>
            <w:tcW w:w="567" w:type="dxa"/>
            <w:tcBorders>
              <w:top w:val="nil"/>
              <w:left w:val="single" w:sz="4" w:space="0" w:color="auto"/>
              <w:bottom w:val="single" w:sz="4" w:space="0" w:color="auto"/>
              <w:right w:val="nil"/>
            </w:tcBorders>
            <w:shd w:val="clear" w:color="auto" w:fill="auto"/>
            <w:noWrap/>
            <w:vAlign w:val="center"/>
            <w:hideMark/>
          </w:tcPr>
          <w:p w14:paraId="3AA997FE" w14:textId="77777777" w:rsidR="00387142" w:rsidRPr="008B6A75" w:rsidRDefault="00387142" w:rsidP="00387142">
            <w:pPr>
              <w:jc w:val="center"/>
              <w:rPr>
                <w:sz w:val="20"/>
                <w:szCs w:val="20"/>
              </w:rPr>
            </w:pPr>
            <w:r w:rsidRPr="008B6A75">
              <w:rPr>
                <w:sz w:val="20"/>
                <w:szCs w:val="20"/>
              </w:rPr>
              <w:t>04</w:t>
            </w:r>
          </w:p>
        </w:tc>
        <w:tc>
          <w:tcPr>
            <w:tcW w:w="567" w:type="dxa"/>
            <w:tcBorders>
              <w:top w:val="nil"/>
              <w:left w:val="single" w:sz="4" w:space="0" w:color="auto"/>
              <w:bottom w:val="single" w:sz="4" w:space="0" w:color="auto"/>
              <w:right w:val="nil"/>
            </w:tcBorders>
            <w:shd w:val="clear" w:color="auto" w:fill="auto"/>
            <w:noWrap/>
            <w:vAlign w:val="center"/>
            <w:hideMark/>
          </w:tcPr>
          <w:p w14:paraId="1738C125" w14:textId="77777777" w:rsidR="00387142" w:rsidRPr="008B6A75" w:rsidRDefault="00387142" w:rsidP="00387142">
            <w:pPr>
              <w:jc w:val="center"/>
              <w:rPr>
                <w:sz w:val="20"/>
                <w:szCs w:val="20"/>
              </w:rPr>
            </w:pPr>
            <w:r w:rsidRPr="008B6A75">
              <w:rPr>
                <w:sz w:val="20"/>
                <w:szCs w:val="20"/>
              </w:rPr>
              <w:t>06</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756620F" w14:textId="77777777" w:rsidR="00387142" w:rsidRPr="008B6A75" w:rsidRDefault="00387142" w:rsidP="00387142">
            <w:pPr>
              <w:jc w:val="right"/>
              <w:rPr>
                <w:sz w:val="20"/>
                <w:szCs w:val="20"/>
              </w:rPr>
            </w:pPr>
            <w:r w:rsidRPr="008B6A75">
              <w:rPr>
                <w:sz w:val="20"/>
                <w:szCs w:val="20"/>
              </w:rPr>
              <w:t>2 000 000,00</w:t>
            </w:r>
          </w:p>
        </w:tc>
        <w:tc>
          <w:tcPr>
            <w:tcW w:w="851" w:type="dxa"/>
            <w:tcBorders>
              <w:top w:val="nil"/>
              <w:left w:val="single" w:sz="4" w:space="0" w:color="auto"/>
              <w:bottom w:val="single" w:sz="4" w:space="0" w:color="auto"/>
              <w:right w:val="nil"/>
            </w:tcBorders>
            <w:shd w:val="clear" w:color="auto" w:fill="auto"/>
            <w:noWrap/>
            <w:vAlign w:val="center"/>
            <w:hideMark/>
          </w:tcPr>
          <w:p w14:paraId="47FCCD70" w14:textId="77777777" w:rsidR="00387142" w:rsidRPr="008B6A75" w:rsidRDefault="00387142" w:rsidP="00387142">
            <w:pPr>
              <w:jc w:val="right"/>
              <w:rPr>
                <w:sz w:val="20"/>
                <w:szCs w:val="20"/>
              </w:rPr>
            </w:pPr>
            <w:r w:rsidRPr="008B6A75">
              <w:rPr>
                <w:sz w:val="20"/>
                <w:szCs w:val="20"/>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4862226B" w14:textId="77777777" w:rsidR="00387142" w:rsidRPr="008B6A75" w:rsidRDefault="00387142" w:rsidP="00387142">
            <w:pPr>
              <w:jc w:val="right"/>
              <w:rPr>
                <w:sz w:val="20"/>
                <w:szCs w:val="20"/>
              </w:rPr>
            </w:pPr>
            <w:r w:rsidRPr="008B6A75">
              <w:rPr>
                <w:sz w:val="20"/>
                <w:szCs w:val="20"/>
              </w:rPr>
              <w:t>0,00</w:t>
            </w:r>
          </w:p>
        </w:tc>
      </w:tr>
      <w:tr w:rsidR="00387142" w:rsidRPr="008B6A75" w14:paraId="38832EA6" w14:textId="77777777" w:rsidTr="00387142">
        <w:trPr>
          <w:trHeight w:val="870"/>
        </w:trPr>
        <w:tc>
          <w:tcPr>
            <w:tcW w:w="272" w:type="dxa"/>
            <w:tcBorders>
              <w:top w:val="nil"/>
              <w:left w:val="nil"/>
              <w:bottom w:val="nil"/>
              <w:right w:val="single" w:sz="4" w:space="0" w:color="auto"/>
            </w:tcBorders>
            <w:shd w:val="clear" w:color="auto" w:fill="auto"/>
            <w:noWrap/>
            <w:vAlign w:val="bottom"/>
            <w:hideMark/>
          </w:tcPr>
          <w:p w14:paraId="6735E2CF"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194B0FF8" w14:textId="77777777" w:rsidR="00387142" w:rsidRPr="008B6A75" w:rsidRDefault="00387142" w:rsidP="00387142">
            <w:pPr>
              <w:rPr>
                <w:bCs/>
                <w:sz w:val="20"/>
                <w:szCs w:val="20"/>
              </w:rPr>
            </w:pPr>
            <w:r w:rsidRPr="008B6A75">
              <w:rPr>
                <w:bCs/>
                <w:sz w:val="20"/>
                <w:szCs w:val="20"/>
              </w:rPr>
              <w:t>Муниципальная программа "Комплексные меры профилактики наркомании в Куйбышевском районе"</w:t>
            </w:r>
          </w:p>
        </w:tc>
        <w:tc>
          <w:tcPr>
            <w:tcW w:w="1559" w:type="dxa"/>
            <w:tcBorders>
              <w:top w:val="nil"/>
              <w:left w:val="single" w:sz="4" w:space="0" w:color="auto"/>
              <w:bottom w:val="single" w:sz="4" w:space="0" w:color="auto"/>
              <w:right w:val="nil"/>
            </w:tcBorders>
            <w:shd w:val="clear" w:color="auto" w:fill="auto"/>
            <w:noWrap/>
            <w:vAlign w:val="center"/>
            <w:hideMark/>
          </w:tcPr>
          <w:p w14:paraId="6FB05EBA" w14:textId="77777777" w:rsidR="00387142" w:rsidRPr="008B6A75" w:rsidRDefault="00387142" w:rsidP="00387142">
            <w:pPr>
              <w:jc w:val="center"/>
              <w:rPr>
                <w:bCs/>
                <w:sz w:val="20"/>
                <w:szCs w:val="20"/>
              </w:rPr>
            </w:pPr>
            <w:r w:rsidRPr="008B6A75">
              <w:rPr>
                <w:bCs/>
                <w:sz w:val="20"/>
                <w:szCs w:val="20"/>
              </w:rPr>
              <w:t>14.0.00.00000</w:t>
            </w:r>
          </w:p>
        </w:tc>
        <w:tc>
          <w:tcPr>
            <w:tcW w:w="850" w:type="dxa"/>
            <w:tcBorders>
              <w:top w:val="nil"/>
              <w:left w:val="single" w:sz="4" w:space="0" w:color="auto"/>
              <w:bottom w:val="single" w:sz="4" w:space="0" w:color="auto"/>
              <w:right w:val="nil"/>
            </w:tcBorders>
            <w:shd w:val="clear" w:color="auto" w:fill="auto"/>
            <w:noWrap/>
            <w:vAlign w:val="center"/>
            <w:hideMark/>
          </w:tcPr>
          <w:p w14:paraId="5C2F0A44" w14:textId="77777777" w:rsidR="00387142" w:rsidRPr="008B6A75" w:rsidRDefault="00387142" w:rsidP="00387142">
            <w:pPr>
              <w:jc w:val="center"/>
              <w:rPr>
                <w:bCs/>
                <w:sz w:val="20"/>
                <w:szCs w:val="20"/>
              </w:rPr>
            </w:pPr>
            <w:r w:rsidRPr="008B6A75">
              <w:rPr>
                <w:bCs/>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13A9C6EC" w14:textId="77777777" w:rsidR="00387142" w:rsidRPr="008B6A75" w:rsidRDefault="00387142" w:rsidP="00387142">
            <w:pPr>
              <w:jc w:val="center"/>
              <w:rPr>
                <w:bCs/>
                <w:sz w:val="20"/>
                <w:szCs w:val="20"/>
              </w:rPr>
            </w:pPr>
            <w:r w:rsidRPr="008B6A75">
              <w:rPr>
                <w:bCs/>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7340F4A4" w14:textId="77777777" w:rsidR="00387142" w:rsidRPr="008B6A75" w:rsidRDefault="00387142" w:rsidP="00387142">
            <w:pPr>
              <w:jc w:val="center"/>
              <w:rPr>
                <w:bCs/>
                <w:sz w:val="20"/>
                <w:szCs w:val="20"/>
              </w:rPr>
            </w:pPr>
            <w:r w:rsidRPr="008B6A75">
              <w:rPr>
                <w:bCs/>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DF63E87" w14:textId="77777777" w:rsidR="00387142" w:rsidRPr="008B6A75" w:rsidRDefault="00387142" w:rsidP="00387142">
            <w:pPr>
              <w:jc w:val="right"/>
              <w:rPr>
                <w:bCs/>
                <w:sz w:val="20"/>
                <w:szCs w:val="20"/>
              </w:rPr>
            </w:pPr>
            <w:r w:rsidRPr="008B6A75">
              <w:rPr>
                <w:bCs/>
                <w:sz w:val="20"/>
                <w:szCs w:val="20"/>
              </w:rPr>
              <w:t>372 065,00</w:t>
            </w:r>
          </w:p>
        </w:tc>
        <w:tc>
          <w:tcPr>
            <w:tcW w:w="851" w:type="dxa"/>
            <w:tcBorders>
              <w:top w:val="nil"/>
              <w:left w:val="single" w:sz="4" w:space="0" w:color="auto"/>
              <w:bottom w:val="single" w:sz="4" w:space="0" w:color="auto"/>
              <w:right w:val="nil"/>
            </w:tcBorders>
            <w:shd w:val="clear" w:color="auto" w:fill="auto"/>
            <w:noWrap/>
            <w:vAlign w:val="center"/>
            <w:hideMark/>
          </w:tcPr>
          <w:p w14:paraId="0AC979C4" w14:textId="77777777" w:rsidR="00387142" w:rsidRPr="008B6A75" w:rsidRDefault="00387142" w:rsidP="00387142">
            <w:pPr>
              <w:jc w:val="right"/>
              <w:rPr>
                <w:bCs/>
                <w:sz w:val="20"/>
                <w:szCs w:val="20"/>
              </w:rPr>
            </w:pPr>
            <w:r w:rsidRPr="008B6A75">
              <w:rPr>
                <w:bCs/>
                <w:sz w:val="20"/>
                <w:szCs w:val="20"/>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6E511AEF" w14:textId="77777777" w:rsidR="00387142" w:rsidRPr="008B6A75" w:rsidRDefault="00387142" w:rsidP="00387142">
            <w:pPr>
              <w:jc w:val="right"/>
              <w:rPr>
                <w:bCs/>
                <w:sz w:val="20"/>
                <w:szCs w:val="20"/>
              </w:rPr>
            </w:pPr>
            <w:r w:rsidRPr="008B6A75">
              <w:rPr>
                <w:bCs/>
                <w:sz w:val="20"/>
                <w:szCs w:val="20"/>
              </w:rPr>
              <w:t>0,00</w:t>
            </w:r>
          </w:p>
        </w:tc>
      </w:tr>
      <w:tr w:rsidR="00387142" w:rsidRPr="008B6A75" w14:paraId="6D8EA883" w14:textId="77777777" w:rsidTr="00387142">
        <w:trPr>
          <w:trHeight w:val="870"/>
        </w:trPr>
        <w:tc>
          <w:tcPr>
            <w:tcW w:w="272" w:type="dxa"/>
            <w:tcBorders>
              <w:top w:val="nil"/>
              <w:left w:val="nil"/>
              <w:bottom w:val="nil"/>
              <w:right w:val="single" w:sz="4" w:space="0" w:color="auto"/>
            </w:tcBorders>
            <w:shd w:val="clear" w:color="auto" w:fill="auto"/>
            <w:noWrap/>
            <w:vAlign w:val="bottom"/>
            <w:hideMark/>
          </w:tcPr>
          <w:p w14:paraId="1BA15878"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17CBB5FC" w14:textId="77777777" w:rsidR="00387142" w:rsidRPr="008B6A75" w:rsidRDefault="00387142" w:rsidP="00387142">
            <w:pPr>
              <w:rPr>
                <w:bCs/>
                <w:sz w:val="20"/>
                <w:szCs w:val="20"/>
              </w:rPr>
            </w:pPr>
            <w:r w:rsidRPr="008B6A75">
              <w:rPr>
                <w:bCs/>
                <w:sz w:val="20"/>
                <w:szCs w:val="20"/>
              </w:rPr>
              <w:t>Реализация мероприятий в рамках МП "Комплексные меры профилактики наркомании в Куйбышевском районе"</w:t>
            </w:r>
          </w:p>
        </w:tc>
        <w:tc>
          <w:tcPr>
            <w:tcW w:w="1559" w:type="dxa"/>
            <w:tcBorders>
              <w:top w:val="nil"/>
              <w:left w:val="single" w:sz="4" w:space="0" w:color="auto"/>
              <w:bottom w:val="single" w:sz="4" w:space="0" w:color="auto"/>
              <w:right w:val="nil"/>
            </w:tcBorders>
            <w:shd w:val="clear" w:color="auto" w:fill="auto"/>
            <w:noWrap/>
            <w:vAlign w:val="center"/>
            <w:hideMark/>
          </w:tcPr>
          <w:p w14:paraId="7D113579" w14:textId="77777777" w:rsidR="00387142" w:rsidRPr="008B6A75" w:rsidRDefault="00387142" w:rsidP="00387142">
            <w:pPr>
              <w:jc w:val="center"/>
              <w:rPr>
                <w:bCs/>
                <w:sz w:val="20"/>
                <w:szCs w:val="20"/>
              </w:rPr>
            </w:pPr>
            <w:r w:rsidRPr="008B6A75">
              <w:rPr>
                <w:bCs/>
                <w:sz w:val="20"/>
                <w:szCs w:val="20"/>
              </w:rPr>
              <w:t>14.0.00.79570</w:t>
            </w:r>
          </w:p>
        </w:tc>
        <w:tc>
          <w:tcPr>
            <w:tcW w:w="850" w:type="dxa"/>
            <w:tcBorders>
              <w:top w:val="nil"/>
              <w:left w:val="single" w:sz="4" w:space="0" w:color="auto"/>
              <w:bottom w:val="single" w:sz="4" w:space="0" w:color="auto"/>
              <w:right w:val="nil"/>
            </w:tcBorders>
            <w:shd w:val="clear" w:color="auto" w:fill="auto"/>
            <w:noWrap/>
            <w:vAlign w:val="center"/>
            <w:hideMark/>
          </w:tcPr>
          <w:p w14:paraId="183D5440" w14:textId="77777777" w:rsidR="00387142" w:rsidRPr="008B6A75" w:rsidRDefault="00387142" w:rsidP="00387142">
            <w:pPr>
              <w:jc w:val="center"/>
              <w:rPr>
                <w:bCs/>
                <w:sz w:val="20"/>
                <w:szCs w:val="20"/>
              </w:rPr>
            </w:pPr>
            <w:r w:rsidRPr="008B6A75">
              <w:rPr>
                <w:bCs/>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03D5E74E" w14:textId="77777777" w:rsidR="00387142" w:rsidRPr="008B6A75" w:rsidRDefault="00387142" w:rsidP="00387142">
            <w:pPr>
              <w:jc w:val="center"/>
              <w:rPr>
                <w:bCs/>
                <w:sz w:val="20"/>
                <w:szCs w:val="20"/>
              </w:rPr>
            </w:pPr>
            <w:r w:rsidRPr="008B6A75">
              <w:rPr>
                <w:bCs/>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40175CD3" w14:textId="77777777" w:rsidR="00387142" w:rsidRPr="008B6A75" w:rsidRDefault="00387142" w:rsidP="00387142">
            <w:pPr>
              <w:jc w:val="center"/>
              <w:rPr>
                <w:bCs/>
                <w:sz w:val="20"/>
                <w:szCs w:val="20"/>
              </w:rPr>
            </w:pPr>
            <w:r w:rsidRPr="008B6A75">
              <w:rPr>
                <w:bCs/>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B50DB0D" w14:textId="77777777" w:rsidR="00387142" w:rsidRPr="008B6A75" w:rsidRDefault="00387142" w:rsidP="00387142">
            <w:pPr>
              <w:jc w:val="right"/>
              <w:rPr>
                <w:bCs/>
                <w:sz w:val="20"/>
                <w:szCs w:val="20"/>
              </w:rPr>
            </w:pPr>
            <w:r w:rsidRPr="008B6A75">
              <w:rPr>
                <w:bCs/>
                <w:sz w:val="20"/>
                <w:szCs w:val="20"/>
              </w:rPr>
              <w:t>372 065,00</w:t>
            </w:r>
          </w:p>
        </w:tc>
        <w:tc>
          <w:tcPr>
            <w:tcW w:w="851" w:type="dxa"/>
            <w:tcBorders>
              <w:top w:val="nil"/>
              <w:left w:val="single" w:sz="4" w:space="0" w:color="auto"/>
              <w:bottom w:val="single" w:sz="4" w:space="0" w:color="auto"/>
              <w:right w:val="nil"/>
            </w:tcBorders>
            <w:shd w:val="clear" w:color="auto" w:fill="auto"/>
            <w:noWrap/>
            <w:vAlign w:val="center"/>
            <w:hideMark/>
          </w:tcPr>
          <w:p w14:paraId="47F057BD" w14:textId="77777777" w:rsidR="00387142" w:rsidRPr="008B6A75" w:rsidRDefault="00387142" w:rsidP="00387142">
            <w:pPr>
              <w:jc w:val="right"/>
              <w:rPr>
                <w:bCs/>
                <w:sz w:val="20"/>
                <w:szCs w:val="20"/>
              </w:rPr>
            </w:pPr>
            <w:r w:rsidRPr="008B6A75">
              <w:rPr>
                <w:bCs/>
                <w:sz w:val="20"/>
                <w:szCs w:val="20"/>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6A62DB94" w14:textId="77777777" w:rsidR="00387142" w:rsidRPr="008B6A75" w:rsidRDefault="00387142" w:rsidP="00387142">
            <w:pPr>
              <w:jc w:val="right"/>
              <w:rPr>
                <w:bCs/>
                <w:sz w:val="20"/>
                <w:szCs w:val="20"/>
              </w:rPr>
            </w:pPr>
            <w:r w:rsidRPr="008B6A75">
              <w:rPr>
                <w:bCs/>
                <w:sz w:val="20"/>
                <w:szCs w:val="20"/>
              </w:rPr>
              <w:t>0,00</w:t>
            </w:r>
          </w:p>
        </w:tc>
      </w:tr>
      <w:tr w:rsidR="00387142" w:rsidRPr="008B6A75" w14:paraId="0F692FD4" w14:textId="77777777" w:rsidTr="00387142">
        <w:trPr>
          <w:trHeight w:val="300"/>
        </w:trPr>
        <w:tc>
          <w:tcPr>
            <w:tcW w:w="272" w:type="dxa"/>
            <w:tcBorders>
              <w:top w:val="nil"/>
              <w:left w:val="nil"/>
              <w:bottom w:val="nil"/>
              <w:right w:val="single" w:sz="4" w:space="0" w:color="auto"/>
            </w:tcBorders>
            <w:shd w:val="clear" w:color="auto" w:fill="auto"/>
            <w:noWrap/>
            <w:vAlign w:val="bottom"/>
            <w:hideMark/>
          </w:tcPr>
          <w:p w14:paraId="14E38B13"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785B1783" w14:textId="77777777" w:rsidR="00387142" w:rsidRPr="008B6A75" w:rsidRDefault="00387142" w:rsidP="00387142">
            <w:pPr>
              <w:rPr>
                <w:sz w:val="20"/>
                <w:szCs w:val="20"/>
              </w:rPr>
            </w:pPr>
            <w:r w:rsidRPr="008B6A75">
              <w:rPr>
                <w:sz w:val="20"/>
                <w:szCs w:val="20"/>
              </w:rPr>
              <w:t>Межбюджетные трансферты</w:t>
            </w:r>
          </w:p>
        </w:tc>
        <w:tc>
          <w:tcPr>
            <w:tcW w:w="1559" w:type="dxa"/>
            <w:tcBorders>
              <w:top w:val="nil"/>
              <w:left w:val="single" w:sz="4" w:space="0" w:color="auto"/>
              <w:bottom w:val="single" w:sz="4" w:space="0" w:color="auto"/>
              <w:right w:val="nil"/>
            </w:tcBorders>
            <w:shd w:val="clear" w:color="auto" w:fill="auto"/>
            <w:noWrap/>
            <w:vAlign w:val="center"/>
            <w:hideMark/>
          </w:tcPr>
          <w:p w14:paraId="59A204F5" w14:textId="77777777" w:rsidR="00387142" w:rsidRPr="008B6A75" w:rsidRDefault="00387142" w:rsidP="00387142">
            <w:pPr>
              <w:jc w:val="center"/>
              <w:rPr>
                <w:sz w:val="20"/>
                <w:szCs w:val="20"/>
              </w:rPr>
            </w:pPr>
            <w:r w:rsidRPr="008B6A75">
              <w:rPr>
                <w:sz w:val="20"/>
                <w:szCs w:val="20"/>
              </w:rPr>
              <w:t>14.0.00.79570</w:t>
            </w:r>
          </w:p>
        </w:tc>
        <w:tc>
          <w:tcPr>
            <w:tcW w:w="850" w:type="dxa"/>
            <w:tcBorders>
              <w:top w:val="nil"/>
              <w:left w:val="single" w:sz="4" w:space="0" w:color="auto"/>
              <w:bottom w:val="single" w:sz="4" w:space="0" w:color="auto"/>
              <w:right w:val="nil"/>
            </w:tcBorders>
            <w:shd w:val="clear" w:color="auto" w:fill="auto"/>
            <w:noWrap/>
            <w:vAlign w:val="center"/>
            <w:hideMark/>
          </w:tcPr>
          <w:p w14:paraId="37A51B52" w14:textId="77777777" w:rsidR="00387142" w:rsidRPr="008B6A75" w:rsidRDefault="00387142" w:rsidP="00387142">
            <w:pPr>
              <w:jc w:val="center"/>
              <w:rPr>
                <w:sz w:val="20"/>
                <w:szCs w:val="20"/>
              </w:rPr>
            </w:pPr>
            <w:r w:rsidRPr="008B6A75">
              <w:rPr>
                <w:sz w:val="20"/>
                <w:szCs w:val="20"/>
              </w:rPr>
              <w:t>500</w:t>
            </w:r>
          </w:p>
        </w:tc>
        <w:tc>
          <w:tcPr>
            <w:tcW w:w="567" w:type="dxa"/>
            <w:tcBorders>
              <w:top w:val="nil"/>
              <w:left w:val="single" w:sz="4" w:space="0" w:color="auto"/>
              <w:bottom w:val="single" w:sz="4" w:space="0" w:color="auto"/>
              <w:right w:val="nil"/>
            </w:tcBorders>
            <w:shd w:val="clear" w:color="auto" w:fill="auto"/>
            <w:noWrap/>
            <w:vAlign w:val="center"/>
            <w:hideMark/>
          </w:tcPr>
          <w:p w14:paraId="5415FD58" w14:textId="77777777" w:rsidR="00387142" w:rsidRPr="008B6A75" w:rsidRDefault="00387142" w:rsidP="00387142">
            <w:pPr>
              <w:jc w:val="center"/>
              <w:rPr>
                <w:sz w:val="20"/>
                <w:szCs w:val="20"/>
              </w:rPr>
            </w:pPr>
            <w:r w:rsidRPr="008B6A75">
              <w:rPr>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6AA4E9AA" w14:textId="77777777" w:rsidR="00387142" w:rsidRPr="008B6A75" w:rsidRDefault="00387142" w:rsidP="00387142">
            <w:pPr>
              <w:jc w:val="center"/>
              <w:rPr>
                <w:sz w:val="20"/>
                <w:szCs w:val="20"/>
              </w:rPr>
            </w:pPr>
            <w:r w:rsidRPr="008B6A75">
              <w:rPr>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3A510A6" w14:textId="77777777" w:rsidR="00387142" w:rsidRPr="008B6A75" w:rsidRDefault="00387142" w:rsidP="00387142">
            <w:pPr>
              <w:jc w:val="right"/>
              <w:rPr>
                <w:sz w:val="20"/>
                <w:szCs w:val="20"/>
              </w:rPr>
            </w:pPr>
            <w:r w:rsidRPr="008B6A75">
              <w:rPr>
                <w:sz w:val="20"/>
                <w:szCs w:val="20"/>
              </w:rPr>
              <w:t>143 791,00</w:t>
            </w:r>
          </w:p>
        </w:tc>
        <w:tc>
          <w:tcPr>
            <w:tcW w:w="851" w:type="dxa"/>
            <w:tcBorders>
              <w:top w:val="nil"/>
              <w:left w:val="single" w:sz="4" w:space="0" w:color="auto"/>
              <w:bottom w:val="single" w:sz="4" w:space="0" w:color="auto"/>
              <w:right w:val="nil"/>
            </w:tcBorders>
            <w:shd w:val="clear" w:color="auto" w:fill="auto"/>
            <w:noWrap/>
            <w:vAlign w:val="center"/>
            <w:hideMark/>
          </w:tcPr>
          <w:p w14:paraId="7E7C8DBD" w14:textId="77777777" w:rsidR="00387142" w:rsidRPr="008B6A75" w:rsidRDefault="00387142" w:rsidP="00387142">
            <w:pPr>
              <w:jc w:val="right"/>
              <w:rPr>
                <w:sz w:val="20"/>
                <w:szCs w:val="20"/>
              </w:rPr>
            </w:pPr>
            <w:r w:rsidRPr="008B6A75">
              <w:rPr>
                <w:sz w:val="20"/>
                <w:szCs w:val="20"/>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0B5678E9" w14:textId="77777777" w:rsidR="00387142" w:rsidRPr="008B6A75" w:rsidRDefault="00387142" w:rsidP="00387142">
            <w:pPr>
              <w:jc w:val="right"/>
              <w:rPr>
                <w:sz w:val="20"/>
                <w:szCs w:val="20"/>
              </w:rPr>
            </w:pPr>
            <w:r w:rsidRPr="008B6A75">
              <w:rPr>
                <w:sz w:val="20"/>
                <w:szCs w:val="20"/>
              </w:rPr>
              <w:t>0,00</w:t>
            </w:r>
          </w:p>
        </w:tc>
      </w:tr>
      <w:tr w:rsidR="00387142" w:rsidRPr="008B6A75" w14:paraId="7BBB95FA" w14:textId="77777777" w:rsidTr="00387142">
        <w:trPr>
          <w:trHeight w:val="300"/>
        </w:trPr>
        <w:tc>
          <w:tcPr>
            <w:tcW w:w="272" w:type="dxa"/>
            <w:tcBorders>
              <w:top w:val="nil"/>
              <w:left w:val="nil"/>
              <w:bottom w:val="nil"/>
              <w:right w:val="single" w:sz="4" w:space="0" w:color="auto"/>
            </w:tcBorders>
            <w:shd w:val="clear" w:color="auto" w:fill="auto"/>
            <w:noWrap/>
            <w:vAlign w:val="bottom"/>
            <w:hideMark/>
          </w:tcPr>
          <w:p w14:paraId="515C9FCC"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696B2F65" w14:textId="77777777" w:rsidR="00387142" w:rsidRPr="008B6A75" w:rsidRDefault="00387142" w:rsidP="00387142">
            <w:pPr>
              <w:rPr>
                <w:sz w:val="20"/>
                <w:szCs w:val="20"/>
              </w:rPr>
            </w:pPr>
            <w:r w:rsidRPr="008B6A75">
              <w:rPr>
                <w:sz w:val="20"/>
                <w:szCs w:val="20"/>
              </w:rPr>
              <w:t>Иные межбюджетные трансферты</w:t>
            </w:r>
          </w:p>
        </w:tc>
        <w:tc>
          <w:tcPr>
            <w:tcW w:w="1559" w:type="dxa"/>
            <w:tcBorders>
              <w:top w:val="nil"/>
              <w:left w:val="single" w:sz="4" w:space="0" w:color="auto"/>
              <w:bottom w:val="single" w:sz="4" w:space="0" w:color="auto"/>
              <w:right w:val="nil"/>
            </w:tcBorders>
            <w:shd w:val="clear" w:color="auto" w:fill="auto"/>
            <w:noWrap/>
            <w:vAlign w:val="center"/>
            <w:hideMark/>
          </w:tcPr>
          <w:p w14:paraId="5006312C" w14:textId="77777777" w:rsidR="00387142" w:rsidRPr="008B6A75" w:rsidRDefault="00387142" w:rsidP="00387142">
            <w:pPr>
              <w:jc w:val="center"/>
              <w:rPr>
                <w:sz w:val="20"/>
                <w:szCs w:val="20"/>
              </w:rPr>
            </w:pPr>
            <w:r w:rsidRPr="008B6A75">
              <w:rPr>
                <w:sz w:val="20"/>
                <w:szCs w:val="20"/>
              </w:rPr>
              <w:t>14.0.00.79570</w:t>
            </w:r>
          </w:p>
        </w:tc>
        <w:tc>
          <w:tcPr>
            <w:tcW w:w="850" w:type="dxa"/>
            <w:tcBorders>
              <w:top w:val="nil"/>
              <w:left w:val="single" w:sz="4" w:space="0" w:color="auto"/>
              <w:bottom w:val="single" w:sz="4" w:space="0" w:color="auto"/>
              <w:right w:val="nil"/>
            </w:tcBorders>
            <w:shd w:val="clear" w:color="auto" w:fill="auto"/>
            <w:noWrap/>
            <w:vAlign w:val="center"/>
            <w:hideMark/>
          </w:tcPr>
          <w:p w14:paraId="18994C03" w14:textId="77777777" w:rsidR="00387142" w:rsidRPr="008B6A75" w:rsidRDefault="00387142" w:rsidP="00387142">
            <w:pPr>
              <w:jc w:val="center"/>
              <w:rPr>
                <w:sz w:val="20"/>
                <w:szCs w:val="20"/>
              </w:rPr>
            </w:pPr>
            <w:r w:rsidRPr="008B6A75">
              <w:rPr>
                <w:sz w:val="20"/>
                <w:szCs w:val="20"/>
              </w:rPr>
              <w:t>540</w:t>
            </w:r>
          </w:p>
        </w:tc>
        <w:tc>
          <w:tcPr>
            <w:tcW w:w="567" w:type="dxa"/>
            <w:tcBorders>
              <w:top w:val="nil"/>
              <w:left w:val="single" w:sz="4" w:space="0" w:color="auto"/>
              <w:bottom w:val="single" w:sz="4" w:space="0" w:color="auto"/>
              <w:right w:val="nil"/>
            </w:tcBorders>
            <w:shd w:val="clear" w:color="auto" w:fill="auto"/>
            <w:noWrap/>
            <w:vAlign w:val="center"/>
            <w:hideMark/>
          </w:tcPr>
          <w:p w14:paraId="4C05DF90" w14:textId="77777777" w:rsidR="00387142" w:rsidRPr="008B6A75" w:rsidRDefault="00387142" w:rsidP="00387142">
            <w:pPr>
              <w:jc w:val="center"/>
              <w:rPr>
                <w:sz w:val="20"/>
                <w:szCs w:val="20"/>
              </w:rPr>
            </w:pPr>
            <w:r w:rsidRPr="008B6A75">
              <w:rPr>
                <w:sz w:val="20"/>
                <w:szCs w:val="20"/>
              </w:rPr>
              <w:t>05</w:t>
            </w:r>
          </w:p>
        </w:tc>
        <w:tc>
          <w:tcPr>
            <w:tcW w:w="567" w:type="dxa"/>
            <w:tcBorders>
              <w:top w:val="nil"/>
              <w:left w:val="single" w:sz="4" w:space="0" w:color="auto"/>
              <w:bottom w:val="single" w:sz="4" w:space="0" w:color="auto"/>
              <w:right w:val="nil"/>
            </w:tcBorders>
            <w:shd w:val="clear" w:color="auto" w:fill="auto"/>
            <w:noWrap/>
            <w:vAlign w:val="center"/>
            <w:hideMark/>
          </w:tcPr>
          <w:p w14:paraId="185E744D" w14:textId="77777777" w:rsidR="00387142" w:rsidRPr="008B6A75" w:rsidRDefault="00387142" w:rsidP="00387142">
            <w:pPr>
              <w:jc w:val="center"/>
              <w:rPr>
                <w:sz w:val="20"/>
                <w:szCs w:val="20"/>
              </w:rPr>
            </w:pPr>
            <w:r w:rsidRPr="008B6A75">
              <w:rPr>
                <w:sz w:val="20"/>
                <w:szCs w:val="20"/>
              </w:rPr>
              <w:t>03</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AA07168" w14:textId="77777777" w:rsidR="00387142" w:rsidRPr="008B6A75" w:rsidRDefault="00387142" w:rsidP="00387142">
            <w:pPr>
              <w:jc w:val="right"/>
              <w:rPr>
                <w:sz w:val="20"/>
                <w:szCs w:val="20"/>
              </w:rPr>
            </w:pPr>
            <w:r w:rsidRPr="008B6A75">
              <w:rPr>
                <w:sz w:val="20"/>
                <w:szCs w:val="20"/>
              </w:rPr>
              <w:t>118 791,00</w:t>
            </w:r>
          </w:p>
        </w:tc>
        <w:tc>
          <w:tcPr>
            <w:tcW w:w="851" w:type="dxa"/>
            <w:tcBorders>
              <w:top w:val="nil"/>
              <w:left w:val="single" w:sz="4" w:space="0" w:color="auto"/>
              <w:bottom w:val="single" w:sz="4" w:space="0" w:color="auto"/>
              <w:right w:val="nil"/>
            </w:tcBorders>
            <w:shd w:val="clear" w:color="auto" w:fill="auto"/>
            <w:noWrap/>
            <w:vAlign w:val="center"/>
            <w:hideMark/>
          </w:tcPr>
          <w:p w14:paraId="782B8EE6" w14:textId="77777777" w:rsidR="00387142" w:rsidRPr="008B6A75" w:rsidRDefault="00387142" w:rsidP="00387142">
            <w:pPr>
              <w:jc w:val="right"/>
              <w:rPr>
                <w:sz w:val="20"/>
                <w:szCs w:val="20"/>
              </w:rPr>
            </w:pPr>
            <w:r w:rsidRPr="008B6A75">
              <w:rPr>
                <w:sz w:val="20"/>
                <w:szCs w:val="20"/>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3A1611F4" w14:textId="77777777" w:rsidR="00387142" w:rsidRPr="008B6A75" w:rsidRDefault="00387142" w:rsidP="00387142">
            <w:pPr>
              <w:jc w:val="right"/>
              <w:rPr>
                <w:sz w:val="20"/>
                <w:szCs w:val="20"/>
              </w:rPr>
            </w:pPr>
            <w:r w:rsidRPr="008B6A75">
              <w:rPr>
                <w:sz w:val="20"/>
                <w:szCs w:val="20"/>
              </w:rPr>
              <w:t>0,00</w:t>
            </w:r>
          </w:p>
        </w:tc>
      </w:tr>
      <w:tr w:rsidR="00387142" w:rsidRPr="008B6A75" w14:paraId="2C1D04C3" w14:textId="77777777" w:rsidTr="00387142">
        <w:trPr>
          <w:trHeight w:val="300"/>
        </w:trPr>
        <w:tc>
          <w:tcPr>
            <w:tcW w:w="272" w:type="dxa"/>
            <w:tcBorders>
              <w:top w:val="nil"/>
              <w:left w:val="nil"/>
              <w:bottom w:val="nil"/>
              <w:right w:val="single" w:sz="4" w:space="0" w:color="auto"/>
            </w:tcBorders>
            <w:shd w:val="clear" w:color="auto" w:fill="auto"/>
            <w:noWrap/>
            <w:vAlign w:val="bottom"/>
            <w:hideMark/>
          </w:tcPr>
          <w:p w14:paraId="66759DF1"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493905C9" w14:textId="77777777" w:rsidR="00387142" w:rsidRPr="008B6A75" w:rsidRDefault="00387142" w:rsidP="00387142">
            <w:pPr>
              <w:rPr>
                <w:sz w:val="20"/>
                <w:szCs w:val="20"/>
              </w:rPr>
            </w:pPr>
            <w:r w:rsidRPr="008B6A75">
              <w:rPr>
                <w:sz w:val="20"/>
                <w:szCs w:val="20"/>
              </w:rPr>
              <w:t>Иные межбюджетные трансферты</w:t>
            </w:r>
          </w:p>
        </w:tc>
        <w:tc>
          <w:tcPr>
            <w:tcW w:w="1559" w:type="dxa"/>
            <w:tcBorders>
              <w:top w:val="nil"/>
              <w:left w:val="single" w:sz="4" w:space="0" w:color="auto"/>
              <w:bottom w:val="single" w:sz="4" w:space="0" w:color="auto"/>
              <w:right w:val="nil"/>
            </w:tcBorders>
            <w:shd w:val="clear" w:color="auto" w:fill="auto"/>
            <w:noWrap/>
            <w:vAlign w:val="center"/>
            <w:hideMark/>
          </w:tcPr>
          <w:p w14:paraId="2B9FC4B1" w14:textId="77777777" w:rsidR="00387142" w:rsidRPr="008B6A75" w:rsidRDefault="00387142" w:rsidP="00387142">
            <w:pPr>
              <w:jc w:val="center"/>
              <w:rPr>
                <w:sz w:val="20"/>
                <w:szCs w:val="20"/>
              </w:rPr>
            </w:pPr>
            <w:r w:rsidRPr="008B6A75">
              <w:rPr>
                <w:sz w:val="20"/>
                <w:szCs w:val="20"/>
              </w:rPr>
              <w:t>14.0.00.79570</w:t>
            </w:r>
          </w:p>
        </w:tc>
        <w:tc>
          <w:tcPr>
            <w:tcW w:w="850" w:type="dxa"/>
            <w:tcBorders>
              <w:top w:val="nil"/>
              <w:left w:val="single" w:sz="4" w:space="0" w:color="auto"/>
              <w:bottom w:val="single" w:sz="4" w:space="0" w:color="auto"/>
              <w:right w:val="nil"/>
            </w:tcBorders>
            <w:shd w:val="clear" w:color="auto" w:fill="auto"/>
            <w:noWrap/>
            <w:vAlign w:val="center"/>
            <w:hideMark/>
          </w:tcPr>
          <w:p w14:paraId="2B497785" w14:textId="77777777" w:rsidR="00387142" w:rsidRPr="008B6A75" w:rsidRDefault="00387142" w:rsidP="00387142">
            <w:pPr>
              <w:jc w:val="center"/>
              <w:rPr>
                <w:sz w:val="20"/>
                <w:szCs w:val="20"/>
              </w:rPr>
            </w:pPr>
            <w:r w:rsidRPr="008B6A75">
              <w:rPr>
                <w:sz w:val="20"/>
                <w:szCs w:val="20"/>
              </w:rPr>
              <w:t>540</w:t>
            </w:r>
          </w:p>
        </w:tc>
        <w:tc>
          <w:tcPr>
            <w:tcW w:w="567" w:type="dxa"/>
            <w:tcBorders>
              <w:top w:val="nil"/>
              <w:left w:val="single" w:sz="4" w:space="0" w:color="auto"/>
              <w:bottom w:val="single" w:sz="4" w:space="0" w:color="auto"/>
              <w:right w:val="nil"/>
            </w:tcBorders>
            <w:shd w:val="clear" w:color="auto" w:fill="auto"/>
            <w:noWrap/>
            <w:vAlign w:val="center"/>
            <w:hideMark/>
          </w:tcPr>
          <w:p w14:paraId="3C7AEC27" w14:textId="77777777" w:rsidR="00387142" w:rsidRPr="008B6A75" w:rsidRDefault="00387142" w:rsidP="00387142">
            <w:pPr>
              <w:jc w:val="center"/>
              <w:rPr>
                <w:sz w:val="20"/>
                <w:szCs w:val="20"/>
              </w:rPr>
            </w:pPr>
            <w:r w:rsidRPr="008B6A75">
              <w:rPr>
                <w:sz w:val="20"/>
                <w:szCs w:val="20"/>
              </w:rPr>
              <w:t>07</w:t>
            </w:r>
          </w:p>
        </w:tc>
        <w:tc>
          <w:tcPr>
            <w:tcW w:w="567" w:type="dxa"/>
            <w:tcBorders>
              <w:top w:val="nil"/>
              <w:left w:val="single" w:sz="4" w:space="0" w:color="auto"/>
              <w:bottom w:val="single" w:sz="4" w:space="0" w:color="auto"/>
              <w:right w:val="nil"/>
            </w:tcBorders>
            <w:shd w:val="clear" w:color="auto" w:fill="auto"/>
            <w:noWrap/>
            <w:vAlign w:val="center"/>
            <w:hideMark/>
          </w:tcPr>
          <w:p w14:paraId="52C26EE8" w14:textId="77777777" w:rsidR="00387142" w:rsidRPr="008B6A75" w:rsidRDefault="00387142" w:rsidP="00387142">
            <w:pPr>
              <w:jc w:val="center"/>
              <w:rPr>
                <w:sz w:val="20"/>
                <w:szCs w:val="20"/>
              </w:rPr>
            </w:pPr>
            <w:r w:rsidRPr="008B6A75">
              <w:rPr>
                <w:sz w:val="20"/>
                <w:szCs w:val="20"/>
              </w:rPr>
              <w:t>07</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82592DA" w14:textId="77777777" w:rsidR="00387142" w:rsidRPr="008B6A75" w:rsidRDefault="00387142" w:rsidP="00387142">
            <w:pPr>
              <w:jc w:val="right"/>
              <w:rPr>
                <w:sz w:val="20"/>
                <w:szCs w:val="20"/>
              </w:rPr>
            </w:pPr>
            <w:r w:rsidRPr="008B6A75">
              <w:rPr>
                <w:sz w:val="20"/>
                <w:szCs w:val="20"/>
              </w:rPr>
              <w:t>25 000,00</w:t>
            </w:r>
          </w:p>
        </w:tc>
        <w:tc>
          <w:tcPr>
            <w:tcW w:w="851" w:type="dxa"/>
            <w:tcBorders>
              <w:top w:val="nil"/>
              <w:left w:val="single" w:sz="4" w:space="0" w:color="auto"/>
              <w:bottom w:val="single" w:sz="4" w:space="0" w:color="auto"/>
              <w:right w:val="nil"/>
            </w:tcBorders>
            <w:shd w:val="clear" w:color="auto" w:fill="auto"/>
            <w:noWrap/>
            <w:vAlign w:val="center"/>
            <w:hideMark/>
          </w:tcPr>
          <w:p w14:paraId="247F5D22" w14:textId="77777777" w:rsidR="00387142" w:rsidRPr="008B6A75" w:rsidRDefault="00387142" w:rsidP="00387142">
            <w:pPr>
              <w:jc w:val="right"/>
              <w:rPr>
                <w:sz w:val="20"/>
                <w:szCs w:val="20"/>
              </w:rPr>
            </w:pPr>
            <w:r w:rsidRPr="008B6A75">
              <w:rPr>
                <w:sz w:val="20"/>
                <w:szCs w:val="20"/>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4524B413" w14:textId="77777777" w:rsidR="00387142" w:rsidRPr="008B6A75" w:rsidRDefault="00387142" w:rsidP="00387142">
            <w:pPr>
              <w:jc w:val="right"/>
              <w:rPr>
                <w:sz w:val="20"/>
                <w:szCs w:val="20"/>
              </w:rPr>
            </w:pPr>
            <w:r w:rsidRPr="008B6A75">
              <w:rPr>
                <w:sz w:val="20"/>
                <w:szCs w:val="20"/>
              </w:rPr>
              <w:t>0,00</w:t>
            </w:r>
          </w:p>
        </w:tc>
      </w:tr>
      <w:tr w:rsidR="00387142" w:rsidRPr="008B6A75" w14:paraId="5D2A9E1B" w14:textId="77777777" w:rsidTr="00387142">
        <w:trPr>
          <w:trHeight w:val="870"/>
        </w:trPr>
        <w:tc>
          <w:tcPr>
            <w:tcW w:w="272" w:type="dxa"/>
            <w:tcBorders>
              <w:top w:val="nil"/>
              <w:left w:val="nil"/>
              <w:bottom w:val="nil"/>
              <w:right w:val="single" w:sz="4" w:space="0" w:color="auto"/>
            </w:tcBorders>
            <w:shd w:val="clear" w:color="auto" w:fill="auto"/>
            <w:noWrap/>
            <w:vAlign w:val="bottom"/>
            <w:hideMark/>
          </w:tcPr>
          <w:p w14:paraId="704C67BB"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3E34684B" w14:textId="77777777" w:rsidR="00387142" w:rsidRPr="008B6A75" w:rsidRDefault="00387142" w:rsidP="00387142">
            <w:pPr>
              <w:rPr>
                <w:sz w:val="20"/>
                <w:szCs w:val="20"/>
              </w:rPr>
            </w:pPr>
            <w:r w:rsidRPr="008B6A75">
              <w:rPr>
                <w:sz w:val="20"/>
                <w:szCs w:val="20"/>
              </w:rPr>
              <w:t>Предоставление субсидий бюджетным, автономным учреждениям и иным некоммерческим организациям</w:t>
            </w:r>
          </w:p>
        </w:tc>
        <w:tc>
          <w:tcPr>
            <w:tcW w:w="1559" w:type="dxa"/>
            <w:tcBorders>
              <w:top w:val="nil"/>
              <w:left w:val="single" w:sz="4" w:space="0" w:color="auto"/>
              <w:bottom w:val="single" w:sz="4" w:space="0" w:color="auto"/>
              <w:right w:val="nil"/>
            </w:tcBorders>
            <w:shd w:val="clear" w:color="auto" w:fill="auto"/>
            <w:noWrap/>
            <w:vAlign w:val="center"/>
            <w:hideMark/>
          </w:tcPr>
          <w:p w14:paraId="7B91ECB8" w14:textId="77777777" w:rsidR="00387142" w:rsidRPr="008B6A75" w:rsidRDefault="00387142" w:rsidP="00387142">
            <w:pPr>
              <w:jc w:val="center"/>
              <w:rPr>
                <w:sz w:val="20"/>
                <w:szCs w:val="20"/>
              </w:rPr>
            </w:pPr>
            <w:r w:rsidRPr="008B6A75">
              <w:rPr>
                <w:sz w:val="20"/>
                <w:szCs w:val="20"/>
              </w:rPr>
              <w:t>14.0.00.79570</w:t>
            </w:r>
          </w:p>
        </w:tc>
        <w:tc>
          <w:tcPr>
            <w:tcW w:w="850" w:type="dxa"/>
            <w:tcBorders>
              <w:top w:val="nil"/>
              <w:left w:val="single" w:sz="4" w:space="0" w:color="auto"/>
              <w:bottom w:val="single" w:sz="4" w:space="0" w:color="auto"/>
              <w:right w:val="nil"/>
            </w:tcBorders>
            <w:shd w:val="clear" w:color="auto" w:fill="auto"/>
            <w:noWrap/>
            <w:vAlign w:val="center"/>
            <w:hideMark/>
          </w:tcPr>
          <w:p w14:paraId="28334921" w14:textId="77777777" w:rsidR="00387142" w:rsidRPr="008B6A75" w:rsidRDefault="00387142" w:rsidP="00387142">
            <w:pPr>
              <w:jc w:val="center"/>
              <w:rPr>
                <w:sz w:val="20"/>
                <w:szCs w:val="20"/>
              </w:rPr>
            </w:pPr>
            <w:r w:rsidRPr="008B6A75">
              <w:rPr>
                <w:sz w:val="20"/>
                <w:szCs w:val="20"/>
              </w:rPr>
              <w:t>600</w:t>
            </w:r>
          </w:p>
        </w:tc>
        <w:tc>
          <w:tcPr>
            <w:tcW w:w="567" w:type="dxa"/>
            <w:tcBorders>
              <w:top w:val="nil"/>
              <w:left w:val="single" w:sz="4" w:space="0" w:color="auto"/>
              <w:bottom w:val="single" w:sz="4" w:space="0" w:color="auto"/>
              <w:right w:val="nil"/>
            </w:tcBorders>
            <w:shd w:val="clear" w:color="auto" w:fill="auto"/>
            <w:noWrap/>
            <w:vAlign w:val="center"/>
            <w:hideMark/>
          </w:tcPr>
          <w:p w14:paraId="52893B3F" w14:textId="77777777" w:rsidR="00387142" w:rsidRPr="008B6A75" w:rsidRDefault="00387142" w:rsidP="00387142">
            <w:pPr>
              <w:jc w:val="center"/>
              <w:rPr>
                <w:sz w:val="20"/>
                <w:szCs w:val="20"/>
              </w:rPr>
            </w:pPr>
            <w:r w:rsidRPr="008B6A75">
              <w:rPr>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75B2CBEE" w14:textId="77777777" w:rsidR="00387142" w:rsidRPr="008B6A75" w:rsidRDefault="00387142" w:rsidP="00387142">
            <w:pPr>
              <w:jc w:val="center"/>
              <w:rPr>
                <w:sz w:val="20"/>
                <w:szCs w:val="20"/>
              </w:rPr>
            </w:pPr>
            <w:r w:rsidRPr="008B6A75">
              <w:rPr>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74666D0" w14:textId="77777777" w:rsidR="00387142" w:rsidRPr="008B6A75" w:rsidRDefault="00387142" w:rsidP="00387142">
            <w:pPr>
              <w:jc w:val="right"/>
              <w:rPr>
                <w:sz w:val="20"/>
                <w:szCs w:val="20"/>
              </w:rPr>
            </w:pPr>
            <w:r w:rsidRPr="008B6A75">
              <w:rPr>
                <w:sz w:val="20"/>
                <w:szCs w:val="20"/>
              </w:rPr>
              <w:t>228 274,00</w:t>
            </w:r>
          </w:p>
        </w:tc>
        <w:tc>
          <w:tcPr>
            <w:tcW w:w="851" w:type="dxa"/>
            <w:tcBorders>
              <w:top w:val="nil"/>
              <w:left w:val="single" w:sz="4" w:space="0" w:color="auto"/>
              <w:bottom w:val="single" w:sz="4" w:space="0" w:color="auto"/>
              <w:right w:val="nil"/>
            </w:tcBorders>
            <w:shd w:val="clear" w:color="auto" w:fill="auto"/>
            <w:noWrap/>
            <w:vAlign w:val="center"/>
            <w:hideMark/>
          </w:tcPr>
          <w:p w14:paraId="12E3356C" w14:textId="77777777" w:rsidR="00387142" w:rsidRPr="008B6A75" w:rsidRDefault="00387142" w:rsidP="00387142">
            <w:pPr>
              <w:jc w:val="right"/>
              <w:rPr>
                <w:sz w:val="20"/>
                <w:szCs w:val="20"/>
              </w:rPr>
            </w:pPr>
            <w:r w:rsidRPr="008B6A75">
              <w:rPr>
                <w:sz w:val="20"/>
                <w:szCs w:val="20"/>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31852D61" w14:textId="77777777" w:rsidR="00387142" w:rsidRPr="008B6A75" w:rsidRDefault="00387142" w:rsidP="00387142">
            <w:pPr>
              <w:jc w:val="right"/>
              <w:rPr>
                <w:sz w:val="20"/>
                <w:szCs w:val="20"/>
              </w:rPr>
            </w:pPr>
            <w:r w:rsidRPr="008B6A75">
              <w:rPr>
                <w:sz w:val="20"/>
                <w:szCs w:val="20"/>
              </w:rPr>
              <w:t>0,00</w:t>
            </w:r>
          </w:p>
        </w:tc>
      </w:tr>
      <w:tr w:rsidR="00387142" w:rsidRPr="008B6A75" w14:paraId="68980752" w14:textId="77777777" w:rsidTr="00387142">
        <w:trPr>
          <w:trHeight w:val="300"/>
        </w:trPr>
        <w:tc>
          <w:tcPr>
            <w:tcW w:w="272" w:type="dxa"/>
            <w:tcBorders>
              <w:top w:val="nil"/>
              <w:left w:val="nil"/>
              <w:bottom w:val="nil"/>
              <w:right w:val="single" w:sz="4" w:space="0" w:color="auto"/>
            </w:tcBorders>
            <w:shd w:val="clear" w:color="auto" w:fill="auto"/>
            <w:noWrap/>
            <w:vAlign w:val="bottom"/>
            <w:hideMark/>
          </w:tcPr>
          <w:p w14:paraId="470050AB"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7223884F" w14:textId="77777777" w:rsidR="00387142" w:rsidRPr="008B6A75" w:rsidRDefault="00387142" w:rsidP="00387142">
            <w:pPr>
              <w:rPr>
                <w:sz w:val="20"/>
                <w:szCs w:val="20"/>
              </w:rPr>
            </w:pPr>
            <w:r w:rsidRPr="008B6A75">
              <w:rPr>
                <w:sz w:val="20"/>
                <w:szCs w:val="20"/>
              </w:rPr>
              <w:t>Субсидии бюджетным учреждениям</w:t>
            </w:r>
          </w:p>
        </w:tc>
        <w:tc>
          <w:tcPr>
            <w:tcW w:w="1559" w:type="dxa"/>
            <w:tcBorders>
              <w:top w:val="nil"/>
              <w:left w:val="single" w:sz="4" w:space="0" w:color="auto"/>
              <w:bottom w:val="single" w:sz="4" w:space="0" w:color="auto"/>
              <w:right w:val="nil"/>
            </w:tcBorders>
            <w:shd w:val="clear" w:color="auto" w:fill="auto"/>
            <w:noWrap/>
            <w:vAlign w:val="center"/>
            <w:hideMark/>
          </w:tcPr>
          <w:p w14:paraId="583136E2" w14:textId="77777777" w:rsidR="00387142" w:rsidRPr="008B6A75" w:rsidRDefault="00387142" w:rsidP="00387142">
            <w:pPr>
              <w:jc w:val="center"/>
              <w:rPr>
                <w:sz w:val="20"/>
                <w:szCs w:val="20"/>
              </w:rPr>
            </w:pPr>
            <w:r w:rsidRPr="008B6A75">
              <w:rPr>
                <w:sz w:val="20"/>
                <w:szCs w:val="20"/>
              </w:rPr>
              <w:t>14.0.00.79570</w:t>
            </w:r>
          </w:p>
        </w:tc>
        <w:tc>
          <w:tcPr>
            <w:tcW w:w="850" w:type="dxa"/>
            <w:tcBorders>
              <w:top w:val="nil"/>
              <w:left w:val="single" w:sz="4" w:space="0" w:color="auto"/>
              <w:bottom w:val="single" w:sz="4" w:space="0" w:color="auto"/>
              <w:right w:val="nil"/>
            </w:tcBorders>
            <w:shd w:val="clear" w:color="auto" w:fill="auto"/>
            <w:noWrap/>
            <w:vAlign w:val="center"/>
            <w:hideMark/>
          </w:tcPr>
          <w:p w14:paraId="7313636D" w14:textId="77777777" w:rsidR="00387142" w:rsidRPr="008B6A75" w:rsidRDefault="00387142" w:rsidP="00387142">
            <w:pPr>
              <w:jc w:val="center"/>
              <w:rPr>
                <w:sz w:val="20"/>
                <w:szCs w:val="20"/>
              </w:rPr>
            </w:pPr>
            <w:r w:rsidRPr="008B6A75">
              <w:rPr>
                <w:sz w:val="20"/>
                <w:szCs w:val="20"/>
              </w:rPr>
              <w:t>610</w:t>
            </w:r>
          </w:p>
        </w:tc>
        <w:tc>
          <w:tcPr>
            <w:tcW w:w="567" w:type="dxa"/>
            <w:tcBorders>
              <w:top w:val="nil"/>
              <w:left w:val="single" w:sz="4" w:space="0" w:color="auto"/>
              <w:bottom w:val="single" w:sz="4" w:space="0" w:color="auto"/>
              <w:right w:val="nil"/>
            </w:tcBorders>
            <w:shd w:val="clear" w:color="auto" w:fill="auto"/>
            <w:noWrap/>
            <w:vAlign w:val="center"/>
            <w:hideMark/>
          </w:tcPr>
          <w:p w14:paraId="49DA38F2" w14:textId="77777777" w:rsidR="00387142" w:rsidRPr="008B6A75" w:rsidRDefault="00387142" w:rsidP="00387142">
            <w:pPr>
              <w:jc w:val="center"/>
              <w:rPr>
                <w:sz w:val="20"/>
                <w:szCs w:val="20"/>
              </w:rPr>
            </w:pPr>
            <w:r w:rsidRPr="008B6A75">
              <w:rPr>
                <w:sz w:val="20"/>
                <w:szCs w:val="20"/>
              </w:rPr>
              <w:t>07</w:t>
            </w:r>
          </w:p>
        </w:tc>
        <w:tc>
          <w:tcPr>
            <w:tcW w:w="567" w:type="dxa"/>
            <w:tcBorders>
              <w:top w:val="nil"/>
              <w:left w:val="single" w:sz="4" w:space="0" w:color="auto"/>
              <w:bottom w:val="single" w:sz="4" w:space="0" w:color="auto"/>
              <w:right w:val="nil"/>
            </w:tcBorders>
            <w:shd w:val="clear" w:color="auto" w:fill="auto"/>
            <w:noWrap/>
            <w:vAlign w:val="center"/>
            <w:hideMark/>
          </w:tcPr>
          <w:p w14:paraId="53C76891" w14:textId="77777777" w:rsidR="00387142" w:rsidRPr="008B6A75" w:rsidRDefault="00387142" w:rsidP="00387142">
            <w:pPr>
              <w:jc w:val="center"/>
              <w:rPr>
                <w:sz w:val="20"/>
                <w:szCs w:val="20"/>
              </w:rPr>
            </w:pPr>
            <w:r w:rsidRPr="008B6A75">
              <w:rPr>
                <w:sz w:val="20"/>
                <w:szCs w:val="20"/>
              </w:rPr>
              <w:t>07</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403558C" w14:textId="77777777" w:rsidR="00387142" w:rsidRPr="008B6A75" w:rsidRDefault="00387142" w:rsidP="00387142">
            <w:pPr>
              <w:jc w:val="right"/>
              <w:rPr>
                <w:sz w:val="20"/>
                <w:szCs w:val="20"/>
              </w:rPr>
            </w:pPr>
            <w:r w:rsidRPr="008B6A75">
              <w:rPr>
                <w:sz w:val="20"/>
                <w:szCs w:val="20"/>
              </w:rPr>
              <w:t>228 274,00</w:t>
            </w:r>
          </w:p>
        </w:tc>
        <w:tc>
          <w:tcPr>
            <w:tcW w:w="851" w:type="dxa"/>
            <w:tcBorders>
              <w:top w:val="nil"/>
              <w:left w:val="single" w:sz="4" w:space="0" w:color="auto"/>
              <w:bottom w:val="single" w:sz="4" w:space="0" w:color="auto"/>
              <w:right w:val="nil"/>
            </w:tcBorders>
            <w:shd w:val="clear" w:color="auto" w:fill="auto"/>
            <w:noWrap/>
            <w:vAlign w:val="center"/>
            <w:hideMark/>
          </w:tcPr>
          <w:p w14:paraId="2EF5B1A7" w14:textId="77777777" w:rsidR="00387142" w:rsidRPr="008B6A75" w:rsidRDefault="00387142" w:rsidP="00387142">
            <w:pPr>
              <w:jc w:val="right"/>
              <w:rPr>
                <w:sz w:val="20"/>
                <w:szCs w:val="20"/>
              </w:rPr>
            </w:pPr>
            <w:r w:rsidRPr="008B6A75">
              <w:rPr>
                <w:sz w:val="20"/>
                <w:szCs w:val="20"/>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22AD2CAF" w14:textId="77777777" w:rsidR="00387142" w:rsidRPr="008B6A75" w:rsidRDefault="00387142" w:rsidP="00387142">
            <w:pPr>
              <w:jc w:val="right"/>
              <w:rPr>
                <w:sz w:val="20"/>
                <w:szCs w:val="20"/>
              </w:rPr>
            </w:pPr>
            <w:r w:rsidRPr="008B6A75">
              <w:rPr>
                <w:sz w:val="20"/>
                <w:szCs w:val="20"/>
              </w:rPr>
              <w:t>0,00</w:t>
            </w:r>
          </w:p>
        </w:tc>
      </w:tr>
      <w:tr w:rsidR="00387142" w:rsidRPr="008B6A75" w14:paraId="287D9CB5" w14:textId="77777777" w:rsidTr="00387142">
        <w:trPr>
          <w:trHeight w:val="1155"/>
        </w:trPr>
        <w:tc>
          <w:tcPr>
            <w:tcW w:w="272" w:type="dxa"/>
            <w:tcBorders>
              <w:top w:val="nil"/>
              <w:left w:val="nil"/>
              <w:bottom w:val="nil"/>
              <w:right w:val="single" w:sz="4" w:space="0" w:color="auto"/>
            </w:tcBorders>
            <w:shd w:val="clear" w:color="auto" w:fill="auto"/>
            <w:noWrap/>
            <w:vAlign w:val="bottom"/>
            <w:hideMark/>
          </w:tcPr>
          <w:p w14:paraId="2B5DB526"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44FB3CE9" w14:textId="77777777" w:rsidR="00387142" w:rsidRPr="008B6A75" w:rsidRDefault="00387142" w:rsidP="00387142">
            <w:pPr>
              <w:rPr>
                <w:bCs/>
                <w:sz w:val="20"/>
                <w:szCs w:val="20"/>
              </w:rPr>
            </w:pPr>
            <w:r w:rsidRPr="008B6A75">
              <w:rPr>
                <w:bCs/>
                <w:sz w:val="20"/>
                <w:szCs w:val="20"/>
              </w:rPr>
              <w:t>Муниципальная программа "Развитие и поддержка территориального общественного самоуправления в Куйбышевском районе Новосибирской области "</w:t>
            </w:r>
          </w:p>
        </w:tc>
        <w:tc>
          <w:tcPr>
            <w:tcW w:w="1559" w:type="dxa"/>
            <w:tcBorders>
              <w:top w:val="nil"/>
              <w:left w:val="single" w:sz="4" w:space="0" w:color="auto"/>
              <w:bottom w:val="single" w:sz="4" w:space="0" w:color="auto"/>
              <w:right w:val="nil"/>
            </w:tcBorders>
            <w:shd w:val="clear" w:color="auto" w:fill="auto"/>
            <w:noWrap/>
            <w:vAlign w:val="center"/>
            <w:hideMark/>
          </w:tcPr>
          <w:p w14:paraId="755C82C5" w14:textId="77777777" w:rsidR="00387142" w:rsidRPr="008B6A75" w:rsidRDefault="00387142" w:rsidP="00387142">
            <w:pPr>
              <w:jc w:val="center"/>
              <w:rPr>
                <w:bCs/>
                <w:sz w:val="20"/>
                <w:szCs w:val="20"/>
              </w:rPr>
            </w:pPr>
            <w:r w:rsidRPr="008B6A75">
              <w:rPr>
                <w:bCs/>
                <w:sz w:val="20"/>
                <w:szCs w:val="20"/>
              </w:rPr>
              <w:t>15.0.00.00000</w:t>
            </w:r>
          </w:p>
        </w:tc>
        <w:tc>
          <w:tcPr>
            <w:tcW w:w="850" w:type="dxa"/>
            <w:tcBorders>
              <w:top w:val="nil"/>
              <w:left w:val="single" w:sz="4" w:space="0" w:color="auto"/>
              <w:bottom w:val="single" w:sz="4" w:space="0" w:color="auto"/>
              <w:right w:val="nil"/>
            </w:tcBorders>
            <w:shd w:val="clear" w:color="auto" w:fill="auto"/>
            <w:noWrap/>
            <w:vAlign w:val="center"/>
            <w:hideMark/>
          </w:tcPr>
          <w:p w14:paraId="7911AE62" w14:textId="77777777" w:rsidR="00387142" w:rsidRPr="008B6A75" w:rsidRDefault="00387142" w:rsidP="00387142">
            <w:pPr>
              <w:jc w:val="center"/>
              <w:rPr>
                <w:bCs/>
                <w:sz w:val="20"/>
                <w:szCs w:val="20"/>
              </w:rPr>
            </w:pPr>
            <w:r w:rsidRPr="008B6A75">
              <w:rPr>
                <w:bCs/>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365BD851" w14:textId="77777777" w:rsidR="00387142" w:rsidRPr="008B6A75" w:rsidRDefault="00387142" w:rsidP="00387142">
            <w:pPr>
              <w:jc w:val="center"/>
              <w:rPr>
                <w:bCs/>
                <w:sz w:val="20"/>
                <w:szCs w:val="20"/>
              </w:rPr>
            </w:pPr>
            <w:r w:rsidRPr="008B6A75">
              <w:rPr>
                <w:bCs/>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7C8678DC" w14:textId="77777777" w:rsidR="00387142" w:rsidRPr="008B6A75" w:rsidRDefault="00387142" w:rsidP="00387142">
            <w:pPr>
              <w:jc w:val="center"/>
              <w:rPr>
                <w:bCs/>
                <w:sz w:val="20"/>
                <w:szCs w:val="20"/>
              </w:rPr>
            </w:pPr>
            <w:r w:rsidRPr="008B6A75">
              <w:rPr>
                <w:bCs/>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DD77D2B" w14:textId="77777777" w:rsidR="00387142" w:rsidRPr="008B6A75" w:rsidRDefault="00387142" w:rsidP="00387142">
            <w:pPr>
              <w:jc w:val="right"/>
              <w:rPr>
                <w:bCs/>
                <w:sz w:val="20"/>
                <w:szCs w:val="20"/>
              </w:rPr>
            </w:pPr>
            <w:r w:rsidRPr="008B6A75">
              <w:rPr>
                <w:bCs/>
                <w:sz w:val="20"/>
                <w:szCs w:val="20"/>
              </w:rPr>
              <w:t>945 900,00</w:t>
            </w:r>
          </w:p>
        </w:tc>
        <w:tc>
          <w:tcPr>
            <w:tcW w:w="851" w:type="dxa"/>
            <w:tcBorders>
              <w:top w:val="nil"/>
              <w:left w:val="single" w:sz="4" w:space="0" w:color="auto"/>
              <w:bottom w:val="single" w:sz="4" w:space="0" w:color="auto"/>
              <w:right w:val="nil"/>
            </w:tcBorders>
            <w:shd w:val="clear" w:color="auto" w:fill="auto"/>
            <w:noWrap/>
            <w:vAlign w:val="center"/>
            <w:hideMark/>
          </w:tcPr>
          <w:p w14:paraId="5EE9AE2A" w14:textId="77777777" w:rsidR="00387142" w:rsidRPr="008B6A75" w:rsidRDefault="00387142" w:rsidP="00387142">
            <w:pPr>
              <w:jc w:val="right"/>
              <w:rPr>
                <w:bCs/>
                <w:sz w:val="20"/>
                <w:szCs w:val="20"/>
              </w:rPr>
            </w:pPr>
            <w:r w:rsidRPr="008B6A75">
              <w:rPr>
                <w:bCs/>
                <w:sz w:val="20"/>
                <w:szCs w:val="20"/>
              </w:rPr>
              <w:t>927 000,00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45CB6F67" w14:textId="77777777" w:rsidR="00387142" w:rsidRPr="008B6A75" w:rsidRDefault="00387142" w:rsidP="00387142">
            <w:pPr>
              <w:jc w:val="right"/>
              <w:rPr>
                <w:bCs/>
                <w:sz w:val="20"/>
                <w:szCs w:val="20"/>
              </w:rPr>
            </w:pPr>
            <w:r w:rsidRPr="008B6A75">
              <w:rPr>
                <w:bCs/>
                <w:sz w:val="20"/>
                <w:szCs w:val="20"/>
              </w:rPr>
              <w:t>927 000,00</w:t>
            </w:r>
          </w:p>
        </w:tc>
      </w:tr>
      <w:tr w:rsidR="00387142" w:rsidRPr="008B6A75" w14:paraId="5EF48A9B" w14:textId="77777777" w:rsidTr="00387142">
        <w:trPr>
          <w:trHeight w:val="1440"/>
        </w:trPr>
        <w:tc>
          <w:tcPr>
            <w:tcW w:w="272" w:type="dxa"/>
            <w:tcBorders>
              <w:top w:val="nil"/>
              <w:left w:val="nil"/>
              <w:bottom w:val="nil"/>
              <w:right w:val="single" w:sz="4" w:space="0" w:color="auto"/>
            </w:tcBorders>
            <w:shd w:val="clear" w:color="auto" w:fill="auto"/>
            <w:noWrap/>
            <w:vAlign w:val="bottom"/>
            <w:hideMark/>
          </w:tcPr>
          <w:p w14:paraId="75F1A0DF" w14:textId="77777777" w:rsidR="00387142" w:rsidRPr="008B6A75" w:rsidRDefault="00387142" w:rsidP="00387142">
            <w:pPr>
              <w:rPr>
                <w:sz w:val="20"/>
                <w:szCs w:val="20"/>
              </w:rPr>
            </w:pPr>
            <w:r w:rsidRPr="008B6A75">
              <w:rPr>
                <w:sz w:val="20"/>
                <w:szCs w:val="20"/>
              </w:rPr>
              <w:lastRenderedPageBreak/>
              <w:t> </w:t>
            </w:r>
          </w:p>
        </w:tc>
        <w:tc>
          <w:tcPr>
            <w:tcW w:w="3415" w:type="dxa"/>
            <w:tcBorders>
              <w:top w:val="nil"/>
              <w:left w:val="single" w:sz="4" w:space="0" w:color="auto"/>
              <w:bottom w:val="single" w:sz="4" w:space="0" w:color="auto"/>
              <w:right w:val="nil"/>
            </w:tcBorders>
            <w:shd w:val="clear" w:color="auto" w:fill="auto"/>
            <w:vAlign w:val="center"/>
            <w:hideMark/>
          </w:tcPr>
          <w:p w14:paraId="51B5720A" w14:textId="77777777" w:rsidR="00387142" w:rsidRPr="008B6A75" w:rsidRDefault="00387142" w:rsidP="00387142">
            <w:pPr>
              <w:rPr>
                <w:bCs/>
                <w:sz w:val="20"/>
                <w:szCs w:val="20"/>
              </w:rPr>
            </w:pPr>
            <w:r w:rsidRPr="008B6A75">
              <w:rPr>
                <w:bCs/>
                <w:sz w:val="20"/>
                <w:szCs w:val="20"/>
              </w:rPr>
              <w:t>Реализация мероприятий в рамках МП "Развитие и поддержка территориального общественного самоуправления в Куйбышевском районе Новосибирской области"</w:t>
            </w:r>
          </w:p>
        </w:tc>
        <w:tc>
          <w:tcPr>
            <w:tcW w:w="1559" w:type="dxa"/>
            <w:tcBorders>
              <w:top w:val="nil"/>
              <w:left w:val="single" w:sz="4" w:space="0" w:color="auto"/>
              <w:bottom w:val="single" w:sz="4" w:space="0" w:color="auto"/>
              <w:right w:val="nil"/>
            </w:tcBorders>
            <w:shd w:val="clear" w:color="auto" w:fill="auto"/>
            <w:noWrap/>
            <w:vAlign w:val="center"/>
            <w:hideMark/>
          </w:tcPr>
          <w:p w14:paraId="38E4BA2E" w14:textId="77777777" w:rsidR="00387142" w:rsidRPr="008B6A75" w:rsidRDefault="00387142" w:rsidP="00387142">
            <w:pPr>
              <w:jc w:val="center"/>
              <w:rPr>
                <w:bCs/>
                <w:sz w:val="20"/>
                <w:szCs w:val="20"/>
              </w:rPr>
            </w:pPr>
            <w:r w:rsidRPr="008B6A75">
              <w:rPr>
                <w:bCs/>
                <w:sz w:val="20"/>
                <w:szCs w:val="20"/>
              </w:rPr>
              <w:t>15.0.00.19500</w:t>
            </w:r>
          </w:p>
        </w:tc>
        <w:tc>
          <w:tcPr>
            <w:tcW w:w="850" w:type="dxa"/>
            <w:tcBorders>
              <w:top w:val="nil"/>
              <w:left w:val="single" w:sz="4" w:space="0" w:color="auto"/>
              <w:bottom w:val="single" w:sz="4" w:space="0" w:color="auto"/>
              <w:right w:val="nil"/>
            </w:tcBorders>
            <w:shd w:val="clear" w:color="auto" w:fill="auto"/>
            <w:noWrap/>
            <w:vAlign w:val="center"/>
            <w:hideMark/>
          </w:tcPr>
          <w:p w14:paraId="39C75AAA" w14:textId="77777777" w:rsidR="00387142" w:rsidRPr="008B6A75" w:rsidRDefault="00387142" w:rsidP="00387142">
            <w:pPr>
              <w:jc w:val="center"/>
              <w:rPr>
                <w:bCs/>
                <w:sz w:val="20"/>
                <w:szCs w:val="20"/>
              </w:rPr>
            </w:pPr>
            <w:r w:rsidRPr="008B6A75">
              <w:rPr>
                <w:bCs/>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2FEE1170" w14:textId="77777777" w:rsidR="00387142" w:rsidRPr="008B6A75" w:rsidRDefault="00387142" w:rsidP="00387142">
            <w:pPr>
              <w:jc w:val="center"/>
              <w:rPr>
                <w:bCs/>
                <w:sz w:val="20"/>
                <w:szCs w:val="20"/>
              </w:rPr>
            </w:pPr>
            <w:r w:rsidRPr="008B6A75">
              <w:rPr>
                <w:bCs/>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5B1FBBD2" w14:textId="77777777" w:rsidR="00387142" w:rsidRPr="008B6A75" w:rsidRDefault="00387142" w:rsidP="00387142">
            <w:pPr>
              <w:jc w:val="center"/>
              <w:rPr>
                <w:bCs/>
                <w:sz w:val="20"/>
                <w:szCs w:val="20"/>
              </w:rPr>
            </w:pPr>
            <w:r w:rsidRPr="008B6A75">
              <w:rPr>
                <w:bCs/>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B7541BA" w14:textId="77777777" w:rsidR="00387142" w:rsidRPr="008B6A75" w:rsidRDefault="00387142" w:rsidP="00387142">
            <w:pPr>
              <w:jc w:val="right"/>
              <w:rPr>
                <w:bCs/>
                <w:sz w:val="20"/>
                <w:szCs w:val="20"/>
              </w:rPr>
            </w:pPr>
            <w:r w:rsidRPr="008B6A75">
              <w:rPr>
                <w:bCs/>
                <w:sz w:val="20"/>
                <w:szCs w:val="20"/>
              </w:rPr>
              <w:t>18 900,00</w:t>
            </w:r>
          </w:p>
        </w:tc>
        <w:tc>
          <w:tcPr>
            <w:tcW w:w="851" w:type="dxa"/>
            <w:tcBorders>
              <w:top w:val="nil"/>
              <w:left w:val="single" w:sz="4" w:space="0" w:color="auto"/>
              <w:bottom w:val="single" w:sz="4" w:space="0" w:color="auto"/>
              <w:right w:val="nil"/>
            </w:tcBorders>
            <w:shd w:val="clear" w:color="auto" w:fill="auto"/>
            <w:noWrap/>
            <w:vAlign w:val="center"/>
            <w:hideMark/>
          </w:tcPr>
          <w:p w14:paraId="0C675FA1" w14:textId="77777777" w:rsidR="00387142" w:rsidRPr="008B6A75" w:rsidRDefault="00387142" w:rsidP="00387142">
            <w:pPr>
              <w:jc w:val="right"/>
              <w:rPr>
                <w:bCs/>
                <w:sz w:val="20"/>
                <w:szCs w:val="20"/>
              </w:rPr>
            </w:pPr>
            <w:r w:rsidRPr="008B6A75">
              <w:rPr>
                <w:bCs/>
                <w:sz w:val="20"/>
                <w:szCs w:val="20"/>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74CC5C0E" w14:textId="77777777" w:rsidR="00387142" w:rsidRPr="008B6A75" w:rsidRDefault="00387142" w:rsidP="00387142">
            <w:pPr>
              <w:jc w:val="right"/>
              <w:rPr>
                <w:bCs/>
                <w:sz w:val="20"/>
                <w:szCs w:val="20"/>
              </w:rPr>
            </w:pPr>
            <w:r w:rsidRPr="008B6A75">
              <w:rPr>
                <w:bCs/>
                <w:sz w:val="20"/>
                <w:szCs w:val="20"/>
              </w:rPr>
              <w:t>0,00</w:t>
            </w:r>
          </w:p>
        </w:tc>
      </w:tr>
      <w:tr w:rsidR="00387142" w:rsidRPr="008B6A75" w14:paraId="1A587C94" w14:textId="77777777" w:rsidTr="00387142">
        <w:trPr>
          <w:trHeight w:val="870"/>
        </w:trPr>
        <w:tc>
          <w:tcPr>
            <w:tcW w:w="272" w:type="dxa"/>
            <w:tcBorders>
              <w:top w:val="nil"/>
              <w:left w:val="nil"/>
              <w:bottom w:val="nil"/>
              <w:right w:val="single" w:sz="4" w:space="0" w:color="auto"/>
            </w:tcBorders>
            <w:shd w:val="clear" w:color="auto" w:fill="auto"/>
            <w:noWrap/>
            <w:vAlign w:val="bottom"/>
            <w:hideMark/>
          </w:tcPr>
          <w:p w14:paraId="66765085"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63FBF3F4" w14:textId="77777777" w:rsidR="00387142" w:rsidRPr="008B6A75" w:rsidRDefault="00387142" w:rsidP="00387142">
            <w:pPr>
              <w:rPr>
                <w:sz w:val="20"/>
                <w:szCs w:val="20"/>
              </w:rPr>
            </w:pPr>
            <w:r w:rsidRPr="008B6A75">
              <w:rPr>
                <w:sz w:val="20"/>
                <w:szCs w:val="20"/>
              </w:rPr>
              <w:t>Предоставление субсидий бюджетным, автономным учреждениям и иным некоммерческим организациям</w:t>
            </w:r>
          </w:p>
        </w:tc>
        <w:tc>
          <w:tcPr>
            <w:tcW w:w="1559" w:type="dxa"/>
            <w:tcBorders>
              <w:top w:val="nil"/>
              <w:left w:val="single" w:sz="4" w:space="0" w:color="auto"/>
              <w:bottom w:val="single" w:sz="4" w:space="0" w:color="auto"/>
              <w:right w:val="nil"/>
            </w:tcBorders>
            <w:shd w:val="clear" w:color="auto" w:fill="auto"/>
            <w:noWrap/>
            <w:vAlign w:val="center"/>
            <w:hideMark/>
          </w:tcPr>
          <w:p w14:paraId="53CAB839" w14:textId="77777777" w:rsidR="00387142" w:rsidRPr="008B6A75" w:rsidRDefault="00387142" w:rsidP="00387142">
            <w:pPr>
              <w:jc w:val="center"/>
              <w:rPr>
                <w:sz w:val="20"/>
                <w:szCs w:val="20"/>
              </w:rPr>
            </w:pPr>
            <w:r w:rsidRPr="008B6A75">
              <w:rPr>
                <w:sz w:val="20"/>
                <w:szCs w:val="20"/>
              </w:rPr>
              <w:t>15.0.00.19500</w:t>
            </w:r>
          </w:p>
        </w:tc>
        <w:tc>
          <w:tcPr>
            <w:tcW w:w="850" w:type="dxa"/>
            <w:tcBorders>
              <w:top w:val="nil"/>
              <w:left w:val="single" w:sz="4" w:space="0" w:color="auto"/>
              <w:bottom w:val="single" w:sz="4" w:space="0" w:color="auto"/>
              <w:right w:val="nil"/>
            </w:tcBorders>
            <w:shd w:val="clear" w:color="auto" w:fill="auto"/>
            <w:noWrap/>
            <w:vAlign w:val="center"/>
            <w:hideMark/>
          </w:tcPr>
          <w:p w14:paraId="230A41B8" w14:textId="77777777" w:rsidR="00387142" w:rsidRPr="008B6A75" w:rsidRDefault="00387142" w:rsidP="00387142">
            <w:pPr>
              <w:jc w:val="center"/>
              <w:rPr>
                <w:sz w:val="20"/>
                <w:szCs w:val="20"/>
              </w:rPr>
            </w:pPr>
            <w:r w:rsidRPr="008B6A75">
              <w:rPr>
                <w:sz w:val="20"/>
                <w:szCs w:val="20"/>
              </w:rPr>
              <w:t>600</w:t>
            </w:r>
          </w:p>
        </w:tc>
        <w:tc>
          <w:tcPr>
            <w:tcW w:w="567" w:type="dxa"/>
            <w:tcBorders>
              <w:top w:val="nil"/>
              <w:left w:val="single" w:sz="4" w:space="0" w:color="auto"/>
              <w:bottom w:val="single" w:sz="4" w:space="0" w:color="auto"/>
              <w:right w:val="nil"/>
            </w:tcBorders>
            <w:shd w:val="clear" w:color="auto" w:fill="auto"/>
            <w:noWrap/>
            <w:vAlign w:val="center"/>
            <w:hideMark/>
          </w:tcPr>
          <w:p w14:paraId="5B87EF9B" w14:textId="77777777" w:rsidR="00387142" w:rsidRPr="008B6A75" w:rsidRDefault="00387142" w:rsidP="00387142">
            <w:pPr>
              <w:jc w:val="center"/>
              <w:rPr>
                <w:sz w:val="20"/>
                <w:szCs w:val="20"/>
              </w:rPr>
            </w:pPr>
            <w:r w:rsidRPr="008B6A75">
              <w:rPr>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08FFFD41" w14:textId="77777777" w:rsidR="00387142" w:rsidRPr="008B6A75" w:rsidRDefault="00387142" w:rsidP="00387142">
            <w:pPr>
              <w:jc w:val="center"/>
              <w:rPr>
                <w:sz w:val="20"/>
                <w:szCs w:val="20"/>
              </w:rPr>
            </w:pPr>
            <w:r w:rsidRPr="008B6A75">
              <w:rPr>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FA36853" w14:textId="77777777" w:rsidR="00387142" w:rsidRPr="008B6A75" w:rsidRDefault="00387142" w:rsidP="00387142">
            <w:pPr>
              <w:jc w:val="right"/>
              <w:rPr>
                <w:sz w:val="20"/>
                <w:szCs w:val="20"/>
              </w:rPr>
            </w:pPr>
            <w:r w:rsidRPr="008B6A75">
              <w:rPr>
                <w:sz w:val="20"/>
                <w:szCs w:val="20"/>
              </w:rPr>
              <w:t>18 900,00</w:t>
            </w:r>
          </w:p>
        </w:tc>
        <w:tc>
          <w:tcPr>
            <w:tcW w:w="851" w:type="dxa"/>
            <w:tcBorders>
              <w:top w:val="nil"/>
              <w:left w:val="single" w:sz="4" w:space="0" w:color="auto"/>
              <w:bottom w:val="single" w:sz="4" w:space="0" w:color="auto"/>
              <w:right w:val="nil"/>
            </w:tcBorders>
            <w:shd w:val="clear" w:color="auto" w:fill="auto"/>
            <w:noWrap/>
            <w:vAlign w:val="center"/>
            <w:hideMark/>
          </w:tcPr>
          <w:p w14:paraId="1AE61D75" w14:textId="77777777" w:rsidR="00387142" w:rsidRPr="008B6A75" w:rsidRDefault="00387142" w:rsidP="00387142">
            <w:pPr>
              <w:jc w:val="right"/>
              <w:rPr>
                <w:sz w:val="20"/>
                <w:szCs w:val="20"/>
              </w:rPr>
            </w:pPr>
            <w:r w:rsidRPr="008B6A75">
              <w:rPr>
                <w:sz w:val="20"/>
                <w:szCs w:val="20"/>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0904DB29" w14:textId="77777777" w:rsidR="00387142" w:rsidRPr="008B6A75" w:rsidRDefault="00387142" w:rsidP="00387142">
            <w:pPr>
              <w:jc w:val="right"/>
              <w:rPr>
                <w:sz w:val="20"/>
                <w:szCs w:val="20"/>
              </w:rPr>
            </w:pPr>
            <w:r w:rsidRPr="008B6A75">
              <w:rPr>
                <w:sz w:val="20"/>
                <w:szCs w:val="20"/>
              </w:rPr>
              <w:t>0,00</w:t>
            </w:r>
          </w:p>
        </w:tc>
      </w:tr>
      <w:tr w:rsidR="00387142" w:rsidRPr="008B6A75" w14:paraId="3430429E" w14:textId="77777777" w:rsidTr="00387142">
        <w:trPr>
          <w:trHeight w:val="870"/>
        </w:trPr>
        <w:tc>
          <w:tcPr>
            <w:tcW w:w="272" w:type="dxa"/>
            <w:tcBorders>
              <w:top w:val="nil"/>
              <w:left w:val="nil"/>
              <w:bottom w:val="nil"/>
              <w:right w:val="single" w:sz="4" w:space="0" w:color="auto"/>
            </w:tcBorders>
            <w:shd w:val="clear" w:color="auto" w:fill="auto"/>
            <w:noWrap/>
            <w:vAlign w:val="bottom"/>
            <w:hideMark/>
          </w:tcPr>
          <w:p w14:paraId="4FAFF495"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2C46E886" w14:textId="77777777" w:rsidR="00387142" w:rsidRPr="008B6A75" w:rsidRDefault="00387142" w:rsidP="00387142">
            <w:pPr>
              <w:rPr>
                <w:sz w:val="20"/>
                <w:szCs w:val="20"/>
              </w:rPr>
            </w:pPr>
            <w:r w:rsidRPr="008B6A75">
              <w:rPr>
                <w:sz w:val="20"/>
                <w:szCs w:val="20"/>
              </w:rPr>
              <w:t>Субсидии некоммерческим организациям (за исключением государственных (муниципальных) учреждений)</w:t>
            </w:r>
          </w:p>
        </w:tc>
        <w:tc>
          <w:tcPr>
            <w:tcW w:w="1559" w:type="dxa"/>
            <w:tcBorders>
              <w:top w:val="nil"/>
              <w:left w:val="single" w:sz="4" w:space="0" w:color="auto"/>
              <w:bottom w:val="single" w:sz="4" w:space="0" w:color="auto"/>
              <w:right w:val="nil"/>
            </w:tcBorders>
            <w:shd w:val="clear" w:color="auto" w:fill="auto"/>
            <w:noWrap/>
            <w:vAlign w:val="center"/>
            <w:hideMark/>
          </w:tcPr>
          <w:p w14:paraId="375321D7" w14:textId="77777777" w:rsidR="00387142" w:rsidRPr="008B6A75" w:rsidRDefault="00387142" w:rsidP="00387142">
            <w:pPr>
              <w:jc w:val="center"/>
              <w:rPr>
                <w:sz w:val="20"/>
                <w:szCs w:val="20"/>
              </w:rPr>
            </w:pPr>
            <w:r w:rsidRPr="008B6A75">
              <w:rPr>
                <w:sz w:val="20"/>
                <w:szCs w:val="20"/>
              </w:rPr>
              <w:t>15.0.00.19500</w:t>
            </w:r>
          </w:p>
        </w:tc>
        <w:tc>
          <w:tcPr>
            <w:tcW w:w="850" w:type="dxa"/>
            <w:tcBorders>
              <w:top w:val="nil"/>
              <w:left w:val="single" w:sz="4" w:space="0" w:color="auto"/>
              <w:bottom w:val="single" w:sz="4" w:space="0" w:color="auto"/>
              <w:right w:val="nil"/>
            </w:tcBorders>
            <w:shd w:val="clear" w:color="auto" w:fill="auto"/>
            <w:noWrap/>
            <w:vAlign w:val="center"/>
            <w:hideMark/>
          </w:tcPr>
          <w:p w14:paraId="0B4601B0" w14:textId="77777777" w:rsidR="00387142" w:rsidRPr="008B6A75" w:rsidRDefault="00387142" w:rsidP="00387142">
            <w:pPr>
              <w:jc w:val="center"/>
              <w:rPr>
                <w:sz w:val="20"/>
                <w:szCs w:val="20"/>
              </w:rPr>
            </w:pPr>
            <w:r w:rsidRPr="008B6A75">
              <w:rPr>
                <w:sz w:val="20"/>
                <w:szCs w:val="20"/>
              </w:rPr>
              <w:t>630</w:t>
            </w:r>
          </w:p>
        </w:tc>
        <w:tc>
          <w:tcPr>
            <w:tcW w:w="567" w:type="dxa"/>
            <w:tcBorders>
              <w:top w:val="nil"/>
              <w:left w:val="single" w:sz="4" w:space="0" w:color="auto"/>
              <w:bottom w:val="single" w:sz="4" w:space="0" w:color="auto"/>
              <w:right w:val="nil"/>
            </w:tcBorders>
            <w:shd w:val="clear" w:color="auto" w:fill="auto"/>
            <w:noWrap/>
            <w:vAlign w:val="center"/>
            <w:hideMark/>
          </w:tcPr>
          <w:p w14:paraId="17BB627B" w14:textId="77777777" w:rsidR="00387142" w:rsidRPr="008B6A75" w:rsidRDefault="00387142" w:rsidP="00387142">
            <w:pPr>
              <w:jc w:val="center"/>
              <w:rPr>
                <w:sz w:val="20"/>
                <w:szCs w:val="20"/>
              </w:rPr>
            </w:pPr>
            <w:r w:rsidRPr="008B6A75">
              <w:rPr>
                <w:sz w:val="20"/>
                <w:szCs w:val="20"/>
              </w:rPr>
              <w:t>01</w:t>
            </w:r>
          </w:p>
        </w:tc>
        <w:tc>
          <w:tcPr>
            <w:tcW w:w="567" w:type="dxa"/>
            <w:tcBorders>
              <w:top w:val="nil"/>
              <w:left w:val="single" w:sz="4" w:space="0" w:color="auto"/>
              <w:bottom w:val="single" w:sz="4" w:space="0" w:color="auto"/>
              <w:right w:val="nil"/>
            </w:tcBorders>
            <w:shd w:val="clear" w:color="auto" w:fill="auto"/>
            <w:noWrap/>
            <w:vAlign w:val="center"/>
            <w:hideMark/>
          </w:tcPr>
          <w:p w14:paraId="0ABDBC3D" w14:textId="77777777" w:rsidR="00387142" w:rsidRPr="008B6A75" w:rsidRDefault="00387142" w:rsidP="00387142">
            <w:pPr>
              <w:jc w:val="center"/>
              <w:rPr>
                <w:sz w:val="20"/>
                <w:szCs w:val="20"/>
              </w:rPr>
            </w:pPr>
            <w:r w:rsidRPr="008B6A75">
              <w:rPr>
                <w:sz w:val="20"/>
                <w:szCs w:val="20"/>
              </w:rPr>
              <w:t>13</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BEB2270" w14:textId="77777777" w:rsidR="00387142" w:rsidRPr="008B6A75" w:rsidRDefault="00387142" w:rsidP="00387142">
            <w:pPr>
              <w:jc w:val="right"/>
              <w:rPr>
                <w:sz w:val="20"/>
                <w:szCs w:val="20"/>
              </w:rPr>
            </w:pPr>
            <w:r w:rsidRPr="008B6A75">
              <w:rPr>
                <w:sz w:val="20"/>
                <w:szCs w:val="20"/>
              </w:rPr>
              <w:t>18 900,00</w:t>
            </w:r>
          </w:p>
        </w:tc>
        <w:tc>
          <w:tcPr>
            <w:tcW w:w="851" w:type="dxa"/>
            <w:tcBorders>
              <w:top w:val="nil"/>
              <w:left w:val="single" w:sz="4" w:space="0" w:color="auto"/>
              <w:bottom w:val="single" w:sz="4" w:space="0" w:color="auto"/>
              <w:right w:val="nil"/>
            </w:tcBorders>
            <w:shd w:val="clear" w:color="auto" w:fill="auto"/>
            <w:noWrap/>
            <w:vAlign w:val="center"/>
            <w:hideMark/>
          </w:tcPr>
          <w:p w14:paraId="7694F7F4" w14:textId="77777777" w:rsidR="00387142" w:rsidRPr="008B6A75" w:rsidRDefault="00387142" w:rsidP="00387142">
            <w:pPr>
              <w:jc w:val="right"/>
              <w:rPr>
                <w:sz w:val="20"/>
                <w:szCs w:val="20"/>
              </w:rPr>
            </w:pPr>
            <w:r w:rsidRPr="008B6A75">
              <w:rPr>
                <w:sz w:val="20"/>
                <w:szCs w:val="20"/>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4BF9409A" w14:textId="77777777" w:rsidR="00387142" w:rsidRPr="008B6A75" w:rsidRDefault="00387142" w:rsidP="00387142">
            <w:pPr>
              <w:jc w:val="right"/>
              <w:rPr>
                <w:sz w:val="20"/>
                <w:szCs w:val="20"/>
              </w:rPr>
            </w:pPr>
            <w:r w:rsidRPr="008B6A75">
              <w:rPr>
                <w:sz w:val="20"/>
                <w:szCs w:val="20"/>
              </w:rPr>
              <w:t>0,00</w:t>
            </w:r>
          </w:p>
        </w:tc>
      </w:tr>
      <w:tr w:rsidR="00387142" w:rsidRPr="008B6A75" w14:paraId="6FF684FC" w14:textId="77777777" w:rsidTr="00387142">
        <w:trPr>
          <w:trHeight w:val="2865"/>
        </w:trPr>
        <w:tc>
          <w:tcPr>
            <w:tcW w:w="272" w:type="dxa"/>
            <w:tcBorders>
              <w:top w:val="nil"/>
              <w:left w:val="nil"/>
              <w:bottom w:val="nil"/>
              <w:right w:val="single" w:sz="4" w:space="0" w:color="auto"/>
            </w:tcBorders>
            <w:shd w:val="clear" w:color="auto" w:fill="auto"/>
            <w:noWrap/>
            <w:vAlign w:val="bottom"/>
            <w:hideMark/>
          </w:tcPr>
          <w:p w14:paraId="3A7865BD"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37E3E24C" w14:textId="77777777" w:rsidR="00387142" w:rsidRPr="008B6A75" w:rsidRDefault="00387142" w:rsidP="00387142">
            <w:pPr>
              <w:rPr>
                <w:bCs/>
                <w:sz w:val="20"/>
                <w:szCs w:val="20"/>
              </w:rPr>
            </w:pPr>
            <w:proofErr w:type="spellStart"/>
            <w:r w:rsidRPr="008B6A75">
              <w:rPr>
                <w:bCs/>
                <w:sz w:val="20"/>
                <w:szCs w:val="20"/>
              </w:rPr>
              <w:t>Софинансирование</w:t>
            </w:r>
            <w:proofErr w:type="spellEnd"/>
            <w:r w:rsidRPr="008B6A75">
              <w:rPr>
                <w:bCs/>
                <w:sz w:val="20"/>
                <w:szCs w:val="20"/>
              </w:rPr>
              <w:t xml:space="preserve"> мероприятий муниципальных программ развития территориального общественного самоуправления в Новосибирской области подпрограммы «Содействие развитию местного самоуправления» государственной программы Новосибирской области "Развитие институтов региональной политики и гражданского общества в Новосибирской области"</w:t>
            </w:r>
          </w:p>
        </w:tc>
        <w:tc>
          <w:tcPr>
            <w:tcW w:w="1559" w:type="dxa"/>
            <w:tcBorders>
              <w:top w:val="nil"/>
              <w:left w:val="single" w:sz="4" w:space="0" w:color="auto"/>
              <w:bottom w:val="single" w:sz="4" w:space="0" w:color="auto"/>
              <w:right w:val="nil"/>
            </w:tcBorders>
            <w:shd w:val="clear" w:color="auto" w:fill="auto"/>
            <w:noWrap/>
            <w:vAlign w:val="center"/>
            <w:hideMark/>
          </w:tcPr>
          <w:p w14:paraId="3C6D40E5" w14:textId="77777777" w:rsidR="00387142" w:rsidRPr="008B6A75" w:rsidRDefault="00387142" w:rsidP="00387142">
            <w:pPr>
              <w:jc w:val="center"/>
              <w:rPr>
                <w:bCs/>
                <w:sz w:val="20"/>
                <w:szCs w:val="20"/>
              </w:rPr>
            </w:pPr>
            <w:r w:rsidRPr="008B6A75">
              <w:rPr>
                <w:bCs/>
                <w:sz w:val="20"/>
                <w:szCs w:val="20"/>
              </w:rPr>
              <w:t>15.0.00.70610</w:t>
            </w:r>
          </w:p>
        </w:tc>
        <w:tc>
          <w:tcPr>
            <w:tcW w:w="850" w:type="dxa"/>
            <w:tcBorders>
              <w:top w:val="nil"/>
              <w:left w:val="single" w:sz="4" w:space="0" w:color="auto"/>
              <w:bottom w:val="single" w:sz="4" w:space="0" w:color="auto"/>
              <w:right w:val="nil"/>
            </w:tcBorders>
            <w:shd w:val="clear" w:color="auto" w:fill="auto"/>
            <w:noWrap/>
            <w:vAlign w:val="center"/>
            <w:hideMark/>
          </w:tcPr>
          <w:p w14:paraId="465F6F60" w14:textId="77777777" w:rsidR="00387142" w:rsidRPr="008B6A75" w:rsidRDefault="00387142" w:rsidP="00387142">
            <w:pPr>
              <w:jc w:val="center"/>
              <w:rPr>
                <w:bCs/>
                <w:sz w:val="20"/>
                <w:szCs w:val="20"/>
              </w:rPr>
            </w:pPr>
            <w:r w:rsidRPr="008B6A75">
              <w:rPr>
                <w:bCs/>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56409C13" w14:textId="77777777" w:rsidR="00387142" w:rsidRPr="008B6A75" w:rsidRDefault="00387142" w:rsidP="00387142">
            <w:pPr>
              <w:jc w:val="center"/>
              <w:rPr>
                <w:bCs/>
                <w:sz w:val="20"/>
                <w:szCs w:val="20"/>
              </w:rPr>
            </w:pPr>
            <w:r w:rsidRPr="008B6A75">
              <w:rPr>
                <w:bCs/>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07B07BD1" w14:textId="77777777" w:rsidR="00387142" w:rsidRPr="008B6A75" w:rsidRDefault="00387142" w:rsidP="00387142">
            <w:pPr>
              <w:jc w:val="center"/>
              <w:rPr>
                <w:bCs/>
                <w:sz w:val="20"/>
                <w:szCs w:val="20"/>
              </w:rPr>
            </w:pPr>
            <w:r w:rsidRPr="008B6A75">
              <w:rPr>
                <w:bCs/>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88ABE85" w14:textId="77777777" w:rsidR="00387142" w:rsidRPr="008B6A75" w:rsidRDefault="00387142" w:rsidP="00387142">
            <w:pPr>
              <w:jc w:val="right"/>
              <w:rPr>
                <w:bCs/>
                <w:sz w:val="20"/>
                <w:szCs w:val="20"/>
              </w:rPr>
            </w:pPr>
            <w:r w:rsidRPr="008B6A75">
              <w:rPr>
                <w:bCs/>
                <w:sz w:val="20"/>
                <w:szCs w:val="20"/>
              </w:rPr>
              <w:t>927 000,00</w:t>
            </w:r>
          </w:p>
        </w:tc>
        <w:tc>
          <w:tcPr>
            <w:tcW w:w="851" w:type="dxa"/>
            <w:tcBorders>
              <w:top w:val="nil"/>
              <w:left w:val="single" w:sz="4" w:space="0" w:color="auto"/>
              <w:bottom w:val="single" w:sz="4" w:space="0" w:color="auto"/>
              <w:right w:val="nil"/>
            </w:tcBorders>
            <w:shd w:val="clear" w:color="auto" w:fill="auto"/>
            <w:noWrap/>
            <w:vAlign w:val="center"/>
            <w:hideMark/>
          </w:tcPr>
          <w:p w14:paraId="1DBBB3A2" w14:textId="77777777" w:rsidR="00387142" w:rsidRPr="008B6A75" w:rsidRDefault="00387142" w:rsidP="00387142">
            <w:pPr>
              <w:jc w:val="right"/>
              <w:rPr>
                <w:bCs/>
                <w:sz w:val="20"/>
                <w:szCs w:val="20"/>
              </w:rPr>
            </w:pPr>
            <w:r w:rsidRPr="008B6A75">
              <w:rPr>
                <w:bCs/>
                <w:sz w:val="20"/>
                <w:szCs w:val="20"/>
              </w:rPr>
              <w:t>927 000,00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44E713FC" w14:textId="77777777" w:rsidR="00387142" w:rsidRPr="008B6A75" w:rsidRDefault="00387142" w:rsidP="00387142">
            <w:pPr>
              <w:jc w:val="right"/>
              <w:rPr>
                <w:bCs/>
                <w:sz w:val="20"/>
                <w:szCs w:val="20"/>
              </w:rPr>
            </w:pPr>
            <w:r w:rsidRPr="008B6A75">
              <w:rPr>
                <w:bCs/>
                <w:sz w:val="20"/>
                <w:szCs w:val="20"/>
              </w:rPr>
              <w:t>927 000,00</w:t>
            </w:r>
          </w:p>
        </w:tc>
      </w:tr>
      <w:tr w:rsidR="00387142" w:rsidRPr="008B6A75" w14:paraId="4932DE8A" w14:textId="77777777" w:rsidTr="00387142">
        <w:trPr>
          <w:trHeight w:val="870"/>
        </w:trPr>
        <w:tc>
          <w:tcPr>
            <w:tcW w:w="272" w:type="dxa"/>
            <w:tcBorders>
              <w:top w:val="nil"/>
              <w:left w:val="nil"/>
              <w:bottom w:val="nil"/>
              <w:right w:val="single" w:sz="4" w:space="0" w:color="auto"/>
            </w:tcBorders>
            <w:shd w:val="clear" w:color="auto" w:fill="auto"/>
            <w:noWrap/>
            <w:vAlign w:val="bottom"/>
            <w:hideMark/>
          </w:tcPr>
          <w:p w14:paraId="5F589A9A"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652FE4E1" w14:textId="77777777" w:rsidR="00387142" w:rsidRPr="008B6A75" w:rsidRDefault="00387142" w:rsidP="00387142">
            <w:pPr>
              <w:rPr>
                <w:sz w:val="20"/>
                <w:szCs w:val="20"/>
              </w:rPr>
            </w:pPr>
            <w:r w:rsidRPr="008B6A75">
              <w:rPr>
                <w:sz w:val="20"/>
                <w:szCs w:val="20"/>
              </w:rPr>
              <w:t>Предоставление субсидий бюджетным, автономным учреждениям и иным некоммерческим организациям</w:t>
            </w:r>
          </w:p>
        </w:tc>
        <w:tc>
          <w:tcPr>
            <w:tcW w:w="1559" w:type="dxa"/>
            <w:tcBorders>
              <w:top w:val="nil"/>
              <w:left w:val="single" w:sz="4" w:space="0" w:color="auto"/>
              <w:bottom w:val="single" w:sz="4" w:space="0" w:color="auto"/>
              <w:right w:val="nil"/>
            </w:tcBorders>
            <w:shd w:val="clear" w:color="auto" w:fill="auto"/>
            <w:noWrap/>
            <w:vAlign w:val="center"/>
            <w:hideMark/>
          </w:tcPr>
          <w:p w14:paraId="796C6AE5" w14:textId="77777777" w:rsidR="00387142" w:rsidRPr="008B6A75" w:rsidRDefault="00387142" w:rsidP="00387142">
            <w:pPr>
              <w:jc w:val="center"/>
              <w:rPr>
                <w:sz w:val="20"/>
                <w:szCs w:val="20"/>
              </w:rPr>
            </w:pPr>
            <w:r w:rsidRPr="008B6A75">
              <w:rPr>
                <w:sz w:val="20"/>
                <w:szCs w:val="20"/>
              </w:rPr>
              <w:t>15.0.00.70610</w:t>
            </w:r>
          </w:p>
        </w:tc>
        <w:tc>
          <w:tcPr>
            <w:tcW w:w="850" w:type="dxa"/>
            <w:tcBorders>
              <w:top w:val="nil"/>
              <w:left w:val="single" w:sz="4" w:space="0" w:color="auto"/>
              <w:bottom w:val="single" w:sz="4" w:space="0" w:color="auto"/>
              <w:right w:val="nil"/>
            </w:tcBorders>
            <w:shd w:val="clear" w:color="auto" w:fill="auto"/>
            <w:noWrap/>
            <w:vAlign w:val="center"/>
            <w:hideMark/>
          </w:tcPr>
          <w:p w14:paraId="4F4DC741" w14:textId="77777777" w:rsidR="00387142" w:rsidRPr="008B6A75" w:rsidRDefault="00387142" w:rsidP="00387142">
            <w:pPr>
              <w:jc w:val="center"/>
              <w:rPr>
                <w:sz w:val="20"/>
                <w:szCs w:val="20"/>
              </w:rPr>
            </w:pPr>
            <w:r w:rsidRPr="008B6A75">
              <w:rPr>
                <w:sz w:val="20"/>
                <w:szCs w:val="20"/>
              </w:rPr>
              <w:t>600</w:t>
            </w:r>
          </w:p>
        </w:tc>
        <w:tc>
          <w:tcPr>
            <w:tcW w:w="567" w:type="dxa"/>
            <w:tcBorders>
              <w:top w:val="nil"/>
              <w:left w:val="single" w:sz="4" w:space="0" w:color="auto"/>
              <w:bottom w:val="single" w:sz="4" w:space="0" w:color="auto"/>
              <w:right w:val="nil"/>
            </w:tcBorders>
            <w:shd w:val="clear" w:color="auto" w:fill="auto"/>
            <w:noWrap/>
            <w:vAlign w:val="center"/>
            <w:hideMark/>
          </w:tcPr>
          <w:p w14:paraId="75E1F063" w14:textId="77777777" w:rsidR="00387142" w:rsidRPr="008B6A75" w:rsidRDefault="00387142" w:rsidP="00387142">
            <w:pPr>
              <w:jc w:val="center"/>
              <w:rPr>
                <w:sz w:val="20"/>
                <w:szCs w:val="20"/>
              </w:rPr>
            </w:pPr>
            <w:r w:rsidRPr="008B6A75">
              <w:rPr>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77CFF5C1" w14:textId="77777777" w:rsidR="00387142" w:rsidRPr="008B6A75" w:rsidRDefault="00387142" w:rsidP="00387142">
            <w:pPr>
              <w:jc w:val="center"/>
              <w:rPr>
                <w:sz w:val="20"/>
                <w:szCs w:val="20"/>
              </w:rPr>
            </w:pPr>
            <w:r w:rsidRPr="008B6A75">
              <w:rPr>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013ED9F" w14:textId="77777777" w:rsidR="00387142" w:rsidRPr="008B6A75" w:rsidRDefault="00387142" w:rsidP="00387142">
            <w:pPr>
              <w:jc w:val="right"/>
              <w:rPr>
                <w:sz w:val="20"/>
                <w:szCs w:val="20"/>
              </w:rPr>
            </w:pPr>
            <w:r w:rsidRPr="008B6A75">
              <w:rPr>
                <w:sz w:val="20"/>
                <w:szCs w:val="20"/>
              </w:rPr>
              <w:t>927 000,00</w:t>
            </w:r>
          </w:p>
        </w:tc>
        <w:tc>
          <w:tcPr>
            <w:tcW w:w="851" w:type="dxa"/>
            <w:tcBorders>
              <w:top w:val="nil"/>
              <w:left w:val="single" w:sz="4" w:space="0" w:color="auto"/>
              <w:bottom w:val="single" w:sz="4" w:space="0" w:color="auto"/>
              <w:right w:val="nil"/>
            </w:tcBorders>
            <w:shd w:val="clear" w:color="auto" w:fill="auto"/>
            <w:noWrap/>
            <w:vAlign w:val="center"/>
            <w:hideMark/>
          </w:tcPr>
          <w:p w14:paraId="178F8DA8" w14:textId="77777777" w:rsidR="00387142" w:rsidRPr="008B6A75" w:rsidRDefault="00387142" w:rsidP="00387142">
            <w:pPr>
              <w:jc w:val="right"/>
              <w:rPr>
                <w:sz w:val="20"/>
                <w:szCs w:val="20"/>
              </w:rPr>
            </w:pPr>
            <w:r w:rsidRPr="008B6A75">
              <w:rPr>
                <w:sz w:val="20"/>
                <w:szCs w:val="20"/>
              </w:rPr>
              <w:t>927 000,00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793A35E7" w14:textId="77777777" w:rsidR="00387142" w:rsidRPr="008B6A75" w:rsidRDefault="00387142" w:rsidP="00387142">
            <w:pPr>
              <w:jc w:val="right"/>
              <w:rPr>
                <w:sz w:val="20"/>
                <w:szCs w:val="20"/>
              </w:rPr>
            </w:pPr>
            <w:r w:rsidRPr="008B6A75">
              <w:rPr>
                <w:sz w:val="20"/>
                <w:szCs w:val="20"/>
              </w:rPr>
              <w:t>927 000,00</w:t>
            </w:r>
          </w:p>
        </w:tc>
      </w:tr>
      <w:tr w:rsidR="00387142" w:rsidRPr="008B6A75" w14:paraId="3EA5EF96" w14:textId="77777777" w:rsidTr="00387142">
        <w:trPr>
          <w:trHeight w:val="870"/>
        </w:trPr>
        <w:tc>
          <w:tcPr>
            <w:tcW w:w="272" w:type="dxa"/>
            <w:tcBorders>
              <w:top w:val="nil"/>
              <w:left w:val="nil"/>
              <w:bottom w:val="nil"/>
              <w:right w:val="single" w:sz="4" w:space="0" w:color="auto"/>
            </w:tcBorders>
            <w:shd w:val="clear" w:color="auto" w:fill="auto"/>
            <w:noWrap/>
            <w:vAlign w:val="bottom"/>
            <w:hideMark/>
          </w:tcPr>
          <w:p w14:paraId="3F903311"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1A03F256" w14:textId="77777777" w:rsidR="00387142" w:rsidRPr="008B6A75" w:rsidRDefault="00387142" w:rsidP="00387142">
            <w:pPr>
              <w:rPr>
                <w:sz w:val="20"/>
                <w:szCs w:val="20"/>
              </w:rPr>
            </w:pPr>
            <w:r w:rsidRPr="008B6A75">
              <w:rPr>
                <w:sz w:val="20"/>
                <w:szCs w:val="20"/>
              </w:rPr>
              <w:t>Субсидии некоммерческим организациям (за исключением государственных (муниципальных) учреждений)</w:t>
            </w:r>
          </w:p>
        </w:tc>
        <w:tc>
          <w:tcPr>
            <w:tcW w:w="1559" w:type="dxa"/>
            <w:tcBorders>
              <w:top w:val="nil"/>
              <w:left w:val="single" w:sz="4" w:space="0" w:color="auto"/>
              <w:bottom w:val="single" w:sz="4" w:space="0" w:color="auto"/>
              <w:right w:val="nil"/>
            </w:tcBorders>
            <w:shd w:val="clear" w:color="auto" w:fill="auto"/>
            <w:noWrap/>
            <w:vAlign w:val="center"/>
            <w:hideMark/>
          </w:tcPr>
          <w:p w14:paraId="24749AF2" w14:textId="77777777" w:rsidR="00387142" w:rsidRPr="008B6A75" w:rsidRDefault="00387142" w:rsidP="00387142">
            <w:pPr>
              <w:jc w:val="center"/>
              <w:rPr>
                <w:sz w:val="20"/>
                <w:szCs w:val="20"/>
              </w:rPr>
            </w:pPr>
            <w:r w:rsidRPr="008B6A75">
              <w:rPr>
                <w:sz w:val="20"/>
                <w:szCs w:val="20"/>
              </w:rPr>
              <w:t>15.0.00.70610</w:t>
            </w:r>
          </w:p>
        </w:tc>
        <w:tc>
          <w:tcPr>
            <w:tcW w:w="850" w:type="dxa"/>
            <w:tcBorders>
              <w:top w:val="nil"/>
              <w:left w:val="single" w:sz="4" w:space="0" w:color="auto"/>
              <w:bottom w:val="single" w:sz="4" w:space="0" w:color="auto"/>
              <w:right w:val="nil"/>
            </w:tcBorders>
            <w:shd w:val="clear" w:color="auto" w:fill="auto"/>
            <w:noWrap/>
            <w:vAlign w:val="center"/>
            <w:hideMark/>
          </w:tcPr>
          <w:p w14:paraId="2868F741" w14:textId="77777777" w:rsidR="00387142" w:rsidRPr="008B6A75" w:rsidRDefault="00387142" w:rsidP="00387142">
            <w:pPr>
              <w:jc w:val="center"/>
              <w:rPr>
                <w:sz w:val="20"/>
                <w:szCs w:val="20"/>
              </w:rPr>
            </w:pPr>
            <w:r w:rsidRPr="008B6A75">
              <w:rPr>
                <w:sz w:val="20"/>
                <w:szCs w:val="20"/>
              </w:rPr>
              <w:t>630</w:t>
            </w:r>
          </w:p>
        </w:tc>
        <w:tc>
          <w:tcPr>
            <w:tcW w:w="567" w:type="dxa"/>
            <w:tcBorders>
              <w:top w:val="nil"/>
              <w:left w:val="single" w:sz="4" w:space="0" w:color="auto"/>
              <w:bottom w:val="single" w:sz="4" w:space="0" w:color="auto"/>
              <w:right w:val="nil"/>
            </w:tcBorders>
            <w:shd w:val="clear" w:color="auto" w:fill="auto"/>
            <w:noWrap/>
            <w:vAlign w:val="center"/>
            <w:hideMark/>
          </w:tcPr>
          <w:p w14:paraId="5DE23B13" w14:textId="77777777" w:rsidR="00387142" w:rsidRPr="008B6A75" w:rsidRDefault="00387142" w:rsidP="00387142">
            <w:pPr>
              <w:jc w:val="center"/>
              <w:rPr>
                <w:sz w:val="20"/>
                <w:szCs w:val="20"/>
              </w:rPr>
            </w:pPr>
            <w:r w:rsidRPr="008B6A75">
              <w:rPr>
                <w:sz w:val="20"/>
                <w:szCs w:val="20"/>
              </w:rPr>
              <w:t>01</w:t>
            </w:r>
          </w:p>
        </w:tc>
        <w:tc>
          <w:tcPr>
            <w:tcW w:w="567" w:type="dxa"/>
            <w:tcBorders>
              <w:top w:val="nil"/>
              <w:left w:val="single" w:sz="4" w:space="0" w:color="auto"/>
              <w:bottom w:val="single" w:sz="4" w:space="0" w:color="auto"/>
              <w:right w:val="nil"/>
            </w:tcBorders>
            <w:shd w:val="clear" w:color="auto" w:fill="auto"/>
            <w:noWrap/>
            <w:vAlign w:val="center"/>
            <w:hideMark/>
          </w:tcPr>
          <w:p w14:paraId="4B012629" w14:textId="77777777" w:rsidR="00387142" w:rsidRPr="008B6A75" w:rsidRDefault="00387142" w:rsidP="00387142">
            <w:pPr>
              <w:jc w:val="center"/>
              <w:rPr>
                <w:sz w:val="20"/>
                <w:szCs w:val="20"/>
              </w:rPr>
            </w:pPr>
            <w:r w:rsidRPr="008B6A75">
              <w:rPr>
                <w:sz w:val="20"/>
                <w:szCs w:val="20"/>
              </w:rPr>
              <w:t>13</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621E012" w14:textId="77777777" w:rsidR="00387142" w:rsidRPr="008B6A75" w:rsidRDefault="00387142" w:rsidP="00387142">
            <w:pPr>
              <w:jc w:val="right"/>
              <w:rPr>
                <w:sz w:val="20"/>
                <w:szCs w:val="20"/>
              </w:rPr>
            </w:pPr>
            <w:r w:rsidRPr="008B6A75">
              <w:rPr>
                <w:sz w:val="20"/>
                <w:szCs w:val="20"/>
              </w:rPr>
              <w:t>927 000,00</w:t>
            </w:r>
          </w:p>
        </w:tc>
        <w:tc>
          <w:tcPr>
            <w:tcW w:w="851" w:type="dxa"/>
            <w:tcBorders>
              <w:top w:val="nil"/>
              <w:left w:val="single" w:sz="4" w:space="0" w:color="auto"/>
              <w:bottom w:val="single" w:sz="4" w:space="0" w:color="auto"/>
              <w:right w:val="nil"/>
            </w:tcBorders>
            <w:shd w:val="clear" w:color="auto" w:fill="auto"/>
            <w:noWrap/>
            <w:vAlign w:val="center"/>
            <w:hideMark/>
          </w:tcPr>
          <w:p w14:paraId="5C9DB89A" w14:textId="77777777" w:rsidR="00387142" w:rsidRPr="008B6A75" w:rsidRDefault="00387142" w:rsidP="00387142">
            <w:pPr>
              <w:jc w:val="right"/>
              <w:rPr>
                <w:sz w:val="20"/>
                <w:szCs w:val="20"/>
              </w:rPr>
            </w:pPr>
            <w:r w:rsidRPr="008B6A75">
              <w:rPr>
                <w:sz w:val="20"/>
                <w:szCs w:val="20"/>
              </w:rPr>
              <w:t>927 000,00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29BFD047" w14:textId="77777777" w:rsidR="00387142" w:rsidRPr="008B6A75" w:rsidRDefault="00387142" w:rsidP="00387142">
            <w:pPr>
              <w:jc w:val="right"/>
              <w:rPr>
                <w:sz w:val="20"/>
                <w:szCs w:val="20"/>
              </w:rPr>
            </w:pPr>
            <w:r w:rsidRPr="008B6A75">
              <w:rPr>
                <w:sz w:val="20"/>
                <w:szCs w:val="20"/>
              </w:rPr>
              <w:t>927 000,00</w:t>
            </w:r>
          </w:p>
        </w:tc>
      </w:tr>
      <w:tr w:rsidR="00387142" w:rsidRPr="008B6A75" w14:paraId="3D3DC2A2" w14:textId="77777777" w:rsidTr="00387142">
        <w:trPr>
          <w:trHeight w:val="870"/>
        </w:trPr>
        <w:tc>
          <w:tcPr>
            <w:tcW w:w="272" w:type="dxa"/>
            <w:tcBorders>
              <w:top w:val="nil"/>
              <w:left w:val="nil"/>
              <w:bottom w:val="nil"/>
              <w:right w:val="single" w:sz="4" w:space="0" w:color="auto"/>
            </w:tcBorders>
            <w:shd w:val="clear" w:color="auto" w:fill="auto"/>
            <w:noWrap/>
            <w:vAlign w:val="bottom"/>
            <w:hideMark/>
          </w:tcPr>
          <w:p w14:paraId="7EE52561"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37D7FCEA" w14:textId="77777777" w:rsidR="00387142" w:rsidRPr="008B6A75" w:rsidRDefault="00387142" w:rsidP="00387142">
            <w:pPr>
              <w:rPr>
                <w:bCs/>
                <w:sz w:val="20"/>
                <w:szCs w:val="20"/>
              </w:rPr>
            </w:pPr>
            <w:r w:rsidRPr="008B6A75">
              <w:rPr>
                <w:bCs/>
                <w:sz w:val="20"/>
                <w:szCs w:val="20"/>
              </w:rPr>
              <w:t>Муниципальная программа "Профилактика правонарушений, терроризма и экстремизма на территории Куйбышевского района"</w:t>
            </w:r>
          </w:p>
        </w:tc>
        <w:tc>
          <w:tcPr>
            <w:tcW w:w="1559" w:type="dxa"/>
            <w:tcBorders>
              <w:top w:val="nil"/>
              <w:left w:val="single" w:sz="4" w:space="0" w:color="auto"/>
              <w:bottom w:val="single" w:sz="4" w:space="0" w:color="auto"/>
              <w:right w:val="nil"/>
            </w:tcBorders>
            <w:shd w:val="clear" w:color="auto" w:fill="auto"/>
            <w:noWrap/>
            <w:vAlign w:val="center"/>
            <w:hideMark/>
          </w:tcPr>
          <w:p w14:paraId="740E6E74" w14:textId="77777777" w:rsidR="00387142" w:rsidRPr="008B6A75" w:rsidRDefault="00387142" w:rsidP="00387142">
            <w:pPr>
              <w:jc w:val="center"/>
              <w:rPr>
                <w:bCs/>
                <w:sz w:val="20"/>
                <w:szCs w:val="20"/>
              </w:rPr>
            </w:pPr>
            <w:r w:rsidRPr="008B6A75">
              <w:rPr>
                <w:bCs/>
                <w:sz w:val="20"/>
                <w:szCs w:val="20"/>
              </w:rPr>
              <w:t>16.0.00.00000</w:t>
            </w:r>
          </w:p>
        </w:tc>
        <w:tc>
          <w:tcPr>
            <w:tcW w:w="850" w:type="dxa"/>
            <w:tcBorders>
              <w:top w:val="nil"/>
              <w:left w:val="single" w:sz="4" w:space="0" w:color="auto"/>
              <w:bottom w:val="single" w:sz="4" w:space="0" w:color="auto"/>
              <w:right w:val="nil"/>
            </w:tcBorders>
            <w:shd w:val="clear" w:color="auto" w:fill="auto"/>
            <w:noWrap/>
            <w:vAlign w:val="center"/>
            <w:hideMark/>
          </w:tcPr>
          <w:p w14:paraId="68B042FC" w14:textId="77777777" w:rsidR="00387142" w:rsidRPr="008B6A75" w:rsidRDefault="00387142" w:rsidP="00387142">
            <w:pPr>
              <w:jc w:val="center"/>
              <w:rPr>
                <w:bCs/>
                <w:sz w:val="20"/>
                <w:szCs w:val="20"/>
              </w:rPr>
            </w:pPr>
            <w:r w:rsidRPr="008B6A75">
              <w:rPr>
                <w:bCs/>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4D06BEA6" w14:textId="77777777" w:rsidR="00387142" w:rsidRPr="008B6A75" w:rsidRDefault="00387142" w:rsidP="00387142">
            <w:pPr>
              <w:jc w:val="center"/>
              <w:rPr>
                <w:bCs/>
                <w:sz w:val="20"/>
                <w:szCs w:val="20"/>
              </w:rPr>
            </w:pPr>
            <w:r w:rsidRPr="008B6A75">
              <w:rPr>
                <w:bCs/>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16CCBEDF" w14:textId="77777777" w:rsidR="00387142" w:rsidRPr="008B6A75" w:rsidRDefault="00387142" w:rsidP="00387142">
            <w:pPr>
              <w:jc w:val="center"/>
              <w:rPr>
                <w:bCs/>
                <w:sz w:val="20"/>
                <w:szCs w:val="20"/>
              </w:rPr>
            </w:pPr>
            <w:r w:rsidRPr="008B6A75">
              <w:rPr>
                <w:bCs/>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7C33F50" w14:textId="77777777" w:rsidR="00387142" w:rsidRPr="008B6A75" w:rsidRDefault="00387142" w:rsidP="00387142">
            <w:pPr>
              <w:jc w:val="right"/>
              <w:rPr>
                <w:bCs/>
                <w:sz w:val="20"/>
                <w:szCs w:val="20"/>
              </w:rPr>
            </w:pPr>
            <w:r w:rsidRPr="008B6A75">
              <w:rPr>
                <w:bCs/>
                <w:sz w:val="20"/>
                <w:szCs w:val="20"/>
              </w:rPr>
              <w:t>1 025 990,00</w:t>
            </w:r>
          </w:p>
        </w:tc>
        <w:tc>
          <w:tcPr>
            <w:tcW w:w="851" w:type="dxa"/>
            <w:tcBorders>
              <w:top w:val="nil"/>
              <w:left w:val="single" w:sz="4" w:space="0" w:color="auto"/>
              <w:bottom w:val="single" w:sz="4" w:space="0" w:color="auto"/>
              <w:right w:val="nil"/>
            </w:tcBorders>
            <w:shd w:val="clear" w:color="auto" w:fill="auto"/>
            <w:noWrap/>
            <w:vAlign w:val="center"/>
            <w:hideMark/>
          </w:tcPr>
          <w:p w14:paraId="2860B2C9" w14:textId="77777777" w:rsidR="00387142" w:rsidRPr="008B6A75" w:rsidRDefault="00387142" w:rsidP="00387142">
            <w:pPr>
              <w:jc w:val="right"/>
              <w:rPr>
                <w:bCs/>
                <w:sz w:val="20"/>
                <w:szCs w:val="20"/>
              </w:rPr>
            </w:pPr>
            <w:r w:rsidRPr="008B6A75">
              <w:rPr>
                <w:bCs/>
                <w:sz w:val="20"/>
                <w:szCs w:val="20"/>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20B790E1" w14:textId="77777777" w:rsidR="00387142" w:rsidRPr="008B6A75" w:rsidRDefault="00387142" w:rsidP="00387142">
            <w:pPr>
              <w:jc w:val="right"/>
              <w:rPr>
                <w:bCs/>
                <w:sz w:val="20"/>
                <w:szCs w:val="20"/>
              </w:rPr>
            </w:pPr>
            <w:r w:rsidRPr="008B6A75">
              <w:rPr>
                <w:bCs/>
                <w:sz w:val="20"/>
                <w:szCs w:val="20"/>
              </w:rPr>
              <w:t>0,00</w:t>
            </w:r>
          </w:p>
        </w:tc>
      </w:tr>
      <w:tr w:rsidR="00387142" w:rsidRPr="008B6A75" w14:paraId="3540A4B5" w14:textId="77777777" w:rsidTr="00387142">
        <w:trPr>
          <w:trHeight w:val="1155"/>
        </w:trPr>
        <w:tc>
          <w:tcPr>
            <w:tcW w:w="272" w:type="dxa"/>
            <w:tcBorders>
              <w:top w:val="nil"/>
              <w:left w:val="nil"/>
              <w:bottom w:val="nil"/>
              <w:right w:val="single" w:sz="4" w:space="0" w:color="auto"/>
            </w:tcBorders>
            <w:shd w:val="clear" w:color="auto" w:fill="auto"/>
            <w:noWrap/>
            <w:vAlign w:val="bottom"/>
            <w:hideMark/>
          </w:tcPr>
          <w:p w14:paraId="056091DA"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64C8193B" w14:textId="77777777" w:rsidR="00387142" w:rsidRPr="008B6A75" w:rsidRDefault="00387142" w:rsidP="00387142">
            <w:pPr>
              <w:rPr>
                <w:bCs/>
                <w:sz w:val="20"/>
                <w:szCs w:val="20"/>
              </w:rPr>
            </w:pPr>
            <w:r w:rsidRPr="008B6A75">
              <w:rPr>
                <w:bCs/>
                <w:sz w:val="20"/>
                <w:szCs w:val="20"/>
              </w:rPr>
              <w:t>Реализация мероприятий муниципальной программы "Профилактика правонарушений, терроризма и экстремизма на территории Куйбышевского района"</w:t>
            </w:r>
          </w:p>
        </w:tc>
        <w:tc>
          <w:tcPr>
            <w:tcW w:w="1559" w:type="dxa"/>
            <w:tcBorders>
              <w:top w:val="nil"/>
              <w:left w:val="single" w:sz="4" w:space="0" w:color="auto"/>
              <w:bottom w:val="single" w:sz="4" w:space="0" w:color="auto"/>
              <w:right w:val="nil"/>
            </w:tcBorders>
            <w:shd w:val="clear" w:color="auto" w:fill="auto"/>
            <w:noWrap/>
            <w:vAlign w:val="center"/>
            <w:hideMark/>
          </w:tcPr>
          <w:p w14:paraId="6B7CDFBF" w14:textId="77777777" w:rsidR="00387142" w:rsidRPr="008B6A75" w:rsidRDefault="00387142" w:rsidP="00387142">
            <w:pPr>
              <w:jc w:val="center"/>
              <w:rPr>
                <w:bCs/>
                <w:sz w:val="20"/>
                <w:szCs w:val="20"/>
              </w:rPr>
            </w:pPr>
            <w:r w:rsidRPr="008B6A75">
              <w:rPr>
                <w:bCs/>
                <w:sz w:val="20"/>
                <w:szCs w:val="20"/>
              </w:rPr>
              <w:t>16.0.00.79500</w:t>
            </w:r>
          </w:p>
        </w:tc>
        <w:tc>
          <w:tcPr>
            <w:tcW w:w="850" w:type="dxa"/>
            <w:tcBorders>
              <w:top w:val="nil"/>
              <w:left w:val="single" w:sz="4" w:space="0" w:color="auto"/>
              <w:bottom w:val="single" w:sz="4" w:space="0" w:color="auto"/>
              <w:right w:val="nil"/>
            </w:tcBorders>
            <w:shd w:val="clear" w:color="auto" w:fill="auto"/>
            <w:noWrap/>
            <w:vAlign w:val="center"/>
            <w:hideMark/>
          </w:tcPr>
          <w:p w14:paraId="30A09122" w14:textId="77777777" w:rsidR="00387142" w:rsidRPr="008B6A75" w:rsidRDefault="00387142" w:rsidP="00387142">
            <w:pPr>
              <w:jc w:val="center"/>
              <w:rPr>
                <w:bCs/>
                <w:sz w:val="20"/>
                <w:szCs w:val="20"/>
              </w:rPr>
            </w:pPr>
            <w:r w:rsidRPr="008B6A75">
              <w:rPr>
                <w:bCs/>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1AEC8AD0" w14:textId="77777777" w:rsidR="00387142" w:rsidRPr="008B6A75" w:rsidRDefault="00387142" w:rsidP="00387142">
            <w:pPr>
              <w:jc w:val="center"/>
              <w:rPr>
                <w:bCs/>
                <w:sz w:val="20"/>
                <w:szCs w:val="20"/>
              </w:rPr>
            </w:pPr>
            <w:r w:rsidRPr="008B6A75">
              <w:rPr>
                <w:bCs/>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7F960FA5" w14:textId="77777777" w:rsidR="00387142" w:rsidRPr="008B6A75" w:rsidRDefault="00387142" w:rsidP="00387142">
            <w:pPr>
              <w:jc w:val="center"/>
              <w:rPr>
                <w:bCs/>
                <w:sz w:val="20"/>
                <w:szCs w:val="20"/>
              </w:rPr>
            </w:pPr>
            <w:r w:rsidRPr="008B6A75">
              <w:rPr>
                <w:bCs/>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AE33516" w14:textId="77777777" w:rsidR="00387142" w:rsidRPr="008B6A75" w:rsidRDefault="00387142" w:rsidP="00387142">
            <w:pPr>
              <w:jc w:val="right"/>
              <w:rPr>
                <w:bCs/>
                <w:sz w:val="20"/>
                <w:szCs w:val="20"/>
              </w:rPr>
            </w:pPr>
            <w:r w:rsidRPr="008B6A75">
              <w:rPr>
                <w:bCs/>
                <w:sz w:val="20"/>
                <w:szCs w:val="20"/>
              </w:rPr>
              <w:t>1 025 990,00</w:t>
            </w:r>
          </w:p>
        </w:tc>
        <w:tc>
          <w:tcPr>
            <w:tcW w:w="851" w:type="dxa"/>
            <w:tcBorders>
              <w:top w:val="nil"/>
              <w:left w:val="single" w:sz="4" w:space="0" w:color="auto"/>
              <w:bottom w:val="single" w:sz="4" w:space="0" w:color="auto"/>
              <w:right w:val="nil"/>
            </w:tcBorders>
            <w:shd w:val="clear" w:color="auto" w:fill="auto"/>
            <w:noWrap/>
            <w:vAlign w:val="center"/>
            <w:hideMark/>
          </w:tcPr>
          <w:p w14:paraId="3978687B" w14:textId="77777777" w:rsidR="00387142" w:rsidRPr="008B6A75" w:rsidRDefault="00387142" w:rsidP="00387142">
            <w:pPr>
              <w:jc w:val="right"/>
              <w:rPr>
                <w:bCs/>
                <w:sz w:val="20"/>
                <w:szCs w:val="20"/>
              </w:rPr>
            </w:pPr>
            <w:r w:rsidRPr="008B6A75">
              <w:rPr>
                <w:bCs/>
                <w:sz w:val="20"/>
                <w:szCs w:val="20"/>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5B4D0834" w14:textId="77777777" w:rsidR="00387142" w:rsidRPr="008B6A75" w:rsidRDefault="00387142" w:rsidP="00387142">
            <w:pPr>
              <w:jc w:val="right"/>
              <w:rPr>
                <w:bCs/>
                <w:sz w:val="20"/>
                <w:szCs w:val="20"/>
              </w:rPr>
            </w:pPr>
            <w:r w:rsidRPr="008B6A75">
              <w:rPr>
                <w:bCs/>
                <w:sz w:val="20"/>
                <w:szCs w:val="20"/>
              </w:rPr>
              <w:t>0,00</w:t>
            </w:r>
          </w:p>
        </w:tc>
      </w:tr>
      <w:tr w:rsidR="00387142" w:rsidRPr="008B6A75" w14:paraId="35E9C681" w14:textId="77777777" w:rsidTr="00387142">
        <w:trPr>
          <w:trHeight w:val="585"/>
        </w:trPr>
        <w:tc>
          <w:tcPr>
            <w:tcW w:w="272" w:type="dxa"/>
            <w:tcBorders>
              <w:top w:val="nil"/>
              <w:left w:val="nil"/>
              <w:bottom w:val="nil"/>
              <w:right w:val="single" w:sz="4" w:space="0" w:color="auto"/>
            </w:tcBorders>
            <w:shd w:val="clear" w:color="auto" w:fill="auto"/>
            <w:noWrap/>
            <w:vAlign w:val="bottom"/>
            <w:hideMark/>
          </w:tcPr>
          <w:p w14:paraId="0BFB8A3A"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4BF277B6" w14:textId="77777777" w:rsidR="00387142" w:rsidRPr="008B6A75" w:rsidRDefault="00387142" w:rsidP="00387142">
            <w:pPr>
              <w:rPr>
                <w:sz w:val="20"/>
                <w:szCs w:val="20"/>
              </w:rPr>
            </w:pPr>
            <w:r w:rsidRPr="008B6A75">
              <w:rPr>
                <w:sz w:val="20"/>
                <w:szCs w:val="20"/>
              </w:rPr>
              <w:t>Закупка товаров, работ и услуг для обеспечения государственных (муниципальных) нужд</w:t>
            </w:r>
          </w:p>
        </w:tc>
        <w:tc>
          <w:tcPr>
            <w:tcW w:w="1559" w:type="dxa"/>
            <w:tcBorders>
              <w:top w:val="nil"/>
              <w:left w:val="single" w:sz="4" w:space="0" w:color="auto"/>
              <w:bottom w:val="single" w:sz="4" w:space="0" w:color="auto"/>
              <w:right w:val="nil"/>
            </w:tcBorders>
            <w:shd w:val="clear" w:color="auto" w:fill="auto"/>
            <w:noWrap/>
            <w:vAlign w:val="center"/>
            <w:hideMark/>
          </w:tcPr>
          <w:p w14:paraId="2FE75424" w14:textId="77777777" w:rsidR="00387142" w:rsidRPr="008B6A75" w:rsidRDefault="00387142" w:rsidP="00387142">
            <w:pPr>
              <w:jc w:val="center"/>
              <w:rPr>
                <w:sz w:val="20"/>
                <w:szCs w:val="20"/>
              </w:rPr>
            </w:pPr>
            <w:r w:rsidRPr="008B6A75">
              <w:rPr>
                <w:sz w:val="20"/>
                <w:szCs w:val="20"/>
              </w:rPr>
              <w:t>16.0.00.79500</w:t>
            </w:r>
          </w:p>
        </w:tc>
        <w:tc>
          <w:tcPr>
            <w:tcW w:w="850" w:type="dxa"/>
            <w:tcBorders>
              <w:top w:val="nil"/>
              <w:left w:val="single" w:sz="4" w:space="0" w:color="auto"/>
              <w:bottom w:val="single" w:sz="4" w:space="0" w:color="auto"/>
              <w:right w:val="nil"/>
            </w:tcBorders>
            <w:shd w:val="clear" w:color="auto" w:fill="auto"/>
            <w:noWrap/>
            <w:vAlign w:val="center"/>
            <w:hideMark/>
          </w:tcPr>
          <w:p w14:paraId="5893A671" w14:textId="77777777" w:rsidR="00387142" w:rsidRPr="008B6A75" w:rsidRDefault="00387142" w:rsidP="00387142">
            <w:pPr>
              <w:jc w:val="center"/>
              <w:rPr>
                <w:sz w:val="20"/>
                <w:szCs w:val="20"/>
              </w:rPr>
            </w:pPr>
            <w:r w:rsidRPr="008B6A75">
              <w:rPr>
                <w:sz w:val="20"/>
                <w:szCs w:val="20"/>
              </w:rPr>
              <w:t>200</w:t>
            </w:r>
          </w:p>
        </w:tc>
        <w:tc>
          <w:tcPr>
            <w:tcW w:w="567" w:type="dxa"/>
            <w:tcBorders>
              <w:top w:val="nil"/>
              <w:left w:val="single" w:sz="4" w:space="0" w:color="auto"/>
              <w:bottom w:val="single" w:sz="4" w:space="0" w:color="auto"/>
              <w:right w:val="nil"/>
            </w:tcBorders>
            <w:shd w:val="clear" w:color="auto" w:fill="auto"/>
            <w:noWrap/>
            <w:vAlign w:val="center"/>
            <w:hideMark/>
          </w:tcPr>
          <w:p w14:paraId="33653430" w14:textId="77777777" w:rsidR="00387142" w:rsidRPr="008B6A75" w:rsidRDefault="00387142" w:rsidP="00387142">
            <w:pPr>
              <w:jc w:val="center"/>
              <w:rPr>
                <w:sz w:val="20"/>
                <w:szCs w:val="20"/>
              </w:rPr>
            </w:pPr>
            <w:r w:rsidRPr="008B6A75">
              <w:rPr>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4C8FE7EF" w14:textId="77777777" w:rsidR="00387142" w:rsidRPr="008B6A75" w:rsidRDefault="00387142" w:rsidP="00387142">
            <w:pPr>
              <w:jc w:val="center"/>
              <w:rPr>
                <w:sz w:val="20"/>
                <w:szCs w:val="20"/>
              </w:rPr>
            </w:pPr>
            <w:r w:rsidRPr="008B6A75">
              <w:rPr>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7C19523" w14:textId="77777777" w:rsidR="00387142" w:rsidRPr="008B6A75" w:rsidRDefault="00387142" w:rsidP="00387142">
            <w:pPr>
              <w:jc w:val="right"/>
              <w:rPr>
                <w:sz w:val="20"/>
                <w:szCs w:val="20"/>
              </w:rPr>
            </w:pPr>
            <w:r w:rsidRPr="008B6A75">
              <w:rPr>
                <w:sz w:val="20"/>
                <w:szCs w:val="20"/>
              </w:rPr>
              <w:t>855 705,00</w:t>
            </w:r>
          </w:p>
        </w:tc>
        <w:tc>
          <w:tcPr>
            <w:tcW w:w="851" w:type="dxa"/>
            <w:tcBorders>
              <w:top w:val="nil"/>
              <w:left w:val="single" w:sz="4" w:space="0" w:color="auto"/>
              <w:bottom w:val="single" w:sz="4" w:space="0" w:color="auto"/>
              <w:right w:val="nil"/>
            </w:tcBorders>
            <w:shd w:val="clear" w:color="auto" w:fill="auto"/>
            <w:noWrap/>
            <w:vAlign w:val="center"/>
            <w:hideMark/>
          </w:tcPr>
          <w:p w14:paraId="68834D55" w14:textId="77777777" w:rsidR="00387142" w:rsidRPr="008B6A75" w:rsidRDefault="00387142" w:rsidP="00387142">
            <w:pPr>
              <w:jc w:val="right"/>
              <w:rPr>
                <w:sz w:val="20"/>
                <w:szCs w:val="20"/>
              </w:rPr>
            </w:pPr>
            <w:r w:rsidRPr="008B6A75">
              <w:rPr>
                <w:sz w:val="20"/>
                <w:szCs w:val="20"/>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103AAC1E" w14:textId="77777777" w:rsidR="00387142" w:rsidRPr="008B6A75" w:rsidRDefault="00387142" w:rsidP="00387142">
            <w:pPr>
              <w:jc w:val="right"/>
              <w:rPr>
                <w:sz w:val="20"/>
                <w:szCs w:val="20"/>
              </w:rPr>
            </w:pPr>
            <w:r w:rsidRPr="008B6A75">
              <w:rPr>
                <w:sz w:val="20"/>
                <w:szCs w:val="20"/>
              </w:rPr>
              <w:t>0,00</w:t>
            </w:r>
          </w:p>
        </w:tc>
      </w:tr>
      <w:tr w:rsidR="00387142" w:rsidRPr="008B6A75" w14:paraId="4196E430" w14:textId="77777777" w:rsidTr="00387142">
        <w:trPr>
          <w:trHeight w:val="870"/>
        </w:trPr>
        <w:tc>
          <w:tcPr>
            <w:tcW w:w="272" w:type="dxa"/>
            <w:tcBorders>
              <w:top w:val="nil"/>
              <w:left w:val="nil"/>
              <w:bottom w:val="nil"/>
              <w:right w:val="single" w:sz="4" w:space="0" w:color="auto"/>
            </w:tcBorders>
            <w:shd w:val="clear" w:color="auto" w:fill="auto"/>
            <w:noWrap/>
            <w:vAlign w:val="bottom"/>
            <w:hideMark/>
          </w:tcPr>
          <w:p w14:paraId="647100E7"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5E3C870A" w14:textId="77777777" w:rsidR="00387142" w:rsidRPr="008B6A75" w:rsidRDefault="00387142" w:rsidP="00387142">
            <w:pPr>
              <w:rPr>
                <w:sz w:val="20"/>
                <w:szCs w:val="20"/>
              </w:rPr>
            </w:pPr>
            <w:r w:rsidRPr="008B6A75">
              <w:rPr>
                <w:sz w:val="20"/>
                <w:szCs w:val="20"/>
              </w:rPr>
              <w:t>Иные закупки товаров, работ и услуг для обеспечения государственных (муниципальных) нужд</w:t>
            </w:r>
          </w:p>
        </w:tc>
        <w:tc>
          <w:tcPr>
            <w:tcW w:w="1559" w:type="dxa"/>
            <w:tcBorders>
              <w:top w:val="nil"/>
              <w:left w:val="single" w:sz="4" w:space="0" w:color="auto"/>
              <w:bottom w:val="single" w:sz="4" w:space="0" w:color="auto"/>
              <w:right w:val="nil"/>
            </w:tcBorders>
            <w:shd w:val="clear" w:color="auto" w:fill="auto"/>
            <w:noWrap/>
            <w:vAlign w:val="center"/>
            <w:hideMark/>
          </w:tcPr>
          <w:p w14:paraId="531584C4" w14:textId="77777777" w:rsidR="00387142" w:rsidRPr="008B6A75" w:rsidRDefault="00387142" w:rsidP="00387142">
            <w:pPr>
              <w:jc w:val="center"/>
              <w:rPr>
                <w:sz w:val="20"/>
                <w:szCs w:val="20"/>
              </w:rPr>
            </w:pPr>
            <w:r w:rsidRPr="008B6A75">
              <w:rPr>
                <w:sz w:val="20"/>
                <w:szCs w:val="20"/>
              </w:rPr>
              <w:t>16.0.00.79500</w:t>
            </w:r>
          </w:p>
        </w:tc>
        <w:tc>
          <w:tcPr>
            <w:tcW w:w="850" w:type="dxa"/>
            <w:tcBorders>
              <w:top w:val="nil"/>
              <w:left w:val="single" w:sz="4" w:space="0" w:color="auto"/>
              <w:bottom w:val="single" w:sz="4" w:space="0" w:color="auto"/>
              <w:right w:val="nil"/>
            </w:tcBorders>
            <w:shd w:val="clear" w:color="auto" w:fill="auto"/>
            <w:noWrap/>
            <w:vAlign w:val="center"/>
            <w:hideMark/>
          </w:tcPr>
          <w:p w14:paraId="7B932FE3" w14:textId="77777777" w:rsidR="00387142" w:rsidRPr="008B6A75" w:rsidRDefault="00387142" w:rsidP="00387142">
            <w:pPr>
              <w:jc w:val="center"/>
              <w:rPr>
                <w:sz w:val="20"/>
                <w:szCs w:val="20"/>
              </w:rPr>
            </w:pPr>
            <w:r w:rsidRPr="008B6A75">
              <w:rPr>
                <w:sz w:val="20"/>
                <w:szCs w:val="20"/>
              </w:rPr>
              <w:t>240</w:t>
            </w:r>
          </w:p>
        </w:tc>
        <w:tc>
          <w:tcPr>
            <w:tcW w:w="567" w:type="dxa"/>
            <w:tcBorders>
              <w:top w:val="nil"/>
              <w:left w:val="single" w:sz="4" w:space="0" w:color="auto"/>
              <w:bottom w:val="single" w:sz="4" w:space="0" w:color="auto"/>
              <w:right w:val="nil"/>
            </w:tcBorders>
            <w:shd w:val="clear" w:color="auto" w:fill="auto"/>
            <w:noWrap/>
            <w:vAlign w:val="center"/>
            <w:hideMark/>
          </w:tcPr>
          <w:p w14:paraId="58A10BC1" w14:textId="77777777" w:rsidR="00387142" w:rsidRPr="008B6A75" w:rsidRDefault="00387142" w:rsidP="00387142">
            <w:pPr>
              <w:jc w:val="center"/>
              <w:rPr>
                <w:sz w:val="20"/>
                <w:szCs w:val="20"/>
              </w:rPr>
            </w:pPr>
            <w:r w:rsidRPr="008B6A75">
              <w:rPr>
                <w:sz w:val="20"/>
                <w:szCs w:val="20"/>
              </w:rPr>
              <w:t>03</w:t>
            </w:r>
          </w:p>
        </w:tc>
        <w:tc>
          <w:tcPr>
            <w:tcW w:w="567" w:type="dxa"/>
            <w:tcBorders>
              <w:top w:val="nil"/>
              <w:left w:val="single" w:sz="4" w:space="0" w:color="auto"/>
              <w:bottom w:val="single" w:sz="4" w:space="0" w:color="auto"/>
              <w:right w:val="nil"/>
            </w:tcBorders>
            <w:shd w:val="clear" w:color="auto" w:fill="auto"/>
            <w:noWrap/>
            <w:vAlign w:val="center"/>
            <w:hideMark/>
          </w:tcPr>
          <w:p w14:paraId="354CC15B" w14:textId="77777777" w:rsidR="00387142" w:rsidRPr="008B6A75" w:rsidRDefault="00387142" w:rsidP="00387142">
            <w:pPr>
              <w:jc w:val="center"/>
              <w:rPr>
                <w:sz w:val="20"/>
                <w:szCs w:val="20"/>
              </w:rPr>
            </w:pPr>
            <w:r w:rsidRPr="008B6A75">
              <w:rPr>
                <w:sz w:val="20"/>
                <w:szCs w:val="20"/>
              </w:rPr>
              <w:t>10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CA29C85" w14:textId="77777777" w:rsidR="00387142" w:rsidRPr="008B6A75" w:rsidRDefault="00387142" w:rsidP="00387142">
            <w:pPr>
              <w:jc w:val="right"/>
              <w:rPr>
                <w:sz w:val="20"/>
                <w:szCs w:val="20"/>
              </w:rPr>
            </w:pPr>
            <w:r w:rsidRPr="008B6A75">
              <w:rPr>
                <w:sz w:val="20"/>
                <w:szCs w:val="20"/>
              </w:rPr>
              <w:t>800 000,00</w:t>
            </w:r>
          </w:p>
        </w:tc>
        <w:tc>
          <w:tcPr>
            <w:tcW w:w="851" w:type="dxa"/>
            <w:tcBorders>
              <w:top w:val="nil"/>
              <w:left w:val="single" w:sz="4" w:space="0" w:color="auto"/>
              <w:bottom w:val="single" w:sz="4" w:space="0" w:color="auto"/>
              <w:right w:val="nil"/>
            </w:tcBorders>
            <w:shd w:val="clear" w:color="auto" w:fill="auto"/>
            <w:noWrap/>
            <w:vAlign w:val="center"/>
            <w:hideMark/>
          </w:tcPr>
          <w:p w14:paraId="655B79B3" w14:textId="77777777" w:rsidR="00387142" w:rsidRPr="008B6A75" w:rsidRDefault="00387142" w:rsidP="00387142">
            <w:pPr>
              <w:jc w:val="right"/>
              <w:rPr>
                <w:sz w:val="20"/>
                <w:szCs w:val="20"/>
              </w:rPr>
            </w:pPr>
            <w:r w:rsidRPr="008B6A75">
              <w:rPr>
                <w:sz w:val="20"/>
                <w:szCs w:val="20"/>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0158AAA3" w14:textId="77777777" w:rsidR="00387142" w:rsidRPr="008B6A75" w:rsidRDefault="00387142" w:rsidP="00387142">
            <w:pPr>
              <w:jc w:val="right"/>
              <w:rPr>
                <w:sz w:val="20"/>
                <w:szCs w:val="20"/>
              </w:rPr>
            </w:pPr>
            <w:r w:rsidRPr="008B6A75">
              <w:rPr>
                <w:sz w:val="20"/>
                <w:szCs w:val="20"/>
              </w:rPr>
              <w:t>0,00</w:t>
            </w:r>
          </w:p>
        </w:tc>
      </w:tr>
      <w:tr w:rsidR="00387142" w:rsidRPr="008B6A75" w14:paraId="13F62790" w14:textId="77777777" w:rsidTr="00387142">
        <w:trPr>
          <w:trHeight w:val="870"/>
        </w:trPr>
        <w:tc>
          <w:tcPr>
            <w:tcW w:w="272" w:type="dxa"/>
            <w:tcBorders>
              <w:top w:val="nil"/>
              <w:left w:val="nil"/>
              <w:bottom w:val="nil"/>
              <w:right w:val="single" w:sz="4" w:space="0" w:color="auto"/>
            </w:tcBorders>
            <w:shd w:val="clear" w:color="auto" w:fill="auto"/>
            <w:noWrap/>
            <w:vAlign w:val="bottom"/>
            <w:hideMark/>
          </w:tcPr>
          <w:p w14:paraId="54BCEF63"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6F38881F" w14:textId="77777777" w:rsidR="00387142" w:rsidRPr="008B6A75" w:rsidRDefault="00387142" w:rsidP="00387142">
            <w:pPr>
              <w:rPr>
                <w:sz w:val="20"/>
                <w:szCs w:val="20"/>
              </w:rPr>
            </w:pPr>
            <w:r w:rsidRPr="008B6A75">
              <w:rPr>
                <w:sz w:val="20"/>
                <w:szCs w:val="20"/>
              </w:rPr>
              <w:t>Иные закупки товаров, работ и услуг для обеспечения государственных (муниципальных) нужд</w:t>
            </w:r>
          </w:p>
        </w:tc>
        <w:tc>
          <w:tcPr>
            <w:tcW w:w="1559" w:type="dxa"/>
            <w:tcBorders>
              <w:top w:val="nil"/>
              <w:left w:val="single" w:sz="4" w:space="0" w:color="auto"/>
              <w:bottom w:val="single" w:sz="4" w:space="0" w:color="auto"/>
              <w:right w:val="nil"/>
            </w:tcBorders>
            <w:shd w:val="clear" w:color="auto" w:fill="auto"/>
            <w:noWrap/>
            <w:vAlign w:val="center"/>
            <w:hideMark/>
          </w:tcPr>
          <w:p w14:paraId="66CB0153" w14:textId="77777777" w:rsidR="00387142" w:rsidRPr="008B6A75" w:rsidRDefault="00387142" w:rsidP="00387142">
            <w:pPr>
              <w:jc w:val="center"/>
              <w:rPr>
                <w:sz w:val="20"/>
                <w:szCs w:val="20"/>
              </w:rPr>
            </w:pPr>
            <w:r w:rsidRPr="008B6A75">
              <w:rPr>
                <w:sz w:val="20"/>
                <w:szCs w:val="20"/>
              </w:rPr>
              <w:t>16.0.00.79500</w:t>
            </w:r>
          </w:p>
        </w:tc>
        <w:tc>
          <w:tcPr>
            <w:tcW w:w="850" w:type="dxa"/>
            <w:tcBorders>
              <w:top w:val="nil"/>
              <w:left w:val="single" w:sz="4" w:space="0" w:color="auto"/>
              <w:bottom w:val="single" w:sz="4" w:space="0" w:color="auto"/>
              <w:right w:val="nil"/>
            </w:tcBorders>
            <w:shd w:val="clear" w:color="auto" w:fill="auto"/>
            <w:noWrap/>
            <w:vAlign w:val="center"/>
            <w:hideMark/>
          </w:tcPr>
          <w:p w14:paraId="14FEB4EE" w14:textId="77777777" w:rsidR="00387142" w:rsidRPr="008B6A75" w:rsidRDefault="00387142" w:rsidP="00387142">
            <w:pPr>
              <w:jc w:val="center"/>
              <w:rPr>
                <w:sz w:val="20"/>
                <w:szCs w:val="20"/>
              </w:rPr>
            </w:pPr>
            <w:r w:rsidRPr="008B6A75">
              <w:rPr>
                <w:sz w:val="20"/>
                <w:szCs w:val="20"/>
              </w:rPr>
              <w:t>240</w:t>
            </w:r>
          </w:p>
        </w:tc>
        <w:tc>
          <w:tcPr>
            <w:tcW w:w="567" w:type="dxa"/>
            <w:tcBorders>
              <w:top w:val="nil"/>
              <w:left w:val="single" w:sz="4" w:space="0" w:color="auto"/>
              <w:bottom w:val="single" w:sz="4" w:space="0" w:color="auto"/>
              <w:right w:val="nil"/>
            </w:tcBorders>
            <w:shd w:val="clear" w:color="auto" w:fill="auto"/>
            <w:noWrap/>
            <w:vAlign w:val="center"/>
            <w:hideMark/>
          </w:tcPr>
          <w:p w14:paraId="0A6FD7E5" w14:textId="77777777" w:rsidR="00387142" w:rsidRPr="008B6A75" w:rsidRDefault="00387142" w:rsidP="00387142">
            <w:pPr>
              <w:jc w:val="center"/>
              <w:rPr>
                <w:sz w:val="20"/>
                <w:szCs w:val="20"/>
              </w:rPr>
            </w:pPr>
            <w:r w:rsidRPr="008B6A75">
              <w:rPr>
                <w:sz w:val="20"/>
                <w:szCs w:val="20"/>
              </w:rPr>
              <w:t>07</w:t>
            </w:r>
          </w:p>
        </w:tc>
        <w:tc>
          <w:tcPr>
            <w:tcW w:w="567" w:type="dxa"/>
            <w:tcBorders>
              <w:top w:val="nil"/>
              <w:left w:val="single" w:sz="4" w:space="0" w:color="auto"/>
              <w:bottom w:val="single" w:sz="4" w:space="0" w:color="auto"/>
              <w:right w:val="nil"/>
            </w:tcBorders>
            <w:shd w:val="clear" w:color="auto" w:fill="auto"/>
            <w:noWrap/>
            <w:vAlign w:val="center"/>
            <w:hideMark/>
          </w:tcPr>
          <w:p w14:paraId="7FBA1FF7" w14:textId="77777777" w:rsidR="00387142" w:rsidRPr="008B6A75" w:rsidRDefault="00387142" w:rsidP="00387142">
            <w:pPr>
              <w:jc w:val="center"/>
              <w:rPr>
                <w:sz w:val="20"/>
                <w:szCs w:val="20"/>
              </w:rPr>
            </w:pPr>
            <w:r w:rsidRPr="008B6A75">
              <w:rPr>
                <w:sz w:val="20"/>
                <w:szCs w:val="20"/>
              </w:rPr>
              <w:t>02</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2693447" w14:textId="77777777" w:rsidR="00387142" w:rsidRPr="008B6A75" w:rsidRDefault="00387142" w:rsidP="00387142">
            <w:pPr>
              <w:jc w:val="right"/>
              <w:rPr>
                <w:sz w:val="20"/>
                <w:szCs w:val="20"/>
              </w:rPr>
            </w:pPr>
            <w:r w:rsidRPr="008B6A75">
              <w:rPr>
                <w:sz w:val="20"/>
                <w:szCs w:val="20"/>
              </w:rPr>
              <w:t>55 705,00</w:t>
            </w:r>
          </w:p>
        </w:tc>
        <w:tc>
          <w:tcPr>
            <w:tcW w:w="851" w:type="dxa"/>
            <w:tcBorders>
              <w:top w:val="nil"/>
              <w:left w:val="single" w:sz="4" w:space="0" w:color="auto"/>
              <w:bottom w:val="single" w:sz="4" w:space="0" w:color="auto"/>
              <w:right w:val="nil"/>
            </w:tcBorders>
            <w:shd w:val="clear" w:color="auto" w:fill="auto"/>
            <w:noWrap/>
            <w:vAlign w:val="center"/>
            <w:hideMark/>
          </w:tcPr>
          <w:p w14:paraId="390750D9" w14:textId="77777777" w:rsidR="00387142" w:rsidRPr="008B6A75" w:rsidRDefault="00387142" w:rsidP="00387142">
            <w:pPr>
              <w:jc w:val="right"/>
              <w:rPr>
                <w:sz w:val="20"/>
                <w:szCs w:val="20"/>
              </w:rPr>
            </w:pPr>
            <w:r w:rsidRPr="008B6A75">
              <w:rPr>
                <w:sz w:val="20"/>
                <w:szCs w:val="20"/>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68B5727E" w14:textId="77777777" w:rsidR="00387142" w:rsidRPr="008B6A75" w:rsidRDefault="00387142" w:rsidP="00387142">
            <w:pPr>
              <w:jc w:val="right"/>
              <w:rPr>
                <w:sz w:val="20"/>
                <w:szCs w:val="20"/>
              </w:rPr>
            </w:pPr>
            <w:r w:rsidRPr="008B6A75">
              <w:rPr>
                <w:sz w:val="20"/>
                <w:szCs w:val="20"/>
              </w:rPr>
              <w:t>0,00</w:t>
            </w:r>
          </w:p>
        </w:tc>
      </w:tr>
      <w:tr w:rsidR="00387142" w:rsidRPr="008B6A75" w14:paraId="3DBBC964" w14:textId="77777777" w:rsidTr="00387142">
        <w:trPr>
          <w:trHeight w:val="300"/>
        </w:trPr>
        <w:tc>
          <w:tcPr>
            <w:tcW w:w="272" w:type="dxa"/>
            <w:tcBorders>
              <w:top w:val="nil"/>
              <w:left w:val="nil"/>
              <w:bottom w:val="nil"/>
              <w:right w:val="single" w:sz="4" w:space="0" w:color="auto"/>
            </w:tcBorders>
            <w:shd w:val="clear" w:color="auto" w:fill="auto"/>
            <w:noWrap/>
            <w:vAlign w:val="bottom"/>
            <w:hideMark/>
          </w:tcPr>
          <w:p w14:paraId="65588658"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1026BF4E" w14:textId="77777777" w:rsidR="00387142" w:rsidRPr="008B6A75" w:rsidRDefault="00387142" w:rsidP="00387142">
            <w:pPr>
              <w:rPr>
                <w:sz w:val="20"/>
                <w:szCs w:val="20"/>
              </w:rPr>
            </w:pPr>
            <w:r w:rsidRPr="008B6A75">
              <w:rPr>
                <w:sz w:val="20"/>
                <w:szCs w:val="20"/>
              </w:rPr>
              <w:t>Межбюджетные трансферты</w:t>
            </w:r>
          </w:p>
        </w:tc>
        <w:tc>
          <w:tcPr>
            <w:tcW w:w="1559" w:type="dxa"/>
            <w:tcBorders>
              <w:top w:val="nil"/>
              <w:left w:val="single" w:sz="4" w:space="0" w:color="auto"/>
              <w:bottom w:val="single" w:sz="4" w:space="0" w:color="auto"/>
              <w:right w:val="nil"/>
            </w:tcBorders>
            <w:shd w:val="clear" w:color="auto" w:fill="auto"/>
            <w:noWrap/>
            <w:vAlign w:val="center"/>
            <w:hideMark/>
          </w:tcPr>
          <w:p w14:paraId="3985C4F0" w14:textId="77777777" w:rsidR="00387142" w:rsidRPr="008B6A75" w:rsidRDefault="00387142" w:rsidP="00387142">
            <w:pPr>
              <w:jc w:val="center"/>
              <w:rPr>
                <w:sz w:val="20"/>
                <w:szCs w:val="20"/>
              </w:rPr>
            </w:pPr>
            <w:r w:rsidRPr="008B6A75">
              <w:rPr>
                <w:sz w:val="20"/>
                <w:szCs w:val="20"/>
              </w:rPr>
              <w:t>16.0.00.79500</w:t>
            </w:r>
          </w:p>
        </w:tc>
        <w:tc>
          <w:tcPr>
            <w:tcW w:w="850" w:type="dxa"/>
            <w:tcBorders>
              <w:top w:val="nil"/>
              <w:left w:val="single" w:sz="4" w:space="0" w:color="auto"/>
              <w:bottom w:val="single" w:sz="4" w:space="0" w:color="auto"/>
              <w:right w:val="nil"/>
            </w:tcBorders>
            <w:shd w:val="clear" w:color="auto" w:fill="auto"/>
            <w:noWrap/>
            <w:vAlign w:val="center"/>
            <w:hideMark/>
          </w:tcPr>
          <w:p w14:paraId="5BE10E77" w14:textId="77777777" w:rsidR="00387142" w:rsidRPr="008B6A75" w:rsidRDefault="00387142" w:rsidP="00387142">
            <w:pPr>
              <w:jc w:val="center"/>
              <w:rPr>
                <w:sz w:val="20"/>
                <w:szCs w:val="20"/>
              </w:rPr>
            </w:pPr>
            <w:r w:rsidRPr="008B6A75">
              <w:rPr>
                <w:sz w:val="20"/>
                <w:szCs w:val="20"/>
              </w:rPr>
              <w:t>500</w:t>
            </w:r>
          </w:p>
        </w:tc>
        <w:tc>
          <w:tcPr>
            <w:tcW w:w="567" w:type="dxa"/>
            <w:tcBorders>
              <w:top w:val="nil"/>
              <w:left w:val="single" w:sz="4" w:space="0" w:color="auto"/>
              <w:bottom w:val="single" w:sz="4" w:space="0" w:color="auto"/>
              <w:right w:val="nil"/>
            </w:tcBorders>
            <w:shd w:val="clear" w:color="auto" w:fill="auto"/>
            <w:noWrap/>
            <w:vAlign w:val="center"/>
            <w:hideMark/>
          </w:tcPr>
          <w:p w14:paraId="63F4DEEB" w14:textId="77777777" w:rsidR="00387142" w:rsidRPr="008B6A75" w:rsidRDefault="00387142" w:rsidP="00387142">
            <w:pPr>
              <w:jc w:val="center"/>
              <w:rPr>
                <w:sz w:val="20"/>
                <w:szCs w:val="20"/>
              </w:rPr>
            </w:pPr>
            <w:r w:rsidRPr="008B6A75">
              <w:rPr>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4418C898" w14:textId="77777777" w:rsidR="00387142" w:rsidRPr="008B6A75" w:rsidRDefault="00387142" w:rsidP="00387142">
            <w:pPr>
              <w:jc w:val="center"/>
              <w:rPr>
                <w:sz w:val="20"/>
                <w:szCs w:val="20"/>
              </w:rPr>
            </w:pPr>
            <w:r w:rsidRPr="008B6A75">
              <w:rPr>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5D4464A" w14:textId="77777777" w:rsidR="00387142" w:rsidRPr="008B6A75" w:rsidRDefault="00387142" w:rsidP="00387142">
            <w:pPr>
              <w:jc w:val="right"/>
              <w:rPr>
                <w:sz w:val="20"/>
                <w:szCs w:val="20"/>
              </w:rPr>
            </w:pPr>
            <w:r w:rsidRPr="008B6A75">
              <w:rPr>
                <w:sz w:val="20"/>
                <w:szCs w:val="20"/>
              </w:rPr>
              <w:t>6 000,00</w:t>
            </w:r>
          </w:p>
        </w:tc>
        <w:tc>
          <w:tcPr>
            <w:tcW w:w="851" w:type="dxa"/>
            <w:tcBorders>
              <w:top w:val="nil"/>
              <w:left w:val="single" w:sz="4" w:space="0" w:color="auto"/>
              <w:bottom w:val="single" w:sz="4" w:space="0" w:color="auto"/>
              <w:right w:val="nil"/>
            </w:tcBorders>
            <w:shd w:val="clear" w:color="auto" w:fill="auto"/>
            <w:noWrap/>
            <w:vAlign w:val="center"/>
            <w:hideMark/>
          </w:tcPr>
          <w:p w14:paraId="3B993AE8" w14:textId="77777777" w:rsidR="00387142" w:rsidRPr="008B6A75" w:rsidRDefault="00387142" w:rsidP="00387142">
            <w:pPr>
              <w:jc w:val="right"/>
              <w:rPr>
                <w:sz w:val="20"/>
                <w:szCs w:val="20"/>
              </w:rPr>
            </w:pPr>
            <w:r w:rsidRPr="008B6A75">
              <w:rPr>
                <w:sz w:val="20"/>
                <w:szCs w:val="20"/>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0075AEB3" w14:textId="77777777" w:rsidR="00387142" w:rsidRPr="008B6A75" w:rsidRDefault="00387142" w:rsidP="00387142">
            <w:pPr>
              <w:jc w:val="right"/>
              <w:rPr>
                <w:sz w:val="20"/>
                <w:szCs w:val="20"/>
              </w:rPr>
            </w:pPr>
            <w:r w:rsidRPr="008B6A75">
              <w:rPr>
                <w:sz w:val="20"/>
                <w:szCs w:val="20"/>
              </w:rPr>
              <w:t>0,00</w:t>
            </w:r>
          </w:p>
        </w:tc>
      </w:tr>
      <w:tr w:rsidR="00387142" w:rsidRPr="008B6A75" w14:paraId="6C2F32DE" w14:textId="77777777" w:rsidTr="00387142">
        <w:trPr>
          <w:trHeight w:val="300"/>
        </w:trPr>
        <w:tc>
          <w:tcPr>
            <w:tcW w:w="272" w:type="dxa"/>
            <w:tcBorders>
              <w:top w:val="nil"/>
              <w:left w:val="nil"/>
              <w:bottom w:val="nil"/>
              <w:right w:val="single" w:sz="4" w:space="0" w:color="auto"/>
            </w:tcBorders>
            <w:shd w:val="clear" w:color="auto" w:fill="auto"/>
            <w:noWrap/>
            <w:vAlign w:val="bottom"/>
            <w:hideMark/>
          </w:tcPr>
          <w:p w14:paraId="6829DC4A"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28F4FBD2" w14:textId="77777777" w:rsidR="00387142" w:rsidRPr="008B6A75" w:rsidRDefault="00387142" w:rsidP="00387142">
            <w:pPr>
              <w:rPr>
                <w:sz w:val="20"/>
                <w:szCs w:val="20"/>
              </w:rPr>
            </w:pPr>
            <w:r w:rsidRPr="008B6A75">
              <w:rPr>
                <w:sz w:val="20"/>
                <w:szCs w:val="20"/>
              </w:rPr>
              <w:t>Иные межбюджетные трансферты</w:t>
            </w:r>
          </w:p>
        </w:tc>
        <w:tc>
          <w:tcPr>
            <w:tcW w:w="1559" w:type="dxa"/>
            <w:tcBorders>
              <w:top w:val="nil"/>
              <w:left w:val="single" w:sz="4" w:space="0" w:color="auto"/>
              <w:bottom w:val="single" w:sz="4" w:space="0" w:color="auto"/>
              <w:right w:val="nil"/>
            </w:tcBorders>
            <w:shd w:val="clear" w:color="auto" w:fill="auto"/>
            <w:noWrap/>
            <w:vAlign w:val="center"/>
            <w:hideMark/>
          </w:tcPr>
          <w:p w14:paraId="596D6135" w14:textId="77777777" w:rsidR="00387142" w:rsidRPr="008B6A75" w:rsidRDefault="00387142" w:rsidP="00387142">
            <w:pPr>
              <w:jc w:val="center"/>
              <w:rPr>
                <w:sz w:val="20"/>
                <w:szCs w:val="20"/>
              </w:rPr>
            </w:pPr>
            <w:r w:rsidRPr="008B6A75">
              <w:rPr>
                <w:sz w:val="20"/>
                <w:szCs w:val="20"/>
              </w:rPr>
              <w:t>16.0.00.79500</w:t>
            </w:r>
          </w:p>
        </w:tc>
        <w:tc>
          <w:tcPr>
            <w:tcW w:w="850" w:type="dxa"/>
            <w:tcBorders>
              <w:top w:val="nil"/>
              <w:left w:val="single" w:sz="4" w:space="0" w:color="auto"/>
              <w:bottom w:val="single" w:sz="4" w:space="0" w:color="auto"/>
              <w:right w:val="nil"/>
            </w:tcBorders>
            <w:shd w:val="clear" w:color="auto" w:fill="auto"/>
            <w:noWrap/>
            <w:vAlign w:val="center"/>
            <w:hideMark/>
          </w:tcPr>
          <w:p w14:paraId="543717C1" w14:textId="77777777" w:rsidR="00387142" w:rsidRPr="008B6A75" w:rsidRDefault="00387142" w:rsidP="00387142">
            <w:pPr>
              <w:jc w:val="center"/>
              <w:rPr>
                <w:sz w:val="20"/>
                <w:szCs w:val="20"/>
              </w:rPr>
            </w:pPr>
            <w:r w:rsidRPr="008B6A75">
              <w:rPr>
                <w:sz w:val="20"/>
                <w:szCs w:val="20"/>
              </w:rPr>
              <w:t>540</w:t>
            </w:r>
          </w:p>
        </w:tc>
        <w:tc>
          <w:tcPr>
            <w:tcW w:w="567" w:type="dxa"/>
            <w:tcBorders>
              <w:top w:val="nil"/>
              <w:left w:val="single" w:sz="4" w:space="0" w:color="auto"/>
              <w:bottom w:val="single" w:sz="4" w:space="0" w:color="auto"/>
              <w:right w:val="nil"/>
            </w:tcBorders>
            <w:shd w:val="clear" w:color="auto" w:fill="auto"/>
            <w:noWrap/>
            <w:vAlign w:val="center"/>
            <w:hideMark/>
          </w:tcPr>
          <w:p w14:paraId="6097175C" w14:textId="77777777" w:rsidR="00387142" w:rsidRPr="008B6A75" w:rsidRDefault="00387142" w:rsidP="00387142">
            <w:pPr>
              <w:jc w:val="center"/>
              <w:rPr>
                <w:sz w:val="20"/>
                <w:szCs w:val="20"/>
              </w:rPr>
            </w:pPr>
            <w:r w:rsidRPr="008B6A75">
              <w:rPr>
                <w:sz w:val="20"/>
                <w:szCs w:val="20"/>
              </w:rPr>
              <w:t>07</w:t>
            </w:r>
          </w:p>
        </w:tc>
        <w:tc>
          <w:tcPr>
            <w:tcW w:w="567" w:type="dxa"/>
            <w:tcBorders>
              <w:top w:val="nil"/>
              <w:left w:val="single" w:sz="4" w:space="0" w:color="auto"/>
              <w:bottom w:val="single" w:sz="4" w:space="0" w:color="auto"/>
              <w:right w:val="nil"/>
            </w:tcBorders>
            <w:shd w:val="clear" w:color="auto" w:fill="auto"/>
            <w:noWrap/>
            <w:vAlign w:val="center"/>
            <w:hideMark/>
          </w:tcPr>
          <w:p w14:paraId="1F6812DE" w14:textId="77777777" w:rsidR="00387142" w:rsidRPr="008B6A75" w:rsidRDefault="00387142" w:rsidP="00387142">
            <w:pPr>
              <w:jc w:val="center"/>
              <w:rPr>
                <w:sz w:val="20"/>
                <w:szCs w:val="20"/>
              </w:rPr>
            </w:pPr>
            <w:r w:rsidRPr="008B6A75">
              <w:rPr>
                <w:sz w:val="20"/>
                <w:szCs w:val="20"/>
              </w:rPr>
              <w:t>07</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6A89E72" w14:textId="77777777" w:rsidR="00387142" w:rsidRPr="008B6A75" w:rsidRDefault="00387142" w:rsidP="00387142">
            <w:pPr>
              <w:jc w:val="right"/>
              <w:rPr>
                <w:sz w:val="20"/>
                <w:szCs w:val="20"/>
              </w:rPr>
            </w:pPr>
            <w:r w:rsidRPr="008B6A75">
              <w:rPr>
                <w:sz w:val="20"/>
                <w:szCs w:val="20"/>
              </w:rPr>
              <w:t>6 000,00</w:t>
            </w:r>
          </w:p>
        </w:tc>
        <w:tc>
          <w:tcPr>
            <w:tcW w:w="851" w:type="dxa"/>
            <w:tcBorders>
              <w:top w:val="nil"/>
              <w:left w:val="single" w:sz="4" w:space="0" w:color="auto"/>
              <w:bottom w:val="single" w:sz="4" w:space="0" w:color="auto"/>
              <w:right w:val="nil"/>
            </w:tcBorders>
            <w:shd w:val="clear" w:color="auto" w:fill="auto"/>
            <w:noWrap/>
            <w:vAlign w:val="center"/>
            <w:hideMark/>
          </w:tcPr>
          <w:p w14:paraId="3DD3666A" w14:textId="77777777" w:rsidR="00387142" w:rsidRPr="008B6A75" w:rsidRDefault="00387142" w:rsidP="00387142">
            <w:pPr>
              <w:jc w:val="right"/>
              <w:rPr>
                <w:sz w:val="20"/>
                <w:szCs w:val="20"/>
              </w:rPr>
            </w:pPr>
            <w:r w:rsidRPr="008B6A75">
              <w:rPr>
                <w:sz w:val="20"/>
                <w:szCs w:val="20"/>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720CB2AB" w14:textId="77777777" w:rsidR="00387142" w:rsidRPr="008B6A75" w:rsidRDefault="00387142" w:rsidP="00387142">
            <w:pPr>
              <w:jc w:val="right"/>
              <w:rPr>
                <w:sz w:val="20"/>
                <w:szCs w:val="20"/>
              </w:rPr>
            </w:pPr>
            <w:r w:rsidRPr="008B6A75">
              <w:rPr>
                <w:sz w:val="20"/>
                <w:szCs w:val="20"/>
              </w:rPr>
              <w:t>0,00</w:t>
            </w:r>
          </w:p>
        </w:tc>
      </w:tr>
      <w:tr w:rsidR="00387142" w:rsidRPr="008B6A75" w14:paraId="7E53BC03" w14:textId="77777777" w:rsidTr="00387142">
        <w:trPr>
          <w:trHeight w:val="870"/>
        </w:trPr>
        <w:tc>
          <w:tcPr>
            <w:tcW w:w="272" w:type="dxa"/>
            <w:tcBorders>
              <w:top w:val="nil"/>
              <w:left w:val="nil"/>
              <w:bottom w:val="nil"/>
              <w:right w:val="single" w:sz="4" w:space="0" w:color="auto"/>
            </w:tcBorders>
            <w:shd w:val="clear" w:color="auto" w:fill="auto"/>
            <w:noWrap/>
            <w:vAlign w:val="bottom"/>
            <w:hideMark/>
          </w:tcPr>
          <w:p w14:paraId="69BF6C73"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6FB07714" w14:textId="77777777" w:rsidR="00387142" w:rsidRPr="008B6A75" w:rsidRDefault="00387142" w:rsidP="00387142">
            <w:pPr>
              <w:rPr>
                <w:sz w:val="20"/>
                <w:szCs w:val="20"/>
              </w:rPr>
            </w:pPr>
            <w:r w:rsidRPr="008B6A75">
              <w:rPr>
                <w:sz w:val="20"/>
                <w:szCs w:val="20"/>
              </w:rPr>
              <w:t>Предоставление субсидий бюджетным, автономным учреждениям и иным некоммерческим организациям</w:t>
            </w:r>
          </w:p>
        </w:tc>
        <w:tc>
          <w:tcPr>
            <w:tcW w:w="1559" w:type="dxa"/>
            <w:tcBorders>
              <w:top w:val="nil"/>
              <w:left w:val="single" w:sz="4" w:space="0" w:color="auto"/>
              <w:bottom w:val="single" w:sz="4" w:space="0" w:color="auto"/>
              <w:right w:val="nil"/>
            </w:tcBorders>
            <w:shd w:val="clear" w:color="auto" w:fill="auto"/>
            <w:noWrap/>
            <w:vAlign w:val="center"/>
            <w:hideMark/>
          </w:tcPr>
          <w:p w14:paraId="5FD52B68" w14:textId="77777777" w:rsidR="00387142" w:rsidRPr="008B6A75" w:rsidRDefault="00387142" w:rsidP="00387142">
            <w:pPr>
              <w:jc w:val="center"/>
              <w:rPr>
                <w:sz w:val="20"/>
                <w:szCs w:val="20"/>
              </w:rPr>
            </w:pPr>
            <w:r w:rsidRPr="008B6A75">
              <w:rPr>
                <w:sz w:val="20"/>
                <w:szCs w:val="20"/>
              </w:rPr>
              <w:t>16.0.00.79500</w:t>
            </w:r>
          </w:p>
        </w:tc>
        <w:tc>
          <w:tcPr>
            <w:tcW w:w="850" w:type="dxa"/>
            <w:tcBorders>
              <w:top w:val="nil"/>
              <w:left w:val="single" w:sz="4" w:space="0" w:color="auto"/>
              <w:bottom w:val="single" w:sz="4" w:space="0" w:color="auto"/>
              <w:right w:val="nil"/>
            </w:tcBorders>
            <w:shd w:val="clear" w:color="auto" w:fill="auto"/>
            <w:noWrap/>
            <w:vAlign w:val="center"/>
            <w:hideMark/>
          </w:tcPr>
          <w:p w14:paraId="0FEF196A" w14:textId="77777777" w:rsidR="00387142" w:rsidRPr="008B6A75" w:rsidRDefault="00387142" w:rsidP="00387142">
            <w:pPr>
              <w:jc w:val="center"/>
              <w:rPr>
                <w:sz w:val="20"/>
                <w:szCs w:val="20"/>
              </w:rPr>
            </w:pPr>
            <w:r w:rsidRPr="008B6A75">
              <w:rPr>
                <w:sz w:val="20"/>
                <w:szCs w:val="20"/>
              </w:rPr>
              <w:t>600</w:t>
            </w:r>
          </w:p>
        </w:tc>
        <w:tc>
          <w:tcPr>
            <w:tcW w:w="567" w:type="dxa"/>
            <w:tcBorders>
              <w:top w:val="nil"/>
              <w:left w:val="single" w:sz="4" w:space="0" w:color="auto"/>
              <w:bottom w:val="single" w:sz="4" w:space="0" w:color="auto"/>
              <w:right w:val="nil"/>
            </w:tcBorders>
            <w:shd w:val="clear" w:color="auto" w:fill="auto"/>
            <w:noWrap/>
            <w:vAlign w:val="center"/>
            <w:hideMark/>
          </w:tcPr>
          <w:p w14:paraId="62AEA8CF" w14:textId="77777777" w:rsidR="00387142" w:rsidRPr="008B6A75" w:rsidRDefault="00387142" w:rsidP="00387142">
            <w:pPr>
              <w:jc w:val="center"/>
              <w:rPr>
                <w:sz w:val="20"/>
                <w:szCs w:val="20"/>
              </w:rPr>
            </w:pPr>
            <w:r w:rsidRPr="008B6A75">
              <w:rPr>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618EFAF8" w14:textId="77777777" w:rsidR="00387142" w:rsidRPr="008B6A75" w:rsidRDefault="00387142" w:rsidP="00387142">
            <w:pPr>
              <w:jc w:val="center"/>
              <w:rPr>
                <w:sz w:val="20"/>
                <w:szCs w:val="20"/>
              </w:rPr>
            </w:pPr>
            <w:r w:rsidRPr="008B6A75">
              <w:rPr>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53ED9E7" w14:textId="77777777" w:rsidR="00387142" w:rsidRPr="008B6A75" w:rsidRDefault="00387142" w:rsidP="00387142">
            <w:pPr>
              <w:jc w:val="right"/>
              <w:rPr>
                <w:sz w:val="20"/>
                <w:szCs w:val="20"/>
              </w:rPr>
            </w:pPr>
            <w:r w:rsidRPr="008B6A75">
              <w:rPr>
                <w:sz w:val="20"/>
                <w:szCs w:val="20"/>
              </w:rPr>
              <w:t>164 285,00</w:t>
            </w:r>
          </w:p>
        </w:tc>
        <w:tc>
          <w:tcPr>
            <w:tcW w:w="851" w:type="dxa"/>
            <w:tcBorders>
              <w:top w:val="nil"/>
              <w:left w:val="single" w:sz="4" w:space="0" w:color="auto"/>
              <w:bottom w:val="single" w:sz="4" w:space="0" w:color="auto"/>
              <w:right w:val="nil"/>
            </w:tcBorders>
            <w:shd w:val="clear" w:color="auto" w:fill="auto"/>
            <w:noWrap/>
            <w:vAlign w:val="center"/>
            <w:hideMark/>
          </w:tcPr>
          <w:p w14:paraId="173A5CA5" w14:textId="77777777" w:rsidR="00387142" w:rsidRPr="008B6A75" w:rsidRDefault="00387142" w:rsidP="00387142">
            <w:pPr>
              <w:jc w:val="right"/>
              <w:rPr>
                <w:sz w:val="20"/>
                <w:szCs w:val="20"/>
              </w:rPr>
            </w:pPr>
            <w:r w:rsidRPr="008B6A75">
              <w:rPr>
                <w:sz w:val="20"/>
                <w:szCs w:val="20"/>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3500E4BB" w14:textId="77777777" w:rsidR="00387142" w:rsidRPr="008B6A75" w:rsidRDefault="00387142" w:rsidP="00387142">
            <w:pPr>
              <w:jc w:val="right"/>
              <w:rPr>
                <w:sz w:val="20"/>
                <w:szCs w:val="20"/>
              </w:rPr>
            </w:pPr>
            <w:r w:rsidRPr="008B6A75">
              <w:rPr>
                <w:sz w:val="20"/>
                <w:szCs w:val="20"/>
              </w:rPr>
              <w:t>0,00</w:t>
            </w:r>
          </w:p>
        </w:tc>
      </w:tr>
      <w:tr w:rsidR="00387142" w:rsidRPr="008B6A75" w14:paraId="0B52A464" w14:textId="77777777" w:rsidTr="00387142">
        <w:trPr>
          <w:trHeight w:val="300"/>
        </w:trPr>
        <w:tc>
          <w:tcPr>
            <w:tcW w:w="272" w:type="dxa"/>
            <w:tcBorders>
              <w:top w:val="nil"/>
              <w:left w:val="nil"/>
              <w:bottom w:val="nil"/>
              <w:right w:val="single" w:sz="4" w:space="0" w:color="auto"/>
            </w:tcBorders>
            <w:shd w:val="clear" w:color="auto" w:fill="auto"/>
            <w:noWrap/>
            <w:vAlign w:val="bottom"/>
            <w:hideMark/>
          </w:tcPr>
          <w:p w14:paraId="6D60B660"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3241614F" w14:textId="77777777" w:rsidR="00387142" w:rsidRPr="008B6A75" w:rsidRDefault="00387142" w:rsidP="00387142">
            <w:pPr>
              <w:rPr>
                <w:sz w:val="20"/>
                <w:szCs w:val="20"/>
              </w:rPr>
            </w:pPr>
            <w:r w:rsidRPr="008B6A75">
              <w:rPr>
                <w:sz w:val="20"/>
                <w:szCs w:val="20"/>
              </w:rPr>
              <w:t>Субсидии бюджетным учреждениям</w:t>
            </w:r>
          </w:p>
        </w:tc>
        <w:tc>
          <w:tcPr>
            <w:tcW w:w="1559" w:type="dxa"/>
            <w:tcBorders>
              <w:top w:val="nil"/>
              <w:left w:val="single" w:sz="4" w:space="0" w:color="auto"/>
              <w:bottom w:val="single" w:sz="4" w:space="0" w:color="auto"/>
              <w:right w:val="nil"/>
            </w:tcBorders>
            <w:shd w:val="clear" w:color="auto" w:fill="auto"/>
            <w:noWrap/>
            <w:vAlign w:val="center"/>
            <w:hideMark/>
          </w:tcPr>
          <w:p w14:paraId="113EE4DA" w14:textId="77777777" w:rsidR="00387142" w:rsidRPr="008B6A75" w:rsidRDefault="00387142" w:rsidP="00387142">
            <w:pPr>
              <w:jc w:val="center"/>
              <w:rPr>
                <w:sz w:val="20"/>
                <w:szCs w:val="20"/>
              </w:rPr>
            </w:pPr>
            <w:r w:rsidRPr="008B6A75">
              <w:rPr>
                <w:sz w:val="20"/>
                <w:szCs w:val="20"/>
              </w:rPr>
              <w:t>16.0.00.79500</w:t>
            </w:r>
          </w:p>
        </w:tc>
        <w:tc>
          <w:tcPr>
            <w:tcW w:w="850" w:type="dxa"/>
            <w:tcBorders>
              <w:top w:val="nil"/>
              <w:left w:val="single" w:sz="4" w:space="0" w:color="auto"/>
              <w:bottom w:val="single" w:sz="4" w:space="0" w:color="auto"/>
              <w:right w:val="nil"/>
            </w:tcBorders>
            <w:shd w:val="clear" w:color="auto" w:fill="auto"/>
            <w:noWrap/>
            <w:vAlign w:val="center"/>
            <w:hideMark/>
          </w:tcPr>
          <w:p w14:paraId="34DE27CF" w14:textId="77777777" w:rsidR="00387142" w:rsidRPr="008B6A75" w:rsidRDefault="00387142" w:rsidP="00387142">
            <w:pPr>
              <w:jc w:val="center"/>
              <w:rPr>
                <w:sz w:val="20"/>
                <w:szCs w:val="20"/>
              </w:rPr>
            </w:pPr>
            <w:r w:rsidRPr="008B6A75">
              <w:rPr>
                <w:sz w:val="20"/>
                <w:szCs w:val="20"/>
              </w:rPr>
              <w:t>610</w:t>
            </w:r>
          </w:p>
        </w:tc>
        <w:tc>
          <w:tcPr>
            <w:tcW w:w="567" w:type="dxa"/>
            <w:tcBorders>
              <w:top w:val="nil"/>
              <w:left w:val="single" w:sz="4" w:space="0" w:color="auto"/>
              <w:bottom w:val="single" w:sz="4" w:space="0" w:color="auto"/>
              <w:right w:val="nil"/>
            </w:tcBorders>
            <w:shd w:val="clear" w:color="auto" w:fill="auto"/>
            <w:noWrap/>
            <w:vAlign w:val="center"/>
            <w:hideMark/>
          </w:tcPr>
          <w:p w14:paraId="49A9F4E8" w14:textId="77777777" w:rsidR="00387142" w:rsidRPr="008B6A75" w:rsidRDefault="00387142" w:rsidP="00387142">
            <w:pPr>
              <w:jc w:val="center"/>
              <w:rPr>
                <w:sz w:val="20"/>
                <w:szCs w:val="20"/>
              </w:rPr>
            </w:pPr>
            <w:r w:rsidRPr="008B6A75">
              <w:rPr>
                <w:sz w:val="20"/>
                <w:szCs w:val="20"/>
              </w:rPr>
              <w:t>07</w:t>
            </w:r>
          </w:p>
        </w:tc>
        <w:tc>
          <w:tcPr>
            <w:tcW w:w="567" w:type="dxa"/>
            <w:tcBorders>
              <w:top w:val="nil"/>
              <w:left w:val="single" w:sz="4" w:space="0" w:color="auto"/>
              <w:bottom w:val="single" w:sz="4" w:space="0" w:color="auto"/>
              <w:right w:val="nil"/>
            </w:tcBorders>
            <w:shd w:val="clear" w:color="auto" w:fill="auto"/>
            <w:noWrap/>
            <w:vAlign w:val="center"/>
            <w:hideMark/>
          </w:tcPr>
          <w:p w14:paraId="182557C7" w14:textId="77777777" w:rsidR="00387142" w:rsidRPr="008B6A75" w:rsidRDefault="00387142" w:rsidP="00387142">
            <w:pPr>
              <w:jc w:val="center"/>
              <w:rPr>
                <w:sz w:val="20"/>
                <w:szCs w:val="20"/>
              </w:rPr>
            </w:pPr>
            <w:r w:rsidRPr="008B6A75">
              <w:rPr>
                <w:sz w:val="20"/>
                <w:szCs w:val="20"/>
              </w:rPr>
              <w:t>02</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BA52B8E" w14:textId="77777777" w:rsidR="00387142" w:rsidRPr="008B6A75" w:rsidRDefault="00387142" w:rsidP="00387142">
            <w:pPr>
              <w:jc w:val="right"/>
              <w:rPr>
                <w:sz w:val="20"/>
                <w:szCs w:val="20"/>
              </w:rPr>
            </w:pPr>
            <w:r w:rsidRPr="008B6A75">
              <w:rPr>
                <w:sz w:val="20"/>
                <w:szCs w:val="20"/>
              </w:rPr>
              <w:t>4 285,00</w:t>
            </w:r>
          </w:p>
        </w:tc>
        <w:tc>
          <w:tcPr>
            <w:tcW w:w="851" w:type="dxa"/>
            <w:tcBorders>
              <w:top w:val="nil"/>
              <w:left w:val="single" w:sz="4" w:space="0" w:color="auto"/>
              <w:bottom w:val="single" w:sz="4" w:space="0" w:color="auto"/>
              <w:right w:val="nil"/>
            </w:tcBorders>
            <w:shd w:val="clear" w:color="auto" w:fill="auto"/>
            <w:noWrap/>
            <w:vAlign w:val="center"/>
            <w:hideMark/>
          </w:tcPr>
          <w:p w14:paraId="3A84E49E" w14:textId="77777777" w:rsidR="00387142" w:rsidRPr="008B6A75" w:rsidRDefault="00387142" w:rsidP="00387142">
            <w:pPr>
              <w:jc w:val="right"/>
              <w:rPr>
                <w:sz w:val="20"/>
                <w:szCs w:val="20"/>
              </w:rPr>
            </w:pPr>
            <w:r w:rsidRPr="008B6A75">
              <w:rPr>
                <w:sz w:val="20"/>
                <w:szCs w:val="20"/>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174348F5" w14:textId="77777777" w:rsidR="00387142" w:rsidRPr="008B6A75" w:rsidRDefault="00387142" w:rsidP="00387142">
            <w:pPr>
              <w:jc w:val="right"/>
              <w:rPr>
                <w:sz w:val="20"/>
                <w:szCs w:val="20"/>
              </w:rPr>
            </w:pPr>
            <w:r w:rsidRPr="008B6A75">
              <w:rPr>
                <w:sz w:val="20"/>
                <w:szCs w:val="20"/>
              </w:rPr>
              <w:t>0,00</w:t>
            </w:r>
          </w:p>
        </w:tc>
      </w:tr>
      <w:tr w:rsidR="00387142" w:rsidRPr="008B6A75" w14:paraId="618438C0" w14:textId="77777777" w:rsidTr="00387142">
        <w:trPr>
          <w:trHeight w:val="300"/>
        </w:trPr>
        <w:tc>
          <w:tcPr>
            <w:tcW w:w="272" w:type="dxa"/>
            <w:tcBorders>
              <w:top w:val="nil"/>
              <w:left w:val="nil"/>
              <w:bottom w:val="nil"/>
              <w:right w:val="single" w:sz="4" w:space="0" w:color="auto"/>
            </w:tcBorders>
            <w:shd w:val="clear" w:color="auto" w:fill="auto"/>
            <w:noWrap/>
            <w:vAlign w:val="bottom"/>
            <w:hideMark/>
          </w:tcPr>
          <w:p w14:paraId="7C794B71" w14:textId="77777777" w:rsidR="00387142" w:rsidRPr="008B6A75" w:rsidRDefault="00387142" w:rsidP="00387142">
            <w:pPr>
              <w:rPr>
                <w:sz w:val="20"/>
                <w:szCs w:val="20"/>
              </w:rPr>
            </w:pPr>
            <w:r w:rsidRPr="008B6A75">
              <w:rPr>
                <w:sz w:val="20"/>
                <w:szCs w:val="20"/>
              </w:rPr>
              <w:lastRenderedPageBreak/>
              <w:t> </w:t>
            </w:r>
          </w:p>
        </w:tc>
        <w:tc>
          <w:tcPr>
            <w:tcW w:w="3415" w:type="dxa"/>
            <w:tcBorders>
              <w:top w:val="nil"/>
              <w:left w:val="single" w:sz="4" w:space="0" w:color="auto"/>
              <w:bottom w:val="single" w:sz="4" w:space="0" w:color="auto"/>
              <w:right w:val="nil"/>
            </w:tcBorders>
            <w:shd w:val="clear" w:color="auto" w:fill="auto"/>
            <w:vAlign w:val="center"/>
            <w:hideMark/>
          </w:tcPr>
          <w:p w14:paraId="54503A51" w14:textId="77777777" w:rsidR="00387142" w:rsidRPr="008B6A75" w:rsidRDefault="00387142" w:rsidP="00387142">
            <w:pPr>
              <w:rPr>
                <w:sz w:val="20"/>
                <w:szCs w:val="20"/>
              </w:rPr>
            </w:pPr>
            <w:r w:rsidRPr="008B6A75">
              <w:rPr>
                <w:sz w:val="20"/>
                <w:szCs w:val="20"/>
              </w:rPr>
              <w:t>Субсидии бюджетным учреждениям</w:t>
            </w:r>
          </w:p>
        </w:tc>
        <w:tc>
          <w:tcPr>
            <w:tcW w:w="1559" w:type="dxa"/>
            <w:tcBorders>
              <w:top w:val="nil"/>
              <w:left w:val="single" w:sz="4" w:space="0" w:color="auto"/>
              <w:bottom w:val="single" w:sz="4" w:space="0" w:color="auto"/>
              <w:right w:val="nil"/>
            </w:tcBorders>
            <w:shd w:val="clear" w:color="auto" w:fill="auto"/>
            <w:noWrap/>
            <w:vAlign w:val="center"/>
            <w:hideMark/>
          </w:tcPr>
          <w:p w14:paraId="24DA1077" w14:textId="77777777" w:rsidR="00387142" w:rsidRPr="008B6A75" w:rsidRDefault="00387142" w:rsidP="00387142">
            <w:pPr>
              <w:jc w:val="center"/>
              <w:rPr>
                <w:sz w:val="20"/>
                <w:szCs w:val="20"/>
              </w:rPr>
            </w:pPr>
            <w:r w:rsidRPr="008B6A75">
              <w:rPr>
                <w:sz w:val="20"/>
                <w:szCs w:val="20"/>
              </w:rPr>
              <w:t>16.0.00.79500</w:t>
            </w:r>
          </w:p>
        </w:tc>
        <w:tc>
          <w:tcPr>
            <w:tcW w:w="850" w:type="dxa"/>
            <w:tcBorders>
              <w:top w:val="nil"/>
              <w:left w:val="single" w:sz="4" w:space="0" w:color="auto"/>
              <w:bottom w:val="single" w:sz="4" w:space="0" w:color="auto"/>
              <w:right w:val="nil"/>
            </w:tcBorders>
            <w:shd w:val="clear" w:color="auto" w:fill="auto"/>
            <w:noWrap/>
            <w:vAlign w:val="center"/>
            <w:hideMark/>
          </w:tcPr>
          <w:p w14:paraId="5CB6734E" w14:textId="77777777" w:rsidR="00387142" w:rsidRPr="008B6A75" w:rsidRDefault="00387142" w:rsidP="00387142">
            <w:pPr>
              <w:jc w:val="center"/>
              <w:rPr>
                <w:sz w:val="20"/>
                <w:szCs w:val="20"/>
              </w:rPr>
            </w:pPr>
            <w:r w:rsidRPr="008B6A75">
              <w:rPr>
                <w:sz w:val="20"/>
                <w:szCs w:val="20"/>
              </w:rPr>
              <w:t>610</w:t>
            </w:r>
          </w:p>
        </w:tc>
        <w:tc>
          <w:tcPr>
            <w:tcW w:w="567" w:type="dxa"/>
            <w:tcBorders>
              <w:top w:val="nil"/>
              <w:left w:val="single" w:sz="4" w:space="0" w:color="auto"/>
              <w:bottom w:val="single" w:sz="4" w:space="0" w:color="auto"/>
              <w:right w:val="nil"/>
            </w:tcBorders>
            <w:shd w:val="clear" w:color="auto" w:fill="auto"/>
            <w:noWrap/>
            <w:vAlign w:val="center"/>
            <w:hideMark/>
          </w:tcPr>
          <w:p w14:paraId="5E725B83" w14:textId="77777777" w:rsidR="00387142" w:rsidRPr="008B6A75" w:rsidRDefault="00387142" w:rsidP="00387142">
            <w:pPr>
              <w:jc w:val="center"/>
              <w:rPr>
                <w:sz w:val="20"/>
                <w:szCs w:val="20"/>
              </w:rPr>
            </w:pPr>
            <w:r w:rsidRPr="008B6A75">
              <w:rPr>
                <w:sz w:val="20"/>
                <w:szCs w:val="20"/>
              </w:rPr>
              <w:t>07</w:t>
            </w:r>
          </w:p>
        </w:tc>
        <w:tc>
          <w:tcPr>
            <w:tcW w:w="567" w:type="dxa"/>
            <w:tcBorders>
              <w:top w:val="nil"/>
              <w:left w:val="single" w:sz="4" w:space="0" w:color="auto"/>
              <w:bottom w:val="single" w:sz="4" w:space="0" w:color="auto"/>
              <w:right w:val="nil"/>
            </w:tcBorders>
            <w:shd w:val="clear" w:color="auto" w:fill="auto"/>
            <w:noWrap/>
            <w:vAlign w:val="center"/>
            <w:hideMark/>
          </w:tcPr>
          <w:p w14:paraId="642DAB2C" w14:textId="77777777" w:rsidR="00387142" w:rsidRPr="008B6A75" w:rsidRDefault="00387142" w:rsidP="00387142">
            <w:pPr>
              <w:jc w:val="center"/>
              <w:rPr>
                <w:sz w:val="20"/>
                <w:szCs w:val="20"/>
              </w:rPr>
            </w:pPr>
            <w:r w:rsidRPr="008B6A75">
              <w:rPr>
                <w:sz w:val="20"/>
                <w:szCs w:val="20"/>
              </w:rPr>
              <w:t>07</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70C971E" w14:textId="77777777" w:rsidR="00387142" w:rsidRPr="008B6A75" w:rsidRDefault="00387142" w:rsidP="00387142">
            <w:pPr>
              <w:jc w:val="right"/>
              <w:rPr>
                <w:sz w:val="20"/>
                <w:szCs w:val="20"/>
              </w:rPr>
            </w:pPr>
            <w:r w:rsidRPr="008B6A75">
              <w:rPr>
                <w:sz w:val="20"/>
                <w:szCs w:val="20"/>
              </w:rPr>
              <w:t>160 000,00</w:t>
            </w:r>
          </w:p>
        </w:tc>
        <w:tc>
          <w:tcPr>
            <w:tcW w:w="851" w:type="dxa"/>
            <w:tcBorders>
              <w:top w:val="nil"/>
              <w:left w:val="single" w:sz="4" w:space="0" w:color="auto"/>
              <w:bottom w:val="single" w:sz="4" w:space="0" w:color="auto"/>
              <w:right w:val="nil"/>
            </w:tcBorders>
            <w:shd w:val="clear" w:color="auto" w:fill="auto"/>
            <w:noWrap/>
            <w:vAlign w:val="center"/>
            <w:hideMark/>
          </w:tcPr>
          <w:p w14:paraId="490E3576" w14:textId="77777777" w:rsidR="00387142" w:rsidRPr="008B6A75" w:rsidRDefault="00387142" w:rsidP="00387142">
            <w:pPr>
              <w:jc w:val="right"/>
              <w:rPr>
                <w:sz w:val="20"/>
                <w:szCs w:val="20"/>
              </w:rPr>
            </w:pPr>
            <w:r w:rsidRPr="008B6A75">
              <w:rPr>
                <w:sz w:val="20"/>
                <w:szCs w:val="20"/>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4125C85C" w14:textId="77777777" w:rsidR="00387142" w:rsidRPr="008B6A75" w:rsidRDefault="00387142" w:rsidP="00387142">
            <w:pPr>
              <w:jc w:val="right"/>
              <w:rPr>
                <w:sz w:val="20"/>
                <w:szCs w:val="20"/>
              </w:rPr>
            </w:pPr>
            <w:r w:rsidRPr="008B6A75">
              <w:rPr>
                <w:sz w:val="20"/>
                <w:szCs w:val="20"/>
              </w:rPr>
              <w:t>0,00</w:t>
            </w:r>
          </w:p>
        </w:tc>
      </w:tr>
      <w:tr w:rsidR="00387142" w:rsidRPr="008B6A75" w14:paraId="1FDA4BB1" w14:textId="77777777" w:rsidTr="00387142">
        <w:trPr>
          <w:trHeight w:val="870"/>
        </w:trPr>
        <w:tc>
          <w:tcPr>
            <w:tcW w:w="272" w:type="dxa"/>
            <w:tcBorders>
              <w:top w:val="nil"/>
              <w:left w:val="nil"/>
              <w:bottom w:val="nil"/>
              <w:right w:val="single" w:sz="4" w:space="0" w:color="auto"/>
            </w:tcBorders>
            <w:shd w:val="clear" w:color="auto" w:fill="auto"/>
            <w:noWrap/>
            <w:vAlign w:val="bottom"/>
            <w:hideMark/>
          </w:tcPr>
          <w:p w14:paraId="28821AF5"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2250F07D" w14:textId="77777777" w:rsidR="00387142" w:rsidRPr="008B6A75" w:rsidRDefault="00387142" w:rsidP="00387142">
            <w:pPr>
              <w:rPr>
                <w:bCs/>
                <w:sz w:val="20"/>
                <w:szCs w:val="20"/>
              </w:rPr>
            </w:pPr>
            <w:r w:rsidRPr="008B6A75">
              <w:rPr>
                <w:bCs/>
                <w:sz w:val="20"/>
                <w:szCs w:val="20"/>
              </w:rPr>
              <w:t>Муниципальная программа "Жилищно-коммунальное хозяйство Куйбышевского района"</w:t>
            </w:r>
          </w:p>
        </w:tc>
        <w:tc>
          <w:tcPr>
            <w:tcW w:w="1559" w:type="dxa"/>
            <w:tcBorders>
              <w:top w:val="nil"/>
              <w:left w:val="single" w:sz="4" w:space="0" w:color="auto"/>
              <w:bottom w:val="single" w:sz="4" w:space="0" w:color="auto"/>
              <w:right w:val="nil"/>
            </w:tcBorders>
            <w:shd w:val="clear" w:color="auto" w:fill="auto"/>
            <w:noWrap/>
            <w:vAlign w:val="center"/>
            <w:hideMark/>
          </w:tcPr>
          <w:p w14:paraId="1626A9D4" w14:textId="77777777" w:rsidR="00387142" w:rsidRPr="008B6A75" w:rsidRDefault="00387142" w:rsidP="00387142">
            <w:pPr>
              <w:jc w:val="center"/>
              <w:rPr>
                <w:bCs/>
                <w:sz w:val="20"/>
                <w:szCs w:val="20"/>
              </w:rPr>
            </w:pPr>
            <w:r w:rsidRPr="008B6A75">
              <w:rPr>
                <w:bCs/>
                <w:sz w:val="20"/>
                <w:szCs w:val="20"/>
              </w:rPr>
              <w:t>17.0.00.00000</w:t>
            </w:r>
          </w:p>
        </w:tc>
        <w:tc>
          <w:tcPr>
            <w:tcW w:w="850" w:type="dxa"/>
            <w:tcBorders>
              <w:top w:val="nil"/>
              <w:left w:val="single" w:sz="4" w:space="0" w:color="auto"/>
              <w:bottom w:val="single" w:sz="4" w:space="0" w:color="auto"/>
              <w:right w:val="nil"/>
            </w:tcBorders>
            <w:shd w:val="clear" w:color="auto" w:fill="auto"/>
            <w:noWrap/>
            <w:vAlign w:val="center"/>
            <w:hideMark/>
          </w:tcPr>
          <w:p w14:paraId="644DE941" w14:textId="77777777" w:rsidR="00387142" w:rsidRPr="008B6A75" w:rsidRDefault="00387142" w:rsidP="00387142">
            <w:pPr>
              <w:jc w:val="center"/>
              <w:rPr>
                <w:bCs/>
                <w:sz w:val="20"/>
                <w:szCs w:val="20"/>
              </w:rPr>
            </w:pPr>
            <w:r w:rsidRPr="008B6A75">
              <w:rPr>
                <w:bCs/>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1BFA4825" w14:textId="77777777" w:rsidR="00387142" w:rsidRPr="008B6A75" w:rsidRDefault="00387142" w:rsidP="00387142">
            <w:pPr>
              <w:jc w:val="center"/>
              <w:rPr>
                <w:bCs/>
                <w:sz w:val="20"/>
                <w:szCs w:val="20"/>
              </w:rPr>
            </w:pPr>
            <w:r w:rsidRPr="008B6A75">
              <w:rPr>
                <w:bCs/>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6BAE6BA3" w14:textId="77777777" w:rsidR="00387142" w:rsidRPr="008B6A75" w:rsidRDefault="00387142" w:rsidP="00387142">
            <w:pPr>
              <w:jc w:val="center"/>
              <w:rPr>
                <w:bCs/>
                <w:sz w:val="20"/>
                <w:szCs w:val="20"/>
              </w:rPr>
            </w:pPr>
            <w:r w:rsidRPr="008B6A75">
              <w:rPr>
                <w:bCs/>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D642EE6" w14:textId="77777777" w:rsidR="00387142" w:rsidRPr="008B6A75" w:rsidRDefault="00387142" w:rsidP="00387142">
            <w:pPr>
              <w:jc w:val="right"/>
              <w:rPr>
                <w:bCs/>
                <w:sz w:val="20"/>
                <w:szCs w:val="20"/>
              </w:rPr>
            </w:pPr>
            <w:r w:rsidRPr="008B6A75">
              <w:rPr>
                <w:bCs/>
                <w:sz w:val="20"/>
                <w:szCs w:val="20"/>
              </w:rPr>
              <w:t>154 634 732,76</w:t>
            </w:r>
          </w:p>
        </w:tc>
        <w:tc>
          <w:tcPr>
            <w:tcW w:w="851" w:type="dxa"/>
            <w:tcBorders>
              <w:top w:val="nil"/>
              <w:left w:val="single" w:sz="4" w:space="0" w:color="auto"/>
              <w:bottom w:val="single" w:sz="4" w:space="0" w:color="auto"/>
              <w:right w:val="nil"/>
            </w:tcBorders>
            <w:shd w:val="clear" w:color="auto" w:fill="auto"/>
            <w:noWrap/>
            <w:vAlign w:val="center"/>
            <w:hideMark/>
          </w:tcPr>
          <w:p w14:paraId="2767E993" w14:textId="77777777" w:rsidR="00387142" w:rsidRPr="008B6A75" w:rsidRDefault="00387142" w:rsidP="00387142">
            <w:pPr>
              <w:jc w:val="right"/>
              <w:rPr>
                <w:bCs/>
                <w:sz w:val="20"/>
                <w:szCs w:val="20"/>
              </w:rPr>
            </w:pPr>
            <w:r w:rsidRPr="008B6A75">
              <w:rPr>
                <w:bCs/>
                <w:sz w:val="20"/>
                <w:szCs w:val="20"/>
              </w:rPr>
              <w:t>117 509 074,29</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587872D5" w14:textId="77777777" w:rsidR="00387142" w:rsidRPr="008B6A75" w:rsidRDefault="00387142" w:rsidP="00387142">
            <w:pPr>
              <w:jc w:val="right"/>
              <w:rPr>
                <w:bCs/>
                <w:sz w:val="20"/>
                <w:szCs w:val="20"/>
              </w:rPr>
            </w:pPr>
            <w:r w:rsidRPr="008B6A75">
              <w:rPr>
                <w:bCs/>
                <w:sz w:val="20"/>
                <w:szCs w:val="20"/>
              </w:rPr>
              <w:t>54 966 060,00</w:t>
            </w:r>
          </w:p>
        </w:tc>
      </w:tr>
      <w:tr w:rsidR="00387142" w:rsidRPr="008B6A75" w14:paraId="496AEF24" w14:textId="77777777" w:rsidTr="00387142">
        <w:trPr>
          <w:trHeight w:val="585"/>
        </w:trPr>
        <w:tc>
          <w:tcPr>
            <w:tcW w:w="272" w:type="dxa"/>
            <w:tcBorders>
              <w:top w:val="nil"/>
              <w:left w:val="nil"/>
              <w:bottom w:val="nil"/>
              <w:right w:val="single" w:sz="4" w:space="0" w:color="auto"/>
            </w:tcBorders>
            <w:shd w:val="clear" w:color="auto" w:fill="auto"/>
            <w:noWrap/>
            <w:vAlign w:val="bottom"/>
            <w:hideMark/>
          </w:tcPr>
          <w:p w14:paraId="149697E0"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704D264B" w14:textId="77777777" w:rsidR="00387142" w:rsidRPr="008B6A75" w:rsidRDefault="00387142" w:rsidP="00387142">
            <w:pPr>
              <w:rPr>
                <w:bCs/>
                <w:sz w:val="20"/>
                <w:szCs w:val="20"/>
              </w:rPr>
            </w:pPr>
            <w:r w:rsidRPr="008B6A75">
              <w:rPr>
                <w:bCs/>
                <w:sz w:val="20"/>
                <w:szCs w:val="20"/>
              </w:rPr>
              <w:t>Подпрограмма "Чистая вода Куйбышевского района"</w:t>
            </w:r>
          </w:p>
        </w:tc>
        <w:tc>
          <w:tcPr>
            <w:tcW w:w="1559" w:type="dxa"/>
            <w:tcBorders>
              <w:top w:val="nil"/>
              <w:left w:val="single" w:sz="4" w:space="0" w:color="auto"/>
              <w:bottom w:val="single" w:sz="4" w:space="0" w:color="auto"/>
              <w:right w:val="nil"/>
            </w:tcBorders>
            <w:shd w:val="clear" w:color="auto" w:fill="auto"/>
            <w:noWrap/>
            <w:vAlign w:val="center"/>
            <w:hideMark/>
          </w:tcPr>
          <w:p w14:paraId="5AC2F4BE" w14:textId="77777777" w:rsidR="00387142" w:rsidRPr="008B6A75" w:rsidRDefault="00387142" w:rsidP="00387142">
            <w:pPr>
              <w:jc w:val="center"/>
              <w:rPr>
                <w:bCs/>
                <w:sz w:val="20"/>
                <w:szCs w:val="20"/>
              </w:rPr>
            </w:pPr>
            <w:r w:rsidRPr="008B6A75">
              <w:rPr>
                <w:bCs/>
                <w:sz w:val="20"/>
                <w:szCs w:val="20"/>
              </w:rPr>
              <w:t>17.1.00.00000</w:t>
            </w:r>
          </w:p>
        </w:tc>
        <w:tc>
          <w:tcPr>
            <w:tcW w:w="850" w:type="dxa"/>
            <w:tcBorders>
              <w:top w:val="nil"/>
              <w:left w:val="single" w:sz="4" w:space="0" w:color="auto"/>
              <w:bottom w:val="single" w:sz="4" w:space="0" w:color="auto"/>
              <w:right w:val="nil"/>
            </w:tcBorders>
            <w:shd w:val="clear" w:color="auto" w:fill="auto"/>
            <w:noWrap/>
            <w:vAlign w:val="center"/>
            <w:hideMark/>
          </w:tcPr>
          <w:p w14:paraId="043413A4" w14:textId="77777777" w:rsidR="00387142" w:rsidRPr="008B6A75" w:rsidRDefault="00387142" w:rsidP="00387142">
            <w:pPr>
              <w:jc w:val="center"/>
              <w:rPr>
                <w:bCs/>
                <w:sz w:val="20"/>
                <w:szCs w:val="20"/>
              </w:rPr>
            </w:pPr>
            <w:r w:rsidRPr="008B6A75">
              <w:rPr>
                <w:bCs/>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5CE21C4B" w14:textId="77777777" w:rsidR="00387142" w:rsidRPr="008B6A75" w:rsidRDefault="00387142" w:rsidP="00387142">
            <w:pPr>
              <w:jc w:val="center"/>
              <w:rPr>
                <w:bCs/>
                <w:sz w:val="20"/>
                <w:szCs w:val="20"/>
              </w:rPr>
            </w:pPr>
            <w:r w:rsidRPr="008B6A75">
              <w:rPr>
                <w:bCs/>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69645F68" w14:textId="77777777" w:rsidR="00387142" w:rsidRPr="008B6A75" w:rsidRDefault="00387142" w:rsidP="00387142">
            <w:pPr>
              <w:jc w:val="center"/>
              <w:rPr>
                <w:bCs/>
                <w:sz w:val="20"/>
                <w:szCs w:val="20"/>
              </w:rPr>
            </w:pPr>
            <w:r w:rsidRPr="008B6A75">
              <w:rPr>
                <w:bCs/>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AAD03C7" w14:textId="77777777" w:rsidR="00387142" w:rsidRPr="008B6A75" w:rsidRDefault="00387142" w:rsidP="00387142">
            <w:pPr>
              <w:jc w:val="right"/>
              <w:rPr>
                <w:bCs/>
                <w:sz w:val="20"/>
                <w:szCs w:val="20"/>
              </w:rPr>
            </w:pPr>
            <w:r w:rsidRPr="008B6A75">
              <w:rPr>
                <w:bCs/>
                <w:sz w:val="20"/>
                <w:szCs w:val="20"/>
              </w:rPr>
              <w:t>81 165 314,29</w:t>
            </w:r>
          </w:p>
        </w:tc>
        <w:tc>
          <w:tcPr>
            <w:tcW w:w="851" w:type="dxa"/>
            <w:tcBorders>
              <w:top w:val="nil"/>
              <w:left w:val="single" w:sz="4" w:space="0" w:color="auto"/>
              <w:bottom w:val="single" w:sz="4" w:space="0" w:color="auto"/>
              <w:right w:val="nil"/>
            </w:tcBorders>
            <w:shd w:val="clear" w:color="auto" w:fill="auto"/>
            <w:noWrap/>
            <w:vAlign w:val="center"/>
            <w:hideMark/>
          </w:tcPr>
          <w:p w14:paraId="6A76D1D1" w14:textId="77777777" w:rsidR="00387142" w:rsidRPr="008B6A75" w:rsidRDefault="00387142" w:rsidP="00387142">
            <w:pPr>
              <w:jc w:val="right"/>
              <w:rPr>
                <w:bCs/>
                <w:sz w:val="20"/>
                <w:szCs w:val="20"/>
              </w:rPr>
            </w:pPr>
            <w:r w:rsidRPr="008B6A75">
              <w:rPr>
                <w:bCs/>
                <w:sz w:val="20"/>
                <w:szCs w:val="20"/>
              </w:rPr>
              <w:t>64 976 714,29</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6B5C27AC" w14:textId="77777777" w:rsidR="00387142" w:rsidRPr="008B6A75" w:rsidRDefault="00387142" w:rsidP="00387142">
            <w:pPr>
              <w:jc w:val="right"/>
              <w:rPr>
                <w:bCs/>
                <w:sz w:val="20"/>
                <w:szCs w:val="20"/>
              </w:rPr>
            </w:pPr>
            <w:r w:rsidRPr="008B6A75">
              <w:rPr>
                <w:bCs/>
                <w:sz w:val="20"/>
                <w:szCs w:val="20"/>
              </w:rPr>
              <w:t>0,00</w:t>
            </w:r>
          </w:p>
        </w:tc>
      </w:tr>
      <w:tr w:rsidR="00387142" w:rsidRPr="008B6A75" w14:paraId="2ABDC00E" w14:textId="77777777" w:rsidTr="00387142">
        <w:trPr>
          <w:trHeight w:val="2010"/>
        </w:trPr>
        <w:tc>
          <w:tcPr>
            <w:tcW w:w="272" w:type="dxa"/>
            <w:tcBorders>
              <w:top w:val="nil"/>
              <w:left w:val="nil"/>
              <w:bottom w:val="nil"/>
              <w:right w:val="single" w:sz="4" w:space="0" w:color="auto"/>
            </w:tcBorders>
            <w:shd w:val="clear" w:color="auto" w:fill="auto"/>
            <w:noWrap/>
            <w:vAlign w:val="bottom"/>
            <w:hideMark/>
          </w:tcPr>
          <w:p w14:paraId="26650315"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0C340FA7" w14:textId="77777777" w:rsidR="00387142" w:rsidRPr="008B6A75" w:rsidRDefault="00387142" w:rsidP="00387142">
            <w:pPr>
              <w:rPr>
                <w:bCs/>
                <w:sz w:val="20"/>
                <w:szCs w:val="20"/>
              </w:rPr>
            </w:pPr>
            <w:r w:rsidRPr="008B6A75">
              <w:rPr>
                <w:bCs/>
                <w:sz w:val="20"/>
                <w:szCs w:val="20"/>
              </w:rPr>
              <w:t>Реализация мероприятий по строительству и реконструкции объектов централизованных систем холодного водоснабжения и водоотведения подпрограммы "Чистая вода" государственной программы Новосибирской области "Жилищно-коммунальное хозяйство Новосибирской области"</w:t>
            </w:r>
          </w:p>
        </w:tc>
        <w:tc>
          <w:tcPr>
            <w:tcW w:w="1559" w:type="dxa"/>
            <w:tcBorders>
              <w:top w:val="nil"/>
              <w:left w:val="single" w:sz="4" w:space="0" w:color="auto"/>
              <w:bottom w:val="single" w:sz="4" w:space="0" w:color="auto"/>
              <w:right w:val="nil"/>
            </w:tcBorders>
            <w:shd w:val="clear" w:color="auto" w:fill="auto"/>
            <w:noWrap/>
            <w:vAlign w:val="center"/>
            <w:hideMark/>
          </w:tcPr>
          <w:p w14:paraId="44493709" w14:textId="77777777" w:rsidR="00387142" w:rsidRPr="008B6A75" w:rsidRDefault="00387142" w:rsidP="00387142">
            <w:pPr>
              <w:jc w:val="center"/>
              <w:rPr>
                <w:bCs/>
                <w:sz w:val="20"/>
                <w:szCs w:val="20"/>
              </w:rPr>
            </w:pPr>
            <w:r w:rsidRPr="008B6A75">
              <w:rPr>
                <w:bCs/>
                <w:sz w:val="20"/>
                <w:szCs w:val="20"/>
              </w:rPr>
              <w:t>17.1.00.70640</w:t>
            </w:r>
          </w:p>
        </w:tc>
        <w:tc>
          <w:tcPr>
            <w:tcW w:w="850" w:type="dxa"/>
            <w:tcBorders>
              <w:top w:val="nil"/>
              <w:left w:val="single" w:sz="4" w:space="0" w:color="auto"/>
              <w:bottom w:val="single" w:sz="4" w:space="0" w:color="auto"/>
              <w:right w:val="nil"/>
            </w:tcBorders>
            <w:shd w:val="clear" w:color="auto" w:fill="auto"/>
            <w:noWrap/>
            <w:vAlign w:val="center"/>
            <w:hideMark/>
          </w:tcPr>
          <w:p w14:paraId="47D1250B" w14:textId="77777777" w:rsidR="00387142" w:rsidRPr="008B6A75" w:rsidRDefault="00387142" w:rsidP="00387142">
            <w:pPr>
              <w:jc w:val="center"/>
              <w:rPr>
                <w:bCs/>
                <w:sz w:val="20"/>
                <w:szCs w:val="20"/>
              </w:rPr>
            </w:pPr>
            <w:r w:rsidRPr="008B6A75">
              <w:rPr>
                <w:bCs/>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3D86E97E" w14:textId="77777777" w:rsidR="00387142" w:rsidRPr="008B6A75" w:rsidRDefault="00387142" w:rsidP="00387142">
            <w:pPr>
              <w:jc w:val="center"/>
              <w:rPr>
                <w:bCs/>
                <w:sz w:val="20"/>
                <w:szCs w:val="20"/>
              </w:rPr>
            </w:pPr>
            <w:r w:rsidRPr="008B6A75">
              <w:rPr>
                <w:bCs/>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7BB86016" w14:textId="77777777" w:rsidR="00387142" w:rsidRPr="008B6A75" w:rsidRDefault="00387142" w:rsidP="00387142">
            <w:pPr>
              <w:jc w:val="center"/>
              <w:rPr>
                <w:bCs/>
                <w:sz w:val="20"/>
                <w:szCs w:val="20"/>
              </w:rPr>
            </w:pPr>
            <w:r w:rsidRPr="008B6A75">
              <w:rPr>
                <w:bCs/>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B4B199C" w14:textId="77777777" w:rsidR="00387142" w:rsidRPr="008B6A75" w:rsidRDefault="00387142" w:rsidP="00387142">
            <w:pPr>
              <w:jc w:val="right"/>
              <w:rPr>
                <w:bCs/>
                <w:sz w:val="20"/>
                <w:szCs w:val="20"/>
              </w:rPr>
            </w:pPr>
            <w:r w:rsidRPr="008B6A75">
              <w:rPr>
                <w:bCs/>
                <w:sz w:val="20"/>
                <w:szCs w:val="20"/>
              </w:rPr>
              <w:t>79 541 980,00</w:t>
            </w:r>
          </w:p>
        </w:tc>
        <w:tc>
          <w:tcPr>
            <w:tcW w:w="851" w:type="dxa"/>
            <w:tcBorders>
              <w:top w:val="nil"/>
              <w:left w:val="single" w:sz="4" w:space="0" w:color="auto"/>
              <w:bottom w:val="single" w:sz="4" w:space="0" w:color="auto"/>
              <w:right w:val="nil"/>
            </w:tcBorders>
            <w:shd w:val="clear" w:color="auto" w:fill="auto"/>
            <w:noWrap/>
            <w:vAlign w:val="center"/>
            <w:hideMark/>
          </w:tcPr>
          <w:p w14:paraId="3B226BFC" w14:textId="77777777" w:rsidR="00387142" w:rsidRPr="008B6A75" w:rsidRDefault="00387142" w:rsidP="00387142">
            <w:pPr>
              <w:jc w:val="right"/>
              <w:rPr>
                <w:bCs/>
                <w:sz w:val="20"/>
                <w:szCs w:val="20"/>
              </w:rPr>
            </w:pPr>
            <w:r w:rsidRPr="008B6A75">
              <w:rPr>
                <w:bCs/>
                <w:sz w:val="20"/>
                <w:szCs w:val="20"/>
              </w:rPr>
              <w:t>63 677 180,00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32957532" w14:textId="77777777" w:rsidR="00387142" w:rsidRPr="008B6A75" w:rsidRDefault="00387142" w:rsidP="00387142">
            <w:pPr>
              <w:jc w:val="right"/>
              <w:rPr>
                <w:bCs/>
                <w:sz w:val="20"/>
                <w:szCs w:val="20"/>
              </w:rPr>
            </w:pPr>
            <w:r w:rsidRPr="008B6A75">
              <w:rPr>
                <w:bCs/>
                <w:sz w:val="20"/>
                <w:szCs w:val="20"/>
              </w:rPr>
              <w:t>0,00</w:t>
            </w:r>
          </w:p>
        </w:tc>
      </w:tr>
      <w:tr w:rsidR="00387142" w:rsidRPr="008B6A75" w14:paraId="2732B76E" w14:textId="77777777" w:rsidTr="00387142">
        <w:trPr>
          <w:trHeight w:val="870"/>
        </w:trPr>
        <w:tc>
          <w:tcPr>
            <w:tcW w:w="272" w:type="dxa"/>
            <w:tcBorders>
              <w:top w:val="nil"/>
              <w:left w:val="nil"/>
              <w:bottom w:val="nil"/>
              <w:right w:val="single" w:sz="4" w:space="0" w:color="auto"/>
            </w:tcBorders>
            <w:shd w:val="clear" w:color="auto" w:fill="auto"/>
            <w:noWrap/>
            <w:vAlign w:val="bottom"/>
            <w:hideMark/>
          </w:tcPr>
          <w:p w14:paraId="4C7D981A"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0940EE12" w14:textId="77777777" w:rsidR="00387142" w:rsidRPr="008B6A75" w:rsidRDefault="00387142" w:rsidP="00387142">
            <w:pPr>
              <w:rPr>
                <w:sz w:val="20"/>
                <w:szCs w:val="20"/>
              </w:rPr>
            </w:pPr>
            <w:r w:rsidRPr="008B6A75">
              <w:rPr>
                <w:sz w:val="20"/>
                <w:szCs w:val="20"/>
              </w:rPr>
              <w:t>Капитальные вложения в объекты государственной (муниципальной) собственности</w:t>
            </w:r>
          </w:p>
        </w:tc>
        <w:tc>
          <w:tcPr>
            <w:tcW w:w="1559" w:type="dxa"/>
            <w:tcBorders>
              <w:top w:val="nil"/>
              <w:left w:val="single" w:sz="4" w:space="0" w:color="auto"/>
              <w:bottom w:val="single" w:sz="4" w:space="0" w:color="auto"/>
              <w:right w:val="nil"/>
            </w:tcBorders>
            <w:shd w:val="clear" w:color="auto" w:fill="auto"/>
            <w:noWrap/>
            <w:vAlign w:val="center"/>
            <w:hideMark/>
          </w:tcPr>
          <w:p w14:paraId="1AF9ED1A" w14:textId="77777777" w:rsidR="00387142" w:rsidRPr="008B6A75" w:rsidRDefault="00387142" w:rsidP="00387142">
            <w:pPr>
              <w:jc w:val="center"/>
              <w:rPr>
                <w:sz w:val="20"/>
                <w:szCs w:val="20"/>
              </w:rPr>
            </w:pPr>
            <w:r w:rsidRPr="008B6A75">
              <w:rPr>
                <w:sz w:val="20"/>
                <w:szCs w:val="20"/>
              </w:rPr>
              <w:t>17.1.00.70640</w:t>
            </w:r>
          </w:p>
        </w:tc>
        <w:tc>
          <w:tcPr>
            <w:tcW w:w="850" w:type="dxa"/>
            <w:tcBorders>
              <w:top w:val="nil"/>
              <w:left w:val="single" w:sz="4" w:space="0" w:color="auto"/>
              <w:bottom w:val="single" w:sz="4" w:space="0" w:color="auto"/>
              <w:right w:val="nil"/>
            </w:tcBorders>
            <w:shd w:val="clear" w:color="auto" w:fill="auto"/>
            <w:noWrap/>
            <w:vAlign w:val="center"/>
            <w:hideMark/>
          </w:tcPr>
          <w:p w14:paraId="0109B9A5" w14:textId="77777777" w:rsidR="00387142" w:rsidRPr="008B6A75" w:rsidRDefault="00387142" w:rsidP="00387142">
            <w:pPr>
              <w:jc w:val="center"/>
              <w:rPr>
                <w:sz w:val="20"/>
                <w:szCs w:val="20"/>
              </w:rPr>
            </w:pPr>
            <w:r w:rsidRPr="008B6A75">
              <w:rPr>
                <w:sz w:val="20"/>
                <w:szCs w:val="20"/>
              </w:rPr>
              <w:t>400</w:t>
            </w:r>
          </w:p>
        </w:tc>
        <w:tc>
          <w:tcPr>
            <w:tcW w:w="567" w:type="dxa"/>
            <w:tcBorders>
              <w:top w:val="nil"/>
              <w:left w:val="single" w:sz="4" w:space="0" w:color="auto"/>
              <w:bottom w:val="single" w:sz="4" w:space="0" w:color="auto"/>
              <w:right w:val="nil"/>
            </w:tcBorders>
            <w:shd w:val="clear" w:color="auto" w:fill="auto"/>
            <w:noWrap/>
            <w:vAlign w:val="center"/>
            <w:hideMark/>
          </w:tcPr>
          <w:p w14:paraId="6D238F15" w14:textId="77777777" w:rsidR="00387142" w:rsidRPr="008B6A75" w:rsidRDefault="00387142" w:rsidP="00387142">
            <w:pPr>
              <w:jc w:val="center"/>
              <w:rPr>
                <w:sz w:val="20"/>
                <w:szCs w:val="20"/>
              </w:rPr>
            </w:pPr>
            <w:r w:rsidRPr="008B6A75">
              <w:rPr>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083515EA" w14:textId="77777777" w:rsidR="00387142" w:rsidRPr="008B6A75" w:rsidRDefault="00387142" w:rsidP="00387142">
            <w:pPr>
              <w:jc w:val="center"/>
              <w:rPr>
                <w:sz w:val="20"/>
                <w:szCs w:val="20"/>
              </w:rPr>
            </w:pPr>
            <w:r w:rsidRPr="008B6A75">
              <w:rPr>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79665A1" w14:textId="77777777" w:rsidR="00387142" w:rsidRPr="008B6A75" w:rsidRDefault="00387142" w:rsidP="00387142">
            <w:pPr>
              <w:jc w:val="right"/>
              <w:rPr>
                <w:sz w:val="20"/>
                <w:szCs w:val="20"/>
              </w:rPr>
            </w:pPr>
            <w:r w:rsidRPr="008B6A75">
              <w:rPr>
                <w:sz w:val="20"/>
                <w:szCs w:val="20"/>
              </w:rPr>
              <w:t>79 541 980,00</w:t>
            </w:r>
          </w:p>
        </w:tc>
        <w:tc>
          <w:tcPr>
            <w:tcW w:w="851" w:type="dxa"/>
            <w:tcBorders>
              <w:top w:val="nil"/>
              <w:left w:val="single" w:sz="4" w:space="0" w:color="auto"/>
              <w:bottom w:val="single" w:sz="4" w:space="0" w:color="auto"/>
              <w:right w:val="nil"/>
            </w:tcBorders>
            <w:shd w:val="clear" w:color="auto" w:fill="auto"/>
            <w:noWrap/>
            <w:vAlign w:val="center"/>
            <w:hideMark/>
          </w:tcPr>
          <w:p w14:paraId="5FC5D775" w14:textId="77777777" w:rsidR="00387142" w:rsidRPr="008B6A75" w:rsidRDefault="00387142" w:rsidP="00387142">
            <w:pPr>
              <w:jc w:val="right"/>
              <w:rPr>
                <w:sz w:val="20"/>
                <w:szCs w:val="20"/>
              </w:rPr>
            </w:pPr>
            <w:r w:rsidRPr="008B6A75">
              <w:rPr>
                <w:sz w:val="20"/>
                <w:szCs w:val="20"/>
              </w:rPr>
              <w:t>63 677 180,00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43E79B04" w14:textId="77777777" w:rsidR="00387142" w:rsidRPr="008B6A75" w:rsidRDefault="00387142" w:rsidP="00387142">
            <w:pPr>
              <w:jc w:val="right"/>
              <w:rPr>
                <w:sz w:val="20"/>
                <w:szCs w:val="20"/>
              </w:rPr>
            </w:pPr>
            <w:r w:rsidRPr="008B6A75">
              <w:rPr>
                <w:sz w:val="20"/>
                <w:szCs w:val="20"/>
              </w:rPr>
              <w:t>0,00</w:t>
            </w:r>
          </w:p>
        </w:tc>
      </w:tr>
      <w:tr w:rsidR="00387142" w:rsidRPr="008B6A75" w14:paraId="6454C2B5" w14:textId="77777777" w:rsidTr="00387142">
        <w:trPr>
          <w:trHeight w:val="300"/>
        </w:trPr>
        <w:tc>
          <w:tcPr>
            <w:tcW w:w="272" w:type="dxa"/>
            <w:tcBorders>
              <w:top w:val="nil"/>
              <w:left w:val="nil"/>
              <w:bottom w:val="nil"/>
              <w:right w:val="single" w:sz="4" w:space="0" w:color="auto"/>
            </w:tcBorders>
            <w:shd w:val="clear" w:color="auto" w:fill="auto"/>
            <w:noWrap/>
            <w:vAlign w:val="bottom"/>
            <w:hideMark/>
          </w:tcPr>
          <w:p w14:paraId="5FB3BBAB"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0D337E9E" w14:textId="77777777" w:rsidR="00387142" w:rsidRPr="008B6A75" w:rsidRDefault="00387142" w:rsidP="00387142">
            <w:pPr>
              <w:rPr>
                <w:sz w:val="20"/>
                <w:szCs w:val="20"/>
              </w:rPr>
            </w:pPr>
            <w:r w:rsidRPr="008B6A75">
              <w:rPr>
                <w:sz w:val="20"/>
                <w:szCs w:val="20"/>
              </w:rPr>
              <w:t>Бюджетные инвестиции</w:t>
            </w:r>
          </w:p>
        </w:tc>
        <w:tc>
          <w:tcPr>
            <w:tcW w:w="1559" w:type="dxa"/>
            <w:tcBorders>
              <w:top w:val="nil"/>
              <w:left w:val="single" w:sz="4" w:space="0" w:color="auto"/>
              <w:bottom w:val="single" w:sz="4" w:space="0" w:color="auto"/>
              <w:right w:val="nil"/>
            </w:tcBorders>
            <w:shd w:val="clear" w:color="auto" w:fill="auto"/>
            <w:noWrap/>
            <w:vAlign w:val="center"/>
            <w:hideMark/>
          </w:tcPr>
          <w:p w14:paraId="0B8D31AB" w14:textId="77777777" w:rsidR="00387142" w:rsidRPr="008B6A75" w:rsidRDefault="00387142" w:rsidP="00387142">
            <w:pPr>
              <w:jc w:val="center"/>
              <w:rPr>
                <w:sz w:val="20"/>
                <w:szCs w:val="20"/>
              </w:rPr>
            </w:pPr>
            <w:r w:rsidRPr="008B6A75">
              <w:rPr>
                <w:sz w:val="20"/>
                <w:szCs w:val="20"/>
              </w:rPr>
              <w:t>17.1.00.70640</w:t>
            </w:r>
          </w:p>
        </w:tc>
        <w:tc>
          <w:tcPr>
            <w:tcW w:w="850" w:type="dxa"/>
            <w:tcBorders>
              <w:top w:val="nil"/>
              <w:left w:val="single" w:sz="4" w:space="0" w:color="auto"/>
              <w:bottom w:val="single" w:sz="4" w:space="0" w:color="auto"/>
              <w:right w:val="nil"/>
            </w:tcBorders>
            <w:shd w:val="clear" w:color="auto" w:fill="auto"/>
            <w:noWrap/>
            <w:vAlign w:val="center"/>
            <w:hideMark/>
          </w:tcPr>
          <w:p w14:paraId="42B71E6D" w14:textId="77777777" w:rsidR="00387142" w:rsidRPr="008B6A75" w:rsidRDefault="00387142" w:rsidP="00387142">
            <w:pPr>
              <w:jc w:val="center"/>
              <w:rPr>
                <w:sz w:val="20"/>
                <w:szCs w:val="20"/>
              </w:rPr>
            </w:pPr>
            <w:r w:rsidRPr="008B6A75">
              <w:rPr>
                <w:sz w:val="20"/>
                <w:szCs w:val="20"/>
              </w:rPr>
              <w:t>410</w:t>
            </w:r>
          </w:p>
        </w:tc>
        <w:tc>
          <w:tcPr>
            <w:tcW w:w="567" w:type="dxa"/>
            <w:tcBorders>
              <w:top w:val="nil"/>
              <w:left w:val="single" w:sz="4" w:space="0" w:color="auto"/>
              <w:bottom w:val="single" w:sz="4" w:space="0" w:color="auto"/>
              <w:right w:val="nil"/>
            </w:tcBorders>
            <w:shd w:val="clear" w:color="auto" w:fill="auto"/>
            <w:noWrap/>
            <w:vAlign w:val="center"/>
            <w:hideMark/>
          </w:tcPr>
          <w:p w14:paraId="06170302" w14:textId="77777777" w:rsidR="00387142" w:rsidRPr="008B6A75" w:rsidRDefault="00387142" w:rsidP="00387142">
            <w:pPr>
              <w:jc w:val="center"/>
              <w:rPr>
                <w:sz w:val="20"/>
                <w:szCs w:val="20"/>
              </w:rPr>
            </w:pPr>
            <w:r w:rsidRPr="008B6A75">
              <w:rPr>
                <w:sz w:val="20"/>
                <w:szCs w:val="20"/>
              </w:rPr>
              <w:t>05</w:t>
            </w:r>
          </w:p>
        </w:tc>
        <w:tc>
          <w:tcPr>
            <w:tcW w:w="567" w:type="dxa"/>
            <w:tcBorders>
              <w:top w:val="nil"/>
              <w:left w:val="single" w:sz="4" w:space="0" w:color="auto"/>
              <w:bottom w:val="single" w:sz="4" w:space="0" w:color="auto"/>
              <w:right w:val="nil"/>
            </w:tcBorders>
            <w:shd w:val="clear" w:color="auto" w:fill="auto"/>
            <w:noWrap/>
            <w:vAlign w:val="center"/>
            <w:hideMark/>
          </w:tcPr>
          <w:p w14:paraId="3BDB1B2D" w14:textId="77777777" w:rsidR="00387142" w:rsidRPr="008B6A75" w:rsidRDefault="00387142" w:rsidP="00387142">
            <w:pPr>
              <w:jc w:val="center"/>
              <w:rPr>
                <w:sz w:val="20"/>
                <w:szCs w:val="20"/>
              </w:rPr>
            </w:pPr>
            <w:r w:rsidRPr="008B6A75">
              <w:rPr>
                <w:sz w:val="20"/>
                <w:szCs w:val="20"/>
              </w:rPr>
              <w:t>02</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FAE50B5" w14:textId="77777777" w:rsidR="00387142" w:rsidRPr="008B6A75" w:rsidRDefault="00387142" w:rsidP="00387142">
            <w:pPr>
              <w:jc w:val="right"/>
              <w:rPr>
                <w:sz w:val="20"/>
                <w:szCs w:val="20"/>
              </w:rPr>
            </w:pPr>
            <w:r w:rsidRPr="008B6A75">
              <w:rPr>
                <w:sz w:val="20"/>
                <w:szCs w:val="20"/>
              </w:rPr>
              <w:t>79 541 980,00</w:t>
            </w:r>
          </w:p>
        </w:tc>
        <w:tc>
          <w:tcPr>
            <w:tcW w:w="851" w:type="dxa"/>
            <w:tcBorders>
              <w:top w:val="nil"/>
              <w:left w:val="single" w:sz="4" w:space="0" w:color="auto"/>
              <w:bottom w:val="single" w:sz="4" w:space="0" w:color="auto"/>
              <w:right w:val="nil"/>
            </w:tcBorders>
            <w:shd w:val="clear" w:color="auto" w:fill="auto"/>
            <w:noWrap/>
            <w:vAlign w:val="center"/>
            <w:hideMark/>
          </w:tcPr>
          <w:p w14:paraId="3D5B14E8" w14:textId="77777777" w:rsidR="00387142" w:rsidRPr="008B6A75" w:rsidRDefault="00387142" w:rsidP="00387142">
            <w:pPr>
              <w:jc w:val="right"/>
              <w:rPr>
                <w:sz w:val="20"/>
                <w:szCs w:val="20"/>
              </w:rPr>
            </w:pPr>
            <w:r w:rsidRPr="008B6A75">
              <w:rPr>
                <w:sz w:val="20"/>
                <w:szCs w:val="20"/>
              </w:rPr>
              <w:t>63 677 180,00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6A3DEA5C" w14:textId="77777777" w:rsidR="00387142" w:rsidRPr="008B6A75" w:rsidRDefault="00387142" w:rsidP="00387142">
            <w:pPr>
              <w:jc w:val="right"/>
              <w:rPr>
                <w:sz w:val="20"/>
                <w:szCs w:val="20"/>
              </w:rPr>
            </w:pPr>
            <w:r w:rsidRPr="008B6A75">
              <w:rPr>
                <w:sz w:val="20"/>
                <w:szCs w:val="20"/>
              </w:rPr>
              <w:t>0,00</w:t>
            </w:r>
          </w:p>
        </w:tc>
      </w:tr>
      <w:tr w:rsidR="00387142" w:rsidRPr="008B6A75" w14:paraId="49CDF60B" w14:textId="77777777" w:rsidTr="00387142">
        <w:trPr>
          <w:trHeight w:val="2295"/>
        </w:trPr>
        <w:tc>
          <w:tcPr>
            <w:tcW w:w="272" w:type="dxa"/>
            <w:tcBorders>
              <w:top w:val="nil"/>
              <w:left w:val="nil"/>
              <w:bottom w:val="nil"/>
              <w:right w:val="single" w:sz="4" w:space="0" w:color="auto"/>
            </w:tcBorders>
            <w:shd w:val="clear" w:color="auto" w:fill="auto"/>
            <w:noWrap/>
            <w:vAlign w:val="bottom"/>
            <w:hideMark/>
          </w:tcPr>
          <w:p w14:paraId="22BE7A30"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00625484" w14:textId="77777777" w:rsidR="00387142" w:rsidRPr="008B6A75" w:rsidRDefault="00387142" w:rsidP="00387142">
            <w:pPr>
              <w:rPr>
                <w:bCs/>
                <w:sz w:val="20"/>
                <w:szCs w:val="20"/>
              </w:rPr>
            </w:pPr>
            <w:proofErr w:type="spellStart"/>
            <w:r w:rsidRPr="008B6A75">
              <w:rPr>
                <w:bCs/>
                <w:sz w:val="20"/>
                <w:szCs w:val="20"/>
              </w:rPr>
              <w:t>Софинансирование</w:t>
            </w:r>
            <w:proofErr w:type="spellEnd"/>
            <w:r w:rsidRPr="008B6A75">
              <w:rPr>
                <w:bCs/>
                <w:sz w:val="20"/>
                <w:szCs w:val="20"/>
              </w:rPr>
              <w:t xml:space="preserve"> местного бюджета на реализацию мероприятий по строительству и реконструкции объектов централизованных систем холодного водоснабжения и водоотведения подпрограммы "Чистая вода" государственной программы Новосибирской области "Жилищно-коммунальное хозяйство Новосибирской области"</w:t>
            </w:r>
          </w:p>
        </w:tc>
        <w:tc>
          <w:tcPr>
            <w:tcW w:w="1559" w:type="dxa"/>
            <w:tcBorders>
              <w:top w:val="nil"/>
              <w:left w:val="single" w:sz="4" w:space="0" w:color="auto"/>
              <w:bottom w:val="single" w:sz="4" w:space="0" w:color="auto"/>
              <w:right w:val="nil"/>
            </w:tcBorders>
            <w:shd w:val="clear" w:color="auto" w:fill="auto"/>
            <w:noWrap/>
            <w:vAlign w:val="center"/>
            <w:hideMark/>
          </w:tcPr>
          <w:p w14:paraId="5750ED98" w14:textId="77777777" w:rsidR="00387142" w:rsidRPr="008B6A75" w:rsidRDefault="00387142" w:rsidP="00387142">
            <w:pPr>
              <w:jc w:val="center"/>
              <w:rPr>
                <w:bCs/>
                <w:sz w:val="20"/>
                <w:szCs w:val="20"/>
              </w:rPr>
            </w:pPr>
            <w:r w:rsidRPr="008B6A75">
              <w:rPr>
                <w:bCs/>
                <w:sz w:val="20"/>
                <w:szCs w:val="20"/>
              </w:rPr>
              <w:t>17.1.00.S0640</w:t>
            </w:r>
          </w:p>
        </w:tc>
        <w:tc>
          <w:tcPr>
            <w:tcW w:w="850" w:type="dxa"/>
            <w:tcBorders>
              <w:top w:val="nil"/>
              <w:left w:val="single" w:sz="4" w:space="0" w:color="auto"/>
              <w:bottom w:val="single" w:sz="4" w:space="0" w:color="auto"/>
              <w:right w:val="nil"/>
            </w:tcBorders>
            <w:shd w:val="clear" w:color="auto" w:fill="auto"/>
            <w:noWrap/>
            <w:vAlign w:val="center"/>
            <w:hideMark/>
          </w:tcPr>
          <w:p w14:paraId="56B7CF6A" w14:textId="77777777" w:rsidR="00387142" w:rsidRPr="008B6A75" w:rsidRDefault="00387142" w:rsidP="00387142">
            <w:pPr>
              <w:jc w:val="center"/>
              <w:rPr>
                <w:bCs/>
                <w:sz w:val="20"/>
                <w:szCs w:val="20"/>
              </w:rPr>
            </w:pPr>
            <w:r w:rsidRPr="008B6A75">
              <w:rPr>
                <w:bCs/>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649CECA6" w14:textId="77777777" w:rsidR="00387142" w:rsidRPr="008B6A75" w:rsidRDefault="00387142" w:rsidP="00387142">
            <w:pPr>
              <w:jc w:val="center"/>
              <w:rPr>
                <w:bCs/>
                <w:sz w:val="20"/>
                <w:szCs w:val="20"/>
              </w:rPr>
            </w:pPr>
            <w:r w:rsidRPr="008B6A75">
              <w:rPr>
                <w:bCs/>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732F7FA8" w14:textId="77777777" w:rsidR="00387142" w:rsidRPr="008B6A75" w:rsidRDefault="00387142" w:rsidP="00387142">
            <w:pPr>
              <w:jc w:val="center"/>
              <w:rPr>
                <w:bCs/>
                <w:sz w:val="20"/>
                <w:szCs w:val="20"/>
              </w:rPr>
            </w:pPr>
            <w:r w:rsidRPr="008B6A75">
              <w:rPr>
                <w:bCs/>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0414AB1" w14:textId="77777777" w:rsidR="00387142" w:rsidRPr="008B6A75" w:rsidRDefault="00387142" w:rsidP="00387142">
            <w:pPr>
              <w:jc w:val="right"/>
              <w:rPr>
                <w:bCs/>
                <w:sz w:val="20"/>
                <w:szCs w:val="20"/>
              </w:rPr>
            </w:pPr>
            <w:r w:rsidRPr="008B6A75">
              <w:rPr>
                <w:bCs/>
                <w:sz w:val="20"/>
                <w:szCs w:val="20"/>
              </w:rPr>
              <w:t>1 623 334,29</w:t>
            </w:r>
          </w:p>
        </w:tc>
        <w:tc>
          <w:tcPr>
            <w:tcW w:w="851" w:type="dxa"/>
            <w:tcBorders>
              <w:top w:val="nil"/>
              <w:left w:val="single" w:sz="4" w:space="0" w:color="auto"/>
              <w:bottom w:val="single" w:sz="4" w:space="0" w:color="auto"/>
              <w:right w:val="nil"/>
            </w:tcBorders>
            <w:shd w:val="clear" w:color="auto" w:fill="auto"/>
            <w:noWrap/>
            <w:vAlign w:val="center"/>
            <w:hideMark/>
          </w:tcPr>
          <w:p w14:paraId="63DB291D" w14:textId="77777777" w:rsidR="00387142" w:rsidRPr="008B6A75" w:rsidRDefault="00387142" w:rsidP="00387142">
            <w:pPr>
              <w:jc w:val="right"/>
              <w:rPr>
                <w:bCs/>
                <w:sz w:val="20"/>
                <w:szCs w:val="20"/>
              </w:rPr>
            </w:pPr>
            <w:r w:rsidRPr="008B6A75">
              <w:rPr>
                <w:bCs/>
                <w:sz w:val="20"/>
                <w:szCs w:val="20"/>
              </w:rPr>
              <w:t>1 299 534,29</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69C51BF2" w14:textId="77777777" w:rsidR="00387142" w:rsidRPr="008B6A75" w:rsidRDefault="00387142" w:rsidP="00387142">
            <w:pPr>
              <w:jc w:val="right"/>
              <w:rPr>
                <w:bCs/>
                <w:sz w:val="20"/>
                <w:szCs w:val="20"/>
              </w:rPr>
            </w:pPr>
            <w:r w:rsidRPr="008B6A75">
              <w:rPr>
                <w:bCs/>
                <w:sz w:val="20"/>
                <w:szCs w:val="20"/>
              </w:rPr>
              <w:t>0,00</w:t>
            </w:r>
          </w:p>
        </w:tc>
      </w:tr>
      <w:tr w:rsidR="00387142" w:rsidRPr="008B6A75" w14:paraId="5FDF90EE" w14:textId="77777777" w:rsidTr="00387142">
        <w:trPr>
          <w:trHeight w:val="870"/>
        </w:trPr>
        <w:tc>
          <w:tcPr>
            <w:tcW w:w="272" w:type="dxa"/>
            <w:tcBorders>
              <w:top w:val="nil"/>
              <w:left w:val="nil"/>
              <w:bottom w:val="nil"/>
              <w:right w:val="single" w:sz="4" w:space="0" w:color="auto"/>
            </w:tcBorders>
            <w:shd w:val="clear" w:color="auto" w:fill="auto"/>
            <w:noWrap/>
            <w:vAlign w:val="bottom"/>
            <w:hideMark/>
          </w:tcPr>
          <w:p w14:paraId="7D64E9BF"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236837DA" w14:textId="77777777" w:rsidR="00387142" w:rsidRPr="008B6A75" w:rsidRDefault="00387142" w:rsidP="00387142">
            <w:pPr>
              <w:rPr>
                <w:sz w:val="20"/>
                <w:szCs w:val="20"/>
              </w:rPr>
            </w:pPr>
            <w:r w:rsidRPr="008B6A75">
              <w:rPr>
                <w:sz w:val="20"/>
                <w:szCs w:val="20"/>
              </w:rPr>
              <w:t>Капитальные вложения в объекты государственной (муниципальной) собственности</w:t>
            </w:r>
          </w:p>
        </w:tc>
        <w:tc>
          <w:tcPr>
            <w:tcW w:w="1559" w:type="dxa"/>
            <w:tcBorders>
              <w:top w:val="nil"/>
              <w:left w:val="single" w:sz="4" w:space="0" w:color="auto"/>
              <w:bottom w:val="single" w:sz="4" w:space="0" w:color="auto"/>
              <w:right w:val="nil"/>
            </w:tcBorders>
            <w:shd w:val="clear" w:color="auto" w:fill="auto"/>
            <w:noWrap/>
            <w:vAlign w:val="center"/>
            <w:hideMark/>
          </w:tcPr>
          <w:p w14:paraId="70337C96" w14:textId="77777777" w:rsidR="00387142" w:rsidRPr="008B6A75" w:rsidRDefault="00387142" w:rsidP="00387142">
            <w:pPr>
              <w:jc w:val="center"/>
              <w:rPr>
                <w:sz w:val="20"/>
                <w:szCs w:val="20"/>
              </w:rPr>
            </w:pPr>
            <w:r w:rsidRPr="008B6A75">
              <w:rPr>
                <w:sz w:val="20"/>
                <w:szCs w:val="20"/>
              </w:rPr>
              <w:t>17.1.00.S0640</w:t>
            </w:r>
          </w:p>
        </w:tc>
        <w:tc>
          <w:tcPr>
            <w:tcW w:w="850" w:type="dxa"/>
            <w:tcBorders>
              <w:top w:val="nil"/>
              <w:left w:val="single" w:sz="4" w:space="0" w:color="auto"/>
              <w:bottom w:val="single" w:sz="4" w:space="0" w:color="auto"/>
              <w:right w:val="nil"/>
            </w:tcBorders>
            <w:shd w:val="clear" w:color="auto" w:fill="auto"/>
            <w:noWrap/>
            <w:vAlign w:val="center"/>
            <w:hideMark/>
          </w:tcPr>
          <w:p w14:paraId="023F70E5" w14:textId="77777777" w:rsidR="00387142" w:rsidRPr="008B6A75" w:rsidRDefault="00387142" w:rsidP="00387142">
            <w:pPr>
              <w:jc w:val="center"/>
              <w:rPr>
                <w:sz w:val="20"/>
                <w:szCs w:val="20"/>
              </w:rPr>
            </w:pPr>
            <w:r w:rsidRPr="008B6A75">
              <w:rPr>
                <w:sz w:val="20"/>
                <w:szCs w:val="20"/>
              </w:rPr>
              <w:t>400</w:t>
            </w:r>
          </w:p>
        </w:tc>
        <w:tc>
          <w:tcPr>
            <w:tcW w:w="567" w:type="dxa"/>
            <w:tcBorders>
              <w:top w:val="nil"/>
              <w:left w:val="single" w:sz="4" w:space="0" w:color="auto"/>
              <w:bottom w:val="single" w:sz="4" w:space="0" w:color="auto"/>
              <w:right w:val="nil"/>
            </w:tcBorders>
            <w:shd w:val="clear" w:color="auto" w:fill="auto"/>
            <w:noWrap/>
            <w:vAlign w:val="center"/>
            <w:hideMark/>
          </w:tcPr>
          <w:p w14:paraId="56DAB1F8" w14:textId="77777777" w:rsidR="00387142" w:rsidRPr="008B6A75" w:rsidRDefault="00387142" w:rsidP="00387142">
            <w:pPr>
              <w:jc w:val="center"/>
              <w:rPr>
                <w:sz w:val="20"/>
                <w:szCs w:val="20"/>
              </w:rPr>
            </w:pPr>
            <w:r w:rsidRPr="008B6A75">
              <w:rPr>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1EEA5A74" w14:textId="77777777" w:rsidR="00387142" w:rsidRPr="008B6A75" w:rsidRDefault="00387142" w:rsidP="00387142">
            <w:pPr>
              <w:jc w:val="center"/>
              <w:rPr>
                <w:sz w:val="20"/>
                <w:szCs w:val="20"/>
              </w:rPr>
            </w:pPr>
            <w:r w:rsidRPr="008B6A75">
              <w:rPr>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F9CD914" w14:textId="77777777" w:rsidR="00387142" w:rsidRPr="008B6A75" w:rsidRDefault="00387142" w:rsidP="00387142">
            <w:pPr>
              <w:jc w:val="right"/>
              <w:rPr>
                <w:sz w:val="20"/>
                <w:szCs w:val="20"/>
              </w:rPr>
            </w:pPr>
            <w:r w:rsidRPr="008B6A75">
              <w:rPr>
                <w:sz w:val="20"/>
                <w:szCs w:val="20"/>
              </w:rPr>
              <w:t>1 623 334,29</w:t>
            </w:r>
          </w:p>
        </w:tc>
        <w:tc>
          <w:tcPr>
            <w:tcW w:w="851" w:type="dxa"/>
            <w:tcBorders>
              <w:top w:val="nil"/>
              <w:left w:val="single" w:sz="4" w:space="0" w:color="auto"/>
              <w:bottom w:val="single" w:sz="4" w:space="0" w:color="auto"/>
              <w:right w:val="nil"/>
            </w:tcBorders>
            <w:shd w:val="clear" w:color="auto" w:fill="auto"/>
            <w:noWrap/>
            <w:vAlign w:val="center"/>
            <w:hideMark/>
          </w:tcPr>
          <w:p w14:paraId="5F408BF0" w14:textId="77777777" w:rsidR="00387142" w:rsidRPr="008B6A75" w:rsidRDefault="00387142" w:rsidP="00387142">
            <w:pPr>
              <w:jc w:val="right"/>
              <w:rPr>
                <w:sz w:val="20"/>
                <w:szCs w:val="20"/>
              </w:rPr>
            </w:pPr>
            <w:r w:rsidRPr="008B6A75">
              <w:rPr>
                <w:sz w:val="20"/>
                <w:szCs w:val="20"/>
              </w:rPr>
              <w:t>1 299 534,29</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4A454E74" w14:textId="77777777" w:rsidR="00387142" w:rsidRPr="008B6A75" w:rsidRDefault="00387142" w:rsidP="00387142">
            <w:pPr>
              <w:jc w:val="right"/>
              <w:rPr>
                <w:sz w:val="20"/>
                <w:szCs w:val="20"/>
              </w:rPr>
            </w:pPr>
            <w:r w:rsidRPr="008B6A75">
              <w:rPr>
                <w:sz w:val="20"/>
                <w:szCs w:val="20"/>
              </w:rPr>
              <w:t>0,00</w:t>
            </w:r>
          </w:p>
        </w:tc>
      </w:tr>
      <w:tr w:rsidR="00387142" w:rsidRPr="008B6A75" w14:paraId="524A0E02" w14:textId="77777777" w:rsidTr="00387142">
        <w:trPr>
          <w:trHeight w:val="300"/>
        </w:trPr>
        <w:tc>
          <w:tcPr>
            <w:tcW w:w="272" w:type="dxa"/>
            <w:tcBorders>
              <w:top w:val="nil"/>
              <w:left w:val="nil"/>
              <w:bottom w:val="nil"/>
              <w:right w:val="single" w:sz="4" w:space="0" w:color="auto"/>
            </w:tcBorders>
            <w:shd w:val="clear" w:color="auto" w:fill="auto"/>
            <w:noWrap/>
            <w:vAlign w:val="bottom"/>
            <w:hideMark/>
          </w:tcPr>
          <w:p w14:paraId="1EC7DDAB"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748FAF7A" w14:textId="77777777" w:rsidR="00387142" w:rsidRPr="008B6A75" w:rsidRDefault="00387142" w:rsidP="00387142">
            <w:pPr>
              <w:rPr>
                <w:sz w:val="20"/>
                <w:szCs w:val="20"/>
              </w:rPr>
            </w:pPr>
            <w:r w:rsidRPr="008B6A75">
              <w:rPr>
                <w:sz w:val="20"/>
                <w:szCs w:val="20"/>
              </w:rPr>
              <w:t>Бюджетные инвестиции</w:t>
            </w:r>
          </w:p>
        </w:tc>
        <w:tc>
          <w:tcPr>
            <w:tcW w:w="1559" w:type="dxa"/>
            <w:tcBorders>
              <w:top w:val="nil"/>
              <w:left w:val="single" w:sz="4" w:space="0" w:color="auto"/>
              <w:bottom w:val="single" w:sz="4" w:space="0" w:color="auto"/>
              <w:right w:val="nil"/>
            </w:tcBorders>
            <w:shd w:val="clear" w:color="auto" w:fill="auto"/>
            <w:noWrap/>
            <w:vAlign w:val="center"/>
            <w:hideMark/>
          </w:tcPr>
          <w:p w14:paraId="474BCAAA" w14:textId="77777777" w:rsidR="00387142" w:rsidRPr="008B6A75" w:rsidRDefault="00387142" w:rsidP="00387142">
            <w:pPr>
              <w:jc w:val="center"/>
              <w:rPr>
                <w:sz w:val="20"/>
                <w:szCs w:val="20"/>
              </w:rPr>
            </w:pPr>
            <w:r w:rsidRPr="008B6A75">
              <w:rPr>
                <w:sz w:val="20"/>
                <w:szCs w:val="20"/>
              </w:rPr>
              <w:t>17.1.00.S0640</w:t>
            </w:r>
          </w:p>
        </w:tc>
        <w:tc>
          <w:tcPr>
            <w:tcW w:w="850" w:type="dxa"/>
            <w:tcBorders>
              <w:top w:val="nil"/>
              <w:left w:val="single" w:sz="4" w:space="0" w:color="auto"/>
              <w:bottom w:val="single" w:sz="4" w:space="0" w:color="auto"/>
              <w:right w:val="nil"/>
            </w:tcBorders>
            <w:shd w:val="clear" w:color="auto" w:fill="auto"/>
            <w:noWrap/>
            <w:vAlign w:val="center"/>
            <w:hideMark/>
          </w:tcPr>
          <w:p w14:paraId="41AAB29A" w14:textId="77777777" w:rsidR="00387142" w:rsidRPr="008B6A75" w:rsidRDefault="00387142" w:rsidP="00387142">
            <w:pPr>
              <w:jc w:val="center"/>
              <w:rPr>
                <w:sz w:val="20"/>
                <w:szCs w:val="20"/>
              </w:rPr>
            </w:pPr>
            <w:r w:rsidRPr="008B6A75">
              <w:rPr>
                <w:sz w:val="20"/>
                <w:szCs w:val="20"/>
              </w:rPr>
              <w:t>410</w:t>
            </w:r>
          </w:p>
        </w:tc>
        <w:tc>
          <w:tcPr>
            <w:tcW w:w="567" w:type="dxa"/>
            <w:tcBorders>
              <w:top w:val="nil"/>
              <w:left w:val="single" w:sz="4" w:space="0" w:color="auto"/>
              <w:bottom w:val="single" w:sz="4" w:space="0" w:color="auto"/>
              <w:right w:val="nil"/>
            </w:tcBorders>
            <w:shd w:val="clear" w:color="auto" w:fill="auto"/>
            <w:noWrap/>
            <w:vAlign w:val="center"/>
            <w:hideMark/>
          </w:tcPr>
          <w:p w14:paraId="4C92856D" w14:textId="77777777" w:rsidR="00387142" w:rsidRPr="008B6A75" w:rsidRDefault="00387142" w:rsidP="00387142">
            <w:pPr>
              <w:jc w:val="center"/>
              <w:rPr>
                <w:sz w:val="20"/>
                <w:szCs w:val="20"/>
              </w:rPr>
            </w:pPr>
            <w:r w:rsidRPr="008B6A75">
              <w:rPr>
                <w:sz w:val="20"/>
                <w:szCs w:val="20"/>
              </w:rPr>
              <w:t>05</w:t>
            </w:r>
          </w:p>
        </w:tc>
        <w:tc>
          <w:tcPr>
            <w:tcW w:w="567" w:type="dxa"/>
            <w:tcBorders>
              <w:top w:val="nil"/>
              <w:left w:val="single" w:sz="4" w:space="0" w:color="auto"/>
              <w:bottom w:val="single" w:sz="4" w:space="0" w:color="auto"/>
              <w:right w:val="nil"/>
            </w:tcBorders>
            <w:shd w:val="clear" w:color="auto" w:fill="auto"/>
            <w:noWrap/>
            <w:vAlign w:val="center"/>
            <w:hideMark/>
          </w:tcPr>
          <w:p w14:paraId="2C158B61" w14:textId="77777777" w:rsidR="00387142" w:rsidRPr="008B6A75" w:rsidRDefault="00387142" w:rsidP="00387142">
            <w:pPr>
              <w:jc w:val="center"/>
              <w:rPr>
                <w:sz w:val="20"/>
                <w:szCs w:val="20"/>
              </w:rPr>
            </w:pPr>
            <w:r w:rsidRPr="008B6A75">
              <w:rPr>
                <w:sz w:val="20"/>
                <w:szCs w:val="20"/>
              </w:rPr>
              <w:t>02</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190C77A" w14:textId="77777777" w:rsidR="00387142" w:rsidRPr="008B6A75" w:rsidRDefault="00387142" w:rsidP="00387142">
            <w:pPr>
              <w:jc w:val="right"/>
              <w:rPr>
                <w:sz w:val="20"/>
                <w:szCs w:val="20"/>
              </w:rPr>
            </w:pPr>
            <w:r w:rsidRPr="008B6A75">
              <w:rPr>
                <w:sz w:val="20"/>
                <w:szCs w:val="20"/>
              </w:rPr>
              <w:t>1 623 334,29</w:t>
            </w:r>
          </w:p>
        </w:tc>
        <w:tc>
          <w:tcPr>
            <w:tcW w:w="851" w:type="dxa"/>
            <w:tcBorders>
              <w:top w:val="nil"/>
              <w:left w:val="single" w:sz="4" w:space="0" w:color="auto"/>
              <w:bottom w:val="single" w:sz="4" w:space="0" w:color="auto"/>
              <w:right w:val="nil"/>
            </w:tcBorders>
            <w:shd w:val="clear" w:color="auto" w:fill="auto"/>
            <w:noWrap/>
            <w:vAlign w:val="center"/>
            <w:hideMark/>
          </w:tcPr>
          <w:p w14:paraId="3A4178D9" w14:textId="77777777" w:rsidR="00387142" w:rsidRPr="008B6A75" w:rsidRDefault="00387142" w:rsidP="00387142">
            <w:pPr>
              <w:jc w:val="right"/>
              <w:rPr>
                <w:sz w:val="20"/>
                <w:szCs w:val="20"/>
              </w:rPr>
            </w:pPr>
            <w:r w:rsidRPr="008B6A75">
              <w:rPr>
                <w:sz w:val="20"/>
                <w:szCs w:val="20"/>
              </w:rPr>
              <w:t>1 299 534,29</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7CC5FB63" w14:textId="77777777" w:rsidR="00387142" w:rsidRPr="008B6A75" w:rsidRDefault="00387142" w:rsidP="00387142">
            <w:pPr>
              <w:jc w:val="right"/>
              <w:rPr>
                <w:sz w:val="20"/>
                <w:szCs w:val="20"/>
              </w:rPr>
            </w:pPr>
            <w:r w:rsidRPr="008B6A75">
              <w:rPr>
                <w:sz w:val="20"/>
                <w:szCs w:val="20"/>
              </w:rPr>
              <w:t>0,00</w:t>
            </w:r>
          </w:p>
        </w:tc>
      </w:tr>
      <w:tr w:rsidR="00387142" w:rsidRPr="008B6A75" w14:paraId="7B636ADA" w14:textId="77777777" w:rsidTr="00387142">
        <w:trPr>
          <w:trHeight w:val="585"/>
        </w:trPr>
        <w:tc>
          <w:tcPr>
            <w:tcW w:w="272" w:type="dxa"/>
            <w:tcBorders>
              <w:top w:val="nil"/>
              <w:left w:val="nil"/>
              <w:bottom w:val="nil"/>
              <w:right w:val="single" w:sz="4" w:space="0" w:color="auto"/>
            </w:tcBorders>
            <w:shd w:val="clear" w:color="auto" w:fill="auto"/>
            <w:noWrap/>
            <w:vAlign w:val="bottom"/>
            <w:hideMark/>
          </w:tcPr>
          <w:p w14:paraId="7E08451B"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1E50099B" w14:textId="77777777" w:rsidR="00387142" w:rsidRPr="008B6A75" w:rsidRDefault="00387142" w:rsidP="00387142">
            <w:pPr>
              <w:rPr>
                <w:bCs/>
                <w:sz w:val="20"/>
                <w:szCs w:val="20"/>
              </w:rPr>
            </w:pPr>
            <w:r w:rsidRPr="008B6A75">
              <w:rPr>
                <w:bCs/>
                <w:sz w:val="20"/>
                <w:szCs w:val="20"/>
              </w:rPr>
              <w:t>Подпрограмма "Благоустройство территории населённых пунктов Куйбышевского района"</w:t>
            </w:r>
          </w:p>
        </w:tc>
        <w:tc>
          <w:tcPr>
            <w:tcW w:w="1559" w:type="dxa"/>
            <w:tcBorders>
              <w:top w:val="nil"/>
              <w:left w:val="single" w:sz="4" w:space="0" w:color="auto"/>
              <w:bottom w:val="single" w:sz="4" w:space="0" w:color="auto"/>
              <w:right w:val="nil"/>
            </w:tcBorders>
            <w:shd w:val="clear" w:color="auto" w:fill="auto"/>
            <w:noWrap/>
            <w:vAlign w:val="center"/>
            <w:hideMark/>
          </w:tcPr>
          <w:p w14:paraId="7F8D4F41" w14:textId="77777777" w:rsidR="00387142" w:rsidRPr="008B6A75" w:rsidRDefault="00387142" w:rsidP="00387142">
            <w:pPr>
              <w:jc w:val="center"/>
              <w:rPr>
                <w:bCs/>
                <w:sz w:val="20"/>
                <w:szCs w:val="20"/>
              </w:rPr>
            </w:pPr>
            <w:r w:rsidRPr="008B6A75">
              <w:rPr>
                <w:bCs/>
                <w:sz w:val="20"/>
                <w:szCs w:val="20"/>
              </w:rPr>
              <w:t>17.2.00.00000</w:t>
            </w:r>
          </w:p>
        </w:tc>
        <w:tc>
          <w:tcPr>
            <w:tcW w:w="850" w:type="dxa"/>
            <w:tcBorders>
              <w:top w:val="nil"/>
              <w:left w:val="single" w:sz="4" w:space="0" w:color="auto"/>
              <w:bottom w:val="single" w:sz="4" w:space="0" w:color="auto"/>
              <w:right w:val="nil"/>
            </w:tcBorders>
            <w:shd w:val="clear" w:color="auto" w:fill="auto"/>
            <w:noWrap/>
            <w:vAlign w:val="center"/>
            <w:hideMark/>
          </w:tcPr>
          <w:p w14:paraId="6B26698C" w14:textId="77777777" w:rsidR="00387142" w:rsidRPr="008B6A75" w:rsidRDefault="00387142" w:rsidP="00387142">
            <w:pPr>
              <w:jc w:val="center"/>
              <w:rPr>
                <w:bCs/>
                <w:sz w:val="20"/>
                <w:szCs w:val="20"/>
              </w:rPr>
            </w:pPr>
            <w:r w:rsidRPr="008B6A75">
              <w:rPr>
                <w:bCs/>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3BAC004B" w14:textId="77777777" w:rsidR="00387142" w:rsidRPr="008B6A75" w:rsidRDefault="00387142" w:rsidP="00387142">
            <w:pPr>
              <w:jc w:val="center"/>
              <w:rPr>
                <w:bCs/>
                <w:sz w:val="20"/>
                <w:szCs w:val="20"/>
              </w:rPr>
            </w:pPr>
            <w:r w:rsidRPr="008B6A75">
              <w:rPr>
                <w:bCs/>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50940E65" w14:textId="77777777" w:rsidR="00387142" w:rsidRPr="008B6A75" w:rsidRDefault="00387142" w:rsidP="00387142">
            <w:pPr>
              <w:jc w:val="center"/>
              <w:rPr>
                <w:bCs/>
                <w:sz w:val="20"/>
                <w:szCs w:val="20"/>
              </w:rPr>
            </w:pPr>
            <w:r w:rsidRPr="008B6A75">
              <w:rPr>
                <w:bCs/>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AF907AA" w14:textId="77777777" w:rsidR="00387142" w:rsidRPr="008B6A75" w:rsidRDefault="00387142" w:rsidP="00387142">
            <w:pPr>
              <w:jc w:val="right"/>
              <w:rPr>
                <w:bCs/>
                <w:sz w:val="20"/>
                <w:szCs w:val="20"/>
              </w:rPr>
            </w:pPr>
            <w:r w:rsidRPr="008B6A75">
              <w:rPr>
                <w:bCs/>
                <w:sz w:val="20"/>
                <w:szCs w:val="20"/>
              </w:rPr>
              <w:t>33 432 073,54</w:t>
            </w:r>
          </w:p>
        </w:tc>
        <w:tc>
          <w:tcPr>
            <w:tcW w:w="851" w:type="dxa"/>
            <w:tcBorders>
              <w:top w:val="nil"/>
              <w:left w:val="single" w:sz="4" w:space="0" w:color="auto"/>
              <w:bottom w:val="single" w:sz="4" w:space="0" w:color="auto"/>
              <w:right w:val="nil"/>
            </w:tcBorders>
            <w:shd w:val="clear" w:color="auto" w:fill="auto"/>
            <w:noWrap/>
            <w:vAlign w:val="center"/>
            <w:hideMark/>
          </w:tcPr>
          <w:p w14:paraId="1EA7EFD5" w14:textId="77777777" w:rsidR="00387142" w:rsidRPr="008B6A75" w:rsidRDefault="00387142" w:rsidP="00387142">
            <w:pPr>
              <w:jc w:val="right"/>
              <w:rPr>
                <w:bCs/>
                <w:sz w:val="20"/>
                <w:szCs w:val="20"/>
              </w:rPr>
            </w:pPr>
            <w:r w:rsidRPr="008B6A75">
              <w:rPr>
                <w:bCs/>
                <w:sz w:val="20"/>
                <w:szCs w:val="20"/>
              </w:rPr>
              <w:t>16 928 200,00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2BA88783" w14:textId="77777777" w:rsidR="00387142" w:rsidRPr="008B6A75" w:rsidRDefault="00387142" w:rsidP="00387142">
            <w:pPr>
              <w:jc w:val="right"/>
              <w:rPr>
                <w:bCs/>
                <w:sz w:val="20"/>
                <w:szCs w:val="20"/>
              </w:rPr>
            </w:pPr>
            <w:r w:rsidRPr="008B6A75">
              <w:rPr>
                <w:bCs/>
                <w:sz w:val="20"/>
                <w:szCs w:val="20"/>
              </w:rPr>
              <w:t>19 361 900,00</w:t>
            </w:r>
          </w:p>
        </w:tc>
      </w:tr>
      <w:tr w:rsidR="00387142" w:rsidRPr="008B6A75" w14:paraId="3E960191" w14:textId="77777777" w:rsidTr="00387142">
        <w:trPr>
          <w:trHeight w:val="870"/>
        </w:trPr>
        <w:tc>
          <w:tcPr>
            <w:tcW w:w="272" w:type="dxa"/>
            <w:tcBorders>
              <w:top w:val="nil"/>
              <w:left w:val="nil"/>
              <w:bottom w:val="nil"/>
              <w:right w:val="single" w:sz="4" w:space="0" w:color="auto"/>
            </w:tcBorders>
            <w:shd w:val="clear" w:color="auto" w:fill="auto"/>
            <w:noWrap/>
            <w:vAlign w:val="bottom"/>
            <w:hideMark/>
          </w:tcPr>
          <w:p w14:paraId="30072B3A"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1E1217A1" w14:textId="77777777" w:rsidR="00387142" w:rsidRPr="008B6A75" w:rsidRDefault="00387142" w:rsidP="00387142">
            <w:pPr>
              <w:rPr>
                <w:bCs/>
                <w:sz w:val="20"/>
                <w:szCs w:val="20"/>
              </w:rPr>
            </w:pPr>
            <w:r w:rsidRPr="008B6A75">
              <w:rPr>
                <w:bCs/>
                <w:sz w:val="20"/>
                <w:szCs w:val="20"/>
              </w:rPr>
              <w:t>Реализация мероприятий подпрограммы "Благоустройство территории населённых пунктов Куйбышевского района"</w:t>
            </w:r>
          </w:p>
        </w:tc>
        <w:tc>
          <w:tcPr>
            <w:tcW w:w="1559" w:type="dxa"/>
            <w:tcBorders>
              <w:top w:val="nil"/>
              <w:left w:val="single" w:sz="4" w:space="0" w:color="auto"/>
              <w:bottom w:val="single" w:sz="4" w:space="0" w:color="auto"/>
              <w:right w:val="nil"/>
            </w:tcBorders>
            <w:shd w:val="clear" w:color="auto" w:fill="auto"/>
            <w:noWrap/>
            <w:vAlign w:val="center"/>
            <w:hideMark/>
          </w:tcPr>
          <w:p w14:paraId="372140DF" w14:textId="77777777" w:rsidR="00387142" w:rsidRPr="008B6A75" w:rsidRDefault="00387142" w:rsidP="00387142">
            <w:pPr>
              <w:jc w:val="center"/>
              <w:rPr>
                <w:bCs/>
                <w:sz w:val="20"/>
                <w:szCs w:val="20"/>
              </w:rPr>
            </w:pPr>
            <w:r w:rsidRPr="008B6A75">
              <w:rPr>
                <w:bCs/>
                <w:sz w:val="20"/>
                <w:szCs w:val="20"/>
              </w:rPr>
              <w:t>17.2.00.05952</w:t>
            </w:r>
          </w:p>
        </w:tc>
        <w:tc>
          <w:tcPr>
            <w:tcW w:w="850" w:type="dxa"/>
            <w:tcBorders>
              <w:top w:val="nil"/>
              <w:left w:val="single" w:sz="4" w:space="0" w:color="auto"/>
              <w:bottom w:val="single" w:sz="4" w:space="0" w:color="auto"/>
              <w:right w:val="nil"/>
            </w:tcBorders>
            <w:shd w:val="clear" w:color="auto" w:fill="auto"/>
            <w:noWrap/>
            <w:vAlign w:val="center"/>
            <w:hideMark/>
          </w:tcPr>
          <w:p w14:paraId="11C28C7F" w14:textId="77777777" w:rsidR="00387142" w:rsidRPr="008B6A75" w:rsidRDefault="00387142" w:rsidP="00387142">
            <w:pPr>
              <w:jc w:val="center"/>
              <w:rPr>
                <w:bCs/>
                <w:sz w:val="20"/>
                <w:szCs w:val="20"/>
              </w:rPr>
            </w:pPr>
            <w:r w:rsidRPr="008B6A75">
              <w:rPr>
                <w:bCs/>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6F94A3AC" w14:textId="77777777" w:rsidR="00387142" w:rsidRPr="008B6A75" w:rsidRDefault="00387142" w:rsidP="00387142">
            <w:pPr>
              <w:jc w:val="center"/>
              <w:rPr>
                <w:bCs/>
                <w:sz w:val="20"/>
                <w:szCs w:val="20"/>
              </w:rPr>
            </w:pPr>
            <w:r w:rsidRPr="008B6A75">
              <w:rPr>
                <w:bCs/>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3457FEE3" w14:textId="77777777" w:rsidR="00387142" w:rsidRPr="008B6A75" w:rsidRDefault="00387142" w:rsidP="00387142">
            <w:pPr>
              <w:jc w:val="center"/>
              <w:rPr>
                <w:bCs/>
                <w:sz w:val="20"/>
                <w:szCs w:val="20"/>
              </w:rPr>
            </w:pPr>
            <w:r w:rsidRPr="008B6A75">
              <w:rPr>
                <w:bCs/>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EDA189E" w14:textId="77777777" w:rsidR="00387142" w:rsidRPr="008B6A75" w:rsidRDefault="00387142" w:rsidP="00387142">
            <w:pPr>
              <w:jc w:val="right"/>
              <w:rPr>
                <w:bCs/>
                <w:sz w:val="20"/>
                <w:szCs w:val="20"/>
              </w:rPr>
            </w:pPr>
            <w:r w:rsidRPr="008B6A75">
              <w:rPr>
                <w:bCs/>
                <w:sz w:val="20"/>
                <w:szCs w:val="20"/>
              </w:rPr>
              <w:t>988 900,00</w:t>
            </w:r>
          </w:p>
        </w:tc>
        <w:tc>
          <w:tcPr>
            <w:tcW w:w="851" w:type="dxa"/>
            <w:tcBorders>
              <w:top w:val="nil"/>
              <w:left w:val="single" w:sz="4" w:space="0" w:color="auto"/>
              <w:bottom w:val="single" w:sz="4" w:space="0" w:color="auto"/>
              <w:right w:val="nil"/>
            </w:tcBorders>
            <w:shd w:val="clear" w:color="auto" w:fill="auto"/>
            <w:noWrap/>
            <w:vAlign w:val="center"/>
            <w:hideMark/>
          </w:tcPr>
          <w:p w14:paraId="7FEF2A2E" w14:textId="77777777" w:rsidR="00387142" w:rsidRPr="008B6A75" w:rsidRDefault="00387142" w:rsidP="00387142">
            <w:pPr>
              <w:jc w:val="right"/>
              <w:rPr>
                <w:bCs/>
                <w:sz w:val="20"/>
                <w:szCs w:val="20"/>
              </w:rPr>
            </w:pPr>
            <w:r w:rsidRPr="008B6A75">
              <w:rPr>
                <w:bCs/>
                <w:sz w:val="20"/>
                <w:szCs w:val="20"/>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15321D2D" w14:textId="77777777" w:rsidR="00387142" w:rsidRPr="008B6A75" w:rsidRDefault="00387142" w:rsidP="00387142">
            <w:pPr>
              <w:jc w:val="right"/>
              <w:rPr>
                <w:bCs/>
                <w:sz w:val="20"/>
                <w:szCs w:val="20"/>
              </w:rPr>
            </w:pPr>
            <w:r w:rsidRPr="008B6A75">
              <w:rPr>
                <w:bCs/>
                <w:sz w:val="20"/>
                <w:szCs w:val="20"/>
              </w:rPr>
              <w:t>0,00</w:t>
            </w:r>
          </w:p>
        </w:tc>
      </w:tr>
      <w:tr w:rsidR="00387142" w:rsidRPr="008B6A75" w14:paraId="72DF0F22" w14:textId="77777777" w:rsidTr="00387142">
        <w:trPr>
          <w:trHeight w:val="300"/>
        </w:trPr>
        <w:tc>
          <w:tcPr>
            <w:tcW w:w="272" w:type="dxa"/>
            <w:tcBorders>
              <w:top w:val="nil"/>
              <w:left w:val="nil"/>
              <w:bottom w:val="nil"/>
              <w:right w:val="single" w:sz="4" w:space="0" w:color="auto"/>
            </w:tcBorders>
            <w:shd w:val="clear" w:color="auto" w:fill="auto"/>
            <w:noWrap/>
            <w:vAlign w:val="bottom"/>
            <w:hideMark/>
          </w:tcPr>
          <w:p w14:paraId="1BC6F6B0"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3AF27DB4" w14:textId="77777777" w:rsidR="00387142" w:rsidRPr="008B6A75" w:rsidRDefault="00387142" w:rsidP="00387142">
            <w:pPr>
              <w:rPr>
                <w:sz w:val="20"/>
                <w:szCs w:val="20"/>
              </w:rPr>
            </w:pPr>
            <w:r w:rsidRPr="008B6A75">
              <w:rPr>
                <w:sz w:val="20"/>
                <w:szCs w:val="20"/>
              </w:rPr>
              <w:t>Межбюджетные трансферты</w:t>
            </w:r>
          </w:p>
        </w:tc>
        <w:tc>
          <w:tcPr>
            <w:tcW w:w="1559" w:type="dxa"/>
            <w:tcBorders>
              <w:top w:val="nil"/>
              <w:left w:val="single" w:sz="4" w:space="0" w:color="auto"/>
              <w:bottom w:val="single" w:sz="4" w:space="0" w:color="auto"/>
              <w:right w:val="nil"/>
            </w:tcBorders>
            <w:shd w:val="clear" w:color="auto" w:fill="auto"/>
            <w:noWrap/>
            <w:vAlign w:val="center"/>
            <w:hideMark/>
          </w:tcPr>
          <w:p w14:paraId="03CD2BF9" w14:textId="77777777" w:rsidR="00387142" w:rsidRPr="008B6A75" w:rsidRDefault="00387142" w:rsidP="00387142">
            <w:pPr>
              <w:jc w:val="center"/>
              <w:rPr>
                <w:sz w:val="20"/>
                <w:szCs w:val="20"/>
              </w:rPr>
            </w:pPr>
            <w:r w:rsidRPr="008B6A75">
              <w:rPr>
                <w:sz w:val="20"/>
                <w:szCs w:val="20"/>
              </w:rPr>
              <w:t>17.2.00.05952</w:t>
            </w:r>
          </w:p>
        </w:tc>
        <w:tc>
          <w:tcPr>
            <w:tcW w:w="850" w:type="dxa"/>
            <w:tcBorders>
              <w:top w:val="nil"/>
              <w:left w:val="single" w:sz="4" w:space="0" w:color="auto"/>
              <w:bottom w:val="single" w:sz="4" w:space="0" w:color="auto"/>
              <w:right w:val="nil"/>
            </w:tcBorders>
            <w:shd w:val="clear" w:color="auto" w:fill="auto"/>
            <w:noWrap/>
            <w:vAlign w:val="center"/>
            <w:hideMark/>
          </w:tcPr>
          <w:p w14:paraId="711CB12B" w14:textId="77777777" w:rsidR="00387142" w:rsidRPr="008B6A75" w:rsidRDefault="00387142" w:rsidP="00387142">
            <w:pPr>
              <w:jc w:val="center"/>
              <w:rPr>
                <w:sz w:val="20"/>
                <w:szCs w:val="20"/>
              </w:rPr>
            </w:pPr>
            <w:r w:rsidRPr="008B6A75">
              <w:rPr>
                <w:sz w:val="20"/>
                <w:szCs w:val="20"/>
              </w:rPr>
              <w:t>500</w:t>
            </w:r>
          </w:p>
        </w:tc>
        <w:tc>
          <w:tcPr>
            <w:tcW w:w="567" w:type="dxa"/>
            <w:tcBorders>
              <w:top w:val="nil"/>
              <w:left w:val="single" w:sz="4" w:space="0" w:color="auto"/>
              <w:bottom w:val="single" w:sz="4" w:space="0" w:color="auto"/>
              <w:right w:val="nil"/>
            </w:tcBorders>
            <w:shd w:val="clear" w:color="auto" w:fill="auto"/>
            <w:noWrap/>
            <w:vAlign w:val="center"/>
            <w:hideMark/>
          </w:tcPr>
          <w:p w14:paraId="74C5A3EC" w14:textId="77777777" w:rsidR="00387142" w:rsidRPr="008B6A75" w:rsidRDefault="00387142" w:rsidP="00387142">
            <w:pPr>
              <w:jc w:val="center"/>
              <w:rPr>
                <w:sz w:val="20"/>
                <w:szCs w:val="20"/>
              </w:rPr>
            </w:pPr>
            <w:r w:rsidRPr="008B6A75">
              <w:rPr>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5D2E84C0" w14:textId="77777777" w:rsidR="00387142" w:rsidRPr="008B6A75" w:rsidRDefault="00387142" w:rsidP="00387142">
            <w:pPr>
              <w:jc w:val="center"/>
              <w:rPr>
                <w:sz w:val="20"/>
                <w:szCs w:val="20"/>
              </w:rPr>
            </w:pPr>
            <w:r w:rsidRPr="008B6A75">
              <w:rPr>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CA7A8DE" w14:textId="77777777" w:rsidR="00387142" w:rsidRPr="008B6A75" w:rsidRDefault="00387142" w:rsidP="00387142">
            <w:pPr>
              <w:jc w:val="right"/>
              <w:rPr>
                <w:sz w:val="20"/>
                <w:szCs w:val="20"/>
              </w:rPr>
            </w:pPr>
            <w:r w:rsidRPr="008B6A75">
              <w:rPr>
                <w:sz w:val="20"/>
                <w:szCs w:val="20"/>
              </w:rPr>
              <w:t>988 900,00</w:t>
            </w:r>
          </w:p>
        </w:tc>
        <w:tc>
          <w:tcPr>
            <w:tcW w:w="851" w:type="dxa"/>
            <w:tcBorders>
              <w:top w:val="nil"/>
              <w:left w:val="single" w:sz="4" w:space="0" w:color="auto"/>
              <w:bottom w:val="single" w:sz="4" w:space="0" w:color="auto"/>
              <w:right w:val="nil"/>
            </w:tcBorders>
            <w:shd w:val="clear" w:color="auto" w:fill="auto"/>
            <w:noWrap/>
            <w:vAlign w:val="center"/>
            <w:hideMark/>
          </w:tcPr>
          <w:p w14:paraId="270634CD" w14:textId="77777777" w:rsidR="00387142" w:rsidRPr="008B6A75" w:rsidRDefault="00387142" w:rsidP="00387142">
            <w:pPr>
              <w:jc w:val="right"/>
              <w:rPr>
                <w:sz w:val="20"/>
                <w:szCs w:val="20"/>
              </w:rPr>
            </w:pPr>
            <w:r w:rsidRPr="008B6A75">
              <w:rPr>
                <w:sz w:val="20"/>
                <w:szCs w:val="20"/>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34246262" w14:textId="77777777" w:rsidR="00387142" w:rsidRPr="008B6A75" w:rsidRDefault="00387142" w:rsidP="00387142">
            <w:pPr>
              <w:jc w:val="right"/>
              <w:rPr>
                <w:sz w:val="20"/>
                <w:szCs w:val="20"/>
              </w:rPr>
            </w:pPr>
            <w:r w:rsidRPr="008B6A75">
              <w:rPr>
                <w:sz w:val="20"/>
                <w:szCs w:val="20"/>
              </w:rPr>
              <w:t>0,00</w:t>
            </w:r>
          </w:p>
        </w:tc>
      </w:tr>
      <w:tr w:rsidR="00387142" w:rsidRPr="008B6A75" w14:paraId="0FC2F722" w14:textId="77777777" w:rsidTr="00387142">
        <w:trPr>
          <w:trHeight w:val="300"/>
        </w:trPr>
        <w:tc>
          <w:tcPr>
            <w:tcW w:w="272" w:type="dxa"/>
            <w:tcBorders>
              <w:top w:val="nil"/>
              <w:left w:val="nil"/>
              <w:bottom w:val="nil"/>
              <w:right w:val="single" w:sz="4" w:space="0" w:color="auto"/>
            </w:tcBorders>
            <w:shd w:val="clear" w:color="auto" w:fill="auto"/>
            <w:noWrap/>
            <w:vAlign w:val="bottom"/>
            <w:hideMark/>
          </w:tcPr>
          <w:p w14:paraId="72547AC4"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2DF6B54E" w14:textId="77777777" w:rsidR="00387142" w:rsidRPr="008B6A75" w:rsidRDefault="00387142" w:rsidP="00387142">
            <w:pPr>
              <w:rPr>
                <w:sz w:val="20"/>
                <w:szCs w:val="20"/>
              </w:rPr>
            </w:pPr>
            <w:r w:rsidRPr="008B6A75">
              <w:rPr>
                <w:sz w:val="20"/>
                <w:szCs w:val="20"/>
              </w:rPr>
              <w:t>Иные межбюджетные трансферты</w:t>
            </w:r>
          </w:p>
        </w:tc>
        <w:tc>
          <w:tcPr>
            <w:tcW w:w="1559" w:type="dxa"/>
            <w:tcBorders>
              <w:top w:val="nil"/>
              <w:left w:val="single" w:sz="4" w:space="0" w:color="auto"/>
              <w:bottom w:val="single" w:sz="4" w:space="0" w:color="auto"/>
              <w:right w:val="nil"/>
            </w:tcBorders>
            <w:shd w:val="clear" w:color="auto" w:fill="auto"/>
            <w:noWrap/>
            <w:vAlign w:val="center"/>
            <w:hideMark/>
          </w:tcPr>
          <w:p w14:paraId="6C962DCD" w14:textId="77777777" w:rsidR="00387142" w:rsidRPr="008B6A75" w:rsidRDefault="00387142" w:rsidP="00387142">
            <w:pPr>
              <w:jc w:val="center"/>
              <w:rPr>
                <w:sz w:val="20"/>
                <w:szCs w:val="20"/>
              </w:rPr>
            </w:pPr>
            <w:r w:rsidRPr="008B6A75">
              <w:rPr>
                <w:sz w:val="20"/>
                <w:szCs w:val="20"/>
              </w:rPr>
              <w:t>17.2.00.05952</w:t>
            </w:r>
          </w:p>
        </w:tc>
        <w:tc>
          <w:tcPr>
            <w:tcW w:w="850" w:type="dxa"/>
            <w:tcBorders>
              <w:top w:val="nil"/>
              <w:left w:val="single" w:sz="4" w:space="0" w:color="auto"/>
              <w:bottom w:val="single" w:sz="4" w:space="0" w:color="auto"/>
              <w:right w:val="nil"/>
            </w:tcBorders>
            <w:shd w:val="clear" w:color="auto" w:fill="auto"/>
            <w:noWrap/>
            <w:vAlign w:val="center"/>
            <w:hideMark/>
          </w:tcPr>
          <w:p w14:paraId="586801B7" w14:textId="77777777" w:rsidR="00387142" w:rsidRPr="008B6A75" w:rsidRDefault="00387142" w:rsidP="00387142">
            <w:pPr>
              <w:jc w:val="center"/>
              <w:rPr>
                <w:sz w:val="20"/>
                <w:szCs w:val="20"/>
              </w:rPr>
            </w:pPr>
            <w:r w:rsidRPr="008B6A75">
              <w:rPr>
                <w:sz w:val="20"/>
                <w:szCs w:val="20"/>
              </w:rPr>
              <w:t>540</w:t>
            </w:r>
          </w:p>
        </w:tc>
        <w:tc>
          <w:tcPr>
            <w:tcW w:w="567" w:type="dxa"/>
            <w:tcBorders>
              <w:top w:val="nil"/>
              <w:left w:val="single" w:sz="4" w:space="0" w:color="auto"/>
              <w:bottom w:val="single" w:sz="4" w:space="0" w:color="auto"/>
              <w:right w:val="nil"/>
            </w:tcBorders>
            <w:shd w:val="clear" w:color="auto" w:fill="auto"/>
            <w:noWrap/>
            <w:vAlign w:val="center"/>
            <w:hideMark/>
          </w:tcPr>
          <w:p w14:paraId="2916A738" w14:textId="77777777" w:rsidR="00387142" w:rsidRPr="008B6A75" w:rsidRDefault="00387142" w:rsidP="00387142">
            <w:pPr>
              <w:jc w:val="center"/>
              <w:rPr>
                <w:sz w:val="20"/>
                <w:szCs w:val="20"/>
              </w:rPr>
            </w:pPr>
            <w:r w:rsidRPr="008B6A75">
              <w:rPr>
                <w:sz w:val="20"/>
                <w:szCs w:val="20"/>
              </w:rPr>
              <w:t>05</w:t>
            </w:r>
          </w:p>
        </w:tc>
        <w:tc>
          <w:tcPr>
            <w:tcW w:w="567" w:type="dxa"/>
            <w:tcBorders>
              <w:top w:val="nil"/>
              <w:left w:val="single" w:sz="4" w:space="0" w:color="auto"/>
              <w:bottom w:val="single" w:sz="4" w:space="0" w:color="auto"/>
              <w:right w:val="nil"/>
            </w:tcBorders>
            <w:shd w:val="clear" w:color="auto" w:fill="auto"/>
            <w:noWrap/>
            <w:vAlign w:val="center"/>
            <w:hideMark/>
          </w:tcPr>
          <w:p w14:paraId="6519CBBC" w14:textId="77777777" w:rsidR="00387142" w:rsidRPr="008B6A75" w:rsidRDefault="00387142" w:rsidP="00387142">
            <w:pPr>
              <w:jc w:val="center"/>
              <w:rPr>
                <w:sz w:val="20"/>
                <w:szCs w:val="20"/>
              </w:rPr>
            </w:pPr>
            <w:r w:rsidRPr="008B6A75">
              <w:rPr>
                <w:sz w:val="20"/>
                <w:szCs w:val="20"/>
              </w:rPr>
              <w:t>03</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9A9D493" w14:textId="77777777" w:rsidR="00387142" w:rsidRPr="008B6A75" w:rsidRDefault="00387142" w:rsidP="00387142">
            <w:pPr>
              <w:jc w:val="right"/>
              <w:rPr>
                <w:sz w:val="20"/>
                <w:szCs w:val="20"/>
              </w:rPr>
            </w:pPr>
            <w:r w:rsidRPr="008B6A75">
              <w:rPr>
                <w:sz w:val="20"/>
                <w:szCs w:val="20"/>
              </w:rPr>
              <w:t>988 900,00</w:t>
            </w:r>
          </w:p>
        </w:tc>
        <w:tc>
          <w:tcPr>
            <w:tcW w:w="851" w:type="dxa"/>
            <w:tcBorders>
              <w:top w:val="nil"/>
              <w:left w:val="single" w:sz="4" w:space="0" w:color="auto"/>
              <w:bottom w:val="single" w:sz="4" w:space="0" w:color="auto"/>
              <w:right w:val="nil"/>
            </w:tcBorders>
            <w:shd w:val="clear" w:color="auto" w:fill="auto"/>
            <w:noWrap/>
            <w:vAlign w:val="center"/>
            <w:hideMark/>
          </w:tcPr>
          <w:p w14:paraId="734CC6BE" w14:textId="77777777" w:rsidR="00387142" w:rsidRPr="008B6A75" w:rsidRDefault="00387142" w:rsidP="00387142">
            <w:pPr>
              <w:jc w:val="right"/>
              <w:rPr>
                <w:sz w:val="20"/>
                <w:szCs w:val="20"/>
              </w:rPr>
            </w:pPr>
            <w:r w:rsidRPr="008B6A75">
              <w:rPr>
                <w:sz w:val="20"/>
                <w:szCs w:val="20"/>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637161D4" w14:textId="77777777" w:rsidR="00387142" w:rsidRPr="008B6A75" w:rsidRDefault="00387142" w:rsidP="00387142">
            <w:pPr>
              <w:jc w:val="right"/>
              <w:rPr>
                <w:sz w:val="20"/>
                <w:szCs w:val="20"/>
              </w:rPr>
            </w:pPr>
            <w:r w:rsidRPr="008B6A75">
              <w:rPr>
                <w:sz w:val="20"/>
                <w:szCs w:val="20"/>
              </w:rPr>
              <w:t>0,00</w:t>
            </w:r>
          </w:p>
        </w:tc>
      </w:tr>
      <w:tr w:rsidR="00387142" w:rsidRPr="008B6A75" w14:paraId="1E4AF25D" w14:textId="77777777" w:rsidTr="00387142">
        <w:trPr>
          <w:trHeight w:val="585"/>
        </w:trPr>
        <w:tc>
          <w:tcPr>
            <w:tcW w:w="272" w:type="dxa"/>
            <w:tcBorders>
              <w:top w:val="nil"/>
              <w:left w:val="nil"/>
              <w:bottom w:val="nil"/>
              <w:right w:val="single" w:sz="4" w:space="0" w:color="auto"/>
            </w:tcBorders>
            <w:shd w:val="clear" w:color="auto" w:fill="auto"/>
            <w:noWrap/>
            <w:vAlign w:val="bottom"/>
            <w:hideMark/>
          </w:tcPr>
          <w:p w14:paraId="458F8328"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2DA76B07" w14:textId="77777777" w:rsidR="00387142" w:rsidRPr="008B6A75" w:rsidRDefault="00387142" w:rsidP="00387142">
            <w:pPr>
              <w:rPr>
                <w:bCs/>
                <w:sz w:val="20"/>
                <w:szCs w:val="20"/>
              </w:rPr>
            </w:pPr>
            <w:r w:rsidRPr="008B6A75">
              <w:rPr>
                <w:bCs/>
                <w:sz w:val="20"/>
                <w:szCs w:val="20"/>
              </w:rPr>
              <w:t>Региональный проект "Формирование комфортной городской среды"</w:t>
            </w:r>
          </w:p>
        </w:tc>
        <w:tc>
          <w:tcPr>
            <w:tcW w:w="1559" w:type="dxa"/>
            <w:tcBorders>
              <w:top w:val="nil"/>
              <w:left w:val="single" w:sz="4" w:space="0" w:color="auto"/>
              <w:bottom w:val="single" w:sz="4" w:space="0" w:color="auto"/>
              <w:right w:val="nil"/>
            </w:tcBorders>
            <w:shd w:val="clear" w:color="auto" w:fill="auto"/>
            <w:noWrap/>
            <w:vAlign w:val="center"/>
            <w:hideMark/>
          </w:tcPr>
          <w:p w14:paraId="0AC1A8B0" w14:textId="77777777" w:rsidR="00387142" w:rsidRPr="008B6A75" w:rsidRDefault="00387142" w:rsidP="00387142">
            <w:pPr>
              <w:jc w:val="center"/>
              <w:rPr>
                <w:bCs/>
                <w:sz w:val="20"/>
                <w:szCs w:val="20"/>
              </w:rPr>
            </w:pPr>
            <w:r w:rsidRPr="008B6A75">
              <w:rPr>
                <w:bCs/>
                <w:sz w:val="20"/>
                <w:szCs w:val="20"/>
              </w:rPr>
              <w:t>17.2.F2.00000</w:t>
            </w:r>
          </w:p>
        </w:tc>
        <w:tc>
          <w:tcPr>
            <w:tcW w:w="850" w:type="dxa"/>
            <w:tcBorders>
              <w:top w:val="nil"/>
              <w:left w:val="single" w:sz="4" w:space="0" w:color="auto"/>
              <w:bottom w:val="single" w:sz="4" w:space="0" w:color="auto"/>
              <w:right w:val="nil"/>
            </w:tcBorders>
            <w:shd w:val="clear" w:color="auto" w:fill="auto"/>
            <w:noWrap/>
            <w:vAlign w:val="center"/>
            <w:hideMark/>
          </w:tcPr>
          <w:p w14:paraId="427123CE" w14:textId="77777777" w:rsidR="00387142" w:rsidRPr="008B6A75" w:rsidRDefault="00387142" w:rsidP="00387142">
            <w:pPr>
              <w:jc w:val="center"/>
              <w:rPr>
                <w:bCs/>
                <w:sz w:val="20"/>
                <w:szCs w:val="20"/>
              </w:rPr>
            </w:pPr>
            <w:r w:rsidRPr="008B6A75">
              <w:rPr>
                <w:bCs/>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097774B3" w14:textId="77777777" w:rsidR="00387142" w:rsidRPr="008B6A75" w:rsidRDefault="00387142" w:rsidP="00387142">
            <w:pPr>
              <w:jc w:val="center"/>
              <w:rPr>
                <w:bCs/>
                <w:sz w:val="20"/>
                <w:szCs w:val="20"/>
              </w:rPr>
            </w:pPr>
            <w:r w:rsidRPr="008B6A75">
              <w:rPr>
                <w:bCs/>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46C4A8DB" w14:textId="77777777" w:rsidR="00387142" w:rsidRPr="008B6A75" w:rsidRDefault="00387142" w:rsidP="00387142">
            <w:pPr>
              <w:jc w:val="center"/>
              <w:rPr>
                <w:bCs/>
                <w:sz w:val="20"/>
                <w:szCs w:val="20"/>
              </w:rPr>
            </w:pPr>
            <w:r w:rsidRPr="008B6A75">
              <w:rPr>
                <w:bCs/>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18EAB62" w14:textId="77777777" w:rsidR="00387142" w:rsidRPr="008B6A75" w:rsidRDefault="00387142" w:rsidP="00387142">
            <w:pPr>
              <w:jc w:val="right"/>
              <w:rPr>
                <w:bCs/>
                <w:sz w:val="20"/>
                <w:szCs w:val="20"/>
              </w:rPr>
            </w:pPr>
            <w:r w:rsidRPr="008B6A75">
              <w:rPr>
                <w:bCs/>
                <w:sz w:val="20"/>
                <w:szCs w:val="20"/>
              </w:rPr>
              <w:t>32 443 173,54</w:t>
            </w:r>
          </w:p>
        </w:tc>
        <w:tc>
          <w:tcPr>
            <w:tcW w:w="851" w:type="dxa"/>
            <w:tcBorders>
              <w:top w:val="nil"/>
              <w:left w:val="single" w:sz="4" w:space="0" w:color="auto"/>
              <w:bottom w:val="single" w:sz="4" w:space="0" w:color="auto"/>
              <w:right w:val="nil"/>
            </w:tcBorders>
            <w:shd w:val="clear" w:color="auto" w:fill="auto"/>
            <w:noWrap/>
            <w:vAlign w:val="center"/>
            <w:hideMark/>
          </w:tcPr>
          <w:p w14:paraId="59518F90" w14:textId="77777777" w:rsidR="00387142" w:rsidRPr="008B6A75" w:rsidRDefault="00387142" w:rsidP="00387142">
            <w:pPr>
              <w:jc w:val="right"/>
              <w:rPr>
                <w:bCs/>
                <w:sz w:val="20"/>
                <w:szCs w:val="20"/>
              </w:rPr>
            </w:pPr>
            <w:r w:rsidRPr="008B6A75">
              <w:rPr>
                <w:bCs/>
                <w:sz w:val="20"/>
                <w:szCs w:val="20"/>
              </w:rPr>
              <w:t>16 928 200,00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28FD73A9" w14:textId="77777777" w:rsidR="00387142" w:rsidRPr="008B6A75" w:rsidRDefault="00387142" w:rsidP="00387142">
            <w:pPr>
              <w:jc w:val="right"/>
              <w:rPr>
                <w:bCs/>
                <w:sz w:val="20"/>
                <w:szCs w:val="20"/>
              </w:rPr>
            </w:pPr>
            <w:r w:rsidRPr="008B6A75">
              <w:rPr>
                <w:bCs/>
                <w:sz w:val="20"/>
                <w:szCs w:val="20"/>
              </w:rPr>
              <w:t>19 361 900,00</w:t>
            </w:r>
          </w:p>
        </w:tc>
      </w:tr>
      <w:tr w:rsidR="00387142" w:rsidRPr="008B6A75" w14:paraId="02D2BA4C" w14:textId="77777777" w:rsidTr="00387142">
        <w:trPr>
          <w:trHeight w:val="2580"/>
        </w:trPr>
        <w:tc>
          <w:tcPr>
            <w:tcW w:w="272" w:type="dxa"/>
            <w:tcBorders>
              <w:top w:val="nil"/>
              <w:left w:val="nil"/>
              <w:bottom w:val="nil"/>
              <w:right w:val="single" w:sz="4" w:space="0" w:color="auto"/>
            </w:tcBorders>
            <w:shd w:val="clear" w:color="auto" w:fill="auto"/>
            <w:noWrap/>
            <w:vAlign w:val="bottom"/>
            <w:hideMark/>
          </w:tcPr>
          <w:p w14:paraId="3C4096B4" w14:textId="77777777" w:rsidR="00387142" w:rsidRPr="008B6A75" w:rsidRDefault="00387142" w:rsidP="00387142">
            <w:pPr>
              <w:rPr>
                <w:sz w:val="20"/>
                <w:szCs w:val="20"/>
              </w:rPr>
            </w:pPr>
            <w:r w:rsidRPr="008B6A75">
              <w:rPr>
                <w:sz w:val="20"/>
                <w:szCs w:val="20"/>
              </w:rPr>
              <w:lastRenderedPageBreak/>
              <w:t> </w:t>
            </w:r>
          </w:p>
        </w:tc>
        <w:tc>
          <w:tcPr>
            <w:tcW w:w="3415" w:type="dxa"/>
            <w:tcBorders>
              <w:top w:val="nil"/>
              <w:left w:val="single" w:sz="4" w:space="0" w:color="auto"/>
              <w:bottom w:val="single" w:sz="4" w:space="0" w:color="auto"/>
              <w:right w:val="nil"/>
            </w:tcBorders>
            <w:shd w:val="clear" w:color="auto" w:fill="auto"/>
            <w:vAlign w:val="center"/>
            <w:hideMark/>
          </w:tcPr>
          <w:p w14:paraId="14E244B8" w14:textId="77777777" w:rsidR="00387142" w:rsidRPr="008B6A75" w:rsidRDefault="00387142" w:rsidP="00387142">
            <w:pPr>
              <w:rPr>
                <w:bCs/>
                <w:sz w:val="20"/>
                <w:szCs w:val="20"/>
              </w:rPr>
            </w:pPr>
            <w:r w:rsidRPr="008B6A75">
              <w:rPr>
                <w:bCs/>
                <w:sz w:val="20"/>
                <w:szCs w:val="20"/>
              </w:rPr>
              <w:t>Реализация мероприятий по формированию комфортной городской среды подпрограммы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 (благоустройство дворовых территорий многоквартирных домов населенных пунктов Новосибирской области)</w:t>
            </w:r>
          </w:p>
        </w:tc>
        <w:tc>
          <w:tcPr>
            <w:tcW w:w="1559" w:type="dxa"/>
            <w:tcBorders>
              <w:top w:val="nil"/>
              <w:left w:val="single" w:sz="4" w:space="0" w:color="auto"/>
              <w:bottom w:val="single" w:sz="4" w:space="0" w:color="auto"/>
              <w:right w:val="nil"/>
            </w:tcBorders>
            <w:shd w:val="clear" w:color="auto" w:fill="auto"/>
            <w:noWrap/>
            <w:vAlign w:val="center"/>
            <w:hideMark/>
          </w:tcPr>
          <w:p w14:paraId="47730BB4" w14:textId="77777777" w:rsidR="00387142" w:rsidRPr="008B6A75" w:rsidRDefault="00387142" w:rsidP="00387142">
            <w:pPr>
              <w:jc w:val="center"/>
              <w:rPr>
                <w:bCs/>
                <w:sz w:val="20"/>
                <w:szCs w:val="20"/>
              </w:rPr>
            </w:pPr>
            <w:r w:rsidRPr="008B6A75">
              <w:rPr>
                <w:bCs/>
                <w:sz w:val="20"/>
                <w:szCs w:val="20"/>
              </w:rPr>
              <w:t>17.2.F2.55551</w:t>
            </w:r>
          </w:p>
        </w:tc>
        <w:tc>
          <w:tcPr>
            <w:tcW w:w="850" w:type="dxa"/>
            <w:tcBorders>
              <w:top w:val="nil"/>
              <w:left w:val="single" w:sz="4" w:space="0" w:color="auto"/>
              <w:bottom w:val="single" w:sz="4" w:space="0" w:color="auto"/>
              <w:right w:val="nil"/>
            </w:tcBorders>
            <w:shd w:val="clear" w:color="auto" w:fill="auto"/>
            <w:noWrap/>
            <w:vAlign w:val="center"/>
            <w:hideMark/>
          </w:tcPr>
          <w:p w14:paraId="2394CF76" w14:textId="77777777" w:rsidR="00387142" w:rsidRPr="008B6A75" w:rsidRDefault="00387142" w:rsidP="00387142">
            <w:pPr>
              <w:jc w:val="center"/>
              <w:rPr>
                <w:bCs/>
                <w:sz w:val="20"/>
                <w:szCs w:val="20"/>
              </w:rPr>
            </w:pPr>
            <w:r w:rsidRPr="008B6A75">
              <w:rPr>
                <w:bCs/>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1EE797E5" w14:textId="77777777" w:rsidR="00387142" w:rsidRPr="008B6A75" w:rsidRDefault="00387142" w:rsidP="00387142">
            <w:pPr>
              <w:jc w:val="center"/>
              <w:rPr>
                <w:bCs/>
                <w:sz w:val="20"/>
                <w:szCs w:val="20"/>
              </w:rPr>
            </w:pPr>
            <w:r w:rsidRPr="008B6A75">
              <w:rPr>
                <w:bCs/>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35BADE3F" w14:textId="77777777" w:rsidR="00387142" w:rsidRPr="008B6A75" w:rsidRDefault="00387142" w:rsidP="00387142">
            <w:pPr>
              <w:jc w:val="center"/>
              <w:rPr>
                <w:bCs/>
                <w:sz w:val="20"/>
                <w:szCs w:val="20"/>
              </w:rPr>
            </w:pPr>
            <w:r w:rsidRPr="008B6A75">
              <w:rPr>
                <w:bCs/>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CECD740" w14:textId="77777777" w:rsidR="00387142" w:rsidRPr="008B6A75" w:rsidRDefault="00387142" w:rsidP="00387142">
            <w:pPr>
              <w:jc w:val="right"/>
              <w:rPr>
                <w:bCs/>
                <w:sz w:val="20"/>
                <w:szCs w:val="20"/>
              </w:rPr>
            </w:pPr>
            <w:r w:rsidRPr="008B6A75">
              <w:rPr>
                <w:bCs/>
                <w:sz w:val="20"/>
                <w:szCs w:val="20"/>
              </w:rPr>
              <w:t>5 311 600,00</w:t>
            </w:r>
          </w:p>
        </w:tc>
        <w:tc>
          <w:tcPr>
            <w:tcW w:w="851" w:type="dxa"/>
            <w:tcBorders>
              <w:top w:val="nil"/>
              <w:left w:val="single" w:sz="4" w:space="0" w:color="auto"/>
              <w:bottom w:val="single" w:sz="4" w:space="0" w:color="auto"/>
              <w:right w:val="nil"/>
            </w:tcBorders>
            <w:shd w:val="clear" w:color="auto" w:fill="auto"/>
            <w:noWrap/>
            <w:vAlign w:val="center"/>
            <w:hideMark/>
          </w:tcPr>
          <w:p w14:paraId="050A8D38" w14:textId="77777777" w:rsidR="00387142" w:rsidRPr="008B6A75" w:rsidRDefault="00387142" w:rsidP="00387142">
            <w:pPr>
              <w:jc w:val="right"/>
              <w:rPr>
                <w:bCs/>
                <w:sz w:val="20"/>
                <w:szCs w:val="20"/>
              </w:rPr>
            </w:pPr>
            <w:r w:rsidRPr="008B6A75">
              <w:rPr>
                <w:bCs/>
                <w:sz w:val="20"/>
                <w:szCs w:val="20"/>
              </w:rPr>
              <w:t>4 488 200,00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00D83E17" w14:textId="77777777" w:rsidR="00387142" w:rsidRPr="008B6A75" w:rsidRDefault="00387142" w:rsidP="00387142">
            <w:pPr>
              <w:jc w:val="right"/>
              <w:rPr>
                <w:bCs/>
                <w:sz w:val="20"/>
                <w:szCs w:val="20"/>
              </w:rPr>
            </w:pPr>
            <w:r w:rsidRPr="008B6A75">
              <w:rPr>
                <w:bCs/>
                <w:sz w:val="20"/>
                <w:szCs w:val="20"/>
              </w:rPr>
              <w:t>6 921 900,00</w:t>
            </w:r>
          </w:p>
        </w:tc>
      </w:tr>
      <w:tr w:rsidR="00387142" w:rsidRPr="008B6A75" w14:paraId="52C44F6B" w14:textId="77777777" w:rsidTr="00387142">
        <w:trPr>
          <w:trHeight w:val="585"/>
        </w:trPr>
        <w:tc>
          <w:tcPr>
            <w:tcW w:w="272" w:type="dxa"/>
            <w:tcBorders>
              <w:top w:val="nil"/>
              <w:left w:val="nil"/>
              <w:bottom w:val="nil"/>
              <w:right w:val="single" w:sz="4" w:space="0" w:color="auto"/>
            </w:tcBorders>
            <w:shd w:val="clear" w:color="auto" w:fill="auto"/>
            <w:noWrap/>
            <w:vAlign w:val="bottom"/>
            <w:hideMark/>
          </w:tcPr>
          <w:p w14:paraId="6941A317"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161A9883" w14:textId="77777777" w:rsidR="00387142" w:rsidRPr="008B6A75" w:rsidRDefault="00387142" w:rsidP="00387142">
            <w:pPr>
              <w:rPr>
                <w:sz w:val="20"/>
                <w:szCs w:val="20"/>
              </w:rPr>
            </w:pPr>
            <w:r w:rsidRPr="008B6A75">
              <w:rPr>
                <w:sz w:val="20"/>
                <w:szCs w:val="20"/>
              </w:rPr>
              <w:t>Закупка товаров, работ и услуг для обеспечения государственных (муниципальных) нужд</w:t>
            </w:r>
          </w:p>
        </w:tc>
        <w:tc>
          <w:tcPr>
            <w:tcW w:w="1559" w:type="dxa"/>
            <w:tcBorders>
              <w:top w:val="nil"/>
              <w:left w:val="single" w:sz="4" w:space="0" w:color="auto"/>
              <w:bottom w:val="single" w:sz="4" w:space="0" w:color="auto"/>
              <w:right w:val="nil"/>
            </w:tcBorders>
            <w:shd w:val="clear" w:color="auto" w:fill="auto"/>
            <w:noWrap/>
            <w:vAlign w:val="center"/>
            <w:hideMark/>
          </w:tcPr>
          <w:p w14:paraId="15599B15" w14:textId="77777777" w:rsidR="00387142" w:rsidRPr="008B6A75" w:rsidRDefault="00387142" w:rsidP="00387142">
            <w:pPr>
              <w:jc w:val="center"/>
              <w:rPr>
                <w:sz w:val="20"/>
                <w:szCs w:val="20"/>
              </w:rPr>
            </w:pPr>
            <w:r w:rsidRPr="008B6A75">
              <w:rPr>
                <w:sz w:val="20"/>
                <w:szCs w:val="20"/>
              </w:rPr>
              <w:t>17.2.F2.55551</w:t>
            </w:r>
          </w:p>
        </w:tc>
        <w:tc>
          <w:tcPr>
            <w:tcW w:w="850" w:type="dxa"/>
            <w:tcBorders>
              <w:top w:val="nil"/>
              <w:left w:val="single" w:sz="4" w:space="0" w:color="auto"/>
              <w:bottom w:val="single" w:sz="4" w:space="0" w:color="auto"/>
              <w:right w:val="nil"/>
            </w:tcBorders>
            <w:shd w:val="clear" w:color="auto" w:fill="auto"/>
            <w:noWrap/>
            <w:vAlign w:val="center"/>
            <w:hideMark/>
          </w:tcPr>
          <w:p w14:paraId="299F1EAA" w14:textId="77777777" w:rsidR="00387142" w:rsidRPr="008B6A75" w:rsidRDefault="00387142" w:rsidP="00387142">
            <w:pPr>
              <w:jc w:val="center"/>
              <w:rPr>
                <w:sz w:val="20"/>
                <w:szCs w:val="20"/>
              </w:rPr>
            </w:pPr>
            <w:r w:rsidRPr="008B6A75">
              <w:rPr>
                <w:sz w:val="20"/>
                <w:szCs w:val="20"/>
              </w:rPr>
              <w:t>200</w:t>
            </w:r>
          </w:p>
        </w:tc>
        <w:tc>
          <w:tcPr>
            <w:tcW w:w="567" w:type="dxa"/>
            <w:tcBorders>
              <w:top w:val="nil"/>
              <w:left w:val="single" w:sz="4" w:space="0" w:color="auto"/>
              <w:bottom w:val="single" w:sz="4" w:space="0" w:color="auto"/>
              <w:right w:val="nil"/>
            </w:tcBorders>
            <w:shd w:val="clear" w:color="auto" w:fill="auto"/>
            <w:noWrap/>
            <w:vAlign w:val="center"/>
            <w:hideMark/>
          </w:tcPr>
          <w:p w14:paraId="586835C6" w14:textId="77777777" w:rsidR="00387142" w:rsidRPr="008B6A75" w:rsidRDefault="00387142" w:rsidP="00387142">
            <w:pPr>
              <w:jc w:val="center"/>
              <w:rPr>
                <w:sz w:val="20"/>
                <w:szCs w:val="20"/>
              </w:rPr>
            </w:pPr>
            <w:r w:rsidRPr="008B6A75">
              <w:rPr>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30E3DADA" w14:textId="77777777" w:rsidR="00387142" w:rsidRPr="008B6A75" w:rsidRDefault="00387142" w:rsidP="00387142">
            <w:pPr>
              <w:jc w:val="center"/>
              <w:rPr>
                <w:sz w:val="20"/>
                <w:szCs w:val="20"/>
              </w:rPr>
            </w:pPr>
            <w:r w:rsidRPr="008B6A75">
              <w:rPr>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04FA295" w14:textId="77777777" w:rsidR="00387142" w:rsidRPr="008B6A75" w:rsidRDefault="00387142" w:rsidP="00387142">
            <w:pPr>
              <w:jc w:val="right"/>
              <w:rPr>
                <w:sz w:val="20"/>
                <w:szCs w:val="20"/>
              </w:rPr>
            </w:pPr>
            <w:r w:rsidRPr="008B6A75">
              <w:rPr>
                <w:sz w:val="20"/>
                <w:szCs w:val="20"/>
              </w:rPr>
              <w:t>0,00</w:t>
            </w:r>
          </w:p>
        </w:tc>
        <w:tc>
          <w:tcPr>
            <w:tcW w:w="851" w:type="dxa"/>
            <w:tcBorders>
              <w:top w:val="nil"/>
              <w:left w:val="single" w:sz="4" w:space="0" w:color="auto"/>
              <w:bottom w:val="single" w:sz="4" w:space="0" w:color="auto"/>
              <w:right w:val="nil"/>
            </w:tcBorders>
            <w:shd w:val="clear" w:color="auto" w:fill="auto"/>
            <w:noWrap/>
            <w:vAlign w:val="center"/>
            <w:hideMark/>
          </w:tcPr>
          <w:p w14:paraId="7A1CE93E" w14:textId="77777777" w:rsidR="00387142" w:rsidRPr="008B6A75" w:rsidRDefault="00387142" w:rsidP="00387142">
            <w:pPr>
              <w:jc w:val="right"/>
              <w:rPr>
                <w:sz w:val="20"/>
                <w:szCs w:val="20"/>
              </w:rPr>
            </w:pPr>
            <w:r w:rsidRPr="008B6A75">
              <w:rPr>
                <w:sz w:val="20"/>
                <w:szCs w:val="20"/>
              </w:rPr>
              <w:t>4 488 200,00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422CFBCA" w14:textId="77777777" w:rsidR="00387142" w:rsidRPr="008B6A75" w:rsidRDefault="00387142" w:rsidP="00387142">
            <w:pPr>
              <w:jc w:val="right"/>
              <w:rPr>
                <w:sz w:val="20"/>
                <w:szCs w:val="20"/>
              </w:rPr>
            </w:pPr>
            <w:r w:rsidRPr="008B6A75">
              <w:rPr>
                <w:sz w:val="20"/>
                <w:szCs w:val="20"/>
              </w:rPr>
              <w:t>6 921 900,00</w:t>
            </w:r>
          </w:p>
        </w:tc>
      </w:tr>
      <w:tr w:rsidR="00387142" w:rsidRPr="008B6A75" w14:paraId="4B2E476D" w14:textId="77777777" w:rsidTr="00387142">
        <w:trPr>
          <w:trHeight w:val="870"/>
        </w:trPr>
        <w:tc>
          <w:tcPr>
            <w:tcW w:w="272" w:type="dxa"/>
            <w:tcBorders>
              <w:top w:val="nil"/>
              <w:left w:val="nil"/>
              <w:bottom w:val="nil"/>
              <w:right w:val="single" w:sz="4" w:space="0" w:color="auto"/>
            </w:tcBorders>
            <w:shd w:val="clear" w:color="auto" w:fill="auto"/>
            <w:noWrap/>
            <w:vAlign w:val="bottom"/>
            <w:hideMark/>
          </w:tcPr>
          <w:p w14:paraId="5027B04F"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1DA3AAE1" w14:textId="77777777" w:rsidR="00387142" w:rsidRPr="008B6A75" w:rsidRDefault="00387142" w:rsidP="00387142">
            <w:pPr>
              <w:rPr>
                <w:sz w:val="20"/>
                <w:szCs w:val="20"/>
              </w:rPr>
            </w:pPr>
            <w:r w:rsidRPr="008B6A75">
              <w:rPr>
                <w:sz w:val="20"/>
                <w:szCs w:val="20"/>
              </w:rPr>
              <w:t>Иные закупки товаров, работ и услуг для обеспечения государственных (муниципальных) нужд</w:t>
            </w:r>
          </w:p>
        </w:tc>
        <w:tc>
          <w:tcPr>
            <w:tcW w:w="1559" w:type="dxa"/>
            <w:tcBorders>
              <w:top w:val="nil"/>
              <w:left w:val="single" w:sz="4" w:space="0" w:color="auto"/>
              <w:bottom w:val="single" w:sz="4" w:space="0" w:color="auto"/>
              <w:right w:val="nil"/>
            </w:tcBorders>
            <w:shd w:val="clear" w:color="auto" w:fill="auto"/>
            <w:noWrap/>
            <w:vAlign w:val="center"/>
            <w:hideMark/>
          </w:tcPr>
          <w:p w14:paraId="2ADF4DF6" w14:textId="77777777" w:rsidR="00387142" w:rsidRPr="008B6A75" w:rsidRDefault="00387142" w:rsidP="00387142">
            <w:pPr>
              <w:jc w:val="center"/>
              <w:rPr>
                <w:sz w:val="20"/>
                <w:szCs w:val="20"/>
              </w:rPr>
            </w:pPr>
            <w:r w:rsidRPr="008B6A75">
              <w:rPr>
                <w:sz w:val="20"/>
                <w:szCs w:val="20"/>
              </w:rPr>
              <w:t>17.2.F2.55551</w:t>
            </w:r>
          </w:p>
        </w:tc>
        <w:tc>
          <w:tcPr>
            <w:tcW w:w="850" w:type="dxa"/>
            <w:tcBorders>
              <w:top w:val="nil"/>
              <w:left w:val="single" w:sz="4" w:space="0" w:color="auto"/>
              <w:bottom w:val="single" w:sz="4" w:space="0" w:color="auto"/>
              <w:right w:val="nil"/>
            </w:tcBorders>
            <w:shd w:val="clear" w:color="auto" w:fill="auto"/>
            <w:noWrap/>
            <w:vAlign w:val="center"/>
            <w:hideMark/>
          </w:tcPr>
          <w:p w14:paraId="53BE9023" w14:textId="77777777" w:rsidR="00387142" w:rsidRPr="008B6A75" w:rsidRDefault="00387142" w:rsidP="00387142">
            <w:pPr>
              <w:jc w:val="center"/>
              <w:rPr>
                <w:sz w:val="20"/>
                <w:szCs w:val="20"/>
              </w:rPr>
            </w:pPr>
            <w:r w:rsidRPr="008B6A75">
              <w:rPr>
                <w:sz w:val="20"/>
                <w:szCs w:val="20"/>
              </w:rPr>
              <w:t>240</w:t>
            </w:r>
          </w:p>
        </w:tc>
        <w:tc>
          <w:tcPr>
            <w:tcW w:w="567" w:type="dxa"/>
            <w:tcBorders>
              <w:top w:val="nil"/>
              <w:left w:val="single" w:sz="4" w:space="0" w:color="auto"/>
              <w:bottom w:val="single" w:sz="4" w:space="0" w:color="auto"/>
              <w:right w:val="nil"/>
            </w:tcBorders>
            <w:shd w:val="clear" w:color="auto" w:fill="auto"/>
            <w:noWrap/>
            <w:vAlign w:val="center"/>
            <w:hideMark/>
          </w:tcPr>
          <w:p w14:paraId="50AC6A47" w14:textId="77777777" w:rsidR="00387142" w:rsidRPr="008B6A75" w:rsidRDefault="00387142" w:rsidP="00387142">
            <w:pPr>
              <w:jc w:val="center"/>
              <w:rPr>
                <w:sz w:val="20"/>
                <w:szCs w:val="20"/>
              </w:rPr>
            </w:pPr>
            <w:r w:rsidRPr="008B6A75">
              <w:rPr>
                <w:sz w:val="20"/>
                <w:szCs w:val="20"/>
              </w:rPr>
              <w:t>05</w:t>
            </w:r>
          </w:p>
        </w:tc>
        <w:tc>
          <w:tcPr>
            <w:tcW w:w="567" w:type="dxa"/>
            <w:tcBorders>
              <w:top w:val="nil"/>
              <w:left w:val="single" w:sz="4" w:space="0" w:color="auto"/>
              <w:bottom w:val="single" w:sz="4" w:space="0" w:color="auto"/>
              <w:right w:val="nil"/>
            </w:tcBorders>
            <w:shd w:val="clear" w:color="auto" w:fill="auto"/>
            <w:noWrap/>
            <w:vAlign w:val="center"/>
            <w:hideMark/>
          </w:tcPr>
          <w:p w14:paraId="0175FE4A" w14:textId="77777777" w:rsidR="00387142" w:rsidRPr="008B6A75" w:rsidRDefault="00387142" w:rsidP="00387142">
            <w:pPr>
              <w:jc w:val="center"/>
              <w:rPr>
                <w:sz w:val="20"/>
                <w:szCs w:val="20"/>
              </w:rPr>
            </w:pPr>
            <w:r w:rsidRPr="008B6A75">
              <w:rPr>
                <w:sz w:val="20"/>
                <w:szCs w:val="20"/>
              </w:rPr>
              <w:t>03</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6A8FDDA" w14:textId="77777777" w:rsidR="00387142" w:rsidRPr="008B6A75" w:rsidRDefault="00387142" w:rsidP="00387142">
            <w:pPr>
              <w:jc w:val="right"/>
              <w:rPr>
                <w:sz w:val="20"/>
                <w:szCs w:val="20"/>
              </w:rPr>
            </w:pPr>
            <w:r w:rsidRPr="008B6A75">
              <w:rPr>
                <w:sz w:val="20"/>
                <w:szCs w:val="20"/>
              </w:rPr>
              <w:t>0,00</w:t>
            </w:r>
          </w:p>
        </w:tc>
        <w:tc>
          <w:tcPr>
            <w:tcW w:w="851" w:type="dxa"/>
            <w:tcBorders>
              <w:top w:val="nil"/>
              <w:left w:val="single" w:sz="4" w:space="0" w:color="auto"/>
              <w:bottom w:val="single" w:sz="4" w:space="0" w:color="auto"/>
              <w:right w:val="nil"/>
            </w:tcBorders>
            <w:shd w:val="clear" w:color="auto" w:fill="auto"/>
            <w:noWrap/>
            <w:vAlign w:val="center"/>
            <w:hideMark/>
          </w:tcPr>
          <w:p w14:paraId="3C1F6B0A" w14:textId="77777777" w:rsidR="00387142" w:rsidRPr="008B6A75" w:rsidRDefault="00387142" w:rsidP="00387142">
            <w:pPr>
              <w:jc w:val="right"/>
              <w:rPr>
                <w:sz w:val="20"/>
                <w:szCs w:val="20"/>
              </w:rPr>
            </w:pPr>
            <w:r w:rsidRPr="008B6A75">
              <w:rPr>
                <w:sz w:val="20"/>
                <w:szCs w:val="20"/>
              </w:rPr>
              <w:t>4 488 200,00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1C5A319E" w14:textId="77777777" w:rsidR="00387142" w:rsidRPr="008B6A75" w:rsidRDefault="00387142" w:rsidP="00387142">
            <w:pPr>
              <w:jc w:val="right"/>
              <w:rPr>
                <w:sz w:val="20"/>
                <w:szCs w:val="20"/>
              </w:rPr>
            </w:pPr>
            <w:r w:rsidRPr="008B6A75">
              <w:rPr>
                <w:sz w:val="20"/>
                <w:szCs w:val="20"/>
              </w:rPr>
              <w:t>6 921 900,00</w:t>
            </w:r>
          </w:p>
        </w:tc>
      </w:tr>
      <w:tr w:rsidR="00387142" w:rsidRPr="008B6A75" w14:paraId="179A0AF7" w14:textId="77777777" w:rsidTr="00387142">
        <w:trPr>
          <w:trHeight w:val="300"/>
        </w:trPr>
        <w:tc>
          <w:tcPr>
            <w:tcW w:w="272" w:type="dxa"/>
            <w:tcBorders>
              <w:top w:val="nil"/>
              <w:left w:val="nil"/>
              <w:bottom w:val="nil"/>
              <w:right w:val="single" w:sz="4" w:space="0" w:color="auto"/>
            </w:tcBorders>
            <w:shd w:val="clear" w:color="auto" w:fill="auto"/>
            <w:noWrap/>
            <w:vAlign w:val="bottom"/>
            <w:hideMark/>
          </w:tcPr>
          <w:p w14:paraId="4976EFF2"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72DFFE76" w14:textId="77777777" w:rsidR="00387142" w:rsidRPr="008B6A75" w:rsidRDefault="00387142" w:rsidP="00387142">
            <w:pPr>
              <w:rPr>
                <w:sz w:val="20"/>
                <w:szCs w:val="20"/>
              </w:rPr>
            </w:pPr>
            <w:r w:rsidRPr="008B6A75">
              <w:rPr>
                <w:sz w:val="20"/>
                <w:szCs w:val="20"/>
              </w:rPr>
              <w:t>Межбюджетные трансферты</w:t>
            </w:r>
          </w:p>
        </w:tc>
        <w:tc>
          <w:tcPr>
            <w:tcW w:w="1559" w:type="dxa"/>
            <w:tcBorders>
              <w:top w:val="nil"/>
              <w:left w:val="single" w:sz="4" w:space="0" w:color="auto"/>
              <w:bottom w:val="single" w:sz="4" w:space="0" w:color="auto"/>
              <w:right w:val="nil"/>
            </w:tcBorders>
            <w:shd w:val="clear" w:color="auto" w:fill="auto"/>
            <w:noWrap/>
            <w:vAlign w:val="center"/>
            <w:hideMark/>
          </w:tcPr>
          <w:p w14:paraId="1631F61F" w14:textId="77777777" w:rsidR="00387142" w:rsidRPr="008B6A75" w:rsidRDefault="00387142" w:rsidP="00387142">
            <w:pPr>
              <w:jc w:val="center"/>
              <w:rPr>
                <w:sz w:val="20"/>
                <w:szCs w:val="20"/>
              </w:rPr>
            </w:pPr>
            <w:r w:rsidRPr="008B6A75">
              <w:rPr>
                <w:sz w:val="20"/>
                <w:szCs w:val="20"/>
              </w:rPr>
              <w:t>17.2.F2.55551</w:t>
            </w:r>
          </w:p>
        </w:tc>
        <w:tc>
          <w:tcPr>
            <w:tcW w:w="850" w:type="dxa"/>
            <w:tcBorders>
              <w:top w:val="nil"/>
              <w:left w:val="single" w:sz="4" w:space="0" w:color="auto"/>
              <w:bottom w:val="single" w:sz="4" w:space="0" w:color="auto"/>
              <w:right w:val="nil"/>
            </w:tcBorders>
            <w:shd w:val="clear" w:color="auto" w:fill="auto"/>
            <w:noWrap/>
            <w:vAlign w:val="center"/>
            <w:hideMark/>
          </w:tcPr>
          <w:p w14:paraId="15BBC37A" w14:textId="77777777" w:rsidR="00387142" w:rsidRPr="008B6A75" w:rsidRDefault="00387142" w:rsidP="00387142">
            <w:pPr>
              <w:jc w:val="center"/>
              <w:rPr>
                <w:sz w:val="20"/>
                <w:szCs w:val="20"/>
              </w:rPr>
            </w:pPr>
            <w:r w:rsidRPr="008B6A75">
              <w:rPr>
                <w:sz w:val="20"/>
                <w:szCs w:val="20"/>
              </w:rPr>
              <w:t>500</w:t>
            </w:r>
          </w:p>
        </w:tc>
        <w:tc>
          <w:tcPr>
            <w:tcW w:w="567" w:type="dxa"/>
            <w:tcBorders>
              <w:top w:val="nil"/>
              <w:left w:val="single" w:sz="4" w:space="0" w:color="auto"/>
              <w:bottom w:val="single" w:sz="4" w:space="0" w:color="auto"/>
              <w:right w:val="nil"/>
            </w:tcBorders>
            <w:shd w:val="clear" w:color="auto" w:fill="auto"/>
            <w:noWrap/>
            <w:vAlign w:val="center"/>
            <w:hideMark/>
          </w:tcPr>
          <w:p w14:paraId="5F46EC58" w14:textId="77777777" w:rsidR="00387142" w:rsidRPr="008B6A75" w:rsidRDefault="00387142" w:rsidP="00387142">
            <w:pPr>
              <w:jc w:val="center"/>
              <w:rPr>
                <w:sz w:val="20"/>
                <w:szCs w:val="20"/>
              </w:rPr>
            </w:pPr>
            <w:r w:rsidRPr="008B6A75">
              <w:rPr>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3EE5E1AE" w14:textId="77777777" w:rsidR="00387142" w:rsidRPr="008B6A75" w:rsidRDefault="00387142" w:rsidP="00387142">
            <w:pPr>
              <w:jc w:val="center"/>
              <w:rPr>
                <w:sz w:val="20"/>
                <w:szCs w:val="20"/>
              </w:rPr>
            </w:pPr>
            <w:r w:rsidRPr="008B6A75">
              <w:rPr>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40FB7C4" w14:textId="77777777" w:rsidR="00387142" w:rsidRPr="008B6A75" w:rsidRDefault="00387142" w:rsidP="00387142">
            <w:pPr>
              <w:jc w:val="right"/>
              <w:rPr>
                <w:sz w:val="20"/>
                <w:szCs w:val="20"/>
              </w:rPr>
            </w:pPr>
            <w:r w:rsidRPr="008B6A75">
              <w:rPr>
                <w:sz w:val="20"/>
                <w:szCs w:val="20"/>
              </w:rPr>
              <w:t>5 311 600,00</w:t>
            </w:r>
          </w:p>
        </w:tc>
        <w:tc>
          <w:tcPr>
            <w:tcW w:w="851" w:type="dxa"/>
            <w:tcBorders>
              <w:top w:val="nil"/>
              <w:left w:val="single" w:sz="4" w:space="0" w:color="auto"/>
              <w:bottom w:val="single" w:sz="4" w:space="0" w:color="auto"/>
              <w:right w:val="nil"/>
            </w:tcBorders>
            <w:shd w:val="clear" w:color="auto" w:fill="auto"/>
            <w:noWrap/>
            <w:vAlign w:val="center"/>
            <w:hideMark/>
          </w:tcPr>
          <w:p w14:paraId="3A098EBB" w14:textId="77777777" w:rsidR="00387142" w:rsidRPr="008B6A75" w:rsidRDefault="00387142" w:rsidP="00387142">
            <w:pPr>
              <w:jc w:val="right"/>
              <w:rPr>
                <w:sz w:val="20"/>
                <w:szCs w:val="20"/>
              </w:rPr>
            </w:pPr>
            <w:r w:rsidRPr="008B6A75">
              <w:rPr>
                <w:sz w:val="20"/>
                <w:szCs w:val="20"/>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1BB55C13" w14:textId="77777777" w:rsidR="00387142" w:rsidRPr="008B6A75" w:rsidRDefault="00387142" w:rsidP="00387142">
            <w:pPr>
              <w:jc w:val="right"/>
              <w:rPr>
                <w:sz w:val="20"/>
                <w:szCs w:val="20"/>
              </w:rPr>
            </w:pPr>
            <w:r w:rsidRPr="008B6A75">
              <w:rPr>
                <w:sz w:val="20"/>
                <w:szCs w:val="20"/>
              </w:rPr>
              <w:t>0,00</w:t>
            </w:r>
          </w:p>
        </w:tc>
      </w:tr>
      <w:tr w:rsidR="00387142" w:rsidRPr="008B6A75" w14:paraId="7BE47724" w14:textId="77777777" w:rsidTr="00387142">
        <w:trPr>
          <w:trHeight w:val="300"/>
        </w:trPr>
        <w:tc>
          <w:tcPr>
            <w:tcW w:w="272" w:type="dxa"/>
            <w:tcBorders>
              <w:top w:val="nil"/>
              <w:left w:val="nil"/>
              <w:bottom w:val="nil"/>
              <w:right w:val="single" w:sz="4" w:space="0" w:color="auto"/>
            </w:tcBorders>
            <w:shd w:val="clear" w:color="auto" w:fill="auto"/>
            <w:noWrap/>
            <w:vAlign w:val="bottom"/>
            <w:hideMark/>
          </w:tcPr>
          <w:p w14:paraId="0BA352D7"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13ADC2EC" w14:textId="77777777" w:rsidR="00387142" w:rsidRPr="008B6A75" w:rsidRDefault="00387142" w:rsidP="00387142">
            <w:pPr>
              <w:rPr>
                <w:sz w:val="20"/>
                <w:szCs w:val="20"/>
              </w:rPr>
            </w:pPr>
            <w:r w:rsidRPr="008B6A75">
              <w:rPr>
                <w:sz w:val="20"/>
                <w:szCs w:val="20"/>
              </w:rPr>
              <w:t>Субсидии</w:t>
            </w:r>
          </w:p>
        </w:tc>
        <w:tc>
          <w:tcPr>
            <w:tcW w:w="1559" w:type="dxa"/>
            <w:tcBorders>
              <w:top w:val="nil"/>
              <w:left w:val="single" w:sz="4" w:space="0" w:color="auto"/>
              <w:bottom w:val="single" w:sz="4" w:space="0" w:color="auto"/>
              <w:right w:val="nil"/>
            </w:tcBorders>
            <w:shd w:val="clear" w:color="auto" w:fill="auto"/>
            <w:noWrap/>
            <w:vAlign w:val="center"/>
            <w:hideMark/>
          </w:tcPr>
          <w:p w14:paraId="0C1B8FC9" w14:textId="77777777" w:rsidR="00387142" w:rsidRPr="008B6A75" w:rsidRDefault="00387142" w:rsidP="00387142">
            <w:pPr>
              <w:jc w:val="center"/>
              <w:rPr>
                <w:sz w:val="20"/>
                <w:szCs w:val="20"/>
              </w:rPr>
            </w:pPr>
            <w:r w:rsidRPr="008B6A75">
              <w:rPr>
                <w:sz w:val="20"/>
                <w:szCs w:val="20"/>
              </w:rPr>
              <w:t>17.2.F2.55551</w:t>
            </w:r>
          </w:p>
        </w:tc>
        <w:tc>
          <w:tcPr>
            <w:tcW w:w="850" w:type="dxa"/>
            <w:tcBorders>
              <w:top w:val="nil"/>
              <w:left w:val="single" w:sz="4" w:space="0" w:color="auto"/>
              <w:bottom w:val="single" w:sz="4" w:space="0" w:color="auto"/>
              <w:right w:val="nil"/>
            </w:tcBorders>
            <w:shd w:val="clear" w:color="auto" w:fill="auto"/>
            <w:noWrap/>
            <w:vAlign w:val="center"/>
            <w:hideMark/>
          </w:tcPr>
          <w:p w14:paraId="1867C067" w14:textId="77777777" w:rsidR="00387142" w:rsidRPr="008B6A75" w:rsidRDefault="00387142" w:rsidP="00387142">
            <w:pPr>
              <w:jc w:val="center"/>
              <w:rPr>
                <w:sz w:val="20"/>
                <w:szCs w:val="20"/>
              </w:rPr>
            </w:pPr>
            <w:r w:rsidRPr="008B6A75">
              <w:rPr>
                <w:sz w:val="20"/>
                <w:szCs w:val="20"/>
              </w:rPr>
              <w:t>520</w:t>
            </w:r>
          </w:p>
        </w:tc>
        <w:tc>
          <w:tcPr>
            <w:tcW w:w="567" w:type="dxa"/>
            <w:tcBorders>
              <w:top w:val="nil"/>
              <w:left w:val="single" w:sz="4" w:space="0" w:color="auto"/>
              <w:bottom w:val="single" w:sz="4" w:space="0" w:color="auto"/>
              <w:right w:val="nil"/>
            </w:tcBorders>
            <w:shd w:val="clear" w:color="auto" w:fill="auto"/>
            <w:noWrap/>
            <w:vAlign w:val="center"/>
            <w:hideMark/>
          </w:tcPr>
          <w:p w14:paraId="5F4CF39A" w14:textId="77777777" w:rsidR="00387142" w:rsidRPr="008B6A75" w:rsidRDefault="00387142" w:rsidP="00387142">
            <w:pPr>
              <w:jc w:val="center"/>
              <w:rPr>
                <w:sz w:val="20"/>
                <w:szCs w:val="20"/>
              </w:rPr>
            </w:pPr>
            <w:r w:rsidRPr="008B6A75">
              <w:rPr>
                <w:sz w:val="20"/>
                <w:szCs w:val="20"/>
              </w:rPr>
              <w:t>05</w:t>
            </w:r>
          </w:p>
        </w:tc>
        <w:tc>
          <w:tcPr>
            <w:tcW w:w="567" w:type="dxa"/>
            <w:tcBorders>
              <w:top w:val="nil"/>
              <w:left w:val="single" w:sz="4" w:space="0" w:color="auto"/>
              <w:bottom w:val="single" w:sz="4" w:space="0" w:color="auto"/>
              <w:right w:val="nil"/>
            </w:tcBorders>
            <w:shd w:val="clear" w:color="auto" w:fill="auto"/>
            <w:noWrap/>
            <w:vAlign w:val="center"/>
            <w:hideMark/>
          </w:tcPr>
          <w:p w14:paraId="262A4007" w14:textId="77777777" w:rsidR="00387142" w:rsidRPr="008B6A75" w:rsidRDefault="00387142" w:rsidP="00387142">
            <w:pPr>
              <w:jc w:val="center"/>
              <w:rPr>
                <w:sz w:val="20"/>
                <w:szCs w:val="20"/>
              </w:rPr>
            </w:pPr>
            <w:r w:rsidRPr="008B6A75">
              <w:rPr>
                <w:sz w:val="20"/>
                <w:szCs w:val="20"/>
              </w:rPr>
              <w:t>03</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DE7014B" w14:textId="77777777" w:rsidR="00387142" w:rsidRPr="008B6A75" w:rsidRDefault="00387142" w:rsidP="00387142">
            <w:pPr>
              <w:jc w:val="right"/>
              <w:rPr>
                <w:sz w:val="20"/>
                <w:szCs w:val="20"/>
              </w:rPr>
            </w:pPr>
            <w:r w:rsidRPr="008B6A75">
              <w:rPr>
                <w:sz w:val="20"/>
                <w:szCs w:val="20"/>
              </w:rPr>
              <w:t>5 311 600,00</w:t>
            </w:r>
          </w:p>
        </w:tc>
        <w:tc>
          <w:tcPr>
            <w:tcW w:w="851" w:type="dxa"/>
            <w:tcBorders>
              <w:top w:val="nil"/>
              <w:left w:val="single" w:sz="4" w:space="0" w:color="auto"/>
              <w:bottom w:val="single" w:sz="4" w:space="0" w:color="auto"/>
              <w:right w:val="nil"/>
            </w:tcBorders>
            <w:shd w:val="clear" w:color="auto" w:fill="auto"/>
            <w:noWrap/>
            <w:vAlign w:val="center"/>
            <w:hideMark/>
          </w:tcPr>
          <w:p w14:paraId="62296F4A" w14:textId="77777777" w:rsidR="00387142" w:rsidRPr="008B6A75" w:rsidRDefault="00387142" w:rsidP="00387142">
            <w:pPr>
              <w:jc w:val="right"/>
              <w:rPr>
                <w:sz w:val="20"/>
                <w:szCs w:val="20"/>
              </w:rPr>
            </w:pPr>
            <w:r w:rsidRPr="008B6A75">
              <w:rPr>
                <w:sz w:val="20"/>
                <w:szCs w:val="20"/>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6A9F49F0" w14:textId="77777777" w:rsidR="00387142" w:rsidRPr="008B6A75" w:rsidRDefault="00387142" w:rsidP="00387142">
            <w:pPr>
              <w:jc w:val="right"/>
              <w:rPr>
                <w:sz w:val="20"/>
                <w:szCs w:val="20"/>
              </w:rPr>
            </w:pPr>
            <w:r w:rsidRPr="008B6A75">
              <w:rPr>
                <w:sz w:val="20"/>
                <w:szCs w:val="20"/>
              </w:rPr>
              <w:t>0,00</w:t>
            </w:r>
          </w:p>
        </w:tc>
      </w:tr>
      <w:tr w:rsidR="00387142" w:rsidRPr="008B6A75" w14:paraId="234713AC" w14:textId="77777777" w:rsidTr="00387142">
        <w:trPr>
          <w:trHeight w:val="2580"/>
        </w:trPr>
        <w:tc>
          <w:tcPr>
            <w:tcW w:w="272" w:type="dxa"/>
            <w:tcBorders>
              <w:top w:val="nil"/>
              <w:left w:val="nil"/>
              <w:bottom w:val="nil"/>
              <w:right w:val="single" w:sz="4" w:space="0" w:color="auto"/>
            </w:tcBorders>
            <w:shd w:val="clear" w:color="auto" w:fill="auto"/>
            <w:noWrap/>
            <w:vAlign w:val="bottom"/>
            <w:hideMark/>
          </w:tcPr>
          <w:p w14:paraId="06BBA30E"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676B170A" w14:textId="77777777" w:rsidR="00387142" w:rsidRPr="008B6A75" w:rsidRDefault="00387142" w:rsidP="00387142">
            <w:pPr>
              <w:rPr>
                <w:bCs/>
                <w:sz w:val="20"/>
                <w:szCs w:val="20"/>
              </w:rPr>
            </w:pPr>
            <w:r w:rsidRPr="008B6A75">
              <w:rPr>
                <w:bCs/>
                <w:sz w:val="20"/>
                <w:szCs w:val="20"/>
              </w:rPr>
              <w:t>Реализация мероприятий по формированию комфортной городской среды подпрограммы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 в» (благоустройство общественных пространств населенных пунктов Новосибирской области)</w:t>
            </w:r>
          </w:p>
        </w:tc>
        <w:tc>
          <w:tcPr>
            <w:tcW w:w="1559" w:type="dxa"/>
            <w:tcBorders>
              <w:top w:val="nil"/>
              <w:left w:val="single" w:sz="4" w:space="0" w:color="auto"/>
              <w:bottom w:val="single" w:sz="4" w:space="0" w:color="auto"/>
              <w:right w:val="nil"/>
            </w:tcBorders>
            <w:shd w:val="clear" w:color="auto" w:fill="auto"/>
            <w:noWrap/>
            <w:vAlign w:val="center"/>
            <w:hideMark/>
          </w:tcPr>
          <w:p w14:paraId="125FDB5D" w14:textId="77777777" w:rsidR="00387142" w:rsidRPr="008B6A75" w:rsidRDefault="00387142" w:rsidP="00387142">
            <w:pPr>
              <w:jc w:val="center"/>
              <w:rPr>
                <w:bCs/>
                <w:sz w:val="20"/>
                <w:szCs w:val="20"/>
              </w:rPr>
            </w:pPr>
            <w:r w:rsidRPr="008B6A75">
              <w:rPr>
                <w:bCs/>
                <w:sz w:val="20"/>
                <w:szCs w:val="20"/>
              </w:rPr>
              <w:t>17.2.F2.55552</w:t>
            </w:r>
          </w:p>
        </w:tc>
        <w:tc>
          <w:tcPr>
            <w:tcW w:w="850" w:type="dxa"/>
            <w:tcBorders>
              <w:top w:val="nil"/>
              <w:left w:val="single" w:sz="4" w:space="0" w:color="auto"/>
              <w:bottom w:val="single" w:sz="4" w:space="0" w:color="auto"/>
              <w:right w:val="nil"/>
            </w:tcBorders>
            <w:shd w:val="clear" w:color="auto" w:fill="auto"/>
            <w:noWrap/>
            <w:vAlign w:val="center"/>
            <w:hideMark/>
          </w:tcPr>
          <w:p w14:paraId="026F3483" w14:textId="77777777" w:rsidR="00387142" w:rsidRPr="008B6A75" w:rsidRDefault="00387142" w:rsidP="00387142">
            <w:pPr>
              <w:jc w:val="center"/>
              <w:rPr>
                <w:bCs/>
                <w:sz w:val="20"/>
                <w:szCs w:val="20"/>
              </w:rPr>
            </w:pPr>
            <w:r w:rsidRPr="008B6A75">
              <w:rPr>
                <w:bCs/>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7F3E4221" w14:textId="77777777" w:rsidR="00387142" w:rsidRPr="008B6A75" w:rsidRDefault="00387142" w:rsidP="00387142">
            <w:pPr>
              <w:jc w:val="center"/>
              <w:rPr>
                <w:bCs/>
                <w:sz w:val="20"/>
                <w:szCs w:val="20"/>
              </w:rPr>
            </w:pPr>
            <w:r w:rsidRPr="008B6A75">
              <w:rPr>
                <w:bCs/>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127BE334" w14:textId="77777777" w:rsidR="00387142" w:rsidRPr="008B6A75" w:rsidRDefault="00387142" w:rsidP="00387142">
            <w:pPr>
              <w:jc w:val="center"/>
              <w:rPr>
                <w:bCs/>
                <w:sz w:val="20"/>
                <w:szCs w:val="20"/>
              </w:rPr>
            </w:pPr>
            <w:r w:rsidRPr="008B6A75">
              <w:rPr>
                <w:bCs/>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5C80BFF" w14:textId="77777777" w:rsidR="00387142" w:rsidRPr="008B6A75" w:rsidRDefault="00387142" w:rsidP="00387142">
            <w:pPr>
              <w:jc w:val="right"/>
              <w:rPr>
                <w:bCs/>
                <w:sz w:val="20"/>
                <w:szCs w:val="20"/>
              </w:rPr>
            </w:pPr>
            <w:r w:rsidRPr="008B6A75">
              <w:rPr>
                <w:bCs/>
                <w:sz w:val="20"/>
                <w:szCs w:val="20"/>
              </w:rPr>
              <w:t>22 014 773,54</w:t>
            </w:r>
          </w:p>
        </w:tc>
        <w:tc>
          <w:tcPr>
            <w:tcW w:w="851" w:type="dxa"/>
            <w:tcBorders>
              <w:top w:val="nil"/>
              <w:left w:val="single" w:sz="4" w:space="0" w:color="auto"/>
              <w:bottom w:val="single" w:sz="4" w:space="0" w:color="auto"/>
              <w:right w:val="nil"/>
            </w:tcBorders>
            <w:shd w:val="clear" w:color="auto" w:fill="auto"/>
            <w:noWrap/>
            <w:vAlign w:val="center"/>
            <w:hideMark/>
          </w:tcPr>
          <w:p w14:paraId="568101C3" w14:textId="77777777" w:rsidR="00387142" w:rsidRPr="008B6A75" w:rsidRDefault="00387142" w:rsidP="00387142">
            <w:pPr>
              <w:jc w:val="right"/>
              <w:rPr>
                <w:bCs/>
                <w:sz w:val="20"/>
                <w:szCs w:val="20"/>
              </w:rPr>
            </w:pPr>
            <w:r w:rsidRPr="008B6A75">
              <w:rPr>
                <w:bCs/>
                <w:sz w:val="20"/>
                <w:szCs w:val="20"/>
              </w:rPr>
              <w:t>12 440 000,00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2E2D84A9" w14:textId="77777777" w:rsidR="00387142" w:rsidRPr="008B6A75" w:rsidRDefault="00387142" w:rsidP="00387142">
            <w:pPr>
              <w:jc w:val="right"/>
              <w:rPr>
                <w:bCs/>
                <w:sz w:val="20"/>
                <w:szCs w:val="20"/>
              </w:rPr>
            </w:pPr>
            <w:r w:rsidRPr="008B6A75">
              <w:rPr>
                <w:bCs/>
                <w:sz w:val="20"/>
                <w:szCs w:val="20"/>
              </w:rPr>
              <w:t>12 440 000,00</w:t>
            </w:r>
          </w:p>
        </w:tc>
      </w:tr>
      <w:tr w:rsidR="00387142" w:rsidRPr="008B6A75" w14:paraId="40C0E20A" w14:textId="77777777" w:rsidTr="00387142">
        <w:trPr>
          <w:trHeight w:val="585"/>
        </w:trPr>
        <w:tc>
          <w:tcPr>
            <w:tcW w:w="272" w:type="dxa"/>
            <w:tcBorders>
              <w:top w:val="nil"/>
              <w:left w:val="nil"/>
              <w:bottom w:val="nil"/>
              <w:right w:val="single" w:sz="4" w:space="0" w:color="auto"/>
            </w:tcBorders>
            <w:shd w:val="clear" w:color="auto" w:fill="auto"/>
            <w:noWrap/>
            <w:vAlign w:val="bottom"/>
            <w:hideMark/>
          </w:tcPr>
          <w:p w14:paraId="78CA83E0"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0C3212C7" w14:textId="77777777" w:rsidR="00387142" w:rsidRPr="008B6A75" w:rsidRDefault="00387142" w:rsidP="00387142">
            <w:pPr>
              <w:rPr>
                <w:sz w:val="20"/>
                <w:szCs w:val="20"/>
              </w:rPr>
            </w:pPr>
            <w:r w:rsidRPr="008B6A75">
              <w:rPr>
                <w:sz w:val="20"/>
                <w:szCs w:val="20"/>
              </w:rPr>
              <w:t>Закупка товаров, работ и услуг для обеспечения государственных (муниципальных) нужд</w:t>
            </w:r>
          </w:p>
        </w:tc>
        <w:tc>
          <w:tcPr>
            <w:tcW w:w="1559" w:type="dxa"/>
            <w:tcBorders>
              <w:top w:val="nil"/>
              <w:left w:val="single" w:sz="4" w:space="0" w:color="auto"/>
              <w:bottom w:val="single" w:sz="4" w:space="0" w:color="auto"/>
              <w:right w:val="nil"/>
            </w:tcBorders>
            <w:shd w:val="clear" w:color="auto" w:fill="auto"/>
            <w:noWrap/>
            <w:vAlign w:val="center"/>
            <w:hideMark/>
          </w:tcPr>
          <w:p w14:paraId="78070D11" w14:textId="77777777" w:rsidR="00387142" w:rsidRPr="008B6A75" w:rsidRDefault="00387142" w:rsidP="00387142">
            <w:pPr>
              <w:jc w:val="center"/>
              <w:rPr>
                <w:sz w:val="20"/>
                <w:szCs w:val="20"/>
              </w:rPr>
            </w:pPr>
            <w:r w:rsidRPr="008B6A75">
              <w:rPr>
                <w:sz w:val="20"/>
                <w:szCs w:val="20"/>
              </w:rPr>
              <w:t>17.2.F2.55552</w:t>
            </w:r>
          </w:p>
        </w:tc>
        <w:tc>
          <w:tcPr>
            <w:tcW w:w="850" w:type="dxa"/>
            <w:tcBorders>
              <w:top w:val="nil"/>
              <w:left w:val="single" w:sz="4" w:space="0" w:color="auto"/>
              <w:bottom w:val="single" w:sz="4" w:space="0" w:color="auto"/>
              <w:right w:val="nil"/>
            </w:tcBorders>
            <w:shd w:val="clear" w:color="auto" w:fill="auto"/>
            <w:noWrap/>
            <w:vAlign w:val="center"/>
            <w:hideMark/>
          </w:tcPr>
          <w:p w14:paraId="418D4EE5" w14:textId="77777777" w:rsidR="00387142" w:rsidRPr="008B6A75" w:rsidRDefault="00387142" w:rsidP="00387142">
            <w:pPr>
              <w:jc w:val="center"/>
              <w:rPr>
                <w:sz w:val="20"/>
                <w:szCs w:val="20"/>
              </w:rPr>
            </w:pPr>
            <w:r w:rsidRPr="008B6A75">
              <w:rPr>
                <w:sz w:val="20"/>
                <w:szCs w:val="20"/>
              </w:rPr>
              <w:t>200</w:t>
            </w:r>
          </w:p>
        </w:tc>
        <w:tc>
          <w:tcPr>
            <w:tcW w:w="567" w:type="dxa"/>
            <w:tcBorders>
              <w:top w:val="nil"/>
              <w:left w:val="single" w:sz="4" w:space="0" w:color="auto"/>
              <w:bottom w:val="single" w:sz="4" w:space="0" w:color="auto"/>
              <w:right w:val="nil"/>
            </w:tcBorders>
            <w:shd w:val="clear" w:color="auto" w:fill="auto"/>
            <w:noWrap/>
            <w:vAlign w:val="center"/>
            <w:hideMark/>
          </w:tcPr>
          <w:p w14:paraId="65187BA2" w14:textId="77777777" w:rsidR="00387142" w:rsidRPr="008B6A75" w:rsidRDefault="00387142" w:rsidP="00387142">
            <w:pPr>
              <w:jc w:val="center"/>
              <w:rPr>
                <w:sz w:val="20"/>
                <w:szCs w:val="20"/>
              </w:rPr>
            </w:pPr>
            <w:r w:rsidRPr="008B6A75">
              <w:rPr>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774BEAE3" w14:textId="77777777" w:rsidR="00387142" w:rsidRPr="008B6A75" w:rsidRDefault="00387142" w:rsidP="00387142">
            <w:pPr>
              <w:jc w:val="center"/>
              <w:rPr>
                <w:sz w:val="20"/>
                <w:szCs w:val="20"/>
              </w:rPr>
            </w:pPr>
            <w:r w:rsidRPr="008B6A75">
              <w:rPr>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67EFC07" w14:textId="77777777" w:rsidR="00387142" w:rsidRPr="008B6A75" w:rsidRDefault="00387142" w:rsidP="00387142">
            <w:pPr>
              <w:jc w:val="right"/>
              <w:rPr>
                <w:sz w:val="20"/>
                <w:szCs w:val="20"/>
              </w:rPr>
            </w:pPr>
            <w:r w:rsidRPr="008B6A75">
              <w:rPr>
                <w:sz w:val="20"/>
                <w:szCs w:val="20"/>
              </w:rPr>
              <w:t>0,00</w:t>
            </w:r>
          </w:p>
        </w:tc>
        <w:tc>
          <w:tcPr>
            <w:tcW w:w="851" w:type="dxa"/>
            <w:tcBorders>
              <w:top w:val="nil"/>
              <w:left w:val="single" w:sz="4" w:space="0" w:color="auto"/>
              <w:bottom w:val="single" w:sz="4" w:space="0" w:color="auto"/>
              <w:right w:val="nil"/>
            </w:tcBorders>
            <w:shd w:val="clear" w:color="auto" w:fill="auto"/>
            <w:noWrap/>
            <w:vAlign w:val="center"/>
            <w:hideMark/>
          </w:tcPr>
          <w:p w14:paraId="4097723C" w14:textId="77777777" w:rsidR="00387142" w:rsidRPr="008B6A75" w:rsidRDefault="00387142" w:rsidP="00387142">
            <w:pPr>
              <w:jc w:val="right"/>
              <w:rPr>
                <w:sz w:val="20"/>
                <w:szCs w:val="20"/>
              </w:rPr>
            </w:pPr>
            <w:r w:rsidRPr="008B6A75">
              <w:rPr>
                <w:sz w:val="20"/>
                <w:szCs w:val="20"/>
              </w:rPr>
              <w:t>2 908 618,41</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0D062B89" w14:textId="77777777" w:rsidR="00387142" w:rsidRPr="008B6A75" w:rsidRDefault="00387142" w:rsidP="00387142">
            <w:pPr>
              <w:jc w:val="right"/>
              <w:rPr>
                <w:sz w:val="20"/>
                <w:szCs w:val="20"/>
              </w:rPr>
            </w:pPr>
            <w:r w:rsidRPr="008B6A75">
              <w:rPr>
                <w:sz w:val="20"/>
                <w:szCs w:val="20"/>
              </w:rPr>
              <w:t>12 440 000,00</w:t>
            </w:r>
          </w:p>
        </w:tc>
      </w:tr>
      <w:tr w:rsidR="00387142" w:rsidRPr="008B6A75" w14:paraId="4E910739" w14:textId="77777777" w:rsidTr="00387142">
        <w:trPr>
          <w:trHeight w:val="870"/>
        </w:trPr>
        <w:tc>
          <w:tcPr>
            <w:tcW w:w="272" w:type="dxa"/>
            <w:tcBorders>
              <w:top w:val="nil"/>
              <w:left w:val="nil"/>
              <w:bottom w:val="nil"/>
              <w:right w:val="single" w:sz="4" w:space="0" w:color="auto"/>
            </w:tcBorders>
            <w:shd w:val="clear" w:color="auto" w:fill="auto"/>
            <w:noWrap/>
            <w:vAlign w:val="bottom"/>
            <w:hideMark/>
          </w:tcPr>
          <w:p w14:paraId="42AC671C"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6AFC6FF7" w14:textId="77777777" w:rsidR="00387142" w:rsidRPr="008B6A75" w:rsidRDefault="00387142" w:rsidP="00387142">
            <w:pPr>
              <w:rPr>
                <w:sz w:val="20"/>
                <w:szCs w:val="20"/>
              </w:rPr>
            </w:pPr>
            <w:r w:rsidRPr="008B6A75">
              <w:rPr>
                <w:sz w:val="20"/>
                <w:szCs w:val="20"/>
              </w:rPr>
              <w:t>Иные закупки товаров, работ и услуг для обеспечения государственных (муниципальных) нужд</w:t>
            </w:r>
          </w:p>
        </w:tc>
        <w:tc>
          <w:tcPr>
            <w:tcW w:w="1559" w:type="dxa"/>
            <w:tcBorders>
              <w:top w:val="nil"/>
              <w:left w:val="single" w:sz="4" w:space="0" w:color="auto"/>
              <w:bottom w:val="single" w:sz="4" w:space="0" w:color="auto"/>
              <w:right w:val="nil"/>
            </w:tcBorders>
            <w:shd w:val="clear" w:color="auto" w:fill="auto"/>
            <w:noWrap/>
            <w:vAlign w:val="center"/>
            <w:hideMark/>
          </w:tcPr>
          <w:p w14:paraId="71604BEA" w14:textId="77777777" w:rsidR="00387142" w:rsidRPr="008B6A75" w:rsidRDefault="00387142" w:rsidP="00387142">
            <w:pPr>
              <w:jc w:val="center"/>
              <w:rPr>
                <w:sz w:val="20"/>
                <w:szCs w:val="20"/>
              </w:rPr>
            </w:pPr>
            <w:r w:rsidRPr="008B6A75">
              <w:rPr>
                <w:sz w:val="20"/>
                <w:szCs w:val="20"/>
              </w:rPr>
              <w:t>17.2.F2.55552</w:t>
            </w:r>
          </w:p>
        </w:tc>
        <w:tc>
          <w:tcPr>
            <w:tcW w:w="850" w:type="dxa"/>
            <w:tcBorders>
              <w:top w:val="nil"/>
              <w:left w:val="single" w:sz="4" w:space="0" w:color="auto"/>
              <w:bottom w:val="single" w:sz="4" w:space="0" w:color="auto"/>
              <w:right w:val="nil"/>
            </w:tcBorders>
            <w:shd w:val="clear" w:color="auto" w:fill="auto"/>
            <w:noWrap/>
            <w:vAlign w:val="center"/>
            <w:hideMark/>
          </w:tcPr>
          <w:p w14:paraId="164D5383" w14:textId="77777777" w:rsidR="00387142" w:rsidRPr="008B6A75" w:rsidRDefault="00387142" w:rsidP="00387142">
            <w:pPr>
              <w:jc w:val="center"/>
              <w:rPr>
                <w:sz w:val="20"/>
                <w:szCs w:val="20"/>
              </w:rPr>
            </w:pPr>
            <w:r w:rsidRPr="008B6A75">
              <w:rPr>
                <w:sz w:val="20"/>
                <w:szCs w:val="20"/>
              </w:rPr>
              <w:t>240</w:t>
            </w:r>
          </w:p>
        </w:tc>
        <w:tc>
          <w:tcPr>
            <w:tcW w:w="567" w:type="dxa"/>
            <w:tcBorders>
              <w:top w:val="nil"/>
              <w:left w:val="single" w:sz="4" w:space="0" w:color="auto"/>
              <w:bottom w:val="single" w:sz="4" w:space="0" w:color="auto"/>
              <w:right w:val="nil"/>
            </w:tcBorders>
            <w:shd w:val="clear" w:color="auto" w:fill="auto"/>
            <w:noWrap/>
            <w:vAlign w:val="center"/>
            <w:hideMark/>
          </w:tcPr>
          <w:p w14:paraId="2F8973AD" w14:textId="77777777" w:rsidR="00387142" w:rsidRPr="008B6A75" w:rsidRDefault="00387142" w:rsidP="00387142">
            <w:pPr>
              <w:jc w:val="center"/>
              <w:rPr>
                <w:sz w:val="20"/>
                <w:szCs w:val="20"/>
              </w:rPr>
            </w:pPr>
            <w:r w:rsidRPr="008B6A75">
              <w:rPr>
                <w:sz w:val="20"/>
                <w:szCs w:val="20"/>
              </w:rPr>
              <w:t>05</w:t>
            </w:r>
          </w:p>
        </w:tc>
        <w:tc>
          <w:tcPr>
            <w:tcW w:w="567" w:type="dxa"/>
            <w:tcBorders>
              <w:top w:val="nil"/>
              <w:left w:val="single" w:sz="4" w:space="0" w:color="auto"/>
              <w:bottom w:val="single" w:sz="4" w:space="0" w:color="auto"/>
              <w:right w:val="nil"/>
            </w:tcBorders>
            <w:shd w:val="clear" w:color="auto" w:fill="auto"/>
            <w:noWrap/>
            <w:vAlign w:val="center"/>
            <w:hideMark/>
          </w:tcPr>
          <w:p w14:paraId="47277855" w14:textId="77777777" w:rsidR="00387142" w:rsidRPr="008B6A75" w:rsidRDefault="00387142" w:rsidP="00387142">
            <w:pPr>
              <w:jc w:val="center"/>
              <w:rPr>
                <w:sz w:val="20"/>
                <w:szCs w:val="20"/>
              </w:rPr>
            </w:pPr>
            <w:r w:rsidRPr="008B6A75">
              <w:rPr>
                <w:sz w:val="20"/>
                <w:szCs w:val="20"/>
              </w:rPr>
              <w:t>03</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0402F77" w14:textId="77777777" w:rsidR="00387142" w:rsidRPr="008B6A75" w:rsidRDefault="00387142" w:rsidP="00387142">
            <w:pPr>
              <w:jc w:val="right"/>
              <w:rPr>
                <w:sz w:val="20"/>
                <w:szCs w:val="20"/>
              </w:rPr>
            </w:pPr>
            <w:r w:rsidRPr="008B6A75">
              <w:rPr>
                <w:sz w:val="20"/>
                <w:szCs w:val="20"/>
              </w:rPr>
              <w:t>0,00</w:t>
            </w:r>
          </w:p>
        </w:tc>
        <w:tc>
          <w:tcPr>
            <w:tcW w:w="851" w:type="dxa"/>
            <w:tcBorders>
              <w:top w:val="nil"/>
              <w:left w:val="single" w:sz="4" w:space="0" w:color="auto"/>
              <w:bottom w:val="single" w:sz="4" w:space="0" w:color="auto"/>
              <w:right w:val="nil"/>
            </w:tcBorders>
            <w:shd w:val="clear" w:color="auto" w:fill="auto"/>
            <w:noWrap/>
            <w:vAlign w:val="center"/>
            <w:hideMark/>
          </w:tcPr>
          <w:p w14:paraId="4969D939" w14:textId="77777777" w:rsidR="00387142" w:rsidRPr="008B6A75" w:rsidRDefault="00387142" w:rsidP="00387142">
            <w:pPr>
              <w:jc w:val="right"/>
              <w:rPr>
                <w:sz w:val="20"/>
                <w:szCs w:val="20"/>
              </w:rPr>
            </w:pPr>
            <w:r w:rsidRPr="008B6A75">
              <w:rPr>
                <w:sz w:val="20"/>
                <w:szCs w:val="20"/>
              </w:rPr>
              <w:t>2 908 618,41</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7CBF363F" w14:textId="77777777" w:rsidR="00387142" w:rsidRPr="008B6A75" w:rsidRDefault="00387142" w:rsidP="00387142">
            <w:pPr>
              <w:jc w:val="right"/>
              <w:rPr>
                <w:sz w:val="20"/>
                <w:szCs w:val="20"/>
              </w:rPr>
            </w:pPr>
            <w:r w:rsidRPr="008B6A75">
              <w:rPr>
                <w:sz w:val="20"/>
                <w:szCs w:val="20"/>
              </w:rPr>
              <w:t>12 440 000,00</w:t>
            </w:r>
          </w:p>
        </w:tc>
      </w:tr>
      <w:tr w:rsidR="00387142" w:rsidRPr="008B6A75" w14:paraId="500EB156" w14:textId="77777777" w:rsidTr="00387142">
        <w:trPr>
          <w:trHeight w:val="300"/>
        </w:trPr>
        <w:tc>
          <w:tcPr>
            <w:tcW w:w="272" w:type="dxa"/>
            <w:tcBorders>
              <w:top w:val="nil"/>
              <w:left w:val="nil"/>
              <w:bottom w:val="nil"/>
              <w:right w:val="single" w:sz="4" w:space="0" w:color="auto"/>
            </w:tcBorders>
            <w:shd w:val="clear" w:color="auto" w:fill="auto"/>
            <w:noWrap/>
            <w:vAlign w:val="bottom"/>
            <w:hideMark/>
          </w:tcPr>
          <w:p w14:paraId="2CCEE4C2"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182AB228" w14:textId="77777777" w:rsidR="00387142" w:rsidRPr="008B6A75" w:rsidRDefault="00387142" w:rsidP="00387142">
            <w:pPr>
              <w:rPr>
                <w:sz w:val="20"/>
                <w:szCs w:val="20"/>
              </w:rPr>
            </w:pPr>
            <w:r w:rsidRPr="008B6A75">
              <w:rPr>
                <w:sz w:val="20"/>
                <w:szCs w:val="20"/>
              </w:rPr>
              <w:t>Межбюджетные трансферты</w:t>
            </w:r>
          </w:p>
        </w:tc>
        <w:tc>
          <w:tcPr>
            <w:tcW w:w="1559" w:type="dxa"/>
            <w:tcBorders>
              <w:top w:val="nil"/>
              <w:left w:val="single" w:sz="4" w:space="0" w:color="auto"/>
              <w:bottom w:val="single" w:sz="4" w:space="0" w:color="auto"/>
              <w:right w:val="nil"/>
            </w:tcBorders>
            <w:shd w:val="clear" w:color="auto" w:fill="auto"/>
            <w:noWrap/>
            <w:vAlign w:val="center"/>
            <w:hideMark/>
          </w:tcPr>
          <w:p w14:paraId="39016D8A" w14:textId="77777777" w:rsidR="00387142" w:rsidRPr="008B6A75" w:rsidRDefault="00387142" w:rsidP="00387142">
            <w:pPr>
              <w:jc w:val="center"/>
              <w:rPr>
                <w:sz w:val="20"/>
                <w:szCs w:val="20"/>
              </w:rPr>
            </w:pPr>
            <w:r w:rsidRPr="008B6A75">
              <w:rPr>
                <w:sz w:val="20"/>
                <w:szCs w:val="20"/>
              </w:rPr>
              <w:t>17.2.F2.55552</w:t>
            </w:r>
          </w:p>
        </w:tc>
        <w:tc>
          <w:tcPr>
            <w:tcW w:w="850" w:type="dxa"/>
            <w:tcBorders>
              <w:top w:val="nil"/>
              <w:left w:val="single" w:sz="4" w:space="0" w:color="auto"/>
              <w:bottom w:val="single" w:sz="4" w:space="0" w:color="auto"/>
              <w:right w:val="nil"/>
            </w:tcBorders>
            <w:shd w:val="clear" w:color="auto" w:fill="auto"/>
            <w:noWrap/>
            <w:vAlign w:val="center"/>
            <w:hideMark/>
          </w:tcPr>
          <w:p w14:paraId="06D42C24" w14:textId="77777777" w:rsidR="00387142" w:rsidRPr="008B6A75" w:rsidRDefault="00387142" w:rsidP="00387142">
            <w:pPr>
              <w:jc w:val="center"/>
              <w:rPr>
                <w:sz w:val="20"/>
                <w:szCs w:val="20"/>
              </w:rPr>
            </w:pPr>
            <w:r w:rsidRPr="008B6A75">
              <w:rPr>
                <w:sz w:val="20"/>
                <w:szCs w:val="20"/>
              </w:rPr>
              <w:t>500</w:t>
            </w:r>
          </w:p>
        </w:tc>
        <w:tc>
          <w:tcPr>
            <w:tcW w:w="567" w:type="dxa"/>
            <w:tcBorders>
              <w:top w:val="nil"/>
              <w:left w:val="single" w:sz="4" w:space="0" w:color="auto"/>
              <w:bottom w:val="single" w:sz="4" w:space="0" w:color="auto"/>
              <w:right w:val="nil"/>
            </w:tcBorders>
            <w:shd w:val="clear" w:color="auto" w:fill="auto"/>
            <w:noWrap/>
            <w:vAlign w:val="center"/>
            <w:hideMark/>
          </w:tcPr>
          <w:p w14:paraId="14AE0EDD" w14:textId="77777777" w:rsidR="00387142" w:rsidRPr="008B6A75" w:rsidRDefault="00387142" w:rsidP="00387142">
            <w:pPr>
              <w:jc w:val="center"/>
              <w:rPr>
                <w:sz w:val="20"/>
                <w:szCs w:val="20"/>
              </w:rPr>
            </w:pPr>
            <w:r w:rsidRPr="008B6A75">
              <w:rPr>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747CE715" w14:textId="77777777" w:rsidR="00387142" w:rsidRPr="008B6A75" w:rsidRDefault="00387142" w:rsidP="00387142">
            <w:pPr>
              <w:jc w:val="center"/>
              <w:rPr>
                <w:sz w:val="20"/>
                <w:szCs w:val="20"/>
              </w:rPr>
            </w:pPr>
            <w:r w:rsidRPr="008B6A75">
              <w:rPr>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6BA16AC" w14:textId="77777777" w:rsidR="00387142" w:rsidRPr="008B6A75" w:rsidRDefault="00387142" w:rsidP="00387142">
            <w:pPr>
              <w:jc w:val="right"/>
              <w:rPr>
                <w:sz w:val="20"/>
                <w:szCs w:val="20"/>
              </w:rPr>
            </w:pPr>
            <w:r w:rsidRPr="008B6A75">
              <w:rPr>
                <w:sz w:val="20"/>
                <w:szCs w:val="20"/>
              </w:rPr>
              <w:t>22 014 773,54</w:t>
            </w:r>
          </w:p>
        </w:tc>
        <w:tc>
          <w:tcPr>
            <w:tcW w:w="851" w:type="dxa"/>
            <w:tcBorders>
              <w:top w:val="nil"/>
              <w:left w:val="single" w:sz="4" w:space="0" w:color="auto"/>
              <w:bottom w:val="single" w:sz="4" w:space="0" w:color="auto"/>
              <w:right w:val="nil"/>
            </w:tcBorders>
            <w:shd w:val="clear" w:color="auto" w:fill="auto"/>
            <w:noWrap/>
            <w:vAlign w:val="center"/>
            <w:hideMark/>
          </w:tcPr>
          <w:p w14:paraId="5C04C309" w14:textId="77777777" w:rsidR="00387142" w:rsidRPr="008B6A75" w:rsidRDefault="00387142" w:rsidP="00387142">
            <w:pPr>
              <w:jc w:val="right"/>
              <w:rPr>
                <w:sz w:val="20"/>
                <w:szCs w:val="20"/>
              </w:rPr>
            </w:pPr>
            <w:r w:rsidRPr="008B6A75">
              <w:rPr>
                <w:sz w:val="20"/>
                <w:szCs w:val="20"/>
              </w:rPr>
              <w:t>9 531 381,59</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3DBB2888" w14:textId="77777777" w:rsidR="00387142" w:rsidRPr="008B6A75" w:rsidRDefault="00387142" w:rsidP="00387142">
            <w:pPr>
              <w:jc w:val="right"/>
              <w:rPr>
                <w:sz w:val="20"/>
                <w:szCs w:val="20"/>
              </w:rPr>
            </w:pPr>
            <w:r w:rsidRPr="008B6A75">
              <w:rPr>
                <w:sz w:val="20"/>
                <w:szCs w:val="20"/>
              </w:rPr>
              <w:t>0,00</w:t>
            </w:r>
          </w:p>
        </w:tc>
      </w:tr>
      <w:tr w:rsidR="00387142" w:rsidRPr="008B6A75" w14:paraId="1A16B4B1" w14:textId="77777777" w:rsidTr="00387142">
        <w:trPr>
          <w:trHeight w:val="300"/>
        </w:trPr>
        <w:tc>
          <w:tcPr>
            <w:tcW w:w="272" w:type="dxa"/>
            <w:tcBorders>
              <w:top w:val="nil"/>
              <w:left w:val="nil"/>
              <w:bottom w:val="nil"/>
              <w:right w:val="single" w:sz="4" w:space="0" w:color="auto"/>
            </w:tcBorders>
            <w:shd w:val="clear" w:color="auto" w:fill="auto"/>
            <w:noWrap/>
            <w:vAlign w:val="bottom"/>
            <w:hideMark/>
          </w:tcPr>
          <w:p w14:paraId="5EB61877"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0AD58079" w14:textId="77777777" w:rsidR="00387142" w:rsidRPr="008B6A75" w:rsidRDefault="00387142" w:rsidP="00387142">
            <w:pPr>
              <w:rPr>
                <w:sz w:val="20"/>
                <w:szCs w:val="20"/>
              </w:rPr>
            </w:pPr>
            <w:r w:rsidRPr="008B6A75">
              <w:rPr>
                <w:sz w:val="20"/>
                <w:szCs w:val="20"/>
              </w:rPr>
              <w:t>Субсидии</w:t>
            </w:r>
          </w:p>
        </w:tc>
        <w:tc>
          <w:tcPr>
            <w:tcW w:w="1559" w:type="dxa"/>
            <w:tcBorders>
              <w:top w:val="nil"/>
              <w:left w:val="single" w:sz="4" w:space="0" w:color="auto"/>
              <w:bottom w:val="single" w:sz="4" w:space="0" w:color="auto"/>
              <w:right w:val="nil"/>
            </w:tcBorders>
            <w:shd w:val="clear" w:color="auto" w:fill="auto"/>
            <w:noWrap/>
            <w:vAlign w:val="center"/>
            <w:hideMark/>
          </w:tcPr>
          <w:p w14:paraId="3BAE635F" w14:textId="77777777" w:rsidR="00387142" w:rsidRPr="008B6A75" w:rsidRDefault="00387142" w:rsidP="00387142">
            <w:pPr>
              <w:jc w:val="center"/>
              <w:rPr>
                <w:sz w:val="20"/>
                <w:szCs w:val="20"/>
              </w:rPr>
            </w:pPr>
            <w:r w:rsidRPr="008B6A75">
              <w:rPr>
                <w:sz w:val="20"/>
                <w:szCs w:val="20"/>
              </w:rPr>
              <w:t>17.2.F2.55552</w:t>
            </w:r>
          </w:p>
        </w:tc>
        <w:tc>
          <w:tcPr>
            <w:tcW w:w="850" w:type="dxa"/>
            <w:tcBorders>
              <w:top w:val="nil"/>
              <w:left w:val="single" w:sz="4" w:space="0" w:color="auto"/>
              <w:bottom w:val="single" w:sz="4" w:space="0" w:color="auto"/>
              <w:right w:val="nil"/>
            </w:tcBorders>
            <w:shd w:val="clear" w:color="auto" w:fill="auto"/>
            <w:noWrap/>
            <w:vAlign w:val="center"/>
            <w:hideMark/>
          </w:tcPr>
          <w:p w14:paraId="2C26FCF1" w14:textId="77777777" w:rsidR="00387142" w:rsidRPr="008B6A75" w:rsidRDefault="00387142" w:rsidP="00387142">
            <w:pPr>
              <w:jc w:val="center"/>
              <w:rPr>
                <w:sz w:val="20"/>
                <w:szCs w:val="20"/>
              </w:rPr>
            </w:pPr>
            <w:r w:rsidRPr="008B6A75">
              <w:rPr>
                <w:sz w:val="20"/>
                <w:szCs w:val="20"/>
              </w:rPr>
              <w:t>520</w:t>
            </w:r>
          </w:p>
        </w:tc>
        <w:tc>
          <w:tcPr>
            <w:tcW w:w="567" w:type="dxa"/>
            <w:tcBorders>
              <w:top w:val="nil"/>
              <w:left w:val="single" w:sz="4" w:space="0" w:color="auto"/>
              <w:bottom w:val="single" w:sz="4" w:space="0" w:color="auto"/>
              <w:right w:val="nil"/>
            </w:tcBorders>
            <w:shd w:val="clear" w:color="auto" w:fill="auto"/>
            <w:noWrap/>
            <w:vAlign w:val="center"/>
            <w:hideMark/>
          </w:tcPr>
          <w:p w14:paraId="6EC283B0" w14:textId="77777777" w:rsidR="00387142" w:rsidRPr="008B6A75" w:rsidRDefault="00387142" w:rsidP="00387142">
            <w:pPr>
              <w:jc w:val="center"/>
              <w:rPr>
                <w:sz w:val="20"/>
                <w:szCs w:val="20"/>
              </w:rPr>
            </w:pPr>
            <w:r w:rsidRPr="008B6A75">
              <w:rPr>
                <w:sz w:val="20"/>
                <w:szCs w:val="20"/>
              </w:rPr>
              <w:t>05</w:t>
            </w:r>
          </w:p>
        </w:tc>
        <w:tc>
          <w:tcPr>
            <w:tcW w:w="567" w:type="dxa"/>
            <w:tcBorders>
              <w:top w:val="nil"/>
              <w:left w:val="single" w:sz="4" w:space="0" w:color="auto"/>
              <w:bottom w:val="single" w:sz="4" w:space="0" w:color="auto"/>
              <w:right w:val="nil"/>
            </w:tcBorders>
            <w:shd w:val="clear" w:color="auto" w:fill="auto"/>
            <w:noWrap/>
            <w:vAlign w:val="center"/>
            <w:hideMark/>
          </w:tcPr>
          <w:p w14:paraId="3742E47C" w14:textId="77777777" w:rsidR="00387142" w:rsidRPr="008B6A75" w:rsidRDefault="00387142" w:rsidP="00387142">
            <w:pPr>
              <w:jc w:val="center"/>
              <w:rPr>
                <w:sz w:val="20"/>
                <w:szCs w:val="20"/>
              </w:rPr>
            </w:pPr>
            <w:r w:rsidRPr="008B6A75">
              <w:rPr>
                <w:sz w:val="20"/>
                <w:szCs w:val="20"/>
              </w:rPr>
              <w:t>03</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C44321B" w14:textId="77777777" w:rsidR="00387142" w:rsidRPr="008B6A75" w:rsidRDefault="00387142" w:rsidP="00387142">
            <w:pPr>
              <w:jc w:val="right"/>
              <w:rPr>
                <w:sz w:val="20"/>
                <w:szCs w:val="20"/>
              </w:rPr>
            </w:pPr>
            <w:r w:rsidRPr="008B6A75">
              <w:rPr>
                <w:sz w:val="20"/>
                <w:szCs w:val="20"/>
              </w:rPr>
              <w:t>21 971 300,00</w:t>
            </w:r>
          </w:p>
        </w:tc>
        <w:tc>
          <w:tcPr>
            <w:tcW w:w="851" w:type="dxa"/>
            <w:tcBorders>
              <w:top w:val="nil"/>
              <w:left w:val="single" w:sz="4" w:space="0" w:color="auto"/>
              <w:bottom w:val="single" w:sz="4" w:space="0" w:color="auto"/>
              <w:right w:val="nil"/>
            </w:tcBorders>
            <w:shd w:val="clear" w:color="auto" w:fill="auto"/>
            <w:noWrap/>
            <w:vAlign w:val="center"/>
            <w:hideMark/>
          </w:tcPr>
          <w:p w14:paraId="7F42ED1A" w14:textId="77777777" w:rsidR="00387142" w:rsidRPr="008B6A75" w:rsidRDefault="00387142" w:rsidP="00387142">
            <w:pPr>
              <w:jc w:val="right"/>
              <w:rPr>
                <w:sz w:val="20"/>
                <w:szCs w:val="20"/>
              </w:rPr>
            </w:pPr>
            <w:r w:rsidRPr="008B6A75">
              <w:rPr>
                <w:sz w:val="20"/>
                <w:szCs w:val="20"/>
              </w:rPr>
              <w:t>9 531 381,59</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458F0099" w14:textId="77777777" w:rsidR="00387142" w:rsidRPr="008B6A75" w:rsidRDefault="00387142" w:rsidP="00387142">
            <w:pPr>
              <w:jc w:val="right"/>
              <w:rPr>
                <w:sz w:val="20"/>
                <w:szCs w:val="20"/>
              </w:rPr>
            </w:pPr>
            <w:r w:rsidRPr="008B6A75">
              <w:rPr>
                <w:sz w:val="20"/>
                <w:szCs w:val="20"/>
              </w:rPr>
              <w:t>0,00</w:t>
            </w:r>
          </w:p>
        </w:tc>
      </w:tr>
      <w:tr w:rsidR="00387142" w:rsidRPr="008B6A75" w14:paraId="4E515B98" w14:textId="77777777" w:rsidTr="00387142">
        <w:trPr>
          <w:trHeight w:val="300"/>
        </w:trPr>
        <w:tc>
          <w:tcPr>
            <w:tcW w:w="272" w:type="dxa"/>
            <w:tcBorders>
              <w:top w:val="nil"/>
              <w:left w:val="nil"/>
              <w:bottom w:val="nil"/>
              <w:right w:val="single" w:sz="4" w:space="0" w:color="auto"/>
            </w:tcBorders>
            <w:shd w:val="clear" w:color="auto" w:fill="auto"/>
            <w:noWrap/>
            <w:vAlign w:val="bottom"/>
            <w:hideMark/>
          </w:tcPr>
          <w:p w14:paraId="741EAC3C"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57C27401" w14:textId="77777777" w:rsidR="00387142" w:rsidRPr="008B6A75" w:rsidRDefault="00387142" w:rsidP="00387142">
            <w:pPr>
              <w:rPr>
                <w:sz w:val="20"/>
                <w:szCs w:val="20"/>
              </w:rPr>
            </w:pPr>
            <w:r w:rsidRPr="008B6A75">
              <w:rPr>
                <w:sz w:val="20"/>
                <w:szCs w:val="20"/>
              </w:rPr>
              <w:t>Иные межбюджетные трансферты</w:t>
            </w:r>
          </w:p>
        </w:tc>
        <w:tc>
          <w:tcPr>
            <w:tcW w:w="1559" w:type="dxa"/>
            <w:tcBorders>
              <w:top w:val="nil"/>
              <w:left w:val="single" w:sz="4" w:space="0" w:color="auto"/>
              <w:bottom w:val="single" w:sz="4" w:space="0" w:color="auto"/>
              <w:right w:val="nil"/>
            </w:tcBorders>
            <w:shd w:val="clear" w:color="auto" w:fill="auto"/>
            <w:noWrap/>
            <w:vAlign w:val="center"/>
            <w:hideMark/>
          </w:tcPr>
          <w:p w14:paraId="59E92E17" w14:textId="77777777" w:rsidR="00387142" w:rsidRPr="008B6A75" w:rsidRDefault="00387142" w:rsidP="00387142">
            <w:pPr>
              <w:jc w:val="center"/>
              <w:rPr>
                <w:sz w:val="20"/>
                <w:szCs w:val="20"/>
              </w:rPr>
            </w:pPr>
            <w:r w:rsidRPr="008B6A75">
              <w:rPr>
                <w:sz w:val="20"/>
                <w:szCs w:val="20"/>
              </w:rPr>
              <w:t>17.2.F2.55552</w:t>
            </w:r>
          </w:p>
        </w:tc>
        <w:tc>
          <w:tcPr>
            <w:tcW w:w="850" w:type="dxa"/>
            <w:tcBorders>
              <w:top w:val="nil"/>
              <w:left w:val="single" w:sz="4" w:space="0" w:color="auto"/>
              <w:bottom w:val="single" w:sz="4" w:space="0" w:color="auto"/>
              <w:right w:val="nil"/>
            </w:tcBorders>
            <w:shd w:val="clear" w:color="auto" w:fill="auto"/>
            <w:noWrap/>
            <w:vAlign w:val="center"/>
            <w:hideMark/>
          </w:tcPr>
          <w:p w14:paraId="619A1F7D" w14:textId="77777777" w:rsidR="00387142" w:rsidRPr="008B6A75" w:rsidRDefault="00387142" w:rsidP="00387142">
            <w:pPr>
              <w:jc w:val="center"/>
              <w:rPr>
                <w:sz w:val="20"/>
                <w:szCs w:val="20"/>
              </w:rPr>
            </w:pPr>
            <w:r w:rsidRPr="008B6A75">
              <w:rPr>
                <w:sz w:val="20"/>
                <w:szCs w:val="20"/>
              </w:rPr>
              <w:t>540</w:t>
            </w:r>
          </w:p>
        </w:tc>
        <w:tc>
          <w:tcPr>
            <w:tcW w:w="567" w:type="dxa"/>
            <w:tcBorders>
              <w:top w:val="nil"/>
              <w:left w:val="single" w:sz="4" w:space="0" w:color="auto"/>
              <w:bottom w:val="single" w:sz="4" w:space="0" w:color="auto"/>
              <w:right w:val="nil"/>
            </w:tcBorders>
            <w:shd w:val="clear" w:color="auto" w:fill="auto"/>
            <w:noWrap/>
            <w:vAlign w:val="center"/>
            <w:hideMark/>
          </w:tcPr>
          <w:p w14:paraId="70B6F744" w14:textId="77777777" w:rsidR="00387142" w:rsidRPr="008B6A75" w:rsidRDefault="00387142" w:rsidP="00387142">
            <w:pPr>
              <w:jc w:val="center"/>
              <w:rPr>
                <w:sz w:val="20"/>
                <w:szCs w:val="20"/>
              </w:rPr>
            </w:pPr>
            <w:r w:rsidRPr="008B6A75">
              <w:rPr>
                <w:sz w:val="20"/>
                <w:szCs w:val="20"/>
              </w:rPr>
              <w:t>05</w:t>
            </w:r>
          </w:p>
        </w:tc>
        <w:tc>
          <w:tcPr>
            <w:tcW w:w="567" w:type="dxa"/>
            <w:tcBorders>
              <w:top w:val="nil"/>
              <w:left w:val="single" w:sz="4" w:space="0" w:color="auto"/>
              <w:bottom w:val="single" w:sz="4" w:space="0" w:color="auto"/>
              <w:right w:val="nil"/>
            </w:tcBorders>
            <w:shd w:val="clear" w:color="auto" w:fill="auto"/>
            <w:noWrap/>
            <w:vAlign w:val="center"/>
            <w:hideMark/>
          </w:tcPr>
          <w:p w14:paraId="3638EB62" w14:textId="77777777" w:rsidR="00387142" w:rsidRPr="008B6A75" w:rsidRDefault="00387142" w:rsidP="00387142">
            <w:pPr>
              <w:jc w:val="center"/>
              <w:rPr>
                <w:sz w:val="20"/>
                <w:szCs w:val="20"/>
              </w:rPr>
            </w:pPr>
            <w:r w:rsidRPr="008B6A75">
              <w:rPr>
                <w:sz w:val="20"/>
                <w:szCs w:val="20"/>
              </w:rPr>
              <w:t>03</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0AAD5DC" w14:textId="77777777" w:rsidR="00387142" w:rsidRPr="008B6A75" w:rsidRDefault="00387142" w:rsidP="00387142">
            <w:pPr>
              <w:jc w:val="right"/>
              <w:rPr>
                <w:sz w:val="20"/>
                <w:szCs w:val="20"/>
              </w:rPr>
            </w:pPr>
            <w:r w:rsidRPr="008B6A75">
              <w:rPr>
                <w:sz w:val="20"/>
                <w:szCs w:val="20"/>
              </w:rPr>
              <w:t>43 473,54</w:t>
            </w:r>
          </w:p>
        </w:tc>
        <w:tc>
          <w:tcPr>
            <w:tcW w:w="851" w:type="dxa"/>
            <w:tcBorders>
              <w:top w:val="nil"/>
              <w:left w:val="single" w:sz="4" w:space="0" w:color="auto"/>
              <w:bottom w:val="single" w:sz="4" w:space="0" w:color="auto"/>
              <w:right w:val="nil"/>
            </w:tcBorders>
            <w:shd w:val="clear" w:color="auto" w:fill="auto"/>
            <w:noWrap/>
            <w:vAlign w:val="center"/>
            <w:hideMark/>
          </w:tcPr>
          <w:p w14:paraId="74DB28CB" w14:textId="77777777" w:rsidR="00387142" w:rsidRPr="008B6A75" w:rsidRDefault="00387142" w:rsidP="00387142">
            <w:pPr>
              <w:jc w:val="right"/>
              <w:rPr>
                <w:sz w:val="20"/>
                <w:szCs w:val="20"/>
              </w:rPr>
            </w:pPr>
            <w:r w:rsidRPr="008B6A75">
              <w:rPr>
                <w:sz w:val="20"/>
                <w:szCs w:val="20"/>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16B8E5B7" w14:textId="77777777" w:rsidR="00387142" w:rsidRPr="008B6A75" w:rsidRDefault="00387142" w:rsidP="00387142">
            <w:pPr>
              <w:jc w:val="right"/>
              <w:rPr>
                <w:sz w:val="20"/>
                <w:szCs w:val="20"/>
              </w:rPr>
            </w:pPr>
            <w:r w:rsidRPr="008B6A75">
              <w:rPr>
                <w:sz w:val="20"/>
                <w:szCs w:val="20"/>
              </w:rPr>
              <w:t>0,00</w:t>
            </w:r>
          </w:p>
        </w:tc>
      </w:tr>
      <w:tr w:rsidR="00387142" w:rsidRPr="008B6A75" w14:paraId="557619FE" w14:textId="77777777" w:rsidTr="00387142">
        <w:trPr>
          <w:trHeight w:val="2580"/>
        </w:trPr>
        <w:tc>
          <w:tcPr>
            <w:tcW w:w="272" w:type="dxa"/>
            <w:tcBorders>
              <w:top w:val="nil"/>
              <w:left w:val="nil"/>
              <w:bottom w:val="nil"/>
              <w:right w:val="single" w:sz="4" w:space="0" w:color="auto"/>
            </w:tcBorders>
            <w:shd w:val="clear" w:color="auto" w:fill="auto"/>
            <w:noWrap/>
            <w:vAlign w:val="bottom"/>
            <w:hideMark/>
          </w:tcPr>
          <w:p w14:paraId="2233C650"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374BBAB6" w14:textId="77777777" w:rsidR="00387142" w:rsidRPr="008B6A75" w:rsidRDefault="00387142" w:rsidP="00387142">
            <w:pPr>
              <w:rPr>
                <w:bCs/>
                <w:sz w:val="20"/>
                <w:szCs w:val="20"/>
              </w:rPr>
            </w:pPr>
            <w:r w:rsidRPr="008B6A75">
              <w:rPr>
                <w:bCs/>
                <w:sz w:val="20"/>
                <w:szCs w:val="20"/>
              </w:rPr>
              <w:t>Реализация мероприятий по формированию комфортной городской среды подпрограммы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 в» (организация общественных пространств и дворовых территорий многоквартирных домов)</w:t>
            </w:r>
          </w:p>
        </w:tc>
        <w:tc>
          <w:tcPr>
            <w:tcW w:w="1559" w:type="dxa"/>
            <w:tcBorders>
              <w:top w:val="nil"/>
              <w:left w:val="single" w:sz="4" w:space="0" w:color="auto"/>
              <w:bottom w:val="single" w:sz="4" w:space="0" w:color="auto"/>
              <w:right w:val="nil"/>
            </w:tcBorders>
            <w:shd w:val="clear" w:color="auto" w:fill="auto"/>
            <w:noWrap/>
            <w:vAlign w:val="center"/>
            <w:hideMark/>
          </w:tcPr>
          <w:p w14:paraId="6F46B52D" w14:textId="77777777" w:rsidR="00387142" w:rsidRPr="008B6A75" w:rsidRDefault="00387142" w:rsidP="00387142">
            <w:pPr>
              <w:jc w:val="center"/>
              <w:rPr>
                <w:bCs/>
                <w:sz w:val="20"/>
                <w:szCs w:val="20"/>
              </w:rPr>
            </w:pPr>
            <w:r w:rsidRPr="008B6A75">
              <w:rPr>
                <w:bCs/>
                <w:sz w:val="20"/>
                <w:szCs w:val="20"/>
              </w:rPr>
              <w:t>17.2.F2.55553</w:t>
            </w:r>
          </w:p>
        </w:tc>
        <w:tc>
          <w:tcPr>
            <w:tcW w:w="850" w:type="dxa"/>
            <w:tcBorders>
              <w:top w:val="nil"/>
              <w:left w:val="single" w:sz="4" w:space="0" w:color="auto"/>
              <w:bottom w:val="single" w:sz="4" w:space="0" w:color="auto"/>
              <w:right w:val="nil"/>
            </w:tcBorders>
            <w:shd w:val="clear" w:color="auto" w:fill="auto"/>
            <w:noWrap/>
            <w:vAlign w:val="center"/>
            <w:hideMark/>
          </w:tcPr>
          <w:p w14:paraId="06A1701E" w14:textId="77777777" w:rsidR="00387142" w:rsidRPr="008B6A75" w:rsidRDefault="00387142" w:rsidP="00387142">
            <w:pPr>
              <w:jc w:val="center"/>
              <w:rPr>
                <w:bCs/>
                <w:sz w:val="20"/>
                <w:szCs w:val="20"/>
              </w:rPr>
            </w:pPr>
            <w:r w:rsidRPr="008B6A75">
              <w:rPr>
                <w:bCs/>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7A56F09B" w14:textId="77777777" w:rsidR="00387142" w:rsidRPr="008B6A75" w:rsidRDefault="00387142" w:rsidP="00387142">
            <w:pPr>
              <w:jc w:val="center"/>
              <w:rPr>
                <w:bCs/>
                <w:sz w:val="20"/>
                <w:szCs w:val="20"/>
              </w:rPr>
            </w:pPr>
            <w:r w:rsidRPr="008B6A75">
              <w:rPr>
                <w:bCs/>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745975F9" w14:textId="77777777" w:rsidR="00387142" w:rsidRPr="008B6A75" w:rsidRDefault="00387142" w:rsidP="00387142">
            <w:pPr>
              <w:jc w:val="center"/>
              <w:rPr>
                <w:bCs/>
                <w:sz w:val="20"/>
                <w:szCs w:val="20"/>
              </w:rPr>
            </w:pPr>
            <w:r w:rsidRPr="008B6A75">
              <w:rPr>
                <w:bCs/>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70FC17A" w14:textId="77777777" w:rsidR="00387142" w:rsidRPr="008B6A75" w:rsidRDefault="00387142" w:rsidP="00387142">
            <w:pPr>
              <w:jc w:val="right"/>
              <w:rPr>
                <w:bCs/>
                <w:sz w:val="20"/>
                <w:szCs w:val="20"/>
              </w:rPr>
            </w:pPr>
            <w:r w:rsidRPr="008B6A75">
              <w:rPr>
                <w:bCs/>
                <w:sz w:val="20"/>
                <w:szCs w:val="20"/>
              </w:rPr>
              <w:t>5 116 800,00</w:t>
            </w:r>
          </w:p>
        </w:tc>
        <w:tc>
          <w:tcPr>
            <w:tcW w:w="851" w:type="dxa"/>
            <w:tcBorders>
              <w:top w:val="nil"/>
              <w:left w:val="single" w:sz="4" w:space="0" w:color="auto"/>
              <w:bottom w:val="single" w:sz="4" w:space="0" w:color="auto"/>
              <w:right w:val="nil"/>
            </w:tcBorders>
            <w:shd w:val="clear" w:color="auto" w:fill="auto"/>
            <w:noWrap/>
            <w:vAlign w:val="center"/>
            <w:hideMark/>
          </w:tcPr>
          <w:p w14:paraId="227E2E14" w14:textId="77777777" w:rsidR="00387142" w:rsidRPr="008B6A75" w:rsidRDefault="00387142" w:rsidP="00387142">
            <w:pPr>
              <w:jc w:val="right"/>
              <w:rPr>
                <w:bCs/>
                <w:sz w:val="20"/>
                <w:szCs w:val="20"/>
              </w:rPr>
            </w:pPr>
            <w:r w:rsidRPr="008B6A75">
              <w:rPr>
                <w:bCs/>
                <w:sz w:val="20"/>
                <w:szCs w:val="20"/>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5DBA770D" w14:textId="77777777" w:rsidR="00387142" w:rsidRPr="008B6A75" w:rsidRDefault="00387142" w:rsidP="00387142">
            <w:pPr>
              <w:jc w:val="right"/>
              <w:rPr>
                <w:bCs/>
                <w:sz w:val="20"/>
                <w:szCs w:val="20"/>
              </w:rPr>
            </w:pPr>
            <w:r w:rsidRPr="008B6A75">
              <w:rPr>
                <w:bCs/>
                <w:sz w:val="20"/>
                <w:szCs w:val="20"/>
              </w:rPr>
              <w:t>0,00</w:t>
            </w:r>
          </w:p>
        </w:tc>
      </w:tr>
      <w:tr w:rsidR="00387142" w:rsidRPr="008B6A75" w14:paraId="12C91BAA" w14:textId="77777777" w:rsidTr="00387142">
        <w:trPr>
          <w:trHeight w:val="300"/>
        </w:trPr>
        <w:tc>
          <w:tcPr>
            <w:tcW w:w="272" w:type="dxa"/>
            <w:tcBorders>
              <w:top w:val="nil"/>
              <w:left w:val="nil"/>
              <w:bottom w:val="nil"/>
              <w:right w:val="single" w:sz="4" w:space="0" w:color="auto"/>
            </w:tcBorders>
            <w:shd w:val="clear" w:color="auto" w:fill="auto"/>
            <w:noWrap/>
            <w:vAlign w:val="bottom"/>
            <w:hideMark/>
          </w:tcPr>
          <w:p w14:paraId="2ED0112C"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7F2F8E09" w14:textId="77777777" w:rsidR="00387142" w:rsidRPr="008B6A75" w:rsidRDefault="00387142" w:rsidP="00387142">
            <w:pPr>
              <w:rPr>
                <w:sz w:val="20"/>
                <w:szCs w:val="20"/>
              </w:rPr>
            </w:pPr>
            <w:r w:rsidRPr="008B6A75">
              <w:rPr>
                <w:sz w:val="20"/>
                <w:szCs w:val="20"/>
              </w:rPr>
              <w:t>Межбюджетные трансферты</w:t>
            </w:r>
          </w:p>
        </w:tc>
        <w:tc>
          <w:tcPr>
            <w:tcW w:w="1559" w:type="dxa"/>
            <w:tcBorders>
              <w:top w:val="nil"/>
              <w:left w:val="single" w:sz="4" w:space="0" w:color="auto"/>
              <w:bottom w:val="single" w:sz="4" w:space="0" w:color="auto"/>
              <w:right w:val="nil"/>
            </w:tcBorders>
            <w:shd w:val="clear" w:color="auto" w:fill="auto"/>
            <w:noWrap/>
            <w:vAlign w:val="center"/>
            <w:hideMark/>
          </w:tcPr>
          <w:p w14:paraId="5E68F34B" w14:textId="77777777" w:rsidR="00387142" w:rsidRPr="008B6A75" w:rsidRDefault="00387142" w:rsidP="00387142">
            <w:pPr>
              <w:jc w:val="center"/>
              <w:rPr>
                <w:sz w:val="20"/>
                <w:szCs w:val="20"/>
              </w:rPr>
            </w:pPr>
            <w:r w:rsidRPr="008B6A75">
              <w:rPr>
                <w:sz w:val="20"/>
                <w:szCs w:val="20"/>
              </w:rPr>
              <w:t>17.2.F2.55553</w:t>
            </w:r>
          </w:p>
        </w:tc>
        <w:tc>
          <w:tcPr>
            <w:tcW w:w="850" w:type="dxa"/>
            <w:tcBorders>
              <w:top w:val="nil"/>
              <w:left w:val="single" w:sz="4" w:space="0" w:color="auto"/>
              <w:bottom w:val="single" w:sz="4" w:space="0" w:color="auto"/>
              <w:right w:val="nil"/>
            </w:tcBorders>
            <w:shd w:val="clear" w:color="auto" w:fill="auto"/>
            <w:noWrap/>
            <w:vAlign w:val="center"/>
            <w:hideMark/>
          </w:tcPr>
          <w:p w14:paraId="7B4A602E" w14:textId="77777777" w:rsidR="00387142" w:rsidRPr="008B6A75" w:rsidRDefault="00387142" w:rsidP="00387142">
            <w:pPr>
              <w:jc w:val="center"/>
              <w:rPr>
                <w:sz w:val="20"/>
                <w:szCs w:val="20"/>
              </w:rPr>
            </w:pPr>
            <w:r w:rsidRPr="008B6A75">
              <w:rPr>
                <w:sz w:val="20"/>
                <w:szCs w:val="20"/>
              </w:rPr>
              <w:t>500</w:t>
            </w:r>
          </w:p>
        </w:tc>
        <w:tc>
          <w:tcPr>
            <w:tcW w:w="567" w:type="dxa"/>
            <w:tcBorders>
              <w:top w:val="nil"/>
              <w:left w:val="single" w:sz="4" w:space="0" w:color="auto"/>
              <w:bottom w:val="single" w:sz="4" w:space="0" w:color="auto"/>
              <w:right w:val="nil"/>
            </w:tcBorders>
            <w:shd w:val="clear" w:color="auto" w:fill="auto"/>
            <w:noWrap/>
            <w:vAlign w:val="center"/>
            <w:hideMark/>
          </w:tcPr>
          <w:p w14:paraId="6F58C00A" w14:textId="77777777" w:rsidR="00387142" w:rsidRPr="008B6A75" w:rsidRDefault="00387142" w:rsidP="00387142">
            <w:pPr>
              <w:jc w:val="center"/>
              <w:rPr>
                <w:sz w:val="20"/>
                <w:szCs w:val="20"/>
              </w:rPr>
            </w:pPr>
            <w:r w:rsidRPr="008B6A75">
              <w:rPr>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3ACC3F3D" w14:textId="77777777" w:rsidR="00387142" w:rsidRPr="008B6A75" w:rsidRDefault="00387142" w:rsidP="00387142">
            <w:pPr>
              <w:jc w:val="center"/>
              <w:rPr>
                <w:sz w:val="20"/>
                <w:szCs w:val="20"/>
              </w:rPr>
            </w:pPr>
            <w:r w:rsidRPr="008B6A75">
              <w:rPr>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8A2C786" w14:textId="77777777" w:rsidR="00387142" w:rsidRPr="008B6A75" w:rsidRDefault="00387142" w:rsidP="00387142">
            <w:pPr>
              <w:jc w:val="right"/>
              <w:rPr>
                <w:sz w:val="20"/>
                <w:szCs w:val="20"/>
              </w:rPr>
            </w:pPr>
            <w:r w:rsidRPr="008B6A75">
              <w:rPr>
                <w:sz w:val="20"/>
                <w:szCs w:val="20"/>
              </w:rPr>
              <w:t>5 116 800,00</w:t>
            </w:r>
          </w:p>
        </w:tc>
        <w:tc>
          <w:tcPr>
            <w:tcW w:w="851" w:type="dxa"/>
            <w:tcBorders>
              <w:top w:val="nil"/>
              <w:left w:val="single" w:sz="4" w:space="0" w:color="auto"/>
              <w:bottom w:val="single" w:sz="4" w:space="0" w:color="auto"/>
              <w:right w:val="nil"/>
            </w:tcBorders>
            <w:shd w:val="clear" w:color="auto" w:fill="auto"/>
            <w:noWrap/>
            <w:vAlign w:val="center"/>
            <w:hideMark/>
          </w:tcPr>
          <w:p w14:paraId="27CD3AA5" w14:textId="77777777" w:rsidR="00387142" w:rsidRPr="008B6A75" w:rsidRDefault="00387142" w:rsidP="00387142">
            <w:pPr>
              <w:jc w:val="right"/>
              <w:rPr>
                <w:sz w:val="20"/>
                <w:szCs w:val="20"/>
              </w:rPr>
            </w:pPr>
            <w:r w:rsidRPr="008B6A75">
              <w:rPr>
                <w:sz w:val="20"/>
                <w:szCs w:val="20"/>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074F930D" w14:textId="77777777" w:rsidR="00387142" w:rsidRPr="008B6A75" w:rsidRDefault="00387142" w:rsidP="00387142">
            <w:pPr>
              <w:jc w:val="right"/>
              <w:rPr>
                <w:sz w:val="20"/>
                <w:szCs w:val="20"/>
              </w:rPr>
            </w:pPr>
            <w:r w:rsidRPr="008B6A75">
              <w:rPr>
                <w:sz w:val="20"/>
                <w:szCs w:val="20"/>
              </w:rPr>
              <w:t>0,00</w:t>
            </w:r>
          </w:p>
        </w:tc>
      </w:tr>
      <w:tr w:rsidR="00387142" w:rsidRPr="008B6A75" w14:paraId="3CB3F818" w14:textId="77777777" w:rsidTr="00387142">
        <w:trPr>
          <w:trHeight w:val="300"/>
        </w:trPr>
        <w:tc>
          <w:tcPr>
            <w:tcW w:w="272" w:type="dxa"/>
            <w:tcBorders>
              <w:top w:val="nil"/>
              <w:left w:val="nil"/>
              <w:bottom w:val="nil"/>
              <w:right w:val="single" w:sz="4" w:space="0" w:color="auto"/>
            </w:tcBorders>
            <w:shd w:val="clear" w:color="auto" w:fill="auto"/>
            <w:noWrap/>
            <w:vAlign w:val="bottom"/>
            <w:hideMark/>
          </w:tcPr>
          <w:p w14:paraId="4836F63D" w14:textId="77777777" w:rsidR="00387142" w:rsidRPr="008B6A75" w:rsidRDefault="00387142" w:rsidP="00387142">
            <w:pPr>
              <w:rPr>
                <w:sz w:val="20"/>
                <w:szCs w:val="20"/>
              </w:rPr>
            </w:pPr>
            <w:r w:rsidRPr="008B6A75">
              <w:rPr>
                <w:sz w:val="20"/>
                <w:szCs w:val="20"/>
              </w:rPr>
              <w:lastRenderedPageBreak/>
              <w:t> </w:t>
            </w:r>
          </w:p>
        </w:tc>
        <w:tc>
          <w:tcPr>
            <w:tcW w:w="3415" w:type="dxa"/>
            <w:tcBorders>
              <w:top w:val="nil"/>
              <w:left w:val="single" w:sz="4" w:space="0" w:color="auto"/>
              <w:bottom w:val="single" w:sz="4" w:space="0" w:color="auto"/>
              <w:right w:val="nil"/>
            </w:tcBorders>
            <w:shd w:val="clear" w:color="auto" w:fill="auto"/>
            <w:vAlign w:val="center"/>
            <w:hideMark/>
          </w:tcPr>
          <w:p w14:paraId="7F9165D0" w14:textId="77777777" w:rsidR="00387142" w:rsidRPr="008B6A75" w:rsidRDefault="00387142" w:rsidP="00387142">
            <w:pPr>
              <w:rPr>
                <w:sz w:val="20"/>
                <w:szCs w:val="20"/>
              </w:rPr>
            </w:pPr>
            <w:r w:rsidRPr="008B6A75">
              <w:rPr>
                <w:sz w:val="20"/>
                <w:szCs w:val="20"/>
              </w:rPr>
              <w:t>Субсидии</w:t>
            </w:r>
          </w:p>
        </w:tc>
        <w:tc>
          <w:tcPr>
            <w:tcW w:w="1559" w:type="dxa"/>
            <w:tcBorders>
              <w:top w:val="nil"/>
              <w:left w:val="single" w:sz="4" w:space="0" w:color="auto"/>
              <w:bottom w:val="single" w:sz="4" w:space="0" w:color="auto"/>
              <w:right w:val="nil"/>
            </w:tcBorders>
            <w:shd w:val="clear" w:color="auto" w:fill="auto"/>
            <w:noWrap/>
            <w:vAlign w:val="center"/>
            <w:hideMark/>
          </w:tcPr>
          <w:p w14:paraId="07FBCCBC" w14:textId="77777777" w:rsidR="00387142" w:rsidRPr="008B6A75" w:rsidRDefault="00387142" w:rsidP="00387142">
            <w:pPr>
              <w:jc w:val="center"/>
              <w:rPr>
                <w:sz w:val="20"/>
                <w:szCs w:val="20"/>
              </w:rPr>
            </w:pPr>
            <w:r w:rsidRPr="008B6A75">
              <w:rPr>
                <w:sz w:val="20"/>
                <w:szCs w:val="20"/>
              </w:rPr>
              <w:t>17.2.F2.55553</w:t>
            </w:r>
          </w:p>
        </w:tc>
        <w:tc>
          <w:tcPr>
            <w:tcW w:w="850" w:type="dxa"/>
            <w:tcBorders>
              <w:top w:val="nil"/>
              <w:left w:val="single" w:sz="4" w:space="0" w:color="auto"/>
              <w:bottom w:val="single" w:sz="4" w:space="0" w:color="auto"/>
              <w:right w:val="nil"/>
            </w:tcBorders>
            <w:shd w:val="clear" w:color="auto" w:fill="auto"/>
            <w:noWrap/>
            <w:vAlign w:val="center"/>
            <w:hideMark/>
          </w:tcPr>
          <w:p w14:paraId="61E9F8A0" w14:textId="77777777" w:rsidR="00387142" w:rsidRPr="008B6A75" w:rsidRDefault="00387142" w:rsidP="00387142">
            <w:pPr>
              <w:jc w:val="center"/>
              <w:rPr>
                <w:sz w:val="20"/>
                <w:szCs w:val="20"/>
              </w:rPr>
            </w:pPr>
            <w:r w:rsidRPr="008B6A75">
              <w:rPr>
                <w:sz w:val="20"/>
                <w:szCs w:val="20"/>
              </w:rPr>
              <w:t>520</w:t>
            </w:r>
          </w:p>
        </w:tc>
        <w:tc>
          <w:tcPr>
            <w:tcW w:w="567" w:type="dxa"/>
            <w:tcBorders>
              <w:top w:val="nil"/>
              <w:left w:val="single" w:sz="4" w:space="0" w:color="auto"/>
              <w:bottom w:val="single" w:sz="4" w:space="0" w:color="auto"/>
              <w:right w:val="nil"/>
            </w:tcBorders>
            <w:shd w:val="clear" w:color="auto" w:fill="auto"/>
            <w:noWrap/>
            <w:vAlign w:val="center"/>
            <w:hideMark/>
          </w:tcPr>
          <w:p w14:paraId="67F3F208" w14:textId="77777777" w:rsidR="00387142" w:rsidRPr="008B6A75" w:rsidRDefault="00387142" w:rsidP="00387142">
            <w:pPr>
              <w:jc w:val="center"/>
              <w:rPr>
                <w:sz w:val="20"/>
                <w:szCs w:val="20"/>
              </w:rPr>
            </w:pPr>
            <w:r w:rsidRPr="008B6A75">
              <w:rPr>
                <w:sz w:val="20"/>
                <w:szCs w:val="20"/>
              </w:rPr>
              <w:t>05</w:t>
            </w:r>
          </w:p>
        </w:tc>
        <w:tc>
          <w:tcPr>
            <w:tcW w:w="567" w:type="dxa"/>
            <w:tcBorders>
              <w:top w:val="nil"/>
              <w:left w:val="single" w:sz="4" w:space="0" w:color="auto"/>
              <w:bottom w:val="single" w:sz="4" w:space="0" w:color="auto"/>
              <w:right w:val="nil"/>
            </w:tcBorders>
            <w:shd w:val="clear" w:color="auto" w:fill="auto"/>
            <w:noWrap/>
            <w:vAlign w:val="center"/>
            <w:hideMark/>
          </w:tcPr>
          <w:p w14:paraId="149909EE" w14:textId="77777777" w:rsidR="00387142" w:rsidRPr="008B6A75" w:rsidRDefault="00387142" w:rsidP="00387142">
            <w:pPr>
              <w:jc w:val="center"/>
              <w:rPr>
                <w:sz w:val="20"/>
                <w:szCs w:val="20"/>
              </w:rPr>
            </w:pPr>
            <w:r w:rsidRPr="008B6A75">
              <w:rPr>
                <w:sz w:val="20"/>
                <w:szCs w:val="20"/>
              </w:rPr>
              <w:t>03</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E1EADF3" w14:textId="77777777" w:rsidR="00387142" w:rsidRPr="008B6A75" w:rsidRDefault="00387142" w:rsidP="00387142">
            <w:pPr>
              <w:jc w:val="right"/>
              <w:rPr>
                <w:sz w:val="20"/>
                <w:szCs w:val="20"/>
              </w:rPr>
            </w:pPr>
            <w:r w:rsidRPr="008B6A75">
              <w:rPr>
                <w:sz w:val="20"/>
                <w:szCs w:val="20"/>
              </w:rPr>
              <w:t>5 116 800,00</w:t>
            </w:r>
          </w:p>
        </w:tc>
        <w:tc>
          <w:tcPr>
            <w:tcW w:w="851" w:type="dxa"/>
            <w:tcBorders>
              <w:top w:val="nil"/>
              <w:left w:val="single" w:sz="4" w:space="0" w:color="auto"/>
              <w:bottom w:val="single" w:sz="4" w:space="0" w:color="auto"/>
              <w:right w:val="nil"/>
            </w:tcBorders>
            <w:shd w:val="clear" w:color="auto" w:fill="auto"/>
            <w:noWrap/>
            <w:vAlign w:val="center"/>
            <w:hideMark/>
          </w:tcPr>
          <w:p w14:paraId="0A042FDA" w14:textId="77777777" w:rsidR="00387142" w:rsidRPr="008B6A75" w:rsidRDefault="00387142" w:rsidP="00387142">
            <w:pPr>
              <w:jc w:val="right"/>
              <w:rPr>
                <w:sz w:val="20"/>
                <w:szCs w:val="20"/>
              </w:rPr>
            </w:pPr>
            <w:r w:rsidRPr="008B6A75">
              <w:rPr>
                <w:sz w:val="20"/>
                <w:szCs w:val="20"/>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5DAC793D" w14:textId="77777777" w:rsidR="00387142" w:rsidRPr="008B6A75" w:rsidRDefault="00387142" w:rsidP="00387142">
            <w:pPr>
              <w:jc w:val="right"/>
              <w:rPr>
                <w:sz w:val="20"/>
                <w:szCs w:val="20"/>
              </w:rPr>
            </w:pPr>
            <w:r w:rsidRPr="008B6A75">
              <w:rPr>
                <w:sz w:val="20"/>
                <w:szCs w:val="20"/>
              </w:rPr>
              <w:t>0,00</w:t>
            </w:r>
          </w:p>
        </w:tc>
      </w:tr>
      <w:tr w:rsidR="00387142" w:rsidRPr="008B6A75" w14:paraId="43BE9A41" w14:textId="77777777" w:rsidTr="00387142">
        <w:trPr>
          <w:trHeight w:val="870"/>
        </w:trPr>
        <w:tc>
          <w:tcPr>
            <w:tcW w:w="272" w:type="dxa"/>
            <w:tcBorders>
              <w:top w:val="nil"/>
              <w:left w:val="nil"/>
              <w:bottom w:val="nil"/>
              <w:right w:val="single" w:sz="4" w:space="0" w:color="auto"/>
            </w:tcBorders>
            <w:shd w:val="clear" w:color="auto" w:fill="auto"/>
            <w:noWrap/>
            <w:vAlign w:val="bottom"/>
            <w:hideMark/>
          </w:tcPr>
          <w:p w14:paraId="5F418FE0"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71397870" w14:textId="77777777" w:rsidR="00387142" w:rsidRPr="008B6A75" w:rsidRDefault="00387142" w:rsidP="00387142">
            <w:pPr>
              <w:rPr>
                <w:bCs/>
                <w:sz w:val="20"/>
                <w:szCs w:val="20"/>
              </w:rPr>
            </w:pPr>
            <w:r w:rsidRPr="008B6A75">
              <w:rPr>
                <w:bCs/>
                <w:sz w:val="20"/>
                <w:szCs w:val="20"/>
              </w:rPr>
              <w:t>Подпрограмма "Безопасность жилищно-коммунального хозяйства Куйбышевского района"</w:t>
            </w:r>
          </w:p>
        </w:tc>
        <w:tc>
          <w:tcPr>
            <w:tcW w:w="1559" w:type="dxa"/>
            <w:tcBorders>
              <w:top w:val="nil"/>
              <w:left w:val="single" w:sz="4" w:space="0" w:color="auto"/>
              <w:bottom w:val="single" w:sz="4" w:space="0" w:color="auto"/>
              <w:right w:val="nil"/>
            </w:tcBorders>
            <w:shd w:val="clear" w:color="auto" w:fill="auto"/>
            <w:noWrap/>
            <w:vAlign w:val="center"/>
            <w:hideMark/>
          </w:tcPr>
          <w:p w14:paraId="44CE4863" w14:textId="77777777" w:rsidR="00387142" w:rsidRPr="008B6A75" w:rsidRDefault="00387142" w:rsidP="00387142">
            <w:pPr>
              <w:jc w:val="center"/>
              <w:rPr>
                <w:bCs/>
                <w:sz w:val="20"/>
                <w:szCs w:val="20"/>
              </w:rPr>
            </w:pPr>
            <w:r w:rsidRPr="008B6A75">
              <w:rPr>
                <w:bCs/>
                <w:sz w:val="20"/>
                <w:szCs w:val="20"/>
              </w:rPr>
              <w:t>17.3.00.00000</w:t>
            </w:r>
          </w:p>
        </w:tc>
        <w:tc>
          <w:tcPr>
            <w:tcW w:w="850" w:type="dxa"/>
            <w:tcBorders>
              <w:top w:val="nil"/>
              <w:left w:val="single" w:sz="4" w:space="0" w:color="auto"/>
              <w:bottom w:val="single" w:sz="4" w:space="0" w:color="auto"/>
              <w:right w:val="nil"/>
            </w:tcBorders>
            <w:shd w:val="clear" w:color="auto" w:fill="auto"/>
            <w:noWrap/>
            <w:vAlign w:val="center"/>
            <w:hideMark/>
          </w:tcPr>
          <w:p w14:paraId="38BBE6CA" w14:textId="77777777" w:rsidR="00387142" w:rsidRPr="008B6A75" w:rsidRDefault="00387142" w:rsidP="00387142">
            <w:pPr>
              <w:jc w:val="center"/>
              <w:rPr>
                <w:bCs/>
                <w:sz w:val="20"/>
                <w:szCs w:val="20"/>
              </w:rPr>
            </w:pPr>
            <w:r w:rsidRPr="008B6A75">
              <w:rPr>
                <w:bCs/>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1B91B1A5" w14:textId="77777777" w:rsidR="00387142" w:rsidRPr="008B6A75" w:rsidRDefault="00387142" w:rsidP="00387142">
            <w:pPr>
              <w:jc w:val="center"/>
              <w:rPr>
                <w:bCs/>
                <w:sz w:val="20"/>
                <w:szCs w:val="20"/>
              </w:rPr>
            </w:pPr>
            <w:r w:rsidRPr="008B6A75">
              <w:rPr>
                <w:bCs/>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3F58CDC0" w14:textId="77777777" w:rsidR="00387142" w:rsidRPr="008B6A75" w:rsidRDefault="00387142" w:rsidP="00387142">
            <w:pPr>
              <w:jc w:val="center"/>
              <w:rPr>
                <w:bCs/>
                <w:sz w:val="20"/>
                <w:szCs w:val="20"/>
              </w:rPr>
            </w:pPr>
            <w:r w:rsidRPr="008B6A75">
              <w:rPr>
                <w:bCs/>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CDA0B2D" w14:textId="77777777" w:rsidR="00387142" w:rsidRPr="008B6A75" w:rsidRDefault="00387142" w:rsidP="00387142">
            <w:pPr>
              <w:jc w:val="right"/>
              <w:rPr>
                <w:bCs/>
                <w:sz w:val="20"/>
                <w:szCs w:val="20"/>
              </w:rPr>
            </w:pPr>
            <w:r w:rsidRPr="008B6A75">
              <w:rPr>
                <w:bCs/>
                <w:sz w:val="20"/>
                <w:szCs w:val="20"/>
              </w:rPr>
              <w:t>40 037 344,93</w:t>
            </w:r>
          </w:p>
        </w:tc>
        <w:tc>
          <w:tcPr>
            <w:tcW w:w="851" w:type="dxa"/>
            <w:tcBorders>
              <w:top w:val="nil"/>
              <w:left w:val="single" w:sz="4" w:space="0" w:color="auto"/>
              <w:bottom w:val="single" w:sz="4" w:space="0" w:color="auto"/>
              <w:right w:val="nil"/>
            </w:tcBorders>
            <w:shd w:val="clear" w:color="auto" w:fill="auto"/>
            <w:noWrap/>
            <w:vAlign w:val="center"/>
            <w:hideMark/>
          </w:tcPr>
          <w:p w14:paraId="63EBA1AD" w14:textId="77777777" w:rsidR="00387142" w:rsidRPr="008B6A75" w:rsidRDefault="00387142" w:rsidP="00387142">
            <w:pPr>
              <w:jc w:val="right"/>
              <w:rPr>
                <w:bCs/>
                <w:sz w:val="20"/>
                <w:szCs w:val="20"/>
              </w:rPr>
            </w:pPr>
            <w:r w:rsidRPr="008B6A75">
              <w:rPr>
                <w:bCs/>
                <w:sz w:val="20"/>
                <w:szCs w:val="20"/>
              </w:rPr>
              <w:t>35 604 160,00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61A64C01" w14:textId="77777777" w:rsidR="00387142" w:rsidRPr="008B6A75" w:rsidRDefault="00387142" w:rsidP="00387142">
            <w:pPr>
              <w:jc w:val="right"/>
              <w:rPr>
                <w:bCs/>
                <w:sz w:val="20"/>
                <w:szCs w:val="20"/>
              </w:rPr>
            </w:pPr>
            <w:r w:rsidRPr="008B6A75">
              <w:rPr>
                <w:bCs/>
                <w:sz w:val="20"/>
                <w:szCs w:val="20"/>
              </w:rPr>
              <w:t>35 604 160,00</w:t>
            </w:r>
          </w:p>
        </w:tc>
      </w:tr>
      <w:tr w:rsidR="00387142" w:rsidRPr="008B6A75" w14:paraId="00D2A873" w14:textId="77777777" w:rsidTr="00387142">
        <w:trPr>
          <w:trHeight w:val="2295"/>
        </w:trPr>
        <w:tc>
          <w:tcPr>
            <w:tcW w:w="272" w:type="dxa"/>
            <w:tcBorders>
              <w:top w:val="nil"/>
              <w:left w:val="nil"/>
              <w:bottom w:val="nil"/>
              <w:right w:val="single" w:sz="4" w:space="0" w:color="auto"/>
            </w:tcBorders>
            <w:shd w:val="clear" w:color="auto" w:fill="auto"/>
            <w:noWrap/>
            <w:vAlign w:val="bottom"/>
            <w:hideMark/>
          </w:tcPr>
          <w:p w14:paraId="02308BEE"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1B74D48C" w14:textId="77777777" w:rsidR="00387142" w:rsidRPr="008B6A75" w:rsidRDefault="00387142" w:rsidP="00387142">
            <w:pPr>
              <w:rPr>
                <w:bCs/>
                <w:sz w:val="20"/>
                <w:szCs w:val="20"/>
              </w:rPr>
            </w:pPr>
            <w:r w:rsidRPr="008B6A75">
              <w:rPr>
                <w:bCs/>
                <w:sz w:val="20"/>
                <w:szCs w:val="20"/>
              </w:rPr>
              <w:t>Реализация мероприятий по организации функционирования систем жизнеобеспечения и снабжению населения топливом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w:t>
            </w:r>
          </w:p>
        </w:tc>
        <w:tc>
          <w:tcPr>
            <w:tcW w:w="1559" w:type="dxa"/>
            <w:tcBorders>
              <w:top w:val="nil"/>
              <w:left w:val="single" w:sz="4" w:space="0" w:color="auto"/>
              <w:bottom w:val="single" w:sz="4" w:space="0" w:color="auto"/>
              <w:right w:val="nil"/>
            </w:tcBorders>
            <w:shd w:val="clear" w:color="auto" w:fill="auto"/>
            <w:noWrap/>
            <w:vAlign w:val="center"/>
            <w:hideMark/>
          </w:tcPr>
          <w:p w14:paraId="6C0AC358" w14:textId="77777777" w:rsidR="00387142" w:rsidRPr="008B6A75" w:rsidRDefault="00387142" w:rsidP="00387142">
            <w:pPr>
              <w:jc w:val="center"/>
              <w:rPr>
                <w:bCs/>
                <w:sz w:val="20"/>
                <w:szCs w:val="20"/>
              </w:rPr>
            </w:pPr>
            <w:r w:rsidRPr="008B6A75">
              <w:rPr>
                <w:bCs/>
                <w:sz w:val="20"/>
                <w:szCs w:val="20"/>
              </w:rPr>
              <w:t>17.3.00.70490</w:t>
            </w:r>
          </w:p>
        </w:tc>
        <w:tc>
          <w:tcPr>
            <w:tcW w:w="850" w:type="dxa"/>
            <w:tcBorders>
              <w:top w:val="nil"/>
              <w:left w:val="single" w:sz="4" w:space="0" w:color="auto"/>
              <w:bottom w:val="single" w:sz="4" w:space="0" w:color="auto"/>
              <w:right w:val="nil"/>
            </w:tcBorders>
            <w:shd w:val="clear" w:color="auto" w:fill="auto"/>
            <w:noWrap/>
            <w:vAlign w:val="center"/>
            <w:hideMark/>
          </w:tcPr>
          <w:p w14:paraId="73F4F88F" w14:textId="77777777" w:rsidR="00387142" w:rsidRPr="008B6A75" w:rsidRDefault="00387142" w:rsidP="00387142">
            <w:pPr>
              <w:jc w:val="center"/>
              <w:rPr>
                <w:bCs/>
                <w:sz w:val="20"/>
                <w:szCs w:val="20"/>
              </w:rPr>
            </w:pPr>
            <w:r w:rsidRPr="008B6A75">
              <w:rPr>
                <w:bCs/>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17F06DE1" w14:textId="77777777" w:rsidR="00387142" w:rsidRPr="008B6A75" w:rsidRDefault="00387142" w:rsidP="00387142">
            <w:pPr>
              <w:jc w:val="center"/>
              <w:rPr>
                <w:bCs/>
                <w:sz w:val="20"/>
                <w:szCs w:val="20"/>
              </w:rPr>
            </w:pPr>
            <w:r w:rsidRPr="008B6A75">
              <w:rPr>
                <w:bCs/>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7DB401D0" w14:textId="77777777" w:rsidR="00387142" w:rsidRPr="008B6A75" w:rsidRDefault="00387142" w:rsidP="00387142">
            <w:pPr>
              <w:jc w:val="center"/>
              <w:rPr>
                <w:bCs/>
                <w:sz w:val="20"/>
                <w:szCs w:val="20"/>
              </w:rPr>
            </w:pPr>
            <w:r w:rsidRPr="008B6A75">
              <w:rPr>
                <w:bCs/>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DB687CA" w14:textId="77777777" w:rsidR="00387142" w:rsidRPr="008B6A75" w:rsidRDefault="00387142" w:rsidP="00387142">
            <w:pPr>
              <w:jc w:val="right"/>
              <w:rPr>
                <w:bCs/>
                <w:sz w:val="20"/>
                <w:szCs w:val="20"/>
              </w:rPr>
            </w:pPr>
            <w:r w:rsidRPr="008B6A75">
              <w:rPr>
                <w:bCs/>
                <w:sz w:val="20"/>
                <w:szCs w:val="20"/>
              </w:rPr>
              <w:t>29 962 877,00</w:t>
            </w:r>
          </w:p>
        </w:tc>
        <w:tc>
          <w:tcPr>
            <w:tcW w:w="851" w:type="dxa"/>
            <w:tcBorders>
              <w:top w:val="nil"/>
              <w:left w:val="single" w:sz="4" w:space="0" w:color="auto"/>
              <w:bottom w:val="single" w:sz="4" w:space="0" w:color="auto"/>
              <w:right w:val="nil"/>
            </w:tcBorders>
            <w:shd w:val="clear" w:color="auto" w:fill="auto"/>
            <w:noWrap/>
            <w:vAlign w:val="center"/>
            <w:hideMark/>
          </w:tcPr>
          <w:p w14:paraId="5E843AB4" w14:textId="77777777" w:rsidR="00387142" w:rsidRPr="008B6A75" w:rsidRDefault="00387142" w:rsidP="00387142">
            <w:pPr>
              <w:jc w:val="right"/>
              <w:rPr>
                <w:bCs/>
                <w:sz w:val="20"/>
                <w:szCs w:val="20"/>
              </w:rPr>
            </w:pPr>
            <w:r w:rsidRPr="008B6A75">
              <w:rPr>
                <w:bCs/>
                <w:sz w:val="20"/>
                <w:szCs w:val="20"/>
              </w:rPr>
              <w:t>25 952 760,00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11CD0201" w14:textId="77777777" w:rsidR="00387142" w:rsidRPr="008B6A75" w:rsidRDefault="00387142" w:rsidP="00387142">
            <w:pPr>
              <w:jc w:val="right"/>
              <w:rPr>
                <w:bCs/>
                <w:sz w:val="20"/>
                <w:szCs w:val="20"/>
              </w:rPr>
            </w:pPr>
            <w:r w:rsidRPr="008B6A75">
              <w:rPr>
                <w:bCs/>
                <w:sz w:val="20"/>
                <w:szCs w:val="20"/>
              </w:rPr>
              <w:t>25 952 760,00</w:t>
            </w:r>
          </w:p>
        </w:tc>
      </w:tr>
      <w:tr w:rsidR="00387142" w:rsidRPr="008B6A75" w14:paraId="29982F7C" w14:textId="77777777" w:rsidTr="00387142">
        <w:trPr>
          <w:trHeight w:val="300"/>
        </w:trPr>
        <w:tc>
          <w:tcPr>
            <w:tcW w:w="272" w:type="dxa"/>
            <w:tcBorders>
              <w:top w:val="nil"/>
              <w:left w:val="nil"/>
              <w:bottom w:val="nil"/>
              <w:right w:val="single" w:sz="4" w:space="0" w:color="auto"/>
            </w:tcBorders>
            <w:shd w:val="clear" w:color="auto" w:fill="auto"/>
            <w:noWrap/>
            <w:vAlign w:val="bottom"/>
            <w:hideMark/>
          </w:tcPr>
          <w:p w14:paraId="2C94ED37"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685D1B9D" w14:textId="77777777" w:rsidR="00387142" w:rsidRPr="008B6A75" w:rsidRDefault="00387142" w:rsidP="00387142">
            <w:pPr>
              <w:rPr>
                <w:sz w:val="20"/>
                <w:szCs w:val="20"/>
              </w:rPr>
            </w:pPr>
            <w:r w:rsidRPr="008B6A75">
              <w:rPr>
                <w:sz w:val="20"/>
                <w:szCs w:val="20"/>
              </w:rPr>
              <w:t>Межбюджетные трансферты</w:t>
            </w:r>
          </w:p>
        </w:tc>
        <w:tc>
          <w:tcPr>
            <w:tcW w:w="1559" w:type="dxa"/>
            <w:tcBorders>
              <w:top w:val="nil"/>
              <w:left w:val="single" w:sz="4" w:space="0" w:color="auto"/>
              <w:bottom w:val="single" w:sz="4" w:space="0" w:color="auto"/>
              <w:right w:val="nil"/>
            </w:tcBorders>
            <w:shd w:val="clear" w:color="auto" w:fill="auto"/>
            <w:noWrap/>
            <w:vAlign w:val="center"/>
            <w:hideMark/>
          </w:tcPr>
          <w:p w14:paraId="56F94A0F" w14:textId="77777777" w:rsidR="00387142" w:rsidRPr="008B6A75" w:rsidRDefault="00387142" w:rsidP="00387142">
            <w:pPr>
              <w:jc w:val="center"/>
              <w:rPr>
                <w:sz w:val="20"/>
                <w:szCs w:val="20"/>
              </w:rPr>
            </w:pPr>
            <w:r w:rsidRPr="008B6A75">
              <w:rPr>
                <w:sz w:val="20"/>
                <w:szCs w:val="20"/>
              </w:rPr>
              <w:t>17.3.00.70490</w:t>
            </w:r>
          </w:p>
        </w:tc>
        <w:tc>
          <w:tcPr>
            <w:tcW w:w="850" w:type="dxa"/>
            <w:tcBorders>
              <w:top w:val="nil"/>
              <w:left w:val="single" w:sz="4" w:space="0" w:color="auto"/>
              <w:bottom w:val="single" w:sz="4" w:space="0" w:color="auto"/>
              <w:right w:val="nil"/>
            </w:tcBorders>
            <w:shd w:val="clear" w:color="auto" w:fill="auto"/>
            <w:noWrap/>
            <w:vAlign w:val="center"/>
            <w:hideMark/>
          </w:tcPr>
          <w:p w14:paraId="349B18E3" w14:textId="77777777" w:rsidR="00387142" w:rsidRPr="008B6A75" w:rsidRDefault="00387142" w:rsidP="00387142">
            <w:pPr>
              <w:jc w:val="center"/>
              <w:rPr>
                <w:sz w:val="20"/>
                <w:szCs w:val="20"/>
              </w:rPr>
            </w:pPr>
            <w:r w:rsidRPr="008B6A75">
              <w:rPr>
                <w:sz w:val="20"/>
                <w:szCs w:val="20"/>
              </w:rPr>
              <w:t>500</w:t>
            </w:r>
          </w:p>
        </w:tc>
        <w:tc>
          <w:tcPr>
            <w:tcW w:w="567" w:type="dxa"/>
            <w:tcBorders>
              <w:top w:val="nil"/>
              <w:left w:val="single" w:sz="4" w:space="0" w:color="auto"/>
              <w:bottom w:val="single" w:sz="4" w:space="0" w:color="auto"/>
              <w:right w:val="nil"/>
            </w:tcBorders>
            <w:shd w:val="clear" w:color="auto" w:fill="auto"/>
            <w:noWrap/>
            <w:vAlign w:val="center"/>
            <w:hideMark/>
          </w:tcPr>
          <w:p w14:paraId="3D168479" w14:textId="77777777" w:rsidR="00387142" w:rsidRPr="008B6A75" w:rsidRDefault="00387142" w:rsidP="00387142">
            <w:pPr>
              <w:jc w:val="center"/>
              <w:rPr>
                <w:sz w:val="20"/>
                <w:szCs w:val="20"/>
              </w:rPr>
            </w:pPr>
            <w:r w:rsidRPr="008B6A75">
              <w:rPr>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23E4DECA" w14:textId="77777777" w:rsidR="00387142" w:rsidRPr="008B6A75" w:rsidRDefault="00387142" w:rsidP="00387142">
            <w:pPr>
              <w:jc w:val="center"/>
              <w:rPr>
                <w:sz w:val="20"/>
                <w:szCs w:val="20"/>
              </w:rPr>
            </w:pPr>
            <w:r w:rsidRPr="008B6A75">
              <w:rPr>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E43B424" w14:textId="77777777" w:rsidR="00387142" w:rsidRPr="008B6A75" w:rsidRDefault="00387142" w:rsidP="00387142">
            <w:pPr>
              <w:jc w:val="right"/>
              <w:rPr>
                <w:sz w:val="20"/>
                <w:szCs w:val="20"/>
              </w:rPr>
            </w:pPr>
            <w:r w:rsidRPr="008B6A75">
              <w:rPr>
                <w:sz w:val="20"/>
                <w:szCs w:val="20"/>
              </w:rPr>
              <w:t>12 916 217,00</w:t>
            </w:r>
          </w:p>
        </w:tc>
        <w:tc>
          <w:tcPr>
            <w:tcW w:w="851" w:type="dxa"/>
            <w:tcBorders>
              <w:top w:val="nil"/>
              <w:left w:val="single" w:sz="4" w:space="0" w:color="auto"/>
              <w:bottom w:val="single" w:sz="4" w:space="0" w:color="auto"/>
              <w:right w:val="nil"/>
            </w:tcBorders>
            <w:shd w:val="clear" w:color="auto" w:fill="auto"/>
            <w:noWrap/>
            <w:vAlign w:val="center"/>
            <w:hideMark/>
          </w:tcPr>
          <w:p w14:paraId="26628ADE" w14:textId="77777777" w:rsidR="00387142" w:rsidRPr="008B6A75" w:rsidRDefault="00387142" w:rsidP="00387142">
            <w:pPr>
              <w:jc w:val="right"/>
              <w:rPr>
                <w:sz w:val="20"/>
                <w:szCs w:val="20"/>
              </w:rPr>
            </w:pPr>
            <w:r w:rsidRPr="008B6A75">
              <w:rPr>
                <w:sz w:val="20"/>
                <w:szCs w:val="20"/>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2D762C8F" w14:textId="77777777" w:rsidR="00387142" w:rsidRPr="008B6A75" w:rsidRDefault="00387142" w:rsidP="00387142">
            <w:pPr>
              <w:jc w:val="right"/>
              <w:rPr>
                <w:sz w:val="20"/>
                <w:szCs w:val="20"/>
              </w:rPr>
            </w:pPr>
            <w:r w:rsidRPr="008B6A75">
              <w:rPr>
                <w:sz w:val="20"/>
                <w:szCs w:val="20"/>
              </w:rPr>
              <w:t>0,00</w:t>
            </w:r>
          </w:p>
        </w:tc>
      </w:tr>
      <w:tr w:rsidR="00387142" w:rsidRPr="008B6A75" w14:paraId="1B049E07" w14:textId="77777777" w:rsidTr="00387142">
        <w:trPr>
          <w:trHeight w:val="300"/>
        </w:trPr>
        <w:tc>
          <w:tcPr>
            <w:tcW w:w="272" w:type="dxa"/>
            <w:tcBorders>
              <w:top w:val="nil"/>
              <w:left w:val="nil"/>
              <w:bottom w:val="nil"/>
              <w:right w:val="single" w:sz="4" w:space="0" w:color="auto"/>
            </w:tcBorders>
            <w:shd w:val="clear" w:color="auto" w:fill="auto"/>
            <w:noWrap/>
            <w:vAlign w:val="bottom"/>
            <w:hideMark/>
          </w:tcPr>
          <w:p w14:paraId="4E62711A"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3199D01B" w14:textId="77777777" w:rsidR="00387142" w:rsidRPr="008B6A75" w:rsidRDefault="00387142" w:rsidP="00387142">
            <w:pPr>
              <w:rPr>
                <w:sz w:val="20"/>
                <w:szCs w:val="20"/>
              </w:rPr>
            </w:pPr>
            <w:r w:rsidRPr="008B6A75">
              <w:rPr>
                <w:sz w:val="20"/>
                <w:szCs w:val="20"/>
              </w:rPr>
              <w:t>Субсидии</w:t>
            </w:r>
          </w:p>
        </w:tc>
        <w:tc>
          <w:tcPr>
            <w:tcW w:w="1559" w:type="dxa"/>
            <w:tcBorders>
              <w:top w:val="nil"/>
              <w:left w:val="single" w:sz="4" w:space="0" w:color="auto"/>
              <w:bottom w:val="single" w:sz="4" w:space="0" w:color="auto"/>
              <w:right w:val="nil"/>
            </w:tcBorders>
            <w:shd w:val="clear" w:color="auto" w:fill="auto"/>
            <w:noWrap/>
            <w:vAlign w:val="center"/>
            <w:hideMark/>
          </w:tcPr>
          <w:p w14:paraId="74D17798" w14:textId="77777777" w:rsidR="00387142" w:rsidRPr="008B6A75" w:rsidRDefault="00387142" w:rsidP="00387142">
            <w:pPr>
              <w:jc w:val="center"/>
              <w:rPr>
                <w:sz w:val="20"/>
                <w:szCs w:val="20"/>
              </w:rPr>
            </w:pPr>
            <w:r w:rsidRPr="008B6A75">
              <w:rPr>
                <w:sz w:val="20"/>
                <w:szCs w:val="20"/>
              </w:rPr>
              <w:t>17.3.00.70490</w:t>
            </w:r>
          </w:p>
        </w:tc>
        <w:tc>
          <w:tcPr>
            <w:tcW w:w="850" w:type="dxa"/>
            <w:tcBorders>
              <w:top w:val="nil"/>
              <w:left w:val="single" w:sz="4" w:space="0" w:color="auto"/>
              <w:bottom w:val="single" w:sz="4" w:space="0" w:color="auto"/>
              <w:right w:val="nil"/>
            </w:tcBorders>
            <w:shd w:val="clear" w:color="auto" w:fill="auto"/>
            <w:noWrap/>
            <w:vAlign w:val="center"/>
            <w:hideMark/>
          </w:tcPr>
          <w:p w14:paraId="22E5EF9E" w14:textId="77777777" w:rsidR="00387142" w:rsidRPr="008B6A75" w:rsidRDefault="00387142" w:rsidP="00387142">
            <w:pPr>
              <w:jc w:val="center"/>
              <w:rPr>
                <w:sz w:val="20"/>
                <w:szCs w:val="20"/>
              </w:rPr>
            </w:pPr>
            <w:r w:rsidRPr="008B6A75">
              <w:rPr>
                <w:sz w:val="20"/>
                <w:szCs w:val="20"/>
              </w:rPr>
              <w:t>520</w:t>
            </w:r>
          </w:p>
        </w:tc>
        <w:tc>
          <w:tcPr>
            <w:tcW w:w="567" w:type="dxa"/>
            <w:tcBorders>
              <w:top w:val="nil"/>
              <w:left w:val="single" w:sz="4" w:space="0" w:color="auto"/>
              <w:bottom w:val="single" w:sz="4" w:space="0" w:color="auto"/>
              <w:right w:val="nil"/>
            </w:tcBorders>
            <w:shd w:val="clear" w:color="auto" w:fill="auto"/>
            <w:noWrap/>
            <w:vAlign w:val="center"/>
            <w:hideMark/>
          </w:tcPr>
          <w:p w14:paraId="6A263B5D" w14:textId="77777777" w:rsidR="00387142" w:rsidRPr="008B6A75" w:rsidRDefault="00387142" w:rsidP="00387142">
            <w:pPr>
              <w:jc w:val="center"/>
              <w:rPr>
                <w:sz w:val="20"/>
                <w:szCs w:val="20"/>
              </w:rPr>
            </w:pPr>
            <w:r w:rsidRPr="008B6A75">
              <w:rPr>
                <w:sz w:val="20"/>
                <w:szCs w:val="20"/>
              </w:rPr>
              <w:t>05</w:t>
            </w:r>
          </w:p>
        </w:tc>
        <w:tc>
          <w:tcPr>
            <w:tcW w:w="567" w:type="dxa"/>
            <w:tcBorders>
              <w:top w:val="nil"/>
              <w:left w:val="single" w:sz="4" w:space="0" w:color="auto"/>
              <w:bottom w:val="single" w:sz="4" w:space="0" w:color="auto"/>
              <w:right w:val="nil"/>
            </w:tcBorders>
            <w:shd w:val="clear" w:color="auto" w:fill="auto"/>
            <w:noWrap/>
            <w:vAlign w:val="center"/>
            <w:hideMark/>
          </w:tcPr>
          <w:p w14:paraId="57C05D1D" w14:textId="77777777" w:rsidR="00387142" w:rsidRPr="008B6A75" w:rsidRDefault="00387142" w:rsidP="00387142">
            <w:pPr>
              <w:jc w:val="center"/>
              <w:rPr>
                <w:sz w:val="20"/>
                <w:szCs w:val="20"/>
              </w:rPr>
            </w:pPr>
            <w:r w:rsidRPr="008B6A75">
              <w:rPr>
                <w:sz w:val="20"/>
                <w:szCs w:val="20"/>
              </w:rPr>
              <w:t>02</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9C104D2" w14:textId="77777777" w:rsidR="00387142" w:rsidRPr="008B6A75" w:rsidRDefault="00387142" w:rsidP="00387142">
            <w:pPr>
              <w:jc w:val="right"/>
              <w:rPr>
                <w:sz w:val="20"/>
                <w:szCs w:val="20"/>
              </w:rPr>
            </w:pPr>
            <w:r w:rsidRPr="008B6A75">
              <w:rPr>
                <w:sz w:val="20"/>
                <w:szCs w:val="20"/>
              </w:rPr>
              <w:t>12 916 217,00</w:t>
            </w:r>
          </w:p>
        </w:tc>
        <w:tc>
          <w:tcPr>
            <w:tcW w:w="851" w:type="dxa"/>
            <w:tcBorders>
              <w:top w:val="nil"/>
              <w:left w:val="single" w:sz="4" w:space="0" w:color="auto"/>
              <w:bottom w:val="single" w:sz="4" w:space="0" w:color="auto"/>
              <w:right w:val="nil"/>
            </w:tcBorders>
            <w:shd w:val="clear" w:color="auto" w:fill="auto"/>
            <w:noWrap/>
            <w:vAlign w:val="center"/>
            <w:hideMark/>
          </w:tcPr>
          <w:p w14:paraId="4CE29340" w14:textId="77777777" w:rsidR="00387142" w:rsidRPr="008B6A75" w:rsidRDefault="00387142" w:rsidP="00387142">
            <w:pPr>
              <w:jc w:val="right"/>
              <w:rPr>
                <w:sz w:val="20"/>
                <w:szCs w:val="20"/>
              </w:rPr>
            </w:pPr>
            <w:r w:rsidRPr="008B6A75">
              <w:rPr>
                <w:sz w:val="20"/>
                <w:szCs w:val="20"/>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2B37E979" w14:textId="77777777" w:rsidR="00387142" w:rsidRPr="008B6A75" w:rsidRDefault="00387142" w:rsidP="00387142">
            <w:pPr>
              <w:jc w:val="right"/>
              <w:rPr>
                <w:sz w:val="20"/>
                <w:szCs w:val="20"/>
              </w:rPr>
            </w:pPr>
            <w:r w:rsidRPr="008B6A75">
              <w:rPr>
                <w:sz w:val="20"/>
                <w:szCs w:val="20"/>
              </w:rPr>
              <w:t>0,00</w:t>
            </w:r>
          </w:p>
        </w:tc>
      </w:tr>
      <w:tr w:rsidR="00387142" w:rsidRPr="008B6A75" w14:paraId="73F3C595" w14:textId="77777777" w:rsidTr="00387142">
        <w:trPr>
          <w:trHeight w:val="300"/>
        </w:trPr>
        <w:tc>
          <w:tcPr>
            <w:tcW w:w="272" w:type="dxa"/>
            <w:tcBorders>
              <w:top w:val="nil"/>
              <w:left w:val="nil"/>
              <w:bottom w:val="nil"/>
              <w:right w:val="single" w:sz="4" w:space="0" w:color="auto"/>
            </w:tcBorders>
            <w:shd w:val="clear" w:color="auto" w:fill="auto"/>
            <w:noWrap/>
            <w:vAlign w:val="bottom"/>
            <w:hideMark/>
          </w:tcPr>
          <w:p w14:paraId="1B2F2892"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7B341B16" w14:textId="77777777" w:rsidR="00387142" w:rsidRPr="008B6A75" w:rsidRDefault="00387142" w:rsidP="00387142">
            <w:pPr>
              <w:rPr>
                <w:sz w:val="20"/>
                <w:szCs w:val="20"/>
              </w:rPr>
            </w:pPr>
            <w:r w:rsidRPr="008B6A75">
              <w:rPr>
                <w:sz w:val="20"/>
                <w:szCs w:val="20"/>
              </w:rPr>
              <w:t>Иные бюджетные ассигнования</w:t>
            </w:r>
          </w:p>
        </w:tc>
        <w:tc>
          <w:tcPr>
            <w:tcW w:w="1559" w:type="dxa"/>
            <w:tcBorders>
              <w:top w:val="nil"/>
              <w:left w:val="single" w:sz="4" w:space="0" w:color="auto"/>
              <w:bottom w:val="single" w:sz="4" w:space="0" w:color="auto"/>
              <w:right w:val="nil"/>
            </w:tcBorders>
            <w:shd w:val="clear" w:color="auto" w:fill="auto"/>
            <w:noWrap/>
            <w:vAlign w:val="center"/>
            <w:hideMark/>
          </w:tcPr>
          <w:p w14:paraId="19002816" w14:textId="77777777" w:rsidR="00387142" w:rsidRPr="008B6A75" w:rsidRDefault="00387142" w:rsidP="00387142">
            <w:pPr>
              <w:jc w:val="center"/>
              <w:rPr>
                <w:sz w:val="20"/>
                <w:szCs w:val="20"/>
              </w:rPr>
            </w:pPr>
            <w:r w:rsidRPr="008B6A75">
              <w:rPr>
                <w:sz w:val="20"/>
                <w:szCs w:val="20"/>
              </w:rPr>
              <w:t>17.3.00.70490</w:t>
            </w:r>
          </w:p>
        </w:tc>
        <w:tc>
          <w:tcPr>
            <w:tcW w:w="850" w:type="dxa"/>
            <w:tcBorders>
              <w:top w:val="nil"/>
              <w:left w:val="single" w:sz="4" w:space="0" w:color="auto"/>
              <w:bottom w:val="single" w:sz="4" w:space="0" w:color="auto"/>
              <w:right w:val="nil"/>
            </w:tcBorders>
            <w:shd w:val="clear" w:color="auto" w:fill="auto"/>
            <w:noWrap/>
            <w:vAlign w:val="center"/>
            <w:hideMark/>
          </w:tcPr>
          <w:p w14:paraId="360E88AB" w14:textId="77777777" w:rsidR="00387142" w:rsidRPr="008B6A75" w:rsidRDefault="00387142" w:rsidP="00387142">
            <w:pPr>
              <w:jc w:val="center"/>
              <w:rPr>
                <w:sz w:val="20"/>
                <w:szCs w:val="20"/>
              </w:rPr>
            </w:pPr>
            <w:r w:rsidRPr="008B6A75">
              <w:rPr>
                <w:sz w:val="20"/>
                <w:szCs w:val="20"/>
              </w:rPr>
              <w:t>800</w:t>
            </w:r>
          </w:p>
        </w:tc>
        <w:tc>
          <w:tcPr>
            <w:tcW w:w="567" w:type="dxa"/>
            <w:tcBorders>
              <w:top w:val="nil"/>
              <w:left w:val="single" w:sz="4" w:space="0" w:color="auto"/>
              <w:bottom w:val="single" w:sz="4" w:space="0" w:color="auto"/>
              <w:right w:val="nil"/>
            </w:tcBorders>
            <w:shd w:val="clear" w:color="auto" w:fill="auto"/>
            <w:noWrap/>
            <w:vAlign w:val="center"/>
            <w:hideMark/>
          </w:tcPr>
          <w:p w14:paraId="669DD632" w14:textId="77777777" w:rsidR="00387142" w:rsidRPr="008B6A75" w:rsidRDefault="00387142" w:rsidP="00387142">
            <w:pPr>
              <w:jc w:val="center"/>
              <w:rPr>
                <w:sz w:val="20"/>
                <w:szCs w:val="20"/>
              </w:rPr>
            </w:pPr>
            <w:r w:rsidRPr="008B6A75">
              <w:rPr>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502F2058" w14:textId="77777777" w:rsidR="00387142" w:rsidRPr="008B6A75" w:rsidRDefault="00387142" w:rsidP="00387142">
            <w:pPr>
              <w:jc w:val="center"/>
              <w:rPr>
                <w:sz w:val="20"/>
                <w:szCs w:val="20"/>
              </w:rPr>
            </w:pPr>
            <w:r w:rsidRPr="008B6A75">
              <w:rPr>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AF8A430" w14:textId="77777777" w:rsidR="00387142" w:rsidRPr="008B6A75" w:rsidRDefault="00387142" w:rsidP="00387142">
            <w:pPr>
              <w:jc w:val="right"/>
              <w:rPr>
                <w:sz w:val="20"/>
                <w:szCs w:val="20"/>
              </w:rPr>
            </w:pPr>
            <w:r w:rsidRPr="008B6A75">
              <w:rPr>
                <w:sz w:val="20"/>
                <w:szCs w:val="20"/>
              </w:rPr>
              <w:t>17 046 660,00</w:t>
            </w:r>
          </w:p>
        </w:tc>
        <w:tc>
          <w:tcPr>
            <w:tcW w:w="851" w:type="dxa"/>
            <w:tcBorders>
              <w:top w:val="nil"/>
              <w:left w:val="single" w:sz="4" w:space="0" w:color="auto"/>
              <w:bottom w:val="single" w:sz="4" w:space="0" w:color="auto"/>
              <w:right w:val="nil"/>
            </w:tcBorders>
            <w:shd w:val="clear" w:color="auto" w:fill="auto"/>
            <w:noWrap/>
            <w:vAlign w:val="center"/>
            <w:hideMark/>
          </w:tcPr>
          <w:p w14:paraId="6FBFA591" w14:textId="77777777" w:rsidR="00387142" w:rsidRPr="008B6A75" w:rsidRDefault="00387142" w:rsidP="00387142">
            <w:pPr>
              <w:jc w:val="right"/>
              <w:rPr>
                <w:sz w:val="20"/>
                <w:szCs w:val="20"/>
              </w:rPr>
            </w:pPr>
            <w:r w:rsidRPr="008B6A75">
              <w:rPr>
                <w:sz w:val="20"/>
                <w:szCs w:val="20"/>
              </w:rPr>
              <w:t>25 952 760,00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263FAD9A" w14:textId="77777777" w:rsidR="00387142" w:rsidRPr="008B6A75" w:rsidRDefault="00387142" w:rsidP="00387142">
            <w:pPr>
              <w:jc w:val="right"/>
              <w:rPr>
                <w:sz w:val="20"/>
                <w:szCs w:val="20"/>
              </w:rPr>
            </w:pPr>
            <w:r w:rsidRPr="008B6A75">
              <w:rPr>
                <w:sz w:val="20"/>
                <w:szCs w:val="20"/>
              </w:rPr>
              <w:t>25 952 760,00</w:t>
            </w:r>
          </w:p>
        </w:tc>
      </w:tr>
      <w:tr w:rsidR="00387142" w:rsidRPr="008B6A75" w14:paraId="452CD9C6" w14:textId="77777777" w:rsidTr="00387142">
        <w:trPr>
          <w:trHeight w:val="1155"/>
        </w:trPr>
        <w:tc>
          <w:tcPr>
            <w:tcW w:w="272" w:type="dxa"/>
            <w:tcBorders>
              <w:top w:val="nil"/>
              <w:left w:val="nil"/>
              <w:bottom w:val="nil"/>
              <w:right w:val="single" w:sz="4" w:space="0" w:color="auto"/>
            </w:tcBorders>
            <w:shd w:val="clear" w:color="auto" w:fill="auto"/>
            <w:noWrap/>
            <w:vAlign w:val="bottom"/>
            <w:hideMark/>
          </w:tcPr>
          <w:p w14:paraId="69EFE0C2"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328E6797" w14:textId="77777777" w:rsidR="00387142" w:rsidRPr="008B6A75" w:rsidRDefault="00387142" w:rsidP="00387142">
            <w:pPr>
              <w:rPr>
                <w:sz w:val="20"/>
                <w:szCs w:val="20"/>
              </w:rPr>
            </w:pPr>
            <w:r w:rsidRPr="008B6A75">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59" w:type="dxa"/>
            <w:tcBorders>
              <w:top w:val="nil"/>
              <w:left w:val="single" w:sz="4" w:space="0" w:color="auto"/>
              <w:bottom w:val="single" w:sz="4" w:space="0" w:color="auto"/>
              <w:right w:val="nil"/>
            </w:tcBorders>
            <w:shd w:val="clear" w:color="auto" w:fill="auto"/>
            <w:noWrap/>
            <w:vAlign w:val="center"/>
            <w:hideMark/>
          </w:tcPr>
          <w:p w14:paraId="1C28E207" w14:textId="77777777" w:rsidR="00387142" w:rsidRPr="008B6A75" w:rsidRDefault="00387142" w:rsidP="00387142">
            <w:pPr>
              <w:jc w:val="center"/>
              <w:rPr>
                <w:sz w:val="20"/>
                <w:szCs w:val="20"/>
              </w:rPr>
            </w:pPr>
            <w:r w:rsidRPr="008B6A75">
              <w:rPr>
                <w:sz w:val="20"/>
                <w:szCs w:val="20"/>
              </w:rPr>
              <w:t>17.3.00.70490</w:t>
            </w:r>
          </w:p>
        </w:tc>
        <w:tc>
          <w:tcPr>
            <w:tcW w:w="850" w:type="dxa"/>
            <w:tcBorders>
              <w:top w:val="nil"/>
              <w:left w:val="single" w:sz="4" w:space="0" w:color="auto"/>
              <w:bottom w:val="single" w:sz="4" w:space="0" w:color="auto"/>
              <w:right w:val="nil"/>
            </w:tcBorders>
            <w:shd w:val="clear" w:color="auto" w:fill="auto"/>
            <w:noWrap/>
            <w:vAlign w:val="center"/>
            <w:hideMark/>
          </w:tcPr>
          <w:p w14:paraId="6773D5AC" w14:textId="77777777" w:rsidR="00387142" w:rsidRPr="008B6A75" w:rsidRDefault="00387142" w:rsidP="00387142">
            <w:pPr>
              <w:jc w:val="center"/>
              <w:rPr>
                <w:sz w:val="20"/>
                <w:szCs w:val="20"/>
              </w:rPr>
            </w:pPr>
            <w:r w:rsidRPr="008B6A75">
              <w:rPr>
                <w:sz w:val="20"/>
                <w:szCs w:val="20"/>
              </w:rPr>
              <w:t>810</w:t>
            </w:r>
          </w:p>
        </w:tc>
        <w:tc>
          <w:tcPr>
            <w:tcW w:w="567" w:type="dxa"/>
            <w:tcBorders>
              <w:top w:val="nil"/>
              <w:left w:val="single" w:sz="4" w:space="0" w:color="auto"/>
              <w:bottom w:val="single" w:sz="4" w:space="0" w:color="auto"/>
              <w:right w:val="nil"/>
            </w:tcBorders>
            <w:shd w:val="clear" w:color="auto" w:fill="auto"/>
            <w:noWrap/>
            <w:vAlign w:val="center"/>
            <w:hideMark/>
          </w:tcPr>
          <w:p w14:paraId="61D90AFD" w14:textId="77777777" w:rsidR="00387142" w:rsidRPr="008B6A75" w:rsidRDefault="00387142" w:rsidP="00387142">
            <w:pPr>
              <w:jc w:val="center"/>
              <w:rPr>
                <w:sz w:val="20"/>
                <w:szCs w:val="20"/>
              </w:rPr>
            </w:pPr>
            <w:r w:rsidRPr="008B6A75">
              <w:rPr>
                <w:sz w:val="20"/>
                <w:szCs w:val="20"/>
              </w:rPr>
              <w:t>05</w:t>
            </w:r>
          </w:p>
        </w:tc>
        <w:tc>
          <w:tcPr>
            <w:tcW w:w="567" w:type="dxa"/>
            <w:tcBorders>
              <w:top w:val="nil"/>
              <w:left w:val="single" w:sz="4" w:space="0" w:color="auto"/>
              <w:bottom w:val="single" w:sz="4" w:space="0" w:color="auto"/>
              <w:right w:val="nil"/>
            </w:tcBorders>
            <w:shd w:val="clear" w:color="auto" w:fill="auto"/>
            <w:noWrap/>
            <w:vAlign w:val="center"/>
            <w:hideMark/>
          </w:tcPr>
          <w:p w14:paraId="5E876E24" w14:textId="77777777" w:rsidR="00387142" w:rsidRPr="008B6A75" w:rsidRDefault="00387142" w:rsidP="00387142">
            <w:pPr>
              <w:jc w:val="center"/>
              <w:rPr>
                <w:sz w:val="20"/>
                <w:szCs w:val="20"/>
              </w:rPr>
            </w:pPr>
            <w:r w:rsidRPr="008B6A75">
              <w:rPr>
                <w:sz w:val="20"/>
                <w:szCs w:val="20"/>
              </w:rPr>
              <w:t>02</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C9939F1" w14:textId="77777777" w:rsidR="00387142" w:rsidRPr="008B6A75" w:rsidRDefault="00387142" w:rsidP="00387142">
            <w:pPr>
              <w:jc w:val="right"/>
              <w:rPr>
                <w:sz w:val="20"/>
                <w:szCs w:val="20"/>
              </w:rPr>
            </w:pPr>
            <w:r w:rsidRPr="008B6A75">
              <w:rPr>
                <w:sz w:val="20"/>
                <w:szCs w:val="20"/>
              </w:rPr>
              <w:t>17 046 660,00</w:t>
            </w:r>
          </w:p>
        </w:tc>
        <w:tc>
          <w:tcPr>
            <w:tcW w:w="851" w:type="dxa"/>
            <w:tcBorders>
              <w:top w:val="nil"/>
              <w:left w:val="single" w:sz="4" w:space="0" w:color="auto"/>
              <w:bottom w:val="single" w:sz="4" w:space="0" w:color="auto"/>
              <w:right w:val="nil"/>
            </w:tcBorders>
            <w:shd w:val="clear" w:color="auto" w:fill="auto"/>
            <w:noWrap/>
            <w:vAlign w:val="center"/>
            <w:hideMark/>
          </w:tcPr>
          <w:p w14:paraId="6D508460" w14:textId="77777777" w:rsidR="00387142" w:rsidRPr="008B6A75" w:rsidRDefault="00387142" w:rsidP="00387142">
            <w:pPr>
              <w:jc w:val="right"/>
              <w:rPr>
                <w:sz w:val="20"/>
                <w:szCs w:val="20"/>
              </w:rPr>
            </w:pPr>
            <w:r w:rsidRPr="008B6A75">
              <w:rPr>
                <w:sz w:val="20"/>
                <w:szCs w:val="20"/>
              </w:rPr>
              <w:t>25 952 760,00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44F34F0F" w14:textId="77777777" w:rsidR="00387142" w:rsidRPr="008B6A75" w:rsidRDefault="00387142" w:rsidP="00387142">
            <w:pPr>
              <w:jc w:val="right"/>
              <w:rPr>
                <w:sz w:val="20"/>
                <w:szCs w:val="20"/>
              </w:rPr>
            </w:pPr>
            <w:r w:rsidRPr="008B6A75">
              <w:rPr>
                <w:sz w:val="20"/>
                <w:szCs w:val="20"/>
              </w:rPr>
              <w:t>25 952 760,00</w:t>
            </w:r>
          </w:p>
        </w:tc>
      </w:tr>
      <w:tr w:rsidR="00387142" w:rsidRPr="008B6A75" w14:paraId="03F7E84C" w14:textId="77777777" w:rsidTr="00387142">
        <w:trPr>
          <w:trHeight w:val="2295"/>
        </w:trPr>
        <w:tc>
          <w:tcPr>
            <w:tcW w:w="272" w:type="dxa"/>
            <w:tcBorders>
              <w:top w:val="nil"/>
              <w:left w:val="nil"/>
              <w:bottom w:val="nil"/>
              <w:right w:val="single" w:sz="4" w:space="0" w:color="auto"/>
            </w:tcBorders>
            <w:shd w:val="clear" w:color="auto" w:fill="auto"/>
            <w:noWrap/>
            <w:vAlign w:val="bottom"/>
            <w:hideMark/>
          </w:tcPr>
          <w:p w14:paraId="64AB6D46"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1F8C094C" w14:textId="77777777" w:rsidR="00387142" w:rsidRPr="008B6A75" w:rsidRDefault="00387142" w:rsidP="00387142">
            <w:pPr>
              <w:rPr>
                <w:bCs/>
                <w:sz w:val="20"/>
                <w:szCs w:val="20"/>
              </w:rPr>
            </w:pPr>
            <w:r w:rsidRPr="008B6A75">
              <w:rPr>
                <w:bCs/>
                <w:sz w:val="20"/>
                <w:szCs w:val="20"/>
              </w:rPr>
              <w:t>Реализация мероприятий по организации бесперебойной работы объектов жизнедеятельности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w:t>
            </w:r>
          </w:p>
        </w:tc>
        <w:tc>
          <w:tcPr>
            <w:tcW w:w="1559" w:type="dxa"/>
            <w:tcBorders>
              <w:top w:val="nil"/>
              <w:left w:val="single" w:sz="4" w:space="0" w:color="auto"/>
              <w:bottom w:val="single" w:sz="4" w:space="0" w:color="auto"/>
              <w:right w:val="nil"/>
            </w:tcBorders>
            <w:shd w:val="clear" w:color="auto" w:fill="auto"/>
            <w:noWrap/>
            <w:vAlign w:val="center"/>
            <w:hideMark/>
          </w:tcPr>
          <w:p w14:paraId="5A4D6D8B" w14:textId="77777777" w:rsidR="00387142" w:rsidRPr="008B6A75" w:rsidRDefault="00387142" w:rsidP="00387142">
            <w:pPr>
              <w:jc w:val="center"/>
              <w:rPr>
                <w:bCs/>
                <w:sz w:val="20"/>
                <w:szCs w:val="20"/>
              </w:rPr>
            </w:pPr>
            <w:r w:rsidRPr="008B6A75">
              <w:rPr>
                <w:bCs/>
                <w:sz w:val="20"/>
                <w:szCs w:val="20"/>
              </w:rPr>
              <w:t>17.3.00.70600</w:t>
            </w:r>
          </w:p>
        </w:tc>
        <w:tc>
          <w:tcPr>
            <w:tcW w:w="850" w:type="dxa"/>
            <w:tcBorders>
              <w:top w:val="nil"/>
              <w:left w:val="single" w:sz="4" w:space="0" w:color="auto"/>
              <w:bottom w:val="single" w:sz="4" w:space="0" w:color="auto"/>
              <w:right w:val="nil"/>
            </w:tcBorders>
            <w:shd w:val="clear" w:color="auto" w:fill="auto"/>
            <w:noWrap/>
            <w:vAlign w:val="center"/>
            <w:hideMark/>
          </w:tcPr>
          <w:p w14:paraId="67704B87" w14:textId="77777777" w:rsidR="00387142" w:rsidRPr="008B6A75" w:rsidRDefault="00387142" w:rsidP="00387142">
            <w:pPr>
              <w:jc w:val="center"/>
              <w:rPr>
                <w:bCs/>
                <w:sz w:val="20"/>
                <w:szCs w:val="20"/>
              </w:rPr>
            </w:pPr>
            <w:r w:rsidRPr="008B6A75">
              <w:rPr>
                <w:bCs/>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5A0E78AC" w14:textId="77777777" w:rsidR="00387142" w:rsidRPr="008B6A75" w:rsidRDefault="00387142" w:rsidP="00387142">
            <w:pPr>
              <w:jc w:val="center"/>
              <w:rPr>
                <w:bCs/>
                <w:sz w:val="20"/>
                <w:szCs w:val="20"/>
              </w:rPr>
            </w:pPr>
            <w:r w:rsidRPr="008B6A75">
              <w:rPr>
                <w:bCs/>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78383745" w14:textId="77777777" w:rsidR="00387142" w:rsidRPr="008B6A75" w:rsidRDefault="00387142" w:rsidP="00387142">
            <w:pPr>
              <w:jc w:val="center"/>
              <w:rPr>
                <w:bCs/>
                <w:sz w:val="20"/>
                <w:szCs w:val="20"/>
              </w:rPr>
            </w:pPr>
            <w:r w:rsidRPr="008B6A75">
              <w:rPr>
                <w:bCs/>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FAD5BA3" w14:textId="77777777" w:rsidR="00387142" w:rsidRPr="008B6A75" w:rsidRDefault="00387142" w:rsidP="00387142">
            <w:pPr>
              <w:jc w:val="right"/>
              <w:rPr>
                <w:bCs/>
                <w:sz w:val="20"/>
                <w:szCs w:val="20"/>
              </w:rPr>
            </w:pPr>
            <w:r w:rsidRPr="008B6A75">
              <w:rPr>
                <w:bCs/>
                <w:sz w:val="20"/>
                <w:szCs w:val="20"/>
              </w:rPr>
              <w:t>9 651 388,21</w:t>
            </w:r>
          </w:p>
        </w:tc>
        <w:tc>
          <w:tcPr>
            <w:tcW w:w="851" w:type="dxa"/>
            <w:tcBorders>
              <w:top w:val="nil"/>
              <w:left w:val="single" w:sz="4" w:space="0" w:color="auto"/>
              <w:bottom w:val="single" w:sz="4" w:space="0" w:color="auto"/>
              <w:right w:val="nil"/>
            </w:tcBorders>
            <w:shd w:val="clear" w:color="auto" w:fill="auto"/>
            <w:noWrap/>
            <w:vAlign w:val="center"/>
            <w:hideMark/>
          </w:tcPr>
          <w:p w14:paraId="58A14292" w14:textId="77777777" w:rsidR="00387142" w:rsidRPr="008B6A75" w:rsidRDefault="00387142" w:rsidP="00387142">
            <w:pPr>
              <w:jc w:val="right"/>
              <w:rPr>
                <w:bCs/>
                <w:sz w:val="20"/>
                <w:szCs w:val="20"/>
              </w:rPr>
            </w:pPr>
            <w:r w:rsidRPr="008B6A75">
              <w:rPr>
                <w:bCs/>
                <w:sz w:val="20"/>
                <w:szCs w:val="20"/>
              </w:rPr>
              <w:t>9 651 400,00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3D83CA62" w14:textId="77777777" w:rsidR="00387142" w:rsidRPr="008B6A75" w:rsidRDefault="00387142" w:rsidP="00387142">
            <w:pPr>
              <w:jc w:val="right"/>
              <w:rPr>
                <w:bCs/>
                <w:sz w:val="20"/>
                <w:szCs w:val="20"/>
              </w:rPr>
            </w:pPr>
            <w:r w:rsidRPr="008B6A75">
              <w:rPr>
                <w:bCs/>
                <w:sz w:val="20"/>
                <w:szCs w:val="20"/>
              </w:rPr>
              <w:t>9 651 400,00</w:t>
            </w:r>
          </w:p>
        </w:tc>
      </w:tr>
      <w:tr w:rsidR="00387142" w:rsidRPr="008B6A75" w14:paraId="78C6D520" w14:textId="77777777" w:rsidTr="00387142">
        <w:trPr>
          <w:trHeight w:val="300"/>
        </w:trPr>
        <w:tc>
          <w:tcPr>
            <w:tcW w:w="272" w:type="dxa"/>
            <w:tcBorders>
              <w:top w:val="nil"/>
              <w:left w:val="nil"/>
              <w:bottom w:val="nil"/>
              <w:right w:val="single" w:sz="4" w:space="0" w:color="auto"/>
            </w:tcBorders>
            <w:shd w:val="clear" w:color="auto" w:fill="auto"/>
            <w:noWrap/>
            <w:vAlign w:val="bottom"/>
            <w:hideMark/>
          </w:tcPr>
          <w:p w14:paraId="58976527"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43107630" w14:textId="77777777" w:rsidR="00387142" w:rsidRPr="008B6A75" w:rsidRDefault="00387142" w:rsidP="00387142">
            <w:pPr>
              <w:rPr>
                <w:sz w:val="20"/>
                <w:szCs w:val="20"/>
              </w:rPr>
            </w:pPr>
            <w:r w:rsidRPr="008B6A75">
              <w:rPr>
                <w:sz w:val="20"/>
                <w:szCs w:val="20"/>
              </w:rPr>
              <w:t>Межбюджетные трансферты</w:t>
            </w:r>
          </w:p>
        </w:tc>
        <w:tc>
          <w:tcPr>
            <w:tcW w:w="1559" w:type="dxa"/>
            <w:tcBorders>
              <w:top w:val="nil"/>
              <w:left w:val="single" w:sz="4" w:space="0" w:color="auto"/>
              <w:bottom w:val="single" w:sz="4" w:space="0" w:color="auto"/>
              <w:right w:val="nil"/>
            </w:tcBorders>
            <w:shd w:val="clear" w:color="auto" w:fill="auto"/>
            <w:noWrap/>
            <w:vAlign w:val="center"/>
            <w:hideMark/>
          </w:tcPr>
          <w:p w14:paraId="6992F44A" w14:textId="77777777" w:rsidR="00387142" w:rsidRPr="008B6A75" w:rsidRDefault="00387142" w:rsidP="00387142">
            <w:pPr>
              <w:jc w:val="center"/>
              <w:rPr>
                <w:sz w:val="20"/>
                <w:szCs w:val="20"/>
              </w:rPr>
            </w:pPr>
            <w:r w:rsidRPr="008B6A75">
              <w:rPr>
                <w:sz w:val="20"/>
                <w:szCs w:val="20"/>
              </w:rPr>
              <w:t>17.3.00.70600</w:t>
            </w:r>
          </w:p>
        </w:tc>
        <w:tc>
          <w:tcPr>
            <w:tcW w:w="850" w:type="dxa"/>
            <w:tcBorders>
              <w:top w:val="nil"/>
              <w:left w:val="single" w:sz="4" w:space="0" w:color="auto"/>
              <w:bottom w:val="single" w:sz="4" w:space="0" w:color="auto"/>
              <w:right w:val="nil"/>
            </w:tcBorders>
            <w:shd w:val="clear" w:color="auto" w:fill="auto"/>
            <w:noWrap/>
            <w:vAlign w:val="center"/>
            <w:hideMark/>
          </w:tcPr>
          <w:p w14:paraId="45B2A774" w14:textId="77777777" w:rsidR="00387142" w:rsidRPr="008B6A75" w:rsidRDefault="00387142" w:rsidP="00387142">
            <w:pPr>
              <w:jc w:val="center"/>
              <w:rPr>
                <w:sz w:val="20"/>
                <w:szCs w:val="20"/>
              </w:rPr>
            </w:pPr>
            <w:r w:rsidRPr="008B6A75">
              <w:rPr>
                <w:sz w:val="20"/>
                <w:szCs w:val="20"/>
              </w:rPr>
              <w:t>500</w:t>
            </w:r>
          </w:p>
        </w:tc>
        <w:tc>
          <w:tcPr>
            <w:tcW w:w="567" w:type="dxa"/>
            <w:tcBorders>
              <w:top w:val="nil"/>
              <w:left w:val="single" w:sz="4" w:space="0" w:color="auto"/>
              <w:bottom w:val="single" w:sz="4" w:space="0" w:color="auto"/>
              <w:right w:val="nil"/>
            </w:tcBorders>
            <w:shd w:val="clear" w:color="auto" w:fill="auto"/>
            <w:noWrap/>
            <w:vAlign w:val="center"/>
            <w:hideMark/>
          </w:tcPr>
          <w:p w14:paraId="71CEEE8B" w14:textId="77777777" w:rsidR="00387142" w:rsidRPr="008B6A75" w:rsidRDefault="00387142" w:rsidP="00387142">
            <w:pPr>
              <w:jc w:val="center"/>
              <w:rPr>
                <w:sz w:val="20"/>
                <w:szCs w:val="20"/>
              </w:rPr>
            </w:pPr>
            <w:r w:rsidRPr="008B6A75">
              <w:rPr>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2AA24FCC" w14:textId="77777777" w:rsidR="00387142" w:rsidRPr="008B6A75" w:rsidRDefault="00387142" w:rsidP="00387142">
            <w:pPr>
              <w:jc w:val="center"/>
              <w:rPr>
                <w:sz w:val="20"/>
                <w:szCs w:val="20"/>
              </w:rPr>
            </w:pPr>
            <w:r w:rsidRPr="008B6A75">
              <w:rPr>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FDBFDFB" w14:textId="77777777" w:rsidR="00387142" w:rsidRPr="008B6A75" w:rsidRDefault="00387142" w:rsidP="00387142">
            <w:pPr>
              <w:jc w:val="right"/>
              <w:rPr>
                <w:sz w:val="20"/>
                <w:szCs w:val="20"/>
              </w:rPr>
            </w:pPr>
            <w:r w:rsidRPr="008B6A75">
              <w:rPr>
                <w:sz w:val="20"/>
                <w:szCs w:val="20"/>
              </w:rPr>
              <w:t>1 922 500,00</w:t>
            </w:r>
          </w:p>
        </w:tc>
        <w:tc>
          <w:tcPr>
            <w:tcW w:w="851" w:type="dxa"/>
            <w:tcBorders>
              <w:top w:val="nil"/>
              <w:left w:val="single" w:sz="4" w:space="0" w:color="auto"/>
              <w:bottom w:val="single" w:sz="4" w:space="0" w:color="auto"/>
              <w:right w:val="nil"/>
            </w:tcBorders>
            <w:shd w:val="clear" w:color="auto" w:fill="auto"/>
            <w:noWrap/>
            <w:vAlign w:val="center"/>
            <w:hideMark/>
          </w:tcPr>
          <w:p w14:paraId="25AB5ADB" w14:textId="77777777" w:rsidR="00387142" w:rsidRPr="008B6A75" w:rsidRDefault="00387142" w:rsidP="00387142">
            <w:pPr>
              <w:jc w:val="right"/>
              <w:rPr>
                <w:sz w:val="20"/>
                <w:szCs w:val="20"/>
              </w:rPr>
            </w:pPr>
            <w:r w:rsidRPr="008B6A75">
              <w:rPr>
                <w:sz w:val="20"/>
                <w:szCs w:val="20"/>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39C940C7" w14:textId="77777777" w:rsidR="00387142" w:rsidRPr="008B6A75" w:rsidRDefault="00387142" w:rsidP="00387142">
            <w:pPr>
              <w:jc w:val="right"/>
              <w:rPr>
                <w:sz w:val="20"/>
                <w:szCs w:val="20"/>
              </w:rPr>
            </w:pPr>
            <w:r w:rsidRPr="008B6A75">
              <w:rPr>
                <w:sz w:val="20"/>
                <w:szCs w:val="20"/>
              </w:rPr>
              <w:t>0,00</w:t>
            </w:r>
          </w:p>
        </w:tc>
      </w:tr>
      <w:tr w:rsidR="00387142" w:rsidRPr="008B6A75" w14:paraId="59DB1CFF" w14:textId="77777777" w:rsidTr="00387142">
        <w:trPr>
          <w:trHeight w:val="300"/>
        </w:trPr>
        <w:tc>
          <w:tcPr>
            <w:tcW w:w="272" w:type="dxa"/>
            <w:tcBorders>
              <w:top w:val="nil"/>
              <w:left w:val="nil"/>
              <w:bottom w:val="nil"/>
              <w:right w:val="single" w:sz="4" w:space="0" w:color="auto"/>
            </w:tcBorders>
            <w:shd w:val="clear" w:color="auto" w:fill="auto"/>
            <w:noWrap/>
            <w:vAlign w:val="bottom"/>
            <w:hideMark/>
          </w:tcPr>
          <w:p w14:paraId="7EEB2DB9"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1F461136" w14:textId="77777777" w:rsidR="00387142" w:rsidRPr="008B6A75" w:rsidRDefault="00387142" w:rsidP="00387142">
            <w:pPr>
              <w:rPr>
                <w:sz w:val="20"/>
                <w:szCs w:val="20"/>
              </w:rPr>
            </w:pPr>
            <w:r w:rsidRPr="008B6A75">
              <w:rPr>
                <w:sz w:val="20"/>
                <w:szCs w:val="20"/>
              </w:rPr>
              <w:t>Субсидии</w:t>
            </w:r>
          </w:p>
        </w:tc>
        <w:tc>
          <w:tcPr>
            <w:tcW w:w="1559" w:type="dxa"/>
            <w:tcBorders>
              <w:top w:val="nil"/>
              <w:left w:val="single" w:sz="4" w:space="0" w:color="auto"/>
              <w:bottom w:val="single" w:sz="4" w:space="0" w:color="auto"/>
              <w:right w:val="nil"/>
            </w:tcBorders>
            <w:shd w:val="clear" w:color="auto" w:fill="auto"/>
            <w:noWrap/>
            <w:vAlign w:val="center"/>
            <w:hideMark/>
          </w:tcPr>
          <w:p w14:paraId="5E0F19F6" w14:textId="77777777" w:rsidR="00387142" w:rsidRPr="008B6A75" w:rsidRDefault="00387142" w:rsidP="00387142">
            <w:pPr>
              <w:jc w:val="center"/>
              <w:rPr>
                <w:sz w:val="20"/>
                <w:szCs w:val="20"/>
              </w:rPr>
            </w:pPr>
            <w:r w:rsidRPr="008B6A75">
              <w:rPr>
                <w:sz w:val="20"/>
                <w:szCs w:val="20"/>
              </w:rPr>
              <w:t>17.3.00.70600</w:t>
            </w:r>
          </w:p>
        </w:tc>
        <w:tc>
          <w:tcPr>
            <w:tcW w:w="850" w:type="dxa"/>
            <w:tcBorders>
              <w:top w:val="nil"/>
              <w:left w:val="single" w:sz="4" w:space="0" w:color="auto"/>
              <w:bottom w:val="single" w:sz="4" w:space="0" w:color="auto"/>
              <w:right w:val="nil"/>
            </w:tcBorders>
            <w:shd w:val="clear" w:color="auto" w:fill="auto"/>
            <w:noWrap/>
            <w:vAlign w:val="center"/>
            <w:hideMark/>
          </w:tcPr>
          <w:p w14:paraId="0463C7F0" w14:textId="77777777" w:rsidR="00387142" w:rsidRPr="008B6A75" w:rsidRDefault="00387142" w:rsidP="00387142">
            <w:pPr>
              <w:jc w:val="center"/>
              <w:rPr>
                <w:sz w:val="20"/>
                <w:szCs w:val="20"/>
              </w:rPr>
            </w:pPr>
            <w:r w:rsidRPr="008B6A75">
              <w:rPr>
                <w:sz w:val="20"/>
                <w:szCs w:val="20"/>
              </w:rPr>
              <w:t>520</w:t>
            </w:r>
          </w:p>
        </w:tc>
        <w:tc>
          <w:tcPr>
            <w:tcW w:w="567" w:type="dxa"/>
            <w:tcBorders>
              <w:top w:val="nil"/>
              <w:left w:val="single" w:sz="4" w:space="0" w:color="auto"/>
              <w:bottom w:val="single" w:sz="4" w:space="0" w:color="auto"/>
              <w:right w:val="nil"/>
            </w:tcBorders>
            <w:shd w:val="clear" w:color="auto" w:fill="auto"/>
            <w:noWrap/>
            <w:vAlign w:val="center"/>
            <w:hideMark/>
          </w:tcPr>
          <w:p w14:paraId="02FA064D" w14:textId="77777777" w:rsidR="00387142" w:rsidRPr="008B6A75" w:rsidRDefault="00387142" w:rsidP="00387142">
            <w:pPr>
              <w:jc w:val="center"/>
              <w:rPr>
                <w:sz w:val="20"/>
                <w:szCs w:val="20"/>
              </w:rPr>
            </w:pPr>
            <w:r w:rsidRPr="008B6A75">
              <w:rPr>
                <w:sz w:val="20"/>
                <w:szCs w:val="20"/>
              </w:rPr>
              <w:t>05</w:t>
            </w:r>
          </w:p>
        </w:tc>
        <w:tc>
          <w:tcPr>
            <w:tcW w:w="567" w:type="dxa"/>
            <w:tcBorders>
              <w:top w:val="nil"/>
              <w:left w:val="single" w:sz="4" w:space="0" w:color="auto"/>
              <w:bottom w:val="single" w:sz="4" w:space="0" w:color="auto"/>
              <w:right w:val="nil"/>
            </w:tcBorders>
            <w:shd w:val="clear" w:color="auto" w:fill="auto"/>
            <w:noWrap/>
            <w:vAlign w:val="center"/>
            <w:hideMark/>
          </w:tcPr>
          <w:p w14:paraId="4CD06FB8" w14:textId="77777777" w:rsidR="00387142" w:rsidRPr="008B6A75" w:rsidRDefault="00387142" w:rsidP="00387142">
            <w:pPr>
              <w:jc w:val="center"/>
              <w:rPr>
                <w:sz w:val="20"/>
                <w:szCs w:val="20"/>
              </w:rPr>
            </w:pPr>
            <w:r w:rsidRPr="008B6A75">
              <w:rPr>
                <w:sz w:val="20"/>
                <w:szCs w:val="20"/>
              </w:rPr>
              <w:t>02</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35AC514" w14:textId="77777777" w:rsidR="00387142" w:rsidRPr="008B6A75" w:rsidRDefault="00387142" w:rsidP="00387142">
            <w:pPr>
              <w:jc w:val="right"/>
              <w:rPr>
                <w:sz w:val="20"/>
                <w:szCs w:val="20"/>
              </w:rPr>
            </w:pPr>
            <w:r w:rsidRPr="008B6A75">
              <w:rPr>
                <w:sz w:val="20"/>
                <w:szCs w:val="20"/>
              </w:rPr>
              <w:t>1 922 500,00</w:t>
            </w:r>
          </w:p>
        </w:tc>
        <w:tc>
          <w:tcPr>
            <w:tcW w:w="851" w:type="dxa"/>
            <w:tcBorders>
              <w:top w:val="nil"/>
              <w:left w:val="single" w:sz="4" w:space="0" w:color="auto"/>
              <w:bottom w:val="single" w:sz="4" w:space="0" w:color="auto"/>
              <w:right w:val="nil"/>
            </w:tcBorders>
            <w:shd w:val="clear" w:color="auto" w:fill="auto"/>
            <w:noWrap/>
            <w:vAlign w:val="center"/>
            <w:hideMark/>
          </w:tcPr>
          <w:p w14:paraId="7C477BEF" w14:textId="77777777" w:rsidR="00387142" w:rsidRPr="008B6A75" w:rsidRDefault="00387142" w:rsidP="00387142">
            <w:pPr>
              <w:jc w:val="right"/>
              <w:rPr>
                <w:sz w:val="20"/>
                <w:szCs w:val="20"/>
              </w:rPr>
            </w:pPr>
            <w:r w:rsidRPr="008B6A75">
              <w:rPr>
                <w:sz w:val="20"/>
                <w:szCs w:val="20"/>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5D6A80C6" w14:textId="77777777" w:rsidR="00387142" w:rsidRPr="008B6A75" w:rsidRDefault="00387142" w:rsidP="00387142">
            <w:pPr>
              <w:jc w:val="right"/>
              <w:rPr>
                <w:sz w:val="20"/>
                <w:szCs w:val="20"/>
              </w:rPr>
            </w:pPr>
            <w:r w:rsidRPr="008B6A75">
              <w:rPr>
                <w:sz w:val="20"/>
                <w:szCs w:val="20"/>
              </w:rPr>
              <w:t>0,00</w:t>
            </w:r>
          </w:p>
        </w:tc>
      </w:tr>
      <w:tr w:rsidR="00387142" w:rsidRPr="008B6A75" w14:paraId="02CFD5DF" w14:textId="77777777" w:rsidTr="00387142">
        <w:trPr>
          <w:trHeight w:val="300"/>
        </w:trPr>
        <w:tc>
          <w:tcPr>
            <w:tcW w:w="272" w:type="dxa"/>
            <w:tcBorders>
              <w:top w:val="nil"/>
              <w:left w:val="nil"/>
              <w:bottom w:val="nil"/>
              <w:right w:val="single" w:sz="4" w:space="0" w:color="auto"/>
            </w:tcBorders>
            <w:shd w:val="clear" w:color="auto" w:fill="auto"/>
            <w:noWrap/>
            <w:vAlign w:val="bottom"/>
            <w:hideMark/>
          </w:tcPr>
          <w:p w14:paraId="45F44026"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464DBFA8" w14:textId="77777777" w:rsidR="00387142" w:rsidRPr="008B6A75" w:rsidRDefault="00387142" w:rsidP="00387142">
            <w:pPr>
              <w:rPr>
                <w:sz w:val="20"/>
                <w:szCs w:val="20"/>
              </w:rPr>
            </w:pPr>
            <w:r w:rsidRPr="008B6A75">
              <w:rPr>
                <w:sz w:val="20"/>
                <w:szCs w:val="20"/>
              </w:rPr>
              <w:t>Иные бюджетные ассигнования</w:t>
            </w:r>
          </w:p>
        </w:tc>
        <w:tc>
          <w:tcPr>
            <w:tcW w:w="1559" w:type="dxa"/>
            <w:tcBorders>
              <w:top w:val="nil"/>
              <w:left w:val="single" w:sz="4" w:space="0" w:color="auto"/>
              <w:bottom w:val="single" w:sz="4" w:space="0" w:color="auto"/>
              <w:right w:val="nil"/>
            </w:tcBorders>
            <w:shd w:val="clear" w:color="auto" w:fill="auto"/>
            <w:noWrap/>
            <w:vAlign w:val="center"/>
            <w:hideMark/>
          </w:tcPr>
          <w:p w14:paraId="2FBE5F4F" w14:textId="77777777" w:rsidR="00387142" w:rsidRPr="008B6A75" w:rsidRDefault="00387142" w:rsidP="00387142">
            <w:pPr>
              <w:jc w:val="center"/>
              <w:rPr>
                <w:sz w:val="20"/>
                <w:szCs w:val="20"/>
              </w:rPr>
            </w:pPr>
            <w:r w:rsidRPr="008B6A75">
              <w:rPr>
                <w:sz w:val="20"/>
                <w:szCs w:val="20"/>
              </w:rPr>
              <w:t>17.3.00.70600</w:t>
            </w:r>
          </w:p>
        </w:tc>
        <w:tc>
          <w:tcPr>
            <w:tcW w:w="850" w:type="dxa"/>
            <w:tcBorders>
              <w:top w:val="nil"/>
              <w:left w:val="single" w:sz="4" w:space="0" w:color="auto"/>
              <w:bottom w:val="single" w:sz="4" w:space="0" w:color="auto"/>
              <w:right w:val="nil"/>
            </w:tcBorders>
            <w:shd w:val="clear" w:color="auto" w:fill="auto"/>
            <w:noWrap/>
            <w:vAlign w:val="center"/>
            <w:hideMark/>
          </w:tcPr>
          <w:p w14:paraId="355B13EB" w14:textId="77777777" w:rsidR="00387142" w:rsidRPr="008B6A75" w:rsidRDefault="00387142" w:rsidP="00387142">
            <w:pPr>
              <w:jc w:val="center"/>
              <w:rPr>
                <w:sz w:val="20"/>
                <w:szCs w:val="20"/>
              </w:rPr>
            </w:pPr>
            <w:r w:rsidRPr="008B6A75">
              <w:rPr>
                <w:sz w:val="20"/>
                <w:szCs w:val="20"/>
              </w:rPr>
              <w:t>800</w:t>
            </w:r>
          </w:p>
        </w:tc>
        <w:tc>
          <w:tcPr>
            <w:tcW w:w="567" w:type="dxa"/>
            <w:tcBorders>
              <w:top w:val="nil"/>
              <w:left w:val="single" w:sz="4" w:space="0" w:color="auto"/>
              <w:bottom w:val="single" w:sz="4" w:space="0" w:color="auto"/>
              <w:right w:val="nil"/>
            </w:tcBorders>
            <w:shd w:val="clear" w:color="auto" w:fill="auto"/>
            <w:noWrap/>
            <w:vAlign w:val="center"/>
            <w:hideMark/>
          </w:tcPr>
          <w:p w14:paraId="0217FD62" w14:textId="77777777" w:rsidR="00387142" w:rsidRPr="008B6A75" w:rsidRDefault="00387142" w:rsidP="00387142">
            <w:pPr>
              <w:jc w:val="center"/>
              <w:rPr>
                <w:sz w:val="20"/>
                <w:szCs w:val="20"/>
              </w:rPr>
            </w:pPr>
            <w:r w:rsidRPr="008B6A75">
              <w:rPr>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6D60585D" w14:textId="77777777" w:rsidR="00387142" w:rsidRPr="008B6A75" w:rsidRDefault="00387142" w:rsidP="00387142">
            <w:pPr>
              <w:jc w:val="center"/>
              <w:rPr>
                <w:sz w:val="20"/>
                <w:szCs w:val="20"/>
              </w:rPr>
            </w:pPr>
            <w:r w:rsidRPr="008B6A75">
              <w:rPr>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42AD7BB" w14:textId="77777777" w:rsidR="00387142" w:rsidRPr="008B6A75" w:rsidRDefault="00387142" w:rsidP="00387142">
            <w:pPr>
              <w:jc w:val="right"/>
              <w:rPr>
                <w:sz w:val="20"/>
                <w:szCs w:val="20"/>
              </w:rPr>
            </w:pPr>
            <w:r w:rsidRPr="008B6A75">
              <w:rPr>
                <w:sz w:val="20"/>
                <w:szCs w:val="20"/>
              </w:rPr>
              <w:t>7 728 888,21</w:t>
            </w:r>
          </w:p>
        </w:tc>
        <w:tc>
          <w:tcPr>
            <w:tcW w:w="851" w:type="dxa"/>
            <w:tcBorders>
              <w:top w:val="nil"/>
              <w:left w:val="single" w:sz="4" w:space="0" w:color="auto"/>
              <w:bottom w:val="single" w:sz="4" w:space="0" w:color="auto"/>
              <w:right w:val="nil"/>
            </w:tcBorders>
            <w:shd w:val="clear" w:color="auto" w:fill="auto"/>
            <w:noWrap/>
            <w:vAlign w:val="center"/>
            <w:hideMark/>
          </w:tcPr>
          <w:p w14:paraId="1AA2F9BA" w14:textId="77777777" w:rsidR="00387142" w:rsidRPr="008B6A75" w:rsidRDefault="00387142" w:rsidP="00387142">
            <w:pPr>
              <w:jc w:val="right"/>
              <w:rPr>
                <w:sz w:val="20"/>
                <w:szCs w:val="20"/>
              </w:rPr>
            </w:pPr>
            <w:r w:rsidRPr="008B6A75">
              <w:rPr>
                <w:sz w:val="20"/>
                <w:szCs w:val="20"/>
              </w:rPr>
              <w:t>9 651 400,00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79531169" w14:textId="77777777" w:rsidR="00387142" w:rsidRPr="008B6A75" w:rsidRDefault="00387142" w:rsidP="00387142">
            <w:pPr>
              <w:jc w:val="right"/>
              <w:rPr>
                <w:sz w:val="20"/>
                <w:szCs w:val="20"/>
              </w:rPr>
            </w:pPr>
            <w:r w:rsidRPr="008B6A75">
              <w:rPr>
                <w:sz w:val="20"/>
                <w:szCs w:val="20"/>
              </w:rPr>
              <w:t>9 651 400,00</w:t>
            </w:r>
          </w:p>
        </w:tc>
      </w:tr>
      <w:tr w:rsidR="00387142" w:rsidRPr="008B6A75" w14:paraId="2CD2EE89" w14:textId="77777777" w:rsidTr="00387142">
        <w:trPr>
          <w:trHeight w:val="1155"/>
        </w:trPr>
        <w:tc>
          <w:tcPr>
            <w:tcW w:w="272" w:type="dxa"/>
            <w:tcBorders>
              <w:top w:val="nil"/>
              <w:left w:val="nil"/>
              <w:bottom w:val="nil"/>
              <w:right w:val="single" w:sz="4" w:space="0" w:color="auto"/>
            </w:tcBorders>
            <w:shd w:val="clear" w:color="auto" w:fill="auto"/>
            <w:noWrap/>
            <w:vAlign w:val="bottom"/>
            <w:hideMark/>
          </w:tcPr>
          <w:p w14:paraId="7A4C6EB3"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613FCD0D" w14:textId="77777777" w:rsidR="00387142" w:rsidRPr="008B6A75" w:rsidRDefault="00387142" w:rsidP="00387142">
            <w:pPr>
              <w:rPr>
                <w:sz w:val="20"/>
                <w:szCs w:val="20"/>
              </w:rPr>
            </w:pPr>
            <w:r w:rsidRPr="008B6A75">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59" w:type="dxa"/>
            <w:tcBorders>
              <w:top w:val="nil"/>
              <w:left w:val="single" w:sz="4" w:space="0" w:color="auto"/>
              <w:bottom w:val="single" w:sz="4" w:space="0" w:color="auto"/>
              <w:right w:val="nil"/>
            </w:tcBorders>
            <w:shd w:val="clear" w:color="auto" w:fill="auto"/>
            <w:noWrap/>
            <w:vAlign w:val="center"/>
            <w:hideMark/>
          </w:tcPr>
          <w:p w14:paraId="67AA5E96" w14:textId="77777777" w:rsidR="00387142" w:rsidRPr="008B6A75" w:rsidRDefault="00387142" w:rsidP="00387142">
            <w:pPr>
              <w:jc w:val="center"/>
              <w:rPr>
                <w:sz w:val="20"/>
                <w:szCs w:val="20"/>
              </w:rPr>
            </w:pPr>
            <w:r w:rsidRPr="008B6A75">
              <w:rPr>
                <w:sz w:val="20"/>
                <w:szCs w:val="20"/>
              </w:rPr>
              <w:t>17.3.00.70600</w:t>
            </w:r>
          </w:p>
        </w:tc>
        <w:tc>
          <w:tcPr>
            <w:tcW w:w="850" w:type="dxa"/>
            <w:tcBorders>
              <w:top w:val="nil"/>
              <w:left w:val="single" w:sz="4" w:space="0" w:color="auto"/>
              <w:bottom w:val="single" w:sz="4" w:space="0" w:color="auto"/>
              <w:right w:val="nil"/>
            </w:tcBorders>
            <w:shd w:val="clear" w:color="auto" w:fill="auto"/>
            <w:noWrap/>
            <w:vAlign w:val="center"/>
            <w:hideMark/>
          </w:tcPr>
          <w:p w14:paraId="0DFB8BCB" w14:textId="77777777" w:rsidR="00387142" w:rsidRPr="008B6A75" w:rsidRDefault="00387142" w:rsidP="00387142">
            <w:pPr>
              <w:jc w:val="center"/>
              <w:rPr>
                <w:sz w:val="20"/>
                <w:szCs w:val="20"/>
              </w:rPr>
            </w:pPr>
            <w:r w:rsidRPr="008B6A75">
              <w:rPr>
                <w:sz w:val="20"/>
                <w:szCs w:val="20"/>
              </w:rPr>
              <w:t>810</w:t>
            </w:r>
          </w:p>
        </w:tc>
        <w:tc>
          <w:tcPr>
            <w:tcW w:w="567" w:type="dxa"/>
            <w:tcBorders>
              <w:top w:val="nil"/>
              <w:left w:val="single" w:sz="4" w:space="0" w:color="auto"/>
              <w:bottom w:val="single" w:sz="4" w:space="0" w:color="auto"/>
              <w:right w:val="nil"/>
            </w:tcBorders>
            <w:shd w:val="clear" w:color="auto" w:fill="auto"/>
            <w:noWrap/>
            <w:vAlign w:val="center"/>
            <w:hideMark/>
          </w:tcPr>
          <w:p w14:paraId="062EA26C" w14:textId="77777777" w:rsidR="00387142" w:rsidRPr="008B6A75" w:rsidRDefault="00387142" w:rsidP="00387142">
            <w:pPr>
              <w:jc w:val="center"/>
              <w:rPr>
                <w:sz w:val="20"/>
                <w:szCs w:val="20"/>
              </w:rPr>
            </w:pPr>
            <w:r w:rsidRPr="008B6A75">
              <w:rPr>
                <w:sz w:val="20"/>
                <w:szCs w:val="20"/>
              </w:rPr>
              <w:t>05</w:t>
            </w:r>
          </w:p>
        </w:tc>
        <w:tc>
          <w:tcPr>
            <w:tcW w:w="567" w:type="dxa"/>
            <w:tcBorders>
              <w:top w:val="nil"/>
              <w:left w:val="single" w:sz="4" w:space="0" w:color="auto"/>
              <w:bottom w:val="single" w:sz="4" w:space="0" w:color="auto"/>
              <w:right w:val="nil"/>
            </w:tcBorders>
            <w:shd w:val="clear" w:color="auto" w:fill="auto"/>
            <w:noWrap/>
            <w:vAlign w:val="center"/>
            <w:hideMark/>
          </w:tcPr>
          <w:p w14:paraId="4619BB23" w14:textId="77777777" w:rsidR="00387142" w:rsidRPr="008B6A75" w:rsidRDefault="00387142" w:rsidP="00387142">
            <w:pPr>
              <w:jc w:val="center"/>
              <w:rPr>
                <w:sz w:val="20"/>
                <w:szCs w:val="20"/>
              </w:rPr>
            </w:pPr>
            <w:r w:rsidRPr="008B6A75">
              <w:rPr>
                <w:sz w:val="20"/>
                <w:szCs w:val="20"/>
              </w:rPr>
              <w:t>02</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42D0681" w14:textId="77777777" w:rsidR="00387142" w:rsidRPr="008B6A75" w:rsidRDefault="00387142" w:rsidP="00387142">
            <w:pPr>
              <w:jc w:val="right"/>
              <w:rPr>
                <w:sz w:val="20"/>
                <w:szCs w:val="20"/>
              </w:rPr>
            </w:pPr>
            <w:r w:rsidRPr="008B6A75">
              <w:rPr>
                <w:sz w:val="20"/>
                <w:szCs w:val="20"/>
              </w:rPr>
              <w:t>7 728 888,21</w:t>
            </w:r>
          </w:p>
        </w:tc>
        <w:tc>
          <w:tcPr>
            <w:tcW w:w="851" w:type="dxa"/>
            <w:tcBorders>
              <w:top w:val="nil"/>
              <w:left w:val="single" w:sz="4" w:space="0" w:color="auto"/>
              <w:bottom w:val="single" w:sz="4" w:space="0" w:color="auto"/>
              <w:right w:val="nil"/>
            </w:tcBorders>
            <w:shd w:val="clear" w:color="auto" w:fill="auto"/>
            <w:noWrap/>
            <w:vAlign w:val="center"/>
            <w:hideMark/>
          </w:tcPr>
          <w:p w14:paraId="2E5F6612" w14:textId="77777777" w:rsidR="00387142" w:rsidRPr="008B6A75" w:rsidRDefault="00387142" w:rsidP="00387142">
            <w:pPr>
              <w:jc w:val="right"/>
              <w:rPr>
                <w:sz w:val="20"/>
                <w:szCs w:val="20"/>
              </w:rPr>
            </w:pPr>
            <w:r w:rsidRPr="008B6A75">
              <w:rPr>
                <w:sz w:val="20"/>
                <w:szCs w:val="20"/>
              </w:rPr>
              <w:t>9 651 400,00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1CDB86E6" w14:textId="77777777" w:rsidR="00387142" w:rsidRPr="008B6A75" w:rsidRDefault="00387142" w:rsidP="00387142">
            <w:pPr>
              <w:jc w:val="right"/>
              <w:rPr>
                <w:sz w:val="20"/>
                <w:szCs w:val="20"/>
              </w:rPr>
            </w:pPr>
            <w:r w:rsidRPr="008B6A75">
              <w:rPr>
                <w:sz w:val="20"/>
                <w:szCs w:val="20"/>
              </w:rPr>
              <w:t>9 651 400,00</w:t>
            </w:r>
          </w:p>
        </w:tc>
      </w:tr>
      <w:tr w:rsidR="00387142" w:rsidRPr="008B6A75" w14:paraId="58B819C5" w14:textId="77777777" w:rsidTr="00387142">
        <w:trPr>
          <w:trHeight w:val="2580"/>
        </w:trPr>
        <w:tc>
          <w:tcPr>
            <w:tcW w:w="272" w:type="dxa"/>
            <w:tcBorders>
              <w:top w:val="nil"/>
              <w:left w:val="nil"/>
              <w:bottom w:val="nil"/>
              <w:right w:val="single" w:sz="4" w:space="0" w:color="auto"/>
            </w:tcBorders>
            <w:shd w:val="clear" w:color="auto" w:fill="auto"/>
            <w:noWrap/>
            <w:vAlign w:val="bottom"/>
            <w:hideMark/>
          </w:tcPr>
          <w:p w14:paraId="3315D476"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678492C6" w14:textId="77777777" w:rsidR="00387142" w:rsidRPr="008B6A75" w:rsidRDefault="00387142" w:rsidP="00387142">
            <w:pPr>
              <w:rPr>
                <w:bCs/>
                <w:sz w:val="20"/>
                <w:szCs w:val="20"/>
              </w:rPr>
            </w:pPr>
            <w:proofErr w:type="spellStart"/>
            <w:r w:rsidRPr="008B6A75">
              <w:rPr>
                <w:bCs/>
                <w:sz w:val="20"/>
                <w:szCs w:val="20"/>
              </w:rPr>
              <w:t>Софинансирование</w:t>
            </w:r>
            <w:proofErr w:type="spellEnd"/>
            <w:r w:rsidRPr="008B6A75">
              <w:rPr>
                <w:bCs/>
                <w:sz w:val="20"/>
                <w:szCs w:val="20"/>
              </w:rPr>
              <w:t xml:space="preserve"> местного бюджета на реализацию мероприятий по организации функционирования систем жизнеобеспечения и снабжению населения топливом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w:t>
            </w:r>
          </w:p>
        </w:tc>
        <w:tc>
          <w:tcPr>
            <w:tcW w:w="1559" w:type="dxa"/>
            <w:tcBorders>
              <w:top w:val="nil"/>
              <w:left w:val="single" w:sz="4" w:space="0" w:color="auto"/>
              <w:bottom w:val="single" w:sz="4" w:space="0" w:color="auto"/>
              <w:right w:val="nil"/>
            </w:tcBorders>
            <w:shd w:val="clear" w:color="auto" w:fill="auto"/>
            <w:noWrap/>
            <w:vAlign w:val="center"/>
            <w:hideMark/>
          </w:tcPr>
          <w:p w14:paraId="63FFA2F3" w14:textId="77777777" w:rsidR="00387142" w:rsidRPr="008B6A75" w:rsidRDefault="00387142" w:rsidP="00387142">
            <w:pPr>
              <w:jc w:val="center"/>
              <w:rPr>
                <w:bCs/>
                <w:sz w:val="20"/>
                <w:szCs w:val="20"/>
              </w:rPr>
            </w:pPr>
            <w:r w:rsidRPr="008B6A75">
              <w:rPr>
                <w:bCs/>
                <w:sz w:val="20"/>
                <w:szCs w:val="20"/>
              </w:rPr>
              <w:t>17.3.00.S0490</w:t>
            </w:r>
          </w:p>
        </w:tc>
        <w:tc>
          <w:tcPr>
            <w:tcW w:w="850" w:type="dxa"/>
            <w:tcBorders>
              <w:top w:val="nil"/>
              <w:left w:val="single" w:sz="4" w:space="0" w:color="auto"/>
              <w:bottom w:val="single" w:sz="4" w:space="0" w:color="auto"/>
              <w:right w:val="nil"/>
            </w:tcBorders>
            <w:shd w:val="clear" w:color="auto" w:fill="auto"/>
            <w:noWrap/>
            <w:vAlign w:val="center"/>
            <w:hideMark/>
          </w:tcPr>
          <w:p w14:paraId="611B2921" w14:textId="77777777" w:rsidR="00387142" w:rsidRPr="008B6A75" w:rsidRDefault="00387142" w:rsidP="00387142">
            <w:pPr>
              <w:jc w:val="center"/>
              <w:rPr>
                <w:bCs/>
                <w:sz w:val="20"/>
                <w:szCs w:val="20"/>
              </w:rPr>
            </w:pPr>
            <w:r w:rsidRPr="008B6A75">
              <w:rPr>
                <w:bCs/>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6A05C38F" w14:textId="77777777" w:rsidR="00387142" w:rsidRPr="008B6A75" w:rsidRDefault="00387142" w:rsidP="00387142">
            <w:pPr>
              <w:jc w:val="center"/>
              <w:rPr>
                <w:bCs/>
                <w:sz w:val="20"/>
                <w:szCs w:val="20"/>
              </w:rPr>
            </w:pPr>
            <w:r w:rsidRPr="008B6A75">
              <w:rPr>
                <w:bCs/>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7A2C265A" w14:textId="77777777" w:rsidR="00387142" w:rsidRPr="008B6A75" w:rsidRDefault="00387142" w:rsidP="00387142">
            <w:pPr>
              <w:jc w:val="center"/>
              <w:rPr>
                <w:bCs/>
                <w:sz w:val="20"/>
                <w:szCs w:val="20"/>
              </w:rPr>
            </w:pPr>
            <w:r w:rsidRPr="008B6A75">
              <w:rPr>
                <w:bCs/>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AC84FFF" w14:textId="77777777" w:rsidR="00387142" w:rsidRPr="008B6A75" w:rsidRDefault="00387142" w:rsidP="00387142">
            <w:pPr>
              <w:jc w:val="right"/>
              <w:rPr>
                <w:bCs/>
                <w:sz w:val="20"/>
                <w:szCs w:val="20"/>
              </w:rPr>
            </w:pPr>
            <w:r w:rsidRPr="008B6A75">
              <w:rPr>
                <w:bCs/>
                <w:sz w:val="20"/>
                <w:szCs w:val="20"/>
              </w:rPr>
              <w:t>265 347,30</w:t>
            </w:r>
          </w:p>
        </w:tc>
        <w:tc>
          <w:tcPr>
            <w:tcW w:w="851" w:type="dxa"/>
            <w:tcBorders>
              <w:top w:val="nil"/>
              <w:left w:val="single" w:sz="4" w:space="0" w:color="auto"/>
              <w:bottom w:val="single" w:sz="4" w:space="0" w:color="auto"/>
              <w:right w:val="nil"/>
            </w:tcBorders>
            <w:shd w:val="clear" w:color="auto" w:fill="auto"/>
            <w:noWrap/>
            <w:vAlign w:val="center"/>
            <w:hideMark/>
          </w:tcPr>
          <w:p w14:paraId="41B1A282" w14:textId="77777777" w:rsidR="00387142" w:rsidRPr="008B6A75" w:rsidRDefault="00387142" w:rsidP="00387142">
            <w:pPr>
              <w:jc w:val="right"/>
              <w:rPr>
                <w:bCs/>
                <w:sz w:val="20"/>
                <w:szCs w:val="20"/>
              </w:rPr>
            </w:pPr>
            <w:r w:rsidRPr="008B6A75">
              <w:rPr>
                <w:bCs/>
                <w:sz w:val="20"/>
                <w:szCs w:val="20"/>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56B429E5" w14:textId="77777777" w:rsidR="00387142" w:rsidRPr="008B6A75" w:rsidRDefault="00387142" w:rsidP="00387142">
            <w:pPr>
              <w:jc w:val="right"/>
              <w:rPr>
                <w:bCs/>
                <w:sz w:val="20"/>
                <w:szCs w:val="20"/>
              </w:rPr>
            </w:pPr>
            <w:r w:rsidRPr="008B6A75">
              <w:rPr>
                <w:bCs/>
                <w:sz w:val="20"/>
                <w:szCs w:val="20"/>
              </w:rPr>
              <w:t>0,00</w:t>
            </w:r>
          </w:p>
        </w:tc>
      </w:tr>
      <w:tr w:rsidR="00387142" w:rsidRPr="008B6A75" w14:paraId="12562961" w14:textId="77777777" w:rsidTr="00387142">
        <w:trPr>
          <w:trHeight w:val="300"/>
        </w:trPr>
        <w:tc>
          <w:tcPr>
            <w:tcW w:w="272" w:type="dxa"/>
            <w:tcBorders>
              <w:top w:val="nil"/>
              <w:left w:val="nil"/>
              <w:bottom w:val="nil"/>
              <w:right w:val="single" w:sz="4" w:space="0" w:color="auto"/>
            </w:tcBorders>
            <w:shd w:val="clear" w:color="auto" w:fill="auto"/>
            <w:noWrap/>
            <w:vAlign w:val="bottom"/>
            <w:hideMark/>
          </w:tcPr>
          <w:p w14:paraId="29C183C4" w14:textId="77777777" w:rsidR="00387142" w:rsidRPr="008B6A75" w:rsidRDefault="00387142" w:rsidP="00387142">
            <w:pPr>
              <w:rPr>
                <w:sz w:val="20"/>
                <w:szCs w:val="20"/>
              </w:rPr>
            </w:pPr>
            <w:r w:rsidRPr="008B6A75">
              <w:rPr>
                <w:sz w:val="20"/>
                <w:szCs w:val="20"/>
              </w:rPr>
              <w:lastRenderedPageBreak/>
              <w:t> </w:t>
            </w:r>
          </w:p>
        </w:tc>
        <w:tc>
          <w:tcPr>
            <w:tcW w:w="3415" w:type="dxa"/>
            <w:tcBorders>
              <w:top w:val="nil"/>
              <w:left w:val="single" w:sz="4" w:space="0" w:color="auto"/>
              <w:bottom w:val="single" w:sz="4" w:space="0" w:color="auto"/>
              <w:right w:val="nil"/>
            </w:tcBorders>
            <w:shd w:val="clear" w:color="auto" w:fill="auto"/>
            <w:vAlign w:val="center"/>
            <w:hideMark/>
          </w:tcPr>
          <w:p w14:paraId="7FE8D0F0" w14:textId="77777777" w:rsidR="00387142" w:rsidRPr="008B6A75" w:rsidRDefault="00387142" w:rsidP="00387142">
            <w:pPr>
              <w:rPr>
                <w:sz w:val="20"/>
                <w:szCs w:val="20"/>
              </w:rPr>
            </w:pPr>
            <w:r w:rsidRPr="008B6A75">
              <w:rPr>
                <w:sz w:val="20"/>
                <w:szCs w:val="20"/>
              </w:rPr>
              <w:t>Иные бюджетные ассигнования</w:t>
            </w:r>
          </w:p>
        </w:tc>
        <w:tc>
          <w:tcPr>
            <w:tcW w:w="1559" w:type="dxa"/>
            <w:tcBorders>
              <w:top w:val="nil"/>
              <w:left w:val="single" w:sz="4" w:space="0" w:color="auto"/>
              <w:bottom w:val="single" w:sz="4" w:space="0" w:color="auto"/>
              <w:right w:val="nil"/>
            </w:tcBorders>
            <w:shd w:val="clear" w:color="auto" w:fill="auto"/>
            <w:noWrap/>
            <w:vAlign w:val="center"/>
            <w:hideMark/>
          </w:tcPr>
          <w:p w14:paraId="21A4861E" w14:textId="77777777" w:rsidR="00387142" w:rsidRPr="008B6A75" w:rsidRDefault="00387142" w:rsidP="00387142">
            <w:pPr>
              <w:jc w:val="center"/>
              <w:rPr>
                <w:sz w:val="20"/>
                <w:szCs w:val="20"/>
              </w:rPr>
            </w:pPr>
            <w:r w:rsidRPr="008B6A75">
              <w:rPr>
                <w:sz w:val="20"/>
                <w:szCs w:val="20"/>
              </w:rPr>
              <w:t>17.3.00.S0490</w:t>
            </w:r>
          </w:p>
        </w:tc>
        <w:tc>
          <w:tcPr>
            <w:tcW w:w="850" w:type="dxa"/>
            <w:tcBorders>
              <w:top w:val="nil"/>
              <w:left w:val="single" w:sz="4" w:space="0" w:color="auto"/>
              <w:bottom w:val="single" w:sz="4" w:space="0" w:color="auto"/>
              <w:right w:val="nil"/>
            </w:tcBorders>
            <w:shd w:val="clear" w:color="auto" w:fill="auto"/>
            <w:noWrap/>
            <w:vAlign w:val="center"/>
            <w:hideMark/>
          </w:tcPr>
          <w:p w14:paraId="3FB9FB59" w14:textId="77777777" w:rsidR="00387142" w:rsidRPr="008B6A75" w:rsidRDefault="00387142" w:rsidP="00387142">
            <w:pPr>
              <w:jc w:val="center"/>
              <w:rPr>
                <w:sz w:val="20"/>
                <w:szCs w:val="20"/>
              </w:rPr>
            </w:pPr>
            <w:r w:rsidRPr="008B6A75">
              <w:rPr>
                <w:sz w:val="20"/>
                <w:szCs w:val="20"/>
              </w:rPr>
              <w:t>800</w:t>
            </w:r>
          </w:p>
        </w:tc>
        <w:tc>
          <w:tcPr>
            <w:tcW w:w="567" w:type="dxa"/>
            <w:tcBorders>
              <w:top w:val="nil"/>
              <w:left w:val="single" w:sz="4" w:space="0" w:color="auto"/>
              <w:bottom w:val="single" w:sz="4" w:space="0" w:color="auto"/>
              <w:right w:val="nil"/>
            </w:tcBorders>
            <w:shd w:val="clear" w:color="auto" w:fill="auto"/>
            <w:noWrap/>
            <w:vAlign w:val="center"/>
            <w:hideMark/>
          </w:tcPr>
          <w:p w14:paraId="5CEC65FD" w14:textId="77777777" w:rsidR="00387142" w:rsidRPr="008B6A75" w:rsidRDefault="00387142" w:rsidP="00387142">
            <w:pPr>
              <w:jc w:val="center"/>
              <w:rPr>
                <w:sz w:val="20"/>
                <w:szCs w:val="20"/>
              </w:rPr>
            </w:pPr>
            <w:r w:rsidRPr="008B6A75">
              <w:rPr>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741180E2" w14:textId="77777777" w:rsidR="00387142" w:rsidRPr="008B6A75" w:rsidRDefault="00387142" w:rsidP="00387142">
            <w:pPr>
              <w:jc w:val="center"/>
              <w:rPr>
                <w:sz w:val="20"/>
                <w:szCs w:val="20"/>
              </w:rPr>
            </w:pPr>
            <w:r w:rsidRPr="008B6A75">
              <w:rPr>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E8A6678" w14:textId="77777777" w:rsidR="00387142" w:rsidRPr="008B6A75" w:rsidRDefault="00387142" w:rsidP="00387142">
            <w:pPr>
              <w:jc w:val="right"/>
              <w:rPr>
                <w:sz w:val="20"/>
                <w:szCs w:val="20"/>
              </w:rPr>
            </w:pPr>
            <w:r w:rsidRPr="008B6A75">
              <w:rPr>
                <w:sz w:val="20"/>
                <w:szCs w:val="20"/>
              </w:rPr>
              <w:t>265 347,30</w:t>
            </w:r>
          </w:p>
        </w:tc>
        <w:tc>
          <w:tcPr>
            <w:tcW w:w="851" w:type="dxa"/>
            <w:tcBorders>
              <w:top w:val="nil"/>
              <w:left w:val="single" w:sz="4" w:space="0" w:color="auto"/>
              <w:bottom w:val="single" w:sz="4" w:space="0" w:color="auto"/>
              <w:right w:val="nil"/>
            </w:tcBorders>
            <w:shd w:val="clear" w:color="auto" w:fill="auto"/>
            <w:noWrap/>
            <w:vAlign w:val="center"/>
            <w:hideMark/>
          </w:tcPr>
          <w:p w14:paraId="7E89F9E8" w14:textId="77777777" w:rsidR="00387142" w:rsidRPr="008B6A75" w:rsidRDefault="00387142" w:rsidP="00387142">
            <w:pPr>
              <w:jc w:val="right"/>
              <w:rPr>
                <w:sz w:val="20"/>
                <w:szCs w:val="20"/>
              </w:rPr>
            </w:pPr>
            <w:r w:rsidRPr="008B6A75">
              <w:rPr>
                <w:sz w:val="20"/>
                <w:szCs w:val="20"/>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0E454434" w14:textId="77777777" w:rsidR="00387142" w:rsidRPr="008B6A75" w:rsidRDefault="00387142" w:rsidP="00387142">
            <w:pPr>
              <w:jc w:val="right"/>
              <w:rPr>
                <w:sz w:val="20"/>
                <w:szCs w:val="20"/>
              </w:rPr>
            </w:pPr>
            <w:r w:rsidRPr="008B6A75">
              <w:rPr>
                <w:sz w:val="20"/>
                <w:szCs w:val="20"/>
              </w:rPr>
              <w:t>0,00</w:t>
            </w:r>
          </w:p>
        </w:tc>
      </w:tr>
      <w:tr w:rsidR="00387142" w:rsidRPr="008B6A75" w14:paraId="7ACD3A62" w14:textId="77777777" w:rsidTr="00387142">
        <w:trPr>
          <w:trHeight w:val="1155"/>
        </w:trPr>
        <w:tc>
          <w:tcPr>
            <w:tcW w:w="272" w:type="dxa"/>
            <w:tcBorders>
              <w:top w:val="nil"/>
              <w:left w:val="nil"/>
              <w:bottom w:val="nil"/>
              <w:right w:val="single" w:sz="4" w:space="0" w:color="auto"/>
            </w:tcBorders>
            <w:shd w:val="clear" w:color="auto" w:fill="auto"/>
            <w:noWrap/>
            <w:vAlign w:val="bottom"/>
            <w:hideMark/>
          </w:tcPr>
          <w:p w14:paraId="0E7E2158"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17D1DBCD" w14:textId="77777777" w:rsidR="00387142" w:rsidRPr="008B6A75" w:rsidRDefault="00387142" w:rsidP="00387142">
            <w:pPr>
              <w:rPr>
                <w:sz w:val="20"/>
                <w:szCs w:val="20"/>
              </w:rPr>
            </w:pPr>
            <w:r w:rsidRPr="008B6A75">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59" w:type="dxa"/>
            <w:tcBorders>
              <w:top w:val="nil"/>
              <w:left w:val="single" w:sz="4" w:space="0" w:color="auto"/>
              <w:bottom w:val="single" w:sz="4" w:space="0" w:color="auto"/>
              <w:right w:val="nil"/>
            </w:tcBorders>
            <w:shd w:val="clear" w:color="auto" w:fill="auto"/>
            <w:noWrap/>
            <w:vAlign w:val="center"/>
            <w:hideMark/>
          </w:tcPr>
          <w:p w14:paraId="68EA0F1A" w14:textId="77777777" w:rsidR="00387142" w:rsidRPr="008B6A75" w:rsidRDefault="00387142" w:rsidP="00387142">
            <w:pPr>
              <w:jc w:val="center"/>
              <w:rPr>
                <w:sz w:val="20"/>
                <w:szCs w:val="20"/>
              </w:rPr>
            </w:pPr>
            <w:r w:rsidRPr="008B6A75">
              <w:rPr>
                <w:sz w:val="20"/>
                <w:szCs w:val="20"/>
              </w:rPr>
              <w:t>17.3.00.S0490</w:t>
            </w:r>
          </w:p>
        </w:tc>
        <w:tc>
          <w:tcPr>
            <w:tcW w:w="850" w:type="dxa"/>
            <w:tcBorders>
              <w:top w:val="nil"/>
              <w:left w:val="single" w:sz="4" w:space="0" w:color="auto"/>
              <w:bottom w:val="single" w:sz="4" w:space="0" w:color="auto"/>
              <w:right w:val="nil"/>
            </w:tcBorders>
            <w:shd w:val="clear" w:color="auto" w:fill="auto"/>
            <w:noWrap/>
            <w:vAlign w:val="center"/>
            <w:hideMark/>
          </w:tcPr>
          <w:p w14:paraId="76524B28" w14:textId="77777777" w:rsidR="00387142" w:rsidRPr="008B6A75" w:rsidRDefault="00387142" w:rsidP="00387142">
            <w:pPr>
              <w:jc w:val="center"/>
              <w:rPr>
                <w:sz w:val="20"/>
                <w:szCs w:val="20"/>
              </w:rPr>
            </w:pPr>
            <w:r w:rsidRPr="008B6A75">
              <w:rPr>
                <w:sz w:val="20"/>
                <w:szCs w:val="20"/>
              </w:rPr>
              <w:t>810</w:t>
            </w:r>
          </w:p>
        </w:tc>
        <w:tc>
          <w:tcPr>
            <w:tcW w:w="567" w:type="dxa"/>
            <w:tcBorders>
              <w:top w:val="nil"/>
              <w:left w:val="single" w:sz="4" w:space="0" w:color="auto"/>
              <w:bottom w:val="single" w:sz="4" w:space="0" w:color="auto"/>
              <w:right w:val="nil"/>
            </w:tcBorders>
            <w:shd w:val="clear" w:color="auto" w:fill="auto"/>
            <w:noWrap/>
            <w:vAlign w:val="center"/>
            <w:hideMark/>
          </w:tcPr>
          <w:p w14:paraId="4E1A4141" w14:textId="77777777" w:rsidR="00387142" w:rsidRPr="008B6A75" w:rsidRDefault="00387142" w:rsidP="00387142">
            <w:pPr>
              <w:jc w:val="center"/>
              <w:rPr>
                <w:sz w:val="20"/>
                <w:szCs w:val="20"/>
              </w:rPr>
            </w:pPr>
            <w:r w:rsidRPr="008B6A75">
              <w:rPr>
                <w:sz w:val="20"/>
                <w:szCs w:val="20"/>
              </w:rPr>
              <w:t>05</w:t>
            </w:r>
          </w:p>
        </w:tc>
        <w:tc>
          <w:tcPr>
            <w:tcW w:w="567" w:type="dxa"/>
            <w:tcBorders>
              <w:top w:val="nil"/>
              <w:left w:val="single" w:sz="4" w:space="0" w:color="auto"/>
              <w:bottom w:val="single" w:sz="4" w:space="0" w:color="auto"/>
              <w:right w:val="nil"/>
            </w:tcBorders>
            <w:shd w:val="clear" w:color="auto" w:fill="auto"/>
            <w:noWrap/>
            <w:vAlign w:val="center"/>
            <w:hideMark/>
          </w:tcPr>
          <w:p w14:paraId="6046410A" w14:textId="77777777" w:rsidR="00387142" w:rsidRPr="008B6A75" w:rsidRDefault="00387142" w:rsidP="00387142">
            <w:pPr>
              <w:jc w:val="center"/>
              <w:rPr>
                <w:sz w:val="20"/>
                <w:szCs w:val="20"/>
              </w:rPr>
            </w:pPr>
            <w:r w:rsidRPr="008B6A75">
              <w:rPr>
                <w:sz w:val="20"/>
                <w:szCs w:val="20"/>
              </w:rPr>
              <w:t>02</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23A0217" w14:textId="77777777" w:rsidR="00387142" w:rsidRPr="008B6A75" w:rsidRDefault="00387142" w:rsidP="00387142">
            <w:pPr>
              <w:jc w:val="right"/>
              <w:rPr>
                <w:sz w:val="20"/>
                <w:szCs w:val="20"/>
              </w:rPr>
            </w:pPr>
            <w:r w:rsidRPr="008B6A75">
              <w:rPr>
                <w:sz w:val="20"/>
                <w:szCs w:val="20"/>
              </w:rPr>
              <w:t>265 347,30</w:t>
            </w:r>
          </w:p>
        </w:tc>
        <w:tc>
          <w:tcPr>
            <w:tcW w:w="851" w:type="dxa"/>
            <w:tcBorders>
              <w:top w:val="nil"/>
              <w:left w:val="single" w:sz="4" w:space="0" w:color="auto"/>
              <w:bottom w:val="single" w:sz="4" w:space="0" w:color="auto"/>
              <w:right w:val="nil"/>
            </w:tcBorders>
            <w:shd w:val="clear" w:color="auto" w:fill="auto"/>
            <w:noWrap/>
            <w:vAlign w:val="center"/>
            <w:hideMark/>
          </w:tcPr>
          <w:p w14:paraId="066EDD96" w14:textId="77777777" w:rsidR="00387142" w:rsidRPr="008B6A75" w:rsidRDefault="00387142" w:rsidP="00387142">
            <w:pPr>
              <w:jc w:val="right"/>
              <w:rPr>
                <w:sz w:val="20"/>
                <w:szCs w:val="20"/>
              </w:rPr>
            </w:pPr>
            <w:r w:rsidRPr="008B6A75">
              <w:rPr>
                <w:sz w:val="20"/>
                <w:szCs w:val="20"/>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663783EE" w14:textId="77777777" w:rsidR="00387142" w:rsidRPr="008B6A75" w:rsidRDefault="00387142" w:rsidP="00387142">
            <w:pPr>
              <w:jc w:val="right"/>
              <w:rPr>
                <w:sz w:val="20"/>
                <w:szCs w:val="20"/>
              </w:rPr>
            </w:pPr>
            <w:r w:rsidRPr="008B6A75">
              <w:rPr>
                <w:sz w:val="20"/>
                <w:szCs w:val="20"/>
              </w:rPr>
              <w:t>0,00</w:t>
            </w:r>
          </w:p>
        </w:tc>
      </w:tr>
      <w:tr w:rsidR="00387142" w:rsidRPr="008B6A75" w14:paraId="170D2EF2" w14:textId="77777777" w:rsidTr="00387142">
        <w:trPr>
          <w:trHeight w:val="2580"/>
        </w:trPr>
        <w:tc>
          <w:tcPr>
            <w:tcW w:w="272" w:type="dxa"/>
            <w:tcBorders>
              <w:top w:val="nil"/>
              <w:left w:val="nil"/>
              <w:bottom w:val="nil"/>
              <w:right w:val="single" w:sz="4" w:space="0" w:color="auto"/>
            </w:tcBorders>
            <w:shd w:val="clear" w:color="auto" w:fill="auto"/>
            <w:noWrap/>
            <w:vAlign w:val="bottom"/>
            <w:hideMark/>
          </w:tcPr>
          <w:p w14:paraId="2E45B8F7"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43D59CD8" w14:textId="77777777" w:rsidR="00387142" w:rsidRPr="008B6A75" w:rsidRDefault="00387142" w:rsidP="00387142">
            <w:pPr>
              <w:rPr>
                <w:bCs/>
                <w:sz w:val="20"/>
                <w:szCs w:val="20"/>
              </w:rPr>
            </w:pPr>
            <w:proofErr w:type="spellStart"/>
            <w:r w:rsidRPr="008B6A75">
              <w:rPr>
                <w:bCs/>
                <w:sz w:val="20"/>
                <w:szCs w:val="20"/>
              </w:rPr>
              <w:t>Софинансирование</w:t>
            </w:r>
            <w:proofErr w:type="spellEnd"/>
            <w:r w:rsidRPr="008B6A75">
              <w:rPr>
                <w:bCs/>
                <w:sz w:val="20"/>
                <w:szCs w:val="20"/>
              </w:rPr>
              <w:t xml:space="preserve"> местного бюджета на реализацию мероприятий по организации бесперебойной работы объектов жизнедеятельности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w:t>
            </w:r>
          </w:p>
        </w:tc>
        <w:tc>
          <w:tcPr>
            <w:tcW w:w="1559" w:type="dxa"/>
            <w:tcBorders>
              <w:top w:val="nil"/>
              <w:left w:val="single" w:sz="4" w:space="0" w:color="auto"/>
              <w:bottom w:val="single" w:sz="4" w:space="0" w:color="auto"/>
              <w:right w:val="nil"/>
            </w:tcBorders>
            <w:shd w:val="clear" w:color="auto" w:fill="auto"/>
            <w:noWrap/>
            <w:vAlign w:val="center"/>
            <w:hideMark/>
          </w:tcPr>
          <w:p w14:paraId="74EEDE63" w14:textId="77777777" w:rsidR="00387142" w:rsidRPr="008B6A75" w:rsidRDefault="00387142" w:rsidP="00387142">
            <w:pPr>
              <w:jc w:val="center"/>
              <w:rPr>
                <w:bCs/>
                <w:sz w:val="20"/>
                <w:szCs w:val="20"/>
              </w:rPr>
            </w:pPr>
            <w:r w:rsidRPr="008B6A75">
              <w:rPr>
                <w:bCs/>
                <w:sz w:val="20"/>
                <w:szCs w:val="20"/>
              </w:rPr>
              <w:t>17.3.00.S0600</w:t>
            </w:r>
          </w:p>
        </w:tc>
        <w:tc>
          <w:tcPr>
            <w:tcW w:w="850" w:type="dxa"/>
            <w:tcBorders>
              <w:top w:val="nil"/>
              <w:left w:val="single" w:sz="4" w:space="0" w:color="auto"/>
              <w:bottom w:val="single" w:sz="4" w:space="0" w:color="auto"/>
              <w:right w:val="nil"/>
            </w:tcBorders>
            <w:shd w:val="clear" w:color="auto" w:fill="auto"/>
            <w:noWrap/>
            <w:vAlign w:val="center"/>
            <w:hideMark/>
          </w:tcPr>
          <w:p w14:paraId="0AD66697" w14:textId="77777777" w:rsidR="00387142" w:rsidRPr="008B6A75" w:rsidRDefault="00387142" w:rsidP="00387142">
            <w:pPr>
              <w:jc w:val="center"/>
              <w:rPr>
                <w:bCs/>
                <w:sz w:val="20"/>
                <w:szCs w:val="20"/>
              </w:rPr>
            </w:pPr>
            <w:r w:rsidRPr="008B6A75">
              <w:rPr>
                <w:bCs/>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5E2A749D" w14:textId="77777777" w:rsidR="00387142" w:rsidRPr="008B6A75" w:rsidRDefault="00387142" w:rsidP="00387142">
            <w:pPr>
              <w:jc w:val="center"/>
              <w:rPr>
                <w:bCs/>
                <w:sz w:val="20"/>
                <w:szCs w:val="20"/>
              </w:rPr>
            </w:pPr>
            <w:r w:rsidRPr="008B6A75">
              <w:rPr>
                <w:bCs/>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1DC888FF" w14:textId="77777777" w:rsidR="00387142" w:rsidRPr="008B6A75" w:rsidRDefault="00387142" w:rsidP="00387142">
            <w:pPr>
              <w:jc w:val="center"/>
              <w:rPr>
                <w:bCs/>
                <w:sz w:val="20"/>
                <w:szCs w:val="20"/>
              </w:rPr>
            </w:pPr>
            <w:r w:rsidRPr="008B6A75">
              <w:rPr>
                <w:bCs/>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13C6FEF" w14:textId="77777777" w:rsidR="00387142" w:rsidRPr="008B6A75" w:rsidRDefault="00387142" w:rsidP="00387142">
            <w:pPr>
              <w:jc w:val="right"/>
              <w:rPr>
                <w:bCs/>
                <w:sz w:val="20"/>
                <w:szCs w:val="20"/>
              </w:rPr>
            </w:pPr>
            <w:r w:rsidRPr="008B6A75">
              <w:rPr>
                <w:bCs/>
                <w:sz w:val="20"/>
                <w:szCs w:val="20"/>
              </w:rPr>
              <w:t>157 732,42</w:t>
            </w:r>
          </w:p>
        </w:tc>
        <w:tc>
          <w:tcPr>
            <w:tcW w:w="851" w:type="dxa"/>
            <w:tcBorders>
              <w:top w:val="nil"/>
              <w:left w:val="single" w:sz="4" w:space="0" w:color="auto"/>
              <w:bottom w:val="single" w:sz="4" w:space="0" w:color="auto"/>
              <w:right w:val="nil"/>
            </w:tcBorders>
            <w:shd w:val="clear" w:color="auto" w:fill="auto"/>
            <w:noWrap/>
            <w:vAlign w:val="center"/>
            <w:hideMark/>
          </w:tcPr>
          <w:p w14:paraId="769F00BB" w14:textId="77777777" w:rsidR="00387142" w:rsidRPr="008B6A75" w:rsidRDefault="00387142" w:rsidP="00387142">
            <w:pPr>
              <w:jc w:val="right"/>
              <w:rPr>
                <w:bCs/>
                <w:sz w:val="20"/>
                <w:szCs w:val="20"/>
              </w:rPr>
            </w:pPr>
            <w:r w:rsidRPr="008B6A75">
              <w:rPr>
                <w:bCs/>
                <w:sz w:val="20"/>
                <w:szCs w:val="20"/>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4CEC0F20" w14:textId="77777777" w:rsidR="00387142" w:rsidRPr="008B6A75" w:rsidRDefault="00387142" w:rsidP="00387142">
            <w:pPr>
              <w:jc w:val="right"/>
              <w:rPr>
                <w:bCs/>
                <w:sz w:val="20"/>
                <w:szCs w:val="20"/>
              </w:rPr>
            </w:pPr>
            <w:r w:rsidRPr="008B6A75">
              <w:rPr>
                <w:bCs/>
                <w:sz w:val="20"/>
                <w:szCs w:val="20"/>
              </w:rPr>
              <w:t>0,00</w:t>
            </w:r>
          </w:p>
        </w:tc>
      </w:tr>
      <w:tr w:rsidR="00387142" w:rsidRPr="008B6A75" w14:paraId="1C0C6AFC" w14:textId="77777777" w:rsidTr="00387142">
        <w:trPr>
          <w:trHeight w:val="300"/>
        </w:trPr>
        <w:tc>
          <w:tcPr>
            <w:tcW w:w="272" w:type="dxa"/>
            <w:tcBorders>
              <w:top w:val="nil"/>
              <w:left w:val="nil"/>
              <w:bottom w:val="nil"/>
              <w:right w:val="single" w:sz="4" w:space="0" w:color="auto"/>
            </w:tcBorders>
            <w:shd w:val="clear" w:color="auto" w:fill="auto"/>
            <w:noWrap/>
            <w:vAlign w:val="bottom"/>
            <w:hideMark/>
          </w:tcPr>
          <w:p w14:paraId="6FCEB81A"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6879B481" w14:textId="77777777" w:rsidR="00387142" w:rsidRPr="008B6A75" w:rsidRDefault="00387142" w:rsidP="00387142">
            <w:pPr>
              <w:rPr>
                <w:sz w:val="20"/>
                <w:szCs w:val="20"/>
              </w:rPr>
            </w:pPr>
            <w:r w:rsidRPr="008B6A75">
              <w:rPr>
                <w:sz w:val="20"/>
                <w:szCs w:val="20"/>
              </w:rPr>
              <w:t>Иные бюджетные ассигнования</w:t>
            </w:r>
          </w:p>
        </w:tc>
        <w:tc>
          <w:tcPr>
            <w:tcW w:w="1559" w:type="dxa"/>
            <w:tcBorders>
              <w:top w:val="nil"/>
              <w:left w:val="single" w:sz="4" w:space="0" w:color="auto"/>
              <w:bottom w:val="single" w:sz="4" w:space="0" w:color="auto"/>
              <w:right w:val="nil"/>
            </w:tcBorders>
            <w:shd w:val="clear" w:color="auto" w:fill="auto"/>
            <w:noWrap/>
            <w:vAlign w:val="center"/>
            <w:hideMark/>
          </w:tcPr>
          <w:p w14:paraId="200EAAD5" w14:textId="77777777" w:rsidR="00387142" w:rsidRPr="008B6A75" w:rsidRDefault="00387142" w:rsidP="00387142">
            <w:pPr>
              <w:jc w:val="center"/>
              <w:rPr>
                <w:sz w:val="20"/>
                <w:szCs w:val="20"/>
              </w:rPr>
            </w:pPr>
            <w:r w:rsidRPr="008B6A75">
              <w:rPr>
                <w:sz w:val="20"/>
                <w:szCs w:val="20"/>
              </w:rPr>
              <w:t>17.3.00.S0600</w:t>
            </w:r>
          </w:p>
        </w:tc>
        <w:tc>
          <w:tcPr>
            <w:tcW w:w="850" w:type="dxa"/>
            <w:tcBorders>
              <w:top w:val="nil"/>
              <w:left w:val="single" w:sz="4" w:space="0" w:color="auto"/>
              <w:bottom w:val="single" w:sz="4" w:space="0" w:color="auto"/>
              <w:right w:val="nil"/>
            </w:tcBorders>
            <w:shd w:val="clear" w:color="auto" w:fill="auto"/>
            <w:noWrap/>
            <w:vAlign w:val="center"/>
            <w:hideMark/>
          </w:tcPr>
          <w:p w14:paraId="6DBC6B6B" w14:textId="77777777" w:rsidR="00387142" w:rsidRPr="008B6A75" w:rsidRDefault="00387142" w:rsidP="00387142">
            <w:pPr>
              <w:jc w:val="center"/>
              <w:rPr>
                <w:sz w:val="20"/>
                <w:szCs w:val="20"/>
              </w:rPr>
            </w:pPr>
            <w:r w:rsidRPr="008B6A75">
              <w:rPr>
                <w:sz w:val="20"/>
                <w:szCs w:val="20"/>
              </w:rPr>
              <w:t>800</w:t>
            </w:r>
          </w:p>
        </w:tc>
        <w:tc>
          <w:tcPr>
            <w:tcW w:w="567" w:type="dxa"/>
            <w:tcBorders>
              <w:top w:val="nil"/>
              <w:left w:val="single" w:sz="4" w:space="0" w:color="auto"/>
              <w:bottom w:val="single" w:sz="4" w:space="0" w:color="auto"/>
              <w:right w:val="nil"/>
            </w:tcBorders>
            <w:shd w:val="clear" w:color="auto" w:fill="auto"/>
            <w:noWrap/>
            <w:vAlign w:val="center"/>
            <w:hideMark/>
          </w:tcPr>
          <w:p w14:paraId="7071D0FE" w14:textId="77777777" w:rsidR="00387142" w:rsidRPr="008B6A75" w:rsidRDefault="00387142" w:rsidP="00387142">
            <w:pPr>
              <w:jc w:val="center"/>
              <w:rPr>
                <w:sz w:val="20"/>
                <w:szCs w:val="20"/>
              </w:rPr>
            </w:pPr>
            <w:r w:rsidRPr="008B6A75">
              <w:rPr>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596B9A7B" w14:textId="77777777" w:rsidR="00387142" w:rsidRPr="008B6A75" w:rsidRDefault="00387142" w:rsidP="00387142">
            <w:pPr>
              <w:jc w:val="center"/>
              <w:rPr>
                <w:sz w:val="20"/>
                <w:szCs w:val="20"/>
              </w:rPr>
            </w:pPr>
            <w:r w:rsidRPr="008B6A75">
              <w:rPr>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012446B" w14:textId="77777777" w:rsidR="00387142" w:rsidRPr="008B6A75" w:rsidRDefault="00387142" w:rsidP="00387142">
            <w:pPr>
              <w:jc w:val="right"/>
              <w:rPr>
                <w:sz w:val="20"/>
                <w:szCs w:val="20"/>
              </w:rPr>
            </w:pPr>
            <w:r w:rsidRPr="008B6A75">
              <w:rPr>
                <w:sz w:val="20"/>
                <w:szCs w:val="20"/>
              </w:rPr>
              <w:t>157 732,42</w:t>
            </w:r>
          </w:p>
        </w:tc>
        <w:tc>
          <w:tcPr>
            <w:tcW w:w="851" w:type="dxa"/>
            <w:tcBorders>
              <w:top w:val="nil"/>
              <w:left w:val="single" w:sz="4" w:space="0" w:color="auto"/>
              <w:bottom w:val="single" w:sz="4" w:space="0" w:color="auto"/>
              <w:right w:val="nil"/>
            </w:tcBorders>
            <w:shd w:val="clear" w:color="auto" w:fill="auto"/>
            <w:noWrap/>
            <w:vAlign w:val="center"/>
            <w:hideMark/>
          </w:tcPr>
          <w:p w14:paraId="27D76748" w14:textId="77777777" w:rsidR="00387142" w:rsidRPr="008B6A75" w:rsidRDefault="00387142" w:rsidP="00387142">
            <w:pPr>
              <w:jc w:val="right"/>
              <w:rPr>
                <w:sz w:val="20"/>
                <w:szCs w:val="20"/>
              </w:rPr>
            </w:pPr>
            <w:r w:rsidRPr="008B6A75">
              <w:rPr>
                <w:sz w:val="20"/>
                <w:szCs w:val="20"/>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0DA207A8" w14:textId="77777777" w:rsidR="00387142" w:rsidRPr="008B6A75" w:rsidRDefault="00387142" w:rsidP="00387142">
            <w:pPr>
              <w:jc w:val="right"/>
              <w:rPr>
                <w:sz w:val="20"/>
                <w:szCs w:val="20"/>
              </w:rPr>
            </w:pPr>
            <w:r w:rsidRPr="008B6A75">
              <w:rPr>
                <w:sz w:val="20"/>
                <w:szCs w:val="20"/>
              </w:rPr>
              <w:t>0,00</w:t>
            </w:r>
          </w:p>
        </w:tc>
      </w:tr>
      <w:tr w:rsidR="00387142" w:rsidRPr="008B6A75" w14:paraId="5890711C" w14:textId="77777777" w:rsidTr="00387142">
        <w:trPr>
          <w:trHeight w:val="1155"/>
        </w:trPr>
        <w:tc>
          <w:tcPr>
            <w:tcW w:w="272" w:type="dxa"/>
            <w:tcBorders>
              <w:top w:val="nil"/>
              <w:left w:val="nil"/>
              <w:bottom w:val="nil"/>
              <w:right w:val="single" w:sz="4" w:space="0" w:color="auto"/>
            </w:tcBorders>
            <w:shd w:val="clear" w:color="auto" w:fill="auto"/>
            <w:noWrap/>
            <w:vAlign w:val="bottom"/>
            <w:hideMark/>
          </w:tcPr>
          <w:p w14:paraId="23710CCE"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43050AB6" w14:textId="77777777" w:rsidR="00387142" w:rsidRPr="008B6A75" w:rsidRDefault="00387142" w:rsidP="00387142">
            <w:pPr>
              <w:rPr>
                <w:sz w:val="20"/>
                <w:szCs w:val="20"/>
              </w:rPr>
            </w:pPr>
            <w:r w:rsidRPr="008B6A75">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59" w:type="dxa"/>
            <w:tcBorders>
              <w:top w:val="nil"/>
              <w:left w:val="single" w:sz="4" w:space="0" w:color="auto"/>
              <w:bottom w:val="single" w:sz="4" w:space="0" w:color="auto"/>
              <w:right w:val="nil"/>
            </w:tcBorders>
            <w:shd w:val="clear" w:color="auto" w:fill="auto"/>
            <w:noWrap/>
            <w:vAlign w:val="center"/>
            <w:hideMark/>
          </w:tcPr>
          <w:p w14:paraId="3378B3B9" w14:textId="77777777" w:rsidR="00387142" w:rsidRPr="008B6A75" w:rsidRDefault="00387142" w:rsidP="00387142">
            <w:pPr>
              <w:jc w:val="center"/>
              <w:rPr>
                <w:sz w:val="20"/>
                <w:szCs w:val="20"/>
              </w:rPr>
            </w:pPr>
            <w:r w:rsidRPr="008B6A75">
              <w:rPr>
                <w:sz w:val="20"/>
                <w:szCs w:val="20"/>
              </w:rPr>
              <w:t>17.3.00.S0600</w:t>
            </w:r>
          </w:p>
        </w:tc>
        <w:tc>
          <w:tcPr>
            <w:tcW w:w="850" w:type="dxa"/>
            <w:tcBorders>
              <w:top w:val="nil"/>
              <w:left w:val="single" w:sz="4" w:space="0" w:color="auto"/>
              <w:bottom w:val="single" w:sz="4" w:space="0" w:color="auto"/>
              <w:right w:val="nil"/>
            </w:tcBorders>
            <w:shd w:val="clear" w:color="auto" w:fill="auto"/>
            <w:noWrap/>
            <w:vAlign w:val="center"/>
            <w:hideMark/>
          </w:tcPr>
          <w:p w14:paraId="38937E40" w14:textId="77777777" w:rsidR="00387142" w:rsidRPr="008B6A75" w:rsidRDefault="00387142" w:rsidP="00387142">
            <w:pPr>
              <w:jc w:val="center"/>
              <w:rPr>
                <w:sz w:val="20"/>
                <w:szCs w:val="20"/>
              </w:rPr>
            </w:pPr>
            <w:r w:rsidRPr="008B6A75">
              <w:rPr>
                <w:sz w:val="20"/>
                <w:szCs w:val="20"/>
              </w:rPr>
              <w:t>810</w:t>
            </w:r>
          </w:p>
        </w:tc>
        <w:tc>
          <w:tcPr>
            <w:tcW w:w="567" w:type="dxa"/>
            <w:tcBorders>
              <w:top w:val="nil"/>
              <w:left w:val="single" w:sz="4" w:space="0" w:color="auto"/>
              <w:bottom w:val="single" w:sz="4" w:space="0" w:color="auto"/>
              <w:right w:val="nil"/>
            </w:tcBorders>
            <w:shd w:val="clear" w:color="auto" w:fill="auto"/>
            <w:noWrap/>
            <w:vAlign w:val="center"/>
            <w:hideMark/>
          </w:tcPr>
          <w:p w14:paraId="0D5F2004" w14:textId="77777777" w:rsidR="00387142" w:rsidRPr="008B6A75" w:rsidRDefault="00387142" w:rsidP="00387142">
            <w:pPr>
              <w:jc w:val="center"/>
              <w:rPr>
                <w:sz w:val="20"/>
                <w:szCs w:val="20"/>
              </w:rPr>
            </w:pPr>
            <w:r w:rsidRPr="008B6A75">
              <w:rPr>
                <w:sz w:val="20"/>
                <w:szCs w:val="20"/>
              </w:rPr>
              <w:t>05</w:t>
            </w:r>
          </w:p>
        </w:tc>
        <w:tc>
          <w:tcPr>
            <w:tcW w:w="567" w:type="dxa"/>
            <w:tcBorders>
              <w:top w:val="nil"/>
              <w:left w:val="single" w:sz="4" w:space="0" w:color="auto"/>
              <w:bottom w:val="single" w:sz="4" w:space="0" w:color="auto"/>
              <w:right w:val="nil"/>
            </w:tcBorders>
            <w:shd w:val="clear" w:color="auto" w:fill="auto"/>
            <w:noWrap/>
            <w:vAlign w:val="center"/>
            <w:hideMark/>
          </w:tcPr>
          <w:p w14:paraId="155BE6DD" w14:textId="77777777" w:rsidR="00387142" w:rsidRPr="008B6A75" w:rsidRDefault="00387142" w:rsidP="00387142">
            <w:pPr>
              <w:jc w:val="center"/>
              <w:rPr>
                <w:sz w:val="20"/>
                <w:szCs w:val="20"/>
              </w:rPr>
            </w:pPr>
            <w:r w:rsidRPr="008B6A75">
              <w:rPr>
                <w:sz w:val="20"/>
                <w:szCs w:val="20"/>
              </w:rPr>
              <w:t>02</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1B4629D" w14:textId="77777777" w:rsidR="00387142" w:rsidRPr="008B6A75" w:rsidRDefault="00387142" w:rsidP="00387142">
            <w:pPr>
              <w:jc w:val="right"/>
              <w:rPr>
                <w:sz w:val="20"/>
                <w:szCs w:val="20"/>
              </w:rPr>
            </w:pPr>
            <w:r w:rsidRPr="008B6A75">
              <w:rPr>
                <w:sz w:val="20"/>
                <w:szCs w:val="20"/>
              </w:rPr>
              <w:t>157 732,42</w:t>
            </w:r>
          </w:p>
        </w:tc>
        <w:tc>
          <w:tcPr>
            <w:tcW w:w="851" w:type="dxa"/>
            <w:tcBorders>
              <w:top w:val="nil"/>
              <w:left w:val="single" w:sz="4" w:space="0" w:color="auto"/>
              <w:bottom w:val="single" w:sz="4" w:space="0" w:color="auto"/>
              <w:right w:val="nil"/>
            </w:tcBorders>
            <w:shd w:val="clear" w:color="auto" w:fill="auto"/>
            <w:noWrap/>
            <w:vAlign w:val="center"/>
            <w:hideMark/>
          </w:tcPr>
          <w:p w14:paraId="0037C89A" w14:textId="77777777" w:rsidR="00387142" w:rsidRPr="008B6A75" w:rsidRDefault="00387142" w:rsidP="00387142">
            <w:pPr>
              <w:jc w:val="right"/>
              <w:rPr>
                <w:sz w:val="20"/>
                <w:szCs w:val="20"/>
              </w:rPr>
            </w:pPr>
            <w:r w:rsidRPr="008B6A75">
              <w:rPr>
                <w:sz w:val="20"/>
                <w:szCs w:val="20"/>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77176BD3" w14:textId="77777777" w:rsidR="00387142" w:rsidRPr="008B6A75" w:rsidRDefault="00387142" w:rsidP="00387142">
            <w:pPr>
              <w:jc w:val="right"/>
              <w:rPr>
                <w:sz w:val="20"/>
                <w:szCs w:val="20"/>
              </w:rPr>
            </w:pPr>
            <w:r w:rsidRPr="008B6A75">
              <w:rPr>
                <w:sz w:val="20"/>
                <w:szCs w:val="20"/>
              </w:rPr>
              <w:t>0,00</w:t>
            </w:r>
          </w:p>
        </w:tc>
      </w:tr>
      <w:tr w:rsidR="00387142" w:rsidRPr="008B6A75" w14:paraId="497170E3" w14:textId="77777777" w:rsidTr="00387142">
        <w:trPr>
          <w:trHeight w:val="870"/>
        </w:trPr>
        <w:tc>
          <w:tcPr>
            <w:tcW w:w="272" w:type="dxa"/>
            <w:tcBorders>
              <w:top w:val="nil"/>
              <w:left w:val="nil"/>
              <w:bottom w:val="nil"/>
              <w:right w:val="single" w:sz="4" w:space="0" w:color="auto"/>
            </w:tcBorders>
            <w:shd w:val="clear" w:color="auto" w:fill="auto"/>
            <w:noWrap/>
            <w:vAlign w:val="bottom"/>
            <w:hideMark/>
          </w:tcPr>
          <w:p w14:paraId="38502BBE"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76AAF96D" w14:textId="77777777" w:rsidR="00387142" w:rsidRPr="008B6A75" w:rsidRDefault="00387142" w:rsidP="00387142">
            <w:pPr>
              <w:rPr>
                <w:bCs/>
                <w:sz w:val="20"/>
                <w:szCs w:val="20"/>
              </w:rPr>
            </w:pPr>
            <w:r w:rsidRPr="008B6A75">
              <w:rPr>
                <w:bCs/>
                <w:sz w:val="20"/>
                <w:szCs w:val="20"/>
              </w:rPr>
              <w:t>Муниципальная программа «Обеспечение безопасности жизнедеятельности населения Куйбышевского района»</w:t>
            </w:r>
          </w:p>
        </w:tc>
        <w:tc>
          <w:tcPr>
            <w:tcW w:w="1559" w:type="dxa"/>
            <w:tcBorders>
              <w:top w:val="nil"/>
              <w:left w:val="single" w:sz="4" w:space="0" w:color="auto"/>
              <w:bottom w:val="single" w:sz="4" w:space="0" w:color="auto"/>
              <w:right w:val="nil"/>
            </w:tcBorders>
            <w:shd w:val="clear" w:color="auto" w:fill="auto"/>
            <w:noWrap/>
            <w:vAlign w:val="center"/>
            <w:hideMark/>
          </w:tcPr>
          <w:p w14:paraId="182FCFE6" w14:textId="77777777" w:rsidR="00387142" w:rsidRPr="008B6A75" w:rsidRDefault="00387142" w:rsidP="00387142">
            <w:pPr>
              <w:jc w:val="center"/>
              <w:rPr>
                <w:bCs/>
                <w:sz w:val="20"/>
                <w:szCs w:val="20"/>
              </w:rPr>
            </w:pPr>
            <w:r w:rsidRPr="008B6A75">
              <w:rPr>
                <w:bCs/>
                <w:sz w:val="20"/>
                <w:szCs w:val="20"/>
              </w:rPr>
              <w:t>18.0.00.00000</w:t>
            </w:r>
          </w:p>
        </w:tc>
        <w:tc>
          <w:tcPr>
            <w:tcW w:w="850" w:type="dxa"/>
            <w:tcBorders>
              <w:top w:val="nil"/>
              <w:left w:val="single" w:sz="4" w:space="0" w:color="auto"/>
              <w:bottom w:val="single" w:sz="4" w:space="0" w:color="auto"/>
              <w:right w:val="nil"/>
            </w:tcBorders>
            <w:shd w:val="clear" w:color="auto" w:fill="auto"/>
            <w:noWrap/>
            <w:vAlign w:val="center"/>
            <w:hideMark/>
          </w:tcPr>
          <w:p w14:paraId="7D47636C" w14:textId="77777777" w:rsidR="00387142" w:rsidRPr="008B6A75" w:rsidRDefault="00387142" w:rsidP="00387142">
            <w:pPr>
              <w:jc w:val="center"/>
              <w:rPr>
                <w:bCs/>
                <w:sz w:val="20"/>
                <w:szCs w:val="20"/>
              </w:rPr>
            </w:pPr>
            <w:r w:rsidRPr="008B6A75">
              <w:rPr>
                <w:bCs/>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36BE2144" w14:textId="77777777" w:rsidR="00387142" w:rsidRPr="008B6A75" w:rsidRDefault="00387142" w:rsidP="00387142">
            <w:pPr>
              <w:jc w:val="center"/>
              <w:rPr>
                <w:bCs/>
                <w:sz w:val="20"/>
                <w:szCs w:val="20"/>
              </w:rPr>
            </w:pPr>
            <w:r w:rsidRPr="008B6A75">
              <w:rPr>
                <w:bCs/>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370F116F" w14:textId="77777777" w:rsidR="00387142" w:rsidRPr="008B6A75" w:rsidRDefault="00387142" w:rsidP="00387142">
            <w:pPr>
              <w:jc w:val="center"/>
              <w:rPr>
                <w:bCs/>
                <w:sz w:val="20"/>
                <w:szCs w:val="20"/>
              </w:rPr>
            </w:pPr>
            <w:r w:rsidRPr="008B6A75">
              <w:rPr>
                <w:bCs/>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81CA019" w14:textId="77777777" w:rsidR="00387142" w:rsidRPr="008B6A75" w:rsidRDefault="00387142" w:rsidP="00387142">
            <w:pPr>
              <w:jc w:val="right"/>
              <w:rPr>
                <w:bCs/>
                <w:sz w:val="20"/>
                <w:szCs w:val="20"/>
              </w:rPr>
            </w:pPr>
            <w:r w:rsidRPr="008B6A75">
              <w:rPr>
                <w:bCs/>
                <w:sz w:val="20"/>
                <w:szCs w:val="20"/>
              </w:rPr>
              <w:t>18 530 883,36</w:t>
            </w:r>
          </w:p>
        </w:tc>
        <w:tc>
          <w:tcPr>
            <w:tcW w:w="851" w:type="dxa"/>
            <w:tcBorders>
              <w:top w:val="nil"/>
              <w:left w:val="single" w:sz="4" w:space="0" w:color="auto"/>
              <w:bottom w:val="single" w:sz="4" w:space="0" w:color="auto"/>
              <w:right w:val="nil"/>
            </w:tcBorders>
            <w:shd w:val="clear" w:color="auto" w:fill="auto"/>
            <w:noWrap/>
            <w:vAlign w:val="center"/>
            <w:hideMark/>
          </w:tcPr>
          <w:p w14:paraId="5D36B194" w14:textId="77777777" w:rsidR="00387142" w:rsidRPr="008B6A75" w:rsidRDefault="00387142" w:rsidP="00387142">
            <w:pPr>
              <w:jc w:val="right"/>
              <w:rPr>
                <w:bCs/>
                <w:sz w:val="20"/>
                <w:szCs w:val="20"/>
              </w:rPr>
            </w:pPr>
            <w:r w:rsidRPr="008B6A75">
              <w:rPr>
                <w:bCs/>
                <w:sz w:val="20"/>
                <w:szCs w:val="20"/>
              </w:rPr>
              <w:t>6 650 000,00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16475415" w14:textId="77777777" w:rsidR="00387142" w:rsidRPr="008B6A75" w:rsidRDefault="00387142" w:rsidP="00387142">
            <w:pPr>
              <w:jc w:val="right"/>
              <w:rPr>
                <w:bCs/>
                <w:sz w:val="20"/>
                <w:szCs w:val="20"/>
              </w:rPr>
            </w:pPr>
            <w:r w:rsidRPr="008B6A75">
              <w:rPr>
                <w:bCs/>
                <w:sz w:val="20"/>
                <w:szCs w:val="20"/>
              </w:rPr>
              <w:t>6 650 000,00</w:t>
            </w:r>
          </w:p>
        </w:tc>
      </w:tr>
      <w:tr w:rsidR="00387142" w:rsidRPr="008B6A75" w14:paraId="197EE589" w14:textId="77777777" w:rsidTr="00387142">
        <w:trPr>
          <w:trHeight w:val="870"/>
        </w:trPr>
        <w:tc>
          <w:tcPr>
            <w:tcW w:w="272" w:type="dxa"/>
            <w:tcBorders>
              <w:top w:val="nil"/>
              <w:left w:val="nil"/>
              <w:bottom w:val="nil"/>
              <w:right w:val="single" w:sz="4" w:space="0" w:color="auto"/>
            </w:tcBorders>
            <w:shd w:val="clear" w:color="auto" w:fill="auto"/>
            <w:noWrap/>
            <w:vAlign w:val="bottom"/>
            <w:hideMark/>
          </w:tcPr>
          <w:p w14:paraId="20048457"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6855C935" w14:textId="77777777" w:rsidR="00387142" w:rsidRPr="008B6A75" w:rsidRDefault="00387142" w:rsidP="00387142">
            <w:pPr>
              <w:rPr>
                <w:bCs/>
                <w:sz w:val="20"/>
                <w:szCs w:val="20"/>
              </w:rPr>
            </w:pPr>
            <w:r w:rsidRPr="008B6A75">
              <w:rPr>
                <w:bCs/>
                <w:sz w:val="20"/>
                <w:szCs w:val="20"/>
              </w:rPr>
              <w:t>Расходы на обеспечение деятельности (оказание услуг) единой диспетчерской службы</w:t>
            </w:r>
          </w:p>
        </w:tc>
        <w:tc>
          <w:tcPr>
            <w:tcW w:w="1559" w:type="dxa"/>
            <w:tcBorders>
              <w:top w:val="nil"/>
              <w:left w:val="single" w:sz="4" w:space="0" w:color="auto"/>
              <w:bottom w:val="single" w:sz="4" w:space="0" w:color="auto"/>
              <w:right w:val="nil"/>
            </w:tcBorders>
            <w:shd w:val="clear" w:color="auto" w:fill="auto"/>
            <w:noWrap/>
            <w:vAlign w:val="center"/>
            <w:hideMark/>
          </w:tcPr>
          <w:p w14:paraId="3E14DAA9" w14:textId="77777777" w:rsidR="00387142" w:rsidRPr="008B6A75" w:rsidRDefault="00387142" w:rsidP="00387142">
            <w:pPr>
              <w:jc w:val="center"/>
              <w:rPr>
                <w:bCs/>
                <w:sz w:val="20"/>
                <w:szCs w:val="20"/>
              </w:rPr>
            </w:pPr>
            <w:r w:rsidRPr="008B6A75">
              <w:rPr>
                <w:bCs/>
                <w:sz w:val="20"/>
                <w:szCs w:val="20"/>
              </w:rPr>
              <w:t>18.0.00.03190</w:t>
            </w:r>
          </w:p>
        </w:tc>
        <w:tc>
          <w:tcPr>
            <w:tcW w:w="850" w:type="dxa"/>
            <w:tcBorders>
              <w:top w:val="nil"/>
              <w:left w:val="single" w:sz="4" w:space="0" w:color="auto"/>
              <w:bottom w:val="single" w:sz="4" w:space="0" w:color="auto"/>
              <w:right w:val="nil"/>
            </w:tcBorders>
            <w:shd w:val="clear" w:color="auto" w:fill="auto"/>
            <w:noWrap/>
            <w:vAlign w:val="center"/>
            <w:hideMark/>
          </w:tcPr>
          <w:p w14:paraId="41154828" w14:textId="77777777" w:rsidR="00387142" w:rsidRPr="008B6A75" w:rsidRDefault="00387142" w:rsidP="00387142">
            <w:pPr>
              <w:jc w:val="center"/>
              <w:rPr>
                <w:bCs/>
                <w:sz w:val="20"/>
                <w:szCs w:val="20"/>
              </w:rPr>
            </w:pPr>
            <w:r w:rsidRPr="008B6A75">
              <w:rPr>
                <w:bCs/>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687DFA4D" w14:textId="77777777" w:rsidR="00387142" w:rsidRPr="008B6A75" w:rsidRDefault="00387142" w:rsidP="00387142">
            <w:pPr>
              <w:jc w:val="center"/>
              <w:rPr>
                <w:bCs/>
                <w:sz w:val="20"/>
                <w:szCs w:val="20"/>
              </w:rPr>
            </w:pPr>
            <w:r w:rsidRPr="008B6A75">
              <w:rPr>
                <w:bCs/>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43F838A9" w14:textId="77777777" w:rsidR="00387142" w:rsidRPr="008B6A75" w:rsidRDefault="00387142" w:rsidP="00387142">
            <w:pPr>
              <w:jc w:val="center"/>
              <w:rPr>
                <w:bCs/>
                <w:sz w:val="20"/>
                <w:szCs w:val="20"/>
              </w:rPr>
            </w:pPr>
            <w:r w:rsidRPr="008B6A75">
              <w:rPr>
                <w:bCs/>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4A27952" w14:textId="77777777" w:rsidR="00387142" w:rsidRPr="008B6A75" w:rsidRDefault="00387142" w:rsidP="00387142">
            <w:pPr>
              <w:jc w:val="right"/>
              <w:rPr>
                <w:bCs/>
                <w:sz w:val="20"/>
                <w:szCs w:val="20"/>
              </w:rPr>
            </w:pPr>
            <w:r w:rsidRPr="008B6A75">
              <w:rPr>
                <w:bCs/>
                <w:sz w:val="20"/>
                <w:szCs w:val="20"/>
              </w:rPr>
              <w:t>11 357 273,76</w:t>
            </w:r>
          </w:p>
        </w:tc>
        <w:tc>
          <w:tcPr>
            <w:tcW w:w="851" w:type="dxa"/>
            <w:tcBorders>
              <w:top w:val="nil"/>
              <w:left w:val="single" w:sz="4" w:space="0" w:color="auto"/>
              <w:bottom w:val="single" w:sz="4" w:space="0" w:color="auto"/>
              <w:right w:val="nil"/>
            </w:tcBorders>
            <w:shd w:val="clear" w:color="auto" w:fill="auto"/>
            <w:noWrap/>
            <w:vAlign w:val="center"/>
            <w:hideMark/>
          </w:tcPr>
          <w:p w14:paraId="08151509" w14:textId="77777777" w:rsidR="00387142" w:rsidRPr="008B6A75" w:rsidRDefault="00387142" w:rsidP="00387142">
            <w:pPr>
              <w:jc w:val="right"/>
              <w:rPr>
                <w:bCs/>
                <w:sz w:val="20"/>
                <w:szCs w:val="20"/>
              </w:rPr>
            </w:pPr>
            <w:r w:rsidRPr="008B6A75">
              <w:rPr>
                <w:bCs/>
                <w:sz w:val="20"/>
                <w:szCs w:val="20"/>
              </w:rPr>
              <w:t>6 650 000,00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2BD4B05F" w14:textId="77777777" w:rsidR="00387142" w:rsidRPr="008B6A75" w:rsidRDefault="00387142" w:rsidP="00387142">
            <w:pPr>
              <w:jc w:val="right"/>
              <w:rPr>
                <w:bCs/>
                <w:sz w:val="20"/>
                <w:szCs w:val="20"/>
              </w:rPr>
            </w:pPr>
            <w:r w:rsidRPr="008B6A75">
              <w:rPr>
                <w:bCs/>
                <w:sz w:val="20"/>
                <w:szCs w:val="20"/>
              </w:rPr>
              <w:t>6 650 000,00</w:t>
            </w:r>
          </w:p>
        </w:tc>
      </w:tr>
      <w:tr w:rsidR="00387142" w:rsidRPr="008B6A75" w14:paraId="64838B5E" w14:textId="77777777" w:rsidTr="00387142">
        <w:trPr>
          <w:trHeight w:val="1440"/>
        </w:trPr>
        <w:tc>
          <w:tcPr>
            <w:tcW w:w="272" w:type="dxa"/>
            <w:tcBorders>
              <w:top w:val="nil"/>
              <w:left w:val="nil"/>
              <w:bottom w:val="nil"/>
              <w:right w:val="single" w:sz="4" w:space="0" w:color="auto"/>
            </w:tcBorders>
            <w:shd w:val="clear" w:color="auto" w:fill="auto"/>
            <w:noWrap/>
            <w:vAlign w:val="bottom"/>
            <w:hideMark/>
          </w:tcPr>
          <w:p w14:paraId="34387503"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74EDCF6D" w14:textId="77777777" w:rsidR="00387142" w:rsidRPr="008B6A75" w:rsidRDefault="00387142" w:rsidP="00387142">
            <w:pPr>
              <w:rPr>
                <w:sz w:val="20"/>
                <w:szCs w:val="20"/>
              </w:rPr>
            </w:pPr>
            <w:r w:rsidRPr="008B6A7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single" w:sz="4" w:space="0" w:color="auto"/>
              <w:bottom w:val="single" w:sz="4" w:space="0" w:color="auto"/>
              <w:right w:val="nil"/>
            </w:tcBorders>
            <w:shd w:val="clear" w:color="auto" w:fill="auto"/>
            <w:noWrap/>
            <w:vAlign w:val="center"/>
            <w:hideMark/>
          </w:tcPr>
          <w:p w14:paraId="623B728B" w14:textId="77777777" w:rsidR="00387142" w:rsidRPr="008B6A75" w:rsidRDefault="00387142" w:rsidP="00387142">
            <w:pPr>
              <w:jc w:val="center"/>
              <w:rPr>
                <w:sz w:val="20"/>
                <w:szCs w:val="20"/>
              </w:rPr>
            </w:pPr>
            <w:r w:rsidRPr="008B6A75">
              <w:rPr>
                <w:sz w:val="20"/>
                <w:szCs w:val="20"/>
              </w:rPr>
              <w:t>18.0.00.03190</w:t>
            </w:r>
          </w:p>
        </w:tc>
        <w:tc>
          <w:tcPr>
            <w:tcW w:w="850" w:type="dxa"/>
            <w:tcBorders>
              <w:top w:val="nil"/>
              <w:left w:val="single" w:sz="4" w:space="0" w:color="auto"/>
              <w:bottom w:val="single" w:sz="4" w:space="0" w:color="auto"/>
              <w:right w:val="nil"/>
            </w:tcBorders>
            <w:shd w:val="clear" w:color="auto" w:fill="auto"/>
            <w:noWrap/>
            <w:vAlign w:val="center"/>
            <w:hideMark/>
          </w:tcPr>
          <w:p w14:paraId="1DA638B5" w14:textId="77777777" w:rsidR="00387142" w:rsidRPr="008B6A75" w:rsidRDefault="00387142" w:rsidP="00387142">
            <w:pPr>
              <w:jc w:val="center"/>
              <w:rPr>
                <w:sz w:val="20"/>
                <w:szCs w:val="20"/>
              </w:rPr>
            </w:pPr>
            <w:r w:rsidRPr="008B6A75">
              <w:rPr>
                <w:sz w:val="20"/>
                <w:szCs w:val="20"/>
              </w:rPr>
              <w:t>100</w:t>
            </w:r>
          </w:p>
        </w:tc>
        <w:tc>
          <w:tcPr>
            <w:tcW w:w="567" w:type="dxa"/>
            <w:tcBorders>
              <w:top w:val="nil"/>
              <w:left w:val="single" w:sz="4" w:space="0" w:color="auto"/>
              <w:bottom w:val="single" w:sz="4" w:space="0" w:color="auto"/>
              <w:right w:val="nil"/>
            </w:tcBorders>
            <w:shd w:val="clear" w:color="auto" w:fill="auto"/>
            <w:noWrap/>
            <w:vAlign w:val="center"/>
            <w:hideMark/>
          </w:tcPr>
          <w:p w14:paraId="0CDA350C" w14:textId="77777777" w:rsidR="00387142" w:rsidRPr="008B6A75" w:rsidRDefault="00387142" w:rsidP="00387142">
            <w:pPr>
              <w:jc w:val="center"/>
              <w:rPr>
                <w:sz w:val="20"/>
                <w:szCs w:val="20"/>
              </w:rPr>
            </w:pPr>
            <w:r w:rsidRPr="008B6A75">
              <w:rPr>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2A31D72A" w14:textId="77777777" w:rsidR="00387142" w:rsidRPr="008B6A75" w:rsidRDefault="00387142" w:rsidP="00387142">
            <w:pPr>
              <w:jc w:val="center"/>
              <w:rPr>
                <w:sz w:val="20"/>
                <w:szCs w:val="20"/>
              </w:rPr>
            </w:pPr>
            <w:r w:rsidRPr="008B6A75">
              <w:rPr>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5183CE0" w14:textId="77777777" w:rsidR="00387142" w:rsidRPr="008B6A75" w:rsidRDefault="00387142" w:rsidP="00387142">
            <w:pPr>
              <w:jc w:val="right"/>
              <w:rPr>
                <w:sz w:val="20"/>
                <w:szCs w:val="20"/>
              </w:rPr>
            </w:pPr>
            <w:r w:rsidRPr="008B6A75">
              <w:rPr>
                <w:sz w:val="20"/>
                <w:szCs w:val="20"/>
              </w:rPr>
              <w:t>7 692 988,80</w:t>
            </w:r>
          </w:p>
        </w:tc>
        <w:tc>
          <w:tcPr>
            <w:tcW w:w="851" w:type="dxa"/>
            <w:tcBorders>
              <w:top w:val="nil"/>
              <w:left w:val="single" w:sz="4" w:space="0" w:color="auto"/>
              <w:bottom w:val="single" w:sz="4" w:space="0" w:color="auto"/>
              <w:right w:val="nil"/>
            </w:tcBorders>
            <w:shd w:val="clear" w:color="auto" w:fill="auto"/>
            <w:noWrap/>
            <w:vAlign w:val="center"/>
            <w:hideMark/>
          </w:tcPr>
          <w:p w14:paraId="1DE43651" w14:textId="77777777" w:rsidR="00387142" w:rsidRPr="008B6A75" w:rsidRDefault="00387142" w:rsidP="00387142">
            <w:pPr>
              <w:jc w:val="right"/>
              <w:rPr>
                <w:sz w:val="20"/>
                <w:szCs w:val="20"/>
              </w:rPr>
            </w:pPr>
            <w:r w:rsidRPr="008B6A75">
              <w:rPr>
                <w:sz w:val="20"/>
                <w:szCs w:val="20"/>
              </w:rPr>
              <w:t>5 350 000,00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57048C34" w14:textId="77777777" w:rsidR="00387142" w:rsidRPr="008B6A75" w:rsidRDefault="00387142" w:rsidP="00387142">
            <w:pPr>
              <w:jc w:val="right"/>
              <w:rPr>
                <w:sz w:val="20"/>
                <w:szCs w:val="20"/>
              </w:rPr>
            </w:pPr>
            <w:r w:rsidRPr="008B6A75">
              <w:rPr>
                <w:sz w:val="20"/>
                <w:szCs w:val="20"/>
              </w:rPr>
              <w:t>6 000 000,00</w:t>
            </w:r>
          </w:p>
        </w:tc>
      </w:tr>
      <w:tr w:rsidR="00387142" w:rsidRPr="008B6A75" w14:paraId="20D4CB32" w14:textId="77777777" w:rsidTr="00387142">
        <w:trPr>
          <w:trHeight w:val="585"/>
        </w:trPr>
        <w:tc>
          <w:tcPr>
            <w:tcW w:w="272" w:type="dxa"/>
            <w:tcBorders>
              <w:top w:val="nil"/>
              <w:left w:val="nil"/>
              <w:bottom w:val="nil"/>
              <w:right w:val="single" w:sz="4" w:space="0" w:color="auto"/>
            </w:tcBorders>
            <w:shd w:val="clear" w:color="auto" w:fill="auto"/>
            <w:noWrap/>
            <w:vAlign w:val="bottom"/>
            <w:hideMark/>
          </w:tcPr>
          <w:p w14:paraId="2586853E"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34B26B2C" w14:textId="77777777" w:rsidR="00387142" w:rsidRPr="008B6A75" w:rsidRDefault="00387142" w:rsidP="00387142">
            <w:pPr>
              <w:rPr>
                <w:sz w:val="20"/>
                <w:szCs w:val="20"/>
              </w:rPr>
            </w:pPr>
            <w:r w:rsidRPr="008B6A75">
              <w:rPr>
                <w:sz w:val="20"/>
                <w:szCs w:val="20"/>
              </w:rPr>
              <w:t>Расходы на выплаты персоналу казенных учреждений</w:t>
            </w:r>
          </w:p>
        </w:tc>
        <w:tc>
          <w:tcPr>
            <w:tcW w:w="1559" w:type="dxa"/>
            <w:tcBorders>
              <w:top w:val="nil"/>
              <w:left w:val="single" w:sz="4" w:space="0" w:color="auto"/>
              <w:bottom w:val="single" w:sz="4" w:space="0" w:color="auto"/>
              <w:right w:val="nil"/>
            </w:tcBorders>
            <w:shd w:val="clear" w:color="auto" w:fill="auto"/>
            <w:noWrap/>
            <w:vAlign w:val="center"/>
            <w:hideMark/>
          </w:tcPr>
          <w:p w14:paraId="3BC6540C" w14:textId="77777777" w:rsidR="00387142" w:rsidRPr="008B6A75" w:rsidRDefault="00387142" w:rsidP="00387142">
            <w:pPr>
              <w:jc w:val="center"/>
              <w:rPr>
                <w:sz w:val="20"/>
                <w:szCs w:val="20"/>
              </w:rPr>
            </w:pPr>
            <w:r w:rsidRPr="008B6A75">
              <w:rPr>
                <w:sz w:val="20"/>
                <w:szCs w:val="20"/>
              </w:rPr>
              <w:t>18.0.00.03190</w:t>
            </w:r>
          </w:p>
        </w:tc>
        <w:tc>
          <w:tcPr>
            <w:tcW w:w="850" w:type="dxa"/>
            <w:tcBorders>
              <w:top w:val="nil"/>
              <w:left w:val="single" w:sz="4" w:space="0" w:color="auto"/>
              <w:bottom w:val="single" w:sz="4" w:space="0" w:color="auto"/>
              <w:right w:val="nil"/>
            </w:tcBorders>
            <w:shd w:val="clear" w:color="auto" w:fill="auto"/>
            <w:noWrap/>
            <w:vAlign w:val="center"/>
            <w:hideMark/>
          </w:tcPr>
          <w:p w14:paraId="42931AC3" w14:textId="77777777" w:rsidR="00387142" w:rsidRPr="008B6A75" w:rsidRDefault="00387142" w:rsidP="00387142">
            <w:pPr>
              <w:jc w:val="center"/>
              <w:rPr>
                <w:sz w:val="20"/>
                <w:szCs w:val="20"/>
              </w:rPr>
            </w:pPr>
            <w:r w:rsidRPr="008B6A75">
              <w:rPr>
                <w:sz w:val="20"/>
                <w:szCs w:val="20"/>
              </w:rPr>
              <w:t>110</w:t>
            </w:r>
          </w:p>
        </w:tc>
        <w:tc>
          <w:tcPr>
            <w:tcW w:w="567" w:type="dxa"/>
            <w:tcBorders>
              <w:top w:val="nil"/>
              <w:left w:val="single" w:sz="4" w:space="0" w:color="auto"/>
              <w:bottom w:val="single" w:sz="4" w:space="0" w:color="auto"/>
              <w:right w:val="nil"/>
            </w:tcBorders>
            <w:shd w:val="clear" w:color="auto" w:fill="auto"/>
            <w:noWrap/>
            <w:vAlign w:val="center"/>
            <w:hideMark/>
          </w:tcPr>
          <w:p w14:paraId="207692D8" w14:textId="77777777" w:rsidR="00387142" w:rsidRPr="008B6A75" w:rsidRDefault="00387142" w:rsidP="00387142">
            <w:pPr>
              <w:jc w:val="center"/>
              <w:rPr>
                <w:sz w:val="20"/>
                <w:szCs w:val="20"/>
              </w:rPr>
            </w:pPr>
            <w:r w:rsidRPr="008B6A75">
              <w:rPr>
                <w:sz w:val="20"/>
                <w:szCs w:val="20"/>
              </w:rPr>
              <w:t>03</w:t>
            </w:r>
          </w:p>
        </w:tc>
        <w:tc>
          <w:tcPr>
            <w:tcW w:w="567" w:type="dxa"/>
            <w:tcBorders>
              <w:top w:val="nil"/>
              <w:left w:val="single" w:sz="4" w:space="0" w:color="auto"/>
              <w:bottom w:val="single" w:sz="4" w:space="0" w:color="auto"/>
              <w:right w:val="nil"/>
            </w:tcBorders>
            <w:shd w:val="clear" w:color="auto" w:fill="auto"/>
            <w:noWrap/>
            <w:vAlign w:val="center"/>
            <w:hideMark/>
          </w:tcPr>
          <w:p w14:paraId="7FEC2070" w14:textId="77777777" w:rsidR="00387142" w:rsidRPr="008B6A75" w:rsidRDefault="00387142" w:rsidP="00387142">
            <w:pPr>
              <w:jc w:val="center"/>
              <w:rPr>
                <w:sz w:val="20"/>
                <w:szCs w:val="20"/>
              </w:rPr>
            </w:pPr>
            <w:r w:rsidRPr="008B6A75">
              <w:rPr>
                <w:sz w:val="20"/>
                <w:szCs w:val="20"/>
              </w:rPr>
              <w:t>10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0A55CD4" w14:textId="77777777" w:rsidR="00387142" w:rsidRPr="008B6A75" w:rsidRDefault="00387142" w:rsidP="00387142">
            <w:pPr>
              <w:jc w:val="right"/>
              <w:rPr>
                <w:sz w:val="20"/>
                <w:szCs w:val="20"/>
              </w:rPr>
            </w:pPr>
            <w:r w:rsidRPr="008B6A75">
              <w:rPr>
                <w:sz w:val="20"/>
                <w:szCs w:val="20"/>
              </w:rPr>
              <w:t>7 692 988,80</w:t>
            </w:r>
          </w:p>
        </w:tc>
        <w:tc>
          <w:tcPr>
            <w:tcW w:w="851" w:type="dxa"/>
            <w:tcBorders>
              <w:top w:val="nil"/>
              <w:left w:val="single" w:sz="4" w:space="0" w:color="auto"/>
              <w:bottom w:val="single" w:sz="4" w:space="0" w:color="auto"/>
              <w:right w:val="nil"/>
            </w:tcBorders>
            <w:shd w:val="clear" w:color="auto" w:fill="auto"/>
            <w:noWrap/>
            <w:vAlign w:val="center"/>
            <w:hideMark/>
          </w:tcPr>
          <w:p w14:paraId="02E6F97A" w14:textId="77777777" w:rsidR="00387142" w:rsidRPr="008B6A75" w:rsidRDefault="00387142" w:rsidP="00387142">
            <w:pPr>
              <w:jc w:val="right"/>
              <w:rPr>
                <w:sz w:val="20"/>
                <w:szCs w:val="20"/>
              </w:rPr>
            </w:pPr>
            <w:r w:rsidRPr="008B6A75">
              <w:rPr>
                <w:sz w:val="20"/>
                <w:szCs w:val="20"/>
              </w:rPr>
              <w:t>5 350 000,00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71FD633B" w14:textId="77777777" w:rsidR="00387142" w:rsidRPr="008B6A75" w:rsidRDefault="00387142" w:rsidP="00387142">
            <w:pPr>
              <w:jc w:val="right"/>
              <w:rPr>
                <w:sz w:val="20"/>
                <w:szCs w:val="20"/>
              </w:rPr>
            </w:pPr>
            <w:r w:rsidRPr="008B6A75">
              <w:rPr>
                <w:sz w:val="20"/>
                <w:szCs w:val="20"/>
              </w:rPr>
              <w:t>6 000 000,00</w:t>
            </w:r>
          </w:p>
        </w:tc>
      </w:tr>
      <w:tr w:rsidR="00387142" w:rsidRPr="008B6A75" w14:paraId="7F34FC5B" w14:textId="77777777" w:rsidTr="00387142">
        <w:trPr>
          <w:trHeight w:val="585"/>
        </w:trPr>
        <w:tc>
          <w:tcPr>
            <w:tcW w:w="272" w:type="dxa"/>
            <w:tcBorders>
              <w:top w:val="nil"/>
              <w:left w:val="nil"/>
              <w:bottom w:val="nil"/>
              <w:right w:val="single" w:sz="4" w:space="0" w:color="auto"/>
            </w:tcBorders>
            <w:shd w:val="clear" w:color="auto" w:fill="auto"/>
            <w:noWrap/>
            <w:vAlign w:val="bottom"/>
            <w:hideMark/>
          </w:tcPr>
          <w:p w14:paraId="1E83F1D7"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46E1932E" w14:textId="77777777" w:rsidR="00387142" w:rsidRPr="008B6A75" w:rsidRDefault="00387142" w:rsidP="00387142">
            <w:pPr>
              <w:rPr>
                <w:sz w:val="20"/>
                <w:szCs w:val="20"/>
              </w:rPr>
            </w:pPr>
            <w:r w:rsidRPr="008B6A75">
              <w:rPr>
                <w:sz w:val="20"/>
                <w:szCs w:val="20"/>
              </w:rPr>
              <w:t>Закупка товаров, работ и услуг для обеспечения государственных (муниципальных) нужд</w:t>
            </w:r>
          </w:p>
        </w:tc>
        <w:tc>
          <w:tcPr>
            <w:tcW w:w="1559" w:type="dxa"/>
            <w:tcBorders>
              <w:top w:val="nil"/>
              <w:left w:val="single" w:sz="4" w:space="0" w:color="auto"/>
              <w:bottom w:val="single" w:sz="4" w:space="0" w:color="auto"/>
              <w:right w:val="nil"/>
            </w:tcBorders>
            <w:shd w:val="clear" w:color="auto" w:fill="auto"/>
            <w:noWrap/>
            <w:vAlign w:val="center"/>
            <w:hideMark/>
          </w:tcPr>
          <w:p w14:paraId="56D82FE4" w14:textId="77777777" w:rsidR="00387142" w:rsidRPr="008B6A75" w:rsidRDefault="00387142" w:rsidP="00387142">
            <w:pPr>
              <w:jc w:val="center"/>
              <w:rPr>
                <w:sz w:val="20"/>
                <w:szCs w:val="20"/>
              </w:rPr>
            </w:pPr>
            <w:r w:rsidRPr="008B6A75">
              <w:rPr>
                <w:sz w:val="20"/>
                <w:szCs w:val="20"/>
              </w:rPr>
              <w:t>18.0.00.03190</w:t>
            </w:r>
          </w:p>
        </w:tc>
        <w:tc>
          <w:tcPr>
            <w:tcW w:w="850" w:type="dxa"/>
            <w:tcBorders>
              <w:top w:val="nil"/>
              <w:left w:val="single" w:sz="4" w:space="0" w:color="auto"/>
              <w:bottom w:val="single" w:sz="4" w:space="0" w:color="auto"/>
              <w:right w:val="nil"/>
            </w:tcBorders>
            <w:shd w:val="clear" w:color="auto" w:fill="auto"/>
            <w:noWrap/>
            <w:vAlign w:val="center"/>
            <w:hideMark/>
          </w:tcPr>
          <w:p w14:paraId="3EB2120C" w14:textId="77777777" w:rsidR="00387142" w:rsidRPr="008B6A75" w:rsidRDefault="00387142" w:rsidP="00387142">
            <w:pPr>
              <w:jc w:val="center"/>
              <w:rPr>
                <w:sz w:val="20"/>
                <w:szCs w:val="20"/>
              </w:rPr>
            </w:pPr>
            <w:r w:rsidRPr="008B6A75">
              <w:rPr>
                <w:sz w:val="20"/>
                <w:szCs w:val="20"/>
              </w:rPr>
              <w:t>200</w:t>
            </w:r>
          </w:p>
        </w:tc>
        <w:tc>
          <w:tcPr>
            <w:tcW w:w="567" w:type="dxa"/>
            <w:tcBorders>
              <w:top w:val="nil"/>
              <w:left w:val="single" w:sz="4" w:space="0" w:color="auto"/>
              <w:bottom w:val="single" w:sz="4" w:space="0" w:color="auto"/>
              <w:right w:val="nil"/>
            </w:tcBorders>
            <w:shd w:val="clear" w:color="auto" w:fill="auto"/>
            <w:noWrap/>
            <w:vAlign w:val="center"/>
            <w:hideMark/>
          </w:tcPr>
          <w:p w14:paraId="506B367E" w14:textId="77777777" w:rsidR="00387142" w:rsidRPr="008B6A75" w:rsidRDefault="00387142" w:rsidP="00387142">
            <w:pPr>
              <w:jc w:val="center"/>
              <w:rPr>
                <w:sz w:val="20"/>
                <w:szCs w:val="20"/>
              </w:rPr>
            </w:pPr>
            <w:r w:rsidRPr="008B6A75">
              <w:rPr>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3C165B56" w14:textId="77777777" w:rsidR="00387142" w:rsidRPr="008B6A75" w:rsidRDefault="00387142" w:rsidP="00387142">
            <w:pPr>
              <w:jc w:val="center"/>
              <w:rPr>
                <w:sz w:val="20"/>
                <w:szCs w:val="20"/>
              </w:rPr>
            </w:pPr>
            <w:r w:rsidRPr="008B6A75">
              <w:rPr>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0BACABC" w14:textId="77777777" w:rsidR="00387142" w:rsidRPr="008B6A75" w:rsidRDefault="00387142" w:rsidP="00387142">
            <w:pPr>
              <w:jc w:val="right"/>
              <w:rPr>
                <w:sz w:val="20"/>
                <w:szCs w:val="20"/>
              </w:rPr>
            </w:pPr>
            <w:r w:rsidRPr="008B6A75">
              <w:rPr>
                <w:sz w:val="20"/>
                <w:szCs w:val="20"/>
              </w:rPr>
              <w:t>3 654 302,80</w:t>
            </w:r>
          </w:p>
        </w:tc>
        <w:tc>
          <w:tcPr>
            <w:tcW w:w="851" w:type="dxa"/>
            <w:tcBorders>
              <w:top w:val="nil"/>
              <w:left w:val="single" w:sz="4" w:space="0" w:color="auto"/>
              <w:bottom w:val="single" w:sz="4" w:space="0" w:color="auto"/>
              <w:right w:val="nil"/>
            </w:tcBorders>
            <w:shd w:val="clear" w:color="auto" w:fill="auto"/>
            <w:noWrap/>
            <w:vAlign w:val="center"/>
            <w:hideMark/>
          </w:tcPr>
          <w:p w14:paraId="590055A1" w14:textId="77777777" w:rsidR="00387142" w:rsidRPr="008B6A75" w:rsidRDefault="00387142" w:rsidP="00387142">
            <w:pPr>
              <w:jc w:val="right"/>
              <w:rPr>
                <w:sz w:val="20"/>
                <w:szCs w:val="20"/>
              </w:rPr>
            </w:pPr>
            <w:r w:rsidRPr="008B6A75">
              <w:rPr>
                <w:sz w:val="20"/>
                <w:szCs w:val="20"/>
              </w:rPr>
              <w:t>1 300 000,00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7CE1D854" w14:textId="77777777" w:rsidR="00387142" w:rsidRPr="008B6A75" w:rsidRDefault="00387142" w:rsidP="00387142">
            <w:pPr>
              <w:jc w:val="right"/>
              <w:rPr>
                <w:sz w:val="20"/>
                <w:szCs w:val="20"/>
              </w:rPr>
            </w:pPr>
            <w:r w:rsidRPr="008B6A75">
              <w:rPr>
                <w:sz w:val="20"/>
                <w:szCs w:val="20"/>
              </w:rPr>
              <w:t>650 000,00</w:t>
            </w:r>
          </w:p>
        </w:tc>
      </w:tr>
      <w:tr w:rsidR="00387142" w:rsidRPr="008B6A75" w14:paraId="7DBBACBA" w14:textId="77777777" w:rsidTr="00387142">
        <w:trPr>
          <w:trHeight w:val="870"/>
        </w:trPr>
        <w:tc>
          <w:tcPr>
            <w:tcW w:w="272" w:type="dxa"/>
            <w:tcBorders>
              <w:top w:val="nil"/>
              <w:left w:val="nil"/>
              <w:bottom w:val="nil"/>
              <w:right w:val="single" w:sz="4" w:space="0" w:color="auto"/>
            </w:tcBorders>
            <w:shd w:val="clear" w:color="auto" w:fill="auto"/>
            <w:noWrap/>
            <w:vAlign w:val="bottom"/>
            <w:hideMark/>
          </w:tcPr>
          <w:p w14:paraId="2EC23A5A"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6C455BF2" w14:textId="77777777" w:rsidR="00387142" w:rsidRPr="008B6A75" w:rsidRDefault="00387142" w:rsidP="00387142">
            <w:pPr>
              <w:rPr>
                <w:sz w:val="20"/>
                <w:szCs w:val="20"/>
              </w:rPr>
            </w:pPr>
            <w:r w:rsidRPr="008B6A75">
              <w:rPr>
                <w:sz w:val="20"/>
                <w:szCs w:val="20"/>
              </w:rPr>
              <w:t>Иные закупки товаров, работ и услуг для обеспечения государственных (муниципальных) нужд</w:t>
            </w:r>
          </w:p>
        </w:tc>
        <w:tc>
          <w:tcPr>
            <w:tcW w:w="1559" w:type="dxa"/>
            <w:tcBorders>
              <w:top w:val="nil"/>
              <w:left w:val="single" w:sz="4" w:space="0" w:color="auto"/>
              <w:bottom w:val="single" w:sz="4" w:space="0" w:color="auto"/>
              <w:right w:val="nil"/>
            </w:tcBorders>
            <w:shd w:val="clear" w:color="auto" w:fill="auto"/>
            <w:noWrap/>
            <w:vAlign w:val="center"/>
            <w:hideMark/>
          </w:tcPr>
          <w:p w14:paraId="3BE5372B" w14:textId="77777777" w:rsidR="00387142" w:rsidRPr="008B6A75" w:rsidRDefault="00387142" w:rsidP="00387142">
            <w:pPr>
              <w:jc w:val="center"/>
              <w:rPr>
                <w:sz w:val="20"/>
                <w:szCs w:val="20"/>
              </w:rPr>
            </w:pPr>
            <w:r w:rsidRPr="008B6A75">
              <w:rPr>
                <w:sz w:val="20"/>
                <w:szCs w:val="20"/>
              </w:rPr>
              <w:t>18.0.00.03190</w:t>
            </w:r>
          </w:p>
        </w:tc>
        <w:tc>
          <w:tcPr>
            <w:tcW w:w="850" w:type="dxa"/>
            <w:tcBorders>
              <w:top w:val="nil"/>
              <w:left w:val="single" w:sz="4" w:space="0" w:color="auto"/>
              <w:bottom w:val="single" w:sz="4" w:space="0" w:color="auto"/>
              <w:right w:val="nil"/>
            </w:tcBorders>
            <w:shd w:val="clear" w:color="auto" w:fill="auto"/>
            <w:noWrap/>
            <w:vAlign w:val="center"/>
            <w:hideMark/>
          </w:tcPr>
          <w:p w14:paraId="638247F5" w14:textId="77777777" w:rsidR="00387142" w:rsidRPr="008B6A75" w:rsidRDefault="00387142" w:rsidP="00387142">
            <w:pPr>
              <w:jc w:val="center"/>
              <w:rPr>
                <w:sz w:val="20"/>
                <w:szCs w:val="20"/>
              </w:rPr>
            </w:pPr>
            <w:r w:rsidRPr="008B6A75">
              <w:rPr>
                <w:sz w:val="20"/>
                <w:szCs w:val="20"/>
              </w:rPr>
              <w:t>240</w:t>
            </w:r>
          </w:p>
        </w:tc>
        <w:tc>
          <w:tcPr>
            <w:tcW w:w="567" w:type="dxa"/>
            <w:tcBorders>
              <w:top w:val="nil"/>
              <w:left w:val="single" w:sz="4" w:space="0" w:color="auto"/>
              <w:bottom w:val="single" w:sz="4" w:space="0" w:color="auto"/>
              <w:right w:val="nil"/>
            </w:tcBorders>
            <w:shd w:val="clear" w:color="auto" w:fill="auto"/>
            <w:noWrap/>
            <w:vAlign w:val="center"/>
            <w:hideMark/>
          </w:tcPr>
          <w:p w14:paraId="180F6BF5" w14:textId="77777777" w:rsidR="00387142" w:rsidRPr="008B6A75" w:rsidRDefault="00387142" w:rsidP="00387142">
            <w:pPr>
              <w:jc w:val="center"/>
              <w:rPr>
                <w:sz w:val="20"/>
                <w:szCs w:val="20"/>
              </w:rPr>
            </w:pPr>
            <w:r w:rsidRPr="008B6A75">
              <w:rPr>
                <w:sz w:val="20"/>
                <w:szCs w:val="20"/>
              </w:rPr>
              <w:t>03</w:t>
            </w:r>
          </w:p>
        </w:tc>
        <w:tc>
          <w:tcPr>
            <w:tcW w:w="567" w:type="dxa"/>
            <w:tcBorders>
              <w:top w:val="nil"/>
              <w:left w:val="single" w:sz="4" w:space="0" w:color="auto"/>
              <w:bottom w:val="single" w:sz="4" w:space="0" w:color="auto"/>
              <w:right w:val="nil"/>
            </w:tcBorders>
            <w:shd w:val="clear" w:color="auto" w:fill="auto"/>
            <w:noWrap/>
            <w:vAlign w:val="center"/>
            <w:hideMark/>
          </w:tcPr>
          <w:p w14:paraId="22AD4356" w14:textId="77777777" w:rsidR="00387142" w:rsidRPr="008B6A75" w:rsidRDefault="00387142" w:rsidP="00387142">
            <w:pPr>
              <w:jc w:val="center"/>
              <w:rPr>
                <w:sz w:val="20"/>
                <w:szCs w:val="20"/>
              </w:rPr>
            </w:pPr>
            <w:r w:rsidRPr="008B6A75">
              <w:rPr>
                <w:sz w:val="20"/>
                <w:szCs w:val="20"/>
              </w:rPr>
              <w:t>10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BFD0FF5" w14:textId="77777777" w:rsidR="00387142" w:rsidRPr="008B6A75" w:rsidRDefault="00387142" w:rsidP="00387142">
            <w:pPr>
              <w:jc w:val="right"/>
              <w:rPr>
                <w:sz w:val="20"/>
                <w:szCs w:val="20"/>
              </w:rPr>
            </w:pPr>
            <w:r w:rsidRPr="008B6A75">
              <w:rPr>
                <w:sz w:val="20"/>
                <w:szCs w:val="20"/>
              </w:rPr>
              <w:t>3 654 302,80</w:t>
            </w:r>
          </w:p>
        </w:tc>
        <w:tc>
          <w:tcPr>
            <w:tcW w:w="851" w:type="dxa"/>
            <w:tcBorders>
              <w:top w:val="nil"/>
              <w:left w:val="single" w:sz="4" w:space="0" w:color="auto"/>
              <w:bottom w:val="single" w:sz="4" w:space="0" w:color="auto"/>
              <w:right w:val="nil"/>
            </w:tcBorders>
            <w:shd w:val="clear" w:color="auto" w:fill="auto"/>
            <w:noWrap/>
            <w:vAlign w:val="center"/>
            <w:hideMark/>
          </w:tcPr>
          <w:p w14:paraId="665A2269" w14:textId="77777777" w:rsidR="00387142" w:rsidRPr="008B6A75" w:rsidRDefault="00387142" w:rsidP="00387142">
            <w:pPr>
              <w:jc w:val="right"/>
              <w:rPr>
                <w:sz w:val="20"/>
                <w:szCs w:val="20"/>
              </w:rPr>
            </w:pPr>
            <w:r w:rsidRPr="008B6A75">
              <w:rPr>
                <w:sz w:val="20"/>
                <w:szCs w:val="20"/>
              </w:rPr>
              <w:t>1 300 000,00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2AE71274" w14:textId="77777777" w:rsidR="00387142" w:rsidRPr="008B6A75" w:rsidRDefault="00387142" w:rsidP="00387142">
            <w:pPr>
              <w:jc w:val="right"/>
              <w:rPr>
                <w:sz w:val="20"/>
                <w:szCs w:val="20"/>
              </w:rPr>
            </w:pPr>
            <w:r w:rsidRPr="008B6A75">
              <w:rPr>
                <w:sz w:val="20"/>
                <w:szCs w:val="20"/>
              </w:rPr>
              <w:t>650 000,00</w:t>
            </w:r>
          </w:p>
        </w:tc>
      </w:tr>
      <w:tr w:rsidR="00387142" w:rsidRPr="008B6A75" w14:paraId="23617A84" w14:textId="77777777" w:rsidTr="00387142">
        <w:trPr>
          <w:trHeight w:val="300"/>
        </w:trPr>
        <w:tc>
          <w:tcPr>
            <w:tcW w:w="272" w:type="dxa"/>
            <w:tcBorders>
              <w:top w:val="nil"/>
              <w:left w:val="nil"/>
              <w:bottom w:val="nil"/>
              <w:right w:val="single" w:sz="4" w:space="0" w:color="auto"/>
            </w:tcBorders>
            <w:shd w:val="clear" w:color="auto" w:fill="auto"/>
            <w:noWrap/>
            <w:vAlign w:val="bottom"/>
            <w:hideMark/>
          </w:tcPr>
          <w:p w14:paraId="23DE4B71"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2200E8DF" w14:textId="77777777" w:rsidR="00387142" w:rsidRPr="008B6A75" w:rsidRDefault="00387142" w:rsidP="00387142">
            <w:pPr>
              <w:rPr>
                <w:sz w:val="20"/>
                <w:szCs w:val="20"/>
              </w:rPr>
            </w:pPr>
            <w:r w:rsidRPr="008B6A75">
              <w:rPr>
                <w:sz w:val="20"/>
                <w:szCs w:val="20"/>
              </w:rPr>
              <w:t>Иные бюджетные ассигнования</w:t>
            </w:r>
          </w:p>
        </w:tc>
        <w:tc>
          <w:tcPr>
            <w:tcW w:w="1559" w:type="dxa"/>
            <w:tcBorders>
              <w:top w:val="nil"/>
              <w:left w:val="single" w:sz="4" w:space="0" w:color="auto"/>
              <w:bottom w:val="single" w:sz="4" w:space="0" w:color="auto"/>
              <w:right w:val="nil"/>
            </w:tcBorders>
            <w:shd w:val="clear" w:color="auto" w:fill="auto"/>
            <w:noWrap/>
            <w:vAlign w:val="center"/>
            <w:hideMark/>
          </w:tcPr>
          <w:p w14:paraId="17F27D0B" w14:textId="77777777" w:rsidR="00387142" w:rsidRPr="008B6A75" w:rsidRDefault="00387142" w:rsidP="00387142">
            <w:pPr>
              <w:jc w:val="center"/>
              <w:rPr>
                <w:sz w:val="20"/>
                <w:szCs w:val="20"/>
              </w:rPr>
            </w:pPr>
            <w:r w:rsidRPr="008B6A75">
              <w:rPr>
                <w:sz w:val="20"/>
                <w:szCs w:val="20"/>
              </w:rPr>
              <w:t>18.0.00.03190</w:t>
            </w:r>
          </w:p>
        </w:tc>
        <w:tc>
          <w:tcPr>
            <w:tcW w:w="850" w:type="dxa"/>
            <w:tcBorders>
              <w:top w:val="nil"/>
              <w:left w:val="single" w:sz="4" w:space="0" w:color="auto"/>
              <w:bottom w:val="single" w:sz="4" w:space="0" w:color="auto"/>
              <w:right w:val="nil"/>
            </w:tcBorders>
            <w:shd w:val="clear" w:color="auto" w:fill="auto"/>
            <w:noWrap/>
            <w:vAlign w:val="center"/>
            <w:hideMark/>
          </w:tcPr>
          <w:p w14:paraId="4CB3D428" w14:textId="77777777" w:rsidR="00387142" w:rsidRPr="008B6A75" w:rsidRDefault="00387142" w:rsidP="00387142">
            <w:pPr>
              <w:jc w:val="center"/>
              <w:rPr>
                <w:sz w:val="20"/>
                <w:szCs w:val="20"/>
              </w:rPr>
            </w:pPr>
            <w:r w:rsidRPr="008B6A75">
              <w:rPr>
                <w:sz w:val="20"/>
                <w:szCs w:val="20"/>
              </w:rPr>
              <w:t>800</w:t>
            </w:r>
          </w:p>
        </w:tc>
        <w:tc>
          <w:tcPr>
            <w:tcW w:w="567" w:type="dxa"/>
            <w:tcBorders>
              <w:top w:val="nil"/>
              <w:left w:val="single" w:sz="4" w:space="0" w:color="auto"/>
              <w:bottom w:val="single" w:sz="4" w:space="0" w:color="auto"/>
              <w:right w:val="nil"/>
            </w:tcBorders>
            <w:shd w:val="clear" w:color="auto" w:fill="auto"/>
            <w:noWrap/>
            <w:vAlign w:val="center"/>
            <w:hideMark/>
          </w:tcPr>
          <w:p w14:paraId="29DECF1C" w14:textId="77777777" w:rsidR="00387142" w:rsidRPr="008B6A75" w:rsidRDefault="00387142" w:rsidP="00387142">
            <w:pPr>
              <w:jc w:val="center"/>
              <w:rPr>
                <w:sz w:val="20"/>
                <w:szCs w:val="20"/>
              </w:rPr>
            </w:pPr>
            <w:r w:rsidRPr="008B6A75">
              <w:rPr>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63BC3113" w14:textId="77777777" w:rsidR="00387142" w:rsidRPr="008B6A75" w:rsidRDefault="00387142" w:rsidP="00387142">
            <w:pPr>
              <w:jc w:val="center"/>
              <w:rPr>
                <w:sz w:val="20"/>
                <w:szCs w:val="20"/>
              </w:rPr>
            </w:pPr>
            <w:r w:rsidRPr="008B6A75">
              <w:rPr>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5B37FD1" w14:textId="77777777" w:rsidR="00387142" w:rsidRPr="008B6A75" w:rsidRDefault="00387142" w:rsidP="00387142">
            <w:pPr>
              <w:jc w:val="right"/>
              <w:rPr>
                <w:sz w:val="20"/>
                <w:szCs w:val="20"/>
              </w:rPr>
            </w:pPr>
            <w:r w:rsidRPr="008B6A75">
              <w:rPr>
                <w:sz w:val="20"/>
                <w:szCs w:val="20"/>
              </w:rPr>
              <w:t>9 982,16</w:t>
            </w:r>
          </w:p>
        </w:tc>
        <w:tc>
          <w:tcPr>
            <w:tcW w:w="851" w:type="dxa"/>
            <w:tcBorders>
              <w:top w:val="nil"/>
              <w:left w:val="single" w:sz="4" w:space="0" w:color="auto"/>
              <w:bottom w:val="single" w:sz="4" w:space="0" w:color="auto"/>
              <w:right w:val="nil"/>
            </w:tcBorders>
            <w:shd w:val="clear" w:color="auto" w:fill="auto"/>
            <w:noWrap/>
            <w:vAlign w:val="center"/>
            <w:hideMark/>
          </w:tcPr>
          <w:p w14:paraId="123B4D92" w14:textId="77777777" w:rsidR="00387142" w:rsidRPr="008B6A75" w:rsidRDefault="00387142" w:rsidP="00387142">
            <w:pPr>
              <w:jc w:val="right"/>
              <w:rPr>
                <w:sz w:val="20"/>
                <w:szCs w:val="20"/>
              </w:rPr>
            </w:pPr>
            <w:r w:rsidRPr="008B6A75">
              <w:rPr>
                <w:sz w:val="20"/>
                <w:szCs w:val="20"/>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081B88F3" w14:textId="77777777" w:rsidR="00387142" w:rsidRPr="008B6A75" w:rsidRDefault="00387142" w:rsidP="00387142">
            <w:pPr>
              <w:jc w:val="right"/>
              <w:rPr>
                <w:sz w:val="20"/>
                <w:szCs w:val="20"/>
              </w:rPr>
            </w:pPr>
            <w:r w:rsidRPr="008B6A75">
              <w:rPr>
                <w:sz w:val="20"/>
                <w:szCs w:val="20"/>
              </w:rPr>
              <w:t>0,00</w:t>
            </w:r>
          </w:p>
        </w:tc>
      </w:tr>
      <w:tr w:rsidR="00387142" w:rsidRPr="008B6A75" w14:paraId="262AE000" w14:textId="77777777" w:rsidTr="00387142">
        <w:trPr>
          <w:trHeight w:val="300"/>
        </w:trPr>
        <w:tc>
          <w:tcPr>
            <w:tcW w:w="272" w:type="dxa"/>
            <w:tcBorders>
              <w:top w:val="nil"/>
              <w:left w:val="nil"/>
              <w:bottom w:val="nil"/>
              <w:right w:val="single" w:sz="4" w:space="0" w:color="auto"/>
            </w:tcBorders>
            <w:shd w:val="clear" w:color="auto" w:fill="auto"/>
            <w:noWrap/>
            <w:vAlign w:val="bottom"/>
            <w:hideMark/>
          </w:tcPr>
          <w:p w14:paraId="6DA5E22E"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0FE302D0" w14:textId="77777777" w:rsidR="00387142" w:rsidRPr="008B6A75" w:rsidRDefault="00387142" w:rsidP="00387142">
            <w:pPr>
              <w:rPr>
                <w:sz w:val="20"/>
                <w:szCs w:val="20"/>
              </w:rPr>
            </w:pPr>
            <w:r w:rsidRPr="008B6A75">
              <w:rPr>
                <w:sz w:val="20"/>
                <w:szCs w:val="20"/>
              </w:rPr>
              <w:t>Уплата налогов, сборов и иных платежей</w:t>
            </w:r>
          </w:p>
        </w:tc>
        <w:tc>
          <w:tcPr>
            <w:tcW w:w="1559" w:type="dxa"/>
            <w:tcBorders>
              <w:top w:val="nil"/>
              <w:left w:val="single" w:sz="4" w:space="0" w:color="auto"/>
              <w:bottom w:val="single" w:sz="4" w:space="0" w:color="auto"/>
              <w:right w:val="nil"/>
            </w:tcBorders>
            <w:shd w:val="clear" w:color="auto" w:fill="auto"/>
            <w:noWrap/>
            <w:vAlign w:val="center"/>
            <w:hideMark/>
          </w:tcPr>
          <w:p w14:paraId="12EFA208" w14:textId="77777777" w:rsidR="00387142" w:rsidRPr="008B6A75" w:rsidRDefault="00387142" w:rsidP="00387142">
            <w:pPr>
              <w:jc w:val="center"/>
              <w:rPr>
                <w:sz w:val="20"/>
                <w:szCs w:val="20"/>
              </w:rPr>
            </w:pPr>
            <w:r w:rsidRPr="008B6A75">
              <w:rPr>
                <w:sz w:val="20"/>
                <w:szCs w:val="20"/>
              </w:rPr>
              <w:t>18.0.00.03190</w:t>
            </w:r>
          </w:p>
        </w:tc>
        <w:tc>
          <w:tcPr>
            <w:tcW w:w="850" w:type="dxa"/>
            <w:tcBorders>
              <w:top w:val="nil"/>
              <w:left w:val="single" w:sz="4" w:space="0" w:color="auto"/>
              <w:bottom w:val="single" w:sz="4" w:space="0" w:color="auto"/>
              <w:right w:val="nil"/>
            </w:tcBorders>
            <w:shd w:val="clear" w:color="auto" w:fill="auto"/>
            <w:noWrap/>
            <w:vAlign w:val="center"/>
            <w:hideMark/>
          </w:tcPr>
          <w:p w14:paraId="0E27D6CA" w14:textId="77777777" w:rsidR="00387142" w:rsidRPr="008B6A75" w:rsidRDefault="00387142" w:rsidP="00387142">
            <w:pPr>
              <w:jc w:val="center"/>
              <w:rPr>
                <w:sz w:val="20"/>
                <w:szCs w:val="20"/>
              </w:rPr>
            </w:pPr>
            <w:r w:rsidRPr="008B6A75">
              <w:rPr>
                <w:sz w:val="20"/>
                <w:szCs w:val="20"/>
              </w:rPr>
              <w:t>850</w:t>
            </w:r>
          </w:p>
        </w:tc>
        <w:tc>
          <w:tcPr>
            <w:tcW w:w="567" w:type="dxa"/>
            <w:tcBorders>
              <w:top w:val="nil"/>
              <w:left w:val="single" w:sz="4" w:space="0" w:color="auto"/>
              <w:bottom w:val="single" w:sz="4" w:space="0" w:color="auto"/>
              <w:right w:val="nil"/>
            </w:tcBorders>
            <w:shd w:val="clear" w:color="auto" w:fill="auto"/>
            <w:noWrap/>
            <w:vAlign w:val="center"/>
            <w:hideMark/>
          </w:tcPr>
          <w:p w14:paraId="2967BA9B" w14:textId="77777777" w:rsidR="00387142" w:rsidRPr="008B6A75" w:rsidRDefault="00387142" w:rsidP="00387142">
            <w:pPr>
              <w:jc w:val="center"/>
              <w:rPr>
                <w:sz w:val="20"/>
                <w:szCs w:val="20"/>
              </w:rPr>
            </w:pPr>
            <w:r w:rsidRPr="008B6A75">
              <w:rPr>
                <w:sz w:val="20"/>
                <w:szCs w:val="20"/>
              </w:rPr>
              <w:t>03</w:t>
            </w:r>
          </w:p>
        </w:tc>
        <w:tc>
          <w:tcPr>
            <w:tcW w:w="567" w:type="dxa"/>
            <w:tcBorders>
              <w:top w:val="nil"/>
              <w:left w:val="single" w:sz="4" w:space="0" w:color="auto"/>
              <w:bottom w:val="single" w:sz="4" w:space="0" w:color="auto"/>
              <w:right w:val="nil"/>
            </w:tcBorders>
            <w:shd w:val="clear" w:color="auto" w:fill="auto"/>
            <w:noWrap/>
            <w:vAlign w:val="center"/>
            <w:hideMark/>
          </w:tcPr>
          <w:p w14:paraId="0B6EA122" w14:textId="77777777" w:rsidR="00387142" w:rsidRPr="008B6A75" w:rsidRDefault="00387142" w:rsidP="00387142">
            <w:pPr>
              <w:jc w:val="center"/>
              <w:rPr>
                <w:sz w:val="20"/>
                <w:szCs w:val="20"/>
              </w:rPr>
            </w:pPr>
            <w:r w:rsidRPr="008B6A75">
              <w:rPr>
                <w:sz w:val="20"/>
                <w:szCs w:val="20"/>
              </w:rPr>
              <w:t>10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E283A25" w14:textId="77777777" w:rsidR="00387142" w:rsidRPr="008B6A75" w:rsidRDefault="00387142" w:rsidP="00387142">
            <w:pPr>
              <w:jc w:val="right"/>
              <w:rPr>
                <w:sz w:val="20"/>
                <w:szCs w:val="20"/>
              </w:rPr>
            </w:pPr>
            <w:r w:rsidRPr="008B6A75">
              <w:rPr>
                <w:sz w:val="20"/>
                <w:szCs w:val="20"/>
              </w:rPr>
              <w:t>9 982,16</w:t>
            </w:r>
          </w:p>
        </w:tc>
        <w:tc>
          <w:tcPr>
            <w:tcW w:w="851" w:type="dxa"/>
            <w:tcBorders>
              <w:top w:val="nil"/>
              <w:left w:val="single" w:sz="4" w:space="0" w:color="auto"/>
              <w:bottom w:val="single" w:sz="4" w:space="0" w:color="auto"/>
              <w:right w:val="nil"/>
            </w:tcBorders>
            <w:shd w:val="clear" w:color="auto" w:fill="auto"/>
            <w:noWrap/>
            <w:vAlign w:val="center"/>
            <w:hideMark/>
          </w:tcPr>
          <w:p w14:paraId="584B5809" w14:textId="77777777" w:rsidR="00387142" w:rsidRPr="008B6A75" w:rsidRDefault="00387142" w:rsidP="00387142">
            <w:pPr>
              <w:jc w:val="right"/>
              <w:rPr>
                <w:sz w:val="20"/>
                <w:szCs w:val="20"/>
              </w:rPr>
            </w:pPr>
            <w:r w:rsidRPr="008B6A75">
              <w:rPr>
                <w:sz w:val="20"/>
                <w:szCs w:val="20"/>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5D7D2CC1" w14:textId="77777777" w:rsidR="00387142" w:rsidRPr="008B6A75" w:rsidRDefault="00387142" w:rsidP="00387142">
            <w:pPr>
              <w:jc w:val="right"/>
              <w:rPr>
                <w:sz w:val="20"/>
                <w:szCs w:val="20"/>
              </w:rPr>
            </w:pPr>
            <w:r w:rsidRPr="008B6A75">
              <w:rPr>
                <w:sz w:val="20"/>
                <w:szCs w:val="20"/>
              </w:rPr>
              <w:t>0,00</w:t>
            </w:r>
          </w:p>
        </w:tc>
      </w:tr>
      <w:tr w:rsidR="00387142" w:rsidRPr="008B6A75" w14:paraId="1D36B6C0" w14:textId="77777777" w:rsidTr="00387142">
        <w:trPr>
          <w:trHeight w:val="1155"/>
        </w:trPr>
        <w:tc>
          <w:tcPr>
            <w:tcW w:w="272" w:type="dxa"/>
            <w:tcBorders>
              <w:top w:val="nil"/>
              <w:left w:val="nil"/>
              <w:bottom w:val="nil"/>
              <w:right w:val="single" w:sz="4" w:space="0" w:color="auto"/>
            </w:tcBorders>
            <w:shd w:val="clear" w:color="auto" w:fill="auto"/>
            <w:noWrap/>
            <w:vAlign w:val="bottom"/>
            <w:hideMark/>
          </w:tcPr>
          <w:p w14:paraId="55E02B74"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13EFD79C" w14:textId="77777777" w:rsidR="00387142" w:rsidRPr="008B6A75" w:rsidRDefault="00387142" w:rsidP="00387142">
            <w:pPr>
              <w:rPr>
                <w:bCs/>
                <w:sz w:val="20"/>
                <w:szCs w:val="20"/>
              </w:rPr>
            </w:pPr>
            <w:r w:rsidRPr="008B6A75">
              <w:rPr>
                <w:bCs/>
                <w:sz w:val="20"/>
                <w:szCs w:val="20"/>
              </w:rPr>
              <w:t>Реализация мероприятий муниципальной программы «Обеспечение безопасности жизнедеятельности населения Куйбышевского района»</w:t>
            </w:r>
          </w:p>
        </w:tc>
        <w:tc>
          <w:tcPr>
            <w:tcW w:w="1559" w:type="dxa"/>
            <w:tcBorders>
              <w:top w:val="nil"/>
              <w:left w:val="single" w:sz="4" w:space="0" w:color="auto"/>
              <w:bottom w:val="single" w:sz="4" w:space="0" w:color="auto"/>
              <w:right w:val="nil"/>
            </w:tcBorders>
            <w:shd w:val="clear" w:color="auto" w:fill="auto"/>
            <w:noWrap/>
            <w:vAlign w:val="center"/>
            <w:hideMark/>
          </w:tcPr>
          <w:p w14:paraId="732F46AC" w14:textId="77777777" w:rsidR="00387142" w:rsidRPr="008B6A75" w:rsidRDefault="00387142" w:rsidP="00387142">
            <w:pPr>
              <w:jc w:val="center"/>
              <w:rPr>
                <w:bCs/>
                <w:sz w:val="20"/>
                <w:szCs w:val="20"/>
              </w:rPr>
            </w:pPr>
            <w:r w:rsidRPr="008B6A75">
              <w:rPr>
                <w:bCs/>
                <w:sz w:val="20"/>
                <w:szCs w:val="20"/>
              </w:rPr>
              <w:t>18.0.00.03950</w:t>
            </w:r>
          </w:p>
        </w:tc>
        <w:tc>
          <w:tcPr>
            <w:tcW w:w="850" w:type="dxa"/>
            <w:tcBorders>
              <w:top w:val="nil"/>
              <w:left w:val="single" w:sz="4" w:space="0" w:color="auto"/>
              <w:bottom w:val="single" w:sz="4" w:space="0" w:color="auto"/>
              <w:right w:val="nil"/>
            </w:tcBorders>
            <w:shd w:val="clear" w:color="auto" w:fill="auto"/>
            <w:noWrap/>
            <w:vAlign w:val="center"/>
            <w:hideMark/>
          </w:tcPr>
          <w:p w14:paraId="77B72DDD" w14:textId="77777777" w:rsidR="00387142" w:rsidRPr="008B6A75" w:rsidRDefault="00387142" w:rsidP="00387142">
            <w:pPr>
              <w:jc w:val="center"/>
              <w:rPr>
                <w:bCs/>
                <w:sz w:val="20"/>
                <w:szCs w:val="20"/>
              </w:rPr>
            </w:pPr>
            <w:r w:rsidRPr="008B6A75">
              <w:rPr>
                <w:bCs/>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49678161" w14:textId="77777777" w:rsidR="00387142" w:rsidRPr="008B6A75" w:rsidRDefault="00387142" w:rsidP="00387142">
            <w:pPr>
              <w:jc w:val="center"/>
              <w:rPr>
                <w:bCs/>
                <w:sz w:val="20"/>
                <w:szCs w:val="20"/>
              </w:rPr>
            </w:pPr>
            <w:r w:rsidRPr="008B6A75">
              <w:rPr>
                <w:bCs/>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22DB3717" w14:textId="77777777" w:rsidR="00387142" w:rsidRPr="008B6A75" w:rsidRDefault="00387142" w:rsidP="00387142">
            <w:pPr>
              <w:jc w:val="center"/>
              <w:rPr>
                <w:bCs/>
                <w:sz w:val="20"/>
                <w:szCs w:val="20"/>
              </w:rPr>
            </w:pPr>
            <w:r w:rsidRPr="008B6A75">
              <w:rPr>
                <w:bCs/>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EDD2075" w14:textId="77777777" w:rsidR="00387142" w:rsidRPr="008B6A75" w:rsidRDefault="00387142" w:rsidP="00387142">
            <w:pPr>
              <w:jc w:val="right"/>
              <w:rPr>
                <w:bCs/>
                <w:sz w:val="20"/>
                <w:szCs w:val="20"/>
              </w:rPr>
            </w:pPr>
            <w:r w:rsidRPr="008B6A75">
              <w:rPr>
                <w:bCs/>
                <w:sz w:val="20"/>
                <w:szCs w:val="20"/>
              </w:rPr>
              <w:t>4 978 118,89</w:t>
            </w:r>
          </w:p>
        </w:tc>
        <w:tc>
          <w:tcPr>
            <w:tcW w:w="851" w:type="dxa"/>
            <w:tcBorders>
              <w:top w:val="nil"/>
              <w:left w:val="single" w:sz="4" w:space="0" w:color="auto"/>
              <w:bottom w:val="single" w:sz="4" w:space="0" w:color="auto"/>
              <w:right w:val="nil"/>
            </w:tcBorders>
            <w:shd w:val="clear" w:color="auto" w:fill="auto"/>
            <w:noWrap/>
            <w:vAlign w:val="center"/>
            <w:hideMark/>
          </w:tcPr>
          <w:p w14:paraId="1432FDB3" w14:textId="77777777" w:rsidR="00387142" w:rsidRPr="008B6A75" w:rsidRDefault="00387142" w:rsidP="00387142">
            <w:pPr>
              <w:jc w:val="right"/>
              <w:rPr>
                <w:bCs/>
                <w:sz w:val="20"/>
                <w:szCs w:val="20"/>
              </w:rPr>
            </w:pPr>
            <w:r w:rsidRPr="008B6A75">
              <w:rPr>
                <w:bCs/>
                <w:sz w:val="20"/>
                <w:szCs w:val="20"/>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033B83AA" w14:textId="77777777" w:rsidR="00387142" w:rsidRPr="008B6A75" w:rsidRDefault="00387142" w:rsidP="00387142">
            <w:pPr>
              <w:jc w:val="right"/>
              <w:rPr>
                <w:bCs/>
                <w:sz w:val="20"/>
                <w:szCs w:val="20"/>
              </w:rPr>
            </w:pPr>
            <w:r w:rsidRPr="008B6A75">
              <w:rPr>
                <w:bCs/>
                <w:sz w:val="20"/>
                <w:szCs w:val="20"/>
              </w:rPr>
              <w:t>0,00</w:t>
            </w:r>
          </w:p>
        </w:tc>
      </w:tr>
      <w:tr w:rsidR="00387142" w:rsidRPr="008B6A75" w14:paraId="74184029" w14:textId="77777777" w:rsidTr="00387142">
        <w:trPr>
          <w:trHeight w:val="1440"/>
        </w:trPr>
        <w:tc>
          <w:tcPr>
            <w:tcW w:w="272" w:type="dxa"/>
            <w:tcBorders>
              <w:top w:val="nil"/>
              <w:left w:val="nil"/>
              <w:bottom w:val="nil"/>
              <w:right w:val="single" w:sz="4" w:space="0" w:color="auto"/>
            </w:tcBorders>
            <w:shd w:val="clear" w:color="auto" w:fill="auto"/>
            <w:noWrap/>
            <w:vAlign w:val="bottom"/>
            <w:hideMark/>
          </w:tcPr>
          <w:p w14:paraId="570D9AC0" w14:textId="77777777" w:rsidR="00387142" w:rsidRPr="008B6A75" w:rsidRDefault="00387142" w:rsidP="00387142">
            <w:pPr>
              <w:rPr>
                <w:sz w:val="20"/>
                <w:szCs w:val="20"/>
              </w:rPr>
            </w:pPr>
            <w:r w:rsidRPr="008B6A75">
              <w:rPr>
                <w:sz w:val="20"/>
                <w:szCs w:val="20"/>
              </w:rPr>
              <w:lastRenderedPageBreak/>
              <w:t> </w:t>
            </w:r>
          </w:p>
        </w:tc>
        <w:tc>
          <w:tcPr>
            <w:tcW w:w="3415" w:type="dxa"/>
            <w:tcBorders>
              <w:top w:val="nil"/>
              <w:left w:val="single" w:sz="4" w:space="0" w:color="auto"/>
              <w:bottom w:val="single" w:sz="4" w:space="0" w:color="auto"/>
              <w:right w:val="nil"/>
            </w:tcBorders>
            <w:shd w:val="clear" w:color="auto" w:fill="auto"/>
            <w:vAlign w:val="center"/>
            <w:hideMark/>
          </w:tcPr>
          <w:p w14:paraId="3FF68EAB" w14:textId="77777777" w:rsidR="00387142" w:rsidRPr="008B6A75" w:rsidRDefault="00387142" w:rsidP="00387142">
            <w:pPr>
              <w:rPr>
                <w:sz w:val="20"/>
                <w:szCs w:val="20"/>
              </w:rPr>
            </w:pPr>
            <w:r w:rsidRPr="008B6A7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single" w:sz="4" w:space="0" w:color="auto"/>
              <w:bottom w:val="single" w:sz="4" w:space="0" w:color="auto"/>
              <w:right w:val="nil"/>
            </w:tcBorders>
            <w:shd w:val="clear" w:color="auto" w:fill="auto"/>
            <w:noWrap/>
            <w:vAlign w:val="center"/>
            <w:hideMark/>
          </w:tcPr>
          <w:p w14:paraId="70CC0492" w14:textId="77777777" w:rsidR="00387142" w:rsidRPr="008B6A75" w:rsidRDefault="00387142" w:rsidP="00387142">
            <w:pPr>
              <w:jc w:val="center"/>
              <w:rPr>
                <w:sz w:val="20"/>
                <w:szCs w:val="20"/>
              </w:rPr>
            </w:pPr>
            <w:r w:rsidRPr="008B6A75">
              <w:rPr>
                <w:sz w:val="20"/>
                <w:szCs w:val="20"/>
              </w:rPr>
              <w:t>18.0.00.03950</w:t>
            </w:r>
          </w:p>
        </w:tc>
        <w:tc>
          <w:tcPr>
            <w:tcW w:w="850" w:type="dxa"/>
            <w:tcBorders>
              <w:top w:val="nil"/>
              <w:left w:val="single" w:sz="4" w:space="0" w:color="auto"/>
              <w:bottom w:val="single" w:sz="4" w:space="0" w:color="auto"/>
              <w:right w:val="nil"/>
            </w:tcBorders>
            <w:shd w:val="clear" w:color="auto" w:fill="auto"/>
            <w:noWrap/>
            <w:vAlign w:val="center"/>
            <w:hideMark/>
          </w:tcPr>
          <w:p w14:paraId="5DD835B2" w14:textId="77777777" w:rsidR="00387142" w:rsidRPr="008B6A75" w:rsidRDefault="00387142" w:rsidP="00387142">
            <w:pPr>
              <w:jc w:val="center"/>
              <w:rPr>
                <w:sz w:val="20"/>
                <w:szCs w:val="20"/>
              </w:rPr>
            </w:pPr>
            <w:r w:rsidRPr="008B6A75">
              <w:rPr>
                <w:sz w:val="20"/>
                <w:szCs w:val="20"/>
              </w:rPr>
              <w:t>100</w:t>
            </w:r>
          </w:p>
        </w:tc>
        <w:tc>
          <w:tcPr>
            <w:tcW w:w="567" w:type="dxa"/>
            <w:tcBorders>
              <w:top w:val="nil"/>
              <w:left w:val="single" w:sz="4" w:space="0" w:color="auto"/>
              <w:bottom w:val="single" w:sz="4" w:space="0" w:color="auto"/>
              <w:right w:val="nil"/>
            </w:tcBorders>
            <w:shd w:val="clear" w:color="auto" w:fill="auto"/>
            <w:noWrap/>
            <w:vAlign w:val="center"/>
            <w:hideMark/>
          </w:tcPr>
          <w:p w14:paraId="4A90D3CA" w14:textId="77777777" w:rsidR="00387142" w:rsidRPr="008B6A75" w:rsidRDefault="00387142" w:rsidP="00387142">
            <w:pPr>
              <w:jc w:val="center"/>
              <w:rPr>
                <w:sz w:val="20"/>
                <w:szCs w:val="20"/>
              </w:rPr>
            </w:pPr>
            <w:r w:rsidRPr="008B6A75">
              <w:rPr>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3119DC54" w14:textId="77777777" w:rsidR="00387142" w:rsidRPr="008B6A75" w:rsidRDefault="00387142" w:rsidP="00387142">
            <w:pPr>
              <w:jc w:val="center"/>
              <w:rPr>
                <w:sz w:val="20"/>
                <w:szCs w:val="20"/>
              </w:rPr>
            </w:pPr>
            <w:r w:rsidRPr="008B6A75">
              <w:rPr>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826443A" w14:textId="77777777" w:rsidR="00387142" w:rsidRPr="008B6A75" w:rsidRDefault="00387142" w:rsidP="00387142">
            <w:pPr>
              <w:jc w:val="right"/>
              <w:rPr>
                <w:sz w:val="20"/>
                <w:szCs w:val="20"/>
              </w:rPr>
            </w:pPr>
            <w:r w:rsidRPr="008B6A75">
              <w:rPr>
                <w:sz w:val="20"/>
                <w:szCs w:val="20"/>
              </w:rPr>
              <w:t>896 715,44</w:t>
            </w:r>
          </w:p>
        </w:tc>
        <w:tc>
          <w:tcPr>
            <w:tcW w:w="851" w:type="dxa"/>
            <w:tcBorders>
              <w:top w:val="nil"/>
              <w:left w:val="single" w:sz="4" w:space="0" w:color="auto"/>
              <w:bottom w:val="single" w:sz="4" w:space="0" w:color="auto"/>
              <w:right w:val="nil"/>
            </w:tcBorders>
            <w:shd w:val="clear" w:color="auto" w:fill="auto"/>
            <w:noWrap/>
            <w:vAlign w:val="center"/>
            <w:hideMark/>
          </w:tcPr>
          <w:p w14:paraId="7F144A5F" w14:textId="77777777" w:rsidR="00387142" w:rsidRPr="008B6A75" w:rsidRDefault="00387142" w:rsidP="00387142">
            <w:pPr>
              <w:jc w:val="right"/>
              <w:rPr>
                <w:sz w:val="20"/>
                <w:szCs w:val="20"/>
              </w:rPr>
            </w:pPr>
            <w:r w:rsidRPr="008B6A75">
              <w:rPr>
                <w:sz w:val="20"/>
                <w:szCs w:val="20"/>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48760E88" w14:textId="77777777" w:rsidR="00387142" w:rsidRPr="008B6A75" w:rsidRDefault="00387142" w:rsidP="00387142">
            <w:pPr>
              <w:jc w:val="right"/>
              <w:rPr>
                <w:sz w:val="20"/>
                <w:szCs w:val="20"/>
              </w:rPr>
            </w:pPr>
            <w:r w:rsidRPr="008B6A75">
              <w:rPr>
                <w:sz w:val="20"/>
                <w:szCs w:val="20"/>
              </w:rPr>
              <w:t>0,00</w:t>
            </w:r>
          </w:p>
        </w:tc>
      </w:tr>
      <w:tr w:rsidR="00387142" w:rsidRPr="008B6A75" w14:paraId="206E4114" w14:textId="77777777" w:rsidTr="00387142">
        <w:trPr>
          <w:trHeight w:val="585"/>
        </w:trPr>
        <w:tc>
          <w:tcPr>
            <w:tcW w:w="272" w:type="dxa"/>
            <w:tcBorders>
              <w:top w:val="nil"/>
              <w:left w:val="nil"/>
              <w:bottom w:val="nil"/>
              <w:right w:val="single" w:sz="4" w:space="0" w:color="auto"/>
            </w:tcBorders>
            <w:shd w:val="clear" w:color="auto" w:fill="auto"/>
            <w:noWrap/>
            <w:vAlign w:val="bottom"/>
            <w:hideMark/>
          </w:tcPr>
          <w:p w14:paraId="61624D0B"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13328B6C" w14:textId="77777777" w:rsidR="00387142" w:rsidRPr="008B6A75" w:rsidRDefault="00387142" w:rsidP="00387142">
            <w:pPr>
              <w:rPr>
                <w:sz w:val="20"/>
                <w:szCs w:val="20"/>
              </w:rPr>
            </w:pPr>
            <w:r w:rsidRPr="008B6A75">
              <w:rPr>
                <w:sz w:val="20"/>
                <w:szCs w:val="20"/>
              </w:rPr>
              <w:t>Расходы на выплаты персоналу казенных учреждений</w:t>
            </w:r>
          </w:p>
        </w:tc>
        <w:tc>
          <w:tcPr>
            <w:tcW w:w="1559" w:type="dxa"/>
            <w:tcBorders>
              <w:top w:val="nil"/>
              <w:left w:val="single" w:sz="4" w:space="0" w:color="auto"/>
              <w:bottom w:val="single" w:sz="4" w:space="0" w:color="auto"/>
              <w:right w:val="nil"/>
            </w:tcBorders>
            <w:shd w:val="clear" w:color="auto" w:fill="auto"/>
            <w:noWrap/>
            <w:vAlign w:val="center"/>
            <w:hideMark/>
          </w:tcPr>
          <w:p w14:paraId="151B5B58" w14:textId="77777777" w:rsidR="00387142" w:rsidRPr="008B6A75" w:rsidRDefault="00387142" w:rsidP="00387142">
            <w:pPr>
              <w:jc w:val="center"/>
              <w:rPr>
                <w:sz w:val="20"/>
                <w:szCs w:val="20"/>
              </w:rPr>
            </w:pPr>
            <w:r w:rsidRPr="008B6A75">
              <w:rPr>
                <w:sz w:val="20"/>
                <w:szCs w:val="20"/>
              </w:rPr>
              <w:t>18.0.00.03950</w:t>
            </w:r>
          </w:p>
        </w:tc>
        <w:tc>
          <w:tcPr>
            <w:tcW w:w="850" w:type="dxa"/>
            <w:tcBorders>
              <w:top w:val="nil"/>
              <w:left w:val="single" w:sz="4" w:space="0" w:color="auto"/>
              <w:bottom w:val="single" w:sz="4" w:space="0" w:color="auto"/>
              <w:right w:val="nil"/>
            </w:tcBorders>
            <w:shd w:val="clear" w:color="auto" w:fill="auto"/>
            <w:noWrap/>
            <w:vAlign w:val="center"/>
            <w:hideMark/>
          </w:tcPr>
          <w:p w14:paraId="558BFFC8" w14:textId="77777777" w:rsidR="00387142" w:rsidRPr="008B6A75" w:rsidRDefault="00387142" w:rsidP="00387142">
            <w:pPr>
              <w:jc w:val="center"/>
              <w:rPr>
                <w:sz w:val="20"/>
                <w:szCs w:val="20"/>
              </w:rPr>
            </w:pPr>
            <w:r w:rsidRPr="008B6A75">
              <w:rPr>
                <w:sz w:val="20"/>
                <w:szCs w:val="20"/>
              </w:rPr>
              <w:t>110</w:t>
            </w:r>
          </w:p>
        </w:tc>
        <w:tc>
          <w:tcPr>
            <w:tcW w:w="567" w:type="dxa"/>
            <w:tcBorders>
              <w:top w:val="nil"/>
              <w:left w:val="single" w:sz="4" w:space="0" w:color="auto"/>
              <w:bottom w:val="single" w:sz="4" w:space="0" w:color="auto"/>
              <w:right w:val="nil"/>
            </w:tcBorders>
            <w:shd w:val="clear" w:color="auto" w:fill="auto"/>
            <w:noWrap/>
            <w:vAlign w:val="center"/>
            <w:hideMark/>
          </w:tcPr>
          <w:p w14:paraId="76E07A10" w14:textId="77777777" w:rsidR="00387142" w:rsidRPr="008B6A75" w:rsidRDefault="00387142" w:rsidP="00387142">
            <w:pPr>
              <w:jc w:val="center"/>
              <w:rPr>
                <w:sz w:val="20"/>
                <w:szCs w:val="20"/>
              </w:rPr>
            </w:pPr>
            <w:r w:rsidRPr="008B6A75">
              <w:rPr>
                <w:sz w:val="20"/>
                <w:szCs w:val="20"/>
              </w:rPr>
              <w:t>03</w:t>
            </w:r>
          </w:p>
        </w:tc>
        <w:tc>
          <w:tcPr>
            <w:tcW w:w="567" w:type="dxa"/>
            <w:tcBorders>
              <w:top w:val="nil"/>
              <w:left w:val="single" w:sz="4" w:space="0" w:color="auto"/>
              <w:bottom w:val="single" w:sz="4" w:space="0" w:color="auto"/>
              <w:right w:val="nil"/>
            </w:tcBorders>
            <w:shd w:val="clear" w:color="auto" w:fill="auto"/>
            <w:noWrap/>
            <w:vAlign w:val="center"/>
            <w:hideMark/>
          </w:tcPr>
          <w:p w14:paraId="1CB7B2EC" w14:textId="77777777" w:rsidR="00387142" w:rsidRPr="008B6A75" w:rsidRDefault="00387142" w:rsidP="00387142">
            <w:pPr>
              <w:jc w:val="center"/>
              <w:rPr>
                <w:sz w:val="20"/>
                <w:szCs w:val="20"/>
              </w:rPr>
            </w:pPr>
            <w:r w:rsidRPr="008B6A75">
              <w:rPr>
                <w:sz w:val="20"/>
                <w:szCs w:val="20"/>
              </w:rPr>
              <w:t>10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E57CBFE" w14:textId="77777777" w:rsidR="00387142" w:rsidRPr="008B6A75" w:rsidRDefault="00387142" w:rsidP="00387142">
            <w:pPr>
              <w:jc w:val="right"/>
              <w:rPr>
                <w:sz w:val="20"/>
                <w:szCs w:val="20"/>
              </w:rPr>
            </w:pPr>
            <w:r w:rsidRPr="008B6A75">
              <w:rPr>
                <w:sz w:val="20"/>
                <w:szCs w:val="20"/>
              </w:rPr>
              <w:t>896 715,44</w:t>
            </w:r>
          </w:p>
        </w:tc>
        <w:tc>
          <w:tcPr>
            <w:tcW w:w="851" w:type="dxa"/>
            <w:tcBorders>
              <w:top w:val="nil"/>
              <w:left w:val="single" w:sz="4" w:space="0" w:color="auto"/>
              <w:bottom w:val="single" w:sz="4" w:space="0" w:color="auto"/>
              <w:right w:val="nil"/>
            </w:tcBorders>
            <w:shd w:val="clear" w:color="auto" w:fill="auto"/>
            <w:noWrap/>
            <w:vAlign w:val="center"/>
            <w:hideMark/>
          </w:tcPr>
          <w:p w14:paraId="1939BB53" w14:textId="77777777" w:rsidR="00387142" w:rsidRPr="008B6A75" w:rsidRDefault="00387142" w:rsidP="00387142">
            <w:pPr>
              <w:jc w:val="right"/>
              <w:rPr>
                <w:sz w:val="20"/>
                <w:szCs w:val="20"/>
              </w:rPr>
            </w:pPr>
            <w:r w:rsidRPr="008B6A75">
              <w:rPr>
                <w:sz w:val="20"/>
                <w:szCs w:val="20"/>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56D40FC8" w14:textId="77777777" w:rsidR="00387142" w:rsidRPr="008B6A75" w:rsidRDefault="00387142" w:rsidP="00387142">
            <w:pPr>
              <w:jc w:val="right"/>
              <w:rPr>
                <w:sz w:val="20"/>
                <w:szCs w:val="20"/>
              </w:rPr>
            </w:pPr>
            <w:r w:rsidRPr="008B6A75">
              <w:rPr>
                <w:sz w:val="20"/>
                <w:szCs w:val="20"/>
              </w:rPr>
              <w:t>0,00</w:t>
            </w:r>
          </w:p>
        </w:tc>
      </w:tr>
      <w:tr w:rsidR="00387142" w:rsidRPr="008B6A75" w14:paraId="5967D590" w14:textId="77777777" w:rsidTr="00387142">
        <w:trPr>
          <w:trHeight w:val="585"/>
        </w:trPr>
        <w:tc>
          <w:tcPr>
            <w:tcW w:w="272" w:type="dxa"/>
            <w:tcBorders>
              <w:top w:val="nil"/>
              <w:left w:val="nil"/>
              <w:bottom w:val="nil"/>
              <w:right w:val="single" w:sz="4" w:space="0" w:color="auto"/>
            </w:tcBorders>
            <w:shd w:val="clear" w:color="auto" w:fill="auto"/>
            <w:noWrap/>
            <w:vAlign w:val="bottom"/>
            <w:hideMark/>
          </w:tcPr>
          <w:p w14:paraId="40C35270"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203E790B" w14:textId="77777777" w:rsidR="00387142" w:rsidRPr="008B6A75" w:rsidRDefault="00387142" w:rsidP="00387142">
            <w:pPr>
              <w:rPr>
                <w:sz w:val="20"/>
                <w:szCs w:val="20"/>
              </w:rPr>
            </w:pPr>
            <w:r w:rsidRPr="008B6A75">
              <w:rPr>
                <w:sz w:val="20"/>
                <w:szCs w:val="20"/>
              </w:rPr>
              <w:t>Закупка товаров, работ и услуг для обеспечения государственных (муниципальных) нужд</w:t>
            </w:r>
          </w:p>
        </w:tc>
        <w:tc>
          <w:tcPr>
            <w:tcW w:w="1559" w:type="dxa"/>
            <w:tcBorders>
              <w:top w:val="nil"/>
              <w:left w:val="single" w:sz="4" w:space="0" w:color="auto"/>
              <w:bottom w:val="single" w:sz="4" w:space="0" w:color="auto"/>
              <w:right w:val="nil"/>
            </w:tcBorders>
            <w:shd w:val="clear" w:color="auto" w:fill="auto"/>
            <w:noWrap/>
            <w:vAlign w:val="center"/>
            <w:hideMark/>
          </w:tcPr>
          <w:p w14:paraId="17B6531F" w14:textId="77777777" w:rsidR="00387142" w:rsidRPr="008B6A75" w:rsidRDefault="00387142" w:rsidP="00387142">
            <w:pPr>
              <w:jc w:val="center"/>
              <w:rPr>
                <w:sz w:val="20"/>
                <w:szCs w:val="20"/>
              </w:rPr>
            </w:pPr>
            <w:r w:rsidRPr="008B6A75">
              <w:rPr>
                <w:sz w:val="20"/>
                <w:szCs w:val="20"/>
              </w:rPr>
              <w:t>18.0.00.03950</w:t>
            </w:r>
          </w:p>
        </w:tc>
        <w:tc>
          <w:tcPr>
            <w:tcW w:w="850" w:type="dxa"/>
            <w:tcBorders>
              <w:top w:val="nil"/>
              <w:left w:val="single" w:sz="4" w:space="0" w:color="auto"/>
              <w:bottom w:val="single" w:sz="4" w:space="0" w:color="auto"/>
              <w:right w:val="nil"/>
            </w:tcBorders>
            <w:shd w:val="clear" w:color="auto" w:fill="auto"/>
            <w:noWrap/>
            <w:vAlign w:val="center"/>
            <w:hideMark/>
          </w:tcPr>
          <w:p w14:paraId="489F819C" w14:textId="77777777" w:rsidR="00387142" w:rsidRPr="008B6A75" w:rsidRDefault="00387142" w:rsidP="00387142">
            <w:pPr>
              <w:jc w:val="center"/>
              <w:rPr>
                <w:sz w:val="20"/>
                <w:szCs w:val="20"/>
              </w:rPr>
            </w:pPr>
            <w:r w:rsidRPr="008B6A75">
              <w:rPr>
                <w:sz w:val="20"/>
                <w:szCs w:val="20"/>
              </w:rPr>
              <w:t>200</w:t>
            </w:r>
          </w:p>
        </w:tc>
        <w:tc>
          <w:tcPr>
            <w:tcW w:w="567" w:type="dxa"/>
            <w:tcBorders>
              <w:top w:val="nil"/>
              <w:left w:val="single" w:sz="4" w:space="0" w:color="auto"/>
              <w:bottom w:val="single" w:sz="4" w:space="0" w:color="auto"/>
              <w:right w:val="nil"/>
            </w:tcBorders>
            <w:shd w:val="clear" w:color="auto" w:fill="auto"/>
            <w:noWrap/>
            <w:vAlign w:val="center"/>
            <w:hideMark/>
          </w:tcPr>
          <w:p w14:paraId="2A3C241A" w14:textId="77777777" w:rsidR="00387142" w:rsidRPr="008B6A75" w:rsidRDefault="00387142" w:rsidP="00387142">
            <w:pPr>
              <w:jc w:val="center"/>
              <w:rPr>
                <w:sz w:val="20"/>
                <w:szCs w:val="20"/>
              </w:rPr>
            </w:pPr>
            <w:r w:rsidRPr="008B6A75">
              <w:rPr>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6041B889" w14:textId="77777777" w:rsidR="00387142" w:rsidRPr="008B6A75" w:rsidRDefault="00387142" w:rsidP="00387142">
            <w:pPr>
              <w:jc w:val="center"/>
              <w:rPr>
                <w:sz w:val="20"/>
                <w:szCs w:val="20"/>
              </w:rPr>
            </w:pPr>
            <w:r w:rsidRPr="008B6A75">
              <w:rPr>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451375C" w14:textId="77777777" w:rsidR="00387142" w:rsidRPr="008B6A75" w:rsidRDefault="00387142" w:rsidP="00387142">
            <w:pPr>
              <w:jc w:val="right"/>
              <w:rPr>
                <w:sz w:val="20"/>
                <w:szCs w:val="20"/>
              </w:rPr>
            </w:pPr>
            <w:r w:rsidRPr="008B6A75">
              <w:rPr>
                <w:sz w:val="20"/>
                <w:szCs w:val="20"/>
              </w:rPr>
              <w:t>2 912 603,45</w:t>
            </w:r>
          </w:p>
        </w:tc>
        <w:tc>
          <w:tcPr>
            <w:tcW w:w="851" w:type="dxa"/>
            <w:tcBorders>
              <w:top w:val="nil"/>
              <w:left w:val="single" w:sz="4" w:space="0" w:color="auto"/>
              <w:bottom w:val="single" w:sz="4" w:space="0" w:color="auto"/>
              <w:right w:val="nil"/>
            </w:tcBorders>
            <w:shd w:val="clear" w:color="auto" w:fill="auto"/>
            <w:noWrap/>
            <w:vAlign w:val="center"/>
            <w:hideMark/>
          </w:tcPr>
          <w:p w14:paraId="4AC5AB39" w14:textId="77777777" w:rsidR="00387142" w:rsidRPr="008B6A75" w:rsidRDefault="00387142" w:rsidP="00387142">
            <w:pPr>
              <w:jc w:val="right"/>
              <w:rPr>
                <w:sz w:val="20"/>
                <w:szCs w:val="20"/>
              </w:rPr>
            </w:pPr>
            <w:r w:rsidRPr="008B6A75">
              <w:rPr>
                <w:sz w:val="20"/>
                <w:szCs w:val="20"/>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1C468BA4" w14:textId="77777777" w:rsidR="00387142" w:rsidRPr="008B6A75" w:rsidRDefault="00387142" w:rsidP="00387142">
            <w:pPr>
              <w:jc w:val="right"/>
              <w:rPr>
                <w:sz w:val="20"/>
                <w:szCs w:val="20"/>
              </w:rPr>
            </w:pPr>
            <w:r w:rsidRPr="008B6A75">
              <w:rPr>
                <w:sz w:val="20"/>
                <w:szCs w:val="20"/>
              </w:rPr>
              <w:t>0,00</w:t>
            </w:r>
          </w:p>
        </w:tc>
      </w:tr>
      <w:tr w:rsidR="00387142" w:rsidRPr="008B6A75" w14:paraId="5607C8ED" w14:textId="77777777" w:rsidTr="00387142">
        <w:trPr>
          <w:trHeight w:val="870"/>
        </w:trPr>
        <w:tc>
          <w:tcPr>
            <w:tcW w:w="272" w:type="dxa"/>
            <w:tcBorders>
              <w:top w:val="nil"/>
              <w:left w:val="nil"/>
              <w:bottom w:val="nil"/>
              <w:right w:val="single" w:sz="4" w:space="0" w:color="auto"/>
            </w:tcBorders>
            <w:shd w:val="clear" w:color="auto" w:fill="auto"/>
            <w:noWrap/>
            <w:vAlign w:val="bottom"/>
            <w:hideMark/>
          </w:tcPr>
          <w:p w14:paraId="7F78DDFC"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5AE9033B" w14:textId="77777777" w:rsidR="00387142" w:rsidRPr="008B6A75" w:rsidRDefault="00387142" w:rsidP="00387142">
            <w:pPr>
              <w:rPr>
                <w:sz w:val="20"/>
                <w:szCs w:val="20"/>
              </w:rPr>
            </w:pPr>
            <w:r w:rsidRPr="008B6A75">
              <w:rPr>
                <w:sz w:val="20"/>
                <w:szCs w:val="20"/>
              </w:rPr>
              <w:t>Иные закупки товаров, работ и услуг для обеспечения государственных (муниципальных) нужд</w:t>
            </w:r>
          </w:p>
        </w:tc>
        <w:tc>
          <w:tcPr>
            <w:tcW w:w="1559" w:type="dxa"/>
            <w:tcBorders>
              <w:top w:val="nil"/>
              <w:left w:val="single" w:sz="4" w:space="0" w:color="auto"/>
              <w:bottom w:val="single" w:sz="4" w:space="0" w:color="auto"/>
              <w:right w:val="nil"/>
            </w:tcBorders>
            <w:shd w:val="clear" w:color="auto" w:fill="auto"/>
            <w:noWrap/>
            <w:vAlign w:val="center"/>
            <w:hideMark/>
          </w:tcPr>
          <w:p w14:paraId="382DE3D9" w14:textId="77777777" w:rsidR="00387142" w:rsidRPr="008B6A75" w:rsidRDefault="00387142" w:rsidP="00387142">
            <w:pPr>
              <w:jc w:val="center"/>
              <w:rPr>
                <w:sz w:val="20"/>
                <w:szCs w:val="20"/>
              </w:rPr>
            </w:pPr>
            <w:r w:rsidRPr="008B6A75">
              <w:rPr>
                <w:sz w:val="20"/>
                <w:szCs w:val="20"/>
              </w:rPr>
              <w:t>18.0.00.03950</w:t>
            </w:r>
          </w:p>
        </w:tc>
        <w:tc>
          <w:tcPr>
            <w:tcW w:w="850" w:type="dxa"/>
            <w:tcBorders>
              <w:top w:val="nil"/>
              <w:left w:val="single" w:sz="4" w:space="0" w:color="auto"/>
              <w:bottom w:val="single" w:sz="4" w:space="0" w:color="auto"/>
              <w:right w:val="nil"/>
            </w:tcBorders>
            <w:shd w:val="clear" w:color="auto" w:fill="auto"/>
            <w:noWrap/>
            <w:vAlign w:val="center"/>
            <w:hideMark/>
          </w:tcPr>
          <w:p w14:paraId="538AC782" w14:textId="77777777" w:rsidR="00387142" w:rsidRPr="008B6A75" w:rsidRDefault="00387142" w:rsidP="00387142">
            <w:pPr>
              <w:jc w:val="center"/>
              <w:rPr>
                <w:sz w:val="20"/>
                <w:szCs w:val="20"/>
              </w:rPr>
            </w:pPr>
            <w:r w:rsidRPr="008B6A75">
              <w:rPr>
                <w:sz w:val="20"/>
                <w:szCs w:val="20"/>
              </w:rPr>
              <w:t>240</w:t>
            </w:r>
          </w:p>
        </w:tc>
        <w:tc>
          <w:tcPr>
            <w:tcW w:w="567" w:type="dxa"/>
            <w:tcBorders>
              <w:top w:val="nil"/>
              <w:left w:val="single" w:sz="4" w:space="0" w:color="auto"/>
              <w:bottom w:val="single" w:sz="4" w:space="0" w:color="auto"/>
              <w:right w:val="nil"/>
            </w:tcBorders>
            <w:shd w:val="clear" w:color="auto" w:fill="auto"/>
            <w:noWrap/>
            <w:vAlign w:val="center"/>
            <w:hideMark/>
          </w:tcPr>
          <w:p w14:paraId="0E14B19A" w14:textId="77777777" w:rsidR="00387142" w:rsidRPr="008B6A75" w:rsidRDefault="00387142" w:rsidP="00387142">
            <w:pPr>
              <w:jc w:val="center"/>
              <w:rPr>
                <w:sz w:val="20"/>
                <w:szCs w:val="20"/>
              </w:rPr>
            </w:pPr>
            <w:r w:rsidRPr="008B6A75">
              <w:rPr>
                <w:sz w:val="20"/>
                <w:szCs w:val="20"/>
              </w:rPr>
              <w:t>03</w:t>
            </w:r>
          </w:p>
        </w:tc>
        <w:tc>
          <w:tcPr>
            <w:tcW w:w="567" w:type="dxa"/>
            <w:tcBorders>
              <w:top w:val="nil"/>
              <w:left w:val="single" w:sz="4" w:space="0" w:color="auto"/>
              <w:bottom w:val="single" w:sz="4" w:space="0" w:color="auto"/>
              <w:right w:val="nil"/>
            </w:tcBorders>
            <w:shd w:val="clear" w:color="auto" w:fill="auto"/>
            <w:noWrap/>
            <w:vAlign w:val="center"/>
            <w:hideMark/>
          </w:tcPr>
          <w:p w14:paraId="4AEE1F96" w14:textId="77777777" w:rsidR="00387142" w:rsidRPr="008B6A75" w:rsidRDefault="00387142" w:rsidP="00387142">
            <w:pPr>
              <w:jc w:val="center"/>
              <w:rPr>
                <w:sz w:val="20"/>
                <w:szCs w:val="20"/>
              </w:rPr>
            </w:pPr>
            <w:r w:rsidRPr="008B6A75">
              <w:rPr>
                <w:sz w:val="20"/>
                <w:szCs w:val="20"/>
              </w:rPr>
              <w:t>10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C3E91A3" w14:textId="77777777" w:rsidR="00387142" w:rsidRPr="008B6A75" w:rsidRDefault="00387142" w:rsidP="00387142">
            <w:pPr>
              <w:jc w:val="right"/>
              <w:rPr>
                <w:sz w:val="20"/>
                <w:szCs w:val="20"/>
              </w:rPr>
            </w:pPr>
            <w:r w:rsidRPr="008B6A75">
              <w:rPr>
                <w:sz w:val="20"/>
                <w:szCs w:val="20"/>
              </w:rPr>
              <w:t>2 912 603,45</w:t>
            </w:r>
          </w:p>
        </w:tc>
        <w:tc>
          <w:tcPr>
            <w:tcW w:w="851" w:type="dxa"/>
            <w:tcBorders>
              <w:top w:val="nil"/>
              <w:left w:val="single" w:sz="4" w:space="0" w:color="auto"/>
              <w:bottom w:val="single" w:sz="4" w:space="0" w:color="auto"/>
              <w:right w:val="nil"/>
            </w:tcBorders>
            <w:shd w:val="clear" w:color="auto" w:fill="auto"/>
            <w:noWrap/>
            <w:vAlign w:val="center"/>
            <w:hideMark/>
          </w:tcPr>
          <w:p w14:paraId="7765F360" w14:textId="77777777" w:rsidR="00387142" w:rsidRPr="008B6A75" w:rsidRDefault="00387142" w:rsidP="00387142">
            <w:pPr>
              <w:jc w:val="right"/>
              <w:rPr>
                <w:sz w:val="20"/>
                <w:szCs w:val="20"/>
              </w:rPr>
            </w:pPr>
            <w:r w:rsidRPr="008B6A75">
              <w:rPr>
                <w:sz w:val="20"/>
                <w:szCs w:val="20"/>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1D36AFED" w14:textId="77777777" w:rsidR="00387142" w:rsidRPr="008B6A75" w:rsidRDefault="00387142" w:rsidP="00387142">
            <w:pPr>
              <w:jc w:val="right"/>
              <w:rPr>
                <w:sz w:val="20"/>
                <w:szCs w:val="20"/>
              </w:rPr>
            </w:pPr>
            <w:r w:rsidRPr="008B6A75">
              <w:rPr>
                <w:sz w:val="20"/>
                <w:szCs w:val="20"/>
              </w:rPr>
              <w:t>0,00</w:t>
            </w:r>
          </w:p>
        </w:tc>
      </w:tr>
      <w:tr w:rsidR="00387142" w:rsidRPr="008B6A75" w14:paraId="08FD4400" w14:textId="77777777" w:rsidTr="00387142">
        <w:trPr>
          <w:trHeight w:val="300"/>
        </w:trPr>
        <w:tc>
          <w:tcPr>
            <w:tcW w:w="272" w:type="dxa"/>
            <w:tcBorders>
              <w:top w:val="nil"/>
              <w:left w:val="nil"/>
              <w:bottom w:val="nil"/>
              <w:right w:val="single" w:sz="4" w:space="0" w:color="auto"/>
            </w:tcBorders>
            <w:shd w:val="clear" w:color="auto" w:fill="auto"/>
            <w:noWrap/>
            <w:vAlign w:val="bottom"/>
            <w:hideMark/>
          </w:tcPr>
          <w:p w14:paraId="03B3FDEC"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2B2107B3" w14:textId="77777777" w:rsidR="00387142" w:rsidRPr="008B6A75" w:rsidRDefault="00387142" w:rsidP="00387142">
            <w:pPr>
              <w:rPr>
                <w:sz w:val="20"/>
                <w:szCs w:val="20"/>
              </w:rPr>
            </w:pPr>
            <w:r w:rsidRPr="008B6A75">
              <w:rPr>
                <w:sz w:val="20"/>
                <w:szCs w:val="20"/>
              </w:rPr>
              <w:t>Межбюджетные трансферты</w:t>
            </w:r>
          </w:p>
        </w:tc>
        <w:tc>
          <w:tcPr>
            <w:tcW w:w="1559" w:type="dxa"/>
            <w:tcBorders>
              <w:top w:val="nil"/>
              <w:left w:val="single" w:sz="4" w:space="0" w:color="auto"/>
              <w:bottom w:val="single" w:sz="4" w:space="0" w:color="auto"/>
              <w:right w:val="nil"/>
            </w:tcBorders>
            <w:shd w:val="clear" w:color="auto" w:fill="auto"/>
            <w:noWrap/>
            <w:vAlign w:val="center"/>
            <w:hideMark/>
          </w:tcPr>
          <w:p w14:paraId="2D312403" w14:textId="77777777" w:rsidR="00387142" w:rsidRPr="008B6A75" w:rsidRDefault="00387142" w:rsidP="00387142">
            <w:pPr>
              <w:jc w:val="center"/>
              <w:rPr>
                <w:sz w:val="20"/>
                <w:szCs w:val="20"/>
              </w:rPr>
            </w:pPr>
            <w:r w:rsidRPr="008B6A75">
              <w:rPr>
                <w:sz w:val="20"/>
                <w:szCs w:val="20"/>
              </w:rPr>
              <w:t>18.0.00.03950</w:t>
            </w:r>
          </w:p>
        </w:tc>
        <w:tc>
          <w:tcPr>
            <w:tcW w:w="850" w:type="dxa"/>
            <w:tcBorders>
              <w:top w:val="nil"/>
              <w:left w:val="single" w:sz="4" w:space="0" w:color="auto"/>
              <w:bottom w:val="single" w:sz="4" w:space="0" w:color="auto"/>
              <w:right w:val="nil"/>
            </w:tcBorders>
            <w:shd w:val="clear" w:color="auto" w:fill="auto"/>
            <w:noWrap/>
            <w:vAlign w:val="center"/>
            <w:hideMark/>
          </w:tcPr>
          <w:p w14:paraId="513F5397" w14:textId="77777777" w:rsidR="00387142" w:rsidRPr="008B6A75" w:rsidRDefault="00387142" w:rsidP="00387142">
            <w:pPr>
              <w:jc w:val="center"/>
              <w:rPr>
                <w:sz w:val="20"/>
                <w:szCs w:val="20"/>
              </w:rPr>
            </w:pPr>
            <w:r w:rsidRPr="008B6A75">
              <w:rPr>
                <w:sz w:val="20"/>
                <w:szCs w:val="20"/>
              </w:rPr>
              <w:t>500</w:t>
            </w:r>
          </w:p>
        </w:tc>
        <w:tc>
          <w:tcPr>
            <w:tcW w:w="567" w:type="dxa"/>
            <w:tcBorders>
              <w:top w:val="nil"/>
              <w:left w:val="single" w:sz="4" w:space="0" w:color="auto"/>
              <w:bottom w:val="single" w:sz="4" w:space="0" w:color="auto"/>
              <w:right w:val="nil"/>
            </w:tcBorders>
            <w:shd w:val="clear" w:color="auto" w:fill="auto"/>
            <w:noWrap/>
            <w:vAlign w:val="center"/>
            <w:hideMark/>
          </w:tcPr>
          <w:p w14:paraId="0576B328" w14:textId="77777777" w:rsidR="00387142" w:rsidRPr="008B6A75" w:rsidRDefault="00387142" w:rsidP="00387142">
            <w:pPr>
              <w:jc w:val="center"/>
              <w:rPr>
                <w:sz w:val="20"/>
                <w:szCs w:val="20"/>
              </w:rPr>
            </w:pPr>
            <w:r w:rsidRPr="008B6A75">
              <w:rPr>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35C3BD34" w14:textId="77777777" w:rsidR="00387142" w:rsidRPr="008B6A75" w:rsidRDefault="00387142" w:rsidP="00387142">
            <w:pPr>
              <w:jc w:val="center"/>
              <w:rPr>
                <w:sz w:val="20"/>
                <w:szCs w:val="20"/>
              </w:rPr>
            </w:pPr>
            <w:r w:rsidRPr="008B6A75">
              <w:rPr>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13E4C28" w14:textId="77777777" w:rsidR="00387142" w:rsidRPr="008B6A75" w:rsidRDefault="00387142" w:rsidP="00387142">
            <w:pPr>
              <w:jc w:val="right"/>
              <w:rPr>
                <w:sz w:val="20"/>
                <w:szCs w:val="20"/>
              </w:rPr>
            </w:pPr>
            <w:r w:rsidRPr="008B6A75">
              <w:rPr>
                <w:sz w:val="20"/>
                <w:szCs w:val="20"/>
              </w:rPr>
              <w:t>1 168 800,00</w:t>
            </w:r>
          </w:p>
        </w:tc>
        <w:tc>
          <w:tcPr>
            <w:tcW w:w="851" w:type="dxa"/>
            <w:tcBorders>
              <w:top w:val="nil"/>
              <w:left w:val="single" w:sz="4" w:space="0" w:color="auto"/>
              <w:bottom w:val="single" w:sz="4" w:space="0" w:color="auto"/>
              <w:right w:val="nil"/>
            </w:tcBorders>
            <w:shd w:val="clear" w:color="auto" w:fill="auto"/>
            <w:noWrap/>
            <w:vAlign w:val="center"/>
            <w:hideMark/>
          </w:tcPr>
          <w:p w14:paraId="3DFC7352" w14:textId="77777777" w:rsidR="00387142" w:rsidRPr="008B6A75" w:rsidRDefault="00387142" w:rsidP="00387142">
            <w:pPr>
              <w:jc w:val="right"/>
              <w:rPr>
                <w:sz w:val="20"/>
                <w:szCs w:val="20"/>
              </w:rPr>
            </w:pPr>
            <w:r w:rsidRPr="008B6A75">
              <w:rPr>
                <w:sz w:val="20"/>
                <w:szCs w:val="20"/>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18E0F3FF" w14:textId="77777777" w:rsidR="00387142" w:rsidRPr="008B6A75" w:rsidRDefault="00387142" w:rsidP="00387142">
            <w:pPr>
              <w:jc w:val="right"/>
              <w:rPr>
                <w:sz w:val="20"/>
                <w:szCs w:val="20"/>
              </w:rPr>
            </w:pPr>
            <w:r w:rsidRPr="008B6A75">
              <w:rPr>
                <w:sz w:val="20"/>
                <w:szCs w:val="20"/>
              </w:rPr>
              <w:t>0,00</w:t>
            </w:r>
          </w:p>
        </w:tc>
      </w:tr>
      <w:tr w:rsidR="00387142" w:rsidRPr="008B6A75" w14:paraId="27EE4134" w14:textId="77777777" w:rsidTr="00387142">
        <w:trPr>
          <w:trHeight w:val="300"/>
        </w:trPr>
        <w:tc>
          <w:tcPr>
            <w:tcW w:w="272" w:type="dxa"/>
            <w:tcBorders>
              <w:top w:val="nil"/>
              <w:left w:val="nil"/>
              <w:bottom w:val="nil"/>
              <w:right w:val="single" w:sz="4" w:space="0" w:color="auto"/>
            </w:tcBorders>
            <w:shd w:val="clear" w:color="auto" w:fill="auto"/>
            <w:noWrap/>
            <w:vAlign w:val="bottom"/>
            <w:hideMark/>
          </w:tcPr>
          <w:p w14:paraId="7726569D"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14D5C218" w14:textId="77777777" w:rsidR="00387142" w:rsidRPr="008B6A75" w:rsidRDefault="00387142" w:rsidP="00387142">
            <w:pPr>
              <w:rPr>
                <w:sz w:val="20"/>
                <w:szCs w:val="20"/>
              </w:rPr>
            </w:pPr>
            <w:r w:rsidRPr="008B6A75">
              <w:rPr>
                <w:sz w:val="20"/>
                <w:szCs w:val="20"/>
              </w:rPr>
              <w:t>Иные межбюджетные трансферты</w:t>
            </w:r>
          </w:p>
        </w:tc>
        <w:tc>
          <w:tcPr>
            <w:tcW w:w="1559" w:type="dxa"/>
            <w:tcBorders>
              <w:top w:val="nil"/>
              <w:left w:val="single" w:sz="4" w:space="0" w:color="auto"/>
              <w:bottom w:val="single" w:sz="4" w:space="0" w:color="auto"/>
              <w:right w:val="nil"/>
            </w:tcBorders>
            <w:shd w:val="clear" w:color="auto" w:fill="auto"/>
            <w:noWrap/>
            <w:vAlign w:val="center"/>
            <w:hideMark/>
          </w:tcPr>
          <w:p w14:paraId="6783CC56" w14:textId="77777777" w:rsidR="00387142" w:rsidRPr="008B6A75" w:rsidRDefault="00387142" w:rsidP="00387142">
            <w:pPr>
              <w:jc w:val="center"/>
              <w:rPr>
                <w:sz w:val="20"/>
                <w:szCs w:val="20"/>
              </w:rPr>
            </w:pPr>
            <w:r w:rsidRPr="008B6A75">
              <w:rPr>
                <w:sz w:val="20"/>
                <w:szCs w:val="20"/>
              </w:rPr>
              <w:t>18.0.00.03950</w:t>
            </w:r>
          </w:p>
        </w:tc>
        <w:tc>
          <w:tcPr>
            <w:tcW w:w="850" w:type="dxa"/>
            <w:tcBorders>
              <w:top w:val="nil"/>
              <w:left w:val="single" w:sz="4" w:space="0" w:color="auto"/>
              <w:bottom w:val="single" w:sz="4" w:space="0" w:color="auto"/>
              <w:right w:val="nil"/>
            </w:tcBorders>
            <w:shd w:val="clear" w:color="auto" w:fill="auto"/>
            <w:noWrap/>
            <w:vAlign w:val="center"/>
            <w:hideMark/>
          </w:tcPr>
          <w:p w14:paraId="4642F33B" w14:textId="77777777" w:rsidR="00387142" w:rsidRPr="008B6A75" w:rsidRDefault="00387142" w:rsidP="00387142">
            <w:pPr>
              <w:jc w:val="center"/>
              <w:rPr>
                <w:sz w:val="20"/>
                <w:szCs w:val="20"/>
              </w:rPr>
            </w:pPr>
            <w:r w:rsidRPr="008B6A75">
              <w:rPr>
                <w:sz w:val="20"/>
                <w:szCs w:val="20"/>
              </w:rPr>
              <w:t>540</w:t>
            </w:r>
          </w:p>
        </w:tc>
        <w:tc>
          <w:tcPr>
            <w:tcW w:w="567" w:type="dxa"/>
            <w:tcBorders>
              <w:top w:val="nil"/>
              <w:left w:val="single" w:sz="4" w:space="0" w:color="auto"/>
              <w:bottom w:val="single" w:sz="4" w:space="0" w:color="auto"/>
              <w:right w:val="nil"/>
            </w:tcBorders>
            <w:shd w:val="clear" w:color="auto" w:fill="auto"/>
            <w:noWrap/>
            <w:vAlign w:val="center"/>
            <w:hideMark/>
          </w:tcPr>
          <w:p w14:paraId="1179FF2B" w14:textId="77777777" w:rsidR="00387142" w:rsidRPr="008B6A75" w:rsidRDefault="00387142" w:rsidP="00387142">
            <w:pPr>
              <w:jc w:val="center"/>
              <w:rPr>
                <w:sz w:val="20"/>
                <w:szCs w:val="20"/>
              </w:rPr>
            </w:pPr>
            <w:r w:rsidRPr="008B6A75">
              <w:rPr>
                <w:sz w:val="20"/>
                <w:szCs w:val="20"/>
              </w:rPr>
              <w:t>03</w:t>
            </w:r>
          </w:p>
        </w:tc>
        <w:tc>
          <w:tcPr>
            <w:tcW w:w="567" w:type="dxa"/>
            <w:tcBorders>
              <w:top w:val="nil"/>
              <w:left w:val="single" w:sz="4" w:space="0" w:color="auto"/>
              <w:bottom w:val="single" w:sz="4" w:space="0" w:color="auto"/>
              <w:right w:val="nil"/>
            </w:tcBorders>
            <w:shd w:val="clear" w:color="auto" w:fill="auto"/>
            <w:noWrap/>
            <w:vAlign w:val="center"/>
            <w:hideMark/>
          </w:tcPr>
          <w:p w14:paraId="103EDB35" w14:textId="77777777" w:rsidR="00387142" w:rsidRPr="008B6A75" w:rsidRDefault="00387142" w:rsidP="00387142">
            <w:pPr>
              <w:jc w:val="center"/>
              <w:rPr>
                <w:sz w:val="20"/>
                <w:szCs w:val="20"/>
              </w:rPr>
            </w:pPr>
            <w:r w:rsidRPr="008B6A75">
              <w:rPr>
                <w:sz w:val="20"/>
                <w:szCs w:val="20"/>
              </w:rPr>
              <w:t>10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66C37C6" w14:textId="77777777" w:rsidR="00387142" w:rsidRPr="008B6A75" w:rsidRDefault="00387142" w:rsidP="00387142">
            <w:pPr>
              <w:jc w:val="right"/>
              <w:rPr>
                <w:sz w:val="20"/>
                <w:szCs w:val="20"/>
              </w:rPr>
            </w:pPr>
            <w:r w:rsidRPr="008B6A75">
              <w:rPr>
                <w:sz w:val="20"/>
                <w:szCs w:val="20"/>
              </w:rPr>
              <w:t>1 168 800,00</w:t>
            </w:r>
          </w:p>
        </w:tc>
        <w:tc>
          <w:tcPr>
            <w:tcW w:w="851" w:type="dxa"/>
            <w:tcBorders>
              <w:top w:val="nil"/>
              <w:left w:val="single" w:sz="4" w:space="0" w:color="auto"/>
              <w:bottom w:val="single" w:sz="4" w:space="0" w:color="auto"/>
              <w:right w:val="nil"/>
            </w:tcBorders>
            <w:shd w:val="clear" w:color="auto" w:fill="auto"/>
            <w:noWrap/>
            <w:vAlign w:val="center"/>
            <w:hideMark/>
          </w:tcPr>
          <w:p w14:paraId="10A497A0" w14:textId="77777777" w:rsidR="00387142" w:rsidRPr="008B6A75" w:rsidRDefault="00387142" w:rsidP="00387142">
            <w:pPr>
              <w:jc w:val="right"/>
              <w:rPr>
                <w:sz w:val="20"/>
                <w:szCs w:val="20"/>
              </w:rPr>
            </w:pPr>
            <w:r w:rsidRPr="008B6A75">
              <w:rPr>
                <w:sz w:val="20"/>
                <w:szCs w:val="20"/>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15598FCC" w14:textId="77777777" w:rsidR="00387142" w:rsidRPr="008B6A75" w:rsidRDefault="00387142" w:rsidP="00387142">
            <w:pPr>
              <w:jc w:val="right"/>
              <w:rPr>
                <w:sz w:val="20"/>
                <w:szCs w:val="20"/>
              </w:rPr>
            </w:pPr>
            <w:r w:rsidRPr="008B6A75">
              <w:rPr>
                <w:sz w:val="20"/>
                <w:szCs w:val="20"/>
              </w:rPr>
              <w:t>0,00</w:t>
            </w:r>
          </w:p>
        </w:tc>
      </w:tr>
      <w:tr w:rsidR="00387142" w:rsidRPr="008B6A75" w14:paraId="52D0B56F" w14:textId="77777777" w:rsidTr="00387142">
        <w:trPr>
          <w:trHeight w:val="1440"/>
        </w:trPr>
        <w:tc>
          <w:tcPr>
            <w:tcW w:w="272" w:type="dxa"/>
            <w:tcBorders>
              <w:top w:val="nil"/>
              <w:left w:val="nil"/>
              <w:bottom w:val="nil"/>
              <w:right w:val="single" w:sz="4" w:space="0" w:color="auto"/>
            </w:tcBorders>
            <w:shd w:val="clear" w:color="auto" w:fill="auto"/>
            <w:noWrap/>
            <w:vAlign w:val="bottom"/>
            <w:hideMark/>
          </w:tcPr>
          <w:p w14:paraId="7A48354A"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3F314A13" w14:textId="77777777" w:rsidR="00387142" w:rsidRPr="008B6A75" w:rsidRDefault="00387142" w:rsidP="00387142">
            <w:pPr>
              <w:rPr>
                <w:bCs/>
                <w:sz w:val="20"/>
                <w:szCs w:val="20"/>
              </w:rPr>
            </w:pPr>
            <w:r w:rsidRPr="008B6A75">
              <w:rPr>
                <w:bCs/>
                <w:sz w:val="20"/>
                <w:szCs w:val="20"/>
              </w:rPr>
              <w:t xml:space="preserve">Реализация мероприятий по обеспечению сбалансированности местных </w:t>
            </w:r>
            <w:proofErr w:type="gramStart"/>
            <w:r w:rsidRPr="008B6A75">
              <w:rPr>
                <w:bCs/>
                <w:sz w:val="20"/>
                <w:szCs w:val="20"/>
              </w:rPr>
              <w:t>бюджетов  государственной</w:t>
            </w:r>
            <w:proofErr w:type="gramEnd"/>
            <w:r w:rsidRPr="008B6A75">
              <w:rPr>
                <w:bCs/>
                <w:sz w:val="20"/>
                <w:szCs w:val="20"/>
              </w:rPr>
              <w:t xml:space="preserve"> программы Новосибирской области "Управление  финансами в Новосибирской области"</w:t>
            </w:r>
          </w:p>
        </w:tc>
        <w:tc>
          <w:tcPr>
            <w:tcW w:w="1559" w:type="dxa"/>
            <w:tcBorders>
              <w:top w:val="nil"/>
              <w:left w:val="single" w:sz="4" w:space="0" w:color="auto"/>
              <w:bottom w:val="single" w:sz="4" w:space="0" w:color="auto"/>
              <w:right w:val="nil"/>
            </w:tcBorders>
            <w:shd w:val="clear" w:color="auto" w:fill="auto"/>
            <w:noWrap/>
            <w:vAlign w:val="center"/>
            <w:hideMark/>
          </w:tcPr>
          <w:p w14:paraId="60F38DD9" w14:textId="77777777" w:rsidR="00387142" w:rsidRPr="008B6A75" w:rsidRDefault="00387142" w:rsidP="00387142">
            <w:pPr>
              <w:jc w:val="center"/>
              <w:rPr>
                <w:bCs/>
                <w:sz w:val="20"/>
                <w:szCs w:val="20"/>
              </w:rPr>
            </w:pPr>
            <w:r w:rsidRPr="008B6A75">
              <w:rPr>
                <w:bCs/>
                <w:sz w:val="20"/>
                <w:szCs w:val="20"/>
              </w:rPr>
              <w:t>18.0.00.70510</w:t>
            </w:r>
          </w:p>
        </w:tc>
        <w:tc>
          <w:tcPr>
            <w:tcW w:w="850" w:type="dxa"/>
            <w:tcBorders>
              <w:top w:val="nil"/>
              <w:left w:val="single" w:sz="4" w:space="0" w:color="auto"/>
              <w:bottom w:val="single" w:sz="4" w:space="0" w:color="auto"/>
              <w:right w:val="nil"/>
            </w:tcBorders>
            <w:shd w:val="clear" w:color="auto" w:fill="auto"/>
            <w:noWrap/>
            <w:vAlign w:val="center"/>
            <w:hideMark/>
          </w:tcPr>
          <w:p w14:paraId="7A959A97" w14:textId="77777777" w:rsidR="00387142" w:rsidRPr="008B6A75" w:rsidRDefault="00387142" w:rsidP="00387142">
            <w:pPr>
              <w:jc w:val="center"/>
              <w:rPr>
                <w:bCs/>
                <w:sz w:val="20"/>
                <w:szCs w:val="20"/>
              </w:rPr>
            </w:pPr>
            <w:r w:rsidRPr="008B6A75">
              <w:rPr>
                <w:bCs/>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58588E1D" w14:textId="77777777" w:rsidR="00387142" w:rsidRPr="008B6A75" w:rsidRDefault="00387142" w:rsidP="00387142">
            <w:pPr>
              <w:jc w:val="center"/>
              <w:rPr>
                <w:bCs/>
                <w:sz w:val="20"/>
                <w:szCs w:val="20"/>
              </w:rPr>
            </w:pPr>
            <w:r w:rsidRPr="008B6A75">
              <w:rPr>
                <w:bCs/>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5850C0BB" w14:textId="77777777" w:rsidR="00387142" w:rsidRPr="008B6A75" w:rsidRDefault="00387142" w:rsidP="00387142">
            <w:pPr>
              <w:jc w:val="center"/>
              <w:rPr>
                <w:bCs/>
                <w:sz w:val="20"/>
                <w:szCs w:val="20"/>
              </w:rPr>
            </w:pPr>
            <w:r w:rsidRPr="008B6A75">
              <w:rPr>
                <w:bCs/>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CFEA9BD" w14:textId="77777777" w:rsidR="00387142" w:rsidRPr="008B6A75" w:rsidRDefault="00387142" w:rsidP="00387142">
            <w:pPr>
              <w:jc w:val="right"/>
              <w:rPr>
                <w:bCs/>
                <w:sz w:val="20"/>
                <w:szCs w:val="20"/>
              </w:rPr>
            </w:pPr>
            <w:r w:rsidRPr="008B6A75">
              <w:rPr>
                <w:bCs/>
                <w:sz w:val="20"/>
                <w:szCs w:val="20"/>
              </w:rPr>
              <w:t>2 195 490,71</w:t>
            </w:r>
          </w:p>
        </w:tc>
        <w:tc>
          <w:tcPr>
            <w:tcW w:w="851" w:type="dxa"/>
            <w:tcBorders>
              <w:top w:val="nil"/>
              <w:left w:val="single" w:sz="4" w:space="0" w:color="auto"/>
              <w:bottom w:val="single" w:sz="4" w:space="0" w:color="auto"/>
              <w:right w:val="nil"/>
            </w:tcBorders>
            <w:shd w:val="clear" w:color="auto" w:fill="auto"/>
            <w:noWrap/>
            <w:vAlign w:val="center"/>
            <w:hideMark/>
          </w:tcPr>
          <w:p w14:paraId="40C28F67" w14:textId="77777777" w:rsidR="00387142" w:rsidRPr="008B6A75" w:rsidRDefault="00387142" w:rsidP="00387142">
            <w:pPr>
              <w:jc w:val="right"/>
              <w:rPr>
                <w:bCs/>
                <w:sz w:val="20"/>
                <w:szCs w:val="20"/>
              </w:rPr>
            </w:pPr>
            <w:r w:rsidRPr="008B6A75">
              <w:rPr>
                <w:bCs/>
                <w:sz w:val="20"/>
                <w:szCs w:val="20"/>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030430CC" w14:textId="77777777" w:rsidR="00387142" w:rsidRPr="008B6A75" w:rsidRDefault="00387142" w:rsidP="00387142">
            <w:pPr>
              <w:jc w:val="right"/>
              <w:rPr>
                <w:bCs/>
                <w:sz w:val="20"/>
                <w:szCs w:val="20"/>
              </w:rPr>
            </w:pPr>
            <w:r w:rsidRPr="008B6A75">
              <w:rPr>
                <w:bCs/>
                <w:sz w:val="20"/>
                <w:szCs w:val="20"/>
              </w:rPr>
              <w:t>0,00</w:t>
            </w:r>
          </w:p>
        </w:tc>
      </w:tr>
      <w:tr w:rsidR="00387142" w:rsidRPr="008B6A75" w14:paraId="5FC0C96F" w14:textId="77777777" w:rsidTr="00387142">
        <w:trPr>
          <w:trHeight w:val="1440"/>
        </w:trPr>
        <w:tc>
          <w:tcPr>
            <w:tcW w:w="272" w:type="dxa"/>
            <w:tcBorders>
              <w:top w:val="nil"/>
              <w:left w:val="nil"/>
              <w:bottom w:val="nil"/>
              <w:right w:val="single" w:sz="4" w:space="0" w:color="auto"/>
            </w:tcBorders>
            <w:shd w:val="clear" w:color="auto" w:fill="auto"/>
            <w:noWrap/>
            <w:vAlign w:val="bottom"/>
            <w:hideMark/>
          </w:tcPr>
          <w:p w14:paraId="2BCD4D6D"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7E2020DE" w14:textId="77777777" w:rsidR="00387142" w:rsidRPr="008B6A75" w:rsidRDefault="00387142" w:rsidP="00387142">
            <w:pPr>
              <w:rPr>
                <w:sz w:val="20"/>
                <w:szCs w:val="20"/>
              </w:rPr>
            </w:pPr>
            <w:r w:rsidRPr="008B6A7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single" w:sz="4" w:space="0" w:color="auto"/>
              <w:bottom w:val="single" w:sz="4" w:space="0" w:color="auto"/>
              <w:right w:val="nil"/>
            </w:tcBorders>
            <w:shd w:val="clear" w:color="auto" w:fill="auto"/>
            <w:noWrap/>
            <w:vAlign w:val="center"/>
            <w:hideMark/>
          </w:tcPr>
          <w:p w14:paraId="3199CF6C" w14:textId="77777777" w:rsidR="00387142" w:rsidRPr="008B6A75" w:rsidRDefault="00387142" w:rsidP="00387142">
            <w:pPr>
              <w:jc w:val="center"/>
              <w:rPr>
                <w:sz w:val="20"/>
                <w:szCs w:val="20"/>
              </w:rPr>
            </w:pPr>
            <w:r w:rsidRPr="008B6A75">
              <w:rPr>
                <w:sz w:val="20"/>
                <w:szCs w:val="20"/>
              </w:rPr>
              <w:t>18.0.00.70510</w:t>
            </w:r>
          </w:p>
        </w:tc>
        <w:tc>
          <w:tcPr>
            <w:tcW w:w="850" w:type="dxa"/>
            <w:tcBorders>
              <w:top w:val="nil"/>
              <w:left w:val="single" w:sz="4" w:space="0" w:color="auto"/>
              <w:bottom w:val="single" w:sz="4" w:space="0" w:color="auto"/>
              <w:right w:val="nil"/>
            </w:tcBorders>
            <w:shd w:val="clear" w:color="auto" w:fill="auto"/>
            <w:noWrap/>
            <w:vAlign w:val="center"/>
            <w:hideMark/>
          </w:tcPr>
          <w:p w14:paraId="74B735ED" w14:textId="77777777" w:rsidR="00387142" w:rsidRPr="008B6A75" w:rsidRDefault="00387142" w:rsidP="00387142">
            <w:pPr>
              <w:jc w:val="center"/>
              <w:rPr>
                <w:sz w:val="20"/>
                <w:szCs w:val="20"/>
              </w:rPr>
            </w:pPr>
            <w:r w:rsidRPr="008B6A75">
              <w:rPr>
                <w:sz w:val="20"/>
                <w:szCs w:val="20"/>
              </w:rPr>
              <w:t>100</w:t>
            </w:r>
          </w:p>
        </w:tc>
        <w:tc>
          <w:tcPr>
            <w:tcW w:w="567" w:type="dxa"/>
            <w:tcBorders>
              <w:top w:val="nil"/>
              <w:left w:val="single" w:sz="4" w:space="0" w:color="auto"/>
              <w:bottom w:val="single" w:sz="4" w:space="0" w:color="auto"/>
              <w:right w:val="nil"/>
            </w:tcBorders>
            <w:shd w:val="clear" w:color="auto" w:fill="auto"/>
            <w:noWrap/>
            <w:vAlign w:val="center"/>
            <w:hideMark/>
          </w:tcPr>
          <w:p w14:paraId="339CC12E" w14:textId="77777777" w:rsidR="00387142" w:rsidRPr="008B6A75" w:rsidRDefault="00387142" w:rsidP="00387142">
            <w:pPr>
              <w:jc w:val="center"/>
              <w:rPr>
                <w:sz w:val="20"/>
                <w:szCs w:val="20"/>
              </w:rPr>
            </w:pPr>
            <w:r w:rsidRPr="008B6A75">
              <w:rPr>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1FABD3C2" w14:textId="77777777" w:rsidR="00387142" w:rsidRPr="008B6A75" w:rsidRDefault="00387142" w:rsidP="00387142">
            <w:pPr>
              <w:jc w:val="center"/>
              <w:rPr>
                <w:sz w:val="20"/>
                <w:szCs w:val="20"/>
              </w:rPr>
            </w:pPr>
            <w:r w:rsidRPr="008B6A75">
              <w:rPr>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DE78F59" w14:textId="77777777" w:rsidR="00387142" w:rsidRPr="008B6A75" w:rsidRDefault="00387142" w:rsidP="00387142">
            <w:pPr>
              <w:jc w:val="right"/>
              <w:rPr>
                <w:sz w:val="20"/>
                <w:szCs w:val="20"/>
              </w:rPr>
            </w:pPr>
            <w:r w:rsidRPr="008B6A75">
              <w:rPr>
                <w:sz w:val="20"/>
                <w:szCs w:val="20"/>
              </w:rPr>
              <w:t>2 195 490,71</w:t>
            </w:r>
          </w:p>
        </w:tc>
        <w:tc>
          <w:tcPr>
            <w:tcW w:w="851" w:type="dxa"/>
            <w:tcBorders>
              <w:top w:val="nil"/>
              <w:left w:val="single" w:sz="4" w:space="0" w:color="auto"/>
              <w:bottom w:val="single" w:sz="4" w:space="0" w:color="auto"/>
              <w:right w:val="nil"/>
            </w:tcBorders>
            <w:shd w:val="clear" w:color="auto" w:fill="auto"/>
            <w:noWrap/>
            <w:vAlign w:val="center"/>
            <w:hideMark/>
          </w:tcPr>
          <w:p w14:paraId="577302F3" w14:textId="77777777" w:rsidR="00387142" w:rsidRPr="008B6A75" w:rsidRDefault="00387142" w:rsidP="00387142">
            <w:pPr>
              <w:jc w:val="right"/>
              <w:rPr>
                <w:sz w:val="20"/>
                <w:szCs w:val="20"/>
              </w:rPr>
            </w:pPr>
            <w:r w:rsidRPr="008B6A75">
              <w:rPr>
                <w:sz w:val="20"/>
                <w:szCs w:val="20"/>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72451843" w14:textId="77777777" w:rsidR="00387142" w:rsidRPr="008B6A75" w:rsidRDefault="00387142" w:rsidP="00387142">
            <w:pPr>
              <w:jc w:val="right"/>
              <w:rPr>
                <w:sz w:val="20"/>
                <w:szCs w:val="20"/>
              </w:rPr>
            </w:pPr>
            <w:r w:rsidRPr="008B6A75">
              <w:rPr>
                <w:sz w:val="20"/>
                <w:szCs w:val="20"/>
              </w:rPr>
              <w:t>0,00</w:t>
            </w:r>
          </w:p>
        </w:tc>
      </w:tr>
      <w:tr w:rsidR="00387142" w:rsidRPr="008B6A75" w14:paraId="4F173F4E" w14:textId="77777777" w:rsidTr="00387142">
        <w:trPr>
          <w:trHeight w:val="585"/>
        </w:trPr>
        <w:tc>
          <w:tcPr>
            <w:tcW w:w="272" w:type="dxa"/>
            <w:tcBorders>
              <w:top w:val="nil"/>
              <w:left w:val="nil"/>
              <w:bottom w:val="nil"/>
              <w:right w:val="single" w:sz="4" w:space="0" w:color="auto"/>
            </w:tcBorders>
            <w:shd w:val="clear" w:color="auto" w:fill="auto"/>
            <w:noWrap/>
            <w:vAlign w:val="bottom"/>
            <w:hideMark/>
          </w:tcPr>
          <w:p w14:paraId="01FC9459"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51D3D8D2" w14:textId="77777777" w:rsidR="00387142" w:rsidRPr="008B6A75" w:rsidRDefault="00387142" w:rsidP="00387142">
            <w:pPr>
              <w:rPr>
                <w:sz w:val="20"/>
                <w:szCs w:val="20"/>
              </w:rPr>
            </w:pPr>
            <w:r w:rsidRPr="008B6A75">
              <w:rPr>
                <w:sz w:val="20"/>
                <w:szCs w:val="20"/>
              </w:rPr>
              <w:t>Расходы на выплаты персоналу казенных учреждений</w:t>
            </w:r>
          </w:p>
        </w:tc>
        <w:tc>
          <w:tcPr>
            <w:tcW w:w="1559" w:type="dxa"/>
            <w:tcBorders>
              <w:top w:val="nil"/>
              <w:left w:val="single" w:sz="4" w:space="0" w:color="auto"/>
              <w:bottom w:val="single" w:sz="4" w:space="0" w:color="auto"/>
              <w:right w:val="nil"/>
            </w:tcBorders>
            <w:shd w:val="clear" w:color="auto" w:fill="auto"/>
            <w:noWrap/>
            <w:vAlign w:val="center"/>
            <w:hideMark/>
          </w:tcPr>
          <w:p w14:paraId="4731DCDD" w14:textId="77777777" w:rsidR="00387142" w:rsidRPr="008B6A75" w:rsidRDefault="00387142" w:rsidP="00387142">
            <w:pPr>
              <w:jc w:val="center"/>
              <w:rPr>
                <w:sz w:val="20"/>
                <w:szCs w:val="20"/>
              </w:rPr>
            </w:pPr>
            <w:r w:rsidRPr="008B6A75">
              <w:rPr>
                <w:sz w:val="20"/>
                <w:szCs w:val="20"/>
              </w:rPr>
              <w:t>18.0.00.70510</w:t>
            </w:r>
          </w:p>
        </w:tc>
        <w:tc>
          <w:tcPr>
            <w:tcW w:w="850" w:type="dxa"/>
            <w:tcBorders>
              <w:top w:val="nil"/>
              <w:left w:val="single" w:sz="4" w:space="0" w:color="auto"/>
              <w:bottom w:val="single" w:sz="4" w:space="0" w:color="auto"/>
              <w:right w:val="nil"/>
            </w:tcBorders>
            <w:shd w:val="clear" w:color="auto" w:fill="auto"/>
            <w:noWrap/>
            <w:vAlign w:val="center"/>
            <w:hideMark/>
          </w:tcPr>
          <w:p w14:paraId="5EF2DC54" w14:textId="77777777" w:rsidR="00387142" w:rsidRPr="008B6A75" w:rsidRDefault="00387142" w:rsidP="00387142">
            <w:pPr>
              <w:jc w:val="center"/>
              <w:rPr>
                <w:sz w:val="20"/>
                <w:szCs w:val="20"/>
              </w:rPr>
            </w:pPr>
            <w:r w:rsidRPr="008B6A75">
              <w:rPr>
                <w:sz w:val="20"/>
                <w:szCs w:val="20"/>
              </w:rPr>
              <w:t>110</w:t>
            </w:r>
          </w:p>
        </w:tc>
        <w:tc>
          <w:tcPr>
            <w:tcW w:w="567" w:type="dxa"/>
            <w:tcBorders>
              <w:top w:val="nil"/>
              <w:left w:val="single" w:sz="4" w:space="0" w:color="auto"/>
              <w:bottom w:val="single" w:sz="4" w:space="0" w:color="auto"/>
              <w:right w:val="nil"/>
            </w:tcBorders>
            <w:shd w:val="clear" w:color="auto" w:fill="auto"/>
            <w:noWrap/>
            <w:vAlign w:val="center"/>
            <w:hideMark/>
          </w:tcPr>
          <w:p w14:paraId="25FB7EC0" w14:textId="77777777" w:rsidR="00387142" w:rsidRPr="008B6A75" w:rsidRDefault="00387142" w:rsidP="00387142">
            <w:pPr>
              <w:jc w:val="center"/>
              <w:rPr>
                <w:sz w:val="20"/>
                <w:szCs w:val="20"/>
              </w:rPr>
            </w:pPr>
            <w:r w:rsidRPr="008B6A75">
              <w:rPr>
                <w:sz w:val="20"/>
                <w:szCs w:val="20"/>
              </w:rPr>
              <w:t>03</w:t>
            </w:r>
          </w:p>
        </w:tc>
        <w:tc>
          <w:tcPr>
            <w:tcW w:w="567" w:type="dxa"/>
            <w:tcBorders>
              <w:top w:val="nil"/>
              <w:left w:val="single" w:sz="4" w:space="0" w:color="auto"/>
              <w:bottom w:val="single" w:sz="4" w:space="0" w:color="auto"/>
              <w:right w:val="nil"/>
            </w:tcBorders>
            <w:shd w:val="clear" w:color="auto" w:fill="auto"/>
            <w:noWrap/>
            <w:vAlign w:val="center"/>
            <w:hideMark/>
          </w:tcPr>
          <w:p w14:paraId="3C3A455F" w14:textId="77777777" w:rsidR="00387142" w:rsidRPr="008B6A75" w:rsidRDefault="00387142" w:rsidP="00387142">
            <w:pPr>
              <w:jc w:val="center"/>
              <w:rPr>
                <w:sz w:val="20"/>
                <w:szCs w:val="20"/>
              </w:rPr>
            </w:pPr>
            <w:r w:rsidRPr="008B6A75">
              <w:rPr>
                <w:sz w:val="20"/>
                <w:szCs w:val="20"/>
              </w:rPr>
              <w:t>10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2841B24" w14:textId="77777777" w:rsidR="00387142" w:rsidRPr="008B6A75" w:rsidRDefault="00387142" w:rsidP="00387142">
            <w:pPr>
              <w:jc w:val="right"/>
              <w:rPr>
                <w:sz w:val="20"/>
                <w:szCs w:val="20"/>
              </w:rPr>
            </w:pPr>
            <w:r w:rsidRPr="008B6A75">
              <w:rPr>
                <w:sz w:val="20"/>
                <w:szCs w:val="20"/>
              </w:rPr>
              <w:t>2 195 490,71</w:t>
            </w:r>
          </w:p>
        </w:tc>
        <w:tc>
          <w:tcPr>
            <w:tcW w:w="851" w:type="dxa"/>
            <w:tcBorders>
              <w:top w:val="nil"/>
              <w:left w:val="single" w:sz="4" w:space="0" w:color="auto"/>
              <w:bottom w:val="single" w:sz="4" w:space="0" w:color="auto"/>
              <w:right w:val="nil"/>
            </w:tcBorders>
            <w:shd w:val="clear" w:color="auto" w:fill="auto"/>
            <w:noWrap/>
            <w:vAlign w:val="center"/>
            <w:hideMark/>
          </w:tcPr>
          <w:p w14:paraId="4111EE73" w14:textId="77777777" w:rsidR="00387142" w:rsidRPr="008B6A75" w:rsidRDefault="00387142" w:rsidP="00387142">
            <w:pPr>
              <w:jc w:val="right"/>
              <w:rPr>
                <w:sz w:val="20"/>
                <w:szCs w:val="20"/>
              </w:rPr>
            </w:pPr>
            <w:r w:rsidRPr="008B6A75">
              <w:rPr>
                <w:sz w:val="20"/>
                <w:szCs w:val="20"/>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67F5785C" w14:textId="77777777" w:rsidR="00387142" w:rsidRPr="008B6A75" w:rsidRDefault="00387142" w:rsidP="00387142">
            <w:pPr>
              <w:jc w:val="right"/>
              <w:rPr>
                <w:sz w:val="20"/>
                <w:szCs w:val="20"/>
              </w:rPr>
            </w:pPr>
            <w:r w:rsidRPr="008B6A75">
              <w:rPr>
                <w:sz w:val="20"/>
                <w:szCs w:val="20"/>
              </w:rPr>
              <w:t>0,00</w:t>
            </w:r>
          </w:p>
        </w:tc>
      </w:tr>
      <w:tr w:rsidR="00387142" w:rsidRPr="008B6A75" w14:paraId="3407F8A6" w14:textId="77777777" w:rsidTr="00387142">
        <w:trPr>
          <w:trHeight w:val="870"/>
        </w:trPr>
        <w:tc>
          <w:tcPr>
            <w:tcW w:w="272" w:type="dxa"/>
            <w:tcBorders>
              <w:top w:val="nil"/>
              <w:left w:val="nil"/>
              <w:bottom w:val="nil"/>
              <w:right w:val="single" w:sz="4" w:space="0" w:color="auto"/>
            </w:tcBorders>
            <w:shd w:val="clear" w:color="auto" w:fill="auto"/>
            <w:noWrap/>
            <w:vAlign w:val="bottom"/>
            <w:hideMark/>
          </w:tcPr>
          <w:p w14:paraId="49E48407"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5EA9E193" w14:textId="77777777" w:rsidR="00387142" w:rsidRPr="008B6A75" w:rsidRDefault="00387142" w:rsidP="00387142">
            <w:pPr>
              <w:rPr>
                <w:bCs/>
                <w:sz w:val="20"/>
                <w:szCs w:val="20"/>
              </w:rPr>
            </w:pPr>
            <w:r w:rsidRPr="008B6A75">
              <w:rPr>
                <w:bCs/>
                <w:sz w:val="20"/>
                <w:szCs w:val="20"/>
              </w:rPr>
              <w:t>Муниципальная программа "Организация социально-значимых мероприятий на территории Куйбышевского района"</w:t>
            </w:r>
          </w:p>
        </w:tc>
        <w:tc>
          <w:tcPr>
            <w:tcW w:w="1559" w:type="dxa"/>
            <w:tcBorders>
              <w:top w:val="nil"/>
              <w:left w:val="single" w:sz="4" w:space="0" w:color="auto"/>
              <w:bottom w:val="single" w:sz="4" w:space="0" w:color="auto"/>
              <w:right w:val="nil"/>
            </w:tcBorders>
            <w:shd w:val="clear" w:color="auto" w:fill="auto"/>
            <w:noWrap/>
            <w:vAlign w:val="center"/>
            <w:hideMark/>
          </w:tcPr>
          <w:p w14:paraId="363FA6DC" w14:textId="77777777" w:rsidR="00387142" w:rsidRPr="008B6A75" w:rsidRDefault="00387142" w:rsidP="00387142">
            <w:pPr>
              <w:jc w:val="center"/>
              <w:rPr>
                <w:bCs/>
                <w:sz w:val="20"/>
                <w:szCs w:val="20"/>
              </w:rPr>
            </w:pPr>
            <w:r w:rsidRPr="008B6A75">
              <w:rPr>
                <w:bCs/>
                <w:sz w:val="20"/>
                <w:szCs w:val="20"/>
              </w:rPr>
              <w:t>30.0.00.00000</w:t>
            </w:r>
          </w:p>
        </w:tc>
        <w:tc>
          <w:tcPr>
            <w:tcW w:w="850" w:type="dxa"/>
            <w:tcBorders>
              <w:top w:val="nil"/>
              <w:left w:val="single" w:sz="4" w:space="0" w:color="auto"/>
              <w:bottom w:val="single" w:sz="4" w:space="0" w:color="auto"/>
              <w:right w:val="nil"/>
            </w:tcBorders>
            <w:shd w:val="clear" w:color="auto" w:fill="auto"/>
            <w:noWrap/>
            <w:vAlign w:val="center"/>
            <w:hideMark/>
          </w:tcPr>
          <w:p w14:paraId="42F11353" w14:textId="77777777" w:rsidR="00387142" w:rsidRPr="008B6A75" w:rsidRDefault="00387142" w:rsidP="00387142">
            <w:pPr>
              <w:jc w:val="center"/>
              <w:rPr>
                <w:bCs/>
                <w:sz w:val="20"/>
                <w:szCs w:val="20"/>
              </w:rPr>
            </w:pPr>
            <w:r w:rsidRPr="008B6A75">
              <w:rPr>
                <w:bCs/>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357F22FB" w14:textId="77777777" w:rsidR="00387142" w:rsidRPr="008B6A75" w:rsidRDefault="00387142" w:rsidP="00387142">
            <w:pPr>
              <w:jc w:val="center"/>
              <w:rPr>
                <w:bCs/>
                <w:sz w:val="20"/>
                <w:szCs w:val="20"/>
              </w:rPr>
            </w:pPr>
            <w:r w:rsidRPr="008B6A75">
              <w:rPr>
                <w:bCs/>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696DCA21" w14:textId="77777777" w:rsidR="00387142" w:rsidRPr="008B6A75" w:rsidRDefault="00387142" w:rsidP="00387142">
            <w:pPr>
              <w:jc w:val="center"/>
              <w:rPr>
                <w:bCs/>
                <w:sz w:val="20"/>
                <w:szCs w:val="20"/>
              </w:rPr>
            </w:pPr>
            <w:r w:rsidRPr="008B6A75">
              <w:rPr>
                <w:bCs/>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3F030C0" w14:textId="77777777" w:rsidR="00387142" w:rsidRPr="008B6A75" w:rsidRDefault="00387142" w:rsidP="00387142">
            <w:pPr>
              <w:jc w:val="right"/>
              <w:rPr>
                <w:bCs/>
                <w:sz w:val="20"/>
                <w:szCs w:val="20"/>
              </w:rPr>
            </w:pPr>
            <w:r w:rsidRPr="008B6A75">
              <w:rPr>
                <w:bCs/>
                <w:sz w:val="20"/>
                <w:szCs w:val="20"/>
              </w:rPr>
              <w:t>420 500,00</w:t>
            </w:r>
          </w:p>
        </w:tc>
        <w:tc>
          <w:tcPr>
            <w:tcW w:w="851" w:type="dxa"/>
            <w:tcBorders>
              <w:top w:val="nil"/>
              <w:left w:val="single" w:sz="4" w:space="0" w:color="auto"/>
              <w:bottom w:val="single" w:sz="4" w:space="0" w:color="auto"/>
              <w:right w:val="nil"/>
            </w:tcBorders>
            <w:shd w:val="clear" w:color="auto" w:fill="auto"/>
            <w:noWrap/>
            <w:vAlign w:val="center"/>
            <w:hideMark/>
          </w:tcPr>
          <w:p w14:paraId="208B0AA5" w14:textId="77777777" w:rsidR="00387142" w:rsidRPr="008B6A75" w:rsidRDefault="00387142" w:rsidP="00387142">
            <w:pPr>
              <w:jc w:val="right"/>
              <w:rPr>
                <w:bCs/>
                <w:sz w:val="20"/>
                <w:szCs w:val="20"/>
              </w:rPr>
            </w:pPr>
            <w:r w:rsidRPr="008B6A75">
              <w:rPr>
                <w:bCs/>
                <w:sz w:val="20"/>
                <w:szCs w:val="20"/>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11242E11" w14:textId="77777777" w:rsidR="00387142" w:rsidRPr="008B6A75" w:rsidRDefault="00387142" w:rsidP="00387142">
            <w:pPr>
              <w:jc w:val="right"/>
              <w:rPr>
                <w:bCs/>
                <w:sz w:val="20"/>
                <w:szCs w:val="20"/>
              </w:rPr>
            </w:pPr>
            <w:r w:rsidRPr="008B6A75">
              <w:rPr>
                <w:bCs/>
                <w:sz w:val="20"/>
                <w:szCs w:val="20"/>
              </w:rPr>
              <w:t>0,00</w:t>
            </w:r>
          </w:p>
        </w:tc>
      </w:tr>
      <w:tr w:rsidR="00387142" w:rsidRPr="008B6A75" w14:paraId="1E427995" w14:textId="77777777" w:rsidTr="00387142">
        <w:trPr>
          <w:trHeight w:val="1155"/>
        </w:trPr>
        <w:tc>
          <w:tcPr>
            <w:tcW w:w="272" w:type="dxa"/>
            <w:tcBorders>
              <w:top w:val="nil"/>
              <w:left w:val="nil"/>
              <w:bottom w:val="nil"/>
              <w:right w:val="single" w:sz="4" w:space="0" w:color="auto"/>
            </w:tcBorders>
            <w:shd w:val="clear" w:color="auto" w:fill="auto"/>
            <w:noWrap/>
            <w:vAlign w:val="bottom"/>
            <w:hideMark/>
          </w:tcPr>
          <w:p w14:paraId="30DAD42B"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560A439F" w14:textId="77777777" w:rsidR="00387142" w:rsidRPr="008B6A75" w:rsidRDefault="00387142" w:rsidP="00387142">
            <w:pPr>
              <w:rPr>
                <w:bCs/>
                <w:sz w:val="20"/>
                <w:szCs w:val="20"/>
              </w:rPr>
            </w:pPr>
            <w:r w:rsidRPr="008B6A75">
              <w:rPr>
                <w:bCs/>
                <w:sz w:val="20"/>
                <w:szCs w:val="20"/>
              </w:rPr>
              <w:t>Реализация мероприятий муниципальной программы "Организация социально-значимых мероприятий на территории Куйбышевского района"</w:t>
            </w:r>
          </w:p>
        </w:tc>
        <w:tc>
          <w:tcPr>
            <w:tcW w:w="1559" w:type="dxa"/>
            <w:tcBorders>
              <w:top w:val="nil"/>
              <w:left w:val="single" w:sz="4" w:space="0" w:color="auto"/>
              <w:bottom w:val="single" w:sz="4" w:space="0" w:color="auto"/>
              <w:right w:val="nil"/>
            </w:tcBorders>
            <w:shd w:val="clear" w:color="auto" w:fill="auto"/>
            <w:noWrap/>
            <w:vAlign w:val="center"/>
            <w:hideMark/>
          </w:tcPr>
          <w:p w14:paraId="62D107F9" w14:textId="77777777" w:rsidR="00387142" w:rsidRPr="008B6A75" w:rsidRDefault="00387142" w:rsidP="00387142">
            <w:pPr>
              <w:jc w:val="center"/>
              <w:rPr>
                <w:bCs/>
                <w:sz w:val="20"/>
                <w:szCs w:val="20"/>
              </w:rPr>
            </w:pPr>
            <w:r w:rsidRPr="008B6A75">
              <w:rPr>
                <w:bCs/>
                <w:sz w:val="20"/>
                <w:szCs w:val="20"/>
              </w:rPr>
              <w:t>30.0.00.10950</w:t>
            </w:r>
          </w:p>
        </w:tc>
        <w:tc>
          <w:tcPr>
            <w:tcW w:w="850" w:type="dxa"/>
            <w:tcBorders>
              <w:top w:val="nil"/>
              <w:left w:val="single" w:sz="4" w:space="0" w:color="auto"/>
              <w:bottom w:val="single" w:sz="4" w:space="0" w:color="auto"/>
              <w:right w:val="nil"/>
            </w:tcBorders>
            <w:shd w:val="clear" w:color="auto" w:fill="auto"/>
            <w:noWrap/>
            <w:vAlign w:val="center"/>
            <w:hideMark/>
          </w:tcPr>
          <w:p w14:paraId="082BB3CD" w14:textId="77777777" w:rsidR="00387142" w:rsidRPr="008B6A75" w:rsidRDefault="00387142" w:rsidP="00387142">
            <w:pPr>
              <w:jc w:val="center"/>
              <w:rPr>
                <w:bCs/>
                <w:sz w:val="20"/>
                <w:szCs w:val="20"/>
              </w:rPr>
            </w:pPr>
            <w:r w:rsidRPr="008B6A75">
              <w:rPr>
                <w:bCs/>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0F9D78DF" w14:textId="77777777" w:rsidR="00387142" w:rsidRPr="008B6A75" w:rsidRDefault="00387142" w:rsidP="00387142">
            <w:pPr>
              <w:jc w:val="center"/>
              <w:rPr>
                <w:bCs/>
                <w:sz w:val="20"/>
                <w:szCs w:val="20"/>
              </w:rPr>
            </w:pPr>
            <w:r w:rsidRPr="008B6A75">
              <w:rPr>
                <w:bCs/>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2732BBBC" w14:textId="77777777" w:rsidR="00387142" w:rsidRPr="008B6A75" w:rsidRDefault="00387142" w:rsidP="00387142">
            <w:pPr>
              <w:jc w:val="center"/>
              <w:rPr>
                <w:bCs/>
                <w:sz w:val="20"/>
                <w:szCs w:val="20"/>
              </w:rPr>
            </w:pPr>
            <w:r w:rsidRPr="008B6A75">
              <w:rPr>
                <w:bCs/>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058E207" w14:textId="77777777" w:rsidR="00387142" w:rsidRPr="008B6A75" w:rsidRDefault="00387142" w:rsidP="00387142">
            <w:pPr>
              <w:jc w:val="right"/>
              <w:rPr>
                <w:bCs/>
                <w:sz w:val="20"/>
                <w:szCs w:val="20"/>
              </w:rPr>
            </w:pPr>
            <w:r w:rsidRPr="008B6A75">
              <w:rPr>
                <w:bCs/>
                <w:sz w:val="20"/>
                <w:szCs w:val="20"/>
              </w:rPr>
              <w:t>420 500,00</w:t>
            </w:r>
          </w:p>
        </w:tc>
        <w:tc>
          <w:tcPr>
            <w:tcW w:w="851" w:type="dxa"/>
            <w:tcBorders>
              <w:top w:val="nil"/>
              <w:left w:val="single" w:sz="4" w:space="0" w:color="auto"/>
              <w:bottom w:val="single" w:sz="4" w:space="0" w:color="auto"/>
              <w:right w:val="nil"/>
            </w:tcBorders>
            <w:shd w:val="clear" w:color="auto" w:fill="auto"/>
            <w:noWrap/>
            <w:vAlign w:val="center"/>
            <w:hideMark/>
          </w:tcPr>
          <w:p w14:paraId="4CE4125D" w14:textId="77777777" w:rsidR="00387142" w:rsidRPr="008B6A75" w:rsidRDefault="00387142" w:rsidP="00387142">
            <w:pPr>
              <w:jc w:val="right"/>
              <w:rPr>
                <w:bCs/>
                <w:sz w:val="20"/>
                <w:szCs w:val="20"/>
              </w:rPr>
            </w:pPr>
            <w:r w:rsidRPr="008B6A75">
              <w:rPr>
                <w:bCs/>
                <w:sz w:val="20"/>
                <w:szCs w:val="20"/>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64A1623C" w14:textId="77777777" w:rsidR="00387142" w:rsidRPr="008B6A75" w:rsidRDefault="00387142" w:rsidP="00387142">
            <w:pPr>
              <w:jc w:val="right"/>
              <w:rPr>
                <w:bCs/>
                <w:sz w:val="20"/>
                <w:szCs w:val="20"/>
              </w:rPr>
            </w:pPr>
            <w:r w:rsidRPr="008B6A75">
              <w:rPr>
                <w:bCs/>
                <w:sz w:val="20"/>
                <w:szCs w:val="20"/>
              </w:rPr>
              <w:t>0,00</w:t>
            </w:r>
          </w:p>
        </w:tc>
      </w:tr>
      <w:tr w:rsidR="00387142" w:rsidRPr="008B6A75" w14:paraId="554BDA78" w14:textId="77777777" w:rsidTr="00387142">
        <w:trPr>
          <w:trHeight w:val="870"/>
        </w:trPr>
        <w:tc>
          <w:tcPr>
            <w:tcW w:w="272" w:type="dxa"/>
            <w:tcBorders>
              <w:top w:val="nil"/>
              <w:left w:val="nil"/>
              <w:bottom w:val="nil"/>
              <w:right w:val="single" w:sz="4" w:space="0" w:color="auto"/>
            </w:tcBorders>
            <w:shd w:val="clear" w:color="auto" w:fill="auto"/>
            <w:noWrap/>
            <w:vAlign w:val="bottom"/>
            <w:hideMark/>
          </w:tcPr>
          <w:p w14:paraId="773EFE2D"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46A9F544" w14:textId="77777777" w:rsidR="00387142" w:rsidRPr="008B6A75" w:rsidRDefault="00387142" w:rsidP="00387142">
            <w:pPr>
              <w:rPr>
                <w:sz w:val="20"/>
                <w:szCs w:val="20"/>
              </w:rPr>
            </w:pPr>
            <w:r w:rsidRPr="008B6A75">
              <w:rPr>
                <w:sz w:val="20"/>
                <w:szCs w:val="20"/>
              </w:rPr>
              <w:t>Предоставление субсидий бюджетным, автономным учреждениям и иным некоммерческим организациям</w:t>
            </w:r>
          </w:p>
        </w:tc>
        <w:tc>
          <w:tcPr>
            <w:tcW w:w="1559" w:type="dxa"/>
            <w:tcBorders>
              <w:top w:val="nil"/>
              <w:left w:val="single" w:sz="4" w:space="0" w:color="auto"/>
              <w:bottom w:val="single" w:sz="4" w:space="0" w:color="auto"/>
              <w:right w:val="nil"/>
            </w:tcBorders>
            <w:shd w:val="clear" w:color="auto" w:fill="auto"/>
            <w:noWrap/>
            <w:vAlign w:val="center"/>
            <w:hideMark/>
          </w:tcPr>
          <w:p w14:paraId="0133015B" w14:textId="77777777" w:rsidR="00387142" w:rsidRPr="008B6A75" w:rsidRDefault="00387142" w:rsidP="00387142">
            <w:pPr>
              <w:jc w:val="center"/>
              <w:rPr>
                <w:sz w:val="20"/>
                <w:szCs w:val="20"/>
              </w:rPr>
            </w:pPr>
            <w:r w:rsidRPr="008B6A75">
              <w:rPr>
                <w:sz w:val="20"/>
                <w:szCs w:val="20"/>
              </w:rPr>
              <w:t>30.0.00.10950</w:t>
            </w:r>
          </w:p>
        </w:tc>
        <w:tc>
          <w:tcPr>
            <w:tcW w:w="850" w:type="dxa"/>
            <w:tcBorders>
              <w:top w:val="nil"/>
              <w:left w:val="single" w:sz="4" w:space="0" w:color="auto"/>
              <w:bottom w:val="single" w:sz="4" w:space="0" w:color="auto"/>
              <w:right w:val="nil"/>
            </w:tcBorders>
            <w:shd w:val="clear" w:color="auto" w:fill="auto"/>
            <w:noWrap/>
            <w:vAlign w:val="center"/>
            <w:hideMark/>
          </w:tcPr>
          <w:p w14:paraId="1CC7B6C2" w14:textId="77777777" w:rsidR="00387142" w:rsidRPr="008B6A75" w:rsidRDefault="00387142" w:rsidP="00387142">
            <w:pPr>
              <w:jc w:val="center"/>
              <w:rPr>
                <w:sz w:val="20"/>
                <w:szCs w:val="20"/>
              </w:rPr>
            </w:pPr>
            <w:r w:rsidRPr="008B6A75">
              <w:rPr>
                <w:sz w:val="20"/>
                <w:szCs w:val="20"/>
              </w:rPr>
              <w:t>600</w:t>
            </w:r>
          </w:p>
        </w:tc>
        <w:tc>
          <w:tcPr>
            <w:tcW w:w="567" w:type="dxa"/>
            <w:tcBorders>
              <w:top w:val="nil"/>
              <w:left w:val="single" w:sz="4" w:space="0" w:color="auto"/>
              <w:bottom w:val="single" w:sz="4" w:space="0" w:color="auto"/>
              <w:right w:val="nil"/>
            </w:tcBorders>
            <w:shd w:val="clear" w:color="auto" w:fill="auto"/>
            <w:noWrap/>
            <w:vAlign w:val="center"/>
            <w:hideMark/>
          </w:tcPr>
          <w:p w14:paraId="34BAFAE2" w14:textId="77777777" w:rsidR="00387142" w:rsidRPr="008B6A75" w:rsidRDefault="00387142" w:rsidP="00387142">
            <w:pPr>
              <w:jc w:val="center"/>
              <w:rPr>
                <w:sz w:val="20"/>
                <w:szCs w:val="20"/>
              </w:rPr>
            </w:pPr>
            <w:r w:rsidRPr="008B6A75">
              <w:rPr>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04377D3F" w14:textId="77777777" w:rsidR="00387142" w:rsidRPr="008B6A75" w:rsidRDefault="00387142" w:rsidP="00387142">
            <w:pPr>
              <w:jc w:val="center"/>
              <w:rPr>
                <w:sz w:val="20"/>
                <w:szCs w:val="20"/>
              </w:rPr>
            </w:pPr>
            <w:r w:rsidRPr="008B6A75">
              <w:rPr>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FCC7A24" w14:textId="77777777" w:rsidR="00387142" w:rsidRPr="008B6A75" w:rsidRDefault="00387142" w:rsidP="00387142">
            <w:pPr>
              <w:jc w:val="right"/>
              <w:rPr>
                <w:sz w:val="20"/>
                <w:szCs w:val="20"/>
              </w:rPr>
            </w:pPr>
            <w:r w:rsidRPr="008B6A75">
              <w:rPr>
                <w:sz w:val="20"/>
                <w:szCs w:val="20"/>
              </w:rPr>
              <w:t>420 500,00</w:t>
            </w:r>
          </w:p>
        </w:tc>
        <w:tc>
          <w:tcPr>
            <w:tcW w:w="851" w:type="dxa"/>
            <w:tcBorders>
              <w:top w:val="nil"/>
              <w:left w:val="single" w:sz="4" w:space="0" w:color="auto"/>
              <w:bottom w:val="single" w:sz="4" w:space="0" w:color="auto"/>
              <w:right w:val="nil"/>
            </w:tcBorders>
            <w:shd w:val="clear" w:color="auto" w:fill="auto"/>
            <w:noWrap/>
            <w:vAlign w:val="center"/>
            <w:hideMark/>
          </w:tcPr>
          <w:p w14:paraId="4276ABA1" w14:textId="77777777" w:rsidR="00387142" w:rsidRPr="008B6A75" w:rsidRDefault="00387142" w:rsidP="00387142">
            <w:pPr>
              <w:jc w:val="right"/>
              <w:rPr>
                <w:sz w:val="20"/>
                <w:szCs w:val="20"/>
              </w:rPr>
            </w:pPr>
            <w:r w:rsidRPr="008B6A75">
              <w:rPr>
                <w:sz w:val="20"/>
                <w:szCs w:val="20"/>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5DA31AE6" w14:textId="77777777" w:rsidR="00387142" w:rsidRPr="008B6A75" w:rsidRDefault="00387142" w:rsidP="00387142">
            <w:pPr>
              <w:jc w:val="right"/>
              <w:rPr>
                <w:sz w:val="20"/>
                <w:szCs w:val="20"/>
              </w:rPr>
            </w:pPr>
            <w:r w:rsidRPr="008B6A75">
              <w:rPr>
                <w:sz w:val="20"/>
                <w:szCs w:val="20"/>
              </w:rPr>
              <w:t>0,00</w:t>
            </w:r>
          </w:p>
        </w:tc>
      </w:tr>
      <w:tr w:rsidR="00387142" w:rsidRPr="008B6A75" w14:paraId="6C54A722" w14:textId="77777777" w:rsidTr="00387142">
        <w:trPr>
          <w:trHeight w:val="300"/>
        </w:trPr>
        <w:tc>
          <w:tcPr>
            <w:tcW w:w="272" w:type="dxa"/>
            <w:tcBorders>
              <w:top w:val="nil"/>
              <w:left w:val="nil"/>
              <w:bottom w:val="nil"/>
              <w:right w:val="single" w:sz="4" w:space="0" w:color="auto"/>
            </w:tcBorders>
            <w:shd w:val="clear" w:color="auto" w:fill="auto"/>
            <w:noWrap/>
            <w:vAlign w:val="bottom"/>
            <w:hideMark/>
          </w:tcPr>
          <w:p w14:paraId="5A092388"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2BA4EE80" w14:textId="77777777" w:rsidR="00387142" w:rsidRPr="008B6A75" w:rsidRDefault="00387142" w:rsidP="00387142">
            <w:pPr>
              <w:rPr>
                <w:sz w:val="20"/>
                <w:szCs w:val="20"/>
              </w:rPr>
            </w:pPr>
            <w:r w:rsidRPr="008B6A75">
              <w:rPr>
                <w:sz w:val="20"/>
                <w:szCs w:val="20"/>
              </w:rPr>
              <w:t>Субсидии бюджетным учреждениям</w:t>
            </w:r>
          </w:p>
        </w:tc>
        <w:tc>
          <w:tcPr>
            <w:tcW w:w="1559" w:type="dxa"/>
            <w:tcBorders>
              <w:top w:val="nil"/>
              <w:left w:val="single" w:sz="4" w:space="0" w:color="auto"/>
              <w:bottom w:val="single" w:sz="4" w:space="0" w:color="auto"/>
              <w:right w:val="nil"/>
            </w:tcBorders>
            <w:shd w:val="clear" w:color="auto" w:fill="auto"/>
            <w:noWrap/>
            <w:vAlign w:val="center"/>
            <w:hideMark/>
          </w:tcPr>
          <w:p w14:paraId="715E7306" w14:textId="77777777" w:rsidR="00387142" w:rsidRPr="008B6A75" w:rsidRDefault="00387142" w:rsidP="00387142">
            <w:pPr>
              <w:jc w:val="center"/>
              <w:rPr>
                <w:sz w:val="20"/>
                <w:szCs w:val="20"/>
              </w:rPr>
            </w:pPr>
            <w:r w:rsidRPr="008B6A75">
              <w:rPr>
                <w:sz w:val="20"/>
                <w:szCs w:val="20"/>
              </w:rPr>
              <w:t>30.0.00.10950</w:t>
            </w:r>
          </w:p>
        </w:tc>
        <w:tc>
          <w:tcPr>
            <w:tcW w:w="850" w:type="dxa"/>
            <w:tcBorders>
              <w:top w:val="nil"/>
              <w:left w:val="single" w:sz="4" w:space="0" w:color="auto"/>
              <w:bottom w:val="single" w:sz="4" w:space="0" w:color="auto"/>
              <w:right w:val="nil"/>
            </w:tcBorders>
            <w:shd w:val="clear" w:color="auto" w:fill="auto"/>
            <w:noWrap/>
            <w:vAlign w:val="center"/>
            <w:hideMark/>
          </w:tcPr>
          <w:p w14:paraId="4F6F94CE" w14:textId="77777777" w:rsidR="00387142" w:rsidRPr="008B6A75" w:rsidRDefault="00387142" w:rsidP="00387142">
            <w:pPr>
              <w:jc w:val="center"/>
              <w:rPr>
                <w:sz w:val="20"/>
                <w:szCs w:val="20"/>
              </w:rPr>
            </w:pPr>
            <w:r w:rsidRPr="008B6A75">
              <w:rPr>
                <w:sz w:val="20"/>
                <w:szCs w:val="20"/>
              </w:rPr>
              <w:t>610</w:t>
            </w:r>
          </w:p>
        </w:tc>
        <w:tc>
          <w:tcPr>
            <w:tcW w:w="567" w:type="dxa"/>
            <w:tcBorders>
              <w:top w:val="nil"/>
              <w:left w:val="single" w:sz="4" w:space="0" w:color="auto"/>
              <w:bottom w:val="single" w:sz="4" w:space="0" w:color="auto"/>
              <w:right w:val="nil"/>
            </w:tcBorders>
            <w:shd w:val="clear" w:color="auto" w:fill="auto"/>
            <w:noWrap/>
            <w:vAlign w:val="center"/>
            <w:hideMark/>
          </w:tcPr>
          <w:p w14:paraId="06AC84C5" w14:textId="77777777" w:rsidR="00387142" w:rsidRPr="008B6A75" w:rsidRDefault="00387142" w:rsidP="00387142">
            <w:pPr>
              <w:jc w:val="center"/>
              <w:rPr>
                <w:sz w:val="20"/>
                <w:szCs w:val="20"/>
              </w:rPr>
            </w:pPr>
            <w:r w:rsidRPr="008B6A75">
              <w:rPr>
                <w:sz w:val="20"/>
                <w:szCs w:val="20"/>
              </w:rPr>
              <w:t>10</w:t>
            </w:r>
          </w:p>
        </w:tc>
        <w:tc>
          <w:tcPr>
            <w:tcW w:w="567" w:type="dxa"/>
            <w:tcBorders>
              <w:top w:val="nil"/>
              <w:left w:val="single" w:sz="4" w:space="0" w:color="auto"/>
              <w:bottom w:val="single" w:sz="4" w:space="0" w:color="auto"/>
              <w:right w:val="nil"/>
            </w:tcBorders>
            <w:shd w:val="clear" w:color="auto" w:fill="auto"/>
            <w:noWrap/>
            <w:vAlign w:val="center"/>
            <w:hideMark/>
          </w:tcPr>
          <w:p w14:paraId="236E3C8E" w14:textId="77777777" w:rsidR="00387142" w:rsidRPr="008B6A75" w:rsidRDefault="00387142" w:rsidP="00387142">
            <w:pPr>
              <w:jc w:val="center"/>
              <w:rPr>
                <w:sz w:val="20"/>
                <w:szCs w:val="20"/>
              </w:rPr>
            </w:pPr>
            <w:r w:rsidRPr="008B6A75">
              <w:rPr>
                <w:sz w:val="20"/>
                <w:szCs w:val="20"/>
              </w:rPr>
              <w:t>02</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715D5E5" w14:textId="77777777" w:rsidR="00387142" w:rsidRPr="008B6A75" w:rsidRDefault="00387142" w:rsidP="00387142">
            <w:pPr>
              <w:jc w:val="right"/>
              <w:rPr>
                <w:sz w:val="20"/>
                <w:szCs w:val="20"/>
              </w:rPr>
            </w:pPr>
            <w:r w:rsidRPr="008B6A75">
              <w:rPr>
                <w:sz w:val="20"/>
                <w:szCs w:val="20"/>
              </w:rPr>
              <w:t>420 500,00</w:t>
            </w:r>
          </w:p>
        </w:tc>
        <w:tc>
          <w:tcPr>
            <w:tcW w:w="851" w:type="dxa"/>
            <w:tcBorders>
              <w:top w:val="nil"/>
              <w:left w:val="single" w:sz="4" w:space="0" w:color="auto"/>
              <w:bottom w:val="single" w:sz="4" w:space="0" w:color="auto"/>
              <w:right w:val="nil"/>
            </w:tcBorders>
            <w:shd w:val="clear" w:color="auto" w:fill="auto"/>
            <w:noWrap/>
            <w:vAlign w:val="center"/>
            <w:hideMark/>
          </w:tcPr>
          <w:p w14:paraId="7BBBA8E0" w14:textId="77777777" w:rsidR="00387142" w:rsidRPr="008B6A75" w:rsidRDefault="00387142" w:rsidP="00387142">
            <w:pPr>
              <w:jc w:val="right"/>
              <w:rPr>
                <w:sz w:val="20"/>
                <w:szCs w:val="20"/>
              </w:rPr>
            </w:pPr>
            <w:r w:rsidRPr="008B6A75">
              <w:rPr>
                <w:sz w:val="20"/>
                <w:szCs w:val="20"/>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694A8EC9" w14:textId="77777777" w:rsidR="00387142" w:rsidRPr="008B6A75" w:rsidRDefault="00387142" w:rsidP="00387142">
            <w:pPr>
              <w:jc w:val="right"/>
              <w:rPr>
                <w:sz w:val="20"/>
                <w:szCs w:val="20"/>
              </w:rPr>
            </w:pPr>
            <w:r w:rsidRPr="008B6A75">
              <w:rPr>
                <w:sz w:val="20"/>
                <w:szCs w:val="20"/>
              </w:rPr>
              <w:t>0,00</w:t>
            </w:r>
          </w:p>
        </w:tc>
      </w:tr>
      <w:tr w:rsidR="00387142" w:rsidRPr="008B6A75" w14:paraId="734328A8" w14:textId="77777777" w:rsidTr="00387142">
        <w:trPr>
          <w:trHeight w:val="1440"/>
        </w:trPr>
        <w:tc>
          <w:tcPr>
            <w:tcW w:w="272" w:type="dxa"/>
            <w:tcBorders>
              <w:top w:val="nil"/>
              <w:left w:val="nil"/>
              <w:bottom w:val="nil"/>
              <w:right w:val="single" w:sz="4" w:space="0" w:color="auto"/>
            </w:tcBorders>
            <w:shd w:val="clear" w:color="auto" w:fill="auto"/>
            <w:noWrap/>
            <w:vAlign w:val="bottom"/>
            <w:hideMark/>
          </w:tcPr>
          <w:p w14:paraId="069CB5B2"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44F32855" w14:textId="77777777" w:rsidR="00387142" w:rsidRPr="008B6A75" w:rsidRDefault="00387142" w:rsidP="00387142">
            <w:pPr>
              <w:rPr>
                <w:bCs/>
                <w:sz w:val="20"/>
                <w:szCs w:val="20"/>
              </w:rPr>
            </w:pPr>
            <w:r w:rsidRPr="008B6A75">
              <w:rPr>
                <w:bCs/>
                <w:sz w:val="20"/>
                <w:szCs w:val="20"/>
              </w:rPr>
              <w:t>Муниципальная программа "Муниципальная поддержка социально ориентированных некоммерческих организаций, общественных объединений и гражданских инициатив в Куйбышевском районе"</w:t>
            </w:r>
          </w:p>
        </w:tc>
        <w:tc>
          <w:tcPr>
            <w:tcW w:w="1559" w:type="dxa"/>
            <w:tcBorders>
              <w:top w:val="nil"/>
              <w:left w:val="single" w:sz="4" w:space="0" w:color="auto"/>
              <w:bottom w:val="single" w:sz="4" w:space="0" w:color="auto"/>
              <w:right w:val="nil"/>
            </w:tcBorders>
            <w:shd w:val="clear" w:color="auto" w:fill="auto"/>
            <w:noWrap/>
            <w:vAlign w:val="center"/>
            <w:hideMark/>
          </w:tcPr>
          <w:p w14:paraId="3F5F2756" w14:textId="77777777" w:rsidR="00387142" w:rsidRPr="008B6A75" w:rsidRDefault="00387142" w:rsidP="00387142">
            <w:pPr>
              <w:jc w:val="center"/>
              <w:rPr>
                <w:bCs/>
                <w:sz w:val="20"/>
                <w:szCs w:val="20"/>
              </w:rPr>
            </w:pPr>
            <w:r w:rsidRPr="008B6A75">
              <w:rPr>
                <w:bCs/>
                <w:sz w:val="20"/>
                <w:szCs w:val="20"/>
              </w:rPr>
              <w:t>31.0.00.00000</w:t>
            </w:r>
          </w:p>
        </w:tc>
        <w:tc>
          <w:tcPr>
            <w:tcW w:w="850" w:type="dxa"/>
            <w:tcBorders>
              <w:top w:val="nil"/>
              <w:left w:val="single" w:sz="4" w:space="0" w:color="auto"/>
              <w:bottom w:val="single" w:sz="4" w:space="0" w:color="auto"/>
              <w:right w:val="nil"/>
            </w:tcBorders>
            <w:shd w:val="clear" w:color="auto" w:fill="auto"/>
            <w:noWrap/>
            <w:vAlign w:val="center"/>
            <w:hideMark/>
          </w:tcPr>
          <w:p w14:paraId="4074DBA5" w14:textId="77777777" w:rsidR="00387142" w:rsidRPr="008B6A75" w:rsidRDefault="00387142" w:rsidP="00387142">
            <w:pPr>
              <w:jc w:val="center"/>
              <w:rPr>
                <w:bCs/>
                <w:sz w:val="20"/>
                <w:szCs w:val="20"/>
              </w:rPr>
            </w:pPr>
            <w:r w:rsidRPr="008B6A75">
              <w:rPr>
                <w:bCs/>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5E1B14C4" w14:textId="77777777" w:rsidR="00387142" w:rsidRPr="008B6A75" w:rsidRDefault="00387142" w:rsidP="00387142">
            <w:pPr>
              <w:jc w:val="center"/>
              <w:rPr>
                <w:bCs/>
                <w:sz w:val="20"/>
                <w:szCs w:val="20"/>
              </w:rPr>
            </w:pPr>
            <w:r w:rsidRPr="008B6A75">
              <w:rPr>
                <w:bCs/>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4FF89C83" w14:textId="77777777" w:rsidR="00387142" w:rsidRPr="008B6A75" w:rsidRDefault="00387142" w:rsidP="00387142">
            <w:pPr>
              <w:jc w:val="center"/>
              <w:rPr>
                <w:bCs/>
                <w:sz w:val="20"/>
                <w:szCs w:val="20"/>
              </w:rPr>
            </w:pPr>
            <w:r w:rsidRPr="008B6A75">
              <w:rPr>
                <w:bCs/>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F992A5B" w14:textId="77777777" w:rsidR="00387142" w:rsidRPr="008B6A75" w:rsidRDefault="00387142" w:rsidP="00387142">
            <w:pPr>
              <w:jc w:val="right"/>
              <w:rPr>
                <w:bCs/>
                <w:sz w:val="20"/>
                <w:szCs w:val="20"/>
              </w:rPr>
            </w:pPr>
            <w:r w:rsidRPr="008B6A75">
              <w:rPr>
                <w:bCs/>
                <w:sz w:val="20"/>
                <w:szCs w:val="20"/>
              </w:rPr>
              <w:t>100 000,00</w:t>
            </w:r>
          </w:p>
        </w:tc>
        <w:tc>
          <w:tcPr>
            <w:tcW w:w="851" w:type="dxa"/>
            <w:tcBorders>
              <w:top w:val="nil"/>
              <w:left w:val="single" w:sz="4" w:space="0" w:color="auto"/>
              <w:bottom w:val="single" w:sz="4" w:space="0" w:color="auto"/>
              <w:right w:val="nil"/>
            </w:tcBorders>
            <w:shd w:val="clear" w:color="auto" w:fill="auto"/>
            <w:noWrap/>
            <w:vAlign w:val="center"/>
            <w:hideMark/>
          </w:tcPr>
          <w:p w14:paraId="01FA9398" w14:textId="77777777" w:rsidR="00387142" w:rsidRPr="008B6A75" w:rsidRDefault="00387142" w:rsidP="00387142">
            <w:pPr>
              <w:jc w:val="right"/>
              <w:rPr>
                <w:bCs/>
                <w:sz w:val="20"/>
                <w:szCs w:val="20"/>
              </w:rPr>
            </w:pPr>
            <w:r w:rsidRPr="008B6A75">
              <w:rPr>
                <w:bCs/>
                <w:sz w:val="20"/>
                <w:szCs w:val="20"/>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04FCD9FB" w14:textId="77777777" w:rsidR="00387142" w:rsidRPr="008B6A75" w:rsidRDefault="00387142" w:rsidP="00387142">
            <w:pPr>
              <w:jc w:val="right"/>
              <w:rPr>
                <w:bCs/>
                <w:sz w:val="20"/>
                <w:szCs w:val="20"/>
              </w:rPr>
            </w:pPr>
            <w:r w:rsidRPr="008B6A75">
              <w:rPr>
                <w:bCs/>
                <w:sz w:val="20"/>
                <w:szCs w:val="20"/>
              </w:rPr>
              <w:t>0,00</w:t>
            </w:r>
          </w:p>
        </w:tc>
      </w:tr>
      <w:tr w:rsidR="00387142" w:rsidRPr="008B6A75" w14:paraId="31AF8957" w14:textId="77777777" w:rsidTr="00387142">
        <w:trPr>
          <w:trHeight w:val="1725"/>
        </w:trPr>
        <w:tc>
          <w:tcPr>
            <w:tcW w:w="272" w:type="dxa"/>
            <w:tcBorders>
              <w:top w:val="nil"/>
              <w:left w:val="nil"/>
              <w:bottom w:val="nil"/>
              <w:right w:val="single" w:sz="4" w:space="0" w:color="auto"/>
            </w:tcBorders>
            <w:shd w:val="clear" w:color="auto" w:fill="auto"/>
            <w:noWrap/>
            <w:vAlign w:val="bottom"/>
            <w:hideMark/>
          </w:tcPr>
          <w:p w14:paraId="727BA7E2" w14:textId="77777777" w:rsidR="00387142" w:rsidRPr="008B6A75" w:rsidRDefault="00387142" w:rsidP="00387142">
            <w:pPr>
              <w:rPr>
                <w:sz w:val="20"/>
                <w:szCs w:val="20"/>
              </w:rPr>
            </w:pPr>
            <w:r w:rsidRPr="008B6A75">
              <w:rPr>
                <w:sz w:val="20"/>
                <w:szCs w:val="20"/>
              </w:rPr>
              <w:lastRenderedPageBreak/>
              <w:t> </w:t>
            </w:r>
          </w:p>
        </w:tc>
        <w:tc>
          <w:tcPr>
            <w:tcW w:w="3415" w:type="dxa"/>
            <w:tcBorders>
              <w:top w:val="nil"/>
              <w:left w:val="single" w:sz="4" w:space="0" w:color="auto"/>
              <w:bottom w:val="single" w:sz="4" w:space="0" w:color="auto"/>
              <w:right w:val="nil"/>
            </w:tcBorders>
            <w:shd w:val="clear" w:color="auto" w:fill="auto"/>
            <w:vAlign w:val="center"/>
            <w:hideMark/>
          </w:tcPr>
          <w:p w14:paraId="0CE48B8E" w14:textId="77777777" w:rsidR="00387142" w:rsidRPr="008B6A75" w:rsidRDefault="00387142" w:rsidP="00387142">
            <w:pPr>
              <w:rPr>
                <w:bCs/>
                <w:sz w:val="20"/>
                <w:szCs w:val="20"/>
              </w:rPr>
            </w:pPr>
            <w:r w:rsidRPr="008B6A75">
              <w:rPr>
                <w:bCs/>
                <w:sz w:val="20"/>
                <w:szCs w:val="20"/>
              </w:rPr>
              <w:t>Реализация мероприятий муниципальной программы "Муниципальная поддержка социально ориентированных некоммерческих организаций, общественных объединений и гражданских инициатив в Куйбышевском районе"</w:t>
            </w:r>
          </w:p>
        </w:tc>
        <w:tc>
          <w:tcPr>
            <w:tcW w:w="1559" w:type="dxa"/>
            <w:tcBorders>
              <w:top w:val="nil"/>
              <w:left w:val="single" w:sz="4" w:space="0" w:color="auto"/>
              <w:bottom w:val="single" w:sz="4" w:space="0" w:color="auto"/>
              <w:right w:val="nil"/>
            </w:tcBorders>
            <w:shd w:val="clear" w:color="auto" w:fill="auto"/>
            <w:noWrap/>
            <w:vAlign w:val="center"/>
            <w:hideMark/>
          </w:tcPr>
          <w:p w14:paraId="36CA8334" w14:textId="77777777" w:rsidR="00387142" w:rsidRPr="008B6A75" w:rsidRDefault="00387142" w:rsidP="00387142">
            <w:pPr>
              <w:jc w:val="center"/>
              <w:rPr>
                <w:bCs/>
                <w:sz w:val="20"/>
                <w:szCs w:val="20"/>
              </w:rPr>
            </w:pPr>
            <w:r w:rsidRPr="008B6A75">
              <w:rPr>
                <w:bCs/>
                <w:sz w:val="20"/>
                <w:szCs w:val="20"/>
              </w:rPr>
              <w:t>31.0.00.10850</w:t>
            </w:r>
          </w:p>
        </w:tc>
        <w:tc>
          <w:tcPr>
            <w:tcW w:w="850" w:type="dxa"/>
            <w:tcBorders>
              <w:top w:val="nil"/>
              <w:left w:val="single" w:sz="4" w:space="0" w:color="auto"/>
              <w:bottom w:val="single" w:sz="4" w:space="0" w:color="auto"/>
              <w:right w:val="nil"/>
            </w:tcBorders>
            <w:shd w:val="clear" w:color="auto" w:fill="auto"/>
            <w:noWrap/>
            <w:vAlign w:val="center"/>
            <w:hideMark/>
          </w:tcPr>
          <w:p w14:paraId="121839B6" w14:textId="77777777" w:rsidR="00387142" w:rsidRPr="008B6A75" w:rsidRDefault="00387142" w:rsidP="00387142">
            <w:pPr>
              <w:jc w:val="center"/>
              <w:rPr>
                <w:bCs/>
                <w:sz w:val="20"/>
                <w:szCs w:val="20"/>
              </w:rPr>
            </w:pPr>
            <w:r w:rsidRPr="008B6A75">
              <w:rPr>
                <w:bCs/>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466AAA19" w14:textId="77777777" w:rsidR="00387142" w:rsidRPr="008B6A75" w:rsidRDefault="00387142" w:rsidP="00387142">
            <w:pPr>
              <w:jc w:val="center"/>
              <w:rPr>
                <w:bCs/>
                <w:sz w:val="20"/>
                <w:szCs w:val="20"/>
              </w:rPr>
            </w:pPr>
            <w:r w:rsidRPr="008B6A75">
              <w:rPr>
                <w:bCs/>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050C56A7" w14:textId="77777777" w:rsidR="00387142" w:rsidRPr="008B6A75" w:rsidRDefault="00387142" w:rsidP="00387142">
            <w:pPr>
              <w:jc w:val="center"/>
              <w:rPr>
                <w:bCs/>
                <w:sz w:val="20"/>
                <w:szCs w:val="20"/>
              </w:rPr>
            </w:pPr>
            <w:r w:rsidRPr="008B6A75">
              <w:rPr>
                <w:bCs/>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56508C7" w14:textId="77777777" w:rsidR="00387142" w:rsidRPr="008B6A75" w:rsidRDefault="00387142" w:rsidP="00387142">
            <w:pPr>
              <w:jc w:val="right"/>
              <w:rPr>
                <w:bCs/>
                <w:sz w:val="20"/>
                <w:szCs w:val="20"/>
              </w:rPr>
            </w:pPr>
            <w:r w:rsidRPr="008B6A75">
              <w:rPr>
                <w:bCs/>
                <w:sz w:val="20"/>
                <w:szCs w:val="20"/>
              </w:rPr>
              <w:t>100 000,00</w:t>
            </w:r>
          </w:p>
        </w:tc>
        <w:tc>
          <w:tcPr>
            <w:tcW w:w="851" w:type="dxa"/>
            <w:tcBorders>
              <w:top w:val="nil"/>
              <w:left w:val="single" w:sz="4" w:space="0" w:color="auto"/>
              <w:bottom w:val="single" w:sz="4" w:space="0" w:color="auto"/>
              <w:right w:val="nil"/>
            </w:tcBorders>
            <w:shd w:val="clear" w:color="auto" w:fill="auto"/>
            <w:noWrap/>
            <w:vAlign w:val="center"/>
            <w:hideMark/>
          </w:tcPr>
          <w:p w14:paraId="500E9867" w14:textId="77777777" w:rsidR="00387142" w:rsidRPr="008B6A75" w:rsidRDefault="00387142" w:rsidP="00387142">
            <w:pPr>
              <w:jc w:val="right"/>
              <w:rPr>
                <w:bCs/>
                <w:sz w:val="20"/>
                <w:szCs w:val="20"/>
              </w:rPr>
            </w:pPr>
            <w:r w:rsidRPr="008B6A75">
              <w:rPr>
                <w:bCs/>
                <w:sz w:val="20"/>
                <w:szCs w:val="20"/>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5AF986A7" w14:textId="77777777" w:rsidR="00387142" w:rsidRPr="008B6A75" w:rsidRDefault="00387142" w:rsidP="00387142">
            <w:pPr>
              <w:jc w:val="right"/>
              <w:rPr>
                <w:bCs/>
                <w:sz w:val="20"/>
                <w:szCs w:val="20"/>
              </w:rPr>
            </w:pPr>
            <w:r w:rsidRPr="008B6A75">
              <w:rPr>
                <w:bCs/>
                <w:sz w:val="20"/>
                <w:szCs w:val="20"/>
              </w:rPr>
              <w:t>0,00</w:t>
            </w:r>
          </w:p>
        </w:tc>
      </w:tr>
      <w:tr w:rsidR="00387142" w:rsidRPr="008B6A75" w14:paraId="5C48E679" w14:textId="77777777" w:rsidTr="00387142">
        <w:trPr>
          <w:trHeight w:val="870"/>
        </w:trPr>
        <w:tc>
          <w:tcPr>
            <w:tcW w:w="272" w:type="dxa"/>
            <w:tcBorders>
              <w:top w:val="nil"/>
              <w:left w:val="nil"/>
              <w:bottom w:val="nil"/>
              <w:right w:val="single" w:sz="4" w:space="0" w:color="auto"/>
            </w:tcBorders>
            <w:shd w:val="clear" w:color="auto" w:fill="auto"/>
            <w:noWrap/>
            <w:vAlign w:val="bottom"/>
            <w:hideMark/>
          </w:tcPr>
          <w:p w14:paraId="36348BD3"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18E4E07E" w14:textId="77777777" w:rsidR="00387142" w:rsidRPr="008B6A75" w:rsidRDefault="00387142" w:rsidP="00387142">
            <w:pPr>
              <w:rPr>
                <w:sz w:val="20"/>
                <w:szCs w:val="20"/>
              </w:rPr>
            </w:pPr>
            <w:r w:rsidRPr="008B6A75">
              <w:rPr>
                <w:sz w:val="20"/>
                <w:szCs w:val="20"/>
              </w:rPr>
              <w:t>Предоставление субсидий бюджетным, автономным учреждениям и иным некоммерческим организациям</w:t>
            </w:r>
          </w:p>
        </w:tc>
        <w:tc>
          <w:tcPr>
            <w:tcW w:w="1559" w:type="dxa"/>
            <w:tcBorders>
              <w:top w:val="nil"/>
              <w:left w:val="single" w:sz="4" w:space="0" w:color="auto"/>
              <w:bottom w:val="single" w:sz="4" w:space="0" w:color="auto"/>
              <w:right w:val="nil"/>
            </w:tcBorders>
            <w:shd w:val="clear" w:color="auto" w:fill="auto"/>
            <w:noWrap/>
            <w:vAlign w:val="center"/>
            <w:hideMark/>
          </w:tcPr>
          <w:p w14:paraId="1F84F627" w14:textId="77777777" w:rsidR="00387142" w:rsidRPr="008B6A75" w:rsidRDefault="00387142" w:rsidP="00387142">
            <w:pPr>
              <w:jc w:val="center"/>
              <w:rPr>
                <w:sz w:val="20"/>
                <w:szCs w:val="20"/>
              </w:rPr>
            </w:pPr>
            <w:r w:rsidRPr="008B6A75">
              <w:rPr>
                <w:sz w:val="20"/>
                <w:szCs w:val="20"/>
              </w:rPr>
              <w:t>31.0.00.10850</w:t>
            </w:r>
          </w:p>
        </w:tc>
        <w:tc>
          <w:tcPr>
            <w:tcW w:w="850" w:type="dxa"/>
            <w:tcBorders>
              <w:top w:val="nil"/>
              <w:left w:val="single" w:sz="4" w:space="0" w:color="auto"/>
              <w:bottom w:val="single" w:sz="4" w:space="0" w:color="auto"/>
              <w:right w:val="nil"/>
            </w:tcBorders>
            <w:shd w:val="clear" w:color="auto" w:fill="auto"/>
            <w:noWrap/>
            <w:vAlign w:val="center"/>
            <w:hideMark/>
          </w:tcPr>
          <w:p w14:paraId="4AE3E85F" w14:textId="77777777" w:rsidR="00387142" w:rsidRPr="008B6A75" w:rsidRDefault="00387142" w:rsidP="00387142">
            <w:pPr>
              <w:jc w:val="center"/>
              <w:rPr>
                <w:sz w:val="20"/>
                <w:szCs w:val="20"/>
              </w:rPr>
            </w:pPr>
            <w:r w:rsidRPr="008B6A75">
              <w:rPr>
                <w:sz w:val="20"/>
                <w:szCs w:val="20"/>
              </w:rPr>
              <w:t>600</w:t>
            </w:r>
          </w:p>
        </w:tc>
        <w:tc>
          <w:tcPr>
            <w:tcW w:w="567" w:type="dxa"/>
            <w:tcBorders>
              <w:top w:val="nil"/>
              <w:left w:val="single" w:sz="4" w:space="0" w:color="auto"/>
              <w:bottom w:val="single" w:sz="4" w:space="0" w:color="auto"/>
              <w:right w:val="nil"/>
            </w:tcBorders>
            <w:shd w:val="clear" w:color="auto" w:fill="auto"/>
            <w:noWrap/>
            <w:vAlign w:val="center"/>
            <w:hideMark/>
          </w:tcPr>
          <w:p w14:paraId="245652D0" w14:textId="77777777" w:rsidR="00387142" w:rsidRPr="008B6A75" w:rsidRDefault="00387142" w:rsidP="00387142">
            <w:pPr>
              <w:jc w:val="center"/>
              <w:rPr>
                <w:sz w:val="20"/>
                <w:szCs w:val="20"/>
              </w:rPr>
            </w:pPr>
            <w:r w:rsidRPr="008B6A75">
              <w:rPr>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1EB3C849" w14:textId="77777777" w:rsidR="00387142" w:rsidRPr="008B6A75" w:rsidRDefault="00387142" w:rsidP="00387142">
            <w:pPr>
              <w:jc w:val="center"/>
              <w:rPr>
                <w:sz w:val="20"/>
                <w:szCs w:val="20"/>
              </w:rPr>
            </w:pPr>
            <w:r w:rsidRPr="008B6A75">
              <w:rPr>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217605F" w14:textId="77777777" w:rsidR="00387142" w:rsidRPr="008B6A75" w:rsidRDefault="00387142" w:rsidP="00387142">
            <w:pPr>
              <w:jc w:val="right"/>
              <w:rPr>
                <w:sz w:val="20"/>
                <w:szCs w:val="20"/>
              </w:rPr>
            </w:pPr>
            <w:r w:rsidRPr="008B6A75">
              <w:rPr>
                <w:sz w:val="20"/>
                <w:szCs w:val="20"/>
              </w:rPr>
              <w:t>100 000,00</w:t>
            </w:r>
          </w:p>
        </w:tc>
        <w:tc>
          <w:tcPr>
            <w:tcW w:w="851" w:type="dxa"/>
            <w:tcBorders>
              <w:top w:val="nil"/>
              <w:left w:val="single" w:sz="4" w:space="0" w:color="auto"/>
              <w:bottom w:val="single" w:sz="4" w:space="0" w:color="auto"/>
              <w:right w:val="nil"/>
            </w:tcBorders>
            <w:shd w:val="clear" w:color="auto" w:fill="auto"/>
            <w:noWrap/>
            <w:vAlign w:val="center"/>
            <w:hideMark/>
          </w:tcPr>
          <w:p w14:paraId="05D92423" w14:textId="77777777" w:rsidR="00387142" w:rsidRPr="008B6A75" w:rsidRDefault="00387142" w:rsidP="00387142">
            <w:pPr>
              <w:jc w:val="right"/>
              <w:rPr>
                <w:sz w:val="20"/>
                <w:szCs w:val="20"/>
              </w:rPr>
            </w:pPr>
            <w:r w:rsidRPr="008B6A75">
              <w:rPr>
                <w:sz w:val="20"/>
                <w:szCs w:val="20"/>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764BFD7F" w14:textId="77777777" w:rsidR="00387142" w:rsidRPr="008B6A75" w:rsidRDefault="00387142" w:rsidP="00387142">
            <w:pPr>
              <w:jc w:val="right"/>
              <w:rPr>
                <w:sz w:val="20"/>
                <w:szCs w:val="20"/>
              </w:rPr>
            </w:pPr>
            <w:r w:rsidRPr="008B6A75">
              <w:rPr>
                <w:sz w:val="20"/>
                <w:szCs w:val="20"/>
              </w:rPr>
              <w:t>0,00</w:t>
            </w:r>
          </w:p>
        </w:tc>
      </w:tr>
      <w:tr w:rsidR="00387142" w:rsidRPr="008B6A75" w14:paraId="15222596" w14:textId="77777777" w:rsidTr="00387142">
        <w:trPr>
          <w:trHeight w:val="300"/>
        </w:trPr>
        <w:tc>
          <w:tcPr>
            <w:tcW w:w="272" w:type="dxa"/>
            <w:tcBorders>
              <w:top w:val="nil"/>
              <w:left w:val="nil"/>
              <w:bottom w:val="nil"/>
              <w:right w:val="single" w:sz="4" w:space="0" w:color="auto"/>
            </w:tcBorders>
            <w:shd w:val="clear" w:color="auto" w:fill="auto"/>
            <w:noWrap/>
            <w:vAlign w:val="bottom"/>
            <w:hideMark/>
          </w:tcPr>
          <w:p w14:paraId="73BE9B2D"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72540AC6" w14:textId="77777777" w:rsidR="00387142" w:rsidRPr="008B6A75" w:rsidRDefault="00387142" w:rsidP="00387142">
            <w:pPr>
              <w:rPr>
                <w:sz w:val="20"/>
                <w:szCs w:val="20"/>
              </w:rPr>
            </w:pPr>
            <w:r w:rsidRPr="008B6A75">
              <w:rPr>
                <w:sz w:val="20"/>
                <w:szCs w:val="20"/>
              </w:rPr>
              <w:t>Субсидии бюджетным учреждениям</w:t>
            </w:r>
          </w:p>
        </w:tc>
        <w:tc>
          <w:tcPr>
            <w:tcW w:w="1559" w:type="dxa"/>
            <w:tcBorders>
              <w:top w:val="nil"/>
              <w:left w:val="single" w:sz="4" w:space="0" w:color="auto"/>
              <w:bottom w:val="single" w:sz="4" w:space="0" w:color="auto"/>
              <w:right w:val="nil"/>
            </w:tcBorders>
            <w:shd w:val="clear" w:color="auto" w:fill="auto"/>
            <w:noWrap/>
            <w:vAlign w:val="center"/>
            <w:hideMark/>
          </w:tcPr>
          <w:p w14:paraId="1D2E50D5" w14:textId="77777777" w:rsidR="00387142" w:rsidRPr="008B6A75" w:rsidRDefault="00387142" w:rsidP="00387142">
            <w:pPr>
              <w:jc w:val="center"/>
              <w:rPr>
                <w:sz w:val="20"/>
                <w:szCs w:val="20"/>
              </w:rPr>
            </w:pPr>
            <w:r w:rsidRPr="008B6A75">
              <w:rPr>
                <w:sz w:val="20"/>
                <w:szCs w:val="20"/>
              </w:rPr>
              <w:t>31.0.00.10850</w:t>
            </w:r>
          </w:p>
        </w:tc>
        <w:tc>
          <w:tcPr>
            <w:tcW w:w="850" w:type="dxa"/>
            <w:tcBorders>
              <w:top w:val="nil"/>
              <w:left w:val="single" w:sz="4" w:space="0" w:color="auto"/>
              <w:bottom w:val="single" w:sz="4" w:space="0" w:color="auto"/>
              <w:right w:val="nil"/>
            </w:tcBorders>
            <w:shd w:val="clear" w:color="auto" w:fill="auto"/>
            <w:noWrap/>
            <w:vAlign w:val="center"/>
            <w:hideMark/>
          </w:tcPr>
          <w:p w14:paraId="14DFBB72" w14:textId="77777777" w:rsidR="00387142" w:rsidRPr="008B6A75" w:rsidRDefault="00387142" w:rsidP="00387142">
            <w:pPr>
              <w:jc w:val="center"/>
              <w:rPr>
                <w:sz w:val="20"/>
                <w:szCs w:val="20"/>
              </w:rPr>
            </w:pPr>
            <w:r w:rsidRPr="008B6A75">
              <w:rPr>
                <w:sz w:val="20"/>
                <w:szCs w:val="20"/>
              </w:rPr>
              <w:t>610</w:t>
            </w:r>
          </w:p>
        </w:tc>
        <w:tc>
          <w:tcPr>
            <w:tcW w:w="567" w:type="dxa"/>
            <w:tcBorders>
              <w:top w:val="nil"/>
              <w:left w:val="single" w:sz="4" w:space="0" w:color="auto"/>
              <w:bottom w:val="single" w:sz="4" w:space="0" w:color="auto"/>
              <w:right w:val="nil"/>
            </w:tcBorders>
            <w:shd w:val="clear" w:color="auto" w:fill="auto"/>
            <w:noWrap/>
            <w:vAlign w:val="center"/>
            <w:hideMark/>
          </w:tcPr>
          <w:p w14:paraId="6626C380" w14:textId="77777777" w:rsidR="00387142" w:rsidRPr="008B6A75" w:rsidRDefault="00387142" w:rsidP="00387142">
            <w:pPr>
              <w:jc w:val="center"/>
              <w:rPr>
                <w:sz w:val="20"/>
                <w:szCs w:val="20"/>
              </w:rPr>
            </w:pPr>
            <w:r w:rsidRPr="008B6A75">
              <w:rPr>
                <w:sz w:val="20"/>
                <w:szCs w:val="20"/>
              </w:rPr>
              <w:t>10</w:t>
            </w:r>
          </w:p>
        </w:tc>
        <w:tc>
          <w:tcPr>
            <w:tcW w:w="567" w:type="dxa"/>
            <w:tcBorders>
              <w:top w:val="nil"/>
              <w:left w:val="single" w:sz="4" w:space="0" w:color="auto"/>
              <w:bottom w:val="single" w:sz="4" w:space="0" w:color="auto"/>
              <w:right w:val="nil"/>
            </w:tcBorders>
            <w:shd w:val="clear" w:color="auto" w:fill="auto"/>
            <w:noWrap/>
            <w:vAlign w:val="center"/>
            <w:hideMark/>
          </w:tcPr>
          <w:p w14:paraId="78270374" w14:textId="77777777" w:rsidR="00387142" w:rsidRPr="008B6A75" w:rsidRDefault="00387142" w:rsidP="00387142">
            <w:pPr>
              <w:jc w:val="center"/>
              <w:rPr>
                <w:sz w:val="20"/>
                <w:szCs w:val="20"/>
              </w:rPr>
            </w:pPr>
            <w:r w:rsidRPr="008B6A75">
              <w:rPr>
                <w:sz w:val="20"/>
                <w:szCs w:val="20"/>
              </w:rPr>
              <w:t>06</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BBC5FF2" w14:textId="77777777" w:rsidR="00387142" w:rsidRPr="008B6A75" w:rsidRDefault="00387142" w:rsidP="00387142">
            <w:pPr>
              <w:jc w:val="right"/>
              <w:rPr>
                <w:sz w:val="20"/>
                <w:szCs w:val="20"/>
              </w:rPr>
            </w:pPr>
            <w:r w:rsidRPr="008B6A75">
              <w:rPr>
                <w:sz w:val="20"/>
                <w:szCs w:val="20"/>
              </w:rPr>
              <w:t>100 000,00</w:t>
            </w:r>
          </w:p>
        </w:tc>
        <w:tc>
          <w:tcPr>
            <w:tcW w:w="851" w:type="dxa"/>
            <w:tcBorders>
              <w:top w:val="nil"/>
              <w:left w:val="single" w:sz="4" w:space="0" w:color="auto"/>
              <w:bottom w:val="single" w:sz="4" w:space="0" w:color="auto"/>
              <w:right w:val="nil"/>
            </w:tcBorders>
            <w:shd w:val="clear" w:color="auto" w:fill="auto"/>
            <w:noWrap/>
            <w:vAlign w:val="center"/>
            <w:hideMark/>
          </w:tcPr>
          <w:p w14:paraId="54B9827B" w14:textId="77777777" w:rsidR="00387142" w:rsidRPr="008B6A75" w:rsidRDefault="00387142" w:rsidP="00387142">
            <w:pPr>
              <w:jc w:val="right"/>
              <w:rPr>
                <w:sz w:val="20"/>
                <w:szCs w:val="20"/>
              </w:rPr>
            </w:pPr>
            <w:r w:rsidRPr="008B6A75">
              <w:rPr>
                <w:sz w:val="20"/>
                <w:szCs w:val="20"/>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6BCF9208" w14:textId="77777777" w:rsidR="00387142" w:rsidRPr="008B6A75" w:rsidRDefault="00387142" w:rsidP="00387142">
            <w:pPr>
              <w:jc w:val="right"/>
              <w:rPr>
                <w:sz w:val="20"/>
                <w:szCs w:val="20"/>
              </w:rPr>
            </w:pPr>
            <w:r w:rsidRPr="008B6A75">
              <w:rPr>
                <w:sz w:val="20"/>
                <w:szCs w:val="20"/>
              </w:rPr>
              <w:t>0,00</w:t>
            </w:r>
          </w:p>
        </w:tc>
      </w:tr>
      <w:tr w:rsidR="00387142" w:rsidRPr="008B6A75" w14:paraId="5176F9C2" w14:textId="77777777" w:rsidTr="00387142">
        <w:trPr>
          <w:trHeight w:val="1440"/>
        </w:trPr>
        <w:tc>
          <w:tcPr>
            <w:tcW w:w="272" w:type="dxa"/>
            <w:tcBorders>
              <w:top w:val="nil"/>
              <w:left w:val="nil"/>
              <w:bottom w:val="nil"/>
              <w:right w:val="single" w:sz="4" w:space="0" w:color="auto"/>
            </w:tcBorders>
            <w:shd w:val="clear" w:color="auto" w:fill="auto"/>
            <w:noWrap/>
            <w:vAlign w:val="bottom"/>
            <w:hideMark/>
          </w:tcPr>
          <w:p w14:paraId="5A089587"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165D3210" w14:textId="77777777" w:rsidR="00387142" w:rsidRPr="008B6A75" w:rsidRDefault="00387142" w:rsidP="00387142">
            <w:pPr>
              <w:rPr>
                <w:bCs/>
                <w:sz w:val="20"/>
                <w:szCs w:val="20"/>
              </w:rPr>
            </w:pPr>
            <w:r w:rsidRPr="008B6A75">
              <w:rPr>
                <w:bCs/>
                <w:sz w:val="20"/>
                <w:szCs w:val="20"/>
              </w:rPr>
              <w:t>Муниципальная программа «Обеспечение доступности услуг автобусного пассажирского транспорта, осуществляющего перевозки по муниципальным маршрутам внутрирайонного сообщения в Куйбышевском районе»</w:t>
            </w:r>
          </w:p>
        </w:tc>
        <w:tc>
          <w:tcPr>
            <w:tcW w:w="1559" w:type="dxa"/>
            <w:tcBorders>
              <w:top w:val="nil"/>
              <w:left w:val="single" w:sz="4" w:space="0" w:color="auto"/>
              <w:bottom w:val="single" w:sz="4" w:space="0" w:color="auto"/>
              <w:right w:val="nil"/>
            </w:tcBorders>
            <w:shd w:val="clear" w:color="auto" w:fill="auto"/>
            <w:noWrap/>
            <w:vAlign w:val="center"/>
            <w:hideMark/>
          </w:tcPr>
          <w:p w14:paraId="1056575F" w14:textId="77777777" w:rsidR="00387142" w:rsidRPr="008B6A75" w:rsidRDefault="00387142" w:rsidP="00387142">
            <w:pPr>
              <w:jc w:val="center"/>
              <w:rPr>
                <w:bCs/>
                <w:sz w:val="20"/>
                <w:szCs w:val="20"/>
              </w:rPr>
            </w:pPr>
            <w:r w:rsidRPr="008B6A75">
              <w:rPr>
                <w:bCs/>
                <w:sz w:val="20"/>
                <w:szCs w:val="20"/>
              </w:rPr>
              <w:t>32.0.00.00000</w:t>
            </w:r>
          </w:p>
        </w:tc>
        <w:tc>
          <w:tcPr>
            <w:tcW w:w="850" w:type="dxa"/>
            <w:tcBorders>
              <w:top w:val="nil"/>
              <w:left w:val="single" w:sz="4" w:space="0" w:color="auto"/>
              <w:bottom w:val="single" w:sz="4" w:space="0" w:color="auto"/>
              <w:right w:val="nil"/>
            </w:tcBorders>
            <w:shd w:val="clear" w:color="auto" w:fill="auto"/>
            <w:noWrap/>
            <w:vAlign w:val="center"/>
            <w:hideMark/>
          </w:tcPr>
          <w:p w14:paraId="5B629CE5" w14:textId="77777777" w:rsidR="00387142" w:rsidRPr="008B6A75" w:rsidRDefault="00387142" w:rsidP="00387142">
            <w:pPr>
              <w:jc w:val="center"/>
              <w:rPr>
                <w:bCs/>
                <w:sz w:val="20"/>
                <w:szCs w:val="20"/>
              </w:rPr>
            </w:pPr>
            <w:r w:rsidRPr="008B6A75">
              <w:rPr>
                <w:bCs/>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7129DEAC" w14:textId="77777777" w:rsidR="00387142" w:rsidRPr="008B6A75" w:rsidRDefault="00387142" w:rsidP="00387142">
            <w:pPr>
              <w:jc w:val="center"/>
              <w:rPr>
                <w:bCs/>
                <w:sz w:val="20"/>
                <w:szCs w:val="20"/>
              </w:rPr>
            </w:pPr>
            <w:r w:rsidRPr="008B6A75">
              <w:rPr>
                <w:bCs/>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6E505262" w14:textId="77777777" w:rsidR="00387142" w:rsidRPr="008B6A75" w:rsidRDefault="00387142" w:rsidP="00387142">
            <w:pPr>
              <w:jc w:val="center"/>
              <w:rPr>
                <w:bCs/>
                <w:sz w:val="20"/>
                <w:szCs w:val="20"/>
              </w:rPr>
            </w:pPr>
            <w:r w:rsidRPr="008B6A75">
              <w:rPr>
                <w:bCs/>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A757B01" w14:textId="77777777" w:rsidR="00387142" w:rsidRPr="008B6A75" w:rsidRDefault="00387142" w:rsidP="00387142">
            <w:pPr>
              <w:jc w:val="right"/>
              <w:rPr>
                <w:bCs/>
                <w:sz w:val="20"/>
                <w:szCs w:val="20"/>
              </w:rPr>
            </w:pPr>
            <w:r w:rsidRPr="008B6A75">
              <w:rPr>
                <w:bCs/>
                <w:sz w:val="20"/>
                <w:szCs w:val="20"/>
              </w:rPr>
              <w:t>18 337 577,00</w:t>
            </w:r>
          </w:p>
        </w:tc>
        <w:tc>
          <w:tcPr>
            <w:tcW w:w="851" w:type="dxa"/>
            <w:tcBorders>
              <w:top w:val="nil"/>
              <w:left w:val="single" w:sz="4" w:space="0" w:color="auto"/>
              <w:bottom w:val="single" w:sz="4" w:space="0" w:color="auto"/>
              <w:right w:val="nil"/>
            </w:tcBorders>
            <w:shd w:val="clear" w:color="auto" w:fill="auto"/>
            <w:noWrap/>
            <w:vAlign w:val="center"/>
            <w:hideMark/>
          </w:tcPr>
          <w:p w14:paraId="27FCA384" w14:textId="77777777" w:rsidR="00387142" w:rsidRPr="008B6A75" w:rsidRDefault="00387142" w:rsidP="00387142">
            <w:pPr>
              <w:jc w:val="right"/>
              <w:rPr>
                <w:bCs/>
                <w:sz w:val="20"/>
                <w:szCs w:val="20"/>
              </w:rPr>
            </w:pPr>
            <w:r w:rsidRPr="008B6A75">
              <w:rPr>
                <w:bCs/>
                <w:sz w:val="20"/>
                <w:szCs w:val="20"/>
              </w:rPr>
              <w:t>15 208 707,00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2219C3BD" w14:textId="77777777" w:rsidR="00387142" w:rsidRPr="008B6A75" w:rsidRDefault="00387142" w:rsidP="00387142">
            <w:pPr>
              <w:jc w:val="right"/>
              <w:rPr>
                <w:bCs/>
                <w:sz w:val="20"/>
                <w:szCs w:val="20"/>
              </w:rPr>
            </w:pPr>
            <w:r w:rsidRPr="008B6A75">
              <w:rPr>
                <w:bCs/>
                <w:sz w:val="20"/>
                <w:szCs w:val="20"/>
              </w:rPr>
              <w:t>15 208 707,00</w:t>
            </w:r>
          </w:p>
        </w:tc>
      </w:tr>
      <w:tr w:rsidR="00387142" w:rsidRPr="008B6A75" w14:paraId="6AB30789" w14:textId="77777777" w:rsidTr="00387142">
        <w:trPr>
          <w:trHeight w:val="1725"/>
        </w:trPr>
        <w:tc>
          <w:tcPr>
            <w:tcW w:w="272" w:type="dxa"/>
            <w:tcBorders>
              <w:top w:val="nil"/>
              <w:left w:val="nil"/>
              <w:bottom w:val="nil"/>
              <w:right w:val="single" w:sz="4" w:space="0" w:color="auto"/>
            </w:tcBorders>
            <w:shd w:val="clear" w:color="auto" w:fill="auto"/>
            <w:noWrap/>
            <w:vAlign w:val="bottom"/>
            <w:hideMark/>
          </w:tcPr>
          <w:p w14:paraId="5C5867FC"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469A0696" w14:textId="77777777" w:rsidR="00387142" w:rsidRPr="008B6A75" w:rsidRDefault="00387142" w:rsidP="00387142">
            <w:pPr>
              <w:rPr>
                <w:bCs/>
                <w:sz w:val="20"/>
                <w:szCs w:val="20"/>
              </w:rPr>
            </w:pPr>
            <w:r w:rsidRPr="008B6A75">
              <w:rPr>
                <w:bCs/>
                <w:sz w:val="20"/>
                <w:szCs w:val="20"/>
              </w:rPr>
              <w:t>Реализация мероприятий муниципальной программы «Обеспечение доступности услуг автобусного пассажирского транспорта, осуществляющего перевозки по муниципальным маршрутам внутрирайонного сообщения в Куйбышевском районе»</w:t>
            </w:r>
          </w:p>
        </w:tc>
        <w:tc>
          <w:tcPr>
            <w:tcW w:w="1559" w:type="dxa"/>
            <w:tcBorders>
              <w:top w:val="nil"/>
              <w:left w:val="single" w:sz="4" w:space="0" w:color="auto"/>
              <w:bottom w:val="single" w:sz="4" w:space="0" w:color="auto"/>
              <w:right w:val="nil"/>
            </w:tcBorders>
            <w:shd w:val="clear" w:color="auto" w:fill="auto"/>
            <w:noWrap/>
            <w:vAlign w:val="center"/>
            <w:hideMark/>
          </w:tcPr>
          <w:p w14:paraId="1DFB92BE" w14:textId="77777777" w:rsidR="00387142" w:rsidRPr="008B6A75" w:rsidRDefault="00387142" w:rsidP="00387142">
            <w:pPr>
              <w:jc w:val="center"/>
              <w:rPr>
                <w:bCs/>
                <w:sz w:val="20"/>
                <w:szCs w:val="20"/>
              </w:rPr>
            </w:pPr>
            <w:r w:rsidRPr="008B6A75">
              <w:rPr>
                <w:bCs/>
                <w:sz w:val="20"/>
                <w:szCs w:val="20"/>
              </w:rPr>
              <w:t>32.0.00.49532</w:t>
            </w:r>
          </w:p>
        </w:tc>
        <w:tc>
          <w:tcPr>
            <w:tcW w:w="850" w:type="dxa"/>
            <w:tcBorders>
              <w:top w:val="nil"/>
              <w:left w:val="single" w:sz="4" w:space="0" w:color="auto"/>
              <w:bottom w:val="single" w:sz="4" w:space="0" w:color="auto"/>
              <w:right w:val="nil"/>
            </w:tcBorders>
            <w:shd w:val="clear" w:color="auto" w:fill="auto"/>
            <w:noWrap/>
            <w:vAlign w:val="center"/>
            <w:hideMark/>
          </w:tcPr>
          <w:p w14:paraId="57394C3A" w14:textId="77777777" w:rsidR="00387142" w:rsidRPr="008B6A75" w:rsidRDefault="00387142" w:rsidP="00387142">
            <w:pPr>
              <w:jc w:val="center"/>
              <w:rPr>
                <w:bCs/>
                <w:sz w:val="20"/>
                <w:szCs w:val="20"/>
              </w:rPr>
            </w:pPr>
            <w:r w:rsidRPr="008B6A75">
              <w:rPr>
                <w:bCs/>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4C2E38AB" w14:textId="77777777" w:rsidR="00387142" w:rsidRPr="008B6A75" w:rsidRDefault="00387142" w:rsidP="00387142">
            <w:pPr>
              <w:jc w:val="center"/>
              <w:rPr>
                <w:bCs/>
                <w:sz w:val="20"/>
                <w:szCs w:val="20"/>
              </w:rPr>
            </w:pPr>
            <w:r w:rsidRPr="008B6A75">
              <w:rPr>
                <w:bCs/>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2440CBAB" w14:textId="77777777" w:rsidR="00387142" w:rsidRPr="008B6A75" w:rsidRDefault="00387142" w:rsidP="00387142">
            <w:pPr>
              <w:jc w:val="center"/>
              <w:rPr>
                <w:bCs/>
                <w:sz w:val="20"/>
                <w:szCs w:val="20"/>
              </w:rPr>
            </w:pPr>
            <w:r w:rsidRPr="008B6A75">
              <w:rPr>
                <w:bCs/>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4D226E7" w14:textId="77777777" w:rsidR="00387142" w:rsidRPr="008B6A75" w:rsidRDefault="00387142" w:rsidP="00387142">
            <w:pPr>
              <w:jc w:val="right"/>
              <w:rPr>
                <w:bCs/>
                <w:sz w:val="20"/>
                <w:szCs w:val="20"/>
              </w:rPr>
            </w:pPr>
            <w:r w:rsidRPr="008B6A75">
              <w:rPr>
                <w:bCs/>
                <w:sz w:val="20"/>
                <w:szCs w:val="20"/>
              </w:rPr>
              <w:t>207 470,00</w:t>
            </w:r>
          </w:p>
        </w:tc>
        <w:tc>
          <w:tcPr>
            <w:tcW w:w="851" w:type="dxa"/>
            <w:tcBorders>
              <w:top w:val="nil"/>
              <w:left w:val="single" w:sz="4" w:space="0" w:color="auto"/>
              <w:bottom w:val="single" w:sz="4" w:space="0" w:color="auto"/>
              <w:right w:val="nil"/>
            </w:tcBorders>
            <w:shd w:val="clear" w:color="auto" w:fill="auto"/>
            <w:noWrap/>
            <w:vAlign w:val="center"/>
            <w:hideMark/>
          </w:tcPr>
          <w:p w14:paraId="6D2B4634" w14:textId="77777777" w:rsidR="00387142" w:rsidRPr="008B6A75" w:rsidRDefault="00387142" w:rsidP="00387142">
            <w:pPr>
              <w:jc w:val="right"/>
              <w:rPr>
                <w:bCs/>
                <w:sz w:val="20"/>
                <w:szCs w:val="20"/>
              </w:rPr>
            </w:pPr>
            <w:r w:rsidRPr="008B6A75">
              <w:rPr>
                <w:bCs/>
                <w:sz w:val="20"/>
                <w:szCs w:val="20"/>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30313460" w14:textId="77777777" w:rsidR="00387142" w:rsidRPr="008B6A75" w:rsidRDefault="00387142" w:rsidP="00387142">
            <w:pPr>
              <w:jc w:val="right"/>
              <w:rPr>
                <w:bCs/>
                <w:sz w:val="20"/>
                <w:szCs w:val="20"/>
              </w:rPr>
            </w:pPr>
            <w:r w:rsidRPr="008B6A75">
              <w:rPr>
                <w:bCs/>
                <w:sz w:val="20"/>
                <w:szCs w:val="20"/>
              </w:rPr>
              <w:t>0,00</w:t>
            </w:r>
          </w:p>
        </w:tc>
      </w:tr>
      <w:tr w:rsidR="00387142" w:rsidRPr="008B6A75" w14:paraId="2BC2AFA6" w14:textId="77777777" w:rsidTr="00387142">
        <w:trPr>
          <w:trHeight w:val="585"/>
        </w:trPr>
        <w:tc>
          <w:tcPr>
            <w:tcW w:w="272" w:type="dxa"/>
            <w:tcBorders>
              <w:top w:val="nil"/>
              <w:left w:val="nil"/>
              <w:bottom w:val="nil"/>
              <w:right w:val="single" w:sz="4" w:space="0" w:color="auto"/>
            </w:tcBorders>
            <w:shd w:val="clear" w:color="auto" w:fill="auto"/>
            <w:noWrap/>
            <w:vAlign w:val="bottom"/>
            <w:hideMark/>
          </w:tcPr>
          <w:p w14:paraId="7135099A"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1ABE5C4C" w14:textId="77777777" w:rsidR="00387142" w:rsidRPr="008B6A75" w:rsidRDefault="00387142" w:rsidP="00387142">
            <w:pPr>
              <w:rPr>
                <w:sz w:val="20"/>
                <w:szCs w:val="20"/>
              </w:rPr>
            </w:pPr>
            <w:r w:rsidRPr="008B6A75">
              <w:rPr>
                <w:sz w:val="20"/>
                <w:szCs w:val="20"/>
              </w:rPr>
              <w:t>Закупка товаров, работ и услуг для обеспечения государственных (муниципальных) нужд</w:t>
            </w:r>
          </w:p>
        </w:tc>
        <w:tc>
          <w:tcPr>
            <w:tcW w:w="1559" w:type="dxa"/>
            <w:tcBorders>
              <w:top w:val="nil"/>
              <w:left w:val="single" w:sz="4" w:space="0" w:color="auto"/>
              <w:bottom w:val="single" w:sz="4" w:space="0" w:color="auto"/>
              <w:right w:val="nil"/>
            </w:tcBorders>
            <w:shd w:val="clear" w:color="auto" w:fill="auto"/>
            <w:noWrap/>
            <w:vAlign w:val="center"/>
            <w:hideMark/>
          </w:tcPr>
          <w:p w14:paraId="13E7931F" w14:textId="77777777" w:rsidR="00387142" w:rsidRPr="008B6A75" w:rsidRDefault="00387142" w:rsidP="00387142">
            <w:pPr>
              <w:jc w:val="center"/>
              <w:rPr>
                <w:sz w:val="20"/>
                <w:szCs w:val="20"/>
              </w:rPr>
            </w:pPr>
            <w:r w:rsidRPr="008B6A75">
              <w:rPr>
                <w:sz w:val="20"/>
                <w:szCs w:val="20"/>
              </w:rPr>
              <w:t>32.0.00.49532</w:t>
            </w:r>
          </w:p>
        </w:tc>
        <w:tc>
          <w:tcPr>
            <w:tcW w:w="850" w:type="dxa"/>
            <w:tcBorders>
              <w:top w:val="nil"/>
              <w:left w:val="single" w:sz="4" w:space="0" w:color="auto"/>
              <w:bottom w:val="single" w:sz="4" w:space="0" w:color="auto"/>
              <w:right w:val="nil"/>
            </w:tcBorders>
            <w:shd w:val="clear" w:color="auto" w:fill="auto"/>
            <w:noWrap/>
            <w:vAlign w:val="center"/>
            <w:hideMark/>
          </w:tcPr>
          <w:p w14:paraId="3603D8FD" w14:textId="77777777" w:rsidR="00387142" w:rsidRPr="008B6A75" w:rsidRDefault="00387142" w:rsidP="00387142">
            <w:pPr>
              <w:jc w:val="center"/>
              <w:rPr>
                <w:sz w:val="20"/>
                <w:szCs w:val="20"/>
              </w:rPr>
            </w:pPr>
            <w:r w:rsidRPr="008B6A75">
              <w:rPr>
                <w:sz w:val="20"/>
                <w:szCs w:val="20"/>
              </w:rPr>
              <w:t>200</w:t>
            </w:r>
          </w:p>
        </w:tc>
        <w:tc>
          <w:tcPr>
            <w:tcW w:w="567" w:type="dxa"/>
            <w:tcBorders>
              <w:top w:val="nil"/>
              <w:left w:val="single" w:sz="4" w:space="0" w:color="auto"/>
              <w:bottom w:val="single" w:sz="4" w:space="0" w:color="auto"/>
              <w:right w:val="nil"/>
            </w:tcBorders>
            <w:shd w:val="clear" w:color="auto" w:fill="auto"/>
            <w:noWrap/>
            <w:vAlign w:val="center"/>
            <w:hideMark/>
          </w:tcPr>
          <w:p w14:paraId="4CA83BC0" w14:textId="77777777" w:rsidR="00387142" w:rsidRPr="008B6A75" w:rsidRDefault="00387142" w:rsidP="00387142">
            <w:pPr>
              <w:jc w:val="center"/>
              <w:rPr>
                <w:sz w:val="20"/>
                <w:szCs w:val="20"/>
              </w:rPr>
            </w:pPr>
            <w:r w:rsidRPr="008B6A75">
              <w:rPr>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6D09066B" w14:textId="77777777" w:rsidR="00387142" w:rsidRPr="008B6A75" w:rsidRDefault="00387142" w:rsidP="00387142">
            <w:pPr>
              <w:jc w:val="center"/>
              <w:rPr>
                <w:sz w:val="20"/>
                <w:szCs w:val="20"/>
              </w:rPr>
            </w:pPr>
            <w:r w:rsidRPr="008B6A75">
              <w:rPr>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E4836A1" w14:textId="77777777" w:rsidR="00387142" w:rsidRPr="008B6A75" w:rsidRDefault="00387142" w:rsidP="00387142">
            <w:pPr>
              <w:jc w:val="right"/>
              <w:rPr>
                <w:sz w:val="20"/>
                <w:szCs w:val="20"/>
              </w:rPr>
            </w:pPr>
            <w:r w:rsidRPr="008B6A75">
              <w:rPr>
                <w:sz w:val="20"/>
                <w:szCs w:val="20"/>
              </w:rPr>
              <w:t>207 470,00</w:t>
            </w:r>
          </w:p>
        </w:tc>
        <w:tc>
          <w:tcPr>
            <w:tcW w:w="851" w:type="dxa"/>
            <w:tcBorders>
              <w:top w:val="nil"/>
              <w:left w:val="single" w:sz="4" w:space="0" w:color="auto"/>
              <w:bottom w:val="single" w:sz="4" w:space="0" w:color="auto"/>
              <w:right w:val="nil"/>
            </w:tcBorders>
            <w:shd w:val="clear" w:color="auto" w:fill="auto"/>
            <w:noWrap/>
            <w:vAlign w:val="center"/>
            <w:hideMark/>
          </w:tcPr>
          <w:p w14:paraId="0364666E" w14:textId="77777777" w:rsidR="00387142" w:rsidRPr="008B6A75" w:rsidRDefault="00387142" w:rsidP="00387142">
            <w:pPr>
              <w:jc w:val="right"/>
              <w:rPr>
                <w:sz w:val="20"/>
                <w:szCs w:val="20"/>
              </w:rPr>
            </w:pPr>
            <w:r w:rsidRPr="008B6A75">
              <w:rPr>
                <w:sz w:val="20"/>
                <w:szCs w:val="20"/>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3DBA3652" w14:textId="77777777" w:rsidR="00387142" w:rsidRPr="008B6A75" w:rsidRDefault="00387142" w:rsidP="00387142">
            <w:pPr>
              <w:jc w:val="right"/>
              <w:rPr>
                <w:sz w:val="20"/>
                <w:szCs w:val="20"/>
              </w:rPr>
            </w:pPr>
            <w:r w:rsidRPr="008B6A75">
              <w:rPr>
                <w:sz w:val="20"/>
                <w:szCs w:val="20"/>
              </w:rPr>
              <w:t>0,00</w:t>
            </w:r>
          </w:p>
        </w:tc>
      </w:tr>
      <w:tr w:rsidR="00387142" w:rsidRPr="008B6A75" w14:paraId="7BC51765" w14:textId="77777777" w:rsidTr="00387142">
        <w:trPr>
          <w:trHeight w:val="870"/>
        </w:trPr>
        <w:tc>
          <w:tcPr>
            <w:tcW w:w="272" w:type="dxa"/>
            <w:tcBorders>
              <w:top w:val="nil"/>
              <w:left w:val="nil"/>
              <w:bottom w:val="nil"/>
              <w:right w:val="single" w:sz="4" w:space="0" w:color="auto"/>
            </w:tcBorders>
            <w:shd w:val="clear" w:color="auto" w:fill="auto"/>
            <w:noWrap/>
            <w:vAlign w:val="bottom"/>
            <w:hideMark/>
          </w:tcPr>
          <w:p w14:paraId="66D92E32"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34CE2B87" w14:textId="77777777" w:rsidR="00387142" w:rsidRPr="008B6A75" w:rsidRDefault="00387142" w:rsidP="00387142">
            <w:pPr>
              <w:rPr>
                <w:sz w:val="20"/>
                <w:szCs w:val="20"/>
              </w:rPr>
            </w:pPr>
            <w:r w:rsidRPr="008B6A75">
              <w:rPr>
                <w:sz w:val="20"/>
                <w:szCs w:val="20"/>
              </w:rPr>
              <w:t>Иные закупки товаров, работ и услуг для обеспечения государственных (муниципальных) нужд</w:t>
            </w:r>
          </w:p>
        </w:tc>
        <w:tc>
          <w:tcPr>
            <w:tcW w:w="1559" w:type="dxa"/>
            <w:tcBorders>
              <w:top w:val="nil"/>
              <w:left w:val="single" w:sz="4" w:space="0" w:color="auto"/>
              <w:bottom w:val="single" w:sz="4" w:space="0" w:color="auto"/>
              <w:right w:val="nil"/>
            </w:tcBorders>
            <w:shd w:val="clear" w:color="auto" w:fill="auto"/>
            <w:noWrap/>
            <w:vAlign w:val="center"/>
            <w:hideMark/>
          </w:tcPr>
          <w:p w14:paraId="64689B14" w14:textId="77777777" w:rsidR="00387142" w:rsidRPr="008B6A75" w:rsidRDefault="00387142" w:rsidP="00387142">
            <w:pPr>
              <w:jc w:val="center"/>
              <w:rPr>
                <w:sz w:val="20"/>
                <w:szCs w:val="20"/>
              </w:rPr>
            </w:pPr>
            <w:r w:rsidRPr="008B6A75">
              <w:rPr>
                <w:sz w:val="20"/>
                <w:szCs w:val="20"/>
              </w:rPr>
              <w:t>32.0.00.49532</w:t>
            </w:r>
          </w:p>
        </w:tc>
        <w:tc>
          <w:tcPr>
            <w:tcW w:w="850" w:type="dxa"/>
            <w:tcBorders>
              <w:top w:val="nil"/>
              <w:left w:val="single" w:sz="4" w:space="0" w:color="auto"/>
              <w:bottom w:val="single" w:sz="4" w:space="0" w:color="auto"/>
              <w:right w:val="nil"/>
            </w:tcBorders>
            <w:shd w:val="clear" w:color="auto" w:fill="auto"/>
            <w:noWrap/>
            <w:vAlign w:val="center"/>
            <w:hideMark/>
          </w:tcPr>
          <w:p w14:paraId="1C124195" w14:textId="77777777" w:rsidR="00387142" w:rsidRPr="008B6A75" w:rsidRDefault="00387142" w:rsidP="00387142">
            <w:pPr>
              <w:jc w:val="center"/>
              <w:rPr>
                <w:sz w:val="20"/>
                <w:szCs w:val="20"/>
              </w:rPr>
            </w:pPr>
            <w:r w:rsidRPr="008B6A75">
              <w:rPr>
                <w:sz w:val="20"/>
                <w:szCs w:val="20"/>
              </w:rPr>
              <w:t>240</w:t>
            </w:r>
          </w:p>
        </w:tc>
        <w:tc>
          <w:tcPr>
            <w:tcW w:w="567" w:type="dxa"/>
            <w:tcBorders>
              <w:top w:val="nil"/>
              <w:left w:val="single" w:sz="4" w:space="0" w:color="auto"/>
              <w:bottom w:val="single" w:sz="4" w:space="0" w:color="auto"/>
              <w:right w:val="nil"/>
            </w:tcBorders>
            <w:shd w:val="clear" w:color="auto" w:fill="auto"/>
            <w:noWrap/>
            <w:vAlign w:val="center"/>
            <w:hideMark/>
          </w:tcPr>
          <w:p w14:paraId="036AB983" w14:textId="77777777" w:rsidR="00387142" w:rsidRPr="008B6A75" w:rsidRDefault="00387142" w:rsidP="00387142">
            <w:pPr>
              <w:jc w:val="center"/>
              <w:rPr>
                <w:sz w:val="20"/>
                <w:szCs w:val="20"/>
              </w:rPr>
            </w:pPr>
            <w:r w:rsidRPr="008B6A75">
              <w:rPr>
                <w:sz w:val="20"/>
                <w:szCs w:val="20"/>
              </w:rPr>
              <w:t>04</w:t>
            </w:r>
          </w:p>
        </w:tc>
        <w:tc>
          <w:tcPr>
            <w:tcW w:w="567" w:type="dxa"/>
            <w:tcBorders>
              <w:top w:val="nil"/>
              <w:left w:val="single" w:sz="4" w:space="0" w:color="auto"/>
              <w:bottom w:val="single" w:sz="4" w:space="0" w:color="auto"/>
              <w:right w:val="nil"/>
            </w:tcBorders>
            <w:shd w:val="clear" w:color="auto" w:fill="auto"/>
            <w:noWrap/>
            <w:vAlign w:val="center"/>
            <w:hideMark/>
          </w:tcPr>
          <w:p w14:paraId="305B9BE6" w14:textId="77777777" w:rsidR="00387142" w:rsidRPr="008B6A75" w:rsidRDefault="00387142" w:rsidP="00387142">
            <w:pPr>
              <w:jc w:val="center"/>
              <w:rPr>
                <w:sz w:val="20"/>
                <w:szCs w:val="20"/>
              </w:rPr>
            </w:pPr>
            <w:r w:rsidRPr="008B6A75">
              <w:rPr>
                <w:sz w:val="20"/>
                <w:szCs w:val="20"/>
              </w:rPr>
              <w:t>08</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578A111" w14:textId="77777777" w:rsidR="00387142" w:rsidRPr="008B6A75" w:rsidRDefault="00387142" w:rsidP="00387142">
            <w:pPr>
              <w:jc w:val="right"/>
              <w:rPr>
                <w:sz w:val="20"/>
                <w:szCs w:val="20"/>
              </w:rPr>
            </w:pPr>
            <w:r w:rsidRPr="008B6A75">
              <w:rPr>
                <w:sz w:val="20"/>
                <w:szCs w:val="20"/>
              </w:rPr>
              <w:t>207 470,00</w:t>
            </w:r>
          </w:p>
        </w:tc>
        <w:tc>
          <w:tcPr>
            <w:tcW w:w="851" w:type="dxa"/>
            <w:tcBorders>
              <w:top w:val="nil"/>
              <w:left w:val="single" w:sz="4" w:space="0" w:color="auto"/>
              <w:bottom w:val="single" w:sz="4" w:space="0" w:color="auto"/>
              <w:right w:val="nil"/>
            </w:tcBorders>
            <w:shd w:val="clear" w:color="auto" w:fill="auto"/>
            <w:noWrap/>
            <w:vAlign w:val="center"/>
            <w:hideMark/>
          </w:tcPr>
          <w:p w14:paraId="3FC7F333" w14:textId="77777777" w:rsidR="00387142" w:rsidRPr="008B6A75" w:rsidRDefault="00387142" w:rsidP="00387142">
            <w:pPr>
              <w:jc w:val="right"/>
              <w:rPr>
                <w:sz w:val="20"/>
                <w:szCs w:val="20"/>
              </w:rPr>
            </w:pPr>
            <w:r w:rsidRPr="008B6A75">
              <w:rPr>
                <w:sz w:val="20"/>
                <w:szCs w:val="20"/>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74C9C630" w14:textId="77777777" w:rsidR="00387142" w:rsidRPr="008B6A75" w:rsidRDefault="00387142" w:rsidP="00387142">
            <w:pPr>
              <w:jc w:val="right"/>
              <w:rPr>
                <w:sz w:val="20"/>
                <w:szCs w:val="20"/>
              </w:rPr>
            </w:pPr>
            <w:r w:rsidRPr="008B6A75">
              <w:rPr>
                <w:sz w:val="20"/>
                <w:szCs w:val="20"/>
              </w:rPr>
              <w:t>0,00</w:t>
            </w:r>
          </w:p>
        </w:tc>
      </w:tr>
      <w:tr w:rsidR="00387142" w:rsidRPr="008B6A75" w14:paraId="27114493" w14:textId="77777777" w:rsidTr="00387142">
        <w:trPr>
          <w:trHeight w:val="2580"/>
        </w:trPr>
        <w:tc>
          <w:tcPr>
            <w:tcW w:w="272" w:type="dxa"/>
            <w:tcBorders>
              <w:top w:val="nil"/>
              <w:left w:val="nil"/>
              <w:bottom w:val="nil"/>
              <w:right w:val="single" w:sz="4" w:space="0" w:color="auto"/>
            </w:tcBorders>
            <w:shd w:val="clear" w:color="auto" w:fill="auto"/>
            <w:noWrap/>
            <w:vAlign w:val="bottom"/>
            <w:hideMark/>
          </w:tcPr>
          <w:p w14:paraId="531F768D"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7913D89C" w14:textId="77777777" w:rsidR="00387142" w:rsidRPr="008B6A75" w:rsidRDefault="00387142" w:rsidP="00387142">
            <w:pPr>
              <w:rPr>
                <w:bCs/>
                <w:sz w:val="20"/>
                <w:szCs w:val="20"/>
              </w:rPr>
            </w:pPr>
            <w:r w:rsidRPr="008B6A75">
              <w:rPr>
                <w:bCs/>
                <w:sz w:val="20"/>
                <w:szCs w:val="20"/>
              </w:rPr>
              <w:t>Приобретение (обновление) транспортных средств автомобильного и наземного электрического общественного пассажирского транспорта государственной программы Новосибирской области "Обеспечение доступности услуг общественного пассажирского транспорта, в том числе Новосибирского метрополитена, для населения Новосибирской области"</w:t>
            </w:r>
          </w:p>
        </w:tc>
        <w:tc>
          <w:tcPr>
            <w:tcW w:w="1559" w:type="dxa"/>
            <w:tcBorders>
              <w:top w:val="nil"/>
              <w:left w:val="single" w:sz="4" w:space="0" w:color="auto"/>
              <w:bottom w:val="single" w:sz="4" w:space="0" w:color="auto"/>
              <w:right w:val="nil"/>
            </w:tcBorders>
            <w:shd w:val="clear" w:color="auto" w:fill="auto"/>
            <w:noWrap/>
            <w:vAlign w:val="center"/>
            <w:hideMark/>
          </w:tcPr>
          <w:p w14:paraId="0969CD44" w14:textId="77777777" w:rsidR="00387142" w:rsidRPr="008B6A75" w:rsidRDefault="00387142" w:rsidP="00387142">
            <w:pPr>
              <w:jc w:val="center"/>
              <w:rPr>
                <w:bCs/>
                <w:sz w:val="20"/>
                <w:szCs w:val="20"/>
              </w:rPr>
            </w:pPr>
            <w:r w:rsidRPr="008B6A75">
              <w:rPr>
                <w:bCs/>
                <w:sz w:val="20"/>
                <w:szCs w:val="20"/>
              </w:rPr>
              <w:t>32.0.00.70170</w:t>
            </w:r>
          </w:p>
        </w:tc>
        <w:tc>
          <w:tcPr>
            <w:tcW w:w="850" w:type="dxa"/>
            <w:tcBorders>
              <w:top w:val="nil"/>
              <w:left w:val="single" w:sz="4" w:space="0" w:color="auto"/>
              <w:bottom w:val="single" w:sz="4" w:space="0" w:color="auto"/>
              <w:right w:val="nil"/>
            </w:tcBorders>
            <w:shd w:val="clear" w:color="auto" w:fill="auto"/>
            <w:noWrap/>
            <w:vAlign w:val="center"/>
            <w:hideMark/>
          </w:tcPr>
          <w:p w14:paraId="3AF44F18" w14:textId="77777777" w:rsidR="00387142" w:rsidRPr="008B6A75" w:rsidRDefault="00387142" w:rsidP="00387142">
            <w:pPr>
              <w:jc w:val="center"/>
              <w:rPr>
                <w:bCs/>
                <w:sz w:val="20"/>
                <w:szCs w:val="20"/>
              </w:rPr>
            </w:pPr>
            <w:r w:rsidRPr="008B6A75">
              <w:rPr>
                <w:bCs/>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498B17B2" w14:textId="77777777" w:rsidR="00387142" w:rsidRPr="008B6A75" w:rsidRDefault="00387142" w:rsidP="00387142">
            <w:pPr>
              <w:jc w:val="center"/>
              <w:rPr>
                <w:bCs/>
                <w:sz w:val="20"/>
                <w:szCs w:val="20"/>
              </w:rPr>
            </w:pPr>
            <w:r w:rsidRPr="008B6A75">
              <w:rPr>
                <w:bCs/>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7818E88B" w14:textId="77777777" w:rsidR="00387142" w:rsidRPr="008B6A75" w:rsidRDefault="00387142" w:rsidP="00387142">
            <w:pPr>
              <w:jc w:val="center"/>
              <w:rPr>
                <w:bCs/>
                <w:sz w:val="20"/>
                <w:szCs w:val="20"/>
              </w:rPr>
            </w:pPr>
            <w:r w:rsidRPr="008B6A75">
              <w:rPr>
                <w:bCs/>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E9E1760" w14:textId="77777777" w:rsidR="00387142" w:rsidRPr="008B6A75" w:rsidRDefault="00387142" w:rsidP="00387142">
            <w:pPr>
              <w:jc w:val="right"/>
              <w:rPr>
                <w:bCs/>
                <w:sz w:val="20"/>
                <w:szCs w:val="20"/>
              </w:rPr>
            </w:pPr>
            <w:r w:rsidRPr="008B6A75">
              <w:rPr>
                <w:bCs/>
                <w:sz w:val="20"/>
                <w:szCs w:val="20"/>
              </w:rPr>
              <w:t>1 752 800,00</w:t>
            </w:r>
          </w:p>
        </w:tc>
        <w:tc>
          <w:tcPr>
            <w:tcW w:w="851" w:type="dxa"/>
            <w:tcBorders>
              <w:top w:val="nil"/>
              <w:left w:val="single" w:sz="4" w:space="0" w:color="auto"/>
              <w:bottom w:val="single" w:sz="4" w:space="0" w:color="auto"/>
              <w:right w:val="nil"/>
            </w:tcBorders>
            <w:shd w:val="clear" w:color="auto" w:fill="auto"/>
            <w:noWrap/>
            <w:vAlign w:val="center"/>
            <w:hideMark/>
          </w:tcPr>
          <w:p w14:paraId="41F3B9E2" w14:textId="77777777" w:rsidR="00387142" w:rsidRPr="008B6A75" w:rsidRDefault="00387142" w:rsidP="00387142">
            <w:pPr>
              <w:jc w:val="right"/>
              <w:rPr>
                <w:bCs/>
                <w:sz w:val="20"/>
                <w:szCs w:val="20"/>
              </w:rPr>
            </w:pPr>
            <w:r w:rsidRPr="008B6A75">
              <w:rPr>
                <w:bCs/>
                <w:sz w:val="20"/>
                <w:szCs w:val="20"/>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3E2EDE41" w14:textId="77777777" w:rsidR="00387142" w:rsidRPr="008B6A75" w:rsidRDefault="00387142" w:rsidP="00387142">
            <w:pPr>
              <w:jc w:val="right"/>
              <w:rPr>
                <w:bCs/>
                <w:sz w:val="20"/>
                <w:szCs w:val="20"/>
              </w:rPr>
            </w:pPr>
            <w:r w:rsidRPr="008B6A75">
              <w:rPr>
                <w:bCs/>
                <w:sz w:val="20"/>
                <w:szCs w:val="20"/>
              </w:rPr>
              <w:t>0,00</w:t>
            </w:r>
          </w:p>
        </w:tc>
      </w:tr>
      <w:tr w:rsidR="00387142" w:rsidRPr="008B6A75" w14:paraId="34F8A313" w14:textId="77777777" w:rsidTr="00387142">
        <w:trPr>
          <w:trHeight w:val="585"/>
        </w:trPr>
        <w:tc>
          <w:tcPr>
            <w:tcW w:w="272" w:type="dxa"/>
            <w:tcBorders>
              <w:top w:val="nil"/>
              <w:left w:val="nil"/>
              <w:bottom w:val="nil"/>
              <w:right w:val="single" w:sz="4" w:space="0" w:color="auto"/>
            </w:tcBorders>
            <w:shd w:val="clear" w:color="auto" w:fill="auto"/>
            <w:noWrap/>
            <w:vAlign w:val="bottom"/>
            <w:hideMark/>
          </w:tcPr>
          <w:p w14:paraId="5C807086"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4669BC91" w14:textId="77777777" w:rsidR="00387142" w:rsidRPr="008B6A75" w:rsidRDefault="00387142" w:rsidP="00387142">
            <w:pPr>
              <w:rPr>
                <w:sz w:val="20"/>
                <w:szCs w:val="20"/>
              </w:rPr>
            </w:pPr>
            <w:r w:rsidRPr="008B6A75">
              <w:rPr>
                <w:sz w:val="20"/>
                <w:szCs w:val="20"/>
              </w:rPr>
              <w:t>Закупка товаров, работ и услуг для обеспечения государственных (муниципальных) нужд</w:t>
            </w:r>
          </w:p>
        </w:tc>
        <w:tc>
          <w:tcPr>
            <w:tcW w:w="1559" w:type="dxa"/>
            <w:tcBorders>
              <w:top w:val="nil"/>
              <w:left w:val="single" w:sz="4" w:space="0" w:color="auto"/>
              <w:bottom w:val="single" w:sz="4" w:space="0" w:color="auto"/>
              <w:right w:val="nil"/>
            </w:tcBorders>
            <w:shd w:val="clear" w:color="auto" w:fill="auto"/>
            <w:noWrap/>
            <w:vAlign w:val="center"/>
            <w:hideMark/>
          </w:tcPr>
          <w:p w14:paraId="6173D220" w14:textId="77777777" w:rsidR="00387142" w:rsidRPr="008B6A75" w:rsidRDefault="00387142" w:rsidP="00387142">
            <w:pPr>
              <w:jc w:val="center"/>
              <w:rPr>
                <w:sz w:val="20"/>
                <w:szCs w:val="20"/>
              </w:rPr>
            </w:pPr>
            <w:r w:rsidRPr="008B6A75">
              <w:rPr>
                <w:sz w:val="20"/>
                <w:szCs w:val="20"/>
              </w:rPr>
              <w:t>32.0.00.70170</w:t>
            </w:r>
          </w:p>
        </w:tc>
        <w:tc>
          <w:tcPr>
            <w:tcW w:w="850" w:type="dxa"/>
            <w:tcBorders>
              <w:top w:val="nil"/>
              <w:left w:val="single" w:sz="4" w:space="0" w:color="auto"/>
              <w:bottom w:val="single" w:sz="4" w:space="0" w:color="auto"/>
              <w:right w:val="nil"/>
            </w:tcBorders>
            <w:shd w:val="clear" w:color="auto" w:fill="auto"/>
            <w:noWrap/>
            <w:vAlign w:val="center"/>
            <w:hideMark/>
          </w:tcPr>
          <w:p w14:paraId="33511275" w14:textId="77777777" w:rsidR="00387142" w:rsidRPr="008B6A75" w:rsidRDefault="00387142" w:rsidP="00387142">
            <w:pPr>
              <w:jc w:val="center"/>
              <w:rPr>
                <w:sz w:val="20"/>
                <w:szCs w:val="20"/>
              </w:rPr>
            </w:pPr>
            <w:r w:rsidRPr="008B6A75">
              <w:rPr>
                <w:sz w:val="20"/>
                <w:szCs w:val="20"/>
              </w:rPr>
              <w:t>200</w:t>
            </w:r>
          </w:p>
        </w:tc>
        <w:tc>
          <w:tcPr>
            <w:tcW w:w="567" w:type="dxa"/>
            <w:tcBorders>
              <w:top w:val="nil"/>
              <w:left w:val="single" w:sz="4" w:space="0" w:color="auto"/>
              <w:bottom w:val="single" w:sz="4" w:space="0" w:color="auto"/>
              <w:right w:val="nil"/>
            </w:tcBorders>
            <w:shd w:val="clear" w:color="auto" w:fill="auto"/>
            <w:noWrap/>
            <w:vAlign w:val="center"/>
            <w:hideMark/>
          </w:tcPr>
          <w:p w14:paraId="483DDD82" w14:textId="77777777" w:rsidR="00387142" w:rsidRPr="008B6A75" w:rsidRDefault="00387142" w:rsidP="00387142">
            <w:pPr>
              <w:jc w:val="center"/>
              <w:rPr>
                <w:sz w:val="20"/>
                <w:szCs w:val="20"/>
              </w:rPr>
            </w:pPr>
            <w:r w:rsidRPr="008B6A75">
              <w:rPr>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08679740" w14:textId="77777777" w:rsidR="00387142" w:rsidRPr="008B6A75" w:rsidRDefault="00387142" w:rsidP="00387142">
            <w:pPr>
              <w:jc w:val="center"/>
              <w:rPr>
                <w:sz w:val="20"/>
                <w:szCs w:val="20"/>
              </w:rPr>
            </w:pPr>
            <w:r w:rsidRPr="008B6A75">
              <w:rPr>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9222F9F" w14:textId="77777777" w:rsidR="00387142" w:rsidRPr="008B6A75" w:rsidRDefault="00387142" w:rsidP="00387142">
            <w:pPr>
              <w:jc w:val="right"/>
              <w:rPr>
                <w:sz w:val="20"/>
                <w:szCs w:val="20"/>
              </w:rPr>
            </w:pPr>
            <w:r w:rsidRPr="008B6A75">
              <w:rPr>
                <w:sz w:val="20"/>
                <w:szCs w:val="20"/>
              </w:rPr>
              <w:t>1 752 800,00</w:t>
            </w:r>
          </w:p>
        </w:tc>
        <w:tc>
          <w:tcPr>
            <w:tcW w:w="851" w:type="dxa"/>
            <w:tcBorders>
              <w:top w:val="nil"/>
              <w:left w:val="single" w:sz="4" w:space="0" w:color="auto"/>
              <w:bottom w:val="single" w:sz="4" w:space="0" w:color="auto"/>
              <w:right w:val="nil"/>
            </w:tcBorders>
            <w:shd w:val="clear" w:color="auto" w:fill="auto"/>
            <w:noWrap/>
            <w:vAlign w:val="center"/>
            <w:hideMark/>
          </w:tcPr>
          <w:p w14:paraId="7F89912B" w14:textId="77777777" w:rsidR="00387142" w:rsidRPr="008B6A75" w:rsidRDefault="00387142" w:rsidP="00387142">
            <w:pPr>
              <w:jc w:val="right"/>
              <w:rPr>
                <w:sz w:val="20"/>
                <w:szCs w:val="20"/>
              </w:rPr>
            </w:pPr>
            <w:r w:rsidRPr="008B6A75">
              <w:rPr>
                <w:sz w:val="20"/>
                <w:szCs w:val="20"/>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5B93177B" w14:textId="77777777" w:rsidR="00387142" w:rsidRPr="008B6A75" w:rsidRDefault="00387142" w:rsidP="00387142">
            <w:pPr>
              <w:jc w:val="right"/>
              <w:rPr>
                <w:sz w:val="20"/>
                <w:szCs w:val="20"/>
              </w:rPr>
            </w:pPr>
            <w:r w:rsidRPr="008B6A75">
              <w:rPr>
                <w:sz w:val="20"/>
                <w:szCs w:val="20"/>
              </w:rPr>
              <w:t>0,00</w:t>
            </w:r>
          </w:p>
        </w:tc>
      </w:tr>
      <w:tr w:rsidR="00387142" w:rsidRPr="008B6A75" w14:paraId="137EC8F7" w14:textId="77777777" w:rsidTr="00387142">
        <w:trPr>
          <w:trHeight w:val="870"/>
        </w:trPr>
        <w:tc>
          <w:tcPr>
            <w:tcW w:w="272" w:type="dxa"/>
            <w:tcBorders>
              <w:top w:val="nil"/>
              <w:left w:val="nil"/>
              <w:bottom w:val="nil"/>
              <w:right w:val="single" w:sz="4" w:space="0" w:color="auto"/>
            </w:tcBorders>
            <w:shd w:val="clear" w:color="auto" w:fill="auto"/>
            <w:noWrap/>
            <w:vAlign w:val="bottom"/>
            <w:hideMark/>
          </w:tcPr>
          <w:p w14:paraId="4194DE21"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071A63BF" w14:textId="77777777" w:rsidR="00387142" w:rsidRPr="008B6A75" w:rsidRDefault="00387142" w:rsidP="00387142">
            <w:pPr>
              <w:rPr>
                <w:sz w:val="20"/>
                <w:szCs w:val="20"/>
              </w:rPr>
            </w:pPr>
            <w:r w:rsidRPr="008B6A75">
              <w:rPr>
                <w:sz w:val="20"/>
                <w:szCs w:val="20"/>
              </w:rPr>
              <w:t>Иные закупки товаров, работ и услуг для обеспечения государственных (муниципальных) нужд</w:t>
            </w:r>
          </w:p>
        </w:tc>
        <w:tc>
          <w:tcPr>
            <w:tcW w:w="1559" w:type="dxa"/>
            <w:tcBorders>
              <w:top w:val="nil"/>
              <w:left w:val="single" w:sz="4" w:space="0" w:color="auto"/>
              <w:bottom w:val="single" w:sz="4" w:space="0" w:color="auto"/>
              <w:right w:val="nil"/>
            </w:tcBorders>
            <w:shd w:val="clear" w:color="auto" w:fill="auto"/>
            <w:noWrap/>
            <w:vAlign w:val="center"/>
            <w:hideMark/>
          </w:tcPr>
          <w:p w14:paraId="1A713C01" w14:textId="77777777" w:rsidR="00387142" w:rsidRPr="008B6A75" w:rsidRDefault="00387142" w:rsidP="00387142">
            <w:pPr>
              <w:jc w:val="center"/>
              <w:rPr>
                <w:sz w:val="20"/>
                <w:szCs w:val="20"/>
              </w:rPr>
            </w:pPr>
            <w:r w:rsidRPr="008B6A75">
              <w:rPr>
                <w:sz w:val="20"/>
                <w:szCs w:val="20"/>
              </w:rPr>
              <w:t>32.0.00.70170</w:t>
            </w:r>
          </w:p>
        </w:tc>
        <w:tc>
          <w:tcPr>
            <w:tcW w:w="850" w:type="dxa"/>
            <w:tcBorders>
              <w:top w:val="nil"/>
              <w:left w:val="single" w:sz="4" w:space="0" w:color="auto"/>
              <w:bottom w:val="single" w:sz="4" w:space="0" w:color="auto"/>
              <w:right w:val="nil"/>
            </w:tcBorders>
            <w:shd w:val="clear" w:color="auto" w:fill="auto"/>
            <w:noWrap/>
            <w:vAlign w:val="center"/>
            <w:hideMark/>
          </w:tcPr>
          <w:p w14:paraId="0517ACE3" w14:textId="77777777" w:rsidR="00387142" w:rsidRPr="008B6A75" w:rsidRDefault="00387142" w:rsidP="00387142">
            <w:pPr>
              <w:jc w:val="center"/>
              <w:rPr>
                <w:sz w:val="20"/>
                <w:szCs w:val="20"/>
              </w:rPr>
            </w:pPr>
            <w:r w:rsidRPr="008B6A75">
              <w:rPr>
                <w:sz w:val="20"/>
                <w:szCs w:val="20"/>
              </w:rPr>
              <w:t>240</w:t>
            </w:r>
          </w:p>
        </w:tc>
        <w:tc>
          <w:tcPr>
            <w:tcW w:w="567" w:type="dxa"/>
            <w:tcBorders>
              <w:top w:val="nil"/>
              <w:left w:val="single" w:sz="4" w:space="0" w:color="auto"/>
              <w:bottom w:val="single" w:sz="4" w:space="0" w:color="auto"/>
              <w:right w:val="nil"/>
            </w:tcBorders>
            <w:shd w:val="clear" w:color="auto" w:fill="auto"/>
            <w:noWrap/>
            <w:vAlign w:val="center"/>
            <w:hideMark/>
          </w:tcPr>
          <w:p w14:paraId="78502E9E" w14:textId="77777777" w:rsidR="00387142" w:rsidRPr="008B6A75" w:rsidRDefault="00387142" w:rsidP="00387142">
            <w:pPr>
              <w:jc w:val="center"/>
              <w:rPr>
                <w:sz w:val="20"/>
                <w:szCs w:val="20"/>
              </w:rPr>
            </w:pPr>
            <w:r w:rsidRPr="008B6A75">
              <w:rPr>
                <w:sz w:val="20"/>
                <w:szCs w:val="20"/>
              </w:rPr>
              <w:t>04</w:t>
            </w:r>
          </w:p>
        </w:tc>
        <w:tc>
          <w:tcPr>
            <w:tcW w:w="567" w:type="dxa"/>
            <w:tcBorders>
              <w:top w:val="nil"/>
              <w:left w:val="single" w:sz="4" w:space="0" w:color="auto"/>
              <w:bottom w:val="single" w:sz="4" w:space="0" w:color="auto"/>
              <w:right w:val="nil"/>
            </w:tcBorders>
            <w:shd w:val="clear" w:color="auto" w:fill="auto"/>
            <w:noWrap/>
            <w:vAlign w:val="center"/>
            <w:hideMark/>
          </w:tcPr>
          <w:p w14:paraId="37195F68" w14:textId="77777777" w:rsidR="00387142" w:rsidRPr="008B6A75" w:rsidRDefault="00387142" w:rsidP="00387142">
            <w:pPr>
              <w:jc w:val="center"/>
              <w:rPr>
                <w:sz w:val="20"/>
                <w:szCs w:val="20"/>
              </w:rPr>
            </w:pPr>
            <w:r w:rsidRPr="008B6A75">
              <w:rPr>
                <w:sz w:val="20"/>
                <w:szCs w:val="20"/>
              </w:rPr>
              <w:t>08</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36DE3EF" w14:textId="77777777" w:rsidR="00387142" w:rsidRPr="008B6A75" w:rsidRDefault="00387142" w:rsidP="00387142">
            <w:pPr>
              <w:jc w:val="right"/>
              <w:rPr>
                <w:sz w:val="20"/>
                <w:szCs w:val="20"/>
              </w:rPr>
            </w:pPr>
            <w:r w:rsidRPr="008B6A75">
              <w:rPr>
                <w:sz w:val="20"/>
                <w:szCs w:val="20"/>
              </w:rPr>
              <w:t>1 752 800,00</w:t>
            </w:r>
          </w:p>
        </w:tc>
        <w:tc>
          <w:tcPr>
            <w:tcW w:w="851" w:type="dxa"/>
            <w:tcBorders>
              <w:top w:val="nil"/>
              <w:left w:val="single" w:sz="4" w:space="0" w:color="auto"/>
              <w:bottom w:val="single" w:sz="4" w:space="0" w:color="auto"/>
              <w:right w:val="nil"/>
            </w:tcBorders>
            <w:shd w:val="clear" w:color="auto" w:fill="auto"/>
            <w:noWrap/>
            <w:vAlign w:val="center"/>
            <w:hideMark/>
          </w:tcPr>
          <w:p w14:paraId="09CE28C9" w14:textId="77777777" w:rsidR="00387142" w:rsidRPr="008B6A75" w:rsidRDefault="00387142" w:rsidP="00387142">
            <w:pPr>
              <w:jc w:val="right"/>
              <w:rPr>
                <w:sz w:val="20"/>
                <w:szCs w:val="20"/>
              </w:rPr>
            </w:pPr>
            <w:r w:rsidRPr="008B6A75">
              <w:rPr>
                <w:sz w:val="20"/>
                <w:szCs w:val="20"/>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44FF5C25" w14:textId="77777777" w:rsidR="00387142" w:rsidRPr="008B6A75" w:rsidRDefault="00387142" w:rsidP="00387142">
            <w:pPr>
              <w:jc w:val="right"/>
              <w:rPr>
                <w:sz w:val="20"/>
                <w:szCs w:val="20"/>
              </w:rPr>
            </w:pPr>
            <w:r w:rsidRPr="008B6A75">
              <w:rPr>
                <w:sz w:val="20"/>
                <w:szCs w:val="20"/>
              </w:rPr>
              <w:t>0,00</w:t>
            </w:r>
          </w:p>
        </w:tc>
      </w:tr>
      <w:tr w:rsidR="00387142" w:rsidRPr="008B6A75" w14:paraId="274ADBDE" w14:textId="77777777" w:rsidTr="00387142">
        <w:trPr>
          <w:trHeight w:val="2295"/>
        </w:trPr>
        <w:tc>
          <w:tcPr>
            <w:tcW w:w="272" w:type="dxa"/>
            <w:tcBorders>
              <w:top w:val="nil"/>
              <w:left w:val="nil"/>
              <w:bottom w:val="nil"/>
              <w:right w:val="single" w:sz="4" w:space="0" w:color="auto"/>
            </w:tcBorders>
            <w:shd w:val="clear" w:color="auto" w:fill="auto"/>
            <w:noWrap/>
            <w:vAlign w:val="bottom"/>
            <w:hideMark/>
          </w:tcPr>
          <w:p w14:paraId="01F07730" w14:textId="77777777" w:rsidR="00387142" w:rsidRPr="008B6A75" w:rsidRDefault="00387142" w:rsidP="00387142">
            <w:pPr>
              <w:rPr>
                <w:sz w:val="20"/>
                <w:szCs w:val="20"/>
              </w:rPr>
            </w:pPr>
            <w:r w:rsidRPr="008B6A75">
              <w:rPr>
                <w:sz w:val="20"/>
                <w:szCs w:val="20"/>
              </w:rPr>
              <w:lastRenderedPageBreak/>
              <w:t> </w:t>
            </w:r>
          </w:p>
        </w:tc>
        <w:tc>
          <w:tcPr>
            <w:tcW w:w="3415" w:type="dxa"/>
            <w:tcBorders>
              <w:top w:val="nil"/>
              <w:left w:val="single" w:sz="4" w:space="0" w:color="auto"/>
              <w:bottom w:val="single" w:sz="4" w:space="0" w:color="auto"/>
              <w:right w:val="nil"/>
            </w:tcBorders>
            <w:shd w:val="clear" w:color="auto" w:fill="auto"/>
            <w:vAlign w:val="center"/>
            <w:hideMark/>
          </w:tcPr>
          <w:p w14:paraId="01191C8C" w14:textId="77777777" w:rsidR="00387142" w:rsidRPr="008B6A75" w:rsidRDefault="00387142" w:rsidP="00387142">
            <w:pPr>
              <w:rPr>
                <w:bCs/>
                <w:sz w:val="20"/>
                <w:szCs w:val="20"/>
              </w:rPr>
            </w:pPr>
            <w:r w:rsidRPr="008B6A75">
              <w:rPr>
                <w:bCs/>
                <w:sz w:val="20"/>
                <w:szCs w:val="20"/>
              </w:rPr>
              <w:t>Осуществление полномочий по организации регулярных перевозок пассажиров и багажа по муниципальным маршрутам государственной программы Новосибирской области "Обеспечение доступности услуг общественного пассажирского транспорта, в том числе Новосибирского метрополитена, для населения Новосибирской области"</w:t>
            </w:r>
          </w:p>
        </w:tc>
        <w:tc>
          <w:tcPr>
            <w:tcW w:w="1559" w:type="dxa"/>
            <w:tcBorders>
              <w:top w:val="nil"/>
              <w:left w:val="single" w:sz="4" w:space="0" w:color="auto"/>
              <w:bottom w:val="single" w:sz="4" w:space="0" w:color="auto"/>
              <w:right w:val="nil"/>
            </w:tcBorders>
            <w:shd w:val="clear" w:color="auto" w:fill="auto"/>
            <w:noWrap/>
            <w:vAlign w:val="center"/>
            <w:hideMark/>
          </w:tcPr>
          <w:p w14:paraId="3B68CB81" w14:textId="77777777" w:rsidR="00387142" w:rsidRPr="008B6A75" w:rsidRDefault="00387142" w:rsidP="00387142">
            <w:pPr>
              <w:jc w:val="center"/>
              <w:rPr>
                <w:bCs/>
                <w:sz w:val="20"/>
                <w:szCs w:val="20"/>
              </w:rPr>
            </w:pPr>
            <w:r w:rsidRPr="008B6A75">
              <w:rPr>
                <w:bCs/>
                <w:sz w:val="20"/>
                <w:szCs w:val="20"/>
              </w:rPr>
              <w:t>32.0.00.71100</w:t>
            </w:r>
          </w:p>
        </w:tc>
        <w:tc>
          <w:tcPr>
            <w:tcW w:w="850" w:type="dxa"/>
            <w:tcBorders>
              <w:top w:val="nil"/>
              <w:left w:val="single" w:sz="4" w:space="0" w:color="auto"/>
              <w:bottom w:val="single" w:sz="4" w:space="0" w:color="auto"/>
              <w:right w:val="nil"/>
            </w:tcBorders>
            <w:shd w:val="clear" w:color="auto" w:fill="auto"/>
            <w:noWrap/>
            <w:vAlign w:val="center"/>
            <w:hideMark/>
          </w:tcPr>
          <w:p w14:paraId="3E53D785" w14:textId="77777777" w:rsidR="00387142" w:rsidRPr="008B6A75" w:rsidRDefault="00387142" w:rsidP="00387142">
            <w:pPr>
              <w:jc w:val="center"/>
              <w:rPr>
                <w:bCs/>
                <w:sz w:val="20"/>
                <w:szCs w:val="20"/>
              </w:rPr>
            </w:pPr>
            <w:r w:rsidRPr="008B6A75">
              <w:rPr>
                <w:bCs/>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317FD0E0" w14:textId="77777777" w:rsidR="00387142" w:rsidRPr="008B6A75" w:rsidRDefault="00387142" w:rsidP="00387142">
            <w:pPr>
              <w:jc w:val="center"/>
              <w:rPr>
                <w:bCs/>
                <w:sz w:val="20"/>
                <w:szCs w:val="20"/>
              </w:rPr>
            </w:pPr>
            <w:r w:rsidRPr="008B6A75">
              <w:rPr>
                <w:bCs/>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0F7CE6C3" w14:textId="77777777" w:rsidR="00387142" w:rsidRPr="008B6A75" w:rsidRDefault="00387142" w:rsidP="00387142">
            <w:pPr>
              <w:jc w:val="center"/>
              <w:rPr>
                <w:bCs/>
                <w:sz w:val="20"/>
                <w:szCs w:val="20"/>
              </w:rPr>
            </w:pPr>
            <w:r w:rsidRPr="008B6A75">
              <w:rPr>
                <w:bCs/>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5AD81F5" w14:textId="77777777" w:rsidR="00387142" w:rsidRPr="008B6A75" w:rsidRDefault="00387142" w:rsidP="00387142">
            <w:pPr>
              <w:jc w:val="right"/>
              <w:rPr>
                <w:bCs/>
                <w:sz w:val="20"/>
                <w:szCs w:val="20"/>
              </w:rPr>
            </w:pPr>
            <w:r w:rsidRPr="008B6A75">
              <w:rPr>
                <w:bCs/>
                <w:sz w:val="20"/>
                <w:szCs w:val="20"/>
              </w:rPr>
              <w:t>15 208 707,00</w:t>
            </w:r>
          </w:p>
        </w:tc>
        <w:tc>
          <w:tcPr>
            <w:tcW w:w="851" w:type="dxa"/>
            <w:tcBorders>
              <w:top w:val="nil"/>
              <w:left w:val="single" w:sz="4" w:space="0" w:color="auto"/>
              <w:bottom w:val="single" w:sz="4" w:space="0" w:color="auto"/>
              <w:right w:val="nil"/>
            </w:tcBorders>
            <w:shd w:val="clear" w:color="auto" w:fill="auto"/>
            <w:noWrap/>
            <w:vAlign w:val="center"/>
            <w:hideMark/>
          </w:tcPr>
          <w:p w14:paraId="2C5F79E8" w14:textId="77777777" w:rsidR="00387142" w:rsidRPr="008B6A75" w:rsidRDefault="00387142" w:rsidP="00387142">
            <w:pPr>
              <w:jc w:val="right"/>
              <w:rPr>
                <w:bCs/>
                <w:sz w:val="20"/>
                <w:szCs w:val="20"/>
              </w:rPr>
            </w:pPr>
            <w:r w:rsidRPr="008B6A75">
              <w:rPr>
                <w:bCs/>
                <w:sz w:val="20"/>
                <w:szCs w:val="20"/>
              </w:rPr>
              <w:t>15 208 707,00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65D49451" w14:textId="77777777" w:rsidR="00387142" w:rsidRPr="008B6A75" w:rsidRDefault="00387142" w:rsidP="00387142">
            <w:pPr>
              <w:jc w:val="right"/>
              <w:rPr>
                <w:bCs/>
                <w:sz w:val="20"/>
                <w:szCs w:val="20"/>
              </w:rPr>
            </w:pPr>
            <w:r w:rsidRPr="008B6A75">
              <w:rPr>
                <w:bCs/>
                <w:sz w:val="20"/>
                <w:szCs w:val="20"/>
              </w:rPr>
              <w:t>15 208 707,00</w:t>
            </w:r>
          </w:p>
        </w:tc>
      </w:tr>
      <w:tr w:rsidR="00387142" w:rsidRPr="008B6A75" w14:paraId="285488FC" w14:textId="77777777" w:rsidTr="00387142">
        <w:trPr>
          <w:trHeight w:val="585"/>
        </w:trPr>
        <w:tc>
          <w:tcPr>
            <w:tcW w:w="272" w:type="dxa"/>
            <w:tcBorders>
              <w:top w:val="nil"/>
              <w:left w:val="nil"/>
              <w:bottom w:val="nil"/>
              <w:right w:val="single" w:sz="4" w:space="0" w:color="auto"/>
            </w:tcBorders>
            <w:shd w:val="clear" w:color="auto" w:fill="auto"/>
            <w:noWrap/>
            <w:vAlign w:val="bottom"/>
            <w:hideMark/>
          </w:tcPr>
          <w:p w14:paraId="7DE19176"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51965673" w14:textId="77777777" w:rsidR="00387142" w:rsidRPr="008B6A75" w:rsidRDefault="00387142" w:rsidP="00387142">
            <w:pPr>
              <w:rPr>
                <w:sz w:val="20"/>
                <w:szCs w:val="20"/>
              </w:rPr>
            </w:pPr>
            <w:r w:rsidRPr="008B6A75">
              <w:rPr>
                <w:sz w:val="20"/>
                <w:szCs w:val="20"/>
              </w:rPr>
              <w:t>Закупка товаров, работ и услуг для обеспечения государственных (муниципальных) нужд</w:t>
            </w:r>
          </w:p>
        </w:tc>
        <w:tc>
          <w:tcPr>
            <w:tcW w:w="1559" w:type="dxa"/>
            <w:tcBorders>
              <w:top w:val="nil"/>
              <w:left w:val="single" w:sz="4" w:space="0" w:color="auto"/>
              <w:bottom w:val="single" w:sz="4" w:space="0" w:color="auto"/>
              <w:right w:val="nil"/>
            </w:tcBorders>
            <w:shd w:val="clear" w:color="auto" w:fill="auto"/>
            <w:noWrap/>
            <w:vAlign w:val="center"/>
            <w:hideMark/>
          </w:tcPr>
          <w:p w14:paraId="0F7F59EA" w14:textId="77777777" w:rsidR="00387142" w:rsidRPr="008B6A75" w:rsidRDefault="00387142" w:rsidP="00387142">
            <w:pPr>
              <w:jc w:val="center"/>
              <w:rPr>
                <w:sz w:val="20"/>
                <w:szCs w:val="20"/>
              </w:rPr>
            </w:pPr>
            <w:r w:rsidRPr="008B6A75">
              <w:rPr>
                <w:sz w:val="20"/>
                <w:szCs w:val="20"/>
              </w:rPr>
              <w:t>32.0.00.71100</w:t>
            </w:r>
          </w:p>
        </w:tc>
        <w:tc>
          <w:tcPr>
            <w:tcW w:w="850" w:type="dxa"/>
            <w:tcBorders>
              <w:top w:val="nil"/>
              <w:left w:val="single" w:sz="4" w:space="0" w:color="auto"/>
              <w:bottom w:val="single" w:sz="4" w:space="0" w:color="auto"/>
              <w:right w:val="nil"/>
            </w:tcBorders>
            <w:shd w:val="clear" w:color="auto" w:fill="auto"/>
            <w:noWrap/>
            <w:vAlign w:val="center"/>
            <w:hideMark/>
          </w:tcPr>
          <w:p w14:paraId="23A91B35" w14:textId="77777777" w:rsidR="00387142" w:rsidRPr="008B6A75" w:rsidRDefault="00387142" w:rsidP="00387142">
            <w:pPr>
              <w:jc w:val="center"/>
              <w:rPr>
                <w:sz w:val="20"/>
                <w:szCs w:val="20"/>
              </w:rPr>
            </w:pPr>
            <w:r w:rsidRPr="008B6A75">
              <w:rPr>
                <w:sz w:val="20"/>
                <w:szCs w:val="20"/>
              </w:rPr>
              <w:t>200</w:t>
            </w:r>
          </w:p>
        </w:tc>
        <w:tc>
          <w:tcPr>
            <w:tcW w:w="567" w:type="dxa"/>
            <w:tcBorders>
              <w:top w:val="nil"/>
              <w:left w:val="single" w:sz="4" w:space="0" w:color="auto"/>
              <w:bottom w:val="single" w:sz="4" w:space="0" w:color="auto"/>
              <w:right w:val="nil"/>
            </w:tcBorders>
            <w:shd w:val="clear" w:color="auto" w:fill="auto"/>
            <w:noWrap/>
            <w:vAlign w:val="center"/>
            <w:hideMark/>
          </w:tcPr>
          <w:p w14:paraId="298598BF" w14:textId="77777777" w:rsidR="00387142" w:rsidRPr="008B6A75" w:rsidRDefault="00387142" w:rsidP="00387142">
            <w:pPr>
              <w:jc w:val="center"/>
              <w:rPr>
                <w:sz w:val="20"/>
                <w:szCs w:val="20"/>
              </w:rPr>
            </w:pPr>
            <w:r w:rsidRPr="008B6A75">
              <w:rPr>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05419EB9" w14:textId="77777777" w:rsidR="00387142" w:rsidRPr="008B6A75" w:rsidRDefault="00387142" w:rsidP="00387142">
            <w:pPr>
              <w:jc w:val="center"/>
              <w:rPr>
                <w:sz w:val="20"/>
                <w:szCs w:val="20"/>
              </w:rPr>
            </w:pPr>
            <w:r w:rsidRPr="008B6A75">
              <w:rPr>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172CFB0" w14:textId="77777777" w:rsidR="00387142" w:rsidRPr="008B6A75" w:rsidRDefault="00387142" w:rsidP="00387142">
            <w:pPr>
              <w:jc w:val="right"/>
              <w:rPr>
                <w:sz w:val="20"/>
                <w:szCs w:val="20"/>
              </w:rPr>
            </w:pPr>
            <w:r w:rsidRPr="008B6A75">
              <w:rPr>
                <w:sz w:val="20"/>
                <w:szCs w:val="20"/>
              </w:rPr>
              <w:t>0,00</w:t>
            </w:r>
          </w:p>
        </w:tc>
        <w:tc>
          <w:tcPr>
            <w:tcW w:w="851" w:type="dxa"/>
            <w:tcBorders>
              <w:top w:val="nil"/>
              <w:left w:val="single" w:sz="4" w:space="0" w:color="auto"/>
              <w:bottom w:val="single" w:sz="4" w:space="0" w:color="auto"/>
              <w:right w:val="nil"/>
            </w:tcBorders>
            <w:shd w:val="clear" w:color="auto" w:fill="auto"/>
            <w:noWrap/>
            <w:vAlign w:val="center"/>
            <w:hideMark/>
          </w:tcPr>
          <w:p w14:paraId="6C965A6B" w14:textId="77777777" w:rsidR="00387142" w:rsidRPr="008B6A75" w:rsidRDefault="00387142" w:rsidP="00387142">
            <w:pPr>
              <w:jc w:val="right"/>
              <w:rPr>
                <w:sz w:val="20"/>
                <w:szCs w:val="20"/>
              </w:rPr>
            </w:pPr>
            <w:r w:rsidRPr="008B6A75">
              <w:rPr>
                <w:sz w:val="20"/>
                <w:szCs w:val="20"/>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5F179FA6" w14:textId="77777777" w:rsidR="00387142" w:rsidRPr="008B6A75" w:rsidRDefault="00387142" w:rsidP="00387142">
            <w:pPr>
              <w:jc w:val="right"/>
              <w:rPr>
                <w:sz w:val="20"/>
                <w:szCs w:val="20"/>
              </w:rPr>
            </w:pPr>
            <w:r w:rsidRPr="008B6A75">
              <w:rPr>
                <w:sz w:val="20"/>
                <w:szCs w:val="20"/>
              </w:rPr>
              <w:t>15 208 707,00</w:t>
            </w:r>
          </w:p>
        </w:tc>
      </w:tr>
      <w:tr w:rsidR="00387142" w:rsidRPr="008B6A75" w14:paraId="0CBDACFC" w14:textId="77777777" w:rsidTr="00387142">
        <w:trPr>
          <w:trHeight w:val="870"/>
        </w:trPr>
        <w:tc>
          <w:tcPr>
            <w:tcW w:w="272" w:type="dxa"/>
            <w:tcBorders>
              <w:top w:val="nil"/>
              <w:left w:val="nil"/>
              <w:bottom w:val="nil"/>
              <w:right w:val="single" w:sz="4" w:space="0" w:color="auto"/>
            </w:tcBorders>
            <w:shd w:val="clear" w:color="auto" w:fill="auto"/>
            <w:noWrap/>
            <w:vAlign w:val="bottom"/>
            <w:hideMark/>
          </w:tcPr>
          <w:p w14:paraId="4E17F1AE"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079F7AA7" w14:textId="77777777" w:rsidR="00387142" w:rsidRPr="008B6A75" w:rsidRDefault="00387142" w:rsidP="00387142">
            <w:pPr>
              <w:rPr>
                <w:sz w:val="20"/>
                <w:szCs w:val="20"/>
              </w:rPr>
            </w:pPr>
            <w:r w:rsidRPr="008B6A75">
              <w:rPr>
                <w:sz w:val="20"/>
                <w:szCs w:val="20"/>
              </w:rPr>
              <w:t>Иные закупки товаров, работ и услуг для обеспечения государственных (муниципальных) нужд</w:t>
            </w:r>
          </w:p>
        </w:tc>
        <w:tc>
          <w:tcPr>
            <w:tcW w:w="1559" w:type="dxa"/>
            <w:tcBorders>
              <w:top w:val="nil"/>
              <w:left w:val="single" w:sz="4" w:space="0" w:color="auto"/>
              <w:bottom w:val="single" w:sz="4" w:space="0" w:color="auto"/>
              <w:right w:val="nil"/>
            </w:tcBorders>
            <w:shd w:val="clear" w:color="auto" w:fill="auto"/>
            <w:noWrap/>
            <w:vAlign w:val="center"/>
            <w:hideMark/>
          </w:tcPr>
          <w:p w14:paraId="0C31155D" w14:textId="77777777" w:rsidR="00387142" w:rsidRPr="008B6A75" w:rsidRDefault="00387142" w:rsidP="00387142">
            <w:pPr>
              <w:jc w:val="center"/>
              <w:rPr>
                <w:sz w:val="20"/>
                <w:szCs w:val="20"/>
              </w:rPr>
            </w:pPr>
            <w:r w:rsidRPr="008B6A75">
              <w:rPr>
                <w:sz w:val="20"/>
                <w:szCs w:val="20"/>
              </w:rPr>
              <w:t>32.0.00.71100</w:t>
            </w:r>
          </w:p>
        </w:tc>
        <w:tc>
          <w:tcPr>
            <w:tcW w:w="850" w:type="dxa"/>
            <w:tcBorders>
              <w:top w:val="nil"/>
              <w:left w:val="single" w:sz="4" w:space="0" w:color="auto"/>
              <w:bottom w:val="single" w:sz="4" w:space="0" w:color="auto"/>
              <w:right w:val="nil"/>
            </w:tcBorders>
            <w:shd w:val="clear" w:color="auto" w:fill="auto"/>
            <w:noWrap/>
            <w:vAlign w:val="center"/>
            <w:hideMark/>
          </w:tcPr>
          <w:p w14:paraId="520D4935" w14:textId="77777777" w:rsidR="00387142" w:rsidRPr="008B6A75" w:rsidRDefault="00387142" w:rsidP="00387142">
            <w:pPr>
              <w:jc w:val="center"/>
              <w:rPr>
                <w:sz w:val="20"/>
                <w:szCs w:val="20"/>
              </w:rPr>
            </w:pPr>
            <w:r w:rsidRPr="008B6A75">
              <w:rPr>
                <w:sz w:val="20"/>
                <w:szCs w:val="20"/>
              </w:rPr>
              <w:t>240</w:t>
            </w:r>
          </w:p>
        </w:tc>
        <w:tc>
          <w:tcPr>
            <w:tcW w:w="567" w:type="dxa"/>
            <w:tcBorders>
              <w:top w:val="nil"/>
              <w:left w:val="single" w:sz="4" w:space="0" w:color="auto"/>
              <w:bottom w:val="single" w:sz="4" w:space="0" w:color="auto"/>
              <w:right w:val="nil"/>
            </w:tcBorders>
            <w:shd w:val="clear" w:color="auto" w:fill="auto"/>
            <w:noWrap/>
            <w:vAlign w:val="center"/>
            <w:hideMark/>
          </w:tcPr>
          <w:p w14:paraId="62BE4779" w14:textId="77777777" w:rsidR="00387142" w:rsidRPr="008B6A75" w:rsidRDefault="00387142" w:rsidP="00387142">
            <w:pPr>
              <w:jc w:val="center"/>
              <w:rPr>
                <w:sz w:val="20"/>
                <w:szCs w:val="20"/>
              </w:rPr>
            </w:pPr>
            <w:r w:rsidRPr="008B6A75">
              <w:rPr>
                <w:sz w:val="20"/>
                <w:szCs w:val="20"/>
              </w:rPr>
              <w:t>04</w:t>
            </w:r>
          </w:p>
        </w:tc>
        <w:tc>
          <w:tcPr>
            <w:tcW w:w="567" w:type="dxa"/>
            <w:tcBorders>
              <w:top w:val="nil"/>
              <w:left w:val="single" w:sz="4" w:space="0" w:color="auto"/>
              <w:bottom w:val="single" w:sz="4" w:space="0" w:color="auto"/>
              <w:right w:val="nil"/>
            </w:tcBorders>
            <w:shd w:val="clear" w:color="auto" w:fill="auto"/>
            <w:noWrap/>
            <w:vAlign w:val="center"/>
            <w:hideMark/>
          </w:tcPr>
          <w:p w14:paraId="38C8E944" w14:textId="77777777" w:rsidR="00387142" w:rsidRPr="008B6A75" w:rsidRDefault="00387142" w:rsidP="00387142">
            <w:pPr>
              <w:jc w:val="center"/>
              <w:rPr>
                <w:sz w:val="20"/>
                <w:szCs w:val="20"/>
              </w:rPr>
            </w:pPr>
            <w:r w:rsidRPr="008B6A75">
              <w:rPr>
                <w:sz w:val="20"/>
                <w:szCs w:val="20"/>
              </w:rPr>
              <w:t>08</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EA9964B" w14:textId="77777777" w:rsidR="00387142" w:rsidRPr="008B6A75" w:rsidRDefault="00387142" w:rsidP="00387142">
            <w:pPr>
              <w:jc w:val="right"/>
              <w:rPr>
                <w:sz w:val="20"/>
                <w:szCs w:val="20"/>
              </w:rPr>
            </w:pPr>
            <w:r w:rsidRPr="008B6A75">
              <w:rPr>
                <w:sz w:val="20"/>
                <w:szCs w:val="20"/>
              </w:rPr>
              <w:t>0,00</w:t>
            </w:r>
          </w:p>
        </w:tc>
        <w:tc>
          <w:tcPr>
            <w:tcW w:w="851" w:type="dxa"/>
            <w:tcBorders>
              <w:top w:val="nil"/>
              <w:left w:val="single" w:sz="4" w:space="0" w:color="auto"/>
              <w:bottom w:val="single" w:sz="4" w:space="0" w:color="auto"/>
              <w:right w:val="nil"/>
            </w:tcBorders>
            <w:shd w:val="clear" w:color="auto" w:fill="auto"/>
            <w:noWrap/>
            <w:vAlign w:val="center"/>
            <w:hideMark/>
          </w:tcPr>
          <w:p w14:paraId="1AF784C1" w14:textId="77777777" w:rsidR="00387142" w:rsidRPr="008B6A75" w:rsidRDefault="00387142" w:rsidP="00387142">
            <w:pPr>
              <w:jc w:val="right"/>
              <w:rPr>
                <w:sz w:val="20"/>
                <w:szCs w:val="20"/>
              </w:rPr>
            </w:pPr>
            <w:r w:rsidRPr="008B6A75">
              <w:rPr>
                <w:sz w:val="20"/>
                <w:szCs w:val="20"/>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24AC9ADC" w14:textId="77777777" w:rsidR="00387142" w:rsidRPr="008B6A75" w:rsidRDefault="00387142" w:rsidP="00387142">
            <w:pPr>
              <w:jc w:val="right"/>
              <w:rPr>
                <w:sz w:val="20"/>
                <w:szCs w:val="20"/>
              </w:rPr>
            </w:pPr>
            <w:r w:rsidRPr="008B6A75">
              <w:rPr>
                <w:sz w:val="20"/>
                <w:szCs w:val="20"/>
              </w:rPr>
              <w:t>15 208 707,00</w:t>
            </w:r>
          </w:p>
        </w:tc>
      </w:tr>
      <w:tr w:rsidR="00387142" w:rsidRPr="008B6A75" w14:paraId="4B1BDCD2" w14:textId="77777777" w:rsidTr="00387142">
        <w:trPr>
          <w:trHeight w:val="300"/>
        </w:trPr>
        <w:tc>
          <w:tcPr>
            <w:tcW w:w="272" w:type="dxa"/>
            <w:tcBorders>
              <w:top w:val="nil"/>
              <w:left w:val="nil"/>
              <w:bottom w:val="nil"/>
              <w:right w:val="single" w:sz="4" w:space="0" w:color="auto"/>
            </w:tcBorders>
            <w:shd w:val="clear" w:color="auto" w:fill="auto"/>
            <w:noWrap/>
            <w:vAlign w:val="bottom"/>
            <w:hideMark/>
          </w:tcPr>
          <w:p w14:paraId="63A208D3"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5A397937" w14:textId="77777777" w:rsidR="00387142" w:rsidRPr="008B6A75" w:rsidRDefault="00387142" w:rsidP="00387142">
            <w:pPr>
              <w:rPr>
                <w:sz w:val="20"/>
                <w:szCs w:val="20"/>
              </w:rPr>
            </w:pPr>
            <w:r w:rsidRPr="008B6A75">
              <w:rPr>
                <w:sz w:val="20"/>
                <w:szCs w:val="20"/>
              </w:rPr>
              <w:t>Межбюджетные трансферты</w:t>
            </w:r>
          </w:p>
        </w:tc>
        <w:tc>
          <w:tcPr>
            <w:tcW w:w="1559" w:type="dxa"/>
            <w:tcBorders>
              <w:top w:val="nil"/>
              <w:left w:val="single" w:sz="4" w:space="0" w:color="auto"/>
              <w:bottom w:val="single" w:sz="4" w:space="0" w:color="auto"/>
              <w:right w:val="nil"/>
            </w:tcBorders>
            <w:shd w:val="clear" w:color="auto" w:fill="auto"/>
            <w:noWrap/>
            <w:vAlign w:val="center"/>
            <w:hideMark/>
          </w:tcPr>
          <w:p w14:paraId="69EC28C4" w14:textId="77777777" w:rsidR="00387142" w:rsidRPr="008B6A75" w:rsidRDefault="00387142" w:rsidP="00387142">
            <w:pPr>
              <w:jc w:val="center"/>
              <w:rPr>
                <w:sz w:val="20"/>
                <w:szCs w:val="20"/>
              </w:rPr>
            </w:pPr>
            <w:r w:rsidRPr="008B6A75">
              <w:rPr>
                <w:sz w:val="20"/>
                <w:szCs w:val="20"/>
              </w:rPr>
              <w:t>32.0.00.71100</w:t>
            </w:r>
          </w:p>
        </w:tc>
        <w:tc>
          <w:tcPr>
            <w:tcW w:w="850" w:type="dxa"/>
            <w:tcBorders>
              <w:top w:val="nil"/>
              <w:left w:val="single" w:sz="4" w:space="0" w:color="auto"/>
              <w:bottom w:val="single" w:sz="4" w:space="0" w:color="auto"/>
              <w:right w:val="nil"/>
            </w:tcBorders>
            <w:shd w:val="clear" w:color="auto" w:fill="auto"/>
            <w:noWrap/>
            <w:vAlign w:val="center"/>
            <w:hideMark/>
          </w:tcPr>
          <w:p w14:paraId="23E4D5B9" w14:textId="77777777" w:rsidR="00387142" w:rsidRPr="008B6A75" w:rsidRDefault="00387142" w:rsidP="00387142">
            <w:pPr>
              <w:jc w:val="center"/>
              <w:rPr>
                <w:sz w:val="20"/>
                <w:szCs w:val="20"/>
              </w:rPr>
            </w:pPr>
            <w:r w:rsidRPr="008B6A75">
              <w:rPr>
                <w:sz w:val="20"/>
                <w:szCs w:val="20"/>
              </w:rPr>
              <w:t>500</w:t>
            </w:r>
          </w:p>
        </w:tc>
        <w:tc>
          <w:tcPr>
            <w:tcW w:w="567" w:type="dxa"/>
            <w:tcBorders>
              <w:top w:val="nil"/>
              <w:left w:val="single" w:sz="4" w:space="0" w:color="auto"/>
              <w:bottom w:val="single" w:sz="4" w:space="0" w:color="auto"/>
              <w:right w:val="nil"/>
            </w:tcBorders>
            <w:shd w:val="clear" w:color="auto" w:fill="auto"/>
            <w:noWrap/>
            <w:vAlign w:val="center"/>
            <w:hideMark/>
          </w:tcPr>
          <w:p w14:paraId="1CE7F0FA" w14:textId="77777777" w:rsidR="00387142" w:rsidRPr="008B6A75" w:rsidRDefault="00387142" w:rsidP="00387142">
            <w:pPr>
              <w:jc w:val="center"/>
              <w:rPr>
                <w:sz w:val="20"/>
                <w:szCs w:val="20"/>
              </w:rPr>
            </w:pPr>
            <w:r w:rsidRPr="008B6A75">
              <w:rPr>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09146756" w14:textId="77777777" w:rsidR="00387142" w:rsidRPr="008B6A75" w:rsidRDefault="00387142" w:rsidP="00387142">
            <w:pPr>
              <w:jc w:val="center"/>
              <w:rPr>
                <w:sz w:val="20"/>
                <w:szCs w:val="20"/>
              </w:rPr>
            </w:pPr>
            <w:r w:rsidRPr="008B6A75">
              <w:rPr>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ECD10C7" w14:textId="77777777" w:rsidR="00387142" w:rsidRPr="008B6A75" w:rsidRDefault="00387142" w:rsidP="00387142">
            <w:pPr>
              <w:jc w:val="right"/>
              <w:rPr>
                <w:sz w:val="20"/>
                <w:szCs w:val="20"/>
              </w:rPr>
            </w:pPr>
            <w:r w:rsidRPr="008B6A75">
              <w:rPr>
                <w:sz w:val="20"/>
                <w:szCs w:val="20"/>
              </w:rPr>
              <w:t>15 208 707,00</w:t>
            </w:r>
          </w:p>
        </w:tc>
        <w:tc>
          <w:tcPr>
            <w:tcW w:w="851" w:type="dxa"/>
            <w:tcBorders>
              <w:top w:val="nil"/>
              <w:left w:val="single" w:sz="4" w:space="0" w:color="auto"/>
              <w:bottom w:val="single" w:sz="4" w:space="0" w:color="auto"/>
              <w:right w:val="nil"/>
            </w:tcBorders>
            <w:shd w:val="clear" w:color="auto" w:fill="auto"/>
            <w:noWrap/>
            <w:vAlign w:val="center"/>
            <w:hideMark/>
          </w:tcPr>
          <w:p w14:paraId="4C098785" w14:textId="77777777" w:rsidR="00387142" w:rsidRPr="008B6A75" w:rsidRDefault="00387142" w:rsidP="00387142">
            <w:pPr>
              <w:jc w:val="right"/>
              <w:rPr>
                <w:sz w:val="20"/>
                <w:szCs w:val="20"/>
              </w:rPr>
            </w:pPr>
            <w:r w:rsidRPr="008B6A75">
              <w:rPr>
                <w:sz w:val="20"/>
                <w:szCs w:val="20"/>
              </w:rPr>
              <w:t>15 208 707,00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24A0E271" w14:textId="77777777" w:rsidR="00387142" w:rsidRPr="008B6A75" w:rsidRDefault="00387142" w:rsidP="00387142">
            <w:pPr>
              <w:jc w:val="right"/>
              <w:rPr>
                <w:sz w:val="20"/>
                <w:szCs w:val="20"/>
              </w:rPr>
            </w:pPr>
            <w:r w:rsidRPr="008B6A75">
              <w:rPr>
                <w:sz w:val="20"/>
                <w:szCs w:val="20"/>
              </w:rPr>
              <w:t>0,00</w:t>
            </w:r>
          </w:p>
        </w:tc>
      </w:tr>
      <w:tr w:rsidR="00387142" w:rsidRPr="008B6A75" w14:paraId="6F929CED" w14:textId="77777777" w:rsidTr="00387142">
        <w:trPr>
          <w:trHeight w:val="300"/>
        </w:trPr>
        <w:tc>
          <w:tcPr>
            <w:tcW w:w="272" w:type="dxa"/>
            <w:tcBorders>
              <w:top w:val="nil"/>
              <w:left w:val="nil"/>
              <w:bottom w:val="nil"/>
              <w:right w:val="single" w:sz="4" w:space="0" w:color="auto"/>
            </w:tcBorders>
            <w:shd w:val="clear" w:color="auto" w:fill="auto"/>
            <w:noWrap/>
            <w:vAlign w:val="bottom"/>
            <w:hideMark/>
          </w:tcPr>
          <w:p w14:paraId="06F340FB"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3D1084BF" w14:textId="77777777" w:rsidR="00387142" w:rsidRPr="008B6A75" w:rsidRDefault="00387142" w:rsidP="00387142">
            <w:pPr>
              <w:rPr>
                <w:sz w:val="20"/>
                <w:szCs w:val="20"/>
              </w:rPr>
            </w:pPr>
            <w:r w:rsidRPr="008B6A75">
              <w:rPr>
                <w:sz w:val="20"/>
                <w:szCs w:val="20"/>
              </w:rPr>
              <w:t>Субсидии</w:t>
            </w:r>
          </w:p>
        </w:tc>
        <w:tc>
          <w:tcPr>
            <w:tcW w:w="1559" w:type="dxa"/>
            <w:tcBorders>
              <w:top w:val="nil"/>
              <w:left w:val="single" w:sz="4" w:space="0" w:color="auto"/>
              <w:bottom w:val="single" w:sz="4" w:space="0" w:color="auto"/>
              <w:right w:val="nil"/>
            </w:tcBorders>
            <w:shd w:val="clear" w:color="auto" w:fill="auto"/>
            <w:noWrap/>
            <w:vAlign w:val="center"/>
            <w:hideMark/>
          </w:tcPr>
          <w:p w14:paraId="3DC169A1" w14:textId="77777777" w:rsidR="00387142" w:rsidRPr="008B6A75" w:rsidRDefault="00387142" w:rsidP="00387142">
            <w:pPr>
              <w:jc w:val="center"/>
              <w:rPr>
                <w:sz w:val="20"/>
                <w:szCs w:val="20"/>
              </w:rPr>
            </w:pPr>
            <w:r w:rsidRPr="008B6A75">
              <w:rPr>
                <w:sz w:val="20"/>
                <w:szCs w:val="20"/>
              </w:rPr>
              <w:t>32.0.00.71100</w:t>
            </w:r>
          </w:p>
        </w:tc>
        <w:tc>
          <w:tcPr>
            <w:tcW w:w="850" w:type="dxa"/>
            <w:tcBorders>
              <w:top w:val="nil"/>
              <w:left w:val="single" w:sz="4" w:space="0" w:color="auto"/>
              <w:bottom w:val="single" w:sz="4" w:space="0" w:color="auto"/>
              <w:right w:val="nil"/>
            </w:tcBorders>
            <w:shd w:val="clear" w:color="auto" w:fill="auto"/>
            <w:noWrap/>
            <w:vAlign w:val="center"/>
            <w:hideMark/>
          </w:tcPr>
          <w:p w14:paraId="3FFE21F3" w14:textId="77777777" w:rsidR="00387142" w:rsidRPr="008B6A75" w:rsidRDefault="00387142" w:rsidP="00387142">
            <w:pPr>
              <w:jc w:val="center"/>
              <w:rPr>
                <w:sz w:val="20"/>
                <w:szCs w:val="20"/>
              </w:rPr>
            </w:pPr>
            <w:r w:rsidRPr="008B6A75">
              <w:rPr>
                <w:sz w:val="20"/>
                <w:szCs w:val="20"/>
              </w:rPr>
              <w:t>520</w:t>
            </w:r>
          </w:p>
        </w:tc>
        <w:tc>
          <w:tcPr>
            <w:tcW w:w="567" w:type="dxa"/>
            <w:tcBorders>
              <w:top w:val="nil"/>
              <w:left w:val="single" w:sz="4" w:space="0" w:color="auto"/>
              <w:bottom w:val="single" w:sz="4" w:space="0" w:color="auto"/>
              <w:right w:val="nil"/>
            </w:tcBorders>
            <w:shd w:val="clear" w:color="auto" w:fill="auto"/>
            <w:noWrap/>
            <w:vAlign w:val="center"/>
            <w:hideMark/>
          </w:tcPr>
          <w:p w14:paraId="136946AA" w14:textId="77777777" w:rsidR="00387142" w:rsidRPr="008B6A75" w:rsidRDefault="00387142" w:rsidP="00387142">
            <w:pPr>
              <w:jc w:val="center"/>
              <w:rPr>
                <w:sz w:val="20"/>
                <w:szCs w:val="20"/>
              </w:rPr>
            </w:pPr>
            <w:r w:rsidRPr="008B6A75">
              <w:rPr>
                <w:sz w:val="20"/>
                <w:szCs w:val="20"/>
              </w:rPr>
              <w:t>04</w:t>
            </w:r>
          </w:p>
        </w:tc>
        <w:tc>
          <w:tcPr>
            <w:tcW w:w="567" w:type="dxa"/>
            <w:tcBorders>
              <w:top w:val="nil"/>
              <w:left w:val="single" w:sz="4" w:space="0" w:color="auto"/>
              <w:bottom w:val="single" w:sz="4" w:space="0" w:color="auto"/>
              <w:right w:val="nil"/>
            </w:tcBorders>
            <w:shd w:val="clear" w:color="auto" w:fill="auto"/>
            <w:noWrap/>
            <w:vAlign w:val="center"/>
            <w:hideMark/>
          </w:tcPr>
          <w:p w14:paraId="48C8A400" w14:textId="77777777" w:rsidR="00387142" w:rsidRPr="008B6A75" w:rsidRDefault="00387142" w:rsidP="00387142">
            <w:pPr>
              <w:jc w:val="center"/>
              <w:rPr>
                <w:sz w:val="20"/>
                <w:szCs w:val="20"/>
              </w:rPr>
            </w:pPr>
            <w:r w:rsidRPr="008B6A75">
              <w:rPr>
                <w:sz w:val="20"/>
                <w:szCs w:val="20"/>
              </w:rPr>
              <w:t>08</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4486F56" w14:textId="77777777" w:rsidR="00387142" w:rsidRPr="008B6A75" w:rsidRDefault="00387142" w:rsidP="00387142">
            <w:pPr>
              <w:jc w:val="right"/>
              <w:rPr>
                <w:sz w:val="20"/>
                <w:szCs w:val="20"/>
              </w:rPr>
            </w:pPr>
            <w:r w:rsidRPr="008B6A75">
              <w:rPr>
                <w:sz w:val="20"/>
                <w:szCs w:val="20"/>
              </w:rPr>
              <w:t>15 208 707,00</w:t>
            </w:r>
          </w:p>
        </w:tc>
        <w:tc>
          <w:tcPr>
            <w:tcW w:w="851" w:type="dxa"/>
            <w:tcBorders>
              <w:top w:val="nil"/>
              <w:left w:val="single" w:sz="4" w:space="0" w:color="auto"/>
              <w:bottom w:val="single" w:sz="4" w:space="0" w:color="auto"/>
              <w:right w:val="nil"/>
            </w:tcBorders>
            <w:shd w:val="clear" w:color="auto" w:fill="auto"/>
            <w:noWrap/>
            <w:vAlign w:val="center"/>
            <w:hideMark/>
          </w:tcPr>
          <w:p w14:paraId="79E42030" w14:textId="77777777" w:rsidR="00387142" w:rsidRPr="008B6A75" w:rsidRDefault="00387142" w:rsidP="00387142">
            <w:pPr>
              <w:jc w:val="right"/>
              <w:rPr>
                <w:sz w:val="20"/>
                <w:szCs w:val="20"/>
              </w:rPr>
            </w:pPr>
            <w:r w:rsidRPr="008B6A75">
              <w:rPr>
                <w:sz w:val="20"/>
                <w:szCs w:val="20"/>
              </w:rPr>
              <w:t>15 208 707,00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3FB3CB7F" w14:textId="77777777" w:rsidR="00387142" w:rsidRPr="008B6A75" w:rsidRDefault="00387142" w:rsidP="00387142">
            <w:pPr>
              <w:jc w:val="right"/>
              <w:rPr>
                <w:sz w:val="20"/>
                <w:szCs w:val="20"/>
              </w:rPr>
            </w:pPr>
            <w:r w:rsidRPr="008B6A75">
              <w:rPr>
                <w:sz w:val="20"/>
                <w:szCs w:val="20"/>
              </w:rPr>
              <w:t>0,00</w:t>
            </w:r>
          </w:p>
        </w:tc>
      </w:tr>
      <w:tr w:rsidR="00387142" w:rsidRPr="008B6A75" w14:paraId="5781E8FD" w14:textId="77777777" w:rsidTr="00387142">
        <w:trPr>
          <w:trHeight w:val="2865"/>
        </w:trPr>
        <w:tc>
          <w:tcPr>
            <w:tcW w:w="272" w:type="dxa"/>
            <w:tcBorders>
              <w:top w:val="nil"/>
              <w:left w:val="nil"/>
              <w:bottom w:val="nil"/>
              <w:right w:val="single" w:sz="4" w:space="0" w:color="auto"/>
            </w:tcBorders>
            <w:shd w:val="clear" w:color="auto" w:fill="auto"/>
            <w:noWrap/>
            <w:vAlign w:val="bottom"/>
            <w:hideMark/>
          </w:tcPr>
          <w:p w14:paraId="669B2F79"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6A792D11" w14:textId="77777777" w:rsidR="00387142" w:rsidRPr="008B6A75" w:rsidRDefault="00387142" w:rsidP="00387142">
            <w:pPr>
              <w:rPr>
                <w:bCs/>
                <w:sz w:val="20"/>
                <w:szCs w:val="20"/>
              </w:rPr>
            </w:pPr>
            <w:proofErr w:type="spellStart"/>
            <w:r w:rsidRPr="008B6A75">
              <w:rPr>
                <w:bCs/>
                <w:sz w:val="20"/>
                <w:szCs w:val="20"/>
              </w:rPr>
              <w:t>Софинансирование</w:t>
            </w:r>
            <w:proofErr w:type="spellEnd"/>
            <w:r w:rsidRPr="008B6A75">
              <w:rPr>
                <w:bCs/>
                <w:sz w:val="20"/>
                <w:szCs w:val="20"/>
              </w:rPr>
              <w:t xml:space="preserve"> местного </w:t>
            </w:r>
            <w:proofErr w:type="spellStart"/>
            <w:r w:rsidRPr="008B6A75">
              <w:rPr>
                <w:bCs/>
                <w:sz w:val="20"/>
                <w:szCs w:val="20"/>
              </w:rPr>
              <w:t>бюджетна</w:t>
            </w:r>
            <w:proofErr w:type="spellEnd"/>
            <w:r w:rsidRPr="008B6A75">
              <w:rPr>
                <w:bCs/>
                <w:sz w:val="20"/>
                <w:szCs w:val="20"/>
              </w:rPr>
              <w:t xml:space="preserve"> на приобретение (обновление) транспортных средств автомобильного и наземного электрического общественного пассажирского транспорта государственной программы Новосибирской области "Обеспечение доступности услуг общественного пассажирского транспорта, в том числе Новосибирского метрополитена, для населения Новосибирской области"</w:t>
            </w:r>
          </w:p>
        </w:tc>
        <w:tc>
          <w:tcPr>
            <w:tcW w:w="1559" w:type="dxa"/>
            <w:tcBorders>
              <w:top w:val="nil"/>
              <w:left w:val="single" w:sz="4" w:space="0" w:color="auto"/>
              <w:bottom w:val="single" w:sz="4" w:space="0" w:color="auto"/>
              <w:right w:val="nil"/>
            </w:tcBorders>
            <w:shd w:val="clear" w:color="auto" w:fill="auto"/>
            <w:noWrap/>
            <w:vAlign w:val="center"/>
            <w:hideMark/>
          </w:tcPr>
          <w:p w14:paraId="45C2C589" w14:textId="77777777" w:rsidR="00387142" w:rsidRPr="008B6A75" w:rsidRDefault="00387142" w:rsidP="00387142">
            <w:pPr>
              <w:jc w:val="center"/>
              <w:rPr>
                <w:bCs/>
                <w:sz w:val="20"/>
                <w:szCs w:val="20"/>
              </w:rPr>
            </w:pPr>
            <w:r w:rsidRPr="008B6A75">
              <w:rPr>
                <w:bCs/>
                <w:sz w:val="20"/>
                <w:szCs w:val="20"/>
              </w:rPr>
              <w:t>32.0.00.S0170</w:t>
            </w:r>
          </w:p>
        </w:tc>
        <w:tc>
          <w:tcPr>
            <w:tcW w:w="850" w:type="dxa"/>
            <w:tcBorders>
              <w:top w:val="nil"/>
              <w:left w:val="single" w:sz="4" w:space="0" w:color="auto"/>
              <w:bottom w:val="single" w:sz="4" w:space="0" w:color="auto"/>
              <w:right w:val="nil"/>
            </w:tcBorders>
            <w:shd w:val="clear" w:color="auto" w:fill="auto"/>
            <w:noWrap/>
            <w:vAlign w:val="center"/>
            <w:hideMark/>
          </w:tcPr>
          <w:p w14:paraId="5C20E2DF" w14:textId="77777777" w:rsidR="00387142" w:rsidRPr="008B6A75" w:rsidRDefault="00387142" w:rsidP="00387142">
            <w:pPr>
              <w:jc w:val="center"/>
              <w:rPr>
                <w:bCs/>
                <w:sz w:val="20"/>
                <w:szCs w:val="20"/>
              </w:rPr>
            </w:pPr>
            <w:r w:rsidRPr="008B6A75">
              <w:rPr>
                <w:bCs/>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74AC7780" w14:textId="77777777" w:rsidR="00387142" w:rsidRPr="008B6A75" w:rsidRDefault="00387142" w:rsidP="00387142">
            <w:pPr>
              <w:jc w:val="center"/>
              <w:rPr>
                <w:bCs/>
                <w:sz w:val="20"/>
                <w:szCs w:val="20"/>
              </w:rPr>
            </w:pPr>
            <w:r w:rsidRPr="008B6A75">
              <w:rPr>
                <w:bCs/>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17715852" w14:textId="77777777" w:rsidR="00387142" w:rsidRPr="008B6A75" w:rsidRDefault="00387142" w:rsidP="00387142">
            <w:pPr>
              <w:jc w:val="center"/>
              <w:rPr>
                <w:bCs/>
                <w:sz w:val="20"/>
                <w:szCs w:val="20"/>
              </w:rPr>
            </w:pPr>
            <w:r w:rsidRPr="008B6A75">
              <w:rPr>
                <w:bCs/>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2560E23" w14:textId="77777777" w:rsidR="00387142" w:rsidRPr="008B6A75" w:rsidRDefault="00387142" w:rsidP="00387142">
            <w:pPr>
              <w:jc w:val="right"/>
              <w:rPr>
                <w:bCs/>
                <w:sz w:val="20"/>
                <w:szCs w:val="20"/>
              </w:rPr>
            </w:pPr>
            <w:r w:rsidRPr="008B6A75">
              <w:rPr>
                <w:bCs/>
                <w:sz w:val="20"/>
                <w:szCs w:val="20"/>
              </w:rPr>
              <w:t>1 168 600,00</w:t>
            </w:r>
          </w:p>
        </w:tc>
        <w:tc>
          <w:tcPr>
            <w:tcW w:w="851" w:type="dxa"/>
            <w:tcBorders>
              <w:top w:val="nil"/>
              <w:left w:val="single" w:sz="4" w:space="0" w:color="auto"/>
              <w:bottom w:val="single" w:sz="4" w:space="0" w:color="auto"/>
              <w:right w:val="nil"/>
            </w:tcBorders>
            <w:shd w:val="clear" w:color="auto" w:fill="auto"/>
            <w:noWrap/>
            <w:vAlign w:val="center"/>
            <w:hideMark/>
          </w:tcPr>
          <w:p w14:paraId="6A695870" w14:textId="77777777" w:rsidR="00387142" w:rsidRPr="008B6A75" w:rsidRDefault="00387142" w:rsidP="00387142">
            <w:pPr>
              <w:jc w:val="right"/>
              <w:rPr>
                <w:bCs/>
                <w:sz w:val="20"/>
                <w:szCs w:val="20"/>
              </w:rPr>
            </w:pPr>
            <w:r w:rsidRPr="008B6A75">
              <w:rPr>
                <w:bCs/>
                <w:sz w:val="20"/>
                <w:szCs w:val="20"/>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6672A71D" w14:textId="77777777" w:rsidR="00387142" w:rsidRPr="008B6A75" w:rsidRDefault="00387142" w:rsidP="00387142">
            <w:pPr>
              <w:jc w:val="right"/>
              <w:rPr>
                <w:bCs/>
                <w:sz w:val="20"/>
                <w:szCs w:val="20"/>
              </w:rPr>
            </w:pPr>
            <w:r w:rsidRPr="008B6A75">
              <w:rPr>
                <w:bCs/>
                <w:sz w:val="20"/>
                <w:szCs w:val="20"/>
              </w:rPr>
              <w:t>0,00</w:t>
            </w:r>
          </w:p>
        </w:tc>
      </w:tr>
      <w:tr w:rsidR="00387142" w:rsidRPr="008B6A75" w14:paraId="6A8B011F" w14:textId="77777777" w:rsidTr="00387142">
        <w:trPr>
          <w:trHeight w:val="585"/>
        </w:trPr>
        <w:tc>
          <w:tcPr>
            <w:tcW w:w="272" w:type="dxa"/>
            <w:tcBorders>
              <w:top w:val="nil"/>
              <w:left w:val="nil"/>
              <w:bottom w:val="nil"/>
              <w:right w:val="single" w:sz="4" w:space="0" w:color="auto"/>
            </w:tcBorders>
            <w:shd w:val="clear" w:color="auto" w:fill="auto"/>
            <w:noWrap/>
            <w:vAlign w:val="bottom"/>
            <w:hideMark/>
          </w:tcPr>
          <w:p w14:paraId="2DD40981"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3A7D5A4D" w14:textId="77777777" w:rsidR="00387142" w:rsidRPr="008B6A75" w:rsidRDefault="00387142" w:rsidP="00387142">
            <w:pPr>
              <w:rPr>
                <w:sz w:val="20"/>
                <w:szCs w:val="20"/>
              </w:rPr>
            </w:pPr>
            <w:r w:rsidRPr="008B6A75">
              <w:rPr>
                <w:sz w:val="20"/>
                <w:szCs w:val="20"/>
              </w:rPr>
              <w:t>Закупка товаров, работ и услуг для обеспечения государственных (муниципальных) нужд</w:t>
            </w:r>
          </w:p>
        </w:tc>
        <w:tc>
          <w:tcPr>
            <w:tcW w:w="1559" w:type="dxa"/>
            <w:tcBorders>
              <w:top w:val="nil"/>
              <w:left w:val="single" w:sz="4" w:space="0" w:color="auto"/>
              <w:bottom w:val="single" w:sz="4" w:space="0" w:color="auto"/>
              <w:right w:val="nil"/>
            </w:tcBorders>
            <w:shd w:val="clear" w:color="auto" w:fill="auto"/>
            <w:noWrap/>
            <w:vAlign w:val="center"/>
            <w:hideMark/>
          </w:tcPr>
          <w:p w14:paraId="75FE1DE7" w14:textId="77777777" w:rsidR="00387142" w:rsidRPr="008B6A75" w:rsidRDefault="00387142" w:rsidP="00387142">
            <w:pPr>
              <w:jc w:val="center"/>
              <w:rPr>
                <w:sz w:val="20"/>
                <w:szCs w:val="20"/>
              </w:rPr>
            </w:pPr>
            <w:r w:rsidRPr="008B6A75">
              <w:rPr>
                <w:sz w:val="20"/>
                <w:szCs w:val="20"/>
              </w:rPr>
              <w:t>32.0.00.S0170</w:t>
            </w:r>
          </w:p>
        </w:tc>
        <w:tc>
          <w:tcPr>
            <w:tcW w:w="850" w:type="dxa"/>
            <w:tcBorders>
              <w:top w:val="nil"/>
              <w:left w:val="single" w:sz="4" w:space="0" w:color="auto"/>
              <w:bottom w:val="single" w:sz="4" w:space="0" w:color="auto"/>
              <w:right w:val="nil"/>
            </w:tcBorders>
            <w:shd w:val="clear" w:color="auto" w:fill="auto"/>
            <w:noWrap/>
            <w:vAlign w:val="center"/>
            <w:hideMark/>
          </w:tcPr>
          <w:p w14:paraId="30CE1045" w14:textId="77777777" w:rsidR="00387142" w:rsidRPr="008B6A75" w:rsidRDefault="00387142" w:rsidP="00387142">
            <w:pPr>
              <w:jc w:val="center"/>
              <w:rPr>
                <w:sz w:val="20"/>
                <w:szCs w:val="20"/>
              </w:rPr>
            </w:pPr>
            <w:r w:rsidRPr="008B6A75">
              <w:rPr>
                <w:sz w:val="20"/>
                <w:szCs w:val="20"/>
              </w:rPr>
              <w:t>200</w:t>
            </w:r>
          </w:p>
        </w:tc>
        <w:tc>
          <w:tcPr>
            <w:tcW w:w="567" w:type="dxa"/>
            <w:tcBorders>
              <w:top w:val="nil"/>
              <w:left w:val="single" w:sz="4" w:space="0" w:color="auto"/>
              <w:bottom w:val="single" w:sz="4" w:space="0" w:color="auto"/>
              <w:right w:val="nil"/>
            </w:tcBorders>
            <w:shd w:val="clear" w:color="auto" w:fill="auto"/>
            <w:noWrap/>
            <w:vAlign w:val="center"/>
            <w:hideMark/>
          </w:tcPr>
          <w:p w14:paraId="6C52E987" w14:textId="77777777" w:rsidR="00387142" w:rsidRPr="008B6A75" w:rsidRDefault="00387142" w:rsidP="00387142">
            <w:pPr>
              <w:jc w:val="center"/>
              <w:rPr>
                <w:sz w:val="20"/>
                <w:szCs w:val="20"/>
              </w:rPr>
            </w:pPr>
            <w:r w:rsidRPr="008B6A75">
              <w:rPr>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43D5BE4E" w14:textId="77777777" w:rsidR="00387142" w:rsidRPr="008B6A75" w:rsidRDefault="00387142" w:rsidP="00387142">
            <w:pPr>
              <w:jc w:val="center"/>
              <w:rPr>
                <w:sz w:val="20"/>
                <w:szCs w:val="20"/>
              </w:rPr>
            </w:pPr>
            <w:r w:rsidRPr="008B6A75">
              <w:rPr>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9F27D4A" w14:textId="77777777" w:rsidR="00387142" w:rsidRPr="008B6A75" w:rsidRDefault="00387142" w:rsidP="00387142">
            <w:pPr>
              <w:jc w:val="right"/>
              <w:rPr>
                <w:sz w:val="20"/>
                <w:szCs w:val="20"/>
              </w:rPr>
            </w:pPr>
            <w:r w:rsidRPr="008B6A75">
              <w:rPr>
                <w:sz w:val="20"/>
                <w:szCs w:val="20"/>
              </w:rPr>
              <w:t>1 168 600,00</w:t>
            </w:r>
          </w:p>
        </w:tc>
        <w:tc>
          <w:tcPr>
            <w:tcW w:w="851" w:type="dxa"/>
            <w:tcBorders>
              <w:top w:val="nil"/>
              <w:left w:val="single" w:sz="4" w:space="0" w:color="auto"/>
              <w:bottom w:val="single" w:sz="4" w:space="0" w:color="auto"/>
              <w:right w:val="nil"/>
            </w:tcBorders>
            <w:shd w:val="clear" w:color="auto" w:fill="auto"/>
            <w:noWrap/>
            <w:vAlign w:val="center"/>
            <w:hideMark/>
          </w:tcPr>
          <w:p w14:paraId="66BD809C" w14:textId="77777777" w:rsidR="00387142" w:rsidRPr="008B6A75" w:rsidRDefault="00387142" w:rsidP="00387142">
            <w:pPr>
              <w:jc w:val="right"/>
              <w:rPr>
                <w:sz w:val="20"/>
                <w:szCs w:val="20"/>
              </w:rPr>
            </w:pPr>
            <w:r w:rsidRPr="008B6A75">
              <w:rPr>
                <w:sz w:val="20"/>
                <w:szCs w:val="20"/>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0EFBBCE9" w14:textId="77777777" w:rsidR="00387142" w:rsidRPr="008B6A75" w:rsidRDefault="00387142" w:rsidP="00387142">
            <w:pPr>
              <w:jc w:val="right"/>
              <w:rPr>
                <w:sz w:val="20"/>
                <w:szCs w:val="20"/>
              </w:rPr>
            </w:pPr>
            <w:r w:rsidRPr="008B6A75">
              <w:rPr>
                <w:sz w:val="20"/>
                <w:szCs w:val="20"/>
              </w:rPr>
              <w:t>0,00</w:t>
            </w:r>
          </w:p>
        </w:tc>
      </w:tr>
      <w:tr w:rsidR="00387142" w:rsidRPr="008B6A75" w14:paraId="19DA3B2F" w14:textId="77777777" w:rsidTr="00387142">
        <w:trPr>
          <w:trHeight w:val="870"/>
        </w:trPr>
        <w:tc>
          <w:tcPr>
            <w:tcW w:w="272" w:type="dxa"/>
            <w:tcBorders>
              <w:top w:val="nil"/>
              <w:left w:val="nil"/>
              <w:bottom w:val="nil"/>
              <w:right w:val="single" w:sz="4" w:space="0" w:color="auto"/>
            </w:tcBorders>
            <w:shd w:val="clear" w:color="auto" w:fill="auto"/>
            <w:noWrap/>
            <w:vAlign w:val="bottom"/>
            <w:hideMark/>
          </w:tcPr>
          <w:p w14:paraId="71B6F13A"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12513EA6" w14:textId="77777777" w:rsidR="00387142" w:rsidRPr="008B6A75" w:rsidRDefault="00387142" w:rsidP="00387142">
            <w:pPr>
              <w:rPr>
                <w:sz w:val="20"/>
                <w:szCs w:val="20"/>
              </w:rPr>
            </w:pPr>
            <w:r w:rsidRPr="008B6A75">
              <w:rPr>
                <w:sz w:val="20"/>
                <w:szCs w:val="20"/>
              </w:rPr>
              <w:t>Иные закупки товаров, работ и услуг для обеспечения государственных (муниципальных) нужд</w:t>
            </w:r>
          </w:p>
        </w:tc>
        <w:tc>
          <w:tcPr>
            <w:tcW w:w="1559" w:type="dxa"/>
            <w:tcBorders>
              <w:top w:val="nil"/>
              <w:left w:val="single" w:sz="4" w:space="0" w:color="auto"/>
              <w:bottom w:val="single" w:sz="4" w:space="0" w:color="auto"/>
              <w:right w:val="nil"/>
            </w:tcBorders>
            <w:shd w:val="clear" w:color="auto" w:fill="auto"/>
            <w:noWrap/>
            <w:vAlign w:val="center"/>
            <w:hideMark/>
          </w:tcPr>
          <w:p w14:paraId="51DD3474" w14:textId="77777777" w:rsidR="00387142" w:rsidRPr="008B6A75" w:rsidRDefault="00387142" w:rsidP="00387142">
            <w:pPr>
              <w:jc w:val="center"/>
              <w:rPr>
                <w:sz w:val="20"/>
                <w:szCs w:val="20"/>
              </w:rPr>
            </w:pPr>
            <w:r w:rsidRPr="008B6A75">
              <w:rPr>
                <w:sz w:val="20"/>
                <w:szCs w:val="20"/>
              </w:rPr>
              <w:t>32.0.00.S0170</w:t>
            </w:r>
          </w:p>
        </w:tc>
        <w:tc>
          <w:tcPr>
            <w:tcW w:w="850" w:type="dxa"/>
            <w:tcBorders>
              <w:top w:val="nil"/>
              <w:left w:val="single" w:sz="4" w:space="0" w:color="auto"/>
              <w:bottom w:val="single" w:sz="4" w:space="0" w:color="auto"/>
              <w:right w:val="nil"/>
            </w:tcBorders>
            <w:shd w:val="clear" w:color="auto" w:fill="auto"/>
            <w:noWrap/>
            <w:vAlign w:val="center"/>
            <w:hideMark/>
          </w:tcPr>
          <w:p w14:paraId="2E32314A" w14:textId="77777777" w:rsidR="00387142" w:rsidRPr="008B6A75" w:rsidRDefault="00387142" w:rsidP="00387142">
            <w:pPr>
              <w:jc w:val="center"/>
              <w:rPr>
                <w:sz w:val="20"/>
                <w:szCs w:val="20"/>
              </w:rPr>
            </w:pPr>
            <w:r w:rsidRPr="008B6A75">
              <w:rPr>
                <w:sz w:val="20"/>
                <w:szCs w:val="20"/>
              </w:rPr>
              <w:t>240</w:t>
            </w:r>
          </w:p>
        </w:tc>
        <w:tc>
          <w:tcPr>
            <w:tcW w:w="567" w:type="dxa"/>
            <w:tcBorders>
              <w:top w:val="nil"/>
              <w:left w:val="single" w:sz="4" w:space="0" w:color="auto"/>
              <w:bottom w:val="single" w:sz="4" w:space="0" w:color="auto"/>
              <w:right w:val="nil"/>
            </w:tcBorders>
            <w:shd w:val="clear" w:color="auto" w:fill="auto"/>
            <w:noWrap/>
            <w:vAlign w:val="center"/>
            <w:hideMark/>
          </w:tcPr>
          <w:p w14:paraId="5699B3FB" w14:textId="77777777" w:rsidR="00387142" w:rsidRPr="008B6A75" w:rsidRDefault="00387142" w:rsidP="00387142">
            <w:pPr>
              <w:jc w:val="center"/>
              <w:rPr>
                <w:sz w:val="20"/>
                <w:szCs w:val="20"/>
              </w:rPr>
            </w:pPr>
            <w:r w:rsidRPr="008B6A75">
              <w:rPr>
                <w:sz w:val="20"/>
                <w:szCs w:val="20"/>
              </w:rPr>
              <w:t>04</w:t>
            </w:r>
          </w:p>
        </w:tc>
        <w:tc>
          <w:tcPr>
            <w:tcW w:w="567" w:type="dxa"/>
            <w:tcBorders>
              <w:top w:val="nil"/>
              <w:left w:val="single" w:sz="4" w:space="0" w:color="auto"/>
              <w:bottom w:val="single" w:sz="4" w:space="0" w:color="auto"/>
              <w:right w:val="nil"/>
            </w:tcBorders>
            <w:shd w:val="clear" w:color="auto" w:fill="auto"/>
            <w:noWrap/>
            <w:vAlign w:val="center"/>
            <w:hideMark/>
          </w:tcPr>
          <w:p w14:paraId="619A84B1" w14:textId="77777777" w:rsidR="00387142" w:rsidRPr="008B6A75" w:rsidRDefault="00387142" w:rsidP="00387142">
            <w:pPr>
              <w:jc w:val="center"/>
              <w:rPr>
                <w:sz w:val="20"/>
                <w:szCs w:val="20"/>
              </w:rPr>
            </w:pPr>
            <w:r w:rsidRPr="008B6A75">
              <w:rPr>
                <w:sz w:val="20"/>
                <w:szCs w:val="20"/>
              </w:rPr>
              <w:t>08</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FE15257" w14:textId="77777777" w:rsidR="00387142" w:rsidRPr="008B6A75" w:rsidRDefault="00387142" w:rsidP="00387142">
            <w:pPr>
              <w:jc w:val="right"/>
              <w:rPr>
                <w:sz w:val="20"/>
                <w:szCs w:val="20"/>
              </w:rPr>
            </w:pPr>
            <w:r w:rsidRPr="008B6A75">
              <w:rPr>
                <w:sz w:val="20"/>
                <w:szCs w:val="20"/>
              </w:rPr>
              <w:t>1 168 600,00</w:t>
            </w:r>
          </w:p>
        </w:tc>
        <w:tc>
          <w:tcPr>
            <w:tcW w:w="851" w:type="dxa"/>
            <w:tcBorders>
              <w:top w:val="nil"/>
              <w:left w:val="single" w:sz="4" w:space="0" w:color="auto"/>
              <w:bottom w:val="single" w:sz="4" w:space="0" w:color="auto"/>
              <w:right w:val="nil"/>
            </w:tcBorders>
            <w:shd w:val="clear" w:color="auto" w:fill="auto"/>
            <w:noWrap/>
            <w:vAlign w:val="center"/>
            <w:hideMark/>
          </w:tcPr>
          <w:p w14:paraId="0220BDDC" w14:textId="77777777" w:rsidR="00387142" w:rsidRPr="008B6A75" w:rsidRDefault="00387142" w:rsidP="00387142">
            <w:pPr>
              <w:jc w:val="right"/>
              <w:rPr>
                <w:sz w:val="20"/>
                <w:szCs w:val="20"/>
              </w:rPr>
            </w:pPr>
            <w:r w:rsidRPr="008B6A75">
              <w:rPr>
                <w:sz w:val="20"/>
                <w:szCs w:val="20"/>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3D2043EA" w14:textId="77777777" w:rsidR="00387142" w:rsidRPr="008B6A75" w:rsidRDefault="00387142" w:rsidP="00387142">
            <w:pPr>
              <w:jc w:val="right"/>
              <w:rPr>
                <w:sz w:val="20"/>
                <w:szCs w:val="20"/>
              </w:rPr>
            </w:pPr>
            <w:r w:rsidRPr="008B6A75">
              <w:rPr>
                <w:sz w:val="20"/>
                <w:szCs w:val="20"/>
              </w:rPr>
              <w:t>0,00</w:t>
            </w:r>
          </w:p>
        </w:tc>
      </w:tr>
      <w:tr w:rsidR="00387142" w:rsidRPr="008B6A75" w14:paraId="3B3DA340" w14:textId="77777777" w:rsidTr="00387142">
        <w:trPr>
          <w:trHeight w:val="300"/>
        </w:trPr>
        <w:tc>
          <w:tcPr>
            <w:tcW w:w="272" w:type="dxa"/>
            <w:tcBorders>
              <w:top w:val="nil"/>
              <w:left w:val="nil"/>
              <w:bottom w:val="nil"/>
              <w:right w:val="single" w:sz="4" w:space="0" w:color="auto"/>
            </w:tcBorders>
            <w:shd w:val="clear" w:color="auto" w:fill="auto"/>
            <w:noWrap/>
            <w:vAlign w:val="bottom"/>
            <w:hideMark/>
          </w:tcPr>
          <w:p w14:paraId="641D3604"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4FAE1D48" w14:textId="77777777" w:rsidR="00387142" w:rsidRPr="008B6A75" w:rsidRDefault="00387142" w:rsidP="00387142">
            <w:pPr>
              <w:rPr>
                <w:bCs/>
                <w:sz w:val="20"/>
                <w:szCs w:val="20"/>
              </w:rPr>
            </w:pPr>
            <w:r w:rsidRPr="008B6A75">
              <w:rPr>
                <w:bCs/>
                <w:sz w:val="20"/>
                <w:szCs w:val="20"/>
              </w:rPr>
              <w:t>Непрограммные направления бюджета</w:t>
            </w:r>
          </w:p>
        </w:tc>
        <w:tc>
          <w:tcPr>
            <w:tcW w:w="1559" w:type="dxa"/>
            <w:tcBorders>
              <w:top w:val="nil"/>
              <w:left w:val="single" w:sz="4" w:space="0" w:color="auto"/>
              <w:bottom w:val="single" w:sz="4" w:space="0" w:color="auto"/>
              <w:right w:val="nil"/>
            </w:tcBorders>
            <w:shd w:val="clear" w:color="auto" w:fill="auto"/>
            <w:noWrap/>
            <w:vAlign w:val="center"/>
            <w:hideMark/>
          </w:tcPr>
          <w:p w14:paraId="65A62739" w14:textId="77777777" w:rsidR="00387142" w:rsidRPr="008B6A75" w:rsidRDefault="00387142" w:rsidP="00387142">
            <w:pPr>
              <w:jc w:val="center"/>
              <w:rPr>
                <w:bCs/>
                <w:sz w:val="20"/>
                <w:szCs w:val="20"/>
              </w:rPr>
            </w:pPr>
            <w:r w:rsidRPr="008B6A75">
              <w:rPr>
                <w:bCs/>
                <w:sz w:val="20"/>
                <w:szCs w:val="20"/>
              </w:rPr>
              <w:t>99.0.00.00000</w:t>
            </w:r>
          </w:p>
        </w:tc>
        <w:tc>
          <w:tcPr>
            <w:tcW w:w="850" w:type="dxa"/>
            <w:tcBorders>
              <w:top w:val="nil"/>
              <w:left w:val="single" w:sz="4" w:space="0" w:color="auto"/>
              <w:bottom w:val="single" w:sz="4" w:space="0" w:color="auto"/>
              <w:right w:val="nil"/>
            </w:tcBorders>
            <w:shd w:val="clear" w:color="auto" w:fill="auto"/>
            <w:noWrap/>
            <w:vAlign w:val="center"/>
            <w:hideMark/>
          </w:tcPr>
          <w:p w14:paraId="323BAE45" w14:textId="77777777" w:rsidR="00387142" w:rsidRPr="008B6A75" w:rsidRDefault="00387142" w:rsidP="00387142">
            <w:pPr>
              <w:jc w:val="center"/>
              <w:rPr>
                <w:bCs/>
                <w:sz w:val="20"/>
                <w:szCs w:val="20"/>
              </w:rPr>
            </w:pPr>
            <w:r w:rsidRPr="008B6A75">
              <w:rPr>
                <w:bCs/>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36994A82" w14:textId="77777777" w:rsidR="00387142" w:rsidRPr="008B6A75" w:rsidRDefault="00387142" w:rsidP="00387142">
            <w:pPr>
              <w:jc w:val="center"/>
              <w:rPr>
                <w:bCs/>
                <w:sz w:val="20"/>
                <w:szCs w:val="20"/>
              </w:rPr>
            </w:pPr>
            <w:r w:rsidRPr="008B6A75">
              <w:rPr>
                <w:bCs/>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31CC34F8" w14:textId="77777777" w:rsidR="00387142" w:rsidRPr="008B6A75" w:rsidRDefault="00387142" w:rsidP="00387142">
            <w:pPr>
              <w:jc w:val="center"/>
              <w:rPr>
                <w:bCs/>
                <w:sz w:val="20"/>
                <w:szCs w:val="20"/>
              </w:rPr>
            </w:pPr>
            <w:r w:rsidRPr="008B6A75">
              <w:rPr>
                <w:bCs/>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218DC79" w14:textId="77777777" w:rsidR="00387142" w:rsidRPr="008B6A75" w:rsidRDefault="00387142" w:rsidP="00387142">
            <w:pPr>
              <w:jc w:val="right"/>
              <w:rPr>
                <w:bCs/>
                <w:sz w:val="20"/>
                <w:szCs w:val="20"/>
              </w:rPr>
            </w:pPr>
            <w:r w:rsidRPr="008B6A75">
              <w:rPr>
                <w:bCs/>
                <w:sz w:val="20"/>
                <w:szCs w:val="20"/>
              </w:rPr>
              <w:t>680 908 902,68</w:t>
            </w:r>
          </w:p>
        </w:tc>
        <w:tc>
          <w:tcPr>
            <w:tcW w:w="851" w:type="dxa"/>
            <w:tcBorders>
              <w:top w:val="nil"/>
              <w:left w:val="single" w:sz="4" w:space="0" w:color="auto"/>
              <w:bottom w:val="single" w:sz="4" w:space="0" w:color="auto"/>
              <w:right w:val="nil"/>
            </w:tcBorders>
            <w:shd w:val="clear" w:color="auto" w:fill="auto"/>
            <w:noWrap/>
            <w:vAlign w:val="center"/>
            <w:hideMark/>
          </w:tcPr>
          <w:p w14:paraId="0ECEC149" w14:textId="77777777" w:rsidR="00387142" w:rsidRPr="008B6A75" w:rsidRDefault="00387142" w:rsidP="00387142">
            <w:pPr>
              <w:jc w:val="right"/>
              <w:rPr>
                <w:bCs/>
                <w:sz w:val="20"/>
                <w:szCs w:val="20"/>
              </w:rPr>
            </w:pPr>
            <w:r w:rsidRPr="008B6A75">
              <w:rPr>
                <w:bCs/>
                <w:sz w:val="20"/>
                <w:szCs w:val="20"/>
              </w:rPr>
              <w:t>412 324 992,79</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2CD9D142" w14:textId="77777777" w:rsidR="00387142" w:rsidRPr="008B6A75" w:rsidRDefault="00387142" w:rsidP="00387142">
            <w:pPr>
              <w:jc w:val="right"/>
              <w:rPr>
                <w:bCs/>
                <w:sz w:val="20"/>
                <w:szCs w:val="20"/>
              </w:rPr>
            </w:pPr>
            <w:r w:rsidRPr="008B6A75">
              <w:rPr>
                <w:bCs/>
                <w:sz w:val="20"/>
                <w:szCs w:val="20"/>
              </w:rPr>
              <w:t>347 487 243,06</w:t>
            </w:r>
          </w:p>
        </w:tc>
      </w:tr>
      <w:tr w:rsidR="00387142" w:rsidRPr="008B6A75" w14:paraId="1EB525C1" w14:textId="77777777" w:rsidTr="00387142">
        <w:trPr>
          <w:trHeight w:val="585"/>
        </w:trPr>
        <w:tc>
          <w:tcPr>
            <w:tcW w:w="272" w:type="dxa"/>
            <w:tcBorders>
              <w:top w:val="nil"/>
              <w:left w:val="nil"/>
              <w:bottom w:val="nil"/>
              <w:right w:val="single" w:sz="4" w:space="0" w:color="auto"/>
            </w:tcBorders>
            <w:shd w:val="clear" w:color="auto" w:fill="auto"/>
            <w:noWrap/>
            <w:vAlign w:val="bottom"/>
            <w:hideMark/>
          </w:tcPr>
          <w:p w14:paraId="46AC92A9"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65833103" w14:textId="77777777" w:rsidR="00387142" w:rsidRPr="008B6A75" w:rsidRDefault="00387142" w:rsidP="00387142">
            <w:pPr>
              <w:rPr>
                <w:bCs/>
                <w:sz w:val="20"/>
                <w:szCs w:val="20"/>
              </w:rPr>
            </w:pPr>
            <w:r w:rsidRPr="008B6A75">
              <w:rPr>
                <w:bCs/>
                <w:sz w:val="20"/>
                <w:szCs w:val="20"/>
              </w:rPr>
              <w:t>Высшее должностное лицо органа местного самоуправления</w:t>
            </w:r>
          </w:p>
        </w:tc>
        <w:tc>
          <w:tcPr>
            <w:tcW w:w="1559" w:type="dxa"/>
            <w:tcBorders>
              <w:top w:val="nil"/>
              <w:left w:val="single" w:sz="4" w:space="0" w:color="auto"/>
              <w:bottom w:val="single" w:sz="4" w:space="0" w:color="auto"/>
              <w:right w:val="nil"/>
            </w:tcBorders>
            <w:shd w:val="clear" w:color="auto" w:fill="auto"/>
            <w:noWrap/>
            <w:vAlign w:val="center"/>
            <w:hideMark/>
          </w:tcPr>
          <w:p w14:paraId="74FC3533" w14:textId="77777777" w:rsidR="00387142" w:rsidRPr="008B6A75" w:rsidRDefault="00387142" w:rsidP="00387142">
            <w:pPr>
              <w:jc w:val="center"/>
              <w:rPr>
                <w:bCs/>
                <w:sz w:val="20"/>
                <w:szCs w:val="20"/>
              </w:rPr>
            </w:pPr>
            <w:r w:rsidRPr="008B6A75">
              <w:rPr>
                <w:bCs/>
                <w:sz w:val="20"/>
                <w:szCs w:val="20"/>
              </w:rPr>
              <w:t>99.0.00.01100</w:t>
            </w:r>
          </w:p>
        </w:tc>
        <w:tc>
          <w:tcPr>
            <w:tcW w:w="850" w:type="dxa"/>
            <w:tcBorders>
              <w:top w:val="nil"/>
              <w:left w:val="single" w:sz="4" w:space="0" w:color="auto"/>
              <w:bottom w:val="single" w:sz="4" w:space="0" w:color="auto"/>
              <w:right w:val="nil"/>
            </w:tcBorders>
            <w:shd w:val="clear" w:color="auto" w:fill="auto"/>
            <w:noWrap/>
            <w:vAlign w:val="center"/>
            <w:hideMark/>
          </w:tcPr>
          <w:p w14:paraId="0A91E210" w14:textId="77777777" w:rsidR="00387142" w:rsidRPr="008B6A75" w:rsidRDefault="00387142" w:rsidP="00387142">
            <w:pPr>
              <w:jc w:val="center"/>
              <w:rPr>
                <w:bCs/>
                <w:sz w:val="20"/>
                <w:szCs w:val="20"/>
              </w:rPr>
            </w:pPr>
            <w:r w:rsidRPr="008B6A75">
              <w:rPr>
                <w:bCs/>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199A2F18" w14:textId="77777777" w:rsidR="00387142" w:rsidRPr="008B6A75" w:rsidRDefault="00387142" w:rsidP="00387142">
            <w:pPr>
              <w:jc w:val="center"/>
              <w:rPr>
                <w:bCs/>
                <w:sz w:val="20"/>
                <w:szCs w:val="20"/>
              </w:rPr>
            </w:pPr>
            <w:r w:rsidRPr="008B6A75">
              <w:rPr>
                <w:bCs/>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4B0D76CC" w14:textId="77777777" w:rsidR="00387142" w:rsidRPr="008B6A75" w:rsidRDefault="00387142" w:rsidP="00387142">
            <w:pPr>
              <w:jc w:val="center"/>
              <w:rPr>
                <w:bCs/>
                <w:sz w:val="20"/>
                <w:szCs w:val="20"/>
              </w:rPr>
            </w:pPr>
            <w:r w:rsidRPr="008B6A75">
              <w:rPr>
                <w:bCs/>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E934A19" w14:textId="77777777" w:rsidR="00387142" w:rsidRPr="008B6A75" w:rsidRDefault="00387142" w:rsidP="00387142">
            <w:pPr>
              <w:jc w:val="right"/>
              <w:rPr>
                <w:bCs/>
                <w:sz w:val="20"/>
                <w:szCs w:val="20"/>
              </w:rPr>
            </w:pPr>
            <w:r w:rsidRPr="008B6A75">
              <w:rPr>
                <w:bCs/>
                <w:sz w:val="20"/>
                <w:szCs w:val="20"/>
              </w:rPr>
              <w:t>2 602 591,20</w:t>
            </w:r>
          </w:p>
        </w:tc>
        <w:tc>
          <w:tcPr>
            <w:tcW w:w="851" w:type="dxa"/>
            <w:tcBorders>
              <w:top w:val="nil"/>
              <w:left w:val="single" w:sz="4" w:space="0" w:color="auto"/>
              <w:bottom w:val="single" w:sz="4" w:space="0" w:color="auto"/>
              <w:right w:val="nil"/>
            </w:tcBorders>
            <w:shd w:val="clear" w:color="auto" w:fill="auto"/>
            <w:noWrap/>
            <w:vAlign w:val="center"/>
            <w:hideMark/>
          </w:tcPr>
          <w:p w14:paraId="538E80B1" w14:textId="77777777" w:rsidR="00387142" w:rsidRPr="008B6A75" w:rsidRDefault="00387142" w:rsidP="00387142">
            <w:pPr>
              <w:jc w:val="right"/>
              <w:rPr>
                <w:bCs/>
                <w:sz w:val="20"/>
                <w:szCs w:val="20"/>
              </w:rPr>
            </w:pPr>
            <w:r w:rsidRPr="008B6A75">
              <w:rPr>
                <w:bCs/>
                <w:sz w:val="20"/>
                <w:szCs w:val="20"/>
              </w:rPr>
              <w:t>2 389 500,00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1CEBD773" w14:textId="77777777" w:rsidR="00387142" w:rsidRPr="008B6A75" w:rsidRDefault="00387142" w:rsidP="00387142">
            <w:pPr>
              <w:jc w:val="right"/>
              <w:rPr>
                <w:bCs/>
                <w:sz w:val="20"/>
                <w:szCs w:val="20"/>
              </w:rPr>
            </w:pPr>
            <w:r w:rsidRPr="008B6A75">
              <w:rPr>
                <w:bCs/>
                <w:sz w:val="20"/>
                <w:szCs w:val="20"/>
              </w:rPr>
              <w:t>2 389 500,00</w:t>
            </w:r>
          </w:p>
        </w:tc>
      </w:tr>
      <w:tr w:rsidR="00387142" w:rsidRPr="008B6A75" w14:paraId="4C45C82F" w14:textId="77777777" w:rsidTr="00387142">
        <w:trPr>
          <w:trHeight w:val="1440"/>
        </w:trPr>
        <w:tc>
          <w:tcPr>
            <w:tcW w:w="272" w:type="dxa"/>
            <w:tcBorders>
              <w:top w:val="nil"/>
              <w:left w:val="nil"/>
              <w:bottom w:val="nil"/>
              <w:right w:val="single" w:sz="4" w:space="0" w:color="auto"/>
            </w:tcBorders>
            <w:shd w:val="clear" w:color="auto" w:fill="auto"/>
            <w:noWrap/>
            <w:vAlign w:val="bottom"/>
            <w:hideMark/>
          </w:tcPr>
          <w:p w14:paraId="267621D3"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1CFC64C9" w14:textId="77777777" w:rsidR="00387142" w:rsidRPr="008B6A75" w:rsidRDefault="00387142" w:rsidP="00387142">
            <w:pPr>
              <w:rPr>
                <w:sz w:val="20"/>
                <w:szCs w:val="20"/>
              </w:rPr>
            </w:pPr>
            <w:r w:rsidRPr="008B6A7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single" w:sz="4" w:space="0" w:color="auto"/>
              <w:bottom w:val="single" w:sz="4" w:space="0" w:color="auto"/>
              <w:right w:val="nil"/>
            </w:tcBorders>
            <w:shd w:val="clear" w:color="auto" w:fill="auto"/>
            <w:noWrap/>
            <w:vAlign w:val="center"/>
            <w:hideMark/>
          </w:tcPr>
          <w:p w14:paraId="19B3314A" w14:textId="77777777" w:rsidR="00387142" w:rsidRPr="008B6A75" w:rsidRDefault="00387142" w:rsidP="00387142">
            <w:pPr>
              <w:jc w:val="center"/>
              <w:rPr>
                <w:sz w:val="20"/>
                <w:szCs w:val="20"/>
              </w:rPr>
            </w:pPr>
            <w:r w:rsidRPr="008B6A75">
              <w:rPr>
                <w:sz w:val="20"/>
                <w:szCs w:val="20"/>
              </w:rPr>
              <w:t>99.0.00.01100</w:t>
            </w:r>
          </w:p>
        </w:tc>
        <w:tc>
          <w:tcPr>
            <w:tcW w:w="850" w:type="dxa"/>
            <w:tcBorders>
              <w:top w:val="nil"/>
              <w:left w:val="single" w:sz="4" w:space="0" w:color="auto"/>
              <w:bottom w:val="single" w:sz="4" w:space="0" w:color="auto"/>
              <w:right w:val="nil"/>
            </w:tcBorders>
            <w:shd w:val="clear" w:color="auto" w:fill="auto"/>
            <w:noWrap/>
            <w:vAlign w:val="center"/>
            <w:hideMark/>
          </w:tcPr>
          <w:p w14:paraId="0A769530" w14:textId="77777777" w:rsidR="00387142" w:rsidRPr="008B6A75" w:rsidRDefault="00387142" w:rsidP="00387142">
            <w:pPr>
              <w:jc w:val="center"/>
              <w:rPr>
                <w:sz w:val="20"/>
                <w:szCs w:val="20"/>
              </w:rPr>
            </w:pPr>
            <w:r w:rsidRPr="008B6A75">
              <w:rPr>
                <w:sz w:val="20"/>
                <w:szCs w:val="20"/>
              </w:rPr>
              <w:t>100</w:t>
            </w:r>
          </w:p>
        </w:tc>
        <w:tc>
          <w:tcPr>
            <w:tcW w:w="567" w:type="dxa"/>
            <w:tcBorders>
              <w:top w:val="nil"/>
              <w:left w:val="single" w:sz="4" w:space="0" w:color="auto"/>
              <w:bottom w:val="single" w:sz="4" w:space="0" w:color="auto"/>
              <w:right w:val="nil"/>
            </w:tcBorders>
            <w:shd w:val="clear" w:color="auto" w:fill="auto"/>
            <w:noWrap/>
            <w:vAlign w:val="center"/>
            <w:hideMark/>
          </w:tcPr>
          <w:p w14:paraId="024619D9" w14:textId="77777777" w:rsidR="00387142" w:rsidRPr="008B6A75" w:rsidRDefault="00387142" w:rsidP="00387142">
            <w:pPr>
              <w:jc w:val="center"/>
              <w:rPr>
                <w:sz w:val="20"/>
                <w:szCs w:val="20"/>
              </w:rPr>
            </w:pPr>
            <w:r w:rsidRPr="008B6A75">
              <w:rPr>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565A5147" w14:textId="77777777" w:rsidR="00387142" w:rsidRPr="008B6A75" w:rsidRDefault="00387142" w:rsidP="00387142">
            <w:pPr>
              <w:jc w:val="center"/>
              <w:rPr>
                <w:sz w:val="20"/>
                <w:szCs w:val="20"/>
              </w:rPr>
            </w:pPr>
            <w:r w:rsidRPr="008B6A75">
              <w:rPr>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1ECFA84" w14:textId="77777777" w:rsidR="00387142" w:rsidRPr="008B6A75" w:rsidRDefault="00387142" w:rsidP="00387142">
            <w:pPr>
              <w:jc w:val="right"/>
              <w:rPr>
                <w:sz w:val="20"/>
                <w:szCs w:val="20"/>
              </w:rPr>
            </w:pPr>
            <w:r w:rsidRPr="008B6A75">
              <w:rPr>
                <w:sz w:val="20"/>
                <w:szCs w:val="20"/>
              </w:rPr>
              <w:t>2 602 591,20</w:t>
            </w:r>
          </w:p>
        </w:tc>
        <w:tc>
          <w:tcPr>
            <w:tcW w:w="851" w:type="dxa"/>
            <w:tcBorders>
              <w:top w:val="nil"/>
              <w:left w:val="single" w:sz="4" w:space="0" w:color="auto"/>
              <w:bottom w:val="single" w:sz="4" w:space="0" w:color="auto"/>
              <w:right w:val="nil"/>
            </w:tcBorders>
            <w:shd w:val="clear" w:color="auto" w:fill="auto"/>
            <w:noWrap/>
            <w:vAlign w:val="center"/>
            <w:hideMark/>
          </w:tcPr>
          <w:p w14:paraId="5B53961C" w14:textId="77777777" w:rsidR="00387142" w:rsidRPr="008B6A75" w:rsidRDefault="00387142" w:rsidP="00387142">
            <w:pPr>
              <w:jc w:val="right"/>
              <w:rPr>
                <w:sz w:val="20"/>
                <w:szCs w:val="20"/>
              </w:rPr>
            </w:pPr>
            <w:r w:rsidRPr="008B6A75">
              <w:rPr>
                <w:sz w:val="20"/>
                <w:szCs w:val="20"/>
              </w:rPr>
              <w:t>2 389 500,00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30B28930" w14:textId="77777777" w:rsidR="00387142" w:rsidRPr="008B6A75" w:rsidRDefault="00387142" w:rsidP="00387142">
            <w:pPr>
              <w:jc w:val="right"/>
              <w:rPr>
                <w:sz w:val="20"/>
                <w:szCs w:val="20"/>
              </w:rPr>
            </w:pPr>
            <w:r w:rsidRPr="008B6A75">
              <w:rPr>
                <w:sz w:val="20"/>
                <w:szCs w:val="20"/>
              </w:rPr>
              <w:t>2 389 500,00</w:t>
            </w:r>
          </w:p>
        </w:tc>
      </w:tr>
      <w:tr w:rsidR="00387142" w:rsidRPr="008B6A75" w14:paraId="13DDD334" w14:textId="77777777" w:rsidTr="00387142">
        <w:trPr>
          <w:trHeight w:val="585"/>
        </w:trPr>
        <w:tc>
          <w:tcPr>
            <w:tcW w:w="272" w:type="dxa"/>
            <w:tcBorders>
              <w:top w:val="nil"/>
              <w:left w:val="nil"/>
              <w:bottom w:val="nil"/>
              <w:right w:val="single" w:sz="4" w:space="0" w:color="auto"/>
            </w:tcBorders>
            <w:shd w:val="clear" w:color="auto" w:fill="auto"/>
            <w:noWrap/>
            <w:vAlign w:val="bottom"/>
            <w:hideMark/>
          </w:tcPr>
          <w:p w14:paraId="2C1D936F"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05ADD36F" w14:textId="77777777" w:rsidR="00387142" w:rsidRPr="008B6A75" w:rsidRDefault="00387142" w:rsidP="00387142">
            <w:pPr>
              <w:rPr>
                <w:sz w:val="20"/>
                <w:szCs w:val="20"/>
              </w:rPr>
            </w:pPr>
            <w:r w:rsidRPr="008B6A75">
              <w:rPr>
                <w:sz w:val="20"/>
                <w:szCs w:val="20"/>
              </w:rPr>
              <w:t>Расходы на выплаты персоналу государственных (муниципальных) органов</w:t>
            </w:r>
          </w:p>
        </w:tc>
        <w:tc>
          <w:tcPr>
            <w:tcW w:w="1559" w:type="dxa"/>
            <w:tcBorders>
              <w:top w:val="nil"/>
              <w:left w:val="single" w:sz="4" w:space="0" w:color="auto"/>
              <w:bottom w:val="single" w:sz="4" w:space="0" w:color="auto"/>
              <w:right w:val="nil"/>
            </w:tcBorders>
            <w:shd w:val="clear" w:color="auto" w:fill="auto"/>
            <w:noWrap/>
            <w:vAlign w:val="center"/>
            <w:hideMark/>
          </w:tcPr>
          <w:p w14:paraId="7894EF16" w14:textId="77777777" w:rsidR="00387142" w:rsidRPr="008B6A75" w:rsidRDefault="00387142" w:rsidP="00387142">
            <w:pPr>
              <w:jc w:val="center"/>
              <w:rPr>
                <w:sz w:val="20"/>
                <w:szCs w:val="20"/>
              </w:rPr>
            </w:pPr>
            <w:r w:rsidRPr="008B6A75">
              <w:rPr>
                <w:sz w:val="20"/>
                <w:szCs w:val="20"/>
              </w:rPr>
              <w:t>99.0.00.01100</w:t>
            </w:r>
          </w:p>
        </w:tc>
        <w:tc>
          <w:tcPr>
            <w:tcW w:w="850" w:type="dxa"/>
            <w:tcBorders>
              <w:top w:val="nil"/>
              <w:left w:val="single" w:sz="4" w:space="0" w:color="auto"/>
              <w:bottom w:val="single" w:sz="4" w:space="0" w:color="auto"/>
              <w:right w:val="nil"/>
            </w:tcBorders>
            <w:shd w:val="clear" w:color="auto" w:fill="auto"/>
            <w:noWrap/>
            <w:vAlign w:val="center"/>
            <w:hideMark/>
          </w:tcPr>
          <w:p w14:paraId="04A50DD1" w14:textId="77777777" w:rsidR="00387142" w:rsidRPr="008B6A75" w:rsidRDefault="00387142" w:rsidP="00387142">
            <w:pPr>
              <w:jc w:val="center"/>
              <w:rPr>
                <w:sz w:val="20"/>
                <w:szCs w:val="20"/>
              </w:rPr>
            </w:pPr>
            <w:r w:rsidRPr="008B6A75">
              <w:rPr>
                <w:sz w:val="20"/>
                <w:szCs w:val="20"/>
              </w:rPr>
              <w:t>120</w:t>
            </w:r>
          </w:p>
        </w:tc>
        <w:tc>
          <w:tcPr>
            <w:tcW w:w="567" w:type="dxa"/>
            <w:tcBorders>
              <w:top w:val="nil"/>
              <w:left w:val="single" w:sz="4" w:space="0" w:color="auto"/>
              <w:bottom w:val="single" w:sz="4" w:space="0" w:color="auto"/>
              <w:right w:val="nil"/>
            </w:tcBorders>
            <w:shd w:val="clear" w:color="auto" w:fill="auto"/>
            <w:noWrap/>
            <w:vAlign w:val="center"/>
            <w:hideMark/>
          </w:tcPr>
          <w:p w14:paraId="4B0FB0EA" w14:textId="77777777" w:rsidR="00387142" w:rsidRPr="008B6A75" w:rsidRDefault="00387142" w:rsidP="00387142">
            <w:pPr>
              <w:jc w:val="center"/>
              <w:rPr>
                <w:sz w:val="20"/>
                <w:szCs w:val="20"/>
              </w:rPr>
            </w:pPr>
            <w:r w:rsidRPr="008B6A75">
              <w:rPr>
                <w:sz w:val="20"/>
                <w:szCs w:val="20"/>
              </w:rPr>
              <w:t>01</w:t>
            </w:r>
          </w:p>
        </w:tc>
        <w:tc>
          <w:tcPr>
            <w:tcW w:w="567" w:type="dxa"/>
            <w:tcBorders>
              <w:top w:val="nil"/>
              <w:left w:val="single" w:sz="4" w:space="0" w:color="auto"/>
              <w:bottom w:val="single" w:sz="4" w:space="0" w:color="auto"/>
              <w:right w:val="nil"/>
            </w:tcBorders>
            <w:shd w:val="clear" w:color="auto" w:fill="auto"/>
            <w:noWrap/>
            <w:vAlign w:val="center"/>
            <w:hideMark/>
          </w:tcPr>
          <w:p w14:paraId="3402DE5F" w14:textId="77777777" w:rsidR="00387142" w:rsidRPr="008B6A75" w:rsidRDefault="00387142" w:rsidP="00387142">
            <w:pPr>
              <w:jc w:val="center"/>
              <w:rPr>
                <w:sz w:val="20"/>
                <w:szCs w:val="20"/>
              </w:rPr>
            </w:pPr>
            <w:r w:rsidRPr="008B6A75">
              <w:rPr>
                <w:sz w:val="20"/>
                <w:szCs w:val="20"/>
              </w:rPr>
              <w:t>02</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D19A26C" w14:textId="77777777" w:rsidR="00387142" w:rsidRPr="008B6A75" w:rsidRDefault="00387142" w:rsidP="00387142">
            <w:pPr>
              <w:jc w:val="right"/>
              <w:rPr>
                <w:sz w:val="20"/>
                <w:szCs w:val="20"/>
              </w:rPr>
            </w:pPr>
            <w:r w:rsidRPr="008B6A75">
              <w:rPr>
                <w:sz w:val="20"/>
                <w:szCs w:val="20"/>
              </w:rPr>
              <w:t>2 602 591,20</w:t>
            </w:r>
          </w:p>
        </w:tc>
        <w:tc>
          <w:tcPr>
            <w:tcW w:w="851" w:type="dxa"/>
            <w:tcBorders>
              <w:top w:val="nil"/>
              <w:left w:val="single" w:sz="4" w:space="0" w:color="auto"/>
              <w:bottom w:val="single" w:sz="4" w:space="0" w:color="auto"/>
              <w:right w:val="nil"/>
            </w:tcBorders>
            <w:shd w:val="clear" w:color="auto" w:fill="auto"/>
            <w:noWrap/>
            <w:vAlign w:val="center"/>
            <w:hideMark/>
          </w:tcPr>
          <w:p w14:paraId="0B79071E" w14:textId="77777777" w:rsidR="00387142" w:rsidRPr="008B6A75" w:rsidRDefault="00387142" w:rsidP="00387142">
            <w:pPr>
              <w:jc w:val="right"/>
              <w:rPr>
                <w:sz w:val="20"/>
                <w:szCs w:val="20"/>
              </w:rPr>
            </w:pPr>
            <w:r w:rsidRPr="008B6A75">
              <w:rPr>
                <w:sz w:val="20"/>
                <w:szCs w:val="20"/>
              </w:rPr>
              <w:t>2 389 500,00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3D12C35E" w14:textId="77777777" w:rsidR="00387142" w:rsidRPr="008B6A75" w:rsidRDefault="00387142" w:rsidP="00387142">
            <w:pPr>
              <w:jc w:val="right"/>
              <w:rPr>
                <w:sz w:val="20"/>
                <w:szCs w:val="20"/>
              </w:rPr>
            </w:pPr>
            <w:r w:rsidRPr="008B6A75">
              <w:rPr>
                <w:sz w:val="20"/>
                <w:szCs w:val="20"/>
              </w:rPr>
              <w:t>2 389 500,00</w:t>
            </w:r>
          </w:p>
        </w:tc>
      </w:tr>
      <w:tr w:rsidR="00387142" w:rsidRPr="008B6A75" w14:paraId="0E32416C" w14:textId="77777777" w:rsidTr="00387142">
        <w:trPr>
          <w:trHeight w:val="585"/>
        </w:trPr>
        <w:tc>
          <w:tcPr>
            <w:tcW w:w="272" w:type="dxa"/>
            <w:tcBorders>
              <w:top w:val="nil"/>
              <w:left w:val="nil"/>
              <w:bottom w:val="nil"/>
              <w:right w:val="single" w:sz="4" w:space="0" w:color="auto"/>
            </w:tcBorders>
            <w:shd w:val="clear" w:color="auto" w:fill="auto"/>
            <w:noWrap/>
            <w:vAlign w:val="bottom"/>
            <w:hideMark/>
          </w:tcPr>
          <w:p w14:paraId="3FFC3481"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4976FEB2" w14:textId="77777777" w:rsidR="00387142" w:rsidRPr="008B6A75" w:rsidRDefault="00387142" w:rsidP="00387142">
            <w:pPr>
              <w:rPr>
                <w:bCs/>
                <w:sz w:val="20"/>
                <w:szCs w:val="20"/>
              </w:rPr>
            </w:pPr>
            <w:r w:rsidRPr="008B6A75">
              <w:rPr>
                <w:bCs/>
                <w:sz w:val="20"/>
                <w:szCs w:val="20"/>
              </w:rPr>
              <w:t>Расходы на обеспечение функций муниципальных органов</w:t>
            </w:r>
          </w:p>
        </w:tc>
        <w:tc>
          <w:tcPr>
            <w:tcW w:w="1559" w:type="dxa"/>
            <w:tcBorders>
              <w:top w:val="nil"/>
              <w:left w:val="single" w:sz="4" w:space="0" w:color="auto"/>
              <w:bottom w:val="single" w:sz="4" w:space="0" w:color="auto"/>
              <w:right w:val="nil"/>
            </w:tcBorders>
            <w:shd w:val="clear" w:color="auto" w:fill="auto"/>
            <w:noWrap/>
            <w:vAlign w:val="center"/>
            <w:hideMark/>
          </w:tcPr>
          <w:p w14:paraId="7515D797" w14:textId="77777777" w:rsidR="00387142" w:rsidRPr="008B6A75" w:rsidRDefault="00387142" w:rsidP="00387142">
            <w:pPr>
              <w:jc w:val="center"/>
              <w:rPr>
                <w:bCs/>
                <w:sz w:val="20"/>
                <w:szCs w:val="20"/>
              </w:rPr>
            </w:pPr>
            <w:r w:rsidRPr="008B6A75">
              <w:rPr>
                <w:bCs/>
                <w:sz w:val="20"/>
                <w:szCs w:val="20"/>
              </w:rPr>
              <w:t>99.0.00.01400</w:t>
            </w:r>
          </w:p>
        </w:tc>
        <w:tc>
          <w:tcPr>
            <w:tcW w:w="850" w:type="dxa"/>
            <w:tcBorders>
              <w:top w:val="nil"/>
              <w:left w:val="single" w:sz="4" w:space="0" w:color="auto"/>
              <w:bottom w:val="single" w:sz="4" w:space="0" w:color="auto"/>
              <w:right w:val="nil"/>
            </w:tcBorders>
            <w:shd w:val="clear" w:color="auto" w:fill="auto"/>
            <w:noWrap/>
            <w:vAlign w:val="center"/>
            <w:hideMark/>
          </w:tcPr>
          <w:p w14:paraId="61FCAF65" w14:textId="77777777" w:rsidR="00387142" w:rsidRPr="008B6A75" w:rsidRDefault="00387142" w:rsidP="00387142">
            <w:pPr>
              <w:jc w:val="center"/>
              <w:rPr>
                <w:bCs/>
                <w:sz w:val="20"/>
                <w:szCs w:val="20"/>
              </w:rPr>
            </w:pPr>
            <w:r w:rsidRPr="008B6A75">
              <w:rPr>
                <w:bCs/>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35E19321" w14:textId="77777777" w:rsidR="00387142" w:rsidRPr="008B6A75" w:rsidRDefault="00387142" w:rsidP="00387142">
            <w:pPr>
              <w:jc w:val="center"/>
              <w:rPr>
                <w:bCs/>
                <w:sz w:val="20"/>
                <w:szCs w:val="20"/>
              </w:rPr>
            </w:pPr>
            <w:r w:rsidRPr="008B6A75">
              <w:rPr>
                <w:bCs/>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29D61FDF" w14:textId="77777777" w:rsidR="00387142" w:rsidRPr="008B6A75" w:rsidRDefault="00387142" w:rsidP="00387142">
            <w:pPr>
              <w:jc w:val="center"/>
              <w:rPr>
                <w:bCs/>
                <w:sz w:val="20"/>
                <w:szCs w:val="20"/>
              </w:rPr>
            </w:pPr>
            <w:r w:rsidRPr="008B6A75">
              <w:rPr>
                <w:bCs/>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6918169" w14:textId="77777777" w:rsidR="00387142" w:rsidRPr="008B6A75" w:rsidRDefault="00387142" w:rsidP="00387142">
            <w:pPr>
              <w:jc w:val="right"/>
              <w:rPr>
                <w:bCs/>
                <w:sz w:val="20"/>
                <w:szCs w:val="20"/>
              </w:rPr>
            </w:pPr>
            <w:r w:rsidRPr="008B6A75">
              <w:rPr>
                <w:bCs/>
                <w:sz w:val="20"/>
                <w:szCs w:val="20"/>
              </w:rPr>
              <w:t>71 700 677,70</w:t>
            </w:r>
          </w:p>
        </w:tc>
        <w:tc>
          <w:tcPr>
            <w:tcW w:w="851" w:type="dxa"/>
            <w:tcBorders>
              <w:top w:val="nil"/>
              <w:left w:val="single" w:sz="4" w:space="0" w:color="auto"/>
              <w:bottom w:val="single" w:sz="4" w:space="0" w:color="auto"/>
              <w:right w:val="nil"/>
            </w:tcBorders>
            <w:shd w:val="clear" w:color="auto" w:fill="auto"/>
            <w:noWrap/>
            <w:vAlign w:val="center"/>
            <w:hideMark/>
          </w:tcPr>
          <w:p w14:paraId="671E52FD" w14:textId="77777777" w:rsidR="00387142" w:rsidRPr="008B6A75" w:rsidRDefault="00387142" w:rsidP="00387142">
            <w:pPr>
              <w:jc w:val="right"/>
              <w:rPr>
                <w:bCs/>
                <w:sz w:val="20"/>
                <w:szCs w:val="20"/>
              </w:rPr>
            </w:pPr>
            <w:r w:rsidRPr="008B6A75">
              <w:rPr>
                <w:bCs/>
                <w:sz w:val="20"/>
                <w:szCs w:val="20"/>
              </w:rPr>
              <w:t>41 523 979,18</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11629672" w14:textId="77777777" w:rsidR="00387142" w:rsidRPr="008B6A75" w:rsidRDefault="00387142" w:rsidP="00387142">
            <w:pPr>
              <w:jc w:val="right"/>
              <w:rPr>
                <w:bCs/>
                <w:sz w:val="20"/>
                <w:szCs w:val="20"/>
              </w:rPr>
            </w:pPr>
            <w:r w:rsidRPr="008B6A75">
              <w:rPr>
                <w:bCs/>
                <w:sz w:val="20"/>
                <w:szCs w:val="20"/>
              </w:rPr>
              <w:t>25 815 540,98</w:t>
            </w:r>
          </w:p>
        </w:tc>
      </w:tr>
      <w:tr w:rsidR="00387142" w:rsidRPr="008B6A75" w14:paraId="495D290F" w14:textId="77777777" w:rsidTr="00387142">
        <w:trPr>
          <w:trHeight w:val="1440"/>
        </w:trPr>
        <w:tc>
          <w:tcPr>
            <w:tcW w:w="272" w:type="dxa"/>
            <w:tcBorders>
              <w:top w:val="nil"/>
              <w:left w:val="nil"/>
              <w:bottom w:val="nil"/>
              <w:right w:val="single" w:sz="4" w:space="0" w:color="auto"/>
            </w:tcBorders>
            <w:shd w:val="clear" w:color="auto" w:fill="auto"/>
            <w:noWrap/>
            <w:vAlign w:val="bottom"/>
            <w:hideMark/>
          </w:tcPr>
          <w:p w14:paraId="390493F1" w14:textId="77777777" w:rsidR="00387142" w:rsidRPr="008B6A75" w:rsidRDefault="00387142" w:rsidP="00387142">
            <w:pPr>
              <w:rPr>
                <w:sz w:val="20"/>
                <w:szCs w:val="20"/>
              </w:rPr>
            </w:pPr>
            <w:r w:rsidRPr="008B6A75">
              <w:rPr>
                <w:sz w:val="20"/>
                <w:szCs w:val="20"/>
              </w:rPr>
              <w:lastRenderedPageBreak/>
              <w:t> </w:t>
            </w:r>
          </w:p>
        </w:tc>
        <w:tc>
          <w:tcPr>
            <w:tcW w:w="3415" w:type="dxa"/>
            <w:tcBorders>
              <w:top w:val="nil"/>
              <w:left w:val="single" w:sz="4" w:space="0" w:color="auto"/>
              <w:bottom w:val="single" w:sz="4" w:space="0" w:color="auto"/>
              <w:right w:val="nil"/>
            </w:tcBorders>
            <w:shd w:val="clear" w:color="auto" w:fill="auto"/>
            <w:vAlign w:val="center"/>
            <w:hideMark/>
          </w:tcPr>
          <w:p w14:paraId="7FAC57DE" w14:textId="77777777" w:rsidR="00387142" w:rsidRPr="008B6A75" w:rsidRDefault="00387142" w:rsidP="00387142">
            <w:pPr>
              <w:rPr>
                <w:sz w:val="20"/>
                <w:szCs w:val="20"/>
              </w:rPr>
            </w:pPr>
            <w:r w:rsidRPr="008B6A7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single" w:sz="4" w:space="0" w:color="auto"/>
              <w:bottom w:val="single" w:sz="4" w:space="0" w:color="auto"/>
              <w:right w:val="nil"/>
            </w:tcBorders>
            <w:shd w:val="clear" w:color="auto" w:fill="auto"/>
            <w:noWrap/>
            <w:vAlign w:val="center"/>
            <w:hideMark/>
          </w:tcPr>
          <w:p w14:paraId="11B3DF41" w14:textId="77777777" w:rsidR="00387142" w:rsidRPr="008B6A75" w:rsidRDefault="00387142" w:rsidP="00387142">
            <w:pPr>
              <w:jc w:val="center"/>
              <w:rPr>
                <w:sz w:val="20"/>
                <w:szCs w:val="20"/>
              </w:rPr>
            </w:pPr>
            <w:r w:rsidRPr="008B6A75">
              <w:rPr>
                <w:sz w:val="20"/>
                <w:szCs w:val="20"/>
              </w:rPr>
              <w:t>99.0.00.01400</w:t>
            </w:r>
          </w:p>
        </w:tc>
        <w:tc>
          <w:tcPr>
            <w:tcW w:w="850" w:type="dxa"/>
            <w:tcBorders>
              <w:top w:val="nil"/>
              <w:left w:val="single" w:sz="4" w:space="0" w:color="auto"/>
              <w:bottom w:val="single" w:sz="4" w:space="0" w:color="auto"/>
              <w:right w:val="nil"/>
            </w:tcBorders>
            <w:shd w:val="clear" w:color="auto" w:fill="auto"/>
            <w:noWrap/>
            <w:vAlign w:val="center"/>
            <w:hideMark/>
          </w:tcPr>
          <w:p w14:paraId="3C8880FA" w14:textId="77777777" w:rsidR="00387142" w:rsidRPr="008B6A75" w:rsidRDefault="00387142" w:rsidP="00387142">
            <w:pPr>
              <w:jc w:val="center"/>
              <w:rPr>
                <w:sz w:val="20"/>
                <w:szCs w:val="20"/>
              </w:rPr>
            </w:pPr>
            <w:r w:rsidRPr="008B6A75">
              <w:rPr>
                <w:sz w:val="20"/>
                <w:szCs w:val="20"/>
              </w:rPr>
              <w:t>100</w:t>
            </w:r>
          </w:p>
        </w:tc>
        <w:tc>
          <w:tcPr>
            <w:tcW w:w="567" w:type="dxa"/>
            <w:tcBorders>
              <w:top w:val="nil"/>
              <w:left w:val="single" w:sz="4" w:space="0" w:color="auto"/>
              <w:bottom w:val="single" w:sz="4" w:space="0" w:color="auto"/>
              <w:right w:val="nil"/>
            </w:tcBorders>
            <w:shd w:val="clear" w:color="auto" w:fill="auto"/>
            <w:noWrap/>
            <w:vAlign w:val="center"/>
            <w:hideMark/>
          </w:tcPr>
          <w:p w14:paraId="5BC8D1C8" w14:textId="77777777" w:rsidR="00387142" w:rsidRPr="008B6A75" w:rsidRDefault="00387142" w:rsidP="00387142">
            <w:pPr>
              <w:jc w:val="center"/>
              <w:rPr>
                <w:sz w:val="20"/>
                <w:szCs w:val="20"/>
              </w:rPr>
            </w:pPr>
            <w:r w:rsidRPr="008B6A75">
              <w:rPr>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4224D320" w14:textId="77777777" w:rsidR="00387142" w:rsidRPr="008B6A75" w:rsidRDefault="00387142" w:rsidP="00387142">
            <w:pPr>
              <w:jc w:val="center"/>
              <w:rPr>
                <w:sz w:val="20"/>
                <w:szCs w:val="20"/>
              </w:rPr>
            </w:pPr>
            <w:r w:rsidRPr="008B6A75">
              <w:rPr>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9C45AEE" w14:textId="77777777" w:rsidR="00387142" w:rsidRPr="008B6A75" w:rsidRDefault="00387142" w:rsidP="00387142">
            <w:pPr>
              <w:jc w:val="right"/>
              <w:rPr>
                <w:sz w:val="20"/>
                <w:szCs w:val="20"/>
              </w:rPr>
            </w:pPr>
            <w:r w:rsidRPr="008B6A75">
              <w:rPr>
                <w:sz w:val="20"/>
                <w:szCs w:val="20"/>
              </w:rPr>
              <w:t>59 307 308,40</w:t>
            </w:r>
          </w:p>
        </w:tc>
        <w:tc>
          <w:tcPr>
            <w:tcW w:w="851" w:type="dxa"/>
            <w:tcBorders>
              <w:top w:val="nil"/>
              <w:left w:val="single" w:sz="4" w:space="0" w:color="auto"/>
              <w:bottom w:val="single" w:sz="4" w:space="0" w:color="auto"/>
              <w:right w:val="nil"/>
            </w:tcBorders>
            <w:shd w:val="clear" w:color="auto" w:fill="auto"/>
            <w:noWrap/>
            <w:vAlign w:val="center"/>
            <w:hideMark/>
          </w:tcPr>
          <w:p w14:paraId="1CE109F2" w14:textId="77777777" w:rsidR="00387142" w:rsidRPr="008B6A75" w:rsidRDefault="00387142" w:rsidP="00387142">
            <w:pPr>
              <w:jc w:val="right"/>
              <w:rPr>
                <w:sz w:val="20"/>
                <w:szCs w:val="20"/>
              </w:rPr>
            </w:pPr>
            <w:r w:rsidRPr="008B6A75">
              <w:rPr>
                <w:sz w:val="20"/>
                <w:szCs w:val="20"/>
              </w:rPr>
              <w:t>38 570 979,18</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00474636" w14:textId="77777777" w:rsidR="00387142" w:rsidRPr="008B6A75" w:rsidRDefault="00387142" w:rsidP="00387142">
            <w:pPr>
              <w:jc w:val="right"/>
              <w:rPr>
                <w:sz w:val="20"/>
                <w:szCs w:val="20"/>
              </w:rPr>
            </w:pPr>
            <w:r w:rsidRPr="008B6A75">
              <w:rPr>
                <w:sz w:val="20"/>
                <w:szCs w:val="20"/>
              </w:rPr>
              <w:t>24 562 540,98</w:t>
            </w:r>
          </w:p>
        </w:tc>
      </w:tr>
      <w:tr w:rsidR="00387142" w:rsidRPr="008B6A75" w14:paraId="5C9E437B" w14:textId="77777777" w:rsidTr="00387142">
        <w:trPr>
          <w:trHeight w:val="585"/>
        </w:trPr>
        <w:tc>
          <w:tcPr>
            <w:tcW w:w="272" w:type="dxa"/>
            <w:tcBorders>
              <w:top w:val="nil"/>
              <w:left w:val="nil"/>
              <w:bottom w:val="nil"/>
              <w:right w:val="single" w:sz="4" w:space="0" w:color="auto"/>
            </w:tcBorders>
            <w:shd w:val="clear" w:color="auto" w:fill="auto"/>
            <w:noWrap/>
            <w:vAlign w:val="bottom"/>
            <w:hideMark/>
          </w:tcPr>
          <w:p w14:paraId="15FCFB12"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2538A281" w14:textId="77777777" w:rsidR="00387142" w:rsidRPr="008B6A75" w:rsidRDefault="00387142" w:rsidP="00387142">
            <w:pPr>
              <w:rPr>
                <w:sz w:val="20"/>
                <w:szCs w:val="20"/>
              </w:rPr>
            </w:pPr>
            <w:r w:rsidRPr="008B6A75">
              <w:rPr>
                <w:sz w:val="20"/>
                <w:szCs w:val="20"/>
              </w:rPr>
              <w:t>Расходы на выплаты персоналу государственных (муниципальных) органов</w:t>
            </w:r>
          </w:p>
        </w:tc>
        <w:tc>
          <w:tcPr>
            <w:tcW w:w="1559" w:type="dxa"/>
            <w:tcBorders>
              <w:top w:val="nil"/>
              <w:left w:val="single" w:sz="4" w:space="0" w:color="auto"/>
              <w:bottom w:val="single" w:sz="4" w:space="0" w:color="auto"/>
              <w:right w:val="nil"/>
            </w:tcBorders>
            <w:shd w:val="clear" w:color="auto" w:fill="auto"/>
            <w:noWrap/>
            <w:vAlign w:val="center"/>
            <w:hideMark/>
          </w:tcPr>
          <w:p w14:paraId="08BEF4DA" w14:textId="77777777" w:rsidR="00387142" w:rsidRPr="008B6A75" w:rsidRDefault="00387142" w:rsidP="00387142">
            <w:pPr>
              <w:jc w:val="center"/>
              <w:rPr>
                <w:sz w:val="20"/>
                <w:szCs w:val="20"/>
              </w:rPr>
            </w:pPr>
            <w:r w:rsidRPr="008B6A75">
              <w:rPr>
                <w:sz w:val="20"/>
                <w:szCs w:val="20"/>
              </w:rPr>
              <w:t>99.0.00.01400</w:t>
            </w:r>
          </w:p>
        </w:tc>
        <w:tc>
          <w:tcPr>
            <w:tcW w:w="850" w:type="dxa"/>
            <w:tcBorders>
              <w:top w:val="nil"/>
              <w:left w:val="single" w:sz="4" w:space="0" w:color="auto"/>
              <w:bottom w:val="single" w:sz="4" w:space="0" w:color="auto"/>
              <w:right w:val="nil"/>
            </w:tcBorders>
            <w:shd w:val="clear" w:color="auto" w:fill="auto"/>
            <w:noWrap/>
            <w:vAlign w:val="center"/>
            <w:hideMark/>
          </w:tcPr>
          <w:p w14:paraId="20C3F556" w14:textId="77777777" w:rsidR="00387142" w:rsidRPr="008B6A75" w:rsidRDefault="00387142" w:rsidP="00387142">
            <w:pPr>
              <w:jc w:val="center"/>
              <w:rPr>
                <w:sz w:val="20"/>
                <w:szCs w:val="20"/>
              </w:rPr>
            </w:pPr>
            <w:r w:rsidRPr="008B6A75">
              <w:rPr>
                <w:sz w:val="20"/>
                <w:szCs w:val="20"/>
              </w:rPr>
              <w:t>120</w:t>
            </w:r>
          </w:p>
        </w:tc>
        <w:tc>
          <w:tcPr>
            <w:tcW w:w="567" w:type="dxa"/>
            <w:tcBorders>
              <w:top w:val="nil"/>
              <w:left w:val="single" w:sz="4" w:space="0" w:color="auto"/>
              <w:bottom w:val="single" w:sz="4" w:space="0" w:color="auto"/>
              <w:right w:val="nil"/>
            </w:tcBorders>
            <w:shd w:val="clear" w:color="auto" w:fill="auto"/>
            <w:noWrap/>
            <w:vAlign w:val="center"/>
            <w:hideMark/>
          </w:tcPr>
          <w:p w14:paraId="18A7A92E" w14:textId="77777777" w:rsidR="00387142" w:rsidRPr="008B6A75" w:rsidRDefault="00387142" w:rsidP="00387142">
            <w:pPr>
              <w:jc w:val="center"/>
              <w:rPr>
                <w:sz w:val="20"/>
                <w:szCs w:val="20"/>
              </w:rPr>
            </w:pPr>
            <w:r w:rsidRPr="008B6A75">
              <w:rPr>
                <w:sz w:val="20"/>
                <w:szCs w:val="20"/>
              </w:rPr>
              <w:t>01</w:t>
            </w:r>
          </w:p>
        </w:tc>
        <w:tc>
          <w:tcPr>
            <w:tcW w:w="567" w:type="dxa"/>
            <w:tcBorders>
              <w:top w:val="nil"/>
              <w:left w:val="single" w:sz="4" w:space="0" w:color="auto"/>
              <w:bottom w:val="single" w:sz="4" w:space="0" w:color="auto"/>
              <w:right w:val="nil"/>
            </w:tcBorders>
            <w:shd w:val="clear" w:color="auto" w:fill="auto"/>
            <w:noWrap/>
            <w:vAlign w:val="center"/>
            <w:hideMark/>
          </w:tcPr>
          <w:p w14:paraId="73120161" w14:textId="77777777" w:rsidR="00387142" w:rsidRPr="008B6A75" w:rsidRDefault="00387142" w:rsidP="00387142">
            <w:pPr>
              <w:jc w:val="center"/>
              <w:rPr>
                <w:sz w:val="20"/>
                <w:szCs w:val="20"/>
              </w:rPr>
            </w:pPr>
            <w:r w:rsidRPr="008B6A75">
              <w:rPr>
                <w:sz w:val="20"/>
                <w:szCs w:val="20"/>
              </w:rPr>
              <w:t>04</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4CBE4DF" w14:textId="77777777" w:rsidR="00387142" w:rsidRPr="008B6A75" w:rsidRDefault="00387142" w:rsidP="00387142">
            <w:pPr>
              <w:jc w:val="right"/>
              <w:rPr>
                <w:sz w:val="20"/>
                <w:szCs w:val="20"/>
              </w:rPr>
            </w:pPr>
            <w:r w:rsidRPr="008B6A75">
              <w:rPr>
                <w:sz w:val="20"/>
                <w:szCs w:val="20"/>
              </w:rPr>
              <w:t>57 134 651,79</w:t>
            </w:r>
          </w:p>
        </w:tc>
        <w:tc>
          <w:tcPr>
            <w:tcW w:w="851" w:type="dxa"/>
            <w:tcBorders>
              <w:top w:val="nil"/>
              <w:left w:val="single" w:sz="4" w:space="0" w:color="auto"/>
              <w:bottom w:val="single" w:sz="4" w:space="0" w:color="auto"/>
              <w:right w:val="nil"/>
            </w:tcBorders>
            <w:shd w:val="clear" w:color="auto" w:fill="auto"/>
            <w:noWrap/>
            <w:vAlign w:val="center"/>
            <w:hideMark/>
          </w:tcPr>
          <w:p w14:paraId="6D17F196" w14:textId="77777777" w:rsidR="00387142" w:rsidRPr="008B6A75" w:rsidRDefault="00387142" w:rsidP="00387142">
            <w:pPr>
              <w:jc w:val="right"/>
              <w:rPr>
                <w:sz w:val="20"/>
                <w:szCs w:val="20"/>
              </w:rPr>
            </w:pPr>
            <w:r w:rsidRPr="008B6A75">
              <w:rPr>
                <w:sz w:val="20"/>
                <w:szCs w:val="20"/>
              </w:rPr>
              <w:t>38 570 979,18</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4A9BF8A2" w14:textId="77777777" w:rsidR="00387142" w:rsidRPr="008B6A75" w:rsidRDefault="00387142" w:rsidP="00387142">
            <w:pPr>
              <w:jc w:val="right"/>
              <w:rPr>
                <w:sz w:val="20"/>
                <w:szCs w:val="20"/>
              </w:rPr>
            </w:pPr>
            <w:r w:rsidRPr="008B6A75">
              <w:rPr>
                <w:sz w:val="20"/>
                <w:szCs w:val="20"/>
              </w:rPr>
              <w:t>24 562 540,98</w:t>
            </w:r>
          </w:p>
        </w:tc>
      </w:tr>
      <w:tr w:rsidR="00387142" w:rsidRPr="008B6A75" w14:paraId="682DE4A0" w14:textId="77777777" w:rsidTr="00387142">
        <w:trPr>
          <w:trHeight w:val="585"/>
        </w:trPr>
        <w:tc>
          <w:tcPr>
            <w:tcW w:w="272" w:type="dxa"/>
            <w:tcBorders>
              <w:top w:val="nil"/>
              <w:left w:val="nil"/>
              <w:bottom w:val="nil"/>
              <w:right w:val="single" w:sz="4" w:space="0" w:color="auto"/>
            </w:tcBorders>
            <w:shd w:val="clear" w:color="auto" w:fill="auto"/>
            <w:noWrap/>
            <w:vAlign w:val="bottom"/>
            <w:hideMark/>
          </w:tcPr>
          <w:p w14:paraId="3E8F9D5A"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26944D1B" w14:textId="77777777" w:rsidR="00387142" w:rsidRPr="008B6A75" w:rsidRDefault="00387142" w:rsidP="00387142">
            <w:pPr>
              <w:rPr>
                <w:sz w:val="20"/>
                <w:szCs w:val="20"/>
              </w:rPr>
            </w:pPr>
            <w:r w:rsidRPr="008B6A75">
              <w:rPr>
                <w:sz w:val="20"/>
                <w:szCs w:val="20"/>
              </w:rPr>
              <w:t>Расходы на выплаты персоналу государственных (муниципальных) органов</w:t>
            </w:r>
          </w:p>
        </w:tc>
        <w:tc>
          <w:tcPr>
            <w:tcW w:w="1559" w:type="dxa"/>
            <w:tcBorders>
              <w:top w:val="nil"/>
              <w:left w:val="single" w:sz="4" w:space="0" w:color="auto"/>
              <w:bottom w:val="single" w:sz="4" w:space="0" w:color="auto"/>
              <w:right w:val="nil"/>
            </w:tcBorders>
            <w:shd w:val="clear" w:color="auto" w:fill="auto"/>
            <w:noWrap/>
            <w:vAlign w:val="center"/>
            <w:hideMark/>
          </w:tcPr>
          <w:p w14:paraId="225EBC42" w14:textId="77777777" w:rsidR="00387142" w:rsidRPr="008B6A75" w:rsidRDefault="00387142" w:rsidP="00387142">
            <w:pPr>
              <w:jc w:val="center"/>
              <w:rPr>
                <w:sz w:val="20"/>
                <w:szCs w:val="20"/>
              </w:rPr>
            </w:pPr>
            <w:r w:rsidRPr="008B6A75">
              <w:rPr>
                <w:sz w:val="20"/>
                <w:szCs w:val="20"/>
              </w:rPr>
              <w:t>99.0.00.01400</w:t>
            </w:r>
          </w:p>
        </w:tc>
        <w:tc>
          <w:tcPr>
            <w:tcW w:w="850" w:type="dxa"/>
            <w:tcBorders>
              <w:top w:val="nil"/>
              <w:left w:val="single" w:sz="4" w:space="0" w:color="auto"/>
              <w:bottom w:val="single" w:sz="4" w:space="0" w:color="auto"/>
              <w:right w:val="nil"/>
            </w:tcBorders>
            <w:shd w:val="clear" w:color="auto" w:fill="auto"/>
            <w:noWrap/>
            <w:vAlign w:val="center"/>
            <w:hideMark/>
          </w:tcPr>
          <w:p w14:paraId="2768F357" w14:textId="77777777" w:rsidR="00387142" w:rsidRPr="008B6A75" w:rsidRDefault="00387142" w:rsidP="00387142">
            <w:pPr>
              <w:jc w:val="center"/>
              <w:rPr>
                <w:sz w:val="20"/>
                <w:szCs w:val="20"/>
              </w:rPr>
            </w:pPr>
            <w:r w:rsidRPr="008B6A75">
              <w:rPr>
                <w:sz w:val="20"/>
                <w:szCs w:val="20"/>
              </w:rPr>
              <w:t>120</w:t>
            </w:r>
          </w:p>
        </w:tc>
        <w:tc>
          <w:tcPr>
            <w:tcW w:w="567" w:type="dxa"/>
            <w:tcBorders>
              <w:top w:val="nil"/>
              <w:left w:val="single" w:sz="4" w:space="0" w:color="auto"/>
              <w:bottom w:val="single" w:sz="4" w:space="0" w:color="auto"/>
              <w:right w:val="nil"/>
            </w:tcBorders>
            <w:shd w:val="clear" w:color="auto" w:fill="auto"/>
            <w:noWrap/>
            <w:vAlign w:val="center"/>
            <w:hideMark/>
          </w:tcPr>
          <w:p w14:paraId="004C0F66" w14:textId="77777777" w:rsidR="00387142" w:rsidRPr="008B6A75" w:rsidRDefault="00387142" w:rsidP="00387142">
            <w:pPr>
              <w:jc w:val="center"/>
              <w:rPr>
                <w:sz w:val="20"/>
                <w:szCs w:val="20"/>
              </w:rPr>
            </w:pPr>
            <w:r w:rsidRPr="008B6A75">
              <w:rPr>
                <w:sz w:val="20"/>
                <w:szCs w:val="20"/>
              </w:rPr>
              <w:t>01</w:t>
            </w:r>
          </w:p>
        </w:tc>
        <w:tc>
          <w:tcPr>
            <w:tcW w:w="567" w:type="dxa"/>
            <w:tcBorders>
              <w:top w:val="nil"/>
              <w:left w:val="single" w:sz="4" w:space="0" w:color="auto"/>
              <w:bottom w:val="single" w:sz="4" w:space="0" w:color="auto"/>
              <w:right w:val="nil"/>
            </w:tcBorders>
            <w:shd w:val="clear" w:color="auto" w:fill="auto"/>
            <w:noWrap/>
            <w:vAlign w:val="center"/>
            <w:hideMark/>
          </w:tcPr>
          <w:p w14:paraId="00F777C7" w14:textId="77777777" w:rsidR="00387142" w:rsidRPr="008B6A75" w:rsidRDefault="00387142" w:rsidP="00387142">
            <w:pPr>
              <w:jc w:val="center"/>
              <w:rPr>
                <w:sz w:val="20"/>
                <w:szCs w:val="20"/>
              </w:rPr>
            </w:pPr>
            <w:r w:rsidRPr="008B6A75">
              <w:rPr>
                <w:sz w:val="20"/>
                <w:szCs w:val="20"/>
              </w:rPr>
              <w:t>06</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0BAB7DB" w14:textId="77777777" w:rsidR="00387142" w:rsidRPr="008B6A75" w:rsidRDefault="00387142" w:rsidP="00387142">
            <w:pPr>
              <w:jc w:val="right"/>
              <w:rPr>
                <w:sz w:val="20"/>
                <w:szCs w:val="20"/>
              </w:rPr>
            </w:pPr>
            <w:r w:rsidRPr="008B6A75">
              <w:rPr>
                <w:sz w:val="20"/>
                <w:szCs w:val="20"/>
              </w:rPr>
              <w:t>2 172 656,61</w:t>
            </w:r>
          </w:p>
        </w:tc>
        <w:tc>
          <w:tcPr>
            <w:tcW w:w="851" w:type="dxa"/>
            <w:tcBorders>
              <w:top w:val="nil"/>
              <w:left w:val="single" w:sz="4" w:space="0" w:color="auto"/>
              <w:bottom w:val="single" w:sz="4" w:space="0" w:color="auto"/>
              <w:right w:val="nil"/>
            </w:tcBorders>
            <w:shd w:val="clear" w:color="auto" w:fill="auto"/>
            <w:noWrap/>
            <w:vAlign w:val="center"/>
            <w:hideMark/>
          </w:tcPr>
          <w:p w14:paraId="062C1501" w14:textId="77777777" w:rsidR="00387142" w:rsidRPr="008B6A75" w:rsidRDefault="00387142" w:rsidP="00387142">
            <w:pPr>
              <w:jc w:val="right"/>
              <w:rPr>
                <w:sz w:val="20"/>
                <w:szCs w:val="20"/>
              </w:rPr>
            </w:pPr>
            <w:r w:rsidRPr="008B6A75">
              <w:rPr>
                <w:sz w:val="20"/>
                <w:szCs w:val="20"/>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642E8840" w14:textId="77777777" w:rsidR="00387142" w:rsidRPr="008B6A75" w:rsidRDefault="00387142" w:rsidP="00387142">
            <w:pPr>
              <w:jc w:val="right"/>
              <w:rPr>
                <w:sz w:val="20"/>
                <w:szCs w:val="20"/>
              </w:rPr>
            </w:pPr>
            <w:r w:rsidRPr="008B6A75">
              <w:rPr>
                <w:sz w:val="20"/>
                <w:szCs w:val="20"/>
              </w:rPr>
              <w:t>0,00</w:t>
            </w:r>
          </w:p>
        </w:tc>
      </w:tr>
      <w:tr w:rsidR="00387142" w:rsidRPr="008B6A75" w14:paraId="0B5FC52A" w14:textId="77777777" w:rsidTr="00387142">
        <w:trPr>
          <w:trHeight w:val="585"/>
        </w:trPr>
        <w:tc>
          <w:tcPr>
            <w:tcW w:w="272" w:type="dxa"/>
            <w:tcBorders>
              <w:top w:val="nil"/>
              <w:left w:val="nil"/>
              <w:bottom w:val="nil"/>
              <w:right w:val="single" w:sz="4" w:space="0" w:color="auto"/>
            </w:tcBorders>
            <w:shd w:val="clear" w:color="auto" w:fill="auto"/>
            <w:noWrap/>
            <w:vAlign w:val="bottom"/>
            <w:hideMark/>
          </w:tcPr>
          <w:p w14:paraId="43A8C51C"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3C9EAE18" w14:textId="77777777" w:rsidR="00387142" w:rsidRPr="008B6A75" w:rsidRDefault="00387142" w:rsidP="00387142">
            <w:pPr>
              <w:rPr>
                <w:sz w:val="20"/>
                <w:szCs w:val="20"/>
              </w:rPr>
            </w:pPr>
            <w:r w:rsidRPr="008B6A75">
              <w:rPr>
                <w:sz w:val="20"/>
                <w:szCs w:val="20"/>
              </w:rPr>
              <w:t>Закупка товаров, работ и услуг для обеспечения государственных (муниципальных) нужд</w:t>
            </w:r>
          </w:p>
        </w:tc>
        <w:tc>
          <w:tcPr>
            <w:tcW w:w="1559" w:type="dxa"/>
            <w:tcBorders>
              <w:top w:val="nil"/>
              <w:left w:val="single" w:sz="4" w:space="0" w:color="auto"/>
              <w:bottom w:val="single" w:sz="4" w:space="0" w:color="auto"/>
              <w:right w:val="nil"/>
            </w:tcBorders>
            <w:shd w:val="clear" w:color="auto" w:fill="auto"/>
            <w:noWrap/>
            <w:vAlign w:val="center"/>
            <w:hideMark/>
          </w:tcPr>
          <w:p w14:paraId="2E89B047" w14:textId="77777777" w:rsidR="00387142" w:rsidRPr="008B6A75" w:rsidRDefault="00387142" w:rsidP="00387142">
            <w:pPr>
              <w:jc w:val="center"/>
              <w:rPr>
                <w:sz w:val="20"/>
                <w:szCs w:val="20"/>
              </w:rPr>
            </w:pPr>
            <w:r w:rsidRPr="008B6A75">
              <w:rPr>
                <w:sz w:val="20"/>
                <w:szCs w:val="20"/>
              </w:rPr>
              <w:t>99.0.00.01400</w:t>
            </w:r>
          </w:p>
        </w:tc>
        <w:tc>
          <w:tcPr>
            <w:tcW w:w="850" w:type="dxa"/>
            <w:tcBorders>
              <w:top w:val="nil"/>
              <w:left w:val="single" w:sz="4" w:space="0" w:color="auto"/>
              <w:bottom w:val="single" w:sz="4" w:space="0" w:color="auto"/>
              <w:right w:val="nil"/>
            </w:tcBorders>
            <w:shd w:val="clear" w:color="auto" w:fill="auto"/>
            <w:noWrap/>
            <w:vAlign w:val="center"/>
            <w:hideMark/>
          </w:tcPr>
          <w:p w14:paraId="733C5A4C" w14:textId="77777777" w:rsidR="00387142" w:rsidRPr="008B6A75" w:rsidRDefault="00387142" w:rsidP="00387142">
            <w:pPr>
              <w:jc w:val="center"/>
              <w:rPr>
                <w:sz w:val="20"/>
                <w:szCs w:val="20"/>
              </w:rPr>
            </w:pPr>
            <w:r w:rsidRPr="008B6A75">
              <w:rPr>
                <w:sz w:val="20"/>
                <w:szCs w:val="20"/>
              </w:rPr>
              <w:t>200</w:t>
            </w:r>
          </w:p>
        </w:tc>
        <w:tc>
          <w:tcPr>
            <w:tcW w:w="567" w:type="dxa"/>
            <w:tcBorders>
              <w:top w:val="nil"/>
              <w:left w:val="single" w:sz="4" w:space="0" w:color="auto"/>
              <w:bottom w:val="single" w:sz="4" w:space="0" w:color="auto"/>
              <w:right w:val="nil"/>
            </w:tcBorders>
            <w:shd w:val="clear" w:color="auto" w:fill="auto"/>
            <w:noWrap/>
            <w:vAlign w:val="center"/>
            <w:hideMark/>
          </w:tcPr>
          <w:p w14:paraId="6D6112E3" w14:textId="77777777" w:rsidR="00387142" w:rsidRPr="008B6A75" w:rsidRDefault="00387142" w:rsidP="00387142">
            <w:pPr>
              <w:jc w:val="center"/>
              <w:rPr>
                <w:sz w:val="20"/>
                <w:szCs w:val="20"/>
              </w:rPr>
            </w:pPr>
            <w:r w:rsidRPr="008B6A75">
              <w:rPr>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401E8347" w14:textId="77777777" w:rsidR="00387142" w:rsidRPr="008B6A75" w:rsidRDefault="00387142" w:rsidP="00387142">
            <w:pPr>
              <w:jc w:val="center"/>
              <w:rPr>
                <w:sz w:val="20"/>
                <w:szCs w:val="20"/>
              </w:rPr>
            </w:pPr>
            <w:r w:rsidRPr="008B6A75">
              <w:rPr>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D9F1B86" w14:textId="77777777" w:rsidR="00387142" w:rsidRPr="008B6A75" w:rsidRDefault="00387142" w:rsidP="00387142">
            <w:pPr>
              <w:jc w:val="right"/>
              <w:rPr>
                <w:sz w:val="20"/>
                <w:szCs w:val="20"/>
              </w:rPr>
            </w:pPr>
            <w:r w:rsidRPr="008B6A75">
              <w:rPr>
                <w:sz w:val="20"/>
                <w:szCs w:val="20"/>
              </w:rPr>
              <w:t>12 181 313,53</w:t>
            </w:r>
          </w:p>
        </w:tc>
        <w:tc>
          <w:tcPr>
            <w:tcW w:w="851" w:type="dxa"/>
            <w:tcBorders>
              <w:top w:val="nil"/>
              <w:left w:val="single" w:sz="4" w:space="0" w:color="auto"/>
              <w:bottom w:val="single" w:sz="4" w:space="0" w:color="auto"/>
              <w:right w:val="nil"/>
            </w:tcBorders>
            <w:shd w:val="clear" w:color="auto" w:fill="auto"/>
            <w:noWrap/>
            <w:vAlign w:val="center"/>
            <w:hideMark/>
          </w:tcPr>
          <w:p w14:paraId="0BEFD0A1" w14:textId="77777777" w:rsidR="00387142" w:rsidRPr="008B6A75" w:rsidRDefault="00387142" w:rsidP="00387142">
            <w:pPr>
              <w:jc w:val="right"/>
              <w:rPr>
                <w:sz w:val="20"/>
                <w:szCs w:val="20"/>
              </w:rPr>
            </w:pPr>
            <w:r w:rsidRPr="008B6A75">
              <w:rPr>
                <w:sz w:val="20"/>
                <w:szCs w:val="20"/>
              </w:rPr>
              <w:t>2 953 000,00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0A23682A" w14:textId="77777777" w:rsidR="00387142" w:rsidRPr="008B6A75" w:rsidRDefault="00387142" w:rsidP="00387142">
            <w:pPr>
              <w:jc w:val="right"/>
              <w:rPr>
                <w:sz w:val="20"/>
                <w:szCs w:val="20"/>
              </w:rPr>
            </w:pPr>
            <w:r w:rsidRPr="008B6A75">
              <w:rPr>
                <w:sz w:val="20"/>
                <w:szCs w:val="20"/>
              </w:rPr>
              <w:t>1 253 000,00</w:t>
            </w:r>
          </w:p>
        </w:tc>
      </w:tr>
      <w:tr w:rsidR="00387142" w:rsidRPr="008B6A75" w14:paraId="1CF9F4D2" w14:textId="77777777" w:rsidTr="00387142">
        <w:trPr>
          <w:trHeight w:val="870"/>
        </w:trPr>
        <w:tc>
          <w:tcPr>
            <w:tcW w:w="272" w:type="dxa"/>
            <w:tcBorders>
              <w:top w:val="nil"/>
              <w:left w:val="nil"/>
              <w:bottom w:val="nil"/>
              <w:right w:val="single" w:sz="4" w:space="0" w:color="auto"/>
            </w:tcBorders>
            <w:shd w:val="clear" w:color="auto" w:fill="auto"/>
            <w:noWrap/>
            <w:vAlign w:val="bottom"/>
            <w:hideMark/>
          </w:tcPr>
          <w:p w14:paraId="741B8EAF"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603DB2C7" w14:textId="77777777" w:rsidR="00387142" w:rsidRPr="008B6A75" w:rsidRDefault="00387142" w:rsidP="00387142">
            <w:pPr>
              <w:rPr>
                <w:sz w:val="20"/>
                <w:szCs w:val="20"/>
              </w:rPr>
            </w:pPr>
            <w:r w:rsidRPr="008B6A75">
              <w:rPr>
                <w:sz w:val="20"/>
                <w:szCs w:val="20"/>
              </w:rPr>
              <w:t>Иные закупки товаров, работ и услуг для обеспечения государственных (муниципальных) нужд</w:t>
            </w:r>
          </w:p>
        </w:tc>
        <w:tc>
          <w:tcPr>
            <w:tcW w:w="1559" w:type="dxa"/>
            <w:tcBorders>
              <w:top w:val="nil"/>
              <w:left w:val="single" w:sz="4" w:space="0" w:color="auto"/>
              <w:bottom w:val="single" w:sz="4" w:space="0" w:color="auto"/>
              <w:right w:val="nil"/>
            </w:tcBorders>
            <w:shd w:val="clear" w:color="auto" w:fill="auto"/>
            <w:noWrap/>
            <w:vAlign w:val="center"/>
            <w:hideMark/>
          </w:tcPr>
          <w:p w14:paraId="3A006904" w14:textId="77777777" w:rsidR="00387142" w:rsidRPr="008B6A75" w:rsidRDefault="00387142" w:rsidP="00387142">
            <w:pPr>
              <w:jc w:val="center"/>
              <w:rPr>
                <w:sz w:val="20"/>
                <w:szCs w:val="20"/>
              </w:rPr>
            </w:pPr>
            <w:r w:rsidRPr="008B6A75">
              <w:rPr>
                <w:sz w:val="20"/>
                <w:szCs w:val="20"/>
              </w:rPr>
              <w:t>99.0.00.01400</w:t>
            </w:r>
          </w:p>
        </w:tc>
        <w:tc>
          <w:tcPr>
            <w:tcW w:w="850" w:type="dxa"/>
            <w:tcBorders>
              <w:top w:val="nil"/>
              <w:left w:val="single" w:sz="4" w:space="0" w:color="auto"/>
              <w:bottom w:val="single" w:sz="4" w:space="0" w:color="auto"/>
              <w:right w:val="nil"/>
            </w:tcBorders>
            <w:shd w:val="clear" w:color="auto" w:fill="auto"/>
            <w:noWrap/>
            <w:vAlign w:val="center"/>
            <w:hideMark/>
          </w:tcPr>
          <w:p w14:paraId="3CC9876F" w14:textId="77777777" w:rsidR="00387142" w:rsidRPr="008B6A75" w:rsidRDefault="00387142" w:rsidP="00387142">
            <w:pPr>
              <w:jc w:val="center"/>
              <w:rPr>
                <w:sz w:val="20"/>
                <w:szCs w:val="20"/>
              </w:rPr>
            </w:pPr>
            <w:r w:rsidRPr="008B6A75">
              <w:rPr>
                <w:sz w:val="20"/>
                <w:szCs w:val="20"/>
              </w:rPr>
              <w:t>240</w:t>
            </w:r>
          </w:p>
        </w:tc>
        <w:tc>
          <w:tcPr>
            <w:tcW w:w="567" w:type="dxa"/>
            <w:tcBorders>
              <w:top w:val="nil"/>
              <w:left w:val="single" w:sz="4" w:space="0" w:color="auto"/>
              <w:bottom w:val="single" w:sz="4" w:space="0" w:color="auto"/>
              <w:right w:val="nil"/>
            </w:tcBorders>
            <w:shd w:val="clear" w:color="auto" w:fill="auto"/>
            <w:noWrap/>
            <w:vAlign w:val="center"/>
            <w:hideMark/>
          </w:tcPr>
          <w:p w14:paraId="1A5D8405" w14:textId="77777777" w:rsidR="00387142" w:rsidRPr="008B6A75" w:rsidRDefault="00387142" w:rsidP="00387142">
            <w:pPr>
              <w:jc w:val="center"/>
              <w:rPr>
                <w:sz w:val="20"/>
                <w:szCs w:val="20"/>
              </w:rPr>
            </w:pPr>
            <w:r w:rsidRPr="008B6A75">
              <w:rPr>
                <w:sz w:val="20"/>
                <w:szCs w:val="20"/>
              </w:rPr>
              <w:t>01</w:t>
            </w:r>
          </w:p>
        </w:tc>
        <w:tc>
          <w:tcPr>
            <w:tcW w:w="567" w:type="dxa"/>
            <w:tcBorders>
              <w:top w:val="nil"/>
              <w:left w:val="single" w:sz="4" w:space="0" w:color="auto"/>
              <w:bottom w:val="single" w:sz="4" w:space="0" w:color="auto"/>
              <w:right w:val="nil"/>
            </w:tcBorders>
            <w:shd w:val="clear" w:color="auto" w:fill="auto"/>
            <w:noWrap/>
            <w:vAlign w:val="center"/>
            <w:hideMark/>
          </w:tcPr>
          <w:p w14:paraId="109E6D5D" w14:textId="77777777" w:rsidR="00387142" w:rsidRPr="008B6A75" w:rsidRDefault="00387142" w:rsidP="00387142">
            <w:pPr>
              <w:jc w:val="center"/>
              <w:rPr>
                <w:sz w:val="20"/>
                <w:szCs w:val="20"/>
              </w:rPr>
            </w:pPr>
            <w:r w:rsidRPr="008B6A75">
              <w:rPr>
                <w:sz w:val="20"/>
                <w:szCs w:val="20"/>
              </w:rPr>
              <w:t>04</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8D64F72" w14:textId="77777777" w:rsidR="00387142" w:rsidRPr="008B6A75" w:rsidRDefault="00387142" w:rsidP="00387142">
            <w:pPr>
              <w:jc w:val="right"/>
              <w:rPr>
                <w:sz w:val="20"/>
                <w:szCs w:val="20"/>
              </w:rPr>
            </w:pPr>
            <w:r w:rsidRPr="008B6A75">
              <w:rPr>
                <w:sz w:val="20"/>
                <w:szCs w:val="20"/>
              </w:rPr>
              <w:t>12 141 557,53</w:t>
            </w:r>
          </w:p>
        </w:tc>
        <w:tc>
          <w:tcPr>
            <w:tcW w:w="851" w:type="dxa"/>
            <w:tcBorders>
              <w:top w:val="nil"/>
              <w:left w:val="single" w:sz="4" w:space="0" w:color="auto"/>
              <w:bottom w:val="single" w:sz="4" w:space="0" w:color="auto"/>
              <w:right w:val="nil"/>
            </w:tcBorders>
            <w:shd w:val="clear" w:color="auto" w:fill="auto"/>
            <w:noWrap/>
            <w:vAlign w:val="center"/>
            <w:hideMark/>
          </w:tcPr>
          <w:p w14:paraId="40B286E8" w14:textId="77777777" w:rsidR="00387142" w:rsidRPr="008B6A75" w:rsidRDefault="00387142" w:rsidP="00387142">
            <w:pPr>
              <w:jc w:val="right"/>
              <w:rPr>
                <w:sz w:val="20"/>
                <w:szCs w:val="20"/>
              </w:rPr>
            </w:pPr>
            <w:r w:rsidRPr="008B6A75">
              <w:rPr>
                <w:sz w:val="20"/>
                <w:szCs w:val="20"/>
              </w:rPr>
              <w:t>2 900 000,00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1BEE387E" w14:textId="77777777" w:rsidR="00387142" w:rsidRPr="008B6A75" w:rsidRDefault="00387142" w:rsidP="00387142">
            <w:pPr>
              <w:jc w:val="right"/>
              <w:rPr>
                <w:sz w:val="20"/>
                <w:szCs w:val="20"/>
              </w:rPr>
            </w:pPr>
            <w:r w:rsidRPr="008B6A75">
              <w:rPr>
                <w:sz w:val="20"/>
                <w:szCs w:val="20"/>
              </w:rPr>
              <w:t>1 200 000,00</w:t>
            </w:r>
          </w:p>
        </w:tc>
      </w:tr>
      <w:tr w:rsidR="00387142" w:rsidRPr="008B6A75" w14:paraId="06BC2F2B" w14:textId="77777777" w:rsidTr="00387142">
        <w:trPr>
          <w:trHeight w:val="870"/>
        </w:trPr>
        <w:tc>
          <w:tcPr>
            <w:tcW w:w="272" w:type="dxa"/>
            <w:tcBorders>
              <w:top w:val="nil"/>
              <w:left w:val="nil"/>
              <w:bottom w:val="nil"/>
              <w:right w:val="single" w:sz="4" w:space="0" w:color="auto"/>
            </w:tcBorders>
            <w:shd w:val="clear" w:color="auto" w:fill="auto"/>
            <w:noWrap/>
            <w:vAlign w:val="bottom"/>
            <w:hideMark/>
          </w:tcPr>
          <w:p w14:paraId="3C31D4DC"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5EBFDB14" w14:textId="77777777" w:rsidR="00387142" w:rsidRPr="008B6A75" w:rsidRDefault="00387142" w:rsidP="00387142">
            <w:pPr>
              <w:rPr>
                <w:sz w:val="20"/>
                <w:szCs w:val="20"/>
              </w:rPr>
            </w:pPr>
            <w:r w:rsidRPr="008B6A75">
              <w:rPr>
                <w:sz w:val="20"/>
                <w:szCs w:val="20"/>
              </w:rPr>
              <w:t>Иные закупки товаров, работ и услуг для обеспечения государственных (муниципальных) нужд</w:t>
            </w:r>
          </w:p>
        </w:tc>
        <w:tc>
          <w:tcPr>
            <w:tcW w:w="1559" w:type="dxa"/>
            <w:tcBorders>
              <w:top w:val="nil"/>
              <w:left w:val="single" w:sz="4" w:space="0" w:color="auto"/>
              <w:bottom w:val="single" w:sz="4" w:space="0" w:color="auto"/>
              <w:right w:val="nil"/>
            </w:tcBorders>
            <w:shd w:val="clear" w:color="auto" w:fill="auto"/>
            <w:noWrap/>
            <w:vAlign w:val="center"/>
            <w:hideMark/>
          </w:tcPr>
          <w:p w14:paraId="01448255" w14:textId="77777777" w:rsidR="00387142" w:rsidRPr="008B6A75" w:rsidRDefault="00387142" w:rsidP="00387142">
            <w:pPr>
              <w:jc w:val="center"/>
              <w:rPr>
                <w:sz w:val="20"/>
                <w:szCs w:val="20"/>
              </w:rPr>
            </w:pPr>
            <w:r w:rsidRPr="008B6A75">
              <w:rPr>
                <w:sz w:val="20"/>
                <w:szCs w:val="20"/>
              </w:rPr>
              <w:t>99.0.00.01400</w:t>
            </w:r>
          </w:p>
        </w:tc>
        <w:tc>
          <w:tcPr>
            <w:tcW w:w="850" w:type="dxa"/>
            <w:tcBorders>
              <w:top w:val="nil"/>
              <w:left w:val="single" w:sz="4" w:space="0" w:color="auto"/>
              <w:bottom w:val="single" w:sz="4" w:space="0" w:color="auto"/>
              <w:right w:val="nil"/>
            </w:tcBorders>
            <w:shd w:val="clear" w:color="auto" w:fill="auto"/>
            <w:noWrap/>
            <w:vAlign w:val="center"/>
            <w:hideMark/>
          </w:tcPr>
          <w:p w14:paraId="3C48B838" w14:textId="77777777" w:rsidR="00387142" w:rsidRPr="008B6A75" w:rsidRDefault="00387142" w:rsidP="00387142">
            <w:pPr>
              <w:jc w:val="center"/>
              <w:rPr>
                <w:sz w:val="20"/>
                <w:szCs w:val="20"/>
              </w:rPr>
            </w:pPr>
            <w:r w:rsidRPr="008B6A75">
              <w:rPr>
                <w:sz w:val="20"/>
                <w:szCs w:val="20"/>
              </w:rPr>
              <w:t>240</w:t>
            </w:r>
          </w:p>
        </w:tc>
        <w:tc>
          <w:tcPr>
            <w:tcW w:w="567" w:type="dxa"/>
            <w:tcBorders>
              <w:top w:val="nil"/>
              <w:left w:val="single" w:sz="4" w:space="0" w:color="auto"/>
              <w:bottom w:val="single" w:sz="4" w:space="0" w:color="auto"/>
              <w:right w:val="nil"/>
            </w:tcBorders>
            <w:shd w:val="clear" w:color="auto" w:fill="auto"/>
            <w:noWrap/>
            <w:vAlign w:val="center"/>
            <w:hideMark/>
          </w:tcPr>
          <w:p w14:paraId="4CCFFECE" w14:textId="77777777" w:rsidR="00387142" w:rsidRPr="008B6A75" w:rsidRDefault="00387142" w:rsidP="00387142">
            <w:pPr>
              <w:jc w:val="center"/>
              <w:rPr>
                <w:sz w:val="20"/>
                <w:szCs w:val="20"/>
              </w:rPr>
            </w:pPr>
            <w:r w:rsidRPr="008B6A75">
              <w:rPr>
                <w:sz w:val="20"/>
                <w:szCs w:val="20"/>
              </w:rPr>
              <w:t>01</w:t>
            </w:r>
          </w:p>
        </w:tc>
        <w:tc>
          <w:tcPr>
            <w:tcW w:w="567" w:type="dxa"/>
            <w:tcBorders>
              <w:top w:val="nil"/>
              <w:left w:val="single" w:sz="4" w:space="0" w:color="auto"/>
              <w:bottom w:val="single" w:sz="4" w:space="0" w:color="auto"/>
              <w:right w:val="nil"/>
            </w:tcBorders>
            <w:shd w:val="clear" w:color="auto" w:fill="auto"/>
            <w:noWrap/>
            <w:vAlign w:val="center"/>
            <w:hideMark/>
          </w:tcPr>
          <w:p w14:paraId="626F0E8F" w14:textId="77777777" w:rsidR="00387142" w:rsidRPr="008B6A75" w:rsidRDefault="00387142" w:rsidP="00387142">
            <w:pPr>
              <w:jc w:val="center"/>
              <w:rPr>
                <w:sz w:val="20"/>
                <w:szCs w:val="20"/>
              </w:rPr>
            </w:pPr>
            <w:r w:rsidRPr="008B6A75">
              <w:rPr>
                <w:sz w:val="20"/>
                <w:szCs w:val="20"/>
              </w:rPr>
              <w:t>06</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98E691A" w14:textId="77777777" w:rsidR="00387142" w:rsidRPr="008B6A75" w:rsidRDefault="00387142" w:rsidP="00387142">
            <w:pPr>
              <w:jc w:val="right"/>
              <w:rPr>
                <w:sz w:val="20"/>
                <w:szCs w:val="20"/>
              </w:rPr>
            </w:pPr>
            <w:r w:rsidRPr="008B6A75">
              <w:rPr>
                <w:sz w:val="20"/>
                <w:szCs w:val="20"/>
              </w:rPr>
              <w:t>39 756,00</w:t>
            </w:r>
          </w:p>
        </w:tc>
        <w:tc>
          <w:tcPr>
            <w:tcW w:w="851" w:type="dxa"/>
            <w:tcBorders>
              <w:top w:val="nil"/>
              <w:left w:val="single" w:sz="4" w:space="0" w:color="auto"/>
              <w:bottom w:val="single" w:sz="4" w:space="0" w:color="auto"/>
              <w:right w:val="nil"/>
            </w:tcBorders>
            <w:shd w:val="clear" w:color="auto" w:fill="auto"/>
            <w:noWrap/>
            <w:vAlign w:val="center"/>
            <w:hideMark/>
          </w:tcPr>
          <w:p w14:paraId="4762EC87" w14:textId="77777777" w:rsidR="00387142" w:rsidRPr="008B6A75" w:rsidRDefault="00387142" w:rsidP="00387142">
            <w:pPr>
              <w:jc w:val="right"/>
              <w:rPr>
                <w:sz w:val="20"/>
                <w:szCs w:val="20"/>
              </w:rPr>
            </w:pPr>
            <w:r w:rsidRPr="008B6A75">
              <w:rPr>
                <w:sz w:val="20"/>
                <w:szCs w:val="20"/>
              </w:rPr>
              <w:t>53 000,00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3918C7F7" w14:textId="77777777" w:rsidR="00387142" w:rsidRPr="008B6A75" w:rsidRDefault="00387142" w:rsidP="00387142">
            <w:pPr>
              <w:jc w:val="right"/>
              <w:rPr>
                <w:sz w:val="20"/>
                <w:szCs w:val="20"/>
              </w:rPr>
            </w:pPr>
            <w:r w:rsidRPr="008B6A75">
              <w:rPr>
                <w:sz w:val="20"/>
                <w:szCs w:val="20"/>
              </w:rPr>
              <w:t>53 000,00</w:t>
            </w:r>
          </w:p>
        </w:tc>
      </w:tr>
      <w:tr w:rsidR="00387142" w:rsidRPr="008B6A75" w14:paraId="620213F1" w14:textId="77777777" w:rsidTr="00387142">
        <w:trPr>
          <w:trHeight w:val="300"/>
        </w:trPr>
        <w:tc>
          <w:tcPr>
            <w:tcW w:w="272" w:type="dxa"/>
            <w:tcBorders>
              <w:top w:val="nil"/>
              <w:left w:val="nil"/>
              <w:bottom w:val="nil"/>
              <w:right w:val="single" w:sz="4" w:space="0" w:color="auto"/>
            </w:tcBorders>
            <w:shd w:val="clear" w:color="auto" w:fill="auto"/>
            <w:noWrap/>
            <w:vAlign w:val="bottom"/>
            <w:hideMark/>
          </w:tcPr>
          <w:p w14:paraId="7C6A2F54"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10A697E3" w14:textId="77777777" w:rsidR="00387142" w:rsidRPr="008B6A75" w:rsidRDefault="00387142" w:rsidP="00387142">
            <w:pPr>
              <w:rPr>
                <w:sz w:val="20"/>
                <w:szCs w:val="20"/>
              </w:rPr>
            </w:pPr>
            <w:r w:rsidRPr="008B6A75">
              <w:rPr>
                <w:sz w:val="20"/>
                <w:szCs w:val="20"/>
              </w:rPr>
              <w:t>Иные бюджетные ассигнования</w:t>
            </w:r>
          </w:p>
        </w:tc>
        <w:tc>
          <w:tcPr>
            <w:tcW w:w="1559" w:type="dxa"/>
            <w:tcBorders>
              <w:top w:val="nil"/>
              <w:left w:val="single" w:sz="4" w:space="0" w:color="auto"/>
              <w:bottom w:val="single" w:sz="4" w:space="0" w:color="auto"/>
              <w:right w:val="nil"/>
            </w:tcBorders>
            <w:shd w:val="clear" w:color="auto" w:fill="auto"/>
            <w:noWrap/>
            <w:vAlign w:val="center"/>
            <w:hideMark/>
          </w:tcPr>
          <w:p w14:paraId="621DA85E" w14:textId="77777777" w:rsidR="00387142" w:rsidRPr="008B6A75" w:rsidRDefault="00387142" w:rsidP="00387142">
            <w:pPr>
              <w:jc w:val="center"/>
              <w:rPr>
                <w:sz w:val="20"/>
                <w:szCs w:val="20"/>
              </w:rPr>
            </w:pPr>
            <w:r w:rsidRPr="008B6A75">
              <w:rPr>
                <w:sz w:val="20"/>
                <w:szCs w:val="20"/>
              </w:rPr>
              <w:t>99.0.00.01400</w:t>
            </w:r>
          </w:p>
        </w:tc>
        <w:tc>
          <w:tcPr>
            <w:tcW w:w="850" w:type="dxa"/>
            <w:tcBorders>
              <w:top w:val="nil"/>
              <w:left w:val="single" w:sz="4" w:space="0" w:color="auto"/>
              <w:bottom w:val="single" w:sz="4" w:space="0" w:color="auto"/>
              <w:right w:val="nil"/>
            </w:tcBorders>
            <w:shd w:val="clear" w:color="auto" w:fill="auto"/>
            <w:noWrap/>
            <w:vAlign w:val="center"/>
            <w:hideMark/>
          </w:tcPr>
          <w:p w14:paraId="26D1143D" w14:textId="77777777" w:rsidR="00387142" w:rsidRPr="008B6A75" w:rsidRDefault="00387142" w:rsidP="00387142">
            <w:pPr>
              <w:jc w:val="center"/>
              <w:rPr>
                <w:sz w:val="20"/>
                <w:szCs w:val="20"/>
              </w:rPr>
            </w:pPr>
            <w:r w:rsidRPr="008B6A75">
              <w:rPr>
                <w:sz w:val="20"/>
                <w:szCs w:val="20"/>
              </w:rPr>
              <w:t>800</w:t>
            </w:r>
          </w:p>
        </w:tc>
        <w:tc>
          <w:tcPr>
            <w:tcW w:w="567" w:type="dxa"/>
            <w:tcBorders>
              <w:top w:val="nil"/>
              <w:left w:val="single" w:sz="4" w:space="0" w:color="auto"/>
              <w:bottom w:val="single" w:sz="4" w:space="0" w:color="auto"/>
              <w:right w:val="nil"/>
            </w:tcBorders>
            <w:shd w:val="clear" w:color="auto" w:fill="auto"/>
            <w:noWrap/>
            <w:vAlign w:val="center"/>
            <w:hideMark/>
          </w:tcPr>
          <w:p w14:paraId="3E0225D4" w14:textId="77777777" w:rsidR="00387142" w:rsidRPr="008B6A75" w:rsidRDefault="00387142" w:rsidP="00387142">
            <w:pPr>
              <w:jc w:val="center"/>
              <w:rPr>
                <w:sz w:val="20"/>
                <w:szCs w:val="20"/>
              </w:rPr>
            </w:pPr>
            <w:r w:rsidRPr="008B6A75">
              <w:rPr>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7371FC4C" w14:textId="77777777" w:rsidR="00387142" w:rsidRPr="008B6A75" w:rsidRDefault="00387142" w:rsidP="00387142">
            <w:pPr>
              <w:jc w:val="center"/>
              <w:rPr>
                <w:sz w:val="20"/>
                <w:szCs w:val="20"/>
              </w:rPr>
            </w:pPr>
            <w:r w:rsidRPr="008B6A75">
              <w:rPr>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6E8D7FB" w14:textId="77777777" w:rsidR="00387142" w:rsidRPr="008B6A75" w:rsidRDefault="00387142" w:rsidP="00387142">
            <w:pPr>
              <w:jc w:val="right"/>
              <w:rPr>
                <w:sz w:val="20"/>
                <w:szCs w:val="20"/>
              </w:rPr>
            </w:pPr>
            <w:r w:rsidRPr="008B6A75">
              <w:rPr>
                <w:sz w:val="20"/>
                <w:szCs w:val="20"/>
              </w:rPr>
              <w:t>212 055,77</w:t>
            </w:r>
          </w:p>
        </w:tc>
        <w:tc>
          <w:tcPr>
            <w:tcW w:w="851" w:type="dxa"/>
            <w:tcBorders>
              <w:top w:val="nil"/>
              <w:left w:val="single" w:sz="4" w:space="0" w:color="auto"/>
              <w:bottom w:val="single" w:sz="4" w:space="0" w:color="auto"/>
              <w:right w:val="nil"/>
            </w:tcBorders>
            <w:shd w:val="clear" w:color="auto" w:fill="auto"/>
            <w:noWrap/>
            <w:vAlign w:val="center"/>
            <w:hideMark/>
          </w:tcPr>
          <w:p w14:paraId="5DB2B96F" w14:textId="77777777" w:rsidR="00387142" w:rsidRPr="008B6A75" w:rsidRDefault="00387142" w:rsidP="00387142">
            <w:pPr>
              <w:jc w:val="right"/>
              <w:rPr>
                <w:sz w:val="20"/>
                <w:szCs w:val="20"/>
              </w:rPr>
            </w:pPr>
            <w:r w:rsidRPr="008B6A75">
              <w:rPr>
                <w:sz w:val="20"/>
                <w:szCs w:val="20"/>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2C80BDE7" w14:textId="77777777" w:rsidR="00387142" w:rsidRPr="008B6A75" w:rsidRDefault="00387142" w:rsidP="00387142">
            <w:pPr>
              <w:jc w:val="right"/>
              <w:rPr>
                <w:sz w:val="20"/>
                <w:szCs w:val="20"/>
              </w:rPr>
            </w:pPr>
            <w:r w:rsidRPr="008B6A75">
              <w:rPr>
                <w:sz w:val="20"/>
                <w:szCs w:val="20"/>
              </w:rPr>
              <w:t>0,00</w:t>
            </w:r>
          </w:p>
        </w:tc>
      </w:tr>
      <w:tr w:rsidR="00387142" w:rsidRPr="008B6A75" w14:paraId="01932C84" w14:textId="77777777" w:rsidTr="00387142">
        <w:trPr>
          <w:trHeight w:val="300"/>
        </w:trPr>
        <w:tc>
          <w:tcPr>
            <w:tcW w:w="272" w:type="dxa"/>
            <w:tcBorders>
              <w:top w:val="nil"/>
              <w:left w:val="nil"/>
              <w:bottom w:val="nil"/>
              <w:right w:val="single" w:sz="4" w:space="0" w:color="auto"/>
            </w:tcBorders>
            <w:shd w:val="clear" w:color="auto" w:fill="auto"/>
            <w:noWrap/>
            <w:vAlign w:val="bottom"/>
            <w:hideMark/>
          </w:tcPr>
          <w:p w14:paraId="04C3FA44"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6D64C3E3" w14:textId="77777777" w:rsidR="00387142" w:rsidRPr="008B6A75" w:rsidRDefault="00387142" w:rsidP="00387142">
            <w:pPr>
              <w:rPr>
                <w:sz w:val="20"/>
                <w:szCs w:val="20"/>
              </w:rPr>
            </w:pPr>
            <w:r w:rsidRPr="008B6A75">
              <w:rPr>
                <w:sz w:val="20"/>
                <w:szCs w:val="20"/>
              </w:rPr>
              <w:t>Уплата налогов, сборов и иных платежей</w:t>
            </w:r>
          </w:p>
        </w:tc>
        <w:tc>
          <w:tcPr>
            <w:tcW w:w="1559" w:type="dxa"/>
            <w:tcBorders>
              <w:top w:val="nil"/>
              <w:left w:val="single" w:sz="4" w:space="0" w:color="auto"/>
              <w:bottom w:val="single" w:sz="4" w:space="0" w:color="auto"/>
              <w:right w:val="nil"/>
            </w:tcBorders>
            <w:shd w:val="clear" w:color="auto" w:fill="auto"/>
            <w:noWrap/>
            <w:vAlign w:val="center"/>
            <w:hideMark/>
          </w:tcPr>
          <w:p w14:paraId="4DBBDCB7" w14:textId="77777777" w:rsidR="00387142" w:rsidRPr="008B6A75" w:rsidRDefault="00387142" w:rsidP="00387142">
            <w:pPr>
              <w:jc w:val="center"/>
              <w:rPr>
                <w:sz w:val="20"/>
                <w:szCs w:val="20"/>
              </w:rPr>
            </w:pPr>
            <w:r w:rsidRPr="008B6A75">
              <w:rPr>
                <w:sz w:val="20"/>
                <w:szCs w:val="20"/>
              </w:rPr>
              <w:t>99.0.00.01400</w:t>
            </w:r>
          </w:p>
        </w:tc>
        <w:tc>
          <w:tcPr>
            <w:tcW w:w="850" w:type="dxa"/>
            <w:tcBorders>
              <w:top w:val="nil"/>
              <w:left w:val="single" w:sz="4" w:space="0" w:color="auto"/>
              <w:bottom w:val="single" w:sz="4" w:space="0" w:color="auto"/>
              <w:right w:val="nil"/>
            </w:tcBorders>
            <w:shd w:val="clear" w:color="auto" w:fill="auto"/>
            <w:noWrap/>
            <w:vAlign w:val="center"/>
            <w:hideMark/>
          </w:tcPr>
          <w:p w14:paraId="3B0F3F0F" w14:textId="77777777" w:rsidR="00387142" w:rsidRPr="008B6A75" w:rsidRDefault="00387142" w:rsidP="00387142">
            <w:pPr>
              <w:jc w:val="center"/>
              <w:rPr>
                <w:sz w:val="20"/>
                <w:szCs w:val="20"/>
              </w:rPr>
            </w:pPr>
            <w:r w:rsidRPr="008B6A75">
              <w:rPr>
                <w:sz w:val="20"/>
                <w:szCs w:val="20"/>
              </w:rPr>
              <w:t>850</w:t>
            </w:r>
          </w:p>
        </w:tc>
        <w:tc>
          <w:tcPr>
            <w:tcW w:w="567" w:type="dxa"/>
            <w:tcBorders>
              <w:top w:val="nil"/>
              <w:left w:val="single" w:sz="4" w:space="0" w:color="auto"/>
              <w:bottom w:val="single" w:sz="4" w:space="0" w:color="auto"/>
              <w:right w:val="nil"/>
            </w:tcBorders>
            <w:shd w:val="clear" w:color="auto" w:fill="auto"/>
            <w:noWrap/>
            <w:vAlign w:val="center"/>
            <w:hideMark/>
          </w:tcPr>
          <w:p w14:paraId="52F2EF7A" w14:textId="77777777" w:rsidR="00387142" w:rsidRPr="008B6A75" w:rsidRDefault="00387142" w:rsidP="00387142">
            <w:pPr>
              <w:jc w:val="center"/>
              <w:rPr>
                <w:sz w:val="20"/>
                <w:szCs w:val="20"/>
              </w:rPr>
            </w:pPr>
            <w:r w:rsidRPr="008B6A75">
              <w:rPr>
                <w:sz w:val="20"/>
                <w:szCs w:val="20"/>
              </w:rPr>
              <w:t>01</w:t>
            </w:r>
          </w:p>
        </w:tc>
        <w:tc>
          <w:tcPr>
            <w:tcW w:w="567" w:type="dxa"/>
            <w:tcBorders>
              <w:top w:val="nil"/>
              <w:left w:val="single" w:sz="4" w:space="0" w:color="auto"/>
              <w:bottom w:val="single" w:sz="4" w:space="0" w:color="auto"/>
              <w:right w:val="nil"/>
            </w:tcBorders>
            <w:shd w:val="clear" w:color="auto" w:fill="auto"/>
            <w:noWrap/>
            <w:vAlign w:val="center"/>
            <w:hideMark/>
          </w:tcPr>
          <w:p w14:paraId="4CD9EAAB" w14:textId="77777777" w:rsidR="00387142" w:rsidRPr="008B6A75" w:rsidRDefault="00387142" w:rsidP="00387142">
            <w:pPr>
              <w:jc w:val="center"/>
              <w:rPr>
                <w:sz w:val="20"/>
                <w:szCs w:val="20"/>
              </w:rPr>
            </w:pPr>
            <w:r w:rsidRPr="008B6A75">
              <w:rPr>
                <w:sz w:val="20"/>
                <w:szCs w:val="20"/>
              </w:rPr>
              <w:t>04</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F0C89AC" w14:textId="77777777" w:rsidR="00387142" w:rsidRPr="008B6A75" w:rsidRDefault="00387142" w:rsidP="00387142">
            <w:pPr>
              <w:jc w:val="right"/>
              <w:rPr>
                <w:sz w:val="20"/>
                <w:szCs w:val="20"/>
              </w:rPr>
            </w:pPr>
            <w:r w:rsidRPr="008B6A75">
              <w:rPr>
                <w:sz w:val="20"/>
                <w:szCs w:val="20"/>
              </w:rPr>
              <w:t>212 055,77</w:t>
            </w:r>
          </w:p>
        </w:tc>
        <w:tc>
          <w:tcPr>
            <w:tcW w:w="851" w:type="dxa"/>
            <w:tcBorders>
              <w:top w:val="nil"/>
              <w:left w:val="single" w:sz="4" w:space="0" w:color="auto"/>
              <w:bottom w:val="single" w:sz="4" w:space="0" w:color="auto"/>
              <w:right w:val="nil"/>
            </w:tcBorders>
            <w:shd w:val="clear" w:color="auto" w:fill="auto"/>
            <w:noWrap/>
            <w:vAlign w:val="center"/>
            <w:hideMark/>
          </w:tcPr>
          <w:p w14:paraId="7F0A665E" w14:textId="77777777" w:rsidR="00387142" w:rsidRPr="008B6A75" w:rsidRDefault="00387142" w:rsidP="00387142">
            <w:pPr>
              <w:jc w:val="right"/>
              <w:rPr>
                <w:sz w:val="20"/>
                <w:szCs w:val="20"/>
              </w:rPr>
            </w:pPr>
            <w:r w:rsidRPr="008B6A75">
              <w:rPr>
                <w:sz w:val="20"/>
                <w:szCs w:val="20"/>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4D063103" w14:textId="77777777" w:rsidR="00387142" w:rsidRPr="008B6A75" w:rsidRDefault="00387142" w:rsidP="00387142">
            <w:pPr>
              <w:jc w:val="right"/>
              <w:rPr>
                <w:sz w:val="20"/>
                <w:szCs w:val="20"/>
              </w:rPr>
            </w:pPr>
            <w:r w:rsidRPr="008B6A75">
              <w:rPr>
                <w:sz w:val="20"/>
                <w:szCs w:val="20"/>
              </w:rPr>
              <w:t>0,00</w:t>
            </w:r>
          </w:p>
        </w:tc>
      </w:tr>
      <w:tr w:rsidR="00387142" w:rsidRPr="008B6A75" w14:paraId="7052A1C9" w14:textId="77777777" w:rsidTr="00387142">
        <w:trPr>
          <w:trHeight w:val="870"/>
        </w:trPr>
        <w:tc>
          <w:tcPr>
            <w:tcW w:w="272" w:type="dxa"/>
            <w:tcBorders>
              <w:top w:val="nil"/>
              <w:left w:val="nil"/>
              <w:bottom w:val="nil"/>
              <w:right w:val="single" w:sz="4" w:space="0" w:color="auto"/>
            </w:tcBorders>
            <w:shd w:val="clear" w:color="auto" w:fill="auto"/>
            <w:noWrap/>
            <w:vAlign w:val="bottom"/>
            <w:hideMark/>
          </w:tcPr>
          <w:p w14:paraId="061F7110"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7F4133A0" w14:textId="77777777" w:rsidR="00387142" w:rsidRPr="008B6A75" w:rsidRDefault="00387142" w:rsidP="00387142">
            <w:pPr>
              <w:rPr>
                <w:bCs/>
                <w:sz w:val="20"/>
                <w:szCs w:val="20"/>
              </w:rPr>
            </w:pPr>
            <w:r w:rsidRPr="008B6A75">
              <w:rPr>
                <w:bCs/>
                <w:sz w:val="20"/>
                <w:szCs w:val="20"/>
              </w:rPr>
              <w:t>Оценка недвижимости, признание прав и регулирование отношений по государственной собственности</w:t>
            </w:r>
          </w:p>
        </w:tc>
        <w:tc>
          <w:tcPr>
            <w:tcW w:w="1559" w:type="dxa"/>
            <w:tcBorders>
              <w:top w:val="nil"/>
              <w:left w:val="single" w:sz="4" w:space="0" w:color="auto"/>
              <w:bottom w:val="single" w:sz="4" w:space="0" w:color="auto"/>
              <w:right w:val="nil"/>
            </w:tcBorders>
            <w:shd w:val="clear" w:color="auto" w:fill="auto"/>
            <w:noWrap/>
            <w:vAlign w:val="center"/>
            <w:hideMark/>
          </w:tcPr>
          <w:p w14:paraId="03666B09" w14:textId="77777777" w:rsidR="00387142" w:rsidRPr="008B6A75" w:rsidRDefault="00387142" w:rsidP="00387142">
            <w:pPr>
              <w:jc w:val="center"/>
              <w:rPr>
                <w:bCs/>
                <w:sz w:val="20"/>
                <w:szCs w:val="20"/>
              </w:rPr>
            </w:pPr>
            <w:r w:rsidRPr="008B6A75">
              <w:rPr>
                <w:bCs/>
                <w:sz w:val="20"/>
                <w:szCs w:val="20"/>
              </w:rPr>
              <w:t>99.0.00.01610</w:t>
            </w:r>
          </w:p>
        </w:tc>
        <w:tc>
          <w:tcPr>
            <w:tcW w:w="850" w:type="dxa"/>
            <w:tcBorders>
              <w:top w:val="nil"/>
              <w:left w:val="single" w:sz="4" w:space="0" w:color="auto"/>
              <w:bottom w:val="single" w:sz="4" w:space="0" w:color="auto"/>
              <w:right w:val="nil"/>
            </w:tcBorders>
            <w:shd w:val="clear" w:color="auto" w:fill="auto"/>
            <w:noWrap/>
            <w:vAlign w:val="center"/>
            <w:hideMark/>
          </w:tcPr>
          <w:p w14:paraId="0B24EDB2" w14:textId="77777777" w:rsidR="00387142" w:rsidRPr="008B6A75" w:rsidRDefault="00387142" w:rsidP="00387142">
            <w:pPr>
              <w:jc w:val="center"/>
              <w:rPr>
                <w:bCs/>
                <w:sz w:val="20"/>
                <w:szCs w:val="20"/>
              </w:rPr>
            </w:pPr>
            <w:r w:rsidRPr="008B6A75">
              <w:rPr>
                <w:bCs/>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22BF8CB3" w14:textId="77777777" w:rsidR="00387142" w:rsidRPr="008B6A75" w:rsidRDefault="00387142" w:rsidP="00387142">
            <w:pPr>
              <w:jc w:val="center"/>
              <w:rPr>
                <w:bCs/>
                <w:sz w:val="20"/>
                <w:szCs w:val="20"/>
              </w:rPr>
            </w:pPr>
            <w:r w:rsidRPr="008B6A75">
              <w:rPr>
                <w:bCs/>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298569FF" w14:textId="77777777" w:rsidR="00387142" w:rsidRPr="008B6A75" w:rsidRDefault="00387142" w:rsidP="00387142">
            <w:pPr>
              <w:jc w:val="center"/>
              <w:rPr>
                <w:bCs/>
                <w:sz w:val="20"/>
                <w:szCs w:val="20"/>
              </w:rPr>
            </w:pPr>
            <w:r w:rsidRPr="008B6A75">
              <w:rPr>
                <w:bCs/>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E403399" w14:textId="77777777" w:rsidR="00387142" w:rsidRPr="008B6A75" w:rsidRDefault="00387142" w:rsidP="00387142">
            <w:pPr>
              <w:jc w:val="right"/>
              <w:rPr>
                <w:bCs/>
                <w:sz w:val="20"/>
                <w:szCs w:val="20"/>
              </w:rPr>
            </w:pPr>
            <w:r w:rsidRPr="008B6A75">
              <w:rPr>
                <w:bCs/>
                <w:sz w:val="20"/>
                <w:szCs w:val="20"/>
              </w:rPr>
              <w:t>65 000,00</w:t>
            </w:r>
          </w:p>
        </w:tc>
        <w:tc>
          <w:tcPr>
            <w:tcW w:w="851" w:type="dxa"/>
            <w:tcBorders>
              <w:top w:val="nil"/>
              <w:left w:val="single" w:sz="4" w:space="0" w:color="auto"/>
              <w:bottom w:val="single" w:sz="4" w:space="0" w:color="auto"/>
              <w:right w:val="nil"/>
            </w:tcBorders>
            <w:shd w:val="clear" w:color="auto" w:fill="auto"/>
            <w:noWrap/>
            <w:vAlign w:val="center"/>
            <w:hideMark/>
          </w:tcPr>
          <w:p w14:paraId="00087E3B" w14:textId="77777777" w:rsidR="00387142" w:rsidRPr="008B6A75" w:rsidRDefault="00387142" w:rsidP="00387142">
            <w:pPr>
              <w:jc w:val="right"/>
              <w:rPr>
                <w:bCs/>
                <w:sz w:val="20"/>
                <w:szCs w:val="20"/>
              </w:rPr>
            </w:pPr>
            <w:r w:rsidRPr="008B6A75">
              <w:rPr>
                <w:bCs/>
                <w:sz w:val="20"/>
                <w:szCs w:val="20"/>
              </w:rPr>
              <w:t>65 000,00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60DF4478" w14:textId="77777777" w:rsidR="00387142" w:rsidRPr="008B6A75" w:rsidRDefault="00387142" w:rsidP="00387142">
            <w:pPr>
              <w:jc w:val="right"/>
              <w:rPr>
                <w:bCs/>
                <w:sz w:val="20"/>
                <w:szCs w:val="20"/>
              </w:rPr>
            </w:pPr>
            <w:r w:rsidRPr="008B6A75">
              <w:rPr>
                <w:bCs/>
                <w:sz w:val="20"/>
                <w:szCs w:val="20"/>
              </w:rPr>
              <w:t>65 000,00</w:t>
            </w:r>
          </w:p>
        </w:tc>
      </w:tr>
      <w:tr w:rsidR="00387142" w:rsidRPr="008B6A75" w14:paraId="14AA49AF" w14:textId="77777777" w:rsidTr="00387142">
        <w:trPr>
          <w:trHeight w:val="585"/>
        </w:trPr>
        <w:tc>
          <w:tcPr>
            <w:tcW w:w="272" w:type="dxa"/>
            <w:tcBorders>
              <w:top w:val="nil"/>
              <w:left w:val="nil"/>
              <w:bottom w:val="nil"/>
              <w:right w:val="single" w:sz="4" w:space="0" w:color="auto"/>
            </w:tcBorders>
            <w:shd w:val="clear" w:color="auto" w:fill="auto"/>
            <w:noWrap/>
            <w:vAlign w:val="bottom"/>
            <w:hideMark/>
          </w:tcPr>
          <w:p w14:paraId="2D157C9B"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2C59FF08" w14:textId="77777777" w:rsidR="00387142" w:rsidRPr="008B6A75" w:rsidRDefault="00387142" w:rsidP="00387142">
            <w:pPr>
              <w:rPr>
                <w:sz w:val="20"/>
                <w:szCs w:val="20"/>
              </w:rPr>
            </w:pPr>
            <w:r w:rsidRPr="008B6A75">
              <w:rPr>
                <w:sz w:val="20"/>
                <w:szCs w:val="20"/>
              </w:rPr>
              <w:t>Закупка товаров, работ и услуг для обеспечения государственных (муниципальных) нужд</w:t>
            </w:r>
          </w:p>
        </w:tc>
        <w:tc>
          <w:tcPr>
            <w:tcW w:w="1559" w:type="dxa"/>
            <w:tcBorders>
              <w:top w:val="nil"/>
              <w:left w:val="single" w:sz="4" w:space="0" w:color="auto"/>
              <w:bottom w:val="single" w:sz="4" w:space="0" w:color="auto"/>
              <w:right w:val="nil"/>
            </w:tcBorders>
            <w:shd w:val="clear" w:color="auto" w:fill="auto"/>
            <w:noWrap/>
            <w:vAlign w:val="center"/>
            <w:hideMark/>
          </w:tcPr>
          <w:p w14:paraId="13999CA4" w14:textId="77777777" w:rsidR="00387142" w:rsidRPr="008B6A75" w:rsidRDefault="00387142" w:rsidP="00387142">
            <w:pPr>
              <w:jc w:val="center"/>
              <w:rPr>
                <w:sz w:val="20"/>
                <w:szCs w:val="20"/>
              </w:rPr>
            </w:pPr>
            <w:r w:rsidRPr="008B6A75">
              <w:rPr>
                <w:sz w:val="20"/>
                <w:szCs w:val="20"/>
              </w:rPr>
              <w:t>99.0.00.01610</w:t>
            </w:r>
          </w:p>
        </w:tc>
        <w:tc>
          <w:tcPr>
            <w:tcW w:w="850" w:type="dxa"/>
            <w:tcBorders>
              <w:top w:val="nil"/>
              <w:left w:val="single" w:sz="4" w:space="0" w:color="auto"/>
              <w:bottom w:val="single" w:sz="4" w:space="0" w:color="auto"/>
              <w:right w:val="nil"/>
            </w:tcBorders>
            <w:shd w:val="clear" w:color="auto" w:fill="auto"/>
            <w:noWrap/>
            <w:vAlign w:val="center"/>
            <w:hideMark/>
          </w:tcPr>
          <w:p w14:paraId="071B050A" w14:textId="77777777" w:rsidR="00387142" w:rsidRPr="008B6A75" w:rsidRDefault="00387142" w:rsidP="00387142">
            <w:pPr>
              <w:jc w:val="center"/>
              <w:rPr>
                <w:sz w:val="20"/>
                <w:szCs w:val="20"/>
              </w:rPr>
            </w:pPr>
            <w:r w:rsidRPr="008B6A75">
              <w:rPr>
                <w:sz w:val="20"/>
                <w:szCs w:val="20"/>
              </w:rPr>
              <w:t>200</w:t>
            </w:r>
          </w:p>
        </w:tc>
        <w:tc>
          <w:tcPr>
            <w:tcW w:w="567" w:type="dxa"/>
            <w:tcBorders>
              <w:top w:val="nil"/>
              <w:left w:val="single" w:sz="4" w:space="0" w:color="auto"/>
              <w:bottom w:val="single" w:sz="4" w:space="0" w:color="auto"/>
              <w:right w:val="nil"/>
            </w:tcBorders>
            <w:shd w:val="clear" w:color="auto" w:fill="auto"/>
            <w:noWrap/>
            <w:vAlign w:val="center"/>
            <w:hideMark/>
          </w:tcPr>
          <w:p w14:paraId="329D12B9" w14:textId="77777777" w:rsidR="00387142" w:rsidRPr="008B6A75" w:rsidRDefault="00387142" w:rsidP="00387142">
            <w:pPr>
              <w:jc w:val="center"/>
              <w:rPr>
                <w:sz w:val="20"/>
                <w:szCs w:val="20"/>
              </w:rPr>
            </w:pPr>
            <w:r w:rsidRPr="008B6A75">
              <w:rPr>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4EE3FEA0" w14:textId="77777777" w:rsidR="00387142" w:rsidRPr="008B6A75" w:rsidRDefault="00387142" w:rsidP="00387142">
            <w:pPr>
              <w:jc w:val="center"/>
              <w:rPr>
                <w:sz w:val="20"/>
                <w:szCs w:val="20"/>
              </w:rPr>
            </w:pPr>
            <w:r w:rsidRPr="008B6A75">
              <w:rPr>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BAC1B8A" w14:textId="77777777" w:rsidR="00387142" w:rsidRPr="008B6A75" w:rsidRDefault="00387142" w:rsidP="00387142">
            <w:pPr>
              <w:jc w:val="right"/>
              <w:rPr>
                <w:sz w:val="20"/>
                <w:szCs w:val="20"/>
              </w:rPr>
            </w:pPr>
            <w:r w:rsidRPr="008B6A75">
              <w:rPr>
                <w:sz w:val="20"/>
                <w:szCs w:val="20"/>
              </w:rPr>
              <w:t>65 000,00</w:t>
            </w:r>
          </w:p>
        </w:tc>
        <w:tc>
          <w:tcPr>
            <w:tcW w:w="851" w:type="dxa"/>
            <w:tcBorders>
              <w:top w:val="nil"/>
              <w:left w:val="single" w:sz="4" w:space="0" w:color="auto"/>
              <w:bottom w:val="single" w:sz="4" w:space="0" w:color="auto"/>
              <w:right w:val="nil"/>
            </w:tcBorders>
            <w:shd w:val="clear" w:color="auto" w:fill="auto"/>
            <w:noWrap/>
            <w:vAlign w:val="center"/>
            <w:hideMark/>
          </w:tcPr>
          <w:p w14:paraId="34A947B0" w14:textId="77777777" w:rsidR="00387142" w:rsidRPr="008B6A75" w:rsidRDefault="00387142" w:rsidP="00387142">
            <w:pPr>
              <w:jc w:val="right"/>
              <w:rPr>
                <w:sz w:val="20"/>
                <w:szCs w:val="20"/>
              </w:rPr>
            </w:pPr>
            <w:r w:rsidRPr="008B6A75">
              <w:rPr>
                <w:sz w:val="20"/>
                <w:szCs w:val="20"/>
              </w:rPr>
              <w:t>65 000,00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5D2FFA83" w14:textId="77777777" w:rsidR="00387142" w:rsidRPr="008B6A75" w:rsidRDefault="00387142" w:rsidP="00387142">
            <w:pPr>
              <w:jc w:val="right"/>
              <w:rPr>
                <w:sz w:val="20"/>
                <w:szCs w:val="20"/>
              </w:rPr>
            </w:pPr>
            <w:r w:rsidRPr="008B6A75">
              <w:rPr>
                <w:sz w:val="20"/>
                <w:szCs w:val="20"/>
              </w:rPr>
              <w:t>65 000,00</w:t>
            </w:r>
          </w:p>
        </w:tc>
      </w:tr>
      <w:tr w:rsidR="00387142" w:rsidRPr="008B6A75" w14:paraId="749164D9" w14:textId="77777777" w:rsidTr="00387142">
        <w:trPr>
          <w:trHeight w:val="870"/>
        </w:trPr>
        <w:tc>
          <w:tcPr>
            <w:tcW w:w="272" w:type="dxa"/>
            <w:tcBorders>
              <w:top w:val="nil"/>
              <w:left w:val="nil"/>
              <w:bottom w:val="nil"/>
              <w:right w:val="single" w:sz="4" w:space="0" w:color="auto"/>
            </w:tcBorders>
            <w:shd w:val="clear" w:color="auto" w:fill="auto"/>
            <w:noWrap/>
            <w:vAlign w:val="bottom"/>
            <w:hideMark/>
          </w:tcPr>
          <w:p w14:paraId="63D98D19"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2C06DFB6" w14:textId="77777777" w:rsidR="00387142" w:rsidRPr="008B6A75" w:rsidRDefault="00387142" w:rsidP="00387142">
            <w:pPr>
              <w:rPr>
                <w:sz w:val="20"/>
                <w:szCs w:val="20"/>
              </w:rPr>
            </w:pPr>
            <w:r w:rsidRPr="008B6A75">
              <w:rPr>
                <w:sz w:val="20"/>
                <w:szCs w:val="20"/>
              </w:rPr>
              <w:t>Иные закупки товаров, работ и услуг для обеспечения государственных (муниципальных) нужд</w:t>
            </w:r>
          </w:p>
        </w:tc>
        <w:tc>
          <w:tcPr>
            <w:tcW w:w="1559" w:type="dxa"/>
            <w:tcBorders>
              <w:top w:val="nil"/>
              <w:left w:val="single" w:sz="4" w:space="0" w:color="auto"/>
              <w:bottom w:val="single" w:sz="4" w:space="0" w:color="auto"/>
              <w:right w:val="nil"/>
            </w:tcBorders>
            <w:shd w:val="clear" w:color="auto" w:fill="auto"/>
            <w:noWrap/>
            <w:vAlign w:val="center"/>
            <w:hideMark/>
          </w:tcPr>
          <w:p w14:paraId="1EC1049D" w14:textId="77777777" w:rsidR="00387142" w:rsidRPr="008B6A75" w:rsidRDefault="00387142" w:rsidP="00387142">
            <w:pPr>
              <w:jc w:val="center"/>
              <w:rPr>
                <w:sz w:val="20"/>
                <w:szCs w:val="20"/>
              </w:rPr>
            </w:pPr>
            <w:r w:rsidRPr="008B6A75">
              <w:rPr>
                <w:sz w:val="20"/>
                <w:szCs w:val="20"/>
              </w:rPr>
              <w:t>99.0.00.01610</w:t>
            </w:r>
          </w:p>
        </w:tc>
        <w:tc>
          <w:tcPr>
            <w:tcW w:w="850" w:type="dxa"/>
            <w:tcBorders>
              <w:top w:val="nil"/>
              <w:left w:val="single" w:sz="4" w:space="0" w:color="auto"/>
              <w:bottom w:val="single" w:sz="4" w:space="0" w:color="auto"/>
              <w:right w:val="nil"/>
            </w:tcBorders>
            <w:shd w:val="clear" w:color="auto" w:fill="auto"/>
            <w:noWrap/>
            <w:vAlign w:val="center"/>
            <w:hideMark/>
          </w:tcPr>
          <w:p w14:paraId="6DDAB70D" w14:textId="77777777" w:rsidR="00387142" w:rsidRPr="008B6A75" w:rsidRDefault="00387142" w:rsidP="00387142">
            <w:pPr>
              <w:jc w:val="center"/>
              <w:rPr>
                <w:sz w:val="20"/>
                <w:szCs w:val="20"/>
              </w:rPr>
            </w:pPr>
            <w:r w:rsidRPr="008B6A75">
              <w:rPr>
                <w:sz w:val="20"/>
                <w:szCs w:val="20"/>
              </w:rPr>
              <w:t>240</w:t>
            </w:r>
          </w:p>
        </w:tc>
        <w:tc>
          <w:tcPr>
            <w:tcW w:w="567" w:type="dxa"/>
            <w:tcBorders>
              <w:top w:val="nil"/>
              <w:left w:val="single" w:sz="4" w:space="0" w:color="auto"/>
              <w:bottom w:val="single" w:sz="4" w:space="0" w:color="auto"/>
              <w:right w:val="nil"/>
            </w:tcBorders>
            <w:shd w:val="clear" w:color="auto" w:fill="auto"/>
            <w:noWrap/>
            <w:vAlign w:val="center"/>
            <w:hideMark/>
          </w:tcPr>
          <w:p w14:paraId="7AAD5A84" w14:textId="77777777" w:rsidR="00387142" w:rsidRPr="008B6A75" w:rsidRDefault="00387142" w:rsidP="00387142">
            <w:pPr>
              <w:jc w:val="center"/>
              <w:rPr>
                <w:sz w:val="20"/>
                <w:szCs w:val="20"/>
              </w:rPr>
            </w:pPr>
            <w:r w:rsidRPr="008B6A75">
              <w:rPr>
                <w:sz w:val="20"/>
                <w:szCs w:val="20"/>
              </w:rPr>
              <w:t>01</w:t>
            </w:r>
          </w:p>
        </w:tc>
        <w:tc>
          <w:tcPr>
            <w:tcW w:w="567" w:type="dxa"/>
            <w:tcBorders>
              <w:top w:val="nil"/>
              <w:left w:val="single" w:sz="4" w:space="0" w:color="auto"/>
              <w:bottom w:val="single" w:sz="4" w:space="0" w:color="auto"/>
              <w:right w:val="nil"/>
            </w:tcBorders>
            <w:shd w:val="clear" w:color="auto" w:fill="auto"/>
            <w:noWrap/>
            <w:vAlign w:val="center"/>
            <w:hideMark/>
          </w:tcPr>
          <w:p w14:paraId="67767043" w14:textId="77777777" w:rsidR="00387142" w:rsidRPr="008B6A75" w:rsidRDefault="00387142" w:rsidP="00387142">
            <w:pPr>
              <w:jc w:val="center"/>
              <w:rPr>
                <w:sz w:val="20"/>
                <w:szCs w:val="20"/>
              </w:rPr>
            </w:pPr>
            <w:r w:rsidRPr="008B6A75">
              <w:rPr>
                <w:sz w:val="20"/>
                <w:szCs w:val="20"/>
              </w:rPr>
              <w:t>13</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5BDB359" w14:textId="77777777" w:rsidR="00387142" w:rsidRPr="008B6A75" w:rsidRDefault="00387142" w:rsidP="00387142">
            <w:pPr>
              <w:jc w:val="right"/>
              <w:rPr>
                <w:sz w:val="20"/>
                <w:szCs w:val="20"/>
              </w:rPr>
            </w:pPr>
            <w:r w:rsidRPr="008B6A75">
              <w:rPr>
                <w:sz w:val="20"/>
                <w:szCs w:val="20"/>
              </w:rPr>
              <w:t>65 000,00</w:t>
            </w:r>
          </w:p>
        </w:tc>
        <w:tc>
          <w:tcPr>
            <w:tcW w:w="851" w:type="dxa"/>
            <w:tcBorders>
              <w:top w:val="nil"/>
              <w:left w:val="single" w:sz="4" w:space="0" w:color="auto"/>
              <w:bottom w:val="single" w:sz="4" w:space="0" w:color="auto"/>
              <w:right w:val="nil"/>
            </w:tcBorders>
            <w:shd w:val="clear" w:color="auto" w:fill="auto"/>
            <w:noWrap/>
            <w:vAlign w:val="center"/>
            <w:hideMark/>
          </w:tcPr>
          <w:p w14:paraId="19964496" w14:textId="77777777" w:rsidR="00387142" w:rsidRPr="008B6A75" w:rsidRDefault="00387142" w:rsidP="00387142">
            <w:pPr>
              <w:jc w:val="right"/>
              <w:rPr>
                <w:sz w:val="20"/>
                <w:szCs w:val="20"/>
              </w:rPr>
            </w:pPr>
            <w:r w:rsidRPr="008B6A75">
              <w:rPr>
                <w:sz w:val="20"/>
                <w:szCs w:val="20"/>
              </w:rPr>
              <w:t>65 000,00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34D1ED82" w14:textId="77777777" w:rsidR="00387142" w:rsidRPr="008B6A75" w:rsidRDefault="00387142" w:rsidP="00387142">
            <w:pPr>
              <w:jc w:val="right"/>
              <w:rPr>
                <w:sz w:val="20"/>
                <w:szCs w:val="20"/>
              </w:rPr>
            </w:pPr>
            <w:r w:rsidRPr="008B6A75">
              <w:rPr>
                <w:sz w:val="20"/>
                <w:szCs w:val="20"/>
              </w:rPr>
              <w:t>65 000,00</w:t>
            </w:r>
          </w:p>
        </w:tc>
      </w:tr>
      <w:tr w:rsidR="00387142" w:rsidRPr="008B6A75" w14:paraId="7ED9050D" w14:textId="77777777" w:rsidTr="00387142">
        <w:trPr>
          <w:trHeight w:val="870"/>
        </w:trPr>
        <w:tc>
          <w:tcPr>
            <w:tcW w:w="272" w:type="dxa"/>
            <w:tcBorders>
              <w:top w:val="nil"/>
              <w:left w:val="nil"/>
              <w:bottom w:val="nil"/>
              <w:right w:val="single" w:sz="4" w:space="0" w:color="auto"/>
            </w:tcBorders>
            <w:shd w:val="clear" w:color="auto" w:fill="auto"/>
            <w:noWrap/>
            <w:vAlign w:val="bottom"/>
            <w:hideMark/>
          </w:tcPr>
          <w:p w14:paraId="08D6C3C2"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3220A4BF" w14:textId="77777777" w:rsidR="00387142" w:rsidRPr="008B6A75" w:rsidRDefault="00387142" w:rsidP="00387142">
            <w:pPr>
              <w:rPr>
                <w:bCs/>
                <w:sz w:val="20"/>
                <w:szCs w:val="20"/>
              </w:rPr>
            </w:pPr>
            <w:r w:rsidRPr="008B6A75">
              <w:rPr>
                <w:bCs/>
                <w:sz w:val="20"/>
                <w:szCs w:val="20"/>
              </w:rPr>
              <w:t>Реализация государственных функций, связанных с общегосударственным управлением</w:t>
            </w:r>
          </w:p>
        </w:tc>
        <w:tc>
          <w:tcPr>
            <w:tcW w:w="1559" w:type="dxa"/>
            <w:tcBorders>
              <w:top w:val="nil"/>
              <w:left w:val="single" w:sz="4" w:space="0" w:color="auto"/>
              <w:bottom w:val="single" w:sz="4" w:space="0" w:color="auto"/>
              <w:right w:val="nil"/>
            </w:tcBorders>
            <w:shd w:val="clear" w:color="auto" w:fill="auto"/>
            <w:noWrap/>
            <w:vAlign w:val="center"/>
            <w:hideMark/>
          </w:tcPr>
          <w:p w14:paraId="295D00DD" w14:textId="77777777" w:rsidR="00387142" w:rsidRPr="008B6A75" w:rsidRDefault="00387142" w:rsidP="00387142">
            <w:pPr>
              <w:jc w:val="center"/>
              <w:rPr>
                <w:bCs/>
                <w:sz w:val="20"/>
                <w:szCs w:val="20"/>
              </w:rPr>
            </w:pPr>
            <w:r w:rsidRPr="008B6A75">
              <w:rPr>
                <w:bCs/>
                <w:sz w:val="20"/>
                <w:szCs w:val="20"/>
              </w:rPr>
              <w:t>99.0.00.01620</w:t>
            </w:r>
          </w:p>
        </w:tc>
        <w:tc>
          <w:tcPr>
            <w:tcW w:w="850" w:type="dxa"/>
            <w:tcBorders>
              <w:top w:val="nil"/>
              <w:left w:val="single" w:sz="4" w:space="0" w:color="auto"/>
              <w:bottom w:val="single" w:sz="4" w:space="0" w:color="auto"/>
              <w:right w:val="nil"/>
            </w:tcBorders>
            <w:shd w:val="clear" w:color="auto" w:fill="auto"/>
            <w:noWrap/>
            <w:vAlign w:val="center"/>
            <w:hideMark/>
          </w:tcPr>
          <w:p w14:paraId="6FF6F114" w14:textId="77777777" w:rsidR="00387142" w:rsidRPr="008B6A75" w:rsidRDefault="00387142" w:rsidP="00387142">
            <w:pPr>
              <w:jc w:val="center"/>
              <w:rPr>
                <w:bCs/>
                <w:sz w:val="20"/>
                <w:szCs w:val="20"/>
              </w:rPr>
            </w:pPr>
            <w:r w:rsidRPr="008B6A75">
              <w:rPr>
                <w:bCs/>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6F8B8173" w14:textId="77777777" w:rsidR="00387142" w:rsidRPr="008B6A75" w:rsidRDefault="00387142" w:rsidP="00387142">
            <w:pPr>
              <w:jc w:val="center"/>
              <w:rPr>
                <w:bCs/>
                <w:sz w:val="20"/>
                <w:szCs w:val="20"/>
              </w:rPr>
            </w:pPr>
            <w:r w:rsidRPr="008B6A75">
              <w:rPr>
                <w:bCs/>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55F21C47" w14:textId="77777777" w:rsidR="00387142" w:rsidRPr="008B6A75" w:rsidRDefault="00387142" w:rsidP="00387142">
            <w:pPr>
              <w:jc w:val="center"/>
              <w:rPr>
                <w:bCs/>
                <w:sz w:val="20"/>
                <w:szCs w:val="20"/>
              </w:rPr>
            </w:pPr>
            <w:r w:rsidRPr="008B6A75">
              <w:rPr>
                <w:bCs/>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433A13D" w14:textId="77777777" w:rsidR="00387142" w:rsidRPr="008B6A75" w:rsidRDefault="00387142" w:rsidP="00387142">
            <w:pPr>
              <w:jc w:val="right"/>
              <w:rPr>
                <w:bCs/>
                <w:sz w:val="20"/>
                <w:szCs w:val="20"/>
              </w:rPr>
            </w:pPr>
            <w:r w:rsidRPr="008B6A75">
              <w:rPr>
                <w:bCs/>
                <w:sz w:val="20"/>
                <w:szCs w:val="20"/>
              </w:rPr>
              <w:t>8 298 336,08</w:t>
            </w:r>
          </w:p>
        </w:tc>
        <w:tc>
          <w:tcPr>
            <w:tcW w:w="851" w:type="dxa"/>
            <w:tcBorders>
              <w:top w:val="nil"/>
              <w:left w:val="single" w:sz="4" w:space="0" w:color="auto"/>
              <w:bottom w:val="single" w:sz="4" w:space="0" w:color="auto"/>
              <w:right w:val="nil"/>
            </w:tcBorders>
            <w:shd w:val="clear" w:color="auto" w:fill="auto"/>
            <w:noWrap/>
            <w:vAlign w:val="center"/>
            <w:hideMark/>
          </w:tcPr>
          <w:p w14:paraId="0BBD8C03" w14:textId="77777777" w:rsidR="00387142" w:rsidRPr="008B6A75" w:rsidRDefault="00387142" w:rsidP="00387142">
            <w:pPr>
              <w:jc w:val="right"/>
              <w:rPr>
                <w:bCs/>
                <w:sz w:val="20"/>
                <w:szCs w:val="20"/>
              </w:rPr>
            </w:pPr>
            <w:r w:rsidRPr="008B6A75">
              <w:rPr>
                <w:bCs/>
                <w:sz w:val="20"/>
                <w:szCs w:val="20"/>
              </w:rPr>
              <w:t>1 200 000,00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01B10352" w14:textId="77777777" w:rsidR="00387142" w:rsidRPr="008B6A75" w:rsidRDefault="00387142" w:rsidP="00387142">
            <w:pPr>
              <w:jc w:val="right"/>
              <w:rPr>
                <w:bCs/>
                <w:sz w:val="20"/>
                <w:szCs w:val="20"/>
              </w:rPr>
            </w:pPr>
            <w:r w:rsidRPr="008B6A75">
              <w:rPr>
                <w:bCs/>
                <w:sz w:val="20"/>
                <w:szCs w:val="20"/>
              </w:rPr>
              <w:t>1 200 000,00</w:t>
            </w:r>
          </w:p>
        </w:tc>
      </w:tr>
      <w:tr w:rsidR="00387142" w:rsidRPr="008B6A75" w14:paraId="3A2055B6" w14:textId="77777777" w:rsidTr="00387142">
        <w:trPr>
          <w:trHeight w:val="585"/>
        </w:trPr>
        <w:tc>
          <w:tcPr>
            <w:tcW w:w="272" w:type="dxa"/>
            <w:tcBorders>
              <w:top w:val="nil"/>
              <w:left w:val="nil"/>
              <w:bottom w:val="nil"/>
              <w:right w:val="single" w:sz="4" w:space="0" w:color="auto"/>
            </w:tcBorders>
            <w:shd w:val="clear" w:color="auto" w:fill="auto"/>
            <w:noWrap/>
            <w:vAlign w:val="bottom"/>
            <w:hideMark/>
          </w:tcPr>
          <w:p w14:paraId="66A3C0A1"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3321C977" w14:textId="77777777" w:rsidR="00387142" w:rsidRPr="008B6A75" w:rsidRDefault="00387142" w:rsidP="00387142">
            <w:pPr>
              <w:rPr>
                <w:sz w:val="20"/>
                <w:szCs w:val="20"/>
              </w:rPr>
            </w:pPr>
            <w:r w:rsidRPr="008B6A75">
              <w:rPr>
                <w:sz w:val="20"/>
                <w:szCs w:val="20"/>
              </w:rPr>
              <w:t>Закупка товаров, работ и услуг для обеспечения государственных (муниципальных) нужд</w:t>
            </w:r>
          </w:p>
        </w:tc>
        <w:tc>
          <w:tcPr>
            <w:tcW w:w="1559" w:type="dxa"/>
            <w:tcBorders>
              <w:top w:val="nil"/>
              <w:left w:val="single" w:sz="4" w:space="0" w:color="auto"/>
              <w:bottom w:val="single" w:sz="4" w:space="0" w:color="auto"/>
              <w:right w:val="nil"/>
            </w:tcBorders>
            <w:shd w:val="clear" w:color="auto" w:fill="auto"/>
            <w:noWrap/>
            <w:vAlign w:val="center"/>
            <w:hideMark/>
          </w:tcPr>
          <w:p w14:paraId="323AA011" w14:textId="77777777" w:rsidR="00387142" w:rsidRPr="008B6A75" w:rsidRDefault="00387142" w:rsidP="00387142">
            <w:pPr>
              <w:jc w:val="center"/>
              <w:rPr>
                <w:sz w:val="20"/>
                <w:szCs w:val="20"/>
              </w:rPr>
            </w:pPr>
            <w:r w:rsidRPr="008B6A75">
              <w:rPr>
                <w:sz w:val="20"/>
                <w:szCs w:val="20"/>
              </w:rPr>
              <w:t>99.0.00.01620</w:t>
            </w:r>
          </w:p>
        </w:tc>
        <w:tc>
          <w:tcPr>
            <w:tcW w:w="850" w:type="dxa"/>
            <w:tcBorders>
              <w:top w:val="nil"/>
              <w:left w:val="single" w:sz="4" w:space="0" w:color="auto"/>
              <w:bottom w:val="single" w:sz="4" w:space="0" w:color="auto"/>
              <w:right w:val="nil"/>
            </w:tcBorders>
            <w:shd w:val="clear" w:color="auto" w:fill="auto"/>
            <w:noWrap/>
            <w:vAlign w:val="center"/>
            <w:hideMark/>
          </w:tcPr>
          <w:p w14:paraId="0E1B6ABF" w14:textId="77777777" w:rsidR="00387142" w:rsidRPr="008B6A75" w:rsidRDefault="00387142" w:rsidP="00387142">
            <w:pPr>
              <w:jc w:val="center"/>
              <w:rPr>
                <w:sz w:val="20"/>
                <w:szCs w:val="20"/>
              </w:rPr>
            </w:pPr>
            <w:r w:rsidRPr="008B6A75">
              <w:rPr>
                <w:sz w:val="20"/>
                <w:szCs w:val="20"/>
              </w:rPr>
              <w:t>200</w:t>
            </w:r>
          </w:p>
        </w:tc>
        <w:tc>
          <w:tcPr>
            <w:tcW w:w="567" w:type="dxa"/>
            <w:tcBorders>
              <w:top w:val="nil"/>
              <w:left w:val="single" w:sz="4" w:space="0" w:color="auto"/>
              <w:bottom w:val="single" w:sz="4" w:space="0" w:color="auto"/>
              <w:right w:val="nil"/>
            </w:tcBorders>
            <w:shd w:val="clear" w:color="auto" w:fill="auto"/>
            <w:noWrap/>
            <w:vAlign w:val="center"/>
            <w:hideMark/>
          </w:tcPr>
          <w:p w14:paraId="4CDAC833" w14:textId="77777777" w:rsidR="00387142" w:rsidRPr="008B6A75" w:rsidRDefault="00387142" w:rsidP="00387142">
            <w:pPr>
              <w:jc w:val="center"/>
              <w:rPr>
                <w:sz w:val="20"/>
                <w:szCs w:val="20"/>
              </w:rPr>
            </w:pPr>
            <w:r w:rsidRPr="008B6A75">
              <w:rPr>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003F29D1" w14:textId="77777777" w:rsidR="00387142" w:rsidRPr="008B6A75" w:rsidRDefault="00387142" w:rsidP="00387142">
            <w:pPr>
              <w:jc w:val="center"/>
              <w:rPr>
                <w:sz w:val="20"/>
                <w:szCs w:val="20"/>
              </w:rPr>
            </w:pPr>
            <w:r w:rsidRPr="008B6A75">
              <w:rPr>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233EFE0" w14:textId="77777777" w:rsidR="00387142" w:rsidRPr="008B6A75" w:rsidRDefault="00387142" w:rsidP="00387142">
            <w:pPr>
              <w:jc w:val="right"/>
              <w:rPr>
                <w:sz w:val="20"/>
                <w:szCs w:val="20"/>
              </w:rPr>
            </w:pPr>
            <w:r w:rsidRPr="008B6A75">
              <w:rPr>
                <w:sz w:val="20"/>
                <w:szCs w:val="20"/>
              </w:rPr>
              <w:t>2 885 610,00</w:t>
            </w:r>
          </w:p>
        </w:tc>
        <w:tc>
          <w:tcPr>
            <w:tcW w:w="851" w:type="dxa"/>
            <w:tcBorders>
              <w:top w:val="nil"/>
              <w:left w:val="single" w:sz="4" w:space="0" w:color="auto"/>
              <w:bottom w:val="single" w:sz="4" w:space="0" w:color="auto"/>
              <w:right w:val="nil"/>
            </w:tcBorders>
            <w:shd w:val="clear" w:color="auto" w:fill="auto"/>
            <w:noWrap/>
            <w:vAlign w:val="center"/>
            <w:hideMark/>
          </w:tcPr>
          <w:p w14:paraId="6D8619A6" w14:textId="77777777" w:rsidR="00387142" w:rsidRPr="008B6A75" w:rsidRDefault="00387142" w:rsidP="00387142">
            <w:pPr>
              <w:jc w:val="right"/>
              <w:rPr>
                <w:sz w:val="20"/>
                <w:szCs w:val="20"/>
              </w:rPr>
            </w:pPr>
            <w:r w:rsidRPr="008B6A75">
              <w:rPr>
                <w:sz w:val="20"/>
                <w:szCs w:val="20"/>
              </w:rPr>
              <w:t>1 200 000,00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4C92E321" w14:textId="77777777" w:rsidR="00387142" w:rsidRPr="008B6A75" w:rsidRDefault="00387142" w:rsidP="00387142">
            <w:pPr>
              <w:jc w:val="right"/>
              <w:rPr>
                <w:sz w:val="20"/>
                <w:szCs w:val="20"/>
              </w:rPr>
            </w:pPr>
            <w:r w:rsidRPr="008B6A75">
              <w:rPr>
                <w:sz w:val="20"/>
                <w:szCs w:val="20"/>
              </w:rPr>
              <w:t>1 200 000,00</w:t>
            </w:r>
          </w:p>
        </w:tc>
      </w:tr>
      <w:tr w:rsidR="00387142" w:rsidRPr="008B6A75" w14:paraId="6C1FD03E" w14:textId="77777777" w:rsidTr="00387142">
        <w:trPr>
          <w:trHeight w:val="870"/>
        </w:trPr>
        <w:tc>
          <w:tcPr>
            <w:tcW w:w="272" w:type="dxa"/>
            <w:tcBorders>
              <w:top w:val="nil"/>
              <w:left w:val="nil"/>
              <w:bottom w:val="nil"/>
              <w:right w:val="single" w:sz="4" w:space="0" w:color="auto"/>
            </w:tcBorders>
            <w:shd w:val="clear" w:color="auto" w:fill="auto"/>
            <w:noWrap/>
            <w:vAlign w:val="bottom"/>
            <w:hideMark/>
          </w:tcPr>
          <w:p w14:paraId="0584F01A"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57FBC5C6" w14:textId="77777777" w:rsidR="00387142" w:rsidRPr="008B6A75" w:rsidRDefault="00387142" w:rsidP="00387142">
            <w:pPr>
              <w:rPr>
                <w:sz w:val="20"/>
                <w:szCs w:val="20"/>
              </w:rPr>
            </w:pPr>
            <w:r w:rsidRPr="008B6A75">
              <w:rPr>
                <w:sz w:val="20"/>
                <w:szCs w:val="20"/>
              </w:rPr>
              <w:t>Иные закупки товаров, работ и услуг для обеспечения государственных (муниципальных) нужд</w:t>
            </w:r>
          </w:p>
        </w:tc>
        <w:tc>
          <w:tcPr>
            <w:tcW w:w="1559" w:type="dxa"/>
            <w:tcBorders>
              <w:top w:val="nil"/>
              <w:left w:val="single" w:sz="4" w:space="0" w:color="auto"/>
              <w:bottom w:val="single" w:sz="4" w:space="0" w:color="auto"/>
              <w:right w:val="nil"/>
            </w:tcBorders>
            <w:shd w:val="clear" w:color="auto" w:fill="auto"/>
            <w:noWrap/>
            <w:vAlign w:val="center"/>
            <w:hideMark/>
          </w:tcPr>
          <w:p w14:paraId="70DF1CD6" w14:textId="77777777" w:rsidR="00387142" w:rsidRPr="008B6A75" w:rsidRDefault="00387142" w:rsidP="00387142">
            <w:pPr>
              <w:jc w:val="center"/>
              <w:rPr>
                <w:sz w:val="20"/>
                <w:szCs w:val="20"/>
              </w:rPr>
            </w:pPr>
            <w:r w:rsidRPr="008B6A75">
              <w:rPr>
                <w:sz w:val="20"/>
                <w:szCs w:val="20"/>
              </w:rPr>
              <w:t>99.0.00.01620</w:t>
            </w:r>
          </w:p>
        </w:tc>
        <w:tc>
          <w:tcPr>
            <w:tcW w:w="850" w:type="dxa"/>
            <w:tcBorders>
              <w:top w:val="nil"/>
              <w:left w:val="single" w:sz="4" w:space="0" w:color="auto"/>
              <w:bottom w:val="single" w:sz="4" w:space="0" w:color="auto"/>
              <w:right w:val="nil"/>
            </w:tcBorders>
            <w:shd w:val="clear" w:color="auto" w:fill="auto"/>
            <w:noWrap/>
            <w:vAlign w:val="center"/>
            <w:hideMark/>
          </w:tcPr>
          <w:p w14:paraId="3A622AC3" w14:textId="77777777" w:rsidR="00387142" w:rsidRPr="008B6A75" w:rsidRDefault="00387142" w:rsidP="00387142">
            <w:pPr>
              <w:jc w:val="center"/>
              <w:rPr>
                <w:sz w:val="20"/>
                <w:szCs w:val="20"/>
              </w:rPr>
            </w:pPr>
            <w:r w:rsidRPr="008B6A75">
              <w:rPr>
                <w:sz w:val="20"/>
                <w:szCs w:val="20"/>
              </w:rPr>
              <w:t>240</w:t>
            </w:r>
          </w:p>
        </w:tc>
        <w:tc>
          <w:tcPr>
            <w:tcW w:w="567" w:type="dxa"/>
            <w:tcBorders>
              <w:top w:val="nil"/>
              <w:left w:val="single" w:sz="4" w:space="0" w:color="auto"/>
              <w:bottom w:val="single" w:sz="4" w:space="0" w:color="auto"/>
              <w:right w:val="nil"/>
            </w:tcBorders>
            <w:shd w:val="clear" w:color="auto" w:fill="auto"/>
            <w:noWrap/>
            <w:vAlign w:val="center"/>
            <w:hideMark/>
          </w:tcPr>
          <w:p w14:paraId="630F5FC4" w14:textId="77777777" w:rsidR="00387142" w:rsidRPr="008B6A75" w:rsidRDefault="00387142" w:rsidP="00387142">
            <w:pPr>
              <w:jc w:val="center"/>
              <w:rPr>
                <w:sz w:val="20"/>
                <w:szCs w:val="20"/>
              </w:rPr>
            </w:pPr>
            <w:r w:rsidRPr="008B6A75">
              <w:rPr>
                <w:sz w:val="20"/>
                <w:szCs w:val="20"/>
              </w:rPr>
              <w:t>01</w:t>
            </w:r>
          </w:p>
        </w:tc>
        <w:tc>
          <w:tcPr>
            <w:tcW w:w="567" w:type="dxa"/>
            <w:tcBorders>
              <w:top w:val="nil"/>
              <w:left w:val="single" w:sz="4" w:space="0" w:color="auto"/>
              <w:bottom w:val="single" w:sz="4" w:space="0" w:color="auto"/>
              <w:right w:val="nil"/>
            </w:tcBorders>
            <w:shd w:val="clear" w:color="auto" w:fill="auto"/>
            <w:noWrap/>
            <w:vAlign w:val="center"/>
            <w:hideMark/>
          </w:tcPr>
          <w:p w14:paraId="5FD9D5BE" w14:textId="77777777" w:rsidR="00387142" w:rsidRPr="008B6A75" w:rsidRDefault="00387142" w:rsidP="00387142">
            <w:pPr>
              <w:jc w:val="center"/>
              <w:rPr>
                <w:sz w:val="20"/>
                <w:szCs w:val="20"/>
              </w:rPr>
            </w:pPr>
            <w:r w:rsidRPr="008B6A75">
              <w:rPr>
                <w:sz w:val="20"/>
                <w:szCs w:val="20"/>
              </w:rPr>
              <w:t>13</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2E9B74F" w14:textId="77777777" w:rsidR="00387142" w:rsidRPr="008B6A75" w:rsidRDefault="00387142" w:rsidP="00387142">
            <w:pPr>
              <w:jc w:val="right"/>
              <w:rPr>
                <w:sz w:val="20"/>
                <w:szCs w:val="20"/>
              </w:rPr>
            </w:pPr>
            <w:r w:rsidRPr="008B6A75">
              <w:rPr>
                <w:sz w:val="20"/>
                <w:szCs w:val="20"/>
              </w:rPr>
              <w:t>2 885 610,00</w:t>
            </w:r>
          </w:p>
        </w:tc>
        <w:tc>
          <w:tcPr>
            <w:tcW w:w="851" w:type="dxa"/>
            <w:tcBorders>
              <w:top w:val="nil"/>
              <w:left w:val="single" w:sz="4" w:space="0" w:color="auto"/>
              <w:bottom w:val="single" w:sz="4" w:space="0" w:color="auto"/>
              <w:right w:val="nil"/>
            </w:tcBorders>
            <w:shd w:val="clear" w:color="auto" w:fill="auto"/>
            <w:noWrap/>
            <w:vAlign w:val="center"/>
            <w:hideMark/>
          </w:tcPr>
          <w:p w14:paraId="1B2A3103" w14:textId="77777777" w:rsidR="00387142" w:rsidRPr="008B6A75" w:rsidRDefault="00387142" w:rsidP="00387142">
            <w:pPr>
              <w:jc w:val="right"/>
              <w:rPr>
                <w:sz w:val="20"/>
                <w:szCs w:val="20"/>
              </w:rPr>
            </w:pPr>
            <w:r w:rsidRPr="008B6A75">
              <w:rPr>
                <w:sz w:val="20"/>
                <w:szCs w:val="20"/>
              </w:rPr>
              <w:t>1 200 000,00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3CA6F55D" w14:textId="77777777" w:rsidR="00387142" w:rsidRPr="008B6A75" w:rsidRDefault="00387142" w:rsidP="00387142">
            <w:pPr>
              <w:jc w:val="right"/>
              <w:rPr>
                <w:sz w:val="20"/>
                <w:szCs w:val="20"/>
              </w:rPr>
            </w:pPr>
            <w:r w:rsidRPr="008B6A75">
              <w:rPr>
                <w:sz w:val="20"/>
                <w:szCs w:val="20"/>
              </w:rPr>
              <w:t>1 200 000,00</w:t>
            </w:r>
          </w:p>
        </w:tc>
      </w:tr>
      <w:tr w:rsidR="00387142" w:rsidRPr="008B6A75" w14:paraId="266B3FB9" w14:textId="77777777" w:rsidTr="00387142">
        <w:trPr>
          <w:trHeight w:val="585"/>
        </w:trPr>
        <w:tc>
          <w:tcPr>
            <w:tcW w:w="272" w:type="dxa"/>
            <w:tcBorders>
              <w:top w:val="nil"/>
              <w:left w:val="nil"/>
              <w:bottom w:val="nil"/>
              <w:right w:val="single" w:sz="4" w:space="0" w:color="auto"/>
            </w:tcBorders>
            <w:shd w:val="clear" w:color="auto" w:fill="auto"/>
            <w:noWrap/>
            <w:vAlign w:val="bottom"/>
            <w:hideMark/>
          </w:tcPr>
          <w:p w14:paraId="1B84C41A"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4F63CA5F" w14:textId="77777777" w:rsidR="00387142" w:rsidRPr="008B6A75" w:rsidRDefault="00387142" w:rsidP="00387142">
            <w:pPr>
              <w:rPr>
                <w:sz w:val="20"/>
                <w:szCs w:val="20"/>
              </w:rPr>
            </w:pPr>
            <w:r w:rsidRPr="008B6A75">
              <w:rPr>
                <w:sz w:val="20"/>
                <w:szCs w:val="20"/>
              </w:rPr>
              <w:t>Социальное обеспечение и иные выплаты населению</w:t>
            </w:r>
          </w:p>
        </w:tc>
        <w:tc>
          <w:tcPr>
            <w:tcW w:w="1559" w:type="dxa"/>
            <w:tcBorders>
              <w:top w:val="nil"/>
              <w:left w:val="single" w:sz="4" w:space="0" w:color="auto"/>
              <w:bottom w:val="single" w:sz="4" w:space="0" w:color="auto"/>
              <w:right w:val="nil"/>
            </w:tcBorders>
            <w:shd w:val="clear" w:color="auto" w:fill="auto"/>
            <w:noWrap/>
            <w:vAlign w:val="center"/>
            <w:hideMark/>
          </w:tcPr>
          <w:p w14:paraId="42578FCE" w14:textId="77777777" w:rsidR="00387142" w:rsidRPr="008B6A75" w:rsidRDefault="00387142" w:rsidP="00387142">
            <w:pPr>
              <w:jc w:val="center"/>
              <w:rPr>
                <w:sz w:val="20"/>
                <w:szCs w:val="20"/>
              </w:rPr>
            </w:pPr>
            <w:r w:rsidRPr="008B6A75">
              <w:rPr>
                <w:sz w:val="20"/>
                <w:szCs w:val="20"/>
              </w:rPr>
              <w:t>99.0.00.01620</w:t>
            </w:r>
          </w:p>
        </w:tc>
        <w:tc>
          <w:tcPr>
            <w:tcW w:w="850" w:type="dxa"/>
            <w:tcBorders>
              <w:top w:val="nil"/>
              <w:left w:val="single" w:sz="4" w:space="0" w:color="auto"/>
              <w:bottom w:val="single" w:sz="4" w:space="0" w:color="auto"/>
              <w:right w:val="nil"/>
            </w:tcBorders>
            <w:shd w:val="clear" w:color="auto" w:fill="auto"/>
            <w:noWrap/>
            <w:vAlign w:val="center"/>
            <w:hideMark/>
          </w:tcPr>
          <w:p w14:paraId="34349DE4" w14:textId="77777777" w:rsidR="00387142" w:rsidRPr="008B6A75" w:rsidRDefault="00387142" w:rsidP="00387142">
            <w:pPr>
              <w:jc w:val="center"/>
              <w:rPr>
                <w:sz w:val="20"/>
                <w:szCs w:val="20"/>
              </w:rPr>
            </w:pPr>
            <w:r w:rsidRPr="008B6A75">
              <w:rPr>
                <w:sz w:val="20"/>
                <w:szCs w:val="20"/>
              </w:rPr>
              <w:t>300</w:t>
            </w:r>
          </w:p>
        </w:tc>
        <w:tc>
          <w:tcPr>
            <w:tcW w:w="567" w:type="dxa"/>
            <w:tcBorders>
              <w:top w:val="nil"/>
              <w:left w:val="single" w:sz="4" w:space="0" w:color="auto"/>
              <w:bottom w:val="single" w:sz="4" w:space="0" w:color="auto"/>
              <w:right w:val="nil"/>
            </w:tcBorders>
            <w:shd w:val="clear" w:color="auto" w:fill="auto"/>
            <w:noWrap/>
            <w:vAlign w:val="center"/>
            <w:hideMark/>
          </w:tcPr>
          <w:p w14:paraId="6199F550" w14:textId="77777777" w:rsidR="00387142" w:rsidRPr="008B6A75" w:rsidRDefault="00387142" w:rsidP="00387142">
            <w:pPr>
              <w:jc w:val="center"/>
              <w:rPr>
                <w:sz w:val="20"/>
                <w:szCs w:val="20"/>
              </w:rPr>
            </w:pPr>
            <w:r w:rsidRPr="008B6A75">
              <w:rPr>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6A64F4D2" w14:textId="77777777" w:rsidR="00387142" w:rsidRPr="008B6A75" w:rsidRDefault="00387142" w:rsidP="00387142">
            <w:pPr>
              <w:jc w:val="center"/>
              <w:rPr>
                <w:sz w:val="20"/>
                <w:szCs w:val="20"/>
              </w:rPr>
            </w:pPr>
            <w:r w:rsidRPr="008B6A75">
              <w:rPr>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E1118AC" w14:textId="77777777" w:rsidR="00387142" w:rsidRPr="008B6A75" w:rsidRDefault="00387142" w:rsidP="00387142">
            <w:pPr>
              <w:jc w:val="right"/>
              <w:rPr>
                <w:sz w:val="20"/>
                <w:szCs w:val="20"/>
              </w:rPr>
            </w:pPr>
            <w:r w:rsidRPr="008B6A75">
              <w:rPr>
                <w:sz w:val="20"/>
                <w:szCs w:val="20"/>
              </w:rPr>
              <w:t>114 940,00</w:t>
            </w:r>
          </w:p>
        </w:tc>
        <w:tc>
          <w:tcPr>
            <w:tcW w:w="851" w:type="dxa"/>
            <w:tcBorders>
              <w:top w:val="nil"/>
              <w:left w:val="single" w:sz="4" w:space="0" w:color="auto"/>
              <w:bottom w:val="single" w:sz="4" w:space="0" w:color="auto"/>
              <w:right w:val="nil"/>
            </w:tcBorders>
            <w:shd w:val="clear" w:color="auto" w:fill="auto"/>
            <w:noWrap/>
            <w:vAlign w:val="center"/>
            <w:hideMark/>
          </w:tcPr>
          <w:p w14:paraId="30EC460B" w14:textId="77777777" w:rsidR="00387142" w:rsidRPr="008B6A75" w:rsidRDefault="00387142" w:rsidP="00387142">
            <w:pPr>
              <w:jc w:val="right"/>
              <w:rPr>
                <w:sz w:val="20"/>
                <w:szCs w:val="20"/>
              </w:rPr>
            </w:pPr>
            <w:r w:rsidRPr="008B6A75">
              <w:rPr>
                <w:sz w:val="20"/>
                <w:szCs w:val="20"/>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7347D960" w14:textId="77777777" w:rsidR="00387142" w:rsidRPr="008B6A75" w:rsidRDefault="00387142" w:rsidP="00387142">
            <w:pPr>
              <w:jc w:val="right"/>
              <w:rPr>
                <w:sz w:val="20"/>
                <w:szCs w:val="20"/>
              </w:rPr>
            </w:pPr>
            <w:r w:rsidRPr="008B6A75">
              <w:rPr>
                <w:sz w:val="20"/>
                <w:szCs w:val="20"/>
              </w:rPr>
              <w:t>0,00</w:t>
            </w:r>
          </w:p>
        </w:tc>
      </w:tr>
      <w:tr w:rsidR="00387142" w:rsidRPr="008B6A75" w14:paraId="2D4FF42F" w14:textId="77777777" w:rsidTr="00387142">
        <w:trPr>
          <w:trHeight w:val="300"/>
        </w:trPr>
        <w:tc>
          <w:tcPr>
            <w:tcW w:w="272" w:type="dxa"/>
            <w:tcBorders>
              <w:top w:val="nil"/>
              <w:left w:val="nil"/>
              <w:bottom w:val="nil"/>
              <w:right w:val="single" w:sz="4" w:space="0" w:color="auto"/>
            </w:tcBorders>
            <w:shd w:val="clear" w:color="auto" w:fill="auto"/>
            <w:noWrap/>
            <w:vAlign w:val="bottom"/>
            <w:hideMark/>
          </w:tcPr>
          <w:p w14:paraId="7B785BD1"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5367694B" w14:textId="77777777" w:rsidR="00387142" w:rsidRPr="008B6A75" w:rsidRDefault="00387142" w:rsidP="00387142">
            <w:pPr>
              <w:rPr>
                <w:sz w:val="20"/>
                <w:szCs w:val="20"/>
              </w:rPr>
            </w:pPr>
            <w:r w:rsidRPr="008B6A75">
              <w:rPr>
                <w:sz w:val="20"/>
                <w:szCs w:val="20"/>
              </w:rPr>
              <w:t>Иные выплаты населению</w:t>
            </w:r>
          </w:p>
        </w:tc>
        <w:tc>
          <w:tcPr>
            <w:tcW w:w="1559" w:type="dxa"/>
            <w:tcBorders>
              <w:top w:val="nil"/>
              <w:left w:val="single" w:sz="4" w:space="0" w:color="auto"/>
              <w:bottom w:val="single" w:sz="4" w:space="0" w:color="auto"/>
              <w:right w:val="nil"/>
            </w:tcBorders>
            <w:shd w:val="clear" w:color="auto" w:fill="auto"/>
            <w:noWrap/>
            <w:vAlign w:val="center"/>
            <w:hideMark/>
          </w:tcPr>
          <w:p w14:paraId="413F5290" w14:textId="77777777" w:rsidR="00387142" w:rsidRPr="008B6A75" w:rsidRDefault="00387142" w:rsidP="00387142">
            <w:pPr>
              <w:jc w:val="center"/>
              <w:rPr>
                <w:sz w:val="20"/>
                <w:szCs w:val="20"/>
              </w:rPr>
            </w:pPr>
            <w:r w:rsidRPr="008B6A75">
              <w:rPr>
                <w:sz w:val="20"/>
                <w:szCs w:val="20"/>
              </w:rPr>
              <w:t>99.0.00.01620</w:t>
            </w:r>
          </w:p>
        </w:tc>
        <w:tc>
          <w:tcPr>
            <w:tcW w:w="850" w:type="dxa"/>
            <w:tcBorders>
              <w:top w:val="nil"/>
              <w:left w:val="single" w:sz="4" w:space="0" w:color="auto"/>
              <w:bottom w:val="single" w:sz="4" w:space="0" w:color="auto"/>
              <w:right w:val="nil"/>
            </w:tcBorders>
            <w:shd w:val="clear" w:color="auto" w:fill="auto"/>
            <w:noWrap/>
            <w:vAlign w:val="center"/>
            <w:hideMark/>
          </w:tcPr>
          <w:p w14:paraId="354F42DE" w14:textId="77777777" w:rsidR="00387142" w:rsidRPr="008B6A75" w:rsidRDefault="00387142" w:rsidP="00387142">
            <w:pPr>
              <w:jc w:val="center"/>
              <w:rPr>
                <w:sz w:val="20"/>
                <w:szCs w:val="20"/>
              </w:rPr>
            </w:pPr>
            <w:r w:rsidRPr="008B6A75">
              <w:rPr>
                <w:sz w:val="20"/>
                <w:szCs w:val="20"/>
              </w:rPr>
              <w:t>360</w:t>
            </w:r>
          </w:p>
        </w:tc>
        <w:tc>
          <w:tcPr>
            <w:tcW w:w="567" w:type="dxa"/>
            <w:tcBorders>
              <w:top w:val="nil"/>
              <w:left w:val="single" w:sz="4" w:space="0" w:color="auto"/>
              <w:bottom w:val="single" w:sz="4" w:space="0" w:color="auto"/>
              <w:right w:val="nil"/>
            </w:tcBorders>
            <w:shd w:val="clear" w:color="auto" w:fill="auto"/>
            <w:noWrap/>
            <w:vAlign w:val="center"/>
            <w:hideMark/>
          </w:tcPr>
          <w:p w14:paraId="3CC50F59" w14:textId="77777777" w:rsidR="00387142" w:rsidRPr="008B6A75" w:rsidRDefault="00387142" w:rsidP="00387142">
            <w:pPr>
              <w:jc w:val="center"/>
              <w:rPr>
                <w:sz w:val="20"/>
                <w:szCs w:val="20"/>
              </w:rPr>
            </w:pPr>
            <w:r w:rsidRPr="008B6A75">
              <w:rPr>
                <w:sz w:val="20"/>
                <w:szCs w:val="20"/>
              </w:rPr>
              <w:t>01</w:t>
            </w:r>
          </w:p>
        </w:tc>
        <w:tc>
          <w:tcPr>
            <w:tcW w:w="567" w:type="dxa"/>
            <w:tcBorders>
              <w:top w:val="nil"/>
              <w:left w:val="single" w:sz="4" w:space="0" w:color="auto"/>
              <w:bottom w:val="single" w:sz="4" w:space="0" w:color="auto"/>
              <w:right w:val="nil"/>
            </w:tcBorders>
            <w:shd w:val="clear" w:color="auto" w:fill="auto"/>
            <w:noWrap/>
            <w:vAlign w:val="center"/>
            <w:hideMark/>
          </w:tcPr>
          <w:p w14:paraId="6EEA94DB" w14:textId="77777777" w:rsidR="00387142" w:rsidRPr="008B6A75" w:rsidRDefault="00387142" w:rsidP="00387142">
            <w:pPr>
              <w:jc w:val="center"/>
              <w:rPr>
                <w:sz w:val="20"/>
                <w:szCs w:val="20"/>
              </w:rPr>
            </w:pPr>
            <w:r w:rsidRPr="008B6A75">
              <w:rPr>
                <w:sz w:val="20"/>
                <w:szCs w:val="20"/>
              </w:rPr>
              <w:t>13</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85D995C" w14:textId="77777777" w:rsidR="00387142" w:rsidRPr="008B6A75" w:rsidRDefault="00387142" w:rsidP="00387142">
            <w:pPr>
              <w:jc w:val="right"/>
              <w:rPr>
                <w:sz w:val="20"/>
                <w:szCs w:val="20"/>
              </w:rPr>
            </w:pPr>
            <w:r w:rsidRPr="008B6A75">
              <w:rPr>
                <w:sz w:val="20"/>
                <w:szCs w:val="20"/>
              </w:rPr>
              <w:t>114 940,00</w:t>
            </w:r>
          </w:p>
        </w:tc>
        <w:tc>
          <w:tcPr>
            <w:tcW w:w="851" w:type="dxa"/>
            <w:tcBorders>
              <w:top w:val="nil"/>
              <w:left w:val="single" w:sz="4" w:space="0" w:color="auto"/>
              <w:bottom w:val="single" w:sz="4" w:space="0" w:color="auto"/>
              <w:right w:val="nil"/>
            </w:tcBorders>
            <w:shd w:val="clear" w:color="auto" w:fill="auto"/>
            <w:noWrap/>
            <w:vAlign w:val="center"/>
            <w:hideMark/>
          </w:tcPr>
          <w:p w14:paraId="79D12560" w14:textId="77777777" w:rsidR="00387142" w:rsidRPr="008B6A75" w:rsidRDefault="00387142" w:rsidP="00387142">
            <w:pPr>
              <w:jc w:val="right"/>
              <w:rPr>
                <w:sz w:val="20"/>
                <w:szCs w:val="20"/>
              </w:rPr>
            </w:pPr>
            <w:r w:rsidRPr="008B6A75">
              <w:rPr>
                <w:sz w:val="20"/>
                <w:szCs w:val="20"/>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6793D49A" w14:textId="77777777" w:rsidR="00387142" w:rsidRPr="008B6A75" w:rsidRDefault="00387142" w:rsidP="00387142">
            <w:pPr>
              <w:jc w:val="right"/>
              <w:rPr>
                <w:sz w:val="20"/>
                <w:szCs w:val="20"/>
              </w:rPr>
            </w:pPr>
            <w:r w:rsidRPr="008B6A75">
              <w:rPr>
                <w:sz w:val="20"/>
                <w:szCs w:val="20"/>
              </w:rPr>
              <w:t>0,00</w:t>
            </w:r>
          </w:p>
        </w:tc>
      </w:tr>
      <w:tr w:rsidR="00387142" w:rsidRPr="008B6A75" w14:paraId="44C20E66" w14:textId="77777777" w:rsidTr="00387142">
        <w:trPr>
          <w:trHeight w:val="870"/>
        </w:trPr>
        <w:tc>
          <w:tcPr>
            <w:tcW w:w="272" w:type="dxa"/>
            <w:tcBorders>
              <w:top w:val="nil"/>
              <w:left w:val="nil"/>
              <w:bottom w:val="nil"/>
              <w:right w:val="single" w:sz="4" w:space="0" w:color="auto"/>
            </w:tcBorders>
            <w:shd w:val="clear" w:color="auto" w:fill="auto"/>
            <w:noWrap/>
            <w:vAlign w:val="bottom"/>
            <w:hideMark/>
          </w:tcPr>
          <w:p w14:paraId="6F57798D"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09DF0532" w14:textId="77777777" w:rsidR="00387142" w:rsidRPr="008B6A75" w:rsidRDefault="00387142" w:rsidP="00387142">
            <w:pPr>
              <w:rPr>
                <w:sz w:val="20"/>
                <w:szCs w:val="20"/>
              </w:rPr>
            </w:pPr>
            <w:r w:rsidRPr="008B6A75">
              <w:rPr>
                <w:sz w:val="20"/>
                <w:szCs w:val="20"/>
              </w:rPr>
              <w:t>Капитальные вложения в объекты государственной (муниципальной) собственности</w:t>
            </w:r>
          </w:p>
        </w:tc>
        <w:tc>
          <w:tcPr>
            <w:tcW w:w="1559" w:type="dxa"/>
            <w:tcBorders>
              <w:top w:val="nil"/>
              <w:left w:val="single" w:sz="4" w:space="0" w:color="auto"/>
              <w:bottom w:val="single" w:sz="4" w:space="0" w:color="auto"/>
              <w:right w:val="nil"/>
            </w:tcBorders>
            <w:shd w:val="clear" w:color="auto" w:fill="auto"/>
            <w:noWrap/>
            <w:vAlign w:val="center"/>
            <w:hideMark/>
          </w:tcPr>
          <w:p w14:paraId="4BD70317" w14:textId="77777777" w:rsidR="00387142" w:rsidRPr="008B6A75" w:rsidRDefault="00387142" w:rsidP="00387142">
            <w:pPr>
              <w:jc w:val="center"/>
              <w:rPr>
                <w:sz w:val="20"/>
                <w:szCs w:val="20"/>
              </w:rPr>
            </w:pPr>
            <w:r w:rsidRPr="008B6A75">
              <w:rPr>
                <w:sz w:val="20"/>
                <w:szCs w:val="20"/>
              </w:rPr>
              <w:t>99.0.00.01620</w:t>
            </w:r>
          </w:p>
        </w:tc>
        <w:tc>
          <w:tcPr>
            <w:tcW w:w="850" w:type="dxa"/>
            <w:tcBorders>
              <w:top w:val="nil"/>
              <w:left w:val="single" w:sz="4" w:space="0" w:color="auto"/>
              <w:bottom w:val="single" w:sz="4" w:space="0" w:color="auto"/>
              <w:right w:val="nil"/>
            </w:tcBorders>
            <w:shd w:val="clear" w:color="auto" w:fill="auto"/>
            <w:noWrap/>
            <w:vAlign w:val="center"/>
            <w:hideMark/>
          </w:tcPr>
          <w:p w14:paraId="129E5E7A" w14:textId="77777777" w:rsidR="00387142" w:rsidRPr="008B6A75" w:rsidRDefault="00387142" w:rsidP="00387142">
            <w:pPr>
              <w:jc w:val="center"/>
              <w:rPr>
                <w:sz w:val="20"/>
                <w:szCs w:val="20"/>
              </w:rPr>
            </w:pPr>
            <w:r w:rsidRPr="008B6A75">
              <w:rPr>
                <w:sz w:val="20"/>
                <w:szCs w:val="20"/>
              </w:rPr>
              <w:t>400</w:t>
            </w:r>
          </w:p>
        </w:tc>
        <w:tc>
          <w:tcPr>
            <w:tcW w:w="567" w:type="dxa"/>
            <w:tcBorders>
              <w:top w:val="nil"/>
              <w:left w:val="single" w:sz="4" w:space="0" w:color="auto"/>
              <w:bottom w:val="single" w:sz="4" w:space="0" w:color="auto"/>
              <w:right w:val="nil"/>
            </w:tcBorders>
            <w:shd w:val="clear" w:color="auto" w:fill="auto"/>
            <w:noWrap/>
            <w:vAlign w:val="center"/>
            <w:hideMark/>
          </w:tcPr>
          <w:p w14:paraId="609B2EFB" w14:textId="77777777" w:rsidR="00387142" w:rsidRPr="008B6A75" w:rsidRDefault="00387142" w:rsidP="00387142">
            <w:pPr>
              <w:jc w:val="center"/>
              <w:rPr>
                <w:sz w:val="20"/>
                <w:szCs w:val="20"/>
              </w:rPr>
            </w:pPr>
            <w:r w:rsidRPr="008B6A75">
              <w:rPr>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3C664A05" w14:textId="77777777" w:rsidR="00387142" w:rsidRPr="008B6A75" w:rsidRDefault="00387142" w:rsidP="00387142">
            <w:pPr>
              <w:jc w:val="center"/>
              <w:rPr>
                <w:sz w:val="20"/>
                <w:szCs w:val="20"/>
              </w:rPr>
            </w:pPr>
            <w:r w:rsidRPr="008B6A75">
              <w:rPr>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B327ECE" w14:textId="77777777" w:rsidR="00387142" w:rsidRPr="008B6A75" w:rsidRDefault="00387142" w:rsidP="00387142">
            <w:pPr>
              <w:jc w:val="right"/>
              <w:rPr>
                <w:sz w:val="20"/>
                <w:szCs w:val="20"/>
              </w:rPr>
            </w:pPr>
            <w:r w:rsidRPr="008B6A75">
              <w:rPr>
                <w:sz w:val="20"/>
                <w:szCs w:val="20"/>
              </w:rPr>
              <w:t>5 241 686,08</w:t>
            </w:r>
          </w:p>
        </w:tc>
        <w:tc>
          <w:tcPr>
            <w:tcW w:w="851" w:type="dxa"/>
            <w:tcBorders>
              <w:top w:val="nil"/>
              <w:left w:val="single" w:sz="4" w:space="0" w:color="auto"/>
              <w:bottom w:val="single" w:sz="4" w:space="0" w:color="auto"/>
              <w:right w:val="nil"/>
            </w:tcBorders>
            <w:shd w:val="clear" w:color="auto" w:fill="auto"/>
            <w:noWrap/>
            <w:vAlign w:val="center"/>
            <w:hideMark/>
          </w:tcPr>
          <w:p w14:paraId="1B376846" w14:textId="77777777" w:rsidR="00387142" w:rsidRPr="008B6A75" w:rsidRDefault="00387142" w:rsidP="00387142">
            <w:pPr>
              <w:jc w:val="right"/>
              <w:rPr>
                <w:sz w:val="20"/>
                <w:szCs w:val="20"/>
              </w:rPr>
            </w:pPr>
            <w:r w:rsidRPr="008B6A75">
              <w:rPr>
                <w:sz w:val="20"/>
                <w:szCs w:val="20"/>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37A80B30" w14:textId="77777777" w:rsidR="00387142" w:rsidRPr="008B6A75" w:rsidRDefault="00387142" w:rsidP="00387142">
            <w:pPr>
              <w:jc w:val="right"/>
              <w:rPr>
                <w:sz w:val="20"/>
                <w:szCs w:val="20"/>
              </w:rPr>
            </w:pPr>
            <w:r w:rsidRPr="008B6A75">
              <w:rPr>
                <w:sz w:val="20"/>
                <w:szCs w:val="20"/>
              </w:rPr>
              <w:t>0,00</w:t>
            </w:r>
          </w:p>
        </w:tc>
      </w:tr>
      <w:tr w:rsidR="00387142" w:rsidRPr="008B6A75" w14:paraId="072B1D4D" w14:textId="77777777" w:rsidTr="00387142">
        <w:trPr>
          <w:trHeight w:val="300"/>
        </w:trPr>
        <w:tc>
          <w:tcPr>
            <w:tcW w:w="272" w:type="dxa"/>
            <w:tcBorders>
              <w:top w:val="nil"/>
              <w:left w:val="nil"/>
              <w:bottom w:val="nil"/>
              <w:right w:val="single" w:sz="4" w:space="0" w:color="auto"/>
            </w:tcBorders>
            <w:shd w:val="clear" w:color="auto" w:fill="auto"/>
            <w:noWrap/>
            <w:vAlign w:val="bottom"/>
            <w:hideMark/>
          </w:tcPr>
          <w:p w14:paraId="63AF305A"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52DEC99B" w14:textId="77777777" w:rsidR="00387142" w:rsidRPr="008B6A75" w:rsidRDefault="00387142" w:rsidP="00387142">
            <w:pPr>
              <w:rPr>
                <w:sz w:val="20"/>
                <w:szCs w:val="20"/>
              </w:rPr>
            </w:pPr>
            <w:r w:rsidRPr="008B6A75">
              <w:rPr>
                <w:sz w:val="20"/>
                <w:szCs w:val="20"/>
              </w:rPr>
              <w:t>Бюджетные инвестиции</w:t>
            </w:r>
          </w:p>
        </w:tc>
        <w:tc>
          <w:tcPr>
            <w:tcW w:w="1559" w:type="dxa"/>
            <w:tcBorders>
              <w:top w:val="nil"/>
              <w:left w:val="single" w:sz="4" w:space="0" w:color="auto"/>
              <w:bottom w:val="single" w:sz="4" w:space="0" w:color="auto"/>
              <w:right w:val="nil"/>
            </w:tcBorders>
            <w:shd w:val="clear" w:color="auto" w:fill="auto"/>
            <w:noWrap/>
            <w:vAlign w:val="center"/>
            <w:hideMark/>
          </w:tcPr>
          <w:p w14:paraId="47E92224" w14:textId="77777777" w:rsidR="00387142" w:rsidRPr="008B6A75" w:rsidRDefault="00387142" w:rsidP="00387142">
            <w:pPr>
              <w:jc w:val="center"/>
              <w:rPr>
                <w:sz w:val="20"/>
                <w:szCs w:val="20"/>
              </w:rPr>
            </w:pPr>
            <w:r w:rsidRPr="008B6A75">
              <w:rPr>
                <w:sz w:val="20"/>
                <w:szCs w:val="20"/>
              </w:rPr>
              <w:t>99.0.00.01620</w:t>
            </w:r>
          </w:p>
        </w:tc>
        <w:tc>
          <w:tcPr>
            <w:tcW w:w="850" w:type="dxa"/>
            <w:tcBorders>
              <w:top w:val="nil"/>
              <w:left w:val="single" w:sz="4" w:space="0" w:color="auto"/>
              <w:bottom w:val="single" w:sz="4" w:space="0" w:color="auto"/>
              <w:right w:val="nil"/>
            </w:tcBorders>
            <w:shd w:val="clear" w:color="auto" w:fill="auto"/>
            <w:noWrap/>
            <w:vAlign w:val="center"/>
            <w:hideMark/>
          </w:tcPr>
          <w:p w14:paraId="55CF88F5" w14:textId="77777777" w:rsidR="00387142" w:rsidRPr="008B6A75" w:rsidRDefault="00387142" w:rsidP="00387142">
            <w:pPr>
              <w:jc w:val="center"/>
              <w:rPr>
                <w:sz w:val="20"/>
                <w:szCs w:val="20"/>
              </w:rPr>
            </w:pPr>
            <w:r w:rsidRPr="008B6A75">
              <w:rPr>
                <w:sz w:val="20"/>
                <w:szCs w:val="20"/>
              </w:rPr>
              <w:t>410</w:t>
            </w:r>
          </w:p>
        </w:tc>
        <w:tc>
          <w:tcPr>
            <w:tcW w:w="567" w:type="dxa"/>
            <w:tcBorders>
              <w:top w:val="nil"/>
              <w:left w:val="single" w:sz="4" w:space="0" w:color="auto"/>
              <w:bottom w:val="single" w:sz="4" w:space="0" w:color="auto"/>
              <w:right w:val="nil"/>
            </w:tcBorders>
            <w:shd w:val="clear" w:color="auto" w:fill="auto"/>
            <w:noWrap/>
            <w:vAlign w:val="center"/>
            <w:hideMark/>
          </w:tcPr>
          <w:p w14:paraId="15C5FC98" w14:textId="77777777" w:rsidR="00387142" w:rsidRPr="008B6A75" w:rsidRDefault="00387142" w:rsidP="00387142">
            <w:pPr>
              <w:jc w:val="center"/>
              <w:rPr>
                <w:sz w:val="20"/>
                <w:szCs w:val="20"/>
              </w:rPr>
            </w:pPr>
            <w:r w:rsidRPr="008B6A75">
              <w:rPr>
                <w:sz w:val="20"/>
                <w:szCs w:val="20"/>
              </w:rPr>
              <w:t>01</w:t>
            </w:r>
          </w:p>
        </w:tc>
        <w:tc>
          <w:tcPr>
            <w:tcW w:w="567" w:type="dxa"/>
            <w:tcBorders>
              <w:top w:val="nil"/>
              <w:left w:val="single" w:sz="4" w:space="0" w:color="auto"/>
              <w:bottom w:val="single" w:sz="4" w:space="0" w:color="auto"/>
              <w:right w:val="nil"/>
            </w:tcBorders>
            <w:shd w:val="clear" w:color="auto" w:fill="auto"/>
            <w:noWrap/>
            <w:vAlign w:val="center"/>
            <w:hideMark/>
          </w:tcPr>
          <w:p w14:paraId="677801AC" w14:textId="77777777" w:rsidR="00387142" w:rsidRPr="008B6A75" w:rsidRDefault="00387142" w:rsidP="00387142">
            <w:pPr>
              <w:jc w:val="center"/>
              <w:rPr>
                <w:sz w:val="20"/>
                <w:szCs w:val="20"/>
              </w:rPr>
            </w:pPr>
            <w:r w:rsidRPr="008B6A75">
              <w:rPr>
                <w:sz w:val="20"/>
                <w:szCs w:val="20"/>
              </w:rPr>
              <w:t>13</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1E51501" w14:textId="77777777" w:rsidR="00387142" w:rsidRPr="008B6A75" w:rsidRDefault="00387142" w:rsidP="00387142">
            <w:pPr>
              <w:jc w:val="right"/>
              <w:rPr>
                <w:sz w:val="20"/>
                <w:szCs w:val="20"/>
              </w:rPr>
            </w:pPr>
            <w:r w:rsidRPr="008B6A75">
              <w:rPr>
                <w:sz w:val="20"/>
                <w:szCs w:val="20"/>
              </w:rPr>
              <w:t>5 241 686,08</w:t>
            </w:r>
          </w:p>
        </w:tc>
        <w:tc>
          <w:tcPr>
            <w:tcW w:w="851" w:type="dxa"/>
            <w:tcBorders>
              <w:top w:val="nil"/>
              <w:left w:val="single" w:sz="4" w:space="0" w:color="auto"/>
              <w:bottom w:val="single" w:sz="4" w:space="0" w:color="auto"/>
              <w:right w:val="nil"/>
            </w:tcBorders>
            <w:shd w:val="clear" w:color="auto" w:fill="auto"/>
            <w:noWrap/>
            <w:vAlign w:val="center"/>
            <w:hideMark/>
          </w:tcPr>
          <w:p w14:paraId="4C6381F5" w14:textId="77777777" w:rsidR="00387142" w:rsidRPr="008B6A75" w:rsidRDefault="00387142" w:rsidP="00387142">
            <w:pPr>
              <w:jc w:val="right"/>
              <w:rPr>
                <w:sz w:val="20"/>
                <w:szCs w:val="20"/>
              </w:rPr>
            </w:pPr>
            <w:r w:rsidRPr="008B6A75">
              <w:rPr>
                <w:sz w:val="20"/>
                <w:szCs w:val="20"/>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207D6F7F" w14:textId="77777777" w:rsidR="00387142" w:rsidRPr="008B6A75" w:rsidRDefault="00387142" w:rsidP="00387142">
            <w:pPr>
              <w:jc w:val="right"/>
              <w:rPr>
                <w:sz w:val="20"/>
                <w:szCs w:val="20"/>
              </w:rPr>
            </w:pPr>
            <w:r w:rsidRPr="008B6A75">
              <w:rPr>
                <w:sz w:val="20"/>
                <w:szCs w:val="20"/>
              </w:rPr>
              <w:t>0,00</w:t>
            </w:r>
          </w:p>
        </w:tc>
      </w:tr>
      <w:tr w:rsidR="00387142" w:rsidRPr="008B6A75" w14:paraId="17B37571" w14:textId="77777777" w:rsidTr="00387142">
        <w:trPr>
          <w:trHeight w:val="300"/>
        </w:trPr>
        <w:tc>
          <w:tcPr>
            <w:tcW w:w="272" w:type="dxa"/>
            <w:tcBorders>
              <w:top w:val="nil"/>
              <w:left w:val="nil"/>
              <w:bottom w:val="nil"/>
              <w:right w:val="single" w:sz="4" w:space="0" w:color="auto"/>
            </w:tcBorders>
            <w:shd w:val="clear" w:color="auto" w:fill="auto"/>
            <w:noWrap/>
            <w:vAlign w:val="bottom"/>
            <w:hideMark/>
          </w:tcPr>
          <w:p w14:paraId="1C0FD55D"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267901B7" w14:textId="77777777" w:rsidR="00387142" w:rsidRPr="008B6A75" w:rsidRDefault="00387142" w:rsidP="00387142">
            <w:pPr>
              <w:rPr>
                <w:sz w:val="20"/>
                <w:szCs w:val="20"/>
              </w:rPr>
            </w:pPr>
            <w:r w:rsidRPr="008B6A75">
              <w:rPr>
                <w:sz w:val="20"/>
                <w:szCs w:val="20"/>
              </w:rPr>
              <w:t>Иные бюджетные ассигнования</w:t>
            </w:r>
          </w:p>
        </w:tc>
        <w:tc>
          <w:tcPr>
            <w:tcW w:w="1559" w:type="dxa"/>
            <w:tcBorders>
              <w:top w:val="nil"/>
              <w:left w:val="single" w:sz="4" w:space="0" w:color="auto"/>
              <w:bottom w:val="single" w:sz="4" w:space="0" w:color="auto"/>
              <w:right w:val="nil"/>
            </w:tcBorders>
            <w:shd w:val="clear" w:color="auto" w:fill="auto"/>
            <w:noWrap/>
            <w:vAlign w:val="center"/>
            <w:hideMark/>
          </w:tcPr>
          <w:p w14:paraId="0B43946A" w14:textId="77777777" w:rsidR="00387142" w:rsidRPr="008B6A75" w:rsidRDefault="00387142" w:rsidP="00387142">
            <w:pPr>
              <w:jc w:val="center"/>
              <w:rPr>
                <w:sz w:val="20"/>
                <w:szCs w:val="20"/>
              </w:rPr>
            </w:pPr>
            <w:r w:rsidRPr="008B6A75">
              <w:rPr>
                <w:sz w:val="20"/>
                <w:szCs w:val="20"/>
              </w:rPr>
              <w:t>99.0.00.01620</w:t>
            </w:r>
          </w:p>
        </w:tc>
        <w:tc>
          <w:tcPr>
            <w:tcW w:w="850" w:type="dxa"/>
            <w:tcBorders>
              <w:top w:val="nil"/>
              <w:left w:val="single" w:sz="4" w:space="0" w:color="auto"/>
              <w:bottom w:val="single" w:sz="4" w:space="0" w:color="auto"/>
              <w:right w:val="nil"/>
            </w:tcBorders>
            <w:shd w:val="clear" w:color="auto" w:fill="auto"/>
            <w:noWrap/>
            <w:vAlign w:val="center"/>
            <w:hideMark/>
          </w:tcPr>
          <w:p w14:paraId="3AA14C33" w14:textId="77777777" w:rsidR="00387142" w:rsidRPr="008B6A75" w:rsidRDefault="00387142" w:rsidP="00387142">
            <w:pPr>
              <w:jc w:val="center"/>
              <w:rPr>
                <w:sz w:val="20"/>
                <w:szCs w:val="20"/>
              </w:rPr>
            </w:pPr>
            <w:r w:rsidRPr="008B6A75">
              <w:rPr>
                <w:sz w:val="20"/>
                <w:szCs w:val="20"/>
              </w:rPr>
              <w:t>800</w:t>
            </w:r>
          </w:p>
        </w:tc>
        <w:tc>
          <w:tcPr>
            <w:tcW w:w="567" w:type="dxa"/>
            <w:tcBorders>
              <w:top w:val="nil"/>
              <w:left w:val="single" w:sz="4" w:space="0" w:color="auto"/>
              <w:bottom w:val="single" w:sz="4" w:space="0" w:color="auto"/>
              <w:right w:val="nil"/>
            </w:tcBorders>
            <w:shd w:val="clear" w:color="auto" w:fill="auto"/>
            <w:noWrap/>
            <w:vAlign w:val="center"/>
            <w:hideMark/>
          </w:tcPr>
          <w:p w14:paraId="58F50203" w14:textId="77777777" w:rsidR="00387142" w:rsidRPr="008B6A75" w:rsidRDefault="00387142" w:rsidP="00387142">
            <w:pPr>
              <w:jc w:val="center"/>
              <w:rPr>
                <w:sz w:val="20"/>
                <w:szCs w:val="20"/>
              </w:rPr>
            </w:pPr>
            <w:r w:rsidRPr="008B6A75">
              <w:rPr>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4A5B23DA" w14:textId="77777777" w:rsidR="00387142" w:rsidRPr="008B6A75" w:rsidRDefault="00387142" w:rsidP="00387142">
            <w:pPr>
              <w:jc w:val="center"/>
              <w:rPr>
                <w:sz w:val="20"/>
                <w:szCs w:val="20"/>
              </w:rPr>
            </w:pPr>
            <w:r w:rsidRPr="008B6A75">
              <w:rPr>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57B3837" w14:textId="77777777" w:rsidR="00387142" w:rsidRPr="008B6A75" w:rsidRDefault="00387142" w:rsidP="00387142">
            <w:pPr>
              <w:jc w:val="right"/>
              <w:rPr>
                <w:sz w:val="20"/>
                <w:szCs w:val="20"/>
              </w:rPr>
            </w:pPr>
            <w:r w:rsidRPr="008B6A75">
              <w:rPr>
                <w:sz w:val="20"/>
                <w:szCs w:val="20"/>
              </w:rPr>
              <w:t>56 100,00</w:t>
            </w:r>
          </w:p>
        </w:tc>
        <w:tc>
          <w:tcPr>
            <w:tcW w:w="851" w:type="dxa"/>
            <w:tcBorders>
              <w:top w:val="nil"/>
              <w:left w:val="single" w:sz="4" w:space="0" w:color="auto"/>
              <w:bottom w:val="single" w:sz="4" w:space="0" w:color="auto"/>
              <w:right w:val="nil"/>
            </w:tcBorders>
            <w:shd w:val="clear" w:color="auto" w:fill="auto"/>
            <w:noWrap/>
            <w:vAlign w:val="center"/>
            <w:hideMark/>
          </w:tcPr>
          <w:p w14:paraId="03285D8B" w14:textId="77777777" w:rsidR="00387142" w:rsidRPr="008B6A75" w:rsidRDefault="00387142" w:rsidP="00387142">
            <w:pPr>
              <w:jc w:val="right"/>
              <w:rPr>
                <w:sz w:val="20"/>
                <w:szCs w:val="20"/>
              </w:rPr>
            </w:pPr>
            <w:r w:rsidRPr="008B6A75">
              <w:rPr>
                <w:sz w:val="20"/>
                <w:szCs w:val="20"/>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3E993C84" w14:textId="77777777" w:rsidR="00387142" w:rsidRPr="008B6A75" w:rsidRDefault="00387142" w:rsidP="00387142">
            <w:pPr>
              <w:jc w:val="right"/>
              <w:rPr>
                <w:sz w:val="20"/>
                <w:szCs w:val="20"/>
              </w:rPr>
            </w:pPr>
            <w:r w:rsidRPr="008B6A75">
              <w:rPr>
                <w:sz w:val="20"/>
                <w:szCs w:val="20"/>
              </w:rPr>
              <w:t>0,00</w:t>
            </w:r>
          </w:p>
        </w:tc>
      </w:tr>
      <w:tr w:rsidR="00387142" w:rsidRPr="008B6A75" w14:paraId="414D1A91" w14:textId="77777777" w:rsidTr="00387142">
        <w:trPr>
          <w:trHeight w:val="300"/>
        </w:trPr>
        <w:tc>
          <w:tcPr>
            <w:tcW w:w="272" w:type="dxa"/>
            <w:tcBorders>
              <w:top w:val="nil"/>
              <w:left w:val="nil"/>
              <w:bottom w:val="nil"/>
              <w:right w:val="single" w:sz="4" w:space="0" w:color="auto"/>
            </w:tcBorders>
            <w:shd w:val="clear" w:color="auto" w:fill="auto"/>
            <w:noWrap/>
            <w:vAlign w:val="bottom"/>
            <w:hideMark/>
          </w:tcPr>
          <w:p w14:paraId="5AAD203A"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3EBA4968" w14:textId="77777777" w:rsidR="00387142" w:rsidRPr="008B6A75" w:rsidRDefault="00387142" w:rsidP="00387142">
            <w:pPr>
              <w:rPr>
                <w:sz w:val="20"/>
                <w:szCs w:val="20"/>
              </w:rPr>
            </w:pPr>
            <w:r w:rsidRPr="008B6A75">
              <w:rPr>
                <w:sz w:val="20"/>
                <w:szCs w:val="20"/>
              </w:rPr>
              <w:t>Исполнение судебных актов</w:t>
            </w:r>
          </w:p>
        </w:tc>
        <w:tc>
          <w:tcPr>
            <w:tcW w:w="1559" w:type="dxa"/>
            <w:tcBorders>
              <w:top w:val="nil"/>
              <w:left w:val="single" w:sz="4" w:space="0" w:color="auto"/>
              <w:bottom w:val="single" w:sz="4" w:space="0" w:color="auto"/>
              <w:right w:val="nil"/>
            </w:tcBorders>
            <w:shd w:val="clear" w:color="auto" w:fill="auto"/>
            <w:noWrap/>
            <w:vAlign w:val="center"/>
            <w:hideMark/>
          </w:tcPr>
          <w:p w14:paraId="0B9EE9AF" w14:textId="77777777" w:rsidR="00387142" w:rsidRPr="008B6A75" w:rsidRDefault="00387142" w:rsidP="00387142">
            <w:pPr>
              <w:jc w:val="center"/>
              <w:rPr>
                <w:sz w:val="20"/>
                <w:szCs w:val="20"/>
              </w:rPr>
            </w:pPr>
            <w:r w:rsidRPr="008B6A75">
              <w:rPr>
                <w:sz w:val="20"/>
                <w:szCs w:val="20"/>
              </w:rPr>
              <w:t>99.0.00.01620</w:t>
            </w:r>
          </w:p>
        </w:tc>
        <w:tc>
          <w:tcPr>
            <w:tcW w:w="850" w:type="dxa"/>
            <w:tcBorders>
              <w:top w:val="nil"/>
              <w:left w:val="single" w:sz="4" w:space="0" w:color="auto"/>
              <w:bottom w:val="single" w:sz="4" w:space="0" w:color="auto"/>
              <w:right w:val="nil"/>
            </w:tcBorders>
            <w:shd w:val="clear" w:color="auto" w:fill="auto"/>
            <w:noWrap/>
            <w:vAlign w:val="center"/>
            <w:hideMark/>
          </w:tcPr>
          <w:p w14:paraId="6A779C50" w14:textId="77777777" w:rsidR="00387142" w:rsidRPr="008B6A75" w:rsidRDefault="00387142" w:rsidP="00387142">
            <w:pPr>
              <w:jc w:val="center"/>
              <w:rPr>
                <w:sz w:val="20"/>
                <w:szCs w:val="20"/>
              </w:rPr>
            </w:pPr>
            <w:r w:rsidRPr="008B6A75">
              <w:rPr>
                <w:sz w:val="20"/>
                <w:szCs w:val="20"/>
              </w:rPr>
              <w:t>830</w:t>
            </w:r>
          </w:p>
        </w:tc>
        <w:tc>
          <w:tcPr>
            <w:tcW w:w="567" w:type="dxa"/>
            <w:tcBorders>
              <w:top w:val="nil"/>
              <w:left w:val="single" w:sz="4" w:space="0" w:color="auto"/>
              <w:bottom w:val="single" w:sz="4" w:space="0" w:color="auto"/>
              <w:right w:val="nil"/>
            </w:tcBorders>
            <w:shd w:val="clear" w:color="auto" w:fill="auto"/>
            <w:noWrap/>
            <w:vAlign w:val="center"/>
            <w:hideMark/>
          </w:tcPr>
          <w:p w14:paraId="09B49CAE" w14:textId="77777777" w:rsidR="00387142" w:rsidRPr="008B6A75" w:rsidRDefault="00387142" w:rsidP="00387142">
            <w:pPr>
              <w:jc w:val="center"/>
              <w:rPr>
                <w:sz w:val="20"/>
                <w:szCs w:val="20"/>
              </w:rPr>
            </w:pPr>
            <w:r w:rsidRPr="008B6A75">
              <w:rPr>
                <w:sz w:val="20"/>
                <w:szCs w:val="20"/>
              </w:rPr>
              <w:t>01</w:t>
            </w:r>
          </w:p>
        </w:tc>
        <w:tc>
          <w:tcPr>
            <w:tcW w:w="567" w:type="dxa"/>
            <w:tcBorders>
              <w:top w:val="nil"/>
              <w:left w:val="single" w:sz="4" w:space="0" w:color="auto"/>
              <w:bottom w:val="single" w:sz="4" w:space="0" w:color="auto"/>
              <w:right w:val="nil"/>
            </w:tcBorders>
            <w:shd w:val="clear" w:color="auto" w:fill="auto"/>
            <w:noWrap/>
            <w:vAlign w:val="center"/>
            <w:hideMark/>
          </w:tcPr>
          <w:p w14:paraId="70EB7D19" w14:textId="77777777" w:rsidR="00387142" w:rsidRPr="008B6A75" w:rsidRDefault="00387142" w:rsidP="00387142">
            <w:pPr>
              <w:jc w:val="center"/>
              <w:rPr>
                <w:sz w:val="20"/>
                <w:szCs w:val="20"/>
              </w:rPr>
            </w:pPr>
            <w:r w:rsidRPr="008B6A75">
              <w:rPr>
                <w:sz w:val="20"/>
                <w:szCs w:val="20"/>
              </w:rPr>
              <w:t>13</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52B29A3" w14:textId="77777777" w:rsidR="00387142" w:rsidRPr="008B6A75" w:rsidRDefault="00387142" w:rsidP="00387142">
            <w:pPr>
              <w:jc w:val="right"/>
              <w:rPr>
                <w:sz w:val="20"/>
                <w:szCs w:val="20"/>
              </w:rPr>
            </w:pPr>
            <w:r w:rsidRPr="008B6A75">
              <w:rPr>
                <w:sz w:val="20"/>
                <w:szCs w:val="20"/>
              </w:rPr>
              <w:t>16 100,00</w:t>
            </w:r>
          </w:p>
        </w:tc>
        <w:tc>
          <w:tcPr>
            <w:tcW w:w="851" w:type="dxa"/>
            <w:tcBorders>
              <w:top w:val="nil"/>
              <w:left w:val="single" w:sz="4" w:space="0" w:color="auto"/>
              <w:bottom w:val="single" w:sz="4" w:space="0" w:color="auto"/>
              <w:right w:val="nil"/>
            </w:tcBorders>
            <w:shd w:val="clear" w:color="auto" w:fill="auto"/>
            <w:noWrap/>
            <w:vAlign w:val="center"/>
            <w:hideMark/>
          </w:tcPr>
          <w:p w14:paraId="33E907F1" w14:textId="77777777" w:rsidR="00387142" w:rsidRPr="008B6A75" w:rsidRDefault="00387142" w:rsidP="00387142">
            <w:pPr>
              <w:jc w:val="right"/>
              <w:rPr>
                <w:sz w:val="20"/>
                <w:szCs w:val="20"/>
              </w:rPr>
            </w:pPr>
            <w:r w:rsidRPr="008B6A75">
              <w:rPr>
                <w:sz w:val="20"/>
                <w:szCs w:val="20"/>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0DE26519" w14:textId="77777777" w:rsidR="00387142" w:rsidRPr="008B6A75" w:rsidRDefault="00387142" w:rsidP="00387142">
            <w:pPr>
              <w:jc w:val="right"/>
              <w:rPr>
                <w:sz w:val="20"/>
                <w:szCs w:val="20"/>
              </w:rPr>
            </w:pPr>
            <w:r w:rsidRPr="008B6A75">
              <w:rPr>
                <w:sz w:val="20"/>
                <w:szCs w:val="20"/>
              </w:rPr>
              <w:t>0,00</w:t>
            </w:r>
          </w:p>
        </w:tc>
      </w:tr>
      <w:tr w:rsidR="00387142" w:rsidRPr="008B6A75" w14:paraId="0DD710D2" w14:textId="77777777" w:rsidTr="00387142">
        <w:trPr>
          <w:trHeight w:val="300"/>
        </w:trPr>
        <w:tc>
          <w:tcPr>
            <w:tcW w:w="272" w:type="dxa"/>
            <w:tcBorders>
              <w:top w:val="nil"/>
              <w:left w:val="nil"/>
              <w:bottom w:val="nil"/>
              <w:right w:val="single" w:sz="4" w:space="0" w:color="auto"/>
            </w:tcBorders>
            <w:shd w:val="clear" w:color="auto" w:fill="auto"/>
            <w:noWrap/>
            <w:vAlign w:val="bottom"/>
            <w:hideMark/>
          </w:tcPr>
          <w:p w14:paraId="46010624"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30556846" w14:textId="77777777" w:rsidR="00387142" w:rsidRPr="008B6A75" w:rsidRDefault="00387142" w:rsidP="00387142">
            <w:pPr>
              <w:rPr>
                <w:sz w:val="20"/>
                <w:szCs w:val="20"/>
              </w:rPr>
            </w:pPr>
            <w:r w:rsidRPr="008B6A75">
              <w:rPr>
                <w:sz w:val="20"/>
                <w:szCs w:val="20"/>
              </w:rPr>
              <w:t>Уплата налогов, сборов и иных платежей</w:t>
            </w:r>
          </w:p>
        </w:tc>
        <w:tc>
          <w:tcPr>
            <w:tcW w:w="1559" w:type="dxa"/>
            <w:tcBorders>
              <w:top w:val="nil"/>
              <w:left w:val="single" w:sz="4" w:space="0" w:color="auto"/>
              <w:bottom w:val="single" w:sz="4" w:space="0" w:color="auto"/>
              <w:right w:val="nil"/>
            </w:tcBorders>
            <w:shd w:val="clear" w:color="auto" w:fill="auto"/>
            <w:noWrap/>
            <w:vAlign w:val="center"/>
            <w:hideMark/>
          </w:tcPr>
          <w:p w14:paraId="578E0D0F" w14:textId="77777777" w:rsidR="00387142" w:rsidRPr="008B6A75" w:rsidRDefault="00387142" w:rsidP="00387142">
            <w:pPr>
              <w:jc w:val="center"/>
              <w:rPr>
                <w:sz w:val="20"/>
                <w:szCs w:val="20"/>
              </w:rPr>
            </w:pPr>
            <w:r w:rsidRPr="008B6A75">
              <w:rPr>
                <w:sz w:val="20"/>
                <w:szCs w:val="20"/>
              </w:rPr>
              <w:t>99.0.00.01620</w:t>
            </w:r>
          </w:p>
        </w:tc>
        <w:tc>
          <w:tcPr>
            <w:tcW w:w="850" w:type="dxa"/>
            <w:tcBorders>
              <w:top w:val="nil"/>
              <w:left w:val="single" w:sz="4" w:space="0" w:color="auto"/>
              <w:bottom w:val="single" w:sz="4" w:space="0" w:color="auto"/>
              <w:right w:val="nil"/>
            </w:tcBorders>
            <w:shd w:val="clear" w:color="auto" w:fill="auto"/>
            <w:noWrap/>
            <w:vAlign w:val="center"/>
            <w:hideMark/>
          </w:tcPr>
          <w:p w14:paraId="7F97EB29" w14:textId="77777777" w:rsidR="00387142" w:rsidRPr="008B6A75" w:rsidRDefault="00387142" w:rsidP="00387142">
            <w:pPr>
              <w:jc w:val="center"/>
              <w:rPr>
                <w:sz w:val="20"/>
                <w:szCs w:val="20"/>
              </w:rPr>
            </w:pPr>
            <w:r w:rsidRPr="008B6A75">
              <w:rPr>
                <w:sz w:val="20"/>
                <w:szCs w:val="20"/>
              </w:rPr>
              <w:t>850</w:t>
            </w:r>
          </w:p>
        </w:tc>
        <w:tc>
          <w:tcPr>
            <w:tcW w:w="567" w:type="dxa"/>
            <w:tcBorders>
              <w:top w:val="nil"/>
              <w:left w:val="single" w:sz="4" w:space="0" w:color="auto"/>
              <w:bottom w:val="single" w:sz="4" w:space="0" w:color="auto"/>
              <w:right w:val="nil"/>
            </w:tcBorders>
            <w:shd w:val="clear" w:color="auto" w:fill="auto"/>
            <w:noWrap/>
            <w:vAlign w:val="center"/>
            <w:hideMark/>
          </w:tcPr>
          <w:p w14:paraId="0225879F" w14:textId="77777777" w:rsidR="00387142" w:rsidRPr="008B6A75" w:rsidRDefault="00387142" w:rsidP="00387142">
            <w:pPr>
              <w:jc w:val="center"/>
              <w:rPr>
                <w:sz w:val="20"/>
                <w:szCs w:val="20"/>
              </w:rPr>
            </w:pPr>
            <w:r w:rsidRPr="008B6A75">
              <w:rPr>
                <w:sz w:val="20"/>
                <w:szCs w:val="20"/>
              </w:rPr>
              <w:t>01</w:t>
            </w:r>
          </w:p>
        </w:tc>
        <w:tc>
          <w:tcPr>
            <w:tcW w:w="567" w:type="dxa"/>
            <w:tcBorders>
              <w:top w:val="nil"/>
              <w:left w:val="single" w:sz="4" w:space="0" w:color="auto"/>
              <w:bottom w:val="single" w:sz="4" w:space="0" w:color="auto"/>
              <w:right w:val="nil"/>
            </w:tcBorders>
            <w:shd w:val="clear" w:color="auto" w:fill="auto"/>
            <w:noWrap/>
            <w:vAlign w:val="center"/>
            <w:hideMark/>
          </w:tcPr>
          <w:p w14:paraId="74D09ED3" w14:textId="77777777" w:rsidR="00387142" w:rsidRPr="008B6A75" w:rsidRDefault="00387142" w:rsidP="00387142">
            <w:pPr>
              <w:jc w:val="center"/>
              <w:rPr>
                <w:sz w:val="20"/>
                <w:szCs w:val="20"/>
              </w:rPr>
            </w:pPr>
            <w:r w:rsidRPr="008B6A75">
              <w:rPr>
                <w:sz w:val="20"/>
                <w:szCs w:val="20"/>
              </w:rPr>
              <w:t>13</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269EA1D" w14:textId="77777777" w:rsidR="00387142" w:rsidRPr="008B6A75" w:rsidRDefault="00387142" w:rsidP="00387142">
            <w:pPr>
              <w:jc w:val="right"/>
              <w:rPr>
                <w:sz w:val="20"/>
                <w:szCs w:val="20"/>
              </w:rPr>
            </w:pPr>
            <w:r w:rsidRPr="008B6A75">
              <w:rPr>
                <w:sz w:val="20"/>
                <w:szCs w:val="20"/>
              </w:rPr>
              <w:t>40 000,00</w:t>
            </w:r>
          </w:p>
        </w:tc>
        <w:tc>
          <w:tcPr>
            <w:tcW w:w="851" w:type="dxa"/>
            <w:tcBorders>
              <w:top w:val="nil"/>
              <w:left w:val="single" w:sz="4" w:space="0" w:color="auto"/>
              <w:bottom w:val="single" w:sz="4" w:space="0" w:color="auto"/>
              <w:right w:val="nil"/>
            </w:tcBorders>
            <w:shd w:val="clear" w:color="auto" w:fill="auto"/>
            <w:noWrap/>
            <w:vAlign w:val="center"/>
            <w:hideMark/>
          </w:tcPr>
          <w:p w14:paraId="3446FC7B" w14:textId="77777777" w:rsidR="00387142" w:rsidRPr="008B6A75" w:rsidRDefault="00387142" w:rsidP="00387142">
            <w:pPr>
              <w:jc w:val="right"/>
              <w:rPr>
                <w:sz w:val="20"/>
                <w:szCs w:val="20"/>
              </w:rPr>
            </w:pPr>
            <w:r w:rsidRPr="008B6A75">
              <w:rPr>
                <w:sz w:val="20"/>
                <w:szCs w:val="20"/>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2250B907" w14:textId="77777777" w:rsidR="00387142" w:rsidRPr="008B6A75" w:rsidRDefault="00387142" w:rsidP="00387142">
            <w:pPr>
              <w:jc w:val="right"/>
              <w:rPr>
                <w:sz w:val="20"/>
                <w:szCs w:val="20"/>
              </w:rPr>
            </w:pPr>
            <w:r w:rsidRPr="008B6A75">
              <w:rPr>
                <w:sz w:val="20"/>
                <w:szCs w:val="20"/>
              </w:rPr>
              <w:t>0,00</w:t>
            </w:r>
          </w:p>
        </w:tc>
      </w:tr>
      <w:tr w:rsidR="00387142" w:rsidRPr="008B6A75" w14:paraId="29916114" w14:textId="77777777" w:rsidTr="00387142">
        <w:trPr>
          <w:trHeight w:val="300"/>
        </w:trPr>
        <w:tc>
          <w:tcPr>
            <w:tcW w:w="272" w:type="dxa"/>
            <w:tcBorders>
              <w:top w:val="nil"/>
              <w:left w:val="nil"/>
              <w:bottom w:val="nil"/>
              <w:right w:val="single" w:sz="4" w:space="0" w:color="auto"/>
            </w:tcBorders>
            <w:shd w:val="clear" w:color="auto" w:fill="auto"/>
            <w:noWrap/>
            <w:vAlign w:val="bottom"/>
            <w:hideMark/>
          </w:tcPr>
          <w:p w14:paraId="0EAD0283" w14:textId="77777777" w:rsidR="00387142" w:rsidRPr="008B6A75" w:rsidRDefault="00387142" w:rsidP="00387142">
            <w:pPr>
              <w:rPr>
                <w:sz w:val="20"/>
                <w:szCs w:val="20"/>
              </w:rPr>
            </w:pPr>
            <w:r w:rsidRPr="008B6A75">
              <w:rPr>
                <w:sz w:val="20"/>
                <w:szCs w:val="20"/>
              </w:rPr>
              <w:lastRenderedPageBreak/>
              <w:t> </w:t>
            </w:r>
          </w:p>
        </w:tc>
        <w:tc>
          <w:tcPr>
            <w:tcW w:w="3415" w:type="dxa"/>
            <w:tcBorders>
              <w:top w:val="nil"/>
              <w:left w:val="single" w:sz="4" w:space="0" w:color="auto"/>
              <w:bottom w:val="single" w:sz="4" w:space="0" w:color="auto"/>
              <w:right w:val="nil"/>
            </w:tcBorders>
            <w:shd w:val="clear" w:color="auto" w:fill="auto"/>
            <w:vAlign w:val="center"/>
            <w:hideMark/>
          </w:tcPr>
          <w:p w14:paraId="1E46143D" w14:textId="77777777" w:rsidR="00387142" w:rsidRPr="008B6A75" w:rsidRDefault="00387142" w:rsidP="00387142">
            <w:pPr>
              <w:rPr>
                <w:bCs/>
                <w:sz w:val="20"/>
                <w:szCs w:val="20"/>
              </w:rPr>
            </w:pPr>
            <w:r w:rsidRPr="008B6A75">
              <w:rPr>
                <w:bCs/>
                <w:sz w:val="20"/>
                <w:szCs w:val="20"/>
              </w:rPr>
              <w:t>Резервные фонды местного бюджета</w:t>
            </w:r>
          </w:p>
        </w:tc>
        <w:tc>
          <w:tcPr>
            <w:tcW w:w="1559" w:type="dxa"/>
            <w:tcBorders>
              <w:top w:val="nil"/>
              <w:left w:val="single" w:sz="4" w:space="0" w:color="auto"/>
              <w:bottom w:val="single" w:sz="4" w:space="0" w:color="auto"/>
              <w:right w:val="nil"/>
            </w:tcBorders>
            <w:shd w:val="clear" w:color="auto" w:fill="auto"/>
            <w:noWrap/>
            <w:vAlign w:val="center"/>
            <w:hideMark/>
          </w:tcPr>
          <w:p w14:paraId="018327EE" w14:textId="77777777" w:rsidR="00387142" w:rsidRPr="008B6A75" w:rsidRDefault="00387142" w:rsidP="00387142">
            <w:pPr>
              <w:jc w:val="center"/>
              <w:rPr>
                <w:bCs/>
                <w:sz w:val="20"/>
                <w:szCs w:val="20"/>
              </w:rPr>
            </w:pPr>
            <w:r w:rsidRPr="008B6A75">
              <w:rPr>
                <w:bCs/>
                <w:sz w:val="20"/>
                <w:szCs w:val="20"/>
              </w:rPr>
              <w:t>99.0.00.01700</w:t>
            </w:r>
          </w:p>
        </w:tc>
        <w:tc>
          <w:tcPr>
            <w:tcW w:w="850" w:type="dxa"/>
            <w:tcBorders>
              <w:top w:val="nil"/>
              <w:left w:val="single" w:sz="4" w:space="0" w:color="auto"/>
              <w:bottom w:val="single" w:sz="4" w:space="0" w:color="auto"/>
              <w:right w:val="nil"/>
            </w:tcBorders>
            <w:shd w:val="clear" w:color="auto" w:fill="auto"/>
            <w:noWrap/>
            <w:vAlign w:val="center"/>
            <w:hideMark/>
          </w:tcPr>
          <w:p w14:paraId="1F9F78AE" w14:textId="77777777" w:rsidR="00387142" w:rsidRPr="008B6A75" w:rsidRDefault="00387142" w:rsidP="00387142">
            <w:pPr>
              <w:jc w:val="center"/>
              <w:rPr>
                <w:bCs/>
                <w:sz w:val="20"/>
                <w:szCs w:val="20"/>
              </w:rPr>
            </w:pPr>
            <w:r w:rsidRPr="008B6A75">
              <w:rPr>
                <w:bCs/>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43E56CED" w14:textId="77777777" w:rsidR="00387142" w:rsidRPr="008B6A75" w:rsidRDefault="00387142" w:rsidP="00387142">
            <w:pPr>
              <w:jc w:val="center"/>
              <w:rPr>
                <w:bCs/>
                <w:sz w:val="20"/>
                <w:szCs w:val="20"/>
              </w:rPr>
            </w:pPr>
            <w:r w:rsidRPr="008B6A75">
              <w:rPr>
                <w:bCs/>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53908A8A" w14:textId="77777777" w:rsidR="00387142" w:rsidRPr="008B6A75" w:rsidRDefault="00387142" w:rsidP="00387142">
            <w:pPr>
              <w:jc w:val="center"/>
              <w:rPr>
                <w:bCs/>
                <w:sz w:val="20"/>
                <w:szCs w:val="20"/>
              </w:rPr>
            </w:pPr>
            <w:r w:rsidRPr="008B6A75">
              <w:rPr>
                <w:bCs/>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B1FA865" w14:textId="77777777" w:rsidR="00387142" w:rsidRPr="008B6A75" w:rsidRDefault="00387142" w:rsidP="00387142">
            <w:pPr>
              <w:jc w:val="right"/>
              <w:rPr>
                <w:bCs/>
                <w:sz w:val="20"/>
                <w:szCs w:val="20"/>
              </w:rPr>
            </w:pPr>
            <w:r w:rsidRPr="008B6A75">
              <w:rPr>
                <w:bCs/>
                <w:sz w:val="20"/>
                <w:szCs w:val="20"/>
              </w:rPr>
              <w:t>10 056 814,01</w:t>
            </w:r>
          </w:p>
        </w:tc>
        <w:tc>
          <w:tcPr>
            <w:tcW w:w="851" w:type="dxa"/>
            <w:tcBorders>
              <w:top w:val="nil"/>
              <w:left w:val="single" w:sz="4" w:space="0" w:color="auto"/>
              <w:bottom w:val="single" w:sz="4" w:space="0" w:color="auto"/>
              <w:right w:val="nil"/>
            </w:tcBorders>
            <w:shd w:val="clear" w:color="auto" w:fill="auto"/>
            <w:noWrap/>
            <w:vAlign w:val="center"/>
            <w:hideMark/>
          </w:tcPr>
          <w:p w14:paraId="388C29D8" w14:textId="77777777" w:rsidR="00387142" w:rsidRPr="008B6A75" w:rsidRDefault="00387142" w:rsidP="00387142">
            <w:pPr>
              <w:jc w:val="right"/>
              <w:rPr>
                <w:bCs/>
                <w:sz w:val="20"/>
                <w:szCs w:val="20"/>
              </w:rPr>
            </w:pPr>
            <w:r w:rsidRPr="008B6A75">
              <w:rPr>
                <w:bCs/>
                <w:sz w:val="20"/>
                <w:szCs w:val="20"/>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742E26BF" w14:textId="77777777" w:rsidR="00387142" w:rsidRPr="008B6A75" w:rsidRDefault="00387142" w:rsidP="00387142">
            <w:pPr>
              <w:jc w:val="right"/>
              <w:rPr>
                <w:bCs/>
                <w:sz w:val="20"/>
                <w:szCs w:val="20"/>
              </w:rPr>
            </w:pPr>
            <w:r w:rsidRPr="008B6A75">
              <w:rPr>
                <w:bCs/>
                <w:sz w:val="20"/>
                <w:szCs w:val="20"/>
              </w:rPr>
              <w:t>0,00</w:t>
            </w:r>
          </w:p>
        </w:tc>
      </w:tr>
      <w:tr w:rsidR="00387142" w:rsidRPr="008B6A75" w14:paraId="647882BE" w14:textId="77777777" w:rsidTr="00387142">
        <w:trPr>
          <w:trHeight w:val="585"/>
        </w:trPr>
        <w:tc>
          <w:tcPr>
            <w:tcW w:w="272" w:type="dxa"/>
            <w:tcBorders>
              <w:top w:val="nil"/>
              <w:left w:val="nil"/>
              <w:bottom w:val="nil"/>
              <w:right w:val="single" w:sz="4" w:space="0" w:color="auto"/>
            </w:tcBorders>
            <w:shd w:val="clear" w:color="auto" w:fill="auto"/>
            <w:noWrap/>
            <w:vAlign w:val="bottom"/>
            <w:hideMark/>
          </w:tcPr>
          <w:p w14:paraId="49460120"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1DA5FFB2" w14:textId="77777777" w:rsidR="00387142" w:rsidRPr="008B6A75" w:rsidRDefault="00387142" w:rsidP="00387142">
            <w:pPr>
              <w:rPr>
                <w:sz w:val="20"/>
                <w:szCs w:val="20"/>
              </w:rPr>
            </w:pPr>
            <w:r w:rsidRPr="008B6A75">
              <w:rPr>
                <w:sz w:val="20"/>
                <w:szCs w:val="20"/>
              </w:rPr>
              <w:t>Закупка товаров, работ и услуг для обеспечения государственных (муниципальных) нужд</w:t>
            </w:r>
          </w:p>
        </w:tc>
        <w:tc>
          <w:tcPr>
            <w:tcW w:w="1559" w:type="dxa"/>
            <w:tcBorders>
              <w:top w:val="nil"/>
              <w:left w:val="single" w:sz="4" w:space="0" w:color="auto"/>
              <w:bottom w:val="single" w:sz="4" w:space="0" w:color="auto"/>
              <w:right w:val="nil"/>
            </w:tcBorders>
            <w:shd w:val="clear" w:color="auto" w:fill="auto"/>
            <w:noWrap/>
            <w:vAlign w:val="center"/>
            <w:hideMark/>
          </w:tcPr>
          <w:p w14:paraId="044F05B1" w14:textId="77777777" w:rsidR="00387142" w:rsidRPr="008B6A75" w:rsidRDefault="00387142" w:rsidP="00387142">
            <w:pPr>
              <w:jc w:val="center"/>
              <w:rPr>
                <w:sz w:val="20"/>
                <w:szCs w:val="20"/>
              </w:rPr>
            </w:pPr>
            <w:r w:rsidRPr="008B6A75">
              <w:rPr>
                <w:sz w:val="20"/>
                <w:szCs w:val="20"/>
              </w:rPr>
              <w:t>99.0.00.01700</w:t>
            </w:r>
          </w:p>
        </w:tc>
        <w:tc>
          <w:tcPr>
            <w:tcW w:w="850" w:type="dxa"/>
            <w:tcBorders>
              <w:top w:val="nil"/>
              <w:left w:val="single" w:sz="4" w:space="0" w:color="auto"/>
              <w:bottom w:val="single" w:sz="4" w:space="0" w:color="auto"/>
              <w:right w:val="nil"/>
            </w:tcBorders>
            <w:shd w:val="clear" w:color="auto" w:fill="auto"/>
            <w:noWrap/>
            <w:vAlign w:val="center"/>
            <w:hideMark/>
          </w:tcPr>
          <w:p w14:paraId="669A095A" w14:textId="77777777" w:rsidR="00387142" w:rsidRPr="008B6A75" w:rsidRDefault="00387142" w:rsidP="00387142">
            <w:pPr>
              <w:jc w:val="center"/>
              <w:rPr>
                <w:sz w:val="20"/>
                <w:szCs w:val="20"/>
              </w:rPr>
            </w:pPr>
            <w:r w:rsidRPr="008B6A75">
              <w:rPr>
                <w:sz w:val="20"/>
                <w:szCs w:val="20"/>
              </w:rPr>
              <w:t>200</w:t>
            </w:r>
          </w:p>
        </w:tc>
        <w:tc>
          <w:tcPr>
            <w:tcW w:w="567" w:type="dxa"/>
            <w:tcBorders>
              <w:top w:val="nil"/>
              <w:left w:val="single" w:sz="4" w:space="0" w:color="auto"/>
              <w:bottom w:val="single" w:sz="4" w:space="0" w:color="auto"/>
              <w:right w:val="nil"/>
            </w:tcBorders>
            <w:shd w:val="clear" w:color="auto" w:fill="auto"/>
            <w:noWrap/>
            <w:vAlign w:val="center"/>
            <w:hideMark/>
          </w:tcPr>
          <w:p w14:paraId="3E65A86C" w14:textId="77777777" w:rsidR="00387142" w:rsidRPr="008B6A75" w:rsidRDefault="00387142" w:rsidP="00387142">
            <w:pPr>
              <w:jc w:val="center"/>
              <w:rPr>
                <w:sz w:val="20"/>
                <w:szCs w:val="20"/>
              </w:rPr>
            </w:pPr>
            <w:r w:rsidRPr="008B6A75">
              <w:rPr>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5CFB1232" w14:textId="77777777" w:rsidR="00387142" w:rsidRPr="008B6A75" w:rsidRDefault="00387142" w:rsidP="00387142">
            <w:pPr>
              <w:jc w:val="center"/>
              <w:rPr>
                <w:sz w:val="20"/>
                <w:szCs w:val="20"/>
              </w:rPr>
            </w:pPr>
            <w:r w:rsidRPr="008B6A75">
              <w:rPr>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6F5F5A3" w14:textId="77777777" w:rsidR="00387142" w:rsidRPr="008B6A75" w:rsidRDefault="00387142" w:rsidP="00387142">
            <w:pPr>
              <w:jc w:val="right"/>
              <w:rPr>
                <w:sz w:val="20"/>
                <w:szCs w:val="20"/>
              </w:rPr>
            </w:pPr>
            <w:r w:rsidRPr="008B6A75">
              <w:rPr>
                <w:sz w:val="20"/>
                <w:szCs w:val="20"/>
              </w:rPr>
              <w:t>3 121 596,93</w:t>
            </w:r>
          </w:p>
        </w:tc>
        <w:tc>
          <w:tcPr>
            <w:tcW w:w="851" w:type="dxa"/>
            <w:tcBorders>
              <w:top w:val="nil"/>
              <w:left w:val="single" w:sz="4" w:space="0" w:color="auto"/>
              <w:bottom w:val="single" w:sz="4" w:space="0" w:color="auto"/>
              <w:right w:val="nil"/>
            </w:tcBorders>
            <w:shd w:val="clear" w:color="auto" w:fill="auto"/>
            <w:noWrap/>
            <w:vAlign w:val="center"/>
            <w:hideMark/>
          </w:tcPr>
          <w:p w14:paraId="44DD3027" w14:textId="77777777" w:rsidR="00387142" w:rsidRPr="008B6A75" w:rsidRDefault="00387142" w:rsidP="00387142">
            <w:pPr>
              <w:jc w:val="right"/>
              <w:rPr>
                <w:sz w:val="20"/>
                <w:szCs w:val="20"/>
              </w:rPr>
            </w:pPr>
            <w:r w:rsidRPr="008B6A75">
              <w:rPr>
                <w:sz w:val="20"/>
                <w:szCs w:val="20"/>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748D1C03" w14:textId="77777777" w:rsidR="00387142" w:rsidRPr="008B6A75" w:rsidRDefault="00387142" w:rsidP="00387142">
            <w:pPr>
              <w:jc w:val="right"/>
              <w:rPr>
                <w:sz w:val="20"/>
                <w:szCs w:val="20"/>
              </w:rPr>
            </w:pPr>
            <w:r w:rsidRPr="008B6A75">
              <w:rPr>
                <w:sz w:val="20"/>
                <w:szCs w:val="20"/>
              </w:rPr>
              <w:t>0,00</w:t>
            </w:r>
          </w:p>
        </w:tc>
      </w:tr>
      <w:tr w:rsidR="00387142" w:rsidRPr="008B6A75" w14:paraId="54E70C26" w14:textId="77777777" w:rsidTr="00387142">
        <w:trPr>
          <w:trHeight w:val="870"/>
        </w:trPr>
        <w:tc>
          <w:tcPr>
            <w:tcW w:w="272" w:type="dxa"/>
            <w:tcBorders>
              <w:top w:val="nil"/>
              <w:left w:val="nil"/>
              <w:bottom w:val="nil"/>
              <w:right w:val="single" w:sz="4" w:space="0" w:color="auto"/>
            </w:tcBorders>
            <w:shd w:val="clear" w:color="auto" w:fill="auto"/>
            <w:noWrap/>
            <w:vAlign w:val="bottom"/>
            <w:hideMark/>
          </w:tcPr>
          <w:p w14:paraId="7E3CA356"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77532528" w14:textId="77777777" w:rsidR="00387142" w:rsidRPr="008B6A75" w:rsidRDefault="00387142" w:rsidP="00387142">
            <w:pPr>
              <w:rPr>
                <w:sz w:val="20"/>
                <w:szCs w:val="20"/>
              </w:rPr>
            </w:pPr>
            <w:r w:rsidRPr="008B6A75">
              <w:rPr>
                <w:sz w:val="20"/>
                <w:szCs w:val="20"/>
              </w:rPr>
              <w:t>Иные закупки товаров, работ и услуг для обеспечения государственных (муниципальных) нужд</w:t>
            </w:r>
          </w:p>
        </w:tc>
        <w:tc>
          <w:tcPr>
            <w:tcW w:w="1559" w:type="dxa"/>
            <w:tcBorders>
              <w:top w:val="nil"/>
              <w:left w:val="single" w:sz="4" w:space="0" w:color="auto"/>
              <w:bottom w:val="single" w:sz="4" w:space="0" w:color="auto"/>
              <w:right w:val="nil"/>
            </w:tcBorders>
            <w:shd w:val="clear" w:color="auto" w:fill="auto"/>
            <w:noWrap/>
            <w:vAlign w:val="center"/>
            <w:hideMark/>
          </w:tcPr>
          <w:p w14:paraId="4BC566BE" w14:textId="77777777" w:rsidR="00387142" w:rsidRPr="008B6A75" w:rsidRDefault="00387142" w:rsidP="00387142">
            <w:pPr>
              <w:jc w:val="center"/>
              <w:rPr>
                <w:sz w:val="20"/>
                <w:szCs w:val="20"/>
              </w:rPr>
            </w:pPr>
            <w:r w:rsidRPr="008B6A75">
              <w:rPr>
                <w:sz w:val="20"/>
                <w:szCs w:val="20"/>
              </w:rPr>
              <w:t>99.0.00.01700</w:t>
            </w:r>
          </w:p>
        </w:tc>
        <w:tc>
          <w:tcPr>
            <w:tcW w:w="850" w:type="dxa"/>
            <w:tcBorders>
              <w:top w:val="nil"/>
              <w:left w:val="single" w:sz="4" w:space="0" w:color="auto"/>
              <w:bottom w:val="single" w:sz="4" w:space="0" w:color="auto"/>
              <w:right w:val="nil"/>
            </w:tcBorders>
            <w:shd w:val="clear" w:color="auto" w:fill="auto"/>
            <w:noWrap/>
            <w:vAlign w:val="center"/>
            <w:hideMark/>
          </w:tcPr>
          <w:p w14:paraId="6F03608F" w14:textId="77777777" w:rsidR="00387142" w:rsidRPr="008B6A75" w:rsidRDefault="00387142" w:rsidP="00387142">
            <w:pPr>
              <w:jc w:val="center"/>
              <w:rPr>
                <w:sz w:val="20"/>
                <w:szCs w:val="20"/>
              </w:rPr>
            </w:pPr>
            <w:r w:rsidRPr="008B6A75">
              <w:rPr>
                <w:sz w:val="20"/>
                <w:szCs w:val="20"/>
              </w:rPr>
              <w:t>240</w:t>
            </w:r>
          </w:p>
        </w:tc>
        <w:tc>
          <w:tcPr>
            <w:tcW w:w="567" w:type="dxa"/>
            <w:tcBorders>
              <w:top w:val="nil"/>
              <w:left w:val="single" w:sz="4" w:space="0" w:color="auto"/>
              <w:bottom w:val="single" w:sz="4" w:space="0" w:color="auto"/>
              <w:right w:val="nil"/>
            </w:tcBorders>
            <w:shd w:val="clear" w:color="auto" w:fill="auto"/>
            <w:noWrap/>
            <w:vAlign w:val="center"/>
            <w:hideMark/>
          </w:tcPr>
          <w:p w14:paraId="6F9C5079" w14:textId="77777777" w:rsidR="00387142" w:rsidRPr="008B6A75" w:rsidRDefault="00387142" w:rsidP="00387142">
            <w:pPr>
              <w:jc w:val="center"/>
              <w:rPr>
                <w:sz w:val="20"/>
                <w:szCs w:val="20"/>
              </w:rPr>
            </w:pPr>
            <w:r w:rsidRPr="008B6A75">
              <w:rPr>
                <w:sz w:val="20"/>
                <w:szCs w:val="20"/>
              </w:rPr>
              <w:t>07</w:t>
            </w:r>
          </w:p>
        </w:tc>
        <w:tc>
          <w:tcPr>
            <w:tcW w:w="567" w:type="dxa"/>
            <w:tcBorders>
              <w:top w:val="nil"/>
              <w:left w:val="single" w:sz="4" w:space="0" w:color="auto"/>
              <w:bottom w:val="single" w:sz="4" w:space="0" w:color="auto"/>
              <w:right w:val="nil"/>
            </w:tcBorders>
            <w:shd w:val="clear" w:color="auto" w:fill="auto"/>
            <w:noWrap/>
            <w:vAlign w:val="center"/>
            <w:hideMark/>
          </w:tcPr>
          <w:p w14:paraId="5AC81BFB" w14:textId="77777777" w:rsidR="00387142" w:rsidRPr="008B6A75" w:rsidRDefault="00387142" w:rsidP="00387142">
            <w:pPr>
              <w:jc w:val="center"/>
              <w:rPr>
                <w:sz w:val="20"/>
                <w:szCs w:val="20"/>
              </w:rPr>
            </w:pPr>
            <w:r w:rsidRPr="008B6A75">
              <w:rPr>
                <w:sz w:val="20"/>
                <w:szCs w:val="20"/>
              </w:rPr>
              <w:t>02</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9E646EC" w14:textId="77777777" w:rsidR="00387142" w:rsidRPr="008B6A75" w:rsidRDefault="00387142" w:rsidP="00387142">
            <w:pPr>
              <w:jc w:val="right"/>
              <w:rPr>
                <w:sz w:val="20"/>
                <w:szCs w:val="20"/>
              </w:rPr>
            </w:pPr>
            <w:r w:rsidRPr="008B6A75">
              <w:rPr>
                <w:sz w:val="20"/>
                <w:szCs w:val="20"/>
              </w:rPr>
              <w:t>3 121 596,93</w:t>
            </w:r>
          </w:p>
        </w:tc>
        <w:tc>
          <w:tcPr>
            <w:tcW w:w="851" w:type="dxa"/>
            <w:tcBorders>
              <w:top w:val="nil"/>
              <w:left w:val="single" w:sz="4" w:space="0" w:color="auto"/>
              <w:bottom w:val="single" w:sz="4" w:space="0" w:color="auto"/>
              <w:right w:val="nil"/>
            </w:tcBorders>
            <w:shd w:val="clear" w:color="auto" w:fill="auto"/>
            <w:noWrap/>
            <w:vAlign w:val="center"/>
            <w:hideMark/>
          </w:tcPr>
          <w:p w14:paraId="223BA44D" w14:textId="77777777" w:rsidR="00387142" w:rsidRPr="008B6A75" w:rsidRDefault="00387142" w:rsidP="00387142">
            <w:pPr>
              <w:jc w:val="right"/>
              <w:rPr>
                <w:sz w:val="20"/>
                <w:szCs w:val="20"/>
              </w:rPr>
            </w:pPr>
            <w:r w:rsidRPr="008B6A75">
              <w:rPr>
                <w:sz w:val="20"/>
                <w:szCs w:val="20"/>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651AEC45" w14:textId="77777777" w:rsidR="00387142" w:rsidRPr="008B6A75" w:rsidRDefault="00387142" w:rsidP="00387142">
            <w:pPr>
              <w:jc w:val="right"/>
              <w:rPr>
                <w:sz w:val="20"/>
                <w:szCs w:val="20"/>
              </w:rPr>
            </w:pPr>
            <w:r w:rsidRPr="008B6A75">
              <w:rPr>
                <w:sz w:val="20"/>
                <w:szCs w:val="20"/>
              </w:rPr>
              <w:t>0,00</w:t>
            </w:r>
          </w:p>
        </w:tc>
      </w:tr>
      <w:tr w:rsidR="00387142" w:rsidRPr="008B6A75" w14:paraId="454260CB" w14:textId="77777777" w:rsidTr="00387142">
        <w:trPr>
          <w:trHeight w:val="300"/>
        </w:trPr>
        <w:tc>
          <w:tcPr>
            <w:tcW w:w="272" w:type="dxa"/>
            <w:tcBorders>
              <w:top w:val="nil"/>
              <w:left w:val="nil"/>
              <w:bottom w:val="nil"/>
              <w:right w:val="single" w:sz="4" w:space="0" w:color="auto"/>
            </w:tcBorders>
            <w:shd w:val="clear" w:color="auto" w:fill="auto"/>
            <w:noWrap/>
            <w:vAlign w:val="bottom"/>
            <w:hideMark/>
          </w:tcPr>
          <w:p w14:paraId="3EC9FC06"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65D6536F" w14:textId="77777777" w:rsidR="00387142" w:rsidRPr="008B6A75" w:rsidRDefault="00387142" w:rsidP="00387142">
            <w:pPr>
              <w:rPr>
                <w:sz w:val="20"/>
                <w:szCs w:val="20"/>
              </w:rPr>
            </w:pPr>
            <w:r w:rsidRPr="008B6A75">
              <w:rPr>
                <w:sz w:val="20"/>
                <w:szCs w:val="20"/>
              </w:rPr>
              <w:t>Межбюджетные трансферты</w:t>
            </w:r>
          </w:p>
        </w:tc>
        <w:tc>
          <w:tcPr>
            <w:tcW w:w="1559" w:type="dxa"/>
            <w:tcBorders>
              <w:top w:val="nil"/>
              <w:left w:val="single" w:sz="4" w:space="0" w:color="auto"/>
              <w:bottom w:val="single" w:sz="4" w:space="0" w:color="auto"/>
              <w:right w:val="nil"/>
            </w:tcBorders>
            <w:shd w:val="clear" w:color="auto" w:fill="auto"/>
            <w:noWrap/>
            <w:vAlign w:val="center"/>
            <w:hideMark/>
          </w:tcPr>
          <w:p w14:paraId="6A4BC0AF" w14:textId="77777777" w:rsidR="00387142" w:rsidRPr="008B6A75" w:rsidRDefault="00387142" w:rsidP="00387142">
            <w:pPr>
              <w:jc w:val="center"/>
              <w:rPr>
                <w:sz w:val="20"/>
                <w:szCs w:val="20"/>
              </w:rPr>
            </w:pPr>
            <w:r w:rsidRPr="008B6A75">
              <w:rPr>
                <w:sz w:val="20"/>
                <w:szCs w:val="20"/>
              </w:rPr>
              <w:t>99.0.00.01700</w:t>
            </w:r>
          </w:p>
        </w:tc>
        <w:tc>
          <w:tcPr>
            <w:tcW w:w="850" w:type="dxa"/>
            <w:tcBorders>
              <w:top w:val="nil"/>
              <w:left w:val="single" w:sz="4" w:space="0" w:color="auto"/>
              <w:bottom w:val="single" w:sz="4" w:space="0" w:color="auto"/>
              <w:right w:val="nil"/>
            </w:tcBorders>
            <w:shd w:val="clear" w:color="auto" w:fill="auto"/>
            <w:noWrap/>
            <w:vAlign w:val="center"/>
            <w:hideMark/>
          </w:tcPr>
          <w:p w14:paraId="772BE0F9" w14:textId="77777777" w:rsidR="00387142" w:rsidRPr="008B6A75" w:rsidRDefault="00387142" w:rsidP="00387142">
            <w:pPr>
              <w:jc w:val="center"/>
              <w:rPr>
                <w:sz w:val="20"/>
                <w:szCs w:val="20"/>
              </w:rPr>
            </w:pPr>
            <w:r w:rsidRPr="008B6A75">
              <w:rPr>
                <w:sz w:val="20"/>
                <w:szCs w:val="20"/>
              </w:rPr>
              <w:t>500</w:t>
            </w:r>
          </w:p>
        </w:tc>
        <w:tc>
          <w:tcPr>
            <w:tcW w:w="567" w:type="dxa"/>
            <w:tcBorders>
              <w:top w:val="nil"/>
              <w:left w:val="single" w:sz="4" w:space="0" w:color="auto"/>
              <w:bottom w:val="single" w:sz="4" w:space="0" w:color="auto"/>
              <w:right w:val="nil"/>
            </w:tcBorders>
            <w:shd w:val="clear" w:color="auto" w:fill="auto"/>
            <w:noWrap/>
            <w:vAlign w:val="center"/>
            <w:hideMark/>
          </w:tcPr>
          <w:p w14:paraId="6962A3C5" w14:textId="77777777" w:rsidR="00387142" w:rsidRPr="008B6A75" w:rsidRDefault="00387142" w:rsidP="00387142">
            <w:pPr>
              <w:jc w:val="center"/>
              <w:rPr>
                <w:sz w:val="20"/>
                <w:szCs w:val="20"/>
              </w:rPr>
            </w:pPr>
            <w:r w:rsidRPr="008B6A75">
              <w:rPr>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0831AB64" w14:textId="77777777" w:rsidR="00387142" w:rsidRPr="008B6A75" w:rsidRDefault="00387142" w:rsidP="00387142">
            <w:pPr>
              <w:jc w:val="center"/>
              <w:rPr>
                <w:sz w:val="20"/>
                <w:szCs w:val="20"/>
              </w:rPr>
            </w:pPr>
            <w:r w:rsidRPr="008B6A75">
              <w:rPr>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488C13D" w14:textId="77777777" w:rsidR="00387142" w:rsidRPr="008B6A75" w:rsidRDefault="00387142" w:rsidP="00387142">
            <w:pPr>
              <w:jc w:val="right"/>
              <w:rPr>
                <w:sz w:val="20"/>
                <w:szCs w:val="20"/>
              </w:rPr>
            </w:pPr>
            <w:r w:rsidRPr="008B6A75">
              <w:rPr>
                <w:sz w:val="20"/>
                <w:szCs w:val="20"/>
              </w:rPr>
              <w:t>3 553 300,00</w:t>
            </w:r>
          </w:p>
        </w:tc>
        <w:tc>
          <w:tcPr>
            <w:tcW w:w="851" w:type="dxa"/>
            <w:tcBorders>
              <w:top w:val="nil"/>
              <w:left w:val="single" w:sz="4" w:space="0" w:color="auto"/>
              <w:bottom w:val="single" w:sz="4" w:space="0" w:color="auto"/>
              <w:right w:val="nil"/>
            </w:tcBorders>
            <w:shd w:val="clear" w:color="auto" w:fill="auto"/>
            <w:noWrap/>
            <w:vAlign w:val="center"/>
            <w:hideMark/>
          </w:tcPr>
          <w:p w14:paraId="3D6A3DEB" w14:textId="77777777" w:rsidR="00387142" w:rsidRPr="008B6A75" w:rsidRDefault="00387142" w:rsidP="00387142">
            <w:pPr>
              <w:jc w:val="right"/>
              <w:rPr>
                <w:sz w:val="20"/>
                <w:szCs w:val="20"/>
              </w:rPr>
            </w:pPr>
            <w:r w:rsidRPr="008B6A75">
              <w:rPr>
                <w:sz w:val="20"/>
                <w:szCs w:val="20"/>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2FD6247B" w14:textId="77777777" w:rsidR="00387142" w:rsidRPr="008B6A75" w:rsidRDefault="00387142" w:rsidP="00387142">
            <w:pPr>
              <w:jc w:val="right"/>
              <w:rPr>
                <w:sz w:val="20"/>
                <w:szCs w:val="20"/>
              </w:rPr>
            </w:pPr>
            <w:r w:rsidRPr="008B6A75">
              <w:rPr>
                <w:sz w:val="20"/>
                <w:szCs w:val="20"/>
              </w:rPr>
              <w:t>0,00</w:t>
            </w:r>
          </w:p>
        </w:tc>
      </w:tr>
      <w:tr w:rsidR="00387142" w:rsidRPr="008B6A75" w14:paraId="36AD4126" w14:textId="77777777" w:rsidTr="00387142">
        <w:trPr>
          <w:trHeight w:val="300"/>
        </w:trPr>
        <w:tc>
          <w:tcPr>
            <w:tcW w:w="272" w:type="dxa"/>
            <w:tcBorders>
              <w:top w:val="nil"/>
              <w:left w:val="nil"/>
              <w:bottom w:val="nil"/>
              <w:right w:val="single" w:sz="4" w:space="0" w:color="auto"/>
            </w:tcBorders>
            <w:shd w:val="clear" w:color="auto" w:fill="auto"/>
            <w:noWrap/>
            <w:vAlign w:val="bottom"/>
            <w:hideMark/>
          </w:tcPr>
          <w:p w14:paraId="1E882AFB"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68E5B3DA" w14:textId="77777777" w:rsidR="00387142" w:rsidRPr="008B6A75" w:rsidRDefault="00387142" w:rsidP="00387142">
            <w:pPr>
              <w:rPr>
                <w:sz w:val="20"/>
                <w:szCs w:val="20"/>
              </w:rPr>
            </w:pPr>
            <w:r w:rsidRPr="008B6A75">
              <w:rPr>
                <w:sz w:val="20"/>
                <w:szCs w:val="20"/>
              </w:rPr>
              <w:t>Иные межбюджетные трансферты</w:t>
            </w:r>
          </w:p>
        </w:tc>
        <w:tc>
          <w:tcPr>
            <w:tcW w:w="1559" w:type="dxa"/>
            <w:tcBorders>
              <w:top w:val="nil"/>
              <w:left w:val="single" w:sz="4" w:space="0" w:color="auto"/>
              <w:bottom w:val="single" w:sz="4" w:space="0" w:color="auto"/>
              <w:right w:val="nil"/>
            </w:tcBorders>
            <w:shd w:val="clear" w:color="auto" w:fill="auto"/>
            <w:noWrap/>
            <w:vAlign w:val="center"/>
            <w:hideMark/>
          </w:tcPr>
          <w:p w14:paraId="4F3195C6" w14:textId="77777777" w:rsidR="00387142" w:rsidRPr="008B6A75" w:rsidRDefault="00387142" w:rsidP="00387142">
            <w:pPr>
              <w:jc w:val="center"/>
              <w:rPr>
                <w:sz w:val="20"/>
                <w:szCs w:val="20"/>
              </w:rPr>
            </w:pPr>
            <w:r w:rsidRPr="008B6A75">
              <w:rPr>
                <w:sz w:val="20"/>
                <w:szCs w:val="20"/>
              </w:rPr>
              <w:t>99.0.00.01700</w:t>
            </w:r>
          </w:p>
        </w:tc>
        <w:tc>
          <w:tcPr>
            <w:tcW w:w="850" w:type="dxa"/>
            <w:tcBorders>
              <w:top w:val="nil"/>
              <w:left w:val="single" w:sz="4" w:space="0" w:color="auto"/>
              <w:bottom w:val="single" w:sz="4" w:space="0" w:color="auto"/>
              <w:right w:val="nil"/>
            </w:tcBorders>
            <w:shd w:val="clear" w:color="auto" w:fill="auto"/>
            <w:noWrap/>
            <w:vAlign w:val="center"/>
            <w:hideMark/>
          </w:tcPr>
          <w:p w14:paraId="3C4BB621" w14:textId="77777777" w:rsidR="00387142" w:rsidRPr="008B6A75" w:rsidRDefault="00387142" w:rsidP="00387142">
            <w:pPr>
              <w:jc w:val="center"/>
              <w:rPr>
                <w:sz w:val="20"/>
                <w:szCs w:val="20"/>
              </w:rPr>
            </w:pPr>
            <w:r w:rsidRPr="008B6A75">
              <w:rPr>
                <w:sz w:val="20"/>
                <w:szCs w:val="20"/>
              </w:rPr>
              <w:t>540</w:t>
            </w:r>
          </w:p>
        </w:tc>
        <w:tc>
          <w:tcPr>
            <w:tcW w:w="567" w:type="dxa"/>
            <w:tcBorders>
              <w:top w:val="nil"/>
              <w:left w:val="single" w:sz="4" w:space="0" w:color="auto"/>
              <w:bottom w:val="single" w:sz="4" w:space="0" w:color="auto"/>
              <w:right w:val="nil"/>
            </w:tcBorders>
            <w:shd w:val="clear" w:color="auto" w:fill="auto"/>
            <w:noWrap/>
            <w:vAlign w:val="center"/>
            <w:hideMark/>
          </w:tcPr>
          <w:p w14:paraId="3F96EABA" w14:textId="77777777" w:rsidR="00387142" w:rsidRPr="008B6A75" w:rsidRDefault="00387142" w:rsidP="00387142">
            <w:pPr>
              <w:jc w:val="center"/>
              <w:rPr>
                <w:sz w:val="20"/>
                <w:szCs w:val="20"/>
              </w:rPr>
            </w:pPr>
            <w:r w:rsidRPr="008B6A75">
              <w:rPr>
                <w:sz w:val="20"/>
                <w:szCs w:val="20"/>
              </w:rPr>
              <w:t>05</w:t>
            </w:r>
          </w:p>
        </w:tc>
        <w:tc>
          <w:tcPr>
            <w:tcW w:w="567" w:type="dxa"/>
            <w:tcBorders>
              <w:top w:val="nil"/>
              <w:left w:val="single" w:sz="4" w:space="0" w:color="auto"/>
              <w:bottom w:val="single" w:sz="4" w:space="0" w:color="auto"/>
              <w:right w:val="nil"/>
            </w:tcBorders>
            <w:shd w:val="clear" w:color="auto" w:fill="auto"/>
            <w:noWrap/>
            <w:vAlign w:val="center"/>
            <w:hideMark/>
          </w:tcPr>
          <w:p w14:paraId="1BB7BA23" w14:textId="77777777" w:rsidR="00387142" w:rsidRPr="008B6A75" w:rsidRDefault="00387142" w:rsidP="00387142">
            <w:pPr>
              <w:jc w:val="center"/>
              <w:rPr>
                <w:sz w:val="20"/>
                <w:szCs w:val="20"/>
              </w:rPr>
            </w:pPr>
            <w:r w:rsidRPr="008B6A75">
              <w:rPr>
                <w:sz w:val="20"/>
                <w:szCs w:val="20"/>
              </w:rPr>
              <w:t>02</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26C9F03" w14:textId="77777777" w:rsidR="00387142" w:rsidRPr="008B6A75" w:rsidRDefault="00387142" w:rsidP="00387142">
            <w:pPr>
              <w:jc w:val="right"/>
              <w:rPr>
                <w:sz w:val="20"/>
                <w:szCs w:val="20"/>
              </w:rPr>
            </w:pPr>
            <w:r w:rsidRPr="008B6A75">
              <w:rPr>
                <w:sz w:val="20"/>
                <w:szCs w:val="20"/>
              </w:rPr>
              <w:t>3 002 300,00</w:t>
            </w:r>
          </w:p>
        </w:tc>
        <w:tc>
          <w:tcPr>
            <w:tcW w:w="851" w:type="dxa"/>
            <w:tcBorders>
              <w:top w:val="nil"/>
              <w:left w:val="single" w:sz="4" w:space="0" w:color="auto"/>
              <w:bottom w:val="single" w:sz="4" w:space="0" w:color="auto"/>
              <w:right w:val="nil"/>
            </w:tcBorders>
            <w:shd w:val="clear" w:color="auto" w:fill="auto"/>
            <w:noWrap/>
            <w:vAlign w:val="center"/>
            <w:hideMark/>
          </w:tcPr>
          <w:p w14:paraId="4C1D2F2C" w14:textId="77777777" w:rsidR="00387142" w:rsidRPr="008B6A75" w:rsidRDefault="00387142" w:rsidP="00387142">
            <w:pPr>
              <w:jc w:val="right"/>
              <w:rPr>
                <w:sz w:val="20"/>
                <w:szCs w:val="20"/>
              </w:rPr>
            </w:pPr>
            <w:r w:rsidRPr="008B6A75">
              <w:rPr>
                <w:sz w:val="20"/>
                <w:szCs w:val="20"/>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16A79935" w14:textId="77777777" w:rsidR="00387142" w:rsidRPr="008B6A75" w:rsidRDefault="00387142" w:rsidP="00387142">
            <w:pPr>
              <w:jc w:val="right"/>
              <w:rPr>
                <w:sz w:val="20"/>
                <w:szCs w:val="20"/>
              </w:rPr>
            </w:pPr>
            <w:r w:rsidRPr="008B6A75">
              <w:rPr>
                <w:sz w:val="20"/>
                <w:szCs w:val="20"/>
              </w:rPr>
              <w:t>0,00</w:t>
            </w:r>
          </w:p>
        </w:tc>
      </w:tr>
      <w:tr w:rsidR="00387142" w:rsidRPr="008B6A75" w14:paraId="545FE525" w14:textId="77777777" w:rsidTr="00387142">
        <w:trPr>
          <w:trHeight w:val="300"/>
        </w:trPr>
        <w:tc>
          <w:tcPr>
            <w:tcW w:w="272" w:type="dxa"/>
            <w:tcBorders>
              <w:top w:val="nil"/>
              <w:left w:val="nil"/>
              <w:bottom w:val="nil"/>
              <w:right w:val="single" w:sz="4" w:space="0" w:color="auto"/>
            </w:tcBorders>
            <w:shd w:val="clear" w:color="auto" w:fill="auto"/>
            <w:noWrap/>
            <w:vAlign w:val="bottom"/>
            <w:hideMark/>
          </w:tcPr>
          <w:p w14:paraId="2FA91FCE"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0635E2E1" w14:textId="77777777" w:rsidR="00387142" w:rsidRPr="008B6A75" w:rsidRDefault="00387142" w:rsidP="00387142">
            <w:pPr>
              <w:rPr>
                <w:sz w:val="20"/>
                <w:szCs w:val="20"/>
              </w:rPr>
            </w:pPr>
            <w:r w:rsidRPr="008B6A75">
              <w:rPr>
                <w:sz w:val="20"/>
                <w:szCs w:val="20"/>
              </w:rPr>
              <w:t>Иные межбюджетные трансферты</w:t>
            </w:r>
          </w:p>
        </w:tc>
        <w:tc>
          <w:tcPr>
            <w:tcW w:w="1559" w:type="dxa"/>
            <w:tcBorders>
              <w:top w:val="nil"/>
              <w:left w:val="single" w:sz="4" w:space="0" w:color="auto"/>
              <w:bottom w:val="single" w:sz="4" w:space="0" w:color="auto"/>
              <w:right w:val="nil"/>
            </w:tcBorders>
            <w:shd w:val="clear" w:color="auto" w:fill="auto"/>
            <w:noWrap/>
            <w:vAlign w:val="center"/>
            <w:hideMark/>
          </w:tcPr>
          <w:p w14:paraId="5C4D7853" w14:textId="77777777" w:rsidR="00387142" w:rsidRPr="008B6A75" w:rsidRDefault="00387142" w:rsidP="00387142">
            <w:pPr>
              <w:jc w:val="center"/>
              <w:rPr>
                <w:sz w:val="20"/>
                <w:szCs w:val="20"/>
              </w:rPr>
            </w:pPr>
            <w:r w:rsidRPr="008B6A75">
              <w:rPr>
                <w:sz w:val="20"/>
                <w:szCs w:val="20"/>
              </w:rPr>
              <w:t>99.0.00.01700</w:t>
            </w:r>
          </w:p>
        </w:tc>
        <w:tc>
          <w:tcPr>
            <w:tcW w:w="850" w:type="dxa"/>
            <w:tcBorders>
              <w:top w:val="nil"/>
              <w:left w:val="single" w:sz="4" w:space="0" w:color="auto"/>
              <w:bottom w:val="single" w:sz="4" w:space="0" w:color="auto"/>
              <w:right w:val="nil"/>
            </w:tcBorders>
            <w:shd w:val="clear" w:color="auto" w:fill="auto"/>
            <w:noWrap/>
            <w:vAlign w:val="center"/>
            <w:hideMark/>
          </w:tcPr>
          <w:p w14:paraId="230DF6E6" w14:textId="77777777" w:rsidR="00387142" w:rsidRPr="008B6A75" w:rsidRDefault="00387142" w:rsidP="00387142">
            <w:pPr>
              <w:jc w:val="center"/>
              <w:rPr>
                <w:sz w:val="20"/>
                <w:szCs w:val="20"/>
              </w:rPr>
            </w:pPr>
            <w:r w:rsidRPr="008B6A75">
              <w:rPr>
                <w:sz w:val="20"/>
                <w:szCs w:val="20"/>
              </w:rPr>
              <w:t>540</w:t>
            </w:r>
          </w:p>
        </w:tc>
        <w:tc>
          <w:tcPr>
            <w:tcW w:w="567" w:type="dxa"/>
            <w:tcBorders>
              <w:top w:val="nil"/>
              <w:left w:val="single" w:sz="4" w:space="0" w:color="auto"/>
              <w:bottom w:val="single" w:sz="4" w:space="0" w:color="auto"/>
              <w:right w:val="nil"/>
            </w:tcBorders>
            <w:shd w:val="clear" w:color="auto" w:fill="auto"/>
            <w:noWrap/>
            <w:vAlign w:val="center"/>
            <w:hideMark/>
          </w:tcPr>
          <w:p w14:paraId="69C59ADC" w14:textId="77777777" w:rsidR="00387142" w:rsidRPr="008B6A75" w:rsidRDefault="00387142" w:rsidP="00387142">
            <w:pPr>
              <w:jc w:val="center"/>
              <w:rPr>
                <w:sz w:val="20"/>
                <w:szCs w:val="20"/>
              </w:rPr>
            </w:pPr>
            <w:r w:rsidRPr="008B6A75">
              <w:rPr>
                <w:sz w:val="20"/>
                <w:szCs w:val="20"/>
              </w:rPr>
              <w:t>08</w:t>
            </w:r>
          </w:p>
        </w:tc>
        <w:tc>
          <w:tcPr>
            <w:tcW w:w="567" w:type="dxa"/>
            <w:tcBorders>
              <w:top w:val="nil"/>
              <w:left w:val="single" w:sz="4" w:space="0" w:color="auto"/>
              <w:bottom w:val="single" w:sz="4" w:space="0" w:color="auto"/>
              <w:right w:val="nil"/>
            </w:tcBorders>
            <w:shd w:val="clear" w:color="auto" w:fill="auto"/>
            <w:noWrap/>
            <w:vAlign w:val="center"/>
            <w:hideMark/>
          </w:tcPr>
          <w:p w14:paraId="5CD2EACC" w14:textId="77777777" w:rsidR="00387142" w:rsidRPr="008B6A75" w:rsidRDefault="00387142" w:rsidP="00387142">
            <w:pPr>
              <w:jc w:val="center"/>
              <w:rPr>
                <w:sz w:val="20"/>
                <w:szCs w:val="20"/>
              </w:rPr>
            </w:pPr>
            <w:r w:rsidRPr="008B6A75">
              <w:rPr>
                <w:sz w:val="20"/>
                <w:szCs w:val="20"/>
              </w:rPr>
              <w:t>01</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2867E23" w14:textId="77777777" w:rsidR="00387142" w:rsidRPr="008B6A75" w:rsidRDefault="00387142" w:rsidP="00387142">
            <w:pPr>
              <w:jc w:val="right"/>
              <w:rPr>
                <w:sz w:val="20"/>
                <w:szCs w:val="20"/>
              </w:rPr>
            </w:pPr>
            <w:r w:rsidRPr="008B6A75">
              <w:rPr>
                <w:sz w:val="20"/>
                <w:szCs w:val="20"/>
              </w:rPr>
              <w:t>551 000,00</w:t>
            </w:r>
          </w:p>
        </w:tc>
        <w:tc>
          <w:tcPr>
            <w:tcW w:w="851" w:type="dxa"/>
            <w:tcBorders>
              <w:top w:val="nil"/>
              <w:left w:val="single" w:sz="4" w:space="0" w:color="auto"/>
              <w:bottom w:val="single" w:sz="4" w:space="0" w:color="auto"/>
              <w:right w:val="nil"/>
            </w:tcBorders>
            <w:shd w:val="clear" w:color="auto" w:fill="auto"/>
            <w:noWrap/>
            <w:vAlign w:val="center"/>
            <w:hideMark/>
          </w:tcPr>
          <w:p w14:paraId="1CA1B904" w14:textId="77777777" w:rsidR="00387142" w:rsidRPr="008B6A75" w:rsidRDefault="00387142" w:rsidP="00387142">
            <w:pPr>
              <w:jc w:val="right"/>
              <w:rPr>
                <w:sz w:val="20"/>
                <w:szCs w:val="20"/>
              </w:rPr>
            </w:pPr>
            <w:r w:rsidRPr="008B6A75">
              <w:rPr>
                <w:sz w:val="20"/>
                <w:szCs w:val="20"/>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0343A00E" w14:textId="77777777" w:rsidR="00387142" w:rsidRPr="008B6A75" w:rsidRDefault="00387142" w:rsidP="00387142">
            <w:pPr>
              <w:jc w:val="right"/>
              <w:rPr>
                <w:sz w:val="20"/>
                <w:szCs w:val="20"/>
              </w:rPr>
            </w:pPr>
            <w:r w:rsidRPr="008B6A75">
              <w:rPr>
                <w:sz w:val="20"/>
                <w:szCs w:val="20"/>
              </w:rPr>
              <w:t>0,00</w:t>
            </w:r>
          </w:p>
        </w:tc>
      </w:tr>
      <w:tr w:rsidR="00387142" w:rsidRPr="008B6A75" w14:paraId="44A3D726" w14:textId="77777777" w:rsidTr="00387142">
        <w:trPr>
          <w:trHeight w:val="870"/>
        </w:trPr>
        <w:tc>
          <w:tcPr>
            <w:tcW w:w="272" w:type="dxa"/>
            <w:tcBorders>
              <w:top w:val="nil"/>
              <w:left w:val="nil"/>
              <w:bottom w:val="nil"/>
              <w:right w:val="single" w:sz="4" w:space="0" w:color="auto"/>
            </w:tcBorders>
            <w:shd w:val="clear" w:color="auto" w:fill="auto"/>
            <w:noWrap/>
            <w:vAlign w:val="bottom"/>
            <w:hideMark/>
          </w:tcPr>
          <w:p w14:paraId="7DE68EC9"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1100BDC4" w14:textId="77777777" w:rsidR="00387142" w:rsidRPr="008B6A75" w:rsidRDefault="00387142" w:rsidP="00387142">
            <w:pPr>
              <w:rPr>
                <w:sz w:val="20"/>
                <w:szCs w:val="20"/>
              </w:rPr>
            </w:pPr>
            <w:r w:rsidRPr="008B6A75">
              <w:rPr>
                <w:sz w:val="20"/>
                <w:szCs w:val="20"/>
              </w:rPr>
              <w:t>Предоставление субсидий бюджетным, автономным учреждениям и иным некоммерческим организациям</w:t>
            </w:r>
          </w:p>
        </w:tc>
        <w:tc>
          <w:tcPr>
            <w:tcW w:w="1559" w:type="dxa"/>
            <w:tcBorders>
              <w:top w:val="nil"/>
              <w:left w:val="single" w:sz="4" w:space="0" w:color="auto"/>
              <w:bottom w:val="single" w:sz="4" w:space="0" w:color="auto"/>
              <w:right w:val="nil"/>
            </w:tcBorders>
            <w:shd w:val="clear" w:color="auto" w:fill="auto"/>
            <w:noWrap/>
            <w:vAlign w:val="center"/>
            <w:hideMark/>
          </w:tcPr>
          <w:p w14:paraId="647CCEB5" w14:textId="77777777" w:rsidR="00387142" w:rsidRPr="008B6A75" w:rsidRDefault="00387142" w:rsidP="00387142">
            <w:pPr>
              <w:jc w:val="center"/>
              <w:rPr>
                <w:sz w:val="20"/>
                <w:szCs w:val="20"/>
              </w:rPr>
            </w:pPr>
            <w:r w:rsidRPr="008B6A75">
              <w:rPr>
                <w:sz w:val="20"/>
                <w:szCs w:val="20"/>
              </w:rPr>
              <w:t>99.0.00.01700</w:t>
            </w:r>
          </w:p>
        </w:tc>
        <w:tc>
          <w:tcPr>
            <w:tcW w:w="850" w:type="dxa"/>
            <w:tcBorders>
              <w:top w:val="nil"/>
              <w:left w:val="single" w:sz="4" w:space="0" w:color="auto"/>
              <w:bottom w:val="single" w:sz="4" w:space="0" w:color="auto"/>
              <w:right w:val="nil"/>
            </w:tcBorders>
            <w:shd w:val="clear" w:color="auto" w:fill="auto"/>
            <w:noWrap/>
            <w:vAlign w:val="center"/>
            <w:hideMark/>
          </w:tcPr>
          <w:p w14:paraId="2312F309" w14:textId="77777777" w:rsidR="00387142" w:rsidRPr="008B6A75" w:rsidRDefault="00387142" w:rsidP="00387142">
            <w:pPr>
              <w:jc w:val="center"/>
              <w:rPr>
                <w:sz w:val="20"/>
                <w:szCs w:val="20"/>
              </w:rPr>
            </w:pPr>
            <w:r w:rsidRPr="008B6A75">
              <w:rPr>
                <w:sz w:val="20"/>
                <w:szCs w:val="20"/>
              </w:rPr>
              <w:t>600</w:t>
            </w:r>
          </w:p>
        </w:tc>
        <w:tc>
          <w:tcPr>
            <w:tcW w:w="567" w:type="dxa"/>
            <w:tcBorders>
              <w:top w:val="nil"/>
              <w:left w:val="single" w:sz="4" w:space="0" w:color="auto"/>
              <w:bottom w:val="single" w:sz="4" w:space="0" w:color="auto"/>
              <w:right w:val="nil"/>
            </w:tcBorders>
            <w:shd w:val="clear" w:color="auto" w:fill="auto"/>
            <w:noWrap/>
            <w:vAlign w:val="center"/>
            <w:hideMark/>
          </w:tcPr>
          <w:p w14:paraId="29026EB9" w14:textId="77777777" w:rsidR="00387142" w:rsidRPr="008B6A75" w:rsidRDefault="00387142" w:rsidP="00387142">
            <w:pPr>
              <w:jc w:val="center"/>
              <w:rPr>
                <w:sz w:val="20"/>
                <w:szCs w:val="20"/>
              </w:rPr>
            </w:pPr>
            <w:r w:rsidRPr="008B6A75">
              <w:rPr>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5D5E6980" w14:textId="77777777" w:rsidR="00387142" w:rsidRPr="008B6A75" w:rsidRDefault="00387142" w:rsidP="00387142">
            <w:pPr>
              <w:jc w:val="center"/>
              <w:rPr>
                <w:sz w:val="20"/>
                <w:szCs w:val="20"/>
              </w:rPr>
            </w:pPr>
            <w:r w:rsidRPr="008B6A75">
              <w:rPr>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A02397B" w14:textId="77777777" w:rsidR="00387142" w:rsidRPr="008B6A75" w:rsidRDefault="00387142" w:rsidP="00387142">
            <w:pPr>
              <w:jc w:val="right"/>
              <w:rPr>
                <w:sz w:val="20"/>
                <w:szCs w:val="20"/>
              </w:rPr>
            </w:pPr>
            <w:r w:rsidRPr="008B6A75">
              <w:rPr>
                <w:sz w:val="20"/>
                <w:szCs w:val="20"/>
              </w:rPr>
              <w:t>2 427 400,00</w:t>
            </w:r>
          </w:p>
        </w:tc>
        <w:tc>
          <w:tcPr>
            <w:tcW w:w="851" w:type="dxa"/>
            <w:tcBorders>
              <w:top w:val="nil"/>
              <w:left w:val="single" w:sz="4" w:space="0" w:color="auto"/>
              <w:bottom w:val="single" w:sz="4" w:space="0" w:color="auto"/>
              <w:right w:val="nil"/>
            </w:tcBorders>
            <w:shd w:val="clear" w:color="auto" w:fill="auto"/>
            <w:noWrap/>
            <w:vAlign w:val="center"/>
            <w:hideMark/>
          </w:tcPr>
          <w:p w14:paraId="1263DF54" w14:textId="77777777" w:rsidR="00387142" w:rsidRPr="008B6A75" w:rsidRDefault="00387142" w:rsidP="00387142">
            <w:pPr>
              <w:jc w:val="right"/>
              <w:rPr>
                <w:sz w:val="20"/>
                <w:szCs w:val="20"/>
              </w:rPr>
            </w:pPr>
            <w:r w:rsidRPr="008B6A75">
              <w:rPr>
                <w:sz w:val="20"/>
                <w:szCs w:val="20"/>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1C7B6379" w14:textId="77777777" w:rsidR="00387142" w:rsidRPr="008B6A75" w:rsidRDefault="00387142" w:rsidP="00387142">
            <w:pPr>
              <w:jc w:val="right"/>
              <w:rPr>
                <w:sz w:val="20"/>
                <w:szCs w:val="20"/>
              </w:rPr>
            </w:pPr>
            <w:r w:rsidRPr="008B6A75">
              <w:rPr>
                <w:sz w:val="20"/>
                <w:szCs w:val="20"/>
              </w:rPr>
              <w:t>0,00</w:t>
            </w:r>
          </w:p>
        </w:tc>
      </w:tr>
      <w:tr w:rsidR="00387142" w:rsidRPr="008B6A75" w14:paraId="27CF8802" w14:textId="77777777" w:rsidTr="00387142">
        <w:trPr>
          <w:trHeight w:val="300"/>
        </w:trPr>
        <w:tc>
          <w:tcPr>
            <w:tcW w:w="272" w:type="dxa"/>
            <w:tcBorders>
              <w:top w:val="nil"/>
              <w:left w:val="nil"/>
              <w:bottom w:val="nil"/>
              <w:right w:val="single" w:sz="4" w:space="0" w:color="auto"/>
            </w:tcBorders>
            <w:shd w:val="clear" w:color="auto" w:fill="auto"/>
            <w:noWrap/>
            <w:vAlign w:val="bottom"/>
            <w:hideMark/>
          </w:tcPr>
          <w:p w14:paraId="5C819D80"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73842963" w14:textId="77777777" w:rsidR="00387142" w:rsidRPr="008B6A75" w:rsidRDefault="00387142" w:rsidP="00387142">
            <w:pPr>
              <w:rPr>
                <w:sz w:val="20"/>
                <w:szCs w:val="20"/>
              </w:rPr>
            </w:pPr>
            <w:r w:rsidRPr="008B6A75">
              <w:rPr>
                <w:sz w:val="20"/>
                <w:szCs w:val="20"/>
              </w:rPr>
              <w:t>Субсидии бюджетным учреждениям</w:t>
            </w:r>
          </w:p>
        </w:tc>
        <w:tc>
          <w:tcPr>
            <w:tcW w:w="1559" w:type="dxa"/>
            <w:tcBorders>
              <w:top w:val="nil"/>
              <w:left w:val="single" w:sz="4" w:space="0" w:color="auto"/>
              <w:bottom w:val="single" w:sz="4" w:space="0" w:color="auto"/>
              <w:right w:val="nil"/>
            </w:tcBorders>
            <w:shd w:val="clear" w:color="auto" w:fill="auto"/>
            <w:noWrap/>
            <w:vAlign w:val="center"/>
            <w:hideMark/>
          </w:tcPr>
          <w:p w14:paraId="3034BEC4" w14:textId="77777777" w:rsidR="00387142" w:rsidRPr="008B6A75" w:rsidRDefault="00387142" w:rsidP="00387142">
            <w:pPr>
              <w:jc w:val="center"/>
              <w:rPr>
                <w:sz w:val="20"/>
                <w:szCs w:val="20"/>
              </w:rPr>
            </w:pPr>
            <w:r w:rsidRPr="008B6A75">
              <w:rPr>
                <w:sz w:val="20"/>
                <w:szCs w:val="20"/>
              </w:rPr>
              <w:t>99.0.00.01700</w:t>
            </w:r>
          </w:p>
        </w:tc>
        <w:tc>
          <w:tcPr>
            <w:tcW w:w="850" w:type="dxa"/>
            <w:tcBorders>
              <w:top w:val="nil"/>
              <w:left w:val="single" w:sz="4" w:space="0" w:color="auto"/>
              <w:bottom w:val="single" w:sz="4" w:space="0" w:color="auto"/>
              <w:right w:val="nil"/>
            </w:tcBorders>
            <w:shd w:val="clear" w:color="auto" w:fill="auto"/>
            <w:noWrap/>
            <w:vAlign w:val="center"/>
            <w:hideMark/>
          </w:tcPr>
          <w:p w14:paraId="72872C28" w14:textId="77777777" w:rsidR="00387142" w:rsidRPr="008B6A75" w:rsidRDefault="00387142" w:rsidP="00387142">
            <w:pPr>
              <w:jc w:val="center"/>
              <w:rPr>
                <w:sz w:val="20"/>
                <w:szCs w:val="20"/>
              </w:rPr>
            </w:pPr>
            <w:r w:rsidRPr="008B6A75">
              <w:rPr>
                <w:sz w:val="20"/>
                <w:szCs w:val="20"/>
              </w:rPr>
              <w:t>610</w:t>
            </w:r>
          </w:p>
        </w:tc>
        <w:tc>
          <w:tcPr>
            <w:tcW w:w="567" w:type="dxa"/>
            <w:tcBorders>
              <w:top w:val="nil"/>
              <w:left w:val="single" w:sz="4" w:space="0" w:color="auto"/>
              <w:bottom w:val="single" w:sz="4" w:space="0" w:color="auto"/>
              <w:right w:val="nil"/>
            </w:tcBorders>
            <w:shd w:val="clear" w:color="auto" w:fill="auto"/>
            <w:noWrap/>
            <w:vAlign w:val="center"/>
            <w:hideMark/>
          </w:tcPr>
          <w:p w14:paraId="46B5FB42" w14:textId="77777777" w:rsidR="00387142" w:rsidRPr="008B6A75" w:rsidRDefault="00387142" w:rsidP="00387142">
            <w:pPr>
              <w:jc w:val="center"/>
              <w:rPr>
                <w:sz w:val="20"/>
                <w:szCs w:val="20"/>
              </w:rPr>
            </w:pPr>
            <w:r w:rsidRPr="008B6A75">
              <w:rPr>
                <w:sz w:val="20"/>
                <w:szCs w:val="20"/>
              </w:rPr>
              <w:t>07</w:t>
            </w:r>
          </w:p>
        </w:tc>
        <w:tc>
          <w:tcPr>
            <w:tcW w:w="567" w:type="dxa"/>
            <w:tcBorders>
              <w:top w:val="nil"/>
              <w:left w:val="single" w:sz="4" w:space="0" w:color="auto"/>
              <w:bottom w:val="single" w:sz="4" w:space="0" w:color="auto"/>
              <w:right w:val="nil"/>
            </w:tcBorders>
            <w:shd w:val="clear" w:color="auto" w:fill="auto"/>
            <w:noWrap/>
            <w:vAlign w:val="center"/>
            <w:hideMark/>
          </w:tcPr>
          <w:p w14:paraId="4E74EF36" w14:textId="77777777" w:rsidR="00387142" w:rsidRPr="008B6A75" w:rsidRDefault="00387142" w:rsidP="00387142">
            <w:pPr>
              <w:jc w:val="center"/>
              <w:rPr>
                <w:sz w:val="20"/>
                <w:szCs w:val="20"/>
              </w:rPr>
            </w:pPr>
            <w:r w:rsidRPr="008B6A75">
              <w:rPr>
                <w:sz w:val="20"/>
                <w:szCs w:val="20"/>
              </w:rPr>
              <w:t>02</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709DB75" w14:textId="77777777" w:rsidR="00387142" w:rsidRPr="008B6A75" w:rsidRDefault="00387142" w:rsidP="00387142">
            <w:pPr>
              <w:jc w:val="right"/>
              <w:rPr>
                <w:sz w:val="20"/>
                <w:szCs w:val="20"/>
              </w:rPr>
            </w:pPr>
            <w:r w:rsidRPr="008B6A75">
              <w:rPr>
                <w:sz w:val="20"/>
                <w:szCs w:val="20"/>
              </w:rPr>
              <w:t>360 000,00</w:t>
            </w:r>
          </w:p>
        </w:tc>
        <w:tc>
          <w:tcPr>
            <w:tcW w:w="851" w:type="dxa"/>
            <w:tcBorders>
              <w:top w:val="nil"/>
              <w:left w:val="single" w:sz="4" w:space="0" w:color="auto"/>
              <w:bottom w:val="single" w:sz="4" w:space="0" w:color="auto"/>
              <w:right w:val="nil"/>
            </w:tcBorders>
            <w:shd w:val="clear" w:color="auto" w:fill="auto"/>
            <w:noWrap/>
            <w:vAlign w:val="center"/>
            <w:hideMark/>
          </w:tcPr>
          <w:p w14:paraId="50350679" w14:textId="77777777" w:rsidR="00387142" w:rsidRPr="008B6A75" w:rsidRDefault="00387142" w:rsidP="00387142">
            <w:pPr>
              <w:jc w:val="right"/>
              <w:rPr>
                <w:sz w:val="20"/>
                <w:szCs w:val="20"/>
              </w:rPr>
            </w:pPr>
            <w:r w:rsidRPr="008B6A75">
              <w:rPr>
                <w:sz w:val="20"/>
                <w:szCs w:val="20"/>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1D462A40" w14:textId="77777777" w:rsidR="00387142" w:rsidRPr="008B6A75" w:rsidRDefault="00387142" w:rsidP="00387142">
            <w:pPr>
              <w:jc w:val="right"/>
              <w:rPr>
                <w:sz w:val="20"/>
                <w:szCs w:val="20"/>
              </w:rPr>
            </w:pPr>
            <w:r w:rsidRPr="008B6A75">
              <w:rPr>
                <w:sz w:val="20"/>
                <w:szCs w:val="20"/>
              </w:rPr>
              <w:t>0,00</w:t>
            </w:r>
          </w:p>
        </w:tc>
      </w:tr>
      <w:tr w:rsidR="00387142" w:rsidRPr="008B6A75" w14:paraId="1225A9BE" w14:textId="77777777" w:rsidTr="00387142">
        <w:trPr>
          <w:trHeight w:val="300"/>
        </w:trPr>
        <w:tc>
          <w:tcPr>
            <w:tcW w:w="272" w:type="dxa"/>
            <w:tcBorders>
              <w:top w:val="nil"/>
              <w:left w:val="nil"/>
              <w:bottom w:val="nil"/>
              <w:right w:val="single" w:sz="4" w:space="0" w:color="auto"/>
            </w:tcBorders>
            <w:shd w:val="clear" w:color="auto" w:fill="auto"/>
            <w:noWrap/>
            <w:vAlign w:val="bottom"/>
            <w:hideMark/>
          </w:tcPr>
          <w:p w14:paraId="5FA17563"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50214DCD" w14:textId="77777777" w:rsidR="00387142" w:rsidRPr="008B6A75" w:rsidRDefault="00387142" w:rsidP="00387142">
            <w:pPr>
              <w:rPr>
                <w:sz w:val="20"/>
                <w:szCs w:val="20"/>
              </w:rPr>
            </w:pPr>
            <w:r w:rsidRPr="008B6A75">
              <w:rPr>
                <w:sz w:val="20"/>
                <w:szCs w:val="20"/>
              </w:rPr>
              <w:t>Субсидии бюджетным учреждениям</w:t>
            </w:r>
          </w:p>
        </w:tc>
        <w:tc>
          <w:tcPr>
            <w:tcW w:w="1559" w:type="dxa"/>
            <w:tcBorders>
              <w:top w:val="nil"/>
              <w:left w:val="single" w:sz="4" w:space="0" w:color="auto"/>
              <w:bottom w:val="single" w:sz="4" w:space="0" w:color="auto"/>
              <w:right w:val="nil"/>
            </w:tcBorders>
            <w:shd w:val="clear" w:color="auto" w:fill="auto"/>
            <w:noWrap/>
            <w:vAlign w:val="center"/>
            <w:hideMark/>
          </w:tcPr>
          <w:p w14:paraId="28B28E76" w14:textId="77777777" w:rsidR="00387142" w:rsidRPr="008B6A75" w:rsidRDefault="00387142" w:rsidP="00387142">
            <w:pPr>
              <w:jc w:val="center"/>
              <w:rPr>
                <w:sz w:val="20"/>
                <w:szCs w:val="20"/>
              </w:rPr>
            </w:pPr>
            <w:r w:rsidRPr="008B6A75">
              <w:rPr>
                <w:sz w:val="20"/>
                <w:szCs w:val="20"/>
              </w:rPr>
              <w:t>99.0.00.01700</w:t>
            </w:r>
          </w:p>
        </w:tc>
        <w:tc>
          <w:tcPr>
            <w:tcW w:w="850" w:type="dxa"/>
            <w:tcBorders>
              <w:top w:val="nil"/>
              <w:left w:val="single" w:sz="4" w:space="0" w:color="auto"/>
              <w:bottom w:val="single" w:sz="4" w:space="0" w:color="auto"/>
              <w:right w:val="nil"/>
            </w:tcBorders>
            <w:shd w:val="clear" w:color="auto" w:fill="auto"/>
            <w:noWrap/>
            <w:vAlign w:val="center"/>
            <w:hideMark/>
          </w:tcPr>
          <w:p w14:paraId="6510084D" w14:textId="77777777" w:rsidR="00387142" w:rsidRPr="008B6A75" w:rsidRDefault="00387142" w:rsidP="00387142">
            <w:pPr>
              <w:jc w:val="center"/>
              <w:rPr>
                <w:sz w:val="20"/>
                <w:szCs w:val="20"/>
              </w:rPr>
            </w:pPr>
            <w:r w:rsidRPr="008B6A75">
              <w:rPr>
                <w:sz w:val="20"/>
                <w:szCs w:val="20"/>
              </w:rPr>
              <w:t>610</w:t>
            </w:r>
          </w:p>
        </w:tc>
        <w:tc>
          <w:tcPr>
            <w:tcW w:w="567" w:type="dxa"/>
            <w:tcBorders>
              <w:top w:val="nil"/>
              <w:left w:val="single" w:sz="4" w:space="0" w:color="auto"/>
              <w:bottom w:val="single" w:sz="4" w:space="0" w:color="auto"/>
              <w:right w:val="nil"/>
            </w:tcBorders>
            <w:shd w:val="clear" w:color="auto" w:fill="auto"/>
            <w:noWrap/>
            <w:vAlign w:val="center"/>
            <w:hideMark/>
          </w:tcPr>
          <w:p w14:paraId="331B5E18" w14:textId="77777777" w:rsidR="00387142" w:rsidRPr="008B6A75" w:rsidRDefault="00387142" w:rsidP="00387142">
            <w:pPr>
              <w:jc w:val="center"/>
              <w:rPr>
                <w:sz w:val="20"/>
                <w:szCs w:val="20"/>
              </w:rPr>
            </w:pPr>
            <w:r w:rsidRPr="008B6A75">
              <w:rPr>
                <w:sz w:val="20"/>
                <w:szCs w:val="20"/>
              </w:rPr>
              <w:t>10</w:t>
            </w:r>
          </w:p>
        </w:tc>
        <w:tc>
          <w:tcPr>
            <w:tcW w:w="567" w:type="dxa"/>
            <w:tcBorders>
              <w:top w:val="nil"/>
              <w:left w:val="single" w:sz="4" w:space="0" w:color="auto"/>
              <w:bottom w:val="single" w:sz="4" w:space="0" w:color="auto"/>
              <w:right w:val="nil"/>
            </w:tcBorders>
            <w:shd w:val="clear" w:color="auto" w:fill="auto"/>
            <w:noWrap/>
            <w:vAlign w:val="center"/>
            <w:hideMark/>
          </w:tcPr>
          <w:p w14:paraId="3BF59CAE" w14:textId="77777777" w:rsidR="00387142" w:rsidRPr="008B6A75" w:rsidRDefault="00387142" w:rsidP="00387142">
            <w:pPr>
              <w:jc w:val="center"/>
              <w:rPr>
                <w:sz w:val="20"/>
                <w:szCs w:val="20"/>
              </w:rPr>
            </w:pPr>
            <w:r w:rsidRPr="008B6A75">
              <w:rPr>
                <w:sz w:val="20"/>
                <w:szCs w:val="20"/>
              </w:rPr>
              <w:t>02</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8889082" w14:textId="77777777" w:rsidR="00387142" w:rsidRPr="008B6A75" w:rsidRDefault="00387142" w:rsidP="00387142">
            <w:pPr>
              <w:jc w:val="right"/>
              <w:rPr>
                <w:sz w:val="20"/>
                <w:szCs w:val="20"/>
              </w:rPr>
            </w:pPr>
            <w:r w:rsidRPr="008B6A75">
              <w:rPr>
                <w:sz w:val="20"/>
                <w:szCs w:val="20"/>
              </w:rPr>
              <w:t>2 067 400,00</w:t>
            </w:r>
          </w:p>
        </w:tc>
        <w:tc>
          <w:tcPr>
            <w:tcW w:w="851" w:type="dxa"/>
            <w:tcBorders>
              <w:top w:val="nil"/>
              <w:left w:val="single" w:sz="4" w:space="0" w:color="auto"/>
              <w:bottom w:val="single" w:sz="4" w:space="0" w:color="auto"/>
              <w:right w:val="nil"/>
            </w:tcBorders>
            <w:shd w:val="clear" w:color="auto" w:fill="auto"/>
            <w:noWrap/>
            <w:vAlign w:val="center"/>
            <w:hideMark/>
          </w:tcPr>
          <w:p w14:paraId="0A1CA824" w14:textId="77777777" w:rsidR="00387142" w:rsidRPr="008B6A75" w:rsidRDefault="00387142" w:rsidP="00387142">
            <w:pPr>
              <w:jc w:val="right"/>
              <w:rPr>
                <w:sz w:val="20"/>
                <w:szCs w:val="20"/>
              </w:rPr>
            </w:pPr>
            <w:r w:rsidRPr="008B6A75">
              <w:rPr>
                <w:sz w:val="20"/>
                <w:szCs w:val="20"/>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086B298D" w14:textId="77777777" w:rsidR="00387142" w:rsidRPr="008B6A75" w:rsidRDefault="00387142" w:rsidP="00387142">
            <w:pPr>
              <w:jc w:val="right"/>
              <w:rPr>
                <w:sz w:val="20"/>
                <w:szCs w:val="20"/>
              </w:rPr>
            </w:pPr>
            <w:r w:rsidRPr="008B6A75">
              <w:rPr>
                <w:sz w:val="20"/>
                <w:szCs w:val="20"/>
              </w:rPr>
              <w:t>0,00</w:t>
            </w:r>
          </w:p>
        </w:tc>
      </w:tr>
      <w:tr w:rsidR="00387142" w:rsidRPr="008B6A75" w14:paraId="3D912751" w14:textId="77777777" w:rsidTr="00387142">
        <w:trPr>
          <w:trHeight w:val="300"/>
        </w:trPr>
        <w:tc>
          <w:tcPr>
            <w:tcW w:w="272" w:type="dxa"/>
            <w:tcBorders>
              <w:top w:val="nil"/>
              <w:left w:val="nil"/>
              <w:bottom w:val="nil"/>
              <w:right w:val="single" w:sz="4" w:space="0" w:color="auto"/>
            </w:tcBorders>
            <w:shd w:val="clear" w:color="auto" w:fill="auto"/>
            <w:noWrap/>
            <w:vAlign w:val="bottom"/>
            <w:hideMark/>
          </w:tcPr>
          <w:p w14:paraId="49ED953F"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3A8366B5" w14:textId="77777777" w:rsidR="00387142" w:rsidRPr="008B6A75" w:rsidRDefault="00387142" w:rsidP="00387142">
            <w:pPr>
              <w:rPr>
                <w:sz w:val="20"/>
                <w:szCs w:val="20"/>
              </w:rPr>
            </w:pPr>
            <w:r w:rsidRPr="008B6A75">
              <w:rPr>
                <w:sz w:val="20"/>
                <w:szCs w:val="20"/>
              </w:rPr>
              <w:t>Иные бюджетные ассигнования</w:t>
            </w:r>
          </w:p>
        </w:tc>
        <w:tc>
          <w:tcPr>
            <w:tcW w:w="1559" w:type="dxa"/>
            <w:tcBorders>
              <w:top w:val="nil"/>
              <w:left w:val="single" w:sz="4" w:space="0" w:color="auto"/>
              <w:bottom w:val="single" w:sz="4" w:space="0" w:color="auto"/>
              <w:right w:val="nil"/>
            </w:tcBorders>
            <w:shd w:val="clear" w:color="auto" w:fill="auto"/>
            <w:noWrap/>
            <w:vAlign w:val="center"/>
            <w:hideMark/>
          </w:tcPr>
          <w:p w14:paraId="5E07F8E8" w14:textId="77777777" w:rsidR="00387142" w:rsidRPr="008B6A75" w:rsidRDefault="00387142" w:rsidP="00387142">
            <w:pPr>
              <w:jc w:val="center"/>
              <w:rPr>
                <w:sz w:val="20"/>
                <w:szCs w:val="20"/>
              </w:rPr>
            </w:pPr>
            <w:r w:rsidRPr="008B6A75">
              <w:rPr>
                <w:sz w:val="20"/>
                <w:szCs w:val="20"/>
              </w:rPr>
              <w:t>99.0.00.01700</w:t>
            </w:r>
          </w:p>
        </w:tc>
        <w:tc>
          <w:tcPr>
            <w:tcW w:w="850" w:type="dxa"/>
            <w:tcBorders>
              <w:top w:val="nil"/>
              <w:left w:val="single" w:sz="4" w:space="0" w:color="auto"/>
              <w:bottom w:val="single" w:sz="4" w:space="0" w:color="auto"/>
              <w:right w:val="nil"/>
            </w:tcBorders>
            <w:shd w:val="clear" w:color="auto" w:fill="auto"/>
            <w:noWrap/>
            <w:vAlign w:val="center"/>
            <w:hideMark/>
          </w:tcPr>
          <w:p w14:paraId="72E4BD3C" w14:textId="77777777" w:rsidR="00387142" w:rsidRPr="008B6A75" w:rsidRDefault="00387142" w:rsidP="00387142">
            <w:pPr>
              <w:jc w:val="center"/>
              <w:rPr>
                <w:sz w:val="20"/>
                <w:szCs w:val="20"/>
              </w:rPr>
            </w:pPr>
            <w:r w:rsidRPr="008B6A75">
              <w:rPr>
                <w:sz w:val="20"/>
                <w:szCs w:val="20"/>
              </w:rPr>
              <w:t>800</w:t>
            </w:r>
          </w:p>
        </w:tc>
        <w:tc>
          <w:tcPr>
            <w:tcW w:w="567" w:type="dxa"/>
            <w:tcBorders>
              <w:top w:val="nil"/>
              <w:left w:val="single" w:sz="4" w:space="0" w:color="auto"/>
              <w:bottom w:val="single" w:sz="4" w:space="0" w:color="auto"/>
              <w:right w:val="nil"/>
            </w:tcBorders>
            <w:shd w:val="clear" w:color="auto" w:fill="auto"/>
            <w:noWrap/>
            <w:vAlign w:val="center"/>
            <w:hideMark/>
          </w:tcPr>
          <w:p w14:paraId="4C3CA8A6" w14:textId="77777777" w:rsidR="00387142" w:rsidRPr="008B6A75" w:rsidRDefault="00387142" w:rsidP="00387142">
            <w:pPr>
              <w:jc w:val="center"/>
              <w:rPr>
                <w:sz w:val="20"/>
                <w:szCs w:val="20"/>
              </w:rPr>
            </w:pPr>
            <w:r w:rsidRPr="008B6A75">
              <w:rPr>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4E1EB9E7" w14:textId="77777777" w:rsidR="00387142" w:rsidRPr="008B6A75" w:rsidRDefault="00387142" w:rsidP="00387142">
            <w:pPr>
              <w:jc w:val="center"/>
              <w:rPr>
                <w:sz w:val="20"/>
                <w:szCs w:val="20"/>
              </w:rPr>
            </w:pPr>
            <w:r w:rsidRPr="008B6A75">
              <w:rPr>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BCEA558" w14:textId="77777777" w:rsidR="00387142" w:rsidRPr="008B6A75" w:rsidRDefault="00387142" w:rsidP="00387142">
            <w:pPr>
              <w:jc w:val="right"/>
              <w:rPr>
                <w:sz w:val="20"/>
                <w:szCs w:val="20"/>
              </w:rPr>
            </w:pPr>
            <w:r w:rsidRPr="008B6A75">
              <w:rPr>
                <w:sz w:val="20"/>
                <w:szCs w:val="20"/>
              </w:rPr>
              <w:t>954 517,08</w:t>
            </w:r>
          </w:p>
        </w:tc>
        <w:tc>
          <w:tcPr>
            <w:tcW w:w="851" w:type="dxa"/>
            <w:tcBorders>
              <w:top w:val="nil"/>
              <w:left w:val="single" w:sz="4" w:space="0" w:color="auto"/>
              <w:bottom w:val="single" w:sz="4" w:space="0" w:color="auto"/>
              <w:right w:val="nil"/>
            </w:tcBorders>
            <w:shd w:val="clear" w:color="auto" w:fill="auto"/>
            <w:noWrap/>
            <w:vAlign w:val="center"/>
            <w:hideMark/>
          </w:tcPr>
          <w:p w14:paraId="11A9CCF4" w14:textId="77777777" w:rsidR="00387142" w:rsidRPr="008B6A75" w:rsidRDefault="00387142" w:rsidP="00387142">
            <w:pPr>
              <w:jc w:val="right"/>
              <w:rPr>
                <w:sz w:val="20"/>
                <w:szCs w:val="20"/>
              </w:rPr>
            </w:pPr>
            <w:r w:rsidRPr="008B6A75">
              <w:rPr>
                <w:sz w:val="20"/>
                <w:szCs w:val="20"/>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3A287805" w14:textId="77777777" w:rsidR="00387142" w:rsidRPr="008B6A75" w:rsidRDefault="00387142" w:rsidP="00387142">
            <w:pPr>
              <w:jc w:val="right"/>
              <w:rPr>
                <w:sz w:val="20"/>
                <w:szCs w:val="20"/>
              </w:rPr>
            </w:pPr>
            <w:r w:rsidRPr="008B6A75">
              <w:rPr>
                <w:sz w:val="20"/>
                <w:szCs w:val="20"/>
              </w:rPr>
              <w:t>0,00</w:t>
            </w:r>
          </w:p>
        </w:tc>
      </w:tr>
      <w:tr w:rsidR="00387142" w:rsidRPr="008B6A75" w14:paraId="1811D2B2" w14:textId="77777777" w:rsidTr="00387142">
        <w:trPr>
          <w:trHeight w:val="300"/>
        </w:trPr>
        <w:tc>
          <w:tcPr>
            <w:tcW w:w="272" w:type="dxa"/>
            <w:tcBorders>
              <w:top w:val="nil"/>
              <w:left w:val="nil"/>
              <w:bottom w:val="nil"/>
              <w:right w:val="single" w:sz="4" w:space="0" w:color="auto"/>
            </w:tcBorders>
            <w:shd w:val="clear" w:color="auto" w:fill="auto"/>
            <w:noWrap/>
            <w:vAlign w:val="bottom"/>
            <w:hideMark/>
          </w:tcPr>
          <w:p w14:paraId="049E1D8E"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40E07CDE" w14:textId="77777777" w:rsidR="00387142" w:rsidRPr="008B6A75" w:rsidRDefault="00387142" w:rsidP="00387142">
            <w:pPr>
              <w:rPr>
                <w:sz w:val="20"/>
                <w:szCs w:val="20"/>
              </w:rPr>
            </w:pPr>
            <w:r w:rsidRPr="008B6A75">
              <w:rPr>
                <w:sz w:val="20"/>
                <w:szCs w:val="20"/>
              </w:rPr>
              <w:t>Резервные средства</w:t>
            </w:r>
          </w:p>
        </w:tc>
        <w:tc>
          <w:tcPr>
            <w:tcW w:w="1559" w:type="dxa"/>
            <w:tcBorders>
              <w:top w:val="nil"/>
              <w:left w:val="single" w:sz="4" w:space="0" w:color="auto"/>
              <w:bottom w:val="single" w:sz="4" w:space="0" w:color="auto"/>
              <w:right w:val="nil"/>
            </w:tcBorders>
            <w:shd w:val="clear" w:color="auto" w:fill="auto"/>
            <w:noWrap/>
            <w:vAlign w:val="center"/>
            <w:hideMark/>
          </w:tcPr>
          <w:p w14:paraId="7F2337E5" w14:textId="77777777" w:rsidR="00387142" w:rsidRPr="008B6A75" w:rsidRDefault="00387142" w:rsidP="00387142">
            <w:pPr>
              <w:jc w:val="center"/>
              <w:rPr>
                <w:sz w:val="20"/>
                <w:szCs w:val="20"/>
              </w:rPr>
            </w:pPr>
            <w:r w:rsidRPr="008B6A75">
              <w:rPr>
                <w:sz w:val="20"/>
                <w:szCs w:val="20"/>
              </w:rPr>
              <w:t>99.0.00.01700</w:t>
            </w:r>
          </w:p>
        </w:tc>
        <w:tc>
          <w:tcPr>
            <w:tcW w:w="850" w:type="dxa"/>
            <w:tcBorders>
              <w:top w:val="nil"/>
              <w:left w:val="single" w:sz="4" w:space="0" w:color="auto"/>
              <w:bottom w:val="single" w:sz="4" w:space="0" w:color="auto"/>
              <w:right w:val="nil"/>
            </w:tcBorders>
            <w:shd w:val="clear" w:color="auto" w:fill="auto"/>
            <w:noWrap/>
            <w:vAlign w:val="center"/>
            <w:hideMark/>
          </w:tcPr>
          <w:p w14:paraId="052457F0" w14:textId="77777777" w:rsidR="00387142" w:rsidRPr="008B6A75" w:rsidRDefault="00387142" w:rsidP="00387142">
            <w:pPr>
              <w:jc w:val="center"/>
              <w:rPr>
                <w:sz w:val="20"/>
                <w:szCs w:val="20"/>
              </w:rPr>
            </w:pPr>
            <w:r w:rsidRPr="008B6A75">
              <w:rPr>
                <w:sz w:val="20"/>
                <w:szCs w:val="20"/>
              </w:rPr>
              <w:t>870</w:t>
            </w:r>
          </w:p>
        </w:tc>
        <w:tc>
          <w:tcPr>
            <w:tcW w:w="567" w:type="dxa"/>
            <w:tcBorders>
              <w:top w:val="nil"/>
              <w:left w:val="single" w:sz="4" w:space="0" w:color="auto"/>
              <w:bottom w:val="single" w:sz="4" w:space="0" w:color="auto"/>
              <w:right w:val="nil"/>
            </w:tcBorders>
            <w:shd w:val="clear" w:color="auto" w:fill="auto"/>
            <w:noWrap/>
            <w:vAlign w:val="center"/>
            <w:hideMark/>
          </w:tcPr>
          <w:p w14:paraId="5E4E3C85" w14:textId="77777777" w:rsidR="00387142" w:rsidRPr="008B6A75" w:rsidRDefault="00387142" w:rsidP="00387142">
            <w:pPr>
              <w:jc w:val="center"/>
              <w:rPr>
                <w:sz w:val="20"/>
                <w:szCs w:val="20"/>
              </w:rPr>
            </w:pPr>
            <w:r w:rsidRPr="008B6A75">
              <w:rPr>
                <w:sz w:val="20"/>
                <w:szCs w:val="20"/>
              </w:rPr>
              <w:t>01</w:t>
            </w:r>
          </w:p>
        </w:tc>
        <w:tc>
          <w:tcPr>
            <w:tcW w:w="567" w:type="dxa"/>
            <w:tcBorders>
              <w:top w:val="nil"/>
              <w:left w:val="single" w:sz="4" w:space="0" w:color="auto"/>
              <w:bottom w:val="single" w:sz="4" w:space="0" w:color="auto"/>
              <w:right w:val="nil"/>
            </w:tcBorders>
            <w:shd w:val="clear" w:color="auto" w:fill="auto"/>
            <w:noWrap/>
            <w:vAlign w:val="center"/>
            <w:hideMark/>
          </w:tcPr>
          <w:p w14:paraId="7A74AC34" w14:textId="77777777" w:rsidR="00387142" w:rsidRPr="008B6A75" w:rsidRDefault="00387142" w:rsidP="00387142">
            <w:pPr>
              <w:jc w:val="center"/>
              <w:rPr>
                <w:sz w:val="20"/>
                <w:szCs w:val="20"/>
              </w:rPr>
            </w:pPr>
            <w:r w:rsidRPr="008B6A75">
              <w:rPr>
                <w:sz w:val="20"/>
                <w:szCs w:val="20"/>
              </w:rPr>
              <w:t>11</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8FF4AB0" w14:textId="77777777" w:rsidR="00387142" w:rsidRPr="008B6A75" w:rsidRDefault="00387142" w:rsidP="00387142">
            <w:pPr>
              <w:jc w:val="right"/>
              <w:rPr>
                <w:sz w:val="20"/>
                <w:szCs w:val="20"/>
              </w:rPr>
            </w:pPr>
            <w:r w:rsidRPr="008B6A75">
              <w:rPr>
                <w:sz w:val="20"/>
                <w:szCs w:val="20"/>
              </w:rPr>
              <w:t>954 517,08</w:t>
            </w:r>
          </w:p>
        </w:tc>
        <w:tc>
          <w:tcPr>
            <w:tcW w:w="851" w:type="dxa"/>
            <w:tcBorders>
              <w:top w:val="nil"/>
              <w:left w:val="single" w:sz="4" w:space="0" w:color="auto"/>
              <w:bottom w:val="single" w:sz="4" w:space="0" w:color="auto"/>
              <w:right w:val="nil"/>
            </w:tcBorders>
            <w:shd w:val="clear" w:color="auto" w:fill="auto"/>
            <w:noWrap/>
            <w:vAlign w:val="center"/>
            <w:hideMark/>
          </w:tcPr>
          <w:p w14:paraId="24E12F43" w14:textId="77777777" w:rsidR="00387142" w:rsidRPr="008B6A75" w:rsidRDefault="00387142" w:rsidP="00387142">
            <w:pPr>
              <w:jc w:val="right"/>
              <w:rPr>
                <w:sz w:val="20"/>
                <w:szCs w:val="20"/>
              </w:rPr>
            </w:pPr>
            <w:r w:rsidRPr="008B6A75">
              <w:rPr>
                <w:sz w:val="20"/>
                <w:szCs w:val="20"/>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6DDED156" w14:textId="77777777" w:rsidR="00387142" w:rsidRPr="008B6A75" w:rsidRDefault="00387142" w:rsidP="00387142">
            <w:pPr>
              <w:jc w:val="right"/>
              <w:rPr>
                <w:sz w:val="20"/>
                <w:szCs w:val="20"/>
              </w:rPr>
            </w:pPr>
            <w:r w:rsidRPr="008B6A75">
              <w:rPr>
                <w:sz w:val="20"/>
                <w:szCs w:val="20"/>
              </w:rPr>
              <w:t>0,00</w:t>
            </w:r>
          </w:p>
        </w:tc>
      </w:tr>
      <w:tr w:rsidR="00387142" w:rsidRPr="008B6A75" w14:paraId="225E3A42" w14:textId="77777777" w:rsidTr="00387142">
        <w:trPr>
          <w:trHeight w:val="870"/>
        </w:trPr>
        <w:tc>
          <w:tcPr>
            <w:tcW w:w="272" w:type="dxa"/>
            <w:tcBorders>
              <w:top w:val="nil"/>
              <w:left w:val="nil"/>
              <w:bottom w:val="nil"/>
              <w:right w:val="single" w:sz="4" w:space="0" w:color="auto"/>
            </w:tcBorders>
            <w:shd w:val="clear" w:color="auto" w:fill="auto"/>
            <w:noWrap/>
            <w:vAlign w:val="bottom"/>
            <w:hideMark/>
          </w:tcPr>
          <w:p w14:paraId="7ECCB347"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0E06A8FA" w14:textId="77777777" w:rsidR="00387142" w:rsidRPr="008B6A75" w:rsidRDefault="00387142" w:rsidP="00387142">
            <w:pPr>
              <w:rPr>
                <w:bCs/>
                <w:sz w:val="20"/>
                <w:szCs w:val="20"/>
              </w:rPr>
            </w:pPr>
            <w:r w:rsidRPr="008B6A75">
              <w:rPr>
                <w:bCs/>
                <w:sz w:val="20"/>
                <w:szCs w:val="20"/>
              </w:rPr>
              <w:t>Содержание аппарата управления представительного органа местного самоуправления</w:t>
            </w:r>
          </w:p>
        </w:tc>
        <w:tc>
          <w:tcPr>
            <w:tcW w:w="1559" w:type="dxa"/>
            <w:tcBorders>
              <w:top w:val="nil"/>
              <w:left w:val="single" w:sz="4" w:space="0" w:color="auto"/>
              <w:bottom w:val="single" w:sz="4" w:space="0" w:color="auto"/>
              <w:right w:val="nil"/>
            </w:tcBorders>
            <w:shd w:val="clear" w:color="auto" w:fill="auto"/>
            <w:noWrap/>
            <w:vAlign w:val="center"/>
            <w:hideMark/>
          </w:tcPr>
          <w:p w14:paraId="308D2DCD" w14:textId="77777777" w:rsidR="00387142" w:rsidRPr="008B6A75" w:rsidRDefault="00387142" w:rsidP="00387142">
            <w:pPr>
              <w:jc w:val="center"/>
              <w:rPr>
                <w:bCs/>
                <w:sz w:val="20"/>
                <w:szCs w:val="20"/>
              </w:rPr>
            </w:pPr>
            <w:r w:rsidRPr="008B6A75">
              <w:rPr>
                <w:bCs/>
                <w:sz w:val="20"/>
                <w:szCs w:val="20"/>
              </w:rPr>
              <w:t>99.0.00.01990</w:t>
            </w:r>
          </w:p>
        </w:tc>
        <w:tc>
          <w:tcPr>
            <w:tcW w:w="850" w:type="dxa"/>
            <w:tcBorders>
              <w:top w:val="nil"/>
              <w:left w:val="single" w:sz="4" w:space="0" w:color="auto"/>
              <w:bottom w:val="single" w:sz="4" w:space="0" w:color="auto"/>
              <w:right w:val="nil"/>
            </w:tcBorders>
            <w:shd w:val="clear" w:color="auto" w:fill="auto"/>
            <w:noWrap/>
            <w:vAlign w:val="center"/>
            <w:hideMark/>
          </w:tcPr>
          <w:p w14:paraId="3322E70B" w14:textId="77777777" w:rsidR="00387142" w:rsidRPr="008B6A75" w:rsidRDefault="00387142" w:rsidP="00387142">
            <w:pPr>
              <w:jc w:val="center"/>
              <w:rPr>
                <w:bCs/>
                <w:sz w:val="20"/>
                <w:szCs w:val="20"/>
              </w:rPr>
            </w:pPr>
            <w:r w:rsidRPr="008B6A75">
              <w:rPr>
                <w:bCs/>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5D06551B" w14:textId="77777777" w:rsidR="00387142" w:rsidRPr="008B6A75" w:rsidRDefault="00387142" w:rsidP="00387142">
            <w:pPr>
              <w:jc w:val="center"/>
              <w:rPr>
                <w:bCs/>
                <w:sz w:val="20"/>
                <w:szCs w:val="20"/>
              </w:rPr>
            </w:pPr>
            <w:r w:rsidRPr="008B6A75">
              <w:rPr>
                <w:bCs/>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56FBCAEB" w14:textId="77777777" w:rsidR="00387142" w:rsidRPr="008B6A75" w:rsidRDefault="00387142" w:rsidP="00387142">
            <w:pPr>
              <w:jc w:val="center"/>
              <w:rPr>
                <w:bCs/>
                <w:sz w:val="20"/>
                <w:szCs w:val="20"/>
              </w:rPr>
            </w:pPr>
            <w:r w:rsidRPr="008B6A75">
              <w:rPr>
                <w:bCs/>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4A4789C" w14:textId="77777777" w:rsidR="00387142" w:rsidRPr="008B6A75" w:rsidRDefault="00387142" w:rsidP="00387142">
            <w:pPr>
              <w:jc w:val="right"/>
              <w:rPr>
                <w:bCs/>
                <w:sz w:val="20"/>
                <w:szCs w:val="20"/>
              </w:rPr>
            </w:pPr>
            <w:r w:rsidRPr="008B6A75">
              <w:rPr>
                <w:bCs/>
                <w:sz w:val="20"/>
                <w:szCs w:val="20"/>
              </w:rPr>
              <w:t>37 198,00</w:t>
            </w:r>
          </w:p>
        </w:tc>
        <w:tc>
          <w:tcPr>
            <w:tcW w:w="851" w:type="dxa"/>
            <w:tcBorders>
              <w:top w:val="nil"/>
              <w:left w:val="single" w:sz="4" w:space="0" w:color="auto"/>
              <w:bottom w:val="single" w:sz="4" w:space="0" w:color="auto"/>
              <w:right w:val="nil"/>
            </w:tcBorders>
            <w:shd w:val="clear" w:color="auto" w:fill="auto"/>
            <w:noWrap/>
            <w:vAlign w:val="center"/>
            <w:hideMark/>
          </w:tcPr>
          <w:p w14:paraId="04B3A6FB" w14:textId="77777777" w:rsidR="00387142" w:rsidRPr="008B6A75" w:rsidRDefault="00387142" w:rsidP="00387142">
            <w:pPr>
              <w:jc w:val="right"/>
              <w:rPr>
                <w:bCs/>
                <w:sz w:val="20"/>
                <w:szCs w:val="20"/>
              </w:rPr>
            </w:pPr>
            <w:r w:rsidRPr="008B6A75">
              <w:rPr>
                <w:bCs/>
                <w:sz w:val="20"/>
                <w:szCs w:val="20"/>
              </w:rPr>
              <w:t>20 000,00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7B19A866" w14:textId="77777777" w:rsidR="00387142" w:rsidRPr="008B6A75" w:rsidRDefault="00387142" w:rsidP="00387142">
            <w:pPr>
              <w:jc w:val="right"/>
              <w:rPr>
                <w:bCs/>
                <w:sz w:val="20"/>
                <w:szCs w:val="20"/>
              </w:rPr>
            </w:pPr>
            <w:r w:rsidRPr="008B6A75">
              <w:rPr>
                <w:bCs/>
                <w:sz w:val="20"/>
                <w:szCs w:val="20"/>
              </w:rPr>
              <w:t>20 000,00</w:t>
            </w:r>
          </w:p>
        </w:tc>
      </w:tr>
      <w:tr w:rsidR="00387142" w:rsidRPr="008B6A75" w14:paraId="67108805" w14:textId="77777777" w:rsidTr="00387142">
        <w:trPr>
          <w:trHeight w:val="585"/>
        </w:trPr>
        <w:tc>
          <w:tcPr>
            <w:tcW w:w="272" w:type="dxa"/>
            <w:tcBorders>
              <w:top w:val="nil"/>
              <w:left w:val="nil"/>
              <w:bottom w:val="nil"/>
              <w:right w:val="single" w:sz="4" w:space="0" w:color="auto"/>
            </w:tcBorders>
            <w:shd w:val="clear" w:color="auto" w:fill="auto"/>
            <w:noWrap/>
            <w:vAlign w:val="bottom"/>
            <w:hideMark/>
          </w:tcPr>
          <w:p w14:paraId="13EDAA5B"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1FAD1743" w14:textId="77777777" w:rsidR="00387142" w:rsidRPr="008B6A75" w:rsidRDefault="00387142" w:rsidP="00387142">
            <w:pPr>
              <w:rPr>
                <w:sz w:val="20"/>
                <w:szCs w:val="20"/>
              </w:rPr>
            </w:pPr>
            <w:r w:rsidRPr="008B6A75">
              <w:rPr>
                <w:sz w:val="20"/>
                <w:szCs w:val="20"/>
              </w:rPr>
              <w:t>Закупка товаров, работ и услуг для обеспечения государственных (муниципальных) нужд</w:t>
            </w:r>
          </w:p>
        </w:tc>
        <w:tc>
          <w:tcPr>
            <w:tcW w:w="1559" w:type="dxa"/>
            <w:tcBorders>
              <w:top w:val="nil"/>
              <w:left w:val="single" w:sz="4" w:space="0" w:color="auto"/>
              <w:bottom w:val="single" w:sz="4" w:space="0" w:color="auto"/>
              <w:right w:val="nil"/>
            </w:tcBorders>
            <w:shd w:val="clear" w:color="auto" w:fill="auto"/>
            <w:noWrap/>
            <w:vAlign w:val="center"/>
            <w:hideMark/>
          </w:tcPr>
          <w:p w14:paraId="4E6233A4" w14:textId="77777777" w:rsidR="00387142" w:rsidRPr="008B6A75" w:rsidRDefault="00387142" w:rsidP="00387142">
            <w:pPr>
              <w:jc w:val="center"/>
              <w:rPr>
                <w:sz w:val="20"/>
                <w:szCs w:val="20"/>
              </w:rPr>
            </w:pPr>
            <w:r w:rsidRPr="008B6A75">
              <w:rPr>
                <w:sz w:val="20"/>
                <w:szCs w:val="20"/>
              </w:rPr>
              <w:t>99.0.00.01990</w:t>
            </w:r>
          </w:p>
        </w:tc>
        <w:tc>
          <w:tcPr>
            <w:tcW w:w="850" w:type="dxa"/>
            <w:tcBorders>
              <w:top w:val="nil"/>
              <w:left w:val="single" w:sz="4" w:space="0" w:color="auto"/>
              <w:bottom w:val="single" w:sz="4" w:space="0" w:color="auto"/>
              <w:right w:val="nil"/>
            </w:tcBorders>
            <w:shd w:val="clear" w:color="auto" w:fill="auto"/>
            <w:noWrap/>
            <w:vAlign w:val="center"/>
            <w:hideMark/>
          </w:tcPr>
          <w:p w14:paraId="2863ED4D" w14:textId="77777777" w:rsidR="00387142" w:rsidRPr="008B6A75" w:rsidRDefault="00387142" w:rsidP="00387142">
            <w:pPr>
              <w:jc w:val="center"/>
              <w:rPr>
                <w:sz w:val="20"/>
                <w:szCs w:val="20"/>
              </w:rPr>
            </w:pPr>
            <w:r w:rsidRPr="008B6A75">
              <w:rPr>
                <w:sz w:val="20"/>
                <w:szCs w:val="20"/>
              </w:rPr>
              <w:t>200</w:t>
            </w:r>
          </w:p>
        </w:tc>
        <w:tc>
          <w:tcPr>
            <w:tcW w:w="567" w:type="dxa"/>
            <w:tcBorders>
              <w:top w:val="nil"/>
              <w:left w:val="single" w:sz="4" w:space="0" w:color="auto"/>
              <w:bottom w:val="single" w:sz="4" w:space="0" w:color="auto"/>
              <w:right w:val="nil"/>
            </w:tcBorders>
            <w:shd w:val="clear" w:color="auto" w:fill="auto"/>
            <w:noWrap/>
            <w:vAlign w:val="center"/>
            <w:hideMark/>
          </w:tcPr>
          <w:p w14:paraId="1C936AD5" w14:textId="77777777" w:rsidR="00387142" w:rsidRPr="008B6A75" w:rsidRDefault="00387142" w:rsidP="00387142">
            <w:pPr>
              <w:jc w:val="center"/>
              <w:rPr>
                <w:sz w:val="20"/>
                <w:szCs w:val="20"/>
              </w:rPr>
            </w:pPr>
            <w:r w:rsidRPr="008B6A75">
              <w:rPr>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5E762845" w14:textId="77777777" w:rsidR="00387142" w:rsidRPr="008B6A75" w:rsidRDefault="00387142" w:rsidP="00387142">
            <w:pPr>
              <w:jc w:val="center"/>
              <w:rPr>
                <w:sz w:val="20"/>
                <w:szCs w:val="20"/>
              </w:rPr>
            </w:pPr>
            <w:r w:rsidRPr="008B6A75">
              <w:rPr>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5F3D66D" w14:textId="77777777" w:rsidR="00387142" w:rsidRPr="008B6A75" w:rsidRDefault="00387142" w:rsidP="00387142">
            <w:pPr>
              <w:jc w:val="right"/>
              <w:rPr>
                <w:sz w:val="20"/>
                <w:szCs w:val="20"/>
              </w:rPr>
            </w:pPr>
            <w:r w:rsidRPr="008B6A75">
              <w:rPr>
                <w:sz w:val="20"/>
                <w:szCs w:val="20"/>
              </w:rPr>
              <w:t>37 198,00</w:t>
            </w:r>
          </w:p>
        </w:tc>
        <w:tc>
          <w:tcPr>
            <w:tcW w:w="851" w:type="dxa"/>
            <w:tcBorders>
              <w:top w:val="nil"/>
              <w:left w:val="single" w:sz="4" w:space="0" w:color="auto"/>
              <w:bottom w:val="single" w:sz="4" w:space="0" w:color="auto"/>
              <w:right w:val="nil"/>
            </w:tcBorders>
            <w:shd w:val="clear" w:color="auto" w:fill="auto"/>
            <w:noWrap/>
            <w:vAlign w:val="center"/>
            <w:hideMark/>
          </w:tcPr>
          <w:p w14:paraId="2675FB00" w14:textId="77777777" w:rsidR="00387142" w:rsidRPr="008B6A75" w:rsidRDefault="00387142" w:rsidP="00387142">
            <w:pPr>
              <w:jc w:val="right"/>
              <w:rPr>
                <w:sz w:val="20"/>
                <w:szCs w:val="20"/>
              </w:rPr>
            </w:pPr>
            <w:r w:rsidRPr="008B6A75">
              <w:rPr>
                <w:sz w:val="20"/>
                <w:szCs w:val="20"/>
              </w:rPr>
              <w:t>20 000,00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172AFBF4" w14:textId="77777777" w:rsidR="00387142" w:rsidRPr="008B6A75" w:rsidRDefault="00387142" w:rsidP="00387142">
            <w:pPr>
              <w:jc w:val="right"/>
              <w:rPr>
                <w:sz w:val="20"/>
                <w:szCs w:val="20"/>
              </w:rPr>
            </w:pPr>
            <w:r w:rsidRPr="008B6A75">
              <w:rPr>
                <w:sz w:val="20"/>
                <w:szCs w:val="20"/>
              </w:rPr>
              <w:t>20 000,00</w:t>
            </w:r>
          </w:p>
        </w:tc>
      </w:tr>
      <w:tr w:rsidR="00387142" w:rsidRPr="008B6A75" w14:paraId="36E12051" w14:textId="77777777" w:rsidTr="00387142">
        <w:trPr>
          <w:trHeight w:val="870"/>
        </w:trPr>
        <w:tc>
          <w:tcPr>
            <w:tcW w:w="272" w:type="dxa"/>
            <w:tcBorders>
              <w:top w:val="nil"/>
              <w:left w:val="nil"/>
              <w:bottom w:val="nil"/>
              <w:right w:val="single" w:sz="4" w:space="0" w:color="auto"/>
            </w:tcBorders>
            <w:shd w:val="clear" w:color="auto" w:fill="auto"/>
            <w:noWrap/>
            <w:vAlign w:val="bottom"/>
            <w:hideMark/>
          </w:tcPr>
          <w:p w14:paraId="003F137E"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0EDB7CED" w14:textId="77777777" w:rsidR="00387142" w:rsidRPr="008B6A75" w:rsidRDefault="00387142" w:rsidP="00387142">
            <w:pPr>
              <w:rPr>
                <w:sz w:val="20"/>
                <w:szCs w:val="20"/>
              </w:rPr>
            </w:pPr>
            <w:r w:rsidRPr="008B6A75">
              <w:rPr>
                <w:sz w:val="20"/>
                <w:szCs w:val="20"/>
              </w:rPr>
              <w:t>Иные закупки товаров, работ и услуг для обеспечения государственных (муниципальных) нужд</w:t>
            </w:r>
          </w:p>
        </w:tc>
        <w:tc>
          <w:tcPr>
            <w:tcW w:w="1559" w:type="dxa"/>
            <w:tcBorders>
              <w:top w:val="nil"/>
              <w:left w:val="single" w:sz="4" w:space="0" w:color="auto"/>
              <w:bottom w:val="single" w:sz="4" w:space="0" w:color="auto"/>
              <w:right w:val="nil"/>
            </w:tcBorders>
            <w:shd w:val="clear" w:color="auto" w:fill="auto"/>
            <w:noWrap/>
            <w:vAlign w:val="center"/>
            <w:hideMark/>
          </w:tcPr>
          <w:p w14:paraId="155453C3" w14:textId="77777777" w:rsidR="00387142" w:rsidRPr="008B6A75" w:rsidRDefault="00387142" w:rsidP="00387142">
            <w:pPr>
              <w:jc w:val="center"/>
              <w:rPr>
                <w:sz w:val="20"/>
                <w:szCs w:val="20"/>
              </w:rPr>
            </w:pPr>
            <w:r w:rsidRPr="008B6A75">
              <w:rPr>
                <w:sz w:val="20"/>
                <w:szCs w:val="20"/>
              </w:rPr>
              <w:t>99.0.00.01990</w:t>
            </w:r>
          </w:p>
        </w:tc>
        <w:tc>
          <w:tcPr>
            <w:tcW w:w="850" w:type="dxa"/>
            <w:tcBorders>
              <w:top w:val="nil"/>
              <w:left w:val="single" w:sz="4" w:space="0" w:color="auto"/>
              <w:bottom w:val="single" w:sz="4" w:space="0" w:color="auto"/>
              <w:right w:val="nil"/>
            </w:tcBorders>
            <w:shd w:val="clear" w:color="auto" w:fill="auto"/>
            <w:noWrap/>
            <w:vAlign w:val="center"/>
            <w:hideMark/>
          </w:tcPr>
          <w:p w14:paraId="5F1E2281" w14:textId="77777777" w:rsidR="00387142" w:rsidRPr="008B6A75" w:rsidRDefault="00387142" w:rsidP="00387142">
            <w:pPr>
              <w:jc w:val="center"/>
              <w:rPr>
                <w:sz w:val="20"/>
                <w:szCs w:val="20"/>
              </w:rPr>
            </w:pPr>
            <w:r w:rsidRPr="008B6A75">
              <w:rPr>
                <w:sz w:val="20"/>
                <w:szCs w:val="20"/>
              </w:rPr>
              <w:t>240</w:t>
            </w:r>
          </w:p>
        </w:tc>
        <w:tc>
          <w:tcPr>
            <w:tcW w:w="567" w:type="dxa"/>
            <w:tcBorders>
              <w:top w:val="nil"/>
              <w:left w:val="single" w:sz="4" w:space="0" w:color="auto"/>
              <w:bottom w:val="single" w:sz="4" w:space="0" w:color="auto"/>
              <w:right w:val="nil"/>
            </w:tcBorders>
            <w:shd w:val="clear" w:color="auto" w:fill="auto"/>
            <w:noWrap/>
            <w:vAlign w:val="center"/>
            <w:hideMark/>
          </w:tcPr>
          <w:p w14:paraId="221EA9E1" w14:textId="77777777" w:rsidR="00387142" w:rsidRPr="008B6A75" w:rsidRDefault="00387142" w:rsidP="00387142">
            <w:pPr>
              <w:jc w:val="center"/>
              <w:rPr>
                <w:sz w:val="20"/>
                <w:szCs w:val="20"/>
              </w:rPr>
            </w:pPr>
            <w:r w:rsidRPr="008B6A75">
              <w:rPr>
                <w:sz w:val="20"/>
                <w:szCs w:val="20"/>
              </w:rPr>
              <w:t>01</w:t>
            </w:r>
          </w:p>
        </w:tc>
        <w:tc>
          <w:tcPr>
            <w:tcW w:w="567" w:type="dxa"/>
            <w:tcBorders>
              <w:top w:val="nil"/>
              <w:left w:val="single" w:sz="4" w:space="0" w:color="auto"/>
              <w:bottom w:val="single" w:sz="4" w:space="0" w:color="auto"/>
              <w:right w:val="nil"/>
            </w:tcBorders>
            <w:shd w:val="clear" w:color="auto" w:fill="auto"/>
            <w:noWrap/>
            <w:vAlign w:val="center"/>
            <w:hideMark/>
          </w:tcPr>
          <w:p w14:paraId="0D67E1D3" w14:textId="77777777" w:rsidR="00387142" w:rsidRPr="008B6A75" w:rsidRDefault="00387142" w:rsidP="00387142">
            <w:pPr>
              <w:jc w:val="center"/>
              <w:rPr>
                <w:sz w:val="20"/>
                <w:szCs w:val="20"/>
              </w:rPr>
            </w:pPr>
            <w:r w:rsidRPr="008B6A75">
              <w:rPr>
                <w:sz w:val="20"/>
                <w:szCs w:val="20"/>
              </w:rPr>
              <w:t>03</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54F2142" w14:textId="77777777" w:rsidR="00387142" w:rsidRPr="008B6A75" w:rsidRDefault="00387142" w:rsidP="00387142">
            <w:pPr>
              <w:jc w:val="right"/>
              <w:rPr>
                <w:sz w:val="20"/>
                <w:szCs w:val="20"/>
              </w:rPr>
            </w:pPr>
            <w:r w:rsidRPr="008B6A75">
              <w:rPr>
                <w:sz w:val="20"/>
                <w:szCs w:val="20"/>
              </w:rPr>
              <w:t>37 198,00</w:t>
            </w:r>
          </w:p>
        </w:tc>
        <w:tc>
          <w:tcPr>
            <w:tcW w:w="851" w:type="dxa"/>
            <w:tcBorders>
              <w:top w:val="nil"/>
              <w:left w:val="single" w:sz="4" w:space="0" w:color="auto"/>
              <w:bottom w:val="single" w:sz="4" w:space="0" w:color="auto"/>
              <w:right w:val="nil"/>
            </w:tcBorders>
            <w:shd w:val="clear" w:color="auto" w:fill="auto"/>
            <w:noWrap/>
            <w:vAlign w:val="center"/>
            <w:hideMark/>
          </w:tcPr>
          <w:p w14:paraId="27BBD75D" w14:textId="77777777" w:rsidR="00387142" w:rsidRPr="008B6A75" w:rsidRDefault="00387142" w:rsidP="00387142">
            <w:pPr>
              <w:jc w:val="right"/>
              <w:rPr>
                <w:sz w:val="20"/>
                <w:szCs w:val="20"/>
              </w:rPr>
            </w:pPr>
            <w:r w:rsidRPr="008B6A75">
              <w:rPr>
                <w:sz w:val="20"/>
                <w:szCs w:val="20"/>
              </w:rPr>
              <w:t>20 000,00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6C41E452" w14:textId="77777777" w:rsidR="00387142" w:rsidRPr="008B6A75" w:rsidRDefault="00387142" w:rsidP="00387142">
            <w:pPr>
              <w:jc w:val="right"/>
              <w:rPr>
                <w:sz w:val="20"/>
                <w:szCs w:val="20"/>
              </w:rPr>
            </w:pPr>
            <w:r w:rsidRPr="008B6A75">
              <w:rPr>
                <w:sz w:val="20"/>
                <w:szCs w:val="20"/>
              </w:rPr>
              <w:t>20 000,00</w:t>
            </w:r>
          </w:p>
        </w:tc>
      </w:tr>
      <w:tr w:rsidR="00387142" w:rsidRPr="008B6A75" w14:paraId="7A95D5E4" w14:textId="77777777" w:rsidTr="00387142">
        <w:trPr>
          <w:trHeight w:val="870"/>
        </w:trPr>
        <w:tc>
          <w:tcPr>
            <w:tcW w:w="272" w:type="dxa"/>
            <w:tcBorders>
              <w:top w:val="nil"/>
              <w:left w:val="nil"/>
              <w:bottom w:val="nil"/>
              <w:right w:val="single" w:sz="4" w:space="0" w:color="auto"/>
            </w:tcBorders>
            <w:shd w:val="clear" w:color="auto" w:fill="auto"/>
            <w:noWrap/>
            <w:vAlign w:val="bottom"/>
            <w:hideMark/>
          </w:tcPr>
          <w:p w14:paraId="75A18715"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50C831A8" w14:textId="77777777" w:rsidR="00387142" w:rsidRPr="008B6A75" w:rsidRDefault="00387142" w:rsidP="00387142">
            <w:pPr>
              <w:rPr>
                <w:bCs/>
                <w:sz w:val="20"/>
                <w:szCs w:val="20"/>
              </w:rPr>
            </w:pPr>
            <w:r w:rsidRPr="008B6A75">
              <w:rPr>
                <w:bCs/>
                <w:sz w:val="20"/>
                <w:szCs w:val="20"/>
              </w:rPr>
              <w:t>Председатель законодательного (представительного) органа муниципальной власти</w:t>
            </w:r>
          </w:p>
        </w:tc>
        <w:tc>
          <w:tcPr>
            <w:tcW w:w="1559" w:type="dxa"/>
            <w:tcBorders>
              <w:top w:val="nil"/>
              <w:left w:val="single" w:sz="4" w:space="0" w:color="auto"/>
              <w:bottom w:val="single" w:sz="4" w:space="0" w:color="auto"/>
              <w:right w:val="nil"/>
            </w:tcBorders>
            <w:shd w:val="clear" w:color="auto" w:fill="auto"/>
            <w:noWrap/>
            <w:vAlign w:val="center"/>
            <w:hideMark/>
          </w:tcPr>
          <w:p w14:paraId="2B25CBC8" w14:textId="77777777" w:rsidR="00387142" w:rsidRPr="008B6A75" w:rsidRDefault="00387142" w:rsidP="00387142">
            <w:pPr>
              <w:jc w:val="center"/>
              <w:rPr>
                <w:bCs/>
                <w:sz w:val="20"/>
                <w:szCs w:val="20"/>
              </w:rPr>
            </w:pPr>
            <w:r w:rsidRPr="008B6A75">
              <w:rPr>
                <w:bCs/>
                <w:sz w:val="20"/>
                <w:szCs w:val="20"/>
              </w:rPr>
              <w:t>99.0.00.04110</w:t>
            </w:r>
          </w:p>
        </w:tc>
        <w:tc>
          <w:tcPr>
            <w:tcW w:w="850" w:type="dxa"/>
            <w:tcBorders>
              <w:top w:val="nil"/>
              <w:left w:val="single" w:sz="4" w:space="0" w:color="auto"/>
              <w:bottom w:val="single" w:sz="4" w:space="0" w:color="auto"/>
              <w:right w:val="nil"/>
            </w:tcBorders>
            <w:shd w:val="clear" w:color="auto" w:fill="auto"/>
            <w:noWrap/>
            <w:vAlign w:val="center"/>
            <w:hideMark/>
          </w:tcPr>
          <w:p w14:paraId="640771A6" w14:textId="77777777" w:rsidR="00387142" w:rsidRPr="008B6A75" w:rsidRDefault="00387142" w:rsidP="00387142">
            <w:pPr>
              <w:jc w:val="center"/>
              <w:rPr>
                <w:bCs/>
                <w:sz w:val="20"/>
                <w:szCs w:val="20"/>
              </w:rPr>
            </w:pPr>
            <w:r w:rsidRPr="008B6A75">
              <w:rPr>
                <w:bCs/>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0C9FDDC7" w14:textId="77777777" w:rsidR="00387142" w:rsidRPr="008B6A75" w:rsidRDefault="00387142" w:rsidP="00387142">
            <w:pPr>
              <w:jc w:val="center"/>
              <w:rPr>
                <w:bCs/>
                <w:sz w:val="20"/>
                <w:szCs w:val="20"/>
              </w:rPr>
            </w:pPr>
            <w:r w:rsidRPr="008B6A75">
              <w:rPr>
                <w:bCs/>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6C0BC10E" w14:textId="77777777" w:rsidR="00387142" w:rsidRPr="008B6A75" w:rsidRDefault="00387142" w:rsidP="00387142">
            <w:pPr>
              <w:jc w:val="center"/>
              <w:rPr>
                <w:bCs/>
                <w:sz w:val="20"/>
                <w:szCs w:val="20"/>
              </w:rPr>
            </w:pPr>
            <w:r w:rsidRPr="008B6A75">
              <w:rPr>
                <w:bCs/>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9FA24E8" w14:textId="77777777" w:rsidR="00387142" w:rsidRPr="008B6A75" w:rsidRDefault="00387142" w:rsidP="00387142">
            <w:pPr>
              <w:jc w:val="right"/>
              <w:rPr>
                <w:bCs/>
                <w:sz w:val="20"/>
                <w:szCs w:val="20"/>
              </w:rPr>
            </w:pPr>
            <w:r w:rsidRPr="008B6A75">
              <w:rPr>
                <w:bCs/>
                <w:sz w:val="20"/>
                <w:szCs w:val="20"/>
              </w:rPr>
              <w:t>1 868 839,58</w:t>
            </w:r>
          </w:p>
        </w:tc>
        <w:tc>
          <w:tcPr>
            <w:tcW w:w="851" w:type="dxa"/>
            <w:tcBorders>
              <w:top w:val="nil"/>
              <w:left w:val="single" w:sz="4" w:space="0" w:color="auto"/>
              <w:bottom w:val="single" w:sz="4" w:space="0" w:color="auto"/>
              <w:right w:val="nil"/>
            </w:tcBorders>
            <w:shd w:val="clear" w:color="auto" w:fill="auto"/>
            <w:noWrap/>
            <w:vAlign w:val="center"/>
            <w:hideMark/>
          </w:tcPr>
          <w:p w14:paraId="2C66A4A2" w14:textId="77777777" w:rsidR="00387142" w:rsidRPr="008B6A75" w:rsidRDefault="00387142" w:rsidP="00387142">
            <w:pPr>
              <w:jc w:val="right"/>
              <w:rPr>
                <w:bCs/>
                <w:sz w:val="20"/>
                <w:szCs w:val="20"/>
              </w:rPr>
            </w:pPr>
            <w:r w:rsidRPr="008B6A75">
              <w:rPr>
                <w:bCs/>
                <w:sz w:val="20"/>
                <w:szCs w:val="20"/>
              </w:rPr>
              <w:t>1 723 000,00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78C6B836" w14:textId="77777777" w:rsidR="00387142" w:rsidRPr="008B6A75" w:rsidRDefault="00387142" w:rsidP="00387142">
            <w:pPr>
              <w:jc w:val="right"/>
              <w:rPr>
                <w:bCs/>
                <w:sz w:val="20"/>
                <w:szCs w:val="20"/>
              </w:rPr>
            </w:pPr>
            <w:r w:rsidRPr="008B6A75">
              <w:rPr>
                <w:bCs/>
                <w:sz w:val="20"/>
                <w:szCs w:val="20"/>
              </w:rPr>
              <w:t>1 723 000,00</w:t>
            </w:r>
          </w:p>
        </w:tc>
      </w:tr>
      <w:tr w:rsidR="00387142" w:rsidRPr="008B6A75" w14:paraId="3D95B452" w14:textId="77777777" w:rsidTr="00387142">
        <w:trPr>
          <w:trHeight w:val="1440"/>
        </w:trPr>
        <w:tc>
          <w:tcPr>
            <w:tcW w:w="272" w:type="dxa"/>
            <w:tcBorders>
              <w:top w:val="nil"/>
              <w:left w:val="nil"/>
              <w:bottom w:val="nil"/>
              <w:right w:val="single" w:sz="4" w:space="0" w:color="auto"/>
            </w:tcBorders>
            <w:shd w:val="clear" w:color="auto" w:fill="auto"/>
            <w:noWrap/>
            <w:vAlign w:val="bottom"/>
            <w:hideMark/>
          </w:tcPr>
          <w:p w14:paraId="613B89C8"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4421A488" w14:textId="77777777" w:rsidR="00387142" w:rsidRPr="008B6A75" w:rsidRDefault="00387142" w:rsidP="00387142">
            <w:pPr>
              <w:rPr>
                <w:sz w:val="20"/>
                <w:szCs w:val="20"/>
              </w:rPr>
            </w:pPr>
            <w:r w:rsidRPr="008B6A7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single" w:sz="4" w:space="0" w:color="auto"/>
              <w:bottom w:val="single" w:sz="4" w:space="0" w:color="auto"/>
              <w:right w:val="nil"/>
            </w:tcBorders>
            <w:shd w:val="clear" w:color="auto" w:fill="auto"/>
            <w:noWrap/>
            <w:vAlign w:val="center"/>
            <w:hideMark/>
          </w:tcPr>
          <w:p w14:paraId="59B1DE4E" w14:textId="77777777" w:rsidR="00387142" w:rsidRPr="008B6A75" w:rsidRDefault="00387142" w:rsidP="00387142">
            <w:pPr>
              <w:jc w:val="center"/>
              <w:rPr>
                <w:sz w:val="20"/>
                <w:szCs w:val="20"/>
              </w:rPr>
            </w:pPr>
            <w:r w:rsidRPr="008B6A75">
              <w:rPr>
                <w:sz w:val="20"/>
                <w:szCs w:val="20"/>
              </w:rPr>
              <w:t>99.0.00.04110</w:t>
            </w:r>
          </w:p>
        </w:tc>
        <w:tc>
          <w:tcPr>
            <w:tcW w:w="850" w:type="dxa"/>
            <w:tcBorders>
              <w:top w:val="nil"/>
              <w:left w:val="single" w:sz="4" w:space="0" w:color="auto"/>
              <w:bottom w:val="single" w:sz="4" w:space="0" w:color="auto"/>
              <w:right w:val="nil"/>
            </w:tcBorders>
            <w:shd w:val="clear" w:color="auto" w:fill="auto"/>
            <w:noWrap/>
            <w:vAlign w:val="center"/>
            <w:hideMark/>
          </w:tcPr>
          <w:p w14:paraId="17AA3B91" w14:textId="77777777" w:rsidR="00387142" w:rsidRPr="008B6A75" w:rsidRDefault="00387142" w:rsidP="00387142">
            <w:pPr>
              <w:jc w:val="center"/>
              <w:rPr>
                <w:sz w:val="20"/>
                <w:szCs w:val="20"/>
              </w:rPr>
            </w:pPr>
            <w:r w:rsidRPr="008B6A75">
              <w:rPr>
                <w:sz w:val="20"/>
                <w:szCs w:val="20"/>
              </w:rPr>
              <w:t>100</w:t>
            </w:r>
          </w:p>
        </w:tc>
        <w:tc>
          <w:tcPr>
            <w:tcW w:w="567" w:type="dxa"/>
            <w:tcBorders>
              <w:top w:val="nil"/>
              <w:left w:val="single" w:sz="4" w:space="0" w:color="auto"/>
              <w:bottom w:val="single" w:sz="4" w:space="0" w:color="auto"/>
              <w:right w:val="nil"/>
            </w:tcBorders>
            <w:shd w:val="clear" w:color="auto" w:fill="auto"/>
            <w:noWrap/>
            <w:vAlign w:val="center"/>
            <w:hideMark/>
          </w:tcPr>
          <w:p w14:paraId="78BBEC5C" w14:textId="77777777" w:rsidR="00387142" w:rsidRPr="008B6A75" w:rsidRDefault="00387142" w:rsidP="00387142">
            <w:pPr>
              <w:jc w:val="center"/>
              <w:rPr>
                <w:sz w:val="20"/>
                <w:szCs w:val="20"/>
              </w:rPr>
            </w:pPr>
            <w:r w:rsidRPr="008B6A75">
              <w:rPr>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5C677896" w14:textId="77777777" w:rsidR="00387142" w:rsidRPr="008B6A75" w:rsidRDefault="00387142" w:rsidP="00387142">
            <w:pPr>
              <w:jc w:val="center"/>
              <w:rPr>
                <w:sz w:val="20"/>
                <w:szCs w:val="20"/>
              </w:rPr>
            </w:pPr>
            <w:r w:rsidRPr="008B6A75">
              <w:rPr>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889F361" w14:textId="77777777" w:rsidR="00387142" w:rsidRPr="008B6A75" w:rsidRDefault="00387142" w:rsidP="00387142">
            <w:pPr>
              <w:jc w:val="right"/>
              <w:rPr>
                <w:sz w:val="20"/>
                <w:szCs w:val="20"/>
              </w:rPr>
            </w:pPr>
            <w:r w:rsidRPr="008B6A75">
              <w:rPr>
                <w:sz w:val="20"/>
                <w:szCs w:val="20"/>
              </w:rPr>
              <w:t>1 868 839,58</w:t>
            </w:r>
          </w:p>
        </w:tc>
        <w:tc>
          <w:tcPr>
            <w:tcW w:w="851" w:type="dxa"/>
            <w:tcBorders>
              <w:top w:val="nil"/>
              <w:left w:val="single" w:sz="4" w:space="0" w:color="auto"/>
              <w:bottom w:val="single" w:sz="4" w:space="0" w:color="auto"/>
              <w:right w:val="nil"/>
            </w:tcBorders>
            <w:shd w:val="clear" w:color="auto" w:fill="auto"/>
            <w:noWrap/>
            <w:vAlign w:val="center"/>
            <w:hideMark/>
          </w:tcPr>
          <w:p w14:paraId="2F4A7E65" w14:textId="77777777" w:rsidR="00387142" w:rsidRPr="008B6A75" w:rsidRDefault="00387142" w:rsidP="00387142">
            <w:pPr>
              <w:jc w:val="right"/>
              <w:rPr>
                <w:sz w:val="20"/>
                <w:szCs w:val="20"/>
              </w:rPr>
            </w:pPr>
            <w:r w:rsidRPr="008B6A75">
              <w:rPr>
                <w:sz w:val="20"/>
                <w:szCs w:val="20"/>
              </w:rPr>
              <w:t>1 723 000,00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57DFBE55" w14:textId="77777777" w:rsidR="00387142" w:rsidRPr="008B6A75" w:rsidRDefault="00387142" w:rsidP="00387142">
            <w:pPr>
              <w:jc w:val="right"/>
              <w:rPr>
                <w:sz w:val="20"/>
                <w:szCs w:val="20"/>
              </w:rPr>
            </w:pPr>
            <w:r w:rsidRPr="008B6A75">
              <w:rPr>
                <w:sz w:val="20"/>
                <w:szCs w:val="20"/>
              </w:rPr>
              <w:t>1 723 000,00</w:t>
            </w:r>
          </w:p>
        </w:tc>
      </w:tr>
      <w:tr w:rsidR="00387142" w:rsidRPr="008B6A75" w14:paraId="7AD2969B" w14:textId="77777777" w:rsidTr="00387142">
        <w:trPr>
          <w:trHeight w:val="585"/>
        </w:trPr>
        <w:tc>
          <w:tcPr>
            <w:tcW w:w="272" w:type="dxa"/>
            <w:tcBorders>
              <w:top w:val="nil"/>
              <w:left w:val="nil"/>
              <w:bottom w:val="nil"/>
              <w:right w:val="single" w:sz="4" w:space="0" w:color="auto"/>
            </w:tcBorders>
            <w:shd w:val="clear" w:color="auto" w:fill="auto"/>
            <w:noWrap/>
            <w:vAlign w:val="bottom"/>
            <w:hideMark/>
          </w:tcPr>
          <w:p w14:paraId="333387C7"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5AECBCE6" w14:textId="77777777" w:rsidR="00387142" w:rsidRPr="008B6A75" w:rsidRDefault="00387142" w:rsidP="00387142">
            <w:pPr>
              <w:rPr>
                <w:sz w:val="20"/>
                <w:szCs w:val="20"/>
              </w:rPr>
            </w:pPr>
            <w:r w:rsidRPr="008B6A75">
              <w:rPr>
                <w:sz w:val="20"/>
                <w:szCs w:val="20"/>
              </w:rPr>
              <w:t>Расходы на выплаты персоналу государственных (муниципальных) органов</w:t>
            </w:r>
          </w:p>
        </w:tc>
        <w:tc>
          <w:tcPr>
            <w:tcW w:w="1559" w:type="dxa"/>
            <w:tcBorders>
              <w:top w:val="nil"/>
              <w:left w:val="single" w:sz="4" w:space="0" w:color="auto"/>
              <w:bottom w:val="single" w:sz="4" w:space="0" w:color="auto"/>
              <w:right w:val="nil"/>
            </w:tcBorders>
            <w:shd w:val="clear" w:color="auto" w:fill="auto"/>
            <w:noWrap/>
            <w:vAlign w:val="center"/>
            <w:hideMark/>
          </w:tcPr>
          <w:p w14:paraId="4717BB11" w14:textId="77777777" w:rsidR="00387142" w:rsidRPr="008B6A75" w:rsidRDefault="00387142" w:rsidP="00387142">
            <w:pPr>
              <w:jc w:val="center"/>
              <w:rPr>
                <w:sz w:val="20"/>
                <w:szCs w:val="20"/>
              </w:rPr>
            </w:pPr>
            <w:r w:rsidRPr="008B6A75">
              <w:rPr>
                <w:sz w:val="20"/>
                <w:szCs w:val="20"/>
              </w:rPr>
              <w:t>99.0.00.04110</w:t>
            </w:r>
          </w:p>
        </w:tc>
        <w:tc>
          <w:tcPr>
            <w:tcW w:w="850" w:type="dxa"/>
            <w:tcBorders>
              <w:top w:val="nil"/>
              <w:left w:val="single" w:sz="4" w:space="0" w:color="auto"/>
              <w:bottom w:val="single" w:sz="4" w:space="0" w:color="auto"/>
              <w:right w:val="nil"/>
            </w:tcBorders>
            <w:shd w:val="clear" w:color="auto" w:fill="auto"/>
            <w:noWrap/>
            <w:vAlign w:val="center"/>
            <w:hideMark/>
          </w:tcPr>
          <w:p w14:paraId="74704A26" w14:textId="77777777" w:rsidR="00387142" w:rsidRPr="008B6A75" w:rsidRDefault="00387142" w:rsidP="00387142">
            <w:pPr>
              <w:jc w:val="center"/>
              <w:rPr>
                <w:sz w:val="20"/>
                <w:szCs w:val="20"/>
              </w:rPr>
            </w:pPr>
            <w:r w:rsidRPr="008B6A75">
              <w:rPr>
                <w:sz w:val="20"/>
                <w:szCs w:val="20"/>
              </w:rPr>
              <w:t>120</w:t>
            </w:r>
          </w:p>
        </w:tc>
        <w:tc>
          <w:tcPr>
            <w:tcW w:w="567" w:type="dxa"/>
            <w:tcBorders>
              <w:top w:val="nil"/>
              <w:left w:val="single" w:sz="4" w:space="0" w:color="auto"/>
              <w:bottom w:val="single" w:sz="4" w:space="0" w:color="auto"/>
              <w:right w:val="nil"/>
            </w:tcBorders>
            <w:shd w:val="clear" w:color="auto" w:fill="auto"/>
            <w:noWrap/>
            <w:vAlign w:val="center"/>
            <w:hideMark/>
          </w:tcPr>
          <w:p w14:paraId="12D97EE1" w14:textId="77777777" w:rsidR="00387142" w:rsidRPr="008B6A75" w:rsidRDefault="00387142" w:rsidP="00387142">
            <w:pPr>
              <w:jc w:val="center"/>
              <w:rPr>
                <w:sz w:val="20"/>
                <w:szCs w:val="20"/>
              </w:rPr>
            </w:pPr>
            <w:r w:rsidRPr="008B6A75">
              <w:rPr>
                <w:sz w:val="20"/>
                <w:szCs w:val="20"/>
              </w:rPr>
              <w:t>01</w:t>
            </w:r>
          </w:p>
        </w:tc>
        <w:tc>
          <w:tcPr>
            <w:tcW w:w="567" w:type="dxa"/>
            <w:tcBorders>
              <w:top w:val="nil"/>
              <w:left w:val="single" w:sz="4" w:space="0" w:color="auto"/>
              <w:bottom w:val="single" w:sz="4" w:space="0" w:color="auto"/>
              <w:right w:val="nil"/>
            </w:tcBorders>
            <w:shd w:val="clear" w:color="auto" w:fill="auto"/>
            <w:noWrap/>
            <w:vAlign w:val="center"/>
            <w:hideMark/>
          </w:tcPr>
          <w:p w14:paraId="3CE546F2" w14:textId="77777777" w:rsidR="00387142" w:rsidRPr="008B6A75" w:rsidRDefault="00387142" w:rsidP="00387142">
            <w:pPr>
              <w:jc w:val="center"/>
              <w:rPr>
                <w:sz w:val="20"/>
                <w:szCs w:val="20"/>
              </w:rPr>
            </w:pPr>
            <w:r w:rsidRPr="008B6A75">
              <w:rPr>
                <w:sz w:val="20"/>
                <w:szCs w:val="20"/>
              </w:rPr>
              <w:t>03</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2DF7726" w14:textId="77777777" w:rsidR="00387142" w:rsidRPr="008B6A75" w:rsidRDefault="00387142" w:rsidP="00387142">
            <w:pPr>
              <w:jc w:val="right"/>
              <w:rPr>
                <w:sz w:val="20"/>
                <w:szCs w:val="20"/>
              </w:rPr>
            </w:pPr>
            <w:r w:rsidRPr="008B6A75">
              <w:rPr>
                <w:sz w:val="20"/>
                <w:szCs w:val="20"/>
              </w:rPr>
              <w:t>1 868 839,58</w:t>
            </w:r>
          </w:p>
        </w:tc>
        <w:tc>
          <w:tcPr>
            <w:tcW w:w="851" w:type="dxa"/>
            <w:tcBorders>
              <w:top w:val="nil"/>
              <w:left w:val="single" w:sz="4" w:space="0" w:color="auto"/>
              <w:bottom w:val="single" w:sz="4" w:space="0" w:color="auto"/>
              <w:right w:val="nil"/>
            </w:tcBorders>
            <w:shd w:val="clear" w:color="auto" w:fill="auto"/>
            <w:noWrap/>
            <w:vAlign w:val="center"/>
            <w:hideMark/>
          </w:tcPr>
          <w:p w14:paraId="11EAC05A" w14:textId="77777777" w:rsidR="00387142" w:rsidRPr="008B6A75" w:rsidRDefault="00387142" w:rsidP="00387142">
            <w:pPr>
              <w:jc w:val="right"/>
              <w:rPr>
                <w:sz w:val="20"/>
                <w:szCs w:val="20"/>
              </w:rPr>
            </w:pPr>
            <w:r w:rsidRPr="008B6A75">
              <w:rPr>
                <w:sz w:val="20"/>
                <w:szCs w:val="20"/>
              </w:rPr>
              <w:t>1 723 000,00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75E20479" w14:textId="77777777" w:rsidR="00387142" w:rsidRPr="008B6A75" w:rsidRDefault="00387142" w:rsidP="00387142">
            <w:pPr>
              <w:jc w:val="right"/>
              <w:rPr>
                <w:sz w:val="20"/>
                <w:szCs w:val="20"/>
              </w:rPr>
            </w:pPr>
            <w:r w:rsidRPr="008B6A75">
              <w:rPr>
                <w:sz w:val="20"/>
                <w:szCs w:val="20"/>
              </w:rPr>
              <w:t>1 723 000,00</w:t>
            </w:r>
          </w:p>
        </w:tc>
      </w:tr>
      <w:tr w:rsidR="00387142" w:rsidRPr="008B6A75" w14:paraId="12011942" w14:textId="77777777" w:rsidTr="00387142">
        <w:trPr>
          <w:trHeight w:val="585"/>
        </w:trPr>
        <w:tc>
          <w:tcPr>
            <w:tcW w:w="272" w:type="dxa"/>
            <w:tcBorders>
              <w:top w:val="nil"/>
              <w:left w:val="nil"/>
              <w:bottom w:val="nil"/>
              <w:right w:val="single" w:sz="4" w:space="0" w:color="auto"/>
            </w:tcBorders>
            <w:shd w:val="clear" w:color="auto" w:fill="auto"/>
            <w:noWrap/>
            <w:vAlign w:val="bottom"/>
            <w:hideMark/>
          </w:tcPr>
          <w:p w14:paraId="7BE8B3DD"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2949135B" w14:textId="77777777" w:rsidR="00387142" w:rsidRPr="008B6A75" w:rsidRDefault="00387142" w:rsidP="00387142">
            <w:pPr>
              <w:rPr>
                <w:bCs/>
                <w:sz w:val="20"/>
                <w:szCs w:val="20"/>
              </w:rPr>
            </w:pPr>
            <w:r w:rsidRPr="008B6A75">
              <w:rPr>
                <w:bCs/>
                <w:sz w:val="20"/>
                <w:szCs w:val="20"/>
              </w:rPr>
              <w:t>Капитальный ремонт муниципального жилого фонда</w:t>
            </w:r>
          </w:p>
        </w:tc>
        <w:tc>
          <w:tcPr>
            <w:tcW w:w="1559" w:type="dxa"/>
            <w:tcBorders>
              <w:top w:val="nil"/>
              <w:left w:val="single" w:sz="4" w:space="0" w:color="auto"/>
              <w:bottom w:val="single" w:sz="4" w:space="0" w:color="auto"/>
              <w:right w:val="nil"/>
            </w:tcBorders>
            <w:shd w:val="clear" w:color="auto" w:fill="auto"/>
            <w:noWrap/>
            <w:vAlign w:val="center"/>
            <w:hideMark/>
          </w:tcPr>
          <w:p w14:paraId="73785D73" w14:textId="77777777" w:rsidR="00387142" w:rsidRPr="008B6A75" w:rsidRDefault="00387142" w:rsidP="00387142">
            <w:pPr>
              <w:jc w:val="center"/>
              <w:rPr>
                <w:bCs/>
                <w:sz w:val="20"/>
                <w:szCs w:val="20"/>
              </w:rPr>
            </w:pPr>
            <w:r w:rsidRPr="008B6A75">
              <w:rPr>
                <w:bCs/>
                <w:sz w:val="20"/>
                <w:szCs w:val="20"/>
              </w:rPr>
              <w:t>99.0.00.05110</w:t>
            </w:r>
          </w:p>
        </w:tc>
        <w:tc>
          <w:tcPr>
            <w:tcW w:w="850" w:type="dxa"/>
            <w:tcBorders>
              <w:top w:val="nil"/>
              <w:left w:val="single" w:sz="4" w:space="0" w:color="auto"/>
              <w:bottom w:val="single" w:sz="4" w:space="0" w:color="auto"/>
              <w:right w:val="nil"/>
            </w:tcBorders>
            <w:shd w:val="clear" w:color="auto" w:fill="auto"/>
            <w:noWrap/>
            <w:vAlign w:val="center"/>
            <w:hideMark/>
          </w:tcPr>
          <w:p w14:paraId="6BA60B59" w14:textId="77777777" w:rsidR="00387142" w:rsidRPr="008B6A75" w:rsidRDefault="00387142" w:rsidP="00387142">
            <w:pPr>
              <w:jc w:val="center"/>
              <w:rPr>
                <w:bCs/>
                <w:sz w:val="20"/>
                <w:szCs w:val="20"/>
              </w:rPr>
            </w:pPr>
            <w:r w:rsidRPr="008B6A75">
              <w:rPr>
                <w:bCs/>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5C0E37DD" w14:textId="77777777" w:rsidR="00387142" w:rsidRPr="008B6A75" w:rsidRDefault="00387142" w:rsidP="00387142">
            <w:pPr>
              <w:jc w:val="center"/>
              <w:rPr>
                <w:bCs/>
                <w:sz w:val="20"/>
                <w:szCs w:val="20"/>
              </w:rPr>
            </w:pPr>
            <w:r w:rsidRPr="008B6A75">
              <w:rPr>
                <w:bCs/>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2881EDBB" w14:textId="77777777" w:rsidR="00387142" w:rsidRPr="008B6A75" w:rsidRDefault="00387142" w:rsidP="00387142">
            <w:pPr>
              <w:jc w:val="center"/>
              <w:rPr>
                <w:bCs/>
                <w:sz w:val="20"/>
                <w:szCs w:val="20"/>
              </w:rPr>
            </w:pPr>
            <w:r w:rsidRPr="008B6A75">
              <w:rPr>
                <w:bCs/>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B89ED9C" w14:textId="77777777" w:rsidR="00387142" w:rsidRPr="008B6A75" w:rsidRDefault="00387142" w:rsidP="00387142">
            <w:pPr>
              <w:jc w:val="right"/>
              <w:rPr>
                <w:bCs/>
                <w:sz w:val="20"/>
                <w:szCs w:val="20"/>
              </w:rPr>
            </w:pPr>
            <w:r w:rsidRPr="008B6A75">
              <w:rPr>
                <w:bCs/>
                <w:sz w:val="20"/>
                <w:szCs w:val="20"/>
              </w:rPr>
              <w:t>56 440,00</w:t>
            </w:r>
          </w:p>
        </w:tc>
        <w:tc>
          <w:tcPr>
            <w:tcW w:w="851" w:type="dxa"/>
            <w:tcBorders>
              <w:top w:val="nil"/>
              <w:left w:val="single" w:sz="4" w:space="0" w:color="auto"/>
              <w:bottom w:val="single" w:sz="4" w:space="0" w:color="auto"/>
              <w:right w:val="nil"/>
            </w:tcBorders>
            <w:shd w:val="clear" w:color="auto" w:fill="auto"/>
            <w:noWrap/>
            <w:vAlign w:val="center"/>
            <w:hideMark/>
          </w:tcPr>
          <w:p w14:paraId="156D48E0" w14:textId="77777777" w:rsidR="00387142" w:rsidRPr="008B6A75" w:rsidRDefault="00387142" w:rsidP="00387142">
            <w:pPr>
              <w:jc w:val="right"/>
              <w:rPr>
                <w:bCs/>
                <w:sz w:val="20"/>
                <w:szCs w:val="20"/>
              </w:rPr>
            </w:pPr>
            <w:r w:rsidRPr="008B6A75">
              <w:rPr>
                <w:bCs/>
                <w:sz w:val="20"/>
                <w:szCs w:val="20"/>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1C916CA1" w14:textId="77777777" w:rsidR="00387142" w:rsidRPr="008B6A75" w:rsidRDefault="00387142" w:rsidP="00387142">
            <w:pPr>
              <w:jc w:val="right"/>
              <w:rPr>
                <w:bCs/>
                <w:sz w:val="20"/>
                <w:szCs w:val="20"/>
              </w:rPr>
            </w:pPr>
            <w:r w:rsidRPr="008B6A75">
              <w:rPr>
                <w:bCs/>
                <w:sz w:val="20"/>
                <w:szCs w:val="20"/>
              </w:rPr>
              <w:t>0,00</w:t>
            </w:r>
          </w:p>
        </w:tc>
      </w:tr>
      <w:tr w:rsidR="00387142" w:rsidRPr="008B6A75" w14:paraId="4D0DB91C" w14:textId="77777777" w:rsidTr="00387142">
        <w:trPr>
          <w:trHeight w:val="585"/>
        </w:trPr>
        <w:tc>
          <w:tcPr>
            <w:tcW w:w="272" w:type="dxa"/>
            <w:tcBorders>
              <w:top w:val="nil"/>
              <w:left w:val="nil"/>
              <w:bottom w:val="nil"/>
              <w:right w:val="single" w:sz="4" w:space="0" w:color="auto"/>
            </w:tcBorders>
            <w:shd w:val="clear" w:color="auto" w:fill="auto"/>
            <w:noWrap/>
            <w:vAlign w:val="bottom"/>
            <w:hideMark/>
          </w:tcPr>
          <w:p w14:paraId="4F32B85E"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67D7BB3F" w14:textId="77777777" w:rsidR="00387142" w:rsidRPr="008B6A75" w:rsidRDefault="00387142" w:rsidP="00387142">
            <w:pPr>
              <w:rPr>
                <w:sz w:val="20"/>
                <w:szCs w:val="20"/>
              </w:rPr>
            </w:pPr>
            <w:r w:rsidRPr="008B6A75">
              <w:rPr>
                <w:sz w:val="20"/>
                <w:szCs w:val="20"/>
              </w:rPr>
              <w:t>Закупка товаров, работ и услуг для обеспечения государственных (муниципальных) нужд</w:t>
            </w:r>
          </w:p>
        </w:tc>
        <w:tc>
          <w:tcPr>
            <w:tcW w:w="1559" w:type="dxa"/>
            <w:tcBorders>
              <w:top w:val="nil"/>
              <w:left w:val="single" w:sz="4" w:space="0" w:color="auto"/>
              <w:bottom w:val="single" w:sz="4" w:space="0" w:color="auto"/>
              <w:right w:val="nil"/>
            </w:tcBorders>
            <w:shd w:val="clear" w:color="auto" w:fill="auto"/>
            <w:noWrap/>
            <w:vAlign w:val="center"/>
            <w:hideMark/>
          </w:tcPr>
          <w:p w14:paraId="5A375C91" w14:textId="77777777" w:rsidR="00387142" w:rsidRPr="008B6A75" w:rsidRDefault="00387142" w:rsidP="00387142">
            <w:pPr>
              <w:jc w:val="center"/>
              <w:rPr>
                <w:sz w:val="20"/>
                <w:szCs w:val="20"/>
              </w:rPr>
            </w:pPr>
            <w:r w:rsidRPr="008B6A75">
              <w:rPr>
                <w:sz w:val="20"/>
                <w:szCs w:val="20"/>
              </w:rPr>
              <w:t>99.0.00.05110</w:t>
            </w:r>
          </w:p>
        </w:tc>
        <w:tc>
          <w:tcPr>
            <w:tcW w:w="850" w:type="dxa"/>
            <w:tcBorders>
              <w:top w:val="nil"/>
              <w:left w:val="single" w:sz="4" w:space="0" w:color="auto"/>
              <w:bottom w:val="single" w:sz="4" w:space="0" w:color="auto"/>
              <w:right w:val="nil"/>
            </w:tcBorders>
            <w:shd w:val="clear" w:color="auto" w:fill="auto"/>
            <w:noWrap/>
            <w:vAlign w:val="center"/>
            <w:hideMark/>
          </w:tcPr>
          <w:p w14:paraId="18E70A1C" w14:textId="77777777" w:rsidR="00387142" w:rsidRPr="008B6A75" w:rsidRDefault="00387142" w:rsidP="00387142">
            <w:pPr>
              <w:jc w:val="center"/>
              <w:rPr>
                <w:sz w:val="20"/>
                <w:szCs w:val="20"/>
              </w:rPr>
            </w:pPr>
            <w:r w:rsidRPr="008B6A75">
              <w:rPr>
                <w:sz w:val="20"/>
                <w:szCs w:val="20"/>
              </w:rPr>
              <w:t>200</w:t>
            </w:r>
          </w:p>
        </w:tc>
        <w:tc>
          <w:tcPr>
            <w:tcW w:w="567" w:type="dxa"/>
            <w:tcBorders>
              <w:top w:val="nil"/>
              <w:left w:val="single" w:sz="4" w:space="0" w:color="auto"/>
              <w:bottom w:val="single" w:sz="4" w:space="0" w:color="auto"/>
              <w:right w:val="nil"/>
            </w:tcBorders>
            <w:shd w:val="clear" w:color="auto" w:fill="auto"/>
            <w:noWrap/>
            <w:vAlign w:val="center"/>
            <w:hideMark/>
          </w:tcPr>
          <w:p w14:paraId="727B8912" w14:textId="77777777" w:rsidR="00387142" w:rsidRPr="008B6A75" w:rsidRDefault="00387142" w:rsidP="00387142">
            <w:pPr>
              <w:jc w:val="center"/>
              <w:rPr>
                <w:sz w:val="20"/>
                <w:szCs w:val="20"/>
              </w:rPr>
            </w:pPr>
            <w:r w:rsidRPr="008B6A75">
              <w:rPr>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08465A86" w14:textId="77777777" w:rsidR="00387142" w:rsidRPr="008B6A75" w:rsidRDefault="00387142" w:rsidP="00387142">
            <w:pPr>
              <w:jc w:val="center"/>
              <w:rPr>
                <w:sz w:val="20"/>
                <w:szCs w:val="20"/>
              </w:rPr>
            </w:pPr>
            <w:r w:rsidRPr="008B6A75">
              <w:rPr>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E0B7836" w14:textId="77777777" w:rsidR="00387142" w:rsidRPr="008B6A75" w:rsidRDefault="00387142" w:rsidP="00387142">
            <w:pPr>
              <w:jc w:val="right"/>
              <w:rPr>
                <w:sz w:val="20"/>
                <w:szCs w:val="20"/>
              </w:rPr>
            </w:pPr>
            <w:r w:rsidRPr="008B6A75">
              <w:rPr>
                <w:sz w:val="20"/>
                <w:szCs w:val="20"/>
              </w:rPr>
              <w:t>56 440,00</w:t>
            </w:r>
          </w:p>
        </w:tc>
        <w:tc>
          <w:tcPr>
            <w:tcW w:w="851" w:type="dxa"/>
            <w:tcBorders>
              <w:top w:val="nil"/>
              <w:left w:val="single" w:sz="4" w:space="0" w:color="auto"/>
              <w:bottom w:val="single" w:sz="4" w:space="0" w:color="auto"/>
              <w:right w:val="nil"/>
            </w:tcBorders>
            <w:shd w:val="clear" w:color="auto" w:fill="auto"/>
            <w:noWrap/>
            <w:vAlign w:val="center"/>
            <w:hideMark/>
          </w:tcPr>
          <w:p w14:paraId="690F6590" w14:textId="77777777" w:rsidR="00387142" w:rsidRPr="008B6A75" w:rsidRDefault="00387142" w:rsidP="00387142">
            <w:pPr>
              <w:jc w:val="right"/>
              <w:rPr>
                <w:sz w:val="20"/>
                <w:szCs w:val="20"/>
              </w:rPr>
            </w:pPr>
            <w:r w:rsidRPr="008B6A75">
              <w:rPr>
                <w:sz w:val="20"/>
                <w:szCs w:val="20"/>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0EB83D20" w14:textId="77777777" w:rsidR="00387142" w:rsidRPr="008B6A75" w:rsidRDefault="00387142" w:rsidP="00387142">
            <w:pPr>
              <w:jc w:val="right"/>
              <w:rPr>
                <w:sz w:val="20"/>
                <w:szCs w:val="20"/>
              </w:rPr>
            </w:pPr>
            <w:r w:rsidRPr="008B6A75">
              <w:rPr>
                <w:sz w:val="20"/>
                <w:szCs w:val="20"/>
              </w:rPr>
              <w:t>0,00</w:t>
            </w:r>
          </w:p>
        </w:tc>
      </w:tr>
      <w:tr w:rsidR="00387142" w:rsidRPr="008B6A75" w14:paraId="040C41CA" w14:textId="77777777" w:rsidTr="00387142">
        <w:trPr>
          <w:trHeight w:val="870"/>
        </w:trPr>
        <w:tc>
          <w:tcPr>
            <w:tcW w:w="272" w:type="dxa"/>
            <w:tcBorders>
              <w:top w:val="nil"/>
              <w:left w:val="nil"/>
              <w:bottom w:val="nil"/>
              <w:right w:val="single" w:sz="4" w:space="0" w:color="auto"/>
            </w:tcBorders>
            <w:shd w:val="clear" w:color="auto" w:fill="auto"/>
            <w:noWrap/>
            <w:vAlign w:val="bottom"/>
            <w:hideMark/>
          </w:tcPr>
          <w:p w14:paraId="228341C3"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207EA078" w14:textId="77777777" w:rsidR="00387142" w:rsidRPr="008B6A75" w:rsidRDefault="00387142" w:rsidP="00387142">
            <w:pPr>
              <w:rPr>
                <w:sz w:val="20"/>
                <w:szCs w:val="20"/>
              </w:rPr>
            </w:pPr>
            <w:r w:rsidRPr="008B6A75">
              <w:rPr>
                <w:sz w:val="20"/>
                <w:szCs w:val="20"/>
              </w:rPr>
              <w:t>Иные закупки товаров, работ и услуг для обеспечения государственных (муниципальных) нужд</w:t>
            </w:r>
          </w:p>
        </w:tc>
        <w:tc>
          <w:tcPr>
            <w:tcW w:w="1559" w:type="dxa"/>
            <w:tcBorders>
              <w:top w:val="nil"/>
              <w:left w:val="single" w:sz="4" w:space="0" w:color="auto"/>
              <w:bottom w:val="single" w:sz="4" w:space="0" w:color="auto"/>
              <w:right w:val="nil"/>
            </w:tcBorders>
            <w:shd w:val="clear" w:color="auto" w:fill="auto"/>
            <w:noWrap/>
            <w:vAlign w:val="center"/>
            <w:hideMark/>
          </w:tcPr>
          <w:p w14:paraId="34DEF223" w14:textId="77777777" w:rsidR="00387142" w:rsidRPr="008B6A75" w:rsidRDefault="00387142" w:rsidP="00387142">
            <w:pPr>
              <w:jc w:val="center"/>
              <w:rPr>
                <w:sz w:val="20"/>
                <w:szCs w:val="20"/>
              </w:rPr>
            </w:pPr>
            <w:r w:rsidRPr="008B6A75">
              <w:rPr>
                <w:sz w:val="20"/>
                <w:szCs w:val="20"/>
              </w:rPr>
              <w:t>99.0.00.05110</w:t>
            </w:r>
          </w:p>
        </w:tc>
        <w:tc>
          <w:tcPr>
            <w:tcW w:w="850" w:type="dxa"/>
            <w:tcBorders>
              <w:top w:val="nil"/>
              <w:left w:val="single" w:sz="4" w:space="0" w:color="auto"/>
              <w:bottom w:val="single" w:sz="4" w:space="0" w:color="auto"/>
              <w:right w:val="nil"/>
            </w:tcBorders>
            <w:shd w:val="clear" w:color="auto" w:fill="auto"/>
            <w:noWrap/>
            <w:vAlign w:val="center"/>
            <w:hideMark/>
          </w:tcPr>
          <w:p w14:paraId="67FBFAAF" w14:textId="77777777" w:rsidR="00387142" w:rsidRPr="008B6A75" w:rsidRDefault="00387142" w:rsidP="00387142">
            <w:pPr>
              <w:jc w:val="center"/>
              <w:rPr>
                <w:sz w:val="20"/>
                <w:szCs w:val="20"/>
              </w:rPr>
            </w:pPr>
            <w:r w:rsidRPr="008B6A75">
              <w:rPr>
                <w:sz w:val="20"/>
                <w:szCs w:val="20"/>
              </w:rPr>
              <w:t>240</w:t>
            </w:r>
          </w:p>
        </w:tc>
        <w:tc>
          <w:tcPr>
            <w:tcW w:w="567" w:type="dxa"/>
            <w:tcBorders>
              <w:top w:val="nil"/>
              <w:left w:val="single" w:sz="4" w:space="0" w:color="auto"/>
              <w:bottom w:val="single" w:sz="4" w:space="0" w:color="auto"/>
              <w:right w:val="nil"/>
            </w:tcBorders>
            <w:shd w:val="clear" w:color="auto" w:fill="auto"/>
            <w:noWrap/>
            <w:vAlign w:val="center"/>
            <w:hideMark/>
          </w:tcPr>
          <w:p w14:paraId="48CD00D6" w14:textId="77777777" w:rsidR="00387142" w:rsidRPr="008B6A75" w:rsidRDefault="00387142" w:rsidP="00387142">
            <w:pPr>
              <w:jc w:val="center"/>
              <w:rPr>
                <w:sz w:val="20"/>
                <w:szCs w:val="20"/>
              </w:rPr>
            </w:pPr>
            <w:r w:rsidRPr="008B6A75">
              <w:rPr>
                <w:sz w:val="20"/>
                <w:szCs w:val="20"/>
              </w:rPr>
              <w:t>05</w:t>
            </w:r>
          </w:p>
        </w:tc>
        <w:tc>
          <w:tcPr>
            <w:tcW w:w="567" w:type="dxa"/>
            <w:tcBorders>
              <w:top w:val="nil"/>
              <w:left w:val="single" w:sz="4" w:space="0" w:color="auto"/>
              <w:bottom w:val="single" w:sz="4" w:space="0" w:color="auto"/>
              <w:right w:val="nil"/>
            </w:tcBorders>
            <w:shd w:val="clear" w:color="auto" w:fill="auto"/>
            <w:noWrap/>
            <w:vAlign w:val="center"/>
            <w:hideMark/>
          </w:tcPr>
          <w:p w14:paraId="7BA5F5D8" w14:textId="77777777" w:rsidR="00387142" w:rsidRPr="008B6A75" w:rsidRDefault="00387142" w:rsidP="00387142">
            <w:pPr>
              <w:jc w:val="center"/>
              <w:rPr>
                <w:sz w:val="20"/>
                <w:szCs w:val="20"/>
              </w:rPr>
            </w:pPr>
            <w:r w:rsidRPr="008B6A75">
              <w:rPr>
                <w:sz w:val="20"/>
                <w:szCs w:val="20"/>
              </w:rPr>
              <w:t>05</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8D55316" w14:textId="77777777" w:rsidR="00387142" w:rsidRPr="008B6A75" w:rsidRDefault="00387142" w:rsidP="00387142">
            <w:pPr>
              <w:jc w:val="right"/>
              <w:rPr>
                <w:sz w:val="20"/>
                <w:szCs w:val="20"/>
              </w:rPr>
            </w:pPr>
            <w:r w:rsidRPr="008B6A75">
              <w:rPr>
                <w:sz w:val="20"/>
                <w:szCs w:val="20"/>
              </w:rPr>
              <w:t>56 440,00</w:t>
            </w:r>
          </w:p>
        </w:tc>
        <w:tc>
          <w:tcPr>
            <w:tcW w:w="851" w:type="dxa"/>
            <w:tcBorders>
              <w:top w:val="nil"/>
              <w:left w:val="single" w:sz="4" w:space="0" w:color="auto"/>
              <w:bottom w:val="single" w:sz="4" w:space="0" w:color="auto"/>
              <w:right w:val="nil"/>
            </w:tcBorders>
            <w:shd w:val="clear" w:color="auto" w:fill="auto"/>
            <w:noWrap/>
            <w:vAlign w:val="center"/>
            <w:hideMark/>
          </w:tcPr>
          <w:p w14:paraId="1AE130F6" w14:textId="77777777" w:rsidR="00387142" w:rsidRPr="008B6A75" w:rsidRDefault="00387142" w:rsidP="00387142">
            <w:pPr>
              <w:jc w:val="right"/>
              <w:rPr>
                <w:sz w:val="20"/>
                <w:szCs w:val="20"/>
              </w:rPr>
            </w:pPr>
            <w:r w:rsidRPr="008B6A75">
              <w:rPr>
                <w:sz w:val="20"/>
                <w:szCs w:val="20"/>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4C200929" w14:textId="77777777" w:rsidR="00387142" w:rsidRPr="008B6A75" w:rsidRDefault="00387142" w:rsidP="00387142">
            <w:pPr>
              <w:jc w:val="right"/>
              <w:rPr>
                <w:sz w:val="20"/>
                <w:szCs w:val="20"/>
              </w:rPr>
            </w:pPr>
            <w:r w:rsidRPr="008B6A75">
              <w:rPr>
                <w:sz w:val="20"/>
                <w:szCs w:val="20"/>
              </w:rPr>
              <w:t>0,00</w:t>
            </w:r>
          </w:p>
        </w:tc>
      </w:tr>
      <w:tr w:rsidR="00387142" w:rsidRPr="008B6A75" w14:paraId="4A5F7CC9" w14:textId="77777777" w:rsidTr="00387142">
        <w:trPr>
          <w:trHeight w:val="585"/>
        </w:trPr>
        <w:tc>
          <w:tcPr>
            <w:tcW w:w="272" w:type="dxa"/>
            <w:tcBorders>
              <w:top w:val="nil"/>
              <w:left w:val="nil"/>
              <w:bottom w:val="nil"/>
              <w:right w:val="single" w:sz="4" w:space="0" w:color="auto"/>
            </w:tcBorders>
            <w:shd w:val="clear" w:color="auto" w:fill="auto"/>
            <w:noWrap/>
            <w:vAlign w:val="bottom"/>
            <w:hideMark/>
          </w:tcPr>
          <w:p w14:paraId="65449854"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1394C654" w14:textId="77777777" w:rsidR="00387142" w:rsidRPr="008B6A75" w:rsidRDefault="00387142" w:rsidP="00387142">
            <w:pPr>
              <w:rPr>
                <w:bCs/>
                <w:sz w:val="20"/>
                <w:szCs w:val="20"/>
              </w:rPr>
            </w:pPr>
            <w:r w:rsidRPr="008B6A75">
              <w:rPr>
                <w:bCs/>
                <w:sz w:val="20"/>
                <w:szCs w:val="20"/>
              </w:rPr>
              <w:t>Мероприятия в области строительства муниципального жилого фонда</w:t>
            </w:r>
          </w:p>
        </w:tc>
        <w:tc>
          <w:tcPr>
            <w:tcW w:w="1559" w:type="dxa"/>
            <w:tcBorders>
              <w:top w:val="nil"/>
              <w:left w:val="single" w:sz="4" w:space="0" w:color="auto"/>
              <w:bottom w:val="single" w:sz="4" w:space="0" w:color="auto"/>
              <w:right w:val="nil"/>
            </w:tcBorders>
            <w:shd w:val="clear" w:color="auto" w:fill="auto"/>
            <w:noWrap/>
            <w:vAlign w:val="center"/>
            <w:hideMark/>
          </w:tcPr>
          <w:p w14:paraId="4D894900" w14:textId="77777777" w:rsidR="00387142" w:rsidRPr="008B6A75" w:rsidRDefault="00387142" w:rsidP="00387142">
            <w:pPr>
              <w:jc w:val="center"/>
              <w:rPr>
                <w:bCs/>
                <w:sz w:val="20"/>
                <w:szCs w:val="20"/>
              </w:rPr>
            </w:pPr>
            <w:r w:rsidRPr="008B6A75">
              <w:rPr>
                <w:bCs/>
                <w:sz w:val="20"/>
                <w:szCs w:val="20"/>
              </w:rPr>
              <w:t>99.0.00.05130</w:t>
            </w:r>
          </w:p>
        </w:tc>
        <w:tc>
          <w:tcPr>
            <w:tcW w:w="850" w:type="dxa"/>
            <w:tcBorders>
              <w:top w:val="nil"/>
              <w:left w:val="single" w:sz="4" w:space="0" w:color="auto"/>
              <w:bottom w:val="single" w:sz="4" w:space="0" w:color="auto"/>
              <w:right w:val="nil"/>
            </w:tcBorders>
            <w:shd w:val="clear" w:color="auto" w:fill="auto"/>
            <w:noWrap/>
            <w:vAlign w:val="center"/>
            <w:hideMark/>
          </w:tcPr>
          <w:p w14:paraId="26C25F97" w14:textId="77777777" w:rsidR="00387142" w:rsidRPr="008B6A75" w:rsidRDefault="00387142" w:rsidP="00387142">
            <w:pPr>
              <w:jc w:val="center"/>
              <w:rPr>
                <w:bCs/>
                <w:sz w:val="20"/>
                <w:szCs w:val="20"/>
              </w:rPr>
            </w:pPr>
            <w:r w:rsidRPr="008B6A75">
              <w:rPr>
                <w:bCs/>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09D9EE7D" w14:textId="77777777" w:rsidR="00387142" w:rsidRPr="008B6A75" w:rsidRDefault="00387142" w:rsidP="00387142">
            <w:pPr>
              <w:jc w:val="center"/>
              <w:rPr>
                <w:bCs/>
                <w:sz w:val="20"/>
                <w:szCs w:val="20"/>
              </w:rPr>
            </w:pPr>
            <w:r w:rsidRPr="008B6A75">
              <w:rPr>
                <w:bCs/>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089EE198" w14:textId="77777777" w:rsidR="00387142" w:rsidRPr="008B6A75" w:rsidRDefault="00387142" w:rsidP="00387142">
            <w:pPr>
              <w:jc w:val="center"/>
              <w:rPr>
                <w:bCs/>
                <w:sz w:val="20"/>
                <w:szCs w:val="20"/>
              </w:rPr>
            </w:pPr>
            <w:r w:rsidRPr="008B6A75">
              <w:rPr>
                <w:bCs/>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2412FD4" w14:textId="77777777" w:rsidR="00387142" w:rsidRPr="008B6A75" w:rsidRDefault="00387142" w:rsidP="00387142">
            <w:pPr>
              <w:jc w:val="right"/>
              <w:rPr>
                <w:bCs/>
                <w:sz w:val="20"/>
                <w:szCs w:val="20"/>
              </w:rPr>
            </w:pPr>
            <w:r w:rsidRPr="008B6A75">
              <w:rPr>
                <w:bCs/>
                <w:sz w:val="20"/>
                <w:szCs w:val="20"/>
              </w:rPr>
              <w:t>2 000 000,00</w:t>
            </w:r>
          </w:p>
        </w:tc>
        <w:tc>
          <w:tcPr>
            <w:tcW w:w="851" w:type="dxa"/>
            <w:tcBorders>
              <w:top w:val="nil"/>
              <w:left w:val="single" w:sz="4" w:space="0" w:color="auto"/>
              <w:bottom w:val="single" w:sz="4" w:space="0" w:color="auto"/>
              <w:right w:val="nil"/>
            </w:tcBorders>
            <w:shd w:val="clear" w:color="auto" w:fill="auto"/>
            <w:noWrap/>
            <w:vAlign w:val="center"/>
            <w:hideMark/>
          </w:tcPr>
          <w:p w14:paraId="29D4A6EB" w14:textId="77777777" w:rsidR="00387142" w:rsidRPr="008B6A75" w:rsidRDefault="00387142" w:rsidP="00387142">
            <w:pPr>
              <w:jc w:val="right"/>
              <w:rPr>
                <w:bCs/>
                <w:sz w:val="20"/>
                <w:szCs w:val="20"/>
              </w:rPr>
            </w:pPr>
            <w:r w:rsidRPr="008B6A75">
              <w:rPr>
                <w:bCs/>
                <w:sz w:val="20"/>
                <w:szCs w:val="20"/>
              </w:rPr>
              <w:t>5 000 000,00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5E14431C" w14:textId="77777777" w:rsidR="00387142" w:rsidRPr="008B6A75" w:rsidRDefault="00387142" w:rsidP="00387142">
            <w:pPr>
              <w:jc w:val="right"/>
              <w:rPr>
                <w:bCs/>
                <w:sz w:val="20"/>
                <w:szCs w:val="20"/>
              </w:rPr>
            </w:pPr>
            <w:r w:rsidRPr="008B6A75">
              <w:rPr>
                <w:bCs/>
                <w:sz w:val="20"/>
                <w:szCs w:val="20"/>
              </w:rPr>
              <w:t>0,00</w:t>
            </w:r>
          </w:p>
        </w:tc>
      </w:tr>
      <w:tr w:rsidR="00387142" w:rsidRPr="008B6A75" w14:paraId="4CEC9D16" w14:textId="77777777" w:rsidTr="00387142">
        <w:trPr>
          <w:trHeight w:val="870"/>
        </w:trPr>
        <w:tc>
          <w:tcPr>
            <w:tcW w:w="272" w:type="dxa"/>
            <w:tcBorders>
              <w:top w:val="nil"/>
              <w:left w:val="nil"/>
              <w:bottom w:val="nil"/>
              <w:right w:val="single" w:sz="4" w:space="0" w:color="auto"/>
            </w:tcBorders>
            <w:shd w:val="clear" w:color="auto" w:fill="auto"/>
            <w:noWrap/>
            <w:vAlign w:val="bottom"/>
            <w:hideMark/>
          </w:tcPr>
          <w:p w14:paraId="4C430F46" w14:textId="77777777" w:rsidR="00387142" w:rsidRPr="008B6A75" w:rsidRDefault="00387142" w:rsidP="00387142">
            <w:pPr>
              <w:rPr>
                <w:sz w:val="20"/>
                <w:szCs w:val="20"/>
              </w:rPr>
            </w:pPr>
            <w:r w:rsidRPr="008B6A75">
              <w:rPr>
                <w:sz w:val="20"/>
                <w:szCs w:val="20"/>
              </w:rPr>
              <w:lastRenderedPageBreak/>
              <w:t> </w:t>
            </w:r>
          </w:p>
        </w:tc>
        <w:tc>
          <w:tcPr>
            <w:tcW w:w="3415" w:type="dxa"/>
            <w:tcBorders>
              <w:top w:val="nil"/>
              <w:left w:val="single" w:sz="4" w:space="0" w:color="auto"/>
              <w:bottom w:val="single" w:sz="4" w:space="0" w:color="auto"/>
              <w:right w:val="nil"/>
            </w:tcBorders>
            <w:shd w:val="clear" w:color="auto" w:fill="auto"/>
            <w:vAlign w:val="center"/>
            <w:hideMark/>
          </w:tcPr>
          <w:p w14:paraId="43ADCB9E" w14:textId="77777777" w:rsidR="00387142" w:rsidRPr="008B6A75" w:rsidRDefault="00387142" w:rsidP="00387142">
            <w:pPr>
              <w:rPr>
                <w:sz w:val="20"/>
                <w:szCs w:val="20"/>
              </w:rPr>
            </w:pPr>
            <w:r w:rsidRPr="008B6A75">
              <w:rPr>
                <w:sz w:val="20"/>
                <w:szCs w:val="20"/>
              </w:rPr>
              <w:t>Капитальные вложения в объекты государственной (муниципальной) собственности</w:t>
            </w:r>
          </w:p>
        </w:tc>
        <w:tc>
          <w:tcPr>
            <w:tcW w:w="1559" w:type="dxa"/>
            <w:tcBorders>
              <w:top w:val="nil"/>
              <w:left w:val="single" w:sz="4" w:space="0" w:color="auto"/>
              <w:bottom w:val="single" w:sz="4" w:space="0" w:color="auto"/>
              <w:right w:val="nil"/>
            </w:tcBorders>
            <w:shd w:val="clear" w:color="auto" w:fill="auto"/>
            <w:noWrap/>
            <w:vAlign w:val="center"/>
            <w:hideMark/>
          </w:tcPr>
          <w:p w14:paraId="7D694868" w14:textId="77777777" w:rsidR="00387142" w:rsidRPr="008B6A75" w:rsidRDefault="00387142" w:rsidP="00387142">
            <w:pPr>
              <w:jc w:val="center"/>
              <w:rPr>
                <w:sz w:val="20"/>
                <w:szCs w:val="20"/>
              </w:rPr>
            </w:pPr>
            <w:r w:rsidRPr="008B6A75">
              <w:rPr>
                <w:sz w:val="20"/>
                <w:szCs w:val="20"/>
              </w:rPr>
              <w:t>99.0.00.05130</w:t>
            </w:r>
          </w:p>
        </w:tc>
        <w:tc>
          <w:tcPr>
            <w:tcW w:w="850" w:type="dxa"/>
            <w:tcBorders>
              <w:top w:val="nil"/>
              <w:left w:val="single" w:sz="4" w:space="0" w:color="auto"/>
              <w:bottom w:val="single" w:sz="4" w:space="0" w:color="auto"/>
              <w:right w:val="nil"/>
            </w:tcBorders>
            <w:shd w:val="clear" w:color="auto" w:fill="auto"/>
            <w:noWrap/>
            <w:vAlign w:val="center"/>
            <w:hideMark/>
          </w:tcPr>
          <w:p w14:paraId="4B0BC015" w14:textId="77777777" w:rsidR="00387142" w:rsidRPr="008B6A75" w:rsidRDefault="00387142" w:rsidP="00387142">
            <w:pPr>
              <w:jc w:val="center"/>
              <w:rPr>
                <w:sz w:val="20"/>
                <w:szCs w:val="20"/>
              </w:rPr>
            </w:pPr>
            <w:r w:rsidRPr="008B6A75">
              <w:rPr>
                <w:sz w:val="20"/>
                <w:szCs w:val="20"/>
              </w:rPr>
              <w:t>400</w:t>
            </w:r>
          </w:p>
        </w:tc>
        <w:tc>
          <w:tcPr>
            <w:tcW w:w="567" w:type="dxa"/>
            <w:tcBorders>
              <w:top w:val="nil"/>
              <w:left w:val="single" w:sz="4" w:space="0" w:color="auto"/>
              <w:bottom w:val="single" w:sz="4" w:space="0" w:color="auto"/>
              <w:right w:val="nil"/>
            </w:tcBorders>
            <w:shd w:val="clear" w:color="auto" w:fill="auto"/>
            <w:noWrap/>
            <w:vAlign w:val="center"/>
            <w:hideMark/>
          </w:tcPr>
          <w:p w14:paraId="1CD4BAAD" w14:textId="77777777" w:rsidR="00387142" w:rsidRPr="008B6A75" w:rsidRDefault="00387142" w:rsidP="00387142">
            <w:pPr>
              <w:jc w:val="center"/>
              <w:rPr>
                <w:sz w:val="20"/>
                <w:szCs w:val="20"/>
              </w:rPr>
            </w:pPr>
            <w:r w:rsidRPr="008B6A75">
              <w:rPr>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280A388B" w14:textId="77777777" w:rsidR="00387142" w:rsidRPr="008B6A75" w:rsidRDefault="00387142" w:rsidP="00387142">
            <w:pPr>
              <w:jc w:val="center"/>
              <w:rPr>
                <w:sz w:val="20"/>
                <w:szCs w:val="20"/>
              </w:rPr>
            </w:pPr>
            <w:r w:rsidRPr="008B6A75">
              <w:rPr>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B280117" w14:textId="77777777" w:rsidR="00387142" w:rsidRPr="008B6A75" w:rsidRDefault="00387142" w:rsidP="00387142">
            <w:pPr>
              <w:jc w:val="right"/>
              <w:rPr>
                <w:sz w:val="20"/>
                <w:szCs w:val="20"/>
              </w:rPr>
            </w:pPr>
            <w:r w:rsidRPr="008B6A75">
              <w:rPr>
                <w:sz w:val="20"/>
                <w:szCs w:val="20"/>
              </w:rPr>
              <w:t>2 000 000,00</w:t>
            </w:r>
          </w:p>
        </w:tc>
        <w:tc>
          <w:tcPr>
            <w:tcW w:w="851" w:type="dxa"/>
            <w:tcBorders>
              <w:top w:val="nil"/>
              <w:left w:val="single" w:sz="4" w:space="0" w:color="auto"/>
              <w:bottom w:val="single" w:sz="4" w:space="0" w:color="auto"/>
              <w:right w:val="nil"/>
            </w:tcBorders>
            <w:shd w:val="clear" w:color="auto" w:fill="auto"/>
            <w:noWrap/>
            <w:vAlign w:val="center"/>
            <w:hideMark/>
          </w:tcPr>
          <w:p w14:paraId="38BEABF8" w14:textId="77777777" w:rsidR="00387142" w:rsidRPr="008B6A75" w:rsidRDefault="00387142" w:rsidP="00387142">
            <w:pPr>
              <w:jc w:val="right"/>
              <w:rPr>
                <w:sz w:val="20"/>
                <w:szCs w:val="20"/>
              </w:rPr>
            </w:pPr>
            <w:r w:rsidRPr="008B6A75">
              <w:rPr>
                <w:sz w:val="20"/>
                <w:szCs w:val="20"/>
              </w:rPr>
              <w:t>5 000 000,00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05D8100E" w14:textId="77777777" w:rsidR="00387142" w:rsidRPr="008B6A75" w:rsidRDefault="00387142" w:rsidP="00387142">
            <w:pPr>
              <w:jc w:val="right"/>
              <w:rPr>
                <w:sz w:val="20"/>
                <w:szCs w:val="20"/>
              </w:rPr>
            </w:pPr>
            <w:r w:rsidRPr="008B6A75">
              <w:rPr>
                <w:sz w:val="20"/>
                <w:szCs w:val="20"/>
              </w:rPr>
              <w:t>0,00</w:t>
            </w:r>
          </w:p>
        </w:tc>
      </w:tr>
      <w:tr w:rsidR="00387142" w:rsidRPr="008B6A75" w14:paraId="7A33A104" w14:textId="77777777" w:rsidTr="00387142">
        <w:trPr>
          <w:trHeight w:val="300"/>
        </w:trPr>
        <w:tc>
          <w:tcPr>
            <w:tcW w:w="272" w:type="dxa"/>
            <w:tcBorders>
              <w:top w:val="nil"/>
              <w:left w:val="nil"/>
              <w:bottom w:val="nil"/>
              <w:right w:val="single" w:sz="4" w:space="0" w:color="auto"/>
            </w:tcBorders>
            <w:shd w:val="clear" w:color="auto" w:fill="auto"/>
            <w:noWrap/>
            <w:vAlign w:val="bottom"/>
            <w:hideMark/>
          </w:tcPr>
          <w:p w14:paraId="2C533115"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0E8EAF2D" w14:textId="77777777" w:rsidR="00387142" w:rsidRPr="008B6A75" w:rsidRDefault="00387142" w:rsidP="00387142">
            <w:pPr>
              <w:rPr>
                <w:sz w:val="20"/>
                <w:szCs w:val="20"/>
              </w:rPr>
            </w:pPr>
            <w:r w:rsidRPr="008B6A75">
              <w:rPr>
                <w:sz w:val="20"/>
                <w:szCs w:val="20"/>
              </w:rPr>
              <w:t>Бюджетные инвестиции</w:t>
            </w:r>
          </w:p>
        </w:tc>
        <w:tc>
          <w:tcPr>
            <w:tcW w:w="1559" w:type="dxa"/>
            <w:tcBorders>
              <w:top w:val="nil"/>
              <w:left w:val="single" w:sz="4" w:space="0" w:color="auto"/>
              <w:bottom w:val="single" w:sz="4" w:space="0" w:color="auto"/>
              <w:right w:val="nil"/>
            </w:tcBorders>
            <w:shd w:val="clear" w:color="auto" w:fill="auto"/>
            <w:noWrap/>
            <w:vAlign w:val="center"/>
            <w:hideMark/>
          </w:tcPr>
          <w:p w14:paraId="12E2FBD6" w14:textId="77777777" w:rsidR="00387142" w:rsidRPr="008B6A75" w:rsidRDefault="00387142" w:rsidP="00387142">
            <w:pPr>
              <w:jc w:val="center"/>
              <w:rPr>
                <w:sz w:val="20"/>
                <w:szCs w:val="20"/>
              </w:rPr>
            </w:pPr>
            <w:r w:rsidRPr="008B6A75">
              <w:rPr>
                <w:sz w:val="20"/>
                <w:szCs w:val="20"/>
              </w:rPr>
              <w:t>99.0.00.05130</w:t>
            </w:r>
          </w:p>
        </w:tc>
        <w:tc>
          <w:tcPr>
            <w:tcW w:w="850" w:type="dxa"/>
            <w:tcBorders>
              <w:top w:val="nil"/>
              <w:left w:val="single" w:sz="4" w:space="0" w:color="auto"/>
              <w:bottom w:val="single" w:sz="4" w:space="0" w:color="auto"/>
              <w:right w:val="nil"/>
            </w:tcBorders>
            <w:shd w:val="clear" w:color="auto" w:fill="auto"/>
            <w:noWrap/>
            <w:vAlign w:val="center"/>
            <w:hideMark/>
          </w:tcPr>
          <w:p w14:paraId="28E3F3D8" w14:textId="77777777" w:rsidR="00387142" w:rsidRPr="008B6A75" w:rsidRDefault="00387142" w:rsidP="00387142">
            <w:pPr>
              <w:jc w:val="center"/>
              <w:rPr>
                <w:sz w:val="20"/>
                <w:szCs w:val="20"/>
              </w:rPr>
            </w:pPr>
            <w:r w:rsidRPr="008B6A75">
              <w:rPr>
                <w:sz w:val="20"/>
                <w:szCs w:val="20"/>
              </w:rPr>
              <w:t>410</w:t>
            </w:r>
          </w:p>
        </w:tc>
        <w:tc>
          <w:tcPr>
            <w:tcW w:w="567" w:type="dxa"/>
            <w:tcBorders>
              <w:top w:val="nil"/>
              <w:left w:val="single" w:sz="4" w:space="0" w:color="auto"/>
              <w:bottom w:val="single" w:sz="4" w:space="0" w:color="auto"/>
              <w:right w:val="nil"/>
            </w:tcBorders>
            <w:shd w:val="clear" w:color="auto" w:fill="auto"/>
            <w:noWrap/>
            <w:vAlign w:val="center"/>
            <w:hideMark/>
          </w:tcPr>
          <w:p w14:paraId="4C0E7AA9" w14:textId="77777777" w:rsidR="00387142" w:rsidRPr="008B6A75" w:rsidRDefault="00387142" w:rsidP="00387142">
            <w:pPr>
              <w:jc w:val="center"/>
              <w:rPr>
                <w:sz w:val="20"/>
                <w:szCs w:val="20"/>
              </w:rPr>
            </w:pPr>
            <w:r w:rsidRPr="008B6A75">
              <w:rPr>
                <w:sz w:val="20"/>
                <w:szCs w:val="20"/>
              </w:rPr>
              <w:t>05</w:t>
            </w:r>
          </w:p>
        </w:tc>
        <w:tc>
          <w:tcPr>
            <w:tcW w:w="567" w:type="dxa"/>
            <w:tcBorders>
              <w:top w:val="nil"/>
              <w:left w:val="single" w:sz="4" w:space="0" w:color="auto"/>
              <w:bottom w:val="single" w:sz="4" w:space="0" w:color="auto"/>
              <w:right w:val="nil"/>
            </w:tcBorders>
            <w:shd w:val="clear" w:color="auto" w:fill="auto"/>
            <w:noWrap/>
            <w:vAlign w:val="center"/>
            <w:hideMark/>
          </w:tcPr>
          <w:p w14:paraId="62849363" w14:textId="77777777" w:rsidR="00387142" w:rsidRPr="008B6A75" w:rsidRDefault="00387142" w:rsidP="00387142">
            <w:pPr>
              <w:jc w:val="center"/>
              <w:rPr>
                <w:sz w:val="20"/>
                <w:szCs w:val="20"/>
              </w:rPr>
            </w:pPr>
            <w:r w:rsidRPr="008B6A75">
              <w:rPr>
                <w:sz w:val="20"/>
                <w:szCs w:val="20"/>
              </w:rPr>
              <w:t>01</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3172FAF" w14:textId="77777777" w:rsidR="00387142" w:rsidRPr="008B6A75" w:rsidRDefault="00387142" w:rsidP="00387142">
            <w:pPr>
              <w:jc w:val="right"/>
              <w:rPr>
                <w:sz w:val="20"/>
                <w:szCs w:val="20"/>
              </w:rPr>
            </w:pPr>
            <w:r w:rsidRPr="008B6A75">
              <w:rPr>
                <w:sz w:val="20"/>
                <w:szCs w:val="20"/>
              </w:rPr>
              <w:t>2 000 000,00</w:t>
            </w:r>
          </w:p>
        </w:tc>
        <w:tc>
          <w:tcPr>
            <w:tcW w:w="851" w:type="dxa"/>
            <w:tcBorders>
              <w:top w:val="nil"/>
              <w:left w:val="single" w:sz="4" w:space="0" w:color="auto"/>
              <w:bottom w:val="single" w:sz="4" w:space="0" w:color="auto"/>
              <w:right w:val="nil"/>
            </w:tcBorders>
            <w:shd w:val="clear" w:color="auto" w:fill="auto"/>
            <w:noWrap/>
            <w:vAlign w:val="center"/>
            <w:hideMark/>
          </w:tcPr>
          <w:p w14:paraId="7B8D0391" w14:textId="77777777" w:rsidR="00387142" w:rsidRPr="008B6A75" w:rsidRDefault="00387142" w:rsidP="00387142">
            <w:pPr>
              <w:jc w:val="right"/>
              <w:rPr>
                <w:sz w:val="20"/>
                <w:szCs w:val="20"/>
              </w:rPr>
            </w:pPr>
            <w:r w:rsidRPr="008B6A75">
              <w:rPr>
                <w:sz w:val="20"/>
                <w:szCs w:val="20"/>
              </w:rPr>
              <w:t>5 000 000,00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6BCEDE50" w14:textId="77777777" w:rsidR="00387142" w:rsidRPr="008B6A75" w:rsidRDefault="00387142" w:rsidP="00387142">
            <w:pPr>
              <w:jc w:val="right"/>
              <w:rPr>
                <w:sz w:val="20"/>
                <w:szCs w:val="20"/>
              </w:rPr>
            </w:pPr>
            <w:r w:rsidRPr="008B6A75">
              <w:rPr>
                <w:sz w:val="20"/>
                <w:szCs w:val="20"/>
              </w:rPr>
              <w:t>0,00</w:t>
            </w:r>
          </w:p>
        </w:tc>
      </w:tr>
      <w:tr w:rsidR="00387142" w:rsidRPr="008B6A75" w14:paraId="305F11D1" w14:textId="77777777" w:rsidTr="00387142">
        <w:trPr>
          <w:trHeight w:val="585"/>
        </w:trPr>
        <w:tc>
          <w:tcPr>
            <w:tcW w:w="272" w:type="dxa"/>
            <w:tcBorders>
              <w:top w:val="nil"/>
              <w:left w:val="nil"/>
              <w:bottom w:val="nil"/>
              <w:right w:val="single" w:sz="4" w:space="0" w:color="auto"/>
            </w:tcBorders>
            <w:shd w:val="clear" w:color="auto" w:fill="auto"/>
            <w:noWrap/>
            <w:vAlign w:val="bottom"/>
            <w:hideMark/>
          </w:tcPr>
          <w:p w14:paraId="29B4FD55"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1F67687E" w14:textId="77777777" w:rsidR="00387142" w:rsidRPr="008B6A75" w:rsidRDefault="00387142" w:rsidP="00387142">
            <w:pPr>
              <w:rPr>
                <w:bCs/>
                <w:sz w:val="20"/>
                <w:szCs w:val="20"/>
              </w:rPr>
            </w:pPr>
            <w:r w:rsidRPr="008B6A75">
              <w:rPr>
                <w:bCs/>
                <w:sz w:val="20"/>
                <w:szCs w:val="20"/>
              </w:rPr>
              <w:t>Мероприятия в области коммунального хозяйства</w:t>
            </w:r>
          </w:p>
        </w:tc>
        <w:tc>
          <w:tcPr>
            <w:tcW w:w="1559" w:type="dxa"/>
            <w:tcBorders>
              <w:top w:val="nil"/>
              <w:left w:val="single" w:sz="4" w:space="0" w:color="auto"/>
              <w:bottom w:val="single" w:sz="4" w:space="0" w:color="auto"/>
              <w:right w:val="nil"/>
            </w:tcBorders>
            <w:shd w:val="clear" w:color="auto" w:fill="auto"/>
            <w:noWrap/>
            <w:vAlign w:val="center"/>
            <w:hideMark/>
          </w:tcPr>
          <w:p w14:paraId="5D206F9B" w14:textId="77777777" w:rsidR="00387142" w:rsidRPr="008B6A75" w:rsidRDefault="00387142" w:rsidP="00387142">
            <w:pPr>
              <w:jc w:val="center"/>
              <w:rPr>
                <w:bCs/>
                <w:sz w:val="20"/>
                <w:szCs w:val="20"/>
              </w:rPr>
            </w:pPr>
            <w:r w:rsidRPr="008B6A75">
              <w:rPr>
                <w:bCs/>
                <w:sz w:val="20"/>
                <w:szCs w:val="20"/>
              </w:rPr>
              <w:t>99.0.00.05220</w:t>
            </w:r>
          </w:p>
        </w:tc>
        <w:tc>
          <w:tcPr>
            <w:tcW w:w="850" w:type="dxa"/>
            <w:tcBorders>
              <w:top w:val="nil"/>
              <w:left w:val="single" w:sz="4" w:space="0" w:color="auto"/>
              <w:bottom w:val="single" w:sz="4" w:space="0" w:color="auto"/>
              <w:right w:val="nil"/>
            </w:tcBorders>
            <w:shd w:val="clear" w:color="auto" w:fill="auto"/>
            <w:noWrap/>
            <w:vAlign w:val="center"/>
            <w:hideMark/>
          </w:tcPr>
          <w:p w14:paraId="4066723D" w14:textId="77777777" w:rsidR="00387142" w:rsidRPr="008B6A75" w:rsidRDefault="00387142" w:rsidP="00387142">
            <w:pPr>
              <w:jc w:val="center"/>
              <w:rPr>
                <w:bCs/>
                <w:sz w:val="20"/>
                <w:szCs w:val="20"/>
              </w:rPr>
            </w:pPr>
            <w:r w:rsidRPr="008B6A75">
              <w:rPr>
                <w:bCs/>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35395B56" w14:textId="77777777" w:rsidR="00387142" w:rsidRPr="008B6A75" w:rsidRDefault="00387142" w:rsidP="00387142">
            <w:pPr>
              <w:jc w:val="center"/>
              <w:rPr>
                <w:bCs/>
                <w:sz w:val="20"/>
                <w:szCs w:val="20"/>
              </w:rPr>
            </w:pPr>
            <w:r w:rsidRPr="008B6A75">
              <w:rPr>
                <w:bCs/>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7471CF86" w14:textId="77777777" w:rsidR="00387142" w:rsidRPr="008B6A75" w:rsidRDefault="00387142" w:rsidP="00387142">
            <w:pPr>
              <w:jc w:val="center"/>
              <w:rPr>
                <w:bCs/>
                <w:sz w:val="20"/>
                <w:szCs w:val="20"/>
              </w:rPr>
            </w:pPr>
            <w:r w:rsidRPr="008B6A75">
              <w:rPr>
                <w:bCs/>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D334D5A" w14:textId="77777777" w:rsidR="00387142" w:rsidRPr="008B6A75" w:rsidRDefault="00387142" w:rsidP="00387142">
            <w:pPr>
              <w:jc w:val="right"/>
              <w:rPr>
                <w:bCs/>
                <w:sz w:val="20"/>
                <w:szCs w:val="20"/>
              </w:rPr>
            </w:pPr>
            <w:r w:rsidRPr="008B6A75">
              <w:rPr>
                <w:bCs/>
                <w:sz w:val="20"/>
                <w:szCs w:val="20"/>
              </w:rPr>
              <w:t>46 880,00</w:t>
            </w:r>
          </w:p>
        </w:tc>
        <w:tc>
          <w:tcPr>
            <w:tcW w:w="851" w:type="dxa"/>
            <w:tcBorders>
              <w:top w:val="nil"/>
              <w:left w:val="single" w:sz="4" w:space="0" w:color="auto"/>
              <w:bottom w:val="single" w:sz="4" w:space="0" w:color="auto"/>
              <w:right w:val="nil"/>
            </w:tcBorders>
            <w:shd w:val="clear" w:color="auto" w:fill="auto"/>
            <w:noWrap/>
            <w:vAlign w:val="center"/>
            <w:hideMark/>
          </w:tcPr>
          <w:p w14:paraId="442B5155" w14:textId="77777777" w:rsidR="00387142" w:rsidRPr="008B6A75" w:rsidRDefault="00387142" w:rsidP="00387142">
            <w:pPr>
              <w:jc w:val="right"/>
              <w:rPr>
                <w:bCs/>
                <w:sz w:val="20"/>
                <w:szCs w:val="20"/>
              </w:rPr>
            </w:pPr>
            <w:r w:rsidRPr="008B6A75">
              <w:rPr>
                <w:bCs/>
                <w:sz w:val="20"/>
                <w:szCs w:val="20"/>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4CDC0956" w14:textId="77777777" w:rsidR="00387142" w:rsidRPr="008B6A75" w:rsidRDefault="00387142" w:rsidP="00387142">
            <w:pPr>
              <w:jc w:val="right"/>
              <w:rPr>
                <w:bCs/>
                <w:sz w:val="20"/>
                <w:szCs w:val="20"/>
              </w:rPr>
            </w:pPr>
            <w:r w:rsidRPr="008B6A75">
              <w:rPr>
                <w:bCs/>
                <w:sz w:val="20"/>
                <w:szCs w:val="20"/>
              </w:rPr>
              <w:t>0,00</w:t>
            </w:r>
          </w:p>
        </w:tc>
      </w:tr>
      <w:tr w:rsidR="00387142" w:rsidRPr="008B6A75" w14:paraId="4A2C17BD" w14:textId="77777777" w:rsidTr="00387142">
        <w:trPr>
          <w:trHeight w:val="585"/>
        </w:trPr>
        <w:tc>
          <w:tcPr>
            <w:tcW w:w="272" w:type="dxa"/>
            <w:tcBorders>
              <w:top w:val="nil"/>
              <w:left w:val="nil"/>
              <w:bottom w:val="nil"/>
              <w:right w:val="single" w:sz="4" w:space="0" w:color="auto"/>
            </w:tcBorders>
            <w:shd w:val="clear" w:color="auto" w:fill="auto"/>
            <w:noWrap/>
            <w:vAlign w:val="bottom"/>
            <w:hideMark/>
          </w:tcPr>
          <w:p w14:paraId="4A3B5624"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61648D66" w14:textId="77777777" w:rsidR="00387142" w:rsidRPr="008B6A75" w:rsidRDefault="00387142" w:rsidP="00387142">
            <w:pPr>
              <w:rPr>
                <w:sz w:val="20"/>
                <w:szCs w:val="20"/>
              </w:rPr>
            </w:pPr>
            <w:r w:rsidRPr="008B6A75">
              <w:rPr>
                <w:sz w:val="20"/>
                <w:szCs w:val="20"/>
              </w:rPr>
              <w:t>Закупка товаров, работ и услуг для обеспечения государственных (муниципальных) нужд</w:t>
            </w:r>
          </w:p>
        </w:tc>
        <w:tc>
          <w:tcPr>
            <w:tcW w:w="1559" w:type="dxa"/>
            <w:tcBorders>
              <w:top w:val="nil"/>
              <w:left w:val="single" w:sz="4" w:space="0" w:color="auto"/>
              <w:bottom w:val="single" w:sz="4" w:space="0" w:color="auto"/>
              <w:right w:val="nil"/>
            </w:tcBorders>
            <w:shd w:val="clear" w:color="auto" w:fill="auto"/>
            <w:noWrap/>
            <w:vAlign w:val="center"/>
            <w:hideMark/>
          </w:tcPr>
          <w:p w14:paraId="69917897" w14:textId="77777777" w:rsidR="00387142" w:rsidRPr="008B6A75" w:rsidRDefault="00387142" w:rsidP="00387142">
            <w:pPr>
              <w:jc w:val="center"/>
              <w:rPr>
                <w:sz w:val="20"/>
                <w:szCs w:val="20"/>
              </w:rPr>
            </w:pPr>
            <w:r w:rsidRPr="008B6A75">
              <w:rPr>
                <w:sz w:val="20"/>
                <w:szCs w:val="20"/>
              </w:rPr>
              <w:t>99.0.00.05220</w:t>
            </w:r>
          </w:p>
        </w:tc>
        <w:tc>
          <w:tcPr>
            <w:tcW w:w="850" w:type="dxa"/>
            <w:tcBorders>
              <w:top w:val="nil"/>
              <w:left w:val="single" w:sz="4" w:space="0" w:color="auto"/>
              <w:bottom w:val="single" w:sz="4" w:space="0" w:color="auto"/>
              <w:right w:val="nil"/>
            </w:tcBorders>
            <w:shd w:val="clear" w:color="auto" w:fill="auto"/>
            <w:noWrap/>
            <w:vAlign w:val="center"/>
            <w:hideMark/>
          </w:tcPr>
          <w:p w14:paraId="0CCC2056" w14:textId="77777777" w:rsidR="00387142" w:rsidRPr="008B6A75" w:rsidRDefault="00387142" w:rsidP="00387142">
            <w:pPr>
              <w:jc w:val="center"/>
              <w:rPr>
                <w:sz w:val="20"/>
                <w:szCs w:val="20"/>
              </w:rPr>
            </w:pPr>
            <w:r w:rsidRPr="008B6A75">
              <w:rPr>
                <w:sz w:val="20"/>
                <w:szCs w:val="20"/>
              </w:rPr>
              <w:t>200</w:t>
            </w:r>
          </w:p>
        </w:tc>
        <w:tc>
          <w:tcPr>
            <w:tcW w:w="567" w:type="dxa"/>
            <w:tcBorders>
              <w:top w:val="nil"/>
              <w:left w:val="single" w:sz="4" w:space="0" w:color="auto"/>
              <w:bottom w:val="single" w:sz="4" w:space="0" w:color="auto"/>
              <w:right w:val="nil"/>
            </w:tcBorders>
            <w:shd w:val="clear" w:color="auto" w:fill="auto"/>
            <w:noWrap/>
            <w:vAlign w:val="center"/>
            <w:hideMark/>
          </w:tcPr>
          <w:p w14:paraId="0E0130CD" w14:textId="77777777" w:rsidR="00387142" w:rsidRPr="008B6A75" w:rsidRDefault="00387142" w:rsidP="00387142">
            <w:pPr>
              <w:jc w:val="center"/>
              <w:rPr>
                <w:sz w:val="20"/>
                <w:szCs w:val="20"/>
              </w:rPr>
            </w:pPr>
            <w:r w:rsidRPr="008B6A75">
              <w:rPr>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5EB9ECBB" w14:textId="77777777" w:rsidR="00387142" w:rsidRPr="008B6A75" w:rsidRDefault="00387142" w:rsidP="00387142">
            <w:pPr>
              <w:jc w:val="center"/>
              <w:rPr>
                <w:sz w:val="20"/>
                <w:szCs w:val="20"/>
              </w:rPr>
            </w:pPr>
            <w:r w:rsidRPr="008B6A75">
              <w:rPr>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DBBADFC" w14:textId="77777777" w:rsidR="00387142" w:rsidRPr="008B6A75" w:rsidRDefault="00387142" w:rsidP="00387142">
            <w:pPr>
              <w:jc w:val="right"/>
              <w:rPr>
                <w:sz w:val="20"/>
                <w:szCs w:val="20"/>
              </w:rPr>
            </w:pPr>
            <w:r w:rsidRPr="008B6A75">
              <w:rPr>
                <w:sz w:val="20"/>
                <w:szCs w:val="20"/>
              </w:rPr>
              <w:t>46 880,00</w:t>
            </w:r>
          </w:p>
        </w:tc>
        <w:tc>
          <w:tcPr>
            <w:tcW w:w="851" w:type="dxa"/>
            <w:tcBorders>
              <w:top w:val="nil"/>
              <w:left w:val="single" w:sz="4" w:space="0" w:color="auto"/>
              <w:bottom w:val="single" w:sz="4" w:space="0" w:color="auto"/>
              <w:right w:val="nil"/>
            </w:tcBorders>
            <w:shd w:val="clear" w:color="auto" w:fill="auto"/>
            <w:noWrap/>
            <w:vAlign w:val="center"/>
            <w:hideMark/>
          </w:tcPr>
          <w:p w14:paraId="440E4D2D" w14:textId="77777777" w:rsidR="00387142" w:rsidRPr="008B6A75" w:rsidRDefault="00387142" w:rsidP="00387142">
            <w:pPr>
              <w:jc w:val="right"/>
              <w:rPr>
                <w:sz w:val="20"/>
                <w:szCs w:val="20"/>
              </w:rPr>
            </w:pPr>
            <w:r w:rsidRPr="008B6A75">
              <w:rPr>
                <w:sz w:val="20"/>
                <w:szCs w:val="20"/>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73B38CC3" w14:textId="77777777" w:rsidR="00387142" w:rsidRPr="008B6A75" w:rsidRDefault="00387142" w:rsidP="00387142">
            <w:pPr>
              <w:jc w:val="right"/>
              <w:rPr>
                <w:sz w:val="20"/>
                <w:szCs w:val="20"/>
              </w:rPr>
            </w:pPr>
            <w:r w:rsidRPr="008B6A75">
              <w:rPr>
                <w:sz w:val="20"/>
                <w:szCs w:val="20"/>
              </w:rPr>
              <w:t>0,00</w:t>
            </w:r>
          </w:p>
        </w:tc>
      </w:tr>
      <w:tr w:rsidR="00387142" w:rsidRPr="008B6A75" w14:paraId="234DAE0C" w14:textId="77777777" w:rsidTr="00387142">
        <w:trPr>
          <w:trHeight w:val="870"/>
        </w:trPr>
        <w:tc>
          <w:tcPr>
            <w:tcW w:w="272" w:type="dxa"/>
            <w:tcBorders>
              <w:top w:val="nil"/>
              <w:left w:val="nil"/>
              <w:bottom w:val="nil"/>
              <w:right w:val="single" w:sz="4" w:space="0" w:color="auto"/>
            </w:tcBorders>
            <w:shd w:val="clear" w:color="auto" w:fill="auto"/>
            <w:noWrap/>
            <w:vAlign w:val="bottom"/>
            <w:hideMark/>
          </w:tcPr>
          <w:p w14:paraId="18979417"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0A18F573" w14:textId="77777777" w:rsidR="00387142" w:rsidRPr="008B6A75" w:rsidRDefault="00387142" w:rsidP="00387142">
            <w:pPr>
              <w:rPr>
                <w:sz w:val="20"/>
                <w:szCs w:val="20"/>
              </w:rPr>
            </w:pPr>
            <w:r w:rsidRPr="008B6A75">
              <w:rPr>
                <w:sz w:val="20"/>
                <w:szCs w:val="20"/>
              </w:rPr>
              <w:t>Иные закупки товаров, работ и услуг для обеспечения государственных (муниципальных) нужд</w:t>
            </w:r>
          </w:p>
        </w:tc>
        <w:tc>
          <w:tcPr>
            <w:tcW w:w="1559" w:type="dxa"/>
            <w:tcBorders>
              <w:top w:val="nil"/>
              <w:left w:val="single" w:sz="4" w:space="0" w:color="auto"/>
              <w:bottom w:val="single" w:sz="4" w:space="0" w:color="auto"/>
              <w:right w:val="nil"/>
            </w:tcBorders>
            <w:shd w:val="clear" w:color="auto" w:fill="auto"/>
            <w:noWrap/>
            <w:vAlign w:val="center"/>
            <w:hideMark/>
          </w:tcPr>
          <w:p w14:paraId="7A8CEE01" w14:textId="77777777" w:rsidR="00387142" w:rsidRPr="008B6A75" w:rsidRDefault="00387142" w:rsidP="00387142">
            <w:pPr>
              <w:jc w:val="center"/>
              <w:rPr>
                <w:sz w:val="20"/>
                <w:szCs w:val="20"/>
              </w:rPr>
            </w:pPr>
            <w:r w:rsidRPr="008B6A75">
              <w:rPr>
                <w:sz w:val="20"/>
                <w:szCs w:val="20"/>
              </w:rPr>
              <w:t>99.0.00.05220</w:t>
            </w:r>
          </w:p>
        </w:tc>
        <w:tc>
          <w:tcPr>
            <w:tcW w:w="850" w:type="dxa"/>
            <w:tcBorders>
              <w:top w:val="nil"/>
              <w:left w:val="single" w:sz="4" w:space="0" w:color="auto"/>
              <w:bottom w:val="single" w:sz="4" w:space="0" w:color="auto"/>
              <w:right w:val="nil"/>
            </w:tcBorders>
            <w:shd w:val="clear" w:color="auto" w:fill="auto"/>
            <w:noWrap/>
            <w:vAlign w:val="center"/>
            <w:hideMark/>
          </w:tcPr>
          <w:p w14:paraId="0B93832B" w14:textId="77777777" w:rsidR="00387142" w:rsidRPr="008B6A75" w:rsidRDefault="00387142" w:rsidP="00387142">
            <w:pPr>
              <w:jc w:val="center"/>
              <w:rPr>
                <w:sz w:val="20"/>
                <w:szCs w:val="20"/>
              </w:rPr>
            </w:pPr>
            <w:r w:rsidRPr="008B6A75">
              <w:rPr>
                <w:sz w:val="20"/>
                <w:szCs w:val="20"/>
              </w:rPr>
              <w:t>240</w:t>
            </w:r>
          </w:p>
        </w:tc>
        <w:tc>
          <w:tcPr>
            <w:tcW w:w="567" w:type="dxa"/>
            <w:tcBorders>
              <w:top w:val="nil"/>
              <w:left w:val="single" w:sz="4" w:space="0" w:color="auto"/>
              <w:bottom w:val="single" w:sz="4" w:space="0" w:color="auto"/>
              <w:right w:val="nil"/>
            </w:tcBorders>
            <w:shd w:val="clear" w:color="auto" w:fill="auto"/>
            <w:noWrap/>
            <w:vAlign w:val="center"/>
            <w:hideMark/>
          </w:tcPr>
          <w:p w14:paraId="351BC431" w14:textId="77777777" w:rsidR="00387142" w:rsidRPr="008B6A75" w:rsidRDefault="00387142" w:rsidP="00387142">
            <w:pPr>
              <w:jc w:val="center"/>
              <w:rPr>
                <w:sz w:val="20"/>
                <w:szCs w:val="20"/>
              </w:rPr>
            </w:pPr>
            <w:r w:rsidRPr="008B6A75">
              <w:rPr>
                <w:sz w:val="20"/>
                <w:szCs w:val="20"/>
              </w:rPr>
              <w:t>05</w:t>
            </w:r>
          </w:p>
        </w:tc>
        <w:tc>
          <w:tcPr>
            <w:tcW w:w="567" w:type="dxa"/>
            <w:tcBorders>
              <w:top w:val="nil"/>
              <w:left w:val="single" w:sz="4" w:space="0" w:color="auto"/>
              <w:bottom w:val="single" w:sz="4" w:space="0" w:color="auto"/>
              <w:right w:val="nil"/>
            </w:tcBorders>
            <w:shd w:val="clear" w:color="auto" w:fill="auto"/>
            <w:noWrap/>
            <w:vAlign w:val="center"/>
            <w:hideMark/>
          </w:tcPr>
          <w:p w14:paraId="05424ECA" w14:textId="77777777" w:rsidR="00387142" w:rsidRPr="008B6A75" w:rsidRDefault="00387142" w:rsidP="00387142">
            <w:pPr>
              <w:jc w:val="center"/>
              <w:rPr>
                <w:sz w:val="20"/>
                <w:szCs w:val="20"/>
              </w:rPr>
            </w:pPr>
            <w:r w:rsidRPr="008B6A75">
              <w:rPr>
                <w:sz w:val="20"/>
                <w:szCs w:val="20"/>
              </w:rPr>
              <w:t>02</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BD55DB1" w14:textId="77777777" w:rsidR="00387142" w:rsidRPr="008B6A75" w:rsidRDefault="00387142" w:rsidP="00387142">
            <w:pPr>
              <w:jc w:val="right"/>
              <w:rPr>
                <w:sz w:val="20"/>
                <w:szCs w:val="20"/>
              </w:rPr>
            </w:pPr>
            <w:r w:rsidRPr="008B6A75">
              <w:rPr>
                <w:sz w:val="20"/>
                <w:szCs w:val="20"/>
              </w:rPr>
              <w:t>46 880,00</w:t>
            </w:r>
          </w:p>
        </w:tc>
        <w:tc>
          <w:tcPr>
            <w:tcW w:w="851" w:type="dxa"/>
            <w:tcBorders>
              <w:top w:val="nil"/>
              <w:left w:val="single" w:sz="4" w:space="0" w:color="auto"/>
              <w:bottom w:val="single" w:sz="4" w:space="0" w:color="auto"/>
              <w:right w:val="nil"/>
            </w:tcBorders>
            <w:shd w:val="clear" w:color="auto" w:fill="auto"/>
            <w:noWrap/>
            <w:vAlign w:val="center"/>
            <w:hideMark/>
          </w:tcPr>
          <w:p w14:paraId="237845FD" w14:textId="77777777" w:rsidR="00387142" w:rsidRPr="008B6A75" w:rsidRDefault="00387142" w:rsidP="00387142">
            <w:pPr>
              <w:jc w:val="right"/>
              <w:rPr>
                <w:sz w:val="20"/>
                <w:szCs w:val="20"/>
              </w:rPr>
            </w:pPr>
            <w:r w:rsidRPr="008B6A75">
              <w:rPr>
                <w:sz w:val="20"/>
                <w:szCs w:val="20"/>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5821C9F5" w14:textId="77777777" w:rsidR="00387142" w:rsidRPr="008B6A75" w:rsidRDefault="00387142" w:rsidP="00387142">
            <w:pPr>
              <w:jc w:val="right"/>
              <w:rPr>
                <w:sz w:val="20"/>
                <w:szCs w:val="20"/>
              </w:rPr>
            </w:pPr>
            <w:r w:rsidRPr="008B6A75">
              <w:rPr>
                <w:sz w:val="20"/>
                <w:szCs w:val="20"/>
              </w:rPr>
              <w:t>0,00</w:t>
            </w:r>
          </w:p>
        </w:tc>
      </w:tr>
      <w:tr w:rsidR="00387142" w:rsidRPr="008B6A75" w14:paraId="1CD6EFD9" w14:textId="77777777" w:rsidTr="00387142">
        <w:trPr>
          <w:trHeight w:val="870"/>
        </w:trPr>
        <w:tc>
          <w:tcPr>
            <w:tcW w:w="272" w:type="dxa"/>
            <w:tcBorders>
              <w:top w:val="nil"/>
              <w:left w:val="nil"/>
              <w:bottom w:val="nil"/>
              <w:right w:val="single" w:sz="4" w:space="0" w:color="auto"/>
            </w:tcBorders>
            <w:shd w:val="clear" w:color="auto" w:fill="auto"/>
            <w:noWrap/>
            <w:vAlign w:val="bottom"/>
            <w:hideMark/>
          </w:tcPr>
          <w:p w14:paraId="761AC75E"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7C5F4626" w14:textId="77777777" w:rsidR="00387142" w:rsidRPr="008B6A75" w:rsidRDefault="00387142" w:rsidP="00387142">
            <w:pPr>
              <w:rPr>
                <w:bCs/>
                <w:sz w:val="20"/>
                <w:szCs w:val="20"/>
              </w:rPr>
            </w:pPr>
            <w:r w:rsidRPr="008B6A75">
              <w:rPr>
                <w:bCs/>
                <w:sz w:val="20"/>
                <w:szCs w:val="20"/>
              </w:rPr>
              <w:t>Расходы на реализацию мероприятий по модернизации объектов теплоснабжения и сопутствующего холодного водоснабжения</w:t>
            </w:r>
          </w:p>
        </w:tc>
        <w:tc>
          <w:tcPr>
            <w:tcW w:w="1559" w:type="dxa"/>
            <w:tcBorders>
              <w:top w:val="nil"/>
              <w:left w:val="single" w:sz="4" w:space="0" w:color="auto"/>
              <w:bottom w:val="single" w:sz="4" w:space="0" w:color="auto"/>
              <w:right w:val="nil"/>
            </w:tcBorders>
            <w:shd w:val="clear" w:color="auto" w:fill="auto"/>
            <w:noWrap/>
            <w:vAlign w:val="center"/>
            <w:hideMark/>
          </w:tcPr>
          <w:p w14:paraId="6E131A4F" w14:textId="77777777" w:rsidR="00387142" w:rsidRPr="008B6A75" w:rsidRDefault="00387142" w:rsidP="00387142">
            <w:pPr>
              <w:jc w:val="center"/>
              <w:rPr>
                <w:bCs/>
                <w:sz w:val="20"/>
                <w:szCs w:val="20"/>
              </w:rPr>
            </w:pPr>
            <w:r w:rsidRPr="008B6A75">
              <w:rPr>
                <w:bCs/>
                <w:sz w:val="20"/>
                <w:szCs w:val="20"/>
              </w:rPr>
              <w:t>99.0.00.05240</w:t>
            </w:r>
          </w:p>
        </w:tc>
        <w:tc>
          <w:tcPr>
            <w:tcW w:w="850" w:type="dxa"/>
            <w:tcBorders>
              <w:top w:val="nil"/>
              <w:left w:val="single" w:sz="4" w:space="0" w:color="auto"/>
              <w:bottom w:val="single" w:sz="4" w:space="0" w:color="auto"/>
              <w:right w:val="nil"/>
            </w:tcBorders>
            <w:shd w:val="clear" w:color="auto" w:fill="auto"/>
            <w:noWrap/>
            <w:vAlign w:val="center"/>
            <w:hideMark/>
          </w:tcPr>
          <w:p w14:paraId="6DE5484D" w14:textId="77777777" w:rsidR="00387142" w:rsidRPr="008B6A75" w:rsidRDefault="00387142" w:rsidP="00387142">
            <w:pPr>
              <w:jc w:val="center"/>
              <w:rPr>
                <w:bCs/>
                <w:sz w:val="20"/>
                <w:szCs w:val="20"/>
              </w:rPr>
            </w:pPr>
            <w:r w:rsidRPr="008B6A75">
              <w:rPr>
                <w:bCs/>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101398B4" w14:textId="77777777" w:rsidR="00387142" w:rsidRPr="008B6A75" w:rsidRDefault="00387142" w:rsidP="00387142">
            <w:pPr>
              <w:jc w:val="center"/>
              <w:rPr>
                <w:bCs/>
                <w:sz w:val="20"/>
                <w:szCs w:val="20"/>
              </w:rPr>
            </w:pPr>
            <w:r w:rsidRPr="008B6A75">
              <w:rPr>
                <w:bCs/>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5AD5E610" w14:textId="77777777" w:rsidR="00387142" w:rsidRPr="008B6A75" w:rsidRDefault="00387142" w:rsidP="00387142">
            <w:pPr>
              <w:jc w:val="center"/>
              <w:rPr>
                <w:bCs/>
                <w:sz w:val="20"/>
                <w:szCs w:val="20"/>
              </w:rPr>
            </w:pPr>
            <w:r w:rsidRPr="008B6A75">
              <w:rPr>
                <w:bCs/>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AE7E840" w14:textId="77777777" w:rsidR="00387142" w:rsidRPr="008B6A75" w:rsidRDefault="00387142" w:rsidP="00387142">
            <w:pPr>
              <w:jc w:val="right"/>
              <w:rPr>
                <w:bCs/>
                <w:sz w:val="20"/>
                <w:szCs w:val="20"/>
              </w:rPr>
            </w:pPr>
            <w:r w:rsidRPr="008B6A75">
              <w:rPr>
                <w:bCs/>
                <w:sz w:val="20"/>
                <w:szCs w:val="20"/>
              </w:rPr>
              <w:t>993 234,41</w:t>
            </w:r>
          </w:p>
        </w:tc>
        <w:tc>
          <w:tcPr>
            <w:tcW w:w="851" w:type="dxa"/>
            <w:tcBorders>
              <w:top w:val="nil"/>
              <w:left w:val="single" w:sz="4" w:space="0" w:color="auto"/>
              <w:bottom w:val="single" w:sz="4" w:space="0" w:color="auto"/>
              <w:right w:val="nil"/>
            </w:tcBorders>
            <w:shd w:val="clear" w:color="auto" w:fill="auto"/>
            <w:noWrap/>
            <w:vAlign w:val="center"/>
            <w:hideMark/>
          </w:tcPr>
          <w:p w14:paraId="0DC5C36F" w14:textId="77777777" w:rsidR="00387142" w:rsidRPr="008B6A75" w:rsidRDefault="00387142" w:rsidP="00387142">
            <w:pPr>
              <w:jc w:val="right"/>
              <w:rPr>
                <w:bCs/>
                <w:sz w:val="20"/>
                <w:szCs w:val="20"/>
              </w:rPr>
            </w:pPr>
            <w:r w:rsidRPr="008B6A75">
              <w:rPr>
                <w:bCs/>
                <w:sz w:val="20"/>
                <w:szCs w:val="20"/>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76E7272D" w14:textId="77777777" w:rsidR="00387142" w:rsidRPr="008B6A75" w:rsidRDefault="00387142" w:rsidP="00387142">
            <w:pPr>
              <w:jc w:val="right"/>
              <w:rPr>
                <w:bCs/>
                <w:sz w:val="20"/>
                <w:szCs w:val="20"/>
              </w:rPr>
            </w:pPr>
            <w:r w:rsidRPr="008B6A75">
              <w:rPr>
                <w:bCs/>
                <w:sz w:val="20"/>
                <w:szCs w:val="20"/>
              </w:rPr>
              <w:t>0,00</w:t>
            </w:r>
          </w:p>
        </w:tc>
      </w:tr>
      <w:tr w:rsidR="00387142" w:rsidRPr="008B6A75" w14:paraId="3D1C1715" w14:textId="77777777" w:rsidTr="00387142">
        <w:trPr>
          <w:trHeight w:val="870"/>
        </w:trPr>
        <w:tc>
          <w:tcPr>
            <w:tcW w:w="272" w:type="dxa"/>
            <w:tcBorders>
              <w:top w:val="nil"/>
              <w:left w:val="nil"/>
              <w:bottom w:val="nil"/>
              <w:right w:val="single" w:sz="4" w:space="0" w:color="auto"/>
            </w:tcBorders>
            <w:shd w:val="clear" w:color="auto" w:fill="auto"/>
            <w:noWrap/>
            <w:vAlign w:val="bottom"/>
            <w:hideMark/>
          </w:tcPr>
          <w:p w14:paraId="7CBC0D1A"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554FA444" w14:textId="77777777" w:rsidR="00387142" w:rsidRPr="008B6A75" w:rsidRDefault="00387142" w:rsidP="00387142">
            <w:pPr>
              <w:rPr>
                <w:sz w:val="20"/>
                <w:szCs w:val="20"/>
              </w:rPr>
            </w:pPr>
            <w:r w:rsidRPr="008B6A75">
              <w:rPr>
                <w:sz w:val="20"/>
                <w:szCs w:val="20"/>
              </w:rPr>
              <w:t>Капитальные вложения в объекты государственной (муниципальной) собственности</w:t>
            </w:r>
          </w:p>
        </w:tc>
        <w:tc>
          <w:tcPr>
            <w:tcW w:w="1559" w:type="dxa"/>
            <w:tcBorders>
              <w:top w:val="nil"/>
              <w:left w:val="single" w:sz="4" w:space="0" w:color="auto"/>
              <w:bottom w:val="single" w:sz="4" w:space="0" w:color="auto"/>
              <w:right w:val="nil"/>
            </w:tcBorders>
            <w:shd w:val="clear" w:color="auto" w:fill="auto"/>
            <w:noWrap/>
            <w:vAlign w:val="center"/>
            <w:hideMark/>
          </w:tcPr>
          <w:p w14:paraId="6B5DAE6D" w14:textId="77777777" w:rsidR="00387142" w:rsidRPr="008B6A75" w:rsidRDefault="00387142" w:rsidP="00387142">
            <w:pPr>
              <w:jc w:val="center"/>
              <w:rPr>
                <w:sz w:val="20"/>
                <w:szCs w:val="20"/>
              </w:rPr>
            </w:pPr>
            <w:r w:rsidRPr="008B6A75">
              <w:rPr>
                <w:sz w:val="20"/>
                <w:szCs w:val="20"/>
              </w:rPr>
              <w:t>99.0.00.05240</w:t>
            </w:r>
          </w:p>
        </w:tc>
        <w:tc>
          <w:tcPr>
            <w:tcW w:w="850" w:type="dxa"/>
            <w:tcBorders>
              <w:top w:val="nil"/>
              <w:left w:val="single" w:sz="4" w:space="0" w:color="auto"/>
              <w:bottom w:val="single" w:sz="4" w:space="0" w:color="auto"/>
              <w:right w:val="nil"/>
            </w:tcBorders>
            <w:shd w:val="clear" w:color="auto" w:fill="auto"/>
            <w:noWrap/>
            <w:vAlign w:val="center"/>
            <w:hideMark/>
          </w:tcPr>
          <w:p w14:paraId="03F970C1" w14:textId="77777777" w:rsidR="00387142" w:rsidRPr="008B6A75" w:rsidRDefault="00387142" w:rsidP="00387142">
            <w:pPr>
              <w:jc w:val="center"/>
              <w:rPr>
                <w:sz w:val="20"/>
                <w:szCs w:val="20"/>
              </w:rPr>
            </w:pPr>
            <w:r w:rsidRPr="008B6A75">
              <w:rPr>
                <w:sz w:val="20"/>
                <w:szCs w:val="20"/>
              </w:rPr>
              <w:t>400</w:t>
            </w:r>
          </w:p>
        </w:tc>
        <w:tc>
          <w:tcPr>
            <w:tcW w:w="567" w:type="dxa"/>
            <w:tcBorders>
              <w:top w:val="nil"/>
              <w:left w:val="single" w:sz="4" w:space="0" w:color="auto"/>
              <w:bottom w:val="single" w:sz="4" w:space="0" w:color="auto"/>
              <w:right w:val="nil"/>
            </w:tcBorders>
            <w:shd w:val="clear" w:color="auto" w:fill="auto"/>
            <w:noWrap/>
            <w:vAlign w:val="center"/>
            <w:hideMark/>
          </w:tcPr>
          <w:p w14:paraId="136757FC" w14:textId="77777777" w:rsidR="00387142" w:rsidRPr="008B6A75" w:rsidRDefault="00387142" w:rsidP="00387142">
            <w:pPr>
              <w:jc w:val="center"/>
              <w:rPr>
                <w:sz w:val="20"/>
                <w:szCs w:val="20"/>
              </w:rPr>
            </w:pPr>
            <w:r w:rsidRPr="008B6A75">
              <w:rPr>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7EA7170A" w14:textId="77777777" w:rsidR="00387142" w:rsidRPr="008B6A75" w:rsidRDefault="00387142" w:rsidP="00387142">
            <w:pPr>
              <w:jc w:val="center"/>
              <w:rPr>
                <w:sz w:val="20"/>
                <w:szCs w:val="20"/>
              </w:rPr>
            </w:pPr>
            <w:r w:rsidRPr="008B6A75">
              <w:rPr>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B2BD92F" w14:textId="77777777" w:rsidR="00387142" w:rsidRPr="008B6A75" w:rsidRDefault="00387142" w:rsidP="00387142">
            <w:pPr>
              <w:jc w:val="right"/>
              <w:rPr>
                <w:sz w:val="20"/>
                <w:szCs w:val="20"/>
              </w:rPr>
            </w:pPr>
            <w:r w:rsidRPr="008B6A75">
              <w:rPr>
                <w:sz w:val="20"/>
                <w:szCs w:val="20"/>
              </w:rPr>
              <w:t>993 234,41</w:t>
            </w:r>
          </w:p>
        </w:tc>
        <w:tc>
          <w:tcPr>
            <w:tcW w:w="851" w:type="dxa"/>
            <w:tcBorders>
              <w:top w:val="nil"/>
              <w:left w:val="single" w:sz="4" w:space="0" w:color="auto"/>
              <w:bottom w:val="single" w:sz="4" w:space="0" w:color="auto"/>
              <w:right w:val="nil"/>
            </w:tcBorders>
            <w:shd w:val="clear" w:color="auto" w:fill="auto"/>
            <w:noWrap/>
            <w:vAlign w:val="center"/>
            <w:hideMark/>
          </w:tcPr>
          <w:p w14:paraId="0C37D856" w14:textId="77777777" w:rsidR="00387142" w:rsidRPr="008B6A75" w:rsidRDefault="00387142" w:rsidP="00387142">
            <w:pPr>
              <w:jc w:val="right"/>
              <w:rPr>
                <w:sz w:val="20"/>
                <w:szCs w:val="20"/>
              </w:rPr>
            </w:pPr>
            <w:r w:rsidRPr="008B6A75">
              <w:rPr>
                <w:sz w:val="20"/>
                <w:szCs w:val="20"/>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5573233F" w14:textId="77777777" w:rsidR="00387142" w:rsidRPr="008B6A75" w:rsidRDefault="00387142" w:rsidP="00387142">
            <w:pPr>
              <w:jc w:val="right"/>
              <w:rPr>
                <w:sz w:val="20"/>
                <w:szCs w:val="20"/>
              </w:rPr>
            </w:pPr>
            <w:r w:rsidRPr="008B6A75">
              <w:rPr>
                <w:sz w:val="20"/>
                <w:szCs w:val="20"/>
              </w:rPr>
              <w:t>0,00</w:t>
            </w:r>
          </w:p>
        </w:tc>
      </w:tr>
      <w:tr w:rsidR="00387142" w:rsidRPr="008B6A75" w14:paraId="397CFEB9" w14:textId="77777777" w:rsidTr="00387142">
        <w:trPr>
          <w:trHeight w:val="300"/>
        </w:trPr>
        <w:tc>
          <w:tcPr>
            <w:tcW w:w="272" w:type="dxa"/>
            <w:tcBorders>
              <w:top w:val="nil"/>
              <w:left w:val="nil"/>
              <w:bottom w:val="nil"/>
              <w:right w:val="single" w:sz="4" w:space="0" w:color="auto"/>
            </w:tcBorders>
            <w:shd w:val="clear" w:color="auto" w:fill="auto"/>
            <w:noWrap/>
            <w:vAlign w:val="bottom"/>
            <w:hideMark/>
          </w:tcPr>
          <w:p w14:paraId="79AE4962"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2E421CC1" w14:textId="77777777" w:rsidR="00387142" w:rsidRPr="008B6A75" w:rsidRDefault="00387142" w:rsidP="00387142">
            <w:pPr>
              <w:rPr>
                <w:sz w:val="20"/>
                <w:szCs w:val="20"/>
              </w:rPr>
            </w:pPr>
            <w:r w:rsidRPr="008B6A75">
              <w:rPr>
                <w:sz w:val="20"/>
                <w:szCs w:val="20"/>
              </w:rPr>
              <w:t>Бюджетные инвестиции</w:t>
            </w:r>
          </w:p>
        </w:tc>
        <w:tc>
          <w:tcPr>
            <w:tcW w:w="1559" w:type="dxa"/>
            <w:tcBorders>
              <w:top w:val="nil"/>
              <w:left w:val="single" w:sz="4" w:space="0" w:color="auto"/>
              <w:bottom w:val="single" w:sz="4" w:space="0" w:color="auto"/>
              <w:right w:val="nil"/>
            </w:tcBorders>
            <w:shd w:val="clear" w:color="auto" w:fill="auto"/>
            <w:noWrap/>
            <w:vAlign w:val="center"/>
            <w:hideMark/>
          </w:tcPr>
          <w:p w14:paraId="3955DE2C" w14:textId="77777777" w:rsidR="00387142" w:rsidRPr="008B6A75" w:rsidRDefault="00387142" w:rsidP="00387142">
            <w:pPr>
              <w:jc w:val="center"/>
              <w:rPr>
                <w:sz w:val="20"/>
                <w:szCs w:val="20"/>
              </w:rPr>
            </w:pPr>
            <w:r w:rsidRPr="008B6A75">
              <w:rPr>
                <w:sz w:val="20"/>
                <w:szCs w:val="20"/>
              </w:rPr>
              <w:t>99.0.00.05240</w:t>
            </w:r>
          </w:p>
        </w:tc>
        <w:tc>
          <w:tcPr>
            <w:tcW w:w="850" w:type="dxa"/>
            <w:tcBorders>
              <w:top w:val="nil"/>
              <w:left w:val="single" w:sz="4" w:space="0" w:color="auto"/>
              <w:bottom w:val="single" w:sz="4" w:space="0" w:color="auto"/>
              <w:right w:val="nil"/>
            </w:tcBorders>
            <w:shd w:val="clear" w:color="auto" w:fill="auto"/>
            <w:noWrap/>
            <w:vAlign w:val="center"/>
            <w:hideMark/>
          </w:tcPr>
          <w:p w14:paraId="2E391175" w14:textId="77777777" w:rsidR="00387142" w:rsidRPr="008B6A75" w:rsidRDefault="00387142" w:rsidP="00387142">
            <w:pPr>
              <w:jc w:val="center"/>
              <w:rPr>
                <w:sz w:val="20"/>
                <w:szCs w:val="20"/>
              </w:rPr>
            </w:pPr>
            <w:r w:rsidRPr="008B6A75">
              <w:rPr>
                <w:sz w:val="20"/>
                <w:szCs w:val="20"/>
              </w:rPr>
              <w:t>410</w:t>
            </w:r>
          </w:p>
        </w:tc>
        <w:tc>
          <w:tcPr>
            <w:tcW w:w="567" w:type="dxa"/>
            <w:tcBorders>
              <w:top w:val="nil"/>
              <w:left w:val="single" w:sz="4" w:space="0" w:color="auto"/>
              <w:bottom w:val="single" w:sz="4" w:space="0" w:color="auto"/>
              <w:right w:val="nil"/>
            </w:tcBorders>
            <w:shd w:val="clear" w:color="auto" w:fill="auto"/>
            <w:noWrap/>
            <w:vAlign w:val="center"/>
            <w:hideMark/>
          </w:tcPr>
          <w:p w14:paraId="5E5F7651" w14:textId="77777777" w:rsidR="00387142" w:rsidRPr="008B6A75" w:rsidRDefault="00387142" w:rsidP="00387142">
            <w:pPr>
              <w:jc w:val="center"/>
              <w:rPr>
                <w:sz w:val="20"/>
                <w:szCs w:val="20"/>
              </w:rPr>
            </w:pPr>
            <w:r w:rsidRPr="008B6A75">
              <w:rPr>
                <w:sz w:val="20"/>
                <w:szCs w:val="20"/>
              </w:rPr>
              <w:t>05</w:t>
            </w:r>
          </w:p>
        </w:tc>
        <w:tc>
          <w:tcPr>
            <w:tcW w:w="567" w:type="dxa"/>
            <w:tcBorders>
              <w:top w:val="nil"/>
              <w:left w:val="single" w:sz="4" w:space="0" w:color="auto"/>
              <w:bottom w:val="single" w:sz="4" w:space="0" w:color="auto"/>
              <w:right w:val="nil"/>
            </w:tcBorders>
            <w:shd w:val="clear" w:color="auto" w:fill="auto"/>
            <w:noWrap/>
            <w:vAlign w:val="center"/>
            <w:hideMark/>
          </w:tcPr>
          <w:p w14:paraId="0F4ADFD7" w14:textId="77777777" w:rsidR="00387142" w:rsidRPr="008B6A75" w:rsidRDefault="00387142" w:rsidP="00387142">
            <w:pPr>
              <w:jc w:val="center"/>
              <w:rPr>
                <w:sz w:val="20"/>
                <w:szCs w:val="20"/>
              </w:rPr>
            </w:pPr>
            <w:r w:rsidRPr="008B6A75">
              <w:rPr>
                <w:sz w:val="20"/>
                <w:szCs w:val="20"/>
              </w:rPr>
              <w:t>02</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679E97C" w14:textId="77777777" w:rsidR="00387142" w:rsidRPr="008B6A75" w:rsidRDefault="00387142" w:rsidP="00387142">
            <w:pPr>
              <w:jc w:val="right"/>
              <w:rPr>
                <w:sz w:val="20"/>
                <w:szCs w:val="20"/>
              </w:rPr>
            </w:pPr>
            <w:r w:rsidRPr="008B6A75">
              <w:rPr>
                <w:sz w:val="20"/>
                <w:szCs w:val="20"/>
              </w:rPr>
              <w:t>993 234,41</w:t>
            </w:r>
          </w:p>
        </w:tc>
        <w:tc>
          <w:tcPr>
            <w:tcW w:w="851" w:type="dxa"/>
            <w:tcBorders>
              <w:top w:val="nil"/>
              <w:left w:val="single" w:sz="4" w:space="0" w:color="auto"/>
              <w:bottom w:val="single" w:sz="4" w:space="0" w:color="auto"/>
              <w:right w:val="nil"/>
            </w:tcBorders>
            <w:shd w:val="clear" w:color="auto" w:fill="auto"/>
            <w:noWrap/>
            <w:vAlign w:val="center"/>
            <w:hideMark/>
          </w:tcPr>
          <w:p w14:paraId="4DFF2498" w14:textId="77777777" w:rsidR="00387142" w:rsidRPr="008B6A75" w:rsidRDefault="00387142" w:rsidP="00387142">
            <w:pPr>
              <w:jc w:val="right"/>
              <w:rPr>
                <w:sz w:val="20"/>
                <w:szCs w:val="20"/>
              </w:rPr>
            </w:pPr>
            <w:r w:rsidRPr="008B6A75">
              <w:rPr>
                <w:sz w:val="20"/>
                <w:szCs w:val="20"/>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502BC04C" w14:textId="77777777" w:rsidR="00387142" w:rsidRPr="008B6A75" w:rsidRDefault="00387142" w:rsidP="00387142">
            <w:pPr>
              <w:jc w:val="right"/>
              <w:rPr>
                <w:sz w:val="20"/>
                <w:szCs w:val="20"/>
              </w:rPr>
            </w:pPr>
            <w:r w:rsidRPr="008B6A75">
              <w:rPr>
                <w:sz w:val="20"/>
                <w:szCs w:val="20"/>
              </w:rPr>
              <w:t>0,00</w:t>
            </w:r>
          </w:p>
        </w:tc>
      </w:tr>
      <w:tr w:rsidR="00387142" w:rsidRPr="008B6A75" w14:paraId="67CD287A" w14:textId="77777777" w:rsidTr="00387142">
        <w:trPr>
          <w:trHeight w:val="870"/>
        </w:trPr>
        <w:tc>
          <w:tcPr>
            <w:tcW w:w="272" w:type="dxa"/>
            <w:tcBorders>
              <w:top w:val="nil"/>
              <w:left w:val="nil"/>
              <w:bottom w:val="nil"/>
              <w:right w:val="single" w:sz="4" w:space="0" w:color="auto"/>
            </w:tcBorders>
            <w:shd w:val="clear" w:color="auto" w:fill="auto"/>
            <w:noWrap/>
            <w:vAlign w:val="bottom"/>
            <w:hideMark/>
          </w:tcPr>
          <w:p w14:paraId="0B44D441"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6A8F7B4E" w14:textId="77777777" w:rsidR="00387142" w:rsidRPr="008B6A75" w:rsidRDefault="00387142" w:rsidP="00387142">
            <w:pPr>
              <w:rPr>
                <w:bCs/>
                <w:sz w:val="20"/>
                <w:szCs w:val="20"/>
              </w:rPr>
            </w:pPr>
            <w:r w:rsidRPr="008B6A75">
              <w:rPr>
                <w:bCs/>
                <w:sz w:val="20"/>
                <w:szCs w:val="20"/>
              </w:rPr>
              <w:t>Расходы на обеспечение деятельности (оказание услуг) начальных, неполных средних и средних школ, школ-детских садов</w:t>
            </w:r>
          </w:p>
        </w:tc>
        <w:tc>
          <w:tcPr>
            <w:tcW w:w="1559" w:type="dxa"/>
            <w:tcBorders>
              <w:top w:val="nil"/>
              <w:left w:val="single" w:sz="4" w:space="0" w:color="auto"/>
              <w:bottom w:val="single" w:sz="4" w:space="0" w:color="auto"/>
              <w:right w:val="nil"/>
            </w:tcBorders>
            <w:shd w:val="clear" w:color="auto" w:fill="auto"/>
            <w:noWrap/>
            <w:vAlign w:val="center"/>
            <w:hideMark/>
          </w:tcPr>
          <w:p w14:paraId="1D7A5A4C" w14:textId="77777777" w:rsidR="00387142" w:rsidRPr="008B6A75" w:rsidRDefault="00387142" w:rsidP="00387142">
            <w:pPr>
              <w:jc w:val="center"/>
              <w:rPr>
                <w:bCs/>
                <w:sz w:val="20"/>
                <w:szCs w:val="20"/>
              </w:rPr>
            </w:pPr>
            <w:r w:rsidRPr="008B6A75">
              <w:rPr>
                <w:bCs/>
                <w:sz w:val="20"/>
                <w:szCs w:val="20"/>
              </w:rPr>
              <w:t>99.0.00.07290</w:t>
            </w:r>
          </w:p>
        </w:tc>
        <w:tc>
          <w:tcPr>
            <w:tcW w:w="850" w:type="dxa"/>
            <w:tcBorders>
              <w:top w:val="nil"/>
              <w:left w:val="single" w:sz="4" w:space="0" w:color="auto"/>
              <w:bottom w:val="single" w:sz="4" w:space="0" w:color="auto"/>
              <w:right w:val="nil"/>
            </w:tcBorders>
            <w:shd w:val="clear" w:color="auto" w:fill="auto"/>
            <w:noWrap/>
            <w:vAlign w:val="center"/>
            <w:hideMark/>
          </w:tcPr>
          <w:p w14:paraId="79E6CBDB" w14:textId="77777777" w:rsidR="00387142" w:rsidRPr="008B6A75" w:rsidRDefault="00387142" w:rsidP="00387142">
            <w:pPr>
              <w:jc w:val="center"/>
              <w:rPr>
                <w:bCs/>
                <w:sz w:val="20"/>
                <w:szCs w:val="20"/>
              </w:rPr>
            </w:pPr>
            <w:r w:rsidRPr="008B6A75">
              <w:rPr>
                <w:bCs/>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26277DE2" w14:textId="77777777" w:rsidR="00387142" w:rsidRPr="008B6A75" w:rsidRDefault="00387142" w:rsidP="00387142">
            <w:pPr>
              <w:jc w:val="center"/>
              <w:rPr>
                <w:bCs/>
                <w:sz w:val="20"/>
                <w:szCs w:val="20"/>
              </w:rPr>
            </w:pPr>
            <w:r w:rsidRPr="008B6A75">
              <w:rPr>
                <w:bCs/>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5414FB2D" w14:textId="77777777" w:rsidR="00387142" w:rsidRPr="008B6A75" w:rsidRDefault="00387142" w:rsidP="00387142">
            <w:pPr>
              <w:jc w:val="center"/>
              <w:rPr>
                <w:bCs/>
                <w:sz w:val="20"/>
                <w:szCs w:val="20"/>
              </w:rPr>
            </w:pPr>
            <w:r w:rsidRPr="008B6A75">
              <w:rPr>
                <w:bCs/>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3F4D067" w14:textId="77777777" w:rsidR="00387142" w:rsidRPr="008B6A75" w:rsidRDefault="00387142" w:rsidP="00387142">
            <w:pPr>
              <w:jc w:val="right"/>
              <w:rPr>
                <w:bCs/>
                <w:sz w:val="20"/>
                <w:szCs w:val="20"/>
              </w:rPr>
            </w:pPr>
            <w:r w:rsidRPr="008B6A75">
              <w:rPr>
                <w:bCs/>
                <w:sz w:val="20"/>
                <w:szCs w:val="20"/>
              </w:rPr>
              <w:t>78 108,78</w:t>
            </w:r>
          </w:p>
        </w:tc>
        <w:tc>
          <w:tcPr>
            <w:tcW w:w="851" w:type="dxa"/>
            <w:tcBorders>
              <w:top w:val="nil"/>
              <w:left w:val="single" w:sz="4" w:space="0" w:color="auto"/>
              <w:bottom w:val="single" w:sz="4" w:space="0" w:color="auto"/>
              <w:right w:val="nil"/>
            </w:tcBorders>
            <w:shd w:val="clear" w:color="auto" w:fill="auto"/>
            <w:noWrap/>
            <w:vAlign w:val="center"/>
            <w:hideMark/>
          </w:tcPr>
          <w:p w14:paraId="21EBDE34" w14:textId="77777777" w:rsidR="00387142" w:rsidRPr="008B6A75" w:rsidRDefault="00387142" w:rsidP="00387142">
            <w:pPr>
              <w:jc w:val="right"/>
              <w:rPr>
                <w:bCs/>
                <w:sz w:val="20"/>
                <w:szCs w:val="20"/>
              </w:rPr>
            </w:pPr>
            <w:r w:rsidRPr="008B6A75">
              <w:rPr>
                <w:bCs/>
                <w:sz w:val="20"/>
                <w:szCs w:val="20"/>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70B8421C" w14:textId="77777777" w:rsidR="00387142" w:rsidRPr="008B6A75" w:rsidRDefault="00387142" w:rsidP="00387142">
            <w:pPr>
              <w:jc w:val="right"/>
              <w:rPr>
                <w:bCs/>
                <w:sz w:val="20"/>
                <w:szCs w:val="20"/>
              </w:rPr>
            </w:pPr>
            <w:r w:rsidRPr="008B6A75">
              <w:rPr>
                <w:bCs/>
                <w:sz w:val="20"/>
                <w:szCs w:val="20"/>
              </w:rPr>
              <w:t>0,00</w:t>
            </w:r>
          </w:p>
        </w:tc>
      </w:tr>
      <w:tr w:rsidR="00387142" w:rsidRPr="008B6A75" w14:paraId="5DF5B683" w14:textId="77777777" w:rsidTr="00387142">
        <w:trPr>
          <w:trHeight w:val="585"/>
        </w:trPr>
        <w:tc>
          <w:tcPr>
            <w:tcW w:w="272" w:type="dxa"/>
            <w:tcBorders>
              <w:top w:val="nil"/>
              <w:left w:val="nil"/>
              <w:bottom w:val="nil"/>
              <w:right w:val="single" w:sz="4" w:space="0" w:color="auto"/>
            </w:tcBorders>
            <w:shd w:val="clear" w:color="auto" w:fill="auto"/>
            <w:noWrap/>
            <w:vAlign w:val="bottom"/>
            <w:hideMark/>
          </w:tcPr>
          <w:p w14:paraId="4496B759"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6504A1CE" w14:textId="77777777" w:rsidR="00387142" w:rsidRPr="008B6A75" w:rsidRDefault="00387142" w:rsidP="00387142">
            <w:pPr>
              <w:rPr>
                <w:sz w:val="20"/>
                <w:szCs w:val="20"/>
              </w:rPr>
            </w:pPr>
            <w:r w:rsidRPr="008B6A75">
              <w:rPr>
                <w:sz w:val="20"/>
                <w:szCs w:val="20"/>
              </w:rPr>
              <w:t>Закупка товаров, работ и услуг для обеспечения государственных (муниципальных) нужд</w:t>
            </w:r>
          </w:p>
        </w:tc>
        <w:tc>
          <w:tcPr>
            <w:tcW w:w="1559" w:type="dxa"/>
            <w:tcBorders>
              <w:top w:val="nil"/>
              <w:left w:val="single" w:sz="4" w:space="0" w:color="auto"/>
              <w:bottom w:val="single" w:sz="4" w:space="0" w:color="auto"/>
              <w:right w:val="nil"/>
            </w:tcBorders>
            <w:shd w:val="clear" w:color="auto" w:fill="auto"/>
            <w:noWrap/>
            <w:vAlign w:val="center"/>
            <w:hideMark/>
          </w:tcPr>
          <w:p w14:paraId="7DC038D2" w14:textId="77777777" w:rsidR="00387142" w:rsidRPr="008B6A75" w:rsidRDefault="00387142" w:rsidP="00387142">
            <w:pPr>
              <w:jc w:val="center"/>
              <w:rPr>
                <w:sz w:val="20"/>
                <w:szCs w:val="20"/>
              </w:rPr>
            </w:pPr>
            <w:r w:rsidRPr="008B6A75">
              <w:rPr>
                <w:sz w:val="20"/>
                <w:szCs w:val="20"/>
              </w:rPr>
              <w:t>99.0.00.07290</w:t>
            </w:r>
          </w:p>
        </w:tc>
        <w:tc>
          <w:tcPr>
            <w:tcW w:w="850" w:type="dxa"/>
            <w:tcBorders>
              <w:top w:val="nil"/>
              <w:left w:val="single" w:sz="4" w:space="0" w:color="auto"/>
              <w:bottom w:val="single" w:sz="4" w:space="0" w:color="auto"/>
              <w:right w:val="nil"/>
            </w:tcBorders>
            <w:shd w:val="clear" w:color="auto" w:fill="auto"/>
            <w:noWrap/>
            <w:vAlign w:val="center"/>
            <w:hideMark/>
          </w:tcPr>
          <w:p w14:paraId="5250BA16" w14:textId="77777777" w:rsidR="00387142" w:rsidRPr="008B6A75" w:rsidRDefault="00387142" w:rsidP="00387142">
            <w:pPr>
              <w:jc w:val="center"/>
              <w:rPr>
                <w:sz w:val="20"/>
                <w:szCs w:val="20"/>
              </w:rPr>
            </w:pPr>
            <w:r w:rsidRPr="008B6A75">
              <w:rPr>
                <w:sz w:val="20"/>
                <w:szCs w:val="20"/>
              </w:rPr>
              <w:t>200</w:t>
            </w:r>
          </w:p>
        </w:tc>
        <w:tc>
          <w:tcPr>
            <w:tcW w:w="567" w:type="dxa"/>
            <w:tcBorders>
              <w:top w:val="nil"/>
              <w:left w:val="single" w:sz="4" w:space="0" w:color="auto"/>
              <w:bottom w:val="single" w:sz="4" w:space="0" w:color="auto"/>
              <w:right w:val="nil"/>
            </w:tcBorders>
            <w:shd w:val="clear" w:color="auto" w:fill="auto"/>
            <w:noWrap/>
            <w:vAlign w:val="center"/>
            <w:hideMark/>
          </w:tcPr>
          <w:p w14:paraId="7DFFCA1C" w14:textId="77777777" w:rsidR="00387142" w:rsidRPr="008B6A75" w:rsidRDefault="00387142" w:rsidP="00387142">
            <w:pPr>
              <w:jc w:val="center"/>
              <w:rPr>
                <w:sz w:val="20"/>
                <w:szCs w:val="20"/>
              </w:rPr>
            </w:pPr>
            <w:r w:rsidRPr="008B6A75">
              <w:rPr>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58F9987E" w14:textId="77777777" w:rsidR="00387142" w:rsidRPr="008B6A75" w:rsidRDefault="00387142" w:rsidP="00387142">
            <w:pPr>
              <w:jc w:val="center"/>
              <w:rPr>
                <w:sz w:val="20"/>
                <w:szCs w:val="20"/>
              </w:rPr>
            </w:pPr>
            <w:r w:rsidRPr="008B6A75">
              <w:rPr>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A5C1195" w14:textId="77777777" w:rsidR="00387142" w:rsidRPr="008B6A75" w:rsidRDefault="00387142" w:rsidP="00387142">
            <w:pPr>
              <w:jc w:val="right"/>
              <w:rPr>
                <w:sz w:val="20"/>
                <w:szCs w:val="20"/>
              </w:rPr>
            </w:pPr>
            <w:r w:rsidRPr="008B6A75">
              <w:rPr>
                <w:sz w:val="20"/>
                <w:szCs w:val="20"/>
              </w:rPr>
              <w:t>78 108,78</w:t>
            </w:r>
          </w:p>
        </w:tc>
        <w:tc>
          <w:tcPr>
            <w:tcW w:w="851" w:type="dxa"/>
            <w:tcBorders>
              <w:top w:val="nil"/>
              <w:left w:val="single" w:sz="4" w:space="0" w:color="auto"/>
              <w:bottom w:val="single" w:sz="4" w:space="0" w:color="auto"/>
              <w:right w:val="nil"/>
            </w:tcBorders>
            <w:shd w:val="clear" w:color="auto" w:fill="auto"/>
            <w:noWrap/>
            <w:vAlign w:val="center"/>
            <w:hideMark/>
          </w:tcPr>
          <w:p w14:paraId="391B6BFA" w14:textId="77777777" w:rsidR="00387142" w:rsidRPr="008B6A75" w:rsidRDefault="00387142" w:rsidP="00387142">
            <w:pPr>
              <w:jc w:val="right"/>
              <w:rPr>
                <w:sz w:val="20"/>
                <w:szCs w:val="20"/>
              </w:rPr>
            </w:pPr>
            <w:r w:rsidRPr="008B6A75">
              <w:rPr>
                <w:sz w:val="20"/>
                <w:szCs w:val="20"/>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6C0A308E" w14:textId="77777777" w:rsidR="00387142" w:rsidRPr="008B6A75" w:rsidRDefault="00387142" w:rsidP="00387142">
            <w:pPr>
              <w:jc w:val="right"/>
              <w:rPr>
                <w:sz w:val="20"/>
                <w:szCs w:val="20"/>
              </w:rPr>
            </w:pPr>
            <w:r w:rsidRPr="008B6A75">
              <w:rPr>
                <w:sz w:val="20"/>
                <w:szCs w:val="20"/>
              </w:rPr>
              <w:t>0,00</w:t>
            </w:r>
          </w:p>
        </w:tc>
      </w:tr>
      <w:tr w:rsidR="00387142" w:rsidRPr="008B6A75" w14:paraId="571F1A89" w14:textId="77777777" w:rsidTr="00387142">
        <w:trPr>
          <w:trHeight w:val="870"/>
        </w:trPr>
        <w:tc>
          <w:tcPr>
            <w:tcW w:w="272" w:type="dxa"/>
            <w:tcBorders>
              <w:top w:val="nil"/>
              <w:left w:val="nil"/>
              <w:bottom w:val="nil"/>
              <w:right w:val="single" w:sz="4" w:space="0" w:color="auto"/>
            </w:tcBorders>
            <w:shd w:val="clear" w:color="auto" w:fill="auto"/>
            <w:noWrap/>
            <w:vAlign w:val="bottom"/>
            <w:hideMark/>
          </w:tcPr>
          <w:p w14:paraId="3667B467"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4380B413" w14:textId="77777777" w:rsidR="00387142" w:rsidRPr="008B6A75" w:rsidRDefault="00387142" w:rsidP="00387142">
            <w:pPr>
              <w:rPr>
                <w:sz w:val="20"/>
                <w:szCs w:val="20"/>
              </w:rPr>
            </w:pPr>
            <w:r w:rsidRPr="008B6A75">
              <w:rPr>
                <w:sz w:val="20"/>
                <w:szCs w:val="20"/>
              </w:rPr>
              <w:t>Иные закупки товаров, работ и услуг для обеспечения государственных (муниципальных) нужд</w:t>
            </w:r>
          </w:p>
        </w:tc>
        <w:tc>
          <w:tcPr>
            <w:tcW w:w="1559" w:type="dxa"/>
            <w:tcBorders>
              <w:top w:val="nil"/>
              <w:left w:val="single" w:sz="4" w:space="0" w:color="auto"/>
              <w:bottom w:val="single" w:sz="4" w:space="0" w:color="auto"/>
              <w:right w:val="nil"/>
            </w:tcBorders>
            <w:shd w:val="clear" w:color="auto" w:fill="auto"/>
            <w:noWrap/>
            <w:vAlign w:val="center"/>
            <w:hideMark/>
          </w:tcPr>
          <w:p w14:paraId="3B8922E1" w14:textId="77777777" w:rsidR="00387142" w:rsidRPr="008B6A75" w:rsidRDefault="00387142" w:rsidP="00387142">
            <w:pPr>
              <w:jc w:val="center"/>
              <w:rPr>
                <w:sz w:val="20"/>
                <w:szCs w:val="20"/>
              </w:rPr>
            </w:pPr>
            <w:r w:rsidRPr="008B6A75">
              <w:rPr>
                <w:sz w:val="20"/>
                <w:szCs w:val="20"/>
              </w:rPr>
              <w:t>99.0.00.07290</w:t>
            </w:r>
          </w:p>
        </w:tc>
        <w:tc>
          <w:tcPr>
            <w:tcW w:w="850" w:type="dxa"/>
            <w:tcBorders>
              <w:top w:val="nil"/>
              <w:left w:val="single" w:sz="4" w:space="0" w:color="auto"/>
              <w:bottom w:val="single" w:sz="4" w:space="0" w:color="auto"/>
              <w:right w:val="nil"/>
            </w:tcBorders>
            <w:shd w:val="clear" w:color="auto" w:fill="auto"/>
            <w:noWrap/>
            <w:vAlign w:val="center"/>
            <w:hideMark/>
          </w:tcPr>
          <w:p w14:paraId="170BF3BF" w14:textId="77777777" w:rsidR="00387142" w:rsidRPr="008B6A75" w:rsidRDefault="00387142" w:rsidP="00387142">
            <w:pPr>
              <w:jc w:val="center"/>
              <w:rPr>
                <w:sz w:val="20"/>
                <w:szCs w:val="20"/>
              </w:rPr>
            </w:pPr>
            <w:r w:rsidRPr="008B6A75">
              <w:rPr>
                <w:sz w:val="20"/>
                <w:szCs w:val="20"/>
              </w:rPr>
              <w:t>240</w:t>
            </w:r>
          </w:p>
        </w:tc>
        <w:tc>
          <w:tcPr>
            <w:tcW w:w="567" w:type="dxa"/>
            <w:tcBorders>
              <w:top w:val="nil"/>
              <w:left w:val="single" w:sz="4" w:space="0" w:color="auto"/>
              <w:bottom w:val="single" w:sz="4" w:space="0" w:color="auto"/>
              <w:right w:val="nil"/>
            </w:tcBorders>
            <w:shd w:val="clear" w:color="auto" w:fill="auto"/>
            <w:noWrap/>
            <w:vAlign w:val="center"/>
            <w:hideMark/>
          </w:tcPr>
          <w:p w14:paraId="4092B057" w14:textId="77777777" w:rsidR="00387142" w:rsidRPr="008B6A75" w:rsidRDefault="00387142" w:rsidP="00387142">
            <w:pPr>
              <w:jc w:val="center"/>
              <w:rPr>
                <w:sz w:val="20"/>
                <w:szCs w:val="20"/>
              </w:rPr>
            </w:pPr>
            <w:r w:rsidRPr="008B6A75">
              <w:rPr>
                <w:sz w:val="20"/>
                <w:szCs w:val="20"/>
              </w:rPr>
              <w:t>07</w:t>
            </w:r>
          </w:p>
        </w:tc>
        <w:tc>
          <w:tcPr>
            <w:tcW w:w="567" w:type="dxa"/>
            <w:tcBorders>
              <w:top w:val="nil"/>
              <w:left w:val="single" w:sz="4" w:space="0" w:color="auto"/>
              <w:bottom w:val="single" w:sz="4" w:space="0" w:color="auto"/>
              <w:right w:val="nil"/>
            </w:tcBorders>
            <w:shd w:val="clear" w:color="auto" w:fill="auto"/>
            <w:noWrap/>
            <w:vAlign w:val="center"/>
            <w:hideMark/>
          </w:tcPr>
          <w:p w14:paraId="5683DE28" w14:textId="77777777" w:rsidR="00387142" w:rsidRPr="008B6A75" w:rsidRDefault="00387142" w:rsidP="00387142">
            <w:pPr>
              <w:jc w:val="center"/>
              <w:rPr>
                <w:sz w:val="20"/>
                <w:szCs w:val="20"/>
              </w:rPr>
            </w:pPr>
            <w:r w:rsidRPr="008B6A75">
              <w:rPr>
                <w:sz w:val="20"/>
                <w:szCs w:val="20"/>
              </w:rPr>
              <w:t>02</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BEE9B98" w14:textId="77777777" w:rsidR="00387142" w:rsidRPr="008B6A75" w:rsidRDefault="00387142" w:rsidP="00387142">
            <w:pPr>
              <w:jc w:val="right"/>
              <w:rPr>
                <w:sz w:val="20"/>
                <w:szCs w:val="20"/>
              </w:rPr>
            </w:pPr>
            <w:r w:rsidRPr="008B6A75">
              <w:rPr>
                <w:sz w:val="20"/>
                <w:szCs w:val="20"/>
              </w:rPr>
              <w:t>78 108,78</w:t>
            </w:r>
          </w:p>
        </w:tc>
        <w:tc>
          <w:tcPr>
            <w:tcW w:w="851" w:type="dxa"/>
            <w:tcBorders>
              <w:top w:val="nil"/>
              <w:left w:val="single" w:sz="4" w:space="0" w:color="auto"/>
              <w:bottom w:val="single" w:sz="4" w:space="0" w:color="auto"/>
              <w:right w:val="nil"/>
            </w:tcBorders>
            <w:shd w:val="clear" w:color="auto" w:fill="auto"/>
            <w:noWrap/>
            <w:vAlign w:val="center"/>
            <w:hideMark/>
          </w:tcPr>
          <w:p w14:paraId="2BD3E1BF" w14:textId="77777777" w:rsidR="00387142" w:rsidRPr="008B6A75" w:rsidRDefault="00387142" w:rsidP="00387142">
            <w:pPr>
              <w:jc w:val="right"/>
              <w:rPr>
                <w:sz w:val="20"/>
                <w:szCs w:val="20"/>
              </w:rPr>
            </w:pPr>
            <w:r w:rsidRPr="008B6A75">
              <w:rPr>
                <w:sz w:val="20"/>
                <w:szCs w:val="20"/>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7A8839D2" w14:textId="77777777" w:rsidR="00387142" w:rsidRPr="008B6A75" w:rsidRDefault="00387142" w:rsidP="00387142">
            <w:pPr>
              <w:jc w:val="right"/>
              <w:rPr>
                <w:sz w:val="20"/>
                <w:szCs w:val="20"/>
              </w:rPr>
            </w:pPr>
            <w:r w:rsidRPr="008B6A75">
              <w:rPr>
                <w:sz w:val="20"/>
                <w:szCs w:val="20"/>
              </w:rPr>
              <w:t>0,00</w:t>
            </w:r>
          </w:p>
        </w:tc>
      </w:tr>
      <w:tr w:rsidR="00387142" w:rsidRPr="008B6A75" w14:paraId="3DAA99CE" w14:textId="77777777" w:rsidTr="00387142">
        <w:trPr>
          <w:trHeight w:val="585"/>
        </w:trPr>
        <w:tc>
          <w:tcPr>
            <w:tcW w:w="272" w:type="dxa"/>
            <w:tcBorders>
              <w:top w:val="nil"/>
              <w:left w:val="nil"/>
              <w:bottom w:val="nil"/>
              <w:right w:val="single" w:sz="4" w:space="0" w:color="auto"/>
            </w:tcBorders>
            <w:shd w:val="clear" w:color="auto" w:fill="auto"/>
            <w:noWrap/>
            <w:vAlign w:val="bottom"/>
            <w:hideMark/>
          </w:tcPr>
          <w:p w14:paraId="5F49CD50"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2D566435" w14:textId="77777777" w:rsidR="00387142" w:rsidRPr="008B6A75" w:rsidRDefault="00387142" w:rsidP="00387142">
            <w:pPr>
              <w:rPr>
                <w:bCs/>
                <w:sz w:val="20"/>
                <w:szCs w:val="20"/>
              </w:rPr>
            </w:pPr>
            <w:r w:rsidRPr="008B6A75">
              <w:rPr>
                <w:bCs/>
                <w:sz w:val="20"/>
                <w:szCs w:val="20"/>
              </w:rPr>
              <w:t xml:space="preserve">Расходы на предоставление субсидии автономным учреждениям </w:t>
            </w:r>
          </w:p>
        </w:tc>
        <w:tc>
          <w:tcPr>
            <w:tcW w:w="1559" w:type="dxa"/>
            <w:tcBorders>
              <w:top w:val="nil"/>
              <w:left w:val="single" w:sz="4" w:space="0" w:color="auto"/>
              <w:bottom w:val="single" w:sz="4" w:space="0" w:color="auto"/>
              <w:right w:val="nil"/>
            </w:tcBorders>
            <w:shd w:val="clear" w:color="auto" w:fill="auto"/>
            <w:noWrap/>
            <w:vAlign w:val="center"/>
            <w:hideMark/>
          </w:tcPr>
          <w:p w14:paraId="664F1F8A" w14:textId="77777777" w:rsidR="00387142" w:rsidRPr="008B6A75" w:rsidRDefault="00387142" w:rsidP="00387142">
            <w:pPr>
              <w:jc w:val="center"/>
              <w:rPr>
                <w:bCs/>
                <w:sz w:val="20"/>
                <w:szCs w:val="20"/>
              </w:rPr>
            </w:pPr>
            <w:r w:rsidRPr="008B6A75">
              <w:rPr>
                <w:bCs/>
                <w:sz w:val="20"/>
                <w:szCs w:val="20"/>
              </w:rPr>
              <w:t>99.0.00.07710</w:t>
            </w:r>
          </w:p>
        </w:tc>
        <w:tc>
          <w:tcPr>
            <w:tcW w:w="850" w:type="dxa"/>
            <w:tcBorders>
              <w:top w:val="nil"/>
              <w:left w:val="single" w:sz="4" w:space="0" w:color="auto"/>
              <w:bottom w:val="single" w:sz="4" w:space="0" w:color="auto"/>
              <w:right w:val="nil"/>
            </w:tcBorders>
            <w:shd w:val="clear" w:color="auto" w:fill="auto"/>
            <w:noWrap/>
            <w:vAlign w:val="center"/>
            <w:hideMark/>
          </w:tcPr>
          <w:p w14:paraId="0479EC9E" w14:textId="77777777" w:rsidR="00387142" w:rsidRPr="008B6A75" w:rsidRDefault="00387142" w:rsidP="00387142">
            <w:pPr>
              <w:jc w:val="center"/>
              <w:rPr>
                <w:bCs/>
                <w:sz w:val="20"/>
                <w:szCs w:val="20"/>
              </w:rPr>
            </w:pPr>
            <w:r w:rsidRPr="008B6A75">
              <w:rPr>
                <w:bCs/>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54772A10" w14:textId="77777777" w:rsidR="00387142" w:rsidRPr="008B6A75" w:rsidRDefault="00387142" w:rsidP="00387142">
            <w:pPr>
              <w:jc w:val="center"/>
              <w:rPr>
                <w:bCs/>
                <w:sz w:val="20"/>
                <w:szCs w:val="20"/>
              </w:rPr>
            </w:pPr>
            <w:r w:rsidRPr="008B6A75">
              <w:rPr>
                <w:bCs/>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7A957848" w14:textId="77777777" w:rsidR="00387142" w:rsidRPr="008B6A75" w:rsidRDefault="00387142" w:rsidP="00387142">
            <w:pPr>
              <w:jc w:val="center"/>
              <w:rPr>
                <w:bCs/>
                <w:sz w:val="20"/>
                <w:szCs w:val="20"/>
              </w:rPr>
            </w:pPr>
            <w:r w:rsidRPr="008B6A75">
              <w:rPr>
                <w:bCs/>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3346581" w14:textId="77777777" w:rsidR="00387142" w:rsidRPr="008B6A75" w:rsidRDefault="00387142" w:rsidP="00387142">
            <w:pPr>
              <w:jc w:val="right"/>
              <w:rPr>
                <w:bCs/>
                <w:sz w:val="20"/>
                <w:szCs w:val="20"/>
              </w:rPr>
            </w:pPr>
            <w:r w:rsidRPr="008B6A75">
              <w:rPr>
                <w:bCs/>
                <w:sz w:val="20"/>
                <w:szCs w:val="20"/>
              </w:rPr>
              <w:t>3 000 000,00</w:t>
            </w:r>
          </w:p>
        </w:tc>
        <w:tc>
          <w:tcPr>
            <w:tcW w:w="851" w:type="dxa"/>
            <w:tcBorders>
              <w:top w:val="nil"/>
              <w:left w:val="single" w:sz="4" w:space="0" w:color="auto"/>
              <w:bottom w:val="single" w:sz="4" w:space="0" w:color="auto"/>
              <w:right w:val="nil"/>
            </w:tcBorders>
            <w:shd w:val="clear" w:color="auto" w:fill="auto"/>
            <w:noWrap/>
            <w:vAlign w:val="center"/>
            <w:hideMark/>
          </w:tcPr>
          <w:p w14:paraId="1C26EFBD" w14:textId="77777777" w:rsidR="00387142" w:rsidRPr="008B6A75" w:rsidRDefault="00387142" w:rsidP="00387142">
            <w:pPr>
              <w:jc w:val="right"/>
              <w:rPr>
                <w:bCs/>
                <w:sz w:val="20"/>
                <w:szCs w:val="20"/>
              </w:rPr>
            </w:pPr>
            <w:r w:rsidRPr="008B6A75">
              <w:rPr>
                <w:bCs/>
                <w:sz w:val="20"/>
                <w:szCs w:val="20"/>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1CC7F264" w14:textId="77777777" w:rsidR="00387142" w:rsidRPr="008B6A75" w:rsidRDefault="00387142" w:rsidP="00387142">
            <w:pPr>
              <w:jc w:val="right"/>
              <w:rPr>
                <w:bCs/>
                <w:sz w:val="20"/>
                <w:szCs w:val="20"/>
              </w:rPr>
            </w:pPr>
            <w:r w:rsidRPr="008B6A75">
              <w:rPr>
                <w:bCs/>
                <w:sz w:val="20"/>
                <w:szCs w:val="20"/>
              </w:rPr>
              <w:t>0,00</w:t>
            </w:r>
          </w:p>
        </w:tc>
      </w:tr>
      <w:tr w:rsidR="00387142" w:rsidRPr="008B6A75" w14:paraId="2BEDCA33" w14:textId="77777777" w:rsidTr="00387142">
        <w:trPr>
          <w:trHeight w:val="870"/>
        </w:trPr>
        <w:tc>
          <w:tcPr>
            <w:tcW w:w="272" w:type="dxa"/>
            <w:tcBorders>
              <w:top w:val="nil"/>
              <w:left w:val="nil"/>
              <w:bottom w:val="nil"/>
              <w:right w:val="single" w:sz="4" w:space="0" w:color="auto"/>
            </w:tcBorders>
            <w:shd w:val="clear" w:color="auto" w:fill="auto"/>
            <w:noWrap/>
            <w:vAlign w:val="bottom"/>
            <w:hideMark/>
          </w:tcPr>
          <w:p w14:paraId="54DB4582"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7B06659D" w14:textId="77777777" w:rsidR="00387142" w:rsidRPr="008B6A75" w:rsidRDefault="00387142" w:rsidP="00387142">
            <w:pPr>
              <w:rPr>
                <w:sz w:val="20"/>
                <w:szCs w:val="20"/>
              </w:rPr>
            </w:pPr>
            <w:r w:rsidRPr="008B6A75">
              <w:rPr>
                <w:sz w:val="20"/>
                <w:szCs w:val="20"/>
              </w:rPr>
              <w:t>Предоставление субсидий бюджетным, автономным учреждениям и иным некоммерческим организациям</w:t>
            </w:r>
          </w:p>
        </w:tc>
        <w:tc>
          <w:tcPr>
            <w:tcW w:w="1559" w:type="dxa"/>
            <w:tcBorders>
              <w:top w:val="nil"/>
              <w:left w:val="single" w:sz="4" w:space="0" w:color="auto"/>
              <w:bottom w:val="single" w:sz="4" w:space="0" w:color="auto"/>
              <w:right w:val="nil"/>
            </w:tcBorders>
            <w:shd w:val="clear" w:color="auto" w:fill="auto"/>
            <w:noWrap/>
            <w:vAlign w:val="center"/>
            <w:hideMark/>
          </w:tcPr>
          <w:p w14:paraId="3F752CA0" w14:textId="77777777" w:rsidR="00387142" w:rsidRPr="008B6A75" w:rsidRDefault="00387142" w:rsidP="00387142">
            <w:pPr>
              <w:jc w:val="center"/>
              <w:rPr>
                <w:sz w:val="20"/>
                <w:szCs w:val="20"/>
              </w:rPr>
            </w:pPr>
            <w:r w:rsidRPr="008B6A75">
              <w:rPr>
                <w:sz w:val="20"/>
                <w:szCs w:val="20"/>
              </w:rPr>
              <w:t>99.0.00.07710</w:t>
            </w:r>
          </w:p>
        </w:tc>
        <w:tc>
          <w:tcPr>
            <w:tcW w:w="850" w:type="dxa"/>
            <w:tcBorders>
              <w:top w:val="nil"/>
              <w:left w:val="single" w:sz="4" w:space="0" w:color="auto"/>
              <w:bottom w:val="single" w:sz="4" w:space="0" w:color="auto"/>
              <w:right w:val="nil"/>
            </w:tcBorders>
            <w:shd w:val="clear" w:color="auto" w:fill="auto"/>
            <w:noWrap/>
            <w:vAlign w:val="center"/>
            <w:hideMark/>
          </w:tcPr>
          <w:p w14:paraId="0D3DC1E2" w14:textId="77777777" w:rsidR="00387142" w:rsidRPr="008B6A75" w:rsidRDefault="00387142" w:rsidP="00387142">
            <w:pPr>
              <w:jc w:val="center"/>
              <w:rPr>
                <w:sz w:val="20"/>
                <w:szCs w:val="20"/>
              </w:rPr>
            </w:pPr>
            <w:r w:rsidRPr="008B6A75">
              <w:rPr>
                <w:sz w:val="20"/>
                <w:szCs w:val="20"/>
              </w:rPr>
              <w:t>600</w:t>
            </w:r>
          </w:p>
        </w:tc>
        <w:tc>
          <w:tcPr>
            <w:tcW w:w="567" w:type="dxa"/>
            <w:tcBorders>
              <w:top w:val="nil"/>
              <w:left w:val="single" w:sz="4" w:space="0" w:color="auto"/>
              <w:bottom w:val="single" w:sz="4" w:space="0" w:color="auto"/>
              <w:right w:val="nil"/>
            </w:tcBorders>
            <w:shd w:val="clear" w:color="auto" w:fill="auto"/>
            <w:noWrap/>
            <w:vAlign w:val="center"/>
            <w:hideMark/>
          </w:tcPr>
          <w:p w14:paraId="1543A0B8" w14:textId="77777777" w:rsidR="00387142" w:rsidRPr="008B6A75" w:rsidRDefault="00387142" w:rsidP="00387142">
            <w:pPr>
              <w:jc w:val="center"/>
              <w:rPr>
                <w:sz w:val="20"/>
                <w:szCs w:val="20"/>
              </w:rPr>
            </w:pPr>
            <w:r w:rsidRPr="008B6A75">
              <w:rPr>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5E796D5C" w14:textId="77777777" w:rsidR="00387142" w:rsidRPr="008B6A75" w:rsidRDefault="00387142" w:rsidP="00387142">
            <w:pPr>
              <w:jc w:val="center"/>
              <w:rPr>
                <w:sz w:val="20"/>
                <w:szCs w:val="20"/>
              </w:rPr>
            </w:pPr>
            <w:r w:rsidRPr="008B6A75">
              <w:rPr>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3655D4D" w14:textId="77777777" w:rsidR="00387142" w:rsidRPr="008B6A75" w:rsidRDefault="00387142" w:rsidP="00387142">
            <w:pPr>
              <w:jc w:val="right"/>
              <w:rPr>
                <w:sz w:val="20"/>
                <w:szCs w:val="20"/>
              </w:rPr>
            </w:pPr>
            <w:r w:rsidRPr="008B6A75">
              <w:rPr>
                <w:sz w:val="20"/>
                <w:szCs w:val="20"/>
              </w:rPr>
              <w:t>3 000 000,00</w:t>
            </w:r>
          </w:p>
        </w:tc>
        <w:tc>
          <w:tcPr>
            <w:tcW w:w="851" w:type="dxa"/>
            <w:tcBorders>
              <w:top w:val="nil"/>
              <w:left w:val="single" w:sz="4" w:space="0" w:color="auto"/>
              <w:bottom w:val="single" w:sz="4" w:space="0" w:color="auto"/>
              <w:right w:val="nil"/>
            </w:tcBorders>
            <w:shd w:val="clear" w:color="auto" w:fill="auto"/>
            <w:noWrap/>
            <w:vAlign w:val="center"/>
            <w:hideMark/>
          </w:tcPr>
          <w:p w14:paraId="12B94EFB" w14:textId="77777777" w:rsidR="00387142" w:rsidRPr="008B6A75" w:rsidRDefault="00387142" w:rsidP="00387142">
            <w:pPr>
              <w:jc w:val="right"/>
              <w:rPr>
                <w:sz w:val="20"/>
                <w:szCs w:val="20"/>
              </w:rPr>
            </w:pPr>
            <w:r w:rsidRPr="008B6A75">
              <w:rPr>
                <w:sz w:val="20"/>
                <w:szCs w:val="20"/>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6A17BE56" w14:textId="77777777" w:rsidR="00387142" w:rsidRPr="008B6A75" w:rsidRDefault="00387142" w:rsidP="00387142">
            <w:pPr>
              <w:jc w:val="right"/>
              <w:rPr>
                <w:sz w:val="20"/>
                <w:szCs w:val="20"/>
              </w:rPr>
            </w:pPr>
            <w:r w:rsidRPr="008B6A75">
              <w:rPr>
                <w:sz w:val="20"/>
                <w:szCs w:val="20"/>
              </w:rPr>
              <w:t>0,00</w:t>
            </w:r>
          </w:p>
        </w:tc>
      </w:tr>
      <w:tr w:rsidR="00387142" w:rsidRPr="008B6A75" w14:paraId="7D78494B" w14:textId="77777777" w:rsidTr="00387142">
        <w:trPr>
          <w:trHeight w:val="300"/>
        </w:trPr>
        <w:tc>
          <w:tcPr>
            <w:tcW w:w="272" w:type="dxa"/>
            <w:tcBorders>
              <w:top w:val="nil"/>
              <w:left w:val="nil"/>
              <w:bottom w:val="nil"/>
              <w:right w:val="single" w:sz="4" w:space="0" w:color="auto"/>
            </w:tcBorders>
            <w:shd w:val="clear" w:color="auto" w:fill="auto"/>
            <w:noWrap/>
            <w:vAlign w:val="bottom"/>
            <w:hideMark/>
          </w:tcPr>
          <w:p w14:paraId="5C72E203"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3E5584FA" w14:textId="77777777" w:rsidR="00387142" w:rsidRPr="008B6A75" w:rsidRDefault="00387142" w:rsidP="00387142">
            <w:pPr>
              <w:rPr>
                <w:sz w:val="20"/>
                <w:szCs w:val="20"/>
              </w:rPr>
            </w:pPr>
            <w:r w:rsidRPr="008B6A75">
              <w:rPr>
                <w:sz w:val="20"/>
                <w:szCs w:val="20"/>
              </w:rPr>
              <w:t>Субсидии автономным учреждениям</w:t>
            </w:r>
          </w:p>
        </w:tc>
        <w:tc>
          <w:tcPr>
            <w:tcW w:w="1559" w:type="dxa"/>
            <w:tcBorders>
              <w:top w:val="nil"/>
              <w:left w:val="single" w:sz="4" w:space="0" w:color="auto"/>
              <w:bottom w:val="single" w:sz="4" w:space="0" w:color="auto"/>
              <w:right w:val="nil"/>
            </w:tcBorders>
            <w:shd w:val="clear" w:color="auto" w:fill="auto"/>
            <w:noWrap/>
            <w:vAlign w:val="center"/>
            <w:hideMark/>
          </w:tcPr>
          <w:p w14:paraId="71DB3645" w14:textId="77777777" w:rsidR="00387142" w:rsidRPr="008B6A75" w:rsidRDefault="00387142" w:rsidP="00387142">
            <w:pPr>
              <w:jc w:val="center"/>
              <w:rPr>
                <w:sz w:val="20"/>
                <w:szCs w:val="20"/>
              </w:rPr>
            </w:pPr>
            <w:r w:rsidRPr="008B6A75">
              <w:rPr>
                <w:sz w:val="20"/>
                <w:szCs w:val="20"/>
              </w:rPr>
              <w:t>99.0.00.07710</w:t>
            </w:r>
          </w:p>
        </w:tc>
        <w:tc>
          <w:tcPr>
            <w:tcW w:w="850" w:type="dxa"/>
            <w:tcBorders>
              <w:top w:val="nil"/>
              <w:left w:val="single" w:sz="4" w:space="0" w:color="auto"/>
              <w:bottom w:val="single" w:sz="4" w:space="0" w:color="auto"/>
              <w:right w:val="nil"/>
            </w:tcBorders>
            <w:shd w:val="clear" w:color="auto" w:fill="auto"/>
            <w:noWrap/>
            <w:vAlign w:val="center"/>
            <w:hideMark/>
          </w:tcPr>
          <w:p w14:paraId="01BDF1E7" w14:textId="77777777" w:rsidR="00387142" w:rsidRPr="008B6A75" w:rsidRDefault="00387142" w:rsidP="00387142">
            <w:pPr>
              <w:jc w:val="center"/>
              <w:rPr>
                <w:sz w:val="20"/>
                <w:szCs w:val="20"/>
              </w:rPr>
            </w:pPr>
            <w:r w:rsidRPr="008B6A75">
              <w:rPr>
                <w:sz w:val="20"/>
                <w:szCs w:val="20"/>
              </w:rPr>
              <w:t>620</w:t>
            </w:r>
          </w:p>
        </w:tc>
        <w:tc>
          <w:tcPr>
            <w:tcW w:w="567" w:type="dxa"/>
            <w:tcBorders>
              <w:top w:val="nil"/>
              <w:left w:val="single" w:sz="4" w:space="0" w:color="auto"/>
              <w:bottom w:val="single" w:sz="4" w:space="0" w:color="auto"/>
              <w:right w:val="nil"/>
            </w:tcBorders>
            <w:shd w:val="clear" w:color="auto" w:fill="auto"/>
            <w:noWrap/>
            <w:vAlign w:val="center"/>
            <w:hideMark/>
          </w:tcPr>
          <w:p w14:paraId="6EF5CFB5" w14:textId="77777777" w:rsidR="00387142" w:rsidRPr="008B6A75" w:rsidRDefault="00387142" w:rsidP="00387142">
            <w:pPr>
              <w:jc w:val="center"/>
              <w:rPr>
                <w:sz w:val="20"/>
                <w:szCs w:val="20"/>
              </w:rPr>
            </w:pPr>
            <w:r w:rsidRPr="008B6A75">
              <w:rPr>
                <w:sz w:val="20"/>
                <w:szCs w:val="20"/>
              </w:rPr>
              <w:t>07</w:t>
            </w:r>
          </w:p>
        </w:tc>
        <w:tc>
          <w:tcPr>
            <w:tcW w:w="567" w:type="dxa"/>
            <w:tcBorders>
              <w:top w:val="nil"/>
              <w:left w:val="single" w:sz="4" w:space="0" w:color="auto"/>
              <w:bottom w:val="single" w:sz="4" w:space="0" w:color="auto"/>
              <w:right w:val="nil"/>
            </w:tcBorders>
            <w:shd w:val="clear" w:color="auto" w:fill="auto"/>
            <w:noWrap/>
            <w:vAlign w:val="center"/>
            <w:hideMark/>
          </w:tcPr>
          <w:p w14:paraId="672E33B6" w14:textId="77777777" w:rsidR="00387142" w:rsidRPr="008B6A75" w:rsidRDefault="00387142" w:rsidP="00387142">
            <w:pPr>
              <w:jc w:val="center"/>
              <w:rPr>
                <w:sz w:val="20"/>
                <w:szCs w:val="20"/>
              </w:rPr>
            </w:pPr>
            <w:r w:rsidRPr="008B6A75">
              <w:rPr>
                <w:sz w:val="20"/>
                <w:szCs w:val="20"/>
              </w:rPr>
              <w:t>09</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282BFAE" w14:textId="77777777" w:rsidR="00387142" w:rsidRPr="008B6A75" w:rsidRDefault="00387142" w:rsidP="00387142">
            <w:pPr>
              <w:jc w:val="right"/>
              <w:rPr>
                <w:sz w:val="20"/>
                <w:szCs w:val="20"/>
              </w:rPr>
            </w:pPr>
            <w:r w:rsidRPr="008B6A75">
              <w:rPr>
                <w:sz w:val="20"/>
                <w:szCs w:val="20"/>
              </w:rPr>
              <w:t>3 000 000,00</w:t>
            </w:r>
          </w:p>
        </w:tc>
        <w:tc>
          <w:tcPr>
            <w:tcW w:w="851" w:type="dxa"/>
            <w:tcBorders>
              <w:top w:val="nil"/>
              <w:left w:val="single" w:sz="4" w:space="0" w:color="auto"/>
              <w:bottom w:val="single" w:sz="4" w:space="0" w:color="auto"/>
              <w:right w:val="nil"/>
            </w:tcBorders>
            <w:shd w:val="clear" w:color="auto" w:fill="auto"/>
            <w:noWrap/>
            <w:vAlign w:val="center"/>
            <w:hideMark/>
          </w:tcPr>
          <w:p w14:paraId="1D006C00" w14:textId="77777777" w:rsidR="00387142" w:rsidRPr="008B6A75" w:rsidRDefault="00387142" w:rsidP="00387142">
            <w:pPr>
              <w:jc w:val="right"/>
              <w:rPr>
                <w:sz w:val="20"/>
                <w:szCs w:val="20"/>
              </w:rPr>
            </w:pPr>
            <w:r w:rsidRPr="008B6A75">
              <w:rPr>
                <w:sz w:val="20"/>
                <w:szCs w:val="20"/>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343C0428" w14:textId="77777777" w:rsidR="00387142" w:rsidRPr="008B6A75" w:rsidRDefault="00387142" w:rsidP="00387142">
            <w:pPr>
              <w:jc w:val="right"/>
              <w:rPr>
                <w:sz w:val="20"/>
                <w:szCs w:val="20"/>
              </w:rPr>
            </w:pPr>
            <w:r w:rsidRPr="008B6A75">
              <w:rPr>
                <w:sz w:val="20"/>
                <w:szCs w:val="20"/>
              </w:rPr>
              <w:t>0,00</w:t>
            </w:r>
          </w:p>
        </w:tc>
      </w:tr>
      <w:tr w:rsidR="00387142" w:rsidRPr="008B6A75" w14:paraId="2348FDF5" w14:textId="77777777" w:rsidTr="00387142">
        <w:trPr>
          <w:trHeight w:val="585"/>
        </w:trPr>
        <w:tc>
          <w:tcPr>
            <w:tcW w:w="272" w:type="dxa"/>
            <w:tcBorders>
              <w:top w:val="nil"/>
              <w:left w:val="nil"/>
              <w:bottom w:val="nil"/>
              <w:right w:val="single" w:sz="4" w:space="0" w:color="auto"/>
            </w:tcBorders>
            <w:shd w:val="clear" w:color="auto" w:fill="auto"/>
            <w:noWrap/>
            <w:vAlign w:val="bottom"/>
            <w:hideMark/>
          </w:tcPr>
          <w:p w14:paraId="0AA0CF7D"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5644B105" w14:textId="77777777" w:rsidR="00387142" w:rsidRPr="008B6A75" w:rsidRDefault="00387142" w:rsidP="00387142">
            <w:pPr>
              <w:rPr>
                <w:bCs/>
                <w:sz w:val="20"/>
                <w:szCs w:val="20"/>
              </w:rPr>
            </w:pPr>
            <w:r w:rsidRPr="008B6A75">
              <w:rPr>
                <w:bCs/>
                <w:sz w:val="20"/>
                <w:szCs w:val="20"/>
              </w:rPr>
              <w:t>Выплата муниципальной социальной доплаты к пенсии</w:t>
            </w:r>
          </w:p>
        </w:tc>
        <w:tc>
          <w:tcPr>
            <w:tcW w:w="1559" w:type="dxa"/>
            <w:tcBorders>
              <w:top w:val="nil"/>
              <w:left w:val="single" w:sz="4" w:space="0" w:color="auto"/>
              <w:bottom w:val="single" w:sz="4" w:space="0" w:color="auto"/>
              <w:right w:val="nil"/>
            </w:tcBorders>
            <w:shd w:val="clear" w:color="auto" w:fill="auto"/>
            <w:noWrap/>
            <w:vAlign w:val="center"/>
            <w:hideMark/>
          </w:tcPr>
          <w:p w14:paraId="2447F904" w14:textId="77777777" w:rsidR="00387142" w:rsidRPr="008B6A75" w:rsidRDefault="00387142" w:rsidP="00387142">
            <w:pPr>
              <w:jc w:val="center"/>
              <w:rPr>
                <w:bCs/>
                <w:sz w:val="20"/>
                <w:szCs w:val="20"/>
              </w:rPr>
            </w:pPr>
            <w:r w:rsidRPr="008B6A75">
              <w:rPr>
                <w:bCs/>
                <w:sz w:val="20"/>
                <w:szCs w:val="20"/>
              </w:rPr>
              <w:t>99.0.00.10100</w:t>
            </w:r>
          </w:p>
        </w:tc>
        <w:tc>
          <w:tcPr>
            <w:tcW w:w="850" w:type="dxa"/>
            <w:tcBorders>
              <w:top w:val="nil"/>
              <w:left w:val="single" w:sz="4" w:space="0" w:color="auto"/>
              <w:bottom w:val="single" w:sz="4" w:space="0" w:color="auto"/>
              <w:right w:val="nil"/>
            </w:tcBorders>
            <w:shd w:val="clear" w:color="auto" w:fill="auto"/>
            <w:noWrap/>
            <w:vAlign w:val="center"/>
            <w:hideMark/>
          </w:tcPr>
          <w:p w14:paraId="7828CD04" w14:textId="77777777" w:rsidR="00387142" w:rsidRPr="008B6A75" w:rsidRDefault="00387142" w:rsidP="00387142">
            <w:pPr>
              <w:jc w:val="center"/>
              <w:rPr>
                <w:bCs/>
                <w:sz w:val="20"/>
                <w:szCs w:val="20"/>
              </w:rPr>
            </w:pPr>
            <w:r w:rsidRPr="008B6A75">
              <w:rPr>
                <w:bCs/>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504E05FE" w14:textId="77777777" w:rsidR="00387142" w:rsidRPr="008B6A75" w:rsidRDefault="00387142" w:rsidP="00387142">
            <w:pPr>
              <w:jc w:val="center"/>
              <w:rPr>
                <w:bCs/>
                <w:sz w:val="20"/>
                <w:szCs w:val="20"/>
              </w:rPr>
            </w:pPr>
            <w:r w:rsidRPr="008B6A75">
              <w:rPr>
                <w:bCs/>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5C48BEB5" w14:textId="77777777" w:rsidR="00387142" w:rsidRPr="008B6A75" w:rsidRDefault="00387142" w:rsidP="00387142">
            <w:pPr>
              <w:jc w:val="center"/>
              <w:rPr>
                <w:bCs/>
                <w:sz w:val="20"/>
                <w:szCs w:val="20"/>
              </w:rPr>
            </w:pPr>
            <w:r w:rsidRPr="008B6A75">
              <w:rPr>
                <w:bCs/>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DC912FF" w14:textId="77777777" w:rsidR="00387142" w:rsidRPr="008B6A75" w:rsidRDefault="00387142" w:rsidP="00387142">
            <w:pPr>
              <w:jc w:val="right"/>
              <w:rPr>
                <w:bCs/>
                <w:sz w:val="20"/>
                <w:szCs w:val="20"/>
              </w:rPr>
            </w:pPr>
            <w:r w:rsidRPr="008B6A75">
              <w:rPr>
                <w:bCs/>
                <w:sz w:val="20"/>
                <w:szCs w:val="20"/>
              </w:rPr>
              <w:t>2 892 844,00</w:t>
            </w:r>
          </w:p>
        </w:tc>
        <w:tc>
          <w:tcPr>
            <w:tcW w:w="851" w:type="dxa"/>
            <w:tcBorders>
              <w:top w:val="nil"/>
              <w:left w:val="single" w:sz="4" w:space="0" w:color="auto"/>
              <w:bottom w:val="single" w:sz="4" w:space="0" w:color="auto"/>
              <w:right w:val="nil"/>
            </w:tcBorders>
            <w:shd w:val="clear" w:color="auto" w:fill="auto"/>
            <w:noWrap/>
            <w:vAlign w:val="center"/>
            <w:hideMark/>
          </w:tcPr>
          <w:p w14:paraId="55EABA65" w14:textId="77777777" w:rsidR="00387142" w:rsidRPr="008B6A75" w:rsidRDefault="00387142" w:rsidP="00387142">
            <w:pPr>
              <w:jc w:val="right"/>
              <w:rPr>
                <w:bCs/>
                <w:sz w:val="20"/>
                <w:szCs w:val="20"/>
              </w:rPr>
            </w:pPr>
            <w:r w:rsidRPr="008B6A75">
              <w:rPr>
                <w:bCs/>
                <w:sz w:val="20"/>
                <w:szCs w:val="20"/>
              </w:rPr>
              <w:t>3 415 529,76</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28FD94FA" w14:textId="77777777" w:rsidR="00387142" w:rsidRPr="008B6A75" w:rsidRDefault="00387142" w:rsidP="00387142">
            <w:pPr>
              <w:jc w:val="right"/>
              <w:rPr>
                <w:bCs/>
                <w:sz w:val="20"/>
                <w:szCs w:val="20"/>
              </w:rPr>
            </w:pPr>
            <w:r w:rsidRPr="008B6A75">
              <w:rPr>
                <w:bCs/>
                <w:sz w:val="20"/>
                <w:szCs w:val="20"/>
              </w:rPr>
              <w:t>3 571 675,68</w:t>
            </w:r>
          </w:p>
        </w:tc>
      </w:tr>
      <w:tr w:rsidR="00387142" w:rsidRPr="008B6A75" w14:paraId="686376B2" w14:textId="77777777" w:rsidTr="00387142">
        <w:trPr>
          <w:trHeight w:val="585"/>
        </w:trPr>
        <w:tc>
          <w:tcPr>
            <w:tcW w:w="272" w:type="dxa"/>
            <w:tcBorders>
              <w:top w:val="nil"/>
              <w:left w:val="nil"/>
              <w:bottom w:val="nil"/>
              <w:right w:val="single" w:sz="4" w:space="0" w:color="auto"/>
            </w:tcBorders>
            <w:shd w:val="clear" w:color="auto" w:fill="auto"/>
            <w:noWrap/>
            <w:vAlign w:val="bottom"/>
            <w:hideMark/>
          </w:tcPr>
          <w:p w14:paraId="42437041"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303635B2" w14:textId="77777777" w:rsidR="00387142" w:rsidRPr="008B6A75" w:rsidRDefault="00387142" w:rsidP="00387142">
            <w:pPr>
              <w:rPr>
                <w:sz w:val="20"/>
                <w:szCs w:val="20"/>
              </w:rPr>
            </w:pPr>
            <w:r w:rsidRPr="008B6A75">
              <w:rPr>
                <w:sz w:val="20"/>
                <w:szCs w:val="20"/>
              </w:rPr>
              <w:t>Социальное обеспечение и иные выплаты населению</w:t>
            </w:r>
          </w:p>
        </w:tc>
        <w:tc>
          <w:tcPr>
            <w:tcW w:w="1559" w:type="dxa"/>
            <w:tcBorders>
              <w:top w:val="nil"/>
              <w:left w:val="single" w:sz="4" w:space="0" w:color="auto"/>
              <w:bottom w:val="single" w:sz="4" w:space="0" w:color="auto"/>
              <w:right w:val="nil"/>
            </w:tcBorders>
            <w:shd w:val="clear" w:color="auto" w:fill="auto"/>
            <w:noWrap/>
            <w:vAlign w:val="center"/>
            <w:hideMark/>
          </w:tcPr>
          <w:p w14:paraId="2AB6BD77" w14:textId="77777777" w:rsidR="00387142" w:rsidRPr="008B6A75" w:rsidRDefault="00387142" w:rsidP="00387142">
            <w:pPr>
              <w:jc w:val="center"/>
              <w:rPr>
                <w:sz w:val="20"/>
                <w:szCs w:val="20"/>
              </w:rPr>
            </w:pPr>
            <w:r w:rsidRPr="008B6A75">
              <w:rPr>
                <w:sz w:val="20"/>
                <w:szCs w:val="20"/>
              </w:rPr>
              <w:t>99.0.00.10100</w:t>
            </w:r>
          </w:p>
        </w:tc>
        <w:tc>
          <w:tcPr>
            <w:tcW w:w="850" w:type="dxa"/>
            <w:tcBorders>
              <w:top w:val="nil"/>
              <w:left w:val="single" w:sz="4" w:space="0" w:color="auto"/>
              <w:bottom w:val="single" w:sz="4" w:space="0" w:color="auto"/>
              <w:right w:val="nil"/>
            </w:tcBorders>
            <w:shd w:val="clear" w:color="auto" w:fill="auto"/>
            <w:noWrap/>
            <w:vAlign w:val="center"/>
            <w:hideMark/>
          </w:tcPr>
          <w:p w14:paraId="3F8F42DD" w14:textId="77777777" w:rsidR="00387142" w:rsidRPr="008B6A75" w:rsidRDefault="00387142" w:rsidP="00387142">
            <w:pPr>
              <w:jc w:val="center"/>
              <w:rPr>
                <w:sz w:val="20"/>
                <w:szCs w:val="20"/>
              </w:rPr>
            </w:pPr>
            <w:r w:rsidRPr="008B6A75">
              <w:rPr>
                <w:sz w:val="20"/>
                <w:szCs w:val="20"/>
              </w:rPr>
              <w:t>300</w:t>
            </w:r>
          </w:p>
        </w:tc>
        <w:tc>
          <w:tcPr>
            <w:tcW w:w="567" w:type="dxa"/>
            <w:tcBorders>
              <w:top w:val="nil"/>
              <w:left w:val="single" w:sz="4" w:space="0" w:color="auto"/>
              <w:bottom w:val="single" w:sz="4" w:space="0" w:color="auto"/>
              <w:right w:val="nil"/>
            </w:tcBorders>
            <w:shd w:val="clear" w:color="auto" w:fill="auto"/>
            <w:noWrap/>
            <w:vAlign w:val="center"/>
            <w:hideMark/>
          </w:tcPr>
          <w:p w14:paraId="760500CF" w14:textId="77777777" w:rsidR="00387142" w:rsidRPr="008B6A75" w:rsidRDefault="00387142" w:rsidP="00387142">
            <w:pPr>
              <w:jc w:val="center"/>
              <w:rPr>
                <w:sz w:val="20"/>
                <w:szCs w:val="20"/>
              </w:rPr>
            </w:pPr>
            <w:r w:rsidRPr="008B6A75">
              <w:rPr>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38FCEDF3" w14:textId="77777777" w:rsidR="00387142" w:rsidRPr="008B6A75" w:rsidRDefault="00387142" w:rsidP="00387142">
            <w:pPr>
              <w:jc w:val="center"/>
              <w:rPr>
                <w:sz w:val="20"/>
                <w:szCs w:val="20"/>
              </w:rPr>
            </w:pPr>
            <w:r w:rsidRPr="008B6A75">
              <w:rPr>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A415AB8" w14:textId="77777777" w:rsidR="00387142" w:rsidRPr="008B6A75" w:rsidRDefault="00387142" w:rsidP="00387142">
            <w:pPr>
              <w:jc w:val="right"/>
              <w:rPr>
                <w:sz w:val="20"/>
                <w:szCs w:val="20"/>
              </w:rPr>
            </w:pPr>
            <w:r w:rsidRPr="008B6A75">
              <w:rPr>
                <w:sz w:val="20"/>
                <w:szCs w:val="20"/>
              </w:rPr>
              <w:t>2 892 844,00</w:t>
            </w:r>
          </w:p>
        </w:tc>
        <w:tc>
          <w:tcPr>
            <w:tcW w:w="851" w:type="dxa"/>
            <w:tcBorders>
              <w:top w:val="nil"/>
              <w:left w:val="single" w:sz="4" w:space="0" w:color="auto"/>
              <w:bottom w:val="single" w:sz="4" w:space="0" w:color="auto"/>
              <w:right w:val="nil"/>
            </w:tcBorders>
            <w:shd w:val="clear" w:color="auto" w:fill="auto"/>
            <w:noWrap/>
            <w:vAlign w:val="center"/>
            <w:hideMark/>
          </w:tcPr>
          <w:p w14:paraId="18421DB6" w14:textId="77777777" w:rsidR="00387142" w:rsidRPr="008B6A75" w:rsidRDefault="00387142" w:rsidP="00387142">
            <w:pPr>
              <w:jc w:val="right"/>
              <w:rPr>
                <w:sz w:val="20"/>
                <w:szCs w:val="20"/>
              </w:rPr>
            </w:pPr>
            <w:r w:rsidRPr="008B6A75">
              <w:rPr>
                <w:sz w:val="20"/>
                <w:szCs w:val="20"/>
              </w:rPr>
              <w:t>3 415 529,76</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3B7A92EE" w14:textId="77777777" w:rsidR="00387142" w:rsidRPr="008B6A75" w:rsidRDefault="00387142" w:rsidP="00387142">
            <w:pPr>
              <w:jc w:val="right"/>
              <w:rPr>
                <w:sz w:val="20"/>
                <w:szCs w:val="20"/>
              </w:rPr>
            </w:pPr>
            <w:r w:rsidRPr="008B6A75">
              <w:rPr>
                <w:sz w:val="20"/>
                <w:szCs w:val="20"/>
              </w:rPr>
              <w:t>3 571 675,68</w:t>
            </w:r>
          </w:p>
        </w:tc>
      </w:tr>
      <w:tr w:rsidR="00387142" w:rsidRPr="008B6A75" w14:paraId="7A153A7B" w14:textId="77777777" w:rsidTr="00387142">
        <w:trPr>
          <w:trHeight w:val="585"/>
        </w:trPr>
        <w:tc>
          <w:tcPr>
            <w:tcW w:w="272" w:type="dxa"/>
            <w:tcBorders>
              <w:top w:val="nil"/>
              <w:left w:val="nil"/>
              <w:bottom w:val="nil"/>
              <w:right w:val="single" w:sz="4" w:space="0" w:color="auto"/>
            </w:tcBorders>
            <w:shd w:val="clear" w:color="auto" w:fill="auto"/>
            <w:noWrap/>
            <w:vAlign w:val="bottom"/>
            <w:hideMark/>
          </w:tcPr>
          <w:p w14:paraId="4ACD7A62"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47DCD4C6" w14:textId="77777777" w:rsidR="00387142" w:rsidRPr="008B6A75" w:rsidRDefault="00387142" w:rsidP="00387142">
            <w:pPr>
              <w:rPr>
                <w:sz w:val="20"/>
                <w:szCs w:val="20"/>
              </w:rPr>
            </w:pPr>
            <w:r w:rsidRPr="008B6A75">
              <w:rPr>
                <w:sz w:val="20"/>
                <w:szCs w:val="20"/>
              </w:rPr>
              <w:t>Публичные нормативные социальные выплаты гражданам</w:t>
            </w:r>
          </w:p>
        </w:tc>
        <w:tc>
          <w:tcPr>
            <w:tcW w:w="1559" w:type="dxa"/>
            <w:tcBorders>
              <w:top w:val="nil"/>
              <w:left w:val="single" w:sz="4" w:space="0" w:color="auto"/>
              <w:bottom w:val="single" w:sz="4" w:space="0" w:color="auto"/>
              <w:right w:val="nil"/>
            </w:tcBorders>
            <w:shd w:val="clear" w:color="auto" w:fill="auto"/>
            <w:noWrap/>
            <w:vAlign w:val="center"/>
            <w:hideMark/>
          </w:tcPr>
          <w:p w14:paraId="7DDB7B3B" w14:textId="77777777" w:rsidR="00387142" w:rsidRPr="008B6A75" w:rsidRDefault="00387142" w:rsidP="00387142">
            <w:pPr>
              <w:jc w:val="center"/>
              <w:rPr>
                <w:sz w:val="20"/>
                <w:szCs w:val="20"/>
              </w:rPr>
            </w:pPr>
            <w:r w:rsidRPr="008B6A75">
              <w:rPr>
                <w:sz w:val="20"/>
                <w:szCs w:val="20"/>
              </w:rPr>
              <w:t>99.0.00.10100</w:t>
            </w:r>
          </w:p>
        </w:tc>
        <w:tc>
          <w:tcPr>
            <w:tcW w:w="850" w:type="dxa"/>
            <w:tcBorders>
              <w:top w:val="nil"/>
              <w:left w:val="single" w:sz="4" w:space="0" w:color="auto"/>
              <w:bottom w:val="single" w:sz="4" w:space="0" w:color="auto"/>
              <w:right w:val="nil"/>
            </w:tcBorders>
            <w:shd w:val="clear" w:color="auto" w:fill="auto"/>
            <w:noWrap/>
            <w:vAlign w:val="center"/>
            <w:hideMark/>
          </w:tcPr>
          <w:p w14:paraId="68137553" w14:textId="77777777" w:rsidR="00387142" w:rsidRPr="008B6A75" w:rsidRDefault="00387142" w:rsidP="00387142">
            <w:pPr>
              <w:jc w:val="center"/>
              <w:rPr>
                <w:sz w:val="20"/>
                <w:szCs w:val="20"/>
              </w:rPr>
            </w:pPr>
            <w:r w:rsidRPr="008B6A75">
              <w:rPr>
                <w:sz w:val="20"/>
                <w:szCs w:val="20"/>
              </w:rPr>
              <w:t>310</w:t>
            </w:r>
          </w:p>
        </w:tc>
        <w:tc>
          <w:tcPr>
            <w:tcW w:w="567" w:type="dxa"/>
            <w:tcBorders>
              <w:top w:val="nil"/>
              <w:left w:val="single" w:sz="4" w:space="0" w:color="auto"/>
              <w:bottom w:val="single" w:sz="4" w:space="0" w:color="auto"/>
              <w:right w:val="nil"/>
            </w:tcBorders>
            <w:shd w:val="clear" w:color="auto" w:fill="auto"/>
            <w:noWrap/>
            <w:vAlign w:val="center"/>
            <w:hideMark/>
          </w:tcPr>
          <w:p w14:paraId="4D88EAC3" w14:textId="77777777" w:rsidR="00387142" w:rsidRPr="008B6A75" w:rsidRDefault="00387142" w:rsidP="00387142">
            <w:pPr>
              <w:jc w:val="center"/>
              <w:rPr>
                <w:sz w:val="20"/>
                <w:szCs w:val="20"/>
              </w:rPr>
            </w:pPr>
            <w:r w:rsidRPr="008B6A75">
              <w:rPr>
                <w:sz w:val="20"/>
                <w:szCs w:val="20"/>
              </w:rPr>
              <w:t>10</w:t>
            </w:r>
          </w:p>
        </w:tc>
        <w:tc>
          <w:tcPr>
            <w:tcW w:w="567" w:type="dxa"/>
            <w:tcBorders>
              <w:top w:val="nil"/>
              <w:left w:val="single" w:sz="4" w:space="0" w:color="auto"/>
              <w:bottom w:val="single" w:sz="4" w:space="0" w:color="auto"/>
              <w:right w:val="nil"/>
            </w:tcBorders>
            <w:shd w:val="clear" w:color="auto" w:fill="auto"/>
            <w:noWrap/>
            <w:vAlign w:val="center"/>
            <w:hideMark/>
          </w:tcPr>
          <w:p w14:paraId="18A30D1D" w14:textId="77777777" w:rsidR="00387142" w:rsidRPr="008B6A75" w:rsidRDefault="00387142" w:rsidP="00387142">
            <w:pPr>
              <w:jc w:val="center"/>
              <w:rPr>
                <w:sz w:val="20"/>
                <w:szCs w:val="20"/>
              </w:rPr>
            </w:pPr>
            <w:r w:rsidRPr="008B6A75">
              <w:rPr>
                <w:sz w:val="20"/>
                <w:szCs w:val="20"/>
              </w:rPr>
              <w:t>01</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23AD5F2" w14:textId="77777777" w:rsidR="00387142" w:rsidRPr="008B6A75" w:rsidRDefault="00387142" w:rsidP="00387142">
            <w:pPr>
              <w:jc w:val="right"/>
              <w:rPr>
                <w:sz w:val="20"/>
                <w:szCs w:val="20"/>
              </w:rPr>
            </w:pPr>
            <w:r w:rsidRPr="008B6A75">
              <w:rPr>
                <w:sz w:val="20"/>
                <w:szCs w:val="20"/>
              </w:rPr>
              <w:t>2 892 844,00</w:t>
            </w:r>
          </w:p>
        </w:tc>
        <w:tc>
          <w:tcPr>
            <w:tcW w:w="851" w:type="dxa"/>
            <w:tcBorders>
              <w:top w:val="nil"/>
              <w:left w:val="single" w:sz="4" w:space="0" w:color="auto"/>
              <w:bottom w:val="single" w:sz="4" w:space="0" w:color="auto"/>
              <w:right w:val="nil"/>
            </w:tcBorders>
            <w:shd w:val="clear" w:color="auto" w:fill="auto"/>
            <w:noWrap/>
            <w:vAlign w:val="center"/>
            <w:hideMark/>
          </w:tcPr>
          <w:p w14:paraId="662E7888" w14:textId="77777777" w:rsidR="00387142" w:rsidRPr="008B6A75" w:rsidRDefault="00387142" w:rsidP="00387142">
            <w:pPr>
              <w:jc w:val="right"/>
              <w:rPr>
                <w:sz w:val="20"/>
                <w:szCs w:val="20"/>
              </w:rPr>
            </w:pPr>
            <w:r w:rsidRPr="008B6A75">
              <w:rPr>
                <w:sz w:val="20"/>
                <w:szCs w:val="20"/>
              </w:rPr>
              <w:t>3 415 529,76</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1FD2EE85" w14:textId="77777777" w:rsidR="00387142" w:rsidRPr="008B6A75" w:rsidRDefault="00387142" w:rsidP="00387142">
            <w:pPr>
              <w:jc w:val="right"/>
              <w:rPr>
                <w:sz w:val="20"/>
                <w:szCs w:val="20"/>
              </w:rPr>
            </w:pPr>
            <w:r w:rsidRPr="008B6A75">
              <w:rPr>
                <w:sz w:val="20"/>
                <w:szCs w:val="20"/>
              </w:rPr>
              <w:t>3 571 675,68</w:t>
            </w:r>
          </w:p>
        </w:tc>
      </w:tr>
      <w:tr w:rsidR="00387142" w:rsidRPr="008B6A75" w14:paraId="30A29DBE" w14:textId="77777777" w:rsidTr="00387142">
        <w:trPr>
          <w:trHeight w:val="870"/>
        </w:trPr>
        <w:tc>
          <w:tcPr>
            <w:tcW w:w="272" w:type="dxa"/>
            <w:tcBorders>
              <w:top w:val="nil"/>
              <w:left w:val="nil"/>
              <w:bottom w:val="nil"/>
              <w:right w:val="single" w:sz="4" w:space="0" w:color="auto"/>
            </w:tcBorders>
            <w:shd w:val="clear" w:color="auto" w:fill="auto"/>
            <w:noWrap/>
            <w:vAlign w:val="bottom"/>
            <w:hideMark/>
          </w:tcPr>
          <w:p w14:paraId="1B717C8B"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6BC39DB6" w14:textId="77777777" w:rsidR="00387142" w:rsidRPr="008B6A75" w:rsidRDefault="00387142" w:rsidP="00387142">
            <w:pPr>
              <w:rPr>
                <w:bCs/>
                <w:sz w:val="20"/>
                <w:szCs w:val="20"/>
              </w:rPr>
            </w:pPr>
            <w:r w:rsidRPr="008B6A75">
              <w:rPr>
                <w:bCs/>
                <w:sz w:val="20"/>
                <w:szCs w:val="20"/>
              </w:rPr>
              <w:t xml:space="preserve">Расходы на предоставление </w:t>
            </w:r>
            <w:proofErr w:type="gramStart"/>
            <w:r w:rsidRPr="008B6A75">
              <w:rPr>
                <w:bCs/>
                <w:sz w:val="20"/>
                <w:szCs w:val="20"/>
              </w:rPr>
              <w:t>субсидий  отдельным</w:t>
            </w:r>
            <w:proofErr w:type="gramEnd"/>
            <w:r w:rsidRPr="008B6A75">
              <w:rPr>
                <w:bCs/>
                <w:sz w:val="20"/>
                <w:szCs w:val="20"/>
              </w:rPr>
              <w:t xml:space="preserve"> общественным организациям и иным некоммерческих организациям</w:t>
            </w:r>
          </w:p>
        </w:tc>
        <w:tc>
          <w:tcPr>
            <w:tcW w:w="1559" w:type="dxa"/>
            <w:tcBorders>
              <w:top w:val="nil"/>
              <w:left w:val="single" w:sz="4" w:space="0" w:color="auto"/>
              <w:bottom w:val="single" w:sz="4" w:space="0" w:color="auto"/>
              <w:right w:val="nil"/>
            </w:tcBorders>
            <w:shd w:val="clear" w:color="auto" w:fill="auto"/>
            <w:noWrap/>
            <w:vAlign w:val="center"/>
            <w:hideMark/>
          </w:tcPr>
          <w:p w14:paraId="4A863851" w14:textId="77777777" w:rsidR="00387142" w:rsidRPr="008B6A75" w:rsidRDefault="00387142" w:rsidP="00387142">
            <w:pPr>
              <w:jc w:val="center"/>
              <w:rPr>
                <w:bCs/>
                <w:sz w:val="20"/>
                <w:szCs w:val="20"/>
              </w:rPr>
            </w:pPr>
            <w:r w:rsidRPr="008B6A75">
              <w:rPr>
                <w:bCs/>
                <w:sz w:val="20"/>
                <w:szCs w:val="20"/>
              </w:rPr>
              <w:t>99.0.00.10210</w:t>
            </w:r>
          </w:p>
        </w:tc>
        <w:tc>
          <w:tcPr>
            <w:tcW w:w="850" w:type="dxa"/>
            <w:tcBorders>
              <w:top w:val="nil"/>
              <w:left w:val="single" w:sz="4" w:space="0" w:color="auto"/>
              <w:bottom w:val="single" w:sz="4" w:space="0" w:color="auto"/>
              <w:right w:val="nil"/>
            </w:tcBorders>
            <w:shd w:val="clear" w:color="auto" w:fill="auto"/>
            <w:noWrap/>
            <w:vAlign w:val="center"/>
            <w:hideMark/>
          </w:tcPr>
          <w:p w14:paraId="1A2B562B" w14:textId="77777777" w:rsidR="00387142" w:rsidRPr="008B6A75" w:rsidRDefault="00387142" w:rsidP="00387142">
            <w:pPr>
              <w:jc w:val="center"/>
              <w:rPr>
                <w:bCs/>
                <w:sz w:val="20"/>
                <w:szCs w:val="20"/>
              </w:rPr>
            </w:pPr>
            <w:r w:rsidRPr="008B6A75">
              <w:rPr>
                <w:bCs/>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0B9561D4" w14:textId="77777777" w:rsidR="00387142" w:rsidRPr="008B6A75" w:rsidRDefault="00387142" w:rsidP="00387142">
            <w:pPr>
              <w:jc w:val="center"/>
              <w:rPr>
                <w:bCs/>
                <w:sz w:val="20"/>
                <w:szCs w:val="20"/>
              </w:rPr>
            </w:pPr>
            <w:r w:rsidRPr="008B6A75">
              <w:rPr>
                <w:bCs/>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7CD6A9F3" w14:textId="77777777" w:rsidR="00387142" w:rsidRPr="008B6A75" w:rsidRDefault="00387142" w:rsidP="00387142">
            <w:pPr>
              <w:jc w:val="center"/>
              <w:rPr>
                <w:bCs/>
                <w:sz w:val="20"/>
                <w:szCs w:val="20"/>
              </w:rPr>
            </w:pPr>
            <w:r w:rsidRPr="008B6A75">
              <w:rPr>
                <w:bCs/>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242C85C" w14:textId="77777777" w:rsidR="00387142" w:rsidRPr="008B6A75" w:rsidRDefault="00387142" w:rsidP="00387142">
            <w:pPr>
              <w:jc w:val="right"/>
              <w:rPr>
                <w:bCs/>
                <w:sz w:val="20"/>
                <w:szCs w:val="20"/>
              </w:rPr>
            </w:pPr>
            <w:r w:rsidRPr="008B6A75">
              <w:rPr>
                <w:bCs/>
                <w:sz w:val="20"/>
                <w:szCs w:val="20"/>
              </w:rPr>
              <w:t>331 790,00</w:t>
            </w:r>
          </w:p>
        </w:tc>
        <w:tc>
          <w:tcPr>
            <w:tcW w:w="851" w:type="dxa"/>
            <w:tcBorders>
              <w:top w:val="nil"/>
              <w:left w:val="single" w:sz="4" w:space="0" w:color="auto"/>
              <w:bottom w:val="single" w:sz="4" w:space="0" w:color="auto"/>
              <w:right w:val="nil"/>
            </w:tcBorders>
            <w:shd w:val="clear" w:color="auto" w:fill="auto"/>
            <w:noWrap/>
            <w:vAlign w:val="center"/>
            <w:hideMark/>
          </w:tcPr>
          <w:p w14:paraId="670D5FA4" w14:textId="77777777" w:rsidR="00387142" w:rsidRPr="008B6A75" w:rsidRDefault="00387142" w:rsidP="00387142">
            <w:pPr>
              <w:jc w:val="right"/>
              <w:rPr>
                <w:bCs/>
                <w:sz w:val="20"/>
                <w:szCs w:val="20"/>
              </w:rPr>
            </w:pPr>
            <w:r w:rsidRPr="008B6A75">
              <w:rPr>
                <w:bCs/>
                <w:sz w:val="20"/>
                <w:szCs w:val="20"/>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071AF7D7" w14:textId="77777777" w:rsidR="00387142" w:rsidRPr="008B6A75" w:rsidRDefault="00387142" w:rsidP="00387142">
            <w:pPr>
              <w:jc w:val="right"/>
              <w:rPr>
                <w:bCs/>
                <w:sz w:val="20"/>
                <w:szCs w:val="20"/>
              </w:rPr>
            </w:pPr>
            <w:r w:rsidRPr="008B6A75">
              <w:rPr>
                <w:bCs/>
                <w:sz w:val="20"/>
                <w:szCs w:val="20"/>
              </w:rPr>
              <w:t>0,00</w:t>
            </w:r>
          </w:p>
        </w:tc>
      </w:tr>
      <w:tr w:rsidR="00387142" w:rsidRPr="008B6A75" w14:paraId="036F868A" w14:textId="77777777" w:rsidTr="00387142">
        <w:trPr>
          <w:trHeight w:val="870"/>
        </w:trPr>
        <w:tc>
          <w:tcPr>
            <w:tcW w:w="272" w:type="dxa"/>
            <w:tcBorders>
              <w:top w:val="nil"/>
              <w:left w:val="nil"/>
              <w:bottom w:val="nil"/>
              <w:right w:val="single" w:sz="4" w:space="0" w:color="auto"/>
            </w:tcBorders>
            <w:shd w:val="clear" w:color="auto" w:fill="auto"/>
            <w:noWrap/>
            <w:vAlign w:val="bottom"/>
            <w:hideMark/>
          </w:tcPr>
          <w:p w14:paraId="698A430F"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783B89C3" w14:textId="77777777" w:rsidR="00387142" w:rsidRPr="008B6A75" w:rsidRDefault="00387142" w:rsidP="00387142">
            <w:pPr>
              <w:rPr>
                <w:sz w:val="20"/>
                <w:szCs w:val="20"/>
              </w:rPr>
            </w:pPr>
            <w:r w:rsidRPr="008B6A75">
              <w:rPr>
                <w:sz w:val="20"/>
                <w:szCs w:val="20"/>
              </w:rPr>
              <w:t>Предоставление субсидий бюджетным, автономным учреждениям и иным некоммерческим организациям</w:t>
            </w:r>
          </w:p>
        </w:tc>
        <w:tc>
          <w:tcPr>
            <w:tcW w:w="1559" w:type="dxa"/>
            <w:tcBorders>
              <w:top w:val="nil"/>
              <w:left w:val="single" w:sz="4" w:space="0" w:color="auto"/>
              <w:bottom w:val="single" w:sz="4" w:space="0" w:color="auto"/>
              <w:right w:val="nil"/>
            </w:tcBorders>
            <w:shd w:val="clear" w:color="auto" w:fill="auto"/>
            <w:noWrap/>
            <w:vAlign w:val="center"/>
            <w:hideMark/>
          </w:tcPr>
          <w:p w14:paraId="1F20EC96" w14:textId="77777777" w:rsidR="00387142" w:rsidRPr="008B6A75" w:rsidRDefault="00387142" w:rsidP="00387142">
            <w:pPr>
              <w:jc w:val="center"/>
              <w:rPr>
                <w:sz w:val="20"/>
                <w:szCs w:val="20"/>
              </w:rPr>
            </w:pPr>
            <w:r w:rsidRPr="008B6A75">
              <w:rPr>
                <w:sz w:val="20"/>
                <w:szCs w:val="20"/>
              </w:rPr>
              <w:t>99.0.00.10210</w:t>
            </w:r>
          </w:p>
        </w:tc>
        <w:tc>
          <w:tcPr>
            <w:tcW w:w="850" w:type="dxa"/>
            <w:tcBorders>
              <w:top w:val="nil"/>
              <w:left w:val="single" w:sz="4" w:space="0" w:color="auto"/>
              <w:bottom w:val="single" w:sz="4" w:space="0" w:color="auto"/>
              <w:right w:val="nil"/>
            </w:tcBorders>
            <w:shd w:val="clear" w:color="auto" w:fill="auto"/>
            <w:noWrap/>
            <w:vAlign w:val="center"/>
            <w:hideMark/>
          </w:tcPr>
          <w:p w14:paraId="4D20FBF3" w14:textId="77777777" w:rsidR="00387142" w:rsidRPr="008B6A75" w:rsidRDefault="00387142" w:rsidP="00387142">
            <w:pPr>
              <w:jc w:val="center"/>
              <w:rPr>
                <w:sz w:val="20"/>
                <w:szCs w:val="20"/>
              </w:rPr>
            </w:pPr>
            <w:r w:rsidRPr="008B6A75">
              <w:rPr>
                <w:sz w:val="20"/>
                <w:szCs w:val="20"/>
              </w:rPr>
              <w:t>600</w:t>
            </w:r>
          </w:p>
        </w:tc>
        <w:tc>
          <w:tcPr>
            <w:tcW w:w="567" w:type="dxa"/>
            <w:tcBorders>
              <w:top w:val="nil"/>
              <w:left w:val="single" w:sz="4" w:space="0" w:color="auto"/>
              <w:bottom w:val="single" w:sz="4" w:space="0" w:color="auto"/>
              <w:right w:val="nil"/>
            </w:tcBorders>
            <w:shd w:val="clear" w:color="auto" w:fill="auto"/>
            <w:noWrap/>
            <w:vAlign w:val="center"/>
            <w:hideMark/>
          </w:tcPr>
          <w:p w14:paraId="056E81BB" w14:textId="77777777" w:rsidR="00387142" w:rsidRPr="008B6A75" w:rsidRDefault="00387142" w:rsidP="00387142">
            <w:pPr>
              <w:jc w:val="center"/>
              <w:rPr>
                <w:sz w:val="20"/>
                <w:szCs w:val="20"/>
              </w:rPr>
            </w:pPr>
            <w:r w:rsidRPr="008B6A75">
              <w:rPr>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7B739E59" w14:textId="77777777" w:rsidR="00387142" w:rsidRPr="008B6A75" w:rsidRDefault="00387142" w:rsidP="00387142">
            <w:pPr>
              <w:jc w:val="center"/>
              <w:rPr>
                <w:sz w:val="20"/>
                <w:szCs w:val="20"/>
              </w:rPr>
            </w:pPr>
            <w:r w:rsidRPr="008B6A75">
              <w:rPr>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D8EBE1C" w14:textId="77777777" w:rsidR="00387142" w:rsidRPr="008B6A75" w:rsidRDefault="00387142" w:rsidP="00387142">
            <w:pPr>
              <w:jc w:val="right"/>
              <w:rPr>
                <w:sz w:val="20"/>
                <w:szCs w:val="20"/>
              </w:rPr>
            </w:pPr>
            <w:r w:rsidRPr="008B6A75">
              <w:rPr>
                <w:sz w:val="20"/>
                <w:szCs w:val="20"/>
              </w:rPr>
              <w:t>331 790,00</w:t>
            </w:r>
          </w:p>
        </w:tc>
        <w:tc>
          <w:tcPr>
            <w:tcW w:w="851" w:type="dxa"/>
            <w:tcBorders>
              <w:top w:val="nil"/>
              <w:left w:val="single" w:sz="4" w:space="0" w:color="auto"/>
              <w:bottom w:val="single" w:sz="4" w:space="0" w:color="auto"/>
              <w:right w:val="nil"/>
            </w:tcBorders>
            <w:shd w:val="clear" w:color="auto" w:fill="auto"/>
            <w:noWrap/>
            <w:vAlign w:val="center"/>
            <w:hideMark/>
          </w:tcPr>
          <w:p w14:paraId="082002BB" w14:textId="77777777" w:rsidR="00387142" w:rsidRPr="008B6A75" w:rsidRDefault="00387142" w:rsidP="00387142">
            <w:pPr>
              <w:jc w:val="right"/>
              <w:rPr>
                <w:sz w:val="20"/>
                <w:szCs w:val="20"/>
              </w:rPr>
            </w:pPr>
            <w:r w:rsidRPr="008B6A75">
              <w:rPr>
                <w:sz w:val="20"/>
                <w:szCs w:val="20"/>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4F156925" w14:textId="77777777" w:rsidR="00387142" w:rsidRPr="008B6A75" w:rsidRDefault="00387142" w:rsidP="00387142">
            <w:pPr>
              <w:jc w:val="right"/>
              <w:rPr>
                <w:sz w:val="20"/>
                <w:szCs w:val="20"/>
              </w:rPr>
            </w:pPr>
            <w:r w:rsidRPr="008B6A75">
              <w:rPr>
                <w:sz w:val="20"/>
                <w:szCs w:val="20"/>
              </w:rPr>
              <w:t>0,00</w:t>
            </w:r>
          </w:p>
        </w:tc>
      </w:tr>
      <w:tr w:rsidR="00387142" w:rsidRPr="008B6A75" w14:paraId="06877860" w14:textId="77777777" w:rsidTr="00387142">
        <w:trPr>
          <w:trHeight w:val="870"/>
        </w:trPr>
        <w:tc>
          <w:tcPr>
            <w:tcW w:w="272" w:type="dxa"/>
            <w:tcBorders>
              <w:top w:val="nil"/>
              <w:left w:val="nil"/>
              <w:bottom w:val="nil"/>
              <w:right w:val="single" w:sz="4" w:space="0" w:color="auto"/>
            </w:tcBorders>
            <w:shd w:val="clear" w:color="auto" w:fill="auto"/>
            <w:noWrap/>
            <w:vAlign w:val="bottom"/>
            <w:hideMark/>
          </w:tcPr>
          <w:p w14:paraId="6889044B" w14:textId="77777777" w:rsidR="00387142" w:rsidRPr="008B6A75" w:rsidRDefault="00387142" w:rsidP="00387142">
            <w:pPr>
              <w:rPr>
                <w:sz w:val="20"/>
                <w:szCs w:val="20"/>
              </w:rPr>
            </w:pPr>
            <w:r w:rsidRPr="008B6A75">
              <w:rPr>
                <w:sz w:val="20"/>
                <w:szCs w:val="20"/>
              </w:rPr>
              <w:lastRenderedPageBreak/>
              <w:t> </w:t>
            </w:r>
          </w:p>
        </w:tc>
        <w:tc>
          <w:tcPr>
            <w:tcW w:w="3415" w:type="dxa"/>
            <w:tcBorders>
              <w:top w:val="nil"/>
              <w:left w:val="single" w:sz="4" w:space="0" w:color="auto"/>
              <w:bottom w:val="single" w:sz="4" w:space="0" w:color="auto"/>
              <w:right w:val="nil"/>
            </w:tcBorders>
            <w:shd w:val="clear" w:color="auto" w:fill="auto"/>
            <w:vAlign w:val="center"/>
            <w:hideMark/>
          </w:tcPr>
          <w:p w14:paraId="6B7698DF" w14:textId="77777777" w:rsidR="00387142" w:rsidRPr="008B6A75" w:rsidRDefault="00387142" w:rsidP="00387142">
            <w:pPr>
              <w:rPr>
                <w:sz w:val="20"/>
                <w:szCs w:val="20"/>
              </w:rPr>
            </w:pPr>
            <w:r w:rsidRPr="008B6A75">
              <w:rPr>
                <w:sz w:val="20"/>
                <w:szCs w:val="20"/>
              </w:rPr>
              <w:t>Субсидии некоммерческим организациям (за исключением государственных (муниципальных) учреждений)</w:t>
            </w:r>
          </w:p>
        </w:tc>
        <w:tc>
          <w:tcPr>
            <w:tcW w:w="1559" w:type="dxa"/>
            <w:tcBorders>
              <w:top w:val="nil"/>
              <w:left w:val="single" w:sz="4" w:space="0" w:color="auto"/>
              <w:bottom w:val="single" w:sz="4" w:space="0" w:color="auto"/>
              <w:right w:val="nil"/>
            </w:tcBorders>
            <w:shd w:val="clear" w:color="auto" w:fill="auto"/>
            <w:noWrap/>
            <w:vAlign w:val="center"/>
            <w:hideMark/>
          </w:tcPr>
          <w:p w14:paraId="3FD384DE" w14:textId="77777777" w:rsidR="00387142" w:rsidRPr="008B6A75" w:rsidRDefault="00387142" w:rsidP="00387142">
            <w:pPr>
              <w:jc w:val="center"/>
              <w:rPr>
                <w:sz w:val="20"/>
                <w:szCs w:val="20"/>
              </w:rPr>
            </w:pPr>
            <w:r w:rsidRPr="008B6A75">
              <w:rPr>
                <w:sz w:val="20"/>
                <w:szCs w:val="20"/>
              </w:rPr>
              <w:t>99.0.00.10210</w:t>
            </w:r>
          </w:p>
        </w:tc>
        <w:tc>
          <w:tcPr>
            <w:tcW w:w="850" w:type="dxa"/>
            <w:tcBorders>
              <w:top w:val="nil"/>
              <w:left w:val="single" w:sz="4" w:space="0" w:color="auto"/>
              <w:bottom w:val="single" w:sz="4" w:space="0" w:color="auto"/>
              <w:right w:val="nil"/>
            </w:tcBorders>
            <w:shd w:val="clear" w:color="auto" w:fill="auto"/>
            <w:noWrap/>
            <w:vAlign w:val="center"/>
            <w:hideMark/>
          </w:tcPr>
          <w:p w14:paraId="309D1B2E" w14:textId="77777777" w:rsidR="00387142" w:rsidRPr="008B6A75" w:rsidRDefault="00387142" w:rsidP="00387142">
            <w:pPr>
              <w:jc w:val="center"/>
              <w:rPr>
                <w:sz w:val="20"/>
                <w:szCs w:val="20"/>
              </w:rPr>
            </w:pPr>
            <w:r w:rsidRPr="008B6A75">
              <w:rPr>
                <w:sz w:val="20"/>
                <w:szCs w:val="20"/>
              </w:rPr>
              <w:t>630</w:t>
            </w:r>
          </w:p>
        </w:tc>
        <w:tc>
          <w:tcPr>
            <w:tcW w:w="567" w:type="dxa"/>
            <w:tcBorders>
              <w:top w:val="nil"/>
              <w:left w:val="single" w:sz="4" w:space="0" w:color="auto"/>
              <w:bottom w:val="single" w:sz="4" w:space="0" w:color="auto"/>
              <w:right w:val="nil"/>
            </w:tcBorders>
            <w:shd w:val="clear" w:color="auto" w:fill="auto"/>
            <w:noWrap/>
            <w:vAlign w:val="center"/>
            <w:hideMark/>
          </w:tcPr>
          <w:p w14:paraId="16288815" w14:textId="77777777" w:rsidR="00387142" w:rsidRPr="008B6A75" w:rsidRDefault="00387142" w:rsidP="00387142">
            <w:pPr>
              <w:jc w:val="center"/>
              <w:rPr>
                <w:sz w:val="20"/>
                <w:szCs w:val="20"/>
              </w:rPr>
            </w:pPr>
            <w:r w:rsidRPr="008B6A75">
              <w:rPr>
                <w:sz w:val="20"/>
                <w:szCs w:val="20"/>
              </w:rPr>
              <w:t>10</w:t>
            </w:r>
          </w:p>
        </w:tc>
        <w:tc>
          <w:tcPr>
            <w:tcW w:w="567" w:type="dxa"/>
            <w:tcBorders>
              <w:top w:val="nil"/>
              <w:left w:val="single" w:sz="4" w:space="0" w:color="auto"/>
              <w:bottom w:val="single" w:sz="4" w:space="0" w:color="auto"/>
              <w:right w:val="nil"/>
            </w:tcBorders>
            <w:shd w:val="clear" w:color="auto" w:fill="auto"/>
            <w:noWrap/>
            <w:vAlign w:val="center"/>
            <w:hideMark/>
          </w:tcPr>
          <w:p w14:paraId="2BF95556" w14:textId="77777777" w:rsidR="00387142" w:rsidRPr="008B6A75" w:rsidRDefault="00387142" w:rsidP="00387142">
            <w:pPr>
              <w:jc w:val="center"/>
              <w:rPr>
                <w:sz w:val="20"/>
                <w:szCs w:val="20"/>
              </w:rPr>
            </w:pPr>
            <w:r w:rsidRPr="008B6A75">
              <w:rPr>
                <w:sz w:val="20"/>
                <w:szCs w:val="20"/>
              </w:rPr>
              <w:t>06</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74B9791" w14:textId="77777777" w:rsidR="00387142" w:rsidRPr="008B6A75" w:rsidRDefault="00387142" w:rsidP="00387142">
            <w:pPr>
              <w:jc w:val="right"/>
              <w:rPr>
                <w:sz w:val="20"/>
                <w:szCs w:val="20"/>
              </w:rPr>
            </w:pPr>
            <w:r w:rsidRPr="008B6A75">
              <w:rPr>
                <w:sz w:val="20"/>
                <w:szCs w:val="20"/>
              </w:rPr>
              <w:t>331 790,00</w:t>
            </w:r>
          </w:p>
        </w:tc>
        <w:tc>
          <w:tcPr>
            <w:tcW w:w="851" w:type="dxa"/>
            <w:tcBorders>
              <w:top w:val="nil"/>
              <w:left w:val="single" w:sz="4" w:space="0" w:color="auto"/>
              <w:bottom w:val="single" w:sz="4" w:space="0" w:color="auto"/>
              <w:right w:val="nil"/>
            </w:tcBorders>
            <w:shd w:val="clear" w:color="auto" w:fill="auto"/>
            <w:noWrap/>
            <w:vAlign w:val="center"/>
            <w:hideMark/>
          </w:tcPr>
          <w:p w14:paraId="4A02488D" w14:textId="77777777" w:rsidR="00387142" w:rsidRPr="008B6A75" w:rsidRDefault="00387142" w:rsidP="00387142">
            <w:pPr>
              <w:jc w:val="right"/>
              <w:rPr>
                <w:sz w:val="20"/>
                <w:szCs w:val="20"/>
              </w:rPr>
            </w:pPr>
            <w:r w:rsidRPr="008B6A75">
              <w:rPr>
                <w:sz w:val="20"/>
                <w:szCs w:val="20"/>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54A62FE0" w14:textId="77777777" w:rsidR="00387142" w:rsidRPr="008B6A75" w:rsidRDefault="00387142" w:rsidP="00387142">
            <w:pPr>
              <w:jc w:val="right"/>
              <w:rPr>
                <w:sz w:val="20"/>
                <w:szCs w:val="20"/>
              </w:rPr>
            </w:pPr>
            <w:r w:rsidRPr="008B6A75">
              <w:rPr>
                <w:sz w:val="20"/>
                <w:szCs w:val="20"/>
              </w:rPr>
              <w:t>0,00</w:t>
            </w:r>
          </w:p>
        </w:tc>
      </w:tr>
      <w:tr w:rsidR="00387142" w:rsidRPr="008B6A75" w14:paraId="460E4057" w14:textId="77777777" w:rsidTr="00387142">
        <w:trPr>
          <w:trHeight w:val="300"/>
        </w:trPr>
        <w:tc>
          <w:tcPr>
            <w:tcW w:w="272" w:type="dxa"/>
            <w:tcBorders>
              <w:top w:val="nil"/>
              <w:left w:val="nil"/>
              <w:bottom w:val="nil"/>
              <w:right w:val="single" w:sz="4" w:space="0" w:color="auto"/>
            </w:tcBorders>
            <w:shd w:val="clear" w:color="auto" w:fill="auto"/>
            <w:noWrap/>
            <w:vAlign w:val="bottom"/>
            <w:hideMark/>
          </w:tcPr>
          <w:p w14:paraId="16219FBE"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22F9FD96" w14:textId="77777777" w:rsidR="00387142" w:rsidRPr="008B6A75" w:rsidRDefault="00387142" w:rsidP="00387142">
            <w:pPr>
              <w:rPr>
                <w:bCs/>
                <w:sz w:val="20"/>
                <w:szCs w:val="20"/>
              </w:rPr>
            </w:pPr>
            <w:r w:rsidRPr="008B6A75">
              <w:rPr>
                <w:bCs/>
                <w:sz w:val="20"/>
                <w:szCs w:val="20"/>
              </w:rPr>
              <w:t>Денежная выплата почетным гражданам</w:t>
            </w:r>
          </w:p>
        </w:tc>
        <w:tc>
          <w:tcPr>
            <w:tcW w:w="1559" w:type="dxa"/>
            <w:tcBorders>
              <w:top w:val="nil"/>
              <w:left w:val="single" w:sz="4" w:space="0" w:color="auto"/>
              <w:bottom w:val="single" w:sz="4" w:space="0" w:color="auto"/>
              <w:right w:val="nil"/>
            </w:tcBorders>
            <w:shd w:val="clear" w:color="auto" w:fill="auto"/>
            <w:noWrap/>
            <w:vAlign w:val="center"/>
            <w:hideMark/>
          </w:tcPr>
          <w:p w14:paraId="6B823ADB" w14:textId="77777777" w:rsidR="00387142" w:rsidRPr="008B6A75" w:rsidRDefault="00387142" w:rsidP="00387142">
            <w:pPr>
              <w:jc w:val="center"/>
              <w:rPr>
                <w:bCs/>
                <w:sz w:val="20"/>
                <w:szCs w:val="20"/>
              </w:rPr>
            </w:pPr>
            <w:r w:rsidRPr="008B6A75">
              <w:rPr>
                <w:bCs/>
                <w:sz w:val="20"/>
                <w:szCs w:val="20"/>
              </w:rPr>
              <w:t>99.0.00.10400</w:t>
            </w:r>
          </w:p>
        </w:tc>
        <w:tc>
          <w:tcPr>
            <w:tcW w:w="850" w:type="dxa"/>
            <w:tcBorders>
              <w:top w:val="nil"/>
              <w:left w:val="single" w:sz="4" w:space="0" w:color="auto"/>
              <w:bottom w:val="single" w:sz="4" w:space="0" w:color="auto"/>
              <w:right w:val="nil"/>
            </w:tcBorders>
            <w:shd w:val="clear" w:color="auto" w:fill="auto"/>
            <w:noWrap/>
            <w:vAlign w:val="center"/>
            <w:hideMark/>
          </w:tcPr>
          <w:p w14:paraId="7E18DBD1" w14:textId="77777777" w:rsidR="00387142" w:rsidRPr="008B6A75" w:rsidRDefault="00387142" w:rsidP="00387142">
            <w:pPr>
              <w:jc w:val="center"/>
              <w:rPr>
                <w:bCs/>
                <w:sz w:val="20"/>
                <w:szCs w:val="20"/>
              </w:rPr>
            </w:pPr>
            <w:r w:rsidRPr="008B6A75">
              <w:rPr>
                <w:bCs/>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1AB5CF4C" w14:textId="77777777" w:rsidR="00387142" w:rsidRPr="008B6A75" w:rsidRDefault="00387142" w:rsidP="00387142">
            <w:pPr>
              <w:jc w:val="center"/>
              <w:rPr>
                <w:bCs/>
                <w:sz w:val="20"/>
                <w:szCs w:val="20"/>
              </w:rPr>
            </w:pPr>
            <w:r w:rsidRPr="008B6A75">
              <w:rPr>
                <w:bCs/>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4BDE5F84" w14:textId="77777777" w:rsidR="00387142" w:rsidRPr="008B6A75" w:rsidRDefault="00387142" w:rsidP="00387142">
            <w:pPr>
              <w:jc w:val="center"/>
              <w:rPr>
                <w:bCs/>
                <w:sz w:val="20"/>
                <w:szCs w:val="20"/>
              </w:rPr>
            </w:pPr>
            <w:r w:rsidRPr="008B6A75">
              <w:rPr>
                <w:bCs/>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D031AAE" w14:textId="77777777" w:rsidR="00387142" w:rsidRPr="008B6A75" w:rsidRDefault="00387142" w:rsidP="00387142">
            <w:pPr>
              <w:jc w:val="right"/>
              <w:rPr>
                <w:bCs/>
                <w:sz w:val="20"/>
                <w:szCs w:val="20"/>
              </w:rPr>
            </w:pPr>
            <w:r w:rsidRPr="008B6A75">
              <w:rPr>
                <w:bCs/>
                <w:sz w:val="20"/>
                <w:szCs w:val="20"/>
              </w:rPr>
              <w:t>275 862,00</w:t>
            </w:r>
          </w:p>
        </w:tc>
        <w:tc>
          <w:tcPr>
            <w:tcW w:w="851" w:type="dxa"/>
            <w:tcBorders>
              <w:top w:val="nil"/>
              <w:left w:val="single" w:sz="4" w:space="0" w:color="auto"/>
              <w:bottom w:val="single" w:sz="4" w:space="0" w:color="auto"/>
              <w:right w:val="nil"/>
            </w:tcBorders>
            <w:shd w:val="clear" w:color="auto" w:fill="auto"/>
            <w:noWrap/>
            <w:vAlign w:val="center"/>
            <w:hideMark/>
          </w:tcPr>
          <w:p w14:paraId="6B2342E0" w14:textId="77777777" w:rsidR="00387142" w:rsidRPr="008B6A75" w:rsidRDefault="00387142" w:rsidP="00387142">
            <w:pPr>
              <w:jc w:val="right"/>
              <w:rPr>
                <w:bCs/>
                <w:sz w:val="20"/>
                <w:szCs w:val="20"/>
              </w:rPr>
            </w:pPr>
            <w:r w:rsidRPr="008B6A75">
              <w:rPr>
                <w:bCs/>
                <w:sz w:val="20"/>
                <w:szCs w:val="20"/>
              </w:rPr>
              <w:t>275 862,00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42C97805" w14:textId="77777777" w:rsidR="00387142" w:rsidRPr="008B6A75" w:rsidRDefault="00387142" w:rsidP="00387142">
            <w:pPr>
              <w:jc w:val="right"/>
              <w:rPr>
                <w:bCs/>
                <w:sz w:val="20"/>
                <w:szCs w:val="20"/>
              </w:rPr>
            </w:pPr>
            <w:r w:rsidRPr="008B6A75">
              <w:rPr>
                <w:bCs/>
                <w:sz w:val="20"/>
                <w:szCs w:val="20"/>
              </w:rPr>
              <w:t>275 862,00</w:t>
            </w:r>
          </w:p>
        </w:tc>
      </w:tr>
      <w:tr w:rsidR="00387142" w:rsidRPr="008B6A75" w14:paraId="1A3B000B" w14:textId="77777777" w:rsidTr="00387142">
        <w:trPr>
          <w:trHeight w:val="585"/>
        </w:trPr>
        <w:tc>
          <w:tcPr>
            <w:tcW w:w="272" w:type="dxa"/>
            <w:tcBorders>
              <w:top w:val="nil"/>
              <w:left w:val="nil"/>
              <w:bottom w:val="nil"/>
              <w:right w:val="single" w:sz="4" w:space="0" w:color="auto"/>
            </w:tcBorders>
            <w:shd w:val="clear" w:color="auto" w:fill="auto"/>
            <w:noWrap/>
            <w:vAlign w:val="bottom"/>
            <w:hideMark/>
          </w:tcPr>
          <w:p w14:paraId="2BC7325B"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13E3A45A" w14:textId="77777777" w:rsidR="00387142" w:rsidRPr="008B6A75" w:rsidRDefault="00387142" w:rsidP="00387142">
            <w:pPr>
              <w:rPr>
                <w:sz w:val="20"/>
                <w:szCs w:val="20"/>
              </w:rPr>
            </w:pPr>
            <w:r w:rsidRPr="008B6A75">
              <w:rPr>
                <w:sz w:val="20"/>
                <w:szCs w:val="20"/>
              </w:rPr>
              <w:t>Социальное обеспечение и иные выплаты населению</w:t>
            </w:r>
          </w:p>
        </w:tc>
        <w:tc>
          <w:tcPr>
            <w:tcW w:w="1559" w:type="dxa"/>
            <w:tcBorders>
              <w:top w:val="nil"/>
              <w:left w:val="single" w:sz="4" w:space="0" w:color="auto"/>
              <w:bottom w:val="single" w:sz="4" w:space="0" w:color="auto"/>
              <w:right w:val="nil"/>
            </w:tcBorders>
            <w:shd w:val="clear" w:color="auto" w:fill="auto"/>
            <w:noWrap/>
            <w:vAlign w:val="center"/>
            <w:hideMark/>
          </w:tcPr>
          <w:p w14:paraId="1F24DBA0" w14:textId="77777777" w:rsidR="00387142" w:rsidRPr="008B6A75" w:rsidRDefault="00387142" w:rsidP="00387142">
            <w:pPr>
              <w:jc w:val="center"/>
              <w:rPr>
                <w:sz w:val="20"/>
                <w:szCs w:val="20"/>
              </w:rPr>
            </w:pPr>
            <w:r w:rsidRPr="008B6A75">
              <w:rPr>
                <w:sz w:val="20"/>
                <w:szCs w:val="20"/>
              </w:rPr>
              <w:t>99.0.00.10400</w:t>
            </w:r>
          </w:p>
        </w:tc>
        <w:tc>
          <w:tcPr>
            <w:tcW w:w="850" w:type="dxa"/>
            <w:tcBorders>
              <w:top w:val="nil"/>
              <w:left w:val="single" w:sz="4" w:space="0" w:color="auto"/>
              <w:bottom w:val="single" w:sz="4" w:space="0" w:color="auto"/>
              <w:right w:val="nil"/>
            </w:tcBorders>
            <w:shd w:val="clear" w:color="auto" w:fill="auto"/>
            <w:noWrap/>
            <w:vAlign w:val="center"/>
            <w:hideMark/>
          </w:tcPr>
          <w:p w14:paraId="640A552D" w14:textId="77777777" w:rsidR="00387142" w:rsidRPr="008B6A75" w:rsidRDefault="00387142" w:rsidP="00387142">
            <w:pPr>
              <w:jc w:val="center"/>
              <w:rPr>
                <w:sz w:val="20"/>
                <w:szCs w:val="20"/>
              </w:rPr>
            </w:pPr>
            <w:r w:rsidRPr="008B6A75">
              <w:rPr>
                <w:sz w:val="20"/>
                <w:szCs w:val="20"/>
              </w:rPr>
              <w:t>300</w:t>
            </w:r>
          </w:p>
        </w:tc>
        <w:tc>
          <w:tcPr>
            <w:tcW w:w="567" w:type="dxa"/>
            <w:tcBorders>
              <w:top w:val="nil"/>
              <w:left w:val="single" w:sz="4" w:space="0" w:color="auto"/>
              <w:bottom w:val="single" w:sz="4" w:space="0" w:color="auto"/>
              <w:right w:val="nil"/>
            </w:tcBorders>
            <w:shd w:val="clear" w:color="auto" w:fill="auto"/>
            <w:noWrap/>
            <w:vAlign w:val="center"/>
            <w:hideMark/>
          </w:tcPr>
          <w:p w14:paraId="7B728732" w14:textId="77777777" w:rsidR="00387142" w:rsidRPr="008B6A75" w:rsidRDefault="00387142" w:rsidP="00387142">
            <w:pPr>
              <w:jc w:val="center"/>
              <w:rPr>
                <w:sz w:val="20"/>
                <w:szCs w:val="20"/>
              </w:rPr>
            </w:pPr>
            <w:r w:rsidRPr="008B6A75">
              <w:rPr>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73B97FEC" w14:textId="77777777" w:rsidR="00387142" w:rsidRPr="008B6A75" w:rsidRDefault="00387142" w:rsidP="00387142">
            <w:pPr>
              <w:jc w:val="center"/>
              <w:rPr>
                <w:sz w:val="20"/>
                <w:szCs w:val="20"/>
              </w:rPr>
            </w:pPr>
            <w:r w:rsidRPr="008B6A75">
              <w:rPr>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E6D7D31" w14:textId="77777777" w:rsidR="00387142" w:rsidRPr="008B6A75" w:rsidRDefault="00387142" w:rsidP="00387142">
            <w:pPr>
              <w:jc w:val="right"/>
              <w:rPr>
                <w:sz w:val="20"/>
                <w:szCs w:val="20"/>
              </w:rPr>
            </w:pPr>
            <w:r w:rsidRPr="008B6A75">
              <w:rPr>
                <w:sz w:val="20"/>
                <w:szCs w:val="20"/>
              </w:rPr>
              <w:t>275 862,00</w:t>
            </w:r>
          </w:p>
        </w:tc>
        <w:tc>
          <w:tcPr>
            <w:tcW w:w="851" w:type="dxa"/>
            <w:tcBorders>
              <w:top w:val="nil"/>
              <w:left w:val="single" w:sz="4" w:space="0" w:color="auto"/>
              <w:bottom w:val="single" w:sz="4" w:space="0" w:color="auto"/>
              <w:right w:val="nil"/>
            </w:tcBorders>
            <w:shd w:val="clear" w:color="auto" w:fill="auto"/>
            <w:noWrap/>
            <w:vAlign w:val="center"/>
            <w:hideMark/>
          </w:tcPr>
          <w:p w14:paraId="39688F67" w14:textId="77777777" w:rsidR="00387142" w:rsidRPr="008B6A75" w:rsidRDefault="00387142" w:rsidP="00387142">
            <w:pPr>
              <w:jc w:val="right"/>
              <w:rPr>
                <w:sz w:val="20"/>
                <w:szCs w:val="20"/>
              </w:rPr>
            </w:pPr>
            <w:r w:rsidRPr="008B6A75">
              <w:rPr>
                <w:sz w:val="20"/>
                <w:szCs w:val="20"/>
              </w:rPr>
              <w:t>275 862,00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7B522AA5" w14:textId="77777777" w:rsidR="00387142" w:rsidRPr="008B6A75" w:rsidRDefault="00387142" w:rsidP="00387142">
            <w:pPr>
              <w:jc w:val="right"/>
              <w:rPr>
                <w:sz w:val="20"/>
                <w:szCs w:val="20"/>
              </w:rPr>
            </w:pPr>
            <w:r w:rsidRPr="008B6A75">
              <w:rPr>
                <w:sz w:val="20"/>
                <w:szCs w:val="20"/>
              </w:rPr>
              <w:t>275 862,00</w:t>
            </w:r>
          </w:p>
        </w:tc>
      </w:tr>
      <w:tr w:rsidR="00387142" w:rsidRPr="008B6A75" w14:paraId="544F9FF9" w14:textId="77777777" w:rsidTr="00387142">
        <w:trPr>
          <w:trHeight w:val="585"/>
        </w:trPr>
        <w:tc>
          <w:tcPr>
            <w:tcW w:w="272" w:type="dxa"/>
            <w:tcBorders>
              <w:top w:val="nil"/>
              <w:left w:val="nil"/>
              <w:bottom w:val="nil"/>
              <w:right w:val="single" w:sz="4" w:space="0" w:color="auto"/>
            </w:tcBorders>
            <w:shd w:val="clear" w:color="auto" w:fill="auto"/>
            <w:noWrap/>
            <w:vAlign w:val="bottom"/>
            <w:hideMark/>
          </w:tcPr>
          <w:p w14:paraId="647D6276"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3937391C" w14:textId="77777777" w:rsidR="00387142" w:rsidRPr="008B6A75" w:rsidRDefault="00387142" w:rsidP="00387142">
            <w:pPr>
              <w:rPr>
                <w:sz w:val="20"/>
                <w:szCs w:val="20"/>
              </w:rPr>
            </w:pPr>
            <w:r w:rsidRPr="008B6A75">
              <w:rPr>
                <w:sz w:val="20"/>
                <w:szCs w:val="20"/>
              </w:rPr>
              <w:t>Публичные нормативные выплаты гражданам несоциального характера</w:t>
            </w:r>
          </w:p>
        </w:tc>
        <w:tc>
          <w:tcPr>
            <w:tcW w:w="1559" w:type="dxa"/>
            <w:tcBorders>
              <w:top w:val="nil"/>
              <w:left w:val="single" w:sz="4" w:space="0" w:color="auto"/>
              <w:bottom w:val="single" w:sz="4" w:space="0" w:color="auto"/>
              <w:right w:val="nil"/>
            </w:tcBorders>
            <w:shd w:val="clear" w:color="auto" w:fill="auto"/>
            <w:noWrap/>
            <w:vAlign w:val="center"/>
            <w:hideMark/>
          </w:tcPr>
          <w:p w14:paraId="1696C4C3" w14:textId="77777777" w:rsidR="00387142" w:rsidRPr="008B6A75" w:rsidRDefault="00387142" w:rsidP="00387142">
            <w:pPr>
              <w:jc w:val="center"/>
              <w:rPr>
                <w:sz w:val="20"/>
                <w:szCs w:val="20"/>
              </w:rPr>
            </w:pPr>
            <w:r w:rsidRPr="008B6A75">
              <w:rPr>
                <w:sz w:val="20"/>
                <w:szCs w:val="20"/>
              </w:rPr>
              <w:t>99.0.00.10400</w:t>
            </w:r>
          </w:p>
        </w:tc>
        <w:tc>
          <w:tcPr>
            <w:tcW w:w="850" w:type="dxa"/>
            <w:tcBorders>
              <w:top w:val="nil"/>
              <w:left w:val="single" w:sz="4" w:space="0" w:color="auto"/>
              <w:bottom w:val="single" w:sz="4" w:space="0" w:color="auto"/>
              <w:right w:val="nil"/>
            </w:tcBorders>
            <w:shd w:val="clear" w:color="auto" w:fill="auto"/>
            <w:noWrap/>
            <w:vAlign w:val="center"/>
            <w:hideMark/>
          </w:tcPr>
          <w:p w14:paraId="31071B4C" w14:textId="77777777" w:rsidR="00387142" w:rsidRPr="008B6A75" w:rsidRDefault="00387142" w:rsidP="00387142">
            <w:pPr>
              <w:jc w:val="center"/>
              <w:rPr>
                <w:sz w:val="20"/>
                <w:szCs w:val="20"/>
              </w:rPr>
            </w:pPr>
            <w:r w:rsidRPr="008B6A75">
              <w:rPr>
                <w:sz w:val="20"/>
                <w:szCs w:val="20"/>
              </w:rPr>
              <w:t>330</w:t>
            </w:r>
          </w:p>
        </w:tc>
        <w:tc>
          <w:tcPr>
            <w:tcW w:w="567" w:type="dxa"/>
            <w:tcBorders>
              <w:top w:val="nil"/>
              <w:left w:val="single" w:sz="4" w:space="0" w:color="auto"/>
              <w:bottom w:val="single" w:sz="4" w:space="0" w:color="auto"/>
              <w:right w:val="nil"/>
            </w:tcBorders>
            <w:shd w:val="clear" w:color="auto" w:fill="auto"/>
            <w:noWrap/>
            <w:vAlign w:val="center"/>
            <w:hideMark/>
          </w:tcPr>
          <w:p w14:paraId="78AEFDC2" w14:textId="77777777" w:rsidR="00387142" w:rsidRPr="008B6A75" w:rsidRDefault="00387142" w:rsidP="00387142">
            <w:pPr>
              <w:jc w:val="center"/>
              <w:rPr>
                <w:sz w:val="20"/>
                <w:szCs w:val="20"/>
              </w:rPr>
            </w:pPr>
            <w:r w:rsidRPr="008B6A75">
              <w:rPr>
                <w:sz w:val="20"/>
                <w:szCs w:val="20"/>
              </w:rPr>
              <w:t>10</w:t>
            </w:r>
          </w:p>
        </w:tc>
        <w:tc>
          <w:tcPr>
            <w:tcW w:w="567" w:type="dxa"/>
            <w:tcBorders>
              <w:top w:val="nil"/>
              <w:left w:val="single" w:sz="4" w:space="0" w:color="auto"/>
              <w:bottom w:val="single" w:sz="4" w:space="0" w:color="auto"/>
              <w:right w:val="nil"/>
            </w:tcBorders>
            <w:shd w:val="clear" w:color="auto" w:fill="auto"/>
            <w:noWrap/>
            <w:vAlign w:val="center"/>
            <w:hideMark/>
          </w:tcPr>
          <w:p w14:paraId="6C4A02CB" w14:textId="77777777" w:rsidR="00387142" w:rsidRPr="008B6A75" w:rsidRDefault="00387142" w:rsidP="00387142">
            <w:pPr>
              <w:jc w:val="center"/>
              <w:rPr>
                <w:sz w:val="20"/>
                <w:szCs w:val="20"/>
              </w:rPr>
            </w:pPr>
            <w:r w:rsidRPr="008B6A75">
              <w:rPr>
                <w:sz w:val="20"/>
                <w:szCs w:val="20"/>
              </w:rPr>
              <w:t>06</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E5A27BF" w14:textId="77777777" w:rsidR="00387142" w:rsidRPr="008B6A75" w:rsidRDefault="00387142" w:rsidP="00387142">
            <w:pPr>
              <w:jc w:val="right"/>
              <w:rPr>
                <w:sz w:val="20"/>
                <w:szCs w:val="20"/>
              </w:rPr>
            </w:pPr>
            <w:r w:rsidRPr="008B6A75">
              <w:rPr>
                <w:sz w:val="20"/>
                <w:szCs w:val="20"/>
              </w:rPr>
              <w:t>275 862,00</w:t>
            </w:r>
          </w:p>
        </w:tc>
        <w:tc>
          <w:tcPr>
            <w:tcW w:w="851" w:type="dxa"/>
            <w:tcBorders>
              <w:top w:val="nil"/>
              <w:left w:val="single" w:sz="4" w:space="0" w:color="auto"/>
              <w:bottom w:val="single" w:sz="4" w:space="0" w:color="auto"/>
              <w:right w:val="nil"/>
            </w:tcBorders>
            <w:shd w:val="clear" w:color="auto" w:fill="auto"/>
            <w:noWrap/>
            <w:vAlign w:val="center"/>
            <w:hideMark/>
          </w:tcPr>
          <w:p w14:paraId="13B3A9EC" w14:textId="77777777" w:rsidR="00387142" w:rsidRPr="008B6A75" w:rsidRDefault="00387142" w:rsidP="00387142">
            <w:pPr>
              <w:jc w:val="right"/>
              <w:rPr>
                <w:sz w:val="20"/>
                <w:szCs w:val="20"/>
              </w:rPr>
            </w:pPr>
            <w:r w:rsidRPr="008B6A75">
              <w:rPr>
                <w:sz w:val="20"/>
                <w:szCs w:val="20"/>
              </w:rPr>
              <w:t>275 862,00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6E8A8CFC" w14:textId="77777777" w:rsidR="00387142" w:rsidRPr="008B6A75" w:rsidRDefault="00387142" w:rsidP="00387142">
            <w:pPr>
              <w:jc w:val="right"/>
              <w:rPr>
                <w:sz w:val="20"/>
                <w:szCs w:val="20"/>
              </w:rPr>
            </w:pPr>
            <w:r w:rsidRPr="008B6A75">
              <w:rPr>
                <w:sz w:val="20"/>
                <w:szCs w:val="20"/>
              </w:rPr>
              <w:t>275 862,00</w:t>
            </w:r>
          </w:p>
        </w:tc>
      </w:tr>
      <w:tr w:rsidR="00387142" w:rsidRPr="008B6A75" w14:paraId="63E18BEC" w14:textId="77777777" w:rsidTr="00387142">
        <w:trPr>
          <w:trHeight w:val="2580"/>
        </w:trPr>
        <w:tc>
          <w:tcPr>
            <w:tcW w:w="272" w:type="dxa"/>
            <w:tcBorders>
              <w:top w:val="nil"/>
              <w:left w:val="nil"/>
              <w:bottom w:val="nil"/>
              <w:right w:val="single" w:sz="4" w:space="0" w:color="auto"/>
            </w:tcBorders>
            <w:shd w:val="clear" w:color="auto" w:fill="auto"/>
            <w:noWrap/>
            <w:vAlign w:val="bottom"/>
            <w:hideMark/>
          </w:tcPr>
          <w:p w14:paraId="0DB8FA30"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0C62B80A" w14:textId="77777777" w:rsidR="00387142" w:rsidRPr="008B6A75" w:rsidRDefault="00387142" w:rsidP="00387142">
            <w:pPr>
              <w:rPr>
                <w:bCs/>
                <w:sz w:val="20"/>
                <w:szCs w:val="20"/>
              </w:rPr>
            </w:pPr>
            <w:r w:rsidRPr="008B6A75">
              <w:rPr>
                <w:bCs/>
                <w:sz w:val="20"/>
                <w:szCs w:val="20"/>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Куйбышевского района</w:t>
            </w:r>
          </w:p>
        </w:tc>
        <w:tc>
          <w:tcPr>
            <w:tcW w:w="1559" w:type="dxa"/>
            <w:tcBorders>
              <w:top w:val="nil"/>
              <w:left w:val="single" w:sz="4" w:space="0" w:color="auto"/>
              <w:bottom w:val="single" w:sz="4" w:space="0" w:color="auto"/>
              <w:right w:val="nil"/>
            </w:tcBorders>
            <w:shd w:val="clear" w:color="auto" w:fill="auto"/>
            <w:noWrap/>
            <w:vAlign w:val="center"/>
            <w:hideMark/>
          </w:tcPr>
          <w:p w14:paraId="423B1EBD" w14:textId="77777777" w:rsidR="00387142" w:rsidRPr="008B6A75" w:rsidRDefault="00387142" w:rsidP="00387142">
            <w:pPr>
              <w:jc w:val="center"/>
              <w:rPr>
                <w:bCs/>
                <w:sz w:val="20"/>
                <w:szCs w:val="20"/>
              </w:rPr>
            </w:pPr>
            <w:r w:rsidRPr="008B6A75">
              <w:rPr>
                <w:bCs/>
                <w:sz w:val="20"/>
                <w:szCs w:val="20"/>
              </w:rPr>
              <w:t>99.0.00.14030</w:t>
            </w:r>
          </w:p>
        </w:tc>
        <w:tc>
          <w:tcPr>
            <w:tcW w:w="850" w:type="dxa"/>
            <w:tcBorders>
              <w:top w:val="nil"/>
              <w:left w:val="single" w:sz="4" w:space="0" w:color="auto"/>
              <w:bottom w:val="single" w:sz="4" w:space="0" w:color="auto"/>
              <w:right w:val="nil"/>
            </w:tcBorders>
            <w:shd w:val="clear" w:color="auto" w:fill="auto"/>
            <w:noWrap/>
            <w:vAlign w:val="center"/>
            <w:hideMark/>
          </w:tcPr>
          <w:p w14:paraId="711720F5" w14:textId="77777777" w:rsidR="00387142" w:rsidRPr="008B6A75" w:rsidRDefault="00387142" w:rsidP="00387142">
            <w:pPr>
              <w:jc w:val="center"/>
              <w:rPr>
                <w:bCs/>
                <w:sz w:val="20"/>
                <w:szCs w:val="20"/>
              </w:rPr>
            </w:pPr>
            <w:r w:rsidRPr="008B6A75">
              <w:rPr>
                <w:bCs/>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1F585137" w14:textId="77777777" w:rsidR="00387142" w:rsidRPr="008B6A75" w:rsidRDefault="00387142" w:rsidP="00387142">
            <w:pPr>
              <w:jc w:val="center"/>
              <w:rPr>
                <w:bCs/>
                <w:sz w:val="20"/>
                <w:szCs w:val="20"/>
              </w:rPr>
            </w:pPr>
            <w:r w:rsidRPr="008B6A75">
              <w:rPr>
                <w:bCs/>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1A306859" w14:textId="77777777" w:rsidR="00387142" w:rsidRPr="008B6A75" w:rsidRDefault="00387142" w:rsidP="00387142">
            <w:pPr>
              <w:jc w:val="center"/>
              <w:rPr>
                <w:bCs/>
                <w:sz w:val="20"/>
                <w:szCs w:val="20"/>
              </w:rPr>
            </w:pPr>
            <w:r w:rsidRPr="008B6A75">
              <w:rPr>
                <w:bCs/>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E1FEF1B" w14:textId="77777777" w:rsidR="00387142" w:rsidRPr="008B6A75" w:rsidRDefault="00387142" w:rsidP="00387142">
            <w:pPr>
              <w:jc w:val="right"/>
              <w:rPr>
                <w:bCs/>
                <w:sz w:val="20"/>
                <w:szCs w:val="20"/>
              </w:rPr>
            </w:pPr>
            <w:r w:rsidRPr="008B6A75">
              <w:rPr>
                <w:bCs/>
                <w:sz w:val="20"/>
                <w:szCs w:val="20"/>
              </w:rPr>
              <w:t>9 926 172,46</w:t>
            </w:r>
          </w:p>
        </w:tc>
        <w:tc>
          <w:tcPr>
            <w:tcW w:w="851" w:type="dxa"/>
            <w:tcBorders>
              <w:top w:val="nil"/>
              <w:left w:val="single" w:sz="4" w:space="0" w:color="auto"/>
              <w:bottom w:val="single" w:sz="4" w:space="0" w:color="auto"/>
              <w:right w:val="nil"/>
            </w:tcBorders>
            <w:shd w:val="clear" w:color="auto" w:fill="auto"/>
            <w:noWrap/>
            <w:vAlign w:val="center"/>
            <w:hideMark/>
          </w:tcPr>
          <w:p w14:paraId="3A24B14E" w14:textId="77777777" w:rsidR="00387142" w:rsidRPr="008B6A75" w:rsidRDefault="00387142" w:rsidP="00387142">
            <w:pPr>
              <w:jc w:val="right"/>
              <w:rPr>
                <w:bCs/>
                <w:sz w:val="20"/>
                <w:szCs w:val="20"/>
              </w:rPr>
            </w:pPr>
            <w:r w:rsidRPr="008B6A75">
              <w:rPr>
                <w:bCs/>
                <w:sz w:val="20"/>
                <w:szCs w:val="20"/>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2CB2D6A7" w14:textId="77777777" w:rsidR="00387142" w:rsidRPr="008B6A75" w:rsidRDefault="00387142" w:rsidP="00387142">
            <w:pPr>
              <w:jc w:val="right"/>
              <w:rPr>
                <w:bCs/>
                <w:sz w:val="20"/>
                <w:szCs w:val="20"/>
              </w:rPr>
            </w:pPr>
            <w:r w:rsidRPr="008B6A75">
              <w:rPr>
                <w:bCs/>
                <w:sz w:val="20"/>
                <w:szCs w:val="20"/>
              </w:rPr>
              <w:t>0,00</w:t>
            </w:r>
          </w:p>
        </w:tc>
      </w:tr>
      <w:tr w:rsidR="00387142" w:rsidRPr="008B6A75" w14:paraId="0F147AA3" w14:textId="77777777" w:rsidTr="00387142">
        <w:trPr>
          <w:trHeight w:val="300"/>
        </w:trPr>
        <w:tc>
          <w:tcPr>
            <w:tcW w:w="272" w:type="dxa"/>
            <w:tcBorders>
              <w:top w:val="nil"/>
              <w:left w:val="nil"/>
              <w:bottom w:val="nil"/>
              <w:right w:val="single" w:sz="4" w:space="0" w:color="auto"/>
            </w:tcBorders>
            <w:shd w:val="clear" w:color="auto" w:fill="auto"/>
            <w:noWrap/>
            <w:vAlign w:val="bottom"/>
            <w:hideMark/>
          </w:tcPr>
          <w:p w14:paraId="5EC1D2F8"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4CC7660F" w14:textId="77777777" w:rsidR="00387142" w:rsidRPr="008B6A75" w:rsidRDefault="00387142" w:rsidP="00387142">
            <w:pPr>
              <w:rPr>
                <w:sz w:val="20"/>
                <w:szCs w:val="20"/>
              </w:rPr>
            </w:pPr>
            <w:r w:rsidRPr="008B6A75">
              <w:rPr>
                <w:sz w:val="20"/>
                <w:szCs w:val="20"/>
              </w:rPr>
              <w:t>Межбюджетные трансферты</w:t>
            </w:r>
          </w:p>
        </w:tc>
        <w:tc>
          <w:tcPr>
            <w:tcW w:w="1559" w:type="dxa"/>
            <w:tcBorders>
              <w:top w:val="nil"/>
              <w:left w:val="single" w:sz="4" w:space="0" w:color="auto"/>
              <w:bottom w:val="single" w:sz="4" w:space="0" w:color="auto"/>
              <w:right w:val="nil"/>
            </w:tcBorders>
            <w:shd w:val="clear" w:color="auto" w:fill="auto"/>
            <w:noWrap/>
            <w:vAlign w:val="center"/>
            <w:hideMark/>
          </w:tcPr>
          <w:p w14:paraId="18A331DB" w14:textId="77777777" w:rsidR="00387142" w:rsidRPr="008B6A75" w:rsidRDefault="00387142" w:rsidP="00387142">
            <w:pPr>
              <w:jc w:val="center"/>
              <w:rPr>
                <w:sz w:val="20"/>
                <w:szCs w:val="20"/>
              </w:rPr>
            </w:pPr>
            <w:r w:rsidRPr="008B6A75">
              <w:rPr>
                <w:sz w:val="20"/>
                <w:szCs w:val="20"/>
              </w:rPr>
              <w:t>99.0.00.14030</w:t>
            </w:r>
          </w:p>
        </w:tc>
        <w:tc>
          <w:tcPr>
            <w:tcW w:w="850" w:type="dxa"/>
            <w:tcBorders>
              <w:top w:val="nil"/>
              <w:left w:val="single" w:sz="4" w:space="0" w:color="auto"/>
              <w:bottom w:val="single" w:sz="4" w:space="0" w:color="auto"/>
              <w:right w:val="nil"/>
            </w:tcBorders>
            <w:shd w:val="clear" w:color="auto" w:fill="auto"/>
            <w:noWrap/>
            <w:vAlign w:val="center"/>
            <w:hideMark/>
          </w:tcPr>
          <w:p w14:paraId="47BC6152" w14:textId="77777777" w:rsidR="00387142" w:rsidRPr="008B6A75" w:rsidRDefault="00387142" w:rsidP="00387142">
            <w:pPr>
              <w:jc w:val="center"/>
              <w:rPr>
                <w:sz w:val="20"/>
                <w:szCs w:val="20"/>
              </w:rPr>
            </w:pPr>
            <w:r w:rsidRPr="008B6A75">
              <w:rPr>
                <w:sz w:val="20"/>
                <w:szCs w:val="20"/>
              </w:rPr>
              <w:t>500</w:t>
            </w:r>
          </w:p>
        </w:tc>
        <w:tc>
          <w:tcPr>
            <w:tcW w:w="567" w:type="dxa"/>
            <w:tcBorders>
              <w:top w:val="nil"/>
              <w:left w:val="single" w:sz="4" w:space="0" w:color="auto"/>
              <w:bottom w:val="single" w:sz="4" w:space="0" w:color="auto"/>
              <w:right w:val="nil"/>
            </w:tcBorders>
            <w:shd w:val="clear" w:color="auto" w:fill="auto"/>
            <w:noWrap/>
            <w:vAlign w:val="center"/>
            <w:hideMark/>
          </w:tcPr>
          <w:p w14:paraId="20EE5A90" w14:textId="77777777" w:rsidR="00387142" w:rsidRPr="008B6A75" w:rsidRDefault="00387142" w:rsidP="00387142">
            <w:pPr>
              <w:jc w:val="center"/>
              <w:rPr>
                <w:sz w:val="20"/>
                <w:szCs w:val="20"/>
              </w:rPr>
            </w:pPr>
            <w:r w:rsidRPr="008B6A75">
              <w:rPr>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7314FCA2" w14:textId="77777777" w:rsidR="00387142" w:rsidRPr="008B6A75" w:rsidRDefault="00387142" w:rsidP="00387142">
            <w:pPr>
              <w:jc w:val="center"/>
              <w:rPr>
                <w:sz w:val="20"/>
                <w:szCs w:val="20"/>
              </w:rPr>
            </w:pPr>
            <w:r w:rsidRPr="008B6A75">
              <w:rPr>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72CC725" w14:textId="77777777" w:rsidR="00387142" w:rsidRPr="008B6A75" w:rsidRDefault="00387142" w:rsidP="00387142">
            <w:pPr>
              <w:jc w:val="right"/>
              <w:rPr>
                <w:sz w:val="20"/>
                <w:szCs w:val="20"/>
              </w:rPr>
            </w:pPr>
            <w:r w:rsidRPr="008B6A75">
              <w:rPr>
                <w:sz w:val="20"/>
                <w:szCs w:val="20"/>
              </w:rPr>
              <w:t>9 926 172,46</w:t>
            </w:r>
          </w:p>
        </w:tc>
        <w:tc>
          <w:tcPr>
            <w:tcW w:w="851" w:type="dxa"/>
            <w:tcBorders>
              <w:top w:val="nil"/>
              <w:left w:val="single" w:sz="4" w:space="0" w:color="auto"/>
              <w:bottom w:val="single" w:sz="4" w:space="0" w:color="auto"/>
              <w:right w:val="nil"/>
            </w:tcBorders>
            <w:shd w:val="clear" w:color="auto" w:fill="auto"/>
            <w:noWrap/>
            <w:vAlign w:val="center"/>
            <w:hideMark/>
          </w:tcPr>
          <w:p w14:paraId="5BE08652" w14:textId="77777777" w:rsidR="00387142" w:rsidRPr="008B6A75" w:rsidRDefault="00387142" w:rsidP="00387142">
            <w:pPr>
              <w:jc w:val="right"/>
              <w:rPr>
                <w:sz w:val="20"/>
                <w:szCs w:val="20"/>
              </w:rPr>
            </w:pPr>
            <w:r w:rsidRPr="008B6A75">
              <w:rPr>
                <w:sz w:val="20"/>
                <w:szCs w:val="20"/>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4F8DD440" w14:textId="77777777" w:rsidR="00387142" w:rsidRPr="008B6A75" w:rsidRDefault="00387142" w:rsidP="00387142">
            <w:pPr>
              <w:jc w:val="right"/>
              <w:rPr>
                <w:sz w:val="20"/>
                <w:szCs w:val="20"/>
              </w:rPr>
            </w:pPr>
            <w:r w:rsidRPr="008B6A75">
              <w:rPr>
                <w:sz w:val="20"/>
                <w:szCs w:val="20"/>
              </w:rPr>
              <w:t>0,00</w:t>
            </w:r>
          </w:p>
        </w:tc>
      </w:tr>
      <w:tr w:rsidR="00387142" w:rsidRPr="008B6A75" w14:paraId="46170FC5" w14:textId="77777777" w:rsidTr="00387142">
        <w:trPr>
          <w:trHeight w:val="300"/>
        </w:trPr>
        <w:tc>
          <w:tcPr>
            <w:tcW w:w="272" w:type="dxa"/>
            <w:tcBorders>
              <w:top w:val="nil"/>
              <w:left w:val="nil"/>
              <w:bottom w:val="nil"/>
              <w:right w:val="single" w:sz="4" w:space="0" w:color="auto"/>
            </w:tcBorders>
            <w:shd w:val="clear" w:color="auto" w:fill="auto"/>
            <w:noWrap/>
            <w:vAlign w:val="bottom"/>
            <w:hideMark/>
          </w:tcPr>
          <w:p w14:paraId="1FB17B76"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76DA12D7" w14:textId="77777777" w:rsidR="00387142" w:rsidRPr="008B6A75" w:rsidRDefault="00387142" w:rsidP="00387142">
            <w:pPr>
              <w:rPr>
                <w:sz w:val="20"/>
                <w:szCs w:val="20"/>
              </w:rPr>
            </w:pPr>
            <w:r w:rsidRPr="008B6A75">
              <w:rPr>
                <w:sz w:val="20"/>
                <w:szCs w:val="20"/>
              </w:rPr>
              <w:t>Иные межбюджетные трансферты</w:t>
            </w:r>
          </w:p>
        </w:tc>
        <w:tc>
          <w:tcPr>
            <w:tcW w:w="1559" w:type="dxa"/>
            <w:tcBorders>
              <w:top w:val="nil"/>
              <w:left w:val="single" w:sz="4" w:space="0" w:color="auto"/>
              <w:bottom w:val="single" w:sz="4" w:space="0" w:color="auto"/>
              <w:right w:val="nil"/>
            </w:tcBorders>
            <w:shd w:val="clear" w:color="auto" w:fill="auto"/>
            <w:noWrap/>
            <w:vAlign w:val="center"/>
            <w:hideMark/>
          </w:tcPr>
          <w:p w14:paraId="2711AC0E" w14:textId="77777777" w:rsidR="00387142" w:rsidRPr="008B6A75" w:rsidRDefault="00387142" w:rsidP="00387142">
            <w:pPr>
              <w:jc w:val="center"/>
              <w:rPr>
                <w:sz w:val="20"/>
                <w:szCs w:val="20"/>
              </w:rPr>
            </w:pPr>
            <w:r w:rsidRPr="008B6A75">
              <w:rPr>
                <w:sz w:val="20"/>
                <w:szCs w:val="20"/>
              </w:rPr>
              <w:t>99.0.00.14030</w:t>
            </w:r>
          </w:p>
        </w:tc>
        <w:tc>
          <w:tcPr>
            <w:tcW w:w="850" w:type="dxa"/>
            <w:tcBorders>
              <w:top w:val="nil"/>
              <w:left w:val="single" w:sz="4" w:space="0" w:color="auto"/>
              <w:bottom w:val="single" w:sz="4" w:space="0" w:color="auto"/>
              <w:right w:val="nil"/>
            </w:tcBorders>
            <w:shd w:val="clear" w:color="auto" w:fill="auto"/>
            <w:noWrap/>
            <w:vAlign w:val="center"/>
            <w:hideMark/>
          </w:tcPr>
          <w:p w14:paraId="6C0268EE" w14:textId="77777777" w:rsidR="00387142" w:rsidRPr="008B6A75" w:rsidRDefault="00387142" w:rsidP="00387142">
            <w:pPr>
              <w:jc w:val="center"/>
              <w:rPr>
                <w:sz w:val="20"/>
                <w:szCs w:val="20"/>
              </w:rPr>
            </w:pPr>
            <w:r w:rsidRPr="008B6A75">
              <w:rPr>
                <w:sz w:val="20"/>
                <w:szCs w:val="20"/>
              </w:rPr>
              <w:t>540</w:t>
            </w:r>
          </w:p>
        </w:tc>
        <w:tc>
          <w:tcPr>
            <w:tcW w:w="567" w:type="dxa"/>
            <w:tcBorders>
              <w:top w:val="nil"/>
              <w:left w:val="single" w:sz="4" w:space="0" w:color="auto"/>
              <w:bottom w:val="single" w:sz="4" w:space="0" w:color="auto"/>
              <w:right w:val="nil"/>
            </w:tcBorders>
            <w:shd w:val="clear" w:color="auto" w:fill="auto"/>
            <w:noWrap/>
            <w:vAlign w:val="center"/>
            <w:hideMark/>
          </w:tcPr>
          <w:p w14:paraId="3380561E" w14:textId="77777777" w:rsidR="00387142" w:rsidRPr="008B6A75" w:rsidRDefault="00387142" w:rsidP="00387142">
            <w:pPr>
              <w:jc w:val="center"/>
              <w:rPr>
                <w:sz w:val="20"/>
                <w:szCs w:val="20"/>
              </w:rPr>
            </w:pPr>
            <w:r w:rsidRPr="008B6A75">
              <w:rPr>
                <w:sz w:val="20"/>
                <w:szCs w:val="20"/>
              </w:rPr>
              <w:t>14</w:t>
            </w:r>
          </w:p>
        </w:tc>
        <w:tc>
          <w:tcPr>
            <w:tcW w:w="567" w:type="dxa"/>
            <w:tcBorders>
              <w:top w:val="nil"/>
              <w:left w:val="single" w:sz="4" w:space="0" w:color="auto"/>
              <w:bottom w:val="single" w:sz="4" w:space="0" w:color="auto"/>
              <w:right w:val="nil"/>
            </w:tcBorders>
            <w:shd w:val="clear" w:color="auto" w:fill="auto"/>
            <w:noWrap/>
            <w:vAlign w:val="center"/>
            <w:hideMark/>
          </w:tcPr>
          <w:p w14:paraId="5D7486DA" w14:textId="77777777" w:rsidR="00387142" w:rsidRPr="008B6A75" w:rsidRDefault="00387142" w:rsidP="00387142">
            <w:pPr>
              <w:jc w:val="center"/>
              <w:rPr>
                <w:sz w:val="20"/>
                <w:szCs w:val="20"/>
              </w:rPr>
            </w:pPr>
            <w:r w:rsidRPr="008B6A75">
              <w:rPr>
                <w:sz w:val="20"/>
                <w:szCs w:val="20"/>
              </w:rPr>
              <w:t>03</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A663DBF" w14:textId="77777777" w:rsidR="00387142" w:rsidRPr="008B6A75" w:rsidRDefault="00387142" w:rsidP="00387142">
            <w:pPr>
              <w:jc w:val="right"/>
              <w:rPr>
                <w:sz w:val="20"/>
                <w:szCs w:val="20"/>
              </w:rPr>
            </w:pPr>
            <w:r w:rsidRPr="008B6A75">
              <w:rPr>
                <w:sz w:val="20"/>
                <w:szCs w:val="20"/>
              </w:rPr>
              <w:t>9 926 172,46</w:t>
            </w:r>
          </w:p>
        </w:tc>
        <w:tc>
          <w:tcPr>
            <w:tcW w:w="851" w:type="dxa"/>
            <w:tcBorders>
              <w:top w:val="nil"/>
              <w:left w:val="single" w:sz="4" w:space="0" w:color="auto"/>
              <w:bottom w:val="single" w:sz="4" w:space="0" w:color="auto"/>
              <w:right w:val="nil"/>
            </w:tcBorders>
            <w:shd w:val="clear" w:color="auto" w:fill="auto"/>
            <w:noWrap/>
            <w:vAlign w:val="center"/>
            <w:hideMark/>
          </w:tcPr>
          <w:p w14:paraId="1F5BBF73" w14:textId="77777777" w:rsidR="00387142" w:rsidRPr="008B6A75" w:rsidRDefault="00387142" w:rsidP="00387142">
            <w:pPr>
              <w:jc w:val="right"/>
              <w:rPr>
                <w:sz w:val="20"/>
                <w:szCs w:val="20"/>
              </w:rPr>
            </w:pPr>
            <w:r w:rsidRPr="008B6A75">
              <w:rPr>
                <w:sz w:val="20"/>
                <w:szCs w:val="20"/>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1DCC6A4F" w14:textId="77777777" w:rsidR="00387142" w:rsidRPr="008B6A75" w:rsidRDefault="00387142" w:rsidP="00387142">
            <w:pPr>
              <w:jc w:val="right"/>
              <w:rPr>
                <w:sz w:val="20"/>
                <w:szCs w:val="20"/>
              </w:rPr>
            </w:pPr>
            <w:r w:rsidRPr="008B6A75">
              <w:rPr>
                <w:sz w:val="20"/>
                <w:szCs w:val="20"/>
              </w:rPr>
              <w:t>0,00</w:t>
            </w:r>
          </w:p>
        </w:tc>
      </w:tr>
      <w:tr w:rsidR="00387142" w:rsidRPr="008B6A75" w14:paraId="070E5D97" w14:textId="77777777" w:rsidTr="00387142">
        <w:trPr>
          <w:trHeight w:val="870"/>
        </w:trPr>
        <w:tc>
          <w:tcPr>
            <w:tcW w:w="272" w:type="dxa"/>
            <w:tcBorders>
              <w:top w:val="nil"/>
              <w:left w:val="nil"/>
              <w:bottom w:val="nil"/>
              <w:right w:val="single" w:sz="4" w:space="0" w:color="auto"/>
            </w:tcBorders>
            <w:shd w:val="clear" w:color="auto" w:fill="auto"/>
            <w:noWrap/>
            <w:vAlign w:val="bottom"/>
            <w:hideMark/>
          </w:tcPr>
          <w:p w14:paraId="7DC4E5CF"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05B12FF6" w14:textId="77777777" w:rsidR="00387142" w:rsidRPr="008B6A75" w:rsidRDefault="00387142" w:rsidP="00387142">
            <w:pPr>
              <w:rPr>
                <w:bCs/>
                <w:sz w:val="20"/>
                <w:szCs w:val="20"/>
              </w:rPr>
            </w:pPr>
            <w:r w:rsidRPr="008B6A75">
              <w:rPr>
                <w:bCs/>
                <w:sz w:val="20"/>
                <w:szCs w:val="20"/>
              </w:rPr>
              <w:t>Средства, передаваемые местным бюджетам из резервного фонда Правительства Новосибирской области</w:t>
            </w:r>
          </w:p>
        </w:tc>
        <w:tc>
          <w:tcPr>
            <w:tcW w:w="1559" w:type="dxa"/>
            <w:tcBorders>
              <w:top w:val="nil"/>
              <w:left w:val="single" w:sz="4" w:space="0" w:color="auto"/>
              <w:bottom w:val="single" w:sz="4" w:space="0" w:color="auto"/>
              <w:right w:val="nil"/>
            </w:tcBorders>
            <w:shd w:val="clear" w:color="auto" w:fill="auto"/>
            <w:noWrap/>
            <w:vAlign w:val="center"/>
            <w:hideMark/>
          </w:tcPr>
          <w:p w14:paraId="7989AA49" w14:textId="77777777" w:rsidR="00387142" w:rsidRPr="008B6A75" w:rsidRDefault="00387142" w:rsidP="00387142">
            <w:pPr>
              <w:jc w:val="center"/>
              <w:rPr>
                <w:bCs/>
                <w:sz w:val="20"/>
                <w:szCs w:val="20"/>
              </w:rPr>
            </w:pPr>
            <w:r w:rsidRPr="008B6A75">
              <w:rPr>
                <w:bCs/>
                <w:sz w:val="20"/>
                <w:szCs w:val="20"/>
              </w:rPr>
              <w:t>99.0.00.20540</w:t>
            </w:r>
          </w:p>
        </w:tc>
        <w:tc>
          <w:tcPr>
            <w:tcW w:w="850" w:type="dxa"/>
            <w:tcBorders>
              <w:top w:val="nil"/>
              <w:left w:val="single" w:sz="4" w:space="0" w:color="auto"/>
              <w:bottom w:val="single" w:sz="4" w:space="0" w:color="auto"/>
              <w:right w:val="nil"/>
            </w:tcBorders>
            <w:shd w:val="clear" w:color="auto" w:fill="auto"/>
            <w:noWrap/>
            <w:vAlign w:val="center"/>
            <w:hideMark/>
          </w:tcPr>
          <w:p w14:paraId="31569C05" w14:textId="77777777" w:rsidR="00387142" w:rsidRPr="008B6A75" w:rsidRDefault="00387142" w:rsidP="00387142">
            <w:pPr>
              <w:jc w:val="center"/>
              <w:rPr>
                <w:bCs/>
                <w:sz w:val="20"/>
                <w:szCs w:val="20"/>
              </w:rPr>
            </w:pPr>
            <w:r w:rsidRPr="008B6A75">
              <w:rPr>
                <w:bCs/>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62AC3C10" w14:textId="77777777" w:rsidR="00387142" w:rsidRPr="008B6A75" w:rsidRDefault="00387142" w:rsidP="00387142">
            <w:pPr>
              <w:jc w:val="center"/>
              <w:rPr>
                <w:bCs/>
                <w:sz w:val="20"/>
                <w:szCs w:val="20"/>
              </w:rPr>
            </w:pPr>
            <w:r w:rsidRPr="008B6A75">
              <w:rPr>
                <w:bCs/>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04892043" w14:textId="77777777" w:rsidR="00387142" w:rsidRPr="008B6A75" w:rsidRDefault="00387142" w:rsidP="00387142">
            <w:pPr>
              <w:jc w:val="center"/>
              <w:rPr>
                <w:bCs/>
                <w:sz w:val="20"/>
                <w:szCs w:val="20"/>
              </w:rPr>
            </w:pPr>
            <w:r w:rsidRPr="008B6A75">
              <w:rPr>
                <w:bCs/>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BA753C7" w14:textId="77777777" w:rsidR="00387142" w:rsidRPr="008B6A75" w:rsidRDefault="00387142" w:rsidP="00387142">
            <w:pPr>
              <w:jc w:val="right"/>
              <w:rPr>
                <w:bCs/>
                <w:sz w:val="20"/>
                <w:szCs w:val="20"/>
              </w:rPr>
            </w:pPr>
            <w:r w:rsidRPr="008B6A75">
              <w:rPr>
                <w:bCs/>
                <w:sz w:val="20"/>
                <w:szCs w:val="20"/>
              </w:rPr>
              <w:t>1 084 860,00</w:t>
            </w:r>
          </w:p>
        </w:tc>
        <w:tc>
          <w:tcPr>
            <w:tcW w:w="851" w:type="dxa"/>
            <w:tcBorders>
              <w:top w:val="nil"/>
              <w:left w:val="single" w:sz="4" w:space="0" w:color="auto"/>
              <w:bottom w:val="single" w:sz="4" w:space="0" w:color="auto"/>
              <w:right w:val="nil"/>
            </w:tcBorders>
            <w:shd w:val="clear" w:color="auto" w:fill="auto"/>
            <w:noWrap/>
            <w:vAlign w:val="center"/>
            <w:hideMark/>
          </w:tcPr>
          <w:p w14:paraId="7D45BDED" w14:textId="77777777" w:rsidR="00387142" w:rsidRPr="008B6A75" w:rsidRDefault="00387142" w:rsidP="00387142">
            <w:pPr>
              <w:jc w:val="right"/>
              <w:rPr>
                <w:bCs/>
                <w:sz w:val="20"/>
                <w:szCs w:val="20"/>
              </w:rPr>
            </w:pPr>
            <w:r w:rsidRPr="008B6A75">
              <w:rPr>
                <w:bCs/>
                <w:sz w:val="20"/>
                <w:szCs w:val="20"/>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7794159F" w14:textId="77777777" w:rsidR="00387142" w:rsidRPr="008B6A75" w:rsidRDefault="00387142" w:rsidP="00387142">
            <w:pPr>
              <w:jc w:val="right"/>
              <w:rPr>
                <w:bCs/>
                <w:sz w:val="20"/>
                <w:szCs w:val="20"/>
              </w:rPr>
            </w:pPr>
            <w:r w:rsidRPr="008B6A75">
              <w:rPr>
                <w:bCs/>
                <w:sz w:val="20"/>
                <w:szCs w:val="20"/>
              </w:rPr>
              <w:t>0,00</w:t>
            </w:r>
          </w:p>
        </w:tc>
      </w:tr>
      <w:tr w:rsidR="00387142" w:rsidRPr="008B6A75" w14:paraId="49D05577" w14:textId="77777777" w:rsidTr="00387142">
        <w:trPr>
          <w:trHeight w:val="1440"/>
        </w:trPr>
        <w:tc>
          <w:tcPr>
            <w:tcW w:w="272" w:type="dxa"/>
            <w:tcBorders>
              <w:top w:val="nil"/>
              <w:left w:val="nil"/>
              <w:bottom w:val="nil"/>
              <w:right w:val="single" w:sz="4" w:space="0" w:color="auto"/>
            </w:tcBorders>
            <w:shd w:val="clear" w:color="auto" w:fill="auto"/>
            <w:noWrap/>
            <w:vAlign w:val="bottom"/>
            <w:hideMark/>
          </w:tcPr>
          <w:p w14:paraId="4D2921D4"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3E038FCB" w14:textId="77777777" w:rsidR="00387142" w:rsidRPr="008B6A75" w:rsidRDefault="00387142" w:rsidP="00387142">
            <w:pPr>
              <w:rPr>
                <w:sz w:val="20"/>
                <w:szCs w:val="20"/>
              </w:rPr>
            </w:pPr>
            <w:r w:rsidRPr="008B6A7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single" w:sz="4" w:space="0" w:color="auto"/>
              <w:bottom w:val="single" w:sz="4" w:space="0" w:color="auto"/>
              <w:right w:val="nil"/>
            </w:tcBorders>
            <w:shd w:val="clear" w:color="auto" w:fill="auto"/>
            <w:noWrap/>
            <w:vAlign w:val="center"/>
            <w:hideMark/>
          </w:tcPr>
          <w:p w14:paraId="29B0270E" w14:textId="77777777" w:rsidR="00387142" w:rsidRPr="008B6A75" w:rsidRDefault="00387142" w:rsidP="00387142">
            <w:pPr>
              <w:jc w:val="center"/>
              <w:rPr>
                <w:sz w:val="20"/>
                <w:szCs w:val="20"/>
              </w:rPr>
            </w:pPr>
            <w:r w:rsidRPr="008B6A75">
              <w:rPr>
                <w:sz w:val="20"/>
                <w:szCs w:val="20"/>
              </w:rPr>
              <w:t>99.0.00.20540</w:t>
            </w:r>
          </w:p>
        </w:tc>
        <w:tc>
          <w:tcPr>
            <w:tcW w:w="850" w:type="dxa"/>
            <w:tcBorders>
              <w:top w:val="nil"/>
              <w:left w:val="single" w:sz="4" w:space="0" w:color="auto"/>
              <w:bottom w:val="single" w:sz="4" w:space="0" w:color="auto"/>
              <w:right w:val="nil"/>
            </w:tcBorders>
            <w:shd w:val="clear" w:color="auto" w:fill="auto"/>
            <w:noWrap/>
            <w:vAlign w:val="center"/>
            <w:hideMark/>
          </w:tcPr>
          <w:p w14:paraId="65D7026D" w14:textId="77777777" w:rsidR="00387142" w:rsidRPr="008B6A75" w:rsidRDefault="00387142" w:rsidP="00387142">
            <w:pPr>
              <w:jc w:val="center"/>
              <w:rPr>
                <w:sz w:val="20"/>
                <w:szCs w:val="20"/>
              </w:rPr>
            </w:pPr>
            <w:r w:rsidRPr="008B6A75">
              <w:rPr>
                <w:sz w:val="20"/>
                <w:szCs w:val="20"/>
              </w:rPr>
              <w:t>100</w:t>
            </w:r>
          </w:p>
        </w:tc>
        <w:tc>
          <w:tcPr>
            <w:tcW w:w="567" w:type="dxa"/>
            <w:tcBorders>
              <w:top w:val="nil"/>
              <w:left w:val="single" w:sz="4" w:space="0" w:color="auto"/>
              <w:bottom w:val="single" w:sz="4" w:space="0" w:color="auto"/>
              <w:right w:val="nil"/>
            </w:tcBorders>
            <w:shd w:val="clear" w:color="auto" w:fill="auto"/>
            <w:noWrap/>
            <w:vAlign w:val="center"/>
            <w:hideMark/>
          </w:tcPr>
          <w:p w14:paraId="0484EE3C" w14:textId="77777777" w:rsidR="00387142" w:rsidRPr="008B6A75" w:rsidRDefault="00387142" w:rsidP="00387142">
            <w:pPr>
              <w:jc w:val="center"/>
              <w:rPr>
                <w:sz w:val="20"/>
                <w:szCs w:val="20"/>
              </w:rPr>
            </w:pPr>
            <w:r w:rsidRPr="008B6A75">
              <w:rPr>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7AB43714" w14:textId="77777777" w:rsidR="00387142" w:rsidRPr="008B6A75" w:rsidRDefault="00387142" w:rsidP="00387142">
            <w:pPr>
              <w:jc w:val="center"/>
              <w:rPr>
                <w:sz w:val="20"/>
                <w:szCs w:val="20"/>
              </w:rPr>
            </w:pPr>
            <w:r w:rsidRPr="008B6A75">
              <w:rPr>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EB1FED0" w14:textId="77777777" w:rsidR="00387142" w:rsidRPr="008B6A75" w:rsidRDefault="00387142" w:rsidP="00387142">
            <w:pPr>
              <w:jc w:val="right"/>
              <w:rPr>
                <w:sz w:val="20"/>
                <w:szCs w:val="20"/>
              </w:rPr>
            </w:pPr>
            <w:r w:rsidRPr="008B6A75">
              <w:rPr>
                <w:sz w:val="20"/>
                <w:szCs w:val="20"/>
              </w:rPr>
              <w:t>784 860,00</w:t>
            </w:r>
          </w:p>
        </w:tc>
        <w:tc>
          <w:tcPr>
            <w:tcW w:w="851" w:type="dxa"/>
            <w:tcBorders>
              <w:top w:val="nil"/>
              <w:left w:val="single" w:sz="4" w:space="0" w:color="auto"/>
              <w:bottom w:val="single" w:sz="4" w:space="0" w:color="auto"/>
              <w:right w:val="nil"/>
            </w:tcBorders>
            <w:shd w:val="clear" w:color="auto" w:fill="auto"/>
            <w:noWrap/>
            <w:vAlign w:val="center"/>
            <w:hideMark/>
          </w:tcPr>
          <w:p w14:paraId="3D8957D7" w14:textId="77777777" w:rsidR="00387142" w:rsidRPr="008B6A75" w:rsidRDefault="00387142" w:rsidP="00387142">
            <w:pPr>
              <w:jc w:val="right"/>
              <w:rPr>
                <w:sz w:val="20"/>
                <w:szCs w:val="20"/>
              </w:rPr>
            </w:pPr>
            <w:r w:rsidRPr="008B6A75">
              <w:rPr>
                <w:sz w:val="20"/>
                <w:szCs w:val="20"/>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58FBAAB2" w14:textId="77777777" w:rsidR="00387142" w:rsidRPr="008B6A75" w:rsidRDefault="00387142" w:rsidP="00387142">
            <w:pPr>
              <w:jc w:val="right"/>
              <w:rPr>
                <w:sz w:val="20"/>
                <w:szCs w:val="20"/>
              </w:rPr>
            </w:pPr>
            <w:r w:rsidRPr="008B6A75">
              <w:rPr>
                <w:sz w:val="20"/>
                <w:szCs w:val="20"/>
              </w:rPr>
              <w:t>0,00</w:t>
            </w:r>
          </w:p>
        </w:tc>
      </w:tr>
      <w:tr w:rsidR="00387142" w:rsidRPr="008B6A75" w14:paraId="192EA0D0" w14:textId="77777777" w:rsidTr="00387142">
        <w:trPr>
          <w:trHeight w:val="585"/>
        </w:trPr>
        <w:tc>
          <w:tcPr>
            <w:tcW w:w="272" w:type="dxa"/>
            <w:tcBorders>
              <w:top w:val="nil"/>
              <w:left w:val="nil"/>
              <w:bottom w:val="nil"/>
              <w:right w:val="single" w:sz="4" w:space="0" w:color="auto"/>
            </w:tcBorders>
            <w:shd w:val="clear" w:color="auto" w:fill="auto"/>
            <w:noWrap/>
            <w:vAlign w:val="bottom"/>
            <w:hideMark/>
          </w:tcPr>
          <w:p w14:paraId="586B9829"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32B9463F" w14:textId="77777777" w:rsidR="00387142" w:rsidRPr="008B6A75" w:rsidRDefault="00387142" w:rsidP="00387142">
            <w:pPr>
              <w:rPr>
                <w:sz w:val="20"/>
                <w:szCs w:val="20"/>
              </w:rPr>
            </w:pPr>
            <w:r w:rsidRPr="008B6A75">
              <w:rPr>
                <w:sz w:val="20"/>
                <w:szCs w:val="20"/>
              </w:rPr>
              <w:t>Расходы на выплаты персоналу государственных (муниципальных) органов</w:t>
            </w:r>
          </w:p>
        </w:tc>
        <w:tc>
          <w:tcPr>
            <w:tcW w:w="1559" w:type="dxa"/>
            <w:tcBorders>
              <w:top w:val="nil"/>
              <w:left w:val="single" w:sz="4" w:space="0" w:color="auto"/>
              <w:bottom w:val="single" w:sz="4" w:space="0" w:color="auto"/>
              <w:right w:val="nil"/>
            </w:tcBorders>
            <w:shd w:val="clear" w:color="auto" w:fill="auto"/>
            <w:noWrap/>
            <w:vAlign w:val="center"/>
            <w:hideMark/>
          </w:tcPr>
          <w:p w14:paraId="08C8A134" w14:textId="77777777" w:rsidR="00387142" w:rsidRPr="008B6A75" w:rsidRDefault="00387142" w:rsidP="00387142">
            <w:pPr>
              <w:jc w:val="center"/>
              <w:rPr>
                <w:sz w:val="20"/>
                <w:szCs w:val="20"/>
              </w:rPr>
            </w:pPr>
            <w:r w:rsidRPr="008B6A75">
              <w:rPr>
                <w:sz w:val="20"/>
                <w:szCs w:val="20"/>
              </w:rPr>
              <w:t>99.0.00.20540</w:t>
            </w:r>
          </w:p>
        </w:tc>
        <w:tc>
          <w:tcPr>
            <w:tcW w:w="850" w:type="dxa"/>
            <w:tcBorders>
              <w:top w:val="nil"/>
              <w:left w:val="single" w:sz="4" w:space="0" w:color="auto"/>
              <w:bottom w:val="single" w:sz="4" w:space="0" w:color="auto"/>
              <w:right w:val="nil"/>
            </w:tcBorders>
            <w:shd w:val="clear" w:color="auto" w:fill="auto"/>
            <w:noWrap/>
            <w:vAlign w:val="center"/>
            <w:hideMark/>
          </w:tcPr>
          <w:p w14:paraId="13DCF1DA" w14:textId="77777777" w:rsidR="00387142" w:rsidRPr="008B6A75" w:rsidRDefault="00387142" w:rsidP="00387142">
            <w:pPr>
              <w:jc w:val="center"/>
              <w:rPr>
                <w:sz w:val="20"/>
                <w:szCs w:val="20"/>
              </w:rPr>
            </w:pPr>
            <w:r w:rsidRPr="008B6A75">
              <w:rPr>
                <w:sz w:val="20"/>
                <w:szCs w:val="20"/>
              </w:rPr>
              <w:t>120</w:t>
            </w:r>
          </w:p>
        </w:tc>
        <w:tc>
          <w:tcPr>
            <w:tcW w:w="567" w:type="dxa"/>
            <w:tcBorders>
              <w:top w:val="nil"/>
              <w:left w:val="single" w:sz="4" w:space="0" w:color="auto"/>
              <w:bottom w:val="single" w:sz="4" w:space="0" w:color="auto"/>
              <w:right w:val="nil"/>
            </w:tcBorders>
            <w:shd w:val="clear" w:color="auto" w:fill="auto"/>
            <w:noWrap/>
            <w:vAlign w:val="center"/>
            <w:hideMark/>
          </w:tcPr>
          <w:p w14:paraId="1E37073F" w14:textId="77777777" w:rsidR="00387142" w:rsidRPr="008B6A75" w:rsidRDefault="00387142" w:rsidP="00387142">
            <w:pPr>
              <w:jc w:val="center"/>
              <w:rPr>
                <w:sz w:val="20"/>
                <w:szCs w:val="20"/>
              </w:rPr>
            </w:pPr>
            <w:r w:rsidRPr="008B6A75">
              <w:rPr>
                <w:sz w:val="20"/>
                <w:szCs w:val="20"/>
              </w:rPr>
              <w:t>01</w:t>
            </w:r>
          </w:p>
        </w:tc>
        <w:tc>
          <w:tcPr>
            <w:tcW w:w="567" w:type="dxa"/>
            <w:tcBorders>
              <w:top w:val="nil"/>
              <w:left w:val="single" w:sz="4" w:space="0" w:color="auto"/>
              <w:bottom w:val="single" w:sz="4" w:space="0" w:color="auto"/>
              <w:right w:val="nil"/>
            </w:tcBorders>
            <w:shd w:val="clear" w:color="auto" w:fill="auto"/>
            <w:noWrap/>
            <w:vAlign w:val="center"/>
            <w:hideMark/>
          </w:tcPr>
          <w:p w14:paraId="401DC791" w14:textId="77777777" w:rsidR="00387142" w:rsidRPr="008B6A75" w:rsidRDefault="00387142" w:rsidP="00387142">
            <w:pPr>
              <w:jc w:val="center"/>
              <w:rPr>
                <w:sz w:val="20"/>
                <w:szCs w:val="20"/>
              </w:rPr>
            </w:pPr>
            <w:r w:rsidRPr="008B6A75">
              <w:rPr>
                <w:sz w:val="20"/>
                <w:szCs w:val="20"/>
              </w:rPr>
              <w:t>02</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17DCAAF" w14:textId="77777777" w:rsidR="00387142" w:rsidRPr="008B6A75" w:rsidRDefault="00387142" w:rsidP="00387142">
            <w:pPr>
              <w:jc w:val="right"/>
              <w:rPr>
                <w:sz w:val="20"/>
                <w:szCs w:val="20"/>
              </w:rPr>
            </w:pPr>
            <w:r w:rsidRPr="008B6A75">
              <w:rPr>
                <w:sz w:val="20"/>
                <w:szCs w:val="20"/>
              </w:rPr>
              <w:t>784 860,00</w:t>
            </w:r>
          </w:p>
        </w:tc>
        <w:tc>
          <w:tcPr>
            <w:tcW w:w="851" w:type="dxa"/>
            <w:tcBorders>
              <w:top w:val="nil"/>
              <w:left w:val="single" w:sz="4" w:space="0" w:color="auto"/>
              <w:bottom w:val="single" w:sz="4" w:space="0" w:color="auto"/>
              <w:right w:val="nil"/>
            </w:tcBorders>
            <w:shd w:val="clear" w:color="auto" w:fill="auto"/>
            <w:noWrap/>
            <w:vAlign w:val="center"/>
            <w:hideMark/>
          </w:tcPr>
          <w:p w14:paraId="61D58093" w14:textId="77777777" w:rsidR="00387142" w:rsidRPr="008B6A75" w:rsidRDefault="00387142" w:rsidP="00387142">
            <w:pPr>
              <w:jc w:val="right"/>
              <w:rPr>
                <w:sz w:val="20"/>
                <w:szCs w:val="20"/>
              </w:rPr>
            </w:pPr>
            <w:r w:rsidRPr="008B6A75">
              <w:rPr>
                <w:sz w:val="20"/>
                <w:szCs w:val="20"/>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56B281E9" w14:textId="77777777" w:rsidR="00387142" w:rsidRPr="008B6A75" w:rsidRDefault="00387142" w:rsidP="00387142">
            <w:pPr>
              <w:jc w:val="right"/>
              <w:rPr>
                <w:sz w:val="20"/>
                <w:szCs w:val="20"/>
              </w:rPr>
            </w:pPr>
            <w:r w:rsidRPr="008B6A75">
              <w:rPr>
                <w:sz w:val="20"/>
                <w:szCs w:val="20"/>
              </w:rPr>
              <w:t>0,00</w:t>
            </w:r>
          </w:p>
        </w:tc>
      </w:tr>
      <w:tr w:rsidR="00387142" w:rsidRPr="008B6A75" w14:paraId="18DE19A5" w14:textId="77777777" w:rsidTr="00387142">
        <w:trPr>
          <w:trHeight w:val="585"/>
        </w:trPr>
        <w:tc>
          <w:tcPr>
            <w:tcW w:w="272" w:type="dxa"/>
            <w:tcBorders>
              <w:top w:val="nil"/>
              <w:left w:val="nil"/>
              <w:bottom w:val="nil"/>
              <w:right w:val="single" w:sz="4" w:space="0" w:color="auto"/>
            </w:tcBorders>
            <w:shd w:val="clear" w:color="auto" w:fill="auto"/>
            <w:noWrap/>
            <w:vAlign w:val="bottom"/>
            <w:hideMark/>
          </w:tcPr>
          <w:p w14:paraId="2CDC04E2"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0FB42A38" w14:textId="77777777" w:rsidR="00387142" w:rsidRPr="008B6A75" w:rsidRDefault="00387142" w:rsidP="00387142">
            <w:pPr>
              <w:rPr>
                <w:sz w:val="20"/>
                <w:szCs w:val="20"/>
              </w:rPr>
            </w:pPr>
            <w:r w:rsidRPr="008B6A75">
              <w:rPr>
                <w:sz w:val="20"/>
                <w:szCs w:val="20"/>
              </w:rPr>
              <w:t>Закупка товаров, работ и услуг для обеспечения государственных (муниципальных) нужд</w:t>
            </w:r>
          </w:p>
        </w:tc>
        <w:tc>
          <w:tcPr>
            <w:tcW w:w="1559" w:type="dxa"/>
            <w:tcBorders>
              <w:top w:val="nil"/>
              <w:left w:val="single" w:sz="4" w:space="0" w:color="auto"/>
              <w:bottom w:val="single" w:sz="4" w:space="0" w:color="auto"/>
              <w:right w:val="nil"/>
            </w:tcBorders>
            <w:shd w:val="clear" w:color="auto" w:fill="auto"/>
            <w:noWrap/>
            <w:vAlign w:val="center"/>
            <w:hideMark/>
          </w:tcPr>
          <w:p w14:paraId="0DC47133" w14:textId="77777777" w:rsidR="00387142" w:rsidRPr="008B6A75" w:rsidRDefault="00387142" w:rsidP="00387142">
            <w:pPr>
              <w:jc w:val="center"/>
              <w:rPr>
                <w:sz w:val="20"/>
                <w:szCs w:val="20"/>
              </w:rPr>
            </w:pPr>
            <w:r w:rsidRPr="008B6A75">
              <w:rPr>
                <w:sz w:val="20"/>
                <w:szCs w:val="20"/>
              </w:rPr>
              <w:t>99.0.00.20540</w:t>
            </w:r>
          </w:p>
        </w:tc>
        <w:tc>
          <w:tcPr>
            <w:tcW w:w="850" w:type="dxa"/>
            <w:tcBorders>
              <w:top w:val="nil"/>
              <w:left w:val="single" w:sz="4" w:space="0" w:color="auto"/>
              <w:bottom w:val="single" w:sz="4" w:space="0" w:color="auto"/>
              <w:right w:val="nil"/>
            </w:tcBorders>
            <w:shd w:val="clear" w:color="auto" w:fill="auto"/>
            <w:noWrap/>
            <w:vAlign w:val="center"/>
            <w:hideMark/>
          </w:tcPr>
          <w:p w14:paraId="4437769C" w14:textId="77777777" w:rsidR="00387142" w:rsidRPr="008B6A75" w:rsidRDefault="00387142" w:rsidP="00387142">
            <w:pPr>
              <w:jc w:val="center"/>
              <w:rPr>
                <w:sz w:val="20"/>
                <w:szCs w:val="20"/>
              </w:rPr>
            </w:pPr>
            <w:r w:rsidRPr="008B6A75">
              <w:rPr>
                <w:sz w:val="20"/>
                <w:szCs w:val="20"/>
              </w:rPr>
              <w:t>200</w:t>
            </w:r>
          </w:p>
        </w:tc>
        <w:tc>
          <w:tcPr>
            <w:tcW w:w="567" w:type="dxa"/>
            <w:tcBorders>
              <w:top w:val="nil"/>
              <w:left w:val="single" w:sz="4" w:space="0" w:color="auto"/>
              <w:bottom w:val="single" w:sz="4" w:space="0" w:color="auto"/>
              <w:right w:val="nil"/>
            </w:tcBorders>
            <w:shd w:val="clear" w:color="auto" w:fill="auto"/>
            <w:noWrap/>
            <w:vAlign w:val="center"/>
            <w:hideMark/>
          </w:tcPr>
          <w:p w14:paraId="1ECE2AA5" w14:textId="77777777" w:rsidR="00387142" w:rsidRPr="008B6A75" w:rsidRDefault="00387142" w:rsidP="00387142">
            <w:pPr>
              <w:jc w:val="center"/>
              <w:rPr>
                <w:sz w:val="20"/>
                <w:szCs w:val="20"/>
              </w:rPr>
            </w:pPr>
            <w:r w:rsidRPr="008B6A75">
              <w:rPr>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6646CBF6" w14:textId="77777777" w:rsidR="00387142" w:rsidRPr="008B6A75" w:rsidRDefault="00387142" w:rsidP="00387142">
            <w:pPr>
              <w:jc w:val="center"/>
              <w:rPr>
                <w:sz w:val="20"/>
                <w:szCs w:val="20"/>
              </w:rPr>
            </w:pPr>
            <w:r w:rsidRPr="008B6A75">
              <w:rPr>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50B9C45" w14:textId="77777777" w:rsidR="00387142" w:rsidRPr="008B6A75" w:rsidRDefault="00387142" w:rsidP="00387142">
            <w:pPr>
              <w:jc w:val="right"/>
              <w:rPr>
                <w:sz w:val="20"/>
                <w:szCs w:val="20"/>
              </w:rPr>
            </w:pPr>
            <w:r w:rsidRPr="008B6A75">
              <w:rPr>
                <w:sz w:val="20"/>
                <w:szCs w:val="20"/>
              </w:rPr>
              <w:t>300 000,00</w:t>
            </w:r>
          </w:p>
        </w:tc>
        <w:tc>
          <w:tcPr>
            <w:tcW w:w="851" w:type="dxa"/>
            <w:tcBorders>
              <w:top w:val="nil"/>
              <w:left w:val="single" w:sz="4" w:space="0" w:color="auto"/>
              <w:bottom w:val="single" w:sz="4" w:space="0" w:color="auto"/>
              <w:right w:val="nil"/>
            </w:tcBorders>
            <w:shd w:val="clear" w:color="auto" w:fill="auto"/>
            <w:noWrap/>
            <w:vAlign w:val="center"/>
            <w:hideMark/>
          </w:tcPr>
          <w:p w14:paraId="6976DF3A" w14:textId="77777777" w:rsidR="00387142" w:rsidRPr="008B6A75" w:rsidRDefault="00387142" w:rsidP="00387142">
            <w:pPr>
              <w:jc w:val="right"/>
              <w:rPr>
                <w:sz w:val="20"/>
                <w:szCs w:val="20"/>
              </w:rPr>
            </w:pPr>
            <w:r w:rsidRPr="008B6A75">
              <w:rPr>
                <w:sz w:val="20"/>
                <w:szCs w:val="20"/>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105E9DF2" w14:textId="77777777" w:rsidR="00387142" w:rsidRPr="008B6A75" w:rsidRDefault="00387142" w:rsidP="00387142">
            <w:pPr>
              <w:jc w:val="right"/>
              <w:rPr>
                <w:sz w:val="20"/>
                <w:szCs w:val="20"/>
              </w:rPr>
            </w:pPr>
            <w:r w:rsidRPr="008B6A75">
              <w:rPr>
                <w:sz w:val="20"/>
                <w:szCs w:val="20"/>
              </w:rPr>
              <w:t>0,00</w:t>
            </w:r>
          </w:p>
        </w:tc>
      </w:tr>
      <w:tr w:rsidR="00387142" w:rsidRPr="008B6A75" w14:paraId="1C088AED" w14:textId="77777777" w:rsidTr="00387142">
        <w:trPr>
          <w:trHeight w:val="870"/>
        </w:trPr>
        <w:tc>
          <w:tcPr>
            <w:tcW w:w="272" w:type="dxa"/>
            <w:tcBorders>
              <w:top w:val="nil"/>
              <w:left w:val="nil"/>
              <w:bottom w:val="nil"/>
              <w:right w:val="single" w:sz="4" w:space="0" w:color="auto"/>
            </w:tcBorders>
            <w:shd w:val="clear" w:color="auto" w:fill="auto"/>
            <w:noWrap/>
            <w:vAlign w:val="bottom"/>
            <w:hideMark/>
          </w:tcPr>
          <w:p w14:paraId="1B8A826B"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2BBA148B" w14:textId="77777777" w:rsidR="00387142" w:rsidRPr="008B6A75" w:rsidRDefault="00387142" w:rsidP="00387142">
            <w:pPr>
              <w:rPr>
                <w:sz w:val="20"/>
                <w:szCs w:val="20"/>
              </w:rPr>
            </w:pPr>
            <w:r w:rsidRPr="008B6A75">
              <w:rPr>
                <w:sz w:val="20"/>
                <w:szCs w:val="20"/>
              </w:rPr>
              <w:t>Иные закупки товаров, работ и услуг для обеспечения государственных (муниципальных) нужд</w:t>
            </w:r>
          </w:p>
        </w:tc>
        <w:tc>
          <w:tcPr>
            <w:tcW w:w="1559" w:type="dxa"/>
            <w:tcBorders>
              <w:top w:val="nil"/>
              <w:left w:val="single" w:sz="4" w:space="0" w:color="auto"/>
              <w:bottom w:val="single" w:sz="4" w:space="0" w:color="auto"/>
              <w:right w:val="nil"/>
            </w:tcBorders>
            <w:shd w:val="clear" w:color="auto" w:fill="auto"/>
            <w:noWrap/>
            <w:vAlign w:val="center"/>
            <w:hideMark/>
          </w:tcPr>
          <w:p w14:paraId="1CB2F1E3" w14:textId="77777777" w:rsidR="00387142" w:rsidRPr="008B6A75" w:rsidRDefault="00387142" w:rsidP="00387142">
            <w:pPr>
              <w:jc w:val="center"/>
              <w:rPr>
                <w:sz w:val="20"/>
                <w:szCs w:val="20"/>
              </w:rPr>
            </w:pPr>
            <w:r w:rsidRPr="008B6A75">
              <w:rPr>
                <w:sz w:val="20"/>
                <w:szCs w:val="20"/>
              </w:rPr>
              <w:t>99.0.00.20540</w:t>
            </w:r>
          </w:p>
        </w:tc>
        <w:tc>
          <w:tcPr>
            <w:tcW w:w="850" w:type="dxa"/>
            <w:tcBorders>
              <w:top w:val="nil"/>
              <w:left w:val="single" w:sz="4" w:space="0" w:color="auto"/>
              <w:bottom w:val="single" w:sz="4" w:space="0" w:color="auto"/>
              <w:right w:val="nil"/>
            </w:tcBorders>
            <w:shd w:val="clear" w:color="auto" w:fill="auto"/>
            <w:noWrap/>
            <w:vAlign w:val="center"/>
            <w:hideMark/>
          </w:tcPr>
          <w:p w14:paraId="17F65FB1" w14:textId="77777777" w:rsidR="00387142" w:rsidRPr="008B6A75" w:rsidRDefault="00387142" w:rsidP="00387142">
            <w:pPr>
              <w:jc w:val="center"/>
              <w:rPr>
                <w:sz w:val="20"/>
                <w:szCs w:val="20"/>
              </w:rPr>
            </w:pPr>
            <w:r w:rsidRPr="008B6A75">
              <w:rPr>
                <w:sz w:val="20"/>
                <w:szCs w:val="20"/>
              </w:rPr>
              <w:t>240</w:t>
            </w:r>
          </w:p>
        </w:tc>
        <w:tc>
          <w:tcPr>
            <w:tcW w:w="567" w:type="dxa"/>
            <w:tcBorders>
              <w:top w:val="nil"/>
              <w:left w:val="single" w:sz="4" w:space="0" w:color="auto"/>
              <w:bottom w:val="single" w:sz="4" w:space="0" w:color="auto"/>
              <w:right w:val="nil"/>
            </w:tcBorders>
            <w:shd w:val="clear" w:color="auto" w:fill="auto"/>
            <w:noWrap/>
            <w:vAlign w:val="center"/>
            <w:hideMark/>
          </w:tcPr>
          <w:p w14:paraId="61C1D50D" w14:textId="77777777" w:rsidR="00387142" w:rsidRPr="008B6A75" w:rsidRDefault="00387142" w:rsidP="00387142">
            <w:pPr>
              <w:jc w:val="center"/>
              <w:rPr>
                <w:sz w:val="20"/>
                <w:szCs w:val="20"/>
              </w:rPr>
            </w:pPr>
            <w:r w:rsidRPr="008B6A75">
              <w:rPr>
                <w:sz w:val="20"/>
                <w:szCs w:val="20"/>
              </w:rPr>
              <w:t>10</w:t>
            </w:r>
          </w:p>
        </w:tc>
        <w:tc>
          <w:tcPr>
            <w:tcW w:w="567" w:type="dxa"/>
            <w:tcBorders>
              <w:top w:val="nil"/>
              <w:left w:val="single" w:sz="4" w:space="0" w:color="auto"/>
              <w:bottom w:val="single" w:sz="4" w:space="0" w:color="auto"/>
              <w:right w:val="nil"/>
            </w:tcBorders>
            <w:shd w:val="clear" w:color="auto" w:fill="auto"/>
            <w:noWrap/>
            <w:vAlign w:val="center"/>
            <w:hideMark/>
          </w:tcPr>
          <w:p w14:paraId="64174610" w14:textId="77777777" w:rsidR="00387142" w:rsidRPr="008B6A75" w:rsidRDefault="00387142" w:rsidP="00387142">
            <w:pPr>
              <w:jc w:val="center"/>
              <w:rPr>
                <w:sz w:val="20"/>
                <w:szCs w:val="20"/>
              </w:rPr>
            </w:pPr>
            <w:r w:rsidRPr="008B6A75">
              <w:rPr>
                <w:sz w:val="20"/>
                <w:szCs w:val="20"/>
              </w:rPr>
              <w:t>03</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BE7B4B1" w14:textId="77777777" w:rsidR="00387142" w:rsidRPr="008B6A75" w:rsidRDefault="00387142" w:rsidP="00387142">
            <w:pPr>
              <w:jc w:val="right"/>
              <w:rPr>
                <w:sz w:val="20"/>
                <w:szCs w:val="20"/>
              </w:rPr>
            </w:pPr>
            <w:r w:rsidRPr="008B6A75">
              <w:rPr>
                <w:sz w:val="20"/>
                <w:szCs w:val="20"/>
              </w:rPr>
              <w:t>300 000,00</w:t>
            </w:r>
          </w:p>
        </w:tc>
        <w:tc>
          <w:tcPr>
            <w:tcW w:w="851" w:type="dxa"/>
            <w:tcBorders>
              <w:top w:val="nil"/>
              <w:left w:val="single" w:sz="4" w:space="0" w:color="auto"/>
              <w:bottom w:val="single" w:sz="4" w:space="0" w:color="auto"/>
              <w:right w:val="nil"/>
            </w:tcBorders>
            <w:shd w:val="clear" w:color="auto" w:fill="auto"/>
            <w:noWrap/>
            <w:vAlign w:val="center"/>
            <w:hideMark/>
          </w:tcPr>
          <w:p w14:paraId="330BE52F" w14:textId="77777777" w:rsidR="00387142" w:rsidRPr="008B6A75" w:rsidRDefault="00387142" w:rsidP="00387142">
            <w:pPr>
              <w:jc w:val="right"/>
              <w:rPr>
                <w:sz w:val="20"/>
                <w:szCs w:val="20"/>
              </w:rPr>
            </w:pPr>
            <w:r w:rsidRPr="008B6A75">
              <w:rPr>
                <w:sz w:val="20"/>
                <w:szCs w:val="20"/>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6A6411B7" w14:textId="77777777" w:rsidR="00387142" w:rsidRPr="008B6A75" w:rsidRDefault="00387142" w:rsidP="00387142">
            <w:pPr>
              <w:jc w:val="right"/>
              <w:rPr>
                <w:sz w:val="20"/>
                <w:szCs w:val="20"/>
              </w:rPr>
            </w:pPr>
            <w:r w:rsidRPr="008B6A75">
              <w:rPr>
                <w:sz w:val="20"/>
                <w:szCs w:val="20"/>
              </w:rPr>
              <w:t>0,00</w:t>
            </w:r>
          </w:p>
        </w:tc>
      </w:tr>
      <w:tr w:rsidR="00387142" w:rsidRPr="008B6A75" w14:paraId="3382E21C" w14:textId="77777777" w:rsidTr="00387142">
        <w:trPr>
          <w:trHeight w:val="1440"/>
        </w:trPr>
        <w:tc>
          <w:tcPr>
            <w:tcW w:w="272" w:type="dxa"/>
            <w:tcBorders>
              <w:top w:val="nil"/>
              <w:left w:val="nil"/>
              <w:bottom w:val="nil"/>
              <w:right w:val="single" w:sz="4" w:space="0" w:color="auto"/>
            </w:tcBorders>
            <w:shd w:val="clear" w:color="auto" w:fill="auto"/>
            <w:noWrap/>
            <w:vAlign w:val="bottom"/>
            <w:hideMark/>
          </w:tcPr>
          <w:p w14:paraId="0EC659BA"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6A6CEDD0" w14:textId="77777777" w:rsidR="00387142" w:rsidRPr="008B6A75" w:rsidRDefault="00387142" w:rsidP="00387142">
            <w:pPr>
              <w:rPr>
                <w:bCs/>
                <w:sz w:val="20"/>
                <w:szCs w:val="20"/>
              </w:rPr>
            </w:pPr>
            <w:r w:rsidRPr="008B6A75">
              <w:rPr>
                <w:bCs/>
                <w:sz w:val="20"/>
                <w:szCs w:val="20"/>
              </w:rPr>
              <w:t>Осуществление первичного воинского учета на территориях, где отсутствуют военные комиссариаты в рамках непрограммных расходов федеральных органов исполнительной власти</w:t>
            </w:r>
          </w:p>
        </w:tc>
        <w:tc>
          <w:tcPr>
            <w:tcW w:w="1559" w:type="dxa"/>
            <w:tcBorders>
              <w:top w:val="nil"/>
              <w:left w:val="single" w:sz="4" w:space="0" w:color="auto"/>
              <w:bottom w:val="single" w:sz="4" w:space="0" w:color="auto"/>
              <w:right w:val="nil"/>
            </w:tcBorders>
            <w:shd w:val="clear" w:color="auto" w:fill="auto"/>
            <w:noWrap/>
            <w:vAlign w:val="center"/>
            <w:hideMark/>
          </w:tcPr>
          <w:p w14:paraId="6FEC3C12" w14:textId="77777777" w:rsidR="00387142" w:rsidRPr="008B6A75" w:rsidRDefault="00387142" w:rsidP="00387142">
            <w:pPr>
              <w:jc w:val="center"/>
              <w:rPr>
                <w:bCs/>
                <w:sz w:val="20"/>
                <w:szCs w:val="20"/>
              </w:rPr>
            </w:pPr>
            <w:r w:rsidRPr="008B6A75">
              <w:rPr>
                <w:bCs/>
                <w:sz w:val="20"/>
                <w:szCs w:val="20"/>
              </w:rPr>
              <w:t>99.0.00.51180</w:t>
            </w:r>
          </w:p>
        </w:tc>
        <w:tc>
          <w:tcPr>
            <w:tcW w:w="850" w:type="dxa"/>
            <w:tcBorders>
              <w:top w:val="nil"/>
              <w:left w:val="single" w:sz="4" w:space="0" w:color="auto"/>
              <w:bottom w:val="single" w:sz="4" w:space="0" w:color="auto"/>
              <w:right w:val="nil"/>
            </w:tcBorders>
            <w:shd w:val="clear" w:color="auto" w:fill="auto"/>
            <w:noWrap/>
            <w:vAlign w:val="center"/>
            <w:hideMark/>
          </w:tcPr>
          <w:p w14:paraId="54C973E0" w14:textId="77777777" w:rsidR="00387142" w:rsidRPr="008B6A75" w:rsidRDefault="00387142" w:rsidP="00387142">
            <w:pPr>
              <w:jc w:val="center"/>
              <w:rPr>
                <w:bCs/>
                <w:sz w:val="20"/>
                <w:szCs w:val="20"/>
              </w:rPr>
            </w:pPr>
            <w:r w:rsidRPr="008B6A75">
              <w:rPr>
                <w:bCs/>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4F6F4399" w14:textId="77777777" w:rsidR="00387142" w:rsidRPr="008B6A75" w:rsidRDefault="00387142" w:rsidP="00387142">
            <w:pPr>
              <w:jc w:val="center"/>
              <w:rPr>
                <w:bCs/>
                <w:sz w:val="20"/>
                <w:szCs w:val="20"/>
              </w:rPr>
            </w:pPr>
            <w:r w:rsidRPr="008B6A75">
              <w:rPr>
                <w:bCs/>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7A811BA5" w14:textId="77777777" w:rsidR="00387142" w:rsidRPr="008B6A75" w:rsidRDefault="00387142" w:rsidP="00387142">
            <w:pPr>
              <w:jc w:val="center"/>
              <w:rPr>
                <w:bCs/>
                <w:sz w:val="20"/>
                <w:szCs w:val="20"/>
              </w:rPr>
            </w:pPr>
            <w:r w:rsidRPr="008B6A75">
              <w:rPr>
                <w:bCs/>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60E8BB1" w14:textId="77777777" w:rsidR="00387142" w:rsidRPr="008B6A75" w:rsidRDefault="00387142" w:rsidP="00387142">
            <w:pPr>
              <w:jc w:val="right"/>
              <w:rPr>
                <w:bCs/>
                <w:sz w:val="20"/>
                <w:szCs w:val="20"/>
              </w:rPr>
            </w:pPr>
            <w:r w:rsidRPr="008B6A75">
              <w:rPr>
                <w:bCs/>
                <w:sz w:val="20"/>
                <w:szCs w:val="20"/>
              </w:rPr>
              <w:t>2 244 446,01</w:t>
            </w:r>
          </w:p>
        </w:tc>
        <w:tc>
          <w:tcPr>
            <w:tcW w:w="851" w:type="dxa"/>
            <w:tcBorders>
              <w:top w:val="nil"/>
              <w:left w:val="single" w:sz="4" w:space="0" w:color="auto"/>
              <w:bottom w:val="single" w:sz="4" w:space="0" w:color="auto"/>
              <w:right w:val="nil"/>
            </w:tcBorders>
            <w:shd w:val="clear" w:color="auto" w:fill="auto"/>
            <w:noWrap/>
            <w:vAlign w:val="center"/>
            <w:hideMark/>
          </w:tcPr>
          <w:p w14:paraId="3711DDCB" w14:textId="77777777" w:rsidR="00387142" w:rsidRPr="008B6A75" w:rsidRDefault="00387142" w:rsidP="00387142">
            <w:pPr>
              <w:jc w:val="right"/>
              <w:rPr>
                <w:bCs/>
                <w:sz w:val="20"/>
                <w:szCs w:val="20"/>
              </w:rPr>
            </w:pPr>
            <w:r w:rsidRPr="008B6A75">
              <w:rPr>
                <w:bCs/>
                <w:sz w:val="20"/>
                <w:szCs w:val="20"/>
              </w:rPr>
              <w:t>2 176 627,79</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43767C14" w14:textId="77777777" w:rsidR="00387142" w:rsidRPr="008B6A75" w:rsidRDefault="00387142" w:rsidP="00387142">
            <w:pPr>
              <w:jc w:val="right"/>
              <w:rPr>
                <w:bCs/>
                <w:sz w:val="20"/>
                <w:szCs w:val="20"/>
              </w:rPr>
            </w:pPr>
            <w:r w:rsidRPr="008B6A75">
              <w:rPr>
                <w:bCs/>
                <w:sz w:val="20"/>
                <w:szCs w:val="20"/>
              </w:rPr>
              <w:t>2 253 758,06</w:t>
            </w:r>
          </w:p>
        </w:tc>
      </w:tr>
      <w:tr w:rsidR="00387142" w:rsidRPr="008B6A75" w14:paraId="751A4BDD" w14:textId="77777777" w:rsidTr="00387142">
        <w:trPr>
          <w:trHeight w:val="300"/>
        </w:trPr>
        <w:tc>
          <w:tcPr>
            <w:tcW w:w="272" w:type="dxa"/>
            <w:tcBorders>
              <w:top w:val="nil"/>
              <w:left w:val="nil"/>
              <w:bottom w:val="nil"/>
              <w:right w:val="single" w:sz="4" w:space="0" w:color="auto"/>
            </w:tcBorders>
            <w:shd w:val="clear" w:color="auto" w:fill="auto"/>
            <w:noWrap/>
            <w:vAlign w:val="bottom"/>
            <w:hideMark/>
          </w:tcPr>
          <w:p w14:paraId="3F2913A7"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25E3D273" w14:textId="77777777" w:rsidR="00387142" w:rsidRPr="008B6A75" w:rsidRDefault="00387142" w:rsidP="00387142">
            <w:pPr>
              <w:rPr>
                <w:sz w:val="20"/>
                <w:szCs w:val="20"/>
              </w:rPr>
            </w:pPr>
            <w:r w:rsidRPr="008B6A75">
              <w:rPr>
                <w:sz w:val="20"/>
                <w:szCs w:val="20"/>
              </w:rPr>
              <w:t>Межбюджетные трансферты</w:t>
            </w:r>
          </w:p>
        </w:tc>
        <w:tc>
          <w:tcPr>
            <w:tcW w:w="1559" w:type="dxa"/>
            <w:tcBorders>
              <w:top w:val="nil"/>
              <w:left w:val="single" w:sz="4" w:space="0" w:color="auto"/>
              <w:bottom w:val="single" w:sz="4" w:space="0" w:color="auto"/>
              <w:right w:val="nil"/>
            </w:tcBorders>
            <w:shd w:val="clear" w:color="auto" w:fill="auto"/>
            <w:noWrap/>
            <w:vAlign w:val="center"/>
            <w:hideMark/>
          </w:tcPr>
          <w:p w14:paraId="300D4505" w14:textId="77777777" w:rsidR="00387142" w:rsidRPr="008B6A75" w:rsidRDefault="00387142" w:rsidP="00387142">
            <w:pPr>
              <w:jc w:val="center"/>
              <w:rPr>
                <w:sz w:val="20"/>
                <w:szCs w:val="20"/>
              </w:rPr>
            </w:pPr>
            <w:r w:rsidRPr="008B6A75">
              <w:rPr>
                <w:sz w:val="20"/>
                <w:szCs w:val="20"/>
              </w:rPr>
              <w:t>99.0.00.51180</w:t>
            </w:r>
          </w:p>
        </w:tc>
        <w:tc>
          <w:tcPr>
            <w:tcW w:w="850" w:type="dxa"/>
            <w:tcBorders>
              <w:top w:val="nil"/>
              <w:left w:val="single" w:sz="4" w:space="0" w:color="auto"/>
              <w:bottom w:val="single" w:sz="4" w:space="0" w:color="auto"/>
              <w:right w:val="nil"/>
            </w:tcBorders>
            <w:shd w:val="clear" w:color="auto" w:fill="auto"/>
            <w:noWrap/>
            <w:vAlign w:val="center"/>
            <w:hideMark/>
          </w:tcPr>
          <w:p w14:paraId="081D8FFC" w14:textId="77777777" w:rsidR="00387142" w:rsidRPr="008B6A75" w:rsidRDefault="00387142" w:rsidP="00387142">
            <w:pPr>
              <w:jc w:val="center"/>
              <w:rPr>
                <w:sz w:val="20"/>
                <w:szCs w:val="20"/>
              </w:rPr>
            </w:pPr>
            <w:r w:rsidRPr="008B6A75">
              <w:rPr>
                <w:sz w:val="20"/>
                <w:szCs w:val="20"/>
              </w:rPr>
              <w:t>500</w:t>
            </w:r>
          </w:p>
        </w:tc>
        <w:tc>
          <w:tcPr>
            <w:tcW w:w="567" w:type="dxa"/>
            <w:tcBorders>
              <w:top w:val="nil"/>
              <w:left w:val="single" w:sz="4" w:space="0" w:color="auto"/>
              <w:bottom w:val="single" w:sz="4" w:space="0" w:color="auto"/>
              <w:right w:val="nil"/>
            </w:tcBorders>
            <w:shd w:val="clear" w:color="auto" w:fill="auto"/>
            <w:noWrap/>
            <w:vAlign w:val="center"/>
            <w:hideMark/>
          </w:tcPr>
          <w:p w14:paraId="71296EBE" w14:textId="77777777" w:rsidR="00387142" w:rsidRPr="008B6A75" w:rsidRDefault="00387142" w:rsidP="00387142">
            <w:pPr>
              <w:jc w:val="center"/>
              <w:rPr>
                <w:sz w:val="20"/>
                <w:szCs w:val="20"/>
              </w:rPr>
            </w:pPr>
            <w:r w:rsidRPr="008B6A75">
              <w:rPr>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5D8A51B4" w14:textId="77777777" w:rsidR="00387142" w:rsidRPr="008B6A75" w:rsidRDefault="00387142" w:rsidP="00387142">
            <w:pPr>
              <w:jc w:val="center"/>
              <w:rPr>
                <w:sz w:val="20"/>
                <w:szCs w:val="20"/>
              </w:rPr>
            </w:pPr>
            <w:r w:rsidRPr="008B6A75">
              <w:rPr>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E6D48C6" w14:textId="77777777" w:rsidR="00387142" w:rsidRPr="008B6A75" w:rsidRDefault="00387142" w:rsidP="00387142">
            <w:pPr>
              <w:jc w:val="right"/>
              <w:rPr>
                <w:sz w:val="20"/>
                <w:szCs w:val="20"/>
              </w:rPr>
            </w:pPr>
            <w:r w:rsidRPr="008B6A75">
              <w:rPr>
                <w:sz w:val="20"/>
                <w:szCs w:val="20"/>
              </w:rPr>
              <w:t>2 244 446,01</w:t>
            </w:r>
          </w:p>
        </w:tc>
        <w:tc>
          <w:tcPr>
            <w:tcW w:w="851" w:type="dxa"/>
            <w:tcBorders>
              <w:top w:val="nil"/>
              <w:left w:val="single" w:sz="4" w:space="0" w:color="auto"/>
              <w:bottom w:val="single" w:sz="4" w:space="0" w:color="auto"/>
              <w:right w:val="nil"/>
            </w:tcBorders>
            <w:shd w:val="clear" w:color="auto" w:fill="auto"/>
            <w:noWrap/>
            <w:vAlign w:val="center"/>
            <w:hideMark/>
          </w:tcPr>
          <w:p w14:paraId="618D9A5C" w14:textId="77777777" w:rsidR="00387142" w:rsidRPr="008B6A75" w:rsidRDefault="00387142" w:rsidP="00387142">
            <w:pPr>
              <w:jc w:val="right"/>
              <w:rPr>
                <w:sz w:val="20"/>
                <w:szCs w:val="20"/>
              </w:rPr>
            </w:pPr>
            <w:r w:rsidRPr="008B6A75">
              <w:rPr>
                <w:sz w:val="20"/>
                <w:szCs w:val="20"/>
              </w:rPr>
              <w:t>2 176 627,79</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1067B1BD" w14:textId="77777777" w:rsidR="00387142" w:rsidRPr="008B6A75" w:rsidRDefault="00387142" w:rsidP="00387142">
            <w:pPr>
              <w:jc w:val="right"/>
              <w:rPr>
                <w:sz w:val="20"/>
                <w:szCs w:val="20"/>
              </w:rPr>
            </w:pPr>
            <w:r w:rsidRPr="008B6A75">
              <w:rPr>
                <w:sz w:val="20"/>
                <w:szCs w:val="20"/>
              </w:rPr>
              <w:t>2 253 758,06</w:t>
            </w:r>
          </w:p>
        </w:tc>
      </w:tr>
      <w:tr w:rsidR="00387142" w:rsidRPr="008B6A75" w14:paraId="6AD84BE9" w14:textId="77777777" w:rsidTr="00387142">
        <w:trPr>
          <w:trHeight w:val="300"/>
        </w:trPr>
        <w:tc>
          <w:tcPr>
            <w:tcW w:w="272" w:type="dxa"/>
            <w:tcBorders>
              <w:top w:val="nil"/>
              <w:left w:val="nil"/>
              <w:bottom w:val="nil"/>
              <w:right w:val="single" w:sz="4" w:space="0" w:color="auto"/>
            </w:tcBorders>
            <w:shd w:val="clear" w:color="auto" w:fill="auto"/>
            <w:noWrap/>
            <w:vAlign w:val="bottom"/>
            <w:hideMark/>
          </w:tcPr>
          <w:p w14:paraId="0CDD63EF"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244F8B09" w14:textId="77777777" w:rsidR="00387142" w:rsidRPr="008B6A75" w:rsidRDefault="00387142" w:rsidP="00387142">
            <w:pPr>
              <w:rPr>
                <w:sz w:val="20"/>
                <w:szCs w:val="20"/>
              </w:rPr>
            </w:pPr>
            <w:r w:rsidRPr="008B6A75">
              <w:rPr>
                <w:sz w:val="20"/>
                <w:szCs w:val="20"/>
              </w:rPr>
              <w:t>Субвенции</w:t>
            </w:r>
          </w:p>
        </w:tc>
        <w:tc>
          <w:tcPr>
            <w:tcW w:w="1559" w:type="dxa"/>
            <w:tcBorders>
              <w:top w:val="nil"/>
              <w:left w:val="single" w:sz="4" w:space="0" w:color="auto"/>
              <w:bottom w:val="single" w:sz="4" w:space="0" w:color="auto"/>
              <w:right w:val="nil"/>
            </w:tcBorders>
            <w:shd w:val="clear" w:color="auto" w:fill="auto"/>
            <w:noWrap/>
            <w:vAlign w:val="center"/>
            <w:hideMark/>
          </w:tcPr>
          <w:p w14:paraId="1A95AF7D" w14:textId="77777777" w:rsidR="00387142" w:rsidRPr="008B6A75" w:rsidRDefault="00387142" w:rsidP="00387142">
            <w:pPr>
              <w:jc w:val="center"/>
              <w:rPr>
                <w:sz w:val="20"/>
                <w:szCs w:val="20"/>
              </w:rPr>
            </w:pPr>
            <w:r w:rsidRPr="008B6A75">
              <w:rPr>
                <w:sz w:val="20"/>
                <w:szCs w:val="20"/>
              </w:rPr>
              <w:t>99.0.00.51180</w:t>
            </w:r>
          </w:p>
        </w:tc>
        <w:tc>
          <w:tcPr>
            <w:tcW w:w="850" w:type="dxa"/>
            <w:tcBorders>
              <w:top w:val="nil"/>
              <w:left w:val="single" w:sz="4" w:space="0" w:color="auto"/>
              <w:bottom w:val="single" w:sz="4" w:space="0" w:color="auto"/>
              <w:right w:val="nil"/>
            </w:tcBorders>
            <w:shd w:val="clear" w:color="auto" w:fill="auto"/>
            <w:noWrap/>
            <w:vAlign w:val="center"/>
            <w:hideMark/>
          </w:tcPr>
          <w:p w14:paraId="7B7A125E" w14:textId="77777777" w:rsidR="00387142" w:rsidRPr="008B6A75" w:rsidRDefault="00387142" w:rsidP="00387142">
            <w:pPr>
              <w:jc w:val="center"/>
              <w:rPr>
                <w:sz w:val="20"/>
                <w:szCs w:val="20"/>
              </w:rPr>
            </w:pPr>
            <w:r w:rsidRPr="008B6A75">
              <w:rPr>
                <w:sz w:val="20"/>
                <w:szCs w:val="20"/>
              </w:rPr>
              <w:t>530</w:t>
            </w:r>
          </w:p>
        </w:tc>
        <w:tc>
          <w:tcPr>
            <w:tcW w:w="567" w:type="dxa"/>
            <w:tcBorders>
              <w:top w:val="nil"/>
              <w:left w:val="single" w:sz="4" w:space="0" w:color="auto"/>
              <w:bottom w:val="single" w:sz="4" w:space="0" w:color="auto"/>
              <w:right w:val="nil"/>
            </w:tcBorders>
            <w:shd w:val="clear" w:color="auto" w:fill="auto"/>
            <w:noWrap/>
            <w:vAlign w:val="center"/>
            <w:hideMark/>
          </w:tcPr>
          <w:p w14:paraId="151F96B0" w14:textId="77777777" w:rsidR="00387142" w:rsidRPr="008B6A75" w:rsidRDefault="00387142" w:rsidP="00387142">
            <w:pPr>
              <w:jc w:val="center"/>
              <w:rPr>
                <w:sz w:val="20"/>
                <w:szCs w:val="20"/>
              </w:rPr>
            </w:pPr>
            <w:r w:rsidRPr="008B6A75">
              <w:rPr>
                <w:sz w:val="20"/>
                <w:szCs w:val="20"/>
              </w:rPr>
              <w:t>02</w:t>
            </w:r>
          </w:p>
        </w:tc>
        <w:tc>
          <w:tcPr>
            <w:tcW w:w="567" w:type="dxa"/>
            <w:tcBorders>
              <w:top w:val="nil"/>
              <w:left w:val="single" w:sz="4" w:space="0" w:color="auto"/>
              <w:bottom w:val="single" w:sz="4" w:space="0" w:color="auto"/>
              <w:right w:val="nil"/>
            </w:tcBorders>
            <w:shd w:val="clear" w:color="auto" w:fill="auto"/>
            <w:noWrap/>
            <w:vAlign w:val="center"/>
            <w:hideMark/>
          </w:tcPr>
          <w:p w14:paraId="77E49F32" w14:textId="77777777" w:rsidR="00387142" w:rsidRPr="008B6A75" w:rsidRDefault="00387142" w:rsidP="00387142">
            <w:pPr>
              <w:jc w:val="center"/>
              <w:rPr>
                <w:sz w:val="20"/>
                <w:szCs w:val="20"/>
              </w:rPr>
            </w:pPr>
            <w:r w:rsidRPr="008B6A75">
              <w:rPr>
                <w:sz w:val="20"/>
                <w:szCs w:val="20"/>
              </w:rPr>
              <w:t>03</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8BC4963" w14:textId="77777777" w:rsidR="00387142" w:rsidRPr="008B6A75" w:rsidRDefault="00387142" w:rsidP="00387142">
            <w:pPr>
              <w:jc w:val="right"/>
              <w:rPr>
                <w:sz w:val="20"/>
                <w:szCs w:val="20"/>
              </w:rPr>
            </w:pPr>
            <w:r w:rsidRPr="008B6A75">
              <w:rPr>
                <w:sz w:val="20"/>
                <w:szCs w:val="20"/>
              </w:rPr>
              <w:t>2 244 446,01</w:t>
            </w:r>
          </w:p>
        </w:tc>
        <w:tc>
          <w:tcPr>
            <w:tcW w:w="851" w:type="dxa"/>
            <w:tcBorders>
              <w:top w:val="nil"/>
              <w:left w:val="single" w:sz="4" w:space="0" w:color="auto"/>
              <w:bottom w:val="single" w:sz="4" w:space="0" w:color="auto"/>
              <w:right w:val="nil"/>
            </w:tcBorders>
            <w:shd w:val="clear" w:color="auto" w:fill="auto"/>
            <w:noWrap/>
            <w:vAlign w:val="center"/>
            <w:hideMark/>
          </w:tcPr>
          <w:p w14:paraId="0A581723" w14:textId="77777777" w:rsidR="00387142" w:rsidRPr="008B6A75" w:rsidRDefault="00387142" w:rsidP="00387142">
            <w:pPr>
              <w:jc w:val="right"/>
              <w:rPr>
                <w:sz w:val="20"/>
                <w:szCs w:val="20"/>
              </w:rPr>
            </w:pPr>
            <w:r w:rsidRPr="008B6A75">
              <w:rPr>
                <w:sz w:val="20"/>
                <w:szCs w:val="20"/>
              </w:rPr>
              <w:t>2 176 627,79</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707C47B8" w14:textId="77777777" w:rsidR="00387142" w:rsidRPr="008B6A75" w:rsidRDefault="00387142" w:rsidP="00387142">
            <w:pPr>
              <w:jc w:val="right"/>
              <w:rPr>
                <w:sz w:val="20"/>
                <w:szCs w:val="20"/>
              </w:rPr>
            </w:pPr>
            <w:r w:rsidRPr="008B6A75">
              <w:rPr>
                <w:sz w:val="20"/>
                <w:szCs w:val="20"/>
              </w:rPr>
              <w:t>2 253 758,06</w:t>
            </w:r>
          </w:p>
        </w:tc>
      </w:tr>
      <w:tr w:rsidR="00387142" w:rsidRPr="008B6A75" w14:paraId="36B77F49" w14:textId="77777777" w:rsidTr="00387142">
        <w:trPr>
          <w:trHeight w:val="1155"/>
        </w:trPr>
        <w:tc>
          <w:tcPr>
            <w:tcW w:w="272" w:type="dxa"/>
            <w:tcBorders>
              <w:top w:val="nil"/>
              <w:left w:val="nil"/>
              <w:bottom w:val="nil"/>
              <w:right w:val="single" w:sz="4" w:space="0" w:color="auto"/>
            </w:tcBorders>
            <w:shd w:val="clear" w:color="auto" w:fill="auto"/>
            <w:noWrap/>
            <w:vAlign w:val="bottom"/>
            <w:hideMark/>
          </w:tcPr>
          <w:p w14:paraId="06E52368"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1F8C06B4" w14:textId="77777777" w:rsidR="00387142" w:rsidRPr="008B6A75" w:rsidRDefault="00387142" w:rsidP="00387142">
            <w:pPr>
              <w:rPr>
                <w:bCs/>
                <w:sz w:val="20"/>
                <w:szCs w:val="20"/>
              </w:rPr>
            </w:pPr>
            <w:r w:rsidRPr="008B6A75">
              <w:rPr>
                <w:bCs/>
                <w:sz w:val="20"/>
                <w:szCs w:val="20"/>
              </w:rPr>
              <w:t xml:space="preserve">Осуществление полномочий по составлению (изменению) списков кандидатов в присяжные заседатели федеральных судов общей юрисдикции в Российской </w:t>
            </w:r>
            <w:r w:rsidRPr="008B6A75">
              <w:rPr>
                <w:bCs/>
                <w:sz w:val="20"/>
                <w:szCs w:val="20"/>
              </w:rPr>
              <w:lastRenderedPageBreak/>
              <w:t>Федерации</w:t>
            </w:r>
          </w:p>
        </w:tc>
        <w:tc>
          <w:tcPr>
            <w:tcW w:w="1559" w:type="dxa"/>
            <w:tcBorders>
              <w:top w:val="nil"/>
              <w:left w:val="single" w:sz="4" w:space="0" w:color="auto"/>
              <w:bottom w:val="single" w:sz="4" w:space="0" w:color="auto"/>
              <w:right w:val="nil"/>
            </w:tcBorders>
            <w:shd w:val="clear" w:color="auto" w:fill="auto"/>
            <w:noWrap/>
            <w:vAlign w:val="center"/>
            <w:hideMark/>
          </w:tcPr>
          <w:p w14:paraId="59E9EA86" w14:textId="77777777" w:rsidR="00387142" w:rsidRPr="008B6A75" w:rsidRDefault="00387142" w:rsidP="00387142">
            <w:pPr>
              <w:jc w:val="center"/>
              <w:rPr>
                <w:bCs/>
                <w:sz w:val="20"/>
                <w:szCs w:val="20"/>
              </w:rPr>
            </w:pPr>
            <w:r w:rsidRPr="008B6A75">
              <w:rPr>
                <w:bCs/>
                <w:sz w:val="20"/>
                <w:szCs w:val="20"/>
              </w:rPr>
              <w:lastRenderedPageBreak/>
              <w:t>99.0.00.51200</w:t>
            </w:r>
          </w:p>
        </w:tc>
        <w:tc>
          <w:tcPr>
            <w:tcW w:w="850" w:type="dxa"/>
            <w:tcBorders>
              <w:top w:val="nil"/>
              <w:left w:val="single" w:sz="4" w:space="0" w:color="auto"/>
              <w:bottom w:val="single" w:sz="4" w:space="0" w:color="auto"/>
              <w:right w:val="nil"/>
            </w:tcBorders>
            <w:shd w:val="clear" w:color="auto" w:fill="auto"/>
            <w:noWrap/>
            <w:vAlign w:val="center"/>
            <w:hideMark/>
          </w:tcPr>
          <w:p w14:paraId="7DD70D4A" w14:textId="77777777" w:rsidR="00387142" w:rsidRPr="008B6A75" w:rsidRDefault="00387142" w:rsidP="00387142">
            <w:pPr>
              <w:jc w:val="center"/>
              <w:rPr>
                <w:bCs/>
                <w:sz w:val="20"/>
                <w:szCs w:val="20"/>
              </w:rPr>
            </w:pPr>
            <w:r w:rsidRPr="008B6A75">
              <w:rPr>
                <w:bCs/>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3E25BE54" w14:textId="77777777" w:rsidR="00387142" w:rsidRPr="008B6A75" w:rsidRDefault="00387142" w:rsidP="00387142">
            <w:pPr>
              <w:jc w:val="center"/>
              <w:rPr>
                <w:bCs/>
                <w:sz w:val="20"/>
                <w:szCs w:val="20"/>
              </w:rPr>
            </w:pPr>
            <w:r w:rsidRPr="008B6A75">
              <w:rPr>
                <w:bCs/>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49036C77" w14:textId="77777777" w:rsidR="00387142" w:rsidRPr="008B6A75" w:rsidRDefault="00387142" w:rsidP="00387142">
            <w:pPr>
              <w:jc w:val="center"/>
              <w:rPr>
                <w:bCs/>
                <w:sz w:val="20"/>
                <w:szCs w:val="20"/>
              </w:rPr>
            </w:pPr>
            <w:r w:rsidRPr="008B6A75">
              <w:rPr>
                <w:bCs/>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364E3CE" w14:textId="77777777" w:rsidR="00387142" w:rsidRPr="008B6A75" w:rsidRDefault="00387142" w:rsidP="00387142">
            <w:pPr>
              <w:jc w:val="right"/>
              <w:rPr>
                <w:bCs/>
                <w:sz w:val="20"/>
                <w:szCs w:val="20"/>
              </w:rPr>
            </w:pPr>
            <w:r w:rsidRPr="008B6A75">
              <w:rPr>
                <w:bCs/>
                <w:sz w:val="20"/>
                <w:szCs w:val="20"/>
              </w:rPr>
              <w:t>182 300,00</w:t>
            </w:r>
          </w:p>
        </w:tc>
        <w:tc>
          <w:tcPr>
            <w:tcW w:w="851" w:type="dxa"/>
            <w:tcBorders>
              <w:top w:val="nil"/>
              <w:left w:val="single" w:sz="4" w:space="0" w:color="auto"/>
              <w:bottom w:val="single" w:sz="4" w:space="0" w:color="auto"/>
              <w:right w:val="nil"/>
            </w:tcBorders>
            <w:shd w:val="clear" w:color="auto" w:fill="auto"/>
            <w:noWrap/>
            <w:vAlign w:val="center"/>
            <w:hideMark/>
          </w:tcPr>
          <w:p w14:paraId="70840FC1" w14:textId="77777777" w:rsidR="00387142" w:rsidRPr="008B6A75" w:rsidRDefault="00387142" w:rsidP="00387142">
            <w:pPr>
              <w:jc w:val="right"/>
              <w:rPr>
                <w:bCs/>
                <w:sz w:val="20"/>
                <w:szCs w:val="20"/>
              </w:rPr>
            </w:pPr>
            <w:r w:rsidRPr="008B6A75">
              <w:rPr>
                <w:bCs/>
                <w:sz w:val="20"/>
                <w:szCs w:val="20"/>
              </w:rPr>
              <w:t>8 300,00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155D489E" w14:textId="77777777" w:rsidR="00387142" w:rsidRPr="008B6A75" w:rsidRDefault="00387142" w:rsidP="00387142">
            <w:pPr>
              <w:jc w:val="right"/>
              <w:rPr>
                <w:bCs/>
                <w:sz w:val="20"/>
                <w:szCs w:val="20"/>
              </w:rPr>
            </w:pPr>
            <w:r w:rsidRPr="008B6A75">
              <w:rPr>
                <w:bCs/>
                <w:sz w:val="20"/>
                <w:szCs w:val="20"/>
              </w:rPr>
              <w:t>7 500,00</w:t>
            </w:r>
          </w:p>
        </w:tc>
      </w:tr>
      <w:tr w:rsidR="00387142" w:rsidRPr="008B6A75" w14:paraId="5701CD44" w14:textId="77777777" w:rsidTr="00387142">
        <w:trPr>
          <w:trHeight w:val="585"/>
        </w:trPr>
        <w:tc>
          <w:tcPr>
            <w:tcW w:w="272" w:type="dxa"/>
            <w:tcBorders>
              <w:top w:val="nil"/>
              <w:left w:val="nil"/>
              <w:bottom w:val="nil"/>
              <w:right w:val="single" w:sz="4" w:space="0" w:color="auto"/>
            </w:tcBorders>
            <w:shd w:val="clear" w:color="auto" w:fill="auto"/>
            <w:noWrap/>
            <w:vAlign w:val="bottom"/>
            <w:hideMark/>
          </w:tcPr>
          <w:p w14:paraId="389ADB9A"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27E772BF" w14:textId="77777777" w:rsidR="00387142" w:rsidRPr="008B6A75" w:rsidRDefault="00387142" w:rsidP="00387142">
            <w:pPr>
              <w:rPr>
                <w:sz w:val="20"/>
                <w:szCs w:val="20"/>
              </w:rPr>
            </w:pPr>
            <w:r w:rsidRPr="008B6A75">
              <w:rPr>
                <w:sz w:val="20"/>
                <w:szCs w:val="20"/>
              </w:rPr>
              <w:t>Закупка товаров, работ и услуг для обеспечения государственных (муниципальных) нужд</w:t>
            </w:r>
          </w:p>
        </w:tc>
        <w:tc>
          <w:tcPr>
            <w:tcW w:w="1559" w:type="dxa"/>
            <w:tcBorders>
              <w:top w:val="nil"/>
              <w:left w:val="single" w:sz="4" w:space="0" w:color="auto"/>
              <w:bottom w:val="single" w:sz="4" w:space="0" w:color="auto"/>
              <w:right w:val="nil"/>
            </w:tcBorders>
            <w:shd w:val="clear" w:color="auto" w:fill="auto"/>
            <w:noWrap/>
            <w:vAlign w:val="center"/>
            <w:hideMark/>
          </w:tcPr>
          <w:p w14:paraId="7529CE05" w14:textId="77777777" w:rsidR="00387142" w:rsidRPr="008B6A75" w:rsidRDefault="00387142" w:rsidP="00387142">
            <w:pPr>
              <w:jc w:val="center"/>
              <w:rPr>
                <w:sz w:val="20"/>
                <w:szCs w:val="20"/>
              </w:rPr>
            </w:pPr>
            <w:r w:rsidRPr="008B6A75">
              <w:rPr>
                <w:sz w:val="20"/>
                <w:szCs w:val="20"/>
              </w:rPr>
              <w:t>99.0.00.51200</w:t>
            </w:r>
          </w:p>
        </w:tc>
        <w:tc>
          <w:tcPr>
            <w:tcW w:w="850" w:type="dxa"/>
            <w:tcBorders>
              <w:top w:val="nil"/>
              <w:left w:val="single" w:sz="4" w:space="0" w:color="auto"/>
              <w:bottom w:val="single" w:sz="4" w:space="0" w:color="auto"/>
              <w:right w:val="nil"/>
            </w:tcBorders>
            <w:shd w:val="clear" w:color="auto" w:fill="auto"/>
            <w:noWrap/>
            <w:vAlign w:val="center"/>
            <w:hideMark/>
          </w:tcPr>
          <w:p w14:paraId="5FD17E57" w14:textId="77777777" w:rsidR="00387142" w:rsidRPr="008B6A75" w:rsidRDefault="00387142" w:rsidP="00387142">
            <w:pPr>
              <w:jc w:val="center"/>
              <w:rPr>
                <w:sz w:val="20"/>
                <w:szCs w:val="20"/>
              </w:rPr>
            </w:pPr>
            <w:r w:rsidRPr="008B6A75">
              <w:rPr>
                <w:sz w:val="20"/>
                <w:szCs w:val="20"/>
              </w:rPr>
              <w:t>200</w:t>
            </w:r>
          </w:p>
        </w:tc>
        <w:tc>
          <w:tcPr>
            <w:tcW w:w="567" w:type="dxa"/>
            <w:tcBorders>
              <w:top w:val="nil"/>
              <w:left w:val="single" w:sz="4" w:space="0" w:color="auto"/>
              <w:bottom w:val="single" w:sz="4" w:space="0" w:color="auto"/>
              <w:right w:val="nil"/>
            </w:tcBorders>
            <w:shd w:val="clear" w:color="auto" w:fill="auto"/>
            <w:noWrap/>
            <w:vAlign w:val="center"/>
            <w:hideMark/>
          </w:tcPr>
          <w:p w14:paraId="02E8B86F" w14:textId="77777777" w:rsidR="00387142" w:rsidRPr="008B6A75" w:rsidRDefault="00387142" w:rsidP="00387142">
            <w:pPr>
              <w:jc w:val="center"/>
              <w:rPr>
                <w:sz w:val="20"/>
                <w:szCs w:val="20"/>
              </w:rPr>
            </w:pPr>
            <w:r w:rsidRPr="008B6A75">
              <w:rPr>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34F83239" w14:textId="77777777" w:rsidR="00387142" w:rsidRPr="008B6A75" w:rsidRDefault="00387142" w:rsidP="00387142">
            <w:pPr>
              <w:jc w:val="center"/>
              <w:rPr>
                <w:sz w:val="20"/>
                <w:szCs w:val="20"/>
              </w:rPr>
            </w:pPr>
            <w:r w:rsidRPr="008B6A75">
              <w:rPr>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0AB7B85" w14:textId="77777777" w:rsidR="00387142" w:rsidRPr="008B6A75" w:rsidRDefault="00387142" w:rsidP="00387142">
            <w:pPr>
              <w:jc w:val="right"/>
              <w:rPr>
                <w:sz w:val="20"/>
                <w:szCs w:val="20"/>
              </w:rPr>
            </w:pPr>
            <w:r w:rsidRPr="008B6A75">
              <w:rPr>
                <w:sz w:val="20"/>
                <w:szCs w:val="20"/>
              </w:rPr>
              <w:t>182 300,00</w:t>
            </w:r>
          </w:p>
        </w:tc>
        <w:tc>
          <w:tcPr>
            <w:tcW w:w="851" w:type="dxa"/>
            <w:tcBorders>
              <w:top w:val="nil"/>
              <w:left w:val="single" w:sz="4" w:space="0" w:color="auto"/>
              <w:bottom w:val="single" w:sz="4" w:space="0" w:color="auto"/>
              <w:right w:val="nil"/>
            </w:tcBorders>
            <w:shd w:val="clear" w:color="auto" w:fill="auto"/>
            <w:noWrap/>
            <w:vAlign w:val="center"/>
            <w:hideMark/>
          </w:tcPr>
          <w:p w14:paraId="3DAE5A62" w14:textId="77777777" w:rsidR="00387142" w:rsidRPr="008B6A75" w:rsidRDefault="00387142" w:rsidP="00387142">
            <w:pPr>
              <w:jc w:val="right"/>
              <w:rPr>
                <w:sz w:val="20"/>
                <w:szCs w:val="20"/>
              </w:rPr>
            </w:pPr>
            <w:r w:rsidRPr="008B6A75">
              <w:rPr>
                <w:sz w:val="20"/>
                <w:szCs w:val="20"/>
              </w:rPr>
              <w:t>8 300,00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64CE3CDD" w14:textId="77777777" w:rsidR="00387142" w:rsidRPr="008B6A75" w:rsidRDefault="00387142" w:rsidP="00387142">
            <w:pPr>
              <w:jc w:val="right"/>
              <w:rPr>
                <w:sz w:val="20"/>
                <w:szCs w:val="20"/>
              </w:rPr>
            </w:pPr>
            <w:r w:rsidRPr="008B6A75">
              <w:rPr>
                <w:sz w:val="20"/>
                <w:szCs w:val="20"/>
              </w:rPr>
              <w:t>7 500,00</w:t>
            </w:r>
          </w:p>
        </w:tc>
      </w:tr>
      <w:tr w:rsidR="00387142" w:rsidRPr="008B6A75" w14:paraId="0123F3CB" w14:textId="77777777" w:rsidTr="00387142">
        <w:trPr>
          <w:trHeight w:val="870"/>
        </w:trPr>
        <w:tc>
          <w:tcPr>
            <w:tcW w:w="272" w:type="dxa"/>
            <w:tcBorders>
              <w:top w:val="nil"/>
              <w:left w:val="nil"/>
              <w:bottom w:val="nil"/>
              <w:right w:val="single" w:sz="4" w:space="0" w:color="auto"/>
            </w:tcBorders>
            <w:shd w:val="clear" w:color="auto" w:fill="auto"/>
            <w:noWrap/>
            <w:vAlign w:val="bottom"/>
            <w:hideMark/>
          </w:tcPr>
          <w:p w14:paraId="7B2C8184"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7571A0A8" w14:textId="77777777" w:rsidR="00387142" w:rsidRPr="008B6A75" w:rsidRDefault="00387142" w:rsidP="00387142">
            <w:pPr>
              <w:rPr>
                <w:sz w:val="20"/>
                <w:szCs w:val="20"/>
              </w:rPr>
            </w:pPr>
            <w:r w:rsidRPr="008B6A75">
              <w:rPr>
                <w:sz w:val="20"/>
                <w:szCs w:val="20"/>
              </w:rPr>
              <w:t>Иные закупки товаров, работ и услуг для обеспечения государственных (муниципальных) нужд</w:t>
            </w:r>
          </w:p>
        </w:tc>
        <w:tc>
          <w:tcPr>
            <w:tcW w:w="1559" w:type="dxa"/>
            <w:tcBorders>
              <w:top w:val="nil"/>
              <w:left w:val="single" w:sz="4" w:space="0" w:color="auto"/>
              <w:bottom w:val="single" w:sz="4" w:space="0" w:color="auto"/>
              <w:right w:val="nil"/>
            </w:tcBorders>
            <w:shd w:val="clear" w:color="auto" w:fill="auto"/>
            <w:noWrap/>
            <w:vAlign w:val="center"/>
            <w:hideMark/>
          </w:tcPr>
          <w:p w14:paraId="232D490A" w14:textId="77777777" w:rsidR="00387142" w:rsidRPr="008B6A75" w:rsidRDefault="00387142" w:rsidP="00387142">
            <w:pPr>
              <w:jc w:val="center"/>
              <w:rPr>
                <w:sz w:val="20"/>
                <w:szCs w:val="20"/>
              </w:rPr>
            </w:pPr>
            <w:r w:rsidRPr="008B6A75">
              <w:rPr>
                <w:sz w:val="20"/>
                <w:szCs w:val="20"/>
              </w:rPr>
              <w:t>99.0.00.51200</w:t>
            </w:r>
          </w:p>
        </w:tc>
        <w:tc>
          <w:tcPr>
            <w:tcW w:w="850" w:type="dxa"/>
            <w:tcBorders>
              <w:top w:val="nil"/>
              <w:left w:val="single" w:sz="4" w:space="0" w:color="auto"/>
              <w:bottom w:val="single" w:sz="4" w:space="0" w:color="auto"/>
              <w:right w:val="nil"/>
            </w:tcBorders>
            <w:shd w:val="clear" w:color="auto" w:fill="auto"/>
            <w:noWrap/>
            <w:vAlign w:val="center"/>
            <w:hideMark/>
          </w:tcPr>
          <w:p w14:paraId="1B57CFCA" w14:textId="77777777" w:rsidR="00387142" w:rsidRPr="008B6A75" w:rsidRDefault="00387142" w:rsidP="00387142">
            <w:pPr>
              <w:jc w:val="center"/>
              <w:rPr>
                <w:sz w:val="20"/>
                <w:szCs w:val="20"/>
              </w:rPr>
            </w:pPr>
            <w:r w:rsidRPr="008B6A75">
              <w:rPr>
                <w:sz w:val="20"/>
                <w:szCs w:val="20"/>
              </w:rPr>
              <w:t>240</w:t>
            </w:r>
          </w:p>
        </w:tc>
        <w:tc>
          <w:tcPr>
            <w:tcW w:w="567" w:type="dxa"/>
            <w:tcBorders>
              <w:top w:val="nil"/>
              <w:left w:val="single" w:sz="4" w:space="0" w:color="auto"/>
              <w:bottom w:val="single" w:sz="4" w:space="0" w:color="auto"/>
              <w:right w:val="nil"/>
            </w:tcBorders>
            <w:shd w:val="clear" w:color="auto" w:fill="auto"/>
            <w:noWrap/>
            <w:vAlign w:val="center"/>
            <w:hideMark/>
          </w:tcPr>
          <w:p w14:paraId="12CB32FB" w14:textId="77777777" w:rsidR="00387142" w:rsidRPr="008B6A75" w:rsidRDefault="00387142" w:rsidP="00387142">
            <w:pPr>
              <w:jc w:val="center"/>
              <w:rPr>
                <w:sz w:val="20"/>
                <w:szCs w:val="20"/>
              </w:rPr>
            </w:pPr>
            <w:r w:rsidRPr="008B6A75">
              <w:rPr>
                <w:sz w:val="20"/>
                <w:szCs w:val="20"/>
              </w:rPr>
              <w:t>01</w:t>
            </w:r>
          </w:p>
        </w:tc>
        <w:tc>
          <w:tcPr>
            <w:tcW w:w="567" w:type="dxa"/>
            <w:tcBorders>
              <w:top w:val="nil"/>
              <w:left w:val="single" w:sz="4" w:space="0" w:color="auto"/>
              <w:bottom w:val="single" w:sz="4" w:space="0" w:color="auto"/>
              <w:right w:val="nil"/>
            </w:tcBorders>
            <w:shd w:val="clear" w:color="auto" w:fill="auto"/>
            <w:noWrap/>
            <w:vAlign w:val="center"/>
            <w:hideMark/>
          </w:tcPr>
          <w:p w14:paraId="186F7C4F" w14:textId="77777777" w:rsidR="00387142" w:rsidRPr="008B6A75" w:rsidRDefault="00387142" w:rsidP="00387142">
            <w:pPr>
              <w:jc w:val="center"/>
              <w:rPr>
                <w:sz w:val="20"/>
                <w:szCs w:val="20"/>
              </w:rPr>
            </w:pPr>
            <w:r w:rsidRPr="008B6A75">
              <w:rPr>
                <w:sz w:val="20"/>
                <w:szCs w:val="20"/>
              </w:rPr>
              <w:t>05</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800B43A" w14:textId="77777777" w:rsidR="00387142" w:rsidRPr="008B6A75" w:rsidRDefault="00387142" w:rsidP="00387142">
            <w:pPr>
              <w:jc w:val="right"/>
              <w:rPr>
                <w:sz w:val="20"/>
                <w:szCs w:val="20"/>
              </w:rPr>
            </w:pPr>
            <w:r w:rsidRPr="008B6A75">
              <w:rPr>
                <w:sz w:val="20"/>
                <w:szCs w:val="20"/>
              </w:rPr>
              <w:t>182 300,00</w:t>
            </w:r>
          </w:p>
        </w:tc>
        <w:tc>
          <w:tcPr>
            <w:tcW w:w="851" w:type="dxa"/>
            <w:tcBorders>
              <w:top w:val="nil"/>
              <w:left w:val="single" w:sz="4" w:space="0" w:color="auto"/>
              <w:bottom w:val="single" w:sz="4" w:space="0" w:color="auto"/>
              <w:right w:val="nil"/>
            </w:tcBorders>
            <w:shd w:val="clear" w:color="auto" w:fill="auto"/>
            <w:noWrap/>
            <w:vAlign w:val="center"/>
            <w:hideMark/>
          </w:tcPr>
          <w:p w14:paraId="1E0EBA2A" w14:textId="77777777" w:rsidR="00387142" w:rsidRPr="008B6A75" w:rsidRDefault="00387142" w:rsidP="00387142">
            <w:pPr>
              <w:jc w:val="right"/>
              <w:rPr>
                <w:sz w:val="20"/>
                <w:szCs w:val="20"/>
              </w:rPr>
            </w:pPr>
            <w:r w:rsidRPr="008B6A75">
              <w:rPr>
                <w:sz w:val="20"/>
                <w:szCs w:val="20"/>
              </w:rPr>
              <w:t>8 300,00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36088D5D" w14:textId="77777777" w:rsidR="00387142" w:rsidRPr="008B6A75" w:rsidRDefault="00387142" w:rsidP="00387142">
            <w:pPr>
              <w:jc w:val="right"/>
              <w:rPr>
                <w:sz w:val="20"/>
                <w:szCs w:val="20"/>
              </w:rPr>
            </w:pPr>
            <w:r w:rsidRPr="008B6A75">
              <w:rPr>
                <w:sz w:val="20"/>
                <w:szCs w:val="20"/>
              </w:rPr>
              <w:t>7 500,00</w:t>
            </w:r>
          </w:p>
        </w:tc>
      </w:tr>
      <w:tr w:rsidR="00387142" w:rsidRPr="008B6A75" w14:paraId="7C8DC07A" w14:textId="77777777" w:rsidTr="00387142">
        <w:trPr>
          <w:trHeight w:val="1440"/>
        </w:trPr>
        <w:tc>
          <w:tcPr>
            <w:tcW w:w="272" w:type="dxa"/>
            <w:tcBorders>
              <w:top w:val="nil"/>
              <w:left w:val="nil"/>
              <w:bottom w:val="nil"/>
              <w:right w:val="single" w:sz="4" w:space="0" w:color="auto"/>
            </w:tcBorders>
            <w:shd w:val="clear" w:color="auto" w:fill="auto"/>
            <w:noWrap/>
            <w:vAlign w:val="bottom"/>
            <w:hideMark/>
          </w:tcPr>
          <w:p w14:paraId="5B4C5F67"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1BF4D627" w14:textId="77777777" w:rsidR="00387142" w:rsidRPr="008B6A75" w:rsidRDefault="00387142" w:rsidP="00387142">
            <w:pPr>
              <w:rPr>
                <w:bCs/>
                <w:sz w:val="20"/>
                <w:szCs w:val="20"/>
              </w:rPr>
            </w:pPr>
            <w:r w:rsidRPr="008B6A75">
              <w:rPr>
                <w:bCs/>
                <w:sz w:val="20"/>
                <w:szCs w:val="20"/>
              </w:rPr>
              <w:t>Осуществление полномочий по обеспечению жильем отдельных категорий граждан, установленных Федеральным законом от 24 ноября 1995 года N 181-ФЗ "О социальной защите инвалидов в Российской Федерации"</w:t>
            </w:r>
          </w:p>
        </w:tc>
        <w:tc>
          <w:tcPr>
            <w:tcW w:w="1559" w:type="dxa"/>
            <w:tcBorders>
              <w:top w:val="nil"/>
              <w:left w:val="single" w:sz="4" w:space="0" w:color="auto"/>
              <w:bottom w:val="single" w:sz="4" w:space="0" w:color="auto"/>
              <w:right w:val="nil"/>
            </w:tcBorders>
            <w:shd w:val="clear" w:color="auto" w:fill="auto"/>
            <w:noWrap/>
            <w:vAlign w:val="center"/>
            <w:hideMark/>
          </w:tcPr>
          <w:p w14:paraId="1AC84C0B" w14:textId="77777777" w:rsidR="00387142" w:rsidRPr="008B6A75" w:rsidRDefault="00387142" w:rsidP="00387142">
            <w:pPr>
              <w:jc w:val="center"/>
              <w:rPr>
                <w:bCs/>
                <w:sz w:val="20"/>
                <w:szCs w:val="20"/>
              </w:rPr>
            </w:pPr>
            <w:r w:rsidRPr="008B6A75">
              <w:rPr>
                <w:bCs/>
                <w:sz w:val="20"/>
                <w:szCs w:val="20"/>
              </w:rPr>
              <w:t>99.0.00.51760</w:t>
            </w:r>
          </w:p>
        </w:tc>
        <w:tc>
          <w:tcPr>
            <w:tcW w:w="850" w:type="dxa"/>
            <w:tcBorders>
              <w:top w:val="nil"/>
              <w:left w:val="single" w:sz="4" w:space="0" w:color="auto"/>
              <w:bottom w:val="single" w:sz="4" w:space="0" w:color="auto"/>
              <w:right w:val="nil"/>
            </w:tcBorders>
            <w:shd w:val="clear" w:color="auto" w:fill="auto"/>
            <w:noWrap/>
            <w:vAlign w:val="center"/>
            <w:hideMark/>
          </w:tcPr>
          <w:p w14:paraId="111A0C7A" w14:textId="77777777" w:rsidR="00387142" w:rsidRPr="008B6A75" w:rsidRDefault="00387142" w:rsidP="00387142">
            <w:pPr>
              <w:jc w:val="center"/>
              <w:rPr>
                <w:bCs/>
                <w:sz w:val="20"/>
                <w:szCs w:val="20"/>
              </w:rPr>
            </w:pPr>
            <w:r w:rsidRPr="008B6A75">
              <w:rPr>
                <w:bCs/>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2F5D6CED" w14:textId="77777777" w:rsidR="00387142" w:rsidRPr="008B6A75" w:rsidRDefault="00387142" w:rsidP="00387142">
            <w:pPr>
              <w:jc w:val="center"/>
              <w:rPr>
                <w:bCs/>
                <w:sz w:val="20"/>
                <w:szCs w:val="20"/>
              </w:rPr>
            </w:pPr>
            <w:r w:rsidRPr="008B6A75">
              <w:rPr>
                <w:bCs/>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2E289A50" w14:textId="77777777" w:rsidR="00387142" w:rsidRPr="008B6A75" w:rsidRDefault="00387142" w:rsidP="00387142">
            <w:pPr>
              <w:jc w:val="center"/>
              <w:rPr>
                <w:bCs/>
                <w:sz w:val="20"/>
                <w:szCs w:val="20"/>
              </w:rPr>
            </w:pPr>
            <w:r w:rsidRPr="008B6A75">
              <w:rPr>
                <w:bCs/>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6B4BD36" w14:textId="77777777" w:rsidR="00387142" w:rsidRPr="008B6A75" w:rsidRDefault="00387142" w:rsidP="00387142">
            <w:pPr>
              <w:jc w:val="right"/>
              <w:rPr>
                <w:bCs/>
                <w:sz w:val="20"/>
                <w:szCs w:val="20"/>
              </w:rPr>
            </w:pPr>
            <w:r w:rsidRPr="008B6A75">
              <w:rPr>
                <w:bCs/>
                <w:sz w:val="20"/>
                <w:szCs w:val="20"/>
              </w:rPr>
              <w:t>6 696 500,00</w:t>
            </w:r>
          </w:p>
        </w:tc>
        <w:tc>
          <w:tcPr>
            <w:tcW w:w="851" w:type="dxa"/>
            <w:tcBorders>
              <w:top w:val="nil"/>
              <w:left w:val="single" w:sz="4" w:space="0" w:color="auto"/>
              <w:bottom w:val="single" w:sz="4" w:space="0" w:color="auto"/>
              <w:right w:val="nil"/>
            </w:tcBorders>
            <w:shd w:val="clear" w:color="auto" w:fill="auto"/>
            <w:noWrap/>
            <w:vAlign w:val="center"/>
            <w:hideMark/>
          </w:tcPr>
          <w:p w14:paraId="3ECBABC4" w14:textId="77777777" w:rsidR="00387142" w:rsidRPr="008B6A75" w:rsidRDefault="00387142" w:rsidP="00387142">
            <w:pPr>
              <w:jc w:val="right"/>
              <w:rPr>
                <w:bCs/>
                <w:sz w:val="20"/>
                <w:szCs w:val="20"/>
              </w:rPr>
            </w:pPr>
            <w:r w:rsidRPr="008B6A75">
              <w:rPr>
                <w:bCs/>
                <w:sz w:val="20"/>
                <w:szCs w:val="20"/>
              </w:rPr>
              <w:t>1 014 800,00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26894E4E" w14:textId="77777777" w:rsidR="00387142" w:rsidRPr="008B6A75" w:rsidRDefault="00387142" w:rsidP="00387142">
            <w:pPr>
              <w:jc w:val="right"/>
              <w:rPr>
                <w:bCs/>
                <w:sz w:val="20"/>
                <w:szCs w:val="20"/>
              </w:rPr>
            </w:pPr>
            <w:r w:rsidRPr="008B6A75">
              <w:rPr>
                <w:bCs/>
                <w:sz w:val="20"/>
                <w:szCs w:val="20"/>
              </w:rPr>
              <w:t>1 014 800,00</w:t>
            </w:r>
          </w:p>
        </w:tc>
      </w:tr>
      <w:tr w:rsidR="00387142" w:rsidRPr="008B6A75" w14:paraId="36DBC87F" w14:textId="77777777" w:rsidTr="00387142">
        <w:trPr>
          <w:trHeight w:val="585"/>
        </w:trPr>
        <w:tc>
          <w:tcPr>
            <w:tcW w:w="272" w:type="dxa"/>
            <w:tcBorders>
              <w:top w:val="nil"/>
              <w:left w:val="nil"/>
              <w:bottom w:val="nil"/>
              <w:right w:val="single" w:sz="4" w:space="0" w:color="auto"/>
            </w:tcBorders>
            <w:shd w:val="clear" w:color="auto" w:fill="auto"/>
            <w:noWrap/>
            <w:vAlign w:val="bottom"/>
            <w:hideMark/>
          </w:tcPr>
          <w:p w14:paraId="651E06B9"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4BF4D188" w14:textId="77777777" w:rsidR="00387142" w:rsidRPr="008B6A75" w:rsidRDefault="00387142" w:rsidP="00387142">
            <w:pPr>
              <w:rPr>
                <w:sz w:val="20"/>
                <w:szCs w:val="20"/>
              </w:rPr>
            </w:pPr>
            <w:r w:rsidRPr="008B6A75">
              <w:rPr>
                <w:sz w:val="20"/>
                <w:szCs w:val="20"/>
              </w:rPr>
              <w:t>Социальное обеспечение и иные выплаты населению</w:t>
            </w:r>
          </w:p>
        </w:tc>
        <w:tc>
          <w:tcPr>
            <w:tcW w:w="1559" w:type="dxa"/>
            <w:tcBorders>
              <w:top w:val="nil"/>
              <w:left w:val="single" w:sz="4" w:space="0" w:color="auto"/>
              <w:bottom w:val="single" w:sz="4" w:space="0" w:color="auto"/>
              <w:right w:val="nil"/>
            </w:tcBorders>
            <w:shd w:val="clear" w:color="auto" w:fill="auto"/>
            <w:noWrap/>
            <w:vAlign w:val="center"/>
            <w:hideMark/>
          </w:tcPr>
          <w:p w14:paraId="0A171E95" w14:textId="77777777" w:rsidR="00387142" w:rsidRPr="008B6A75" w:rsidRDefault="00387142" w:rsidP="00387142">
            <w:pPr>
              <w:jc w:val="center"/>
              <w:rPr>
                <w:sz w:val="20"/>
                <w:szCs w:val="20"/>
              </w:rPr>
            </w:pPr>
            <w:r w:rsidRPr="008B6A75">
              <w:rPr>
                <w:sz w:val="20"/>
                <w:szCs w:val="20"/>
              </w:rPr>
              <w:t>99.0.00.51760</w:t>
            </w:r>
          </w:p>
        </w:tc>
        <w:tc>
          <w:tcPr>
            <w:tcW w:w="850" w:type="dxa"/>
            <w:tcBorders>
              <w:top w:val="nil"/>
              <w:left w:val="single" w:sz="4" w:space="0" w:color="auto"/>
              <w:bottom w:val="single" w:sz="4" w:space="0" w:color="auto"/>
              <w:right w:val="nil"/>
            </w:tcBorders>
            <w:shd w:val="clear" w:color="auto" w:fill="auto"/>
            <w:noWrap/>
            <w:vAlign w:val="center"/>
            <w:hideMark/>
          </w:tcPr>
          <w:p w14:paraId="33FCFB3E" w14:textId="77777777" w:rsidR="00387142" w:rsidRPr="008B6A75" w:rsidRDefault="00387142" w:rsidP="00387142">
            <w:pPr>
              <w:jc w:val="center"/>
              <w:rPr>
                <w:sz w:val="20"/>
                <w:szCs w:val="20"/>
              </w:rPr>
            </w:pPr>
            <w:r w:rsidRPr="008B6A75">
              <w:rPr>
                <w:sz w:val="20"/>
                <w:szCs w:val="20"/>
              </w:rPr>
              <w:t>300</w:t>
            </w:r>
          </w:p>
        </w:tc>
        <w:tc>
          <w:tcPr>
            <w:tcW w:w="567" w:type="dxa"/>
            <w:tcBorders>
              <w:top w:val="nil"/>
              <w:left w:val="single" w:sz="4" w:space="0" w:color="auto"/>
              <w:bottom w:val="single" w:sz="4" w:space="0" w:color="auto"/>
              <w:right w:val="nil"/>
            </w:tcBorders>
            <w:shd w:val="clear" w:color="auto" w:fill="auto"/>
            <w:noWrap/>
            <w:vAlign w:val="center"/>
            <w:hideMark/>
          </w:tcPr>
          <w:p w14:paraId="0B3F4D72" w14:textId="77777777" w:rsidR="00387142" w:rsidRPr="008B6A75" w:rsidRDefault="00387142" w:rsidP="00387142">
            <w:pPr>
              <w:jc w:val="center"/>
              <w:rPr>
                <w:sz w:val="20"/>
                <w:szCs w:val="20"/>
              </w:rPr>
            </w:pPr>
            <w:r w:rsidRPr="008B6A75">
              <w:rPr>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168AD2AD" w14:textId="77777777" w:rsidR="00387142" w:rsidRPr="008B6A75" w:rsidRDefault="00387142" w:rsidP="00387142">
            <w:pPr>
              <w:jc w:val="center"/>
              <w:rPr>
                <w:sz w:val="20"/>
                <w:szCs w:val="20"/>
              </w:rPr>
            </w:pPr>
            <w:r w:rsidRPr="008B6A75">
              <w:rPr>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6C0FC87" w14:textId="77777777" w:rsidR="00387142" w:rsidRPr="008B6A75" w:rsidRDefault="00387142" w:rsidP="00387142">
            <w:pPr>
              <w:jc w:val="right"/>
              <w:rPr>
                <w:sz w:val="20"/>
                <w:szCs w:val="20"/>
              </w:rPr>
            </w:pPr>
            <w:r w:rsidRPr="008B6A75">
              <w:rPr>
                <w:sz w:val="20"/>
                <w:szCs w:val="20"/>
              </w:rPr>
              <w:t>6 696 500,00</w:t>
            </w:r>
          </w:p>
        </w:tc>
        <w:tc>
          <w:tcPr>
            <w:tcW w:w="851" w:type="dxa"/>
            <w:tcBorders>
              <w:top w:val="nil"/>
              <w:left w:val="single" w:sz="4" w:space="0" w:color="auto"/>
              <w:bottom w:val="single" w:sz="4" w:space="0" w:color="auto"/>
              <w:right w:val="nil"/>
            </w:tcBorders>
            <w:shd w:val="clear" w:color="auto" w:fill="auto"/>
            <w:noWrap/>
            <w:vAlign w:val="center"/>
            <w:hideMark/>
          </w:tcPr>
          <w:p w14:paraId="14A4C467" w14:textId="77777777" w:rsidR="00387142" w:rsidRPr="008B6A75" w:rsidRDefault="00387142" w:rsidP="00387142">
            <w:pPr>
              <w:jc w:val="right"/>
              <w:rPr>
                <w:sz w:val="20"/>
                <w:szCs w:val="20"/>
              </w:rPr>
            </w:pPr>
            <w:r w:rsidRPr="008B6A75">
              <w:rPr>
                <w:sz w:val="20"/>
                <w:szCs w:val="20"/>
              </w:rPr>
              <w:t>1 014 800,00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100F527A" w14:textId="77777777" w:rsidR="00387142" w:rsidRPr="008B6A75" w:rsidRDefault="00387142" w:rsidP="00387142">
            <w:pPr>
              <w:jc w:val="right"/>
              <w:rPr>
                <w:sz w:val="20"/>
                <w:szCs w:val="20"/>
              </w:rPr>
            </w:pPr>
            <w:r w:rsidRPr="008B6A75">
              <w:rPr>
                <w:sz w:val="20"/>
                <w:szCs w:val="20"/>
              </w:rPr>
              <w:t>1 014 800,00</w:t>
            </w:r>
          </w:p>
        </w:tc>
      </w:tr>
      <w:tr w:rsidR="00387142" w:rsidRPr="008B6A75" w14:paraId="452CE3EF" w14:textId="77777777" w:rsidTr="00387142">
        <w:trPr>
          <w:trHeight w:val="585"/>
        </w:trPr>
        <w:tc>
          <w:tcPr>
            <w:tcW w:w="272" w:type="dxa"/>
            <w:tcBorders>
              <w:top w:val="nil"/>
              <w:left w:val="nil"/>
              <w:bottom w:val="nil"/>
              <w:right w:val="single" w:sz="4" w:space="0" w:color="auto"/>
            </w:tcBorders>
            <w:shd w:val="clear" w:color="auto" w:fill="auto"/>
            <w:noWrap/>
            <w:vAlign w:val="bottom"/>
            <w:hideMark/>
          </w:tcPr>
          <w:p w14:paraId="28A77021"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3A855A1C" w14:textId="77777777" w:rsidR="00387142" w:rsidRPr="008B6A75" w:rsidRDefault="00387142" w:rsidP="00387142">
            <w:pPr>
              <w:rPr>
                <w:sz w:val="20"/>
                <w:szCs w:val="20"/>
              </w:rPr>
            </w:pPr>
            <w:r w:rsidRPr="008B6A75">
              <w:rPr>
                <w:sz w:val="20"/>
                <w:szCs w:val="20"/>
              </w:rPr>
              <w:t>Социальные выплаты гражданам, кроме публичных нормативных социальных выплат</w:t>
            </w:r>
          </w:p>
        </w:tc>
        <w:tc>
          <w:tcPr>
            <w:tcW w:w="1559" w:type="dxa"/>
            <w:tcBorders>
              <w:top w:val="nil"/>
              <w:left w:val="single" w:sz="4" w:space="0" w:color="auto"/>
              <w:bottom w:val="single" w:sz="4" w:space="0" w:color="auto"/>
              <w:right w:val="nil"/>
            </w:tcBorders>
            <w:shd w:val="clear" w:color="auto" w:fill="auto"/>
            <w:noWrap/>
            <w:vAlign w:val="center"/>
            <w:hideMark/>
          </w:tcPr>
          <w:p w14:paraId="28DEBFE3" w14:textId="77777777" w:rsidR="00387142" w:rsidRPr="008B6A75" w:rsidRDefault="00387142" w:rsidP="00387142">
            <w:pPr>
              <w:jc w:val="center"/>
              <w:rPr>
                <w:sz w:val="20"/>
                <w:szCs w:val="20"/>
              </w:rPr>
            </w:pPr>
            <w:r w:rsidRPr="008B6A75">
              <w:rPr>
                <w:sz w:val="20"/>
                <w:szCs w:val="20"/>
              </w:rPr>
              <w:t>99.0.00.51760</w:t>
            </w:r>
          </w:p>
        </w:tc>
        <w:tc>
          <w:tcPr>
            <w:tcW w:w="850" w:type="dxa"/>
            <w:tcBorders>
              <w:top w:val="nil"/>
              <w:left w:val="single" w:sz="4" w:space="0" w:color="auto"/>
              <w:bottom w:val="single" w:sz="4" w:space="0" w:color="auto"/>
              <w:right w:val="nil"/>
            </w:tcBorders>
            <w:shd w:val="clear" w:color="auto" w:fill="auto"/>
            <w:noWrap/>
            <w:vAlign w:val="center"/>
            <w:hideMark/>
          </w:tcPr>
          <w:p w14:paraId="04742788" w14:textId="77777777" w:rsidR="00387142" w:rsidRPr="008B6A75" w:rsidRDefault="00387142" w:rsidP="00387142">
            <w:pPr>
              <w:jc w:val="center"/>
              <w:rPr>
                <w:sz w:val="20"/>
                <w:szCs w:val="20"/>
              </w:rPr>
            </w:pPr>
            <w:r w:rsidRPr="008B6A75">
              <w:rPr>
                <w:sz w:val="20"/>
                <w:szCs w:val="20"/>
              </w:rPr>
              <w:t>320</w:t>
            </w:r>
          </w:p>
        </w:tc>
        <w:tc>
          <w:tcPr>
            <w:tcW w:w="567" w:type="dxa"/>
            <w:tcBorders>
              <w:top w:val="nil"/>
              <w:left w:val="single" w:sz="4" w:space="0" w:color="auto"/>
              <w:bottom w:val="single" w:sz="4" w:space="0" w:color="auto"/>
              <w:right w:val="nil"/>
            </w:tcBorders>
            <w:shd w:val="clear" w:color="auto" w:fill="auto"/>
            <w:noWrap/>
            <w:vAlign w:val="center"/>
            <w:hideMark/>
          </w:tcPr>
          <w:p w14:paraId="771D4B7E" w14:textId="77777777" w:rsidR="00387142" w:rsidRPr="008B6A75" w:rsidRDefault="00387142" w:rsidP="00387142">
            <w:pPr>
              <w:jc w:val="center"/>
              <w:rPr>
                <w:sz w:val="20"/>
                <w:szCs w:val="20"/>
              </w:rPr>
            </w:pPr>
            <w:r w:rsidRPr="008B6A75">
              <w:rPr>
                <w:sz w:val="20"/>
                <w:szCs w:val="20"/>
              </w:rPr>
              <w:t>10</w:t>
            </w:r>
          </w:p>
        </w:tc>
        <w:tc>
          <w:tcPr>
            <w:tcW w:w="567" w:type="dxa"/>
            <w:tcBorders>
              <w:top w:val="nil"/>
              <w:left w:val="single" w:sz="4" w:space="0" w:color="auto"/>
              <w:bottom w:val="single" w:sz="4" w:space="0" w:color="auto"/>
              <w:right w:val="nil"/>
            </w:tcBorders>
            <w:shd w:val="clear" w:color="auto" w:fill="auto"/>
            <w:noWrap/>
            <w:vAlign w:val="center"/>
            <w:hideMark/>
          </w:tcPr>
          <w:p w14:paraId="39E61EBB" w14:textId="77777777" w:rsidR="00387142" w:rsidRPr="008B6A75" w:rsidRDefault="00387142" w:rsidP="00387142">
            <w:pPr>
              <w:jc w:val="center"/>
              <w:rPr>
                <w:sz w:val="20"/>
                <w:szCs w:val="20"/>
              </w:rPr>
            </w:pPr>
            <w:r w:rsidRPr="008B6A75">
              <w:rPr>
                <w:sz w:val="20"/>
                <w:szCs w:val="20"/>
              </w:rPr>
              <w:t>03</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C35AC72" w14:textId="77777777" w:rsidR="00387142" w:rsidRPr="008B6A75" w:rsidRDefault="00387142" w:rsidP="00387142">
            <w:pPr>
              <w:jc w:val="right"/>
              <w:rPr>
                <w:sz w:val="20"/>
                <w:szCs w:val="20"/>
              </w:rPr>
            </w:pPr>
            <w:r w:rsidRPr="008B6A75">
              <w:rPr>
                <w:sz w:val="20"/>
                <w:szCs w:val="20"/>
              </w:rPr>
              <w:t>6 696 500,00</w:t>
            </w:r>
          </w:p>
        </w:tc>
        <w:tc>
          <w:tcPr>
            <w:tcW w:w="851" w:type="dxa"/>
            <w:tcBorders>
              <w:top w:val="nil"/>
              <w:left w:val="single" w:sz="4" w:space="0" w:color="auto"/>
              <w:bottom w:val="single" w:sz="4" w:space="0" w:color="auto"/>
              <w:right w:val="nil"/>
            </w:tcBorders>
            <w:shd w:val="clear" w:color="auto" w:fill="auto"/>
            <w:noWrap/>
            <w:vAlign w:val="center"/>
            <w:hideMark/>
          </w:tcPr>
          <w:p w14:paraId="42257A50" w14:textId="77777777" w:rsidR="00387142" w:rsidRPr="008B6A75" w:rsidRDefault="00387142" w:rsidP="00387142">
            <w:pPr>
              <w:jc w:val="right"/>
              <w:rPr>
                <w:sz w:val="20"/>
                <w:szCs w:val="20"/>
              </w:rPr>
            </w:pPr>
            <w:r w:rsidRPr="008B6A75">
              <w:rPr>
                <w:sz w:val="20"/>
                <w:szCs w:val="20"/>
              </w:rPr>
              <w:t>1 014 800,00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32D2344B" w14:textId="77777777" w:rsidR="00387142" w:rsidRPr="008B6A75" w:rsidRDefault="00387142" w:rsidP="00387142">
            <w:pPr>
              <w:jc w:val="right"/>
              <w:rPr>
                <w:sz w:val="20"/>
                <w:szCs w:val="20"/>
              </w:rPr>
            </w:pPr>
            <w:r w:rsidRPr="008B6A75">
              <w:rPr>
                <w:sz w:val="20"/>
                <w:szCs w:val="20"/>
              </w:rPr>
              <w:t>1 014 800,00</w:t>
            </w:r>
          </w:p>
        </w:tc>
      </w:tr>
      <w:tr w:rsidR="00387142" w:rsidRPr="008B6A75" w14:paraId="6C81BA09" w14:textId="77777777" w:rsidTr="00387142">
        <w:trPr>
          <w:trHeight w:val="1440"/>
        </w:trPr>
        <w:tc>
          <w:tcPr>
            <w:tcW w:w="272" w:type="dxa"/>
            <w:tcBorders>
              <w:top w:val="nil"/>
              <w:left w:val="nil"/>
              <w:bottom w:val="nil"/>
              <w:right w:val="single" w:sz="4" w:space="0" w:color="auto"/>
            </w:tcBorders>
            <w:shd w:val="clear" w:color="auto" w:fill="auto"/>
            <w:noWrap/>
            <w:vAlign w:val="bottom"/>
            <w:hideMark/>
          </w:tcPr>
          <w:p w14:paraId="663114A0"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03F11EF0" w14:textId="77777777" w:rsidR="00387142" w:rsidRPr="008B6A75" w:rsidRDefault="00387142" w:rsidP="00387142">
            <w:pPr>
              <w:rPr>
                <w:bCs/>
                <w:sz w:val="20"/>
                <w:szCs w:val="20"/>
              </w:rPr>
            </w:pPr>
            <w:r w:rsidRPr="008B6A75">
              <w:rPr>
                <w:bCs/>
                <w:sz w:val="20"/>
                <w:szCs w:val="20"/>
              </w:rPr>
              <w:t>Развитие новых форм и технологий социального обслуживания семей с детьми государственной программы Новосибирской области «Социальная поддержка в Новосибирской области</w:t>
            </w:r>
          </w:p>
        </w:tc>
        <w:tc>
          <w:tcPr>
            <w:tcW w:w="1559" w:type="dxa"/>
            <w:tcBorders>
              <w:top w:val="nil"/>
              <w:left w:val="single" w:sz="4" w:space="0" w:color="auto"/>
              <w:bottom w:val="single" w:sz="4" w:space="0" w:color="auto"/>
              <w:right w:val="nil"/>
            </w:tcBorders>
            <w:shd w:val="clear" w:color="auto" w:fill="auto"/>
            <w:noWrap/>
            <w:vAlign w:val="center"/>
            <w:hideMark/>
          </w:tcPr>
          <w:p w14:paraId="543C8460" w14:textId="77777777" w:rsidR="00387142" w:rsidRPr="008B6A75" w:rsidRDefault="00387142" w:rsidP="00387142">
            <w:pPr>
              <w:jc w:val="center"/>
              <w:rPr>
                <w:bCs/>
                <w:sz w:val="20"/>
                <w:szCs w:val="20"/>
              </w:rPr>
            </w:pPr>
            <w:r w:rsidRPr="008B6A75">
              <w:rPr>
                <w:bCs/>
                <w:sz w:val="20"/>
                <w:szCs w:val="20"/>
              </w:rPr>
              <w:t>99.0.00.70109</w:t>
            </w:r>
          </w:p>
        </w:tc>
        <w:tc>
          <w:tcPr>
            <w:tcW w:w="850" w:type="dxa"/>
            <w:tcBorders>
              <w:top w:val="nil"/>
              <w:left w:val="single" w:sz="4" w:space="0" w:color="auto"/>
              <w:bottom w:val="single" w:sz="4" w:space="0" w:color="auto"/>
              <w:right w:val="nil"/>
            </w:tcBorders>
            <w:shd w:val="clear" w:color="auto" w:fill="auto"/>
            <w:noWrap/>
            <w:vAlign w:val="center"/>
            <w:hideMark/>
          </w:tcPr>
          <w:p w14:paraId="30AF30A4" w14:textId="77777777" w:rsidR="00387142" w:rsidRPr="008B6A75" w:rsidRDefault="00387142" w:rsidP="00387142">
            <w:pPr>
              <w:jc w:val="center"/>
              <w:rPr>
                <w:bCs/>
                <w:sz w:val="20"/>
                <w:szCs w:val="20"/>
              </w:rPr>
            </w:pPr>
            <w:r w:rsidRPr="008B6A75">
              <w:rPr>
                <w:bCs/>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4BE9CE48" w14:textId="77777777" w:rsidR="00387142" w:rsidRPr="008B6A75" w:rsidRDefault="00387142" w:rsidP="00387142">
            <w:pPr>
              <w:jc w:val="center"/>
              <w:rPr>
                <w:bCs/>
                <w:sz w:val="20"/>
                <w:szCs w:val="20"/>
              </w:rPr>
            </w:pPr>
            <w:r w:rsidRPr="008B6A75">
              <w:rPr>
                <w:bCs/>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639B7DAA" w14:textId="77777777" w:rsidR="00387142" w:rsidRPr="008B6A75" w:rsidRDefault="00387142" w:rsidP="00387142">
            <w:pPr>
              <w:jc w:val="center"/>
              <w:rPr>
                <w:bCs/>
                <w:sz w:val="20"/>
                <w:szCs w:val="20"/>
              </w:rPr>
            </w:pPr>
            <w:r w:rsidRPr="008B6A75">
              <w:rPr>
                <w:bCs/>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F30D6F8" w14:textId="77777777" w:rsidR="00387142" w:rsidRPr="008B6A75" w:rsidRDefault="00387142" w:rsidP="00387142">
            <w:pPr>
              <w:jc w:val="right"/>
              <w:rPr>
                <w:bCs/>
                <w:sz w:val="20"/>
                <w:szCs w:val="20"/>
              </w:rPr>
            </w:pPr>
            <w:r w:rsidRPr="008B6A75">
              <w:rPr>
                <w:bCs/>
                <w:sz w:val="20"/>
                <w:szCs w:val="20"/>
              </w:rPr>
              <w:t>464 100,00</w:t>
            </w:r>
          </w:p>
        </w:tc>
        <w:tc>
          <w:tcPr>
            <w:tcW w:w="851" w:type="dxa"/>
            <w:tcBorders>
              <w:top w:val="nil"/>
              <w:left w:val="single" w:sz="4" w:space="0" w:color="auto"/>
              <w:bottom w:val="single" w:sz="4" w:space="0" w:color="auto"/>
              <w:right w:val="nil"/>
            </w:tcBorders>
            <w:shd w:val="clear" w:color="auto" w:fill="auto"/>
            <w:noWrap/>
            <w:vAlign w:val="center"/>
            <w:hideMark/>
          </w:tcPr>
          <w:p w14:paraId="6FB3DDBB" w14:textId="77777777" w:rsidR="00387142" w:rsidRPr="008B6A75" w:rsidRDefault="00387142" w:rsidP="00387142">
            <w:pPr>
              <w:jc w:val="right"/>
              <w:rPr>
                <w:bCs/>
                <w:sz w:val="20"/>
                <w:szCs w:val="20"/>
              </w:rPr>
            </w:pPr>
            <w:r w:rsidRPr="008B6A75">
              <w:rPr>
                <w:bCs/>
                <w:sz w:val="20"/>
                <w:szCs w:val="20"/>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624E2F84" w14:textId="77777777" w:rsidR="00387142" w:rsidRPr="008B6A75" w:rsidRDefault="00387142" w:rsidP="00387142">
            <w:pPr>
              <w:jc w:val="right"/>
              <w:rPr>
                <w:bCs/>
                <w:sz w:val="20"/>
                <w:szCs w:val="20"/>
              </w:rPr>
            </w:pPr>
            <w:r w:rsidRPr="008B6A75">
              <w:rPr>
                <w:bCs/>
                <w:sz w:val="20"/>
                <w:szCs w:val="20"/>
              </w:rPr>
              <w:t>0,00</w:t>
            </w:r>
          </w:p>
        </w:tc>
      </w:tr>
      <w:tr w:rsidR="00387142" w:rsidRPr="008B6A75" w14:paraId="2BBD45BE" w14:textId="77777777" w:rsidTr="00387142">
        <w:trPr>
          <w:trHeight w:val="870"/>
        </w:trPr>
        <w:tc>
          <w:tcPr>
            <w:tcW w:w="272" w:type="dxa"/>
            <w:tcBorders>
              <w:top w:val="nil"/>
              <w:left w:val="nil"/>
              <w:bottom w:val="nil"/>
              <w:right w:val="single" w:sz="4" w:space="0" w:color="auto"/>
            </w:tcBorders>
            <w:shd w:val="clear" w:color="auto" w:fill="auto"/>
            <w:noWrap/>
            <w:vAlign w:val="bottom"/>
            <w:hideMark/>
          </w:tcPr>
          <w:p w14:paraId="47CAD85D"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4BDB539B" w14:textId="77777777" w:rsidR="00387142" w:rsidRPr="008B6A75" w:rsidRDefault="00387142" w:rsidP="00387142">
            <w:pPr>
              <w:rPr>
                <w:sz w:val="20"/>
                <w:szCs w:val="20"/>
              </w:rPr>
            </w:pPr>
            <w:r w:rsidRPr="008B6A75">
              <w:rPr>
                <w:sz w:val="20"/>
                <w:szCs w:val="20"/>
              </w:rPr>
              <w:t>Предоставление субсидий бюджетным, автономным учреждениям и иным некоммерческим организациям</w:t>
            </w:r>
          </w:p>
        </w:tc>
        <w:tc>
          <w:tcPr>
            <w:tcW w:w="1559" w:type="dxa"/>
            <w:tcBorders>
              <w:top w:val="nil"/>
              <w:left w:val="single" w:sz="4" w:space="0" w:color="auto"/>
              <w:bottom w:val="single" w:sz="4" w:space="0" w:color="auto"/>
              <w:right w:val="nil"/>
            </w:tcBorders>
            <w:shd w:val="clear" w:color="auto" w:fill="auto"/>
            <w:noWrap/>
            <w:vAlign w:val="center"/>
            <w:hideMark/>
          </w:tcPr>
          <w:p w14:paraId="382349C2" w14:textId="77777777" w:rsidR="00387142" w:rsidRPr="008B6A75" w:rsidRDefault="00387142" w:rsidP="00387142">
            <w:pPr>
              <w:jc w:val="center"/>
              <w:rPr>
                <w:sz w:val="20"/>
                <w:szCs w:val="20"/>
              </w:rPr>
            </w:pPr>
            <w:r w:rsidRPr="008B6A75">
              <w:rPr>
                <w:sz w:val="20"/>
                <w:szCs w:val="20"/>
              </w:rPr>
              <w:t>99.0.00.70109</w:t>
            </w:r>
          </w:p>
        </w:tc>
        <w:tc>
          <w:tcPr>
            <w:tcW w:w="850" w:type="dxa"/>
            <w:tcBorders>
              <w:top w:val="nil"/>
              <w:left w:val="single" w:sz="4" w:space="0" w:color="auto"/>
              <w:bottom w:val="single" w:sz="4" w:space="0" w:color="auto"/>
              <w:right w:val="nil"/>
            </w:tcBorders>
            <w:shd w:val="clear" w:color="auto" w:fill="auto"/>
            <w:noWrap/>
            <w:vAlign w:val="center"/>
            <w:hideMark/>
          </w:tcPr>
          <w:p w14:paraId="3CD17942" w14:textId="77777777" w:rsidR="00387142" w:rsidRPr="008B6A75" w:rsidRDefault="00387142" w:rsidP="00387142">
            <w:pPr>
              <w:jc w:val="center"/>
              <w:rPr>
                <w:sz w:val="20"/>
                <w:szCs w:val="20"/>
              </w:rPr>
            </w:pPr>
            <w:r w:rsidRPr="008B6A75">
              <w:rPr>
                <w:sz w:val="20"/>
                <w:szCs w:val="20"/>
              </w:rPr>
              <w:t>600</w:t>
            </w:r>
          </w:p>
        </w:tc>
        <w:tc>
          <w:tcPr>
            <w:tcW w:w="567" w:type="dxa"/>
            <w:tcBorders>
              <w:top w:val="nil"/>
              <w:left w:val="single" w:sz="4" w:space="0" w:color="auto"/>
              <w:bottom w:val="single" w:sz="4" w:space="0" w:color="auto"/>
              <w:right w:val="nil"/>
            </w:tcBorders>
            <w:shd w:val="clear" w:color="auto" w:fill="auto"/>
            <w:noWrap/>
            <w:vAlign w:val="center"/>
            <w:hideMark/>
          </w:tcPr>
          <w:p w14:paraId="4B25B464" w14:textId="77777777" w:rsidR="00387142" w:rsidRPr="008B6A75" w:rsidRDefault="00387142" w:rsidP="00387142">
            <w:pPr>
              <w:jc w:val="center"/>
              <w:rPr>
                <w:sz w:val="20"/>
                <w:szCs w:val="20"/>
              </w:rPr>
            </w:pPr>
            <w:r w:rsidRPr="008B6A75">
              <w:rPr>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00862AE3" w14:textId="77777777" w:rsidR="00387142" w:rsidRPr="008B6A75" w:rsidRDefault="00387142" w:rsidP="00387142">
            <w:pPr>
              <w:jc w:val="center"/>
              <w:rPr>
                <w:sz w:val="20"/>
                <w:szCs w:val="20"/>
              </w:rPr>
            </w:pPr>
            <w:r w:rsidRPr="008B6A75">
              <w:rPr>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627EFAD" w14:textId="77777777" w:rsidR="00387142" w:rsidRPr="008B6A75" w:rsidRDefault="00387142" w:rsidP="00387142">
            <w:pPr>
              <w:jc w:val="right"/>
              <w:rPr>
                <w:sz w:val="20"/>
                <w:szCs w:val="20"/>
              </w:rPr>
            </w:pPr>
            <w:r w:rsidRPr="008B6A75">
              <w:rPr>
                <w:sz w:val="20"/>
                <w:szCs w:val="20"/>
              </w:rPr>
              <w:t>464 100,00</w:t>
            </w:r>
          </w:p>
        </w:tc>
        <w:tc>
          <w:tcPr>
            <w:tcW w:w="851" w:type="dxa"/>
            <w:tcBorders>
              <w:top w:val="nil"/>
              <w:left w:val="single" w:sz="4" w:space="0" w:color="auto"/>
              <w:bottom w:val="single" w:sz="4" w:space="0" w:color="auto"/>
              <w:right w:val="nil"/>
            </w:tcBorders>
            <w:shd w:val="clear" w:color="auto" w:fill="auto"/>
            <w:noWrap/>
            <w:vAlign w:val="center"/>
            <w:hideMark/>
          </w:tcPr>
          <w:p w14:paraId="352295F1" w14:textId="77777777" w:rsidR="00387142" w:rsidRPr="008B6A75" w:rsidRDefault="00387142" w:rsidP="00387142">
            <w:pPr>
              <w:jc w:val="right"/>
              <w:rPr>
                <w:sz w:val="20"/>
                <w:szCs w:val="20"/>
              </w:rPr>
            </w:pPr>
            <w:r w:rsidRPr="008B6A75">
              <w:rPr>
                <w:sz w:val="20"/>
                <w:szCs w:val="20"/>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0ADF188B" w14:textId="77777777" w:rsidR="00387142" w:rsidRPr="008B6A75" w:rsidRDefault="00387142" w:rsidP="00387142">
            <w:pPr>
              <w:jc w:val="right"/>
              <w:rPr>
                <w:sz w:val="20"/>
                <w:szCs w:val="20"/>
              </w:rPr>
            </w:pPr>
            <w:r w:rsidRPr="008B6A75">
              <w:rPr>
                <w:sz w:val="20"/>
                <w:szCs w:val="20"/>
              </w:rPr>
              <w:t>0,00</w:t>
            </w:r>
          </w:p>
        </w:tc>
      </w:tr>
      <w:tr w:rsidR="00387142" w:rsidRPr="008B6A75" w14:paraId="3645A870" w14:textId="77777777" w:rsidTr="00387142">
        <w:trPr>
          <w:trHeight w:val="300"/>
        </w:trPr>
        <w:tc>
          <w:tcPr>
            <w:tcW w:w="272" w:type="dxa"/>
            <w:tcBorders>
              <w:top w:val="nil"/>
              <w:left w:val="nil"/>
              <w:bottom w:val="nil"/>
              <w:right w:val="single" w:sz="4" w:space="0" w:color="auto"/>
            </w:tcBorders>
            <w:shd w:val="clear" w:color="auto" w:fill="auto"/>
            <w:noWrap/>
            <w:vAlign w:val="bottom"/>
            <w:hideMark/>
          </w:tcPr>
          <w:p w14:paraId="17295B2C"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289B75F6" w14:textId="77777777" w:rsidR="00387142" w:rsidRPr="008B6A75" w:rsidRDefault="00387142" w:rsidP="00387142">
            <w:pPr>
              <w:rPr>
                <w:sz w:val="20"/>
                <w:szCs w:val="20"/>
              </w:rPr>
            </w:pPr>
            <w:r w:rsidRPr="008B6A75">
              <w:rPr>
                <w:sz w:val="20"/>
                <w:szCs w:val="20"/>
              </w:rPr>
              <w:t>Субсидии бюджетным учреждениям</w:t>
            </w:r>
          </w:p>
        </w:tc>
        <w:tc>
          <w:tcPr>
            <w:tcW w:w="1559" w:type="dxa"/>
            <w:tcBorders>
              <w:top w:val="nil"/>
              <w:left w:val="single" w:sz="4" w:space="0" w:color="auto"/>
              <w:bottom w:val="single" w:sz="4" w:space="0" w:color="auto"/>
              <w:right w:val="nil"/>
            </w:tcBorders>
            <w:shd w:val="clear" w:color="auto" w:fill="auto"/>
            <w:noWrap/>
            <w:vAlign w:val="center"/>
            <w:hideMark/>
          </w:tcPr>
          <w:p w14:paraId="6F092313" w14:textId="77777777" w:rsidR="00387142" w:rsidRPr="008B6A75" w:rsidRDefault="00387142" w:rsidP="00387142">
            <w:pPr>
              <w:jc w:val="center"/>
              <w:rPr>
                <w:sz w:val="20"/>
                <w:szCs w:val="20"/>
              </w:rPr>
            </w:pPr>
            <w:r w:rsidRPr="008B6A75">
              <w:rPr>
                <w:sz w:val="20"/>
                <w:szCs w:val="20"/>
              </w:rPr>
              <w:t>99.0.00.70109</w:t>
            </w:r>
          </w:p>
        </w:tc>
        <w:tc>
          <w:tcPr>
            <w:tcW w:w="850" w:type="dxa"/>
            <w:tcBorders>
              <w:top w:val="nil"/>
              <w:left w:val="single" w:sz="4" w:space="0" w:color="auto"/>
              <w:bottom w:val="single" w:sz="4" w:space="0" w:color="auto"/>
              <w:right w:val="nil"/>
            </w:tcBorders>
            <w:shd w:val="clear" w:color="auto" w:fill="auto"/>
            <w:noWrap/>
            <w:vAlign w:val="center"/>
            <w:hideMark/>
          </w:tcPr>
          <w:p w14:paraId="4C937F65" w14:textId="77777777" w:rsidR="00387142" w:rsidRPr="008B6A75" w:rsidRDefault="00387142" w:rsidP="00387142">
            <w:pPr>
              <w:jc w:val="center"/>
              <w:rPr>
                <w:sz w:val="20"/>
                <w:szCs w:val="20"/>
              </w:rPr>
            </w:pPr>
            <w:r w:rsidRPr="008B6A75">
              <w:rPr>
                <w:sz w:val="20"/>
                <w:szCs w:val="20"/>
              </w:rPr>
              <w:t>610</w:t>
            </w:r>
          </w:p>
        </w:tc>
        <w:tc>
          <w:tcPr>
            <w:tcW w:w="567" w:type="dxa"/>
            <w:tcBorders>
              <w:top w:val="nil"/>
              <w:left w:val="single" w:sz="4" w:space="0" w:color="auto"/>
              <w:bottom w:val="single" w:sz="4" w:space="0" w:color="auto"/>
              <w:right w:val="nil"/>
            </w:tcBorders>
            <w:shd w:val="clear" w:color="auto" w:fill="auto"/>
            <w:noWrap/>
            <w:vAlign w:val="center"/>
            <w:hideMark/>
          </w:tcPr>
          <w:p w14:paraId="518B2A52" w14:textId="77777777" w:rsidR="00387142" w:rsidRPr="008B6A75" w:rsidRDefault="00387142" w:rsidP="00387142">
            <w:pPr>
              <w:jc w:val="center"/>
              <w:rPr>
                <w:sz w:val="20"/>
                <w:szCs w:val="20"/>
              </w:rPr>
            </w:pPr>
            <w:r w:rsidRPr="008B6A75">
              <w:rPr>
                <w:sz w:val="20"/>
                <w:szCs w:val="20"/>
              </w:rPr>
              <w:t>10</w:t>
            </w:r>
          </w:p>
        </w:tc>
        <w:tc>
          <w:tcPr>
            <w:tcW w:w="567" w:type="dxa"/>
            <w:tcBorders>
              <w:top w:val="nil"/>
              <w:left w:val="single" w:sz="4" w:space="0" w:color="auto"/>
              <w:bottom w:val="single" w:sz="4" w:space="0" w:color="auto"/>
              <w:right w:val="nil"/>
            </w:tcBorders>
            <w:shd w:val="clear" w:color="auto" w:fill="auto"/>
            <w:noWrap/>
            <w:vAlign w:val="center"/>
            <w:hideMark/>
          </w:tcPr>
          <w:p w14:paraId="62E36374" w14:textId="77777777" w:rsidR="00387142" w:rsidRPr="008B6A75" w:rsidRDefault="00387142" w:rsidP="00387142">
            <w:pPr>
              <w:jc w:val="center"/>
              <w:rPr>
                <w:sz w:val="20"/>
                <w:szCs w:val="20"/>
              </w:rPr>
            </w:pPr>
            <w:r w:rsidRPr="008B6A75">
              <w:rPr>
                <w:sz w:val="20"/>
                <w:szCs w:val="20"/>
              </w:rPr>
              <w:t>02</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86B46E9" w14:textId="77777777" w:rsidR="00387142" w:rsidRPr="008B6A75" w:rsidRDefault="00387142" w:rsidP="00387142">
            <w:pPr>
              <w:jc w:val="right"/>
              <w:rPr>
                <w:sz w:val="20"/>
                <w:szCs w:val="20"/>
              </w:rPr>
            </w:pPr>
            <w:r w:rsidRPr="008B6A75">
              <w:rPr>
                <w:sz w:val="20"/>
                <w:szCs w:val="20"/>
              </w:rPr>
              <w:t>464 100,00</w:t>
            </w:r>
          </w:p>
        </w:tc>
        <w:tc>
          <w:tcPr>
            <w:tcW w:w="851" w:type="dxa"/>
            <w:tcBorders>
              <w:top w:val="nil"/>
              <w:left w:val="single" w:sz="4" w:space="0" w:color="auto"/>
              <w:bottom w:val="single" w:sz="4" w:space="0" w:color="auto"/>
              <w:right w:val="nil"/>
            </w:tcBorders>
            <w:shd w:val="clear" w:color="auto" w:fill="auto"/>
            <w:noWrap/>
            <w:vAlign w:val="center"/>
            <w:hideMark/>
          </w:tcPr>
          <w:p w14:paraId="568C3674" w14:textId="77777777" w:rsidR="00387142" w:rsidRPr="008B6A75" w:rsidRDefault="00387142" w:rsidP="00387142">
            <w:pPr>
              <w:jc w:val="right"/>
              <w:rPr>
                <w:sz w:val="20"/>
                <w:szCs w:val="20"/>
              </w:rPr>
            </w:pPr>
            <w:r w:rsidRPr="008B6A75">
              <w:rPr>
                <w:sz w:val="20"/>
                <w:szCs w:val="20"/>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5C11E9DD" w14:textId="77777777" w:rsidR="00387142" w:rsidRPr="008B6A75" w:rsidRDefault="00387142" w:rsidP="00387142">
            <w:pPr>
              <w:jc w:val="right"/>
              <w:rPr>
                <w:sz w:val="20"/>
                <w:szCs w:val="20"/>
              </w:rPr>
            </w:pPr>
            <w:r w:rsidRPr="008B6A75">
              <w:rPr>
                <w:sz w:val="20"/>
                <w:szCs w:val="20"/>
              </w:rPr>
              <w:t>0,00</w:t>
            </w:r>
          </w:p>
        </w:tc>
      </w:tr>
      <w:tr w:rsidR="00387142" w:rsidRPr="008B6A75" w14:paraId="7D9F9CE3" w14:textId="77777777" w:rsidTr="00387142">
        <w:trPr>
          <w:trHeight w:val="1440"/>
        </w:trPr>
        <w:tc>
          <w:tcPr>
            <w:tcW w:w="272" w:type="dxa"/>
            <w:tcBorders>
              <w:top w:val="nil"/>
              <w:left w:val="nil"/>
              <w:bottom w:val="nil"/>
              <w:right w:val="single" w:sz="4" w:space="0" w:color="auto"/>
            </w:tcBorders>
            <w:shd w:val="clear" w:color="auto" w:fill="auto"/>
            <w:noWrap/>
            <w:vAlign w:val="bottom"/>
            <w:hideMark/>
          </w:tcPr>
          <w:p w14:paraId="295BB2C5"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3DE6007D" w14:textId="77777777" w:rsidR="00387142" w:rsidRPr="008B6A75" w:rsidRDefault="00387142" w:rsidP="00387142">
            <w:pPr>
              <w:rPr>
                <w:bCs/>
                <w:sz w:val="20"/>
                <w:szCs w:val="20"/>
              </w:rPr>
            </w:pPr>
            <w:r w:rsidRPr="008B6A75">
              <w:rPr>
                <w:bCs/>
                <w:sz w:val="20"/>
                <w:szCs w:val="2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559" w:type="dxa"/>
            <w:tcBorders>
              <w:top w:val="nil"/>
              <w:left w:val="single" w:sz="4" w:space="0" w:color="auto"/>
              <w:bottom w:val="single" w:sz="4" w:space="0" w:color="auto"/>
              <w:right w:val="nil"/>
            </w:tcBorders>
            <w:shd w:val="clear" w:color="auto" w:fill="auto"/>
            <w:noWrap/>
            <w:vAlign w:val="center"/>
            <w:hideMark/>
          </w:tcPr>
          <w:p w14:paraId="3BAD9BD8" w14:textId="77777777" w:rsidR="00387142" w:rsidRPr="008B6A75" w:rsidRDefault="00387142" w:rsidP="00387142">
            <w:pPr>
              <w:jc w:val="center"/>
              <w:rPr>
                <w:bCs/>
                <w:sz w:val="20"/>
                <w:szCs w:val="20"/>
              </w:rPr>
            </w:pPr>
            <w:r w:rsidRPr="008B6A75">
              <w:rPr>
                <w:bCs/>
                <w:sz w:val="20"/>
                <w:szCs w:val="20"/>
              </w:rPr>
              <w:t>99.0.00.70139</w:t>
            </w:r>
          </w:p>
        </w:tc>
        <w:tc>
          <w:tcPr>
            <w:tcW w:w="850" w:type="dxa"/>
            <w:tcBorders>
              <w:top w:val="nil"/>
              <w:left w:val="single" w:sz="4" w:space="0" w:color="auto"/>
              <w:bottom w:val="single" w:sz="4" w:space="0" w:color="auto"/>
              <w:right w:val="nil"/>
            </w:tcBorders>
            <w:shd w:val="clear" w:color="auto" w:fill="auto"/>
            <w:noWrap/>
            <w:vAlign w:val="center"/>
            <w:hideMark/>
          </w:tcPr>
          <w:p w14:paraId="0E407E8B" w14:textId="77777777" w:rsidR="00387142" w:rsidRPr="008B6A75" w:rsidRDefault="00387142" w:rsidP="00387142">
            <w:pPr>
              <w:jc w:val="center"/>
              <w:rPr>
                <w:bCs/>
                <w:sz w:val="20"/>
                <w:szCs w:val="20"/>
              </w:rPr>
            </w:pPr>
            <w:r w:rsidRPr="008B6A75">
              <w:rPr>
                <w:bCs/>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5B436280" w14:textId="77777777" w:rsidR="00387142" w:rsidRPr="008B6A75" w:rsidRDefault="00387142" w:rsidP="00387142">
            <w:pPr>
              <w:jc w:val="center"/>
              <w:rPr>
                <w:bCs/>
                <w:sz w:val="20"/>
                <w:szCs w:val="20"/>
              </w:rPr>
            </w:pPr>
            <w:r w:rsidRPr="008B6A75">
              <w:rPr>
                <w:bCs/>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4326B7B2" w14:textId="77777777" w:rsidR="00387142" w:rsidRPr="008B6A75" w:rsidRDefault="00387142" w:rsidP="00387142">
            <w:pPr>
              <w:jc w:val="center"/>
              <w:rPr>
                <w:bCs/>
                <w:sz w:val="20"/>
                <w:szCs w:val="20"/>
              </w:rPr>
            </w:pPr>
            <w:r w:rsidRPr="008B6A75">
              <w:rPr>
                <w:bCs/>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F61F06B" w14:textId="77777777" w:rsidR="00387142" w:rsidRPr="008B6A75" w:rsidRDefault="00387142" w:rsidP="00387142">
            <w:pPr>
              <w:jc w:val="right"/>
              <w:rPr>
                <w:bCs/>
                <w:sz w:val="20"/>
                <w:szCs w:val="20"/>
              </w:rPr>
            </w:pPr>
            <w:r w:rsidRPr="008B6A75">
              <w:rPr>
                <w:bCs/>
                <w:sz w:val="20"/>
                <w:szCs w:val="20"/>
              </w:rPr>
              <w:t>5 970 550,00</w:t>
            </w:r>
          </w:p>
        </w:tc>
        <w:tc>
          <w:tcPr>
            <w:tcW w:w="851" w:type="dxa"/>
            <w:tcBorders>
              <w:top w:val="nil"/>
              <w:left w:val="single" w:sz="4" w:space="0" w:color="auto"/>
              <w:bottom w:val="single" w:sz="4" w:space="0" w:color="auto"/>
              <w:right w:val="nil"/>
            </w:tcBorders>
            <w:shd w:val="clear" w:color="auto" w:fill="auto"/>
            <w:noWrap/>
            <w:vAlign w:val="center"/>
            <w:hideMark/>
          </w:tcPr>
          <w:p w14:paraId="2B512106" w14:textId="77777777" w:rsidR="00387142" w:rsidRPr="008B6A75" w:rsidRDefault="00387142" w:rsidP="00387142">
            <w:pPr>
              <w:jc w:val="right"/>
              <w:rPr>
                <w:bCs/>
                <w:sz w:val="20"/>
                <w:szCs w:val="20"/>
              </w:rPr>
            </w:pPr>
            <w:r w:rsidRPr="008B6A75">
              <w:rPr>
                <w:bCs/>
                <w:sz w:val="20"/>
                <w:szCs w:val="20"/>
              </w:rPr>
              <w:t>2 305 300,00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626CA916" w14:textId="77777777" w:rsidR="00387142" w:rsidRPr="008B6A75" w:rsidRDefault="00387142" w:rsidP="00387142">
            <w:pPr>
              <w:jc w:val="right"/>
              <w:rPr>
                <w:bCs/>
                <w:sz w:val="20"/>
                <w:szCs w:val="20"/>
              </w:rPr>
            </w:pPr>
            <w:r w:rsidRPr="008B6A75">
              <w:rPr>
                <w:bCs/>
                <w:sz w:val="20"/>
                <w:szCs w:val="20"/>
              </w:rPr>
              <w:t>0,00</w:t>
            </w:r>
          </w:p>
        </w:tc>
      </w:tr>
      <w:tr w:rsidR="00387142" w:rsidRPr="008B6A75" w14:paraId="60E34E36" w14:textId="77777777" w:rsidTr="00387142">
        <w:trPr>
          <w:trHeight w:val="585"/>
        </w:trPr>
        <w:tc>
          <w:tcPr>
            <w:tcW w:w="272" w:type="dxa"/>
            <w:tcBorders>
              <w:top w:val="nil"/>
              <w:left w:val="nil"/>
              <w:bottom w:val="nil"/>
              <w:right w:val="single" w:sz="4" w:space="0" w:color="auto"/>
            </w:tcBorders>
            <w:shd w:val="clear" w:color="auto" w:fill="auto"/>
            <w:noWrap/>
            <w:vAlign w:val="bottom"/>
            <w:hideMark/>
          </w:tcPr>
          <w:p w14:paraId="6F529FE1"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4FCC7ED6" w14:textId="77777777" w:rsidR="00387142" w:rsidRPr="008B6A75" w:rsidRDefault="00387142" w:rsidP="00387142">
            <w:pPr>
              <w:rPr>
                <w:sz w:val="20"/>
                <w:szCs w:val="20"/>
              </w:rPr>
            </w:pPr>
            <w:r w:rsidRPr="008B6A75">
              <w:rPr>
                <w:sz w:val="20"/>
                <w:szCs w:val="20"/>
              </w:rPr>
              <w:t>Закупка товаров, работ и услуг для обеспечения государственных (муниципальных) нужд</w:t>
            </w:r>
          </w:p>
        </w:tc>
        <w:tc>
          <w:tcPr>
            <w:tcW w:w="1559" w:type="dxa"/>
            <w:tcBorders>
              <w:top w:val="nil"/>
              <w:left w:val="single" w:sz="4" w:space="0" w:color="auto"/>
              <w:bottom w:val="single" w:sz="4" w:space="0" w:color="auto"/>
              <w:right w:val="nil"/>
            </w:tcBorders>
            <w:shd w:val="clear" w:color="auto" w:fill="auto"/>
            <w:noWrap/>
            <w:vAlign w:val="center"/>
            <w:hideMark/>
          </w:tcPr>
          <w:p w14:paraId="732ABA92" w14:textId="77777777" w:rsidR="00387142" w:rsidRPr="008B6A75" w:rsidRDefault="00387142" w:rsidP="00387142">
            <w:pPr>
              <w:jc w:val="center"/>
              <w:rPr>
                <w:sz w:val="20"/>
                <w:szCs w:val="20"/>
              </w:rPr>
            </w:pPr>
            <w:r w:rsidRPr="008B6A75">
              <w:rPr>
                <w:sz w:val="20"/>
                <w:szCs w:val="20"/>
              </w:rPr>
              <w:t>99.0.00.70139</w:t>
            </w:r>
          </w:p>
        </w:tc>
        <w:tc>
          <w:tcPr>
            <w:tcW w:w="850" w:type="dxa"/>
            <w:tcBorders>
              <w:top w:val="nil"/>
              <w:left w:val="single" w:sz="4" w:space="0" w:color="auto"/>
              <w:bottom w:val="single" w:sz="4" w:space="0" w:color="auto"/>
              <w:right w:val="nil"/>
            </w:tcBorders>
            <w:shd w:val="clear" w:color="auto" w:fill="auto"/>
            <w:noWrap/>
            <w:vAlign w:val="center"/>
            <w:hideMark/>
          </w:tcPr>
          <w:p w14:paraId="49446348" w14:textId="77777777" w:rsidR="00387142" w:rsidRPr="008B6A75" w:rsidRDefault="00387142" w:rsidP="00387142">
            <w:pPr>
              <w:jc w:val="center"/>
              <w:rPr>
                <w:sz w:val="20"/>
                <w:szCs w:val="20"/>
              </w:rPr>
            </w:pPr>
            <w:r w:rsidRPr="008B6A75">
              <w:rPr>
                <w:sz w:val="20"/>
                <w:szCs w:val="20"/>
              </w:rPr>
              <w:t>200</w:t>
            </w:r>
          </w:p>
        </w:tc>
        <w:tc>
          <w:tcPr>
            <w:tcW w:w="567" w:type="dxa"/>
            <w:tcBorders>
              <w:top w:val="nil"/>
              <w:left w:val="single" w:sz="4" w:space="0" w:color="auto"/>
              <w:bottom w:val="single" w:sz="4" w:space="0" w:color="auto"/>
              <w:right w:val="nil"/>
            </w:tcBorders>
            <w:shd w:val="clear" w:color="auto" w:fill="auto"/>
            <w:noWrap/>
            <w:vAlign w:val="center"/>
            <w:hideMark/>
          </w:tcPr>
          <w:p w14:paraId="5FA19EE4" w14:textId="77777777" w:rsidR="00387142" w:rsidRPr="008B6A75" w:rsidRDefault="00387142" w:rsidP="00387142">
            <w:pPr>
              <w:jc w:val="center"/>
              <w:rPr>
                <w:sz w:val="20"/>
                <w:szCs w:val="20"/>
              </w:rPr>
            </w:pPr>
            <w:r w:rsidRPr="008B6A75">
              <w:rPr>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56597395" w14:textId="77777777" w:rsidR="00387142" w:rsidRPr="008B6A75" w:rsidRDefault="00387142" w:rsidP="00387142">
            <w:pPr>
              <w:jc w:val="center"/>
              <w:rPr>
                <w:sz w:val="20"/>
                <w:szCs w:val="20"/>
              </w:rPr>
            </w:pPr>
            <w:r w:rsidRPr="008B6A75">
              <w:rPr>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0B40467" w14:textId="77777777" w:rsidR="00387142" w:rsidRPr="008B6A75" w:rsidRDefault="00387142" w:rsidP="00387142">
            <w:pPr>
              <w:jc w:val="right"/>
              <w:rPr>
                <w:sz w:val="20"/>
                <w:szCs w:val="20"/>
              </w:rPr>
            </w:pPr>
            <w:r w:rsidRPr="008B6A75">
              <w:rPr>
                <w:sz w:val="20"/>
                <w:szCs w:val="20"/>
              </w:rPr>
              <w:t>310 900,00</w:t>
            </w:r>
          </w:p>
        </w:tc>
        <w:tc>
          <w:tcPr>
            <w:tcW w:w="851" w:type="dxa"/>
            <w:tcBorders>
              <w:top w:val="nil"/>
              <w:left w:val="single" w:sz="4" w:space="0" w:color="auto"/>
              <w:bottom w:val="single" w:sz="4" w:space="0" w:color="auto"/>
              <w:right w:val="nil"/>
            </w:tcBorders>
            <w:shd w:val="clear" w:color="auto" w:fill="auto"/>
            <w:noWrap/>
            <w:vAlign w:val="center"/>
            <w:hideMark/>
          </w:tcPr>
          <w:p w14:paraId="5519C520" w14:textId="77777777" w:rsidR="00387142" w:rsidRPr="008B6A75" w:rsidRDefault="00387142" w:rsidP="00387142">
            <w:pPr>
              <w:jc w:val="right"/>
              <w:rPr>
                <w:sz w:val="20"/>
                <w:szCs w:val="20"/>
              </w:rPr>
            </w:pPr>
            <w:r w:rsidRPr="008B6A75">
              <w:rPr>
                <w:sz w:val="20"/>
                <w:szCs w:val="20"/>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58AC3111" w14:textId="77777777" w:rsidR="00387142" w:rsidRPr="008B6A75" w:rsidRDefault="00387142" w:rsidP="00387142">
            <w:pPr>
              <w:jc w:val="right"/>
              <w:rPr>
                <w:sz w:val="20"/>
                <w:szCs w:val="20"/>
              </w:rPr>
            </w:pPr>
            <w:r w:rsidRPr="008B6A75">
              <w:rPr>
                <w:sz w:val="20"/>
                <w:szCs w:val="20"/>
              </w:rPr>
              <w:t>0,00</w:t>
            </w:r>
          </w:p>
        </w:tc>
      </w:tr>
      <w:tr w:rsidR="00387142" w:rsidRPr="008B6A75" w14:paraId="6DB88277" w14:textId="77777777" w:rsidTr="00387142">
        <w:trPr>
          <w:trHeight w:val="870"/>
        </w:trPr>
        <w:tc>
          <w:tcPr>
            <w:tcW w:w="272" w:type="dxa"/>
            <w:tcBorders>
              <w:top w:val="nil"/>
              <w:left w:val="nil"/>
              <w:bottom w:val="nil"/>
              <w:right w:val="single" w:sz="4" w:space="0" w:color="auto"/>
            </w:tcBorders>
            <w:shd w:val="clear" w:color="auto" w:fill="auto"/>
            <w:noWrap/>
            <w:vAlign w:val="bottom"/>
            <w:hideMark/>
          </w:tcPr>
          <w:p w14:paraId="0B3C632F"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26B5B554" w14:textId="77777777" w:rsidR="00387142" w:rsidRPr="008B6A75" w:rsidRDefault="00387142" w:rsidP="00387142">
            <w:pPr>
              <w:rPr>
                <w:sz w:val="20"/>
                <w:szCs w:val="20"/>
              </w:rPr>
            </w:pPr>
            <w:r w:rsidRPr="008B6A75">
              <w:rPr>
                <w:sz w:val="20"/>
                <w:szCs w:val="20"/>
              </w:rPr>
              <w:t>Иные закупки товаров, работ и услуг для обеспечения государственных (муниципальных) нужд</w:t>
            </w:r>
          </w:p>
        </w:tc>
        <w:tc>
          <w:tcPr>
            <w:tcW w:w="1559" w:type="dxa"/>
            <w:tcBorders>
              <w:top w:val="nil"/>
              <w:left w:val="single" w:sz="4" w:space="0" w:color="auto"/>
              <w:bottom w:val="single" w:sz="4" w:space="0" w:color="auto"/>
              <w:right w:val="nil"/>
            </w:tcBorders>
            <w:shd w:val="clear" w:color="auto" w:fill="auto"/>
            <w:noWrap/>
            <w:vAlign w:val="center"/>
            <w:hideMark/>
          </w:tcPr>
          <w:p w14:paraId="23FA1449" w14:textId="77777777" w:rsidR="00387142" w:rsidRPr="008B6A75" w:rsidRDefault="00387142" w:rsidP="00387142">
            <w:pPr>
              <w:jc w:val="center"/>
              <w:rPr>
                <w:sz w:val="20"/>
                <w:szCs w:val="20"/>
              </w:rPr>
            </w:pPr>
            <w:r w:rsidRPr="008B6A75">
              <w:rPr>
                <w:sz w:val="20"/>
                <w:szCs w:val="20"/>
              </w:rPr>
              <w:t>99.0.00.70139</w:t>
            </w:r>
          </w:p>
        </w:tc>
        <w:tc>
          <w:tcPr>
            <w:tcW w:w="850" w:type="dxa"/>
            <w:tcBorders>
              <w:top w:val="nil"/>
              <w:left w:val="single" w:sz="4" w:space="0" w:color="auto"/>
              <w:bottom w:val="single" w:sz="4" w:space="0" w:color="auto"/>
              <w:right w:val="nil"/>
            </w:tcBorders>
            <w:shd w:val="clear" w:color="auto" w:fill="auto"/>
            <w:noWrap/>
            <w:vAlign w:val="center"/>
            <w:hideMark/>
          </w:tcPr>
          <w:p w14:paraId="4BE8F3E9" w14:textId="77777777" w:rsidR="00387142" w:rsidRPr="008B6A75" w:rsidRDefault="00387142" w:rsidP="00387142">
            <w:pPr>
              <w:jc w:val="center"/>
              <w:rPr>
                <w:sz w:val="20"/>
                <w:szCs w:val="20"/>
              </w:rPr>
            </w:pPr>
            <w:r w:rsidRPr="008B6A75">
              <w:rPr>
                <w:sz w:val="20"/>
                <w:szCs w:val="20"/>
              </w:rPr>
              <w:t>240</w:t>
            </w:r>
          </w:p>
        </w:tc>
        <w:tc>
          <w:tcPr>
            <w:tcW w:w="567" w:type="dxa"/>
            <w:tcBorders>
              <w:top w:val="nil"/>
              <w:left w:val="single" w:sz="4" w:space="0" w:color="auto"/>
              <w:bottom w:val="single" w:sz="4" w:space="0" w:color="auto"/>
              <w:right w:val="nil"/>
            </w:tcBorders>
            <w:shd w:val="clear" w:color="auto" w:fill="auto"/>
            <w:noWrap/>
            <w:vAlign w:val="center"/>
            <w:hideMark/>
          </w:tcPr>
          <w:p w14:paraId="42E1FEBF" w14:textId="77777777" w:rsidR="00387142" w:rsidRPr="008B6A75" w:rsidRDefault="00387142" w:rsidP="00387142">
            <w:pPr>
              <w:jc w:val="center"/>
              <w:rPr>
                <w:sz w:val="20"/>
                <w:szCs w:val="20"/>
              </w:rPr>
            </w:pPr>
            <w:r w:rsidRPr="008B6A75">
              <w:rPr>
                <w:sz w:val="20"/>
                <w:szCs w:val="20"/>
              </w:rPr>
              <w:t>05</w:t>
            </w:r>
          </w:p>
        </w:tc>
        <w:tc>
          <w:tcPr>
            <w:tcW w:w="567" w:type="dxa"/>
            <w:tcBorders>
              <w:top w:val="nil"/>
              <w:left w:val="single" w:sz="4" w:space="0" w:color="auto"/>
              <w:bottom w:val="single" w:sz="4" w:space="0" w:color="auto"/>
              <w:right w:val="nil"/>
            </w:tcBorders>
            <w:shd w:val="clear" w:color="auto" w:fill="auto"/>
            <w:noWrap/>
            <w:vAlign w:val="center"/>
            <w:hideMark/>
          </w:tcPr>
          <w:p w14:paraId="72F6BBB4" w14:textId="77777777" w:rsidR="00387142" w:rsidRPr="008B6A75" w:rsidRDefault="00387142" w:rsidP="00387142">
            <w:pPr>
              <w:jc w:val="center"/>
              <w:rPr>
                <w:sz w:val="20"/>
                <w:szCs w:val="20"/>
              </w:rPr>
            </w:pPr>
            <w:r w:rsidRPr="008B6A75">
              <w:rPr>
                <w:sz w:val="20"/>
                <w:szCs w:val="20"/>
              </w:rPr>
              <w:t>01</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E8BCBD1" w14:textId="77777777" w:rsidR="00387142" w:rsidRPr="008B6A75" w:rsidRDefault="00387142" w:rsidP="00387142">
            <w:pPr>
              <w:jc w:val="right"/>
              <w:rPr>
                <w:sz w:val="20"/>
                <w:szCs w:val="20"/>
              </w:rPr>
            </w:pPr>
            <w:r w:rsidRPr="008B6A75">
              <w:rPr>
                <w:sz w:val="20"/>
                <w:szCs w:val="20"/>
              </w:rPr>
              <w:t>310 900,00</w:t>
            </w:r>
          </w:p>
        </w:tc>
        <w:tc>
          <w:tcPr>
            <w:tcW w:w="851" w:type="dxa"/>
            <w:tcBorders>
              <w:top w:val="nil"/>
              <w:left w:val="single" w:sz="4" w:space="0" w:color="auto"/>
              <w:bottom w:val="single" w:sz="4" w:space="0" w:color="auto"/>
              <w:right w:val="nil"/>
            </w:tcBorders>
            <w:shd w:val="clear" w:color="auto" w:fill="auto"/>
            <w:noWrap/>
            <w:vAlign w:val="center"/>
            <w:hideMark/>
          </w:tcPr>
          <w:p w14:paraId="541712A0" w14:textId="77777777" w:rsidR="00387142" w:rsidRPr="008B6A75" w:rsidRDefault="00387142" w:rsidP="00387142">
            <w:pPr>
              <w:jc w:val="right"/>
              <w:rPr>
                <w:sz w:val="20"/>
                <w:szCs w:val="20"/>
              </w:rPr>
            </w:pPr>
            <w:r w:rsidRPr="008B6A75">
              <w:rPr>
                <w:sz w:val="20"/>
                <w:szCs w:val="20"/>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14326E27" w14:textId="77777777" w:rsidR="00387142" w:rsidRPr="008B6A75" w:rsidRDefault="00387142" w:rsidP="00387142">
            <w:pPr>
              <w:jc w:val="right"/>
              <w:rPr>
                <w:sz w:val="20"/>
                <w:szCs w:val="20"/>
              </w:rPr>
            </w:pPr>
            <w:r w:rsidRPr="008B6A75">
              <w:rPr>
                <w:sz w:val="20"/>
                <w:szCs w:val="20"/>
              </w:rPr>
              <w:t>0,00</w:t>
            </w:r>
          </w:p>
        </w:tc>
      </w:tr>
      <w:tr w:rsidR="00387142" w:rsidRPr="008B6A75" w14:paraId="34E9CF61" w14:textId="77777777" w:rsidTr="00387142">
        <w:trPr>
          <w:trHeight w:val="585"/>
        </w:trPr>
        <w:tc>
          <w:tcPr>
            <w:tcW w:w="272" w:type="dxa"/>
            <w:tcBorders>
              <w:top w:val="nil"/>
              <w:left w:val="nil"/>
              <w:bottom w:val="nil"/>
              <w:right w:val="single" w:sz="4" w:space="0" w:color="auto"/>
            </w:tcBorders>
            <w:shd w:val="clear" w:color="auto" w:fill="auto"/>
            <w:noWrap/>
            <w:vAlign w:val="bottom"/>
            <w:hideMark/>
          </w:tcPr>
          <w:p w14:paraId="5A720730"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638AB54C" w14:textId="77777777" w:rsidR="00387142" w:rsidRPr="008B6A75" w:rsidRDefault="00387142" w:rsidP="00387142">
            <w:pPr>
              <w:rPr>
                <w:sz w:val="20"/>
                <w:szCs w:val="20"/>
              </w:rPr>
            </w:pPr>
            <w:r w:rsidRPr="008B6A75">
              <w:rPr>
                <w:sz w:val="20"/>
                <w:szCs w:val="20"/>
              </w:rPr>
              <w:t>Социальное обеспечение и иные выплаты населению</w:t>
            </w:r>
          </w:p>
        </w:tc>
        <w:tc>
          <w:tcPr>
            <w:tcW w:w="1559" w:type="dxa"/>
            <w:tcBorders>
              <w:top w:val="nil"/>
              <w:left w:val="single" w:sz="4" w:space="0" w:color="auto"/>
              <w:bottom w:val="single" w:sz="4" w:space="0" w:color="auto"/>
              <w:right w:val="nil"/>
            </w:tcBorders>
            <w:shd w:val="clear" w:color="auto" w:fill="auto"/>
            <w:noWrap/>
            <w:vAlign w:val="center"/>
            <w:hideMark/>
          </w:tcPr>
          <w:p w14:paraId="5B59FDEC" w14:textId="77777777" w:rsidR="00387142" w:rsidRPr="008B6A75" w:rsidRDefault="00387142" w:rsidP="00387142">
            <w:pPr>
              <w:jc w:val="center"/>
              <w:rPr>
                <w:sz w:val="20"/>
                <w:szCs w:val="20"/>
              </w:rPr>
            </w:pPr>
            <w:r w:rsidRPr="008B6A75">
              <w:rPr>
                <w:sz w:val="20"/>
                <w:szCs w:val="20"/>
              </w:rPr>
              <w:t>99.0.00.70139</w:t>
            </w:r>
          </w:p>
        </w:tc>
        <w:tc>
          <w:tcPr>
            <w:tcW w:w="850" w:type="dxa"/>
            <w:tcBorders>
              <w:top w:val="nil"/>
              <w:left w:val="single" w:sz="4" w:space="0" w:color="auto"/>
              <w:bottom w:val="single" w:sz="4" w:space="0" w:color="auto"/>
              <w:right w:val="nil"/>
            </w:tcBorders>
            <w:shd w:val="clear" w:color="auto" w:fill="auto"/>
            <w:noWrap/>
            <w:vAlign w:val="center"/>
            <w:hideMark/>
          </w:tcPr>
          <w:p w14:paraId="266F345B" w14:textId="77777777" w:rsidR="00387142" w:rsidRPr="008B6A75" w:rsidRDefault="00387142" w:rsidP="00387142">
            <w:pPr>
              <w:jc w:val="center"/>
              <w:rPr>
                <w:sz w:val="20"/>
                <w:szCs w:val="20"/>
              </w:rPr>
            </w:pPr>
            <w:r w:rsidRPr="008B6A75">
              <w:rPr>
                <w:sz w:val="20"/>
                <w:szCs w:val="20"/>
              </w:rPr>
              <w:t>300</w:t>
            </w:r>
          </w:p>
        </w:tc>
        <w:tc>
          <w:tcPr>
            <w:tcW w:w="567" w:type="dxa"/>
            <w:tcBorders>
              <w:top w:val="nil"/>
              <w:left w:val="single" w:sz="4" w:space="0" w:color="auto"/>
              <w:bottom w:val="single" w:sz="4" w:space="0" w:color="auto"/>
              <w:right w:val="nil"/>
            </w:tcBorders>
            <w:shd w:val="clear" w:color="auto" w:fill="auto"/>
            <w:noWrap/>
            <w:vAlign w:val="center"/>
            <w:hideMark/>
          </w:tcPr>
          <w:p w14:paraId="133856EF" w14:textId="77777777" w:rsidR="00387142" w:rsidRPr="008B6A75" w:rsidRDefault="00387142" w:rsidP="00387142">
            <w:pPr>
              <w:jc w:val="center"/>
              <w:rPr>
                <w:sz w:val="20"/>
                <w:szCs w:val="20"/>
              </w:rPr>
            </w:pPr>
            <w:r w:rsidRPr="008B6A75">
              <w:rPr>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736BDA6D" w14:textId="77777777" w:rsidR="00387142" w:rsidRPr="008B6A75" w:rsidRDefault="00387142" w:rsidP="00387142">
            <w:pPr>
              <w:jc w:val="center"/>
              <w:rPr>
                <w:sz w:val="20"/>
                <w:szCs w:val="20"/>
              </w:rPr>
            </w:pPr>
            <w:r w:rsidRPr="008B6A75">
              <w:rPr>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BA76C01" w14:textId="77777777" w:rsidR="00387142" w:rsidRPr="008B6A75" w:rsidRDefault="00387142" w:rsidP="00387142">
            <w:pPr>
              <w:jc w:val="right"/>
              <w:rPr>
                <w:sz w:val="20"/>
                <w:szCs w:val="20"/>
              </w:rPr>
            </w:pPr>
            <w:r w:rsidRPr="008B6A75">
              <w:rPr>
                <w:sz w:val="20"/>
                <w:szCs w:val="20"/>
              </w:rPr>
              <w:t>2 254 527,00</w:t>
            </w:r>
          </w:p>
        </w:tc>
        <w:tc>
          <w:tcPr>
            <w:tcW w:w="851" w:type="dxa"/>
            <w:tcBorders>
              <w:top w:val="nil"/>
              <w:left w:val="single" w:sz="4" w:space="0" w:color="auto"/>
              <w:bottom w:val="single" w:sz="4" w:space="0" w:color="auto"/>
              <w:right w:val="nil"/>
            </w:tcBorders>
            <w:shd w:val="clear" w:color="auto" w:fill="auto"/>
            <w:noWrap/>
            <w:vAlign w:val="center"/>
            <w:hideMark/>
          </w:tcPr>
          <w:p w14:paraId="30E72520" w14:textId="77777777" w:rsidR="00387142" w:rsidRPr="008B6A75" w:rsidRDefault="00387142" w:rsidP="00387142">
            <w:pPr>
              <w:jc w:val="right"/>
              <w:rPr>
                <w:sz w:val="20"/>
                <w:szCs w:val="20"/>
              </w:rPr>
            </w:pPr>
            <w:r w:rsidRPr="008B6A75">
              <w:rPr>
                <w:sz w:val="20"/>
                <w:szCs w:val="20"/>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2E881065" w14:textId="77777777" w:rsidR="00387142" w:rsidRPr="008B6A75" w:rsidRDefault="00387142" w:rsidP="00387142">
            <w:pPr>
              <w:jc w:val="right"/>
              <w:rPr>
                <w:sz w:val="20"/>
                <w:szCs w:val="20"/>
              </w:rPr>
            </w:pPr>
            <w:r w:rsidRPr="008B6A75">
              <w:rPr>
                <w:sz w:val="20"/>
                <w:szCs w:val="20"/>
              </w:rPr>
              <w:t>0,00</w:t>
            </w:r>
          </w:p>
        </w:tc>
      </w:tr>
      <w:tr w:rsidR="00387142" w:rsidRPr="008B6A75" w14:paraId="471676FF" w14:textId="77777777" w:rsidTr="00387142">
        <w:trPr>
          <w:trHeight w:val="585"/>
        </w:trPr>
        <w:tc>
          <w:tcPr>
            <w:tcW w:w="272" w:type="dxa"/>
            <w:tcBorders>
              <w:top w:val="nil"/>
              <w:left w:val="nil"/>
              <w:bottom w:val="nil"/>
              <w:right w:val="single" w:sz="4" w:space="0" w:color="auto"/>
            </w:tcBorders>
            <w:shd w:val="clear" w:color="auto" w:fill="auto"/>
            <w:noWrap/>
            <w:vAlign w:val="bottom"/>
            <w:hideMark/>
          </w:tcPr>
          <w:p w14:paraId="08C58A2B"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1D524381" w14:textId="77777777" w:rsidR="00387142" w:rsidRPr="008B6A75" w:rsidRDefault="00387142" w:rsidP="00387142">
            <w:pPr>
              <w:rPr>
                <w:sz w:val="20"/>
                <w:szCs w:val="20"/>
              </w:rPr>
            </w:pPr>
            <w:r w:rsidRPr="008B6A75">
              <w:rPr>
                <w:sz w:val="20"/>
                <w:szCs w:val="20"/>
              </w:rPr>
              <w:t>Социальные выплаты гражданам, кроме публичных нормативных социальных выплат</w:t>
            </w:r>
          </w:p>
        </w:tc>
        <w:tc>
          <w:tcPr>
            <w:tcW w:w="1559" w:type="dxa"/>
            <w:tcBorders>
              <w:top w:val="nil"/>
              <w:left w:val="single" w:sz="4" w:space="0" w:color="auto"/>
              <w:bottom w:val="single" w:sz="4" w:space="0" w:color="auto"/>
              <w:right w:val="nil"/>
            </w:tcBorders>
            <w:shd w:val="clear" w:color="auto" w:fill="auto"/>
            <w:noWrap/>
            <w:vAlign w:val="center"/>
            <w:hideMark/>
          </w:tcPr>
          <w:p w14:paraId="77F461F5" w14:textId="77777777" w:rsidR="00387142" w:rsidRPr="008B6A75" w:rsidRDefault="00387142" w:rsidP="00387142">
            <w:pPr>
              <w:jc w:val="center"/>
              <w:rPr>
                <w:sz w:val="20"/>
                <w:szCs w:val="20"/>
              </w:rPr>
            </w:pPr>
            <w:r w:rsidRPr="008B6A75">
              <w:rPr>
                <w:sz w:val="20"/>
                <w:szCs w:val="20"/>
              </w:rPr>
              <w:t>99.0.00.70139</w:t>
            </w:r>
          </w:p>
        </w:tc>
        <w:tc>
          <w:tcPr>
            <w:tcW w:w="850" w:type="dxa"/>
            <w:tcBorders>
              <w:top w:val="nil"/>
              <w:left w:val="single" w:sz="4" w:space="0" w:color="auto"/>
              <w:bottom w:val="single" w:sz="4" w:space="0" w:color="auto"/>
              <w:right w:val="nil"/>
            </w:tcBorders>
            <w:shd w:val="clear" w:color="auto" w:fill="auto"/>
            <w:noWrap/>
            <w:vAlign w:val="center"/>
            <w:hideMark/>
          </w:tcPr>
          <w:p w14:paraId="755EF9BF" w14:textId="77777777" w:rsidR="00387142" w:rsidRPr="008B6A75" w:rsidRDefault="00387142" w:rsidP="00387142">
            <w:pPr>
              <w:jc w:val="center"/>
              <w:rPr>
                <w:sz w:val="20"/>
                <w:szCs w:val="20"/>
              </w:rPr>
            </w:pPr>
            <w:r w:rsidRPr="008B6A75">
              <w:rPr>
                <w:sz w:val="20"/>
                <w:szCs w:val="20"/>
              </w:rPr>
              <w:t>320</w:t>
            </w:r>
          </w:p>
        </w:tc>
        <w:tc>
          <w:tcPr>
            <w:tcW w:w="567" w:type="dxa"/>
            <w:tcBorders>
              <w:top w:val="nil"/>
              <w:left w:val="single" w:sz="4" w:space="0" w:color="auto"/>
              <w:bottom w:val="single" w:sz="4" w:space="0" w:color="auto"/>
              <w:right w:val="nil"/>
            </w:tcBorders>
            <w:shd w:val="clear" w:color="auto" w:fill="auto"/>
            <w:noWrap/>
            <w:vAlign w:val="center"/>
            <w:hideMark/>
          </w:tcPr>
          <w:p w14:paraId="57A01D6E" w14:textId="77777777" w:rsidR="00387142" w:rsidRPr="008B6A75" w:rsidRDefault="00387142" w:rsidP="00387142">
            <w:pPr>
              <w:jc w:val="center"/>
              <w:rPr>
                <w:sz w:val="20"/>
                <w:szCs w:val="20"/>
              </w:rPr>
            </w:pPr>
            <w:r w:rsidRPr="008B6A75">
              <w:rPr>
                <w:sz w:val="20"/>
                <w:szCs w:val="20"/>
              </w:rPr>
              <w:t>10</w:t>
            </w:r>
          </w:p>
        </w:tc>
        <w:tc>
          <w:tcPr>
            <w:tcW w:w="567" w:type="dxa"/>
            <w:tcBorders>
              <w:top w:val="nil"/>
              <w:left w:val="single" w:sz="4" w:space="0" w:color="auto"/>
              <w:bottom w:val="single" w:sz="4" w:space="0" w:color="auto"/>
              <w:right w:val="nil"/>
            </w:tcBorders>
            <w:shd w:val="clear" w:color="auto" w:fill="auto"/>
            <w:noWrap/>
            <w:vAlign w:val="center"/>
            <w:hideMark/>
          </w:tcPr>
          <w:p w14:paraId="3495E758" w14:textId="77777777" w:rsidR="00387142" w:rsidRPr="008B6A75" w:rsidRDefault="00387142" w:rsidP="00387142">
            <w:pPr>
              <w:jc w:val="center"/>
              <w:rPr>
                <w:sz w:val="20"/>
                <w:szCs w:val="20"/>
              </w:rPr>
            </w:pPr>
            <w:r w:rsidRPr="008B6A75">
              <w:rPr>
                <w:sz w:val="20"/>
                <w:szCs w:val="20"/>
              </w:rPr>
              <w:t>04</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5D8E166" w14:textId="77777777" w:rsidR="00387142" w:rsidRPr="008B6A75" w:rsidRDefault="00387142" w:rsidP="00387142">
            <w:pPr>
              <w:jc w:val="right"/>
              <w:rPr>
                <w:sz w:val="20"/>
                <w:szCs w:val="20"/>
              </w:rPr>
            </w:pPr>
            <w:r w:rsidRPr="008B6A75">
              <w:rPr>
                <w:sz w:val="20"/>
                <w:szCs w:val="20"/>
              </w:rPr>
              <w:t>2 254 527,00</w:t>
            </w:r>
          </w:p>
        </w:tc>
        <w:tc>
          <w:tcPr>
            <w:tcW w:w="851" w:type="dxa"/>
            <w:tcBorders>
              <w:top w:val="nil"/>
              <w:left w:val="single" w:sz="4" w:space="0" w:color="auto"/>
              <w:bottom w:val="single" w:sz="4" w:space="0" w:color="auto"/>
              <w:right w:val="nil"/>
            </w:tcBorders>
            <w:shd w:val="clear" w:color="auto" w:fill="auto"/>
            <w:noWrap/>
            <w:vAlign w:val="center"/>
            <w:hideMark/>
          </w:tcPr>
          <w:p w14:paraId="1C4BFC5E" w14:textId="77777777" w:rsidR="00387142" w:rsidRPr="008B6A75" w:rsidRDefault="00387142" w:rsidP="00387142">
            <w:pPr>
              <w:jc w:val="right"/>
              <w:rPr>
                <w:sz w:val="20"/>
                <w:szCs w:val="20"/>
              </w:rPr>
            </w:pPr>
            <w:r w:rsidRPr="008B6A75">
              <w:rPr>
                <w:sz w:val="20"/>
                <w:szCs w:val="20"/>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2A1D74CC" w14:textId="77777777" w:rsidR="00387142" w:rsidRPr="008B6A75" w:rsidRDefault="00387142" w:rsidP="00387142">
            <w:pPr>
              <w:jc w:val="right"/>
              <w:rPr>
                <w:sz w:val="20"/>
                <w:szCs w:val="20"/>
              </w:rPr>
            </w:pPr>
            <w:r w:rsidRPr="008B6A75">
              <w:rPr>
                <w:sz w:val="20"/>
                <w:szCs w:val="20"/>
              </w:rPr>
              <w:t>0,00</w:t>
            </w:r>
          </w:p>
        </w:tc>
      </w:tr>
      <w:tr w:rsidR="00387142" w:rsidRPr="008B6A75" w14:paraId="71A773BC" w14:textId="77777777" w:rsidTr="00387142">
        <w:trPr>
          <w:trHeight w:val="870"/>
        </w:trPr>
        <w:tc>
          <w:tcPr>
            <w:tcW w:w="272" w:type="dxa"/>
            <w:tcBorders>
              <w:top w:val="nil"/>
              <w:left w:val="nil"/>
              <w:bottom w:val="nil"/>
              <w:right w:val="single" w:sz="4" w:space="0" w:color="auto"/>
            </w:tcBorders>
            <w:shd w:val="clear" w:color="auto" w:fill="auto"/>
            <w:noWrap/>
            <w:vAlign w:val="bottom"/>
            <w:hideMark/>
          </w:tcPr>
          <w:p w14:paraId="43DFFA04"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02873C14" w14:textId="77777777" w:rsidR="00387142" w:rsidRPr="008B6A75" w:rsidRDefault="00387142" w:rsidP="00387142">
            <w:pPr>
              <w:rPr>
                <w:sz w:val="20"/>
                <w:szCs w:val="20"/>
              </w:rPr>
            </w:pPr>
            <w:r w:rsidRPr="008B6A75">
              <w:rPr>
                <w:sz w:val="20"/>
                <w:szCs w:val="20"/>
              </w:rPr>
              <w:t>Капитальные вложения в объекты государственной (муниципальной) собственности</w:t>
            </w:r>
          </w:p>
        </w:tc>
        <w:tc>
          <w:tcPr>
            <w:tcW w:w="1559" w:type="dxa"/>
            <w:tcBorders>
              <w:top w:val="nil"/>
              <w:left w:val="single" w:sz="4" w:space="0" w:color="auto"/>
              <w:bottom w:val="single" w:sz="4" w:space="0" w:color="auto"/>
              <w:right w:val="nil"/>
            </w:tcBorders>
            <w:shd w:val="clear" w:color="auto" w:fill="auto"/>
            <w:noWrap/>
            <w:vAlign w:val="center"/>
            <w:hideMark/>
          </w:tcPr>
          <w:p w14:paraId="19188FD4" w14:textId="77777777" w:rsidR="00387142" w:rsidRPr="008B6A75" w:rsidRDefault="00387142" w:rsidP="00387142">
            <w:pPr>
              <w:jc w:val="center"/>
              <w:rPr>
                <w:sz w:val="20"/>
                <w:szCs w:val="20"/>
              </w:rPr>
            </w:pPr>
            <w:r w:rsidRPr="008B6A75">
              <w:rPr>
                <w:sz w:val="20"/>
                <w:szCs w:val="20"/>
              </w:rPr>
              <w:t>99.0.00.70139</w:t>
            </w:r>
          </w:p>
        </w:tc>
        <w:tc>
          <w:tcPr>
            <w:tcW w:w="850" w:type="dxa"/>
            <w:tcBorders>
              <w:top w:val="nil"/>
              <w:left w:val="single" w:sz="4" w:space="0" w:color="auto"/>
              <w:bottom w:val="single" w:sz="4" w:space="0" w:color="auto"/>
              <w:right w:val="nil"/>
            </w:tcBorders>
            <w:shd w:val="clear" w:color="auto" w:fill="auto"/>
            <w:noWrap/>
            <w:vAlign w:val="center"/>
            <w:hideMark/>
          </w:tcPr>
          <w:p w14:paraId="5E527336" w14:textId="77777777" w:rsidR="00387142" w:rsidRPr="008B6A75" w:rsidRDefault="00387142" w:rsidP="00387142">
            <w:pPr>
              <w:jc w:val="center"/>
              <w:rPr>
                <w:sz w:val="20"/>
                <w:szCs w:val="20"/>
              </w:rPr>
            </w:pPr>
            <w:r w:rsidRPr="008B6A75">
              <w:rPr>
                <w:sz w:val="20"/>
                <w:szCs w:val="20"/>
              </w:rPr>
              <w:t>400</w:t>
            </w:r>
          </w:p>
        </w:tc>
        <w:tc>
          <w:tcPr>
            <w:tcW w:w="567" w:type="dxa"/>
            <w:tcBorders>
              <w:top w:val="nil"/>
              <w:left w:val="single" w:sz="4" w:space="0" w:color="auto"/>
              <w:bottom w:val="single" w:sz="4" w:space="0" w:color="auto"/>
              <w:right w:val="nil"/>
            </w:tcBorders>
            <w:shd w:val="clear" w:color="auto" w:fill="auto"/>
            <w:noWrap/>
            <w:vAlign w:val="center"/>
            <w:hideMark/>
          </w:tcPr>
          <w:p w14:paraId="1C1ABC21" w14:textId="77777777" w:rsidR="00387142" w:rsidRPr="008B6A75" w:rsidRDefault="00387142" w:rsidP="00387142">
            <w:pPr>
              <w:jc w:val="center"/>
              <w:rPr>
                <w:sz w:val="20"/>
                <w:szCs w:val="20"/>
              </w:rPr>
            </w:pPr>
            <w:r w:rsidRPr="008B6A75">
              <w:rPr>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48B00BD7" w14:textId="77777777" w:rsidR="00387142" w:rsidRPr="008B6A75" w:rsidRDefault="00387142" w:rsidP="00387142">
            <w:pPr>
              <w:jc w:val="center"/>
              <w:rPr>
                <w:sz w:val="20"/>
                <w:szCs w:val="20"/>
              </w:rPr>
            </w:pPr>
            <w:r w:rsidRPr="008B6A75">
              <w:rPr>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4C30662" w14:textId="77777777" w:rsidR="00387142" w:rsidRPr="008B6A75" w:rsidRDefault="00387142" w:rsidP="00387142">
            <w:pPr>
              <w:jc w:val="right"/>
              <w:rPr>
                <w:sz w:val="20"/>
                <w:szCs w:val="20"/>
              </w:rPr>
            </w:pPr>
            <w:r w:rsidRPr="008B6A75">
              <w:rPr>
                <w:sz w:val="20"/>
                <w:szCs w:val="20"/>
              </w:rPr>
              <w:t>3 405 123,00</w:t>
            </w:r>
          </w:p>
        </w:tc>
        <w:tc>
          <w:tcPr>
            <w:tcW w:w="851" w:type="dxa"/>
            <w:tcBorders>
              <w:top w:val="nil"/>
              <w:left w:val="single" w:sz="4" w:space="0" w:color="auto"/>
              <w:bottom w:val="single" w:sz="4" w:space="0" w:color="auto"/>
              <w:right w:val="nil"/>
            </w:tcBorders>
            <w:shd w:val="clear" w:color="auto" w:fill="auto"/>
            <w:noWrap/>
            <w:vAlign w:val="center"/>
            <w:hideMark/>
          </w:tcPr>
          <w:p w14:paraId="68D897D2" w14:textId="77777777" w:rsidR="00387142" w:rsidRPr="008B6A75" w:rsidRDefault="00387142" w:rsidP="00387142">
            <w:pPr>
              <w:jc w:val="right"/>
              <w:rPr>
                <w:sz w:val="20"/>
                <w:szCs w:val="20"/>
              </w:rPr>
            </w:pPr>
            <w:r w:rsidRPr="008B6A75">
              <w:rPr>
                <w:sz w:val="20"/>
                <w:szCs w:val="20"/>
              </w:rPr>
              <w:t>2 305 300,00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5845324C" w14:textId="77777777" w:rsidR="00387142" w:rsidRPr="008B6A75" w:rsidRDefault="00387142" w:rsidP="00387142">
            <w:pPr>
              <w:jc w:val="right"/>
              <w:rPr>
                <w:sz w:val="20"/>
                <w:szCs w:val="20"/>
              </w:rPr>
            </w:pPr>
            <w:r w:rsidRPr="008B6A75">
              <w:rPr>
                <w:sz w:val="20"/>
                <w:szCs w:val="20"/>
              </w:rPr>
              <w:t>0,00</w:t>
            </w:r>
          </w:p>
        </w:tc>
      </w:tr>
      <w:tr w:rsidR="00387142" w:rsidRPr="008B6A75" w14:paraId="53B202CF" w14:textId="77777777" w:rsidTr="00387142">
        <w:trPr>
          <w:trHeight w:val="300"/>
        </w:trPr>
        <w:tc>
          <w:tcPr>
            <w:tcW w:w="272" w:type="dxa"/>
            <w:tcBorders>
              <w:top w:val="nil"/>
              <w:left w:val="nil"/>
              <w:bottom w:val="nil"/>
              <w:right w:val="single" w:sz="4" w:space="0" w:color="auto"/>
            </w:tcBorders>
            <w:shd w:val="clear" w:color="auto" w:fill="auto"/>
            <w:noWrap/>
            <w:vAlign w:val="bottom"/>
            <w:hideMark/>
          </w:tcPr>
          <w:p w14:paraId="400FE33D"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3C8D8363" w14:textId="77777777" w:rsidR="00387142" w:rsidRPr="008B6A75" w:rsidRDefault="00387142" w:rsidP="00387142">
            <w:pPr>
              <w:rPr>
                <w:sz w:val="20"/>
                <w:szCs w:val="20"/>
              </w:rPr>
            </w:pPr>
            <w:r w:rsidRPr="008B6A75">
              <w:rPr>
                <w:sz w:val="20"/>
                <w:szCs w:val="20"/>
              </w:rPr>
              <w:t>Бюджетные инвестиции</w:t>
            </w:r>
          </w:p>
        </w:tc>
        <w:tc>
          <w:tcPr>
            <w:tcW w:w="1559" w:type="dxa"/>
            <w:tcBorders>
              <w:top w:val="nil"/>
              <w:left w:val="single" w:sz="4" w:space="0" w:color="auto"/>
              <w:bottom w:val="single" w:sz="4" w:space="0" w:color="auto"/>
              <w:right w:val="nil"/>
            </w:tcBorders>
            <w:shd w:val="clear" w:color="auto" w:fill="auto"/>
            <w:noWrap/>
            <w:vAlign w:val="center"/>
            <w:hideMark/>
          </w:tcPr>
          <w:p w14:paraId="1BF639D8" w14:textId="77777777" w:rsidR="00387142" w:rsidRPr="008B6A75" w:rsidRDefault="00387142" w:rsidP="00387142">
            <w:pPr>
              <w:jc w:val="center"/>
              <w:rPr>
                <w:sz w:val="20"/>
                <w:szCs w:val="20"/>
              </w:rPr>
            </w:pPr>
            <w:r w:rsidRPr="008B6A75">
              <w:rPr>
                <w:sz w:val="20"/>
                <w:szCs w:val="20"/>
              </w:rPr>
              <w:t>99.0.00.70139</w:t>
            </w:r>
          </w:p>
        </w:tc>
        <w:tc>
          <w:tcPr>
            <w:tcW w:w="850" w:type="dxa"/>
            <w:tcBorders>
              <w:top w:val="nil"/>
              <w:left w:val="single" w:sz="4" w:space="0" w:color="auto"/>
              <w:bottom w:val="single" w:sz="4" w:space="0" w:color="auto"/>
              <w:right w:val="nil"/>
            </w:tcBorders>
            <w:shd w:val="clear" w:color="auto" w:fill="auto"/>
            <w:noWrap/>
            <w:vAlign w:val="center"/>
            <w:hideMark/>
          </w:tcPr>
          <w:p w14:paraId="5015D4E1" w14:textId="77777777" w:rsidR="00387142" w:rsidRPr="008B6A75" w:rsidRDefault="00387142" w:rsidP="00387142">
            <w:pPr>
              <w:jc w:val="center"/>
              <w:rPr>
                <w:sz w:val="20"/>
                <w:szCs w:val="20"/>
              </w:rPr>
            </w:pPr>
            <w:r w:rsidRPr="008B6A75">
              <w:rPr>
                <w:sz w:val="20"/>
                <w:szCs w:val="20"/>
              </w:rPr>
              <w:t>410</w:t>
            </w:r>
          </w:p>
        </w:tc>
        <w:tc>
          <w:tcPr>
            <w:tcW w:w="567" w:type="dxa"/>
            <w:tcBorders>
              <w:top w:val="nil"/>
              <w:left w:val="single" w:sz="4" w:space="0" w:color="auto"/>
              <w:bottom w:val="single" w:sz="4" w:space="0" w:color="auto"/>
              <w:right w:val="nil"/>
            </w:tcBorders>
            <w:shd w:val="clear" w:color="auto" w:fill="auto"/>
            <w:noWrap/>
            <w:vAlign w:val="center"/>
            <w:hideMark/>
          </w:tcPr>
          <w:p w14:paraId="7094AB87" w14:textId="77777777" w:rsidR="00387142" w:rsidRPr="008B6A75" w:rsidRDefault="00387142" w:rsidP="00387142">
            <w:pPr>
              <w:jc w:val="center"/>
              <w:rPr>
                <w:sz w:val="20"/>
                <w:szCs w:val="20"/>
              </w:rPr>
            </w:pPr>
            <w:r w:rsidRPr="008B6A75">
              <w:rPr>
                <w:sz w:val="20"/>
                <w:szCs w:val="20"/>
              </w:rPr>
              <w:t>05</w:t>
            </w:r>
          </w:p>
        </w:tc>
        <w:tc>
          <w:tcPr>
            <w:tcW w:w="567" w:type="dxa"/>
            <w:tcBorders>
              <w:top w:val="nil"/>
              <w:left w:val="single" w:sz="4" w:space="0" w:color="auto"/>
              <w:bottom w:val="single" w:sz="4" w:space="0" w:color="auto"/>
              <w:right w:val="nil"/>
            </w:tcBorders>
            <w:shd w:val="clear" w:color="auto" w:fill="auto"/>
            <w:noWrap/>
            <w:vAlign w:val="center"/>
            <w:hideMark/>
          </w:tcPr>
          <w:p w14:paraId="12855A8C" w14:textId="77777777" w:rsidR="00387142" w:rsidRPr="008B6A75" w:rsidRDefault="00387142" w:rsidP="00387142">
            <w:pPr>
              <w:jc w:val="center"/>
              <w:rPr>
                <w:sz w:val="20"/>
                <w:szCs w:val="20"/>
              </w:rPr>
            </w:pPr>
            <w:r w:rsidRPr="008B6A75">
              <w:rPr>
                <w:sz w:val="20"/>
                <w:szCs w:val="20"/>
              </w:rPr>
              <w:t>01</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0EF741E" w14:textId="77777777" w:rsidR="00387142" w:rsidRPr="008B6A75" w:rsidRDefault="00387142" w:rsidP="00387142">
            <w:pPr>
              <w:jc w:val="right"/>
              <w:rPr>
                <w:sz w:val="20"/>
                <w:szCs w:val="20"/>
              </w:rPr>
            </w:pPr>
            <w:r w:rsidRPr="008B6A75">
              <w:rPr>
                <w:sz w:val="20"/>
                <w:szCs w:val="20"/>
              </w:rPr>
              <w:t>3 405 123,00</w:t>
            </w:r>
          </w:p>
        </w:tc>
        <w:tc>
          <w:tcPr>
            <w:tcW w:w="851" w:type="dxa"/>
            <w:tcBorders>
              <w:top w:val="nil"/>
              <w:left w:val="single" w:sz="4" w:space="0" w:color="auto"/>
              <w:bottom w:val="single" w:sz="4" w:space="0" w:color="auto"/>
              <w:right w:val="nil"/>
            </w:tcBorders>
            <w:shd w:val="clear" w:color="auto" w:fill="auto"/>
            <w:noWrap/>
            <w:vAlign w:val="center"/>
            <w:hideMark/>
          </w:tcPr>
          <w:p w14:paraId="1D4672C6" w14:textId="77777777" w:rsidR="00387142" w:rsidRPr="008B6A75" w:rsidRDefault="00387142" w:rsidP="00387142">
            <w:pPr>
              <w:jc w:val="right"/>
              <w:rPr>
                <w:sz w:val="20"/>
                <w:szCs w:val="20"/>
              </w:rPr>
            </w:pPr>
            <w:r w:rsidRPr="008B6A75">
              <w:rPr>
                <w:sz w:val="20"/>
                <w:szCs w:val="20"/>
              </w:rPr>
              <w:t>2 305 300,00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32ADE189" w14:textId="77777777" w:rsidR="00387142" w:rsidRPr="008B6A75" w:rsidRDefault="00387142" w:rsidP="00387142">
            <w:pPr>
              <w:jc w:val="right"/>
              <w:rPr>
                <w:sz w:val="20"/>
                <w:szCs w:val="20"/>
              </w:rPr>
            </w:pPr>
            <w:r w:rsidRPr="008B6A75">
              <w:rPr>
                <w:sz w:val="20"/>
                <w:szCs w:val="20"/>
              </w:rPr>
              <w:t>0,00</w:t>
            </w:r>
          </w:p>
        </w:tc>
      </w:tr>
      <w:tr w:rsidR="00387142" w:rsidRPr="008B6A75" w14:paraId="798645D2" w14:textId="77777777" w:rsidTr="00387142">
        <w:trPr>
          <w:trHeight w:val="870"/>
        </w:trPr>
        <w:tc>
          <w:tcPr>
            <w:tcW w:w="272" w:type="dxa"/>
            <w:tcBorders>
              <w:top w:val="nil"/>
              <w:left w:val="nil"/>
              <w:bottom w:val="nil"/>
              <w:right w:val="single" w:sz="4" w:space="0" w:color="auto"/>
            </w:tcBorders>
            <w:shd w:val="clear" w:color="auto" w:fill="auto"/>
            <w:noWrap/>
            <w:vAlign w:val="bottom"/>
            <w:hideMark/>
          </w:tcPr>
          <w:p w14:paraId="6F22A852" w14:textId="77777777" w:rsidR="00387142" w:rsidRPr="008B6A75" w:rsidRDefault="00387142" w:rsidP="00387142">
            <w:pPr>
              <w:rPr>
                <w:sz w:val="20"/>
                <w:szCs w:val="20"/>
              </w:rPr>
            </w:pPr>
            <w:r w:rsidRPr="008B6A75">
              <w:rPr>
                <w:sz w:val="20"/>
                <w:szCs w:val="20"/>
              </w:rPr>
              <w:lastRenderedPageBreak/>
              <w:t> </w:t>
            </w:r>
          </w:p>
        </w:tc>
        <w:tc>
          <w:tcPr>
            <w:tcW w:w="3415" w:type="dxa"/>
            <w:tcBorders>
              <w:top w:val="nil"/>
              <w:left w:val="single" w:sz="4" w:space="0" w:color="auto"/>
              <w:bottom w:val="single" w:sz="4" w:space="0" w:color="auto"/>
              <w:right w:val="nil"/>
            </w:tcBorders>
            <w:shd w:val="clear" w:color="auto" w:fill="auto"/>
            <w:vAlign w:val="center"/>
            <w:hideMark/>
          </w:tcPr>
          <w:p w14:paraId="1FA04BED" w14:textId="77777777" w:rsidR="00387142" w:rsidRPr="008B6A75" w:rsidRDefault="00387142" w:rsidP="00387142">
            <w:pPr>
              <w:rPr>
                <w:bCs/>
                <w:sz w:val="20"/>
                <w:szCs w:val="20"/>
              </w:rPr>
            </w:pPr>
            <w:r w:rsidRPr="008B6A75">
              <w:rPr>
                <w:bCs/>
                <w:sz w:val="20"/>
                <w:szCs w:val="20"/>
              </w:rPr>
              <w:t>Образование и организация деятельности комиссий по делам несовершеннолетних и защите их прав</w:t>
            </w:r>
          </w:p>
        </w:tc>
        <w:tc>
          <w:tcPr>
            <w:tcW w:w="1559" w:type="dxa"/>
            <w:tcBorders>
              <w:top w:val="nil"/>
              <w:left w:val="single" w:sz="4" w:space="0" w:color="auto"/>
              <w:bottom w:val="single" w:sz="4" w:space="0" w:color="auto"/>
              <w:right w:val="nil"/>
            </w:tcBorders>
            <w:shd w:val="clear" w:color="auto" w:fill="auto"/>
            <w:noWrap/>
            <w:vAlign w:val="center"/>
            <w:hideMark/>
          </w:tcPr>
          <w:p w14:paraId="638D7992" w14:textId="77777777" w:rsidR="00387142" w:rsidRPr="008B6A75" w:rsidRDefault="00387142" w:rsidP="00387142">
            <w:pPr>
              <w:jc w:val="center"/>
              <w:rPr>
                <w:bCs/>
                <w:sz w:val="20"/>
                <w:szCs w:val="20"/>
              </w:rPr>
            </w:pPr>
            <w:r w:rsidRPr="008B6A75">
              <w:rPr>
                <w:bCs/>
                <w:sz w:val="20"/>
                <w:szCs w:val="20"/>
              </w:rPr>
              <w:t>99.0.00.70159</w:t>
            </w:r>
          </w:p>
        </w:tc>
        <w:tc>
          <w:tcPr>
            <w:tcW w:w="850" w:type="dxa"/>
            <w:tcBorders>
              <w:top w:val="nil"/>
              <w:left w:val="single" w:sz="4" w:space="0" w:color="auto"/>
              <w:bottom w:val="single" w:sz="4" w:space="0" w:color="auto"/>
              <w:right w:val="nil"/>
            </w:tcBorders>
            <w:shd w:val="clear" w:color="auto" w:fill="auto"/>
            <w:noWrap/>
            <w:vAlign w:val="center"/>
            <w:hideMark/>
          </w:tcPr>
          <w:p w14:paraId="457DB1E7" w14:textId="77777777" w:rsidR="00387142" w:rsidRPr="008B6A75" w:rsidRDefault="00387142" w:rsidP="00387142">
            <w:pPr>
              <w:jc w:val="center"/>
              <w:rPr>
                <w:bCs/>
                <w:sz w:val="20"/>
                <w:szCs w:val="20"/>
              </w:rPr>
            </w:pPr>
            <w:r w:rsidRPr="008B6A75">
              <w:rPr>
                <w:bCs/>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021EB8EC" w14:textId="77777777" w:rsidR="00387142" w:rsidRPr="008B6A75" w:rsidRDefault="00387142" w:rsidP="00387142">
            <w:pPr>
              <w:jc w:val="center"/>
              <w:rPr>
                <w:bCs/>
                <w:sz w:val="20"/>
                <w:szCs w:val="20"/>
              </w:rPr>
            </w:pPr>
            <w:r w:rsidRPr="008B6A75">
              <w:rPr>
                <w:bCs/>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6FA8EC94" w14:textId="77777777" w:rsidR="00387142" w:rsidRPr="008B6A75" w:rsidRDefault="00387142" w:rsidP="00387142">
            <w:pPr>
              <w:jc w:val="center"/>
              <w:rPr>
                <w:bCs/>
                <w:sz w:val="20"/>
                <w:szCs w:val="20"/>
              </w:rPr>
            </w:pPr>
            <w:r w:rsidRPr="008B6A75">
              <w:rPr>
                <w:bCs/>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E88E879" w14:textId="77777777" w:rsidR="00387142" w:rsidRPr="008B6A75" w:rsidRDefault="00387142" w:rsidP="00387142">
            <w:pPr>
              <w:jc w:val="right"/>
              <w:rPr>
                <w:bCs/>
                <w:sz w:val="20"/>
                <w:szCs w:val="20"/>
              </w:rPr>
            </w:pPr>
            <w:r w:rsidRPr="008B6A75">
              <w:rPr>
                <w:bCs/>
                <w:sz w:val="20"/>
                <w:szCs w:val="20"/>
              </w:rPr>
              <w:t>2 202 325,00</w:t>
            </w:r>
          </w:p>
        </w:tc>
        <w:tc>
          <w:tcPr>
            <w:tcW w:w="851" w:type="dxa"/>
            <w:tcBorders>
              <w:top w:val="nil"/>
              <w:left w:val="single" w:sz="4" w:space="0" w:color="auto"/>
              <w:bottom w:val="single" w:sz="4" w:space="0" w:color="auto"/>
              <w:right w:val="nil"/>
            </w:tcBorders>
            <w:shd w:val="clear" w:color="auto" w:fill="auto"/>
            <w:noWrap/>
            <w:vAlign w:val="center"/>
            <w:hideMark/>
          </w:tcPr>
          <w:p w14:paraId="254B3A5B" w14:textId="77777777" w:rsidR="00387142" w:rsidRPr="008B6A75" w:rsidRDefault="00387142" w:rsidP="00387142">
            <w:pPr>
              <w:jc w:val="right"/>
              <w:rPr>
                <w:bCs/>
                <w:sz w:val="20"/>
                <w:szCs w:val="20"/>
              </w:rPr>
            </w:pPr>
            <w:r w:rsidRPr="008B6A75">
              <w:rPr>
                <w:bCs/>
                <w:sz w:val="20"/>
                <w:szCs w:val="20"/>
              </w:rPr>
              <w:t>2 140 025,00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520A8B13" w14:textId="77777777" w:rsidR="00387142" w:rsidRPr="008B6A75" w:rsidRDefault="00387142" w:rsidP="00387142">
            <w:pPr>
              <w:jc w:val="right"/>
              <w:rPr>
                <w:bCs/>
                <w:sz w:val="20"/>
                <w:szCs w:val="20"/>
              </w:rPr>
            </w:pPr>
            <w:r w:rsidRPr="008B6A75">
              <w:rPr>
                <w:bCs/>
                <w:sz w:val="20"/>
                <w:szCs w:val="20"/>
              </w:rPr>
              <w:t>2 220 775,00</w:t>
            </w:r>
          </w:p>
        </w:tc>
      </w:tr>
      <w:tr w:rsidR="00387142" w:rsidRPr="008B6A75" w14:paraId="2B300502" w14:textId="77777777" w:rsidTr="00387142">
        <w:trPr>
          <w:trHeight w:val="1440"/>
        </w:trPr>
        <w:tc>
          <w:tcPr>
            <w:tcW w:w="272" w:type="dxa"/>
            <w:tcBorders>
              <w:top w:val="nil"/>
              <w:left w:val="nil"/>
              <w:bottom w:val="nil"/>
              <w:right w:val="single" w:sz="4" w:space="0" w:color="auto"/>
            </w:tcBorders>
            <w:shd w:val="clear" w:color="auto" w:fill="auto"/>
            <w:noWrap/>
            <w:vAlign w:val="bottom"/>
            <w:hideMark/>
          </w:tcPr>
          <w:p w14:paraId="2F31750A"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1763BBE7" w14:textId="77777777" w:rsidR="00387142" w:rsidRPr="008B6A75" w:rsidRDefault="00387142" w:rsidP="00387142">
            <w:pPr>
              <w:rPr>
                <w:sz w:val="20"/>
                <w:szCs w:val="20"/>
              </w:rPr>
            </w:pPr>
            <w:r w:rsidRPr="008B6A7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single" w:sz="4" w:space="0" w:color="auto"/>
              <w:bottom w:val="single" w:sz="4" w:space="0" w:color="auto"/>
              <w:right w:val="nil"/>
            </w:tcBorders>
            <w:shd w:val="clear" w:color="auto" w:fill="auto"/>
            <w:noWrap/>
            <w:vAlign w:val="center"/>
            <w:hideMark/>
          </w:tcPr>
          <w:p w14:paraId="682C5A64" w14:textId="77777777" w:rsidR="00387142" w:rsidRPr="008B6A75" w:rsidRDefault="00387142" w:rsidP="00387142">
            <w:pPr>
              <w:jc w:val="center"/>
              <w:rPr>
                <w:sz w:val="20"/>
                <w:szCs w:val="20"/>
              </w:rPr>
            </w:pPr>
            <w:r w:rsidRPr="008B6A75">
              <w:rPr>
                <w:sz w:val="20"/>
                <w:szCs w:val="20"/>
              </w:rPr>
              <w:t>99.0.00.70159</w:t>
            </w:r>
          </w:p>
        </w:tc>
        <w:tc>
          <w:tcPr>
            <w:tcW w:w="850" w:type="dxa"/>
            <w:tcBorders>
              <w:top w:val="nil"/>
              <w:left w:val="single" w:sz="4" w:space="0" w:color="auto"/>
              <w:bottom w:val="single" w:sz="4" w:space="0" w:color="auto"/>
              <w:right w:val="nil"/>
            </w:tcBorders>
            <w:shd w:val="clear" w:color="auto" w:fill="auto"/>
            <w:noWrap/>
            <w:vAlign w:val="center"/>
            <w:hideMark/>
          </w:tcPr>
          <w:p w14:paraId="0894A77E" w14:textId="77777777" w:rsidR="00387142" w:rsidRPr="008B6A75" w:rsidRDefault="00387142" w:rsidP="00387142">
            <w:pPr>
              <w:jc w:val="center"/>
              <w:rPr>
                <w:sz w:val="20"/>
                <w:szCs w:val="20"/>
              </w:rPr>
            </w:pPr>
            <w:r w:rsidRPr="008B6A75">
              <w:rPr>
                <w:sz w:val="20"/>
                <w:szCs w:val="20"/>
              </w:rPr>
              <w:t>100</w:t>
            </w:r>
          </w:p>
        </w:tc>
        <w:tc>
          <w:tcPr>
            <w:tcW w:w="567" w:type="dxa"/>
            <w:tcBorders>
              <w:top w:val="nil"/>
              <w:left w:val="single" w:sz="4" w:space="0" w:color="auto"/>
              <w:bottom w:val="single" w:sz="4" w:space="0" w:color="auto"/>
              <w:right w:val="nil"/>
            </w:tcBorders>
            <w:shd w:val="clear" w:color="auto" w:fill="auto"/>
            <w:noWrap/>
            <w:vAlign w:val="center"/>
            <w:hideMark/>
          </w:tcPr>
          <w:p w14:paraId="49EA353C" w14:textId="77777777" w:rsidR="00387142" w:rsidRPr="008B6A75" w:rsidRDefault="00387142" w:rsidP="00387142">
            <w:pPr>
              <w:jc w:val="center"/>
              <w:rPr>
                <w:sz w:val="20"/>
                <w:szCs w:val="20"/>
              </w:rPr>
            </w:pPr>
            <w:r w:rsidRPr="008B6A75">
              <w:rPr>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39091BEF" w14:textId="77777777" w:rsidR="00387142" w:rsidRPr="008B6A75" w:rsidRDefault="00387142" w:rsidP="00387142">
            <w:pPr>
              <w:jc w:val="center"/>
              <w:rPr>
                <w:sz w:val="20"/>
                <w:szCs w:val="20"/>
              </w:rPr>
            </w:pPr>
            <w:r w:rsidRPr="008B6A75">
              <w:rPr>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D817133" w14:textId="77777777" w:rsidR="00387142" w:rsidRPr="008B6A75" w:rsidRDefault="00387142" w:rsidP="00387142">
            <w:pPr>
              <w:jc w:val="right"/>
              <w:rPr>
                <w:sz w:val="20"/>
                <w:szCs w:val="20"/>
              </w:rPr>
            </w:pPr>
            <w:r w:rsidRPr="008B6A75">
              <w:rPr>
                <w:sz w:val="20"/>
                <w:szCs w:val="20"/>
              </w:rPr>
              <w:t>1 491 418,60</w:t>
            </w:r>
          </w:p>
        </w:tc>
        <w:tc>
          <w:tcPr>
            <w:tcW w:w="851" w:type="dxa"/>
            <w:tcBorders>
              <w:top w:val="nil"/>
              <w:left w:val="single" w:sz="4" w:space="0" w:color="auto"/>
              <w:bottom w:val="single" w:sz="4" w:space="0" w:color="auto"/>
              <w:right w:val="nil"/>
            </w:tcBorders>
            <w:shd w:val="clear" w:color="auto" w:fill="auto"/>
            <w:noWrap/>
            <w:vAlign w:val="center"/>
            <w:hideMark/>
          </w:tcPr>
          <w:p w14:paraId="59E06F0B" w14:textId="77777777" w:rsidR="00387142" w:rsidRPr="008B6A75" w:rsidRDefault="00387142" w:rsidP="00387142">
            <w:pPr>
              <w:jc w:val="right"/>
              <w:rPr>
                <w:sz w:val="20"/>
                <w:szCs w:val="20"/>
              </w:rPr>
            </w:pPr>
            <w:r w:rsidRPr="008B6A75">
              <w:rPr>
                <w:sz w:val="20"/>
                <w:szCs w:val="20"/>
              </w:rPr>
              <w:t>1 447 959,18</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1210D7B5" w14:textId="77777777" w:rsidR="00387142" w:rsidRPr="008B6A75" w:rsidRDefault="00387142" w:rsidP="00387142">
            <w:pPr>
              <w:jc w:val="right"/>
              <w:rPr>
                <w:sz w:val="20"/>
                <w:szCs w:val="20"/>
              </w:rPr>
            </w:pPr>
            <w:r w:rsidRPr="008B6A75">
              <w:rPr>
                <w:sz w:val="20"/>
                <w:szCs w:val="20"/>
              </w:rPr>
              <w:t>1 491 606,35</w:t>
            </w:r>
          </w:p>
        </w:tc>
      </w:tr>
      <w:tr w:rsidR="00387142" w:rsidRPr="008B6A75" w14:paraId="059700DB" w14:textId="77777777" w:rsidTr="00387142">
        <w:trPr>
          <w:trHeight w:val="585"/>
        </w:trPr>
        <w:tc>
          <w:tcPr>
            <w:tcW w:w="272" w:type="dxa"/>
            <w:tcBorders>
              <w:top w:val="nil"/>
              <w:left w:val="nil"/>
              <w:bottom w:val="nil"/>
              <w:right w:val="single" w:sz="4" w:space="0" w:color="auto"/>
            </w:tcBorders>
            <w:shd w:val="clear" w:color="auto" w:fill="auto"/>
            <w:noWrap/>
            <w:vAlign w:val="bottom"/>
            <w:hideMark/>
          </w:tcPr>
          <w:p w14:paraId="6C3CF7CA"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79FAE6F5" w14:textId="77777777" w:rsidR="00387142" w:rsidRPr="008B6A75" w:rsidRDefault="00387142" w:rsidP="00387142">
            <w:pPr>
              <w:rPr>
                <w:sz w:val="20"/>
                <w:szCs w:val="20"/>
              </w:rPr>
            </w:pPr>
            <w:r w:rsidRPr="008B6A75">
              <w:rPr>
                <w:sz w:val="20"/>
                <w:szCs w:val="20"/>
              </w:rPr>
              <w:t>Расходы на выплаты персоналу государственных (муниципальных) органов</w:t>
            </w:r>
          </w:p>
        </w:tc>
        <w:tc>
          <w:tcPr>
            <w:tcW w:w="1559" w:type="dxa"/>
            <w:tcBorders>
              <w:top w:val="nil"/>
              <w:left w:val="single" w:sz="4" w:space="0" w:color="auto"/>
              <w:bottom w:val="single" w:sz="4" w:space="0" w:color="auto"/>
              <w:right w:val="nil"/>
            </w:tcBorders>
            <w:shd w:val="clear" w:color="auto" w:fill="auto"/>
            <w:noWrap/>
            <w:vAlign w:val="center"/>
            <w:hideMark/>
          </w:tcPr>
          <w:p w14:paraId="297B3878" w14:textId="77777777" w:rsidR="00387142" w:rsidRPr="008B6A75" w:rsidRDefault="00387142" w:rsidP="00387142">
            <w:pPr>
              <w:jc w:val="center"/>
              <w:rPr>
                <w:sz w:val="20"/>
                <w:szCs w:val="20"/>
              </w:rPr>
            </w:pPr>
            <w:r w:rsidRPr="008B6A75">
              <w:rPr>
                <w:sz w:val="20"/>
                <w:szCs w:val="20"/>
              </w:rPr>
              <w:t>99.0.00.70159</w:t>
            </w:r>
          </w:p>
        </w:tc>
        <w:tc>
          <w:tcPr>
            <w:tcW w:w="850" w:type="dxa"/>
            <w:tcBorders>
              <w:top w:val="nil"/>
              <w:left w:val="single" w:sz="4" w:space="0" w:color="auto"/>
              <w:bottom w:val="single" w:sz="4" w:space="0" w:color="auto"/>
              <w:right w:val="nil"/>
            </w:tcBorders>
            <w:shd w:val="clear" w:color="auto" w:fill="auto"/>
            <w:noWrap/>
            <w:vAlign w:val="center"/>
            <w:hideMark/>
          </w:tcPr>
          <w:p w14:paraId="773229FC" w14:textId="77777777" w:rsidR="00387142" w:rsidRPr="008B6A75" w:rsidRDefault="00387142" w:rsidP="00387142">
            <w:pPr>
              <w:jc w:val="center"/>
              <w:rPr>
                <w:sz w:val="20"/>
                <w:szCs w:val="20"/>
              </w:rPr>
            </w:pPr>
            <w:r w:rsidRPr="008B6A75">
              <w:rPr>
                <w:sz w:val="20"/>
                <w:szCs w:val="20"/>
              </w:rPr>
              <w:t>120</w:t>
            </w:r>
          </w:p>
        </w:tc>
        <w:tc>
          <w:tcPr>
            <w:tcW w:w="567" w:type="dxa"/>
            <w:tcBorders>
              <w:top w:val="nil"/>
              <w:left w:val="single" w:sz="4" w:space="0" w:color="auto"/>
              <w:bottom w:val="single" w:sz="4" w:space="0" w:color="auto"/>
              <w:right w:val="nil"/>
            </w:tcBorders>
            <w:shd w:val="clear" w:color="auto" w:fill="auto"/>
            <w:noWrap/>
            <w:vAlign w:val="center"/>
            <w:hideMark/>
          </w:tcPr>
          <w:p w14:paraId="5A8192F2" w14:textId="77777777" w:rsidR="00387142" w:rsidRPr="008B6A75" w:rsidRDefault="00387142" w:rsidP="00387142">
            <w:pPr>
              <w:jc w:val="center"/>
              <w:rPr>
                <w:sz w:val="20"/>
                <w:szCs w:val="20"/>
              </w:rPr>
            </w:pPr>
            <w:r w:rsidRPr="008B6A75">
              <w:rPr>
                <w:sz w:val="20"/>
                <w:szCs w:val="20"/>
              </w:rPr>
              <w:t>01</w:t>
            </w:r>
          </w:p>
        </w:tc>
        <w:tc>
          <w:tcPr>
            <w:tcW w:w="567" w:type="dxa"/>
            <w:tcBorders>
              <w:top w:val="nil"/>
              <w:left w:val="single" w:sz="4" w:space="0" w:color="auto"/>
              <w:bottom w:val="single" w:sz="4" w:space="0" w:color="auto"/>
              <w:right w:val="nil"/>
            </w:tcBorders>
            <w:shd w:val="clear" w:color="auto" w:fill="auto"/>
            <w:noWrap/>
            <w:vAlign w:val="center"/>
            <w:hideMark/>
          </w:tcPr>
          <w:p w14:paraId="37EF250E" w14:textId="77777777" w:rsidR="00387142" w:rsidRPr="008B6A75" w:rsidRDefault="00387142" w:rsidP="00387142">
            <w:pPr>
              <w:jc w:val="center"/>
              <w:rPr>
                <w:sz w:val="20"/>
                <w:szCs w:val="20"/>
              </w:rPr>
            </w:pPr>
            <w:r w:rsidRPr="008B6A75">
              <w:rPr>
                <w:sz w:val="20"/>
                <w:szCs w:val="20"/>
              </w:rPr>
              <w:t>04</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C6D6D70" w14:textId="77777777" w:rsidR="00387142" w:rsidRPr="008B6A75" w:rsidRDefault="00387142" w:rsidP="00387142">
            <w:pPr>
              <w:jc w:val="right"/>
              <w:rPr>
                <w:sz w:val="20"/>
                <w:szCs w:val="20"/>
              </w:rPr>
            </w:pPr>
            <w:r w:rsidRPr="008B6A75">
              <w:rPr>
                <w:sz w:val="20"/>
                <w:szCs w:val="20"/>
              </w:rPr>
              <w:t>1 491 418,60</w:t>
            </w:r>
          </w:p>
        </w:tc>
        <w:tc>
          <w:tcPr>
            <w:tcW w:w="851" w:type="dxa"/>
            <w:tcBorders>
              <w:top w:val="nil"/>
              <w:left w:val="single" w:sz="4" w:space="0" w:color="auto"/>
              <w:bottom w:val="single" w:sz="4" w:space="0" w:color="auto"/>
              <w:right w:val="nil"/>
            </w:tcBorders>
            <w:shd w:val="clear" w:color="auto" w:fill="auto"/>
            <w:noWrap/>
            <w:vAlign w:val="center"/>
            <w:hideMark/>
          </w:tcPr>
          <w:p w14:paraId="3D0C5C58" w14:textId="77777777" w:rsidR="00387142" w:rsidRPr="008B6A75" w:rsidRDefault="00387142" w:rsidP="00387142">
            <w:pPr>
              <w:jc w:val="right"/>
              <w:rPr>
                <w:sz w:val="20"/>
                <w:szCs w:val="20"/>
              </w:rPr>
            </w:pPr>
            <w:r w:rsidRPr="008B6A75">
              <w:rPr>
                <w:sz w:val="20"/>
                <w:szCs w:val="20"/>
              </w:rPr>
              <w:t>1 447 959,18</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1E3F8326" w14:textId="77777777" w:rsidR="00387142" w:rsidRPr="008B6A75" w:rsidRDefault="00387142" w:rsidP="00387142">
            <w:pPr>
              <w:jc w:val="right"/>
              <w:rPr>
                <w:sz w:val="20"/>
                <w:szCs w:val="20"/>
              </w:rPr>
            </w:pPr>
            <w:r w:rsidRPr="008B6A75">
              <w:rPr>
                <w:sz w:val="20"/>
                <w:szCs w:val="20"/>
              </w:rPr>
              <w:t>1 491 606,35</w:t>
            </w:r>
          </w:p>
        </w:tc>
      </w:tr>
      <w:tr w:rsidR="00387142" w:rsidRPr="008B6A75" w14:paraId="1CF8390F" w14:textId="77777777" w:rsidTr="00387142">
        <w:trPr>
          <w:trHeight w:val="585"/>
        </w:trPr>
        <w:tc>
          <w:tcPr>
            <w:tcW w:w="272" w:type="dxa"/>
            <w:tcBorders>
              <w:top w:val="nil"/>
              <w:left w:val="nil"/>
              <w:bottom w:val="nil"/>
              <w:right w:val="single" w:sz="4" w:space="0" w:color="auto"/>
            </w:tcBorders>
            <w:shd w:val="clear" w:color="auto" w:fill="auto"/>
            <w:noWrap/>
            <w:vAlign w:val="bottom"/>
            <w:hideMark/>
          </w:tcPr>
          <w:p w14:paraId="0D087FF1"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1A2104BD" w14:textId="77777777" w:rsidR="00387142" w:rsidRPr="008B6A75" w:rsidRDefault="00387142" w:rsidP="00387142">
            <w:pPr>
              <w:rPr>
                <w:sz w:val="20"/>
                <w:szCs w:val="20"/>
              </w:rPr>
            </w:pPr>
            <w:r w:rsidRPr="008B6A75">
              <w:rPr>
                <w:sz w:val="20"/>
                <w:szCs w:val="20"/>
              </w:rPr>
              <w:t>Закупка товаров, работ и услуг для обеспечения государственных (муниципальных) нужд</w:t>
            </w:r>
          </w:p>
        </w:tc>
        <w:tc>
          <w:tcPr>
            <w:tcW w:w="1559" w:type="dxa"/>
            <w:tcBorders>
              <w:top w:val="nil"/>
              <w:left w:val="single" w:sz="4" w:space="0" w:color="auto"/>
              <w:bottom w:val="single" w:sz="4" w:space="0" w:color="auto"/>
              <w:right w:val="nil"/>
            </w:tcBorders>
            <w:shd w:val="clear" w:color="auto" w:fill="auto"/>
            <w:noWrap/>
            <w:vAlign w:val="center"/>
            <w:hideMark/>
          </w:tcPr>
          <w:p w14:paraId="7FBF855F" w14:textId="77777777" w:rsidR="00387142" w:rsidRPr="008B6A75" w:rsidRDefault="00387142" w:rsidP="00387142">
            <w:pPr>
              <w:jc w:val="center"/>
              <w:rPr>
                <w:sz w:val="20"/>
                <w:szCs w:val="20"/>
              </w:rPr>
            </w:pPr>
            <w:r w:rsidRPr="008B6A75">
              <w:rPr>
                <w:sz w:val="20"/>
                <w:szCs w:val="20"/>
              </w:rPr>
              <w:t>99.0.00.70159</w:t>
            </w:r>
          </w:p>
        </w:tc>
        <w:tc>
          <w:tcPr>
            <w:tcW w:w="850" w:type="dxa"/>
            <w:tcBorders>
              <w:top w:val="nil"/>
              <w:left w:val="single" w:sz="4" w:space="0" w:color="auto"/>
              <w:bottom w:val="single" w:sz="4" w:space="0" w:color="auto"/>
              <w:right w:val="nil"/>
            </w:tcBorders>
            <w:shd w:val="clear" w:color="auto" w:fill="auto"/>
            <w:noWrap/>
            <w:vAlign w:val="center"/>
            <w:hideMark/>
          </w:tcPr>
          <w:p w14:paraId="716C8EFC" w14:textId="77777777" w:rsidR="00387142" w:rsidRPr="008B6A75" w:rsidRDefault="00387142" w:rsidP="00387142">
            <w:pPr>
              <w:jc w:val="center"/>
              <w:rPr>
                <w:sz w:val="20"/>
                <w:szCs w:val="20"/>
              </w:rPr>
            </w:pPr>
            <w:r w:rsidRPr="008B6A75">
              <w:rPr>
                <w:sz w:val="20"/>
                <w:szCs w:val="20"/>
              </w:rPr>
              <w:t>200</w:t>
            </w:r>
          </w:p>
        </w:tc>
        <w:tc>
          <w:tcPr>
            <w:tcW w:w="567" w:type="dxa"/>
            <w:tcBorders>
              <w:top w:val="nil"/>
              <w:left w:val="single" w:sz="4" w:space="0" w:color="auto"/>
              <w:bottom w:val="single" w:sz="4" w:space="0" w:color="auto"/>
              <w:right w:val="nil"/>
            </w:tcBorders>
            <w:shd w:val="clear" w:color="auto" w:fill="auto"/>
            <w:noWrap/>
            <w:vAlign w:val="center"/>
            <w:hideMark/>
          </w:tcPr>
          <w:p w14:paraId="6CB654F4" w14:textId="77777777" w:rsidR="00387142" w:rsidRPr="008B6A75" w:rsidRDefault="00387142" w:rsidP="00387142">
            <w:pPr>
              <w:jc w:val="center"/>
              <w:rPr>
                <w:sz w:val="20"/>
                <w:szCs w:val="20"/>
              </w:rPr>
            </w:pPr>
            <w:r w:rsidRPr="008B6A75">
              <w:rPr>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29E5F4C6" w14:textId="77777777" w:rsidR="00387142" w:rsidRPr="008B6A75" w:rsidRDefault="00387142" w:rsidP="00387142">
            <w:pPr>
              <w:jc w:val="center"/>
              <w:rPr>
                <w:sz w:val="20"/>
                <w:szCs w:val="20"/>
              </w:rPr>
            </w:pPr>
            <w:r w:rsidRPr="008B6A75">
              <w:rPr>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5EC2B90" w14:textId="77777777" w:rsidR="00387142" w:rsidRPr="008B6A75" w:rsidRDefault="00387142" w:rsidP="00387142">
            <w:pPr>
              <w:jc w:val="right"/>
              <w:rPr>
                <w:sz w:val="20"/>
                <w:szCs w:val="20"/>
              </w:rPr>
            </w:pPr>
            <w:r w:rsidRPr="008B6A75">
              <w:rPr>
                <w:sz w:val="20"/>
                <w:szCs w:val="20"/>
              </w:rPr>
              <w:t>710 906,40</w:t>
            </w:r>
          </w:p>
        </w:tc>
        <w:tc>
          <w:tcPr>
            <w:tcW w:w="851" w:type="dxa"/>
            <w:tcBorders>
              <w:top w:val="nil"/>
              <w:left w:val="single" w:sz="4" w:space="0" w:color="auto"/>
              <w:bottom w:val="single" w:sz="4" w:space="0" w:color="auto"/>
              <w:right w:val="nil"/>
            </w:tcBorders>
            <w:shd w:val="clear" w:color="auto" w:fill="auto"/>
            <w:noWrap/>
            <w:vAlign w:val="center"/>
            <w:hideMark/>
          </w:tcPr>
          <w:p w14:paraId="00503923" w14:textId="77777777" w:rsidR="00387142" w:rsidRPr="008B6A75" w:rsidRDefault="00387142" w:rsidP="00387142">
            <w:pPr>
              <w:jc w:val="right"/>
              <w:rPr>
                <w:sz w:val="20"/>
                <w:szCs w:val="20"/>
              </w:rPr>
            </w:pPr>
            <w:r w:rsidRPr="008B6A75">
              <w:rPr>
                <w:sz w:val="20"/>
                <w:szCs w:val="20"/>
              </w:rPr>
              <w:t>692 065,82</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20ACB714" w14:textId="77777777" w:rsidR="00387142" w:rsidRPr="008B6A75" w:rsidRDefault="00387142" w:rsidP="00387142">
            <w:pPr>
              <w:jc w:val="right"/>
              <w:rPr>
                <w:sz w:val="20"/>
                <w:szCs w:val="20"/>
              </w:rPr>
            </w:pPr>
            <w:r w:rsidRPr="008B6A75">
              <w:rPr>
                <w:sz w:val="20"/>
                <w:szCs w:val="20"/>
              </w:rPr>
              <w:t>729 168,65</w:t>
            </w:r>
          </w:p>
        </w:tc>
      </w:tr>
      <w:tr w:rsidR="00387142" w:rsidRPr="008B6A75" w14:paraId="50CC42F9" w14:textId="77777777" w:rsidTr="00387142">
        <w:trPr>
          <w:trHeight w:val="870"/>
        </w:trPr>
        <w:tc>
          <w:tcPr>
            <w:tcW w:w="272" w:type="dxa"/>
            <w:tcBorders>
              <w:top w:val="nil"/>
              <w:left w:val="nil"/>
              <w:bottom w:val="nil"/>
              <w:right w:val="single" w:sz="4" w:space="0" w:color="auto"/>
            </w:tcBorders>
            <w:shd w:val="clear" w:color="auto" w:fill="auto"/>
            <w:noWrap/>
            <w:vAlign w:val="bottom"/>
            <w:hideMark/>
          </w:tcPr>
          <w:p w14:paraId="79B1BE8D"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32E819B7" w14:textId="77777777" w:rsidR="00387142" w:rsidRPr="008B6A75" w:rsidRDefault="00387142" w:rsidP="00387142">
            <w:pPr>
              <w:rPr>
                <w:sz w:val="20"/>
                <w:szCs w:val="20"/>
              </w:rPr>
            </w:pPr>
            <w:r w:rsidRPr="008B6A75">
              <w:rPr>
                <w:sz w:val="20"/>
                <w:szCs w:val="20"/>
              </w:rPr>
              <w:t>Иные закупки товаров, работ и услуг для обеспечения государственных (муниципальных) нужд</w:t>
            </w:r>
          </w:p>
        </w:tc>
        <w:tc>
          <w:tcPr>
            <w:tcW w:w="1559" w:type="dxa"/>
            <w:tcBorders>
              <w:top w:val="nil"/>
              <w:left w:val="single" w:sz="4" w:space="0" w:color="auto"/>
              <w:bottom w:val="single" w:sz="4" w:space="0" w:color="auto"/>
              <w:right w:val="nil"/>
            </w:tcBorders>
            <w:shd w:val="clear" w:color="auto" w:fill="auto"/>
            <w:noWrap/>
            <w:vAlign w:val="center"/>
            <w:hideMark/>
          </w:tcPr>
          <w:p w14:paraId="0D2F49F1" w14:textId="77777777" w:rsidR="00387142" w:rsidRPr="008B6A75" w:rsidRDefault="00387142" w:rsidP="00387142">
            <w:pPr>
              <w:jc w:val="center"/>
              <w:rPr>
                <w:sz w:val="20"/>
                <w:szCs w:val="20"/>
              </w:rPr>
            </w:pPr>
            <w:r w:rsidRPr="008B6A75">
              <w:rPr>
                <w:sz w:val="20"/>
                <w:szCs w:val="20"/>
              </w:rPr>
              <w:t>99.0.00.70159</w:t>
            </w:r>
          </w:p>
        </w:tc>
        <w:tc>
          <w:tcPr>
            <w:tcW w:w="850" w:type="dxa"/>
            <w:tcBorders>
              <w:top w:val="nil"/>
              <w:left w:val="single" w:sz="4" w:space="0" w:color="auto"/>
              <w:bottom w:val="single" w:sz="4" w:space="0" w:color="auto"/>
              <w:right w:val="nil"/>
            </w:tcBorders>
            <w:shd w:val="clear" w:color="auto" w:fill="auto"/>
            <w:noWrap/>
            <w:vAlign w:val="center"/>
            <w:hideMark/>
          </w:tcPr>
          <w:p w14:paraId="6A344876" w14:textId="77777777" w:rsidR="00387142" w:rsidRPr="008B6A75" w:rsidRDefault="00387142" w:rsidP="00387142">
            <w:pPr>
              <w:jc w:val="center"/>
              <w:rPr>
                <w:sz w:val="20"/>
                <w:szCs w:val="20"/>
              </w:rPr>
            </w:pPr>
            <w:r w:rsidRPr="008B6A75">
              <w:rPr>
                <w:sz w:val="20"/>
                <w:szCs w:val="20"/>
              </w:rPr>
              <w:t>240</w:t>
            </w:r>
          </w:p>
        </w:tc>
        <w:tc>
          <w:tcPr>
            <w:tcW w:w="567" w:type="dxa"/>
            <w:tcBorders>
              <w:top w:val="nil"/>
              <w:left w:val="single" w:sz="4" w:space="0" w:color="auto"/>
              <w:bottom w:val="single" w:sz="4" w:space="0" w:color="auto"/>
              <w:right w:val="nil"/>
            </w:tcBorders>
            <w:shd w:val="clear" w:color="auto" w:fill="auto"/>
            <w:noWrap/>
            <w:vAlign w:val="center"/>
            <w:hideMark/>
          </w:tcPr>
          <w:p w14:paraId="72CCD39F" w14:textId="77777777" w:rsidR="00387142" w:rsidRPr="008B6A75" w:rsidRDefault="00387142" w:rsidP="00387142">
            <w:pPr>
              <w:jc w:val="center"/>
              <w:rPr>
                <w:sz w:val="20"/>
                <w:szCs w:val="20"/>
              </w:rPr>
            </w:pPr>
            <w:r w:rsidRPr="008B6A75">
              <w:rPr>
                <w:sz w:val="20"/>
                <w:szCs w:val="20"/>
              </w:rPr>
              <w:t>01</w:t>
            </w:r>
          </w:p>
        </w:tc>
        <w:tc>
          <w:tcPr>
            <w:tcW w:w="567" w:type="dxa"/>
            <w:tcBorders>
              <w:top w:val="nil"/>
              <w:left w:val="single" w:sz="4" w:space="0" w:color="auto"/>
              <w:bottom w:val="single" w:sz="4" w:space="0" w:color="auto"/>
              <w:right w:val="nil"/>
            </w:tcBorders>
            <w:shd w:val="clear" w:color="auto" w:fill="auto"/>
            <w:noWrap/>
            <w:vAlign w:val="center"/>
            <w:hideMark/>
          </w:tcPr>
          <w:p w14:paraId="36DF6529" w14:textId="77777777" w:rsidR="00387142" w:rsidRPr="008B6A75" w:rsidRDefault="00387142" w:rsidP="00387142">
            <w:pPr>
              <w:jc w:val="center"/>
              <w:rPr>
                <w:sz w:val="20"/>
                <w:szCs w:val="20"/>
              </w:rPr>
            </w:pPr>
            <w:r w:rsidRPr="008B6A75">
              <w:rPr>
                <w:sz w:val="20"/>
                <w:szCs w:val="20"/>
              </w:rPr>
              <w:t>04</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338AD0A" w14:textId="77777777" w:rsidR="00387142" w:rsidRPr="008B6A75" w:rsidRDefault="00387142" w:rsidP="00387142">
            <w:pPr>
              <w:jc w:val="right"/>
              <w:rPr>
                <w:sz w:val="20"/>
                <w:szCs w:val="20"/>
              </w:rPr>
            </w:pPr>
            <w:r w:rsidRPr="008B6A75">
              <w:rPr>
                <w:sz w:val="20"/>
                <w:szCs w:val="20"/>
              </w:rPr>
              <w:t>710 906,40</w:t>
            </w:r>
          </w:p>
        </w:tc>
        <w:tc>
          <w:tcPr>
            <w:tcW w:w="851" w:type="dxa"/>
            <w:tcBorders>
              <w:top w:val="nil"/>
              <w:left w:val="single" w:sz="4" w:space="0" w:color="auto"/>
              <w:bottom w:val="single" w:sz="4" w:space="0" w:color="auto"/>
              <w:right w:val="nil"/>
            </w:tcBorders>
            <w:shd w:val="clear" w:color="auto" w:fill="auto"/>
            <w:noWrap/>
            <w:vAlign w:val="center"/>
            <w:hideMark/>
          </w:tcPr>
          <w:p w14:paraId="205315A0" w14:textId="77777777" w:rsidR="00387142" w:rsidRPr="008B6A75" w:rsidRDefault="00387142" w:rsidP="00387142">
            <w:pPr>
              <w:jc w:val="right"/>
              <w:rPr>
                <w:sz w:val="20"/>
                <w:szCs w:val="20"/>
              </w:rPr>
            </w:pPr>
            <w:r w:rsidRPr="008B6A75">
              <w:rPr>
                <w:sz w:val="20"/>
                <w:szCs w:val="20"/>
              </w:rPr>
              <w:t>692 065,82</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2E716F6C" w14:textId="77777777" w:rsidR="00387142" w:rsidRPr="008B6A75" w:rsidRDefault="00387142" w:rsidP="00387142">
            <w:pPr>
              <w:jc w:val="right"/>
              <w:rPr>
                <w:sz w:val="20"/>
                <w:szCs w:val="20"/>
              </w:rPr>
            </w:pPr>
            <w:r w:rsidRPr="008B6A75">
              <w:rPr>
                <w:sz w:val="20"/>
                <w:szCs w:val="20"/>
              </w:rPr>
              <w:t>729 168,65</w:t>
            </w:r>
          </w:p>
        </w:tc>
      </w:tr>
      <w:tr w:rsidR="00387142" w:rsidRPr="008B6A75" w14:paraId="769275F0" w14:textId="77777777" w:rsidTr="00387142">
        <w:trPr>
          <w:trHeight w:val="870"/>
        </w:trPr>
        <w:tc>
          <w:tcPr>
            <w:tcW w:w="272" w:type="dxa"/>
            <w:tcBorders>
              <w:top w:val="nil"/>
              <w:left w:val="nil"/>
              <w:bottom w:val="nil"/>
              <w:right w:val="single" w:sz="4" w:space="0" w:color="auto"/>
            </w:tcBorders>
            <w:shd w:val="clear" w:color="auto" w:fill="auto"/>
            <w:noWrap/>
            <w:vAlign w:val="bottom"/>
            <w:hideMark/>
          </w:tcPr>
          <w:p w14:paraId="473221E6"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694B4D6B" w14:textId="77777777" w:rsidR="00387142" w:rsidRPr="008B6A75" w:rsidRDefault="00387142" w:rsidP="00387142">
            <w:pPr>
              <w:rPr>
                <w:bCs/>
                <w:sz w:val="20"/>
                <w:szCs w:val="20"/>
              </w:rPr>
            </w:pPr>
            <w:r w:rsidRPr="008B6A75">
              <w:rPr>
                <w:bCs/>
                <w:sz w:val="20"/>
                <w:szCs w:val="20"/>
              </w:rPr>
              <w:t>Организация мероприятий при осуществлении деятельности по обращению с животными без владельцев</w:t>
            </w:r>
          </w:p>
        </w:tc>
        <w:tc>
          <w:tcPr>
            <w:tcW w:w="1559" w:type="dxa"/>
            <w:tcBorders>
              <w:top w:val="nil"/>
              <w:left w:val="single" w:sz="4" w:space="0" w:color="auto"/>
              <w:bottom w:val="single" w:sz="4" w:space="0" w:color="auto"/>
              <w:right w:val="nil"/>
            </w:tcBorders>
            <w:shd w:val="clear" w:color="auto" w:fill="auto"/>
            <w:noWrap/>
            <w:vAlign w:val="center"/>
            <w:hideMark/>
          </w:tcPr>
          <w:p w14:paraId="08E5EC0C" w14:textId="77777777" w:rsidR="00387142" w:rsidRPr="008B6A75" w:rsidRDefault="00387142" w:rsidP="00387142">
            <w:pPr>
              <w:jc w:val="center"/>
              <w:rPr>
                <w:bCs/>
                <w:sz w:val="20"/>
                <w:szCs w:val="20"/>
              </w:rPr>
            </w:pPr>
            <w:r w:rsidRPr="008B6A75">
              <w:rPr>
                <w:bCs/>
                <w:sz w:val="20"/>
                <w:szCs w:val="20"/>
              </w:rPr>
              <w:t>99.0.00.70160</w:t>
            </w:r>
          </w:p>
        </w:tc>
        <w:tc>
          <w:tcPr>
            <w:tcW w:w="850" w:type="dxa"/>
            <w:tcBorders>
              <w:top w:val="nil"/>
              <w:left w:val="single" w:sz="4" w:space="0" w:color="auto"/>
              <w:bottom w:val="single" w:sz="4" w:space="0" w:color="auto"/>
              <w:right w:val="nil"/>
            </w:tcBorders>
            <w:shd w:val="clear" w:color="auto" w:fill="auto"/>
            <w:noWrap/>
            <w:vAlign w:val="center"/>
            <w:hideMark/>
          </w:tcPr>
          <w:p w14:paraId="779D4A98" w14:textId="77777777" w:rsidR="00387142" w:rsidRPr="008B6A75" w:rsidRDefault="00387142" w:rsidP="00387142">
            <w:pPr>
              <w:jc w:val="center"/>
              <w:rPr>
                <w:bCs/>
                <w:sz w:val="20"/>
                <w:szCs w:val="20"/>
              </w:rPr>
            </w:pPr>
            <w:r w:rsidRPr="008B6A75">
              <w:rPr>
                <w:bCs/>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684398EF" w14:textId="77777777" w:rsidR="00387142" w:rsidRPr="008B6A75" w:rsidRDefault="00387142" w:rsidP="00387142">
            <w:pPr>
              <w:jc w:val="center"/>
              <w:rPr>
                <w:bCs/>
                <w:sz w:val="20"/>
                <w:szCs w:val="20"/>
              </w:rPr>
            </w:pPr>
            <w:r w:rsidRPr="008B6A75">
              <w:rPr>
                <w:bCs/>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044F0270" w14:textId="77777777" w:rsidR="00387142" w:rsidRPr="008B6A75" w:rsidRDefault="00387142" w:rsidP="00387142">
            <w:pPr>
              <w:jc w:val="center"/>
              <w:rPr>
                <w:bCs/>
                <w:sz w:val="20"/>
                <w:szCs w:val="20"/>
              </w:rPr>
            </w:pPr>
            <w:r w:rsidRPr="008B6A75">
              <w:rPr>
                <w:bCs/>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61D2E98" w14:textId="77777777" w:rsidR="00387142" w:rsidRPr="008B6A75" w:rsidRDefault="00387142" w:rsidP="00387142">
            <w:pPr>
              <w:jc w:val="right"/>
              <w:rPr>
                <w:bCs/>
                <w:sz w:val="20"/>
                <w:szCs w:val="20"/>
              </w:rPr>
            </w:pPr>
            <w:r w:rsidRPr="008B6A75">
              <w:rPr>
                <w:bCs/>
                <w:sz w:val="20"/>
                <w:szCs w:val="20"/>
              </w:rPr>
              <w:t>728 300,00</w:t>
            </w:r>
          </w:p>
        </w:tc>
        <w:tc>
          <w:tcPr>
            <w:tcW w:w="851" w:type="dxa"/>
            <w:tcBorders>
              <w:top w:val="nil"/>
              <w:left w:val="single" w:sz="4" w:space="0" w:color="auto"/>
              <w:bottom w:val="single" w:sz="4" w:space="0" w:color="auto"/>
              <w:right w:val="nil"/>
            </w:tcBorders>
            <w:shd w:val="clear" w:color="auto" w:fill="auto"/>
            <w:noWrap/>
            <w:vAlign w:val="center"/>
            <w:hideMark/>
          </w:tcPr>
          <w:p w14:paraId="089167FF" w14:textId="77777777" w:rsidR="00387142" w:rsidRPr="008B6A75" w:rsidRDefault="00387142" w:rsidP="00387142">
            <w:pPr>
              <w:jc w:val="right"/>
              <w:rPr>
                <w:bCs/>
                <w:sz w:val="20"/>
                <w:szCs w:val="20"/>
              </w:rPr>
            </w:pPr>
            <w:r w:rsidRPr="008B6A75">
              <w:rPr>
                <w:bCs/>
                <w:sz w:val="20"/>
                <w:szCs w:val="20"/>
              </w:rPr>
              <w:t>728 300,00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4D4F4EE5" w14:textId="77777777" w:rsidR="00387142" w:rsidRPr="008B6A75" w:rsidRDefault="00387142" w:rsidP="00387142">
            <w:pPr>
              <w:jc w:val="right"/>
              <w:rPr>
                <w:bCs/>
                <w:sz w:val="20"/>
                <w:szCs w:val="20"/>
              </w:rPr>
            </w:pPr>
            <w:r w:rsidRPr="008B6A75">
              <w:rPr>
                <w:bCs/>
                <w:sz w:val="20"/>
                <w:szCs w:val="20"/>
              </w:rPr>
              <w:t>728 300,00</w:t>
            </w:r>
          </w:p>
        </w:tc>
      </w:tr>
      <w:tr w:rsidR="00387142" w:rsidRPr="008B6A75" w14:paraId="46DB588A" w14:textId="77777777" w:rsidTr="00387142">
        <w:trPr>
          <w:trHeight w:val="585"/>
        </w:trPr>
        <w:tc>
          <w:tcPr>
            <w:tcW w:w="272" w:type="dxa"/>
            <w:tcBorders>
              <w:top w:val="nil"/>
              <w:left w:val="nil"/>
              <w:bottom w:val="nil"/>
              <w:right w:val="single" w:sz="4" w:space="0" w:color="auto"/>
            </w:tcBorders>
            <w:shd w:val="clear" w:color="auto" w:fill="auto"/>
            <w:noWrap/>
            <w:vAlign w:val="bottom"/>
            <w:hideMark/>
          </w:tcPr>
          <w:p w14:paraId="6BC374B7"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44618C7D" w14:textId="77777777" w:rsidR="00387142" w:rsidRPr="008B6A75" w:rsidRDefault="00387142" w:rsidP="00387142">
            <w:pPr>
              <w:rPr>
                <w:sz w:val="20"/>
                <w:szCs w:val="20"/>
              </w:rPr>
            </w:pPr>
            <w:r w:rsidRPr="008B6A75">
              <w:rPr>
                <w:sz w:val="20"/>
                <w:szCs w:val="20"/>
              </w:rPr>
              <w:t>Закупка товаров, работ и услуг для обеспечения государственных (муниципальных) нужд</w:t>
            </w:r>
          </w:p>
        </w:tc>
        <w:tc>
          <w:tcPr>
            <w:tcW w:w="1559" w:type="dxa"/>
            <w:tcBorders>
              <w:top w:val="nil"/>
              <w:left w:val="single" w:sz="4" w:space="0" w:color="auto"/>
              <w:bottom w:val="single" w:sz="4" w:space="0" w:color="auto"/>
              <w:right w:val="nil"/>
            </w:tcBorders>
            <w:shd w:val="clear" w:color="auto" w:fill="auto"/>
            <w:noWrap/>
            <w:vAlign w:val="center"/>
            <w:hideMark/>
          </w:tcPr>
          <w:p w14:paraId="6D576290" w14:textId="77777777" w:rsidR="00387142" w:rsidRPr="008B6A75" w:rsidRDefault="00387142" w:rsidP="00387142">
            <w:pPr>
              <w:jc w:val="center"/>
              <w:rPr>
                <w:sz w:val="20"/>
                <w:szCs w:val="20"/>
              </w:rPr>
            </w:pPr>
            <w:r w:rsidRPr="008B6A75">
              <w:rPr>
                <w:sz w:val="20"/>
                <w:szCs w:val="20"/>
              </w:rPr>
              <w:t>99.0.00.70160</w:t>
            </w:r>
          </w:p>
        </w:tc>
        <w:tc>
          <w:tcPr>
            <w:tcW w:w="850" w:type="dxa"/>
            <w:tcBorders>
              <w:top w:val="nil"/>
              <w:left w:val="single" w:sz="4" w:space="0" w:color="auto"/>
              <w:bottom w:val="single" w:sz="4" w:space="0" w:color="auto"/>
              <w:right w:val="nil"/>
            </w:tcBorders>
            <w:shd w:val="clear" w:color="auto" w:fill="auto"/>
            <w:noWrap/>
            <w:vAlign w:val="center"/>
            <w:hideMark/>
          </w:tcPr>
          <w:p w14:paraId="4C6D0F45" w14:textId="77777777" w:rsidR="00387142" w:rsidRPr="008B6A75" w:rsidRDefault="00387142" w:rsidP="00387142">
            <w:pPr>
              <w:jc w:val="center"/>
              <w:rPr>
                <w:sz w:val="20"/>
                <w:szCs w:val="20"/>
              </w:rPr>
            </w:pPr>
            <w:r w:rsidRPr="008B6A75">
              <w:rPr>
                <w:sz w:val="20"/>
                <w:szCs w:val="20"/>
              </w:rPr>
              <w:t>200</w:t>
            </w:r>
          </w:p>
        </w:tc>
        <w:tc>
          <w:tcPr>
            <w:tcW w:w="567" w:type="dxa"/>
            <w:tcBorders>
              <w:top w:val="nil"/>
              <w:left w:val="single" w:sz="4" w:space="0" w:color="auto"/>
              <w:bottom w:val="single" w:sz="4" w:space="0" w:color="auto"/>
              <w:right w:val="nil"/>
            </w:tcBorders>
            <w:shd w:val="clear" w:color="auto" w:fill="auto"/>
            <w:noWrap/>
            <w:vAlign w:val="center"/>
            <w:hideMark/>
          </w:tcPr>
          <w:p w14:paraId="0EEFA5B5" w14:textId="77777777" w:rsidR="00387142" w:rsidRPr="008B6A75" w:rsidRDefault="00387142" w:rsidP="00387142">
            <w:pPr>
              <w:jc w:val="center"/>
              <w:rPr>
                <w:sz w:val="20"/>
                <w:szCs w:val="20"/>
              </w:rPr>
            </w:pPr>
            <w:r w:rsidRPr="008B6A75">
              <w:rPr>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1AB4C9DA" w14:textId="77777777" w:rsidR="00387142" w:rsidRPr="008B6A75" w:rsidRDefault="00387142" w:rsidP="00387142">
            <w:pPr>
              <w:jc w:val="center"/>
              <w:rPr>
                <w:sz w:val="20"/>
                <w:szCs w:val="20"/>
              </w:rPr>
            </w:pPr>
            <w:r w:rsidRPr="008B6A75">
              <w:rPr>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4B07368" w14:textId="77777777" w:rsidR="00387142" w:rsidRPr="008B6A75" w:rsidRDefault="00387142" w:rsidP="00387142">
            <w:pPr>
              <w:jc w:val="right"/>
              <w:rPr>
                <w:sz w:val="20"/>
                <w:szCs w:val="20"/>
              </w:rPr>
            </w:pPr>
            <w:r w:rsidRPr="008B6A75">
              <w:rPr>
                <w:sz w:val="20"/>
                <w:szCs w:val="20"/>
              </w:rPr>
              <w:t>728 300,00</w:t>
            </w:r>
          </w:p>
        </w:tc>
        <w:tc>
          <w:tcPr>
            <w:tcW w:w="851" w:type="dxa"/>
            <w:tcBorders>
              <w:top w:val="nil"/>
              <w:left w:val="single" w:sz="4" w:space="0" w:color="auto"/>
              <w:bottom w:val="single" w:sz="4" w:space="0" w:color="auto"/>
              <w:right w:val="nil"/>
            </w:tcBorders>
            <w:shd w:val="clear" w:color="auto" w:fill="auto"/>
            <w:noWrap/>
            <w:vAlign w:val="center"/>
            <w:hideMark/>
          </w:tcPr>
          <w:p w14:paraId="20483400" w14:textId="77777777" w:rsidR="00387142" w:rsidRPr="008B6A75" w:rsidRDefault="00387142" w:rsidP="00387142">
            <w:pPr>
              <w:jc w:val="right"/>
              <w:rPr>
                <w:sz w:val="20"/>
                <w:szCs w:val="20"/>
              </w:rPr>
            </w:pPr>
            <w:r w:rsidRPr="008B6A75">
              <w:rPr>
                <w:sz w:val="20"/>
                <w:szCs w:val="20"/>
              </w:rPr>
              <w:t>728 300,00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0CFFA7F7" w14:textId="77777777" w:rsidR="00387142" w:rsidRPr="008B6A75" w:rsidRDefault="00387142" w:rsidP="00387142">
            <w:pPr>
              <w:jc w:val="right"/>
              <w:rPr>
                <w:sz w:val="20"/>
                <w:szCs w:val="20"/>
              </w:rPr>
            </w:pPr>
            <w:r w:rsidRPr="008B6A75">
              <w:rPr>
                <w:sz w:val="20"/>
                <w:szCs w:val="20"/>
              </w:rPr>
              <w:t>728 300,00</w:t>
            </w:r>
          </w:p>
        </w:tc>
      </w:tr>
      <w:tr w:rsidR="00387142" w:rsidRPr="008B6A75" w14:paraId="1C6F07C9" w14:textId="77777777" w:rsidTr="00387142">
        <w:trPr>
          <w:trHeight w:val="870"/>
        </w:trPr>
        <w:tc>
          <w:tcPr>
            <w:tcW w:w="272" w:type="dxa"/>
            <w:tcBorders>
              <w:top w:val="nil"/>
              <w:left w:val="nil"/>
              <w:bottom w:val="nil"/>
              <w:right w:val="single" w:sz="4" w:space="0" w:color="auto"/>
            </w:tcBorders>
            <w:shd w:val="clear" w:color="auto" w:fill="auto"/>
            <w:noWrap/>
            <w:vAlign w:val="bottom"/>
            <w:hideMark/>
          </w:tcPr>
          <w:p w14:paraId="67E08D9B"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2CA56D98" w14:textId="77777777" w:rsidR="00387142" w:rsidRPr="008B6A75" w:rsidRDefault="00387142" w:rsidP="00387142">
            <w:pPr>
              <w:rPr>
                <w:sz w:val="20"/>
                <w:szCs w:val="20"/>
              </w:rPr>
            </w:pPr>
            <w:r w:rsidRPr="008B6A75">
              <w:rPr>
                <w:sz w:val="20"/>
                <w:szCs w:val="20"/>
              </w:rPr>
              <w:t>Иные закупки товаров, работ и услуг для обеспечения государственных (муниципальных) нужд</w:t>
            </w:r>
          </w:p>
        </w:tc>
        <w:tc>
          <w:tcPr>
            <w:tcW w:w="1559" w:type="dxa"/>
            <w:tcBorders>
              <w:top w:val="nil"/>
              <w:left w:val="single" w:sz="4" w:space="0" w:color="auto"/>
              <w:bottom w:val="single" w:sz="4" w:space="0" w:color="auto"/>
              <w:right w:val="nil"/>
            </w:tcBorders>
            <w:shd w:val="clear" w:color="auto" w:fill="auto"/>
            <w:noWrap/>
            <w:vAlign w:val="center"/>
            <w:hideMark/>
          </w:tcPr>
          <w:p w14:paraId="616A247A" w14:textId="77777777" w:rsidR="00387142" w:rsidRPr="008B6A75" w:rsidRDefault="00387142" w:rsidP="00387142">
            <w:pPr>
              <w:jc w:val="center"/>
              <w:rPr>
                <w:sz w:val="20"/>
                <w:szCs w:val="20"/>
              </w:rPr>
            </w:pPr>
            <w:r w:rsidRPr="008B6A75">
              <w:rPr>
                <w:sz w:val="20"/>
                <w:szCs w:val="20"/>
              </w:rPr>
              <w:t>99.0.00.70160</w:t>
            </w:r>
          </w:p>
        </w:tc>
        <w:tc>
          <w:tcPr>
            <w:tcW w:w="850" w:type="dxa"/>
            <w:tcBorders>
              <w:top w:val="nil"/>
              <w:left w:val="single" w:sz="4" w:space="0" w:color="auto"/>
              <w:bottom w:val="single" w:sz="4" w:space="0" w:color="auto"/>
              <w:right w:val="nil"/>
            </w:tcBorders>
            <w:shd w:val="clear" w:color="auto" w:fill="auto"/>
            <w:noWrap/>
            <w:vAlign w:val="center"/>
            <w:hideMark/>
          </w:tcPr>
          <w:p w14:paraId="4006485E" w14:textId="77777777" w:rsidR="00387142" w:rsidRPr="008B6A75" w:rsidRDefault="00387142" w:rsidP="00387142">
            <w:pPr>
              <w:jc w:val="center"/>
              <w:rPr>
                <w:sz w:val="20"/>
                <w:szCs w:val="20"/>
              </w:rPr>
            </w:pPr>
            <w:r w:rsidRPr="008B6A75">
              <w:rPr>
                <w:sz w:val="20"/>
                <w:szCs w:val="20"/>
              </w:rPr>
              <w:t>240</w:t>
            </w:r>
          </w:p>
        </w:tc>
        <w:tc>
          <w:tcPr>
            <w:tcW w:w="567" w:type="dxa"/>
            <w:tcBorders>
              <w:top w:val="nil"/>
              <w:left w:val="single" w:sz="4" w:space="0" w:color="auto"/>
              <w:bottom w:val="single" w:sz="4" w:space="0" w:color="auto"/>
              <w:right w:val="nil"/>
            </w:tcBorders>
            <w:shd w:val="clear" w:color="auto" w:fill="auto"/>
            <w:noWrap/>
            <w:vAlign w:val="center"/>
            <w:hideMark/>
          </w:tcPr>
          <w:p w14:paraId="4C131524" w14:textId="77777777" w:rsidR="00387142" w:rsidRPr="008B6A75" w:rsidRDefault="00387142" w:rsidP="00387142">
            <w:pPr>
              <w:jc w:val="center"/>
              <w:rPr>
                <w:sz w:val="20"/>
                <w:szCs w:val="20"/>
              </w:rPr>
            </w:pPr>
            <w:r w:rsidRPr="008B6A75">
              <w:rPr>
                <w:sz w:val="20"/>
                <w:szCs w:val="20"/>
              </w:rPr>
              <w:t>04</w:t>
            </w:r>
          </w:p>
        </w:tc>
        <w:tc>
          <w:tcPr>
            <w:tcW w:w="567" w:type="dxa"/>
            <w:tcBorders>
              <w:top w:val="nil"/>
              <w:left w:val="single" w:sz="4" w:space="0" w:color="auto"/>
              <w:bottom w:val="single" w:sz="4" w:space="0" w:color="auto"/>
              <w:right w:val="nil"/>
            </w:tcBorders>
            <w:shd w:val="clear" w:color="auto" w:fill="auto"/>
            <w:noWrap/>
            <w:vAlign w:val="center"/>
            <w:hideMark/>
          </w:tcPr>
          <w:p w14:paraId="131EDB80" w14:textId="77777777" w:rsidR="00387142" w:rsidRPr="008B6A75" w:rsidRDefault="00387142" w:rsidP="00387142">
            <w:pPr>
              <w:jc w:val="center"/>
              <w:rPr>
                <w:sz w:val="20"/>
                <w:szCs w:val="20"/>
              </w:rPr>
            </w:pPr>
            <w:r w:rsidRPr="008B6A75">
              <w:rPr>
                <w:sz w:val="20"/>
                <w:szCs w:val="20"/>
              </w:rPr>
              <w:t>05</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1D773AD" w14:textId="77777777" w:rsidR="00387142" w:rsidRPr="008B6A75" w:rsidRDefault="00387142" w:rsidP="00387142">
            <w:pPr>
              <w:jc w:val="right"/>
              <w:rPr>
                <w:sz w:val="20"/>
                <w:szCs w:val="20"/>
              </w:rPr>
            </w:pPr>
            <w:r w:rsidRPr="008B6A75">
              <w:rPr>
                <w:sz w:val="20"/>
                <w:szCs w:val="20"/>
              </w:rPr>
              <w:t>728 300,00</w:t>
            </w:r>
          </w:p>
        </w:tc>
        <w:tc>
          <w:tcPr>
            <w:tcW w:w="851" w:type="dxa"/>
            <w:tcBorders>
              <w:top w:val="nil"/>
              <w:left w:val="single" w:sz="4" w:space="0" w:color="auto"/>
              <w:bottom w:val="single" w:sz="4" w:space="0" w:color="auto"/>
              <w:right w:val="nil"/>
            </w:tcBorders>
            <w:shd w:val="clear" w:color="auto" w:fill="auto"/>
            <w:noWrap/>
            <w:vAlign w:val="center"/>
            <w:hideMark/>
          </w:tcPr>
          <w:p w14:paraId="617D73D6" w14:textId="77777777" w:rsidR="00387142" w:rsidRPr="008B6A75" w:rsidRDefault="00387142" w:rsidP="00387142">
            <w:pPr>
              <w:jc w:val="right"/>
              <w:rPr>
                <w:sz w:val="20"/>
                <w:szCs w:val="20"/>
              </w:rPr>
            </w:pPr>
            <w:r w:rsidRPr="008B6A75">
              <w:rPr>
                <w:sz w:val="20"/>
                <w:szCs w:val="20"/>
              </w:rPr>
              <w:t>728 300,00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24D1B73B" w14:textId="77777777" w:rsidR="00387142" w:rsidRPr="008B6A75" w:rsidRDefault="00387142" w:rsidP="00387142">
            <w:pPr>
              <w:jc w:val="right"/>
              <w:rPr>
                <w:sz w:val="20"/>
                <w:szCs w:val="20"/>
              </w:rPr>
            </w:pPr>
            <w:r w:rsidRPr="008B6A75">
              <w:rPr>
                <w:sz w:val="20"/>
                <w:szCs w:val="20"/>
              </w:rPr>
              <w:t>728 300,00</w:t>
            </w:r>
          </w:p>
        </w:tc>
      </w:tr>
      <w:tr w:rsidR="00387142" w:rsidRPr="008B6A75" w14:paraId="54BD33F6" w14:textId="77777777" w:rsidTr="00387142">
        <w:trPr>
          <w:trHeight w:val="2295"/>
        </w:trPr>
        <w:tc>
          <w:tcPr>
            <w:tcW w:w="272" w:type="dxa"/>
            <w:tcBorders>
              <w:top w:val="nil"/>
              <w:left w:val="nil"/>
              <w:bottom w:val="nil"/>
              <w:right w:val="single" w:sz="4" w:space="0" w:color="auto"/>
            </w:tcBorders>
            <w:shd w:val="clear" w:color="auto" w:fill="auto"/>
            <w:noWrap/>
            <w:vAlign w:val="bottom"/>
            <w:hideMark/>
          </w:tcPr>
          <w:p w14:paraId="6A8A6A15"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5B148D15" w14:textId="77777777" w:rsidR="00387142" w:rsidRPr="008B6A75" w:rsidRDefault="00387142" w:rsidP="00387142">
            <w:pPr>
              <w:rPr>
                <w:bCs/>
                <w:sz w:val="20"/>
                <w:szCs w:val="20"/>
              </w:rPr>
            </w:pPr>
            <w:r w:rsidRPr="008B6A75">
              <w:rPr>
                <w:bCs/>
                <w:sz w:val="20"/>
                <w:szCs w:val="20"/>
              </w:rPr>
              <w:t>Реализация мероприятий по улучшению социального положения семей с детьми, обеспечение дружественных семье и детству общественных отношений и инфраструктуры жизнедеятельности государственной программы Новосибирской области "Социальная поддержка в Новосибирской области"</w:t>
            </w:r>
          </w:p>
        </w:tc>
        <w:tc>
          <w:tcPr>
            <w:tcW w:w="1559" w:type="dxa"/>
            <w:tcBorders>
              <w:top w:val="nil"/>
              <w:left w:val="single" w:sz="4" w:space="0" w:color="auto"/>
              <w:bottom w:val="single" w:sz="4" w:space="0" w:color="auto"/>
              <w:right w:val="nil"/>
            </w:tcBorders>
            <w:shd w:val="clear" w:color="auto" w:fill="auto"/>
            <w:noWrap/>
            <w:vAlign w:val="center"/>
            <w:hideMark/>
          </w:tcPr>
          <w:p w14:paraId="3E753638" w14:textId="77777777" w:rsidR="00387142" w:rsidRPr="008B6A75" w:rsidRDefault="00387142" w:rsidP="00387142">
            <w:pPr>
              <w:jc w:val="center"/>
              <w:rPr>
                <w:bCs/>
                <w:sz w:val="20"/>
                <w:szCs w:val="20"/>
              </w:rPr>
            </w:pPr>
            <w:r w:rsidRPr="008B6A75">
              <w:rPr>
                <w:bCs/>
                <w:sz w:val="20"/>
                <w:szCs w:val="20"/>
              </w:rPr>
              <w:t>99.0.00.70179</w:t>
            </w:r>
          </w:p>
        </w:tc>
        <w:tc>
          <w:tcPr>
            <w:tcW w:w="850" w:type="dxa"/>
            <w:tcBorders>
              <w:top w:val="nil"/>
              <w:left w:val="single" w:sz="4" w:space="0" w:color="auto"/>
              <w:bottom w:val="single" w:sz="4" w:space="0" w:color="auto"/>
              <w:right w:val="nil"/>
            </w:tcBorders>
            <w:shd w:val="clear" w:color="auto" w:fill="auto"/>
            <w:noWrap/>
            <w:vAlign w:val="center"/>
            <w:hideMark/>
          </w:tcPr>
          <w:p w14:paraId="31ADE926" w14:textId="77777777" w:rsidR="00387142" w:rsidRPr="008B6A75" w:rsidRDefault="00387142" w:rsidP="00387142">
            <w:pPr>
              <w:jc w:val="center"/>
              <w:rPr>
                <w:bCs/>
                <w:sz w:val="20"/>
                <w:szCs w:val="20"/>
              </w:rPr>
            </w:pPr>
            <w:r w:rsidRPr="008B6A75">
              <w:rPr>
                <w:bCs/>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77D6125F" w14:textId="77777777" w:rsidR="00387142" w:rsidRPr="008B6A75" w:rsidRDefault="00387142" w:rsidP="00387142">
            <w:pPr>
              <w:jc w:val="center"/>
              <w:rPr>
                <w:bCs/>
                <w:sz w:val="20"/>
                <w:szCs w:val="20"/>
              </w:rPr>
            </w:pPr>
            <w:r w:rsidRPr="008B6A75">
              <w:rPr>
                <w:bCs/>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6A8BAFDC" w14:textId="77777777" w:rsidR="00387142" w:rsidRPr="008B6A75" w:rsidRDefault="00387142" w:rsidP="00387142">
            <w:pPr>
              <w:jc w:val="center"/>
              <w:rPr>
                <w:bCs/>
                <w:sz w:val="20"/>
                <w:szCs w:val="20"/>
              </w:rPr>
            </w:pPr>
            <w:r w:rsidRPr="008B6A75">
              <w:rPr>
                <w:bCs/>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BE673C0" w14:textId="77777777" w:rsidR="00387142" w:rsidRPr="008B6A75" w:rsidRDefault="00387142" w:rsidP="00387142">
            <w:pPr>
              <w:jc w:val="right"/>
              <w:rPr>
                <w:bCs/>
                <w:sz w:val="20"/>
                <w:szCs w:val="20"/>
              </w:rPr>
            </w:pPr>
            <w:r w:rsidRPr="008B6A75">
              <w:rPr>
                <w:bCs/>
                <w:sz w:val="20"/>
                <w:szCs w:val="20"/>
              </w:rPr>
              <w:t>10 200,00</w:t>
            </w:r>
          </w:p>
        </w:tc>
        <w:tc>
          <w:tcPr>
            <w:tcW w:w="851" w:type="dxa"/>
            <w:tcBorders>
              <w:top w:val="nil"/>
              <w:left w:val="single" w:sz="4" w:space="0" w:color="auto"/>
              <w:bottom w:val="single" w:sz="4" w:space="0" w:color="auto"/>
              <w:right w:val="nil"/>
            </w:tcBorders>
            <w:shd w:val="clear" w:color="auto" w:fill="auto"/>
            <w:noWrap/>
            <w:vAlign w:val="center"/>
            <w:hideMark/>
          </w:tcPr>
          <w:p w14:paraId="22F344A6" w14:textId="77777777" w:rsidR="00387142" w:rsidRPr="008B6A75" w:rsidRDefault="00387142" w:rsidP="00387142">
            <w:pPr>
              <w:jc w:val="right"/>
              <w:rPr>
                <w:bCs/>
                <w:sz w:val="20"/>
                <w:szCs w:val="20"/>
              </w:rPr>
            </w:pPr>
            <w:r w:rsidRPr="008B6A75">
              <w:rPr>
                <w:bCs/>
                <w:sz w:val="20"/>
                <w:szCs w:val="20"/>
              </w:rPr>
              <w:t>10 200,00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699D5B1C" w14:textId="77777777" w:rsidR="00387142" w:rsidRPr="008B6A75" w:rsidRDefault="00387142" w:rsidP="00387142">
            <w:pPr>
              <w:jc w:val="right"/>
              <w:rPr>
                <w:bCs/>
                <w:sz w:val="20"/>
                <w:szCs w:val="20"/>
              </w:rPr>
            </w:pPr>
            <w:r w:rsidRPr="008B6A75">
              <w:rPr>
                <w:bCs/>
                <w:sz w:val="20"/>
                <w:szCs w:val="20"/>
              </w:rPr>
              <w:t>10 200,00</w:t>
            </w:r>
          </w:p>
        </w:tc>
      </w:tr>
      <w:tr w:rsidR="00387142" w:rsidRPr="008B6A75" w14:paraId="7255DEC5" w14:textId="77777777" w:rsidTr="00387142">
        <w:trPr>
          <w:trHeight w:val="585"/>
        </w:trPr>
        <w:tc>
          <w:tcPr>
            <w:tcW w:w="272" w:type="dxa"/>
            <w:tcBorders>
              <w:top w:val="nil"/>
              <w:left w:val="nil"/>
              <w:bottom w:val="nil"/>
              <w:right w:val="single" w:sz="4" w:space="0" w:color="auto"/>
            </w:tcBorders>
            <w:shd w:val="clear" w:color="auto" w:fill="auto"/>
            <w:noWrap/>
            <w:vAlign w:val="bottom"/>
            <w:hideMark/>
          </w:tcPr>
          <w:p w14:paraId="797F48B1"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2314B6D2" w14:textId="77777777" w:rsidR="00387142" w:rsidRPr="008B6A75" w:rsidRDefault="00387142" w:rsidP="00387142">
            <w:pPr>
              <w:rPr>
                <w:sz w:val="20"/>
                <w:szCs w:val="20"/>
              </w:rPr>
            </w:pPr>
            <w:r w:rsidRPr="008B6A75">
              <w:rPr>
                <w:sz w:val="20"/>
                <w:szCs w:val="20"/>
              </w:rPr>
              <w:t>Закупка товаров, работ и услуг для обеспечения государственных (муниципальных) нужд</w:t>
            </w:r>
          </w:p>
        </w:tc>
        <w:tc>
          <w:tcPr>
            <w:tcW w:w="1559" w:type="dxa"/>
            <w:tcBorders>
              <w:top w:val="nil"/>
              <w:left w:val="single" w:sz="4" w:space="0" w:color="auto"/>
              <w:bottom w:val="single" w:sz="4" w:space="0" w:color="auto"/>
              <w:right w:val="nil"/>
            </w:tcBorders>
            <w:shd w:val="clear" w:color="auto" w:fill="auto"/>
            <w:noWrap/>
            <w:vAlign w:val="center"/>
            <w:hideMark/>
          </w:tcPr>
          <w:p w14:paraId="6CB66E54" w14:textId="77777777" w:rsidR="00387142" w:rsidRPr="008B6A75" w:rsidRDefault="00387142" w:rsidP="00387142">
            <w:pPr>
              <w:jc w:val="center"/>
              <w:rPr>
                <w:sz w:val="20"/>
                <w:szCs w:val="20"/>
              </w:rPr>
            </w:pPr>
            <w:r w:rsidRPr="008B6A75">
              <w:rPr>
                <w:sz w:val="20"/>
                <w:szCs w:val="20"/>
              </w:rPr>
              <w:t>99.0.00.70179</w:t>
            </w:r>
          </w:p>
        </w:tc>
        <w:tc>
          <w:tcPr>
            <w:tcW w:w="850" w:type="dxa"/>
            <w:tcBorders>
              <w:top w:val="nil"/>
              <w:left w:val="single" w:sz="4" w:space="0" w:color="auto"/>
              <w:bottom w:val="single" w:sz="4" w:space="0" w:color="auto"/>
              <w:right w:val="nil"/>
            </w:tcBorders>
            <w:shd w:val="clear" w:color="auto" w:fill="auto"/>
            <w:noWrap/>
            <w:vAlign w:val="center"/>
            <w:hideMark/>
          </w:tcPr>
          <w:p w14:paraId="2DB376C4" w14:textId="77777777" w:rsidR="00387142" w:rsidRPr="008B6A75" w:rsidRDefault="00387142" w:rsidP="00387142">
            <w:pPr>
              <w:jc w:val="center"/>
              <w:rPr>
                <w:sz w:val="20"/>
                <w:szCs w:val="20"/>
              </w:rPr>
            </w:pPr>
            <w:r w:rsidRPr="008B6A75">
              <w:rPr>
                <w:sz w:val="20"/>
                <w:szCs w:val="20"/>
              </w:rPr>
              <w:t>200</w:t>
            </w:r>
          </w:p>
        </w:tc>
        <w:tc>
          <w:tcPr>
            <w:tcW w:w="567" w:type="dxa"/>
            <w:tcBorders>
              <w:top w:val="nil"/>
              <w:left w:val="single" w:sz="4" w:space="0" w:color="auto"/>
              <w:bottom w:val="single" w:sz="4" w:space="0" w:color="auto"/>
              <w:right w:val="nil"/>
            </w:tcBorders>
            <w:shd w:val="clear" w:color="auto" w:fill="auto"/>
            <w:noWrap/>
            <w:vAlign w:val="center"/>
            <w:hideMark/>
          </w:tcPr>
          <w:p w14:paraId="58E0068F" w14:textId="77777777" w:rsidR="00387142" w:rsidRPr="008B6A75" w:rsidRDefault="00387142" w:rsidP="00387142">
            <w:pPr>
              <w:jc w:val="center"/>
              <w:rPr>
                <w:sz w:val="20"/>
                <w:szCs w:val="20"/>
              </w:rPr>
            </w:pPr>
            <w:r w:rsidRPr="008B6A75">
              <w:rPr>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25686F1F" w14:textId="77777777" w:rsidR="00387142" w:rsidRPr="008B6A75" w:rsidRDefault="00387142" w:rsidP="00387142">
            <w:pPr>
              <w:jc w:val="center"/>
              <w:rPr>
                <w:sz w:val="20"/>
                <w:szCs w:val="20"/>
              </w:rPr>
            </w:pPr>
            <w:r w:rsidRPr="008B6A75">
              <w:rPr>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27BC391" w14:textId="77777777" w:rsidR="00387142" w:rsidRPr="008B6A75" w:rsidRDefault="00387142" w:rsidP="00387142">
            <w:pPr>
              <w:jc w:val="right"/>
              <w:rPr>
                <w:sz w:val="20"/>
                <w:szCs w:val="20"/>
              </w:rPr>
            </w:pPr>
            <w:r w:rsidRPr="008B6A75">
              <w:rPr>
                <w:sz w:val="20"/>
                <w:szCs w:val="20"/>
              </w:rPr>
              <w:t>0,00</w:t>
            </w:r>
          </w:p>
        </w:tc>
        <w:tc>
          <w:tcPr>
            <w:tcW w:w="851" w:type="dxa"/>
            <w:tcBorders>
              <w:top w:val="nil"/>
              <w:left w:val="single" w:sz="4" w:space="0" w:color="auto"/>
              <w:bottom w:val="single" w:sz="4" w:space="0" w:color="auto"/>
              <w:right w:val="nil"/>
            </w:tcBorders>
            <w:shd w:val="clear" w:color="auto" w:fill="auto"/>
            <w:noWrap/>
            <w:vAlign w:val="center"/>
            <w:hideMark/>
          </w:tcPr>
          <w:p w14:paraId="510A5A35" w14:textId="77777777" w:rsidR="00387142" w:rsidRPr="008B6A75" w:rsidRDefault="00387142" w:rsidP="00387142">
            <w:pPr>
              <w:jc w:val="right"/>
              <w:rPr>
                <w:sz w:val="20"/>
                <w:szCs w:val="20"/>
              </w:rPr>
            </w:pPr>
            <w:r w:rsidRPr="008B6A75">
              <w:rPr>
                <w:sz w:val="20"/>
                <w:szCs w:val="20"/>
              </w:rPr>
              <w:t>10 200,00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15337681" w14:textId="77777777" w:rsidR="00387142" w:rsidRPr="008B6A75" w:rsidRDefault="00387142" w:rsidP="00387142">
            <w:pPr>
              <w:jc w:val="right"/>
              <w:rPr>
                <w:sz w:val="20"/>
                <w:szCs w:val="20"/>
              </w:rPr>
            </w:pPr>
            <w:r w:rsidRPr="008B6A75">
              <w:rPr>
                <w:sz w:val="20"/>
                <w:szCs w:val="20"/>
              </w:rPr>
              <w:t>10 200,00</w:t>
            </w:r>
          </w:p>
        </w:tc>
      </w:tr>
      <w:tr w:rsidR="00387142" w:rsidRPr="008B6A75" w14:paraId="6E87E770" w14:textId="77777777" w:rsidTr="00387142">
        <w:trPr>
          <w:trHeight w:val="870"/>
        </w:trPr>
        <w:tc>
          <w:tcPr>
            <w:tcW w:w="272" w:type="dxa"/>
            <w:tcBorders>
              <w:top w:val="nil"/>
              <w:left w:val="nil"/>
              <w:bottom w:val="nil"/>
              <w:right w:val="single" w:sz="4" w:space="0" w:color="auto"/>
            </w:tcBorders>
            <w:shd w:val="clear" w:color="auto" w:fill="auto"/>
            <w:noWrap/>
            <w:vAlign w:val="bottom"/>
            <w:hideMark/>
          </w:tcPr>
          <w:p w14:paraId="63501656"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1275DB4E" w14:textId="77777777" w:rsidR="00387142" w:rsidRPr="008B6A75" w:rsidRDefault="00387142" w:rsidP="00387142">
            <w:pPr>
              <w:rPr>
                <w:sz w:val="20"/>
                <w:szCs w:val="20"/>
              </w:rPr>
            </w:pPr>
            <w:r w:rsidRPr="008B6A75">
              <w:rPr>
                <w:sz w:val="20"/>
                <w:szCs w:val="20"/>
              </w:rPr>
              <w:t>Иные закупки товаров, работ и услуг для обеспечения государственных (муниципальных) нужд</w:t>
            </w:r>
          </w:p>
        </w:tc>
        <w:tc>
          <w:tcPr>
            <w:tcW w:w="1559" w:type="dxa"/>
            <w:tcBorders>
              <w:top w:val="nil"/>
              <w:left w:val="single" w:sz="4" w:space="0" w:color="auto"/>
              <w:bottom w:val="single" w:sz="4" w:space="0" w:color="auto"/>
              <w:right w:val="nil"/>
            </w:tcBorders>
            <w:shd w:val="clear" w:color="auto" w:fill="auto"/>
            <w:noWrap/>
            <w:vAlign w:val="center"/>
            <w:hideMark/>
          </w:tcPr>
          <w:p w14:paraId="4E6AEEB1" w14:textId="77777777" w:rsidR="00387142" w:rsidRPr="008B6A75" w:rsidRDefault="00387142" w:rsidP="00387142">
            <w:pPr>
              <w:jc w:val="center"/>
              <w:rPr>
                <w:sz w:val="20"/>
                <w:szCs w:val="20"/>
              </w:rPr>
            </w:pPr>
            <w:r w:rsidRPr="008B6A75">
              <w:rPr>
                <w:sz w:val="20"/>
                <w:szCs w:val="20"/>
              </w:rPr>
              <w:t>99.0.00.70179</w:t>
            </w:r>
          </w:p>
        </w:tc>
        <w:tc>
          <w:tcPr>
            <w:tcW w:w="850" w:type="dxa"/>
            <w:tcBorders>
              <w:top w:val="nil"/>
              <w:left w:val="single" w:sz="4" w:space="0" w:color="auto"/>
              <w:bottom w:val="single" w:sz="4" w:space="0" w:color="auto"/>
              <w:right w:val="nil"/>
            </w:tcBorders>
            <w:shd w:val="clear" w:color="auto" w:fill="auto"/>
            <w:noWrap/>
            <w:vAlign w:val="center"/>
            <w:hideMark/>
          </w:tcPr>
          <w:p w14:paraId="7753CE58" w14:textId="77777777" w:rsidR="00387142" w:rsidRPr="008B6A75" w:rsidRDefault="00387142" w:rsidP="00387142">
            <w:pPr>
              <w:jc w:val="center"/>
              <w:rPr>
                <w:sz w:val="20"/>
                <w:szCs w:val="20"/>
              </w:rPr>
            </w:pPr>
            <w:r w:rsidRPr="008B6A75">
              <w:rPr>
                <w:sz w:val="20"/>
                <w:szCs w:val="20"/>
              </w:rPr>
              <w:t>240</w:t>
            </w:r>
          </w:p>
        </w:tc>
        <w:tc>
          <w:tcPr>
            <w:tcW w:w="567" w:type="dxa"/>
            <w:tcBorders>
              <w:top w:val="nil"/>
              <w:left w:val="single" w:sz="4" w:space="0" w:color="auto"/>
              <w:bottom w:val="single" w:sz="4" w:space="0" w:color="auto"/>
              <w:right w:val="nil"/>
            </w:tcBorders>
            <w:shd w:val="clear" w:color="auto" w:fill="auto"/>
            <w:noWrap/>
            <w:vAlign w:val="center"/>
            <w:hideMark/>
          </w:tcPr>
          <w:p w14:paraId="65200233" w14:textId="77777777" w:rsidR="00387142" w:rsidRPr="008B6A75" w:rsidRDefault="00387142" w:rsidP="00387142">
            <w:pPr>
              <w:jc w:val="center"/>
              <w:rPr>
                <w:sz w:val="20"/>
                <w:szCs w:val="20"/>
              </w:rPr>
            </w:pPr>
            <w:r w:rsidRPr="008B6A75">
              <w:rPr>
                <w:sz w:val="20"/>
                <w:szCs w:val="20"/>
              </w:rPr>
              <w:t>07</w:t>
            </w:r>
          </w:p>
        </w:tc>
        <w:tc>
          <w:tcPr>
            <w:tcW w:w="567" w:type="dxa"/>
            <w:tcBorders>
              <w:top w:val="nil"/>
              <w:left w:val="single" w:sz="4" w:space="0" w:color="auto"/>
              <w:bottom w:val="single" w:sz="4" w:space="0" w:color="auto"/>
              <w:right w:val="nil"/>
            </w:tcBorders>
            <w:shd w:val="clear" w:color="auto" w:fill="auto"/>
            <w:noWrap/>
            <w:vAlign w:val="center"/>
            <w:hideMark/>
          </w:tcPr>
          <w:p w14:paraId="18013EAA" w14:textId="77777777" w:rsidR="00387142" w:rsidRPr="008B6A75" w:rsidRDefault="00387142" w:rsidP="00387142">
            <w:pPr>
              <w:jc w:val="center"/>
              <w:rPr>
                <w:sz w:val="20"/>
                <w:szCs w:val="20"/>
              </w:rPr>
            </w:pPr>
            <w:r w:rsidRPr="008B6A75">
              <w:rPr>
                <w:sz w:val="20"/>
                <w:szCs w:val="20"/>
              </w:rPr>
              <w:t>07</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2CDB4F6" w14:textId="77777777" w:rsidR="00387142" w:rsidRPr="008B6A75" w:rsidRDefault="00387142" w:rsidP="00387142">
            <w:pPr>
              <w:jc w:val="right"/>
              <w:rPr>
                <w:sz w:val="20"/>
                <w:szCs w:val="20"/>
              </w:rPr>
            </w:pPr>
            <w:r w:rsidRPr="008B6A75">
              <w:rPr>
                <w:sz w:val="20"/>
                <w:szCs w:val="20"/>
              </w:rPr>
              <w:t>0,00</w:t>
            </w:r>
          </w:p>
        </w:tc>
        <w:tc>
          <w:tcPr>
            <w:tcW w:w="851" w:type="dxa"/>
            <w:tcBorders>
              <w:top w:val="nil"/>
              <w:left w:val="single" w:sz="4" w:space="0" w:color="auto"/>
              <w:bottom w:val="single" w:sz="4" w:space="0" w:color="auto"/>
              <w:right w:val="nil"/>
            </w:tcBorders>
            <w:shd w:val="clear" w:color="auto" w:fill="auto"/>
            <w:noWrap/>
            <w:vAlign w:val="center"/>
            <w:hideMark/>
          </w:tcPr>
          <w:p w14:paraId="28A3F37F" w14:textId="77777777" w:rsidR="00387142" w:rsidRPr="008B6A75" w:rsidRDefault="00387142" w:rsidP="00387142">
            <w:pPr>
              <w:jc w:val="right"/>
              <w:rPr>
                <w:sz w:val="20"/>
                <w:szCs w:val="20"/>
              </w:rPr>
            </w:pPr>
            <w:r w:rsidRPr="008B6A75">
              <w:rPr>
                <w:sz w:val="20"/>
                <w:szCs w:val="20"/>
              </w:rPr>
              <w:t>10 200,00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34C11679" w14:textId="77777777" w:rsidR="00387142" w:rsidRPr="008B6A75" w:rsidRDefault="00387142" w:rsidP="00387142">
            <w:pPr>
              <w:jc w:val="right"/>
              <w:rPr>
                <w:sz w:val="20"/>
                <w:szCs w:val="20"/>
              </w:rPr>
            </w:pPr>
            <w:r w:rsidRPr="008B6A75">
              <w:rPr>
                <w:sz w:val="20"/>
                <w:szCs w:val="20"/>
              </w:rPr>
              <w:t>10 200,00</w:t>
            </w:r>
          </w:p>
        </w:tc>
      </w:tr>
      <w:tr w:rsidR="00387142" w:rsidRPr="008B6A75" w14:paraId="48EDC7B9" w14:textId="77777777" w:rsidTr="00387142">
        <w:trPr>
          <w:trHeight w:val="870"/>
        </w:trPr>
        <w:tc>
          <w:tcPr>
            <w:tcW w:w="272" w:type="dxa"/>
            <w:tcBorders>
              <w:top w:val="nil"/>
              <w:left w:val="nil"/>
              <w:bottom w:val="nil"/>
              <w:right w:val="single" w:sz="4" w:space="0" w:color="auto"/>
            </w:tcBorders>
            <w:shd w:val="clear" w:color="auto" w:fill="auto"/>
            <w:noWrap/>
            <w:vAlign w:val="bottom"/>
            <w:hideMark/>
          </w:tcPr>
          <w:p w14:paraId="6EC69877"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53D3F2E8" w14:textId="77777777" w:rsidR="00387142" w:rsidRPr="008B6A75" w:rsidRDefault="00387142" w:rsidP="00387142">
            <w:pPr>
              <w:rPr>
                <w:sz w:val="20"/>
                <w:szCs w:val="20"/>
              </w:rPr>
            </w:pPr>
            <w:r w:rsidRPr="008B6A75">
              <w:rPr>
                <w:sz w:val="20"/>
                <w:szCs w:val="20"/>
              </w:rPr>
              <w:t>Предоставление субсидий бюджетным, автономным учреждениям и иным некоммерческим организациям</w:t>
            </w:r>
          </w:p>
        </w:tc>
        <w:tc>
          <w:tcPr>
            <w:tcW w:w="1559" w:type="dxa"/>
            <w:tcBorders>
              <w:top w:val="nil"/>
              <w:left w:val="single" w:sz="4" w:space="0" w:color="auto"/>
              <w:bottom w:val="single" w:sz="4" w:space="0" w:color="auto"/>
              <w:right w:val="nil"/>
            </w:tcBorders>
            <w:shd w:val="clear" w:color="auto" w:fill="auto"/>
            <w:noWrap/>
            <w:vAlign w:val="center"/>
            <w:hideMark/>
          </w:tcPr>
          <w:p w14:paraId="051A9ADB" w14:textId="77777777" w:rsidR="00387142" w:rsidRPr="008B6A75" w:rsidRDefault="00387142" w:rsidP="00387142">
            <w:pPr>
              <w:jc w:val="center"/>
              <w:rPr>
                <w:sz w:val="20"/>
                <w:szCs w:val="20"/>
              </w:rPr>
            </w:pPr>
            <w:r w:rsidRPr="008B6A75">
              <w:rPr>
                <w:sz w:val="20"/>
                <w:szCs w:val="20"/>
              </w:rPr>
              <w:t>99.0.00.70179</w:t>
            </w:r>
          </w:p>
        </w:tc>
        <w:tc>
          <w:tcPr>
            <w:tcW w:w="850" w:type="dxa"/>
            <w:tcBorders>
              <w:top w:val="nil"/>
              <w:left w:val="single" w:sz="4" w:space="0" w:color="auto"/>
              <w:bottom w:val="single" w:sz="4" w:space="0" w:color="auto"/>
              <w:right w:val="nil"/>
            </w:tcBorders>
            <w:shd w:val="clear" w:color="auto" w:fill="auto"/>
            <w:noWrap/>
            <w:vAlign w:val="center"/>
            <w:hideMark/>
          </w:tcPr>
          <w:p w14:paraId="68B37E9A" w14:textId="77777777" w:rsidR="00387142" w:rsidRPr="008B6A75" w:rsidRDefault="00387142" w:rsidP="00387142">
            <w:pPr>
              <w:jc w:val="center"/>
              <w:rPr>
                <w:sz w:val="20"/>
                <w:szCs w:val="20"/>
              </w:rPr>
            </w:pPr>
            <w:r w:rsidRPr="008B6A75">
              <w:rPr>
                <w:sz w:val="20"/>
                <w:szCs w:val="20"/>
              </w:rPr>
              <w:t>600</w:t>
            </w:r>
          </w:p>
        </w:tc>
        <w:tc>
          <w:tcPr>
            <w:tcW w:w="567" w:type="dxa"/>
            <w:tcBorders>
              <w:top w:val="nil"/>
              <w:left w:val="single" w:sz="4" w:space="0" w:color="auto"/>
              <w:bottom w:val="single" w:sz="4" w:space="0" w:color="auto"/>
              <w:right w:val="nil"/>
            </w:tcBorders>
            <w:shd w:val="clear" w:color="auto" w:fill="auto"/>
            <w:noWrap/>
            <w:vAlign w:val="center"/>
            <w:hideMark/>
          </w:tcPr>
          <w:p w14:paraId="490CB8E1" w14:textId="77777777" w:rsidR="00387142" w:rsidRPr="008B6A75" w:rsidRDefault="00387142" w:rsidP="00387142">
            <w:pPr>
              <w:jc w:val="center"/>
              <w:rPr>
                <w:sz w:val="20"/>
                <w:szCs w:val="20"/>
              </w:rPr>
            </w:pPr>
            <w:r w:rsidRPr="008B6A75">
              <w:rPr>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081D6EE7" w14:textId="77777777" w:rsidR="00387142" w:rsidRPr="008B6A75" w:rsidRDefault="00387142" w:rsidP="00387142">
            <w:pPr>
              <w:jc w:val="center"/>
              <w:rPr>
                <w:sz w:val="20"/>
                <w:szCs w:val="20"/>
              </w:rPr>
            </w:pPr>
            <w:r w:rsidRPr="008B6A75">
              <w:rPr>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C343B41" w14:textId="77777777" w:rsidR="00387142" w:rsidRPr="008B6A75" w:rsidRDefault="00387142" w:rsidP="00387142">
            <w:pPr>
              <w:jc w:val="right"/>
              <w:rPr>
                <w:sz w:val="20"/>
                <w:szCs w:val="20"/>
              </w:rPr>
            </w:pPr>
            <w:r w:rsidRPr="008B6A75">
              <w:rPr>
                <w:sz w:val="20"/>
                <w:szCs w:val="20"/>
              </w:rPr>
              <w:t>10 200,00</w:t>
            </w:r>
          </w:p>
        </w:tc>
        <w:tc>
          <w:tcPr>
            <w:tcW w:w="851" w:type="dxa"/>
            <w:tcBorders>
              <w:top w:val="nil"/>
              <w:left w:val="single" w:sz="4" w:space="0" w:color="auto"/>
              <w:bottom w:val="single" w:sz="4" w:space="0" w:color="auto"/>
              <w:right w:val="nil"/>
            </w:tcBorders>
            <w:shd w:val="clear" w:color="auto" w:fill="auto"/>
            <w:noWrap/>
            <w:vAlign w:val="center"/>
            <w:hideMark/>
          </w:tcPr>
          <w:p w14:paraId="2AD21451" w14:textId="77777777" w:rsidR="00387142" w:rsidRPr="008B6A75" w:rsidRDefault="00387142" w:rsidP="00387142">
            <w:pPr>
              <w:jc w:val="right"/>
              <w:rPr>
                <w:sz w:val="20"/>
                <w:szCs w:val="20"/>
              </w:rPr>
            </w:pPr>
            <w:r w:rsidRPr="008B6A75">
              <w:rPr>
                <w:sz w:val="20"/>
                <w:szCs w:val="20"/>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586229E3" w14:textId="77777777" w:rsidR="00387142" w:rsidRPr="008B6A75" w:rsidRDefault="00387142" w:rsidP="00387142">
            <w:pPr>
              <w:jc w:val="right"/>
              <w:rPr>
                <w:sz w:val="20"/>
                <w:szCs w:val="20"/>
              </w:rPr>
            </w:pPr>
            <w:r w:rsidRPr="008B6A75">
              <w:rPr>
                <w:sz w:val="20"/>
                <w:szCs w:val="20"/>
              </w:rPr>
              <w:t>0,00</w:t>
            </w:r>
          </w:p>
        </w:tc>
      </w:tr>
      <w:tr w:rsidR="00387142" w:rsidRPr="008B6A75" w14:paraId="25F75D15" w14:textId="77777777" w:rsidTr="00387142">
        <w:trPr>
          <w:trHeight w:val="300"/>
        </w:trPr>
        <w:tc>
          <w:tcPr>
            <w:tcW w:w="272" w:type="dxa"/>
            <w:tcBorders>
              <w:top w:val="nil"/>
              <w:left w:val="nil"/>
              <w:bottom w:val="nil"/>
              <w:right w:val="single" w:sz="4" w:space="0" w:color="auto"/>
            </w:tcBorders>
            <w:shd w:val="clear" w:color="auto" w:fill="auto"/>
            <w:noWrap/>
            <w:vAlign w:val="bottom"/>
            <w:hideMark/>
          </w:tcPr>
          <w:p w14:paraId="6513F160"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491FE2AA" w14:textId="77777777" w:rsidR="00387142" w:rsidRPr="008B6A75" w:rsidRDefault="00387142" w:rsidP="00387142">
            <w:pPr>
              <w:rPr>
                <w:sz w:val="20"/>
                <w:szCs w:val="20"/>
              </w:rPr>
            </w:pPr>
            <w:r w:rsidRPr="008B6A75">
              <w:rPr>
                <w:sz w:val="20"/>
                <w:szCs w:val="20"/>
              </w:rPr>
              <w:t>Субсидии бюджетным учреждениям</w:t>
            </w:r>
          </w:p>
        </w:tc>
        <w:tc>
          <w:tcPr>
            <w:tcW w:w="1559" w:type="dxa"/>
            <w:tcBorders>
              <w:top w:val="nil"/>
              <w:left w:val="single" w:sz="4" w:space="0" w:color="auto"/>
              <w:bottom w:val="single" w:sz="4" w:space="0" w:color="auto"/>
              <w:right w:val="nil"/>
            </w:tcBorders>
            <w:shd w:val="clear" w:color="auto" w:fill="auto"/>
            <w:noWrap/>
            <w:vAlign w:val="center"/>
            <w:hideMark/>
          </w:tcPr>
          <w:p w14:paraId="67477816" w14:textId="77777777" w:rsidR="00387142" w:rsidRPr="008B6A75" w:rsidRDefault="00387142" w:rsidP="00387142">
            <w:pPr>
              <w:jc w:val="center"/>
              <w:rPr>
                <w:sz w:val="20"/>
                <w:szCs w:val="20"/>
              </w:rPr>
            </w:pPr>
            <w:r w:rsidRPr="008B6A75">
              <w:rPr>
                <w:sz w:val="20"/>
                <w:szCs w:val="20"/>
              </w:rPr>
              <w:t>99.0.00.70179</w:t>
            </w:r>
          </w:p>
        </w:tc>
        <w:tc>
          <w:tcPr>
            <w:tcW w:w="850" w:type="dxa"/>
            <w:tcBorders>
              <w:top w:val="nil"/>
              <w:left w:val="single" w:sz="4" w:space="0" w:color="auto"/>
              <w:bottom w:val="single" w:sz="4" w:space="0" w:color="auto"/>
              <w:right w:val="nil"/>
            </w:tcBorders>
            <w:shd w:val="clear" w:color="auto" w:fill="auto"/>
            <w:noWrap/>
            <w:vAlign w:val="center"/>
            <w:hideMark/>
          </w:tcPr>
          <w:p w14:paraId="3BD6C626" w14:textId="77777777" w:rsidR="00387142" w:rsidRPr="008B6A75" w:rsidRDefault="00387142" w:rsidP="00387142">
            <w:pPr>
              <w:jc w:val="center"/>
              <w:rPr>
                <w:sz w:val="20"/>
                <w:szCs w:val="20"/>
              </w:rPr>
            </w:pPr>
            <w:r w:rsidRPr="008B6A75">
              <w:rPr>
                <w:sz w:val="20"/>
                <w:szCs w:val="20"/>
              </w:rPr>
              <w:t>610</w:t>
            </w:r>
          </w:p>
        </w:tc>
        <w:tc>
          <w:tcPr>
            <w:tcW w:w="567" w:type="dxa"/>
            <w:tcBorders>
              <w:top w:val="nil"/>
              <w:left w:val="single" w:sz="4" w:space="0" w:color="auto"/>
              <w:bottom w:val="single" w:sz="4" w:space="0" w:color="auto"/>
              <w:right w:val="nil"/>
            </w:tcBorders>
            <w:shd w:val="clear" w:color="auto" w:fill="auto"/>
            <w:noWrap/>
            <w:vAlign w:val="center"/>
            <w:hideMark/>
          </w:tcPr>
          <w:p w14:paraId="397C77B2" w14:textId="77777777" w:rsidR="00387142" w:rsidRPr="008B6A75" w:rsidRDefault="00387142" w:rsidP="00387142">
            <w:pPr>
              <w:jc w:val="center"/>
              <w:rPr>
                <w:sz w:val="20"/>
                <w:szCs w:val="20"/>
              </w:rPr>
            </w:pPr>
            <w:r w:rsidRPr="008B6A75">
              <w:rPr>
                <w:sz w:val="20"/>
                <w:szCs w:val="20"/>
              </w:rPr>
              <w:t>07</w:t>
            </w:r>
          </w:p>
        </w:tc>
        <w:tc>
          <w:tcPr>
            <w:tcW w:w="567" w:type="dxa"/>
            <w:tcBorders>
              <w:top w:val="nil"/>
              <w:left w:val="single" w:sz="4" w:space="0" w:color="auto"/>
              <w:bottom w:val="single" w:sz="4" w:space="0" w:color="auto"/>
              <w:right w:val="nil"/>
            </w:tcBorders>
            <w:shd w:val="clear" w:color="auto" w:fill="auto"/>
            <w:noWrap/>
            <w:vAlign w:val="center"/>
            <w:hideMark/>
          </w:tcPr>
          <w:p w14:paraId="7708C3F9" w14:textId="77777777" w:rsidR="00387142" w:rsidRPr="008B6A75" w:rsidRDefault="00387142" w:rsidP="00387142">
            <w:pPr>
              <w:jc w:val="center"/>
              <w:rPr>
                <w:sz w:val="20"/>
                <w:szCs w:val="20"/>
              </w:rPr>
            </w:pPr>
            <w:r w:rsidRPr="008B6A75">
              <w:rPr>
                <w:sz w:val="20"/>
                <w:szCs w:val="20"/>
              </w:rPr>
              <w:t>07</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6531F45" w14:textId="77777777" w:rsidR="00387142" w:rsidRPr="008B6A75" w:rsidRDefault="00387142" w:rsidP="00387142">
            <w:pPr>
              <w:jc w:val="right"/>
              <w:rPr>
                <w:sz w:val="20"/>
                <w:szCs w:val="20"/>
              </w:rPr>
            </w:pPr>
            <w:r w:rsidRPr="008B6A75">
              <w:rPr>
                <w:sz w:val="20"/>
                <w:szCs w:val="20"/>
              </w:rPr>
              <w:t>10 200,00</w:t>
            </w:r>
          </w:p>
        </w:tc>
        <w:tc>
          <w:tcPr>
            <w:tcW w:w="851" w:type="dxa"/>
            <w:tcBorders>
              <w:top w:val="nil"/>
              <w:left w:val="single" w:sz="4" w:space="0" w:color="auto"/>
              <w:bottom w:val="single" w:sz="4" w:space="0" w:color="auto"/>
              <w:right w:val="nil"/>
            </w:tcBorders>
            <w:shd w:val="clear" w:color="auto" w:fill="auto"/>
            <w:noWrap/>
            <w:vAlign w:val="center"/>
            <w:hideMark/>
          </w:tcPr>
          <w:p w14:paraId="5DE35EA0" w14:textId="77777777" w:rsidR="00387142" w:rsidRPr="008B6A75" w:rsidRDefault="00387142" w:rsidP="00387142">
            <w:pPr>
              <w:jc w:val="right"/>
              <w:rPr>
                <w:sz w:val="20"/>
                <w:szCs w:val="20"/>
              </w:rPr>
            </w:pPr>
            <w:r w:rsidRPr="008B6A75">
              <w:rPr>
                <w:sz w:val="20"/>
                <w:szCs w:val="20"/>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76B201AE" w14:textId="77777777" w:rsidR="00387142" w:rsidRPr="008B6A75" w:rsidRDefault="00387142" w:rsidP="00387142">
            <w:pPr>
              <w:jc w:val="right"/>
              <w:rPr>
                <w:sz w:val="20"/>
                <w:szCs w:val="20"/>
              </w:rPr>
            </w:pPr>
            <w:r w:rsidRPr="008B6A75">
              <w:rPr>
                <w:sz w:val="20"/>
                <w:szCs w:val="20"/>
              </w:rPr>
              <w:t>0,00</w:t>
            </w:r>
          </w:p>
        </w:tc>
      </w:tr>
      <w:tr w:rsidR="00387142" w:rsidRPr="008B6A75" w14:paraId="75E11D33" w14:textId="77777777" w:rsidTr="00387142">
        <w:trPr>
          <w:trHeight w:val="1155"/>
        </w:trPr>
        <w:tc>
          <w:tcPr>
            <w:tcW w:w="272" w:type="dxa"/>
            <w:tcBorders>
              <w:top w:val="nil"/>
              <w:left w:val="nil"/>
              <w:bottom w:val="nil"/>
              <w:right w:val="single" w:sz="4" w:space="0" w:color="auto"/>
            </w:tcBorders>
            <w:shd w:val="clear" w:color="auto" w:fill="auto"/>
            <w:noWrap/>
            <w:vAlign w:val="bottom"/>
            <w:hideMark/>
          </w:tcPr>
          <w:p w14:paraId="1DBAC5A0"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213C3A2F" w14:textId="77777777" w:rsidR="00387142" w:rsidRPr="008B6A75" w:rsidRDefault="00387142" w:rsidP="00387142">
            <w:pPr>
              <w:rPr>
                <w:bCs/>
                <w:sz w:val="20"/>
                <w:szCs w:val="20"/>
              </w:rPr>
            </w:pPr>
            <w:r w:rsidRPr="008B6A75">
              <w:rPr>
                <w:bCs/>
                <w:sz w:val="20"/>
                <w:szCs w:val="20"/>
              </w:rPr>
              <w:t>Осуществление отдельных государственных полномочий Новосибирской области по обеспечению социального обслуживания отдельных категорий граждан</w:t>
            </w:r>
          </w:p>
        </w:tc>
        <w:tc>
          <w:tcPr>
            <w:tcW w:w="1559" w:type="dxa"/>
            <w:tcBorders>
              <w:top w:val="nil"/>
              <w:left w:val="single" w:sz="4" w:space="0" w:color="auto"/>
              <w:bottom w:val="single" w:sz="4" w:space="0" w:color="auto"/>
              <w:right w:val="nil"/>
            </w:tcBorders>
            <w:shd w:val="clear" w:color="auto" w:fill="auto"/>
            <w:noWrap/>
            <w:vAlign w:val="center"/>
            <w:hideMark/>
          </w:tcPr>
          <w:p w14:paraId="1E90D340" w14:textId="77777777" w:rsidR="00387142" w:rsidRPr="008B6A75" w:rsidRDefault="00387142" w:rsidP="00387142">
            <w:pPr>
              <w:jc w:val="center"/>
              <w:rPr>
                <w:bCs/>
                <w:sz w:val="20"/>
                <w:szCs w:val="20"/>
              </w:rPr>
            </w:pPr>
            <w:r w:rsidRPr="008B6A75">
              <w:rPr>
                <w:bCs/>
                <w:sz w:val="20"/>
                <w:szCs w:val="20"/>
              </w:rPr>
              <w:t>99.0.00.70180</w:t>
            </w:r>
          </w:p>
        </w:tc>
        <w:tc>
          <w:tcPr>
            <w:tcW w:w="850" w:type="dxa"/>
            <w:tcBorders>
              <w:top w:val="nil"/>
              <w:left w:val="single" w:sz="4" w:space="0" w:color="auto"/>
              <w:bottom w:val="single" w:sz="4" w:space="0" w:color="auto"/>
              <w:right w:val="nil"/>
            </w:tcBorders>
            <w:shd w:val="clear" w:color="auto" w:fill="auto"/>
            <w:noWrap/>
            <w:vAlign w:val="center"/>
            <w:hideMark/>
          </w:tcPr>
          <w:p w14:paraId="3504FE3D" w14:textId="77777777" w:rsidR="00387142" w:rsidRPr="008B6A75" w:rsidRDefault="00387142" w:rsidP="00387142">
            <w:pPr>
              <w:jc w:val="center"/>
              <w:rPr>
                <w:bCs/>
                <w:sz w:val="20"/>
                <w:szCs w:val="20"/>
              </w:rPr>
            </w:pPr>
            <w:r w:rsidRPr="008B6A75">
              <w:rPr>
                <w:bCs/>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1B9A48A6" w14:textId="77777777" w:rsidR="00387142" w:rsidRPr="008B6A75" w:rsidRDefault="00387142" w:rsidP="00387142">
            <w:pPr>
              <w:jc w:val="center"/>
              <w:rPr>
                <w:bCs/>
                <w:sz w:val="20"/>
                <w:szCs w:val="20"/>
              </w:rPr>
            </w:pPr>
            <w:r w:rsidRPr="008B6A75">
              <w:rPr>
                <w:bCs/>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08E1BDA8" w14:textId="77777777" w:rsidR="00387142" w:rsidRPr="008B6A75" w:rsidRDefault="00387142" w:rsidP="00387142">
            <w:pPr>
              <w:jc w:val="center"/>
              <w:rPr>
                <w:bCs/>
                <w:sz w:val="20"/>
                <w:szCs w:val="20"/>
              </w:rPr>
            </w:pPr>
            <w:r w:rsidRPr="008B6A75">
              <w:rPr>
                <w:bCs/>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7359618" w14:textId="77777777" w:rsidR="00387142" w:rsidRPr="008B6A75" w:rsidRDefault="00387142" w:rsidP="00387142">
            <w:pPr>
              <w:jc w:val="right"/>
              <w:rPr>
                <w:bCs/>
                <w:sz w:val="20"/>
                <w:szCs w:val="20"/>
              </w:rPr>
            </w:pPr>
            <w:r w:rsidRPr="008B6A75">
              <w:rPr>
                <w:bCs/>
                <w:sz w:val="20"/>
                <w:szCs w:val="20"/>
              </w:rPr>
              <w:t>83 913 100,00</w:t>
            </w:r>
          </w:p>
        </w:tc>
        <w:tc>
          <w:tcPr>
            <w:tcW w:w="851" w:type="dxa"/>
            <w:tcBorders>
              <w:top w:val="nil"/>
              <w:left w:val="single" w:sz="4" w:space="0" w:color="auto"/>
              <w:bottom w:val="single" w:sz="4" w:space="0" w:color="auto"/>
              <w:right w:val="nil"/>
            </w:tcBorders>
            <w:shd w:val="clear" w:color="auto" w:fill="auto"/>
            <w:noWrap/>
            <w:vAlign w:val="center"/>
            <w:hideMark/>
          </w:tcPr>
          <w:p w14:paraId="3DCBFC2C" w14:textId="77777777" w:rsidR="00387142" w:rsidRPr="008B6A75" w:rsidRDefault="00387142" w:rsidP="00387142">
            <w:pPr>
              <w:jc w:val="right"/>
              <w:rPr>
                <w:bCs/>
                <w:sz w:val="20"/>
                <w:szCs w:val="20"/>
              </w:rPr>
            </w:pPr>
            <w:r w:rsidRPr="008B6A75">
              <w:rPr>
                <w:bCs/>
                <w:sz w:val="20"/>
                <w:szCs w:val="20"/>
              </w:rPr>
              <w:t>82 983 700,00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5595FB93" w14:textId="77777777" w:rsidR="00387142" w:rsidRPr="008B6A75" w:rsidRDefault="00387142" w:rsidP="00387142">
            <w:pPr>
              <w:jc w:val="right"/>
              <w:rPr>
                <w:bCs/>
                <w:sz w:val="20"/>
                <w:szCs w:val="20"/>
              </w:rPr>
            </w:pPr>
            <w:r w:rsidRPr="008B6A75">
              <w:rPr>
                <w:bCs/>
                <w:sz w:val="20"/>
                <w:szCs w:val="20"/>
              </w:rPr>
              <w:t>88 119 700,00</w:t>
            </w:r>
          </w:p>
        </w:tc>
      </w:tr>
      <w:tr w:rsidR="00387142" w:rsidRPr="008B6A75" w14:paraId="2DA9DCC7" w14:textId="77777777" w:rsidTr="00387142">
        <w:trPr>
          <w:trHeight w:val="1440"/>
        </w:trPr>
        <w:tc>
          <w:tcPr>
            <w:tcW w:w="272" w:type="dxa"/>
            <w:tcBorders>
              <w:top w:val="nil"/>
              <w:left w:val="nil"/>
              <w:bottom w:val="nil"/>
              <w:right w:val="single" w:sz="4" w:space="0" w:color="auto"/>
            </w:tcBorders>
            <w:shd w:val="clear" w:color="auto" w:fill="auto"/>
            <w:noWrap/>
            <w:vAlign w:val="bottom"/>
            <w:hideMark/>
          </w:tcPr>
          <w:p w14:paraId="582A35D2" w14:textId="77777777" w:rsidR="00387142" w:rsidRPr="008B6A75" w:rsidRDefault="00387142" w:rsidP="00387142">
            <w:pPr>
              <w:rPr>
                <w:sz w:val="20"/>
                <w:szCs w:val="20"/>
              </w:rPr>
            </w:pPr>
            <w:r w:rsidRPr="008B6A75">
              <w:rPr>
                <w:sz w:val="20"/>
                <w:szCs w:val="20"/>
              </w:rPr>
              <w:lastRenderedPageBreak/>
              <w:t> </w:t>
            </w:r>
          </w:p>
        </w:tc>
        <w:tc>
          <w:tcPr>
            <w:tcW w:w="3415" w:type="dxa"/>
            <w:tcBorders>
              <w:top w:val="nil"/>
              <w:left w:val="single" w:sz="4" w:space="0" w:color="auto"/>
              <w:bottom w:val="single" w:sz="4" w:space="0" w:color="auto"/>
              <w:right w:val="nil"/>
            </w:tcBorders>
            <w:shd w:val="clear" w:color="auto" w:fill="auto"/>
            <w:vAlign w:val="center"/>
            <w:hideMark/>
          </w:tcPr>
          <w:p w14:paraId="665FA2B6" w14:textId="77777777" w:rsidR="00387142" w:rsidRPr="008B6A75" w:rsidRDefault="00387142" w:rsidP="00387142">
            <w:pPr>
              <w:rPr>
                <w:sz w:val="20"/>
                <w:szCs w:val="20"/>
              </w:rPr>
            </w:pPr>
            <w:r w:rsidRPr="008B6A7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single" w:sz="4" w:space="0" w:color="auto"/>
              <w:bottom w:val="single" w:sz="4" w:space="0" w:color="auto"/>
              <w:right w:val="nil"/>
            </w:tcBorders>
            <w:shd w:val="clear" w:color="auto" w:fill="auto"/>
            <w:noWrap/>
            <w:vAlign w:val="center"/>
            <w:hideMark/>
          </w:tcPr>
          <w:p w14:paraId="7DF20FC2" w14:textId="77777777" w:rsidR="00387142" w:rsidRPr="008B6A75" w:rsidRDefault="00387142" w:rsidP="00387142">
            <w:pPr>
              <w:jc w:val="center"/>
              <w:rPr>
                <w:sz w:val="20"/>
                <w:szCs w:val="20"/>
              </w:rPr>
            </w:pPr>
            <w:r w:rsidRPr="008B6A75">
              <w:rPr>
                <w:sz w:val="20"/>
                <w:szCs w:val="20"/>
              </w:rPr>
              <w:t>99.0.00.70180</w:t>
            </w:r>
          </w:p>
        </w:tc>
        <w:tc>
          <w:tcPr>
            <w:tcW w:w="850" w:type="dxa"/>
            <w:tcBorders>
              <w:top w:val="nil"/>
              <w:left w:val="single" w:sz="4" w:space="0" w:color="auto"/>
              <w:bottom w:val="single" w:sz="4" w:space="0" w:color="auto"/>
              <w:right w:val="nil"/>
            </w:tcBorders>
            <w:shd w:val="clear" w:color="auto" w:fill="auto"/>
            <w:noWrap/>
            <w:vAlign w:val="center"/>
            <w:hideMark/>
          </w:tcPr>
          <w:p w14:paraId="4A53780B" w14:textId="77777777" w:rsidR="00387142" w:rsidRPr="008B6A75" w:rsidRDefault="00387142" w:rsidP="00387142">
            <w:pPr>
              <w:jc w:val="center"/>
              <w:rPr>
                <w:sz w:val="20"/>
                <w:szCs w:val="20"/>
              </w:rPr>
            </w:pPr>
            <w:r w:rsidRPr="008B6A75">
              <w:rPr>
                <w:sz w:val="20"/>
                <w:szCs w:val="20"/>
              </w:rPr>
              <w:t>100</w:t>
            </w:r>
          </w:p>
        </w:tc>
        <w:tc>
          <w:tcPr>
            <w:tcW w:w="567" w:type="dxa"/>
            <w:tcBorders>
              <w:top w:val="nil"/>
              <w:left w:val="single" w:sz="4" w:space="0" w:color="auto"/>
              <w:bottom w:val="single" w:sz="4" w:space="0" w:color="auto"/>
              <w:right w:val="nil"/>
            </w:tcBorders>
            <w:shd w:val="clear" w:color="auto" w:fill="auto"/>
            <w:noWrap/>
            <w:vAlign w:val="center"/>
            <w:hideMark/>
          </w:tcPr>
          <w:p w14:paraId="7F310D7E" w14:textId="77777777" w:rsidR="00387142" w:rsidRPr="008B6A75" w:rsidRDefault="00387142" w:rsidP="00387142">
            <w:pPr>
              <w:jc w:val="center"/>
              <w:rPr>
                <w:sz w:val="20"/>
                <w:szCs w:val="20"/>
              </w:rPr>
            </w:pPr>
            <w:r w:rsidRPr="008B6A75">
              <w:rPr>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17DF9044" w14:textId="77777777" w:rsidR="00387142" w:rsidRPr="008B6A75" w:rsidRDefault="00387142" w:rsidP="00387142">
            <w:pPr>
              <w:jc w:val="center"/>
              <w:rPr>
                <w:sz w:val="20"/>
                <w:szCs w:val="20"/>
              </w:rPr>
            </w:pPr>
            <w:r w:rsidRPr="008B6A75">
              <w:rPr>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6AE2CFC" w14:textId="77777777" w:rsidR="00387142" w:rsidRPr="008B6A75" w:rsidRDefault="00387142" w:rsidP="00387142">
            <w:pPr>
              <w:jc w:val="right"/>
              <w:rPr>
                <w:sz w:val="20"/>
                <w:szCs w:val="20"/>
              </w:rPr>
            </w:pPr>
            <w:r w:rsidRPr="008B6A75">
              <w:rPr>
                <w:sz w:val="20"/>
                <w:szCs w:val="20"/>
              </w:rPr>
              <w:t>2 285 902,71</w:t>
            </w:r>
          </w:p>
        </w:tc>
        <w:tc>
          <w:tcPr>
            <w:tcW w:w="851" w:type="dxa"/>
            <w:tcBorders>
              <w:top w:val="nil"/>
              <w:left w:val="single" w:sz="4" w:space="0" w:color="auto"/>
              <w:bottom w:val="single" w:sz="4" w:space="0" w:color="auto"/>
              <w:right w:val="nil"/>
            </w:tcBorders>
            <w:shd w:val="clear" w:color="auto" w:fill="auto"/>
            <w:noWrap/>
            <w:vAlign w:val="center"/>
            <w:hideMark/>
          </w:tcPr>
          <w:p w14:paraId="1300A6CD" w14:textId="77777777" w:rsidR="00387142" w:rsidRPr="008B6A75" w:rsidRDefault="00387142" w:rsidP="00387142">
            <w:pPr>
              <w:jc w:val="right"/>
              <w:rPr>
                <w:sz w:val="20"/>
                <w:szCs w:val="20"/>
              </w:rPr>
            </w:pPr>
            <w:r w:rsidRPr="008B6A75">
              <w:rPr>
                <w:sz w:val="20"/>
                <w:szCs w:val="20"/>
              </w:rPr>
              <w:t>2 131 970,90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1B0BC5A4" w14:textId="77777777" w:rsidR="00387142" w:rsidRPr="008B6A75" w:rsidRDefault="00387142" w:rsidP="00387142">
            <w:pPr>
              <w:jc w:val="right"/>
              <w:rPr>
                <w:sz w:val="20"/>
                <w:szCs w:val="20"/>
              </w:rPr>
            </w:pPr>
            <w:r w:rsidRPr="008B6A75">
              <w:rPr>
                <w:sz w:val="20"/>
                <w:szCs w:val="20"/>
              </w:rPr>
              <w:t>2 220 054,55</w:t>
            </w:r>
          </w:p>
        </w:tc>
      </w:tr>
      <w:tr w:rsidR="00387142" w:rsidRPr="008B6A75" w14:paraId="50219FC7" w14:textId="77777777" w:rsidTr="00387142">
        <w:trPr>
          <w:trHeight w:val="585"/>
        </w:trPr>
        <w:tc>
          <w:tcPr>
            <w:tcW w:w="272" w:type="dxa"/>
            <w:tcBorders>
              <w:top w:val="nil"/>
              <w:left w:val="nil"/>
              <w:bottom w:val="nil"/>
              <w:right w:val="single" w:sz="4" w:space="0" w:color="auto"/>
            </w:tcBorders>
            <w:shd w:val="clear" w:color="auto" w:fill="auto"/>
            <w:noWrap/>
            <w:vAlign w:val="bottom"/>
            <w:hideMark/>
          </w:tcPr>
          <w:p w14:paraId="68877A9C"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307794FB" w14:textId="77777777" w:rsidR="00387142" w:rsidRPr="008B6A75" w:rsidRDefault="00387142" w:rsidP="00387142">
            <w:pPr>
              <w:rPr>
                <w:sz w:val="20"/>
                <w:szCs w:val="20"/>
              </w:rPr>
            </w:pPr>
            <w:r w:rsidRPr="008B6A75">
              <w:rPr>
                <w:sz w:val="20"/>
                <w:szCs w:val="20"/>
              </w:rPr>
              <w:t>Расходы на выплаты персоналу государственных (муниципальных) органов</w:t>
            </w:r>
          </w:p>
        </w:tc>
        <w:tc>
          <w:tcPr>
            <w:tcW w:w="1559" w:type="dxa"/>
            <w:tcBorders>
              <w:top w:val="nil"/>
              <w:left w:val="single" w:sz="4" w:space="0" w:color="auto"/>
              <w:bottom w:val="single" w:sz="4" w:space="0" w:color="auto"/>
              <w:right w:val="nil"/>
            </w:tcBorders>
            <w:shd w:val="clear" w:color="auto" w:fill="auto"/>
            <w:noWrap/>
            <w:vAlign w:val="center"/>
            <w:hideMark/>
          </w:tcPr>
          <w:p w14:paraId="769B20A5" w14:textId="77777777" w:rsidR="00387142" w:rsidRPr="008B6A75" w:rsidRDefault="00387142" w:rsidP="00387142">
            <w:pPr>
              <w:jc w:val="center"/>
              <w:rPr>
                <w:sz w:val="20"/>
                <w:szCs w:val="20"/>
              </w:rPr>
            </w:pPr>
            <w:r w:rsidRPr="008B6A75">
              <w:rPr>
                <w:sz w:val="20"/>
                <w:szCs w:val="20"/>
              </w:rPr>
              <w:t>99.0.00.70180</w:t>
            </w:r>
          </w:p>
        </w:tc>
        <w:tc>
          <w:tcPr>
            <w:tcW w:w="850" w:type="dxa"/>
            <w:tcBorders>
              <w:top w:val="nil"/>
              <w:left w:val="single" w:sz="4" w:space="0" w:color="auto"/>
              <w:bottom w:val="single" w:sz="4" w:space="0" w:color="auto"/>
              <w:right w:val="nil"/>
            </w:tcBorders>
            <w:shd w:val="clear" w:color="auto" w:fill="auto"/>
            <w:noWrap/>
            <w:vAlign w:val="center"/>
            <w:hideMark/>
          </w:tcPr>
          <w:p w14:paraId="38405460" w14:textId="77777777" w:rsidR="00387142" w:rsidRPr="008B6A75" w:rsidRDefault="00387142" w:rsidP="00387142">
            <w:pPr>
              <w:jc w:val="center"/>
              <w:rPr>
                <w:sz w:val="20"/>
                <w:szCs w:val="20"/>
              </w:rPr>
            </w:pPr>
            <w:r w:rsidRPr="008B6A75">
              <w:rPr>
                <w:sz w:val="20"/>
                <w:szCs w:val="20"/>
              </w:rPr>
              <w:t>120</w:t>
            </w:r>
          </w:p>
        </w:tc>
        <w:tc>
          <w:tcPr>
            <w:tcW w:w="567" w:type="dxa"/>
            <w:tcBorders>
              <w:top w:val="nil"/>
              <w:left w:val="single" w:sz="4" w:space="0" w:color="auto"/>
              <w:bottom w:val="single" w:sz="4" w:space="0" w:color="auto"/>
              <w:right w:val="nil"/>
            </w:tcBorders>
            <w:shd w:val="clear" w:color="auto" w:fill="auto"/>
            <w:noWrap/>
            <w:vAlign w:val="center"/>
            <w:hideMark/>
          </w:tcPr>
          <w:p w14:paraId="16F1B939" w14:textId="77777777" w:rsidR="00387142" w:rsidRPr="008B6A75" w:rsidRDefault="00387142" w:rsidP="00387142">
            <w:pPr>
              <w:jc w:val="center"/>
              <w:rPr>
                <w:sz w:val="20"/>
                <w:szCs w:val="20"/>
              </w:rPr>
            </w:pPr>
            <w:r w:rsidRPr="008B6A75">
              <w:rPr>
                <w:sz w:val="20"/>
                <w:szCs w:val="20"/>
              </w:rPr>
              <w:t>01</w:t>
            </w:r>
          </w:p>
        </w:tc>
        <w:tc>
          <w:tcPr>
            <w:tcW w:w="567" w:type="dxa"/>
            <w:tcBorders>
              <w:top w:val="nil"/>
              <w:left w:val="single" w:sz="4" w:space="0" w:color="auto"/>
              <w:bottom w:val="single" w:sz="4" w:space="0" w:color="auto"/>
              <w:right w:val="nil"/>
            </w:tcBorders>
            <w:shd w:val="clear" w:color="auto" w:fill="auto"/>
            <w:noWrap/>
            <w:vAlign w:val="center"/>
            <w:hideMark/>
          </w:tcPr>
          <w:p w14:paraId="525B8B16" w14:textId="77777777" w:rsidR="00387142" w:rsidRPr="008B6A75" w:rsidRDefault="00387142" w:rsidP="00387142">
            <w:pPr>
              <w:jc w:val="center"/>
              <w:rPr>
                <w:sz w:val="20"/>
                <w:szCs w:val="20"/>
              </w:rPr>
            </w:pPr>
            <w:r w:rsidRPr="008B6A75">
              <w:rPr>
                <w:sz w:val="20"/>
                <w:szCs w:val="20"/>
              </w:rPr>
              <w:t>04</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CF39A7E" w14:textId="77777777" w:rsidR="00387142" w:rsidRPr="008B6A75" w:rsidRDefault="00387142" w:rsidP="00387142">
            <w:pPr>
              <w:jc w:val="right"/>
              <w:rPr>
                <w:sz w:val="20"/>
                <w:szCs w:val="20"/>
              </w:rPr>
            </w:pPr>
            <w:r w:rsidRPr="008B6A75">
              <w:rPr>
                <w:sz w:val="20"/>
                <w:szCs w:val="20"/>
              </w:rPr>
              <w:t>2 285 902,71</w:t>
            </w:r>
          </w:p>
        </w:tc>
        <w:tc>
          <w:tcPr>
            <w:tcW w:w="851" w:type="dxa"/>
            <w:tcBorders>
              <w:top w:val="nil"/>
              <w:left w:val="single" w:sz="4" w:space="0" w:color="auto"/>
              <w:bottom w:val="single" w:sz="4" w:space="0" w:color="auto"/>
              <w:right w:val="nil"/>
            </w:tcBorders>
            <w:shd w:val="clear" w:color="auto" w:fill="auto"/>
            <w:noWrap/>
            <w:vAlign w:val="center"/>
            <w:hideMark/>
          </w:tcPr>
          <w:p w14:paraId="487AA2E6" w14:textId="77777777" w:rsidR="00387142" w:rsidRPr="008B6A75" w:rsidRDefault="00387142" w:rsidP="00387142">
            <w:pPr>
              <w:jc w:val="right"/>
              <w:rPr>
                <w:sz w:val="20"/>
                <w:szCs w:val="20"/>
              </w:rPr>
            </w:pPr>
            <w:r w:rsidRPr="008B6A75">
              <w:rPr>
                <w:sz w:val="20"/>
                <w:szCs w:val="20"/>
              </w:rPr>
              <w:t>2 131 970,90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23C82434" w14:textId="77777777" w:rsidR="00387142" w:rsidRPr="008B6A75" w:rsidRDefault="00387142" w:rsidP="00387142">
            <w:pPr>
              <w:jc w:val="right"/>
              <w:rPr>
                <w:sz w:val="20"/>
                <w:szCs w:val="20"/>
              </w:rPr>
            </w:pPr>
            <w:r w:rsidRPr="008B6A75">
              <w:rPr>
                <w:sz w:val="20"/>
                <w:szCs w:val="20"/>
              </w:rPr>
              <w:t>2 220 054,55</w:t>
            </w:r>
          </w:p>
        </w:tc>
      </w:tr>
      <w:tr w:rsidR="00387142" w:rsidRPr="008B6A75" w14:paraId="327C26AC" w14:textId="77777777" w:rsidTr="00387142">
        <w:trPr>
          <w:trHeight w:val="585"/>
        </w:trPr>
        <w:tc>
          <w:tcPr>
            <w:tcW w:w="272" w:type="dxa"/>
            <w:tcBorders>
              <w:top w:val="nil"/>
              <w:left w:val="nil"/>
              <w:bottom w:val="nil"/>
              <w:right w:val="single" w:sz="4" w:space="0" w:color="auto"/>
            </w:tcBorders>
            <w:shd w:val="clear" w:color="auto" w:fill="auto"/>
            <w:noWrap/>
            <w:vAlign w:val="bottom"/>
            <w:hideMark/>
          </w:tcPr>
          <w:p w14:paraId="34FB7AAC"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2E9DE91C" w14:textId="77777777" w:rsidR="00387142" w:rsidRPr="008B6A75" w:rsidRDefault="00387142" w:rsidP="00387142">
            <w:pPr>
              <w:rPr>
                <w:sz w:val="20"/>
                <w:szCs w:val="20"/>
              </w:rPr>
            </w:pPr>
            <w:r w:rsidRPr="008B6A75">
              <w:rPr>
                <w:sz w:val="20"/>
                <w:szCs w:val="20"/>
              </w:rPr>
              <w:t>Закупка товаров, работ и услуг для обеспечения государственных (муниципальных) нужд</w:t>
            </w:r>
          </w:p>
        </w:tc>
        <w:tc>
          <w:tcPr>
            <w:tcW w:w="1559" w:type="dxa"/>
            <w:tcBorders>
              <w:top w:val="nil"/>
              <w:left w:val="single" w:sz="4" w:space="0" w:color="auto"/>
              <w:bottom w:val="single" w:sz="4" w:space="0" w:color="auto"/>
              <w:right w:val="nil"/>
            </w:tcBorders>
            <w:shd w:val="clear" w:color="auto" w:fill="auto"/>
            <w:noWrap/>
            <w:vAlign w:val="center"/>
            <w:hideMark/>
          </w:tcPr>
          <w:p w14:paraId="7B049BBA" w14:textId="77777777" w:rsidR="00387142" w:rsidRPr="008B6A75" w:rsidRDefault="00387142" w:rsidP="00387142">
            <w:pPr>
              <w:jc w:val="center"/>
              <w:rPr>
                <w:sz w:val="20"/>
                <w:szCs w:val="20"/>
              </w:rPr>
            </w:pPr>
            <w:r w:rsidRPr="008B6A75">
              <w:rPr>
                <w:sz w:val="20"/>
                <w:szCs w:val="20"/>
              </w:rPr>
              <w:t>99.0.00.70180</w:t>
            </w:r>
          </w:p>
        </w:tc>
        <w:tc>
          <w:tcPr>
            <w:tcW w:w="850" w:type="dxa"/>
            <w:tcBorders>
              <w:top w:val="nil"/>
              <w:left w:val="single" w:sz="4" w:space="0" w:color="auto"/>
              <w:bottom w:val="single" w:sz="4" w:space="0" w:color="auto"/>
              <w:right w:val="nil"/>
            </w:tcBorders>
            <w:shd w:val="clear" w:color="auto" w:fill="auto"/>
            <w:noWrap/>
            <w:vAlign w:val="center"/>
            <w:hideMark/>
          </w:tcPr>
          <w:p w14:paraId="7AD7367D" w14:textId="77777777" w:rsidR="00387142" w:rsidRPr="008B6A75" w:rsidRDefault="00387142" w:rsidP="00387142">
            <w:pPr>
              <w:jc w:val="center"/>
              <w:rPr>
                <w:sz w:val="20"/>
                <w:szCs w:val="20"/>
              </w:rPr>
            </w:pPr>
            <w:r w:rsidRPr="008B6A75">
              <w:rPr>
                <w:sz w:val="20"/>
                <w:szCs w:val="20"/>
              </w:rPr>
              <w:t>200</w:t>
            </w:r>
          </w:p>
        </w:tc>
        <w:tc>
          <w:tcPr>
            <w:tcW w:w="567" w:type="dxa"/>
            <w:tcBorders>
              <w:top w:val="nil"/>
              <w:left w:val="single" w:sz="4" w:space="0" w:color="auto"/>
              <w:bottom w:val="single" w:sz="4" w:space="0" w:color="auto"/>
              <w:right w:val="nil"/>
            </w:tcBorders>
            <w:shd w:val="clear" w:color="auto" w:fill="auto"/>
            <w:noWrap/>
            <w:vAlign w:val="center"/>
            <w:hideMark/>
          </w:tcPr>
          <w:p w14:paraId="2D52466F" w14:textId="77777777" w:rsidR="00387142" w:rsidRPr="008B6A75" w:rsidRDefault="00387142" w:rsidP="00387142">
            <w:pPr>
              <w:jc w:val="center"/>
              <w:rPr>
                <w:sz w:val="20"/>
                <w:szCs w:val="20"/>
              </w:rPr>
            </w:pPr>
            <w:r w:rsidRPr="008B6A75">
              <w:rPr>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4864CEE4" w14:textId="77777777" w:rsidR="00387142" w:rsidRPr="008B6A75" w:rsidRDefault="00387142" w:rsidP="00387142">
            <w:pPr>
              <w:jc w:val="center"/>
              <w:rPr>
                <w:sz w:val="20"/>
                <w:szCs w:val="20"/>
              </w:rPr>
            </w:pPr>
            <w:r w:rsidRPr="008B6A75">
              <w:rPr>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E61CE01" w14:textId="77777777" w:rsidR="00387142" w:rsidRPr="008B6A75" w:rsidRDefault="00387142" w:rsidP="00387142">
            <w:pPr>
              <w:jc w:val="right"/>
              <w:rPr>
                <w:sz w:val="20"/>
                <w:szCs w:val="20"/>
              </w:rPr>
            </w:pPr>
            <w:r w:rsidRPr="008B6A75">
              <w:rPr>
                <w:sz w:val="20"/>
                <w:szCs w:val="20"/>
              </w:rPr>
              <w:t>2 016 461,85</w:t>
            </w:r>
          </w:p>
        </w:tc>
        <w:tc>
          <w:tcPr>
            <w:tcW w:w="851" w:type="dxa"/>
            <w:tcBorders>
              <w:top w:val="nil"/>
              <w:left w:val="single" w:sz="4" w:space="0" w:color="auto"/>
              <w:bottom w:val="single" w:sz="4" w:space="0" w:color="auto"/>
              <w:right w:val="nil"/>
            </w:tcBorders>
            <w:shd w:val="clear" w:color="auto" w:fill="auto"/>
            <w:noWrap/>
            <w:vAlign w:val="center"/>
            <w:hideMark/>
          </w:tcPr>
          <w:p w14:paraId="6928D9A6" w14:textId="77777777" w:rsidR="00387142" w:rsidRPr="008B6A75" w:rsidRDefault="00387142" w:rsidP="00387142">
            <w:pPr>
              <w:jc w:val="right"/>
              <w:rPr>
                <w:sz w:val="20"/>
                <w:szCs w:val="20"/>
              </w:rPr>
            </w:pPr>
            <w:r w:rsidRPr="008B6A75">
              <w:rPr>
                <w:sz w:val="20"/>
                <w:szCs w:val="20"/>
              </w:rPr>
              <w:t>260 029,10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5F32949D" w14:textId="77777777" w:rsidR="00387142" w:rsidRPr="008B6A75" w:rsidRDefault="00387142" w:rsidP="00387142">
            <w:pPr>
              <w:jc w:val="right"/>
              <w:rPr>
                <w:sz w:val="20"/>
                <w:szCs w:val="20"/>
              </w:rPr>
            </w:pPr>
            <w:r w:rsidRPr="008B6A75">
              <w:rPr>
                <w:sz w:val="20"/>
                <w:szCs w:val="20"/>
              </w:rPr>
              <w:t>268 041,44</w:t>
            </w:r>
          </w:p>
        </w:tc>
      </w:tr>
      <w:tr w:rsidR="00387142" w:rsidRPr="008B6A75" w14:paraId="172ED0B7" w14:textId="77777777" w:rsidTr="00387142">
        <w:trPr>
          <w:trHeight w:val="870"/>
        </w:trPr>
        <w:tc>
          <w:tcPr>
            <w:tcW w:w="272" w:type="dxa"/>
            <w:tcBorders>
              <w:top w:val="nil"/>
              <w:left w:val="nil"/>
              <w:bottom w:val="nil"/>
              <w:right w:val="single" w:sz="4" w:space="0" w:color="auto"/>
            </w:tcBorders>
            <w:shd w:val="clear" w:color="auto" w:fill="auto"/>
            <w:noWrap/>
            <w:vAlign w:val="bottom"/>
            <w:hideMark/>
          </w:tcPr>
          <w:p w14:paraId="5FE473F1"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5A40CE20" w14:textId="77777777" w:rsidR="00387142" w:rsidRPr="008B6A75" w:rsidRDefault="00387142" w:rsidP="00387142">
            <w:pPr>
              <w:rPr>
                <w:sz w:val="20"/>
                <w:szCs w:val="20"/>
              </w:rPr>
            </w:pPr>
            <w:r w:rsidRPr="008B6A75">
              <w:rPr>
                <w:sz w:val="20"/>
                <w:szCs w:val="20"/>
              </w:rPr>
              <w:t>Иные закупки товаров, работ и услуг для обеспечения государственных (муниципальных) нужд</w:t>
            </w:r>
          </w:p>
        </w:tc>
        <w:tc>
          <w:tcPr>
            <w:tcW w:w="1559" w:type="dxa"/>
            <w:tcBorders>
              <w:top w:val="nil"/>
              <w:left w:val="single" w:sz="4" w:space="0" w:color="auto"/>
              <w:bottom w:val="single" w:sz="4" w:space="0" w:color="auto"/>
              <w:right w:val="nil"/>
            </w:tcBorders>
            <w:shd w:val="clear" w:color="auto" w:fill="auto"/>
            <w:noWrap/>
            <w:vAlign w:val="center"/>
            <w:hideMark/>
          </w:tcPr>
          <w:p w14:paraId="033078D8" w14:textId="77777777" w:rsidR="00387142" w:rsidRPr="008B6A75" w:rsidRDefault="00387142" w:rsidP="00387142">
            <w:pPr>
              <w:jc w:val="center"/>
              <w:rPr>
                <w:sz w:val="20"/>
                <w:szCs w:val="20"/>
              </w:rPr>
            </w:pPr>
            <w:r w:rsidRPr="008B6A75">
              <w:rPr>
                <w:sz w:val="20"/>
                <w:szCs w:val="20"/>
              </w:rPr>
              <w:t>99.0.00.70180</w:t>
            </w:r>
          </w:p>
        </w:tc>
        <w:tc>
          <w:tcPr>
            <w:tcW w:w="850" w:type="dxa"/>
            <w:tcBorders>
              <w:top w:val="nil"/>
              <w:left w:val="single" w:sz="4" w:space="0" w:color="auto"/>
              <w:bottom w:val="single" w:sz="4" w:space="0" w:color="auto"/>
              <w:right w:val="nil"/>
            </w:tcBorders>
            <w:shd w:val="clear" w:color="auto" w:fill="auto"/>
            <w:noWrap/>
            <w:vAlign w:val="center"/>
            <w:hideMark/>
          </w:tcPr>
          <w:p w14:paraId="7598BA6D" w14:textId="77777777" w:rsidR="00387142" w:rsidRPr="008B6A75" w:rsidRDefault="00387142" w:rsidP="00387142">
            <w:pPr>
              <w:jc w:val="center"/>
              <w:rPr>
                <w:sz w:val="20"/>
                <w:szCs w:val="20"/>
              </w:rPr>
            </w:pPr>
            <w:r w:rsidRPr="008B6A75">
              <w:rPr>
                <w:sz w:val="20"/>
                <w:szCs w:val="20"/>
              </w:rPr>
              <w:t>240</w:t>
            </w:r>
          </w:p>
        </w:tc>
        <w:tc>
          <w:tcPr>
            <w:tcW w:w="567" w:type="dxa"/>
            <w:tcBorders>
              <w:top w:val="nil"/>
              <w:left w:val="single" w:sz="4" w:space="0" w:color="auto"/>
              <w:bottom w:val="single" w:sz="4" w:space="0" w:color="auto"/>
              <w:right w:val="nil"/>
            </w:tcBorders>
            <w:shd w:val="clear" w:color="auto" w:fill="auto"/>
            <w:noWrap/>
            <w:vAlign w:val="center"/>
            <w:hideMark/>
          </w:tcPr>
          <w:p w14:paraId="7F34DE22" w14:textId="77777777" w:rsidR="00387142" w:rsidRPr="008B6A75" w:rsidRDefault="00387142" w:rsidP="00387142">
            <w:pPr>
              <w:jc w:val="center"/>
              <w:rPr>
                <w:sz w:val="20"/>
                <w:szCs w:val="20"/>
              </w:rPr>
            </w:pPr>
            <w:r w:rsidRPr="008B6A75">
              <w:rPr>
                <w:sz w:val="20"/>
                <w:szCs w:val="20"/>
              </w:rPr>
              <w:t>01</w:t>
            </w:r>
          </w:p>
        </w:tc>
        <w:tc>
          <w:tcPr>
            <w:tcW w:w="567" w:type="dxa"/>
            <w:tcBorders>
              <w:top w:val="nil"/>
              <w:left w:val="single" w:sz="4" w:space="0" w:color="auto"/>
              <w:bottom w:val="single" w:sz="4" w:space="0" w:color="auto"/>
              <w:right w:val="nil"/>
            </w:tcBorders>
            <w:shd w:val="clear" w:color="auto" w:fill="auto"/>
            <w:noWrap/>
            <w:vAlign w:val="center"/>
            <w:hideMark/>
          </w:tcPr>
          <w:p w14:paraId="2A3ABCE8" w14:textId="77777777" w:rsidR="00387142" w:rsidRPr="008B6A75" w:rsidRDefault="00387142" w:rsidP="00387142">
            <w:pPr>
              <w:jc w:val="center"/>
              <w:rPr>
                <w:sz w:val="20"/>
                <w:szCs w:val="20"/>
              </w:rPr>
            </w:pPr>
            <w:r w:rsidRPr="008B6A75">
              <w:rPr>
                <w:sz w:val="20"/>
                <w:szCs w:val="20"/>
              </w:rPr>
              <w:t>04</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A6DE22E" w14:textId="77777777" w:rsidR="00387142" w:rsidRPr="008B6A75" w:rsidRDefault="00387142" w:rsidP="00387142">
            <w:pPr>
              <w:jc w:val="right"/>
              <w:rPr>
                <w:sz w:val="20"/>
                <w:szCs w:val="20"/>
              </w:rPr>
            </w:pPr>
            <w:r w:rsidRPr="008B6A75">
              <w:rPr>
                <w:sz w:val="20"/>
                <w:szCs w:val="20"/>
              </w:rPr>
              <w:t>145 561,85</w:t>
            </w:r>
          </w:p>
        </w:tc>
        <w:tc>
          <w:tcPr>
            <w:tcW w:w="851" w:type="dxa"/>
            <w:tcBorders>
              <w:top w:val="nil"/>
              <w:left w:val="single" w:sz="4" w:space="0" w:color="auto"/>
              <w:bottom w:val="single" w:sz="4" w:space="0" w:color="auto"/>
              <w:right w:val="nil"/>
            </w:tcBorders>
            <w:shd w:val="clear" w:color="auto" w:fill="auto"/>
            <w:noWrap/>
            <w:vAlign w:val="center"/>
            <w:hideMark/>
          </w:tcPr>
          <w:p w14:paraId="548AC6A4" w14:textId="77777777" w:rsidR="00387142" w:rsidRPr="008B6A75" w:rsidRDefault="00387142" w:rsidP="00387142">
            <w:pPr>
              <w:jc w:val="right"/>
              <w:rPr>
                <w:sz w:val="20"/>
                <w:szCs w:val="20"/>
              </w:rPr>
            </w:pPr>
            <w:r w:rsidRPr="008B6A75">
              <w:rPr>
                <w:sz w:val="20"/>
                <w:szCs w:val="20"/>
              </w:rPr>
              <w:t>260 029,10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6AF369CD" w14:textId="77777777" w:rsidR="00387142" w:rsidRPr="008B6A75" w:rsidRDefault="00387142" w:rsidP="00387142">
            <w:pPr>
              <w:jc w:val="right"/>
              <w:rPr>
                <w:sz w:val="20"/>
                <w:szCs w:val="20"/>
              </w:rPr>
            </w:pPr>
            <w:r w:rsidRPr="008B6A75">
              <w:rPr>
                <w:sz w:val="20"/>
                <w:szCs w:val="20"/>
              </w:rPr>
              <w:t>268 041,44</w:t>
            </w:r>
          </w:p>
        </w:tc>
      </w:tr>
      <w:tr w:rsidR="00387142" w:rsidRPr="008B6A75" w14:paraId="7369A46A" w14:textId="77777777" w:rsidTr="00387142">
        <w:trPr>
          <w:trHeight w:val="870"/>
        </w:trPr>
        <w:tc>
          <w:tcPr>
            <w:tcW w:w="272" w:type="dxa"/>
            <w:tcBorders>
              <w:top w:val="nil"/>
              <w:left w:val="nil"/>
              <w:bottom w:val="nil"/>
              <w:right w:val="single" w:sz="4" w:space="0" w:color="auto"/>
            </w:tcBorders>
            <w:shd w:val="clear" w:color="auto" w:fill="auto"/>
            <w:noWrap/>
            <w:vAlign w:val="bottom"/>
            <w:hideMark/>
          </w:tcPr>
          <w:p w14:paraId="7A09BE0A"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62CC835C" w14:textId="77777777" w:rsidR="00387142" w:rsidRPr="008B6A75" w:rsidRDefault="00387142" w:rsidP="00387142">
            <w:pPr>
              <w:rPr>
                <w:sz w:val="20"/>
                <w:szCs w:val="20"/>
              </w:rPr>
            </w:pPr>
            <w:r w:rsidRPr="008B6A75">
              <w:rPr>
                <w:sz w:val="20"/>
                <w:szCs w:val="20"/>
              </w:rPr>
              <w:t>Иные закупки товаров, работ и услуг для обеспечения государственных (муниципальных) нужд</w:t>
            </w:r>
          </w:p>
        </w:tc>
        <w:tc>
          <w:tcPr>
            <w:tcW w:w="1559" w:type="dxa"/>
            <w:tcBorders>
              <w:top w:val="nil"/>
              <w:left w:val="single" w:sz="4" w:space="0" w:color="auto"/>
              <w:bottom w:val="single" w:sz="4" w:space="0" w:color="auto"/>
              <w:right w:val="nil"/>
            </w:tcBorders>
            <w:shd w:val="clear" w:color="auto" w:fill="auto"/>
            <w:noWrap/>
            <w:vAlign w:val="center"/>
            <w:hideMark/>
          </w:tcPr>
          <w:p w14:paraId="5AD858D5" w14:textId="77777777" w:rsidR="00387142" w:rsidRPr="008B6A75" w:rsidRDefault="00387142" w:rsidP="00387142">
            <w:pPr>
              <w:jc w:val="center"/>
              <w:rPr>
                <w:sz w:val="20"/>
                <w:szCs w:val="20"/>
              </w:rPr>
            </w:pPr>
            <w:r w:rsidRPr="008B6A75">
              <w:rPr>
                <w:sz w:val="20"/>
                <w:szCs w:val="20"/>
              </w:rPr>
              <w:t>99.0.00.70180</w:t>
            </w:r>
          </w:p>
        </w:tc>
        <w:tc>
          <w:tcPr>
            <w:tcW w:w="850" w:type="dxa"/>
            <w:tcBorders>
              <w:top w:val="nil"/>
              <w:left w:val="single" w:sz="4" w:space="0" w:color="auto"/>
              <w:bottom w:val="single" w:sz="4" w:space="0" w:color="auto"/>
              <w:right w:val="nil"/>
            </w:tcBorders>
            <w:shd w:val="clear" w:color="auto" w:fill="auto"/>
            <w:noWrap/>
            <w:vAlign w:val="center"/>
            <w:hideMark/>
          </w:tcPr>
          <w:p w14:paraId="38D4B93F" w14:textId="77777777" w:rsidR="00387142" w:rsidRPr="008B6A75" w:rsidRDefault="00387142" w:rsidP="00387142">
            <w:pPr>
              <w:jc w:val="center"/>
              <w:rPr>
                <w:sz w:val="20"/>
                <w:szCs w:val="20"/>
              </w:rPr>
            </w:pPr>
            <w:r w:rsidRPr="008B6A75">
              <w:rPr>
                <w:sz w:val="20"/>
                <w:szCs w:val="20"/>
              </w:rPr>
              <w:t>240</w:t>
            </w:r>
          </w:p>
        </w:tc>
        <w:tc>
          <w:tcPr>
            <w:tcW w:w="567" w:type="dxa"/>
            <w:tcBorders>
              <w:top w:val="nil"/>
              <w:left w:val="single" w:sz="4" w:space="0" w:color="auto"/>
              <w:bottom w:val="single" w:sz="4" w:space="0" w:color="auto"/>
              <w:right w:val="nil"/>
            </w:tcBorders>
            <w:shd w:val="clear" w:color="auto" w:fill="auto"/>
            <w:noWrap/>
            <w:vAlign w:val="center"/>
            <w:hideMark/>
          </w:tcPr>
          <w:p w14:paraId="53D385DE" w14:textId="77777777" w:rsidR="00387142" w:rsidRPr="008B6A75" w:rsidRDefault="00387142" w:rsidP="00387142">
            <w:pPr>
              <w:jc w:val="center"/>
              <w:rPr>
                <w:sz w:val="20"/>
                <w:szCs w:val="20"/>
              </w:rPr>
            </w:pPr>
            <w:r w:rsidRPr="008B6A75">
              <w:rPr>
                <w:sz w:val="20"/>
                <w:szCs w:val="20"/>
              </w:rPr>
              <w:t>10</w:t>
            </w:r>
          </w:p>
        </w:tc>
        <w:tc>
          <w:tcPr>
            <w:tcW w:w="567" w:type="dxa"/>
            <w:tcBorders>
              <w:top w:val="nil"/>
              <w:left w:val="single" w:sz="4" w:space="0" w:color="auto"/>
              <w:bottom w:val="single" w:sz="4" w:space="0" w:color="auto"/>
              <w:right w:val="nil"/>
            </w:tcBorders>
            <w:shd w:val="clear" w:color="auto" w:fill="auto"/>
            <w:noWrap/>
            <w:vAlign w:val="center"/>
            <w:hideMark/>
          </w:tcPr>
          <w:p w14:paraId="74C389A2" w14:textId="77777777" w:rsidR="00387142" w:rsidRPr="008B6A75" w:rsidRDefault="00387142" w:rsidP="00387142">
            <w:pPr>
              <w:jc w:val="center"/>
              <w:rPr>
                <w:sz w:val="20"/>
                <w:szCs w:val="20"/>
              </w:rPr>
            </w:pPr>
            <w:r w:rsidRPr="008B6A75">
              <w:rPr>
                <w:sz w:val="20"/>
                <w:szCs w:val="20"/>
              </w:rPr>
              <w:t>02</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C8412F3" w14:textId="77777777" w:rsidR="00387142" w:rsidRPr="008B6A75" w:rsidRDefault="00387142" w:rsidP="00387142">
            <w:pPr>
              <w:jc w:val="right"/>
              <w:rPr>
                <w:sz w:val="20"/>
                <w:szCs w:val="20"/>
              </w:rPr>
            </w:pPr>
            <w:r w:rsidRPr="008B6A75">
              <w:rPr>
                <w:sz w:val="20"/>
                <w:szCs w:val="20"/>
              </w:rPr>
              <w:t>1 870 900,00</w:t>
            </w:r>
          </w:p>
        </w:tc>
        <w:tc>
          <w:tcPr>
            <w:tcW w:w="851" w:type="dxa"/>
            <w:tcBorders>
              <w:top w:val="nil"/>
              <w:left w:val="single" w:sz="4" w:space="0" w:color="auto"/>
              <w:bottom w:val="single" w:sz="4" w:space="0" w:color="auto"/>
              <w:right w:val="nil"/>
            </w:tcBorders>
            <w:shd w:val="clear" w:color="auto" w:fill="auto"/>
            <w:noWrap/>
            <w:vAlign w:val="center"/>
            <w:hideMark/>
          </w:tcPr>
          <w:p w14:paraId="41D7BAEF" w14:textId="77777777" w:rsidR="00387142" w:rsidRPr="008B6A75" w:rsidRDefault="00387142" w:rsidP="00387142">
            <w:pPr>
              <w:jc w:val="right"/>
              <w:rPr>
                <w:sz w:val="20"/>
                <w:szCs w:val="20"/>
              </w:rPr>
            </w:pPr>
            <w:r w:rsidRPr="008B6A75">
              <w:rPr>
                <w:sz w:val="20"/>
                <w:szCs w:val="20"/>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0C2B47AE" w14:textId="77777777" w:rsidR="00387142" w:rsidRPr="008B6A75" w:rsidRDefault="00387142" w:rsidP="00387142">
            <w:pPr>
              <w:jc w:val="right"/>
              <w:rPr>
                <w:sz w:val="20"/>
                <w:szCs w:val="20"/>
              </w:rPr>
            </w:pPr>
            <w:r w:rsidRPr="008B6A75">
              <w:rPr>
                <w:sz w:val="20"/>
                <w:szCs w:val="20"/>
              </w:rPr>
              <w:t>0,00</w:t>
            </w:r>
          </w:p>
        </w:tc>
      </w:tr>
      <w:tr w:rsidR="00387142" w:rsidRPr="008B6A75" w14:paraId="00DF0790" w14:textId="77777777" w:rsidTr="00387142">
        <w:trPr>
          <w:trHeight w:val="870"/>
        </w:trPr>
        <w:tc>
          <w:tcPr>
            <w:tcW w:w="272" w:type="dxa"/>
            <w:tcBorders>
              <w:top w:val="nil"/>
              <w:left w:val="nil"/>
              <w:bottom w:val="nil"/>
              <w:right w:val="single" w:sz="4" w:space="0" w:color="auto"/>
            </w:tcBorders>
            <w:shd w:val="clear" w:color="auto" w:fill="auto"/>
            <w:noWrap/>
            <w:vAlign w:val="bottom"/>
            <w:hideMark/>
          </w:tcPr>
          <w:p w14:paraId="36D57E47"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375A48BA" w14:textId="77777777" w:rsidR="00387142" w:rsidRPr="008B6A75" w:rsidRDefault="00387142" w:rsidP="00387142">
            <w:pPr>
              <w:rPr>
                <w:sz w:val="20"/>
                <w:szCs w:val="20"/>
              </w:rPr>
            </w:pPr>
            <w:r w:rsidRPr="008B6A75">
              <w:rPr>
                <w:sz w:val="20"/>
                <w:szCs w:val="20"/>
              </w:rPr>
              <w:t>Предоставление субсидий бюджетным, автономным учреждениям и иным некоммерческим организациям</w:t>
            </w:r>
          </w:p>
        </w:tc>
        <w:tc>
          <w:tcPr>
            <w:tcW w:w="1559" w:type="dxa"/>
            <w:tcBorders>
              <w:top w:val="nil"/>
              <w:left w:val="single" w:sz="4" w:space="0" w:color="auto"/>
              <w:bottom w:val="single" w:sz="4" w:space="0" w:color="auto"/>
              <w:right w:val="nil"/>
            </w:tcBorders>
            <w:shd w:val="clear" w:color="auto" w:fill="auto"/>
            <w:noWrap/>
            <w:vAlign w:val="center"/>
            <w:hideMark/>
          </w:tcPr>
          <w:p w14:paraId="1DA4E6BB" w14:textId="77777777" w:rsidR="00387142" w:rsidRPr="008B6A75" w:rsidRDefault="00387142" w:rsidP="00387142">
            <w:pPr>
              <w:jc w:val="center"/>
              <w:rPr>
                <w:sz w:val="20"/>
                <w:szCs w:val="20"/>
              </w:rPr>
            </w:pPr>
            <w:r w:rsidRPr="008B6A75">
              <w:rPr>
                <w:sz w:val="20"/>
                <w:szCs w:val="20"/>
              </w:rPr>
              <w:t>99.0.00.70180</w:t>
            </w:r>
          </w:p>
        </w:tc>
        <w:tc>
          <w:tcPr>
            <w:tcW w:w="850" w:type="dxa"/>
            <w:tcBorders>
              <w:top w:val="nil"/>
              <w:left w:val="single" w:sz="4" w:space="0" w:color="auto"/>
              <w:bottom w:val="single" w:sz="4" w:space="0" w:color="auto"/>
              <w:right w:val="nil"/>
            </w:tcBorders>
            <w:shd w:val="clear" w:color="auto" w:fill="auto"/>
            <w:noWrap/>
            <w:vAlign w:val="center"/>
            <w:hideMark/>
          </w:tcPr>
          <w:p w14:paraId="5A3461A2" w14:textId="77777777" w:rsidR="00387142" w:rsidRPr="008B6A75" w:rsidRDefault="00387142" w:rsidP="00387142">
            <w:pPr>
              <w:jc w:val="center"/>
              <w:rPr>
                <w:sz w:val="20"/>
                <w:szCs w:val="20"/>
              </w:rPr>
            </w:pPr>
            <w:r w:rsidRPr="008B6A75">
              <w:rPr>
                <w:sz w:val="20"/>
                <w:szCs w:val="20"/>
              </w:rPr>
              <w:t>600</w:t>
            </w:r>
          </w:p>
        </w:tc>
        <w:tc>
          <w:tcPr>
            <w:tcW w:w="567" w:type="dxa"/>
            <w:tcBorders>
              <w:top w:val="nil"/>
              <w:left w:val="single" w:sz="4" w:space="0" w:color="auto"/>
              <w:bottom w:val="single" w:sz="4" w:space="0" w:color="auto"/>
              <w:right w:val="nil"/>
            </w:tcBorders>
            <w:shd w:val="clear" w:color="auto" w:fill="auto"/>
            <w:noWrap/>
            <w:vAlign w:val="center"/>
            <w:hideMark/>
          </w:tcPr>
          <w:p w14:paraId="26926B8E" w14:textId="77777777" w:rsidR="00387142" w:rsidRPr="008B6A75" w:rsidRDefault="00387142" w:rsidP="00387142">
            <w:pPr>
              <w:jc w:val="center"/>
              <w:rPr>
                <w:sz w:val="20"/>
                <w:szCs w:val="20"/>
              </w:rPr>
            </w:pPr>
            <w:r w:rsidRPr="008B6A75">
              <w:rPr>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5A34E90C" w14:textId="77777777" w:rsidR="00387142" w:rsidRPr="008B6A75" w:rsidRDefault="00387142" w:rsidP="00387142">
            <w:pPr>
              <w:jc w:val="center"/>
              <w:rPr>
                <w:sz w:val="20"/>
                <w:szCs w:val="20"/>
              </w:rPr>
            </w:pPr>
            <w:r w:rsidRPr="008B6A75">
              <w:rPr>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ADD4F9F" w14:textId="77777777" w:rsidR="00387142" w:rsidRPr="008B6A75" w:rsidRDefault="00387142" w:rsidP="00387142">
            <w:pPr>
              <w:jc w:val="right"/>
              <w:rPr>
                <w:sz w:val="20"/>
                <w:szCs w:val="20"/>
              </w:rPr>
            </w:pPr>
            <w:r w:rsidRPr="008B6A75">
              <w:rPr>
                <w:sz w:val="20"/>
                <w:szCs w:val="20"/>
              </w:rPr>
              <w:t>79 610 735,44</w:t>
            </w:r>
          </w:p>
        </w:tc>
        <w:tc>
          <w:tcPr>
            <w:tcW w:w="851" w:type="dxa"/>
            <w:tcBorders>
              <w:top w:val="nil"/>
              <w:left w:val="single" w:sz="4" w:space="0" w:color="auto"/>
              <w:bottom w:val="single" w:sz="4" w:space="0" w:color="auto"/>
              <w:right w:val="nil"/>
            </w:tcBorders>
            <w:shd w:val="clear" w:color="auto" w:fill="auto"/>
            <w:noWrap/>
            <w:vAlign w:val="center"/>
            <w:hideMark/>
          </w:tcPr>
          <w:p w14:paraId="57444D91" w14:textId="77777777" w:rsidR="00387142" w:rsidRPr="008B6A75" w:rsidRDefault="00387142" w:rsidP="00387142">
            <w:pPr>
              <w:jc w:val="right"/>
              <w:rPr>
                <w:sz w:val="20"/>
                <w:szCs w:val="20"/>
              </w:rPr>
            </w:pPr>
            <w:r w:rsidRPr="008B6A75">
              <w:rPr>
                <w:sz w:val="20"/>
                <w:szCs w:val="20"/>
              </w:rPr>
              <w:t>80 591 700,00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7260A677" w14:textId="77777777" w:rsidR="00387142" w:rsidRPr="008B6A75" w:rsidRDefault="00387142" w:rsidP="00387142">
            <w:pPr>
              <w:jc w:val="right"/>
              <w:rPr>
                <w:sz w:val="20"/>
                <w:szCs w:val="20"/>
              </w:rPr>
            </w:pPr>
            <w:r w:rsidRPr="008B6A75">
              <w:rPr>
                <w:sz w:val="20"/>
                <w:szCs w:val="20"/>
              </w:rPr>
              <w:t>85 631 604,01</w:t>
            </w:r>
          </w:p>
        </w:tc>
      </w:tr>
      <w:tr w:rsidR="00387142" w:rsidRPr="008B6A75" w14:paraId="34A794AB" w14:textId="77777777" w:rsidTr="00387142">
        <w:trPr>
          <w:trHeight w:val="300"/>
        </w:trPr>
        <w:tc>
          <w:tcPr>
            <w:tcW w:w="272" w:type="dxa"/>
            <w:tcBorders>
              <w:top w:val="nil"/>
              <w:left w:val="nil"/>
              <w:bottom w:val="nil"/>
              <w:right w:val="single" w:sz="4" w:space="0" w:color="auto"/>
            </w:tcBorders>
            <w:shd w:val="clear" w:color="auto" w:fill="auto"/>
            <w:noWrap/>
            <w:vAlign w:val="bottom"/>
            <w:hideMark/>
          </w:tcPr>
          <w:p w14:paraId="0731DB2F"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1EB25293" w14:textId="77777777" w:rsidR="00387142" w:rsidRPr="008B6A75" w:rsidRDefault="00387142" w:rsidP="00387142">
            <w:pPr>
              <w:rPr>
                <w:sz w:val="20"/>
                <w:szCs w:val="20"/>
              </w:rPr>
            </w:pPr>
            <w:r w:rsidRPr="008B6A75">
              <w:rPr>
                <w:sz w:val="20"/>
                <w:szCs w:val="20"/>
              </w:rPr>
              <w:t>Субсидии бюджетным учреждениям</w:t>
            </w:r>
          </w:p>
        </w:tc>
        <w:tc>
          <w:tcPr>
            <w:tcW w:w="1559" w:type="dxa"/>
            <w:tcBorders>
              <w:top w:val="nil"/>
              <w:left w:val="single" w:sz="4" w:space="0" w:color="auto"/>
              <w:bottom w:val="single" w:sz="4" w:space="0" w:color="auto"/>
              <w:right w:val="nil"/>
            </w:tcBorders>
            <w:shd w:val="clear" w:color="auto" w:fill="auto"/>
            <w:noWrap/>
            <w:vAlign w:val="center"/>
            <w:hideMark/>
          </w:tcPr>
          <w:p w14:paraId="3A168EBB" w14:textId="77777777" w:rsidR="00387142" w:rsidRPr="008B6A75" w:rsidRDefault="00387142" w:rsidP="00387142">
            <w:pPr>
              <w:jc w:val="center"/>
              <w:rPr>
                <w:sz w:val="20"/>
                <w:szCs w:val="20"/>
              </w:rPr>
            </w:pPr>
            <w:r w:rsidRPr="008B6A75">
              <w:rPr>
                <w:sz w:val="20"/>
                <w:szCs w:val="20"/>
              </w:rPr>
              <w:t>99.0.00.70180</w:t>
            </w:r>
          </w:p>
        </w:tc>
        <w:tc>
          <w:tcPr>
            <w:tcW w:w="850" w:type="dxa"/>
            <w:tcBorders>
              <w:top w:val="nil"/>
              <w:left w:val="single" w:sz="4" w:space="0" w:color="auto"/>
              <w:bottom w:val="single" w:sz="4" w:space="0" w:color="auto"/>
              <w:right w:val="nil"/>
            </w:tcBorders>
            <w:shd w:val="clear" w:color="auto" w:fill="auto"/>
            <w:noWrap/>
            <w:vAlign w:val="center"/>
            <w:hideMark/>
          </w:tcPr>
          <w:p w14:paraId="0E6E7C68" w14:textId="77777777" w:rsidR="00387142" w:rsidRPr="008B6A75" w:rsidRDefault="00387142" w:rsidP="00387142">
            <w:pPr>
              <w:jc w:val="center"/>
              <w:rPr>
                <w:sz w:val="20"/>
                <w:szCs w:val="20"/>
              </w:rPr>
            </w:pPr>
            <w:r w:rsidRPr="008B6A75">
              <w:rPr>
                <w:sz w:val="20"/>
                <w:szCs w:val="20"/>
              </w:rPr>
              <w:t>610</w:t>
            </w:r>
          </w:p>
        </w:tc>
        <w:tc>
          <w:tcPr>
            <w:tcW w:w="567" w:type="dxa"/>
            <w:tcBorders>
              <w:top w:val="nil"/>
              <w:left w:val="single" w:sz="4" w:space="0" w:color="auto"/>
              <w:bottom w:val="single" w:sz="4" w:space="0" w:color="auto"/>
              <w:right w:val="nil"/>
            </w:tcBorders>
            <w:shd w:val="clear" w:color="auto" w:fill="auto"/>
            <w:noWrap/>
            <w:vAlign w:val="center"/>
            <w:hideMark/>
          </w:tcPr>
          <w:p w14:paraId="3FA7631E" w14:textId="77777777" w:rsidR="00387142" w:rsidRPr="008B6A75" w:rsidRDefault="00387142" w:rsidP="00387142">
            <w:pPr>
              <w:jc w:val="center"/>
              <w:rPr>
                <w:sz w:val="20"/>
                <w:szCs w:val="20"/>
              </w:rPr>
            </w:pPr>
            <w:r w:rsidRPr="008B6A75">
              <w:rPr>
                <w:sz w:val="20"/>
                <w:szCs w:val="20"/>
              </w:rPr>
              <w:t>10</w:t>
            </w:r>
          </w:p>
        </w:tc>
        <w:tc>
          <w:tcPr>
            <w:tcW w:w="567" w:type="dxa"/>
            <w:tcBorders>
              <w:top w:val="nil"/>
              <w:left w:val="single" w:sz="4" w:space="0" w:color="auto"/>
              <w:bottom w:val="single" w:sz="4" w:space="0" w:color="auto"/>
              <w:right w:val="nil"/>
            </w:tcBorders>
            <w:shd w:val="clear" w:color="auto" w:fill="auto"/>
            <w:noWrap/>
            <w:vAlign w:val="center"/>
            <w:hideMark/>
          </w:tcPr>
          <w:p w14:paraId="13925EBA" w14:textId="77777777" w:rsidR="00387142" w:rsidRPr="008B6A75" w:rsidRDefault="00387142" w:rsidP="00387142">
            <w:pPr>
              <w:jc w:val="center"/>
              <w:rPr>
                <w:sz w:val="20"/>
                <w:szCs w:val="20"/>
              </w:rPr>
            </w:pPr>
            <w:r w:rsidRPr="008B6A75">
              <w:rPr>
                <w:sz w:val="20"/>
                <w:szCs w:val="20"/>
              </w:rPr>
              <w:t>02</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148BD77" w14:textId="77777777" w:rsidR="00387142" w:rsidRPr="008B6A75" w:rsidRDefault="00387142" w:rsidP="00387142">
            <w:pPr>
              <w:jc w:val="right"/>
              <w:rPr>
                <w:sz w:val="20"/>
                <w:szCs w:val="20"/>
              </w:rPr>
            </w:pPr>
            <w:r w:rsidRPr="008B6A75">
              <w:rPr>
                <w:sz w:val="20"/>
                <w:szCs w:val="20"/>
              </w:rPr>
              <w:t>79 610 735,44</w:t>
            </w:r>
          </w:p>
        </w:tc>
        <w:tc>
          <w:tcPr>
            <w:tcW w:w="851" w:type="dxa"/>
            <w:tcBorders>
              <w:top w:val="nil"/>
              <w:left w:val="single" w:sz="4" w:space="0" w:color="auto"/>
              <w:bottom w:val="single" w:sz="4" w:space="0" w:color="auto"/>
              <w:right w:val="nil"/>
            </w:tcBorders>
            <w:shd w:val="clear" w:color="auto" w:fill="auto"/>
            <w:noWrap/>
            <w:vAlign w:val="center"/>
            <w:hideMark/>
          </w:tcPr>
          <w:p w14:paraId="0E996B68" w14:textId="77777777" w:rsidR="00387142" w:rsidRPr="008B6A75" w:rsidRDefault="00387142" w:rsidP="00387142">
            <w:pPr>
              <w:jc w:val="right"/>
              <w:rPr>
                <w:sz w:val="20"/>
                <w:szCs w:val="20"/>
              </w:rPr>
            </w:pPr>
            <w:r w:rsidRPr="008B6A75">
              <w:rPr>
                <w:sz w:val="20"/>
                <w:szCs w:val="20"/>
              </w:rPr>
              <w:t>80 591 700,00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2EBA1AEC" w14:textId="77777777" w:rsidR="00387142" w:rsidRPr="008B6A75" w:rsidRDefault="00387142" w:rsidP="00387142">
            <w:pPr>
              <w:jc w:val="right"/>
              <w:rPr>
                <w:sz w:val="20"/>
                <w:szCs w:val="20"/>
              </w:rPr>
            </w:pPr>
            <w:r w:rsidRPr="008B6A75">
              <w:rPr>
                <w:sz w:val="20"/>
                <w:szCs w:val="20"/>
              </w:rPr>
              <w:t>85 631 604,01</w:t>
            </w:r>
          </w:p>
        </w:tc>
      </w:tr>
      <w:tr w:rsidR="00387142" w:rsidRPr="008B6A75" w14:paraId="26B0606B" w14:textId="77777777" w:rsidTr="00387142">
        <w:trPr>
          <w:trHeight w:val="1155"/>
        </w:trPr>
        <w:tc>
          <w:tcPr>
            <w:tcW w:w="272" w:type="dxa"/>
            <w:tcBorders>
              <w:top w:val="nil"/>
              <w:left w:val="nil"/>
              <w:bottom w:val="nil"/>
              <w:right w:val="single" w:sz="4" w:space="0" w:color="auto"/>
            </w:tcBorders>
            <w:shd w:val="clear" w:color="auto" w:fill="auto"/>
            <w:noWrap/>
            <w:vAlign w:val="bottom"/>
            <w:hideMark/>
          </w:tcPr>
          <w:p w14:paraId="1BFF4229"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2A99D0CC" w14:textId="77777777" w:rsidR="00387142" w:rsidRPr="008B6A75" w:rsidRDefault="00387142" w:rsidP="00387142">
            <w:pPr>
              <w:rPr>
                <w:bCs/>
                <w:sz w:val="20"/>
                <w:szCs w:val="20"/>
              </w:rPr>
            </w:pPr>
            <w:r w:rsidRPr="008B6A75">
              <w:rPr>
                <w:bCs/>
                <w:sz w:val="20"/>
                <w:szCs w:val="20"/>
              </w:rPr>
              <w:t>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1559" w:type="dxa"/>
            <w:tcBorders>
              <w:top w:val="nil"/>
              <w:left w:val="single" w:sz="4" w:space="0" w:color="auto"/>
              <w:bottom w:val="single" w:sz="4" w:space="0" w:color="auto"/>
              <w:right w:val="nil"/>
            </w:tcBorders>
            <w:shd w:val="clear" w:color="auto" w:fill="auto"/>
            <w:noWrap/>
            <w:vAlign w:val="center"/>
            <w:hideMark/>
          </w:tcPr>
          <w:p w14:paraId="69EBFAE6" w14:textId="77777777" w:rsidR="00387142" w:rsidRPr="008B6A75" w:rsidRDefault="00387142" w:rsidP="00387142">
            <w:pPr>
              <w:jc w:val="center"/>
              <w:rPr>
                <w:bCs/>
                <w:sz w:val="20"/>
                <w:szCs w:val="20"/>
              </w:rPr>
            </w:pPr>
            <w:r w:rsidRPr="008B6A75">
              <w:rPr>
                <w:bCs/>
                <w:sz w:val="20"/>
                <w:szCs w:val="20"/>
              </w:rPr>
              <w:t>99.0.00.70190</w:t>
            </w:r>
          </w:p>
        </w:tc>
        <w:tc>
          <w:tcPr>
            <w:tcW w:w="850" w:type="dxa"/>
            <w:tcBorders>
              <w:top w:val="nil"/>
              <w:left w:val="single" w:sz="4" w:space="0" w:color="auto"/>
              <w:bottom w:val="single" w:sz="4" w:space="0" w:color="auto"/>
              <w:right w:val="nil"/>
            </w:tcBorders>
            <w:shd w:val="clear" w:color="auto" w:fill="auto"/>
            <w:noWrap/>
            <w:vAlign w:val="center"/>
            <w:hideMark/>
          </w:tcPr>
          <w:p w14:paraId="1D052CC3" w14:textId="77777777" w:rsidR="00387142" w:rsidRPr="008B6A75" w:rsidRDefault="00387142" w:rsidP="00387142">
            <w:pPr>
              <w:jc w:val="center"/>
              <w:rPr>
                <w:bCs/>
                <w:sz w:val="20"/>
                <w:szCs w:val="20"/>
              </w:rPr>
            </w:pPr>
            <w:r w:rsidRPr="008B6A75">
              <w:rPr>
                <w:bCs/>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6A92FB32" w14:textId="77777777" w:rsidR="00387142" w:rsidRPr="008B6A75" w:rsidRDefault="00387142" w:rsidP="00387142">
            <w:pPr>
              <w:jc w:val="center"/>
              <w:rPr>
                <w:bCs/>
                <w:sz w:val="20"/>
                <w:szCs w:val="20"/>
              </w:rPr>
            </w:pPr>
            <w:r w:rsidRPr="008B6A75">
              <w:rPr>
                <w:bCs/>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23BB9C82" w14:textId="77777777" w:rsidR="00387142" w:rsidRPr="008B6A75" w:rsidRDefault="00387142" w:rsidP="00387142">
            <w:pPr>
              <w:jc w:val="center"/>
              <w:rPr>
                <w:bCs/>
                <w:sz w:val="20"/>
                <w:szCs w:val="20"/>
              </w:rPr>
            </w:pPr>
            <w:r w:rsidRPr="008B6A75">
              <w:rPr>
                <w:bCs/>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F6FFDEB" w14:textId="77777777" w:rsidR="00387142" w:rsidRPr="008B6A75" w:rsidRDefault="00387142" w:rsidP="00387142">
            <w:pPr>
              <w:jc w:val="right"/>
              <w:rPr>
                <w:bCs/>
                <w:sz w:val="20"/>
                <w:szCs w:val="20"/>
              </w:rPr>
            </w:pPr>
            <w:r w:rsidRPr="008B6A75">
              <w:rPr>
                <w:bCs/>
                <w:sz w:val="20"/>
                <w:szCs w:val="20"/>
              </w:rPr>
              <w:t>6 780,00</w:t>
            </w:r>
          </w:p>
        </w:tc>
        <w:tc>
          <w:tcPr>
            <w:tcW w:w="851" w:type="dxa"/>
            <w:tcBorders>
              <w:top w:val="nil"/>
              <w:left w:val="single" w:sz="4" w:space="0" w:color="auto"/>
              <w:bottom w:val="single" w:sz="4" w:space="0" w:color="auto"/>
              <w:right w:val="nil"/>
            </w:tcBorders>
            <w:shd w:val="clear" w:color="auto" w:fill="auto"/>
            <w:noWrap/>
            <w:vAlign w:val="center"/>
            <w:hideMark/>
          </w:tcPr>
          <w:p w14:paraId="366D0048" w14:textId="77777777" w:rsidR="00387142" w:rsidRPr="008B6A75" w:rsidRDefault="00387142" w:rsidP="00387142">
            <w:pPr>
              <w:jc w:val="right"/>
              <w:rPr>
                <w:bCs/>
                <w:sz w:val="20"/>
                <w:szCs w:val="20"/>
              </w:rPr>
            </w:pPr>
            <w:r w:rsidRPr="008B6A75">
              <w:rPr>
                <w:bCs/>
                <w:sz w:val="20"/>
                <w:szCs w:val="20"/>
              </w:rPr>
              <w:t>6 580,00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0EB090D1" w14:textId="77777777" w:rsidR="00387142" w:rsidRPr="008B6A75" w:rsidRDefault="00387142" w:rsidP="00387142">
            <w:pPr>
              <w:jc w:val="right"/>
              <w:rPr>
                <w:bCs/>
                <w:sz w:val="20"/>
                <w:szCs w:val="20"/>
              </w:rPr>
            </w:pPr>
            <w:r w:rsidRPr="008B6A75">
              <w:rPr>
                <w:bCs/>
                <w:sz w:val="20"/>
                <w:szCs w:val="20"/>
              </w:rPr>
              <w:t>6 850,00</w:t>
            </w:r>
          </w:p>
        </w:tc>
      </w:tr>
      <w:tr w:rsidR="00387142" w:rsidRPr="008B6A75" w14:paraId="42135D9E" w14:textId="77777777" w:rsidTr="00387142">
        <w:trPr>
          <w:trHeight w:val="1440"/>
        </w:trPr>
        <w:tc>
          <w:tcPr>
            <w:tcW w:w="272" w:type="dxa"/>
            <w:tcBorders>
              <w:top w:val="nil"/>
              <w:left w:val="nil"/>
              <w:bottom w:val="nil"/>
              <w:right w:val="single" w:sz="4" w:space="0" w:color="auto"/>
            </w:tcBorders>
            <w:shd w:val="clear" w:color="auto" w:fill="auto"/>
            <w:noWrap/>
            <w:vAlign w:val="bottom"/>
            <w:hideMark/>
          </w:tcPr>
          <w:p w14:paraId="576FAF14"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729C73AB" w14:textId="77777777" w:rsidR="00387142" w:rsidRPr="008B6A75" w:rsidRDefault="00387142" w:rsidP="00387142">
            <w:pPr>
              <w:rPr>
                <w:sz w:val="20"/>
                <w:szCs w:val="20"/>
              </w:rPr>
            </w:pPr>
            <w:r w:rsidRPr="008B6A7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single" w:sz="4" w:space="0" w:color="auto"/>
              <w:bottom w:val="single" w:sz="4" w:space="0" w:color="auto"/>
              <w:right w:val="nil"/>
            </w:tcBorders>
            <w:shd w:val="clear" w:color="auto" w:fill="auto"/>
            <w:noWrap/>
            <w:vAlign w:val="center"/>
            <w:hideMark/>
          </w:tcPr>
          <w:p w14:paraId="770E6C6A" w14:textId="77777777" w:rsidR="00387142" w:rsidRPr="008B6A75" w:rsidRDefault="00387142" w:rsidP="00387142">
            <w:pPr>
              <w:jc w:val="center"/>
              <w:rPr>
                <w:sz w:val="20"/>
                <w:szCs w:val="20"/>
              </w:rPr>
            </w:pPr>
            <w:r w:rsidRPr="008B6A75">
              <w:rPr>
                <w:sz w:val="20"/>
                <w:szCs w:val="20"/>
              </w:rPr>
              <w:t>99.0.00.70190</w:t>
            </w:r>
          </w:p>
        </w:tc>
        <w:tc>
          <w:tcPr>
            <w:tcW w:w="850" w:type="dxa"/>
            <w:tcBorders>
              <w:top w:val="nil"/>
              <w:left w:val="single" w:sz="4" w:space="0" w:color="auto"/>
              <w:bottom w:val="single" w:sz="4" w:space="0" w:color="auto"/>
              <w:right w:val="nil"/>
            </w:tcBorders>
            <w:shd w:val="clear" w:color="auto" w:fill="auto"/>
            <w:noWrap/>
            <w:vAlign w:val="center"/>
            <w:hideMark/>
          </w:tcPr>
          <w:p w14:paraId="7F62241A" w14:textId="77777777" w:rsidR="00387142" w:rsidRPr="008B6A75" w:rsidRDefault="00387142" w:rsidP="00387142">
            <w:pPr>
              <w:jc w:val="center"/>
              <w:rPr>
                <w:sz w:val="20"/>
                <w:szCs w:val="20"/>
              </w:rPr>
            </w:pPr>
            <w:r w:rsidRPr="008B6A75">
              <w:rPr>
                <w:sz w:val="20"/>
                <w:szCs w:val="20"/>
              </w:rPr>
              <w:t>100</w:t>
            </w:r>
          </w:p>
        </w:tc>
        <w:tc>
          <w:tcPr>
            <w:tcW w:w="567" w:type="dxa"/>
            <w:tcBorders>
              <w:top w:val="nil"/>
              <w:left w:val="single" w:sz="4" w:space="0" w:color="auto"/>
              <w:bottom w:val="single" w:sz="4" w:space="0" w:color="auto"/>
              <w:right w:val="nil"/>
            </w:tcBorders>
            <w:shd w:val="clear" w:color="auto" w:fill="auto"/>
            <w:noWrap/>
            <w:vAlign w:val="center"/>
            <w:hideMark/>
          </w:tcPr>
          <w:p w14:paraId="730FF48D" w14:textId="77777777" w:rsidR="00387142" w:rsidRPr="008B6A75" w:rsidRDefault="00387142" w:rsidP="00387142">
            <w:pPr>
              <w:jc w:val="center"/>
              <w:rPr>
                <w:sz w:val="20"/>
                <w:szCs w:val="20"/>
              </w:rPr>
            </w:pPr>
            <w:r w:rsidRPr="008B6A75">
              <w:rPr>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4625AFD8" w14:textId="77777777" w:rsidR="00387142" w:rsidRPr="008B6A75" w:rsidRDefault="00387142" w:rsidP="00387142">
            <w:pPr>
              <w:jc w:val="center"/>
              <w:rPr>
                <w:sz w:val="20"/>
                <w:szCs w:val="20"/>
              </w:rPr>
            </w:pPr>
            <w:r w:rsidRPr="008B6A75">
              <w:rPr>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ED7DD97" w14:textId="77777777" w:rsidR="00387142" w:rsidRPr="008B6A75" w:rsidRDefault="00387142" w:rsidP="00387142">
            <w:pPr>
              <w:jc w:val="right"/>
              <w:rPr>
                <w:sz w:val="20"/>
                <w:szCs w:val="20"/>
              </w:rPr>
            </w:pPr>
            <w:r w:rsidRPr="008B6A75">
              <w:rPr>
                <w:sz w:val="20"/>
                <w:szCs w:val="20"/>
              </w:rPr>
              <w:t>3 501,61</w:t>
            </w:r>
          </w:p>
        </w:tc>
        <w:tc>
          <w:tcPr>
            <w:tcW w:w="851" w:type="dxa"/>
            <w:tcBorders>
              <w:top w:val="nil"/>
              <w:left w:val="single" w:sz="4" w:space="0" w:color="auto"/>
              <w:bottom w:val="single" w:sz="4" w:space="0" w:color="auto"/>
              <w:right w:val="nil"/>
            </w:tcBorders>
            <w:shd w:val="clear" w:color="auto" w:fill="auto"/>
            <w:noWrap/>
            <w:vAlign w:val="center"/>
            <w:hideMark/>
          </w:tcPr>
          <w:p w14:paraId="2A5CC7D1" w14:textId="77777777" w:rsidR="00387142" w:rsidRPr="008B6A75" w:rsidRDefault="00387142" w:rsidP="00387142">
            <w:pPr>
              <w:jc w:val="right"/>
              <w:rPr>
                <w:sz w:val="20"/>
                <w:szCs w:val="20"/>
              </w:rPr>
            </w:pPr>
            <w:r w:rsidRPr="008B6A75">
              <w:rPr>
                <w:sz w:val="20"/>
                <w:szCs w:val="20"/>
              </w:rPr>
              <w:t>3 288,07</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446A6E39" w14:textId="77777777" w:rsidR="00387142" w:rsidRPr="008B6A75" w:rsidRDefault="00387142" w:rsidP="00387142">
            <w:pPr>
              <w:jc w:val="right"/>
              <w:rPr>
                <w:sz w:val="20"/>
                <w:szCs w:val="20"/>
              </w:rPr>
            </w:pPr>
            <w:r w:rsidRPr="008B6A75">
              <w:rPr>
                <w:sz w:val="20"/>
                <w:szCs w:val="20"/>
              </w:rPr>
              <w:t>3 419,59</w:t>
            </w:r>
          </w:p>
        </w:tc>
      </w:tr>
      <w:tr w:rsidR="00387142" w:rsidRPr="008B6A75" w14:paraId="4D79F06B" w14:textId="77777777" w:rsidTr="00387142">
        <w:trPr>
          <w:trHeight w:val="585"/>
        </w:trPr>
        <w:tc>
          <w:tcPr>
            <w:tcW w:w="272" w:type="dxa"/>
            <w:tcBorders>
              <w:top w:val="nil"/>
              <w:left w:val="nil"/>
              <w:bottom w:val="nil"/>
              <w:right w:val="single" w:sz="4" w:space="0" w:color="auto"/>
            </w:tcBorders>
            <w:shd w:val="clear" w:color="auto" w:fill="auto"/>
            <w:noWrap/>
            <w:vAlign w:val="bottom"/>
            <w:hideMark/>
          </w:tcPr>
          <w:p w14:paraId="7BFB593A"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749AF64F" w14:textId="77777777" w:rsidR="00387142" w:rsidRPr="008B6A75" w:rsidRDefault="00387142" w:rsidP="00387142">
            <w:pPr>
              <w:rPr>
                <w:sz w:val="20"/>
                <w:szCs w:val="20"/>
              </w:rPr>
            </w:pPr>
            <w:r w:rsidRPr="008B6A75">
              <w:rPr>
                <w:sz w:val="20"/>
                <w:szCs w:val="20"/>
              </w:rPr>
              <w:t>Расходы на выплаты персоналу государственных (муниципальных) органов</w:t>
            </w:r>
          </w:p>
        </w:tc>
        <w:tc>
          <w:tcPr>
            <w:tcW w:w="1559" w:type="dxa"/>
            <w:tcBorders>
              <w:top w:val="nil"/>
              <w:left w:val="single" w:sz="4" w:space="0" w:color="auto"/>
              <w:bottom w:val="single" w:sz="4" w:space="0" w:color="auto"/>
              <w:right w:val="nil"/>
            </w:tcBorders>
            <w:shd w:val="clear" w:color="auto" w:fill="auto"/>
            <w:noWrap/>
            <w:vAlign w:val="center"/>
            <w:hideMark/>
          </w:tcPr>
          <w:p w14:paraId="77E838CB" w14:textId="77777777" w:rsidR="00387142" w:rsidRPr="008B6A75" w:rsidRDefault="00387142" w:rsidP="00387142">
            <w:pPr>
              <w:jc w:val="center"/>
              <w:rPr>
                <w:sz w:val="20"/>
                <w:szCs w:val="20"/>
              </w:rPr>
            </w:pPr>
            <w:r w:rsidRPr="008B6A75">
              <w:rPr>
                <w:sz w:val="20"/>
                <w:szCs w:val="20"/>
              </w:rPr>
              <w:t>99.0.00.70190</w:t>
            </w:r>
          </w:p>
        </w:tc>
        <w:tc>
          <w:tcPr>
            <w:tcW w:w="850" w:type="dxa"/>
            <w:tcBorders>
              <w:top w:val="nil"/>
              <w:left w:val="single" w:sz="4" w:space="0" w:color="auto"/>
              <w:bottom w:val="single" w:sz="4" w:space="0" w:color="auto"/>
              <w:right w:val="nil"/>
            </w:tcBorders>
            <w:shd w:val="clear" w:color="auto" w:fill="auto"/>
            <w:noWrap/>
            <w:vAlign w:val="center"/>
            <w:hideMark/>
          </w:tcPr>
          <w:p w14:paraId="22D7CCF1" w14:textId="77777777" w:rsidR="00387142" w:rsidRPr="008B6A75" w:rsidRDefault="00387142" w:rsidP="00387142">
            <w:pPr>
              <w:jc w:val="center"/>
              <w:rPr>
                <w:sz w:val="20"/>
                <w:szCs w:val="20"/>
              </w:rPr>
            </w:pPr>
            <w:r w:rsidRPr="008B6A75">
              <w:rPr>
                <w:sz w:val="20"/>
                <w:szCs w:val="20"/>
              </w:rPr>
              <w:t>120</w:t>
            </w:r>
          </w:p>
        </w:tc>
        <w:tc>
          <w:tcPr>
            <w:tcW w:w="567" w:type="dxa"/>
            <w:tcBorders>
              <w:top w:val="nil"/>
              <w:left w:val="single" w:sz="4" w:space="0" w:color="auto"/>
              <w:bottom w:val="single" w:sz="4" w:space="0" w:color="auto"/>
              <w:right w:val="nil"/>
            </w:tcBorders>
            <w:shd w:val="clear" w:color="auto" w:fill="auto"/>
            <w:noWrap/>
            <w:vAlign w:val="center"/>
            <w:hideMark/>
          </w:tcPr>
          <w:p w14:paraId="4BDE0381" w14:textId="77777777" w:rsidR="00387142" w:rsidRPr="008B6A75" w:rsidRDefault="00387142" w:rsidP="00387142">
            <w:pPr>
              <w:jc w:val="center"/>
              <w:rPr>
                <w:sz w:val="20"/>
                <w:szCs w:val="20"/>
              </w:rPr>
            </w:pPr>
            <w:r w:rsidRPr="008B6A75">
              <w:rPr>
                <w:sz w:val="20"/>
                <w:szCs w:val="20"/>
              </w:rPr>
              <w:t>01</w:t>
            </w:r>
          </w:p>
        </w:tc>
        <w:tc>
          <w:tcPr>
            <w:tcW w:w="567" w:type="dxa"/>
            <w:tcBorders>
              <w:top w:val="nil"/>
              <w:left w:val="single" w:sz="4" w:space="0" w:color="auto"/>
              <w:bottom w:val="single" w:sz="4" w:space="0" w:color="auto"/>
              <w:right w:val="nil"/>
            </w:tcBorders>
            <w:shd w:val="clear" w:color="auto" w:fill="auto"/>
            <w:noWrap/>
            <w:vAlign w:val="center"/>
            <w:hideMark/>
          </w:tcPr>
          <w:p w14:paraId="1F39506B" w14:textId="77777777" w:rsidR="00387142" w:rsidRPr="008B6A75" w:rsidRDefault="00387142" w:rsidP="00387142">
            <w:pPr>
              <w:jc w:val="center"/>
              <w:rPr>
                <w:sz w:val="20"/>
                <w:szCs w:val="20"/>
              </w:rPr>
            </w:pPr>
            <w:r w:rsidRPr="008B6A75">
              <w:rPr>
                <w:sz w:val="20"/>
                <w:szCs w:val="20"/>
              </w:rPr>
              <w:t>04</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4CEE991" w14:textId="77777777" w:rsidR="00387142" w:rsidRPr="008B6A75" w:rsidRDefault="00387142" w:rsidP="00387142">
            <w:pPr>
              <w:jc w:val="right"/>
              <w:rPr>
                <w:sz w:val="20"/>
                <w:szCs w:val="20"/>
              </w:rPr>
            </w:pPr>
            <w:r w:rsidRPr="008B6A75">
              <w:rPr>
                <w:sz w:val="20"/>
                <w:szCs w:val="20"/>
              </w:rPr>
              <w:t>3 501,61</w:t>
            </w:r>
          </w:p>
        </w:tc>
        <w:tc>
          <w:tcPr>
            <w:tcW w:w="851" w:type="dxa"/>
            <w:tcBorders>
              <w:top w:val="nil"/>
              <w:left w:val="single" w:sz="4" w:space="0" w:color="auto"/>
              <w:bottom w:val="single" w:sz="4" w:space="0" w:color="auto"/>
              <w:right w:val="nil"/>
            </w:tcBorders>
            <w:shd w:val="clear" w:color="auto" w:fill="auto"/>
            <w:noWrap/>
            <w:vAlign w:val="center"/>
            <w:hideMark/>
          </w:tcPr>
          <w:p w14:paraId="40E35191" w14:textId="77777777" w:rsidR="00387142" w:rsidRPr="008B6A75" w:rsidRDefault="00387142" w:rsidP="00387142">
            <w:pPr>
              <w:jc w:val="right"/>
              <w:rPr>
                <w:sz w:val="20"/>
                <w:szCs w:val="20"/>
              </w:rPr>
            </w:pPr>
            <w:r w:rsidRPr="008B6A75">
              <w:rPr>
                <w:sz w:val="20"/>
                <w:szCs w:val="20"/>
              </w:rPr>
              <w:t>3 288,07</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6BBD051C" w14:textId="77777777" w:rsidR="00387142" w:rsidRPr="008B6A75" w:rsidRDefault="00387142" w:rsidP="00387142">
            <w:pPr>
              <w:jc w:val="right"/>
              <w:rPr>
                <w:sz w:val="20"/>
                <w:szCs w:val="20"/>
              </w:rPr>
            </w:pPr>
            <w:r w:rsidRPr="008B6A75">
              <w:rPr>
                <w:sz w:val="20"/>
                <w:szCs w:val="20"/>
              </w:rPr>
              <w:t>3 419,59</w:t>
            </w:r>
          </w:p>
        </w:tc>
      </w:tr>
      <w:tr w:rsidR="00387142" w:rsidRPr="008B6A75" w14:paraId="1FDB6F9C" w14:textId="77777777" w:rsidTr="00387142">
        <w:trPr>
          <w:trHeight w:val="585"/>
        </w:trPr>
        <w:tc>
          <w:tcPr>
            <w:tcW w:w="272" w:type="dxa"/>
            <w:tcBorders>
              <w:top w:val="nil"/>
              <w:left w:val="nil"/>
              <w:bottom w:val="nil"/>
              <w:right w:val="single" w:sz="4" w:space="0" w:color="auto"/>
            </w:tcBorders>
            <w:shd w:val="clear" w:color="auto" w:fill="auto"/>
            <w:noWrap/>
            <w:vAlign w:val="bottom"/>
            <w:hideMark/>
          </w:tcPr>
          <w:p w14:paraId="5A090C6A"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282E2CA7" w14:textId="77777777" w:rsidR="00387142" w:rsidRPr="008B6A75" w:rsidRDefault="00387142" w:rsidP="00387142">
            <w:pPr>
              <w:rPr>
                <w:sz w:val="20"/>
                <w:szCs w:val="20"/>
              </w:rPr>
            </w:pPr>
            <w:r w:rsidRPr="008B6A75">
              <w:rPr>
                <w:sz w:val="20"/>
                <w:szCs w:val="20"/>
              </w:rPr>
              <w:t>Закупка товаров, работ и услуг для обеспечения государственных (муниципальных) нужд</w:t>
            </w:r>
          </w:p>
        </w:tc>
        <w:tc>
          <w:tcPr>
            <w:tcW w:w="1559" w:type="dxa"/>
            <w:tcBorders>
              <w:top w:val="nil"/>
              <w:left w:val="single" w:sz="4" w:space="0" w:color="auto"/>
              <w:bottom w:val="single" w:sz="4" w:space="0" w:color="auto"/>
              <w:right w:val="nil"/>
            </w:tcBorders>
            <w:shd w:val="clear" w:color="auto" w:fill="auto"/>
            <w:noWrap/>
            <w:vAlign w:val="center"/>
            <w:hideMark/>
          </w:tcPr>
          <w:p w14:paraId="0E73DCF6" w14:textId="77777777" w:rsidR="00387142" w:rsidRPr="008B6A75" w:rsidRDefault="00387142" w:rsidP="00387142">
            <w:pPr>
              <w:jc w:val="center"/>
              <w:rPr>
                <w:sz w:val="20"/>
                <w:szCs w:val="20"/>
              </w:rPr>
            </w:pPr>
            <w:r w:rsidRPr="008B6A75">
              <w:rPr>
                <w:sz w:val="20"/>
                <w:szCs w:val="20"/>
              </w:rPr>
              <w:t>99.0.00.70190</w:t>
            </w:r>
          </w:p>
        </w:tc>
        <w:tc>
          <w:tcPr>
            <w:tcW w:w="850" w:type="dxa"/>
            <w:tcBorders>
              <w:top w:val="nil"/>
              <w:left w:val="single" w:sz="4" w:space="0" w:color="auto"/>
              <w:bottom w:val="single" w:sz="4" w:space="0" w:color="auto"/>
              <w:right w:val="nil"/>
            </w:tcBorders>
            <w:shd w:val="clear" w:color="auto" w:fill="auto"/>
            <w:noWrap/>
            <w:vAlign w:val="center"/>
            <w:hideMark/>
          </w:tcPr>
          <w:p w14:paraId="0DF07820" w14:textId="77777777" w:rsidR="00387142" w:rsidRPr="008B6A75" w:rsidRDefault="00387142" w:rsidP="00387142">
            <w:pPr>
              <w:jc w:val="center"/>
              <w:rPr>
                <w:sz w:val="20"/>
                <w:szCs w:val="20"/>
              </w:rPr>
            </w:pPr>
            <w:r w:rsidRPr="008B6A75">
              <w:rPr>
                <w:sz w:val="20"/>
                <w:szCs w:val="20"/>
              </w:rPr>
              <w:t>200</w:t>
            </w:r>
          </w:p>
        </w:tc>
        <w:tc>
          <w:tcPr>
            <w:tcW w:w="567" w:type="dxa"/>
            <w:tcBorders>
              <w:top w:val="nil"/>
              <w:left w:val="single" w:sz="4" w:space="0" w:color="auto"/>
              <w:bottom w:val="single" w:sz="4" w:space="0" w:color="auto"/>
              <w:right w:val="nil"/>
            </w:tcBorders>
            <w:shd w:val="clear" w:color="auto" w:fill="auto"/>
            <w:noWrap/>
            <w:vAlign w:val="center"/>
            <w:hideMark/>
          </w:tcPr>
          <w:p w14:paraId="5D3D2449" w14:textId="77777777" w:rsidR="00387142" w:rsidRPr="008B6A75" w:rsidRDefault="00387142" w:rsidP="00387142">
            <w:pPr>
              <w:jc w:val="center"/>
              <w:rPr>
                <w:sz w:val="20"/>
                <w:szCs w:val="20"/>
              </w:rPr>
            </w:pPr>
            <w:r w:rsidRPr="008B6A75">
              <w:rPr>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0DA5FB5C" w14:textId="77777777" w:rsidR="00387142" w:rsidRPr="008B6A75" w:rsidRDefault="00387142" w:rsidP="00387142">
            <w:pPr>
              <w:jc w:val="center"/>
              <w:rPr>
                <w:sz w:val="20"/>
                <w:szCs w:val="20"/>
              </w:rPr>
            </w:pPr>
            <w:r w:rsidRPr="008B6A75">
              <w:rPr>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3A8AF0C" w14:textId="77777777" w:rsidR="00387142" w:rsidRPr="008B6A75" w:rsidRDefault="00387142" w:rsidP="00387142">
            <w:pPr>
              <w:jc w:val="right"/>
              <w:rPr>
                <w:sz w:val="20"/>
                <w:szCs w:val="20"/>
              </w:rPr>
            </w:pPr>
            <w:r w:rsidRPr="008B6A75">
              <w:rPr>
                <w:sz w:val="20"/>
                <w:szCs w:val="20"/>
              </w:rPr>
              <w:t>1 478,39</w:t>
            </w:r>
          </w:p>
        </w:tc>
        <w:tc>
          <w:tcPr>
            <w:tcW w:w="851" w:type="dxa"/>
            <w:tcBorders>
              <w:top w:val="nil"/>
              <w:left w:val="single" w:sz="4" w:space="0" w:color="auto"/>
              <w:bottom w:val="single" w:sz="4" w:space="0" w:color="auto"/>
              <w:right w:val="nil"/>
            </w:tcBorders>
            <w:shd w:val="clear" w:color="auto" w:fill="auto"/>
            <w:noWrap/>
            <w:vAlign w:val="center"/>
            <w:hideMark/>
          </w:tcPr>
          <w:p w14:paraId="695022CB" w14:textId="77777777" w:rsidR="00387142" w:rsidRPr="008B6A75" w:rsidRDefault="00387142" w:rsidP="00387142">
            <w:pPr>
              <w:jc w:val="right"/>
              <w:rPr>
                <w:sz w:val="20"/>
                <w:szCs w:val="20"/>
              </w:rPr>
            </w:pPr>
            <w:r w:rsidRPr="008B6A75">
              <w:rPr>
                <w:sz w:val="20"/>
                <w:szCs w:val="20"/>
              </w:rPr>
              <w:t>3 291,93</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4253B1DE" w14:textId="77777777" w:rsidR="00387142" w:rsidRPr="008B6A75" w:rsidRDefault="00387142" w:rsidP="00387142">
            <w:pPr>
              <w:jc w:val="right"/>
              <w:rPr>
                <w:sz w:val="20"/>
                <w:szCs w:val="20"/>
              </w:rPr>
            </w:pPr>
            <w:r w:rsidRPr="008B6A75">
              <w:rPr>
                <w:sz w:val="20"/>
                <w:szCs w:val="20"/>
              </w:rPr>
              <w:t>3 430,41</w:t>
            </w:r>
          </w:p>
        </w:tc>
      </w:tr>
      <w:tr w:rsidR="00387142" w:rsidRPr="008B6A75" w14:paraId="3C309156" w14:textId="77777777" w:rsidTr="00387142">
        <w:trPr>
          <w:trHeight w:val="870"/>
        </w:trPr>
        <w:tc>
          <w:tcPr>
            <w:tcW w:w="272" w:type="dxa"/>
            <w:tcBorders>
              <w:top w:val="nil"/>
              <w:left w:val="nil"/>
              <w:bottom w:val="nil"/>
              <w:right w:val="single" w:sz="4" w:space="0" w:color="auto"/>
            </w:tcBorders>
            <w:shd w:val="clear" w:color="auto" w:fill="auto"/>
            <w:noWrap/>
            <w:vAlign w:val="bottom"/>
            <w:hideMark/>
          </w:tcPr>
          <w:p w14:paraId="405584F8"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2BDAFB02" w14:textId="77777777" w:rsidR="00387142" w:rsidRPr="008B6A75" w:rsidRDefault="00387142" w:rsidP="00387142">
            <w:pPr>
              <w:rPr>
                <w:sz w:val="20"/>
                <w:szCs w:val="20"/>
              </w:rPr>
            </w:pPr>
            <w:r w:rsidRPr="008B6A75">
              <w:rPr>
                <w:sz w:val="20"/>
                <w:szCs w:val="20"/>
              </w:rPr>
              <w:t>Иные закупки товаров, работ и услуг для обеспечения государственных (муниципальных) нужд</w:t>
            </w:r>
          </w:p>
        </w:tc>
        <w:tc>
          <w:tcPr>
            <w:tcW w:w="1559" w:type="dxa"/>
            <w:tcBorders>
              <w:top w:val="nil"/>
              <w:left w:val="single" w:sz="4" w:space="0" w:color="auto"/>
              <w:bottom w:val="single" w:sz="4" w:space="0" w:color="auto"/>
              <w:right w:val="nil"/>
            </w:tcBorders>
            <w:shd w:val="clear" w:color="auto" w:fill="auto"/>
            <w:noWrap/>
            <w:vAlign w:val="center"/>
            <w:hideMark/>
          </w:tcPr>
          <w:p w14:paraId="0ADC3833" w14:textId="77777777" w:rsidR="00387142" w:rsidRPr="008B6A75" w:rsidRDefault="00387142" w:rsidP="00387142">
            <w:pPr>
              <w:jc w:val="center"/>
              <w:rPr>
                <w:sz w:val="20"/>
                <w:szCs w:val="20"/>
              </w:rPr>
            </w:pPr>
            <w:r w:rsidRPr="008B6A75">
              <w:rPr>
                <w:sz w:val="20"/>
                <w:szCs w:val="20"/>
              </w:rPr>
              <w:t>99.0.00.70190</w:t>
            </w:r>
          </w:p>
        </w:tc>
        <w:tc>
          <w:tcPr>
            <w:tcW w:w="850" w:type="dxa"/>
            <w:tcBorders>
              <w:top w:val="nil"/>
              <w:left w:val="single" w:sz="4" w:space="0" w:color="auto"/>
              <w:bottom w:val="single" w:sz="4" w:space="0" w:color="auto"/>
              <w:right w:val="nil"/>
            </w:tcBorders>
            <w:shd w:val="clear" w:color="auto" w:fill="auto"/>
            <w:noWrap/>
            <w:vAlign w:val="center"/>
            <w:hideMark/>
          </w:tcPr>
          <w:p w14:paraId="3D64A00B" w14:textId="77777777" w:rsidR="00387142" w:rsidRPr="008B6A75" w:rsidRDefault="00387142" w:rsidP="00387142">
            <w:pPr>
              <w:jc w:val="center"/>
              <w:rPr>
                <w:sz w:val="20"/>
                <w:szCs w:val="20"/>
              </w:rPr>
            </w:pPr>
            <w:r w:rsidRPr="008B6A75">
              <w:rPr>
                <w:sz w:val="20"/>
                <w:szCs w:val="20"/>
              </w:rPr>
              <w:t>240</w:t>
            </w:r>
          </w:p>
        </w:tc>
        <w:tc>
          <w:tcPr>
            <w:tcW w:w="567" w:type="dxa"/>
            <w:tcBorders>
              <w:top w:val="nil"/>
              <w:left w:val="single" w:sz="4" w:space="0" w:color="auto"/>
              <w:bottom w:val="single" w:sz="4" w:space="0" w:color="auto"/>
              <w:right w:val="nil"/>
            </w:tcBorders>
            <w:shd w:val="clear" w:color="auto" w:fill="auto"/>
            <w:noWrap/>
            <w:vAlign w:val="center"/>
            <w:hideMark/>
          </w:tcPr>
          <w:p w14:paraId="585CA395" w14:textId="77777777" w:rsidR="00387142" w:rsidRPr="008B6A75" w:rsidRDefault="00387142" w:rsidP="00387142">
            <w:pPr>
              <w:jc w:val="center"/>
              <w:rPr>
                <w:sz w:val="20"/>
                <w:szCs w:val="20"/>
              </w:rPr>
            </w:pPr>
            <w:r w:rsidRPr="008B6A75">
              <w:rPr>
                <w:sz w:val="20"/>
                <w:szCs w:val="20"/>
              </w:rPr>
              <w:t>01</w:t>
            </w:r>
          </w:p>
        </w:tc>
        <w:tc>
          <w:tcPr>
            <w:tcW w:w="567" w:type="dxa"/>
            <w:tcBorders>
              <w:top w:val="nil"/>
              <w:left w:val="single" w:sz="4" w:space="0" w:color="auto"/>
              <w:bottom w:val="single" w:sz="4" w:space="0" w:color="auto"/>
              <w:right w:val="nil"/>
            </w:tcBorders>
            <w:shd w:val="clear" w:color="auto" w:fill="auto"/>
            <w:noWrap/>
            <w:vAlign w:val="center"/>
            <w:hideMark/>
          </w:tcPr>
          <w:p w14:paraId="74FC5FF2" w14:textId="77777777" w:rsidR="00387142" w:rsidRPr="008B6A75" w:rsidRDefault="00387142" w:rsidP="00387142">
            <w:pPr>
              <w:jc w:val="center"/>
              <w:rPr>
                <w:sz w:val="20"/>
                <w:szCs w:val="20"/>
              </w:rPr>
            </w:pPr>
            <w:r w:rsidRPr="008B6A75">
              <w:rPr>
                <w:sz w:val="20"/>
                <w:szCs w:val="20"/>
              </w:rPr>
              <w:t>04</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0F9B86F" w14:textId="77777777" w:rsidR="00387142" w:rsidRPr="008B6A75" w:rsidRDefault="00387142" w:rsidP="00387142">
            <w:pPr>
              <w:jc w:val="right"/>
              <w:rPr>
                <w:sz w:val="20"/>
                <w:szCs w:val="20"/>
              </w:rPr>
            </w:pPr>
            <w:r w:rsidRPr="008B6A75">
              <w:rPr>
                <w:sz w:val="20"/>
                <w:szCs w:val="20"/>
              </w:rPr>
              <w:t>1 478,39</w:t>
            </w:r>
          </w:p>
        </w:tc>
        <w:tc>
          <w:tcPr>
            <w:tcW w:w="851" w:type="dxa"/>
            <w:tcBorders>
              <w:top w:val="nil"/>
              <w:left w:val="single" w:sz="4" w:space="0" w:color="auto"/>
              <w:bottom w:val="single" w:sz="4" w:space="0" w:color="auto"/>
              <w:right w:val="nil"/>
            </w:tcBorders>
            <w:shd w:val="clear" w:color="auto" w:fill="auto"/>
            <w:noWrap/>
            <w:vAlign w:val="center"/>
            <w:hideMark/>
          </w:tcPr>
          <w:p w14:paraId="572534FE" w14:textId="77777777" w:rsidR="00387142" w:rsidRPr="008B6A75" w:rsidRDefault="00387142" w:rsidP="00387142">
            <w:pPr>
              <w:jc w:val="right"/>
              <w:rPr>
                <w:sz w:val="20"/>
                <w:szCs w:val="20"/>
              </w:rPr>
            </w:pPr>
            <w:r w:rsidRPr="008B6A75">
              <w:rPr>
                <w:sz w:val="20"/>
                <w:szCs w:val="20"/>
              </w:rPr>
              <w:t>3 291,93</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496ED6BB" w14:textId="77777777" w:rsidR="00387142" w:rsidRPr="008B6A75" w:rsidRDefault="00387142" w:rsidP="00387142">
            <w:pPr>
              <w:jc w:val="right"/>
              <w:rPr>
                <w:sz w:val="20"/>
                <w:szCs w:val="20"/>
              </w:rPr>
            </w:pPr>
            <w:r w:rsidRPr="008B6A75">
              <w:rPr>
                <w:sz w:val="20"/>
                <w:szCs w:val="20"/>
              </w:rPr>
              <w:t>3 430,41</w:t>
            </w:r>
          </w:p>
        </w:tc>
      </w:tr>
      <w:tr w:rsidR="00387142" w:rsidRPr="008B6A75" w14:paraId="5B280FCF" w14:textId="77777777" w:rsidTr="00387142">
        <w:trPr>
          <w:trHeight w:val="300"/>
        </w:trPr>
        <w:tc>
          <w:tcPr>
            <w:tcW w:w="272" w:type="dxa"/>
            <w:tcBorders>
              <w:top w:val="nil"/>
              <w:left w:val="nil"/>
              <w:bottom w:val="nil"/>
              <w:right w:val="single" w:sz="4" w:space="0" w:color="auto"/>
            </w:tcBorders>
            <w:shd w:val="clear" w:color="auto" w:fill="auto"/>
            <w:noWrap/>
            <w:vAlign w:val="bottom"/>
            <w:hideMark/>
          </w:tcPr>
          <w:p w14:paraId="2E445C12"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0F8CF17D" w14:textId="77777777" w:rsidR="00387142" w:rsidRPr="008B6A75" w:rsidRDefault="00387142" w:rsidP="00387142">
            <w:pPr>
              <w:rPr>
                <w:sz w:val="20"/>
                <w:szCs w:val="20"/>
              </w:rPr>
            </w:pPr>
            <w:r w:rsidRPr="008B6A75">
              <w:rPr>
                <w:sz w:val="20"/>
                <w:szCs w:val="20"/>
              </w:rPr>
              <w:t>Межбюджетные трансферты</w:t>
            </w:r>
          </w:p>
        </w:tc>
        <w:tc>
          <w:tcPr>
            <w:tcW w:w="1559" w:type="dxa"/>
            <w:tcBorders>
              <w:top w:val="nil"/>
              <w:left w:val="single" w:sz="4" w:space="0" w:color="auto"/>
              <w:bottom w:val="single" w:sz="4" w:space="0" w:color="auto"/>
              <w:right w:val="nil"/>
            </w:tcBorders>
            <w:shd w:val="clear" w:color="auto" w:fill="auto"/>
            <w:noWrap/>
            <w:vAlign w:val="center"/>
            <w:hideMark/>
          </w:tcPr>
          <w:p w14:paraId="2D18FECF" w14:textId="77777777" w:rsidR="00387142" w:rsidRPr="008B6A75" w:rsidRDefault="00387142" w:rsidP="00387142">
            <w:pPr>
              <w:jc w:val="center"/>
              <w:rPr>
                <w:sz w:val="20"/>
                <w:szCs w:val="20"/>
              </w:rPr>
            </w:pPr>
            <w:r w:rsidRPr="008B6A75">
              <w:rPr>
                <w:sz w:val="20"/>
                <w:szCs w:val="20"/>
              </w:rPr>
              <w:t>99.0.00.70190</w:t>
            </w:r>
          </w:p>
        </w:tc>
        <w:tc>
          <w:tcPr>
            <w:tcW w:w="850" w:type="dxa"/>
            <w:tcBorders>
              <w:top w:val="nil"/>
              <w:left w:val="single" w:sz="4" w:space="0" w:color="auto"/>
              <w:bottom w:val="single" w:sz="4" w:space="0" w:color="auto"/>
              <w:right w:val="nil"/>
            </w:tcBorders>
            <w:shd w:val="clear" w:color="auto" w:fill="auto"/>
            <w:noWrap/>
            <w:vAlign w:val="center"/>
            <w:hideMark/>
          </w:tcPr>
          <w:p w14:paraId="32F42018" w14:textId="77777777" w:rsidR="00387142" w:rsidRPr="008B6A75" w:rsidRDefault="00387142" w:rsidP="00387142">
            <w:pPr>
              <w:jc w:val="center"/>
              <w:rPr>
                <w:sz w:val="20"/>
                <w:szCs w:val="20"/>
              </w:rPr>
            </w:pPr>
            <w:r w:rsidRPr="008B6A75">
              <w:rPr>
                <w:sz w:val="20"/>
                <w:szCs w:val="20"/>
              </w:rPr>
              <w:t>500</w:t>
            </w:r>
          </w:p>
        </w:tc>
        <w:tc>
          <w:tcPr>
            <w:tcW w:w="567" w:type="dxa"/>
            <w:tcBorders>
              <w:top w:val="nil"/>
              <w:left w:val="single" w:sz="4" w:space="0" w:color="auto"/>
              <w:bottom w:val="single" w:sz="4" w:space="0" w:color="auto"/>
              <w:right w:val="nil"/>
            </w:tcBorders>
            <w:shd w:val="clear" w:color="auto" w:fill="auto"/>
            <w:noWrap/>
            <w:vAlign w:val="center"/>
            <w:hideMark/>
          </w:tcPr>
          <w:p w14:paraId="5A800AD7" w14:textId="77777777" w:rsidR="00387142" w:rsidRPr="008B6A75" w:rsidRDefault="00387142" w:rsidP="00387142">
            <w:pPr>
              <w:jc w:val="center"/>
              <w:rPr>
                <w:sz w:val="20"/>
                <w:szCs w:val="20"/>
              </w:rPr>
            </w:pPr>
            <w:r w:rsidRPr="008B6A75">
              <w:rPr>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7D2CB6F0" w14:textId="77777777" w:rsidR="00387142" w:rsidRPr="008B6A75" w:rsidRDefault="00387142" w:rsidP="00387142">
            <w:pPr>
              <w:jc w:val="center"/>
              <w:rPr>
                <w:sz w:val="20"/>
                <w:szCs w:val="20"/>
              </w:rPr>
            </w:pPr>
            <w:r w:rsidRPr="008B6A75">
              <w:rPr>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773176A" w14:textId="77777777" w:rsidR="00387142" w:rsidRPr="008B6A75" w:rsidRDefault="00387142" w:rsidP="00387142">
            <w:pPr>
              <w:jc w:val="right"/>
              <w:rPr>
                <w:sz w:val="20"/>
                <w:szCs w:val="20"/>
              </w:rPr>
            </w:pPr>
            <w:r w:rsidRPr="008B6A75">
              <w:rPr>
                <w:sz w:val="20"/>
                <w:szCs w:val="20"/>
              </w:rPr>
              <w:t>1 800,00</w:t>
            </w:r>
          </w:p>
        </w:tc>
        <w:tc>
          <w:tcPr>
            <w:tcW w:w="851" w:type="dxa"/>
            <w:tcBorders>
              <w:top w:val="nil"/>
              <w:left w:val="single" w:sz="4" w:space="0" w:color="auto"/>
              <w:bottom w:val="single" w:sz="4" w:space="0" w:color="auto"/>
              <w:right w:val="nil"/>
            </w:tcBorders>
            <w:shd w:val="clear" w:color="auto" w:fill="auto"/>
            <w:noWrap/>
            <w:vAlign w:val="center"/>
            <w:hideMark/>
          </w:tcPr>
          <w:p w14:paraId="55560BA8" w14:textId="77777777" w:rsidR="00387142" w:rsidRPr="008B6A75" w:rsidRDefault="00387142" w:rsidP="00387142">
            <w:pPr>
              <w:jc w:val="right"/>
              <w:rPr>
                <w:sz w:val="20"/>
                <w:szCs w:val="20"/>
              </w:rPr>
            </w:pPr>
            <w:r w:rsidRPr="008B6A75">
              <w:rPr>
                <w:sz w:val="20"/>
                <w:szCs w:val="20"/>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610A172D" w14:textId="77777777" w:rsidR="00387142" w:rsidRPr="008B6A75" w:rsidRDefault="00387142" w:rsidP="00387142">
            <w:pPr>
              <w:jc w:val="right"/>
              <w:rPr>
                <w:sz w:val="20"/>
                <w:szCs w:val="20"/>
              </w:rPr>
            </w:pPr>
            <w:r w:rsidRPr="008B6A75">
              <w:rPr>
                <w:sz w:val="20"/>
                <w:szCs w:val="20"/>
              </w:rPr>
              <w:t>0,00</w:t>
            </w:r>
          </w:p>
        </w:tc>
      </w:tr>
      <w:tr w:rsidR="00387142" w:rsidRPr="008B6A75" w14:paraId="18C6F8D9" w14:textId="77777777" w:rsidTr="00387142">
        <w:trPr>
          <w:trHeight w:val="300"/>
        </w:trPr>
        <w:tc>
          <w:tcPr>
            <w:tcW w:w="272" w:type="dxa"/>
            <w:tcBorders>
              <w:top w:val="nil"/>
              <w:left w:val="nil"/>
              <w:bottom w:val="nil"/>
              <w:right w:val="single" w:sz="4" w:space="0" w:color="auto"/>
            </w:tcBorders>
            <w:shd w:val="clear" w:color="auto" w:fill="auto"/>
            <w:noWrap/>
            <w:vAlign w:val="bottom"/>
            <w:hideMark/>
          </w:tcPr>
          <w:p w14:paraId="2AF358B5"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549EEFCB" w14:textId="77777777" w:rsidR="00387142" w:rsidRPr="008B6A75" w:rsidRDefault="00387142" w:rsidP="00387142">
            <w:pPr>
              <w:rPr>
                <w:sz w:val="20"/>
                <w:szCs w:val="20"/>
              </w:rPr>
            </w:pPr>
            <w:r w:rsidRPr="008B6A75">
              <w:rPr>
                <w:sz w:val="20"/>
                <w:szCs w:val="20"/>
              </w:rPr>
              <w:t>Субвенции</w:t>
            </w:r>
          </w:p>
        </w:tc>
        <w:tc>
          <w:tcPr>
            <w:tcW w:w="1559" w:type="dxa"/>
            <w:tcBorders>
              <w:top w:val="nil"/>
              <w:left w:val="single" w:sz="4" w:space="0" w:color="auto"/>
              <w:bottom w:val="single" w:sz="4" w:space="0" w:color="auto"/>
              <w:right w:val="nil"/>
            </w:tcBorders>
            <w:shd w:val="clear" w:color="auto" w:fill="auto"/>
            <w:noWrap/>
            <w:vAlign w:val="center"/>
            <w:hideMark/>
          </w:tcPr>
          <w:p w14:paraId="706228FE" w14:textId="77777777" w:rsidR="00387142" w:rsidRPr="008B6A75" w:rsidRDefault="00387142" w:rsidP="00387142">
            <w:pPr>
              <w:jc w:val="center"/>
              <w:rPr>
                <w:sz w:val="20"/>
                <w:szCs w:val="20"/>
              </w:rPr>
            </w:pPr>
            <w:r w:rsidRPr="008B6A75">
              <w:rPr>
                <w:sz w:val="20"/>
                <w:szCs w:val="20"/>
              </w:rPr>
              <w:t>99.0.00.70190</w:t>
            </w:r>
          </w:p>
        </w:tc>
        <w:tc>
          <w:tcPr>
            <w:tcW w:w="850" w:type="dxa"/>
            <w:tcBorders>
              <w:top w:val="nil"/>
              <w:left w:val="single" w:sz="4" w:space="0" w:color="auto"/>
              <w:bottom w:val="single" w:sz="4" w:space="0" w:color="auto"/>
              <w:right w:val="nil"/>
            </w:tcBorders>
            <w:shd w:val="clear" w:color="auto" w:fill="auto"/>
            <w:noWrap/>
            <w:vAlign w:val="center"/>
            <w:hideMark/>
          </w:tcPr>
          <w:p w14:paraId="00CB87D9" w14:textId="77777777" w:rsidR="00387142" w:rsidRPr="008B6A75" w:rsidRDefault="00387142" w:rsidP="00387142">
            <w:pPr>
              <w:jc w:val="center"/>
              <w:rPr>
                <w:sz w:val="20"/>
                <w:szCs w:val="20"/>
              </w:rPr>
            </w:pPr>
            <w:r w:rsidRPr="008B6A75">
              <w:rPr>
                <w:sz w:val="20"/>
                <w:szCs w:val="20"/>
              </w:rPr>
              <w:t>530</w:t>
            </w:r>
          </w:p>
        </w:tc>
        <w:tc>
          <w:tcPr>
            <w:tcW w:w="567" w:type="dxa"/>
            <w:tcBorders>
              <w:top w:val="nil"/>
              <w:left w:val="single" w:sz="4" w:space="0" w:color="auto"/>
              <w:bottom w:val="single" w:sz="4" w:space="0" w:color="auto"/>
              <w:right w:val="nil"/>
            </w:tcBorders>
            <w:shd w:val="clear" w:color="auto" w:fill="auto"/>
            <w:noWrap/>
            <w:vAlign w:val="center"/>
            <w:hideMark/>
          </w:tcPr>
          <w:p w14:paraId="1B272EC8" w14:textId="77777777" w:rsidR="00387142" w:rsidRPr="008B6A75" w:rsidRDefault="00387142" w:rsidP="00387142">
            <w:pPr>
              <w:jc w:val="center"/>
              <w:rPr>
                <w:sz w:val="20"/>
                <w:szCs w:val="20"/>
              </w:rPr>
            </w:pPr>
            <w:r w:rsidRPr="008B6A75">
              <w:rPr>
                <w:sz w:val="20"/>
                <w:szCs w:val="20"/>
              </w:rPr>
              <w:t>01</w:t>
            </w:r>
          </w:p>
        </w:tc>
        <w:tc>
          <w:tcPr>
            <w:tcW w:w="567" w:type="dxa"/>
            <w:tcBorders>
              <w:top w:val="nil"/>
              <w:left w:val="single" w:sz="4" w:space="0" w:color="auto"/>
              <w:bottom w:val="single" w:sz="4" w:space="0" w:color="auto"/>
              <w:right w:val="nil"/>
            </w:tcBorders>
            <w:shd w:val="clear" w:color="auto" w:fill="auto"/>
            <w:noWrap/>
            <w:vAlign w:val="center"/>
            <w:hideMark/>
          </w:tcPr>
          <w:p w14:paraId="493A62CF" w14:textId="77777777" w:rsidR="00387142" w:rsidRPr="008B6A75" w:rsidRDefault="00387142" w:rsidP="00387142">
            <w:pPr>
              <w:jc w:val="center"/>
              <w:rPr>
                <w:sz w:val="20"/>
                <w:szCs w:val="20"/>
              </w:rPr>
            </w:pPr>
            <w:r w:rsidRPr="008B6A75">
              <w:rPr>
                <w:sz w:val="20"/>
                <w:szCs w:val="20"/>
              </w:rPr>
              <w:t>04</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FED6E5C" w14:textId="77777777" w:rsidR="00387142" w:rsidRPr="008B6A75" w:rsidRDefault="00387142" w:rsidP="00387142">
            <w:pPr>
              <w:jc w:val="right"/>
              <w:rPr>
                <w:sz w:val="20"/>
                <w:szCs w:val="20"/>
              </w:rPr>
            </w:pPr>
            <w:r w:rsidRPr="008B6A75">
              <w:rPr>
                <w:sz w:val="20"/>
                <w:szCs w:val="20"/>
              </w:rPr>
              <w:t>1 800,00</w:t>
            </w:r>
          </w:p>
        </w:tc>
        <w:tc>
          <w:tcPr>
            <w:tcW w:w="851" w:type="dxa"/>
            <w:tcBorders>
              <w:top w:val="nil"/>
              <w:left w:val="single" w:sz="4" w:space="0" w:color="auto"/>
              <w:bottom w:val="single" w:sz="4" w:space="0" w:color="auto"/>
              <w:right w:val="nil"/>
            </w:tcBorders>
            <w:shd w:val="clear" w:color="auto" w:fill="auto"/>
            <w:noWrap/>
            <w:vAlign w:val="center"/>
            <w:hideMark/>
          </w:tcPr>
          <w:p w14:paraId="32AFA8C6" w14:textId="77777777" w:rsidR="00387142" w:rsidRPr="008B6A75" w:rsidRDefault="00387142" w:rsidP="00387142">
            <w:pPr>
              <w:jc w:val="right"/>
              <w:rPr>
                <w:sz w:val="20"/>
                <w:szCs w:val="20"/>
              </w:rPr>
            </w:pPr>
            <w:r w:rsidRPr="008B6A75">
              <w:rPr>
                <w:sz w:val="20"/>
                <w:szCs w:val="20"/>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17EA763E" w14:textId="77777777" w:rsidR="00387142" w:rsidRPr="008B6A75" w:rsidRDefault="00387142" w:rsidP="00387142">
            <w:pPr>
              <w:jc w:val="right"/>
              <w:rPr>
                <w:sz w:val="20"/>
                <w:szCs w:val="20"/>
              </w:rPr>
            </w:pPr>
            <w:r w:rsidRPr="008B6A75">
              <w:rPr>
                <w:sz w:val="20"/>
                <w:szCs w:val="20"/>
              </w:rPr>
              <w:t>0,00</w:t>
            </w:r>
          </w:p>
        </w:tc>
      </w:tr>
      <w:tr w:rsidR="00387142" w:rsidRPr="008B6A75" w14:paraId="5D406246" w14:textId="77777777" w:rsidTr="00387142">
        <w:trPr>
          <w:trHeight w:val="1440"/>
        </w:trPr>
        <w:tc>
          <w:tcPr>
            <w:tcW w:w="272" w:type="dxa"/>
            <w:tcBorders>
              <w:top w:val="nil"/>
              <w:left w:val="nil"/>
              <w:bottom w:val="nil"/>
              <w:right w:val="single" w:sz="4" w:space="0" w:color="auto"/>
            </w:tcBorders>
            <w:shd w:val="clear" w:color="auto" w:fill="auto"/>
            <w:noWrap/>
            <w:vAlign w:val="bottom"/>
            <w:hideMark/>
          </w:tcPr>
          <w:p w14:paraId="24456BE2"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164888C8" w14:textId="77777777" w:rsidR="00387142" w:rsidRPr="008B6A75" w:rsidRDefault="00387142" w:rsidP="00387142">
            <w:pPr>
              <w:rPr>
                <w:bCs/>
                <w:sz w:val="20"/>
                <w:szCs w:val="20"/>
              </w:rPr>
            </w:pPr>
            <w:r w:rsidRPr="008B6A75">
              <w:rPr>
                <w:bCs/>
                <w:sz w:val="20"/>
                <w:szCs w:val="20"/>
              </w:rPr>
              <w:t>Реализация мероприятий на осуществление уведомительной регистрации коллективных договоров, территориальных соглашений и территориальных отраслевых (межотраслевых) соглашений</w:t>
            </w:r>
          </w:p>
        </w:tc>
        <w:tc>
          <w:tcPr>
            <w:tcW w:w="1559" w:type="dxa"/>
            <w:tcBorders>
              <w:top w:val="nil"/>
              <w:left w:val="single" w:sz="4" w:space="0" w:color="auto"/>
              <w:bottom w:val="single" w:sz="4" w:space="0" w:color="auto"/>
              <w:right w:val="nil"/>
            </w:tcBorders>
            <w:shd w:val="clear" w:color="auto" w:fill="auto"/>
            <w:noWrap/>
            <w:vAlign w:val="center"/>
            <w:hideMark/>
          </w:tcPr>
          <w:p w14:paraId="77B425AA" w14:textId="77777777" w:rsidR="00387142" w:rsidRPr="008B6A75" w:rsidRDefault="00387142" w:rsidP="00387142">
            <w:pPr>
              <w:jc w:val="center"/>
              <w:rPr>
                <w:bCs/>
                <w:sz w:val="20"/>
                <w:szCs w:val="20"/>
              </w:rPr>
            </w:pPr>
            <w:r w:rsidRPr="008B6A75">
              <w:rPr>
                <w:bCs/>
                <w:sz w:val="20"/>
                <w:szCs w:val="20"/>
              </w:rPr>
              <w:t>99.0.00.70210</w:t>
            </w:r>
          </w:p>
        </w:tc>
        <w:tc>
          <w:tcPr>
            <w:tcW w:w="850" w:type="dxa"/>
            <w:tcBorders>
              <w:top w:val="nil"/>
              <w:left w:val="single" w:sz="4" w:space="0" w:color="auto"/>
              <w:bottom w:val="single" w:sz="4" w:space="0" w:color="auto"/>
              <w:right w:val="nil"/>
            </w:tcBorders>
            <w:shd w:val="clear" w:color="auto" w:fill="auto"/>
            <w:noWrap/>
            <w:vAlign w:val="center"/>
            <w:hideMark/>
          </w:tcPr>
          <w:p w14:paraId="5515CFC3" w14:textId="77777777" w:rsidR="00387142" w:rsidRPr="008B6A75" w:rsidRDefault="00387142" w:rsidP="00387142">
            <w:pPr>
              <w:jc w:val="center"/>
              <w:rPr>
                <w:bCs/>
                <w:sz w:val="20"/>
                <w:szCs w:val="20"/>
              </w:rPr>
            </w:pPr>
            <w:r w:rsidRPr="008B6A75">
              <w:rPr>
                <w:bCs/>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40D03FFC" w14:textId="77777777" w:rsidR="00387142" w:rsidRPr="008B6A75" w:rsidRDefault="00387142" w:rsidP="00387142">
            <w:pPr>
              <w:jc w:val="center"/>
              <w:rPr>
                <w:bCs/>
                <w:sz w:val="20"/>
                <w:szCs w:val="20"/>
              </w:rPr>
            </w:pPr>
            <w:r w:rsidRPr="008B6A75">
              <w:rPr>
                <w:bCs/>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10337FB7" w14:textId="77777777" w:rsidR="00387142" w:rsidRPr="008B6A75" w:rsidRDefault="00387142" w:rsidP="00387142">
            <w:pPr>
              <w:jc w:val="center"/>
              <w:rPr>
                <w:bCs/>
                <w:sz w:val="20"/>
                <w:szCs w:val="20"/>
              </w:rPr>
            </w:pPr>
            <w:r w:rsidRPr="008B6A75">
              <w:rPr>
                <w:bCs/>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2B748CD" w14:textId="77777777" w:rsidR="00387142" w:rsidRPr="008B6A75" w:rsidRDefault="00387142" w:rsidP="00387142">
            <w:pPr>
              <w:jc w:val="right"/>
              <w:rPr>
                <w:bCs/>
                <w:sz w:val="20"/>
                <w:szCs w:val="20"/>
              </w:rPr>
            </w:pPr>
            <w:r w:rsidRPr="008B6A75">
              <w:rPr>
                <w:bCs/>
                <w:sz w:val="20"/>
                <w:szCs w:val="20"/>
              </w:rPr>
              <w:t>1 059 320,00</w:t>
            </w:r>
          </w:p>
        </w:tc>
        <w:tc>
          <w:tcPr>
            <w:tcW w:w="851" w:type="dxa"/>
            <w:tcBorders>
              <w:top w:val="nil"/>
              <w:left w:val="single" w:sz="4" w:space="0" w:color="auto"/>
              <w:bottom w:val="single" w:sz="4" w:space="0" w:color="auto"/>
              <w:right w:val="nil"/>
            </w:tcBorders>
            <w:shd w:val="clear" w:color="auto" w:fill="auto"/>
            <w:noWrap/>
            <w:vAlign w:val="center"/>
            <w:hideMark/>
          </w:tcPr>
          <w:p w14:paraId="6C70B896" w14:textId="77777777" w:rsidR="00387142" w:rsidRPr="008B6A75" w:rsidRDefault="00387142" w:rsidP="00387142">
            <w:pPr>
              <w:jc w:val="right"/>
              <w:rPr>
                <w:bCs/>
                <w:sz w:val="20"/>
                <w:szCs w:val="20"/>
              </w:rPr>
            </w:pPr>
            <w:r w:rsidRPr="008B6A75">
              <w:rPr>
                <w:bCs/>
                <w:sz w:val="20"/>
                <w:szCs w:val="20"/>
              </w:rPr>
              <w:t>1 041 760,00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3B6643B6" w14:textId="77777777" w:rsidR="00387142" w:rsidRPr="008B6A75" w:rsidRDefault="00387142" w:rsidP="00387142">
            <w:pPr>
              <w:jc w:val="right"/>
              <w:rPr>
                <w:bCs/>
                <w:sz w:val="20"/>
                <w:szCs w:val="20"/>
              </w:rPr>
            </w:pPr>
            <w:r w:rsidRPr="008B6A75">
              <w:rPr>
                <w:bCs/>
                <w:sz w:val="20"/>
                <w:szCs w:val="20"/>
              </w:rPr>
              <w:t>1 082 460,00</w:t>
            </w:r>
          </w:p>
        </w:tc>
      </w:tr>
      <w:tr w:rsidR="00387142" w:rsidRPr="008B6A75" w14:paraId="04C75B6E" w14:textId="77777777" w:rsidTr="00387142">
        <w:trPr>
          <w:trHeight w:val="1440"/>
        </w:trPr>
        <w:tc>
          <w:tcPr>
            <w:tcW w:w="272" w:type="dxa"/>
            <w:tcBorders>
              <w:top w:val="nil"/>
              <w:left w:val="nil"/>
              <w:bottom w:val="nil"/>
              <w:right w:val="single" w:sz="4" w:space="0" w:color="auto"/>
            </w:tcBorders>
            <w:shd w:val="clear" w:color="auto" w:fill="auto"/>
            <w:noWrap/>
            <w:vAlign w:val="bottom"/>
            <w:hideMark/>
          </w:tcPr>
          <w:p w14:paraId="0A070A60" w14:textId="77777777" w:rsidR="00387142" w:rsidRPr="008B6A75" w:rsidRDefault="00387142" w:rsidP="00387142">
            <w:pPr>
              <w:rPr>
                <w:sz w:val="20"/>
                <w:szCs w:val="20"/>
              </w:rPr>
            </w:pPr>
            <w:r w:rsidRPr="008B6A75">
              <w:rPr>
                <w:sz w:val="20"/>
                <w:szCs w:val="20"/>
              </w:rPr>
              <w:lastRenderedPageBreak/>
              <w:t> </w:t>
            </w:r>
          </w:p>
        </w:tc>
        <w:tc>
          <w:tcPr>
            <w:tcW w:w="3415" w:type="dxa"/>
            <w:tcBorders>
              <w:top w:val="nil"/>
              <w:left w:val="single" w:sz="4" w:space="0" w:color="auto"/>
              <w:bottom w:val="single" w:sz="4" w:space="0" w:color="auto"/>
              <w:right w:val="nil"/>
            </w:tcBorders>
            <w:shd w:val="clear" w:color="auto" w:fill="auto"/>
            <w:vAlign w:val="center"/>
            <w:hideMark/>
          </w:tcPr>
          <w:p w14:paraId="4B25AA6A" w14:textId="77777777" w:rsidR="00387142" w:rsidRPr="008B6A75" w:rsidRDefault="00387142" w:rsidP="00387142">
            <w:pPr>
              <w:rPr>
                <w:sz w:val="20"/>
                <w:szCs w:val="20"/>
              </w:rPr>
            </w:pPr>
            <w:r w:rsidRPr="008B6A7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single" w:sz="4" w:space="0" w:color="auto"/>
              <w:bottom w:val="single" w:sz="4" w:space="0" w:color="auto"/>
              <w:right w:val="nil"/>
            </w:tcBorders>
            <w:shd w:val="clear" w:color="auto" w:fill="auto"/>
            <w:noWrap/>
            <w:vAlign w:val="center"/>
            <w:hideMark/>
          </w:tcPr>
          <w:p w14:paraId="7F077E6B" w14:textId="77777777" w:rsidR="00387142" w:rsidRPr="008B6A75" w:rsidRDefault="00387142" w:rsidP="00387142">
            <w:pPr>
              <w:jc w:val="center"/>
              <w:rPr>
                <w:sz w:val="20"/>
                <w:szCs w:val="20"/>
              </w:rPr>
            </w:pPr>
            <w:r w:rsidRPr="008B6A75">
              <w:rPr>
                <w:sz w:val="20"/>
                <w:szCs w:val="20"/>
              </w:rPr>
              <w:t>99.0.00.70210</w:t>
            </w:r>
          </w:p>
        </w:tc>
        <w:tc>
          <w:tcPr>
            <w:tcW w:w="850" w:type="dxa"/>
            <w:tcBorders>
              <w:top w:val="nil"/>
              <w:left w:val="single" w:sz="4" w:space="0" w:color="auto"/>
              <w:bottom w:val="single" w:sz="4" w:space="0" w:color="auto"/>
              <w:right w:val="nil"/>
            </w:tcBorders>
            <w:shd w:val="clear" w:color="auto" w:fill="auto"/>
            <w:noWrap/>
            <w:vAlign w:val="center"/>
            <w:hideMark/>
          </w:tcPr>
          <w:p w14:paraId="5D89CDE0" w14:textId="77777777" w:rsidR="00387142" w:rsidRPr="008B6A75" w:rsidRDefault="00387142" w:rsidP="00387142">
            <w:pPr>
              <w:jc w:val="center"/>
              <w:rPr>
                <w:sz w:val="20"/>
                <w:szCs w:val="20"/>
              </w:rPr>
            </w:pPr>
            <w:r w:rsidRPr="008B6A75">
              <w:rPr>
                <w:sz w:val="20"/>
                <w:szCs w:val="20"/>
              </w:rPr>
              <w:t>100</w:t>
            </w:r>
          </w:p>
        </w:tc>
        <w:tc>
          <w:tcPr>
            <w:tcW w:w="567" w:type="dxa"/>
            <w:tcBorders>
              <w:top w:val="nil"/>
              <w:left w:val="single" w:sz="4" w:space="0" w:color="auto"/>
              <w:bottom w:val="single" w:sz="4" w:space="0" w:color="auto"/>
              <w:right w:val="nil"/>
            </w:tcBorders>
            <w:shd w:val="clear" w:color="auto" w:fill="auto"/>
            <w:noWrap/>
            <w:vAlign w:val="center"/>
            <w:hideMark/>
          </w:tcPr>
          <w:p w14:paraId="0AABDFB9" w14:textId="77777777" w:rsidR="00387142" w:rsidRPr="008B6A75" w:rsidRDefault="00387142" w:rsidP="00387142">
            <w:pPr>
              <w:jc w:val="center"/>
              <w:rPr>
                <w:sz w:val="20"/>
                <w:szCs w:val="20"/>
              </w:rPr>
            </w:pPr>
            <w:r w:rsidRPr="008B6A75">
              <w:rPr>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7EB26B69" w14:textId="77777777" w:rsidR="00387142" w:rsidRPr="008B6A75" w:rsidRDefault="00387142" w:rsidP="00387142">
            <w:pPr>
              <w:jc w:val="center"/>
              <w:rPr>
                <w:sz w:val="20"/>
                <w:szCs w:val="20"/>
              </w:rPr>
            </w:pPr>
            <w:r w:rsidRPr="008B6A75">
              <w:rPr>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DCF859F" w14:textId="77777777" w:rsidR="00387142" w:rsidRPr="008B6A75" w:rsidRDefault="00387142" w:rsidP="00387142">
            <w:pPr>
              <w:jc w:val="right"/>
              <w:rPr>
                <w:sz w:val="20"/>
                <w:szCs w:val="20"/>
              </w:rPr>
            </w:pPr>
            <w:r w:rsidRPr="008B6A75">
              <w:rPr>
                <w:sz w:val="20"/>
                <w:szCs w:val="20"/>
              </w:rPr>
              <w:t>811 727,25</w:t>
            </w:r>
          </w:p>
        </w:tc>
        <w:tc>
          <w:tcPr>
            <w:tcW w:w="851" w:type="dxa"/>
            <w:tcBorders>
              <w:top w:val="nil"/>
              <w:left w:val="single" w:sz="4" w:space="0" w:color="auto"/>
              <w:bottom w:val="single" w:sz="4" w:space="0" w:color="auto"/>
              <w:right w:val="nil"/>
            </w:tcBorders>
            <w:shd w:val="clear" w:color="auto" w:fill="auto"/>
            <w:noWrap/>
            <w:vAlign w:val="center"/>
            <w:hideMark/>
          </w:tcPr>
          <w:p w14:paraId="3D45DC95" w14:textId="77777777" w:rsidR="00387142" w:rsidRPr="008B6A75" w:rsidRDefault="00387142" w:rsidP="00387142">
            <w:pPr>
              <w:jc w:val="right"/>
              <w:rPr>
                <w:sz w:val="20"/>
                <w:szCs w:val="20"/>
              </w:rPr>
            </w:pPr>
            <w:r w:rsidRPr="008B6A75">
              <w:rPr>
                <w:sz w:val="20"/>
                <w:szCs w:val="20"/>
              </w:rPr>
              <w:t>794 805,81</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3C2C2655" w14:textId="77777777" w:rsidR="00387142" w:rsidRPr="008B6A75" w:rsidRDefault="00387142" w:rsidP="00387142">
            <w:pPr>
              <w:jc w:val="right"/>
              <w:rPr>
                <w:sz w:val="20"/>
                <w:szCs w:val="20"/>
              </w:rPr>
            </w:pPr>
            <w:r w:rsidRPr="008B6A75">
              <w:rPr>
                <w:sz w:val="20"/>
                <w:szCs w:val="20"/>
              </w:rPr>
              <w:t>826 598,05</w:t>
            </w:r>
          </w:p>
        </w:tc>
      </w:tr>
      <w:tr w:rsidR="00387142" w:rsidRPr="008B6A75" w14:paraId="28BD3C5C" w14:textId="77777777" w:rsidTr="00387142">
        <w:trPr>
          <w:trHeight w:val="585"/>
        </w:trPr>
        <w:tc>
          <w:tcPr>
            <w:tcW w:w="272" w:type="dxa"/>
            <w:tcBorders>
              <w:top w:val="nil"/>
              <w:left w:val="nil"/>
              <w:bottom w:val="nil"/>
              <w:right w:val="single" w:sz="4" w:space="0" w:color="auto"/>
            </w:tcBorders>
            <w:shd w:val="clear" w:color="auto" w:fill="auto"/>
            <w:noWrap/>
            <w:vAlign w:val="bottom"/>
            <w:hideMark/>
          </w:tcPr>
          <w:p w14:paraId="6F0B488D"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1EEB2EE7" w14:textId="77777777" w:rsidR="00387142" w:rsidRPr="008B6A75" w:rsidRDefault="00387142" w:rsidP="00387142">
            <w:pPr>
              <w:rPr>
                <w:sz w:val="20"/>
                <w:szCs w:val="20"/>
              </w:rPr>
            </w:pPr>
            <w:r w:rsidRPr="008B6A75">
              <w:rPr>
                <w:sz w:val="20"/>
                <w:szCs w:val="20"/>
              </w:rPr>
              <w:t>Расходы на выплаты персоналу государственных (муниципальных) органов</w:t>
            </w:r>
          </w:p>
        </w:tc>
        <w:tc>
          <w:tcPr>
            <w:tcW w:w="1559" w:type="dxa"/>
            <w:tcBorders>
              <w:top w:val="nil"/>
              <w:left w:val="single" w:sz="4" w:space="0" w:color="auto"/>
              <w:bottom w:val="single" w:sz="4" w:space="0" w:color="auto"/>
              <w:right w:val="nil"/>
            </w:tcBorders>
            <w:shd w:val="clear" w:color="auto" w:fill="auto"/>
            <w:noWrap/>
            <w:vAlign w:val="center"/>
            <w:hideMark/>
          </w:tcPr>
          <w:p w14:paraId="3F731A20" w14:textId="77777777" w:rsidR="00387142" w:rsidRPr="008B6A75" w:rsidRDefault="00387142" w:rsidP="00387142">
            <w:pPr>
              <w:jc w:val="center"/>
              <w:rPr>
                <w:sz w:val="20"/>
                <w:szCs w:val="20"/>
              </w:rPr>
            </w:pPr>
            <w:r w:rsidRPr="008B6A75">
              <w:rPr>
                <w:sz w:val="20"/>
                <w:szCs w:val="20"/>
              </w:rPr>
              <w:t>99.0.00.70210</w:t>
            </w:r>
          </w:p>
        </w:tc>
        <w:tc>
          <w:tcPr>
            <w:tcW w:w="850" w:type="dxa"/>
            <w:tcBorders>
              <w:top w:val="nil"/>
              <w:left w:val="single" w:sz="4" w:space="0" w:color="auto"/>
              <w:bottom w:val="single" w:sz="4" w:space="0" w:color="auto"/>
              <w:right w:val="nil"/>
            </w:tcBorders>
            <w:shd w:val="clear" w:color="auto" w:fill="auto"/>
            <w:noWrap/>
            <w:vAlign w:val="center"/>
            <w:hideMark/>
          </w:tcPr>
          <w:p w14:paraId="3DBE1F08" w14:textId="77777777" w:rsidR="00387142" w:rsidRPr="008B6A75" w:rsidRDefault="00387142" w:rsidP="00387142">
            <w:pPr>
              <w:jc w:val="center"/>
              <w:rPr>
                <w:sz w:val="20"/>
                <w:szCs w:val="20"/>
              </w:rPr>
            </w:pPr>
            <w:r w:rsidRPr="008B6A75">
              <w:rPr>
                <w:sz w:val="20"/>
                <w:szCs w:val="20"/>
              </w:rPr>
              <w:t>120</w:t>
            </w:r>
          </w:p>
        </w:tc>
        <w:tc>
          <w:tcPr>
            <w:tcW w:w="567" w:type="dxa"/>
            <w:tcBorders>
              <w:top w:val="nil"/>
              <w:left w:val="single" w:sz="4" w:space="0" w:color="auto"/>
              <w:bottom w:val="single" w:sz="4" w:space="0" w:color="auto"/>
              <w:right w:val="nil"/>
            </w:tcBorders>
            <w:shd w:val="clear" w:color="auto" w:fill="auto"/>
            <w:noWrap/>
            <w:vAlign w:val="center"/>
            <w:hideMark/>
          </w:tcPr>
          <w:p w14:paraId="41B954D7" w14:textId="77777777" w:rsidR="00387142" w:rsidRPr="008B6A75" w:rsidRDefault="00387142" w:rsidP="00387142">
            <w:pPr>
              <w:jc w:val="center"/>
              <w:rPr>
                <w:sz w:val="20"/>
                <w:szCs w:val="20"/>
              </w:rPr>
            </w:pPr>
            <w:r w:rsidRPr="008B6A75">
              <w:rPr>
                <w:sz w:val="20"/>
                <w:szCs w:val="20"/>
              </w:rPr>
              <w:t>01</w:t>
            </w:r>
          </w:p>
        </w:tc>
        <w:tc>
          <w:tcPr>
            <w:tcW w:w="567" w:type="dxa"/>
            <w:tcBorders>
              <w:top w:val="nil"/>
              <w:left w:val="single" w:sz="4" w:space="0" w:color="auto"/>
              <w:bottom w:val="single" w:sz="4" w:space="0" w:color="auto"/>
              <w:right w:val="nil"/>
            </w:tcBorders>
            <w:shd w:val="clear" w:color="auto" w:fill="auto"/>
            <w:noWrap/>
            <w:vAlign w:val="center"/>
            <w:hideMark/>
          </w:tcPr>
          <w:p w14:paraId="7DF89B43" w14:textId="77777777" w:rsidR="00387142" w:rsidRPr="008B6A75" w:rsidRDefault="00387142" w:rsidP="00387142">
            <w:pPr>
              <w:jc w:val="center"/>
              <w:rPr>
                <w:sz w:val="20"/>
                <w:szCs w:val="20"/>
              </w:rPr>
            </w:pPr>
            <w:r w:rsidRPr="008B6A75">
              <w:rPr>
                <w:sz w:val="20"/>
                <w:szCs w:val="20"/>
              </w:rPr>
              <w:t>04</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5694D67" w14:textId="77777777" w:rsidR="00387142" w:rsidRPr="008B6A75" w:rsidRDefault="00387142" w:rsidP="00387142">
            <w:pPr>
              <w:jc w:val="right"/>
              <w:rPr>
                <w:sz w:val="20"/>
                <w:szCs w:val="20"/>
              </w:rPr>
            </w:pPr>
            <w:r w:rsidRPr="008B6A75">
              <w:rPr>
                <w:sz w:val="20"/>
                <w:szCs w:val="20"/>
              </w:rPr>
              <w:t>811 727,25</w:t>
            </w:r>
          </w:p>
        </w:tc>
        <w:tc>
          <w:tcPr>
            <w:tcW w:w="851" w:type="dxa"/>
            <w:tcBorders>
              <w:top w:val="nil"/>
              <w:left w:val="single" w:sz="4" w:space="0" w:color="auto"/>
              <w:bottom w:val="single" w:sz="4" w:space="0" w:color="auto"/>
              <w:right w:val="nil"/>
            </w:tcBorders>
            <w:shd w:val="clear" w:color="auto" w:fill="auto"/>
            <w:noWrap/>
            <w:vAlign w:val="center"/>
            <w:hideMark/>
          </w:tcPr>
          <w:p w14:paraId="73CB5031" w14:textId="77777777" w:rsidR="00387142" w:rsidRPr="008B6A75" w:rsidRDefault="00387142" w:rsidP="00387142">
            <w:pPr>
              <w:jc w:val="right"/>
              <w:rPr>
                <w:sz w:val="20"/>
                <w:szCs w:val="20"/>
              </w:rPr>
            </w:pPr>
            <w:r w:rsidRPr="008B6A75">
              <w:rPr>
                <w:sz w:val="20"/>
                <w:szCs w:val="20"/>
              </w:rPr>
              <w:t>794 805,81</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59D05798" w14:textId="77777777" w:rsidR="00387142" w:rsidRPr="008B6A75" w:rsidRDefault="00387142" w:rsidP="00387142">
            <w:pPr>
              <w:jc w:val="right"/>
              <w:rPr>
                <w:sz w:val="20"/>
                <w:szCs w:val="20"/>
              </w:rPr>
            </w:pPr>
            <w:r w:rsidRPr="008B6A75">
              <w:rPr>
                <w:sz w:val="20"/>
                <w:szCs w:val="20"/>
              </w:rPr>
              <w:t>826 598,05</w:t>
            </w:r>
          </w:p>
        </w:tc>
      </w:tr>
      <w:tr w:rsidR="00387142" w:rsidRPr="008B6A75" w14:paraId="6A4EA4D3" w14:textId="77777777" w:rsidTr="00387142">
        <w:trPr>
          <w:trHeight w:val="585"/>
        </w:trPr>
        <w:tc>
          <w:tcPr>
            <w:tcW w:w="272" w:type="dxa"/>
            <w:tcBorders>
              <w:top w:val="nil"/>
              <w:left w:val="nil"/>
              <w:bottom w:val="nil"/>
              <w:right w:val="single" w:sz="4" w:space="0" w:color="auto"/>
            </w:tcBorders>
            <w:shd w:val="clear" w:color="auto" w:fill="auto"/>
            <w:noWrap/>
            <w:vAlign w:val="bottom"/>
            <w:hideMark/>
          </w:tcPr>
          <w:p w14:paraId="7EC15C9A"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5B0A6F36" w14:textId="77777777" w:rsidR="00387142" w:rsidRPr="008B6A75" w:rsidRDefault="00387142" w:rsidP="00387142">
            <w:pPr>
              <w:rPr>
                <w:sz w:val="20"/>
                <w:szCs w:val="20"/>
              </w:rPr>
            </w:pPr>
            <w:r w:rsidRPr="008B6A75">
              <w:rPr>
                <w:sz w:val="20"/>
                <w:szCs w:val="20"/>
              </w:rPr>
              <w:t>Закупка товаров, работ и услуг для обеспечения государственных (муниципальных) нужд</w:t>
            </w:r>
          </w:p>
        </w:tc>
        <w:tc>
          <w:tcPr>
            <w:tcW w:w="1559" w:type="dxa"/>
            <w:tcBorders>
              <w:top w:val="nil"/>
              <w:left w:val="single" w:sz="4" w:space="0" w:color="auto"/>
              <w:bottom w:val="single" w:sz="4" w:space="0" w:color="auto"/>
              <w:right w:val="nil"/>
            </w:tcBorders>
            <w:shd w:val="clear" w:color="auto" w:fill="auto"/>
            <w:noWrap/>
            <w:vAlign w:val="center"/>
            <w:hideMark/>
          </w:tcPr>
          <w:p w14:paraId="3A5960C8" w14:textId="77777777" w:rsidR="00387142" w:rsidRPr="008B6A75" w:rsidRDefault="00387142" w:rsidP="00387142">
            <w:pPr>
              <w:jc w:val="center"/>
              <w:rPr>
                <w:sz w:val="20"/>
                <w:szCs w:val="20"/>
              </w:rPr>
            </w:pPr>
            <w:r w:rsidRPr="008B6A75">
              <w:rPr>
                <w:sz w:val="20"/>
                <w:szCs w:val="20"/>
              </w:rPr>
              <w:t>99.0.00.70210</w:t>
            </w:r>
          </w:p>
        </w:tc>
        <w:tc>
          <w:tcPr>
            <w:tcW w:w="850" w:type="dxa"/>
            <w:tcBorders>
              <w:top w:val="nil"/>
              <w:left w:val="single" w:sz="4" w:space="0" w:color="auto"/>
              <w:bottom w:val="single" w:sz="4" w:space="0" w:color="auto"/>
              <w:right w:val="nil"/>
            </w:tcBorders>
            <w:shd w:val="clear" w:color="auto" w:fill="auto"/>
            <w:noWrap/>
            <w:vAlign w:val="center"/>
            <w:hideMark/>
          </w:tcPr>
          <w:p w14:paraId="11E29D4B" w14:textId="77777777" w:rsidR="00387142" w:rsidRPr="008B6A75" w:rsidRDefault="00387142" w:rsidP="00387142">
            <w:pPr>
              <w:jc w:val="center"/>
              <w:rPr>
                <w:sz w:val="20"/>
                <w:szCs w:val="20"/>
              </w:rPr>
            </w:pPr>
            <w:r w:rsidRPr="008B6A75">
              <w:rPr>
                <w:sz w:val="20"/>
                <w:szCs w:val="20"/>
              </w:rPr>
              <w:t>200</w:t>
            </w:r>
          </w:p>
        </w:tc>
        <w:tc>
          <w:tcPr>
            <w:tcW w:w="567" w:type="dxa"/>
            <w:tcBorders>
              <w:top w:val="nil"/>
              <w:left w:val="single" w:sz="4" w:space="0" w:color="auto"/>
              <w:bottom w:val="single" w:sz="4" w:space="0" w:color="auto"/>
              <w:right w:val="nil"/>
            </w:tcBorders>
            <w:shd w:val="clear" w:color="auto" w:fill="auto"/>
            <w:noWrap/>
            <w:vAlign w:val="center"/>
            <w:hideMark/>
          </w:tcPr>
          <w:p w14:paraId="3DB90869" w14:textId="77777777" w:rsidR="00387142" w:rsidRPr="008B6A75" w:rsidRDefault="00387142" w:rsidP="00387142">
            <w:pPr>
              <w:jc w:val="center"/>
              <w:rPr>
                <w:sz w:val="20"/>
                <w:szCs w:val="20"/>
              </w:rPr>
            </w:pPr>
            <w:r w:rsidRPr="008B6A75">
              <w:rPr>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7E846687" w14:textId="77777777" w:rsidR="00387142" w:rsidRPr="008B6A75" w:rsidRDefault="00387142" w:rsidP="00387142">
            <w:pPr>
              <w:jc w:val="center"/>
              <w:rPr>
                <w:sz w:val="20"/>
                <w:szCs w:val="20"/>
              </w:rPr>
            </w:pPr>
            <w:r w:rsidRPr="008B6A75">
              <w:rPr>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85E46B3" w14:textId="77777777" w:rsidR="00387142" w:rsidRPr="008B6A75" w:rsidRDefault="00387142" w:rsidP="00387142">
            <w:pPr>
              <w:jc w:val="right"/>
              <w:rPr>
                <w:sz w:val="20"/>
                <w:szCs w:val="20"/>
              </w:rPr>
            </w:pPr>
            <w:r w:rsidRPr="008B6A75">
              <w:rPr>
                <w:sz w:val="20"/>
                <w:szCs w:val="20"/>
              </w:rPr>
              <w:t>247 592,75</w:t>
            </w:r>
          </w:p>
        </w:tc>
        <w:tc>
          <w:tcPr>
            <w:tcW w:w="851" w:type="dxa"/>
            <w:tcBorders>
              <w:top w:val="nil"/>
              <w:left w:val="single" w:sz="4" w:space="0" w:color="auto"/>
              <w:bottom w:val="single" w:sz="4" w:space="0" w:color="auto"/>
              <w:right w:val="nil"/>
            </w:tcBorders>
            <w:shd w:val="clear" w:color="auto" w:fill="auto"/>
            <w:noWrap/>
            <w:vAlign w:val="center"/>
            <w:hideMark/>
          </w:tcPr>
          <w:p w14:paraId="13CB0C09" w14:textId="77777777" w:rsidR="00387142" w:rsidRPr="008B6A75" w:rsidRDefault="00387142" w:rsidP="00387142">
            <w:pPr>
              <w:jc w:val="right"/>
              <w:rPr>
                <w:sz w:val="20"/>
                <w:szCs w:val="20"/>
              </w:rPr>
            </w:pPr>
            <w:r w:rsidRPr="008B6A75">
              <w:rPr>
                <w:sz w:val="20"/>
                <w:szCs w:val="20"/>
              </w:rPr>
              <w:t>246 954,19</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6F9961ED" w14:textId="77777777" w:rsidR="00387142" w:rsidRPr="008B6A75" w:rsidRDefault="00387142" w:rsidP="00387142">
            <w:pPr>
              <w:jc w:val="right"/>
              <w:rPr>
                <w:sz w:val="20"/>
                <w:szCs w:val="20"/>
              </w:rPr>
            </w:pPr>
            <w:r w:rsidRPr="008B6A75">
              <w:rPr>
                <w:sz w:val="20"/>
                <w:szCs w:val="20"/>
              </w:rPr>
              <w:t>255 861,95</w:t>
            </w:r>
          </w:p>
        </w:tc>
      </w:tr>
      <w:tr w:rsidR="00387142" w:rsidRPr="008B6A75" w14:paraId="77DFF8A8" w14:textId="77777777" w:rsidTr="00387142">
        <w:trPr>
          <w:trHeight w:val="870"/>
        </w:trPr>
        <w:tc>
          <w:tcPr>
            <w:tcW w:w="272" w:type="dxa"/>
            <w:tcBorders>
              <w:top w:val="nil"/>
              <w:left w:val="nil"/>
              <w:bottom w:val="nil"/>
              <w:right w:val="single" w:sz="4" w:space="0" w:color="auto"/>
            </w:tcBorders>
            <w:shd w:val="clear" w:color="auto" w:fill="auto"/>
            <w:noWrap/>
            <w:vAlign w:val="bottom"/>
            <w:hideMark/>
          </w:tcPr>
          <w:p w14:paraId="661629DC"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7B50DCBF" w14:textId="77777777" w:rsidR="00387142" w:rsidRPr="008B6A75" w:rsidRDefault="00387142" w:rsidP="00387142">
            <w:pPr>
              <w:rPr>
                <w:sz w:val="20"/>
                <w:szCs w:val="20"/>
              </w:rPr>
            </w:pPr>
            <w:r w:rsidRPr="008B6A75">
              <w:rPr>
                <w:sz w:val="20"/>
                <w:szCs w:val="20"/>
              </w:rPr>
              <w:t>Иные закупки товаров, работ и услуг для обеспечения государственных (муниципальных) нужд</w:t>
            </w:r>
          </w:p>
        </w:tc>
        <w:tc>
          <w:tcPr>
            <w:tcW w:w="1559" w:type="dxa"/>
            <w:tcBorders>
              <w:top w:val="nil"/>
              <w:left w:val="single" w:sz="4" w:space="0" w:color="auto"/>
              <w:bottom w:val="single" w:sz="4" w:space="0" w:color="auto"/>
              <w:right w:val="nil"/>
            </w:tcBorders>
            <w:shd w:val="clear" w:color="auto" w:fill="auto"/>
            <w:noWrap/>
            <w:vAlign w:val="center"/>
            <w:hideMark/>
          </w:tcPr>
          <w:p w14:paraId="683186F1" w14:textId="77777777" w:rsidR="00387142" w:rsidRPr="008B6A75" w:rsidRDefault="00387142" w:rsidP="00387142">
            <w:pPr>
              <w:jc w:val="center"/>
              <w:rPr>
                <w:sz w:val="20"/>
                <w:szCs w:val="20"/>
              </w:rPr>
            </w:pPr>
            <w:r w:rsidRPr="008B6A75">
              <w:rPr>
                <w:sz w:val="20"/>
                <w:szCs w:val="20"/>
              </w:rPr>
              <w:t>99.0.00.70210</w:t>
            </w:r>
          </w:p>
        </w:tc>
        <w:tc>
          <w:tcPr>
            <w:tcW w:w="850" w:type="dxa"/>
            <w:tcBorders>
              <w:top w:val="nil"/>
              <w:left w:val="single" w:sz="4" w:space="0" w:color="auto"/>
              <w:bottom w:val="single" w:sz="4" w:space="0" w:color="auto"/>
              <w:right w:val="nil"/>
            </w:tcBorders>
            <w:shd w:val="clear" w:color="auto" w:fill="auto"/>
            <w:noWrap/>
            <w:vAlign w:val="center"/>
            <w:hideMark/>
          </w:tcPr>
          <w:p w14:paraId="4F12B99F" w14:textId="77777777" w:rsidR="00387142" w:rsidRPr="008B6A75" w:rsidRDefault="00387142" w:rsidP="00387142">
            <w:pPr>
              <w:jc w:val="center"/>
              <w:rPr>
                <w:sz w:val="20"/>
                <w:szCs w:val="20"/>
              </w:rPr>
            </w:pPr>
            <w:r w:rsidRPr="008B6A75">
              <w:rPr>
                <w:sz w:val="20"/>
                <w:szCs w:val="20"/>
              </w:rPr>
              <w:t>240</w:t>
            </w:r>
          </w:p>
        </w:tc>
        <w:tc>
          <w:tcPr>
            <w:tcW w:w="567" w:type="dxa"/>
            <w:tcBorders>
              <w:top w:val="nil"/>
              <w:left w:val="single" w:sz="4" w:space="0" w:color="auto"/>
              <w:bottom w:val="single" w:sz="4" w:space="0" w:color="auto"/>
              <w:right w:val="nil"/>
            </w:tcBorders>
            <w:shd w:val="clear" w:color="auto" w:fill="auto"/>
            <w:noWrap/>
            <w:vAlign w:val="center"/>
            <w:hideMark/>
          </w:tcPr>
          <w:p w14:paraId="1C67DC16" w14:textId="77777777" w:rsidR="00387142" w:rsidRPr="008B6A75" w:rsidRDefault="00387142" w:rsidP="00387142">
            <w:pPr>
              <w:jc w:val="center"/>
              <w:rPr>
                <w:sz w:val="20"/>
                <w:szCs w:val="20"/>
              </w:rPr>
            </w:pPr>
            <w:r w:rsidRPr="008B6A75">
              <w:rPr>
                <w:sz w:val="20"/>
                <w:szCs w:val="20"/>
              </w:rPr>
              <w:t>01</w:t>
            </w:r>
          </w:p>
        </w:tc>
        <w:tc>
          <w:tcPr>
            <w:tcW w:w="567" w:type="dxa"/>
            <w:tcBorders>
              <w:top w:val="nil"/>
              <w:left w:val="single" w:sz="4" w:space="0" w:color="auto"/>
              <w:bottom w:val="single" w:sz="4" w:space="0" w:color="auto"/>
              <w:right w:val="nil"/>
            </w:tcBorders>
            <w:shd w:val="clear" w:color="auto" w:fill="auto"/>
            <w:noWrap/>
            <w:vAlign w:val="center"/>
            <w:hideMark/>
          </w:tcPr>
          <w:p w14:paraId="5772EADE" w14:textId="77777777" w:rsidR="00387142" w:rsidRPr="008B6A75" w:rsidRDefault="00387142" w:rsidP="00387142">
            <w:pPr>
              <w:jc w:val="center"/>
              <w:rPr>
                <w:sz w:val="20"/>
                <w:szCs w:val="20"/>
              </w:rPr>
            </w:pPr>
            <w:r w:rsidRPr="008B6A75">
              <w:rPr>
                <w:sz w:val="20"/>
                <w:szCs w:val="20"/>
              </w:rPr>
              <w:t>04</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EA92D4C" w14:textId="77777777" w:rsidR="00387142" w:rsidRPr="008B6A75" w:rsidRDefault="00387142" w:rsidP="00387142">
            <w:pPr>
              <w:jc w:val="right"/>
              <w:rPr>
                <w:sz w:val="20"/>
                <w:szCs w:val="20"/>
              </w:rPr>
            </w:pPr>
            <w:r w:rsidRPr="008B6A75">
              <w:rPr>
                <w:sz w:val="20"/>
                <w:szCs w:val="20"/>
              </w:rPr>
              <w:t>247 592,75</w:t>
            </w:r>
          </w:p>
        </w:tc>
        <w:tc>
          <w:tcPr>
            <w:tcW w:w="851" w:type="dxa"/>
            <w:tcBorders>
              <w:top w:val="nil"/>
              <w:left w:val="single" w:sz="4" w:space="0" w:color="auto"/>
              <w:bottom w:val="single" w:sz="4" w:space="0" w:color="auto"/>
              <w:right w:val="nil"/>
            </w:tcBorders>
            <w:shd w:val="clear" w:color="auto" w:fill="auto"/>
            <w:noWrap/>
            <w:vAlign w:val="center"/>
            <w:hideMark/>
          </w:tcPr>
          <w:p w14:paraId="6B3BB6F7" w14:textId="77777777" w:rsidR="00387142" w:rsidRPr="008B6A75" w:rsidRDefault="00387142" w:rsidP="00387142">
            <w:pPr>
              <w:jc w:val="right"/>
              <w:rPr>
                <w:sz w:val="20"/>
                <w:szCs w:val="20"/>
              </w:rPr>
            </w:pPr>
            <w:r w:rsidRPr="008B6A75">
              <w:rPr>
                <w:sz w:val="20"/>
                <w:szCs w:val="20"/>
              </w:rPr>
              <w:t>246 954,19</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6CE71365" w14:textId="77777777" w:rsidR="00387142" w:rsidRPr="008B6A75" w:rsidRDefault="00387142" w:rsidP="00387142">
            <w:pPr>
              <w:jc w:val="right"/>
              <w:rPr>
                <w:sz w:val="20"/>
                <w:szCs w:val="20"/>
              </w:rPr>
            </w:pPr>
            <w:r w:rsidRPr="008B6A75">
              <w:rPr>
                <w:sz w:val="20"/>
                <w:szCs w:val="20"/>
              </w:rPr>
              <w:t>255 861,95</w:t>
            </w:r>
          </w:p>
        </w:tc>
      </w:tr>
      <w:tr w:rsidR="00387142" w:rsidRPr="008B6A75" w14:paraId="47FA739F" w14:textId="77777777" w:rsidTr="00387142">
        <w:trPr>
          <w:trHeight w:val="1155"/>
        </w:trPr>
        <w:tc>
          <w:tcPr>
            <w:tcW w:w="272" w:type="dxa"/>
            <w:tcBorders>
              <w:top w:val="nil"/>
              <w:left w:val="nil"/>
              <w:bottom w:val="nil"/>
              <w:right w:val="single" w:sz="4" w:space="0" w:color="auto"/>
            </w:tcBorders>
            <w:shd w:val="clear" w:color="auto" w:fill="auto"/>
            <w:noWrap/>
            <w:vAlign w:val="bottom"/>
            <w:hideMark/>
          </w:tcPr>
          <w:p w14:paraId="665345AE"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23A51FC5" w14:textId="77777777" w:rsidR="00387142" w:rsidRPr="008B6A75" w:rsidRDefault="00387142" w:rsidP="00387142">
            <w:pPr>
              <w:rPr>
                <w:bCs/>
                <w:sz w:val="20"/>
                <w:szCs w:val="20"/>
              </w:rPr>
            </w:pPr>
            <w:r w:rsidRPr="008B6A75">
              <w:rPr>
                <w:bCs/>
                <w:sz w:val="20"/>
                <w:szCs w:val="20"/>
              </w:rPr>
              <w:t xml:space="preserve">Осуществление отдельных государственных полномочий Новосибирской области по расчету и предоставлению дотаций бюджетам поселений </w:t>
            </w:r>
          </w:p>
        </w:tc>
        <w:tc>
          <w:tcPr>
            <w:tcW w:w="1559" w:type="dxa"/>
            <w:tcBorders>
              <w:top w:val="nil"/>
              <w:left w:val="single" w:sz="4" w:space="0" w:color="auto"/>
              <w:bottom w:val="single" w:sz="4" w:space="0" w:color="auto"/>
              <w:right w:val="nil"/>
            </w:tcBorders>
            <w:shd w:val="clear" w:color="auto" w:fill="auto"/>
            <w:noWrap/>
            <w:vAlign w:val="center"/>
            <w:hideMark/>
          </w:tcPr>
          <w:p w14:paraId="10C09033" w14:textId="77777777" w:rsidR="00387142" w:rsidRPr="008B6A75" w:rsidRDefault="00387142" w:rsidP="00387142">
            <w:pPr>
              <w:jc w:val="center"/>
              <w:rPr>
                <w:bCs/>
                <w:sz w:val="20"/>
                <w:szCs w:val="20"/>
              </w:rPr>
            </w:pPr>
            <w:r w:rsidRPr="008B6A75">
              <w:rPr>
                <w:bCs/>
                <w:sz w:val="20"/>
                <w:szCs w:val="20"/>
              </w:rPr>
              <w:t>99.0.00.70220</w:t>
            </w:r>
          </w:p>
        </w:tc>
        <w:tc>
          <w:tcPr>
            <w:tcW w:w="850" w:type="dxa"/>
            <w:tcBorders>
              <w:top w:val="nil"/>
              <w:left w:val="single" w:sz="4" w:space="0" w:color="auto"/>
              <w:bottom w:val="single" w:sz="4" w:space="0" w:color="auto"/>
              <w:right w:val="nil"/>
            </w:tcBorders>
            <w:shd w:val="clear" w:color="auto" w:fill="auto"/>
            <w:noWrap/>
            <w:vAlign w:val="center"/>
            <w:hideMark/>
          </w:tcPr>
          <w:p w14:paraId="4668C0E1" w14:textId="77777777" w:rsidR="00387142" w:rsidRPr="008B6A75" w:rsidRDefault="00387142" w:rsidP="00387142">
            <w:pPr>
              <w:jc w:val="center"/>
              <w:rPr>
                <w:bCs/>
                <w:sz w:val="20"/>
                <w:szCs w:val="20"/>
              </w:rPr>
            </w:pPr>
            <w:r w:rsidRPr="008B6A75">
              <w:rPr>
                <w:bCs/>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3BBC5519" w14:textId="77777777" w:rsidR="00387142" w:rsidRPr="008B6A75" w:rsidRDefault="00387142" w:rsidP="00387142">
            <w:pPr>
              <w:jc w:val="center"/>
              <w:rPr>
                <w:bCs/>
                <w:sz w:val="20"/>
                <w:szCs w:val="20"/>
              </w:rPr>
            </w:pPr>
            <w:r w:rsidRPr="008B6A75">
              <w:rPr>
                <w:bCs/>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4319865C" w14:textId="77777777" w:rsidR="00387142" w:rsidRPr="008B6A75" w:rsidRDefault="00387142" w:rsidP="00387142">
            <w:pPr>
              <w:jc w:val="center"/>
              <w:rPr>
                <w:bCs/>
                <w:sz w:val="20"/>
                <w:szCs w:val="20"/>
              </w:rPr>
            </w:pPr>
            <w:r w:rsidRPr="008B6A75">
              <w:rPr>
                <w:bCs/>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5444EF0" w14:textId="77777777" w:rsidR="00387142" w:rsidRPr="008B6A75" w:rsidRDefault="00387142" w:rsidP="00387142">
            <w:pPr>
              <w:jc w:val="right"/>
              <w:rPr>
                <w:bCs/>
                <w:sz w:val="20"/>
                <w:szCs w:val="20"/>
              </w:rPr>
            </w:pPr>
            <w:r w:rsidRPr="008B6A75">
              <w:rPr>
                <w:bCs/>
                <w:sz w:val="20"/>
                <w:szCs w:val="20"/>
              </w:rPr>
              <w:t>74 764 300,00</w:t>
            </w:r>
          </w:p>
        </w:tc>
        <w:tc>
          <w:tcPr>
            <w:tcW w:w="851" w:type="dxa"/>
            <w:tcBorders>
              <w:top w:val="nil"/>
              <w:left w:val="single" w:sz="4" w:space="0" w:color="auto"/>
              <w:bottom w:val="single" w:sz="4" w:space="0" w:color="auto"/>
              <w:right w:val="nil"/>
            </w:tcBorders>
            <w:shd w:val="clear" w:color="auto" w:fill="auto"/>
            <w:noWrap/>
            <w:vAlign w:val="center"/>
            <w:hideMark/>
          </w:tcPr>
          <w:p w14:paraId="68952D05" w14:textId="77777777" w:rsidR="00387142" w:rsidRPr="008B6A75" w:rsidRDefault="00387142" w:rsidP="00387142">
            <w:pPr>
              <w:jc w:val="right"/>
              <w:rPr>
                <w:bCs/>
                <w:sz w:val="20"/>
                <w:szCs w:val="20"/>
              </w:rPr>
            </w:pPr>
            <w:r w:rsidRPr="008B6A75">
              <w:rPr>
                <w:bCs/>
                <w:sz w:val="20"/>
                <w:szCs w:val="20"/>
              </w:rPr>
              <w:t>72 707 900,00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3DECFEDF" w14:textId="77777777" w:rsidR="00387142" w:rsidRPr="008B6A75" w:rsidRDefault="00387142" w:rsidP="00387142">
            <w:pPr>
              <w:jc w:val="right"/>
              <w:rPr>
                <w:bCs/>
                <w:sz w:val="20"/>
                <w:szCs w:val="20"/>
              </w:rPr>
            </w:pPr>
            <w:r w:rsidRPr="008B6A75">
              <w:rPr>
                <w:bCs/>
                <w:sz w:val="20"/>
                <w:szCs w:val="20"/>
              </w:rPr>
              <w:t>51 417 300,00</w:t>
            </w:r>
          </w:p>
        </w:tc>
      </w:tr>
      <w:tr w:rsidR="00387142" w:rsidRPr="008B6A75" w14:paraId="4E851145" w14:textId="77777777" w:rsidTr="00387142">
        <w:trPr>
          <w:trHeight w:val="300"/>
        </w:trPr>
        <w:tc>
          <w:tcPr>
            <w:tcW w:w="272" w:type="dxa"/>
            <w:tcBorders>
              <w:top w:val="nil"/>
              <w:left w:val="nil"/>
              <w:bottom w:val="nil"/>
              <w:right w:val="single" w:sz="4" w:space="0" w:color="auto"/>
            </w:tcBorders>
            <w:shd w:val="clear" w:color="auto" w:fill="auto"/>
            <w:noWrap/>
            <w:vAlign w:val="bottom"/>
            <w:hideMark/>
          </w:tcPr>
          <w:p w14:paraId="6E3286F5"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237049EF" w14:textId="77777777" w:rsidR="00387142" w:rsidRPr="008B6A75" w:rsidRDefault="00387142" w:rsidP="00387142">
            <w:pPr>
              <w:rPr>
                <w:sz w:val="20"/>
                <w:szCs w:val="20"/>
              </w:rPr>
            </w:pPr>
            <w:r w:rsidRPr="008B6A75">
              <w:rPr>
                <w:sz w:val="20"/>
                <w:szCs w:val="20"/>
              </w:rPr>
              <w:t>Межбюджетные трансферты</w:t>
            </w:r>
          </w:p>
        </w:tc>
        <w:tc>
          <w:tcPr>
            <w:tcW w:w="1559" w:type="dxa"/>
            <w:tcBorders>
              <w:top w:val="nil"/>
              <w:left w:val="single" w:sz="4" w:space="0" w:color="auto"/>
              <w:bottom w:val="single" w:sz="4" w:space="0" w:color="auto"/>
              <w:right w:val="nil"/>
            </w:tcBorders>
            <w:shd w:val="clear" w:color="auto" w:fill="auto"/>
            <w:noWrap/>
            <w:vAlign w:val="center"/>
            <w:hideMark/>
          </w:tcPr>
          <w:p w14:paraId="25D12314" w14:textId="77777777" w:rsidR="00387142" w:rsidRPr="008B6A75" w:rsidRDefault="00387142" w:rsidP="00387142">
            <w:pPr>
              <w:jc w:val="center"/>
              <w:rPr>
                <w:sz w:val="20"/>
                <w:szCs w:val="20"/>
              </w:rPr>
            </w:pPr>
            <w:r w:rsidRPr="008B6A75">
              <w:rPr>
                <w:sz w:val="20"/>
                <w:szCs w:val="20"/>
              </w:rPr>
              <w:t>99.0.00.70220</w:t>
            </w:r>
          </w:p>
        </w:tc>
        <w:tc>
          <w:tcPr>
            <w:tcW w:w="850" w:type="dxa"/>
            <w:tcBorders>
              <w:top w:val="nil"/>
              <w:left w:val="single" w:sz="4" w:space="0" w:color="auto"/>
              <w:bottom w:val="single" w:sz="4" w:space="0" w:color="auto"/>
              <w:right w:val="nil"/>
            </w:tcBorders>
            <w:shd w:val="clear" w:color="auto" w:fill="auto"/>
            <w:noWrap/>
            <w:vAlign w:val="center"/>
            <w:hideMark/>
          </w:tcPr>
          <w:p w14:paraId="633B7428" w14:textId="77777777" w:rsidR="00387142" w:rsidRPr="008B6A75" w:rsidRDefault="00387142" w:rsidP="00387142">
            <w:pPr>
              <w:jc w:val="center"/>
              <w:rPr>
                <w:sz w:val="20"/>
                <w:szCs w:val="20"/>
              </w:rPr>
            </w:pPr>
            <w:r w:rsidRPr="008B6A75">
              <w:rPr>
                <w:sz w:val="20"/>
                <w:szCs w:val="20"/>
              </w:rPr>
              <w:t>500</w:t>
            </w:r>
          </w:p>
        </w:tc>
        <w:tc>
          <w:tcPr>
            <w:tcW w:w="567" w:type="dxa"/>
            <w:tcBorders>
              <w:top w:val="nil"/>
              <w:left w:val="single" w:sz="4" w:space="0" w:color="auto"/>
              <w:bottom w:val="single" w:sz="4" w:space="0" w:color="auto"/>
              <w:right w:val="nil"/>
            </w:tcBorders>
            <w:shd w:val="clear" w:color="auto" w:fill="auto"/>
            <w:noWrap/>
            <w:vAlign w:val="center"/>
            <w:hideMark/>
          </w:tcPr>
          <w:p w14:paraId="7AE3FDB7" w14:textId="77777777" w:rsidR="00387142" w:rsidRPr="008B6A75" w:rsidRDefault="00387142" w:rsidP="00387142">
            <w:pPr>
              <w:jc w:val="center"/>
              <w:rPr>
                <w:sz w:val="20"/>
                <w:szCs w:val="20"/>
              </w:rPr>
            </w:pPr>
            <w:r w:rsidRPr="008B6A75">
              <w:rPr>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178957DC" w14:textId="77777777" w:rsidR="00387142" w:rsidRPr="008B6A75" w:rsidRDefault="00387142" w:rsidP="00387142">
            <w:pPr>
              <w:jc w:val="center"/>
              <w:rPr>
                <w:sz w:val="20"/>
                <w:szCs w:val="20"/>
              </w:rPr>
            </w:pPr>
            <w:r w:rsidRPr="008B6A75">
              <w:rPr>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AFC4880" w14:textId="77777777" w:rsidR="00387142" w:rsidRPr="008B6A75" w:rsidRDefault="00387142" w:rsidP="00387142">
            <w:pPr>
              <w:jc w:val="right"/>
              <w:rPr>
                <w:sz w:val="20"/>
                <w:szCs w:val="20"/>
              </w:rPr>
            </w:pPr>
            <w:r w:rsidRPr="008B6A75">
              <w:rPr>
                <w:sz w:val="20"/>
                <w:szCs w:val="20"/>
              </w:rPr>
              <w:t>74 764 300,00</w:t>
            </w:r>
          </w:p>
        </w:tc>
        <w:tc>
          <w:tcPr>
            <w:tcW w:w="851" w:type="dxa"/>
            <w:tcBorders>
              <w:top w:val="nil"/>
              <w:left w:val="single" w:sz="4" w:space="0" w:color="auto"/>
              <w:bottom w:val="single" w:sz="4" w:space="0" w:color="auto"/>
              <w:right w:val="nil"/>
            </w:tcBorders>
            <w:shd w:val="clear" w:color="auto" w:fill="auto"/>
            <w:noWrap/>
            <w:vAlign w:val="center"/>
            <w:hideMark/>
          </w:tcPr>
          <w:p w14:paraId="0B76051C" w14:textId="77777777" w:rsidR="00387142" w:rsidRPr="008B6A75" w:rsidRDefault="00387142" w:rsidP="00387142">
            <w:pPr>
              <w:jc w:val="right"/>
              <w:rPr>
                <w:sz w:val="20"/>
                <w:szCs w:val="20"/>
              </w:rPr>
            </w:pPr>
            <w:r w:rsidRPr="008B6A75">
              <w:rPr>
                <w:sz w:val="20"/>
                <w:szCs w:val="20"/>
              </w:rPr>
              <w:t>72 707 900,00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49AEB5E6" w14:textId="77777777" w:rsidR="00387142" w:rsidRPr="008B6A75" w:rsidRDefault="00387142" w:rsidP="00387142">
            <w:pPr>
              <w:jc w:val="right"/>
              <w:rPr>
                <w:sz w:val="20"/>
                <w:szCs w:val="20"/>
              </w:rPr>
            </w:pPr>
            <w:r w:rsidRPr="008B6A75">
              <w:rPr>
                <w:sz w:val="20"/>
                <w:szCs w:val="20"/>
              </w:rPr>
              <w:t>51 417 300,00</w:t>
            </w:r>
          </w:p>
        </w:tc>
      </w:tr>
      <w:tr w:rsidR="00387142" w:rsidRPr="008B6A75" w14:paraId="2FB83E53" w14:textId="77777777" w:rsidTr="00387142">
        <w:trPr>
          <w:trHeight w:val="300"/>
        </w:trPr>
        <w:tc>
          <w:tcPr>
            <w:tcW w:w="272" w:type="dxa"/>
            <w:tcBorders>
              <w:top w:val="nil"/>
              <w:left w:val="nil"/>
              <w:bottom w:val="nil"/>
              <w:right w:val="single" w:sz="4" w:space="0" w:color="auto"/>
            </w:tcBorders>
            <w:shd w:val="clear" w:color="auto" w:fill="auto"/>
            <w:noWrap/>
            <w:vAlign w:val="bottom"/>
            <w:hideMark/>
          </w:tcPr>
          <w:p w14:paraId="61F4604D"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771F5AD0" w14:textId="77777777" w:rsidR="00387142" w:rsidRPr="008B6A75" w:rsidRDefault="00387142" w:rsidP="00387142">
            <w:pPr>
              <w:rPr>
                <w:sz w:val="20"/>
                <w:szCs w:val="20"/>
              </w:rPr>
            </w:pPr>
            <w:r w:rsidRPr="008B6A75">
              <w:rPr>
                <w:sz w:val="20"/>
                <w:szCs w:val="20"/>
              </w:rPr>
              <w:t>Дотации</w:t>
            </w:r>
          </w:p>
        </w:tc>
        <w:tc>
          <w:tcPr>
            <w:tcW w:w="1559" w:type="dxa"/>
            <w:tcBorders>
              <w:top w:val="nil"/>
              <w:left w:val="single" w:sz="4" w:space="0" w:color="auto"/>
              <w:bottom w:val="single" w:sz="4" w:space="0" w:color="auto"/>
              <w:right w:val="nil"/>
            </w:tcBorders>
            <w:shd w:val="clear" w:color="auto" w:fill="auto"/>
            <w:noWrap/>
            <w:vAlign w:val="center"/>
            <w:hideMark/>
          </w:tcPr>
          <w:p w14:paraId="08EBCC89" w14:textId="77777777" w:rsidR="00387142" w:rsidRPr="008B6A75" w:rsidRDefault="00387142" w:rsidP="00387142">
            <w:pPr>
              <w:jc w:val="center"/>
              <w:rPr>
                <w:sz w:val="20"/>
                <w:szCs w:val="20"/>
              </w:rPr>
            </w:pPr>
            <w:r w:rsidRPr="008B6A75">
              <w:rPr>
                <w:sz w:val="20"/>
                <w:szCs w:val="20"/>
              </w:rPr>
              <w:t>99.0.00.70220</w:t>
            </w:r>
          </w:p>
        </w:tc>
        <w:tc>
          <w:tcPr>
            <w:tcW w:w="850" w:type="dxa"/>
            <w:tcBorders>
              <w:top w:val="nil"/>
              <w:left w:val="single" w:sz="4" w:space="0" w:color="auto"/>
              <w:bottom w:val="single" w:sz="4" w:space="0" w:color="auto"/>
              <w:right w:val="nil"/>
            </w:tcBorders>
            <w:shd w:val="clear" w:color="auto" w:fill="auto"/>
            <w:noWrap/>
            <w:vAlign w:val="center"/>
            <w:hideMark/>
          </w:tcPr>
          <w:p w14:paraId="591257B2" w14:textId="77777777" w:rsidR="00387142" w:rsidRPr="008B6A75" w:rsidRDefault="00387142" w:rsidP="00387142">
            <w:pPr>
              <w:jc w:val="center"/>
              <w:rPr>
                <w:sz w:val="20"/>
                <w:szCs w:val="20"/>
              </w:rPr>
            </w:pPr>
            <w:r w:rsidRPr="008B6A75">
              <w:rPr>
                <w:sz w:val="20"/>
                <w:szCs w:val="20"/>
              </w:rPr>
              <w:t>510</w:t>
            </w:r>
          </w:p>
        </w:tc>
        <w:tc>
          <w:tcPr>
            <w:tcW w:w="567" w:type="dxa"/>
            <w:tcBorders>
              <w:top w:val="nil"/>
              <w:left w:val="single" w:sz="4" w:space="0" w:color="auto"/>
              <w:bottom w:val="single" w:sz="4" w:space="0" w:color="auto"/>
              <w:right w:val="nil"/>
            </w:tcBorders>
            <w:shd w:val="clear" w:color="auto" w:fill="auto"/>
            <w:noWrap/>
            <w:vAlign w:val="center"/>
            <w:hideMark/>
          </w:tcPr>
          <w:p w14:paraId="2FBB1CC9" w14:textId="77777777" w:rsidR="00387142" w:rsidRPr="008B6A75" w:rsidRDefault="00387142" w:rsidP="00387142">
            <w:pPr>
              <w:jc w:val="center"/>
              <w:rPr>
                <w:sz w:val="20"/>
                <w:szCs w:val="20"/>
              </w:rPr>
            </w:pPr>
            <w:r w:rsidRPr="008B6A75">
              <w:rPr>
                <w:sz w:val="20"/>
                <w:szCs w:val="20"/>
              </w:rPr>
              <w:t>14</w:t>
            </w:r>
          </w:p>
        </w:tc>
        <w:tc>
          <w:tcPr>
            <w:tcW w:w="567" w:type="dxa"/>
            <w:tcBorders>
              <w:top w:val="nil"/>
              <w:left w:val="single" w:sz="4" w:space="0" w:color="auto"/>
              <w:bottom w:val="single" w:sz="4" w:space="0" w:color="auto"/>
              <w:right w:val="nil"/>
            </w:tcBorders>
            <w:shd w:val="clear" w:color="auto" w:fill="auto"/>
            <w:noWrap/>
            <w:vAlign w:val="center"/>
            <w:hideMark/>
          </w:tcPr>
          <w:p w14:paraId="384C0BAF" w14:textId="77777777" w:rsidR="00387142" w:rsidRPr="008B6A75" w:rsidRDefault="00387142" w:rsidP="00387142">
            <w:pPr>
              <w:jc w:val="center"/>
              <w:rPr>
                <w:sz w:val="20"/>
                <w:szCs w:val="20"/>
              </w:rPr>
            </w:pPr>
            <w:r w:rsidRPr="008B6A75">
              <w:rPr>
                <w:sz w:val="20"/>
                <w:szCs w:val="20"/>
              </w:rPr>
              <w:t>01</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869090C" w14:textId="77777777" w:rsidR="00387142" w:rsidRPr="008B6A75" w:rsidRDefault="00387142" w:rsidP="00387142">
            <w:pPr>
              <w:jc w:val="right"/>
              <w:rPr>
                <w:sz w:val="20"/>
                <w:szCs w:val="20"/>
              </w:rPr>
            </w:pPr>
            <w:r w:rsidRPr="008B6A75">
              <w:rPr>
                <w:sz w:val="20"/>
                <w:szCs w:val="20"/>
              </w:rPr>
              <w:t>74 764 300,00</w:t>
            </w:r>
          </w:p>
        </w:tc>
        <w:tc>
          <w:tcPr>
            <w:tcW w:w="851" w:type="dxa"/>
            <w:tcBorders>
              <w:top w:val="nil"/>
              <w:left w:val="single" w:sz="4" w:space="0" w:color="auto"/>
              <w:bottom w:val="single" w:sz="4" w:space="0" w:color="auto"/>
              <w:right w:val="nil"/>
            </w:tcBorders>
            <w:shd w:val="clear" w:color="auto" w:fill="auto"/>
            <w:noWrap/>
            <w:vAlign w:val="center"/>
            <w:hideMark/>
          </w:tcPr>
          <w:p w14:paraId="508CEE58" w14:textId="77777777" w:rsidR="00387142" w:rsidRPr="008B6A75" w:rsidRDefault="00387142" w:rsidP="00387142">
            <w:pPr>
              <w:jc w:val="right"/>
              <w:rPr>
                <w:sz w:val="20"/>
                <w:szCs w:val="20"/>
              </w:rPr>
            </w:pPr>
            <w:r w:rsidRPr="008B6A75">
              <w:rPr>
                <w:sz w:val="20"/>
                <w:szCs w:val="20"/>
              </w:rPr>
              <w:t>72 707 900,00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49A08FC4" w14:textId="77777777" w:rsidR="00387142" w:rsidRPr="008B6A75" w:rsidRDefault="00387142" w:rsidP="00387142">
            <w:pPr>
              <w:jc w:val="right"/>
              <w:rPr>
                <w:sz w:val="20"/>
                <w:szCs w:val="20"/>
              </w:rPr>
            </w:pPr>
            <w:r w:rsidRPr="008B6A75">
              <w:rPr>
                <w:sz w:val="20"/>
                <w:szCs w:val="20"/>
              </w:rPr>
              <w:t>51 417 300,00</w:t>
            </w:r>
          </w:p>
        </w:tc>
      </w:tr>
      <w:tr w:rsidR="00387142" w:rsidRPr="008B6A75" w14:paraId="217781B8" w14:textId="77777777" w:rsidTr="00387142">
        <w:trPr>
          <w:trHeight w:val="2010"/>
        </w:trPr>
        <w:tc>
          <w:tcPr>
            <w:tcW w:w="272" w:type="dxa"/>
            <w:tcBorders>
              <w:top w:val="nil"/>
              <w:left w:val="nil"/>
              <w:bottom w:val="nil"/>
              <w:right w:val="single" w:sz="4" w:space="0" w:color="auto"/>
            </w:tcBorders>
            <w:shd w:val="clear" w:color="auto" w:fill="auto"/>
            <w:noWrap/>
            <w:vAlign w:val="bottom"/>
            <w:hideMark/>
          </w:tcPr>
          <w:p w14:paraId="4A3BD41D"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74452DD4" w14:textId="77777777" w:rsidR="00387142" w:rsidRPr="008B6A75" w:rsidRDefault="00387142" w:rsidP="00387142">
            <w:pPr>
              <w:rPr>
                <w:bCs/>
                <w:sz w:val="20"/>
                <w:szCs w:val="20"/>
              </w:rPr>
            </w:pPr>
            <w:r w:rsidRPr="008B6A75">
              <w:rPr>
                <w:bCs/>
                <w:sz w:val="20"/>
                <w:szCs w:val="20"/>
              </w:rPr>
              <w:t>Осуществление отдельных государственных полномочий Новосибирской области по сбору информации от поселений, входящих в муниципальный район, необходимой для ведения регистра муниципальных нормативных правовых актов Новосибирской области</w:t>
            </w:r>
          </w:p>
        </w:tc>
        <w:tc>
          <w:tcPr>
            <w:tcW w:w="1559" w:type="dxa"/>
            <w:tcBorders>
              <w:top w:val="nil"/>
              <w:left w:val="single" w:sz="4" w:space="0" w:color="auto"/>
              <w:bottom w:val="single" w:sz="4" w:space="0" w:color="auto"/>
              <w:right w:val="nil"/>
            </w:tcBorders>
            <w:shd w:val="clear" w:color="auto" w:fill="auto"/>
            <w:noWrap/>
            <w:vAlign w:val="center"/>
            <w:hideMark/>
          </w:tcPr>
          <w:p w14:paraId="1CFC214B" w14:textId="77777777" w:rsidR="00387142" w:rsidRPr="008B6A75" w:rsidRDefault="00387142" w:rsidP="00387142">
            <w:pPr>
              <w:jc w:val="center"/>
              <w:rPr>
                <w:bCs/>
                <w:sz w:val="20"/>
                <w:szCs w:val="20"/>
              </w:rPr>
            </w:pPr>
            <w:r w:rsidRPr="008B6A75">
              <w:rPr>
                <w:bCs/>
                <w:sz w:val="20"/>
                <w:szCs w:val="20"/>
              </w:rPr>
              <w:t>99.0.00.70230</w:t>
            </w:r>
          </w:p>
        </w:tc>
        <w:tc>
          <w:tcPr>
            <w:tcW w:w="850" w:type="dxa"/>
            <w:tcBorders>
              <w:top w:val="nil"/>
              <w:left w:val="single" w:sz="4" w:space="0" w:color="auto"/>
              <w:bottom w:val="single" w:sz="4" w:space="0" w:color="auto"/>
              <w:right w:val="nil"/>
            </w:tcBorders>
            <w:shd w:val="clear" w:color="auto" w:fill="auto"/>
            <w:noWrap/>
            <w:vAlign w:val="center"/>
            <w:hideMark/>
          </w:tcPr>
          <w:p w14:paraId="0F95F6B7" w14:textId="77777777" w:rsidR="00387142" w:rsidRPr="008B6A75" w:rsidRDefault="00387142" w:rsidP="00387142">
            <w:pPr>
              <w:jc w:val="center"/>
              <w:rPr>
                <w:bCs/>
                <w:sz w:val="20"/>
                <w:szCs w:val="20"/>
              </w:rPr>
            </w:pPr>
            <w:r w:rsidRPr="008B6A75">
              <w:rPr>
                <w:bCs/>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0726945D" w14:textId="77777777" w:rsidR="00387142" w:rsidRPr="008B6A75" w:rsidRDefault="00387142" w:rsidP="00387142">
            <w:pPr>
              <w:jc w:val="center"/>
              <w:rPr>
                <w:bCs/>
                <w:sz w:val="20"/>
                <w:szCs w:val="20"/>
              </w:rPr>
            </w:pPr>
            <w:r w:rsidRPr="008B6A75">
              <w:rPr>
                <w:bCs/>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6E166B01" w14:textId="77777777" w:rsidR="00387142" w:rsidRPr="008B6A75" w:rsidRDefault="00387142" w:rsidP="00387142">
            <w:pPr>
              <w:jc w:val="center"/>
              <w:rPr>
                <w:bCs/>
                <w:sz w:val="20"/>
                <w:szCs w:val="20"/>
              </w:rPr>
            </w:pPr>
            <w:r w:rsidRPr="008B6A75">
              <w:rPr>
                <w:bCs/>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D14008B" w14:textId="77777777" w:rsidR="00387142" w:rsidRPr="008B6A75" w:rsidRDefault="00387142" w:rsidP="00387142">
            <w:pPr>
              <w:jc w:val="right"/>
              <w:rPr>
                <w:bCs/>
                <w:sz w:val="20"/>
                <w:szCs w:val="20"/>
              </w:rPr>
            </w:pPr>
            <w:r w:rsidRPr="008B6A75">
              <w:rPr>
                <w:bCs/>
                <w:sz w:val="20"/>
                <w:szCs w:val="20"/>
              </w:rPr>
              <w:t>123 620,00</w:t>
            </w:r>
          </w:p>
        </w:tc>
        <w:tc>
          <w:tcPr>
            <w:tcW w:w="851" w:type="dxa"/>
            <w:tcBorders>
              <w:top w:val="nil"/>
              <w:left w:val="single" w:sz="4" w:space="0" w:color="auto"/>
              <w:bottom w:val="single" w:sz="4" w:space="0" w:color="auto"/>
              <w:right w:val="nil"/>
            </w:tcBorders>
            <w:shd w:val="clear" w:color="auto" w:fill="auto"/>
            <w:noWrap/>
            <w:vAlign w:val="center"/>
            <w:hideMark/>
          </w:tcPr>
          <w:p w14:paraId="3365C603" w14:textId="77777777" w:rsidR="00387142" w:rsidRPr="008B6A75" w:rsidRDefault="00387142" w:rsidP="00387142">
            <w:pPr>
              <w:jc w:val="right"/>
              <w:rPr>
                <w:bCs/>
                <w:sz w:val="20"/>
                <w:szCs w:val="20"/>
              </w:rPr>
            </w:pPr>
            <w:r w:rsidRPr="008B6A75">
              <w:rPr>
                <w:bCs/>
                <w:sz w:val="20"/>
                <w:szCs w:val="20"/>
              </w:rPr>
              <w:t>122 500,00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626A421F" w14:textId="77777777" w:rsidR="00387142" w:rsidRPr="008B6A75" w:rsidRDefault="00387142" w:rsidP="00387142">
            <w:pPr>
              <w:jc w:val="right"/>
              <w:rPr>
                <w:bCs/>
                <w:sz w:val="20"/>
                <w:szCs w:val="20"/>
              </w:rPr>
            </w:pPr>
            <w:r w:rsidRPr="008B6A75">
              <w:rPr>
                <w:bCs/>
                <w:sz w:val="20"/>
                <w:szCs w:val="20"/>
              </w:rPr>
              <w:t>127 600,00</w:t>
            </w:r>
          </w:p>
        </w:tc>
      </w:tr>
      <w:tr w:rsidR="00387142" w:rsidRPr="008B6A75" w14:paraId="277F77FE" w14:textId="77777777" w:rsidTr="00387142">
        <w:trPr>
          <w:trHeight w:val="1440"/>
        </w:trPr>
        <w:tc>
          <w:tcPr>
            <w:tcW w:w="272" w:type="dxa"/>
            <w:tcBorders>
              <w:top w:val="nil"/>
              <w:left w:val="nil"/>
              <w:bottom w:val="nil"/>
              <w:right w:val="single" w:sz="4" w:space="0" w:color="auto"/>
            </w:tcBorders>
            <w:shd w:val="clear" w:color="auto" w:fill="auto"/>
            <w:noWrap/>
            <w:vAlign w:val="bottom"/>
            <w:hideMark/>
          </w:tcPr>
          <w:p w14:paraId="00B83D40"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371265B7" w14:textId="77777777" w:rsidR="00387142" w:rsidRPr="008B6A75" w:rsidRDefault="00387142" w:rsidP="00387142">
            <w:pPr>
              <w:rPr>
                <w:sz w:val="20"/>
                <w:szCs w:val="20"/>
              </w:rPr>
            </w:pPr>
            <w:r w:rsidRPr="008B6A7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single" w:sz="4" w:space="0" w:color="auto"/>
              <w:bottom w:val="single" w:sz="4" w:space="0" w:color="auto"/>
              <w:right w:val="nil"/>
            </w:tcBorders>
            <w:shd w:val="clear" w:color="auto" w:fill="auto"/>
            <w:noWrap/>
            <w:vAlign w:val="center"/>
            <w:hideMark/>
          </w:tcPr>
          <w:p w14:paraId="57D4F06D" w14:textId="77777777" w:rsidR="00387142" w:rsidRPr="008B6A75" w:rsidRDefault="00387142" w:rsidP="00387142">
            <w:pPr>
              <w:jc w:val="center"/>
              <w:rPr>
                <w:sz w:val="20"/>
                <w:szCs w:val="20"/>
              </w:rPr>
            </w:pPr>
            <w:r w:rsidRPr="008B6A75">
              <w:rPr>
                <w:sz w:val="20"/>
                <w:szCs w:val="20"/>
              </w:rPr>
              <w:t>99.0.00.70230</w:t>
            </w:r>
          </w:p>
        </w:tc>
        <w:tc>
          <w:tcPr>
            <w:tcW w:w="850" w:type="dxa"/>
            <w:tcBorders>
              <w:top w:val="nil"/>
              <w:left w:val="single" w:sz="4" w:space="0" w:color="auto"/>
              <w:bottom w:val="single" w:sz="4" w:space="0" w:color="auto"/>
              <w:right w:val="nil"/>
            </w:tcBorders>
            <w:shd w:val="clear" w:color="auto" w:fill="auto"/>
            <w:noWrap/>
            <w:vAlign w:val="center"/>
            <w:hideMark/>
          </w:tcPr>
          <w:p w14:paraId="1F186DD3" w14:textId="77777777" w:rsidR="00387142" w:rsidRPr="008B6A75" w:rsidRDefault="00387142" w:rsidP="00387142">
            <w:pPr>
              <w:jc w:val="center"/>
              <w:rPr>
                <w:sz w:val="20"/>
                <w:szCs w:val="20"/>
              </w:rPr>
            </w:pPr>
            <w:r w:rsidRPr="008B6A75">
              <w:rPr>
                <w:sz w:val="20"/>
                <w:szCs w:val="20"/>
              </w:rPr>
              <w:t>100</w:t>
            </w:r>
          </w:p>
        </w:tc>
        <w:tc>
          <w:tcPr>
            <w:tcW w:w="567" w:type="dxa"/>
            <w:tcBorders>
              <w:top w:val="nil"/>
              <w:left w:val="single" w:sz="4" w:space="0" w:color="auto"/>
              <w:bottom w:val="single" w:sz="4" w:space="0" w:color="auto"/>
              <w:right w:val="nil"/>
            </w:tcBorders>
            <w:shd w:val="clear" w:color="auto" w:fill="auto"/>
            <w:noWrap/>
            <w:vAlign w:val="center"/>
            <w:hideMark/>
          </w:tcPr>
          <w:p w14:paraId="073A0488" w14:textId="77777777" w:rsidR="00387142" w:rsidRPr="008B6A75" w:rsidRDefault="00387142" w:rsidP="00387142">
            <w:pPr>
              <w:jc w:val="center"/>
              <w:rPr>
                <w:sz w:val="20"/>
                <w:szCs w:val="20"/>
              </w:rPr>
            </w:pPr>
            <w:r w:rsidRPr="008B6A75">
              <w:rPr>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57CC96D1" w14:textId="77777777" w:rsidR="00387142" w:rsidRPr="008B6A75" w:rsidRDefault="00387142" w:rsidP="00387142">
            <w:pPr>
              <w:jc w:val="center"/>
              <w:rPr>
                <w:sz w:val="20"/>
                <w:szCs w:val="20"/>
              </w:rPr>
            </w:pPr>
            <w:r w:rsidRPr="008B6A75">
              <w:rPr>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EC2BFB8" w14:textId="77777777" w:rsidR="00387142" w:rsidRPr="008B6A75" w:rsidRDefault="00387142" w:rsidP="00387142">
            <w:pPr>
              <w:jc w:val="right"/>
              <w:rPr>
                <w:sz w:val="20"/>
                <w:szCs w:val="20"/>
              </w:rPr>
            </w:pPr>
            <w:r w:rsidRPr="008B6A75">
              <w:rPr>
                <w:sz w:val="20"/>
                <w:szCs w:val="20"/>
              </w:rPr>
              <w:t>104 663,33</w:t>
            </w:r>
          </w:p>
        </w:tc>
        <w:tc>
          <w:tcPr>
            <w:tcW w:w="851" w:type="dxa"/>
            <w:tcBorders>
              <w:top w:val="nil"/>
              <w:left w:val="single" w:sz="4" w:space="0" w:color="auto"/>
              <w:bottom w:val="single" w:sz="4" w:space="0" w:color="auto"/>
              <w:right w:val="nil"/>
            </w:tcBorders>
            <w:shd w:val="clear" w:color="auto" w:fill="auto"/>
            <w:noWrap/>
            <w:vAlign w:val="center"/>
            <w:hideMark/>
          </w:tcPr>
          <w:p w14:paraId="7041CFFB" w14:textId="77777777" w:rsidR="00387142" w:rsidRPr="008B6A75" w:rsidRDefault="00387142" w:rsidP="00387142">
            <w:pPr>
              <w:jc w:val="right"/>
              <w:rPr>
                <w:sz w:val="20"/>
                <w:szCs w:val="20"/>
              </w:rPr>
            </w:pPr>
            <w:r w:rsidRPr="008B6A75">
              <w:rPr>
                <w:sz w:val="20"/>
                <w:szCs w:val="20"/>
              </w:rPr>
              <w:t>103 005,00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27D4BDBB" w14:textId="77777777" w:rsidR="00387142" w:rsidRPr="008B6A75" w:rsidRDefault="00387142" w:rsidP="00387142">
            <w:pPr>
              <w:jc w:val="right"/>
              <w:rPr>
                <w:sz w:val="20"/>
                <w:szCs w:val="20"/>
              </w:rPr>
            </w:pPr>
            <w:r w:rsidRPr="008B6A75">
              <w:rPr>
                <w:sz w:val="20"/>
                <w:szCs w:val="20"/>
              </w:rPr>
              <w:t>107 125,00</w:t>
            </w:r>
          </w:p>
        </w:tc>
      </w:tr>
      <w:tr w:rsidR="00387142" w:rsidRPr="008B6A75" w14:paraId="21F673B1" w14:textId="77777777" w:rsidTr="00387142">
        <w:trPr>
          <w:trHeight w:val="585"/>
        </w:trPr>
        <w:tc>
          <w:tcPr>
            <w:tcW w:w="272" w:type="dxa"/>
            <w:tcBorders>
              <w:top w:val="nil"/>
              <w:left w:val="nil"/>
              <w:bottom w:val="nil"/>
              <w:right w:val="single" w:sz="4" w:space="0" w:color="auto"/>
            </w:tcBorders>
            <w:shd w:val="clear" w:color="auto" w:fill="auto"/>
            <w:noWrap/>
            <w:vAlign w:val="bottom"/>
            <w:hideMark/>
          </w:tcPr>
          <w:p w14:paraId="602B0292"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6D0E76D3" w14:textId="77777777" w:rsidR="00387142" w:rsidRPr="008B6A75" w:rsidRDefault="00387142" w:rsidP="00387142">
            <w:pPr>
              <w:rPr>
                <w:sz w:val="20"/>
                <w:szCs w:val="20"/>
              </w:rPr>
            </w:pPr>
            <w:r w:rsidRPr="008B6A75">
              <w:rPr>
                <w:sz w:val="20"/>
                <w:szCs w:val="20"/>
              </w:rPr>
              <w:t>Расходы на выплаты персоналу государственных (муниципальных) органов</w:t>
            </w:r>
          </w:p>
        </w:tc>
        <w:tc>
          <w:tcPr>
            <w:tcW w:w="1559" w:type="dxa"/>
            <w:tcBorders>
              <w:top w:val="nil"/>
              <w:left w:val="single" w:sz="4" w:space="0" w:color="auto"/>
              <w:bottom w:val="single" w:sz="4" w:space="0" w:color="auto"/>
              <w:right w:val="nil"/>
            </w:tcBorders>
            <w:shd w:val="clear" w:color="auto" w:fill="auto"/>
            <w:noWrap/>
            <w:vAlign w:val="center"/>
            <w:hideMark/>
          </w:tcPr>
          <w:p w14:paraId="5EF16A0C" w14:textId="77777777" w:rsidR="00387142" w:rsidRPr="008B6A75" w:rsidRDefault="00387142" w:rsidP="00387142">
            <w:pPr>
              <w:jc w:val="center"/>
              <w:rPr>
                <w:sz w:val="20"/>
                <w:szCs w:val="20"/>
              </w:rPr>
            </w:pPr>
            <w:r w:rsidRPr="008B6A75">
              <w:rPr>
                <w:sz w:val="20"/>
                <w:szCs w:val="20"/>
              </w:rPr>
              <w:t>99.0.00.70230</w:t>
            </w:r>
          </w:p>
        </w:tc>
        <w:tc>
          <w:tcPr>
            <w:tcW w:w="850" w:type="dxa"/>
            <w:tcBorders>
              <w:top w:val="nil"/>
              <w:left w:val="single" w:sz="4" w:space="0" w:color="auto"/>
              <w:bottom w:val="single" w:sz="4" w:space="0" w:color="auto"/>
              <w:right w:val="nil"/>
            </w:tcBorders>
            <w:shd w:val="clear" w:color="auto" w:fill="auto"/>
            <w:noWrap/>
            <w:vAlign w:val="center"/>
            <w:hideMark/>
          </w:tcPr>
          <w:p w14:paraId="6E7E2FB0" w14:textId="77777777" w:rsidR="00387142" w:rsidRPr="008B6A75" w:rsidRDefault="00387142" w:rsidP="00387142">
            <w:pPr>
              <w:jc w:val="center"/>
              <w:rPr>
                <w:sz w:val="20"/>
                <w:szCs w:val="20"/>
              </w:rPr>
            </w:pPr>
            <w:r w:rsidRPr="008B6A75">
              <w:rPr>
                <w:sz w:val="20"/>
                <w:szCs w:val="20"/>
              </w:rPr>
              <w:t>120</w:t>
            </w:r>
          </w:p>
        </w:tc>
        <w:tc>
          <w:tcPr>
            <w:tcW w:w="567" w:type="dxa"/>
            <w:tcBorders>
              <w:top w:val="nil"/>
              <w:left w:val="single" w:sz="4" w:space="0" w:color="auto"/>
              <w:bottom w:val="single" w:sz="4" w:space="0" w:color="auto"/>
              <w:right w:val="nil"/>
            </w:tcBorders>
            <w:shd w:val="clear" w:color="auto" w:fill="auto"/>
            <w:noWrap/>
            <w:vAlign w:val="center"/>
            <w:hideMark/>
          </w:tcPr>
          <w:p w14:paraId="79F87143" w14:textId="77777777" w:rsidR="00387142" w:rsidRPr="008B6A75" w:rsidRDefault="00387142" w:rsidP="00387142">
            <w:pPr>
              <w:jc w:val="center"/>
              <w:rPr>
                <w:sz w:val="20"/>
                <w:szCs w:val="20"/>
              </w:rPr>
            </w:pPr>
            <w:r w:rsidRPr="008B6A75">
              <w:rPr>
                <w:sz w:val="20"/>
                <w:szCs w:val="20"/>
              </w:rPr>
              <w:t>01</w:t>
            </w:r>
          </w:p>
        </w:tc>
        <w:tc>
          <w:tcPr>
            <w:tcW w:w="567" w:type="dxa"/>
            <w:tcBorders>
              <w:top w:val="nil"/>
              <w:left w:val="single" w:sz="4" w:space="0" w:color="auto"/>
              <w:bottom w:val="single" w:sz="4" w:space="0" w:color="auto"/>
              <w:right w:val="nil"/>
            </w:tcBorders>
            <w:shd w:val="clear" w:color="auto" w:fill="auto"/>
            <w:noWrap/>
            <w:vAlign w:val="center"/>
            <w:hideMark/>
          </w:tcPr>
          <w:p w14:paraId="4B1E2122" w14:textId="77777777" w:rsidR="00387142" w:rsidRPr="008B6A75" w:rsidRDefault="00387142" w:rsidP="00387142">
            <w:pPr>
              <w:jc w:val="center"/>
              <w:rPr>
                <w:sz w:val="20"/>
                <w:szCs w:val="20"/>
              </w:rPr>
            </w:pPr>
            <w:r w:rsidRPr="008B6A75">
              <w:rPr>
                <w:sz w:val="20"/>
                <w:szCs w:val="20"/>
              </w:rPr>
              <w:t>04</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DE9F0B0" w14:textId="77777777" w:rsidR="00387142" w:rsidRPr="008B6A75" w:rsidRDefault="00387142" w:rsidP="00387142">
            <w:pPr>
              <w:jc w:val="right"/>
              <w:rPr>
                <w:sz w:val="20"/>
                <w:szCs w:val="20"/>
              </w:rPr>
            </w:pPr>
            <w:r w:rsidRPr="008B6A75">
              <w:rPr>
                <w:sz w:val="20"/>
                <w:szCs w:val="20"/>
              </w:rPr>
              <w:t>104 663,33</w:t>
            </w:r>
          </w:p>
        </w:tc>
        <w:tc>
          <w:tcPr>
            <w:tcW w:w="851" w:type="dxa"/>
            <w:tcBorders>
              <w:top w:val="nil"/>
              <w:left w:val="single" w:sz="4" w:space="0" w:color="auto"/>
              <w:bottom w:val="single" w:sz="4" w:space="0" w:color="auto"/>
              <w:right w:val="nil"/>
            </w:tcBorders>
            <w:shd w:val="clear" w:color="auto" w:fill="auto"/>
            <w:noWrap/>
            <w:vAlign w:val="center"/>
            <w:hideMark/>
          </w:tcPr>
          <w:p w14:paraId="72C379E2" w14:textId="77777777" w:rsidR="00387142" w:rsidRPr="008B6A75" w:rsidRDefault="00387142" w:rsidP="00387142">
            <w:pPr>
              <w:jc w:val="right"/>
              <w:rPr>
                <w:sz w:val="20"/>
                <w:szCs w:val="20"/>
              </w:rPr>
            </w:pPr>
            <w:r w:rsidRPr="008B6A75">
              <w:rPr>
                <w:sz w:val="20"/>
                <w:szCs w:val="20"/>
              </w:rPr>
              <w:t>103 005,00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5027CD29" w14:textId="77777777" w:rsidR="00387142" w:rsidRPr="008B6A75" w:rsidRDefault="00387142" w:rsidP="00387142">
            <w:pPr>
              <w:jc w:val="right"/>
              <w:rPr>
                <w:sz w:val="20"/>
                <w:szCs w:val="20"/>
              </w:rPr>
            </w:pPr>
            <w:r w:rsidRPr="008B6A75">
              <w:rPr>
                <w:sz w:val="20"/>
                <w:szCs w:val="20"/>
              </w:rPr>
              <w:t>107 125,00</w:t>
            </w:r>
          </w:p>
        </w:tc>
      </w:tr>
      <w:tr w:rsidR="00387142" w:rsidRPr="008B6A75" w14:paraId="752D149D" w14:textId="77777777" w:rsidTr="00387142">
        <w:trPr>
          <w:trHeight w:val="585"/>
        </w:trPr>
        <w:tc>
          <w:tcPr>
            <w:tcW w:w="272" w:type="dxa"/>
            <w:tcBorders>
              <w:top w:val="nil"/>
              <w:left w:val="nil"/>
              <w:bottom w:val="nil"/>
              <w:right w:val="single" w:sz="4" w:space="0" w:color="auto"/>
            </w:tcBorders>
            <w:shd w:val="clear" w:color="auto" w:fill="auto"/>
            <w:noWrap/>
            <w:vAlign w:val="bottom"/>
            <w:hideMark/>
          </w:tcPr>
          <w:p w14:paraId="06C0FFF5"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35280563" w14:textId="77777777" w:rsidR="00387142" w:rsidRPr="008B6A75" w:rsidRDefault="00387142" w:rsidP="00387142">
            <w:pPr>
              <w:rPr>
                <w:sz w:val="20"/>
                <w:szCs w:val="20"/>
              </w:rPr>
            </w:pPr>
            <w:r w:rsidRPr="008B6A75">
              <w:rPr>
                <w:sz w:val="20"/>
                <w:szCs w:val="20"/>
              </w:rPr>
              <w:t>Закупка товаров, работ и услуг для обеспечения государственных (муниципальных) нужд</w:t>
            </w:r>
          </w:p>
        </w:tc>
        <w:tc>
          <w:tcPr>
            <w:tcW w:w="1559" w:type="dxa"/>
            <w:tcBorders>
              <w:top w:val="nil"/>
              <w:left w:val="single" w:sz="4" w:space="0" w:color="auto"/>
              <w:bottom w:val="single" w:sz="4" w:space="0" w:color="auto"/>
              <w:right w:val="nil"/>
            </w:tcBorders>
            <w:shd w:val="clear" w:color="auto" w:fill="auto"/>
            <w:noWrap/>
            <w:vAlign w:val="center"/>
            <w:hideMark/>
          </w:tcPr>
          <w:p w14:paraId="5B638752" w14:textId="77777777" w:rsidR="00387142" w:rsidRPr="008B6A75" w:rsidRDefault="00387142" w:rsidP="00387142">
            <w:pPr>
              <w:jc w:val="center"/>
              <w:rPr>
                <w:sz w:val="20"/>
                <w:szCs w:val="20"/>
              </w:rPr>
            </w:pPr>
            <w:r w:rsidRPr="008B6A75">
              <w:rPr>
                <w:sz w:val="20"/>
                <w:szCs w:val="20"/>
              </w:rPr>
              <w:t>99.0.00.70230</w:t>
            </w:r>
          </w:p>
        </w:tc>
        <w:tc>
          <w:tcPr>
            <w:tcW w:w="850" w:type="dxa"/>
            <w:tcBorders>
              <w:top w:val="nil"/>
              <w:left w:val="single" w:sz="4" w:space="0" w:color="auto"/>
              <w:bottom w:val="single" w:sz="4" w:space="0" w:color="auto"/>
              <w:right w:val="nil"/>
            </w:tcBorders>
            <w:shd w:val="clear" w:color="auto" w:fill="auto"/>
            <w:noWrap/>
            <w:vAlign w:val="center"/>
            <w:hideMark/>
          </w:tcPr>
          <w:p w14:paraId="144B4542" w14:textId="77777777" w:rsidR="00387142" w:rsidRPr="008B6A75" w:rsidRDefault="00387142" w:rsidP="00387142">
            <w:pPr>
              <w:jc w:val="center"/>
              <w:rPr>
                <w:sz w:val="20"/>
                <w:szCs w:val="20"/>
              </w:rPr>
            </w:pPr>
            <w:r w:rsidRPr="008B6A75">
              <w:rPr>
                <w:sz w:val="20"/>
                <w:szCs w:val="20"/>
              </w:rPr>
              <w:t>200</w:t>
            </w:r>
          </w:p>
        </w:tc>
        <w:tc>
          <w:tcPr>
            <w:tcW w:w="567" w:type="dxa"/>
            <w:tcBorders>
              <w:top w:val="nil"/>
              <w:left w:val="single" w:sz="4" w:space="0" w:color="auto"/>
              <w:bottom w:val="single" w:sz="4" w:space="0" w:color="auto"/>
              <w:right w:val="nil"/>
            </w:tcBorders>
            <w:shd w:val="clear" w:color="auto" w:fill="auto"/>
            <w:noWrap/>
            <w:vAlign w:val="center"/>
            <w:hideMark/>
          </w:tcPr>
          <w:p w14:paraId="26ACC11B" w14:textId="77777777" w:rsidR="00387142" w:rsidRPr="008B6A75" w:rsidRDefault="00387142" w:rsidP="00387142">
            <w:pPr>
              <w:jc w:val="center"/>
              <w:rPr>
                <w:sz w:val="20"/>
                <w:szCs w:val="20"/>
              </w:rPr>
            </w:pPr>
            <w:r w:rsidRPr="008B6A75">
              <w:rPr>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4C78F144" w14:textId="77777777" w:rsidR="00387142" w:rsidRPr="008B6A75" w:rsidRDefault="00387142" w:rsidP="00387142">
            <w:pPr>
              <w:jc w:val="center"/>
              <w:rPr>
                <w:sz w:val="20"/>
                <w:szCs w:val="20"/>
              </w:rPr>
            </w:pPr>
            <w:r w:rsidRPr="008B6A75">
              <w:rPr>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6CC89FB" w14:textId="77777777" w:rsidR="00387142" w:rsidRPr="008B6A75" w:rsidRDefault="00387142" w:rsidP="00387142">
            <w:pPr>
              <w:jc w:val="right"/>
              <w:rPr>
                <w:sz w:val="20"/>
                <w:szCs w:val="20"/>
              </w:rPr>
            </w:pPr>
            <w:r w:rsidRPr="008B6A75">
              <w:rPr>
                <w:sz w:val="20"/>
                <w:szCs w:val="20"/>
              </w:rPr>
              <w:t>18 956,67</w:t>
            </w:r>
          </w:p>
        </w:tc>
        <w:tc>
          <w:tcPr>
            <w:tcW w:w="851" w:type="dxa"/>
            <w:tcBorders>
              <w:top w:val="nil"/>
              <w:left w:val="single" w:sz="4" w:space="0" w:color="auto"/>
              <w:bottom w:val="single" w:sz="4" w:space="0" w:color="auto"/>
              <w:right w:val="nil"/>
            </w:tcBorders>
            <w:shd w:val="clear" w:color="auto" w:fill="auto"/>
            <w:noWrap/>
            <w:vAlign w:val="center"/>
            <w:hideMark/>
          </w:tcPr>
          <w:p w14:paraId="7FD63893" w14:textId="77777777" w:rsidR="00387142" w:rsidRPr="008B6A75" w:rsidRDefault="00387142" w:rsidP="00387142">
            <w:pPr>
              <w:jc w:val="right"/>
              <w:rPr>
                <w:sz w:val="20"/>
                <w:szCs w:val="20"/>
              </w:rPr>
            </w:pPr>
            <w:r w:rsidRPr="008B6A75">
              <w:rPr>
                <w:sz w:val="20"/>
                <w:szCs w:val="20"/>
              </w:rPr>
              <w:t>19 495,00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584549CD" w14:textId="77777777" w:rsidR="00387142" w:rsidRPr="008B6A75" w:rsidRDefault="00387142" w:rsidP="00387142">
            <w:pPr>
              <w:jc w:val="right"/>
              <w:rPr>
                <w:sz w:val="20"/>
                <w:szCs w:val="20"/>
              </w:rPr>
            </w:pPr>
            <w:r w:rsidRPr="008B6A75">
              <w:rPr>
                <w:sz w:val="20"/>
                <w:szCs w:val="20"/>
              </w:rPr>
              <w:t>20 475,00</w:t>
            </w:r>
          </w:p>
        </w:tc>
      </w:tr>
      <w:tr w:rsidR="00387142" w:rsidRPr="008B6A75" w14:paraId="7190624C" w14:textId="77777777" w:rsidTr="00387142">
        <w:trPr>
          <w:trHeight w:val="870"/>
        </w:trPr>
        <w:tc>
          <w:tcPr>
            <w:tcW w:w="272" w:type="dxa"/>
            <w:tcBorders>
              <w:top w:val="nil"/>
              <w:left w:val="nil"/>
              <w:bottom w:val="nil"/>
              <w:right w:val="single" w:sz="4" w:space="0" w:color="auto"/>
            </w:tcBorders>
            <w:shd w:val="clear" w:color="auto" w:fill="auto"/>
            <w:noWrap/>
            <w:vAlign w:val="bottom"/>
            <w:hideMark/>
          </w:tcPr>
          <w:p w14:paraId="5D7CAE63"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133B06C6" w14:textId="77777777" w:rsidR="00387142" w:rsidRPr="008B6A75" w:rsidRDefault="00387142" w:rsidP="00387142">
            <w:pPr>
              <w:rPr>
                <w:sz w:val="20"/>
                <w:szCs w:val="20"/>
              </w:rPr>
            </w:pPr>
            <w:r w:rsidRPr="008B6A75">
              <w:rPr>
                <w:sz w:val="20"/>
                <w:szCs w:val="20"/>
              </w:rPr>
              <w:t>Иные закупки товаров, работ и услуг для обеспечения государственных (муниципальных) нужд</w:t>
            </w:r>
          </w:p>
        </w:tc>
        <w:tc>
          <w:tcPr>
            <w:tcW w:w="1559" w:type="dxa"/>
            <w:tcBorders>
              <w:top w:val="nil"/>
              <w:left w:val="single" w:sz="4" w:space="0" w:color="auto"/>
              <w:bottom w:val="single" w:sz="4" w:space="0" w:color="auto"/>
              <w:right w:val="nil"/>
            </w:tcBorders>
            <w:shd w:val="clear" w:color="auto" w:fill="auto"/>
            <w:noWrap/>
            <w:vAlign w:val="center"/>
            <w:hideMark/>
          </w:tcPr>
          <w:p w14:paraId="5A7FA89A" w14:textId="77777777" w:rsidR="00387142" w:rsidRPr="008B6A75" w:rsidRDefault="00387142" w:rsidP="00387142">
            <w:pPr>
              <w:jc w:val="center"/>
              <w:rPr>
                <w:sz w:val="20"/>
                <w:szCs w:val="20"/>
              </w:rPr>
            </w:pPr>
            <w:r w:rsidRPr="008B6A75">
              <w:rPr>
                <w:sz w:val="20"/>
                <w:szCs w:val="20"/>
              </w:rPr>
              <w:t>99.0.00.70230</w:t>
            </w:r>
          </w:p>
        </w:tc>
        <w:tc>
          <w:tcPr>
            <w:tcW w:w="850" w:type="dxa"/>
            <w:tcBorders>
              <w:top w:val="nil"/>
              <w:left w:val="single" w:sz="4" w:space="0" w:color="auto"/>
              <w:bottom w:val="single" w:sz="4" w:space="0" w:color="auto"/>
              <w:right w:val="nil"/>
            </w:tcBorders>
            <w:shd w:val="clear" w:color="auto" w:fill="auto"/>
            <w:noWrap/>
            <w:vAlign w:val="center"/>
            <w:hideMark/>
          </w:tcPr>
          <w:p w14:paraId="6E741181" w14:textId="77777777" w:rsidR="00387142" w:rsidRPr="008B6A75" w:rsidRDefault="00387142" w:rsidP="00387142">
            <w:pPr>
              <w:jc w:val="center"/>
              <w:rPr>
                <w:sz w:val="20"/>
                <w:szCs w:val="20"/>
              </w:rPr>
            </w:pPr>
            <w:r w:rsidRPr="008B6A75">
              <w:rPr>
                <w:sz w:val="20"/>
                <w:szCs w:val="20"/>
              </w:rPr>
              <w:t>240</w:t>
            </w:r>
          </w:p>
        </w:tc>
        <w:tc>
          <w:tcPr>
            <w:tcW w:w="567" w:type="dxa"/>
            <w:tcBorders>
              <w:top w:val="nil"/>
              <w:left w:val="single" w:sz="4" w:space="0" w:color="auto"/>
              <w:bottom w:val="single" w:sz="4" w:space="0" w:color="auto"/>
              <w:right w:val="nil"/>
            </w:tcBorders>
            <w:shd w:val="clear" w:color="auto" w:fill="auto"/>
            <w:noWrap/>
            <w:vAlign w:val="center"/>
            <w:hideMark/>
          </w:tcPr>
          <w:p w14:paraId="75D081D6" w14:textId="77777777" w:rsidR="00387142" w:rsidRPr="008B6A75" w:rsidRDefault="00387142" w:rsidP="00387142">
            <w:pPr>
              <w:jc w:val="center"/>
              <w:rPr>
                <w:sz w:val="20"/>
                <w:szCs w:val="20"/>
              </w:rPr>
            </w:pPr>
            <w:r w:rsidRPr="008B6A75">
              <w:rPr>
                <w:sz w:val="20"/>
                <w:szCs w:val="20"/>
              </w:rPr>
              <w:t>01</w:t>
            </w:r>
          </w:p>
        </w:tc>
        <w:tc>
          <w:tcPr>
            <w:tcW w:w="567" w:type="dxa"/>
            <w:tcBorders>
              <w:top w:val="nil"/>
              <w:left w:val="single" w:sz="4" w:space="0" w:color="auto"/>
              <w:bottom w:val="single" w:sz="4" w:space="0" w:color="auto"/>
              <w:right w:val="nil"/>
            </w:tcBorders>
            <w:shd w:val="clear" w:color="auto" w:fill="auto"/>
            <w:noWrap/>
            <w:vAlign w:val="center"/>
            <w:hideMark/>
          </w:tcPr>
          <w:p w14:paraId="5B11F83C" w14:textId="77777777" w:rsidR="00387142" w:rsidRPr="008B6A75" w:rsidRDefault="00387142" w:rsidP="00387142">
            <w:pPr>
              <w:jc w:val="center"/>
              <w:rPr>
                <w:sz w:val="20"/>
                <w:szCs w:val="20"/>
              </w:rPr>
            </w:pPr>
            <w:r w:rsidRPr="008B6A75">
              <w:rPr>
                <w:sz w:val="20"/>
                <w:szCs w:val="20"/>
              </w:rPr>
              <w:t>04</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B6CFBA0" w14:textId="77777777" w:rsidR="00387142" w:rsidRPr="008B6A75" w:rsidRDefault="00387142" w:rsidP="00387142">
            <w:pPr>
              <w:jc w:val="right"/>
              <w:rPr>
                <w:sz w:val="20"/>
                <w:szCs w:val="20"/>
              </w:rPr>
            </w:pPr>
            <w:r w:rsidRPr="008B6A75">
              <w:rPr>
                <w:sz w:val="20"/>
                <w:szCs w:val="20"/>
              </w:rPr>
              <w:t>18 956,67</w:t>
            </w:r>
          </w:p>
        </w:tc>
        <w:tc>
          <w:tcPr>
            <w:tcW w:w="851" w:type="dxa"/>
            <w:tcBorders>
              <w:top w:val="nil"/>
              <w:left w:val="single" w:sz="4" w:space="0" w:color="auto"/>
              <w:bottom w:val="single" w:sz="4" w:space="0" w:color="auto"/>
              <w:right w:val="nil"/>
            </w:tcBorders>
            <w:shd w:val="clear" w:color="auto" w:fill="auto"/>
            <w:noWrap/>
            <w:vAlign w:val="center"/>
            <w:hideMark/>
          </w:tcPr>
          <w:p w14:paraId="7EFDFD31" w14:textId="77777777" w:rsidR="00387142" w:rsidRPr="008B6A75" w:rsidRDefault="00387142" w:rsidP="00387142">
            <w:pPr>
              <w:jc w:val="right"/>
              <w:rPr>
                <w:sz w:val="20"/>
                <w:szCs w:val="20"/>
              </w:rPr>
            </w:pPr>
            <w:r w:rsidRPr="008B6A75">
              <w:rPr>
                <w:sz w:val="20"/>
                <w:szCs w:val="20"/>
              </w:rPr>
              <w:t>19 495,00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70E7395C" w14:textId="77777777" w:rsidR="00387142" w:rsidRPr="008B6A75" w:rsidRDefault="00387142" w:rsidP="00387142">
            <w:pPr>
              <w:jc w:val="right"/>
              <w:rPr>
                <w:sz w:val="20"/>
                <w:szCs w:val="20"/>
              </w:rPr>
            </w:pPr>
            <w:r w:rsidRPr="008B6A75">
              <w:rPr>
                <w:sz w:val="20"/>
                <w:szCs w:val="20"/>
              </w:rPr>
              <w:t>20 475,00</w:t>
            </w:r>
          </w:p>
        </w:tc>
      </w:tr>
      <w:tr w:rsidR="00387142" w:rsidRPr="008B6A75" w14:paraId="05CCB0B2" w14:textId="77777777" w:rsidTr="00387142">
        <w:trPr>
          <w:trHeight w:val="1155"/>
        </w:trPr>
        <w:tc>
          <w:tcPr>
            <w:tcW w:w="272" w:type="dxa"/>
            <w:tcBorders>
              <w:top w:val="nil"/>
              <w:left w:val="nil"/>
              <w:bottom w:val="nil"/>
              <w:right w:val="single" w:sz="4" w:space="0" w:color="auto"/>
            </w:tcBorders>
            <w:shd w:val="clear" w:color="auto" w:fill="auto"/>
            <w:noWrap/>
            <w:vAlign w:val="bottom"/>
            <w:hideMark/>
          </w:tcPr>
          <w:p w14:paraId="4B1802C2"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732E9DC5" w14:textId="77777777" w:rsidR="00387142" w:rsidRPr="008B6A75" w:rsidRDefault="00387142" w:rsidP="00387142">
            <w:pPr>
              <w:rPr>
                <w:bCs/>
                <w:sz w:val="20"/>
                <w:szCs w:val="20"/>
              </w:rPr>
            </w:pPr>
            <w:r w:rsidRPr="008B6A75">
              <w:rPr>
                <w:bCs/>
                <w:sz w:val="20"/>
                <w:szCs w:val="20"/>
              </w:rPr>
              <w:t>Организация и осуществление деятельности по опеке и попечительству, социальной поддержке детей-сирот и детей, оставшихся без попечения родителей</w:t>
            </w:r>
          </w:p>
        </w:tc>
        <w:tc>
          <w:tcPr>
            <w:tcW w:w="1559" w:type="dxa"/>
            <w:tcBorders>
              <w:top w:val="nil"/>
              <w:left w:val="single" w:sz="4" w:space="0" w:color="auto"/>
              <w:bottom w:val="single" w:sz="4" w:space="0" w:color="auto"/>
              <w:right w:val="nil"/>
            </w:tcBorders>
            <w:shd w:val="clear" w:color="auto" w:fill="auto"/>
            <w:noWrap/>
            <w:vAlign w:val="center"/>
            <w:hideMark/>
          </w:tcPr>
          <w:p w14:paraId="5E6791D7" w14:textId="77777777" w:rsidR="00387142" w:rsidRPr="008B6A75" w:rsidRDefault="00387142" w:rsidP="00387142">
            <w:pPr>
              <w:jc w:val="center"/>
              <w:rPr>
                <w:bCs/>
                <w:sz w:val="20"/>
                <w:szCs w:val="20"/>
              </w:rPr>
            </w:pPr>
            <w:r w:rsidRPr="008B6A75">
              <w:rPr>
                <w:bCs/>
                <w:sz w:val="20"/>
                <w:szCs w:val="20"/>
              </w:rPr>
              <w:t>99.0.00.70289</w:t>
            </w:r>
          </w:p>
        </w:tc>
        <w:tc>
          <w:tcPr>
            <w:tcW w:w="850" w:type="dxa"/>
            <w:tcBorders>
              <w:top w:val="nil"/>
              <w:left w:val="single" w:sz="4" w:space="0" w:color="auto"/>
              <w:bottom w:val="single" w:sz="4" w:space="0" w:color="auto"/>
              <w:right w:val="nil"/>
            </w:tcBorders>
            <w:shd w:val="clear" w:color="auto" w:fill="auto"/>
            <w:noWrap/>
            <w:vAlign w:val="center"/>
            <w:hideMark/>
          </w:tcPr>
          <w:p w14:paraId="4652C7F0" w14:textId="77777777" w:rsidR="00387142" w:rsidRPr="008B6A75" w:rsidRDefault="00387142" w:rsidP="00387142">
            <w:pPr>
              <w:jc w:val="center"/>
              <w:rPr>
                <w:bCs/>
                <w:sz w:val="20"/>
                <w:szCs w:val="20"/>
              </w:rPr>
            </w:pPr>
            <w:r w:rsidRPr="008B6A75">
              <w:rPr>
                <w:bCs/>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70CD0C10" w14:textId="77777777" w:rsidR="00387142" w:rsidRPr="008B6A75" w:rsidRDefault="00387142" w:rsidP="00387142">
            <w:pPr>
              <w:jc w:val="center"/>
              <w:rPr>
                <w:bCs/>
                <w:sz w:val="20"/>
                <w:szCs w:val="20"/>
              </w:rPr>
            </w:pPr>
            <w:r w:rsidRPr="008B6A75">
              <w:rPr>
                <w:bCs/>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0554C5C4" w14:textId="77777777" w:rsidR="00387142" w:rsidRPr="008B6A75" w:rsidRDefault="00387142" w:rsidP="00387142">
            <w:pPr>
              <w:jc w:val="center"/>
              <w:rPr>
                <w:bCs/>
                <w:sz w:val="20"/>
                <w:szCs w:val="20"/>
              </w:rPr>
            </w:pPr>
            <w:r w:rsidRPr="008B6A75">
              <w:rPr>
                <w:bCs/>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0339EBC" w14:textId="77777777" w:rsidR="00387142" w:rsidRPr="008B6A75" w:rsidRDefault="00387142" w:rsidP="00387142">
            <w:pPr>
              <w:jc w:val="right"/>
              <w:rPr>
                <w:bCs/>
                <w:sz w:val="20"/>
                <w:szCs w:val="20"/>
              </w:rPr>
            </w:pPr>
            <w:r w:rsidRPr="008B6A75">
              <w:rPr>
                <w:bCs/>
                <w:sz w:val="20"/>
                <w:szCs w:val="20"/>
              </w:rPr>
              <w:t>48 814 100,00</w:t>
            </w:r>
          </w:p>
        </w:tc>
        <w:tc>
          <w:tcPr>
            <w:tcW w:w="851" w:type="dxa"/>
            <w:tcBorders>
              <w:top w:val="nil"/>
              <w:left w:val="single" w:sz="4" w:space="0" w:color="auto"/>
              <w:bottom w:val="single" w:sz="4" w:space="0" w:color="auto"/>
              <w:right w:val="nil"/>
            </w:tcBorders>
            <w:shd w:val="clear" w:color="auto" w:fill="auto"/>
            <w:noWrap/>
            <w:vAlign w:val="center"/>
            <w:hideMark/>
          </w:tcPr>
          <w:p w14:paraId="775D646A" w14:textId="77777777" w:rsidR="00387142" w:rsidRPr="008B6A75" w:rsidRDefault="00387142" w:rsidP="00387142">
            <w:pPr>
              <w:jc w:val="right"/>
              <w:rPr>
                <w:bCs/>
                <w:sz w:val="20"/>
                <w:szCs w:val="20"/>
              </w:rPr>
            </w:pPr>
            <w:r w:rsidRPr="008B6A75">
              <w:rPr>
                <w:bCs/>
                <w:sz w:val="20"/>
                <w:szCs w:val="20"/>
              </w:rPr>
              <w:t>46 022 500,00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54E239B5" w14:textId="77777777" w:rsidR="00387142" w:rsidRPr="008B6A75" w:rsidRDefault="00387142" w:rsidP="00387142">
            <w:pPr>
              <w:jc w:val="right"/>
              <w:rPr>
                <w:bCs/>
                <w:sz w:val="20"/>
                <w:szCs w:val="20"/>
              </w:rPr>
            </w:pPr>
            <w:r w:rsidRPr="008B6A75">
              <w:rPr>
                <w:bCs/>
                <w:sz w:val="20"/>
                <w:szCs w:val="20"/>
              </w:rPr>
              <w:t>45 378 600,00</w:t>
            </w:r>
          </w:p>
        </w:tc>
      </w:tr>
      <w:tr w:rsidR="00387142" w:rsidRPr="008B6A75" w14:paraId="232EEB5B" w14:textId="77777777" w:rsidTr="00387142">
        <w:trPr>
          <w:trHeight w:val="1440"/>
        </w:trPr>
        <w:tc>
          <w:tcPr>
            <w:tcW w:w="272" w:type="dxa"/>
            <w:tcBorders>
              <w:top w:val="nil"/>
              <w:left w:val="nil"/>
              <w:bottom w:val="nil"/>
              <w:right w:val="single" w:sz="4" w:space="0" w:color="auto"/>
            </w:tcBorders>
            <w:shd w:val="clear" w:color="auto" w:fill="auto"/>
            <w:noWrap/>
            <w:vAlign w:val="bottom"/>
            <w:hideMark/>
          </w:tcPr>
          <w:p w14:paraId="18A34B46" w14:textId="77777777" w:rsidR="00387142" w:rsidRPr="008B6A75" w:rsidRDefault="00387142" w:rsidP="00387142">
            <w:pPr>
              <w:rPr>
                <w:sz w:val="20"/>
                <w:szCs w:val="20"/>
              </w:rPr>
            </w:pPr>
            <w:r w:rsidRPr="008B6A75">
              <w:rPr>
                <w:sz w:val="20"/>
                <w:szCs w:val="20"/>
              </w:rPr>
              <w:lastRenderedPageBreak/>
              <w:t> </w:t>
            </w:r>
          </w:p>
        </w:tc>
        <w:tc>
          <w:tcPr>
            <w:tcW w:w="3415" w:type="dxa"/>
            <w:tcBorders>
              <w:top w:val="nil"/>
              <w:left w:val="single" w:sz="4" w:space="0" w:color="auto"/>
              <w:bottom w:val="single" w:sz="4" w:space="0" w:color="auto"/>
              <w:right w:val="nil"/>
            </w:tcBorders>
            <w:shd w:val="clear" w:color="auto" w:fill="auto"/>
            <w:vAlign w:val="center"/>
            <w:hideMark/>
          </w:tcPr>
          <w:p w14:paraId="4B8B6F28" w14:textId="77777777" w:rsidR="00387142" w:rsidRPr="008B6A75" w:rsidRDefault="00387142" w:rsidP="00387142">
            <w:pPr>
              <w:rPr>
                <w:sz w:val="20"/>
                <w:szCs w:val="20"/>
              </w:rPr>
            </w:pPr>
            <w:r w:rsidRPr="008B6A7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single" w:sz="4" w:space="0" w:color="auto"/>
              <w:bottom w:val="single" w:sz="4" w:space="0" w:color="auto"/>
              <w:right w:val="nil"/>
            </w:tcBorders>
            <w:shd w:val="clear" w:color="auto" w:fill="auto"/>
            <w:noWrap/>
            <w:vAlign w:val="center"/>
            <w:hideMark/>
          </w:tcPr>
          <w:p w14:paraId="3F342A3F" w14:textId="77777777" w:rsidR="00387142" w:rsidRPr="008B6A75" w:rsidRDefault="00387142" w:rsidP="00387142">
            <w:pPr>
              <w:jc w:val="center"/>
              <w:rPr>
                <w:sz w:val="20"/>
                <w:szCs w:val="20"/>
              </w:rPr>
            </w:pPr>
            <w:r w:rsidRPr="008B6A75">
              <w:rPr>
                <w:sz w:val="20"/>
                <w:szCs w:val="20"/>
              </w:rPr>
              <w:t>99.0.00.70289</w:t>
            </w:r>
          </w:p>
        </w:tc>
        <w:tc>
          <w:tcPr>
            <w:tcW w:w="850" w:type="dxa"/>
            <w:tcBorders>
              <w:top w:val="nil"/>
              <w:left w:val="single" w:sz="4" w:space="0" w:color="auto"/>
              <w:bottom w:val="single" w:sz="4" w:space="0" w:color="auto"/>
              <w:right w:val="nil"/>
            </w:tcBorders>
            <w:shd w:val="clear" w:color="auto" w:fill="auto"/>
            <w:noWrap/>
            <w:vAlign w:val="center"/>
            <w:hideMark/>
          </w:tcPr>
          <w:p w14:paraId="4F458F1F" w14:textId="77777777" w:rsidR="00387142" w:rsidRPr="008B6A75" w:rsidRDefault="00387142" w:rsidP="00387142">
            <w:pPr>
              <w:jc w:val="center"/>
              <w:rPr>
                <w:sz w:val="20"/>
                <w:szCs w:val="20"/>
              </w:rPr>
            </w:pPr>
            <w:r w:rsidRPr="008B6A75">
              <w:rPr>
                <w:sz w:val="20"/>
                <w:szCs w:val="20"/>
              </w:rPr>
              <w:t>100</w:t>
            </w:r>
          </w:p>
        </w:tc>
        <w:tc>
          <w:tcPr>
            <w:tcW w:w="567" w:type="dxa"/>
            <w:tcBorders>
              <w:top w:val="nil"/>
              <w:left w:val="single" w:sz="4" w:space="0" w:color="auto"/>
              <w:bottom w:val="single" w:sz="4" w:space="0" w:color="auto"/>
              <w:right w:val="nil"/>
            </w:tcBorders>
            <w:shd w:val="clear" w:color="auto" w:fill="auto"/>
            <w:noWrap/>
            <w:vAlign w:val="center"/>
            <w:hideMark/>
          </w:tcPr>
          <w:p w14:paraId="3A90891B" w14:textId="77777777" w:rsidR="00387142" w:rsidRPr="008B6A75" w:rsidRDefault="00387142" w:rsidP="00387142">
            <w:pPr>
              <w:jc w:val="center"/>
              <w:rPr>
                <w:sz w:val="20"/>
                <w:szCs w:val="20"/>
              </w:rPr>
            </w:pPr>
            <w:r w:rsidRPr="008B6A75">
              <w:rPr>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55E8996A" w14:textId="77777777" w:rsidR="00387142" w:rsidRPr="008B6A75" w:rsidRDefault="00387142" w:rsidP="00387142">
            <w:pPr>
              <w:jc w:val="center"/>
              <w:rPr>
                <w:sz w:val="20"/>
                <w:szCs w:val="20"/>
              </w:rPr>
            </w:pPr>
            <w:r w:rsidRPr="008B6A75">
              <w:rPr>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75251B8" w14:textId="77777777" w:rsidR="00387142" w:rsidRPr="008B6A75" w:rsidRDefault="00387142" w:rsidP="00387142">
            <w:pPr>
              <w:jc w:val="right"/>
              <w:rPr>
                <w:sz w:val="20"/>
                <w:szCs w:val="20"/>
              </w:rPr>
            </w:pPr>
            <w:r w:rsidRPr="008B6A75">
              <w:rPr>
                <w:sz w:val="20"/>
                <w:szCs w:val="20"/>
              </w:rPr>
              <w:t>4 038 628,85</w:t>
            </w:r>
          </w:p>
        </w:tc>
        <w:tc>
          <w:tcPr>
            <w:tcW w:w="851" w:type="dxa"/>
            <w:tcBorders>
              <w:top w:val="nil"/>
              <w:left w:val="single" w:sz="4" w:space="0" w:color="auto"/>
              <w:bottom w:val="single" w:sz="4" w:space="0" w:color="auto"/>
              <w:right w:val="nil"/>
            </w:tcBorders>
            <w:shd w:val="clear" w:color="auto" w:fill="auto"/>
            <w:noWrap/>
            <w:vAlign w:val="center"/>
            <w:hideMark/>
          </w:tcPr>
          <w:p w14:paraId="0C15F45C" w14:textId="77777777" w:rsidR="00387142" w:rsidRPr="008B6A75" w:rsidRDefault="00387142" w:rsidP="00387142">
            <w:pPr>
              <w:jc w:val="right"/>
              <w:rPr>
                <w:sz w:val="20"/>
                <w:szCs w:val="20"/>
              </w:rPr>
            </w:pPr>
            <w:r w:rsidRPr="008B6A75">
              <w:rPr>
                <w:sz w:val="20"/>
                <w:szCs w:val="20"/>
              </w:rPr>
              <w:t>3 927 032,24</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414C3235" w14:textId="77777777" w:rsidR="00387142" w:rsidRPr="008B6A75" w:rsidRDefault="00387142" w:rsidP="00387142">
            <w:pPr>
              <w:jc w:val="right"/>
              <w:rPr>
                <w:sz w:val="20"/>
                <w:szCs w:val="20"/>
              </w:rPr>
            </w:pPr>
            <w:r w:rsidRPr="008B6A75">
              <w:rPr>
                <w:sz w:val="20"/>
                <w:szCs w:val="20"/>
              </w:rPr>
              <w:t>4 073 843,93</w:t>
            </w:r>
          </w:p>
        </w:tc>
      </w:tr>
      <w:tr w:rsidR="00387142" w:rsidRPr="008B6A75" w14:paraId="19E1E758" w14:textId="77777777" w:rsidTr="00387142">
        <w:trPr>
          <w:trHeight w:val="585"/>
        </w:trPr>
        <w:tc>
          <w:tcPr>
            <w:tcW w:w="272" w:type="dxa"/>
            <w:tcBorders>
              <w:top w:val="nil"/>
              <w:left w:val="nil"/>
              <w:bottom w:val="nil"/>
              <w:right w:val="single" w:sz="4" w:space="0" w:color="auto"/>
            </w:tcBorders>
            <w:shd w:val="clear" w:color="auto" w:fill="auto"/>
            <w:noWrap/>
            <w:vAlign w:val="bottom"/>
            <w:hideMark/>
          </w:tcPr>
          <w:p w14:paraId="5A07BC34"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75CBEEEE" w14:textId="77777777" w:rsidR="00387142" w:rsidRPr="008B6A75" w:rsidRDefault="00387142" w:rsidP="00387142">
            <w:pPr>
              <w:rPr>
                <w:sz w:val="20"/>
                <w:szCs w:val="20"/>
              </w:rPr>
            </w:pPr>
            <w:r w:rsidRPr="008B6A75">
              <w:rPr>
                <w:sz w:val="20"/>
                <w:szCs w:val="20"/>
              </w:rPr>
              <w:t>Расходы на выплаты персоналу казенных учреждений</w:t>
            </w:r>
          </w:p>
        </w:tc>
        <w:tc>
          <w:tcPr>
            <w:tcW w:w="1559" w:type="dxa"/>
            <w:tcBorders>
              <w:top w:val="nil"/>
              <w:left w:val="single" w:sz="4" w:space="0" w:color="auto"/>
              <w:bottom w:val="single" w:sz="4" w:space="0" w:color="auto"/>
              <w:right w:val="nil"/>
            </w:tcBorders>
            <w:shd w:val="clear" w:color="auto" w:fill="auto"/>
            <w:noWrap/>
            <w:vAlign w:val="center"/>
            <w:hideMark/>
          </w:tcPr>
          <w:p w14:paraId="2B9A0AB6" w14:textId="77777777" w:rsidR="00387142" w:rsidRPr="008B6A75" w:rsidRDefault="00387142" w:rsidP="00387142">
            <w:pPr>
              <w:jc w:val="center"/>
              <w:rPr>
                <w:sz w:val="20"/>
                <w:szCs w:val="20"/>
              </w:rPr>
            </w:pPr>
            <w:r w:rsidRPr="008B6A75">
              <w:rPr>
                <w:sz w:val="20"/>
                <w:szCs w:val="20"/>
              </w:rPr>
              <w:t>99.0.00.70289</w:t>
            </w:r>
          </w:p>
        </w:tc>
        <w:tc>
          <w:tcPr>
            <w:tcW w:w="850" w:type="dxa"/>
            <w:tcBorders>
              <w:top w:val="nil"/>
              <w:left w:val="single" w:sz="4" w:space="0" w:color="auto"/>
              <w:bottom w:val="single" w:sz="4" w:space="0" w:color="auto"/>
              <w:right w:val="nil"/>
            </w:tcBorders>
            <w:shd w:val="clear" w:color="auto" w:fill="auto"/>
            <w:noWrap/>
            <w:vAlign w:val="center"/>
            <w:hideMark/>
          </w:tcPr>
          <w:p w14:paraId="4F99B179" w14:textId="77777777" w:rsidR="00387142" w:rsidRPr="008B6A75" w:rsidRDefault="00387142" w:rsidP="00387142">
            <w:pPr>
              <w:jc w:val="center"/>
              <w:rPr>
                <w:sz w:val="20"/>
                <w:szCs w:val="20"/>
              </w:rPr>
            </w:pPr>
            <w:r w:rsidRPr="008B6A75">
              <w:rPr>
                <w:sz w:val="20"/>
                <w:szCs w:val="20"/>
              </w:rPr>
              <w:t>110</w:t>
            </w:r>
          </w:p>
        </w:tc>
        <w:tc>
          <w:tcPr>
            <w:tcW w:w="567" w:type="dxa"/>
            <w:tcBorders>
              <w:top w:val="nil"/>
              <w:left w:val="single" w:sz="4" w:space="0" w:color="auto"/>
              <w:bottom w:val="single" w:sz="4" w:space="0" w:color="auto"/>
              <w:right w:val="nil"/>
            </w:tcBorders>
            <w:shd w:val="clear" w:color="auto" w:fill="auto"/>
            <w:noWrap/>
            <w:vAlign w:val="center"/>
            <w:hideMark/>
          </w:tcPr>
          <w:p w14:paraId="563A4220" w14:textId="77777777" w:rsidR="00387142" w:rsidRPr="008B6A75" w:rsidRDefault="00387142" w:rsidP="00387142">
            <w:pPr>
              <w:jc w:val="center"/>
              <w:rPr>
                <w:sz w:val="20"/>
                <w:szCs w:val="20"/>
              </w:rPr>
            </w:pPr>
            <w:r w:rsidRPr="008B6A75">
              <w:rPr>
                <w:sz w:val="20"/>
                <w:szCs w:val="20"/>
              </w:rPr>
              <w:t>07</w:t>
            </w:r>
          </w:p>
        </w:tc>
        <w:tc>
          <w:tcPr>
            <w:tcW w:w="567" w:type="dxa"/>
            <w:tcBorders>
              <w:top w:val="nil"/>
              <w:left w:val="single" w:sz="4" w:space="0" w:color="auto"/>
              <w:bottom w:val="single" w:sz="4" w:space="0" w:color="auto"/>
              <w:right w:val="nil"/>
            </w:tcBorders>
            <w:shd w:val="clear" w:color="auto" w:fill="auto"/>
            <w:noWrap/>
            <w:vAlign w:val="center"/>
            <w:hideMark/>
          </w:tcPr>
          <w:p w14:paraId="1407B74B" w14:textId="77777777" w:rsidR="00387142" w:rsidRPr="008B6A75" w:rsidRDefault="00387142" w:rsidP="00387142">
            <w:pPr>
              <w:jc w:val="center"/>
              <w:rPr>
                <w:sz w:val="20"/>
                <w:szCs w:val="20"/>
              </w:rPr>
            </w:pPr>
            <w:r w:rsidRPr="008B6A75">
              <w:rPr>
                <w:sz w:val="20"/>
                <w:szCs w:val="20"/>
              </w:rPr>
              <w:t>02</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70F80C8" w14:textId="77777777" w:rsidR="00387142" w:rsidRPr="008B6A75" w:rsidRDefault="00387142" w:rsidP="00387142">
            <w:pPr>
              <w:jc w:val="right"/>
              <w:rPr>
                <w:sz w:val="20"/>
                <w:szCs w:val="20"/>
              </w:rPr>
            </w:pPr>
            <w:r w:rsidRPr="008B6A75">
              <w:rPr>
                <w:sz w:val="20"/>
                <w:szCs w:val="20"/>
              </w:rPr>
              <w:t>160 000,00</w:t>
            </w:r>
          </w:p>
        </w:tc>
        <w:tc>
          <w:tcPr>
            <w:tcW w:w="851" w:type="dxa"/>
            <w:tcBorders>
              <w:top w:val="nil"/>
              <w:left w:val="single" w:sz="4" w:space="0" w:color="auto"/>
              <w:bottom w:val="single" w:sz="4" w:space="0" w:color="auto"/>
              <w:right w:val="nil"/>
            </w:tcBorders>
            <w:shd w:val="clear" w:color="auto" w:fill="auto"/>
            <w:noWrap/>
            <w:vAlign w:val="center"/>
            <w:hideMark/>
          </w:tcPr>
          <w:p w14:paraId="78CC2589" w14:textId="77777777" w:rsidR="00387142" w:rsidRPr="008B6A75" w:rsidRDefault="00387142" w:rsidP="00387142">
            <w:pPr>
              <w:jc w:val="right"/>
              <w:rPr>
                <w:sz w:val="20"/>
                <w:szCs w:val="20"/>
              </w:rPr>
            </w:pPr>
            <w:r w:rsidRPr="008B6A75">
              <w:rPr>
                <w:sz w:val="20"/>
                <w:szCs w:val="20"/>
              </w:rPr>
              <w:t>300 000,00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4AC8F167" w14:textId="77777777" w:rsidR="00387142" w:rsidRPr="008B6A75" w:rsidRDefault="00387142" w:rsidP="00387142">
            <w:pPr>
              <w:jc w:val="right"/>
              <w:rPr>
                <w:sz w:val="20"/>
                <w:szCs w:val="20"/>
              </w:rPr>
            </w:pPr>
            <w:r w:rsidRPr="008B6A75">
              <w:rPr>
                <w:sz w:val="20"/>
                <w:szCs w:val="20"/>
              </w:rPr>
              <w:t>300 000,00</w:t>
            </w:r>
          </w:p>
        </w:tc>
      </w:tr>
      <w:tr w:rsidR="00387142" w:rsidRPr="008B6A75" w14:paraId="27901775" w14:textId="77777777" w:rsidTr="00387142">
        <w:trPr>
          <w:trHeight w:val="585"/>
        </w:trPr>
        <w:tc>
          <w:tcPr>
            <w:tcW w:w="272" w:type="dxa"/>
            <w:tcBorders>
              <w:top w:val="nil"/>
              <w:left w:val="nil"/>
              <w:bottom w:val="nil"/>
              <w:right w:val="single" w:sz="4" w:space="0" w:color="auto"/>
            </w:tcBorders>
            <w:shd w:val="clear" w:color="auto" w:fill="auto"/>
            <w:noWrap/>
            <w:vAlign w:val="bottom"/>
            <w:hideMark/>
          </w:tcPr>
          <w:p w14:paraId="0A74D62A"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3F48CFC4" w14:textId="77777777" w:rsidR="00387142" w:rsidRPr="008B6A75" w:rsidRDefault="00387142" w:rsidP="00387142">
            <w:pPr>
              <w:rPr>
                <w:sz w:val="20"/>
                <w:szCs w:val="20"/>
              </w:rPr>
            </w:pPr>
            <w:r w:rsidRPr="008B6A75">
              <w:rPr>
                <w:sz w:val="20"/>
                <w:szCs w:val="20"/>
              </w:rPr>
              <w:t>Расходы на выплаты персоналу государственных (муниципальных) органов</w:t>
            </w:r>
          </w:p>
        </w:tc>
        <w:tc>
          <w:tcPr>
            <w:tcW w:w="1559" w:type="dxa"/>
            <w:tcBorders>
              <w:top w:val="nil"/>
              <w:left w:val="single" w:sz="4" w:space="0" w:color="auto"/>
              <w:bottom w:val="single" w:sz="4" w:space="0" w:color="auto"/>
              <w:right w:val="nil"/>
            </w:tcBorders>
            <w:shd w:val="clear" w:color="auto" w:fill="auto"/>
            <w:noWrap/>
            <w:vAlign w:val="center"/>
            <w:hideMark/>
          </w:tcPr>
          <w:p w14:paraId="6757691E" w14:textId="77777777" w:rsidR="00387142" w:rsidRPr="008B6A75" w:rsidRDefault="00387142" w:rsidP="00387142">
            <w:pPr>
              <w:jc w:val="center"/>
              <w:rPr>
                <w:sz w:val="20"/>
                <w:szCs w:val="20"/>
              </w:rPr>
            </w:pPr>
            <w:r w:rsidRPr="008B6A75">
              <w:rPr>
                <w:sz w:val="20"/>
                <w:szCs w:val="20"/>
              </w:rPr>
              <w:t>99.0.00.70289</w:t>
            </w:r>
          </w:p>
        </w:tc>
        <w:tc>
          <w:tcPr>
            <w:tcW w:w="850" w:type="dxa"/>
            <w:tcBorders>
              <w:top w:val="nil"/>
              <w:left w:val="single" w:sz="4" w:space="0" w:color="auto"/>
              <w:bottom w:val="single" w:sz="4" w:space="0" w:color="auto"/>
              <w:right w:val="nil"/>
            </w:tcBorders>
            <w:shd w:val="clear" w:color="auto" w:fill="auto"/>
            <w:noWrap/>
            <w:vAlign w:val="center"/>
            <w:hideMark/>
          </w:tcPr>
          <w:p w14:paraId="1F6898B7" w14:textId="77777777" w:rsidR="00387142" w:rsidRPr="008B6A75" w:rsidRDefault="00387142" w:rsidP="00387142">
            <w:pPr>
              <w:jc w:val="center"/>
              <w:rPr>
                <w:sz w:val="20"/>
                <w:szCs w:val="20"/>
              </w:rPr>
            </w:pPr>
            <w:r w:rsidRPr="008B6A75">
              <w:rPr>
                <w:sz w:val="20"/>
                <w:szCs w:val="20"/>
              </w:rPr>
              <w:t>120</w:t>
            </w:r>
          </w:p>
        </w:tc>
        <w:tc>
          <w:tcPr>
            <w:tcW w:w="567" w:type="dxa"/>
            <w:tcBorders>
              <w:top w:val="nil"/>
              <w:left w:val="single" w:sz="4" w:space="0" w:color="auto"/>
              <w:bottom w:val="single" w:sz="4" w:space="0" w:color="auto"/>
              <w:right w:val="nil"/>
            </w:tcBorders>
            <w:shd w:val="clear" w:color="auto" w:fill="auto"/>
            <w:noWrap/>
            <w:vAlign w:val="center"/>
            <w:hideMark/>
          </w:tcPr>
          <w:p w14:paraId="0AB75EC7" w14:textId="77777777" w:rsidR="00387142" w:rsidRPr="008B6A75" w:rsidRDefault="00387142" w:rsidP="00387142">
            <w:pPr>
              <w:jc w:val="center"/>
              <w:rPr>
                <w:sz w:val="20"/>
                <w:szCs w:val="20"/>
              </w:rPr>
            </w:pPr>
            <w:r w:rsidRPr="008B6A75">
              <w:rPr>
                <w:sz w:val="20"/>
                <w:szCs w:val="20"/>
              </w:rPr>
              <w:t>01</w:t>
            </w:r>
          </w:p>
        </w:tc>
        <w:tc>
          <w:tcPr>
            <w:tcW w:w="567" w:type="dxa"/>
            <w:tcBorders>
              <w:top w:val="nil"/>
              <w:left w:val="single" w:sz="4" w:space="0" w:color="auto"/>
              <w:bottom w:val="single" w:sz="4" w:space="0" w:color="auto"/>
              <w:right w:val="nil"/>
            </w:tcBorders>
            <w:shd w:val="clear" w:color="auto" w:fill="auto"/>
            <w:noWrap/>
            <w:vAlign w:val="center"/>
            <w:hideMark/>
          </w:tcPr>
          <w:p w14:paraId="37BBB7E8" w14:textId="77777777" w:rsidR="00387142" w:rsidRPr="008B6A75" w:rsidRDefault="00387142" w:rsidP="00387142">
            <w:pPr>
              <w:jc w:val="center"/>
              <w:rPr>
                <w:sz w:val="20"/>
                <w:szCs w:val="20"/>
              </w:rPr>
            </w:pPr>
            <w:r w:rsidRPr="008B6A75">
              <w:rPr>
                <w:sz w:val="20"/>
                <w:szCs w:val="20"/>
              </w:rPr>
              <w:t>04</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78B214A" w14:textId="77777777" w:rsidR="00387142" w:rsidRPr="008B6A75" w:rsidRDefault="00387142" w:rsidP="00387142">
            <w:pPr>
              <w:jc w:val="right"/>
              <w:rPr>
                <w:sz w:val="20"/>
                <w:szCs w:val="20"/>
              </w:rPr>
            </w:pPr>
            <w:r w:rsidRPr="008B6A75">
              <w:rPr>
                <w:sz w:val="20"/>
                <w:szCs w:val="20"/>
              </w:rPr>
              <w:t>3 878 628,85</w:t>
            </w:r>
          </w:p>
        </w:tc>
        <w:tc>
          <w:tcPr>
            <w:tcW w:w="851" w:type="dxa"/>
            <w:tcBorders>
              <w:top w:val="nil"/>
              <w:left w:val="single" w:sz="4" w:space="0" w:color="auto"/>
              <w:bottom w:val="single" w:sz="4" w:space="0" w:color="auto"/>
              <w:right w:val="nil"/>
            </w:tcBorders>
            <w:shd w:val="clear" w:color="auto" w:fill="auto"/>
            <w:noWrap/>
            <w:vAlign w:val="center"/>
            <w:hideMark/>
          </w:tcPr>
          <w:p w14:paraId="6F88DDD6" w14:textId="77777777" w:rsidR="00387142" w:rsidRPr="008B6A75" w:rsidRDefault="00387142" w:rsidP="00387142">
            <w:pPr>
              <w:jc w:val="right"/>
              <w:rPr>
                <w:sz w:val="20"/>
                <w:szCs w:val="20"/>
              </w:rPr>
            </w:pPr>
            <w:r w:rsidRPr="008B6A75">
              <w:rPr>
                <w:sz w:val="20"/>
                <w:szCs w:val="20"/>
              </w:rPr>
              <w:t>3 627 032,24</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70B33F4B" w14:textId="77777777" w:rsidR="00387142" w:rsidRPr="008B6A75" w:rsidRDefault="00387142" w:rsidP="00387142">
            <w:pPr>
              <w:jc w:val="right"/>
              <w:rPr>
                <w:sz w:val="20"/>
                <w:szCs w:val="20"/>
              </w:rPr>
            </w:pPr>
            <w:r w:rsidRPr="008B6A75">
              <w:rPr>
                <w:sz w:val="20"/>
                <w:szCs w:val="20"/>
              </w:rPr>
              <w:t>3 773 843,93</w:t>
            </w:r>
          </w:p>
        </w:tc>
      </w:tr>
      <w:tr w:rsidR="00387142" w:rsidRPr="008B6A75" w14:paraId="229FEDBF" w14:textId="77777777" w:rsidTr="00387142">
        <w:trPr>
          <w:trHeight w:val="585"/>
        </w:trPr>
        <w:tc>
          <w:tcPr>
            <w:tcW w:w="272" w:type="dxa"/>
            <w:tcBorders>
              <w:top w:val="nil"/>
              <w:left w:val="nil"/>
              <w:bottom w:val="nil"/>
              <w:right w:val="single" w:sz="4" w:space="0" w:color="auto"/>
            </w:tcBorders>
            <w:shd w:val="clear" w:color="auto" w:fill="auto"/>
            <w:noWrap/>
            <w:vAlign w:val="bottom"/>
            <w:hideMark/>
          </w:tcPr>
          <w:p w14:paraId="5DE0BD0B"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11C12B29" w14:textId="77777777" w:rsidR="00387142" w:rsidRPr="008B6A75" w:rsidRDefault="00387142" w:rsidP="00387142">
            <w:pPr>
              <w:rPr>
                <w:sz w:val="20"/>
                <w:szCs w:val="20"/>
              </w:rPr>
            </w:pPr>
            <w:r w:rsidRPr="008B6A75">
              <w:rPr>
                <w:sz w:val="20"/>
                <w:szCs w:val="20"/>
              </w:rPr>
              <w:t>Закупка товаров, работ и услуг для обеспечения государственных (муниципальных) нужд</w:t>
            </w:r>
          </w:p>
        </w:tc>
        <w:tc>
          <w:tcPr>
            <w:tcW w:w="1559" w:type="dxa"/>
            <w:tcBorders>
              <w:top w:val="nil"/>
              <w:left w:val="single" w:sz="4" w:space="0" w:color="auto"/>
              <w:bottom w:val="single" w:sz="4" w:space="0" w:color="auto"/>
              <w:right w:val="nil"/>
            </w:tcBorders>
            <w:shd w:val="clear" w:color="auto" w:fill="auto"/>
            <w:noWrap/>
            <w:vAlign w:val="center"/>
            <w:hideMark/>
          </w:tcPr>
          <w:p w14:paraId="3AA18768" w14:textId="77777777" w:rsidR="00387142" w:rsidRPr="008B6A75" w:rsidRDefault="00387142" w:rsidP="00387142">
            <w:pPr>
              <w:jc w:val="center"/>
              <w:rPr>
                <w:sz w:val="20"/>
                <w:szCs w:val="20"/>
              </w:rPr>
            </w:pPr>
            <w:r w:rsidRPr="008B6A75">
              <w:rPr>
                <w:sz w:val="20"/>
                <w:szCs w:val="20"/>
              </w:rPr>
              <w:t>99.0.00.70289</w:t>
            </w:r>
          </w:p>
        </w:tc>
        <w:tc>
          <w:tcPr>
            <w:tcW w:w="850" w:type="dxa"/>
            <w:tcBorders>
              <w:top w:val="nil"/>
              <w:left w:val="single" w:sz="4" w:space="0" w:color="auto"/>
              <w:bottom w:val="single" w:sz="4" w:space="0" w:color="auto"/>
              <w:right w:val="nil"/>
            </w:tcBorders>
            <w:shd w:val="clear" w:color="auto" w:fill="auto"/>
            <w:noWrap/>
            <w:vAlign w:val="center"/>
            <w:hideMark/>
          </w:tcPr>
          <w:p w14:paraId="61D46D82" w14:textId="77777777" w:rsidR="00387142" w:rsidRPr="008B6A75" w:rsidRDefault="00387142" w:rsidP="00387142">
            <w:pPr>
              <w:jc w:val="center"/>
              <w:rPr>
                <w:sz w:val="20"/>
                <w:szCs w:val="20"/>
              </w:rPr>
            </w:pPr>
            <w:r w:rsidRPr="008B6A75">
              <w:rPr>
                <w:sz w:val="20"/>
                <w:szCs w:val="20"/>
              </w:rPr>
              <w:t>200</w:t>
            </w:r>
          </w:p>
        </w:tc>
        <w:tc>
          <w:tcPr>
            <w:tcW w:w="567" w:type="dxa"/>
            <w:tcBorders>
              <w:top w:val="nil"/>
              <w:left w:val="single" w:sz="4" w:space="0" w:color="auto"/>
              <w:bottom w:val="single" w:sz="4" w:space="0" w:color="auto"/>
              <w:right w:val="nil"/>
            </w:tcBorders>
            <w:shd w:val="clear" w:color="auto" w:fill="auto"/>
            <w:noWrap/>
            <w:vAlign w:val="center"/>
            <w:hideMark/>
          </w:tcPr>
          <w:p w14:paraId="2D79EE11" w14:textId="77777777" w:rsidR="00387142" w:rsidRPr="008B6A75" w:rsidRDefault="00387142" w:rsidP="00387142">
            <w:pPr>
              <w:jc w:val="center"/>
              <w:rPr>
                <w:sz w:val="20"/>
                <w:szCs w:val="20"/>
              </w:rPr>
            </w:pPr>
            <w:r w:rsidRPr="008B6A75">
              <w:rPr>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39AED3D9" w14:textId="77777777" w:rsidR="00387142" w:rsidRPr="008B6A75" w:rsidRDefault="00387142" w:rsidP="00387142">
            <w:pPr>
              <w:jc w:val="center"/>
              <w:rPr>
                <w:sz w:val="20"/>
                <w:szCs w:val="20"/>
              </w:rPr>
            </w:pPr>
            <w:r w:rsidRPr="008B6A75">
              <w:rPr>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302053A" w14:textId="77777777" w:rsidR="00387142" w:rsidRPr="008B6A75" w:rsidRDefault="00387142" w:rsidP="00387142">
            <w:pPr>
              <w:jc w:val="right"/>
              <w:rPr>
                <w:sz w:val="20"/>
                <w:szCs w:val="20"/>
              </w:rPr>
            </w:pPr>
            <w:r w:rsidRPr="008B6A75">
              <w:rPr>
                <w:sz w:val="20"/>
                <w:szCs w:val="20"/>
              </w:rPr>
              <w:t>7 484 014,72</w:t>
            </w:r>
          </w:p>
        </w:tc>
        <w:tc>
          <w:tcPr>
            <w:tcW w:w="851" w:type="dxa"/>
            <w:tcBorders>
              <w:top w:val="nil"/>
              <w:left w:val="single" w:sz="4" w:space="0" w:color="auto"/>
              <w:bottom w:val="single" w:sz="4" w:space="0" w:color="auto"/>
              <w:right w:val="nil"/>
            </w:tcBorders>
            <w:shd w:val="clear" w:color="auto" w:fill="auto"/>
            <w:noWrap/>
            <w:vAlign w:val="center"/>
            <w:hideMark/>
          </w:tcPr>
          <w:p w14:paraId="7F8F29EE" w14:textId="77777777" w:rsidR="00387142" w:rsidRPr="008B6A75" w:rsidRDefault="00387142" w:rsidP="00387142">
            <w:pPr>
              <w:jc w:val="right"/>
              <w:rPr>
                <w:sz w:val="20"/>
                <w:szCs w:val="20"/>
              </w:rPr>
            </w:pPr>
            <w:r w:rsidRPr="008B6A75">
              <w:rPr>
                <w:sz w:val="20"/>
                <w:szCs w:val="20"/>
              </w:rPr>
              <w:t>5 930 367,76</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32488195" w14:textId="77777777" w:rsidR="00387142" w:rsidRPr="008B6A75" w:rsidRDefault="00387142" w:rsidP="00387142">
            <w:pPr>
              <w:jc w:val="right"/>
              <w:rPr>
                <w:sz w:val="20"/>
                <w:szCs w:val="20"/>
              </w:rPr>
            </w:pPr>
            <w:r w:rsidRPr="008B6A75">
              <w:rPr>
                <w:sz w:val="20"/>
                <w:szCs w:val="20"/>
              </w:rPr>
              <w:t>5 139 656,07</w:t>
            </w:r>
          </w:p>
        </w:tc>
      </w:tr>
      <w:tr w:rsidR="00387142" w:rsidRPr="008B6A75" w14:paraId="173B2364" w14:textId="77777777" w:rsidTr="00387142">
        <w:trPr>
          <w:trHeight w:val="870"/>
        </w:trPr>
        <w:tc>
          <w:tcPr>
            <w:tcW w:w="272" w:type="dxa"/>
            <w:tcBorders>
              <w:top w:val="nil"/>
              <w:left w:val="nil"/>
              <w:bottom w:val="nil"/>
              <w:right w:val="single" w:sz="4" w:space="0" w:color="auto"/>
            </w:tcBorders>
            <w:shd w:val="clear" w:color="auto" w:fill="auto"/>
            <w:noWrap/>
            <w:vAlign w:val="bottom"/>
            <w:hideMark/>
          </w:tcPr>
          <w:p w14:paraId="6C709033"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3558F03C" w14:textId="77777777" w:rsidR="00387142" w:rsidRPr="008B6A75" w:rsidRDefault="00387142" w:rsidP="00387142">
            <w:pPr>
              <w:rPr>
                <w:sz w:val="20"/>
                <w:szCs w:val="20"/>
              </w:rPr>
            </w:pPr>
            <w:r w:rsidRPr="008B6A75">
              <w:rPr>
                <w:sz w:val="20"/>
                <w:szCs w:val="20"/>
              </w:rPr>
              <w:t>Иные закупки товаров, работ и услуг для обеспечения государственных (муниципальных) нужд</w:t>
            </w:r>
          </w:p>
        </w:tc>
        <w:tc>
          <w:tcPr>
            <w:tcW w:w="1559" w:type="dxa"/>
            <w:tcBorders>
              <w:top w:val="nil"/>
              <w:left w:val="single" w:sz="4" w:space="0" w:color="auto"/>
              <w:bottom w:val="single" w:sz="4" w:space="0" w:color="auto"/>
              <w:right w:val="nil"/>
            </w:tcBorders>
            <w:shd w:val="clear" w:color="auto" w:fill="auto"/>
            <w:noWrap/>
            <w:vAlign w:val="center"/>
            <w:hideMark/>
          </w:tcPr>
          <w:p w14:paraId="30050371" w14:textId="77777777" w:rsidR="00387142" w:rsidRPr="008B6A75" w:rsidRDefault="00387142" w:rsidP="00387142">
            <w:pPr>
              <w:jc w:val="center"/>
              <w:rPr>
                <w:sz w:val="20"/>
                <w:szCs w:val="20"/>
              </w:rPr>
            </w:pPr>
            <w:r w:rsidRPr="008B6A75">
              <w:rPr>
                <w:sz w:val="20"/>
                <w:szCs w:val="20"/>
              </w:rPr>
              <w:t>99.0.00.70289</w:t>
            </w:r>
          </w:p>
        </w:tc>
        <w:tc>
          <w:tcPr>
            <w:tcW w:w="850" w:type="dxa"/>
            <w:tcBorders>
              <w:top w:val="nil"/>
              <w:left w:val="single" w:sz="4" w:space="0" w:color="auto"/>
              <w:bottom w:val="single" w:sz="4" w:space="0" w:color="auto"/>
              <w:right w:val="nil"/>
            </w:tcBorders>
            <w:shd w:val="clear" w:color="auto" w:fill="auto"/>
            <w:noWrap/>
            <w:vAlign w:val="center"/>
            <w:hideMark/>
          </w:tcPr>
          <w:p w14:paraId="4B61D121" w14:textId="77777777" w:rsidR="00387142" w:rsidRPr="008B6A75" w:rsidRDefault="00387142" w:rsidP="00387142">
            <w:pPr>
              <w:jc w:val="center"/>
              <w:rPr>
                <w:sz w:val="20"/>
                <w:szCs w:val="20"/>
              </w:rPr>
            </w:pPr>
            <w:r w:rsidRPr="008B6A75">
              <w:rPr>
                <w:sz w:val="20"/>
                <w:szCs w:val="20"/>
              </w:rPr>
              <w:t>240</w:t>
            </w:r>
          </w:p>
        </w:tc>
        <w:tc>
          <w:tcPr>
            <w:tcW w:w="567" w:type="dxa"/>
            <w:tcBorders>
              <w:top w:val="nil"/>
              <w:left w:val="single" w:sz="4" w:space="0" w:color="auto"/>
              <w:bottom w:val="single" w:sz="4" w:space="0" w:color="auto"/>
              <w:right w:val="nil"/>
            </w:tcBorders>
            <w:shd w:val="clear" w:color="auto" w:fill="auto"/>
            <w:noWrap/>
            <w:vAlign w:val="center"/>
            <w:hideMark/>
          </w:tcPr>
          <w:p w14:paraId="02A0B8FB" w14:textId="77777777" w:rsidR="00387142" w:rsidRPr="008B6A75" w:rsidRDefault="00387142" w:rsidP="00387142">
            <w:pPr>
              <w:jc w:val="center"/>
              <w:rPr>
                <w:sz w:val="20"/>
                <w:szCs w:val="20"/>
              </w:rPr>
            </w:pPr>
            <w:r w:rsidRPr="008B6A75">
              <w:rPr>
                <w:sz w:val="20"/>
                <w:szCs w:val="20"/>
              </w:rPr>
              <w:t>01</w:t>
            </w:r>
          </w:p>
        </w:tc>
        <w:tc>
          <w:tcPr>
            <w:tcW w:w="567" w:type="dxa"/>
            <w:tcBorders>
              <w:top w:val="nil"/>
              <w:left w:val="single" w:sz="4" w:space="0" w:color="auto"/>
              <w:bottom w:val="single" w:sz="4" w:space="0" w:color="auto"/>
              <w:right w:val="nil"/>
            </w:tcBorders>
            <w:shd w:val="clear" w:color="auto" w:fill="auto"/>
            <w:noWrap/>
            <w:vAlign w:val="center"/>
            <w:hideMark/>
          </w:tcPr>
          <w:p w14:paraId="6AE52E6D" w14:textId="77777777" w:rsidR="00387142" w:rsidRPr="008B6A75" w:rsidRDefault="00387142" w:rsidP="00387142">
            <w:pPr>
              <w:jc w:val="center"/>
              <w:rPr>
                <w:sz w:val="20"/>
                <w:szCs w:val="20"/>
              </w:rPr>
            </w:pPr>
            <w:r w:rsidRPr="008B6A75">
              <w:rPr>
                <w:sz w:val="20"/>
                <w:szCs w:val="20"/>
              </w:rPr>
              <w:t>04</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533031C" w14:textId="77777777" w:rsidR="00387142" w:rsidRPr="008B6A75" w:rsidRDefault="00387142" w:rsidP="00387142">
            <w:pPr>
              <w:jc w:val="right"/>
              <w:rPr>
                <w:sz w:val="20"/>
                <w:szCs w:val="20"/>
              </w:rPr>
            </w:pPr>
            <w:r w:rsidRPr="008B6A75">
              <w:rPr>
                <w:sz w:val="20"/>
                <w:szCs w:val="20"/>
              </w:rPr>
              <w:t>387 905,92</w:t>
            </w:r>
          </w:p>
        </w:tc>
        <w:tc>
          <w:tcPr>
            <w:tcW w:w="851" w:type="dxa"/>
            <w:tcBorders>
              <w:top w:val="nil"/>
              <w:left w:val="single" w:sz="4" w:space="0" w:color="auto"/>
              <w:bottom w:val="single" w:sz="4" w:space="0" w:color="auto"/>
              <w:right w:val="nil"/>
            </w:tcBorders>
            <w:shd w:val="clear" w:color="auto" w:fill="auto"/>
            <w:noWrap/>
            <w:vAlign w:val="center"/>
            <w:hideMark/>
          </w:tcPr>
          <w:p w14:paraId="410B2F26" w14:textId="77777777" w:rsidR="00387142" w:rsidRPr="008B6A75" w:rsidRDefault="00387142" w:rsidP="00387142">
            <w:pPr>
              <w:jc w:val="right"/>
              <w:rPr>
                <w:sz w:val="20"/>
                <w:szCs w:val="20"/>
              </w:rPr>
            </w:pPr>
            <w:r w:rsidRPr="008B6A75">
              <w:rPr>
                <w:sz w:val="20"/>
                <w:szCs w:val="20"/>
              </w:rPr>
              <w:t>349 967,76</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651CA6E2" w14:textId="77777777" w:rsidR="00387142" w:rsidRPr="008B6A75" w:rsidRDefault="00387142" w:rsidP="00387142">
            <w:pPr>
              <w:jc w:val="right"/>
              <w:rPr>
                <w:sz w:val="20"/>
                <w:szCs w:val="20"/>
              </w:rPr>
            </w:pPr>
            <w:r w:rsidRPr="008B6A75">
              <w:rPr>
                <w:sz w:val="20"/>
                <w:szCs w:val="20"/>
              </w:rPr>
              <w:t>333 156,07</w:t>
            </w:r>
          </w:p>
        </w:tc>
      </w:tr>
      <w:tr w:rsidR="00387142" w:rsidRPr="008B6A75" w14:paraId="54AE8AFD" w14:textId="77777777" w:rsidTr="00387142">
        <w:trPr>
          <w:trHeight w:val="870"/>
        </w:trPr>
        <w:tc>
          <w:tcPr>
            <w:tcW w:w="272" w:type="dxa"/>
            <w:tcBorders>
              <w:top w:val="nil"/>
              <w:left w:val="nil"/>
              <w:bottom w:val="nil"/>
              <w:right w:val="single" w:sz="4" w:space="0" w:color="auto"/>
            </w:tcBorders>
            <w:shd w:val="clear" w:color="auto" w:fill="auto"/>
            <w:noWrap/>
            <w:vAlign w:val="bottom"/>
            <w:hideMark/>
          </w:tcPr>
          <w:p w14:paraId="52C96D66"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1476B321" w14:textId="77777777" w:rsidR="00387142" w:rsidRPr="008B6A75" w:rsidRDefault="00387142" w:rsidP="00387142">
            <w:pPr>
              <w:rPr>
                <w:sz w:val="20"/>
                <w:szCs w:val="20"/>
              </w:rPr>
            </w:pPr>
            <w:r w:rsidRPr="008B6A75">
              <w:rPr>
                <w:sz w:val="20"/>
                <w:szCs w:val="20"/>
              </w:rPr>
              <w:t>Иные закупки товаров, работ и услуг для обеспечения государственных (муниципальных) нужд</w:t>
            </w:r>
          </w:p>
        </w:tc>
        <w:tc>
          <w:tcPr>
            <w:tcW w:w="1559" w:type="dxa"/>
            <w:tcBorders>
              <w:top w:val="nil"/>
              <w:left w:val="single" w:sz="4" w:space="0" w:color="auto"/>
              <w:bottom w:val="single" w:sz="4" w:space="0" w:color="auto"/>
              <w:right w:val="nil"/>
            </w:tcBorders>
            <w:shd w:val="clear" w:color="auto" w:fill="auto"/>
            <w:noWrap/>
            <w:vAlign w:val="center"/>
            <w:hideMark/>
          </w:tcPr>
          <w:p w14:paraId="28C2C0FF" w14:textId="77777777" w:rsidR="00387142" w:rsidRPr="008B6A75" w:rsidRDefault="00387142" w:rsidP="00387142">
            <w:pPr>
              <w:jc w:val="center"/>
              <w:rPr>
                <w:sz w:val="20"/>
                <w:szCs w:val="20"/>
              </w:rPr>
            </w:pPr>
            <w:r w:rsidRPr="008B6A75">
              <w:rPr>
                <w:sz w:val="20"/>
                <w:szCs w:val="20"/>
              </w:rPr>
              <w:t>99.0.00.70289</w:t>
            </w:r>
          </w:p>
        </w:tc>
        <w:tc>
          <w:tcPr>
            <w:tcW w:w="850" w:type="dxa"/>
            <w:tcBorders>
              <w:top w:val="nil"/>
              <w:left w:val="single" w:sz="4" w:space="0" w:color="auto"/>
              <w:bottom w:val="single" w:sz="4" w:space="0" w:color="auto"/>
              <w:right w:val="nil"/>
            </w:tcBorders>
            <w:shd w:val="clear" w:color="auto" w:fill="auto"/>
            <w:noWrap/>
            <w:vAlign w:val="center"/>
            <w:hideMark/>
          </w:tcPr>
          <w:p w14:paraId="5272BF77" w14:textId="77777777" w:rsidR="00387142" w:rsidRPr="008B6A75" w:rsidRDefault="00387142" w:rsidP="00387142">
            <w:pPr>
              <w:jc w:val="center"/>
              <w:rPr>
                <w:sz w:val="20"/>
                <w:szCs w:val="20"/>
              </w:rPr>
            </w:pPr>
            <w:r w:rsidRPr="008B6A75">
              <w:rPr>
                <w:sz w:val="20"/>
                <w:szCs w:val="20"/>
              </w:rPr>
              <w:t>240</w:t>
            </w:r>
          </w:p>
        </w:tc>
        <w:tc>
          <w:tcPr>
            <w:tcW w:w="567" w:type="dxa"/>
            <w:tcBorders>
              <w:top w:val="nil"/>
              <w:left w:val="single" w:sz="4" w:space="0" w:color="auto"/>
              <w:bottom w:val="single" w:sz="4" w:space="0" w:color="auto"/>
              <w:right w:val="nil"/>
            </w:tcBorders>
            <w:shd w:val="clear" w:color="auto" w:fill="auto"/>
            <w:noWrap/>
            <w:vAlign w:val="center"/>
            <w:hideMark/>
          </w:tcPr>
          <w:p w14:paraId="1728275A" w14:textId="77777777" w:rsidR="00387142" w:rsidRPr="008B6A75" w:rsidRDefault="00387142" w:rsidP="00387142">
            <w:pPr>
              <w:jc w:val="center"/>
              <w:rPr>
                <w:sz w:val="20"/>
                <w:szCs w:val="20"/>
              </w:rPr>
            </w:pPr>
            <w:r w:rsidRPr="008B6A75">
              <w:rPr>
                <w:sz w:val="20"/>
                <w:szCs w:val="20"/>
              </w:rPr>
              <w:t>07</w:t>
            </w:r>
          </w:p>
        </w:tc>
        <w:tc>
          <w:tcPr>
            <w:tcW w:w="567" w:type="dxa"/>
            <w:tcBorders>
              <w:top w:val="nil"/>
              <w:left w:val="single" w:sz="4" w:space="0" w:color="auto"/>
              <w:bottom w:val="single" w:sz="4" w:space="0" w:color="auto"/>
              <w:right w:val="nil"/>
            </w:tcBorders>
            <w:shd w:val="clear" w:color="auto" w:fill="auto"/>
            <w:noWrap/>
            <w:vAlign w:val="center"/>
            <w:hideMark/>
          </w:tcPr>
          <w:p w14:paraId="7A7A697B" w14:textId="77777777" w:rsidR="00387142" w:rsidRPr="008B6A75" w:rsidRDefault="00387142" w:rsidP="00387142">
            <w:pPr>
              <w:jc w:val="center"/>
              <w:rPr>
                <w:sz w:val="20"/>
                <w:szCs w:val="20"/>
              </w:rPr>
            </w:pPr>
            <w:r w:rsidRPr="008B6A75">
              <w:rPr>
                <w:sz w:val="20"/>
                <w:szCs w:val="20"/>
              </w:rPr>
              <w:t>02</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52D7FF4" w14:textId="77777777" w:rsidR="00387142" w:rsidRPr="008B6A75" w:rsidRDefault="00387142" w:rsidP="00387142">
            <w:pPr>
              <w:jc w:val="right"/>
              <w:rPr>
                <w:sz w:val="20"/>
                <w:szCs w:val="20"/>
              </w:rPr>
            </w:pPr>
            <w:r w:rsidRPr="008B6A75">
              <w:rPr>
                <w:sz w:val="20"/>
                <w:szCs w:val="20"/>
              </w:rPr>
              <w:t>7 096 108,80</w:t>
            </w:r>
          </w:p>
        </w:tc>
        <w:tc>
          <w:tcPr>
            <w:tcW w:w="851" w:type="dxa"/>
            <w:tcBorders>
              <w:top w:val="nil"/>
              <w:left w:val="single" w:sz="4" w:space="0" w:color="auto"/>
              <w:bottom w:val="single" w:sz="4" w:space="0" w:color="auto"/>
              <w:right w:val="nil"/>
            </w:tcBorders>
            <w:shd w:val="clear" w:color="auto" w:fill="auto"/>
            <w:noWrap/>
            <w:vAlign w:val="center"/>
            <w:hideMark/>
          </w:tcPr>
          <w:p w14:paraId="7D929F9C" w14:textId="77777777" w:rsidR="00387142" w:rsidRPr="008B6A75" w:rsidRDefault="00387142" w:rsidP="00387142">
            <w:pPr>
              <w:jc w:val="right"/>
              <w:rPr>
                <w:sz w:val="20"/>
                <w:szCs w:val="20"/>
              </w:rPr>
            </w:pPr>
            <w:r w:rsidRPr="008B6A75">
              <w:rPr>
                <w:sz w:val="20"/>
                <w:szCs w:val="20"/>
              </w:rPr>
              <w:t>5 580 400,00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7D021A0E" w14:textId="77777777" w:rsidR="00387142" w:rsidRPr="008B6A75" w:rsidRDefault="00387142" w:rsidP="00387142">
            <w:pPr>
              <w:jc w:val="right"/>
              <w:rPr>
                <w:sz w:val="20"/>
                <w:szCs w:val="20"/>
              </w:rPr>
            </w:pPr>
            <w:r w:rsidRPr="008B6A75">
              <w:rPr>
                <w:sz w:val="20"/>
                <w:szCs w:val="20"/>
              </w:rPr>
              <w:t>4 806 500,00</w:t>
            </w:r>
          </w:p>
        </w:tc>
      </w:tr>
      <w:tr w:rsidR="00387142" w:rsidRPr="008B6A75" w14:paraId="3A207DBF" w14:textId="77777777" w:rsidTr="00387142">
        <w:trPr>
          <w:trHeight w:val="585"/>
        </w:trPr>
        <w:tc>
          <w:tcPr>
            <w:tcW w:w="272" w:type="dxa"/>
            <w:tcBorders>
              <w:top w:val="nil"/>
              <w:left w:val="nil"/>
              <w:bottom w:val="nil"/>
              <w:right w:val="single" w:sz="4" w:space="0" w:color="auto"/>
            </w:tcBorders>
            <w:shd w:val="clear" w:color="auto" w:fill="auto"/>
            <w:noWrap/>
            <w:vAlign w:val="bottom"/>
            <w:hideMark/>
          </w:tcPr>
          <w:p w14:paraId="4716E826"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54D4C448" w14:textId="77777777" w:rsidR="00387142" w:rsidRPr="008B6A75" w:rsidRDefault="00387142" w:rsidP="00387142">
            <w:pPr>
              <w:rPr>
                <w:sz w:val="20"/>
                <w:szCs w:val="20"/>
              </w:rPr>
            </w:pPr>
            <w:r w:rsidRPr="008B6A75">
              <w:rPr>
                <w:sz w:val="20"/>
                <w:szCs w:val="20"/>
              </w:rPr>
              <w:t>Социальное обеспечение и иные выплаты населению</w:t>
            </w:r>
          </w:p>
        </w:tc>
        <w:tc>
          <w:tcPr>
            <w:tcW w:w="1559" w:type="dxa"/>
            <w:tcBorders>
              <w:top w:val="nil"/>
              <w:left w:val="single" w:sz="4" w:space="0" w:color="auto"/>
              <w:bottom w:val="single" w:sz="4" w:space="0" w:color="auto"/>
              <w:right w:val="nil"/>
            </w:tcBorders>
            <w:shd w:val="clear" w:color="auto" w:fill="auto"/>
            <w:noWrap/>
            <w:vAlign w:val="center"/>
            <w:hideMark/>
          </w:tcPr>
          <w:p w14:paraId="017AED21" w14:textId="77777777" w:rsidR="00387142" w:rsidRPr="008B6A75" w:rsidRDefault="00387142" w:rsidP="00387142">
            <w:pPr>
              <w:jc w:val="center"/>
              <w:rPr>
                <w:sz w:val="20"/>
                <w:szCs w:val="20"/>
              </w:rPr>
            </w:pPr>
            <w:r w:rsidRPr="008B6A75">
              <w:rPr>
                <w:sz w:val="20"/>
                <w:szCs w:val="20"/>
              </w:rPr>
              <w:t>99.0.00.70289</w:t>
            </w:r>
          </w:p>
        </w:tc>
        <w:tc>
          <w:tcPr>
            <w:tcW w:w="850" w:type="dxa"/>
            <w:tcBorders>
              <w:top w:val="nil"/>
              <w:left w:val="single" w:sz="4" w:space="0" w:color="auto"/>
              <w:bottom w:val="single" w:sz="4" w:space="0" w:color="auto"/>
              <w:right w:val="nil"/>
            </w:tcBorders>
            <w:shd w:val="clear" w:color="auto" w:fill="auto"/>
            <w:noWrap/>
            <w:vAlign w:val="center"/>
            <w:hideMark/>
          </w:tcPr>
          <w:p w14:paraId="63E7BED6" w14:textId="77777777" w:rsidR="00387142" w:rsidRPr="008B6A75" w:rsidRDefault="00387142" w:rsidP="00387142">
            <w:pPr>
              <w:jc w:val="center"/>
              <w:rPr>
                <w:sz w:val="20"/>
                <w:szCs w:val="20"/>
              </w:rPr>
            </w:pPr>
            <w:r w:rsidRPr="008B6A75">
              <w:rPr>
                <w:sz w:val="20"/>
                <w:szCs w:val="20"/>
              </w:rPr>
              <w:t>300</w:t>
            </w:r>
          </w:p>
        </w:tc>
        <w:tc>
          <w:tcPr>
            <w:tcW w:w="567" w:type="dxa"/>
            <w:tcBorders>
              <w:top w:val="nil"/>
              <w:left w:val="single" w:sz="4" w:space="0" w:color="auto"/>
              <w:bottom w:val="single" w:sz="4" w:space="0" w:color="auto"/>
              <w:right w:val="nil"/>
            </w:tcBorders>
            <w:shd w:val="clear" w:color="auto" w:fill="auto"/>
            <w:noWrap/>
            <w:vAlign w:val="center"/>
            <w:hideMark/>
          </w:tcPr>
          <w:p w14:paraId="4C910C42" w14:textId="77777777" w:rsidR="00387142" w:rsidRPr="008B6A75" w:rsidRDefault="00387142" w:rsidP="00387142">
            <w:pPr>
              <w:jc w:val="center"/>
              <w:rPr>
                <w:sz w:val="20"/>
                <w:szCs w:val="20"/>
              </w:rPr>
            </w:pPr>
            <w:r w:rsidRPr="008B6A75">
              <w:rPr>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73901039" w14:textId="77777777" w:rsidR="00387142" w:rsidRPr="008B6A75" w:rsidRDefault="00387142" w:rsidP="00387142">
            <w:pPr>
              <w:jc w:val="center"/>
              <w:rPr>
                <w:sz w:val="20"/>
                <w:szCs w:val="20"/>
              </w:rPr>
            </w:pPr>
            <w:r w:rsidRPr="008B6A75">
              <w:rPr>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8CB4926" w14:textId="77777777" w:rsidR="00387142" w:rsidRPr="008B6A75" w:rsidRDefault="00387142" w:rsidP="00387142">
            <w:pPr>
              <w:jc w:val="right"/>
              <w:rPr>
                <w:sz w:val="20"/>
                <w:szCs w:val="20"/>
              </w:rPr>
            </w:pPr>
            <w:r w:rsidRPr="008B6A75">
              <w:rPr>
                <w:sz w:val="20"/>
                <w:szCs w:val="20"/>
              </w:rPr>
              <w:t>37 291 456,43</w:t>
            </w:r>
          </w:p>
        </w:tc>
        <w:tc>
          <w:tcPr>
            <w:tcW w:w="851" w:type="dxa"/>
            <w:tcBorders>
              <w:top w:val="nil"/>
              <w:left w:val="single" w:sz="4" w:space="0" w:color="auto"/>
              <w:bottom w:val="single" w:sz="4" w:space="0" w:color="auto"/>
              <w:right w:val="nil"/>
            </w:tcBorders>
            <w:shd w:val="clear" w:color="auto" w:fill="auto"/>
            <w:noWrap/>
            <w:vAlign w:val="center"/>
            <w:hideMark/>
          </w:tcPr>
          <w:p w14:paraId="29C22D1E" w14:textId="77777777" w:rsidR="00387142" w:rsidRPr="008B6A75" w:rsidRDefault="00387142" w:rsidP="00387142">
            <w:pPr>
              <w:jc w:val="right"/>
              <w:rPr>
                <w:sz w:val="20"/>
                <w:szCs w:val="20"/>
              </w:rPr>
            </w:pPr>
            <w:r w:rsidRPr="008B6A75">
              <w:rPr>
                <w:sz w:val="20"/>
                <w:szCs w:val="20"/>
              </w:rPr>
              <w:t>36 165 100,00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1949AA8C" w14:textId="77777777" w:rsidR="00387142" w:rsidRPr="008B6A75" w:rsidRDefault="00387142" w:rsidP="00387142">
            <w:pPr>
              <w:jc w:val="right"/>
              <w:rPr>
                <w:sz w:val="20"/>
                <w:szCs w:val="20"/>
              </w:rPr>
            </w:pPr>
            <w:r w:rsidRPr="008B6A75">
              <w:rPr>
                <w:sz w:val="20"/>
                <w:szCs w:val="20"/>
              </w:rPr>
              <w:t>36 165 100,00</w:t>
            </w:r>
          </w:p>
        </w:tc>
      </w:tr>
      <w:tr w:rsidR="00387142" w:rsidRPr="008B6A75" w14:paraId="148A3C36" w14:textId="77777777" w:rsidTr="00387142">
        <w:trPr>
          <w:trHeight w:val="585"/>
        </w:trPr>
        <w:tc>
          <w:tcPr>
            <w:tcW w:w="272" w:type="dxa"/>
            <w:tcBorders>
              <w:top w:val="nil"/>
              <w:left w:val="nil"/>
              <w:bottom w:val="nil"/>
              <w:right w:val="single" w:sz="4" w:space="0" w:color="auto"/>
            </w:tcBorders>
            <w:shd w:val="clear" w:color="auto" w:fill="auto"/>
            <w:noWrap/>
            <w:vAlign w:val="bottom"/>
            <w:hideMark/>
          </w:tcPr>
          <w:p w14:paraId="0B84EDC5"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05A248D4" w14:textId="77777777" w:rsidR="00387142" w:rsidRPr="008B6A75" w:rsidRDefault="00387142" w:rsidP="00387142">
            <w:pPr>
              <w:rPr>
                <w:sz w:val="20"/>
                <w:szCs w:val="20"/>
              </w:rPr>
            </w:pPr>
            <w:r w:rsidRPr="008B6A75">
              <w:rPr>
                <w:sz w:val="20"/>
                <w:szCs w:val="20"/>
              </w:rPr>
              <w:t>Социальные выплаты гражданам, кроме публичных нормативных социальных выплат</w:t>
            </w:r>
          </w:p>
        </w:tc>
        <w:tc>
          <w:tcPr>
            <w:tcW w:w="1559" w:type="dxa"/>
            <w:tcBorders>
              <w:top w:val="nil"/>
              <w:left w:val="single" w:sz="4" w:space="0" w:color="auto"/>
              <w:bottom w:val="single" w:sz="4" w:space="0" w:color="auto"/>
              <w:right w:val="nil"/>
            </w:tcBorders>
            <w:shd w:val="clear" w:color="auto" w:fill="auto"/>
            <w:noWrap/>
            <w:vAlign w:val="center"/>
            <w:hideMark/>
          </w:tcPr>
          <w:p w14:paraId="3DD0B193" w14:textId="77777777" w:rsidR="00387142" w:rsidRPr="008B6A75" w:rsidRDefault="00387142" w:rsidP="00387142">
            <w:pPr>
              <w:jc w:val="center"/>
              <w:rPr>
                <w:sz w:val="20"/>
                <w:szCs w:val="20"/>
              </w:rPr>
            </w:pPr>
            <w:r w:rsidRPr="008B6A75">
              <w:rPr>
                <w:sz w:val="20"/>
                <w:szCs w:val="20"/>
              </w:rPr>
              <w:t>99.0.00.70289</w:t>
            </w:r>
          </w:p>
        </w:tc>
        <w:tc>
          <w:tcPr>
            <w:tcW w:w="850" w:type="dxa"/>
            <w:tcBorders>
              <w:top w:val="nil"/>
              <w:left w:val="single" w:sz="4" w:space="0" w:color="auto"/>
              <w:bottom w:val="single" w:sz="4" w:space="0" w:color="auto"/>
              <w:right w:val="nil"/>
            </w:tcBorders>
            <w:shd w:val="clear" w:color="auto" w:fill="auto"/>
            <w:noWrap/>
            <w:vAlign w:val="center"/>
            <w:hideMark/>
          </w:tcPr>
          <w:p w14:paraId="0A3935F6" w14:textId="77777777" w:rsidR="00387142" w:rsidRPr="008B6A75" w:rsidRDefault="00387142" w:rsidP="00387142">
            <w:pPr>
              <w:jc w:val="center"/>
              <w:rPr>
                <w:sz w:val="20"/>
                <w:szCs w:val="20"/>
              </w:rPr>
            </w:pPr>
            <w:r w:rsidRPr="008B6A75">
              <w:rPr>
                <w:sz w:val="20"/>
                <w:szCs w:val="20"/>
              </w:rPr>
              <w:t>320</w:t>
            </w:r>
          </w:p>
        </w:tc>
        <w:tc>
          <w:tcPr>
            <w:tcW w:w="567" w:type="dxa"/>
            <w:tcBorders>
              <w:top w:val="nil"/>
              <w:left w:val="single" w:sz="4" w:space="0" w:color="auto"/>
              <w:bottom w:val="single" w:sz="4" w:space="0" w:color="auto"/>
              <w:right w:val="nil"/>
            </w:tcBorders>
            <w:shd w:val="clear" w:color="auto" w:fill="auto"/>
            <w:noWrap/>
            <w:vAlign w:val="center"/>
            <w:hideMark/>
          </w:tcPr>
          <w:p w14:paraId="4FD7E4E0" w14:textId="77777777" w:rsidR="00387142" w:rsidRPr="008B6A75" w:rsidRDefault="00387142" w:rsidP="00387142">
            <w:pPr>
              <w:jc w:val="center"/>
              <w:rPr>
                <w:sz w:val="20"/>
                <w:szCs w:val="20"/>
              </w:rPr>
            </w:pPr>
            <w:r w:rsidRPr="008B6A75">
              <w:rPr>
                <w:sz w:val="20"/>
                <w:szCs w:val="20"/>
              </w:rPr>
              <w:t>07</w:t>
            </w:r>
          </w:p>
        </w:tc>
        <w:tc>
          <w:tcPr>
            <w:tcW w:w="567" w:type="dxa"/>
            <w:tcBorders>
              <w:top w:val="nil"/>
              <w:left w:val="single" w:sz="4" w:space="0" w:color="auto"/>
              <w:bottom w:val="single" w:sz="4" w:space="0" w:color="auto"/>
              <w:right w:val="nil"/>
            </w:tcBorders>
            <w:shd w:val="clear" w:color="auto" w:fill="auto"/>
            <w:noWrap/>
            <w:vAlign w:val="center"/>
            <w:hideMark/>
          </w:tcPr>
          <w:p w14:paraId="28743C4B" w14:textId="77777777" w:rsidR="00387142" w:rsidRPr="008B6A75" w:rsidRDefault="00387142" w:rsidP="00387142">
            <w:pPr>
              <w:jc w:val="center"/>
              <w:rPr>
                <w:sz w:val="20"/>
                <w:szCs w:val="20"/>
              </w:rPr>
            </w:pPr>
            <w:r w:rsidRPr="008B6A75">
              <w:rPr>
                <w:sz w:val="20"/>
                <w:szCs w:val="20"/>
              </w:rPr>
              <w:t>02</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E39D7B3" w14:textId="77777777" w:rsidR="00387142" w:rsidRPr="008B6A75" w:rsidRDefault="00387142" w:rsidP="00387142">
            <w:pPr>
              <w:jc w:val="right"/>
              <w:rPr>
                <w:sz w:val="20"/>
                <w:szCs w:val="20"/>
              </w:rPr>
            </w:pPr>
            <w:r w:rsidRPr="008B6A75">
              <w:rPr>
                <w:sz w:val="20"/>
                <w:szCs w:val="20"/>
              </w:rPr>
              <w:t>248 151,20</w:t>
            </w:r>
          </w:p>
        </w:tc>
        <w:tc>
          <w:tcPr>
            <w:tcW w:w="851" w:type="dxa"/>
            <w:tcBorders>
              <w:top w:val="nil"/>
              <w:left w:val="single" w:sz="4" w:space="0" w:color="auto"/>
              <w:bottom w:val="single" w:sz="4" w:space="0" w:color="auto"/>
              <w:right w:val="nil"/>
            </w:tcBorders>
            <w:shd w:val="clear" w:color="auto" w:fill="auto"/>
            <w:noWrap/>
            <w:vAlign w:val="center"/>
            <w:hideMark/>
          </w:tcPr>
          <w:p w14:paraId="5C14A852" w14:textId="77777777" w:rsidR="00387142" w:rsidRPr="008B6A75" w:rsidRDefault="00387142" w:rsidP="00387142">
            <w:pPr>
              <w:jc w:val="right"/>
              <w:rPr>
                <w:sz w:val="20"/>
                <w:szCs w:val="20"/>
              </w:rPr>
            </w:pPr>
            <w:r w:rsidRPr="008B6A75">
              <w:rPr>
                <w:sz w:val="20"/>
                <w:szCs w:val="20"/>
              </w:rPr>
              <w:t>300 000,00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1F8A37C5" w14:textId="77777777" w:rsidR="00387142" w:rsidRPr="008B6A75" w:rsidRDefault="00387142" w:rsidP="00387142">
            <w:pPr>
              <w:jc w:val="right"/>
              <w:rPr>
                <w:sz w:val="20"/>
                <w:szCs w:val="20"/>
              </w:rPr>
            </w:pPr>
            <w:r w:rsidRPr="008B6A75">
              <w:rPr>
                <w:sz w:val="20"/>
                <w:szCs w:val="20"/>
              </w:rPr>
              <w:t>300 000,00</w:t>
            </w:r>
          </w:p>
        </w:tc>
      </w:tr>
      <w:tr w:rsidR="00387142" w:rsidRPr="008B6A75" w14:paraId="68359A0A" w14:textId="77777777" w:rsidTr="00387142">
        <w:trPr>
          <w:trHeight w:val="585"/>
        </w:trPr>
        <w:tc>
          <w:tcPr>
            <w:tcW w:w="272" w:type="dxa"/>
            <w:tcBorders>
              <w:top w:val="nil"/>
              <w:left w:val="nil"/>
              <w:bottom w:val="nil"/>
              <w:right w:val="single" w:sz="4" w:space="0" w:color="auto"/>
            </w:tcBorders>
            <w:shd w:val="clear" w:color="auto" w:fill="auto"/>
            <w:noWrap/>
            <w:vAlign w:val="bottom"/>
            <w:hideMark/>
          </w:tcPr>
          <w:p w14:paraId="1634AD93"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7DF39E97" w14:textId="77777777" w:rsidR="00387142" w:rsidRPr="008B6A75" w:rsidRDefault="00387142" w:rsidP="00387142">
            <w:pPr>
              <w:rPr>
                <w:sz w:val="20"/>
                <w:szCs w:val="20"/>
              </w:rPr>
            </w:pPr>
            <w:r w:rsidRPr="008B6A75">
              <w:rPr>
                <w:sz w:val="20"/>
                <w:szCs w:val="20"/>
              </w:rPr>
              <w:t>Социальные выплаты гражданам, кроме публичных нормативных социальных выплат</w:t>
            </w:r>
          </w:p>
        </w:tc>
        <w:tc>
          <w:tcPr>
            <w:tcW w:w="1559" w:type="dxa"/>
            <w:tcBorders>
              <w:top w:val="nil"/>
              <w:left w:val="single" w:sz="4" w:space="0" w:color="auto"/>
              <w:bottom w:val="single" w:sz="4" w:space="0" w:color="auto"/>
              <w:right w:val="nil"/>
            </w:tcBorders>
            <w:shd w:val="clear" w:color="auto" w:fill="auto"/>
            <w:noWrap/>
            <w:vAlign w:val="center"/>
            <w:hideMark/>
          </w:tcPr>
          <w:p w14:paraId="0617FDEC" w14:textId="77777777" w:rsidR="00387142" w:rsidRPr="008B6A75" w:rsidRDefault="00387142" w:rsidP="00387142">
            <w:pPr>
              <w:jc w:val="center"/>
              <w:rPr>
                <w:sz w:val="20"/>
                <w:szCs w:val="20"/>
              </w:rPr>
            </w:pPr>
            <w:r w:rsidRPr="008B6A75">
              <w:rPr>
                <w:sz w:val="20"/>
                <w:szCs w:val="20"/>
              </w:rPr>
              <w:t>99.0.00.70289</w:t>
            </w:r>
          </w:p>
        </w:tc>
        <w:tc>
          <w:tcPr>
            <w:tcW w:w="850" w:type="dxa"/>
            <w:tcBorders>
              <w:top w:val="nil"/>
              <w:left w:val="single" w:sz="4" w:space="0" w:color="auto"/>
              <w:bottom w:val="single" w:sz="4" w:space="0" w:color="auto"/>
              <w:right w:val="nil"/>
            </w:tcBorders>
            <w:shd w:val="clear" w:color="auto" w:fill="auto"/>
            <w:noWrap/>
            <w:vAlign w:val="center"/>
            <w:hideMark/>
          </w:tcPr>
          <w:p w14:paraId="6174EBF9" w14:textId="77777777" w:rsidR="00387142" w:rsidRPr="008B6A75" w:rsidRDefault="00387142" w:rsidP="00387142">
            <w:pPr>
              <w:jc w:val="center"/>
              <w:rPr>
                <w:sz w:val="20"/>
                <w:szCs w:val="20"/>
              </w:rPr>
            </w:pPr>
            <w:r w:rsidRPr="008B6A75">
              <w:rPr>
                <w:sz w:val="20"/>
                <w:szCs w:val="20"/>
              </w:rPr>
              <w:t>320</w:t>
            </w:r>
          </w:p>
        </w:tc>
        <w:tc>
          <w:tcPr>
            <w:tcW w:w="567" w:type="dxa"/>
            <w:tcBorders>
              <w:top w:val="nil"/>
              <w:left w:val="single" w:sz="4" w:space="0" w:color="auto"/>
              <w:bottom w:val="single" w:sz="4" w:space="0" w:color="auto"/>
              <w:right w:val="nil"/>
            </w:tcBorders>
            <w:shd w:val="clear" w:color="auto" w:fill="auto"/>
            <w:noWrap/>
            <w:vAlign w:val="center"/>
            <w:hideMark/>
          </w:tcPr>
          <w:p w14:paraId="5D8D93DC" w14:textId="77777777" w:rsidR="00387142" w:rsidRPr="008B6A75" w:rsidRDefault="00387142" w:rsidP="00387142">
            <w:pPr>
              <w:jc w:val="center"/>
              <w:rPr>
                <w:sz w:val="20"/>
                <w:szCs w:val="20"/>
              </w:rPr>
            </w:pPr>
            <w:r w:rsidRPr="008B6A75">
              <w:rPr>
                <w:sz w:val="20"/>
                <w:szCs w:val="20"/>
              </w:rPr>
              <w:t>10</w:t>
            </w:r>
          </w:p>
        </w:tc>
        <w:tc>
          <w:tcPr>
            <w:tcW w:w="567" w:type="dxa"/>
            <w:tcBorders>
              <w:top w:val="nil"/>
              <w:left w:val="single" w:sz="4" w:space="0" w:color="auto"/>
              <w:bottom w:val="single" w:sz="4" w:space="0" w:color="auto"/>
              <w:right w:val="nil"/>
            </w:tcBorders>
            <w:shd w:val="clear" w:color="auto" w:fill="auto"/>
            <w:noWrap/>
            <w:vAlign w:val="center"/>
            <w:hideMark/>
          </w:tcPr>
          <w:p w14:paraId="1B6E480C" w14:textId="77777777" w:rsidR="00387142" w:rsidRPr="008B6A75" w:rsidRDefault="00387142" w:rsidP="00387142">
            <w:pPr>
              <w:jc w:val="center"/>
              <w:rPr>
                <w:sz w:val="20"/>
                <w:szCs w:val="20"/>
              </w:rPr>
            </w:pPr>
            <w:r w:rsidRPr="008B6A75">
              <w:rPr>
                <w:sz w:val="20"/>
                <w:szCs w:val="20"/>
              </w:rPr>
              <w:t>04</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0CEC820" w14:textId="77777777" w:rsidR="00387142" w:rsidRPr="008B6A75" w:rsidRDefault="00387142" w:rsidP="00387142">
            <w:pPr>
              <w:jc w:val="right"/>
              <w:rPr>
                <w:sz w:val="20"/>
                <w:szCs w:val="20"/>
              </w:rPr>
            </w:pPr>
            <w:r w:rsidRPr="008B6A75">
              <w:rPr>
                <w:sz w:val="20"/>
                <w:szCs w:val="20"/>
              </w:rPr>
              <w:t>37 043 305,23</w:t>
            </w:r>
          </w:p>
        </w:tc>
        <w:tc>
          <w:tcPr>
            <w:tcW w:w="851" w:type="dxa"/>
            <w:tcBorders>
              <w:top w:val="nil"/>
              <w:left w:val="single" w:sz="4" w:space="0" w:color="auto"/>
              <w:bottom w:val="single" w:sz="4" w:space="0" w:color="auto"/>
              <w:right w:val="nil"/>
            </w:tcBorders>
            <w:shd w:val="clear" w:color="auto" w:fill="auto"/>
            <w:noWrap/>
            <w:vAlign w:val="center"/>
            <w:hideMark/>
          </w:tcPr>
          <w:p w14:paraId="47E076AD" w14:textId="77777777" w:rsidR="00387142" w:rsidRPr="008B6A75" w:rsidRDefault="00387142" w:rsidP="00387142">
            <w:pPr>
              <w:jc w:val="right"/>
              <w:rPr>
                <w:sz w:val="20"/>
                <w:szCs w:val="20"/>
              </w:rPr>
            </w:pPr>
            <w:r w:rsidRPr="008B6A75">
              <w:rPr>
                <w:sz w:val="20"/>
                <w:szCs w:val="20"/>
              </w:rPr>
              <w:t>35 865 100,00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093598DA" w14:textId="77777777" w:rsidR="00387142" w:rsidRPr="008B6A75" w:rsidRDefault="00387142" w:rsidP="00387142">
            <w:pPr>
              <w:jc w:val="right"/>
              <w:rPr>
                <w:sz w:val="20"/>
                <w:szCs w:val="20"/>
              </w:rPr>
            </w:pPr>
            <w:r w:rsidRPr="008B6A75">
              <w:rPr>
                <w:sz w:val="20"/>
                <w:szCs w:val="20"/>
              </w:rPr>
              <w:t>35 865 100,00</w:t>
            </w:r>
          </w:p>
        </w:tc>
      </w:tr>
      <w:tr w:rsidR="00387142" w:rsidRPr="008B6A75" w14:paraId="5CE95A81" w14:textId="77777777" w:rsidTr="00387142">
        <w:trPr>
          <w:trHeight w:val="1155"/>
        </w:trPr>
        <w:tc>
          <w:tcPr>
            <w:tcW w:w="272" w:type="dxa"/>
            <w:tcBorders>
              <w:top w:val="nil"/>
              <w:left w:val="nil"/>
              <w:bottom w:val="nil"/>
              <w:right w:val="single" w:sz="4" w:space="0" w:color="auto"/>
            </w:tcBorders>
            <w:shd w:val="clear" w:color="auto" w:fill="auto"/>
            <w:noWrap/>
            <w:vAlign w:val="bottom"/>
            <w:hideMark/>
          </w:tcPr>
          <w:p w14:paraId="6B637056"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60D97300" w14:textId="77777777" w:rsidR="00387142" w:rsidRPr="008B6A75" w:rsidRDefault="00387142" w:rsidP="00387142">
            <w:pPr>
              <w:rPr>
                <w:bCs/>
                <w:sz w:val="20"/>
                <w:szCs w:val="20"/>
              </w:rPr>
            </w:pPr>
            <w:r w:rsidRPr="008B6A75">
              <w:rPr>
                <w:bCs/>
                <w:sz w:val="20"/>
                <w:szCs w:val="20"/>
              </w:rPr>
              <w:t>Осуществление строительства жилых помещений с целью оказания государственной поддержки детям-сиротам и детям, оставшихся без попечения родителей</w:t>
            </w:r>
          </w:p>
        </w:tc>
        <w:tc>
          <w:tcPr>
            <w:tcW w:w="1559" w:type="dxa"/>
            <w:tcBorders>
              <w:top w:val="nil"/>
              <w:left w:val="single" w:sz="4" w:space="0" w:color="auto"/>
              <w:bottom w:val="single" w:sz="4" w:space="0" w:color="auto"/>
              <w:right w:val="nil"/>
            </w:tcBorders>
            <w:shd w:val="clear" w:color="auto" w:fill="auto"/>
            <w:noWrap/>
            <w:vAlign w:val="center"/>
            <w:hideMark/>
          </w:tcPr>
          <w:p w14:paraId="111DA63D" w14:textId="77777777" w:rsidR="00387142" w:rsidRPr="008B6A75" w:rsidRDefault="00387142" w:rsidP="00387142">
            <w:pPr>
              <w:jc w:val="center"/>
              <w:rPr>
                <w:bCs/>
                <w:sz w:val="20"/>
                <w:szCs w:val="20"/>
              </w:rPr>
            </w:pPr>
            <w:r w:rsidRPr="008B6A75">
              <w:rPr>
                <w:bCs/>
                <w:sz w:val="20"/>
                <w:szCs w:val="20"/>
              </w:rPr>
              <w:t>99.0.00.70399</w:t>
            </w:r>
          </w:p>
        </w:tc>
        <w:tc>
          <w:tcPr>
            <w:tcW w:w="850" w:type="dxa"/>
            <w:tcBorders>
              <w:top w:val="nil"/>
              <w:left w:val="single" w:sz="4" w:space="0" w:color="auto"/>
              <w:bottom w:val="single" w:sz="4" w:space="0" w:color="auto"/>
              <w:right w:val="nil"/>
            </w:tcBorders>
            <w:shd w:val="clear" w:color="auto" w:fill="auto"/>
            <w:noWrap/>
            <w:vAlign w:val="center"/>
            <w:hideMark/>
          </w:tcPr>
          <w:p w14:paraId="397F2077" w14:textId="77777777" w:rsidR="00387142" w:rsidRPr="008B6A75" w:rsidRDefault="00387142" w:rsidP="00387142">
            <w:pPr>
              <w:jc w:val="center"/>
              <w:rPr>
                <w:bCs/>
                <w:sz w:val="20"/>
                <w:szCs w:val="20"/>
              </w:rPr>
            </w:pPr>
            <w:r w:rsidRPr="008B6A75">
              <w:rPr>
                <w:bCs/>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5D0D58CF" w14:textId="77777777" w:rsidR="00387142" w:rsidRPr="008B6A75" w:rsidRDefault="00387142" w:rsidP="00387142">
            <w:pPr>
              <w:jc w:val="center"/>
              <w:rPr>
                <w:bCs/>
                <w:sz w:val="20"/>
                <w:szCs w:val="20"/>
              </w:rPr>
            </w:pPr>
            <w:r w:rsidRPr="008B6A75">
              <w:rPr>
                <w:bCs/>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6414E666" w14:textId="77777777" w:rsidR="00387142" w:rsidRPr="008B6A75" w:rsidRDefault="00387142" w:rsidP="00387142">
            <w:pPr>
              <w:jc w:val="center"/>
              <w:rPr>
                <w:bCs/>
                <w:sz w:val="20"/>
                <w:szCs w:val="20"/>
              </w:rPr>
            </w:pPr>
            <w:r w:rsidRPr="008B6A75">
              <w:rPr>
                <w:bCs/>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0D7B1CC" w14:textId="77777777" w:rsidR="00387142" w:rsidRPr="008B6A75" w:rsidRDefault="00387142" w:rsidP="00387142">
            <w:pPr>
              <w:jc w:val="right"/>
              <w:rPr>
                <w:bCs/>
                <w:sz w:val="20"/>
                <w:szCs w:val="20"/>
              </w:rPr>
            </w:pPr>
            <w:r w:rsidRPr="008B6A75">
              <w:rPr>
                <w:bCs/>
                <w:sz w:val="20"/>
                <w:szCs w:val="20"/>
              </w:rPr>
              <w:t>85 720 700,00</w:t>
            </w:r>
          </w:p>
        </w:tc>
        <w:tc>
          <w:tcPr>
            <w:tcW w:w="851" w:type="dxa"/>
            <w:tcBorders>
              <w:top w:val="nil"/>
              <w:left w:val="single" w:sz="4" w:space="0" w:color="auto"/>
              <w:bottom w:val="single" w:sz="4" w:space="0" w:color="auto"/>
              <w:right w:val="nil"/>
            </w:tcBorders>
            <w:shd w:val="clear" w:color="auto" w:fill="auto"/>
            <w:noWrap/>
            <w:vAlign w:val="center"/>
            <w:hideMark/>
          </w:tcPr>
          <w:p w14:paraId="3DCC9150" w14:textId="77777777" w:rsidR="00387142" w:rsidRPr="008B6A75" w:rsidRDefault="00387142" w:rsidP="00387142">
            <w:pPr>
              <w:jc w:val="right"/>
              <w:rPr>
                <w:bCs/>
                <w:sz w:val="20"/>
                <w:szCs w:val="20"/>
              </w:rPr>
            </w:pPr>
            <w:r w:rsidRPr="008B6A75">
              <w:rPr>
                <w:bCs/>
                <w:sz w:val="20"/>
                <w:szCs w:val="20"/>
              </w:rPr>
              <w:t>101 903 100,00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6BEF785C" w14:textId="77777777" w:rsidR="00387142" w:rsidRPr="008B6A75" w:rsidRDefault="00387142" w:rsidP="00387142">
            <w:pPr>
              <w:jc w:val="right"/>
              <w:rPr>
                <w:bCs/>
                <w:sz w:val="20"/>
                <w:szCs w:val="20"/>
              </w:rPr>
            </w:pPr>
            <w:r w:rsidRPr="008B6A75">
              <w:rPr>
                <w:bCs/>
                <w:sz w:val="20"/>
                <w:szCs w:val="20"/>
              </w:rPr>
              <w:t>65 104 700,00</w:t>
            </w:r>
          </w:p>
        </w:tc>
      </w:tr>
      <w:tr w:rsidR="00387142" w:rsidRPr="008B6A75" w14:paraId="67B95F17" w14:textId="77777777" w:rsidTr="00387142">
        <w:trPr>
          <w:trHeight w:val="870"/>
        </w:trPr>
        <w:tc>
          <w:tcPr>
            <w:tcW w:w="272" w:type="dxa"/>
            <w:tcBorders>
              <w:top w:val="nil"/>
              <w:left w:val="nil"/>
              <w:bottom w:val="nil"/>
              <w:right w:val="single" w:sz="4" w:space="0" w:color="auto"/>
            </w:tcBorders>
            <w:shd w:val="clear" w:color="auto" w:fill="auto"/>
            <w:noWrap/>
            <w:vAlign w:val="bottom"/>
            <w:hideMark/>
          </w:tcPr>
          <w:p w14:paraId="7F41F514"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206407E3" w14:textId="77777777" w:rsidR="00387142" w:rsidRPr="008B6A75" w:rsidRDefault="00387142" w:rsidP="00387142">
            <w:pPr>
              <w:rPr>
                <w:sz w:val="20"/>
                <w:szCs w:val="20"/>
              </w:rPr>
            </w:pPr>
            <w:r w:rsidRPr="008B6A75">
              <w:rPr>
                <w:sz w:val="20"/>
                <w:szCs w:val="20"/>
              </w:rPr>
              <w:t>Капитальные вложения в объекты государственной (муниципальной) собственности</w:t>
            </w:r>
          </w:p>
        </w:tc>
        <w:tc>
          <w:tcPr>
            <w:tcW w:w="1559" w:type="dxa"/>
            <w:tcBorders>
              <w:top w:val="nil"/>
              <w:left w:val="single" w:sz="4" w:space="0" w:color="auto"/>
              <w:bottom w:val="single" w:sz="4" w:space="0" w:color="auto"/>
              <w:right w:val="nil"/>
            </w:tcBorders>
            <w:shd w:val="clear" w:color="auto" w:fill="auto"/>
            <w:noWrap/>
            <w:vAlign w:val="center"/>
            <w:hideMark/>
          </w:tcPr>
          <w:p w14:paraId="388F609D" w14:textId="77777777" w:rsidR="00387142" w:rsidRPr="008B6A75" w:rsidRDefault="00387142" w:rsidP="00387142">
            <w:pPr>
              <w:jc w:val="center"/>
              <w:rPr>
                <w:sz w:val="20"/>
                <w:szCs w:val="20"/>
              </w:rPr>
            </w:pPr>
            <w:r w:rsidRPr="008B6A75">
              <w:rPr>
                <w:sz w:val="20"/>
                <w:szCs w:val="20"/>
              </w:rPr>
              <w:t>99.0.00.70399</w:t>
            </w:r>
          </w:p>
        </w:tc>
        <w:tc>
          <w:tcPr>
            <w:tcW w:w="850" w:type="dxa"/>
            <w:tcBorders>
              <w:top w:val="nil"/>
              <w:left w:val="single" w:sz="4" w:space="0" w:color="auto"/>
              <w:bottom w:val="single" w:sz="4" w:space="0" w:color="auto"/>
              <w:right w:val="nil"/>
            </w:tcBorders>
            <w:shd w:val="clear" w:color="auto" w:fill="auto"/>
            <w:noWrap/>
            <w:vAlign w:val="center"/>
            <w:hideMark/>
          </w:tcPr>
          <w:p w14:paraId="6F7A3602" w14:textId="77777777" w:rsidR="00387142" w:rsidRPr="008B6A75" w:rsidRDefault="00387142" w:rsidP="00387142">
            <w:pPr>
              <w:jc w:val="center"/>
              <w:rPr>
                <w:sz w:val="20"/>
                <w:szCs w:val="20"/>
              </w:rPr>
            </w:pPr>
            <w:r w:rsidRPr="008B6A75">
              <w:rPr>
                <w:sz w:val="20"/>
                <w:szCs w:val="20"/>
              </w:rPr>
              <w:t>400</w:t>
            </w:r>
          </w:p>
        </w:tc>
        <w:tc>
          <w:tcPr>
            <w:tcW w:w="567" w:type="dxa"/>
            <w:tcBorders>
              <w:top w:val="nil"/>
              <w:left w:val="single" w:sz="4" w:space="0" w:color="auto"/>
              <w:bottom w:val="single" w:sz="4" w:space="0" w:color="auto"/>
              <w:right w:val="nil"/>
            </w:tcBorders>
            <w:shd w:val="clear" w:color="auto" w:fill="auto"/>
            <w:noWrap/>
            <w:vAlign w:val="center"/>
            <w:hideMark/>
          </w:tcPr>
          <w:p w14:paraId="3E76D5CD" w14:textId="77777777" w:rsidR="00387142" w:rsidRPr="008B6A75" w:rsidRDefault="00387142" w:rsidP="00387142">
            <w:pPr>
              <w:jc w:val="center"/>
              <w:rPr>
                <w:sz w:val="20"/>
                <w:szCs w:val="20"/>
              </w:rPr>
            </w:pPr>
            <w:r w:rsidRPr="008B6A75">
              <w:rPr>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6FF4E2AD" w14:textId="77777777" w:rsidR="00387142" w:rsidRPr="008B6A75" w:rsidRDefault="00387142" w:rsidP="00387142">
            <w:pPr>
              <w:jc w:val="center"/>
              <w:rPr>
                <w:sz w:val="20"/>
                <w:szCs w:val="20"/>
              </w:rPr>
            </w:pPr>
            <w:r w:rsidRPr="008B6A75">
              <w:rPr>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0A8F272" w14:textId="77777777" w:rsidR="00387142" w:rsidRPr="008B6A75" w:rsidRDefault="00387142" w:rsidP="00387142">
            <w:pPr>
              <w:jc w:val="right"/>
              <w:rPr>
                <w:sz w:val="20"/>
                <w:szCs w:val="20"/>
              </w:rPr>
            </w:pPr>
            <w:r w:rsidRPr="008B6A75">
              <w:rPr>
                <w:sz w:val="20"/>
                <w:szCs w:val="20"/>
              </w:rPr>
              <w:t>85 720 700,00</w:t>
            </w:r>
          </w:p>
        </w:tc>
        <w:tc>
          <w:tcPr>
            <w:tcW w:w="851" w:type="dxa"/>
            <w:tcBorders>
              <w:top w:val="nil"/>
              <w:left w:val="single" w:sz="4" w:space="0" w:color="auto"/>
              <w:bottom w:val="single" w:sz="4" w:space="0" w:color="auto"/>
              <w:right w:val="nil"/>
            </w:tcBorders>
            <w:shd w:val="clear" w:color="auto" w:fill="auto"/>
            <w:noWrap/>
            <w:vAlign w:val="center"/>
            <w:hideMark/>
          </w:tcPr>
          <w:p w14:paraId="0C69D2F6" w14:textId="77777777" w:rsidR="00387142" w:rsidRPr="008B6A75" w:rsidRDefault="00387142" w:rsidP="00387142">
            <w:pPr>
              <w:jc w:val="right"/>
              <w:rPr>
                <w:sz w:val="20"/>
                <w:szCs w:val="20"/>
              </w:rPr>
            </w:pPr>
            <w:r w:rsidRPr="008B6A75">
              <w:rPr>
                <w:sz w:val="20"/>
                <w:szCs w:val="20"/>
              </w:rPr>
              <w:t>101 903 100,00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52CEEF26" w14:textId="77777777" w:rsidR="00387142" w:rsidRPr="008B6A75" w:rsidRDefault="00387142" w:rsidP="00387142">
            <w:pPr>
              <w:jc w:val="right"/>
              <w:rPr>
                <w:sz w:val="20"/>
                <w:szCs w:val="20"/>
              </w:rPr>
            </w:pPr>
            <w:r w:rsidRPr="008B6A75">
              <w:rPr>
                <w:sz w:val="20"/>
                <w:szCs w:val="20"/>
              </w:rPr>
              <w:t>65 104 700,00</w:t>
            </w:r>
          </w:p>
        </w:tc>
      </w:tr>
      <w:tr w:rsidR="00387142" w:rsidRPr="008B6A75" w14:paraId="1957D6E3" w14:textId="77777777" w:rsidTr="00387142">
        <w:trPr>
          <w:trHeight w:val="300"/>
        </w:trPr>
        <w:tc>
          <w:tcPr>
            <w:tcW w:w="272" w:type="dxa"/>
            <w:tcBorders>
              <w:top w:val="nil"/>
              <w:left w:val="nil"/>
              <w:bottom w:val="nil"/>
              <w:right w:val="single" w:sz="4" w:space="0" w:color="auto"/>
            </w:tcBorders>
            <w:shd w:val="clear" w:color="auto" w:fill="auto"/>
            <w:noWrap/>
            <w:vAlign w:val="bottom"/>
            <w:hideMark/>
          </w:tcPr>
          <w:p w14:paraId="4D81F0D6"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0D0128C6" w14:textId="77777777" w:rsidR="00387142" w:rsidRPr="008B6A75" w:rsidRDefault="00387142" w:rsidP="00387142">
            <w:pPr>
              <w:rPr>
                <w:sz w:val="20"/>
                <w:szCs w:val="20"/>
              </w:rPr>
            </w:pPr>
            <w:r w:rsidRPr="008B6A75">
              <w:rPr>
                <w:sz w:val="20"/>
                <w:szCs w:val="20"/>
              </w:rPr>
              <w:t>Бюджетные инвестиции</w:t>
            </w:r>
          </w:p>
        </w:tc>
        <w:tc>
          <w:tcPr>
            <w:tcW w:w="1559" w:type="dxa"/>
            <w:tcBorders>
              <w:top w:val="nil"/>
              <w:left w:val="single" w:sz="4" w:space="0" w:color="auto"/>
              <w:bottom w:val="single" w:sz="4" w:space="0" w:color="auto"/>
              <w:right w:val="nil"/>
            </w:tcBorders>
            <w:shd w:val="clear" w:color="auto" w:fill="auto"/>
            <w:noWrap/>
            <w:vAlign w:val="center"/>
            <w:hideMark/>
          </w:tcPr>
          <w:p w14:paraId="0085DE0B" w14:textId="77777777" w:rsidR="00387142" w:rsidRPr="008B6A75" w:rsidRDefault="00387142" w:rsidP="00387142">
            <w:pPr>
              <w:jc w:val="center"/>
              <w:rPr>
                <w:sz w:val="20"/>
                <w:szCs w:val="20"/>
              </w:rPr>
            </w:pPr>
            <w:r w:rsidRPr="008B6A75">
              <w:rPr>
                <w:sz w:val="20"/>
                <w:szCs w:val="20"/>
              </w:rPr>
              <w:t>99.0.00.70399</w:t>
            </w:r>
          </w:p>
        </w:tc>
        <w:tc>
          <w:tcPr>
            <w:tcW w:w="850" w:type="dxa"/>
            <w:tcBorders>
              <w:top w:val="nil"/>
              <w:left w:val="single" w:sz="4" w:space="0" w:color="auto"/>
              <w:bottom w:val="single" w:sz="4" w:space="0" w:color="auto"/>
              <w:right w:val="nil"/>
            </w:tcBorders>
            <w:shd w:val="clear" w:color="auto" w:fill="auto"/>
            <w:noWrap/>
            <w:vAlign w:val="center"/>
            <w:hideMark/>
          </w:tcPr>
          <w:p w14:paraId="2AA4029F" w14:textId="77777777" w:rsidR="00387142" w:rsidRPr="008B6A75" w:rsidRDefault="00387142" w:rsidP="00387142">
            <w:pPr>
              <w:jc w:val="center"/>
              <w:rPr>
                <w:sz w:val="20"/>
                <w:szCs w:val="20"/>
              </w:rPr>
            </w:pPr>
            <w:r w:rsidRPr="008B6A75">
              <w:rPr>
                <w:sz w:val="20"/>
                <w:szCs w:val="20"/>
              </w:rPr>
              <w:t>410</w:t>
            </w:r>
          </w:p>
        </w:tc>
        <w:tc>
          <w:tcPr>
            <w:tcW w:w="567" w:type="dxa"/>
            <w:tcBorders>
              <w:top w:val="nil"/>
              <w:left w:val="single" w:sz="4" w:space="0" w:color="auto"/>
              <w:bottom w:val="single" w:sz="4" w:space="0" w:color="auto"/>
              <w:right w:val="nil"/>
            </w:tcBorders>
            <w:shd w:val="clear" w:color="auto" w:fill="auto"/>
            <w:noWrap/>
            <w:vAlign w:val="center"/>
            <w:hideMark/>
          </w:tcPr>
          <w:p w14:paraId="71055132" w14:textId="77777777" w:rsidR="00387142" w:rsidRPr="008B6A75" w:rsidRDefault="00387142" w:rsidP="00387142">
            <w:pPr>
              <w:jc w:val="center"/>
              <w:rPr>
                <w:sz w:val="20"/>
                <w:szCs w:val="20"/>
              </w:rPr>
            </w:pPr>
            <w:r w:rsidRPr="008B6A75">
              <w:rPr>
                <w:sz w:val="20"/>
                <w:szCs w:val="20"/>
              </w:rPr>
              <w:t>10</w:t>
            </w:r>
          </w:p>
        </w:tc>
        <w:tc>
          <w:tcPr>
            <w:tcW w:w="567" w:type="dxa"/>
            <w:tcBorders>
              <w:top w:val="nil"/>
              <w:left w:val="single" w:sz="4" w:space="0" w:color="auto"/>
              <w:bottom w:val="single" w:sz="4" w:space="0" w:color="auto"/>
              <w:right w:val="nil"/>
            </w:tcBorders>
            <w:shd w:val="clear" w:color="auto" w:fill="auto"/>
            <w:noWrap/>
            <w:vAlign w:val="center"/>
            <w:hideMark/>
          </w:tcPr>
          <w:p w14:paraId="7408E2C9" w14:textId="77777777" w:rsidR="00387142" w:rsidRPr="008B6A75" w:rsidRDefault="00387142" w:rsidP="00387142">
            <w:pPr>
              <w:jc w:val="center"/>
              <w:rPr>
                <w:sz w:val="20"/>
                <w:szCs w:val="20"/>
              </w:rPr>
            </w:pPr>
            <w:r w:rsidRPr="008B6A75">
              <w:rPr>
                <w:sz w:val="20"/>
                <w:szCs w:val="20"/>
              </w:rPr>
              <w:t>04</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3F125BE" w14:textId="77777777" w:rsidR="00387142" w:rsidRPr="008B6A75" w:rsidRDefault="00387142" w:rsidP="00387142">
            <w:pPr>
              <w:jc w:val="right"/>
              <w:rPr>
                <w:sz w:val="20"/>
                <w:szCs w:val="20"/>
              </w:rPr>
            </w:pPr>
            <w:r w:rsidRPr="008B6A75">
              <w:rPr>
                <w:sz w:val="20"/>
                <w:szCs w:val="20"/>
              </w:rPr>
              <w:t>85 720 700,00</w:t>
            </w:r>
          </w:p>
        </w:tc>
        <w:tc>
          <w:tcPr>
            <w:tcW w:w="851" w:type="dxa"/>
            <w:tcBorders>
              <w:top w:val="nil"/>
              <w:left w:val="single" w:sz="4" w:space="0" w:color="auto"/>
              <w:bottom w:val="single" w:sz="4" w:space="0" w:color="auto"/>
              <w:right w:val="nil"/>
            </w:tcBorders>
            <w:shd w:val="clear" w:color="auto" w:fill="auto"/>
            <w:noWrap/>
            <w:vAlign w:val="center"/>
            <w:hideMark/>
          </w:tcPr>
          <w:p w14:paraId="2541B315" w14:textId="77777777" w:rsidR="00387142" w:rsidRPr="008B6A75" w:rsidRDefault="00387142" w:rsidP="00387142">
            <w:pPr>
              <w:jc w:val="right"/>
              <w:rPr>
                <w:sz w:val="20"/>
                <w:szCs w:val="20"/>
              </w:rPr>
            </w:pPr>
            <w:r w:rsidRPr="008B6A75">
              <w:rPr>
                <w:sz w:val="20"/>
                <w:szCs w:val="20"/>
              </w:rPr>
              <w:t>101 903 100,00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647FE3ED" w14:textId="77777777" w:rsidR="00387142" w:rsidRPr="008B6A75" w:rsidRDefault="00387142" w:rsidP="00387142">
            <w:pPr>
              <w:jc w:val="right"/>
              <w:rPr>
                <w:sz w:val="20"/>
                <w:szCs w:val="20"/>
              </w:rPr>
            </w:pPr>
            <w:r w:rsidRPr="008B6A75">
              <w:rPr>
                <w:sz w:val="20"/>
                <w:szCs w:val="20"/>
              </w:rPr>
              <w:t>65 104 700,00</w:t>
            </w:r>
          </w:p>
        </w:tc>
      </w:tr>
      <w:tr w:rsidR="00387142" w:rsidRPr="008B6A75" w14:paraId="1A807B70" w14:textId="77777777" w:rsidTr="00387142">
        <w:trPr>
          <w:trHeight w:val="1440"/>
        </w:trPr>
        <w:tc>
          <w:tcPr>
            <w:tcW w:w="272" w:type="dxa"/>
            <w:tcBorders>
              <w:top w:val="nil"/>
              <w:left w:val="nil"/>
              <w:bottom w:val="nil"/>
              <w:right w:val="single" w:sz="4" w:space="0" w:color="auto"/>
            </w:tcBorders>
            <w:shd w:val="clear" w:color="auto" w:fill="auto"/>
            <w:noWrap/>
            <w:vAlign w:val="bottom"/>
            <w:hideMark/>
          </w:tcPr>
          <w:p w14:paraId="59DB897F"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5636AE78" w14:textId="77777777" w:rsidR="00387142" w:rsidRPr="008B6A75" w:rsidRDefault="00387142" w:rsidP="00387142">
            <w:pPr>
              <w:rPr>
                <w:bCs/>
                <w:sz w:val="20"/>
                <w:szCs w:val="20"/>
              </w:rPr>
            </w:pPr>
            <w:r w:rsidRPr="008B6A75">
              <w:rPr>
                <w:bCs/>
                <w:sz w:val="20"/>
                <w:szCs w:val="20"/>
              </w:rPr>
              <w:t xml:space="preserve">Реализация мероприятий по обеспечению сбалансированности местных </w:t>
            </w:r>
            <w:proofErr w:type="gramStart"/>
            <w:r w:rsidRPr="008B6A75">
              <w:rPr>
                <w:bCs/>
                <w:sz w:val="20"/>
                <w:szCs w:val="20"/>
              </w:rPr>
              <w:t>бюджетов  государственной</w:t>
            </w:r>
            <w:proofErr w:type="gramEnd"/>
            <w:r w:rsidRPr="008B6A75">
              <w:rPr>
                <w:bCs/>
                <w:sz w:val="20"/>
                <w:szCs w:val="20"/>
              </w:rPr>
              <w:t xml:space="preserve"> программы Новосибирской области "Управление  финансами в Новосибирской области"</w:t>
            </w:r>
          </w:p>
        </w:tc>
        <w:tc>
          <w:tcPr>
            <w:tcW w:w="1559" w:type="dxa"/>
            <w:tcBorders>
              <w:top w:val="nil"/>
              <w:left w:val="single" w:sz="4" w:space="0" w:color="auto"/>
              <w:bottom w:val="single" w:sz="4" w:space="0" w:color="auto"/>
              <w:right w:val="nil"/>
            </w:tcBorders>
            <w:shd w:val="clear" w:color="auto" w:fill="auto"/>
            <w:noWrap/>
            <w:vAlign w:val="center"/>
            <w:hideMark/>
          </w:tcPr>
          <w:p w14:paraId="0AD00990" w14:textId="77777777" w:rsidR="00387142" w:rsidRPr="008B6A75" w:rsidRDefault="00387142" w:rsidP="00387142">
            <w:pPr>
              <w:jc w:val="center"/>
              <w:rPr>
                <w:bCs/>
                <w:sz w:val="20"/>
                <w:szCs w:val="20"/>
              </w:rPr>
            </w:pPr>
            <w:r w:rsidRPr="008B6A75">
              <w:rPr>
                <w:bCs/>
                <w:sz w:val="20"/>
                <w:szCs w:val="20"/>
              </w:rPr>
              <w:t>99.0.00.70510</w:t>
            </w:r>
          </w:p>
        </w:tc>
        <w:tc>
          <w:tcPr>
            <w:tcW w:w="850" w:type="dxa"/>
            <w:tcBorders>
              <w:top w:val="nil"/>
              <w:left w:val="single" w:sz="4" w:space="0" w:color="auto"/>
              <w:bottom w:val="single" w:sz="4" w:space="0" w:color="auto"/>
              <w:right w:val="nil"/>
            </w:tcBorders>
            <w:shd w:val="clear" w:color="auto" w:fill="auto"/>
            <w:noWrap/>
            <w:vAlign w:val="center"/>
            <w:hideMark/>
          </w:tcPr>
          <w:p w14:paraId="6A0B963A" w14:textId="77777777" w:rsidR="00387142" w:rsidRPr="008B6A75" w:rsidRDefault="00387142" w:rsidP="00387142">
            <w:pPr>
              <w:jc w:val="center"/>
              <w:rPr>
                <w:bCs/>
                <w:sz w:val="20"/>
                <w:szCs w:val="20"/>
              </w:rPr>
            </w:pPr>
            <w:r w:rsidRPr="008B6A75">
              <w:rPr>
                <w:bCs/>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598F22C2" w14:textId="77777777" w:rsidR="00387142" w:rsidRPr="008B6A75" w:rsidRDefault="00387142" w:rsidP="00387142">
            <w:pPr>
              <w:jc w:val="center"/>
              <w:rPr>
                <w:bCs/>
                <w:sz w:val="20"/>
                <w:szCs w:val="20"/>
              </w:rPr>
            </w:pPr>
            <w:r w:rsidRPr="008B6A75">
              <w:rPr>
                <w:bCs/>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633557B2" w14:textId="77777777" w:rsidR="00387142" w:rsidRPr="008B6A75" w:rsidRDefault="00387142" w:rsidP="00387142">
            <w:pPr>
              <w:jc w:val="center"/>
              <w:rPr>
                <w:bCs/>
                <w:sz w:val="20"/>
                <w:szCs w:val="20"/>
              </w:rPr>
            </w:pPr>
            <w:r w:rsidRPr="008B6A75">
              <w:rPr>
                <w:bCs/>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0724519" w14:textId="77777777" w:rsidR="00387142" w:rsidRPr="008B6A75" w:rsidRDefault="00387142" w:rsidP="00387142">
            <w:pPr>
              <w:jc w:val="right"/>
              <w:rPr>
                <w:bCs/>
                <w:sz w:val="20"/>
                <w:szCs w:val="20"/>
              </w:rPr>
            </w:pPr>
            <w:r w:rsidRPr="008B6A75">
              <w:rPr>
                <w:bCs/>
                <w:sz w:val="20"/>
                <w:szCs w:val="20"/>
              </w:rPr>
              <w:t>155 635 346,64</w:t>
            </w:r>
          </w:p>
        </w:tc>
        <w:tc>
          <w:tcPr>
            <w:tcW w:w="851" w:type="dxa"/>
            <w:tcBorders>
              <w:top w:val="nil"/>
              <w:left w:val="single" w:sz="4" w:space="0" w:color="auto"/>
              <w:bottom w:val="single" w:sz="4" w:space="0" w:color="auto"/>
              <w:right w:val="nil"/>
            </w:tcBorders>
            <w:shd w:val="clear" w:color="auto" w:fill="auto"/>
            <w:noWrap/>
            <w:vAlign w:val="center"/>
            <w:hideMark/>
          </w:tcPr>
          <w:p w14:paraId="0AD1861C" w14:textId="77777777" w:rsidR="00387142" w:rsidRPr="008B6A75" w:rsidRDefault="00387142" w:rsidP="00387142">
            <w:pPr>
              <w:jc w:val="right"/>
              <w:rPr>
                <w:bCs/>
                <w:sz w:val="20"/>
                <w:szCs w:val="20"/>
              </w:rPr>
            </w:pPr>
            <w:r w:rsidRPr="008B6A75">
              <w:rPr>
                <w:bCs/>
                <w:sz w:val="20"/>
                <w:szCs w:val="20"/>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2312923A" w14:textId="77777777" w:rsidR="00387142" w:rsidRPr="008B6A75" w:rsidRDefault="00387142" w:rsidP="00387142">
            <w:pPr>
              <w:jc w:val="right"/>
              <w:rPr>
                <w:bCs/>
                <w:sz w:val="20"/>
                <w:szCs w:val="20"/>
              </w:rPr>
            </w:pPr>
            <w:r w:rsidRPr="008B6A75">
              <w:rPr>
                <w:bCs/>
                <w:sz w:val="20"/>
                <w:szCs w:val="20"/>
              </w:rPr>
              <w:t>0,00</w:t>
            </w:r>
          </w:p>
        </w:tc>
      </w:tr>
      <w:tr w:rsidR="00387142" w:rsidRPr="008B6A75" w14:paraId="31DF5351" w14:textId="77777777" w:rsidTr="00387142">
        <w:trPr>
          <w:trHeight w:val="1440"/>
        </w:trPr>
        <w:tc>
          <w:tcPr>
            <w:tcW w:w="272" w:type="dxa"/>
            <w:tcBorders>
              <w:top w:val="nil"/>
              <w:left w:val="nil"/>
              <w:bottom w:val="nil"/>
              <w:right w:val="single" w:sz="4" w:space="0" w:color="auto"/>
            </w:tcBorders>
            <w:shd w:val="clear" w:color="auto" w:fill="auto"/>
            <w:noWrap/>
            <w:vAlign w:val="bottom"/>
            <w:hideMark/>
          </w:tcPr>
          <w:p w14:paraId="4E0C2C49"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440BD9FD" w14:textId="77777777" w:rsidR="00387142" w:rsidRPr="008B6A75" w:rsidRDefault="00387142" w:rsidP="00387142">
            <w:pPr>
              <w:rPr>
                <w:sz w:val="20"/>
                <w:szCs w:val="20"/>
              </w:rPr>
            </w:pPr>
            <w:r w:rsidRPr="008B6A7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single" w:sz="4" w:space="0" w:color="auto"/>
              <w:bottom w:val="single" w:sz="4" w:space="0" w:color="auto"/>
              <w:right w:val="nil"/>
            </w:tcBorders>
            <w:shd w:val="clear" w:color="auto" w:fill="auto"/>
            <w:noWrap/>
            <w:vAlign w:val="center"/>
            <w:hideMark/>
          </w:tcPr>
          <w:p w14:paraId="15B6A737" w14:textId="77777777" w:rsidR="00387142" w:rsidRPr="008B6A75" w:rsidRDefault="00387142" w:rsidP="00387142">
            <w:pPr>
              <w:jc w:val="center"/>
              <w:rPr>
                <w:sz w:val="20"/>
                <w:szCs w:val="20"/>
              </w:rPr>
            </w:pPr>
            <w:r w:rsidRPr="008B6A75">
              <w:rPr>
                <w:sz w:val="20"/>
                <w:szCs w:val="20"/>
              </w:rPr>
              <w:t>99.0.00.70510</w:t>
            </w:r>
          </w:p>
        </w:tc>
        <w:tc>
          <w:tcPr>
            <w:tcW w:w="850" w:type="dxa"/>
            <w:tcBorders>
              <w:top w:val="nil"/>
              <w:left w:val="single" w:sz="4" w:space="0" w:color="auto"/>
              <w:bottom w:val="single" w:sz="4" w:space="0" w:color="auto"/>
              <w:right w:val="nil"/>
            </w:tcBorders>
            <w:shd w:val="clear" w:color="auto" w:fill="auto"/>
            <w:noWrap/>
            <w:vAlign w:val="center"/>
            <w:hideMark/>
          </w:tcPr>
          <w:p w14:paraId="1B399677" w14:textId="77777777" w:rsidR="00387142" w:rsidRPr="008B6A75" w:rsidRDefault="00387142" w:rsidP="00387142">
            <w:pPr>
              <w:jc w:val="center"/>
              <w:rPr>
                <w:sz w:val="20"/>
                <w:szCs w:val="20"/>
              </w:rPr>
            </w:pPr>
            <w:r w:rsidRPr="008B6A75">
              <w:rPr>
                <w:sz w:val="20"/>
                <w:szCs w:val="20"/>
              </w:rPr>
              <w:t>100</w:t>
            </w:r>
          </w:p>
        </w:tc>
        <w:tc>
          <w:tcPr>
            <w:tcW w:w="567" w:type="dxa"/>
            <w:tcBorders>
              <w:top w:val="nil"/>
              <w:left w:val="single" w:sz="4" w:space="0" w:color="auto"/>
              <w:bottom w:val="single" w:sz="4" w:space="0" w:color="auto"/>
              <w:right w:val="nil"/>
            </w:tcBorders>
            <w:shd w:val="clear" w:color="auto" w:fill="auto"/>
            <w:noWrap/>
            <w:vAlign w:val="center"/>
            <w:hideMark/>
          </w:tcPr>
          <w:p w14:paraId="0B4E1086" w14:textId="77777777" w:rsidR="00387142" w:rsidRPr="008B6A75" w:rsidRDefault="00387142" w:rsidP="00387142">
            <w:pPr>
              <w:jc w:val="center"/>
              <w:rPr>
                <w:sz w:val="20"/>
                <w:szCs w:val="20"/>
              </w:rPr>
            </w:pPr>
            <w:r w:rsidRPr="008B6A75">
              <w:rPr>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4CDCAE7C" w14:textId="77777777" w:rsidR="00387142" w:rsidRPr="008B6A75" w:rsidRDefault="00387142" w:rsidP="00387142">
            <w:pPr>
              <w:jc w:val="center"/>
              <w:rPr>
                <w:sz w:val="20"/>
                <w:szCs w:val="20"/>
              </w:rPr>
            </w:pPr>
            <w:r w:rsidRPr="008B6A75">
              <w:rPr>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91EA1AA" w14:textId="77777777" w:rsidR="00387142" w:rsidRPr="008B6A75" w:rsidRDefault="00387142" w:rsidP="00387142">
            <w:pPr>
              <w:jc w:val="right"/>
              <w:rPr>
                <w:sz w:val="20"/>
                <w:szCs w:val="20"/>
              </w:rPr>
            </w:pPr>
            <w:r w:rsidRPr="008B6A75">
              <w:rPr>
                <w:sz w:val="20"/>
                <w:szCs w:val="20"/>
              </w:rPr>
              <w:t>17 418 774,64</w:t>
            </w:r>
          </w:p>
        </w:tc>
        <w:tc>
          <w:tcPr>
            <w:tcW w:w="851" w:type="dxa"/>
            <w:tcBorders>
              <w:top w:val="nil"/>
              <w:left w:val="single" w:sz="4" w:space="0" w:color="auto"/>
              <w:bottom w:val="single" w:sz="4" w:space="0" w:color="auto"/>
              <w:right w:val="nil"/>
            </w:tcBorders>
            <w:shd w:val="clear" w:color="auto" w:fill="auto"/>
            <w:noWrap/>
            <w:vAlign w:val="center"/>
            <w:hideMark/>
          </w:tcPr>
          <w:p w14:paraId="372CCFB3" w14:textId="77777777" w:rsidR="00387142" w:rsidRPr="008B6A75" w:rsidRDefault="00387142" w:rsidP="00387142">
            <w:pPr>
              <w:jc w:val="right"/>
              <w:rPr>
                <w:sz w:val="20"/>
                <w:szCs w:val="20"/>
              </w:rPr>
            </w:pPr>
            <w:r w:rsidRPr="008B6A75">
              <w:rPr>
                <w:sz w:val="20"/>
                <w:szCs w:val="20"/>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4D28D0CE" w14:textId="77777777" w:rsidR="00387142" w:rsidRPr="008B6A75" w:rsidRDefault="00387142" w:rsidP="00387142">
            <w:pPr>
              <w:jc w:val="right"/>
              <w:rPr>
                <w:sz w:val="20"/>
                <w:szCs w:val="20"/>
              </w:rPr>
            </w:pPr>
            <w:r w:rsidRPr="008B6A75">
              <w:rPr>
                <w:sz w:val="20"/>
                <w:szCs w:val="20"/>
              </w:rPr>
              <w:t>0,00</w:t>
            </w:r>
          </w:p>
        </w:tc>
      </w:tr>
      <w:tr w:rsidR="00387142" w:rsidRPr="008B6A75" w14:paraId="56B3FFF1" w14:textId="77777777" w:rsidTr="00387142">
        <w:trPr>
          <w:trHeight w:val="585"/>
        </w:trPr>
        <w:tc>
          <w:tcPr>
            <w:tcW w:w="272" w:type="dxa"/>
            <w:tcBorders>
              <w:top w:val="nil"/>
              <w:left w:val="nil"/>
              <w:bottom w:val="nil"/>
              <w:right w:val="single" w:sz="4" w:space="0" w:color="auto"/>
            </w:tcBorders>
            <w:shd w:val="clear" w:color="auto" w:fill="auto"/>
            <w:noWrap/>
            <w:vAlign w:val="bottom"/>
            <w:hideMark/>
          </w:tcPr>
          <w:p w14:paraId="5F8C1427"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1BEE122F" w14:textId="77777777" w:rsidR="00387142" w:rsidRPr="008B6A75" w:rsidRDefault="00387142" w:rsidP="00387142">
            <w:pPr>
              <w:rPr>
                <w:sz w:val="20"/>
                <w:szCs w:val="20"/>
              </w:rPr>
            </w:pPr>
            <w:r w:rsidRPr="008B6A75">
              <w:rPr>
                <w:sz w:val="20"/>
                <w:szCs w:val="20"/>
              </w:rPr>
              <w:t>Расходы на выплаты персоналу казенных учреждений</w:t>
            </w:r>
          </w:p>
        </w:tc>
        <w:tc>
          <w:tcPr>
            <w:tcW w:w="1559" w:type="dxa"/>
            <w:tcBorders>
              <w:top w:val="nil"/>
              <w:left w:val="single" w:sz="4" w:space="0" w:color="auto"/>
              <w:bottom w:val="single" w:sz="4" w:space="0" w:color="auto"/>
              <w:right w:val="nil"/>
            </w:tcBorders>
            <w:shd w:val="clear" w:color="auto" w:fill="auto"/>
            <w:noWrap/>
            <w:vAlign w:val="center"/>
            <w:hideMark/>
          </w:tcPr>
          <w:p w14:paraId="173C4BC6" w14:textId="77777777" w:rsidR="00387142" w:rsidRPr="008B6A75" w:rsidRDefault="00387142" w:rsidP="00387142">
            <w:pPr>
              <w:jc w:val="center"/>
              <w:rPr>
                <w:sz w:val="20"/>
                <w:szCs w:val="20"/>
              </w:rPr>
            </w:pPr>
            <w:r w:rsidRPr="008B6A75">
              <w:rPr>
                <w:sz w:val="20"/>
                <w:szCs w:val="20"/>
              </w:rPr>
              <w:t>99.0.00.70510</w:t>
            </w:r>
          </w:p>
        </w:tc>
        <w:tc>
          <w:tcPr>
            <w:tcW w:w="850" w:type="dxa"/>
            <w:tcBorders>
              <w:top w:val="nil"/>
              <w:left w:val="single" w:sz="4" w:space="0" w:color="auto"/>
              <w:bottom w:val="single" w:sz="4" w:space="0" w:color="auto"/>
              <w:right w:val="nil"/>
            </w:tcBorders>
            <w:shd w:val="clear" w:color="auto" w:fill="auto"/>
            <w:noWrap/>
            <w:vAlign w:val="center"/>
            <w:hideMark/>
          </w:tcPr>
          <w:p w14:paraId="7F33B554" w14:textId="77777777" w:rsidR="00387142" w:rsidRPr="008B6A75" w:rsidRDefault="00387142" w:rsidP="00387142">
            <w:pPr>
              <w:jc w:val="center"/>
              <w:rPr>
                <w:sz w:val="20"/>
                <w:szCs w:val="20"/>
              </w:rPr>
            </w:pPr>
            <w:r w:rsidRPr="008B6A75">
              <w:rPr>
                <w:sz w:val="20"/>
                <w:szCs w:val="20"/>
              </w:rPr>
              <w:t>110</w:t>
            </w:r>
          </w:p>
        </w:tc>
        <w:tc>
          <w:tcPr>
            <w:tcW w:w="567" w:type="dxa"/>
            <w:tcBorders>
              <w:top w:val="nil"/>
              <w:left w:val="single" w:sz="4" w:space="0" w:color="auto"/>
              <w:bottom w:val="single" w:sz="4" w:space="0" w:color="auto"/>
              <w:right w:val="nil"/>
            </w:tcBorders>
            <w:shd w:val="clear" w:color="auto" w:fill="auto"/>
            <w:noWrap/>
            <w:vAlign w:val="center"/>
            <w:hideMark/>
          </w:tcPr>
          <w:p w14:paraId="7DC065E0" w14:textId="77777777" w:rsidR="00387142" w:rsidRPr="008B6A75" w:rsidRDefault="00387142" w:rsidP="00387142">
            <w:pPr>
              <w:jc w:val="center"/>
              <w:rPr>
                <w:sz w:val="20"/>
                <w:szCs w:val="20"/>
              </w:rPr>
            </w:pPr>
            <w:r w:rsidRPr="008B6A75">
              <w:rPr>
                <w:sz w:val="20"/>
                <w:szCs w:val="20"/>
              </w:rPr>
              <w:t>07</w:t>
            </w:r>
          </w:p>
        </w:tc>
        <w:tc>
          <w:tcPr>
            <w:tcW w:w="567" w:type="dxa"/>
            <w:tcBorders>
              <w:top w:val="nil"/>
              <w:left w:val="single" w:sz="4" w:space="0" w:color="auto"/>
              <w:bottom w:val="single" w:sz="4" w:space="0" w:color="auto"/>
              <w:right w:val="nil"/>
            </w:tcBorders>
            <w:shd w:val="clear" w:color="auto" w:fill="auto"/>
            <w:noWrap/>
            <w:vAlign w:val="center"/>
            <w:hideMark/>
          </w:tcPr>
          <w:p w14:paraId="59114712" w14:textId="77777777" w:rsidR="00387142" w:rsidRPr="008B6A75" w:rsidRDefault="00387142" w:rsidP="00387142">
            <w:pPr>
              <w:jc w:val="center"/>
              <w:rPr>
                <w:sz w:val="20"/>
                <w:szCs w:val="20"/>
              </w:rPr>
            </w:pPr>
            <w:r w:rsidRPr="008B6A75">
              <w:rPr>
                <w:sz w:val="20"/>
                <w:szCs w:val="20"/>
              </w:rPr>
              <w:t>03</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6E071C2" w14:textId="77777777" w:rsidR="00387142" w:rsidRPr="008B6A75" w:rsidRDefault="00387142" w:rsidP="00387142">
            <w:pPr>
              <w:jc w:val="right"/>
              <w:rPr>
                <w:sz w:val="20"/>
                <w:szCs w:val="20"/>
              </w:rPr>
            </w:pPr>
            <w:r w:rsidRPr="008B6A75">
              <w:rPr>
                <w:sz w:val="20"/>
                <w:szCs w:val="20"/>
              </w:rPr>
              <w:t>4 829 000,00</w:t>
            </w:r>
          </w:p>
        </w:tc>
        <w:tc>
          <w:tcPr>
            <w:tcW w:w="851" w:type="dxa"/>
            <w:tcBorders>
              <w:top w:val="nil"/>
              <w:left w:val="single" w:sz="4" w:space="0" w:color="auto"/>
              <w:bottom w:val="single" w:sz="4" w:space="0" w:color="auto"/>
              <w:right w:val="nil"/>
            </w:tcBorders>
            <w:shd w:val="clear" w:color="auto" w:fill="auto"/>
            <w:noWrap/>
            <w:vAlign w:val="center"/>
            <w:hideMark/>
          </w:tcPr>
          <w:p w14:paraId="6B78C863" w14:textId="77777777" w:rsidR="00387142" w:rsidRPr="008B6A75" w:rsidRDefault="00387142" w:rsidP="00387142">
            <w:pPr>
              <w:jc w:val="right"/>
              <w:rPr>
                <w:sz w:val="20"/>
                <w:szCs w:val="20"/>
              </w:rPr>
            </w:pPr>
            <w:r w:rsidRPr="008B6A75">
              <w:rPr>
                <w:sz w:val="20"/>
                <w:szCs w:val="20"/>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13AC5E8D" w14:textId="77777777" w:rsidR="00387142" w:rsidRPr="008B6A75" w:rsidRDefault="00387142" w:rsidP="00387142">
            <w:pPr>
              <w:jc w:val="right"/>
              <w:rPr>
                <w:sz w:val="20"/>
                <w:szCs w:val="20"/>
              </w:rPr>
            </w:pPr>
            <w:r w:rsidRPr="008B6A75">
              <w:rPr>
                <w:sz w:val="20"/>
                <w:szCs w:val="20"/>
              </w:rPr>
              <w:t>0,00</w:t>
            </w:r>
          </w:p>
        </w:tc>
      </w:tr>
      <w:tr w:rsidR="00387142" w:rsidRPr="008B6A75" w14:paraId="44352E32" w14:textId="77777777" w:rsidTr="00387142">
        <w:trPr>
          <w:trHeight w:val="585"/>
        </w:trPr>
        <w:tc>
          <w:tcPr>
            <w:tcW w:w="272" w:type="dxa"/>
            <w:tcBorders>
              <w:top w:val="nil"/>
              <w:left w:val="nil"/>
              <w:bottom w:val="nil"/>
              <w:right w:val="single" w:sz="4" w:space="0" w:color="auto"/>
            </w:tcBorders>
            <w:shd w:val="clear" w:color="auto" w:fill="auto"/>
            <w:noWrap/>
            <w:vAlign w:val="bottom"/>
            <w:hideMark/>
          </w:tcPr>
          <w:p w14:paraId="526EADA5"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7B087EC3" w14:textId="77777777" w:rsidR="00387142" w:rsidRPr="008B6A75" w:rsidRDefault="00387142" w:rsidP="00387142">
            <w:pPr>
              <w:rPr>
                <w:sz w:val="20"/>
                <w:szCs w:val="20"/>
              </w:rPr>
            </w:pPr>
            <w:r w:rsidRPr="008B6A75">
              <w:rPr>
                <w:sz w:val="20"/>
                <w:szCs w:val="20"/>
              </w:rPr>
              <w:t>Расходы на выплаты персоналу казенных учреждений</w:t>
            </w:r>
          </w:p>
        </w:tc>
        <w:tc>
          <w:tcPr>
            <w:tcW w:w="1559" w:type="dxa"/>
            <w:tcBorders>
              <w:top w:val="nil"/>
              <w:left w:val="single" w:sz="4" w:space="0" w:color="auto"/>
              <w:bottom w:val="single" w:sz="4" w:space="0" w:color="auto"/>
              <w:right w:val="nil"/>
            </w:tcBorders>
            <w:shd w:val="clear" w:color="auto" w:fill="auto"/>
            <w:noWrap/>
            <w:vAlign w:val="center"/>
            <w:hideMark/>
          </w:tcPr>
          <w:p w14:paraId="0FF3E74B" w14:textId="77777777" w:rsidR="00387142" w:rsidRPr="008B6A75" w:rsidRDefault="00387142" w:rsidP="00387142">
            <w:pPr>
              <w:jc w:val="center"/>
              <w:rPr>
                <w:sz w:val="20"/>
                <w:szCs w:val="20"/>
              </w:rPr>
            </w:pPr>
            <w:r w:rsidRPr="008B6A75">
              <w:rPr>
                <w:sz w:val="20"/>
                <w:szCs w:val="20"/>
              </w:rPr>
              <w:t>99.0.00.70510</w:t>
            </w:r>
          </w:p>
        </w:tc>
        <w:tc>
          <w:tcPr>
            <w:tcW w:w="850" w:type="dxa"/>
            <w:tcBorders>
              <w:top w:val="nil"/>
              <w:left w:val="single" w:sz="4" w:space="0" w:color="auto"/>
              <w:bottom w:val="single" w:sz="4" w:space="0" w:color="auto"/>
              <w:right w:val="nil"/>
            </w:tcBorders>
            <w:shd w:val="clear" w:color="auto" w:fill="auto"/>
            <w:noWrap/>
            <w:vAlign w:val="center"/>
            <w:hideMark/>
          </w:tcPr>
          <w:p w14:paraId="1AFCE3D1" w14:textId="77777777" w:rsidR="00387142" w:rsidRPr="008B6A75" w:rsidRDefault="00387142" w:rsidP="00387142">
            <w:pPr>
              <w:jc w:val="center"/>
              <w:rPr>
                <w:sz w:val="20"/>
                <w:szCs w:val="20"/>
              </w:rPr>
            </w:pPr>
            <w:r w:rsidRPr="008B6A75">
              <w:rPr>
                <w:sz w:val="20"/>
                <w:szCs w:val="20"/>
              </w:rPr>
              <w:t>110</w:t>
            </w:r>
          </w:p>
        </w:tc>
        <w:tc>
          <w:tcPr>
            <w:tcW w:w="567" w:type="dxa"/>
            <w:tcBorders>
              <w:top w:val="nil"/>
              <w:left w:val="single" w:sz="4" w:space="0" w:color="auto"/>
              <w:bottom w:val="single" w:sz="4" w:space="0" w:color="auto"/>
              <w:right w:val="nil"/>
            </w:tcBorders>
            <w:shd w:val="clear" w:color="auto" w:fill="auto"/>
            <w:noWrap/>
            <w:vAlign w:val="center"/>
            <w:hideMark/>
          </w:tcPr>
          <w:p w14:paraId="72BC8BE9" w14:textId="77777777" w:rsidR="00387142" w:rsidRPr="008B6A75" w:rsidRDefault="00387142" w:rsidP="00387142">
            <w:pPr>
              <w:jc w:val="center"/>
              <w:rPr>
                <w:sz w:val="20"/>
                <w:szCs w:val="20"/>
              </w:rPr>
            </w:pPr>
            <w:r w:rsidRPr="008B6A75">
              <w:rPr>
                <w:sz w:val="20"/>
                <w:szCs w:val="20"/>
              </w:rPr>
              <w:t>08</w:t>
            </w:r>
          </w:p>
        </w:tc>
        <w:tc>
          <w:tcPr>
            <w:tcW w:w="567" w:type="dxa"/>
            <w:tcBorders>
              <w:top w:val="nil"/>
              <w:left w:val="single" w:sz="4" w:space="0" w:color="auto"/>
              <w:bottom w:val="single" w:sz="4" w:space="0" w:color="auto"/>
              <w:right w:val="nil"/>
            </w:tcBorders>
            <w:shd w:val="clear" w:color="auto" w:fill="auto"/>
            <w:noWrap/>
            <w:vAlign w:val="center"/>
            <w:hideMark/>
          </w:tcPr>
          <w:p w14:paraId="46505252" w14:textId="77777777" w:rsidR="00387142" w:rsidRPr="008B6A75" w:rsidRDefault="00387142" w:rsidP="00387142">
            <w:pPr>
              <w:jc w:val="center"/>
              <w:rPr>
                <w:sz w:val="20"/>
                <w:szCs w:val="20"/>
              </w:rPr>
            </w:pPr>
            <w:r w:rsidRPr="008B6A75">
              <w:rPr>
                <w:sz w:val="20"/>
                <w:szCs w:val="20"/>
              </w:rPr>
              <w:t>01</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272E431" w14:textId="77777777" w:rsidR="00387142" w:rsidRPr="008B6A75" w:rsidRDefault="00387142" w:rsidP="00387142">
            <w:pPr>
              <w:jc w:val="right"/>
              <w:rPr>
                <w:sz w:val="20"/>
                <w:szCs w:val="20"/>
              </w:rPr>
            </w:pPr>
            <w:r w:rsidRPr="008B6A75">
              <w:rPr>
                <w:sz w:val="20"/>
                <w:szCs w:val="20"/>
              </w:rPr>
              <w:t>918 158,85</w:t>
            </w:r>
          </w:p>
        </w:tc>
        <w:tc>
          <w:tcPr>
            <w:tcW w:w="851" w:type="dxa"/>
            <w:tcBorders>
              <w:top w:val="nil"/>
              <w:left w:val="single" w:sz="4" w:space="0" w:color="auto"/>
              <w:bottom w:val="single" w:sz="4" w:space="0" w:color="auto"/>
              <w:right w:val="nil"/>
            </w:tcBorders>
            <w:shd w:val="clear" w:color="auto" w:fill="auto"/>
            <w:noWrap/>
            <w:vAlign w:val="center"/>
            <w:hideMark/>
          </w:tcPr>
          <w:p w14:paraId="5CA8DB74" w14:textId="77777777" w:rsidR="00387142" w:rsidRPr="008B6A75" w:rsidRDefault="00387142" w:rsidP="00387142">
            <w:pPr>
              <w:jc w:val="right"/>
              <w:rPr>
                <w:sz w:val="20"/>
                <w:szCs w:val="20"/>
              </w:rPr>
            </w:pPr>
            <w:r w:rsidRPr="008B6A75">
              <w:rPr>
                <w:sz w:val="20"/>
                <w:szCs w:val="20"/>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54F7DF0F" w14:textId="77777777" w:rsidR="00387142" w:rsidRPr="008B6A75" w:rsidRDefault="00387142" w:rsidP="00387142">
            <w:pPr>
              <w:jc w:val="right"/>
              <w:rPr>
                <w:sz w:val="20"/>
                <w:szCs w:val="20"/>
              </w:rPr>
            </w:pPr>
            <w:r w:rsidRPr="008B6A75">
              <w:rPr>
                <w:sz w:val="20"/>
                <w:szCs w:val="20"/>
              </w:rPr>
              <w:t>0,00</w:t>
            </w:r>
          </w:p>
        </w:tc>
      </w:tr>
      <w:tr w:rsidR="00387142" w:rsidRPr="008B6A75" w14:paraId="11C71307" w14:textId="77777777" w:rsidTr="00387142">
        <w:trPr>
          <w:trHeight w:val="585"/>
        </w:trPr>
        <w:tc>
          <w:tcPr>
            <w:tcW w:w="272" w:type="dxa"/>
            <w:tcBorders>
              <w:top w:val="nil"/>
              <w:left w:val="nil"/>
              <w:bottom w:val="nil"/>
              <w:right w:val="single" w:sz="4" w:space="0" w:color="auto"/>
            </w:tcBorders>
            <w:shd w:val="clear" w:color="auto" w:fill="auto"/>
            <w:noWrap/>
            <w:vAlign w:val="bottom"/>
            <w:hideMark/>
          </w:tcPr>
          <w:p w14:paraId="473A15A5" w14:textId="77777777" w:rsidR="00387142" w:rsidRPr="008B6A75" w:rsidRDefault="00387142" w:rsidP="00387142">
            <w:pPr>
              <w:rPr>
                <w:sz w:val="20"/>
                <w:szCs w:val="20"/>
              </w:rPr>
            </w:pPr>
            <w:r w:rsidRPr="008B6A75">
              <w:rPr>
                <w:sz w:val="20"/>
                <w:szCs w:val="20"/>
              </w:rPr>
              <w:lastRenderedPageBreak/>
              <w:t> </w:t>
            </w:r>
          </w:p>
        </w:tc>
        <w:tc>
          <w:tcPr>
            <w:tcW w:w="3415" w:type="dxa"/>
            <w:tcBorders>
              <w:top w:val="nil"/>
              <w:left w:val="single" w:sz="4" w:space="0" w:color="auto"/>
              <w:bottom w:val="single" w:sz="4" w:space="0" w:color="auto"/>
              <w:right w:val="nil"/>
            </w:tcBorders>
            <w:shd w:val="clear" w:color="auto" w:fill="auto"/>
            <w:vAlign w:val="center"/>
            <w:hideMark/>
          </w:tcPr>
          <w:p w14:paraId="1A5D40D9" w14:textId="77777777" w:rsidR="00387142" w:rsidRPr="008B6A75" w:rsidRDefault="00387142" w:rsidP="00387142">
            <w:pPr>
              <w:rPr>
                <w:sz w:val="20"/>
                <w:szCs w:val="20"/>
              </w:rPr>
            </w:pPr>
            <w:r w:rsidRPr="008B6A75">
              <w:rPr>
                <w:sz w:val="20"/>
                <w:szCs w:val="20"/>
              </w:rPr>
              <w:t>Расходы на выплаты персоналу государственных (муниципальных) органов</w:t>
            </w:r>
          </w:p>
        </w:tc>
        <w:tc>
          <w:tcPr>
            <w:tcW w:w="1559" w:type="dxa"/>
            <w:tcBorders>
              <w:top w:val="nil"/>
              <w:left w:val="single" w:sz="4" w:space="0" w:color="auto"/>
              <w:bottom w:val="single" w:sz="4" w:space="0" w:color="auto"/>
              <w:right w:val="nil"/>
            </w:tcBorders>
            <w:shd w:val="clear" w:color="auto" w:fill="auto"/>
            <w:noWrap/>
            <w:vAlign w:val="center"/>
            <w:hideMark/>
          </w:tcPr>
          <w:p w14:paraId="068D7983" w14:textId="77777777" w:rsidR="00387142" w:rsidRPr="008B6A75" w:rsidRDefault="00387142" w:rsidP="00387142">
            <w:pPr>
              <w:jc w:val="center"/>
              <w:rPr>
                <w:sz w:val="20"/>
                <w:szCs w:val="20"/>
              </w:rPr>
            </w:pPr>
            <w:r w:rsidRPr="008B6A75">
              <w:rPr>
                <w:sz w:val="20"/>
                <w:szCs w:val="20"/>
              </w:rPr>
              <w:t>99.0.00.70510</w:t>
            </w:r>
          </w:p>
        </w:tc>
        <w:tc>
          <w:tcPr>
            <w:tcW w:w="850" w:type="dxa"/>
            <w:tcBorders>
              <w:top w:val="nil"/>
              <w:left w:val="single" w:sz="4" w:space="0" w:color="auto"/>
              <w:bottom w:val="single" w:sz="4" w:space="0" w:color="auto"/>
              <w:right w:val="nil"/>
            </w:tcBorders>
            <w:shd w:val="clear" w:color="auto" w:fill="auto"/>
            <w:noWrap/>
            <w:vAlign w:val="center"/>
            <w:hideMark/>
          </w:tcPr>
          <w:p w14:paraId="7C7B3E4C" w14:textId="77777777" w:rsidR="00387142" w:rsidRPr="008B6A75" w:rsidRDefault="00387142" w:rsidP="00387142">
            <w:pPr>
              <w:jc w:val="center"/>
              <w:rPr>
                <w:sz w:val="20"/>
                <w:szCs w:val="20"/>
              </w:rPr>
            </w:pPr>
            <w:r w:rsidRPr="008B6A75">
              <w:rPr>
                <w:sz w:val="20"/>
                <w:szCs w:val="20"/>
              </w:rPr>
              <w:t>120</w:t>
            </w:r>
          </w:p>
        </w:tc>
        <w:tc>
          <w:tcPr>
            <w:tcW w:w="567" w:type="dxa"/>
            <w:tcBorders>
              <w:top w:val="nil"/>
              <w:left w:val="single" w:sz="4" w:space="0" w:color="auto"/>
              <w:bottom w:val="single" w:sz="4" w:space="0" w:color="auto"/>
              <w:right w:val="nil"/>
            </w:tcBorders>
            <w:shd w:val="clear" w:color="auto" w:fill="auto"/>
            <w:noWrap/>
            <w:vAlign w:val="center"/>
            <w:hideMark/>
          </w:tcPr>
          <w:p w14:paraId="1F11F427" w14:textId="77777777" w:rsidR="00387142" w:rsidRPr="008B6A75" w:rsidRDefault="00387142" w:rsidP="00387142">
            <w:pPr>
              <w:jc w:val="center"/>
              <w:rPr>
                <w:sz w:val="20"/>
                <w:szCs w:val="20"/>
              </w:rPr>
            </w:pPr>
            <w:r w:rsidRPr="008B6A75">
              <w:rPr>
                <w:sz w:val="20"/>
                <w:szCs w:val="20"/>
              </w:rPr>
              <w:t>01</w:t>
            </w:r>
          </w:p>
        </w:tc>
        <w:tc>
          <w:tcPr>
            <w:tcW w:w="567" w:type="dxa"/>
            <w:tcBorders>
              <w:top w:val="nil"/>
              <w:left w:val="single" w:sz="4" w:space="0" w:color="auto"/>
              <w:bottom w:val="single" w:sz="4" w:space="0" w:color="auto"/>
              <w:right w:val="nil"/>
            </w:tcBorders>
            <w:shd w:val="clear" w:color="auto" w:fill="auto"/>
            <w:noWrap/>
            <w:vAlign w:val="center"/>
            <w:hideMark/>
          </w:tcPr>
          <w:p w14:paraId="0ED05077" w14:textId="77777777" w:rsidR="00387142" w:rsidRPr="008B6A75" w:rsidRDefault="00387142" w:rsidP="00387142">
            <w:pPr>
              <w:jc w:val="center"/>
              <w:rPr>
                <w:sz w:val="20"/>
                <w:szCs w:val="20"/>
              </w:rPr>
            </w:pPr>
            <w:r w:rsidRPr="008B6A75">
              <w:rPr>
                <w:sz w:val="20"/>
                <w:szCs w:val="20"/>
              </w:rPr>
              <w:t>02</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8ABA5F7" w14:textId="77777777" w:rsidR="00387142" w:rsidRPr="008B6A75" w:rsidRDefault="00387142" w:rsidP="00387142">
            <w:pPr>
              <w:jc w:val="right"/>
              <w:rPr>
                <w:sz w:val="20"/>
                <w:szCs w:val="20"/>
              </w:rPr>
            </w:pPr>
            <w:r w:rsidRPr="008B6A75">
              <w:rPr>
                <w:sz w:val="20"/>
                <w:szCs w:val="20"/>
              </w:rPr>
              <w:t>1 078 539,25</w:t>
            </w:r>
          </w:p>
        </w:tc>
        <w:tc>
          <w:tcPr>
            <w:tcW w:w="851" w:type="dxa"/>
            <w:tcBorders>
              <w:top w:val="nil"/>
              <w:left w:val="single" w:sz="4" w:space="0" w:color="auto"/>
              <w:bottom w:val="single" w:sz="4" w:space="0" w:color="auto"/>
              <w:right w:val="nil"/>
            </w:tcBorders>
            <w:shd w:val="clear" w:color="auto" w:fill="auto"/>
            <w:noWrap/>
            <w:vAlign w:val="center"/>
            <w:hideMark/>
          </w:tcPr>
          <w:p w14:paraId="1C0AF28A" w14:textId="77777777" w:rsidR="00387142" w:rsidRPr="008B6A75" w:rsidRDefault="00387142" w:rsidP="00387142">
            <w:pPr>
              <w:jc w:val="right"/>
              <w:rPr>
                <w:sz w:val="20"/>
                <w:szCs w:val="20"/>
              </w:rPr>
            </w:pPr>
            <w:r w:rsidRPr="008B6A75">
              <w:rPr>
                <w:sz w:val="20"/>
                <w:szCs w:val="20"/>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6B074AA2" w14:textId="77777777" w:rsidR="00387142" w:rsidRPr="008B6A75" w:rsidRDefault="00387142" w:rsidP="00387142">
            <w:pPr>
              <w:jc w:val="right"/>
              <w:rPr>
                <w:sz w:val="20"/>
                <w:szCs w:val="20"/>
              </w:rPr>
            </w:pPr>
            <w:r w:rsidRPr="008B6A75">
              <w:rPr>
                <w:sz w:val="20"/>
                <w:szCs w:val="20"/>
              </w:rPr>
              <w:t>0,00</w:t>
            </w:r>
          </w:p>
        </w:tc>
      </w:tr>
      <w:tr w:rsidR="00387142" w:rsidRPr="008B6A75" w14:paraId="347F0053" w14:textId="77777777" w:rsidTr="00387142">
        <w:trPr>
          <w:trHeight w:val="585"/>
        </w:trPr>
        <w:tc>
          <w:tcPr>
            <w:tcW w:w="272" w:type="dxa"/>
            <w:tcBorders>
              <w:top w:val="nil"/>
              <w:left w:val="nil"/>
              <w:bottom w:val="nil"/>
              <w:right w:val="single" w:sz="4" w:space="0" w:color="auto"/>
            </w:tcBorders>
            <w:shd w:val="clear" w:color="auto" w:fill="auto"/>
            <w:noWrap/>
            <w:vAlign w:val="bottom"/>
            <w:hideMark/>
          </w:tcPr>
          <w:p w14:paraId="1D31B5DB"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171A62E2" w14:textId="77777777" w:rsidR="00387142" w:rsidRPr="008B6A75" w:rsidRDefault="00387142" w:rsidP="00387142">
            <w:pPr>
              <w:rPr>
                <w:sz w:val="20"/>
                <w:szCs w:val="20"/>
              </w:rPr>
            </w:pPr>
            <w:r w:rsidRPr="008B6A75">
              <w:rPr>
                <w:sz w:val="20"/>
                <w:szCs w:val="20"/>
              </w:rPr>
              <w:t>Расходы на выплаты персоналу государственных (муниципальных) органов</w:t>
            </w:r>
          </w:p>
        </w:tc>
        <w:tc>
          <w:tcPr>
            <w:tcW w:w="1559" w:type="dxa"/>
            <w:tcBorders>
              <w:top w:val="nil"/>
              <w:left w:val="single" w:sz="4" w:space="0" w:color="auto"/>
              <w:bottom w:val="single" w:sz="4" w:space="0" w:color="auto"/>
              <w:right w:val="nil"/>
            </w:tcBorders>
            <w:shd w:val="clear" w:color="auto" w:fill="auto"/>
            <w:noWrap/>
            <w:vAlign w:val="center"/>
            <w:hideMark/>
          </w:tcPr>
          <w:p w14:paraId="6A504726" w14:textId="77777777" w:rsidR="00387142" w:rsidRPr="008B6A75" w:rsidRDefault="00387142" w:rsidP="00387142">
            <w:pPr>
              <w:jc w:val="center"/>
              <w:rPr>
                <w:sz w:val="20"/>
                <w:szCs w:val="20"/>
              </w:rPr>
            </w:pPr>
            <w:r w:rsidRPr="008B6A75">
              <w:rPr>
                <w:sz w:val="20"/>
                <w:szCs w:val="20"/>
              </w:rPr>
              <w:t>99.0.00.70510</w:t>
            </w:r>
          </w:p>
        </w:tc>
        <w:tc>
          <w:tcPr>
            <w:tcW w:w="850" w:type="dxa"/>
            <w:tcBorders>
              <w:top w:val="nil"/>
              <w:left w:val="single" w:sz="4" w:space="0" w:color="auto"/>
              <w:bottom w:val="single" w:sz="4" w:space="0" w:color="auto"/>
              <w:right w:val="nil"/>
            </w:tcBorders>
            <w:shd w:val="clear" w:color="auto" w:fill="auto"/>
            <w:noWrap/>
            <w:vAlign w:val="center"/>
            <w:hideMark/>
          </w:tcPr>
          <w:p w14:paraId="24C66ED9" w14:textId="77777777" w:rsidR="00387142" w:rsidRPr="008B6A75" w:rsidRDefault="00387142" w:rsidP="00387142">
            <w:pPr>
              <w:jc w:val="center"/>
              <w:rPr>
                <w:sz w:val="20"/>
                <w:szCs w:val="20"/>
              </w:rPr>
            </w:pPr>
            <w:r w:rsidRPr="008B6A75">
              <w:rPr>
                <w:sz w:val="20"/>
                <w:szCs w:val="20"/>
              </w:rPr>
              <w:t>120</w:t>
            </w:r>
          </w:p>
        </w:tc>
        <w:tc>
          <w:tcPr>
            <w:tcW w:w="567" w:type="dxa"/>
            <w:tcBorders>
              <w:top w:val="nil"/>
              <w:left w:val="single" w:sz="4" w:space="0" w:color="auto"/>
              <w:bottom w:val="single" w:sz="4" w:space="0" w:color="auto"/>
              <w:right w:val="nil"/>
            </w:tcBorders>
            <w:shd w:val="clear" w:color="auto" w:fill="auto"/>
            <w:noWrap/>
            <w:vAlign w:val="center"/>
            <w:hideMark/>
          </w:tcPr>
          <w:p w14:paraId="6B973FD7" w14:textId="77777777" w:rsidR="00387142" w:rsidRPr="008B6A75" w:rsidRDefault="00387142" w:rsidP="00387142">
            <w:pPr>
              <w:jc w:val="center"/>
              <w:rPr>
                <w:sz w:val="20"/>
                <w:szCs w:val="20"/>
              </w:rPr>
            </w:pPr>
            <w:r w:rsidRPr="008B6A75">
              <w:rPr>
                <w:sz w:val="20"/>
                <w:szCs w:val="20"/>
              </w:rPr>
              <w:t>01</w:t>
            </w:r>
          </w:p>
        </w:tc>
        <w:tc>
          <w:tcPr>
            <w:tcW w:w="567" w:type="dxa"/>
            <w:tcBorders>
              <w:top w:val="nil"/>
              <w:left w:val="single" w:sz="4" w:space="0" w:color="auto"/>
              <w:bottom w:val="single" w:sz="4" w:space="0" w:color="auto"/>
              <w:right w:val="nil"/>
            </w:tcBorders>
            <w:shd w:val="clear" w:color="auto" w:fill="auto"/>
            <w:noWrap/>
            <w:vAlign w:val="center"/>
            <w:hideMark/>
          </w:tcPr>
          <w:p w14:paraId="2479001C" w14:textId="77777777" w:rsidR="00387142" w:rsidRPr="008B6A75" w:rsidRDefault="00387142" w:rsidP="00387142">
            <w:pPr>
              <w:jc w:val="center"/>
              <w:rPr>
                <w:sz w:val="20"/>
                <w:szCs w:val="20"/>
              </w:rPr>
            </w:pPr>
            <w:r w:rsidRPr="008B6A75">
              <w:rPr>
                <w:sz w:val="20"/>
                <w:szCs w:val="20"/>
              </w:rPr>
              <w:t>04</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1060651" w14:textId="77777777" w:rsidR="00387142" w:rsidRPr="008B6A75" w:rsidRDefault="00387142" w:rsidP="00387142">
            <w:pPr>
              <w:jc w:val="right"/>
              <w:rPr>
                <w:sz w:val="20"/>
                <w:szCs w:val="20"/>
              </w:rPr>
            </w:pPr>
            <w:r w:rsidRPr="008B6A75">
              <w:rPr>
                <w:sz w:val="20"/>
                <w:szCs w:val="20"/>
              </w:rPr>
              <w:t>10 484 548,80</w:t>
            </w:r>
          </w:p>
        </w:tc>
        <w:tc>
          <w:tcPr>
            <w:tcW w:w="851" w:type="dxa"/>
            <w:tcBorders>
              <w:top w:val="nil"/>
              <w:left w:val="single" w:sz="4" w:space="0" w:color="auto"/>
              <w:bottom w:val="single" w:sz="4" w:space="0" w:color="auto"/>
              <w:right w:val="nil"/>
            </w:tcBorders>
            <w:shd w:val="clear" w:color="auto" w:fill="auto"/>
            <w:noWrap/>
            <w:vAlign w:val="center"/>
            <w:hideMark/>
          </w:tcPr>
          <w:p w14:paraId="6F2D2A97" w14:textId="77777777" w:rsidR="00387142" w:rsidRPr="008B6A75" w:rsidRDefault="00387142" w:rsidP="00387142">
            <w:pPr>
              <w:jc w:val="right"/>
              <w:rPr>
                <w:sz w:val="20"/>
                <w:szCs w:val="20"/>
              </w:rPr>
            </w:pPr>
            <w:r w:rsidRPr="008B6A75">
              <w:rPr>
                <w:sz w:val="20"/>
                <w:szCs w:val="20"/>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32C7C28A" w14:textId="77777777" w:rsidR="00387142" w:rsidRPr="008B6A75" w:rsidRDefault="00387142" w:rsidP="00387142">
            <w:pPr>
              <w:jc w:val="right"/>
              <w:rPr>
                <w:sz w:val="20"/>
                <w:szCs w:val="20"/>
              </w:rPr>
            </w:pPr>
            <w:r w:rsidRPr="008B6A75">
              <w:rPr>
                <w:sz w:val="20"/>
                <w:szCs w:val="20"/>
              </w:rPr>
              <w:t>0,00</w:t>
            </w:r>
          </w:p>
        </w:tc>
      </w:tr>
      <w:tr w:rsidR="00387142" w:rsidRPr="008B6A75" w14:paraId="4008CED5" w14:textId="77777777" w:rsidTr="00387142">
        <w:trPr>
          <w:trHeight w:val="585"/>
        </w:trPr>
        <w:tc>
          <w:tcPr>
            <w:tcW w:w="272" w:type="dxa"/>
            <w:tcBorders>
              <w:top w:val="nil"/>
              <w:left w:val="nil"/>
              <w:bottom w:val="nil"/>
              <w:right w:val="single" w:sz="4" w:space="0" w:color="auto"/>
            </w:tcBorders>
            <w:shd w:val="clear" w:color="auto" w:fill="auto"/>
            <w:noWrap/>
            <w:vAlign w:val="bottom"/>
            <w:hideMark/>
          </w:tcPr>
          <w:p w14:paraId="073C41FA"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2DBBD4C9" w14:textId="77777777" w:rsidR="00387142" w:rsidRPr="008B6A75" w:rsidRDefault="00387142" w:rsidP="00387142">
            <w:pPr>
              <w:rPr>
                <w:sz w:val="20"/>
                <w:szCs w:val="20"/>
              </w:rPr>
            </w:pPr>
            <w:r w:rsidRPr="008B6A75">
              <w:rPr>
                <w:sz w:val="20"/>
                <w:szCs w:val="20"/>
              </w:rPr>
              <w:t>Расходы на выплаты персоналу государственных (муниципальных) органов</w:t>
            </w:r>
          </w:p>
        </w:tc>
        <w:tc>
          <w:tcPr>
            <w:tcW w:w="1559" w:type="dxa"/>
            <w:tcBorders>
              <w:top w:val="nil"/>
              <w:left w:val="single" w:sz="4" w:space="0" w:color="auto"/>
              <w:bottom w:val="single" w:sz="4" w:space="0" w:color="auto"/>
              <w:right w:val="nil"/>
            </w:tcBorders>
            <w:shd w:val="clear" w:color="auto" w:fill="auto"/>
            <w:noWrap/>
            <w:vAlign w:val="center"/>
            <w:hideMark/>
          </w:tcPr>
          <w:p w14:paraId="19DEE901" w14:textId="77777777" w:rsidR="00387142" w:rsidRPr="008B6A75" w:rsidRDefault="00387142" w:rsidP="00387142">
            <w:pPr>
              <w:jc w:val="center"/>
              <w:rPr>
                <w:sz w:val="20"/>
                <w:szCs w:val="20"/>
              </w:rPr>
            </w:pPr>
            <w:r w:rsidRPr="008B6A75">
              <w:rPr>
                <w:sz w:val="20"/>
                <w:szCs w:val="20"/>
              </w:rPr>
              <w:t>99.0.00.70510</w:t>
            </w:r>
          </w:p>
        </w:tc>
        <w:tc>
          <w:tcPr>
            <w:tcW w:w="850" w:type="dxa"/>
            <w:tcBorders>
              <w:top w:val="nil"/>
              <w:left w:val="single" w:sz="4" w:space="0" w:color="auto"/>
              <w:bottom w:val="single" w:sz="4" w:space="0" w:color="auto"/>
              <w:right w:val="nil"/>
            </w:tcBorders>
            <w:shd w:val="clear" w:color="auto" w:fill="auto"/>
            <w:noWrap/>
            <w:vAlign w:val="center"/>
            <w:hideMark/>
          </w:tcPr>
          <w:p w14:paraId="179D97DE" w14:textId="77777777" w:rsidR="00387142" w:rsidRPr="008B6A75" w:rsidRDefault="00387142" w:rsidP="00387142">
            <w:pPr>
              <w:jc w:val="center"/>
              <w:rPr>
                <w:sz w:val="20"/>
                <w:szCs w:val="20"/>
              </w:rPr>
            </w:pPr>
            <w:r w:rsidRPr="008B6A75">
              <w:rPr>
                <w:sz w:val="20"/>
                <w:szCs w:val="20"/>
              </w:rPr>
              <w:t>120</w:t>
            </w:r>
          </w:p>
        </w:tc>
        <w:tc>
          <w:tcPr>
            <w:tcW w:w="567" w:type="dxa"/>
            <w:tcBorders>
              <w:top w:val="nil"/>
              <w:left w:val="single" w:sz="4" w:space="0" w:color="auto"/>
              <w:bottom w:val="single" w:sz="4" w:space="0" w:color="auto"/>
              <w:right w:val="nil"/>
            </w:tcBorders>
            <w:shd w:val="clear" w:color="auto" w:fill="auto"/>
            <w:noWrap/>
            <w:vAlign w:val="center"/>
            <w:hideMark/>
          </w:tcPr>
          <w:p w14:paraId="13D7E496" w14:textId="77777777" w:rsidR="00387142" w:rsidRPr="008B6A75" w:rsidRDefault="00387142" w:rsidP="00387142">
            <w:pPr>
              <w:jc w:val="center"/>
              <w:rPr>
                <w:sz w:val="20"/>
                <w:szCs w:val="20"/>
              </w:rPr>
            </w:pPr>
            <w:r w:rsidRPr="008B6A75">
              <w:rPr>
                <w:sz w:val="20"/>
                <w:szCs w:val="20"/>
              </w:rPr>
              <w:t>01</w:t>
            </w:r>
          </w:p>
        </w:tc>
        <w:tc>
          <w:tcPr>
            <w:tcW w:w="567" w:type="dxa"/>
            <w:tcBorders>
              <w:top w:val="nil"/>
              <w:left w:val="single" w:sz="4" w:space="0" w:color="auto"/>
              <w:bottom w:val="single" w:sz="4" w:space="0" w:color="auto"/>
              <w:right w:val="nil"/>
            </w:tcBorders>
            <w:shd w:val="clear" w:color="auto" w:fill="auto"/>
            <w:noWrap/>
            <w:vAlign w:val="center"/>
            <w:hideMark/>
          </w:tcPr>
          <w:p w14:paraId="5C69062A" w14:textId="77777777" w:rsidR="00387142" w:rsidRPr="008B6A75" w:rsidRDefault="00387142" w:rsidP="00387142">
            <w:pPr>
              <w:jc w:val="center"/>
              <w:rPr>
                <w:sz w:val="20"/>
                <w:szCs w:val="20"/>
              </w:rPr>
            </w:pPr>
            <w:r w:rsidRPr="008B6A75">
              <w:rPr>
                <w:sz w:val="20"/>
                <w:szCs w:val="20"/>
              </w:rPr>
              <w:t>06</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41E5186" w14:textId="77777777" w:rsidR="00387142" w:rsidRPr="008B6A75" w:rsidRDefault="00387142" w:rsidP="00387142">
            <w:pPr>
              <w:jc w:val="right"/>
              <w:rPr>
                <w:sz w:val="20"/>
                <w:szCs w:val="20"/>
              </w:rPr>
            </w:pPr>
            <w:r w:rsidRPr="008B6A75">
              <w:rPr>
                <w:sz w:val="20"/>
                <w:szCs w:val="20"/>
              </w:rPr>
              <w:t>108 527,74</w:t>
            </w:r>
          </w:p>
        </w:tc>
        <w:tc>
          <w:tcPr>
            <w:tcW w:w="851" w:type="dxa"/>
            <w:tcBorders>
              <w:top w:val="nil"/>
              <w:left w:val="single" w:sz="4" w:space="0" w:color="auto"/>
              <w:bottom w:val="single" w:sz="4" w:space="0" w:color="auto"/>
              <w:right w:val="nil"/>
            </w:tcBorders>
            <w:shd w:val="clear" w:color="auto" w:fill="auto"/>
            <w:noWrap/>
            <w:vAlign w:val="center"/>
            <w:hideMark/>
          </w:tcPr>
          <w:p w14:paraId="5A2A5A78" w14:textId="77777777" w:rsidR="00387142" w:rsidRPr="008B6A75" w:rsidRDefault="00387142" w:rsidP="00387142">
            <w:pPr>
              <w:jc w:val="right"/>
              <w:rPr>
                <w:sz w:val="20"/>
                <w:szCs w:val="20"/>
              </w:rPr>
            </w:pPr>
            <w:r w:rsidRPr="008B6A75">
              <w:rPr>
                <w:sz w:val="20"/>
                <w:szCs w:val="20"/>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25DD90CD" w14:textId="77777777" w:rsidR="00387142" w:rsidRPr="008B6A75" w:rsidRDefault="00387142" w:rsidP="00387142">
            <w:pPr>
              <w:jc w:val="right"/>
              <w:rPr>
                <w:sz w:val="20"/>
                <w:szCs w:val="20"/>
              </w:rPr>
            </w:pPr>
            <w:r w:rsidRPr="008B6A75">
              <w:rPr>
                <w:sz w:val="20"/>
                <w:szCs w:val="20"/>
              </w:rPr>
              <w:t>0,00</w:t>
            </w:r>
          </w:p>
        </w:tc>
      </w:tr>
      <w:tr w:rsidR="00387142" w:rsidRPr="008B6A75" w14:paraId="05206BDB" w14:textId="77777777" w:rsidTr="00387142">
        <w:trPr>
          <w:trHeight w:val="585"/>
        </w:trPr>
        <w:tc>
          <w:tcPr>
            <w:tcW w:w="272" w:type="dxa"/>
            <w:tcBorders>
              <w:top w:val="nil"/>
              <w:left w:val="nil"/>
              <w:bottom w:val="nil"/>
              <w:right w:val="single" w:sz="4" w:space="0" w:color="auto"/>
            </w:tcBorders>
            <w:shd w:val="clear" w:color="auto" w:fill="auto"/>
            <w:noWrap/>
            <w:vAlign w:val="bottom"/>
            <w:hideMark/>
          </w:tcPr>
          <w:p w14:paraId="2CF38A5C"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160FC21E" w14:textId="77777777" w:rsidR="00387142" w:rsidRPr="008B6A75" w:rsidRDefault="00387142" w:rsidP="00387142">
            <w:pPr>
              <w:rPr>
                <w:sz w:val="20"/>
                <w:szCs w:val="20"/>
              </w:rPr>
            </w:pPr>
            <w:r w:rsidRPr="008B6A75">
              <w:rPr>
                <w:sz w:val="20"/>
                <w:szCs w:val="20"/>
              </w:rPr>
              <w:t>Закупка товаров, работ и услуг для обеспечения государственных (муниципальных) нужд</w:t>
            </w:r>
          </w:p>
        </w:tc>
        <w:tc>
          <w:tcPr>
            <w:tcW w:w="1559" w:type="dxa"/>
            <w:tcBorders>
              <w:top w:val="nil"/>
              <w:left w:val="single" w:sz="4" w:space="0" w:color="auto"/>
              <w:bottom w:val="single" w:sz="4" w:space="0" w:color="auto"/>
              <w:right w:val="nil"/>
            </w:tcBorders>
            <w:shd w:val="clear" w:color="auto" w:fill="auto"/>
            <w:noWrap/>
            <w:vAlign w:val="center"/>
            <w:hideMark/>
          </w:tcPr>
          <w:p w14:paraId="7596B271" w14:textId="77777777" w:rsidR="00387142" w:rsidRPr="008B6A75" w:rsidRDefault="00387142" w:rsidP="00387142">
            <w:pPr>
              <w:jc w:val="center"/>
              <w:rPr>
                <w:sz w:val="20"/>
                <w:szCs w:val="20"/>
              </w:rPr>
            </w:pPr>
            <w:r w:rsidRPr="008B6A75">
              <w:rPr>
                <w:sz w:val="20"/>
                <w:szCs w:val="20"/>
              </w:rPr>
              <w:t>99.0.00.70510</w:t>
            </w:r>
          </w:p>
        </w:tc>
        <w:tc>
          <w:tcPr>
            <w:tcW w:w="850" w:type="dxa"/>
            <w:tcBorders>
              <w:top w:val="nil"/>
              <w:left w:val="single" w:sz="4" w:space="0" w:color="auto"/>
              <w:bottom w:val="single" w:sz="4" w:space="0" w:color="auto"/>
              <w:right w:val="nil"/>
            </w:tcBorders>
            <w:shd w:val="clear" w:color="auto" w:fill="auto"/>
            <w:noWrap/>
            <w:vAlign w:val="center"/>
            <w:hideMark/>
          </w:tcPr>
          <w:p w14:paraId="31488613" w14:textId="77777777" w:rsidR="00387142" w:rsidRPr="008B6A75" w:rsidRDefault="00387142" w:rsidP="00387142">
            <w:pPr>
              <w:jc w:val="center"/>
              <w:rPr>
                <w:sz w:val="20"/>
                <w:szCs w:val="20"/>
              </w:rPr>
            </w:pPr>
            <w:r w:rsidRPr="008B6A75">
              <w:rPr>
                <w:sz w:val="20"/>
                <w:szCs w:val="20"/>
              </w:rPr>
              <w:t>200</w:t>
            </w:r>
          </w:p>
        </w:tc>
        <w:tc>
          <w:tcPr>
            <w:tcW w:w="567" w:type="dxa"/>
            <w:tcBorders>
              <w:top w:val="nil"/>
              <w:left w:val="single" w:sz="4" w:space="0" w:color="auto"/>
              <w:bottom w:val="single" w:sz="4" w:space="0" w:color="auto"/>
              <w:right w:val="nil"/>
            </w:tcBorders>
            <w:shd w:val="clear" w:color="auto" w:fill="auto"/>
            <w:noWrap/>
            <w:vAlign w:val="center"/>
            <w:hideMark/>
          </w:tcPr>
          <w:p w14:paraId="464C4578" w14:textId="77777777" w:rsidR="00387142" w:rsidRPr="008B6A75" w:rsidRDefault="00387142" w:rsidP="00387142">
            <w:pPr>
              <w:jc w:val="center"/>
              <w:rPr>
                <w:sz w:val="20"/>
                <w:szCs w:val="20"/>
              </w:rPr>
            </w:pPr>
            <w:r w:rsidRPr="008B6A75">
              <w:rPr>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7711D9C4" w14:textId="77777777" w:rsidR="00387142" w:rsidRPr="008B6A75" w:rsidRDefault="00387142" w:rsidP="00387142">
            <w:pPr>
              <w:jc w:val="center"/>
              <w:rPr>
                <w:sz w:val="20"/>
                <w:szCs w:val="20"/>
              </w:rPr>
            </w:pPr>
            <w:r w:rsidRPr="008B6A75">
              <w:rPr>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2DC37DB" w14:textId="77777777" w:rsidR="00387142" w:rsidRPr="008B6A75" w:rsidRDefault="00387142" w:rsidP="00387142">
            <w:pPr>
              <w:jc w:val="right"/>
              <w:rPr>
                <w:sz w:val="20"/>
                <w:szCs w:val="20"/>
              </w:rPr>
            </w:pPr>
            <w:r w:rsidRPr="008B6A75">
              <w:rPr>
                <w:sz w:val="20"/>
                <w:szCs w:val="20"/>
              </w:rPr>
              <w:t>1 864 200,00</w:t>
            </w:r>
          </w:p>
        </w:tc>
        <w:tc>
          <w:tcPr>
            <w:tcW w:w="851" w:type="dxa"/>
            <w:tcBorders>
              <w:top w:val="nil"/>
              <w:left w:val="single" w:sz="4" w:space="0" w:color="auto"/>
              <w:bottom w:val="single" w:sz="4" w:space="0" w:color="auto"/>
              <w:right w:val="nil"/>
            </w:tcBorders>
            <w:shd w:val="clear" w:color="auto" w:fill="auto"/>
            <w:noWrap/>
            <w:vAlign w:val="center"/>
            <w:hideMark/>
          </w:tcPr>
          <w:p w14:paraId="55578594" w14:textId="77777777" w:rsidR="00387142" w:rsidRPr="008B6A75" w:rsidRDefault="00387142" w:rsidP="00387142">
            <w:pPr>
              <w:jc w:val="right"/>
              <w:rPr>
                <w:sz w:val="20"/>
                <w:szCs w:val="20"/>
              </w:rPr>
            </w:pPr>
            <w:r w:rsidRPr="008B6A75">
              <w:rPr>
                <w:sz w:val="20"/>
                <w:szCs w:val="20"/>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19AC6160" w14:textId="77777777" w:rsidR="00387142" w:rsidRPr="008B6A75" w:rsidRDefault="00387142" w:rsidP="00387142">
            <w:pPr>
              <w:jc w:val="right"/>
              <w:rPr>
                <w:sz w:val="20"/>
                <w:szCs w:val="20"/>
              </w:rPr>
            </w:pPr>
            <w:r w:rsidRPr="008B6A75">
              <w:rPr>
                <w:sz w:val="20"/>
                <w:szCs w:val="20"/>
              </w:rPr>
              <w:t>0,00</w:t>
            </w:r>
          </w:p>
        </w:tc>
      </w:tr>
      <w:tr w:rsidR="00387142" w:rsidRPr="008B6A75" w14:paraId="0C0A99D6" w14:textId="77777777" w:rsidTr="00387142">
        <w:trPr>
          <w:trHeight w:val="870"/>
        </w:trPr>
        <w:tc>
          <w:tcPr>
            <w:tcW w:w="272" w:type="dxa"/>
            <w:tcBorders>
              <w:top w:val="nil"/>
              <w:left w:val="nil"/>
              <w:bottom w:val="nil"/>
              <w:right w:val="single" w:sz="4" w:space="0" w:color="auto"/>
            </w:tcBorders>
            <w:shd w:val="clear" w:color="auto" w:fill="auto"/>
            <w:noWrap/>
            <w:vAlign w:val="bottom"/>
            <w:hideMark/>
          </w:tcPr>
          <w:p w14:paraId="47D66B14"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07D6B2CA" w14:textId="77777777" w:rsidR="00387142" w:rsidRPr="008B6A75" w:rsidRDefault="00387142" w:rsidP="00387142">
            <w:pPr>
              <w:rPr>
                <w:sz w:val="20"/>
                <w:szCs w:val="20"/>
              </w:rPr>
            </w:pPr>
            <w:r w:rsidRPr="008B6A75">
              <w:rPr>
                <w:sz w:val="20"/>
                <w:szCs w:val="20"/>
              </w:rPr>
              <w:t>Иные закупки товаров, работ и услуг для обеспечения государственных (муниципальных) нужд</w:t>
            </w:r>
          </w:p>
        </w:tc>
        <w:tc>
          <w:tcPr>
            <w:tcW w:w="1559" w:type="dxa"/>
            <w:tcBorders>
              <w:top w:val="nil"/>
              <w:left w:val="single" w:sz="4" w:space="0" w:color="auto"/>
              <w:bottom w:val="single" w:sz="4" w:space="0" w:color="auto"/>
              <w:right w:val="nil"/>
            </w:tcBorders>
            <w:shd w:val="clear" w:color="auto" w:fill="auto"/>
            <w:noWrap/>
            <w:vAlign w:val="center"/>
            <w:hideMark/>
          </w:tcPr>
          <w:p w14:paraId="52959EA9" w14:textId="77777777" w:rsidR="00387142" w:rsidRPr="008B6A75" w:rsidRDefault="00387142" w:rsidP="00387142">
            <w:pPr>
              <w:jc w:val="center"/>
              <w:rPr>
                <w:sz w:val="20"/>
                <w:szCs w:val="20"/>
              </w:rPr>
            </w:pPr>
            <w:r w:rsidRPr="008B6A75">
              <w:rPr>
                <w:sz w:val="20"/>
                <w:szCs w:val="20"/>
              </w:rPr>
              <w:t>99.0.00.70510</w:t>
            </w:r>
          </w:p>
        </w:tc>
        <w:tc>
          <w:tcPr>
            <w:tcW w:w="850" w:type="dxa"/>
            <w:tcBorders>
              <w:top w:val="nil"/>
              <w:left w:val="single" w:sz="4" w:space="0" w:color="auto"/>
              <w:bottom w:val="single" w:sz="4" w:space="0" w:color="auto"/>
              <w:right w:val="nil"/>
            </w:tcBorders>
            <w:shd w:val="clear" w:color="auto" w:fill="auto"/>
            <w:noWrap/>
            <w:vAlign w:val="center"/>
            <w:hideMark/>
          </w:tcPr>
          <w:p w14:paraId="50F4AAD6" w14:textId="77777777" w:rsidR="00387142" w:rsidRPr="008B6A75" w:rsidRDefault="00387142" w:rsidP="00387142">
            <w:pPr>
              <w:jc w:val="center"/>
              <w:rPr>
                <w:sz w:val="20"/>
                <w:szCs w:val="20"/>
              </w:rPr>
            </w:pPr>
            <w:r w:rsidRPr="008B6A75">
              <w:rPr>
                <w:sz w:val="20"/>
                <w:szCs w:val="20"/>
              </w:rPr>
              <w:t>240</w:t>
            </w:r>
          </w:p>
        </w:tc>
        <w:tc>
          <w:tcPr>
            <w:tcW w:w="567" w:type="dxa"/>
            <w:tcBorders>
              <w:top w:val="nil"/>
              <w:left w:val="single" w:sz="4" w:space="0" w:color="auto"/>
              <w:bottom w:val="single" w:sz="4" w:space="0" w:color="auto"/>
              <w:right w:val="nil"/>
            </w:tcBorders>
            <w:shd w:val="clear" w:color="auto" w:fill="auto"/>
            <w:noWrap/>
            <w:vAlign w:val="center"/>
            <w:hideMark/>
          </w:tcPr>
          <w:p w14:paraId="554AADBB" w14:textId="77777777" w:rsidR="00387142" w:rsidRPr="008B6A75" w:rsidRDefault="00387142" w:rsidP="00387142">
            <w:pPr>
              <w:jc w:val="center"/>
              <w:rPr>
                <w:sz w:val="20"/>
                <w:szCs w:val="20"/>
              </w:rPr>
            </w:pPr>
            <w:r w:rsidRPr="008B6A75">
              <w:rPr>
                <w:sz w:val="20"/>
                <w:szCs w:val="20"/>
              </w:rPr>
              <w:t>01</w:t>
            </w:r>
          </w:p>
        </w:tc>
        <w:tc>
          <w:tcPr>
            <w:tcW w:w="567" w:type="dxa"/>
            <w:tcBorders>
              <w:top w:val="nil"/>
              <w:left w:val="single" w:sz="4" w:space="0" w:color="auto"/>
              <w:bottom w:val="single" w:sz="4" w:space="0" w:color="auto"/>
              <w:right w:val="nil"/>
            </w:tcBorders>
            <w:shd w:val="clear" w:color="auto" w:fill="auto"/>
            <w:noWrap/>
            <w:vAlign w:val="center"/>
            <w:hideMark/>
          </w:tcPr>
          <w:p w14:paraId="2CF7BE8B" w14:textId="77777777" w:rsidR="00387142" w:rsidRPr="008B6A75" w:rsidRDefault="00387142" w:rsidP="00387142">
            <w:pPr>
              <w:jc w:val="center"/>
              <w:rPr>
                <w:sz w:val="20"/>
                <w:szCs w:val="20"/>
              </w:rPr>
            </w:pPr>
            <w:r w:rsidRPr="008B6A75">
              <w:rPr>
                <w:sz w:val="20"/>
                <w:szCs w:val="20"/>
              </w:rPr>
              <w:t>13</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755ABA5" w14:textId="77777777" w:rsidR="00387142" w:rsidRPr="008B6A75" w:rsidRDefault="00387142" w:rsidP="00387142">
            <w:pPr>
              <w:jc w:val="right"/>
              <w:rPr>
                <w:sz w:val="20"/>
                <w:szCs w:val="20"/>
              </w:rPr>
            </w:pPr>
            <w:r w:rsidRPr="008B6A75">
              <w:rPr>
                <w:sz w:val="20"/>
                <w:szCs w:val="20"/>
              </w:rPr>
              <w:t>1 864 200,00</w:t>
            </w:r>
          </w:p>
        </w:tc>
        <w:tc>
          <w:tcPr>
            <w:tcW w:w="851" w:type="dxa"/>
            <w:tcBorders>
              <w:top w:val="nil"/>
              <w:left w:val="single" w:sz="4" w:space="0" w:color="auto"/>
              <w:bottom w:val="single" w:sz="4" w:space="0" w:color="auto"/>
              <w:right w:val="nil"/>
            </w:tcBorders>
            <w:shd w:val="clear" w:color="auto" w:fill="auto"/>
            <w:noWrap/>
            <w:vAlign w:val="center"/>
            <w:hideMark/>
          </w:tcPr>
          <w:p w14:paraId="6CA6A7EA" w14:textId="77777777" w:rsidR="00387142" w:rsidRPr="008B6A75" w:rsidRDefault="00387142" w:rsidP="00387142">
            <w:pPr>
              <w:jc w:val="right"/>
              <w:rPr>
                <w:sz w:val="20"/>
                <w:szCs w:val="20"/>
              </w:rPr>
            </w:pPr>
            <w:r w:rsidRPr="008B6A75">
              <w:rPr>
                <w:sz w:val="20"/>
                <w:szCs w:val="20"/>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5084A714" w14:textId="77777777" w:rsidR="00387142" w:rsidRPr="008B6A75" w:rsidRDefault="00387142" w:rsidP="00387142">
            <w:pPr>
              <w:jc w:val="right"/>
              <w:rPr>
                <w:sz w:val="20"/>
                <w:szCs w:val="20"/>
              </w:rPr>
            </w:pPr>
            <w:r w:rsidRPr="008B6A75">
              <w:rPr>
                <w:sz w:val="20"/>
                <w:szCs w:val="20"/>
              </w:rPr>
              <w:t>0,00</w:t>
            </w:r>
          </w:p>
        </w:tc>
      </w:tr>
      <w:tr w:rsidR="00387142" w:rsidRPr="008B6A75" w14:paraId="4A1BA258" w14:textId="77777777" w:rsidTr="00387142">
        <w:trPr>
          <w:trHeight w:val="300"/>
        </w:trPr>
        <w:tc>
          <w:tcPr>
            <w:tcW w:w="272" w:type="dxa"/>
            <w:tcBorders>
              <w:top w:val="nil"/>
              <w:left w:val="nil"/>
              <w:bottom w:val="nil"/>
              <w:right w:val="single" w:sz="4" w:space="0" w:color="auto"/>
            </w:tcBorders>
            <w:shd w:val="clear" w:color="auto" w:fill="auto"/>
            <w:noWrap/>
            <w:vAlign w:val="bottom"/>
            <w:hideMark/>
          </w:tcPr>
          <w:p w14:paraId="0DBC6BFB"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1087295E" w14:textId="77777777" w:rsidR="00387142" w:rsidRPr="008B6A75" w:rsidRDefault="00387142" w:rsidP="00387142">
            <w:pPr>
              <w:rPr>
                <w:sz w:val="20"/>
                <w:szCs w:val="20"/>
              </w:rPr>
            </w:pPr>
            <w:r w:rsidRPr="008B6A75">
              <w:rPr>
                <w:sz w:val="20"/>
                <w:szCs w:val="20"/>
              </w:rPr>
              <w:t>Межбюджетные трансферты</w:t>
            </w:r>
          </w:p>
        </w:tc>
        <w:tc>
          <w:tcPr>
            <w:tcW w:w="1559" w:type="dxa"/>
            <w:tcBorders>
              <w:top w:val="nil"/>
              <w:left w:val="single" w:sz="4" w:space="0" w:color="auto"/>
              <w:bottom w:val="single" w:sz="4" w:space="0" w:color="auto"/>
              <w:right w:val="nil"/>
            </w:tcBorders>
            <w:shd w:val="clear" w:color="auto" w:fill="auto"/>
            <w:noWrap/>
            <w:vAlign w:val="center"/>
            <w:hideMark/>
          </w:tcPr>
          <w:p w14:paraId="2C4AC2EE" w14:textId="77777777" w:rsidR="00387142" w:rsidRPr="008B6A75" w:rsidRDefault="00387142" w:rsidP="00387142">
            <w:pPr>
              <w:jc w:val="center"/>
              <w:rPr>
                <w:sz w:val="20"/>
                <w:szCs w:val="20"/>
              </w:rPr>
            </w:pPr>
            <w:r w:rsidRPr="008B6A75">
              <w:rPr>
                <w:sz w:val="20"/>
                <w:szCs w:val="20"/>
              </w:rPr>
              <w:t>99.0.00.70510</w:t>
            </w:r>
          </w:p>
        </w:tc>
        <w:tc>
          <w:tcPr>
            <w:tcW w:w="850" w:type="dxa"/>
            <w:tcBorders>
              <w:top w:val="nil"/>
              <w:left w:val="single" w:sz="4" w:space="0" w:color="auto"/>
              <w:bottom w:val="single" w:sz="4" w:space="0" w:color="auto"/>
              <w:right w:val="nil"/>
            </w:tcBorders>
            <w:shd w:val="clear" w:color="auto" w:fill="auto"/>
            <w:noWrap/>
            <w:vAlign w:val="center"/>
            <w:hideMark/>
          </w:tcPr>
          <w:p w14:paraId="4B24FEC0" w14:textId="77777777" w:rsidR="00387142" w:rsidRPr="008B6A75" w:rsidRDefault="00387142" w:rsidP="00387142">
            <w:pPr>
              <w:jc w:val="center"/>
              <w:rPr>
                <w:sz w:val="20"/>
                <w:szCs w:val="20"/>
              </w:rPr>
            </w:pPr>
            <w:r w:rsidRPr="008B6A75">
              <w:rPr>
                <w:sz w:val="20"/>
                <w:szCs w:val="20"/>
              </w:rPr>
              <w:t>500</w:t>
            </w:r>
          </w:p>
        </w:tc>
        <w:tc>
          <w:tcPr>
            <w:tcW w:w="567" w:type="dxa"/>
            <w:tcBorders>
              <w:top w:val="nil"/>
              <w:left w:val="single" w:sz="4" w:space="0" w:color="auto"/>
              <w:bottom w:val="single" w:sz="4" w:space="0" w:color="auto"/>
              <w:right w:val="nil"/>
            </w:tcBorders>
            <w:shd w:val="clear" w:color="auto" w:fill="auto"/>
            <w:noWrap/>
            <w:vAlign w:val="center"/>
            <w:hideMark/>
          </w:tcPr>
          <w:p w14:paraId="654DE0DE" w14:textId="77777777" w:rsidR="00387142" w:rsidRPr="008B6A75" w:rsidRDefault="00387142" w:rsidP="00387142">
            <w:pPr>
              <w:jc w:val="center"/>
              <w:rPr>
                <w:sz w:val="20"/>
                <w:szCs w:val="20"/>
              </w:rPr>
            </w:pPr>
            <w:r w:rsidRPr="008B6A75">
              <w:rPr>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77B88BAC" w14:textId="77777777" w:rsidR="00387142" w:rsidRPr="008B6A75" w:rsidRDefault="00387142" w:rsidP="00387142">
            <w:pPr>
              <w:jc w:val="center"/>
              <w:rPr>
                <w:sz w:val="20"/>
                <w:szCs w:val="20"/>
              </w:rPr>
            </w:pPr>
            <w:r w:rsidRPr="008B6A75">
              <w:rPr>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DD33C51" w14:textId="77777777" w:rsidR="00387142" w:rsidRPr="008B6A75" w:rsidRDefault="00387142" w:rsidP="00387142">
            <w:pPr>
              <w:jc w:val="right"/>
              <w:rPr>
                <w:sz w:val="20"/>
                <w:szCs w:val="20"/>
              </w:rPr>
            </w:pPr>
            <w:r w:rsidRPr="008B6A75">
              <w:rPr>
                <w:sz w:val="20"/>
                <w:szCs w:val="20"/>
              </w:rPr>
              <w:t>136 052 372,00</w:t>
            </w:r>
          </w:p>
        </w:tc>
        <w:tc>
          <w:tcPr>
            <w:tcW w:w="851" w:type="dxa"/>
            <w:tcBorders>
              <w:top w:val="nil"/>
              <w:left w:val="single" w:sz="4" w:space="0" w:color="auto"/>
              <w:bottom w:val="single" w:sz="4" w:space="0" w:color="auto"/>
              <w:right w:val="nil"/>
            </w:tcBorders>
            <w:shd w:val="clear" w:color="auto" w:fill="auto"/>
            <w:noWrap/>
            <w:vAlign w:val="center"/>
            <w:hideMark/>
          </w:tcPr>
          <w:p w14:paraId="2BBDF2ED" w14:textId="77777777" w:rsidR="00387142" w:rsidRPr="008B6A75" w:rsidRDefault="00387142" w:rsidP="00387142">
            <w:pPr>
              <w:jc w:val="right"/>
              <w:rPr>
                <w:sz w:val="20"/>
                <w:szCs w:val="20"/>
              </w:rPr>
            </w:pPr>
            <w:r w:rsidRPr="008B6A75">
              <w:rPr>
                <w:sz w:val="20"/>
                <w:szCs w:val="20"/>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311D3F8C" w14:textId="77777777" w:rsidR="00387142" w:rsidRPr="008B6A75" w:rsidRDefault="00387142" w:rsidP="00387142">
            <w:pPr>
              <w:jc w:val="right"/>
              <w:rPr>
                <w:sz w:val="20"/>
                <w:szCs w:val="20"/>
              </w:rPr>
            </w:pPr>
            <w:r w:rsidRPr="008B6A75">
              <w:rPr>
                <w:sz w:val="20"/>
                <w:szCs w:val="20"/>
              </w:rPr>
              <w:t>0,00</w:t>
            </w:r>
          </w:p>
        </w:tc>
      </w:tr>
      <w:tr w:rsidR="00387142" w:rsidRPr="008B6A75" w14:paraId="7B222CBE" w14:textId="77777777" w:rsidTr="00387142">
        <w:trPr>
          <w:trHeight w:val="300"/>
        </w:trPr>
        <w:tc>
          <w:tcPr>
            <w:tcW w:w="272" w:type="dxa"/>
            <w:tcBorders>
              <w:top w:val="nil"/>
              <w:left w:val="nil"/>
              <w:bottom w:val="nil"/>
              <w:right w:val="single" w:sz="4" w:space="0" w:color="auto"/>
            </w:tcBorders>
            <w:shd w:val="clear" w:color="auto" w:fill="auto"/>
            <w:noWrap/>
            <w:vAlign w:val="bottom"/>
            <w:hideMark/>
          </w:tcPr>
          <w:p w14:paraId="212FE48F"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45600C94" w14:textId="77777777" w:rsidR="00387142" w:rsidRPr="008B6A75" w:rsidRDefault="00387142" w:rsidP="00387142">
            <w:pPr>
              <w:rPr>
                <w:sz w:val="20"/>
                <w:szCs w:val="20"/>
              </w:rPr>
            </w:pPr>
            <w:r w:rsidRPr="008B6A75">
              <w:rPr>
                <w:sz w:val="20"/>
                <w:szCs w:val="20"/>
              </w:rPr>
              <w:t>Дотации</w:t>
            </w:r>
          </w:p>
        </w:tc>
        <w:tc>
          <w:tcPr>
            <w:tcW w:w="1559" w:type="dxa"/>
            <w:tcBorders>
              <w:top w:val="nil"/>
              <w:left w:val="single" w:sz="4" w:space="0" w:color="auto"/>
              <w:bottom w:val="single" w:sz="4" w:space="0" w:color="auto"/>
              <w:right w:val="nil"/>
            </w:tcBorders>
            <w:shd w:val="clear" w:color="auto" w:fill="auto"/>
            <w:noWrap/>
            <w:vAlign w:val="center"/>
            <w:hideMark/>
          </w:tcPr>
          <w:p w14:paraId="10CF6050" w14:textId="77777777" w:rsidR="00387142" w:rsidRPr="008B6A75" w:rsidRDefault="00387142" w:rsidP="00387142">
            <w:pPr>
              <w:jc w:val="center"/>
              <w:rPr>
                <w:sz w:val="20"/>
                <w:szCs w:val="20"/>
              </w:rPr>
            </w:pPr>
            <w:r w:rsidRPr="008B6A75">
              <w:rPr>
                <w:sz w:val="20"/>
                <w:szCs w:val="20"/>
              </w:rPr>
              <w:t>99.0.00.70510</w:t>
            </w:r>
          </w:p>
        </w:tc>
        <w:tc>
          <w:tcPr>
            <w:tcW w:w="850" w:type="dxa"/>
            <w:tcBorders>
              <w:top w:val="nil"/>
              <w:left w:val="single" w:sz="4" w:space="0" w:color="auto"/>
              <w:bottom w:val="single" w:sz="4" w:space="0" w:color="auto"/>
              <w:right w:val="nil"/>
            </w:tcBorders>
            <w:shd w:val="clear" w:color="auto" w:fill="auto"/>
            <w:noWrap/>
            <w:vAlign w:val="center"/>
            <w:hideMark/>
          </w:tcPr>
          <w:p w14:paraId="7EAE88AB" w14:textId="77777777" w:rsidR="00387142" w:rsidRPr="008B6A75" w:rsidRDefault="00387142" w:rsidP="00387142">
            <w:pPr>
              <w:jc w:val="center"/>
              <w:rPr>
                <w:sz w:val="20"/>
                <w:szCs w:val="20"/>
              </w:rPr>
            </w:pPr>
            <w:r w:rsidRPr="008B6A75">
              <w:rPr>
                <w:sz w:val="20"/>
                <w:szCs w:val="20"/>
              </w:rPr>
              <w:t>510</w:t>
            </w:r>
          </w:p>
        </w:tc>
        <w:tc>
          <w:tcPr>
            <w:tcW w:w="567" w:type="dxa"/>
            <w:tcBorders>
              <w:top w:val="nil"/>
              <w:left w:val="single" w:sz="4" w:space="0" w:color="auto"/>
              <w:bottom w:val="single" w:sz="4" w:space="0" w:color="auto"/>
              <w:right w:val="nil"/>
            </w:tcBorders>
            <w:shd w:val="clear" w:color="auto" w:fill="auto"/>
            <w:noWrap/>
            <w:vAlign w:val="center"/>
            <w:hideMark/>
          </w:tcPr>
          <w:p w14:paraId="08BDFD63" w14:textId="77777777" w:rsidR="00387142" w:rsidRPr="008B6A75" w:rsidRDefault="00387142" w:rsidP="00387142">
            <w:pPr>
              <w:jc w:val="center"/>
              <w:rPr>
                <w:sz w:val="20"/>
                <w:szCs w:val="20"/>
              </w:rPr>
            </w:pPr>
            <w:r w:rsidRPr="008B6A75">
              <w:rPr>
                <w:sz w:val="20"/>
                <w:szCs w:val="20"/>
              </w:rPr>
              <w:t>14</w:t>
            </w:r>
          </w:p>
        </w:tc>
        <w:tc>
          <w:tcPr>
            <w:tcW w:w="567" w:type="dxa"/>
            <w:tcBorders>
              <w:top w:val="nil"/>
              <w:left w:val="single" w:sz="4" w:space="0" w:color="auto"/>
              <w:bottom w:val="single" w:sz="4" w:space="0" w:color="auto"/>
              <w:right w:val="nil"/>
            </w:tcBorders>
            <w:shd w:val="clear" w:color="auto" w:fill="auto"/>
            <w:noWrap/>
            <w:vAlign w:val="center"/>
            <w:hideMark/>
          </w:tcPr>
          <w:p w14:paraId="7BAE7CC7" w14:textId="77777777" w:rsidR="00387142" w:rsidRPr="008B6A75" w:rsidRDefault="00387142" w:rsidP="00387142">
            <w:pPr>
              <w:jc w:val="center"/>
              <w:rPr>
                <w:sz w:val="20"/>
                <w:szCs w:val="20"/>
              </w:rPr>
            </w:pPr>
            <w:r w:rsidRPr="008B6A75">
              <w:rPr>
                <w:sz w:val="20"/>
                <w:szCs w:val="20"/>
              </w:rPr>
              <w:t>01</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FF5D8E0" w14:textId="77777777" w:rsidR="00387142" w:rsidRPr="008B6A75" w:rsidRDefault="00387142" w:rsidP="00387142">
            <w:pPr>
              <w:jc w:val="right"/>
              <w:rPr>
                <w:sz w:val="20"/>
                <w:szCs w:val="20"/>
              </w:rPr>
            </w:pPr>
            <w:r w:rsidRPr="008B6A75">
              <w:rPr>
                <w:sz w:val="20"/>
                <w:szCs w:val="20"/>
              </w:rPr>
              <w:t>48 483 500,00</w:t>
            </w:r>
          </w:p>
        </w:tc>
        <w:tc>
          <w:tcPr>
            <w:tcW w:w="851" w:type="dxa"/>
            <w:tcBorders>
              <w:top w:val="nil"/>
              <w:left w:val="single" w:sz="4" w:space="0" w:color="auto"/>
              <w:bottom w:val="single" w:sz="4" w:space="0" w:color="auto"/>
              <w:right w:val="nil"/>
            </w:tcBorders>
            <w:shd w:val="clear" w:color="auto" w:fill="auto"/>
            <w:noWrap/>
            <w:vAlign w:val="center"/>
            <w:hideMark/>
          </w:tcPr>
          <w:p w14:paraId="458DE982" w14:textId="77777777" w:rsidR="00387142" w:rsidRPr="008B6A75" w:rsidRDefault="00387142" w:rsidP="00387142">
            <w:pPr>
              <w:jc w:val="right"/>
              <w:rPr>
                <w:sz w:val="20"/>
                <w:szCs w:val="20"/>
              </w:rPr>
            </w:pPr>
            <w:r w:rsidRPr="008B6A75">
              <w:rPr>
                <w:sz w:val="20"/>
                <w:szCs w:val="20"/>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7043FBDC" w14:textId="77777777" w:rsidR="00387142" w:rsidRPr="008B6A75" w:rsidRDefault="00387142" w:rsidP="00387142">
            <w:pPr>
              <w:jc w:val="right"/>
              <w:rPr>
                <w:sz w:val="20"/>
                <w:szCs w:val="20"/>
              </w:rPr>
            </w:pPr>
            <w:r w:rsidRPr="008B6A75">
              <w:rPr>
                <w:sz w:val="20"/>
                <w:szCs w:val="20"/>
              </w:rPr>
              <w:t>0,00</w:t>
            </w:r>
          </w:p>
        </w:tc>
      </w:tr>
      <w:tr w:rsidR="00387142" w:rsidRPr="008B6A75" w14:paraId="7694F5F7" w14:textId="77777777" w:rsidTr="00387142">
        <w:trPr>
          <w:trHeight w:val="300"/>
        </w:trPr>
        <w:tc>
          <w:tcPr>
            <w:tcW w:w="272" w:type="dxa"/>
            <w:tcBorders>
              <w:top w:val="nil"/>
              <w:left w:val="nil"/>
              <w:bottom w:val="nil"/>
              <w:right w:val="single" w:sz="4" w:space="0" w:color="auto"/>
            </w:tcBorders>
            <w:shd w:val="clear" w:color="auto" w:fill="auto"/>
            <w:noWrap/>
            <w:vAlign w:val="bottom"/>
            <w:hideMark/>
          </w:tcPr>
          <w:p w14:paraId="691B5EBF"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5A0EAA9D" w14:textId="77777777" w:rsidR="00387142" w:rsidRPr="008B6A75" w:rsidRDefault="00387142" w:rsidP="00387142">
            <w:pPr>
              <w:rPr>
                <w:sz w:val="20"/>
                <w:szCs w:val="20"/>
              </w:rPr>
            </w:pPr>
            <w:r w:rsidRPr="008B6A75">
              <w:rPr>
                <w:sz w:val="20"/>
                <w:szCs w:val="20"/>
              </w:rPr>
              <w:t>Иные межбюджетные трансферты</w:t>
            </w:r>
          </w:p>
        </w:tc>
        <w:tc>
          <w:tcPr>
            <w:tcW w:w="1559" w:type="dxa"/>
            <w:tcBorders>
              <w:top w:val="nil"/>
              <w:left w:val="single" w:sz="4" w:space="0" w:color="auto"/>
              <w:bottom w:val="single" w:sz="4" w:space="0" w:color="auto"/>
              <w:right w:val="nil"/>
            </w:tcBorders>
            <w:shd w:val="clear" w:color="auto" w:fill="auto"/>
            <w:noWrap/>
            <w:vAlign w:val="center"/>
            <w:hideMark/>
          </w:tcPr>
          <w:p w14:paraId="7FB43215" w14:textId="77777777" w:rsidR="00387142" w:rsidRPr="008B6A75" w:rsidRDefault="00387142" w:rsidP="00387142">
            <w:pPr>
              <w:jc w:val="center"/>
              <w:rPr>
                <w:sz w:val="20"/>
                <w:szCs w:val="20"/>
              </w:rPr>
            </w:pPr>
            <w:r w:rsidRPr="008B6A75">
              <w:rPr>
                <w:sz w:val="20"/>
                <w:szCs w:val="20"/>
              </w:rPr>
              <w:t>99.0.00.70510</w:t>
            </w:r>
          </w:p>
        </w:tc>
        <w:tc>
          <w:tcPr>
            <w:tcW w:w="850" w:type="dxa"/>
            <w:tcBorders>
              <w:top w:val="nil"/>
              <w:left w:val="single" w:sz="4" w:space="0" w:color="auto"/>
              <w:bottom w:val="single" w:sz="4" w:space="0" w:color="auto"/>
              <w:right w:val="nil"/>
            </w:tcBorders>
            <w:shd w:val="clear" w:color="auto" w:fill="auto"/>
            <w:noWrap/>
            <w:vAlign w:val="center"/>
            <w:hideMark/>
          </w:tcPr>
          <w:p w14:paraId="3EF242CB" w14:textId="77777777" w:rsidR="00387142" w:rsidRPr="008B6A75" w:rsidRDefault="00387142" w:rsidP="00387142">
            <w:pPr>
              <w:jc w:val="center"/>
              <w:rPr>
                <w:sz w:val="20"/>
                <w:szCs w:val="20"/>
              </w:rPr>
            </w:pPr>
            <w:r w:rsidRPr="008B6A75">
              <w:rPr>
                <w:sz w:val="20"/>
                <w:szCs w:val="20"/>
              </w:rPr>
              <w:t>540</w:t>
            </w:r>
          </w:p>
        </w:tc>
        <w:tc>
          <w:tcPr>
            <w:tcW w:w="567" w:type="dxa"/>
            <w:tcBorders>
              <w:top w:val="nil"/>
              <w:left w:val="single" w:sz="4" w:space="0" w:color="auto"/>
              <w:bottom w:val="single" w:sz="4" w:space="0" w:color="auto"/>
              <w:right w:val="nil"/>
            </w:tcBorders>
            <w:shd w:val="clear" w:color="auto" w:fill="auto"/>
            <w:noWrap/>
            <w:vAlign w:val="center"/>
            <w:hideMark/>
          </w:tcPr>
          <w:p w14:paraId="6EF946A0" w14:textId="77777777" w:rsidR="00387142" w:rsidRPr="008B6A75" w:rsidRDefault="00387142" w:rsidP="00387142">
            <w:pPr>
              <w:jc w:val="center"/>
              <w:rPr>
                <w:sz w:val="20"/>
                <w:szCs w:val="20"/>
              </w:rPr>
            </w:pPr>
            <w:r w:rsidRPr="008B6A75">
              <w:rPr>
                <w:sz w:val="20"/>
                <w:szCs w:val="20"/>
              </w:rPr>
              <w:t>14</w:t>
            </w:r>
          </w:p>
        </w:tc>
        <w:tc>
          <w:tcPr>
            <w:tcW w:w="567" w:type="dxa"/>
            <w:tcBorders>
              <w:top w:val="nil"/>
              <w:left w:val="single" w:sz="4" w:space="0" w:color="auto"/>
              <w:bottom w:val="single" w:sz="4" w:space="0" w:color="auto"/>
              <w:right w:val="nil"/>
            </w:tcBorders>
            <w:shd w:val="clear" w:color="auto" w:fill="auto"/>
            <w:noWrap/>
            <w:vAlign w:val="center"/>
            <w:hideMark/>
          </w:tcPr>
          <w:p w14:paraId="6C176301" w14:textId="77777777" w:rsidR="00387142" w:rsidRPr="008B6A75" w:rsidRDefault="00387142" w:rsidP="00387142">
            <w:pPr>
              <w:jc w:val="center"/>
              <w:rPr>
                <w:sz w:val="20"/>
                <w:szCs w:val="20"/>
              </w:rPr>
            </w:pPr>
            <w:r w:rsidRPr="008B6A75">
              <w:rPr>
                <w:sz w:val="20"/>
                <w:szCs w:val="20"/>
              </w:rPr>
              <w:t>03</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83E195E" w14:textId="77777777" w:rsidR="00387142" w:rsidRPr="008B6A75" w:rsidRDefault="00387142" w:rsidP="00387142">
            <w:pPr>
              <w:jc w:val="right"/>
              <w:rPr>
                <w:sz w:val="20"/>
                <w:szCs w:val="20"/>
              </w:rPr>
            </w:pPr>
            <w:r w:rsidRPr="008B6A75">
              <w:rPr>
                <w:sz w:val="20"/>
                <w:szCs w:val="20"/>
              </w:rPr>
              <w:t>87 568 872,00</w:t>
            </w:r>
          </w:p>
        </w:tc>
        <w:tc>
          <w:tcPr>
            <w:tcW w:w="851" w:type="dxa"/>
            <w:tcBorders>
              <w:top w:val="nil"/>
              <w:left w:val="single" w:sz="4" w:space="0" w:color="auto"/>
              <w:bottom w:val="single" w:sz="4" w:space="0" w:color="auto"/>
              <w:right w:val="nil"/>
            </w:tcBorders>
            <w:shd w:val="clear" w:color="auto" w:fill="auto"/>
            <w:noWrap/>
            <w:vAlign w:val="center"/>
            <w:hideMark/>
          </w:tcPr>
          <w:p w14:paraId="61601CAA" w14:textId="77777777" w:rsidR="00387142" w:rsidRPr="008B6A75" w:rsidRDefault="00387142" w:rsidP="00387142">
            <w:pPr>
              <w:jc w:val="right"/>
              <w:rPr>
                <w:sz w:val="20"/>
                <w:szCs w:val="20"/>
              </w:rPr>
            </w:pPr>
            <w:r w:rsidRPr="008B6A75">
              <w:rPr>
                <w:sz w:val="20"/>
                <w:szCs w:val="20"/>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3F3886B7" w14:textId="77777777" w:rsidR="00387142" w:rsidRPr="008B6A75" w:rsidRDefault="00387142" w:rsidP="00387142">
            <w:pPr>
              <w:jc w:val="right"/>
              <w:rPr>
                <w:sz w:val="20"/>
                <w:szCs w:val="20"/>
              </w:rPr>
            </w:pPr>
            <w:r w:rsidRPr="008B6A75">
              <w:rPr>
                <w:sz w:val="20"/>
                <w:szCs w:val="20"/>
              </w:rPr>
              <w:t>0,00</w:t>
            </w:r>
          </w:p>
        </w:tc>
      </w:tr>
      <w:tr w:rsidR="00387142" w:rsidRPr="008B6A75" w14:paraId="70BEFC9A" w14:textId="77777777" w:rsidTr="00387142">
        <w:trPr>
          <w:trHeight w:val="870"/>
        </w:trPr>
        <w:tc>
          <w:tcPr>
            <w:tcW w:w="272" w:type="dxa"/>
            <w:tcBorders>
              <w:top w:val="nil"/>
              <w:left w:val="nil"/>
              <w:bottom w:val="nil"/>
              <w:right w:val="single" w:sz="4" w:space="0" w:color="auto"/>
            </w:tcBorders>
            <w:shd w:val="clear" w:color="auto" w:fill="auto"/>
            <w:noWrap/>
            <w:vAlign w:val="bottom"/>
            <w:hideMark/>
          </w:tcPr>
          <w:p w14:paraId="4BACFC9E"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466404DA" w14:textId="77777777" w:rsidR="00387142" w:rsidRPr="008B6A75" w:rsidRDefault="00387142" w:rsidP="00387142">
            <w:pPr>
              <w:rPr>
                <w:sz w:val="20"/>
                <w:szCs w:val="20"/>
              </w:rPr>
            </w:pPr>
            <w:r w:rsidRPr="008B6A75">
              <w:rPr>
                <w:sz w:val="20"/>
                <w:szCs w:val="20"/>
              </w:rPr>
              <w:t>Предоставление субсидий бюджетным, автономным учреждениям и иным некоммерческим организациям</w:t>
            </w:r>
          </w:p>
        </w:tc>
        <w:tc>
          <w:tcPr>
            <w:tcW w:w="1559" w:type="dxa"/>
            <w:tcBorders>
              <w:top w:val="nil"/>
              <w:left w:val="single" w:sz="4" w:space="0" w:color="auto"/>
              <w:bottom w:val="single" w:sz="4" w:space="0" w:color="auto"/>
              <w:right w:val="nil"/>
            </w:tcBorders>
            <w:shd w:val="clear" w:color="auto" w:fill="auto"/>
            <w:noWrap/>
            <w:vAlign w:val="center"/>
            <w:hideMark/>
          </w:tcPr>
          <w:p w14:paraId="061AF5AB" w14:textId="77777777" w:rsidR="00387142" w:rsidRPr="008B6A75" w:rsidRDefault="00387142" w:rsidP="00387142">
            <w:pPr>
              <w:jc w:val="center"/>
              <w:rPr>
                <w:sz w:val="20"/>
                <w:szCs w:val="20"/>
              </w:rPr>
            </w:pPr>
            <w:r w:rsidRPr="008B6A75">
              <w:rPr>
                <w:sz w:val="20"/>
                <w:szCs w:val="20"/>
              </w:rPr>
              <w:t>99.0.00.70510</w:t>
            </w:r>
          </w:p>
        </w:tc>
        <w:tc>
          <w:tcPr>
            <w:tcW w:w="850" w:type="dxa"/>
            <w:tcBorders>
              <w:top w:val="nil"/>
              <w:left w:val="single" w:sz="4" w:space="0" w:color="auto"/>
              <w:bottom w:val="single" w:sz="4" w:space="0" w:color="auto"/>
              <w:right w:val="nil"/>
            </w:tcBorders>
            <w:shd w:val="clear" w:color="auto" w:fill="auto"/>
            <w:noWrap/>
            <w:vAlign w:val="center"/>
            <w:hideMark/>
          </w:tcPr>
          <w:p w14:paraId="534F45C3" w14:textId="77777777" w:rsidR="00387142" w:rsidRPr="008B6A75" w:rsidRDefault="00387142" w:rsidP="00387142">
            <w:pPr>
              <w:jc w:val="center"/>
              <w:rPr>
                <w:sz w:val="20"/>
                <w:szCs w:val="20"/>
              </w:rPr>
            </w:pPr>
            <w:r w:rsidRPr="008B6A75">
              <w:rPr>
                <w:sz w:val="20"/>
                <w:szCs w:val="20"/>
              </w:rPr>
              <w:t>600</w:t>
            </w:r>
          </w:p>
        </w:tc>
        <w:tc>
          <w:tcPr>
            <w:tcW w:w="567" w:type="dxa"/>
            <w:tcBorders>
              <w:top w:val="nil"/>
              <w:left w:val="single" w:sz="4" w:space="0" w:color="auto"/>
              <w:bottom w:val="single" w:sz="4" w:space="0" w:color="auto"/>
              <w:right w:val="nil"/>
            </w:tcBorders>
            <w:shd w:val="clear" w:color="auto" w:fill="auto"/>
            <w:noWrap/>
            <w:vAlign w:val="center"/>
            <w:hideMark/>
          </w:tcPr>
          <w:p w14:paraId="23341CDD" w14:textId="77777777" w:rsidR="00387142" w:rsidRPr="008B6A75" w:rsidRDefault="00387142" w:rsidP="00387142">
            <w:pPr>
              <w:jc w:val="center"/>
              <w:rPr>
                <w:sz w:val="20"/>
                <w:szCs w:val="20"/>
              </w:rPr>
            </w:pPr>
            <w:r w:rsidRPr="008B6A75">
              <w:rPr>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214407A7" w14:textId="77777777" w:rsidR="00387142" w:rsidRPr="008B6A75" w:rsidRDefault="00387142" w:rsidP="00387142">
            <w:pPr>
              <w:jc w:val="center"/>
              <w:rPr>
                <w:sz w:val="20"/>
                <w:szCs w:val="20"/>
              </w:rPr>
            </w:pPr>
            <w:r w:rsidRPr="008B6A75">
              <w:rPr>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9E66271" w14:textId="77777777" w:rsidR="00387142" w:rsidRPr="008B6A75" w:rsidRDefault="00387142" w:rsidP="00387142">
            <w:pPr>
              <w:jc w:val="right"/>
              <w:rPr>
                <w:sz w:val="20"/>
                <w:szCs w:val="20"/>
              </w:rPr>
            </w:pPr>
            <w:r w:rsidRPr="008B6A75">
              <w:rPr>
                <w:sz w:val="20"/>
                <w:szCs w:val="20"/>
              </w:rPr>
              <w:t>300 000,00</w:t>
            </w:r>
          </w:p>
        </w:tc>
        <w:tc>
          <w:tcPr>
            <w:tcW w:w="851" w:type="dxa"/>
            <w:tcBorders>
              <w:top w:val="nil"/>
              <w:left w:val="single" w:sz="4" w:space="0" w:color="auto"/>
              <w:bottom w:val="single" w:sz="4" w:space="0" w:color="auto"/>
              <w:right w:val="nil"/>
            </w:tcBorders>
            <w:shd w:val="clear" w:color="auto" w:fill="auto"/>
            <w:noWrap/>
            <w:vAlign w:val="center"/>
            <w:hideMark/>
          </w:tcPr>
          <w:p w14:paraId="265B5B8C" w14:textId="77777777" w:rsidR="00387142" w:rsidRPr="008B6A75" w:rsidRDefault="00387142" w:rsidP="00387142">
            <w:pPr>
              <w:jc w:val="right"/>
              <w:rPr>
                <w:sz w:val="20"/>
                <w:szCs w:val="20"/>
              </w:rPr>
            </w:pPr>
            <w:r w:rsidRPr="008B6A75">
              <w:rPr>
                <w:sz w:val="20"/>
                <w:szCs w:val="20"/>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19D3E32D" w14:textId="77777777" w:rsidR="00387142" w:rsidRPr="008B6A75" w:rsidRDefault="00387142" w:rsidP="00387142">
            <w:pPr>
              <w:jc w:val="right"/>
              <w:rPr>
                <w:sz w:val="20"/>
                <w:szCs w:val="20"/>
              </w:rPr>
            </w:pPr>
            <w:r w:rsidRPr="008B6A75">
              <w:rPr>
                <w:sz w:val="20"/>
                <w:szCs w:val="20"/>
              </w:rPr>
              <w:t>0,00</w:t>
            </w:r>
          </w:p>
        </w:tc>
      </w:tr>
      <w:tr w:rsidR="00387142" w:rsidRPr="008B6A75" w14:paraId="0532F7E1" w14:textId="77777777" w:rsidTr="00387142">
        <w:trPr>
          <w:trHeight w:val="300"/>
        </w:trPr>
        <w:tc>
          <w:tcPr>
            <w:tcW w:w="272" w:type="dxa"/>
            <w:tcBorders>
              <w:top w:val="nil"/>
              <w:left w:val="nil"/>
              <w:bottom w:val="nil"/>
              <w:right w:val="single" w:sz="4" w:space="0" w:color="auto"/>
            </w:tcBorders>
            <w:shd w:val="clear" w:color="auto" w:fill="auto"/>
            <w:noWrap/>
            <w:vAlign w:val="bottom"/>
            <w:hideMark/>
          </w:tcPr>
          <w:p w14:paraId="69ED962E"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5AA754D3" w14:textId="77777777" w:rsidR="00387142" w:rsidRPr="008B6A75" w:rsidRDefault="00387142" w:rsidP="00387142">
            <w:pPr>
              <w:rPr>
                <w:sz w:val="20"/>
                <w:szCs w:val="20"/>
              </w:rPr>
            </w:pPr>
            <w:r w:rsidRPr="008B6A75">
              <w:rPr>
                <w:sz w:val="20"/>
                <w:szCs w:val="20"/>
              </w:rPr>
              <w:t>Субсидии бюджетным учреждениям</w:t>
            </w:r>
          </w:p>
        </w:tc>
        <w:tc>
          <w:tcPr>
            <w:tcW w:w="1559" w:type="dxa"/>
            <w:tcBorders>
              <w:top w:val="nil"/>
              <w:left w:val="single" w:sz="4" w:space="0" w:color="auto"/>
              <w:bottom w:val="single" w:sz="4" w:space="0" w:color="auto"/>
              <w:right w:val="nil"/>
            </w:tcBorders>
            <w:shd w:val="clear" w:color="auto" w:fill="auto"/>
            <w:noWrap/>
            <w:vAlign w:val="center"/>
            <w:hideMark/>
          </w:tcPr>
          <w:p w14:paraId="606E14FE" w14:textId="77777777" w:rsidR="00387142" w:rsidRPr="008B6A75" w:rsidRDefault="00387142" w:rsidP="00387142">
            <w:pPr>
              <w:jc w:val="center"/>
              <w:rPr>
                <w:sz w:val="20"/>
                <w:szCs w:val="20"/>
              </w:rPr>
            </w:pPr>
            <w:r w:rsidRPr="008B6A75">
              <w:rPr>
                <w:sz w:val="20"/>
                <w:szCs w:val="20"/>
              </w:rPr>
              <w:t>99.0.00.70510</w:t>
            </w:r>
          </w:p>
        </w:tc>
        <w:tc>
          <w:tcPr>
            <w:tcW w:w="850" w:type="dxa"/>
            <w:tcBorders>
              <w:top w:val="nil"/>
              <w:left w:val="single" w:sz="4" w:space="0" w:color="auto"/>
              <w:bottom w:val="single" w:sz="4" w:space="0" w:color="auto"/>
              <w:right w:val="nil"/>
            </w:tcBorders>
            <w:shd w:val="clear" w:color="auto" w:fill="auto"/>
            <w:noWrap/>
            <w:vAlign w:val="center"/>
            <w:hideMark/>
          </w:tcPr>
          <w:p w14:paraId="7A283527" w14:textId="77777777" w:rsidR="00387142" w:rsidRPr="008B6A75" w:rsidRDefault="00387142" w:rsidP="00387142">
            <w:pPr>
              <w:jc w:val="center"/>
              <w:rPr>
                <w:sz w:val="20"/>
                <w:szCs w:val="20"/>
              </w:rPr>
            </w:pPr>
            <w:r w:rsidRPr="008B6A75">
              <w:rPr>
                <w:sz w:val="20"/>
                <w:szCs w:val="20"/>
              </w:rPr>
              <w:t>610</w:t>
            </w:r>
          </w:p>
        </w:tc>
        <w:tc>
          <w:tcPr>
            <w:tcW w:w="567" w:type="dxa"/>
            <w:tcBorders>
              <w:top w:val="nil"/>
              <w:left w:val="single" w:sz="4" w:space="0" w:color="auto"/>
              <w:bottom w:val="single" w:sz="4" w:space="0" w:color="auto"/>
              <w:right w:val="nil"/>
            </w:tcBorders>
            <w:shd w:val="clear" w:color="auto" w:fill="auto"/>
            <w:noWrap/>
            <w:vAlign w:val="center"/>
            <w:hideMark/>
          </w:tcPr>
          <w:p w14:paraId="738C140C" w14:textId="77777777" w:rsidR="00387142" w:rsidRPr="008B6A75" w:rsidRDefault="00387142" w:rsidP="00387142">
            <w:pPr>
              <w:jc w:val="center"/>
              <w:rPr>
                <w:sz w:val="20"/>
                <w:szCs w:val="20"/>
              </w:rPr>
            </w:pPr>
            <w:r w:rsidRPr="008B6A75">
              <w:rPr>
                <w:sz w:val="20"/>
                <w:szCs w:val="20"/>
              </w:rPr>
              <w:t>07</w:t>
            </w:r>
          </w:p>
        </w:tc>
        <w:tc>
          <w:tcPr>
            <w:tcW w:w="567" w:type="dxa"/>
            <w:tcBorders>
              <w:top w:val="nil"/>
              <w:left w:val="single" w:sz="4" w:space="0" w:color="auto"/>
              <w:bottom w:val="single" w:sz="4" w:space="0" w:color="auto"/>
              <w:right w:val="nil"/>
            </w:tcBorders>
            <w:shd w:val="clear" w:color="auto" w:fill="auto"/>
            <w:noWrap/>
            <w:vAlign w:val="center"/>
            <w:hideMark/>
          </w:tcPr>
          <w:p w14:paraId="5FEA0C5D" w14:textId="77777777" w:rsidR="00387142" w:rsidRPr="008B6A75" w:rsidRDefault="00387142" w:rsidP="00387142">
            <w:pPr>
              <w:jc w:val="center"/>
              <w:rPr>
                <w:sz w:val="20"/>
                <w:szCs w:val="20"/>
              </w:rPr>
            </w:pPr>
            <w:r w:rsidRPr="008B6A75">
              <w:rPr>
                <w:sz w:val="20"/>
                <w:szCs w:val="20"/>
              </w:rPr>
              <w:t>02</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0E93D4E" w14:textId="77777777" w:rsidR="00387142" w:rsidRPr="008B6A75" w:rsidRDefault="00387142" w:rsidP="00387142">
            <w:pPr>
              <w:jc w:val="right"/>
              <w:rPr>
                <w:sz w:val="20"/>
                <w:szCs w:val="20"/>
              </w:rPr>
            </w:pPr>
            <w:r w:rsidRPr="008B6A75">
              <w:rPr>
                <w:sz w:val="20"/>
                <w:szCs w:val="20"/>
              </w:rPr>
              <w:t>300 000,00</w:t>
            </w:r>
          </w:p>
        </w:tc>
        <w:tc>
          <w:tcPr>
            <w:tcW w:w="851" w:type="dxa"/>
            <w:tcBorders>
              <w:top w:val="nil"/>
              <w:left w:val="single" w:sz="4" w:space="0" w:color="auto"/>
              <w:bottom w:val="single" w:sz="4" w:space="0" w:color="auto"/>
              <w:right w:val="nil"/>
            </w:tcBorders>
            <w:shd w:val="clear" w:color="auto" w:fill="auto"/>
            <w:noWrap/>
            <w:vAlign w:val="center"/>
            <w:hideMark/>
          </w:tcPr>
          <w:p w14:paraId="7EE193ED" w14:textId="77777777" w:rsidR="00387142" w:rsidRPr="008B6A75" w:rsidRDefault="00387142" w:rsidP="00387142">
            <w:pPr>
              <w:jc w:val="right"/>
              <w:rPr>
                <w:sz w:val="20"/>
                <w:szCs w:val="20"/>
              </w:rPr>
            </w:pPr>
            <w:r w:rsidRPr="008B6A75">
              <w:rPr>
                <w:sz w:val="20"/>
                <w:szCs w:val="20"/>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2EF4ECF3" w14:textId="77777777" w:rsidR="00387142" w:rsidRPr="008B6A75" w:rsidRDefault="00387142" w:rsidP="00387142">
            <w:pPr>
              <w:jc w:val="right"/>
              <w:rPr>
                <w:sz w:val="20"/>
                <w:szCs w:val="20"/>
              </w:rPr>
            </w:pPr>
            <w:r w:rsidRPr="008B6A75">
              <w:rPr>
                <w:sz w:val="20"/>
                <w:szCs w:val="20"/>
              </w:rPr>
              <w:t>0,00</w:t>
            </w:r>
          </w:p>
        </w:tc>
      </w:tr>
      <w:tr w:rsidR="00387142" w:rsidRPr="008B6A75" w14:paraId="136A9278" w14:textId="77777777" w:rsidTr="00387142">
        <w:trPr>
          <w:trHeight w:val="1440"/>
        </w:trPr>
        <w:tc>
          <w:tcPr>
            <w:tcW w:w="272" w:type="dxa"/>
            <w:tcBorders>
              <w:top w:val="nil"/>
              <w:left w:val="nil"/>
              <w:bottom w:val="nil"/>
              <w:right w:val="single" w:sz="4" w:space="0" w:color="auto"/>
            </w:tcBorders>
            <w:shd w:val="clear" w:color="auto" w:fill="auto"/>
            <w:noWrap/>
            <w:vAlign w:val="bottom"/>
            <w:hideMark/>
          </w:tcPr>
          <w:p w14:paraId="0F5C1ECD"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5C164A74" w14:textId="77777777" w:rsidR="00387142" w:rsidRPr="008B6A75" w:rsidRDefault="00387142" w:rsidP="00387142">
            <w:pPr>
              <w:rPr>
                <w:bCs/>
                <w:sz w:val="20"/>
                <w:szCs w:val="20"/>
              </w:rPr>
            </w:pPr>
            <w:r w:rsidRPr="008B6A75">
              <w:rPr>
                <w:bCs/>
                <w:sz w:val="20"/>
                <w:szCs w:val="20"/>
              </w:rPr>
              <w:t xml:space="preserve">Оплата труда председателя представительного органа местного самоуправления в </w:t>
            </w:r>
            <w:proofErr w:type="gramStart"/>
            <w:r w:rsidRPr="008B6A75">
              <w:rPr>
                <w:bCs/>
                <w:sz w:val="20"/>
                <w:szCs w:val="20"/>
              </w:rPr>
              <w:t>рамках  государственной</w:t>
            </w:r>
            <w:proofErr w:type="gramEnd"/>
            <w:r w:rsidRPr="008B6A75">
              <w:rPr>
                <w:bCs/>
                <w:sz w:val="20"/>
                <w:szCs w:val="20"/>
              </w:rPr>
              <w:t xml:space="preserve"> программы Новосибирской области "Управление  финансами в Новосибирской области"</w:t>
            </w:r>
          </w:p>
        </w:tc>
        <w:tc>
          <w:tcPr>
            <w:tcW w:w="1559" w:type="dxa"/>
            <w:tcBorders>
              <w:top w:val="nil"/>
              <w:left w:val="single" w:sz="4" w:space="0" w:color="auto"/>
              <w:bottom w:val="single" w:sz="4" w:space="0" w:color="auto"/>
              <w:right w:val="nil"/>
            </w:tcBorders>
            <w:shd w:val="clear" w:color="auto" w:fill="auto"/>
            <w:noWrap/>
            <w:vAlign w:val="center"/>
            <w:hideMark/>
          </w:tcPr>
          <w:p w14:paraId="5E3335E1" w14:textId="77777777" w:rsidR="00387142" w:rsidRPr="008B6A75" w:rsidRDefault="00387142" w:rsidP="00387142">
            <w:pPr>
              <w:jc w:val="center"/>
              <w:rPr>
                <w:bCs/>
                <w:sz w:val="20"/>
                <w:szCs w:val="20"/>
              </w:rPr>
            </w:pPr>
            <w:r w:rsidRPr="008B6A75">
              <w:rPr>
                <w:bCs/>
                <w:sz w:val="20"/>
                <w:szCs w:val="20"/>
              </w:rPr>
              <w:t>99.0.00.70512</w:t>
            </w:r>
          </w:p>
        </w:tc>
        <w:tc>
          <w:tcPr>
            <w:tcW w:w="850" w:type="dxa"/>
            <w:tcBorders>
              <w:top w:val="nil"/>
              <w:left w:val="single" w:sz="4" w:space="0" w:color="auto"/>
              <w:bottom w:val="single" w:sz="4" w:space="0" w:color="auto"/>
              <w:right w:val="nil"/>
            </w:tcBorders>
            <w:shd w:val="clear" w:color="auto" w:fill="auto"/>
            <w:noWrap/>
            <w:vAlign w:val="center"/>
            <w:hideMark/>
          </w:tcPr>
          <w:p w14:paraId="6DA6EE99" w14:textId="77777777" w:rsidR="00387142" w:rsidRPr="008B6A75" w:rsidRDefault="00387142" w:rsidP="00387142">
            <w:pPr>
              <w:jc w:val="center"/>
              <w:rPr>
                <w:bCs/>
                <w:sz w:val="20"/>
                <w:szCs w:val="20"/>
              </w:rPr>
            </w:pPr>
            <w:r w:rsidRPr="008B6A75">
              <w:rPr>
                <w:bCs/>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381C5912" w14:textId="77777777" w:rsidR="00387142" w:rsidRPr="008B6A75" w:rsidRDefault="00387142" w:rsidP="00387142">
            <w:pPr>
              <w:jc w:val="center"/>
              <w:rPr>
                <w:bCs/>
                <w:sz w:val="20"/>
                <w:szCs w:val="20"/>
              </w:rPr>
            </w:pPr>
            <w:r w:rsidRPr="008B6A75">
              <w:rPr>
                <w:bCs/>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3291DA30" w14:textId="77777777" w:rsidR="00387142" w:rsidRPr="008B6A75" w:rsidRDefault="00387142" w:rsidP="00387142">
            <w:pPr>
              <w:jc w:val="center"/>
              <w:rPr>
                <w:bCs/>
                <w:sz w:val="20"/>
                <w:szCs w:val="20"/>
              </w:rPr>
            </w:pPr>
            <w:r w:rsidRPr="008B6A75">
              <w:rPr>
                <w:bCs/>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06C2454" w14:textId="77777777" w:rsidR="00387142" w:rsidRPr="008B6A75" w:rsidRDefault="00387142" w:rsidP="00387142">
            <w:pPr>
              <w:jc w:val="right"/>
              <w:rPr>
                <w:bCs/>
                <w:sz w:val="20"/>
                <w:szCs w:val="20"/>
              </w:rPr>
            </w:pPr>
            <w:r w:rsidRPr="008B6A75">
              <w:rPr>
                <w:bCs/>
                <w:sz w:val="20"/>
                <w:szCs w:val="20"/>
              </w:rPr>
              <w:t>34 377,83</w:t>
            </w:r>
          </w:p>
        </w:tc>
        <w:tc>
          <w:tcPr>
            <w:tcW w:w="851" w:type="dxa"/>
            <w:tcBorders>
              <w:top w:val="nil"/>
              <w:left w:val="single" w:sz="4" w:space="0" w:color="auto"/>
              <w:bottom w:val="single" w:sz="4" w:space="0" w:color="auto"/>
              <w:right w:val="nil"/>
            </w:tcBorders>
            <w:shd w:val="clear" w:color="auto" w:fill="auto"/>
            <w:noWrap/>
            <w:vAlign w:val="center"/>
            <w:hideMark/>
          </w:tcPr>
          <w:p w14:paraId="6FBA6987" w14:textId="77777777" w:rsidR="00387142" w:rsidRPr="008B6A75" w:rsidRDefault="00387142" w:rsidP="00387142">
            <w:pPr>
              <w:jc w:val="right"/>
              <w:rPr>
                <w:bCs/>
                <w:sz w:val="20"/>
                <w:szCs w:val="20"/>
              </w:rPr>
            </w:pPr>
            <w:r w:rsidRPr="008B6A75">
              <w:rPr>
                <w:bCs/>
                <w:sz w:val="20"/>
                <w:szCs w:val="20"/>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5D6F5707" w14:textId="77777777" w:rsidR="00387142" w:rsidRPr="008B6A75" w:rsidRDefault="00387142" w:rsidP="00387142">
            <w:pPr>
              <w:jc w:val="right"/>
              <w:rPr>
                <w:bCs/>
                <w:sz w:val="20"/>
                <w:szCs w:val="20"/>
              </w:rPr>
            </w:pPr>
            <w:r w:rsidRPr="008B6A75">
              <w:rPr>
                <w:bCs/>
                <w:sz w:val="20"/>
                <w:szCs w:val="20"/>
              </w:rPr>
              <w:t>0,00</w:t>
            </w:r>
          </w:p>
        </w:tc>
      </w:tr>
      <w:tr w:rsidR="00387142" w:rsidRPr="008B6A75" w14:paraId="011D545C" w14:textId="77777777" w:rsidTr="00387142">
        <w:trPr>
          <w:trHeight w:val="1440"/>
        </w:trPr>
        <w:tc>
          <w:tcPr>
            <w:tcW w:w="272" w:type="dxa"/>
            <w:tcBorders>
              <w:top w:val="nil"/>
              <w:left w:val="nil"/>
              <w:bottom w:val="nil"/>
              <w:right w:val="single" w:sz="4" w:space="0" w:color="auto"/>
            </w:tcBorders>
            <w:shd w:val="clear" w:color="auto" w:fill="auto"/>
            <w:noWrap/>
            <w:vAlign w:val="bottom"/>
            <w:hideMark/>
          </w:tcPr>
          <w:p w14:paraId="7A81C0C9"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5ECDCBE4" w14:textId="77777777" w:rsidR="00387142" w:rsidRPr="008B6A75" w:rsidRDefault="00387142" w:rsidP="00387142">
            <w:pPr>
              <w:rPr>
                <w:sz w:val="20"/>
                <w:szCs w:val="20"/>
              </w:rPr>
            </w:pPr>
            <w:r w:rsidRPr="008B6A7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single" w:sz="4" w:space="0" w:color="auto"/>
              <w:bottom w:val="single" w:sz="4" w:space="0" w:color="auto"/>
              <w:right w:val="nil"/>
            </w:tcBorders>
            <w:shd w:val="clear" w:color="auto" w:fill="auto"/>
            <w:noWrap/>
            <w:vAlign w:val="center"/>
            <w:hideMark/>
          </w:tcPr>
          <w:p w14:paraId="1813C0D3" w14:textId="77777777" w:rsidR="00387142" w:rsidRPr="008B6A75" w:rsidRDefault="00387142" w:rsidP="00387142">
            <w:pPr>
              <w:jc w:val="center"/>
              <w:rPr>
                <w:sz w:val="20"/>
                <w:szCs w:val="20"/>
              </w:rPr>
            </w:pPr>
            <w:r w:rsidRPr="008B6A75">
              <w:rPr>
                <w:sz w:val="20"/>
                <w:szCs w:val="20"/>
              </w:rPr>
              <w:t>99.0.00.70512</w:t>
            </w:r>
          </w:p>
        </w:tc>
        <w:tc>
          <w:tcPr>
            <w:tcW w:w="850" w:type="dxa"/>
            <w:tcBorders>
              <w:top w:val="nil"/>
              <w:left w:val="single" w:sz="4" w:space="0" w:color="auto"/>
              <w:bottom w:val="single" w:sz="4" w:space="0" w:color="auto"/>
              <w:right w:val="nil"/>
            </w:tcBorders>
            <w:shd w:val="clear" w:color="auto" w:fill="auto"/>
            <w:noWrap/>
            <w:vAlign w:val="center"/>
            <w:hideMark/>
          </w:tcPr>
          <w:p w14:paraId="48D90DB5" w14:textId="77777777" w:rsidR="00387142" w:rsidRPr="008B6A75" w:rsidRDefault="00387142" w:rsidP="00387142">
            <w:pPr>
              <w:jc w:val="center"/>
              <w:rPr>
                <w:sz w:val="20"/>
                <w:szCs w:val="20"/>
              </w:rPr>
            </w:pPr>
            <w:r w:rsidRPr="008B6A75">
              <w:rPr>
                <w:sz w:val="20"/>
                <w:szCs w:val="20"/>
              </w:rPr>
              <w:t>100</w:t>
            </w:r>
          </w:p>
        </w:tc>
        <w:tc>
          <w:tcPr>
            <w:tcW w:w="567" w:type="dxa"/>
            <w:tcBorders>
              <w:top w:val="nil"/>
              <w:left w:val="single" w:sz="4" w:space="0" w:color="auto"/>
              <w:bottom w:val="single" w:sz="4" w:space="0" w:color="auto"/>
              <w:right w:val="nil"/>
            </w:tcBorders>
            <w:shd w:val="clear" w:color="auto" w:fill="auto"/>
            <w:noWrap/>
            <w:vAlign w:val="center"/>
            <w:hideMark/>
          </w:tcPr>
          <w:p w14:paraId="49EFB54A" w14:textId="77777777" w:rsidR="00387142" w:rsidRPr="008B6A75" w:rsidRDefault="00387142" w:rsidP="00387142">
            <w:pPr>
              <w:jc w:val="center"/>
              <w:rPr>
                <w:sz w:val="20"/>
                <w:szCs w:val="20"/>
              </w:rPr>
            </w:pPr>
            <w:r w:rsidRPr="008B6A75">
              <w:rPr>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0C0ABE3D" w14:textId="77777777" w:rsidR="00387142" w:rsidRPr="008B6A75" w:rsidRDefault="00387142" w:rsidP="00387142">
            <w:pPr>
              <w:jc w:val="center"/>
              <w:rPr>
                <w:sz w:val="20"/>
                <w:szCs w:val="20"/>
              </w:rPr>
            </w:pPr>
            <w:r w:rsidRPr="008B6A75">
              <w:rPr>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330E249" w14:textId="77777777" w:rsidR="00387142" w:rsidRPr="008B6A75" w:rsidRDefault="00387142" w:rsidP="00387142">
            <w:pPr>
              <w:jc w:val="right"/>
              <w:rPr>
                <w:sz w:val="20"/>
                <w:szCs w:val="20"/>
              </w:rPr>
            </w:pPr>
            <w:r w:rsidRPr="008B6A75">
              <w:rPr>
                <w:sz w:val="20"/>
                <w:szCs w:val="20"/>
              </w:rPr>
              <w:t>34 377,83</w:t>
            </w:r>
          </w:p>
        </w:tc>
        <w:tc>
          <w:tcPr>
            <w:tcW w:w="851" w:type="dxa"/>
            <w:tcBorders>
              <w:top w:val="nil"/>
              <w:left w:val="single" w:sz="4" w:space="0" w:color="auto"/>
              <w:bottom w:val="single" w:sz="4" w:space="0" w:color="auto"/>
              <w:right w:val="nil"/>
            </w:tcBorders>
            <w:shd w:val="clear" w:color="auto" w:fill="auto"/>
            <w:noWrap/>
            <w:vAlign w:val="center"/>
            <w:hideMark/>
          </w:tcPr>
          <w:p w14:paraId="5565BFDE" w14:textId="77777777" w:rsidR="00387142" w:rsidRPr="008B6A75" w:rsidRDefault="00387142" w:rsidP="00387142">
            <w:pPr>
              <w:jc w:val="right"/>
              <w:rPr>
                <w:sz w:val="20"/>
                <w:szCs w:val="20"/>
              </w:rPr>
            </w:pPr>
            <w:r w:rsidRPr="008B6A75">
              <w:rPr>
                <w:sz w:val="20"/>
                <w:szCs w:val="20"/>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3B7E8E13" w14:textId="77777777" w:rsidR="00387142" w:rsidRPr="008B6A75" w:rsidRDefault="00387142" w:rsidP="00387142">
            <w:pPr>
              <w:jc w:val="right"/>
              <w:rPr>
                <w:sz w:val="20"/>
                <w:szCs w:val="20"/>
              </w:rPr>
            </w:pPr>
            <w:r w:rsidRPr="008B6A75">
              <w:rPr>
                <w:sz w:val="20"/>
                <w:szCs w:val="20"/>
              </w:rPr>
              <w:t>0,00</w:t>
            </w:r>
          </w:p>
        </w:tc>
      </w:tr>
      <w:tr w:rsidR="00387142" w:rsidRPr="008B6A75" w14:paraId="38F7B7F4" w14:textId="77777777" w:rsidTr="00387142">
        <w:trPr>
          <w:trHeight w:val="585"/>
        </w:trPr>
        <w:tc>
          <w:tcPr>
            <w:tcW w:w="272" w:type="dxa"/>
            <w:tcBorders>
              <w:top w:val="nil"/>
              <w:left w:val="nil"/>
              <w:bottom w:val="nil"/>
              <w:right w:val="single" w:sz="4" w:space="0" w:color="auto"/>
            </w:tcBorders>
            <w:shd w:val="clear" w:color="auto" w:fill="auto"/>
            <w:noWrap/>
            <w:vAlign w:val="bottom"/>
            <w:hideMark/>
          </w:tcPr>
          <w:p w14:paraId="5D39FEA6"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14EB0D1C" w14:textId="77777777" w:rsidR="00387142" w:rsidRPr="008B6A75" w:rsidRDefault="00387142" w:rsidP="00387142">
            <w:pPr>
              <w:rPr>
                <w:sz w:val="20"/>
                <w:szCs w:val="20"/>
              </w:rPr>
            </w:pPr>
            <w:r w:rsidRPr="008B6A75">
              <w:rPr>
                <w:sz w:val="20"/>
                <w:szCs w:val="20"/>
              </w:rPr>
              <w:t>Расходы на выплаты персоналу государственных (муниципальных) органов</w:t>
            </w:r>
          </w:p>
        </w:tc>
        <w:tc>
          <w:tcPr>
            <w:tcW w:w="1559" w:type="dxa"/>
            <w:tcBorders>
              <w:top w:val="nil"/>
              <w:left w:val="single" w:sz="4" w:space="0" w:color="auto"/>
              <w:bottom w:val="single" w:sz="4" w:space="0" w:color="auto"/>
              <w:right w:val="nil"/>
            </w:tcBorders>
            <w:shd w:val="clear" w:color="auto" w:fill="auto"/>
            <w:noWrap/>
            <w:vAlign w:val="center"/>
            <w:hideMark/>
          </w:tcPr>
          <w:p w14:paraId="1862B235" w14:textId="77777777" w:rsidR="00387142" w:rsidRPr="008B6A75" w:rsidRDefault="00387142" w:rsidP="00387142">
            <w:pPr>
              <w:jc w:val="center"/>
              <w:rPr>
                <w:sz w:val="20"/>
                <w:szCs w:val="20"/>
              </w:rPr>
            </w:pPr>
            <w:r w:rsidRPr="008B6A75">
              <w:rPr>
                <w:sz w:val="20"/>
                <w:szCs w:val="20"/>
              </w:rPr>
              <w:t>99.0.00.70512</w:t>
            </w:r>
          </w:p>
        </w:tc>
        <w:tc>
          <w:tcPr>
            <w:tcW w:w="850" w:type="dxa"/>
            <w:tcBorders>
              <w:top w:val="nil"/>
              <w:left w:val="single" w:sz="4" w:space="0" w:color="auto"/>
              <w:bottom w:val="single" w:sz="4" w:space="0" w:color="auto"/>
              <w:right w:val="nil"/>
            </w:tcBorders>
            <w:shd w:val="clear" w:color="auto" w:fill="auto"/>
            <w:noWrap/>
            <w:vAlign w:val="center"/>
            <w:hideMark/>
          </w:tcPr>
          <w:p w14:paraId="1D5B563A" w14:textId="77777777" w:rsidR="00387142" w:rsidRPr="008B6A75" w:rsidRDefault="00387142" w:rsidP="00387142">
            <w:pPr>
              <w:jc w:val="center"/>
              <w:rPr>
                <w:sz w:val="20"/>
                <w:szCs w:val="20"/>
              </w:rPr>
            </w:pPr>
            <w:r w:rsidRPr="008B6A75">
              <w:rPr>
                <w:sz w:val="20"/>
                <w:szCs w:val="20"/>
              </w:rPr>
              <w:t>120</w:t>
            </w:r>
          </w:p>
        </w:tc>
        <w:tc>
          <w:tcPr>
            <w:tcW w:w="567" w:type="dxa"/>
            <w:tcBorders>
              <w:top w:val="nil"/>
              <w:left w:val="single" w:sz="4" w:space="0" w:color="auto"/>
              <w:bottom w:val="single" w:sz="4" w:space="0" w:color="auto"/>
              <w:right w:val="nil"/>
            </w:tcBorders>
            <w:shd w:val="clear" w:color="auto" w:fill="auto"/>
            <w:noWrap/>
            <w:vAlign w:val="center"/>
            <w:hideMark/>
          </w:tcPr>
          <w:p w14:paraId="5407A0AC" w14:textId="77777777" w:rsidR="00387142" w:rsidRPr="008B6A75" w:rsidRDefault="00387142" w:rsidP="00387142">
            <w:pPr>
              <w:jc w:val="center"/>
              <w:rPr>
                <w:sz w:val="20"/>
                <w:szCs w:val="20"/>
              </w:rPr>
            </w:pPr>
            <w:r w:rsidRPr="008B6A75">
              <w:rPr>
                <w:sz w:val="20"/>
                <w:szCs w:val="20"/>
              </w:rPr>
              <w:t>01</w:t>
            </w:r>
          </w:p>
        </w:tc>
        <w:tc>
          <w:tcPr>
            <w:tcW w:w="567" w:type="dxa"/>
            <w:tcBorders>
              <w:top w:val="nil"/>
              <w:left w:val="single" w:sz="4" w:space="0" w:color="auto"/>
              <w:bottom w:val="single" w:sz="4" w:space="0" w:color="auto"/>
              <w:right w:val="nil"/>
            </w:tcBorders>
            <w:shd w:val="clear" w:color="auto" w:fill="auto"/>
            <w:noWrap/>
            <w:vAlign w:val="center"/>
            <w:hideMark/>
          </w:tcPr>
          <w:p w14:paraId="43ABC9C4" w14:textId="77777777" w:rsidR="00387142" w:rsidRPr="008B6A75" w:rsidRDefault="00387142" w:rsidP="00387142">
            <w:pPr>
              <w:jc w:val="center"/>
              <w:rPr>
                <w:sz w:val="20"/>
                <w:szCs w:val="20"/>
              </w:rPr>
            </w:pPr>
            <w:r w:rsidRPr="008B6A75">
              <w:rPr>
                <w:sz w:val="20"/>
                <w:szCs w:val="20"/>
              </w:rPr>
              <w:t>03</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0683188" w14:textId="77777777" w:rsidR="00387142" w:rsidRPr="008B6A75" w:rsidRDefault="00387142" w:rsidP="00387142">
            <w:pPr>
              <w:jc w:val="right"/>
              <w:rPr>
                <w:sz w:val="20"/>
                <w:szCs w:val="20"/>
              </w:rPr>
            </w:pPr>
            <w:r w:rsidRPr="008B6A75">
              <w:rPr>
                <w:sz w:val="20"/>
                <w:szCs w:val="20"/>
              </w:rPr>
              <w:t>34 377,83</w:t>
            </w:r>
          </w:p>
        </w:tc>
        <w:tc>
          <w:tcPr>
            <w:tcW w:w="851" w:type="dxa"/>
            <w:tcBorders>
              <w:top w:val="nil"/>
              <w:left w:val="single" w:sz="4" w:space="0" w:color="auto"/>
              <w:bottom w:val="single" w:sz="4" w:space="0" w:color="auto"/>
              <w:right w:val="nil"/>
            </w:tcBorders>
            <w:shd w:val="clear" w:color="auto" w:fill="auto"/>
            <w:noWrap/>
            <w:vAlign w:val="center"/>
            <w:hideMark/>
          </w:tcPr>
          <w:p w14:paraId="2840F344" w14:textId="77777777" w:rsidR="00387142" w:rsidRPr="008B6A75" w:rsidRDefault="00387142" w:rsidP="00387142">
            <w:pPr>
              <w:jc w:val="right"/>
              <w:rPr>
                <w:sz w:val="20"/>
                <w:szCs w:val="20"/>
              </w:rPr>
            </w:pPr>
            <w:r w:rsidRPr="008B6A75">
              <w:rPr>
                <w:sz w:val="20"/>
                <w:szCs w:val="20"/>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5EC14EC5" w14:textId="77777777" w:rsidR="00387142" w:rsidRPr="008B6A75" w:rsidRDefault="00387142" w:rsidP="00387142">
            <w:pPr>
              <w:jc w:val="right"/>
              <w:rPr>
                <w:sz w:val="20"/>
                <w:szCs w:val="20"/>
              </w:rPr>
            </w:pPr>
            <w:r w:rsidRPr="008B6A75">
              <w:rPr>
                <w:sz w:val="20"/>
                <w:szCs w:val="20"/>
              </w:rPr>
              <w:t>0,00</w:t>
            </w:r>
          </w:p>
        </w:tc>
      </w:tr>
      <w:tr w:rsidR="00387142" w:rsidRPr="008B6A75" w14:paraId="1429BD03" w14:textId="77777777" w:rsidTr="00387142">
        <w:trPr>
          <w:trHeight w:val="2865"/>
        </w:trPr>
        <w:tc>
          <w:tcPr>
            <w:tcW w:w="272" w:type="dxa"/>
            <w:tcBorders>
              <w:top w:val="nil"/>
              <w:left w:val="nil"/>
              <w:bottom w:val="nil"/>
              <w:right w:val="single" w:sz="4" w:space="0" w:color="auto"/>
            </w:tcBorders>
            <w:shd w:val="clear" w:color="auto" w:fill="auto"/>
            <w:noWrap/>
            <w:vAlign w:val="bottom"/>
            <w:hideMark/>
          </w:tcPr>
          <w:p w14:paraId="1258E40F"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7731D3CF" w14:textId="77777777" w:rsidR="00387142" w:rsidRPr="008B6A75" w:rsidRDefault="00387142" w:rsidP="00387142">
            <w:pPr>
              <w:rPr>
                <w:bCs/>
                <w:sz w:val="20"/>
                <w:szCs w:val="20"/>
              </w:rPr>
            </w:pPr>
            <w:r w:rsidRPr="008B6A75">
              <w:rPr>
                <w:bCs/>
                <w:sz w:val="20"/>
                <w:szCs w:val="20"/>
              </w:rPr>
              <w:t>Строительство (приобретение на первичном рынке) служебного жилья подпрограммы "Строительство (приобретение на первичном рынке) служебного жилья для отдельных категорий граждан, проживающих и работающих на территории Новосибирской области" государственной программы Новосибирской области "Стимулирование развития жилищного строительства в Новосибирской области"</w:t>
            </w:r>
          </w:p>
        </w:tc>
        <w:tc>
          <w:tcPr>
            <w:tcW w:w="1559" w:type="dxa"/>
            <w:tcBorders>
              <w:top w:val="nil"/>
              <w:left w:val="single" w:sz="4" w:space="0" w:color="auto"/>
              <w:bottom w:val="single" w:sz="4" w:space="0" w:color="auto"/>
              <w:right w:val="nil"/>
            </w:tcBorders>
            <w:shd w:val="clear" w:color="auto" w:fill="auto"/>
            <w:noWrap/>
            <w:vAlign w:val="center"/>
            <w:hideMark/>
          </w:tcPr>
          <w:p w14:paraId="4D97AD86" w14:textId="77777777" w:rsidR="00387142" w:rsidRPr="008B6A75" w:rsidRDefault="00387142" w:rsidP="00387142">
            <w:pPr>
              <w:jc w:val="center"/>
              <w:rPr>
                <w:bCs/>
                <w:sz w:val="20"/>
                <w:szCs w:val="20"/>
              </w:rPr>
            </w:pPr>
            <w:r w:rsidRPr="008B6A75">
              <w:rPr>
                <w:bCs/>
                <w:sz w:val="20"/>
                <w:szCs w:val="20"/>
              </w:rPr>
              <w:t>99.0.00.70650</w:t>
            </w:r>
          </w:p>
        </w:tc>
        <w:tc>
          <w:tcPr>
            <w:tcW w:w="850" w:type="dxa"/>
            <w:tcBorders>
              <w:top w:val="nil"/>
              <w:left w:val="single" w:sz="4" w:space="0" w:color="auto"/>
              <w:bottom w:val="single" w:sz="4" w:space="0" w:color="auto"/>
              <w:right w:val="nil"/>
            </w:tcBorders>
            <w:shd w:val="clear" w:color="auto" w:fill="auto"/>
            <w:noWrap/>
            <w:vAlign w:val="center"/>
            <w:hideMark/>
          </w:tcPr>
          <w:p w14:paraId="4EE8DB4D" w14:textId="77777777" w:rsidR="00387142" w:rsidRPr="008B6A75" w:rsidRDefault="00387142" w:rsidP="00387142">
            <w:pPr>
              <w:jc w:val="center"/>
              <w:rPr>
                <w:bCs/>
                <w:sz w:val="20"/>
                <w:szCs w:val="20"/>
              </w:rPr>
            </w:pPr>
            <w:r w:rsidRPr="008B6A75">
              <w:rPr>
                <w:bCs/>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5631E8D8" w14:textId="77777777" w:rsidR="00387142" w:rsidRPr="008B6A75" w:rsidRDefault="00387142" w:rsidP="00387142">
            <w:pPr>
              <w:jc w:val="center"/>
              <w:rPr>
                <w:bCs/>
                <w:sz w:val="20"/>
                <w:szCs w:val="20"/>
              </w:rPr>
            </w:pPr>
            <w:r w:rsidRPr="008B6A75">
              <w:rPr>
                <w:bCs/>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53BE986F" w14:textId="77777777" w:rsidR="00387142" w:rsidRPr="008B6A75" w:rsidRDefault="00387142" w:rsidP="00387142">
            <w:pPr>
              <w:jc w:val="center"/>
              <w:rPr>
                <w:bCs/>
                <w:sz w:val="20"/>
                <w:szCs w:val="20"/>
              </w:rPr>
            </w:pPr>
            <w:r w:rsidRPr="008B6A75">
              <w:rPr>
                <w:bCs/>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1EABEBA" w14:textId="77777777" w:rsidR="00387142" w:rsidRPr="008B6A75" w:rsidRDefault="00387142" w:rsidP="00387142">
            <w:pPr>
              <w:jc w:val="right"/>
              <w:rPr>
                <w:bCs/>
                <w:sz w:val="20"/>
                <w:szCs w:val="20"/>
              </w:rPr>
            </w:pPr>
            <w:r w:rsidRPr="008B6A75">
              <w:rPr>
                <w:bCs/>
                <w:sz w:val="20"/>
                <w:szCs w:val="20"/>
              </w:rPr>
              <w:t>48 431 800,00</w:t>
            </w:r>
          </w:p>
        </w:tc>
        <w:tc>
          <w:tcPr>
            <w:tcW w:w="851" w:type="dxa"/>
            <w:tcBorders>
              <w:top w:val="nil"/>
              <w:left w:val="single" w:sz="4" w:space="0" w:color="auto"/>
              <w:bottom w:val="single" w:sz="4" w:space="0" w:color="auto"/>
              <w:right w:val="nil"/>
            </w:tcBorders>
            <w:shd w:val="clear" w:color="auto" w:fill="auto"/>
            <w:noWrap/>
            <w:vAlign w:val="center"/>
            <w:hideMark/>
          </w:tcPr>
          <w:p w14:paraId="35A3CEB2" w14:textId="77777777" w:rsidR="00387142" w:rsidRPr="008B6A75" w:rsidRDefault="00387142" w:rsidP="00387142">
            <w:pPr>
              <w:jc w:val="right"/>
              <w:rPr>
                <w:bCs/>
                <w:sz w:val="20"/>
                <w:szCs w:val="20"/>
              </w:rPr>
            </w:pPr>
            <w:r w:rsidRPr="008B6A75">
              <w:rPr>
                <w:bCs/>
                <w:sz w:val="20"/>
                <w:szCs w:val="20"/>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683D566F" w14:textId="77777777" w:rsidR="00387142" w:rsidRPr="008B6A75" w:rsidRDefault="00387142" w:rsidP="00387142">
            <w:pPr>
              <w:jc w:val="right"/>
              <w:rPr>
                <w:bCs/>
                <w:sz w:val="20"/>
                <w:szCs w:val="20"/>
              </w:rPr>
            </w:pPr>
            <w:r w:rsidRPr="008B6A75">
              <w:rPr>
                <w:bCs/>
                <w:sz w:val="20"/>
                <w:szCs w:val="20"/>
              </w:rPr>
              <w:t>0,00</w:t>
            </w:r>
          </w:p>
        </w:tc>
      </w:tr>
      <w:tr w:rsidR="00387142" w:rsidRPr="008B6A75" w14:paraId="2010E2C3" w14:textId="77777777" w:rsidTr="00387142">
        <w:trPr>
          <w:trHeight w:val="870"/>
        </w:trPr>
        <w:tc>
          <w:tcPr>
            <w:tcW w:w="272" w:type="dxa"/>
            <w:tcBorders>
              <w:top w:val="nil"/>
              <w:left w:val="nil"/>
              <w:bottom w:val="nil"/>
              <w:right w:val="single" w:sz="4" w:space="0" w:color="auto"/>
            </w:tcBorders>
            <w:shd w:val="clear" w:color="auto" w:fill="auto"/>
            <w:noWrap/>
            <w:vAlign w:val="bottom"/>
            <w:hideMark/>
          </w:tcPr>
          <w:p w14:paraId="2044EA04"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0ED271B3" w14:textId="77777777" w:rsidR="00387142" w:rsidRPr="008B6A75" w:rsidRDefault="00387142" w:rsidP="00387142">
            <w:pPr>
              <w:rPr>
                <w:sz w:val="20"/>
                <w:szCs w:val="20"/>
              </w:rPr>
            </w:pPr>
            <w:r w:rsidRPr="008B6A75">
              <w:rPr>
                <w:sz w:val="20"/>
                <w:szCs w:val="20"/>
              </w:rPr>
              <w:t>Капитальные вложения в объекты государственной (муниципальной) собственности</w:t>
            </w:r>
          </w:p>
        </w:tc>
        <w:tc>
          <w:tcPr>
            <w:tcW w:w="1559" w:type="dxa"/>
            <w:tcBorders>
              <w:top w:val="nil"/>
              <w:left w:val="single" w:sz="4" w:space="0" w:color="auto"/>
              <w:bottom w:val="single" w:sz="4" w:space="0" w:color="auto"/>
              <w:right w:val="nil"/>
            </w:tcBorders>
            <w:shd w:val="clear" w:color="auto" w:fill="auto"/>
            <w:noWrap/>
            <w:vAlign w:val="center"/>
            <w:hideMark/>
          </w:tcPr>
          <w:p w14:paraId="3A609620" w14:textId="77777777" w:rsidR="00387142" w:rsidRPr="008B6A75" w:rsidRDefault="00387142" w:rsidP="00387142">
            <w:pPr>
              <w:jc w:val="center"/>
              <w:rPr>
                <w:sz w:val="20"/>
                <w:szCs w:val="20"/>
              </w:rPr>
            </w:pPr>
            <w:r w:rsidRPr="008B6A75">
              <w:rPr>
                <w:sz w:val="20"/>
                <w:szCs w:val="20"/>
              </w:rPr>
              <w:t>99.0.00.70650</w:t>
            </w:r>
          </w:p>
        </w:tc>
        <w:tc>
          <w:tcPr>
            <w:tcW w:w="850" w:type="dxa"/>
            <w:tcBorders>
              <w:top w:val="nil"/>
              <w:left w:val="single" w:sz="4" w:space="0" w:color="auto"/>
              <w:bottom w:val="single" w:sz="4" w:space="0" w:color="auto"/>
              <w:right w:val="nil"/>
            </w:tcBorders>
            <w:shd w:val="clear" w:color="auto" w:fill="auto"/>
            <w:noWrap/>
            <w:vAlign w:val="center"/>
            <w:hideMark/>
          </w:tcPr>
          <w:p w14:paraId="266C2903" w14:textId="77777777" w:rsidR="00387142" w:rsidRPr="008B6A75" w:rsidRDefault="00387142" w:rsidP="00387142">
            <w:pPr>
              <w:jc w:val="center"/>
              <w:rPr>
                <w:sz w:val="20"/>
                <w:szCs w:val="20"/>
              </w:rPr>
            </w:pPr>
            <w:r w:rsidRPr="008B6A75">
              <w:rPr>
                <w:sz w:val="20"/>
                <w:szCs w:val="20"/>
              </w:rPr>
              <w:t>400</w:t>
            </w:r>
          </w:p>
        </w:tc>
        <w:tc>
          <w:tcPr>
            <w:tcW w:w="567" w:type="dxa"/>
            <w:tcBorders>
              <w:top w:val="nil"/>
              <w:left w:val="single" w:sz="4" w:space="0" w:color="auto"/>
              <w:bottom w:val="single" w:sz="4" w:space="0" w:color="auto"/>
              <w:right w:val="nil"/>
            </w:tcBorders>
            <w:shd w:val="clear" w:color="auto" w:fill="auto"/>
            <w:noWrap/>
            <w:vAlign w:val="center"/>
            <w:hideMark/>
          </w:tcPr>
          <w:p w14:paraId="1E6E1456" w14:textId="77777777" w:rsidR="00387142" w:rsidRPr="008B6A75" w:rsidRDefault="00387142" w:rsidP="00387142">
            <w:pPr>
              <w:jc w:val="center"/>
              <w:rPr>
                <w:sz w:val="20"/>
                <w:szCs w:val="20"/>
              </w:rPr>
            </w:pPr>
            <w:r w:rsidRPr="008B6A75">
              <w:rPr>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000EDC39" w14:textId="77777777" w:rsidR="00387142" w:rsidRPr="008B6A75" w:rsidRDefault="00387142" w:rsidP="00387142">
            <w:pPr>
              <w:jc w:val="center"/>
              <w:rPr>
                <w:sz w:val="20"/>
                <w:szCs w:val="20"/>
              </w:rPr>
            </w:pPr>
            <w:r w:rsidRPr="008B6A75">
              <w:rPr>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52313EE" w14:textId="77777777" w:rsidR="00387142" w:rsidRPr="008B6A75" w:rsidRDefault="00387142" w:rsidP="00387142">
            <w:pPr>
              <w:jc w:val="right"/>
              <w:rPr>
                <w:sz w:val="20"/>
                <w:szCs w:val="20"/>
              </w:rPr>
            </w:pPr>
            <w:r w:rsidRPr="008B6A75">
              <w:rPr>
                <w:sz w:val="20"/>
                <w:szCs w:val="20"/>
              </w:rPr>
              <w:t>48 431 800,00</w:t>
            </w:r>
          </w:p>
        </w:tc>
        <w:tc>
          <w:tcPr>
            <w:tcW w:w="851" w:type="dxa"/>
            <w:tcBorders>
              <w:top w:val="nil"/>
              <w:left w:val="single" w:sz="4" w:space="0" w:color="auto"/>
              <w:bottom w:val="single" w:sz="4" w:space="0" w:color="auto"/>
              <w:right w:val="nil"/>
            </w:tcBorders>
            <w:shd w:val="clear" w:color="auto" w:fill="auto"/>
            <w:noWrap/>
            <w:vAlign w:val="center"/>
            <w:hideMark/>
          </w:tcPr>
          <w:p w14:paraId="3DC06528" w14:textId="77777777" w:rsidR="00387142" w:rsidRPr="008B6A75" w:rsidRDefault="00387142" w:rsidP="00387142">
            <w:pPr>
              <w:jc w:val="right"/>
              <w:rPr>
                <w:sz w:val="20"/>
                <w:szCs w:val="20"/>
              </w:rPr>
            </w:pPr>
            <w:r w:rsidRPr="008B6A75">
              <w:rPr>
                <w:sz w:val="20"/>
                <w:szCs w:val="20"/>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18F592E4" w14:textId="77777777" w:rsidR="00387142" w:rsidRPr="008B6A75" w:rsidRDefault="00387142" w:rsidP="00387142">
            <w:pPr>
              <w:jc w:val="right"/>
              <w:rPr>
                <w:sz w:val="20"/>
                <w:szCs w:val="20"/>
              </w:rPr>
            </w:pPr>
            <w:r w:rsidRPr="008B6A75">
              <w:rPr>
                <w:sz w:val="20"/>
                <w:szCs w:val="20"/>
              </w:rPr>
              <w:t>0,00</w:t>
            </w:r>
          </w:p>
        </w:tc>
      </w:tr>
      <w:tr w:rsidR="00387142" w:rsidRPr="008B6A75" w14:paraId="61B662AE" w14:textId="77777777" w:rsidTr="00387142">
        <w:trPr>
          <w:trHeight w:val="300"/>
        </w:trPr>
        <w:tc>
          <w:tcPr>
            <w:tcW w:w="272" w:type="dxa"/>
            <w:tcBorders>
              <w:top w:val="nil"/>
              <w:left w:val="nil"/>
              <w:bottom w:val="nil"/>
              <w:right w:val="single" w:sz="4" w:space="0" w:color="auto"/>
            </w:tcBorders>
            <w:shd w:val="clear" w:color="auto" w:fill="auto"/>
            <w:noWrap/>
            <w:vAlign w:val="bottom"/>
            <w:hideMark/>
          </w:tcPr>
          <w:p w14:paraId="42D81394" w14:textId="77777777" w:rsidR="00387142" w:rsidRPr="008B6A75" w:rsidRDefault="00387142" w:rsidP="00387142">
            <w:pPr>
              <w:rPr>
                <w:sz w:val="20"/>
                <w:szCs w:val="20"/>
              </w:rPr>
            </w:pPr>
            <w:r w:rsidRPr="008B6A75">
              <w:rPr>
                <w:sz w:val="20"/>
                <w:szCs w:val="20"/>
              </w:rPr>
              <w:lastRenderedPageBreak/>
              <w:t> </w:t>
            </w:r>
          </w:p>
        </w:tc>
        <w:tc>
          <w:tcPr>
            <w:tcW w:w="3415" w:type="dxa"/>
            <w:tcBorders>
              <w:top w:val="nil"/>
              <w:left w:val="single" w:sz="4" w:space="0" w:color="auto"/>
              <w:bottom w:val="single" w:sz="4" w:space="0" w:color="auto"/>
              <w:right w:val="nil"/>
            </w:tcBorders>
            <w:shd w:val="clear" w:color="auto" w:fill="auto"/>
            <w:vAlign w:val="center"/>
            <w:hideMark/>
          </w:tcPr>
          <w:p w14:paraId="7673EC34" w14:textId="77777777" w:rsidR="00387142" w:rsidRPr="008B6A75" w:rsidRDefault="00387142" w:rsidP="00387142">
            <w:pPr>
              <w:rPr>
                <w:sz w:val="20"/>
                <w:szCs w:val="20"/>
              </w:rPr>
            </w:pPr>
            <w:r w:rsidRPr="008B6A75">
              <w:rPr>
                <w:sz w:val="20"/>
                <w:szCs w:val="20"/>
              </w:rPr>
              <w:t>Бюджетные инвестиции</w:t>
            </w:r>
          </w:p>
        </w:tc>
        <w:tc>
          <w:tcPr>
            <w:tcW w:w="1559" w:type="dxa"/>
            <w:tcBorders>
              <w:top w:val="nil"/>
              <w:left w:val="single" w:sz="4" w:space="0" w:color="auto"/>
              <w:bottom w:val="single" w:sz="4" w:space="0" w:color="auto"/>
              <w:right w:val="nil"/>
            </w:tcBorders>
            <w:shd w:val="clear" w:color="auto" w:fill="auto"/>
            <w:noWrap/>
            <w:vAlign w:val="center"/>
            <w:hideMark/>
          </w:tcPr>
          <w:p w14:paraId="5839861E" w14:textId="77777777" w:rsidR="00387142" w:rsidRPr="008B6A75" w:rsidRDefault="00387142" w:rsidP="00387142">
            <w:pPr>
              <w:jc w:val="center"/>
              <w:rPr>
                <w:sz w:val="20"/>
                <w:szCs w:val="20"/>
              </w:rPr>
            </w:pPr>
            <w:r w:rsidRPr="008B6A75">
              <w:rPr>
                <w:sz w:val="20"/>
                <w:szCs w:val="20"/>
              </w:rPr>
              <w:t>99.0.00.70650</w:t>
            </w:r>
          </w:p>
        </w:tc>
        <w:tc>
          <w:tcPr>
            <w:tcW w:w="850" w:type="dxa"/>
            <w:tcBorders>
              <w:top w:val="nil"/>
              <w:left w:val="single" w:sz="4" w:space="0" w:color="auto"/>
              <w:bottom w:val="single" w:sz="4" w:space="0" w:color="auto"/>
              <w:right w:val="nil"/>
            </w:tcBorders>
            <w:shd w:val="clear" w:color="auto" w:fill="auto"/>
            <w:noWrap/>
            <w:vAlign w:val="center"/>
            <w:hideMark/>
          </w:tcPr>
          <w:p w14:paraId="31DB1739" w14:textId="77777777" w:rsidR="00387142" w:rsidRPr="008B6A75" w:rsidRDefault="00387142" w:rsidP="00387142">
            <w:pPr>
              <w:jc w:val="center"/>
              <w:rPr>
                <w:sz w:val="20"/>
                <w:szCs w:val="20"/>
              </w:rPr>
            </w:pPr>
            <w:r w:rsidRPr="008B6A75">
              <w:rPr>
                <w:sz w:val="20"/>
                <w:szCs w:val="20"/>
              </w:rPr>
              <w:t>410</w:t>
            </w:r>
          </w:p>
        </w:tc>
        <w:tc>
          <w:tcPr>
            <w:tcW w:w="567" w:type="dxa"/>
            <w:tcBorders>
              <w:top w:val="nil"/>
              <w:left w:val="single" w:sz="4" w:space="0" w:color="auto"/>
              <w:bottom w:val="single" w:sz="4" w:space="0" w:color="auto"/>
              <w:right w:val="nil"/>
            </w:tcBorders>
            <w:shd w:val="clear" w:color="auto" w:fill="auto"/>
            <w:noWrap/>
            <w:vAlign w:val="center"/>
            <w:hideMark/>
          </w:tcPr>
          <w:p w14:paraId="3D16B5E1" w14:textId="77777777" w:rsidR="00387142" w:rsidRPr="008B6A75" w:rsidRDefault="00387142" w:rsidP="00387142">
            <w:pPr>
              <w:jc w:val="center"/>
              <w:rPr>
                <w:sz w:val="20"/>
                <w:szCs w:val="20"/>
              </w:rPr>
            </w:pPr>
            <w:r w:rsidRPr="008B6A75">
              <w:rPr>
                <w:sz w:val="20"/>
                <w:szCs w:val="20"/>
              </w:rPr>
              <w:t>05</w:t>
            </w:r>
          </w:p>
        </w:tc>
        <w:tc>
          <w:tcPr>
            <w:tcW w:w="567" w:type="dxa"/>
            <w:tcBorders>
              <w:top w:val="nil"/>
              <w:left w:val="single" w:sz="4" w:space="0" w:color="auto"/>
              <w:bottom w:val="single" w:sz="4" w:space="0" w:color="auto"/>
              <w:right w:val="nil"/>
            </w:tcBorders>
            <w:shd w:val="clear" w:color="auto" w:fill="auto"/>
            <w:noWrap/>
            <w:vAlign w:val="center"/>
            <w:hideMark/>
          </w:tcPr>
          <w:p w14:paraId="2B4C6037" w14:textId="77777777" w:rsidR="00387142" w:rsidRPr="008B6A75" w:rsidRDefault="00387142" w:rsidP="00387142">
            <w:pPr>
              <w:jc w:val="center"/>
              <w:rPr>
                <w:sz w:val="20"/>
                <w:szCs w:val="20"/>
              </w:rPr>
            </w:pPr>
            <w:r w:rsidRPr="008B6A75">
              <w:rPr>
                <w:sz w:val="20"/>
                <w:szCs w:val="20"/>
              </w:rPr>
              <w:t>01</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C13F1E7" w14:textId="77777777" w:rsidR="00387142" w:rsidRPr="008B6A75" w:rsidRDefault="00387142" w:rsidP="00387142">
            <w:pPr>
              <w:jc w:val="right"/>
              <w:rPr>
                <w:sz w:val="20"/>
                <w:szCs w:val="20"/>
              </w:rPr>
            </w:pPr>
            <w:r w:rsidRPr="008B6A75">
              <w:rPr>
                <w:sz w:val="20"/>
                <w:szCs w:val="20"/>
              </w:rPr>
              <w:t>48 431 800,00</w:t>
            </w:r>
          </w:p>
        </w:tc>
        <w:tc>
          <w:tcPr>
            <w:tcW w:w="851" w:type="dxa"/>
            <w:tcBorders>
              <w:top w:val="nil"/>
              <w:left w:val="single" w:sz="4" w:space="0" w:color="auto"/>
              <w:bottom w:val="single" w:sz="4" w:space="0" w:color="auto"/>
              <w:right w:val="nil"/>
            </w:tcBorders>
            <w:shd w:val="clear" w:color="auto" w:fill="auto"/>
            <w:noWrap/>
            <w:vAlign w:val="center"/>
            <w:hideMark/>
          </w:tcPr>
          <w:p w14:paraId="1433EF2E" w14:textId="77777777" w:rsidR="00387142" w:rsidRPr="008B6A75" w:rsidRDefault="00387142" w:rsidP="00387142">
            <w:pPr>
              <w:jc w:val="right"/>
              <w:rPr>
                <w:sz w:val="20"/>
                <w:szCs w:val="20"/>
              </w:rPr>
            </w:pPr>
            <w:r w:rsidRPr="008B6A75">
              <w:rPr>
                <w:sz w:val="20"/>
                <w:szCs w:val="20"/>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276B7D65" w14:textId="77777777" w:rsidR="00387142" w:rsidRPr="008B6A75" w:rsidRDefault="00387142" w:rsidP="00387142">
            <w:pPr>
              <w:jc w:val="right"/>
              <w:rPr>
                <w:sz w:val="20"/>
                <w:szCs w:val="20"/>
              </w:rPr>
            </w:pPr>
            <w:r w:rsidRPr="008B6A75">
              <w:rPr>
                <w:sz w:val="20"/>
                <w:szCs w:val="20"/>
              </w:rPr>
              <w:t>0,00</w:t>
            </w:r>
          </w:p>
        </w:tc>
      </w:tr>
      <w:tr w:rsidR="00387142" w:rsidRPr="008B6A75" w14:paraId="3677FFB6" w14:textId="77777777" w:rsidTr="00387142">
        <w:trPr>
          <w:trHeight w:val="2580"/>
        </w:trPr>
        <w:tc>
          <w:tcPr>
            <w:tcW w:w="272" w:type="dxa"/>
            <w:tcBorders>
              <w:top w:val="nil"/>
              <w:left w:val="nil"/>
              <w:bottom w:val="nil"/>
              <w:right w:val="single" w:sz="4" w:space="0" w:color="auto"/>
            </w:tcBorders>
            <w:shd w:val="clear" w:color="auto" w:fill="auto"/>
            <w:noWrap/>
            <w:vAlign w:val="bottom"/>
            <w:hideMark/>
          </w:tcPr>
          <w:p w14:paraId="2CF4A8FE"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4103F4CF" w14:textId="77777777" w:rsidR="00387142" w:rsidRPr="008B6A75" w:rsidRDefault="00387142" w:rsidP="00387142">
            <w:pPr>
              <w:rPr>
                <w:bCs/>
                <w:sz w:val="20"/>
                <w:szCs w:val="20"/>
              </w:rPr>
            </w:pPr>
            <w:r w:rsidRPr="008B6A75">
              <w:rPr>
                <w:bCs/>
                <w:sz w:val="20"/>
                <w:szCs w:val="20"/>
              </w:rPr>
              <w:t>Реализация мероприятий по созданию социально-экономических, организационных условий для повышения качества жизни граждан пожилого возраста, степени их социальной защищенности, содействие их активному участию в жизни общества государственной программы Новосибирской области «Социальная поддержка в Новосибирской области»</w:t>
            </w:r>
          </w:p>
        </w:tc>
        <w:tc>
          <w:tcPr>
            <w:tcW w:w="1559" w:type="dxa"/>
            <w:tcBorders>
              <w:top w:val="nil"/>
              <w:left w:val="single" w:sz="4" w:space="0" w:color="auto"/>
              <w:bottom w:val="single" w:sz="4" w:space="0" w:color="auto"/>
              <w:right w:val="nil"/>
            </w:tcBorders>
            <w:shd w:val="clear" w:color="auto" w:fill="auto"/>
            <w:noWrap/>
            <w:vAlign w:val="center"/>
            <w:hideMark/>
          </w:tcPr>
          <w:p w14:paraId="4FD38F8D" w14:textId="77777777" w:rsidR="00387142" w:rsidRPr="008B6A75" w:rsidRDefault="00387142" w:rsidP="00387142">
            <w:pPr>
              <w:jc w:val="center"/>
              <w:rPr>
                <w:bCs/>
                <w:sz w:val="20"/>
                <w:szCs w:val="20"/>
              </w:rPr>
            </w:pPr>
            <w:r w:rsidRPr="008B6A75">
              <w:rPr>
                <w:bCs/>
                <w:sz w:val="20"/>
                <w:szCs w:val="20"/>
              </w:rPr>
              <w:t>99.0.00.70820</w:t>
            </w:r>
          </w:p>
        </w:tc>
        <w:tc>
          <w:tcPr>
            <w:tcW w:w="850" w:type="dxa"/>
            <w:tcBorders>
              <w:top w:val="nil"/>
              <w:left w:val="single" w:sz="4" w:space="0" w:color="auto"/>
              <w:bottom w:val="single" w:sz="4" w:space="0" w:color="auto"/>
              <w:right w:val="nil"/>
            </w:tcBorders>
            <w:shd w:val="clear" w:color="auto" w:fill="auto"/>
            <w:noWrap/>
            <w:vAlign w:val="center"/>
            <w:hideMark/>
          </w:tcPr>
          <w:p w14:paraId="0236F2B6" w14:textId="77777777" w:rsidR="00387142" w:rsidRPr="008B6A75" w:rsidRDefault="00387142" w:rsidP="00387142">
            <w:pPr>
              <w:jc w:val="center"/>
              <w:rPr>
                <w:bCs/>
                <w:sz w:val="20"/>
                <w:szCs w:val="20"/>
              </w:rPr>
            </w:pPr>
            <w:r w:rsidRPr="008B6A75">
              <w:rPr>
                <w:bCs/>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1109E578" w14:textId="77777777" w:rsidR="00387142" w:rsidRPr="008B6A75" w:rsidRDefault="00387142" w:rsidP="00387142">
            <w:pPr>
              <w:jc w:val="center"/>
              <w:rPr>
                <w:bCs/>
                <w:sz w:val="20"/>
                <w:szCs w:val="20"/>
              </w:rPr>
            </w:pPr>
            <w:r w:rsidRPr="008B6A75">
              <w:rPr>
                <w:bCs/>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43B4ECA9" w14:textId="77777777" w:rsidR="00387142" w:rsidRPr="008B6A75" w:rsidRDefault="00387142" w:rsidP="00387142">
            <w:pPr>
              <w:jc w:val="center"/>
              <w:rPr>
                <w:bCs/>
                <w:sz w:val="20"/>
                <w:szCs w:val="20"/>
              </w:rPr>
            </w:pPr>
            <w:r w:rsidRPr="008B6A75">
              <w:rPr>
                <w:bCs/>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EE7E57E" w14:textId="77777777" w:rsidR="00387142" w:rsidRPr="008B6A75" w:rsidRDefault="00387142" w:rsidP="00387142">
            <w:pPr>
              <w:jc w:val="right"/>
              <w:rPr>
                <w:bCs/>
                <w:sz w:val="20"/>
                <w:szCs w:val="20"/>
              </w:rPr>
            </w:pPr>
            <w:r w:rsidRPr="008B6A75">
              <w:rPr>
                <w:bCs/>
                <w:sz w:val="20"/>
                <w:szCs w:val="20"/>
              </w:rPr>
              <w:t>656 300,00</w:t>
            </w:r>
          </w:p>
        </w:tc>
        <w:tc>
          <w:tcPr>
            <w:tcW w:w="851" w:type="dxa"/>
            <w:tcBorders>
              <w:top w:val="nil"/>
              <w:left w:val="single" w:sz="4" w:space="0" w:color="auto"/>
              <w:bottom w:val="single" w:sz="4" w:space="0" w:color="auto"/>
              <w:right w:val="nil"/>
            </w:tcBorders>
            <w:shd w:val="clear" w:color="auto" w:fill="auto"/>
            <w:noWrap/>
            <w:vAlign w:val="center"/>
            <w:hideMark/>
          </w:tcPr>
          <w:p w14:paraId="715BBAEF" w14:textId="77777777" w:rsidR="00387142" w:rsidRPr="008B6A75" w:rsidRDefault="00387142" w:rsidP="00387142">
            <w:pPr>
              <w:jc w:val="right"/>
              <w:rPr>
                <w:bCs/>
                <w:sz w:val="20"/>
                <w:szCs w:val="20"/>
              </w:rPr>
            </w:pPr>
            <w:r w:rsidRPr="008B6A75">
              <w:rPr>
                <w:bCs/>
                <w:sz w:val="20"/>
                <w:szCs w:val="20"/>
              </w:rPr>
              <w:t>1 080 100,00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671F4A73" w14:textId="77777777" w:rsidR="00387142" w:rsidRPr="008B6A75" w:rsidRDefault="00387142" w:rsidP="00387142">
            <w:pPr>
              <w:jc w:val="right"/>
              <w:rPr>
                <w:bCs/>
                <w:sz w:val="20"/>
                <w:szCs w:val="20"/>
              </w:rPr>
            </w:pPr>
            <w:r w:rsidRPr="008B6A75">
              <w:rPr>
                <w:bCs/>
                <w:sz w:val="20"/>
                <w:szCs w:val="20"/>
              </w:rPr>
              <w:t>0,00</w:t>
            </w:r>
          </w:p>
        </w:tc>
      </w:tr>
      <w:tr w:rsidR="00387142" w:rsidRPr="008B6A75" w14:paraId="155C614F" w14:textId="77777777" w:rsidTr="00387142">
        <w:trPr>
          <w:trHeight w:val="585"/>
        </w:trPr>
        <w:tc>
          <w:tcPr>
            <w:tcW w:w="272" w:type="dxa"/>
            <w:tcBorders>
              <w:top w:val="nil"/>
              <w:left w:val="nil"/>
              <w:bottom w:val="nil"/>
              <w:right w:val="single" w:sz="4" w:space="0" w:color="auto"/>
            </w:tcBorders>
            <w:shd w:val="clear" w:color="auto" w:fill="auto"/>
            <w:noWrap/>
            <w:vAlign w:val="bottom"/>
            <w:hideMark/>
          </w:tcPr>
          <w:p w14:paraId="3499AC1B"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066C4A20" w14:textId="77777777" w:rsidR="00387142" w:rsidRPr="008B6A75" w:rsidRDefault="00387142" w:rsidP="00387142">
            <w:pPr>
              <w:rPr>
                <w:sz w:val="20"/>
                <w:szCs w:val="20"/>
              </w:rPr>
            </w:pPr>
            <w:r w:rsidRPr="008B6A75">
              <w:rPr>
                <w:sz w:val="20"/>
                <w:szCs w:val="20"/>
              </w:rPr>
              <w:t>Закупка товаров, работ и услуг для обеспечения государственных (муниципальных) нужд</w:t>
            </w:r>
          </w:p>
        </w:tc>
        <w:tc>
          <w:tcPr>
            <w:tcW w:w="1559" w:type="dxa"/>
            <w:tcBorders>
              <w:top w:val="nil"/>
              <w:left w:val="single" w:sz="4" w:space="0" w:color="auto"/>
              <w:bottom w:val="single" w:sz="4" w:space="0" w:color="auto"/>
              <w:right w:val="nil"/>
            </w:tcBorders>
            <w:shd w:val="clear" w:color="auto" w:fill="auto"/>
            <w:noWrap/>
            <w:vAlign w:val="center"/>
            <w:hideMark/>
          </w:tcPr>
          <w:p w14:paraId="03645797" w14:textId="77777777" w:rsidR="00387142" w:rsidRPr="008B6A75" w:rsidRDefault="00387142" w:rsidP="00387142">
            <w:pPr>
              <w:jc w:val="center"/>
              <w:rPr>
                <w:sz w:val="20"/>
                <w:szCs w:val="20"/>
              </w:rPr>
            </w:pPr>
            <w:r w:rsidRPr="008B6A75">
              <w:rPr>
                <w:sz w:val="20"/>
                <w:szCs w:val="20"/>
              </w:rPr>
              <w:t>99.0.00.70820</w:t>
            </w:r>
          </w:p>
        </w:tc>
        <w:tc>
          <w:tcPr>
            <w:tcW w:w="850" w:type="dxa"/>
            <w:tcBorders>
              <w:top w:val="nil"/>
              <w:left w:val="single" w:sz="4" w:space="0" w:color="auto"/>
              <w:bottom w:val="single" w:sz="4" w:space="0" w:color="auto"/>
              <w:right w:val="nil"/>
            </w:tcBorders>
            <w:shd w:val="clear" w:color="auto" w:fill="auto"/>
            <w:noWrap/>
            <w:vAlign w:val="center"/>
            <w:hideMark/>
          </w:tcPr>
          <w:p w14:paraId="3B80E48B" w14:textId="77777777" w:rsidR="00387142" w:rsidRPr="008B6A75" w:rsidRDefault="00387142" w:rsidP="00387142">
            <w:pPr>
              <w:jc w:val="center"/>
              <w:rPr>
                <w:sz w:val="20"/>
                <w:szCs w:val="20"/>
              </w:rPr>
            </w:pPr>
            <w:r w:rsidRPr="008B6A75">
              <w:rPr>
                <w:sz w:val="20"/>
                <w:szCs w:val="20"/>
              </w:rPr>
              <w:t>200</w:t>
            </w:r>
          </w:p>
        </w:tc>
        <w:tc>
          <w:tcPr>
            <w:tcW w:w="567" w:type="dxa"/>
            <w:tcBorders>
              <w:top w:val="nil"/>
              <w:left w:val="single" w:sz="4" w:space="0" w:color="auto"/>
              <w:bottom w:val="single" w:sz="4" w:space="0" w:color="auto"/>
              <w:right w:val="nil"/>
            </w:tcBorders>
            <w:shd w:val="clear" w:color="auto" w:fill="auto"/>
            <w:noWrap/>
            <w:vAlign w:val="center"/>
            <w:hideMark/>
          </w:tcPr>
          <w:p w14:paraId="5ACC742C" w14:textId="77777777" w:rsidR="00387142" w:rsidRPr="008B6A75" w:rsidRDefault="00387142" w:rsidP="00387142">
            <w:pPr>
              <w:jc w:val="center"/>
              <w:rPr>
                <w:sz w:val="20"/>
                <w:szCs w:val="20"/>
              </w:rPr>
            </w:pPr>
            <w:r w:rsidRPr="008B6A75">
              <w:rPr>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7091A75B" w14:textId="77777777" w:rsidR="00387142" w:rsidRPr="008B6A75" w:rsidRDefault="00387142" w:rsidP="00387142">
            <w:pPr>
              <w:jc w:val="center"/>
              <w:rPr>
                <w:sz w:val="20"/>
                <w:szCs w:val="20"/>
              </w:rPr>
            </w:pPr>
            <w:r w:rsidRPr="008B6A75">
              <w:rPr>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ECE3310" w14:textId="77777777" w:rsidR="00387142" w:rsidRPr="008B6A75" w:rsidRDefault="00387142" w:rsidP="00387142">
            <w:pPr>
              <w:jc w:val="right"/>
              <w:rPr>
                <w:sz w:val="20"/>
                <w:szCs w:val="20"/>
              </w:rPr>
            </w:pPr>
            <w:r w:rsidRPr="008B6A75">
              <w:rPr>
                <w:sz w:val="20"/>
                <w:szCs w:val="20"/>
              </w:rPr>
              <w:t>0,00</w:t>
            </w:r>
          </w:p>
        </w:tc>
        <w:tc>
          <w:tcPr>
            <w:tcW w:w="851" w:type="dxa"/>
            <w:tcBorders>
              <w:top w:val="nil"/>
              <w:left w:val="single" w:sz="4" w:space="0" w:color="auto"/>
              <w:bottom w:val="single" w:sz="4" w:space="0" w:color="auto"/>
              <w:right w:val="nil"/>
            </w:tcBorders>
            <w:shd w:val="clear" w:color="auto" w:fill="auto"/>
            <w:noWrap/>
            <w:vAlign w:val="center"/>
            <w:hideMark/>
          </w:tcPr>
          <w:p w14:paraId="6789C0F4" w14:textId="77777777" w:rsidR="00387142" w:rsidRPr="008B6A75" w:rsidRDefault="00387142" w:rsidP="00387142">
            <w:pPr>
              <w:jc w:val="right"/>
              <w:rPr>
                <w:sz w:val="20"/>
                <w:szCs w:val="20"/>
              </w:rPr>
            </w:pPr>
            <w:r w:rsidRPr="008B6A75">
              <w:rPr>
                <w:sz w:val="20"/>
                <w:szCs w:val="20"/>
              </w:rPr>
              <w:t>1 080 100,00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2ABC502C" w14:textId="77777777" w:rsidR="00387142" w:rsidRPr="008B6A75" w:rsidRDefault="00387142" w:rsidP="00387142">
            <w:pPr>
              <w:jc w:val="right"/>
              <w:rPr>
                <w:sz w:val="20"/>
                <w:szCs w:val="20"/>
              </w:rPr>
            </w:pPr>
            <w:r w:rsidRPr="008B6A75">
              <w:rPr>
                <w:sz w:val="20"/>
                <w:szCs w:val="20"/>
              </w:rPr>
              <w:t>0,00</w:t>
            </w:r>
          </w:p>
        </w:tc>
      </w:tr>
      <w:tr w:rsidR="00387142" w:rsidRPr="008B6A75" w14:paraId="67761DC2" w14:textId="77777777" w:rsidTr="00387142">
        <w:trPr>
          <w:trHeight w:val="870"/>
        </w:trPr>
        <w:tc>
          <w:tcPr>
            <w:tcW w:w="272" w:type="dxa"/>
            <w:tcBorders>
              <w:top w:val="nil"/>
              <w:left w:val="nil"/>
              <w:bottom w:val="nil"/>
              <w:right w:val="single" w:sz="4" w:space="0" w:color="auto"/>
            </w:tcBorders>
            <w:shd w:val="clear" w:color="auto" w:fill="auto"/>
            <w:noWrap/>
            <w:vAlign w:val="bottom"/>
            <w:hideMark/>
          </w:tcPr>
          <w:p w14:paraId="140DC574"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6F5CBDFE" w14:textId="77777777" w:rsidR="00387142" w:rsidRPr="008B6A75" w:rsidRDefault="00387142" w:rsidP="00387142">
            <w:pPr>
              <w:rPr>
                <w:sz w:val="20"/>
                <w:szCs w:val="20"/>
              </w:rPr>
            </w:pPr>
            <w:r w:rsidRPr="008B6A75">
              <w:rPr>
                <w:sz w:val="20"/>
                <w:szCs w:val="20"/>
              </w:rPr>
              <w:t>Иные закупки товаров, работ и услуг для обеспечения государственных (муниципальных) нужд</w:t>
            </w:r>
          </w:p>
        </w:tc>
        <w:tc>
          <w:tcPr>
            <w:tcW w:w="1559" w:type="dxa"/>
            <w:tcBorders>
              <w:top w:val="nil"/>
              <w:left w:val="single" w:sz="4" w:space="0" w:color="auto"/>
              <w:bottom w:val="single" w:sz="4" w:space="0" w:color="auto"/>
              <w:right w:val="nil"/>
            </w:tcBorders>
            <w:shd w:val="clear" w:color="auto" w:fill="auto"/>
            <w:noWrap/>
            <w:vAlign w:val="center"/>
            <w:hideMark/>
          </w:tcPr>
          <w:p w14:paraId="53F1A4B8" w14:textId="77777777" w:rsidR="00387142" w:rsidRPr="008B6A75" w:rsidRDefault="00387142" w:rsidP="00387142">
            <w:pPr>
              <w:jc w:val="center"/>
              <w:rPr>
                <w:sz w:val="20"/>
                <w:szCs w:val="20"/>
              </w:rPr>
            </w:pPr>
            <w:r w:rsidRPr="008B6A75">
              <w:rPr>
                <w:sz w:val="20"/>
                <w:szCs w:val="20"/>
              </w:rPr>
              <w:t>99.0.00.70820</w:t>
            </w:r>
          </w:p>
        </w:tc>
        <w:tc>
          <w:tcPr>
            <w:tcW w:w="850" w:type="dxa"/>
            <w:tcBorders>
              <w:top w:val="nil"/>
              <w:left w:val="single" w:sz="4" w:space="0" w:color="auto"/>
              <w:bottom w:val="single" w:sz="4" w:space="0" w:color="auto"/>
              <w:right w:val="nil"/>
            </w:tcBorders>
            <w:shd w:val="clear" w:color="auto" w:fill="auto"/>
            <w:noWrap/>
            <w:vAlign w:val="center"/>
            <w:hideMark/>
          </w:tcPr>
          <w:p w14:paraId="784912F6" w14:textId="77777777" w:rsidR="00387142" w:rsidRPr="008B6A75" w:rsidRDefault="00387142" w:rsidP="00387142">
            <w:pPr>
              <w:jc w:val="center"/>
              <w:rPr>
                <w:sz w:val="20"/>
                <w:szCs w:val="20"/>
              </w:rPr>
            </w:pPr>
            <w:r w:rsidRPr="008B6A75">
              <w:rPr>
                <w:sz w:val="20"/>
                <w:szCs w:val="20"/>
              </w:rPr>
              <w:t>240</w:t>
            </w:r>
          </w:p>
        </w:tc>
        <w:tc>
          <w:tcPr>
            <w:tcW w:w="567" w:type="dxa"/>
            <w:tcBorders>
              <w:top w:val="nil"/>
              <w:left w:val="single" w:sz="4" w:space="0" w:color="auto"/>
              <w:bottom w:val="single" w:sz="4" w:space="0" w:color="auto"/>
              <w:right w:val="nil"/>
            </w:tcBorders>
            <w:shd w:val="clear" w:color="auto" w:fill="auto"/>
            <w:noWrap/>
            <w:vAlign w:val="center"/>
            <w:hideMark/>
          </w:tcPr>
          <w:p w14:paraId="26696BB1" w14:textId="77777777" w:rsidR="00387142" w:rsidRPr="008B6A75" w:rsidRDefault="00387142" w:rsidP="00387142">
            <w:pPr>
              <w:jc w:val="center"/>
              <w:rPr>
                <w:sz w:val="20"/>
                <w:szCs w:val="20"/>
              </w:rPr>
            </w:pPr>
            <w:r w:rsidRPr="008B6A75">
              <w:rPr>
                <w:sz w:val="20"/>
                <w:szCs w:val="20"/>
              </w:rPr>
              <w:t>10</w:t>
            </w:r>
          </w:p>
        </w:tc>
        <w:tc>
          <w:tcPr>
            <w:tcW w:w="567" w:type="dxa"/>
            <w:tcBorders>
              <w:top w:val="nil"/>
              <w:left w:val="single" w:sz="4" w:space="0" w:color="auto"/>
              <w:bottom w:val="single" w:sz="4" w:space="0" w:color="auto"/>
              <w:right w:val="nil"/>
            </w:tcBorders>
            <w:shd w:val="clear" w:color="auto" w:fill="auto"/>
            <w:noWrap/>
            <w:vAlign w:val="center"/>
            <w:hideMark/>
          </w:tcPr>
          <w:p w14:paraId="355536C0" w14:textId="77777777" w:rsidR="00387142" w:rsidRPr="008B6A75" w:rsidRDefault="00387142" w:rsidP="00387142">
            <w:pPr>
              <w:jc w:val="center"/>
              <w:rPr>
                <w:sz w:val="20"/>
                <w:szCs w:val="20"/>
              </w:rPr>
            </w:pPr>
            <w:r w:rsidRPr="008B6A75">
              <w:rPr>
                <w:sz w:val="20"/>
                <w:szCs w:val="20"/>
              </w:rPr>
              <w:t>06</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122283D" w14:textId="77777777" w:rsidR="00387142" w:rsidRPr="008B6A75" w:rsidRDefault="00387142" w:rsidP="00387142">
            <w:pPr>
              <w:jc w:val="right"/>
              <w:rPr>
                <w:sz w:val="20"/>
                <w:szCs w:val="20"/>
              </w:rPr>
            </w:pPr>
            <w:r w:rsidRPr="008B6A75">
              <w:rPr>
                <w:sz w:val="20"/>
                <w:szCs w:val="20"/>
              </w:rPr>
              <w:t>0,00</w:t>
            </w:r>
          </w:p>
        </w:tc>
        <w:tc>
          <w:tcPr>
            <w:tcW w:w="851" w:type="dxa"/>
            <w:tcBorders>
              <w:top w:val="nil"/>
              <w:left w:val="single" w:sz="4" w:space="0" w:color="auto"/>
              <w:bottom w:val="single" w:sz="4" w:space="0" w:color="auto"/>
              <w:right w:val="nil"/>
            </w:tcBorders>
            <w:shd w:val="clear" w:color="auto" w:fill="auto"/>
            <w:noWrap/>
            <w:vAlign w:val="center"/>
            <w:hideMark/>
          </w:tcPr>
          <w:p w14:paraId="366E6063" w14:textId="77777777" w:rsidR="00387142" w:rsidRPr="008B6A75" w:rsidRDefault="00387142" w:rsidP="00387142">
            <w:pPr>
              <w:jc w:val="right"/>
              <w:rPr>
                <w:sz w:val="20"/>
                <w:szCs w:val="20"/>
              </w:rPr>
            </w:pPr>
            <w:r w:rsidRPr="008B6A75">
              <w:rPr>
                <w:sz w:val="20"/>
                <w:szCs w:val="20"/>
              </w:rPr>
              <w:t>1 080 100,00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43748098" w14:textId="77777777" w:rsidR="00387142" w:rsidRPr="008B6A75" w:rsidRDefault="00387142" w:rsidP="00387142">
            <w:pPr>
              <w:jc w:val="right"/>
              <w:rPr>
                <w:sz w:val="20"/>
                <w:szCs w:val="20"/>
              </w:rPr>
            </w:pPr>
            <w:r w:rsidRPr="008B6A75">
              <w:rPr>
                <w:sz w:val="20"/>
                <w:szCs w:val="20"/>
              </w:rPr>
              <w:t>0,00</w:t>
            </w:r>
          </w:p>
        </w:tc>
      </w:tr>
      <w:tr w:rsidR="00387142" w:rsidRPr="008B6A75" w14:paraId="0A8CCAB9" w14:textId="77777777" w:rsidTr="00387142">
        <w:trPr>
          <w:trHeight w:val="870"/>
        </w:trPr>
        <w:tc>
          <w:tcPr>
            <w:tcW w:w="272" w:type="dxa"/>
            <w:tcBorders>
              <w:top w:val="nil"/>
              <w:left w:val="nil"/>
              <w:bottom w:val="nil"/>
              <w:right w:val="single" w:sz="4" w:space="0" w:color="auto"/>
            </w:tcBorders>
            <w:shd w:val="clear" w:color="auto" w:fill="auto"/>
            <w:noWrap/>
            <w:vAlign w:val="bottom"/>
            <w:hideMark/>
          </w:tcPr>
          <w:p w14:paraId="396093D0"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49136176" w14:textId="77777777" w:rsidR="00387142" w:rsidRPr="008B6A75" w:rsidRDefault="00387142" w:rsidP="00387142">
            <w:pPr>
              <w:rPr>
                <w:sz w:val="20"/>
                <w:szCs w:val="20"/>
              </w:rPr>
            </w:pPr>
            <w:r w:rsidRPr="008B6A75">
              <w:rPr>
                <w:sz w:val="20"/>
                <w:szCs w:val="20"/>
              </w:rPr>
              <w:t>Предоставление субсидий бюджетным, автономным учреждениям и иным некоммерческим организациям</w:t>
            </w:r>
          </w:p>
        </w:tc>
        <w:tc>
          <w:tcPr>
            <w:tcW w:w="1559" w:type="dxa"/>
            <w:tcBorders>
              <w:top w:val="nil"/>
              <w:left w:val="single" w:sz="4" w:space="0" w:color="auto"/>
              <w:bottom w:val="single" w:sz="4" w:space="0" w:color="auto"/>
              <w:right w:val="nil"/>
            </w:tcBorders>
            <w:shd w:val="clear" w:color="auto" w:fill="auto"/>
            <w:noWrap/>
            <w:vAlign w:val="center"/>
            <w:hideMark/>
          </w:tcPr>
          <w:p w14:paraId="078ECFFA" w14:textId="77777777" w:rsidR="00387142" w:rsidRPr="008B6A75" w:rsidRDefault="00387142" w:rsidP="00387142">
            <w:pPr>
              <w:jc w:val="center"/>
              <w:rPr>
                <w:sz w:val="20"/>
                <w:szCs w:val="20"/>
              </w:rPr>
            </w:pPr>
            <w:r w:rsidRPr="008B6A75">
              <w:rPr>
                <w:sz w:val="20"/>
                <w:szCs w:val="20"/>
              </w:rPr>
              <w:t>99.0.00.70820</w:t>
            </w:r>
          </w:p>
        </w:tc>
        <w:tc>
          <w:tcPr>
            <w:tcW w:w="850" w:type="dxa"/>
            <w:tcBorders>
              <w:top w:val="nil"/>
              <w:left w:val="single" w:sz="4" w:space="0" w:color="auto"/>
              <w:bottom w:val="single" w:sz="4" w:space="0" w:color="auto"/>
              <w:right w:val="nil"/>
            </w:tcBorders>
            <w:shd w:val="clear" w:color="auto" w:fill="auto"/>
            <w:noWrap/>
            <w:vAlign w:val="center"/>
            <w:hideMark/>
          </w:tcPr>
          <w:p w14:paraId="0CCD50B6" w14:textId="77777777" w:rsidR="00387142" w:rsidRPr="008B6A75" w:rsidRDefault="00387142" w:rsidP="00387142">
            <w:pPr>
              <w:jc w:val="center"/>
              <w:rPr>
                <w:sz w:val="20"/>
                <w:szCs w:val="20"/>
              </w:rPr>
            </w:pPr>
            <w:r w:rsidRPr="008B6A75">
              <w:rPr>
                <w:sz w:val="20"/>
                <w:szCs w:val="20"/>
              </w:rPr>
              <w:t>600</w:t>
            </w:r>
          </w:p>
        </w:tc>
        <w:tc>
          <w:tcPr>
            <w:tcW w:w="567" w:type="dxa"/>
            <w:tcBorders>
              <w:top w:val="nil"/>
              <w:left w:val="single" w:sz="4" w:space="0" w:color="auto"/>
              <w:bottom w:val="single" w:sz="4" w:space="0" w:color="auto"/>
              <w:right w:val="nil"/>
            </w:tcBorders>
            <w:shd w:val="clear" w:color="auto" w:fill="auto"/>
            <w:noWrap/>
            <w:vAlign w:val="center"/>
            <w:hideMark/>
          </w:tcPr>
          <w:p w14:paraId="3B9E1402" w14:textId="77777777" w:rsidR="00387142" w:rsidRPr="008B6A75" w:rsidRDefault="00387142" w:rsidP="00387142">
            <w:pPr>
              <w:jc w:val="center"/>
              <w:rPr>
                <w:sz w:val="20"/>
                <w:szCs w:val="20"/>
              </w:rPr>
            </w:pPr>
            <w:r w:rsidRPr="008B6A75">
              <w:rPr>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3A726BEA" w14:textId="77777777" w:rsidR="00387142" w:rsidRPr="008B6A75" w:rsidRDefault="00387142" w:rsidP="00387142">
            <w:pPr>
              <w:jc w:val="center"/>
              <w:rPr>
                <w:sz w:val="20"/>
                <w:szCs w:val="20"/>
              </w:rPr>
            </w:pPr>
            <w:r w:rsidRPr="008B6A75">
              <w:rPr>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2A2CC05" w14:textId="77777777" w:rsidR="00387142" w:rsidRPr="008B6A75" w:rsidRDefault="00387142" w:rsidP="00387142">
            <w:pPr>
              <w:jc w:val="right"/>
              <w:rPr>
                <w:sz w:val="20"/>
                <w:szCs w:val="20"/>
              </w:rPr>
            </w:pPr>
            <w:r w:rsidRPr="008B6A75">
              <w:rPr>
                <w:sz w:val="20"/>
                <w:szCs w:val="20"/>
              </w:rPr>
              <w:t>656 300,00</w:t>
            </w:r>
          </w:p>
        </w:tc>
        <w:tc>
          <w:tcPr>
            <w:tcW w:w="851" w:type="dxa"/>
            <w:tcBorders>
              <w:top w:val="nil"/>
              <w:left w:val="single" w:sz="4" w:space="0" w:color="auto"/>
              <w:bottom w:val="single" w:sz="4" w:space="0" w:color="auto"/>
              <w:right w:val="nil"/>
            </w:tcBorders>
            <w:shd w:val="clear" w:color="auto" w:fill="auto"/>
            <w:noWrap/>
            <w:vAlign w:val="center"/>
            <w:hideMark/>
          </w:tcPr>
          <w:p w14:paraId="4A79B7C1" w14:textId="77777777" w:rsidR="00387142" w:rsidRPr="008B6A75" w:rsidRDefault="00387142" w:rsidP="00387142">
            <w:pPr>
              <w:jc w:val="right"/>
              <w:rPr>
                <w:sz w:val="20"/>
                <w:szCs w:val="20"/>
              </w:rPr>
            </w:pPr>
            <w:r w:rsidRPr="008B6A75">
              <w:rPr>
                <w:sz w:val="20"/>
                <w:szCs w:val="20"/>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3A8B3C15" w14:textId="77777777" w:rsidR="00387142" w:rsidRPr="008B6A75" w:rsidRDefault="00387142" w:rsidP="00387142">
            <w:pPr>
              <w:jc w:val="right"/>
              <w:rPr>
                <w:sz w:val="20"/>
                <w:szCs w:val="20"/>
              </w:rPr>
            </w:pPr>
            <w:r w:rsidRPr="008B6A75">
              <w:rPr>
                <w:sz w:val="20"/>
                <w:szCs w:val="20"/>
              </w:rPr>
              <w:t>0,00</w:t>
            </w:r>
          </w:p>
        </w:tc>
      </w:tr>
      <w:tr w:rsidR="00387142" w:rsidRPr="008B6A75" w14:paraId="68107D32" w14:textId="77777777" w:rsidTr="00387142">
        <w:trPr>
          <w:trHeight w:val="300"/>
        </w:trPr>
        <w:tc>
          <w:tcPr>
            <w:tcW w:w="272" w:type="dxa"/>
            <w:tcBorders>
              <w:top w:val="nil"/>
              <w:left w:val="nil"/>
              <w:bottom w:val="nil"/>
              <w:right w:val="single" w:sz="4" w:space="0" w:color="auto"/>
            </w:tcBorders>
            <w:shd w:val="clear" w:color="auto" w:fill="auto"/>
            <w:noWrap/>
            <w:vAlign w:val="bottom"/>
            <w:hideMark/>
          </w:tcPr>
          <w:p w14:paraId="5649CD8F"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685FC32F" w14:textId="77777777" w:rsidR="00387142" w:rsidRPr="008B6A75" w:rsidRDefault="00387142" w:rsidP="00387142">
            <w:pPr>
              <w:rPr>
                <w:sz w:val="20"/>
                <w:szCs w:val="20"/>
              </w:rPr>
            </w:pPr>
            <w:r w:rsidRPr="008B6A75">
              <w:rPr>
                <w:sz w:val="20"/>
                <w:szCs w:val="20"/>
              </w:rPr>
              <w:t>Субсидии бюджетным учреждениям</w:t>
            </w:r>
          </w:p>
        </w:tc>
        <w:tc>
          <w:tcPr>
            <w:tcW w:w="1559" w:type="dxa"/>
            <w:tcBorders>
              <w:top w:val="nil"/>
              <w:left w:val="single" w:sz="4" w:space="0" w:color="auto"/>
              <w:bottom w:val="single" w:sz="4" w:space="0" w:color="auto"/>
              <w:right w:val="nil"/>
            </w:tcBorders>
            <w:shd w:val="clear" w:color="auto" w:fill="auto"/>
            <w:noWrap/>
            <w:vAlign w:val="center"/>
            <w:hideMark/>
          </w:tcPr>
          <w:p w14:paraId="3CCFD2EB" w14:textId="77777777" w:rsidR="00387142" w:rsidRPr="008B6A75" w:rsidRDefault="00387142" w:rsidP="00387142">
            <w:pPr>
              <w:jc w:val="center"/>
              <w:rPr>
                <w:sz w:val="20"/>
                <w:szCs w:val="20"/>
              </w:rPr>
            </w:pPr>
            <w:r w:rsidRPr="008B6A75">
              <w:rPr>
                <w:sz w:val="20"/>
                <w:szCs w:val="20"/>
              </w:rPr>
              <w:t>99.0.00.70820</w:t>
            </w:r>
          </w:p>
        </w:tc>
        <w:tc>
          <w:tcPr>
            <w:tcW w:w="850" w:type="dxa"/>
            <w:tcBorders>
              <w:top w:val="nil"/>
              <w:left w:val="single" w:sz="4" w:space="0" w:color="auto"/>
              <w:bottom w:val="single" w:sz="4" w:space="0" w:color="auto"/>
              <w:right w:val="nil"/>
            </w:tcBorders>
            <w:shd w:val="clear" w:color="auto" w:fill="auto"/>
            <w:noWrap/>
            <w:vAlign w:val="center"/>
            <w:hideMark/>
          </w:tcPr>
          <w:p w14:paraId="0BDB49FB" w14:textId="77777777" w:rsidR="00387142" w:rsidRPr="008B6A75" w:rsidRDefault="00387142" w:rsidP="00387142">
            <w:pPr>
              <w:jc w:val="center"/>
              <w:rPr>
                <w:sz w:val="20"/>
                <w:szCs w:val="20"/>
              </w:rPr>
            </w:pPr>
            <w:r w:rsidRPr="008B6A75">
              <w:rPr>
                <w:sz w:val="20"/>
                <w:szCs w:val="20"/>
              </w:rPr>
              <w:t>610</w:t>
            </w:r>
          </w:p>
        </w:tc>
        <w:tc>
          <w:tcPr>
            <w:tcW w:w="567" w:type="dxa"/>
            <w:tcBorders>
              <w:top w:val="nil"/>
              <w:left w:val="single" w:sz="4" w:space="0" w:color="auto"/>
              <w:bottom w:val="single" w:sz="4" w:space="0" w:color="auto"/>
              <w:right w:val="nil"/>
            </w:tcBorders>
            <w:shd w:val="clear" w:color="auto" w:fill="auto"/>
            <w:noWrap/>
            <w:vAlign w:val="center"/>
            <w:hideMark/>
          </w:tcPr>
          <w:p w14:paraId="76B1D608" w14:textId="77777777" w:rsidR="00387142" w:rsidRPr="008B6A75" w:rsidRDefault="00387142" w:rsidP="00387142">
            <w:pPr>
              <w:jc w:val="center"/>
              <w:rPr>
                <w:sz w:val="20"/>
                <w:szCs w:val="20"/>
              </w:rPr>
            </w:pPr>
            <w:r w:rsidRPr="008B6A75">
              <w:rPr>
                <w:sz w:val="20"/>
                <w:szCs w:val="20"/>
              </w:rPr>
              <w:t>10</w:t>
            </w:r>
          </w:p>
        </w:tc>
        <w:tc>
          <w:tcPr>
            <w:tcW w:w="567" w:type="dxa"/>
            <w:tcBorders>
              <w:top w:val="nil"/>
              <w:left w:val="single" w:sz="4" w:space="0" w:color="auto"/>
              <w:bottom w:val="single" w:sz="4" w:space="0" w:color="auto"/>
              <w:right w:val="nil"/>
            </w:tcBorders>
            <w:shd w:val="clear" w:color="auto" w:fill="auto"/>
            <w:noWrap/>
            <w:vAlign w:val="center"/>
            <w:hideMark/>
          </w:tcPr>
          <w:p w14:paraId="1F6CE56C" w14:textId="77777777" w:rsidR="00387142" w:rsidRPr="008B6A75" w:rsidRDefault="00387142" w:rsidP="00387142">
            <w:pPr>
              <w:jc w:val="center"/>
              <w:rPr>
                <w:sz w:val="20"/>
                <w:szCs w:val="20"/>
              </w:rPr>
            </w:pPr>
            <w:r w:rsidRPr="008B6A75">
              <w:rPr>
                <w:sz w:val="20"/>
                <w:szCs w:val="20"/>
              </w:rPr>
              <w:t>06</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FAA2518" w14:textId="77777777" w:rsidR="00387142" w:rsidRPr="008B6A75" w:rsidRDefault="00387142" w:rsidP="00387142">
            <w:pPr>
              <w:jc w:val="right"/>
              <w:rPr>
                <w:sz w:val="20"/>
                <w:szCs w:val="20"/>
              </w:rPr>
            </w:pPr>
            <w:r w:rsidRPr="008B6A75">
              <w:rPr>
                <w:sz w:val="20"/>
                <w:szCs w:val="20"/>
              </w:rPr>
              <w:t>656 300,00</w:t>
            </w:r>
          </w:p>
        </w:tc>
        <w:tc>
          <w:tcPr>
            <w:tcW w:w="851" w:type="dxa"/>
            <w:tcBorders>
              <w:top w:val="nil"/>
              <w:left w:val="single" w:sz="4" w:space="0" w:color="auto"/>
              <w:bottom w:val="single" w:sz="4" w:space="0" w:color="auto"/>
              <w:right w:val="nil"/>
            </w:tcBorders>
            <w:shd w:val="clear" w:color="auto" w:fill="auto"/>
            <w:noWrap/>
            <w:vAlign w:val="center"/>
            <w:hideMark/>
          </w:tcPr>
          <w:p w14:paraId="2D5DE0C9" w14:textId="77777777" w:rsidR="00387142" w:rsidRPr="008B6A75" w:rsidRDefault="00387142" w:rsidP="00387142">
            <w:pPr>
              <w:jc w:val="right"/>
              <w:rPr>
                <w:sz w:val="20"/>
                <w:szCs w:val="20"/>
              </w:rPr>
            </w:pPr>
            <w:r w:rsidRPr="008B6A75">
              <w:rPr>
                <w:sz w:val="20"/>
                <w:szCs w:val="20"/>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05855B69" w14:textId="77777777" w:rsidR="00387142" w:rsidRPr="008B6A75" w:rsidRDefault="00387142" w:rsidP="00387142">
            <w:pPr>
              <w:jc w:val="right"/>
              <w:rPr>
                <w:sz w:val="20"/>
                <w:szCs w:val="20"/>
              </w:rPr>
            </w:pPr>
            <w:r w:rsidRPr="008B6A75">
              <w:rPr>
                <w:sz w:val="20"/>
                <w:szCs w:val="20"/>
              </w:rPr>
              <w:t>0,00</w:t>
            </w:r>
          </w:p>
        </w:tc>
      </w:tr>
      <w:tr w:rsidR="00387142" w:rsidRPr="008B6A75" w14:paraId="22308BF0" w14:textId="77777777" w:rsidTr="00387142">
        <w:trPr>
          <w:trHeight w:val="2295"/>
        </w:trPr>
        <w:tc>
          <w:tcPr>
            <w:tcW w:w="272" w:type="dxa"/>
            <w:tcBorders>
              <w:top w:val="nil"/>
              <w:left w:val="nil"/>
              <w:bottom w:val="nil"/>
              <w:right w:val="single" w:sz="4" w:space="0" w:color="auto"/>
            </w:tcBorders>
            <w:shd w:val="clear" w:color="auto" w:fill="auto"/>
            <w:noWrap/>
            <w:vAlign w:val="bottom"/>
            <w:hideMark/>
          </w:tcPr>
          <w:p w14:paraId="5B9FCDE4"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1CAA7ECB" w14:textId="77777777" w:rsidR="00387142" w:rsidRPr="008B6A75" w:rsidRDefault="00387142" w:rsidP="00387142">
            <w:pPr>
              <w:rPr>
                <w:bCs/>
                <w:sz w:val="20"/>
                <w:szCs w:val="20"/>
              </w:rPr>
            </w:pPr>
            <w:r w:rsidRPr="008B6A75">
              <w:rPr>
                <w:bCs/>
                <w:sz w:val="20"/>
                <w:szCs w:val="20"/>
              </w:rPr>
              <w:t>Реализация мероприятий на оплату расходов, связанных со строительством специализированного жилищного фонда для предоставления отдельным категориям граждан, государственной программы Новосибирской области «Стимулирование развития жилищного строительства в Новосибирской области»</w:t>
            </w:r>
          </w:p>
        </w:tc>
        <w:tc>
          <w:tcPr>
            <w:tcW w:w="1559" w:type="dxa"/>
            <w:tcBorders>
              <w:top w:val="nil"/>
              <w:left w:val="single" w:sz="4" w:space="0" w:color="auto"/>
              <w:bottom w:val="single" w:sz="4" w:space="0" w:color="auto"/>
              <w:right w:val="nil"/>
            </w:tcBorders>
            <w:shd w:val="clear" w:color="auto" w:fill="auto"/>
            <w:noWrap/>
            <w:vAlign w:val="center"/>
            <w:hideMark/>
          </w:tcPr>
          <w:p w14:paraId="53CEF8DA" w14:textId="77777777" w:rsidR="00387142" w:rsidRPr="008B6A75" w:rsidRDefault="00387142" w:rsidP="00387142">
            <w:pPr>
              <w:jc w:val="center"/>
              <w:rPr>
                <w:bCs/>
                <w:sz w:val="20"/>
                <w:szCs w:val="20"/>
              </w:rPr>
            </w:pPr>
            <w:r w:rsidRPr="008B6A75">
              <w:rPr>
                <w:bCs/>
                <w:sz w:val="20"/>
                <w:szCs w:val="20"/>
              </w:rPr>
              <w:t>99.0.00.70830</w:t>
            </w:r>
          </w:p>
        </w:tc>
        <w:tc>
          <w:tcPr>
            <w:tcW w:w="850" w:type="dxa"/>
            <w:tcBorders>
              <w:top w:val="nil"/>
              <w:left w:val="single" w:sz="4" w:space="0" w:color="auto"/>
              <w:bottom w:val="single" w:sz="4" w:space="0" w:color="auto"/>
              <w:right w:val="nil"/>
            </w:tcBorders>
            <w:shd w:val="clear" w:color="auto" w:fill="auto"/>
            <w:noWrap/>
            <w:vAlign w:val="center"/>
            <w:hideMark/>
          </w:tcPr>
          <w:p w14:paraId="462DAB7F" w14:textId="77777777" w:rsidR="00387142" w:rsidRPr="008B6A75" w:rsidRDefault="00387142" w:rsidP="00387142">
            <w:pPr>
              <w:jc w:val="center"/>
              <w:rPr>
                <w:bCs/>
                <w:sz w:val="20"/>
                <w:szCs w:val="20"/>
              </w:rPr>
            </w:pPr>
            <w:r w:rsidRPr="008B6A75">
              <w:rPr>
                <w:bCs/>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6118FAFB" w14:textId="77777777" w:rsidR="00387142" w:rsidRPr="008B6A75" w:rsidRDefault="00387142" w:rsidP="00387142">
            <w:pPr>
              <w:jc w:val="center"/>
              <w:rPr>
                <w:bCs/>
                <w:sz w:val="20"/>
                <w:szCs w:val="20"/>
              </w:rPr>
            </w:pPr>
            <w:r w:rsidRPr="008B6A75">
              <w:rPr>
                <w:bCs/>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166152D7" w14:textId="77777777" w:rsidR="00387142" w:rsidRPr="008B6A75" w:rsidRDefault="00387142" w:rsidP="00387142">
            <w:pPr>
              <w:jc w:val="center"/>
              <w:rPr>
                <w:bCs/>
                <w:sz w:val="20"/>
                <w:szCs w:val="20"/>
              </w:rPr>
            </w:pPr>
            <w:r w:rsidRPr="008B6A75">
              <w:rPr>
                <w:bCs/>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EB3CBE9" w14:textId="77777777" w:rsidR="00387142" w:rsidRPr="008B6A75" w:rsidRDefault="00387142" w:rsidP="00387142">
            <w:pPr>
              <w:jc w:val="right"/>
              <w:rPr>
                <w:bCs/>
                <w:sz w:val="20"/>
                <w:szCs w:val="20"/>
              </w:rPr>
            </w:pPr>
            <w:r w:rsidRPr="008B6A75">
              <w:rPr>
                <w:bCs/>
                <w:sz w:val="20"/>
                <w:szCs w:val="20"/>
              </w:rPr>
              <w:t>15 781 000,00</w:t>
            </w:r>
          </w:p>
        </w:tc>
        <w:tc>
          <w:tcPr>
            <w:tcW w:w="851" w:type="dxa"/>
            <w:tcBorders>
              <w:top w:val="nil"/>
              <w:left w:val="single" w:sz="4" w:space="0" w:color="auto"/>
              <w:bottom w:val="single" w:sz="4" w:space="0" w:color="auto"/>
              <w:right w:val="nil"/>
            </w:tcBorders>
            <w:shd w:val="clear" w:color="auto" w:fill="auto"/>
            <w:noWrap/>
            <w:vAlign w:val="center"/>
            <w:hideMark/>
          </w:tcPr>
          <w:p w14:paraId="42A28043" w14:textId="77777777" w:rsidR="00387142" w:rsidRPr="008B6A75" w:rsidRDefault="00387142" w:rsidP="00387142">
            <w:pPr>
              <w:jc w:val="right"/>
              <w:rPr>
                <w:bCs/>
                <w:sz w:val="20"/>
                <w:szCs w:val="20"/>
              </w:rPr>
            </w:pPr>
            <w:r w:rsidRPr="008B6A75">
              <w:rPr>
                <w:bCs/>
                <w:sz w:val="20"/>
                <w:szCs w:val="20"/>
              </w:rPr>
              <w:t>7 590 400,00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6F1F6347" w14:textId="77777777" w:rsidR="00387142" w:rsidRPr="008B6A75" w:rsidRDefault="00387142" w:rsidP="00387142">
            <w:pPr>
              <w:jc w:val="right"/>
              <w:rPr>
                <w:bCs/>
                <w:sz w:val="20"/>
                <w:szCs w:val="20"/>
              </w:rPr>
            </w:pPr>
            <w:r w:rsidRPr="008B6A75">
              <w:rPr>
                <w:bCs/>
                <w:sz w:val="20"/>
                <w:szCs w:val="20"/>
              </w:rPr>
              <w:t>5 290 300,00</w:t>
            </w:r>
          </w:p>
        </w:tc>
      </w:tr>
      <w:tr w:rsidR="00387142" w:rsidRPr="008B6A75" w14:paraId="5681A124" w14:textId="77777777" w:rsidTr="00387142">
        <w:trPr>
          <w:trHeight w:val="870"/>
        </w:trPr>
        <w:tc>
          <w:tcPr>
            <w:tcW w:w="272" w:type="dxa"/>
            <w:tcBorders>
              <w:top w:val="nil"/>
              <w:left w:val="nil"/>
              <w:bottom w:val="nil"/>
              <w:right w:val="single" w:sz="4" w:space="0" w:color="auto"/>
            </w:tcBorders>
            <w:shd w:val="clear" w:color="auto" w:fill="auto"/>
            <w:noWrap/>
            <w:vAlign w:val="bottom"/>
            <w:hideMark/>
          </w:tcPr>
          <w:p w14:paraId="3B753474"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1A6A1DCF" w14:textId="77777777" w:rsidR="00387142" w:rsidRPr="008B6A75" w:rsidRDefault="00387142" w:rsidP="00387142">
            <w:pPr>
              <w:rPr>
                <w:sz w:val="20"/>
                <w:szCs w:val="20"/>
              </w:rPr>
            </w:pPr>
            <w:r w:rsidRPr="008B6A75">
              <w:rPr>
                <w:sz w:val="20"/>
                <w:szCs w:val="20"/>
              </w:rPr>
              <w:t>Капитальные вложения в объекты государственной (муниципальной) собственности</w:t>
            </w:r>
          </w:p>
        </w:tc>
        <w:tc>
          <w:tcPr>
            <w:tcW w:w="1559" w:type="dxa"/>
            <w:tcBorders>
              <w:top w:val="nil"/>
              <w:left w:val="single" w:sz="4" w:space="0" w:color="auto"/>
              <w:bottom w:val="single" w:sz="4" w:space="0" w:color="auto"/>
              <w:right w:val="nil"/>
            </w:tcBorders>
            <w:shd w:val="clear" w:color="auto" w:fill="auto"/>
            <w:noWrap/>
            <w:vAlign w:val="center"/>
            <w:hideMark/>
          </w:tcPr>
          <w:p w14:paraId="7406559A" w14:textId="77777777" w:rsidR="00387142" w:rsidRPr="008B6A75" w:rsidRDefault="00387142" w:rsidP="00387142">
            <w:pPr>
              <w:jc w:val="center"/>
              <w:rPr>
                <w:sz w:val="20"/>
                <w:szCs w:val="20"/>
              </w:rPr>
            </w:pPr>
            <w:r w:rsidRPr="008B6A75">
              <w:rPr>
                <w:sz w:val="20"/>
                <w:szCs w:val="20"/>
              </w:rPr>
              <w:t>99.0.00.70830</w:t>
            </w:r>
          </w:p>
        </w:tc>
        <w:tc>
          <w:tcPr>
            <w:tcW w:w="850" w:type="dxa"/>
            <w:tcBorders>
              <w:top w:val="nil"/>
              <w:left w:val="single" w:sz="4" w:space="0" w:color="auto"/>
              <w:bottom w:val="single" w:sz="4" w:space="0" w:color="auto"/>
              <w:right w:val="nil"/>
            </w:tcBorders>
            <w:shd w:val="clear" w:color="auto" w:fill="auto"/>
            <w:noWrap/>
            <w:vAlign w:val="center"/>
            <w:hideMark/>
          </w:tcPr>
          <w:p w14:paraId="320EF91F" w14:textId="77777777" w:rsidR="00387142" w:rsidRPr="008B6A75" w:rsidRDefault="00387142" w:rsidP="00387142">
            <w:pPr>
              <w:jc w:val="center"/>
              <w:rPr>
                <w:sz w:val="20"/>
                <w:szCs w:val="20"/>
              </w:rPr>
            </w:pPr>
            <w:r w:rsidRPr="008B6A75">
              <w:rPr>
                <w:sz w:val="20"/>
                <w:szCs w:val="20"/>
              </w:rPr>
              <w:t>400</w:t>
            </w:r>
          </w:p>
        </w:tc>
        <w:tc>
          <w:tcPr>
            <w:tcW w:w="567" w:type="dxa"/>
            <w:tcBorders>
              <w:top w:val="nil"/>
              <w:left w:val="single" w:sz="4" w:space="0" w:color="auto"/>
              <w:bottom w:val="single" w:sz="4" w:space="0" w:color="auto"/>
              <w:right w:val="nil"/>
            </w:tcBorders>
            <w:shd w:val="clear" w:color="auto" w:fill="auto"/>
            <w:noWrap/>
            <w:vAlign w:val="center"/>
            <w:hideMark/>
          </w:tcPr>
          <w:p w14:paraId="0377DDA0" w14:textId="77777777" w:rsidR="00387142" w:rsidRPr="008B6A75" w:rsidRDefault="00387142" w:rsidP="00387142">
            <w:pPr>
              <w:jc w:val="center"/>
              <w:rPr>
                <w:sz w:val="20"/>
                <w:szCs w:val="20"/>
              </w:rPr>
            </w:pPr>
            <w:r w:rsidRPr="008B6A75">
              <w:rPr>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287E01EB" w14:textId="77777777" w:rsidR="00387142" w:rsidRPr="008B6A75" w:rsidRDefault="00387142" w:rsidP="00387142">
            <w:pPr>
              <w:jc w:val="center"/>
              <w:rPr>
                <w:sz w:val="20"/>
                <w:szCs w:val="20"/>
              </w:rPr>
            </w:pPr>
            <w:r w:rsidRPr="008B6A75">
              <w:rPr>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51C5018" w14:textId="77777777" w:rsidR="00387142" w:rsidRPr="008B6A75" w:rsidRDefault="00387142" w:rsidP="00387142">
            <w:pPr>
              <w:jc w:val="right"/>
              <w:rPr>
                <w:sz w:val="20"/>
                <w:szCs w:val="20"/>
              </w:rPr>
            </w:pPr>
            <w:r w:rsidRPr="008B6A75">
              <w:rPr>
                <w:sz w:val="20"/>
                <w:szCs w:val="20"/>
              </w:rPr>
              <w:t>15 781 000,00</w:t>
            </w:r>
          </w:p>
        </w:tc>
        <w:tc>
          <w:tcPr>
            <w:tcW w:w="851" w:type="dxa"/>
            <w:tcBorders>
              <w:top w:val="nil"/>
              <w:left w:val="single" w:sz="4" w:space="0" w:color="auto"/>
              <w:bottom w:val="single" w:sz="4" w:space="0" w:color="auto"/>
              <w:right w:val="nil"/>
            </w:tcBorders>
            <w:shd w:val="clear" w:color="auto" w:fill="auto"/>
            <w:noWrap/>
            <w:vAlign w:val="center"/>
            <w:hideMark/>
          </w:tcPr>
          <w:p w14:paraId="2A395348" w14:textId="77777777" w:rsidR="00387142" w:rsidRPr="008B6A75" w:rsidRDefault="00387142" w:rsidP="00387142">
            <w:pPr>
              <w:jc w:val="right"/>
              <w:rPr>
                <w:sz w:val="20"/>
                <w:szCs w:val="20"/>
              </w:rPr>
            </w:pPr>
            <w:r w:rsidRPr="008B6A75">
              <w:rPr>
                <w:sz w:val="20"/>
                <w:szCs w:val="20"/>
              </w:rPr>
              <w:t>7 590 400,00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743CAB39" w14:textId="77777777" w:rsidR="00387142" w:rsidRPr="008B6A75" w:rsidRDefault="00387142" w:rsidP="00387142">
            <w:pPr>
              <w:jc w:val="right"/>
              <w:rPr>
                <w:sz w:val="20"/>
                <w:szCs w:val="20"/>
              </w:rPr>
            </w:pPr>
            <w:r w:rsidRPr="008B6A75">
              <w:rPr>
                <w:sz w:val="20"/>
                <w:szCs w:val="20"/>
              </w:rPr>
              <w:t>5 290 300,00</w:t>
            </w:r>
          </w:p>
        </w:tc>
      </w:tr>
      <w:tr w:rsidR="00387142" w:rsidRPr="008B6A75" w14:paraId="4152E901" w14:textId="77777777" w:rsidTr="00387142">
        <w:trPr>
          <w:trHeight w:val="300"/>
        </w:trPr>
        <w:tc>
          <w:tcPr>
            <w:tcW w:w="272" w:type="dxa"/>
            <w:tcBorders>
              <w:top w:val="nil"/>
              <w:left w:val="nil"/>
              <w:bottom w:val="nil"/>
              <w:right w:val="single" w:sz="4" w:space="0" w:color="auto"/>
            </w:tcBorders>
            <w:shd w:val="clear" w:color="auto" w:fill="auto"/>
            <w:noWrap/>
            <w:vAlign w:val="bottom"/>
            <w:hideMark/>
          </w:tcPr>
          <w:p w14:paraId="460FD099"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67C25459" w14:textId="77777777" w:rsidR="00387142" w:rsidRPr="008B6A75" w:rsidRDefault="00387142" w:rsidP="00387142">
            <w:pPr>
              <w:rPr>
                <w:sz w:val="20"/>
                <w:szCs w:val="20"/>
              </w:rPr>
            </w:pPr>
            <w:r w:rsidRPr="008B6A75">
              <w:rPr>
                <w:sz w:val="20"/>
                <w:szCs w:val="20"/>
              </w:rPr>
              <w:t>Бюджетные инвестиции</w:t>
            </w:r>
          </w:p>
        </w:tc>
        <w:tc>
          <w:tcPr>
            <w:tcW w:w="1559" w:type="dxa"/>
            <w:tcBorders>
              <w:top w:val="nil"/>
              <w:left w:val="single" w:sz="4" w:space="0" w:color="auto"/>
              <w:bottom w:val="single" w:sz="4" w:space="0" w:color="auto"/>
              <w:right w:val="nil"/>
            </w:tcBorders>
            <w:shd w:val="clear" w:color="auto" w:fill="auto"/>
            <w:noWrap/>
            <w:vAlign w:val="center"/>
            <w:hideMark/>
          </w:tcPr>
          <w:p w14:paraId="252AC136" w14:textId="77777777" w:rsidR="00387142" w:rsidRPr="008B6A75" w:rsidRDefault="00387142" w:rsidP="00387142">
            <w:pPr>
              <w:jc w:val="center"/>
              <w:rPr>
                <w:sz w:val="20"/>
                <w:szCs w:val="20"/>
              </w:rPr>
            </w:pPr>
            <w:r w:rsidRPr="008B6A75">
              <w:rPr>
                <w:sz w:val="20"/>
                <w:szCs w:val="20"/>
              </w:rPr>
              <w:t>99.0.00.70830</w:t>
            </w:r>
          </w:p>
        </w:tc>
        <w:tc>
          <w:tcPr>
            <w:tcW w:w="850" w:type="dxa"/>
            <w:tcBorders>
              <w:top w:val="nil"/>
              <w:left w:val="single" w:sz="4" w:space="0" w:color="auto"/>
              <w:bottom w:val="single" w:sz="4" w:space="0" w:color="auto"/>
              <w:right w:val="nil"/>
            </w:tcBorders>
            <w:shd w:val="clear" w:color="auto" w:fill="auto"/>
            <w:noWrap/>
            <w:vAlign w:val="center"/>
            <w:hideMark/>
          </w:tcPr>
          <w:p w14:paraId="7442F727" w14:textId="77777777" w:rsidR="00387142" w:rsidRPr="008B6A75" w:rsidRDefault="00387142" w:rsidP="00387142">
            <w:pPr>
              <w:jc w:val="center"/>
              <w:rPr>
                <w:sz w:val="20"/>
                <w:szCs w:val="20"/>
              </w:rPr>
            </w:pPr>
            <w:r w:rsidRPr="008B6A75">
              <w:rPr>
                <w:sz w:val="20"/>
                <w:szCs w:val="20"/>
              </w:rPr>
              <w:t>410</w:t>
            </w:r>
          </w:p>
        </w:tc>
        <w:tc>
          <w:tcPr>
            <w:tcW w:w="567" w:type="dxa"/>
            <w:tcBorders>
              <w:top w:val="nil"/>
              <w:left w:val="single" w:sz="4" w:space="0" w:color="auto"/>
              <w:bottom w:val="single" w:sz="4" w:space="0" w:color="auto"/>
              <w:right w:val="nil"/>
            </w:tcBorders>
            <w:shd w:val="clear" w:color="auto" w:fill="auto"/>
            <w:noWrap/>
            <w:vAlign w:val="center"/>
            <w:hideMark/>
          </w:tcPr>
          <w:p w14:paraId="48107865" w14:textId="77777777" w:rsidR="00387142" w:rsidRPr="008B6A75" w:rsidRDefault="00387142" w:rsidP="00387142">
            <w:pPr>
              <w:jc w:val="center"/>
              <w:rPr>
                <w:sz w:val="20"/>
                <w:szCs w:val="20"/>
              </w:rPr>
            </w:pPr>
            <w:r w:rsidRPr="008B6A75">
              <w:rPr>
                <w:sz w:val="20"/>
                <w:szCs w:val="20"/>
              </w:rPr>
              <w:t>05</w:t>
            </w:r>
          </w:p>
        </w:tc>
        <w:tc>
          <w:tcPr>
            <w:tcW w:w="567" w:type="dxa"/>
            <w:tcBorders>
              <w:top w:val="nil"/>
              <w:left w:val="single" w:sz="4" w:space="0" w:color="auto"/>
              <w:bottom w:val="single" w:sz="4" w:space="0" w:color="auto"/>
              <w:right w:val="nil"/>
            </w:tcBorders>
            <w:shd w:val="clear" w:color="auto" w:fill="auto"/>
            <w:noWrap/>
            <w:vAlign w:val="center"/>
            <w:hideMark/>
          </w:tcPr>
          <w:p w14:paraId="3AE7A3D1" w14:textId="77777777" w:rsidR="00387142" w:rsidRPr="008B6A75" w:rsidRDefault="00387142" w:rsidP="00387142">
            <w:pPr>
              <w:jc w:val="center"/>
              <w:rPr>
                <w:sz w:val="20"/>
                <w:szCs w:val="20"/>
              </w:rPr>
            </w:pPr>
            <w:r w:rsidRPr="008B6A75">
              <w:rPr>
                <w:sz w:val="20"/>
                <w:szCs w:val="20"/>
              </w:rPr>
              <w:t>01</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3845CB2" w14:textId="77777777" w:rsidR="00387142" w:rsidRPr="008B6A75" w:rsidRDefault="00387142" w:rsidP="00387142">
            <w:pPr>
              <w:jc w:val="right"/>
              <w:rPr>
                <w:sz w:val="20"/>
                <w:szCs w:val="20"/>
              </w:rPr>
            </w:pPr>
            <w:r w:rsidRPr="008B6A75">
              <w:rPr>
                <w:sz w:val="20"/>
                <w:szCs w:val="20"/>
              </w:rPr>
              <w:t>15 781 000,00</w:t>
            </w:r>
          </w:p>
        </w:tc>
        <w:tc>
          <w:tcPr>
            <w:tcW w:w="851" w:type="dxa"/>
            <w:tcBorders>
              <w:top w:val="nil"/>
              <w:left w:val="single" w:sz="4" w:space="0" w:color="auto"/>
              <w:bottom w:val="single" w:sz="4" w:space="0" w:color="auto"/>
              <w:right w:val="nil"/>
            </w:tcBorders>
            <w:shd w:val="clear" w:color="auto" w:fill="auto"/>
            <w:noWrap/>
            <w:vAlign w:val="center"/>
            <w:hideMark/>
          </w:tcPr>
          <w:p w14:paraId="67E4F559" w14:textId="77777777" w:rsidR="00387142" w:rsidRPr="008B6A75" w:rsidRDefault="00387142" w:rsidP="00387142">
            <w:pPr>
              <w:jc w:val="right"/>
              <w:rPr>
                <w:sz w:val="20"/>
                <w:szCs w:val="20"/>
              </w:rPr>
            </w:pPr>
            <w:r w:rsidRPr="008B6A75">
              <w:rPr>
                <w:sz w:val="20"/>
                <w:szCs w:val="20"/>
              </w:rPr>
              <w:t>7 590 400,00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55A54B9F" w14:textId="77777777" w:rsidR="00387142" w:rsidRPr="008B6A75" w:rsidRDefault="00387142" w:rsidP="00387142">
            <w:pPr>
              <w:jc w:val="right"/>
              <w:rPr>
                <w:sz w:val="20"/>
                <w:szCs w:val="20"/>
              </w:rPr>
            </w:pPr>
            <w:r w:rsidRPr="008B6A75">
              <w:rPr>
                <w:sz w:val="20"/>
                <w:szCs w:val="20"/>
              </w:rPr>
              <w:t>5 290 300,00</w:t>
            </w:r>
          </w:p>
        </w:tc>
      </w:tr>
      <w:tr w:rsidR="00387142" w:rsidRPr="008B6A75" w14:paraId="773483E0" w14:textId="77777777" w:rsidTr="00387142">
        <w:trPr>
          <w:trHeight w:val="3720"/>
        </w:trPr>
        <w:tc>
          <w:tcPr>
            <w:tcW w:w="272" w:type="dxa"/>
            <w:tcBorders>
              <w:top w:val="nil"/>
              <w:left w:val="nil"/>
              <w:bottom w:val="nil"/>
              <w:right w:val="single" w:sz="4" w:space="0" w:color="auto"/>
            </w:tcBorders>
            <w:shd w:val="clear" w:color="auto" w:fill="auto"/>
            <w:noWrap/>
            <w:vAlign w:val="bottom"/>
            <w:hideMark/>
          </w:tcPr>
          <w:p w14:paraId="24C1A7D4"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34502909" w14:textId="77777777" w:rsidR="00387142" w:rsidRPr="008B6A75" w:rsidRDefault="00387142" w:rsidP="00387142">
            <w:pPr>
              <w:rPr>
                <w:bCs/>
                <w:sz w:val="20"/>
                <w:szCs w:val="20"/>
              </w:rPr>
            </w:pPr>
            <w:r w:rsidRPr="008B6A75">
              <w:rPr>
                <w:bCs/>
                <w:sz w:val="20"/>
                <w:szCs w:val="20"/>
              </w:rPr>
              <w:t>Субвенция на возмещение специализированной службе по вопросам похоронного дела стоимости услуг, предоставляемых согласно гарантированному перечню услуг по погребению,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 в случае рождения мертвого ребенка по истечении 154 дней беременности, а также умерших, личность которых не установлена органами внутренних дел</w:t>
            </w:r>
          </w:p>
        </w:tc>
        <w:tc>
          <w:tcPr>
            <w:tcW w:w="1559" w:type="dxa"/>
            <w:tcBorders>
              <w:top w:val="nil"/>
              <w:left w:val="single" w:sz="4" w:space="0" w:color="auto"/>
              <w:bottom w:val="single" w:sz="4" w:space="0" w:color="auto"/>
              <w:right w:val="nil"/>
            </w:tcBorders>
            <w:shd w:val="clear" w:color="auto" w:fill="auto"/>
            <w:noWrap/>
            <w:vAlign w:val="center"/>
            <w:hideMark/>
          </w:tcPr>
          <w:p w14:paraId="024320E1" w14:textId="77777777" w:rsidR="00387142" w:rsidRPr="008B6A75" w:rsidRDefault="00387142" w:rsidP="00387142">
            <w:pPr>
              <w:jc w:val="center"/>
              <w:rPr>
                <w:bCs/>
                <w:sz w:val="20"/>
                <w:szCs w:val="20"/>
              </w:rPr>
            </w:pPr>
            <w:r w:rsidRPr="008B6A75">
              <w:rPr>
                <w:bCs/>
                <w:sz w:val="20"/>
                <w:szCs w:val="20"/>
              </w:rPr>
              <w:t>99.0.00.74860</w:t>
            </w:r>
          </w:p>
        </w:tc>
        <w:tc>
          <w:tcPr>
            <w:tcW w:w="850" w:type="dxa"/>
            <w:tcBorders>
              <w:top w:val="nil"/>
              <w:left w:val="single" w:sz="4" w:space="0" w:color="auto"/>
              <w:bottom w:val="single" w:sz="4" w:space="0" w:color="auto"/>
              <w:right w:val="nil"/>
            </w:tcBorders>
            <w:shd w:val="clear" w:color="auto" w:fill="auto"/>
            <w:noWrap/>
            <w:vAlign w:val="center"/>
            <w:hideMark/>
          </w:tcPr>
          <w:p w14:paraId="64510CB6" w14:textId="77777777" w:rsidR="00387142" w:rsidRPr="008B6A75" w:rsidRDefault="00387142" w:rsidP="00387142">
            <w:pPr>
              <w:jc w:val="center"/>
              <w:rPr>
                <w:bCs/>
                <w:sz w:val="20"/>
                <w:szCs w:val="20"/>
              </w:rPr>
            </w:pPr>
            <w:r w:rsidRPr="008B6A75">
              <w:rPr>
                <w:bCs/>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14618C12" w14:textId="77777777" w:rsidR="00387142" w:rsidRPr="008B6A75" w:rsidRDefault="00387142" w:rsidP="00387142">
            <w:pPr>
              <w:jc w:val="center"/>
              <w:rPr>
                <w:bCs/>
                <w:sz w:val="20"/>
                <w:szCs w:val="20"/>
              </w:rPr>
            </w:pPr>
            <w:r w:rsidRPr="008B6A75">
              <w:rPr>
                <w:bCs/>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7D4752DF" w14:textId="77777777" w:rsidR="00387142" w:rsidRPr="008B6A75" w:rsidRDefault="00387142" w:rsidP="00387142">
            <w:pPr>
              <w:jc w:val="center"/>
              <w:rPr>
                <w:bCs/>
                <w:sz w:val="20"/>
                <w:szCs w:val="20"/>
              </w:rPr>
            </w:pPr>
            <w:r w:rsidRPr="008B6A75">
              <w:rPr>
                <w:bCs/>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4432807" w14:textId="77777777" w:rsidR="00387142" w:rsidRPr="008B6A75" w:rsidRDefault="00387142" w:rsidP="00387142">
            <w:pPr>
              <w:jc w:val="right"/>
              <w:rPr>
                <w:bCs/>
                <w:sz w:val="20"/>
                <w:szCs w:val="20"/>
              </w:rPr>
            </w:pPr>
            <w:r w:rsidRPr="008B6A75">
              <w:rPr>
                <w:bCs/>
                <w:sz w:val="20"/>
                <w:szCs w:val="20"/>
              </w:rPr>
              <w:t>69 646,80</w:t>
            </w:r>
          </w:p>
        </w:tc>
        <w:tc>
          <w:tcPr>
            <w:tcW w:w="851" w:type="dxa"/>
            <w:tcBorders>
              <w:top w:val="nil"/>
              <w:left w:val="single" w:sz="4" w:space="0" w:color="auto"/>
              <w:bottom w:val="single" w:sz="4" w:space="0" w:color="auto"/>
              <w:right w:val="nil"/>
            </w:tcBorders>
            <w:shd w:val="clear" w:color="auto" w:fill="auto"/>
            <w:noWrap/>
            <w:vAlign w:val="center"/>
            <w:hideMark/>
          </w:tcPr>
          <w:p w14:paraId="0F63677E" w14:textId="77777777" w:rsidR="00387142" w:rsidRPr="008B6A75" w:rsidRDefault="00387142" w:rsidP="00387142">
            <w:pPr>
              <w:jc w:val="right"/>
              <w:rPr>
                <w:bCs/>
                <w:sz w:val="20"/>
                <w:szCs w:val="20"/>
              </w:rPr>
            </w:pPr>
            <w:r w:rsidRPr="008B6A75">
              <w:rPr>
                <w:bCs/>
                <w:sz w:val="20"/>
                <w:szCs w:val="20"/>
              </w:rPr>
              <w:t>69 700,00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7386032B" w14:textId="77777777" w:rsidR="00387142" w:rsidRPr="008B6A75" w:rsidRDefault="00387142" w:rsidP="00387142">
            <w:pPr>
              <w:jc w:val="right"/>
              <w:rPr>
                <w:bCs/>
                <w:sz w:val="20"/>
                <w:szCs w:val="20"/>
              </w:rPr>
            </w:pPr>
            <w:r w:rsidRPr="008B6A75">
              <w:rPr>
                <w:bCs/>
                <w:sz w:val="20"/>
                <w:szCs w:val="20"/>
              </w:rPr>
              <w:t>69 700,00</w:t>
            </w:r>
          </w:p>
        </w:tc>
      </w:tr>
      <w:tr w:rsidR="00387142" w:rsidRPr="008B6A75" w14:paraId="1AB9B528" w14:textId="77777777" w:rsidTr="00387142">
        <w:trPr>
          <w:trHeight w:val="585"/>
        </w:trPr>
        <w:tc>
          <w:tcPr>
            <w:tcW w:w="272" w:type="dxa"/>
            <w:tcBorders>
              <w:top w:val="nil"/>
              <w:left w:val="nil"/>
              <w:bottom w:val="nil"/>
              <w:right w:val="single" w:sz="4" w:space="0" w:color="auto"/>
            </w:tcBorders>
            <w:shd w:val="clear" w:color="auto" w:fill="auto"/>
            <w:noWrap/>
            <w:vAlign w:val="bottom"/>
            <w:hideMark/>
          </w:tcPr>
          <w:p w14:paraId="34B420F0"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7D6054B3" w14:textId="77777777" w:rsidR="00387142" w:rsidRPr="008B6A75" w:rsidRDefault="00387142" w:rsidP="00387142">
            <w:pPr>
              <w:rPr>
                <w:sz w:val="20"/>
                <w:szCs w:val="20"/>
              </w:rPr>
            </w:pPr>
            <w:r w:rsidRPr="008B6A75">
              <w:rPr>
                <w:sz w:val="20"/>
                <w:szCs w:val="20"/>
              </w:rPr>
              <w:t>Закупка товаров, работ и услуг для обеспечения государственных (муниципальных) нужд</w:t>
            </w:r>
          </w:p>
        </w:tc>
        <w:tc>
          <w:tcPr>
            <w:tcW w:w="1559" w:type="dxa"/>
            <w:tcBorders>
              <w:top w:val="nil"/>
              <w:left w:val="single" w:sz="4" w:space="0" w:color="auto"/>
              <w:bottom w:val="single" w:sz="4" w:space="0" w:color="auto"/>
              <w:right w:val="nil"/>
            </w:tcBorders>
            <w:shd w:val="clear" w:color="auto" w:fill="auto"/>
            <w:noWrap/>
            <w:vAlign w:val="center"/>
            <w:hideMark/>
          </w:tcPr>
          <w:p w14:paraId="739E5C19" w14:textId="77777777" w:rsidR="00387142" w:rsidRPr="008B6A75" w:rsidRDefault="00387142" w:rsidP="00387142">
            <w:pPr>
              <w:jc w:val="center"/>
              <w:rPr>
                <w:sz w:val="20"/>
                <w:szCs w:val="20"/>
              </w:rPr>
            </w:pPr>
            <w:r w:rsidRPr="008B6A75">
              <w:rPr>
                <w:sz w:val="20"/>
                <w:szCs w:val="20"/>
              </w:rPr>
              <w:t>99.0.00.74860</w:t>
            </w:r>
          </w:p>
        </w:tc>
        <w:tc>
          <w:tcPr>
            <w:tcW w:w="850" w:type="dxa"/>
            <w:tcBorders>
              <w:top w:val="nil"/>
              <w:left w:val="single" w:sz="4" w:space="0" w:color="auto"/>
              <w:bottom w:val="single" w:sz="4" w:space="0" w:color="auto"/>
              <w:right w:val="nil"/>
            </w:tcBorders>
            <w:shd w:val="clear" w:color="auto" w:fill="auto"/>
            <w:noWrap/>
            <w:vAlign w:val="center"/>
            <w:hideMark/>
          </w:tcPr>
          <w:p w14:paraId="1D401BB4" w14:textId="77777777" w:rsidR="00387142" w:rsidRPr="008B6A75" w:rsidRDefault="00387142" w:rsidP="00387142">
            <w:pPr>
              <w:jc w:val="center"/>
              <w:rPr>
                <w:sz w:val="20"/>
                <w:szCs w:val="20"/>
              </w:rPr>
            </w:pPr>
            <w:r w:rsidRPr="008B6A75">
              <w:rPr>
                <w:sz w:val="20"/>
                <w:szCs w:val="20"/>
              </w:rPr>
              <w:t>200</w:t>
            </w:r>
          </w:p>
        </w:tc>
        <w:tc>
          <w:tcPr>
            <w:tcW w:w="567" w:type="dxa"/>
            <w:tcBorders>
              <w:top w:val="nil"/>
              <w:left w:val="single" w:sz="4" w:space="0" w:color="auto"/>
              <w:bottom w:val="single" w:sz="4" w:space="0" w:color="auto"/>
              <w:right w:val="nil"/>
            </w:tcBorders>
            <w:shd w:val="clear" w:color="auto" w:fill="auto"/>
            <w:noWrap/>
            <w:vAlign w:val="center"/>
            <w:hideMark/>
          </w:tcPr>
          <w:p w14:paraId="3F737C2B" w14:textId="77777777" w:rsidR="00387142" w:rsidRPr="008B6A75" w:rsidRDefault="00387142" w:rsidP="00387142">
            <w:pPr>
              <w:jc w:val="center"/>
              <w:rPr>
                <w:sz w:val="20"/>
                <w:szCs w:val="20"/>
              </w:rPr>
            </w:pPr>
            <w:r w:rsidRPr="008B6A75">
              <w:rPr>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4C6F44CD" w14:textId="77777777" w:rsidR="00387142" w:rsidRPr="008B6A75" w:rsidRDefault="00387142" w:rsidP="00387142">
            <w:pPr>
              <w:jc w:val="center"/>
              <w:rPr>
                <w:sz w:val="20"/>
                <w:szCs w:val="20"/>
              </w:rPr>
            </w:pPr>
            <w:r w:rsidRPr="008B6A75">
              <w:rPr>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3AF5BBD" w14:textId="77777777" w:rsidR="00387142" w:rsidRPr="008B6A75" w:rsidRDefault="00387142" w:rsidP="00387142">
            <w:pPr>
              <w:jc w:val="right"/>
              <w:rPr>
                <w:sz w:val="20"/>
                <w:szCs w:val="20"/>
              </w:rPr>
            </w:pPr>
            <w:r w:rsidRPr="008B6A75">
              <w:rPr>
                <w:sz w:val="20"/>
                <w:szCs w:val="20"/>
              </w:rPr>
              <w:t>69 646,80</w:t>
            </w:r>
          </w:p>
        </w:tc>
        <w:tc>
          <w:tcPr>
            <w:tcW w:w="851" w:type="dxa"/>
            <w:tcBorders>
              <w:top w:val="nil"/>
              <w:left w:val="single" w:sz="4" w:space="0" w:color="auto"/>
              <w:bottom w:val="single" w:sz="4" w:space="0" w:color="auto"/>
              <w:right w:val="nil"/>
            </w:tcBorders>
            <w:shd w:val="clear" w:color="auto" w:fill="auto"/>
            <w:noWrap/>
            <w:vAlign w:val="center"/>
            <w:hideMark/>
          </w:tcPr>
          <w:p w14:paraId="595F57BF" w14:textId="77777777" w:rsidR="00387142" w:rsidRPr="008B6A75" w:rsidRDefault="00387142" w:rsidP="00387142">
            <w:pPr>
              <w:jc w:val="right"/>
              <w:rPr>
                <w:sz w:val="20"/>
                <w:szCs w:val="20"/>
              </w:rPr>
            </w:pPr>
            <w:r w:rsidRPr="008B6A75">
              <w:rPr>
                <w:sz w:val="20"/>
                <w:szCs w:val="20"/>
              </w:rPr>
              <w:t>69 700,00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39B61E6B" w14:textId="77777777" w:rsidR="00387142" w:rsidRPr="008B6A75" w:rsidRDefault="00387142" w:rsidP="00387142">
            <w:pPr>
              <w:jc w:val="right"/>
              <w:rPr>
                <w:sz w:val="20"/>
                <w:szCs w:val="20"/>
              </w:rPr>
            </w:pPr>
            <w:r w:rsidRPr="008B6A75">
              <w:rPr>
                <w:sz w:val="20"/>
                <w:szCs w:val="20"/>
              </w:rPr>
              <w:t>69 700,00</w:t>
            </w:r>
          </w:p>
        </w:tc>
      </w:tr>
      <w:tr w:rsidR="00387142" w:rsidRPr="008B6A75" w14:paraId="01B27841" w14:textId="77777777" w:rsidTr="00387142">
        <w:trPr>
          <w:trHeight w:val="870"/>
        </w:trPr>
        <w:tc>
          <w:tcPr>
            <w:tcW w:w="272" w:type="dxa"/>
            <w:tcBorders>
              <w:top w:val="nil"/>
              <w:left w:val="nil"/>
              <w:bottom w:val="nil"/>
              <w:right w:val="single" w:sz="4" w:space="0" w:color="auto"/>
            </w:tcBorders>
            <w:shd w:val="clear" w:color="auto" w:fill="auto"/>
            <w:noWrap/>
            <w:vAlign w:val="bottom"/>
            <w:hideMark/>
          </w:tcPr>
          <w:p w14:paraId="6167818B" w14:textId="77777777" w:rsidR="00387142" w:rsidRPr="008B6A75" w:rsidRDefault="00387142" w:rsidP="00387142">
            <w:pPr>
              <w:rPr>
                <w:sz w:val="20"/>
                <w:szCs w:val="20"/>
              </w:rPr>
            </w:pPr>
            <w:r w:rsidRPr="008B6A75">
              <w:rPr>
                <w:sz w:val="20"/>
                <w:szCs w:val="20"/>
              </w:rPr>
              <w:lastRenderedPageBreak/>
              <w:t> </w:t>
            </w:r>
          </w:p>
        </w:tc>
        <w:tc>
          <w:tcPr>
            <w:tcW w:w="3415" w:type="dxa"/>
            <w:tcBorders>
              <w:top w:val="nil"/>
              <w:left w:val="single" w:sz="4" w:space="0" w:color="auto"/>
              <w:bottom w:val="single" w:sz="4" w:space="0" w:color="auto"/>
              <w:right w:val="nil"/>
            </w:tcBorders>
            <w:shd w:val="clear" w:color="auto" w:fill="auto"/>
            <w:vAlign w:val="center"/>
            <w:hideMark/>
          </w:tcPr>
          <w:p w14:paraId="5AE18C4F" w14:textId="77777777" w:rsidR="00387142" w:rsidRPr="008B6A75" w:rsidRDefault="00387142" w:rsidP="00387142">
            <w:pPr>
              <w:rPr>
                <w:sz w:val="20"/>
                <w:szCs w:val="20"/>
              </w:rPr>
            </w:pPr>
            <w:r w:rsidRPr="008B6A75">
              <w:rPr>
                <w:sz w:val="20"/>
                <w:szCs w:val="20"/>
              </w:rPr>
              <w:t>Иные закупки товаров, работ и услуг для обеспечения государственных (муниципальных) нужд</w:t>
            </w:r>
          </w:p>
        </w:tc>
        <w:tc>
          <w:tcPr>
            <w:tcW w:w="1559" w:type="dxa"/>
            <w:tcBorders>
              <w:top w:val="nil"/>
              <w:left w:val="single" w:sz="4" w:space="0" w:color="auto"/>
              <w:bottom w:val="single" w:sz="4" w:space="0" w:color="auto"/>
              <w:right w:val="nil"/>
            </w:tcBorders>
            <w:shd w:val="clear" w:color="auto" w:fill="auto"/>
            <w:noWrap/>
            <w:vAlign w:val="center"/>
            <w:hideMark/>
          </w:tcPr>
          <w:p w14:paraId="19D0923C" w14:textId="77777777" w:rsidR="00387142" w:rsidRPr="008B6A75" w:rsidRDefault="00387142" w:rsidP="00387142">
            <w:pPr>
              <w:jc w:val="center"/>
              <w:rPr>
                <w:sz w:val="20"/>
                <w:szCs w:val="20"/>
              </w:rPr>
            </w:pPr>
            <w:r w:rsidRPr="008B6A75">
              <w:rPr>
                <w:sz w:val="20"/>
                <w:szCs w:val="20"/>
              </w:rPr>
              <w:t>99.0.00.74860</w:t>
            </w:r>
          </w:p>
        </w:tc>
        <w:tc>
          <w:tcPr>
            <w:tcW w:w="850" w:type="dxa"/>
            <w:tcBorders>
              <w:top w:val="nil"/>
              <w:left w:val="single" w:sz="4" w:space="0" w:color="auto"/>
              <w:bottom w:val="single" w:sz="4" w:space="0" w:color="auto"/>
              <w:right w:val="nil"/>
            </w:tcBorders>
            <w:shd w:val="clear" w:color="auto" w:fill="auto"/>
            <w:noWrap/>
            <w:vAlign w:val="center"/>
            <w:hideMark/>
          </w:tcPr>
          <w:p w14:paraId="7186D1F9" w14:textId="77777777" w:rsidR="00387142" w:rsidRPr="008B6A75" w:rsidRDefault="00387142" w:rsidP="00387142">
            <w:pPr>
              <w:jc w:val="center"/>
              <w:rPr>
                <w:sz w:val="20"/>
                <w:szCs w:val="20"/>
              </w:rPr>
            </w:pPr>
            <w:r w:rsidRPr="008B6A75">
              <w:rPr>
                <w:sz w:val="20"/>
                <w:szCs w:val="20"/>
              </w:rPr>
              <w:t>240</w:t>
            </w:r>
          </w:p>
        </w:tc>
        <w:tc>
          <w:tcPr>
            <w:tcW w:w="567" w:type="dxa"/>
            <w:tcBorders>
              <w:top w:val="nil"/>
              <w:left w:val="single" w:sz="4" w:space="0" w:color="auto"/>
              <w:bottom w:val="single" w:sz="4" w:space="0" w:color="auto"/>
              <w:right w:val="nil"/>
            </w:tcBorders>
            <w:shd w:val="clear" w:color="auto" w:fill="auto"/>
            <w:noWrap/>
            <w:vAlign w:val="center"/>
            <w:hideMark/>
          </w:tcPr>
          <w:p w14:paraId="5C3236EA" w14:textId="77777777" w:rsidR="00387142" w:rsidRPr="008B6A75" w:rsidRDefault="00387142" w:rsidP="00387142">
            <w:pPr>
              <w:jc w:val="center"/>
              <w:rPr>
                <w:sz w:val="20"/>
                <w:szCs w:val="20"/>
              </w:rPr>
            </w:pPr>
            <w:r w:rsidRPr="008B6A75">
              <w:rPr>
                <w:sz w:val="20"/>
                <w:szCs w:val="20"/>
              </w:rPr>
              <w:t>10</w:t>
            </w:r>
          </w:p>
        </w:tc>
        <w:tc>
          <w:tcPr>
            <w:tcW w:w="567" w:type="dxa"/>
            <w:tcBorders>
              <w:top w:val="nil"/>
              <w:left w:val="single" w:sz="4" w:space="0" w:color="auto"/>
              <w:bottom w:val="single" w:sz="4" w:space="0" w:color="auto"/>
              <w:right w:val="nil"/>
            </w:tcBorders>
            <w:shd w:val="clear" w:color="auto" w:fill="auto"/>
            <w:noWrap/>
            <w:vAlign w:val="center"/>
            <w:hideMark/>
          </w:tcPr>
          <w:p w14:paraId="0D7199C9" w14:textId="77777777" w:rsidR="00387142" w:rsidRPr="008B6A75" w:rsidRDefault="00387142" w:rsidP="00387142">
            <w:pPr>
              <w:jc w:val="center"/>
              <w:rPr>
                <w:sz w:val="20"/>
                <w:szCs w:val="20"/>
              </w:rPr>
            </w:pPr>
            <w:r w:rsidRPr="008B6A75">
              <w:rPr>
                <w:sz w:val="20"/>
                <w:szCs w:val="20"/>
              </w:rPr>
              <w:t>03</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A256146" w14:textId="77777777" w:rsidR="00387142" w:rsidRPr="008B6A75" w:rsidRDefault="00387142" w:rsidP="00387142">
            <w:pPr>
              <w:jc w:val="right"/>
              <w:rPr>
                <w:sz w:val="20"/>
                <w:szCs w:val="20"/>
              </w:rPr>
            </w:pPr>
            <w:r w:rsidRPr="008B6A75">
              <w:rPr>
                <w:sz w:val="20"/>
                <w:szCs w:val="20"/>
              </w:rPr>
              <w:t>69 646,80</w:t>
            </w:r>
          </w:p>
        </w:tc>
        <w:tc>
          <w:tcPr>
            <w:tcW w:w="851" w:type="dxa"/>
            <w:tcBorders>
              <w:top w:val="nil"/>
              <w:left w:val="single" w:sz="4" w:space="0" w:color="auto"/>
              <w:bottom w:val="single" w:sz="4" w:space="0" w:color="auto"/>
              <w:right w:val="nil"/>
            </w:tcBorders>
            <w:shd w:val="clear" w:color="auto" w:fill="auto"/>
            <w:noWrap/>
            <w:vAlign w:val="center"/>
            <w:hideMark/>
          </w:tcPr>
          <w:p w14:paraId="6711AF8A" w14:textId="77777777" w:rsidR="00387142" w:rsidRPr="008B6A75" w:rsidRDefault="00387142" w:rsidP="00387142">
            <w:pPr>
              <w:jc w:val="right"/>
              <w:rPr>
                <w:sz w:val="20"/>
                <w:szCs w:val="20"/>
              </w:rPr>
            </w:pPr>
            <w:r w:rsidRPr="008B6A75">
              <w:rPr>
                <w:sz w:val="20"/>
                <w:szCs w:val="20"/>
              </w:rPr>
              <w:t>69 700,00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2C883DAA" w14:textId="77777777" w:rsidR="00387142" w:rsidRPr="008B6A75" w:rsidRDefault="00387142" w:rsidP="00387142">
            <w:pPr>
              <w:jc w:val="right"/>
              <w:rPr>
                <w:sz w:val="20"/>
                <w:szCs w:val="20"/>
              </w:rPr>
            </w:pPr>
            <w:r w:rsidRPr="008B6A75">
              <w:rPr>
                <w:sz w:val="20"/>
                <w:szCs w:val="20"/>
              </w:rPr>
              <w:t>69 700,00</w:t>
            </w:r>
          </w:p>
        </w:tc>
      </w:tr>
      <w:tr w:rsidR="00387142" w:rsidRPr="008B6A75" w14:paraId="771FD5A0" w14:textId="77777777" w:rsidTr="00387142">
        <w:trPr>
          <w:trHeight w:val="1440"/>
        </w:trPr>
        <w:tc>
          <w:tcPr>
            <w:tcW w:w="272" w:type="dxa"/>
            <w:tcBorders>
              <w:top w:val="nil"/>
              <w:left w:val="nil"/>
              <w:bottom w:val="nil"/>
              <w:right w:val="single" w:sz="4" w:space="0" w:color="auto"/>
            </w:tcBorders>
            <w:shd w:val="clear" w:color="auto" w:fill="auto"/>
            <w:noWrap/>
            <w:vAlign w:val="bottom"/>
            <w:hideMark/>
          </w:tcPr>
          <w:p w14:paraId="36BC12C1"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68285858" w14:textId="77777777" w:rsidR="00387142" w:rsidRPr="008B6A75" w:rsidRDefault="00387142" w:rsidP="00387142">
            <w:pPr>
              <w:rPr>
                <w:bCs/>
                <w:sz w:val="20"/>
                <w:szCs w:val="20"/>
              </w:rPr>
            </w:pPr>
            <w:r w:rsidRPr="008B6A75">
              <w:rPr>
                <w:bCs/>
                <w:sz w:val="20"/>
                <w:szCs w:val="20"/>
              </w:rPr>
              <w:t>Реализация мероприятий по обеспечению жильем молодых семей государственной программы Новосибирской области "Обеспечение жильем молодых семей в Новосибирской области"</w:t>
            </w:r>
          </w:p>
        </w:tc>
        <w:tc>
          <w:tcPr>
            <w:tcW w:w="1559" w:type="dxa"/>
            <w:tcBorders>
              <w:top w:val="nil"/>
              <w:left w:val="single" w:sz="4" w:space="0" w:color="auto"/>
              <w:bottom w:val="single" w:sz="4" w:space="0" w:color="auto"/>
              <w:right w:val="nil"/>
            </w:tcBorders>
            <w:shd w:val="clear" w:color="auto" w:fill="auto"/>
            <w:noWrap/>
            <w:vAlign w:val="center"/>
            <w:hideMark/>
          </w:tcPr>
          <w:p w14:paraId="6ED21DD4" w14:textId="77777777" w:rsidR="00387142" w:rsidRPr="008B6A75" w:rsidRDefault="00387142" w:rsidP="00387142">
            <w:pPr>
              <w:jc w:val="center"/>
              <w:rPr>
                <w:bCs/>
                <w:sz w:val="20"/>
                <w:szCs w:val="20"/>
              </w:rPr>
            </w:pPr>
            <w:r w:rsidRPr="008B6A75">
              <w:rPr>
                <w:bCs/>
                <w:sz w:val="20"/>
                <w:szCs w:val="20"/>
              </w:rPr>
              <w:t>99.0.00.L4979</w:t>
            </w:r>
          </w:p>
        </w:tc>
        <w:tc>
          <w:tcPr>
            <w:tcW w:w="850" w:type="dxa"/>
            <w:tcBorders>
              <w:top w:val="nil"/>
              <w:left w:val="single" w:sz="4" w:space="0" w:color="auto"/>
              <w:bottom w:val="single" w:sz="4" w:space="0" w:color="auto"/>
              <w:right w:val="nil"/>
            </w:tcBorders>
            <w:shd w:val="clear" w:color="auto" w:fill="auto"/>
            <w:noWrap/>
            <w:vAlign w:val="center"/>
            <w:hideMark/>
          </w:tcPr>
          <w:p w14:paraId="0DCF4382" w14:textId="77777777" w:rsidR="00387142" w:rsidRPr="008B6A75" w:rsidRDefault="00387142" w:rsidP="00387142">
            <w:pPr>
              <w:jc w:val="center"/>
              <w:rPr>
                <w:bCs/>
                <w:sz w:val="20"/>
                <w:szCs w:val="20"/>
              </w:rPr>
            </w:pPr>
            <w:r w:rsidRPr="008B6A75">
              <w:rPr>
                <w:bCs/>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635D7E82" w14:textId="77777777" w:rsidR="00387142" w:rsidRPr="008B6A75" w:rsidRDefault="00387142" w:rsidP="00387142">
            <w:pPr>
              <w:jc w:val="center"/>
              <w:rPr>
                <w:bCs/>
                <w:sz w:val="20"/>
                <w:szCs w:val="20"/>
              </w:rPr>
            </w:pPr>
            <w:r w:rsidRPr="008B6A75">
              <w:rPr>
                <w:bCs/>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14CB287B" w14:textId="77777777" w:rsidR="00387142" w:rsidRPr="008B6A75" w:rsidRDefault="00387142" w:rsidP="00387142">
            <w:pPr>
              <w:jc w:val="center"/>
              <w:rPr>
                <w:bCs/>
                <w:sz w:val="20"/>
                <w:szCs w:val="20"/>
              </w:rPr>
            </w:pPr>
            <w:r w:rsidRPr="008B6A75">
              <w:rPr>
                <w:bCs/>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0DCB5B3" w14:textId="77777777" w:rsidR="00387142" w:rsidRPr="008B6A75" w:rsidRDefault="00387142" w:rsidP="00387142">
            <w:pPr>
              <w:jc w:val="right"/>
              <w:rPr>
                <w:bCs/>
                <w:sz w:val="20"/>
                <w:szCs w:val="20"/>
              </w:rPr>
            </w:pPr>
            <w:r w:rsidRPr="008B6A75">
              <w:rPr>
                <w:bCs/>
                <w:sz w:val="20"/>
                <w:szCs w:val="20"/>
              </w:rPr>
              <w:t>2 201 300,00</w:t>
            </w:r>
          </w:p>
        </w:tc>
        <w:tc>
          <w:tcPr>
            <w:tcW w:w="851" w:type="dxa"/>
            <w:tcBorders>
              <w:top w:val="nil"/>
              <w:left w:val="single" w:sz="4" w:space="0" w:color="auto"/>
              <w:bottom w:val="single" w:sz="4" w:space="0" w:color="auto"/>
              <w:right w:val="nil"/>
            </w:tcBorders>
            <w:shd w:val="clear" w:color="auto" w:fill="auto"/>
            <w:noWrap/>
            <w:vAlign w:val="center"/>
            <w:hideMark/>
          </w:tcPr>
          <w:p w14:paraId="3E3364A7" w14:textId="77777777" w:rsidR="00387142" w:rsidRPr="008B6A75" w:rsidRDefault="00387142" w:rsidP="00387142">
            <w:pPr>
              <w:jc w:val="right"/>
              <w:rPr>
                <w:bCs/>
                <w:sz w:val="20"/>
                <w:szCs w:val="20"/>
              </w:rPr>
            </w:pPr>
            <w:r w:rsidRPr="008B6A75">
              <w:rPr>
                <w:bCs/>
                <w:sz w:val="20"/>
                <w:szCs w:val="20"/>
              </w:rPr>
              <w:t>2 296 200,00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54A91F3A" w14:textId="77777777" w:rsidR="00387142" w:rsidRPr="008B6A75" w:rsidRDefault="00387142" w:rsidP="00387142">
            <w:pPr>
              <w:jc w:val="right"/>
              <w:rPr>
                <w:bCs/>
                <w:sz w:val="20"/>
                <w:szCs w:val="20"/>
              </w:rPr>
            </w:pPr>
            <w:r w:rsidRPr="008B6A75">
              <w:rPr>
                <w:bCs/>
                <w:sz w:val="20"/>
                <w:szCs w:val="20"/>
              </w:rPr>
              <w:t>2 804 000,00</w:t>
            </w:r>
          </w:p>
        </w:tc>
      </w:tr>
      <w:tr w:rsidR="00387142" w:rsidRPr="008B6A75" w14:paraId="60E6E2BD" w14:textId="77777777" w:rsidTr="00387142">
        <w:trPr>
          <w:trHeight w:val="585"/>
        </w:trPr>
        <w:tc>
          <w:tcPr>
            <w:tcW w:w="272" w:type="dxa"/>
            <w:tcBorders>
              <w:top w:val="nil"/>
              <w:left w:val="nil"/>
              <w:bottom w:val="nil"/>
              <w:right w:val="single" w:sz="4" w:space="0" w:color="auto"/>
            </w:tcBorders>
            <w:shd w:val="clear" w:color="auto" w:fill="auto"/>
            <w:noWrap/>
            <w:vAlign w:val="bottom"/>
            <w:hideMark/>
          </w:tcPr>
          <w:p w14:paraId="1B534800"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64FDD8A0" w14:textId="77777777" w:rsidR="00387142" w:rsidRPr="008B6A75" w:rsidRDefault="00387142" w:rsidP="00387142">
            <w:pPr>
              <w:rPr>
                <w:sz w:val="20"/>
                <w:szCs w:val="20"/>
              </w:rPr>
            </w:pPr>
            <w:r w:rsidRPr="008B6A75">
              <w:rPr>
                <w:sz w:val="20"/>
                <w:szCs w:val="20"/>
              </w:rPr>
              <w:t>Социальное обеспечение и иные выплаты населению</w:t>
            </w:r>
          </w:p>
        </w:tc>
        <w:tc>
          <w:tcPr>
            <w:tcW w:w="1559" w:type="dxa"/>
            <w:tcBorders>
              <w:top w:val="nil"/>
              <w:left w:val="single" w:sz="4" w:space="0" w:color="auto"/>
              <w:bottom w:val="single" w:sz="4" w:space="0" w:color="auto"/>
              <w:right w:val="nil"/>
            </w:tcBorders>
            <w:shd w:val="clear" w:color="auto" w:fill="auto"/>
            <w:noWrap/>
            <w:vAlign w:val="center"/>
            <w:hideMark/>
          </w:tcPr>
          <w:p w14:paraId="796C6DE7" w14:textId="77777777" w:rsidR="00387142" w:rsidRPr="008B6A75" w:rsidRDefault="00387142" w:rsidP="00387142">
            <w:pPr>
              <w:jc w:val="center"/>
              <w:rPr>
                <w:sz w:val="20"/>
                <w:szCs w:val="20"/>
              </w:rPr>
            </w:pPr>
            <w:r w:rsidRPr="008B6A75">
              <w:rPr>
                <w:sz w:val="20"/>
                <w:szCs w:val="20"/>
              </w:rPr>
              <w:t>99.0.00.L4979</w:t>
            </w:r>
          </w:p>
        </w:tc>
        <w:tc>
          <w:tcPr>
            <w:tcW w:w="850" w:type="dxa"/>
            <w:tcBorders>
              <w:top w:val="nil"/>
              <w:left w:val="single" w:sz="4" w:space="0" w:color="auto"/>
              <w:bottom w:val="single" w:sz="4" w:space="0" w:color="auto"/>
              <w:right w:val="nil"/>
            </w:tcBorders>
            <w:shd w:val="clear" w:color="auto" w:fill="auto"/>
            <w:noWrap/>
            <w:vAlign w:val="center"/>
            <w:hideMark/>
          </w:tcPr>
          <w:p w14:paraId="4FC139D1" w14:textId="77777777" w:rsidR="00387142" w:rsidRPr="008B6A75" w:rsidRDefault="00387142" w:rsidP="00387142">
            <w:pPr>
              <w:jc w:val="center"/>
              <w:rPr>
                <w:sz w:val="20"/>
                <w:szCs w:val="20"/>
              </w:rPr>
            </w:pPr>
            <w:r w:rsidRPr="008B6A75">
              <w:rPr>
                <w:sz w:val="20"/>
                <w:szCs w:val="20"/>
              </w:rPr>
              <w:t>300</w:t>
            </w:r>
          </w:p>
        </w:tc>
        <w:tc>
          <w:tcPr>
            <w:tcW w:w="567" w:type="dxa"/>
            <w:tcBorders>
              <w:top w:val="nil"/>
              <w:left w:val="single" w:sz="4" w:space="0" w:color="auto"/>
              <w:bottom w:val="single" w:sz="4" w:space="0" w:color="auto"/>
              <w:right w:val="nil"/>
            </w:tcBorders>
            <w:shd w:val="clear" w:color="auto" w:fill="auto"/>
            <w:noWrap/>
            <w:vAlign w:val="center"/>
            <w:hideMark/>
          </w:tcPr>
          <w:p w14:paraId="42D3ED5A" w14:textId="77777777" w:rsidR="00387142" w:rsidRPr="008B6A75" w:rsidRDefault="00387142" w:rsidP="00387142">
            <w:pPr>
              <w:jc w:val="center"/>
              <w:rPr>
                <w:sz w:val="20"/>
                <w:szCs w:val="20"/>
              </w:rPr>
            </w:pPr>
            <w:r w:rsidRPr="008B6A75">
              <w:rPr>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57457B26" w14:textId="77777777" w:rsidR="00387142" w:rsidRPr="008B6A75" w:rsidRDefault="00387142" w:rsidP="00387142">
            <w:pPr>
              <w:jc w:val="center"/>
              <w:rPr>
                <w:sz w:val="20"/>
                <w:szCs w:val="20"/>
              </w:rPr>
            </w:pPr>
            <w:r w:rsidRPr="008B6A75">
              <w:rPr>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F923866" w14:textId="77777777" w:rsidR="00387142" w:rsidRPr="008B6A75" w:rsidRDefault="00387142" w:rsidP="00387142">
            <w:pPr>
              <w:jc w:val="right"/>
              <w:rPr>
                <w:sz w:val="20"/>
                <w:szCs w:val="20"/>
              </w:rPr>
            </w:pPr>
            <w:r w:rsidRPr="008B6A75">
              <w:rPr>
                <w:sz w:val="20"/>
                <w:szCs w:val="20"/>
              </w:rPr>
              <w:t>2 201 300,00</w:t>
            </w:r>
          </w:p>
        </w:tc>
        <w:tc>
          <w:tcPr>
            <w:tcW w:w="851" w:type="dxa"/>
            <w:tcBorders>
              <w:top w:val="nil"/>
              <w:left w:val="single" w:sz="4" w:space="0" w:color="auto"/>
              <w:bottom w:val="single" w:sz="4" w:space="0" w:color="auto"/>
              <w:right w:val="nil"/>
            </w:tcBorders>
            <w:shd w:val="clear" w:color="auto" w:fill="auto"/>
            <w:noWrap/>
            <w:vAlign w:val="center"/>
            <w:hideMark/>
          </w:tcPr>
          <w:p w14:paraId="478A617E" w14:textId="77777777" w:rsidR="00387142" w:rsidRPr="008B6A75" w:rsidRDefault="00387142" w:rsidP="00387142">
            <w:pPr>
              <w:jc w:val="right"/>
              <w:rPr>
                <w:sz w:val="20"/>
                <w:szCs w:val="20"/>
              </w:rPr>
            </w:pPr>
            <w:r w:rsidRPr="008B6A75">
              <w:rPr>
                <w:sz w:val="20"/>
                <w:szCs w:val="20"/>
              </w:rPr>
              <w:t>2 296 200,00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22CB00B5" w14:textId="77777777" w:rsidR="00387142" w:rsidRPr="008B6A75" w:rsidRDefault="00387142" w:rsidP="00387142">
            <w:pPr>
              <w:jc w:val="right"/>
              <w:rPr>
                <w:sz w:val="20"/>
                <w:szCs w:val="20"/>
              </w:rPr>
            </w:pPr>
            <w:r w:rsidRPr="008B6A75">
              <w:rPr>
                <w:sz w:val="20"/>
                <w:szCs w:val="20"/>
              </w:rPr>
              <w:t>2 804 000,00</w:t>
            </w:r>
          </w:p>
        </w:tc>
      </w:tr>
      <w:tr w:rsidR="00387142" w:rsidRPr="008B6A75" w14:paraId="6EA45132" w14:textId="77777777" w:rsidTr="00387142">
        <w:trPr>
          <w:trHeight w:val="585"/>
        </w:trPr>
        <w:tc>
          <w:tcPr>
            <w:tcW w:w="272" w:type="dxa"/>
            <w:tcBorders>
              <w:top w:val="nil"/>
              <w:left w:val="nil"/>
              <w:bottom w:val="nil"/>
              <w:right w:val="single" w:sz="4" w:space="0" w:color="auto"/>
            </w:tcBorders>
            <w:shd w:val="clear" w:color="auto" w:fill="auto"/>
            <w:noWrap/>
            <w:vAlign w:val="bottom"/>
            <w:hideMark/>
          </w:tcPr>
          <w:p w14:paraId="14955557"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3FF79491" w14:textId="77777777" w:rsidR="00387142" w:rsidRPr="008B6A75" w:rsidRDefault="00387142" w:rsidP="00387142">
            <w:pPr>
              <w:rPr>
                <w:sz w:val="20"/>
                <w:szCs w:val="20"/>
              </w:rPr>
            </w:pPr>
            <w:r w:rsidRPr="008B6A75">
              <w:rPr>
                <w:sz w:val="20"/>
                <w:szCs w:val="20"/>
              </w:rPr>
              <w:t>Социальные выплаты гражданам, кроме публичных нормативных социальных выплат</w:t>
            </w:r>
          </w:p>
        </w:tc>
        <w:tc>
          <w:tcPr>
            <w:tcW w:w="1559" w:type="dxa"/>
            <w:tcBorders>
              <w:top w:val="nil"/>
              <w:left w:val="single" w:sz="4" w:space="0" w:color="auto"/>
              <w:bottom w:val="single" w:sz="4" w:space="0" w:color="auto"/>
              <w:right w:val="nil"/>
            </w:tcBorders>
            <w:shd w:val="clear" w:color="auto" w:fill="auto"/>
            <w:noWrap/>
            <w:vAlign w:val="center"/>
            <w:hideMark/>
          </w:tcPr>
          <w:p w14:paraId="180B4DBA" w14:textId="77777777" w:rsidR="00387142" w:rsidRPr="008B6A75" w:rsidRDefault="00387142" w:rsidP="00387142">
            <w:pPr>
              <w:jc w:val="center"/>
              <w:rPr>
                <w:sz w:val="20"/>
                <w:szCs w:val="20"/>
              </w:rPr>
            </w:pPr>
            <w:r w:rsidRPr="008B6A75">
              <w:rPr>
                <w:sz w:val="20"/>
                <w:szCs w:val="20"/>
              </w:rPr>
              <w:t>99.0.00.L4979</w:t>
            </w:r>
          </w:p>
        </w:tc>
        <w:tc>
          <w:tcPr>
            <w:tcW w:w="850" w:type="dxa"/>
            <w:tcBorders>
              <w:top w:val="nil"/>
              <w:left w:val="single" w:sz="4" w:space="0" w:color="auto"/>
              <w:bottom w:val="single" w:sz="4" w:space="0" w:color="auto"/>
              <w:right w:val="nil"/>
            </w:tcBorders>
            <w:shd w:val="clear" w:color="auto" w:fill="auto"/>
            <w:noWrap/>
            <w:vAlign w:val="center"/>
            <w:hideMark/>
          </w:tcPr>
          <w:p w14:paraId="04B1A440" w14:textId="77777777" w:rsidR="00387142" w:rsidRPr="008B6A75" w:rsidRDefault="00387142" w:rsidP="00387142">
            <w:pPr>
              <w:jc w:val="center"/>
              <w:rPr>
                <w:sz w:val="20"/>
                <w:szCs w:val="20"/>
              </w:rPr>
            </w:pPr>
            <w:r w:rsidRPr="008B6A75">
              <w:rPr>
                <w:sz w:val="20"/>
                <w:szCs w:val="20"/>
              </w:rPr>
              <w:t>320</w:t>
            </w:r>
          </w:p>
        </w:tc>
        <w:tc>
          <w:tcPr>
            <w:tcW w:w="567" w:type="dxa"/>
            <w:tcBorders>
              <w:top w:val="nil"/>
              <w:left w:val="single" w:sz="4" w:space="0" w:color="auto"/>
              <w:bottom w:val="single" w:sz="4" w:space="0" w:color="auto"/>
              <w:right w:val="nil"/>
            </w:tcBorders>
            <w:shd w:val="clear" w:color="auto" w:fill="auto"/>
            <w:noWrap/>
            <w:vAlign w:val="center"/>
            <w:hideMark/>
          </w:tcPr>
          <w:p w14:paraId="2DF6F043" w14:textId="77777777" w:rsidR="00387142" w:rsidRPr="008B6A75" w:rsidRDefault="00387142" w:rsidP="00387142">
            <w:pPr>
              <w:jc w:val="center"/>
              <w:rPr>
                <w:sz w:val="20"/>
                <w:szCs w:val="20"/>
              </w:rPr>
            </w:pPr>
            <w:r w:rsidRPr="008B6A75">
              <w:rPr>
                <w:sz w:val="20"/>
                <w:szCs w:val="20"/>
              </w:rPr>
              <w:t>10</w:t>
            </w:r>
          </w:p>
        </w:tc>
        <w:tc>
          <w:tcPr>
            <w:tcW w:w="567" w:type="dxa"/>
            <w:tcBorders>
              <w:top w:val="nil"/>
              <w:left w:val="single" w:sz="4" w:space="0" w:color="auto"/>
              <w:bottom w:val="single" w:sz="4" w:space="0" w:color="auto"/>
              <w:right w:val="nil"/>
            </w:tcBorders>
            <w:shd w:val="clear" w:color="auto" w:fill="auto"/>
            <w:noWrap/>
            <w:vAlign w:val="center"/>
            <w:hideMark/>
          </w:tcPr>
          <w:p w14:paraId="756BF8FA" w14:textId="77777777" w:rsidR="00387142" w:rsidRPr="008B6A75" w:rsidRDefault="00387142" w:rsidP="00387142">
            <w:pPr>
              <w:jc w:val="center"/>
              <w:rPr>
                <w:sz w:val="20"/>
                <w:szCs w:val="20"/>
              </w:rPr>
            </w:pPr>
            <w:r w:rsidRPr="008B6A75">
              <w:rPr>
                <w:sz w:val="20"/>
                <w:szCs w:val="20"/>
              </w:rPr>
              <w:t>03</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A3B8954" w14:textId="77777777" w:rsidR="00387142" w:rsidRPr="008B6A75" w:rsidRDefault="00387142" w:rsidP="00387142">
            <w:pPr>
              <w:jc w:val="right"/>
              <w:rPr>
                <w:sz w:val="20"/>
                <w:szCs w:val="20"/>
              </w:rPr>
            </w:pPr>
            <w:r w:rsidRPr="008B6A75">
              <w:rPr>
                <w:sz w:val="20"/>
                <w:szCs w:val="20"/>
              </w:rPr>
              <w:t>2 201 300,00</w:t>
            </w:r>
          </w:p>
        </w:tc>
        <w:tc>
          <w:tcPr>
            <w:tcW w:w="851" w:type="dxa"/>
            <w:tcBorders>
              <w:top w:val="nil"/>
              <w:left w:val="single" w:sz="4" w:space="0" w:color="auto"/>
              <w:bottom w:val="single" w:sz="4" w:space="0" w:color="auto"/>
              <w:right w:val="nil"/>
            </w:tcBorders>
            <w:shd w:val="clear" w:color="auto" w:fill="auto"/>
            <w:noWrap/>
            <w:vAlign w:val="center"/>
            <w:hideMark/>
          </w:tcPr>
          <w:p w14:paraId="691034C1" w14:textId="77777777" w:rsidR="00387142" w:rsidRPr="008B6A75" w:rsidRDefault="00387142" w:rsidP="00387142">
            <w:pPr>
              <w:jc w:val="right"/>
              <w:rPr>
                <w:sz w:val="20"/>
                <w:szCs w:val="20"/>
              </w:rPr>
            </w:pPr>
            <w:r w:rsidRPr="008B6A75">
              <w:rPr>
                <w:sz w:val="20"/>
                <w:szCs w:val="20"/>
              </w:rPr>
              <w:t>2 296 200,00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2DC4B6C4" w14:textId="77777777" w:rsidR="00387142" w:rsidRPr="008B6A75" w:rsidRDefault="00387142" w:rsidP="00387142">
            <w:pPr>
              <w:jc w:val="right"/>
              <w:rPr>
                <w:sz w:val="20"/>
                <w:szCs w:val="20"/>
              </w:rPr>
            </w:pPr>
            <w:r w:rsidRPr="008B6A75">
              <w:rPr>
                <w:sz w:val="20"/>
                <w:szCs w:val="20"/>
              </w:rPr>
              <w:t>2 804 000,00</w:t>
            </w:r>
          </w:p>
        </w:tc>
      </w:tr>
      <w:tr w:rsidR="00387142" w:rsidRPr="008B6A75" w14:paraId="331A24A7" w14:textId="77777777" w:rsidTr="00387142">
        <w:trPr>
          <w:trHeight w:val="1440"/>
        </w:trPr>
        <w:tc>
          <w:tcPr>
            <w:tcW w:w="272" w:type="dxa"/>
            <w:tcBorders>
              <w:top w:val="nil"/>
              <w:left w:val="nil"/>
              <w:bottom w:val="nil"/>
              <w:right w:val="single" w:sz="4" w:space="0" w:color="auto"/>
            </w:tcBorders>
            <w:shd w:val="clear" w:color="auto" w:fill="auto"/>
            <w:noWrap/>
            <w:vAlign w:val="bottom"/>
            <w:hideMark/>
          </w:tcPr>
          <w:p w14:paraId="30CBDCC2"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17E0C00B" w14:textId="77777777" w:rsidR="00387142" w:rsidRPr="008B6A75" w:rsidRDefault="00387142" w:rsidP="00387142">
            <w:pPr>
              <w:rPr>
                <w:bCs/>
                <w:sz w:val="20"/>
                <w:szCs w:val="20"/>
              </w:rPr>
            </w:pPr>
            <w:r w:rsidRPr="008B6A75">
              <w:rPr>
                <w:bCs/>
                <w:sz w:val="20"/>
                <w:szCs w:val="2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(поддержка семьи и детей)</w:t>
            </w:r>
          </w:p>
        </w:tc>
        <w:tc>
          <w:tcPr>
            <w:tcW w:w="1559" w:type="dxa"/>
            <w:tcBorders>
              <w:top w:val="nil"/>
              <w:left w:val="single" w:sz="4" w:space="0" w:color="auto"/>
              <w:bottom w:val="single" w:sz="4" w:space="0" w:color="auto"/>
              <w:right w:val="nil"/>
            </w:tcBorders>
            <w:shd w:val="clear" w:color="auto" w:fill="auto"/>
            <w:noWrap/>
            <w:vAlign w:val="center"/>
            <w:hideMark/>
          </w:tcPr>
          <w:p w14:paraId="24341700" w14:textId="77777777" w:rsidR="00387142" w:rsidRPr="008B6A75" w:rsidRDefault="00387142" w:rsidP="00387142">
            <w:pPr>
              <w:jc w:val="center"/>
              <w:rPr>
                <w:bCs/>
                <w:sz w:val="20"/>
                <w:szCs w:val="20"/>
              </w:rPr>
            </w:pPr>
            <w:r w:rsidRPr="008B6A75">
              <w:rPr>
                <w:bCs/>
                <w:sz w:val="20"/>
                <w:szCs w:val="20"/>
              </w:rPr>
              <w:t>99.0.00.R0829</w:t>
            </w:r>
          </w:p>
        </w:tc>
        <w:tc>
          <w:tcPr>
            <w:tcW w:w="850" w:type="dxa"/>
            <w:tcBorders>
              <w:top w:val="nil"/>
              <w:left w:val="single" w:sz="4" w:space="0" w:color="auto"/>
              <w:bottom w:val="single" w:sz="4" w:space="0" w:color="auto"/>
              <w:right w:val="nil"/>
            </w:tcBorders>
            <w:shd w:val="clear" w:color="auto" w:fill="auto"/>
            <w:noWrap/>
            <w:vAlign w:val="center"/>
            <w:hideMark/>
          </w:tcPr>
          <w:p w14:paraId="7D632CE5" w14:textId="77777777" w:rsidR="00387142" w:rsidRPr="008B6A75" w:rsidRDefault="00387142" w:rsidP="00387142">
            <w:pPr>
              <w:jc w:val="center"/>
              <w:rPr>
                <w:bCs/>
                <w:sz w:val="20"/>
                <w:szCs w:val="20"/>
              </w:rPr>
            </w:pPr>
            <w:r w:rsidRPr="008B6A75">
              <w:rPr>
                <w:bCs/>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60BE3B7C" w14:textId="77777777" w:rsidR="00387142" w:rsidRPr="008B6A75" w:rsidRDefault="00387142" w:rsidP="00387142">
            <w:pPr>
              <w:jc w:val="center"/>
              <w:rPr>
                <w:bCs/>
                <w:sz w:val="20"/>
                <w:szCs w:val="20"/>
              </w:rPr>
            </w:pPr>
            <w:r w:rsidRPr="008B6A75">
              <w:rPr>
                <w:bCs/>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7CFCEC45" w14:textId="77777777" w:rsidR="00387142" w:rsidRPr="008B6A75" w:rsidRDefault="00387142" w:rsidP="00387142">
            <w:pPr>
              <w:jc w:val="center"/>
              <w:rPr>
                <w:bCs/>
                <w:sz w:val="20"/>
                <w:szCs w:val="20"/>
              </w:rPr>
            </w:pPr>
            <w:r w:rsidRPr="008B6A75">
              <w:rPr>
                <w:bCs/>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E01064F" w14:textId="77777777" w:rsidR="00387142" w:rsidRPr="008B6A75" w:rsidRDefault="00387142" w:rsidP="00387142">
            <w:pPr>
              <w:jc w:val="right"/>
              <w:rPr>
                <w:bCs/>
                <w:sz w:val="20"/>
                <w:szCs w:val="20"/>
              </w:rPr>
            </w:pPr>
            <w:r w:rsidRPr="008B6A75">
              <w:rPr>
                <w:bCs/>
                <w:sz w:val="20"/>
                <w:szCs w:val="20"/>
              </w:rPr>
              <w:t>22 484 447,44</w:t>
            </w:r>
          </w:p>
        </w:tc>
        <w:tc>
          <w:tcPr>
            <w:tcW w:w="851" w:type="dxa"/>
            <w:tcBorders>
              <w:top w:val="nil"/>
              <w:left w:val="single" w:sz="4" w:space="0" w:color="auto"/>
              <w:bottom w:val="single" w:sz="4" w:space="0" w:color="auto"/>
              <w:right w:val="nil"/>
            </w:tcBorders>
            <w:shd w:val="clear" w:color="auto" w:fill="auto"/>
            <w:noWrap/>
            <w:vAlign w:val="center"/>
            <w:hideMark/>
          </w:tcPr>
          <w:p w14:paraId="585BC643" w14:textId="77777777" w:rsidR="00387142" w:rsidRPr="008B6A75" w:rsidRDefault="00387142" w:rsidP="00387142">
            <w:pPr>
              <w:jc w:val="right"/>
              <w:rPr>
                <w:bCs/>
                <w:sz w:val="20"/>
                <w:szCs w:val="20"/>
              </w:rPr>
            </w:pPr>
            <w:r w:rsidRPr="008B6A75">
              <w:rPr>
                <w:bCs/>
                <w:sz w:val="20"/>
                <w:szCs w:val="20"/>
              </w:rPr>
              <w:t>10 681 700,00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53D1CFB5" w14:textId="77777777" w:rsidR="00387142" w:rsidRPr="008B6A75" w:rsidRDefault="00387142" w:rsidP="00387142">
            <w:pPr>
              <w:jc w:val="right"/>
              <w:rPr>
                <w:bCs/>
                <w:sz w:val="20"/>
                <w:szCs w:val="20"/>
              </w:rPr>
            </w:pPr>
            <w:r w:rsidRPr="008B6A75">
              <w:rPr>
                <w:bCs/>
                <w:sz w:val="20"/>
                <w:szCs w:val="20"/>
              </w:rPr>
              <w:t>16 022 600,00</w:t>
            </w:r>
          </w:p>
        </w:tc>
      </w:tr>
      <w:tr w:rsidR="00387142" w:rsidRPr="008B6A75" w14:paraId="11B10288" w14:textId="77777777" w:rsidTr="00387142">
        <w:trPr>
          <w:trHeight w:val="870"/>
        </w:trPr>
        <w:tc>
          <w:tcPr>
            <w:tcW w:w="272" w:type="dxa"/>
            <w:tcBorders>
              <w:top w:val="nil"/>
              <w:left w:val="nil"/>
              <w:bottom w:val="nil"/>
              <w:right w:val="single" w:sz="4" w:space="0" w:color="auto"/>
            </w:tcBorders>
            <w:shd w:val="clear" w:color="auto" w:fill="auto"/>
            <w:noWrap/>
            <w:vAlign w:val="bottom"/>
            <w:hideMark/>
          </w:tcPr>
          <w:p w14:paraId="0CFCE29A"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5C8DEFCE" w14:textId="77777777" w:rsidR="00387142" w:rsidRPr="008B6A75" w:rsidRDefault="00387142" w:rsidP="00387142">
            <w:pPr>
              <w:rPr>
                <w:sz w:val="20"/>
                <w:szCs w:val="20"/>
              </w:rPr>
            </w:pPr>
            <w:r w:rsidRPr="008B6A75">
              <w:rPr>
                <w:sz w:val="20"/>
                <w:szCs w:val="20"/>
              </w:rPr>
              <w:t>Капитальные вложения в объекты государственной (муниципальной) собственности</w:t>
            </w:r>
          </w:p>
        </w:tc>
        <w:tc>
          <w:tcPr>
            <w:tcW w:w="1559" w:type="dxa"/>
            <w:tcBorders>
              <w:top w:val="nil"/>
              <w:left w:val="single" w:sz="4" w:space="0" w:color="auto"/>
              <w:bottom w:val="single" w:sz="4" w:space="0" w:color="auto"/>
              <w:right w:val="nil"/>
            </w:tcBorders>
            <w:shd w:val="clear" w:color="auto" w:fill="auto"/>
            <w:noWrap/>
            <w:vAlign w:val="center"/>
            <w:hideMark/>
          </w:tcPr>
          <w:p w14:paraId="4C35A513" w14:textId="77777777" w:rsidR="00387142" w:rsidRPr="008B6A75" w:rsidRDefault="00387142" w:rsidP="00387142">
            <w:pPr>
              <w:jc w:val="center"/>
              <w:rPr>
                <w:sz w:val="20"/>
                <w:szCs w:val="20"/>
              </w:rPr>
            </w:pPr>
            <w:r w:rsidRPr="008B6A75">
              <w:rPr>
                <w:sz w:val="20"/>
                <w:szCs w:val="20"/>
              </w:rPr>
              <w:t>99.0.00.R0829</w:t>
            </w:r>
          </w:p>
        </w:tc>
        <w:tc>
          <w:tcPr>
            <w:tcW w:w="850" w:type="dxa"/>
            <w:tcBorders>
              <w:top w:val="nil"/>
              <w:left w:val="single" w:sz="4" w:space="0" w:color="auto"/>
              <w:bottom w:val="single" w:sz="4" w:space="0" w:color="auto"/>
              <w:right w:val="nil"/>
            </w:tcBorders>
            <w:shd w:val="clear" w:color="auto" w:fill="auto"/>
            <w:noWrap/>
            <w:vAlign w:val="center"/>
            <w:hideMark/>
          </w:tcPr>
          <w:p w14:paraId="410AB1AE" w14:textId="77777777" w:rsidR="00387142" w:rsidRPr="008B6A75" w:rsidRDefault="00387142" w:rsidP="00387142">
            <w:pPr>
              <w:jc w:val="center"/>
              <w:rPr>
                <w:sz w:val="20"/>
                <w:szCs w:val="20"/>
              </w:rPr>
            </w:pPr>
            <w:r w:rsidRPr="008B6A75">
              <w:rPr>
                <w:sz w:val="20"/>
                <w:szCs w:val="20"/>
              </w:rPr>
              <w:t>400</w:t>
            </w:r>
          </w:p>
        </w:tc>
        <w:tc>
          <w:tcPr>
            <w:tcW w:w="567" w:type="dxa"/>
            <w:tcBorders>
              <w:top w:val="nil"/>
              <w:left w:val="single" w:sz="4" w:space="0" w:color="auto"/>
              <w:bottom w:val="single" w:sz="4" w:space="0" w:color="auto"/>
              <w:right w:val="nil"/>
            </w:tcBorders>
            <w:shd w:val="clear" w:color="auto" w:fill="auto"/>
            <w:noWrap/>
            <w:vAlign w:val="center"/>
            <w:hideMark/>
          </w:tcPr>
          <w:p w14:paraId="524F29A4" w14:textId="77777777" w:rsidR="00387142" w:rsidRPr="008B6A75" w:rsidRDefault="00387142" w:rsidP="00387142">
            <w:pPr>
              <w:jc w:val="center"/>
              <w:rPr>
                <w:sz w:val="20"/>
                <w:szCs w:val="20"/>
              </w:rPr>
            </w:pPr>
            <w:r w:rsidRPr="008B6A75">
              <w:rPr>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41FD52B8" w14:textId="77777777" w:rsidR="00387142" w:rsidRPr="008B6A75" w:rsidRDefault="00387142" w:rsidP="00387142">
            <w:pPr>
              <w:jc w:val="center"/>
              <w:rPr>
                <w:sz w:val="20"/>
                <w:szCs w:val="20"/>
              </w:rPr>
            </w:pPr>
            <w:r w:rsidRPr="008B6A75">
              <w:rPr>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E5B2407" w14:textId="77777777" w:rsidR="00387142" w:rsidRPr="008B6A75" w:rsidRDefault="00387142" w:rsidP="00387142">
            <w:pPr>
              <w:jc w:val="right"/>
              <w:rPr>
                <w:sz w:val="20"/>
                <w:szCs w:val="20"/>
              </w:rPr>
            </w:pPr>
            <w:r w:rsidRPr="008B6A75">
              <w:rPr>
                <w:sz w:val="20"/>
                <w:szCs w:val="20"/>
              </w:rPr>
              <w:t>22 484 447,44</w:t>
            </w:r>
          </w:p>
        </w:tc>
        <w:tc>
          <w:tcPr>
            <w:tcW w:w="851" w:type="dxa"/>
            <w:tcBorders>
              <w:top w:val="nil"/>
              <w:left w:val="single" w:sz="4" w:space="0" w:color="auto"/>
              <w:bottom w:val="single" w:sz="4" w:space="0" w:color="auto"/>
              <w:right w:val="nil"/>
            </w:tcBorders>
            <w:shd w:val="clear" w:color="auto" w:fill="auto"/>
            <w:noWrap/>
            <w:vAlign w:val="center"/>
            <w:hideMark/>
          </w:tcPr>
          <w:p w14:paraId="7981E972" w14:textId="77777777" w:rsidR="00387142" w:rsidRPr="008B6A75" w:rsidRDefault="00387142" w:rsidP="00387142">
            <w:pPr>
              <w:jc w:val="right"/>
              <w:rPr>
                <w:sz w:val="20"/>
                <w:szCs w:val="20"/>
              </w:rPr>
            </w:pPr>
            <w:r w:rsidRPr="008B6A75">
              <w:rPr>
                <w:sz w:val="20"/>
                <w:szCs w:val="20"/>
              </w:rPr>
              <w:t>10 681 700,00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07E5B081" w14:textId="77777777" w:rsidR="00387142" w:rsidRPr="008B6A75" w:rsidRDefault="00387142" w:rsidP="00387142">
            <w:pPr>
              <w:jc w:val="right"/>
              <w:rPr>
                <w:sz w:val="20"/>
                <w:szCs w:val="20"/>
              </w:rPr>
            </w:pPr>
            <w:r w:rsidRPr="008B6A75">
              <w:rPr>
                <w:sz w:val="20"/>
                <w:szCs w:val="20"/>
              </w:rPr>
              <w:t>16 022 600,00</w:t>
            </w:r>
          </w:p>
        </w:tc>
      </w:tr>
      <w:tr w:rsidR="00387142" w:rsidRPr="008B6A75" w14:paraId="488FB127" w14:textId="77777777" w:rsidTr="00387142">
        <w:trPr>
          <w:trHeight w:val="300"/>
        </w:trPr>
        <w:tc>
          <w:tcPr>
            <w:tcW w:w="272" w:type="dxa"/>
            <w:tcBorders>
              <w:top w:val="nil"/>
              <w:left w:val="nil"/>
              <w:bottom w:val="nil"/>
              <w:right w:val="single" w:sz="4" w:space="0" w:color="auto"/>
            </w:tcBorders>
            <w:shd w:val="clear" w:color="auto" w:fill="auto"/>
            <w:noWrap/>
            <w:vAlign w:val="bottom"/>
            <w:hideMark/>
          </w:tcPr>
          <w:p w14:paraId="4EBAE1B0"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7271054F" w14:textId="77777777" w:rsidR="00387142" w:rsidRPr="008B6A75" w:rsidRDefault="00387142" w:rsidP="00387142">
            <w:pPr>
              <w:rPr>
                <w:sz w:val="20"/>
                <w:szCs w:val="20"/>
              </w:rPr>
            </w:pPr>
            <w:r w:rsidRPr="008B6A75">
              <w:rPr>
                <w:sz w:val="20"/>
                <w:szCs w:val="20"/>
              </w:rPr>
              <w:t>Бюджетные инвестиции</w:t>
            </w:r>
          </w:p>
        </w:tc>
        <w:tc>
          <w:tcPr>
            <w:tcW w:w="1559" w:type="dxa"/>
            <w:tcBorders>
              <w:top w:val="nil"/>
              <w:left w:val="single" w:sz="4" w:space="0" w:color="auto"/>
              <w:bottom w:val="single" w:sz="4" w:space="0" w:color="auto"/>
              <w:right w:val="nil"/>
            </w:tcBorders>
            <w:shd w:val="clear" w:color="auto" w:fill="auto"/>
            <w:noWrap/>
            <w:vAlign w:val="center"/>
            <w:hideMark/>
          </w:tcPr>
          <w:p w14:paraId="74E5A8DF" w14:textId="77777777" w:rsidR="00387142" w:rsidRPr="008B6A75" w:rsidRDefault="00387142" w:rsidP="00387142">
            <w:pPr>
              <w:jc w:val="center"/>
              <w:rPr>
                <w:sz w:val="20"/>
                <w:szCs w:val="20"/>
              </w:rPr>
            </w:pPr>
            <w:r w:rsidRPr="008B6A75">
              <w:rPr>
                <w:sz w:val="20"/>
                <w:szCs w:val="20"/>
              </w:rPr>
              <w:t>99.0.00.R0829</w:t>
            </w:r>
          </w:p>
        </w:tc>
        <w:tc>
          <w:tcPr>
            <w:tcW w:w="850" w:type="dxa"/>
            <w:tcBorders>
              <w:top w:val="nil"/>
              <w:left w:val="single" w:sz="4" w:space="0" w:color="auto"/>
              <w:bottom w:val="single" w:sz="4" w:space="0" w:color="auto"/>
              <w:right w:val="nil"/>
            </w:tcBorders>
            <w:shd w:val="clear" w:color="auto" w:fill="auto"/>
            <w:noWrap/>
            <w:vAlign w:val="center"/>
            <w:hideMark/>
          </w:tcPr>
          <w:p w14:paraId="298C78E9" w14:textId="77777777" w:rsidR="00387142" w:rsidRPr="008B6A75" w:rsidRDefault="00387142" w:rsidP="00387142">
            <w:pPr>
              <w:jc w:val="center"/>
              <w:rPr>
                <w:sz w:val="20"/>
                <w:szCs w:val="20"/>
              </w:rPr>
            </w:pPr>
            <w:r w:rsidRPr="008B6A75">
              <w:rPr>
                <w:sz w:val="20"/>
                <w:szCs w:val="20"/>
              </w:rPr>
              <w:t>410</w:t>
            </w:r>
          </w:p>
        </w:tc>
        <w:tc>
          <w:tcPr>
            <w:tcW w:w="567" w:type="dxa"/>
            <w:tcBorders>
              <w:top w:val="nil"/>
              <w:left w:val="single" w:sz="4" w:space="0" w:color="auto"/>
              <w:bottom w:val="single" w:sz="4" w:space="0" w:color="auto"/>
              <w:right w:val="nil"/>
            </w:tcBorders>
            <w:shd w:val="clear" w:color="auto" w:fill="auto"/>
            <w:noWrap/>
            <w:vAlign w:val="center"/>
            <w:hideMark/>
          </w:tcPr>
          <w:p w14:paraId="0D074CE7" w14:textId="77777777" w:rsidR="00387142" w:rsidRPr="008B6A75" w:rsidRDefault="00387142" w:rsidP="00387142">
            <w:pPr>
              <w:jc w:val="center"/>
              <w:rPr>
                <w:sz w:val="20"/>
                <w:szCs w:val="20"/>
              </w:rPr>
            </w:pPr>
            <w:r w:rsidRPr="008B6A75">
              <w:rPr>
                <w:sz w:val="20"/>
                <w:szCs w:val="20"/>
              </w:rPr>
              <w:t>05</w:t>
            </w:r>
          </w:p>
        </w:tc>
        <w:tc>
          <w:tcPr>
            <w:tcW w:w="567" w:type="dxa"/>
            <w:tcBorders>
              <w:top w:val="nil"/>
              <w:left w:val="single" w:sz="4" w:space="0" w:color="auto"/>
              <w:bottom w:val="single" w:sz="4" w:space="0" w:color="auto"/>
              <w:right w:val="nil"/>
            </w:tcBorders>
            <w:shd w:val="clear" w:color="auto" w:fill="auto"/>
            <w:noWrap/>
            <w:vAlign w:val="center"/>
            <w:hideMark/>
          </w:tcPr>
          <w:p w14:paraId="6C1DED9E" w14:textId="77777777" w:rsidR="00387142" w:rsidRPr="008B6A75" w:rsidRDefault="00387142" w:rsidP="00387142">
            <w:pPr>
              <w:jc w:val="center"/>
              <w:rPr>
                <w:sz w:val="20"/>
                <w:szCs w:val="20"/>
              </w:rPr>
            </w:pPr>
            <w:r w:rsidRPr="008B6A75">
              <w:rPr>
                <w:sz w:val="20"/>
                <w:szCs w:val="20"/>
              </w:rPr>
              <w:t>01</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331ACF9" w14:textId="77777777" w:rsidR="00387142" w:rsidRPr="008B6A75" w:rsidRDefault="00387142" w:rsidP="00387142">
            <w:pPr>
              <w:jc w:val="right"/>
              <w:rPr>
                <w:sz w:val="20"/>
                <w:szCs w:val="20"/>
              </w:rPr>
            </w:pPr>
            <w:r w:rsidRPr="008B6A75">
              <w:rPr>
                <w:sz w:val="20"/>
                <w:szCs w:val="20"/>
              </w:rPr>
              <w:t>22 484 447,44</w:t>
            </w:r>
          </w:p>
        </w:tc>
        <w:tc>
          <w:tcPr>
            <w:tcW w:w="851" w:type="dxa"/>
            <w:tcBorders>
              <w:top w:val="nil"/>
              <w:left w:val="single" w:sz="4" w:space="0" w:color="auto"/>
              <w:bottom w:val="single" w:sz="4" w:space="0" w:color="auto"/>
              <w:right w:val="nil"/>
            </w:tcBorders>
            <w:shd w:val="clear" w:color="auto" w:fill="auto"/>
            <w:noWrap/>
            <w:vAlign w:val="center"/>
            <w:hideMark/>
          </w:tcPr>
          <w:p w14:paraId="33C5BFEC" w14:textId="77777777" w:rsidR="00387142" w:rsidRPr="008B6A75" w:rsidRDefault="00387142" w:rsidP="00387142">
            <w:pPr>
              <w:jc w:val="right"/>
              <w:rPr>
                <w:sz w:val="20"/>
                <w:szCs w:val="20"/>
              </w:rPr>
            </w:pPr>
            <w:r w:rsidRPr="008B6A75">
              <w:rPr>
                <w:sz w:val="20"/>
                <w:szCs w:val="20"/>
              </w:rPr>
              <w:t>10 681 700,00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4460970D" w14:textId="77777777" w:rsidR="00387142" w:rsidRPr="008B6A75" w:rsidRDefault="00387142" w:rsidP="00387142">
            <w:pPr>
              <w:jc w:val="right"/>
              <w:rPr>
                <w:sz w:val="20"/>
                <w:szCs w:val="20"/>
              </w:rPr>
            </w:pPr>
            <w:r w:rsidRPr="008B6A75">
              <w:rPr>
                <w:sz w:val="20"/>
                <w:szCs w:val="20"/>
              </w:rPr>
              <w:t>16 022 600,00</w:t>
            </w:r>
          </w:p>
        </w:tc>
      </w:tr>
      <w:tr w:rsidR="00387142" w:rsidRPr="008B6A75" w14:paraId="4B2F7897" w14:textId="77777777" w:rsidTr="00387142">
        <w:trPr>
          <w:trHeight w:val="1725"/>
        </w:trPr>
        <w:tc>
          <w:tcPr>
            <w:tcW w:w="272" w:type="dxa"/>
            <w:tcBorders>
              <w:top w:val="nil"/>
              <w:left w:val="nil"/>
              <w:bottom w:val="nil"/>
              <w:right w:val="single" w:sz="4" w:space="0" w:color="auto"/>
            </w:tcBorders>
            <w:shd w:val="clear" w:color="auto" w:fill="auto"/>
            <w:noWrap/>
            <w:vAlign w:val="bottom"/>
            <w:hideMark/>
          </w:tcPr>
          <w:p w14:paraId="4B8C006E"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54F95EF1" w14:textId="77777777" w:rsidR="00387142" w:rsidRPr="008B6A75" w:rsidRDefault="00387142" w:rsidP="00387142">
            <w:pPr>
              <w:rPr>
                <w:bCs/>
                <w:sz w:val="20"/>
                <w:szCs w:val="20"/>
              </w:rPr>
            </w:pPr>
            <w:proofErr w:type="spellStart"/>
            <w:r w:rsidRPr="008B6A75">
              <w:rPr>
                <w:bCs/>
                <w:sz w:val="20"/>
                <w:szCs w:val="20"/>
              </w:rPr>
              <w:t>Софинансирование</w:t>
            </w:r>
            <w:proofErr w:type="spellEnd"/>
            <w:r w:rsidRPr="008B6A75">
              <w:rPr>
                <w:bCs/>
                <w:sz w:val="20"/>
                <w:szCs w:val="20"/>
              </w:rPr>
              <w:t xml:space="preserve"> местного бюджета на реализацию мероприятий по обеспечению сбалансированности местных </w:t>
            </w:r>
            <w:proofErr w:type="gramStart"/>
            <w:r w:rsidRPr="008B6A75">
              <w:rPr>
                <w:bCs/>
                <w:sz w:val="20"/>
                <w:szCs w:val="20"/>
              </w:rPr>
              <w:t>бюджетов  государственной</w:t>
            </w:r>
            <w:proofErr w:type="gramEnd"/>
            <w:r w:rsidRPr="008B6A75">
              <w:rPr>
                <w:bCs/>
                <w:sz w:val="20"/>
                <w:szCs w:val="20"/>
              </w:rPr>
              <w:t xml:space="preserve"> программы Новосибирской области "Управление  финансами в Новосибирской области"</w:t>
            </w:r>
          </w:p>
        </w:tc>
        <w:tc>
          <w:tcPr>
            <w:tcW w:w="1559" w:type="dxa"/>
            <w:tcBorders>
              <w:top w:val="nil"/>
              <w:left w:val="single" w:sz="4" w:space="0" w:color="auto"/>
              <w:bottom w:val="single" w:sz="4" w:space="0" w:color="auto"/>
              <w:right w:val="nil"/>
            </w:tcBorders>
            <w:shd w:val="clear" w:color="auto" w:fill="auto"/>
            <w:noWrap/>
            <w:vAlign w:val="center"/>
            <w:hideMark/>
          </w:tcPr>
          <w:p w14:paraId="7DBC1B5D" w14:textId="77777777" w:rsidR="00387142" w:rsidRPr="008B6A75" w:rsidRDefault="00387142" w:rsidP="00387142">
            <w:pPr>
              <w:jc w:val="center"/>
              <w:rPr>
                <w:bCs/>
                <w:sz w:val="20"/>
                <w:szCs w:val="20"/>
              </w:rPr>
            </w:pPr>
            <w:r w:rsidRPr="008B6A75">
              <w:rPr>
                <w:bCs/>
                <w:sz w:val="20"/>
                <w:szCs w:val="20"/>
              </w:rPr>
              <w:t>99.0.00.S0510</w:t>
            </w:r>
          </w:p>
        </w:tc>
        <w:tc>
          <w:tcPr>
            <w:tcW w:w="850" w:type="dxa"/>
            <w:tcBorders>
              <w:top w:val="nil"/>
              <w:left w:val="single" w:sz="4" w:space="0" w:color="auto"/>
              <w:bottom w:val="single" w:sz="4" w:space="0" w:color="auto"/>
              <w:right w:val="nil"/>
            </w:tcBorders>
            <w:shd w:val="clear" w:color="auto" w:fill="auto"/>
            <w:noWrap/>
            <w:vAlign w:val="center"/>
            <w:hideMark/>
          </w:tcPr>
          <w:p w14:paraId="3472BA7E" w14:textId="77777777" w:rsidR="00387142" w:rsidRPr="008B6A75" w:rsidRDefault="00387142" w:rsidP="00387142">
            <w:pPr>
              <w:jc w:val="center"/>
              <w:rPr>
                <w:bCs/>
                <w:sz w:val="20"/>
                <w:szCs w:val="20"/>
              </w:rPr>
            </w:pPr>
            <w:r w:rsidRPr="008B6A75">
              <w:rPr>
                <w:bCs/>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3069496B" w14:textId="77777777" w:rsidR="00387142" w:rsidRPr="008B6A75" w:rsidRDefault="00387142" w:rsidP="00387142">
            <w:pPr>
              <w:jc w:val="center"/>
              <w:rPr>
                <w:bCs/>
                <w:sz w:val="20"/>
                <w:szCs w:val="20"/>
              </w:rPr>
            </w:pPr>
            <w:r w:rsidRPr="008B6A75">
              <w:rPr>
                <w:bCs/>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523258F3" w14:textId="77777777" w:rsidR="00387142" w:rsidRPr="008B6A75" w:rsidRDefault="00387142" w:rsidP="00387142">
            <w:pPr>
              <w:jc w:val="center"/>
              <w:rPr>
                <w:bCs/>
                <w:sz w:val="20"/>
                <w:szCs w:val="20"/>
              </w:rPr>
            </w:pPr>
            <w:r w:rsidRPr="008B6A75">
              <w:rPr>
                <w:bCs/>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08B3C43" w14:textId="77777777" w:rsidR="00387142" w:rsidRPr="008B6A75" w:rsidRDefault="00387142" w:rsidP="00387142">
            <w:pPr>
              <w:jc w:val="right"/>
              <w:rPr>
                <w:bCs/>
                <w:sz w:val="20"/>
                <w:szCs w:val="20"/>
              </w:rPr>
            </w:pPr>
            <w:r w:rsidRPr="008B6A75">
              <w:rPr>
                <w:bCs/>
                <w:sz w:val="20"/>
                <w:szCs w:val="20"/>
              </w:rPr>
              <w:t>489 800,00</w:t>
            </w:r>
          </w:p>
        </w:tc>
        <w:tc>
          <w:tcPr>
            <w:tcW w:w="851" w:type="dxa"/>
            <w:tcBorders>
              <w:top w:val="nil"/>
              <w:left w:val="single" w:sz="4" w:space="0" w:color="auto"/>
              <w:bottom w:val="single" w:sz="4" w:space="0" w:color="auto"/>
              <w:right w:val="nil"/>
            </w:tcBorders>
            <w:shd w:val="clear" w:color="auto" w:fill="auto"/>
            <w:noWrap/>
            <w:vAlign w:val="center"/>
            <w:hideMark/>
          </w:tcPr>
          <w:p w14:paraId="2893DC50" w14:textId="77777777" w:rsidR="00387142" w:rsidRPr="008B6A75" w:rsidRDefault="00387142" w:rsidP="00387142">
            <w:pPr>
              <w:jc w:val="right"/>
              <w:rPr>
                <w:bCs/>
                <w:sz w:val="20"/>
                <w:szCs w:val="20"/>
              </w:rPr>
            </w:pPr>
            <w:r w:rsidRPr="008B6A75">
              <w:rPr>
                <w:bCs/>
                <w:sz w:val="20"/>
                <w:szCs w:val="20"/>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4B77BA36" w14:textId="77777777" w:rsidR="00387142" w:rsidRPr="008B6A75" w:rsidRDefault="00387142" w:rsidP="00387142">
            <w:pPr>
              <w:jc w:val="right"/>
              <w:rPr>
                <w:bCs/>
                <w:sz w:val="20"/>
                <w:szCs w:val="20"/>
              </w:rPr>
            </w:pPr>
            <w:r w:rsidRPr="008B6A75">
              <w:rPr>
                <w:bCs/>
                <w:sz w:val="20"/>
                <w:szCs w:val="20"/>
              </w:rPr>
              <w:t>0,00</w:t>
            </w:r>
          </w:p>
        </w:tc>
      </w:tr>
      <w:tr w:rsidR="00387142" w:rsidRPr="008B6A75" w14:paraId="0FD249BB" w14:textId="77777777" w:rsidTr="00387142">
        <w:trPr>
          <w:trHeight w:val="300"/>
        </w:trPr>
        <w:tc>
          <w:tcPr>
            <w:tcW w:w="272" w:type="dxa"/>
            <w:tcBorders>
              <w:top w:val="nil"/>
              <w:left w:val="nil"/>
              <w:bottom w:val="nil"/>
              <w:right w:val="single" w:sz="4" w:space="0" w:color="auto"/>
            </w:tcBorders>
            <w:shd w:val="clear" w:color="auto" w:fill="auto"/>
            <w:noWrap/>
            <w:vAlign w:val="bottom"/>
            <w:hideMark/>
          </w:tcPr>
          <w:p w14:paraId="773223ED"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59992A97" w14:textId="77777777" w:rsidR="00387142" w:rsidRPr="008B6A75" w:rsidRDefault="00387142" w:rsidP="00387142">
            <w:pPr>
              <w:rPr>
                <w:sz w:val="20"/>
                <w:szCs w:val="20"/>
              </w:rPr>
            </w:pPr>
            <w:r w:rsidRPr="008B6A75">
              <w:rPr>
                <w:sz w:val="20"/>
                <w:szCs w:val="20"/>
              </w:rPr>
              <w:t>Межбюджетные трансферты</w:t>
            </w:r>
          </w:p>
        </w:tc>
        <w:tc>
          <w:tcPr>
            <w:tcW w:w="1559" w:type="dxa"/>
            <w:tcBorders>
              <w:top w:val="nil"/>
              <w:left w:val="single" w:sz="4" w:space="0" w:color="auto"/>
              <w:bottom w:val="single" w:sz="4" w:space="0" w:color="auto"/>
              <w:right w:val="nil"/>
            </w:tcBorders>
            <w:shd w:val="clear" w:color="auto" w:fill="auto"/>
            <w:noWrap/>
            <w:vAlign w:val="center"/>
            <w:hideMark/>
          </w:tcPr>
          <w:p w14:paraId="6403C77B" w14:textId="77777777" w:rsidR="00387142" w:rsidRPr="008B6A75" w:rsidRDefault="00387142" w:rsidP="00387142">
            <w:pPr>
              <w:jc w:val="center"/>
              <w:rPr>
                <w:sz w:val="20"/>
                <w:szCs w:val="20"/>
              </w:rPr>
            </w:pPr>
            <w:r w:rsidRPr="008B6A75">
              <w:rPr>
                <w:sz w:val="20"/>
                <w:szCs w:val="20"/>
              </w:rPr>
              <w:t>99.0.00.S0510</w:t>
            </w:r>
          </w:p>
        </w:tc>
        <w:tc>
          <w:tcPr>
            <w:tcW w:w="850" w:type="dxa"/>
            <w:tcBorders>
              <w:top w:val="nil"/>
              <w:left w:val="single" w:sz="4" w:space="0" w:color="auto"/>
              <w:bottom w:val="single" w:sz="4" w:space="0" w:color="auto"/>
              <w:right w:val="nil"/>
            </w:tcBorders>
            <w:shd w:val="clear" w:color="auto" w:fill="auto"/>
            <w:noWrap/>
            <w:vAlign w:val="center"/>
            <w:hideMark/>
          </w:tcPr>
          <w:p w14:paraId="0008B7B8" w14:textId="77777777" w:rsidR="00387142" w:rsidRPr="008B6A75" w:rsidRDefault="00387142" w:rsidP="00387142">
            <w:pPr>
              <w:jc w:val="center"/>
              <w:rPr>
                <w:sz w:val="20"/>
                <w:szCs w:val="20"/>
              </w:rPr>
            </w:pPr>
            <w:r w:rsidRPr="008B6A75">
              <w:rPr>
                <w:sz w:val="20"/>
                <w:szCs w:val="20"/>
              </w:rPr>
              <w:t>500</w:t>
            </w:r>
          </w:p>
        </w:tc>
        <w:tc>
          <w:tcPr>
            <w:tcW w:w="567" w:type="dxa"/>
            <w:tcBorders>
              <w:top w:val="nil"/>
              <w:left w:val="single" w:sz="4" w:space="0" w:color="auto"/>
              <w:bottom w:val="single" w:sz="4" w:space="0" w:color="auto"/>
              <w:right w:val="nil"/>
            </w:tcBorders>
            <w:shd w:val="clear" w:color="auto" w:fill="auto"/>
            <w:noWrap/>
            <w:vAlign w:val="center"/>
            <w:hideMark/>
          </w:tcPr>
          <w:p w14:paraId="697CAEE3" w14:textId="77777777" w:rsidR="00387142" w:rsidRPr="008B6A75" w:rsidRDefault="00387142" w:rsidP="00387142">
            <w:pPr>
              <w:jc w:val="center"/>
              <w:rPr>
                <w:sz w:val="20"/>
                <w:szCs w:val="20"/>
              </w:rPr>
            </w:pPr>
            <w:r w:rsidRPr="008B6A75">
              <w:rPr>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6F4E1846" w14:textId="77777777" w:rsidR="00387142" w:rsidRPr="008B6A75" w:rsidRDefault="00387142" w:rsidP="00387142">
            <w:pPr>
              <w:jc w:val="center"/>
              <w:rPr>
                <w:sz w:val="20"/>
                <w:szCs w:val="20"/>
              </w:rPr>
            </w:pPr>
            <w:r w:rsidRPr="008B6A75">
              <w:rPr>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2062CCB" w14:textId="77777777" w:rsidR="00387142" w:rsidRPr="008B6A75" w:rsidRDefault="00387142" w:rsidP="00387142">
            <w:pPr>
              <w:jc w:val="right"/>
              <w:rPr>
                <w:sz w:val="20"/>
                <w:szCs w:val="20"/>
              </w:rPr>
            </w:pPr>
            <w:r w:rsidRPr="008B6A75">
              <w:rPr>
                <w:sz w:val="20"/>
                <w:szCs w:val="20"/>
              </w:rPr>
              <w:t>489 800,00</w:t>
            </w:r>
          </w:p>
        </w:tc>
        <w:tc>
          <w:tcPr>
            <w:tcW w:w="851" w:type="dxa"/>
            <w:tcBorders>
              <w:top w:val="nil"/>
              <w:left w:val="single" w:sz="4" w:space="0" w:color="auto"/>
              <w:bottom w:val="single" w:sz="4" w:space="0" w:color="auto"/>
              <w:right w:val="nil"/>
            </w:tcBorders>
            <w:shd w:val="clear" w:color="auto" w:fill="auto"/>
            <w:noWrap/>
            <w:vAlign w:val="center"/>
            <w:hideMark/>
          </w:tcPr>
          <w:p w14:paraId="61F128DB" w14:textId="77777777" w:rsidR="00387142" w:rsidRPr="008B6A75" w:rsidRDefault="00387142" w:rsidP="00387142">
            <w:pPr>
              <w:jc w:val="right"/>
              <w:rPr>
                <w:sz w:val="20"/>
                <w:szCs w:val="20"/>
              </w:rPr>
            </w:pPr>
            <w:r w:rsidRPr="008B6A75">
              <w:rPr>
                <w:sz w:val="20"/>
                <w:szCs w:val="20"/>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7BB953D7" w14:textId="77777777" w:rsidR="00387142" w:rsidRPr="008B6A75" w:rsidRDefault="00387142" w:rsidP="00387142">
            <w:pPr>
              <w:jc w:val="right"/>
              <w:rPr>
                <w:sz w:val="20"/>
                <w:szCs w:val="20"/>
              </w:rPr>
            </w:pPr>
            <w:r w:rsidRPr="008B6A75">
              <w:rPr>
                <w:sz w:val="20"/>
                <w:szCs w:val="20"/>
              </w:rPr>
              <w:t>0,00</w:t>
            </w:r>
          </w:p>
        </w:tc>
      </w:tr>
      <w:tr w:rsidR="00387142" w:rsidRPr="008B6A75" w14:paraId="19431465" w14:textId="77777777" w:rsidTr="00387142">
        <w:trPr>
          <w:trHeight w:val="300"/>
        </w:trPr>
        <w:tc>
          <w:tcPr>
            <w:tcW w:w="272" w:type="dxa"/>
            <w:tcBorders>
              <w:top w:val="nil"/>
              <w:left w:val="nil"/>
              <w:bottom w:val="nil"/>
              <w:right w:val="single" w:sz="4" w:space="0" w:color="auto"/>
            </w:tcBorders>
            <w:shd w:val="clear" w:color="auto" w:fill="auto"/>
            <w:noWrap/>
            <w:vAlign w:val="bottom"/>
            <w:hideMark/>
          </w:tcPr>
          <w:p w14:paraId="116350B2"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2A1B7443" w14:textId="77777777" w:rsidR="00387142" w:rsidRPr="008B6A75" w:rsidRDefault="00387142" w:rsidP="00387142">
            <w:pPr>
              <w:rPr>
                <w:sz w:val="20"/>
                <w:szCs w:val="20"/>
              </w:rPr>
            </w:pPr>
            <w:r w:rsidRPr="008B6A75">
              <w:rPr>
                <w:sz w:val="20"/>
                <w:szCs w:val="20"/>
              </w:rPr>
              <w:t>Дотации</w:t>
            </w:r>
          </w:p>
        </w:tc>
        <w:tc>
          <w:tcPr>
            <w:tcW w:w="1559" w:type="dxa"/>
            <w:tcBorders>
              <w:top w:val="nil"/>
              <w:left w:val="single" w:sz="4" w:space="0" w:color="auto"/>
              <w:bottom w:val="single" w:sz="4" w:space="0" w:color="auto"/>
              <w:right w:val="nil"/>
            </w:tcBorders>
            <w:shd w:val="clear" w:color="auto" w:fill="auto"/>
            <w:noWrap/>
            <w:vAlign w:val="center"/>
            <w:hideMark/>
          </w:tcPr>
          <w:p w14:paraId="7A47FFA2" w14:textId="77777777" w:rsidR="00387142" w:rsidRPr="008B6A75" w:rsidRDefault="00387142" w:rsidP="00387142">
            <w:pPr>
              <w:jc w:val="center"/>
              <w:rPr>
                <w:sz w:val="20"/>
                <w:szCs w:val="20"/>
              </w:rPr>
            </w:pPr>
            <w:r w:rsidRPr="008B6A75">
              <w:rPr>
                <w:sz w:val="20"/>
                <w:szCs w:val="20"/>
              </w:rPr>
              <w:t>99.0.00.S0510</w:t>
            </w:r>
          </w:p>
        </w:tc>
        <w:tc>
          <w:tcPr>
            <w:tcW w:w="850" w:type="dxa"/>
            <w:tcBorders>
              <w:top w:val="nil"/>
              <w:left w:val="single" w:sz="4" w:space="0" w:color="auto"/>
              <w:bottom w:val="single" w:sz="4" w:space="0" w:color="auto"/>
              <w:right w:val="nil"/>
            </w:tcBorders>
            <w:shd w:val="clear" w:color="auto" w:fill="auto"/>
            <w:noWrap/>
            <w:vAlign w:val="center"/>
            <w:hideMark/>
          </w:tcPr>
          <w:p w14:paraId="3726ED20" w14:textId="77777777" w:rsidR="00387142" w:rsidRPr="008B6A75" w:rsidRDefault="00387142" w:rsidP="00387142">
            <w:pPr>
              <w:jc w:val="center"/>
              <w:rPr>
                <w:sz w:val="20"/>
                <w:szCs w:val="20"/>
              </w:rPr>
            </w:pPr>
            <w:r w:rsidRPr="008B6A75">
              <w:rPr>
                <w:sz w:val="20"/>
                <w:szCs w:val="20"/>
              </w:rPr>
              <w:t>510</w:t>
            </w:r>
          </w:p>
        </w:tc>
        <w:tc>
          <w:tcPr>
            <w:tcW w:w="567" w:type="dxa"/>
            <w:tcBorders>
              <w:top w:val="nil"/>
              <w:left w:val="single" w:sz="4" w:space="0" w:color="auto"/>
              <w:bottom w:val="single" w:sz="4" w:space="0" w:color="auto"/>
              <w:right w:val="nil"/>
            </w:tcBorders>
            <w:shd w:val="clear" w:color="auto" w:fill="auto"/>
            <w:noWrap/>
            <w:vAlign w:val="center"/>
            <w:hideMark/>
          </w:tcPr>
          <w:p w14:paraId="6B63C774" w14:textId="77777777" w:rsidR="00387142" w:rsidRPr="008B6A75" w:rsidRDefault="00387142" w:rsidP="00387142">
            <w:pPr>
              <w:jc w:val="center"/>
              <w:rPr>
                <w:sz w:val="20"/>
                <w:szCs w:val="20"/>
              </w:rPr>
            </w:pPr>
            <w:r w:rsidRPr="008B6A75">
              <w:rPr>
                <w:sz w:val="20"/>
                <w:szCs w:val="20"/>
              </w:rPr>
              <w:t>14</w:t>
            </w:r>
          </w:p>
        </w:tc>
        <w:tc>
          <w:tcPr>
            <w:tcW w:w="567" w:type="dxa"/>
            <w:tcBorders>
              <w:top w:val="nil"/>
              <w:left w:val="single" w:sz="4" w:space="0" w:color="auto"/>
              <w:bottom w:val="single" w:sz="4" w:space="0" w:color="auto"/>
              <w:right w:val="nil"/>
            </w:tcBorders>
            <w:shd w:val="clear" w:color="auto" w:fill="auto"/>
            <w:noWrap/>
            <w:vAlign w:val="center"/>
            <w:hideMark/>
          </w:tcPr>
          <w:p w14:paraId="6DE79D61" w14:textId="77777777" w:rsidR="00387142" w:rsidRPr="008B6A75" w:rsidRDefault="00387142" w:rsidP="00387142">
            <w:pPr>
              <w:jc w:val="center"/>
              <w:rPr>
                <w:sz w:val="20"/>
                <w:szCs w:val="20"/>
              </w:rPr>
            </w:pPr>
            <w:r w:rsidRPr="008B6A75">
              <w:rPr>
                <w:sz w:val="20"/>
                <w:szCs w:val="20"/>
              </w:rPr>
              <w:t>01</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98D9656" w14:textId="77777777" w:rsidR="00387142" w:rsidRPr="008B6A75" w:rsidRDefault="00387142" w:rsidP="00387142">
            <w:pPr>
              <w:jc w:val="right"/>
              <w:rPr>
                <w:sz w:val="20"/>
                <w:szCs w:val="20"/>
              </w:rPr>
            </w:pPr>
            <w:r w:rsidRPr="008B6A75">
              <w:rPr>
                <w:sz w:val="20"/>
                <w:szCs w:val="20"/>
              </w:rPr>
              <w:t>489 800,00</w:t>
            </w:r>
          </w:p>
        </w:tc>
        <w:tc>
          <w:tcPr>
            <w:tcW w:w="851" w:type="dxa"/>
            <w:tcBorders>
              <w:top w:val="nil"/>
              <w:left w:val="single" w:sz="4" w:space="0" w:color="auto"/>
              <w:bottom w:val="single" w:sz="4" w:space="0" w:color="auto"/>
              <w:right w:val="nil"/>
            </w:tcBorders>
            <w:shd w:val="clear" w:color="auto" w:fill="auto"/>
            <w:noWrap/>
            <w:vAlign w:val="center"/>
            <w:hideMark/>
          </w:tcPr>
          <w:p w14:paraId="77CD4412" w14:textId="77777777" w:rsidR="00387142" w:rsidRPr="008B6A75" w:rsidRDefault="00387142" w:rsidP="00387142">
            <w:pPr>
              <w:jc w:val="right"/>
              <w:rPr>
                <w:sz w:val="20"/>
                <w:szCs w:val="20"/>
              </w:rPr>
            </w:pPr>
            <w:r w:rsidRPr="008B6A75">
              <w:rPr>
                <w:sz w:val="20"/>
                <w:szCs w:val="20"/>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18B956C9" w14:textId="77777777" w:rsidR="00387142" w:rsidRPr="008B6A75" w:rsidRDefault="00387142" w:rsidP="00387142">
            <w:pPr>
              <w:jc w:val="right"/>
              <w:rPr>
                <w:sz w:val="20"/>
                <w:szCs w:val="20"/>
              </w:rPr>
            </w:pPr>
            <w:r w:rsidRPr="008B6A75">
              <w:rPr>
                <w:sz w:val="20"/>
                <w:szCs w:val="20"/>
              </w:rPr>
              <w:t>0,00</w:t>
            </w:r>
          </w:p>
        </w:tc>
      </w:tr>
      <w:tr w:rsidR="00387142" w:rsidRPr="008B6A75" w14:paraId="3509F33A" w14:textId="77777777" w:rsidTr="00387142">
        <w:trPr>
          <w:trHeight w:val="3150"/>
        </w:trPr>
        <w:tc>
          <w:tcPr>
            <w:tcW w:w="272" w:type="dxa"/>
            <w:tcBorders>
              <w:top w:val="nil"/>
              <w:left w:val="nil"/>
              <w:bottom w:val="nil"/>
              <w:right w:val="single" w:sz="4" w:space="0" w:color="auto"/>
            </w:tcBorders>
            <w:shd w:val="clear" w:color="auto" w:fill="auto"/>
            <w:noWrap/>
            <w:vAlign w:val="bottom"/>
            <w:hideMark/>
          </w:tcPr>
          <w:p w14:paraId="3D722316"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5EB8C5E7" w14:textId="77777777" w:rsidR="00387142" w:rsidRPr="008B6A75" w:rsidRDefault="00387142" w:rsidP="00387142">
            <w:pPr>
              <w:rPr>
                <w:bCs/>
                <w:sz w:val="20"/>
                <w:szCs w:val="20"/>
              </w:rPr>
            </w:pPr>
            <w:proofErr w:type="spellStart"/>
            <w:r w:rsidRPr="008B6A75">
              <w:rPr>
                <w:bCs/>
                <w:sz w:val="20"/>
                <w:szCs w:val="20"/>
              </w:rPr>
              <w:t>Софинансирование</w:t>
            </w:r>
            <w:proofErr w:type="spellEnd"/>
            <w:r w:rsidRPr="008B6A75">
              <w:rPr>
                <w:bCs/>
                <w:sz w:val="20"/>
                <w:szCs w:val="20"/>
              </w:rPr>
              <w:t xml:space="preserve"> местного бюджета на строительство (приобретение на первичном рынке) служебного жилья подпрограммы "Строительство (приобретение на первичном рынке) служебного жилья для отдельных категорий граждан, проживающих и работающих на территории Новосибирской области" государственной программы Новосибирской области "Стимулирование развития жилищного строительства в Новосибирской области"</w:t>
            </w:r>
          </w:p>
        </w:tc>
        <w:tc>
          <w:tcPr>
            <w:tcW w:w="1559" w:type="dxa"/>
            <w:tcBorders>
              <w:top w:val="nil"/>
              <w:left w:val="single" w:sz="4" w:space="0" w:color="auto"/>
              <w:bottom w:val="single" w:sz="4" w:space="0" w:color="auto"/>
              <w:right w:val="nil"/>
            </w:tcBorders>
            <w:shd w:val="clear" w:color="auto" w:fill="auto"/>
            <w:noWrap/>
            <w:vAlign w:val="center"/>
            <w:hideMark/>
          </w:tcPr>
          <w:p w14:paraId="718D109F" w14:textId="77777777" w:rsidR="00387142" w:rsidRPr="008B6A75" w:rsidRDefault="00387142" w:rsidP="00387142">
            <w:pPr>
              <w:jc w:val="center"/>
              <w:rPr>
                <w:bCs/>
                <w:sz w:val="20"/>
                <w:szCs w:val="20"/>
              </w:rPr>
            </w:pPr>
            <w:r w:rsidRPr="008B6A75">
              <w:rPr>
                <w:bCs/>
                <w:sz w:val="20"/>
                <w:szCs w:val="20"/>
              </w:rPr>
              <w:t>99.0.00.S0650</w:t>
            </w:r>
          </w:p>
        </w:tc>
        <w:tc>
          <w:tcPr>
            <w:tcW w:w="850" w:type="dxa"/>
            <w:tcBorders>
              <w:top w:val="nil"/>
              <w:left w:val="single" w:sz="4" w:space="0" w:color="auto"/>
              <w:bottom w:val="single" w:sz="4" w:space="0" w:color="auto"/>
              <w:right w:val="nil"/>
            </w:tcBorders>
            <w:shd w:val="clear" w:color="auto" w:fill="auto"/>
            <w:noWrap/>
            <w:vAlign w:val="center"/>
            <w:hideMark/>
          </w:tcPr>
          <w:p w14:paraId="4BC39E92" w14:textId="77777777" w:rsidR="00387142" w:rsidRPr="008B6A75" w:rsidRDefault="00387142" w:rsidP="00387142">
            <w:pPr>
              <w:jc w:val="center"/>
              <w:rPr>
                <w:bCs/>
                <w:sz w:val="20"/>
                <w:szCs w:val="20"/>
              </w:rPr>
            </w:pPr>
            <w:r w:rsidRPr="008B6A75">
              <w:rPr>
                <w:bCs/>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2AA715CA" w14:textId="77777777" w:rsidR="00387142" w:rsidRPr="008B6A75" w:rsidRDefault="00387142" w:rsidP="00387142">
            <w:pPr>
              <w:jc w:val="center"/>
              <w:rPr>
                <w:bCs/>
                <w:sz w:val="20"/>
                <w:szCs w:val="20"/>
              </w:rPr>
            </w:pPr>
            <w:r w:rsidRPr="008B6A75">
              <w:rPr>
                <w:bCs/>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66FBBC8C" w14:textId="77777777" w:rsidR="00387142" w:rsidRPr="008B6A75" w:rsidRDefault="00387142" w:rsidP="00387142">
            <w:pPr>
              <w:jc w:val="center"/>
              <w:rPr>
                <w:bCs/>
                <w:sz w:val="20"/>
                <w:szCs w:val="20"/>
              </w:rPr>
            </w:pPr>
            <w:r w:rsidRPr="008B6A75">
              <w:rPr>
                <w:bCs/>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27D42B7" w14:textId="77777777" w:rsidR="00387142" w:rsidRPr="008B6A75" w:rsidRDefault="00387142" w:rsidP="00387142">
            <w:pPr>
              <w:jc w:val="right"/>
              <w:rPr>
                <w:bCs/>
                <w:sz w:val="20"/>
                <w:szCs w:val="20"/>
              </w:rPr>
            </w:pPr>
            <w:r w:rsidRPr="008B6A75">
              <w:rPr>
                <w:bCs/>
                <w:sz w:val="20"/>
                <w:szCs w:val="20"/>
              </w:rPr>
              <w:t>2 315 978,95</w:t>
            </w:r>
          </w:p>
        </w:tc>
        <w:tc>
          <w:tcPr>
            <w:tcW w:w="851" w:type="dxa"/>
            <w:tcBorders>
              <w:top w:val="nil"/>
              <w:left w:val="single" w:sz="4" w:space="0" w:color="auto"/>
              <w:bottom w:val="single" w:sz="4" w:space="0" w:color="auto"/>
              <w:right w:val="nil"/>
            </w:tcBorders>
            <w:shd w:val="clear" w:color="auto" w:fill="auto"/>
            <w:noWrap/>
            <w:vAlign w:val="center"/>
            <w:hideMark/>
          </w:tcPr>
          <w:p w14:paraId="7A7549FB" w14:textId="77777777" w:rsidR="00387142" w:rsidRPr="008B6A75" w:rsidRDefault="00387142" w:rsidP="00387142">
            <w:pPr>
              <w:jc w:val="right"/>
              <w:rPr>
                <w:bCs/>
                <w:sz w:val="20"/>
                <w:szCs w:val="20"/>
              </w:rPr>
            </w:pPr>
            <w:r w:rsidRPr="008B6A75">
              <w:rPr>
                <w:bCs/>
                <w:sz w:val="20"/>
                <w:szCs w:val="20"/>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00A42AC8" w14:textId="77777777" w:rsidR="00387142" w:rsidRPr="008B6A75" w:rsidRDefault="00387142" w:rsidP="00387142">
            <w:pPr>
              <w:jc w:val="right"/>
              <w:rPr>
                <w:bCs/>
                <w:sz w:val="20"/>
                <w:szCs w:val="20"/>
              </w:rPr>
            </w:pPr>
            <w:r w:rsidRPr="008B6A75">
              <w:rPr>
                <w:bCs/>
                <w:sz w:val="20"/>
                <w:szCs w:val="20"/>
              </w:rPr>
              <w:t>0,00</w:t>
            </w:r>
          </w:p>
        </w:tc>
      </w:tr>
      <w:tr w:rsidR="00387142" w:rsidRPr="008B6A75" w14:paraId="2B1BD1E8" w14:textId="77777777" w:rsidTr="00387142">
        <w:trPr>
          <w:trHeight w:val="870"/>
        </w:trPr>
        <w:tc>
          <w:tcPr>
            <w:tcW w:w="272" w:type="dxa"/>
            <w:tcBorders>
              <w:top w:val="nil"/>
              <w:left w:val="nil"/>
              <w:bottom w:val="nil"/>
              <w:right w:val="single" w:sz="4" w:space="0" w:color="auto"/>
            </w:tcBorders>
            <w:shd w:val="clear" w:color="auto" w:fill="auto"/>
            <w:noWrap/>
            <w:vAlign w:val="bottom"/>
            <w:hideMark/>
          </w:tcPr>
          <w:p w14:paraId="59C4D73B"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6F81CBA2" w14:textId="77777777" w:rsidR="00387142" w:rsidRPr="008B6A75" w:rsidRDefault="00387142" w:rsidP="00387142">
            <w:pPr>
              <w:rPr>
                <w:sz w:val="20"/>
                <w:szCs w:val="20"/>
              </w:rPr>
            </w:pPr>
            <w:r w:rsidRPr="008B6A75">
              <w:rPr>
                <w:sz w:val="20"/>
                <w:szCs w:val="20"/>
              </w:rPr>
              <w:t>Капитальные вложения в объекты государственной (муниципальной) собственности</w:t>
            </w:r>
          </w:p>
        </w:tc>
        <w:tc>
          <w:tcPr>
            <w:tcW w:w="1559" w:type="dxa"/>
            <w:tcBorders>
              <w:top w:val="nil"/>
              <w:left w:val="single" w:sz="4" w:space="0" w:color="auto"/>
              <w:bottom w:val="single" w:sz="4" w:space="0" w:color="auto"/>
              <w:right w:val="nil"/>
            </w:tcBorders>
            <w:shd w:val="clear" w:color="auto" w:fill="auto"/>
            <w:noWrap/>
            <w:vAlign w:val="center"/>
            <w:hideMark/>
          </w:tcPr>
          <w:p w14:paraId="616DFC3D" w14:textId="77777777" w:rsidR="00387142" w:rsidRPr="008B6A75" w:rsidRDefault="00387142" w:rsidP="00387142">
            <w:pPr>
              <w:jc w:val="center"/>
              <w:rPr>
                <w:sz w:val="20"/>
                <w:szCs w:val="20"/>
              </w:rPr>
            </w:pPr>
            <w:r w:rsidRPr="008B6A75">
              <w:rPr>
                <w:sz w:val="20"/>
                <w:szCs w:val="20"/>
              </w:rPr>
              <w:t>99.0.00.S0650</w:t>
            </w:r>
          </w:p>
        </w:tc>
        <w:tc>
          <w:tcPr>
            <w:tcW w:w="850" w:type="dxa"/>
            <w:tcBorders>
              <w:top w:val="nil"/>
              <w:left w:val="single" w:sz="4" w:space="0" w:color="auto"/>
              <w:bottom w:val="single" w:sz="4" w:space="0" w:color="auto"/>
              <w:right w:val="nil"/>
            </w:tcBorders>
            <w:shd w:val="clear" w:color="auto" w:fill="auto"/>
            <w:noWrap/>
            <w:vAlign w:val="center"/>
            <w:hideMark/>
          </w:tcPr>
          <w:p w14:paraId="537289B3" w14:textId="77777777" w:rsidR="00387142" w:rsidRPr="008B6A75" w:rsidRDefault="00387142" w:rsidP="00387142">
            <w:pPr>
              <w:jc w:val="center"/>
              <w:rPr>
                <w:sz w:val="20"/>
                <w:szCs w:val="20"/>
              </w:rPr>
            </w:pPr>
            <w:r w:rsidRPr="008B6A75">
              <w:rPr>
                <w:sz w:val="20"/>
                <w:szCs w:val="20"/>
              </w:rPr>
              <w:t>400</w:t>
            </w:r>
          </w:p>
        </w:tc>
        <w:tc>
          <w:tcPr>
            <w:tcW w:w="567" w:type="dxa"/>
            <w:tcBorders>
              <w:top w:val="nil"/>
              <w:left w:val="single" w:sz="4" w:space="0" w:color="auto"/>
              <w:bottom w:val="single" w:sz="4" w:space="0" w:color="auto"/>
              <w:right w:val="nil"/>
            </w:tcBorders>
            <w:shd w:val="clear" w:color="auto" w:fill="auto"/>
            <w:noWrap/>
            <w:vAlign w:val="center"/>
            <w:hideMark/>
          </w:tcPr>
          <w:p w14:paraId="6C197430" w14:textId="77777777" w:rsidR="00387142" w:rsidRPr="008B6A75" w:rsidRDefault="00387142" w:rsidP="00387142">
            <w:pPr>
              <w:jc w:val="center"/>
              <w:rPr>
                <w:sz w:val="20"/>
                <w:szCs w:val="20"/>
              </w:rPr>
            </w:pPr>
            <w:r w:rsidRPr="008B6A75">
              <w:rPr>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278B3F50" w14:textId="77777777" w:rsidR="00387142" w:rsidRPr="008B6A75" w:rsidRDefault="00387142" w:rsidP="00387142">
            <w:pPr>
              <w:jc w:val="center"/>
              <w:rPr>
                <w:sz w:val="20"/>
                <w:szCs w:val="20"/>
              </w:rPr>
            </w:pPr>
            <w:r w:rsidRPr="008B6A75">
              <w:rPr>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408ACDE" w14:textId="77777777" w:rsidR="00387142" w:rsidRPr="008B6A75" w:rsidRDefault="00387142" w:rsidP="00387142">
            <w:pPr>
              <w:jc w:val="right"/>
              <w:rPr>
                <w:sz w:val="20"/>
                <w:szCs w:val="20"/>
              </w:rPr>
            </w:pPr>
            <w:r w:rsidRPr="008B6A75">
              <w:rPr>
                <w:sz w:val="20"/>
                <w:szCs w:val="20"/>
              </w:rPr>
              <w:t>2 315 978,95</w:t>
            </w:r>
          </w:p>
        </w:tc>
        <w:tc>
          <w:tcPr>
            <w:tcW w:w="851" w:type="dxa"/>
            <w:tcBorders>
              <w:top w:val="nil"/>
              <w:left w:val="single" w:sz="4" w:space="0" w:color="auto"/>
              <w:bottom w:val="single" w:sz="4" w:space="0" w:color="auto"/>
              <w:right w:val="nil"/>
            </w:tcBorders>
            <w:shd w:val="clear" w:color="auto" w:fill="auto"/>
            <w:noWrap/>
            <w:vAlign w:val="center"/>
            <w:hideMark/>
          </w:tcPr>
          <w:p w14:paraId="7BDC7B17" w14:textId="77777777" w:rsidR="00387142" w:rsidRPr="008B6A75" w:rsidRDefault="00387142" w:rsidP="00387142">
            <w:pPr>
              <w:jc w:val="right"/>
              <w:rPr>
                <w:sz w:val="20"/>
                <w:szCs w:val="20"/>
              </w:rPr>
            </w:pPr>
            <w:r w:rsidRPr="008B6A75">
              <w:rPr>
                <w:sz w:val="20"/>
                <w:szCs w:val="20"/>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546B1545" w14:textId="77777777" w:rsidR="00387142" w:rsidRPr="008B6A75" w:rsidRDefault="00387142" w:rsidP="00387142">
            <w:pPr>
              <w:jc w:val="right"/>
              <w:rPr>
                <w:sz w:val="20"/>
                <w:szCs w:val="20"/>
              </w:rPr>
            </w:pPr>
            <w:r w:rsidRPr="008B6A75">
              <w:rPr>
                <w:sz w:val="20"/>
                <w:szCs w:val="20"/>
              </w:rPr>
              <w:t>0,00</w:t>
            </w:r>
          </w:p>
        </w:tc>
      </w:tr>
      <w:tr w:rsidR="00387142" w:rsidRPr="008B6A75" w14:paraId="7A4D49BA" w14:textId="77777777" w:rsidTr="00387142">
        <w:trPr>
          <w:trHeight w:val="300"/>
        </w:trPr>
        <w:tc>
          <w:tcPr>
            <w:tcW w:w="272" w:type="dxa"/>
            <w:tcBorders>
              <w:top w:val="nil"/>
              <w:left w:val="nil"/>
              <w:bottom w:val="nil"/>
              <w:right w:val="single" w:sz="4" w:space="0" w:color="auto"/>
            </w:tcBorders>
            <w:shd w:val="clear" w:color="auto" w:fill="auto"/>
            <w:noWrap/>
            <w:vAlign w:val="bottom"/>
            <w:hideMark/>
          </w:tcPr>
          <w:p w14:paraId="655082F3"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5CBCA407" w14:textId="77777777" w:rsidR="00387142" w:rsidRPr="008B6A75" w:rsidRDefault="00387142" w:rsidP="00387142">
            <w:pPr>
              <w:rPr>
                <w:sz w:val="20"/>
                <w:szCs w:val="20"/>
              </w:rPr>
            </w:pPr>
            <w:r w:rsidRPr="008B6A75">
              <w:rPr>
                <w:sz w:val="20"/>
                <w:szCs w:val="20"/>
              </w:rPr>
              <w:t>Бюджетные инвестиции</w:t>
            </w:r>
          </w:p>
        </w:tc>
        <w:tc>
          <w:tcPr>
            <w:tcW w:w="1559" w:type="dxa"/>
            <w:tcBorders>
              <w:top w:val="nil"/>
              <w:left w:val="single" w:sz="4" w:space="0" w:color="auto"/>
              <w:bottom w:val="single" w:sz="4" w:space="0" w:color="auto"/>
              <w:right w:val="nil"/>
            </w:tcBorders>
            <w:shd w:val="clear" w:color="auto" w:fill="auto"/>
            <w:noWrap/>
            <w:vAlign w:val="center"/>
            <w:hideMark/>
          </w:tcPr>
          <w:p w14:paraId="4BED9522" w14:textId="77777777" w:rsidR="00387142" w:rsidRPr="008B6A75" w:rsidRDefault="00387142" w:rsidP="00387142">
            <w:pPr>
              <w:jc w:val="center"/>
              <w:rPr>
                <w:sz w:val="20"/>
                <w:szCs w:val="20"/>
              </w:rPr>
            </w:pPr>
            <w:r w:rsidRPr="008B6A75">
              <w:rPr>
                <w:sz w:val="20"/>
                <w:szCs w:val="20"/>
              </w:rPr>
              <w:t>99.0.00.S0650</w:t>
            </w:r>
          </w:p>
        </w:tc>
        <w:tc>
          <w:tcPr>
            <w:tcW w:w="850" w:type="dxa"/>
            <w:tcBorders>
              <w:top w:val="nil"/>
              <w:left w:val="single" w:sz="4" w:space="0" w:color="auto"/>
              <w:bottom w:val="single" w:sz="4" w:space="0" w:color="auto"/>
              <w:right w:val="nil"/>
            </w:tcBorders>
            <w:shd w:val="clear" w:color="auto" w:fill="auto"/>
            <w:noWrap/>
            <w:vAlign w:val="center"/>
            <w:hideMark/>
          </w:tcPr>
          <w:p w14:paraId="747F051A" w14:textId="77777777" w:rsidR="00387142" w:rsidRPr="008B6A75" w:rsidRDefault="00387142" w:rsidP="00387142">
            <w:pPr>
              <w:jc w:val="center"/>
              <w:rPr>
                <w:sz w:val="20"/>
                <w:szCs w:val="20"/>
              </w:rPr>
            </w:pPr>
            <w:r w:rsidRPr="008B6A75">
              <w:rPr>
                <w:sz w:val="20"/>
                <w:szCs w:val="20"/>
              </w:rPr>
              <w:t>410</w:t>
            </w:r>
          </w:p>
        </w:tc>
        <w:tc>
          <w:tcPr>
            <w:tcW w:w="567" w:type="dxa"/>
            <w:tcBorders>
              <w:top w:val="nil"/>
              <w:left w:val="single" w:sz="4" w:space="0" w:color="auto"/>
              <w:bottom w:val="single" w:sz="4" w:space="0" w:color="auto"/>
              <w:right w:val="nil"/>
            </w:tcBorders>
            <w:shd w:val="clear" w:color="auto" w:fill="auto"/>
            <w:noWrap/>
            <w:vAlign w:val="center"/>
            <w:hideMark/>
          </w:tcPr>
          <w:p w14:paraId="47F3A8C9" w14:textId="77777777" w:rsidR="00387142" w:rsidRPr="008B6A75" w:rsidRDefault="00387142" w:rsidP="00387142">
            <w:pPr>
              <w:jc w:val="center"/>
              <w:rPr>
                <w:sz w:val="20"/>
                <w:szCs w:val="20"/>
              </w:rPr>
            </w:pPr>
            <w:r w:rsidRPr="008B6A75">
              <w:rPr>
                <w:sz w:val="20"/>
                <w:szCs w:val="20"/>
              </w:rPr>
              <w:t>05</w:t>
            </w:r>
          </w:p>
        </w:tc>
        <w:tc>
          <w:tcPr>
            <w:tcW w:w="567" w:type="dxa"/>
            <w:tcBorders>
              <w:top w:val="nil"/>
              <w:left w:val="single" w:sz="4" w:space="0" w:color="auto"/>
              <w:bottom w:val="single" w:sz="4" w:space="0" w:color="auto"/>
              <w:right w:val="nil"/>
            </w:tcBorders>
            <w:shd w:val="clear" w:color="auto" w:fill="auto"/>
            <w:noWrap/>
            <w:vAlign w:val="center"/>
            <w:hideMark/>
          </w:tcPr>
          <w:p w14:paraId="699F080D" w14:textId="77777777" w:rsidR="00387142" w:rsidRPr="008B6A75" w:rsidRDefault="00387142" w:rsidP="00387142">
            <w:pPr>
              <w:jc w:val="center"/>
              <w:rPr>
                <w:sz w:val="20"/>
                <w:szCs w:val="20"/>
              </w:rPr>
            </w:pPr>
            <w:r w:rsidRPr="008B6A75">
              <w:rPr>
                <w:sz w:val="20"/>
                <w:szCs w:val="20"/>
              </w:rPr>
              <w:t>01</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504BD2E" w14:textId="77777777" w:rsidR="00387142" w:rsidRPr="008B6A75" w:rsidRDefault="00387142" w:rsidP="00387142">
            <w:pPr>
              <w:jc w:val="right"/>
              <w:rPr>
                <w:sz w:val="20"/>
                <w:szCs w:val="20"/>
              </w:rPr>
            </w:pPr>
            <w:r w:rsidRPr="008B6A75">
              <w:rPr>
                <w:sz w:val="20"/>
                <w:szCs w:val="20"/>
              </w:rPr>
              <w:t>2 315 978,95</w:t>
            </w:r>
          </w:p>
        </w:tc>
        <w:tc>
          <w:tcPr>
            <w:tcW w:w="851" w:type="dxa"/>
            <w:tcBorders>
              <w:top w:val="nil"/>
              <w:left w:val="single" w:sz="4" w:space="0" w:color="auto"/>
              <w:bottom w:val="single" w:sz="4" w:space="0" w:color="auto"/>
              <w:right w:val="nil"/>
            </w:tcBorders>
            <w:shd w:val="clear" w:color="auto" w:fill="auto"/>
            <w:noWrap/>
            <w:vAlign w:val="center"/>
            <w:hideMark/>
          </w:tcPr>
          <w:p w14:paraId="71DA5B1C" w14:textId="77777777" w:rsidR="00387142" w:rsidRPr="008B6A75" w:rsidRDefault="00387142" w:rsidP="00387142">
            <w:pPr>
              <w:jc w:val="right"/>
              <w:rPr>
                <w:sz w:val="20"/>
                <w:szCs w:val="20"/>
              </w:rPr>
            </w:pPr>
            <w:r w:rsidRPr="008B6A75">
              <w:rPr>
                <w:sz w:val="20"/>
                <w:szCs w:val="20"/>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60E6335C" w14:textId="77777777" w:rsidR="00387142" w:rsidRPr="008B6A75" w:rsidRDefault="00387142" w:rsidP="00387142">
            <w:pPr>
              <w:jc w:val="right"/>
              <w:rPr>
                <w:sz w:val="20"/>
                <w:szCs w:val="20"/>
              </w:rPr>
            </w:pPr>
            <w:r w:rsidRPr="008B6A75">
              <w:rPr>
                <w:sz w:val="20"/>
                <w:szCs w:val="20"/>
              </w:rPr>
              <w:t>0,00</w:t>
            </w:r>
          </w:p>
        </w:tc>
      </w:tr>
      <w:tr w:rsidR="00387142" w:rsidRPr="008B6A75" w14:paraId="63AA5247" w14:textId="77777777" w:rsidTr="00387142">
        <w:trPr>
          <w:trHeight w:val="2580"/>
        </w:trPr>
        <w:tc>
          <w:tcPr>
            <w:tcW w:w="272" w:type="dxa"/>
            <w:tcBorders>
              <w:top w:val="nil"/>
              <w:left w:val="nil"/>
              <w:bottom w:val="nil"/>
              <w:right w:val="single" w:sz="4" w:space="0" w:color="auto"/>
            </w:tcBorders>
            <w:shd w:val="clear" w:color="auto" w:fill="auto"/>
            <w:noWrap/>
            <w:vAlign w:val="bottom"/>
            <w:hideMark/>
          </w:tcPr>
          <w:p w14:paraId="021267B3" w14:textId="77777777" w:rsidR="00387142" w:rsidRPr="008B6A75" w:rsidRDefault="00387142" w:rsidP="00387142">
            <w:pPr>
              <w:rPr>
                <w:sz w:val="20"/>
                <w:szCs w:val="20"/>
              </w:rPr>
            </w:pPr>
            <w:r w:rsidRPr="008B6A75">
              <w:rPr>
                <w:sz w:val="20"/>
                <w:szCs w:val="20"/>
              </w:rPr>
              <w:lastRenderedPageBreak/>
              <w:t> </w:t>
            </w:r>
          </w:p>
        </w:tc>
        <w:tc>
          <w:tcPr>
            <w:tcW w:w="3415" w:type="dxa"/>
            <w:tcBorders>
              <w:top w:val="nil"/>
              <w:left w:val="single" w:sz="4" w:space="0" w:color="auto"/>
              <w:bottom w:val="single" w:sz="4" w:space="0" w:color="auto"/>
              <w:right w:val="nil"/>
            </w:tcBorders>
            <w:shd w:val="clear" w:color="auto" w:fill="auto"/>
            <w:vAlign w:val="center"/>
            <w:hideMark/>
          </w:tcPr>
          <w:p w14:paraId="1720ECB6" w14:textId="77777777" w:rsidR="00387142" w:rsidRPr="008B6A75" w:rsidRDefault="00387142" w:rsidP="00387142">
            <w:pPr>
              <w:rPr>
                <w:bCs/>
                <w:sz w:val="20"/>
                <w:szCs w:val="20"/>
              </w:rPr>
            </w:pPr>
            <w:proofErr w:type="spellStart"/>
            <w:r w:rsidRPr="008B6A75">
              <w:rPr>
                <w:bCs/>
                <w:sz w:val="20"/>
                <w:szCs w:val="20"/>
              </w:rPr>
              <w:t>Софинансирование</w:t>
            </w:r>
            <w:proofErr w:type="spellEnd"/>
            <w:r w:rsidRPr="008B6A75">
              <w:rPr>
                <w:bCs/>
                <w:sz w:val="20"/>
                <w:szCs w:val="20"/>
              </w:rPr>
              <w:t xml:space="preserve"> местного бюджета на реализацию мероприятий на оплату расходов, связанных со строительством специализированного жилищного фонда для предоставления отдельным категориям граждан, государственной программы Новосибирской области «Стимулирование развития жилищного строительства в Новосибирской области»</w:t>
            </w:r>
          </w:p>
        </w:tc>
        <w:tc>
          <w:tcPr>
            <w:tcW w:w="1559" w:type="dxa"/>
            <w:tcBorders>
              <w:top w:val="nil"/>
              <w:left w:val="single" w:sz="4" w:space="0" w:color="auto"/>
              <w:bottom w:val="single" w:sz="4" w:space="0" w:color="auto"/>
              <w:right w:val="nil"/>
            </w:tcBorders>
            <w:shd w:val="clear" w:color="auto" w:fill="auto"/>
            <w:noWrap/>
            <w:vAlign w:val="center"/>
            <w:hideMark/>
          </w:tcPr>
          <w:p w14:paraId="6525BBD0" w14:textId="77777777" w:rsidR="00387142" w:rsidRPr="008B6A75" w:rsidRDefault="00387142" w:rsidP="00387142">
            <w:pPr>
              <w:jc w:val="center"/>
              <w:rPr>
                <w:bCs/>
                <w:sz w:val="20"/>
                <w:szCs w:val="20"/>
              </w:rPr>
            </w:pPr>
            <w:r w:rsidRPr="008B6A75">
              <w:rPr>
                <w:bCs/>
                <w:sz w:val="20"/>
                <w:szCs w:val="20"/>
              </w:rPr>
              <w:t>99.0.00.S0830</w:t>
            </w:r>
          </w:p>
        </w:tc>
        <w:tc>
          <w:tcPr>
            <w:tcW w:w="850" w:type="dxa"/>
            <w:tcBorders>
              <w:top w:val="nil"/>
              <w:left w:val="single" w:sz="4" w:space="0" w:color="auto"/>
              <w:bottom w:val="single" w:sz="4" w:space="0" w:color="auto"/>
              <w:right w:val="nil"/>
            </w:tcBorders>
            <w:shd w:val="clear" w:color="auto" w:fill="auto"/>
            <w:noWrap/>
            <w:vAlign w:val="center"/>
            <w:hideMark/>
          </w:tcPr>
          <w:p w14:paraId="73A30628" w14:textId="77777777" w:rsidR="00387142" w:rsidRPr="008B6A75" w:rsidRDefault="00387142" w:rsidP="00387142">
            <w:pPr>
              <w:jc w:val="center"/>
              <w:rPr>
                <w:bCs/>
                <w:sz w:val="20"/>
                <w:szCs w:val="20"/>
              </w:rPr>
            </w:pPr>
            <w:r w:rsidRPr="008B6A75">
              <w:rPr>
                <w:bCs/>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50302670" w14:textId="77777777" w:rsidR="00387142" w:rsidRPr="008B6A75" w:rsidRDefault="00387142" w:rsidP="00387142">
            <w:pPr>
              <w:jc w:val="center"/>
              <w:rPr>
                <w:bCs/>
                <w:sz w:val="20"/>
                <w:szCs w:val="20"/>
              </w:rPr>
            </w:pPr>
            <w:r w:rsidRPr="008B6A75">
              <w:rPr>
                <w:bCs/>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623F84E8" w14:textId="77777777" w:rsidR="00387142" w:rsidRPr="008B6A75" w:rsidRDefault="00387142" w:rsidP="00387142">
            <w:pPr>
              <w:jc w:val="center"/>
              <w:rPr>
                <w:bCs/>
                <w:sz w:val="20"/>
                <w:szCs w:val="20"/>
              </w:rPr>
            </w:pPr>
            <w:r w:rsidRPr="008B6A75">
              <w:rPr>
                <w:bCs/>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9DA998A" w14:textId="77777777" w:rsidR="00387142" w:rsidRPr="008B6A75" w:rsidRDefault="00387142" w:rsidP="00387142">
            <w:pPr>
              <w:jc w:val="right"/>
              <w:rPr>
                <w:bCs/>
                <w:sz w:val="20"/>
                <w:szCs w:val="20"/>
              </w:rPr>
            </w:pPr>
            <w:r w:rsidRPr="008B6A75">
              <w:rPr>
                <w:bCs/>
                <w:sz w:val="20"/>
                <w:szCs w:val="20"/>
              </w:rPr>
              <w:t>709 715,79</w:t>
            </w:r>
          </w:p>
        </w:tc>
        <w:tc>
          <w:tcPr>
            <w:tcW w:w="851" w:type="dxa"/>
            <w:tcBorders>
              <w:top w:val="nil"/>
              <w:left w:val="single" w:sz="4" w:space="0" w:color="auto"/>
              <w:bottom w:val="single" w:sz="4" w:space="0" w:color="auto"/>
              <w:right w:val="nil"/>
            </w:tcBorders>
            <w:shd w:val="clear" w:color="auto" w:fill="auto"/>
            <w:noWrap/>
            <w:vAlign w:val="center"/>
            <w:hideMark/>
          </w:tcPr>
          <w:p w14:paraId="12411422" w14:textId="77777777" w:rsidR="00387142" w:rsidRPr="008B6A75" w:rsidRDefault="00387142" w:rsidP="00387142">
            <w:pPr>
              <w:jc w:val="right"/>
              <w:rPr>
                <w:bCs/>
                <w:sz w:val="20"/>
                <w:szCs w:val="20"/>
              </w:rPr>
            </w:pPr>
            <w:r w:rsidRPr="008B6A75">
              <w:rPr>
                <w:bCs/>
                <w:sz w:val="20"/>
                <w:szCs w:val="20"/>
              </w:rPr>
              <w:t>399 494,74</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65AE1D63" w14:textId="77777777" w:rsidR="00387142" w:rsidRPr="008B6A75" w:rsidRDefault="00387142" w:rsidP="00387142">
            <w:pPr>
              <w:jc w:val="right"/>
              <w:rPr>
                <w:bCs/>
                <w:sz w:val="20"/>
                <w:szCs w:val="20"/>
              </w:rPr>
            </w:pPr>
            <w:r w:rsidRPr="008B6A75">
              <w:rPr>
                <w:bCs/>
                <w:sz w:val="20"/>
                <w:szCs w:val="20"/>
              </w:rPr>
              <w:t>278 436,84</w:t>
            </w:r>
          </w:p>
        </w:tc>
      </w:tr>
      <w:tr w:rsidR="00387142" w:rsidRPr="008B6A75" w14:paraId="5DE2576A" w14:textId="77777777" w:rsidTr="00387142">
        <w:trPr>
          <w:trHeight w:val="870"/>
        </w:trPr>
        <w:tc>
          <w:tcPr>
            <w:tcW w:w="272" w:type="dxa"/>
            <w:tcBorders>
              <w:top w:val="nil"/>
              <w:left w:val="nil"/>
              <w:bottom w:val="nil"/>
              <w:right w:val="single" w:sz="4" w:space="0" w:color="auto"/>
            </w:tcBorders>
            <w:shd w:val="clear" w:color="auto" w:fill="auto"/>
            <w:noWrap/>
            <w:vAlign w:val="bottom"/>
            <w:hideMark/>
          </w:tcPr>
          <w:p w14:paraId="18235C8A"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1FA1DF72" w14:textId="77777777" w:rsidR="00387142" w:rsidRPr="008B6A75" w:rsidRDefault="00387142" w:rsidP="00387142">
            <w:pPr>
              <w:rPr>
                <w:sz w:val="20"/>
                <w:szCs w:val="20"/>
              </w:rPr>
            </w:pPr>
            <w:r w:rsidRPr="008B6A75">
              <w:rPr>
                <w:sz w:val="20"/>
                <w:szCs w:val="20"/>
              </w:rPr>
              <w:t>Капитальные вложения в объекты государственной (муниципальной) собственности</w:t>
            </w:r>
          </w:p>
        </w:tc>
        <w:tc>
          <w:tcPr>
            <w:tcW w:w="1559" w:type="dxa"/>
            <w:tcBorders>
              <w:top w:val="nil"/>
              <w:left w:val="single" w:sz="4" w:space="0" w:color="auto"/>
              <w:bottom w:val="single" w:sz="4" w:space="0" w:color="auto"/>
              <w:right w:val="nil"/>
            </w:tcBorders>
            <w:shd w:val="clear" w:color="auto" w:fill="auto"/>
            <w:noWrap/>
            <w:vAlign w:val="center"/>
            <w:hideMark/>
          </w:tcPr>
          <w:p w14:paraId="2005CC91" w14:textId="77777777" w:rsidR="00387142" w:rsidRPr="008B6A75" w:rsidRDefault="00387142" w:rsidP="00387142">
            <w:pPr>
              <w:jc w:val="center"/>
              <w:rPr>
                <w:sz w:val="20"/>
                <w:szCs w:val="20"/>
              </w:rPr>
            </w:pPr>
            <w:r w:rsidRPr="008B6A75">
              <w:rPr>
                <w:sz w:val="20"/>
                <w:szCs w:val="20"/>
              </w:rPr>
              <w:t>99.0.00.S0830</w:t>
            </w:r>
          </w:p>
        </w:tc>
        <w:tc>
          <w:tcPr>
            <w:tcW w:w="850" w:type="dxa"/>
            <w:tcBorders>
              <w:top w:val="nil"/>
              <w:left w:val="single" w:sz="4" w:space="0" w:color="auto"/>
              <w:bottom w:val="single" w:sz="4" w:space="0" w:color="auto"/>
              <w:right w:val="nil"/>
            </w:tcBorders>
            <w:shd w:val="clear" w:color="auto" w:fill="auto"/>
            <w:noWrap/>
            <w:vAlign w:val="center"/>
            <w:hideMark/>
          </w:tcPr>
          <w:p w14:paraId="19859A57" w14:textId="77777777" w:rsidR="00387142" w:rsidRPr="008B6A75" w:rsidRDefault="00387142" w:rsidP="00387142">
            <w:pPr>
              <w:jc w:val="center"/>
              <w:rPr>
                <w:sz w:val="20"/>
                <w:szCs w:val="20"/>
              </w:rPr>
            </w:pPr>
            <w:r w:rsidRPr="008B6A75">
              <w:rPr>
                <w:sz w:val="20"/>
                <w:szCs w:val="20"/>
              </w:rPr>
              <w:t>400</w:t>
            </w:r>
          </w:p>
        </w:tc>
        <w:tc>
          <w:tcPr>
            <w:tcW w:w="567" w:type="dxa"/>
            <w:tcBorders>
              <w:top w:val="nil"/>
              <w:left w:val="single" w:sz="4" w:space="0" w:color="auto"/>
              <w:bottom w:val="single" w:sz="4" w:space="0" w:color="auto"/>
              <w:right w:val="nil"/>
            </w:tcBorders>
            <w:shd w:val="clear" w:color="auto" w:fill="auto"/>
            <w:noWrap/>
            <w:vAlign w:val="center"/>
            <w:hideMark/>
          </w:tcPr>
          <w:p w14:paraId="357EAFE8" w14:textId="77777777" w:rsidR="00387142" w:rsidRPr="008B6A75" w:rsidRDefault="00387142" w:rsidP="00387142">
            <w:pPr>
              <w:jc w:val="center"/>
              <w:rPr>
                <w:sz w:val="20"/>
                <w:szCs w:val="20"/>
              </w:rPr>
            </w:pPr>
            <w:r w:rsidRPr="008B6A75">
              <w:rPr>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582F28E1" w14:textId="77777777" w:rsidR="00387142" w:rsidRPr="008B6A75" w:rsidRDefault="00387142" w:rsidP="00387142">
            <w:pPr>
              <w:jc w:val="center"/>
              <w:rPr>
                <w:sz w:val="20"/>
                <w:szCs w:val="20"/>
              </w:rPr>
            </w:pPr>
            <w:r w:rsidRPr="008B6A75">
              <w:rPr>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4401229" w14:textId="77777777" w:rsidR="00387142" w:rsidRPr="008B6A75" w:rsidRDefault="00387142" w:rsidP="00387142">
            <w:pPr>
              <w:jc w:val="right"/>
              <w:rPr>
                <w:sz w:val="20"/>
                <w:szCs w:val="20"/>
              </w:rPr>
            </w:pPr>
            <w:r w:rsidRPr="008B6A75">
              <w:rPr>
                <w:sz w:val="20"/>
                <w:szCs w:val="20"/>
              </w:rPr>
              <w:t>709 715,79</w:t>
            </w:r>
          </w:p>
        </w:tc>
        <w:tc>
          <w:tcPr>
            <w:tcW w:w="851" w:type="dxa"/>
            <w:tcBorders>
              <w:top w:val="nil"/>
              <w:left w:val="single" w:sz="4" w:space="0" w:color="auto"/>
              <w:bottom w:val="single" w:sz="4" w:space="0" w:color="auto"/>
              <w:right w:val="nil"/>
            </w:tcBorders>
            <w:shd w:val="clear" w:color="auto" w:fill="auto"/>
            <w:noWrap/>
            <w:vAlign w:val="center"/>
            <w:hideMark/>
          </w:tcPr>
          <w:p w14:paraId="4905813E" w14:textId="77777777" w:rsidR="00387142" w:rsidRPr="008B6A75" w:rsidRDefault="00387142" w:rsidP="00387142">
            <w:pPr>
              <w:jc w:val="right"/>
              <w:rPr>
                <w:sz w:val="20"/>
                <w:szCs w:val="20"/>
              </w:rPr>
            </w:pPr>
            <w:r w:rsidRPr="008B6A75">
              <w:rPr>
                <w:sz w:val="20"/>
                <w:szCs w:val="20"/>
              </w:rPr>
              <w:t>399 494,74</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733BF2E6" w14:textId="77777777" w:rsidR="00387142" w:rsidRPr="008B6A75" w:rsidRDefault="00387142" w:rsidP="00387142">
            <w:pPr>
              <w:jc w:val="right"/>
              <w:rPr>
                <w:sz w:val="20"/>
                <w:szCs w:val="20"/>
              </w:rPr>
            </w:pPr>
            <w:r w:rsidRPr="008B6A75">
              <w:rPr>
                <w:sz w:val="20"/>
                <w:szCs w:val="20"/>
              </w:rPr>
              <w:t>278 436,84</w:t>
            </w:r>
          </w:p>
        </w:tc>
      </w:tr>
      <w:tr w:rsidR="00387142" w:rsidRPr="008B6A75" w14:paraId="77BB1B30" w14:textId="77777777" w:rsidTr="00387142">
        <w:trPr>
          <w:trHeight w:val="300"/>
        </w:trPr>
        <w:tc>
          <w:tcPr>
            <w:tcW w:w="272" w:type="dxa"/>
            <w:tcBorders>
              <w:top w:val="nil"/>
              <w:left w:val="nil"/>
              <w:bottom w:val="nil"/>
              <w:right w:val="single" w:sz="4" w:space="0" w:color="auto"/>
            </w:tcBorders>
            <w:shd w:val="clear" w:color="auto" w:fill="auto"/>
            <w:noWrap/>
            <w:vAlign w:val="bottom"/>
            <w:hideMark/>
          </w:tcPr>
          <w:p w14:paraId="4F407312"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768B5326" w14:textId="77777777" w:rsidR="00387142" w:rsidRPr="008B6A75" w:rsidRDefault="00387142" w:rsidP="00387142">
            <w:pPr>
              <w:rPr>
                <w:sz w:val="20"/>
                <w:szCs w:val="20"/>
              </w:rPr>
            </w:pPr>
            <w:r w:rsidRPr="008B6A75">
              <w:rPr>
                <w:sz w:val="20"/>
                <w:szCs w:val="20"/>
              </w:rPr>
              <w:t>Бюджетные инвестиции</w:t>
            </w:r>
          </w:p>
        </w:tc>
        <w:tc>
          <w:tcPr>
            <w:tcW w:w="1559" w:type="dxa"/>
            <w:tcBorders>
              <w:top w:val="nil"/>
              <w:left w:val="single" w:sz="4" w:space="0" w:color="auto"/>
              <w:bottom w:val="single" w:sz="4" w:space="0" w:color="auto"/>
              <w:right w:val="nil"/>
            </w:tcBorders>
            <w:shd w:val="clear" w:color="auto" w:fill="auto"/>
            <w:noWrap/>
            <w:vAlign w:val="center"/>
            <w:hideMark/>
          </w:tcPr>
          <w:p w14:paraId="5A01E24C" w14:textId="77777777" w:rsidR="00387142" w:rsidRPr="008B6A75" w:rsidRDefault="00387142" w:rsidP="00387142">
            <w:pPr>
              <w:jc w:val="center"/>
              <w:rPr>
                <w:sz w:val="20"/>
                <w:szCs w:val="20"/>
              </w:rPr>
            </w:pPr>
            <w:r w:rsidRPr="008B6A75">
              <w:rPr>
                <w:sz w:val="20"/>
                <w:szCs w:val="20"/>
              </w:rPr>
              <w:t>99.0.00.S0830</w:t>
            </w:r>
          </w:p>
        </w:tc>
        <w:tc>
          <w:tcPr>
            <w:tcW w:w="850" w:type="dxa"/>
            <w:tcBorders>
              <w:top w:val="nil"/>
              <w:left w:val="single" w:sz="4" w:space="0" w:color="auto"/>
              <w:bottom w:val="single" w:sz="4" w:space="0" w:color="auto"/>
              <w:right w:val="nil"/>
            </w:tcBorders>
            <w:shd w:val="clear" w:color="auto" w:fill="auto"/>
            <w:noWrap/>
            <w:vAlign w:val="center"/>
            <w:hideMark/>
          </w:tcPr>
          <w:p w14:paraId="15536371" w14:textId="77777777" w:rsidR="00387142" w:rsidRPr="008B6A75" w:rsidRDefault="00387142" w:rsidP="00387142">
            <w:pPr>
              <w:jc w:val="center"/>
              <w:rPr>
                <w:sz w:val="20"/>
                <w:szCs w:val="20"/>
              </w:rPr>
            </w:pPr>
            <w:r w:rsidRPr="008B6A75">
              <w:rPr>
                <w:sz w:val="20"/>
                <w:szCs w:val="20"/>
              </w:rPr>
              <w:t>410</w:t>
            </w:r>
          </w:p>
        </w:tc>
        <w:tc>
          <w:tcPr>
            <w:tcW w:w="567" w:type="dxa"/>
            <w:tcBorders>
              <w:top w:val="nil"/>
              <w:left w:val="single" w:sz="4" w:space="0" w:color="auto"/>
              <w:bottom w:val="single" w:sz="4" w:space="0" w:color="auto"/>
              <w:right w:val="nil"/>
            </w:tcBorders>
            <w:shd w:val="clear" w:color="auto" w:fill="auto"/>
            <w:noWrap/>
            <w:vAlign w:val="center"/>
            <w:hideMark/>
          </w:tcPr>
          <w:p w14:paraId="3B1A93C2" w14:textId="77777777" w:rsidR="00387142" w:rsidRPr="008B6A75" w:rsidRDefault="00387142" w:rsidP="00387142">
            <w:pPr>
              <w:jc w:val="center"/>
              <w:rPr>
                <w:sz w:val="20"/>
                <w:szCs w:val="20"/>
              </w:rPr>
            </w:pPr>
            <w:r w:rsidRPr="008B6A75">
              <w:rPr>
                <w:sz w:val="20"/>
                <w:szCs w:val="20"/>
              </w:rPr>
              <w:t>05</w:t>
            </w:r>
          </w:p>
        </w:tc>
        <w:tc>
          <w:tcPr>
            <w:tcW w:w="567" w:type="dxa"/>
            <w:tcBorders>
              <w:top w:val="nil"/>
              <w:left w:val="single" w:sz="4" w:space="0" w:color="auto"/>
              <w:bottom w:val="single" w:sz="4" w:space="0" w:color="auto"/>
              <w:right w:val="nil"/>
            </w:tcBorders>
            <w:shd w:val="clear" w:color="auto" w:fill="auto"/>
            <w:noWrap/>
            <w:vAlign w:val="center"/>
            <w:hideMark/>
          </w:tcPr>
          <w:p w14:paraId="05A34BAD" w14:textId="77777777" w:rsidR="00387142" w:rsidRPr="008B6A75" w:rsidRDefault="00387142" w:rsidP="00387142">
            <w:pPr>
              <w:jc w:val="center"/>
              <w:rPr>
                <w:sz w:val="20"/>
                <w:szCs w:val="20"/>
              </w:rPr>
            </w:pPr>
            <w:r w:rsidRPr="008B6A75">
              <w:rPr>
                <w:sz w:val="20"/>
                <w:szCs w:val="20"/>
              </w:rPr>
              <w:t>01</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49AE949" w14:textId="77777777" w:rsidR="00387142" w:rsidRPr="008B6A75" w:rsidRDefault="00387142" w:rsidP="00387142">
            <w:pPr>
              <w:jc w:val="right"/>
              <w:rPr>
                <w:sz w:val="20"/>
                <w:szCs w:val="20"/>
              </w:rPr>
            </w:pPr>
            <w:r w:rsidRPr="008B6A75">
              <w:rPr>
                <w:sz w:val="20"/>
                <w:szCs w:val="20"/>
              </w:rPr>
              <w:t>709 715,79</w:t>
            </w:r>
          </w:p>
        </w:tc>
        <w:tc>
          <w:tcPr>
            <w:tcW w:w="851" w:type="dxa"/>
            <w:tcBorders>
              <w:top w:val="nil"/>
              <w:left w:val="single" w:sz="4" w:space="0" w:color="auto"/>
              <w:bottom w:val="single" w:sz="4" w:space="0" w:color="auto"/>
              <w:right w:val="nil"/>
            </w:tcBorders>
            <w:shd w:val="clear" w:color="auto" w:fill="auto"/>
            <w:noWrap/>
            <w:vAlign w:val="center"/>
            <w:hideMark/>
          </w:tcPr>
          <w:p w14:paraId="25F493A0" w14:textId="77777777" w:rsidR="00387142" w:rsidRPr="008B6A75" w:rsidRDefault="00387142" w:rsidP="00387142">
            <w:pPr>
              <w:jc w:val="right"/>
              <w:rPr>
                <w:sz w:val="20"/>
                <w:szCs w:val="20"/>
              </w:rPr>
            </w:pPr>
            <w:r w:rsidRPr="008B6A75">
              <w:rPr>
                <w:sz w:val="20"/>
                <w:szCs w:val="20"/>
              </w:rPr>
              <w:t>399 494,74</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32D02F80" w14:textId="77777777" w:rsidR="00387142" w:rsidRPr="008B6A75" w:rsidRDefault="00387142" w:rsidP="00387142">
            <w:pPr>
              <w:jc w:val="right"/>
              <w:rPr>
                <w:sz w:val="20"/>
                <w:szCs w:val="20"/>
              </w:rPr>
            </w:pPr>
            <w:r w:rsidRPr="008B6A75">
              <w:rPr>
                <w:sz w:val="20"/>
                <w:szCs w:val="20"/>
              </w:rPr>
              <w:t>278 436,84</w:t>
            </w:r>
          </w:p>
        </w:tc>
      </w:tr>
      <w:tr w:rsidR="00387142" w:rsidRPr="008B6A75" w14:paraId="68431174" w14:textId="77777777" w:rsidTr="00387142">
        <w:trPr>
          <w:trHeight w:val="585"/>
        </w:trPr>
        <w:tc>
          <w:tcPr>
            <w:tcW w:w="272" w:type="dxa"/>
            <w:tcBorders>
              <w:top w:val="nil"/>
              <w:left w:val="nil"/>
              <w:bottom w:val="nil"/>
              <w:right w:val="single" w:sz="4" w:space="0" w:color="auto"/>
            </w:tcBorders>
            <w:shd w:val="clear" w:color="auto" w:fill="auto"/>
            <w:noWrap/>
            <w:vAlign w:val="bottom"/>
            <w:hideMark/>
          </w:tcPr>
          <w:p w14:paraId="600EEA89"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37486B67" w14:textId="77777777" w:rsidR="00387142" w:rsidRPr="008B6A75" w:rsidRDefault="00387142" w:rsidP="00387142">
            <w:pPr>
              <w:rPr>
                <w:bCs/>
                <w:sz w:val="20"/>
                <w:szCs w:val="20"/>
              </w:rPr>
            </w:pPr>
            <w:r w:rsidRPr="008B6A75">
              <w:rPr>
                <w:bCs/>
                <w:sz w:val="20"/>
                <w:szCs w:val="20"/>
              </w:rPr>
              <w:t>Региональный проект "Информационная инфраструктура"</w:t>
            </w:r>
          </w:p>
        </w:tc>
        <w:tc>
          <w:tcPr>
            <w:tcW w:w="1559" w:type="dxa"/>
            <w:tcBorders>
              <w:top w:val="nil"/>
              <w:left w:val="single" w:sz="4" w:space="0" w:color="auto"/>
              <w:bottom w:val="single" w:sz="4" w:space="0" w:color="auto"/>
              <w:right w:val="nil"/>
            </w:tcBorders>
            <w:shd w:val="clear" w:color="auto" w:fill="auto"/>
            <w:noWrap/>
            <w:vAlign w:val="center"/>
            <w:hideMark/>
          </w:tcPr>
          <w:p w14:paraId="704D1BE4" w14:textId="77777777" w:rsidR="00387142" w:rsidRPr="008B6A75" w:rsidRDefault="00387142" w:rsidP="00387142">
            <w:pPr>
              <w:jc w:val="center"/>
              <w:rPr>
                <w:bCs/>
                <w:sz w:val="20"/>
                <w:szCs w:val="20"/>
              </w:rPr>
            </w:pPr>
            <w:r w:rsidRPr="008B6A75">
              <w:rPr>
                <w:bCs/>
                <w:sz w:val="20"/>
                <w:szCs w:val="20"/>
              </w:rPr>
              <w:t>99.0.D2.00000</w:t>
            </w:r>
          </w:p>
        </w:tc>
        <w:tc>
          <w:tcPr>
            <w:tcW w:w="850" w:type="dxa"/>
            <w:tcBorders>
              <w:top w:val="nil"/>
              <w:left w:val="single" w:sz="4" w:space="0" w:color="auto"/>
              <w:bottom w:val="single" w:sz="4" w:space="0" w:color="auto"/>
              <w:right w:val="nil"/>
            </w:tcBorders>
            <w:shd w:val="clear" w:color="auto" w:fill="auto"/>
            <w:noWrap/>
            <w:vAlign w:val="center"/>
            <w:hideMark/>
          </w:tcPr>
          <w:p w14:paraId="5933F2FC" w14:textId="77777777" w:rsidR="00387142" w:rsidRPr="008B6A75" w:rsidRDefault="00387142" w:rsidP="00387142">
            <w:pPr>
              <w:jc w:val="center"/>
              <w:rPr>
                <w:bCs/>
                <w:sz w:val="20"/>
                <w:szCs w:val="20"/>
              </w:rPr>
            </w:pPr>
            <w:r w:rsidRPr="008B6A75">
              <w:rPr>
                <w:bCs/>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38FDA2CF" w14:textId="77777777" w:rsidR="00387142" w:rsidRPr="008B6A75" w:rsidRDefault="00387142" w:rsidP="00387142">
            <w:pPr>
              <w:jc w:val="center"/>
              <w:rPr>
                <w:bCs/>
                <w:sz w:val="20"/>
                <w:szCs w:val="20"/>
              </w:rPr>
            </w:pPr>
            <w:r w:rsidRPr="008B6A75">
              <w:rPr>
                <w:bCs/>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755BC34D" w14:textId="77777777" w:rsidR="00387142" w:rsidRPr="008B6A75" w:rsidRDefault="00387142" w:rsidP="00387142">
            <w:pPr>
              <w:jc w:val="center"/>
              <w:rPr>
                <w:bCs/>
                <w:sz w:val="20"/>
                <w:szCs w:val="20"/>
              </w:rPr>
            </w:pPr>
            <w:r w:rsidRPr="008B6A75">
              <w:rPr>
                <w:bCs/>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C605496" w14:textId="77777777" w:rsidR="00387142" w:rsidRPr="008B6A75" w:rsidRDefault="00387142" w:rsidP="00387142">
            <w:pPr>
              <w:jc w:val="right"/>
              <w:rPr>
                <w:bCs/>
                <w:sz w:val="20"/>
                <w:szCs w:val="20"/>
              </w:rPr>
            </w:pPr>
            <w:r w:rsidRPr="008B6A75">
              <w:rPr>
                <w:bCs/>
                <w:sz w:val="20"/>
                <w:szCs w:val="20"/>
              </w:rPr>
              <w:t>0,00</w:t>
            </w:r>
          </w:p>
        </w:tc>
        <w:tc>
          <w:tcPr>
            <w:tcW w:w="851" w:type="dxa"/>
            <w:tcBorders>
              <w:top w:val="nil"/>
              <w:left w:val="single" w:sz="4" w:space="0" w:color="auto"/>
              <w:bottom w:val="single" w:sz="4" w:space="0" w:color="auto"/>
              <w:right w:val="nil"/>
            </w:tcBorders>
            <w:shd w:val="clear" w:color="auto" w:fill="auto"/>
            <w:noWrap/>
            <w:vAlign w:val="center"/>
            <w:hideMark/>
          </w:tcPr>
          <w:p w14:paraId="7699E2D1" w14:textId="77777777" w:rsidR="00387142" w:rsidRPr="008B6A75" w:rsidRDefault="00387142" w:rsidP="00387142">
            <w:pPr>
              <w:jc w:val="right"/>
              <w:rPr>
                <w:bCs/>
                <w:sz w:val="20"/>
                <w:szCs w:val="20"/>
              </w:rPr>
            </w:pPr>
            <w:r w:rsidRPr="008B6A75">
              <w:rPr>
                <w:bCs/>
                <w:sz w:val="20"/>
                <w:szCs w:val="20"/>
              </w:rPr>
              <w:t>4 210 526,32</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089F7473" w14:textId="77777777" w:rsidR="00387142" w:rsidRPr="008B6A75" w:rsidRDefault="00387142" w:rsidP="00387142">
            <w:pPr>
              <w:jc w:val="right"/>
              <w:rPr>
                <w:bCs/>
                <w:sz w:val="20"/>
                <w:szCs w:val="20"/>
              </w:rPr>
            </w:pPr>
            <w:r w:rsidRPr="008B6A75">
              <w:rPr>
                <w:bCs/>
                <w:sz w:val="20"/>
                <w:szCs w:val="20"/>
              </w:rPr>
              <w:t>0,00</w:t>
            </w:r>
          </w:p>
        </w:tc>
      </w:tr>
      <w:tr w:rsidR="00387142" w:rsidRPr="008B6A75" w14:paraId="4F443846" w14:textId="77777777" w:rsidTr="00387142">
        <w:trPr>
          <w:trHeight w:val="1725"/>
        </w:trPr>
        <w:tc>
          <w:tcPr>
            <w:tcW w:w="272" w:type="dxa"/>
            <w:tcBorders>
              <w:top w:val="nil"/>
              <w:left w:val="nil"/>
              <w:bottom w:val="nil"/>
              <w:right w:val="single" w:sz="4" w:space="0" w:color="auto"/>
            </w:tcBorders>
            <w:shd w:val="clear" w:color="auto" w:fill="auto"/>
            <w:noWrap/>
            <w:vAlign w:val="bottom"/>
            <w:hideMark/>
          </w:tcPr>
          <w:p w14:paraId="70017963"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039ABA89" w14:textId="77777777" w:rsidR="00387142" w:rsidRPr="008B6A75" w:rsidRDefault="00387142" w:rsidP="00387142">
            <w:pPr>
              <w:rPr>
                <w:bCs/>
                <w:sz w:val="20"/>
                <w:szCs w:val="20"/>
              </w:rPr>
            </w:pPr>
            <w:r w:rsidRPr="008B6A75">
              <w:rPr>
                <w:bCs/>
                <w:sz w:val="20"/>
                <w:szCs w:val="20"/>
              </w:rPr>
              <w:t>Реализация мероприятий по модернизации и развитию инфраструктуры связи на территории Новосибирской области государственной программы Новосибирской области "Цифровая трансформация Новосибирской области"</w:t>
            </w:r>
          </w:p>
        </w:tc>
        <w:tc>
          <w:tcPr>
            <w:tcW w:w="1559" w:type="dxa"/>
            <w:tcBorders>
              <w:top w:val="nil"/>
              <w:left w:val="single" w:sz="4" w:space="0" w:color="auto"/>
              <w:bottom w:val="single" w:sz="4" w:space="0" w:color="auto"/>
              <w:right w:val="nil"/>
            </w:tcBorders>
            <w:shd w:val="clear" w:color="auto" w:fill="auto"/>
            <w:noWrap/>
            <w:vAlign w:val="center"/>
            <w:hideMark/>
          </w:tcPr>
          <w:p w14:paraId="61F2DF14" w14:textId="77777777" w:rsidR="00387142" w:rsidRPr="008B6A75" w:rsidRDefault="00387142" w:rsidP="00387142">
            <w:pPr>
              <w:jc w:val="center"/>
              <w:rPr>
                <w:bCs/>
                <w:sz w:val="20"/>
                <w:szCs w:val="20"/>
              </w:rPr>
            </w:pPr>
            <w:r w:rsidRPr="008B6A75">
              <w:rPr>
                <w:bCs/>
                <w:sz w:val="20"/>
                <w:szCs w:val="20"/>
              </w:rPr>
              <w:t>99.0.D2.70570</w:t>
            </w:r>
          </w:p>
        </w:tc>
        <w:tc>
          <w:tcPr>
            <w:tcW w:w="850" w:type="dxa"/>
            <w:tcBorders>
              <w:top w:val="nil"/>
              <w:left w:val="single" w:sz="4" w:space="0" w:color="auto"/>
              <w:bottom w:val="single" w:sz="4" w:space="0" w:color="auto"/>
              <w:right w:val="nil"/>
            </w:tcBorders>
            <w:shd w:val="clear" w:color="auto" w:fill="auto"/>
            <w:noWrap/>
            <w:vAlign w:val="center"/>
            <w:hideMark/>
          </w:tcPr>
          <w:p w14:paraId="3D64DCC8" w14:textId="77777777" w:rsidR="00387142" w:rsidRPr="008B6A75" w:rsidRDefault="00387142" w:rsidP="00387142">
            <w:pPr>
              <w:jc w:val="center"/>
              <w:rPr>
                <w:bCs/>
                <w:sz w:val="20"/>
                <w:szCs w:val="20"/>
              </w:rPr>
            </w:pPr>
            <w:r w:rsidRPr="008B6A75">
              <w:rPr>
                <w:bCs/>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6176A851" w14:textId="77777777" w:rsidR="00387142" w:rsidRPr="008B6A75" w:rsidRDefault="00387142" w:rsidP="00387142">
            <w:pPr>
              <w:jc w:val="center"/>
              <w:rPr>
                <w:bCs/>
                <w:sz w:val="20"/>
                <w:szCs w:val="20"/>
              </w:rPr>
            </w:pPr>
            <w:r w:rsidRPr="008B6A75">
              <w:rPr>
                <w:bCs/>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20240617" w14:textId="77777777" w:rsidR="00387142" w:rsidRPr="008B6A75" w:rsidRDefault="00387142" w:rsidP="00387142">
            <w:pPr>
              <w:jc w:val="center"/>
              <w:rPr>
                <w:bCs/>
                <w:sz w:val="20"/>
                <w:szCs w:val="20"/>
              </w:rPr>
            </w:pPr>
            <w:r w:rsidRPr="008B6A75">
              <w:rPr>
                <w:bCs/>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10A71F4" w14:textId="77777777" w:rsidR="00387142" w:rsidRPr="008B6A75" w:rsidRDefault="00387142" w:rsidP="00387142">
            <w:pPr>
              <w:jc w:val="right"/>
              <w:rPr>
                <w:bCs/>
                <w:sz w:val="20"/>
                <w:szCs w:val="20"/>
              </w:rPr>
            </w:pPr>
            <w:r w:rsidRPr="008B6A75">
              <w:rPr>
                <w:bCs/>
                <w:sz w:val="20"/>
                <w:szCs w:val="20"/>
              </w:rPr>
              <w:t>0,00</w:t>
            </w:r>
          </w:p>
        </w:tc>
        <w:tc>
          <w:tcPr>
            <w:tcW w:w="851" w:type="dxa"/>
            <w:tcBorders>
              <w:top w:val="nil"/>
              <w:left w:val="single" w:sz="4" w:space="0" w:color="auto"/>
              <w:bottom w:val="single" w:sz="4" w:space="0" w:color="auto"/>
              <w:right w:val="nil"/>
            </w:tcBorders>
            <w:shd w:val="clear" w:color="auto" w:fill="auto"/>
            <w:noWrap/>
            <w:vAlign w:val="center"/>
            <w:hideMark/>
          </w:tcPr>
          <w:p w14:paraId="28C27010" w14:textId="77777777" w:rsidR="00387142" w:rsidRPr="008B6A75" w:rsidRDefault="00387142" w:rsidP="00387142">
            <w:pPr>
              <w:jc w:val="right"/>
              <w:rPr>
                <w:bCs/>
                <w:sz w:val="20"/>
                <w:szCs w:val="20"/>
              </w:rPr>
            </w:pPr>
            <w:r w:rsidRPr="008B6A75">
              <w:rPr>
                <w:bCs/>
                <w:sz w:val="20"/>
                <w:szCs w:val="20"/>
              </w:rPr>
              <w:t>4 210 526,32</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4651E829" w14:textId="77777777" w:rsidR="00387142" w:rsidRPr="008B6A75" w:rsidRDefault="00387142" w:rsidP="00387142">
            <w:pPr>
              <w:jc w:val="right"/>
              <w:rPr>
                <w:bCs/>
                <w:sz w:val="20"/>
                <w:szCs w:val="20"/>
              </w:rPr>
            </w:pPr>
            <w:r w:rsidRPr="008B6A75">
              <w:rPr>
                <w:bCs/>
                <w:sz w:val="20"/>
                <w:szCs w:val="20"/>
              </w:rPr>
              <w:t>0,00</w:t>
            </w:r>
          </w:p>
        </w:tc>
      </w:tr>
      <w:tr w:rsidR="00387142" w:rsidRPr="008B6A75" w14:paraId="04B2A7C4" w14:textId="77777777" w:rsidTr="00387142">
        <w:trPr>
          <w:trHeight w:val="585"/>
        </w:trPr>
        <w:tc>
          <w:tcPr>
            <w:tcW w:w="272" w:type="dxa"/>
            <w:tcBorders>
              <w:top w:val="nil"/>
              <w:left w:val="nil"/>
              <w:bottom w:val="nil"/>
              <w:right w:val="single" w:sz="4" w:space="0" w:color="auto"/>
            </w:tcBorders>
            <w:shd w:val="clear" w:color="auto" w:fill="auto"/>
            <w:noWrap/>
            <w:vAlign w:val="bottom"/>
            <w:hideMark/>
          </w:tcPr>
          <w:p w14:paraId="072FA4EF"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49D70D96" w14:textId="77777777" w:rsidR="00387142" w:rsidRPr="008B6A75" w:rsidRDefault="00387142" w:rsidP="00387142">
            <w:pPr>
              <w:rPr>
                <w:sz w:val="20"/>
                <w:szCs w:val="20"/>
              </w:rPr>
            </w:pPr>
            <w:r w:rsidRPr="008B6A75">
              <w:rPr>
                <w:sz w:val="20"/>
                <w:szCs w:val="20"/>
              </w:rPr>
              <w:t>Закупка товаров, работ и услуг для обеспечения государственных (муниципальных) нужд</w:t>
            </w:r>
          </w:p>
        </w:tc>
        <w:tc>
          <w:tcPr>
            <w:tcW w:w="1559" w:type="dxa"/>
            <w:tcBorders>
              <w:top w:val="nil"/>
              <w:left w:val="single" w:sz="4" w:space="0" w:color="auto"/>
              <w:bottom w:val="single" w:sz="4" w:space="0" w:color="auto"/>
              <w:right w:val="nil"/>
            </w:tcBorders>
            <w:shd w:val="clear" w:color="auto" w:fill="auto"/>
            <w:noWrap/>
            <w:vAlign w:val="center"/>
            <w:hideMark/>
          </w:tcPr>
          <w:p w14:paraId="5A310623" w14:textId="77777777" w:rsidR="00387142" w:rsidRPr="008B6A75" w:rsidRDefault="00387142" w:rsidP="00387142">
            <w:pPr>
              <w:jc w:val="center"/>
              <w:rPr>
                <w:sz w:val="20"/>
                <w:szCs w:val="20"/>
              </w:rPr>
            </w:pPr>
            <w:r w:rsidRPr="008B6A75">
              <w:rPr>
                <w:sz w:val="20"/>
                <w:szCs w:val="20"/>
              </w:rPr>
              <w:t>99.0.D2.70570</w:t>
            </w:r>
          </w:p>
        </w:tc>
        <w:tc>
          <w:tcPr>
            <w:tcW w:w="850" w:type="dxa"/>
            <w:tcBorders>
              <w:top w:val="nil"/>
              <w:left w:val="single" w:sz="4" w:space="0" w:color="auto"/>
              <w:bottom w:val="single" w:sz="4" w:space="0" w:color="auto"/>
              <w:right w:val="nil"/>
            </w:tcBorders>
            <w:shd w:val="clear" w:color="auto" w:fill="auto"/>
            <w:noWrap/>
            <w:vAlign w:val="center"/>
            <w:hideMark/>
          </w:tcPr>
          <w:p w14:paraId="25C553F8" w14:textId="77777777" w:rsidR="00387142" w:rsidRPr="008B6A75" w:rsidRDefault="00387142" w:rsidP="00387142">
            <w:pPr>
              <w:jc w:val="center"/>
              <w:rPr>
                <w:sz w:val="20"/>
                <w:szCs w:val="20"/>
              </w:rPr>
            </w:pPr>
            <w:r w:rsidRPr="008B6A75">
              <w:rPr>
                <w:sz w:val="20"/>
                <w:szCs w:val="20"/>
              </w:rPr>
              <w:t>200</w:t>
            </w:r>
          </w:p>
        </w:tc>
        <w:tc>
          <w:tcPr>
            <w:tcW w:w="567" w:type="dxa"/>
            <w:tcBorders>
              <w:top w:val="nil"/>
              <w:left w:val="single" w:sz="4" w:space="0" w:color="auto"/>
              <w:bottom w:val="single" w:sz="4" w:space="0" w:color="auto"/>
              <w:right w:val="nil"/>
            </w:tcBorders>
            <w:shd w:val="clear" w:color="auto" w:fill="auto"/>
            <w:noWrap/>
            <w:vAlign w:val="center"/>
            <w:hideMark/>
          </w:tcPr>
          <w:p w14:paraId="1E33101C" w14:textId="77777777" w:rsidR="00387142" w:rsidRPr="008B6A75" w:rsidRDefault="00387142" w:rsidP="00387142">
            <w:pPr>
              <w:jc w:val="center"/>
              <w:rPr>
                <w:sz w:val="20"/>
                <w:szCs w:val="20"/>
              </w:rPr>
            </w:pPr>
            <w:r w:rsidRPr="008B6A75">
              <w:rPr>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27FDD2CC" w14:textId="77777777" w:rsidR="00387142" w:rsidRPr="008B6A75" w:rsidRDefault="00387142" w:rsidP="00387142">
            <w:pPr>
              <w:jc w:val="center"/>
              <w:rPr>
                <w:sz w:val="20"/>
                <w:szCs w:val="20"/>
              </w:rPr>
            </w:pPr>
            <w:r w:rsidRPr="008B6A75">
              <w:rPr>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F8CA0AB" w14:textId="77777777" w:rsidR="00387142" w:rsidRPr="008B6A75" w:rsidRDefault="00387142" w:rsidP="00387142">
            <w:pPr>
              <w:jc w:val="right"/>
              <w:rPr>
                <w:sz w:val="20"/>
                <w:szCs w:val="20"/>
              </w:rPr>
            </w:pPr>
            <w:r w:rsidRPr="008B6A75">
              <w:rPr>
                <w:sz w:val="20"/>
                <w:szCs w:val="20"/>
              </w:rPr>
              <w:t>0,00</w:t>
            </w:r>
          </w:p>
        </w:tc>
        <w:tc>
          <w:tcPr>
            <w:tcW w:w="851" w:type="dxa"/>
            <w:tcBorders>
              <w:top w:val="nil"/>
              <w:left w:val="single" w:sz="4" w:space="0" w:color="auto"/>
              <w:bottom w:val="single" w:sz="4" w:space="0" w:color="auto"/>
              <w:right w:val="nil"/>
            </w:tcBorders>
            <w:shd w:val="clear" w:color="auto" w:fill="auto"/>
            <w:noWrap/>
            <w:vAlign w:val="center"/>
            <w:hideMark/>
          </w:tcPr>
          <w:p w14:paraId="60FCA1AD" w14:textId="77777777" w:rsidR="00387142" w:rsidRPr="008B6A75" w:rsidRDefault="00387142" w:rsidP="00387142">
            <w:pPr>
              <w:jc w:val="right"/>
              <w:rPr>
                <w:sz w:val="20"/>
                <w:szCs w:val="20"/>
              </w:rPr>
            </w:pPr>
            <w:r w:rsidRPr="008B6A75">
              <w:rPr>
                <w:sz w:val="20"/>
                <w:szCs w:val="20"/>
              </w:rPr>
              <w:t>4 210 526,32</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56D356B8" w14:textId="77777777" w:rsidR="00387142" w:rsidRPr="008B6A75" w:rsidRDefault="00387142" w:rsidP="00387142">
            <w:pPr>
              <w:jc w:val="right"/>
              <w:rPr>
                <w:sz w:val="20"/>
                <w:szCs w:val="20"/>
              </w:rPr>
            </w:pPr>
            <w:r w:rsidRPr="008B6A75">
              <w:rPr>
                <w:sz w:val="20"/>
                <w:szCs w:val="20"/>
              </w:rPr>
              <w:t>0,00</w:t>
            </w:r>
          </w:p>
        </w:tc>
      </w:tr>
      <w:tr w:rsidR="00387142" w:rsidRPr="008B6A75" w14:paraId="60A5B1BE" w14:textId="77777777" w:rsidTr="00387142">
        <w:trPr>
          <w:trHeight w:val="870"/>
        </w:trPr>
        <w:tc>
          <w:tcPr>
            <w:tcW w:w="272" w:type="dxa"/>
            <w:tcBorders>
              <w:top w:val="nil"/>
              <w:left w:val="nil"/>
              <w:bottom w:val="nil"/>
              <w:right w:val="single" w:sz="4" w:space="0" w:color="auto"/>
            </w:tcBorders>
            <w:shd w:val="clear" w:color="auto" w:fill="auto"/>
            <w:noWrap/>
            <w:vAlign w:val="bottom"/>
            <w:hideMark/>
          </w:tcPr>
          <w:p w14:paraId="54DAB24A"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64F6A18A" w14:textId="77777777" w:rsidR="00387142" w:rsidRPr="008B6A75" w:rsidRDefault="00387142" w:rsidP="00387142">
            <w:pPr>
              <w:rPr>
                <w:sz w:val="20"/>
                <w:szCs w:val="20"/>
              </w:rPr>
            </w:pPr>
            <w:r w:rsidRPr="008B6A75">
              <w:rPr>
                <w:sz w:val="20"/>
                <w:szCs w:val="20"/>
              </w:rPr>
              <w:t>Иные закупки товаров, работ и услуг для обеспечения государственных (муниципальных) нужд</w:t>
            </w:r>
          </w:p>
        </w:tc>
        <w:tc>
          <w:tcPr>
            <w:tcW w:w="1559" w:type="dxa"/>
            <w:tcBorders>
              <w:top w:val="nil"/>
              <w:left w:val="single" w:sz="4" w:space="0" w:color="auto"/>
              <w:bottom w:val="single" w:sz="4" w:space="0" w:color="auto"/>
              <w:right w:val="nil"/>
            </w:tcBorders>
            <w:shd w:val="clear" w:color="auto" w:fill="auto"/>
            <w:noWrap/>
            <w:vAlign w:val="center"/>
            <w:hideMark/>
          </w:tcPr>
          <w:p w14:paraId="64A0111C" w14:textId="77777777" w:rsidR="00387142" w:rsidRPr="008B6A75" w:rsidRDefault="00387142" w:rsidP="00387142">
            <w:pPr>
              <w:jc w:val="center"/>
              <w:rPr>
                <w:sz w:val="20"/>
                <w:szCs w:val="20"/>
              </w:rPr>
            </w:pPr>
            <w:r w:rsidRPr="008B6A75">
              <w:rPr>
                <w:sz w:val="20"/>
                <w:szCs w:val="20"/>
              </w:rPr>
              <w:t>99.0.D2.70570</w:t>
            </w:r>
          </w:p>
        </w:tc>
        <w:tc>
          <w:tcPr>
            <w:tcW w:w="850" w:type="dxa"/>
            <w:tcBorders>
              <w:top w:val="nil"/>
              <w:left w:val="single" w:sz="4" w:space="0" w:color="auto"/>
              <w:bottom w:val="single" w:sz="4" w:space="0" w:color="auto"/>
              <w:right w:val="nil"/>
            </w:tcBorders>
            <w:shd w:val="clear" w:color="auto" w:fill="auto"/>
            <w:noWrap/>
            <w:vAlign w:val="center"/>
            <w:hideMark/>
          </w:tcPr>
          <w:p w14:paraId="6BBD412D" w14:textId="77777777" w:rsidR="00387142" w:rsidRPr="008B6A75" w:rsidRDefault="00387142" w:rsidP="00387142">
            <w:pPr>
              <w:jc w:val="center"/>
              <w:rPr>
                <w:sz w:val="20"/>
                <w:szCs w:val="20"/>
              </w:rPr>
            </w:pPr>
            <w:r w:rsidRPr="008B6A75">
              <w:rPr>
                <w:sz w:val="20"/>
                <w:szCs w:val="20"/>
              </w:rPr>
              <w:t>240</w:t>
            </w:r>
          </w:p>
        </w:tc>
        <w:tc>
          <w:tcPr>
            <w:tcW w:w="567" w:type="dxa"/>
            <w:tcBorders>
              <w:top w:val="nil"/>
              <w:left w:val="single" w:sz="4" w:space="0" w:color="auto"/>
              <w:bottom w:val="single" w:sz="4" w:space="0" w:color="auto"/>
              <w:right w:val="nil"/>
            </w:tcBorders>
            <w:shd w:val="clear" w:color="auto" w:fill="auto"/>
            <w:noWrap/>
            <w:vAlign w:val="center"/>
            <w:hideMark/>
          </w:tcPr>
          <w:p w14:paraId="567A4BAA" w14:textId="77777777" w:rsidR="00387142" w:rsidRPr="008B6A75" w:rsidRDefault="00387142" w:rsidP="00387142">
            <w:pPr>
              <w:jc w:val="center"/>
              <w:rPr>
                <w:sz w:val="20"/>
                <w:szCs w:val="20"/>
              </w:rPr>
            </w:pPr>
            <w:r w:rsidRPr="008B6A75">
              <w:rPr>
                <w:sz w:val="20"/>
                <w:szCs w:val="20"/>
              </w:rPr>
              <w:t>04</w:t>
            </w:r>
          </w:p>
        </w:tc>
        <w:tc>
          <w:tcPr>
            <w:tcW w:w="567" w:type="dxa"/>
            <w:tcBorders>
              <w:top w:val="nil"/>
              <w:left w:val="single" w:sz="4" w:space="0" w:color="auto"/>
              <w:bottom w:val="single" w:sz="4" w:space="0" w:color="auto"/>
              <w:right w:val="nil"/>
            </w:tcBorders>
            <w:shd w:val="clear" w:color="auto" w:fill="auto"/>
            <w:noWrap/>
            <w:vAlign w:val="center"/>
            <w:hideMark/>
          </w:tcPr>
          <w:p w14:paraId="2CB59D63" w14:textId="77777777" w:rsidR="00387142" w:rsidRPr="008B6A75" w:rsidRDefault="00387142" w:rsidP="00387142">
            <w:pPr>
              <w:jc w:val="center"/>
              <w:rPr>
                <w:sz w:val="20"/>
                <w:szCs w:val="20"/>
              </w:rPr>
            </w:pPr>
            <w:r w:rsidRPr="008B6A75">
              <w:rPr>
                <w:sz w:val="20"/>
                <w:szCs w:val="20"/>
              </w:rPr>
              <w:t>10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E63B6A1" w14:textId="77777777" w:rsidR="00387142" w:rsidRPr="008B6A75" w:rsidRDefault="00387142" w:rsidP="00387142">
            <w:pPr>
              <w:jc w:val="right"/>
              <w:rPr>
                <w:sz w:val="20"/>
                <w:szCs w:val="20"/>
              </w:rPr>
            </w:pPr>
            <w:r w:rsidRPr="008B6A75">
              <w:rPr>
                <w:sz w:val="20"/>
                <w:szCs w:val="20"/>
              </w:rPr>
              <w:t>0,00</w:t>
            </w:r>
          </w:p>
        </w:tc>
        <w:tc>
          <w:tcPr>
            <w:tcW w:w="851" w:type="dxa"/>
            <w:tcBorders>
              <w:top w:val="nil"/>
              <w:left w:val="single" w:sz="4" w:space="0" w:color="auto"/>
              <w:bottom w:val="single" w:sz="4" w:space="0" w:color="auto"/>
              <w:right w:val="nil"/>
            </w:tcBorders>
            <w:shd w:val="clear" w:color="auto" w:fill="auto"/>
            <w:noWrap/>
            <w:vAlign w:val="center"/>
            <w:hideMark/>
          </w:tcPr>
          <w:p w14:paraId="62622C42" w14:textId="77777777" w:rsidR="00387142" w:rsidRPr="008B6A75" w:rsidRDefault="00387142" w:rsidP="00387142">
            <w:pPr>
              <w:jc w:val="right"/>
              <w:rPr>
                <w:sz w:val="20"/>
                <w:szCs w:val="20"/>
              </w:rPr>
            </w:pPr>
            <w:r w:rsidRPr="008B6A75">
              <w:rPr>
                <w:sz w:val="20"/>
                <w:szCs w:val="20"/>
              </w:rPr>
              <w:t>4 210 526,32</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6B48BDC9" w14:textId="77777777" w:rsidR="00387142" w:rsidRPr="008B6A75" w:rsidRDefault="00387142" w:rsidP="00387142">
            <w:pPr>
              <w:jc w:val="right"/>
              <w:rPr>
                <w:sz w:val="20"/>
                <w:szCs w:val="20"/>
              </w:rPr>
            </w:pPr>
            <w:r w:rsidRPr="008B6A75">
              <w:rPr>
                <w:sz w:val="20"/>
                <w:szCs w:val="20"/>
              </w:rPr>
              <w:t>0,00</w:t>
            </w:r>
          </w:p>
        </w:tc>
      </w:tr>
      <w:tr w:rsidR="00387142" w:rsidRPr="008B6A75" w14:paraId="359A6A0B" w14:textId="77777777" w:rsidTr="00387142">
        <w:trPr>
          <w:trHeight w:val="300"/>
        </w:trPr>
        <w:tc>
          <w:tcPr>
            <w:tcW w:w="272" w:type="dxa"/>
            <w:tcBorders>
              <w:top w:val="nil"/>
              <w:left w:val="nil"/>
              <w:bottom w:val="nil"/>
              <w:right w:val="single" w:sz="4" w:space="0" w:color="auto"/>
            </w:tcBorders>
            <w:shd w:val="clear" w:color="auto" w:fill="auto"/>
            <w:noWrap/>
            <w:vAlign w:val="bottom"/>
            <w:hideMark/>
          </w:tcPr>
          <w:p w14:paraId="4FA0AB40"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61D69F4C" w14:textId="77777777" w:rsidR="00387142" w:rsidRPr="008B6A75" w:rsidRDefault="00387142" w:rsidP="00387142">
            <w:pPr>
              <w:rPr>
                <w:bCs/>
                <w:sz w:val="20"/>
                <w:szCs w:val="20"/>
              </w:rPr>
            </w:pPr>
            <w:r w:rsidRPr="008B6A75">
              <w:rPr>
                <w:bCs/>
                <w:sz w:val="20"/>
                <w:szCs w:val="20"/>
              </w:rPr>
              <w:t>Региональный проект "Старшее поколение"</w:t>
            </w:r>
          </w:p>
        </w:tc>
        <w:tc>
          <w:tcPr>
            <w:tcW w:w="1559" w:type="dxa"/>
            <w:tcBorders>
              <w:top w:val="nil"/>
              <w:left w:val="single" w:sz="4" w:space="0" w:color="auto"/>
              <w:bottom w:val="single" w:sz="4" w:space="0" w:color="auto"/>
              <w:right w:val="nil"/>
            </w:tcBorders>
            <w:shd w:val="clear" w:color="auto" w:fill="auto"/>
            <w:noWrap/>
            <w:vAlign w:val="center"/>
            <w:hideMark/>
          </w:tcPr>
          <w:p w14:paraId="01AA19C7" w14:textId="77777777" w:rsidR="00387142" w:rsidRPr="008B6A75" w:rsidRDefault="00387142" w:rsidP="00387142">
            <w:pPr>
              <w:jc w:val="center"/>
              <w:rPr>
                <w:bCs/>
                <w:sz w:val="20"/>
                <w:szCs w:val="20"/>
              </w:rPr>
            </w:pPr>
            <w:r w:rsidRPr="008B6A75">
              <w:rPr>
                <w:bCs/>
                <w:sz w:val="20"/>
                <w:szCs w:val="20"/>
              </w:rPr>
              <w:t>99.0.P3.00000</w:t>
            </w:r>
          </w:p>
        </w:tc>
        <w:tc>
          <w:tcPr>
            <w:tcW w:w="850" w:type="dxa"/>
            <w:tcBorders>
              <w:top w:val="nil"/>
              <w:left w:val="single" w:sz="4" w:space="0" w:color="auto"/>
              <w:bottom w:val="single" w:sz="4" w:space="0" w:color="auto"/>
              <w:right w:val="nil"/>
            </w:tcBorders>
            <w:shd w:val="clear" w:color="auto" w:fill="auto"/>
            <w:noWrap/>
            <w:vAlign w:val="center"/>
            <w:hideMark/>
          </w:tcPr>
          <w:p w14:paraId="75ABA1BC" w14:textId="77777777" w:rsidR="00387142" w:rsidRPr="008B6A75" w:rsidRDefault="00387142" w:rsidP="00387142">
            <w:pPr>
              <w:jc w:val="center"/>
              <w:rPr>
                <w:bCs/>
                <w:sz w:val="20"/>
                <w:szCs w:val="20"/>
              </w:rPr>
            </w:pPr>
            <w:r w:rsidRPr="008B6A75">
              <w:rPr>
                <w:bCs/>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54689D36" w14:textId="77777777" w:rsidR="00387142" w:rsidRPr="008B6A75" w:rsidRDefault="00387142" w:rsidP="00387142">
            <w:pPr>
              <w:jc w:val="center"/>
              <w:rPr>
                <w:bCs/>
                <w:sz w:val="20"/>
                <w:szCs w:val="20"/>
              </w:rPr>
            </w:pPr>
            <w:r w:rsidRPr="008B6A75">
              <w:rPr>
                <w:bCs/>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4C6405FF" w14:textId="77777777" w:rsidR="00387142" w:rsidRPr="008B6A75" w:rsidRDefault="00387142" w:rsidP="00387142">
            <w:pPr>
              <w:jc w:val="center"/>
              <w:rPr>
                <w:bCs/>
                <w:sz w:val="20"/>
                <w:szCs w:val="20"/>
              </w:rPr>
            </w:pPr>
            <w:r w:rsidRPr="008B6A75">
              <w:rPr>
                <w:bCs/>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446D843" w14:textId="77777777" w:rsidR="00387142" w:rsidRPr="008B6A75" w:rsidRDefault="00387142" w:rsidP="00387142">
            <w:pPr>
              <w:jc w:val="right"/>
              <w:rPr>
                <w:bCs/>
                <w:sz w:val="20"/>
                <w:szCs w:val="20"/>
              </w:rPr>
            </w:pPr>
            <w:r w:rsidRPr="008B6A75">
              <w:rPr>
                <w:bCs/>
                <w:sz w:val="20"/>
                <w:szCs w:val="20"/>
              </w:rPr>
              <w:t>3 882 900,00</w:t>
            </w:r>
          </w:p>
        </w:tc>
        <w:tc>
          <w:tcPr>
            <w:tcW w:w="851" w:type="dxa"/>
            <w:tcBorders>
              <w:top w:val="nil"/>
              <w:left w:val="single" w:sz="4" w:space="0" w:color="auto"/>
              <w:bottom w:val="single" w:sz="4" w:space="0" w:color="auto"/>
              <w:right w:val="nil"/>
            </w:tcBorders>
            <w:shd w:val="clear" w:color="auto" w:fill="auto"/>
            <w:noWrap/>
            <w:vAlign w:val="center"/>
            <w:hideMark/>
          </w:tcPr>
          <w:p w14:paraId="1CE346E7" w14:textId="77777777" w:rsidR="00387142" w:rsidRPr="008B6A75" w:rsidRDefault="00387142" w:rsidP="00387142">
            <w:pPr>
              <w:jc w:val="right"/>
              <w:rPr>
                <w:bCs/>
                <w:sz w:val="20"/>
                <w:szCs w:val="20"/>
              </w:rPr>
            </w:pPr>
            <w:r w:rsidRPr="008B6A75">
              <w:rPr>
                <w:bCs/>
                <w:sz w:val="20"/>
                <w:szCs w:val="20"/>
              </w:rPr>
              <w:t>4 922 300,00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5623C71C" w14:textId="77777777" w:rsidR="00387142" w:rsidRPr="008B6A75" w:rsidRDefault="00387142" w:rsidP="00387142">
            <w:pPr>
              <w:jc w:val="right"/>
              <w:rPr>
                <w:bCs/>
                <w:sz w:val="20"/>
                <w:szCs w:val="20"/>
              </w:rPr>
            </w:pPr>
            <w:r w:rsidRPr="008B6A75">
              <w:rPr>
                <w:bCs/>
                <w:sz w:val="20"/>
                <w:szCs w:val="20"/>
              </w:rPr>
              <w:t>6 500 000,00</w:t>
            </w:r>
          </w:p>
        </w:tc>
      </w:tr>
      <w:tr w:rsidR="00387142" w:rsidRPr="008B6A75" w14:paraId="5852D0A0" w14:textId="77777777" w:rsidTr="00387142">
        <w:trPr>
          <w:trHeight w:val="1725"/>
        </w:trPr>
        <w:tc>
          <w:tcPr>
            <w:tcW w:w="272" w:type="dxa"/>
            <w:tcBorders>
              <w:top w:val="nil"/>
              <w:left w:val="nil"/>
              <w:bottom w:val="nil"/>
              <w:right w:val="single" w:sz="4" w:space="0" w:color="auto"/>
            </w:tcBorders>
            <w:shd w:val="clear" w:color="auto" w:fill="auto"/>
            <w:noWrap/>
            <w:vAlign w:val="bottom"/>
            <w:hideMark/>
          </w:tcPr>
          <w:p w14:paraId="7FE2FEE9"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425A2575" w14:textId="77777777" w:rsidR="00387142" w:rsidRPr="008B6A75" w:rsidRDefault="00387142" w:rsidP="00387142">
            <w:pPr>
              <w:rPr>
                <w:bCs/>
                <w:sz w:val="20"/>
                <w:szCs w:val="20"/>
              </w:rPr>
            </w:pPr>
            <w:r w:rsidRPr="008B6A75">
              <w:rPr>
                <w:bCs/>
                <w:sz w:val="20"/>
                <w:szCs w:val="20"/>
              </w:rPr>
              <w:t>Реализация мероприятий по созданию системы долговременного ухода за гражданами пожилого возраста и инвалидами государственной программы Новосибирской области "Социальная поддержка в Новосибирской области"</w:t>
            </w:r>
          </w:p>
        </w:tc>
        <w:tc>
          <w:tcPr>
            <w:tcW w:w="1559" w:type="dxa"/>
            <w:tcBorders>
              <w:top w:val="nil"/>
              <w:left w:val="single" w:sz="4" w:space="0" w:color="auto"/>
              <w:bottom w:val="single" w:sz="4" w:space="0" w:color="auto"/>
              <w:right w:val="nil"/>
            </w:tcBorders>
            <w:shd w:val="clear" w:color="auto" w:fill="auto"/>
            <w:noWrap/>
            <w:vAlign w:val="center"/>
            <w:hideMark/>
          </w:tcPr>
          <w:p w14:paraId="175BDA3D" w14:textId="77777777" w:rsidR="00387142" w:rsidRPr="008B6A75" w:rsidRDefault="00387142" w:rsidP="00387142">
            <w:pPr>
              <w:jc w:val="center"/>
              <w:rPr>
                <w:bCs/>
                <w:sz w:val="20"/>
                <w:szCs w:val="20"/>
              </w:rPr>
            </w:pPr>
            <w:r w:rsidRPr="008B6A75">
              <w:rPr>
                <w:bCs/>
                <w:sz w:val="20"/>
                <w:szCs w:val="20"/>
              </w:rPr>
              <w:t>99.0.P3.51630</w:t>
            </w:r>
          </w:p>
        </w:tc>
        <w:tc>
          <w:tcPr>
            <w:tcW w:w="850" w:type="dxa"/>
            <w:tcBorders>
              <w:top w:val="nil"/>
              <w:left w:val="single" w:sz="4" w:space="0" w:color="auto"/>
              <w:bottom w:val="single" w:sz="4" w:space="0" w:color="auto"/>
              <w:right w:val="nil"/>
            </w:tcBorders>
            <w:shd w:val="clear" w:color="auto" w:fill="auto"/>
            <w:noWrap/>
            <w:vAlign w:val="center"/>
            <w:hideMark/>
          </w:tcPr>
          <w:p w14:paraId="39D01CBE" w14:textId="77777777" w:rsidR="00387142" w:rsidRPr="008B6A75" w:rsidRDefault="00387142" w:rsidP="00387142">
            <w:pPr>
              <w:jc w:val="center"/>
              <w:rPr>
                <w:bCs/>
                <w:sz w:val="20"/>
                <w:szCs w:val="20"/>
              </w:rPr>
            </w:pPr>
            <w:r w:rsidRPr="008B6A75">
              <w:rPr>
                <w:bCs/>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7FEB82E8" w14:textId="77777777" w:rsidR="00387142" w:rsidRPr="008B6A75" w:rsidRDefault="00387142" w:rsidP="00387142">
            <w:pPr>
              <w:jc w:val="center"/>
              <w:rPr>
                <w:bCs/>
                <w:sz w:val="20"/>
                <w:szCs w:val="20"/>
              </w:rPr>
            </w:pPr>
            <w:r w:rsidRPr="008B6A75">
              <w:rPr>
                <w:bCs/>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0909EEFA" w14:textId="77777777" w:rsidR="00387142" w:rsidRPr="008B6A75" w:rsidRDefault="00387142" w:rsidP="00387142">
            <w:pPr>
              <w:jc w:val="center"/>
              <w:rPr>
                <w:bCs/>
                <w:sz w:val="20"/>
                <w:szCs w:val="20"/>
              </w:rPr>
            </w:pPr>
            <w:r w:rsidRPr="008B6A75">
              <w:rPr>
                <w:bCs/>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D21A77D" w14:textId="77777777" w:rsidR="00387142" w:rsidRPr="008B6A75" w:rsidRDefault="00387142" w:rsidP="00387142">
            <w:pPr>
              <w:jc w:val="right"/>
              <w:rPr>
                <w:bCs/>
                <w:sz w:val="20"/>
                <w:szCs w:val="20"/>
              </w:rPr>
            </w:pPr>
            <w:r w:rsidRPr="008B6A75">
              <w:rPr>
                <w:bCs/>
                <w:sz w:val="20"/>
                <w:szCs w:val="20"/>
              </w:rPr>
              <w:t>3 882 900,00</w:t>
            </w:r>
          </w:p>
        </w:tc>
        <w:tc>
          <w:tcPr>
            <w:tcW w:w="851" w:type="dxa"/>
            <w:tcBorders>
              <w:top w:val="nil"/>
              <w:left w:val="single" w:sz="4" w:space="0" w:color="auto"/>
              <w:bottom w:val="single" w:sz="4" w:space="0" w:color="auto"/>
              <w:right w:val="nil"/>
            </w:tcBorders>
            <w:shd w:val="clear" w:color="auto" w:fill="auto"/>
            <w:noWrap/>
            <w:vAlign w:val="center"/>
            <w:hideMark/>
          </w:tcPr>
          <w:p w14:paraId="6F2348DD" w14:textId="77777777" w:rsidR="00387142" w:rsidRPr="008B6A75" w:rsidRDefault="00387142" w:rsidP="00387142">
            <w:pPr>
              <w:jc w:val="right"/>
              <w:rPr>
                <w:bCs/>
                <w:sz w:val="20"/>
                <w:szCs w:val="20"/>
              </w:rPr>
            </w:pPr>
            <w:r w:rsidRPr="008B6A75">
              <w:rPr>
                <w:bCs/>
                <w:sz w:val="20"/>
                <w:szCs w:val="20"/>
              </w:rPr>
              <w:t>4 922 300,00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37AF3A0D" w14:textId="77777777" w:rsidR="00387142" w:rsidRPr="008B6A75" w:rsidRDefault="00387142" w:rsidP="00387142">
            <w:pPr>
              <w:jc w:val="right"/>
              <w:rPr>
                <w:bCs/>
                <w:sz w:val="20"/>
                <w:szCs w:val="20"/>
              </w:rPr>
            </w:pPr>
            <w:r w:rsidRPr="008B6A75">
              <w:rPr>
                <w:bCs/>
                <w:sz w:val="20"/>
                <w:szCs w:val="20"/>
              </w:rPr>
              <w:t>6 500 000,00</w:t>
            </w:r>
          </w:p>
        </w:tc>
      </w:tr>
      <w:tr w:rsidR="00387142" w:rsidRPr="008B6A75" w14:paraId="25245125" w14:textId="77777777" w:rsidTr="00387142">
        <w:trPr>
          <w:trHeight w:val="870"/>
        </w:trPr>
        <w:tc>
          <w:tcPr>
            <w:tcW w:w="272" w:type="dxa"/>
            <w:tcBorders>
              <w:top w:val="nil"/>
              <w:left w:val="nil"/>
              <w:bottom w:val="nil"/>
              <w:right w:val="single" w:sz="4" w:space="0" w:color="auto"/>
            </w:tcBorders>
            <w:shd w:val="clear" w:color="auto" w:fill="auto"/>
            <w:noWrap/>
            <w:vAlign w:val="bottom"/>
            <w:hideMark/>
          </w:tcPr>
          <w:p w14:paraId="7C1A6409"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1B7CAC47" w14:textId="77777777" w:rsidR="00387142" w:rsidRPr="008B6A75" w:rsidRDefault="00387142" w:rsidP="00387142">
            <w:pPr>
              <w:rPr>
                <w:sz w:val="20"/>
                <w:szCs w:val="20"/>
              </w:rPr>
            </w:pPr>
            <w:r w:rsidRPr="008B6A75">
              <w:rPr>
                <w:sz w:val="20"/>
                <w:szCs w:val="20"/>
              </w:rPr>
              <w:t>Предоставление субсидий бюджетным, автономным учреждениям и иным некоммерческим организациям</w:t>
            </w:r>
          </w:p>
        </w:tc>
        <w:tc>
          <w:tcPr>
            <w:tcW w:w="1559" w:type="dxa"/>
            <w:tcBorders>
              <w:top w:val="nil"/>
              <w:left w:val="single" w:sz="4" w:space="0" w:color="auto"/>
              <w:bottom w:val="single" w:sz="4" w:space="0" w:color="auto"/>
              <w:right w:val="nil"/>
            </w:tcBorders>
            <w:shd w:val="clear" w:color="auto" w:fill="auto"/>
            <w:noWrap/>
            <w:vAlign w:val="center"/>
            <w:hideMark/>
          </w:tcPr>
          <w:p w14:paraId="18E9CEC7" w14:textId="77777777" w:rsidR="00387142" w:rsidRPr="008B6A75" w:rsidRDefault="00387142" w:rsidP="00387142">
            <w:pPr>
              <w:jc w:val="center"/>
              <w:rPr>
                <w:sz w:val="20"/>
                <w:szCs w:val="20"/>
              </w:rPr>
            </w:pPr>
            <w:r w:rsidRPr="008B6A75">
              <w:rPr>
                <w:sz w:val="20"/>
                <w:szCs w:val="20"/>
              </w:rPr>
              <w:t>99.0.P3.51630</w:t>
            </w:r>
          </w:p>
        </w:tc>
        <w:tc>
          <w:tcPr>
            <w:tcW w:w="850" w:type="dxa"/>
            <w:tcBorders>
              <w:top w:val="nil"/>
              <w:left w:val="single" w:sz="4" w:space="0" w:color="auto"/>
              <w:bottom w:val="single" w:sz="4" w:space="0" w:color="auto"/>
              <w:right w:val="nil"/>
            </w:tcBorders>
            <w:shd w:val="clear" w:color="auto" w:fill="auto"/>
            <w:noWrap/>
            <w:vAlign w:val="center"/>
            <w:hideMark/>
          </w:tcPr>
          <w:p w14:paraId="5CAE577F" w14:textId="77777777" w:rsidR="00387142" w:rsidRPr="008B6A75" w:rsidRDefault="00387142" w:rsidP="00387142">
            <w:pPr>
              <w:jc w:val="center"/>
              <w:rPr>
                <w:sz w:val="20"/>
                <w:szCs w:val="20"/>
              </w:rPr>
            </w:pPr>
            <w:r w:rsidRPr="008B6A75">
              <w:rPr>
                <w:sz w:val="20"/>
                <w:szCs w:val="20"/>
              </w:rPr>
              <w:t>600</w:t>
            </w:r>
          </w:p>
        </w:tc>
        <w:tc>
          <w:tcPr>
            <w:tcW w:w="567" w:type="dxa"/>
            <w:tcBorders>
              <w:top w:val="nil"/>
              <w:left w:val="single" w:sz="4" w:space="0" w:color="auto"/>
              <w:bottom w:val="single" w:sz="4" w:space="0" w:color="auto"/>
              <w:right w:val="nil"/>
            </w:tcBorders>
            <w:shd w:val="clear" w:color="auto" w:fill="auto"/>
            <w:noWrap/>
            <w:vAlign w:val="center"/>
            <w:hideMark/>
          </w:tcPr>
          <w:p w14:paraId="275F8D9D" w14:textId="77777777" w:rsidR="00387142" w:rsidRPr="008B6A75" w:rsidRDefault="00387142" w:rsidP="00387142">
            <w:pPr>
              <w:jc w:val="center"/>
              <w:rPr>
                <w:sz w:val="20"/>
                <w:szCs w:val="20"/>
              </w:rPr>
            </w:pPr>
            <w:r w:rsidRPr="008B6A75">
              <w:rPr>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17C877C9" w14:textId="77777777" w:rsidR="00387142" w:rsidRPr="008B6A75" w:rsidRDefault="00387142" w:rsidP="00387142">
            <w:pPr>
              <w:jc w:val="center"/>
              <w:rPr>
                <w:sz w:val="20"/>
                <w:szCs w:val="20"/>
              </w:rPr>
            </w:pPr>
            <w:r w:rsidRPr="008B6A75">
              <w:rPr>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0A812E5" w14:textId="77777777" w:rsidR="00387142" w:rsidRPr="008B6A75" w:rsidRDefault="00387142" w:rsidP="00387142">
            <w:pPr>
              <w:jc w:val="right"/>
              <w:rPr>
                <w:sz w:val="20"/>
                <w:szCs w:val="20"/>
              </w:rPr>
            </w:pPr>
            <w:r w:rsidRPr="008B6A75">
              <w:rPr>
                <w:sz w:val="20"/>
                <w:szCs w:val="20"/>
              </w:rPr>
              <w:t>3 882 900,00</w:t>
            </w:r>
          </w:p>
        </w:tc>
        <w:tc>
          <w:tcPr>
            <w:tcW w:w="851" w:type="dxa"/>
            <w:tcBorders>
              <w:top w:val="nil"/>
              <w:left w:val="single" w:sz="4" w:space="0" w:color="auto"/>
              <w:bottom w:val="single" w:sz="4" w:space="0" w:color="auto"/>
              <w:right w:val="nil"/>
            </w:tcBorders>
            <w:shd w:val="clear" w:color="auto" w:fill="auto"/>
            <w:noWrap/>
            <w:vAlign w:val="center"/>
            <w:hideMark/>
          </w:tcPr>
          <w:p w14:paraId="4AE9897F" w14:textId="77777777" w:rsidR="00387142" w:rsidRPr="008B6A75" w:rsidRDefault="00387142" w:rsidP="00387142">
            <w:pPr>
              <w:jc w:val="right"/>
              <w:rPr>
                <w:sz w:val="20"/>
                <w:szCs w:val="20"/>
              </w:rPr>
            </w:pPr>
            <w:r w:rsidRPr="008B6A75">
              <w:rPr>
                <w:sz w:val="20"/>
                <w:szCs w:val="20"/>
              </w:rPr>
              <w:t>4 922 300,00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7C4CB0B7" w14:textId="77777777" w:rsidR="00387142" w:rsidRPr="008B6A75" w:rsidRDefault="00387142" w:rsidP="00387142">
            <w:pPr>
              <w:jc w:val="right"/>
              <w:rPr>
                <w:sz w:val="20"/>
                <w:szCs w:val="20"/>
              </w:rPr>
            </w:pPr>
            <w:r w:rsidRPr="008B6A75">
              <w:rPr>
                <w:sz w:val="20"/>
                <w:szCs w:val="20"/>
              </w:rPr>
              <w:t>6 500 000,00</w:t>
            </w:r>
          </w:p>
        </w:tc>
      </w:tr>
      <w:tr w:rsidR="00387142" w:rsidRPr="008B6A75" w14:paraId="3F49F36D" w14:textId="77777777" w:rsidTr="00387142">
        <w:trPr>
          <w:trHeight w:val="300"/>
        </w:trPr>
        <w:tc>
          <w:tcPr>
            <w:tcW w:w="272" w:type="dxa"/>
            <w:tcBorders>
              <w:top w:val="nil"/>
              <w:left w:val="nil"/>
              <w:bottom w:val="nil"/>
              <w:right w:val="single" w:sz="4" w:space="0" w:color="auto"/>
            </w:tcBorders>
            <w:shd w:val="clear" w:color="auto" w:fill="auto"/>
            <w:noWrap/>
            <w:vAlign w:val="bottom"/>
            <w:hideMark/>
          </w:tcPr>
          <w:p w14:paraId="7D49CB3C"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1306B1FD" w14:textId="77777777" w:rsidR="00387142" w:rsidRPr="008B6A75" w:rsidRDefault="00387142" w:rsidP="00387142">
            <w:pPr>
              <w:rPr>
                <w:sz w:val="20"/>
                <w:szCs w:val="20"/>
              </w:rPr>
            </w:pPr>
            <w:r w:rsidRPr="008B6A75">
              <w:rPr>
                <w:sz w:val="20"/>
                <w:szCs w:val="20"/>
              </w:rPr>
              <w:t>Субсидии бюджетным учреждениям</w:t>
            </w:r>
          </w:p>
        </w:tc>
        <w:tc>
          <w:tcPr>
            <w:tcW w:w="1559" w:type="dxa"/>
            <w:tcBorders>
              <w:top w:val="nil"/>
              <w:left w:val="single" w:sz="4" w:space="0" w:color="auto"/>
              <w:bottom w:val="single" w:sz="4" w:space="0" w:color="auto"/>
              <w:right w:val="nil"/>
            </w:tcBorders>
            <w:shd w:val="clear" w:color="auto" w:fill="auto"/>
            <w:noWrap/>
            <w:vAlign w:val="center"/>
            <w:hideMark/>
          </w:tcPr>
          <w:p w14:paraId="02E6EDB0" w14:textId="77777777" w:rsidR="00387142" w:rsidRPr="008B6A75" w:rsidRDefault="00387142" w:rsidP="00387142">
            <w:pPr>
              <w:jc w:val="center"/>
              <w:rPr>
                <w:sz w:val="20"/>
                <w:szCs w:val="20"/>
              </w:rPr>
            </w:pPr>
            <w:r w:rsidRPr="008B6A75">
              <w:rPr>
                <w:sz w:val="20"/>
                <w:szCs w:val="20"/>
              </w:rPr>
              <w:t>99.0.P3.51630</w:t>
            </w:r>
          </w:p>
        </w:tc>
        <w:tc>
          <w:tcPr>
            <w:tcW w:w="850" w:type="dxa"/>
            <w:tcBorders>
              <w:top w:val="nil"/>
              <w:left w:val="single" w:sz="4" w:space="0" w:color="auto"/>
              <w:bottom w:val="single" w:sz="4" w:space="0" w:color="auto"/>
              <w:right w:val="nil"/>
            </w:tcBorders>
            <w:shd w:val="clear" w:color="auto" w:fill="auto"/>
            <w:noWrap/>
            <w:vAlign w:val="center"/>
            <w:hideMark/>
          </w:tcPr>
          <w:p w14:paraId="703923F2" w14:textId="77777777" w:rsidR="00387142" w:rsidRPr="008B6A75" w:rsidRDefault="00387142" w:rsidP="00387142">
            <w:pPr>
              <w:jc w:val="center"/>
              <w:rPr>
                <w:sz w:val="20"/>
                <w:szCs w:val="20"/>
              </w:rPr>
            </w:pPr>
            <w:r w:rsidRPr="008B6A75">
              <w:rPr>
                <w:sz w:val="20"/>
                <w:szCs w:val="20"/>
              </w:rPr>
              <w:t>610</w:t>
            </w:r>
          </w:p>
        </w:tc>
        <w:tc>
          <w:tcPr>
            <w:tcW w:w="567" w:type="dxa"/>
            <w:tcBorders>
              <w:top w:val="nil"/>
              <w:left w:val="single" w:sz="4" w:space="0" w:color="auto"/>
              <w:bottom w:val="single" w:sz="4" w:space="0" w:color="auto"/>
              <w:right w:val="nil"/>
            </w:tcBorders>
            <w:shd w:val="clear" w:color="auto" w:fill="auto"/>
            <w:noWrap/>
            <w:vAlign w:val="center"/>
            <w:hideMark/>
          </w:tcPr>
          <w:p w14:paraId="5B24DECB" w14:textId="77777777" w:rsidR="00387142" w:rsidRPr="008B6A75" w:rsidRDefault="00387142" w:rsidP="00387142">
            <w:pPr>
              <w:jc w:val="center"/>
              <w:rPr>
                <w:sz w:val="20"/>
                <w:szCs w:val="20"/>
              </w:rPr>
            </w:pPr>
            <w:r w:rsidRPr="008B6A75">
              <w:rPr>
                <w:sz w:val="20"/>
                <w:szCs w:val="20"/>
              </w:rPr>
              <w:t>10</w:t>
            </w:r>
          </w:p>
        </w:tc>
        <w:tc>
          <w:tcPr>
            <w:tcW w:w="567" w:type="dxa"/>
            <w:tcBorders>
              <w:top w:val="nil"/>
              <w:left w:val="single" w:sz="4" w:space="0" w:color="auto"/>
              <w:bottom w:val="single" w:sz="4" w:space="0" w:color="auto"/>
              <w:right w:val="nil"/>
            </w:tcBorders>
            <w:shd w:val="clear" w:color="auto" w:fill="auto"/>
            <w:noWrap/>
            <w:vAlign w:val="center"/>
            <w:hideMark/>
          </w:tcPr>
          <w:p w14:paraId="30840776" w14:textId="77777777" w:rsidR="00387142" w:rsidRPr="008B6A75" w:rsidRDefault="00387142" w:rsidP="00387142">
            <w:pPr>
              <w:jc w:val="center"/>
              <w:rPr>
                <w:sz w:val="20"/>
                <w:szCs w:val="20"/>
              </w:rPr>
            </w:pPr>
            <w:r w:rsidRPr="008B6A75">
              <w:rPr>
                <w:sz w:val="20"/>
                <w:szCs w:val="20"/>
              </w:rPr>
              <w:t>02</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41EFB0E" w14:textId="77777777" w:rsidR="00387142" w:rsidRPr="008B6A75" w:rsidRDefault="00387142" w:rsidP="00387142">
            <w:pPr>
              <w:jc w:val="right"/>
              <w:rPr>
                <w:sz w:val="20"/>
                <w:szCs w:val="20"/>
              </w:rPr>
            </w:pPr>
            <w:r w:rsidRPr="008B6A75">
              <w:rPr>
                <w:sz w:val="20"/>
                <w:szCs w:val="20"/>
              </w:rPr>
              <w:t>3 882 900,00</w:t>
            </w:r>
          </w:p>
        </w:tc>
        <w:tc>
          <w:tcPr>
            <w:tcW w:w="851" w:type="dxa"/>
            <w:tcBorders>
              <w:top w:val="nil"/>
              <w:left w:val="single" w:sz="4" w:space="0" w:color="auto"/>
              <w:bottom w:val="single" w:sz="4" w:space="0" w:color="auto"/>
              <w:right w:val="nil"/>
            </w:tcBorders>
            <w:shd w:val="clear" w:color="auto" w:fill="auto"/>
            <w:noWrap/>
            <w:vAlign w:val="center"/>
            <w:hideMark/>
          </w:tcPr>
          <w:p w14:paraId="439222F9" w14:textId="77777777" w:rsidR="00387142" w:rsidRPr="008B6A75" w:rsidRDefault="00387142" w:rsidP="00387142">
            <w:pPr>
              <w:jc w:val="right"/>
              <w:rPr>
                <w:sz w:val="20"/>
                <w:szCs w:val="20"/>
              </w:rPr>
            </w:pPr>
            <w:r w:rsidRPr="008B6A75">
              <w:rPr>
                <w:sz w:val="20"/>
                <w:szCs w:val="20"/>
              </w:rPr>
              <w:t>4 922 300,00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585490F5" w14:textId="77777777" w:rsidR="00387142" w:rsidRPr="008B6A75" w:rsidRDefault="00387142" w:rsidP="00387142">
            <w:pPr>
              <w:jc w:val="right"/>
              <w:rPr>
                <w:sz w:val="20"/>
                <w:szCs w:val="20"/>
              </w:rPr>
            </w:pPr>
            <w:r w:rsidRPr="008B6A75">
              <w:rPr>
                <w:sz w:val="20"/>
                <w:szCs w:val="20"/>
              </w:rPr>
              <w:t>6 500 000,00</w:t>
            </w:r>
          </w:p>
        </w:tc>
      </w:tr>
      <w:tr w:rsidR="00387142" w:rsidRPr="008B6A75" w14:paraId="1CC2135D" w14:textId="77777777" w:rsidTr="00387142">
        <w:trPr>
          <w:trHeight w:val="300"/>
        </w:trPr>
        <w:tc>
          <w:tcPr>
            <w:tcW w:w="272" w:type="dxa"/>
            <w:tcBorders>
              <w:top w:val="nil"/>
              <w:left w:val="nil"/>
              <w:bottom w:val="nil"/>
              <w:right w:val="single" w:sz="4" w:space="0" w:color="auto"/>
            </w:tcBorders>
            <w:shd w:val="clear" w:color="auto" w:fill="auto"/>
            <w:noWrap/>
            <w:vAlign w:val="bottom"/>
            <w:hideMark/>
          </w:tcPr>
          <w:p w14:paraId="130C7012"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5F34235A" w14:textId="77777777" w:rsidR="00387142" w:rsidRPr="008B6A75" w:rsidRDefault="00387142" w:rsidP="00387142">
            <w:pPr>
              <w:rPr>
                <w:bCs/>
                <w:sz w:val="20"/>
                <w:szCs w:val="20"/>
              </w:rPr>
            </w:pPr>
            <w:r w:rsidRPr="008B6A75">
              <w:rPr>
                <w:bCs/>
                <w:sz w:val="20"/>
                <w:szCs w:val="20"/>
              </w:rPr>
              <w:t>Условно утвержденные расходы</w:t>
            </w:r>
          </w:p>
        </w:tc>
        <w:tc>
          <w:tcPr>
            <w:tcW w:w="1559" w:type="dxa"/>
            <w:tcBorders>
              <w:top w:val="nil"/>
              <w:left w:val="single" w:sz="4" w:space="0" w:color="auto"/>
              <w:bottom w:val="single" w:sz="4" w:space="0" w:color="auto"/>
              <w:right w:val="nil"/>
            </w:tcBorders>
            <w:shd w:val="clear" w:color="auto" w:fill="auto"/>
            <w:noWrap/>
            <w:vAlign w:val="center"/>
            <w:hideMark/>
          </w:tcPr>
          <w:p w14:paraId="6E3D121A" w14:textId="77777777" w:rsidR="00387142" w:rsidRPr="008B6A75" w:rsidRDefault="00387142" w:rsidP="00387142">
            <w:pPr>
              <w:jc w:val="center"/>
              <w:rPr>
                <w:bCs/>
                <w:sz w:val="20"/>
                <w:szCs w:val="20"/>
              </w:rPr>
            </w:pPr>
            <w:r w:rsidRPr="008B6A75">
              <w:rPr>
                <w:bCs/>
                <w:sz w:val="20"/>
                <w:szCs w:val="20"/>
              </w:rPr>
              <w:t>99.9.00.00000</w:t>
            </w:r>
          </w:p>
        </w:tc>
        <w:tc>
          <w:tcPr>
            <w:tcW w:w="850" w:type="dxa"/>
            <w:tcBorders>
              <w:top w:val="nil"/>
              <w:left w:val="single" w:sz="4" w:space="0" w:color="auto"/>
              <w:bottom w:val="single" w:sz="4" w:space="0" w:color="auto"/>
              <w:right w:val="nil"/>
            </w:tcBorders>
            <w:shd w:val="clear" w:color="auto" w:fill="auto"/>
            <w:noWrap/>
            <w:vAlign w:val="center"/>
            <w:hideMark/>
          </w:tcPr>
          <w:p w14:paraId="37EC6A8E" w14:textId="77777777" w:rsidR="00387142" w:rsidRPr="008B6A75" w:rsidRDefault="00387142" w:rsidP="00387142">
            <w:pPr>
              <w:jc w:val="center"/>
              <w:rPr>
                <w:bCs/>
                <w:sz w:val="20"/>
                <w:szCs w:val="20"/>
              </w:rPr>
            </w:pPr>
            <w:r w:rsidRPr="008B6A75">
              <w:rPr>
                <w:bCs/>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03C08DDA" w14:textId="77777777" w:rsidR="00387142" w:rsidRPr="008B6A75" w:rsidRDefault="00387142" w:rsidP="00387142">
            <w:pPr>
              <w:jc w:val="center"/>
              <w:rPr>
                <w:bCs/>
                <w:sz w:val="20"/>
                <w:szCs w:val="20"/>
              </w:rPr>
            </w:pPr>
            <w:r w:rsidRPr="008B6A75">
              <w:rPr>
                <w:bCs/>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0D0E8385" w14:textId="77777777" w:rsidR="00387142" w:rsidRPr="008B6A75" w:rsidRDefault="00387142" w:rsidP="00387142">
            <w:pPr>
              <w:jc w:val="center"/>
              <w:rPr>
                <w:bCs/>
                <w:sz w:val="20"/>
                <w:szCs w:val="20"/>
              </w:rPr>
            </w:pPr>
            <w:r w:rsidRPr="008B6A75">
              <w:rPr>
                <w:bCs/>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0D835F3" w14:textId="77777777" w:rsidR="00387142" w:rsidRPr="008B6A75" w:rsidRDefault="00387142" w:rsidP="00387142">
            <w:pPr>
              <w:jc w:val="right"/>
              <w:rPr>
                <w:bCs/>
                <w:sz w:val="20"/>
                <w:szCs w:val="20"/>
              </w:rPr>
            </w:pPr>
            <w:r w:rsidRPr="008B6A75">
              <w:rPr>
                <w:bCs/>
                <w:sz w:val="20"/>
                <w:szCs w:val="20"/>
              </w:rPr>
              <w:t>0,00</w:t>
            </w:r>
          </w:p>
        </w:tc>
        <w:tc>
          <w:tcPr>
            <w:tcW w:w="851" w:type="dxa"/>
            <w:tcBorders>
              <w:top w:val="nil"/>
              <w:left w:val="single" w:sz="4" w:space="0" w:color="auto"/>
              <w:bottom w:val="single" w:sz="4" w:space="0" w:color="auto"/>
              <w:right w:val="nil"/>
            </w:tcBorders>
            <w:shd w:val="clear" w:color="auto" w:fill="auto"/>
            <w:noWrap/>
            <w:vAlign w:val="center"/>
            <w:hideMark/>
          </w:tcPr>
          <w:p w14:paraId="019A5A56" w14:textId="77777777" w:rsidR="00387142" w:rsidRPr="008B6A75" w:rsidRDefault="00387142" w:rsidP="00387142">
            <w:pPr>
              <w:jc w:val="right"/>
              <w:rPr>
                <w:bCs/>
                <w:sz w:val="20"/>
                <w:szCs w:val="20"/>
              </w:rPr>
            </w:pPr>
            <w:r w:rsidRPr="008B6A75">
              <w:rPr>
                <w:bCs/>
                <w:sz w:val="20"/>
                <w:szCs w:val="20"/>
              </w:rPr>
              <w:t>12 290 108,00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19884B6B" w14:textId="77777777" w:rsidR="00387142" w:rsidRPr="008B6A75" w:rsidRDefault="00387142" w:rsidP="00387142">
            <w:pPr>
              <w:jc w:val="right"/>
              <w:rPr>
                <w:bCs/>
                <w:sz w:val="20"/>
                <w:szCs w:val="20"/>
              </w:rPr>
            </w:pPr>
            <w:r w:rsidRPr="008B6A75">
              <w:rPr>
                <w:bCs/>
                <w:sz w:val="20"/>
                <w:szCs w:val="20"/>
              </w:rPr>
              <w:t>23 989 084,50</w:t>
            </w:r>
          </w:p>
        </w:tc>
      </w:tr>
      <w:tr w:rsidR="00387142" w:rsidRPr="008B6A75" w14:paraId="6D628698" w14:textId="77777777" w:rsidTr="00387142">
        <w:trPr>
          <w:trHeight w:val="300"/>
        </w:trPr>
        <w:tc>
          <w:tcPr>
            <w:tcW w:w="272" w:type="dxa"/>
            <w:tcBorders>
              <w:top w:val="nil"/>
              <w:left w:val="nil"/>
              <w:bottom w:val="nil"/>
              <w:right w:val="single" w:sz="4" w:space="0" w:color="auto"/>
            </w:tcBorders>
            <w:shd w:val="clear" w:color="auto" w:fill="auto"/>
            <w:noWrap/>
            <w:vAlign w:val="bottom"/>
            <w:hideMark/>
          </w:tcPr>
          <w:p w14:paraId="5C6D868D"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70CFB469" w14:textId="77777777" w:rsidR="00387142" w:rsidRPr="008B6A75" w:rsidRDefault="00387142" w:rsidP="00387142">
            <w:pPr>
              <w:rPr>
                <w:sz w:val="20"/>
                <w:szCs w:val="20"/>
              </w:rPr>
            </w:pPr>
            <w:r w:rsidRPr="008B6A75">
              <w:rPr>
                <w:sz w:val="20"/>
                <w:szCs w:val="20"/>
              </w:rPr>
              <w:t>Условно утвержденные расходы</w:t>
            </w:r>
          </w:p>
        </w:tc>
        <w:tc>
          <w:tcPr>
            <w:tcW w:w="1559" w:type="dxa"/>
            <w:tcBorders>
              <w:top w:val="nil"/>
              <w:left w:val="single" w:sz="4" w:space="0" w:color="auto"/>
              <w:bottom w:val="single" w:sz="4" w:space="0" w:color="auto"/>
              <w:right w:val="nil"/>
            </w:tcBorders>
            <w:shd w:val="clear" w:color="auto" w:fill="auto"/>
            <w:noWrap/>
            <w:vAlign w:val="center"/>
            <w:hideMark/>
          </w:tcPr>
          <w:p w14:paraId="6B4918ED" w14:textId="77777777" w:rsidR="00387142" w:rsidRPr="008B6A75" w:rsidRDefault="00387142" w:rsidP="00387142">
            <w:pPr>
              <w:jc w:val="center"/>
              <w:rPr>
                <w:sz w:val="20"/>
                <w:szCs w:val="20"/>
              </w:rPr>
            </w:pPr>
            <w:r w:rsidRPr="008B6A75">
              <w:rPr>
                <w:sz w:val="20"/>
                <w:szCs w:val="20"/>
              </w:rPr>
              <w:t>99.9.00.00000</w:t>
            </w:r>
          </w:p>
        </w:tc>
        <w:tc>
          <w:tcPr>
            <w:tcW w:w="850" w:type="dxa"/>
            <w:tcBorders>
              <w:top w:val="nil"/>
              <w:left w:val="single" w:sz="4" w:space="0" w:color="auto"/>
              <w:bottom w:val="single" w:sz="4" w:space="0" w:color="auto"/>
              <w:right w:val="nil"/>
            </w:tcBorders>
            <w:shd w:val="clear" w:color="auto" w:fill="auto"/>
            <w:noWrap/>
            <w:vAlign w:val="center"/>
            <w:hideMark/>
          </w:tcPr>
          <w:p w14:paraId="6E4E34CE" w14:textId="77777777" w:rsidR="00387142" w:rsidRPr="008B6A75" w:rsidRDefault="00387142" w:rsidP="00387142">
            <w:pPr>
              <w:jc w:val="center"/>
              <w:rPr>
                <w:sz w:val="20"/>
                <w:szCs w:val="20"/>
              </w:rPr>
            </w:pPr>
            <w:r w:rsidRPr="008B6A75">
              <w:rPr>
                <w:sz w:val="20"/>
                <w:szCs w:val="20"/>
              </w:rPr>
              <w:t>900</w:t>
            </w:r>
          </w:p>
        </w:tc>
        <w:tc>
          <w:tcPr>
            <w:tcW w:w="567" w:type="dxa"/>
            <w:tcBorders>
              <w:top w:val="nil"/>
              <w:left w:val="single" w:sz="4" w:space="0" w:color="auto"/>
              <w:bottom w:val="single" w:sz="4" w:space="0" w:color="auto"/>
              <w:right w:val="nil"/>
            </w:tcBorders>
            <w:shd w:val="clear" w:color="auto" w:fill="auto"/>
            <w:noWrap/>
            <w:vAlign w:val="center"/>
            <w:hideMark/>
          </w:tcPr>
          <w:p w14:paraId="494CB4A7" w14:textId="77777777" w:rsidR="00387142" w:rsidRPr="008B6A75" w:rsidRDefault="00387142" w:rsidP="00387142">
            <w:pPr>
              <w:jc w:val="center"/>
              <w:rPr>
                <w:sz w:val="20"/>
                <w:szCs w:val="20"/>
              </w:rPr>
            </w:pPr>
            <w:r w:rsidRPr="008B6A75">
              <w:rPr>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14:paraId="1EBB4136" w14:textId="77777777" w:rsidR="00387142" w:rsidRPr="008B6A75" w:rsidRDefault="00387142" w:rsidP="00387142">
            <w:pPr>
              <w:jc w:val="center"/>
              <w:rPr>
                <w:sz w:val="20"/>
                <w:szCs w:val="20"/>
              </w:rPr>
            </w:pPr>
            <w:r w:rsidRPr="008B6A75">
              <w:rPr>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0C18698" w14:textId="77777777" w:rsidR="00387142" w:rsidRPr="008B6A75" w:rsidRDefault="00387142" w:rsidP="00387142">
            <w:pPr>
              <w:jc w:val="right"/>
              <w:rPr>
                <w:sz w:val="20"/>
                <w:szCs w:val="20"/>
              </w:rPr>
            </w:pPr>
            <w:r w:rsidRPr="008B6A75">
              <w:rPr>
                <w:sz w:val="20"/>
                <w:szCs w:val="20"/>
              </w:rPr>
              <w:t>0,00</w:t>
            </w:r>
          </w:p>
        </w:tc>
        <w:tc>
          <w:tcPr>
            <w:tcW w:w="851" w:type="dxa"/>
            <w:tcBorders>
              <w:top w:val="nil"/>
              <w:left w:val="single" w:sz="4" w:space="0" w:color="auto"/>
              <w:bottom w:val="single" w:sz="4" w:space="0" w:color="auto"/>
              <w:right w:val="nil"/>
            </w:tcBorders>
            <w:shd w:val="clear" w:color="auto" w:fill="auto"/>
            <w:noWrap/>
            <w:vAlign w:val="center"/>
            <w:hideMark/>
          </w:tcPr>
          <w:p w14:paraId="6B551DC1" w14:textId="77777777" w:rsidR="00387142" w:rsidRPr="008B6A75" w:rsidRDefault="00387142" w:rsidP="00387142">
            <w:pPr>
              <w:jc w:val="right"/>
              <w:rPr>
                <w:sz w:val="20"/>
                <w:szCs w:val="20"/>
              </w:rPr>
            </w:pPr>
            <w:r w:rsidRPr="008B6A75">
              <w:rPr>
                <w:sz w:val="20"/>
                <w:szCs w:val="20"/>
              </w:rPr>
              <w:t>12 290 108,00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3B635938" w14:textId="77777777" w:rsidR="00387142" w:rsidRPr="008B6A75" w:rsidRDefault="00387142" w:rsidP="00387142">
            <w:pPr>
              <w:jc w:val="right"/>
              <w:rPr>
                <w:sz w:val="20"/>
                <w:szCs w:val="20"/>
              </w:rPr>
            </w:pPr>
            <w:r w:rsidRPr="008B6A75">
              <w:rPr>
                <w:sz w:val="20"/>
                <w:szCs w:val="20"/>
              </w:rPr>
              <w:t>23 989 084,50</w:t>
            </w:r>
          </w:p>
        </w:tc>
      </w:tr>
      <w:tr w:rsidR="00387142" w:rsidRPr="008B6A75" w14:paraId="14B37D40" w14:textId="77777777" w:rsidTr="00387142">
        <w:trPr>
          <w:trHeight w:val="300"/>
        </w:trPr>
        <w:tc>
          <w:tcPr>
            <w:tcW w:w="272" w:type="dxa"/>
            <w:tcBorders>
              <w:top w:val="nil"/>
              <w:left w:val="nil"/>
              <w:bottom w:val="nil"/>
              <w:right w:val="single" w:sz="4" w:space="0" w:color="auto"/>
            </w:tcBorders>
            <w:shd w:val="clear" w:color="auto" w:fill="auto"/>
            <w:noWrap/>
            <w:vAlign w:val="bottom"/>
            <w:hideMark/>
          </w:tcPr>
          <w:p w14:paraId="77D25978" w14:textId="77777777" w:rsidR="00387142" w:rsidRPr="008B6A75" w:rsidRDefault="00387142" w:rsidP="00387142">
            <w:pPr>
              <w:rPr>
                <w:sz w:val="20"/>
                <w:szCs w:val="20"/>
              </w:rPr>
            </w:pPr>
            <w:r w:rsidRPr="008B6A75">
              <w:rPr>
                <w:sz w:val="20"/>
                <w:szCs w:val="20"/>
              </w:rPr>
              <w:t> </w:t>
            </w:r>
          </w:p>
        </w:tc>
        <w:tc>
          <w:tcPr>
            <w:tcW w:w="3415" w:type="dxa"/>
            <w:tcBorders>
              <w:top w:val="nil"/>
              <w:left w:val="single" w:sz="4" w:space="0" w:color="auto"/>
              <w:bottom w:val="single" w:sz="4" w:space="0" w:color="auto"/>
              <w:right w:val="nil"/>
            </w:tcBorders>
            <w:shd w:val="clear" w:color="auto" w:fill="auto"/>
            <w:vAlign w:val="center"/>
            <w:hideMark/>
          </w:tcPr>
          <w:p w14:paraId="5BBF524B" w14:textId="77777777" w:rsidR="00387142" w:rsidRPr="008B6A75" w:rsidRDefault="00387142" w:rsidP="00387142">
            <w:pPr>
              <w:rPr>
                <w:sz w:val="20"/>
                <w:szCs w:val="20"/>
              </w:rPr>
            </w:pPr>
            <w:r w:rsidRPr="008B6A75">
              <w:rPr>
                <w:sz w:val="20"/>
                <w:szCs w:val="20"/>
              </w:rPr>
              <w:t>Условно утвержденные расходы</w:t>
            </w:r>
          </w:p>
        </w:tc>
        <w:tc>
          <w:tcPr>
            <w:tcW w:w="1559" w:type="dxa"/>
            <w:tcBorders>
              <w:top w:val="nil"/>
              <w:left w:val="single" w:sz="4" w:space="0" w:color="auto"/>
              <w:bottom w:val="single" w:sz="4" w:space="0" w:color="auto"/>
              <w:right w:val="nil"/>
            </w:tcBorders>
            <w:shd w:val="clear" w:color="auto" w:fill="auto"/>
            <w:noWrap/>
            <w:vAlign w:val="center"/>
            <w:hideMark/>
          </w:tcPr>
          <w:p w14:paraId="55C4F145" w14:textId="77777777" w:rsidR="00387142" w:rsidRPr="008B6A75" w:rsidRDefault="00387142" w:rsidP="00387142">
            <w:pPr>
              <w:jc w:val="center"/>
              <w:rPr>
                <w:sz w:val="20"/>
                <w:szCs w:val="20"/>
              </w:rPr>
            </w:pPr>
            <w:r w:rsidRPr="008B6A75">
              <w:rPr>
                <w:sz w:val="20"/>
                <w:szCs w:val="20"/>
              </w:rPr>
              <w:t>99.9.00.00000</w:t>
            </w:r>
          </w:p>
        </w:tc>
        <w:tc>
          <w:tcPr>
            <w:tcW w:w="850" w:type="dxa"/>
            <w:tcBorders>
              <w:top w:val="nil"/>
              <w:left w:val="single" w:sz="4" w:space="0" w:color="auto"/>
              <w:bottom w:val="single" w:sz="4" w:space="0" w:color="auto"/>
              <w:right w:val="nil"/>
            </w:tcBorders>
            <w:shd w:val="clear" w:color="auto" w:fill="auto"/>
            <w:noWrap/>
            <w:vAlign w:val="center"/>
            <w:hideMark/>
          </w:tcPr>
          <w:p w14:paraId="7F68BEBA" w14:textId="77777777" w:rsidR="00387142" w:rsidRPr="008B6A75" w:rsidRDefault="00387142" w:rsidP="00387142">
            <w:pPr>
              <w:jc w:val="center"/>
              <w:rPr>
                <w:sz w:val="20"/>
                <w:szCs w:val="20"/>
              </w:rPr>
            </w:pPr>
            <w:r w:rsidRPr="008B6A75">
              <w:rPr>
                <w:sz w:val="20"/>
                <w:szCs w:val="20"/>
              </w:rPr>
              <w:t>990</w:t>
            </w:r>
          </w:p>
        </w:tc>
        <w:tc>
          <w:tcPr>
            <w:tcW w:w="567" w:type="dxa"/>
            <w:tcBorders>
              <w:top w:val="nil"/>
              <w:left w:val="single" w:sz="4" w:space="0" w:color="auto"/>
              <w:bottom w:val="single" w:sz="4" w:space="0" w:color="auto"/>
              <w:right w:val="nil"/>
            </w:tcBorders>
            <w:shd w:val="clear" w:color="auto" w:fill="auto"/>
            <w:noWrap/>
            <w:vAlign w:val="center"/>
            <w:hideMark/>
          </w:tcPr>
          <w:p w14:paraId="7069DD87" w14:textId="77777777" w:rsidR="00387142" w:rsidRPr="008B6A75" w:rsidRDefault="00387142" w:rsidP="00387142">
            <w:pPr>
              <w:jc w:val="center"/>
              <w:rPr>
                <w:sz w:val="20"/>
                <w:szCs w:val="20"/>
              </w:rPr>
            </w:pPr>
            <w:r w:rsidRPr="008B6A75">
              <w:rPr>
                <w:sz w:val="20"/>
                <w:szCs w:val="20"/>
              </w:rPr>
              <w:t>99</w:t>
            </w:r>
          </w:p>
        </w:tc>
        <w:tc>
          <w:tcPr>
            <w:tcW w:w="567" w:type="dxa"/>
            <w:tcBorders>
              <w:top w:val="nil"/>
              <w:left w:val="single" w:sz="4" w:space="0" w:color="auto"/>
              <w:bottom w:val="single" w:sz="4" w:space="0" w:color="auto"/>
              <w:right w:val="nil"/>
            </w:tcBorders>
            <w:shd w:val="clear" w:color="auto" w:fill="auto"/>
            <w:noWrap/>
            <w:vAlign w:val="center"/>
            <w:hideMark/>
          </w:tcPr>
          <w:p w14:paraId="28647CE7" w14:textId="77777777" w:rsidR="00387142" w:rsidRPr="008B6A75" w:rsidRDefault="00387142" w:rsidP="00387142">
            <w:pPr>
              <w:jc w:val="center"/>
              <w:rPr>
                <w:sz w:val="20"/>
                <w:szCs w:val="20"/>
              </w:rPr>
            </w:pPr>
            <w:r w:rsidRPr="008B6A75">
              <w:rPr>
                <w:sz w:val="20"/>
                <w:szCs w:val="20"/>
              </w:rPr>
              <w:t>99</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218834F" w14:textId="77777777" w:rsidR="00387142" w:rsidRPr="008B6A75" w:rsidRDefault="00387142" w:rsidP="00387142">
            <w:pPr>
              <w:jc w:val="right"/>
              <w:rPr>
                <w:sz w:val="20"/>
                <w:szCs w:val="20"/>
              </w:rPr>
            </w:pPr>
            <w:r w:rsidRPr="008B6A75">
              <w:rPr>
                <w:sz w:val="20"/>
                <w:szCs w:val="20"/>
              </w:rPr>
              <w:t>0,00</w:t>
            </w:r>
          </w:p>
        </w:tc>
        <w:tc>
          <w:tcPr>
            <w:tcW w:w="851" w:type="dxa"/>
            <w:tcBorders>
              <w:top w:val="nil"/>
              <w:left w:val="single" w:sz="4" w:space="0" w:color="auto"/>
              <w:bottom w:val="single" w:sz="4" w:space="0" w:color="auto"/>
              <w:right w:val="nil"/>
            </w:tcBorders>
            <w:shd w:val="clear" w:color="auto" w:fill="auto"/>
            <w:noWrap/>
            <w:vAlign w:val="center"/>
            <w:hideMark/>
          </w:tcPr>
          <w:p w14:paraId="71723BEC" w14:textId="77777777" w:rsidR="00387142" w:rsidRPr="008B6A75" w:rsidRDefault="00387142" w:rsidP="00387142">
            <w:pPr>
              <w:jc w:val="right"/>
              <w:rPr>
                <w:sz w:val="20"/>
                <w:szCs w:val="20"/>
              </w:rPr>
            </w:pPr>
            <w:r w:rsidRPr="008B6A75">
              <w:rPr>
                <w:sz w:val="20"/>
                <w:szCs w:val="20"/>
              </w:rPr>
              <w:t>12 290 108,00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4671BEDA" w14:textId="77777777" w:rsidR="00387142" w:rsidRPr="008B6A75" w:rsidRDefault="00387142" w:rsidP="00387142">
            <w:pPr>
              <w:jc w:val="right"/>
              <w:rPr>
                <w:sz w:val="20"/>
                <w:szCs w:val="20"/>
              </w:rPr>
            </w:pPr>
            <w:r w:rsidRPr="008B6A75">
              <w:rPr>
                <w:sz w:val="20"/>
                <w:szCs w:val="20"/>
              </w:rPr>
              <w:t>23 989 084,50</w:t>
            </w:r>
          </w:p>
        </w:tc>
      </w:tr>
      <w:tr w:rsidR="00387142" w:rsidRPr="008B6A75" w14:paraId="1A235BB3" w14:textId="77777777" w:rsidTr="00387142">
        <w:trPr>
          <w:trHeight w:val="15"/>
        </w:trPr>
        <w:tc>
          <w:tcPr>
            <w:tcW w:w="272" w:type="dxa"/>
            <w:tcBorders>
              <w:top w:val="nil"/>
              <w:left w:val="nil"/>
              <w:bottom w:val="nil"/>
              <w:right w:val="nil"/>
            </w:tcBorders>
            <w:shd w:val="clear" w:color="auto" w:fill="auto"/>
            <w:noWrap/>
            <w:vAlign w:val="bottom"/>
            <w:hideMark/>
          </w:tcPr>
          <w:p w14:paraId="44D8C1BD" w14:textId="77777777" w:rsidR="00387142" w:rsidRPr="008B6A75" w:rsidRDefault="00387142" w:rsidP="00387142">
            <w:pPr>
              <w:jc w:val="right"/>
              <w:rPr>
                <w:sz w:val="20"/>
                <w:szCs w:val="20"/>
              </w:rPr>
            </w:pPr>
          </w:p>
        </w:tc>
        <w:tc>
          <w:tcPr>
            <w:tcW w:w="3415" w:type="dxa"/>
            <w:tcBorders>
              <w:top w:val="nil"/>
              <w:left w:val="single" w:sz="4" w:space="0" w:color="auto"/>
              <w:bottom w:val="nil"/>
              <w:right w:val="nil"/>
            </w:tcBorders>
            <w:shd w:val="clear" w:color="auto" w:fill="auto"/>
            <w:noWrap/>
            <w:vAlign w:val="center"/>
            <w:hideMark/>
          </w:tcPr>
          <w:p w14:paraId="4A8D400F" w14:textId="77777777" w:rsidR="00387142" w:rsidRPr="008B6A75" w:rsidRDefault="00387142" w:rsidP="00387142">
            <w:pPr>
              <w:rPr>
                <w:bCs/>
                <w:sz w:val="20"/>
                <w:szCs w:val="20"/>
              </w:rPr>
            </w:pPr>
            <w:r w:rsidRPr="008B6A75">
              <w:rPr>
                <w:bCs/>
                <w:sz w:val="20"/>
                <w:szCs w:val="20"/>
              </w:rPr>
              <w:t>Итого расходов</w:t>
            </w:r>
          </w:p>
        </w:tc>
        <w:tc>
          <w:tcPr>
            <w:tcW w:w="1559" w:type="dxa"/>
            <w:tcBorders>
              <w:top w:val="nil"/>
              <w:left w:val="nil"/>
              <w:bottom w:val="nil"/>
              <w:right w:val="single" w:sz="4" w:space="0" w:color="auto"/>
            </w:tcBorders>
            <w:shd w:val="clear" w:color="auto" w:fill="auto"/>
            <w:noWrap/>
            <w:vAlign w:val="center"/>
            <w:hideMark/>
          </w:tcPr>
          <w:p w14:paraId="27DF5578" w14:textId="77777777" w:rsidR="00387142" w:rsidRPr="008B6A75" w:rsidRDefault="00387142" w:rsidP="00387142">
            <w:pPr>
              <w:rPr>
                <w:bCs/>
                <w:sz w:val="20"/>
                <w:szCs w:val="20"/>
              </w:rPr>
            </w:pPr>
            <w:r w:rsidRPr="008B6A75">
              <w:rPr>
                <w:bCs/>
                <w:sz w:val="20"/>
                <w:szCs w:val="20"/>
              </w:rPr>
              <w:t>0000000000000</w:t>
            </w:r>
          </w:p>
        </w:tc>
        <w:tc>
          <w:tcPr>
            <w:tcW w:w="850" w:type="dxa"/>
            <w:tcBorders>
              <w:top w:val="nil"/>
              <w:left w:val="nil"/>
              <w:bottom w:val="nil"/>
              <w:right w:val="single" w:sz="4" w:space="0" w:color="auto"/>
            </w:tcBorders>
            <w:shd w:val="clear" w:color="auto" w:fill="auto"/>
            <w:noWrap/>
            <w:vAlign w:val="center"/>
            <w:hideMark/>
          </w:tcPr>
          <w:p w14:paraId="3DDEA427" w14:textId="77777777" w:rsidR="00387142" w:rsidRPr="008B6A75" w:rsidRDefault="00387142" w:rsidP="00387142">
            <w:pPr>
              <w:rPr>
                <w:bCs/>
                <w:sz w:val="20"/>
                <w:szCs w:val="20"/>
              </w:rPr>
            </w:pPr>
            <w:r w:rsidRPr="008B6A75">
              <w:rPr>
                <w:bCs/>
                <w:sz w:val="20"/>
                <w:szCs w:val="20"/>
              </w:rPr>
              <w:t>000</w:t>
            </w:r>
          </w:p>
        </w:tc>
        <w:tc>
          <w:tcPr>
            <w:tcW w:w="567" w:type="dxa"/>
            <w:tcBorders>
              <w:top w:val="nil"/>
              <w:left w:val="nil"/>
              <w:bottom w:val="nil"/>
              <w:right w:val="single" w:sz="4" w:space="0" w:color="auto"/>
            </w:tcBorders>
            <w:shd w:val="clear" w:color="auto" w:fill="auto"/>
            <w:noWrap/>
            <w:vAlign w:val="center"/>
            <w:hideMark/>
          </w:tcPr>
          <w:p w14:paraId="214C318E" w14:textId="77777777" w:rsidR="00387142" w:rsidRPr="008B6A75" w:rsidRDefault="00387142" w:rsidP="00387142">
            <w:pPr>
              <w:rPr>
                <w:bCs/>
                <w:sz w:val="20"/>
                <w:szCs w:val="20"/>
              </w:rPr>
            </w:pPr>
            <w:r w:rsidRPr="008B6A75">
              <w:rPr>
                <w:bCs/>
                <w:sz w:val="20"/>
                <w:szCs w:val="20"/>
              </w:rPr>
              <w:t>0</w:t>
            </w:r>
          </w:p>
        </w:tc>
        <w:tc>
          <w:tcPr>
            <w:tcW w:w="567" w:type="dxa"/>
            <w:tcBorders>
              <w:top w:val="nil"/>
              <w:left w:val="nil"/>
              <w:bottom w:val="nil"/>
              <w:right w:val="nil"/>
            </w:tcBorders>
            <w:shd w:val="clear" w:color="auto" w:fill="auto"/>
            <w:noWrap/>
            <w:vAlign w:val="center"/>
            <w:hideMark/>
          </w:tcPr>
          <w:p w14:paraId="0315CFB5" w14:textId="77777777" w:rsidR="00387142" w:rsidRPr="008B6A75" w:rsidRDefault="00387142" w:rsidP="00387142">
            <w:pPr>
              <w:rPr>
                <w:bCs/>
                <w:sz w:val="20"/>
                <w:szCs w:val="20"/>
              </w:rPr>
            </w:pPr>
            <w:r w:rsidRPr="008B6A75">
              <w:rPr>
                <w:bCs/>
                <w:sz w:val="20"/>
                <w:szCs w:val="20"/>
              </w:rPr>
              <w:t>0</w:t>
            </w:r>
          </w:p>
        </w:tc>
        <w:tc>
          <w:tcPr>
            <w:tcW w:w="1134" w:type="dxa"/>
            <w:tcBorders>
              <w:top w:val="nil"/>
              <w:left w:val="single" w:sz="4" w:space="0" w:color="auto"/>
              <w:bottom w:val="nil"/>
              <w:right w:val="single" w:sz="4" w:space="0" w:color="auto"/>
            </w:tcBorders>
            <w:shd w:val="clear" w:color="auto" w:fill="auto"/>
            <w:noWrap/>
            <w:vAlign w:val="center"/>
            <w:hideMark/>
          </w:tcPr>
          <w:p w14:paraId="76CE124A" w14:textId="77777777" w:rsidR="00387142" w:rsidRPr="008B6A75" w:rsidRDefault="00387142" w:rsidP="00387142">
            <w:pPr>
              <w:jc w:val="right"/>
              <w:rPr>
                <w:bCs/>
                <w:sz w:val="20"/>
                <w:szCs w:val="20"/>
              </w:rPr>
            </w:pPr>
            <w:r w:rsidRPr="008B6A75">
              <w:rPr>
                <w:bCs/>
                <w:sz w:val="20"/>
                <w:szCs w:val="20"/>
              </w:rPr>
              <w:t>2 928 088 175,3</w:t>
            </w:r>
          </w:p>
        </w:tc>
        <w:tc>
          <w:tcPr>
            <w:tcW w:w="851" w:type="dxa"/>
            <w:tcBorders>
              <w:top w:val="nil"/>
              <w:left w:val="nil"/>
              <w:bottom w:val="single" w:sz="4" w:space="0" w:color="auto"/>
              <w:right w:val="single" w:sz="4" w:space="0" w:color="auto"/>
            </w:tcBorders>
            <w:shd w:val="clear" w:color="auto" w:fill="auto"/>
            <w:noWrap/>
            <w:vAlign w:val="center"/>
            <w:hideMark/>
          </w:tcPr>
          <w:p w14:paraId="5AA0A249" w14:textId="77777777" w:rsidR="00387142" w:rsidRPr="008B6A75" w:rsidRDefault="00387142" w:rsidP="00387142">
            <w:pPr>
              <w:jc w:val="right"/>
              <w:rPr>
                <w:bCs/>
                <w:sz w:val="20"/>
                <w:szCs w:val="20"/>
              </w:rPr>
            </w:pPr>
            <w:r w:rsidRPr="008B6A75">
              <w:rPr>
                <w:bCs/>
                <w:sz w:val="20"/>
                <w:szCs w:val="20"/>
              </w:rPr>
              <w:t>1 950 517 508,6</w:t>
            </w:r>
          </w:p>
        </w:tc>
        <w:tc>
          <w:tcPr>
            <w:tcW w:w="1843" w:type="dxa"/>
            <w:tcBorders>
              <w:top w:val="nil"/>
              <w:left w:val="nil"/>
              <w:bottom w:val="single" w:sz="4" w:space="0" w:color="auto"/>
              <w:right w:val="single" w:sz="4" w:space="0" w:color="auto"/>
            </w:tcBorders>
            <w:shd w:val="clear" w:color="auto" w:fill="auto"/>
            <w:noWrap/>
            <w:vAlign w:val="center"/>
            <w:hideMark/>
          </w:tcPr>
          <w:p w14:paraId="5F7EAF99" w14:textId="77777777" w:rsidR="00387142" w:rsidRPr="008B6A75" w:rsidRDefault="00387142" w:rsidP="00387142">
            <w:pPr>
              <w:jc w:val="right"/>
              <w:rPr>
                <w:bCs/>
                <w:sz w:val="20"/>
                <w:szCs w:val="20"/>
              </w:rPr>
            </w:pPr>
            <w:r w:rsidRPr="008B6A75">
              <w:rPr>
                <w:bCs/>
                <w:sz w:val="20"/>
                <w:szCs w:val="20"/>
              </w:rPr>
              <w:t>1 844 646 600,1</w:t>
            </w:r>
          </w:p>
        </w:tc>
      </w:tr>
      <w:tr w:rsidR="00387142" w:rsidRPr="008B6A75" w14:paraId="2280CE3D" w14:textId="77777777" w:rsidTr="00387142">
        <w:trPr>
          <w:trHeight w:val="255"/>
        </w:trPr>
        <w:tc>
          <w:tcPr>
            <w:tcW w:w="272" w:type="dxa"/>
            <w:tcBorders>
              <w:top w:val="nil"/>
              <w:left w:val="nil"/>
              <w:bottom w:val="nil"/>
              <w:right w:val="nil"/>
            </w:tcBorders>
            <w:shd w:val="clear" w:color="auto" w:fill="auto"/>
            <w:noWrap/>
            <w:vAlign w:val="bottom"/>
            <w:hideMark/>
          </w:tcPr>
          <w:p w14:paraId="598190B5" w14:textId="77777777" w:rsidR="00387142" w:rsidRPr="008B6A75" w:rsidRDefault="00387142" w:rsidP="00387142">
            <w:pPr>
              <w:jc w:val="right"/>
              <w:rPr>
                <w:bCs/>
                <w:sz w:val="20"/>
                <w:szCs w:val="20"/>
              </w:rPr>
            </w:pPr>
          </w:p>
        </w:tc>
        <w:tc>
          <w:tcPr>
            <w:tcW w:w="3415" w:type="dxa"/>
            <w:tcBorders>
              <w:top w:val="single" w:sz="4" w:space="0" w:color="auto"/>
              <w:left w:val="single" w:sz="4" w:space="0" w:color="auto"/>
              <w:bottom w:val="single" w:sz="4" w:space="0" w:color="auto"/>
              <w:right w:val="nil"/>
            </w:tcBorders>
            <w:shd w:val="clear" w:color="auto" w:fill="auto"/>
            <w:noWrap/>
            <w:vAlign w:val="center"/>
            <w:hideMark/>
          </w:tcPr>
          <w:p w14:paraId="5A994FD0" w14:textId="77777777" w:rsidR="00387142" w:rsidRPr="008B6A75" w:rsidRDefault="00387142" w:rsidP="00387142">
            <w:pPr>
              <w:rPr>
                <w:bCs/>
                <w:sz w:val="20"/>
                <w:szCs w:val="20"/>
              </w:rPr>
            </w:pPr>
            <w:r w:rsidRPr="008B6A75">
              <w:rPr>
                <w:bCs/>
                <w:sz w:val="20"/>
                <w:szCs w:val="20"/>
              </w:rPr>
              <w:t>Итого расходов</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4697B328" w14:textId="77777777" w:rsidR="00387142" w:rsidRPr="008B6A75" w:rsidRDefault="00387142" w:rsidP="00387142">
            <w:pPr>
              <w:rPr>
                <w:bCs/>
                <w:sz w:val="20"/>
                <w:szCs w:val="20"/>
              </w:rPr>
            </w:pPr>
            <w:r w:rsidRPr="008B6A75">
              <w:rPr>
                <w:bCs/>
                <w:sz w:val="20"/>
                <w:szCs w:val="20"/>
              </w:rPr>
              <w:t>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44C0E225" w14:textId="77777777" w:rsidR="00387142" w:rsidRPr="008B6A75" w:rsidRDefault="00387142" w:rsidP="00387142">
            <w:pPr>
              <w:rPr>
                <w:bCs/>
                <w:sz w:val="20"/>
                <w:szCs w:val="20"/>
              </w:rPr>
            </w:pPr>
            <w:r w:rsidRPr="008B6A75">
              <w:rPr>
                <w:bCs/>
                <w:sz w:val="20"/>
                <w:szCs w:val="20"/>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36B06C66" w14:textId="77777777" w:rsidR="00387142" w:rsidRPr="008B6A75" w:rsidRDefault="00387142" w:rsidP="00387142">
            <w:pPr>
              <w:rPr>
                <w:bCs/>
                <w:sz w:val="20"/>
                <w:szCs w:val="20"/>
              </w:rPr>
            </w:pPr>
            <w:r w:rsidRPr="008B6A75">
              <w:rPr>
                <w:bCs/>
                <w:sz w:val="20"/>
                <w:szCs w:val="20"/>
              </w:rPr>
              <w:t> </w:t>
            </w:r>
          </w:p>
        </w:tc>
        <w:tc>
          <w:tcPr>
            <w:tcW w:w="567" w:type="dxa"/>
            <w:tcBorders>
              <w:top w:val="single" w:sz="4" w:space="0" w:color="auto"/>
              <w:left w:val="nil"/>
              <w:bottom w:val="single" w:sz="4" w:space="0" w:color="auto"/>
              <w:right w:val="nil"/>
            </w:tcBorders>
            <w:shd w:val="clear" w:color="auto" w:fill="auto"/>
            <w:noWrap/>
            <w:vAlign w:val="center"/>
            <w:hideMark/>
          </w:tcPr>
          <w:p w14:paraId="293B5F6C" w14:textId="77777777" w:rsidR="00387142" w:rsidRPr="008B6A75" w:rsidRDefault="00387142" w:rsidP="00387142">
            <w:pPr>
              <w:rPr>
                <w:bCs/>
                <w:sz w:val="20"/>
                <w:szCs w:val="20"/>
              </w:rPr>
            </w:pPr>
            <w:r w:rsidRPr="008B6A75">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C867F5" w14:textId="77777777" w:rsidR="00387142" w:rsidRPr="008B6A75" w:rsidRDefault="00387142" w:rsidP="00387142">
            <w:pPr>
              <w:jc w:val="right"/>
              <w:rPr>
                <w:bCs/>
                <w:sz w:val="20"/>
                <w:szCs w:val="20"/>
              </w:rPr>
            </w:pPr>
            <w:r w:rsidRPr="008B6A75">
              <w:rPr>
                <w:bCs/>
                <w:sz w:val="20"/>
                <w:szCs w:val="20"/>
              </w:rPr>
              <w:t>2 928 088 175,32</w:t>
            </w:r>
          </w:p>
        </w:tc>
        <w:tc>
          <w:tcPr>
            <w:tcW w:w="851" w:type="dxa"/>
            <w:tcBorders>
              <w:top w:val="nil"/>
              <w:left w:val="nil"/>
              <w:bottom w:val="single" w:sz="4" w:space="0" w:color="auto"/>
              <w:right w:val="single" w:sz="4" w:space="0" w:color="auto"/>
            </w:tcBorders>
            <w:shd w:val="clear" w:color="auto" w:fill="auto"/>
            <w:noWrap/>
            <w:vAlign w:val="center"/>
            <w:hideMark/>
          </w:tcPr>
          <w:p w14:paraId="544904E9" w14:textId="77777777" w:rsidR="00387142" w:rsidRPr="008B6A75" w:rsidRDefault="00387142" w:rsidP="00387142">
            <w:pPr>
              <w:jc w:val="right"/>
              <w:rPr>
                <w:bCs/>
                <w:sz w:val="20"/>
                <w:szCs w:val="20"/>
              </w:rPr>
            </w:pPr>
            <w:r w:rsidRPr="008B6A75">
              <w:rPr>
                <w:bCs/>
                <w:sz w:val="20"/>
                <w:szCs w:val="20"/>
              </w:rPr>
              <w:t xml:space="preserve">1 950 517 </w:t>
            </w:r>
            <w:r w:rsidRPr="008B6A75">
              <w:rPr>
                <w:bCs/>
                <w:sz w:val="20"/>
                <w:szCs w:val="20"/>
              </w:rPr>
              <w:lastRenderedPageBreak/>
              <w:t>508,60</w:t>
            </w:r>
          </w:p>
        </w:tc>
        <w:tc>
          <w:tcPr>
            <w:tcW w:w="1843" w:type="dxa"/>
            <w:tcBorders>
              <w:top w:val="nil"/>
              <w:left w:val="nil"/>
              <w:bottom w:val="single" w:sz="4" w:space="0" w:color="auto"/>
              <w:right w:val="single" w:sz="4" w:space="0" w:color="auto"/>
            </w:tcBorders>
            <w:shd w:val="clear" w:color="auto" w:fill="auto"/>
            <w:noWrap/>
            <w:vAlign w:val="center"/>
            <w:hideMark/>
          </w:tcPr>
          <w:p w14:paraId="104E2F7F" w14:textId="77777777" w:rsidR="00387142" w:rsidRPr="008B6A75" w:rsidRDefault="00387142" w:rsidP="00387142">
            <w:pPr>
              <w:jc w:val="right"/>
              <w:rPr>
                <w:bCs/>
                <w:sz w:val="20"/>
                <w:szCs w:val="20"/>
              </w:rPr>
            </w:pPr>
            <w:r w:rsidRPr="008B6A75">
              <w:rPr>
                <w:bCs/>
                <w:sz w:val="20"/>
                <w:szCs w:val="20"/>
              </w:rPr>
              <w:lastRenderedPageBreak/>
              <w:t>1 844 646 600,06</w:t>
            </w:r>
          </w:p>
        </w:tc>
      </w:tr>
    </w:tbl>
    <w:p w14:paraId="4274CF5B" w14:textId="77777777" w:rsidR="00387142" w:rsidRPr="008B6A75" w:rsidRDefault="00387142" w:rsidP="00387142">
      <w:pPr>
        <w:rPr>
          <w:sz w:val="20"/>
          <w:szCs w:val="20"/>
        </w:rPr>
      </w:pPr>
    </w:p>
    <w:tbl>
      <w:tblPr>
        <w:tblW w:w="11138" w:type="dxa"/>
        <w:tblInd w:w="-851" w:type="dxa"/>
        <w:tblLook w:val="04A0" w:firstRow="1" w:lastRow="0" w:firstColumn="1" w:lastColumn="0" w:noHBand="0" w:noVBand="1"/>
      </w:tblPr>
      <w:tblGrid>
        <w:gridCol w:w="3021"/>
        <w:gridCol w:w="850"/>
        <w:gridCol w:w="709"/>
        <w:gridCol w:w="709"/>
        <w:gridCol w:w="1411"/>
        <w:gridCol w:w="955"/>
        <w:gridCol w:w="992"/>
        <w:gridCol w:w="14"/>
        <w:gridCol w:w="978"/>
        <w:gridCol w:w="14"/>
        <w:gridCol w:w="1298"/>
        <w:gridCol w:w="222"/>
      </w:tblGrid>
      <w:tr w:rsidR="00387142" w:rsidRPr="008B6A75" w14:paraId="480D39D2" w14:textId="77777777" w:rsidTr="00387142">
        <w:trPr>
          <w:gridAfter w:val="1"/>
          <w:wAfter w:w="222" w:type="dxa"/>
          <w:trHeight w:val="255"/>
        </w:trPr>
        <w:tc>
          <w:tcPr>
            <w:tcW w:w="8661" w:type="dxa"/>
            <w:gridSpan w:val="8"/>
            <w:vMerge w:val="restart"/>
            <w:tcBorders>
              <w:top w:val="nil"/>
              <w:left w:val="nil"/>
              <w:bottom w:val="nil"/>
              <w:right w:val="nil"/>
            </w:tcBorders>
            <w:shd w:val="clear" w:color="auto" w:fill="auto"/>
            <w:vAlign w:val="center"/>
            <w:hideMark/>
          </w:tcPr>
          <w:p w14:paraId="16439DB1" w14:textId="77777777" w:rsidR="00387142" w:rsidRPr="008B6A75" w:rsidRDefault="00387142" w:rsidP="00387142">
            <w:pPr>
              <w:rPr>
                <w:sz w:val="20"/>
                <w:szCs w:val="20"/>
              </w:rPr>
            </w:pPr>
          </w:p>
        </w:tc>
        <w:tc>
          <w:tcPr>
            <w:tcW w:w="992" w:type="dxa"/>
            <w:gridSpan w:val="2"/>
            <w:tcBorders>
              <w:top w:val="nil"/>
              <w:left w:val="nil"/>
              <w:bottom w:val="nil"/>
              <w:right w:val="nil"/>
            </w:tcBorders>
            <w:shd w:val="clear" w:color="auto" w:fill="auto"/>
            <w:noWrap/>
            <w:vAlign w:val="bottom"/>
            <w:hideMark/>
          </w:tcPr>
          <w:p w14:paraId="3B055BA7" w14:textId="77777777" w:rsidR="00387142" w:rsidRPr="008B6A75" w:rsidRDefault="00387142" w:rsidP="00387142">
            <w:pPr>
              <w:jc w:val="center"/>
              <w:rPr>
                <w:sz w:val="20"/>
                <w:szCs w:val="20"/>
              </w:rPr>
            </w:pPr>
          </w:p>
        </w:tc>
        <w:tc>
          <w:tcPr>
            <w:tcW w:w="1263" w:type="dxa"/>
            <w:tcBorders>
              <w:top w:val="nil"/>
              <w:left w:val="nil"/>
              <w:bottom w:val="nil"/>
              <w:right w:val="nil"/>
            </w:tcBorders>
            <w:shd w:val="clear" w:color="auto" w:fill="auto"/>
            <w:noWrap/>
            <w:vAlign w:val="bottom"/>
            <w:hideMark/>
          </w:tcPr>
          <w:p w14:paraId="5799F307" w14:textId="77777777" w:rsidR="00387142" w:rsidRPr="008B6A75" w:rsidRDefault="00387142" w:rsidP="00387142">
            <w:pPr>
              <w:rPr>
                <w:sz w:val="20"/>
                <w:szCs w:val="20"/>
              </w:rPr>
            </w:pPr>
            <w:r w:rsidRPr="008B6A75">
              <w:rPr>
                <w:sz w:val="20"/>
                <w:szCs w:val="20"/>
              </w:rPr>
              <w:t>Приложение 5</w:t>
            </w:r>
          </w:p>
        </w:tc>
      </w:tr>
      <w:tr w:rsidR="00387142" w:rsidRPr="008B6A75" w14:paraId="2D25B02D" w14:textId="77777777" w:rsidTr="00387142">
        <w:trPr>
          <w:gridAfter w:val="1"/>
          <w:wAfter w:w="222" w:type="dxa"/>
          <w:trHeight w:val="1725"/>
        </w:trPr>
        <w:tc>
          <w:tcPr>
            <w:tcW w:w="8661" w:type="dxa"/>
            <w:gridSpan w:val="8"/>
            <w:vMerge/>
            <w:tcBorders>
              <w:top w:val="nil"/>
              <w:left w:val="nil"/>
              <w:bottom w:val="nil"/>
              <w:right w:val="nil"/>
            </w:tcBorders>
            <w:vAlign w:val="center"/>
            <w:hideMark/>
          </w:tcPr>
          <w:p w14:paraId="3E7004CE" w14:textId="77777777" w:rsidR="00387142" w:rsidRPr="008B6A75" w:rsidRDefault="00387142" w:rsidP="00387142">
            <w:pPr>
              <w:rPr>
                <w:sz w:val="20"/>
                <w:szCs w:val="20"/>
              </w:rPr>
            </w:pPr>
          </w:p>
        </w:tc>
        <w:tc>
          <w:tcPr>
            <w:tcW w:w="2255" w:type="dxa"/>
            <w:gridSpan w:val="3"/>
            <w:tcBorders>
              <w:top w:val="nil"/>
              <w:left w:val="nil"/>
              <w:bottom w:val="nil"/>
              <w:right w:val="nil"/>
            </w:tcBorders>
            <w:shd w:val="clear" w:color="auto" w:fill="auto"/>
            <w:vAlign w:val="bottom"/>
            <w:hideMark/>
          </w:tcPr>
          <w:p w14:paraId="6A7532AB" w14:textId="77777777" w:rsidR="00387142" w:rsidRPr="008B6A75" w:rsidRDefault="00387142" w:rsidP="00387142">
            <w:pPr>
              <w:jc w:val="right"/>
              <w:rPr>
                <w:sz w:val="20"/>
                <w:szCs w:val="20"/>
              </w:rPr>
            </w:pPr>
            <w:r w:rsidRPr="008B6A75">
              <w:rPr>
                <w:sz w:val="20"/>
                <w:szCs w:val="20"/>
              </w:rPr>
              <w:t xml:space="preserve"> к решению сессии Совета депутатов Куйбышевского муниципального района Новосибирской области "О бюджете Куйбышевского муниципального района Новосибирской области на 2022 год и плановый период 2023 и 2024 годов"</w:t>
            </w:r>
          </w:p>
        </w:tc>
      </w:tr>
      <w:tr w:rsidR="00387142" w:rsidRPr="008B6A75" w14:paraId="408C78E4" w14:textId="77777777" w:rsidTr="00387142">
        <w:trPr>
          <w:gridAfter w:val="1"/>
          <w:wAfter w:w="222" w:type="dxa"/>
          <w:trHeight w:val="120"/>
        </w:trPr>
        <w:tc>
          <w:tcPr>
            <w:tcW w:w="3021" w:type="dxa"/>
            <w:tcBorders>
              <w:top w:val="nil"/>
              <w:left w:val="nil"/>
              <w:bottom w:val="nil"/>
              <w:right w:val="nil"/>
            </w:tcBorders>
            <w:shd w:val="clear" w:color="auto" w:fill="auto"/>
            <w:noWrap/>
            <w:vAlign w:val="bottom"/>
            <w:hideMark/>
          </w:tcPr>
          <w:p w14:paraId="19E470F6" w14:textId="77777777" w:rsidR="00387142" w:rsidRPr="008B6A75" w:rsidRDefault="00387142" w:rsidP="00387142">
            <w:pPr>
              <w:jc w:val="right"/>
              <w:rPr>
                <w:sz w:val="20"/>
                <w:szCs w:val="20"/>
              </w:rPr>
            </w:pPr>
          </w:p>
        </w:tc>
        <w:tc>
          <w:tcPr>
            <w:tcW w:w="850" w:type="dxa"/>
            <w:tcBorders>
              <w:top w:val="nil"/>
              <w:left w:val="nil"/>
              <w:bottom w:val="nil"/>
              <w:right w:val="nil"/>
            </w:tcBorders>
            <w:shd w:val="clear" w:color="auto" w:fill="auto"/>
            <w:noWrap/>
            <w:vAlign w:val="bottom"/>
            <w:hideMark/>
          </w:tcPr>
          <w:p w14:paraId="6BCE5333" w14:textId="77777777" w:rsidR="00387142" w:rsidRPr="008B6A75" w:rsidRDefault="00387142" w:rsidP="00387142">
            <w:pPr>
              <w:rPr>
                <w:sz w:val="20"/>
                <w:szCs w:val="20"/>
              </w:rPr>
            </w:pPr>
          </w:p>
        </w:tc>
        <w:tc>
          <w:tcPr>
            <w:tcW w:w="709" w:type="dxa"/>
            <w:tcBorders>
              <w:top w:val="nil"/>
              <w:left w:val="nil"/>
              <w:bottom w:val="nil"/>
              <w:right w:val="nil"/>
            </w:tcBorders>
            <w:shd w:val="clear" w:color="auto" w:fill="auto"/>
            <w:noWrap/>
            <w:vAlign w:val="bottom"/>
            <w:hideMark/>
          </w:tcPr>
          <w:p w14:paraId="655AB074" w14:textId="77777777" w:rsidR="00387142" w:rsidRPr="008B6A75" w:rsidRDefault="00387142" w:rsidP="00387142">
            <w:pPr>
              <w:rPr>
                <w:sz w:val="20"/>
                <w:szCs w:val="20"/>
              </w:rPr>
            </w:pPr>
          </w:p>
        </w:tc>
        <w:tc>
          <w:tcPr>
            <w:tcW w:w="709" w:type="dxa"/>
            <w:tcBorders>
              <w:top w:val="nil"/>
              <w:left w:val="nil"/>
              <w:bottom w:val="nil"/>
              <w:right w:val="nil"/>
            </w:tcBorders>
            <w:shd w:val="clear" w:color="auto" w:fill="auto"/>
            <w:noWrap/>
            <w:vAlign w:val="bottom"/>
            <w:hideMark/>
          </w:tcPr>
          <w:p w14:paraId="633045C1" w14:textId="77777777" w:rsidR="00387142" w:rsidRPr="008B6A75" w:rsidRDefault="00387142" w:rsidP="00387142">
            <w:pPr>
              <w:rPr>
                <w:sz w:val="20"/>
                <w:szCs w:val="20"/>
              </w:rPr>
            </w:pPr>
          </w:p>
        </w:tc>
        <w:tc>
          <w:tcPr>
            <w:tcW w:w="1411" w:type="dxa"/>
            <w:tcBorders>
              <w:top w:val="nil"/>
              <w:left w:val="nil"/>
              <w:bottom w:val="nil"/>
              <w:right w:val="nil"/>
            </w:tcBorders>
            <w:shd w:val="clear" w:color="auto" w:fill="auto"/>
            <w:noWrap/>
            <w:vAlign w:val="bottom"/>
            <w:hideMark/>
          </w:tcPr>
          <w:p w14:paraId="4DF0E15E" w14:textId="77777777" w:rsidR="00387142" w:rsidRPr="008B6A75" w:rsidRDefault="00387142" w:rsidP="00387142">
            <w:pPr>
              <w:rPr>
                <w:sz w:val="20"/>
                <w:szCs w:val="20"/>
              </w:rPr>
            </w:pPr>
          </w:p>
        </w:tc>
        <w:tc>
          <w:tcPr>
            <w:tcW w:w="955" w:type="dxa"/>
            <w:tcBorders>
              <w:top w:val="nil"/>
              <w:left w:val="nil"/>
              <w:bottom w:val="nil"/>
              <w:right w:val="nil"/>
            </w:tcBorders>
            <w:shd w:val="clear" w:color="auto" w:fill="auto"/>
            <w:noWrap/>
            <w:vAlign w:val="bottom"/>
            <w:hideMark/>
          </w:tcPr>
          <w:p w14:paraId="2D02AE56" w14:textId="77777777" w:rsidR="00387142" w:rsidRPr="008B6A75" w:rsidRDefault="00387142" w:rsidP="00387142">
            <w:pPr>
              <w:rPr>
                <w:sz w:val="20"/>
                <w:szCs w:val="20"/>
              </w:rPr>
            </w:pPr>
          </w:p>
        </w:tc>
        <w:tc>
          <w:tcPr>
            <w:tcW w:w="992" w:type="dxa"/>
            <w:tcBorders>
              <w:top w:val="nil"/>
              <w:left w:val="nil"/>
              <w:bottom w:val="nil"/>
              <w:right w:val="nil"/>
            </w:tcBorders>
            <w:shd w:val="clear" w:color="auto" w:fill="auto"/>
            <w:noWrap/>
            <w:vAlign w:val="bottom"/>
            <w:hideMark/>
          </w:tcPr>
          <w:p w14:paraId="5AE6F541" w14:textId="77777777" w:rsidR="00387142" w:rsidRPr="008B6A75" w:rsidRDefault="00387142" w:rsidP="00387142">
            <w:pPr>
              <w:rPr>
                <w:sz w:val="20"/>
                <w:szCs w:val="20"/>
              </w:rPr>
            </w:pPr>
          </w:p>
        </w:tc>
        <w:tc>
          <w:tcPr>
            <w:tcW w:w="992" w:type="dxa"/>
            <w:gridSpan w:val="2"/>
            <w:tcBorders>
              <w:top w:val="nil"/>
              <w:left w:val="nil"/>
              <w:bottom w:val="nil"/>
              <w:right w:val="nil"/>
            </w:tcBorders>
            <w:shd w:val="clear" w:color="auto" w:fill="auto"/>
            <w:noWrap/>
            <w:vAlign w:val="bottom"/>
            <w:hideMark/>
          </w:tcPr>
          <w:p w14:paraId="695B9A8C" w14:textId="77777777" w:rsidR="00387142" w:rsidRPr="008B6A75" w:rsidRDefault="00387142" w:rsidP="00387142">
            <w:pPr>
              <w:rPr>
                <w:sz w:val="20"/>
                <w:szCs w:val="20"/>
              </w:rPr>
            </w:pPr>
          </w:p>
        </w:tc>
        <w:tc>
          <w:tcPr>
            <w:tcW w:w="1277" w:type="dxa"/>
            <w:gridSpan w:val="2"/>
            <w:tcBorders>
              <w:top w:val="nil"/>
              <w:left w:val="nil"/>
              <w:bottom w:val="nil"/>
              <w:right w:val="nil"/>
            </w:tcBorders>
            <w:shd w:val="clear" w:color="auto" w:fill="auto"/>
            <w:noWrap/>
            <w:vAlign w:val="bottom"/>
            <w:hideMark/>
          </w:tcPr>
          <w:p w14:paraId="7A44E830" w14:textId="77777777" w:rsidR="00387142" w:rsidRPr="008B6A75" w:rsidRDefault="00387142" w:rsidP="00387142">
            <w:pPr>
              <w:rPr>
                <w:sz w:val="20"/>
                <w:szCs w:val="20"/>
              </w:rPr>
            </w:pPr>
          </w:p>
        </w:tc>
      </w:tr>
      <w:tr w:rsidR="00387142" w:rsidRPr="008B6A75" w14:paraId="45930509" w14:textId="77777777" w:rsidTr="00387142">
        <w:trPr>
          <w:gridAfter w:val="1"/>
          <w:wAfter w:w="222" w:type="dxa"/>
          <w:trHeight w:val="180"/>
        </w:trPr>
        <w:tc>
          <w:tcPr>
            <w:tcW w:w="3021" w:type="dxa"/>
            <w:tcBorders>
              <w:top w:val="nil"/>
              <w:left w:val="nil"/>
              <w:bottom w:val="nil"/>
              <w:right w:val="nil"/>
            </w:tcBorders>
            <w:shd w:val="clear" w:color="auto" w:fill="auto"/>
            <w:noWrap/>
            <w:vAlign w:val="bottom"/>
            <w:hideMark/>
          </w:tcPr>
          <w:p w14:paraId="68069B9E" w14:textId="77777777" w:rsidR="00387142" w:rsidRPr="008B6A75" w:rsidRDefault="00387142" w:rsidP="00387142">
            <w:pPr>
              <w:rPr>
                <w:sz w:val="20"/>
                <w:szCs w:val="20"/>
              </w:rPr>
            </w:pPr>
          </w:p>
        </w:tc>
        <w:tc>
          <w:tcPr>
            <w:tcW w:w="850" w:type="dxa"/>
            <w:tcBorders>
              <w:top w:val="nil"/>
              <w:left w:val="nil"/>
              <w:bottom w:val="nil"/>
              <w:right w:val="nil"/>
            </w:tcBorders>
            <w:shd w:val="clear" w:color="auto" w:fill="auto"/>
            <w:noWrap/>
            <w:vAlign w:val="bottom"/>
            <w:hideMark/>
          </w:tcPr>
          <w:p w14:paraId="608CDF9A" w14:textId="77777777" w:rsidR="00387142" w:rsidRPr="008B6A75" w:rsidRDefault="00387142" w:rsidP="00387142">
            <w:pPr>
              <w:rPr>
                <w:sz w:val="20"/>
                <w:szCs w:val="20"/>
              </w:rPr>
            </w:pPr>
          </w:p>
        </w:tc>
        <w:tc>
          <w:tcPr>
            <w:tcW w:w="709" w:type="dxa"/>
            <w:tcBorders>
              <w:top w:val="nil"/>
              <w:left w:val="nil"/>
              <w:bottom w:val="nil"/>
              <w:right w:val="nil"/>
            </w:tcBorders>
            <w:shd w:val="clear" w:color="auto" w:fill="auto"/>
            <w:noWrap/>
            <w:vAlign w:val="bottom"/>
            <w:hideMark/>
          </w:tcPr>
          <w:p w14:paraId="176B03AB" w14:textId="77777777" w:rsidR="00387142" w:rsidRPr="008B6A75" w:rsidRDefault="00387142" w:rsidP="00387142">
            <w:pPr>
              <w:rPr>
                <w:sz w:val="20"/>
                <w:szCs w:val="20"/>
              </w:rPr>
            </w:pPr>
          </w:p>
        </w:tc>
        <w:tc>
          <w:tcPr>
            <w:tcW w:w="709" w:type="dxa"/>
            <w:tcBorders>
              <w:top w:val="nil"/>
              <w:left w:val="nil"/>
              <w:bottom w:val="nil"/>
              <w:right w:val="nil"/>
            </w:tcBorders>
            <w:shd w:val="clear" w:color="auto" w:fill="auto"/>
            <w:noWrap/>
            <w:vAlign w:val="bottom"/>
            <w:hideMark/>
          </w:tcPr>
          <w:p w14:paraId="7F788019" w14:textId="77777777" w:rsidR="00387142" w:rsidRPr="008B6A75" w:rsidRDefault="00387142" w:rsidP="00387142">
            <w:pPr>
              <w:rPr>
                <w:sz w:val="20"/>
                <w:szCs w:val="20"/>
              </w:rPr>
            </w:pPr>
          </w:p>
        </w:tc>
        <w:tc>
          <w:tcPr>
            <w:tcW w:w="1411" w:type="dxa"/>
            <w:tcBorders>
              <w:top w:val="nil"/>
              <w:left w:val="nil"/>
              <w:bottom w:val="nil"/>
              <w:right w:val="nil"/>
            </w:tcBorders>
            <w:shd w:val="clear" w:color="auto" w:fill="auto"/>
            <w:noWrap/>
            <w:vAlign w:val="bottom"/>
            <w:hideMark/>
          </w:tcPr>
          <w:p w14:paraId="4CD73C23" w14:textId="77777777" w:rsidR="00387142" w:rsidRPr="008B6A75" w:rsidRDefault="00387142" w:rsidP="00387142">
            <w:pPr>
              <w:rPr>
                <w:sz w:val="20"/>
                <w:szCs w:val="20"/>
              </w:rPr>
            </w:pPr>
          </w:p>
        </w:tc>
        <w:tc>
          <w:tcPr>
            <w:tcW w:w="955" w:type="dxa"/>
            <w:tcBorders>
              <w:top w:val="nil"/>
              <w:left w:val="nil"/>
              <w:bottom w:val="nil"/>
              <w:right w:val="nil"/>
            </w:tcBorders>
            <w:shd w:val="clear" w:color="auto" w:fill="auto"/>
            <w:noWrap/>
            <w:vAlign w:val="bottom"/>
            <w:hideMark/>
          </w:tcPr>
          <w:p w14:paraId="782AEAB2" w14:textId="77777777" w:rsidR="00387142" w:rsidRPr="008B6A75" w:rsidRDefault="00387142" w:rsidP="00387142">
            <w:pPr>
              <w:rPr>
                <w:sz w:val="20"/>
                <w:szCs w:val="20"/>
              </w:rPr>
            </w:pPr>
          </w:p>
        </w:tc>
        <w:tc>
          <w:tcPr>
            <w:tcW w:w="992" w:type="dxa"/>
            <w:tcBorders>
              <w:top w:val="nil"/>
              <w:left w:val="nil"/>
              <w:bottom w:val="nil"/>
              <w:right w:val="nil"/>
            </w:tcBorders>
            <w:shd w:val="clear" w:color="auto" w:fill="auto"/>
            <w:noWrap/>
            <w:vAlign w:val="center"/>
            <w:hideMark/>
          </w:tcPr>
          <w:p w14:paraId="217AA2A8" w14:textId="77777777" w:rsidR="00387142" w:rsidRPr="008B6A75" w:rsidRDefault="00387142" w:rsidP="00387142">
            <w:pPr>
              <w:rPr>
                <w:sz w:val="20"/>
                <w:szCs w:val="20"/>
              </w:rPr>
            </w:pPr>
          </w:p>
        </w:tc>
        <w:tc>
          <w:tcPr>
            <w:tcW w:w="992" w:type="dxa"/>
            <w:gridSpan w:val="2"/>
            <w:tcBorders>
              <w:top w:val="nil"/>
              <w:left w:val="nil"/>
              <w:bottom w:val="nil"/>
              <w:right w:val="nil"/>
            </w:tcBorders>
            <w:shd w:val="clear" w:color="auto" w:fill="auto"/>
            <w:noWrap/>
            <w:vAlign w:val="center"/>
            <w:hideMark/>
          </w:tcPr>
          <w:p w14:paraId="78BEC166" w14:textId="77777777" w:rsidR="00387142" w:rsidRPr="008B6A75" w:rsidRDefault="00387142" w:rsidP="00387142">
            <w:pPr>
              <w:jc w:val="right"/>
              <w:rPr>
                <w:sz w:val="20"/>
                <w:szCs w:val="20"/>
              </w:rPr>
            </w:pPr>
          </w:p>
        </w:tc>
        <w:tc>
          <w:tcPr>
            <w:tcW w:w="1277" w:type="dxa"/>
            <w:gridSpan w:val="2"/>
            <w:tcBorders>
              <w:top w:val="nil"/>
              <w:left w:val="nil"/>
              <w:bottom w:val="nil"/>
              <w:right w:val="nil"/>
            </w:tcBorders>
            <w:shd w:val="clear" w:color="auto" w:fill="auto"/>
            <w:noWrap/>
            <w:vAlign w:val="center"/>
            <w:hideMark/>
          </w:tcPr>
          <w:p w14:paraId="490E5300" w14:textId="77777777" w:rsidR="00387142" w:rsidRPr="008B6A75" w:rsidRDefault="00387142" w:rsidP="00387142">
            <w:pPr>
              <w:jc w:val="right"/>
              <w:rPr>
                <w:sz w:val="20"/>
                <w:szCs w:val="20"/>
              </w:rPr>
            </w:pPr>
          </w:p>
        </w:tc>
      </w:tr>
      <w:tr w:rsidR="00387142" w:rsidRPr="008B6A75" w14:paraId="70AF1A8F" w14:textId="77777777" w:rsidTr="00387142">
        <w:trPr>
          <w:gridAfter w:val="1"/>
          <w:wAfter w:w="222" w:type="dxa"/>
          <w:trHeight w:val="1110"/>
        </w:trPr>
        <w:tc>
          <w:tcPr>
            <w:tcW w:w="10916" w:type="dxa"/>
            <w:gridSpan w:val="11"/>
            <w:tcBorders>
              <w:top w:val="nil"/>
              <w:left w:val="nil"/>
              <w:bottom w:val="nil"/>
              <w:right w:val="nil"/>
            </w:tcBorders>
            <w:shd w:val="clear" w:color="auto" w:fill="auto"/>
            <w:noWrap/>
            <w:vAlign w:val="bottom"/>
            <w:hideMark/>
          </w:tcPr>
          <w:p w14:paraId="34350289" w14:textId="77777777" w:rsidR="00387142" w:rsidRPr="008B6A75" w:rsidRDefault="00387142" w:rsidP="00387142">
            <w:pPr>
              <w:jc w:val="center"/>
              <w:rPr>
                <w:bCs/>
                <w:sz w:val="20"/>
                <w:szCs w:val="20"/>
              </w:rPr>
            </w:pPr>
            <w:r w:rsidRPr="008B6A75">
              <w:rPr>
                <w:bCs/>
                <w:sz w:val="20"/>
                <w:szCs w:val="20"/>
              </w:rPr>
              <w:t>Ведомственная структура расходов бюджета Куйбышевского муниципального района на 2022 год и плановый период 2023 и 2024 годов</w:t>
            </w:r>
          </w:p>
        </w:tc>
      </w:tr>
      <w:tr w:rsidR="00387142" w:rsidRPr="008B6A75" w14:paraId="0F7BD3BD" w14:textId="77777777" w:rsidTr="00387142">
        <w:trPr>
          <w:gridAfter w:val="1"/>
          <w:wAfter w:w="222" w:type="dxa"/>
          <w:trHeight w:val="135"/>
        </w:trPr>
        <w:tc>
          <w:tcPr>
            <w:tcW w:w="3021" w:type="dxa"/>
            <w:tcBorders>
              <w:top w:val="nil"/>
              <w:left w:val="nil"/>
              <w:bottom w:val="nil"/>
              <w:right w:val="nil"/>
            </w:tcBorders>
            <w:shd w:val="clear" w:color="auto" w:fill="auto"/>
            <w:noWrap/>
            <w:vAlign w:val="bottom"/>
            <w:hideMark/>
          </w:tcPr>
          <w:p w14:paraId="089AC328" w14:textId="77777777" w:rsidR="00387142" w:rsidRPr="008B6A75" w:rsidRDefault="00387142" w:rsidP="00387142">
            <w:pPr>
              <w:jc w:val="center"/>
              <w:rPr>
                <w:bCs/>
                <w:sz w:val="20"/>
                <w:szCs w:val="20"/>
              </w:rPr>
            </w:pPr>
          </w:p>
        </w:tc>
        <w:tc>
          <w:tcPr>
            <w:tcW w:w="850" w:type="dxa"/>
            <w:tcBorders>
              <w:top w:val="nil"/>
              <w:left w:val="nil"/>
              <w:bottom w:val="nil"/>
              <w:right w:val="nil"/>
            </w:tcBorders>
            <w:shd w:val="clear" w:color="auto" w:fill="auto"/>
            <w:noWrap/>
            <w:vAlign w:val="bottom"/>
            <w:hideMark/>
          </w:tcPr>
          <w:p w14:paraId="343D9BE4" w14:textId="77777777" w:rsidR="00387142" w:rsidRPr="008B6A75" w:rsidRDefault="00387142" w:rsidP="00387142">
            <w:pPr>
              <w:rPr>
                <w:sz w:val="20"/>
                <w:szCs w:val="20"/>
              </w:rPr>
            </w:pPr>
          </w:p>
        </w:tc>
        <w:tc>
          <w:tcPr>
            <w:tcW w:w="709" w:type="dxa"/>
            <w:tcBorders>
              <w:top w:val="nil"/>
              <w:left w:val="nil"/>
              <w:bottom w:val="nil"/>
              <w:right w:val="nil"/>
            </w:tcBorders>
            <w:shd w:val="clear" w:color="auto" w:fill="auto"/>
            <w:noWrap/>
            <w:vAlign w:val="bottom"/>
            <w:hideMark/>
          </w:tcPr>
          <w:p w14:paraId="3A9242CF" w14:textId="77777777" w:rsidR="00387142" w:rsidRPr="008B6A75" w:rsidRDefault="00387142" w:rsidP="00387142">
            <w:pPr>
              <w:rPr>
                <w:sz w:val="20"/>
                <w:szCs w:val="20"/>
              </w:rPr>
            </w:pPr>
          </w:p>
        </w:tc>
        <w:tc>
          <w:tcPr>
            <w:tcW w:w="709" w:type="dxa"/>
            <w:tcBorders>
              <w:top w:val="nil"/>
              <w:left w:val="nil"/>
              <w:bottom w:val="nil"/>
              <w:right w:val="nil"/>
            </w:tcBorders>
            <w:shd w:val="clear" w:color="auto" w:fill="auto"/>
            <w:noWrap/>
            <w:vAlign w:val="bottom"/>
            <w:hideMark/>
          </w:tcPr>
          <w:p w14:paraId="1819D5E5" w14:textId="77777777" w:rsidR="00387142" w:rsidRPr="008B6A75" w:rsidRDefault="00387142" w:rsidP="00387142">
            <w:pPr>
              <w:rPr>
                <w:sz w:val="20"/>
                <w:szCs w:val="20"/>
              </w:rPr>
            </w:pPr>
          </w:p>
        </w:tc>
        <w:tc>
          <w:tcPr>
            <w:tcW w:w="1411" w:type="dxa"/>
            <w:tcBorders>
              <w:top w:val="nil"/>
              <w:left w:val="nil"/>
              <w:bottom w:val="nil"/>
              <w:right w:val="nil"/>
            </w:tcBorders>
            <w:shd w:val="clear" w:color="auto" w:fill="auto"/>
            <w:noWrap/>
            <w:vAlign w:val="bottom"/>
            <w:hideMark/>
          </w:tcPr>
          <w:p w14:paraId="322F6BBD" w14:textId="77777777" w:rsidR="00387142" w:rsidRPr="008B6A75" w:rsidRDefault="00387142" w:rsidP="00387142">
            <w:pPr>
              <w:rPr>
                <w:sz w:val="20"/>
                <w:szCs w:val="20"/>
              </w:rPr>
            </w:pPr>
          </w:p>
        </w:tc>
        <w:tc>
          <w:tcPr>
            <w:tcW w:w="955" w:type="dxa"/>
            <w:tcBorders>
              <w:top w:val="nil"/>
              <w:left w:val="nil"/>
              <w:bottom w:val="nil"/>
              <w:right w:val="nil"/>
            </w:tcBorders>
            <w:shd w:val="clear" w:color="auto" w:fill="auto"/>
            <w:noWrap/>
            <w:vAlign w:val="bottom"/>
            <w:hideMark/>
          </w:tcPr>
          <w:p w14:paraId="6044F851" w14:textId="77777777" w:rsidR="00387142" w:rsidRPr="008B6A75" w:rsidRDefault="00387142" w:rsidP="00387142">
            <w:pPr>
              <w:rPr>
                <w:sz w:val="20"/>
                <w:szCs w:val="20"/>
              </w:rPr>
            </w:pPr>
          </w:p>
        </w:tc>
        <w:tc>
          <w:tcPr>
            <w:tcW w:w="992" w:type="dxa"/>
            <w:tcBorders>
              <w:top w:val="nil"/>
              <w:left w:val="nil"/>
              <w:bottom w:val="nil"/>
              <w:right w:val="nil"/>
            </w:tcBorders>
            <w:shd w:val="clear" w:color="auto" w:fill="auto"/>
            <w:noWrap/>
            <w:vAlign w:val="bottom"/>
            <w:hideMark/>
          </w:tcPr>
          <w:p w14:paraId="50F72047" w14:textId="77777777" w:rsidR="00387142" w:rsidRPr="008B6A75" w:rsidRDefault="00387142" w:rsidP="00387142">
            <w:pPr>
              <w:rPr>
                <w:sz w:val="20"/>
                <w:szCs w:val="20"/>
              </w:rPr>
            </w:pPr>
          </w:p>
        </w:tc>
        <w:tc>
          <w:tcPr>
            <w:tcW w:w="992" w:type="dxa"/>
            <w:gridSpan w:val="2"/>
            <w:tcBorders>
              <w:top w:val="nil"/>
              <w:left w:val="nil"/>
              <w:bottom w:val="nil"/>
              <w:right w:val="nil"/>
            </w:tcBorders>
            <w:shd w:val="clear" w:color="auto" w:fill="auto"/>
            <w:noWrap/>
            <w:vAlign w:val="bottom"/>
            <w:hideMark/>
          </w:tcPr>
          <w:p w14:paraId="339E305D" w14:textId="77777777" w:rsidR="00387142" w:rsidRPr="008B6A75" w:rsidRDefault="00387142" w:rsidP="00387142">
            <w:pPr>
              <w:rPr>
                <w:sz w:val="20"/>
                <w:szCs w:val="20"/>
              </w:rPr>
            </w:pPr>
          </w:p>
        </w:tc>
        <w:tc>
          <w:tcPr>
            <w:tcW w:w="1277" w:type="dxa"/>
            <w:gridSpan w:val="2"/>
            <w:tcBorders>
              <w:top w:val="nil"/>
              <w:left w:val="nil"/>
              <w:bottom w:val="nil"/>
              <w:right w:val="nil"/>
            </w:tcBorders>
            <w:shd w:val="clear" w:color="auto" w:fill="auto"/>
            <w:noWrap/>
            <w:vAlign w:val="bottom"/>
            <w:hideMark/>
          </w:tcPr>
          <w:p w14:paraId="56B24131" w14:textId="77777777" w:rsidR="00387142" w:rsidRPr="008B6A75" w:rsidRDefault="00387142" w:rsidP="00387142">
            <w:pPr>
              <w:rPr>
                <w:sz w:val="20"/>
                <w:szCs w:val="20"/>
              </w:rPr>
            </w:pPr>
          </w:p>
        </w:tc>
      </w:tr>
      <w:tr w:rsidR="00387142" w:rsidRPr="008B6A75" w14:paraId="15E0ACBA" w14:textId="77777777" w:rsidTr="00387142">
        <w:trPr>
          <w:gridAfter w:val="1"/>
          <w:wAfter w:w="222" w:type="dxa"/>
          <w:trHeight w:val="255"/>
        </w:trPr>
        <w:tc>
          <w:tcPr>
            <w:tcW w:w="3021" w:type="dxa"/>
            <w:tcBorders>
              <w:top w:val="nil"/>
              <w:left w:val="nil"/>
              <w:bottom w:val="nil"/>
              <w:right w:val="nil"/>
            </w:tcBorders>
            <w:shd w:val="clear" w:color="auto" w:fill="auto"/>
            <w:noWrap/>
            <w:vAlign w:val="bottom"/>
            <w:hideMark/>
          </w:tcPr>
          <w:p w14:paraId="1C76B275" w14:textId="77777777" w:rsidR="00387142" w:rsidRPr="008B6A75" w:rsidRDefault="00387142" w:rsidP="00387142">
            <w:pPr>
              <w:rPr>
                <w:sz w:val="20"/>
                <w:szCs w:val="20"/>
              </w:rPr>
            </w:pPr>
          </w:p>
        </w:tc>
        <w:tc>
          <w:tcPr>
            <w:tcW w:w="850" w:type="dxa"/>
            <w:tcBorders>
              <w:top w:val="nil"/>
              <w:left w:val="nil"/>
              <w:bottom w:val="nil"/>
              <w:right w:val="nil"/>
            </w:tcBorders>
            <w:shd w:val="clear" w:color="auto" w:fill="auto"/>
            <w:noWrap/>
            <w:vAlign w:val="bottom"/>
            <w:hideMark/>
          </w:tcPr>
          <w:p w14:paraId="10A90035" w14:textId="77777777" w:rsidR="00387142" w:rsidRPr="008B6A75" w:rsidRDefault="00387142" w:rsidP="00387142">
            <w:pPr>
              <w:rPr>
                <w:sz w:val="20"/>
                <w:szCs w:val="20"/>
              </w:rPr>
            </w:pPr>
          </w:p>
        </w:tc>
        <w:tc>
          <w:tcPr>
            <w:tcW w:w="709" w:type="dxa"/>
            <w:tcBorders>
              <w:top w:val="nil"/>
              <w:left w:val="nil"/>
              <w:bottom w:val="nil"/>
              <w:right w:val="nil"/>
            </w:tcBorders>
            <w:shd w:val="clear" w:color="auto" w:fill="auto"/>
            <w:noWrap/>
            <w:vAlign w:val="bottom"/>
            <w:hideMark/>
          </w:tcPr>
          <w:p w14:paraId="3E79B298" w14:textId="77777777" w:rsidR="00387142" w:rsidRPr="008B6A75" w:rsidRDefault="00387142" w:rsidP="00387142">
            <w:pPr>
              <w:rPr>
                <w:sz w:val="20"/>
                <w:szCs w:val="20"/>
              </w:rPr>
            </w:pPr>
          </w:p>
        </w:tc>
        <w:tc>
          <w:tcPr>
            <w:tcW w:w="709" w:type="dxa"/>
            <w:tcBorders>
              <w:top w:val="nil"/>
              <w:left w:val="nil"/>
              <w:bottom w:val="nil"/>
              <w:right w:val="nil"/>
            </w:tcBorders>
            <w:shd w:val="clear" w:color="auto" w:fill="auto"/>
            <w:noWrap/>
            <w:vAlign w:val="bottom"/>
            <w:hideMark/>
          </w:tcPr>
          <w:p w14:paraId="5DC533AE" w14:textId="77777777" w:rsidR="00387142" w:rsidRPr="008B6A75" w:rsidRDefault="00387142" w:rsidP="00387142">
            <w:pPr>
              <w:rPr>
                <w:sz w:val="20"/>
                <w:szCs w:val="20"/>
              </w:rPr>
            </w:pPr>
          </w:p>
        </w:tc>
        <w:tc>
          <w:tcPr>
            <w:tcW w:w="1411" w:type="dxa"/>
            <w:tcBorders>
              <w:top w:val="nil"/>
              <w:left w:val="nil"/>
              <w:bottom w:val="nil"/>
              <w:right w:val="nil"/>
            </w:tcBorders>
            <w:shd w:val="clear" w:color="auto" w:fill="auto"/>
            <w:noWrap/>
            <w:vAlign w:val="bottom"/>
            <w:hideMark/>
          </w:tcPr>
          <w:p w14:paraId="715C7878" w14:textId="77777777" w:rsidR="00387142" w:rsidRPr="008B6A75" w:rsidRDefault="00387142" w:rsidP="00387142">
            <w:pPr>
              <w:rPr>
                <w:sz w:val="20"/>
                <w:szCs w:val="20"/>
              </w:rPr>
            </w:pPr>
          </w:p>
        </w:tc>
        <w:tc>
          <w:tcPr>
            <w:tcW w:w="955" w:type="dxa"/>
            <w:tcBorders>
              <w:top w:val="nil"/>
              <w:left w:val="nil"/>
              <w:bottom w:val="nil"/>
              <w:right w:val="nil"/>
            </w:tcBorders>
            <w:shd w:val="clear" w:color="auto" w:fill="auto"/>
            <w:noWrap/>
            <w:vAlign w:val="bottom"/>
            <w:hideMark/>
          </w:tcPr>
          <w:p w14:paraId="038680C5" w14:textId="77777777" w:rsidR="00387142" w:rsidRPr="008B6A75" w:rsidRDefault="00387142" w:rsidP="00387142">
            <w:pPr>
              <w:rPr>
                <w:sz w:val="20"/>
                <w:szCs w:val="20"/>
              </w:rPr>
            </w:pPr>
          </w:p>
        </w:tc>
        <w:tc>
          <w:tcPr>
            <w:tcW w:w="992" w:type="dxa"/>
            <w:tcBorders>
              <w:top w:val="nil"/>
              <w:left w:val="nil"/>
              <w:bottom w:val="nil"/>
              <w:right w:val="nil"/>
            </w:tcBorders>
            <w:shd w:val="clear" w:color="auto" w:fill="auto"/>
            <w:noWrap/>
            <w:vAlign w:val="bottom"/>
            <w:hideMark/>
          </w:tcPr>
          <w:p w14:paraId="5A06ABB4" w14:textId="77777777" w:rsidR="00387142" w:rsidRPr="008B6A75" w:rsidRDefault="00387142" w:rsidP="00387142">
            <w:pPr>
              <w:jc w:val="right"/>
              <w:rPr>
                <w:sz w:val="20"/>
                <w:szCs w:val="20"/>
              </w:rPr>
            </w:pPr>
            <w:r w:rsidRPr="008B6A75">
              <w:rPr>
                <w:sz w:val="20"/>
                <w:szCs w:val="20"/>
              </w:rPr>
              <w:t>руб.</w:t>
            </w:r>
          </w:p>
        </w:tc>
        <w:tc>
          <w:tcPr>
            <w:tcW w:w="992" w:type="dxa"/>
            <w:gridSpan w:val="2"/>
            <w:tcBorders>
              <w:top w:val="nil"/>
              <w:left w:val="nil"/>
              <w:bottom w:val="nil"/>
              <w:right w:val="nil"/>
            </w:tcBorders>
            <w:shd w:val="clear" w:color="auto" w:fill="auto"/>
            <w:noWrap/>
            <w:vAlign w:val="bottom"/>
            <w:hideMark/>
          </w:tcPr>
          <w:p w14:paraId="4CF603B0" w14:textId="77777777" w:rsidR="00387142" w:rsidRPr="008B6A75" w:rsidRDefault="00387142" w:rsidP="00387142">
            <w:pPr>
              <w:jc w:val="right"/>
              <w:rPr>
                <w:sz w:val="20"/>
                <w:szCs w:val="20"/>
              </w:rPr>
            </w:pPr>
          </w:p>
        </w:tc>
        <w:tc>
          <w:tcPr>
            <w:tcW w:w="1277" w:type="dxa"/>
            <w:gridSpan w:val="2"/>
            <w:tcBorders>
              <w:top w:val="nil"/>
              <w:left w:val="nil"/>
              <w:bottom w:val="nil"/>
              <w:right w:val="nil"/>
            </w:tcBorders>
            <w:shd w:val="clear" w:color="auto" w:fill="auto"/>
            <w:noWrap/>
            <w:vAlign w:val="bottom"/>
            <w:hideMark/>
          </w:tcPr>
          <w:p w14:paraId="14F854FA" w14:textId="77777777" w:rsidR="00387142" w:rsidRPr="008B6A75" w:rsidRDefault="00387142" w:rsidP="00387142">
            <w:pPr>
              <w:jc w:val="right"/>
              <w:rPr>
                <w:sz w:val="20"/>
                <w:szCs w:val="20"/>
              </w:rPr>
            </w:pPr>
          </w:p>
        </w:tc>
      </w:tr>
      <w:tr w:rsidR="00387142" w:rsidRPr="008B6A75" w14:paraId="35269EE1" w14:textId="77777777" w:rsidTr="00387142">
        <w:trPr>
          <w:gridAfter w:val="1"/>
          <w:wAfter w:w="222" w:type="dxa"/>
          <w:trHeight w:val="408"/>
        </w:trPr>
        <w:tc>
          <w:tcPr>
            <w:tcW w:w="302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4F0DFF" w14:textId="77777777" w:rsidR="00387142" w:rsidRPr="008B6A75" w:rsidRDefault="00387142" w:rsidP="00387142">
            <w:pPr>
              <w:jc w:val="center"/>
              <w:rPr>
                <w:bCs/>
                <w:sz w:val="20"/>
                <w:szCs w:val="20"/>
              </w:rPr>
            </w:pPr>
            <w:r w:rsidRPr="008B6A75">
              <w:rPr>
                <w:bCs/>
                <w:sz w:val="20"/>
                <w:szCs w:val="20"/>
              </w:rPr>
              <w:t>Наименование</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D8D2D7" w14:textId="77777777" w:rsidR="00387142" w:rsidRPr="008B6A75" w:rsidRDefault="00387142" w:rsidP="00387142">
            <w:pPr>
              <w:jc w:val="center"/>
              <w:rPr>
                <w:bCs/>
                <w:sz w:val="20"/>
                <w:szCs w:val="20"/>
              </w:rPr>
            </w:pPr>
            <w:r w:rsidRPr="008B6A75">
              <w:rPr>
                <w:bCs/>
                <w:sz w:val="20"/>
                <w:szCs w:val="20"/>
              </w:rPr>
              <w:t>ГРБС</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1D6ED4" w14:textId="77777777" w:rsidR="00387142" w:rsidRPr="008B6A75" w:rsidRDefault="00387142" w:rsidP="00387142">
            <w:pPr>
              <w:jc w:val="center"/>
              <w:rPr>
                <w:bCs/>
                <w:sz w:val="20"/>
                <w:szCs w:val="20"/>
              </w:rPr>
            </w:pPr>
            <w:r w:rsidRPr="008B6A75">
              <w:rPr>
                <w:bCs/>
                <w:sz w:val="20"/>
                <w:szCs w:val="20"/>
              </w:rPr>
              <w:t>РЗ</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3183FE" w14:textId="77777777" w:rsidR="00387142" w:rsidRPr="008B6A75" w:rsidRDefault="00387142" w:rsidP="00387142">
            <w:pPr>
              <w:jc w:val="center"/>
              <w:rPr>
                <w:bCs/>
                <w:sz w:val="20"/>
                <w:szCs w:val="20"/>
              </w:rPr>
            </w:pPr>
            <w:r w:rsidRPr="008B6A75">
              <w:rPr>
                <w:bCs/>
                <w:sz w:val="20"/>
                <w:szCs w:val="20"/>
              </w:rPr>
              <w:t>ПР</w:t>
            </w:r>
          </w:p>
        </w:tc>
        <w:tc>
          <w:tcPr>
            <w:tcW w:w="141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A1A453" w14:textId="77777777" w:rsidR="00387142" w:rsidRPr="008B6A75" w:rsidRDefault="00387142" w:rsidP="00387142">
            <w:pPr>
              <w:jc w:val="center"/>
              <w:rPr>
                <w:bCs/>
                <w:sz w:val="20"/>
                <w:szCs w:val="20"/>
              </w:rPr>
            </w:pPr>
            <w:r w:rsidRPr="008B6A75">
              <w:rPr>
                <w:bCs/>
                <w:sz w:val="20"/>
                <w:szCs w:val="20"/>
              </w:rPr>
              <w:t>КЦСР</w:t>
            </w:r>
          </w:p>
        </w:tc>
        <w:tc>
          <w:tcPr>
            <w:tcW w:w="95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2A0A6C" w14:textId="77777777" w:rsidR="00387142" w:rsidRPr="008B6A75" w:rsidRDefault="00387142" w:rsidP="00387142">
            <w:pPr>
              <w:jc w:val="center"/>
              <w:rPr>
                <w:bCs/>
                <w:sz w:val="20"/>
                <w:szCs w:val="20"/>
              </w:rPr>
            </w:pPr>
            <w:r w:rsidRPr="008B6A75">
              <w:rPr>
                <w:bCs/>
                <w:sz w:val="20"/>
                <w:szCs w:val="20"/>
              </w:rPr>
              <w:t>КВР</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4DEBE42" w14:textId="77777777" w:rsidR="00387142" w:rsidRPr="008B6A75" w:rsidRDefault="00387142" w:rsidP="00387142">
            <w:pPr>
              <w:jc w:val="center"/>
              <w:rPr>
                <w:bCs/>
                <w:sz w:val="20"/>
                <w:szCs w:val="20"/>
              </w:rPr>
            </w:pPr>
            <w:r w:rsidRPr="008B6A75">
              <w:rPr>
                <w:bCs/>
                <w:sz w:val="20"/>
                <w:szCs w:val="20"/>
              </w:rPr>
              <w:t>Сумма на 2022 год</w:t>
            </w:r>
          </w:p>
        </w:tc>
        <w:tc>
          <w:tcPr>
            <w:tcW w:w="992" w:type="dxa"/>
            <w:gridSpan w:val="2"/>
            <w:vMerge w:val="restart"/>
            <w:tcBorders>
              <w:top w:val="single" w:sz="4" w:space="0" w:color="auto"/>
              <w:left w:val="nil"/>
              <w:bottom w:val="single" w:sz="4" w:space="0" w:color="auto"/>
              <w:right w:val="single" w:sz="4" w:space="0" w:color="auto"/>
            </w:tcBorders>
            <w:shd w:val="clear" w:color="auto" w:fill="auto"/>
            <w:vAlign w:val="center"/>
            <w:hideMark/>
          </w:tcPr>
          <w:p w14:paraId="1035A878" w14:textId="77777777" w:rsidR="00387142" w:rsidRPr="008B6A75" w:rsidRDefault="00387142" w:rsidP="00387142">
            <w:pPr>
              <w:jc w:val="center"/>
              <w:rPr>
                <w:bCs/>
                <w:sz w:val="20"/>
                <w:szCs w:val="20"/>
              </w:rPr>
            </w:pPr>
            <w:r w:rsidRPr="008B6A75">
              <w:rPr>
                <w:bCs/>
                <w:sz w:val="20"/>
                <w:szCs w:val="20"/>
              </w:rPr>
              <w:t>Сумма на 2023 год</w:t>
            </w:r>
          </w:p>
        </w:tc>
        <w:tc>
          <w:tcPr>
            <w:tcW w:w="1277" w:type="dxa"/>
            <w:gridSpan w:val="2"/>
            <w:vMerge w:val="restart"/>
            <w:tcBorders>
              <w:top w:val="single" w:sz="4" w:space="0" w:color="auto"/>
              <w:left w:val="nil"/>
              <w:bottom w:val="single" w:sz="4" w:space="0" w:color="auto"/>
              <w:right w:val="single" w:sz="4" w:space="0" w:color="auto"/>
            </w:tcBorders>
            <w:shd w:val="clear" w:color="auto" w:fill="auto"/>
            <w:vAlign w:val="center"/>
            <w:hideMark/>
          </w:tcPr>
          <w:p w14:paraId="758CC9CC" w14:textId="77777777" w:rsidR="00387142" w:rsidRPr="008B6A75" w:rsidRDefault="00387142" w:rsidP="00387142">
            <w:pPr>
              <w:jc w:val="center"/>
              <w:rPr>
                <w:bCs/>
                <w:sz w:val="20"/>
                <w:szCs w:val="20"/>
              </w:rPr>
            </w:pPr>
            <w:r w:rsidRPr="008B6A75">
              <w:rPr>
                <w:bCs/>
                <w:sz w:val="20"/>
                <w:szCs w:val="20"/>
              </w:rPr>
              <w:t xml:space="preserve">Сумма на </w:t>
            </w:r>
            <w:proofErr w:type="gramStart"/>
            <w:r w:rsidRPr="008B6A75">
              <w:rPr>
                <w:bCs/>
                <w:sz w:val="20"/>
                <w:szCs w:val="20"/>
              </w:rPr>
              <w:t>2024  год</w:t>
            </w:r>
            <w:proofErr w:type="gramEnd"/>
          </w:p>
        </w:tc>
      </w:tr>
      <w:tr w:rsidR="00387142" w:rsidRPr="008B6A75" w14:paraId="5ADEF71B" w14:textId="77777777" w:rsidTr="00387142">
        <w:trPr>
          <w:trHeight w:val="360"/>
        </w:trPr>
        <w:tc>
          <w:tcPr>
            <w:tcW w:w="3021" w:type="dxa"/>
            <w:vMerge/>
            <w:tcBorders>
              <w:top w:val="single" w:sz="4" w:space="0" w:color="auto"/>
              <w:left w:val="single" w:sz="4" w:space="0" w:color="auto"/>
              <w:bottom w:val="single" w:sz="4" w:space="0" w:color="auto"/>
              <w:right w:val="single" w:sz="4" w:space="0" w:color="auto"/>
            </w:tcBorders>
            <w:vAlign w:val="center"/>
            <w:hideMark/>
          </w:tcPr>
          <w:p w14:paraId="25A9FCAD" w14:textId="77777777" w:rsidR="00387142" w:rsidRPr="008B6A75" w:rsidRDefault="00387142" w:rsidP="00387142">
            <w:pPr>
              <w:rPr>
                <w:bCs/>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054F31A6" w14:textId="77777777" w:rsidR="00387142" w:rsidRPr="008B6A75" w:rsidRDefault="00387142" w:rsidP="00387142">
            <w:pPr>
              <w:rPr>
                <w:bCs/>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4A3054A4" w14:textId="77777777" w:rsidR="00387142" w:rsidRPr="008B6A75" w:rsidRDefault="00387142" w:rsidP="00387142">
            <w:pPr>
              <w:rPr>
                <w:bCs/>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3B2BFF48" w14:textId="77777777" w:rsidR="00387142" w:rsidRPr="008B6A75" w:rsidRDefault="00387142" w:rsidP="00387142">
            <w:pPr>
              <w:rPr>
                <w:bCs/>
                <w:sz w:val="20"/>
                <w:szCs w:val="20"/>
              </w:rPr>
            </w:pPr>
          </w:p>
        </w:tc>
        <w:tc>
          <w:tcPr>
            <w:tcW w:w="1411" w:type="dxa"/>
            <w:vMerge/>
            <w:tcBorders>
              <w:top w:val="single" w:sz="4" w:space="0" w:color="auto"/>
              <w:left w:val="single" w:sz="4" w:space="0" w:color="auto"/>
              <w:bottom w:val="single" w:sz="4" w:space="0" w:color="auto"/>
              <w:right w:val="single" w:sz="4" w:space="0" w:color="auto"/>
            </w:tcBorders>
            <w:vAlign w:val="center"/>
            <w:hideMark/>
          </w:tcPr>
          <w:p w14:paraId="21ED2F9F" w14:textId="77777777" w:rsidR="00387142" w:rsidRPr="008B6A75" w:rsidRDefault="00387142" w:rsidP="00387142">
            <w:pPr>
              <w:rPr>
                <w:bCs/>
                <w:sz w:val="20"/>
                <w:szCs w:val="20"/>
              </w:rPr>
            </w:pPr>
          </w:p>
        </w:tc>
        <w:tc>
          <w:tcPr>
            <w:tcW w:w="955" w:type="dxa"/>
            <w:vMerge/>
            <w:tcBorders>
              <w:top w:val="single" w:sz="4" w:space="0" w:color="auto"/>
              <w:left w:val="single" w:sz="4" w:space="0" w:color="auto"/>
              <w:bottom w:val="single" w:sz="4" w:space="0" w:color="auto"/>
              <w:right w:val="single" w:sz="4" w:space="0" w:color="auto"/>
            </w:tcBorders>
            <w:vAlign w:val="center"/>
            <w:hideMark/>
          </w:tcPr>
          <w:p w14:paraId="23489EA9" w14:textId="77777777" w:rsidR="00387142" w:rsidRPr="008B6A75" w:rsidRDefault="00387142" w:rsidP="00387142">
            <w:pPr>
              <w:rPr>
                <w:bCs/>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3FB8034" w14:textId="77777777" w:rsidR="00387142" w:rsidRPr="008B6A75" w:rsidRDefault="00387142" w:rsidP="00387142">
            <w:pPr>
              <w:rPr>
                <w:bCs/>
                <w:sz w:val="20"/>
                <w:szCs w:val="20"/>
              </w:rPr>
            </w:pPr>
          </w:p>
        </w:tc>
        <w:tc>
          <w:tcPr>
            <w:tcW w:w="992" w:type="dxa"/>
            <w:gridSpan w:val="2"/>
            <w:vMerge/>
            <w:tcBorders>
              <w:top w:val="single" w:sz="4" w:space="0" w:color="auto"/>
              <w:left w:val="nil"/>
              <w:bottom w:val="single" w:sz="4" w:space="0" w:color="auto"/>
              <w:right w:val="single" w:sz="4" w:space="0" w:color="auto"/>
            </w:tcBorders>
            <w:vAlign w:val="center"/>
            <w:hideMark/>
          </w:tcPr>
          <w:p w14:paraId="52721751" w14:textId="77777777" w:rsidR="00387142" w:rsidRPr="008B6A75" w:rsidRDefault="00387142" w:rsidP="00387142">
            <w:pPr>
              <w:rPr>
                <w:bCs/>
                <w:sz w:val="20"/>
                <w:szCs w:val="20"/>
              </w:rPr>
            </w:pPr>
          </w:p>
        </w:tc>
        <w:tc>
          <w:tcPr>
            <w:tcW w:w="1277" w:type="dxa"/>
            <w:gridSpan w:val="2"/>
            <w:vMerge/>
            <w:tcBorders>
              <w:top w:val="single" w:sz="4" w:space="0" w:color="auto"/>
              <w:left w:val="nil"/>
              <w:bottom w:val="single" w:sz="4" w:space="0" w:color="auto"/>
              <w:right w:val="single" w:sz="4" w:space="0" w:color="auto"/>
            </w:tcBorders>
            <w:vAlign w:val="center"/>
            <w:hideMark/>
          </w:tcPr>
          <w:p w14:paraId="7DF562C0" w14:textId="77777777" w:rsidR="00387142" w:rsidRPr="008B6A75" w:rsidRDefault="00387142" w:rsidP="00387142">
            <w:pPr>
              <w:rPr>
                <w:bCs/>
                <w:sz w:val="20"/>
                <w:szCs w:val="20"/>
              </w:rPr>
            </w:pPr>
          </w:p>
        </w:tc>
        <w:tc>
          <w:tcPr>
            <w:tcW w:w="222" w:type="dxa"/>
            <w:tcBorders>
              <w:top w:val="nil"/>
              <w:left w:val="nil"/>
              <w:bottom w:val="nil"/>
              <w:right w:val="nil"/>
            </w:tcBorders>
            <w:shd w:val="clear" w:color="auto" w:fill="auto"/>
            <w:noWrap/>
            <w:vAlign w:val="bottom"/>
            <w:hideMark/>
          </w:tcPr>
          <w:p w14:paraId="49DA6845" w14:textId="77777777" w:rsidR="00387142" w:rsidRPr="008B6A75" w:rsidRDefault="00387142" w:rsidP="00387142">
            <w:pPr>
              <w:jc w:val="center"/>
              <w:rPr>
                <w:bCs/>
                <w:sz w:val="20"/>
                <w:szCs w:val="20"/>
              </w:rPr>
            </w:pPr>
          </w:p>
        </w:tc>
      </w:tr>
      <w:tr w:rsidR="00387142" w:rsidRPr="008B6A75" w14:paraId="0B29E545" w14:textId="77777777" w:rsidTr="00387142">
        <w:trPr>
          <w:trHeight w:val="300"/>
        </w:trPr>
        <w:tc>
          <w:tcPr>
            <w:tcW w:w="3021" w:type="dxa"/>
            <w:tcBorders>
              <w:top w:val="nil"/>
              <w:left w:val="single" w:sz="4" w:space="0" w:color="auto"/>
              <w:bottom w:val="single" w:sz="4" w:space="0" w:color="auto"/>
              <w:right w:val="single" w:sz="4" w:space="0" w:color="auto"/>
            </w:tcBorders>
            <w:shd w:val="clear" w:color="auto" w:fill="auto"/>
            <w:vAlign w:val="center"/>
            <w:hideMark/>
          </w:tcPr>
          <w:p w14:paraId="36BAB10F" w14:textId="77777777" w:rsidR="00387142" w:rsidRPr="008B6A75" w:rsidRDefault="00387142" w:rsidP="00387142">
            <w:pPr>
              <w:jc w:val="center"/>
              <w:rPr>
                <w:bCs/>
                <w:sz w:val="20"/>
                <w:szCs w:val="20"/>
              </w:rPr>
            </w:pPr>
            <w:r w:rsidRPr="008B6A75">
              <w:rPr>
                <w:bCs/>
                <w:sz w:val="20"/>
                <w:szCs w:val="20"/>
              </w:rPr>
              <w:t>1</w:t>
            </w:r>
          </w:p>
        </w:tc>
        <w:tc>
          <w:tcPr>
            <w:tcW w:w="850" w:type="dxa"/>
            <w:tcBorders>
              <w:top w:val="nil"/>
              <w:left w:val="nil"/>
              <w:bottom w:val="single" w:sz="4" w:space="0" w:color="auto"/>
              <w:right w:val="single" w:sz="4" w:space="0" w:color="auto"/>
            </w:tcBorders>
            <w:shd w:val="clear" w:color="auto" w:fill="auto"/>
            <w:vAlign w:val="center"/>
            <w:hideMark/>
          </w:tcPr>
          <w:p w14:paraId="332755A8" w14:textId="77777777" w:rsidR="00387142" w:rsidRPr="008B6A75" w:rsidRDefault="00387142" w:rsidP="00387142">
            <w:pPr>
              <w:jc w:val="center"/>
              <w:rPr>
                <w:bCs/>
                <w:sz w:val="20"/>
                <w:szCs w:val="20"/>
              </w:rPr>
            </w:pPr>
            <w:r w:rsidRPr="008B6A75">
              <w:rPr>
                <w:bCs/>
                <w:sz w:val="20"/>
                <w:szCs w:val="20"/>
              </w:rPr>
              <w:t>2</w:t>
            </w:r>
          </w:p>
        </w:tc>
        <w:tc>
          <w:tcPr>
            <w:tcW w:w="709" w:type="dxa"/>
            <w:tcBorders>
              <w:top w:val="nil"/>
              <w:left w:val="nil"/>
              <w:bottom w:val="single" w:sz="4" w:space="0" w:color="auto"/>
              <w:right w:val="single" w:sz="4" w:space="0" w:color="auto"/>
            </w:tcBorders>
            <w:shd w:val="clear" w:color="auto" w:fill="auto"/>
            <w:vAlign w:val="center"/>
            <w:hideMark/>
          </w:tcPr>
          <w:p w14:paraId="070DD345" w14:textId="77777777" w:rsidR="00387142" w:rsidRPr="008B6A75" w:rsidRDefault="00387142" w:rsidP="00387142">
            <w:pPr>
              <w:jc w:val="center"/>
              <w:rPr>
                <w:bCs/>
                <w:sz w:val="20"/>
                <w:szCs w:val="20"/>
              </w:rPr>
            </w:pPr>
            <w:r w:rsidRPr="008B6A75">
              <w:rPr>
                <w:bCs/>
                <w:sz w:val="20"/>
                <w:szCs w:val="20"/>
              </w:rPr>
              <w:t>3</w:t>
            </w:r>
          </w:p>
        </w:tc>
        <w:tc>
          <w:tcPr>
            <w:tcW w:w="709" w:type="dxa"/>
            <w:tcBorders>
              <w:top w:val="nil"/>
              <w:left w:val="nil"/>
              <w:bottom w:val="single" w:sz="4" w:space="0" w:color="auto"/>
              <w:right w:val="single" w:sz="4" w:space="0" w:color="auto"/>
            </w:tcBorders>
            <w:shd w:val="clear" w:color="auto" w:fill="auto"/>
            <w:vAlign w:val="center"/>
            <w:hideMark/>
          </w:tcPr>
          <w:p w14:paraId="386EAB40" w14:textId="77777777" w:rsidR="00387142" w:rsidRPr="008B6A75" w:rsidRDefault="00387142" w:rsidP="00387142">
            <w:pPr>
              <w:jc w:val="center"/>
              <w:rPr>
                <w:bCs/>
                <w:sz w:val="20"/>
                <w:szCs w:val="20"/>
              </w:rPr>
            </w:pPr>
            <w:r w:rsidRPr="008B6A75">
              <w:rPr>
                <w:bCs/>
                <w:sz w:val="20"/>
                <w:szCs w:val="20"/>
              </w:rPr>
              <w:t>4</w:t>
            </w:r>
          </w:p>
        </w:tc>
        <w:tc>
          <w:tcPr>
            <w:tcW w:w="1411" w:type="dxa"/>
            <w:tcBorders>
              <w:top w:val="nil"/>
              <w:left w:val="nil"/>
              <w:bottom w:val="single" w:sz="4" w:space="0" w:color="auto"/>
              <w:right w:val="single" w:sz="4" w:space="0" w:color="auto"/>
            </w:tcBorders>
            <w:shd w:val="clear" w:color="auto" w:fill="auto"/>
            <w:vAlign w:val="center"/>
            <w:hideMark/>
          </w:tcPr>
          <w:p w14:paraId="08AC7E09" w14:textId="77777777" w:rsidR="00387142" w:rsidRPr="008B6A75" w:rsidRDefault="00387142" w:rsidP="00387142">
            <w:pPr>
              <w:jc w:val="center"/>
              <w:rPr>
                <w:bCs/>
                <w:sz w:val="20"/>
                <w:szCs w:val="20"/>
              </w:rPr>
            </w:pPr>
            <w:r w:rsidRPr="008B6A75">
              <w:rPr>
                <w:bCs/>
                <w:sz w:val="20"/>
                <w:szCs w:val="20"/>
              </w:rPr>
              <w:t>5</w:t>
            </w:r>
          </w:p>
        </w:tc>
        <w:tc>
          <w:tcPr>
            <w:tcW w:w="955" w:type="dxa"/>
            <w:tcBorders>
              <w:top w:val="nil"/>
              <w:left w:val="nil"/>
              <w:bottom w:val="single" w:sz="4" w:space="0" w:color="auto"/>
              <w:right w:val="single" w:sz="4" w:space="0" w:color="auto"/>
            </w:tcBorders>
            <w:shd w:val="clear" w:color="auto" w:fill="auto"/>
            <w:vAlign w:val="center"/>
            <w:hideMark/>
          </w:tcPr>
          <w:p w14:paraId="5C6BD332" w14:textId="77777777" w:rsidR="00387142" w:rsidRPr="008B6A75" w:rsidRDefault="00387142" w:rsidP="00387142">
            <w:pPr>
              <w:jc w:val="center"/>
              <w:rPr>
                <w:bCs/>
                <w:sz w:val="20"/>
                <w:szCs w:val="20"/>
              </w:rPr>
            </w:pPr>
            <w:r w:rsidRPr="008B6A75">
              <w:rPr>
                <w:bCs/>
                <w:sz w:val="20"/>
                <w:szCs w:val="20"/>
              </w:rPr>
              <w:t>6</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2F91FA49" w14:textId="77777777" w:rsidR="00387142" w:rsidRPr="008B6A75" w:rsidRDefault="00387142" w:rsidP="00387142">
            <w:pPr>
              <w:jc w:val="center"/>
              <w:rPr>
                <w:bCs/>
                <w:sz w:val="20"/>
                <w:szCs w:val="20"/>
              </w:rPr>
            </w:pPr>
            <w:r w:rsidRPr="008B6A75">
              <w:rPr>
                <w:bCs/>
                <w:sz w:val="20"/>
                <w:szCs w:val="20"/>
              </w:rPr>
              <w:t>7</w:t>
            </w:r>
          </w:p>
        </w:tc>
        <w:tc>
          <w:tcPr>
            <w:tcW w:w="992" w:type="dxa"/>
            <w:gridSpan w:val="2"/>
            <w:tcBorders>
              <w:top w:val="nil"/>
              <w:left w:val="single" w:sz="4" w:space="0" w:color="auto"/>
              <w:bottom w:val="single" w:sz="4" w:space="0" w:color="auto"/>
              <w:right w:val="single" w:sz="4" w:space="0" w:color="auto"/>
            </w:tcBorders>
            <w:shd w:val="clear" w:color="auto" w:fill="auto"/>
            <w:vAlign w:val="center"/>
            <w:hideMark/>
          </w:tcPr>
          <w:p w14:paraId="0E3B8330" w14:textId="77777777" w:rsidR="00387142" w:rsidRPr="008B6A75" w:rsidRDefault="00387142" w:rsidP="00387142">
            <w:pPr>
              <w:jc w:val="center"/>
              <w:rPr>
                <w:bCs/>
                <w:sz w:val="20"/>
                <w:szCs w:val="20"/>
              </w:rPr>
            </w:pPr>
            <w:r w:rsidRPr="008B6A75">
              <w:rPr>
                <w:bCs/>
                <w:sz w:val="20"/>
                <w:szCs w:val="20"/>
              </w:rPr>
              <w:t>8</w:t>
            </w:r>
          </w:p>
        </w:tc>
        <w:tc>
          <w:tcPr>
            <w:tcW w:w="1277" w:type="dxa"/>
            <w:gridSpan w:val="2"/>
            <w:tcBorders>
              <w:top w:val="nil"/>
              <w:left w:val="nil"/>
              <w:bottom w:val="single" w:sz="4" w:space="0" w:color="auto"/>
              <w:right w:val="single" w:sz="4" w:space="0" w:color="auto"/>
            </w:tcBorders>
            <w:shd w:val="clear" w:color="auto" w:fill="auto"/>
            <w:vAlign w:val="center"/>
            <w:hideMark/>
          </w:tcPr>
          <w:p w14:paraId="1C24728D" w14:textId="77777777" w:rsidR="00387142" w:rsidRPr="008B6A75" w:rsidRDefault="00387142" w:rsidP="00387142">
            <w:pPr>
              <w:jc w:val="center"/>
              <w:rPr>
                <w:bCs/>
                <w:sz w:val="20"/>
                <w:szCs w:val="20"/>
              </w:rPr>
            </w:pPr>
            <w:r w:rsidRPr="008B6A75">
              <w:rPr>
                <w:bCs/>
                <w:sz w:val="20"/>
                <w:szCs w:val="20"/>
              </w:rPr>
              <w:t>9</w:t>
            </w:r>
          </w:p>
        </w:tc>
        <w:tc>
          <w:tcPr>
            <w:tcW w:w="222" w:type="dxa"/>
            <w:vAlign w:val="center"/>
            <w:hideMark/>
          </w:tcPr>
          <w:p w14:paraId="3D4B41D9" w14:textId="77777777" w:rsidR="00387142" w:rsidRPr="008B6A75" w:rsidRDefault="00387142" w:rsidP="00387142">
            <w:pPr>
              <w:rPr>
                <w:sz w:val="20"/>
                <w:szCs w:val="20"/>
              </w:rPr>
            </w:pPr>
          </w:p>
        </w:tc>
      </w:tr>
      <w:tr w:rsidR="00387142" w:rsidRPr="008B6A75" w14:paraId="6F72EA6C" w14:textId="77777777" w:rsidTr="00387142">
        <w:trPr>
          <w:trHeight w:val="870"/>
        </w:trPr>
        <w:tc>
          <w:tcPr>
            <w:tcW w:w="3021" w:type="dxa"/>
            <w:tcBorders>
              <w:top w:val="nil"/>
              <w:left w:val="single" w:sz="4" w:space="0" w:color="auto"/>
              <w:bottom w:val="nil"/>
              <w:right w:val="nil"/>
            </w:tcBorders>
            <w:shd w:val="clear" w:color="auto" w:fill="auto"/>
            <w:vAlign w:val="center"/>
            <w:hideMark/>
          </w:tcPr>
          <w:p w14:paraId="614D4DD3" w14:textId="77777777" w:rsidR="00387142" w:rsidRPr="008B6A75" w:rsidRDefault="00387142" w:rsidP="00387142">
            <w:pPr>
              <w:rPr>
                <w:bCs/>
                <w:sz w:val="20"/>
                <w:szCs w:val="20"/>
              </w:rPr>
            </w:pPr>
            <w:r w:rsidRPr="008B6A75">
              <w:rPr>
                <w:bCs/>
                <w:sz w:val="20"/>
                <w:szCs w:val="20"/>
              </w:rPr>
              <w:t>администрация Куйбышевского муниципального района Новосибирской области</w:t>
            </w:r>
          </w:p>
        </w:tc>
        <w:tc>
          <w:tcPr>
            <w:tcW w:w="850" w:type="dxa"/>
            <w:tcBorders>
              <w:top w:val="nil"/>
              <w:left w:val="single" w:sz="4" w:space="0" w:color="auto"/>
              <w:bottom w:val="nil"/>
              <w:right w:val="nil"/>
            </w:tcBorders>
            <w:shd w:val="clear" w:color="auto" w:fill="auto"/>
            <w:noWrap/>
            <w:vAlign w:val="center"/>
            <w:hideMark/>
          </w:tcPr>
          <w:p w14:paraId="6DAF759C" w14:textId="77777777" w:rsidR="00387142" w:rsidRPr="008B6A75" w:rsidRDefault="00387142" w:rsidP="00387142">
            <w:pPr>
              <w:jc w:val="center"/>
              <w:rPr>
                <w:bCs/>
                <w:sz w:val="20"/>
                <w:szCs w:val="20"/>
              </w:rPr>
            </w:pPr>
            <w:r w:rsidRPr="008B6A75">
              <w:rPr>
                <w:bCs/>
                <w:sz w:val="20"/>
                <w:szCs w:val="20"/>
              </w:rPr>
              <w:t>444</w:t>
            </w:r>
          </w:p>
        </w:tc>
        <w:tc>
          <w:tcPr>
            <w:tcW w:w="709" w:type="dxa"/>
            <w:tcBorders>
              <w:top w:val="nil"/>
              <w:left w:val="single" w:sz="4" w:space="0" w:color="auto"/>
              <w:bottom w:val="nil"/>
              <w:right w:val="nil"/>
            </w:tcBorders>
            <w:shd w:val="clear" w:color="auto" w:fill="auto"/>
            <w:noWrap/>
            <w:vAlign w:val="center"/>
            <w:hideMark/>
          </w:tcPr>
          <w:p w14:paraId="7F3FD954" w14:textId="77777777" w:rsidR="00387142" w:rsidRPr="008B6A75" w:rsidRDefault="00387142" w:rsidP="00387142">
            <w:pPr>
              <w:jc w:val="center"/>
              <w:rPr>
                <w:bCs/>
                <w:sz w:val="20"/>
                <w:szCs w:val="20"/>
              </w:rPr>
            </w:pPr>
            <w:r w:rsidRPr="008B6A75">
              <w:rPr>
                <w:bCs/>
                <w:sz w:val="20"/>
                <w:szCs w:val="20"/>
              </w:rPr>
              <w:t> </w:t>
            </w:r>
          </w:p>
        </w:tc>
        <w:tc>
          <w:tcPr>
            <w:tcW w:w="709" w:type="dxa"/>
            <w:tcBorders>
              <w:top w:val="nil"/>
              <w:left w:val="single" w:sz="4" w:space="0" w:color="auto"/>
              <w:bottom w:val="nil"/>
              <w:right w:val="single" w:sz="4" w:space="0" w:color="auto"/>
            </w:tcBorders>
            <w:shd w:val="clear" w:color="auto" w:fill="auto"/>
            <w:noWrap/>
            <w:vAlign w:val="center"/>
            <w:hideMark/>
          </w:tcPr>
          <w:p w14:paraId="4F816EDD" w14:textId="77777777" w:rsidR="00387142" w:rsidRPr="008B6A75" w:rsidRDefault="00387142" w:rsidP="00387142">
            <w:pPr>
              <w:jc w:val="center"/>
              <w:rPr>
                <w:bCs/>
                <w:sz w:val="20"/>
                <w:szCs w:val="20"/>
              </w:rPr>
            </w:pPr>
            <w:r w:rsidRPr="008B6A75">
              <w:rPr>
                <w:bCs/>
                <w:sz w:val="20"/>
                <w:szCs w:val="20"/>
              </w:rPr>
              <w:t> </w:t>
            </w:r>
          </w:p>
        </w:tc>
        <w:tc>
          <w:tcPr>
            <w:tcW w:w="1411" w:type="dxa"/>
            <w:tcBorders>
              <w:top w:val="nil"/>
              <w:left w:val="single" w:sz="4" w:space="0" w:color="auto"/>
              <w:bottom w:val="nil"/>
              <w:right w:val="nil"/>
            </w:tcBorders>
            <w:shd w:val="clear" w:color="auto" w:fill="auto"/>
            <w:noWrap/>
            <w:vAlign w:val="center"/>
            <w:hideMark/>
          </w:tcPr>
          <w:p w14:paraId="3386FE29" w14:textId="77777777" w:rsidR="00387142" w:rsidRPr="008B6A75" w:rsidRDefault="00387142" w:rsidP="00387142">
            <w:pPr>
              <w:jc w:val="center"/>
              <w:rPr>
                <w:bCs/>
                <w:sz w:val="20"/>
                <w:szCs w:val="20"/>
              </w:rPr>
            </w:pPr>
            <w:r w:rsidRPr="008B6A75">
              <w:rPr>
                <w:bCs/>
                <w:sz w:val="20"/>
                <w:szCs w:val="20"/>
              </w:rPr>
              <w:t> </w:t>
            </w:r>
          </w:p>
        </w:tc>
        <w:tc>
          <w:tcPr>
            <w:tcW w:w="955" w:type="dxa"/>
            <w:tcBorders>
              <w:top w:val="nil"/>
              <w:left w:val="single" w:sz="4" w:space="0" w:color="auto"/>
              <w:bottom w:val="nil"/>
              <w:right w:val="single" w:sz="4" w:space="0" w:color="auto"/>
            </w:tcBorders>
            <w:shd w:val="clear" w:color="auto" w:fill="auto"/>
            <w:noWrap/>
            <w:vAlign w:val="center"/>
            <w:hideMark/>
          </w:tcPr>
          <w:p w14:paraId="5CD1379F"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nil"/>
              <w:right w:val="single" w:sz="4" w:space="0" w:color="auto"/>
            </w:tcBorders>
            <w:shd w:val="clear" w:color="auto" w:fill="auto"/>
            <w:noWrap/>
            <w:vAlign w:val="center"/>
            <w:hideMark/>
          </w:tcPr>
          <w:p w14:paraId="614FA899" w14:textId="77777777" w:rsidR="00387142" w:rsidRPr="008B6A75" w:rsidRDefault="00387142" w:rsidP="00387142">
            <w:pPr>
              <w:jc w:val="right"/>
              <w:rPr>
                <w:bCs/>
                <w:sz w:val="20"/>
                <w:szCs w:val="20"/>
              </w:rPr>
            </w:pPr>
            <w:r w:rsidRPr="008B6A75">
              <w:rPr>
                <w:bCs/>
                <w:sz w:val="20"/>
                <w:szCs w:val="20"/>
              </w:rPr>
              <w:t>2 928 088 175,32</w:t>
            </w:r>
          </w:p>
        </w:tc>
        <w:tc>
          <w:tcPr>
            <w:tcW w:w="992" w:type="dxa"/>
            <w:gridSpan w:val="2"/>
            <w:tcBorders>
              <w:top w:val="nil"/>
              <w:left w:val="single" w:sz="4" w:space="0" w:color="auto"/>
              <w:bottom w:val="nil"/>
              <w:right w:val="nil"/>
            </w:tcBorders>
            <w:shd w:val="clear" w:color="auto" w:fill="auto"/>
            <w:noWrap/>
            <w:vAlign w:val="center"/>
            <w:hideMark/>
          </w:tcPr>
          <w:p w14:paraId="4803ED9E" w14:textId="77777777" w:rsidR="00387142" w:rsidRPr="008B6A75" w:rsidRDefault="00387142" w:rsidP="00387142">
            <w:pPr>
              <w:jc w:val="right"/>
              <w:rPr>
                <w:bCs/>
                <w:sz w:val="20"/>
                <w:szCs w:val="20"/>
              </w:rPr>
            </w:pPr>
            <w:r w:rsidRPr="008B6A75">
              <w:rPr>
                <w:bCs/>
                <w:sz w:val="20"/>
                <w:szCs w:val="20"/>
              </w:rPr>
              <w:t>1 950 517 508,60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59BF9FC9" w14:textId="77777777" w:rsidR="00387142" w:rsidRPr="008B6A75" w:rsidRDefault="00387142" w:rsidP="00387142">
            <w:pPr>
              <w:jc w:val="right"/>
              <w:rPr>
                <w:bCs/>
                <w:sz w:val="20"/>
                <w:szCs w:val="20"/>
              </w:rPr>
            </w:pPr>
            <w:r w:rsidRPr="008B6A75">
              <w:rPr>
                <w:bCs/>
                <w:sz w:val="20"/>
                <w:szCs w:val="20"/>
              </w:rPr>
              <w:t>1 844 646 600,06</w:t>
            </w:r>
          </w:p>
        </w:tc>
        <w:tc>
          <w:tcPr>
            <w:tcW w:w="222" w:type="dxa"/>
            <w:vAlign w:val="center"/>
            <w:hideMark/>
          </w:tcPr>
          <w:p w14:paraId="2761D69C" w14:textId="77777777" w:rsidR="00387142" w:rsidRPr="008B6A75" w:rsidRDefault="00387142" w:rsidP="00387142">
            <w:pPr>
              <w:rPr>
                <w:sz w:val="20"/>
                <w:szCs w:val="20"/>
              </w:rPr>
            </w:pPr>
          </w:p>
        </w:tc>
      </w:tr>
      <w:tr w:rsidR="00387142" w:rsidRPr="008B6A75" w14:paraId="4059CFC7" w14:textId="77777777" w:rsidTr="00387142">
        <w:trPr>
          <w:trHeight w:val="300"/>
        </w:trPr>
        <w:tc>
          <w:tcPr>
            <w:tcW w:w="3021" w:type="dxa"/>
            <w:tcBorders>
              <w:top w:val="single" w:sz="4" w:space="0" w:color="auto"/>
              <w:left w:val="single" w:sz="4" w:space="0" w:color="auto"/>
              <w:bottom w:val="nil"/>
              <w:right w:val="nil"/>
            </w:tcBorders>
            <w:shd w:val="clear" w:color="auto" w:fill="auto"/>
            <w:vAlign w:val="center"/>
            <w:hideMark/>
          </w:tcPr>
          <w:p w14:paraId="26982394" w14:textId="77777777" w:rsidR="00387142" w:rsidRPr="008B6A75" w:rsidRDefault="00387142" w:rsidP="00387142">
            <w:pPr>
              <w:rPr>
                <w:bCs/>
                <w:sz w:val="20"/>
                <w:szCs w:val="20"/>
              </w:rPr>
            </w:pPr>
            <w:r w:rsidRPr="008B6A75">
              <w:rPr>
                <w:bCs/>
                <w:sz w:val="20"/>
                <w:szCs w:val="20"/>
              </w:rPr>
              <w:t>ОБЩЕГОСУДАРСТВЕННЫЕ ВОПРОСЫ</w:t>
            </w:r>
          </w:p>
        </w:tc>
        <w:tc>
          <w:tcPr>
            <w:tcW w:w="850" w:type="dxa"/>
            <w:tcBorders>
              <w:top w:val="single" w:sz="4" w:space="0" w:color="auto"/>
              <w:left w:val="single" w:sz="4" w:space="0" w:color="auto"/>
              <w:bottom w:val="nil"/>
              <w:right w:val="nil"/>
            </w:tcBorders>
            <w:shd w:val="clear" w:color="auto" w:fill="auto"/>
            <w:noWrap/>
            <w:vAlign w:val="center"/>
            <w:hideMark/>
          </w:tcPr>
          <w:p w14:paraId="35999F6F" w14:textId="77777777" w:rsidR="00387142" w:rsidRPr="008B6A75" w:rsidRDefault="00387142" w:rsidP="00387142">
            <w:pPr>
              <w:jc w:val="center"/>
              <w:rPr>
                <w:bCs/>
                <w:sz w:val="20"/>
                <w:szCs w:val="20"/>
              </w:rPr>
            </w:pPr>
            <w:r w:rsidRPr="008B6A75">
              <w:rPr>
                <w:bCs/>
                <w:sz w:val="20"/>
                <w:szCs w:val="20"/>
              </w:rPr>
              <w:t>444</w:t>
            </w:r>
          </w:p>
        </w:tc>
        <w:tc>
          <w:tcPr>
            <w:tcW w:w="709" w:type="dxa"/>
            <w:tcBorders>
              <w:top w:val="single" w:sz="4" w:space="0" w:color="auto"/>
              <w:left w:val="single" w:sz="4" w:space="0" w:color="auto"/>
              <w:bottom w:val="nil"/>
              <w:right w:val="nil"/>
            </w:tcBorders>
            <w:shd w:val="clear" w:color="auto" w:fill="auto"/>
            <w:noWrap/>
            <w:vAlign w:val="center"/>
            <w:hideMark/>
          </w:tcPr>
          <w:p w14:paraId="618647C7" w14:textId="77777777" w:rsidR="00387142" w:rsidRPr="008B6A75" w:rsidRDefault="00387142" w:rsidP="00387142">
            <w:pPr>
              <w:jc w:val="center"/>
              <w:rPr>
                <w:bCs/>
                <w:sz w:val="20"/>
                <w:szCs w:val="20"/>
              </w:rPr>
            </w:pPr>
            <w:r w:rsidRPr="008B6A75">
              <w:rPr>
                <w:bCs/>
                <w:sz w:val="20"/>
                <w:szCs w:val="20"/>
              </w:rPr>
              <w:t>01</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777C910E" w14:textId="77777777" w:rsidR="00387142" w:rsidRPr="008B6A75" w:rsidRDefault="00387142" w:rsidP="00387142">
            <w:pPr>
              <w:jc w:val="center"/>
              <w:rPr>
                <w:bCs/>
                <w:sz w:val="20"/>
                <w:szCs w:val="20"/>
              </w:rPr>
            </w:pPr>
            <w:r w:rsidRPr="008B6A75">
              <w:rPr>
                <w:bCs/>
                <w:sz w:val="20"/>
                <w:szCs w:val="20"/>
              </w:rPr>
              <w:t> </w:t>
            </w:r>
          </w:p>
        </w:tc>
        <w:tc>
          <w:tcPr>
            <w:tcW w:w="1411" w:type="dxa"/>
            <w:tcBorders>
              <w:top w:val="single" w:sz="4" w:space="0" w:color="auto"/>
              <w:left w:val="single" w:sz="4" w:space="0" w:color="auto"/>
              <w:bottom w:val="nil"/>
              <w:right w:val="nil"/>
            </w:tcBorders>
            <w:shd w:val="clear" w:color="auto" w:fill="auto"/>
            <w:noWrap/>
            <w:vAlign w:val="center"/>
            <w:hideMark/>
          </w:tcPr>
          <w:p w14:paraId="00D5B848" w14:textId="77777777" w:rsidR="00387142" w:rsidRPr="008B6A75" w:rsidRDefault="00387142" w:rsidP="00387142">
            <w:pPr>
              <w:jc w:val="center"/>
              <w:rPr>
                <w:bCs/>
                <w:sz w:val="20"/>
                <w:szCs w:val="20"/>
              </w:rPr>
            </w:pPr>
            <w:r w:rsidRPr="008B6A75">
              <w:rPr>
                <w:bCs/>
                <w:sz w:val="20"/>
                <w:szCs w:val="20"/>
              </w:rPr>
              <w:t> </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220B4EBE" w14:textId="77777777" w:rsidR="00387142" w:rsidRPr="008B6A75" w:rsidRDefault="00387142" w:rsidP="00387142">
            <w:pPr>
              <w:jc w:val="center"/>
              <w:rPr>
                <w:bCs/>
                <w:sz w:val="20"/>
                <w:szCs w:val="20"/>
              </w:rPr>
            </w:pPr>
            <w:r w:rsidRPr="008B6A75">
              <w:rPr>
                <w:bCs/>
                <w:sz w:val="20"/>
                <w:szCs w:val="20"/>
              </w:rPr>
              <w:t> </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26D8856D" w14:textId="77777777" w:rsidR="00387142" w:rsidRPr="008B6A75" w:rsidRDefault="00387142" w:rsidP="00387142">
            <w:pPr>
              <w:jc w:val="right"/>
              <w:rPr>
                <w:bCs/>
                <w:sz w:val="20"/>
                <w:szCs w:val="20"/>
              </w:rPr>
            </w:pPr>
            <w:r w:rsidRPr="008B6A75">
              <w:rPr>
                <w:bCs/>
                <w:sz w:val="20"/>
                <w:szCs w:val="20"/>
              </w:rPr>
              <w:t>111 100 457,59</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5B8360A1" w14:textId="77777777" w:rsidR="00387142" w:rsidRPr="008B6A75" w:rsidRDefault="00387142" w:rsidP="00387142">
            <w:pPr>
              <w:jc w:val="right"/>
              <w:rPr>
                <w:bCs/>
                <w:sz w:val="20"/>
                <w:szCs w:val="20"/>
              </w:rPr>
            </w:pPr>
            <w:r w:rsidRPr="008B6A75">
              <w:rPr>
                <w:bCs/>
                <w:sz w:val="20"/>
                <w:szCs w:val="20"/>
              </w:rPr>
              <w:t>57 536 644,18</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5A1EE142" w14:textId="77777777" w:rsidR="00387142" w:rsidRPr="008B6A75" w:rsidRDefault="00387142" w:rsidP="00387142">
            <w:pPr>
              <w:jc w:val="right"/>
              <w:rPr>
                <w:bCs/>
                <w:sz w:val="20"/>
                <w:szCs w:val="20"/>
              </w:rPr>
            </w:pPr>
            <w:r w:rsidRPr="008B6A75">
              <w:rPr>
                <w:bCs/>
                <w:sz w:val="20"/>
                <w:szCs w:val="20"/>
              </w:rPr>
              <w:t>42 180 321,97</w:t>
            </w:r>
          </w:p>
        </w:tc>
        <w:tc>
          <w:tcPr>
            <w:tcW w:w="222" w:type="dxa"/>
            <w:vAlign w:val="center"/>
            <w:hideMark/>
          </w:tcPr>
          <w:p w14:paraId="6DB47E2F" w14:textId="77777777" w:rsidR="00387142" w:rsidRPr="008B6A75" w:rsidRDefault="00387142" w:rsidP="00387142">
            <w:pPr>
              <w:rPr>
                <w:sz w:val="20"/>
                <w:szCs w:val="20"/>
              </w:rPr>
            </w:pPr>
          </w:p>
        </w:tc>
      </w:tr>
      <w:tr w:rsidR="00387142" w:rsidRPr="008B6A75" w14:paraId="0D2EC639" w14:textId="77777777" w:rsidTr="00387142">
        <w:trPr>
          <w:trHeight w:val="870"/>
        </w:trPr>
        <w:tc>
          <w:tcPr>
            <w:tcW w:w="3021" w:type="dxa"/>
            <w:tcBorders>
              <w:top w:val="single" w:sz="4" w:space="0" w:color="auto"/>
              <w:left w:val="single" w:sz="4" w:space="0" w:color="auto"/>
              <w:bottom w:val="nil"/>
              <w:right w:val="nil"/>
            </w:tcBorders>
            <w:shd w:val="clear" w:color="auto" w:fill="auto"/>
            <w:vAlign w:val="center"/>
            <w:hideMark/>
          </w:tcPr>
          <w:p w14:paraId="5084E520" w14:textId="77777777" w:rsidR="00387142" w:rsidRPr="008B6A75" w:rsidRDefault="00387142" w:rsidP="00387142">
            <w:pPr>
              <w:rPr>
                <w:bCs/>
                <w:sz w:val="20"/>
                <w:szCs w:val="20"/>
              </w:rPr>
            </w:pPr>
            <w:r w:rsidRPr="008B6A75">
              <w:rPr>
                <w:bCs/>
                <w:sz w:val="20"/>
                <w:szCs w:val="20"/>
              </w:rPr>
              <w:t>Функционирование высшего должностного лица субъекта Российской Федерации и муниципального образования</w:t>
            </w:r>
          </w:p>
        </w:tc>
        <w:tc>
          <w:tcPr>
            <w:tcW w:w="850" w:type="dxa"/>
            <w:tcBorders>
              <w:top w:val="single" w:sz="4" w:space="0" w:color="auto"/>
              <w:left w:val="single" w:sz="4" w:space="0" w:color="auto"/>
              <w:bottom w:val="nil"/>
              <w:right w:val="nil"/>
            </w:tcBorders>
            <w:shd w:val="clear" w:color="auto" w:fill="auto"/>
            <w:noWrap/>
            <w:vAlign w:val="center"/>
            <w:hideMark/>
          </w:tcPr>
          <w:p w14:paraId="1556E2AE" w14:textId="77777777" w:rsidR="00387142" w:rsidRPr="008B6A75" w:rsidRDefault="00387142" w:rsidP="00387142">
            <w:pPr>
              <w:jc w:val="center"/>
              <w:rPr>
                <w:bCs/>
                <w:sz w:val="20"/>
                <w:szCs w:val="20"/>
              </w:rPr>
            </w:pPr>
            <w:r w:rsidRPr="008B6A75">
              <w:rPr>
                <w:bCs/>
                <w:sz w:val="20"/>
                <w:szCs w:val="20"/>
              </w:rPr>
              <w:t>444</w:t>
            </w:r>
          </w:p>
        </w:tc>
        <w:tc>
          <w:tcPr>
            <w:tcW w:w="709" w:type="dxa"/>
            <w:tcBorders>
              <w:top w:val="single" w:sz="4" w:space="0" w:color="auto"/>
              <w:left w:val="single" w:sz="4" w:space="0" w:color="auto"/>
              <w:bottom w:val="nil"/>
              <w:right w:val="nil"/>
            </w:tcBorders>
            <w:shd w:val="clear" w:color="auto" w:fill="auto"/>
            <w:noWrap/>
            <w:vAlign w:val="center"/>
            <w:hideMark/>
          </w:tcPr>
          <w:p w14:paraId="4142EFD3" w14:textId="77777777" w:rsidR="00387142" w:rsidRPr="008B6A75" w:rsidRDefault="00387142" w:rsidP="00387142">
            <w:pPr>
              <w:jc w:val="center"/>
              <w:rPr>
                <w:bCs/>
                <w:sz w:val="20"/>
                <w:szCs w:val="20"/>
              </w:rPr>
            </w:pPr>
            <w:r w:rsidRPr="008B6A75">
              <w:rPr>
                <w:bCs/>
                <w:sz w:val="20"/>
                <w:szCs w:val="20"/>
              </w:rPr>
              <w:t>01</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3FF7377C" w14:textId="77777777" w:rsidR="00387142" w:rsidRPr="008B6A75" w:rsidRDefault="00387142" w:rsidP="00387142">
            <w:pPr>
              <w:jc w:val="center"/>
              <w:rPr>
                <w:bCs/>
                <w:sz w:val="20"/>
                <w:szCs w:val="20"/>
              </w:rPr>
            </w:pPr>
            <w:r w:rsidRPr="008B6A75">
              <w:rPr>
                <w:bCs/>
                <w:sz w:val="20"/>
                <w:szCs w:val="20"/>
              </w:rPr>
              <w:t>02</w:t>
            </w:r>
          </w:p>
        </w:tc>
        <w:tc>
          <w:tcPr>
            <w:tcW w:w="1411" w:type="dxa"/>
            <w:tcBorders>
              <w:top w:val="single" w:sz="4" w:space="0" w:color="auto"/>
              <w:left w:val="single" w:sz="4" w:space="0" w:color="auto"/>
              <w:bottom w:val="nil"/>
              <w:right w:val="nil"/>
            </w:tcBorders>
            <w:shd w:val="clear" w:color="auto" w:fill="auto"/>
            <w:noWrap/>
            <w:vAlign w:val="center"/>
            <w:hideMark/>
          </w:tcPr>
          <w:p w14:paraId="0A1874FB" w14:textId="77777777" w:rsidR="00387142" w:rsidRPr="008B6A75" w:rsidRDefault="00387142" w:rsidP="00387142">
            <w:pPr>
              <w:jc w:val="center"/>
              <w:rPr>
                <w:bCs/>
                <w:sz w:val="20"/>
                <w:szCs w:val="20"/>
              </w:rPr>
            </w:pPr>
            <w:r w:rsidRPr="008B6A75">
              <w:rPr>
                <w:bCs/>
                <w:sz w:val="20"/>
                <w:szCs w:val="20"/>
              </w:rPr>
              <w:t> </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674C67FF" w14:textId="77777777" w:rsidR="00387142" w:rsidRPr="008B6A75" w:rsidRDefault="00387142" w:rsidP="00387142">
            <w:pPr>
              <w:jc w:val="center"/>
              <w:rPr>
                <w:bCs/>
                <w:sz w:val="20"/>
                <w:szCs w:val="20"/>
              </w:rPr>
            </w:pPr>
            <w:r w:rsidRPr="008B6A75">
              <w:rPr>
                <w:bCs/>
                <w:sz w:val="20"/>
                <w:szCs w:val="20"/>
              </w:rPr>
              <w:t> </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793E7EEB" w14:textId="77777777" w:rsidR="00387142" w:rsidRPr="008B6A75" w:rsidRDefault="00387142" w:rsidP="00387142">
            <w:pPr>
              <w:jc w:val="right"/>
              <w:rPr>
                <w:bCs/>
                <w:sz w:val="20"/>
                <w:szCs w:val="20"/>
              </w:rPr>
            </w:pPr>
            <w:r w:rsidRPr="008B6A75">
              <w:rPr>
                <w:bCs/>
                <w:sz w:val="20"/>
                <w:szCs w:val="20"/>
              </w:rPr>
              <w:t>4 465 990,45</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6D98030A" w14:textId="77777777" w:rsidR="00387142" w:rsidRPr="008B6A75" w:rsidRDefault="00387142" w:rsidP="00387142">
            <w:pPr>
              <w:jc w:val="right"/>
              <w:rPr>
                <w:bCs/>
                <w:sz w:val="20"/>
                <w:szCs w:val="20"/>
              </w:rPr>
            </w:pPr>
            <w:r w:rsidRPr="008B6A75">
              <w:rPr>
                <w:bCs/>
                <w:sz w:val="20"/>
                <w:szCs w:val="20"/>
              </w:rPr>
              <w:t>2 389 500,00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7BB998A1" w14:textId="77777777" w:rsidR="00387142" w:rsidRPr="008B6A75" w:rsidRDefault="00387142" w:rsidP="00387142">
            <w:pPr>
              <w:jc w:val="right"/>
              <w:rPr>
                <w:bCs/>
                <w:sz w:val="20"/>
                <w:szCs w:val="20"/>
              </w:rPr>
            </w:pPr>
            <w:r w:rsidRPr="008B6A75">
              <w:rPr>
                <w:bCs/>
                <w:sz w:val="20"/>
                <w:szCs w:val="20"/>
              </w:rPr>
              <w:t>2 389 500,00</w:t>
            </w:r>
          </w:p>
        </w:tc>
        <w:tc>
          <w:tcPr>
            <w:tcW w:w="222" w:type="dxa"/>
            <w:vAlign w:val="center"/>
            <w:hideMark/>
          </w:tcPr>
          <w:p w14:paraId="1A215E63" w14:textId="77777777" w:rsidR="00387142" w:rsidRPr="008B6A75" w:rsidRDefault="00387142" w:rsidP="00387142">
            <w:pPr>
              <w:rPr>
                <w:sz w:val="20"/>
                <w:szCs w:val="20"/>
              </w:rPr>
            </w:pPr>
          </w:p>
        </w:tc>
      </w:tr>
      <w:tr w:rsidR="00387142" w:rsidRPr="008B6A75" w14:paraId="3CF71222" w14:textId="77777777" w:rsidTr="00387142">
        <w:trPr>
          <w:trHeight w:val="300"/>
        </w:trPr>
        <w:tc>
          <w:tcPr>
            <w:tcW w:w="3021" w:type="dxa"/>
            <w:tcBorders>
              <w:top w:val="single" w:sz="4" w:space="0" w:color="auto"/>
              <w:left w:val="single" w:sz="4" w:space="0" w:color="auto"/>
              <w:bottom w:val="nil"/>
              <w:right w:val="nil"/>
            </w:tcBorders>
            <w:shd w:val="clear" w:color="auto" w:fill="auto"/>
            <w:vAlign w:val="center"/>
            <w:hideMark/>
          </w:tcPr>
          <w:p w14:paraId="56772C68" w14:textId="77777777" w:rsidR="00387142" w:rsidRPr="008B6A75" w:rsidRDefault="00387142" w:rsidP="00387142">
            <w:pPr>
              <w:rPr>
                <w:bCs/>
                <w:sz w:val="20"/>
                <w:szCs w:val="20"/>
              </w:rPr>
            </w:pPr>
            <w:r w:rsidRPr="008B6A75">
              <w:rPr>
                <w:bCs/>
                <w:sz w:val="20"/>
                <w:szCs w:val="20"/>
              </w:rPr>
              <w:t>Непрограммные направления бюджета</w:t>
            </w:r>
          </w:p>
        </w:tc>
        <w:tc>
          <w:tcPr>
            <w:tcW w:w="850" w:type="dxa"/>
            <w:tcBorders>
              <w:top w:val="single" w:sz="4" w:space="0" w:color="auto"/>
              <w:left w:val="single" w:sz="4" w:space="0" w:color="auto"/>
              <w:bottom w:val="nil"/>
              <w:right w:val="nil"/>
            </w:tcBorders>
            <w:shd w:val="clear" w:color="auto" w:fill="auto"/>
            <w:noWrap/>
            <w:vAlign w:val="center"/>
            <w:hideMark/>
          </w:tcPr>
          <w:p w14:paraId="34EF785C" w14:textId="77777777" w:rsidR="00387142" w:rsidRPr="008B6A75" w:rsidRDefault="00387142" w:rsidP="00387142">
            <w:pPr>
              <w:jc w:val="center"/>
              <w:rPr>
                <w:bCs/>
                <w:sz w:val="20"/>
                <w:szCs w:val="20"/>
              </w:rPr>
            </w:pPr>
            <w:r w:rsidRPr="008B6A75">
              <w:rPr>
                <w:bCs/>
                <w:sz w:val="20"/>
                <w:szCs w:val="20"/>
              </w:rPr>
              <w:t>444</w:t>
            </w:r>
          </w:p>
        </w:tc>
        <w:tc>
          <w:tcPr>
            <w:tcW w:w="709" w:type="dxa"/>
            <w:tcBorders>
              <w:top w:val="single" w:sz="4" w:space="0" w:color="auto"/>
              <w:left w:val="single" w:sz="4" w:space="0" w:color="auto"/>
              <w:bottom w:val="nil"/>
              <w:right w:val="nil"/>
            </w:tcBorders>
            <w:shd w:val="clear" w:color="auto" w:fill="auto"/>
            <w:noWrap/>
            <w:vAlign w:val="center"/>
            <w:hideMark/>
          </w:tcPr>
          <w:p w14:paraId="61E92E72" w14:textId="77777777" w:rsidR="00387142" w:rsidRPr="008B6A75" w:rsidRDefault="00387142" w:rsidP="00387142">
            <w:pPr>
              <w:jc w:val="center"/>
              <w:rPr>
                <w:bCs/>
                <w:sz w:val="20"/>
                <w:szCs w:val="20"/>
              </w:rPr>
            </w:pPr>
            <w:r w:rsidRPr="008B6A75">
              <w:rPr>
                <w:bCs/>
                <w:sz w:val="20"/>
                <w:szCs w:val="20"/>
              </w:rPr>
              <w:t>01</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49A7C120" w14:textId="77777777" w:rsidR="00387142" w:rsidRPr="008B6A75" w:rsidRDefault="00387142" w:rsidP="00387142">
            <w:pPr>
              <w:jc w:val="center"/>
              <w:rPr>
                <w:bCs/>
                <w:sz w:val="20"/>
                <w:szCs w:val="20"/>
              </w:rPr>
            </w:pPr>
            <w:r w:rsidRPr="008B6A75">
              <w:rPr>
                <w:bCs/>
                <w:sz w:val="20"/>
                <w:szCs w:val="20"/>
              </w:rPr>
              <w:t>02</w:t>
            </w:r>
          </w:p>
        </w:tc>
        <w:tc>
          <w:tcPr>
            <w:tcW w:w="1411" w:type="dxa"/>
            <w:tcBorders>
              <w:top w:val="single" w:sz="4" w:space="0" w:color="auto"/>
              <w:left w:val="single" w:sz="4" w:space="0" w:color="auto"/>
              <w:bottom w:val="nil"/>
              <w:right w:val="nil"/>
            </w:tcBorders>
            <w:shd w:val="clear" w:color="auto" w:fill="auto"/>
            <w:noWrap/>
            <w:vAlign w:val="center"/>
            <w:hideMark/>
          </w:tcPr>
          <w:p w14:paraId="43A8D02D" w14:textId="77777777" w:rsidR="00387142" w:rsidRPr="008B6A75" w:rsidRDefault="00387142" w:rsidP="00387142">
            <w:pPr>
              <w:jc w:val="center"/>
              <w:rPr>
                <w:bCs/>
                <w:sz w:val="20"/>
                <w:szCs w:val="20"/>
              </w:rPr>
            </w:pPr>
            <w:r w:rsidRPr="008B6A75">
              <w:rPr>
                <w:bCs/>
                <w:sz w:val="20"/>
                <w:szCs w:val="20"/>
              </w:rPr>
              <w:t>99.0.00.00000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3E47293C" w14:textId="77777777" w:rsidR="00387142" w:rsidRPr="008B6A75" w:rsidRDefault="00387142" w:rsidP="00387142">
            <w:pPr>
              <w:jc w:val="center"/>
              <w:rPr>
                <w:bCs/>
                <w:sz w:val="20"/>
                <w:szCs w:val="20"/>
              </w:rPr>
            </w:pPr>
            <w:r w:rsidRPr="008B6A75">
              <w:rPr>
                <w:bCs/>
                <w:sz w:val="20"/>
                <w:szCs w:val="20"/>
              </w:rPr>
              <w:t> </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4B05C94C" w14:textId="77777777" w:rsidR="00387142" w:rsidRPr="008B6A75" w:rsidRDefault="00387142" w:rsidP="00387142">
            <w:pPr>
              <w:jc w:val="right"/>
              <w:rPr>
                <w:bCs/>
                <w:sz w:val="20"/>
                <w:szCs w:val="20"/>
              </w:rPr>
            </w:pPr>
            <w:r w:rsidRPr="008B6A75">
              <w:rPr>
                <w:bCs/>
                <w:sz w:val="20"/>
                <w:szCs w:val="20"/>
              </w:rPr>
              <w:t>4 465 990,45</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38085508" w14:textId="77777777" w:rsidR="00387142" w:rsidRPr="008B6A75" w:rsidRDefault="00387142" w:rsidP="00387142">
            <w:pPr>
              <w:jc w:val="right"/>
              <w:rPr>
                <w:bCs/>
                <w:sz w:val="20"/>
                <w:szCs w:val="20"/>
              </w:rPr>
            </w:pPr>
            <w:r w:rsidRPr="008B6A75">
              <w:rPr>
                <w:bCs/>
                <w:sz w:val="20"/>
                <w:szCs w:val="20"/>
              </w:rPr>
              <w:t>2 389 500,00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32B2E761" w14:textId="77777777" w:rsidR="00387142" w:rsidRPr="008B6A75" w:rsidRDefault="00387142" w:rsidP="00387142">
            <w:pPr>
              <w:jc w:val="right"/>
              <w:rPr>
                <w:bCs/>
                <w:sz w:val="20"/>
                <w:szCs w:val="20"/>
              </w:rPr>
            </w:pPr>
            <w:r w:rsidRPr="008B6A75">
              <w:rPr>
                <w:bCs/>
                <w:sz w:val="20"/>
                <w:szCs w:val="20"/>
              </w:rPr>
              <w:t>2 389 500,00</w:t>
            </w:r>
          </w:p>
        </w:tc>
        <w:tc>
          <w:tcPr>
            <w:tcW w:w="222" w:type="dxa"/>
            <w:vAlign w:val="center"/>
            <w:hideMark/>
          </w:tcPr>
          <w:p w14:paraId="1463350E" w14:textId="77777777" w:rsidR="00387142" w:rsidRPr="008B6A75" w:rsidRDefault="00387142" w:rsidP="00387142">
            <w:pPr>
              <w:rPr>
                <w:sz w:val="20"/>
                <w:szCs w:val="20"/>
              </w:rPr>
            </w:pPr>
          </w:p>
        </w:tc>
      </w:tr>
      <w:tr w:rsidR="00387142" w:rsidRPr="008B6A75" w14:paraId="3C132E76" w14:textId="77777777" w:rsidTr="00387142">
        <w:trPr>
          <w:trHeight w:val="585"/>
        </w:trPr>
        <w:tc>
          <w:tcPr>
            <w:tcW w:w="3021" w:type="dxa"/>
            <w:tcBorders>
              <w:top w:val="single" w:sz="4" w:space="0" w:color="auto"/>
              <w:left w:val="single" w:sz="4" w:space="0" w:color="auto"/>
              <w:bottom w:val="nil"/>
              <w:right w:val="nil"/>
            </w:tcBorders>
            <w:shd w:val="clear" w:color="auto" w:fill="auto"/>
            <w:vAlign w:val="center"/>
            <w:hideMark/>
          </w:tcPr>
          <w:p w14:paraId="6D7F7718" w14:textId="77777777" w:rsidR="00387142" w:rsidRPr="008B6A75" w:rsidRDefault="00387142" w:rsidP="00387142">
            <w:pPr>
              <w:rPr>
                <w:bCs/>
                <w:sz w:val="20"/>
                <w:szCs w:val="20"/>
              </w:rPr>
            </w:pPr>
            <w:r w:rsidRPr="008B6A75">
              <w:rPr>
                <w:bCs/>
                <w:sz w:val="20"/>
                <w:szCs w:val="20"/>
              </w:rPr>
              <w:t>Высшее должностное лицо органа местного самоуправления</w:t>
            </w:r>
          </w:p>
        </w:tc>
        <w:tc>
          <w:tcPr>
            <w:tcW w:w="850" w:type="dxa"/>
            <w:tcBorders>
              <w:top w:val="single" w:sz="4" w:space="0" w:color="auto"/>
              <w:left w:val="single" w:sz="4" w:space="0" w:color="auto"/>
              <w:bottom w:val="nil"/>
              <w:right w:val="nil"/>
            </w:tcBorders>
            <w:shd w:val="clear" w:color="auto" w:fill="auto"/>
            <w:noWrap/>
            <w:vAlign w:val="center"/>
            <w:hideMark/>
          </w:tcPr>
          <w:p w14:paraId="4E08BE44" w14:textId="77777777" w:rsidR="00387142" w:rsidRPr="008B6A75" w:rsidRDefault="00387142" w:rsidP="00387142">
            <w:pPr>
              <w:jc w:val="center"/>
              <w:rPr>
                <w:bCs/>
                <w:sz w:val="20"/>
                <w:szCs w:val="20"/>
              </w:rPr>
            </w:pPr>
            <w:r w:rsidRPr="008B6A75">
              <w:rPr>
                <w:bCs/>
                <w:sz w:val="20"/>
                <w:szCs w:val="20"/>
              </w:rPr>
              <w:t>444</w:t>
            </w:r>
          </w:p>
        </w:tc>
        <w:tc>
          <w:tcPr>
            <w:tcW w:w="709" w:type="dxa"/>
            <w:tcBorders>
              <w:top w:val="single" w:sz="4" w:space="0" w:color="auto"/>
              <w:left w:val="single" w:sz="4" w:space="0" w:color="auto"/>
              <w:bottom w:val="nil"/>
              <w:right w:val="nil"/>
            </w:tcBorders>
            <w:shd w:val="clear" w:color="auto" w:fill="auto"/>
            <w:noWrap/>
            <w:vAlign w:val="center"/>
            <w:hideMark/>
          </w:tcPr>
          <w:p w14:paraId="40781BEE" w14:textId="77777777" w:rsidR="00387142" w:rsidRPr="008B6A75" w:rsidRDefault="00387142" w:rsidP="00387142">
            <w:pPr>
              <w:jc w:val="center"/>
              <w:rPr>
                <w:bCs/>
                <w:sz w:val="20"/>
                <w:szCs w:val="20"/>
              </w:rPr>
            </w:pPr>
            <w:r w:rsidRPr="008B6A75">
              <w:rPr>
                <w:bCs/>
                <w:sz w:val="20"/>
                <w:szCs w:val="20"/>
              </w:rPr>
              <w:t>01</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5AD46282" w14:textId="77777777" w:rsidR="00387142" w:rsidRPr="008B6A75" w:rsidRDefault="00387142" w:rsidP="00387142">
            <w:pPr>
              <w:jc w:val="center"/>
              <w:rPr>
                <w:bCs/>
                <w:sz w:val="20"/>
                <w:szCs w:val="20"/>
              </w:rPr>
            </w:pPr>
            <w:r w:rsidRPr="008B6A75">
              <w:rPr>
                <w:bCs/>
                <w:sz w:val="20"/>
                <w:szCs w:val="20"/>
              </w:rPr>
              <w:t>02</w:t>
            </w:r>
          </w:p>
        </w:tc>
        <w:tc>
          <w:tcPr>
            <w:tcW w:w="1411" w:type="dxa"/>
            <w:tcBorders>
              <w:top w:val="single" w:sz="4" w:space="0" w:color="auto"/>
              <w:left w:val="single" w:sz="4" w:space="0" w:color="auto"/>
              <w:bottom w:val="nil"/>
              <w:right w:val="nil"/>
            </w:tcBorders>
            <w:shd w:val="clear" w:color="auto" w:fill="auto"/>
            <w:noWrap/>
            <w:vAlign w:val="center"/>
            <w:hideMark/>
          </w:tcPr>
          <w:p w14:paraId="20D40865" w14:textId="77777777" w:rsidR="00387142" w:rsidRPr="008B6A75" w:rsidRDefault="00387142" w:rsidP="00387142">
            <w:pPr>
              <w:jc w:val="center"/>
              <w:rPr>
                <w:bCs/>
                <w:sz w:val="20"/>
                <w:szCs w:val="20"/>
              </w:rPr>
            </w:pPr>
            <w:r w:rsidRPr="008B6A75">
              <w:rPr>
                <w:bCs/>
                <w:sz w:val="20"/>
                <w:szCs w:val="20"/>
              </w:rPr>
              <w:t>99.0.00.01100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0152C524" w14:textId="77777777" w:rsidR="00387142" w:rsidRPr="008B6A75" w:rsidRDefault="00387142" w:rsidP="00387142">
            <w:pPr>
              <w:jc w:val="center"/>
              <w:rPr>
                <w:bCs/>
                <w:sz w:val="20"/>
                <w:szCs w:val="20"/>
              </w:rPr>
            </w:pPr>
            <w:r w:rsidRPr="008B6A75">
              <w:rPr>
                <w:bCs/>
                <w:sz w:val="20"/>
                <w:szCs w:val="20"/>
              </w:rPr>
              <w:t> </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5F619D44" w14:textId="77777777" w:rsidR="00387142" w:rsidRPr="008B6A75" w:rsidRDefault="00387142" w:rsidP="00387142">
            <w:pPr>
              <w:jc w:val="right"/>
              <w:rPr>
                <w:bCs/>
                <w:sz w:val="20"/>
                <w:szCs w:val="20"/>
              </w:rPr>
            </w:pPr>
            <w:r w:rsidRPr="008B6A75">
              <w:rPr>
                <w:bCs/>
                <w:sz w:val="20"/>
                <w:szCs w:val="20"/>
              </w:rPr>
              <w:t>2 602 591,20</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3EDB1378" w14:textId="77777777" w:rsidR="00387142" w:rsidRPr="008B6A75" w:rsidRDefault="00387142" w:rsidP="00387142">
            <w:pPr>
              <w:jc w:val="right"/>
              <w:rPr>
                <w:bCs/>
                <w:sz w:val="20"/>
                <w:szCs w:val="20"/>
              </w:rPr>
            </w:pPr>
            <w:r w:rsidRPr="008B6A75">
              <w:rPr>
                <w:bCs/>
                <w:sz w:val="20"/>
                <w:szCs w:val="20"/>
              </w:rPr>
              <w:t>2 389 500,00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7586B8C2" w14:textId="77777777" w:rsidR="00387142" w:rsidRPr="008B6A75" w:rsidRDefault="00387142" w:rsidP="00387142">
            <w:pPr>
              <w:jc w:val="right"/>
              <w:rPr>
                <w:bCs/>
                <w:sz w:val="20"/>
                <w:szCs w:val="20"/>
              </w:rPr>
            </w:pPr>
            <w:r w:rsidRPr="008B6A75">
              <w:rPr>
                <w:bCs/>
                <w:sz w:val="20"/>
                <w:szCs w:val="20"/>
              </w:rPr>
              <w:t>2 389 500,00</w:t>
            </w:r>
          </w:p>
        </w:tc>
        <w:tc>
          <w:tcPr>
            <w:tcW w:w="222" w:type="dxa"/>
            <w:vAlign w:val="center"/>
            <w:hideMark/>
          </w:tcPr>
          <w:p w14:paraId="4C6AE655" w14:textId="77777777" w:rsidR="00387142" w:rsidRPr="008B6A75" w:rsidRDefault="00387142" w:rsidP="00387142">
            <w:pPr>
              <w:rPr>
                <w:sz w:val="20"/>
                <w:szCs w:val="20"/>
              </w:rPr>
            </w:pPr>
          </w:p>
        </w:tc>
      </w:tr>
      <w:tr w:rsidR="00387142" w:rsidRPr="008B6A75" w14:paraId="6EC1EC8E" w14:textId="77777777" w:rsidTr="00387142">
        <w:trPr>
          <w:trHeight w:val="1440"/>
        </w:trPr>
        <w:tc>
          <w:tcPr>
            <w:tcW w:w="3021" w:type="dxa"/>
            <w:tcBorders>
              <w:top w:val="single" w:sz="4" w:space="0" w:color="auto"/>
              <w:left w:val="single" w:sz="4" w:space="0" w:color="auto"/>
              <w:bottom w:val="nil"/>
              <w:right w:val="nil"/>
            </w:tcBorders>
            <w:shd w:val="clear" w:color="auto" w:fill="auto"/>
            <w:vAlign w:val="center"/>
            <w:hideMark/>
          </w:tcPr>
          <w:p w14:paraId="46EA27B4" w14:textId="77777777" w:rsidR="00387142" w:rsidRPr="008B6A75" w:rsidRDefault="00387142" w:rsidP="00387142">
            <w:pPr>
              <w:rPr>
                <w:sz w:val="20"/>
                <w:szCs w:val="20"/>
              </w:rPr>
            </w:pPr>
            <w:r w:rsidRPr="008B6A7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nil"/>
              <w:right w:val="nil"/>
            </w:tcBorders>
            <w:shd w:val="clear" w:color="auto" w:fill="auto"/>
            <w:noWrap/>
            <w:vAlign w:val="center"/>
            <w:hideMark/>
          </w:tcPr>
          <w:p w14:paraId="2001FF22" w14:textId="77777777" w:rsidR="00387142" w:rsidRPr="008B6A75" w:rsidRDefault="00387142" w:rsidP="00387142">
            <w:pPr>
              <w:jc w:val="center"/>
              <w:rPr>
                <w:sz w:val="20"/>
                <w:szCs w:val="20"/>
              </w:rPr>
            </w:pPr>
            <w:r w:rsidRPr="008B6A75">
              <w:rPr>
                <w:sz w:val="20"/>
                <w:szCs w:val="20"/>
              </w:rPr>
              <w:t>444</w:t>
            </w:r>
          </w:p>
        </w:tc>
        <w:tc>
          <w:tcPr>
            <w:tcW w:w="709" w:type="dxa"/>
            <w:tcBorders>
              <w:top w:val="single" w:sz="4" w:space="0" w:color="auto"/>
              <w:left w:val="single" w:sz="4" w:space="0" w:color="auto"/>
              <w:bottom w:val="nil"/>
              <w:right w:val="nil"/>
            </w:tcBorders>
            <w:shd w:val="clear" w:color="auto" w:fill="auto"/>
            <w:noWrap/>
            <w:vAlign w:val="center"/>
            <w:hideMark/>
          </w:tcPr>
          <w:p w14:paraId="07A56D8F" w14:textId="77777777" w:rsidR="00387142" w:rsidRPr="008B6A75" w:rsidRDefault="00387142" w:rsidP="00387142">
            <w:pPr>
              <w:jc w:val="center"/>
              <w:rPr>
                <w:sz w:val="20"/>
                <w:szCs w:val="20"/>
              </w:rPr>
            </w:pPr>
            <w:r w:rsidRPr="008B6A75">
              <w:rPr>
                <w:sz w:val="20"/>
                <w:szCs w:val="20"/>
              </w:rPr>
              <w:t>01</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7068AEE2" w14:textId="77777777" w:rsidR="00387142" w:rsidRPr="008B6A75" w:rsidRDefault="00387142" w:rsidP="00387142">
            <w:pPr>
              <w:jc w:val="center"/>
              <w:rPr>
                <w:sz w:val="20"/>
                <w:szCs w:val="20"/>
              </w:rPr>
            </w:pPr>
            <w:r w:rsidRPr="008B6A75">
              <w:rPr>
                <w:sz w:val="20"/>
                <w:szCs w:val="20"/>
              </w:rPr>
              <w:t>02</w:t>
            </w:r>
          </w:p>
        </w:tc>
        <w:tc>
          <w:tcPr>
            <w:tcW w:w="1411" w:type="dxa"/>
            <w:tcBorders>
              <w:top w:val="single" w:sz="4" w:space="0" w:color="auto"/>
              <w:left w:val="single" w:sz="4" w:space="0" w:color="auto"/>
              <w:bottom w:val="nil"/>
              <w:right w:val="nil"/>
            </w:tcBorders>
            <w:shd w:val="clear" w:color="auto" w:fill="auto"/>
            <w:noWrap/>
            <w:vAlign w:val="center"/>
            <w:hideMark/>
          </w:tcPr>
          <w:p w14:paraId="7B0A0D2F" w14:textId="77777777" w:rsidR="00387142" w:rsidRPr="008B6A75" w:rsidRDefault="00387142" w:rsidP="00387142">
            <w:pPr>
              <w:jc w:val="center"/>
              <w:rPr>
                <w:sz w:val="20"/>
                <w:szCs w:val="20"/>
              </w:rPr>
            </w:pPr>
            <w:r w:rsidRPr="008B6A75">
              <w:rPr>
                <w:sz w:val="20"/>
                <w:szCs w:val="20"/>
              </w:rPr>
              <w:t>99.0.00.01100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4BA8B24B" w14:textId="77777777" w:rsidR="00387142" w:rsidRPr="008B6A75" w:rsidRDefault="00387142" w:rsidP="00387142">
            <w:pPr>
              <w:jc w:val="center"/>
              <w:rPr>
                <w:sz w:val="20"/>
                <w:szCs w:val="20"/>
              </w:rPr>
            </w:pPr>
            <w:r w:rsidRPr="008B6A75">
              <w:rPr>
                <w:sz w:val="20"/>
                <w:szCs w:val="20"/>
              </w:rPr>
              <w:t>100</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21CCC895" w14:textId="77777777" w:rsidR="00387142" w:rsidRPr="008B6A75" w:rsidRDefault="00387142" w:rsidP="00387142">
            <w:pPr>
              <w:jc w:val="right"/>
              <w:rPr>
                <w:sz w:val="20"/>
                <w:szCs w:val="20"/>
              </w:rPr>
            </w:pPr>
            <w:r w:rsidRPr="008B6A75">
              <w:rPr>
                <w:sz w:val="20"/>
                <w:szCs w:val="20"/>
              </w:rPr>
              <w:t>2 602 591,20</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4837ADBB" w14:textId="77777777" w:rsidR="00387142" w:rsidRPr="008B6A75" w:rsidRDefault="00387142" w:rsidP="00387142">
            <w:pPr>
              <w:jc w:val="right"/>
              <w:rPr>
                <w:sz w:val="20"/>
                <w:szCs w:val="20"/>
              </w:rPr>
            </w:pPr>
            <w:r w:rsidRPr="008B6A75">
              <w:rPr>
                <w:sz w:val="20"/>
                <w:szCs w:val="20"/>
              </w:rPr>
              <w:t>2 389 500,00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1B10C237" w14:textId="77777777" w:rsidR="00387142" w:rsidRPr="008B6A75" w:rsidRDefault="00387142" w:rsidP="00387142">
            <w:pPr>
              <w:jc w:val="right"/>
              <w:rPr>
                <w:sz w:val="20"/>
                <w:szCs w:val="20"/>
              </w:rPr>
            </w:pPr>
            <w:r w:rsidRPr="008B6A75">
              <w:rPr>
                <w:sz w:val="20"/>
                <w:szCs w:val="20"/>
              </w:rPr>
              <w:t>2 389 500,00</w:t>
            </w:r>
          </w:p>
        </w:tc>
        <w:tc>
          <w:tcPr>
            <w:tcW w:w="222" w:type="dxa"/>
            <w:vAlign w:val="center"/>
            <w:hideMark/>
          </w:tcPr>
          <w:p w14:paraId="6CF7854E" w14:textId="77777777" w:rsidR="00387142" w:rsidRPr="008B6A75" w:rsidRDefault="00387142" w:rsidP="00387142">
            <w:pPr>
              <w:rPr>
                <w:sz w:val="20"/>
                <w:szCs w:val="20"/>
              </w:rPr>
            </w:pPr>
          </w:p>
        </w:tc>
      </w:tr>
      <w:tr w:rsidR="00387142" w:rsidRPr="008B6A75" w14:paraId="0E35DEF2" w14:textId="77777777" w:rsidTr="00387142">
        <w:trPr>
          <w:trHeight w:val="585"/>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209D0118" w14:textId="77777777" w:rsidR="00387142" w:rsidRPr="008B6A75" w:rsidRDefault="00387142" w:rsidP="00387142">
            <w:pPr>
              <w:rPr>
                <w:sz w:val="20"/>
                <w:szCs w:val="20"/>
              </w:rPr>
            </w:pPr>
            <w:r w:rsidRPr="008B6A75">
              <w:rPr>
                <w:sz w:val="20"/>
                <w:szCs w:val="20"/>
              </w:rPr>
              <w:t>Расходы на выплаты персоналу государственных (муниципальных) органов</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423FB2C9" w14:textId="77777777" w:rsidR="00387142" w:rsidRPr="008B6A75" w:rsidRDefault="00387142" w:rsidP="00387142">
            <w:pPr>
              <w:jc w:val="center"/>
              <w:rPr>
                <w:sz w:val="20"/>
                <w:szCs w:val="20"/>
              </w:rPr>
            </w:pPr>
            <w:r w:rsidRPr="008B6A75">
              <w:rPr>
                <w:sz w:val="20"/>
                <w:szCs w:val="20"/>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20BAA449" w14:textId="77777777" w:rsidR="00387142" w:rsidRPr="008B6A75" w:rsidRDefault="00387142" w:rsidP="00387142">
            <w:pPr>
              <w:jc w:val="center"/>
              <w:rPr>
                <w:sz w:val="20"/>
                <w:szCs w:val="20"/>
              </w:rPr>
            </w:pPr>
            <w:r w:rsidRPr="008B6A75">
              <w:rPr>
                <w:sz w:val="20"/>
                <w:szCs w:val="20"/>
              </w:rPr>
              <w:t>01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3D4123" w14:textId="77777777" w:rsidR="00387142" w:rsidRPr="008B6A75" w:rsidRDefault="00387142" w:rsidP="00387142">
            <w:pPr>
              <w:jc w:val="center"/>
              <w:rPr>
                <w:sz w:val="20"/>
                <w:szCs w:val="20"/>
              </w:rPr>
            </w:pPr>
            <w:r w:rsidRPr="008B6A75">
              <w:rPr>
                <w:sz w:val="20"/>
                <w:szCs w:val="20"/>
              </w:rPr>
              <w:t>02</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4FF8B388" w14:textId="77777777" w:rsidR="00387142" w:rsidRPr="008B6A75" w:rsidRDefault="00387142" w:rsidP="00387142">
            <w:pPr>
              <w:jc w:val="center"/>
              <w:rPr>
                <w:sz w:val="20"/>
                <w:szCs w:val="20"/>
              </w:rPr>
            </w:pPr>
            <w:r w:rsidRPr="008B6A75">
              <w:rPr>
                <w:sz w:val="20"/>
                <w:szCs w:val="20"/>
              </w:rPr>
              <w:t>99.0.00.01100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0C3DC1" w14:textId="77777777" w:rsidR="00387142" w:rsidRPr="008B6A75" w:rsidRDefault="00387142" w:rsidP="00387142">
            <w:pPr>
              <w:jc w:val="center"/>
              <w:rPr>
                <w:sz w:val="20"/>
                <w:szCs w:val="20"/>
              </w:rPr>
            </w:pPr>
            <w:r w:rsidRPr="008B6A75">
              <w:rPr>
                <w:sz w:val="20"/>
                <w:szCs w:val="20"/>
              </w:rPr>
              <w:t>120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A9C451" w14:textId="77777777" w:rsidR="00387142" w:rsidRPr="008B6A75" w:rsidRDefault="00387142" w:rsidP="00387142">
            <w:pPr>
              <w:jc w:val="right"/>
              <w:rPr>
                <w:sz w:val="20"/>
                <w:szCs w:val="20"/>
              </w:rPr>
            </w:pPr>
            <w:r w:rsidRPr="008B6A75">
              <w:rPr>
                <w:sz w:val="20"/>
                <w:szCs w:val="20"/>
              </w:rPr>
              <w:t>2 602 591,20</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26DD41E7" w14:textId="77777777" w:rsidR="00387142" w:rsidRPr="008B6A75" w:rsidRDefault="00387142" w:rsidP="00387142">
            <w:pPr>
              <w:jc w:val="right"/>
              <w:rPr>
                <w:sz w:val="20"/>
                <w:szCs w:val="20"/>
              </w:rPr>
            </w:pPr>
            <w:r w:rsidRPr="008B6A75">
              <w:rPr>
                <w:sz w:val="20"/>
                <w:szCs w:val="20"/>
              </w:rPr>
              <w:t>2 389 500,00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35F2AB" w14:textId="77777777" w:rsidR="00387142" w:rsidRPr="008B6A75" w:rsidRDefault="00387142" w:rsidP="00387142">
            <w:pPr>
              <w:jc w:val="right"/>
              <w:rPr>
                <w:sz w:val="20"/>
                <w:szCs w:val="20"/>
              </w:rPr>
            </w:pPr>
            <w:r w:rsidRPr="008B6A75">
              <w:rPr>
                <w:sz w:val="20"/>
                <w:szCs w:val="20"/>
              </w:rPr>
              <w:t>2 389 500,00</w:t>
            </w:r>
          </w:p>
        </w:tc>
        <w:tc>
          <w:tcPr>
            <w:tcW w:w="222" w:type="dxa"/>
            <w:vAlign w:val="center"/>
            <w:hideMark/>
          </w:tcPr>
          <w:p w14:paraId="5DAB42FD" w14:textId="77777777" w:rsidR="00387142" w:rsidRPr="008B6A75" w:rsidRDefault="00387142" w:rsidP="00387142">
            <w:pPr>
              <w:rPr>
                <w:sz w:val="20"/>
                <w:szCs w:val="20"/>
              </w:rPr>
            </w:pPr>
          </w:p>
        </w:tc>
      </w:tr>
      <w:tr w:rsidR="00387142" w:rsidRPr="008B6A75" w14:paraId="5162F7A6" w14:textId="77777777" w:rsidTr="00387142">
        <w:trPr>
          <w:trHeight w:val="870"/>
        </w:trPr>
        <w:tc>
          <w:tcPr>
            <w:tcW w:w="3021" w:type="dxa"/>
            <w:tcBorders>
              <w:top w:val="nil"/>
              <w:left w:val="single" w:sz="4" w:space="0" w:color="auto"/>
              <w:bottom w:val="nil"/>
              <w:right w:val="nil"/>
            </w:tcBorders>
            <w:shd w:val="clear" w:color="auto" w:fill="auto"/>
            <w:vAlign w:val="center"/>
            <w:hideMark/>
          </w:tcPr>
          <w:p w14:paraId="43B6A721" w14:textId="77777777" w:rsidR="00387142" w:rsidRPr="008B6A75" w:rsidRDefault="00387142" w:rsidP="00387142">
            <w:pPr>
              <w:rPr>
                <w:bCs/>
                <w:sz w:val="20"/>
                <w:szCs w:val="20"/>
              </w:rPr>
            </w:pPr>
            <w:r w:rsidRPr="008B6A75">
              <w:rPr>
                <w:bCs/>
                <w:sz w:val="20"/>
                <w:szCs w:val="20"/>
              </w:rPr>
              <w:t>Средства, передаваемые местным бюджетам из резервного фонда Правительства Новосибирской области</w:t>
            </w:r>
          </w:p>
        </w:tc>
        <w:tc>
          <w:tcPr>
            <w:tcW w:w="850" w:type="dxa"/>
            <w:tcBorders>
              <w:top w:val="nil"/>
              <w:left w:val="single" w:sz="4" w:space="0" w:color="auto"/>
              <w:bottom w:val="nil"/>
              <w:right w:val="nil"/>
            </w:tcBorders>
            <w:shd w:val="clear" w:color="auto" w:fill="auto"/>
            <w:noWrap/>
            <w:vAlign w:val="center"/>
            <w:hideMark/>
          </w:tcPr>
          <w:p w14:paraId="51368630" w14:textId="77777777" w:rsidR="00387142" w:rsidRPr="008B6A75" w:rsidRDefault="00387142" w:rsidP="00387142">
            <w:pPr>
              <w:jc w:val="center"/>
              <w:rPr>
                <w:bCs/>
                <w:sz w:val="20"/>
                <w:szCs w:val="20"/>
              </w:rPr>
            </w:pPr>
            <w:r w:rsidRPr="008B6A75">
              <w:rPr>
                <w:bCs/>
                <w:sz w:val="20"/>
                <w:szCs w:val="20"/>
              </w:rPr>
              <w:t>444</w:t>
            </w:r>
          </w:p>
        </w:tc>
        <w:tc>
          <w:tcPr>
            <w:tcW w:w="709" w:type="dxa"/>
            <w:tcBorders>
              <w:top w:val="nil"/>
              <w:left w:val="single" w:sz="4" w:space="0" w:color="auto"/>
              <w:bottom w:val="nil"/>
              <w:right w:val="nil"/>
            </w:tcBorders>
            <w:shd w:val="clear" w:color="auto" w:fill="auto"/>
            <w:noWrap/>
            <w:vAlign w:val="center"/>
            <w:hideMark/>
          </w:tcPr>
          <w:p w14:paraId="33C6BA2D" w14:textId="77777777" w:rsidR="00387142" w:rsidRPr="008B6A75" w:rsidRDefault="00387142" w:rsidP="00387142">
            <w:pPr>
              <w:jc w:val="center"/>
              <w:rPr>
                <w:bCs/>
                <w:sz w:val="20"/>
                <w:szCs w:val="20"/>
              </w:rPr>
            </w:pPr>
            <w:r w:rsidRPr="008B6A75">
              <w:rPr>
                <w:bCs/>
                <w:sz w:val="20"/>
                <w:szCs w:val="20"/>
              </w:rPr>
              <w:t>01</w:t>
            </w:r>
          </w:p>
        </w:tc>
        <w:tc>
          <w:tcPr>
            <w:tcW w:w="709" w:type="dxa"/>
            <w:tcBorders>
              <w:top w:val="nil"/>
              <w:left w:val="single" w:sz="4" w:space="0" w:color="auto"/>
              <w:bottom w:val="nil"/>
              <w:right w:val="single" w:sz="4" w:space="0" w:color="auto"/>
            </w:tcBorders>
            <w:shd w:val="clear" w:color="auto" w:fill="auto"/>
            <w:noWrap/>
            <w:vAlign w:val="center"/>
            <w:hideMark/>
          </w:tcPr>
          <w:p w14:paraId="69E128E9" w14:textId="77777777" w:rsidR="00387142" w:rsidRPr="008B6A75" w:rsidRDefault="00387142" w:rsidP="00387142">
            <w:pPr>
              <w:jc w:val="center"/>
              <w:rPr>
                <w:bCs/>
                <w:sz w:val="20"/>
                <w:szCs w:val="20"/>
              </w:rPr>
            </w:pPr>
            <w:r w:rsidRPr="008B6A75">
              <w:rPr>
                <w:bCs/>
                <w:sz w:val="20"/>
                <w:szCs w:val="20"/>
              </w:rPr>
              <w:t>02</w:t>
            </w:r>
          </w:p>
        </w:tc>
        <w:tc>
          <w:tcPr>
            <w:tcW w:w="1411" w:type="dxa"/>
            <w:tcBorders>
              <w:top w:val="nil"/>
              <w:left w:val="single" w:sz="4" w:space="0" w:color="auto"/>
              <w:bottom w:val="nil"/>
              <w:right w:val="nil"/>
            </w:tcBorders>
            <w:shd w:val="clear" w:color="auto" w:fill="auto"/>
            <w:noWrap/>
            <w:vAlign w:val="center"/>
            <w:hideMark/>
          </w:tcPr>
          <w:p w14:paraId="7DEB674E" w14:textId="77777777" w:rsidR="00387142" w:rsidRPr="008B6A75" w:rsidRDefault="00387142" w:rsidP="00387142">
            <w:pPr>
              <w:jc w:val="center"/>
              <w:rPr>
                <w:bCs/>
                <w:sz w:val="20"/>
                <w:szCs w:val="20"/>
              </w:rPr>
            </w:pPr>
            <w:r w:rsidRPr="008B6A75">
              <w:rPr>
                <w:bCs/>
                <w:sz w:val="20"/>
                <w:szCs w:val="20"/>
              </w:rPr>
              <w:t>99.0.00.20540</w:t>
            </w:r>
          </w:p>
        </w:tc>
        <w:tc>
          <w:tcPr>
            <w:tcW w:w="955" w:type="dxa"/>
            <w:tcBorders>
              <w:top w:val="nil"/>
              <w:left w:val="single" w:sz="4" w:space="0" w:color="auto"/>
              <w:bottom w:val="nil"/>
              <w:right w:val="single" w:sz="4" w:space="0" w:color="auto"/>
            </w:tcBorders>
            <w:shd w:val="clear" w:color="auto" w:fill="auto"/>
            <w:noWrap/>
            <w:vAlign w:val="center"/>
            <w:hideMark/>
          </w:tcPr>
          <w:p w14:paraId="4AE7146B"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nil"/>
              <w:right w:val="single" w:sz="4" w:space="0" w:color="auto"/>
            </w:tcBorders>
            <w:shd w:val="clear" w:color="auto" w:fill="auto"/>
            <w:noWrap/>
            <w:vAlign w:val="center"/>
            <w:hideMark/>
          </w:tcPr>
          <w:p w14:paraId="1E073B18" w14:textId="77777777" w:rsidR="00387142" w:rsidRPr="008B6A75" w:rsidRDefault="00387142" w:rsidP="00387142">
            <w:pPr>
              <w:jc w:val="right"/>
              <w:rPr>
                <w:bCs/>
                <w:sz w:val="20"/>
                <w:szCs w:val="20"/>
              </w:rPr>
            </w:pPr>
            <w:r w:rsidRPr="008B6A75">
              <w:rPr>
                <w:bCs/>
                <w:sz w:val="20"/>
                <w:szCs w:val="20"/>
              </w:rPr>
              <w:t>784 860,00</w:t>
            </w:r>
          </w:p>
        </w:tc>
        <w:tc>
          <w:tcPr>
            <w:tcW w:w="992" w:type="dxa"/>
            <w:gridSpan w:val="2"/>
            <w:tcBorders>
              <w:top w:val="nil"/>
              <w:left w:val="single" w:sz="4" w:space="0" w:color="auto"/>
              <w:bottom w:val="nil"/>
              <w:right w:val="nil"/>
            </w:tcBorders>
            <w:shd w:val="clear" w:color="auto" w:fill="auto"/>
            <w:noWrap/>
            <w:vAlign w:val="center"/>
            <w:hideMark/>
          </w:tcPr>
          <w:p w14:paraId="1672C29E" w14:textId="77777777" w:rsidR="00387142" w:rsidRPr="008B6A75" w:rsidRDefault="00387142" w:rsidP="00387142">
            <w:pPr>
              <w:jc w:val="right"/>
              <w:rPr>
                <w:bCs/>
                <w:sz w:val="20"/>
                <w:szCs w:val="20"/>
              </w:rPr>
            </w:pPr>
            <w:r w:rsidRPr="008B6A75">
              <w:rPr>
                <w:bCs/>
                <w:sz w:val="20"/>
                <w:szCs w:val="20"/>
              </w:rPr>
              <w:t>0,00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4BA0D208" w14:textId="77777777" w:rsidR="00387142" w:rsidRPr="008B6A75" w:rsidRDefault="00387142" w:rsidP="00387142">
            <w:pPr>
              <w:jc w:val="right"/>
              <w:rPr>
                <w:bCs/>
                <w:sz w:val="20"/>
                <w:szCs w:val="20"/>
              </w:rPr>
            </w:pPr>
            <w:r w:rsidRPr="008B6A75">
              <w:rPr>
                <w:bCs/>
                <w:sz w:val="20"/>
                <w:szCs w:val="20"/>
              </w:rPr>
              <w:t>0,00</w:t>
            </w:r>
          </w:p>
        </w:tc>
        <w:tc>
          <w:tcPr>
            <w:tcW w:w="222" w:type="dxa"/>
            <w:vAlign w:val="center"/>
            <w:hideMark/>
          </w:tcPr>
          <w:p w14:paraId="73A6644E" w14:textId="77777777" w:rsidR="00387142" w:rsidRPr="008B6A75" w:rsidRDefault="00387142" w:rsidP="00387142">
            <w:pPr>
              <w:rPr>
                <w:sz w:val="20"/>
                <w:szCs w:val="20"/>
              </w:rPr>
            </w:pPr>
          </w:p>
        </w:tc>
      </w:tr>
      <w:tr w:rsidR="00387142" w:rsidRPr="008B6A75" w14:paraId="64679AE2" w14:textId="77777777" w:rsidTr="00387142">
        <w:trPr>
          <w:trHeight w:val="1905"/>
        </w:trPr>
        <w:tc>
          <w:tcPr>
            <w:tcW w:w="3021" w:type="dxa"/>
            <w:tcBorders>
              <w:top w:val="single" w:sz="4" w:space="0" w:color="auto"/>
              <w:left w:val="single" w:sz="4" w:space="0" w:color="auto"/>
              <w:bottom w:val="nil"/>
              <w:right w:val="nil"/>
            </w:tcBorders>
            <w:shd w:val="clear" w:color="auto" w:fill="auto"/>
            <w:vAlign w:val="center"/>
            <w:hideMark/>
          </w:tcPr>
          <w:p w14:paraId="5CC38A1F" w14:textId="77777777" w:rsidR="00387142" w:rsidRPr="008B6A75" w:rsidRDefault="00387142" w:rsidP="00387142">
            <w:pPr>
              <w:rPr>
                <w:sz w:val="20"/>
                <w:szCs w:val="20"/>
              </w:rPr>
            </w:pPr>
            <w:r w:rsidRPr="008B6A75">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nil"/>
              <w:right w:val="nil"/>
            </w:tcBorders>
            <w:shd w:val="clear" w:color="auto" w:fill="auto"/>
            <w:noWrap/>
            <w:vAlign w:val="center"/>
            <w:hideMark/>
          </w:tcPr>
          <w:p w14:paraId="5496B9E7" w14:textId="77777777" w:rsidR="00387142" w:rsidRPr="008B6A75" w:rsidRDefault="00387142" w:rsidP="00387142">
            <w:pPr>
              <w:jc w:val="center"/>
              <w:rPr>
                <w:sz w:val="20"/>
                <w:szCs w:val="20"/>
              </w:rPr>
            </w:pPr>
            <w:r w:rsidRPr="008B6A75">
              <w:rPr>
                <w:sz w:val="20"/>
                <w:szCs w:val="20"/>
              </w:rPr>
              <w:t>444</w:t>
            </w:r>
          </w:p>
        </w:tc>
        <w:tc>
          <w:tcPr>
            <w:tcW w:w="709" w:type="dxa"/>
            <w:tcBorders>
              <w:top w:val="single" w:sz="4" w:space="0" w:color="auto"/>
              <w:left w:val="single" w:sz="4" w:space="0" w:color="auto"/>
              <w:bottom w:val="nil"/>
              <w:right w:val="nil"/>
            </w:tcBorders>
            <w:shd w:val="clear" w:color="auto" w:fill="auto"/>
            <w:noWrap/>
            <w:vAlign w:val="center"/>
            <w:hideMark/>
          </w:tcPr>
          <w:p w14:paraId="3566A950" w14:textId="77777777" w:rsidR="00387142" w:rsidRPr="008B6A75" w:rsidRDefault="00387142" w:rsidP="00387142">
            <w:pPr>
              <w:jc w:val="center"/>
              <w:rPr>
                <w:sz w:val="20"/>
                <w:szCs w:val="20"/>
              </w:rPr>
            </w:pPr>
            <w:r w:rsidRPr="008B6A75">
              <w:rPr>
                <w:sz w:val="20"/>
                <w:szCs w:val="20"/>
              </w:rPr>
              <w:t>01</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3E7A2619" w14:textId="77777777" w:rsidR="00387142" w:rsidRPr="008B6A75" w:rsidRDefault="00387142" w:rsidP="00387142">
            <w:pPr>
              <w:jc w:val="center"/>
              <w:rPr>
                <w:sz w:val="20"/>
                <w:szCs w:val="20"/>
              </w:rPr>
            </w:pPr>
            <w:r w:rsidRPr="008B6A75">
              <w:rPr>
                <w:sz w:val="20"/>
                <w:szCs w:val="20"/>
              </w:rPr>
              <w:t>02</w:t>
            </w:r>
          </w:p>
        </w:tc>
        <w:tc>
          <w:tcPr>
            <w:tcW w:w="1411" w:type="dxa"/>
            <w:tcBorders>
              <w:top w:val="single" w:sz="4" w:space="0" w:color="auto"/>
              <w:left w:val="single" w:sz="4" w:space="0" w:color="auto"/>
              <w:bottom w:val="nil"/>
              <w:right w:val="nil"/>
            </w:tcBorders>
            <w:shd w:val="clear" w:color="auto" w:fill="auto"/>
            <w:noWrap/>
            <w:vAlign w:val="center"/>
            <w:hideMark/>
          </w:tcPr>
          <w:p w14:paraId="6F146439" w14:textId="77777777" w:rsidR="00387142" w:rsidRPr="008B6A75" w:rsidRDefault="00387142" w:rsidP="00387142">
            <w:pPr>
              <w:jc w:val="center"/>
              <w:rPr>
                <w:sz w:val="20"/>
                <w:szCs w:val="20"/>
              </w:rPr>
            </w:pPr>
            <w:r w:rsidRPr="008B6A75">
              <w:rPr>
                <w:sz w:val="20"/>
                <w:szCs w:val="20"/>
              </w:rPr>
              <w:t>99.0.00.20540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7C55C20F" w14:textId="77777777" w:rsidR="00387142" w:rsidRPr="008B6A75" w:rsidRDefault="00387142" w:rsidP="00387142">
            <w:pPr>
              <w:jc w:val="center"/>
              <w:rPr>
                <w:sz w:val="20"/>
                <w:szCs w:val="20"/>
              </w:rPr>
            </w:pPr>
            <w:r w:rsidRPr="008B6A75">
              <w:rPr>
                <w:sz w:val="20"/>
                <w:szCs w:val="20"/>
              </w:rPr>
              <w:t>100</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0102B443" w14:textId="77777777" w:rsidR="00387142" w:rsidRPr="008B6A75" w:rsidRDefault="00387142" w:rsidP="00387142">
            <w:pPr>
              <w:jc w:val="right"/>
              <w:rPr>
                <w:sz w:val="20"/>
                <w:szCs w:val="20"/>
              </w:rPr>
            </w:pPr>
            <w:r w:rsidRPr="008B6A75">
              <w:rPr>
                <w:sz w:val="20"/>
                <w:szCs w:val="20"/>
              </w:rPr>
              <w:t>784 860,00</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5FCA16B9" w14:textId="77777777" w:rsidR="00387142" w:rsidRPr="008B6A75" w:rsidRDefault="00387142" w:rsidP="00387142">
            <w:pPr>
              <w:jc w:val="right"/>
              <w:rPr>
                <w:sz w:val="20"/>
                <w:szCs w:val="20"/>
              </w:rPr>
            </w:pPr>
            <w:r w:rsidRPr="008B6A75">
              <w:rPr>
                <w:sz w:val="20"/>
                <w:szCs w:val="20"/>
              </w:rPr>
              <w:t>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66D6B3BD" w14:textId="77777777" w:rsidR="00387142" w:rsidRPr="008B6A75" w:rsidRDefault="00387142" w:rsidP="00387142">
            <w:pPr>
              <w:jc w:val="right"/>
              <w:rPr>
                <w:sz w:val="20"/>
                <w:szCs w:val="20"/>
              </w:rPr>
            </w:pPr>
            <w:r w:rsidRPr="008B6A75">
              <w:rPr>
                <w:sz w:val="20"/>
                <w:szCs w:val="20"/>
              </w:rPr>
              <w:t>0,00</w:t>
            </w:r>
          </w:p>
        </w:tc>
        <w:tc>
          <w:tcPr>
            <w:tcW w:w="222" w:type="dxa"/>
            <w:vAlign w:val="center"/>
            <w:hideMark/>
          </w:tcPr>
          <w:p w14:paraId="55BA3A9E" w14:textId="77777777" w:rsidR="00387142" w:rsidRPr="008B6A75" w:rsidRDefault="00387142" w:rsidP="00387142">
            <w:pPr>
              <w:rPr>
                <w:sz w:val="20"/>
                <w:szCs w:val="20"/>
              </w:rPr>
            </w:pPr>
          </w:p>
        </w:tc>
      </w:tr>
      <w:tr w:rsidR="00387142" w:rsidRPr="008B6A75" w14:paraId="18A3CD0A" w14:textId="77777777" w:rsidTr="00387142">
        <w:trPr>
          <w:trHeight w:val="645"/>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75ADC7FC" w14:textId="77777777" w:rsidR="00387142" w:rsidRPr="008B6A75" w:rsidRDefault="00387142" w:rsidP="00387142">
            <w:pPr>
              <w:rPr>
                <w:sz w:val="20"/>
                <w:szCs w:val="20"/>
              </w:rPr>
            </w:pPr>
            <w:r w:rsidRPr="008B6A75">
              <w:rPr>
                <w:sz w:val="20"/>
                <w:szCs w:val="20"/>
              </w:rPr>
              <w:t>Расходы на выплаты персоналу государственных (муниципальных) органов</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26DE005D" w14:textId="77777777" w:rsidR="00387142" w:rsidRPr="008B6A75" w:rsidRDefault="00387142" w:rsidP="00387142">
            <w:pPr>
              <w:jc w:val="center"/>
              <w:rPr>
                <w:sz w:val="20"/>
                <w:szCs w:val="20"/>
              </w:rPr>
            </w:pPr>
            <w:r w:rsidRPr="008B6A75">
              <w:rPr>
                <w:sz w:val="20"/>
                <w:szCs w:val="20"/>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2DC0C654" w14:textId="77777777" w:rsidR="00387142" w:rsidRPr="008B6A75" w:rsidRDefault="00387142" w:rsidP="00387142">
            <w:pPr>
              <w:jc w:val="center"/>
              <w:rPr>
                <w:sz w:val="20"/>
                <w:szCs w:val="20"/>
              </w:rPr>
            </w:pPr>
            <w:r w:rsidRPr="008B6A75">
              <w:rPr>
                <w:sz w:val="20"/>
                <w:szCs w:val="20"/>
              </w:rPr>
              <w:t>01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85567C" w14:textId="77777777" w:rsidR="00387142" w:rsidRPr="008B6A75" w:rsidRDefault="00387142" w:rsidP="00387142">
            <w:pPr>
              <w:jc w:val="center"/>
              <w:rPr>
                <w:sz w:val="20"/>
                <w:szCs w:val="20"/>
              </w:rPr>
            </w:pPr>
            <w:r w:rsidRPr="008B6A75">
              <w:rPr>
                <w:sz w:val="20"/>
                <w:szCs w:val="20"/>
              </w:rPr>
              <w:t>02</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3153C850" w14:textId="77777777" w:rsidR="00387142" w:rsidRPr="008B6A75" w:rsidRDefault="00387142" w:rsidP="00387142">
            <w:pPr>
              <w:jc w:val="center"/>
              <w:rPr>
                <w:sz w:val="20"/>
                <w:szCs w:val="20"/>
              </w:rPr>
            </w:pPr>
            <w:r w:rsidRPr="008B6A75">
              <w:rPr>
                <w:sz w:val="20"/>
                <w:szCs w:val="20"/>
              </w:rPr>
              <w:t>99.0.00.20540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3862CD" w14:textId="77777777" w:rsidR="00387142" w:rsidRPr="008B6A75" w:rsidRDefault="00387142" w:rsidP="00387142">
            <w:pPr>
              <w:jc w:val="center"/>
              <w:rPr>
                <w:sz w:val="20"/>
                <w:szCs w:val="20"/>
              </w:rPr>
            </w:pPr>
            <w:r w:rsidRPr="008B6A75">
              <w:rPr>
                <w:sz w:val="20"/>
                <w:szCs w:val="20"/>
              </w:rPr>
              <w:t>120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334616" w14:textId="77777777" w:rsidR="00387142" w:rsidRPr="008B6A75" w:rsidRDefault="00387142" w:rsidP="00387142">
            <w:pPr>
              <w:jc w:val="right"/>
              <w:rPr>
                <w:sz w:val="20"/>
                <w:szCs w:val="20"/>
              </w:rPr>
            </w:pPr>
            <w:r w:rsidRPr="008B6A75">
              <w:rPr>
                <w:sz w:val="20"/>
                <w:szCs w:val="20"/>
              </w:rPr>
              <w:t>784 860,00</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06149E53" w14:textId="77777777" w:rsidR="00387142" w:rsidRPr="008B6A75" w:rsidRDefault="00387142" w:rsidP="00387142">
            <w:pPr>
              <w:jc w:val="right"/>
              <w:rPr>
                <w:sz w:val="20"/>
                <w:szCs w:val="20"/>
              </w:rPr>
            </w:pPr>
            <w:r w:rsidRPr="008B6A75">
              <w:rPr>
                <w:sz w:val="20"/>
                <w:szCs w:val="20"/>
              </w:rPr>
              <w:t>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0A9205" w14:textId="77777777" w:rsidR="00387142" w:rsidRPr="008B6A75" w:rsidRDefault="00387142" w:rsidP="00387142">
            <w:pPr>
              <w:jc w:val="right"/>
              <w:rPr>
                <w:sz w:val="20"/>
                <w:szCs w:val="20"/>
              </w:rPr>
            </w:pPr>
            <w:r w:rsidRPr="008B6A75">
              <w:rPr>
                <w:sz w:val="20"/>
                <w:szCs w:val="20"/>
              </w:rPr>
              <w:t>0,00</w:t>
            </w:r>
          </w:p>
        </w:tc>
        <w:tc>
          <w:tcPr>
            <w:tcW w:w="222" w:type="dxa"/>
            <w:vAlign w:val="center"/>
            <w:hideMark/>
          </w:tcPr>
          <w:p w14:paraId="1090A8AE" w14:textId="77777777" w:rsidR="00387142" w:rsidRPr="008B6A75" w:rsidRDefault="00387142" w:rsidP="00387142">
            <w:pPr>
              <w:rPr>
                <w:sz w:val="20"/>
                <w:szCs w:val="20"/>
              </w:rPr>
            </w:pPr>
          </w:p>
        </w:tc>
      </w:tr>
      <w:tr w:rsidR="00387142" w:rsidRPr="008B6A75" w14:paraId="5E41E964" w14:textId="77777777" w:rsidTr="00387142">
        <w:trPr>
          <w:trHeight w:val="1440"/>
        </w:trPr>
        <w:tc>
          <w:tcPr>
            <w:tcW w:w="3021" w:type="dxa"/>
            <w:tcBorders>
              <w:top w:val="nil"/>
              <w:left w:val="single" w:sz="4" w:space="0" w:color="auto"/>
              <w:bottom w:val="nil"/>
              <w:right w:val="nil"/>
            </w:tcBorders>
            <w:shd w:val="clear" w:color="auto" w:fill="auto"/>
            <w:vAlign w:val="center"/>
            <w:hideMark/>
          </w:tcPr>
          <w:p w14:paraId="5EFDCA74" w14:textId="77777777" w:rsidR="00387142" w:rsidRPr="008B6A75" w:rsidRDefault="00387142" w:rsidP="00387142">
            <w:pPr>
              <w:rPr>
                <w:bCs/>
                <w:sz w:val="20"/>
                <w:szCs w:val="20"/>
              </w:rPr>
            </w:pPr>
            <w:r w:rsidRPr="008B6A75">
              <w:rPr>
                <w:bCs/>
                <w:sz w:val="20"/>
                <w:szCs w:val="20"/>
              </w:rPr>
              <w:t xml:space="preserve">Реализация мероприятий по обеспечению сбалансированности местных </w:t>
            </w:r>
            <w:proofErr w:type="gramStart"/>
            <w:r w:rsidRPr="008B6A75">
              <w:rPr>
                <w:bCs/>
                <w:sz w:val="20"/>
                <w:szCs w:val="20"/>
              </w:rPr>
              <w:t>бюджетов  государственной</w:t>
            </w:r>
            <w:proofErr w:type="gramEnd"/>
            <w:r w:rsidRPr="008B6A75">
              <w:rPr>
                <w:bCs/>
                <w:sz w:val="20"/>
                <w:szCs w:val="20"/>
              </w:rPr>
              <w:t xml:space="preserve"> программы Новосибирской области "Управление  финансами в Новосибирской области"</w:t>
            </w:r>
          </w:p>
        </w:tc>
        <w:tc>
          <w:tcPr>
            <w:tcW w:w="850" w:type="dxa"/>
            <w:tcBorders>
              <w:top w:val="nil"/>
              <w:left w:val="single" w:sz="4" w:space="0" w:color="auto"/>
              <w:bottom w:val="nil"/>
              <w:right w:val="nil"/>
            </w:tcBorders>
            <w:shd w:val="clear" w:color="auto" w:fill="auto"/>
            <w:noWrap/>
            <w:vAlign w:val="center"/>
            <w:hideMark/>
          </w:tcPr>
          <w:p w14:paraId="494CAB77" w14:textId="77777777" w:rsidR="00387142" w:rsidRPr="008B6A75" w:rsidRDefault="00387142" w:rsidP="00387142">
            <w:pPr>
              <w:jc w:val="center"/>
              <w:rPr>
                <w:bCs/>
                <w:sz w:val="20"/>
                <w:szCs w:val="20"/>
              </w:rPr>
            </w:pPr>
            <w:r w:rsidRPr="008B6A75">
              <w:rPr>
                <w:bCs/>
                <w:sz w:val="20"/>
                <w:szCs w:val="20"/>
              </w:rPr>
              <w:t>444</w:t>
            </w:r>
          </w:p>
        </w:tc>
        <w:tc>
          <w:tcPr>
            <w:tcW w:w="709" w:type="dxa"/>
            <w:tcBorders>
              <w:top w:val="nil"/>
              <w:left w:val="single" w:sz="4" w:space="0" w:color="auto"/>
              <w:bottom w:val="nil"/>
              <w:right w:val="nil"/>
            </w:tcBorders>
            <w:shd w:val="clear" w:color="auto" w:fill="auto"/>
            <w:noWrap/>
            <w:vAlign w:val="center"/>
            <w:hideMark/>
          </w:tcPr>
          <w:p w14:paraId="1D5AE094" w14:textId="77777777" w:rsidR="00387142" w:rsidRPr="008B6A75" w:rsidRDefault="00387142" w:rsidP="00387142">
            <w:pPr>
              <w:jc w:val="center"/>
              <w:rPr>
                <w:bCs/>
                <w:sz w:val="20"/>
                <w:szCs w:val="20"/>
              </w:rPr>
            </w:pPr>
            <w:r w:rsidRPr="008B6A75">
              <w:rPr>
                <w:bCs/>
                <w:sz w:val="20"/>
                <w:szCs w:val="20"/>
              </w:rPr>
              <w:t>01</w:t>
            </w:r>
          </w:p>
        </w:tc>
        <w:tc>
          <w:tcPr>
            <w:tcW w:w="709" w:type="dxa"/>
            <w:tcBorders>
              <w:top w:val="nil"/>
              <w:left w:val="single" w:sz="4" w:space="0" w:color="auto"/>
              <w:bottom w:val="nil"/>
              <w:right w:val="single" w:sz="4" w:space="0" w:color="auto"/>
            </w:tcBorders>
            <w:shd w:val="clear" w:color="auto" w:fill="auto"/>
            <w:noWrap/>
            <w:vAlign w:val="center"/>
            <w:hideMark/>
          </w:tcPr>
          <w:p w14:paraId="42665A45" w14:textId="77777777" w:rsidR="00387142" w:rsidRPr="008B6A75" w:rsidRDefault="00387142" w:rsidP="00387142">
            <w:pPr>
              <w:jc w:val="center"/>
              <w:rPr>
                <w:bCs/>
                <w:sz w:val="20"/>
                <w:szCs w:val="20"/>
              </w:rPr>
            </w:pPr>
            <w:r w:rsidRPr="008B6A75">
              <w:rPr>
                <w:bCs/>
                <w:sz w:val="20"/>
                <w:szCs w:val="20"/>
              </w:rPr>
              <w:t>02</w:t>
            </w:r>
          </w:p>
        </w:tc>
        <w:tc>
          <w:tcPr>
            <w:tcW w:w="1411" w:type="dxa"/>
            <w:tcBorders>
              <w:top w:val="nil"/>
              <w:left w:val="single" w:sz="4" w:space="0" w:color="auto"/>
              <w:bottom w:val="nil"/>
              <w:right w:val="nil"/>
            </w:tcBorders>
            <w:shd w:val="clear" w:color="auto" w:fill="auto"/>
            <w:noWrap/>
            <w:vAlign w:val="center"/>
            <w:hideMark/>
          </w:tcPr>
          <w:p w14:paraId="6BA1CE00" w14:textId="77777777" w:rsidR="00387142" w:rsidRPr="008B6A75" w:rsidRDefault="00387142" w:rsidP="00387142">
            <w:pPr>
              <w:jc w:val="center"/>
              <w:rPr>
                <w:bCs/>
                <w:sz w:val="20"/>
                <w:szCs w:val="20"/>
              </w:rPr>
            </w:pPr>
            <w:r w:rsidRPr="008B6A75">
              <w:rPr>
                <w:bCs/>
                <w:sz w:val="20"/>
                <w:szCs w:val="20"/>
              </w:rPr>
              <w:t>99.0.00.70510</w:t>
            </w:r>
          </w:p>
        </w:tc>
        <w:tc>
          <w:tcPr>
            <w:tcW w:w="955" w:type="dxa"/>
            <w:tcBorders>
              <w:top w:val="nil"/>
              <w:left w:val="single" w:sz="4" w:space="0" w:color="auto"/>
              <w:bottom w:val="nil"/>
              <w:right w:val="single" w:sz="4" w:space="0" w:color="auto"/>
            </w:tcBorders>
            <w:shd w:val="clear" w:color="auto" w:fill="auto"/>
            <w:noWrap/>
            <w:vAlign w:val="center"/>
            <w:hideMark/>
          </w:tcPr>
          <w:p w14:paraId="3968B409"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nil"/>
              <w:right w:val="single" w:sz="4" w:space="0" w:color="auto"/>
            </w:tcBorders>
            <w:shd w:val="clear" w:color="auto" w:fill="auto"/>
            <w:noWrap/>
            <w:vAlign w:val="center"/>
            <w:hideMark/>
          </w:tcPr>
          <w:p w14:paraId="00CF959D" w14:textId="77777777" w:rsidR="00387142" w:rsidRPr="008B6A75" w:rsidRDefault="00387142" w:rsidP="00387142">
            <w:pPr>
              <w:jc w:val="right"/>
              <w:rPr>
                <w:bCs/>
                <w:sz w:val="20"/>
                <w:szCs w:val="20"/>
              </w:rPr>
            </w:pPr>
            <w:r w:rsidRPr="008B6A75">
              <w:rPr>
                <w:bCs/>
                <w:sz w:val="20"/>
                <w:szCs w:val="20"/>
              </w:rPr>
              <w:t>1 078 539,25</w:t>
            </w:r>
          </w:p>
        </w:tc>
        <w:tc>
          <w:tcPr>
            <w:tcW w:w="992" w:type="dxa"/>
            <w:gridSpan w:val="2"/>
            <w:tcBorders>
              <w:top w:val="nil"/>
              <w:left w:val="single" w:sz="4" w:space="0" w:color="auto"/>
              <w:bottom w:val="nil"/>
              <w:right w:val="nil"/>
            </w:tcBorders>
            <w:shd w:val="clear" w:color="auto" w:fill="auto"/>
            <w:noWrap/>
            <w:vAlign w:val="center"/>
            <w:hideMark/>
          </w:tcPr>
          <w:p w14:paraId="36AB616E" w14:textId="77777777" w:rsidR="00387142" w:rsidRPr="008B6A75" w:rsidRDefault="00387142" w:rsidP="00387142">
            <w:pPr>
              <w:jc w:val="right"/>
              <w:rPr>
                <w:bCs/>
                <w:sz w:val="20"/>
                <w:szCs w:val="20"/>
              </w:rPr>
            </w:pPr>
            <w:r w:rsidRPr="008B6A75">
              <w:rPr>
                <w:bCs/>
                <w:sz w:val="20"/>
                <w:szCs w:val="20"/>
              </w:rPr>
              <w:t>0,00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67C5980B" w14:textId="77777777" w:rsidR="00387142" w:rsidRPr="008B6A75" w:rsidRDefault="00387142" w:rsidP="00387142">
            <w:pPr>
              <w:jc w:val="right"/>
              <w:rPr>
                <w:bCs/>
                <w:sz w:val="20"/>
                <w:szCs w:val="20"/>
              </w:rPr>
            </w:pPr>
            <w:r w:rsidRPr="008B6A75">
              <w:rPr>
                <w:bCs/>
                <w:sz w:val="20"/>
                <w:szCs w:val="20"/>
              </w:rPr>
              <w:t>0,00</w:t>
            </w:r>
          </w:p>
        </w:tc>
        <w:tc>
          <w:tcPr>
            <w:tcW w:w="222" w:type="dxa"/>
            <w:vAlign w:val="center"/>
            <w:hideMark/>
          </w:tcPr>
          <w:p w14:paraId="2266D68F" w14:textId="77777777" w:rsidR="00387142" w:rsidRPr="008B6A75" w:rsidRDefault="00387142" w:rsidP="00387142">
            <w:pPr>
              <w:rPr>
                <w:sz w:val="20"/>
                <w:szCs w:val="20"/>
              </w:rPr>
            </w:pPr>
          </w:p>
        </w:tc>
      </w:tr>
      <w:tr w:rsidR="00387142" w:rsidRPr="008B6A75" w14:paraId="6B84E44D" w14:textId="77777777" w:rsidTr="00387142">
        <w:trPr>
          <w:trHeight w:val="1440"/>
        </w:trPr>
        <w:tc>
          <w:tcPr>
            <w:tcW w:w="3021" w:type="dxa"/>
            <w:tcBorders>
              <w:top w:val="single" w:sz="4" w:space="0" w:color="auto"/>
              <w:left w:val="single" w:sz="4" w:space="0" w:color="auto"/>
              <w:bottom w:val="nil"/>
              <w:right w:val="nil"/>
            </w:tcBorders>
            <w:shd w:val="clear" w:color="auto" w:fill="auto"/>
            <w:vAlign w:val="center"/>
            <w:hideMark/>
          </w:tcPr>
          <w:p w14:paraId="21A37912" w14:textId="77777777" w:rsidR="00387142" w:rsidRPr="008B6A75" w:rsidRDefault="00387142" w:rsidP="00387142">
            <w:pPr>
              <w:rPr>
                <w:sz w:val="20"/>
                <w:szCs w:val="20"/>
              </w:rPr>
            </w:pPr>
            <w:r w:rsidRPr="008B6A7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nil"/>
              <w:right w:val="nil"/>
            </w:tcBorders>
            <w:shd w:val="clear" w:color="auto" w:fill="auto"/>
            <w:noWrap/>
            <w:vAlign w:val="center"/>
            <w:hideMark/>
          </w:tcPr>
          <w:p w14:paraId="176875EB" w14:textId="77777777" w:rsidR="00387142" w:rsidRPr="008B6A75" w:rsidRDefault="00387142" w:rsidP="00387142">
            <w:pPr>
              <w:jc w:val="center"/>
              <w:rPr>
                <w:sz w:val="20"/>
                <w:szCs w:val="20"/>
              </w:rPr>
            </w:pPr>
            <w:r w:rsidRPr="008B6A75">
              <w:rPr>
                <w:sz w:val="20"/>
                <w:szCs w:val="20"/>
              </w:rPr>
              <w:t>444</w:t>
            </w:r>
          </w:p>
        </w:tc>
        <w:tc>
          <w:tcPr>
            <w:tcW w:w="709" w:type="dxa"/>
            <w:tcBorders>
              <w:top w:val="single" w:sz="4" w:space="0" w:color="auto"/>
              <w:left w:val="single" w:sz="4" w:space="0" w:color="auto"/>
              <w:bottom w:val="nil"/>
              <w:right w:val="nil"/>
            </w:tcBorders>
            <w:shd w:val="clear" w:color="auto" w:fill="auto"/>
            <w:noWrap/>
            <w:vAlign w:val="center"/>
            <w:hideMark/>
          </w:tcPr>
          <w:p w14:paraId="1D806BB3" w14:textId="77777777" w:rsidR="00387142" w:rsidRPr="008B6A75" w:rsidRDefault="00387142" w:rsidP="00387142">
            <w:pPr>
              <w:jc w:val="center"/>
              <w:rPr>
                <w:sz w:val="20"/>
                <w:szCs w:val="20"/>
              </w:rPr>
            </w:pPr>
            <w:r w:rsidRPr="008B6A75">
              <w:rPr>
                <w:sz w:val="20"/>
                <w:szCs w:val="20"/>
              </w:rPr>
              <w:t>01</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62B075C3" w14:textId="77777777" w:rsidR="00387142" w:rsidRPr="008B6A75" w:rsidRDefault="00387142" w:rsidP="00387142">
            <w:pPr>
              <w:jc w:val="center"/>
              <w:rPr>
                <w:sz w:val="20"/>
                <w:szCs w:val="20"/>
              </w:rPr>
            </w:pPr>
            <w:r w:rsidRPr="008B6A75">
              <w:rPr>
                <w:sz w:val="20"/>
                <w:szCs w:val="20"/>
              </w:rPr>
              <w:t>02</w:t>
            </w:r>
          </w:p>
        </w:tc>
        <w:tc>
          <w:tcPr>
            <w:tcW w:w="1411" w:type="dxa"/>
            <w:tcBorders>
              <w:top w:val="single" w:sz="4" w:space="0" w:color="auto"/>
              <w:left w:val="single" w:sz="4" w:space="0" w:color="auto"/>
              <w:bottom w:val="nil"/>
              <w:right w:val="nil"/>
            </w:tcBorders>
            <w:shd w:val="clear" w:color="auto" w:fill="auto"/>
            <w:noWrap/>
            <w:vAlign w:val="center"/>
            <w:hideMark/>
          </w:tcPr>
          <w:p w14:paraId="26A29B79" w14:textId="77777777" w:rsidR="00387142" w:rsidRPr="008B6A75" w:rsidRDefault="00387142" w:rsidP="00387142">
            <w:pPr>
              <w:jc w:val="center"/>
              <w:rPr>
                <w:sz w:val="20"/>
                <w:szCs w:val="20"/>
              </w:rPr>
            </w:pPr>
            <w:r w:rsidRPr="008B6A75">
              <w:rPr>
                <w:sz w:val="20"/>
                <w:szCs w:val="20"/>
              </w:rPr>
              <w:t>99.0.00.70510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47333E6F" w14:textId="77777777" w:rsidR="00387142" w:rsidRPr="008B6A75" w:rsidRDefault="00387142" w:rsidP="00387142">
            <w:pPr>
              <w:jc w:val="center"/>
              <w:rPr>
                <w:sz w:val="20"/>
                <w:szCs w:val="20"/>
              </w:rPr>
            </w:pPr>
            <w:r w:rsidRPr="008B6A75">
              <w:rPr>
                <w:sz w:val="20"/>
                <w:szCs w:val="20"/>
              </w:rPr>
              <w:t>100</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13EEFB1F" w14:textId="77777777" w:rsidR="00387142" w:rsidRPr="008B6A75" w:rsidRDefault="00387142" w:rsidP="00387142">
            <w:pPr>
              <w:jc w:val="right"/>
              <w:rPr>
                <w:sz w:val="20"/>
                <w:szCs w:val="20"/>
              </w:rPr>
            </w:pPr>
            <w:r w:rsidRPr="008B6A75">
              <w:rPr>
                <w:sz w:val="20"/>
                <w:szCs w:val="20"/>
              </w:rPr>
              <w:t>1 078 539,25</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5224A316" w14:textId="77777777" w:rsidR="00387142" w:rsidRPr="008B6A75" w:rsidRDefault="00387142" w:rsidP="00387142">
            <w:pPr>
              <w:jc w:val="right"/>
              <w:rPr>
                <w:sz w:val="20"/>
                <w:szCs w:val="20"/>
              </w:rPr>
            </w:pPr>
            <w:r w:rsidRPr="008B6A75">
              <w:rPr>
                <w:sz w:val="20"/>
                <w:szCs w:val="20"/>
              </w:rPr>
              <w:t>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62916020" w14:textId="77777777" w:rsidR="00387142" w:rsidRPr="008B6A75" w:rsidRDefault="00387142" w:rsidP="00387142">
            <w:pPr>
              <w:jc w:val="right"/>
              <w:rPr>
                <w:sz w:val="20"/>
                <w:szCs w:val="20"/>
              </w:rPr>
            </w:pPr>
            <w:r w:rsidRPr="008B6A75">
              <w:rPr>
                <w:sz w:val="20"/>
                <w:szCs w:val="20"/>
              </w:rPr>
              <w:t>0,00</w:t>
            </w:r>
          </w:p>
        </w:tc>
        <w:tc>
          <w:tcPr>
            <w:tcW w:w="222" w:type="dxa"/>
            <w:vAlign w:val="center"/>
            <w:hideMark/>
          </w:tcPr>
          <w:p w14:paraId="7E21A35B" w14:textId="77777777" w:rsidR="00387142" w:rsidRPr="008B6A75" w:rsidRDefault="00387142" w:rsidP="00387142">
            <w:pPr>
              <w:rPr>
                <w:sz w:val="20"/>
                <w:szCs w:val="20"/>
              </w:rPr>
            </w:pPr>
          </w:p>
        </w:tc>
      </w:tr>
      <w:tr w:rsidR="00387142" w:rsidRPr="008B6A75" w14:paraId="37576117" w14:textId="77777777" w:rsidTr="00387142">
        <w:trPr>
          <w:trHeight w:val="585"/>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64373CC1" w14:textId="77777777" w:rsidR="00387142" w:rsidRPr="008B6A75" w:rsidRDefault="00387142" w:rsidP="00387142">
            <w:pPr>
              <w:rPr>
                <w:sz w:val="20"/>
                <w:szCs w:val="20"/>
              </w:rPr>
            </w:pPr>
            <w:r w:rsidRPr="008B6A75">
              <w:rPr>
                <w:sz w:val="20"/>
                <w:szCs w:val="20"/>
              </w:rPr>
              <w:t>Расходы на выплаты персоналу государственных (муниципальных) органов</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3622AFC6" w14:textId="77777777" w:rsidR="00387142" w:rsidRPr="008B6A75" w:rsidRDefault="00387142" w:rsidP="00387142">
            <w:pPr>
              <w:jc w:val="center"/>
              <w:rPr>
                <w:sz w:val="20"/>
                <w:szCs w:val="20"/>
              </w:rPr>
            </w:pPr>
            <w:r w:rsidRPr="008B6A75">
              <w:rPr>
                <w:sz w:val="20"/>
                <w:szCs w:val="20"/>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6BBE1BD7" w14:textId="77777777" w:rsidR="00387142" w:rsidRPr="008B6A75" w:rsidRDefault="00387142" w:rsidP="00387142">
            <w:pPr>
              <w:jc w:val="center"/>
              <w:rPr>
                <w:sz w:val="20"/>
                <w:szCs w:val="20"/>
              </w:rPr>
            </w:pPr>
            <w:r w:rsidRPr="008B6A75">
              <w:rPr>
                <w:sz w:val="20"/>
                <w:szCs w:val="20"/>
              </w:rPr>
              <w:t>01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3EE9EF" w14:textId="77777777" w:rsidR="00387142" w:rsidRPr="008B6A75" w:rsidRDefault="00387142" w:rsidP="00387142">
            <w:pPr>
              <w:jc w:val="center"/>
              <w:rPr>
                <w:sz w:val="20"/>
                <w:szCs w:val="20"/>
              </w:rPr>
            </w:pPr>
            <w:r w:rsidRPr="008B6A75">
              <w:rPr>
                <w:sz w:val="20"/>
                <w:szCs w:val="20"/>
              </w:rPr>
              <w:t>02</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43A16624" w14:textId="77777777" w:rsidR="00387142" w:rsidRPr="008B6A75" w:rsidRDefault="00387142" w:rsidP="00387142">
            <w:pPr>
              <w:jc w:val="center"/>
              <w:rPr>
                <w:sz w:val="20"/>
                <w:szCs w:val="20"/>
              </w:rPr>
            </w:pPr>
            <w:r w:rsidRPr="008B6A75">
              <w:rPr>
                <w:sz w:val="20"/>
                <w:szCs w:val="20"/>
              </w:rPr>
              <w:t>99.0.00.70510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D857B6" w14:textId="77777777" w:rsidR="00387142" w:rsidRPr="008B6A75" w:rsidRDefault="00387142" w:rsidP="00387142">
            <w:pPr>
              <w:jc w:val="center"/>
              <w:rPr>
                <w:sz w:val="20"/>
                <w:szCs w:val="20"/>
              </w:rPr>
            </w:pPr>
            <w:r w:rsidRPr="008B6A75">
              <w:rPr>
                <w:sz w:val="20"/>
                <w:szCs w:val="20"/>
              </w:rPr>
              <w:t>120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A9926D" w14:textId="77777777" w:rsidR="00387142" w:rsidRPr="008B6A75" w:rsidRDefault="00387142" w:rsidP="00387142">
            <w:pPr>
              <w:jc w:val="right"/>
              <w:rPr>
                <w:sz w:val="20"/>
                <w:szCs w:val="20"/>
              </w:rPr>
            </w:pPr>
            <w:r w:rsidRPr="008B6A75">
              <w:rPr>
                <w:sz w:val="20"/>
                <w:szCs w:val="20"/>
              </w:rPr>
              <w:t>1 078 539,25</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1B6300A5" w14:textId="77777777" w:rsidR="00387142" w:rsidRPr="008B6A75" w:rsidRDefault="00387142" w:rsidP="00387142">
            <w:pPr>
              <w:jc w:val="right"/>
              <w:rPr>
                <w:sz w:val="20"/>
                <w:szCs w:val="20"/>
              </w:rPr>
            </w:pPr>
            <w:r w:rsidRPr="008B6A75">
              <w:rPr>
                <w:sz w:val="20"/>
                <w:szCs w:val="20"/>
              </w:rPr>
              <w:t>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1C7163" w14:textId="77777777" w:rsidR="00387142" w:rsidRPr="008B6A75" w:rsidRDefault="00387142" w:rsidP="00387142">
            <w:pPr>
              <w:jc w:val="right"/>
              <w:rPr>
                <w:sz w:val="20"/>
                <w:szCs w:val="20"/>
              </w:rPr>
            </w:pPr>
            <w:r w:rsidRPr="008B6A75">
              <w:rPr>
                <w:sz w:val="20"/>
                <w:szCs w:val="20"/>
              </w:rPr>
              <w:t>0,00</w:t>
            </w:r>
          </w:p>
        </w:tc>
        <w:tc>
          <w:tcPr>
            <w:tcW w:w="222" w:type="dxa"/>
            <w:vAlign w:val="center"/>
            <w:hideMark/>
          </w:tcPr>
          <w:p w14:paraId="1E36CCB1" w14:textId="77777777" w:rsidR="00387142" w:rsidRPr="008B6A75" w:rsidRDefault="00387142" w:rsidP="00387142">
            <w:pPr>
              <w:rPr>
                <w:sz w:val="20"/>
                <w:szCs w:val="20"/>
              </w:rPr>
            </w:pPr>
          </w:p>
        </w:tc>
      </w:tr>
      <w:tr w:rsidR="00387142" w:rsidRPr="008B6A75" w14:paraId="3A2A4505" w14:textId="77777777" w:rsidTr="00387142">
        <w:trPr>
          <w:trHeight w:val="1155"/>
        </w:trPr>
        <w:tc>
          <w:tcPr>
            <w:tcW w:w="3021" w:type="dxa"/>
            <w:tcBorders>
              <w:top w:val="nil"/>
              <w:left w:val="single" w:sz="4" w:space="0" w:color="auto"/>
              <w:bottom w:val="nil"/>
              <w:right w:val="nil"/>
            </w:tcBorders>
            <w:shd w:val="clear" w:color="auto" w:fill="auto"/>
            <w:vAlign w:val="center"/>
            <w:hideMark/>
          </w:tcPr>
          <w:p w14:paraId="2E349170" w14:textId="77777777" w:rsidR="00387142" w:rsidRPr="008B6A75" w:rsidRDefault="00387142" w:rsidP="00387142">
            <w:pPr>
              <w:rPr>
                <w:bCs/>
                <w:sz w:val="20"/>
                <w:szCs w:val="20"/>
              </w:rPr>
            </w:pPr>
            <w:r w:rsidRPr="008B6A75">
              <w:rPr>
                <w:bCs/>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850" w:type="dxa"/>
            <w:tcBorders>
              <w:top w:val="nil"/>
              <w:left w:val="single" w:sz="4" w:space="0" w:color="auto"/>
              <w:bottom w:val="nil"/>
              <w:right w:val="nil"/>
            </w:tcBorders>
            <w:shd w:val="clear" w:color="auto" w:fill="auto"/>
            <w:noWrap/>
            <w:vAlign w:val="center"/>
            <w:hideMark/>
          </w:tcPr>
          <w:p w14:paraId="31BC469C" w14:textId="77777777" w:rsidR="00387142" w:rsidRPr="008B6A75" w:rsidRDefault="00387142" w:rsidP="00387142">
            <w:pPr>
              <w:jc w:val="center"/>
              <w:rPr>
                <w:bCs/>
                <w:sz w:val="20"/>
                <w:szCs w:val="20"/>
              </w:rPr>
            </w:pPr>
            <w:r w:rsidRPr="008B6A75">
              <w:rPr>
                <w:bCs/>
                <w:sz w:val="20"/>
                <w:szCs w:val="20"/>
              </w:rPr>
              <w:t>444</w:t>
            </w:r>
          </w:p>
        </w:tc>
        <w:tc>
          <w:tcPr>
            <w:tcW w:w="709" w:type="dxa"/>
            <w:tcBorders>
              <w:top w:val="nil"/>
              <w:left w:val="single" w:sz="4" w:space="0" w:color="auto"/>
              <w:bottom w:val="nil"/>
              <w:right w:val="nil"/>
            </w:tcBorders>
            <w:shd w:val="clear" w:color="auto" w:fill="auto"/>
            <w:noWrap/>
            <w:vAlign w:val="center"/>
            <w:hideMark/>
          </w:tcPr>
          <w:p w14:paraId="1EEDAF1B" w14:textId="77777777" w:rsidR="00387142" w:rsidRPr="008B6A75" w:rsidRDefault="00387142" w:rsidP="00387142">
            <w:pPr>
              <w:jc w:val="center"/>
              <w:rPr>
                <w:bCs/>
                <w:sz w:val="20"/>
                <w:szCs w:val="20"/>
              </w:rPr>
            </w:pPr>
            <w:r w:rsidRPr="008B6A75">
              <w:rPr>
                <w:bCs/>
                <w:sz w:val="20"/>
                <w:szCs w:val="20"/>
              </w:rPr>
              <w:t>01</w:t>
            </w:r>
          </w:p>
        </w:tc>
        <w:tc>
          <w:tcPr>
            <w:tcW w:w="709" w:type="dxa"/>
            <w:tcBorders>
              <w:top w:val="nil"/>
              <w:left w:val="single" w:sz="4" w:space="0" w:color="auto"/>
              <w:bottom w:val="nil"/>
              <w:right w:val="single" w:sz="4" w:space="0" w:color="auto"/>
            </w:tcBorders>
            <w:shd w:val="clear" w:color="auto" w:fill="auto"/>
            <w:noWrap/>
            <w:vAlign w:val="center"/>
            <w:hideMark/>
          </w:tcPr>
          <w:p w14:paraId="1F636FE2" w14:textId="77777777" w:rsidR="00387142" w:rsidRPr="008B6A75" w:rsidRDefault="00387142" w:rsidP="00387142">
            <w:pPr>
              <w:jc w:val="center"/>
              <w:rPr>
                <w:bCs/>
                <w:sz w:val="20"/>
                <w:szCs w:val="20"/>
              </w:rPr>
            </w:pPr>
            <w:r w:rsidRPr="008B6A75">
              <w:rPr>
                <w:bCs/>
                <w:sz w:val="20"/>
                <w:szCs w:val="20"/>
              </w:rPr>
              <w:t>03</w:t>
            </w:r>
          </w:p>
        </w:tc>
        <w:tc>
          <w:tcPr>
            <w:tcW w:w="1411" w:type="dxa"/>
            <w:tcBorders>
              <w:top w:val="nil"/>
              <w:left w:val="single" w:sz="4" w:space="0" w:color="auto"/>
              <w:bottom w:val="nil"/>
              <w:right w:val="nil"/>
            </w:tcBorders>
            <w:shd w:val="clear" w:color="auto" w:fill="auto"/>
            <w:noWrap/>
            <w:vAlign w:val="center"/>
            <w:hideMark/>
          </w:tcPr>
          <w:p w14:paraId="44C7F91C" w14:textId="77777777" w:rsidR="00387142" w:rsidRPr="008B6A75" w:rsidRDefault="00387142" w:rsidP="00387142">
            <w:pPr>
              <w:jc w:val="center"/>
              <w:rPr>
                <w:bCs/>
                <w:sz w:val="20"/>
                <w:szCs w:val="20"/>
              </w:rPr>
            </w:pPr>
            <w:r w:rsidRPr="008B6A75">
              <w:rPr>
                <w:bCs/>
                <w:sz w:val="20"/>
                <w:szCs w:val="20"/>
              </w:rPr>
              <w:t> </w:t>
            </w:r>
          </w:p>
        </w:tc>
        <w:tc>
          <w:tcPr>
            <w:tcW w:w="955" w:type="dxa"/>
            <w:tcBorders>
              <w:top w:val="nil"/>
              <w:left w:val="single" w:sz="4" w:space="0" w:color="auto"/>
              <w:bottom w:val="nil"/>
              <w:right w:val="single" w:sz="4" w:space="0" w:color="auto"/>
            </w:tcBorders>
            <w:shd w:val="clear" w:color="auto" w:fill="auto"/>
            <w:noWrap/>
            <w:vAlign w:val="center"/>
            <w:hideMark/>
          </w:tcPr>
          <w:p w14:paraId="46AC7001"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nil"/>
              <w:right w:val="single" w:sz="4" w:space="0" w:color="auto"/>
            </w:tcBorders>
            <w:shd w:val="clear" w:color="auto" w:fill="auto"/>
            <w:noWrap/>
            <w:vAlign w:val="center"/>
            <w:hideMark/>
          </w:tcPr>
          <w:p w14:paraId="60519F1E" w14:textId="77777777" w:rsidR="00387142" w:rsidRPr="008B6A75" w:rsidRDefault="00387142" w:rsidP="00387142">
            <w:pPr>
              <w:jc w:val="right"/>
              <w:rPr>
                <w:bCs/>
                <w:sz w:val="20"/>
                <w:szCs w:val="20"/>
              </w:rPr>
            </w:pPr>
            <w:r w:rsidRPr="008B6A75">
              <w:rPr>
                <w:bCs/>
                <w:sz w:val="20"/>
                <w:szCs w:val="20"/>
              </w:rPr>
              <w:t>1 940 415,41</w:t>
            </w:r>
          </w:p>
        </w:tc>
        <w:tc>
          <w:tcPr>
            <w:tcW w:w="992" w:type="dxa"/>
            <w:gridSpan w:val="2"/>
            <w:tcBorders>
              <w:top w:val="nil"/>
              <w:left w:val="single" w:sz="4" w:space="0" w:color="auto"/>
              <w:bottom w:val="nil"/>
              <w:right w:val="nil"/>
            </w:tcBorders>
            <w:shd w:val="clear" w:color="auto" w:fill="auto"/>
            <w:noWrap/>
            <w:vAlign w:val="center"/>
            <w:hideMark/>
          </w:tcPr>
          <w:p w14:paraId="36522A0D" w14:textId="77777777" w:rsidR="00387142" w:rsidRPr="008B6A75" w:rsidRDefault="00387142" w:rsidP="00387142">
            <w:pPr>
              <w:jc w:val="right"/>
              <w:rPr>
                <w:bCs/>
                <w:sz w:val="20"/>
                <w:szCs w:val="20"/>
              </w:rPr>
            </w:pPr>
            <w:r w:rsidRPr="008B6A75">
              <w:rPr>
                <w:bCs/>
                <w:sz w:val="20"/>
                <w:szCs w:val="20"/>
              </w:rPr>
              <w:t>1 743 000,00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0923FAA2" w14:textId="77777777" w:rsidR="00387142" w:rsidRPr="008B6A75" w:rsidRDefault="00387142" w:rsidP="00387142">
            <w:pPr>
              <w:jc w:val="right"/>
              <w:rPr>
                <w:bCs/>
                <w:sz w:val="20"/>
                <w:szCs w:val="20"/>
              </w:rPr>
            </w:pPr>
            <w:r w:rsidRPr="008B6A75">
              <w:rPr>
                <w:bCs/>
                <w:sz w:val="20"/>
                <w:szCs w:val="20"/>
              </w:rPr>
              <w:t>1 743 000,00</w:t>
            </w:r>
          </w:p>
        </w:tc>
        <w:tc>
          <w:tcPr>
            <w:tcW w:w="222" w:type="dxa"/>
            <w:vAlign w:val="center"/>
            <w:hideMark/>
          </w:tcPr>
          <w:p w14:paraId="4452DE63" w14:textId="77777777" w:rsidR="00387142" w:rsidRPr="008B6A75" w:rsidRDefault="00387142" w:rsidP="00387142">
            <w:pPr>
              <w:rPr>
                <w:sz w:val="20"/>
                <w:szCs w:val="20"/>
              </w:rPr>
            </w:pPr>
          </w:p>
        </w:tc>
      </w:tr>
      <w:tr w:rsidR="00387142" w:rsidRPr="008B6A75" w14:paraId="65C3DC72" w14:textId="77777777" w:rsidTr="00387142">
        <w:trPr>
          <w:trHeight w:val="300"/>
        </w:trPr>
        <w:tc>
          <w:tcPr>
            <w:tcW w:w="3021" w:type="dxa"/>
            <w:tcBorders>
              <w:top w:val="single" w:sz="4" w:space="0" w:color="auto"/>
              <w:left w:val="single" w:sz="4" w:space="0" w:color="auto"/>
              <w:bottom w:val="nil"/>
              <w:right w:val="nil"/>
            </w:tcBorders>
            <w:shd w:val="clear" w:color="auto" w:fill="auto"/>
            <w:vAlign w:val="center"/>
            <w:hideMark/>
          </w:tcPr>
          <w:p w14:paraId="02A6AE7B" w14:textId="77777777" w:rsidR="00387142" w:rsidRPr="008B6A75" w:rsidRDefault="00387142" w:rsidP="00387142">
            <w:pPr>
              <w:rPr>
                <w:bCs/>
                <w:sz w:val="20"/>
                <w:szCs w:val="20"/>
              </w:rPr>
            </w:pPr>
            <w:r w:rsidRPr="008B6A75">
              <w:rPr>
                <w:bCs/>
                <w:sz w:val="20"/>
                <w:szCs w:val="20"/>
              </w:rPr>
              <w:t>Непрограммные направления бюджета</w:t>
            </w:r>
          </w:p>
        </w:tc>
        <w:tc>
          <w:tcPr>
            <w:tcW w:w="850" w:type="dxa"/>
            <w:tcBorders>
              <w:top w:val="single" w:sz="4" w:space="0" w:color="auto"/>
              <w:left w:val="single" w:sz="4" w:space="0" w:color="auto"/>
              <w:bottom w:val="nil"/>
              <w:right w:val="nil"/>
            </w:tcBorders>
            <w:shd w:val="clear" w:color="auto" w:fill="auto"/>
            <w:noWrap/>
            <w:vAlign w:val="center"/>
            <w:hideMark/>
          </w:tcPr>
          <w:p w14:paraId="4F805A1B" w14:textId="77777777" w:rsidR="00387142" w:rsidRPr="008B6A75" w:rsidRDefault="00387142" w:rsidP="00387142">
            <w:pPr>
              <w:jc w:val="center"/>
              <w:rPr>
                <w:bCs/>
                <w:sz w:val="20"/>
                <w:szCs w:val="20"/>
              </w:rPr>
            </w:pPr>
            <w:r w:rsidRPr="008B6A75">
              <w:rPr>
                <w:bCs/>
                <w:sz w:val="20"/>
                <w:szCs w:val="20"/>
              </w:rPr>
              <w:t>444</w:t>
            </w:r>
          </w:p>
        </w:tc>
        <w:tc>
          <w:tcPr>
            <w:tcW w:w="709" w:type="dxa"/>
            <w:tcBorders>
              <w:top w:val="single" w:sz="4" w:space="0" w:color="auto"/>
              <w:left w:val="single" w:sz="4" w:space="0" w:color="auto"/>
              <w:bottom w:val="nil"/>
              <w:right w:val="nil"/>
            </w:tcBorders>
            <w:shd w:val="clear" w:color="auto" w:fill="auto"/>
            <w:noWrap/>
            <w:vAlign w:val="center"/>
            <w:hideMark/>
          </w:tcPr>
          <w:p w14:paraId="0A0DAB36" w14:textId="77777777" w:rsidR="00387142" w:rsidRPr="008B6A75" w:rsidRDefault="00387142" w:rsidP="00387142">
            <w:pPr>
              <w:jc w:val="center"/>
              <w:rPr>
                <w:bCs/>
                <w:sz w:val="20"/>
                <w:szCs w:val="20"/>
              </w:rPr>
            </w:pPr>
            <w:r w:rsidRPr="008B6A75">
              <w:rPr>
                <w:bCs/>
                <w:sz w:val="20"/>
                <w:szCs w:val="20"/>
              </w:rPr>
              <w:t>01</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496DE23A" w14:textId="77777777" w:rsidR="00387142" w:rsidRPr="008B6A75" w:rsidRDefault="00387142" w:rsidP="00387142">
            <w:pPr>
              <w:jc w:val="center"/>
              <w:rPr>
                <w:bCs/>
                <w:sz w:val="20"/>
                <w:szCs w:val="20"/>
              </w:rPr>
            </w:pPr>
            <w:r w:rsidRPr="008B6A75">
              <w:rPr>
                <w:bCs/>
                <w:sz w:val="20"/>
                <w:szCs w:val="20"/>
              </w:rPr>
              <w:t>03</w:t>
            </w:r>
          </w:p>
        </w:tc>
        <w:tc>
          <w:tcPr>
            <w:tcW w:w="1411" w:type="dxa"/>
            <w:tcBorders>
              <w:top w:val="single" w:sz="4" w:space="0" w:color="auto"/>
              <w:left w:val="single" w:sz="4" w:space="0" w:color="auto"/>
              <w:bottom w:val="nil"/>
              <w:right w:val="nil"/>
            </w:tcBorders>
            <w:shd w:val="clear" w:color="auto" w:fill="auto"/>
            <w:noWrap/>
            <w:vAlign w:val="center"/>
            <w:hideMark/>
          </w:tcPr>
          <w:p w14:paraId="178C99F9" w14:textId="77777777" w:rsidR="00387142" w:rsidRPr="008B6A75" w:rsidRDefault="00387142" w:rsidP="00387142">
            <w:pPr>
              <w:jc w:val="center"/>
              <w:rPr>
                <w:bCs/>
                <w:sz w:val="20"/>
                <w:szCs w:val="20"/>
              </w:rPr>
            </w:pPr>
            <w:r w:rsidRPr="008B6A75">
              <w:rPr>
                <w:bCs/>
                <w:sz w:val="20"/>
                <w:szCs w:val="20"/>
              </w:rPr>
              <w:t>99.0.00.00000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07FBA334" w14:textId="77777777" w:rsidR="00387142" w:rsidRPr="008B6A75" w:rsidRDefault="00387142" w:rsidP="00387142">
            <w:pPr>
              <w:jc w:val="center"/>
              <w:rPr>
                <w:bCs/>
                <w:sz w:val="20"/>
                <w:szCs w:val="20"/>
              </w:rPr>
            </w:pPr>
            <w:r w:rsidRPr="008B6A75">
              <w:rPr>
                <w:bCs/>
                <w:sz w:val="20"/>
                <w:szCs w:val="20"/>
              </w:rPr>
              <w:t> </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5BB0A8C7" w14:textId="77777777" w:rsidR="00387142" w:rsidRPr="008B6A75" w:rsidRDefault="00387142" w:rsidP="00387142">
            <w:pPr>
              <w:jc w:val="right"/>
              <w:rPr>
                <w:bCs/>
                <w:sz w:val="20"/>
                <w:szCs w:val="20"/>
              </w:rPr>
            </w:pPr>
            <w:r w:rsidRPr="008B6A75">
              <w:rPr>
                <w:bCs/>
                <w:sz w:val="20"/>
                <w:szCs w:val="20"/>
              </w:rPr>
              <w:t>1 940 415,41</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2347BE8D" w14:textId="77777777" w:rsidR="00387142" w:rsidRPr="008B6A75" w:rsidRDefault="00387142" w:rsidP="00387142">
            <w:pPr>
              <w:jc w:val="right"/>
              <w:rPr>
                <w:bCs/>
                <w:sz w:val="20"/>
                <w:szCs w:val="20"/>
              </w:rPr>
            </w:pPr>
            <w:r w:rsidRPr="008B6A75">
              <w:rPr>
                <w:bCs/>
                <w:sz w:val="20"/>
                <w:szCs w:val="20"/>
              </w:rPr>
              <w:t>1 743 000,00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1265DC0D" w14:textId="77777777" w:rsidR="00387142" w:rsidRPr="008B6A75" w:rsidRDefault="00387142" w:rsidP="00387142">
            <w:pPr>
              <w:jc w:val="right"/>
              <w:rPr>
                <w:bCs/>
                <w:sz w:val="20"/>
                <w:szCs w:val="20"/>
              </w:rPr>
            </w:pPr>
            <w:r w:rsidRPr="008B6A75">
              <w:rPr>
                <w:bCs/>
                <w:sz w:val="20"/>
                <w:szCs w:val="20"/>
              </w:rPr>
              <w:t>1 743 000,00</w:t>
            </w:r>
          </w:p>
        </w:tc>
        <w:tc>
          <w:tcPr>
            <w:tcW w:w="222" w:type="dxa"/>
            <w:vAlign w:val="center"/>
            <w:hideMark/>
          </w:tcPr>
          <w:p w14:paraId="68B7945F" w14:textId="77777777" w:rsidR="00387142" w:rsidRPr="008B6A75" w:rsidRDefault="00387142" w:rsidP="00387142">
            <w:pPr>
              <w:rPr>
                <w:sz w:val="20"/>
                <w:szCs w:val="20"/>
              </w:rPr>
            </w:pPr>
          </w:p>
        </w:tc>
      </w:tr>
      <w:tr w:rsidR="00387142" w:rsidRPr="008B6A75" w14:paraId="456EBF22" w14:textId="77777777" w:rsidTr="00387142">
        <w:trPr>
          <w:trHeight w:val="870"/>
        </w:trPr>
        <w:tc>
          <w:tcPr>
            <w:tcW w:w="3021" w:type="dxa"/>
            <w:tcBorders>
              <w:top w:val="single" w:sz="4" w:space="0" w:color="auto"/>
              <w:left w:val="single" w:sz="4" w:space="0" w:color="auto"/>
              <w:bottom w:val="nil"/>
              <w:right w:val="nil"/>
            </w:tcBorders>
            <w:shd w:val="clear" w:color="auto" w:fill="auto"/>
            <w:vAlign w:val="center"/>
            <w:hideMark/>
          </w:tcPr>
          <w:p w14:paraId="25ECFCBF" w14:textId="77777777" w:rsidR="00387142" w:rsidRPr="008B6A75" w:rsidRDefault="00387142" w:rsidP="00387142">
            <w:pPr>
              <w:rPr>
                <w:bCs/>
                <w:sz w:val="20"/>
                <w:szCs w:val="20"/>
              </w:rPr>
            </w:pPr>
            <w:r w:rsidRPr="008B6A75">
              <w:rPr>
                <w:bCs/>
                <w:sz w:val="20"/>
                <w:szCs w:val="20"/>
              </w:rPr>
              <w:t>Содержание аппарата управления представительного органа местного самоуправления</w:t>
            </w:r>
          </w:p>
        </w:tc>
        <w:tc>
          <w:tcPr>
            <w:tcW w:w="850" w:type="dxa"/>
            <w:tcBorders>
              <w:top w:val="single" w:sz="4" w:space="0" w:color="auto"/>
              <w:left w:val="single" w:sz="4" w:space="0" w:color="auto"/>
              <w:bottom w:val="nil"/>
              <w:right w:val="nil"/>
            </w:tcBorders>
            <w:shd w:val="clear" w:color="auto" w:fill="auto"/>
            <w:noWrap/>
            <w:vAlign w:val="center"/>
            <w:hideMark/>
          </w:tcPr>
          <w:p w14:paraId="0FA9047B" w14:textId="77777777" w:rsidR="00387142" w:rsidRPr="008B6A75" w:rsidRDefault="00387142" w:rsidP="00387142">
            <w:pPr>
              <w:jc w:val="center"/>
              <w:rPr>
                <w:bCs/>
                <w:sz w:val="20"/>
                <w:szCs w:val="20"/>
              </w:rPr>
            </w:pPr>
            <w:r w:rsidRPr="008B6A75">
              <w:rPr>
                <w:bCs/>
                <w:sz w:val="20"/>
                <w:szCs w:val="20"/>
              </w:rPr>
              <w:t>444</w:t>
            </w:r>
          </w:p>
        </w:tc>
        <w:tc>
          <w:tcPr>
            <w:tcW w:w="709" w:type="dxa"/>
            <w:tcBorders>
              <w:top w:val="single" w:sz="4" w:space="0" w:color="auto"/>
              <w:left w:val="single" w:sz="4" w:space="0" w:color="auto"/>
              <w:bottom w:val="nil"/>
              <w:right w:val="nil"/>
            </w:tcBorders>
            <w:shd w:val="clear" w:color="auto" w:fill="auto"/>
            <w:noWrap/>
            <w:vAlign w:val="center"/>
            <w:hideMark/>
          </w:tcPr>
          <w:p w14:paraId="621D9509" w14:textId="77777777" w:rsidR="00387142" w:rsidRPr="008B6A75" w:rsidRDefault="00387142" w:rsidP="00387142">
            <w:pPr>
              <w:jc w:val="center"/>
              <w:rPr>
                <w:bCs/>
                <w:sz w:val="20"/>
                <w:szCs w:val="20"/>
              </w:rPr>
            </w:pPr>
            <w:r w:rsidRPr="008B6A75">
              <w:rPr>
                <w:bCs/>
                <w:sz w:val="20"/>
                <w:szCs w:val="20"/>
              </w:rPr>
              <w:t>01</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23EB5682" w14:textId="77777777" w:rsidR="00387142" w:rsidRPr="008B6A75" w:rsidRDefault="00387142" w:rsidP="00387142">
            <w:pPr>
              <w:jc w:val="center"/>
              <w:rPr>
                <w:bCs/>
                <w:sz w:val="20"/>
                <w:szCs w:val="20"/>
              </w:rPr>
            </w:pPr>
            <w:r w:rsidRPr="008B6A75">
              <w:rPr>
                <w:bCs/>
                <w:sz w:val="20"/>
                <w:szCs w:val="20"/>
              </w:rPr>
              <w:t>03</w:t>
            </w:r>
          </w:p>
        </w:tc>
        <w:tc>
          <w:tcPr>
            <w:tcW w:w="1411" w:type="dxa"/>
            <w:tcBorders>
              <w:top w:val="single" w:sz="4" w:space="0" w:color="auto"/>
              <w:left w:val="single" w:sz="4" w:space="0" w:color="auto"/>
              <w:bottom w:val="nil"/>
              <w:right w:val="nil"/>
            </w:tcBorders>
            <w:shd w:val="clear" w:color="auto" w:fill="auto"/>
            <w:noWrap/>
            <w:vAlign w:val="center"/>
            <w:hideMark/>
          </w:tcPr>
          <w:p w14:paraId="166283B5" w14:textId="77777777" w:rsidR="00387142" w:rsidRPr="008B6A75" w:rsidRDefault="00387142" w:rsidP="00387142">
            <w:pPr>
              <w:jc w:val="center"/>
              <w:rPr>
                <w:bCs/>
                <w:sz w:val="20"/>
                <w:szCs w:val="20"/>
              </w:rPr>
            </w:pPr>
            <w:r w:rsidRPr="008B6A75">
              <w:rPr>
                <w:bCs/>
                <w:sz w:val="20"/>
                <w:szCs w:val="20"/>
              </w:rPr>
              <w:t>99.0.00.01990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5C637F5C" w14:textId="77777777" w:rsidR="00387142" w:rsidRPr="008B6A75" w:rsidRDefault="00387142" w:rsidP="00387142">
            <w:pPr>
              <w:jc w:val="center"/>
              <w:rPr>
                <w:bCs/>
                <w:sz w:val="20"/>
                <w:szCs w:val="20"/>
              </w:rPr>
            </w:pPr>
            <w:r w:rsidRPr="008B6A75">
              <w:rPr>
                <w:bCs/>
                <w:sz w:val="20"/>
                <w:szCs w:val="20"/>
              </w:rPr>
              <w:t> </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7019C6A2" w14:textId="77777777" w:rsidR="00387142" w:rsidRPr="008B6A75" w:rsidRDefault="00387142" w:rsidP="00387142">
            <w:pPr>
              <w:jc w:val="right"/>
              <w:rPr>
                <w:bCs/>
                <w:sz w:val="20"/>
                <w:szCs w:val="20"/>
              </w:rPr>
            </w:pPr>
            <w:r w:rsidRPr="008B6A75">
              <w:rPr>
                <w:bCs/>
                <w:sz w:val="20"/>
                <w:szCs w:val="20"/>
              </w:rPr>
              <w:t>37 198,00</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27E6295E" w14:textId="77777777" w:rsidR="00387142" w:rsidRPr="008B6A75" w:rsidRDefault="00387142" w:rsidP="00387142">
            <w:pPr>
              <w:jc w:val="right"/>
              <w:rPr>
                <w:bCs/>
                <w:sz w:val="20"/>
                <w:szCs w:val="20"/>
              </w:rPr>
            </w:pPr>
            <w:r w:rsidRPr="008B6A75">
              <w:rPr>
                <w:bCs/>
                <w:sz w:val="20"/>
                <w:szCs w:val="20"/>
              </w:rPr>
              <w:t>20 000,00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43CDC002" w14:textId="77777777" w:rsidR="00387142" w:rsidRPr="008B6A75" w:rsidRDefault="00387142" w:rsidP="00387142">
            <w:pPr>
              <w:jc w:val="right"/>
              <w:rPr>
                <w:bCs/>
                <w:sz w:val="20"/>
                <w:szCs w:val="20"/>
              </w:rPr>
            </w:pPr>
            <w:r w:rsidRPr="008B6A75">
              <w:rPr>
                <w:bCs/>
                <w:sz w:val="20"/>
                <w:szCs w:val="20"/>
              </w:rPr>
              <w:t>20 000,00</w:t>
            </w:r>
          </w:p>
        </w:tc>
        <w:tc>
          <w:tcPr>
            <w:tcW w:w="222" w:type="dxa"/>
            <w:vAlign w:val="center"/>
            <w:hideMark/>
          </w:tcPr>
          <w:p w14:paraId="474BE3CB" w14:textId="77777777" w:rsidR="00387142" w:rsidRPr="008B6A75" w:rsidRDefault="00387142" w:rsidP="00387142">
            <w:pPr>
              <w:rPr>
                <w:sz w:val="20"/>
                <w:szCs w:val="20"/>
              </w:rPr>
            </w:pPr>
          </w:p>
        </w:tc>
      </w:tr>
      <w:tr w:rsidR="00387142" w:rsidRPr="008B6A75" w14:paraId="1025CFE8" w14:textId="77777777" w:rsidTr="00387142">
        <w:trPr>
          <w:trHeight w:val="585"/>
        </w:trPr>
        <w:tc>
          <w:tcPr>
            <w:tcW w:w="3021" w:type="dxa"/>
            <w:tcBorders>
              <w:top w:val="single" w:sz="4" w:space="0" w:color="auto"/>
              <w:left w:val="single" w:sz="4" w:space="0" w:color="auto"/>
              <w:bottom w:val="nil"/>
              <w:right w:val="nil"/>
            </w:tcBorders>
            <w:shd w:val="clear" w:color="auto" w:fill="auto"/>
            <w:vAlign w:val="center"/>
            <w:hideMark/>
          </w:tcPr>
          <w:p w14:paraId="44A753C4" w14:textId="77777777" w:rsidR="00387142" w:rsidRPr="008B6A75" w:rsidRDefault="00387142" w:rsidP="00387142">
            <w:pPr>
              <w:rPr>
                <w:sz w:val="20"/>
                <w:szCs w:val="20"/>
              </w:rPr>
            </w:pPr>
            <w:r w:rsidRPr="008B6A75">
              <w:rPr>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nil"/>
              <w:right w:val="nil"/>
            </w:tcBorders>
            <w:shd w:val="clear" w:color="auto" w:fill="auto"/>
            <w:noWrap/>
            <w:vAlign w:val="center"/>
            <w:hideMark/>
          </w:tcPr>
          <w:p w14:paraId="62456CEE" w14:textId="77777777" w:rsidR="00387142" w:rsidRPr="008B6A75" w:rsidRDefault="00387142" w:rsidP="00387142">
            <w:pPr>
              <w:jc w:val="center"/>
              <w:rPr>
                <w:sz w:val="20"/>
                <w:szCs w:val="20"/>
              </w:rPr>
            </w:pPr>
            <w:r w:rsidRPr="008B6A75">
              <w:rPr>
                <w:sz w:val="20"/>
                <w:szCs w:val="20"/>
              </w:rPr>
              <w:t>444</w:t>
            </w:r>
          </w:p>
        </w:tc>
        <w:tc>
          <w:tcPr>
            <w:tcW w:w="709" w:type="dxa"/>
            <w:tcBorders>
              <w:top w:val="single" w:sz="4" w:space="0" w:color="auto"/>
              <w:left w:val="single" w:sz="4" w:space="0" w:color="auto"/>
              <w:bottom w:val="nil"/>
              <w:right w:val="nil"/>
            </w:tcBorders>
            <w:shd w:val="clear" w:color="auto" w:fill="auto"/>
            <w:noWrap/>
            <w:vAlign w:val="center"/>
            <w:hideMark/>
          </w:tcPr>
          <w:p w14:paraId="1C70C16D" w14:textId="77777777" w:rsidR="00387142" w:rsidRPr="008B6A75" w:rsidRDefault="00387142" w:rsidP="00387142">
            <w:pPr>
              <w:jc w:val="center"/>
              <w:rPr>
                <w:sz w:val="20"/>
                <w:szCs w:val="20"/>
              </w:rPr>
            </w:pPr>
            <w:r w:rsidRPr="008B6A75">
              <w:rPr>
                <w:sz w:val="20"/>
                <w:szCs w:val="20"/>
              </w:rPr>
              <w:t>01</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2CB939B5" w14:textId="77777777" w:rsidR="00387142" w:rsidRPr="008B6A75" w:rsidRDefault="00387142" w:rsidP="00387142">
            <w:pPr>
              <w:jc w:val="center"/>
              <w:rPr>
                <w:sz w:val="20"/>
                <w:szCs w:val="20"/>
              </w:rPr>
            </w:pPr>
            <w:r w:rsidRPr="008B6A75">
              <w:rPr>
                <w:sz w:val="20"/>
                <w:szCs w:val="20"/>
              </w:rPr>
              <w:t>03</w:t>
            </w:r>
          </w:p>
        </w:tc>
        <w:tc>
          <w:tcPr>
            <w:tcW w:w="1411" w:type="dxa"/>
            <w:tcBorders>
              <w:top w:val="single" w:sz="4" w:space="0" w:color="auto"/>
              <w:left w:val="single" w:sz="4" w:space="0" w:color="auto"/>
              <w:bottom w:val="nil"/>
              <w:right w:val="nil"/>
            </w:tcBorders>
            <w:shd w:val="clear" w:color="auto" w:fill="auto"/>
            <w:noWrap/>
            <w:vAlign w:val="center"/>
            <w:hideMark/>
          </w:tcPr>
          <w:p w14:paraId="58E796B1" w14:textId="77777777" w:rsidR="00387142" w:rsidRPr="008B6A75" w:rsidRDefault="00387142" w:rsidP="00387142">
            <w:pPr>
              <w:jc w:val="center"/>
              <w:rPr>
                <w:sz w:val="20"/>
                <w:szCs w:val="20"/>
              </w:rPr>
            </w:pPr>
            <w:r w:rsidRPr="008B6A75">
              <w:rPr>
                <w:sz w:val="20"/>
                <w:szCs w:val="20"/>
              </w:rPr>
              <w:t>99.0.00.01990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478CD825" w14:textId="77777777" w:rsidR="00387142" w:rsidRPr="008B6A75" w:rsidRDefault="00387142" w:rsidP="00387142">
            <w:pPr>
              <w:jc w:val="center"/>
              <w:rPr>
                <w:sz w:val="20"/>
                <w:szCs w:val="20"/>
              </w:rPr>
            </w:pPr>
            <w:r w:rsidRPr="008B6A75">
              <w:rPr>
                <w:sz w:val="20"/>
                <w:szCs w:val="20"/>
              </w:rPr>
              <w:t>200</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014CE71A" w14:textId="77777777" w:rsidR="00387142" w:rsidRPr="008B6A75" w:rsidRDefault="00387142" w:rsidP="00387142">
            <w:pPr>
              <w:jc w:val="right"/>
              <w:rPr>
                <w:sz w:val="20"/>
                <w:szCs w:val="20"/>
              </w:rPr>
            </w:pPr>
            <w:r w:rsidRPr="008B6A75">
              <w:rPr>
                <w:sz w:val="20"/>
                <w:szCs w:val="20"/>
              </w:rPr>
              <w:t>37 198,00</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7E4A73E2" w14:textId="77777777" w:rsidR="00387142" w:rsidRPr="008B6A75" w:rsidRDefault="00387142" w:rsidP="00387142">
            <w:pPr>
              <w:jc w:val="right"/>
              <w:rPr>
                <w:sz w:val="20"/>
                <w:szCs w:val="20"/>
              </w:rPr>
            </w:pPr>
            <w:r w:rsidRPr="008B6A75">
              <w:rPr>
                <w:sz w:val="20"/>
                <w:szCs w:val="20"/>
              </w:rPr>
              <w:t>20 000,00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094CA216" w14:textId="77777777" w:rsidR="00387142" w:rsidRPr="008B6A75" w:rsidRDefault="00387142" w:rsidP="00387142">
            <w:pPr>
              <w:jc w:val="right"/>
              <w:rPr>
                <w:sz w:val="20"/>
                <w:szCs w:val="20"/>
              </w:rPr>
            </w:pPr>
            <w:r w:rsidRPr="008B6A75">
              <w:rPr>
                <w:sz w:val="20"/>
                <w:szCs w:val="20"/>
              </w:rPr>
              <w:t>20 000,00</w:t>
            </w:r>
          </w:p>
        </w:tc>
        <w:tc>
          <w:tcPr>
            <w:tcW w:w="222" w:type="dxa"/>
            <w:vAlign w:val="center"/>
            <w:hideMark/>
          </w:tcPr>
          <w:p w14:paraId="5BF2E41B" w14:textId="77777777" w:rsidR="00387142" w:rsidRPr="008B6A75" w:rsidRDefault="00387142" w:rsidP="00387142">
            <w:pPr>
              <w:rPr>
                <w:sz w:val="20"/>
                <w:szCs w:val="20"/>
              </w:rPr>
            </w:pPr>
          </w:p>
        </w:tc>
      </w:tr>
      <w:tr w:rsidR="00387142" w:rsidRPr="008B6A75" w14:paraId="3FE181C6" w14:textId="77777777" w:rsidTr="00387142">
        <w:trPr>
          <w:trHeight w:val="870"/>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15A5A092" w14:textId="77777777" w:rsidR="00387142" w:rsidRPr="008B6A75" w:rsidRDefault="00387142" w:rsidP="00387142">
            <w:pPr>
              <w:rPr>
                <w:sz w:val="20"/>
                <w:szCs w:val="20"/>
              </w:rPr>
            </w:pPr>
            <w:r w:rsidRPr="008B6A75">
              <w:rPr>
                <w:sz w:val="20"/>
                <w:szCs w:val="20"/>
              </w:rPr>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0E0DB7BD" w14:textId="77777777" w:rsidR="00387142" w:rsidRPr="008B6A75" w:rsidRDefault="00387142" w:rsidP="00387142">
            <w:pPr>
              <w:jc w:val="center"/>
              <w:rPr>
                <w:sz w:val="20"/>
                <w:szCs w:val="20"/>
              </w:rPr>
            </w:pPr>
            <w:r w:rsidRPr="008B6A75">
              <w:rPr>
                <w:sz w:val="20"/>
                <w:szCs w:val="20"/>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3F4E9810" w14:textId="77777777" w:rsidR="00387142" w:rsidRPr="008B6A75" w:rsidRDefault="00387142" w:rsidP="00387142">
            <w:pPr>
              <w:jc w:val="center"/>
              <w:rPr>
                <w:sz w:val="20"/>
                <w:szCs w:val="20"/>
              </w:rPr>
            </w:pPr>
            <w:r w:rsidRPr="008B6A75">
              <w:rPr>
                <w:sz w:val="20"/>
                <w:szCs w:val="20"/>
              </w:rPr>
              <w:t>01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2C85D0" w14:textId="77777777" w:rsidR="00387142" w:rsidRPr="008B6A75" w:rsidRDefault="00387142" w:rsidP="00387142">
            <w:pPr>
              <w:jc w:val="center"/>
              <w:rPr>
                <w:sz w:val="20"/>
                <w:szCs w:val="20"/>
              </w:rPr>
            </w:pPr>
            <w:r w:rsidRPr="008B6A75">
              <w:rPr>
                <w:sz w:val="20"/>
                <w:szCs w:val="20"/>
              </w:rPr>
              <w:t>03</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58165AE5" w14:textId="77777777" w:rsidR="00387142" w:rsidRPr="008B6A75" w:rsidRDefault="00387142" w:rsidP="00387142">
            <w:pPr>
              <w:jc w:val="center"/>
              <w:rPr>
                <w:sz w:val="20"/>
                <w:szCs w:val="20"/>
              </w:rPr>
            </w:pPr>
            <w:r w:rsidRPr="008B6A75">
              <w:rPr>
                <w:sz w:val="20"/>
                <w:szCs w:val="20"/>
              </w:rPr>
              <w:t>99.0.00.01990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A9F754" w14:textId="77777777" w:rsidR="00387142" w:rsidRPr="008B6A75" w:rsidRDefault="00387142" w:rsidP="00387142">
            <w:pPr>
              <w:jc w:val="center"/>
              <w:rPr>
                <w:sz w:val="20"/>
                <w:szCs w:val="20"/>
              </w:rPr>
            </w:pPr>
            <w:r w:rsidRPr="008B6A75">
              <w:rPr>
                <w:sz w:val="20"/>
                <w:szCs w:val="20"/>
              </w:rPr>
              <w:t>240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82402F" w14:textId="77777777" w:rsidR="00387142" w:rsidRPr="008B6A75" w:rsidRDefault="00387142" w:rsidP="00387142">
            <w:pPr>
              <w:jc w:val="right"/>
              <w:rPr>
                <w:sz w:val="20"/>
                <w:szCs w:val="20"/>
              </w:rPr>
            </w:pPr>
            <w:r w:rsidRPr="008B6A75">
              <w:rPr>
                <w:sz w:val="20"/>
                <w:szCs w:val="20"/>
              </w:rPr>
              <w:t>37 198,00</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52E52FDA" w14:textId="77777777" w:rsidR="00387142" w:rsidRPr="008B6A75" w:rsidRDefault="00387142" w:rsidP="00387142">
            <w:pPr>
              <w:jc w:val="right"/>
              <w:rPr>
                <w:sz w:val="20"/>
                <w:szCs w:val="20"/>
              </w:rPr>
            </w:pPr>
            <w:r w:rsidRPr="008B6A75">
              <w:rPr>
                <w:sz w:val="20"/>
                <w:szCs w:val="20"/>
              </w:rPr>
              <w:t>20 000,00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69A3CC" w14:textId="77777777" w:rsidR="00387142" w:rsidRPr="008B6A75" w:rsidRDefault="00387142" w:rsidP="00387142">
            <w:pPr>
              <w:jc w:val="right"/>
              <w:rPr>
                <w:sz w:val="20"/>
                <w:szCs w:val="20"/>
              </w:rPr>
            </w:pPr>
            <w:r w:rsidRPr="008B6A75">
              <w:rPr>
                <w:sz w:val="20"/>
                <w:szCs w:val="20"/>
              </w:rPr>
              <w:t>20 000,00</w:t>
            </w:r>
          </w:p>
        </w:tc>
        <w:tc>
          <w:tcPr>
            <w:tcW w:w="222" w:type="dxa"/>
            <w:vAlign w:val="center"/>
            <w:hideMark/>
          </w:tcPr>
          <w:p w14:paraId="18BDAEA4" w14:textId="77777777" w:rsidR="00387142" w:rsidRPr="008B6A75" w:rsidRDefault="00387142" w:rsidP="00387142">
            <w:pPr>
              <w:rPr>
                <w:sz w:val="20"/>
                <w:szCs w:val="20"/>
              </w:rPr>
            </w:pPr>
          </w:p>
        </w:tc>
      </w:tr>
      <w:tr w:rsidR="00387142" w:rsidRPr="008B6A75" w14:paraId="1E58A725" w14:textId="77777777" w:rsidTr="00387142">
        <w:trPr>
          <w:trHeight w:val="870"/>
        </w:trPr>
        <w:tc>
          <w:tcPr>
            <w:tcW w:w="3021" w:type="dxa"/>
            <w:tcBorders>
              <w:top w:val="nil"/>
              <w:left w:val="single" w:sz="4" w:space="0" w:color="auto"/>
              <w:bottom w:val="nil"/>
              <w:right w:val="nil"/>
            </w:tcBorders>
            <w:shd w:val="clear" w:color="auto" w:fill="auto"/>
            <w:vAlign w:val="center"/>
            <w:hideMark/>
          </w:tcPr>
          <w:p w14:paraId="493C6B9C" w14:textId="77777777" w:rsidR="00387142" w:rsidRPr="008B6A75" w:rsidRDefault="00387142" w:rsidP="00387142">
            <w:pPr>
              <w:rPr>
                <w:bCs/>
                <w:sz w:val="20"/>
                <w:szCs w:val="20"/>
              </w:rPr>
            </w:pPr>
            <w:r w:rsidRPr="008B6A75">
              <w:rPr>
                <w:bCs/>
                <w:sz w:val="20"/>
                <w:szCs w:val="20"/>
              </w:rPr>
              <w:t>Председатель законодательного (представительного) органа муниципальной власти</w:t>
            </w:r>
          </w:p>
        </w:tc>
        <w:tc>
          <w:tcPr>
            <w:tcW w:w="850" w:type="dxa"/>
            <w:tcBorders>
              <w:top w:val="nil"/>
              <w:left w:val="single" w:sz="4" w:space="0" w:color="auto"/>
              <w:bottom w:val="nil"/>
              <w:right w:val="nil"/>
            </w:tcBorders>
            <w:shd w:val="clear" w:color="auto" w:fill="auto"/>
            <w:noWrap/>
            <w:vAlign w:val="center"/>
            <w:hideMark/>
          </w:tcPr>
          <w:p w14:paraId="2DF921FB" w14:textId="77777777" w:rsidR="00387142" w:rsidRPr="008B6A75" w:rsidRDefault="00387142" w:rsidP="00387142">
            <w:pPr>
              <w:jc w:val="center"/>
              <w:rPr>
                <w:bCs/>
                <w:sz w:val="20"/>
                <w:szCs w:val="20"/>
              </w:rPr>
            </w:pPr>
            <w:r w:rsidRPr="008B6A75">
              <w:rPr>
                <w:bCs/>
                <w:sz w:val="20"/>
                <w:szCs w:val="20"/>
              </w:rPr>
              <w:t>444</w:t>
            </w:r>
          </w:p>
        </w:tc>
        <w:tc>
          <w:tcPr>
            <w:tcW w:w="709" w:type="dxa"/>
            <w:tcBorders>
              <w:top w:val="nil"/>
              <w:left w:val="single" w:sz="4" w:space="0" w:color="auto"/>
              <w:bottom w:val="nil"/>
              <w:right w:val="nil"/>
            </w:tcBorders>
            <w:shd w:val="clear" w:color="auto" w:fill="auto"/>
            <w:noWrap/>
            <w:vAlign w:val="center"/>
            <w:hideMark/>
          </w:tcPr>
          <w:p w14:paraId="499959A6" w14:textId="77777777" w:rsidR="00387142" w:rsidRPr="008B6A75" w:rsidRDefault="00387142" w:rsidP="00387142">
            <w:pPr>
              <w:jc w:val="center"/>
              <w:rPr>
                <w:bCs/>
                <w:sz w:val="20"/>
                <w:szCs w:val="20"/>
              </w:rPr>
            </w:pPr>
            <w:r w:rsidRPr="008B6A75">
              <w:rPr>
                <w:bCs/>
                <w:sz w:val="20"/>
                <w:szCs w:val="20"/>
              </w:rPr>
              <w:t>01</w:t>
            </w:r>
          </w:p>
        </w:tc>
        <w:tc>
          <w:tcPr>
            <w:tcW w:w="709" w:type="dxa"/>
            <w:tcBorders>
              <w:top w:val="nil"/>
              <w:left w:val="single" w:sz="4" w:space="0" w:color="auto"/>
              <w:bottom w:val="nil"/>
              <w:right w:val="single" w:sz="4" w:space="0" w:color="auto"/>
            </w:tcBorders>
            <w:shd w:val="clear" w:color="auto" w:fill="auto"/>
            <w:noWrap/>
            <w:vAlign w:val="center"/>
            <w:hideMark/>
          </w:tcPr>
          <w:p w14:paraId="1B110960" w14:textId="77777777" w:rsidR="00387142" w:rsidRPr="008B6A75" w:rsidRDefault="00387142" w:rsidP="00387142">
            <w:pPr>
              <w:jc w:val="center"/>
              <w:rPr>
                <w:bCs/>
                <w:sz w:val="20"/>
                <w:szCs w:val="20"/>
              </w:rPr>
            </w:pPr>
            <w:r w:rsidRPr="008B6A75">
              <w:rPr>
                <w:bCs/>
                <w:sz w:val="20"/>
                <w:szCs w:val="20"/>
              </w:rPr>
              <w:t>03</w:t>
            </w:r>
          </w:p>
        </w:tc>
        <w:tc>
          <w:tcPr>
            <w:tcW w:w="1411" w:type="dxa"/>
            <w:tcBorders>
              <w:top w:val="nil"/>
              <w:left w:val="single" w:sz="4" w:space="0" w:color="auto"/>
              <w:bottom w:val="nil"/>
              <w:right w:val="nil"/>
            </w:tcBorders>
            <w:shd w:val="clear" w:color="auto" w:fill="auto"/>
            <w:noWrap/>
            <w:vAlign w:val="center"/>
            <w:hideMark/>
          </w:tcPr>
          <w:p w14:paraId="77A17A11" w14:textId="77777777" w:rsidR="00387142" w:rsidRPr="008B6A75" w:rsidRDefault="00387142" w:rsidP="00387142">
            <w:pPr>
              <w:jc w:val="center"/>
              <w:rPr>
                <w:bCs/>
                <w:sz w:val="20"/>
                <w:szCs w:val="20"/>
              </w:rPr>
            </w:pPr>
            <w:r w:rsidRPr="008B6A75">
              <w:rPr>
                <w:bCs/>
                <w:sz w:val="20"/>
                <w:szCs w:val="20"/>
              </w:rPr>
              <w:t>99.0.00.04110</w:t>
            </w:r>
          </w:p>
        </w:tc>
        <w:tc>
          <w:tcPr>
            <w:tcW w:w="955" w:type="dxa"/>
            <w:tcBorders>
              <w:top w:val="nil"/>
              <w:left w:val="single" w:sz="4" w:space="0" w:color="auto"/>
              <w:bottom w:val="nil"/>
              <w:right w:val="single" w:sz="4" w:space="0" w:color="auto"/>
            </w:tcBorders>
            <w:shd w:val="clear" w:color="auto" w:fill="auto"/>
            <w:noWrap/>
            <w:vAlign w:val="center"/>
            <w:hideMark/>
          </w:tcPr>
          <w:p w14:paraId="08D4E859"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nil"/>
              <w:right w:val="single" w:sz="4" w:space="0" w:color="auto"/>
            </w:tcBorders>
            <w:shd w:val="clear" w:color="auto" w:fill="auto"/>
            <w:noWrap/>
            <w:vAlign w:val="center"/>
            <w:hideMark/>
          </w:tcPr>
          <w:p w14:paraId="6AE24FB5" w14:textId="77777777" w:rsidR="00387142" w:rsidRPr="008B6A75" w:rsidRDefault="00387142" w:rsidP="00387142">
            <w:pPr>
              <w:jc w:val="right"/>
              <w:rPr>
                <w:bCs/>
                <w:sz w:val="20"/>
                <w:szCs w:val="20"/>
              </w:rPr>
            </w:pPr>
            <w:r w:rsidRPr="008B6A75">
              <w:rPr>
                <w:bCs/>
                <w:sz w:val="20"/>
                <w:szCs w:val="20"/>
              </w:rPr>
              <w:t>1 868 839,58</w:t>
            </w:r>
          </w:p>
        </w:tc>
        <w:tc>
          <w:tcPr>
            <w:tcW w:w="992" w:type="dxa"/>
            <w:gridSpan w:val="2"/>
            <w:tcBorders>
              <w:top w:val="nil"/>
              <w:left w:val="single" w:sz="4" w:space="0" w:color="auto"/>
              <w:bottom w:val="nil"/>
              <w:right w:val="nil"/>
            </w:tcBorders>
            <w:shd w:val="clear" w:color="auto" w:fill="auto"/>
            <w:noWrap/>
            <w:vAlign w:val="center"/>
            <w:hideMark/>
          </w:tcPr>
          <w:p w14:paraId="0718C77F" w14:textId="77777777" w:rsidR="00387142" w:rsidRPr="008B6A75" w:rsidRDefault="00387142" w:rsidP="00387142">
            <w:pPr>
              <w:jc w:val="right"/>
              <w:rPr>
                <w:bCs/>
                <w:sz w:val="20"/>
                <w:szCs w:val="20"/>
              </w:rPr>
            </w:pPr>
            <w:r w:rsidRPr="008B6A75">
              <w:rPr>
                <w:bCs/>
                <w:sz w:val="20"/>
                <w:szCs w:val="20"/>
              </w:rPr>
              <w:t>1 723 000,00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5CAA069C" w14:textId="77777777" w:rsidR="00387142" w:rsidRPr="008B6A75" w:rsidRDefault="00387142" w:rsidP="00387142">
            <w:pPr>
              <w:jc w:val="right"/>
              <w:rPr>
                <w:bCs/>
                <w:sz w:val="20"/>
                <w:szCs w:val="20"/>
              </w:rPr>
            </w:pPr>
            <w:r w:rsidRPr="008B6A75">
              <w:rPr>
                <w:bCs/>
                <w:sz w:val="20"/>
                <w:szCs w:val="20"/>
              </w:rPr>
              <w:t>1 723 000,00</w:t>
            </w:r>
          </w:p>
        </w:tc>
        <w:tc>
          <w:tcPr>
            <w:tcW w:w="222" w:type="dxa"/>
            <w:vAlign w:val="center"/>
            <w:hideMark/>
          </w:tcPr>
          <w:p w14:paraId="01CC86B6" w14:textId="77777777" w:rsidR="00387142" w:rsidRPr="008B6A75" w:rsidRDefault="00387142" w:rsidP="00387142">
            <w:pPr>
              <w:rPr>
                <w:sz w:val="20"/>
                <w:szCs w:val="20"/>
              </w:rPr>
            </w:pPr>
          </w:p>
        </w:tc>
      </w:tr>
      <w:tr w:rsidR="00387142" w:rsidRPr="008B6A75" w14:paraId="5AA2F291" w14:textId="77777777" w:rsidTr="00387142">
        <w:trPr>
          <w:trHeight w:val="1440"/>
        </w:trPr>
        <w:tc>
          <w:tcPr>
            <w:tcW w:w="3021" w:type="dxa"/>
            <w:tcBorders>
              <w:top w:val="single" w:sz="4" w:space="0" w:color="auto"/>
              <w:left w:val="single" w:sz="4" w:space="0" w:color="auto"/>
              <w:bottom w:val="nil"/>
              <w:right w:val="nil"/>
            </w:tcBorders>
            <w:shd w:val="clear" w:color="auto" w:fill="auto"/>
            <w:vAlign w:val="center"/>
            <w:hideMark/>
          </w:tcPr>
          <w:p w14:paraId="4A1104AB" w14:textId="77777777" w:rsidR="00387142" w:rsidRPr="008B6A75" w:rsidRDefault="00387142" w:rsidP="00387142">
            <w:pPr>
              <w:rPr>
                <w:sz w:val="20"/>
                <w:szCs w:val="20"/>
              </w:rPr>
            </w:pPr>
            <w:r w:rsidRPr="008B6A75">
              <w:rPr>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8B6A75">
              <w:rPr>
                <w:sz w:val="20"/>
                <w:szCs w:val="20"/>
              </w:rPr>
              <w:lastRenderedPageBreak/>
              <w:t>государственными внебюджетными фондами</w:t>
            </w:r>
          </w:p>
        </w:tc>
        <w:tc>
          <w:tcPr>
            <w:tcW w:w="850" w:type="dxa"/>
            <w:tcBorders>
              <w:top w:val="single" w:sz="4" w:space="0" w:color="auto"/>
              <w:left w:val="single" w:sz="4" w:space="0" w:color="auto"/>
              <w:bottom w:val="nil"/>
              <w:right w:val="nil"/>
            </w:tcBorders>
            <w:shd w:val="clear" w:color="auto" w:fill="auto"/>
            <w:noWrap/>
            <w:vAlign w:val="center"/>
            <w:hideMark/>
          </w:tcPr>
          <w:p w14:paraId="09ECF6E1" w14:textId="77777777" w:rsidR="00387142" w:rsidRPr="008B6A75" w:rsidRDefault="00387142" w:rsidP="00387142">
            <w:pPr>
              <w:jc w:val="center"/>
              <w:rPr>
                <w:sz w:val="20"/>
                <w:szCs w:val="20"/>
              </w:rPr>
            </w:pPr>
            <w:r w:rsidRPr="008B6A75">
              <w:rPr>
                <w:sz w:val="20"/>
                <w:szCs w:val="20"/>
              </w:rPr>
              <w:lastRenderedPageBreak/>
              <w:t>444</w:t>
            </w:r>
          </w:p>
        </w:tc>
        <w:tc>
          <w:tcPr>
            <w:tcW w:w="709" w:type="dxa"/>
            <w:tcBorders>
              <w:top w:val="single" w:sz="4" w:space="0" w:color="auto"/>
              <w:left w:val="single" w:sz="4" w:space="0" w:color="auto"/>
              <w:bottom w:val="nil"/>
              <w:right w:val="nil"/>
            </w:tcBorders>
            <w:shd w:val="clear" w:color="auto" w:fill="auto"/>
            <w:noWrap/>
            <w:vAlign w:val="center"/>
            <w:hideMark/>
          </w:tcPr>
          <w:p w14:paraId="62C7D8A6" w14:textId="77777777" w:rsidR="00387142" w:rsidRPr="008B6A75" w:rsidRDefault="00387142" w:rsidP="00387142">
            <w:pPr>
              <w:jc w:val="center"/>
              <w:rPr>
                <w:sz w:val="20"/>
                <w:szCs w:val="20"/>
              </w:rPr>
            </w:pPr>
            <w:r w:rsidRPr="008B6A75">
              <w:rPr>
                <w:sz w:val="20"/>
                <w:szCs w:val="20"/>
              </w:rPr>
              <w:t>01</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27CF3A03" w14:textId="77777777" w:rsidR="00387142" w:rsidRPr="008B6A75" w:rsidRDefault="00387142" w:rsidP="00387142">
            <w:pPr>
              <w:jc w:val="center"/>
              <w:rPr>
                <w:sz w:val="20"/>
                <w:szCs w:val="20"/>
              </w:rPr>
            </w:pPr>
            <w:r w:rsidRPr="008B6A75">
              <w:rPr>
                <w:sz w:val="20"/>
                <w:szCs w:val="20"/>
              </w:rPr>
              <w:t>03</w:t>
            </w:r>
          </w:p>
        </w:tc>
        <w:tc>
          <w:tcPr>
            <w:tcW w:w="1411" w:type="dxa"/>
            <w:tcBorders>
              <w:top w:val="single" w:sz="4" w:space="0" w:color="auto"/>
              <w:left w:val="single" w:sz="4" w:space="0" w:color="auto"/>
              <w:bottom w:val="nil"/>
              <w:right w:val="nil"/>
            </w:tcBorders>
            <w:shd w:val="clear" w:color="auto" w:fill="auto"/>
            <w:noWrap/>
            <w:vAlign w:val="center"/>
            <w:hideMark/>
          </w:tcPr>
          <w:p w14:paraId="53F15988" w14:textId="77777777" w:rsidR="00387142" w:rsidRPr="008B6A75" w:rsidRDefault="00387142" w:rsidP="00387142">
            <w:pPr>
              <w:jc w:val="center"/>
              <w:rPr>
                <w:sz w:val="20"/>
                <w:szCs w:val="20"/>
              </w:rPr>
            </w:pPr>
            <w:r w:rsidRPr="008B6A75">
              <w:rPr>
                <w:sz w:val="20"/>
                <w:szCs w:val="20"/>
              </w:rPr>
              <w:t>99.0.00.04110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6D04AB71" w14:textId="77777777" w:rsidR="00387142" w:rsidRPr="008B6A75" w:rsidRDefault="00387142" w:rsidP="00387142">
            <w:pPr>
              <w:jc w:val="center"/>
              <w:rPr>
                <w:sz w:val="20"/>
                <w:szCs w:val="20"/>
              </w:rPr>
            </w:pPr>
            <w:r w:rsidRPr="008B6A75">
              <w:rPr>
                <w:sz w:val="20"/>
                <w:szCs w:val="20"/>
              </w:rPr>
              <w:t>100</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6732039C" w14:textId="77777777" w:rsidR="00387142" w:rsidRPr="008B6A75" w:rsidRDefault="00387142" w:rsidP="00387142">
            <w:pPr>
              <w:jc w:val="right"/>
              <w:rPr>
                <w:sz w:val="20"/>
                <w:szCs w:val="20"/>
              </w:rPr>
            </w:pPr>
            <w:r w:rsidRPr="008B6A75">
              <w:rPr>
                <w:sz w:val="20"/>
                <w:szCs w:val="20"/>
              </w:rPr>
              <w:t>1 868 839,58</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04C177BA" w14:textId="77777777" w:rsidR="00387142" w:rsidRPr="008B6A75" w:rsidRDefault="00387142" w:rsidP="00387142">
            <w:pPr>
              <w:jc w:val="right"/>
              <w:rPr>
                <w:sz w:val="20"/>
                <w:szCs w:val="20"/>
              </w:rPr>
            </w:pPr>
            <w:r w:rsidRPr="008B6A75">
              <w:rPr>
                <w:sz w:val="20"/>
                <w:szCs w:val="20"/>
              </w:rPr>
              <w:t>1 723 000,00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0D1ADE4F" w14:textId="77777777" w:rsidR="00387142" w:rsidRPr="008B6A75" w:rsidRDefault="00387142" w:rsidP="00387142">
            <w:pPr>
              <w:jc w:val="right"/>
              <w:rPr>
                <w:sz w:val="20"/>
                <w:szCs w:val="20"/>
              </w:rPr>
            </w:pPr>
            <w:r w:rsidRPr="008B6A75">
              <w:rPr>
                <w:sz w:val="20"/>
                <w:szCs w:val="20"/>
              </w:rPr>
              <w:t>1 723 000,00</w:t>
            </w:r>
          </w:p>
        </w:tc>
        <w:tc>
          <w:tcPr>
            <w:tcW w:w="222" w:type="dxa"/>
            <w:vAlign w:val="center"/>
            <w:hideMark/>
          </w:tcPr>
          <w:p w14:paraId="5ACF37F7" w14:textId="77777777" w:rsidR="00387142" w:rsidRPr="008B6A75" w:rsidRDefault="00387142" w:rsidP="00387142">
            <w:pPr>
              <w:rPr>
                <w:sz w:val="20"/>
                <w:szCs w:val="20"/>
              </w:rPr>
            </w:pPr>
          </w:p>
        </w:tc>
      </w:tr>
      <w:tr w:rsidR="00387142" w:rsidRPr="008B6A75" w14:paraId="7FF2A379" w14:textId="77777777" w:rsidTr="00387142">
        <w:trPr>
          <w:trHeight w:val="585"/>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38409DD6" w14:textId="77777777" w:rsidR="00387142" w:rsidRPr="008B6A75" w:rsidRDefault="00387142" w:rsidP="00387142">
            <w:pPr>
              <w:rPr>
                <w:sz w:val="20"/>
                <w:szCs w:val="20"/>
              </w:rPr>
            </w:pPr>
            <w:r w:rsidRPr="008B6A75">
              <w:rPr>
                <w:sz w:val="20"/>
                <w:szCs w:val="20"/>
              </w:rPr>
              <w:t>Расходы на выплаты персоналу государственных (муниципальных) органов</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21F3E992" w14:textId="77777777" w:rsidR="00387142" w:rsidRPr="008B6A75" w:rsidRDefault="00387142" w:rsidP="00387142">
            <w:pPr>
              <w:jc w:val="center"/>
              <w:rPr>
                <w:sz w:val="20"/>
                <w:szCs w:val="20"/>
              </w:rPr>
            </w:pPr>
            <w:r w:rsidRPr="008B6A75">
              <w:rPr>
                <w:sz w:val="20"/>
                <w:szCs w:val="20"/>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25543CD0" w14:textId="77777777" w:rsidR="00387142" w:rsidRPr="008B6A75" w:rsidRDefault="00387142" w:rsidP="00387142">
            <w:pPr>
              <w:jc w:val="center"/>
              <w:rPr>
                <w:sz w:val="20"/>
                <w:szCs w:val="20"/>
              </w:rPr>
            </w:pPr>
            <w:r w:rsidRPr="008B6A75">
              <w:rPr>
                <w:sz w:val="20"/>
                <w:szCs w:val="20"/>
              </w:rPr>
              <w:t>01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ADC8F0" w14:textId="77777777" w:rsidR="00387142" w:rsidRPr="008B6A75" w:rsidRDefault="00387142" w:rsidP="00387142">
            <w:pPr>
              <w:jc w:val="center"/>
              <w:rPr>
                <w:sz w:val="20"/>
                <w:szCs w:val="20"/>
              </w:rPr>
            </w:pPr>
            <w:r w:rsidRPr="008B6A75">
              <w:rPr>
                <w:sz w:val="20"/>
                <w:szCs w:val="20"/>
              </w:rPr>
              <w:t>03</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45025CB4" w14:textId="77777777" w:rsidR="00387142" w:rsidRPr="008B6A75" w:rsidRDefault="00387142" w:rsidP="00387142">
            <w:pPr>
              <w:jc w:val="center"/>
              <w:rPr>
                <w:sz w:val="20"/>
                <w:szCs w:val="20"/>
              </w:rPr>
            </w:pPr>
            <w:r w:rsidRPr="008B6A75">
              <w:rPr>
                <w:sz w:val="20"/>
                <w:szCs w:val="20"/>
              </w:rPr>
              <w:t>99.0.00.04110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AB441B" w14:textId="77777777" w:rsidR="00387142" w:rsidRPr="008B6A75" w:rsidRDefault="00387142" w:rsidP="00387142">
            <w:pPr>
              <w:jc w:val="center"/>
              <w:rPr>
                <w:sz w:val="20"/>
                <w:szCs w:val="20"/>
              </w:rPr>
            </w:pPr>
            <w:r w:rsidRPr="008B6A75">
              <w:rPr>
                <w:sz w:val="20"/>
                <w:szCs w:val="20"/>
              </w:rPr>
              <w:t>120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6063B2" w14:textId="77777777" w:rsidR="00387142" w:rsidRPr="008B6A75" w:rsidRDefault="00387142" w:rsidP="00387142">
            <w:pPr>
              <w:jc w:val="right"/>
              <w:rPr>
                <w:sz w:val="20"/>
                <w:szCs w:val="20"/>
              </w:rPr>
            </w:pPr>
            <w:r w:rsidRPr="008B6A75">
              <w:rPr>
                <w:sz w:val="20"/>
                <w:szCs w:val="20"/>
              </w:rPr>
              <w:t>1 868 839,58</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53DDA417" w14:textId="77777777" w:rsidR="00387142" w:rsidRPr="008B6A75" w:rsidRDefault="00387142" w:rsidP="00387142">
            <w:pPr>
              <w:jc w:val="right"/>
              <w:rPr>
                <w:sz w:val="20"/>
                <w:szCs w:val="20"/>
              </w:rPr>
            </w:pPr>
            <w:r w:rsidRPr="008B6A75">
              <w:rPr>
                <w:sz w:val="20"/>
                <w:szCs w:val="20"/>
              </w:rPr>
              <w:t>1 723 000,00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ECED14" w14:textId="77777777" w:rsidR="00387142" w:rsidRPr="008B6A75" w:rsidRDefault="00387142" w:rsidP="00387142">
            <w:pPr>
              <w:jc w:val="right"/>
              <w:rPr>
                <w:sz w:val="20"/>
                <w:szCs w:val="20"/>
              </w:rPr>
            </w:pPr>
            <w:r w:rsidRPr="008B6A75">
              <w:rPr>
                <w:sz w:val="20"/>
                <w:szCs w:val="20"/>
              </w:rPr>
              <w:t>1 723 000,00</w:t>
            </w:r>
          </w:p>
        </w:tc>
        <w:tc>
          <w:tcPr>
            <w:tcW w:w="222" w:type="dxa"/>
            <w:vAlign w:val="center"/>
            <w:hideMark/>
          </w:tcPr>
          <w:p w14:paraId="34501998" w14:textId="77777777" w:rsidR="00387142" w:rsidRPr="008B6A75" w:rsidRDefault="00387142" w:rsidP="00387142">
            <w:pPr>
              <w:rPr>
                <w:sz w:val="20"/>
                <w:szCs w:val="20"/>
              </w:rPr>
            </w:pPr>
          </w:p>
        </w:tc>
      </w:tr>
      <w:tr w:rsidR="00387142" w:rsidRPr="008B6A75" w14:paraId="3DD2FA28" w14:textId="77777777" w:rsidTr="00387142">
        <w:trPr>
          <w:trHeight w:val="1440"/>
        </w:trPr>
        <w:tc>
          <w:tcPr>
            <w:tcW w:w="3021" w:type="dxa"/>
            <w:tcBorders>
              <w:top w:val="nil"/>
              <w:left w:val="single" w:sz="4" w:space="0" w:color="auto"/>
              <w:bottom w:val="nil"/>
              <w:right w:val="nil"/>
            </w:tcBorders>
            <w:shd w:val="clear" w:color="auto" w:fill="auto"/>
            <w:vAlign w:val="center"/>
            <w:hideMark/>
          </w:tcPr>
          <w:p w14:paraId="1A764F32" w14:textId="77777777" w:rsidR="00387142" w:rsidRPr="008B6A75" w:rsidRDefault="00387142" w:rsidP="00387142">
            <w:pPr>
              <w:rPr>
                <w:bCs/>
                <w:sz w:val="20"/>
                <w:szCs w:val="20"/>
              </w:rPr>
            </w:pPr>
            <w:r w:rsidRPr="008B6A75">
              <w:rPr>
                <w:bCs/>
                <w:sz w:val="20"/>
                <w:szCs w:val="20"/>
              </w:rPr>
              <w:t xml:space="preserve">Оплата труда председателя представительного органа местного самоуправления в </w:t>
            </w:r>
            <w:proofErr w:type="gramStart"/>
            <w:r w:rsidRPr="008B6A75">
              <w:rPr>
                <w:bCs/>
                <w:sz w:val="20"/>
                <w:szCs w:val="20"/>
              </w:rPr>
              <w:t>рамках  государственной</w:t>
            </w:r>
            <w:proofErr w:type="gramEnd"/>
            <w:r w:rsidRPr="008B6A75">
              <w:rPr>
                <w:bCs/>
                <w:sz w:val="20"/>
                <w:szCs w:val="20"/>
              </w:rPr>
              <w:t xml:space="preserve"> программы Новосибирской области "Управление  финансами в Новосибирской области"</w:t>
            </w:r>
          </w:p>
        </w:tc>
        <w:tc>
          <w:tcPr>
            <w:tcW w:w="850" w:type="dxa"/>
            <w:tcBorders>
              <w:top w:val="nil"/>
              <w:left w:val="single" w:sz="4" w:space="0" w:color="auto"/>
              <w:bottom w:val="nil"/>
              <w:right w:val="nil"/>
            </w:tcBorders>
            <w:shd w:val="clear" w:color="auto" w:fill="auto"/>
            <w:noWrap/>
            <w:vAlign w:val="center"/>
            <w:hideMark/>
          </w:tcPr>
          <w:p w14:paraId="47C8FCEB" w14:textId="77777777" w:rsidR="00387142" w:rsidRPr="008B6A75" w:rsidRDefault="00387142" w:rsidP="00387142">
            <w:pPr>
              <w:jc w:val="center"/>
              <w:rPr>
                <w:bCs/>
                <w:sz w:val="20"/>
                <w:szCs w:val="20"/>
              </w:rPr>
            </w:pPr>
            <w:r w:rsidRPr="008B6A75">
              <w:rPr>
                <w:bCs/>
                <w:sz w:val="20"/>
                <w:szCs w:val="20"/>
              </w:rPr>
              <w:t>444</w:t>
            </w:r>
          </w:p>
        </w:tc>
        <w:tc>
          <w:tcPr>
            <w:tcW w:w="709" w:type="dxa"/>
            <w:tcBorders>
              <w:top w:val="nil"/>
              <w:left w:val="single" w:sz="4" w:space="0" w:color="auto"/>
              <w:bottom w:val="nil"/>
              <w:right w:val="nil"/>
            </w:tcBorders>
            <w:shd w:val="clear" w:color="auto" w:fill="auto"/>
            <w:noWrap/>
            <w:vAlign w:val="center"/>
            <w:hideMark/>
          </w:tcPr>
          <w:p w14:paraId="049B8F5A" w14:textId="77777777" w:rsidR="00387142" w:rsidRPr="008B6A75" w:rsidRDefault="00387142" w:rsidP="00387142">
            <w:pPr>
              <w:jc w:val="center"/>
              <w:rPr>
                <w:bCs/>
                <w:sz w:val="20"/>
                <w:szCs w:val="20"/>
              </w:rPr>
            </w:pPr>
            <w:r w:rsidRPr="008B6A75">
              <w:rPr>
                <w:bCs/>
                <w:sz w:val="20"/>
                <w:szCs w:val="20"/>
              </w:rPr>
              <w:t>01</w:t>
            </w:r>
          </w:p>
        </w:tc>
        <w:tc>
          <w:tcPr>
            <w:tcW w:w="709" w:type="dxa"/>
            <w:tcBorders>
              <w:top w:val="nil"/>
              <w:left w:val="single" w:sz="4" w:space="0" w:color="auto"/>
              <w:bottom w:val="nil"/>
              <w:right w:val="single" w:sz="4" w:space="0" w:color="auto"/>
            </w:tcBorders>
            <w:shd w:val="clear" w:color="auto" w:fill="auto"/>
            <w:noWrap/>
            <w:vAlign w:val="center"/>
            <w:hideMark/>
          </w:tcPr>
          <w:p w14:paraId="5ED72A36" w14:textId="77777777" w:rsidR="00387142" w:rsidRPr="008B6A75" w:rsidRDefault="00387142" w:rsidP="00387142">
            <w:pPr>
              <w:jc w:val="center"/>
              <w:rPr>
                <w:bCs/>
                <w:sz w:val="20"/>
                <w:szCs w:val="20"/>
              </w:rPr>
            </w:pPr>
            <w:r w:rsidRPr="008B6A75">
              <w:rPr>
                <w:bCs/>
                <w:sz w:val="20"/>
                <w:szCs w:val="20"/>
              </w:rPr>
              <w:t>03</w:t>
            </w:r>
          </w:p>
        </w:tc>
        <w:tc>
          <w:tcPr>
            <w:tcW w:w="1411" w:type="dxa"/>
            <w:tcBorders>
              <w:top w:val="nil"/>
              <w:left w:val="single" w:sz="4" w:space="0" w:color="auto"/>
              <w:bottom w:val="nil"/>
              <w:right w:val="nil"/>
            </w:tcBorders>
            <w:shd w:val="clear" w:color="auto" w:fill="auto"/>
            <w:noWrap/>
            <w:vAlign w:val="center"/>
            <w:hideMark/>
          </w:tcPr>
          <w:p w14:paraId="7F7B547F" w14:textId="77777777" w:rsidR="00387142" w:rsidRPr="008B6A75" w:rsidRDefault="00387142" w:rsidP="00387142">
            <w:pPr>
              <w:jc w:val="center"/>
              <w:rPr>
                <w:bCs/>
                <w:sz w:val="20"/>
                <w:szCs w:val="20"/>
              </w:rPr>
            </w:pPr>
            <w:r w:rsidRPr="008B6A75">
              <w:rPr>
                <w:bCs/>
                <w:sz w:val="20"/>
                <w:szCs w:val="20"/>
              </w:rPr>
              <w:t>99.0.00.70512</w:t>
            </w:r>
          </w:p>
        </w:tc>
        <w:tc>
          <w:tcPr>
            <w:tcW w:w="955" w:type="dxa"/>
            <w:tcBorders>
              <w:top w:val="nil"/>
              <w:left w:val="single" w:sz="4" w:space="0" w:color="auto"/>
              <w:bottom w:val="nil"/>
              <w:right w:val="single" w:sz="4" w:space="0" w:color="auto"/>
            </w:tcBorders>
            <w:shd w:val="clear" w:color="auto" w:fill="auto"/>
            <w:noWrap/>
            <w:vAlign w:val="center"/>
            <w:hideMark/>
          </w:tcPr>
          <w:p w14:paraId="39658825"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nil"/>
              <w:right w:val="single" w:sz="4" w:space="0" w:color="auto"/>
            </w:tcBorders>
            <w:shd w:val="clear" w:color="auto" w:fill="auto"/>
            <w:noWrap/>
            <w:vAlign w:val="center"/>
            <w:hideMark/>
          </w:tcPr>
          <w:p w14:paraId="0724BE99" w14:textId="77777777" w:rsidR="00387142" w:rsidRPr="008B6A75" w:rsidRDefault="00387142" w:rsidP="00387142">
            <w:pPr>
              <w:jc w:val="right"/>
              <w:rPr>
                <w:bCs/>
                <w:sz w:val="20"/>
                <w:szCs w:val="20"/>
              </w:rPr>
            </w:pPr>
            <w:r w:rsidRPr="008B6A75">
              <w:rPr>
                <w:bCs/>
                <w:sz w:val="20"/>
                <w:szCs w:val="20"/>
              </w:rPr>
              <w:t>34 377,83</w:t>
            </w:r>
          </w:p>
        </w:tc>
        <w:tc>
          <w:tcPr>
            <w:tcW w:w="992" w:type="dxa"/>
            <w:gridSpan w:val="2"/>
            <w:tcBorders>
              <w:top w:val="nil"/>
              <w:left w:val="single" w:sz="4" w:space="0" w:color="auto"/>
              <w:bottom w:val="nil"/>
              <w:right w:val="nil"/>
            </w:tcBorders>
            <w:shd w:val="clear" w:color="auto" w:fill="auto"/>
            <w:noWrap/>
            <w:vAlign w:val="center"/>
            <w:hideMark/>
          </w:tcPr>
          <w:p w14:paraId="27B0AE2E" w14:textId="77777777" w:rsidR="00387142" w:rsidRPr="008B6A75" w:rsidRDefault="00387142" w:rsidP="00387142">
            <w:pPr>
              <w:jc w:val="right"/>
              <w:rPr>
                <w:bCs/>
                <w:sz w:val="20"/>
                <w:szCs w:val="20"/>
              </w:rPr>
            </w:pPr>
            <w:r w:rsidRPr="008B6A75">
              <w:rPr>
                <w:bCs/>
                <w:sz w:val="20"/>
                <w:szCs w:val="20"/>
              </w:rPr>
              <w:t>0,00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4016CFD6" w14:textId="77777777" w:rsidR="00387142" w:rsidRPr="008B6A75" w:rsidRDefault="00387142" w:rsidP="00387142">
            <w:pPr>
              <w:jc w:val="right"/>
              <w:rPr>
                <w:bCs/>
                <w:sz w:val="20"/>
                <w:szCs w:val="20"/>
              </w:rPr>
            </w:pPr>
            <w:r w:rsidRPr="008B6A75">
              <w:rPr>
                <w:bCs/>
                <w:sz w:val="20"/>
                <w:szCs w:val="20"/>
              </w:rPr>
              <w:t>0,00</w:t>
            </w:r>
          </w:p>
        </w:tc>
        <w:tc>
          <w:tcPr>
            <w:tcW w:w="222" w:type="dxa"/>
            <w:vAlign w:val="center"/>
            <w:hideMark/>
          </w:tcPr>
          <w:p w14:paraId="46301644" w14:textId="77777777" w:rsidR="00387142" w:rsidRPr="008B6A75" w:rsidRDefault="00387142" w:rsidP="00387142">
            <w:pPr>
              <w:rPr>
                <w:sz w:val="20"/>
                <w:szCs w:val="20"/>
              </w:rPr>
            </w:pPr>
          </w:p>
        </w:tc>
      </w:tr>
      <w:tr w:rsidR="00387142" w:rsidRPr="008B6A75" w14:paraId="0FA273AF" w14:textId="77777777" w:rsidTr="00387142">
        <w:trPr>
          <w:trHeight w:val="1440"/>
        </w:trPr>
        <w:tc>
          <w:tcPr>
            <w:tcW w:w="3021" w:type="dxa"/>
            <w:tcBorders>
              <w:top w:val="single" w:sz="4" w:space="0" w:color="auto"/>
              <w:left w:val="single" w:sz="4" w:space="0" w:color="auto"/>
              <w:bottom w:val="nil"/>
              <w:right w:val="nil"/>
            </w:tcBorders>
            <w:shd w:val="clear" w:color="auto" w:fill="auto"/>
            <w:vAlign w:val="center"/>
            <w:hideMark/>
          </w:tcPr>
          <w:p w14:paraId="61D3A6FF" w14:textId="77777777" w:rsidR="00387142" w:rsidRPr="008B6A75" w:rsidRDefault="00387142" w:rsidP="00387142">
            <w:pPr>
              <w:rPr>
                <w:sz w:val="20"/>
                <w:szCs w:val="20"/>
              </w:rPr>
            </w:pPr>
            <w:r w:rsidRPr="008B6A7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nil"/>
              <w:right w:val="nil"/>
            </w:tcBorders>
            <w:shd w:val="clear" w:color="auto" w:fill="auto"/>
            <w:noWrap/>
            <w:vAlign w:val="center"/>
            <w:hideMark/>
          </w:tcPr>
          <w:p w14:paraId="0FBA7602" w14:textId="77777777" w:rsidR="00387142" w:rsidRPr="008B6A75" w:rsidRDefault="00387142" w:rsidP="00387142">
            <w:pPr>
              <w:jc w:val="center"/>
              <w:rPr>
                <w:sz w:val="20"/>
                <w:szCs w:val="20"/>
              </w:rPr>
            </w:pPr>
            <w:r w:rsidRPr="008B6A75">
              <w:rPr>
                <w:sz w:val="20"/>
                <w:szCs w:val="20"/>
              </w:rPr>
              <w:t>444</w:t>
            </w:r>
          </w:p>
        </w:tc>
        <w:tc>
          <w:tcPr>
            <w:tcW w:w="709" w:type="dxa"/>
            <w:tcBorders>
              <w:top w:val="single" w:sz="4" w:space="0" w:color="auto"/>
              <w:left w:val="single" w:sz="4" w:space="0" w:color="auto"/>
              <w:bottom w:val="nil"/>
              <w:right w:val="nil"/>
            </w:tcBorders>
            <w:shd w:val="clear" w:color="auto" w:fill="auto"/>
            <w:noWrap/>
            <w:vAlign w:val="center"/>
            <w:hideMark/>
          </w:tcPr>
          <w:p w14:paraId="7F4DD761" w14:textId="77777777" w:rsidR="00387142" w:rsidRPr="008B6A75" w:rsidRDefault="00387142" w:rsidP="00387142">
            <w:pPr>
              <w:jc w:val="center"/>
              <w:rPr>
                <w:sz w:val="20"/>
                <w:szCs w:val="20"/>
              </w:rPr>
            </w:pPr>
            <w:r w:rsidRPr="008B6A75">
              <w:rPr>
                <w:sz w:val="20"/>
                <w:szCs w:val="20"/>
              </w:rPr>
              <w:t>01</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684CAE54" w14:textId="77777777" w:rsidR="00387142" w:rsidRPr="008B6A75" w:rsidRDefault="00387142" w:rsidP="00387142">
            <w:pPr>
              <w:jc w:val="center"/>
              <w:rPr>
                <w:sz w:val="20"/>
                <w:szCs w:val="20"/>
              </w:rPr>
            </w:pPr>
            <w:r w:rsidRPr="008B6A75">
              <w:rPr>
                <w:sz w:val="20"/>
                <w:szCs w:val="20"/>
              </w:rPr>
              <w:t>03</w:t>
            </w:r>
          </w:p>
        </w:tc>
        <w:tc>
          <w:tcPr>
            <w:tcW w:w="1411" w:type="dxa"/>
            <w:tcBorders>
              <w:top w:val="single" w:sz="4" w:space="0" w:color="auto"/>
              <w:left w:val="single" w:sz="4" w:space="0" w:color="auto"/>
              <w:bottom w:val="nil"/>
              <w:right w:val="nil"/>
            </w:tcBorders>
            <w:shd w:val="clear" w:color="auto" w:fill="auto"/>
            <w:noWrap/>
            <w:vAlign w:val="center"/>
            <w:hideMark/>
          </w:tcPr>
          <w:p w14:paraId="60C8C3BA" w14:textId="77777777" w:rsidR="00387142" w:rsidRPr="008B6A75" w:rsidRDefault="00387142" w:rsidP="00387142">
            <w:pPr>
              <w:jc w:val="center"/>
              <w:rPr>
                <w:sz w:val="20"/>
                <w:szCs w:val="20"/>
              </w:rPr>
            </w:pPr>
            <w:r w:rsidRPr="008B6A75">
              <w:rPr>
                <w:sz w:val="20"/>
                <w:szCs w:val="20"/>
              </w:rPr>
              <w:t>99.0.00.70512</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1109900A" w14:textId="77777777" w:rsidR="00387142" w:rsidRPr="008B6A75" w:rsidRDefault="00387142" w:rsidP="00387142">
            <w:pPr>
              <w:jc w:val="center"/>
              <w:rPr>
                <w:sz w:val="20"/>
                <w:szCs w:val="20"/>
              </w:rPr>
            </w:pPr>
            <w:r w:rsidRPr="008B6A75">
              <w:rPr>
                <w:sz w:val="20"/>
                <w:szCs w:val="20"/>
              </w:rPr>
              <w:t>100</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36E77E77" w14:textId="77777777" w:rsidR="00387142" w:rsidRPr="008B6A75" w:rsidRDefault="00387142" w:rsidP="00387142">
            <w:pPr>
              <w:jc w:val="right"/>
              <w:rPr>
                <w:sz w:val="20"/>
                <w:szCs w:val="20"/>
              </w:rPr>
            </w:pPr>
            <w:r w:rsidRPr="008B6A75">
              <w:rPr>
                <w:sz w:val="20"/>
                <w:szCs w:val="20"/>
              </w:rPr>
              <w:t>34 377,83</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69EB62DC" w14:textId="77777777" w:rsidR="00387142" w:rsidRPr="008B6A75" w:rsidRDefault="00387142" w:rsidP="00387142">
            <w:pPr>
              <w:jc w:val="right"/>
              <w:rPr>
                <w:sz w:val="20"/>
                <w:szCs w:val="20"/>
              </w:rPr>
            </w:pPr>
            <w:r w:rsidRPr="008B6A75">
              <w:rPr>
                <w:sz w:val="20"/>
                <w:szCs w:val="20"/>
              </w:rPr>
              <w:t>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063C84A4" w14:textId="77777777" w:rsidR="00387142" w:rsidRPr="008B6A75" w:rsidRDefault="00387142" w:rsidP="00387142">
            <w:pPr>
              <w:jc w:val="right"/>
              <w:rPr>
                <w:sz w:val="20"/>
                <w:szCs w:val="20"/>
              </w:rPr>
            </w:pPr>
            <w:r w:rsidRPr="008B6A75">
              <w:rPr>
                <w:sz w:val="20"/>
                <w:szCs w:val="20"/>
              </w:rPr>
              <w:t>0,00</w:t>
            </w:r>
          </w:p>
        </w:tc>
        <w:tc>
          <w:tcPr>
            <w:tcW w:w="222" w:type="dxa"/>
            <w:vAlign w:val="center"/>
            <w:hideMark/>
          </w:tcPr>
          <w:p w14:paraId="5AB93E93" w14:textId="77777777" w:rsidR="00387142" w:rsidRPr="008B6A75" w:rsidRDefault="00387142" w:rsidP="00387142">
            <w:pPr>
              <w:rPr>
                <w:sz w:val="20"/>
                <w:szCs w:val="20"/>
              </w:rPr>
            </w:pPr>
          </w:p>
        </w:tc>
      </w:tr>
      <w:tr w:rsidR="00387142" w:rsidRPr="008B6A75" w14:paraId="3AF11E61" w14:textId="77777777" w:rsidTr="00387142">
        <w:trPr>
          <w:trHeight w:val="585"/>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663CB1BA" w14:textId="77777777" w:rsidR="00387142" w:rsidRPr="008B6A75" w:rsidRDefault="00387142" w:rsidP="00387142">
            <w:pPr>
              <w:rPr>
                <w:sz w:val="20"/>
                <w:szCs w:val="20"/>
              </w:rPr>
            </w:pPr>
            <w:r w:rsidRPr="008B6A75">
              <w:rPr>
                <w:sz w:val="20"/>
                <w:szCs w:val="20"/>
              </w:rPr>
              <w:t>Расходы на выплаты персоналу государственных (муниципальных) органов</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417B0C67" w14:textId="77777777" w:rsidR="00387142" w:rsidRPr="008B6A75" w:rsidRDefault="00387142" w:rsidP="00387142">
            <w:pPr>
              <w:jc w:val="center"/>
              <w:rPr>
                <w:sz w:val="20"/>
                <w:szCs w:val="20"/>
              </w:rPr>
            </w:pPr>
            <w:r w:rsidRPr="008B6A75">
              <w:rPr>
                <w:sz w:val="20"/>
                <w:szCs w:val="20"/>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2897B179" w14:textId="77777777" w:rsidR="00387142" w:rsidRPr="008B6A75" w:rsidRDefault="00387142" w:rsidP="00387142">
            <w:pPr>
              <w:jc w:val="center"/>
              <w:rPr>
                <w:sz w:val="20"/>
                <w:szCs w:val="20"/>
              </w:rPr>
            </w:pPr>
            <w:r w:rsidRPr="008B6A75">
              <w:rPr>
                <w:sz w:val="20"/>
                <w:szCs w:val="20"/>
              </w:rPr>
              <w:t>01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803191" w14:textId="77777777" w:rsidR="00387142" w:rsidRPr="008B6A75" w:rsidRDefault="00387142" w:rsidP="00387142">
            <w:pPr>
              <w:jc w:val="center"/>
              <w:rPr>
                <w:sz w:val="20"/>
                <w:szCs w:val="20"/>
              </w:rPr>
            </w:pPr>
            <w:r w:rsidRPr="008B6A75">
              <w:rPr>
                <w:sz w:val="20"/>
                <w:szCs w:val="20"/>
              </w:rPr>
              <w:t>03</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76FA73DF" w14:textId="77777777" w:rsidR="00387142" w:rsidRPr="008B6A75" w:rsidRDefault="00387142" w:rsidP="00387142">
            <w:pPr>
              <w:jc w:val="center"/>
              <w:rPr>
                <w:sz w:val="20"/>
                <w:szCs w:val="20"/>
              </w:rPr>
            </w:pPr>
            <w:r w:rsidRPr="008B6A75">
              <w:rPr>
                <w:sz w:val="20"/>
                <w:szCs w:val="20"/>
              </w:rPr>
              <w:t>99.0.00.70512</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3C16F2" w14:textId="77777777" w:rsidR="00387142" w:rsidRPr="008B6A75" w:rsidRDefault="00387142" w:rsidP="00387142">
            <w:pPr>
              <w:jc w:val="center"/>
              <w:rPr>
                <w:sz w:val="20"/>
                <w:szCs w:val="20"/>
              </w:rPr>
            </w:pPr>
            <w:r w:rsidRPr="008B6A75">
              <w:rPr>
                <w:sz w:val="20"/>
                <w:szCs w:val="20"/>
              </w:rPr>
              <w:t>120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48E8CC" w14:textId="77777777" w:rsidR="00387142" w:rsidRPr="008B6A75" w:rsidRDefault="00387142" w:rsidP="00387142">
            <w:pPr>
              <w:jc w:val="right"/>
              <w:rPr>
                <w:sz w:val="20"/>
                <w:szCs w:val="20"/>
              </w:rPr>
            </w:pPr>
            <w:r w:rsidRPr="008B6A75">
              <w:rPr>
                <w:sz w:val="20"/>
                <w:szCs w:val="20"/>
              </w:rPr>
              <w:t>34 377,83</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7D17E4B9" w14:textId="77777777" w:rsidR="00387142" w:rsidRPr="008B6A75" w:rsidRDefault="00387142" w:rsidP="00387142">
            <w:pPr>
              <w:jc w:val="right"/>
              <w:rPr>
                <w:sz w:val="20"/>
                <w:szCs w:val="20"/>
              </w:rPr>
            </w:pPr>
            <w:r w:rsidRPr="008B6A75">
              <w:rPr>
                <w:sz w:val="20"/>
                <w:szCs w:val="20"/>
              </w:rPr>
              <w:t>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AE9A4D" w14:textId="77777777" w:rsidR="00387142" w:rsidRPr="008B6A75" w:rsidRDefault="00387142" w:rsidP="00387142">
            <w:pPr>
              <w:jc w:val="right"/>
              <w:rPr>
                <w:sz w:val="20"/>
                <w:szCs w:val="20"/>
              </w:rPr>
            </w:pPr>
            <w:r w:rsidRPr="008B6A75">
              <w:rPr>
                <w:sz w:val="20"/>
                <w:szCs w:val="20"/>
              </w:rPr>
              <w:t>0,00</w:t>
            </w:r>
          </w:p>
        </w:tc>
        <w:tc>
          <w:tcPr>
            <w:tcW w:w="222" w:type="dxa"/>
            <w:vAlign w:val="center"/>
            <w:hideMark/>
          </w:tcPr>
          <w:p w14:paraId="7D6230A5" w14:textId="77777777" w:rsidR="00387142" w:rsidRPr="008B6A75" w:rsidRDefault="00387142" w:rsidP="00387142">
            <w:pPr>
              <w:rPr>
                <w:sz w:val="20"/>
                <w:szCs w:val="20"/>
              </w:rPr>
            </w:pPr>
          </w:p>
        </w:tc>
      </w:tr>
      <w:tr w:rsidR="00387142" w:rsidRPr="008B6A75" w14:paraId="3E12ECE7" w14:textId="77777777" w:rsidTr="00387142">
        <w:trPr>
          <w:trHeight w:val="1440"/>
        </w:trPr>
        <w:tc>
          <w:tcPr>
            <w:tcW w:w="3021" w:type="dxa"/>
            <w:tcBorders>
              <w:top w:val="nil"/>
              <w:left w:val="single" w:sz="4" w:space="0" w:color="auto"/>
              <w:bottom w:val="nil"/>
              <w:right w:val="nil"/>
            </w:tcBorders>
            <w:shd w:val="clear" w:color="auto" w:fill="auto"/>
            <w:vAlign w:val="center"/>
            <w:hideMark/>
          </w:tcPr>
          <w:p w14:paraId="4F275391" w14:textId="77777777" w:rsidR="00387142" w:rsidRPr="008B6A75" w:rsidRDefault="00387142" w:rsidP="00387142">
            <w:pPr>
              <w:rPr>
                <w:bCs/>
                <w:sz w:val="20"/>
                <w:szCs w:val="20"/>
              </w:rPr>
            </w:pPr>
            <w:r w:rsidRPr="008B6A75">
              <w:rPr>
                <w:b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0" w:type="dxa"/>
            <w:tcBorders>
              <w:top w:val="nil"/>
              <w:left w:val="single" w:sz="4" w:space="0" w:color="auto"/>
              <w:bottom w:val="nil"/>
              <w:right w:val="nil"/>
            </w:tcBorders>
            <w:shd w:val="clear" w:color="auto" w:fill="auto"/>
            <w:noWrap/>
            <w:vAlign w:val="center"/>
            <w:hideMark/>
          </w:tcPr>
          <w:p w14:paraId="32BDC3D5" w14:textId="77777777" w:rsidR="00387142" w:rsidRPr="008B6A75" w:rsidRDefault="00387142" w:rsidP="00387142">
            <w:pPr>
              <w:jc w:val="center"/>
              <w:rPr>
                <w:bCs/>
                <w:sz w:val="20"/>
                <w:szCs w:val="20"/>
              </w:rPr>
            </w:pPr>
            <w:r w:rsidRPr="008B6A75">
              <w:rPr>
                <w:bCs/>
                <w:sz w:val="20"/>
                <w:szCs w:val="20"/>
              </w:rPr>
              <w:t>444</w:t>
            </w:r>
          </w:p>
        </w:tc>
        <w:tc>
          <w:tcPr>
            <w:tcW w:w="709" w:type="dxa"/>
            <w:tcBorders>
              <w:top w:val="nil"/>
              <w:left w:val="single" w:sz="4" w:space="0" w:color="auto"/>
              <w:bottom w:val="nil"/>
              <w:right w:val="nil"/>
            </w:tcBorders>
            <w:shd w:val="clear" w:color="auto" w:fill="auto"/>
            <w:noWrap/>
            <w:vAlign w:val="center"/>
            <w:hideMark/>
          </w:tcPr>
          <w:p w14:paraId="350E9A45" w14:textId="77777777" w:rsidR="00387142" w:rsidRPr="008B6A75" w:rsidRDefault="00387142" w:rsidP="00387142">
            <w:pPr>
              <w:jc w:val="center"/>
              <w:rPr>
                <w:bCs/>
                <w:sz w:val="20"/>
                <w:szCs w:val="20"/>
              </w:rPr>
            </w:pPr>
            <w:r w:rsidRPr="008B6A75">
              <w:rPr>
                <w:bCs/>
                <w:sz w:val="20"/>
                <w:szCs w:val="20"/>
              </w:rPr>
              <w:t>01</w:t>
            </w:r>
          </w:p>
        </w:tc>
        <w:tc>
          <w:tcPr>
            <w:tcW w:w="709" w:type="dxa"/>
            <w:tcBorders>
              <w:top w:val="nil"/>
              <w:left w:val="single" w:sz="4" w:space="0" w:color="auto"/>
              <w:bottom w:val="nil"/>
              <w:right w:val="single" w:sz="4" w:space="0" w:color="auto"/>
            </w:tcBorders>
            <w:shd w:val="clear" w:color="auto" w:fill="auto"/>
            <w:noWrap/>
            <w:vAlign w:val="center"/>
            <w:hideMark/>
          </w:tcPr>
          <w:p w14:paraId="0C412562" w14:textId="77777777" w:rsidR="00387142" w:rsidRPr="008B6A75" w:rsidRDefault="00387142" w:rsidP="00387142">
            <w:pPr>
              <w:jc w:val="center"/>
              <w:rPr>
                <w:bCs/>
                <w:sz w:val="20"/>
                <w:szCs w:val="20"/>
              </w:rPr>
            </w:pPr>
            <w:r w:rsidRPr="008B6A75">
              <w:rPr>
                <w:bCs/>
                <w:sz w:val="20"/>
                <w:szCs w:val="20"/>
              </w:rPr>
              <w:t>04</w:t>
            </w:r>
          </w:p>
        </w:tc>
        <w:tc>
          <w:tcPr>
            <w:tcW w:w="1411" w:type="dxa"/>
            <w:tcBorders>
              <w:top w:val="nil"/>
              <w:left w:val="single" w:sz="4" w:space="0" w:color="auto"/>
              <w:bottom w:val="nil"/>
              <w:right w:val="nil"/>
            </w:tcBorders>
            <w:shd w:val="clear" w:color="auto" w:fill="auto"/>
            <w:noWrap/>
            <w:vAlign w:val="center"/>
            <w:hideMark/>
          </w:tcPr>
          <w:p w14:paraId="3A43CBB0" w14:textId="77777777" w:rsidR="00387142" w:rsidRPr="008B6A75" w:rsidRDefault="00387142" w:rsidP="00387142">
            <w:pPr>
              <w:jc w:val="center"/>
              <w:rPr>
                <w:bCs/>
                <w:sz w:val="20"/>
                <w:szCs w:val="20"/>
              </w:rPr>
            </w:pPr>
            <w:r w:rsidRPr="008B6A75">
              <w:rPr>
                <w:bCs/>
                <w:sz w:val="20"/>
                <w:szCs w:val="20"/>
              </w:rPr>
              <w:t> </w:t>
            </w:r>
          </w:p>
        </w:tc>
        <w:tc>
          <w:tcPr>
            <w:tcW w:w="955" w:type="dxa"/>
            <w:tcBorders>
              <w:top w:val="nil"/>
              <w:left w:val="single" w:sz="4" w:space="0" w:color="auto"/>
              <w:bottom w:val="nil"/>
              <w:right w:val="single" w:sz="4" w:space="0" w:color="auto"/>
            </w:tcBorders>
            <w:shd w:val="clear" w:color="auto" w:fill="auto"/>
            <w:noWrap/>
            <w:vAlign w:val="center"/>
            <w:hideMark/>
          </w:tcPr>
          <w:p w14:paraId="55E9E36C"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nil"/>
              <w:right w:val="single" w:sz="4" w:space="0" w:color="auto"/>
            </w:tcBorders>
            <w:shd w:val="clear" w:color="auto" w:fill="auto"/>
            <w:noWrap/>
            <w:vAlign w:val="center"/>
            <w:hideMark/>
          </w:tcPr>
          <w:p w14:paraId="08C680D4" w14:textId="77777777" w:rsidR="00387142" w:rsidRPr="008B6A75" w:rsidRDefault="00387142" w:rsidP="00387142">
            <w:pPr>
              <w:jc w:val="right"/>
              <w:rPr>
                <w:bCs/>
                <w:sz w:val="20"/>
                <w:szCs w:val="20"/>
              </w:rPr>
            </w:pPr>
            <w:r w:rsidRPr="008B6A75">
              <w:rPr>
                <w:bCs/>
                <w:sz w:val="20"/>
                <w:szCs w:val="20"/>
              </w:rPr>
              <w:t>90 062 858,22</w:t>
            </w:r>
          </w:p>
        </w:tc>
        <w:tc>
          <w:tcPr>
            <w:tcW w:w="992" w:type="dxa"/>
            <w:gridSpan w:val="2"/>
            <w:tcBorders>
              <w:top w:val="nil"/>
              <w:left w:val="single" w:sz="4" w:space="0" w:color="auto"/>
              <w:bottom w:val="nil"/>
              <w:right w:val="nil"/>
            </w:tcBorders>
            <w:shd w:val="clear" w:color="auto" w:fill="auto"/>
            <w:noWrap/>
            <w:vAlign w:val="center"/>
            <w:hideMark/>
          </w:tcPr>
          <w:p w14:paraId="4248E948" w14:textId="77777777" w:rsidR="00387142" w:rsidRPr="008B6A75" w:rsidRDefault="00387142" w:rsidP="00387142">
            <w:pPr>
              <w:jc w:val="right"/>
              <w:rPr>
                <w:bCs/>
                <w:sz w:val="20"/>
                <w:szCs w:val="20"/>
              </w:rPr>
            </w:pPr>
            <w:r w:rsidRPr="008B6A75">
              <w:rPr>
                <w:bCs/>
                <w:sz w:val="20"/>
                <w:szCs w:val="20"/>
              </w:rPr>
              <w:t>51 150 844,18</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022A45B4" w14:textId="77777777" w:rsidR="00387142" w:rsidRPr="008B6A75" w:rsidRDefault="00387142" w:rsidP="00387142">
            <w:pPr>
              <w:jc w:val="right"/>
              <w:rPr>
                <w:bCs/>
                <w:sz w:val="20"/>
                <w:szCs w:val="20"/>
              </w:rPr>
            </w:pPr>
            <w:r w:rsidRPr="008B6A75">
              <w:rPr>
                <w:bCs/>
                <w:sz w:val="20"/>
                <w:szCs w:val="20"/>
              </w:rPr>
              <w:t>35 795 321,97</w:t>
            </w:r>
          </w:p>
        </w:tc>
        <w:tc>
          <w:tcPr>
            <w:tcW w:w="222" w:type="dxa"/>
            <w:vAlign w:val="center"/>
            <w:hideMark/>
          </w:tcPr>
          <w:p w14:paraId="2AC0B600" w14:textId="77777777" w:rsidR="00387142" w:rsidRPr="008B6A75" w:rsidRDefault="00387142" w:rsidP="00387142">
            <w:pPr>
              <w:rPr>
                <w:sz w:val="20"/>
                <w:szCs w:val="20"/>
              </w:rPr>
            </w:pPr>
          </w:p>
        </w:tc>
      </w:tr>
      <w:tr w:rsidR="00387142" w:rsidRPr="008B6A75" w14:paraId="481BA65E" w14:textId="77777777" w:rsidTr="00387142">
        <w:trPr>
          <w:trHeight w:val="300"/>
        </w:trPr>
        <w:tc>
          <w:tcPr>
            <w:tcW w:w="3021" w:type="dxa"/>
            <w:tcBorders>
              <w:top w:val="single" w:sz="4" w:space="0" w:color="auto"/>
              <w:left w:val="single" w:sz="4" w:space="0" w:color="auto"/>
              <w:bottom w:val="nil"/>
              <w:right w:val="nil"/>
            </w:tcBorders>
            <w:shd w:val="clear" w:color="auto" w:fill="auto"/>
            <w:vAlign w:val="center"/>
            <w:hideMark/>
          </w:tcPr>
          <w:p w14:paraId="77172EA9" w14:textId="77777777" w:rsidR="00387142" w:rsidRPr="008B6A75" w:rsidRDefault="00387142" w:rsidP="00387142">
            <w:pPr>
              <w:rPr>
                <w:bCs/>
                <w:sz w:val="20"/>
                <w:szCs w:val="20"/>
              </w:rPr>
            </w:pPr>
            <w:r w:rsidRPr="008B6A75">
              <w:rPr>
                <w:bCs/>
                <w:sz w:val="20"/>
                <w:szCs w:val="20"/>
              </w:rPr>
              <w:t>Непрограммные направления бюджета</w:t>
            </w:r>
          </w:p>
        </w:tc>
        <w:tc>
          <w:tcPr>
            <w:tcW w:w="850" w:type="dxa"/>
            <w:tcBorders>
              <w:top w:val="single" w:sz="4" w:space="0" w:color="auto"/>
              <w:left w:val="single" w:sz="4" w:space="0" w:color="auto"/>
              <w:bottom w:val="nil"/>
              <w:right w:val="nil"/>
            </w:tcBorders>
            <w:shd w:val="clear" w:color="auto" w:fill="auto"/>
            <w:noWrap/>
            <w:vAlign w:val="center"/>
            <w:hideMark/>
          </w:tcPr>
          <w:p w14:paraId="4F65F3F1" w14:textId="77777777" w:rsidR="00387142" w:rsidRPr="008B6A75" w:rsidRDefault="00387142" w:rsidP="00387142">
            <w:pPr>
              <w:jc w:val="center"/>
              <w:rPr>
                <w:bCs/>
                <w:sz w:val="20"/>
                <w:szCs w:val="20"/>
              </w:rPr>
            </w:pPr>
            <w:r w:rsidRPr="008B6A75">
              <w:rPr>
                <w:bCs/>
                <w:sz w:val="20"/>
                <w:szCs w:val="20"/>
              </w:rPr>
              <w:t>444</w:t>
            </w:r>
          </w:p>
        </w:tc>
        <w:tc>
          <w:tcPr>
            <w:tcW w:w="709" w:type="dxa"/>
            <w:tcBorders>
              <w:top w:val="single" w:sz="4" w:space="0" w:color="auto"/>
              <w:left w:val="single" w:sz="4" w:space="0" w:color="auto"/>
              <w:bottom w:val="nil"/>
              <w:right w:val="nil"/>
            </w:tcBorders>
            <w:shd w:val="clear" w:color="auto" w:fill="auto"/>
            <w:noWrap/>
            <w:vAlign w:val="center"/>
            <w:hideMark/>
          </w:tcPr>
          <w:p w14:paraId="154C49C8" w14:textId="77777777" w:rsidR="00387142" w:rsidRPr="008B6A75" w:rsidRDefault="00387142" w:rsidP="00387142">
            <w:pPr>
              <w:jc w:val="center"/>
              <w:rPr>
                <w:bCs/>
                <w:sz w:val="20"/>
                <w:szCs w:val="20"/>
              </w:rPr>
            </w:pPr>
            <w:r w:rsidRPr="008B6A75">
              <w:rPr>
                <w:bCs/>
                <w:sz w:val="20"/>
                <w:szCs w:val="20"/>
              </w:rPr>
              <w:t>01</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2AB74058" w14:textId="77777777" w:rsidR="00387142" w:rsidRPr="008B6A75" w:rsidRDefault="00387142" w:rsidP="00387142">
            <w:pPr>
              <w:jc w:val="center"/>
              <w:rPr>
                <w:bCs/>
                <w:sz w:val="20"/>
                <w:szCs w:val="20"/>
              </w:rPr>
            </w:pPr>
            <w:r w:rsidRPr="008B6A75">
              <w:rPr>
                <w:bCs/>
                <w:sz w:val="20"/>
                <w:szCs w:val="20"/>
              </w:rPr>
              <w:t>04</w:t>
            </w:r>
          </w:p>
        </w:tc>
        <w:tc>
          <w:tcPr>
            <w:tcW w:w="1411" w:type="dxa"/>
            <w:tcBorders>
              <w:top w:val="single" w:sz="4" w:space="0" w:color="auto"/>
              <w:left w:val="single" w:sz="4" w:space="0" w:color="auto"/>
              <w:bottom w:val="nil"/>
              <w:right w:val="nil"/>
            </w:tcBorders>
            <w:shd w:val="clear" w:color="auto" w:fill="auto"/>
            <w:noWrap/>
            <w:vAlign w:val="center"/>
            <w:hideMark/>
          </w:tcPr>
          <w:p w14:paraId="532C3CC5" w14:textId="77777777" w:rsidR="00387142" w:rsidRPr="008B6A75" w:rsidRDefault="00387142" w:rsidP="00387142">
            <w:pPr>
              <w:jc w:val="center"/>
              <w:rPr>
                <w:bCs/>
                <w:sz w:val="20"/>
                <w:szCs w:val="20"/>
              </w:rPr>
            </w:pPr>
            <w:r w:rsidRPr="008B6A75">
              <w:rPr>
                <w:bCs/>
                <w:sz w:val="20"/>
                <w:szCs w:val="20"/>
              </w:rPr>
              <w:t>99.0.00.00000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6324325F" w14:textId="77777777" w:rsidR="00387142" w:rsidRPr="008B6A75" w:rsidRDefault="00387142" w:rsidP="00387142">
            <w:pPr>
              <w:jc w:val="center"/>
              <w:rPr>
                <w:bCs/>
                <w:sz w:val="20"/>
                <w:szCs w:val="20"/>
              </w:rPr>
            </w:pPr>
            <w:r w:rsidRPr="008B6A75">
              <w:rPr>
                <w:bCs/>
                <w:sz w:val="20"/>
                <w:szCs w:val="20"/>
              </w:rPr>
              <w:t> </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7EAD5A6C" w14:textId="77777777" w:rsidR="00387142" w:rsidRPr="008B6A75" w:rsidRDefault="00387142" w:rsidP="00387142">
            <w:pPr>
              <w:jc w:val="right"/>
              <w:rPr>
                <w:bCs/>
                <w:sz w:val="20"/>
                <w:szCs w:val="20"/>
              </w:rPr>
            </w:pPr>
            <w:r w:rsidRPr="008B6A75">
              <w:rPr>
                <w:bCs/>
                <w:sz w:val="20"/>
                <w:szCs w:val="20"/>
              </w:rPr>
              <w:t>90 062 858,22</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5B72E15C" w14:textId="77777777" w:rsidR="00387142" w:rsidRPr="008B6A75" w:rsidRDefault="00387142" w:rsidP="00387142">
            <w:pPr>
              <w:jc w:val="right"/>
              <w:rPr>
                <w:bCs/>
                <w:sz w:val="20"/>
                <w:szCs w:val="20"/>
              </w:rPr>
            </w:pPr>
            <w:r w:rsidRPr="008B6A75">
              <w:rPr>
                <w:bCs/>
                <w:sz w:val="20"/>
                <w:szCs w:val="20"/>
              </w:rPr>
              <w:t>51 150 844,18</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613C77A3" w14:textId="77777777" w:rsidR="00387142" w:rsidRPr="008B6A75" w:rsidRDefault="00387142" w:rsidP="00387142">
            <w:pPr>
              <w:jc w:val="right"/>
              <w:rPr>
                <w:bCs/>
                <w:sz w:val="20"/>
                <w:szCs w:val="20"/>
              </w:rPr>
            </w:pPr>
            <w:r w:rsidRPr="008B6A75">
              <w:rPr>
                <w:bCs/>
                <w:sz w:val="20"/>
                <w:szCs w:val="20"/>
              </w:rPr>
              <w:t>35 795 321,97</w:t>
            </w:r>
          </w:p>
        </w:tc>
        <w:tc>
          <w:tcPr>
            <w:tcW w:w="222" w:type="dxa"/>
            <w:vAlign w:val="center"/>
            <w:hideMark/>
          </w:tcPr>
          <w:p w14:paraId="67C693A9" w14:textId="77777777" w:rsidR="00387142" w:rsidRPr="008B6A75" w:rsidRDefault="00387142" w:rsidP="00387142">
            <w:pPr>
              <w:rPr>
                <w:sz w:val="20"/>
                <w:szCs w:val="20"/>
              </w:rPr>
            </w:pPr>
          </w:p>
        </w:tc>
      </w:tr>
      <w:tr w:rsidR="00387142" w:rsidRPr="008B6A75" w14:paraId="6FA5BCB1" w14:textId="77777777" w:rsidTr="00387142">
        <w:trPr>
          <w:trHeight w:val="585"/>
        </w:trPr>
        <w:tc>
          <w:tcPr>
            <w:tcW w:w="3021" w:type="dxa"/>
            <w:tcBorders>
              <w:top w:val="single" w:sz="4" w:space="0" w:color="auto"/>
              <w:left w:val="single" w:sz="4" w:space="0" w:color="auto"/>
              <w:bottom w:val="nil"/>
              <w:right w:val="nil"/>
            </w:tcBorders>
            <w:shd w:val="clear" w:color="auto" w:fill="auto"/>
            <w:vAlign w:val="center"/>
            <w:hideMark/>
          </w:tcPr>
          <w:p w14:paraId="67CA342B" w14:textId="77777777" w:rsidR="00387142" w:rsidRPr="008B6A75" w:rsidRDefault="00387142" w:rsidP="00387142">
            <w:pPr>
              <w:rPr>
                <w:bCs/>
                <w:sz w:val="20"/>
                <w:szCs w:val="20"/>
              </w:rPr>
            </w:pPr>
            <w:r w:rsidRPr="008B6A75">
              <w:rPr>
                <w:bCs/>
                <w:sz w:val="20"/>
                <w:szCs w:val="20"/>
              </w:rPr>
              <w:t>Расходы на обеспечение функций муниципальных органов</w:t>
            </w:r>
          </w:p>
        </w:tc>
        <w:tc>
          <w:tcPr>
            <w:tcW w:w="850" w:type="dxa"/>
            <w:tcBorders>
              <w:top w:val="single" w:sz="4" w:space="0" w:color="auto"/>
              <w:left w:val="single" w:sz="4" w:space="0" w:color="auto"/>
              <w:bottom w:val="nil"/>
              <w:right w:val="nil"/>
            </w:tcBorders>
            <w:shd w:val="clear" w:color="auto" w:fill="auto"/>
            <w:noWrap/>
            <w:vAlign w:val="center"/>
            <w:hideMark/>
          </w:tcPr>
          <w:p w14:paraId="53405586" w14:textId="77777777" w:rsidR="00387142" w:rsidRPr="008B6A75" w:rsidRDefault="00387142" w:rsidP="00387142">
            <w:pPr>
              <w:jc w:val="center"/>
              <w:rPr>
                <w:bCs/>
                <w:sz w:val="20"/>
                <w:szCs w:val="20"/>
              </w:rPr>
            </w:pPr>
            <w:r w:rsidRPr="008B6A75">
              <w:rPr>
                <w:bCs/>
                <w:sz w:val="20"/>
                <w:szCs w:val="20"/>
              </w:rPr>
              <w:t>444</w:t>
            </w:r>
          </w:p>
        </w:tc>
        <w:tc>
          <w:tcPr>
            <w:tcW w:w="709" w:type="dxa"/>
            <w:tcBorders>
              <w:top w:val="single" w:sz="4" w:space="0" w:color="auto"/>
              <w:left w:val="single" w:sz="4" w:space="0" w:color="auto"/>
              <w:bottom w:val="nil"/>
              <w:right w:val="nil"/>
            </w:tcBorders>
            <w:shd w:val="clear" w:color="auto" w:fill="auto"/>
            <w:noWrap/>
            <w:vAlign w:val="center"/>
            <w:hideMark/>
          </w:tcPr>
          <w:p w14:paraId="661DD1D7" w14:textId="77777777" w:rsidR="00387142" w:rsidRPr="008B6A75" w:rsidRDefault="00387142" w:rsidP="00387142">
            <w:pPr>
              <w:jc w:val="center"/>
              <w:rPr>
                <w:bCs/>
                <w:sz w:val="20"/>
                <w:szCs w:val="20"/>
              </w:rPr>
            </w:pPr>
            <w:r w:rsidRPr="008B6A75">
              <w:rPr>
                <w:bCs/>
                <w:sz w:val="20"/>
                <w:szCs w:val="20"/>
              </w:rPr>
              <w:t>01</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21080EFB" w14:textId="77777777" w:rsidR="00387142" w:rsidRPr="008B6A75" w:rsidRDefault="00387142" w:rsidP="00387142">
            <w:pPr>
              <w:jc w:val="center"/>
              <w:rPr>
                <w:bCs/>
                <w:sz w:val="20"/>
                <w:szCs w:val="20"/>
              </w:rPr>
            </w:pPr>
            <w:r w:rsidRPr="008B6A75">
              <w:rPr>
                <w:bCs/>
                <w:sz w:val="20"/>
                <w:szCs w:val="20"/>
              </w:rPr>
              <w:t>04</w:t>
            </w:r>
          </w:p>
        </w:tc>
        <w:tc>
          <w:tcPr>
            <w:tcW w:w="1411" w:type="dxa"/>
            <w:tcBorders>
              <w:top w:val="single" w:sz="4" w:space="0" w:color="auto"/>
              <w:left w:val="single" w:sz="4" w:space="0" w:color="auto"/>
              <w:bottom w:val="nil"/>
              <w:right w:val="nil"/>
            </w:tcBorders>
            <w:shd w:val="clear" w:color="auto" w:fill="auto"/>
            <w:noWrap/>
            <w:vAlign w:val="center"/>
            <w:hideMark/>
          </w:tcPr>
          <w:p w14:paraId="4D337FE9" w14:textId="77777777" w:rsidR="00387142" w:rsidRPr="008B6A75" w:rsidRDefault="00387142" w:rsidP="00387142">
            <w:pPr>
              <w:jc w:val="center"/>
              <w:rPr>
                <w:bCs/>
                <w:sz w:val="20"/>
                <w:szCs w:val="20"/>
              </w:rPr>
            </w:pPr>
            <w:r w:rsidRPr="008B6A75">
              <w:rPr>
                <w:bCs/>
                <w:sz w:val="20"/>
                <w:szCs w:val="20"/>
              </w:rPr>
              <w:t>99.0.00.01400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4BBEE77C" w14:textId="77777777" w:rsidR="00387142" w:rsidRPr="008B6A75" w:rsidRDefault="00387142" w:rsidP="00387142">
            <w:pPr>
              <w:jc w:val="center"/>
              <w:rPr>
                <w:bCs/>
                <w:sz w:val="20"/>
                <w:szCs w:val="20"/>
              </w:rPr>
            </w:pPr>
            <w:r w:rsidRPr="008B6A75">
              <w:rPr>
                <w:bCs/>
                <w:sz w:val="20"/>
                <w:szCs w:val="20"/>
              </w:rPr>
              <w:t> </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75C351B7" w14:textId="77777777" w:rsidR="00387142" w:rsidRPr="008B6A75" w:rsidRDefault="00387142" w:rsidP="00387142">
            <w:pPr>
              <w:jc w:val="right"/>
              <w:rPr>
                <w:bCs/>
                <w:sz w:val="20"/>
                <w:szCs w:val="20"/>
              </w:rPr>
            </w:pPr>
            <w:r w:rsidRPr="008B6A75">
              <w:rPr>
                <w:bCs/>
                <w:sz w:val="20"/>
                <w:szCs w:val="20"/>
              </w:rPr>
              <w:t>69 488 265,09</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6122D93B" w14:textId="77777777" w:rsidR="00387142" w:rsidRPr="008B6A75" w:rsidRDefault="00387142" w:rsidP="00387142">
            <w:pPr>
              <w:jc w:val="right"/>
              <w:rPr>
                <w:bCs/>
                <w:sz w:val="20"/>
                <w:szCs w:val="20"/>
              </w:rPr>
            </w:pPr>
            <w:r w:rsidRPr="008B6A75">
              <w:rPr>
                <w:bCs/>
                <w:sz w:val="20"/>
                <w:szCs w:val="20"/>
              </w:rPr>
              <w:t>41 470 979,18</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10F4A11A" w14:textId="77777777" w:rsidR="00387142" w:rsidRPr="008B6A75" w:rsidRDefault="00387142" w:rsidP="00387142">
            <w:pPr>
              <w:jc w:val="right"/>
              <w:rPr>
                <w:bCs/>
                <w:sz w:val="20"/>
                <w:szCs w:val="20"/>
              </w:rPr>
            </w:pPr>
            <w:r w:rsidRPr="008B6A75">
              <w:rPr>
                <w:bCs/>
                <w:sz w:val="20"/>
                <w:szCs w:val="20"/>
              </w:rPr>
              <w:t>25 762 540,98</w:t>
            </w:r>
          </w:p>
        </w:tc>
        <w:tc>
          <w:tcPr>
            <w:tcW w:w="222" w:type="dxa"/>
            <w:vAlign w:val="center"/>
            <w:hideMark/>
          </w:tcPr>
          <w:p w14:paraId="13D50ECE" w14:textId="77777777" w:rsidR="00387142" w:rsidRPr="008B6A75" w:rsidRDefault="00387142" w:rsidP="00387142">
            <w:pPr>
              <w:rPr>
                <w:sz w:val="20"/>
                <w:szCs w:val="20"/>
              </w:rPr>
            </w:pPr>
          </w:p>
        </w:tc>
      </w:tr>
      <w:tr w:rsidR="00387142" w:rsidRPr="008B6A75" w14:paraId="693EB62F" w14:textId="77777777" w:rsidTr="00387142">
        <w:trPr>
          <w:trHeight w:val="1440"/>
        </w:trPr>
        <w:tc>
          <w:tcPr>
            <w:tcW w:w="3021" w:type="dxa"/>
            <w:tcBorders>
              <w:top w:val="single" w:sz="4" w:space="0" w:color="auto"/>
              <w:left w:val="single" w:sz="4" w:space="0" w:color="auto"/>
              <w:bottom w:val="nil"/>
              <w:right w:val="nil"/>
            </w:tcBorders>
            <w:shd w:val="clear" w:color="auto" w:fill="auto"/>
            <w:vAlign w:val="center"/>
            <w:hideMark/>
          </w:tcPr>
          <w:p w14:paraId="4444B38F" w14:textId="77777777" w:rsidR="00387142" w:rsidRPr="008B6A75" w:rsidRDefault="00387142" w:rsidP="00387142">
            <w:pPr>
              <w:rPr>
                <w:sz w:val="20"/>
                <w:szCs w:val="20"/>
              </w:rPr>
            </w:pPr>
            <w:r w:rsidRPr="008B6A7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nil"/>
              <w:right w:val="nil"/>
            </w:tcBorders>
            <w:shd w:val="clear" w:color="auto" w:fill="auto"/>
            <w:noWrap/>
            <w:vAlign w:val="center"/>
            <w:hideMark/>
          </w:tcPr>
          <w:p w14:paraId="1AA94619" w14:textId="77777777" w:rsidR="00387142" w:rsidRPr="008B6A75" w:rsidRDefault="00387142" w:rsidP="00387142">
            <w:pPr>
              <w:jc w:val="center"/>
              <w:rPr>
                <w:sz w:val="20"/>
                <w:szCs w:val="20"/>
              </w:rPr>
            </w:pPr>
            <w:r w:rsidRPr="008B6A75">
              <w:rPr>
                <w:sz w:val="20"/>
                <w:szCs w:val="20"/>
              </w:rPr>
              <w:t>444</w:t>
            </w:r>
          </w:p>
        </w:tc>
        <w:tc>
          <w:tcPr>
            <w:tcW w:w="709" w:type="dxa"/>
            <w:tcBorders>
              <w:top w:val="single" w:sz="4" w:space="0" w:color="auto"/>
              <w:left w:val="single" w:sz="4" w:space="0" w:color="auto"/>
              <w:bottom w:val="nil"/>
              <w:right w:val="nil"/>
            </w:tcBorders>
            <w:shd w:val="clear" w:color="auto" w:fill="auto"/>
            <w:noWrap/>
            <w:vAlign w:val="center"/>
            <w:hideMark/>
          </w:tcPr>
          <w:p w14:paraId="6AF2FC0E" w14:textId="77777777" w:rsidR="00387142" w:rsidRPr="008B6A75" w:rsidRDefault="00387142" w:rsidP="00387142">
            <w:pPr>
              <w:jc w:val="center"/>
              <w:rPr>
                <w:sz w:val="20"/>
                <w:szCs w:val="20"/>
              </w:rPr>
            </w:pPr>
            <w:r w:rsidRPr="008B6A75">
              <w:rPr>
                <w:sz w:val="20"/>
                <w:szCs w:val="20"/>
              </w:rPr>
              <w:t>01</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06BC902A" w14:textId="77777777" w:rsidR="00387142" w:rsidRPr="008B6A75" w:rsidRDefault="00387142" w:rsidP="00387142">
            <w:pPr>
              <w:jc w:val="center"/>
              <w:rPr>
                <w:sz w:val="20"/>
                <w:szCs w:val="20"/>
              </w:rPr>
            </w:pPr>
            <w:r w:rsidRPr="008B6A75">
              <w:rPr>
                <w:sz w:val="20"/>
                <w:szCs w:val="20"/>
              </w:rPr>
              <w:t>04</w:t>
            </w:r>
          </w:p>
        </w:tc>
        <w:tc>
          <w:tcPr>
            <w:tcW w:w="1411" w:type="dxa"/>
            <w:tcBorders>
              <w:top w:val="single" w:sz="4" w:space="0" w:color="auto"/>
              <w:left w:val="single" w:sz="4" w:space="0" w:color="auto"/>
              <w:bottom w:val="nil"/>
              <w:right w:val="nil"/>
            </w:tcBorders>
            <w:shd w:val="clear" w:color="auto" w:fill="auto"/>
            <w:noWrap/>
            <w:vAlign w:val="center"/>
            <w:hideMark/>
          </w:tcPr>
          <w:p w14:paraId="0AF33E1A" w14:textId="77777777" w:rsidR="00387142" w:rsidRPr="008B6A75" w:rsidRDefault="00387142" w:rsidP="00387142">
            <w:pPr>
              <w:jc w:val="center"/>
              <w:rPr>
                <w:sz w:val="20"/>
                <w:szCs w:val="20"/>
              </w:rPr>
            </w:pPr>
            <w:r w:rsidRPr="008B6A75">
              <w:rPr>
                <w:sz w:val="20"/>
                <w:szCs w:val="20"/>
              </w:rPr>
              <w:t>99.0.00.01400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30A230AE" w14:textId="77777777" w:rsidR="00387142" w:rsidRPr="008B6A75" w:rsidRDefault="00387142" w:rsidP="00387142">
            <w:pPr>
              <w:jc w:val="center"/>
              <w:rPr>
                <w:sz w:val="20"/>
                <w:szCs w:val="20"/>
              </w:rPr>
            </w:pPr>
            <w:r w:rsidRPr="008B6A75">
              <w:rPr>
                <w:sz w:val="20"/>
                <w:szCs w:val="20"/>
              </w:rPr>
              <w:t>100</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593256C1" w14:textId="77777777" w:rsidR="00387142" w:rsidRPr="008B6A75" w:rsidRDefault="00387142" w:rsidP="00387142">
            <w:pPr>
              <w:jc w:val="right"/>
              <w:rPr>
                <w:sz w:val="20"/>
                <w:szCs w:val="20"/>
              </w:rPr>
            </w:pPr>
            <w:r w:rsidRPr="008B6A75">
              <w:rPr>
                <w:sz w:val="20"/>
                <w:szCs w:val="20"/>
              </w:rPr>
              <w:t>57 134 651,79</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7B371841" w14:textId="77777777" w:rsidR="00387142" w:rsidRPr="008B6A75" w:rsidRDefault="00387142" w:rsidP="00387142">
            <w:pPr>
              <w:jc w:val="right"/>
              <w:rPr>
                <w:sz w:val="20"/>
                <w:szCs w:val="20"/>
              </w:rPr>
            </w:pPr>
            <w:r w:rsidRPr="008B6A75">
              <w:rPr>
                <w:sz w:val="20"/>
                <w:szCs w:val="20"/>
              </w:rPr>
              <w:t>38 570 979,18</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0BAA7645" w14:textId="77777777" w:rsidR="00387142" w:rsidRPr="008B6A75" w:rsidRDefault="00387142" w:rsidP="00387142">
            <w:pPr>
              <w:jc w:val="right"/>
              <w:rPr>
                <w:sz w:val="20"/>
                <w:szCs w:val="20"/>
              </w:rPr>
            </w:pPr>
            <w:r w:rsidRPr="008B6A75">
              <w:rPr>
                <w:sz w:val="20"/>
                <w:szCs w:val="20"/>
              </w:rPr>
              <w:t>24 562 540,98</w:t>
            </w:r>
          </w:p>
        </w:tc>
        <w:tc>
          <w:tcPr>
            <w:tcW w:w="222" w:type="dxa"/>
            <w:vAlign w:val="center"/>
            <w:hideMark/>
          </w:tcPr>
          <w:p w14:paraId="2587E3E6" w14:textId="77777777" w:rsidR="00387142" w:rsidRPr="008B6A75" w:rsidRDefault="00387142" w:rsidP="00387142">
            <w:pPr>
              <w:rPr>
                <w:sz w:val="20"/>
                <w:szCs w:val="20"/>
              </w:rPr>
            </w:pPr>
          </w:p>
        </w:tc>
      </w:tr>
      <w:tr w:rsidR="00387142" w:rsidRPr="008B6A75" w14:paraId="5FD008DA" w14:textId="77777777" w:rsidTr="00387142">
        <w:trPr>
          <w:trHeight w:val="585"/>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25E01BCB" w14:textId="77777777" w:rsidR="00387142" w:rsidRPr="008B6A75" w:rsidRDefault="00387142" w:rsidP="00387142">
            <w:pPr>
              <w:rPr>
                <w:sz w:val="20"/>
                <w:szCs w:val="20"/>
              </w:rPr>
            </w:pPr>
            <w:r w:rsidRPr="008B6A75">
              <w:rPr>
                <w:sz w:val="20"/>
                <w:szCs w:val="20"/>
              </w:rPr>
              <w:t>Расходы на выплаты персоналу государственных (муниципальных) органов</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2196F1BF" w14:textId="77777777" w:rsidR="00387142" w:rsidRPr="008B6A75" w:rsidRDefault="00387142" w:rsidP="00387142">
            <w:pPr>
              <w:jc w:val="center"/>
              <w:rPr>
                <w:sz w:val="20"/>
                <w:szCs w:val="20"/>
              </w:rPr>
            </w:pPr>
            <w:r w:rsidRPr="008B6A75">
              <w:rPr>
                <w:sz w:val="20"/>
                <w:szCs w:val="20"/>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36C4EC4D" w14:textId="77777777" w:rsidR="00387142" w:rsidRPr="008B6A75" w:rsidRDefault="00387142" w:rsidP="00387142">
            <w:pPr>
              <w:jc w:val="center"/>
              <w:rPr>
                <w:sz w:val="20"/>
                <w:szCs w:val="20"/>
              </w:rPr>
            </w:pPr>
            <w:r w:rsidRPr="008B6A75">
              <w:rPr>
                <w:sz w:val="20"/>
                <w:szCs w:val="20"/>
              </w:rPr>
              <w:t>01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AA1D7D" w14:textId="77777777" w:rsidR="00387142" w:rsidRPr="008B6A75" w:rsidRDefault="00387142" w:rsidP="00387142">
            <w:pPr>
              <w:jc w:val="center"/>
              <w:rPr>
                <w:sz w:val="20"/>
                <w:szCs w:val="20"/>
              </w:rPr>
            </w:pPr>
            <w:r w:rsidRPr="008B6A75">
              <w:rPr>
                <w:sz w:val="20"/>
                <w:szCs w:val="20"/>
              </w:rPr>
              <w:t>04</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083A243F" w14:textId="77777777" w:rsidR="00387142" w:rsidRPr="008B6A75" w:rsidRDefault="00387142" w:rsidP="00387142">
            <w:pPr>
              <w:jc w:val="center"/>
              <w:rPr>
                <w:sz w:val="20"/>
                <w:szCs w:val="20"/>
              </w:rPr>
            </w:pPr>
            <w:r w:rsidRPr="008B6A75">
              <w:rPr>
                <w:sz w:val="20"/>
                <w:szCs w:val="20"/>
              </w:rPr>
              <w:t>99.0.00.01400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8D4494" w14:textId="77777777" w:rsidR="00387142" w:rsidRPr="008B6A75" w:rsidRDefault="00387142" w:rsidP="00387142">
            <w:pPr>
              <w:jc w:val="center"/>
              <w:rPr>
                <w:sz w:val="20"/>
                <w:szCs w:val="20"/>
              </w:rPr>
            </w:pPr>
            <w:r w:rsidRPr="008B6A75">
              <w:rPr>
                <w:sz w:val="20"/>
                <w:szCs w:val="20"/>
              </w:rPr>
              <w:t>120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8CA460" w14:textId="77777777" w:rsidR="00387142" w:rsidRPr="008B6A75" w:rsidRDefault="00387142" w:rsidP="00387142">
            <w:pPr>
              <w:jc w:val="right"/>
              <w:rPr>
                <w:sz w:val="20"/>
                <w:szCs w:val="20"/>
              </w:rPr>
            </w:pPr>
            <w:r w:rsidRPr="008B6A75">
              <w:rPr>
                <w:sz w:val="20"/>
                <w:szCs w:val="20"/>
              </w:rPr>
              <w:t>57 134 651,79</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5D8AE312" w14:textId="77777777" w:rsidR="00387142" w:rsidRPr="008B6A75" w:rsidRDefault="00387142" w:rsidP="00387142">
            <w:pPr>
              <w:jc w:val="right"/>
              <w:rPr>
                <w:sz w:val="20"/>
                <w:szCs w:val="20"/>
              </w:rPr>
            </w:pPr>
            <w:r w:rsidRPr="008B6A75">
              <w:rPr>
                <w:sz w:val="20"/>
                <w:szCs w:val="20"/>
              </w:rPr>
              <w:t>38 570 979,18</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360E78" w14:textId="77777777" w:rsidR="00387142" w:rsidRPr="008B6A75" w:rsidRDefault="00387142" w:rsidP="00387142">
            <w:pPr>
              <w:jc w:val="right"/>
              <w:rPr>
                <w:sz w:val="20"/>
                <w:szCs w:val="20"/>
              </w:rPr>
            </w:pPr>
            <w:r w:rsidRPr="008B6A75">
              <w:rPr>
                <w:sz w:val="20"/>
                <w:szCs w:val="20"/>
              </w:rPr>
              <w:t>24 562 540,98</w:t>
            </w:r>
          </w:p>
        </w:tc>
        <w:tc>
          <w:tcPr>
            <w:tcW w:w="222" w:type="dxa"/>
            <w:vAlign w:val="center"/>
            <w:hideMark/>
          </w:tcPr>
          <w:p w14:paraId="18D5DEC6" w14:textId="77777777" w:rsidR="00387142" w:rsidRPr="008B6A75" w:rsidRDefault="00387142" w:rsidP="00387142">
            <w:pPr>
              <w:rPr>
                <w:sz w:val="20"/>
                <w:szCs w:val="20"/>
              </w:rPr>
            </w:pPr>
          </w:p>
        </w:tc>
      </w:tr>
      <w:tr w:rsidR="00387142" w:rsidRPr="008B6A75" w14:paraId="315CC759" w14:textId="77777777" w:rsidTr="00387142">
        <w:trPr>
          <w:trHeight w:val="585"/>
        </w:trPr>
        <w:tc>
          <w:tcPr>
            <w:tcW w:w="3021" w:type="dxa"/>
            <w:tcBorders>
              <w:top w:val="nil"/>
              <w:left w:val="single" w:sz="4" w:space="0" w:color="auto"/>
              <w:bottom w:val="nil"/>
              <w:right w:val="nil"/>
            </w:tcBorders>
            <w:shd w:val="clear" w:color="auto" w:fill="auto"/>
            <w:vAlign w:val="center"/>
            <w:hideMark/>
          </w:tcPr>
          <w:p w14:paraId="4AF07281" w14:textId="77777777" w:rsidR="00387142" w:rsidRPr="008B6A75" w:rsidRDefault="00387142" w:rsidP="00387142">
            <w:pPr>
              <w:rPr>
                <w:sz w:val="20"/>
                <w:szCs w:val="20"/>
              </w:rPr>
            </w:pPr>
            <w:r w:rsidRPr="008B6A75">
              <w:rPr>
                <w:sz w:val="20"/>
                <w:szCs w:val="20"/>
              </w:rPr>
              <w:t>Закупка товаров, работ и услуг для обеспечения государственных (муниципальных) нужд</w:t>
            </w:r>
          </w:p>
        </w:tc>
        <w:tc>
          <w:tcPr>
            <w:tcW w:w="850" w:type="dxa"/>
            <w:tcBorders>
              <w:top w:val="nil"/>
              <w:left w:val="single" w:sz="4" w:space="0" w:color="auto"/>
              <w:bottom w:val="nil"/>
              <w:right w:val="nil"/>
            </w:tcBorders>
            <w:shd w:val="clear" w:color="auto" w:fill="auto"/>
            <w:noWrap/>
            <w:vAlign w:val="center"/>
            <w:hideMark/>
          </w:tcPr>
          <w:p w14:paraId="05659A81" w14:textId="77777777" w:rsidR="00387142" w:rsidRPr="008B6A75" w:rsidRDefault="00387142" w:rsidP="00387142">
            <w:pPr>
              <w:jc w:val="center"/>
              <w:rPr>
                <w:sz w:val="20"/>
                <w:szCs w:val="20"/>
              </w:rPr>
            </w:pPr>
            <w:r w:rsidRPr="008B6A75">
              <w:rPr>
                <w:sz w:val="20"/>
                <w:szCs w:val="20"/>
              </w:rPr>
              <w:t>444</w:t>
            </w:r>
          </w:p>
        </w:tc>
        <w:tc>
          <w:tcPr>
            <w:tcW w:w="709" w:type="dxa"/>
            <w:tcBorders>
              <w:top w:val="nil"/>
              <w:left w:val="single" w:sz="4" w:space="0" w:color="auto"/>
              <w:bottom w:val="nil"/>
              <w:right w:val="nil"/>
            </w:tcBorders>
            <w:shd w:val="clear" w:color="auto" w:fill="auto"/>
            <w:noWrap/>
            <w:vAlign w:val="center"/>
            <w:hideMark/>
          </w:tcPr>
          <w:p w14:paraId="25E4FFF6" w14:textId="77777777" w:rsidR="00387142" w:rsidRPr="008B6A75" w:rsidRDefault="00387142" w:rsidP="00387142">
            <w:pPr>
              <w:jc w:val="center"/>
              <w:rPr>
                <w:sz w:val="20"/>
                <w:szCs w:val="20"/>
              </w:rPr>
            </w:pPr>
            <w:r w:rsidRPr="008B6A75">
              <w:rPr>
                <w:sz w:val="20"/>
                <w:szCs w:val="20"/>
              </w:rPr>
              <w:t>01</w:t>
            </w:r>
          </w:p>
        </w:tc>
        <w:tc>
          <w:tcPr>
            <w:tcW w:w="709" w:type="dxa"/>
            <w:tcBorders>
              <w:top w:val="nil"/>
              <w:left w:val="single" w:sz="4" w:space="0" w:color="auto"/>
              <w:bottom w:val="nil"/>
              <w:right w:val="single" w:sz="4" w:space="0" w:color="auto"/>
            </w:tcBorders>
            <w:shd w:val="clear" w:color="auto" w:fill="auto"/>
            <w:noWrap/>
            <w:vAlign w:val="center"/>
            <w:hideMark/>
          </w:tcPr>
          <w:p w14:paraId="5D3C4394" w14:textId="77777777" w:rsidR="00387142" w:rsidRPr="008B6A75" w:rsidRDefault="00387142" w:rsidP="00387142">
            <w:pPr>
              <w:jc w:val="center"/>
              <w:rPr>
                <w:sz w:val="20"/>
                <w:szCs w:val="20"/>
              </w:rPr>
            </w:pPr>
            <w:r w:rsidRPr="008B6A75">
              <w:rPr>
                <w:sz w:val="20"/>
                <w:szCs w:val="20"/>
              </w:rPr>
              <w:t>04</w:t>
            </w:r>
          </w:p>
        </w:tc>
        <w:tc>
          <w:tcPr>
            <w:tcW w:w="1411" w:type="dxa"/>
            <w:tcBorders>
              <w:top w:val="nil"/>
              <w:left w:val="single" w:sz="4" w:space="0" w:color="auto"/>
              <w:bottom w:val="nil"/>
              <w:right w:val="nil"/>
            </w:tcBorders>
            <w:shd w:val="clear" w:color="auto" w:fill="auto"/>
            <w:noWrap/>
            <w:vAlign w:val="center"/>
            <w:hideMark/>
          </w:tcPr>
          <w:p w14:paraId="6BF95BFB" w14:textId="77777777" w:rsidR="00387142" w:rsidRPr="008B6A75" w:rsidRDefault="00387142" w:rsidP="00387142">
            <w:pPr>
              <w:jc w:val="center"/>
              <w:rPr>
                <w:sz w:val="20"/>
                <w:szCs w:val="20"/>
              </w:rPr>
            </w:pPr>
            <w:r w:rsidRPr="008B6A75">
              <w:rPr>
                <w:sz w:val="20"/>
                <w:szCs w:val="20"/>
              </w:rPr>
              <w:t>99.0.00.01400</w:t>
            </w:r>
          </w:p>
        </w:tc>
        <w:tc>
          <w:tcPr>
            <w:tcW w:w="955" w:type="dxa"/>
            <w:tcBorders>
              <w:top w:val="nil"/>
              <w:left w:val="single" w:sz="4" w:space="0" w:color="auto"/>
              <w:bottom w:val="nil"/>
              <w:right w:val="single" w:sz="4" w:space="0" w:color="auto"/>
            </w:tcBorders>
            <w:shd w:val="clear" w:color="auto" w:fill="auto"/>
            <w:noWrap/>
            <w:vAlign w:val="center"/>
            <w:hideMark/>
          </w:tcPr>
          <w:p w14:paraId="584A9681" w14:textId="77777777" w:rsidR="00387142" w:rsidRPr="008B6A75" w:rsidRDefault="00387142" w:rsidP="00387142">
            <w:pPr>
              <w:jc w:val="center"/>
              <w:rPr>
                <w:sz w:val="20"/>
                <w:szCs w:val="20"/>
              </w:rPr>
            </w:pPr>
            <w:r w:rsidRPr="008B6A75">
              <w:rPr>
                <w:sz w:val="20"/>
                <w:szCs w:val="20"/>
              </w:rPr>
              <w:t>200</w:t>
            </w:r>
          </w:p>
        </w:tc>
        <w:tc>
          <w:tcPr>
            <w:tcW w:w="992" w:type="dxa"/>
            <w:tcBorders>
              <w:top w:val="nil"/>
              <w:left w:val="single" w:sz="4" w:space="0" w:color="auto"/>
              <w:bottom w:val="nil"/>
              <w:right w:val="single" w:sz="4" w:space="0" w:color="auto"/>
            </w:tcBorders>
            <w:shd w:val="clear" w:color="auto" w:fill="auto"/>
            <w:noWrap/>
            <w:vAlign w:val="center"/>
            <w:hideMark/>
          </w:tcPr>
          <w:p w14:paraId="407CC97A" w14:textId="77777777" w:rsidR="00387142" w:rsidRPr="008B6A75" w:rsidRDefault="00387142" w:rsidP="00387142">
            <w:pPr>
              <w:jc w:val="right"/>
              <w:rPr>
                <w:sz w:val="20"/>
                <w:szCs w:val="20"/>
              </w:rPr>
            </w:pPr>
            <w:r w:rsidRPr="008B6A75">
              <w:rPr>
                <w:sz w:val="20"/>
                <w:szCs w:val="20"/>
              </w:rPr>
              <w:t>12 141 557,53</w:t>
            </w:r>
          </w:p>
        </w:tc>
        <w:tc>
          <w:tcPr>
            <w:tcW w:w="992" w:type="dxa"/>
            <w:gridSpan w:val="2"/>
            <w:tcBorders>
              <w:top w:val="nil"/>
              <w:left w:val="single" w:sz="4" w:space="0" w:color="auto"/>
              <w:bottom w:val="nil"/>
              <w:right w:val="nil"/>
            </w:tcBorders>
            <w:shd w:val="clear" w:color="auto" w:fill="auto"/>
            <w:noWrap/>
            <w:vAlign w:val="center"/>
            <w:hideMark/>
          </w:tcPr>
          <w:p w14:paraId="0E4A1568" w14:textId="77777777" w:rsidR="00387142" w:rsidRPr="008B6A75" w:rsidRDefault="00387142" w:rsidP="00387142">
            <w:pPr>
              <w:jc w:val="right"/>
              <w:rPr>
                <w:sz w:val="20"/>
                <w:szCs w:val="20"/>
              </w:rPr>
            </w:pPr>
            <w:r w:rsidRPr="008B6A75">
              <w:rPr>
                <w:sz w:val="20"/>
                <w:szCs w:val="20"/>
              </w:rPr>
              <w:t>2 900 000,00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4B23E037" w14:textId="77777777" w:rsidR="00387142" w:rsidRPr="008B6A75" w:rsidRDefault="00387142" w:rsidP="00387142">
            <w:pPr>
              <w:jc w:val="right"/>
              <w:rPr>
                <w:sz w:val="20"/>
                <w:szCs w:val="20"/>
              </w:rPr>
            </w:pPr>
            <w:r w:rsidRPr="008B6A75">
              <w:rPr>
                <w:sz w:val="20"/>
                <w:szCs w:val="20"/>
              </w:rPr>
              <w:t>1 200 000,00</w:t>
            </w:r>
          </w:p>
        </w:tc>
        <w:tc>
          <w:tcPr>
            <w:tcW w:w="222" w:type="dxa"/>
            <w:vAlign w:val="center"/>
            <w:hideMark/>
          </w:tcPr>
          <w:p w14:paraId="3A5D88FB" w14:textId="77777777" w:rsidR="00387142" w:rsidRPr="008B6A75" w:rsidRDefault="00387142" w:rsidP="00387142">
            <w:pPr>
              <w:rPr>
                <w:sz w:val="20"/>
                <w:szCs w:val="20"/>
              </w:rPr>
            </w:pPr>
          </w:p>
        </w:tc>
      </w:tr>
      <w:tr w:rsidR="00387142" w:rsidRPr="008B6A75" w14:paraId="01B4EF37" w14:textId="77777777" w:rsidTr="00387142">
        <w:trPr>
          <w:trHeight w:val="870"/>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4F5863B8" w14:textId="77777777" w:rsidR="00387142" w:rsidRPr="008B6A75" w:rsidRDefault="00387142" w:rsidP="00387142">
            <w:pPr>
              <w:rPr>
                <w:sz w:val="20"/>
                <w:szCs w:val="20"/>
              </w:rPr>
            </w:pPr>
            <w:r w:rsidRPr="008B6A75">
              <w:rPr>
                <w:sz w:val="20"/>
                <w:szCs w:val="20"/>
              </w:rPr>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0CF66123" w14:textId="77777777" w:rsidR="00387142" w:rsidRPr="008B6A75" w:rsidRDefault="00387142" w:rsidP="00387142">
            <w:pPr>
              <w:jc w:val="center"/>
              <w:rPr>
                <w:sz w:val="20"/>
                <w:szCs w:val="20"/>
              </w:rPr>
            </w:pPr>
            <w:r w:rsidRPr="008B6A75">
              <w:rPr>
                <w:sz w:val="20"/>
                <w:szCs w:val="20"/>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62F946A4" w14:textId="77777777" w:rsidR="00387142" w:rsidRPr="008B6A75" w:rsidRDefault="00387142" w:rsidP="00387142">
            <w:pPr>
              <w:jc w:val="center"/>
              <w:rPr>
                <w:sz w:val="20"/>
                <w:szCs w:val="20"/>
              </w:rPr>
            </w:pPr>
            <w:r w:rsidRPr="008B6A75">
              <w:rPr>
                <w:sz w:val="20"/>
                <w:szCs w:val="20"/>
              </w:rPr>
              <w:t>01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17F3FF" w14:textId="77777777" w:rsidR="00387142" w:rsidRPr="008B6A75" w:rsidRDefault="00387142" w:rsidP="00387142">
            <w:pPr>
              <w:jc w:val="center"/>
              <w:rPr>
                <w:sz w:val="20"/>
                <w:szCs w:val="20"/>
              </w:rPr>
            </w:pPr>
            <w:r w:rsidRPr="008B6A75">
              <w:rPr>
                <w:sz w:val="20"/>
                <w:szCs w:val="20"/>
              </w:rPr>
              <w:t>04</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01F83F21" w14:textId="77777777" w:rsidR="00387142" w:rsidRPr="008B6A75" w:rsidRDefault="00387142" w:rsidP="00387142">
            <w:pPr>
              <w:jc w:val="center"/>
              <w:rPr>
                <w:sz w:val="20"/>
                <w:szCs w:val="20"/>
              </w:rPr>
            </w:pPr>
            <w:r w:rsidRPr="008B6A75">
              <w:rPr>
                <w:sz w:val="20"/>
                <w:szCs w:val="20"/>
              </w:rPr>
              <w:t>99.0.00.01400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9A7F06" w14:textId="77777777" w:rsidR="00387142" w:rsidRPr="008B6A75" w:rsidRDefault="00387142" w:rsidP="00387142">
            <w:pPr>
              <w:jc w:val="center"/>
              <w:rPr>
                <w:sz w:val="20"/>
                <w:szCs w:val="20"/>
              </w:rPr>
            </w:pPr>
            <w:r w:rsidRPr="008B6A75">
              <w:rPr>
                <w:sz w:val="20"/>
                <w:szCs w:val="20"/>
              </w:rPr>
              <w:t>240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07DF33" w14:textId="77777777" w:rsidR="00387142" w:rsidRPr="008B6A75" w:rsidRDefault="00387142" w:rsidP="00387142">
            <w:pPr>
              <w:jc w:val="right"/>
              <w:rPr>
                <w:sz w:val="20"/>
                <w:szCs w:val="20"/>
              </w:rPr>
            </w:pPr>
            <w:r w:rsidRPr="008B6A75">
              <w:rPr>
                <w:sz w:val="20"/>
                <w:szCs w:val="20"/>
              </w:rPr>
              <w:t>12 141 557,53</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060A8617" w14:textId="77777777" w:rsidR="00387142" w:rsidRPr="008B6A75" w:rsidRDefault="00387142" w:rsidP="00387142">
            <w:pPr>
              <w:jc w:val="right"/>
              <w:rPr>
                <w:sz w:val="20"/>
                <w:szCs w:val="20"/>
              </w:rPr>
            </w:pPr>
            <w:r w:rsidRPr="008B6A75">
              <w:rPr>
                <w:sz w:val="20"/>
                <w:szCs w:val="20"/>
              </w:rPr>
              <w:t>2 900 000,00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C6DCAC" w14:textId="77777777" w:rsidR="00387142" w:rsidRPr="008B6A75" w:rsidRDefault="00387142" w:rsidP="00387142">
            <w:pPr>
              <w:jc w:val="right"/>
              <w:rPr>
                <w:sz w:val="20"/>
                <w:szCs w:val="20"/>
              </w:rPr>
            </w:pPr>
            <w:r w:rsidRPr="008B6A75">
              <w:rPr>
                <w:sz w:val="20"/>
                <w:szCs w:val="20"/>
              </w:rPr>
              <w:t>1 200 000,00</w:t>
            </w:r>
          </w:p>
        </w:tc>
        <w:tc>
          <w:tcPr>
            <w:tcW w:w="222" w:type="dxa"/>
            <w:vAlign w:val="center"/>
            <w:hideMark/>
          </w:tcPr>
          <w:p w14:paraId="540C94CA" w14:textId="77777777" w:rsidR="00387142" w:rsidRPr="008B6A75" w:rsidRDefault="00387142" w:rsidP="00387142">
            <w:pPr>
              <w:rPr>
                <w:sz w:val="20"/>
                <w:szCs w:val="20"/>
              </w:rPr>
            </w:pPr>
          </w:p>
        </w:tc>
      </w:tr>
      <w:tr w:rsidR="00387142" w:rsidRPr="008B6A75" w14:paraId="52CDBC49" w14:textId="77777777" w:rsidTr="00387142">
        <w:trPr>
          <w:trHeight w:val="300"/>
        </w:trPr>
        <w:tc>
          <w:tcPr>
            <w:tcW w:w="3021" w:type="dxa"/>
            <w:tcBorders>
              <w:top w:val="nil"/>
              <w:left w:val="single" w:sz="4" w:space="0" w:color="auto"/>
              <w:bottom w:val="nil"/>
              <w:right w:val="nil"/>
            </w:tcBorders>
            <w:shd w:val="clear" w:color="auto" w:fill="auto"/>
            <w:vAlign w:val="center"/>
            <w:hideMark/>
          </w:tcPr>
          <w:p w14:paraId="1549BEB1" w14:textId="77777777" w:rsidR="00387142" w:rsidRPr="008B6A75" w:rsidRDefault="00387142" w:rsidP="00387142">
            <w:pPr>
              <w:rPr>
                <w:sz w:val="20"/>
                <w:szCs w:val="20"/>
              </w:rPr>
            </w:pPr>
            <w:r w:rsidRPr="008B6A75">
              <w:rPr>
                <w:sz w:val="20"/>
                <w:szCs w:val="20"/>
              </w:rPr>
              <w:lastRenderedPageBreak/>
              <w:t>Иные бюджетные ассигнования</w:t>
            </w:r>
          </w:p>
        </w:tc>
        <w:tc>
          <w:tcPr>
            <w:tcW w:w="850" w:type="dxa"/>
            <w:tcBorders>
              <w:top w:val="nil"/>
              <w:left w:val="single" w:sz="4" w:space="0" w:color="auto"/>
              <w:bottom w:val="nil"/>
              <w:right w:val="nil"/>
            </w:tcBorders>
            <w:shd w:val="clear" w:color="auto" w:fill="auto"/>
            <w:noWrap/>
            <w:vAlign w:val="center"/>
            <w:hideMark/>
          </w:tcPr>
          <w:p w14:paraId="49253823" w14:textId="77777777" w:rsidR="00387142" w:rsidRPr="008B6A75" w:rsidRDefault="00387142" w:rsidP="00387142">
            <w:pPr>
              <w:jc w:val="center"/>
              <w:rPr>
                <w:sz w:val="20"/>
                <w:szCs w:val="20"/>
              </w:rPr>
            </w:pPr>
            <w:r w:rsidRPr="008B6A75">
              <w:rPr>
                <w:sz w:val="20"/>
                <w:szCs w:val="20"/>
              </w:rPr>
              <w:t>444</w:t>
            </w:r>
          </w:p>
        </w:tc>
        <w:tc>
          <w:tcPr>
            <w:tcW w:w="709" w:type="dxa"/>
            <w:tcBorders>
              <w:top w:val="nil"/>
              <w:left w:val="single" w:sz="4" w:space="0" w:color="auto"/>
              <w:bottom w:val="nil"/>
              <w:right w:val="nil"/>
            </w:tcBorders>
            <w:shd w:val="clear" w:color="auto" w:fill="auto"/>
            <w:noWrap/>
            <w:vAlign w:val="center"/>
            <w:hideMark/>
          </w:tcPr>
          <w:p w14:paraId="33E76B29" w14:textId="77777777" w:rsidR="00387142" w:rsidRPr="008B6A75" w:rsidRDefault="00387142" w:rsidP="00387142">
            <w:pPr>
              <w:jc w:val="center"/>
              <w:rPr>
                <w:sz w:val="20"/>
                <w:szCs w:val="20"/>
              </w:rPr>
            </w:pPr>
            <w:r w:rsidRPr="008B6A75">
              <w:rPr>
                <w:sz w:val="20"/>
                <w:szCs w:val="20"/>
              </w:rPr>
              <w:t>01</w:t>
            </w:r>
          </w:p>
        </w:tc>
        <w:tc>
          <w:tcPr>
            <w:tcW w:w="709" w:type="dxa"/>
            <w:tcBorders>
              <w:top w:val="nil"/>
              <w:left w:val="single" w:sz="4" w:space="0" w:color="auto"/>
              <w:bottom w:val="nil"/>
              <w:right w:val="single" w:sz="4" w:space="0" w:color="auto"/>
            </w:tcBorders>
            <w:shd w:val="clear" w:color="auto" w:fill="auto"/>
            <w:noWrap/>
            <w:vAlign w:val="center"/>
            <w:hideMark/>
          </w:tcPr>
          <w:p w14:paraId="5006D292" w14:textId="77777777" w:rsidR="00387142" w:rsidRPr="008B6A75" w:rsidRDefault="00387142" w:rsidP="00387142">
            <w:pPr>
              <w:jc w:val="center"/>
              <w:rPr>
                <w:sz w:val="20"/>
                <w:szCs w:val="20"/>
              </w:rPr>
            </w:pPr>
            <w:r w:rsidRPr="008B6A75">
              <w:rPr>
                <w:sz w:val="20"/>
                <w:szCs w:val="20"/>
              </w:rPr>
              <w:t>04</w:t>
            </w:r>
          </w:p>
        </w:tc>
        <w:tc>
          <w:tcPr>
            <w:tcW w:w="1411" w:type="dxa"/>
            <w:tcBorders>
              <w:top w:val="nil"/>
              <w:left w:val="single" w:sz="4" w:space="0" w:color="auto"/>
              <w:bottom w:val="nil"/>
              <w:right w:val="nil"/>
            </w:tcBorders>
            <w:shd w:val="clear" w:color="auto" w:fill="auto"/>
            <w:noWrap/>
            <w:vAlign w:val="center"/>
            <w:hideMark/>
          </w:tcPr>
          <w:p w14:paraId="30C8FA3D" w14:textId="77777777" w:rsidR="00387142" w:rsidRPr="008B6A75" w:rsidRDefault="00387142" w:rsidP="00387142">
            <w:pPr>
              <w:jc w:val="center"/>
              <w:rPr>
                <w:sz w:val="20"/>
                <w:szCs w:val="20"/>
              </w:rPr>
            </w:pPr>
            <w:r w:rsidRPr="008B6A75">
              <w:rPr>
                <w:sz w:val="20"/>
                <w:szCs w:val="20"/>
              </w:rPr>
              <w:t>99.0.00.01400</w:t>
            </w:r>
          </w:p>
        </w:tc>
        <w:tc>
          <w:tcPr>
            <w:tcW w:w="955" w:type="dxa"/>
            <w:tcBorders>
              <w:top w:val="nil"/>
              <w:left w:val="single" w:sz="4" w:space="0" w:color="auto"/>
              <w:bottom w:val="nil"/>
              <w:right w:val="single" w:sz="4" w:space="0" w:color="auto"/>
            </w:tcBorders>
            <w:shd w:val="clear" w:color="auto" w:fill="auto"/>
            <w:noWrap/>
            <w:vAlign w:val="center"/>
            <w:hideMark/>
          </w:tcPr>
          <w:p w14:paraId="2934CFC7" w14:textId="77777777" w:rsidR="00387142" w:rsidRPr="008B6A75" w:rsidRDefault="00387142" w:rsidP="00387142">
            <w:pPr>
              <w:jc w:val="center"/>
              <w:rPr>
                <w:sz w:val="20"/>
                <w:szCs w:val="20"/>
              </w:rPr>
            </w:pPr>
            <w:r w:rsidRPr="008B6A75">
              <w:rPr>
                <w:sz w:val="20"/>
                <w:szCs w:val="20"/>
              </w:rPr>
              <w:t>800</w:t>
            </w:r>
          </w:p>
        </w:tc>
        <w:tc>
          <w:tcPr>
            <w:tcW w:w="992" w:type="dxa"/>
            <w:tcBorders>
              <w:top w:val="nil"/>
              <w:left w:val="single" w:sz="4" w:space="0" w:color="auto"/>
              <w:bottom w:val="nil"/>
              <w:right w:val="single" w:sz="4" w:space="0" w:color="auto"/>
            </w:tcBorders>
            <w:shd w:val="clear" w:color="auto" w:fill="auto"/>
            <w:noWrap/>
            <w:vAlign w:val="center"/>
            <w:hideMark/>
          </w:tcPr>
          <w:p w14:paraId="6A13C20F" w14:textId="77777777" w:rsidR="00387142" w:rsidRPr="008B6A75" w:rsidRDefault="00387142" w:rsidP="00387142">
            <w:pPr>
              <w:jc w:val="right"/>
              <w:rPr>
                <w:sz w:val="20"/>
                <w:szCs w:val="20"/>
              </w:rPr>
            </w:pPr>
            <w:r w:rsidRPr="008B6A75">
              <w:rPr>
                <w:sz w:val="20"/>
                <w:szCs w:val="20"/>
              </w:rPr>
              <w:t>212 055,77</w:t>
            </w:r>
          </w:p>
        </w:tc>
        <w:tc>
          <w:tcPr>
            <w:tcW w:w="992" w:type="dxa"/>
            <w:gridSpan w:val="2"/>
            <w:tcBorders>
              <w:top w:val="nil"/>
              <w:left w:val="single" w:sz="4" w:space="0" w:color="auto"/>
              <w:bottom w:val="nil"/>
              <w:right w:val="nil"/>
            </w:tcBorders>
            <w:shd w:val="clear" w:color="auto" w:fill="auto"/>
            <w:noWrap/>
            <w:vAlign w:val="center"/>
            <w:hideMark/>
          </w:tcPr>
          <w:p w14:paraId="13089F34" w14:textId="77777777" w:rsidR="00387142" w:rsidRPr="008B6A75" w:rsidRDefault="00387142" w:rsidP="00387142">
            <w:pPr>
              <w:jc w:val="right"/>
              <w:rPr>
                <w:sz w:val="20"/>
                <w:szCs w:val="20"/>
              </w:rPr>
            </w:pPr>
            <w:r w:rsidRPr="008B6A75">
              <w:rPr>
                <w:sz w:val="20"/>
                <w:szCs w:val="20"/>
              </w:rPr>
              <w:t>0,00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4CD05AFE" w14:textId="77777777" w:rsidR="00387142" w:rsidRPr="008B6A75" w:rsidRDefault="00387142" w:rsidP="00387142">
            <w:pPr>
              <w:jc w:val="right"/>
              <w:rPr>
                <w:sz w:val="20"/>
                <w:szCs w:val="20"/>
              </w:rPr>
            </w:pPr>
            <w:r w:rsidRPr="008B6A75">
              <w:rPr>
                <w:sz w:val="20"/>
                <w:szCs w:val="20"/>
              </w:rPr>
              <w:t>0,00</w:t>
            </w:r>
          </w:p>
        </w:tc>
        <w:tc>
          <w:tcPr>
            <w:tcW w:w="222" w:type="dxa"/>
            <w:vAlign w:val="center"/>
            <w:hideMark/>
          </w:tcPr>
          <w:p w14:paraId="703F9897" w14:textId="77777777" w:rsidR="00387142" w:rsidRPr="008B6A75" w:rsidRDefault="00387142" w:rsidP="00387142">
            <w:pPr>
              <w:rPr>
                <w:sz w:val="20"/>
                <w:szCs w:val="20"/>
              </w:rPr>
            </w:pPr>
          </w:p>
        </w:tc>
      </w:tr>
      <w:tr w:rsidR="00387142" w:rsidRPr="008B6A75" w14:paraId="0BDC415E" w14:textId="77777777" w:rsidTr="00387142">
        <w:trPr>
          <w:trHeight w:val="300"/>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39BD17DC" w14:textId="77777777" w:rsidR="00387142" w:rsidRPr="008B6A75" w:rsidRDefault="00387142" w:rsidP="00387142">
            <w:pPr>
              <w:rPr>
                <w:sz w:val="20"/>
                <w:szCs w:val="20"/>
              </w:rPr>
            </w:pPr>
            <w:r w:rsidRPr="008B6A75">
              <w:rPr>
                <w:sz w:val="20"/>
                <w:szCs w:val="20"/>
              </w:rPr>
              <w:t>Уплата налогов, сборов и иных платежей</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26491682" w14:textId="77777777" w:rsidR="00387142" w:rsidRPr="008B6A75" w:rsidRDefault="00387142" w:rsidP="00387142">
            <w:pPr>
              <w:jc w:val="center"/>
              <w:rPr>
                <w:sz w:val="20"/>
                <w:szCs w:val="20"/>
              </w:rPr>
            </w:pPr>
            <w:r w:rsidRPr="008B6A75">
              <w:rPr>
                <w:sz w:val="20"/>
                <w:szCs w:val="20"/>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5CF14CEC" w14:textId="77777777" w:rsidR="00387142" w:rsidRPr="008B6A75" w:rsidRDefault="00387142" w:rsidP="00387142">
            <w:pPr>
              <w:jc w:val="center"/>
              <w:rPr>
                <w:sz w:val="20"/>
                <w:szCs w:val="20"/>
              </w:rPr>
            </w:pPr>
            <w:r w:rsidRPr="008B6A75">
              <w:rPr>
                <w:sz w:val="20"/>
                <w:szCs w:val="20"/>
              </w:rPr>
              <w:t>01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20CF74" w14:textId="77777777" w:rsidR="00387142" w:rsidRPr="008B6A75" w:rsidRDefault="00387142" w:rsidP="00387142">
            <w:pPr>
              <w:jc w:val="center"/>
              <w:rPr>
                <w:sz w:val="20"/>
                <w:szCs w:val="20"/>
              </w:rPr>
            </w:pPr>
            <w:r w:rsidRPr="008B6A75">
              <w:rPr>
                <w:sz w:val="20"/>
                <w:szCs w:val="20"/>
              </w:rPr>
              <w:t>04</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75C3672F" w14:textId="77777777" w:rsidR="00387142" w:rsidRPr="008B6A75" w:rsidRDefault="00387142" w:rsidP="00387142">
            <w:pPr>
              <w:jc w:val="center"/>
              <w:rPr>
                <w:sz w:val="20"/>
                <w:szCs w:val="20"/>
              </w:rPr>
            </w:pPr>
            <w:r w:rsidRPr="008B6A75">
              <w:rPr>
                <w:sz w:val="20"/>
                <w:szCs w:val="20"/>
              </w:rPr>
              <w:t>99.0.00.01400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5A724E" w14:textId="77777777" w:rsidR="00387142" w:rsidRPr="008B6A75" w:rsidRDefault="00387142" w:rsidP="00387142">
            <w:pPr>
              <w:jc w:val="center"/>
              <w:rPr>
                <w:sz w:val="20"/>
                <w:szCs w:val="20"/>
              </w:rPr>
            </w:pPr>
            <w:r w:rsidRPr="008B6A75">
              <w:rPr>
                <w:sz w:val="20"/>
                <w:szCs w:val="20"/>
              </w:rPr>
              <w:t>850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DFFA77" w14:textId="77777777" w:rsidR="00387142" w:rsidRPr="008B6A75" w:rsidRDefault="00387142" w:rsidP="00387142">
            <w:pPr>
              <w:jc w:val="right"/>
              <w:rPr>
                <w:sz w:val="20"/>
                <w:szCs w:val="20"/>
              </w:rPr>
            </w:pPr>
            <w:r w:rsidRPr="008B6A75">
              <w:rPr>
                <w:sz w:val="20"/>
                <w:szCs w:val="20"/>
              </w:rPr>
              <w:t>212 055,77</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3798A928" w14:textId="77777777" w:rsidR="00387142" w:rsidRPr="008B6A75" w:rsidRDefault="00387142" w:rsidP="00387142">
            <w:pPr>
              <w:jc w:val="right"/>
              <w:rPr>
                <w:sz w:val="20"/>
                <w:szCs w:val="20"/>
              </w:rPr>
            </w:pPr>
            <w:r w:rsidRPr="008B6A75">
              <w:rPr>
                <w:sz w:val="20"/>
                <w:szCs w:val="20"/>
              </w:rPr>
              <w:t>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9E3C2B" w14:textId="77777777" w:rsidR="00387142" w:rsidRPr="008B6A75" w:rsidRDefault="00387142" w:rsidP="00387142">
            <w:pPr>
              <w:jc w:val="right"/>
              <w:rPr>
                <w:sz w:val="20"/>
                <w:szCs w:val="20"/>
              </w:rPr>
            </w:pPr>
            <w:r w:rsidRPr="008B6A75">
              <w:rPr>
                <w:sz w:val="20"/>
                <w:szCs w:val="20"/>
              </w:rPr>
              <w:t>0,00</w:t>
            </w:r>
          </w:p>
        </w:tc>
        <w:tc>
          <w:tcPr>
            <w:tcW w:w="222" w:type="dxa"/>
            <w:vAlign w:val="center"/>
            <w:hideMark/>
          </w:tcPr>
          <w:p w14:paraId="2F773941" w14:textId="77777777" w:rsidR="00387142" w:rsidRPr="008B6A75" w:rsidRDefault="00387142" w:rsidP="00387142">
            <w:pPr>
              <w:rPr>
                <w:sz w:val="20"/>
                <w:szCs w:val="20"/>
              </w:rPr>
            </w:pPr>
          </w:p>
        </w:tc>
      </w:tr>
      <w:tr w:rsidR="00387142" w:rsidRPr="008B6A75" w14:paraId="7BC7393B" w14:textId="77777777" w:rsidTr="00387142">
        <w:trPr>
          <w:trHeight w:val="870"/>
        </w:trPr>
        <w:tc>
          <w:tcPr>
            <w:tcW w:w="3021" w:type="dxa"/>
            <w:tcBorders>
              <w:top w:val="nil"/>
              <w:left w:val="single" w:sz="4" w:space="0" w:color="auto"/>
              <w:bottom w:val="nil"/>
              <w:right w:val="nil"/>
            </w:tcBorders>
            <w:shd w:val="clear" w:color="auto" w:fill="auto"/>
            <w:vAlign w:val="center"/>
            <w:hideMark/>
          </w:tcPr>
          <w:p w14:paraId="1BC462F5" w14:textId="77777777" w:rsidR="00387142" w:rsidRPr="008B6A75" w:rsidRDefault="00387142" w:rsidP="00387142">
            <w:pPr>
              <w:rPr>
                <w:bCs/>
                <w:sz w:val="20"/>
                <w:szCs w:val="20"/>
              </w:rPr>
            </w:pPr>
            <w:r w:rsidRPr="008B6A75">
              <w:rPr>
                <w:bCs/>
                <w:sz w:val="20"/>
                <w:szCs w:val="20"/>
              </w:rPr>
              <w:t>Образование и организация деятельности комиссий по делам несовершеннолетних и защите их прав</w:t>
            </w:r>
          </w:p>
        </w:tc>
        <w:tc>
          <w:tcPr>
            <w:tcW w:w="850" w:type="dxa"/>
            <w:tcBorders>
              <w:top w:val="nil"/>
              <w:left w:val="single" w:sz="4" w:space="0" w:color="auto"/>
              <w:bottom w:val="nil"/>
              <w:right w:val="nil"/>
            </w:tcBorders>
            <w:shd w:val="clear" w:color="auto" w:fill="auto"/>
            <w:noWrap/>
            <w:vAlign w:val="center"/>
            <w:hideMark/>
          </w:tcPr>
          <w:p w14:paraId="58150022" w14:textId="77777777" w:rsidR="00387142" w:rsidRPr="008B6A75" w:rsidRDefault="00387142" w:rsidP="00387142">
            <w:pPr>
              <w:jc w:val="center"/>
              <w:rPr>
                <w:bCs/>
                <w:sz w:val="20"/>
                <w:szCs w:val="20"/>
              </w:rPr>
            </w:pPr>
            <w:r w:rsidRPr="008B6A75">
              <w:rPr>
                <w:bCs/>
                <w:sz w:val="20"/>
                <w:szCs w:val="20"/>
              </w:rPr>
              <w:t>444</w:t>
            </w:r>
          </w:p>
        </w:tc>
        <w:tc>
          <w:tcPr>
            <w:tcW w:w="709" w:type="dxa"/>
            <w:tcBorders>
              <w:top w:val="nil"/>
              <w:left w:val="single" w:sz="4" w:space="0" w:color="auto"/>
              <w:bottom w:val="nil"/>
              <w:right w:val="nil"/>
            </w:tcBorders>
            <w:shd w:val="clear" w:color="auto" w:fill="auto"/>
            <w:noWrap/>
            <w:vAlign w:val="center"/>
            <w:hideMark/>
          </w:tcPr>
          <w:p w14:paraId="38B2FBDB" w14:textId="77777777" w:rsidR="00387142" w:rsidRPr="008B6A75" w:rsidRDefault="00387142" w:rsidP="00387142">
            <w:pPr>
              <w:jc w:val="center"/>
              <w:rPr>
                <w:bCs/>
                <w:sz w:val="20"/>
                <w:szCs w:val="20"/>
              </w:rPr>
            </w:pPr>
            <w:r w:rsidRPr="008B6A75">
              <w:rPr>
                <w:bCs/>
                <w:sz w:val="20"/>
                <w:szCs w:val="20"/>
              </w:rPr>
              <w:t>01</w:t>
            </w:r>
          </w:p>
        </w:tc>
        <w:tc>
          <w:tcPr>
            <w:tcW w:w="709" w:type="dxa"/>
            <w:tcBorders>
              <w:top w:val="nil"/>
              <w:left w:val="single" w:sz="4" w:space="0" w:color="auto"/>
              <w:bottom w:val="nil"/>
              <w:right w:val="single" w:sz="4" w:space="0" w:color="auto"/>
            </w:tcBorders>
            <w:shd w:val="clear" w:color="auto" w:fill="auto"/>
            <w:noWrap/>
            <w:vAlign w:val="center"/>
            <w:hideMark/>
          </w:tcPr>
          <w:p w14:paraId="4574E2CA" w14:textId="77777777" w:rsidR="00387142" w:rsidRPr="008B6A75" w:rsidRDefault="00387142" w:rsidP="00387142">
            <w:pPr>
              <w:jc w:val="center"/>
              <w:rPr>
                <w:bCs/>
                <w:sz w:val="20"/>
                <w:szCs w:val="20"/>
              </w:rPr>
            </w:pPr>
            <w:r w:rsidRPr="008B6A75">
              <w:rPr>
                <w:bCs/>
                <w:sz w:val="20"/>
                <w:szCs w:val="20"/>
              </w:rPr>
              <w:t>04</w:t>
            </w:r>
          </w:p>
        </w:tc>
        <w:tc>
          <w:tcPr>
            <w:tcW w:w="1411" w:type="dxa"/>
            <w:tcBorders>
              <w:top w:val="nil"/>
              <w:left w:val="single" w:sz="4" w:space="0" w:color="auto"/>
              <w:bottom w:val="nil"/>
              <w:right w:val="nil"/>
            </w:tcBorders>
            <w:shd w:val="clear" w:color="auto" w:fill="auto"/>
            <w:noWrap/>
            <w:vAlign w:val="center"/>
            <w:hideMark/>
          </w:tcPr>
          <w:p w14:paraId="302D3E3E" w14:textId="77777777" w:rsidR="00387142" w:rsidRPr="008B6A75" w:rsidRDefault="00387142" w:rsidP="00387142">
            <w:pPr>
              <w:jc w:val="center"/>
              <w:rPr>
                <w:bCs/>
                <w:sz w:val="20"/>
                <w:szCs w:val="20"/>
              </w:rPr>
            </w:pPr>
            <w:r w:rsidRPr="008B6A75">
              <w:rPr>
                <w:bCs/>
                <w:sz w:val="20"/>
                <w:szCs w:val="20"/>
              </w:rPr>
              <w:t>99.0.00.70159</w:t>
            </w:r>
          </w:p>
        </w:tc>
        <w:tc>
          <w:tcPr>
            <w:tcW w:w="955" w:type="dxa"/>
            <w:tcBorders>
              <w:top w:val="nil"/>
              <w:left w:val="single" w:sz="4" w:space="0" w:color="auto"/>
              <w:bottom w:val="nil"/>
              <w:right w:val="single" w:sz="4" w:space="0" w:color="auto"/>
            </w:tcBorders>
            <w:shd w:val="clear" w:color="auto" w:fill="auto"/>
            <w:noWrap/>
            <w:vAlign w:val="center"/>
            <w:hideMark/>
          </w:tcPr>
          <w:p w14:paraId="52B9A8B7"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nil"/>
              <w:right w:val="single" w:sz="4" w:space="0" w:color="auto"/>
            </w:tcBorders>
            <w:shd w:val="clear" w:color="auto" w:fill="auto"/>
            <w:noWrap/>
            <w:vAlign w:val="center"/>
            <w:hideMark/>
          </w:tcPr>
          <w:p w14:paraId="378A464E" w14:textId="77777777" w:rsidR="00387142" w:rsidRPr="008B6A75" w:rsidRDefault="00387142" w:rsidP="00387142">
            <w:pPr>
              <w:jc w:val="right"/>
              <w:rPr>
                <w:bCs/>
                <w:sz w:val="20"/>
                <w:szCs w:val="20"/>
              </w:rPr>
            </w:pPr>
            <w:r w:rsidRPr="008B6A75">
              <w:rPr>
                <w:bCs/>
                <w:sz w:val="20"/>
                <w:szCs w:val="20"/>
              </w:rPr>
              <w:t>2 202 325,00</w:t>
            </w:r>
          </w:p>
        </w:tc>
        <w:tc>
          <w:tcPr>
            <w:tcW w:w="992" w:type="dxa"/>
            <w:gridSpan w:val="2"/>
            <w:tcBorders>
              <w:top w:val="nil"/>
              <w:left w:val="single" w:sz="4" w:space="0" w:color="auto"/>
              <w:bottom w:val="nil"/>
              <w:right w:val="nil"/>
            </w:tcBorders>
            <w:shd w:val="clear" w:color="auto" w:fill="auto"/>
            <w:noWrap/>
            <w:vAlign w:val="center"/>
            <w:hideMark/>
          </w:tcPr>
          <w:p w14:paraId="4EB7DF4C" w14:textId="77777777" w:rsidR="00387142" w:rsidRPr="008B6A75" w:rsidRDefault="00387142" w:rsidP="00387142">
            <w:pPr>
              <w:jc w:val="right"/>
              <w:rPr>
                <w:bCs/>
                <w:sz w:val="20"/>
                <w:szCs w:val="20"/>
              </w:rPr>
            </w:pPr>
            <w:r w:rsidRPr="008B6A75">
              <w:rPr>
                <w:bCs/>
                <w:sz w:val="20"/>
                <w:szCs w:val="20"/>
              </w:rPr>
              <w:t>2 140 025,00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7EFE52F4" w14:textId="77777777" w:rsidR="00387142" w:rsidRPr="008B6A75" w:rsidRDefault="00387142" w:rsidP="00387142">
            <w:pPr>
              <w:jc w:val="right"/>
              <w:rPr>
                <w:bCs/>
                <w:sz w:val="20"/>
                <w:szCs w:val="20"/>
              </w:rPr>
            </w:pPr>
            <w:r w:rsidRPr="008B6A75">
              <w:rPr>
                <w:bCs/>
                <w:sz w:val="20"/>
                <w:szCs w:val="20"/>
              </w:rPr>
              <w:t>2 220 775,00</w:t>
            </w:r>
          </w:p>
        </w:tc>
        <w:tc>
          <w:tcPr>
            <w:tcW w:w="222" w:type="dxa"/>
            <w:vAlign w:val="center"/>
            <w:hideMark/>
          </w:tcPr>
          <w:p w14:paraId="7DC14D81" w14:textId="77777777" w:rsidR="00387142" w:rsidRPr="008B6A75" w:rsidRDefault="00387142" w:rsidP="00387142">
            <w:pPr>
              <w:rPr>
                <w:sz w:val="20"/>
                <w:szCs w:val="20"/>
              </w:rPr>
            </w:pPr>
          </w:p>
        </w:tc>
      </w:tr>
      <w:tr w:rsidR="00387142" w:rsidRPr="008B6A75" w14:paraId="71D2B371" w14:textId="77777777" w:rsidTr="00387142">
        <w:trPr>
          <w:trHeight w:val="1440"/>
        </w:trPr>
        <w:tc>
          <w:tcPr>
            <w:tcW w:w="3021" w:type="dxa"/>
            <w:tcBorders>
              <w:top w:val="single" w:sz="4" w:space="0" w:color="auto"/>
              <w:left w:val="single" w:sz="4" w:space="0" w:color="auto"/>
              <w:bottom w:val="nil"/>
              <w:right w:val="nil"/>
            </w:tcBorders>
            <w:shd w:val="clear" w:color="auto" w:fill="auto"/>
            <w:vAlign w:val="center"/>
            <w:hideMark/>
          </w:tcPr>
          <w:p w14:paraId="24EB97E1" w14:textId="77777777" w:rsidR="00387142" w:rsidRPr="008B6A75" w:rsidRDefault="00387142" w:rsidP="00387142">
            <w:pPr>
              <w:rPr>
                <w:sz w:val="20"/>
                <w:szCs w:val="20"/>
              </w:rPr>
            </w:pPr>
            <w:r w:rsidRPr="008B6A7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nil"/>
              <w:right w:val="nil"/>
            </w:tcBorders>
            <w:shd w:val="clear" w:color="auto" w:fill="auto"/>
            <w:noWrap/>
            <w:vAlign w:val="center"/>
            <w:hideMark/>
          </w:tcPr>
          <w:p w14:paraId="7D2E478F" w14:textId="77777777" w:rsidR="00387142" w:rsidRPr="008B6A75" w:rsidRDefault="00387142" w:rsidP="00387142">
            <w:pPr>
              <w:jc w:val="center"/>
              <w:rPr>
                <w:sz w:val="20"/>
                <w:szCs w:val="20"/>
              </w:rPr>
            </w:pPr>
            <w:r w:rsidRPr="008B6A75">
              <w:rPr>
                <w:sz w:val="20"/>
                <w:szCs w:val="20"/>
              </w:rPr>
              <w:t>444</w:t>
            </w:r>
          </w:p>
        </w:tc>
        <w:tc>
          <w:tcPr>
            <w:tcW w:w="709" w:type="dxa"/>
            <w:tcBorders>
              <w:top w:val="single" w:sz="4" w:space="0" w:color="auto"/>
              <w:left w:val="single" w:sz="4" w:space="0" w:color="auto"/>
              <w:bottom w:val="nil"/>
              <w:right w:val="nil"/>
            </w:tcBorders>
            <w:shd w:val="clear" w:color="auto" w:fill="auto"/>
            <w:noWrap/>
            <w:vAlign w:val="center"/>
            <w:hideMark/>
          </w:tcPr>
          <w:p w14:paraId="737C3B52" w14:textId="77777777" w:rsidR="00387142" w:rsidRPr="008B6A75" w:rsidRDefault="00387142" w:rsidP="00387142">
            <w:pPr>
              <w:jc w:val="center"/>
              <w:rPr>
                <w:sz w:val="20"/>
                <w:szCs w:val="20"/>
              </w:rPr>
            </w:pPr>
            <w:r w:rsidRPr="008B6A75">
              <w:rPr>
                <w:sz w:val="20"/>
                <w:szCs w:val="20"/>
              </w:rPr>
              <w:t>01</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7FFCBB16" w14:textId="77777777" w:rsidR="00387142" w:rsidRPr="008B6A75" w:rsidRDefault="00387142" w:rsidP="00387142">
            <w:pPr>
              <w:jc w:val="center"/>
              <w:rPr>
                <w:sz w:val="20"/>
                <w:szCs w:val="20"/>
              </w:rPr>
            </w:pPr>
            <w:r w:rsidRPr="008B6A75">
              <w:rPr>
                <w:sz w:val="20"/>
                <w:szCs w:val="20"/>
              </w:rPr>
              <w:t>04</w:t>
            </w:r>
          </w:p>
        </w:tc>
        <w:tc>
          <w:tcPr>
            <w:tcW w:w="1411" w:type="dxa"/>
            <w:tcBorders>
              <w:top w:val="single" w:sz="4" w:space="0" w:color="auto"/>
              <w:left w:val="single" w:sz="4" w:space="0" w:color="auto"/>
              <w:bottom w:val="nil"/>
              <w:right w:val="nil"/>
            </w:tcBorders>
            <w:shd w:val="clear" w:color="auto" w:fill="auto"/>
            <w:noWrap/>
            <w:vAlign w:val="center"/>
            <w:hideMark/>
          </w:tcPr>
          <w:p w14:paraId="1DA23667" w14:textId="77777777" w:rsidR="00387142" w:rsidRPr="008B6A75" w:rsidRDefault="00387142" w:rsidP="00387142">
            <w:pPr>
              <w:jc w:val="center"/>
              <w:rPr>
                <w:sz w:val="20"/>
                <w:szCs w:val="20"/>
              </w:rPr>
            </w:pPr>
            <w:r w:rsidRPr="008B6A75">
              <w:rPr>
                <w:sz w:val="20"/>
                <w:szCs w:val="20"/>
              </w:rPr>
              <w:t>99.0.00.70159</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730DC72F" w14:textId="77777777" w:rsidR="00387142" w:rsidRPr="008B6A75" w:rsidRDefault="00387142" w:rsidP="00387142">
            <w:pPr>
              <w:jc w:val="center"/>
              <w:rPr>
                <w:sz w:val="20"/>
                <w:szCs w:val="20"/>
              </w:rPr>
            </w:pPr>
            <w:r w:rsidRPr="008B6A75">
              <w:rPr>
                <w:sz w:val="20"/>
                <w:szCs w:val="20"/>
              </w:rPr>
              <w:t>100</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729F57FF" w14:textId="77777777" w:rsidR="00387142" w:rsidRPr="008B6A75" w:rsidRDefault="00387142" w:rsidP="00387142">
            <w:pPr>
              <w:jc w:val="right"/>
              <w:rPr>
                <w:sz w:val="20"/>
                <w:szCs w:val="20"/>
              </w:rPr>
            </w:pPr>
            <w:r w:rsidRPr="008B6A75">
              <w:rPr>
                <w:sz w:val="20"/>
                <w:szCs w:val="20"/>
              </w:rPr>
              <w:t>1 491 418,60</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65FFD0A3" w14:textId="77777777" w:rsidR="00387142" w:rsidRPr="008B6A75" w:rsidRDefault="00387142" w:rsidP="00387142">
            <w:pPr>
              <w:jc w:val="right"/>
              <w:rPr>
                <w:sz w:val="20"/>
                <w:szCs w:val="20"/>
              </w:rPr>
            </w:pPr>
            <w:r w:rsidRPr="008B6A75">
              <w:rPr>
                <w:sz w:val="20"/>
                <w:szCs w:val="20"/>
              </w:rPr>
              <w:t>1 447 959,18</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21F3F8EC" w14:textId="77777777" w:rsidR="00387142" w:rsidRPr="008B6A75" w:rsidRDefault="00387142" w:rsidP="00387142">
            <w:pPr>
              <w:jc w:val="right"/>
              <w:rPr>
                <w:sz w:val="20"/>
                <w:szCs w:val="20"/>
              </w:rPr>
            </w:pPr>
            <w:r w:rsidRPr="008B6A75">
              <w:rPr>
                <w:sz w:val="20"/>
                <w:szCs w:val="20"/>
              </w:rPr>
              <w:t>1 491 606,35</w:t>
            </w:r>
          </w:p>
        </w:tc>
        <w:tc>
          <w:tcPr>
            <w:tcW w:w="222" w:type="dxa"/>
            <w:vAlign w:val="center"/>
            <w:hideMark/>
          </w:tcPr>
          <w:p w14:paraId="27A14B4E" w14:textId="77777777" w:rsidR="00387142" w:rsidRPr="008B6A75" w:rsidRDefault="00387142" w:rsidP="00387142">
            <w:pPr>
              <w:rPr>
                <w:sz w:val="20"/>
                <w:szCs w:val="20"/>
              </w:rPr>
            </w:pPr>
          </w:p>
        </w:tc>
      </w:tr>
      <w:tr w:rsidR="00387142" w:rsidRPr="008B6A75" w14:paraId="74404A17" w14:textId="77777777" w:rsidTr="00387142">
        <w:trPr>
          <w:trHeight w:val="585"/>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3B3AFA86" w14:textId="77777777" w:rsidR="00387142" w:rsidRPr="008B6A75" w:rsidRDefault="00387142" w:rsidP="00387142">
            <w:pPr>
              <w:rPr>
                <w:sz w:val="20"/>
                <w:szCs w:val="20"/>
              </w:rPr>
            </w:pPr>
            <w:r w:rsidRPr="008B6A75">
              <w:rPr>
                <w:sz w:val="20"/>
                <w:szCs w:val="20"/>
              </w:rPr>
              <w:t>Расходы на выплаты персоналу государственных (муниципальных) органов</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60A9C5E9" w14:textId="77777777" w:rsidR="00387142" w:rsidRPr="008B6A75" w:rsidRDefault="00387142" w:rsidP="00387142">
            <w:pPr>
              <w:jc w:val="center"/>
              <w:rPr>
                <w:sz w:val="20"/>
                <w:szCs w:val="20"/>
              </w:rPr>
            </w:pPr>
            <w:r w:rsidRPr="008B6A75">
              <w:rPr>
                <w:sz w:val="20"/>
                <w:szCs w:val="20"/>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6C1A76AD" w14:textId="77777777" w:rsidR="00387142" w:rsidRPr="008B6A75" w:rsidRDefault="00387142" w:rsidP="00387142">
            <w:pPr>
              <w:jc w:val="center"/>
              <w:rPr>
                <w:sz w:val="20"/>
                <w:szCs w:val="20"/>
              </w:rPr>
            </w:pPr>
            <w:r w:rsidRPr="008B6A75">
              <w:rPr>
                <w:sz w:val="20"/>
                <w:szCs w:val="20"/>
              </w:rPr>
              <w:t>01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47AE6D" w14:textId="77777777" w:rsidR="00387142" w:rsidRPr="008B6A75" w:rsidRDefault="00387142" w:rsidP="00387142">
            <w:pPr>
              <w:jc w:val="center"/>
              <w:rPr>
                <w:sz w:val="20"/>
                <w:szCs w:val="20"/>
              </w:rPr>
            </w:pPr>
            <w:r w:rsidRPr="008B6A75">
              <w:rPr>
                <w:sz w:val="20"/>
                <w:szCs w:val="20"/>
              </w:rPr>
              <w:t>04</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2EFB74E0" w14:textId="77777777" w:rsidR="00387142" w:rsidRPr="008B6A75" w:rsidRDefault="00387142" w:rsidP="00387142">
            <w:pPr>
              <w:jc w:val="center"/>
              <w:rPr>
                <w:sz w:val="20"/>
                <w:szCs w:val="20"/>
              </w:rPr>
            </w:pPr>
            <w:r w:rsidRPr="008B6A75">
              <w:rPr>
                <w:sz w:val="20"/>
                <w:szCs w:val="20"/>
              </w:rPr>
              <w:t>99.0.00.70159</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BF70B7" w14:textId="77777777" w:rsidR="00387142" w:rsidRPr="008B6A75" w:rsidRDefault="00387142" w:rsidP="00387142">
            <w:pPr>
              <w:jc w:val="center"/>
              <w:rPr>
                <w:sz w:val="20"/>
                <w:szCs w:val="20"/>
              </w:rPr>
            </w:pPr>
            <w:r w:rsidRPr="008B6A75">
              <w:rPr>
                <w:sz w:val="20"/>
                <w:szCs w:val="20"/>
              </w:rPr>
              <w:t>120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541749" w14:textId="77777777" w:rsidR="00387142" w:rsidRPr="008B6A75" w:rsidRDefault="00387142" w:rsidP="00387142">
            <w:pPr>
              <w:jc w:val="right"/>
              <w:rPr>
                <w:sz w:val="20"/>
                <w:szCs w:val="20"/>
              </w:rPr>
            </w:pPr>
            <w:r w:rsidRPr="008B6A75">
              <w:rPr>
                <w:sz w:val="20"/>
                <w:szCs w:val="20"/>
              </w:rPr>
              <w:t>1 491 418,60</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2B0E40A2" w14:textId="77777777" w:rsidR="00387142" w:rsidRPr="008B6A75" w:rsidRDefault="00387142" w:rsidP="00387142">
            <w:pPr>
              <w:jc w:val="right"/>
              <w:rPr>
                <w:sz w:val="20"/>
                <w:szCs w:val="20"/>
              </w:rPr>
            </w:pPr>
            <w:r w:rsidRPr="008B6A75">
              <w:rPr>
                <w:sz w:val="20"/>
                <w:szCs w:val="20"/>
              </w:rPr>
              <w:t>1 447 959,18</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D25D18" w14:textId="77777777" w:rsidR="00387142" w:rsidRPr="008B6A75" w:rsidRDefault="00387142" w:rsidP="00387142">
            <w:pPr>
              <w:jc w:val="right"/>
              <w:rPr>
                <w:sz w:val="20"/>
                <w:szCs w:val="20"/>
              </w:rPr>
            </w:pPr>
            <w:r w:rsidRPr="008B6A75">
              <w:rPr>
                <w:sz w:val="20"/>
                <w:szCs w:val="20"/>
              </w:rPr>
              <w:t>1 491 606,35</w:t>
            </w:r>
          </w:p>
        </w:tc>
        <w:tc>
          <w:tcPr>
            <w:tcW w:w="222" w:type="dxa"/>
            <w:vAlign w:val="center"/>
            <w:hideMark/>
          </w:tcPr>
          <w:p w14:paraId="0D4A3E2F" w14:textId="77777777" w:rsidR="00387142" w:rsidRPr="008B6A75" w:rsidRDefault="00387142" w:rsidP="00387142">
            <w:pPr>
              <w:rPr>
                <w:sz w:val="20"/>
                <w:szCs w:val="20"/>
              </w:rPr>
            </w:pPr>
          </w:p>
        </w:tc>
      </w:tr>
      <w:tr w:rsidR="00387142" w:rsidRPr="008B6A75" w14:paraId="3644533B" w14:textId="77777777" w:rsidTr="00387142">
        <w:trPr>
          <w:trHeight w:val="585"/>
        </w:trPr>
        <w:tc>
          <w:tcPr>
            <w:tcW w:w="3021" w:type="dxa"/>
            <w:tcBorders>
              <w:top w:val="nil"/>
              <w:left w:val="single" w:sz="4" w:space="0" w:color="auto"/>
              <w:bottom w:val="nil"/>
              <w:right w:val="nil"/>
            </w:tcBorders>
            <w:shd w:val="clear" w:color="auto" w:fill="auto"/>
            <w:vAlign w:val="center"/>
            <w:hideMark/>
          </w:tcPr>
          <w:p w14:paraId="61675D53" w14:textId="77777777" w:rsidR="00387142" w:rsidRPr="008B6A75" w:rsidRDefault="00387142" w:rsidP="00387142">
            <w:pPr>
              <w:rPr>
                <w:sz w:val="20"/>
                <w:szCs w:val="20"/>
              </w:rPr>
            </w:pPr>
            <w:r w:rsidRPr="008B6A75">
              <w:rPr>
                <w:sz w:val="20"/>
                <w:szCs w:val="20"/>
              </w:rPr>
              <w:t>Закупка товаров, работ и услуг для обеспечения государственных (муниципальных) нужд</w:t>
            </w:r>
          </w:p>
        </w:tc>
        <w:tc>
          <w:tcPr>
            <w:tcW w:w="850" w:type="dxa"/>
            <w:tcBorders>
              <w:top w:val="nil"/>
              <w:left w:val="single" w:sz="4" w:space="0" w:color="auto"/>
              <w:bottom w:val="nil"/>
              <w:right w:val="nil"/>
            </w:tcBorders>
            <w:shd w:val="clear" w:color="auto" w:fill="auto"/>
            <w:noWrap/>
            <w:vAlign w:val="center"/>
            <w:hideMark/>
          </w:tcPr>
          <w:p w14:paraId="5574147D" w14:textId="77777777" w:rsidR="00387142" w:rsidRPr="008B6A75" w:rsidRDefault="00387142" w:rsidP="00387142">
            <w:pPr>
              <w:jc w:val="center"/>
              <w:rPr>
                <w:sz w:val="20"/>
                <w:szCs w:val="20"/>
              </w:rPr>
            </w:pPr>
            <w:r w:rsidRPr="008B6A75">
              <w:rPr>
                <w:sz w:val="20"/>
                <w:szCs w:val="20"/>
              </w:rPr>
              <w:t>444</w:t>
            </w:r>
          </w:p>
        </w:tc>
        <w:tc>
          <w:tcPr>
            <w:tcW w:w="709" w:type="dxa"/>
            <w:tcBorders>
              <w:top w:val="nil"/>
              <w:left w:val="single" w:sz="4" w:space="0" w:color="auto"/>
              <w:bottom w:val="nil"/>
              <w:right w:val="nil"/>
            </w:tcBorders>
            <w:shd w:val="clear" w:color="auto" w:fill="auto"/>
            <w:noWrap/>
            <w:vAlign w:val="center"/>
            <w:hideMark/>
          </w:tcPr>
          <w:p w14:paraId="6142E95B" w14:textId="77777777" w:rsidR="00387142" w:rsidRPr="008B6A75" w:rsidRDefault="00387142" w:rsidP="00387142">
            <w:pPr>
              <w:jc w:val="center"/>
              <w:rPr>
                <w:sz w:val="20"/>
                <w:szCs w:val="20"/>
              </w:rPr>
            </w:pPr>
            <w:r w:rsidRPr="008B6A75">
              <w:rPr>
                <w:sz w:val="20"/>
                <w:szCs w:val="20"/>
              </w:rPr>
              <w:t>01</w:t>
            </w:r>
          </w:p>
        </w:tc>
        <w:tc>
          <w:tcPr>
            <w:tcW w:w="709" w:type="dxa"/>
            <w:tcBorders>
              <w:top w:val="nil"/>
              <w:left w:val="single" w:sz="4" w:space="0" w:color="auto"/>
              <w:bottom w:val="nil"/>
              <w:right w:val="single" w:sz="4" w:space="0" w:color="auto"/>
            </w:tcBorders>
            <w:shd w:val="clear" w:color="auto" w:fill="auto"/>
            <w:noWrap/>
            <w:vAlign w:val="center"/>
            <w:hideMark/>
          </w:tcPr>
          <w:p w14:paraId="5EFF421D" w14:textId="77777777" w:rsidR="00387142" w:rsidRPr="008B6A75" w:rsidRDefault="00387142" w:rsidP="00387142">
            <w:pPr>
              <w:jc w:val="center"/>
              <w:rPr>
                <w:sz w:val="20"/>
                <w:szCs w:val="20"/>
              </w:rPr>
            </w:pPr>
            <w:r w:rsidRPr="008B6A75">
              <w:rPr>
                <w:sz w:val="20"/>
                <w:szCs w:val="20"/>
              </w:rPr>
              <w:t>04</w:t>
            </w:r>
          </w:p>
        </w:tc>
        <w:tc>
          <w:tcPr>
            <w:tcW w:w="1411" w:type="dxa"/>
            <w:tcBorders>
              <w:top w:val="nil"/>
              <w:left w:val="single" w:sz="4" w:space="0" w:color="auto"/>
              <w:bottom w:val="nil"/>
              <w:right w:val="nil"/>
            </w:tcBorders>
            <w:shd w:val="clear" w:color="auto" w:fill="auto"/>
            <w:noWrap/>
            <w:vAlign w:val="center"/>
            <w:hideMark/>
          </w:tcPr>
          <w:p w14:paraId="01984E9F" w14:textId="77777777" w:rsidR="00387142" w:rsidRPr="008B6A75" w:rsidRDefault="00387142" w:rsidP="00387142">
            <w:pPr>
              <w:jc w:val="center"/>
              <w:rPr>
                <w:sz w:val="20"/>
                <w:szCs w:val="20"/>
              </w:rPr>
            </w:pPr>
            <w:r w:rsidRPr="008B6A75">
              <w:rPr>
                <w:sz w:val="20"/>
                <w:szCs w:val="20"/>
              </w:rPr>
              <w:t>99.0.00.70159</w:t>
            </w:r>
          </w:p>
        </w:tc>
        <w:tc>
          <w:tcPr>
            <w:tcW w:w="955" w:type="dxa"/>
            <w:tcBorders>
              <w:top w:val="nil"/>
              <w:left w:val="single" w:sz="4" w:space="0" w:color="auto"/>
              <w:bottom w:val="nil"/>
              <w:right w:val="single" w:sz="4" w:space="0" w:color="auto"/>
            </w:tcBorders>
            <w:shd w:val="clear" w:color="auto" w:fill="auto"/>
            <w:noWrap/>
            <w:vAlign w:val="center"/>
            <w:hideMark/>
          </w:tcPr>
          <w:p w14:paraId="4B0CD572" w14:textId="77777777" w:rsidR="00387142" w:rsidRPr="008B6A75" w:rsidRDefault="00387142" w:rsidP="00387142">
            <w:pPr>
              <w:jc w:val="center"/>
              <w:rPr>
                <w:sz w:val="20"/>
                <w:szCs w:val="20"/>
              </w:rPr>
            </w:pPr>
            <w:r w:rsidRPr="008B6A75">
              <w:rPr>
                <w:sz w:val="20"/>
                <w:szCs w:val="20"/>
              </w:rPr>
              <w:t>200</w:t>
            </w:r>
          </w:p>
        </w:tc>
        <w:tc>
          <w:tcPr>
            <w:tcW w:w="992" w:type="dxa"/>
            <w:tcBorders>
              <w:top w:val="nil"/>
              <w:left w:val="single" w:sz="4" w:space="0" w:color="auto"/>
              <w:bottom w:val="nil"/>
              <w:right w:val="single" w:sz="4" w:space="0" w:color="auto"/>
            </w:tcBorders>
            <w:shd w:val="clear" w:color="auto" w:fill="auto"/>
            <w:noWrap/>
            <w:vAlign w:val="center"/>
            <w:hideMark/>
          </w:tcPr>
          <w:p w14:paraId="46654C48" w14:textId="77777777" w:rsidR="00387142" w:rsidRPr="008B6A75" w:rsidRDefault="00387142" w:rsidP="00387142">
            <w:pPr>
              <w:jc w:val="right"/>
              <w:rPr>
                <w:sz w:val="20"/>
                <w:szCs w:val="20"/>
              </w:rPr>
            </w:pPr>
            <w:r w:rsidRPr="008B6A75">
              <w:rPr>
                <w:sz w:val="20"/>
                <w:szCs w:val="20"/>
              </w:rPr>
              <w:t>710 906,40</w:t>
            </w:r>
          </w:p>
        </w:tc>
        <w:tc>
          <w:tcPr>
            <w:tcW w:w="992" w:type="dxa"/>
            <w:gridSpan w:val="2"/>
            <w:tcBorders>
              <w:top w:val="nil"/>
              <w:left w:val="single" w:sz="4" w:space="0" w:color="auto"/>
              <w:bottom w:val="nil"/>
              <w:right w:val="nil"/>
            </w:tcBorders>
            <w:shd w:val="clear" w:color="auto" w:fill="auto"/>
            <w:noWrap/>
            <w:vAlign w:val="center"/>
            <w:hideMark/>
          </w:tcPr>
          <w:p w14:paraId="372C519B" w14:textId="77777777" w:rsidR="00387142" w:rsidRPr="008B6A75" w:rsidRDefault="00387142" w:rsidP="00387142">
            <w:pPr>
              <w:jc w:val="right"/>
              <w:rPr>
                <w:sz w:val="20"/>
                <w:szCs w:val="20"/>
              </w:rPr>
            </w:pPr>
            <w:r w:rsidRPr="008B6A75">
              <w:rPr>
                <w:sz w:val="20"/>
                <w:szCs w:val="20"/>
              </w:rPr>
              <w:t>692 065,82</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3A436CEB" w14:textId="77777777" w:rsidR="00387142" w:rsidRPr="008B6A75" w:rsidRDefault="00387142" w:rsidP="00387142">
            <w:pPr>
              <w:jc w:val="right"/>
              <w:rPr>
                <w:sz w:val="20"/>
                <w:szCs w:val="20"/>
              </w:rPr>
            </w:pPr>
            <w:r w:rsidRPr="008B6A75">
              <w:rPr>
                <w:sz w:val="20"/>
                <w:szCs w:val="20"/>
              </w:rPr>
              <w:t>729 168,65</w:t>
            </w:r>
          </w:p>
        </w:tc>
        <w:tc>
          <w:tcPr>
            <w:tcW w:w="222" w:type="dxa"/>
            <w:vAlign w:val="center"/>
            <w:hideMark/>
          </w:tcPr>
          <w:p w14:paraId="47B64365" w14:textId="77777777" w:rsidR="00387142" w:rsidRPr="008B6A75" w:rsidRDefault="00387142" w:rsidP="00387142">
            <w:pPr>
              <w:rPr>
                <w:sz w:val="20"/>
                <w:szCs w:val="20"/>
              </w:rPr>
            </w:pPr>
          </w:p>
        </w:tc>
      </w:tr>
      <w:tr w:rsidR="00387142" w:rsidRPr="008B6A75" w14:paraId="0DCC1E8A" w14:textId="77777777" w:rsidTr="00387142">
        <w:trPr>
          <w:trHeight w:val="870"/>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7639DA98" w14:textId="77777777" w:rsidR="00387142" w:rsidRPr="008B6A75" w:rsidRDefault="00387142" w:rsidP="00387142">
            <w:pPr>
              <w:rPr>
                <w:sz w:val="20"/>
                <w:szCs w:val="20"/>
              </w:rPr>
            </w:pPr>
            <w:r w:rsidRPr="008B6A75">
              <w:rPr>
                <w:sz w:val="20"/>
                <w:szCs w:val="20"/>
              </w:rPr>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2483E318" w14:textId="77777777" w:rsidR="00387142" w:rsidRPr="008B6A75" w:rsidRDefault="00387142" w:rsidP="00387142">
            <w:pPr>
              <w:jc w:val="center"/>
              <w:rPr>
                <w:sz w:val="20"/>
                <w:szCs w:val="20"/>
              </w:rPr>
            </w:pPr>
            <w:r w:rsidRPr="008B6A75">
              <w:rPr>
                <w:sz w:val="20"/>
                <w:szCs w:val="20"/>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72ABDC84" w14:textId="77777777" w:rsidR="00387142" w:rsidRPr="008B6A75" w:rsidRDefault="00387142" w:rsidP="00387142">
            <w:pPr>
              <w:jc w:val="center"/>
              <w:rPr>
                <w:sz w:val="20"/>
                <w:szCs w:val="20"/>
              </w:rPr>
            </w:pPr>
            <w:r w:rsidRPr="008B6A75">
              <w:rPr>
                <w:sz w:val="20"/>
                <w:szCs w:val="20"/>
              </w:rPr>
              <w:t>01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37BB20" w14:textId="77777777" w:rsidR="00387142" w:rsidRPr="008B6A75" w:rsidRDefault="00387142" w:rsidP="00387142">
            <w:pPr>
              <w:jc w:val="center"/>
              <w:rPr>
                <w:sz w:val="20"/>
                <w:szCs w:val="20"/>
              </w:rPr>
            </w:pPr>
            <w:r w:rsidRPr="008B6A75">
              <w:rPr>
                <w:sz w:val="20"/>
                <w:szCs w:val="20"/>
              </w:rPr>
              <w:t>04</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6312882D" w14:textId="77777777" w:rsidR="00387142" w:rsidRPr="008B6A75" w:rsidRDefault="00387142" w:rsidP="00387142">
            <w:pPr>
              <w:jc w:val="center"/>
              <w:rPr>
                <w:sz w:val="20"/>
                <w:szCs w:val="20"/>
              </w:rPr>
            </w:pPr>
            <w:r w:rsidRPr="008B6A75">
              <w:rPr>
                <w:sz w:val="20"/>
                <w:szCs w:val="20"/>
              </w:rPr>
              <w:t>99.0.00.70159</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FF001C" w14:textId="77777777" w:rsidR="00387142" w:rsidRPr="008B6A75" w:rsidRDefault="00387142" w:rsidP="00387142">
            <w:pPr>
              <w:jc w:val="center"/>
              <w:rPr>
                <w:sz w:val="20"/>
                <w:szCs w:val="20"/>
              </w:rPr>
            </w:pPr>
            <w:r w:rsidRPr="008B6A75">
              <w:rPr>
                <w:sz w:val="20"/>
                <w:szCs w:val="20"/>
              </w:rPr>
              <w:t>240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B4233D" w14:textId="77777777" w:rsidR="00387142" w:rsidRPr="008B6A75" w:rsidRDefault="00387142" w:rsidP="00387142">
            <w:pPr>
              <w:jc w:val="right"/>
              <w:rPr>
                <w:sz w:val="20"/>
                <w:szCs w:val="20"/>
              </w:rPr>
            </w:pPr>
            <w:r w:rsidRPr="008B6A75">
              <w:rPr>
                <w:sz w:val="20"/>
                <w:szCs w:val="20"/>
              </w:rPr>
              <w:t>710 906,40</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1EB8B8AC" w14:textId="77777777" w:rsidR="00387142" w:rsidRPr="008B6A75" w:rsidRDefault="00387142" w:rsidP="00387142">
            <w:pPr>
              <w:jc w:val="right"/>
              <w:rPr>
                <w:sz w:val="20"/>
                <w:szCs w:val="20"/>
              </w:rPr>
            </w:pPr>
            <w:r w:rsidRPr="008B6A75">
              <w:rPr>
                <w:sz w:val="20"/>
                <w:szCs w:val="20"/>
              </w:rPr>
              <w:t>692 065,82</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916C56" w14:textId="77777777" w:rsidR="00387142" w:rsidRPr="008B6A75" w:rsidRDefault="00387142" w:rsidP="00387142">
            <w:pPr>
              <w:jc w:val="right"/>
              <w:rPr>
                <w:sz w:val="20"/>
                <w:szCs w:val="20"/>
              </w:rPr>
            </w:pPr>
            <w:r w:rsidRPr="008B6A75">
              <w:rPr>
                <w:sz w:val="20"/>
                <w:szCs w:val="20"/>
              </w:rPr>
              <w:t>729 168,65</w:t>
            </w:r>
          </w:p>
        </w:tc>
        <w:tc>
          <w:tcPr>
            <w:tcW w:w="222" w:type="dxa"/>
            <w:vAlign w:val="center"/>
            <w:hideMark/>
          </w:tcPr>
          <w:p w14:paraId="78F5EE83" w14:textId="77777777" w:rsidR="00387142" w:rsidRPr="008B6A75" w:rsidRDefault="00387142" w:rsidP="00387142">
            <w:pPr>
              <w:rPr>
                <w:sz w:val="20"/>
                <w:szCs w:val="20"/>
              </w:rPr>
            </w:pPr>
          </w:p>
        </w:tc>
      </w:tr>
      <w:tr w:rsidR="00387142" w:rsidRPr="008B6A75" w14:paraId="1C801441" w14:textId="77777777" w:rsidTr="00387142">
        <w:trPr>
          <w:trHeight w:val="1155"/>
        </w:trPr>
        <w:tc>
          <w:tcPr>
            <w:tcW w:w="3021" w:type="dxa"/>
            <w:tcBorders>
              <w:top w:val="nil"/>
              <w:left w:val="single" w:sz="4" w:space="0" w:color="auto"/>
              <w:bottom w:val="nil"/>
              <w:right w:val="nil"/>
            </w:tcBorders>
            <w:shd w:val="clear" w:color="auto" w:fill="auto"/>
            <w:vAlign w:val="center"/>
            <w:hideMark/>
          </w:tcPr>
          <w:p w14:paraId="6ABC4CDA" w14:textId="77777777" w:rsidR="00387142" w:rsidRPr="008B6A75" w:rsidRDefault="00387142" w:rsidP="00387142">
            <w:pPr>
              <w:rPr>
                <w:bCs/>
                <w:sz w:val="20"/>
                <w:szCs w:val="20"/>
              </w:rPr>
            </w:pPr>
            <w:r w:rsidRPr="008B6A75">
              <w:rPr>
                <w:bCs/>
                <w:sz w:val="20"/>
                <w:szCs w:val="20"/>
              </w:rPr>
              <w:t>Осуществление отдельных государственных полномочий Новосибирской области по обеспечению социального обслуживания отдельных категорий граждан</w:t>
            </w:r>
          </w:p>
        </w:tc>
        <w:tc>
          <w:tcPr>
            <w:tcW w:w="850" w:type="dxa"/>
            <w:tcBorders>
              <w:top w:val="nil"/>
              <w:left w:val="single" w:sz="4" w:space="0" w:color="auto"/>
              <w:bottom w:val="nil"/>
              <w:right w:val="nil"/>
            </w:tcBorders>
            <w:shd w:val="clear" w:color="auto" w:fill="auto"/>
            <w:noWrap/>
            <w:vAlign w:val="center"/>
            <w:hideMark/>
          </w:tcPr>
          <w:p w14:paraId="54DD344A" w14:textId="77777777" w:rsidR="00387142" w:rsidRPr="008B6A75" w:rsidRDefault="00387142" w:rsidP="00387142">
            <w:pPr>
              <w:jc w:val="center"/>
              <w:rPr>
                <w:bCs/>
                <w:sz w:val="20"/>
                <w:szCs w:val="20"/>
              </w:rPr>
            </w:pPr>
            <w:r w:rsidRPr="008B6A75">
              <w:rPr>
                <w:bCs/>
                <w:sz w:val="20"/>
                <w:szCs w:val="20"/>
              </w:rPr>
              <w:t>444</w:t>
            </w:r>
          </w:p>
        </w:tc>
        <w:tc>
          <w:tcPr>
            <w:tcW w:w="709" w:type="dxa"/>
            <w:tcBorders>
              <w:top w:val="nil"/>
              <w:left w:val="single" w:sz="4" w:space="0" w:color="auto"/>
              <w:bottom w:val="nil"/>
              <w:right w:val="nil"/>
            </w:tcBorders>
            <w:shd w:val="clear" w:color="auto" w:fill="auto"/>
            <w:noWrap/>
            <w:vAlign w:val="center"/>
            <w:hideMark/>
          </w:tcPr>
          <w:p w14:paraId="452BE6B4" w14:textId="77777777" w:rsidR="00387142" w:rsidRPr="008B6A75" w:rsidRDefault="00387142" w:rsidP="00387142">
            <w:pPr>
              <w:jc w:val="center"/>
              <w:rPr>
                <w:bCs/>
                <w:sz w:val="20"/>
                <w:szCs w:val="20"/>
              </w:rPr>
            </w:pPr>
            <w:r w:rsidRPr="008B6A75">
              <w:rPr>
                <w:bCs/>
                <w:sz w:val="20"/>
                <w:szCs w:val="20"/>
              </w:rPr>
              <w:t>01</w:t>
            </w:r>
          </w:p>
        </w:tc>
        <w:tc>
          <w:tcPr>
            <w:tcW w:w="709" w:type="dxa"/>
            <w:tcBorders>
              <w:top w:val="nil"/>
              <w:left w:val="single" w:sz="4" w:space="0" w:color="auto"/>
              <w:bottom w:val="nil"/>
              <w:right w:val="single" w:sz="4" w:space="0" w:color="auto"/>
            </w:tcBorders>
            <w:shd w:val="clear" w:color="auto" w:fill="auto"/>
            <w:noWrap/>
            <w:vAlign w:val="center"/>
            <w:hideMark/>
          </w:tcPr>
          <w:p w14:paraId="403E6FD7" w14:textId="77777777" w:rsidR="00387142" w:rsidRPr="008B6A75" w:rsidRDefault="00387142" w:rsidP="00387142">
            <w:pPr>
              <w:jc w:val="center"/>
              <w:rPr>
                <w:bCs/>
                <w:sz w:val="20"/>
                <w:szCs w:val="20"/>
              </w:rPr>
            </w:pPr>
            <w:r w:rsidRPr="008B6A75">
              <w:rPr>
                <w:bCs/>
                <w:sz w:val="20"/>
                <w:szCs w:val="20"/>
              </w:rPr>
              <w:t>04</w:t>
            </w:r>
          </w:p>
        </w:tc>
        <w:tc>
          <w:tcPr>
            <w:tcW w:w="1411" w:type="dxa"/>
            <w:tcBorders>
              <w:top w:val="nil"/>
              <w:left w:val="single" w:sz="4" w:space="0" w:color="auto"/>
              <w:bottom w:val="nil"/>
              <w:right w:val="nil"/>
            </w:tcBorders>
            <w:shd w:val="clear" w:color="auto" w:fill="auto"/>
            <w:noWrap/>
            <w:vAlign w:val="center"/>
            <w:hideMark/>
          </w:tcPr>
          <w:p w14:paraId="36556CE3" w14:textId="77777777" w:rsidR="00387142" w:rsidRPr="008B6A75" w:rsidRDefault="00387142" w:rsidP="00387142">
            <w:pPr>
              <w:jc w:val="center"/>
              <w:rPr>
                <w:bCs/>
                <w:sz w:val="20"/>
                <w:szCs w:val="20"/>
              </w:rPr>
            </w:pPr>
            <w:r w:rsidRPr="008B6A75">
              <w:rPr>
                <w:bCs/>
                <w:sz w:val="20"/>
                <w:szCs w:val="20"/>
              </w:rPr>
              <w:t>99.0.00.70180</w:t>
            </w:r>
          </w:p>
        </w:tc>
        <w:tc>
          <w:tcPr>
            <w:tcW w:w="955" w:type="dxa"/>
            <w:tcBorders>
              <w:top w:val="nil"/>
              <w:left w:val="single" w:sz="4" w:space="0" w:color="auto"/>
              <w:bottom w:val="nil"/>
              <w:right w:val="single" w:sz="4" w:space="0" w:color="auto"/>
            </w:tcBorders>
            <w:shd w:val="clear" w:color="auto" w:fill="auto"/>
            <w:noWrap/>
            <w:vAlign w:val="center"/>
            <w:hideMark/>
          </w:tcPr>
          <w:p w14:paraId="063F1BE2"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nil"/>
              <w:right w:val="single" w:sz="4" w:space="0" w:color="auto"/>
            </w:tcBorders>
            <w:shd w:val="clear" w:color="auto" w:fill="auto"/>
            <w:noWrap/>
            <w:vAlign w:val="center"/>
            <w:hideMark/>
          </w:tcPr>
          <w:p w14:paraId="3E1D514B" w14:textId="77777777" w:rsidR="00387142" w:rsidRPr="008B6A75" w:rsidRDefault="00387142" w:rsidP="00387142">
            <w:pPr>
              <w:jc w:val="right"/>
              <w:rPr>
                <w:bCs/>
                <w:sz w:val="20"/>
                <w:szCs w:val="20"/>
              </w:rPr>
            </w:pPr>
            <w:r w:rsidRPr="008B6A75">
              <w:rPr>
                <w:bCs/>
                <w:sz w:val="20"/>
                <w:szCs w:val="20"/>
              </w:rPr>
              <w:t>2 431 464,56</w:t>
            </w:r>
          </w:p>
        </w:tc>
        <w:tc>
          <w:tcPr>
            <w:tcW w:w="992" w:type="dxa"/>
            <w:gridSpan w:val="2"/>
            <w:tcBorders>
              <w:top w:val="nil"/>
              <w:left w:val="single" w:sz="4" w:space="0" w:color="auto"/>
              <w:bottom w:val="nil"/>
              <w:right w:val="nil"/>
            </w:tcBorders>
            <w:shd w:val="clear" w:color="auto" w:fill="auto"/>
            <w:noWrap/>
            <w:vAlign w:val="center"/>
            <w:hideMark/>
          </w:tcPr>
          <w:p w14:paraId="05C479D3" w14:textId="77777777" w:rsidR="00387142" w:rsidRPr="008B6A75" w:rsidRDefault="00387142" w:rsidP="00387142">
            <w:pPr>
              <w:jc w:val="right"/>
              <w:rPr>
                <w:bCs/>
                <w:sz w:val="20"/>
                <w:szCs w:val="20"/>
              </w:rPr>
            </w:pPr>
            <w:r w:rsidRPr="008B6A75">
              <w:rPr>
                <w:bCs/>
                <w:sz w:val="20"/>
                <w:szCs w:val="20"/>
              </w:rPr>
              <w:t>2 392 000,00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5D824361" w14:textId="77777777" w:rsidR="00387142" w:rsidRPr="008B6A75" w:rsidRDefault="00387142" w:rsidP="00387142">
            <w:pPr>
              <w:jc w:val="right"/>
              <w:rPr>
                <w:bCs/>
                <w:sz w:val="20"/>
                <w:szCs w:val="20"/>
              </w:rPr>
            </w:pPr>
            <w:r w:rsidRPr="008B6A75">
              <w:rPr>
                <w:bCs/>
                <w:sz w:val="20"/>
                <w:szCs w:val="20"/>
              </w:rPr>
              <w:t>2 488 095,99</w:t>
            </w:r>
          </w:p>
        </w:tc>
        <w:tc>
          <w:tcPr>
            <w:tcW w:w="222" w:type="dxa"/>
            <w:vAlign w:val="center"/>
            <w:hideMark/>
          </w:tcPr>
          <w:p w14:paraId="695FD520" w14:textId="77777777" w:rsidR="00387142" w:rsidRPr="008B6A75" w:rsidRDefault="00387142" w:rsidP="00387142">
            <w:pPr>
              <w:rPr>
                <w:sz w:val="20"/>
                <w:szCs w:val="20"/>
              </w:rPr>
            </w:pPr>
          </w:p>
        </w:tc>
      </w:tr>
      <w:tr w:rsidR="00387142" w:rsidRPr="008B6A75" w14:paraId="5E6A7FE0" w14:textId="77777777" w:rsidTr="00387142">
        <w:trPr>
          <w:trHeight w:val="1440"/>
        </w:trPr>
        <w:tc>
          <w:tcPr>
            <w:tcW w:w="3021" w:type="dxa"/>
            <w:tcBorders>
              <w:top w:val="single" w:sz="4" w:space="0" w:color="auto"/>
              <w:left w:val="single" w:sz="4" w:space="0" w:color="auto"/>
              <w:bottom w:val="nil"/>
              <w:right w:val="nil"/>
            </w:tcBorders>
            <w:shd w:val="clear" w:color="auto" w:fill="auto"/>
            <w:vAlign w:val="center"/>
            <w:hideMark/>
          </w:tcPr>
          <w:p w14:paraId="7895BD1A" w14:textId="77777777" w:rsidR="00387142" w:rsidRPr="008B6A75" w:rsidRDefault="00387142" w:rsidP="00387142">
            <w:pPr>
              <w:rPr>
                <w:sz w:val="20"/>
                <w:szCs w:val="20"/>
              </w:rPr>
            </w:pPr>
            <w:r w:rsidRPr="008B6A7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nil"/>
              <w:right w:val="nil"/>
            </w:tcBorders>
            <w:shd w:val="clear" w:color="auto" w:fill="auto"/>
            <w:noWrap/>
            <w:vAlign w:val="center"/>
            <w:hideMark/>
          </w:tcPr>
          <w:p w14:paraId="23849731" w14:textId="77777777" w:rsidR="00387142" w:rsidRPr="008B6A75" w:rsidRDefault="00387142" w:rsidP="00387142">
            <w:pPr>
              <w:jc w:val="center"/>
              <w:rPr>
                <w:sz w:val="20"/>
                <w:szCs w:val="20"/>
              </w:rPr>
            </w:pPr>
            <w:r w:rsidRPr="008B6A75">
              <w:rPr>
                <w:sz w:val="20"/>
                <w:szCs w:val="20"/>
              </w:rPr>
              <w:t>444</w:t>
            </w:r>
          </w:p>
        </w:tc>
        <w:tc>
          <w:tcPr>
            <w:tcW w:w="709" w:type="dxa"/>
            <w:tcBorders>
              <w:top w:val="single" w:sz="4" w:space="0" w:color="auto"/>
              <w:left w:val="single" w:sz="4" w:space="0" w:color="auto"/>
              <w:bottom w:val="nil"/>
              <w:right w:val="nil"/>
            </w:tcBorders>
            <w:shd w:val="clear" w:color="auto" w:fill="auto"/>
            <w:noWrap/>
            <w:vAlign w:val="center"/>
            <w:hideMark/>
          </w:tcPr>
          <w:p w14:paraId="30A8F94F" w14:textId="77777777" w:rsidR="00387142" w:rsidRPr="008B6A75" w:rsidRDefault="00387142" w:rsidP="00387142">
            <w:pPr>
              <w:jc w:val="center"/>
              <w:rPr>
                <w:sz w:val="20"/>
                <w:szCs w:val="20"/>
              </w:rPr>
            </w:pPr>
            <w:r w:rsidRPr="008B6A75">
              <w:rPr>
                <w:sz w:val="20"/>
                <w:szCs w:val="20"/>
              </w:rPr>
              <w:t>01</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5D71229D" w14:textId="77777777" w:rsidR="00387142" w:rsidRPr="008B6A75" w:rsidRDefault="00387142" w:rsidP="00387142">
            <w:pPr>
              <w:jc w:val="center"/>
              <w:rPr>
                <w:sz w:val="20"/>
                <w:szCs w:val="20"/>
              </w:rPr>
            </w:pPr>
            <w:r w:rsidRPr="008B6A75">
              <w:rPr>
                <w:sz w:val="20"/>
                <w:szCs w:val="20"/>
              </w:rPr>
              <w:t>04</w:t>
            </w:r>
          </w:p>
        </w:tc>
        <w:tc>
          <w:tcPr>
            <w:tcW w:w="1411" w:type="dxa"/>
            <w:tcBorders>
              <w:top w:val="single" w:sz="4" w:space="0" w:color="auto"/>
              <w:left w:val="single" w:sz="4" w:space="0" w:color="auto"/>
              <w:bottom w:val="nil"/>
              <w:right w:val="nil"/>
            </w:tcBorders>
            <w:shd w:val="clear" w:color="auto" w:fill="auto"/>
            <w:noWrap/>
            <w:vAlign w:val="center"/>
            <w:hideMark/>
          </w:tcPr>
          <w:p w14:paraId="5849D5D9" w14:textId="77777777" w:rsidR="00387142" w:rsidRPr="008B6A75" w:rsidRDefault="00387142" w:rsidP="00387142">
            <w:pPr>
              <w:jc w:val="center"/>
              <w:rPr>
                <w:sz w:val="20"/>
                <w:szCs w:val="20"/>
              </w:rPr>
            </w:pPr>
            <w:r w:rsidRPr="008B6A75">
              <w:rPr>
                <w:sz w:val="20"/>
                <w:szCs w:val="20"/>
              </w:rPr>
              <w:t>99.0.00.70180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239DC67E" w14:textId="77777777" w:rsidR="00387142" w:rsidRPr="008B6A75" w:rsidRDefault="00387142" w:rsidP="00387142">
            <w:pPr>
              <w:jc w:val="center"/>
              <w:rPr>
                <w:sz w:val="20"/>
                <w:szCs w:val="20"/>
              </w:rPr>
            </w:pPr>
            <w:r w:rsidRPr="008B6A75">
              <w:rPr>
                <w:sz w:val="20"/>
                <w:szCs w:val="20"/>
              </w:rPr>
              <w:t>100</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76D48F62" w14:textId="77777777" w:rsidR="00387142" w:rsidRPr="008B6A75" w:rsidRDefault="00387142" w:rsidP="00387142">
            <w:pPr>
              <w:jc w:val="right"/>
              <w:rPr>
                <w:sz w:val="20"/>
                <w:szCs w:val="20"/>
              </w:rPr>
            </w:pPr>
            <w:r w:rsidRPr="008B6A75">
              <w:rPr>
                <w:sz w:val="20"/>
                <w:szCs w:val="20"/>
              </w:rPr>
              <w:t>2 285 902,71</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538DAAF8" w14:textId="77777777" w:rsidR="00387142" w:rsidRPr="008B6A75" w:rsidRDefault="00387142" w:rsidP="00387142">
            <w:pPr>
              <w:jc w:val="right"/>
              <w:rPr>
                <w:sz w:val="20"/>
                <w:szCs w:val="20"/>
              </w:rPr>
            </w:pPr>
            <w:r w:rsidRPr="008B6A75">
              <w:rPr>
                <w:sz w:val="20"/>
                <w:szCs w:val="20"/>
              </w:rPr>
              <w:t>2 131 970,90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7CE4DC68" w14:textId="77777777" w:rsidR="00387142" w:rsidRPr="008B6A75" w:rsidRDefault="00387142" w:rsidP="00387142">
            <w:pPr>
              <w:jc w:val="right"/>
              <w:rPr>
                <w:sz w:val="20"/>
                <w:szCs w:val="20"/>
              </w:rPr>
            </w:pPr>
            <w:r w:rsidRPr="008B6A75">
              <w:rPr>
                <w:sz w:val="20"/>
                <w:szCs w:val="20"/>
              </w:rPr>
              <w:t>2 220 054,55</w:t>
            </w:r>
          </w:p>
        </w:tc>
        <w:tc>
          <w:tcPr>
            <w:tcW w:w="222" w:type="dxa"/>
            <w:vAlign w:val="center"/>
            <w:hideMark/>
          </w:tcPr>
          <w:p w14:paraId="72E88CB2" w14:textId="77777777" w:rsidR="00387142" w:rsidRPr="008B6A75" w:rsidRDefault="00387142" w:rsidP="00387142">
            <w:pPr>
              <w:rPr>
                <w:sz w:val="20"/>
                <w:szCs w:val="20"/>
              </w:rPr>
            </w:pPr>
          </w:p>
        </w:tc>
      </w:tr>
      <w:tr w:rsidR="00387142" w:rsidRPr="008B6A75" w14:paraId="7B718403" w14:textId="77777777" w:rsidTr="00387142">
        <w:trPr>
          <w:trHeight w:val="585"/>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36B88DEA" w14:textId="77777777" w:rsidR="00387142" w:rsidRPr="008B6A75" w:rsidRDefault="00387142" w:rsidP="00387142">
            <w:pPr>
              <w:rPr>
                <w:sz w:val="20"/>
                <w:szCs w:val="20"/>
              </w:rPr>
            </w:pPr>
            <w:r w:rsidRPr="008B6A75">
              <w:rPr>
                <w:sz w:val="20"/>
                <w:szCs w:val="20"/>
              </w:rPr>
              <w:t>Расходы на выплаты персоналу государственных (муниципальных) органов</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6129262B" w14:textId="77777777" w:rsidR="00387142" w:rsidRPr="008B6A75" w:rsidRDefault="00387142" w:rsidP="00387142">
            <w:pPr>
              <w:jc w:val="center"/>
              <w:rPr>
                <w:sz w:val="20"/>
                <w:szCs w:val="20"/>
              </w:rPr>
            </w:pPr>
            <w:r w:rsidRPr="008B6A75">
              <w:rPr>
                <w:sz w:val="20"/>
                <w:szCs w:val="20"/>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02AA2980" w14:textId="77777777" w:rsidR="00387142" w:rsidRPr="008B6A75" w:rsidRDefault="00387142" w:rsidP="00387142">
            <w:pPr>
              <w:jc w:val="center"/>
              <w:rPr>
                <w:sz w:val="20"/>
                <w:szCs w:val="20"/>
              </w:rPr>
            </w:pPr>
            <w:r w:rsidRPr="008B6A75">
              <w:rPr>
                <w:sz w:val="20"/>
                <w:szCs w:val="20"/>
              </w:rPr>
              <w:t>01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06B9DD" w14:textId="77777777" w:rsidR="00387142" w:rsidRPr="008B6A75" w:rsidRDefault="00387142" w:rsidP="00387142">
            <w:pPr>
              <w:jc w:val="center"/>
              <w:rPr>
                <w:sz w:val="20"/>
                <w:szCs w:val="20"/>
              </w:rPr>
            </w:pPr>
            <w:r w:rsidRPr="008B6A75">
              <w:rPr>
                <w:sz w:val="20"/>
                <w:szCs w:val="20"/>
              </w:rPr>
              <w:t>04</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7E152D20" w14:textId="77777777" w:rsidR="00387142" w:rsidRPr="008B6A75" w:rsidRDefault="00387142" w:rsidP="00387142">
            <w:pPr>
              <w:jc w:val="center"/>
              <w:rPr>
                <w:sz w:val="20"/>
                <w:szCs w:val="20"/>
              </w:rPr>
            </w:pPr>
            <w:r w:rsidRPr="008B6A75">
              <w:rPr>
                <w:sz w:val="20"/>
                <w:szCs w:val="20"/>
              </w:rPr>
              <w:t>99.0.00.70180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710D4E" w14:textId="77777777" w:rsidR="00387142" w:rsidRPr="008B6A75" w:rsidRDefault="00387142" w:rsidP="00387142">
            <w:pPr>
              <w:jc w:val="center"/>
              <w:rPr>
                <w:sz w:val="20"/>
                <w:szCs w:val="20"/>
              </w:rPr>
            </w:pPr>
            <w:r w:rsidRPr="008B6A75">
              <w:rPr>
                <w:sz w:val="20"/>
                <w:szCs w:val="20"/>
              </w:rPr>
              <w:t>120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18135F" w14:textId="77777777" w:rsidR="00387142" w:rsidRPr="008B6A75" w:rsidRDefault="00387142" w:rsidP="00387142">
            <w:pPr>
              <w:jc w:val="right"/>
              <w:rPr>
                <w:sz w:val="20"/>
                <w:szCs w:val="20"/>
              </w:rPr>
            </w:pPr>
            <w:r w:rsidRPr="008B6A75">
              <w:rPr>
                <w:sz w:val="20"/>
                <w:szCs w:val="20"/>
              </w:rPr>
              <w:t>2 285 902,71</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47ABF987" w14:textId="77777777" w:rsidR="00387142" w:rsidRPr="008B6A75" w:rsidRDefault="00387142" w:rsidP="00387142">
            <w:pPr>
              <w:jc w:val="right"/>
              <w:rPr>
                <w:sz w:val="20"/>
                <w:szCs w:val="20"/>
              </w:rPr>
            </w:pPr>
            <w:r w:rsidRPr="008B6A75">
              <w:rPr>
                <w:sz w:val="20"/>
                <w:szCs w:val="20"/>
              </w:rPr>
              <w:t>2 131 970,90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909DF7" w14:textId="77777777" w:rsidR="00387142" w:rsidRPr="008B6A75" w:rsidRDefault="00387142" w:rsidP="00387142">
            <w:pPr>
              <w:jc w:val="right"/>
              <w:rPr>
                <w:sz w:val="20"/>
                <w:szCs w:val="20"/>
              </w:rPr>
            </w:pPr>
            <w:r w:rsidRPr="008B6A75">
              <w:rPr>
                <w:sz w:val="20"/>
                <w:szCs w:val="20"/>
              </w:rPr>
              <w:t>2 220 054,55</w:t>
            </w:r>
          </w:p>
        </w:tc>
        <w:tc>
          <w:tcPr>
            <w:tcW w:w="222" w:type="dxa"/>
            <w:vAlign w:val="center"/>
            <w:hideMark/>
          </w:tcPr>
          <w:p w14:paraId="6608D21D" w14:textId="77777777" w:rsidR="00387142" w:rsidRPr="008B6A75" w:rsidRDefault="00387142" w:rsidP="00387142">
            <w:pPr>
              <w:rPr>
                <w:sz w:val="20"/>
                <w:szCs w:val="20"/>
              </w:rPr>
            </w:pPr>
          </w:p>
        </w:tc>
      </w:tr>
      <w:tr w:rsidR="00387142" w:rsidRPr="008B6A75" w14:paraId="54A53D7A" w14:textId="77777777" w:rsidTr="00387142">
        <w:trPr>
          <w:trHeight w:val="585"/>
        </w:trPr>
        <w:tc>
          <w:tcPr>
            <w:tcW w:w="3021" w:type="dxa"/>
            <w:tcBorders>
              <w:top w:val="nil"/>
              <w:left w:val="single" w:sz="4" w:space="0" w:color="auto"/>
              <w:bottom w:val="nil"/>
              <w:right w:val="nil"/>
            </w:tcBorders>
            <w:shd w:val="clear" w:color="auto" w:fill="auto"/>
            <w:vAlign w:val="center"/>
            <w:hideMark/>
          </w:tcPr>
          <w:p w14:paraId="4CE2735B" w14:textId="77777777" w:rsidR="00387142" w:rsidRPr="008B6A75" w:rsidRDefault="00387142" w:rsidP="00387142">
            <w:pPr>
              <w:rPr>
                <w:sz w:val="20"/>
                <w:szCs w:val="20"/>
              </w:rPr>
            </w:pPr>
            <w:r w:rsidRPr="008B6A75">
              <w:rPr>
                <w:sz w:val="20"/>
                <w:szCs w:val="20"/>
              </w:rPr>
              <w:t>Закупка товаров, работ и услуг для обеспечения государственных (муниципальных) нужд</w:t>
            </w:r>
          </w:p>
        </w:tc>
        <w:tc>
          <w:tcPr>
            <w:tcW w:w="850" w:type="dxa"/>
            <w:tcBorders>
              <w:top w:val="nil"/>
              <w:left w:val="single" w:sz="4" w:space="0" w:color="auto"/>
              <w:bottom w:val="nil"/>
              <w:right w:val="nil"/>
            </w:tcBorders>
            <w:shd w:val="clear" w:color="auto" w:fill="auto"/>
            <w:noWrap/>
            <w:vAlign w:val="center"/>
            <w:hideMark/>
          </w:tcPr>
          <w:p w14:paraId="26704519" w14:textId="77777777" w:rsidR="00387142" w:rsidRPr="008B6A75" w:rsidRDefault="00387142" w:rsidP="00387142">
            <w:pPr>
              <w:jc w:val="center"/>
              <w:rPr>
                <w:sz w:val="20"/>
                <w:szCs w:val="20"/>
              </w:rPr>
            </w:pPr>
            <w:r w:rsidRPr="008B6A75">
              <w:rPr>
                <w:sz w:val="20"/>
                <w:szCs w:val="20"/>
              </w:rPr>
              <w:t>444</w:t>
            </w:r>
          </w:p>
        </w:tc>
        <w:tc>
          <w:tcPr>
            <w:tcW w:w="709" w:type="dxa"/>
            <w:tcBorders>
              <w:top w:val="nil"/>
              <w:left w:val="single" w:sz="4" w:space="0" w:color="auto"/>
              <w:bottom w:val="nil"/>
              <w:right w:val="nil"/>
            </w:tcBorders>
            <w:shd w:val="clear" w:color="auto" w:fill="auto"/>
            <w:noWrap/>
            <w:vAlign w:val="center"/>
            <w:hideMark/>
          </w:tcPr>
          <w:p w14:paraId="3C179E28" w14:textId="77777777" w:rsidR="00387142" w:rsidRPr="008B6A75" w:rsidRDefault="00387142" w:rsidP="00387142">
            <w:pPr>
              <w:jc w:val="center"/>
              <w:rPr>
                <w:sz w:val="20"/>
                <w:szCs w:val="20"/>
              </w:rPr>
            </w:pPr>
            <w:r w:rsidRPr="008B6A75">
              <w:rPr>
                <w:sz w:val="20"/>
                <w:szCs w:val="20"/>
              </w:rPr>
              <w:t>01</w:t>
            </w:r>
          </w:p>
        </w:tc>
        <w:tc>
          <w:tcPr>
            <w:tcW w:w="709" w:type="dxa"/>
            <w:tcBorders>
              <w:top w:val="nil"/>
              <w:left w:val="single" w:sz="4" w:space="0" w:color="auto"/>
              <w:bottom w:val="nil"/>
              <w:right w:val="single" w:sz="4" w:space="0" w:color="auto"/>
            </w:tcBorders>
            <w:shd w:val="clear" w:color="auto" w:fill="auto"/>
            <w:noWrap/>
            <w:vAlign w:val="center"/>
            <w:hideMark/>
          </w:tcPr>
          <w:p w14:paraId="711B48B5" w14:textId="77777777" w:rsidR="00387142" w:rsidRPr="008B6A75" w:rsidRDefault="00387142" w:rsidP="00387142">
            <w:pPr>
              <w:jc w:val="center"/>
              <w:rPr>
                <w:sz w:val="20"/>
                <w:szCs w:val="20"/>
              </w:rPr>
            </w:pPr>
            <w:r w:rsidRPr="008B6A75">
              <w:rPr>
                <w:sz w:val="20"/>
                <w:szCs w:val="20"/>
              </w:rPr>
              <w:t>04</w:t>
            </w:r>
          </w:p>
        </w:tc>
        <w:tc>
          <w:tcPr>
            <w:tcW w:w="1411" w:type="dxa"/>
            <w:tcBorders>
              <w:top w:val="nil"/>
              <w:left w:val="single" w:sz="4" w:space="0" w:color="auto"/>
              <w:bottom w:val="nil"/>
              <w:right w:val="nil"/>
            </w:tcBorders>
            <w:shd w:val="clear" w:color="auto" w:fill="auto"/>
            <w:noWrap/>
            <w:vAlign w:val="center"/>
            <w:hideMark/>
          </w:tcPr>
          <w:p w14:paraId="3EC14256" w14:textId="77777777" w:rsidR="00387142" w:rsidRPr="008B6A75" w:rsidRDefault="00387142" w:rsidP="00387142">
            <w:pPr>
              <w:jc w:val="center"/>
              <w:rPr>
                <w:sz w:val="20"/>
                <w:szCs w:val="20"/>
              </w:rPr>
            </w:pPr>
            <w:r w:rsidRPr="008B6A75">
              <w:rPr>
                <w:sz w:val="20"/>
                <w:szCs w:val="20"/>
              </w:rPr>
              <w:t>99.0.00.70180</w:t>
            </w:r>
          </w:p>
        </w:tc>
        <w:tc>
          <w:tcPr>
            <w:tcW w:w="955" w:type="dxa"/>
            <w:tcBorders>
              <w:top w:val="nil"/>
              <w:left w:val="single" w:sz="4" w:space="0" w:color="auto"/>
              <w:bottom w:val="nil"/>
              <w:right w:val="single" w:sz="4" w:space="0" w:color="auto"/>
            </w:tcBorders>
            <w:shd w:val="clear" w:color="auto" w:fill="auto"/>
            <w:noWrap/>
            <w:vAlign w:val="center"/>
            <w:hideMark/>
          </w:tcPr>
          <w:p w14:paraId="171ABD61" w14:textId="77777777" w:rsidR="00387142" w:rsidRPr="008B6A75" w:rsidRDefault="00387142" w:rsidP="00387142">
            <w:pPr>
              <w:jc w:val="center"/>
              <w:rPr>
                <w:sz w:val="20"/>
                <w:szCs w:val="20"/>
              </w:rPr>
            </w:pPr>
            <w:r w:rsidRPr="008B6A75">
              <w:rPr>
                <w:sz w:val="20"/>
                <w:szCs w:val="20"/>
              </w:rPr>
              <w:t>200</w:t>
            </w:r>
          </w:p>
        </w:tc>
        <w:tc>
          <w:tcPr>
            <w:tcW w:w="992" w:type="dxa"/>
            <w:tcBorders>
              <w:top w:val="nil"/>
              <w:left w:val="single" w:sz="4" w:space="0" w:color="auto"/>
              <w:bottom w:val="nil"/>
              <w:right w:val="single" w:sz="4" w:space="0" w:color="auto"/>
            </w:tcBorders>
            <w:shd w:val="clear" w:color="auto" w:fill="auto"/>
            <w:noWrap/>
            <w:vAlign w:val="center"/>
            <w:hideMark/>
          </w:tcPr>
          <w:p w14:paraId="77DFE76F" w14:textId="77777777" w:rsidR="00387142" w:rsidRPr="008B6A75" w:rsidRDefault="00387142" w:rsidP="00387142">
            <w:pPr>
              <w:jc w:val="right"/>
              <w:rPr>
                <w:sz w:val="20"/>
                <w:szCs w:val="20"/>
              </w:rPr>
            </w:pPr>
            <w:r w:rsidRPr="008B6A75">
              <w:rPr>
                <w:sz w:val="20"/>
                <w:szCs w:val="20"/>
              </w:rPr>
              <w:t>145 561,85</w:t>
            </w:r>
          </w:p>
        </w:tc>
        <w:tc>
          <w:tcPr>
            <w:tcW w:w="992" w:type="dxa"/>
            <w:gridSpan w:val="2"/>
            <w:tcBorders>
              <w:top w:val="nil"/>
              <w:left w:val="single" w:sz="4" w:space="0" w:color="auto"/>
              <w:bottom w:val="nil"/>
              <w:right w:val="nil"/>
            </w:tcBorders>
            <w:shd w:val="clear" w:color="auto" w:fill="auto"/>
            <w:noWrap/>
            <w:vAlign w:val="center"/>
            <w:hideMark/>
          </w:tcPr>
          <w:p w14:paraId="63BE8C2D" w14:textId="77777777" w:rsidR="00387142" w:rsidRPr="008B6A75" w:rsidRDefault="00387142" w:rsidP="00387142">
            <w:pPr>
              <w:jc w:val="right"/>
              <w:rPr>
                <w:sz w:val="20"/>
                <w:szCs w:val="20"/>
              </w:rPr>
            </w:pPr>
            <w:r w:rsidRPr="008B6A75">
              <w:rPr>
                <w:sz w:val="20"/>
                <w:szCs w:val="20"/>
              </w:rPr>
              <w:t>260 029,10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2014881F" w14:textId="77777777" w:rsidR="00387142" w:rsidRPr="008B6A75" w:rsidRDefault="00387142" w:rsidP="00387142">
            <w:pPr>
              <w:jc w:val="right"/>
              <w:rPr>
                <w:sz w:val="20"/>
                <w:szCs w:val="20"/>
              </w:rPr>
            </w:pPr>
            <w:r w:rsidRPr="008B6A75">
              <w:rPr>
                <w:sz w:val="20"/>
                <w:szCs w:val="20"/>
              </w:rPr>
              <w:t>268 041,44</w:t>
            </w:r>
          </w:p>
        </w:tc>
        <w:tc>
          <w:tcPr>
            <w:tcW w:w="222" w:type="dxa"/>
            <w:vAlign w:val="center"/>
            <w:hideMark/>
          </w:tcPr>
          <w:p w14:paraId="4EB6C4B5" w14:textId="77777777" w:rsidR="00387142" w:rsidRPr="008B6A75" w:rsidRDefault="00387142" w:rsidP="00387142">
            <w:pPr>
              <w:rPr>
                <w:sz w:val="20"/>
                <w:szCs w:val="20"/>
              </w:rPr>
            </w:pPr>
          </w:p>
        </w:tc>
      </w:tr>
      <w:tr w:rsidR="00387142" w:rsidRPr="008B6A75" w14:paraId="07D0F689" w14:textId="77777777" w:rsidTr="00387142">
        <w:trPr>
          <w:trHeight w:val="870"/>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62345679" w14:textId="77777777" w:rsidR="00387142" w:rsidRPr="008B6A75" w:rsidRDefault="00387142" w:rsidP="00387142">
            <w:pPr>
              <w:rPr>
                <w:sz w:val="20"/>
                <w:szCs w:val="20"/>
              </w:rPr>
            </w:pPr>
            <w:r w:rsidRPr="008B6A75">
              <w:rPr>
                <w:sz w:val="20"/>
                <w:szCs w:val="20"/>
              </w:rPr>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0CE6420B" w14:textId="77777777" w:rsidR="00387142" w:rsidRPr="008B6A75" w:rsidRDefault="00387142" w:rsidP="00387142">
            <w:pPr>
              <w:jc w:val="center"/>
              <w:rPr>
                <w:sz w:val="20"/>
                <w:szCs w:val="20"/>
              </w:rPr>
            </w:pPr>
            <w:r w:rsidRPr="008B6A75">
              <w:rPr>
                <w:sz w:val="20"/>
                <w:szCs w:val="20"/>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78804A8D" w14:textId="77777777" w:rsidR="00387142" w:rsidRPr="008B6A75" w:rsidRDefault="00387142" w:rsidP="00387142">
            <w:pPr>
              <w:jc w:val="center"/>
              <w:rPr>
                <w:sz w:val="20"/>
                <w:szCs w:val="20"/>
              </w:rPr>
            </w:pPr>
            <w:r w:rsidRPr="008B6A75">
              <w:rPr>
                <w:sz w:val="20"/>
                <w:szCs w:val="20"/>
              </w:rPr>
              <w:t>01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B90A04" w14:textId="77777777" w:rsidR="00387142" w:rsidRPr="008B6A75" w:rsidRDefault="00387142" w:rsidP="00387142">
            <w:pPr>
              <w:jc w:val="center"/>
              <w:rPr>
                <w:sz w:val="20"/>
                <w:szCs w:val="20"/>
              </w:rPr>
            </w:pPr>
            <w:r w:rsidRPr="008B6A75">
              <w:rPr>
                <w:sz w:val="20"/>
                <w:szCs w:val="20"/>
              </w:rPr>
              <w:t>04</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11C232F8" w14:textId="77777777" w:rsidR="00387142" w:rsidRPr="008B6A75" w:rsidRDefault="00387142" w:rsidP="00387142">
            <w:pPr>
              <w:jc w:val="center"/>
              <w:rPr>
                <w:sz w:val="20"/>
                <w:szCs w:val="20"/>
              </w:rPr>
            </w:pPr>
            <w:r w:rsidRPr="008B6A75">
              <w:rPr>
                <w:sz w:val="20"/>
                <w:szCs w:val="20"/>
              </w:rPr>
              <w:t>99.0.00.70180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29FCC7" w14:textId="77777777" w:rsidR="00387142" w:rsidRPr="008B6A75" w:rsidRDefault="00387142" w:rsidP="00387142">
            <w:pPr>
              <w:jc w:val="center"/>
              <w:rPr>
                <w:sz w:val="20"/>
                <w:szCs w:val="20"/>
              </w:rPr>
            </w:pPr>
            <w:r w:rsidRPr="008B6A75">
              <w:rPr>
                <w:sz w:val="20"/>
                <w:szCs w:val="20"/>
              </w:rPr>
              <w:t>240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D35055" w14:textId="77777777" w:rsidR="00387142" w:rsidRPr="008B6A75" w:rsidRDefault="00387142" w:rsidP="00387142">
            <w:pPr>
              <w:jc w:val="right"/>
              <w:rPr>
                <w:sz w:val="20"/>
                <w:szCs w:val="20"/>
              </w:rPr>
            </w:pPr>
            <w:r w:rsidRPr="008B6A75">
              <w:rPr>
                <w:sz w:val="20"/>
                <w:szCs w:val="20"/>
              </w:rPr>
              <w:t>145 561,85</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68BDB840" w14:textId="77777777" w:rsidR="00387142" w:rsidRPr="008B6A75" w:rsidRDefault="00387142" w:rsidP="00387142">
            <w:pPr>
              <w:jc w:val="right"/>
              <w:rPr>
                <w:sz w:val="20"/>
                <w:szCs w:val="20"/>
              </w:rPr>
            </w:pPr>
            <w:r w:rsidRPr="008B6A75">
              <w:rPr>
                <w:sz w:val="20"/>
                <w:szCs w:val="20"/>
              </w:rPr>
              <w:t>260 029,10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525454" w14:textId="77777777" w:rsidR="00387142" w:rsidRPr="008B6A75" w:rsidRDefault="00387142" w:rsidP="00387142">
            <w:pPr>
              <w:jc w:val="right"/>
              <w:rPr>
                <w:sz w:val="20"/>
                <w:szCs w:val="20"/>
              </w:rPr>
            </w:pPr>
            <w:r w:rsidRPr="008B6A75">
              <w:rPr>
                <w:sz w:val="20"/>
                <w:szCs w:val="20"/>
              </w:rPr>
              <w:t>268 041,44</w:t>
            </w:r>
          </w:p>
        </w:tc>
        <w:tc>
          <w:tcPr>
            <w:tcW w:w="222" w:type="dxa"/>
            <w:vAlign w:val="center"/>
            <w:hideMark/>
          </w:tcPr>
          <w:p w14:paraId="5E79F5A0" w14:textId="77777777" w:rsidR="00387142" w:rsidRPr="008B6A75" w:rsidRDefault="00387142" w:rsidP="00387142">
            <w:pPr>
              <w:rPr>
                <w:sz w:val="20"/>
                <w:szCs w:val="20"/>
              </w:rPr>
            </w:pPr>
          </w:p>
        </w:tc>
      </w:tr>
      <w:tr w:rsidR="00387142" w:rsidRPr="008B6A75" w14:paraId="304E0430" w14:textId="77777777" w:rsidTr="00387142">
        <w:trPr>
          <w:trHeight w:val="1155"/>
        </w:trPr>
        <w:tc>
          <w:tcPr>
            <w:tcW w:w="3021" w:type="dxa"/>
            <w:tcBorders>
              <w:top w:val="nil"/>
              <w:left w:val="single" w:sz="4" w:space="0" w:color="auto"/>
              <w:bottom w:val="nil"/>
              <w:right w:val="nil"/>
            </w:tcBorders>
            <w:shd w:val="clear" w:color="auto" w:fill="auto"/>
            <w:vAlign w:val="center"/>
            <w:hideMark/>
          </w:tcPr>
          <w:p w14:paraId="768E9F76" w14:textId="77777777" w:rsidR="00387142" w:rsidRPr="008B6A75" w:rsidRDefault="00387142" w:rsidP="00387142">
            <w:pPr>
              <w:rPr>
                <w:bCs/>
                <w:sz w:val="20"/>
                <w:szCs w:val="20"/>
              </w:rPr>
            </w:pPr>
            <w:r w:rsidRPr="008B6A75">
              <w:rPr>
                <w:bCs/>
                <w:sz w:val="20"/>
                <w:szCs w:val="20"/>
              </w:rPr>
              <w:t>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850" w:type="dxa"/>
            <w:tcBorders>
              <w:top w:val="nil"/>
              <w:left w:val="single" w:sz="4" w:space="0" w:color="auto"/>
              <w:bottom w:val="nil"/>
              <w:right w:val="nil"/>
            </w:tcBorders>
            <w:shd w:val="clear" w:color="auto" w:fill="auto"/>
            <w:noWrap/>
            <w:vAlign w:val="center"/>
            <w:hideMark/>
          </w:tcPr>
          <w:p w14:paraId="58886CD3" w14:textId="77777777" w:rsidR="00387142" w:rsidRPr="008B6A75" w:rsidRDefault="00387142" w:rsidP="00387142">
            <w:pPr>
              <w:jc w:val="center"/>
              <w:rPr>
                <w:bCs/>
                <w:sz w:val="20"/>
                <w:szCs w:val="20"/>
              </w:rPr>
            </w:pPr>
            <w:r w:rsidRPr="008B6A75">
              <w:rPr>
                <w:bCs/>
                <w:sz w:val="20"/>
                <w:szCs w:val="20"/>
              </w:rPr>
              <w:t>444</w:t>
            </w:r>
          </w:p>
        </w:tc>
        <w:tc>
          <w:tcPr>
            <w:tcW w:w="709" w:type="dxa"/>
            <w:tcBorders>
              <w:top w:val="nil"/>
              <w:left w:val="single" w:sz="4" w:space="0" w:color="auto"/>
              <w:bottom w:val="nil"/>
              <w:right w:val="nil"/>
            </w:tcBorders>
            <w:shd w:val="clear" w:color="auto" w:fill="auto"/>
            <w:noWrap/>
            <w:vAlign w:val="center"/>
            <w:hideMark/>
          </w:tcPr>
          <w:p w14:paraId="04C3B758" w14:textId="77777777" w:rsidR="00387142" w:rsidRPr="008B6A75" w:rsidRDefault="00387142" w:rsidP="00387142">
            <w:pPr>
              <w:jc w:val="center"/>
              <w:rPr>
                <w:bCs/>
                <w:sz w:val="20"/>
                <w:szCs w:val="20"/>
              </w:rPr>
            </w:pPr>
            <w:r w:rsidRPr="008B6A75">
              <w:rPr>
                <w:bCs/>
                <w:sz w:val="20"/>
                <w:szCs w:val="20"/>
              </w:rPr>
              <w:t>01</w:t>
            </w:r>
          </w:p>
        </w:tc>
        <w:tc>
          <w:tcPr>
            <w:tcW w:w="709" w:type="dxa"/>
            <w:tcBorders>
              <w:top w:val="nil"/>
              <w:left w:val="single" w:sz="4" w:space="0" w:color="auto"/>
              <w:bottom w:val="nil"/>
              <w:right w:val="single" w:sz="4" w:space="0" w:color="auto"/>
            </w:tcBorders>
            <w:shd w:val="clear" w:color="auto" w:fill="auto"/>
            <w:noWrap/>
            <w:vAlign w:val="center"/>
            <w:hideMark/>
          </w:tcPr>
          <w:p w14:paraId="635D5287" w14:textId="77777777" w:rsidR="00387142" w:rsidRPr="008B6A75" w:rsidRDefault="00387142" w:rsidP="00387142">
            <w:pPr>
              <w:jc w:val="center"/>
              <w:rPr>
                <w:bCs/>
                <w:sz w:val="20"/>
                <w:szCs w:val="20"/>
              </w:rPr>
            </w:pPr>
            <w:r w:rsidRPr="008B6A75">
              <w:rPr>
                <w:bCs/>
                <w:sz w:val="20"/>
                <w:szCs w:val="20"/>
              </w:rPr>
              <w:t>04</w:t>
            </w:r>
          </w:p>
        </w:tc>
        <w:tc>
          <w:tcPr>
            <w:tcW w:w="1411" w:type="dxa"/>
            <w:tcBorders>
              <w:top w:val="nil"/>
              <w:left w:val="single" w:sz="4" w:space="0" w:color="auto"/>
              <w:bottom w:val="nil"/>
              <w:right w:val="nil"/>
            </w:tcBorders>
            <w:shd w:val="clear" w:color="auto" w:fill="auto"/>
            <w:noWrap/>
            <w:vAlign w:val="center"/>
            <w:hideMark/>
          </w:tcPr>
          <w:p w14:paraId="0E3401A7" w14:textId="77777777" w:rsidR="00387142" w:rsidRPr="008B6A75" w:rsidRDefault="00387142" w:rsidP="00387142">
            <w:pPr>
              <w:jc w:val="center"/>
              <w:rPr>
                <w:bCs/>
                <w:sz w:val="20"/>
                <w:szCs w:val="20"/>
              </w:rPr>
            </w:pPr>
            <w:r w:rsidRPr="008B6A75">
              <w:rPr>
                <w:bCs/>
                <w:sz w:val="20"/>
                <w:szCs w:val="20"/>
              </w:rPr>
              <w:t>99.0.00.70190</w:t>
            </w:r>
          </w:p>
        </w:tc>
        <w:tc>
          <w:tcPr>
            <w:tcW w:w="955" w:type="dxa"/>
            <w:tcBorders>
              <w:top w:val="nil"/>
              <w:left w:val="single" w:sz="4" w:space="0" w:color="auto"/>
              <w:bottom w:val="nil"/>
              <w:right w:val="single" w:sz="4" w:space="0" w:color="auto"/>
            </w:tcBorders>
            <w:shd w:val="clear" w:color="auto" w:fill="auto"/>
            <w:noWrap/>
            <w:vAlign w:val="center"/>
            <w:hideMark/>
          </w:tcPr>
          <w:p w14:paraId="7C3019C3"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nil"/>
              <w:right w:val="single" w:sz="4" w:space="0" w:color="auto"/>
            </w:tcBorders>
            <w:shd w:val="clear" w:color="auto" w:fill="auto"/>
            <w:noWrap/>
            <w:vAlign w:val="center"/>
            <w:hideMark/>
          </w:tcPr>
          <w:p w14:paraId="5C595396" w14:textId="77777777" w:rsidR="00387142" w:rsidRPr="008B6A75" w:rsidRDefault="00387142" w:rsidP="00387142">
            <w:pPr>
              <w:jc w:val="right"/>
              <w:rPr>
                <w:bCs/>
                <w:sz w:val="20"/>
                <w:szCs w:val="20"/>
              </w:rPr>
            </w:pPr>
            <w:r w:rsidRPr="008B6A75">
              <w:rPr>
                <w:bCs/>
                <w:sz w:val="20"/>
                <w:szCs w:val="20"/>
              </w:rPr>
              <w:t>6 780,00</w:t>
            </w:r>
          </w:p>
        </w:tc>
        <w:tc>
          <w:tcPr>
            <w:tcW w:w="992" w:type="dxa"/>
            <w:gridSpan w:val="2"/>
            <w:tcBorders>
              <w:top w:val="nil"/>
              <w:left w:val="single" w:sz="4" w:space="0" w:color="auto"/>
              <w:bottom w:val="nil"/>
              <w:right w:val="nil"/>
            </w:tcBorders>
            <w:shd w:val="clear" w:color="auto" w:fill="auto"/>
            <w:noWrap/>
            <w:vAlign w:val="center"/>
            <w:hideMark/>
          </w:tcPr>
          <w:p w14:paraId="69E8842C" w14:textId="77777777" w:rsidR="00387142" w:rsidRPr="008B6A75" w:rsidRDefault="00387142" w:rsidP="00387142">
            <w:pPr>
              <w:jc w:val="right"/>
              <w:rPr>
                <w:bCs/>
                <w:sz w:val="20"/>
                <w:szCs w:val="20"/>
              </w:rPr>
            </w:pPr>
            <w:r w:rsidRPr="008B6A75">
              <w:rPr>
                <w:bCs/>
                <w:sz w:val="20"/>
                <w:szCs w:val="20"/>
              </w:rPr>
              <w:t>6 580,00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18236E4B" w14:textId="77777777" w:rsidR="00387142" w:rsidRPr="008B6A75" w:rsidRDefault="00387142" w:rsidP="00387142">
            <w:pPr>
              <w:jc w:val="right"/>
              <w:rPr>
                <w:bCs/>
                <w:sz w:val="20"/>
                <w:szCs w:val="20"/>
              </w:rPr>
            </w:pPr>
            <w:r w:rsidRPr="008B6A75">
              <w:rPr>
                <w:bCs/>
                <w:sz w:val="20"/>
                <w:szCs w:val="20"/>
              </w:rPr>
              <w:t>6 850,00</w:t>
            </w:r>
          </w:p>
        </w:tc>
        <w:tc>
          <w:tcPr>
            <w:tcW w:w="222" w:type="dxa"/>
            <w:vAlign w:val="center"/>
            <w:hideMark/>
          </w:tcPr>
          <w:p w14:paraId="224AF2B6" w14:textId="77777777" w:rsidR="00387142" w:rsidRPr="008B6A75" w:rsidRDefault="00387142" w:rsidP="00387142">
            <w:pPr>
              <w:rPr>
                <w:sz w:val="20"/>
                <w:szCs w:val="20"/>
              </w:rPr>
            </w:pPr>
          </w:p>
        </w:tc>
      </w:tr>
      <w:tr w:rsidR="00387142" w:rsidRPr="008B6A75" w14:paraId="46BCBA48" w14:textId="77777777" w:rsidTr="00387142">
        <w:trPr>
          <w:trHeight w:val="1440"/>
        </w:trPr>
        <w:tc>
          <w:tcPr>
            <w:tcW w:w="3021" w:type="dxa"/>
            <w:tcBorders>
              <w:top w:val="single" w:sz="4" w:space="0" w:color="auto"/>
              <w:left w:val="single" w:sz="4" w:space="0" w:color="auto"/>
              <w:bottom w:val="nil"/>
              <w:right w:val="nil"/>
            </w:tcBorders>
            <w:shd w:val="clear" w:color="auto" w:fill="auto"/>
            <w:vAlign w:val="center"/>
            <w:hideMark/>
          </w:tcPr>
          <w:p w14:paraId="3C0377A2" w14:textId="77777777" w:rsidR="00387142" w:rsidRPr="008B6A75" w:rsidRDefault="00387142" w:rsidP="00387142">
            <w:pPr>
              <w:rPr>
                <w:sz w:val="20"/>
                <w:szCs w:val="20"/>
              </w:rPr>
            </w:pPr>
            <w:r w:rsidRPr="008B6A75">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nil"/>
              <w:right w:val="nil"/>
            </w:tcBorders>
            <w:shd w:val="clear" w:color="auto" w:fill="auto"/>
            <w:noWrap/>
            <w:vAlign w:val="center"/>
            <w:hideMark/>
          </w:tcPr>
          <w:p w14:paraId="6C1165A7" w14:textId="77777777" w:rsidR="00387142" w:rsidRPr="008B6A75" w:rsidRDefault="00387142" w:rsidP="00387142">
            <w:pPr>
              <w:jc w:val="center"/>
              <w:rPr>
                <w:sz w:val="20"/>
                <w:szCs w:val="20"/>
              </w:rPr>
            </w:pPr>
            <w:r w:rsidRPr="008B6A75">
              <w:rPr>
                <w:sz w:val="20"/>
                <w:szCs w:val="20"/>
              </w:rPr>
              <w:t>444</w:t>
            </w:r>
          </w:p>
        </w:tc>
        <w:tc>
          <w:tcPr>
            <w:tcW w:w="709" w:type="dxa"/>
            <w:tcBorders>
              <w:top w:val="single" w:sz="4" w:space="0" w:color="auto"/>
              <w:left w:val="single" w:sz="4" w:space="0" w:color="auto"/>
              <w:bottom w:val="nil"/>
              <w:right w:val="nil"/>
            </w:tcBorders>
            <w:shd w:val="clear" w:color="auto" w:fill="auto"/>
            <w:noWrap/>
            <w:vAlign w:val="center"/>
            <w:hideMark/>
          </w:tcPr>
          <w:p w14:paraId="7275B5C5" w14:textId="77777777" w:rsidR="00387142" w:rsidRPr="008B6A75" w:rsidRDefault="00387142" w:rsidP="00387142">
            <w:pPr>
              <w:jc w:val="center"/>
              <w:rPr>
                <w:sz w:val="20"/>
                <w:szCs w:val="20"/>
              </w:rPr>
            </w:pPr>
            <w:r w:rsidRPr="008B6A75">
              <w:rPr>
                <w:sz w:val="20"/>
                <w:szCs w:val="20"/>
              </w:rPr>
              <w:t>01</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28CB3B62" w14:textId="77777777" w:rsidR="00387142" w:rsidRPr="008B6A75" w:rsidRDefault="00387142" w:rsidP="00387142">
            <w:pPr>
              <w:jc w:val="center"/>
              <w:rPr>
                <w:sz w:val="20"/>
                <w:szCs w:val="20"/>
              </w:rPr>
            </w:pPr>
            <w:r w:rsidRPr="008B6A75">
              <w:rPr>
                <w:sz w:val="20"/>
                <w:szCs w:val="20"/>
              </w:rPr>
              <w:t>04</w:t>
            </w:r>
          </w:p>
        </w:tc>
        <w:tc>
          <w:tcPr>
            <w:tcW w:w="1411" w:type="dxa"/>
            <w:tcBorders>
              <w:top w:val="single" w:sz="4" w:space="0" w:color="auto"/>
              <w:left w:val="single" w:sz="4" w:space="0" w:color="auto"/>
              <w:bottom w:val="nil"/>
              <w:right w:val="nil"/>
            </w:tcBorders>
            <w:shd w:val="clear" w:color="auto" w:fill="auto"/>
            <w:noWrap/>
            <w:vAlign w:val="center"/>
            <w:hideMark/>
          </w:tcPr>
          <w:p w14:paraId="17B1D8F9" w14:textId="77777777" w:rsidR="00387142" w:rsidRPr="008B6A75" w:rsidRDefault="00387142" w:rsidP="00387142">
            <w:pPr>
              <w:jc w:val="center"/>
              <w:rPr>
                <w:sz w:val="20"/>
                <w:szCs w:val="20"/>
              </w:rPr>
            </w:pPr>
            <w:r w:rsidRPr="008B6A75">
              <w:rPr>
                <w:sz w:val="20"/>
                <w:szCs w:val="20"/>
              </w:rPr>
              <w:t>99.0.00.70190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1CDD8F0B" w14:textId="77777777" w:rsidR="00387142" w:rsidRPr="008B6A75" w:rsidRDefault="00387142" w:rsidP="00387142">
            <w:pPr>
              <w:jc w:val="center"/>
              <w:rPr>
                <w:sz w:val="20"/>
                <w:szCs w:val="20"/>
              </w:rPr>
            </w:pPr>
            <w:r w:rsidRPr="008B6A75">
              <w:rPr>
                <w:sz w:val="20"/>
                <w:szCs w:val="20"/>
              </w:rPr>
              <w:t>100</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7AC55084" w14:textId="77777777" w:rsidR="00387142" w:rsidRPr="008B6A75" w:rsidRDefault="00387142" w:rsidP="00387142">
            <w:pPr>
              <w:jc w:val="right"/>
              <w:rPr>
                <w:sz w:val="20"/>
                <w:szCs w:val="20"/>
              </w:rPr>
            </w:pPr>
            <w:r w:rsidRPr="008B6A75">
              <w:rPr>
                <w:sz w:val="20"/>
                <w:szCs w:val="20"/>
              </w:rPr>
              <w:t>3 501,61</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7EAEC8A4" w14:textId="77777777" w:rsidR="00387142" w:rsidRPr="008B6A75" w:rsidRDefault="00387142" w:rsidP="00387142">
            <w:pPr>
              <w:jc w:val="right"/>
              <w:rPr>
                <w:sz w:val="20"/>
                <w:szCs w:val="20"/>
              </w:rPr>
            </w:pPr>
            <w:r w:rsidRPr="008B6A75">
              <w:rPr>
                <w:sz w:val="20"/>
                <w:szCs w:val="20"/>
              </w:rPr>
              <w:t>3 288,07</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125442FA" w14:textId="77777777" w:rsidR="00387142" w:rsidRPr="008B6A75" w:rsidRDefault="00387142" w:rsidP="00387142">
            <w:pPr>
              <w:jc w:val="right"/>
              <w:rPr>
                <w:sz w:val="20"/>
                <w:szCs w:val="20"/>
              </w:rPr>
            </w:pPr>
            <w:r w:rsidRPr="008B6A75">
              <w:rPr>
                <w:sz w:val="20"/>
                <w:szCs w:val="20"/>
              </w:rPr>
              <w:t>3 419,59</w:t>
            </w:r>
          </w:p>
        </w:tc>
        <w:tc>
          <w:tcPr>
            <w:tcW w:w="222" w:type="dxa"/>
            <w:vAlign w:val="center"/>
            <w:hideMark/>
          </w:tcPr>
          <w:p w14:paraId="459A2CFD" w14:textId="77777777" w:rsidR="00387142" w:rsidRPr="008B6A75" w:rsidRDefault="00387142" w:rsidP="00387142">
            <w:pPr>
              <w:rPr>
                <w:sz w:val="20"/>
                <w:szCs w:val="20"/>
              </w:rPr>
            </w:pPr>
          </w:p>
        </w:tc>
      </w:tr>
      <w:tr w:rsidR="00387142" w:rsidRPr="008B6A75" w14:paraId="4A9FAA24" w14:textId="77777777" w:rsidTr="00387142">
        <w:trPr>
          <w:trHeight w:val="585"/>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514323DD" w14:textId="77777777" w:rsidR="00387142" w:rsidRPr="008B6A75" w:rsidRDefault="00387142" w:rsidP="00387142">
            <w:pPr>
              <w:rPr>
                <w:sz w:val="20"/>
                <w:szCs w:val="20"/>
              </w:rPr>
            </w:pPr>
            <w:r w:rsidRPr="008B6A75">
              <w:rPr>
                <w:sz w:val="20"/>
                <w:szCs w:val="20"/>
              </w:rPr>
              <w:t>Расходы на выплаты персоналу государственных (муниципальных) органов</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17C3A89C" w14:textId="77777777" w:rsidR="00387142" w:rsidRPr="008B6A75" w:rsidRDefault="00387142" w:rsidP="00387142">
            <w:pPr>
              <w:jc w:val="center"/>
              <w:rPr>
                <w:sz w:val="20"/>
                <w:szCs w:val="20"/>
              </w:rPr>
            </w:pPr>
            <w:r w:rsidRPr="008B6A75">
              <w:rPr>
                <w:sz w:val="20"/>
                <w:szCs w:val="20"/>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48281B8C" w14:textId="77777777" w:rsidR="00387142" w:rsidRPr="008B6A75" w:rsidRDefault="00387142" w:rsidP="00387142">
            <w:pPr>
              <w:jc w:val="center"/>
              <w:rPr>
                <w:sz w:val="20"/>
                <w:szCs w:val="20"/>
              </w:rPr>
            </w:pPr>
            <w:r w:rsidRPr="008B6A75">
              <w:rPr>
                <w:sz w:val="20"/>
                <w:szCs w:val="20"/>
              </w:rPr>
              <w:t>01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B5B083" w14:textId="77777777" w:rsidR="00387142" w:rsidRPr="008B6A75" w:rsidRDefault="00387142" w:rsidP="00387142">
            <w:pPr>
              <w:jc w:val="center"/>
              <w:rPr>
                <w:sz w:val="20"/>
                <w:szCs w:val="20"/>
              </w:rPr>
            </w:pPr>
            <w:r w:rsidRPr="008B6A75">
              <w:rPr>
                <w:sz w:val="20"/>
                <w:szCs w:val="20"/>
              </w:rPr>
              <w:t>04</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66416595" w14:textId="77777777" w:rsidR="00387142" w:rsidRPr="008B6A75" w:rsidRDefault="00387142" w:rsidP="00387142">
            <w:pPr>
              <w:jc w:val="center"/>
              <w:rPr>
                <w:sz w:val="20"/>
                <w:szCs w:val="20"/>
              </w:rPr>
            </w:pPr>
            <w:r w:rsidRPr="008B6A75">
              <w:rPr>
                <w:sz w:val="20"/>
                <w:szCs w:val="20"/>
              </w:rPr>
              <w:t>99.0.00.70190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E2F6B8" w14:textId="77777777" w:rsidR="00387142" w:rsidRPr="008B6A75" w:rsidRDefault="00387142" w:rsidP="00387142">
            <w:pPr>
              <w:jc w:val="center"/>
              <w:rPr>
                <w:sz w:val="20"/>
                <w:szCs w:val="20"/>
              </w:rPr>
            </w:pPr>
            <w:r w:rsidRPr="008B6A75">
              <w:rPr>
                <w:sz w:val="20"/>
                <w:szCs w:val="20"/>
              </w:rPr>
              <w:t>120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1FD8C6" w14:textId="77777777" w:rsidR="00387142" w:rsidRPr="008B6A75" w:rsidRDefault="00387142" w:rsidP="00387142">
            <w:pPr>
              <w:jc w:val="right"/>
              <w:rPr>
                <w:sz w:val="20"/>
                <w:szCs w:val="20"/>
              </w:rPr>
            </w:pPr>
            <w:r w:rsidRPr="008B6A75">
              <w:rPr>
                <w:sz w:val="20"/>
                <w:szCs w:val="20"/>
              </w:rPr>
              <w:t>3 501,61</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23CBD503" w14:textId="77777777" w:rsidR="00387142" w:rsidRPr="008B6A75" w:rsidRDefault="00387142" w:rsidP="00387142">
            <w:pPr>
              <w:jc w:val="right"/>
              <w:rPr>
                <w:sz w:val="20"/>
                <w:szCs w:val="20"/>
              </w:rPr>
            </w:pPr>
            <w:r w:rsidRPr="008B6A75">
              <w:rPr>
                <w:sz w:val="20"/>
                <w:szCs w:val="20"/>
              </w:rPr>
              <w:t>3 288,07</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B78697" w14:textId="77777777" w:rsidR="00387142" w:rsidRPr="008B6A75" w:rsidRDefault="00387142" w:rsidP="00387142">
            <w:pPr>
              <w:jc w:val="right"/>
              <w:rPr>
                <w:sz w:val="20"/>
                <w:szCs w:val="20"/>
              </w:rPr>
            </w:pPr>
            <w:r w:rsidRPr="008B6A75">
              <w:rPr>
                <w:sz w:val="20"/>
                <w:szCs w:val="20"/>
              </w:rPr>
              <w:t>3 419,59</w:t>
            </w:r>
          </w:p>
        </w:tc>
        <w:tc>
          <w:tcPr>
            <w:tcW w:w="222" w:type="dxa"/>
            <w:vAlign w:val="center"/>
            <w:hideMark/>
          </w:tcPr>
          <w:p w14:paraId="64B33907" w14:textId="77777777" w:rsidR="00387142" w:rsidRPr="008B6A75" w:rsidRDefault="00387142" w:rsidP="00387142">
            <w:pPr>
              <w:rPr>
                <w:sz w:val="20"/>
                <w:szCs w:val="20"/>
              </w:rPr>
            </w:pPr>
          </w:p>
        </w:tc>
      </w:tr>
      <w:tr w:rsidR="00387142" w:rsidRPr="008B6A75" w14:paraId="7F12EEF0" w14:textId="77777777" w:rsidTr="00387142">
        <w:trPr>
          <w:trHeight w:val="585"/>
        </w:trPr>
        <w:tc>
          <w:tcPr>
            <w:tcW w:w="3021" w:type="dxa"/>
            <w:tcBorders>
              <w:top w:val="nil"/>
              <w:left w:val="single" w:sz="4" w:space="0" w:color="auto"/>
              <w:bottom w:val="nil"/>
              <w:right w:val="nil"/>
            </w:tcBorders>
            <w:shd w:val="clear" w:color="auto" w:fill="auto"/>
            <w:vAlign w:val="center"/>
            <w:hideMark/>
          </w:tcPr>
          <w:p w14:paraId="6A4F16CB" w14:textId="77777777" w:rsidR="00387142" w:rsidRPr="008B6A75" w:rsidRDefault="00387142" w:rsidP="00387142">
            <w:pPr>
              <w:rPr>
                <w:sz w:val="20"/>
                <w:szCs w:val="20"/>
              </w:rPr>
            </w:pPr>
            <w:r w:rsidRPr="008B6A75">
              <w:rPr>
                <w:sz w:val="20"/>
                <w:szCs w:val="20"/>
              </w:rPr>
              <w:t>Закупка товаров, работ и услуг для обеспечения государственных (муниципальных) нужд</w:t>
            </w:r>
          </w:p>
        </w:tc>
        <w:tc>
          <w:tcPr>
            <w:tcW w:w="850" w:type="dxa"/>
            <w:tcBorders>
              <w:top w:val="nil"/>
              <w:left w:val="single" w:sz="4" w:space="0" w:color="auto"/>
              <w:bottom w:val="nil"/>
              <w:right w:val="nil"/>
            </w:tcBorders>
            <w:shd w:val="clear" w:color="auto" w:fill="auto"/>
            <w:noWrap/>
            <w:vAlign w:val="center"/>
            <w:hideMark/>
          </w:tcPr>
          <w:p w14:paraId="772A6347" w14:textId="77777777" w:rsidR="00387142" w:rsidRPr="008B6A75" w:rsidRDefault="00387142" w:rsidP="00387142">
            <w:pPr>
              <w:jc w:val="center"/>
              <w:rPr>
                <w:sz w:val="20"/>
                <w:szCs w:val="20"/>
              </w:rPr>
            </w:pPr>
            <w:r w:rsidRPr="008B6A75">
              <w:rPr>
                <w:sz w:val="20"/>
                <w:szCs w:val="20"/>
              </w:rPr>
              <w:t>444</w:t>
            </w:r>
          </w:p>
        </w:tc>
        <w:tc>
          <w:tcPr>
            <w:tcW w:w="709" w:type="dxa"/>
            <w:tcBorders>
              <w:top w:val="nil"/>
              <w:left w:val="single" w:sz="4" w:space="0" w:color="auto"/>
              <w:bottom w:val="nil"/>
              <w:right w:val="nil"/>
            </w:tcBorders>
            <w:shd w:val="clear" w:color="auto" w:fill="auto"/>
            <w:noWrap/>
            <w:vAlign w:val="center"/>
            <w:hideMark/>
          </w:tcPr>
          <w:p w14:paraId="302F8C76" w14:textId="77777777" w:rsidR="00387142" w:rsidRPr="008B6A75" w:rsidRDefault="00387142" w:rsidP="00387142">
            <w:pPr>
              <w:jc w:val="center"/>
              <w:rPr>
                <w:sz w:val="20"/>
                <w:szCs w:val="20"/>
              </w:rPr>
            </w:pPr>
            <w:r w:rsidRPr="008B6A75">
              <w:rPr>
                <w:sz w:val="20"/>
                <w:szCs w:val="20"/>
              </w:rPr>
              <w:t>01</w:t>
            </w:r>
          </w:p>
        </w:tc>
        <w:tc>
          <w:tcPr>
            <w:tcW w:w="709" w:type="dxa"/>
            <w:tcBorders>
              <w:top w:val="nil"/>
              <w:left w:val="single" w:sz="4" w:space="0" w:color="auto"/>
              <w:bottom w:val="nil"/>
              <w:right w:val="single" w:sz="4" w:space="0" w:color="auto"/>
            </w:tcBorders>
            <w:shd w:val="clear" w:color="auto" w:fill="auto"/>
            <w:noWrap/>
            <w:vAlign w:val="center"/>
            <w:hideMark/>
          </w:tcPr>
          <w:p w14:paraId="2B2C5379" w14:textId="77777777" w:rsidR="00387142" w:rsidRPr="008B6A75" w:rsidRDefault="00387142" w:rsidP="00387142">
            <w:pPr>
              <w:jc w:val="center"/>
              <w:rPr>
                <w:sz w:val="20"/>
                <w:szCs w:val="20"/>
              </w:rPr>
            </w:pPr>
            <w:r w:rsidRPr="008B6A75">
              <w:rPr>
                <w:sz w:val="20"/>
                <w:szCs w:val="20"/>
              </w:rPr>
              <w:t>04</w:t>
            </w:r>
          </w:p>
        </w:tc>
        <w:tc>
          <w:tcPr>
            <w:tcW w:w="1411" w:type="dxa"/>
            <w:tcBorders>
              <w:top w:val="nil"/>
              <w:left w:val="single" w:sz="4" w:space="0" w:color="auto"/>
              <w:bottom w:val="nil"/>
              <w:right w:val="nil"/>
            </w:tcBorders>
            <w:shd w:val="clear" w:color="auto" w:fill="auto"/>
            <w:noWrap/>
            <w:vAlign w:val="center"/>
            <w:hideMark/>
          </w:tcPr>
          <w:p w14:paraId="5E8B232B" w14:textId="77777777" w:rsidR="00387142" w:rsidRPr="008B6A75" w:rsidRDefault="00387142" w:rsidP="00387142">
            <w:pPr>
              <w:jc w:val="center"/>
              <w:rPr>
                <w:sz w:val="20"/>
                <w:szCs w:val="20"/>
              </w:rPr>
            </w:pPr>
            <w:r w:rsidRPr="008B6A75">
              <w:rPr>
                <w:sz w:val="20"/>
                <w:szCs w:val="20"/>
              </w:rPr>
              <w:t>99.0.00.70190</w:t>
            </w:r>
          </w:p>
        </w:tc>
        <w:tc>
          <w:tcPr>
            <w:tcW w:w="955" w:type="dxa"/>
            <w:tcBorders>
              <w:top w:val="nil"/>
              <w:left w:val="single" w:sz="4" w:space="0" w:color="auto"/>
              <w:bottom w:val="nil"/>
              <w:right w:val="single" w:sz="4" w:space="0" w:color="auto"/>
            </w:tcBorders>
            <w:shd w:val="clear" w:color="auto" w:fill="auto"/>
            <w:noWrap/>
            <w:vAlign w:val="center"/>
            <w:hideMark/>
          </w:tcPr>
          <w:p w14:paraId="1AD11D23" w14:textId="77777777" w:rsidR="00387142" w:rsidRPr="008B6A75" w:rsidRDefault="00387142" w:rsidP="00387142">
            <w:pPr>
              <w:jc w:val="center"/>
              <w:rPr>
                <w:sz w:val="20"/>
                <w:szCs w:val="20"/>
              </w:rPr>
            </w:pPr>
            <w:r w:rsidRPr="008B6A75">
              <w:rPr>
                <w:sz w:val="20"/>
                <w:szCs w:val="20"/>
              </w:rPr>
              <w:t>200</w:t>
            </w:r>
          </w:p>
        </w:tc>
        <w:tc>
          <w:tcPr>
            <w:tcW w:w="992" w:type="dxa"/>
            <w:tcBorders>
              <w:top w:val="nil"/>
              <w:left w:val="single" w:sz="4" w:space="0" w:color="auto"/>
              <w:bottom w:val="nil"/>
              <w:right w:val="single" w:sz="4" w:space="0" w:color="auto"/>
            </w:tcBorders>
            <w:shd w:val="clear" w:color="auto" w:fill="auto"/>
            <w:noWrap/>
            <w:vAlign w:val="center"/>
            <w:hideMark/>
          </w:tcPr>
          <w:p w14:paraId="63578C7F" w14:textId="77777777" w:rsidR="00387142" w:rsidRPr="008B6A75" w:rsidRDefault="00387142" w:rsidP="00387142">
            <w:pPr>
              <w:jc w:val="right"/>
              <w:rPr>
                <w:sz w:val="20"/>
                <w:szCs w:val="20"/>
              </w:rPr>
            </w:pPr>
            <w:r w:rsidRPr="008B6A75">
              <w:rPr>
                <w:sz w:val="20"/>
                <w:szCs w:val="20"/>
              </w:rPr>
              <w:t>1 478,39</w:t>
            </w:r>
          </w:p>
        </w:tc>
        <w:tc>
          <w:tcPr>
            <w:tcW w:w="992" w:type="dxa"/>
            <w:gridSpan w:val="2"/>
            <w:tcBorders>
              <w:top w:val="nil"/>
              <w:left w:val="single" w:sz="4" w:space="0" w:color="auto"/>
              <w:bottom w:val="nil"/>
              <w:right w:val="nil"/>
            </w:tcBorders>
            <w:shd w:val="clear" w:color="auto" w:fill="auto"/>
            <w:noWrap/>
            <w:vAlign w:val="center"/>
            <w:hideMark/>
          </w:tcPr>
          <w:p w14:paraId="30B5DA99" w14:textId="77777777" w:rsidR="00387142" w:rsidRPr="008B6A75" w:rsidRDefault="00387142" w:rsidP="00387142">
            <w:pPr>
              <w:jc w:val="right"/>
              <w:rPr>
                <w:sz w:val="20"/>
                <w:szCs w:val="20"/>
              </w:rPr>
            </w:pPr>
            <w:r w:rsidRPr="008B6A75">
              <w:rPr>
                <w:sz w:val="20"/>
                <w:szCs w:val="20"/>
              </w:rPr>
              <w:t>3 291,93</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4B900017" w14:textId="77777777" w:rsidR="00387142" w:rsidRPr="008B6A75" w:rsidRDefault="00387142" w:rsidP="00387142">
            <w:pPr>
              <w:jc w:val="right"/>
              <w:rPr>
                <w:sz w:val="20"/>
                <w:szCs w:val="20"/>
              </w:rPr>
            </w:pPr>
            <w:r w:rsidRPr="008B6A75">
              <w:rPr>
                <w:sz w:val="20"/>
                <w:szCs w:val="20"/>
              </w:rPr>
              <w:t>3 430,41</w:t>
            </w:r>
          </w:p>
        </w:tc>
        <w:tc>
          <w:tcPr>
            <w:tcW w:w="222" w:type="dxa"/>
            <w:vAlign w:val="center"/>
            <w:hideMark/>
          </w:tcPr>
          <w:p w14:paraId="6E604A65" w14:textId="77777777" w:rsidR="00387142" w:rsidRPr="008B6A75" w:rsidRDefault="00387142" w:rsidP="00387142">
            <w:pPr>
              <w:rPr>
                <w:sz w:val="20"/>
                <w:szCs w:val="20"/>
              </w:rPr>
            </w:pPr>
          </w:p>
        </w:tc>
      </w:tr>
      <w:tr w:rsidR="00387142" w:rsidRPr="008B6A75" w14:paraId="642E7AFA" w14:textId="77777777" w:rsidTr="00387142">
        <w:trPr>
          <w:trHeight w:val="870"/>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14655CE9" w14:textId="77777777" w:rsidR="00387142" w:rsidRPr="008B6A75" w:rsidRDefault="00387142" w:rsidP="00387142">
            <w:pPr>
              <w:rPr>
                <w:sz w:val="20"/>
                <w:szCs w:val="20"/>
              </w:rPr>
            </w:pPr>
            <w:r w:rsidRPr="008B6A75">
              <w:rPr>
                <w:sz w:val="20"/>
                <w:szCs w:val="20"/>
              </w:rPr>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0FAA0388" w14:textId="77777777" w:rsidR="00387142" w:rsidRPr="008B6A75" w:rsidRDefault="00387142" w:rsidP="00387142">
            <w:pPr>
              <w:jc w:val="center"/>
              <w:rPr>
                <w:sz w:val="20"/>
                <w:szCs w:val="20"/>
              </w:rPr>
            </w:pPr>
            <w:r w:rsidRPr="008B6A75">
              <w:rPr>
                <w:sz w:val="20"/>
                <w:szCs w:val="20"/>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08562451" w14:textId="77777777" w:rsidR="00387142" w:rsidRPr="008B6A75" w:rsidRDefault="00387142" w:rsidP="00387142">
            <w:pPr>
              <w:jc w:val="center"/>
              <w:rPr>
                <w:sz w:val="20"/>
                <w:szCs w:val="20"/>
              </w:rPr>
            </w:pPr>
            <w:r w:rsidRPr="008B6A75">
              <w:rPr>
                <w:sz w:val="20"/>
                <w:szCs w:val="20"/>
              </w:rPr>
              <w:t>01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BBFBD5" w14:textId="77777777" w:rsidR="00387142" w:rsidRPr="008B6A75" w:rsidRDefault="00387142" w:rsidP="00387142">
            <w:pPr>
              <w:jc w:val="center"/>
              <w:rPr>
                <w:sz w:val="20"/>
                <w:szCs w:val="20"/>
              </w:rPr>
            </w:pPr>
            <w:r w:rsidRPr="008B6A75">
              <w:rPr>
                <w:sz w:val="20"/>
                <w:szCs w:val="20"/>
              </w:rPr>
              <w:t>04</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25B9145D" w14:textId="77777777" w:rsidR="00387142" w:rsidRPr="008B6A75" w:rsidRDefault="00387142" w:rsidP="00387142">
            <w:pPr>
              <w:jc w:val="center"/>
              <w:rPr>
                <w:sz w:val="20"/>
                <w:szCs w:val="20"/>
              </w:rPr>
            </w:pPr>
            <w:r w:rsidRPr="008B6A75">
              <w:rPr>
                <w:sz w:val="20"/>
                <w:szCs w:val="20"/>
              </w:rPr>
              <w:t>99.0.00.70190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4F0289" w14:textId="77777777" w:rsidR="00387142" w:rsidRPr="008B6A75" w:rsidRDefault="00387142" w:rsidP="00387142">
            <w:pPr>
              <w:jc w:val="center"/>
              <w:rPr>
                <w:sz w:val="20"/>
                <w:szCs w:val="20"/>
              </w:rPr>
            </w:pPr>
            <w:r w:rsidRPr="008B6A75">
              <w:rPr>
                <w:sz w:val="20"/>
                <w:szCs w:val="20"/>
              </w:rPr>
              <w:t>240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2117F1" w14:textId="77777777" w:rsidR="00387142" w:rsidRPr="008B6A75" w:rsidRDefault="00387142" w:rsidP="00387142">
            <w:pPr>
              <w:jc w:val="right"/>
              <w:rPr>
                <w:sz w:val="20"/>
                <w:szCs w:val="20"/>
              </w:rPr>
            </w:pPr>
            <w:r w:rsidRPr="008B6A75">
              <w:rPr>
                <w:sz w:val="20"/>
                <w:szCs w:val="20"/>
              </w:rPr>
              <w:t>1 478,39</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02A027AF" w14:textId="77777777" w:rsidR="00387142" w:rsidRPr="008B6A75" w:rsidRDefault="00387142" w:rsidP="00387142">
            <w:pPr>
              <w:jc w:val="right"/>
              <w:rPr>
                <w:sz w:val="20"/>
                <w:szCs w:val="20"/>
              </w:rPr>
            </w:pPr>
            <w:r w:rsidRPr="008B6A75">
              <w:rPr>
                <w:sz w:val="20"/>
                <w:szCs w:val="20"/>
              </w:rPr>
              <w:t>3 291,93</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1F21B7" w14:textId="77777777" w:rsidR="00387142" w:rsidRPr="008B6A75" w:rsidRDefault="00387142" w:rsidP="00387142">
            <w:pPr>
              <w:jc w:val="right"/>
              <w:rPr>
                <w:sz w:val="20"/>
                <w:szCs w:val="20"/>
              </w:rPr>
            </w:pPr>
            <w:r w:rsidRPr="008B6A75">
              <w:rPr>
                <w:sz w:val="20"/>
                <w:szCs w:val="20"/>
              </w:rPr>
              <w:t>3 430,41</w:t>
            </w:r>
          </w:p>
        </w:tc>
        <w:tc>
          <w:tcPr>
            <w:tcW w:w="222" w:type="dxa"/>
            <w:vAlign w:val="center"/>
            <w:hideMark/>
          </w:tcPr>
          <w:p w14:paraId="265D4BB7" w14:textId="77777777" w:rsidR="00387142" w:rsidRPr="008B6A75" w:rsidRDefault="00387142" w:rsidP="00387142">
            <w:pPr>
              <w:rPr>
                <w:sz w:val="20"/>
                <w:szCs w:val="20"/>
              </w:rPr>
            </w:pPr>
          </w:p>
        </w:tc>
      </w:tr>
      <w:tr w:rsidR="00387142" w:rsidRPr="008B6A75" w14:paraId="6B771257" w14:textId="77777777" w:rsidTr="00387142">
        <w:trPr>
          <w:trHeight w:val="300"/>
        </w:trPr>
        <w:tc>
          <w:tcPr>
            <w:tcW w:w="3021" w:type="dxa"/>
            <w:tcBorders>
              <w:top w:val="nil"/>
              <w:left w:val="single" w:sz="4" w:space="0" w:color="auto"/>
              <w:bottom w:val="nil"/>
              <w:right w:val="nil"/>
            </w:tcBorders>
            <w:shd w:val="clear" w:color="auto" w:fill="auto"/>
            <w:vAlign w:val="center"/>
            <w:hideMark/>
          </w:tcPr>
          <w:p w14:paraId="6630BE4E" w14:textId="77777777" w:rsidR="00387142" w:rsidRPr="008B6A75" w:rsidRDefault="00387142" w:rsidP="00387142">
            <w:pPr>
              <w:rPr>
                <w:sz w:val="20"/>
                <w:szCs w:val="20"/>
              </w:rPr>
            </w:pPr>
            <w:r w:rsidRPr="008B6A75">
              <w:rPr>
                <w:sz w:val="20"/>
                <w:szCs w:val="20"/>
              </w:rPr>
              <w:t>Межбюджетные трансферты</w:t>
            </w:r>
          </w:p>
        </w:tc>
        <w:tc>
          <w:tcPr>
            <w:tcW w:w="850" w:type="dxa"/>
            <w:tcBorders>
              <w:top w:val="nil"/>
              <w:left w:val="single" w:sz="4" w:space="0" w:color="auto"/>
              <w:bottom w:val="nil"/>
              <w:right w:val="nil"/>
            </w:tcBorders>
            <w:shd w:val="clear" w:color="auto" w:fill="auto"/>
            <w:noWrap/>
            <w:vAlign w:val="center"/>
            <w:hideMark/>
          </w:tcPr>
          <w:p w14:paraId="7701AF58" w14:textId="77777777" w:rsidR="00387142" w:rsidRPr="008B6A75" w:rsidRDefault="00387142" w:rsidP="00387142">
            <w:pPr>
              <w:jc w:val="center"/>
              <w:rPr>
                <w:sz w:val="20"/>
                <w:szCs w:val="20"/>
              </w:rPr>
            </w:pPr>
            <w:r w:rsidRPr="008B6A75">
              <w:rPr>
                <w:sz w:val="20"/>
                <w:szCs w:val="20"/>
              </w:rPr>
              <w:t>444</w:t>
            </w:r>
          </w:p>
        </w:tc>
        <w:tc>
          <w:tcPr>
            <w:tcW w:w="709" w:type="dxa"/>
            <w:tcBorders>
              <w:top w:val="nil"/>
              <w:left w:val="single" w:sz="4" w:space="0" w:color="auto"/>
              <w:bottom w:val="nil"/>
              <w:right w:val="nil"/>
            </w:tcBorders>
            <w:shd w:val="clear" w:color="auto" w:fill="auto"/>
            <w:noWrap/>
            <w:vAlign w:val="center"/>
            <w:hideMark/>
          </w:tcPr>
          <w:p w14:paraId="16B0AA39" w14:textId="77777777" w:rsidR="00387142" w:rsidRPr="008B6A75" w:rsidRDefault="00387142" w:rsidP="00387142">
            <w:pPr>
              <w:jc w:val="center"/>
              <w:rPr>
                <w:sz w:val="20"/>
                <w:szCs w:val="20"/>
              </w:rPr>
            </w:pPr>
            <w:r w:rsidRPr="008B6A75">
              <w:rPr>
                <w:sz w:val="20"/>
                <w:szCs w:val="20"/>
              </w:rPr>
              <w:t>01</w:t>
            </w:r>
          </w:p>
        </w:tc>
        <w:tc>
          <w:tcPr>
            <w:tcW w:w="709" w:type="dxa"/>
            <w:tcBorders>
              <w:top w:val="nil"/>
              <w:left w:val="single" w:sz="4" w:space="0" w:color="auto"/>
              <w:bottom w:val="nil"/>
              <w:right w:val="single" w:sz="4" w:space="0" w:color="auto"/>
            </w:tcBorders>
            <w:shd w:val="clear" w:color="auto" w:fill="auto"/>
            <w:noWrap/>
            <w:vAlign w:val="center"/>
            <w:hideMark/>
          </w:tcPr>
          <w:p w14:paraId="127F0BE0" w14:textId="77777777" w:rsidR="00387142" w:rsidRPr="008B6A75" w:rsidRDefault="00387142" w:rsidP="00387142">
            <w:pPr>
              <w:jc w:val="center"/>
              <w:rPr>
                <w:sz w:val="20"/>
                <w:szCs w:val="20"/>
              </w:rPr>
            </w:pPr>
            <w:r w:rsidRPr="008B6A75">
              <w:rPr>
                <w:sz w:val="20"/>
                <w:szCs w:val="20"/>
              </w:rPr>
              <w:t>04</w:t>
            </w:r>
          </w:p>
        </w:tc>
        <w:tc>
          <w:tcPr>
            <w:tcW w:w="1411" w:type="dxa"/>
            <w:tcBorders>
              <w:top w:val="nil"/>
              <w:left w:val="single" w:sz="4" w:space="0" w:color="auto"/>
              <w:bottom w:val="nil"/>
              <w:right w:val="nil"/>
            </w:tcBorders>
            <w:shd w:val="clear" w:color="auto" w:fill="auto"/>
            <w:noWrap/>
            <w:vAlign w:val="center"/>
            <w:hideMark/>
          </w:tcPr>
          <w:p w14:paraId="2EF74893" w14:textId="77777777" w:rsidR="00387142" w:rsidRPr="008B6A75" w:rsidRDefault="00387142" w:rsidP="00387142">
            <w:pPr>
              <w:jc w:val="center"/>
              <w:rPr>
                <w:sz w:val="20"/>
                <w:szCs w:val="20"/>
              </w:rPr>
            </w:pPr>
            <w:r w:rsidRPr="008B6A75">
              <w:rPr>
                <w:sz w:val="20"/>
                <w:szCs w:val="20"/>
              </w:rPr>
              <w:t>99.0.00.70190</w:t>
            </w:r>
          </w:p>
        </w:tc>
        <w:tc>
          <w:tcPr>
            <w:tcW w:w="955" w:type="dxa"/>
            <w:tcBorders>
              <w:top w:val="nil"/>
              <w:left w:val="single" w:sz="4" w:space="0" w:color="auto"/>
              <w:bottom w:val="nil"/>
              <w:right w:val="single" w:sz="4" w:space="0" w:color="auto"/>
            </w:tcBorders>
            <w:shd w:val="clear" w:color="auto" w:fill="auto"/>
            <w:noWrap/>
            <w:vAlign w:val="center"/>
            <w:hideMark/>
          </w:tcPr>
          <w:p w14:paraId="5FA7EBB8" w14:textId="77777777" w:rsidR="00387142" w:rsidRPr="008B6A75" w:rsidRDefault="00387142" w:rsidP="00387142">
            <w:pPr>
              <w:jc w:val="center"/>
              <w:rPr>
                <w:sz w:val="20"/>
                <w:szCs w:val="20"/>
              </w:rPr>
            </w:pPr>
            <w:r w:rsidRPr="008B6A75">
              <w:rPr>
                <w:sz w:val="20"/>
                <w:szCs w:val="20"/>
              </w:rPr>
              <w:t>500</w:t>
            </w:r>
          </w:p>
        </w:tc>
        <w:tc>
          <w:tcPr>
            <w:tcW w:w="992" w:type="dxa"/>
            <w:tcBorders>
              <w:top w:val="nil"/>
              <w:left w:val="single" w:sz="4" w:space="0" w:color="auto"/>
              <w:bottom w:val="nil"/>
              <w:right w:val="single" w:sz="4" w:space="0" w:color="auto"/>
            </w:tcBorders>
            <w:shd w:val="clear" w:color="auto" w:fill="auto"/>
            <w:noWrap/>
            <w:vAlign w:val="center"/>
            <w:hideMark/>
          </w:tcPr>
          <w:p w14:paraId="480AD426" w14:textId="77777777" w:rsidR="00387142" w:rsidRPr="008B6A75" w:rsidRDefault="00387142" w:rsidP="00387142">
            <w:pPr>
              <w:jc w:val="right"/>
              <w:rPr>
                <w:sz w:val="20"/>
                <w:szCs w:val="20"/>
              </w:rPr>
            </w:pPr>
            <w:r w:rsidRPr="008B6A75">
              <w:rPr>
                <w:sz w:val="20"/>
                <w:szCs w:val="20"/>
              </w:rPr>
              <w:t>1 800,00</w:t>
            </w:r>
          </w:p>
        </w:tc>
        <w:tc>
          <w:tcPr>
            <w:tcW w:w="992" w:type="dxa"/>
            <w:gridSpan w:val="2"/>
            <w:tcBorders>
              <w:top w:val="nil"/>
              <w:left w:val="single" w:sz="4" w:space="0" w:color="auto"/>
              <w:bottom w:val="nil"/>
              <w:right w:val="nil"/>
            </w:tcBorders>
            <w:shd w:val="clear" w:color="auto" w:fill="auto"/>
            <w:noWrap/>
            <w:vAlign w:val="center"/>
            <w:hideMark/>
          </w:tcPr>
          <w:p w14:paraId="62799BA1" w14:textId="77777777" w:rsidR="00387142" w:rsidRPr="008B6A75" w:rsidRDefault="00387142" w:rsidP="00387142">
            <w:pPr>
              <w:jc w:val="right"/>
              <w:rPr>
                <w:sz w:val="20"/>
                <w:szCs w:val="20"/>
              </w:rPr>
            </w:pPr>
            <w:r w:rsidRPr="008B6A75">
              <w:rPr>
                <w:sz w:val="20"/>
                <w:szCs w:val="20"/>
              </w:rPr>
              <w:t>0,00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6E5469EB" w14:textId="77777777" w:rsidR="00387142" w:rsidRPr="008B6A75" w:rsidRDefault="00387142" w:rsidP="00387142">
            <w:pPr>
              <w:jc w:val="right"/>
              <w:rPr>
                <w:sz w:val="20"/>
                <w:szCs w:val="20"/>
              </w:rPr>
            </w:pPr>
            <w:r w:rsidRPr="008B6A75">
              <w:rPr>
                <w:sz w:val="20"/>
                <w:szCs w:val="20"/>
              </w:rPr>
              <w:t>0,00</w:t>
            </w:r>
          </w:p>
        </w:tc>
        <w:tc>
          <w:tcPr>
            <w:tcW w:w="222" w:type="dxa"/>
            <w:vAlign w:val="center"/>
            <w:hideMark/>
          </w:tcPr>
          <w:p w14:paraId="377054EE" w14:textId="77777777" w:rsidR="00387142" w:rsidRPr="008B6A75" w:rsidRDefault="00387142" w:rsidP="00387142">
            <w:pPr>
              <w:rPr>
                <w:sz w:val="20"/>
                <w:szCs w:val="20"/>
              </w:rPr>
            </w:pPr>
          </w:p>
        </w:tc>
      </w:tr>
      <w:tr w:rsidR="00387142" w:rsidRPr="008B6A75" w14:paraId="197ABD9E" w14:textId="77777777" w:rsidTr="00387142">
        <w:trPr>
          <w:trHeight w:val="300"/>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52077250" w14:textId="77777777" w:rsidR="00387142" w:rsidRPr="008B6A75" w:rsidRDefault="00387142" w:rsidP="00387142">
            <w:pPr>
              <w:rPr>
                <w:sz w:val="20"/>
                <w:szCs w:val="20"/>
              </w:rPr>
            </w:pPr>
            <w:r w:rsidRPr="008B6A75">
              <w:rPr>
                <w:sz w:val="20"/>
                <w:szCs w:val="20"/>
              </w:rPr>
              <w:t>Субвенции</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02B957AF" w14:textId="77777777" w:rsidR="00387142" w:rsidRPr="008B6A75" w:rsidRDefault="00387142" w:rsidP="00387142">
            <w:pPr>
              <w:jc w:val="center"/>
              <w:rPr>
                <w:sz w:val="20"/>
                <w:szCs w:val="20"/>
              </w:rPr>
            </w:pPr>
            <w:r w:rsidRPr="008B6A75">
              <w:rPr>
                <w:sz w:val="20"/>
                <w:szCs w:val="20"/>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1B658847" w14:textId="77777777" w:rsidR="00387142" w:rsidRPr="008B6A75" w:rsidRDefault="00387142" w:rsidP="00387142">
            <w:pPr>
              <w:jc w:val="center"/>
              <w:rPr>
                <w:sz w:val="20"/>
                <w:szCs w:val="20"/>
              </w:rPr>
            </w:pPr>
            <w:r w:rsidRPr="008B6A75">
              <w:rPr>
                <w:sz w:val="20"/>
                <w:szCs w:val="20"/>
              </w:rPr>
              <w:t>01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29CC03" w14:textId="77777777" w:rsidR="00387142" w:rsidRPr="008B6A75" w:rsidRDefault="00387142" w:rsidP="00387142">
            <w:pPr>
              <w:jc w:val="center"/>
              <w:rPr>
                <w:sz w:val="20"/>
                <w:szCs w:val="20"/>
              </w:rPr>
            </w:pPr>
            <w:r w:rsidRPr="008B6A75">
              <w:rPr>
                <w:sz w:val="20"/>
                <w:szCs w:val="20"/>
              </w:rPr>
              <w:t>04</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5B844CC1" w14:textId="77777777" w:rsidR="00387142" w:rsidRPr="008B6A75" w:rsidRDefault="00387142" w:rsidP="00387142">
            <w:pPr>
              <w:jc w:val="center"/>
              <w:rPr>
                <w:sz w:val="20"/>
                <w:szCs w:val="20"/>
              </w:rPr>
            </w:pPr>
            <w:r w:rsidRPr="008B6A75">
              <w:rPr>
                <w:sz w:val="20"/>
                <w:szCs w:val="20"/>
              </w:rPr>
              <w:t>99.0.00.70190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8174C2" w14:textId="77777777" w:rsidR="00387142" w:rsidRPr="008B6A75" w:rsidRDefault="00387142" w:rsidP="00387142">
            <w:pPr>
              <w:jc w:val="center"/>
              <w:rPr>
                <w:sz w:val="20"/>
                <w:szCs w:val="20"/>
              </w:rPr>
            </w:pPr>
            <w:r w:rsidRPr="008B6A75">
              <w:rPr>
                <w:sz w:val="20"/>
                <w:szCs w:val="20"/>
              </w:rPr>
              <w:t>530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691ED9" w14:textId="77777777" w:rsidR="00387142" w:rsidRPr="008B6A75" w:rsidRDefault="00387142" w:rsidP="00387142">
            <w:pPr>
              <w:jc w:val="right"/>
              <w:rPr>
                <w:sz w:val="20"/>
                <w:szCs w:val="20"/>
              </w:rPr>
            </w:pPr>
            <w:r w:rsidRPr="008B6A75">
              <w:rPr>
                <w:sz w:val="20"/>
                <w:szCs w:val="20"/>
              </w:rPr>
              <w:t>1 800,00</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5DD16C15" w14:textId="77777777" w:rsidR="00387142" w:rsidRPr="008B6A75" w:rsidRDefault="00387142" w:rsidP="00387142">
            <w:pPr>
              <w:jc w:val="right"/>
              <w:rPr>
                <w:sz w:val="20"/>
                <w:szCs w:val="20"/>
              </w:rPr>
            </w:pPr>
            <w:r w:rsidRPr="008B6A75">
              <w:rPr>
                <w:sz w:val="20"/>
                <w:szCs w:val="20"/>
              </w:rPr>
              <w:t>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2C4821" w14:textId="77777777" w:rsidR="00387142" w:rsidRPr="008B6A75" w:rsidRDefault="00387142" w:rsidP="00387142">
            <w:pPr>
              <w:jc w:val="right"/>
              <w:rPr>
                <w:sz w:val="20"/>
                <w:szCs w:val="20"/>
              </w:rPr>
            </w:pPr>
            <w:r w:rsidRPr="008B6A75">
              <w:rPr>
                <w:sz w:val="20"/>
                <w:szCs w:val="20"/>
              </w:rPr>
              <w:t>0,00</w:t>
            </w:r>
          </w:p>
        </w:tc>
        <w:tc>
          <w:tcPr>
            <w:tcW w:w="222" w:type="dxa"/>
            <w:vAlign w:val="center"/>
            <w:hideMark/>
          </w:tcPr>
          <w:p w14:paraId="2BD80669" w14:textId="77777777" w:rsidR="00387142" w:rsidRPr="008B6A75" w:rsidRDefault="00387142" w:rsidP="00387142">
            <w:pPr>
              <w:rPr>
                <w:sz w:val="20"/>
                <w:szCs w:val="20"/>
              </w:rPr>
            </w:pPr>
          </w:p>
        </w:tc>
      </w:tr>
      <w:tr w:rsidR="00387142" w:rsidRPr="008B6A75" w14:paraId="00A77298" w14:textId="77777777" w:rsidTr="00387142">
        <w:trPr>
          <w:trHeight w:val="1440"/>
        </w:trPr>
        <w:tc>
          <w:tcPr>
            <w:tcW w:w="3021" w:type="dxa"/>
            <w:tcBorders>
              <w:top w:val="nil"/>
              <w:left w:val="single" w:sz="4" w:space="0" w:color="auto"/>
              <w:bottom w:val="nil"/>
              <w:right w:val="nil"/>
            </w:tcBorders>
            <w:shd w:val="clear" w:color="auto" w:fill="auto"/>
            <w:vAlign w:val="center"/>
            <w:hideMark/>
          </w:tcPr>
          <w:p w14:paraId="14C91737" w14:textId="77777777" w:rsidR="00387142" w:rsidRPr="008B6A75" w:rsidRDefault="00387142" w:rsidP="00387142">
            <w:pPr>
              <w:rPr>
                <w:bCs/>
                <w:sz w:val="20"/>
                <w:szCs w:val="20"/>
              </w:rPr>
            </w:pPr>
            <w:r w:rsidRPr="008B6A75">
              <w:rPr>
                <w:bCs/>
                <w:sz w:val="20"/>
                <w:szCs w:val="20"/>
              </w:rPr>
              <w:t>Реализация мероприятий на осуществление уведомительной регистрации коллективных договоров, территориальных соглашений и территориальных отраслевых (межотраслевых) соглашений</w:t>
            </w:r>
          </w:p>
        </w:tc>
        <w:tc>
          <w:tcPr>
            <w:tcW w:w="850" w:type="dxa"/>
            <w:tcBorders>
              <w:top w:val="nil"/>
              <w:left w:val="single" w:sz="4" w:space="0" w:color="auto"/>
              <w:bottom w:val="nil"/>
              <w:right w:val="nil"/>
            </w:tcBorders>
            <w:shd w:val="clear" w:color="auto" w:fill="auto"/>
            <w:noWrap/>
            <w:vAlign w:val="center"/>
            <w:hideMark/>
          </w:tcPr>
          <w:p w14:paraId="018C5108" w14:textId="77777777" w:rsidR="00387142" w:rsidRPr="008B6A75" w:rsidRDefault="00387142" w:rsidP="00387142">
            <w:pPr>
              <w:jc w:val="center"/>
              <w:rPr>
                <w:bCs/>
                <w:sz w:val="20"/>
                <w:szCs w:val="20"/>
              </w:rPr>
            </w:pPr>
            <w:r w:rsidRPr="008B6A75">
              <w:rPr>
                <w:bCs/>
                <w:sz w:val="20"/>
                <w:szCs w:val="20"/>
              </w:rPr>
              <w:t>444</w:t>
            </w:r>
          </w:p>
        </w:tc>
        <w:tc>
          <w:tcPr>
            <w:tcW w:w="709" w:type="dxa"/>
            <w:tcBorders>
              <w:top w:val="nil"/>
              <w:left w:val="single" w:sz="4" w:space="0" w:color="auto"/>
              <w:bottom w:val="nil"/>
              <w:right w:val="nil"/>
            </w:tcBorders>
            <w:shd w:val="clear" w:color="auto" w:fill="auto"/>
            <w:noWrap/>
            <w:vAlign w:val="center"/>
            <w:hideMark/>
          </w:tcPr>
          <w:p w14:paraId="7F0D4E49" w14:textId="77777777" w:rsidR="00387142" w:rsidRPr="008B6A75" w:rsidRDefault="00387142" w:rsidP="00387142">
            <w:pPr>
              <w:jc w:val="center"/>
              <w:rPr>
                <w:bCs/>
                <w:sz w:val="20"/>
                <w:szCs w:val="20"/>
              </w:rPr>
            </w:pPr>
            <w:r w:rsidRPr="008B6A75">
              <w:rPr>
                <w:bCs/>
                <w:sz w:val="20"/>
                <w:szCs w:val="20"/>
              </w:rPr>
              <w:t>01</w:t>
            </w:r>
          </w:p>
        </w:tc>
        <w:tc>
          <w:tcPr>
            <w:tcW w:w="709" w:type="dxa"/>
            <w:tcBorders>
              <w:top w:val="nil"/>
              <w:left w:val="single" w:sz="4" w:space="0" w:color="auto"/>
              <w:bottom w:val="nil"/>
              <w:right w:val="single" w:sz="4" w:space="0" w:color="auto"/>
            </w:tcBorders>
            <w:shd w:val="clear" w:color="auto" w:fill="auto"/>
            <w:noWrap/>
            <w:vAlign w:val="center"/>
            <w:hideMark/>
          </w:tcPr>
          <w:p w14:paraId="3C813112" w14:textId="77777777" w:rsidR="00387142" w:rsidRPr="008B6A75" w:rsidRDefault="00387142" w:rsidP="00387142">
            <w:pPr>
              <w:jc w:val="center"/>
              <w:rPr>
                <w:bCs/>
                <w:sz w:val="20"/>
                <w:szCs w:val="20"/>
              </w:rPr>
            </w:pPr>
            <w:r w:rsidRPr="008B6A75">
              <w:rPr>
                <w:bCs/>
                <w:sz w:val="20"/>
                <w:szCs w:val="20"/>
              </w:rPr>
              <w:t>04</w:t>
            </w:r>
          </w:p>
        </w:tc>
        <w:tc>
          <w:tcPr>
            <w:tcW w:w="1411" w:type="dxa"/>
            <w:tcBorders>
              <w:top w:val="nil"/>
              <w:left w:val="single" w:sz="4" w:space="0" w:color="auto"/>
              <w:bottom w:val="nil"/>
              <w:right w:val="nil"/>
            </w:tcBorders>
            <w:shd w:val="clear" w:color="auto" w:fill="auto"/>
            <w:noWrap/>
            <w:vAlign w:val="center"/>
            <w:hideMark/>
          </w:tcPr>
          <w:p w14:paraId="434449CB" w14:textId="77777777" w:rsidR="00387142" w:rsidRPr="008B6A75" w:rsidRDefault="00387142" w:rsidP="00387142">
            <w:pPr>
              <w:jc w:val="center"/>
              <w:rPr>
                <w:bCs/>
                <w:sz w:val="20"/>
                <w:szCs w:val="20"/>
              </w:rPr>
            </w:pPr>
            <w:r w:rsidRPr="008B6A75">
              <w:rPr>
                <w:bCs/>
                <w:sz w:val="20"/>
                <w:szCs w:val="20"/>
              </w:rPr>
              <w:t>99.0.00.70210</w:t>
            </w:r>
          </w:p>
        </w:tc>
        <w:tc>
          <w:tcPr>
            <w:tcW w:w="955" w:type="dxa"/>
            <w:tcBorders>
              <w:top w:val="nil"/>
              <w:left w:val="single" w:sz="4" w:space="0" w:color="auto"/>
              <w:bottom w:val="nil"/>
              <w:right w:val="single" w:sz="4" w:space="0" w:color="auto"/>
            </w:tcBorders>
            <w:shd w:val="clear" w:color="auto" w:fill="auto"/>
            <w:noWrap/>
            <w:vAlign w:val="center"/>
            <w:hideMark/>
          </w:tcPr>
          <w:p w14:paraId="2DCFCAD0"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nil"/>
              <w:right w:val="single" w:sz="4" w:space="0" w:color="auto"/>
            </w:tcBorders>
            <w:shd w:val="clear" w:color="auto" w:fill="auto"/>
            <w:noWrap/>
            <w:vAlign w:val="center"/>
            <w:hideMark/>
          </w:tcPr>
          <w:p w14:paraId="17A44DC7" w14:textId="77777777" w:rsidR="00387142" w:rsidRPr="008B6A75" w:rsidRDefault="00387142" w:rsidP="00387142">
            <w:pPr>
              <w:jc w:val="right"/>
              <w:rPr>
                <w:bCs/>
                <w:sz w:val="20"/>
                <w:szCs w:val="20"/>
              </w:rPr>
            </w:pPr>
            <w:r w:rsidRPr="008B6A75">
              <w:rPr>
                <w:bCs/>
                <w:sz w:val="20"/>
                <w:szCs w:val="20"/>
              </w:rPr>
              <w:t>1 059 320,00</w:t>
            </w:r>
          </w:p>
        </w:tc>
        <w:tc>
          <w:tcPr>
            <w:tcW w:w="992" w:type="dxa"/>
            <w:gridSpan w:val="2"/>
            <w:tcBorders>
              <w:top w:val="nil"/>
              <w:left w:val="single" w:sz="4" w:space="0" w:color="auto"/>
              <w:bottom w:val="nil"/>
              <w:right w:val="nil"/>
            </w:tcBorders>
            <w:shd w:val="clear" w:color="auto" w:fill="auto"/>
            <w:noWrap/>
            <w:vAlign w:val="center"/>
            <w:hideMark/>
          </w:tcPr>
          <w:p w14:paraId="15489852" w14:textId="77777777" w:rsidR="00387142" w:rsidRPr="008B6A75" w:rsidRDefault="00387142" w:rsidP="00387142">
            <w:pPr>
              <w:jc w:val="right"/>
              <w:rPr>
                <w:bCs/>
                <w:sz w:val="20"/>
                <w:szCs w:val="20"/>
              </w:rPr>
            </w:pPr>
            <w:r w:rsidRPr="008B6A75">
              <w:rPr>
                <w:bCs/>
                <w:sz w:val="20"/>
                <w:szCs w:val="20"/>
              </w:rPr>
              <w:t>1 041 760,00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1D085124" w14:textId="77777777" w:rsidR="00387142" w:rsidRPr="008B6A75" w:rsidRDefault="00387142" w:rsidP="00387142">
            <w:pPr>
              <w:jc w:val="right"/>
              <w:rPr>
                <w:bCs/>
                <w:sz w:val="20"/>
                <w:szCs w:val="20"/>
              </w:rPr>
            </w:pPr>
            <w:r w:rsidRPr="008B6A75">
              <w:rPr>
                <w:bCs/>
                <w:sz w:val="20"/>
                <w:szCs w:val="20"/>
              </w:rPr>
              <w:t>1 082 460,00</w:t>
            </w:r>
          </w:p>
        </w:tc>
        <w:tc>
          <w:tcPr>
            <w:tcW w:w="222" w:type="dxa"/>
            <w:vAlign w:val="center"/>
            <w:hideMark/>
          </w:tcPr>
          <w:p w14:paraId="631D9344" w14:textId="77777777" w:rsidR="00387142" w:rsidRPr="008B6A75" w:rsidRDefault="00387142" w:rsidP="00387142">
            <w:pPr>
              <w:rPr>
                <w:sz w:val="20"/>
                <w:szCs w:val="20"/>
              </w:rPr>
            </w:pPr>
          </w:p>
        </w:tc>
      </w:tr>
      <w:tr w:rsidR="00387142" w:rsidRPr="008B6A75" w14:paraId="73173076" w14:textId="77777777" w:rsidTr="00387142">
        <w:trPr>
          <w:trHeight w:val="1440"/>
        </w:trPr>
        <w:tc>
          <w:tcPr>
            <w:tcW w:w="3021" w:type="dxa"/>
            <w:tcBorders>
              <w:top w:val="single" w:sz="4" w:space="0" w:color="auto"/>
              <w:left w:val="single" w:sz="4" w:space="0" w:color="auto"/>
              <w:bottom w:val="nil"/>
              <w:right w:val="nil"/>
            </w:tcBorders>
            <w:shd w:val="clear" w:color="auto" w:fill="auto"/>
            <w:vAlign w:val="center"/>
            <w:hideMark/>
          </w:tcPr>
          <w:p w14:paraId="32E3F15C" w14:textId="77777777" w:rsidR="00387142" w:rsidRPr="008B6A75" w:rsidRDefault="00387142" w:rsidP="00387142">
            <w:pPr>
              <w:rPr>
                <w:sz w:val="20"/>
                <w:szCs w:val="20"/>
              </w:rPr>
            </w:pPr>
            <w:r w:rsidRPr="008B6A7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nil"/>
              <w:right w:val="nil"/>
            </w:tcBorders>
            <w:shd w:val="clear" w:color="auto" w:fill="auto"/>
            <w:noWrap/>
            <w:vAlign w:val="center"/>
            <w:hideMark/>
          </w:tcPr>
          <w:p w14:paraId="6DAF1C7B" w14:textId="77777777" w:rsidR="00387142" w:rsidRPr="008B6A75" w:rsidRDefault="00387142" w:rsidP="00387142">
            <w:pPr>
              <w:jc w:val="center"/>
              <w:rPr>
                <w:sz w:val="20"/>
                <w:szCs w:val="20"/>
              </w:rPr>
            </w:pPr>
            <w:r w:rsidRPr="008B6A75">
              <w:rPr>
                <w:sz w:val="20"/>
                <w:szCs w:val="20"/>
              </w:rPr>
              <w:t>444</w:t>
            </w:r>
          </w:p>
        </w:tc>
        <w:tc>
          <w:tcPr>
            <w:tcW w:w="709" w:type="dxa"/>
            <w:tcBorders>
              <w:top w:val="single" w:sz="4" w:space="0" w:color="auto"/>
              <w:left w:val="single" w:sz="4" w:space="0" w:color="auto"/>
              <w:bottom w:val="nil"/>
              <w:right w:val="nil"/>
            </w:tcBorders>
            <w:shd w:val="clear" w:color="auto" w:fill="auto"/>
            <w:noWrap/>
            <w:vAlign w:val="center"/>
            <w:hideMark/>
          </w:tcPr>
          <w:p w14:paraId="71E479A7" w14:textId="77777777" w:rsidR="00387142" w:rsidRPr="008B6A75" w:rsidRDefault="00387142" w:rsidP="00387142">
            <w:pPr>
              <w:jc w:val="center"/>
              <w:rPr>
                <w:sz w:val="20"/>
                <w:szCs w:val="20"/>
              </w:rPr>
            </w:pPr>
            <w:r w:rsidRPr="008B6A75">
              <w:rPr>
                <w:sz w:val="20"/>
                <w:szCs w:val="20"/>
              </w:rPr>
              <w:t>01</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651BF187" w14:textId="77777777" w:rsidR="00387142" w:rsidRPr="008B6A75" w:rsidRDefault="00387142" w:rsidP="00387142">
            <w:pPr>
              <w:jc w:val="center"/>
              <w:rPr>
                <w:sz w:val="20"/>
                <w:szCs w:val="20"/>
              </w:rPr>
            </w:pPr>
            <w:r w:rsidRPr="008B6A75">
              <w:rPr>
                <w:sz w:val="20"/>
                <w:szCs w:val="20"/>
              </w:rPr>
              <w:t>04</w:t>
            </w:r>
          </w:p>
        </w:tc>
        <w:tc>
          <w:tcPr>
            <w:tcW w:w="1411" w:type="dxa"/>
            <w:tcBorders>
              <w:top w:val="single" w:sz="4" w:space="0" w:color="auto"/>
              <w:left w:val="single" w:sz="4" w:space="0" w:color="auto"/>
              <w:bottom w:val="nil"/>
              <w:right w:val="nil"/>
            </w:tcBorders>
            <w:shd w:val="clear" w:color="auto" w:fill="auto"/>
            <w:noWrap/>
            <w:vAlign w:val="center"/>
            <w:hideMark/>
          </w:tcPr>
          <w:p w14:paraId="7C0DBD9A" w14:textId="77777777" w:rsidR="00387142" w:rsidRPr="008B6A75" w:rsidRDefault="00387142" w:rsidP="00387142">
            <w:pPr>
              <w:jc w:val="center"/>
              <w:rPr>
                <w:sz w:val="20"/>
                <w:szCs w:val="20"/>
              </w:rPr>
            </w:pPr>
            <w:r w:rsidRPr="008B6A75">
              <w:rPr>
                <w:sz w:val="20"/>
                <w:szCs w:val="20"/>
              </w:rPr>
              <w:t>99.0.00.70210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362FBCEC" w14:textId="77777777" w:rsidR="00387142" w:rsidRPr="008B6A75" w:rsidRDefault="00387142" w:rsidP="00387142">
            <w:pPr>
              <w:jc w:val="center"/>
              <w:rPr>
                <w:sz w:val="20"/>
                <w:szCs w:val="20"/>
              </w:rPr>
            </w:pPr>
            <w:r w:rsidRPr="008B6A75">
              <w:rPr>
                <w:sz w:val="20"/>
                <w:szCs w:val="20"/>
              </w:rPr>
              <w:t>100</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606F8CDD" w14:textId="77777777" w:rsidR="00387142" w:rsidRPr="008B6A75" w:rsidRDefault="00387142" w:rsidP="00387142">
            <w:pPr>
              <w:jc w:val="right"/>
              <w:rPr>
                <w:sz w:val="20"/>
                <w:szCs w:val="20"/>
              </w:rPr>
            </w:pPr>
            <w:r w:rsidRPr="008B6A75">
              <w:rPr>
                <w:sz w:val="20"/>
                <w:szCs w:val="20"/>
              </w:rPr>
              <w:t>811 727,25</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327BE00A" w14:textId="77777777" w:rsidR="00387142" w:rsidRPr="008B6A75" w:rsidRDefault="00387142" w:rsidP="00387142">
            <w:pPr>
              <w:jc w:val="right"/>
              <w:rPr>
                <w:sz w:val="20"/>
                <w:szCs w:val="20"/>
              </w:rPr>
            </w:pPr>
            <w:r w:rsidRPr="008B6A75">
              <w:rPr>
                <w:sz w:val="20"/>
                <w:szCs w:val="20"/>
              </w:rPr>
              <w:t>794 805,81</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554EACBC" w14:textId="77777777" w:rsidR="00387142" w:rsidRPr="008B6A75" w:rsidRDefault="00387142" w:rsidP="00387142">
            <w:pPr>
              <w:jc w:val="right"/>
              <w:rPr>
                <w:sz w:val="20"/>
                <w:szCs w:val="20"/>
              </w:rPr>
            </w:pPr>
            <w:r w:rsidRPr="008B6A75">
              <w:rPr>
                <w:sz w:val="20"/>
                <w:szCs w:val="20"/>
              </w:rPr>
              <w:t>826 598,05</w:t>
            </w:r>
          </w:p>
        </w:tc>
        <w:tc>
          <w:tcPr>
            <w:tcW w:w="222" w:type="dxa"/>
            <w:vAlign w:val="center"/>
            <w:hideMark/>
          </w:tcPr>
          <w:p w14:paraId="46457E9D" w14:textId="77777777" w:rsidR="00387142" w:rsidRPr="008B6A75" w:rsidRDefault="00387142" w:rsidP="00387142">
            <w:pPr>
              <w:rPr>
                <w:sz w:val="20"/>
                <w:szCs w:val="20"/>
              </w:rPr>
            </w:pPr>
          </w:p>
        </w:tc>
      </w:tr>
      <w:tr w:rsidR="00387142" w:rsidRPr="008B6A75" w14:paraId="2A9A2717" w14:textId="77777777" w:rsidTr="00387142">
        <w:trPr>
          <w:trHeight w:val="585"/>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5BAB207E" w14:textId="77777777" w:rsidR="00387142" w:rsidRPr="008B6A75" w:rsidRDefault="00387142" w:rsidP="00387142">
            <w:pPr>
              <w:rPr>
                <w:sz w:val="20"/>
                <w:szCs w:val="20"/>
              </w:rPr>
            </w:pPr>
            <w:r w:rsidRPr="008B6A75">
              <w:rPr>
                <w:sz w:val="20"/>
                <w:szCs w:val="20"/>
              </w:rPr>
              <w:t>Расходы на выплаты персоналу государственных (муниципальных) органов</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4F0A64E7" w14:textId="77777777" w:rsidR="00387142" w:rsidRPr="008B6A75" w:rsidRDefault="00387142" w:rsidP="00387142">
            <w:pPr>
              <w:jc w:val="center"/>
              <w:rPr>
                <w:sz w:val="20"/>
                <w:szCs w:val="20"/>
              </w:rPr>
            </w:pPr>
            <w:r w:rsidRPr="008B6A75">
              <w:rPr>
                <w:sz w:val="20"/>
                <w:szCs w:val="20"/>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5CCDD7AB" w14:textId="77777777" w:rsidR="00387142" w:rsidRPr="008B6A75" w:rsidRDefault="00387142" w:rsidP="00387142">
            <w:pPr>
              <w:jc w:val="center"/>
              <w:rPr>
                <w:sz w:val="20"/>
                <w:szCs w:val="20"/>
              </w:rPr>
            </w:pPr>
            <w:r w:rsidRPr="008B6A75">
              <w:rPr>
                <w:sz w:val="20"/>
                <w:szCs w:val="20"/>
              </w:rPr>
              <w:t>01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D7AE95" w14:textId="77777777" w:rsidR="00387142" w:rsidRPr="008B6A75" w:rsidRDefault="00387142" w:rsidP="00387142">
            <w:pPr>
              <w:jc w:val="center"/>
              <w:rPr>
                <w:sz w:val="20"/>
                <w:szCs w:val="20"/>
              </w:rPr>
            </w:pPr>
            <w:r w:rsidRPr="008B6A75">
              <w:rPr>
                <w:sz w:val="20"/>
                <w:szCs w:val="20"/>
              </w:rPr>
              <w:t>04</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705186CF" w14:textId="77777777" w:rsidR="00387142" w:rsidRPr="008B6A75" w:rsidRDefault="00387142" w:rsidP="00387142">
            <w:pPr>
              <w:jc w:val="center"/>
              <w:rPr>
                <w:sz w:val="20"/>
                <w:szCs w:val="20"/>
              </w:rPr>
            </w:pPr>
            <w:r w:rsidRPr="008B6A75">
              <w:rPr>
                <w:sz w:val="20"/>
                <w:szCs w:val="20"/>
              </w:rPr>
              <w:t>99.0.00.70210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AD96A2" w14:textId="77777777" w:rsidR="00387142" w:rsidRPr="008B6A75" w:rsidRDefault="00387142" w:rsidP="00387142">
            <w:pPr>
              <w:jc w:val="center"/>
              <w:rPr>
                <w:sz w:val="20"/>
                <w:szCs w:val="20"/>
              </w:rPr>
            </w:pPr>
            <w:r w:rsidRPr="008B6A75">
              <w:rPr>
                <w:sz w:val="20"/>
                <w:szCs w:val="20"/>
              </w:rPr>
              <w:t>120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7879D3" w14:textId="77777777" w:rsidR="00387142" w:rsidRPr="008B6A75" w:rsidRDefault="00387142" w:rsidP="00387142">
            <w:pPr>
              <w:jc w:val="right"/>
              <w:rPr>
                <w:sz w:val="20"/>
                <w:szCs w:val="20"/>
              </w:rPr>
            </w:pPr>
            <w:r w:rsidRPr="008B6A75">
              <w:rPr>
                <w:sz w:val="20"/>
                <w:szCs w:val="20"/>
              </w:rPr>
              <w:t>811 727,25</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20E67D9B" w14:textId="77777777" w:rsidR="00387142" w:rsidRPr="008B6A75" w:rsidRDefault="00387142" w:rsidP="00387142">
            <w:pPr>
              <w:jc w:val="right"/>
              <w:rPr>
                <w:sz w:val="20"/>
                <w:szCs w:val="20"/>
              </w:rPr>
            </w:pPr>
            <w:r w:rsidRPr="008B6A75">
              <w:rPr>
                <w:sz w:val="20"/>
                <w:szCs w:val="20"/>
              </w:rPr>
              <w:t>794 805,81</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6D67A5" w14:textId="77777777" w:rsidR="00387142" w:rsidRPr="008B6A75" w:rsidRDefault="00387142" w:rsidP="00387142">
            <w:pPr>
              <w:jc w:val="right"/>
              <w:rPr>
                <w:sz w:val="20"/>
                <w:szCs w:val="20"/>
              </w:rPr>
            </w:pPr>
            <w:r w:rsidRPr="008B6A75">
              <w:rPr>
                <w:sz w:val="20"/>
                <w:szCs w:val="20"/>
              </w:rPr>
              <w:t>826 598,05</w:t>
            </w:r>
          </w:p>
        </w:tc>
        <w:tc>
          <w:tcPr>
            <w:tcW w:w="222" w:type="dxa"/>
            <w:vAlign w:val="center"/>
            <w:hideMark/>
          </w:tcPr>
          <w:p w14:paraId="112DF199" w14:textId="77777777" w:rsidR="00387142" w:rsidRPr="008B6A75" w:rsidRDefault="00387142" w:rsidP="00387142">
            <w:pPr>
              <w:rPr>
                <w:sz w:val="20"/>
                <w:szCs w:val="20"/>
              </w:rPr>
            </w:pPr>
          </w:p>
        </w:tc>
      </w:tr>
      <w:tr w:rsidR="00387142" w:rsidRPr="008B6A75" w14:paraId="3A3DDE03" w14:textId="77777777" w:rsidTr="00387142">
        <w:trPr>
          <w:trHeight w:val="585"/>
        </w:trPr>
        <w:tc>
          <w:tcPr>
            <w:tcW w:w="3021" w:type="dxa"/>
            <w:tcBorders>
              <w:top w:val="nil"/>
              <w:left w:val="single" w:sz="4" w:space="0" w:color="auto"/>
              <w:bottom w:val="nil"/>
              <w:right w:val="nil"/>
            </w:tcBorders>
            <w:shd w:val="clear" w:color="auto" w:fill="auto"/>
            <w:vAlign w:val="center"/>
            <w:hideMark/>
          </w:tcPr>
          <w:p w14:paraId="76DA7325" w14:textId="77777777" w:rsidR="00387142" w:rsidRPr="008B6A75" w:rsidRDefault="00387142" w:rsidP="00387142">
            <w:pPr>
              <w:rPr>
                <w:sz w:val="20"/>
                <w:szCs w:val="20"/>
              </w:rPr>
            </w:pPr>
            <w:r w:rsidRPr="008B6A75">
              <w:rPr>
                <w:sz w:val="20"/>
                <w:szCs w:val="20"/>
              </w:rPr>
              <w:t>Закупка товаров, работ и услуг для обеспечения государственных (муниципальных) нужд</w:t>
            </w:r>
          </w:p>
        </w:tc>
        <w:tc>
          <w:tcPr>
            <w:tcW w:w="850" w:type="dxa"/>
            <w:tcBorders>
              <w:top w:val="nil"/>
              <w:left w:val="single" w:sz="4" w:space="0" w:color="auto"/>
              <w:bottom w:val="nil"/>
              <w:right w:val="nil"/>
            </w:tcBorders>
            <w:shd w:val="clear" w:color="auto" w:fill="auto"/>
            <w:noWrap/>
            <w:vAlign w:val="center"/>
            <w:hideMark/>
          </w:tcPr>
          <w:p w14:paraId="358051D2" w14:textId="77777777" w:rsidR="00387142" w:rsidRPr="008B6A75" w:rsidRDefault="00387142" w:rsidP="00387142">
            <w:pPr>
              <w:jc w:val="center"/>
              <w:rPr>
                <w:sz w:val="20"/>
                <w:szCs w:val="20"/>
              </w:rPr>
            </w:pPr>
            <w:r w:rsidRPr="008B6A75">
              <w:rPr>
                <w:sz w:val="20"/>
                <w:szCs w:val="20"/>
              </w:rPr>
              <w:t>444</w:t>
            </w:r>
          </w:p>
        </w:tc>
        <w:tc>
          <w:tcPr>
            <w:tcW w:w="709" w:type="dxa"/>
            <w:tcBorders>
              <w:top w:val="nil"/>
              <w:left w:val="single" w:sz="4" w:space="0" w:color="auto"/>
              <w:bottom w:val="nil"/>
              <w:right w:val="nil"/>
            </w:tcBorders>
            <w:shd w:val="clear" w:color="auto" w:fill="auto"/>
            <w:noWrap/>
            <w:vAlign w:val="center"/>
            <w:hideMark/>
          </w:tcPr>
          <w:p w14:paraId="16CFB70A" w14:textId="77777777" w:rsidR="00387142" w:rsidRPr="008B6A75" w:rsidRDefault="00387142" w:rsidP="00387142">
            <w:pPr>
              <w:jc w:val="center"/>
              <w:rPr>
                <w:sz w:val="20"/>
                <w:szCs w:val="20"/>
              </w:rPr>
            </w:pPr>
            <w:r w:rsidRPr="008B6A75">
              <w:rPr>
                <w:sz w:val="20"/>
                <w:szCs w:val="20"/>
              </w:rPr>
              <w:t>01</w:t>
            </w:r>
          </w:p>
        </w:tc>
        <w:tc>
          <w:tcPr>
            <w:tcW w:w="709" w:type="dxa"/>
            <w:tcBorders>
              <w:top w:val="nil"/>
              <w:left w:val="single" w:sz="4" w:space="0" w:color="auto"/>
              <w:bottom w:val="nil"/>
              <w:right w:val="single" w:sz="4" w:space="0" w:color="auto"/>
            </w:tcBorders>
            <w:shd w:val="clear" w:color="auto" w:fill="auto"/>
            <w:noWrap/>
            <w:vAlign w:val="center"/>
            <w:hideMark/>
          </w:tcPr>
          <w:p w14:paraId="39ADB4A1" w14:textId="77777777" w:rsidR="00387142" w:rsidRPr="008B6A75" w:rsidRDefault="00387142" w:rsidP="00387142">
            <w:pPr>
              <w:jc w:val="center"/>
              <w:rPr>
                <w:sz w:val="20"/>
                <w:szCs w:val="20"/>
              </w:rPr>
            </w:pPr>
            <w:r w:rsidRPr="008B6A75">
              <w:rPr>
                <w:sz w:val="20"/>
                <w:szCs w:val="20"/>
              </w:rPr>
              <w:t>04</w:t>
            </w:r>
          </w:p>
        </w:tc>
        <w:tc>
          <w:tcPr>
            <w:tcW w:w="1411" w:type="dxa"/>
            <w:tcBorders>
              <w:top w:val="nil"/>
              <w:left w:val="single" w:sz="4" w:space="0" w:color="auto"/>
              <w:bottom w:val="nil"/>
              <w:right w:val="nil"/>
            </w:tcBorders>
            <w:shd w:val="clear" w:color="auto" w:fill="auto"/>
            <w:noWrap/>
            <w:vAlign w:val="center"/>
            <w:hideMark/>
          </w:tcPr>
          <w:p w14:paraId="57F74E97" w14:textId="77777777" w:rsidR="00387142" w:rsidRPr="008B6A75" w:rsidRDefault="00387142" w:rsidP="00387142">
            <w:pPr>
              <w:jc w:val="center"/>
              <w:rPr>
                <w:sz w:val="20"/>
                <w:szCs w:val="20"/>
              </w:rPr>
            </w:pPr>
            <w:r w:rsidRPr="008B6A75">
              <w:rPr>
                <w:sz w:val="20"/>
                <w:szCs w:val="20"/>
              </w:rPr>
              <w:t>99.0.00.70210</w:t>
            </w:r>
          </w:p>
        </w:tc>
        <w:tc>
          <w:tcPr>
            <w:tcW w:w="955" w:type="dxa"/>
            <w:tcBorders>
              <w:top w:val="nil"/>
              <w:left w:val="single" w:sz="4" w:space="0" w:color="auto"/>
              <w:bottom w:val="nil"/>
              <w:right w:val="single" w:sz="4" w:space="0" w:color="auto"/>
            </w:tcBorders>
            <w:shd w:val="clear" w:color="auto" w:fill="auto"/>
            <w:noWrap/>
            <w:vAlign w:val="center"/>
            <w:hideMark/>
          </w:tcPr>
          <w:p w14:paraId="458EE959" w14:textId="77777777" w:rsidR="00387142" w:rsidRPr="008B6A75" w:rsidRDefault="00387142" w:rsidP="00387142">
            <w:pPr>
              <w:jc w:val="center"/>
              <w:rPr>
                <w:sz w:val="20"/>
                <w:szCs w:val="20"/>
              </w:rPr>
            </w:pPr>
            <w:r w:rsidRPr="008B6A75">
              <w:rPr>
                <w:sz w:val="20"/>
                <w:szCs w:val="20"/>
              </w:rPr>
              <w:t>200</w:t>
            </w:r>
          </w:p>
        </w:tc>
        <w:tc>
          <w:tcPr>
            <w:tcW w:w="992" w:type="dxa"/>
            <w:tcBorders>
              <w:top w:val="nil"/>
              <w:left w:val="single" w:sz="4" w:space="0" w:color="auto"/>
              <w:bottom w:val="nil"/>
              <w:right w:val="single" w:sz="4" w:space="0" w:color="auto"/>
            </w:tcBorders>
            <w:shd w:val="clear" w:color="auto" w:fill="auto"/>
            <w:noWrap/>
            <w:vAlign w:val="center"/>
            <w:hideMark/>
          </w:tcPr>
          <w:p w14:paraId="169AC3CA" w14:textId="77777777" w:rsidR="00387142" w:rsidRPr="008B6A75" w:rsidRDefault="00387142" w:rsidP="00387142">
            <w:pPr>
              <w:jc w:val="right"/>
              <w:rPr>
                <w:sz w:val="20"/>
                <w:szCs w:val="20"/>
              </w:rPr>
            </w:pPr>
            <w:r w:rsidRPr="008B6A75">
              <w:rPr>
                <w:sz w:val="20"/>
                <w:szCs w:val="20"/>
              </w:rPr>
              <w:t>247 592,75</w:t>
            </w:r>
          </w:p>
        </w:tc>
        <w:tc>
          <w:tcPr>
            <w:tcW w:w="992" w:type="dxa"/>
            <w:gridSpan w:val="2"/>
            <w:tcBorders>
              <w:top w:val="nil"/>
              <w:left w:val="single" w:sz="4" w:space="0" w:color="auto"/>
              <w:bottom w:val="nil"/>
              <w:right w:val="nil"/>
            </w:tcBorders>
            <w:shd w:val="clear" w:color="auto" w:fill="auto"/>
            <w:noWrap/>
            <w:vAlign w:val="center"/>
            <w:hideMark/>
          </w:tcPr>
          <w:p w14:paraId="4A55E8A9" w14:textId="77777777" w:rsidR="00387142" w:rsidRPr="008B6A75" w:rsidRDefault="00387142" w:rsidP="00387142">
            <w:pPr>
              <w:jc w:val="right"/>
              <w:rPr>
                <w:sz w:val="20"/>
                <w:szCs w:val="20"/>
              </w:rPr>
            </w:pPr>
            <w:r w:rsidRPr="008B6A75">
              <w:rPr>
                <w:sz w:val="20"/>
                <w:szCs w:val="20"/>
              </w:rPr>
              <w:t>246 954,19</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5CCB71C9" w14:textId="77777777" w:rsidR="00387142" w:rsidRPr="008B6A75" w:rsidRDefault="00387142" w:rsidP="00387142">
            <w:pPr>
              <w:jc w:val="right"/>
              <w:rPr>
                <w:sz w:val="20"/>
                <w:szCs w:val="20"/>
              </w:rPr>
            </w:pPr>
            <w:r w:rsidRPr="008B6A75">
              <w:rPr>
                <w:sz w:val="20"/>
                <w:szCs w:val="20"/>
              </w:rPr>
              <w:t>255 861,95</w:t>
            </w:r>
          </w:p>
        </w:tc>
        <w:tc>
          <w:tcPr>
            <w:tcW w:w="222" w:type="dxa"/>
            <w:vAlign w:val="center"/>
            <w:hideMark/>
          </w:tcPr>
          <w:p w14:paraId="03D9166C" w14:textId="77777777" w:rsidR="00387142" w:rsidRPr="008B6A75" w:rsidRDefault="00387142" w:rsidP="00387142">
            <w:pPr>
              <w:rPr>
                <w:sz w:val="20"/>
                <w:szCs w:val="20"/>
              </w:rPr>
            </w:pPr>
          </w:p>
        </w:tc>
      </w:tr>
      <w:tr w:rsidR="00387142" w:rsidRPr="008B6A75" w14:paraId="417F6A53" w14:textId="77777777" w:rsidTr="00387142">
        <w:trPr>
          <w:trHeight w:val="870"/>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727AFC71" w14:textId="77777777" w:rsidR="00387142" w:rsidRPr="008B6A75" w:rsidRDefault="00387142" w:rsidP="00387142">
            <w:pPr>
              <w:rPr>
                <w:sz w:val="20"/>
                <w:szCs w:val="20"/>
              </w:rPr>
            </w:pPr>
            <w:r w:rsidRPr="008B6A75">
              <w:rPr>
                <w:sz w:val="20"/>
                <w:szCs w:val="20"/>
              </w:rPr>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733375B5" w14:textId="77777777" w:rsidR="00387142" w:rsidRPr="008B6A75" w:rsidRDefault="00387142" w:rsidP="00387142">
            <w:pPr>
              <w:jc w:val="center"/>
              <w:rPr>
                <w:sz w:val="20"/>
                <w:szCs w:val="20"/>
              </w:rPr>
            </w:pPr>
            <w:r w:rsidRPr="008B6A75">
              <w:rPr>
                <w:sz w:val="20"/>
                <w:szCs w:val="20"/>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183787EF" w14:textId="77777777" w:rsidR="00387142" w:rsidRPr="008B6A75" w:rsidRDefault="00387142" w:rsidP="00387142">
            <w:pPr>
              <w:jc w:val="center"/>
              <w:rPr>
                <w:sz w:val="20"/>
                <w:szCs w:val="20"/>
              </w:rPr>
            </w:pPr>
            <w:r w:rsidRPr="008B6A75">
              <w:rPr>
                <w:sz w:val="20"/>
                <w:szCs w:val="20"/>
              </w:rPr>
              <w:t>01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6693F3" w14:textId="77777777" w:rsidR="00387142" w:rsidRPr="008B6A75" w:rsidRDefault="00387142" w:rsidP="00387142">
            <w:pPr>
              <w:jc w:val="center"/>
              <w:rPr>
                <w:sz w:val="20"/>
                <w:szCs w:val="20"/>
              </w:rPr>
            </w:pPr>
            <w:r w:rsidRPr="008B6A75">
              <w:rPr>
                <w:sz w:val="20"/>
                <w:szCs w:val="20"/>
              </w:rPr>
              <w:t>04</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6B4686A0" w14:textId="77777777" w:rsidR="00387142" w:rsidRPr="008B6A75" w:rsidRDefault="00387142" w:rsidP="00387142">
            <w:pPr>
              <w:jc w:val="center"/>
              <w:rPr>
                <w:sz w:val="20"/>
                <w:szCs w:val="20"/>
              </w:rPr>
            </w:pPr>
            <w:r w:rsidRPr="008B6A75">
              <w:rPr>
                <w:sz w:val="20"/>
                <w:szCs w:val="20"/>
              </w:rPr>
              <w:t>99.0.00.70210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A78E8E" w14:textId="77777777" w:rsidR="00387142" w:rsidRPr="008B6A75" w:rsidRDefault="00387142" w:rsidP="00387142">
            <w:pPr>
              <w:jc w:val="center"/>
              <w:rPr>
                <w:sz w:val="20"/>
                <w:szCs w:val="20"/>
              </w:rPr>
            </w:pPr>
            <w:r w:rsidRPr="008B6A75">
              <w:rPr>
                <w:sz w:val="20"/>
                <w:szCs w:val="20"/>
              </w:rPr>
              <w:t>240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149CC0" w14:textId="77777777" w:rsidR="00387142" w:rsidRPr="008B6A75" w:rsidRDefault="00387142" w:rsidP="00387142">
            <w:pPr>
              <w:jc w:val="right"/>
              <w:rPr>
                <w:sz w:val="20"/>
                <w:szCs w:val="20"/>
              </w:rPr>
            </w:pPr>
            <w:r w:rsidRPr="008B6A75">
              <w:rPr>
                <w:sz w:val="20"/>
                <w:szCs w:val="20"/>
              </w:rPr>
              <w:t>247 592,75</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4FCE504F" w14:textId="77777777" w:rsidR="00387142" w:rsidRPr="008B6A75" w:rsidRDefault="00387142" w:rsidP="00387142">
            <w:pPr>
              <w:jc w:val="right"/>
              <w:rPr>
                <w:sz w:val="20"/>
                <w:szCs w:val="20"/>
              </w:rPr>
            </w:pPr>
            <w:r w:rsidRPr="008B6A75">
              <w:rPr>
                <w:sz w:val="20"/>
                <w:szCs w:val="20"/>
              </w:rPr>
              <w:t>246 954,19</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EBC961" w14:textId="77777777" w:rsidR="00387142" w:rsidRPr="008B6A75" w:rsidRDefault="00387142" w:rsidP="00387142">
            <w:pPr>
              <w:jc w:val="right"/>
              <w:rPr>
                <w:sz w:val="20"/>
                <w:szCs w:val="20"/>
              </w:rPr>
            </w:pPr>
            <w:r w:rsidRPr="008B6A75">
              <w:rPr>
                <w:sz w:val="20"/>
                <w:szCs w:val="20"/>
              </w:rPr>
              <w:t>255 861,95</w:t>
            </w:r>
          </w:p>
        </w:tc>
        <w:tc>
          <w:tcPr>
            <w:tcW w:w="222" w:type="dxa"/>
            <w:vAlign w:val="center"/>
            <w:hideMark/>
          </w:tcPr>
          <w:p w14:paraId="4899708B" w14:textId="77777777" w:rsidR="00387142" w:rsidRPr="008B6A75" w:rsidRDefault="00387142" w:rsidP="00387142">
            <w:pPr>
              <w:rPr>
                <w:sz w:val="20"/>
                <w:szCs w:val="20"/>
              </w:rPr>
            </w:pPr>
          </w:p>
        </w:tc>
      </w:tr>
      <w:tr w:rsidR="00387142" w:rsidRPr="008B6A75" w14:paraId="493C510E" w14:textId="77777777" w:rsidTr="00387142">
        <w:trPr>
          <w:trHeight w:val="2010"/>
        </w:trPr>
        <w:tc>
          <w:tcPr>
            <w:tcW w:w="3021" w:type="dxa"/>
            <w:tcBorders>
              <w:top w:val="nil"/>
              <w:left w:val="single" w:sz="4" w:space="0" w:color="auto"/>
              <w:bottom w:val="nil"/>
              <w:right w:val="nil"/>
            </w:tcBorders>
            <w:shd w:val="clear" w:color="auto" w:fill="auto"/>
            <w:vAlign w:val="center"/>
            <w:hideMark/>
          </w:tcPr>
          <w:p w14:paraId="501EC639" w14:textId="77777777" w:rsidR="00387142" w:rsidRPr="008B6A75" w:rsidRDefault="00387142" w:rsidP="00387142">
            <w:pPr>
              <w:rPr>
                <w:bCs/>
                <w:sz w:val="20"/>
                <w:szCs w:val="20"/>
              </w:rPr>
            </w:pPr>
            <w:r w:rsidRPr="008B6A75">
              <w:rPr>
                <w:bCs/>
                <w:sz w:val="20"/>
                <w:szCs w:val="20"/>
              </w:rPr>
              <w:t>Осуществление отдельных государственных полномочий Новосибирской области по сбору информации от поселений, входящих в муниципальный район, необходимой для ведения регистра муниципальных нормативных правовых актов Новосибирской области</w:t>
            </w:r>
          </w:p>
        </w:tc>
        <w:tc>
          <w:tcPr>
            <w:tcW w:w="850" w:type="dxa"/>
            <w:tcBorders>
              <w:top w:val="nil"/>
              <w:left w:val="single" w:sz="4" w:space="0" w:color="auto"/>
              <w:bottom w:val="nil"/>
              <w:right w:val="nil"/>
            </w:tcBorders>
            <w:shd w:val="clear" w:color="auto" w:fill="auto"/>
            <w:noWrap/>
            <w:vAlign w:val="center"/>
            <w:hideMark/>
          </w:tcPr>
          <w:p w14:paraId="47A74AE7" w14:textId="77777777" w:rsidR="00387142" w:rsidRPr="008B6A75" w:rsidRDefault="00387142" w:rsidP="00387142">
            <w:pPr>
              <w:jc w:val="center"/>
              <w:rPr>
                <w:bCs/>
                <w:sz w:val="20"/>
                <w:szCs w:val="20"/>
              </w:rPr>
            </w:pPr>
            <w:r w:rsidRPr="008B6A75">
              <w:rPr>
                <w:bCs/>
                <w:sz w:val="20"/>
                <w:szCs w:val="20"/>
              </w:rPr>
              <w:t>444</w:t>
            </w:r>
          </w:p>
        </w:tc>
        <w:tc>
          <w:tcPr>
            <w:tcW w:w="709" w:type="dxa"/>
            <w:tcBorders>
              <w:top w:val="nil"/>
              <w:left w:val="single" w:sz="4" w:space="0" w:color="auto"/>
              <w:bottom w:val="nil"/>
              <w:right w:val="nil"/>
            </w:tcBorders>
            <w:shd w:val="clear" w:color="auto" w:fill="auto"/>
            <w:noWrap/>
            <w:vAlign w:val="center"/>
            <w:hideMark/>
          </w:tcPr>
          <w:p w14:paraId="77F163B8" w14:textId="77777777" w:rsidR="00387142" w:rsidRPr="008B6A75" w:rsidRDefault="00387142" w:rsidP="00387142">
            <w:pPr>
              <w:jc w:val="center"/>
              <w:rPr>
                <w:bCs/>
                <w:sz w:val="20"/>
                <w:szCs w:val="20"/>
              </w:rPr>
            </w:pPr>
            <w:r w:rsidRPr="008B6A75">
              <w:rPr>
                <w:bCs/>
                <w:sz w:val="20"/>
                <w:szCs w:val="20"/>
              </w:rPr>
              <w:t>01</w:t>
            </w:r>
          </w:p>
        </w:tc>
        <w:tc>
          <w:tcPr>
            <w:tcW w:w="709" w:type="dxa"/>
            <w:tcBorders>
              <w:top w:val="nil"/>
              <w:left w:val="single" w:sz="4" w:space="0" w:color="auto"/>
              <w:bottom w:val="nil"/>
              <w:right w:val="single" w:sz="4" w:space="0" w:color="auto"/>
            </w:tcBorders>
            <w:shd w:val="clear" w:color="auto" w:fill="auto"/>
            <w:noWrap/>
            <w:vAlign w:val="center"/>
            <w:hideMark/>
          </w:tcPr>
          <w:p w14:paraId="028B87F4" w14:textId="77777777" w:rsidR="00387142" w:rsidRPr="008B6A75" w:rsidRDefault="00387142" w:rsidP="00387142">
            <w:pPr>
              <w:jc w:val="center"/>
              <w:rPr>
                <w:bCs/>
                <w:sz w:val="20"/>
                <w:szCs w:val="20"/>
              </w:rPr>
            </w:pPr>
            <w:r w:rsidRPr="008B6A75">
              <w:rPr>
                <w:bCs/>
                <w:sz w:val="20"/>
                <w:szCs w:val="20"/>
              </w:rPr>
              <w:t>04</w:t>
            </w:r>
          </w:p>
        </w:tc>
        <w:tc>
          <w:tcPr>
            <w:tcW w:w="1411" w:type="dxa"/>
            <w:tcBorders>
              <w:top w:val="nil"/>
              <w:left w:val="single" w:sz="4" w:space="0" w:color="auto"/>
              <w:bottom w:val="nil"/>
              <w:right w:val="nil"/>
            </w:tcBorders>
            <w:shd w:val="clear" w:color="auto" w:fill="auto"/>
            <w:noWrap/>
            <w:vAlign w:val="center"/>
            <w:hideMark/>
          </w:tcPr>
          <w:p w14:paraId="3DEB43BA" w14:textId="77777777" w:rsidR="00387142" w:rsidRPr="008B6A75" w:rsidRDefault="00387142" w:rsidP="00387142">
            <w:pPr>
              <w:jc w:val="center"/>
              <w:rPr>
                <w:bCs/>
                <w:sz w:val="20"/>
                <w:szCs w:val="20"/>
              </w:rPr>
            </w:pPr>
            <w:r w:rsidRPr="008B6A75">
              <w:rPr>
                <w:bCs/>
                <w:sz w:val="20"/>
                <w:szCs w:val="20"/>
              </w:rPr>
              <w:t>99.0.00.70230</w:t>
            </w:r>
          </w:p>
        </w:tc>
        <w:tc>
          <w:tcPr>
            <w:tcW w:w="955" w:type="dxa"/>
            <w:tcBorders>
              <w:top w:val="nil"/>
              <w:left w:val="single" w:sz="4" w:space="0" w:color="auto"/>
              <w:bottom w:val="nil"/>
              <w:right w:val="single" w:sz="4" w:space="0" w:color="auto"/>
            </w:tcBorders>
            <w:shd w:val="clear" w:color="auto" w:fill="auto"/>
            <w:noWrap/>
            <w:vAlign w:val="center"/>
            <w:hideMark/>
          </w:tcPr>
          <w:p w14:paraId="0592173C"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nil"/>
              <w:right w:val="single" w:sz="4" w:space="0" w:color="auto"/>
            </w:tcBorders>
            <w:shd w:val="clear" w:color="auto" w:fill="auto"/>
            <w:noWrap/>
            <w:vAlign w:val="center"/>
            <w:hideMark/>
          </w:tcPr>
          <w:p w14:paraId="5092090D" w14:textId="77777777" w:rsidR="00387142" w:rsidRPr="008B6A75" w:rsidRDefault="00387142" w:rsidP="00387142">
            <w:pPr>
              <w:jc w:val="right"/>
              <w:rPr>
                <w:bCs/>
                <w:sz w:val="20"/>
                <w:szCs w:val="20"/>
              </w:rPr>
            </w:pPr>
            <w:r w:rsidRPr="008B6A75">
              <w:rPr>
                <w:bCs/>
                <w:sz w:val="20"/>
                <w:szCs w:val="20"/>
              </w:rPr>
              <w:t>123 620,00</w:t>
            </w:r>
          </w:p>
        </w:tc>
        <w:tc>
          <w:tcPr>
            <w:tcW w:w="992" w:type="dxa"/>
            <w:gridSpan w:val="2"/>
            <w:tcBorders>
              <w:top w:val="nil"/>
              <w:left w:val="single" w:sz="4" w:space="0" w:color="auto"/>
              <w:bottom w:val="nil"/>
              <w:right w:val="nil"/>
            </w:tcBorders>
            <w:shd w:val="clear" w:color="auto" w:fill="auto"/>
            <w:noWrap/>
            <w:vAlign w:val="center"/>
            <w:hideMark/>
          </w:tcPr>
          <w:p w14:paraId="0D7210AA" w14:textId="77777777" w:rsidR="00387142" w:rsidRPr="008B6A75" w:rsidRDefault="00387142" w:rsidP="00387142">
            <w:pPr>
              <w:jc w:val="right"/>
              <w:rPr>
                <w:bCs/>
                <w:sz w:val="20"/>
                <w:szCs w:val="20"/>
              </w:rPr>
            </w:pPr>
            <w:r w:rsidRPr="008B6A75">
              <w:rPr>
                <w:bCs/>
                <w:sz w:val="20"/>
                <w:szCs w:val="20"/>
              </w:rPr>
              <w:t>122 500,00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6BF61489" w14:textId="77777777" w:rsidR="00387142" w:rsidRPr="008B6A75" w:rsidRDefault="00387142" w:rsidP="00387142">
            <w:pPr>
              <w:jc w:val="right"/>
              <w:rPr>
                <w:bCs/>
                <w:sz w:val="20"/>
                <w:szCs w:val="20"/>
              </w:rPr>
            </w:pPr>
            <w:r w:rsidRPr="008B6A75">
              <w:rPr>
                <w:bCs/>
                <w:sz w:val="20"/>
                <w:szCs w:val="20"/>
              </w:rPr>
              <w:t>127 600,00</w:t>
            </w:r>
          </w:p>
        </w:tc>
        <w:tc>
          <w:tcPr>
            <w:tcW w:w="222" w:type="dxa"/>
            <w:vAlign w:val="center"/>
            <w:hideMark/>
          </w:tcPr>
          <w:p w14:paraId="5A7EB03F" w14:textId="77777777" w:rsidR="00387142" w:rsidRPr="008B6A75" w:rsidRDefault="00387142" w:rsidP="00387142">
            <w:pPr>
              <w:rPr>
                <w:sz w:val="20"/>
                <w:szCs w:val="20"/>
              </w:rPr>
            </w:pPr>
          </w:p>
        </w:tc>
      </w:tr>
      <w:tr w:rsidR="00387142" w:rsidRPr="008B6A75" w14:paraId="27CC3205" w14:textId="77777777" w:rsidTr="00387142">
        <w:trPr>
          <w:trHeight w:val="1440"/>
        </w:trPr>
        <w:tc>
          <w:tcPr>
            <w:tcW w:w="3021" w:type="dxa"/>
            <w:tcBorders>
              <w:top w:val="single" w:sz="4" w:space="0" w:color="auto"/>
              <w:left w:val="single" w:sz="4" w:space="0" w:color="auto"/>
              <w:bottom w:val="nil"/>
              <w:right w:val="nil"/>
            </w:tcBorders>
            <w:shd w:val="clear" w:color="auto" w:fill="auto"/>
            <w:vAlign w:val="center"/>
            <w:hideMark/>
          </w:tcPr>
          <w:p w14:paraId="29FE5CB4" w14:textId="77777777" w:rsidR="00387142" w:rsidRPr="008B6A75" w:rsidRDefault="00387142" w:rsidP="00387142">
            <w:pPr>
              <w:rPr>
                <w:sz w:val="20"/>
                <w:szCs w:val="20"/>
              </w:rPr>
            </w:pPr>
            <w:r w:rsidRPr="008B6A75">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nil"/>
              <w:right w:val="nil"/>
            </w:tcBorders>
            <w:shd w:val="clear" w:color="auto" w:fill="auto"/>
            <w:noWrap/>
            <w:vAlign w:val="center"/>
            <w:hideMark/>
          </w:tcPr>
          <w:p w14:paraId="1E373E55" w14:textId="77777777" w:rsidR="00387142" w:rsidRPr="008B6A75" w:rsidRDefault="00387142" w:rsidP="00387142">
            <w:pPr>
              <w:jc w:val="center"/>
              <w:rPr>
                <w:sz w:val="20"/>
                <w:szCs w:val="20"/>
              </w:rPr>
            </w:pPr>
            <w:r w:rsidRPr="008B6A75">
              <w:rPr>
                <w:sz w:val="20"/>
                <w:szCs w:val="20"/>
              </w:rPr>
              <w:t>444</w:t>
            </w:r>
          </w:p>
        </w:tc>
        <w:tc>
          <w:tcPr>
            <w:tcW w:w="709" w:type="dxa"/>
            <w:tcBorders>
              <w:top w:val="single" w:sz="4" w:space="0" w:color="auto"/>
              <w:left w:val="single" w:sz="4" w:space="0" w:color="auto"/>
              <w:bottom w:val="nil"/>
              <w:right w:val="nil"/>
            </w:tcBorders>
            <w:shd w:val="clear" w:color="auto" w:fill="auto"/>
            <w:noWrap/>
            <w:vAlign w:val="center"/>
            <w:hideMark/>
          </w:tcPr>
          <w:p w14:paraId="485F0DA8" w14:textId="77777777" w:rsidR="00387142" w:rsidRPr="008B6A75" w:rsidRDefault="00387142" w:rsidP="00387142">
            <w:pPr>
              <w:jc w:val="center"/>
              <w:rPr>
                <w:sz w:val="20"/>
                <w:szCs w:val="20"/>
              </w:rPr>
            </w:pPr>
            <w:r w:rsidRPr="008B6A75">
              <w:rPr>
                <w:sz w:val="20"/>
                <w:szCs w:val="20"/>
              </w:rPr>
              <w:t>01</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019BCA84" w14:textId="77777777" w:rsidR="00387142" w:rsidRPr="008B6A75" w:rsidRDefault="00387142" w:rsidP="00387142">
            <w:pPr>
              <w:jc w:val="center"/>
              <w:rPr>
                <w:sz w:val="20"/>
                <w:szCs w:val="20"/>
              </w:rPr>
            </w:pPr>
            <w:r w:rsidRPr="008B6A75">
              <w:rPr>
                <w:sz w:val="20"/>
                <w:szCs w:val="20"/>
              </w:rPr>
              <w:t>04</w:t>
            </w:r>
          </w:p>
        </w:tc>
        <w:tc>
          <w:tcPr>
            <w:tcW w:w="1411" w:type="dxa"/>
            <w:tcBorders>
              <w:top w:val="single" w:sz="4" w:space="0" w:color="auto"/>
              <w:left w:val="single" w:sz="4" w:space="0" w:color="auto"/>
              <w:bottom w:val="nil"/>
              <w:right w:val="nil"/>
            </w:tcBorders>
            <w:shd w:val="clear" w:color="auto" w:fill="auto"/>
            <w:noWrap/>
            <w:vAlign w:val="center"/>
            <w:hideMark/>
          </w:tcPr>
          <w:p w14:paraId="50B4CD52" w14:textId="77777777" w:rsidR="00387142" w:rsidRPr="008B6A75" w:rsidRDefault="00387142" w:rsidP="00387142">
            <w:pPr>
              <w:jc w:val="center"/>
              <w:rPr>
                <w:sz w:val="20"/>
                <w:szCs w:val="20"/>
              </w:rPr>
            </w:pPr>
            <w:r w:rsidRPr="008B6A75">
              <w:rPr>
                <w:sz w:val="20"/>
                <w:szCs w:val="20"/>
              </w:rPr>
              <w:t>99.0.00.70230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43359270" w14:textId="77777777" w:rsidR="00387142" w:rsidRPr="008B6A75" w:rsidRDefault="00387142" w:rsidP="00387142">
            <w:pPr>
              <w:jc w:val="center"/>
              <w:rPr>
                <w:sz w:val="20"/>
                <w:szCs w:val="20"/>
              </w:rPr>
            </w:pPr>
            <w:r w:rsidRPr="008B6A75">
              <w:rPr>
                <w:sz w:val="20"/>
                <w:szCs w:val="20"/>
              </w:rPr>
              <w:t>100</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793FBB36" w14:textId="77777777" w:rsidR="00387142" w:rsidRPr="008B6A75" w:rsidRDefault="00387142" w:rsidP="00387142">
            <w:pPr>
              <w:jc w:val="right"/>
              <w:rPr>
                <w:sz w:val="20"/>
                <w:szCs w:val="20"/>
              </w:rPr>
            </w:pPr>
            <w:r w:rsidRPr="008B6A75">
              <w:rPr>
                <w:sz w:val="20"/>
                <w:szCs w:val="20"/>
              </w:rPr>
              <w:t>104 663,33</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1CFDEF5F" w14:textId="77777777" w:rsidR="00387142" w:rsidRPr="008B6A75" w:rsidRDefault="00387142" w:rsidP="00387142">
            <w:pPr>
              <w:jc w:val="right"/>
              <w:rPr>
                <w:sz w:val="20"/>
                <w:szCs w:val="20"/>
              </w:rPr>
            </w:pPr>
            <w:r w:rsidRPr="008B6A75">
              <w:rPr>
                <w:sz w:val="20"/>
                <w:szCs w:val="20"/>
              </w:rPr>
              <w:t>103 005,00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54D4C097" w14:textId="77777777" w:rsidR="00387142" w:rsidRPr="008B6A75" w:rsidRDefault="00387142" w:rsidP="00387142">
            <w:pPr>
              <w:jc w:val="right"/>
              <w:rPr>
                <w:sz w:val="20"/>
                <w:szCs w:val="20"/>
              </w:rPr>
            </w:pPr>
            <w:r w:rsidRPr="008B6A75">
              <w:rPr>
                <w:sz w:val="20"/>
                <w:szCs w:val="20"/>
              </w:rPr>
              <w:t>107 125,00</w:t>
            </w:r>
          </w:p>
        </w:tc>
        <w:tc>
          <w:tcPr>
            <w:tcW w:w="222" w:type="dxa"/>
            <w:vAlign w:val="center"/>
            <w:hideMark/>
          </w:tcPr>
          <w:p w14:paraId="00ED39B9" w14:textId="77777777" w:rsidR="00387142" w:rsidRPr="008B6A75" w:rsidRDefault="00387142" w:rsidP="00387142">
            <w:pPr>
              <w:rPr>
                <w:sz w:val="20"/>
                <w:szCs w:val="20"/>
              </w:rPr>
            </w:pPr>
          </w:p>
        </w:tc>
      </w:tr>
      <w:tr w:rsidR="00387142" w:rsidRPr="008B6A75" w14:paraId="2B360BAF" w14:textId="77777777" w:rsidTr="00387142">
        <w:trPr>
          <w:trHeight w:val="585"/>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5FA7AC0D" w14:textId="77777777" w:rsidR="00387142" w:rsidRPr="008B6A75" w:rsidRDefault="00387142" w:rsidP="00387142">
            <w:pPr>
              <w:rPr>
                <w:sz w:val="20"/>
                <w:szCs w:val="20"/>
              </w:rPr>
            </w:pPr>
            <w:r w:rsidRPr="008B6A75">
              <w:rPr>
                <w:sz w:val="20"/>
                <w:szCs w:val="20"/>
              </w:rPr>
              <w:t>Расходы на выплаты персоналу государственных (муниципальных) органов</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3E8069F1" w14:textId="77777777" w:rsidR="00387142" w:rsidRPr="008B6A75" w:rsidRDefault="00387142" w:rsidP="00387142">
            <w:pPr>
              <w:jc w:val="center"/>
              <w:rPr>
                <w:sz w:val="20"/>
                <w:szCs w:val="20"/>
              </w:rPr>
            </w:pPr>
            <w:r w:rsidRPr="008B6A75">
              <w:rPr>
                <w:sz w:val="20"/>
                <w:szCs w:val="20"/>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5F6D2468" w14:textId="77777777" w:rsidR="00387142" w:rsidRPr="008B6A75" w:rsidRDefault="00387142" w:rsidP="00387142">
            <w:pPr>
              <w:jc w:val="center"/>
              <w:rPr>
                <w:sz w:val="20"/>
                <w:szCs w:val="20"/>
              </w:rPr>
            </w:pPr>
            <w:r w:rsidRPr="008B6A75">
              <w:rPr>
                <w:sz w:val="20"/>
                <w:szCs w:val="20"/>
              </w:rPr>
              <w:t>01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1A8C29" w14:textId="77777777" w:rsidR="00387142" w:rsidRPr="008B6A75" w:rsidRDefault="00387142" w:rsidP="00387142">
            <w:pPr>
              <w:jc w:val="center"/>
              <w:rPr>
                <w:sz w:val="20"/>
                <w:szCs w:val="20"/>
              </w:rPr>
            </w:pPr>
            <w:r w:rsidRPr="008B6A75">
              <w:rPr>
                <w:sz w:val="20"/>
                <w:szCs w:val="20"/>
              </w:rPr>
              <w:t>04</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0A7FEDB2" w14:textId="77777777" w:rsidR="00387142" w:rsidRPr="008B6A75" w:rsidRDefault="00387142" w:rsidP="00387142">
            <w:pPr>
              <w:jc w:val="center"/>
              <w:rPr>
                <w:sz w:val="20"/>
                <w:szCs w:val="20"/>
              </w:rPr>
            </w:pPr>
            <w:r w:rsidRPr="008B6A75">
              <w:rPr>
                <w:sz w:val="20"/>
                <w:szCs w:val="20"/>
              </w:rPr>
              <w:t>99.0.00.70230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CE6F3F" w14:textId="77777777" w:rsidR="00387142" w:rsidRPr="008B6A75" w:rsidRDefault="00387142" w:rsidP="00387142">
            <w:pPr>
              <w:jc w:val="center"/>
              <w:rPr>
                <w:sz w:val="20"/>
                <w:szCs w:val="20"/>
              </w:rPr>
            </w:pPr>
            <w:r w:rsidRPr="008B6A75">
              <w:rPr>
                <w:sz w:val="20"/>
                <w:szCs w:val="20"/>
              </w:rPr>
              <w:t>120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8EBCD2" w14:textId="77777777" w:rsidR="00387142" w:rsidRPr="008B6A75" w:rsidRDefault="00387142" w:rsidP="00387142">
            <w:pPr>
              <w:jc w:val="right"/>
              <w:rPr>
                <w:sz w:val="20"/>
                <w:szCs w:val="20"/>
              </w:rPr>
            </w:pPr>
            <w:r w:rsidRPr="008B6A75">
              <w:rPr>
                <w:sz w:val="20"/>
                <w:szCs w:val="20"/>
              </w:rPr>
              <w:t>104 663,33</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48EEA492" w14:textId="77777777" w:rsidR="00387142" w:rsidRPr="008B6A75" w:rsidRDefault="00387142" w:rsidP="00387142">
            <w:pPr>
              <w:jc w:val="right"/>
              <w:rPr>
                <w:sz w:val="20"/>
                <w:szCs w:val="20"/>
              </w:rPr>
            </w:pPr>
            <w:r w:rsidRPr="008B6A75">
              <w:rPr>
                <w:sz w:val="20"/>
                <w:szCs w:val="20"/>
              </w:rPr>
              <w:t>103 005,00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2C5E8B" w14:textId="77777777" w:rsidR="00387142" w:rsidRPr="008B6A75" w:rsidRDefault="00387142" w:rsidP="00387142">
            <w:pPr>
              <w:jc w:val="right"/>
              <w:rPr>
                <w:sz w:val="20"/>
                <w:szCs w:val="20"/>
              </w:rPr>
            </w:pPr>
            <w:r w:rsidRPr="008B6A75">
              <w:rPr>
                <w:sz w:val="20"/>
                <w:szCs w:val="20"/>
              </w:rPr>
              <w:t>107 125,00</w:t>
            </w:r>
          </w:p>
        </w:tc>
        <w:tc>
          <w:tcPr>
            <w:tcW w:w="222" w:type="dxa"/>
            <w:vAlign w:val="center"/>
            <w:hideMark/>
          </w:tcPr>
          <w:p w14:paraId="6F33A461" w14:textId="77777777" w:rsidR="00387142" w:rsidRPr="008B6A75" w:rsidRDefault="00387142" w:rsidP="00387142">
            <w:pPr>
              <w:rPr>
                <w:sz w:val="20"/>
                <w:szCs w:val="20"/>
              </w:rPr>
            </w:pPr>
          </w:p>
        </w:tc>
      </w:tr>
      <w:tr w:rsidR="00387142" w:rsidRPr="008B6A75" w14:paraId="347E9181" w14:textId="77777777" w:rsidTr="00387142">
        <w:trPr>
          <w:trHeight w:val="585"/>
        </w:trPr>
        <w:tc>
          <w:tcPr>
            <w:tcW w:w="3021" w:type="dxa"/>
            <w:tcBorders>
              <w:top w:val="nil"/>
              <w:left w:val="single" w:sz="4" w:space="0" w:color="auto"/>
              <w:bottom w:val="nil"/>
              <w:right w:val="nil"/>
            </w:tcBorders>
            <w:shd w:val="clear" w:color="auto" w:fill="auto"/>
            <w:vAlign w:val="center"/>
            <w:hideMark/>
          </w:tcPr>
          <w:p w14:paraId="536B0886" w14:textId="77777777" w:rsidR="00387142" w:rsidRPr="008B6A75" w:rsidRDefault="00387142" w:rsidP="00387142">
            <w:pPr>
              <w:rPr>
                <w:sz w:val="20"/>
                <w:szCs w:val="20"/>
              </w:rPr>
            </w:pPr>
            <w:r w:rsidRPr="008B6A75">
              <w:rPr>
                <w:sz w:val="20"/>
                <w:szCs w:val="20"/>
              </w:rPr>
              <w:t>Закупка товаров, работ и услуг для обеспечения государственных (муниципальных) нужд</w:t>
            </w:r>
          </w:p>
        </w:tc>
        <w:tc>
          <w:tcPr>
            <w:tcW w:w="850" w:type="dxa"/>
            <w:tcBorders>
              <w:top w:val="nil"/>
              <w:left w:val="single" w:sz="4" w:space="0" w:color="auto"/>
              <w:bottom w:val="nil"/>
              <w:right w:val="nil"/>
            </w:tcBorders>
            <w:shd w:val="clear" w:color="auto" w:fill="auto"/>
            <w:noWrap/>
            <w:vAlign w:val="center"/>
            <w:hideMark/>
          </w:tcPr>
          <w:p w14:paraId="4C32CF40" w14:textId="77777777" w:rsidR="00387142" w:rsidRPr="008B6A75" w:rsidRDefault="00387142" w:rsidP="00387142">
            <w:pPr>
              <w:jc w:val="center"/>
              <w:rPr>
                <w:sz w:val="20"/>
                <w:szCs w:val="20"/>
              </w:rPr>
            </w:pPr>
            <w:r w:rsidRPr="008B6A75">
              <w:rPr>
                <w:sz w:val="20"/>
                <w:szCs w:val="20"/>
              </w:rPr>
              <w:t>444</w:t>
            </w:r>
          </w:p>
        </w:tc>
        <w:tc>
          <w:tcPr>
            <w:tcW w:w="709" w:type="dxa"/>
            <w:tcBorders>
              <w:top w:val="nil"/>
              <w:left w:val="single" w:sz="4" w:space="0" w:color="auto"/>
              <w:bottom w:val="nil"/>
              <w:right w:val="nil"/>
            </w:tcBorders>
            <w:shd w:val="clear" w:color="auto" w:fill="auto"/>
            <w:noWrap/>
            <w:vAlign w:val="center"/>
            <w:hideMark/>
          </w:tcPr>
          <w:p w14:paraId="5445AA88" w14:textId="77777777" w:rsidR="00387142" w:rsidRPr="008B6A75" w:rsidRDefault="00387142" w:rsidP="00387142">
            <w:pPr>
              <w:jc w:val="center"/>
              <w:rPr>
                <w:sz w:val="20"/>
                <w:szCs w:val="20"/>
              </w:rPr>
            </w:pPr>
            <w:r w:rsidRPr="008B6A75">
              <w:rPr>
                <w:sz w:val="20"/>
                <w:szCs w:val="20"/>
              </w:rPr>
              <w:t>01</w:t>
            </w:r>
          </w:p>
        </w:tc>
        <w:tc>
          <w:tcPr>
            <w:tcW w:w="709" w:type="dxa"/>
            <w:tcBorders>
              <w:top w:val="nil"/>
              <w:left w:val="single" w:sz="4" w:space="0" w:color="auto"/>
              <w:bottom w:val="nil"/>
              <w:right w:val="single" w:sz="4" w:space="0" w:color="auto"/>
            </w:tcBorders>
            <w:shd w:val="clear" w:color="auto" w:fill="auto"/>
            <w:noWrap/>
            <w:vAlign w:val="center"/>
            <w:hideMark/>
          </w:tcPr>
          <w:p w14:paraId="0FAC0CE9" w14:textId="77777777" w:rsidR="00387142" w:rsidRPr="008B6A75" w:rsidRDefault="00387142" w:rsidP="00387142">
            <w:pPr>
              <w:jc w:val="center"/>
              <w:rPr>
                <w:sz w:val="20"/>
                <w:szCs w:val="20"/>
              </w:rPr>
            </w:pPr>
            <w:r w:rsidRPr="008B6A75">
              <w:rPr>
                <w:sz w:val="20"/>
                <w:szCs w:val="20"/>
              </w:rPr>
              <w:t>04</w:t>
            </w:r>
          </w:p>
        </w:tc>
        <w:tc>
          <w:tcPr>
            <w:tcW w:w="1411" w:type="dxa"/>
            <w:tcBorders>
              <w:top w:val="nil"/>
              <w:left w:val="single" w:sz="4" w:space="0" w:color="auto"/>
              <w:bottom w:val="nil"/>
              <w:right w:val="nil"/>
            </w:tcBorders>
            <w:shd w:val="clear" w:color="auto" w:fill="auto"/>
            <w:noWrap/>
            <w:vAlign w:val="center"/>
            <w:hideMark/>
          </w:tcPr>
          <w:p w14:paraId="5677F087" w14:textId="77777777" w:rsidR="00387142" w:rsidRPr="008B6A75" w:rsidRDefault="00387142" w:rsidP="00387142">
            <w:pPr>
              <w:jc w:val="center"/>
              <w:rPr>
                <w:sz w:val="20"/>
                <w:szCs w:val="20"/>
              </w:rPr>
            </w:pPr>
            <w:r w:rsidRPr="008B6A75">
              <w:rPr>
                <w:sz w:val="20"/>
                <w:szCs w:val="20"/>
              </w:rPr>
              <w:t>99.0.00.70230</w:t>
            </w:r>
          </w:p>
        </w:tc>
        <w:tc>
          <w:tcPr>
            <w:tcW w:w="955" w:type="dxa"/>
            <w:tcBorders>
              <w:top w:val="nil"/>
              <w:left w:val="single" w:sz="4" w:space="0" w:color="auto"/>
              <w:bottom w:val="nil"/>
              <w:right w:val="single" w:sz="4" w:space="0" w:color="auto"/>
            </w:tcBorders>
            <w:shd w:val="clear" w:color="auto" w:fill="auto"/>
            <w:noWrap/>
            <w:vAlign w:val="center"/>
            <w:hideMark/>
          </w:tcPr>
          <w:p w14:paraId="5253597D" w14:textId="77777777" w:rsidR="00387142" w:rsidRPr="008B6A75" w:rsidRDefault="00387142" w:rsidP="00387142">
            <w:pPr>
              <w:jc w:val="center"/>
              <w:rPr>
                <w:sz w:val="20"/>
                <w:szCs w:val="20"/>
              </w:rPr>
            </w:pPr>
            <w:r w:rsidRPr="008B6A75">
              <w:rPr>
                <w:sz w:val="20"/>
                <w:szCs w:val="20"/>
              </w:rPr>
              <w:t>200</w:t>
            </w:r>
          </w:p>
        </w:tc>
        <w:tc>
          <w:tcPr>
            <w:tcW w:w="992" w:type="dxa"/>
            <w:tcBorders>
              <w:top w:val="nil"/>
              <w:left w:val="single" w:sz="4" w:space="0" w:color="auto"/>
              <w:bottom w:val="nil"/>
              <w:right w:val="single" w:sz="4" w:space="0" w:color="auto"/>
            </w:tcBorders>
            <w:shd w:val="clear" w:color="auto" w:fill="auto"/>
            <w:noWrap/>
            <w:vAlign w:val="center"/>
            <w:hideMark/>
          </w:tcPr>
          <w:p w14:paraId="629CE035" w14:textId="77777777" w:rsidR="00387142" w:rsidRPr="008B6A75" w:rsidRDefault="00387142" w:rsidP="00387142">
            <w:pPr>
              <w:jc w:val="right"/>
              <w:rPr>
                <w:sz w:val="20"/>
                <w:szCs w:val="20"/>
              </w:rPr>
            </w:pPr>
            <w:r w:rsidRPr="008B6A75">
              <w:rPr>
                <w:sz w:val="20"/>
                <w:szCs w:val="20"/>
              </w:rPr>
              <w:t>18 956,67</w:t>
            </w:r>
          </w:p>
        </w:tc>
        <w:tc>
          <w:tcPr>
            <w:tcW w:w="992" w:type="dxa"/>
            <w:gridSpan w:val="2"/>
            <w:tcBorders>
              <w:top w:val="nil"/>
              <w:left w:val="single" w:sz="4" w:space="0" w:color="auto"/>
              <w:bottom w:val="nil"/>
              <w:right w:val="nil"/>
            </w:tcBorders>
            <w:shd w:val="clear" w:color="auto" w:fill="auto"/>
            <w:noWrap/>
            <w:vAlign w:val="center"/>
            <w:hideMark/>
          </w:tcPr>
          <w:p w14:paraId="37523C41" w14:textId="77777777" w:rsidR="00387142" w:rsidRPr="008B6A75" w:rsidRDefault="00387142" w:rsidP="00387142">
            <w:pPr>
              <w:jc w:val="right"/>
              <w:rPr>
                <w:sz w:val="20"/>
                <w:szCs w:val="20"/>
              </w:rPr>
            </w:pPr>
            <w:r w:rsidRPr="008B6A75">
              <w:rPr>
                <w:sz w:val="20"/>
                <w:szCs w:val="20"/>
              </w:rPr>
              <w:t>19 495,00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68DE4BC6" w14:textId="77777777" w:rsidR="00387142" w:rsidRPr="008B6A75" w:rsidRDefault="00387142" w:rsidP="00387142">
            <w:pPr>
              <w:jc w:val="right"/>
              <w:rPr>
                <w:sz w:val="20"/>
                <w:szCs w:val="20"/>
              </w:rPr>
            </w:pPr>
            <w:r w:rsidRPr="008B6A75">
              <w:rPr>
                <w:sz w:val="20"/>
                <w:szCs w:val="20"/>
              </w:rPr>
              <w:t>20 475,00</w:t>
            </w:r>
          </w:p>
        </w:tc>
        <w:tc>
          <w:tcPr>
            <w:tcW w:w="222" w:type="dxa"/>
            <w:vAlign w:val="center"/>
            <w:hideMark/>
          </w:tcPr>
          <w:p w14:paraId="330DD3AE" w14:textId="77777777" w:rsidR="00387142" w:rsidRPr="008B6A75" w:rsidRDefault="00387142" w:rsidP="00387142">
            <w:pPr>
              <w:rPr>
                <w:sz w:val="20"/>
                <w:szCs w:val="20"/>
              </w:rPr>
            </w:pPr>
          </w:p>
        </w:tc>
      </w:tr>
      <w:tr w:rsidR="00387142" w:rsidRPr="008B6A75" w14:paraId="69A5798C" w14:textId="77777777" w:rsidTr="00387142">
        <w:trPr>
          <w:trHeight w:val="870"/>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76A0CCCA" w14:textId="77777777" w:rsidR="00387142" w:rsidRPr="008B6A75" w:rsidRDefault="00387142" w:rsidP="00387142">
            <w:pPr>
              <w:rPr>
                <w:sz w:val="20"/>
                <w:szCs w:val="20"/>
              </w:rPr>
            </w:pPr>
            <w:r w:rsidRPr="008B6A75">
              <w:rPr>
                <w:sz w:val="20"/>
                <w:szCs w:val="20"/>
              </w:rPr>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11DD53CD" w14:textId="77777777" w:rsidR="00387142" w:rsidRPr="008B6A75" w:rsidRDefault="00387142" w:rsidP="00387142">
            <w:pPr>
              <w:jc w:val="center"/>
              <w:rPr>
                <w:sz w:val="20"/>
                <w:szCs w:val="20"/>
              </w:rPr>
            </w:pPr>
            <w:r w:rsidRPr="008B6A75">
              <w:rPr>
                <w:sz w:val="20"/>
                <w:szCs w:val="20"/>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72E4A108" w14:textId="77777777" w:rsidR="00387142" w:rsidRPr="008B6A75" w:rsidRDefault="00387142" w:rsidP="00387142">
            <w:pPr>
              <w:jc w:val="center"/>
              <w:rPr>
                <w:sz w:val="20"/>
                <w:szCs w:val="20"/>
              </w:rPr>
            </w:pPr>
            <w:r w:rsidRPr="008B6A75">
              <w:rPr>
                <w:sz w:val="20"/>
                <w:szCs w:val="20"/>
              </w:rPr>
              <w:t>01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02ADA3" w14:textId="77777777" w:rsidR="00387142" w:rsidRPr="008B6A75" w:rsidRDefault="00387142" w:rsidP="00387142">
            <w:pPr>
              <w:jc w:val="center"/>
              <w:rPr>
                <w:sz w:val="20"/>
                <w:szCs w:val="20"/>
              </w:rPr>
            </w:pPr>
            <w:r w:rsidRPr="008B6A75">
              <w:rPr>
                <w:sz w:val="20"/>
                <w:szCs w:val="20"/>
              </w:rPr>
              <w:t>04</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29CC1843" w14:textId="77777777" w:rsidR="00387142" w:rsidRPr="008B6A75" w:rsidRDefault="00387142" w:rsidP="00387142">
            <w:pPr>
              <w:jc w:val="center"/>
              <w:rPr>
                <w:sz w:val="20"/>
                <w:szCs w:val="20"/>
              </w:rPr>
            </w:pPr>
            <w:r w:rsidRPr="008B6A75">
              <w:rPr>
                <w:sz w:val="20"/>
                <w:szCs w:val="20"/>
              </w:rPr>
              <w:t>99.0.00.70230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CB9836" w14:textId="77777777" w:rsidR="00387142" w:rsidRPr="008B6A75" w:rsidRDefault="00387142" w:rsidP="00387142">
            <w:pPr>
              <w:jc w:val="center"/>
              <w:rPr>
                <w:sz w:val="20"/>
                <w:szCs w:val="20"/>
              </w:rPr>
            </w:pPr>
            <w:r w:rsidRPr="008B6A75">
              <w:rPr>
                <w:sz w:val="20"/>
                <w:szCs w:val="20"/>
              </w:rPr>
              <w:t>240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9B093D" w14:textId="77777777" w:rsidR="00387142" w:rsidRPr="008B6A75" w:rsidRDefault="00387142" w:rsidP="00387142">
            <w:pPr>
              <w:jc w:val="right"/>
              <w:rPr>
                <w:sz w:val="20"/>
                <w:szCs w:val="20"/>
              </w:rPr>
            </w:pPr>
            <w:r w:rsidRPr="008B6A75">
              <w:rPr>
                <w:sz w:val="20"/>
                <w:szCs w:val="20"/>
              </w:rPr>
              <w:t>18 956,67</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5CBE36C9" w14:textId="77777777" w:rsidR="00387142" w:rsidRPr="008B6A75" w:rsidRDefault="00387142" w:rsidP="00387142">
            <w:pPr>
              <w:jc w:val="right"/>
              <w:rPr>
                <w:sz w:val="20"/>
                <w:szCs w:val="20"/>
              </w:rPr>
            </w:pPr>
            <w:r w:rsidRPr="008B6A75">
              <w:rPr>
                <w:sz w:val="20"/>
                <w:szCs w:val="20"/>
              </w:rPr>
              <w:t>19 495,00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489DC1" w14:textId="77777777" w:rsidR="00387142" w:rsidRPr="008B6A75" w:rsidRDefault="00387142" w:rsidP="00387142">
            <w:pPr>
              <w:jc w:val="right"/>
              <w:rPr>
                <w:sz w:val="20"/>
                <w:szCs w:val="20"/>
              </w:rPr>
            </w:pPr>
            <w:r w:rsidRPr="008B6A75">
              <w:rPr>
                <w:sz w:val="20"/>
                <w:szCs w:val="20"/>
              </w:rPr>
              <w:t>20 475,00</w:t>
            </w:r>
          </w:p>
        </w:tc>
        <w:tc>
          <w:tcPr>
            <w:tcW w:w="222" w:type="dxa"/>
            <w:vAlign w:val="center"/>
            <w:hideMark/>
          </w:tcPr>
          <w:p w14:paraId="64D8BBB2" w14:textId="77777777" w:rsidR="00387142" w:rsidRPr="008B6A75" w:rsidRDefault="00387142" w:rsidP="00387142">
            <w:pPr>
              <w:rPr>
                <w:sz w:val="20"/>
                <w:szCs w:val="20"/>
              </w:rPr>
            </w:pPr>
          </w:p>
        </w:tc>
      </w:tr>
      <w:tr w:rsidR="00387142" w:rsidRPr="008B6A75" w14:paraId="6533F933" w14:textId="77777777" w:rsidTr="00387142">
        <w:trPr>
          <w:trHeight w:val="1155"/>
        </w:trPr>
        <w:tc>
          <w:tcPr>
            <w:tcW w:w="3021" w:type="dxa"/>
            <w:tcBorders>
              <w:top w:val="nil"/>
              <w:left w:val="single" w:sz="4" w:space="0" w:color="auto"/>
              <w:bottom w:val="nil"/>
              <w:right w:val="nil"/>
            </w:tcBorders>
            <w:shd w:val="clear" w:color="auto" w:fill="auto"/>
            <w:vAlign w:val="center"/>
            <w:hideMark/>
          </w:tcPr>
          <w:p w14:paraId="0C34E08E" w14:textId="77777777" w:rsidR="00387142" w:rsidRPr="008B6A75" w:rsidRDefault="00387142" w:rsidP="00387142">
            <w:pPr>
              <w:rPr>
                <w:bCs/>
                <w:sz w:val="20"/>
                <w:szCs w:val="20"/>
              </w:rPr>
            </w:pPr>
            <w:r w:rsidRPr="008B6A75">
              <w:rPr>
                <w:bCs/>
                <w:sz w:val="20"/>
                <w:szCs w:val="20"/>
              </w:rPr>
              <w:t>Организация и осуществление деятельности по опеке и попечительству, социальной поддержке детей-сирот и детей, оставшихся без попечения родителей</w:t>
            </w:r>
          </w:p>
        </w:tc>
        <w:tc>
          <w:tcPr>
            <w:tcW w:w="850" w:type="dxa"/>
            <w:tcBorders>
              <w:top w:val="nil"/>
              <w:left w:val="single" w:sz="4" w:space="0" w:color="auto"/>
              <w:bottom w:val="nil"/>
              <w:right w:val="nil"/>
            </w:tcBorders>
            <w:shd w:val="clear" w:color="auto" w:fill="auto"/>
            <w:noWrap/>
            <w:vAlign w:val="center"/>
            <w:hideMark/>
          </w:tcPr>
          <w:p w14:paraId="63976241" w14:textId="77777777" w:rsidR="00387142" w:rsidRPr="008B6A75" w:rsidRDefault="00387142" w:rsidP="00387142">
            <w:pPr>
              <w:jc w:val="center"/>
              <w:rPr>
                <w:bCs/>
                <w:sz w:val="20"/>
                <w:szCs w:val="20"/>
              </w:rPr>
            </w:pPr>
            <w:r w:rsidRPr="008B6A75">
              <w:rPr>
                <w:bCs/>
                <w:sz w:val="20"/>
                <w:szCs w:val="20"/>
              </w:rPr>
              <w:t>444</w:t>
            </w:r>
          </w:p>
        </w:tc>
        <w:tc>
          <w:tcPr>
            <w:tcW w:w="709" w:type="dxa"/>
            <w:tcBorders>
              <w:top w:val="nil"/>
              <w:left w:val="single" w:sz="4" w:space="0" w:color="auto"/>
              <w:bottom w:val="nil"/>
              <w:right w:val="nil"/>
            </w:tcBorders>
            <w:shd w:val="clear" w:color="auto" w:fill="auto"/>
            <w:noWrap/>
            <w:vAlign w:val="center"/>
            <w:hideMark/>
          </w:tcPr>
          <w:p w14:paraId="41A13A12" w14:textId="77777777" w:rsidR="00387142" w:rsidRPr="008B6A75" w:rsidRDefault="00387142" w:rsidP="00387142">
            <w:pPr>
              <w:jc w:val="center"/>
              <w:rPr>
                <w:bCs/>
                <w:sz w:val="20"/>
                <w:szCs w:val="20"/>
              </w:rPr>
            </w:pPr>
            <w:r w:rsidRPr="008B6A75">
              <w:rPr>
                <w:bCs/>
                <w:sz w:val="20"/>
                <w:szCs w:val="20"/>
              </w:rPr>
              <w:t>01</w:t>
            </w:r>
          </w:p>
        </w:tc>
        <w:tc>
          <w:tcPr>
            <w:tcW w:w="709" w:type="dxa"/>
            <w:tcBorders>
              <w:top w:val="nil"/>
              <w:left w:val="single" w:sz="4" w:space="0" w:color="auto"/>
              <w:bottom w:val="nil"/>
              <w:right w:val="single" w:sz="4" w:space="0" w:color="auto"/>
            </w:tcBorders>
            <w:shd w:val="clear" w:color="auto" w:fill="auto"/>
            <w:noWrap/>
            <w:vAlign w:val="center"/>
            <w:hideMark/>
          </w:tcPr>
          <w:p w14:paraId="613D91F0" w14:textId="77777777" w:rsidR="00387142" w:rsidRPr="008B6A75" w:rsidRDefault="00387142" w:rsidP="00387142">
            <w:pPr>
              <w:jc w:val="center"/>
              <w:rPr>
                <w:bCs/>
                <w:sz w:val="20"/>
                <w:szCs w:val="20"/>
              </w:rPr>
            </w:pPr>
            <w:r w:rsidRPr="008B6A75">
              <w:rPr>
                <w:bCs/>
                <w:sz w:val="20"/>
                <w:szCs w:val="20"/>
              </w:rPr>
              <w:t>04</w:t>
            </w:r>
          </w:p>
        </w:tc>
        <w:tc>
          <w:tcPr>
            <w:tcW w:w="1411" w:type="dxa"/>
            <w:tcBorders>
              <w:top w:val="nil"/>
              <w:left w:val="single" w:sz="4" w:space="0" w:color="auto"/>
              <w:bottom w:val="nil"/>
              <w:right w:val="nil"/>
            </w:tcBorders>
            <w:shd w:val="clear" w:color="auto" w:fill="auto"/>
            <w:noWrap/>
            <w:vAlign w:val="center"/>
            <w:hideMark/>
          </w:tcPr>
          <w:p w14:paraId="12149662" w14:textId="77777777" w:rsidR="00387142" w:rsidRPr="008B6A75" w:rsidRDefault="00387142" w:rsidP="00387142">
            <w:pPr>
              <w:jc w:val="center"/>
              <w:rPr>
                <w:bCs/>
                <w:sz w:val="20"/>
                <w:szCs w:val="20"/>
              </w:rPr>
            </w:pPr>
            <w:r w:rsidRPr="008B6A75">
              <w:rPr>
                <w:bCs/>
                <w:sz w:val="20"/>
                <w:szCs w:val="20"/>
              </w:rPr>
              <w:t>99.0.00.70289</w:t>
            </w:r>
          </w:p>
        </w:tc>
        <w:tc>
          <w:tcPr>
            <w:tcW w:w="955" w:type="dxa"/>
            <w:tcBorders>
              <w:top w:val="nil"/>
              <w:left w:val="single" w:sz="4" w:space="0" w:color="auto"/>
              <w:bottom w:val="nil"/>
              <w:right w:val="single" w:sz="4" w:space="0" w:color="auto"/>
            </w:tcBorders>
            <w:shd w:val="clear" w:color="auto" w:fill="auto"/>
            <w:noWrap/>
            <w:vAlign w:val="center"/>
            <w:hideMark/>
          </w:tcPr>
          <w:p w14:paraId="3AD9DA2F"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nil"/>
              <w:right w:val="single" w:sz="4" w:space="0" w:color="auto"/>
            </w:tcBorders>
            <w:shd w:val="clear" w:color="auto" w:fill="auto"/>
            <w:noWrap/>
            <w:vAlign w:val="center"/>
            <w:hideMark/>
          </w:tcPr>
          <w:p w14:paraId="529419D6" w14:textId="77777777" w:rsidR="00387142" w:rsidRPr="008B6A75" w:rsidRDefault="00387142" w:rsidP="00387142">
            <w:pPr>
              <w:jc w:val="right"/>
              <w:rPr>
                <w:bCs/>
                <w:sz w:val="20"/>
                <w:szCs w:val="20"/>
              </w:rPr>
            </w:pPr>
            <w:r w:rsidRPr="008B6A75">
              <w:rPr>
                <w:bCs/>
                <w:sz w:val="20"/>
                <w:szCs w:val="20"/>
              </w:rPr>
              <w:t>4 266 534,77</w:t>
            </w:r>
          </w:p>
        </w:tc>
        <w:tc>
          <w:tcPr>
            <w:tcW w:w="992" w:type="dxa"/>
            <w:gridSpan w:val="2"/>
            <w:tcBorders>
              <w:top w:val="nil"/>
              <w:left w:val="single" w:sz="4" w:space="0" w:color="auto"/>
              <w:bottom w:val="nil"/>
              <w:right w:val="nil"/>
            </w:tcBorders>
            <w:shd w:val="clear" w:color="auto" w:fill="auto"/>
            <w:noWrap/>
            <w:vAlign w:val="center"/>
            <w:hideMark/>
          </w:tcPr>
          <w:p w14:paraId="16AFFBA4" w14:textId="77777777" w:rsidR="00387142" w:rsidRPr="008B6A75" w:rsidRDefault="00387142" w:rsidP="00387142">
            <w:pPr>
              <w:jc w:val="right"/>
              <w:rPr>
                <w:bCs/>
                <w:sz w:val="20"/>
                <w:szCs w:val="20"/>
              </w:rPr>
            </w:pPr>
            <w:r w:rsidRPr="008B6A75">
              <w:rPr>
                <w:bCs/>
                <w:sz w:val="20"/>
                <w:szCs w:val="20"/>
              </w:rPr>
              <w:t>3 977 000,00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78556E55" w14:textId="77777777" w:rsidR="00387142" w:rsidRPr="008B6A75" w:rsidRDefault="00387142" w:rsidP="00387142">
            <w:pPr>
              <w:jc w:val="right"/>
              <w:rPr>
                <w:bCs/>
                <w:sz w:val="20"/>
                <w:szCs w:val="20"/>
              </w:rPr>
            </w:pPr>
            <w:r w:rsidRPr="008B6A75">
              <w:rPr>
                <w:bCs/>
                <w:sz w:val="20"/>
                <w:szCs w:val="20"/>
              </w:rPr>
              <w:t>4 107 000,00</w:t>
            </w:r>
          </w:p>
        </w:tc>
        <w:tc>
          <w:tcPr>
            <w:tcW w:w="222" w:type="dxa"/>
            <w:vAlign w:val="center"/>
            <w:hideMark/>
          </w:tcPr>
          <w:p w14:paraId="0076B615" w14:textId="77777777" w:rsidR="00387142" w:rsidRPr="008B6A75" w:rsidRDefault="00387142" w:rsidP="00387142">
            <w:pPr>
              <w:rPr>
                <w:sz w:val="20"/>
                <w:szCs w:val="20"/>
              </w:rPr>
            </w:pPr>
          </w:p>
        </w:tc>
      </w:tr>
      <w:tr w:rsidR="00387142" w:rsidRPr="008B6A75" w14:paraId="7283A39C" w14:textId="77777777" w:rsidTr="00387142">
        <w:trPr>
          <w:trHeight w:val="1440"/>
        </w:trPr>
        <w:tc>
          <w:tcPr>
            <w:tcW w:w="3021" w:type="dxa"/>
            <w:tcBorders>
              <w:top w:val="single" w:sz="4" w:space="0" w:color="auto"/>
              <w:left w:val="single" w:sz="4" w:space="0" w:color="auto"/>
              <w:bottom w:val="nil"/>
              <w:right w:val="nil"/>
            </w:tcBorders>
            <w:shd w:val="clear" w:color="auto" w:fill="auto"/>
            <w:vAlign w:val="center"/>
            <w:hideMark/>
          </w:tcPr>
          <w:p w14:paraId="15EC14DD" w14:textId="77777777" w:rsidR="00387142" w:rsidRPr="008B6A75" w:rsidRDefault="00387142" w:rsidP="00387142">
            <w:pPr>
              <w:rPr>
                <w:sz w:val="20"/>
                <w:szCs w:val="20"/>
              </w:rPr>
            </w:pPr>
            <w:r w:rsidRPr="008B6A7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nil"/>
              <w:right w:val="nil"/>
            </w:tcBorders>
            <w:shd w:val="clear" w:color="auto" w:fill="auto"/>
            <w:noWrap/>
            <w:vAlign w:val="center"/>
            <w:hideMark/>
          </w:tcPr>
          <w:p w14:paraId="1CE9207A" w14:textId="77777777" w:rsidR="00387142" w:rsidRPr="008B6A75" w:rsidRDefault="00387142" w:rsidP="00387142">
            <w:pPr>
              <w:jc w:val="center"/>
              <w:rPr>
                <w:sz w:val="20"/>
                <w:szCs w:val="20"/>
              </w:rPr>
            </w:pPr>
            <w:r w:rsidRPr="008B6A75">
              <w:rPr>
                <w:sz w:val="20"/>
                <w:szCs w:val="20"/>
              </w:rPr>
              <w:t>444</w:t>
            </w:r>
          </w:p>
        </w:tc>
        <w:tc>
          <w:tcPr>
            <w:tcW w:w="709" w:type="dxa"/>
            <w:tcBorders>
              <w:top w:val="single" w:sz="4" w:space="0" w:color="auto"/>
              <w:left w:val="single" w:sz="4" w:space="0" w:color="auto"/>
              <w:bottom w:val="nil"/>
              <w:right w:val="nil"/>
            </w:tcBorders>
            <w:shd w:val="clear" w:color="auto" w:fill="auto"/>
            <w:noWrap/>
            <w:vAlign w:val="center"/>
            <w:hideMark/>
          </w:tcPr>
          <w:p w14:paraId="368FB905" w14:textId="77777777" w:rsidR="00387142" w:rsidRPr="008B6A75" w:rsidRDefault="00387142" w:rsidP="00387142">
            <w:pPr>
              <w:jc w:val="center"/>
              <w:rPr>
                <w:sz w:val="20"/>
                <w:szCs w:val="20"/>
              </w:rPr>
            </w:pPr>
            <w:r w:rsidRPr="008B6A75">
              <w:rPr>
                <w:sz w:val="20"/>
                <w:szCs w:val="20"/>
              </w:rPr>
              <w:t>01</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42B9C058" w14:textId="77777777" w:rsidR="00387142" w:rsidRPr="008B6A75" w:rsidRDefault="00387142" w:rsidP="00387142">
            <w:pPr>
              <w:jc w:val="center"/>
              <w:rPr>
                <w:sz w:val="20"/>
                <w:szCs w:val="20"/>
              </w:rPr>
            </w:pPr>
            <w:r w:rsidRPr="008B6A75">
              <w:rPr>
                <w:sz w:val="20"/>
                <w:szCs w:val="20"/>
              </w:rPr>
              <w:t>04</w:t>
            </w:r>
          </w:p>
        </w:tc>
        <w:tc>
          <w:tcPr>
            <w:tcW w:w="1411" w:type="dxa"/>
            <w:tcBorders>
              <w:top w:val="single" w:sz="4" w:space="0" w:color="auto"/>
              <w:left w:val="single" w:sz="4" w:space="0" w:color="auto"/>
              <w:bottom w:val="nil"/>
              <w:right w:val="nil"/>
            </w:tcBorders>
            <w:shd w:val="clear" w:color="auto" w:fill="auto"/>
            <w:noWrap/>
            <w:vAlign w:val="center"/>
            <w:hideMark/>
          </w:tcPr>
          <w:p w14:paraId="6B14CD67" w14:textId="77777777" w:rsidR="00387142" w:rsidRPr="008B6A75" w:rsidRDefault="00387142" w:rsidP="00387142">
            <w:pPr>
              <w:jc w:val="center"/>
              <w:rPr>
                <w:sz w:val="20"/>
                <w:szCs w:val="20"/>
              </w:rPr>
            </w:pPr>
            <w:r w:rsidRPr="008B6A75">
              <w:rPr>
                <w:sz w:val="20"/>
                <w:szCs w:val="20"/>
              </w:rPr>
              <w:t>99.0.00.70289</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1818D5AB" w14:textId="77777777" w:rsidR="00387142" w:rsidRPr="008B6A75" w:rsidRDefault="00387142" w:rsidP="00387142">
            <w:pPr>
              <w:jc w:val="center"/>
              <w:rPr>
                <w:sz w:val="20"/>
                <w:szCs w:val="20"/>
              </w:rPr>
            </w:pPr>
            <w:r w:rsidRPr="008B6A75">
              <w:rPr>
                <w:sz w:val="20"/>
                <w:szCs w:val="20"/>
              </w:rPr>
              <w:t>100</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0BC9AE4E" w14:textId="77777777" w:rsidR="00387142" w:rsidRPr="008B6A75" w:rsidRDefault="00387142" w:rsidP="00387142">
            <w:pPr>
              <w:jc w:val="right"/>
              <w:rPr>
                <w:sz w:val="20"/>
                <w:szCs w:val="20"/>
              </w:rPr>
            </w:pPr>
            <w:r w:rsidRPr="008B6A75">
              <w:rPr>
                <w:sz w:val="20"/>
                <w:szCs w:val="20"/>
              </w:rPr>
              <w:t>3 878 628,85</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5330AE1E" w14:textId="77777777" w:rsidR="00387142" w:rsidRPr="008B6A75" w:rsidRDefault="00387142" w:rsidP="00387142">
            <w:pPr>
              <w:jc w:val="right"/>
              <w:rPr>
                <w:sz w:val="20"/>
                <w:szCs w:val="20"/>
              </w:rPr>
            </w:pPr>
            <w:r w:rsidRPr="008B6A75">
              <w:rPr>
                <w:sz w:val="20"/>
                <w:szCs w:val="20"/>
              </w:rPr>
              <w:t>3 627 032,24</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0D948F31" w14:textId="77777777" w:rsidR="00387142" w:rsidRPr="008B6A75" w:rsidRDefault="00387142" w:rsidP="00387142">
            <w:pPr>
              <w:jc w:val="right"/>
              <w:rPr>
                <w:sz w:val="20"/>
                <w:szCs w:val="20"/>
              </w:rPr>
            </w:pPr>
            <w:r w:rsidRPr="008B6A75">
              <w:rPr>
                <w:sz w:val="20"/>
                <w:szCs w:val="20"/>
              </w:rPr>
              <w:t>3 773 843,93</w:t>
            </w:r>
          </w:p>
        </w:tc>
        <w:tc>
          <w:tcPr>
            <w:tcW w:w="222" w:type="dxa"/>
            <w:vAlign w:val="center"/>
            <w:hideMark/>
          </w:tcPr>
          <w:p w14:paraId="1745F98F" w14:textId="77777777" w:rsidR="00387142" w:rsidRPr="008B6A75" w:rsidRDefault="00387142" w:rsidP="00387142">
            <w:pPr>
              <w:rPr>
                <w:sz w:val="20"/>
                <w:szCs w:val="20"/>
              </w:rPr>
            </w:pPr>
          </w:p>
        </w:tc>
      </w:tr>
      <w:tr w:rsidR="00387142" w:rsidRPr="008B6A75" w14:paraId="43B0F94D" w14:textId="77777777" w:rsidTr="00387142">
        <w:trPr>
          <w:trHeight w:val="585"/>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3F288E82" w14:textId="77777777" w:rsidR="00387142" w:rsidRPr="008B6A75" w:rsidRDefault="00387142" w:rsidP="00387142">
            <w:pPr>
              <w:rPr>
                <w:sz w:val="20"/>
                <w:szCs w:val="20"/>
              </w:rPr>
            </w:pPr>
            <w:r w:rsidRPr="008B6A75">
              <w:rPr>
                <w:sz w:val="20"/>
                <w:szCs w:val="20"/>
              </w:rPr>
              <w:t>Расходы на выплаты персоналу государственных (муниципальных) органов</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11EFEE5E" w14:textId="77777777" w:rsidR="00387142" w:rsidRPr="008B6A75" w:rsidRDefault="00387142" w:rsidP="00387142">
            <w:pPr>
              <w:jc w:val="center"/>
              <w:rPr>
                <w:sz w:val="20"/>
                <w:szCs w:val="20"/>
              </w:rPr>
            </w:pPr>
            <w:r w:rsidRPr="008B6A75">
              <w:rPr>
                <w:sz w:val="20"/>
                <w:szCs w:val="20"/>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3C983728" w14:textId="77777777" w:rsidR="00387142" w:rsidRPr="008B6A75" w:rsidRDefault="00387142" w:rsidP="00387142">
            <w:pPr>
              <w:jc w:val="center"/>
              <w:rPr>
                <w:sz w:val="20"/>
                <w:szCs w:val="20"/>
              </w:rPr>
            </w:pPr>
            <w:r w:rsidRPr="008B6A75">
              <w:rPr>
                <w:sz w:val="20"/>
                <w:szCs w:val="20"/>
              </w:rPr>
              <w:t>01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88DD69" w14:textId="77777777" w:rsidR="00387142" w:rsidRPr="008B6A75" w:rsidRDefault="00387142" w:rsidP="00387142">
            <w:pPr>
              <w:jc w:val="center"/>
              <w:rPr>
                <w:sz w:val="20"/>
                <w:szCs w:val="20"/>
              </w:rPr>
            </w:pPr>
            <w:r w:rsidRPr="008B6A75">
              <w:rPr>
                <w:sz w:val="20"/>
                <w:szCs w:val="20"/>
              </w:rPr>
              <w:t>04</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3BA2E3DB" w14:textId="77777777" w:rsidR="00387142" w:rsidRPr="008B6A75" w:rsidRDefault="00387142" w:rsidP="00387142">
            <w:pPr>
              <w:jc w:val="center"/>
              <w:rPr>
                <w:sz w:val="20"/>
                <w:szCs w:val="20"/>
              </w:rPr>
            </w:pPr>
            <w:r w:rsidRPr="008B6A75">
              <w:rPr>
                <w:sz w:val="20"/>
                <w:szCs w:val="20"/>
              </w:rPr>
              <w:t>99.0.00.70289</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0C12CF" w14:textId="77777777" w:rsidR="00387142" w:rsidRPr="008B6A75" w:rsidRDefault="00387142" w:rsidP="00387142">
            <w:pPr>
              <w:jc w:val="center"/>
              <w:rPr>
                <w:sz w:val="20"/>
                <w:szCs w:val="20"/>
              </w:rPr>
            </w:pPr>
            <w:r w:rsidRPr="008B6A75">
              <w:rPr>
                <w:sz w:val="20"/>
                <w:szCs w:val="20"/>
              </w:rPr>
              <w:t>120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3A8FA1" w14:textId="77777777" w:rsidR="00387142" w:rsidRPr="008B6A75" w:rsidRDefault="00387142" w:rsidP="00387142">
            <w:pPr>
              <w:jc w:val="right"/>
              <w:rPr>
                <w:sz w:val="20"/>
                <w:szCs w:val="20"/>
              </w:rPr>
            </w:pPr>
            <w:r w:rsidRPr="008B6A75">
              <w:rPr>
                <w:sz w:val="20"/>
                <w:szCs w:val="20"/>
              </w:rPr>
              <w:t>3 878 628,85</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2EA4D3DA" w14:textId="77777777" w:rsidR="00387142" w:rsidRPr="008B6A75" w:rsidRDefault="00387142" w:rsidP="00387142">
            <w:pPr>
              <w:jc w:val="right"/>
              <w:rPr>
                <w:sz w:val="20"/>
                <w:szCs w:val="20"/>
              </w:rPr>
            </w:pPr>
            <w:r w:rsidRPr="008B6A75">
              <w:rPr>
                <w:sz w:val="20"/>
                <w:szCs w:val="20"/>
              </w:rPr>
              <w:t>3 627 032,24</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602D2A" w14:textId="77777777" w:rsidR="00387142" w:rsidRPr="008B6A75" w:rsidRDefault="00387142" w:rsidP="00387142">
            <w:pPr>
              <w:jc w:val="right"/>
              <w:rPr>
                <w:sz w:val="20"/>
                <w:szCs w:val="20"/>
              </w:rPr>
            </w:pPr>
            <w:r w:rsidRPr="008B6A75">
              <w:rPr>
                <w:sz w:val="20"/>
                <w:szCs w:val="20"/>
              </w:rPr>
              <w:t>3 773 843,93</w:t>
            </w:r>
          </w:p>
        </w:tc>
        <w:tc>
          <w:tcPr>
            <w:tcW w:w="222" w:type="dxa"/>
            <w:vAlign w:val="center"/>
            <w:hideMark/>
          </w:tcPr>
          <w:p w14:paraId="78B14500" w14:textId="77777777" w:rsidR="00387142" w:rsidRPr="008B6A75" w:rsidRDefault="00387142" w:rsidP="00387142">
            <w:pPr>
              <w:rPr>
                <w:sz w:val="20"/>
                <w:szCs w:val="20"/>
              </w:rPr>
            </w:pPr>
          </w:p>
        </w:tc>
      </w:tr>
      <w:tr w:rsidR="00387142" w:rsidRPr="008B6A75" w14:paraId="409F668B" w14:textId="77777777" w:rsidTr="00387142">
        <w:trPr>
          <w:trHeight w:val="585"/>
        </w:trPr>
        <w:tc>
          <w:tcPr>
            <w:tcW w:w="3021" w:type="dxa"/>
            <w:tcBorders>
              <w:top w:val="nil"/>
              <w:left w:val="single" w:sz="4" w:space="0" w:color="auto"/>
              <w:bottom w:val="nil"/>
              <w:right w:val="nil"/>
            </w:tcBorders>
            <w:shd w:val="clear" w:color="auto" w:fill="auto"/>
            <w:vAlign w:val="center"/>
            <w:hideMark/>
          </w:tcPr>
          <w:p w14:paraId="7758D2D0" w14:textId="77777777" w:rsidR="00387142" w:rsidRPr="008B6A75" w:rsidRDefault="00387142" w:rsidP="00387142">
            <w:pPr>
              <w:rPr>
                <w:sz w:val="20"/>
                <w:szCs w:val="20"/>
              </w:rPr>
            </w:pPr>
            <w:r w:rsidRPr="008B6A75">
              <w:rPr>
                <w:sz w:val="20"/>
                <w:szCs w:val="20"/>
              </w:rPr>
              <w:t>Закупка товаров, работ и услуг для обеспечения государственных (муниципальных) нужд</w:t>
            </w:r>
          </w:p>
        </w:tc>
        <w:tc>
          <w:tcPr>
            <w:tcW w:w="850" w:type="dxa"/>
            <w:tcBorders>
              <w:top w:val="nil"/>
              <w:left w:val="single" w:sz="4" w:space="0" w:color="auto"/>
              <w:bottom w:val="nil"/>
              <w:right w:val="nil"/>
            </w:tcBorders>
            <w:shd w:val="clear" w:color="auto" w:fill="auto"/>
            <w:noWrap/>
            <w:vAlign w:val="center"/>
            <w:hideMark/>
          </w:tcPr>
          <w:p w14:paraId="259C7F95" w14:textId="77777777" w:rsidR="00387142" w:rsidRPr="008B6A75" w:rsidRDefault="00387142" w:rsidP="00387142">
            <w:pPr>
              <w:jc w:val="center"/>
              <w:rPr>
                <w:sz w:val="20"/>
                <w:szCs w:val="20"/>
              </w:rPr>
            </w:pPr>
            <w:r w:rsidRPr="008B6A75">
              <w:rPr>
                <w:sz w:val="20"/>
                <w:szCs w:val="20"/>
              </w:rPr>
              <w:t>444</w:t>
            </w:r>
          </w:p>
        </w:tc>
        <w:tc>
          <w:tcPr>
            <w:tcW w:w="709" w:type="dxa"/>
            <w:tcBorders>
              <w:top w:val="nil"/>
              <w:left w:val="single" w:sz="4" w:space="0" w:color="auto"/>
              <w:bottom w:val="nil"/>
              <w:right w:val="nil"/>
            </w:tcBorders>
            <w:shd w:val="clear" w:color="auto" w:fill="auto"/>
            <w:noWrap/>
            <w:vAlign w:val="center"/>
            <w:hideMark/>
          </w:tcPr>
          <w:p w14:paraId="7FD74114" w14:textId="77777777" w:rsidR="00387142" w:rsidRPr="008B6A75" w:rsidRDefault="00387142" w:rsidP="00387142">
            <w:pPr>
              <w:jc w:val="center"/>
              <w:rPr>
                <w:sz w:val="20"/>
                <w:szCs w:val="20"/>
              </w:rPr>
            </w:pPr>
            <w:r w:rsidRPr="008B6A75">
              <w:rPr>
                <w:sz w:val="20"/>
                <w:szCs w:val="20"/>
              </w:rPr>
              <w:t>01</w:t>
            </w:r>
          </w:p>
        </w:tc>
        <w:tc>
          <w:tcPr>
            <w:tcW w:w="709" w:type="dxa"/>
            <w:tcBorders>
              <w:top w:val="nil"/>
              <w:left w:val="single" w:sz="4" w:space="0" w:color="auto"/>
              <w:bottom w:val="nil"/>
              <w:right w:val="single" w:sz="4" w:space="0" w:color="auto"/>
            </w:tcBorders>
            <w:shd w:val="clear" w:color="auto" w:fill="auto"/>
            <w:noWrap/>
            <w:vAlign w:val="center"/>
            <w:hideMark/>
          </w:tcPr>
          <w:p w14:paraId="7FE8A72E" w14:textId="77777777" w:rsidR="00387142" w:rsidRPr="008B6A75" w:rsidRDefault="00387142" w:rsidP="00387142">
            <w:pPr>
              <w:jc w:val="center"/>
              <w:rPr>
                <w:sz w:val="20"/>
                <w:szCs w:val="20"/>
              </w:rPr>
            </w:pPr>
            <w:r w:rsidRPr="008B6A75">
              <w:rPr>
                <w:sz w:val="20"/>
                <w:szCs w:val="20"/>
              </w:rPr>
              <w:t>04</w:t>
            </w:r>
          </w:p>
        </w:tc>
        <w:tc>
          <w:tcPr>
            <w:tcW w:w="1411" w:type="dxa"/>
            <w:tcBorders>
              <w:top w:val="nil"/>
              <w:left w:val="single" w:sz="4" w:space="0" w:color="auto"/>
              <w:bottom w:val="nil"/>
              <w:right w:val="nil"/>
            </w:tcBorders>
            <w:shd w:val="clear" w:color="auto" w:fill="auto"/>
            <w:noWrap/>
            <w:vAlign w:val="center"/>
            <w:hideMark/>
          </w:tcPr>
          <w:p w14:paraId="1B6286ED" w14:textId="77777777" w:rsidR="00387142" w:rsidRPr="008B6A75" w:rsidRDefault="00387142" w:rsidP="00387142">
            <w:pPr>
              <w:jc w:val="center"/>
              <w:rPr>
                <w:sz w:val="20"/>
                <w:szCs w:val="20"/>
              </w:rPr>
            </w:pPr>
            <w:r w:rsidRPr="008B6A75">
              <w:rPr>
                <w:sz w:val="20"/>
                <w:szCs w:val="20"/>
              </w:rPr>
              <w:t>99.0.00.70289</w:t>
            </w:r>
          </w:p>
        </w:tc>
        <w:tc>
          <w:tcPr>
            <w:tcW w:w="955" w:type="dxa"/>
            <w:tcBorders>
              <w:top w:val="nil"/>
              <w:left w:val="single" w:sz="4" w:space="0" w:color="auto"/>
              <w:bottom w:val="nil"/>
              <w:right w:val="single" w:sz="4" w:space="0" w:color="auto"/>
            </w:tcBorders>
            <w:shd w:val="clear" w:color="auto" w:fill="auto"/>
            <w:noWrap/>
            <w:vAlign w:val="center"/>
            <w:hideMark/>
          </w:tcPr>
          <w:p w14:paraId="2DDEE546" w14:textId="77777777" w:rsidR="00387142" w:rsidRPr="008B6A75" w:rsidRDefault="00387142" w:rsidP="00387142">
            <w:pPr>
              <w:jc w:val="center"/>
              <w:rPr>
                <w:sz w:val="20"/>
                <w:szCs w:val="20"/>
              </w:rPr>
            </w:pPr>
            <w:r w:rsidRPr="008B6A75">
              <w:rPr>
                <w:sz w:val="20"/>
                <w:szCs w:val="20"/>
              </w:rPr>
              <w:t>200</w:t>
            </w:r>
          </w:p>
        </w:tc>
        <w:tc>
          <w:tcPr>
            <w:tcW w:w="992" w:type="dxa"/>
            <w:tcBorders>
              <w:top w:val="nil"/>
              <w:left w:val="single" w:sz="4" w:space="0" w:color="auto"/>
              <w:bottom w:val="nil"/>
              <w:right w:val="single" w:sz="4" w:space="0" w:color="auto"/>
            </w:tcBorders>
            <w:shd w:val="clear" w:color="auto" w:fill="auto"/>
            <w:noWrap/>
            <w:vAlign w:val="center"/>
            <w:hideMark/>
          </w:tcPr>
          <w:p w14:paraId="5B0E8A97" w14:textId="77777777" w:rsidR="00387142" w:rsidRPr="008B6A75" w:rsidRDefault="00387142" w:rsidP="00387142">
            <w:pPr>
              <w:jc w:val="right"/>
              <w:rPr>
                <w:sz w:val="20"/>
                <w:szCs w:val="20"/>
              </w:rPr>
            </w:pPr>
            <w:r w:rsidRPr="008B6A75">
              <w:rPr>
                <w:sz w:val="20"/>
                <w:szCs w:val="20"/>
              </w:rPr>
              <w:t>387 905,92</w:t>
            </w:r>
          </w:p>
        </w:tc>
        <w:tc>
          <w:tcPr>
            <w:tcW w:w="992" w:type="dxa"/>
            <w:gridSpan w:val="2"/>
            <w:tcBorders>
              <w:top w:val="nil"/>
              <w:left w:val="single" w:sz="4" w:space="0" w:color="auto"/>
              <w:bottom w:val="nil"/>
              <w:right w:val="nil"/>
            </w:tcBorders>
            <w:shd w:val="clear" w:color="auto" w:fill="auto"/>
            <w:noWrap/>
            <w:vAlign w:val="center"/>
            <w:hideMark/>
          </w:tcPr>
          <w:p w14:paraId="57E7ACBA" w14:textId="77777777" w:rsidR="00387142" w:rsidRPr="008B6A75" w:rsidRDefault="00387142" w:rsidP="00387142">
            <w:pPr>
              <w:jc w:val="right"/>
              <w:rPr>
                <w:sz w:val="20"/>
                <w:szCs w:val="20"/>
              </w:rPr>
            </w:pPr>
            <w:r w:rsidRPr="008B6A75">
              <w:rPr>
                <w:sz w:val="20"/>
                <w:szCs w:val="20"/>
              </w:rPr>
              <w:t>349 967,76</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6DDA4EA8" w14:textId="77777777" w:rsidR="00387142" w:rsidRPr="008B6A75" w:rsidRDefault="00387142" w:rsidP="00387142">
            <w:pPr>
              <w:jc w:val="right"/>
              <w:rPr>
                <w:sz w:val="20"/>
                <w:szCs w:val="20"/>
              </w:rPr>
            </w:pPr>
            <w:r w:rsidRPr="008B6A75">
              <w:rPr>
                <w:sz w:val="20"/>
                <w:szCs w:val="20"/>
              </w:rPr>
              <w:t>333 156,07</w:t>
            </w:r>
          </w:p>
        </w:tc>
        <w:tc>
          <w:tcPr>
            <w:tcW w:w="222" w:type="dxa"/>
            <w:vAlign w:val="center"/>
            <w:hideMark/>
          </w:tcPr>
          <w:p w14:paraId="6B08833B" w14:textId="77777777" w:rsidR="00387142" w:rsidRPr="008B6A75" w:rsidRDefault="00387142" w:rsidP="00387142">
            <w:pPr>
              <w:rPr>
                <w:sz w:val="20"/>
                <w:szCs w:val="20"/>
              </w:rPr>
            </w:pPr>
          </w:p>
        </w:tc>
      </w:tr>
      <w:tr w:rsidR="00387142" w:rsidRPr="008B6A75" w14:paraId="58F17193" w14:textId="77777777" w:rsidTr="00387142">
        <w:trPr>
          <w:trHeight w:val="870"/>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3E2DC2EE" w14:textId="77777777" w:rsidR="00387142" w:rsidRPr="008B6A75" w:rsidRDefault="00387142" w:rsidP="00387142">
            <w:pPr>
              <w:rPr>
                <w:sz w:val="20"/>
                <w:szCs w:val="20"/>
              </w:rPr>
            </w:pPr>
            <w:r w:rsidRPr="008B6A75">
              <w:rPr>
                <w:sz w:val="20"/>
                <w:szCs w:val="20"/>
              </w:rPr>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7C9BF588" w14:textId="77777777" w:rsidR="00387142" w:rsidRPr="008B6A75" w:rsidRDefault="00387142" w:rsidP="00387142">
            <w:pPr>
              <w:jc w:val="center"/>
              <w:rPr>
                <w:sz w:val="20"/>
                <w:szCs w:val="20"/>
              </w:rPr>
            </w:pPr>
            <w:r w:rsidRPr="008B6A75">
              <w:rPr>
                <w:sz w:val="20"/>
                <w:szCs w:val="20"/>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062750C8" w14:textId="77777777" w:rsidR="00387142" w:rsidRPr="008B6A75" w:rsidRDefault="00387142" w:rsidP="00387142">
            <w:pPr>
              <w:jc w:val="center"/>
              <w:rPr>
                <w:sz w:val="20"/>
                <w:szCs w:val="20"/>
              </w:rPr>
            </w:pPr>
            <w:r w:rsidRPr="008B6A75">
              <w:rPr>
                <w:sz w:val="20"/>
                <w:szCs w:val="20"/>
              </w:rPr>
              <w:t>01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52AB33" w14:textId="77777777" w:rsidR="00387142" w:rsidRPr="008B6A75" w:rsidRDefault="00387142" w:rsidP="00387142">
            <w:pPr>
              <w:jc w:val="center"/>
              <w:rPr>
                <w:sz w:val="20"/>
                <w:szCs w:val="20"/>
              </w:rPr>
            </w:pPr>
            <w:r w:rsidRPr="008B6A75">
              <w:rPr>
                <w:sz w:val="20"/>
                <w:szCs w:val="20"/>
              </w:rPr>
              <w:t>04</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577E9340" w14:textId="77777777" w:rsidR="00387142" w:rsidRPr="008B6A75" w:rsidRDefault="00387142" w:rsidP="00387142">
            <w:pPr>
              <w:jc w:val="center"/>
              <w:rPr>
                <w:sz w:val="20"/>
                <w:szCs w:val="20"/>
              </w:rPr>
            </w:pPr>
            <w:r w:rsidRPr="008B6A75">
              <w:rPr>
                <w:sz w:val="20"/>
                <w:szCs w:val="20"/>
              </w:rPr>
              <w:t>99.0.00.70289</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E3E248" w14:textId="77777777" w:rsidR="00387142" w:rsidRPr="008B6A75" w:rsidRDefault="00387142" w:rsidP="00387142">
            <w:pPr>
              <w:jc w:val="center"/>
              <w:rPr>
                <w:sz w:val="20"/>
                <w:szCs w:val="20"/>
              </w:rPr>
            </w:pPr>
            <w:r w:rsidRPr="008B6A75">
              <w:rPr>
                <w:sz w:val="20"/>
                <w:szCs w:val="20"/>
              </w:rPr>
              <w:t>240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6CAA71" w14:textId="77777777" w:rsidR="00387142" w:rsidRPr="008B6A75" w:rsidRDefault="00387142" w:rsidP="00387142">
            <w:pPr>
              <w:jc w:val="right"/>
              <w:rPr>
                <w:sz w:val="20"/>
                <w:szCs w:val="20"/>
              </w:rPr>
            </w:pPr>
            <w:r w:rsidRPr="008B6A75">
              <w:rPr>
                <w:sz w:val="20"/>
                <w:szCs w:val="20"/>
              </w:rPr>
              <w:t>387 905,92</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55D37310" w14:textId="77777777" w:rsidR="00387142" w:rsidRPr="008B6A75" w:rsidRDefault="00387142" w:rsidP="00387142">
            <w:pPr>
              <w:jc w:val="right"/>
              <w:rPr>
                <w:sz w:val="20"/>
                <w:szCs w:val="20"/>
              </w:rPr>
            </w:pPr>
            <w:r w:rsidRPr="008B6A75">
              <w:rPr>
                <w:sz w:val="20"/>
                <w:szCs w:val="20"/>
              </w:rPr>
              <w:t>349 967,76</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F207A1" w14:textId="77777777" w:rsidR="00387142" w:rsidRPr="008B6A75" w:rsidRDefault="00387142" w:rsidP="00387142">
            <w:pPr>
              <w:jc w:val="right"/>
              <w:rPr>
                <w:sz w:val="20"/>
                <w:szCs w:val="20"/>
              </w:rPr>
            </w:pPr>
            <w:r w:rsidRPr="008B6A75">
              <w:rPr>
                <w:sz w:val="20"/>
                <w:szCs w:val="20"/>
              </w:rPr>
              <w:t>333 156,07</w:t>
            </w:r>
          </w:p>
        </w:tc>
        <w:tc>
          <w:tcPr>
            <w:tcW w:w="222" w:type="dxa"/>
            <w:vAlign w:val="center"/>
            <w:hideMark/>
          </w:tcPr>
          <w:p w14:paraId="7F1B64A8" w14:textId="77777777" w:rsidR="00387142" w:rsidRPr="008B6A75" w:rsidRDefault="00387142" w:rsidP="00387142">
            <w:pPr>
              <w:rPr>
                <w:sz w:val="20"/>
                <w:szCs w:val="20"/>
              </w:rPr>
            </w:pPr>
          </w:p>
        </w:tc>
      </w:tr>
      <w:tr w:rsidR="00387142" w:rsidRPr="008B6A75" w14:paraId="388786A2" w14:textId="77777777" w:rsidTr="00387142">
        <w:trPr>
          <w:trHeight w:val="1440"/>
        </w:trPr>
        <w:tc>
          <w:tcPr>
            <w:tcW w:w="3021" w:type="dxa"/>
            <w:tcBorders>
              <w:top w:val="nil"/>
              <w:left w:val="single" w:sz="4" w:space="0" w:color="auto"/>
              <w:bottom w:val="nil"/>
              <w:right w:val="nil"/>
            </w:tcBorders>
            <w:shd w:val="clear" w:color="auto" w:fill="auto"/>
            <w:vAlign w:val="center"/>
            <w:hideMark/>
          </w:tcPr>
          <w:p w14:paraId="419EE7A6" w14:textId="77777777" w:rsidR="00387142" w:rsidRPr="008B6A75" w:rsidRDefault="00387142" w:rsidP="00387142">
            <w:pPr>
              <w:rPr>
                <w:bCs/>
                <w:sz w:val="20"/>
                <w:szCs w:val="20"/>
              </w:rPr>
            </w:pPr>
            <w:r w:rsidRPr="008B6A75">
              <w:rPr>
                <w:bCs/>
                <w:sz w:val="20"/>
                <w:szCs w:val="20"/>
              </w:rPr>
              <w:t xml:space="preserve">Реализация мероприятий по обеспечению сбалансированности местных </w:t>
            </w:r>
            <w:proofErr w:type="gramStart"/>
            <w:r w:rsidRPr="008B6A75">
              <w:rPr>
                <w:bCs/>
                <w:sz w:val="20"/>
                <w:szCs w:val="20"/>
              </w:rPr>
              <w:t>бюджетов  государственной</w:t>
            </w:r>
            <w:proofErr w:type="gramEnd"/>
            <w:r w:rsidRPr="008B6A75">
              <w:rPr>
                <w:bCs/>
                <w:sz w:val="20"/>
                <w:szCs w:val="20"/>
              </w:rPr>
              <w:t xml:space="preserve"> программы Новосибирской области "Управление  финансами в Новосибирской области"</w:t>
            </w:r>
          </w:p>
        </w:tc>
        <w:tc>
          <w:tcPr>
            <w:tcW w:w="850" w:type="dxa"/>
            <w:tcBorders>
              <w:top w:val="nil"/>
              <w:left w:val="single" w:sz="4" w:space="0" w:color="auto"/>
              <w:bottom w:val="nil"/>
              <w:right w:val="nil"/>
            </w:tcBorders>
            <w:shd w:val="clear" w:color="auto" w:fill="auto"/>
            <w:noWrap/>
            <w:vAlign w:val="center"/>
            <w:hideMark/>
          </w:tcPr>
          <w:p w14:paraId="08299D94" w14:textId="77777777" w:rsidR="00387142" w:rsidRPr="008B6A75" w:rsidRDefault="00387142" w:rsidP="00387142">
            <w:pPr>
              <w:jc w:val="center"/>
              <w:rPr>
                <w:bCs/>
                <w:sz w:val="20"/>
                <w:szCs w:val="20"/>
              </w:rPr>
            </w:pPr>
            <w:r w:rsidRPr="008B6A75">
              <w:rPr>
                <w:bCs/>
                <w:sz w:val="20"/>
                <w:szCs w:val="20"/>
              </w:rPr>
              <w:t>444</w:t>
            </w:r>
          </w:p>
        </w:tc>
        <w:tc>
          <w:tcPr>
            <w:tcW w:w="709" w:type="dxa"/>
            <w:tcBorders>
              <w:top w:val="nil"/>
              <w:left w:val="single" w:sz="4" w:space="0" w:color="auto"/>
              <w:bottom w:val="nil"/>
              <w:right w:val="nil"/>
            </w:tcBorders>
            <w:shd w:val="clear" w:color="auto" w:fill="auto"/>
            <w:noWrap/>
            <w:vAlign w:val="center"/>
            <w:hideMark/>
          </w:tcPr>
          <w:p w14:paraId="3F8EFB2D" w14:textId="77777777" w:rsidR="00387142" w:rsidRPr="008B6A75" w:rsidRDefault="00387142" w:rsidP="00387142">
            <w:pPr>
              <w:jc w:val="center"/>
              <w:rPr>
                <w:bCs/>
                <w:sz w:val="20"/>
                <w:szCs w:val="20"/>
              </w:rPr>
            </w:pPr>
            <w:r w:rsidRPr="008B6A75">
              <w:rPr>
                <w:bCs/>
                <w:sz w:val="20"/>
                <w:szCs w:val="20"/>
              </w:rPr>
              <w:t>01</w:t>
            </w:r>
          </w:p>
        </w:tc>
        <w:tc>
          <w:tcPr>
            <w:tcW w:w="709" w:type="dxa"/>
            <w:tcBorders>
              <w:top w:val="nil"/>
              <w:left w:val="single" w:sz="4" w:space="0" w:color="auto"/>
              <w:bottom w:val="nil"/>
              <w:right w:val="single" w:sz="4" w:space="0" w:color="auto"/>
            </w:tcBorders>
            <w:shd w:val="clear" w:color="auto" w:fill="auto"/>
            <w:noWrap/>
            <w:vAlign w:val="center"/>
            <w:hideMark/>
          </w:tcPr>
          <w:p w14:paraId="6B46C0F7" w14:textId="77777777" w:rsidR="00387142" w:rsidRPr="008B6A75" w:rsidRDefault="00387142" w:rsidP="00387142">
            <w:pPr>
              <w:jc w:val="center"/>
              <w:rPr>
                <w:bCs/>
                <w:sz w:val="20"/>
                <w:szCs w:val="20"/>
              </w:rPr>
            </w:pPr>
            <w:r w:rsidRPr="008B6A75">
              <w:rPr>
                <w:bCs/>
                <w:sz w:val="20"/>
                <w:szCs w:val="20"/>
              </w:rPr>
              <w:t>04</w:t>
            </w:r>
          </w:p>
        </w:tc>
        <w:tc>
          <w:tcPr>
            <w:tcW w:w="1411" w:type="dxa"/>
            <w:tcBorders>
              <w:top w:val="nil"/>
              <w:left w:val="single" w:sz="4" w:space="0" w:color="auto"/>
              <w:bottom w:val="nil"/>
              <w:right w:val="nil"/>
            </w:tcBorders>
            <w:shd w:val="clear" w:color="auto" w:fill="auto"/>
            <w:noWrap/>
            <w:vAlign w:val="center"/>
            <w:hideMark/>
          </w:tcPr>
          <w:p w14:paraId="1465B8D9" w14:textId="77777777" w:rsidR="00387142" w:rsidRPr="008B6A75" w:rsidRDefault="00387142" w:rsidP="00387142">
            <w:pPr>
              <w:jc w:val="center"/>
              <w:rPr>
                <w:bCs/>
                <w:sz w:val="20"/>
                <w:szCs w:val="20"/>
              </w:rPr>
            </w:pPr>
            <w:r w:rsidRPr="008B6A75">
              <w:rPr>
                <w:bCs/>
                <w:sz w:val="20"/>
                <w:szCs w:val="20"/>
              </w:rPr>
              <w:t>99.0.00.70510</w:t>
            </w:r>
          </w:p>
        </w:tc>
        <w:tc>
          <w:tcPr>
            <w:tcW w:w="955" w:type="dxa"/>
            <w:tcBorders>
              <w:top w:val="nil"/>
              <w:left w:val="single" w:sz="4" w:space="0" w:color="auto"/>
              <w:bottom w:val="nil"/>
              <w:right w:val="single" w:sz="4" w:space="0" w:color="auto"/>
            </w:tcBorders>
            <w:shd w:val="clear" w:color="auto" w:fill="auto"/>
            <w:noWrap/>
            <w:vAlign w:val="center"/>
            <w:hideMark/>
          </w:tcPr>
          <w:p w14:paraId="1D710CB7"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nil"/>
              <w:right w:val="single" w:sz="4" w:space="0" w:color="auto"/>
            </w:tcBorders>
            <w:shd w:val="clear" w:color="auto" w:fill="auto"/>
            <w:noWrap/>
            <w:vAlign w:val="center"/>
            <w:hideMark/>
          </w:tcPr>
          <w:p w14:paraId="15017E95" w14:textId="77777777" w:rsidR="00387142" w:rsidRPr="008B6A75" w:rsidRDefault="00387142" w:rsidP="00387142">
            <w:pPr>
              <w:jc w:val="right"/>
              <w:rPr>
                <w:bCs/>
                <w:sz w:val="20"/>
                <w:szCs w:val="20"/>
              </w:rPr>
            </w:pPr>
            <w:r w:rsidRPr="008B6A75">
              <w:rPr>
                <w:bCs/>
                <w:sz w:val="20"/>
                <w:szCs w:val="20"/>
              </w:rPr>
              <w:t>10 484 548,80</w:t>
            </w:r>
          </w:p>
        </w:tc>
        <w:tc>
          <w:tcPr>
            <w:tcW w:w="992" w:type="dxa"/>
            <w:gridSpan w:val="2"/>
            <w:tcBorders>
              <w:top w:val="nil"/>
              <w:left w:val="single" w:sz="4" w:space="0" w:color="auto"/>
              <w:bottom w:val="nil"/>
              <w:right w:val="nil"/>
            </w:tcBorders>
            <w:shd w:val="clear" w:color="auto" w:fill="auto"/>
            <w:noWrap/>
            <w:vAlign w:val="center"/>
            <w:hideMark/>
          </w:tcPr>
          <w:p w14:paraId="7561D325" w14:textId="77777777" w:rsidR="00387142" w:rsidRPr="008B6A75" w:rsidRDefault="00387142" w:rsidP="00387142">
            <w:pPr>
              <w:jc w:val="right"/>
              <w:rPr>
                <w:bCs/>
                <w:sz w:val="20"/>
                <w:szCs w:val="20"/>
              </w:rPr>
            </w:pPr>
            <w:r w:rsidRPr="008B6A75">
              <w:rPr>
                <w:bCs/>
                <w:sz w:val="20"/>
                <w:szCs w:val="20"/>
              </w:rPr>
              <w:t>0,00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44EE3B69" w14:textId="77777777" w:rsidR="00387142" w:rsidRPr="008B6A75" w:rsidRDefault="00387142" w:rsidP="00387142">
            <w:pPr>
              <w:jc w:val="right"/>
              <w:rPr>
                <w:bCs/>
                <w:sz w:val="20"/>
                <w:szCs w:val="20"/>
              </w:rPr>
            </w:pPr>
            <w:r w:rsidRPr="008B6A75">
              <w:rPr>
                <w:bCs/>
                <w:sz w:val="20"/>
                <w:szCs w:val="20"/>
              </w:rPr>
              <w:t>0,00</w:t>
            </w:r>
          </w:p>
        </w:tc>
        <w:tc>
          <w:tcPr>
            <w:tcW w:w="222" w:type="dxa"/>
            <w:vAlign w:val="center"/>
            <w:hideMark/>
          </w:tcPr>
          <w:p w14:paraId="026A067C" w14:textId="77777777" w:rsidR="00387142" w:rsidRPr="008B6A75" w:rsidRDefault="00387142" w:rsidP="00387142">
            <w:pPr>
              <w:rPr>
                <w:sz w:val="20"/>
                <w:szCs w:val="20"/>
              </w:rPr>
            </w:pPr>
          </w:p>
        </w:tc>
      </w:tr>
      <w:tr w:rsidR="00387142" w:rsidRPr="008B6A75" w14:paraId="13E2684A" w14:textId="77777777" w:rsidTr="00387142">
        <w:trPr>
          <w:trHeight w:val="1440"/>
        </w:trPr>
        <w:tc>
          <w:tcPr>
            <w:tcW w:w="3021" w:type="dxa"/>
            <w:tcBorders>
              <w:top w:val="single" w:sz="4" w:space="0" w:color="auto"/>
              <w:left w:val="single" w:sz="4" w:space="0" w:color="auto"/>
              <w:bottom w:val="nil"/>
              <w:right w:val="nil"/>
            </w:tcBorders>
            <w:shd w:val="clear" w:color="auto" w:fill="auto"/>
            <w:vAlign w:val="center"/>
            <w:hideMark/>
          </w:tcPr>
          <w:p w14:paraId="4244C88D" w14:textId="77777777" w:rsidR="00387142" w:rsidRPr="008B6A75" w:rsidRDefault="00387142" w:rsidP="00387142">
            <w:pPr>
              <w:rPr>
                <w:sz w:val="20"/>
                <w:szCs w:val="20"/>
              </w:rPr>
            </w:pPr>
            <w:r w:rsidRPr="008B6A75">
              <w:rPr>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8B6A75">
              <w:rPr>
                <w:sz w:val="20"/>
                <w:szCs w:val="20"/>
              </w:rPr>
              <w:lastRenderedPageBreak/>
              <w:t>внебюджетными фондами</w:t>
            </w:r>
          </w:p>
        </w:tc>
        <w:tc>
          <w:tcPr>
            <w:tcW w:w="850" w:type="dxa"/>
            <w:tcBorders>
              <w:top w:val="single" w:sz="4" w:space="0" w:color="auto"/>
              <w:left w:val="single" w:sz="4" w:space="0" w:color="auto"/>
              <w:bottom w:val="nil"/>
              <w:right w:val="nil"/>
            </w:tcBorders>
            <w:shd w:val="clear" w:color="auto" w:fill="auto"/>
            <w:noWrap/>
            <w:vAlign w:val="center"/>
            <w:hideMark/>
          </w:tcPr>
          <w:p w14:paraId="63CE8F94" w14:textId="77777777" w:rsidR="00387142" w:rsidRPr="008B6A75" w:rsidRDefault="00387142" w:rsidP="00387142">
            <w:pPr>
              <w:jc w:val="center"/>
              <w:rPr>
                <w:sz w:val="20"/>
                <w:szCs w:val="20"/>
              </w:rPr>
            </w:pPr>
            <w:r w:rsidRPr="008B6A75">
              <w:rPr>
                <w:sz w:val="20"/>
                <w:szCs w:val="20"/>
              </w:rPr>
              <w:lastRenderedPageBreak/>
              <w:t>444</w:t>
            </w:r>
          </w:p>
        </w:tc>
        <w:tc>
          <w:tcPr>
            <w:tcW w:w="709" w:type="dxa"/>
            <w:tcBorders>
              <w:top w:val="single" w:sz="4" w:space="0" w:color="auto"/>
              <w:left w:val="single" w:sz="4" w:space="0" w:color="auto"/>
              <w:bottom w:val="nil"/>
              <w:right w:val="nil"/>
            </w:tcBorders>
            <w:shd w:val="clear" w:color="auto" w:fill="auto"/>
            <w:noWrap/>
            <w:vAlign w:val="center"/>
            <w:hideMark/>
          </w:tcPr>
          <w:p w14:paraId="0667101D" w14:textId="77777777" w:rsidR="00387142" w:rsidRPr="008B6A75" w:rsidRDefault="00387142" w:rsidP="00387142">
            <w:pPr>
              <w:jc w:val="center"/>
              <w:rPr>
                <w:sz w:val="20"/>
                <w:szCs w:val="20"/>
              </w:rPr>
            </w:pPr>
            <w:r w:rsidRPr="008B6A75">
              <w:rPr>
                <w:sz w:val="20"/>
                <w:szCs w:val="20"/>
              </w:rPr>
              <w:t>01</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3AE1D8DD" w14:textId="77777777" w:rsidR="00387142" w:rsidRPr="008B6A75" w:rsidRDefault="00387142" w:rsidP="00387142">
            <w:pPr>
              <w:jc w:val="center"/>
              <w:rPr>
                <w:sz w:val="20"/>
                <w:szCs w:val="20"/>
              </w:rPr>
            </w:pPr>
            <w:r w:rsidRPr="008B6A75">
              <w:rPr>
                <w:sz w:val="20"/>
                <w:szCs w:val="20"/>
              </w:rPr>
              <w:t>04</w:t>
            </w:r>
          </w:p>
        </w:tc>
        <w:tc>
          <w:tcPr>
            <w:tcW w:w="1411" w:type="dxa"/>
            <w:tcBorders>
              <w:top w:val="single" w:sz="4" w:space="0" w:color="auto"/>
              <w:left w:val="single" w:sz="4" w:space="0" w:color="auto"/>
              <w:bottom w:val="nil"/>
              <w:right w:val="nil"/>
            </w:tcBorders>
            <w:shd w:val="clear" w:color="auto" w:fill="auto"/>
            <w:noWrap/>
            <w:vAlign w:val="center"/>
            <w:hideMark/>
          </w:tcPr>
          <w:p w14:paraId="05497633" w14:textId="77777777" w:rsidR="00387142" w:rsidRPr="008B6A75" w:rsidRDefault="00387142" w:rsidP="00387142">
            <w:pPr>
              <w:jc w:val="center"/>
              <w:rPr>
                <w:sz w:val="20"/>
                <w:szCs w:val="20"/>
              </w:rPr>
            </w:pPr>
            <w:r w:rsidRPr="008B6A75">
              <w:rPr>
                <w:sz w:val="20"/>
                <w:szCs w:val="20"/>
              </w:rPr>
              <w:t>99.0.00.70510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6E4822D2" w14:textId="77777777" w:rsidR="00387142" w:rsidRPr="008B6A75" w:rsidRDefault="00387142" w:rsidP="00387142">
            <w:pPr>
              <w:jc w:val="center"/>
              <w:rPr>
                <w:sz w:val="20"/>
                <w:szCs w:val="20"/>
              </w:rPr>
            </w:pPr>
            <w:r w:rsidRPr="008B6A75">
              <w:rPr>
                <w:sz w:val="20"/>
                <w:szCs w:val="20"/>
              </w:rPr>
              <w:t>100</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606CB724" w14:textId="77777777" w:rsidR="00387142" w:rsidRPr="008B6A75" w:rsidRDefault="00387142" w:rsidP="00387142">
            <w:pPr>
              <w:jc w:val="right"/>
              <w:rPr>
                <w:sz w:val="20"/>
                <w:szCs w:val="20"/>
              </w:rPr>
            </w:pPr>
            <w:r w:rsidRPr="008B6A75">
              <w:rPr>
                <w:sz w:val="20"/>
                <w:szCs w:val="20"/>
              </w:rPr>
              <w:t>10 484 548,80</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45BACCCD" w14:textId="77777777" w:rsidR="00387142" w:rsidRPr="008B6A75" w:rsidRDefault="00387142" w:rsidP="00387142">
            <w:pPr>
              <w:jc w:val="right"/>
              <w:rPr>
                <w:sz w:val="20"/>
                <w:szCs w:val="20"/>
              </w:rPr>
            </w:pPr>
            <w:r w:rsidRPr="008B6A75">
              <w:rPr>
                <w:sz w:val="20"/>
                <w:szCs w:val="20"/>
              </w:rPr>
              <w:t>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2A4F9D74" w14:textId="77777777" w:rsidR="00387142" w:rsidRPr="008B6A75" w:rsidRDefault="00387142" w:rsidP="00387142">
            <w:pPr>
              <w:jc w:val="right"/>
              <w:rPr>
                <w:sz w:val="20"/>
                <w:szCs w:val="20"/>
              </w:rPr>
            </w:pPr>
            <w:r w:rsidRPr="008B6A75">
              <w:rPr>
                <w:sz w:val="20"/>
                <w:szCs w:val="20"/>
              </w:rPr>
              <w:t>0,00</w:t>
            </w:r>
          </w:p>
        </w:tc>
        <w:tc>
          <w:tcPr>
            <w:tcW w:w="222" w:type="dxa"/>
            <w:vAlign w:val="center"/>
            <w:hideMark/>
          </w:tcPr>
          <w:p w14:paraId="4B5841D5" w14:textId="77777777" w:rsidR="00387142" w:rsidRPr="008B6A75" w:rsidRDefault="00387142" w:rsidP="00387142">
            <w:pPr>
              <w:rPr>
                <w:sz w:val="20"/>
                <w:szCs w:val="20"/>
              </w:rPr>
            </w:pPr>
          </w:p>
        </w:tc>
      </w:tr>
      <w:tr w:rsidR="00387142" w:rsidRPr="008B6A75" w14:paraId="341E73BD" w14:textId="77777777" w:rsidTr="00387142">
        <w:trPr>
          <w:trHeight w:val="585"/>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6FC7A58A" w14:textId="77777777" w:rsidR="00387142" w:rsidRPr="008B6A75" w:rsidRDefault="00387142" w:rsidP="00387142">
            <w:pPr>
              <w:rPr>
                <w:sz w:val="20"/>
                <w:szCs w:val="20"/>
              </w:rPr>
            </w:pPr>
            <w:r w:rsidRPr="008B6A75">
              <w:rPr>
                <w:sz w:val="20"/>
                <w:szCs w:val="20"/>
              </w:rPr>
              <w:t>Расходы на выплаты персоналу государственных (муниципальных) органов</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592683FC" w14:textId="77777777" w:rsidR="00387142" w:rsidRPr="008B6A75" w:rsidRDefault="00387142" w:rsidP="00387142">
            <w:pPr>
              <w:jc w:val="center"/>
              <w:rPr>
                <w:sz w:val="20"/>
                <w:szCs w:val="20"/>
              </w:rPr>
            </w:pPr>
            <w:r w:rsidRPr="008B6A75">
              <w:rPr>
                <w:sz w:val="20"/>
                <w:szCs w:val="20"/>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35A24745" w14:textId="77777777" w:rsidR="00387142" w:rsidRPr="008B6A75" w:rsidRDefault="00387142" w:rsidP="00387142">
            <w:pPr>
              <w:jc w:val="center"/>
              <w:rPr>
                <w:sz w:val="20"/>
                <w:szCs w:val="20"/>
              </w:rPr>
            </w:pPr>
            <w:r w:rsidRPr="008B6A75">
              <w:rPr>
                <w:sz w:val="20"/>
                <w:szCs w:val="20"/>
              </w:rPr>
              <w:t>01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94EB0C" w14:textId="77777777" w:rsidR="00387142" w:rsidRPr="008B6A75" w:rsidRDefault="00387142" w:rsidP="00387142">
            <w:pPr>
              <w:jc w:val="center"/>
              <w:rPr>
                <w:sz w:val="20"/>
                <w:szCs w:val="20"/>
              </w:rPr>
            </w:pPr>
            <w:r w:rsidRPr="008B6A75">
              <w:rPr>
                <w:sz w:val="20"/>
                <w:szCs w:val="20"/>
              </w:rPr>
              <w:t>04</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450A020D" w14:textId="77777777" w:rsidR="00387142" w:rsidRPr="008B6A75" w:rsidRDefault="00387142" w:rsidP="00387142">
            <w:pPr>
              <w:jc w:val="center"/>
              <w:rPr>
                <w:sz w:val="20"/>
                <w:szCs w:val="20"/>
              </w:rPr>
            </w:pPr>
            <w:r w:rsidRPr="008B6A75">
              <w:rPr>
                <w:sz w:val="20"/>
                <w:szCs w:val="20"/>
              </w:rPr>
              <w:t>99.0.00.70510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FD8CA2" w14:textId="77777777" w:rsidR="00387142" w:rsidRPr="008B6A75" w:rsidRDefault="00387142" w:rsidP="00387142">
            <w:pPr>
              <w:jc w:val="center"/>
              <w:rPr>
                <w:sz w:val="20"/>
                <w:szCs w:val="20"/>
              </w:rPr>
            </w:pPr>
            <w:r w:rsidRPr="008B6A75">
              <w:rPr>
                <w:sz w:val="20"/>
                <w:szCs w:val="20"/>
              </w:rPr>
              <w:t>120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08E982" w14:textId="77777777" w:rsidR="00387142" w:rsidRPr="008B6A75" w:rsidRDefault="00387142" w:rsidP="00387142">
            <w:pPr>
              <w:jc w:val="right"/>
              <w:rPr>
                <w:sz w:val="20"/>
                <w:szCs w:val="20"/>
              </w:rPr>
            </w:pPr>
            <w:r w:rsidRPr="008B6A75">
              <w:rPr>
                <w:sz w:val="20"/>
                <w:szCs w:val="20"/>
              </w:rPr>
              <w:t>10 484 548,80</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25F30515" w14:textId="77777777" w:rsidR="00387142" w:rsidRPr="008B6A75" w:rsidRDefault="00387142" w:rsidP="00387142">
            <w:pPr>
              <w:jc w:val="right"/>
              <w:rPr>
                <w:sz w:val="20"/>
                <w:szCs w:val="20"/>
              </w:rPr>
            </w:pPr>
            <w:r w:rsidRPr="008B6A75">
              <w:rPr>
                <w:sz w:val="20"/>
                <w:szCs w:val="20"/>
              </w:rPr>
              <w:t>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16BCD5" w14:textId="77777777" w:rsidR="00387142" w:rsidRPr="008B6A75" w:rsidRDefault="00387142" w:rsidP="00387142">
            <w:pPr>
              <w:jc w:val="right"/>
              <w:rPr>
                <w:sz w:val="20"/>
                <w:szCs w:val="20"/>
              </w:rPr>
            </w:pPr>
            <w:r w:rsidRPr="008B6A75">
              <w:rPr>
                <w:sz w:val="20"/>
                <w:szCs w:val="20"/>
              </w:rPr>
              <w:t>0,00</w:t>
            </w:r>
          </w:p>
        </w:tc>
        <w:tc>
          <w:tcPr>
            <w:tcW w:w="222" w:type="dxa"/>
            <w:vAlign w:val="center"/>
            <w:hideMark/>
          </w:tcPr>
          <w:p w14:paraId="3E573F26" w14:textId="77777777" w:rsidR="00387142" w:rsidRPr="008B6A75" w:rsidRDefault="00387142" w:rsidP="00387142">
            <w:pPr>
              <w:rPr>
                <w:sz w:val="20"/>
                <w:szCs w:val="20"/>
              </w:rPr>
            </w:pPr>
          </w:p>
        </w:tc>
      </w:tr>
      <w:tr w:rsidR="00387142" w:rsidRPr="008B6A75" w14:paraId="35D619EE" w14:textId="77777777" w:rsidTr="00387142">
        <w:trPr>
          <w:trHeight w:val="300"/>
        </w:trPr>
        <w:tc>
          <w:tcPr>
            <w:tcW w:w="3021" w:type="dxa"/>
            <w:tcBorders>
              <w:top w:val="nil"/>
              <w:left w:val="single" w:sz="4" w:space="0" w:color="auto"/>
              <w:bottom w:val="nil"/>
              <w:right w:val="nil"/>
            </w:tcBorders>
            <w:shd w:val="clear" w:color="auto" w:fill="auto"/>
            <w:vAlign w:val="center"/>
            <w:hideMark/>
          </w:tcPr>
          <w:p w14:paraId="0F4AF8D3" w14:textId="77777777" w:rsidR="00387142" w:rsidRPr="008B6A75" w:rsidRDefault="00387142" w:rsidP="00387142">
            <w:pPr>
              <w:rPr>
                <w:bCs/>
                <w:sz w:val="20"/>
                <w:szCs w:val="20"/>
              </w:rPr>
            </w:pPr>
            <w:r w:rsidRPr="008B6A75">
              <w:rPr>
                <w:bCs/>
                <w:sz w:val="20"/>
                <w:szCs w:val="20"/>
              </w:rPr>
              <w:t>Судебная система</w:t>
            </w:r>
          </w:p>
        </w:tc>
        <w:tc>
          <w:tcPr>
            <w:tcW w:w="850" w:type="dxa"/>
            <w:tcBorders>
              <w:top w:val="nil"/>
              <w:left w:val="single" w:sz="4" w:space="0" w:color="auto"/>
              <w:bottom w:val="nil"/>
              <w:right w:val="nil"/>
            </w:tcBorders>
            <w:shd w:val="clear" w:color="auto" w:fill="auto"/>
            <w:noWrap/>
            <w:vAlign w:val="center"/>
            <w:hideMark/>
          </w:tcPr>
          <w:p w14:paraId="4A385DFD" w14:textId="77777777" w:rsidR="00387142" w:rsidRPr="008B6A75" w:rsidRDefault="00387142" w:rsidP="00387142">
            <w:pPr>
              <w:jc w:val="center"/>
              <w:rPr>
                <w:bCs/>
                <w:sz w:val="20"/>
                <w:szCs w:val="20"/>
              </w:rPr>
            </w:pPr>
            <w:r w:rsidRPr="008B6A75">
              <w:rPr>
                <w:bCs/>
                <w:sz w:val="20"/>
                <w:szCs w:val="20"/>
              </w:rPr>
              <w:t>444</w:t>
            </w:r>
          </w:p>
        </w:tc>
        <w:tc>
          <w:tcPr>
            <w:tcW w:w="709" w:type="dxa"/>
            <w:tcBorders>
              <w:top w:val="nil"/>
              <w:left w:val="single" w:sz="4" w:space="0" w:color="auto"/>
              <w:bottom w:val="nil"/>
              <w:right w:val="nil"/>
            </w:tcBorders>
            <w:shd w:val="clear" w:color="auto" w:fill="auto"/>
            <w:noWrap/>
            <w:vAlign w:val="center"/>
            <w:hideMark/>
          </w:tcPr>
          <w:p w14:paraId="6F7A9A9C" w14:textId="77777777" w:rsidR="00387142" w:rsidRPr="008B6A75" w:rsidRDefault="00387142" w:rsidP="00387142">
            <w:pPr>
              <w:jc w:val="center"/>
              <w:rPr>
                <w:bCs/>
                <w:sz w:val="20"/>
                <w:szCs w:val="20"/>
              </w:rPr>
            </w:pPr>
            <w:r w:rsidRPr="008B6A75">
              <w:rPr>
                <w:bCs/>
                <w:sz w:val="20"/>
                <w:szCs w:val="20"/>
              </w:rPr>
              <w:t>01</w:t>
            </w:r>
          </w:p>
        </w:tc>
        <w:tc>
          <w:tcPr>
            <w:tcW w:w="709" w:type="dxa"/>
            <w:tcBorders>
              <w:top w:val="nil"/>
              <w:left w:val="single" w:sz="4" w:space="0" w:color="auto"/>
              <w:bottom w:val="nil"/>
              <w:right w:val="single" w:sz="4" w:space="0" w:color="auto"/>
            </w:tcBorders>
            <w:shd w:val="clear" w:color="auto" w:fill="auto"/>
            <w:noWrap/>
            <w:vAlign w:val="center"/>
            <w:hideMark/>
          </w:tcPr>
          <w:p w14:paraId="4D8A3B7F" w14:textId="77777777" w:rsidR="00387142" w:rsidRPr="008B6A75" w:rsidRDefault="00387142" w:rsidP="00387142">
            <w:pPr>
              <w:jc w:val="center"/>
              <w:rPr>
                <w:bCs/>
                <w:sz w:val="20"/>
                <w:szCs w:val="20"/>
              </w:rPr>
            </w:pPr>
            <w:r w:rsidRPr="008B6A75">
              <w:rPr>
                <w:bCs/>
                <w:sz w:val="20"/>
                <w:szCs w:val="20"/>
              </w:rPr>
              <w:t>05</w:t>
            </w:r>
          </w:p>
        </w:tc>
        <w:tc>
          <w:tcPr>
            <w:tcW w:w="1411" w:type="dxa"/>
            <w:tcBorders>
              <w:top w:val="nil"/>
              <w:left w:val="single" w:sz="4" w:space="0" w:color="auto"/>
              <w:bottom w:val="nil"/>
              <w:right w:val="nil"/>
            </w:tcBorders>
            <w:shd w:val="clear" w:color="auto" w:fill="auto"/>
            <w:noWrap/>
            <w:vAlign w:val="center"/>
            <w:hideMark/>
          </w:tcPr>
          <w:p w14:paraId="4B195579" w14:textId="77777777" w:rsidR="00387142" w:rsidRPr="008B6A75" w:rsidRDefault="00387142" w:rsidP="00387142">
            <w:pPr>
              <w:jc w:val="center"/>
              <w:rPr>
                <w:bCs/>
                <w:sz w:val="20"/>
                <w:szCs w:val="20"/>
              </w:rPr>
            </w:pPr>
            <w:r w:rsidRPr="008B6A75">
              <w:rPr>
                <w:bCs/>
                <w:sz w:val="20"/>
                <w:szCs w:val="20"/>
              </w:rPr>
              <w:t> </w:t>
            </w:r>
          </w:p>
        </w:tc>
        <w:tc>
          <w:tcPr>
            <w:tcW w:w="955" w:type="dxa"/>
            <w:tcBorders>
              <w:top w:val="nil"/>
              <w:left w:val="single" w:sz="4" w:space="0" w:color="auto"/>
              <w:bottom w:val="nil"/>
              <w:right w:val="single" w:sz="4" w:space="0" w:color="auto"/>
            </w:tcBorders>
            <w:shd w:val="clear" w:color="auto" w:fill="auto"/>
            <w:noWrap/>
            <w:vAlign w:val="center"/>
            <w:hideMark/>
          </w:tcPr>
          <w:p w14:paraId="25F0D0BC"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nil"/>
              <w:right w:val="single" w:sz="4" w:space="0" w:color="auto"/>
            </w:tcBorders>
            <w:shd w:val="clear" w:color="auto" w:fill="auto"/>
            <w:noWrap/>
            <w:vAlign w:val="center"/>
            <w:hideMark/>
          </w:tcPr>
          <w:p w14:paraId="2284849B" w14:textId="77777777" w:rsidR="00387142" w:rsidRPr="008B6A75" w:rsidRDefault="00387142" w:rsidP="00387142">
            <w:pPr>
              <w:jc w:val="right"/>
              <w:rPr>
                <w:bCs/>
                <w:sz w:val="20"/>
                <w:szCs w:val="20"/>
              </w:rPr>
            </w:pPr>
            <w:r w:rsidRPr="008B6A75">
              <w:rPr>
                <w:bCs/>
                <w:sz w:val="20"/>
                <w:szCs w:val="20"/>
              </w:rPr>
              <w:t>182 300,00</w:t>
            </w:r>
          </w:p>
        </w:tc>
        <w:tc>
          <w:tcPr>
            <w:tcW w:w="992" w:type="dxa"/>
            <w:gridSpan w:val="2"/>
            <w:tcBorders>
              <w:top w:val="nil"/>
              <w:left w:val="single" w:sz="4" w:space="0" w:color="auto"/>
              <w:bottom w:val="nil"/>
              <w:right w:val="nil"/>
            </w:tcBorders>
            <w:shd w:val="clear" w:color="auto" w:fill="auto"/>
            <w:noWrap/>
            <w:vAlign w:val="center"/>
            <w:hideMark/>
          </w:tcPr>
          <w:p w14:paraId="50DFECA6" w14:textId="77777777" w:rsidR="00387142" w:rsidRPr="008B6A75" w:rsidRDefault="00387142" w:rsidP="00387142">
            <w:pPr>
              <w:jc w:val="right"/>
              <w:rPr>
                <w:bCs/>
                <w:sz w:val="20"/>
                <w:szCs w:val="20"/>
              </w:rPr>
            </w:pPr>
            <w:r w:rsidRPr="008B6A75">
              <w:rPr>
                <w:bCs/>
                <w:sz w:val="20"/>
                <w:szCs w:val="20"/>
              </w:rPr>
              <w:t>8 300,00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39867AF1" w14:textId="77777777" w:rsidR="00387142" w:rsidRPr="008B6A75" w:rsidRDefault="00387142" w:rsidP="00387142">
            <w:pPr>
              <w:jc w:val="right"/>
              <w:rPr>
                <w:bCs/>
                <w:sz w:val="20"/>
                <w:szCs w:val="20"/>
              </w:rPr>
            </w:pPr>
            <w:r w:rsidRPr="008B6A75">
              <w:rPr>
                <w:bCs/>
                <w:sz w:val="20"/>
                <w:szCs w:val="20"/>
              </w:rPr>
              <w:t>7 500,00</w:t>
            </w:r>
          </w:p>
        </w:tc>
        <w:tc>
          <w:tcPr>
            <w:tcW w:w="222" w:type="dxa"/>
            <w:vAlign w:val="center"/>
            <w:hideMark/>
          </w:tcPr>
          <w:p w14:paraId="772732D5" w14:textId="77777777" w:rsidR="00387142" w:rsidRPr="008B6A75" w:rsidRDefault="00387142" w:rsidP="00387142">
            <w:pPr>
              <w:rPr>
                <w:sz w:val="20"/>
                <w:szCs w:val="20"/>
              </w:rPr>
            </w:pPr>
          </w:p>
        </w:tc>
      </w:tr>
      <w:tr w:rsidR="00387142" w:rsidRPr="008B6A75" w14:paraId="4C3FB063" w14:textId="77777777" w:rsidTr="00387142">
        <w:trPr>
          <w:trHeight w:val="300"/>
        </w:trPr>
        <w:tc>
          <w:tcPr>
            <w:tcW w:w="3021" w:type="dxa"/>
            <w:tcBorders>
              <w:top w:val="single" w:sz="4" w:space="0" w:color="auto"/>
              <w:left w:val="single" w:sz="4" w:space="0" w:color="auto"/>
              <w:bottom w:val="nil"/>
              <w:right w:val="nil"/>
            </w:tcBorders>
            <w:shd w:val="clear" w:color="auto" w:fill="auto"/>
            <w:vAlign w:val="center"/>
            <w:hideMark/>
          </w:tcPr>
          <w:p w14:paraId="71AD7F5F" w14:textId="77777777" w:rsidR="00387142" w:rsidRPr="008B6A75" w:rsidRDefault="00387142" w:rsidP="00387142">
            <w:pPr>
              <w:rPr>
                <w:bCs/>
                <w:sz w:val="20"/>
                <w:szCs w:val="20"/>
              </w:rPr>
            </w:pPr>
            <w:r w:rsidRPr="008B6A75">
              <w:rPr>
                <w:bCs/>
                <w:sz w:val="20"/>
                <w:szCs w:val="20"/>
              </w:rPr>
              <w:t>Непрограммные направления бюджета</w:t>
            </w:r>
          </w:p>
        </w:tc>
        <w:tc>
          <w:tcPr>
            <w:tcW w:w="850" w:type="dxa"/>
            <w:tcBorders>
              <w:top w:val="single" w:sz="4" w:space="0" w:color="auto"/>
              <w:left w:val="single" w:sz="4" w:space="0" w:color="auto"/>
              <w:bottom w:val="nil"/>
              <w:right w:val="nil"/>
            </w:tcBorders>
            <w:shd w:val="clear" w:color="auto" w:fill="auto"/>
            <w:noWrap/>
            <w:vAlign w:val="center"/>
            <w:hideMark/>
          </w:tcPr>
          <w:p w14:paraId="27FC5D65" w14:textId="77777777" w:rsidR="00387142" w:rsidRPr="008B6A75" w:rsidRDefault="00387142" w:rsidP="00387142">
            <w:pPr>
              <w:jc w:val="center"/>
              <w:rPr>
                <w:bCs/>
                <w:sz w:val="20"/>
                <w:szCs w:val="20"/>
              </w:rPr>
            </w:pPr>
            <w:r w:rsidRPr="008B6A75">
              <w:rPr>
                <w:bCs/>
                <w:sz w:val="20"/>
                <w:szCs w:val="20"/>
              </w:rPr>
              <w:t>444</w:t>
            </w:r>
          </w:p>
        </w:tc>
        <w:tc>
          <w:tcPr>
            <w:tcW w:w="709" w:type="dxa"/>
            <w:tcBorders>
              <w:top w:val="single" w:sz="4" w:space="0" w:color="auto"/>
              <w:left w:val="single" w:sz="4" w:space="0" w:color="auto"/>
              <w:bottom w:val="nil"/>
              <w:right w:val="nil"/>
            </w:tcBorders>
            <w:shd w:val="clear" w:color="auto" w:fill="auto"/>
            <w:noWrap/>
            <w:vAlign w:val="center"/>
            <w:hideMark/>
          </w:tcPr>
          <w:p w14:paraId="1797A52A" w14:textId="77777777" w:rsidR="00387142" w:rsidRPr="008B6A75" w:rsidRDefault="00387142" w:rsidP="00387142">
            <w:pPr>
              <w:jc w:val="center"/>
              <w:rPr>
                <w:bCs/>
                <w:sz w:val="20"/>
                <w:szCs w:val="20"/>
              </w:rPr>
            </w:pPr>
            <w:r w:rsidRPr="008B6A75">
              <w:rPr>
                <w:bCs/>
                <w:sz w:val="20"/>
                <w:szCs w:val="20"/>
              </w:rPr>
              <w:t>01</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2FA7FBF3" w14:textId="77777777" w:rsidR="00387142" w:rsidRPr="008B6A75" w:rsidRDefault="00387142" w:rsidP="00387142">
            <w:pPr>
              <w:jc w:val="center"/>
              <w:rPr>
                <w:bCs/>
                <w:sz w:val="20"/>
                <w:szCs w:val="20"/>
              </w:rPr>
            </w:pPr>
            <w:r w:rsidRPr="008B6A75">
              <w:rPr>
                <w:bCs/>
                <w:sz w:val="20"/>
                <w:szCs w:val="20"/>
              </w:rPr>
              <w:t>05</w:t>
            </w:r>
          </w:p>
        </w:tc>
        <w:tc>
          <w:tcPr>
            <w:tcW w:w="1411" w:type="dxa"/>
            <w:tcBorders>
              <w:top w:val="single" w:sz="4" w:space="0" w:color="auto"/>
              <w:left w:val="single" w:sz="4" w:space="0" w:color="auto"/>
              <w:bottom w:val="nil"/>
              <w:right w:val="nil"/>
            </w:tcBorders>
            <w:shd w:val="clear" w:color="auto" w:fill="auto"/>
            <w:noWrap/>
            <w:vAlign w:val="center"/>
            <w:hideMark/>
          </w:tcPr>
          <w:p w14:paraId="5A795BE3" w14:textId="77777777" w:rsidR="00387142" w:rsidRPr="008B6A75" w:rsidRDefault="00387142" w:rsidP="00387142">
            <w:pPr>
              <w:jc w:val="center"/>
              <w:rPr>
                <w:bCs/>
                <w:sz w:val="20"/>
                <w:szCs w:val="20"/>
              </w:rPr>
            </w:pPr>
            <w:r w:rsidRPr="008B6A75">
              <w:rPr>
                <w:bCs/>
                <w:sz w:val="20"/>
                <w:szCs w:val="20"/>
              </w:rPr>
              <w:t>99.0.00.00000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7CC6FFA8" w14:textId="77777777" w:rsidR="00387142" w:rsidRPr="008B6A75" w:rsidRDefault="00387142" w:rsidP="00387142">
            <w:pPr>
              <w:jc w:val="center"/>
              <w:rPr>
                <w:bCs/>
                <w:sz w:val="20"/>
                <w:szCs w:val="20"/>
              </w:rPr>
            </w:pPr>
            <w:r w:rsidRPr="008B6A75">
              <w:rPr>
                <w:bCs/>
                <w:sz w:val="20"/>
                <w:szCs w:val="20"/>
              </w:rPr>
              <w:t> </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794ADB52" w14:textId="77777777" w:rsidR="00387142" w:rsidRPr="008B6A75" w:rsidRDefault="00387142" w:rsidP="00387142">
            <w:pPr>
              <w:jc w:val="right"/>
              <w:rPr>
                <w:bCs/>
                <w:sz w:val="20"/>
                <w:szCs w:val="20"/>
              </w:rPr>
            </w:pPr>
            <w:r w:rsidRPr="008B6A75">
              <w:rPr>
                <w:bCs/>
                <w:sz w:val="20"/>
                <w:szCs w:val="20"/>
              </w:rPr>
              <w:t>182 300,00</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47CCCC67" w14:textId="77777777" w:rsidR="00387142" w:rsidRPr="008B6A75" w:rsidRDefault="00387142" w:rsidP="00387142">
            <w:pPr>
              <w:jc w:val="right"/>
              <w:rPr>
                <w:bCs/>
                <w:sz w:val="20"/>
                <w:szCs w:val="20"/>
              </w:rPr>
            </w:pPr>
            <w:r w:rsidRPr="008B6A75">
              <w:rPr>
                <w:bCs/>
                <w:sz w:val="20"/>
                <w:szCs w:val="20"/>
              </w:rPr>
              <w:t>8 300,00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16CA6FC0" w14:textId="77777777" w:rsidR="00387142" w:rsidRPr="008B6A75" w:rsidRDefault="00387142" w:rsidP="00387142">
            <w:pPr>
              <w:jc w:val="right"/>
              <w:rPr>
                <w:bCs/>
                <w:sz w:val="20"/>
                <w:szCs w:val="20"/>
              </w:rPr>
            </w:pPr>
            <w:r w:rsidRPr="008B6A75">
              <w:rPr>
                <w:bCs/>
                <w:sz w:val="20"/>
                <w:szCs w:val="20"/>
              </w:rPr>
              <w:t>7 500,00</w:t>
            </w:r>
          </w:p>
        </w:tc>
        <w:tc>
          <w:tcPr>
            <w:tcW w:w="222" w:type="dxa"/>
            <w:vAlign w:val="center"/>
            <w:hideMark/>
          </w:tcPr>
          <w:p w14:paraId="6F2DD48A" w14:textId="77777777" w:rsidR="00387142" w:rsidRPr="008B6A75" w:rsidRDefault="00387142" w:rsidP="00387142">
            <w:pPr>
              <w:rPr>
                <w:sz w:val="20"/>
                <w:szCs w:val="20"/>
              </w:rPr>
            </w:pPr>
          </w:p>
        </w:tc>
      </w:tr>
      <w:tr w:rsidR="00387142" w:rsidRPr="008B6A75" w14:paraId="4045328A" w14:textId="77777777" w:rsidTr="00387142">
        <w:trPr>
          <w:trHeight w:val="1155"/>
        </w:trPr>
        <w:tc>
          <w:tcPr>
            <w:tcW w:w="3021" w:type="dxa"/>
            <w:tcBorders>
              <w:top w:val="single" w:sz="4" w:space="0" w:color="auto"/>
              <w:left w:val="single" w:sz="4" w:space="0" w:color="auto"/>
              <w:bottom w:val="nil"/>
              <w:right w:val="nil"/>
            </w:tcBorders>
            <w:shd w:val="clear" w:color="auto" w:fill="auto"/>
            <w:vAlign w:val="center"/>
            <w:hideMark/>
          </w:tcPr>
          <w:p w14:paraId="425EA25A" w14:textId="77777777" w:rsidR="00387142" w:rsidRPr="008B6A75" w:rsidRDefault="00387142" w:rsidP="00387142">
            <w:pPr>
              <w:rPr>
                <w:bCs/>
                <w:sz w:val="20"/>
                <w:szCs w:val="20"/>
              </w:rPr>
            </w:pPr>
            <w:r w:rsidRPr="008B6A75">
              <w:rPr>
                <w:bCs/>
                <w:sz w:val="20"/>
                <w:szCs w:val="20"/>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850" w:type="dxa"/>
            <w:tcBorders>
              <w:top w:val="single" w:sz="4" w:space="0" w:color="auto"/>
              <w:left w:val="single" w:sz="4" w:space="0" w:color="auto"/>
              <w:bottom w:val="nil"/>
              <w:right w:val="nil"/>
            </w:tcBorders>
            <w:shd w:val="clear" w:color="auto" w:fill="auto"/>
            <w:noWrap/>
            <w:vAlign w:val="center"/>
            <w:hideMark/>
          </w:tcPr>
          <w:p w14:paraId="43872F1C" w14:textId="77777777" w:rsidR="00387142" w:rsidRPr="008B6A75" w:rsidRDefault="00387142" w:rsidP="00387142">
            <w:pPr>
              <w:jc w:val="center"/>
              <w:rPr>
                <w:bCs/>
                <w:sz w:val="20"/>
                <w:szCs w:val="20"/>
              </w:rPr>
            </w:pPr>
            <w:r w:rsidRPr="008B6A75">
              <w:rPr>
                <w:bCs/>
                <w:sz w:val="20"/>
                <w:szCs w:val="20"/>
              </w:rPr>
              <w:t>444</w:t>
            </w:r>
          </w:p>
        </w:tc>
        <w:tc>
          <w:tcPr>
            <w:tcW w:w="709" w:type="dxa"/>
            <w:tcBorders>
              <w:top w:val="single" w:sz="4" w:space="0" w:color="auto"/>
              <w:left w:val="single" w:sz="4" w:space="0" w:color="auto"/>
              <w:bottom w:val="nil"/>
              <w:right w:val="nil"/>
            </w:tcBorders>
            <w:shd w:val="clear" w:color="auto" w:fill="auto"/>
            <w:noWrap/>
            <w:vAlign w:val="center"/>
            <w:hideMark/>
          </w:tcPr>
          <w:p w14:paraId="34272BE6" w14:textId="77777777" w:rsidR="00387142" w:rsidRPr="008B6A75" w:rsidRDefault="00387142" w:rsidP="00387142">
            <w:pPr>
              <w:jc w:val="center"/>
              <w:rPr>
                <w:bCs/>
                <w:sz w:val="20"/>
                <w:szCs w:val="20"/>
              </w:rPr>
            </w:pPr>
            <w:r w:rsidRPr="008B6A75">
              <w:rPr>
                <w:bCs/>
                <w:sz w:val="20"/>
                <w:szCs w:val="20"/>
              </w:rPr>
              <w:t>01</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5DCBF184" w14:textId="77777777" w:rsidR="00387142" w:rsidRPr="008B6A75" w:rsidRDefault="00387142" w:rsidP="00387142">
            <w:pPr>
              <w:jc w:val="center"/>
              <w:rPr>
                <w:bCs/>
                <w:sz w:val="20"/>
                <w:szCs w:val="20"/>
              </w:rPr>
            </w:pPr>
            <w:r w:rsidRPr="008B6A75">
              <w:rPr>
                <w:bCs/>
                <w:sz w:val="20"/>
                <w:szCs w:val="20"/>
              </w:rPr>
              <w:t>05</w:t>
            </w:r>
          </w:p>
        </w:tc>
        <w:tc>
          <w:tcPr>
            <w:tcW w:w="1411" w:type="dxa"/>
            <w:tcBorders>
              <w:top w:val="single" w:sz="4" w:space="0" w:color="auto"/>
              <w:left w:val="single" w:sz="4" w:space="0" w:color="auto"/>
              <w:bottom w:val="nil"/>
              <w:right w:val="nil"/>
            </w:tcBorders>
            <w:shd w:val="clear" w:color="auto" w:fill="auto"/>
            <w:noWrap/>
            <w:vAlign w:val="center"/>
            <w:hideMark/>
          </w:tcPr>
          <w:p w14:paraId="73FD426C" w14:textId="77777777" w:rsidR="00387142" w:rsidRPr="008B6A75" w:rsidRDefault="00387142" w:rsidP="00387142">
            <w:pPr>
              <w:jc w:val="center"/>
              <w:rPr>
                <w:bCs/>
                <w:sz w:val="20"/>
                <w:szCs w:val="20"/>
              </w:rPr>
            </w:pPr>
            <w:r w:rsidRPr="008B6A75">
              <w:rPr>
                <w:bCs/>
                <w:sz w:val="20"/>
                <w:szCs w:val="20"/>
              </w:rPr>
              <w:t>99.0.00.51200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55EA1189" w14:textId="77777777" w:rsidR="00387142" w:rsidRPr="008B6A75" w:rsidRDefault="00387142" w:rsidP="00387142">
            <w:pPr>
              <w:jc w:val="center"/>
              <w:rPr>
                <w:bCs/>
                <w:sz w:val="20"/>
                <w:szCs w:val="20"/>
              </w:rPr>
            </w:pPr>
            <w:r w:rsidRPr="008B6A75">
              <w:rPr>
                <w:bCs/>
                <w:sz w:val="20"/>
                <w:szCs w:val="20"/>
              </w:rPr>
              <w:t> </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0FAF889E" w14:textId="77777777" w:rsidR="00387142" w:rsidRPr="008B6A75" w:rsidRDefault="00387142" w:rsidP="00387142">
            <w:pPr>
              <w:jc w:val="right"/>
              <w:rPr>
                <w:bCs/>
                <w:sz w:val="20"/>
                <w:szCs w:val="20"/>
              </w:rPr>
            </w:pPr>
            <w:r w:rsidRPr="008B6A75">
              <w:rPr>
                <w:bCs/>
                <w:sz w:val="20"/>
                <w:szCs w:val="20"/>
              </w:rPr>
              <w:t>182 300,00</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5C18D2B0" w14:textId="77777777" w:rsidR="00387142" w:rsidRPr="008B6A75" w:rsidRDefault="00387142" w:rsidP="00387142">
            <w:pPr>
              <w:jc w:val="right"/>
              <w:rPr>
                <w:bCs/>
                <w:sz w:val="20"/>
                <w:szCs w:val="20"/>
              </w:rPr>
            </w:pPr>
            <w:r w:rsidRPr="008B6A75">
              <w:rPr>
                <w:bCs/>
                <w:sz w:val="20"/>
                <w:szCs w:val="20"/>
              </w:rPr>
              <w:t>8 300,00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3F579A1B" w14:textId="77777777" w:rsidR="00387142" w:rsidRPr="008B6A75" w:rsidRDefault="00387142" w:rsidP="00387142">
            <w:pPr>
              <w:jc w:val="right"/>
              <w:rPr>
                <w:bCs/>
                <w:sz w:val="20"/>
                <w:szCs w:val="20"/>
              </w:rPr>
            </w:pPr>
            <w:r w:rsidRPr="008B6A75">
              <w:rPr>
                <w:bCs/>
                <w:sz w:val="20"/>
                <w:szCs w:val="20"/>
              </w:rPr>
              <w:t>7 500,00</w:t>
            </w:r>
          </w:p>
        </w:tc>
        <w:tc>
          <w:tcPr>
            <w:tcW w:w="222" w:type="dxa"/>
            <w:vAlign w:val="center"/>
            <w:hideMark/>
          </w:tcPr>
          <w:p w14:paraId="1EBFD46E" w14:textId="77777777" w:rsidR="00387142" w:rsidRPr="008B6A75" w:rsidRDefault="00387142" w:rsidP="00387142">
            <w:pPr>
              <w:rPr>
                <w:sz w:val="20"/>
                <w:szCs w:val="20"/>
              </w:rPr>
            </w:pPr>
          </w:p>
        </w:tc>
      </w:tr>
      <w:tr w:rsidR="00387142" w:rsidRPr="008B6A75" w14:paraId="2292C2BC" w14:textId="77777777" w:rsidTr="00387142">
        <w:trPr>
          <w:trHeight w:val="585"/>
        </w:trPr>
        <w:tc>
          <w:tcPr>
            <w:tcW w:w="3021" w:type="dxa"/>
            <w:tcBorders>
              <w:top w:val="single" w:sz="4" w:space="0" w:color="auto"/>
              <w:left w:val="single" w:sz="4" w:space="0" w:color="auto"/>
              <w:bottom w:val="nil"/>
              <w:right w:val="nil"/>
            </w:tcBorders>
            <w:shd w:val="clear" w:color="auto" w:fill="auto"/>
            <w:vAlign w:val="center"/>
            <w:hideMark/>
          </w:tcPr>
          <w:p w14:paraId="39B0A2E9" w14:textId="77777777" w:rsidR="00387142" w:rsidRPr="008B6A75" w:rsidRDefault="00387142" w:rsidP="00387142">
            <w:pPr>
              <w:rPr>
                <w:sz w:val="20"/>
                <w:szCs w:val="20"/>
              </w:rPr>
            </w:pPr>
            <w:r w:rsidRPr="008B6A75">
              <w:rPr>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nil"/>
              <w:right w:val="nil"/>
            </w:tcBorders>
            <w:shd w:val="clear" w:color="auto" w:fill="auto"/>
            <w:noWrap/>
            <w:vAlign w:val="center"/>
            <w:hideMark/>
          </w:tcPr>
          <w:p w14:paraId="4866A920" w14:textId="77777777" w:rsidR="00387142" w:rsidRPr="008B6A75" w:rsidRDefault="00387142" w:rsidP="00387142">
            <w:pPr>
              <w:jc w:val="center"/>
              <w:rPr>
                <w:sz w:val="20"/>
                <w:szCs w:val="20"/>
              </w:rPr>
            </w:pPr>
            <w:r w:rsidRPr="008B6A75">
              <w:rPr>
                <w:sz w:val="20"/>
                <w:szCs w:val="20"/>
              </w:rPr>
              <w:t>444</w:t>
            </w:r>
          </w:p>
        </w:tc>
        <w:tc>
          <w:tcPr>
            <w:tcW w:w="709" w:type="dxa"/>
            <w:tcBorders>
              <w:top w:val="single" w:sz="4" w:space="0" w:color="auto"/>
              <w:left w:val="single" w:sz="4" w:space="0" w:color="auto"/>
              <w:bottom w:val="nil"/>
              <w:right w:val="nil"/>
            </w:tcBorders>
            <w:shd w:val="clear" w:color="auto" w:fill="auto"/>
            <w:noWrap/>
            <w:vAlign w:val="center"/>
            <w:hideMark/>
          </w:tcPr>
          <w:p w14:paraId="2572FA5B" w14:textId="77777777" w:rsidR="00387142" w:rsidRPr="008B6A75" w:rsidRDefault="00387142" w:rsidP="00387142">
            <w:pPr>
              <w:jc w:val="center"/>
              <w:rPr>
                <w:sz w:val="20"/>
                <w:szCs w:val="20"/>
              </w:rPr>
            </w:pPr>
            <w:r w:rsidRPr="008B6A75">
              <w:rPr>
                <w:sz w:val="20"/>
                <w:szCs w:val="20"/>
              </w:rPr>
              <w:t>01</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46FB44B5" w14:textId="77777777" w:rsidR="00387142" w:rsidRPr="008B6A75" w:rsidRDefault="00387142" w:rsidP="00387142">
            <w:pPr>
              <w:jc w:val="center"/>
              <w:rPr>
                <w:sz w:val="20"/>
                <w:szCs w:val="20"/>
              </w:rPr>
            </w:pPr>
            <w:r w:rsidRPr="008B6A75">
              <w:rPr>
                <w:sz w:val="20"/>
                <w:szCs w:val="20"/>
              </w:rPr>
              <w:t>05</w:t>
            </w:r>
          </w:p>
        </w:tc>
        <w:tc>
          <w:tcPr>
            <w:tcW w:w="1411" w:type="dxa"/>
            <w:tcBorders>
              <w:top w:val="single" w:sz="4" w:space="0" w:color="auto"/>
              <w:left w:val="single" w:sz="4" w:space="0" w:color="auto"/>
              <w:bottom w:val="nil"/>
              <w:right w:val="nil"/>
            </w:tcBorders>
            <w:shd w:val="clear" w:color="auto" w:fill="auto"/>
            <w:noWrap/>
            <w:vAlign w:val="center"/>
            <w:hideMark/>
          </w:tcPr>
          <w:p w14:paraId="3087B0D1" w14:textId="77777777" w:rsidR="00387142" w:rsidRPr="008B6A75" w:rsidRDefault="00387142" w:rsidP="00387142">
            <w:pPr>
              <w:jc w:val="center"/>
              <w:rPr>
                <w:sz w:val="20"/>
                <w:szCs w:val="20"/>
              </w:rPr>
            </w:pPr>
            <w:r w:rsidRPr="008B6A75">
              <w:rPr>
                <w:sz w:val="20"/>
                <w:szCs w:val="20"/>
              </w:rPr>
              <w:t>99.0.00.51200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60970C54" w14:textId="77777777" w:rsidR="00387142" w:rsidRPr="008B6A75" w:rsidRDefault="00387142" w:rsidP="00387142">
            <w:pPr>
              <w:jc w:val="center"/>
              <w:rPr>
                <w:sz w:val="20"/>
                <w:szCs w:val="20"/>
              </w:rPr>
            </w:pPr>
            <w:r w:rsidRPr="008B6A75">
              <w:rPr>
                <w:sz w:val="20"/>
                <w:szCs w:val="20"/>
              </w:rPr>
              <w:t>200</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1DC0DA85" w14:textId="77777777" w:rsidR="00387142" w:rsidRPr="008B6A75" w:rsidRDefault="00387142" w:rsidP="00387142">
            <w:pPr>
              <w:jc w:val="right"/>
              <w:rPr>
                <w:sz w:val="20"/>
                <w:szCs w:val="20"/>
              </w:rPr>
            </w:pPr>
            <w:r w:rsidRPr="008B6A75">
              <w:rPr>
                <w:sz w:val="20"/>
                <w:szCs w:val="20"/>
              </w:rPr>
              <w:t>182 300,00</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0A8BD84B" w14:textId="77777777" w:rsidR="00387142" w:rsidRPr="008B6A75" w:rsidRDefault="00387142" w:rsidP="00387142">
            <w:pPr>
              <w:jc w:val="right"/>
              <w:rPr>
                <w:sz w:val="20"/>
                <w:szCs w:val="20"/>
              </w:rPr>
            </w:pPr>
            <w:r w:rsidRPr="008B6A75">
              <w:rPr>
                <w:sz w:val="20"/>
                <w:szCs w:val="20"/>
              </w:rPr>
              <w:t>8 300,00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31F55CA9" w14:textId="77777777" w:rsidR="00387142" w:rsidRPr="008B6A75" w:rsidRDefault="00387142" w:rsidP="00387142">
            <w:pPr>
              <w:jc w:val="right"/>
              <w:rPr>
                <w:sz w:val="20"/>
                <w:szCs w:val="20"/>
              </w:rPr>
            </w:pPr>
            <w:r w:rsidRPr="008B6A75">
              <w:rPr>
                <w:sz w:val="20"/>
                <w:szCs w:val="20"/>
              </w:rPr>
              <w:t>7 500,00</w:t>
            </w:r>
          </w:p>
        </w:tc>
        <w:tc>
          <w:tcPr>
            <w:tcW w:w="222" w:type="dxa"/>
            <w:vAlign w:val="center"/>
            <w:hideMark/>
          </w:tcPr>
          <w:p w14:paraId="2CF087B4" w14:textId="77777777" w:rsidR="00387142" w:rsidRPr="008B6A75" w:rsidRDefault="00387142" w:rsidP="00387142">
            <w:pPr>
              <w:rPr>
                <w:sz w:val="20"/>
                <w:szCs w:val="20"/>
              </w:rPr>
            </w:pPr>
          </w:p>
        </w:tc>
      </w:tr>
      <w:tr w:rsidR="00387142" w:rsidRPr="008B6A75" w14:paraId="46E1EB8C" w14:textId="77777777" w:rsidTr="00387142">
        <w:trPr>
          <w:trHeight w:val="870"/>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73455E91" w14:textId="77777777" w:rsidR="00387142" w:rsidRPr="008B6A75" w:rsidRDefault="00387142" w:rsidP="00387142">
            <w:pPr>
              <w:rPr>
                <w:sz w:val="20"/>
                <w:szCs w:val="20"/>
              </w:rPr>
            </w:pPr>
            <w:r w:rsidRPr="008B6A75">
              <w:rPr>
                <w:sz w:val="20"/>
                <w:szCs w:val="20"/>
              </w:rPr>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4749CA53" w14:textId="77777777" w:rsidR="00387142" w:rsidRPr="008B6A75" w:rsidRDefault="00387142" w:rsidP="00387142">
            <w:pPr>
              <w:jc w:val="center"/>
              <w:rPr>
                <w:sz w:val="20"/>
                <w:szCs w:val="20"/>
              </w:rPr>
            </w:pPr>
            <w:r w:rsidRPr="008B6A75">
              <w:rPr>
                <w:sz w:val="20"/>
                <w:szCs w:val="20"/>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74E3B07C" w14:textId="77777777" w:rsidR="00387142" w:rsidRPr="008B6A75" w:rsidRDefault="00387142" w:rsidP="00387142">
            <w:pPr>
              <w:jc w:val="center"/>
              <w:rPr>
                <w:sz w:val="20"/>
                <w:szCs w:val="20"/>
              </w:rPr>
            </w:pPr>
            <w:r w:rsidRPr="008B6A75">
              <w:rPr>
                <w:sz w:val="20"/>
                <w:szCs w:val="20"/>
              </w:rPr>
              <w:t>01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F6792F" w14:textId="77777777" w:rsidR="00387142" w:rsidRPr="008B6A75" w:rsidRDefault="00387142" w:rsidP="00387142">
            <w:pPr>
              <w:jc w:val="center"/>
              <w:rPr>
                <w:sz w:val="20"/>
                <w:szCs w:val="20"/>
              </w:rPr>
            </w:pPr>
            <w:r w:rsidRPr="008B6A75">
              <w:rPr>
                <w:sz w:val="20"/>
                <w:szCs w:val="20"/>
              </w:rPr>
              <w:t>05</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5393EEE4" w14:textId="77777777" w:rsidR="00387142" w:rsidRPr="008B6A75" w:rsidRDefault="00387142" w:rsidP="00387142">
            <w:pPr>
              <w:jc w:val="center"/>
              <w:rPr>
                <w:sz w:val="20"/>
                <w:szCs w:val="20"/>
              </w:rPr>
            </w:pPr>
            <w:r w:rsidRPr="008B6A75">
              <w:rPr>
                <w:sz w:val="20"/>
                <w:szCs w:val="20"/>
              </w:rPr>
              <w:t>99.0.00.51200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409377" w14:textId="77777777" w:rsidR="00387142" w:rsidRPr="008B6A75" w:rsidRDefault="00387142" w:rsidP="00387142">
            <w:pPr>
              <w:jc w:val="center"/>
              <w:rPr>
                <w:sz w:val="20"/>
                <w:szCs w:val="20"/>
              </w:rPr>
            </w:pPr>
            <w:r w:rsidRPr="008B6A75">
              <w:rPr>
                <w:sz w:val="20"/>
                <w:szCs w:val="20"/>
              </w:rPr>
              <w:t>240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6638FC" w14:textId="77777777" w:rsidR="00387142" w:rsidRPr="008B6A75" w:rsidRDefault="00387142" w:rsidP="00387142">
            <w:pPr>
              <w:jc w:val="right"/>
              <w:rPr>
                <w:sz w:val="20"/>
                <w:szCs w:val="20"/>
              </w:rPr>
            </w:pPr>
            <w:r w:rsidRPr="008B6A75">
              <w:rPr>
                <w:sz w:val="20"/>
                <w:szCs w:val="20"/>
              </w:rPr>
              <w:t>182 300,00</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29A50606" w14:textId="77777777" w:rsidR="00387142" w:rsidRPr="008B6A75" w:rsidRDefault="00387142" w:rsidP="00387142">
            <w:pPr>
              <w:jc w:val="right"/>
              <w:rPr>
                <w:sz w:val="20"/>
                <w:szCs w:val="20"/>
              </w:rPr>
            </w:pPr>
            <w:r w:rsidRPr="008B6A75">
              <w:rPr>
                <w:sz w:val="20"/>
                <w:szCs w:val="20"/>
              </w:rPr>
              <w:t>8 300,00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E4CBED" w14:textId="77777777" w:rsidR="00387142" w:rsidRPr="008B6A75" w:rsidRDefault="00387142" w:rsidP="00387142">
            <w:pPr>
              <w:jc w:val="right"/>
              <w:rPr>
                <w:sz w:val="20"/>
                <w:szCs w:val="20"/>
              </w:rPr>
            </w:pPr>
            <w:r w:rsidRPr="008B6A75">
              <w:rPr>
                <w:sz w:val="20"/>
                <w:szCs w:val="20"/>
              </w:rPr>
              <w:t>7 500,00</w:t>
            </w:r>
          </w:p>
        </w:tc>
        <w:tc>
          <w:tcPr>
            <w:tcW w:w="222" w:type="dxa"/>
            <w:vAlign w:val="center"/>
            <w:hideMark/>
          </w:tcPr>
          <w:p w14:paraId="76702254" w14:textId="77777777" w:rsidR="00387142" w:rsidRPr="008B6A75" w:rsidRDefault="00387142" w:rsidP="00387142">
            <w:pPr>
              <w:rPr>
                <w:sz w:val="20"/>
                <w:szCs w:val="20"/>
              </w:rPr>
            </w:pPr>
          </w:p>
        </w:tc>
      </w:tr>
      <w:tr w:rsidR="00387142" w:rsidRPr="008B6A75" w14:paraId="5A934D10" w14:textId="77777777" w:rsidTr="00387142">
        <w:trPr>
          <w:trHeight w:val="870"/>
        </w:trPr>
        <w:tc>
          <w:tcPr>
            <w:tcW w:w="3021" w:type="dxa"/>
            <w:tcBorders>
              <w:top w:val="nil"/>
              <w:left w:val="single" w:sz="4" w:space="0" w:color="auto"/>
              <w:bottom w:val="nil"/>
              <w:right w:val="nil"/>
            </w:tcBorders>
            <w:shd w:val="clear" w:color="auto" w:fill="auto"/>
            <w:vAlign w:val="center"/>
            <w:hideMark/>
          </w:tcPr>
          <w:p w14:paraId="64163D96" w14:textId="77777777" w:rsidR="00387142" w:rsidRPr="008B6A75" w:rsidRDefault="00387142" w:rsidP="00387142">
            <w:pPr>
              <w:rPr>
                <w:bCs/>
                <w:sz w:val="20"/>
                <w:szCs w:val="20"/>
              </w:rPr>
            </w:pPr>
            <w:r w:rsidRPr="008B6A75">
              <w:rPr>
                <w:bCs/>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850" w:type="dxa"/>
            <w:tcBorders>
              <w:top w:val="nil"/>
              <w:left w:val="single" w:sz="4" w:space="0" w:color="auto"/>
              <w:bottom w:val="nil"/>
              <w:right w:val="nil"/>
            </w:tcBorders>
            <w:shd w:val="clear" w:color="auto" w:fill="auto"/>
            <w:noWrap/>
            <w:vAlign w:val="center"/>
            <w:hideMark/>
          </w:tcPr>
          <w:p w14:paraId="44459AA1" w14:textId="77777777" w:rsidR="00387142" w:rsidRPr="008B6A75" w:rsidRDefault="00387142" w:rsidP="00387142">
            <w:pPr>
              <w:jc w:val="center"/>
              <w:rPr>
                <w:bCs/>
                <w:sz w:val="20"/>
                <w:szCs w:val="20"/>
              </w:rPr>
            </w:pPr>
            <w:r w:rsidRPr="008B6A75">
              <w:rPr>
                <w:bCs/>
                <w:sz w:val="20"/>
                <w:szCs w:val="20"/>
              </w:rPr>
              <w:t>444</w:t>
            </w:r>
          </w:p>
        </w:tc>
        <w:tc>
          <w:tcPr>
            <w:tcW w:w="709" w:type="dxa"/>
            <w:tcBorders>
              <w:top w:val="nil"/>
              <w:left w:val="single" w:sz="4" w:space="0" w:color="auto"/>
              <w:bottom w:val="nil"/>
              <w:right w:val="nil"/>
            </w:tcBorders>
            <w:shd w:val="clear" w:color="auto" w:fill="auto"/>
            <w:noWrap/>
            <w:vAlign w:val="center"/>
            <w:hideMark/>
          </w:tcPr>
          <w:p w14:paraId="3D49E4FC" w14:textId="77777777" w:rsidR="00387142" w:rsidRPr="008B6A75" w:rsidRDefault="00387142" w:rsidP="00387142">
            <w:pPr>
              <w:jc w:val="center"/>
              <w:rPr>
                <w:bCs/>
                <w:sz w:val="20"/>
                <w:szCs w:val="20"/>
              </w:rPr>
            </w:pPr>
            <w:r w:rsidRPr="008B6A75">
              <w:rPr>
                <w:bCs/>
                <w:sz w:val="20"/>
                <w:szCs w:val="20"/>
              </w:rPr>
              <w:t>01</w:t>
            </w:r>
          </w:p>
        </w:tc>
        <w:tc>
          <w:tcPr>
            <w:tcW w:w="709" w:type="dxa"/>
            <w:tcBorders>
              <w:top w:val="nil"/>
              <w:left w:val="single" w:sz="4" w:space="0" w:color="auto"/>
              <w:bottom w:val="nil"/>
              <w:right w:val="single" w:sz="4" w:space="0" w:color="auto"/>
            </w:tcBorders>
            <w:shd w:val="clear" w:color="auto" w:fill="auto"/>
            <w:noWrap/>
            <w:vAlign w:val="center"/>
            <w:hideMark/>
          </w:tcPr>
          <w:p w14:paraId="56E270DC" w14:textId="77777777" w:rsidR="00387142" w:rsidRPr="008B6A75" w:rsidRDefault="00387142" w:rsidP="00387142">
            <w:pPr>
              <w:jc w:val="center"/>
              <w:rPr>
                <w:bCs/>
                <w:sz w:val="20"/>
                <w:szCs w:val="20"/>
              </w:rPr>
            </w:pPr>
            <w:r w:rsidRPr="008B6A75">
              <w:rPr>
                <w:bCs/>
                <w:sz w:val="20"/>
                <w:szCs w:val="20"/>
              </w:rPr>
              <w:t>06</w:t>
            </w:r>
          </w:p>
        </w:tc>
        <w:tc>
          <w:tcPr>
            <w:tcW w:w="1411" w:type="dxa"/>
            <w:tcBorders>
              <w:top w:val="nil"/>
              <w:left w:val="single" w:sz="4" w:space="0" w:color="auto"/>
              <w:bottom w:val="nil"/>
              <w:right w:val="nil"/>
            </w:tcBorders>
            <w:shd w:val="clear" w:color="auto" w:fill="auto"/>
            <w:noWrap/>
            <w:vAlign w:val="center"/>
            <w:hideMark/>
          </w:tcPr>
          <w:p w14:paraId="4810958B" w14:textId="77777777" w:rsidR="00387142" w:rsidRPr="008B6A75" w:rsidRDefault="00387142" w:rsidP="00387142">
            <w:pPr>
              <w:jc w:val="center"/>
              <w:rPr>
                <w:bCs/>
                <w:sz w:val="20"/>
                <w:szCs w:val="20"/>
              </w:rPr>
            </w:pPr>
            <w:r w:rsidRPr="008B6A75">
              <w:rPr>
                <w:bCs/>
                <w:sz w:val="20"/>
                <w:szCs w:val="20"/>
              </w:rPr>
              <w:t> </w:t>
            </w:r>
          </w:p>
        </w:tc>
        <w:tc>
          <w:tcPr>
            <w:tcW w:w="955" w:type="dxa"/>
            <w:tcBorders>
              <w:top w:val="nil"/>
              <w:left w:val="single" w:sz="4" w:space="0" w:color="auto"/>
              <w:bottom w:val="nil"/>
              <w:right w:val="single" w:sz="4" w:space="0" w:color="auto"/>
            </w:tcBorders>
            <w:shd w:val="clear" w:color="auto" w:fill="auto"/>
            <w:noWrap/>
            <w:vAlign w:val="center"/>
            <w:hideMark/>
          </w:tcPr>
          <w:p w14:paraId="3F45C55F"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nil"/>
              <w:right w:val="single" w:sz="4" w:space="0" w:color="auto"/>
            </w:tcBorders>
            <w:shd w:val="clear" w:color="auto" w:fill="auto"/>
            <w:noWrap/>
            <w:vAlign w:val="center"/>
            <w:hideMark/>
          </w:tcPr>
          <w:p w14:paraId="72B1991D" w14:textId="77777777" w:rsidR="00387142" w:rsidRPr="008B6A75" w:rsidRDefault="00387142" w:rsidP="00387142">
            <w:pPr>
              <w:jc w:val="right"/>
              <w:rPr>
                <w:bCs/>
                <w:sz w:val="20"/>
                <w:szCs w:val="20"/>
              </w:rPr>
            </w:pPr>
            <w:r w:rsidRPr="008B6A75">
              <w:rPr>
                <w:bCs/>
                <w:sz w:val="20"/>
                <w:szCs w:val="20"/>
              </w:rPr>
              <w:t>2 320 940,35</w:t>
            </w:r>
          </w:p>
        </w:tc>
        <w:tc>
          <w:tcPr>
            <w:tcW w:w="992" w:type="dxa"/>
            <w:gridSpan w:val="2"/>
            <w:tcBorders>
              <w:top w:val="nil"/>
              <w:left w:val="single" w:sz="4" w:space="0" w:color="auto"/>
              <w:bottom w:val="nil"/>
              <w:right w:val="nil"/>
            </w:tcBorders>
            <w:shd w:val="clear" w:color="auto" w:fill="auto"/>
            <w:noWrap/>
            <w:vAlign w:val="center"/>
            <w:hideMark/>
          </w:tcPr>
          <w:p w14:paraId="224BD1F1" w14:textId="77777777" w:rsidR="00387142" w:rsidRPr="008B6A75" w:rsidRDefault="00387142" w:rsidP="00387142">
            <w:pPr>
              <w:jc w:val="right"/>
              <w:rPr>
                <w:bCs/>
                <w:sz w:val="20"/>
                <w:szCs w:val="20"/>
              </w:rPr>
            </w:pPr>
            <w:r w:rsidRPr="008B6A75">
              <w:rPr>
                <w:bCs/>
                <w:sz w:val="20"/>
                <w:szCs w:val="20"/>
              </w:rPr>
              <w:t>53 000,00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51C1CD50" w14:textId="77777777" w:rsidR="00387142" w:rsidRPr="008B6A75" w:rsidRDefault="00387142" w:rsidP="00387142">
            <w:pPr>
              <w:jc w:val="right"/>
              <w:rPr>
                <w:bCs/>
                <w:sz w:val="20"/>
                <w:szCs w:val="20"/>
              </w:rPr>
            </w:pPr>
            <w:r w:rsidRPr="008B6A75">
              <w:rPr>
                <w:bCs/>
                <w:sz w:val="20"/>
                <w:szCs w:val="20"/>
              </w:rPr>
              <w:t>53 000,00</w:t>
            </w:r>
          </w:p>
        </w:tc>
        <w:tc>
          <w:tcPr>
            <w:tcW w:w="222" w:type="dxa"/>
            <w:vAlign w:val="center"/>
            <w:hideMark/>
          </w:tcPr>
          <w:p w14:paraId="12EE49D6" w14:textId="77777777" w:rsidR="00387142" w:rsidRPr="008B6A75" w:rsidRDefault="00387142" w:rsidP="00387142">
            <w:pPr>
              <w:rPr>
                <w:sz w:val="20"/>
                <w:szCs w:val="20"/>
              </w:rPr>
            </w:pPr>
          </w:p>
        </w:tc>
      </w:tr>
      <w:tr w:rsidR="00387142" w:rsidRPr="008B6A75" w14:paraId="47F1CA90" w14:textId="77777777" w:rsidTr="00387142">
        <w:trPr>
          <w:trHeight w:val="300"/>
        </w:trPr>
        <w:tc>
          <w:tcPr>
            <w:tcW w:w="3021" w:type="dxa"/>
            <w:tcBorders>
              <w:top w:val="single" w:sz="4" w:space="0" w:color="auto"/>
              <w:left w:val="single" w:sz="4" w:space="0" w:color="auto"/>
              <w:bottom w:val="nil"/>
              <w:right w:val="nil"/>
            </w:tcBorders>
            <w:shd w:val="clear" w:color="auto" w:fill="auto"/>
            <w:vAlign w:val="center"/>
            <w:hideMark/>
          </w:tcPr>
          <w:p w14:paraId="60005319" w14:textId="77777777" w:rsidR="00387142" w:rsidRPr="008B6A75" w:rsidRDefault="00387142" w:rsidP="00387142">
            <w:pPr>
              <w:rPr>
                <w:bCs/>
                <w:sz w:val="20"/>
                <w:szCs w:val="20"/>
              </w:rPr>
            </w:pPr>
            <w:r w:rsidRPr="008B6A75">
              <w:rPr>
                <w:bCs/>
                <w:sz w:val="20"/>
                <w:szCs w:val="20"/>
              </w:rPr>
              <w:t>Непрограммные направления бюджета</w:t>
            </w:r>
          </w:p>
        </w:tc>
        <w:tc>
          <w:tcPr>
            <w:tcW w:w="850" w:type="dxa"/>
            <w:tcBorders>
              <w:top w:val="single" w:sz="4" w:space="0" w:color="auto"/>
              <w:left w:val="single" w:sz="4" w:space="0" w:color="auto"/>
              <w:bottom w:val="nil"/>
              <w:right w:val="nil"/>
            </w:tcBorders>
            <w:shd w:val="clear" w:color="auto" w:fill="auto"/>
            <w:noWrap/>
            <w:vAlign w:val="center"/>
            <w:hideMark/>
          </w:tcPr>
          <w:p w14:paraId="0780E2B1" w14:textId="77777777" w:rsidR="00387142" w:rsidRPr="008B6A75" w:rsidRDefault="00387142" w:rsidP="00387142">
            <w:pPr>
              <w:jc w:val="center"/>
              <w:rPr>
                <w:bCs/>
                <w:sz w:val="20"/>
                <w:szCs w:val="20"/>
              </w:rPr>
            </w:pPr>
            <w:r w:rsidRPr="008B6A75">
              <w:rPr>
                <w:bCs/>
                <w:sz w:val="20"/>
                <w:szCs w:val="20"/>
              </w:rPr>
              <w:t>444</w:t>
            </w:r>
          </w:p>
        </w:tc>
        <w:tc>
          <w:tcPr>
            <w:tcW w:w="709" w:type="dxa"/>
            <w:tcBorders>
              <w:top w:val="single" w:sz="4" w:space="0" w:color="auto"/>
              <w:left w:val="single" w:sz="4" w:space="0" w:color="auto"/>
              <w:bottom w:val="nil"/>
              <w:right w:val="nil"/>
            </w:tcBorders>
            <w:shd w:val="clear" w:color="auto" w:fill="auto"/>
            <w:noWrap/>
            <w:vAlign w:val="center"/>
            <w:hideMark/>
          </w:tcPr>
          <w:p w14:paraId="76855665" w14:textId="77777777" w:rsidR="00387142" w:rsidRPr="008B6A75" w:rsidRDefault="00387142" w:rsidP="00387142">
            <w:pPr>
              <w:jc w:val="center"/>
              <w:rPr>
                <w:bCs/>
                <w:sz w:val="20"/>
                <w:szCs w:val="20"/>
              </w:rPr>
            </w:pPr>
            <w:r w:rsidRPr="008B6A75">
              <w:rPr>
                <w:bCs/>
                <w:sz w:val="20"/>
                <w:szCs w:val="20"/>
              </w:rPr>
              <w:t>01</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7450666F" w14:textId="77777777" w:rsidR="00387142" w:rsidRPr="008B6A75" w:rsidRDefault="00387142" w:rsidP="00387142">
            <w:pPr>
              <w:jc w:val="center"/>
              <w:rPr>
                <w:bCs/>
                <w:sz w:val="20"/>
                <w:szCs w:val="20"/>
              </w:rPr>
            </w:pPr>
            <w:r w:rsidRPr="008B6A75">
              <w:rPr>
                <w:bCs/>
                <w:sz w:val="20"/>
                <w:szCs w:val="20"/>
              </w:rPr>
              <w:t>06</w:t>
            </w:r>
          </w:p>
        </w:tc>
        <w:tc>
          <w:tcPr>
            <w:tcW w:w="1411" w:type="dxa"/>
            <w:tcBorders>
              <w:top w:val="single" w:sz="4" w:space="0" w:color="auto"/>
              <w:left w:val="single" w:sz="4" w:space="0" w:color="auto"/>
              <w:bottom w:val="nil"/>
              <w:right w:val="nil"/>
            </w:tcBorders>
            <w:shd w:val="clear" w:color="auto" w:fill="auto"/>
            <w:noWrap/>
            <w:vAlign w:val="center"/>
            <w:hideMark/>
          </w:tcPr>
          <w:p w14:paraId="4B76B95E" w14:textId="77777777" w:rsidR="00387142" w:rsidRPr="008B6A75" w:rsidRDefault="00387142" w:rsidP="00387142">
            <w:pPr>
              <w:jc w:val="center"/>
              <w:rPr>
                <w:bCs/>
                <w:sz w:val="20"/>
                <w:szCs w:val="20"/>
              </w:rPr>
            </w:pPr>
            <w:r w:rsidRPr="008B6A75">
              <w:rPr>
                <w:bCs/>
                <w:sz w:val="20"/>
                <w:szCs w:val="20"/>
              </w:rPr>
              <w:t>99.0.00.00000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24B22D88" w14:textId="77777777" w:rsidR="00387142" w:rsidRPr="008B6A75" w:rsidRDefault="00387142" w:rsidP="00387142">
            <w:pPr>
              <w:jc w:val="center"/>
              <w:rPr>
                <w:bCs/>
                <w:sz w:val="20"/>
                <w:szCs w:val="20"/>
              </w:rPr>
            </w:pPr>
            <w:r w:rsidRPr="008B6A75">
              <w:rPr>
                <w:bCs/>
                <w:sz w:val="20"/>
                <w:szCs w:val="20"/>
              </w:rPr>
              <w:t> </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628980D6" w14:textId="77777777" w:rsidR="00387142" w:rsidRPr="008B6A75" w:rsidRDefault="00387142" w:rsidP="00387142">
            <w:pPr>
              <w:jc w:val="right"/>
              <w:rPr>
                <w:bCs/>
                <w:sz w:val="20"/>
                <w:szCs w:val="20"/>
              </w:rPr>
            </w:pPr>
            <w:r w:rsidRPr="008B6A75">
              <w:rPr>
                <w:bCs/>
                <w:sz w:val="20"/>
                <w:szCs w:val="20"/>
              </w:rPr>
              <w:t>2 320 940,35</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5020880E" w14:textId="77777777" w:rsidR="00387142" w:rsidRPr="008B6A75" w:rsidRDefault="00387142" w:rsidP="00387142">
            <w:pPr>
              <w:jc w:val="right"/>
              <w:rPr>
                <w:bCs/>
                <w:sz w:val="20"/>
                <w:szCs w:val="20"/>
              </w:rPr>
            </w:pPr>
            <w:r w:rsidRPr="008B6A75">
              <w:rPr>
                <w:bCs/>
                <w:sz w:val="20"/>
                <w:szCs w:val="20"/>
              </w:rPr>
              <w:t>53 000,00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0B1053A9" w14:textId="77777777" w:rsidR="00387142" w:rsidRPr="008B6A75" w:rsidRDefault="00387142" w:rsidP="00387142">
            <w:pPr>
              <w:jc w:val="right"/>
              <w:rPr>
                <w:bCs/>
                <w:sz w:val="20"/>
                <w:szCs w:val="20"/>
              </w:rPr>
            </w:pPr>
            <w:r w:rsidRPr="008B6A75">
              <w:rPr>
                <w:bCs/>
                <w:sz w:val="20"/>
                <w:szCs w:val="20"/>
              </w:rPr>
              <w:t>53 000,00</w:t>
            </w:r>
          </w:p>
        </w:tc>
        <w:tc>
          <w:tcPr>
            <w:tcW w:w="222" w:type="dxa"/>
            <w:vAlign w:val="center"/>
            <w:hideMark/>
          </w:tcPr>
          <w:p w14:paraId="0C663451" w14:textId="77777777" w:rsidR="00387142" w:rsidRPr="008B6A75" w:rsidRDefault="00387142" w:rsidP="00387142">
            <w:pPr>
              <w:rPr>
                <w:sz w:val="20"/>
                <w:szCs w:val="20"/>
              </w:rPr>
            </w:pPr>
          </w:p>
        </w:tc>
      </w:tr>
      <w:tr w:rsidR="00387142" w:rsidRPr="008B6A75" w14:paraId="003DE682" w14:textId="77777777" w:rsidTr="00387142">
        <w:trPr>
          <w:trHeight w:val="585"/>
        </w:trPr>
        <w:tc>
          <w:tcPr>
            <w:tcW w:w="3021" w:type="dxa"/>
            <w:tcBorders>
              <w:top w:val="single" w:sz="4" w:space="0" w:color="auto"/>
              <w:left w:val="single" w:sz="4" w:space="0" w:color="auto"/>
              <w:bottom w:val="nil"/>
              <w:right w:val="nil"/>
            </w:tcBorders>
            <w:shd w:val="clear" w:color="auto" w:fill="auto"/>
            <w:vAlign w:val="center"/>
            <w:hideMark/>
          </w:tcPr>
          <w:p w14:paraId="21F4C690" w14:textId="77777777" w:rsidR="00387142" w:rsidRPr="008B6A75" w:rsidRDefault="00387142" w:rsidP="00387142">
            <w:pPr>
              <w:rPr>
                <w:bCs/>
                <w:sz w:val="20"/>
                <w:szCs w:val="20"/>
              </w:rPr>
            </w:pPr>
            <w:r w:rsidRPr="008B6A75">
              <w:rPr>
                <w:bCs/>
                <w:sz w:val="20"/>
                <w:szCs w:val="20"/>
              </w:rPr>
              <w:t>Расходы на обеспечение функций муниципальных органов</w:t>
            </w:r>
          </w:p>
        </w:tc>
        <w:tc>
          <w:tcPr>
            <w:tcW w:w="850" w:type="dxa"/>
            <w:tcBorders>
              <w:top w:val="single" w:sz="4" w:space="0" w:color="auto"/>
              <w:left w:val="single" w:sz="4" w:space="0" w:color="auto"/>
              <w:bottom w:val="nil"/>
              <w:right w:val="nil"/>
            </w:tcBorders>
            <w:shd w:val="clear" w:color="auto" w:fill="auto"/>
            <w:noWrap/>
            <w:vAlign w:val="center"/>
            <w:hideMark/>
          </w:tcPr>
          <w:p w14:paraId="46724A65" w14:textId="77777777" w:rsidR="00387142" w:rsidRPr="008B6A75" w:rsidRDefault="00387142" w:rsidP="00387142">
            <w:pPr>
              <w:jc w:val="center"/>
              <w:rPr>
                <w:bCs/>
                <w:sz w:val="20"/>
                <w:szCs w:val="20"/>
              </w:rPr>
            </w:pPr>
            <w:r w:rsidRPr="008B6A75">
              <w:rPr>
                <w:bCs/>
                <w:sz w:val="20"/>
                <w:szCs w:val="20"/>
              </w:rPr>
              <w:t>444</w:t>
            </w:r>
          </w:p>
        </w:tc>
        <w:tc>
          <w:tcPr>
            <w:tcW w:w="709" w:type="dxa"/>
            <w:tcBorders>
              <w:top w:val="single" w:sz="4" w:space="0" w:color="auto"/>
              <w:left w:val="single" w:sz="4" w:space="0" w:color="auto"/>
              <w:bottom w:val="nil"/>
              <w:right w:val="nil"/>
            </w:tcBorders>
            <w:shd w:val="clear" w:color="auto" w:fill="auto"/>
            <w:noWrap/>
            <w:vAlign w:val="center"/>
            <w:hideMark/>
          </w:tcPr>
          <w:p w14:paraId="299CD47E" w14:textId="77777777" w:rsidR="00387142" w:rsidRPr="008B6A75" w:rsidRDefault="00387142" w:rsidP="00387142">
            <w:pPr>
              <w:jc w:val="center"/>
              <w:rPr>
                <w:bCs/>
                <w:sz w:val="20"/>
                <w:szCs w:val="20"/>
              </w:rPr>
            </w:pPr>
            <w:r w:rsidRPr="008B6A75">
              <w:rPr>
                <w:bCs/>
                <w:sz w:val="20"/>
                <w:szCs w:val="20"/>
              </w:rPr>
              <w:t>01</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0090AA69" w14:textId="77777777" w:rsidR="00387142" w:rsidRPr="008B6A75" w:rsidRDefault="00387142" w:rsidP="00387142">
            <w:pPr>
              <w:jc w:val="center"/>
              <w:rPr>
                <w:bCs/>
                <w:sz w:val="20"/>
                <w:szCs w:val="20"/>
              </w:rPr>
            </w:pPr>
            <w:r w:rsidRPr="008B6A75">
              <w:rPr>
                <w:bCs/>
                <w:sz w:val="20"/>
                <w:szCs w:val="20"/>
              </w:rPr>
              <w:t>06</w:t>
            </w:r>
          </w:p>
        </w:tc>
        <w:tc>
          <w:tcPr>
            <w:tcW w:w="1411" w:type="dxa"/>
            <w:tcBorders>
              <w:top w:val="single" w:sz="4" w:space="0" w:color="auto"/>
              <w:left w:val="single" w:sz="4" w:space="0" w:color="auto"/>
              <w:bottom w:val="nil"/>
              <w:right w:val="nil"/>
            </w:tcBorders>
            <w:shd w:val="clear" w:color="auto" w:fill="auto"/>
            <w:noWrap/>
            <w:vAlign w:val="center"/>
            <w:hideMark/>
          </w:tcPr>
          <w:p w14:paraId="48E6404E" w14:textId="77777777" w:rsidR="00387142" w:rsidRPr="008B6A75" w:rsidRDefault="00387142" w:rsidP="00387142">
            <w:pPr>
              <w:jc w:val="center"/>
              <w:rPr>
                <w:bCs/>
                <w:sz w:val="20"/>
                <w:szCs w:val="20"/>
              </w:rPr>
            </w:pPr>
            <w:r w:rsidRPr="008B6A75">
              <w:rPr>
                <w:bCs/>
                <w:sz w:val="20"/>
                <w:szCs w:val="20"/>
              </w:rPr>
              <w:t>99.0.00.01400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443DD916" w14:textId="77777777" w:rsidR="00387142" w:rsidRPr="008B6A75" w:rsidRDefault="00387142" w:rsidP="00387142">
            <w:pPr>
              <w:jc w:val="center"/>
              <w:rPr>
                <w:bCs/>
                <w:sz w:val="20"/>
                <w:szCs w:val="20"/>
              </w:rPr>
            </w:pPr>
            <w:r w:rsidRPr="008B6A75">
              <w:rPr>
                <w:bCs/>
                <w:sz w:val="20"/>
                <w:szCs w:val="20"/>
              </w:rPr>
              <w:t> </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13BE03C0" w14:textId="77777777" w:rsidR="00387142" w:rsidRPr="008B6A75" w:rsidRDefault="00387142" w:rsidP="00387142">
            <w:pPr>
              <w:jc w:val="right"/>
              <w:rPr>
                <w:bCs/>
                <w:sz w:val="20"/>
                <w:szCs w:val="20"/>
              </w:rPr>
            </w:pPr>
            <w:r w:rsidRPr="008B6A75">
              <w:rPr>
                <w:bCs/>
                <w:sz w:val="20"/>
                <w:szCs w:val="20"/>
              </w:rPr>
              <w:t>2 212 412,61</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7BA29FA8" w14:textId="77777777" w:rsidR="00387142" w:rsidRPr="008B6A75" w:rsidRDefault="00387142" w:rsidP="00387142">
            <w:pPr>
              <w:jc w:val="right"/>
              <w:rPr>
                <w:bCs/>
                <w:sz w:val="20"/>
                <w:szCs w:val="20"/>
              </w:rPr>
            </w:pPr>
            <w:r w:rsidRPr="008B6A75">
              <w:rPr>
                <w:bCs/>
                <w:sz w:val="20"/>
                <w:szCs w:val="20"/>
              </w:rPr>
              <w:t>53 000,00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28D3F81A" w14:textId="77777777" w:rsidR="00387142" w:rsidRPr="008B6A75" w:rsidRDefault="00387142" w:rsidP="00387142">
            <w:pPr>
              <w:jc w:val="right"/>
              <w:rPr>
                <w:bCs/>
                <w:sz w:val="20"/>
                <w:szCs w:val="20"/>
              </w:rPr>
            </w:pPr>
            <w:r w:rsidRPr="008B6A75">
              <w:rPr>
                <w:bCs/>
                <w:sz w:val="20"/>
                <w:szCs w:val="20"/>
              </w:rPr>
              <w:t>53 000,00</w:t>
            </w:r>
          </w:p>
        </w:tc>
        <w:tc>
          <w:tcPr>
            <w:tcW w:w="222" w:type="dxa"/>
            <w:vAlign w:val="center"/>
            <w:hideMark/>
          </w:tcPr>
          <w:p w14:paraId="66E1D1E3" w14:textId="77777777" w:rsidR="00387142" w:rsidRPr="008B6A75" w:rsidRDefault="00387142" w:rsidP="00387142">
            <w:pPr>
              <w:rPr>
                <w:sz w:val="20"/>
                <w:szCs w:val="20"/>
              </w:rPr>
            </w:pPr>
          </w:p>
        </w:tc>
      </w:tr>
      <w:tr w:rsidR="00387142" w:rsidRPr="008B6A75" w14:paraId="5C8D33C5" w14:textId="77777777" w:rsidTr="00387142">
        <w:trPr>
          <w:trHeight w:val="1440"/>
        </w:trPr>
        <w:tc>
          <w:tcPr>
            <w:tcW w:w="3021" w:type="dxa"/>
            <w:tcBorders>
              <w:top w:val="single" w:sz="4" w:space="0" w:color="auto"/>
              <w:left w:val="single" w:sz="4" w:space="0" w:color="auto"/>
              <w:bottom w:val="nil"/>
              <w:right w:val="nil"/>
            </w:tcBorders>
            <w:shd w:val="clear" w:color="auto" w:fill="auto"/>
            <w:vAlign w:val="center"/>
            <w:hideMark/>
          </w:tcPr>
          <w:p w14:paraId="61C0B210" w14:textId="77777777" w:rsidR="00387142" w:rsidRPr="008B6A75" w:rsidRDefault="00387142" w:rsidP="00387142">
            <w:pPr>
              <w:rPr>
                <w:sz w:val="20"/>
                <w:szCs w:val="20"/>
              </w:rPr>
            </w:pPr>
            <w:r w:rsidRPr="008B6A7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nil"/>
              <w:right w:val="nil"/>
            </w:tcBorders>
            <w:shd w:val="clear" w:color="auto" w:fill="auto"/>
            <w:noWrap/>
            <w:vAlign w:val="center"/>
            <w:hideMark/>
          </w:tcPr>
          <w:p w14:paraId="387BE96E" w14:textId="77777777" w:rsidR="00387142" w:rsidRPr="008B6A75" w:rsidRDefault="00387142" w:rsidP="00387142">
            <w:pPr>
              <w:jc w:val="center"/>
              <w:rPr>
                <w:sz w:val="20"/>
                <w:szCs w:val="20"/>
              </w:rPr>
            </w:pPr>
            <w:r w:rsidRPr="008B6A75">
              <w:rPr>
                <w:sz w:val="20"/>
                <w:szCs w:val="20"/>
              </w:rPr>
              <w:t>444</w:t>
            </w:r>
          </w:p>
        </w:tc>
        <w:tc>
          <w:tcPr>
            <w:tcW w:w="709" w:type="dxa"/>
            <w:tcBorders>
              <w:top w:val="single" w:sz="4" w:space="0" w:color="auto"/>
              <w:left w:val="single" w:sz="4" w:space="0" w:color="auto"/>
              <w:bottom w:val="nil"/>
              <w:right w:val="nil"/>
            </w:tcBorders>
            <w:shd w:val="clear" w:color="auto" w:fill="auto"/>
            <w:noWrap/>
            <w:vAlign w:val="center"/>
            <w:hideMark/>
          </w:tcPr>
          <w:p w14:paraId="04B6EC1E" w14:textId="77777777" w:rsidR="00387142" w:rsidRPr="008B6A75" w:rsidRDefault="00387142" w:rsidP="00387142">
            <w:pPr>
              <w:jc w:val="center"/>
              <w:rPr>
                <w:sz w:val="20"/>
                <w:szCs w:val="20"/>
              </w:rPr>
            </w:pPr>
            <w:r w:rsidRPr="008B6A75">
              <w:rPr>
                <w:sz w:val="20"/>
                <w:szCs w:val="20"/>
              </w:rPr>
              <w:t>01</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788CF57D" w14:textId="77777777" w:rsidR="00387142" w:rsidRPr="008B6A75" w:rsidRDefault="00387142" w:rsidP="00387142">
            <w:pPr>
              <w:jc w:val="center"/>
              <w:rPr>
                <w:sz w:val="20"/>
                <w:szCs w:val="20"/>
              </w:rPr>
            </w:pPr>
            <w:r w:rsidRPr="008B6A75">
              <w:rPr>
                <w:sz w:val="20"/>
                <w:szCs w:val="20"/>
              </w:rPr>
              <w:t>06</w:t>
            </w:r>
          </w:p>
        </w:tc>
        <w:tc>
          <w:tcPr>
            <w:tcW w:w="1411" w:type="dxa"/>
            <w:tcBorders>
              <w:top w:val="single" w:sz="4" w:space="0" w:color="auto"/>
              <w:left w:val="single" w:sz="4" w:space="0" w:color="auto"/>
              <w:bottom w:val="nil"/>
              <w:right w:val="nil"/>
            </w:tcBorders>
            <w:shd w:val="clear" w:color="auto" w:fill="auto"/>
            <w:noWrap/>
            <w:vAlign w:val="center"/>
            <w:hideMark/>
          </w:tcPr>
          <w:p w14:paraId="52B2BE43" w14:textId="77777777" w:rsidR="00387142" w:rsidRPr="008B6A75" w:rsidRDefault="00387142" w:rsidP="00387142">
            <w:pPr>
              <w:jc w:val="center"/>
              <w:rPr>
                <w:sz w:val="20"/>
                <w:szCs w:val="20"/>
              </w:rPr>
            </w:pPr>
            <w:r w:rsidRPr="008B6A75">
              <w:rPr>
                <w:sz w:val="20"/>
                <w:szCs w:val="20"/>
              </w:rPr>
              <w:t>99.0.00.01400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2E39E1F0" w14:textId="77777777" w:rsidR="00387142" w:rsidRPr="008B6A75" w:rsidRDefault="00387142" w:rsidP="00387142">
            <w:pPr>
              <w:jc w:val="center"/>
              <w:rPr>
                <w:sz w:val="20"/>
                <w:szCs w:val="20"/>
              </w:rPr>
            </w:pPr>
            <w:r w:rsidRPr="008B6A75">
              <w:rPr>
                <w:sz w:val="20"/>
                <w:szCs w:val="20"/>
              </w:rPr>
              <w:t>100</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7D9D869B" w14:textId="77777777" w:rsidR="00387142" w:rsidRPr="008B6A75" w:rsidRDefault="00387142" w:rsidP="00387142">
            <w:pPr>
              <w:jc w:val="right"/>
              <w:rPr>
                <w:sz w:val="20"/>
                <w:szCs w:val="20"/>
              </w:rPr>
            </w:pPr>
            <w:r w:rsidRPr="008B6A75">
              <w:rPr>
                <w:sz w:val="20"/>
                <w:szCs w:val="20"/>
              </w:rPr>
              <w:t>2 172 656,61</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1F41E105" w14:textId="77777777" w:rsidR="00387142" w:rsidRPr="008B6A75" w:rsidRDefault="00387142" w:rsidP="00387142">
            <w:pPr>
              <w:jc w:val="right"/>
              <w:rPr>
                <w:sz w:val="20"/>
                <w:szCs w:val="20"/>
              </w:rPr>
            </w:pPr>
            <w:r w:rsidRPr="008B6A75">
              <w:rPr>
                <w:sz w:val="20"/>
                <w:szCs w:val="20"/>
              </w:rPr>
              <w:t>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3D624845" w14:textId="77777777" w:rsidR="00387142" w:rsidRPr="008B6A75" w:rsidRDefault="00387142" w:rsidP="00387142">
            <w:pPr>
              <w:jc w:val="right"/>
              <w:rPr>
                <w:sz w:val="20"/>
                <w:szCs w:val="20"/>
              </w:rPr>
            </w:pPr>
            <w:r w:rsidRPr="008B6A75">
              <w:rPr>
                <w:sz w:val="20"/>
                <w:szCs w:val="20"/>
              </w:rPr>
              <w:t>0,00</w:t>
            </w:r>
          </w:p>
        </w:tc>
        <w:tc>
          <w:tcPr>
            <w:tcW w:w="222" w:type="dxa"/>
            <w:vAlign w:val="center"/>
            <w:hideMark/>
          </w:tcPr>
          <w:p w14:paraId="7E7B5588" w14:textId="77777777" w:rsidR="00387142" w:rsidRPr="008B6A75" w:rsidRDefault="00387142" w:rsidP="00387142">
            <w:pPr>
              <w:rPr>
                <w:sz w:val="20"/>
                <w:szCs w:val="20"/>
              </w:rPr>
            </w:pPr>
          </w:p>
        </w:tc>
      </w:tr>
      <w:tr w:rsidR="00387142" w:rsidRPr="008B6A75" w14:paraId="57468C49" w14:textId="77777777" w:rsidTr="00387142">
        <w:trPr>
          <w:trHeight w:val="585"/>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30080607" w14:textId="77777777" w:rsidR="00387142" w:rsidRPr="008B6A75" w:rsidRDefault="00387142" w:rsidP="00387142">
            <w:pPr>
              <w:rPr>
                <w:sz w:val="20"/>
                <w:szCs w:val="20"/>
              </w:rPr>
            </w:pPr>
            <w:r w:rsidRPr="008B6A75">
              <w:rPr>
                <w:sz w:val="20"/>
                <w:szCs w:val="20"/>
              </w:rPr>
              <w:t>Расходы на выплаты персоналу государственных (муниципальных) органов</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3EDBFEE1" w14:textId="77777777" w:rsidR="00387142" w:rsidRPr="008B6A75" w:rsidRDefault="00387142" w:rsidP="00387142">
            <w:pPr>
              <w:jc w:val="center"/>
              <w:rPr>
                <w:sz w:val="20"/>
                <w:szCs w:val="20"/>
              </w:rPr>
            </w:pPr>
            <w:r w:rsidRPr="008B6A75">
              <w:rPr>
                <w:sz w:val="20"/>
                <w:szCs w:val="20"/>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18CDCA65" w14:textId="77777777" w:rsidR="00387142" w:rsidRPr="008B6A75" w:rsidRDefault="00387142" w:rsidP="00387142">
            <w:pPr>
              <w:jc w:val="center"/>
              <w:rPr>
                <w:sz w:val="20"/>
                <w:szCs w:val="20"/>
              </w:rPr>
            </w:pPr>
            <w:r w:rsidRPr="008B6A75">
              <w:rPr>
                <w:sz w:val="20"/>
                <w:szCs w:val="20"/>
              </w:rPr>
              <w:t>01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DA3133" w14:textId="77777777" w:rsidR="00387142" w:rsidRPr="008B6A75" w:rsidRDefault="00387142" w:rsidP="00387142">
            <w:pPr>
              <w:jc w:val="center"/>
              <w:rPr>
                <w:sz w:val="20"/>
                <w:szCs w:val="20"/>
              </w:rPr>
            </w:pPr>
            <w:r w:rsidRPr="008B6A75">
              <w:rPr>
                <w:sz w:val="20"/>
                <w:szCs w:val="20"/>
              </w:rPr>
              <w:t>06</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329E4752" w14:textId="77777777" w:rsidR="00387142" w:rsidRPr="008B6A75" w:rsidRDefault="00387142" w:rsidP="00387142">
            <w:pPr>
              <w:jc w:val="center"/>
              <w:rPr>
                <w:sz w:val="20"/>
                <w:szCs w:val="20"/>
              </w:rPr>
            </w:pPr>
            <w:r w:rsidRPr="008B6A75">
              <w:rPr>
                <w:sz w:val="20"/>
                <w:szCs w:val="20"/>
              </w:rPr>
              <w:t>99.0.00.01400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22EDCD" w14:textId="77777777" w:rsidR="00387142" w:rsidRPr="008B6A75" w:rsidRDefault="00387142" w:rsidP="00387142">
            <w:pPr>
              <w:jc w:val="center"/>
              <w:rPr>
                <w:sz w:val="20"/>
                <w:szCs w:val="20"/>
              </w:rPr>
            </w:pPr>
            <w:r w:rsidRPr="008B6A75">
              <w:rPr>
                <w:sz w:val="20"/>
                <w:szCs w:val="20"/>
              </w:rPr>
              <w:t>120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09C995" w14:textId="77777777" w:rsidR="00387142" w:rsidRPr="008B6A75" w:rsidRDefault="00387142" w:rsidP="00387142">
            <w:pPr>
              <w:jc w:val="right"/>
              <w:rPr>
                <w:sz w:val="20"/>
                <w:szCs w:val="20"/>
              </w:rPr>
            </w:pPr>
            <w:r w:rsidRPr="008B6A75">
              <w:rPr>
                <w:sz w:val="20"/>
                <w:szCs w:val="20"/>
              </w:rPr>
              <w:t>2 172 656,61</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52873990" w14:textId="77777777" w:rsidR="00387142" w:rsidRPr="008B6A75" w:rsidRDefault="00387142" w:rsidP="00387142">
            <w:pPr>
              <w:jc w:val="right"/>
              <w:rPr>
                <w:sz w:val="20"/>
                <w:szCs w:val="20"/>
              </w:rPr>
            </w:pPr>
            <w:r w:rsidRPr="008B6A75">
              <w:rPr>
                <w:sz w:val="20"/>
                <w:szCs w:val="20"/>
              </w:rPr>
              <w:t>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B81A63" w14:textId="77777777" w:rsidR="00387142" w:rsidRPr="008B6A75" w:rsidRDefault="00387142" w:rsidP="00387142">
            <w:pPr>
              <w:jc w:val="right"/>
              <w:rPr>
                <w:sz w:val="20"/>
                <w:szCs w:val="20"/>
              </w:rPr>
            </w:pPr>
            <w:r w:rsidRPr="008B6A75">
              <w:rPr>
                <w:sz w:val="20"/>
                <w:szCs w:val="20"/>
              </w:rPr>
              <w:t>0,00</w:t>
            </w:r>
          </w:p>
        </w:tc>
        <w:tc>
          <w:tcPr>
            <w:tcW w:w="222" w:type="dxa"/>
            <w:vAlign w:val="center"/>
            <w:hideMark/>
          </w:tcPr>
          <w:p w14:paraId="39D90FF9" w14:textId="77777777" w:rsidR="00387142" w:rsidRPr="008B6A75" w:rsidRDefault="00387142" w:rsidP="00387142">
            <w:pPr>
              <w:rPr>
                <w:sz w:val="20"/>
                <w:szCs w:val="20"/>
              </w:rPr>
            </w:pPr>
          </w:p>
        </w:tc>
      </w:tr>
      <w:tr w:rsidR="00387142" w:rsidRPr="008B6A75" w14:paraId="3EE79851" w14:textId="77777777" w:rsidTr="00387142">
        <w:trPr>
          <w:trHeight w:val="585"/>
        </w:trPr>
        <w:tc>
          <w:tcPr>
            <w:tcW w:w="3021" w:type="dxa"/>
            <w:tcBorders>
              <w:top w:val="nil"/>
              <w:left w:val="single" w:sz="4" w:space="0" w:color="auto"/>
              <w:bottom w:val="nil"/>
              <w:right w:val="nil"/>
            </w:tcBorders>
            <w:shd w:val="clear" w:color="auto" w:fill="auto"/>
            <w:vAlign w:val="center"/>
            <w:hideMark/>
          </w:tcPr>
          <w:p w14:paraId="4880BBA3" w14:textId="77777777" w:rsidR="00387142" w:rsidRPr="008B6A75" w:rsidRDefault="00387142" w:rsidP="00387142">
            <w:pPr>
              <w:rPr>
                <w:sz w:val="20"/>
                <w:szCs w:val="20"/>
              </w:rPr>
            </w:pPr>
            <w:r w:rsidRPr="008B6A75">
              <w:rPr>
                <w:sz w:val="20"/>
                <w:szCs w:val="20"/>
              </w:rPr>
              <w:t>Закупка товаров, работ и услуг для обеспечения государственных (муниципальных) нужд</w:t>
            </w:r>
          </w:p>
        </w:tc>
        <w:tc>
          <w:tcPr>
            <w:tcW w:w="850" w:type="dxa"/>
            <w:tcBorders>
              <w:top w:val="nil"/>
              <w:left w:val="single" w:sz="4" w:space="0" w:color="auto"/>
              <w:bottom w:val="nil"/>
              <w:right w:val="nil"/>
            </w:tcBorders>
            <w:shd w:val="clear" w:color="auto" w:fill="auto"/>
            <w:noWrap/>
            <w:vAlign w:val="center"/>
            <w:hideMark/>
          </w:tcPr>
          <w:p w14:paraId="0DAB445E" w14:textId="77777777" w:rsidR="00387142" w:rsidRPr="008B6A75" w:rsidRDefault="00387142" w:rsidP="00387142">
            <w:pPr>
              <w:jc w:val="center"/>
              <w:rPr>
                <w:sz w:val="20"/>
                <w:szCs w:val="20"/>
              </w:rPr>
            </w:pPr>
            <w:r w:rsidRPr="008B6A75">
              <w:rPr>
                <w:sz w:val="20"/>
                <w:szCs w:val="20"/>
              </w:rPr>
              <w:t>444</w:t>
            </w:r>
          </w:p>
        </w:tc>
        <w:tc>
          <w:tcPr>
            <w:tcW w:w="709" w:type="dxa"/>
            <w:tcBorders>
              <w:top w:val="nil"/>
              <w:left w:val="single" w:sz="4" w:space="0" w:color="auto"/>
              <w:bottom w:val="nil"/>
              <w:right w:val="nil"/>
            </w:tcBorders>
            <w:shd w:val="clear" w:color="auto" w:fill="auto"/>
            <w:noWrap/>
            <w:vAlign w:val="center"/>
            <w:hideMark/>
          </w:tcPr>
          <w:p w14:paraId="7E6A900E" w14:textId="77777777" w:rsidR="00387142" w:rsidRPr="008B6A75" w:rsidRDefault="00387142" w:rsidP="00387142">
            <w:pPr>
              <w:jc w:val="center"/>
              <w:rPr>
                <w:sz w:val="20"/>
                <w:szCs w:val="20"/>
              </w:rPr>
            </w:pPr>
            <w:r w:rsidRPr="008B6A75">
              <w:rPr>
                <w:sz w:val="20"/>
                <w:szCs w:val="20"/>
              </w:rPr>
              <w:t>01</w:t>
            </w:r>
          </w:p>
        </w:tc>
        <w:tc>
          <w:tcPr>
            <w:tcW w:w="709" w:type="dxa"/>
            <w:tcBorders>
              <w:top w:val="nil"/>
              <w:left w:val="single" w:sz="4" w:space="0" w:color="auto"/>
              <w:bottom w:val="nil"/>
              <w:right w:val="single" w:sz="4" w:space="0" w:color="auto"/>
            </w:tcBorders>
            <w:shd w:val="clear" w:color="auto" w:fill="auto"/>
            <w:noWrap/>
            <w:vAlign w:val="center"/>
            <w:hideMark/>
          </w:tcPr>
          <w:p w14:paraId="592554FB" w14:textId="77777777" w:rsidR="00387142" w:rsidRPr="008B6A75" w:rsidRDefault="00387142" w:rsidP="00387142">
            <w:pPr>
              <w:jc w:val="center"/>
              <w:rPr>
                <w:sz w:val="20"/>
                <w:szCs w:val="20"/>
              </w:rPr>
            </w:pPr>
            <w:r w:rsidRPr="008B6A75">
              <w:rPr>
                <w:sz w:val="20"/>
                <w:szCs w:val="20"/>
              </w:rPr>
              <w:t>06</w:t>
            </w:r>
          </w:p>
        </w:tc>
        <w:tc>
          <w:tcPr>
            <w:tcW w:w="1411" w:type="dxa"/>
            <w:tcBorders>
              <w:top w:val="nil"/>
              <w:left w:val="single" w:sz="4" w:space="0" w:color="auto"/>
              <w:bottom w:val="nil"/>
              <w:right w:val="nil"/>
            </w:tcBorders>
            <w:shd w:val="clear" w:color="auto" w:fill="auto"/>
            <w:noWrap/>
            <w:vAlign w:val="center"/>
            <w:hideMark/>
          </w:tcPr>
          <w:p w14:paraId="083A109B" w14:textId="77777777" w:rsidR="00387142" w:rsidRPr="008B6A75" w:rsidRDefault="00387142" w:rsidP="00387142">
            <w:pPr>
              <w:jc w:val="center"/>
              <w:rPr>
                <w:sz w:val="20"/>
                <w:szCs w:val="20"/>
              </w:rPr>
            </w:pPr>
            <w:r w:rsidRPr="008B6A75">
              <w:rPr>
                <w:sz w:val="20"/>
                <w:szCs w:val="20"/>
              </w:rPr>
              <w:t>99.0.00.01400</w:t>
            </w:r>
          </w:p>
        </w:tc>
        <w:tc>
          <w:tcPr>
            <w:tcW w:w="955" w:type="dxa"/>
            <w:tcBorders>
              <w:top w:val="nil"/>
              <w:left w:val="single" w:sz="4" w:space="0" w:color="auto"/>
              <w:bottom w:val="nil"/>
              <w:right w:val="single" w:sz="4" w:space="0" w:color="auto"/>
            </w:tcBorders>
            <w:shd w:val="clear" w:color="auto" w:fill="auto"/>
            <w:noWrap/>
            <w:vAlign w:val="center"/>
            <w:hideMark/>
          </w:tcPr>
          <w:p w14:paraId="369BC19B" w14:textId="77777777" w:rsidR="00387142" w:rsidRPr="008B6A75" w:rsidRDefault="00387142" w:rsidP="00387142">
            <w:pPr>
              <w:jc w:val="center"/>
              <w:rPr>
                <w:sz w:val="20"/>
                <w:szCs w:val="20"/>
              </w:rPr>
            </w:pPr>
            <w:r w:rsidRPr="008B6A75">
              <w:rPr>
                <w:sz w:val="20"/>
                <w:szCs w:val="20"/>
              </w:rPr>
              <w:t>200</w:t>
            </w:r>
          </w:p>
        </w:tc>
        <w:tc>
          <w:tcPr>
            <w:tcW w:w="992" w:type="dxa"/>
            <w:tcBorders>
              <w:top w:val="nil"/>
              <w:left w:val="single" w:sz="4" w:space="0" w:color="auto"/>
              <w:bottom w:val="nil"/>
              <w:right w:val="single" w:sz="4" w:space="0" w:color="auto"/>
            </w:tcBorders>
            <w:shd w:val="clear" w:color="auto" w:fill="auto"/>
            <w:noWrap/>
            <w:vAlign w:val="center"/>
            <w:hideMark/>
          </w:tcPr>
          <w:p w14:paraId="105F3319" w14:textId="77777777" w:rsidR="00387142" w:rsidRPr="008B6A75" w:rsidRDefault="00387142" w:rsidP="00387142">
            <w:pPr>
              <w:jc w:val="right"/>
              <w:rPr>
                <w:sz w:val="20"/>
                <w:szCs w:val="20"/>
              </w:rPr>
            </w:pPr>
            <w:r w:rsidRPr="008B6A75">
              <w:rPr>
                <w:sz w:val="20"/>
                <w:szCs w:val="20"/>
              </w:rPr>
              <w:t>39 756,00</w:t>
            </w:r>
          </w:p>
        </w:tc>
        <w:tc>
          <w:tcPr>
            <w:tcW w:w="992" w:type="dxa"/>
            <w:gridSpan w:val="2"/>
            <w:tcBorders>
              <w:top w:val="nil"/>
              <w:left w:val="single" w:sz="4" w:space="0" w:color="auto"/>
              <w:bottom w:val="nil"/>
              <w:right w:val="nil"/>
            </w:tcBorders>
            <w:shd w:val="clear" w:color="auto" w:fill="auto"/>
            <w:noWrap/>
            <w:vAlign w:val="center"/>
            <w:hideMark/>
          </w:tcPr>
          <w:p w14:paraId="2F380D1E" w14:textId="77777777" w:rsidR="00387142" w:rsidRPr="008B6A75" w:rsidRDefault="00387142" w:rsidP="00387142">
            <w:pPr>
              <w:jc w:val="right"/>
              <w:rPr>
                <w:sz w:val="20"/>
                <w:szCs w:val="20"/>
              </w:rPr>
            </w:pPr>
            <w:r w:rsidRPr="008B6A75">
              <w:rPr>
                <w:sz w:val="20"/>
                <w:szCs w:val="20"/>
              </w:rPr>
              <w:t>53 000,00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145BF2DF" w14:textId="77777777" w:rsidR="00387142" w:rsidRPr="008B6A75" w:rsidRDefault="00387142" w:rsidP="00387142">
            <w:pPr>
              <w:jc w:val="right"/>
              <w:rPr>
                <w:sz w:val="20"/>
                <w:szCs w:val="20"/>
              </w:rPr>
            </w:pPr>
            <w:r w:rsidRPr="008B6A75">
              <w:rPr>
                <w:sz w:val="20"/>
                <w:szCs w:val="20"/>
              </w:rPr>
              <w:t>53 000,00</w:t>
            </w:r>
          </w:p>
        </w:tc>
        <w:tc>
          <w:tcPr>
            <w:tcW w:w="222" w:type="dxa"/>
            <w:vAlign w:val="center"/>
            <w:hideMark/>
          </w:tcPr>
          <w:p w14:paraId="2681069E" w14:textId="77777777" w:rsidR="00387142" w:rsidRPr="008B6A75" w:rsidRDefault="00387142" w:rsidP="00387142">
            <w:pPr>
              <w:rPr>
                <w:sz w:val="20"/>
                <w:szCs w:val="20"/>
              </w:rPr>
            </w:pPr>
          </w:p>
        </w:tc>
      </w:tr>
      <w:tr w:rsidR="00387142" w:rsidRPr="008B6A75" w14:paraId="308BF98D" w14:textId="77777777" w:rsidTr="00387142">
        <w:trPr>
          <w:trHeight w:val="870"/>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55CB28C0" w14:textId="77777777" w:rsidR="00387142" w:rsidRPr="008B6A75" w:rsidRDefault="00387142" w:rsidP="00387142">
            <w:pPr>
              <w:rPr>
                <w:sz w:val="20"/>
                <w:szCs w:val="20"/>
              </w:rPr>
            </w:pPr>
            <w:r w:rsidRPr="008B6A75">
              <w:rPr>
                <w:sz w:val="20"/>
                <w:szCs w:val="20"/>
              </w:rPr>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6DE738F8" w14:textId="77777777" w:rsidR="00387142" w:rsidRPr="008B6A75" w:rsidRDefault="00387142" w:rsidP="00387142">
            <w:pPr>
              <w:jc w:val="center"/>
              <w:rPr>
                <w:sz w:val="20"/>
                <w:szCs w:val="20"/>
              </w:rPr>
            </w:pPr>
            <w:r w:rsidRPr="008B6A75">
              <w:rPr>
                <w:sz w:val="20"/>
                <w:szCs w:val="20"/>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5A817F86" w14:textId="77777777" w:rsidR="00387142" w:rsidRPr="008B6A75" w:rsidRDefault="00387142" w:rsidP="00387142">
            <w:pPr>
              <w:jc w:val="center"/>
              <w:rPr>
                <w:sz w:val="20"/>
                <w:szCs w:val="20"/>
              </w:rPr>
            </w:pPr>
            <w:r w:rsidRPr="008B6A75">
              <w:rPr>
                <w:sz w:val="20"/>
                <w:szCs w:val="20"/>
              </w:rPr>
              <w:t>01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061438" w14:textId="77777777" w:rsidR="00387142" w:rsidRPr="008B6A75" w:rsidRDefault="00387142" w:rsidP="00387142">
            <w:pPr>
              <w:jc w:val="center"/>
              <w:rPr>
                <w:sz w:val="20"/>
                <w:szCs w:val="20"/>
              </w:rPr>
            </w:pPr>
            <w:r w:rsidRPr="008B6A75">
              <w:rPr>
                <w:sz w:val="20"/>
                <w:szCs w:val="20"/>
              </w:rPr>
              <w:t>06</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45426855" w14:textId="77777777" w:rsidR="00387142" w:rsidRPr="008B6A75" w:rsidRDefault="00387142" w:rsidP="00387142">
            <w:pPr>
              <w:jc w:val="center"/>
              <w:rPr>
                <w:sz w:val="20"/>
                <w:szCs w:val="20"/>
              </w:rPr>
            </w:pPr>
            <w:r w:rsidRPr="008B6A75">
              <w:rPr>
                <w:sz w:val="20"/>
                <w:szCs w:val="20"/>
              </w:rPr>
              <w:t>99.0.00.01400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A9635E" w14:textId="77777777" w:rsidR="00387142" w:rsidRPr="008B6A75" w:rsidRDefault="00387142" w:rsidP="00387142">
            <w:pPr>
              <w:jc w:val="center"/>
              <w:rPr>
                <w:sz w:val="20"/>
                <w:szCs w:val="20"/>
              </w:rPr>
            </w:pPr>
            <w:r w:rsidRPr="008B6A75">
              <w:rPr>
                <w:sz w:val="20"/>
                <w:szCs w:val="20"/>
              </w:rPr>
              <w:t>240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55C27F" w14:textId="77777777" w:rsidR="00387142" w:rsidRPr="008B6A75" w:rsidRDefault="00387142" w:rsidP="00387142">
            <w:pPr>
              <w:jc w:val="right"/>
              <w:rPr>
                <w:sz w:val="20"/>
                <w:szCs w:val="20"/>
              </w:rPr>
            </w:pPr>
            <w:r w:rsidRPr="008B6A75">
              <w:rPr>
                <w:sz w:val="20"/>
                <w:szCs w:val="20"/>
              </w:rPr>
              <w:t>39 756,00</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35136891" w14:textId="77777777" w:rsidR="00387142" w:rsidRPr="008B6A75" w:rsidRDefault="00387142" w:rsidP="00387142">
            <w:pPr>
              <w:jc w:val="right"/>
              <w:rPr>
                <w:sz w:val="20"/>
                <w:szCs w:val="20"/>
              </w:rPr>
            </w:pPr>
            <w:r w:rsidRPr="008B6A75">
              <w:rPr>
                <w:sz w:val="20"/>
                <w:szCs w:val="20"/>
              </w:rPr>
              <w:t>53 000,00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9F41C4" w14:textId="77777777" w:rsidR="00387142" w:rsidRPr="008B6A75" w:rsidRDefault="00387142" w:rsidP="00387142">
            <w:pPr>
              <w:jc w:val="right"/>
              <w:rPr>
                <w:sz w:val="20"/>
                <w:szCs w:val="20"/>
              </w:rPr>
            </w:pPr>
            <w:r w:rsidRPr="008B6A75">
              <w:rPr>
                <w:sz w:val="20"/>
                <w:szCs w:val="20"/>
              </w:rPr>
              <w:t>53 000,00</w:t>
            </w:r>
          </w:p>
        </w:tc>
        <w:tc>
          <w:tcPr>
            <w:tcW w:w="222" w:type="dxa"/>
            <w:vAlign w:val="center"/>
            <w:hideMark/>
          </w:tcPr>
          <w:p w14:paraId="2CAAD3CC" w14:textId="77777777" w:rsidR="00387142" w:rsidRPr="008B6A75" w:rsidRDefault="00387142" w:rsidP="00387142">
            <w:pPr>
              <w:rPr>
                <w:sz w:val="20"/>
                <w:szCs w:val="20"/>
              </w:rPr>
            </w:pPr>
          </w:p>
        </w:tc>
      </w:tr>
      <w:tr w:rsidR="00387142" w:rsidRPr="008B6A75" w14:paraId="75E73DD2" w14:textId="77777777" w:rsidTr="00387142">
        <w:trPr>
          <w:trHeight w:val="1440"/>
        </w:trPr>
        <w:tc>
          <w:tcPr>
            <w:tcW w:w="3021" w:type="dxa"/>
            <w:tcBorders>
              <w:top w:val="nil"/>
              <w:left w:val="single" w:sz="4" w:space="0" w:color="auto"/>
              <w:bottom w:val="nil"/>
              <w:right w:val="nil"/>
            </w:tcBorders>
            <w:shd w:val="clear" w:color="auto" w:fill="auto"/>
            <w:vAlign w:val="center"/>
            <w:hideMark/>
          </w:tcPr>
          <w:p w14:paraId="04F151CB" w14:textId="77777777" w:rsidR="00387142" w:rsidRPr="008B6A75" w:rsidRDefault="00387142" w:rsidP="00387142">
            <w:pPr>
              <w:rPr>
                <w:bCs/>
                <w:sz w:val="20"/>
                <w:szCs w:val="20"/>
              </w:rPr>
            </w:pPr>
            <w:r w:rsidRPr="008B6A75">
              <w:rPr>
                <w:bCs/>
                <w:sz w:val="20"/>
                <w:szCs w:val="20"/>
              </w:rPr>
              <w:lastRenderedPageBreak/>
              <w:t xml:space="preserve">Реализация мероприятий по обеспечению сбалансированности местных </w:t>
            </w:r>
            <w:proofErr w:type="gramStart"/>
            <w:r w:rsidRPr="008B6A75">
              <w:rPr>
                <w:bCs/>
                <w:sz w:val="20"/>
                <w:szCs w:val="20"/>
              </w:rPr>
              <w:t>бюджетов  государственной</w:t>
            </w:r>
            <w:proofErr w:type="gramEnd"/>
            <w:r w:rsidRPr="008B6A75">
              <w:rPr>
                <w:bCs/>
                <w:sz w:val="20"/>
                <w:szCs w:val="20"/>
              </w:rPr>
              <w:t xml:space="preserve"> программы Новосибирской области "Управление  финансами в Новосибирской области"</w:t>
            </w:r>
          </w:p>
        </w:tc>
        <w:tc>
          <w:tcPr>
            <w:tcW w:w="850" w:type="dxa"/>
            <w:tcBorders>
              <w:top w:val="nil"/>
              <w:left w:val="single" w:sz="4" w:space="0" w:color="auto"/>
              <w:bottom w:val="nil"/>
              <w:right w:val="nil"/>
            </w:tcBorders>
            <w:shd w:val="clear" w:color="auto" w:fill="auto"/>
            <w:noWrap/>
            <w:vAlign w:val="center"/>
            <w:hideMark/>
          </w:tcPr>
          <w:p w14:paraId="38DB9BBC" w14:textId="77777777" w:rsidR="00387142" w:rsidRPr="008B6A75" w:rsidRDefault="00387142" w:rsidP="00387142">
            <w:pPr>
              <w:jc w:val="center"/>
              <w:rPr>
                <w:bCs/>
                <w:sz w:val="20"/>
                <w:szCs w:val="20"/>
              </w:rPr>
            </w:pPr>
            <w:r w:rsidRPr="008B6A75">
              <w:rPr>
                <w:bCs/>
                <w:sz w:val="20"/>
                <w:szCs w:val="20"/>
              </w:rPr>
              <w:t>444</w:t>
            </w:r>
          </w:p>
        </w:tc>
        <w:tc>
          <w:tcPr>
            <w:tcW w:w="709" w:type="dxa"/>
            <w:tcBorders>
              <w:top w:val="nil"/>
              <w:left w:val="single" w:sz="4" w:space="0" w:color="auto"/>
              <w:bottom w:val="nil"/>
              <w:right w:val="nil"/>
            </w:tcBorders>
            <w:shd w:val="clear" w:color="auto" w:fill="auto"/>
            <w:noWrap/>
            <w:vAlign w:val="center"/>
            <w:hideMark/>
          </w:tcPr>
          <w:p w14:paraId="5BF23D9B" w14:textId="77777777" w:rsidR="00387142" w:rsidRPr="008B6A75" w:rsidRDefault="00387142" w:rsidP="00387142">
            <w:pPr>
              <w:jc w:val="center"/>
              <w:rPr>
                <w:bCs/>
                <w:sz w:val="20"/>
                <w:szCs w:val="20"/>
              </w:rPr>
            </w:pPr>
            <w:r w:rsidRPr="008B6A75">
              <w:rPr>
                <w:bCs/>
                <w:sz w:val="20"/>
                <w:szCs w:val="20"/>
              </w:rPr>
              <w:t>01</w:t>
            </w:r>
          </w:p>
        </w:tc>
        <w:tc>
          <w:tcPr>
            <w:tcW w:w="709" w:type="dxa"/>
            <w:tcBorders>
              <w:top w:val="nil"/>
              <w:left w:val="single" w:sz="4" w:space="0" w:color="auto"/>
              <w:bottom w:val="nil"/>
              <w:right w:val="single" w:sz="4" w:space="0" w:color="auto"/>
            </w:tcBorders>
            <w:shd w:val="clear" w:color="auto" w:fill="auto"/>
            <w:noWrap/>
            <w:vAlign w:val="center"/>
            <w:hideMark/>
          </w:tcPr>
          <w:p w14:paraId="773259FE" w14:textId="77777777" w:rsidR="00387142" w:rsidRPr="008B6A75" w:rsidRDefault="00387142" w:rsidP="00387142">
            <w:pPr>
              <w:jc w:val="center"/>
              <w:rPr>
                <w:bCs/>
                <w:sz w:val="20"/>
                <w:szCs w:val="20"/>
              </w:rPr>
            </w:pPr>
            <w:r w:rsidRPr="008B6A75">
              <w:rPr>
                <w:bCs/>
                <w:sz w:val="20"/>
                <w:szCs w:val="20"/>
              </w:rPr>
              <w:t>06</w:t>
            </w:r>
          </w:p>
        </w:tc>
        <w:tc>
          <w:tcPr>
            <w:tcW w:w="1411" w:type="dxa"/>
            <w:tcBorders>
              <w:top w:val="nil"/>
              <w:left w:val="single" w:sz="4" w:space="0" w:color="auto"/>
              <w:bottom w:val="nil"/>
              <w:right w:val="nil"/>
            </w:tcBorders>
            <w:shd w:val="clear" w:color="auto" w:fill="auto"/>
            <w:noWrap/>
            <w:vAlign w:val="center"/>
            <w:hideMark/>
          </w:tcPr>
          <w:p w14:paraId="61B35AAF" w14:textId="77777777" w:rsidR="00387142" w:rsidRPr="008B6A75" w:rsidRDefault="00387142" w:rsidP="00387142">
            <w:pPr>
              <w:jc w:val="center"/>
              <w:rPr>
                <w:bCs/>
                <w:sz w:val="20"/>
                <w:szCs w:val="20"/>
              </w:rPr>
            </w:pPr>
            <w:r w:rsidRPr="008B6A75">
              <w:rPr>
                <w:bCs/>
                <w:sz w:val="20"/>
                <w:szCs w:val="20"/>
              </w:rPr>
              <w:t>99.0.00.70510</w:t>
            </w:r>
          </w:p>
        </w:tc>
        <w:tc>
          <w:tcPr>
            <w:tcW w:w="955" w:type="dxa"/>
            <w:tcBorders>
              <w:top w:val="nil"/>
              <w:left w:val="single" w:sz="4" w:space="0" w:color="auto"/>
              <w:bottom w:val="nil"/>
              <w:right w:val="single" w:sz="4" w:space="0" w:color="auto"/>
            </w:tcBorders>
            <w:shd w:val="clear" w:color="auto" w:fill="auto"/>
            <w:noWrap/>
            <w:vAlign w:val="center"/>
            <w:hideMark/>
          </w:tcPr>
          <w:p w14:paraId="38AADDB1"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nil"/>
              <w:right w:val="single" w:sz="4" w:space="0" w:color="auto"/>
            </w:tcBorders>
            <w:shd w:val="clear" w:color="auto" w:fill="auto"/>
            <w:noWrap/>
            <w:vAlign w:val="center"/>
            <w:hideMark/>
          </w:tcPr>
          <w:p w14:paraId="0E079B48" w14:textId="77777777" w:rsidR="00387142" w:rsidRPr="008B6A75" w:rsidRDefault="00387142" w:rsidP="00387142">
            <w:pPr>
              <w:jc w:val="right"/>
              <w:rPr>
                <w:bCs/>
                <w:sz w:val="20"/>
                <w:szCs w:val="20"/>
              </w:rPr>
            </w:pPr>
            <w:r w:rsidRPr="008B6A75">
              <w:rPr>
                <w:bCs/>
                <w:sz w:val="20"/>
                <w:szCs w:val="20"/>
              </w:rPr>
              <w:t>108 527,74</w:t>
            </w:r>
          </w:p>
        </w:tc>
        <w:tc>
          <w:tcPr>
            <w:tcW w:w="992" w:type="dxa"/>
            <w:gridSpan w:val="2"/>
            <w:tcBorders>
              <w:top w:val="nil"/>
              <w:left w:val="single" w:sz="4" w:space="0" w:color="auto"/>
              <w:bottom w:val="nil"/>
              <w:right w:val="nil"/>
            </w:tcBorders>
            <w:shd w:val="clear" w:color="auto" w:fill="auto"/>
            <w:noWrap/>
            <w:vAlign w:val="center"/>
            <w:hideMark/>
          </w:tcPr>
          <w:p w14:paraId="54DCD3AD" w14:textId="77777777" w:rsidR="00387142" w:rsidRPr="008B6A75" w:rsidRDefault="00387142" w:rsidP="00387142">
            <w:pPr>
              <w:jc w:val="right"/>
              <w:rPr>
                <w:bCs/>
                <w:sz w:val="20"/>
                <w:szCs w:val="20"/>
              </w:rPr>
            </w:pPr>
            <w:r w:rsidRPr="008B6A75">
              <w:rPr>
                <w:bCs/>
                <w:sz w:val="20"/>
                <w:szCs w:val="20"/>
              </w:rPr>
              <w:t>0,00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36B1685E" w14:textId="77777777" w:rsidR="00387142" w:rsidRPr="008B6A75" w:rsidRDefault="00387142" w:rsidP="00387142">
            <w:pPr>
              <w:jc w:val="right"/>
              <w:rPr>
                <w:bCs/>
                <w:sz w:val="20"/>
                <w:szCs w:val="20"/>
              </w:rPr>
            </w:pPr>
            <w:r w:rsidRPr="008B6A75">
              <w:rPr>
                <w:bCs/>
                <w:sz w:val="20"/>
                <w:szCs w:val="20"/>
              </w:rPr>
              <w:t>0,00</w:t>
            </w:r>
          </w:p>
        </w:tc>
        <w:tc>
          <w:tcPr>
            <w:tcW w:w="222" w:type="dxa"/>
            <w:vAlign w:val="center"/>
            <w:hideMark/>
          </w:tcPr>
          <w:p w14:paraId="4EFDB3CA" w14:textId="77777777" w:rsidR="00387142" w:rsidRPr="008B6A75" w:rsidRDefault="00387142" w:rsidP="00387142">
            <w:pPr>
              <w:rPr>
                <w:sz w:val="20"/>
                <w:szCs w:val="20"/>
              </w:rPr>
            </w:pPr>
          </w:p>
        </w:tc>
      </w:tr>
      <w:tr w:rsidR="00387142" w:rsidRPr="008B6A75" w14:paraId="6C8A604E" w14:textId="77777777" w:rsidTr="00387142">
        <w:trPr>
          <w:trHeight w:val="1440"/>
        </w:trPr>
        <w:tc>
          <w:tcPr>
            <w:tcW w:w="3021" w:type="dxa"/>
            <w:tcBorders>
              <w:top w:val="single" w:sz="4" w:space="0" w:color="auto"/>
              <w:left w:val="single" w:sz="4" w:space="0" w:color="auto"/>
              <w:bottom w:val="nil"/>
              <w:right w:val="nil"/>
            </w:tcBorders>
            <w:shd w:val="clear" w:color="auto" w:fill="auto"/>
            <w:vAlign w:val="center"/>
            <w:hideMark/>
          </w:tcPr>
          <w:p w14:paraId="433BA1A4" w14:textId="77777777" w:rsidR="00387142" w:rsidRPr="008B6A75" w:rsidRDefault="00387142" w:rsidP="00387142">
            <w:pPr>
              <w:rPr>
                <w:sz w:val="20"/>
                <w:szCs w:val="20"/>
              </w:rPr>
            </w:pPr>
            <w:r w:rsidRPr="008B6A7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nil"/>
              <w:right w:val="nil"/>
            </w:tcBorders>
            <w:shd w:val="clear" w:color="auto" w:fill="auto"/>
            <w:noWrap/>
            <w:vAlign w:val="center"/>
            <w:hideMark/>
          </w:tcPr>
          <w:p w14:paraId="61B4F043" w14:textId="77777777" w:rsidR="00387142" w:rsidRPr="008B6A75" w:rsidRDefault="00387142" w:rsidP="00387142">
            <w:pPr>
              <w:jc w:val="center"/>
              <w:rPr>
                <w:sz w:val="20"/>
                <w:szCs w:val="20"/>
              </w:rPr>
            </w:pPr>
            <w:r w:rsidRPr="008B6A75">
              <w:rPr>
                <w:sz w:val="20"/>
                <w:szCs w:val="20"/>
              </w:rPr>
              <w:t>444</w:t>
            </w:r>
          </w:p>
        </w:tc>
        <w:tc>
          <w:tcPr>
            <w:tcW w:w="709" w:type="dxa"/>
            <w:tcBorders>
              <w:top w:val="single" w:sz="4" w:space="0" w:color="auto"/>
              <w:left w:val="single" w:sz="4" w:space="0" w:color="auto"/>
              <w:bottom w:val="nil"/>
              <w:right w:val="nil"/>
            </w:tcBorders>
            <w:shd w:val="clear" w:color="auto" w:fill="auto"/>
            <w:noWrap/>
            <w:vAlign w:val="center"/>
            <w:hideMark/>
          </w:tcPr>
          <w:p w14:paraId="75721274" w14:textId="77777777" w:rsidR="00387142" w:rsidRPr="008B6A75" w:rsidRDefault="00387142" w:rsidP="00387142">
            <w:pPr>
              <w:jc w:val="center"/>
              <w:rPr>
                <w:sz w:val="20"/>
                <w:szCs w:val="20"/>
              </w:rPr>
            </w:pPr>
            <w:r w:rsidRPr="008B6A75">
              <w:rPr>
                <w:sz w:val="20"/>
                <w:szCs w:val="20"/>
              </w:rPr>
              <w:t>01</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343ADD5C" w14:textId="77777777" w:rsidR="00387142" w:rsidRPr="008B6A75" w:rsidRDefault="00387142" w:rsidP="00387142">
            <w:pPr>
              <w:jc w:val="center"/>
              <w:rPr>
                <w:sz w:val="20"/>
                <w:szCs w:val="20"/>
              </w:rPr>
            </w:pPr>
            <w:r w:rsidRPr="008B6A75">
              <w:rPr>
                <w:sz w:val="20"/>
                <w:szCs w:val="20"/>
              </w:rPr>
              <w:t>06</w:t>
            </w:r>
          </w:p>
        </w:tc>
        <w:tc>
          <w:tcPr>
            <w:tcW w:w="1411" w:type="dxa"/>
            <w:tcBorders>
              <w:top w:val="single" w:sz="4" w:space="0" w:color="auto"/>
              <w:left w:val="single" w:sz="4" w:space="0" w:color="auto"/>
              <w:bottom w:val="nil"/>
              <w:right w:val="nil"/>
            </w:tcBorders>
            <w:shd w:val="clear" w:color="auto" w:fill="auto"/>
            <w:noWrap/>
            <w:vAlign w:val="center"/>
            <w:hideMark/>
          </w:tcPr>
          <w:p w14:paraId="514AD794" w14:textId="77777777" w:rsidR="00387142" w:rsidRPr="008B6A75" w:rsidRDefault="00387142" w:rsidP="00387142">
            <w:pPr>
              <w:jc w:val="center"/>
              <w:rPr>
                <w:sz w:val="20"/>
                <w:szCs w:val="20"/>
              </w:rPr>
            </w:pPr>
            <w:r w:rsidRPr="008B6A75">
              <w:rPr>
                <w:sz w:val="20"/>
                <w:szCs w:val="20"/>
              </w:rPr>
              <w:t>99.0.00.70510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3F3D3BB5" w14:textId="77777777" w:rsidR="00387142" w:rsidRPr="008B6A75" w:rsidRDefault="00387142" w:rsidP="00387142">
            <w:pPr>
              <w:jc w:val="center"/>
              <w:rPr>
                <w:sz w:val="20"/>
                <w:szCs w:val="20"/>
              </w:rPr>
            </w:pPr>
            <w:r w:rsidRPr="008B6A75">
              <w:rPr>
                <w:sz w:val="20"/>
                <w:szCs w:val="20"/>
              </w:rPr>
              <w:t>100</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2B285AA8" w14:textId="77777777" w:rsidR="00387142" w:rsidRPr="008B6A75" w:rsidRDefault="00387142" w:rsidP="00387142">
            <w:pPr>
              <w:jc w:val="right"/>
              <w:rPr>
                <w:sz w:val="20"/>
                <w:szCs w:val="20"/>
              </w:rPr>
            </w:pPr>
            <w:r w:rsidRPr="008B6A75">
              <w:rPr>
                <w:sz w:val="20"/>
                <w:szCs w:val="20"/>
              </w:rPr>
              <w:t>108 527,74</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462AB8F2" w14:textId="77777777" w:rsidR="00387142" w:rsidRPr="008B6A75" w:rsidRDefault="00387142" w:rsidP="00387142">
            <w:pPr>
              <w:jc w:val="right"/>
              <w:rPr>
                <w:sz w:val="20"/>
                <w:szCs w:val="20"/>
              </w:rPr>
            </w:pPr>
            <w:r w:rsidRPr="008B6A75">
              <w:rPr>
                <w:sz w:val="20"/>
                <w:szCs w:val="20"/>
              </w:rPr>
              <w:t>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7005F48D" w14:textId="77777777" w:rsidR="00387142" w:rsidRPr="008B6A75" w:rsidRDefault="00387142" w:rsidP="00387142">
            <w:pPr>
              <w:jc w:val="right"/>
              <w:rPr>
                <w:sz w:val="20"/>
                <w:szCs w:val="20"/>
              </w:rPr>
            </w:pPr>
            <w:r w:rsidRPr="008B6A75">
              <w:rPr>
                <w:sz w:val="20"/>
                <w:szCs w:val="20"/>
              </w:rPr>
              <w:t>0,00</w:t>
            </w:r>
          </w:p>
        </w:tc>
        <w:tc>
          <w:tcPr>
            <w:tcW w:w="222" w:type="dxa"/>
            <w:vAlign w:val="center"/>
            <w:hideMark/>
          </w:tcPr>
          <w:p w14:paraId="2F83C0DB" w14:textId="77777777" w:rsidR="00387142" w:rsidRPr="008B6A75" w:rsidRDefault="00387142" w:rsidP="00387142">
            <w:pPr>
              <w:rPr>
                <w:sz w:val="20"/>
                <w:szCs w:val="20"/>
              </w:rPr>
            </w:pPr>
          </w:p>
        </w:tc>
      </w:tr>
      <w:tr w:rsidR="00387142" w:rsidRPr="008B6A75" w14:paraId="325EE13E" w14:textId="77777777" w:rsidTr="00387142">
        <w:trPr>
          <w:trHeight w:val="585"/>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139D8CDF" w14:textId="77777777" w:rsidR="00387142" w:rsidRPr="008B6A75" w:rsidRDefault="00387142" w:rsidP="00387142">
            <w:pPr>
              <w:rPr>
                <w:sz w:val="20"/>
                <w:szCs w:val="20"/>
              </w:rPr>
            </w:pPr>
            <w:r w:rsidRPr="008B6A75">
              <w:rPr>
                <w:sz w:val="20"/>
                <w:szCs w:val="20"/>
              </w:rPr>
              <w:t>Расходы на выплаты персоналу государственных (муниципальных) органов</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1E31F64B" w14:textId="77777777" w:rsidR="00387142" w:rsidRPr="008B6A75" w:rsidRDefault="00387142" w:rsidP="00387142">
            <w:pPr>
              <w:jc w:val="center"/>
              <w:rPr>
                <w:sz w:val="20"/>
                <w:szCs w:val="20"/>
              </w:rPr>
            </w:pPr>
            <w:r w:rsidRPr="008B6A75">
              <w:rPr>
                <w:sz w:val="20"/>
                <w:szCs w:val="20"/>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7DC26652" w14:textId="77777777" w:rsidR="00387142" w:rsidRPr="008B6A75" w:rsidRDefault="00387142" w:rsidP="00387142">
            <w:pPr>
              <w:jc w:val="center"/>
              <w:rPr>
                <w:sz w:val="20"/>
                <w:szCs w:val="20"/>
              </w:rPr>
            </w:pPr>
            <w:r w:rsidRPr="008B6A75">
              <w:rPr>
                <w:sz w:val="20"/>
                <w:szCs w:val="20"/>
              </w:rPr>
              <w:t>01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DC5825" w14:textId="77777777" w:rsidR="00387142" w:rsidRPr="008B6A75" w:rsidRDefault="00387142" w:rsidP="00387142">
            <w:pPr>
              <w:jc w:val="center"/>
              <w:rPr>
                <w:sz w:val="20"/>
                <w:szCs w:val="20"/>
              </w:rPr>
            </w:pPr>
            <w:r w:rsidRPr="008B6A75">
              <w:rPr>
                <w:sz w:val="20"/>
                <w:szCs w:val="20"/>
              </w:rPr>
              <w:t>06</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112E3CC4" w14:textId="77777777" w:rsidR="00387142" w:rsidRPr="008B6A75" w:rsidRDefault="00387142" w:rsidP="00387142">
            <w:pPr>
              <w:jc w:val="center"/>
              <w:rPr>
                <w:sz w:val="20"/>
                <w:szCs w:val="20"/>
              </w:rPr>
            </w:pPr>
            <w:r w:rsidRPr="008B6A75">
              <w:rPr>
                <w:sz w:val="20"/>
                <w:szCs w:val="20"/>
              </w:rPr>
              <w:t>99.0.00.70510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DDDCF5" w14:textId="77777777" w:rsidR="00387142" w:rsidRPr="008B6A75" w:rsidRDefault="00387142" w:rsidP="00387142">
            <w:pPr>
              <w:jc w:val="center"/>
              <w:rPr>
                <w:sz w:val="20"/>
                <w:szCs w:val="20"/>
              </w:rPr>
            </w:pPr>
            <w:r w:rsidRPr="008B6A75">
              <w:rPr>
                <w:sz w:val="20"/>
                <w:szCs w:val="20"/>
              </w:rPr>
              <w:t>120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726DDC" w14:textId="77777777" w:rsidR="00387142" w:rsidRPr="008B6A75" w:rsidRDefault="00387142" w:rsidP="00387142">
            <w:pPr>
              <w:jc w:val="right"/>
              <w:rPr>
                <w:sz w:val="20"/>
                <w:szCs w:val="20"/>
              </w:rPr>
            </w:pPr>
            <w:r w:rsidRPr="008B6A75">
              <w:rPr>
                <w:sz w:val="20"/>
                <w:szCs w:val="20"/>
              </w:rPr>
              <w:t>108 527,74</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0FED5602" w14:textId="77777777" w:rsidR="00387142" w:rsidRPr="008B6A75" w:rsidRDefault="00387142" w:rsidP="00387142">
            <w:pPr>
              <w:jc w:val="right"/>
              <w:rPr>
                <w:sz w:val="20"/>
                <w:szCs w:val="20"/>
              </w:rPr>
            </w:pPr>
            <w:r w:rsidRPr="008B6A75">
              <w:rPr>
                <w:sz w:val="20"/>
                <w:szCs w:val="20"/>
              </w:rPr>
              <w:t>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095056" w14:textId="77777777" w:rsidR="00387142" w:rsidRPr="008B6A75" w:rsidRDefault="00387142" w:rsidP="00387142">
            <w:pPr>
              <w:jc w:val="right"/>
              <w:rPr>
                <w:sz w:val="20"/>
                <w:szCs w:val="20"/>
              </w:rPr>
            </w:pPr>
            <w:r w:rsidRPr="008B6A75">
              <w:rPr>
                <w:sz w:val="20"/>
                <w:szCs w:val="20"/>
              </w:rPr>
              <w:t>0,00</w:t>
            </w:r>
          </w:p>
        </w:tc>
        <w:tc>
          <w:tcPr>
            <w:tcW w:w="222" w:type="dxa"/>
            <w:vAlign w:val="center"/>
            <w:hideMark/>
          </w:tcPr>
          <w:p w14:paraId="435BC344" w14:textId="77777777" w:rsidR="00387142" w:rsidRPr="008B6A75" w:rsidRDefault="00387142" w:rsidP="00387142">
            <w:pPr>
              <w:rPr>
                <w:sz w:val="20"/>
                <w:szCs w:val="20"/>
              </w:rPr>
            </w:pPr>
          </w:p>
        </w:tc>
      </w:tr>
      <w:tr w:rsidR="00387142" w:rsidRPr="008B6A75" w14:paraId="3D62ADF8" w14:textId="77777777" w:rsidTr="00387142">
        <w:trPr>
          <w:trHeight w:val="300"/>
        </w:trPr>
        <w:tc>
          <w:tcPr>
            <w:tcW w:w="3021" w:type="dxa"/>
            <w:tcBorders>
              <w:top w:val="nil"/>
              <w:left w:val="single" w:sz="4" w:space="0" w:color="auto"/>
              <w:bottom w:val="nil"/>
              <w:right w:val="nil"/>
            </w:tcBorders>
            <w:shd w:val="clear" w:color="auto" w:fill="auto"/>
            <w:vAlign w:val="center"/>
            <w:hideMark/>
          </w:tcPr>
          <w:p w14:paraId="7CF3E3AF" w14:textId="77777777" w:rsidR="00387142" w:rsidRPr="008B6A75" w:rsidRDefault="00387142" w:rsidP="00387142">
            <w:pPr>
              <w:rPr>
                <w:bCs/>
                <w:sz w:val="20"/>
                <w:szCs w:val="20"/>
              </w:rPr>
            </w:pPr>
            <w:r w:rsidRPr="008B6A75">
              <w:rPr>
                <w:bCs/>
                <w:sz w:val="20"/>
                <w:szCs w:val="20"/>
              </w:rPr>
              <w:t>Резервные фонды</w:t>
            </w:r>
          </w:p>
        </w:tc>
        <w:tc>
          <w:tcPr>
            <w:tcW w:w="850" w:type="dxa"/>
            <w:tcBorders>
              <w:top w:val="nil"/>
              <w:left w:val="single" w:sz="4" w:space="0" w:color="auto"/>
              <w:bottom w:val="nil"/>
              <w:right w:val="nil"/>
            </w:tcBorders>
            <w:shd w:val="clear" w:color="auto" w:fill="auto"/>
            <w:noWrap/>
            <w:vAlign w:val="center"/>
            <w:hideMark/>
          </w:tcPr>
          <w:p w14:paraId="33729A73" w14:textId="77777777" w:rsidR="00387142" w:rsidRPr="008B6A75" w:rsidRDefault="00387142" w:rsidP="00387142">
            <w:pPr>
              <w:jc w:val="center"/>
              <w:rPr>
                <w:bCs/>
                <w:sz w:val="20"/>
                <w:szCs w:val="20"/>
              </w:rPr>
            </w:pPr>
            <w:r w:rsidRPr="008B6A75">
              <w:rPr>
                <w:bCs/>
                <w:sz w:val="20"/>
                <w:szCs w:val="20"/>
              </w:rPr>
              <w:t>444</w:t>
            </w:r>
          </w:p>
        </w:tc>
        <w:tc>
          <w:tcPr>
            <w:tcW w:w="709" w:type="dxa"/>
            <w:tcBorders>
              <w:top w:val="nil"/>
              <w:left w:val="single" w:sz="4" w:space="0" w:color="auto"/>
              <w:bottom w:val="nil"/>
              <w:right w:val="nil"/>
            </w:tcBorders>
            <w:shd w:val="clear" w:color="auto" w:fill="auto"/>
            <w:noWrap/>
            <w:vAlign w:val="center"/>
            <w:hideMark/>
          </w:tcPr>
          <w:p w14:paraId="4E9BFA94" w14:textId="77777777" w:rsidR="00387142" w:rsidRPr="008B6A75" w:rsidRDefault="00387142" w:rsidP="00387142">
            <w:pPr>
              <w:jc w:val="center"/>
              <w:rPr>
                <w:bCs/>
                <w:sz w:val="20"/>
                <w:szCs w:val="20"/>
              </w:rPr>
            </w:pPr>
            <w:r w:rsidRPr="008B6A75">
              <w:rPr>
                <w:bCs/>
                <w:sz w:val="20"/>
                <w:szCs w:val="20"/>
              </w:rPr>
              <w:t>01</w:t>
            </w:r>
          </w:p>
        </w:tc>
        <w:tc>
          <w:tcPr>
            <w:tcW w:w="709" w:type="dxa"/>
            <w:tcBorders>
              <w:top w:val="nil"/>
              <w:left w:val="single" w:sz="4" w:space="0" w:color="auto"/>
              <w:bottom w:val="nil"/>
              <w:right w:val="single" w:sz="4" w:space="0" w:color="auto"/>
            </w:tcBorders>
            <w:shd w:val="clear" w:color="auto" w:fill="auto"/>
            <w:noWrap/>
            <w:vAlign w:val="center"/>
            <w:hideMark/>
          </w:tcPr>
          <w:p w14:paraId="50E8E093" w14:textId="77777777" w:rsidR="00387142" w:rsidRPr="008B6A75" w:rsidRDefault="00387142" w:rsidP="00387142">
            <w:pPr>
              <w:jc w:val="center"/>
              <w:rPr>
                <w:bCs/>
                <w:sz w:val="20"/>
                <w:szCs w:val="20"/>
              </w:rPr>
            </w:pPr>
            <w:r w:rsidRPr="008B6A75">
              <w:rPr>
                <w:bCs/>
                <w:sz w:val="20"/>
                <w:szCs w:val="20"/>
              </w:rPr>
              <w:t>11</w:t>
            </w:r>
          </w:p>
        </w:tc>
        <w:tc>
          <w:tcPr>
            <w:tcW w:w="1411" w:type="dxa"/>
            <w:tcBorders>
              <w:top w:val="nil"/>
              <w:left w:val="single" w:sz="4" w:space="0" w:color="auto"/>
              <w:bottom w:val="nil"/>
              <w:right w:val="nil"/>
            </w:tcBorders>
            <w:shd w:val="clear" w:color="auto" w:fill="auto"/>
            <w:noWrap/>
            <w:vAlign w:val="center"/>
            <w:hideMark/>
          </w:tcPr>
          <w:p w14:paraId="10FC34F5" w14:textId="77777777" w:rsidR="00387142" w:rsidRPr="008B6A75" w:rsidRDefault="00387142" w:rsidP="00387142">
            <w:pPr>
              <w:jc w:val="center"/>
              <w:rPr>
                <w:bCs/>
                <w:sz w:val="20"/>
                <w:szCs w:val="20"/>
              </w:rPr>
            </w:pPr>
            <w:r w:rsidRPr="008B6A75">
              <w:rPr>
                <w:bCs/>
                <w:sz w:val="20"/>
                <w:szCs w:val="20"/>
              </w:rPr>
              <w:t> </w:t>
            </w:r>
          </w:p>
        </w:tc>
        <w:tc>
          <w:tcPr>
            <w:tcW w:w="955" w:type="dxa"/>
            <w:tcBorders>
              <w:top w:val="nil"/>
              <w:left w:val="single" w:sz="4" w:space="0" w:color="auto"/>
              <w:bottom w:val="nil"/>
              <w:right w:val="single" w:sz="4" w:space="0" w:color="auto"/>
            </w:tcBorders>
            <w:shd w:val="clear" w:color="auto" w:fill="auto"/>
            <w:noWrap/>
            <w:vAlign w:val="center"/>
            <w:hideMark/>
          </w:tcPr>
          <w:p w14:paraId="36884E68"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nil"/>
              <w:right w:val="single" w:sz="4" w:space="0" w:color="auto"/>
            </w:tcBorders>
            <w:shd w:val="clear" w:color="auto" w:fill="auto"/>
            <w:noWrap/>
            <w:vAlign w:val="center"/>
            <w:hideMark/>
          </w:tcPr>
          <w:p w14:paraId="2634B67D" w14:textId="77777777" w:rsidR="00387142" w:rsidRPr="008B6A75" w:rsidRDefault="00387142" w:rsidP="00387142">
            <w:pPr>
              <w:jc w:val="right"/>
              <w:rPr>
                <w:bCs/>
                <w:sz w:val="20"/>
                <w:szCs w:val="20"/>
              </w:rPr>
            </w:pPr>
            <w:r w:rsidRPr="008B6A75">
              <w:rPr>
                <w:bCs/>
                <w:sz w:val="20"/>
                <w:szCs w:val="20"/>
              </w:rPr>
              <w:t>954 517,08</w:t>
            </w:r>
          </w:p>
        </w:tc>
        <w:tc>
          <w:tcPr>
            <w:tcW w:w="992" w:type="dxa"/>
            <w:gridSpan w:val="2"/>
            <w:tcBorders>
              <w:top w:val="nil"/>
              <w:left w:val="single" w:sz="4" w:space="0" w:color="auto"/>
              <w:bottom w:val="nil"/>
              <w:right w:val="nil"/>
            </w:tcBorders>
            <w:shd w:val="clear" w:color="auto" w:fill="auto"/>
            <w:noWrap/>
            <w:vAlign w:val="center"/>
            <w:hideMark/>
          </w:tcPr>
          <w:p w14:paraId="4F49908F" w14:textId="77777777" w:rsidR="00387142" w:rsidRPr="008B6A75" w:rsidRDefault="00387142" w:rsidP="00387142">
            <w:pPr>
              <w:jc w:val="right"/>
              <w:rPr>
                <w:bCs/>
                <w:sz w:val="20"/>
                <w:szCs w:val="20"/>
              </w:rPr>
            </w:pPr>
            <w:r w:rsidRPr="008B6A75">
              <w:rPr>
                <w:bCs/>
                <w:sz w:val="20"/>
                <w:szCs w:val="20"/>
              </w:rPr>
              <w:t>0,00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543B8BCC" w14:textId="77777777" w:rsidR="00387142" w:rsidRPr="008B6A75" w:rsidRDefault="00387142" w:rsidP="00387142">
            <w:pPr>
              <w:jc w:val="right"/>
              <w:rPr>
                <w:bCs/>
                <w:sz w:val="20"/>
                <w:szCs w:val="20"/>
              </w:rPr>
            </w:pPr>
            <w:r w:rsidRPr="008B6A75">
              <w:rPr>
                <w:bCs/>
                <w:sz w:val="20"/>
                <w:szCs w:val="20"/>
              </w:rPr>
              <w:t>0,00</w:t>
            </w:r>
          </w:p>
        </w:tc>
        <w:tc>
          <w:tcPr>
            <w:tcW w:w="222" w:type="dxa"/>
            <w:vAlign w:val="center"/>
            <w:hideMark/>
          </w:tcPr>
          <w:p w14:paraId="0B6F06C0" w14:textId="77777777" w:rsidR="00387142" w:rsidRPr="008B6A75" w:rsidRDefault="00387142" w:rsidP="00387142">
            <w:pPr>
              <w:rPr>
                <w:sz w:val="20"/>
                <w:szCs w:val="20"/>
              </w:rPr>
            </w:pPr>
          </w:p>
        </w:tc>
      </w:tr>
      <w:tr w:rsidR="00387142" w:rsidRPr="008B6A75" w14:paraId="158CA885" w14:textId="77777777" w:rsidTr="00387142">
        <w:trPr>
          <w:trHeight w:val="300"/>
        </w:trPr>
        <w:tc>
          <w:tcPr>
            <w:tcW w:w="3021" w:type="dxa"/>
            <w:tcBorders>
              <w:top w:val="single" w:sz="4" w:space="0" w:color="auto"/>
              <w:left w:val="single" w:sz="4" w:space="0" w:color="auto"/>
              <w:bottom w:val="nil"/>
              <w:right w:val="nil"/>
            </w:tcBorders>
            <w:shd w:val="clear" w:color="auto" w:fill="auto"/>
            <w:vAlign w:val="center"/>
            <w:hideMark/>
          </w:tcPr>
          <w:p w14:paraId="0DB8E21B" w14:textId="77777777" w:rsidR="00387142" w:rsidRPr="008B6A75" w:rsidRDefault="00387142" w:rsidP="00387142">
            <w:pPr>
              <w:rPr>
                <w:bCs/>
                <w:sz w:val="20"/>
                <w:szCs w:val="20"/>
              </w:rPr>
            </w:pPr>
            <w:r w:rsidRPr="008B6A75">
              <w:rPr>
                <w:bCs/>
                <w:sz w:val="20"/>
                <w:szCs w:val="20"/>
              </w:rPr>
              <w:t>Непрограммные направления бюджета</w:t>
            </w:r>
          </w:p>
        </w:tc>
        <w:tc>
          <w:tcPr>
            <w:tcW w:w="850" w:type="dxa"/>
            <w:tcBorders>
              <w:top w:val="single" w:sz="4" w:space="0" w:color="auto"/>
              <w:left w:val="single" w:sz="4" w:space="0" w:color="auto"/>
              <w:bottom w:val="nil"/>
              <w:right w:val="nil"/>
            </w:tcBorders>
            <w:shd w:val="clear" w:color="auto" w:fill="auto"/>
            <w:noWrap/>
            <w:vAlign w:val="center"/>
            <w:hideMark/>
          </w:tcPr>
          <w:p w14:paraId="08C6E594" w14:textId="77777777" w:rsidR="00387142" w:rsidRPr="008B6A75" w:rsidRDefault="00387142" w:rsidP="00387142">
            <w:pPr>
              <w:jc w:val="center"/>
              <w:rPr>
                <w:bCs/>
                <w:sz w:val="20"/>
                <w:szCs w:val="20"/>
              </w:rPr>
            </w:pPr>
            <w:r w:rsidRPr="008B6A75">
              <w:rPr>
                <w:bCs/>
                <w:sz w:val="20"/>
                <w:szCs w:val="20"/>
              </w:rPr>
              <w:t>444</w:t>
            </w:r>
          </w:p>
        </w:tc>
        <w:tc>
          <w:tcPr>
            <w:tcW w:w="709" w:type="dxa"/>
            <w:tcBorders>
              <w:top w:val="single" w:sz="4" w:space="0" w:color="auto"/>
              <w:left w:val="single" w:sz="4" w:space="0" w:color="auto"/>
              <w:bottom w:val="nil"/>
              <w:right w:val="nil"/>
            </w:tcBorders>
            <w:shd w:val="clear" w:color="auto" w:fill="auto"/>
            <w:noWrap/>
            <w:vAlign w:val="center"/>
            <w:hideMark/>
          </w:tcPr>
          <w:p w14:paraId="516201FB" w14:textId="77777777" w:rsidR="00387142" w:rsidRPr="008B6A75" w:rsidRDefault="00387142" w:rsidP="00387142">
            <w:pPr>
              <w:jc w:val="center"/>
              <w:rPr>
                <w:bCs/>
                <w:sz w:val="20"/>
                <w:szCs w:val="20"/>
              </w:rPr>
            </w:pPr>
            <w:r w:rsidRPr="008B6A75">
              <w:rPr>
                <w:bCs/>
                <w:sz w:val="20"/>
                <w:szCs w:val="20"/>
              </w:rPr>
              <w:t>01</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37F2E243" w14:textId="77777777" w:rsidR="00387142" w:rsidRPr="008B6A75" w:rsidRDefault="00387142" w:rsidP="00387142">
            <w:pPr>
              <w:jc w:val="center"/>
              <w:rPr>
                <w:bCs/>
                <w:sz w:val="20"/>
                <w:szCs w:val="20"/>
              </w:rPr>
            </w:pPr>
            <w:r w:rsidRPr="008B6A75">
              <w:rPr>
                <w:bCs/>
                <w:sz w:val="20"/>
                <w:szCs w:val="20"/>
              </w:rPr>
              <w:t>11</w:t>
            </w:r>
          </w:p>
        </w:tc>
        <w:tc>
          <w:tcPr>
            <w:tcW w:w="1411" w:type="dxa"/>
            <w:tcBorders>
              <w:top w:val="single" w:sz="4" w:space="0" w:color="auto"/>
              <w:left w:val="single" w:sz="4" w:space="0" w:color="auto"/>
              <w:bottom w:val="nil"/>
              <w:right w:val="nil"/>
            </w:tcBorders>
            <w:shd w:val="clear" w:color="auto" w:fill="auto"/>
            <w:noWrap/>
            <w:vAlign w:val="center"/>
            <w:hideMark/>
          </w:tcPr>
          <w:p w14:paraId="7BDEE347" w14:textId="77777777" w:rsidR="00387142" w:rsidRPr="008B6A75" w:rsidRDefault="00387142" w:rsidP="00387142">
            <w:pPr>
              <w:jc w:val="center"/>
              <w:rPr>
                <w:bCs/>
                <w:sz w:val="20"/>
                <w:szCs w:val="20"/>
              </w:rPr>
            </w:pPr>
            <w:r w:rsidRPr="008B6A75">
              <w:rPr>
                <w:bCs/>
                <w:sz w:val="20"/>
                <w:szCs w:val="20"/>
              </w:rPr>
              <w:t>99.0.00.00000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30C20AD0" w14:textId="77777777" w:rsidR="00387142" w:rsidRPr="008B6A75" w:rsidRDefault="00387142" w:rsidP="00387142">
            <w:pPr>
              <w:jc w:val="center"/>
              <w:rPr>
                <w:bCs/>
                <w:sz w:val="20"/>
                <w:szCs w:val="20"/>
              </w:rPr>
            </w:pPr>
            <w:r w:rsidRPr="008B6A75">
              <w:rPr>
                <w:bCs/>
                <w:sz w:val="20"/>
                <w:szCs w:val="20"/>
              </w:rPr>
              <w:t> </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1F259652" w14:textId="77777777" w:rsidR="00387142" w:rsidRPr="008B6A75" w:rsidRDefault="00387142" w:rsidP="00387142">
            <w:pPr>
              <w:jc w:val="right"/>
              <w:rPr>
                <w:bCs/>
                <w:sz w:val="20"/>
                <w:szCs w:val="20"/>
              </w:rPr>
            </w:pPr>
            <w:r w:rsidRPr="008B6A75">
              <w:rPr>
                <w:bCs/>
                <w:sz w:val="20"/>
                <w:szCs w:val="20"/>
              </w:rPr>
              <w:t>954 517,08</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00048995" w14:textId="77777777" w:rsidR="00387142" w:rsidRPr="008B6A75" w:rsidRDefault="00387142" w:rsidP="00387142">
            <w:pPr>
              <w:jc w:val="right"/>
              <w:rPr>
                <w:bCs/>
                <w:sz w:val="20"/>
                <w:szCs w:val="20"/>
              </w:rPr>
            </w:pPr>
            <w:r w:rsidRPr="008B6A75">
              <w:rPr>
                <w:bCs/>
                <w:sz w:val="20"/>
                <w:szCs w:val="20"/>
              </w:rPr>
              <w:t>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491EB8AC" w14:textId="77777777" w:rsidR="00387142" w:rsidRPr="008B6A75" w:rsidRDefault="00387142" w:rsidP="00387142">
            <w:pPr>
              <w:jc w:val="right"/>
              <w:rPr>
                <w:bCs/>
                <w:sz w:val="20"/>
                <w:szCs w:val="20"/>
              </w:rPr>
            </w:pPr>
            <w:r w:rsidRPr="008B6A75">
              <w:rPr>
                <w:bCs/>
                <w:sz w:val="20"/>
                <w:szCs w:val="20"/>
              </w:rPr>
              <w:t>0,00</w:t>
            </w:r>
          </w:p>
        </w:tc>
        <w:tc>
          <w:tcPr>
            <w:tcW w:w="222" w:type="dxa"/>
            <w:vAlign w:val="center"/>
            <w:hideMark/>
          </w:tcPr>
          <w:p w14:paraId="3A9F8A62" w14:textId="77777777" w:rsidR="00387142" w:rsidRPr="008B6A75" w:rsidRDefault="00387142" w:rsidP="00387142">
            <w:pPr>
              <w:rPr>
                <w:sz w:val="20"/>
                <w:szCs w:val="20"/>
              </w:rPr>
            </w:pPr>
          </w:p>
        </w:tc>
      </w:tr>
      <w:tr w:rsidR="00387142" w:rsidRPr="008B6A75" w14:paraId="10F8E120" w14:textId="77777777" w:rsidTr="00387142">
        <w:trPr>
          <w:trHeight w:val="300"/>
        </w:trPr>
        <w:tc>
          <w:tcPr>
            <w:tcW w:w="3021" w:type="dxa"/>
            <w:tcBorders>
              <w:top w:val="single" w:sz="4" w:space="0" w:color="auto"/>
              <w:left w:val="single" w:sz="4" w:space="0" w:color="auto"/>
              <w:bottom w:val="nil"/>
              <w:right w:val="nil"/>
            </w:tcBorders>
            <w:shd w:val="clear" w:color="auto" w:fill="auto"/>
            <w:vAlign w:val="center"/>
            <w:hideMark/>
          </w:tcPr>
          <w:p w14:paraId="5029C4C4" w14:textId="77777777" w:rsidR="00387142" w:rsidRPr="008B6A75" w:rsidRDefault="00387142" w:rsidP="00387142">
            <w:pPr>
              <w:rPr>
                <w:bCs/>
                <w:sz w:val="20"/>
                <w:szCs w:val="20"/>
              </w:rPr>
            </w:pPr>
            <w:r w:rsidRPr="008B6A75">
              <w:rPr>
                <w:bCs/>
                <w:sz w:val="20"/>
                <w:szCs w:val="20"/>
              </w:rPr>
              <w:t>Резервные фонды местного бюджета</w:t>
            </w:r>
          </w:p>
        </w:tc>
        <w:tc>
          <w:tcPr>
            <w:tcW w:w="850" w:type="dxa"/>
            <w:tcBorders>
              <w:top w:val="single" w:sz="4" w:space="0" w:color="auto"/>
              <w:left w:val="single" w:sz="4" w:space="0" w:color="auto"/>
              <w:bottom w:val="nil"/>
              <w:right w:val="nil"/>
            </w:tcBorders>
            <w:shd w:val="clear" w:color="auto" w:fill="auto"/>
            <w:noWrap/>
            <w:vAlign w:val="center"/>
            <w:hideMark/>
          </w:tcPr>
          <w:p w14:paraId="6D6E73DC" w14:textId="77777777" w:rsidR="00387142" w:rsidRPr="008B6A75" w:rsidRDefault="00387142" w:rsidP="00387142">
            <w:pPr>
              <w:jc w:val="center"/>
              <w:rPr>
                <w:bCs/>
                <w:sz w:val="20"/>
                <w:szCs w:val="20"/>
              </w:rPr>
            </w:pPr>
            <w:r w:rsidRPr="008B6A75">
              <w:rPr>
                <w:bCs/>
                <w:sz w:val="20"/>
                <w:szCs w:val="20"/>
              </w:rPr>
              <w:t>444</w:t>
            </w:r>
          </w:p>
        </w:tc>
        <w:tc>
          <w:tcPr>
            <w:tcW w:w="709" w:type="dxa"/>
            <w:tcBorders>
              <w:top w:val="single" w:sz="4" w:space="0" w:color="auto"/>
              <w:left w:val="single" w:sz="4" w:space="0" w:color="auto"/>
              <w:bottom w:val="nil"/>
              <w:right w:val="nil"/>
            </w:tcBorders>
            <w:shd w:val="clear" w:color="auto" w:fill="auto"/>
            <w:noWrap/>
            <w:vAlign w:val="center"/>
            <w:hideMark/>
          </w:tcPr>
          <w:p w14:paraId="415FA4E6" w14:textId="77777777" w:rsidR="00387142" w:rsidRPr="008B6A75" w:rsidRDefault="00387142" w:rsidP="00387142">
            <w:pPr>
              <w:jc w:val="center"/>
              <w:rPr>
                <w:bCs/>
                <w:sz w:val="20"/>
                <w:szCs w:val="20"/>
              </w:rPr>
            </w:pPr>
            <w:r w:rsidRPr="008B6A75">
              <w:rPr>
                <w:bCs/>
                <w:sz w:val="20"/>
                <w:szCs w:val="20"/>
              </w:rPr>
              <w:t>01</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0D45EDA4" w14:textId="77777777" w:rsidR="00387142" w:rsidRPr="008B6A75" w:rsidRDefault="00387142" w:rsidP="00387142">
            <w:pPr>
              <w:jc w:val="center"/>
              <w:rPr>
                <w:bCs/>
                <w:sz w:val="20"/>
                <w:szCs w:val="20"/>
              </w:rPr>
            </w:pPr>
            <w:r w:rsidRPr="008B6A75">
              <w:rPr>
                <w:bCs/>
                <w:sz w:val="20"/>
                <w:szCs w:val="20"/>
              </w:rPr>
              <w:t>11</w:t>
            </w:r>
          </w:p>
        </w:tc>
        <w:tc>
          <w:tcPr>
            <w:tcW w:w="1411" w:type="dxa"/>
            <w:tcBorders>
              <w:top w:val="single" w:sz="4" w:space="0" w:color="auto"/>
              <w:left w:val="single" w:sz="4" w:space="0" w:color="auto"/>
              <w:bottom w:val="nil"/>
              <w:right w:val="nil"/>
            </w:tcBorders>
            <w:shd w:val="clear" w:color="auto" w:fill="auto"/>
            <w:noWrap/>
            <w:vAlign w:val="center"/>
            <w:hideMark/>
          </w:tcPr>
          <w:p w14:paraId="4EBA5723" w14:textId="77777777" w:rsidR="00387142" w:rsidRPr="008B6A75" w:rsidRDefault="00387142" w:rsidP="00387142">
            <w:pPr>
              <w:jc w:val="center"/>
              <w:rPr>
                <w:bCs/>
                <w:sz w:val="20"/>
                <w:szCs w:val="20"/>
              </w:rPr>
            </w:pPr>
            <w:r w:rsidRPr="008B6A75">
              <w:rPr>
                <w:bCs/>
                <w:sz w:val="20"/>
                <w:szCs w:val="20"/>
              </w:rPr>
              <w:t>99.0.00.01700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5DADBA25" w14:textId="77777777" w:rsidR="00387142" w:rsidRPr="008B6A75" w:rsidRDefault="00387142" w:rsidP="00387142">
            <w:pPr>
              <w:jc w:val="center"/>
              <w:rPr>
                <w:bCs/>
                <w:sz w:val="20"/>
                <w:szCs w:val="20"/>
              </w:rPr>
            </w:pPr>
            <w:r w:rsidRPr="008B6A75">
              <w:rPr>
                <w:bCs/>
                <w:sz w:val="20"/>
                <w:szCs w:val="20"/>
              </w:rPr>
              <w:t> </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6CCB14E0" w14:textId="77777777" w:rsidR="00387142" w:rsidRPr="008B6A75" w:rsidRDefault="00387142" w:rsidP="00387142">
            <w:pPr>
              <w:jc w:val="right"/>
              <w:rPr>
                <w:bCs/>
                <w:sz w:val="20"/>
                <w:szCs w:val="20"/>
              </w:rPr>
            </w:pPr>
            <w:r w:rsidRPr="008B6A75">
              <w:rPr>
                <w:bCs/>
                <w:sz w:val="20"/>
                <w:szCs w:val="20"/>
              </w:rPr>
              <w:t>954 517,08</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45ECC3BF" w14:textId="77777777" w:rsidR="00387142" w:rsidRPr="008B6A75" w:rsidRDefault="00387142" w:rsidP="00387142">
            <w:pPr>
              <w:jc w:val="right"/>
              <w:rPr>
                <w:bCs/>
                <w:sz w:val="20"/>
                <w:szCs w:val="20"/>
              </w:rPr>
            </w:pPr>
            <w:r w:rsidRPr="008B6A75">
              <w:rPr>
                <w:bCs/>
                <w:sz w:val="20"/>
                <w:szCs w:val="20"/>
              </w:rPr>
              <w:t>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271E3F4B" w14:textId="77777777" w:rsidR="00387142" w:rsidRPr="008B6A75" w:rsidRDefault="00387142" w:rsidP="00387142">
            <w:pPr>
              <w:jc w:val="right"/>
              <w:rPr>
                <w:bCs/>
                <w:sz w:val="20"/>
                <w:szCs w:val="20"/>
              </w:rPr>
            </w:pPr>
            <w:r w:rsidRPr="008B6A75">
              <w:rPr>
                <w:bCs/>
                <w:sz w:val="20"/>
                <w:szCs w:val="20"/>
              </w:rPr>
              <w:t>0,00</w:t>
            </w:r>
          </w:p>
        </w:tc>
        <w:tc>
          <w:tcPr>
            <w:tcW w:w="222" w:type="dxa"/>
            <w:vAlign w:val="center"/>
            <w:hideMark/>
          </w:tcPr>
          <w:p w14:paraId="4E6EEFF8" w14:textId="77777777" w:rsidR="00387142" w:rsidRPr="008B6A75" w:rsidRDefault="00387142" w:rsidP="00387142">
            <w:pPr>
              <w:rPr>
                <w:sz w:val="20"/>
                <w:szCs w:val="20"/>
              </w:rPr>
            </w:pPr>
          </w:p>
        </w:tc>
      </w:tr>
      <w:tr w:rsidR="00387142" w:rsidRPr="008B6A75" w14:paraId="5FD9E40A" w14:textId="77777777" w:rsidTr="00387142">
        <w:trPr>
          <w:trHeight w:val="300"/>
        </w:trPr>
        <w:tc>
          <w:tcPr>
            <w:tcW w:w="3021" w:type="dxa"/>
            <w:tcBorders>
              <w:top w:val="single" w:sz="4" w:space="0" w:color="auto"/>
              <w:left w:val="single" w:sz="4" w:space="0" w:color="auto"/>
              <w:bottom w:val="nil"/>
              <w:right w:val="nil"/>
            </w:tcBorders>
            <w:shd w:val="clear" w:color="auto" w:fill="auto"/>
            <w:vAlign w:val="center"/>
            <w:hideMark/>
          </w:tcPr>
          <w:p w14:paraId="36E14EE9" w14:textId="77777777" w:rsidR="00387142" w:rsidRPr="008B6A75" w:rsidRDefault="00387142" w:rsidP="00387142">
            <w:pPr>
              <w:rPr>
                <w:sz w:val="20"/>
                <w:szCs w:val="20"/>
              </w:rPr>
            </w:pPr>
            <w:r w:rsidRPr="008B6A75">
              <w:rPr>
                <w:sz w:val="20"/>
                <w:szCs w:val="20"/>
              </w:rPr>
              <w:t>Иные бюджетные ассигнования</w:t>
            </w:r>
          </w:p>
        </w:tc>
        <w:tc>
          <w:tcPr>
            <w:tcW w:w="850" w:type="dxa"/>
            <w:tcBorders>
              <w:top w:val="single" w:sz="4" w:space="0" w:color="auto"/>
              <w:left w:val="single" w:sz="4" w:space="0" w:color="auto"/>
              <w:bottom w:val="nil"/>
              <w:right w:val="nil"/>
            </w:tcBorders>
            <w:shd w:val="clear" w:color="auto" w:fill="auto"/>
            <w:noWrap/>
            <w:vAlign w:val="center"/>
            <w:hideMark/>
          </w:tcPr>
          <w:p w14:paraId="7C9D02A7" w14:textId="77777777" w:rsidR="00387142" w:rsidRPr="008B6A75" w:rsidRDefault="00387142" w:rsidP="00387142">
            <w:pPr>
              <w:jc w:val="center"/>
              <w:rPr>
                <w:sz w:val="20"/>
                <w:szCs w:val="20"/>
              </w:rPr>
            </w:pPr>
            <w:r w:rsidRPr="008B6A75">
              <w:rPr>
                <w:sz w:val="20"/>
                <w:szCs w:val="20"/>
              </w:rPr>
              <w:t>444</w:t>
            </w:r>
          </w:p>
        </w:tc>
        <w:tc>
          <w:tcPr>
            <w:tcW w:w="709" w:type="dxa"/>
            <w:tcBorders>
              <w:top w:val="single" w:sz="4" w:space="0" w:color="auto"/>
              <w:left w:val="single" w:sz="4" w:space="0" w:color="auto"/>
              <w:bottom w:val="nil"/>
              <w:right w:val="nil"/>
            </w:tcBorders>
            <w:shd w:val="clear" w:color="auto" w:fill="auto"/>
            <w:noWrap/>
            <w:vAlign w:val="center"/>
            <w:hideMark/>
          </w:tcPr>
          <w:p w14:paraId="2E7BC1D9" w14:textId="77777777" w:rsidR="00387142" w:rsidRPr="008B6A75" w:rsidRDefault="00387142" w:rsidP="00387142">
            <w:pPr>
              <w:jc w:val="center"/>
              <w:rPr>
                <w:sz w:val="20"/>
                <w:szCs w:val="20"/>
              </w:rPr>
            </w:pPr>
            <w:r w:rsidRPr="008B6A75">
              <w:rPr>
                <w:sz w:val="20"/>
                <w:szCs w:val="20"/>
              </w:rPr>
              <w:t>01</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5CC85B00" w14:textId="77777777" w:rsidR="00387142" w:rsidRPr="008B6A75" w:rsidRDefault="00387142" w:rsidP="00387142">
            <w:pPr>
              <w:jc w:val="center"/>
              <w:rPr>
                <w:sz w:val="20"/>
                <w:szCs w:val="20"/>
              </w:rPr>
            </w:pPr>
            <w:r w:rsidRPr="008B6A75">
              <w:rPr>
                <w:sz w:val="20"/>
                <w:szCs w:val="20"/>
              </w:rPr>
              <w:t>11</w:t>
            </w:r>
          </w:p>
        </w:tc>
        <w:tc>
          <w:tcPr>
            <w:tcW w:w="1411" w:type="dxa"/>
            <w:tcBorders>
              <w:top w:val="single" w:sz="4" w:space="0" w:color="auto"/>
              <w:left w:val="single" w:sz="4" w:space="0" w:color="auto"/>
              <w:bottom w:val="nil"/>
              <w:right w:val="nil"/>
            </w:tcBorders>
            <w:shd w:val="clear" w:color="auto" w:fill="auto"/>
            <w:noWrap/>
            <w:vAlign w:val="center"/>
            <w:hideMark/>
          </w:tcPr>
          <w:p w14:paraId="0D57FF8C" w14:textId="77777777" w:rsidR="00387142" w:rsidRPr="008B6A75" w:rsidRDefault="00387142" w:rsidP="00387142">
            <w:pPr>
              <w:jc w:val="center"/>
              <w:rPr>
                <w:sz w:val="20"/>
                <w:szCs w:val="20"/>
              </w:rPr>
            </w:pPr>
            <w:r w:rsidRPr="008B6A75">
              <w:rPr>
                <w:sz w:val="20"/>
                <w:szCs w:val="20"/>
              </w:rPr>
              <w:t>99.0.00.01700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03F34A98" w14:textId="77777777" w:rsidR="00387142" w:rsidRPr="008B6A75" w:rsidRDefault="00387142" w:rsidP="00387142">
            <w:pPr>
              <w:jc w:val="center"/>
              <w:rPr>
                <w:sz w:val="20"/>
                <w:szCs w:val="20"/>
              </w:rPr>
            </w:pPr>
            <w:r w:rsidRPr="008B6A75">
              <w:rPr>
                <w:sz w:val="20"/>
                <w:szCs w:val="20"/>
              </w:rPr>
              <w:t>800</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27816D8E" w14:textId="77777777" w:rsidR="00387142" w:rsidRPr="008B6A75" w:rsidRDefault="00387142" w:rsidP="00387142">
            <w:pPr>
              <w:jc w:val="right"/>
              <w:rPr>
                <w:sz w:val="20"/>
                <w:szCs w:val="20"/>
              </w:rPr>
            </w:pPr>
            <w:r w:rsidRPr="008B6A75">
              <w:rPr>
                <w:sz w:val="20"/>
                <w:szCs w:val="20"/>
              </w:rPr>
              <w:t>954 517,08</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2B54AD3D" w14:textId="77777777" w:rsidR="00387142" w:rsidRPr="008B6A75" w:rsidRDefault="00387142" w:rsidP="00387142">
            <w:pPr>
              <w:jc w:val="right"/>
              <w:rPr>
                <w:sz w:val="20"/>
                <w:szCs w:val="20"/>
              </w:rPr>
            </w:pPr>
            <w:r w:rsidRPr="008B6A75">
              <w:rPr>
                <w:sz w:val="20"/>
                <w:szCs w:val="20"/>
              </w:rPr>
              <w:t>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6A86D007" w14:textId="77777777" w:rsidR="00387142" w:rsidRPr="008B6A75" w:rsidRDefault="00387142" w:rsidP="00387142">
            <w:pPr>
              <w:jc w:val="right"/>
              <w:rPr>
                <w:sz w:val="20"/>
                <w:szCs w:val="20"/>
              </w:rPr>
            </w:pPr>
            <w:r w:rsidRPr="008B6A75">
              <w:rPr>
                <w:sz w:val="20"/>
                <w:szCs w:val="20"/>
              </w:rPr>
              <w:t>0,00</w:t>
            </w:r>
          </w:p>
        </w:tc>
        <w:tc>
          <w:tcPr>
            <w:tcW w:w="222" w:type="dxa"/>
            <w:vAlign w:val="center"/>
            <w:hideMark/>
          </w:tcPr>
          <w:p w14:paraId="50E798B3" w14:textId="77777777" w:rsidR="00387142" w:rsidRPr="008B6A75" w:rsidRDefault="00387142" w:rsidP="00387142">
            <w:pPr>
              <w:rPr>
                <w:sz w:val="20"/>
                <w:szCs w:val="20"/>
              </w:rPr>
            </w:pPr>
          </w:p>
        </w:tc>
      </w:tr>
      <w:tr w:rsidR="00387142" w:rsidRPr="008B6A75" w14:paraId="0DC2D18F" w14:textId="77777777" w:rsidTr="00387142">
        <w:trPr>
          <w:trHeight w:val="300"/>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450E4BBE" w14:textId="77777777" w:rsidR="00387142" w:rsidRPr="008B6A75" w:rsidRDefault="00387142" w:rsidP="00387142">
            <w:pPr>
              <w:rPr>
                <w:sz w:val="20"/>
                <w:szCs w:val="20"/>
              </w:rPr>
            </w:pPr>
            <w:r w:rsidRPr="008B6A75">
              <w:rPr>
                <w:sz w:val="20"/>
                <w:szCs w:val="20"/>
              </w:rPr>
              <w:t>Резервные средства</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507C9861" w14:textId="77777777" w:rsidR="00387142" w:rsidRPr="008B6A75" w:rsidRDefault="00387142" w:rsidP="00387142">
            <w:pPr>
              <w:jc w:val="center"/>
              <w:rPr>
                <w:sz w:val="20"/>
                <w:szCs w:val="20"/>
              </w:rPr>
            </w:pPr>
            <w:r w:rsidRPr="008B6A75">
              <w:rPr>
                <w:sz w:val="20"/>
                <w:szCs w:val="20"/>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56EEB1B4" w14:textId="77777777" w:rsidR="00387142" w:rsidRPr="008B6A75" w:rsidRDefault="00387142" w:rsidP="00387142">
            <w:pPr>
              <w:jc w:val="center"/>
              <w:rPr>
                <w:sz w:val="20"/>
                <w:szCs w:val="20"/>
              </w:rPr>
            </w:pPr>
            <w:r w:rsidRPr="008B6A75">
              <w:rPr>
                <w:sz w:val="20"/>
                <w:szCs w:val="20"/>
              </w:rPr>
              <w:t>01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2438E2" w14:textId="77777777" w:rsidR="00387142" w:rsidRPr="008B6A75" w:rsidRDefault="00387142" w:rsidP="00387142">
            <w:pPr>
              <w:jc w:val="center"/>
              <w:rPr>
                <w:sz w:val="20"/>
                <w:szCs w:val="20"/>
              </w:rPr>
            </w:pPr>
            <w:r w:rsidRPr="008B6A75">
              <w:rPr>
                <w:sz w:val="20"/>
                <w:szCs w:val="20"/>
              </w:rPr>
              <w:t>11</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6EA6FE8E" w14:textId="77777777" w:rsidR="00387142" w:rsidRPr="008B6A75" w:rsidRDefault="00387142" w:rsidP="00387142">
            <w:pPr>
              <w:jc w:val="center"/>
              <w:rPr>
                <w:sz w:val="20"/>
                <w:szCs w:val="20"/>
              </w:rPr>
            </w:pPr>
            <w:r w:rsidRPr="008B6A75">
              <w:rPr>
                <w:sz w:val="20"/>
                <w:szCs w:val="20"/>
              </w:rPr>
              <w:t>99.0.00.01700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80803B" w14:textId="77777777" w:rsidR="00387142" w:rsidRPr="008B6A75" w:rsidRDefault="00387142" w:rsidP="00387142">
            <w:pPr>
              <w:jc w:val="center"/>
              <w:rPr>
                <w:sz w:val="20"/>
                <w:szCs w:val="20"/>
              </w:rPr>
            </w:pPr>
            <w:r w:rsidRPr="008B6A75">
              <w:rPr>
                <w:sz w:val="20"/>
                <w:szCs w:val="20"/>
              </w:rPr>
              <w:t>870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C4079D" w14:textId="77777777" w:rsidR="00387142" w:rsidRPr="008B6A75" w:rsidRDefault="00387142" w:rsidP="00387142">
            <w:pPr>
              <w:jc w:val="right"/>
              <w:rPr>
                <w:sz w:val="20"/>
                <w:szCs w:val="20"/>
              </w:rPr>
            </w:pPr>
            <w:r w:rsidRPr="008B6A75">
              <w:rPr>
                <w:sz w:val="20"/>
                <w:szCs w:val="20"/>
              </w:rPr>
              <w:t>954 517,08</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7664E401" w14:textId="77777777" w:rsidR="00387142" w:rsidRPr="008B6A75" w:rsidRDefault="00387142" w:rsidP="00387142">
            <w:pPr>
              <w:jc w:val="right"/>
              <w:rPr>
                <w:sz w:val="20"/>
                <w:szCs w:val="20"/>
              </w:rPr>
            </w:pPr>
            <w:r w:rsidRPr="008B6A75">
              <w:rPr>
                <w:sz w:val="20"/>
                <w:szCs w:val="20"/>
              </w:rPr>
              <w:t>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8BEFA1" w14:textId="77777777" w:rsidR="00387142" w:rsidRPr="008B6A75" w:rsidRDefault="00387142" w:rsidP="00387142">
            <w:pPr>
              <w:jc w:val="right"/>
              <w:rPr>
                <w:sz w:val="20"/>
                <w:szCs w:val="20"/>
              </w:rPr>
            </w:pPr>
            <w:r w:rsidRPr="008B6A75">
              <w:rPr>
                <w:sz w:val="20"/>
                <w:szCs w:val="20"/>
              </w:rPr>
              <w:t>0,00</w:t>
            </w:r>
          </w:p>
        </w:tc>
        <w:tc>
          <w:tcPr>
            <w:tcW w:w="222" w:type="dxa"/>
            <w:vAlign w:val="center"/>
            <w:hideMark/>
          </w:tcPr>
          <w:p w14:paraId="6E74B14D" w14:textId="77777777" w:rsidR="00387142" w:rsidRPr="008B6A75" w:rsidRDefault="00387142" w:rsidP="00387142">
            <w:pPr>
              <w:rPr>
                <w:sz w:val="20"/>
                <w:szCs w:val="20"/>
              </w:rPr>
            </w:pPr>
          </w:p>
        </w:tc>
      </w:tr>
      <w:tr w:rsidR="00387142" w:rsidRPr="008B6A75" w14:paraId="1B89E110" w14:textId="77777777" w:rsidTr="00387142">
        <w:trPr>
          <w:trHeight w:val="300"/>
        </w:trPr>
        <w:tc>
          <w:tcPr>
            <w:tcW w:w="3021" w:type="dxa"/>
            <w:tcBorders>
              <w:top w:val="nil"/>
              <w:left w:val="single" w:sz="4" w:space="0" w:color="auto"/>
              <w:bottom w:val="nil"/>
              <w:right w:val="nil"/>
            </w:tcBorders>
            <w:shd w:val="clear" w:color="auto" w:fill="auto"/>
            <w:vAlign w:val="center"/>
            <w:hideMark/>
          </w:tcPr>
          <w:p w14:paraId="05EE14B9" w14:textId="77777777" w:rsidR="00387142" w:rsidRPr="008B6A75" w:rsidRDefault="00387142" w:rsidP="00387142">
            <w:pPr>
              <w:rPr>
                <w:bCs/>
                <w:sz w:val="20"/>
                <w:szCs w:val="20"/>
              </w:rPr>
            </w:pPr>
            <w:r w:rsidRPr="008B6A75">
              <w:rPr>
                <w:bCs/>
                <w:sz w:val="20"/>
                <w:szCs w:val="20"/>
              </w:rPr>
              <w:t>Другие общегосударственные вопросы</w:t>
            </w:r>
          </w:p>
        </w:tc>
        <w:tc>
          <w:tcPr>
            <w:tcW w:w="850" w:type="dxa"/>
            <w:tcBorders>
              <w:top w:val="nil"/>
              <w:left w:val="single" w:sz="4" w:space="0" w:color="auto"/>
              <w:bottom w:val="nil"/>
              <w:right w:val="nil"/>
            </w:tcBorders>
            <w:shd w:val="clear" w:color="auto" w:fill="auto"/>
            <w:noWrap/>
            <w:vAlign w:val="center"/>
            <w:hideMark/>
          </w:tcPr>
          <w:p w14:paraId="199DB269" w14:textId="77777777" w:rsidR="00387142" w:rsidRPr="008B6A75" w:rsidRDefault="00387142" w:rsidP="00387142">
            <w:pPr>
              <w:jc w:val="center"/>
              <w:rPr>
                <w:bCs/>
                <w:sz w:val="20"/>
                <w:szCs w:val="20"/>
              </w:rPr>
            </w:pPr>
            <w:r w:rsidRPr="008B6A75">
              <w:rPr>
                <w:bCs/>
                <w:sz w:val="20"/>
                <w:szCs w:val="20"/>
              </w:rPr>
              <w:t>444</w:t>
            </w:r>
          </w:p>
        </w:tc>
        <w:tc>
          <w:tcPr>
            <w:tcW w:w="709" w:type="dxa"/>
            <w:tcBorders>
              <w:top w:val="nil"/>
              <w:left w:val="single" w:sz="4" w:space="0" w:color="auto"/>
              <w:bottom w:val="nil"/>
              <w:right w:val="nil"/>
            </w:tcBorders>
            <w:shd w:val="clear" w:color="auto" w:fill="auto"/>
            <w:noWrap/>
            <w:vAlign w:val="center"/>
            <w:hideMark/>
          </w:tcPr>
          <w:p w14:paraId="51D21845" w14:textId="77777777" w:rsidR="00387142" w:rsidRPr="008B6A75" w:rsidRDefault="00387142" w:rsidP="00387142">
            <w:pPr>
              <w:jc w:val="center"/>
              <w:rPr>
                <w:bCs/>
                <w:sz w:val="20"/>
                <w:szCs w:val="20"/>
              </w:rPr>
            </w:pPr>
            <w:r w:rsidRPr="008B6A75">
              <w:rPr>
                <w:bCs/>
                <w:sz w:val="20"/>
                <w:szCs w:val="20"/>
              </w:rPr>
              <w:t>01</w:t>
            </w:r>
          </w:p>
        </w:tc>
        <w:tc>
          <w:tcPr>
            <w:tcW w:w="709" w:type="dxa"/>
            <w:tcBorders>
              <w:top w:val="nil"/>
              <w:left w:val="single" w:sz="4" w:space="0" w:color="auto"/>
              <w:bottom w:val="nil"/>
              <w:right w:val="single" w:sz="4" w:space="0" w:color="auto"/>
            </w:tcBorders>
            <w:shd w:val="clear" w:color="auto" w:fill="auto"/>
            <w:noWrap/>
            <w:vAlign w:val="center"/>
            <w:hideMark/>
          </w:tcPr>
          <w:p w14:paraId="03F9FCC4" w14:textId="77777777" w:rsidR="00387142" w:rsidRPr="008B6A75" w:rsidRDefault="00387142" w:rsidP="00387142">
            <w:pPr>
              <w:jc w:val="center"/>
              <w:rPr>
                <w:bCs/>
                <w:sz w:val="20"/>
                <w:szCs w:val="20"/>
              </w:rPr>
            </w:pPr>
            <w:r w:rsidRPr="008B6A75">
              <w:rPr>
                <w:bCs/>
                <w:sz w:val="20"/>
                <w:szCs w:val="20"/>
              </w:rPr>
              <w:t>13</w:t>
            </w:r>
          </w:p>
        </w:tc>
        <w:tc>
          <w:tcPr>
            <w:tcW w:w="1411" w:type="dxa"/>
            <w:tcBorders>
              <w:top w:val="nil"/>
              <w:left w:val="single" w:sz="4" w:space="0" w:color="auto"/>
              <w:bottom w:val="nil"/>
              <w:right w:val="nil"/>
            </w:tcBorders>
            <w:shd w:val="clear" w:color="auto" w:fill="auto"/>
            <w:noWrap/>
            <w:vAlign w:val="center"/>
            <w:hideMark/>
          </w:tcPr>
          <w:p w14:paraId="28629BAF" w14:textId="77777777" w:rsidR="00387142" w:rsidRPr="008B6A75" w:rsidRDefault="00387142" w:rsidP="00387142">
            <w:pPr>
              <w:jc w:val="center"/>
              <w:rPr>
                <w:bCs/>
                <w:sz w:val="20"/>
                <w:szCs w:val="20"/>
              </w:rPr>
            </w:pPr>
            <w:r w:rsidRPr="008B6A75">
              <w:rPr>
                <w:bCs/>
                <w:sz w:val="20"/>
                <w:szCs w:val="20"/>
              </w:rPr>
              <w:t> </w:t>
            </w:r>
          </w:p>
        </w:tc>
        <w:tc>
          <w:tcPr>
            <w:tcW w:w="955" w:type="dxa"/>
            <w:tcBorders>
              <w:top w:val="nil"/>
              <w:left w:val="single" w:sz="4" w:space="0" w:color="auto"/>
              <w:bottom w:val="nil"/>
              <w:right w:val="single" w:sz="4" w:space="0" w:color="auto"/>
            </w:tcBorders>
            <w:shd w:val="clear" w:color="auto" w:fill="auto"/>
            <w:noWrap/>
            <w:vAlign w:val="center"/>
            <w:hideMark/>
          </w:tcPr>
          <w:p w14:paraId="69FB500E"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nil"/>
              <w:right w:val="single" w:sz="4" w:space="0" w:color="auto"/>
            </w:tcBorders>
            <w:shd w:val="clear" w:color="auto" w:fill="auto"/>
            <w:noWrap/>
            <w:vAlign w:val="center"/>
            <w:hideMark/>
          </w:tcPr>
          <w:p w14:paraId="693B0DDD" w14:textId="77777777" w:rsidR="00387142" w:rsidRPr="008B6A75" w:rsidRDefault="00387142" w:rsidP="00387142">
            <w:pPr>
              <w:jc w:val="right"/>
              <w:rPr>
                <w:bCs/>
                <w:sz w:val="20"/>
                <w:szCs w:val="20"/>
              </w:rPr>
            </w:pPr>
            <w:r w:rsidRPr="008B6A75">
              <w:rPr>
                <w:bCs/>
                <w:sz w:val="20"/>
                <w:szCs w:val="20"/>
              </w:rPr>
              <w:t>11 173 436,08</w:t>
            </w:r>
          </w:p>
        </w:tc>
        <w:tc>
          <w:tcPr>
            <w:tcW w:w="992" w:type="dxa"/>
            <w:gridSpan w:val="2"/>
            <w:tcBorders>
              <w:top w:val="nil"/>
              <w:left w:val="single" w:sz="4" w:space="0" w:color="auto"/>
              <w:bottom w:val="nil"/>
              <w:right w:val="nil"/>
            </w:tcBorders>
            <w:shd w:val="clear" w:color="auto" w:fill="auto"/>
            <w:noWrap/>
            <w:vAlign w:val="center"/>
            <w:hideMark/>
          </w:tcPr>
          <w:p w14:paraId="198FBCE4" w14:textId="77777777" w:rsidR="00387142" w:rsidRPr="008B6A75" w:rsidRDefault="00387142" w:rsidP="00387142">
            <w:pPr>
              <w:jc w:val="right"/>
              <w:rPr>
                <w:bCs/>
                <w:sz w:val="20"/>
                <w:szCs w:val="20"/>
              </w:rPr>
            </w:pPr>
            <w:r w:rsidRPr="008B6A75">
              <w:rPr>
                <w:bCs/>
                <w:sz w:val="20"/>
                <w:szCs w:val="20"/>
              </w:rPr>
              <w:t>2 192 000,00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3A4E35FE" w14:textId="77777777" w:rsidR="00387142" w:rsidRPr="008B6A75" w:rsidRDefault="00387142" w:rsidP="00387142">
            <w:pPr>
              <w:jc w:val="right"/>
              <w:rPr>
                <w:bCs/>
                <w:sz w:val="20"/>
                <w:szCs w:val="20"/>
              </w:rPr>
            </w:pPr>
            <w:r w:rsidRPr="008B6A75">
              <w:rPr>
                <w:bCs/>
                <w:sz w:val="20"/>
                <w:szCs w:val="20"/>
              </w:rPr>
              <w:t>2 192 000,00</w:t>
            </w:r>
          </w:p>
        </w:tc>
        <w:tc>
          <w:tcPr>
            <w:tcW w:w="222" w:type="dxa"/>
            <w:vAlign w:val="center"/>
            <w:hideMark/>
          </w:tcPr>
          <w:p w14:paraId="657A2FD5" w14:textId="77777777" w:rsidR="00387142" w:rsidRPr="008B6A75" w:rsidRDefault="00387142" w:rsidP="00387142">
            <w:pPr>
              <w:rPr>
                <w:sz w:val="20"/>
                <w:szCs w:val="20"/>
              </w:rPr>
            </w:pPr>
          </w:p>
        </w:tc>
      </w:tr>
      <w:tr w:rsidR="00387142" w:rsidRPr="008B6A75" w14:paraId="1117172B" w14:textId="77777777" w:rsidTr="00387142">
        <w:trPr>
          <w:trHeight w:val="1155"/>
        </w:trPr>
        <w:tc>
          <w:tcPr>
            <w:tcW w:w="3021" w:type="dxa"/>
            <w:tcBorders>
              <w:top w:val="single" w:sz="4" w:space="0" w:color="auto"/>
              <w:left w:val="single" w:sz="4" w:space="0" w:color="auto"/>
              <w:bottom w:val="nil"/>
              <w:right w:val="nil"/>
            </w:tcBorders>
            <w:shd w:val="clear" w:color="auto" w:fill="auto"/>
            <w:vAlign w:val="center"/>
            <w:hideMark/>
          </w:tcPr>
          <w:p w14:paraId="138BDEC2" w14:textId="77777777" w:rsidR="00387142" w:rsidRPr="008B6A75" w:rsidRDefault="00387142" w:rsidP="00387142">
            <w:pPr>
              <w:rPr>
                <w:bCs/>
                <w:sz w:val="20"/>
                <w:szCs w:val="20"/>
              </w:rPr>
            </w:pPr>
            <w:r w:rsidRPr="008B6A75">
              <w:rPr>
                <w:bCs/>
                <w:sz w:val="20"/>
                <w:szCs w:val="20"/>
              </w:rPr>
              <w:t>Муниципальная программа "Развитие и поддержка территориального общественного самоуправления в Куйбышевском районе Новосибирской области "</w:t>
            </w:r>
          </w:p>
        </w:tc>
        <w:tc>
          <w:tcPr>
            <w:tcW w:w="850" w:type="dxa"/>
            <w:tcBorders>
              <w:top w:val="single" w:sz="4" w:space="0" w:color="auto"/>
              <w:left w:val="single" w:sz="4" w:space="0" w:color="auto"/>
              <w:bottom w:val="nil"/>
              <w:right w:val="nil"/>
            </w:tcBorders>
            <w:shd w:val="clear" w:color="auto" w:fill="auto"/>
            <w:noWrap/>
            <w:vAlign w:val="center"/>
            <w:hideMark/>
          </w:tcPr>
          <w:p w14:paraId="77ED77F0" w14:textId="77777777" w:rsidR="00387142" w:rsidRPr="008B6A75" w:rsidRDefault="00387142" w:rsidP="00387142">
            <w:pPr>
              <w:jc w:val="center"/>
              <w:rPr>
                <w:bCs/>
                <w:sz w:val="20"/>
                <w:szCs w:val="20"/>
              </w:rPr>
            </w:pPr>
            <w:r w:rsidRPr="008B6A75">
              <w:rPr>
                <w:bCs/>
                <w:sz w:val="20"/>
                <w:szCs w:val="20"/>
              </w:rPr>
              <w:t>444</w:t>
            </w:r>
          </w:p>
        </w:tc>
        <w:tc>
          <w:tcPr>
            <w:tcW w:w="709" w:type="dxa"/>
            <w:tcBorders>
              <w:top w:val="single" w:sz="4" w:space="0" w:color="auto"/>
              <w:left w:val="single" w:sz="4" w:space="0" w:color="auto"/>
              <w:bottom w:val="nil"/>
              <w:right w:val="nil"/>
            </w:tcBorders>
            <w:shd w:val="clear" w:color="auto" w:fill="auto"/>
            <w:noWrap/>
            <w:vAlign w:val="center"/>
            <w:hideMark/>
          </w:tcPr>
          <w:p w14:paraId="6C1F2C9E" w14:textId="77777777" w:rsidR="00387142" w:rsidRPr="008B6A75" w:rsidRDefault="00387142" w:rsidP="00387142">
            <w:pPr>
              <w:jc w:val="center"/>
              <w:rPr>
                <w:bCs/>
                <w:sz w:val="20"/>
                <w:szCs w:val="20"/>
              </w:rPr>
            </w:pPr>
            <w:r w:rsidRPr="008B6A75">
              <w:rPr>
                <w:bCs/>
                <w:sz w:val="20"/>
                <w:szCs w:val="20"/>
              </w:rPr>
              <w:t>01</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02FFA21D" w14:textId="77777777" w:rsidR="00387142" w:rsidRPr="008B6A75" w:rsidRDefault="00387142" w:rsidP="00387142">
            <w:pPr>
              <w:jc w:val="center"/>
              <w:rPr>
                <w:bCs/>
                <w:sz w:val="20"/>
                <w:szCs w:val="20"/>
              </w:rPr>
            </w:pPr>
            <w:r w:rsidRPr="008B6A75">
              <w:rPr>
                <w:bCs/>
                <w:sz w:val="20"/>
                <w:szCs w:val="20"/>
              </w:rPr>
              <w:t>13</w:t>
            </w:r>
          </w:p>
        </w:tc>
        <w:tc>
          <w:tcPr>
            <w:tcW w:w="1411" w:type="dxa"/>
            <w:tcBorders>
              <w:top w:val="single" w:sz="4" w:space="0" w:color="auto"/>
              <w:left w:val="single" w:sz="4" w:space="0" w:color="auto"/>
              <w:bottom w:val="nil"/>
              <w:right w:val="nil"/>
            </w:tcBorders>
            <w:shd w:val="clear" w:color="auto" w:fill="auto"/>
            <w:noWrap/>
            <w:vAlign w:val="center"/>
            <w:hideMark/>
          </w:tcPr>
          <w:p w14:paraId="23FAD7A0" w14:textId="77777777" w:rsidR="00387142" w:rsidRPr="008B6A75" w:rsidRDefault="00387142" w:rsidP="00387142">
            <w:pPr>
              <w:jc w:val="center"/>
              <w:rPr>
                <w:bCs/>
                <w:sz w:val="20"/>
                <w:szCs w:val="20"/>
              </w:rPr>
            </w:pPr>
            <w:r w:rsidRPr="008B6A75">
              <w:rPr>
                <w:bCs/>
                <w:sz w:val="20"/>
                <w:szCs w:val="20"/>
              </w:rPr>
              <w:t>15.0.00.00000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692EEB98" w14:textId="77777777" w:rsidR="00387142" w:rsidRPr="008B6A75" w:rsidRDefault="00387142" w:rsidP="00387142">
            <w:pPr>
              <w:jc w:val="center"/>
              <w:rPr>
                <w:bCs/>
                <w:sz w:val="20"/>
                <w:szCs w:val="20"/>
              </w:rPr>
            </w:pPr>
            <w:r w:rsidRPr="008B6A75">
              <w:rPr>
                <w:bCs/>
                <w:sz w:val="20"/>
                <w:szCs w:val="20"/>
              </w:rPr>
              <w:t> </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4811083A" w14:textId="77777777" w:rsidR="00387142" w:rsidRPr="008B6A75" w:rsidRDefault="00387142" w:rsidP="00387142">
            <w:pPr>
              <w:jc w:val="right"/>
              <w:rPr>
                <w:bCs/>
                <w:sz w:val="20"/>
                <w:szCs w:val="20"/>
              </w:rPr>
            </w:pPr>
            <w:r w:rsidRPr="008B6A75">
              <w:rPr>
                <w:bCs/>
                <w:sz w:val="20"/>
                <w:szCs w:val="20"/>
              </w:rPr>
              <w:t>945 900,00</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50756306" w14:textId="77777777" w:rsidR="00387142" w:rsidRPr="008B6A75" w:rsidRDefault="00387142" w:rsidP="00387142">
            <w:pPr>
              <w:jc w:val="right"/>
              <w:rPr>
                <w:bCs/>
                <w:sz w:val="20"/>
                <w:szCs w:val="20"/>
              </w:rPr>
            </w:pPr>
            <w:r w:rsidRPr="008B6A75">
              <w:rPr>
                <w:bCs/>
                <w:sz w:val="20"/>
                <w:szCs w:val="20"/>
              </w:rPr>
              <w:t>927 000,00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4264C1BC" w14:textId="77777777" w:rsidR="00387142" w:rsidRPr="008B6A75" w:rsidRDefault="00387142" w:rsidP="00387142">
            <w:pPr>
              <w:jc w:val="right"/>
              <w:rPr>
                <w:bCs/>
                <w:sz w:val="20"/>
                <w:szCs w:val="20"/>
              </w:rPr>
            </w:pPr>
            <w:r w:rsidRPr="008B6A75">
              <w:rPr>
                <w:bCs/>
                <w:sz w:val="20"/>
                <w:szCs w:val="20"/>
              </w:rPr>
              <w:t>927 000,00</w:t>
            </w:r>
          </w:p>
        </w:tc>
        <w:tc>
          <w:tcPr>
            <w:tcW w:w="222" w:type="dxa"/>
            <w:vAlign w:val="center"/>
            <w:hideMark/>
          </w:tcPr>
          <w:p w14:paraId="2E6919FF" w14:textId="77777777" w:rsidR="00387142" w:rsidRPr="008B6A75" w:rsidRDefault="00387142" w:rsidP="00387142">
            <w:pPr>
              <w:rPr>
                <w:sz w:val="20"/>
                <w:szCs w:val="20"/>
              </w:rPr>
            </w:pPr>
          </w:p>
        </w:tc>
      </w:tr>
      <w:tr w:rsidR="00387142" w:rsidRPr="008B6A75" w14:paraId="3E022E8A" w14:textId="77777777" w:rsidTr="00387142">
        <w:trPr>
          <w:trHeight w:val="1440"/>
        </w:trPr>
        <w:tc>
          <w:tcPr>
            <w:tcW w:w="3021" w:type="dxa"/>
            <w:tcBorders>
              <w:top w:val="single" w:sz="4" w:space="0" w:color="auto"/>
              <w:left w:val="single" w:sz="4" w:space="0" w:color="auto"/>
              <w:bottom w:val="nil"/>
              <w:right w:val="nil"/>
            </w:tcBorders>
            <w:shd w:val="clear" w:color="auto" w:fill="auto"/>
            <w:vAlign w:val="center"/>
            <w:hideMark/>
          </w:tcPr>
          <w:p w14:paraId="3DE083B2" w14:textId="77777777" w:rsidR="00387142" w:rsidRPr="008B6A75" w:rsidRDefault="00387142" w:rsidP="00387142">
            <w:pPr>
              <w:rPr>
                <w:bCs/>
                <w:sz w:val="20"/>
                <w:szCs w:val="20"/>
              </w:rPr>
            </w:pPr>
            <w:r w:rsidRPr="008B6A75">
              <w:rPr>
                <w:bCs/>
                <w:sz w:val="20"/>
                <w:szCs w:val="20"/>
              </w:rPr>
              <w:t>Реализация мероприятий в рамках МП "Развитие и поддержка территориального общественного самоуправления в Куйбышевском районе Новосибирской области"</w:t>
            </w:r>
          </w:p>
        </w:tc>
        <w:tc>
          <w:tcPr>
            <w:tcW w:w="850" w:type="dxa"/>
            <w:tcBorders>
              <w:top w:val="single" w:sz="4" w:space="0" w:color="auto"/>
              <w:left w:val="single" w:sz="4" w:space="0" w:color="auto"/>
              <w:bottom w:val="nil"/>
              <w:right w:val="nil"/>
            </w:tcBorders>
            <w:shd w:val="clear" w:color="auto" w:fill="auto"/>
            <w:noWrap/>
            <w:vAlign w:val="center"/>
            <w:hideMark/>
          </w:tcPr>
          <w:p w14:paraId="69290A8B" w14:textId="77777777" w:rsidR="00387142" w:rsidRPr="008B6A75" w:rsidRDefault="00387142" w:rsidP="00387142">
            <w:pPr>
              <w:jc w:val="center"/>
              <w:rPr>
                <w:bCs/>
                <w:sz w:val="20"/>
                <w:szCs w:val="20"/>
              </w:rPr>
            </w:pPr>
            <w:r w:rsidRPr="008B6A75">
              <w:rPr>
                <w:bCs/>
                <w:sz w:val="20"/>
                <w:szCs w:val="20"/>
              </w:rPr>
              <w:t>444</w:t>
            </w:r>
          </w:p>
        </w:tc>
        <w:tc>
          <w:tcPr>
            <w:tcW w:w="709" w:type="dxa"/>
            <w:tcBorders>
              <w:top w:val="single" w:sz="4" w:space="0" w:color="auto"/>
              <w:left w:val="single" w:sz="4" w:space="0" w:color="auto"/>
              <w:bottom w:val="nil"/>
              <w:right w:val="nil"/>
            </w:tcBorders>
            <w:shd w:val="clear" w:color="auto" w:fill="auto"/>
            <w:noWrap/>
            <w:vAlign w:val="center"/>
            <w:hideMark/>
          </w:tcPr>
          <w:p w14:paraId="66867041" w14:textId="77777777" w:rsidR="00387142" w:rsidRPr="008B6A75" w:rsidRDefault="00387142" w:rsidP="00387142">
            <w:pPr>
              <w:jc w:val="center"/>
              <w:rPr>
                <w:bCs/>
                <w:sz w:val="20"/>
                <w:szCs w:val="20"/>
              </w:rPr>
            </w:pPr>
            <w:r w:rsidRPr="008B6A75">
              <w:rPr>
                <w:bCs/>
                <w:sz w:val="20"/>
                <w:szCs w:val="20"/>
              </w:rPr>
              <w:t>01</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4E8D4DD2" w14:textId="77777777" w:rsidR="00387142" w:rsidRPr="008B6A75" w:rsidRDefault="00387142" w:rsidP="00387142">
            <w:pPr>
              <w:jc w:val="center"/>
              <w:rPr>
                <w:bCs/>
                <w:sz w:val="20"/>
                <w:szCs w:val="20"/>
              </w:rPr>
            </w:pPr>
            <w:r w:rsidRPr="008B6A75">
              <w:rPr>
                <w:bCs/>
                <w:sz w:val="20"/>
                <w:szCs w:val="20"/>
              </w:rPr>
              <w:t>13</w:t>
            </w:r>
          </w:p>
        </w:tc>
        <w:tc>
          <w:tcPr>
            <w:tcW w:w="1411" w:type="dxa"/>
            <w:tcBorders>
              <w:top w:val="single" w:sz="4" w:space="0" w:color="auto"/>
              <w:left w:val="single" w:sz="4" w:space="0" w:color="auto"/>
              <w:bottom w:val="nil"/>
              <w:right w:val="nil"/>
            </w:tcBorders>
            <w:shd w:val="clear" w:color="auto" w:fill="auto"/>
            <w:noWrap/>
            <w:vAlign w:val="center"/>
            <w:hideMark/>
          </w:tcPr>
          <w:p w14:paraId="1DEF53D2" w14:textId="77777777" w:rsidR="00387142" w:rsidRPr="008B6A75" w:rsidRDefault="00387142" w:rsidP="00387142">
            <w:pPr>
              <w:jc w:val="center"/>
              <w:rPr>
                <w:bCs/>
                <w:sz w:val="20"/>
                <w:szCs w:val="20"/>
              </w:rPr>
            </w:pPr>
            <w:r w:rsidRPr="008B6A75">
              <w:rPr>
                <w:bCs/>
                <w:sz w:val="20"/>
                <w:szCs w:val="20"/>
              </w:rPr>
              <w:t>15.0.00.19500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016F73AA" w14:textId="77777777" w:rsidR="00387142" w:rsidRPr="008B6A75" w:rsidRDefault="00387142" w:rsidP="00387142">
            <w:pPr>
              <w:jc w:val="center"/>
              <w:rPr>
                <w:bCs/>
                <w:sz w:val="20"/>
                <w:szCs w:val="20"/>
              </w:rPr>
            </w:pPr>
            <w:r w:rsidRPr="008B6A75">
              <w:rPr>
                <w:bCs/>
                <w:sz w:val="20"/>
                <w:szCs w:val="20"/>
              </w:rPr>
              <w:t> </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2BB4E21A" w14:textId="77777777" w:rsidR="00387142" w:rsidRPr="008B6A75" w:rsidRDefault="00387142" w:rsidP="00387142">
            <w:pPr>
              <w:jc w:val="right"/>
              <w:rPr>
                <w:bCs/>
                <w:sz w:val="20"/>
                <w:szCs w:val="20"/>
              </w:rPr>
            </w:pPr>
            <w:r w:rsidRPr="008B6A75">
              <w:rPr>
                <w:bCs/>
                <w:sz w:val="20"/>
                <w:szCs w:val="20"/>
              </w:rPr>
              <w:t>18 900,00</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5552D2C4" w14:textId="77777777" w:rsidR="00387142" w:rsidRPr="008B6A75" w:rsidRDefault="00387142" w:rsidP="00387142">
            <w:pPr>
              <w:jc w:val="right"/>
              <w:rPr>
                <w:bCs/>
                <w:sz w:val="20"/>
                <w:szCs w:val="20"/>
              </w:rPr>
            </w:pPr>
            <w:r w:rsidRPr="008B6A75">
              <w:rPr>
                <w:bCs/>
                <w:sz w:val="20"/>
                <w:szCs w:val="20"/>
              </w:rPr>
              <w:t>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656C8DF1" w14:textId="77777777" w:rsidR="00387142" w:rsidRPr="008B6A75" w:rsidRDefault="00387142" w:rsidP="00387142">
            <w:pPr>
              <w:jc w:val="right"/>
              <w:rPr>
                <w:bCs/>
                <w:sz w:val="20"/>
                <w:szCs w:val="20"/>
              </w:rPr>
            </w:pPr>
            <w:r w:rsidRPr="008B6A75">
              <w:rPr>
                <w:bCs/>
                <w:sz w:val="20"/>
                <w:szCs w:val="20"/>
              </w:rPr>
              <w:t>0,00</w:t>
            </w:r>
          </w:p>
        </w:tc>
        <w:tc>
          <w:tcPr>
            <w:tcW w:w="222" w:type="dxa"/>
            <w:vAlign w:val="center"/>
            <w:hideMark/>
          </w:tcPr>
          <w:p w14:paraId="108E4BE4" w14:textId="77777777" w:rsidR="00387142" w:rsidRPr="008B6A75" w:rsidRDefault="00387142" w:rsidP="00387142">
            <w:pPr>
              <w:rPr>
                <w:sz w:val="20"/>
                <w:szCs w:val="20"/>
              </w:rPr>
            </w:pPr>
          </w:p>
        </w:tc>
      </w:tr>
      <w:tr w:rsidR="00387142" w:rsidRPr="008B6A75" w14:paraId="71403EE7" w14:textId="77777777" w:rsidTr="00387142">
        <w:trPr>
          <w:trHeight w:val="870"/>
        </w:trPr>
        <w:tc>
          <w:tcPr>
            <w:tcW w:w="3021" w:type="dxa"/>
            <w:tcBorders>
              <w:top w:val="single" w:sz="4" w:space="0" w:color="auto"/>
              <w:left w:val="single" w:sz="4" w:space="0" w:color="auto"/>
              <w:bottom w:val="nil"/>
              <w:right w:val="nil"/>
            </w:tcBorders>
            <w:shd w:val="clear" w:color="auto" w:fill="auto"/>
            <w:vAlign w:val="center"/>
            <w:hideMark/>
          </w:tcPr>
          <w:p w14:paraId="74C02D43" w14:textId="77777777" w:rsidR="00387142" w:rsidRPr="008B6A75" w:rsidRDefault="00387142" w:rsidP="00387142">
            <w:pPr>
              <w:rPr>
                <w:sz w:val="20"/>
                <w:szCs w:val="20"/>
              </w:rPr>
            </w:pPr>
            <w:r w:rsidRPr="008B6A75">
              <w:rPr>
                <w:sz w:val="20"/>
                <w:szCs w:val="20"/>
              </w:rPr>
              <w:t>Предоставление субсидий бюджетным, автономным учреждениям и иным некоммерческим организациям</w:t>
            </w:r>
          </w:p>
        </w:tc>
        <w:tc>
          <w:tcPr>
            <w:tcW w:w="850" w:type="dxa"/>
            <w:tcBorders>
              <w:top w:val="single" w:sz="4" w:space="0" w:color="auto"/>
              <w:left w:val="single" w:sz="4" w:space="0" w:color="auto"/>
              <w:bottom w:val="nil"/>
              <w:right w:val="nil"/>
            </w:tcBorders>
            <w:shd w:val="clear" w:color="auto" w:fill="auto"/>
            <w:noWrap/>
            <w:vAlign w:val="center"/>
            <w:hideMark/>
          </w:tcPr>
          <w:p w14:paraId="0B9547F9" w14:textId="77777777" w:rsidR="00387142" w:rsidRPr="008B6A75" w:rsidRDefault="00387142" w:rsidP="00387142">
            <w:pPr>
              <w:jc w:val="center"/>
              <w:rPr>
                <w:sz w:val="20"/>
                <w:szCs w:val="20"/>
              </w:rPr>
            </w:pPr>
            <w:r w:rsidRPr="008B6A75">
              <w:rPr>
                <w:sz w:val="20"/>
                <w:szCs w:val="20"/>
              </w:rPr>
              <w:t>444</w:t>
            </w:r>
          </w:p>
        </w:tc>
        <w:tc>
          <w:tcPr>
            <w:tcW w:w="709" w:type="dxa"/>
            <w:tcBorders>
              <w:top w:val="single" w:sz="4" w:space="0" w:color="auto"/>
              <w:left w:val="single" w:sz="4" w:space="0" w:color="auto"/>
              <w:bottom w:val="nil"/>
              <w:right w:val="nil"/>
            </w:tcBorders>
            <w:shd w:val="clear" w:color="auto" w:fill="auto"/>
            <w:noWrap/>
            <w:vAlign w:val="center"/>
            <w:hideMark/>
          </w:tcPr>
          <w:p w14:paraId="78F6CCD5" w14:textId="77777777" w:rsidR="00387142" w:rsidRPr="008B6A75" w:rsidRDefault="00387142" w:rsidP="00387142">
            <w:pPr>
              <w:jc w:val="center"/>
              <w:rPr>
                <w:sz w:val="20"/>
                <w:szCs w:val="20"/>
              </w:rPr>
            </w:pPr>
            <w:r w:rsidRPr="008B6A75">
              <w:rPr>
                <w:sz w:val="20"/>
                <w:szCs w:val="20"/>
              </w:rPr>
              <w:t>01</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2F1CFC1E" w14:textId="77777777" w:rsidR="00387142" w:rsidRPr="008B6A75" w:rsidRDefault="00387142" w:rsidP="00387142">
            <w:pPr>
              <w:jc w:val="center"/>
              <w:rPr>
                <w:sz w:val="20"/>
                <w:szCs w:val="20"/>
              </w:rPr>
            </w:pPr>
            <w:r w:rsidRPr="008B6A75">
              <w:rPr>
                <w:sz w:val="20"/>
                <w:szCs w:val="20"/>
              </w:rPr>
              <w:t>13</w:t>
            </w:r>
          </w:p>
        </w:tc>
        <w:tc>
          <w:tcPr>
            <w:tcW w:w="1411" w:type="dxa"/>
            <w:tcBorders>
              <w:top w:val="single" w:sz="4" w:space="0" w:color="auto"/>
              <w:left w:val="single" w:sz="4" w:space="0" w:color="auto"/>
              <w:bottom w:val="nil"/>
              <w:right w:val="nil"/>
            </w:tcBorders>
            <w:shd w:val="clear" w:color="auto" w:fill="auto"/>
            <w:noWrap/>
            <w:vAlign w:val="center"/>
            <w:hideMark/>
          </w:tcPr>
          <w:p w14:paraId="0600E4BE" w14:textId="77777777" w:rsidR="00387142" w:rsidRPr="008B6A75" w:rsidRDefault="00387142" w:rsidP="00387142">
            <w:pPr>
              <w:jc w:val="center"/>
              <w:rPr>
                <w:sz w:val="20"/>
                <w:szCs w:val="20"/>
              </w:rPr>
            </w:pPr>
            <w:r w:rsidRPr="008B6A75">
              <w:rPr>
                <w:sz w:val="20"/>
                <w:szCs w:val="20"/>
              </w:rPr>
              <w:t>15.0.00.19500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6B53F854" w14:textId="77777777" w:rsidR="00387142" w:rsidRPr="008B6A75" w:rsidRDefault="00387142" w:rsidP="00387142">
            <w:pPr>
              <w:jc w:val="center"/>
              <w:rPr>
                <w:sz w:val="20"/>
                <w:szCs w:val="20"/>
              </w:rPr>
            </w:pPr>
            <w:r w:rsidRPr="008B6A75">
              <w:rPr>
                <w:sz w:val="20"/>
                <w:szCs w:val="20"/>
              </w:rPr>
              <w:t>600</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0F6AAE46" w14:textId="77777777" w:rsidR="00387142" w:rsidRPr="008B6A75" w:rsidRDefault="00387142" w:rsidP="00387142">
            <w:pPr>
              <w:jc w:val="right"/>
              <w:rPr>
                <w:sz w:val="20"/>
                <w:szCs w:val="20"/>
              </w:rPr>
            </w:pPr>
            <w:r w:rsidRPr="008B6A75">
              <w:rPr>
                <w:sz w:val="20"/>
                <w:szCs w:val="20"/>
              </w:rPr>
              <w:t>18 900,00</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0AAC5B5F" w14:textId="77777777" w:rsidR="00387142" w:rsidRPr="008B6A75" w:rsidRDefault="00387142" w:rsidP="00387142">
            <w:pPr>
              <w:jc w:val="right"/>
              <w:rPr>
                <w:sz w:val="20"/>
                <w:szCs w:val="20"/>
              </w:rPr>
            </w:pPr>
            <w:r w:rsidRPr="008B6A75">
              <w:rPr>
                <w:sz w:val="20"/>
                <w:szCs w:val="20"/>
              </w:rPr>
              <w:t>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1139F7DF" w14:textId="77777777" w:rsidR="00387142" w:rsidRPr="008B6A75" w:rsidRDefault="00387142" w:rsidP="00387142">
            <w:pPr>
              <w:jc w:val="right"/>
              <w:rPr>
                <w:sz w:val="20"/>
                <w:szCs w:val="20"/>
              </w:rPr>
            </w:pPr>
            <w:r w:rsidRPr="008B6A75">
              <w:rPr>
                <w:sz w:val="20"/>
                <w:szCs w:val="20"/>
              </w:rPr>
              <w:t>0,00</w:t>
            </w:r>
          </w:p>
        </w:tc>
        <w:tc>
          <w:tcPr>
            <w:tcW w:w="222" w:type="dxa"/>
            <w:vAlign w:val="center"/>
            <w:hideMark/>
          </w:tcPr>
          <w:p w14:paraId="77E6EDDD" w14:textId="77777777" w:rsidR="00387142" w:rsidRPr="008B6A75" w:rsidRDefault="00387142" w:rsidP="00387142">
            <w:pPr>
              <w:rPr>
                <w:sz w:val="20"/>
                <w:szCs w:val="20"/>
              </w:rPr>
            </w:pPr>
          </w:p>
        </w:tc>
      </w:tr>
      <w:tr w:rsidR="00387142" w:rsidRPr="008B6A75" w14:paraId="34E69440" w14:textId="77777777" w:rsidTr="00387142">
        <w:trPr>
          <w:trHeight w:val="870"/>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48BA1B6E" w14:textId="77777777" w:rsidR="00387142" w:rsidRPr="008B6A75" w:rsidRDefault="00387142" w:rsidP="00387142">
            <w:pPr>
              <w:rPr>
                <w:sz w:val="20"/>
                <w:szCs w:val="20"/>
              </w:rPr>
            </w:pPr>
            <w:r w:rsidRPr="008B6A75">
              <w:rPr>
                <w:sz w:val="20"/>
                <w:szCs w:val="20"/>
              </w:rPr>
              <w:t>Субсидии некоммерческим организациям (за исключением государственных (муниципальных) учреждений)</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26BB1A03" w14:textId="77777777" w:rsidR="00387142" w:rsidRPr="008B6A75" w:rsidRDefault="00387142" w:rsidP="00387142">
            <w:pPr>
              <w:jc w:val="center"/>
              <w:rPr>
                <w:sz w:val="20"/>
                <w:szCs w:val="20"/>
              </w:rPr>
            </w:pPr>
            <w:r w:rsidRPr="008B6A75">
              <w:rPr>
                <w:sz w:val="20"/>
                <w:szCs w:val="20"/>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72E1B0C4" w14:textId="77777777" w:rsidR="00387142" w:rsidRPr="008B6A75" w:rsidRDefault="00387142" w:rsidP="00387142">
            <w:pPr>
              <w:jc w:val="center"/>
              <w:rPr>
                <w:sz w:val="20"/>
                <w:szCs w:val="20"/>
              </w:rPr>
            </w:pPr>
            <w:r w:rsidRPr="008B6A75">
              <w:rPr>
                <w:sz w:val="20"/>
                <w:szCs w:val="20"/>
              </w:rPr>
              <w:t>01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473A93" w14:textId="77777777" w:rsidR="00387142" w:rsidRPr="008B6A75" w:rsidRDefault="00387142" w:rsidP="00387142">
            <w:pPr>
              <w:jc w:val="center"/>
              <w:rPr>
                <w:sz w:val="20"/>
                <w:szCs w:val="20"/>
              </w:rPr>
            </w:pPr>
            <w:r w:rsidRPr="008B6A75">
              <w:rPr>
                <w:sz w:val="20"/>
                <w:szCs w:val="20"/>
              </w:rPr>
              <w:t>13</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629EFE7B" w14:textId="77777777" w:rsidR="00387142" w:rsidRPr="008B6A75" w:rsidRDefault="00387142" w:rsidP="00387142">
            <w:pPr>
              <w:jc w:val="center"/>
              <w:rPr>
                <w:sz w:val="20"/>
                <w:szCs w:val="20"/>
              </w:rPr>
            </w:pPr>
            <w:r w:rsidRPr="008B6A75">
              <w:rPr>
                <w:sz w:val="20"/>
                <w:szCs w:val="20"/>
              </w:rPr>
              <w:t>15.0.00.19500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958FCD" w14:textId="77777777" w:rsidR="00387142" w:rsidRPr="008B6A75" w:rsidRDefault="00387142" w:rsidP="00387142">
            <w:pPr>
              <w:jc w:val="center"/>
              <w:rPr>
                <w:sz w:val="20"/>
                <w:szCs w:val="20"/>
              </w:rPr>
            </w:pPr>
            <w:r w:rsidRPr="008B6A75">
              <w:rPr>
                <w:sz w:val="20"/>
                <w:szCs w:val="20"/>
              </w:rPr>
              <w:t>630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BA5A27" w14:textId="77777777" w:rsidR="00387142" w:rsidRPr="008B6A75" w:rsidRDefault="00387142" w:rsidP="00387142">
            <w:pPr>
              <w:jc w:val="right"/>
              <w:rPr>
                <w:sz w:val="20"/>
                <w:szCs w:val="20"/>
              </w:rPr>
            </w:pPr>
            <w:r w:rsidRPr="008B6A75">
              <w:rPr>
                <w:sz w:val="20"/>
                <w:szCs w:val="20"/>
              </w:rPr>
              <w:t>18 900,00</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44216A3A" w14:textId="77777777" w:rsidR="00387142" w:rsidRPr="008B6A75" w:rsidRDefault="00387142" w:rsidP="00387142">
            <w:pPr>
              <w:jc w:val="right"/>
              <w:rPr>
                <w:sz w:val="20"/>
                <w:szCs w:val="20"/>
              </w:rPr>
            </w:pPr>
            <w:r w:rsidRPr="008B6A75">
              <w:rPr>
                <w:sz w:val="20"/>
                <w:szCs w:val="20"/>
              </w:rPr>
              <w:t>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F507D0" w14:textId="77777777" w:rsidR="00387142" w:rsidRPr="008B6A75" w:rsidRDefault="00387142" w:rsidP="00387142">
            <w:pPr>
              <w:jc w:val="right"/>
              <w:rPr>
                <w:sz w:val="20"/>
                <w:szCs w:val="20"/>
              </w:rPr>
            </w:pPr>
            <w:r w:rsidRPr="008B6A75">
              <w:rPr>
                <w:sz w:val="20"/>
                <w:szCs w:val="20"/>
              </w:rPr>
              <w:t>0,00</w:t>
            </w:r>
          </w:p>
        </w:tc>
        <w:tc>
          <w:tcPr>
            <w:tcW w:w="222" w:type="dxa"/>
            <w:vAlign w:val="center"/>
            <w:hideMark/>
          </w:tcPr>
          <w:p w14:paraId="6339A11C" w14:textId="77777777" w:rsidR="00387142" w:rsidRPr="008B6A75" w:rsidRDefault="00387142" w:rsidP="00387142">
            <w:pPr>
              <w:rPr>
                <w:sz w:val="20"/>
                <w:szCs w:val="20"/>
              </w:rPr>
            </w:pPr>
          </w:p>
        </w:tc>
      </w:tr>
      <w:tr w:rsidR="00387142" w:rsidRPr="008B6A75" w14:paraId="56C6981D" w14:textId="77777777" w:rsidTr="00387142">
        <w:trPr>
          <w:trHeight w:val="2865"/>
        </w:trPr>
        <w:tc>
          <w:tcPr>
            <w:tcW w:w="3021" w:type="dxa"/>
            <w:tcBorders>
              <w:top w:val="nil"/>
              <w:left w:val="single" w:sz="4" w:space="0" w:color="auto"/>
              <w:bottom w:val="nil"/>
              <w:right w:val="nil"/>
            </w:tcBorders>
            <w:shd w:val="clear" w:color="auto" w:fill="auto"/>
            <w:vAlign w:val="center"/>
            <w:hideMark/>
          </w:tcPr>
          <w:p w14:paraId="0CD2365E" w14:textId="77777777" w:rsidR="00387142" w:rsidRPr="008B6A75" w:rsidRDefault="00387142" w:rsidP="00387142">
            <w:pPr>
              <w:rPr>
                <w:bCs/>
                <w:sz w:val="20"/>
                <w:szCs w:val="20"/>
              </w:rPr>
            </w:pPr>
            <w:proofErr w:type="spellStart"/>
            <w:r w:rsidRPr="008B6A75">
              <w:rPr>
                <w:bCs/>
                <w:sz w:val="20"/>
                <w:szCs w:val="20"/>
              </w:rPr>
              <w:lastRenderedPageBreak/>
              <w:t>Софинансирование</w:t>
            </w:r>
            <w:proofErr w:type="spellEnd"/>
            <w:r w:rsidRPr="008B6A75">
              <w:rPr>
                <w:bCs/>
                <w:sz w:val="20"/>
                <w:szCs w:val="20"/>
              </w:rPr>
              <w:t xml:space="preserve"> мероприятий муниципальных программ развития территориального общественного самоуправления в Новосибирской области подпрограммы «Содействие развитию местного самоуправления» государственной программы Новосибирской области "Развитие институтов региональной политики и гражданского общества в Новосибирской области"</w:t>
            </w:r>
          </w:p>
        </w:tc>
        <w:tc>
          <w:tcPr>
            <w:tcW w:w="850" w:type="dxa"/>
            <w:tcBorders>
              <w:top w:val="nil"/>
              <w:left w:val="single" w:sz="4" w:space="0" w:color="auto"/>
              <w:bottom w:val="nil"/>
              <w:right w:val="nil"/>
            </w:tcBorders>
            <w:shd w:val="clear" w:color="auto" w:fill="auto"/>
            <w:noWrap/>
            <w:vAlign w:val="center"/>
            <w:hideMark/>
          </w:tcPr>
          <w:p w14:paraId="777C62D3" w14:textId="77777777" w:rsidR="00387142" w:rsidRPr="008B6A75" w:rsidRDefault="00387142" w:rsidP="00387142">
            <w:pPr>
              <w:jc w:val="center"/>
              <w:rPr>
                <w:bCs/>
                <w:sz w:val="20"/>
                <w:szCs w:val="20"/>
              </w:rPr>
            </w:pPr>
            <w:r w:rsidRPr="008B6A75">
              <w:rPr>
                <w:bCs/>
                <w:sz w:val="20"/>
                <w:szCs w:val="20"/>
              </w:rPr>
              <w:t>444</w:t>
            </w:r>
          </w:p>
        </w:tc>
        <w:tc>
          <w:tcPr>
            <w:tcW w:w="709" w:type="dxa"/>
            <w:tcBorders>
              <w:top w:val="nil"/>
              <w:left w:val="single" w:sz="4" w:space="0" w:color="auto"/>
              <w:bottom w:val="nil"/>
              <w:right w:val="nil"/>
            </w:tcBorders>
            <w:shd w:val="clear" w:color="auto" w:fill="auto"/>
            <w:noWrap/>
            <w:vAlign w:val="center"/>
            <w:hideMark/>
          </w:tcPr>
          <w:p w14:paraId="79E83F12" w14:textId="77777777" w:rsidR="00387142" w:rsidRPr="008B6A75" w:rsidRDefault="00387142" w:rsidP="00387142">
            <w:pPr>
              <w:jc w:val="center"/>
              <w:rPr>
                <w:bCs/>
                <w:sz w:val="20"/>
                <w:szCs w:val="20"/>
              </w:rPr>
            </w:pPr>
            <w:r w:rsidRPr="008B6A75">
              <w:rPr>
                <w:bCs/>
                <w:sz w:val="20"/>
                <w:szCs w:val="20"/>
              </w:rPr>
              <w:t>01</w:t>
            </w:r>
          </w:p>
        </w:tc>
        <w:tc>
          <w:tcPr>
            <w:tcW w:w="709" w:type="dxa"/>
            <w:tcBorders>
              <w:top w:val="nil"/>
              <w:left w:val="single" w:sz="4" w:space="0" w:color="auto"/>
              <w:bottom w:val="nil"/>
              <w:right w:val="single" w:sz="4" w:space="0" w:color="auto"/>
            </w:tcBorders>
            <w:shd w:val="clear" w:color="auto" w:fill="auto"/>
            <w:noWrap/>
            <w:vAlign w:val="center"/>
            <w:hideMark/>
          </w:tcPr>
          <w:p w14:paraId="5DC890A5" w14:textId="77777777" w:rsidR="00387142" w:rsidRPr="008B6A75" w:rsidRDefault="00387142" w:rsidP="00387142">
            <w:pPr>
              <w:jc w:val="center"/>
              <w:rPr>
                <w:bCs/>
                <w:sz w:val="20"/>
                <w:szCs w:val="20"/>
              </w:rPr>
            </w:pPr>
            <w:r w:rsidRPr="008B6A75">
              <w:rPr>
                <w:bCs/>
                <w:sz w:val="20"/>
                <w:szCs w:val="20"/>
              </w:rPr>
              <w:t>13</w:t>
            </w:r>
          </w:p>
        </w:tc>
        <w:tc>
          <w:tcPr>
            <w:tcW w:w="1411" w:type="dxa"/>
            <w:tcBorders>
              <w:top w:val="nil"/>
              <w:left w:val="single" w:sz="4" w:space="0" w:color="auto"/>
              <w:bottom w:val="nil"/>
              <w:right w:val="nil"/>
            </w:tcBorders>
            <w:shd w:val="clear" w:color="auto" w:fill="auto"/>
            <w:noWrap/>
            <w:vAlign w:val="center"/>
            <w:hideMark/>
          </w:tcPr>
          <w:p w14:paraId="7261F490" w14:textId="77777777" w:rsidR="00387142" w:rsidRPr="008B6A75" w:rsidRDefault="00387142" w:rsidP="00387142">
            <w:pPr>
              <w:jc w:val="center"/>
              <w:rPr>
                <w:bCs/>
                <w:sz w:val="20"/>
                <w:szCs w:val="20"/>
              </w:rPr>
            </w:pPr>
            <w:r w:rsidRPr="008B6A75">
              <w:rPr>
                <w:bCs/>
                <w:sz w:val="20"/>
                <w:szCs w:val="20"/>
              </w:rPr>
              <w:t>15.0.00.70610</w:t>
            </w:r>
          </w:p>
        </w:tc>
        <w:tc>
          <w:tcPr>
            <w:tcW w:w="955" w:type="dxa"/>
            <w:tcBorders>
              <w:top w:val="nil"/>
              <w:left w:val="single" w:sz="4" w:space="0" w:color="auto"/>
              <w:bottom w:val="nil"/>
              <w:right w:val="single" w:sz="4" w:space="0" w:color="auto"/>
            </w:tcBorders>
            <w:shd w:val="clear" w:color="auto" w:fill="auto"/>
            <w:noWrap/>
            <w:vAlign w:val="center"/>
            <w:hideMark/>
          </w:tcPr>
          <w:p w14:paraId="32F0245C"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nil"/>
              <w:right w:val="single" w:sz="4" w:space="0" w:color="auto"/>
            </w:tcBorders>
            <w:shd w:val="clear" w:color="auto" w:fill="auto"/>
            <w:noWrap/>
            <w:vAlign w:val="center"/>
            <w:hideMark/>
          </w:tcPr>
          <w:p w14:paraId="41AFB490" w14:textId="77777777" w:rsidR="00387142" w:rsidRPr="008B6A75" w:rsidRDefault="00387142" w:rsidP="00387142">
            <w:pPr>
              <w:jc w:val="right"/>
              <w:rPr>
                <w:bCs/>
                <w:sz w:val="20"/>
                <w:szCs w:val="20"/>
              </w:rPr>
            </w:pPr>
            <w:r w:rsidRPr="008B6A75">
              <w:rPr>
                <w:bCs/>
                <w:sz w:val="20"/>
                <w:szCs w:val="20"/>
              </w:rPr>
              <w:t>927 000,00</w:t>
            </w:r>
          </w:p>
        </w:tc>
        <w:tc>
          <w:tcPr>
            <w:tcW w:w="992" w:type="dxa"/>
            <w:gridSpan w:val="2"/>
            <w:tcBorders>
              <w:top w:val="nil"/>
              <w:left w:val="single" w:sz="4" w:space="0" w:color="auto"/>
              <w:bottom w:val="nil"/>
              <w:right w:val="nil"/>
            </w:tcBorders>
            <w:shd w:val="clear" w:color="auto" w:fill="auto"/>
            <w:noWrap/>
            <w:vAlign w:val="center"/>
            <w:hideMark/>
          </w:tcPr>
          <w:p w14:paraId="0CAEDBAC" w14:textId="77777777" w:rsidR="00387142" w:rsidRPr="008B6A75" w:rsidRDefault="00387142" w:rsidP="00387142">
            <w:pPr>
              <w:jc w:val="right"/>
              <w:rPr>
                <w:bCs/>
                <w:sz w:val="20"/>
                <w:szCs w:val="20"/>
              </w:rPr>
            </w:pPr>
            <w:r w:rsidRPr="008B6A75">
              <w:rPr>
                <w:bCs/>
                <w:sz w:val="20"/>
                <w:szCs w:val="20"/>
              </w:rPr>
              <w:t>927 000,00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2B2E036B" w14:textId="77777777" w:rsidR="00387142" w:rsidRPr="008B6A75" w:rsidRDefault="00387142" w:rsidP="00387142">
            <w:pPr>
              <w:jc w:val="right"/>
              <w:rPr>
                <w:bCs/>
                <w:sz w:val="20"/>
                <w:szCs w:val="20"/>
              </w:rPr>
            </w:pPr>
            <w:r w:rsidRPr="008B6A75">
              <w:rPr>
                <w:bCs/>
                <w:sz w:val="20"/>
                <w:szCs w:val="20"/>
              </w:rPr>
              <w:t>927 000,00</w:t>
            </w:r>
          </w:p>
        </w:tc>
        <w:tc>
          <w:tcPr>
            <w:tcW w:w="222" w:type="dxa"/>
            <w:vAlign w:val="center"/>
            <w:hideMark/>
          </w:tcPr>
          <w:p w14:paraId="1F45E09D" w14:textId="77777777" w:rsidR="00387142" w:rsidRPr="008B6A75" w:rsidRDefault="00387142" w:rsidP="00387142">
            <w:pPr>
              <w:rPr>
                <w:sz w:val="20"/>
                <w:szCs w:val="20"/>
              </w:rPr>
            </w:pPr>
          </w:p>
        </w:tc>
      </w:tr>
      <w:tr w:rsidR="00387142" w:rsidRPr="008B6A75" w14:paraId="63628721" w14:textId="77777777" w:rsidTr="00387142">
        <w:trPr>
          <w:trHeight w:val="870"/>
        </w:trPr>
        <w:tc>
          <w:tcPr>
            <w:tcW w:w="3021" w:type="dxa"/>
            <w:tcBorders>
              <w:top w:val="single" w:sz="4" w:space="0" w:color="auto"/>
              <w:left w:val="single" w:sz="4" w:space="0" w:color="auto"/>
              <w:bottom w:val="nil"/>
              <w:right w:val="nil"/>
            </w:tcBorders>
            <w:shd w:val="clear" w:color="auto" w:fill="auto"/>
            <w:vAlign w:val="center"/>
            <w:hideMark/>
          </w:tcPr>
          <w:p w14:paraId="1BC66967" w14:textId="77777777" w:rsidR="00387142" w:rsidRPr="008B6A75" w:rsidRDefault="00387142" w:rsidP="00387142">
            <w:pPr>
              <w:rPr>
                <w:sz w:val="20"/>
                <w:szCs w:val="20"/>
              </w:rPr>
            </w:pPr>
            <w:r w:rsidRPr="008B6A75">
              <w:rPr>
                <w:sz w:val="20"/>
                <w:szCs w:val="20"/>
              </w:rPr>
              <w:t>Предоставление субсидий бюджетным, автономным учреждениям и иным некоммерческим организациям</w:t>
            </w:r>
          </w:p>
        </w:tc>
        <w:tc>
          <w:tcPr>
            <w:tcW w:w="850" w:type="dxa"/>
            <w:tcBorders>
              <w:top w:val="single" w:sz="4" w:space="0" w:color="auto"/>
              <w:left w:val="single" w:sz="4" w:space="0" w:color="auto"/>
              <w:bottom w:val="nil"/>
              <w:right w:val="nil"/>
            </w:tcBorders>
            <w:shd w:val="clear" w:color="auto" w:fill="auto"/>
            <w:noWrap/>
            <w:vAlign w:val="center"/>
            <w:hideMark/>
          </w:tcPr>
          <w:p w14:paraId="25C6583B" w14:textId="77777777" w:rsidR="00387142" w:rsidRPr="008B6A75" w:rsidRDefault="00387142" w:rsidP="00387142">
            <w:pPr>
              <w:jc w:val="center"/>
              <w:rPr>
                <w:sz w:val="20"/>
                <w:szCs w:val="20"/>
              </w:rPr>
            </w:pPr>
            <w:r w:rsidRPr="008B6A75">
              <w:rPr>
                <w:sz w:val="20"/>
                <w:szCs w:val="20"/>
              </w:rPr>
              <w:t>444</w:t>
            </w:r>
          </w:p>
        </w:tc>
        <w:tc>
          <w:tcPr>
            <w:tcW w:w="709" w:type="dxa"/>
            <w:tcBorders>
              <w:top w:val="single" w:sz="4" w:space="0" w:color="auto"/>
              <w:left w:val="single" w:sz="4" w:space="0" w:color="auto"/>
              <w:bottom w:val="nil"/>
              <w:right w:val="nil"/>
            </w:tcBorders>
            <w:shd w:val="clear" w:color="auto" w:fill="auto"/>
            <w:noWrap/>
            <w:vAlign w:val="center"/>
            <w:hideMark/>
          </w:tcPr>
          <w:p w14:paraId="453391AC" w14:textId="77777777" w:rsidR="00387142" w:rsidRPr="008B6A75" w:rsidRDefault="00387142" w:rsidP="00387142">
            <w:pPr>
              <w:jc w:val="center"/>
              <w:rPr>
                <w:sz w:val="20"/>
                <w:szCs w:val="20"/>
              </w:rPr>
            </w:pPr>
            <w:r w:rsidRPr="008B6A75">
              <w:rPr>
                <w:sz w:val="20"/>
                <w:szCs w:val="20"/>
              </w:rPr>
              <w:t>01</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66683CD6" w14:textId="77777777" w:rsidR="00387142" w:rsidRPr="008B6A75" w:rsidRDefault="00387142" w:rsidP="00387142">
            <w:pPr>
              <w:jc w:val="center"/>
              <w:rPr>
                <w:sz w:val="20"/>
                <w:szCs w:val="20"/>
              </w:rPr>
            </w:pPr>
            <w:r w:rsidRPr="008B6A75">
              <w:rPr>
                <w:sz w:val="20"/>
                <w:szCs w:val="20"/>
              </w:rPr>
              <w:t>13</w:t>
            </w:r>
          </w:p>
        </w:tc>
        <w:tc>
          <w:tcPr>
            <w:tcW w:w="1411" w:type="dxa"/>
            <w:tcBorders>
              <w:top w:val="single" w:sz="4" w:space="0" w:color="auto"/>
              <w:left w:val="single" w:sz="4" w:space="0" w:color="auto"/>
              <w:bottom w:val="nil"/>
              <w:right w:val="nil"/>
            </w:tcBorders>
            <w:shd w:val="clear" w:color="auto" w:fill="auto"/>
            <w:noWrap/>
            <w:vAlign w:val="center"/>
            <w:hideMark/>
          </w:tcPr>
          <w:p w14:paraId="47F2D747" w14:textId="77777777" w:rsidR="00387142" w:rsidRPr="008B6A75" w:rsidRDefault="00387142" w:rsidP="00387142">
            <w:pPr>
              <w:jc w:val="center"/>
              <w:rPr>
                <w:sz w:val="20"/>
                <w:szCs w:val="20"/>
              </w:rPr>
            </w:pPr>
            <w:r w:rsidRPr="008B6A75">
              <w:rPr>
                <w:sz w:val="20"/>
                <w:szCs w:val="20"/>
              </w:rPr>
              <w:t>15.0.00.70610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4A398A18" w14:textId="77777777" w:rsidR="00387142" w:rsidRPr="008B6A75" w:rsidRDefault="00387142" w:rsidP="00387142">
            <w:pPr>
              <w:jc w:val="center"/>
              <w:rPr>
                <w:sz w:val="20"/>
                <w:szCs w:val="20"/>
              </w:rPr>
            </w:pPr>
            <w:r w:rsidRPr="008B6A75">
              <w:rPr>
                <w:sz w:val="20"/>
                <w:szCs w:val="20"/>
              </w:rPr>
              <w:t>600</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1C73A99D" w14:textId="77777777" w:rsidR="00387142" w:rsidRPr="008B6A75" w:rsidRDefault="00387142" w:rsidP="00387142">
            <w:pPr>
              <w:jc w:val="right"/>
              <w:rPr>
                <w:sz w:val="20"/>
                <w:szCs w:val="20"/>
              </w:rPr>
            </w:pPr>
            <w:r w:rsidRPr="008B6A75">
              <w:rPr>
                <w:sz w:val="20"/>
                <w:szCs w:val="20"/>
              </w:rPr>
              <w:t>927 000,00</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1C3EBF48" w14:textId="77777777" w:rsidR="00387142" w:rsidRPr="008B6A75" w:rsidRDefault="00387142" w:rsidP="00387142">
            <w:pPr>
              <w:jc w:val="right"/>
              <w:rPr>
                <w:sz w:val="20"/>
                <w:szCs w:val="20"/>
              </w:rPr>
            </w:pPr>
            <w:r w:rsidRPr="008B6A75">
              <w:rPr>
                <w:sz w:val="20"/>
                <w:szCs w:val="20"/>
              </w:rPr>
              <w:t>927 000,00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2E3CFF6E" w14:textId="77777777" w:rsidR="00387142" w:rsidRPr="008B6A75" w:rsidRDefault="00387142" w:rsidP="00387142">
            <w:pPr>
              <w:jc w:val="right"/>
              <w:rPr>
                <w:sz w:val="20"/>
                <w:szCs w:val="20"/>
              </w:rPr>
            </w:pPr>
            <w:r w:rsidRPr="008B6A75">
              <w:rPr>
                <w:sz w:val="20"/>
                <w:szCs w:val="20"/>
              </w:rPr>
              <w:t>927 000,00</w:t>
            </w:r>
          </w:p>
        </w:tc>
        <w:tc>
          <w:tcPr>
            <w:tcW w:w="222" w:type="dxa"/>
            <w:vAlign w:val="center"/>
            <w:hideMark/>
          </w:tcPr>
          <w:p w14:paraId="751FE35E" w14:textId="77777777" w:rsidR="00387142" w:rsidRPr="008B6A75" w:rsidRDefault="00387142" w:rsidP="00387142">
            <w:pPr>
              <w:rPr>
                <w:sz w:val="20"/>
                <w:szCs w:val="20"/>
              </w:rPr>
            </w:pPr>
          </w:p>
        </w:tc>
      </w:tr>
      <w:tr w:rsidR="00387142" w:rsidRPr="008B6A75" w14:paraId="0D1F3207" w14:textId="77777777" w:rsidTr="00387142">
        <w:trPr>
          <w:trHeight w:val="870"/>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55E6F21A" w14:textId="77777777" w:rsidR="00387142" w:rsidRPr="008B6A75" w:rsidRDefault="00387142" w:rsidP="00387142">
            <w:pPr>
              <w:rPr>
                <w:sz w:val="20"/>
                <w:szCs w:val="20"/>
              </w:rPr>
            </w:pPr>
            <w:r w:rsidRPr="008B6A75">
              <w:rPr>
                <w:sz w:val="20"/>
                <w:szCs w:val="20"/>
              </w:rPr>
              <w:t>Субсидии некоммерческим организациям (за исключением государственных (муниципальных) учреждений)</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17E2A59E" w14:textId="77777777" w:rsidR="00387142" w:rsidRPr="008B6A75" w:rsidRDefault="00387142" w:rsidP="00387142">
            <w:pPr>
              <w:jc w:val="center"/>
              <w:rPr>
                <w:sz w:val="20"/>
                <w:szCs w:val="20"/>
              </w:rPr>
            </w:pPr>
            <w:r w:rsidRPr="008B6A75">
              <w:rPr>
                <w:sz w:val="20"/>
                <w:szCs w:val="20"/>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6CF84D87" w14:textId="77777777" w:rsidR="00387142" w:rsidRPr="008B6A75" w:rsidRDefault="00387142" w:rsidP="00387142">
            <w:pPr>
              <w:jc w:val="center"/>
              <w:rPr>
                <w:sz w:val="20"/>
                <w:szCs w:val="20"/>
              </w:rPr>
            </w:pPr>
            <w:r w:rsidRPr="008B6A75">
              <w:rPr>
                <w:sz w:val="20"/>
                <w:szCs w:val="20"/>
              </w:rPr>
              <w:t>01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C3178D" w14:textId="77777777" w:rsidR="00387142" w:rsidRPr="008B6A75" w:rsidRDefault="00387142" w:rsidP="00387142">
            <w:pPr>
              <w:jc w:val="center"/>
              <w:rPr>
                <w:sz w:val="20"/>
                <w:szCs w:val="20"/>
              </w:rPr>
            </w:pPr>
            <w:r w:rsidRPr="008B6A75">
              <w:rPr>
                <w:sz w:val="20"/>
                <w:szCs w:val="20"/>
              </w:rPr>
              <w:t>13</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336B3817" w14:textId="77777777" w:rsidR="00387142" w:rsidRPr="008B6A75" w:rsidRDefault="00387142" w:rsidP="00387142">
            <w:pPr>
              <w:jc w:val="center"/>
              <w:rPr>
                <w:sz w:val="20"/>
                <w:szCs w:val="20"/>
              </w:rPr>
            </w:pPr>
            <w:r w:rsidRPr="008B6A75">
              <w:rPr>
                <w:sz w:val="20"/>
                <w:szCs w:val="20"/>
              </w:rPr>
              <w:t>15.0.00.70610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53A937" w14:textId="77777777" w:rsidR="00387142" w:rsidRPr="008B6A75" w:rsidRDefault="00387142" w:rsidP="00387142">
            <w:pPr>
              <w:jc w:val="center"/>
              <w:rPr>
                <w:sz w:val="20"/>
                <w:szCs w:val="20"/>
              </w:rPr>
            </w:pPr>
            <w:r w:rsidRPr="008B6A75">
              <w:rPr>
                <w:sz w:val="20"/>
                <w:szCs w:val="20"/>
              </w:rPr>
              <w:t>630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8F7B2C" w14:textId="77777777" w:rsidR="00387142" w:rsidRPr="008B6A75" w:rsidRDefault="00387142" w:rsidP="00387142">
            <w:pPr>
              <w:jc w:val="right"/>
              <w:rPr>
                <w:sz w:val="20"/>
                <w:szCs w:val="20"/>
              </w:rPr>
            </w:pPr>
            <w:r w:rsidRPr="008B6A75">
              <w:rPr>
                <w:sz w:val="20"/>
                <w:szCs w:val="20"/>
              </w:rPr>
              <w:t>927 000,00</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3A7518CF" w14:textId="77777777" w:rsidR="00387142" w:rsidRPr="008B6A75" w:rsidRDefault="00387142" w:rsidP="00387142">
            <w:pPr>
              <w:jc w:val="right"/>
              <w:rPr>
                <w:sz w:val="20"/>
                <w:szCs w:val="20"/>
              </w:rPr>
            </w:pPr>
            <w:r w:rsidRPr="008B6A75">
              <w:rPr>
                <w:sz w:val="20"/>
                <w:szCs w:val="20"/>
              </w:rPr>
              <w:t>927 000,00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457E2A" w14:textId="77777777" w:rsidR="00387142" w:rsidRPr="008B6A75" w:rsidRDefault="00387142" w:rsidP="00387142">
            <w:pPr>
              <w:jc w:val="right"/>
              <w:rPr>
                <w:sz w:val="20"/>
                <w:szCs w:val="20"/>
              </w:rPr>
            </w:pPr>
            <w:r w:rsidRPr="008B6A75">
              <w:rPr>
                <w:sz w:val="20"/>
                <w:szCs w:val="20"/>
              </w:rPr>
              <w:t>927 000,00</w:t>
            </w:r>
          </w:p>
        </w:tc>
        <w:tc>
          <w:tcPr>
            <w:tcW w:w="222" w:type="dxa"/>
            <w:vAlign w:val="center"/>
            <w:hideMark/>
          </w:tcPr>
          <w:p w14:paraId="3A05D73E" w14:textId="77777777" w:rsidR="00387142" w:rsidRPr="008B6A75" w:rsidRDefault="00387142" w:rsidP="00387142">
            <w:pPr>
              <w:rPr>
                <w:sz w:val="20"/>
                <w:szCs w:val="20"/>
              </w:rPr>
            </w:pPr>
          </w:p>
        </w:tc>
      </w:tr>
      <w:tr w:rsidR="00387142" w:rsidRPr="008B6A75" w14:paraId="4CC89817" w14:textId="77777777" w:rsidTr="00387142">
        <w:trPr>
          <w:trHeight w:val="300"/>
        </w:trPr>
        <w:tc>
          <w:tcPr>
            <w:tcW w:w="3021" w:type="dxa"/>
            <w:tcBorders>
              <w:top w:val="nil"/>
              <w:left w:val="single" w:sz="4" w:space="0" w:color="auto"/>
              <w:bottom w:val="nil"/>
              <w:right w:val="nil"/>
            </w:tcBorders>
            <w:shd w:val="clear" w:color="auto" w:fill="auto"/>
            <w:vAlign w:val="center"/>
            <w:hideMark/>
          </w:tcPr>
          <w:p w14:paraId="00CEFB7B" w14:textId="77777777" w:rsidR="00387142" w:rsidRPr="008B6A75" w:rsidRDefault="00387142" w:rsidP="00387142">
            <w:pPr>
              <w:rPr>
                <w:bCs/>
                <w:sz w:val="20"/>
                <w:szCs w:val="20"/>
              </w:rPr>
            </w:pPr>
            <w:r w:rsidRPr="008B6A75">
              <w:rPr>
                <w:bCs/>
                <w:sz w:val="20"/>
                <w:szCs w:val="20"/>
              </w:rPr>
              <w:t>Непрограммные направления бюджета</w:t>
            </w:r>
          </w:p>
        </w:tc>
        <w:tc>
          <w:tcPr>
            <w:tcW w:w="850" w:type="dxa"/>
            <w:tcBorders>
              <w:top w:val="nil"/>
              <w:left w:val="single" w:sz="4" w:space="0" w:color="auto"/>
              <w:bottom w:val="nil"/>
              <w:right w:val="nil"/>
            </w:tcBorders>
            <w:shd w:val="clear" w:color="auto" w:fill="auto"/>
            <w:noWrap/>
            <w:vAlign w:val="center"/>
            <w:hideMark/>
          </w:tcPr>
          <w:p w14:paraId="1F92555C" w14:textId="77777777" w:rsidR="00387142" w:rsidRPr="008B6A75" w:rsidRDefault="00387142" w:rsidP="00387142">
            <w:pPr>
              <w:jc w:val="center"/>
              <w:rPr>
                <w:bCs/>
                <w:sz w:val="20"/>
                <w:szCs w:val="20"/>
              </w:rPr>
            </w:pPr>
            <w:r w:rsidRPr="008B6A75">
              <w:rPr>
                <w:bCs/>
                <w:sz w:val="20"/>
                <w:szCs w:val="20"/>
              </w:rPr>
              <w:t>444</w:t>
            </w:r>
          </w:p>
        </w:tc>
        <w:tc>
          <w:tcPr>
            <w:tcW w:w="709" w:type="dxa"/>
            <w:tcBorders>
              <w:top w:val="nil"/>
              <w:left w:val="single" w:sz="4" w:space="0" w:color="auto"/>
              <w:bottom w:val="nil"/>
              <w:right w:val="nil"/>
            </w:tcBorders>
            <w:shd w:val="clear" w:color="auto" w:fill="auto"/>
            <w:noWrap/>
            <w:vAlign w:val="center"/>
            <w:hideMark/>
          </w:tcPr>
          <w:p w14:paraId="4BE15C53" w14:textId="77777777" w:rsidR="00387142" w:rsidRPr="008B6A75" w:rsidRDefault="00387142" w:rsidP="00387142">
            <w:pPr>
              <w:jc w:val="center"/>
              <w:rPr>
                <w:bCs/>
                <w:sz w:val="20"/>
                <w:szCs w:val="20"/>
              </w:rPr>
            </w:pPr>
            <w:r w:rsidRPr="008B6A75">
              <w:rPr>
                <w:bCs/>
                <w:sz w:val="20"/>
                <w:szCs w:val="20"/>
              </w:rPr>
              <w:t>01</w:t>
            </w:r>
          </w:p>
        </w:tc>
        <w:tc>
          <w:tcPr>
            <w:tcW w:w="709" w:type="dxa"/>
            <w:tcBorders>
              <w:top w:val="nil"/>
              <w:left w:val="single" w:sz="4" w:space="0" w:color="auto"/>
              <w:bottom w:val="nil"/>
              <w:right w:val="single" w:sz="4" w:space="0" w:color="auto"/>
            </w:tcBorders>
            <w:shd w:val="clear" w:color="auto" w:fill="auto"/>
            <w:noWrap/>
            <w:vAlign w:val="center"/>
            <w:hideMark/>
          </w:tcPr>
          <w:p w14:paraId="1F9FC072" w14:textId="77777777" w:rsidR="00387142" w:rsidRPr="008B6A75" w:rsidRDefault="00387142" w:rsidP="00387142">
            <w:pPr>
              <w:jc w:val="center"/>
              <w:rPr>
                <w:bCs/>
                <w:sz w:val="20"/>
                <w:szCs w:val="20"/>
              </w:rPr>
            </w:pPr>
            <w:r w:rsidRPr="008B6A75">
              <w:rPr>
                <w:bCs/>
                <w:sz w:val="20"/>
                <w:szCs w:val="20"/>
              </w:rPr>
              <w:t>13</w:t>
            </w:r>
          </w:p>
        </w:tc>
        <w:tc>
          <w:tcPr>
            <w:tcW w:w="1411" w:type="dxa"/>
            <w:tcBorders>
              <w:top w:val="nil"/>
              <w:left w:val="single" w:sz="4" w:space="0" w:color="auto"/>
              <w:bottom w:val="nil"/>
              <w:right w:val="nil"/>
            </w:tcBorders>
            <w:shd w:val="clear" w:color="auto" w:fill="auto"/>
            <w:noWrap/>
            <w:vAlign w:val="center"/>
            <w:hideMark/>
          </w:tcPr>
          <w:p w14:paraId="4EA6A0F1" w14:textId="77777777" w:rsidR="00387142" w:rsidRPr="008B6A75" w:rsidRDefault="00387142" w:rsidP="00387142">
            <w:pPr>
              <w:jc w:val="center"/>
              <w:rPr>
                <w:bCs/>
                <w:sz w:val="20"/>
                <w:szCs w:val="20"/>
              </w:rPr>
            </w:pPr>
            <w:r w:rsidRPr="008B6A75">
              <w:rPr>
                <w:bCs/>
                <w:sz w:val="20"/>
                <w:szCs w:val="20"/>
              </w:rPr>
              <w:t>99.0.00.00000</w:t>
            </w:r>
          </w:p>
        </w:tc>
        <w:tc>
          <w:tcPr>
            <w:tcW w:w="955" w:type="dxa"/>
            <w:tcBorders>
              <w:top w:val="nil"/>
              <w:left w:val="single" w:sz="4" w:space="0" w:color="auto"/>
              <w:bottom w:val="nil"/>
              <w:right w:val="single" w:sz="4" w:space="0" w:color="auto"/>
            </w:tcBorders>
            <w:shd w:val="clear" w:color="auto" w:fill="auto"/>
            <w:noWrap/>
            <w:vAlign w:val="center"/>
            <w:hideMark/>
          </w:tcPr>
          <w:p w14:paraId="69791AFC"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nil"/>
              <w:right w:val="single" w:sz="4" w:space="0" w:color="auto"/>
            </w:tcBorders>
            <w:shd w:val="clear" w:color="auto" w:fill="auto"/>
            <w:noWrap/>
            <w:vAlign w:val="center"/>
            <w:hideMark/>
          </w:tcPr>
          <w:p w14:paraId="660D22CA" w14:textId="77777777" w:rsidR="00387142" w:rsidRPr="008B6A75" w:rsidRDefault="00387142" w:rsidP="00387142">
            <w:pPr>
              <w:jc w:val="right"/>
              <w:rPr>
                <w:bCs/>
                <w:sz w:val="20"/>
                <w:szCs w:val="20"/>
              </w:rPr>
            </w:pPr>
            <w:r w:rsidRPr="008B6A75">
              <w:rPr>
                <w:bCs/>
                <w:sz w:val="20"/>
                <w:szCs w:val="20"/>
              </w:rPr>
              <w:t>10 227 536,08</w:t>
            </w:r>
          </w:p>
        </w:tc>
        <w:tc>
          <w:tcPr>
            <w:tcW w:w="992" w:type="dxa"/>
            <w:gridSpan w:val="2"/>
            <w:tcBorders>
              <w:top w:val="nil"/>
              <w:left w:val="single" w:sz="4" w:space="0" w:color="auto"/>
              <w:bottom w:val="nil"/>
              <w:right w:val="nil"/>
            </w:tcBorders>
            <w:shd w:val="clear" w:color="auto" w:fill="auto"/>
            <w:noWrap/>
            <w:vAlign w:val="center"/>
            <w:hideMark/>
          </w:tcPr>
          <w:p w14:paraId="20FC9925" w14:textId="77777777" w:rsidR="00387142" w:rsidRPr="008B6A75" w:rsidRDefault="00387142" w:rsidP="00387142">
            <w:pPr>
              <w:jc w:val="right"/>
              <w:rPr>
                <w:bCs/>
                <w:sz w:val="20"/>
                <w:szCs w:val="20"/>
              </w:rPr>
            </w:pPr>
            <w:r w:rsidRPr="008B6A75">
              <w:rPr>
                <w:bCs/>
                <w:sz w:val="20"/>
                <w:szCs w:val="20"/>
              </w:rPr>
              <w:t>1 265 000,00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158BDA4A" w14:textId="77777777" w:rsidR="00387142" w:rsidRPr="008B6A75" w:rsidRDefault="00387142" w:rsidP="00387142">
            <w:pPr>
              <w:jc w:val="right"/>
              <w:rPr>
                <w:bCs/>
                <w:sz w:val="20"/>
                <w:szCs w:val="20"/>
              </w:rPr>
            </w:pPr>
            <w:r w:rsidRPr="008B6A75">
              <w:rPr>
                <w:bCs/>
                <w:sz w:val="20"/>
                <w:szCs w:val="20"/>
              </w:rPr>
              <w:t>1 265 000,00</w:t>
            </w:r>
          </w:p>
        </w:tc>
        <w:tc>
          <w:tcPr>
            <w:tcW w:w="222" w:type="dxa"/>
            <w:vAlign w:val="center"/>
            <w:hideMark/>
          </w:tcPr>
          <w:p w14:paraId="3142050D" w14:textId="77777777" w:rsidR="00387142" w:rsidRPr="008B6A75" w:rsidRDefault="00387142" w:rsidP="00387142">
            <w:pPr>
              <w:rPr>
                <w:sz w:val="20"/>
                <w:szCs w:val="20"/>
              </w:rPr>
            </w:pPr>
          </w:p>
        </w:tc>
      </w:tr>
      <w:tr w:rsidR="00387142" w:rsidRPr="008B6A75" w14:paraId="41D0ACC9" w14:textId="77777777" w:rsidTr="00387142">
        <w:trPr>
          <w:trHeight w:val="870"/>
        </w:trPr>
        <w:tc>
          <w:tcPr>
            <w:tcW w:w="3021" w:type="dxa"/>
            <w:tcBorders>
              <w:top w:val="single" w:sz="4" w:space="0" w:color="auto"/>
              <w:left w:val="single" w:sz="4" w:space="0" w:color="auto"/>
              <w:bottom w:val="nil"/>
              <w:right w:val="nil"/>
            </w:tcBorders>
            <w:shd w:val="clear" w:color="auto" w:fill="auto"/>
            <w:vAlign w:val="center"/>
            <w:hideMark/>
          </w:tcPr>
          <w:p w14:paraId="467F986D" w14:textId="77777777" w:rsidR="00387142" w:rsidRPr="008B6A75" w:rsidRDefault="00387142" w:rsidP="00387142">
            <w:pPr>
              <w:rPr>
                <w:bCs/>
                <w:sz w:val="20"/>
                <w:szCs w:val="20"/>
              </w:rPr>
            </w:pPr>
            <w:r w:rsidRPr="008B6A75">
              <w:rPr>
                <w:bCs/>
                <w:sz w:val="20"/>
                <w:szCs w:val="20"/>
              </w:rPr>
              <w:t>Оценка недвижимости, признание прав и регулирование отношений по государственной собственности</w:t>
            </w:r>
          </w:p>
        </w:tc>
        <w:tc>
          <w:tcPr>
            <w:tcW w:w="850" w:type="dxa"/>
            <w:tcBorders>
              <w:top w:val="single" w:sz="4" w:space="0" w:color="auto"/>
              <w:left w:val="single" w:sz="4" w:space="0" w:color="auto"/>
              <w:bottom w:val="nil"/>
              <w:right w:val="nil"/>
            </w:tcBorders>
            <w:shd w:val="clear" w:color="auto" w:fill="auto"/>
            <w:noWrap/>
            <w:vAlign w:val="center"/>
            <w:hideMark/>
          </w:tcPr>
          <w:p w14:paraId="280760EB" w14:textId="77777777" w:rsidR="00387142" w:rsidRPr="008B6A75" w:rsidRDefault="00387142" w:rsidP="00387142">
            <w:pPr>
              <w:jc w:val="center"/>
              <w:rPr>
                <w:bCs/>
                <w:sz w:val="20"/>
                <w:szCs w:val="20"/>
              </w:rPr>
            </w:pPr>
            <w:r w:rsidRPr="008B6A75">
              <w:rPr>
                <w:bCs/>
                <w:sz w:val="20"/>
                <w:szCs w:val="20"/>
              </w:rPr>
              <w:t>444</w:t>
            </w:r>
          </w:p>
        </w:tc>
        <w:tc>
          <w:tcPr>
            <w:tcW w:w="709" w:type="dxa"/>
            <w:tcBorders>
              <w:top w:val="single" w:sz="4" w:space="0" w:color="auto"/>
              <w:left w:val="single" w:sz="4" w:space="0" w:color="auto"/>
              <w:bottom w:val="nil"/>
              <w:right w:val="nil"/>
            </w:tcBorders>
            <w:shd w:val="clear" w:color="auto" w:fill="auto"/>
            <w:noWrap/>
            <w:vAlign w:val="center"/>
            <w:hideMark/>
          </w:tcPr>
          <w:p w14:paraId="3E1DF09C" w14:textId="77777777" w:rsidR="00387142" w:rsidRPr="008B6A75" w:rsidRDefault="00387142" w:rsidP="00387142">
            <w:pPr>
              <w:jc w:val="center"/>
              <w:rPr>
                <w:bCs/>
                <w:sz w:val="20"/>
                <w:szCs w:val="20"/>
              </w:rPr>
            </w:pPr>
            <w:r w:rsidRPr="008B6A75">
              <w:rPr>
                <w:bCs/>
                <w:sz w:val="20"/>
                <w:szCs w:val="20"/>
              </w:rPr>
              <w:t>01</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1DA47753" w14:textId="77777777" w:rsidR="00387142" w:rsidRPr="008B6A75" w:rsidRDefault="00387142" w:rsidP="00387142">
            <w:pPr>
              <w:jc w:val="center"/>
              <w:rPr>
                <w:bCs/>
                <w:sz w:val="20"/>
                <w:szCs w:val="20"/>
              </w:rPr>
            </w:pPr>
            <w:r w:rsidRPr="008B6A75">
              <w:rPr>
                <w:bCs/>
                <w:sz w:val="20"/>
                <w:szCs w:val="20"/>
              </w:rPr>
              <w:t>13</w:t>
            </w:r>
          </w:p>
        </w:tc>
        <w:tc>
          <w:tcPr>
            <w:tcW w:w="1411" w:type="dxa"/>
            <w:tcBorders>
              <w:top w:val="single" w:sz="4" w:space="0" w:color="auto"/>
              <w:left w:val="single" w:sz="4" w:space="0" w:color="auto"/>
              <w:bottom w:val="nil"/>
              <w:right w:val="nil"/>
            </w:tcBorders>
            <w:shd w:val="clear" w:color="auto" w:fill="auto"/>
            <w:noWrap/>
            <w:vAlign w:val="center"/>
            <w:hideMark/>
          </w:tcPr>
          <w:p w14:paraId="49827F26" w14:textId="77777777" w:rsidR="00387142" w:rsidRPr="008B6A75" w:rsidRDefault="00387142" w:rsidP="00387142">
            <w:pPr>
              <w:jc w:val="center"/>
              <w:rPr>
                <w:bCs/>
                <w:sz w:val="20"/>
                <w:szCs w:val="20"/>
              </w:rPr>
            </w:pPr>
            <w:r w:rsidRPr="008B6A75">
              <w:rPr>
                <w:bCs/>
                <w:sz w:val="20"/>
                <w:szCs w:val="20"/>
              </w:rPr>
              <w:t>99.0.00.01610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2E54A009" w14:textId="77777777" w:rsidR="00387142" w:rsidRPr="008B6A75" w:rsidRDefault="00387142" w:rsidP="00387142">
            <w:pPr>
              <w:jc w:val="center"/>
              <w:rPr>
                <w:bCs/>
                <w:sz w:val="20"/>
                <w:szCs w:val="20"/>
              </w:rPr>
            </w:pPr>
            <w:r w:rsidRPr="008B6A75">
              <w:rPr>
                <w:bCs/>
                <w:sz w:val="20"/>
                <w:szCs w:val="20"/>
              </w:rPr>
              <w:t> </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7F8C3AD4" w14:textId="77777777" w:rsidR="00387142" w:rsidRPr="008B6A75" w:rsidRDefault="00387142" w:rsidP="00387142">
            <w:pPr>
              <w:jc w:val="right"/>
              <w:rPr>
                <w:bCs/>
                <w:sz w:val="20"/>
                <w:szCs w:val="20"/>
              </w:rPr>
            </w:pPr>
            <w:r w:rsidRPr="008B6A75">
              <w:rPr>
                <w:bCs/>
                <w:sz w:val="20"/>
                <w:szCs w:val="20"/>
              </w:rPr>
              <w:t>65 000,00</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41B9D4BF" w14:textId="77777777" w:rsidR="00387142" w:rsidRPr="008B6A75" w:rsidRDefault="00387142" w:rsidP="00387142">
            <w:pPr>
              <w:jc w:val="right"/>
              <w:rPr>
                <w:bCs/>
                <w:sz w:val="20"/>
                <w:szCs w:val="20"/>
              </w:rPr>
            </w:pPr>
            <w:r w:rsidRPr="008B6A75">
              <w:rPr>
                <w:bCs/>
                <w:sz w:val="20"/>
                <w:szCs w:val="20"/>
              </w:rPr>
              <w:t>65 000,00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11237570" w14:textId="77777777" w:rsidR="00387142" w:rsidRPr="008B6A75" w:rsidRDefault="00387142" w:rsidP="00387142">
            <w:pPr>
              <w:jc w:val="right"/>
              <w:rPr>
                <w:bCs/>
                <w:sz w:val="20"/>
                <w:szCs w:val="20"/>
              </w:rPr>
            </w:pPr>
            <w:r w:rsidRPr="008B6A75">
              <w:rPr>
                <w:bCs/>
                <w:sz w:val="20"/>
                <w:szCs w:val="20"/>
              </w:rPr>
              <w:t>65 000,00</w:t>
            </w:r>
          </w:p>
        </w:tc>
        <w:tc>
          <w:tcPr>
            <w:tcW w:w="222" w:type="dxa"/>
            <w:vAlign w:val="center"/>
            <w:hideMark/>
          </w:tcPr>
          <w:p w14:paraId="185CF932" w14:textId="77777777" w:rsidR="00387142" w:rsidRPr="008B6A75" w:rsidRDefault="00387142" w:rsidP="00387142">
            <w:pPr>
              <w:rPr>
                <w:sz w:val="20"/>
                <w:szCs w:val="20"/>
              </w:rPr>
            </w:pPr>
          </w:p>
        </w:tc>
      </w:tr>
      <w:tr w:rsidR="00387142" w:rsidRPr="008B6A75" w14:paraId="4A5A89C6" w14:textId="77777777" w:rsidTr="00387142">
        <w:trPr>
          <w:trHeight w:val="585"/>
        </w:trPr>
        <w:tc>
          <w:tcPr>
            <w:tcW w:w="3021" w:type="dxa"/>
            <w:tcBorders>
              <w:top w:val="single" w:sz="4" w:space="0" w:color="auto"/>
              <w:left w:val="single" w:sz="4" w:space="0" w:color="auto"/>
              <w:bottom w:val="nil"/>
              <w:right w:val="nil"/>
            </w:tcBorders>
            <w:shd w:val="clear" w:color="auto" w:fill="auto"/>
            <w:vAlign w:val="center"/>
            <w:hideMark/>
          </w:tcPr>
          <w:p w14:paraId="7D8168A4" w14:textId="77777777" w:rsidR="00387142" w:rsidRPr="008B6A75" w:rsidRDefault="00387142" w:rsidP="00387142">
            <w:pPr>
              <w:rPr>
                <w:sz w:val="20"/>
                <w:szCs w:val="20"/>
              </w:rPr>
            </w:pPr>
            <w:r w:rsidRPr="008B6A75">
              <w:rPr>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nil"/>
              <w:right w:val="nil"/>
            </w:tcBorders>
            <w:shd w:val="clear" w:color="auto" w:fill="auto"/>
            <w:noWrap/>
            <w:vAlign w:val="center"/>
            <w:hideMark/>
          </w:tcPr>
          <w:p w14:paraId="689862AC" w14:textId="77777777" w:rsidR="00387142" w:rsidRPr="008B6A75" w:rsidRDefault="00387142" w:rsidP="00387142">
            <w:pPr>
              <w:jc w:val="center"/>
              <w:rPr>
                <w:sz w:val="20"/>
                <w:szCs w:val="20"/>
              </w:rPr>
            </w:pPr>
            <w:r w:rsidRPr="008B6A75">
              <w:rPr>
                <w:sz w:val="20"/>
                <w:szCs w:val="20"/>
              </w:rPr>
              <w:t>444</w:t>
            </w:r>
          </w:p>
        </w:tc>
        <w:tc>
          <w:tcPr>
            <w:tcW w:w="709" w:type="dxa"/>
            <w:tcBorders>
              <w:top w:val="single" w:sz="4" w:space="0" w:color="auto"/>
              <w:left w:val="single" w:sz="4" w:space="0" w:color="auto"/>
              <w:bottom w:val="nil"/>
              <w:right w:val="nil"/>
            </w:tcBorders>
            <w:shd w:val="clear" w:color="auto" w:fill="auto"/>
            <w:noWrap/>
            <w:vAlign w:val="center"/>
            <w:hideMark/>
          </w:tcPr>
          <w:p w14:paraId="390E4D81" w14:textId="77777777" w:rsidR="00387142" w:rsidRPr="008B6A75" w:rsidRDefault="00387142" w:rsidP="00387142">
            <w:pPr>
              <w:jc w:val="center"/>
              <w:rPr>
                <w:sz w:val="20"/>
                <w:szCs w:val="20"/>
              </w:rPr>
            </w:pPr>
            <w:r w:rsidRPr="008B6A75">
              <w:rPr>
                <w:sz w:val="20"/>
                <w:szCs w:val="20"/>
              </w:rPr>
              <w:t>01</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74C032B7" w14:textId="77777777" w:rsidR="00387142" w:rsidRPr="008B6A75" w:rsidRDefault="00387142" w:rsidP="00387142">
            <w:pPr>
              <w:jc w:val="center"/>
              <w:rPr>
                <w:sz w:val="20"/>
                <w:szCs w:val="20"/>
              </w:rPr>
            </w:pPr>
            <w:r w:rsidRPr="008B6A75">
              <w:rPr>
                <w:sz w:val="20"/>
                <w:szCs w:val="20"/>
              </w:rPr>
              <w:t>13</w:t>
            </w:r>
          </w:p>
        </w:tc>
        <w:tc>
          <w:tcPr>
            <w:tcW w:w="1411" w:type="dxa"/>
            <w:tcBorders>
              <w:top w:val="single" w:sz="4" w:space="0" w:color="auto"/>
              <w:left w:val="single" w:sz="4" w:space="0" w:color="auto"/>
              <w:bottom w:val="nil"/>
              <w:right w:val="nil"/>
            </w:tcBorders>
            <w:shd w:val="clear" w:color="auto" w:fill="auto"/>
            <w:noWrap/>
            <w:vAlign w:val="center"/>
            <w:hideMark/>
          </w:tcPr>
          <w:p w14:paraId="0C66830E" w14:textId="77777777" w:rsidR="00387142" w:rsidRPr="008B6A75" w:rsidRDefault="00387142" w:rsidP="00387142">
            <w:pPr>
              <w:jc w:val="center"/>
              <w:rPr>
                <w:sz w:val="20"/>
                <w:szCs w:val="20"/>
              </w:rPr>
            </w:pPr>
            <w:r w:rsidRPr="008B6A75">
              <w:rPr>
                <w:sz w:val="20"/>
                <w:szCs w:val="20"/>
              </w:rPr>
              <w:t>99.0.00.01610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53BE6B34" w14:textId="77777777" w:rsidR="00387142" w:rsidRPr="008B6A75" w:rsidRDefault="00387142" w:rsidP="00387142">
            <w:pPr>
              <w:jc w:val="center"/>
              <w:rPr>
                <w:sz w:val="20"/>
                <w:szCs w:val="20"/>
              </w:rPr>
            </w:pPr>
            <w:r w:rsidRPr="008B6A75">
              <w:rPr>
                <w:sz w:val="20"/>
                <w:szCs w:val="20"/>
              </w:rPr>
              <w:t>200</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4B238FCB" w14:textId="77777777" w:rsidR="00387142" w:rsidRPr="008B6A75" w:rsidRDefault="00387142" w:rsidP="00387142">
            <w:pPr>
              <w:jc w:val="right"/>
              <w:rPr>
                <w:sz w:val="20"/>
                <w:szCs w:val="20"/>
              </w:rPr>
            </w:pPr>
            <w:r w:rsidRPr="008B6A75">
              <w:rPr>
                <w:sz w:val="20"/>
                <w:szCs w:val="20"/>
              </w:rPr>
              <w:t>65 000,00</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2E5039C9" w14:textId="77777777" w:rsidR="00387142" w:rsidRPr="008B6A75" w:rsidRDefault="00387142" w:rsidP="00387142">
            <w:pPr>
              <w:jc w:val="right"/>
              <w:rPr>
                <w:sz w:val="20"/>
                <w:szCs w:val="20"/>
              </w:rPr>
            </w:pPr>
            <w:r w:rsidRPr="008B6A75">
              <w:rPr>
                <w:sz w:val="20"/>
                <w:szCs w:val="20"/>
              </w:rPr>
              <w:t>65 000,00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56C5A218" w14:textId="77777777" w:rsidR="00387142" w:rsidRPr="008B6A75" w:rsidRDefault="00387142" w:rsidP="00387142">
            <w:pPr>
              <w:jc w:val="right"/>
              <w:rPr>
                <w:sz w:val="20"/>
                <w:szCs w:val="20"/>
              </w:rPr>
            </w:pPr>
            <w:r w:rsidRPr="008B6A75">
              <w:rPr>
                <w:sz w:val="20"/>
                <w:szCs w:val="20"/>
              </w:rPr>
              <w:t>65 000,00</w:t>
            </w:r>
          </w:p>
        </w:tc>
        <w:tc>
          <w:tcPr>
            <w:tcW w:w="222" w:type="dxa"/>
            <w:vAlign w:val="center"/>
            <w:hideMark/>
          </w:tcPr>
          <w:p w14:paraId="76E856E5" w14:textId="77777777" w:rsidR="00387142" w:rsidRPr="008B6A75" w:rsidRDefault="00387142" w:rsidP="00387142">
            <w:pPr>
              <w:rPr>
                <w:sz w:val="20"/>
                <w:szCs w:val="20"/>
              </w:rPr>
            </w:pPr>
          </w:p>
        </w:tc>
      </w:tr>
      <w:tr w:rsidR="00387142" w:rsidRPr="008B6A75" w14:paraId="0EDC796F" w14:textId="77777777" w:rsidTr="00387142">
        <w:trPr>
          <w:trHeight w:val="870"/>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0E645111" w14:textId="77777777" w:rsidR="00387142" w:rsidRPr="008B6A75" w:rsidRDefault="00387142" w:rsidP="00387142">
            <w:pPr>
              <w:rPr>
                <w:sz w:val="20"/>
                <w:szCs w:val="20"/>
              </w:rPr>
            </w:pPr>
            <w:r w:rsidRPr="008B6A75">
              <w:rPr>
                <w:sz w:val="20"/>
                <w:szCs w:val="20"/>
              </w:rPr>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3986AE60" w14:textId="77777777" w:rsidR="00387142" w:rsidRPr="008B6A75" w:rsidRDefault="00387142" w:rsidP="00387142">
            <w:pPr>
              <w:jc w:val="center"/>
              <w:rPr>
                <w:sz w:val="20"/>
                <w:szCs w:val="20"/>
              </w:rPr>
            </w:pPr>
            <w:r w:rsidRPr="008B6A75">
              <w:rPr>
                <w:sz w:val="20"/>
                <w:szCs w:val="20"/>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7EDC715D" w14:textId="77777777" w:rsidR="00387142" w:rsidRPr="008B6A75" w:rsidRDefault="00387142" w:rsidP="00387142">
            <w:pPr>
              <w:jc w:val="center"/>
              <w:rPr>
                <w:sz w:val="20"/>
                <w:szCs w:val="20"/>
              </w:rPr>
            </w:pPr>
            <w:r w:rsidRPr="008B6A75">
              <w:rPr>
                <w:sz w:val="20"/>
                <w:szCs w:val="20"/>
              </w:rPr>
              <w:t>01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F5EA7A" w14:textId="77777777" w:rsidR="00387142" w:rsidRPr="008B6A75" w:rsidRDefault="00387142" w:rsidP="00387142">
            <w:pPr>
              <w:jc w:val="center"/>
              <w:rPr>
                <w:sz w:val="20"/>
                <w:szCs w:val="20"/>
              </w:rPr>
            </w:pPr>
            <w:r w:rsidRPr="008B6A75">
              <w:rPr>
                <w:sz w:val="20"/>
                <w:szCs w:val="20"/>
              </w:rPr>
              <w:t>13</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1A314787" w14:textId="77777777" w:rsidR="00387142" w:rsidRPr="008B6A75" w:rsidRDefault="00387142" w:rsidP="00387142">
            <w:pPr>
              <w:jc w:val="center"/>
              <w:rPr>
                <w:sz w:val="20"/>
                <w:szCs w:val="20"/>
              </w:rPr>
            </w:pPr>
            <w:r w:rsidRPr="008B6A75">
              <w:rPr>
                <w:sz w:val="20"/>
                <w:szCs w:val="20"/>
              </w:rPr>
              <w:t>99.0.00.01610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91CD86" w14:textId="77777777" w:rsidR="00387142" w:rsidRPr="008B6A75" w:rsidRDefault="00387142" w:rsidP="00387142">
            <w:pPr>
              <w:jc w:val="center"/>
              <w:rPr>
                <w:sz w:val="20"/>
                <w:szCs w:val="20"/>
              </w:rPr>
            </w:pPr>
            <w:r w:rsidRPr="008B6A75">
              <w:rPr>
                <w:sz w:val="20"/>
                <w:szCs w:val="20"/>
              </w:rPr>
              <w:t>240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867275" w14:textId="77777777" w:rsidR="00387142" w:rsidRPr="008B6A75" w:rsidRDefault="00387142" w:rsidP="00387142">
            <w:pPr>
              <w:jc w:val="right"/>
              <w:rPr>
                <w:sz w:val="20"/>
                <w:szCs w:val="20"/>
              </w:rPr>
            </w:pPr>
            <w:r w:rsidRPr="008B6A75">
              <w:rPr>
                <w:sz w:val="20"/>
                <w:szCs w:val="20"/>
              </w:rPr>
              <w:t>65 000,00</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0BE1D82F" w14:textId="77777777" w:rsidR="00387142" w:rsidRPr="008B6A75" w:rsidRDefault="00387142" w:rsidP="00387142">
            <w:pPr>
              <w:jc w:val="right"/>
              <w:rPr>
                <w:sz w:val="20"/>
                <w:szCs w:val="20"/>
              </w:rPr>
            </w:pPr>
            <w:r w:rsidRPr="008B6A75">
              <w:rPr>
                <w:sz w:val="20"/>
                <w:szCs w:val="20"/>
              </w:rPr>
              <w:t>65 000,00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2F4934" w14:textId="77777777" w:rsidR="00387142" w:rsidRPr="008B6A75" w:rsidRDefault="00387142" w:rsidP="00387142">
            <w:pPr>
              <w:jc w:val="right"/>
              <w:rPr>
                <w:sz w:val="20"/>
                <w:szCs w:val="20"/>
              </w:rPr>
            </w:pPr>
            <w:r w:rsidRPr="008B6A75">
              <w:rPr>
                <w:sz w:val="20"/>
                <w:szCs w:val="20"/>
              </w:rPr>
              <w:t>65 000,00</w:t>
            </w:r>
          </w:p>
        </w:tc>
        <w:tc>
          <w:tcPr>
            <w:tcW w:w="222" w:type="dxa"/>
            <w:vAlign w:val="center"/>
            <w:hideMark/>
          </w:tcPr>
          <w:p w14:paraId="1B1850B2" w14:textId="77777777" w:rsidR="00387142" w:rsidRPr="008B6A75" w:rsidRDefault="00387142" w:rsidP="00387142">
            <w:pPr>
              <w:rPr>
                <w:sz w:val="20"/>
                <w:szCs w:val="20"/>
              </w:rPr>
            </w:pPr>
          </w:p>
        </w:tc>
      </w:tr>
      <w:tr w:rsidR="00387142" w:rsidRPr="008B6A75" w14:paraId="0DA58F23" w14:textId="77777777" w:rsidTr="00387142">
        <w:trPr>
          <w:trHeight w:val="870"/>
        </w:trPr>
        <w:tc>
          <w:tcPr>
            <w:tcW w:w="3021" w:type="dxa"/>
            <w:tcBorders>
              <w:top w:val="nil"/>
              <w:left w:val="single" w:sz="4" w:space="0" w:color="auto"/>
              <w:bottom w:val="nil"/>
              <w:right w:val="nil"/>
            </w:tcBorders>
            <w:shd w:val="clear" w:color="auto" w:fill="auto"/>
            <w:vAlign w:val="center"/>
            <w:hideMark/>
          </w:tcPr>
          <w:p w14:paraId="3B2B56B7" w14:textId="77777777" w:rsidR="00387142" w:rsidRPr="008B6A75" w:rsidRDefault="00387142" w:rsidP="00387142">
            <w:pPr>
              <w:rPr>
                <w:bCs/>
                <w:sz w:val="20"/>
                <w:szCs w:val="20"/>
              </w:rPr>
            </w:pPr>
            <w:r w:rsidRPr="008B6A75">
              <w:rPr>
                <w:bCs/>
                <w:sz w:val="20"/>
                <w:szCs w:val="20"/>
              </w:rPr>
              <w:t>Реализация государственных функций, связанных с общегосударственным управлением</w:t>
            </w:r>
          </w:p>
        </w:tc>
        <w:tc>
          <w:tcPr>
            <w:tcW w:w="850" w:type="dxa"/>
            <w:tcBorders>
              <w:top w:val="nil"/>
              <w:left w:val="single" w:sz="4" w:space="0" w:color="auto"/>
              <w:bottom w:val="nil"/>
              <w:right w:val="nil"/>
            </w:tcBorders>
            <w:shd w:val="clear" w:color="auto" w:fill="auto"/>
            <w:noWrap/>
            <w:vAlign w:val="center"/>
            <w:hideMark/>
          </w:tcPr>
          <w:p w14:paraId="08AA7796" w14:textId="77777777" w:rsidR="00387142" w:rsidRPr="008B6A75" w:rsidRDefault="00387142" w:rsidP="00387142">
            <w:pPr>
              <w:jc w:val="center"/>
              <w:rPr>
                <w:bCs/>
                <w:sz w:val="20"/>
                <w:szCs w:val="20"/>
              </w:rPr>
            </w:pPr>
            <w:r w:rsidRPr="008B6A75">
              <w:rPr>
                <w:bCs/>
                <w:sz w:val="20"/>
                <w:szCs w:val="20"/>
              </w:rPr>
              <w:t>444</w:t>
            </w:r>
          </w:p>
        </w:tc>
        <w:tc>
          <w:tcPr>
            <w:tcW w:w="709" w:type="dxa"/>
            <w:tcBorders>
              <w:top w:val="nil"/>
              <w:left w:val="single" w:sz="4" w:space="0" w:color="auto"/>
              <w:bottom w:val="nil"/>
              <w:right w:val="nil"/>
            </w:tcBorders>
            <w:shd w:val="clear" w:color="auto" w:fill="auto"/>
            <w:noWrap/>
            <w:vAlign w:val="center"/>
            <w:hideMark/>
          </w:tcPr>
          <w:p w14:paraId="0EBA6573" w14:textId="77777777" w:rsidR="00387142" w:rsidRPr="008B6A75" w:rsidRDefault="00387142" w:rsidP="00387142">
            <w:pPr>
              <w:jc w:val="center"/>
              <w:rPr>
                <w:bCs/>
                <w:sz w:val="20"/>
                <w:szCs w:val="20"/>
              </w:rPr>
            </w:pPr>
            <w:r w:rsidRPr="008B6A75">
              <w:rPr>
                <w:bCs/>
                <w:sz w:val="20"/>
                <w:szCs w:val="20"/>
              </w:rPr>
              <w:t>01</w:t>
            </w:r>
          </w:p>
        </w:tc>
        <w:tc>
          <w:tcPr>
            <w:tcW w:w="709" w:type="dxa"/>
            <w:tcBorders>
              <w:top w:val="nil"/>
              <w:left w:val="single" w:sz="4" w:space="0" w:color="auto"/>
              <w:bottom w:val="nil"/>
              <w:right w:val="single" w:sz="4" w:space="0" w:color="auto"/>
            </w:tcBorders>
            <w:shd w:val="clear" w:color="auto" w:fill="auto"/>
            <w:noWrap/>
            <w:vAlign w:val="center"/>
            <w:hideMark/>
          </w:tcPr>
          <w:p w14:paraId="1FD2A9D9" w14:textId="77777777" w:rsidR="00387142" w:rsidRPr="008B6A75" w:rsidRDefault="00387142" w:rsidP="00387142">
            <w:pPr>
              <w:jc w:val="center"/>
              <w:rPr>
                <w:bCs/>
                <w:sz w:val="20"/>
                <w:szCs w:val="20"/>
              </w:rPr>
            </w:pPr>
            <w:r w:rsidRPr="008B6A75">
              <w:rPr>
                <w:bCs/>
                <w:sz w:val="20"/>
                <w:szCs w:val="20"/>
              </w:rPr>
              <w:t>13</w:t>
            </w:r>
          </w:p>
        </w:tc>
        <w:tc>
          <w:tcPr>
            <w:tcW w:w="1411" w:type="dxa"/>
            <w:tcBorders>
              <w:top w:val="nil"/>
              <w:left w:val="single" w:sz="4" w:space="0" w:color="auto"/>
              <w:bottom w:val="nil"/>
              <w:right w:val="nil"/>
            </w:tcBorders>
            <w:shd w:val="clear" w:color="auto" w:fill="auto"/>
            <w:noWrap/>
            <w:vAlign w:val="center"/>
            <w:hideMark/>
          </w:tcPr>
          <w:p w14:paraId="6FCA9EBB" w14:textId="77777777" w:rsidR="00387142" w:rsidRPr="008B6A75" w:rsidRDefault="00387142" w:rsidP="00387142">
            <w:pPr>
              <w:jc w:val="center"/>
              <w:rPr>
                <w:bCs/>
                <w:sz w:val="20"/>
                <w:szCs w:val="20"/>
              </w:rPr>
            </w:pPr>
            <w:r w:rsidRPr="008B6A75">
              <w:rPr>
                <w:bCs/>
                <w:sz w:val="20"/>
                <w:szCs w:val="20"/>
              </w:rPr>
              <w:t>99.0.00.01620</w:t>
            </w:r>
          </w:p>
        </w:tc>
        <w:tc>
          <w:tcPr>
            <w:tcW w:w="955" w:type="dxa"/>
            <w:tcBorders>
              <w:top w:val="nil"/>
              <w:left w:val="single" w:sz="4" w:space="0" w:color="auto"/>
              <w:bottom w:val="nil"/>
              <w:right w:val="single" w:sz="4" w:space="0" w:color="auto"/>
            </w:tcBorders>
            <w:shd w:val="clear" w:color="auto" w:fill="auto"/>
            <w:noWrap/>
            <w:vAlign w:val="center"/>
            <w:hideMark/>
          </w:tcPr>
          <w:p w14:paraId="4B384EEA"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nil"/>
              <w:right w:val="single" w:sz="4" w:space="0" w:color="auto"/>
            </w:tcBorders>
            <w:shd w:val="clear" w:color="auto" w:fill="auto"/>
            <w:noWrap/>
            <w:vAlign w:val="center"/>
            <w:hideMark/>
          </w:tcPr>
          <w:p w14:paraId="4A383EE6" w14:textId="77777777" w:rsidR="00387142" w:rsidRPr="008B6A75" w:rsidRDefault="00387142" w:rsidP="00387142">
            <w:pPr>
              <w:jc w:val="right"/>
              <w:rPr>
                <w:bCs/>
                <w:sz w:val="20"/>
                <w:szCs w:val="20"/>
              </w:rPr>
            </w:pPr>
            <w:r w:rsidRPr="008B6A75">
              <w:rPr>
                <w:bCs/>
                <w:sz w:val="20"/>
                <w:szCs w:val="20"/>
              </w:rPr>
              <w:t>8 298 336,08</w:t>
            </w:r>
          </w:p>
        </w:tc>
        <w:tc>
          <w:tcPr>
            <w:tcW w:w="992" w:type="dxa"/>
            <w:gridSpan w:val="2"/>
            <w:tcBorders>
              <w:top w:val="nil"/>
              <w:left w:val="single" w:sz="4" w:space="0" w:color="auto"/>
              <w:bottom w:val="nil"/>
              <w:right w:val="nil"/>
            </w:tcBorders>
            <w:shd w:val="clear" w:color="auto" w:fill="auto"/>
            <w:noWrap/>
            <w:vAlign w:val="center"/>
            <w:hideMark/>
          </w:tcPr>
          <w:p w14:paraId="6AD1D9DD" w14:textId="77777777" w:rsidR="00387142" w:rsidRPr="008B6A75" w:rsidRDefault="00387142" w:rsidP="00387142">
            <w:pPr>
              <w:jc w:val="right"/>
              <w:rPr>
                <w:bCs/>
                <w:sz w:val="20"/>
                <w:szCs w:val="20"/>
              </w:rPr>
            </w:pPr>
            <w:r w:rsidRPr="008B6A75">
              <w:rPr>
                <w:bCs/>
                <w:sz w:val="20"/>
                <w:szCs w:val="20"/>
              </w:rPr>
              <w:t>1 200 000,00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0F9FEB19" w14:textId="77777777" w:rsidR="00387142" w:rsidRPr="008B6A75" w:rsidRDefault="00387142" w:rsidP="00387142">
            <w:pPr>
              <w:jc w:val="right"/>
              <w:rPr>
                <w:bCs/>
                <w:sz w:val="20"/>
                <w:szCs w:val="20"/>
              </w:rPr>
            </w:pPr>
            <w:r w:rsidRPr="008B6A75">
              <w:rPr>
                <w:bCs/>
                <w:sz w:val="20"/>
                <w:szCs w:val="20"/>
              </w:rPr>
              <w:t>1 200 000,00</w:t>
            </w:r>
          </w:p>
        </w:tc>
        <w:tc>
          <w:tcPr>
            <w:tcW w:w="222" w:type="dxa"/>
            <w:vAlign w:val="center"/>
            <w:hideMark/>
          </w:tcPr>
          <w:p w14:paraId="050AE2A5" w14:textId="77777777" w:rsidR="00387142" w:rsidRPr="008B6A75" w:rsidRDefault="00387142" w:rsidP="00387142">
            <w:pPr>
              <w:rPr>
                <w:sz w:val="20"/>
                <w:szCs w:val="20"/>
              </w:rPr>
            </w:pPr>
          </w:p>
        </w:tc>
      </w:tr>
      <w:tr w:rsidR="00387142" w:rsidRPr="008B6A75" w14:paraId="10891E7F" w14:textId="77777777" w:rsidTr="00387142">
        <w:trPr>
          <w:trHeight w:val="585"/>
        </w:trPr>
        <w:tc>
          <w:tcPr>
            <w:tcW w:w="3021" w:type="dxa"/>
            <w:tcBorders>
              <w:top w:val="single" w:sz="4" w:space="0" w:color="auto"/>
              <w:left w:val="single" w:sz="4" w:space="0" w:color="auto"/>
              <w:bottom w:val="nil"/>
              <w:right w:val="nil"/>
            </w:tcBorders>
            <w:shd w:val="clear" w:color="auto" w:fill="auto"/>
            <w:vAlign w:val="center"/>
            <w:hideMark/>
          </w:tcPr>
          <w:p w14:paraId="2370F839" w14:textId="77777777" w:rsidR="00387142" w:rsidRPr="008B6A75" w:rsidRDefault="00387142" w:rsidP="00387142">
            <w:pPr>
              <w:rPr>
                <w:sz w:val="20"/>
                <w:szCs w:val="20"/>
              </w:rPr>
            </w:pPr>
            <w:r w:rsidRPr="008B6A75">
              <w:rPr>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nil"/>
              <w:right w:val="nil"/>
            </w:tcBorders>
            <w:shd w:val="clear" w:color="auto" w:fill="auto"/>
            <w:noWrap/>
            <w:vAlign w:val="center"/>
            <w:hideMark/>
          </w:tcPr>
          <w:p w14:paraId="3FEF79A0" w14:textId="77777777" w:rsidR="00387142" w:rsidRPr="008B6A75" w:rsidRDefault="00387142" w:rsidP="00387142">
            <w:pPr>
              <w:jc w:val="center"/>
              <w:rPr>
                <w:sz w:val="20"/>
                <w:szCs w:val="20"/>
              </w:rPr>
            </w:pPr>
            <w:r w:rsidRPr="008B6A75">
              <w:rPr>
                <w:sz w:val="20"/>
                <w:szCs w:val="20"/>
              </w:rPr>
              <w:t>444</w:t>
            </w:r>
          </w:p>
        </w:tc>
        <w:tc>
          <w:tcPr>
            <w:tcW w:w="709" w:type="dxa"/>
            <w:tcBorders>
              <w:top w:val="single" w:sz="4" w:space="0" w:color="auto"/>
              <w:left w:val="single" w:sz="4" w:space="0" w:color="auto"/>
              <w:bottom w:val="nil"/>
              <w:right w:val="nil"/>
            </w:tcBorders>
            <w:shd w:val="clear" w:color="auto" w:fill="auto"/>
            <w:noWrap/>
            <w:vAlign w:val="center"/>
            <w:hideMark/>
          </w:tcPr>
          <w:p w14:paraId="6119BD93" w14:textId="77777777" w:rsidR="00387142" w:rsidRPr="008B6A75" w:rsidRDefault="00387142" w:rsidP="00387142">
            <w:pPr>
              <w:jc w:val="center"/>
              <w:rPr>
                <w:sz w:val="20"/>
                <w:szCs w:val="20"/>
              </w:rPr>
            </w:pPr>
            <w:r w:rsidRPr="008B6A75">
              <w:rPr>
                <w:sz w:val="20"/>
                <w:szCs w:val="20"/>
              </w:rPr>
              <w:t>01</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338A9110" w14:textId="77777777" w:rsidR="00387142" w:rsidRPr="008B6A75" w:rsidRDefault="00387142" w:rsidP="00387142">
            <w:pPr>
              <w:jc w:val="center"/>
              <w:rPr>
                <w:sz w:val="20"/>
                <w:szCs w:val="20"/>
              </w:rPr>
            </w:pPr>
            <w:r w:rsidRPr="008B6A75">
              <w:rPr>
                <w:sz w:val="20"/>
                <w:szCs w:val="20"/>
              </w:rPr>
              <w:t>13</w:t>
            </w:r>
          </w:p>
        </w:tc>
        <w:tc>
          <w:tcPr>
            <w:tcW w:w="1411" w:type="dxa"/>
            <w:tcBorders>
              <w:top w:val="single" w:sz="4" w:space="0" w:color="auto"/>
              <w:left w:val="single" w:sz="4" w:space="0" w:color="auto"/>
              <w:bottom w:val="nil"/>
              <w:right w:val="nil"/>
            </w:tcBorders>
            <w:shd w:val="clear" w:color="auto" w:fill="auto"/>
            <w:noWrap/>
            <w:vAlign w:val="center"/>
            <w:hideMark/>
          </w:tcPr>
          <w:p w14:paraId="65EBD26D" w14:textId="77777777" w:rsidR="00387142" w:rsidRPr="008B6A75" w:rsidRDefault="00387142" w:rsidP="00387142">
            <w:pPr>
              <w:jc w:val="center"/>
              <w:rPr>
                <w:sz w:val="20"/>
                <w:szCs w:val="20"/>
              </w:rPr>
            </w:pPr>
            <w:r w:rsidRPr="008B6A75">
              <w:rPr>
                <w:sz w:val="20"/>
                <w:szCs w:val="20"/>
              </w:rPr>
              <w:t>99.0.00.01620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22F4819B" w14:textId="77777777" w:rsidR="00387142" w:rsidRPr="008B6A75" w:rsidRDefault="00387142" w:rsidP="00387142">
            <w:pPr>
              <w:jc w:val="center"/>
              <w:rPr>
                <w:sz w:val="20"/>
                <w:szCs w:val="20"/>
              </w:rPr>
            </w:pPr>
            <w:r w:rsidRPr="008B6A75">
              <w:rPr>
                <w:sz w:val="20"/>
                <w:szCs w:val="20"/>
              </w:rPr>
              <w:t>200</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191CE144" w14:textId="77777777" w:rsidR="00387142" w:rsidRPr="008B6A75" w:rsidRDefault="00387142" w:rsidP="00387142">
            <w:pPr>
              <w:jc w:val="right"/>
              <w:rPr>
                <w:sz w:val="20"/>
                <w:szCs w:val="20"/>
              </w:rPr>
            </w:pPr>
            <w:r w:rsidRPr="008B6A75">
              <w:rPr>
                <w:sz w:val="20"/>
                <w:szCs w:val="20"/>
              </w:rPr>
              <w:t>2 885 610,00</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03FAABE6" w14:textId="77777777" w:rsidR="00387142" w:rsidRPr="008B6A75" w:rsidRDefault="00387142" w:rsidP="00387142">
            <w:pPr>
              <w:jc w:val="right"/>
              <w:rPr>
                <w:sz w:val="20"/>
                <w:szCs w:val="20"/>
              </w:rPr>
            </w:pPr>
            <w:r w:rsidRPr="008B6A75">
              <w:rPr>
                <w:sz w:val="20"/>
                <w:szCs w:val="20"/>
              </w:rPr>
              <w:t>1 200 000,00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42A140E4" w14:textId="77777777" w:rsidR="00387142" w:rsidRPr="008B6A75" w:rsidRDefault="00387142" w:rsidP="00387142">
            <w:pPr>
              <w:jc w:val="right"/>
              <w:rPr>
                <w:sz w:val="20"/>
                <w:szCs w:val="20"/>
              </w:rPr>
            </w:pPr>
            <w:r w:rsidRPr="008B6A75">
              <w:rPr>
                <w:sz w:val="20"/>
                <w:szCs w:val="20"/>
              </w:rPr>
              <w:t>1 200 000,00</w:t>
            </w:r>
          </w:p>
        </w:tc>
        <w:tc>
          <w:tcPr>
            <w:tcW w:w="222" w:type="dxa"/>
            <w:vAlign w:val="center"/>
            <w:hideMark/>
          </w:tcPr>
          <w:p w14:paraId="3F43365B" w14:textId="77777777" w:rsidR="00387142" w:rsidRPr="008B6A75" w:rsidRDefault="00387142" w:rsidP="00387142">
            <w:pPr>
              <w:rPr>
                <w:sz w:val="20"/>
                <w:szCs w:val="20"/>
              </w:rPr>
            </w:pPr>
          </w:p>
        </w:tc>
      </w:tr>
      <w:tr w:rsidR="00387142" w:rsidRPr="008B6A75" w14:paraId="58708D9E" w14:textId="77777777" w:rsidTr="00387142">
        <w:trPr>
          <w:trHeight w:val="870"/>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7763B504" w14:textId="77777777" w:rsidR="00387142" w:rsidRPr="008B6A75" w:rsidRDefault="00387142" w:rsidP="00387142">
            <w:pPr>
              <w:rPr>
                <w:sz w:val="20"/>
                <w:szCs w:val="20"/>
              </w:rPr>
            </w:pPr>
            <w:r w:rsidRPr="008B6A75">
              <w:rPr>
                <w:sz w:val="20"/>
                <w:szCs w:val="20"/>
              </w:rPr>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47245436" w14:textId="77777777" w:rsidR="00387142" w:rsidRPr="008B6A75" w:rsidRDefault="00387142" w:rsidP="00387142">
            <w:pPr>
              <w:jc w:val="center"/>
              <w:rPr>
                <w:sz w:val="20"/>
                <w:szCs w:val="20"/>
              </w:rPr>
            </w:pPr>
            <w:r w:rsidRPr="008B6A75">
              <w:rPr>
                <w:sz w:val="20"/>
                <w:szCs w:val="20"/>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57BF7BE6" w14:textId="77777777" w:rsidR="00387142" w:rsidRPr="008B6A75" w:rsidRDefault="00387142" w:rsidP="00387142">
            <w:pPr>
              <w:jc w:val="center"/>
              <w:rPr>
                <w:sz w:val="20"/>
                <w:szCs w:val="20"/>
              </w:rPr>
            </w:pPr>
            <w:r w:rsidRPr="008B6A75">
              <w:rPr>
                <w:sz w:val="20"/>
                <w:szCs w:val="20"/>
              </w:rPr>
              <w:t>01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01100D" w14:textId="77777777" w:rsidR="00387142" w:rsidRPr="008B6A75" w:rsidRDefault="00387142" w:rsidP="00387142">
            <w:pPr>
              <w:jc w:val="center"/>
              <w:rPr>
                <w:sz w:val="20"/>
                <w:szCs w:val="20"/>
              </w:rPr>
            </w:pPr>
            <w:r w:rsidRPr="008B6A75">
              <w:rPr>
                <w:sz w:val="20"/>
                <w:szCs w:val="20"/>
              </w:rPr>
              <w:t>13</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0BD1B956" w14:textId="77777777" w:rsidR="00387142" w:rsidRPr="008B6A75" w:rsidRDefault="00387142" w:rsidP="00387142">
            <w:pPr>
              <w:jc w:val="center"/>
              <w:rPr>
                <w:sz w:val="20"/>
                <w:szCs w:val="20"/>
              </w:rPr>
            </w:pPr>
            <w:r w:rsidRPr="008B6A75">
              <w:rPr>
                <w:sz w:val="20"/>
                <w:szCs w:val="20"/>
              </w:rPr>
              <w:t>99.0.00.01620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BFE054" w14:textId="77777777" w:rsidR="00387142" w:rsidRPr="008B6A75" w:rsidRDefault="00387142" w:rsidP="00387142">
            <w:pPr>
              <w:jc w:val="center"/>
              <w:rPr>
                <w:sz w:val="20"/>
                <w:szCs w:val="20"/>
              </w:rPr>
            </w:pPr>
            <w:r w:rsidRPr="008B6A75">
              <w:rPr>
                <w:sz w:val="20"/>
                <w:szCs w:val="20"/>
              </w:rPr>
              <w:t>240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0D9FF3" w14:textId="77777777" w:rsidR="00387142" w:rsidRPr="008B6A75" w:rsidRDefault="00387142" w:rsidP="00387142">
            <w:pPr>
              <w:jc w:val="right"/>
              <w:rPr>
                <w:sz w:val="20"/>
                <w:szCs w:val="20"/>
              </w:rPr>
            </w:pPr>
            <w:r w:rsidRPr="008B6A75">
              <w:rPr>
                <w:sz w:val="20"/>
                <w:szCs w:val="20"/>
              </w:rPr>
              <w:t>2 885 610,00</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10BE1847" w14:textId="77777777" w:rsidR="00387142" w:rsidRPr="008B6A75" w:rsidRDefault="00387142" w:rsidP="00387142">
            <w:pPr>
              <w:jc w:val="right"/>
              <w:rPr>
                <w:sz w:val="20"/>
                <w:szCs w:val="20"/>
              </w:rPr>
            </w:pPr>
            <w:r w:rsidRPr="008B6A75">
              <w:rPr>
                <w:sz w:val="20"/>
                <w:szCs w:val="20"/>
              </w:rPr>
              <w:t>1 200 000,00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B61DF4" w14:textId="77777777" w:rsidR="00387142" w:rsidRPr="008B6A75" w:rsidRDefault="00387142" w:rsidP="00387142">
            <w:pPr>
              <w:jc w:val="right"/>
              <w:rPr>
                <w:sz w:val="20"/>
                <w:szCs w:val="20"/>
              </w:rPr>
            </w:pPr>
            <w:r w:rsidRPr="008B6A75">
              <w:rPr>
                <w:sz w:val="20"/>
                <w:szCs w:val="20"/>
              </w:rPr>
              <w:t>1 200 000,00</w:t>
            </w:r>
          </w:p>
        </w:tc>
        <w:tc>
          <w:tcPr>
            <w:tcW w:w="222" w:type="dxa"/>
            <w:vAlign w:val="center"/>
            <w:hideMark/>
          </w:tcPr>
          <w:p w14:paraId="50A80264" w14:textId="77777777" w:rsidR="00387142" w:rsidRPr="008B6A75" w:rsidRDefault="00387142" w:rsidP="00387142">
            <w:pPr>
              <w:rPr>
                <w:sz w:val="20"/>
                <w:szCs w:val="20"/>
              </w:rPr>
            </w:pPr>
          </w:p>
        </w:tc>
      </w:tr>
      <w:tr w:rsidR="00387142" w:rsidRPr="008B6A75" w14:paraId="3C45C394" w14:textId="77777777" w:rsidTr="00387142">
        <w:trPr>
          <w:trHeight w:val="585"/>
        </w:trPr>
        <w:tc>
          <w:tcPr>
            <w:tcW w:w="3021" w:type="dxa"/>
            <w:tcBorders>
              <w:top w:val="nil"/>
              <w:left w:val="single" w:sz="4" w:space="0" w:color="auto"/>
              <w:bottom w:val="nil"/>
              <w:right w:val="nil"/>
            </w:tcBorders>
            <w:shd w:val="clear" w:color="auto" w:fill="auto"/>
            <w:vAlign w:val="center"/>
            <w:hideMark/>
          </w:tcPr>
          <w:p w14:paraId="70F5D7B0" w14:textId="77777777" w:rsidR="00387142" w:rsidRPr="008B6A75" w:rsidRDefault="00387142" w:rsidP="00387142">
            <w:pPr>
              <w:rPr>
                <w:sz w:val="20"/>
                <w:szCs w:val="20"/>
              </w:rPr>
            </w:pPr>
            <w:r w:rsidRPr="008B6A75">
              <w:rPr>
                <w:sz w:val="20"/>
                <w:szCs w:val="20"/>
              </w:rPr>
              <w:t>Социальное обеспечение и иные выплаты населению</w:t>
            </w:r>
          </w:p>
        </w:tc>
        <w:tc>
          <w:tcPr>
            <w:tcW w:w="850" w:type="dxa"/>
            <w:tcBorders>
              <w:top w:val="nil"/>
              <w:left w:val="single" w:sz="4" w:space="0" w:color="auto"/>
              <w:bottom w:val="nil"/>
              <w:right w:val="nil"/>
            </w:tcBorders>
            <w:shd w:val="clear" w:color="auto" w:fill="auto"/>
            <w:noWrap/>
            <w:vAlign w:val="center"/>
            <w:hideMark/>
          </w:tcPr>
          <w:p w14:paraId="22606D5B" w14:textId="77777777" w:rsidR="00387142" w:rsidRPr="008B6A75" w:rsidRDefault="00387142" w:rsidP="00387142">
            <w:pPr>
              <w:jc w:val="center"/>
              <w:rPr>
                <w:sz w:val="20"/>
                <w:szCs w:val="20"/>
              </w:rPr>
            </w:pPr>
            <w:r w:rsidRPr="008B6A75">
              <w:rPr>
                <w:sz w:val="20"/>
                <w:szCs w:val="20"/>
              </w:rPr>
              <w:t>444</w:t>
            </w:r>
          </w:p>
        </w:tc>
        <w:tc>
          <w:tcPr>
            <w:tcW w:w="709" w:type="dxa"/>
            <w:tcBorders>
              <w:top w:val="nil"/>
              <w:left w:val="single" w:sz="4" w:space="0" w:color="auto"/>
              <w:bottom w:val="nil"/>
              <w:right w:val="nil"/>
            </w:tcBorders>
            <w:shd w:val="clear" w:color="auto" w:fill="auto"/>
            <w:noWrap/>
            <w:vAlign w:val="center"/>
            <w:hideMark/>
          </w:tcPr>
          <w:p w14:paraId="684FFD9E" w14:textId="77777777" w:rsidR="00387142" w:rsidRPr="008B6A75" w:rsidRDefault="00387142" w:rsidP="00387142">
            <w:pPr>
              <w:jc w:val="center"/>
              <w:rPr>
                <w:sz w:val="20"/>
                <w:szCs w:val="20"/>
              </w:rPr>
            </w:pPr>
            <w:r w:rsidRPr="008B6A75">
              <w:rPr>
                <w:sz w:val="20"/>
                <w:szCs w:val="20"/>
              </w:rPr>
              <w:t>01</w:t>
            </w:r>
          </w:p>
        </w:tc>
        <w:tc>
          <w:tcPr>
            <w:tcW w:w="709" w:type="dxa"/>
            <w:tcBorders>
              <w:top w:val="nil"/>
              <w:left w:val="single" w:sz="4" w:space="0" w:color="auto"/>
              <w:bottom w:val="nil"/>
              <w:right w:val="single" w:sz="4" w:space="0" w:color="auto"/>
            </w:tcBorders>
            <w:shd w:val="clear" w:color="auto" w:fill="auto"/>
            <w:noWrap/>
            <w:vAlign w:val="center"/>
            <w:hideMark/>
          </w:tcPr>
          <w:p w14:paraId="5FC19420" w14:textId="77777777" w:rsidR="00387142" w:rsidRPr="008B6A75" w:rsidRDefault="00387142" w:rsidP="00387142">
            <w:pPr>
              <w:jc w:val="center"/>
              <w:rPr>
                <w:sz w:val="20"/>
                <w:szCs w:val="20"/>
              </w:rPr>
            </w:pPr>
            <w:r w:rsidRPr="008B6A75">
              <w:rPr>
                <w:sz w:val="20"/>
                <w:szCs w:val="20"/>
              </w:rPr>
              <w:t>13</w:t>
            </w:r>
          </w:p>
        </w:tc>
        <w:tc>
          <w:tcPr>
            <w:tcW w:w="1411" w:type="dxa"/>
            <w:tcBorders>
              <w:top w:val="nil"/>
              <w:left w:val="single" w:sz="4" w:space="0" w:color="auto"/>
              <w:bottom w:val="nil"/>
              <w:right w:val="nil"/>
            </w:tcBorders>
            <w:shd w:val="clear" w:color="auto" w:fill="auto"/>
            <w:noWrap/>
            <w:vAlign w:val="center"/>
            <w:hideMark/>
          </w:tcPr>
          <w:p w14:paraId="205C87E3" w14:textId="77777777" w:rsidR="00387142" w:rsidRPr="008B6A75" w:rsidRDefault="00387142" w:rsidP="00387142">
            <w:pPr>
              <w:jc w:val="center"/>
              <w:rPr>
                <w:sz w:val="20"/>
                <w:szCs w:val="20"/>
              </w:rPr>
            </w:pPr>
            <w:r w:rsidRPr="008B6A75">
              <w:rPr>
                <w:sz w:val="20"/>
                <w:szCs w:val="20"/>
              </w:rPr>
              <w:t>99.0.00.01620</w:t>
            </w:r>
          </w:p>
        </w:tc>
        <w:tc>
          <w:tcPr>
            <w:tcW w:w="955" w:type="dxa"/>
            <w:tcBorders>
              <w:top w:val="nil"/>
              <w:left w:val="single" w:sz="4" w:space="0" w:color="auto"/>
              <w:bottom w:val="nil"/>
              <w:right w:val="single" w:sz="4" w:space="0" w:color="auto"/>
            </w:tcBorders>
            <w:shd w:val="clear" w:color="auto" w:fill="auto"/>
            <w:noWrap/>
            <w:vAlign w:val="center"/>
            <w:hideMark/>
          </w:tcPr>
          <w:p w14:paraId="18D5D766" w14:textId="77777777" w:rsidR="00387142" w:rsidRPr="008B6A75" w:rsidRDefault="00387142" w:rsidP="00387142">
            <w:pPr>
              <w:jc w:val="center"/>
              <w:rPr>
                <w:sz w:val="20"/>
                <w:szCs w:val="20"/>
              </w:rPr>
            </w:pPr>
            <w:r w:rsidRPr="008B6A75">
              <w:rPr>
                <w:sz w:val="20"/>
                <w:szCs w:val="20"/>
              </w:rPr>
              <w:t>300</w:t>
            </w:r>
          </w:p>
        </w:tc>
        <w:tc>
          <w:tcPr>
            <w:tcW w:w="992" w:type="dxa"/>
            <w:tcBorders>
              <w:top w:val="nil"/>
              <w:left w:val="single" w:sz="4" w:space="0" w:color="auto"/>
              <w:bottom w:val="nil"/>
              <w:right w:val="single" w:sz="4" w:space="0" w:color="auto"/>
            </w:tcBorders>
            <w:shd w:val="clear" w:color="auto" w:fill="auto"/>
            <w:noWrap/>
            <w:vAlign w:val="center"/>
            <w:hideMark/>
          </w:tcPr>
          <w:p w14:paraId="5EB525EA" w14:textId="77777777" w:rsidR="00387142" w:rsidRPr="008B6A75" w:rsidRDefault="00387142" w:rsidP="00387142">
            <w:pPr>
              <w:jc w:val="right"/>
              <w:rPr>
                <w:sz w:val="20"/>
                <w:szCs w:val="20"/>
              </w:rPr>
            </w:pPr>
            <w:r w:rsidRPr="008B6A75">
              <w:rPr>
                <w:sz w:val="20"/>
                <w:szCs w:val="20"/>
              </w:rPr>
              <w:t>114 940,00</w:t>
            </w:r>
          </w:p>
        </w:tc>
        <w:tc>
          <w:tcPr>
            <w:tcW w:w="992" w:type="dxa"/>
            <w:gridSpan w:val="2"/>
            <w:tcBorders>
              <w:top w:val="nil"/>
              <w:left w:val="single" w:sz="4" w:space="0" w:color="auto"/>
              <w:bottom w:val="nil"/>
              <w:right w:val="nil"/>
            </w:tcBorders>
            <w:shd w:val="clear" w:color="auto" w:fill="auto"/>
            <w:noWrap/>
            <w:vAlign w:val="center"/>
            <w:hideMark/>
          </w:tcPr>
          <w:p w14:paraId="667C753F" w14:textId="77777777" w:rsidR="00387142" w:rsidRPr="008B6A75" w:rsidRDefault="00387142" w:rsidP="00387142">
            <w:pPr>
              <w:jc w:val="right"/>
              <w:rPr>
                <w:sz w:val="20"/>
                <w:szCs w:val="20"/>
              </w:rPr>
            </w:pPr>
            <w:r w:rsidRPr="008B6A75">
              <w:rPr>
                <w:sz w:val="20"/>
                <w:szCs w:val="20"/>
              </w:rPr>
              <w:t>0,00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4FAAD9A9" w14:textId="77777777" w:rsidR="00387142" w:rsidRPr="008B6A75" w:rsidRDefault="00387142" w:rsidP="00387142">
            <w:pPr>
              <w:jc w:val="right"/>
              <w:rPr>
                <w:sz w:val="20"/>
                <w:szCs w:val="20"/>
              </w:rPr>
            </w:pPr>
            <w:r w:rsidRPr="008B6A75">
              <w:rPr>
                <w:sz w:val="20"/>
                <w:szCs w:val="20"/>
              </w:rPr>
              <w:t>0,00</w:t>
            </w:r>
          </w:p>
        </w:tc>
        <w:tc>
          <w:tcPr>
            <w:tcW w:w="222" w:type="dxa"/>
            <w:vAlign w:val="center"/>
            <w:hideMark/>
          </w:tcPr>
          <w:p w14:paraId="686D182F" w14:textId="77777777" w:rsidR="00387142" w:rsidRPr="008B6A75" w:rsidRDefault="00387142" w:rsidP="00387142">
            <w:pPr>
              <w:rPr>
                <w:sz w:val="20"/>
                <w:szCs w:val="20"/>
              </w:rPr>
            </w:pPr>
          </w:p>
        </w:tc>
      </w:tr>
      <w:tr w:rsidR="00387142" w:rsidRPr="008B6A75" w14:paraId="0F209F2F" w14:textId="77777777" w:rsidTr="00387142">
        <w:trPr>
          <w:trHeight w:val="300"/>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5B6CCBF2" w14:textId="77777777" w:rsidR="00387142" w:rsidRPr="008B6A75" w:rsidRDefault="00387142" w:rsidP="00387142">
            <w:pPr>
              <w:rPr>
                <w:sz w:val="20"/>
                <w:szCs w:val="20"/>
              </w:rPr>
            </w:pPr>
            <w:r w:rsidRPr="008B6A75">
              <w:rPr>
                <w:sz w:val="20"/>
                <w:szCs w:val="20"/>
              </w:rPr>
              <w:t>Иные выплаты населению</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77D8F22E" w14:textId="77777777" w:rsidR="00387142" w:rsidRPr="008B6A75" w:rsidRDefault="00387142" w:rsidP="00387142">
            <w:pPr>
              <w:jc w:val="center"/>
              <w:rPr>
                <w:sz w:val="20"/>
                <w:szCs w:val="20"/>
              </w:rPr>
            </w:pPr>
            <w:r w:rsidRPr="008B6A75">
              <w:rPr>
                <w:sz w:val="20"/>
                <w:szCs w:val="20"/>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58CFC4CC" w14:textId="77777777" w:rsidR="00387142" w:rsidRPr="008B6A75" w:rsidRDefault="00387142" w:rsidP="00387142">
            <w:pPr>
              <w:jc w:val="center"/>
              <w:rPr>
                <w:sz w:val="20"/>
                <w:szCs w:val="20"/>
              </w:rPr>
            </w:pPr>
            <w:r w:rsidRPr="008B6A75">
              <w:rPr>
                <w:sz w:val="20"/>
                <w:szCs w:val="20"/>
              </w:rPr>
              <w:t>01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BDAA24" w14:textId="77777777" w:rsidR="00387142" w:rsidRPr="008B6A75" w:rsidRDefault="00387142" w:rsidP="00387142">
            <w:pPr>
              <w:jc w:val="center"/>
              <w:rPr>
                <w:sz w:val="20"/>
                <w:szCs w:val="20"/>
              </w:rPr>
            </w:pPr>
            <w:r w:rsidRPr="008B6A75">
              <w:rPr>
                <w:sz w:val="20"/>
                <w:szCs w:val="20"/>
              </w:rPr>
              <w:t>13</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4834ED5C" w14:textId="77777777" w:rsidR="00387142" w:rsidRPr="008B6A75" w:rsidRDefault="00387142" w:rsidP="00387142">
            <w:pPr>
              <w:jc w:val="center"/>
              <w:rPr>
                <w:sz w:val="20"/>
                <w:szCs w:val="20"/>
              </w:rPr>
            </w:pPr>
            <w:r w:rsidRPr="008B6A75">
              <w:rPr>
                <w:sz w:val="20"/>
                <w:szCs w:val="20"/>
              </w:rPr>
              <w:t>99.0.00.01620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82CACC" w14:textId="77777777" w:rsidR="00387142" w:rsidRPr="008B6A75" w:rsidRDefault="00387142" w:rsidP="00387142">
            <w:pPr>
              <w:jc w:val="center"/>
              <w:rPr>
                <w:sz w:val="20"/>
                <w:szCs w:val="20"/>
              </w:rPr>
            </w:pPr>
            <w:r w:rsidRPr="008B6A75">
              <w:rPr>
                <w:sz w:val="20"/>
                <w:szCs w:val="20"/>
              </w:rPr>
              <w:t>360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AACEED" w14:textId="77777777" w:rsidR="00387142" w:rsidRPr="008B6A75" w:rsidRDefault="00387142" w:rsidP="00387142">
            <w:pPr>
              <w:jc w:val="right"/>
              <w:rPr>
                <w:sz w:val="20"/>
                <w:szCs w:val="20"/>
              </w:rPr>
            </w:pPr>
            <w:r w:rsidRPr="008B6A75">
              <w:rPr>
                <w:sz w:val="20"/>
                <w:szCs w:val="20"/>
              </w:rPr>
              <w:t>114 940,00</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10D11345" w14:textId="77777777" w:rsidR="00387142" w:rsidRPr="008B6A75" w:rsidRDefault="00387142" w:rsidP="00387142">
            <w:pPr>
              <w:jc w:val="right"/>
              <w:rPr>
                <w:sz w:val="20"/>
                <w:szCs w:val="20"/>
              </w:rPr>
            </w:pPr>
            <w:r w:rsidRPr="008B6A75">
              <w:rPr>
                <w:sz w:val="20"/>
                <w:szCs w:val="20"/>
              </w:rPr>
              <w:t>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DD0840" w14:textId="77777777" w:rsidR="00387142" w:rsidRPr="008B6A75" w:rsidRDefault="00387142" w:rsidP="00387142">
            <w:pPr>
              <w:jc w:val="right"/>
              <w:rPr>
                <w:sz w:val="20"/>
                <w:szCs w:val="20"/>
              </w:rPr>
            </w:pPr>
            <w:r w:rsidRPr="008B6A75">
              <w:rPr>
                <w:sz w:val="20"/>
                <w:szCs w:val="20"/>
              </w:rPr>
              <w:t>0,00</w:t>
            </w:r>
          </w:p>
        </w:tc>
        <w:tc>
          <w:tcPr>
            <w:tcW w:w="222" w:type="dxa"/>
            <w:vAlign w:val="center"/>
            <w:hideMark/>
          </w:tcPr>
          <w:p w14:paraId="1D9242FD" w14:textId="77777777" w:rsidR="00387142" w:rsidRPr="008B6A75" w:rsidRDefault="00387142" w:rsidP="00387142">
            <w:pPr>
              <w:rPr>
                <w:sz w:val="20"/>
                <w:szCs w:val="20"/>
              </w:rPr>
            </w:pPr>
          </w:p>
        </w:tc>
      </w:tr>
      <w:tr w:rsidR="00387142" w:rsidRPr="008B6A75" w14:paraId="633C7960" w14:textId="77777777" w:rsidTr="00387142">
        <w:trPr>
          <w:trHeight w:val="870"/>
        </w:trPr>
        <w:tc>
          <w:tcPr>
            <w:tcW w:w="3021" w:type="dxa"/>
            <w:tcBorders>
              <w:top w:val="nil"/>
              <w:left w:val="single" w:sz="4" w:space="0" w:color="auto"/>
              <w:bottom w:val="nil"/>
              <w:right w:val="nil"/>
            </w:tcBorders>
            <w:shd w:val="clear" w:color="auto" w:fill="auto"/>
            <w:vAlign w:val="center"/>
            <w:hideMark/>
          </w:tcPr>
          <w:p w14:paraId="7187752F" w14:textId="77777777" w:rsidR="00387142" w:rsidRPr="008B6A75" w:rsidRDefault="00387142" w:rsidP="00387142">
            <w:pPr>
              <w:rPr>
                <w:sz w:val="20"/>
                <w:szCs w:val="20"/>
              </w:rPr>
            </w:pPr>
            <w:r w:rsidRPr="008B6A75">
              <w:rPr>
                <w:sz w:val="20"/>
                <w:szCs w:val="20"/>
              </w:rPr>
              <w:t>Капитальные вложения в объекты государственной (муниципальной) собственности</w:t>
            </w:r>
          </w:p>
        </w:tc>
        <w:tc>
          <w:tcPr>
            <w:tcW w:w="850" w:type="dxa"/>
            <w:tcBorders>
              <w:top w:val="nil"/>
              <w:left w:val="single" w:sz="4" w:space="0" w:color="auto"/>
              <w:bottom w:val="nil"/>
              <w:right w:val="nil"/>
            </w:tcBorders>
            <w:shd w:val="clear" w:color="auto" w:fill="auto"/>
            <w:noWrap/>
            <w:vAlign w:val="center"/>
            <w:hideMark/>
          </w:tcPr>
          <w:p w14:paraId="74A7853B" w14:textId="77777777" w:rsidR="00387142" w:rsidRPr="008B6A75" w:rsidRDefault="00387142" w:rsidP="00387142">
            <w:pPr>
              <w:jc w:val="center"/>
              <w:rPr>
                <w:sz w:val="20"/>
                <w:szCs w:val="20"/>
              </w:rPr>
            </w:pPr>
            <w:r w:rsidRPr="008B6A75">
              <w:rPr>
                <w:sz w:val="20"/>
                <w:szCs w:val="20"/>
              </w:rPr>
              <w:t>444</w:t>
            </w:r>
          </w:p>
        </w:tc>
        <w:tc>
          <w:tcPr>
            <w:tcW w:w="709" w:type="dxa"/>
            <w:tcBorders>
              <w:top w:val="nil"/>
              <w:left w:val="single" w:sz="4" w:space="0" w:color="auto"/>
              <w:bottom w:val="nil"/>
              <w:right w:val="nil"/>
            </w:tcBorders>
            <w:shd w:val="clear" w:color="auto" w:fill="auto"/>
            <w:noWrap/>
            <w:vAlign w:val="center"/>
            <w:hideMark/>
          </w:tcPr>
          <w:p w14:paraId="59AF1DB2" w14:textId="77777777" w:rsidR="00387142" w:rsidRPr="008B6A75" w:rsidRDefault="00387142" w:rsidP="00387142">
            <w:pPr>
              <w:jc w:val="center"/>
              <w:rPr>
                <w:sz w:val="20"/>
                <w:szCs w:val="20"/>
              </w:rPr>
            </w:pPr>
            <w:r w:rsidRPr="008B6A75">
              <w:rPr>
                <w:sz w:val="20"/>
                <w:szCs w:val="20"/>
              </w:rPr>
              <w:t>01</w:t>
            </w:r>
          </w:p>
        </w:tc>
        <w:tc>
          <w:tcPr>
            <w:tcW w:w="709" w:type="dxa"/>
            <w:tcBorders>
              <w:top w:val="nil"/>
              <w:left w:val="single" w:sz="4" w:space="0" w:color="auto"/>
              <w:bottom w:val="nil"/>
              <w:right w:val="single" w:sz="4" w:space="0" w:color="auto"/>
            </w:tcBorders>
            <w:shd w:val="clear" w:color="auto" w:fill="auto"/>
            <w:noWrap/>
            <w:vAlign w:val="center"/>
            <w:hideMark/>
          </w:tcPr>
          <w:p w14:paraId="2E1319D8" w14:textId="77777777" w:rsidR="00387142" w:rsidRPr="008B6A75" w:rsidRDefault="00387142" w:rsidP="00387142">
            <w:pPr>
              <w:jc w:val="center"/>
              <w:rPr>
                <w:sz w:val="20"/>
                <w:szCs w:val="20"/>
              </w:rPr>
            </w:pPr>
            <w:r w:rsidRPr="008B6A75">
              <w:rPr>
                <w:sz w:val="20"/>
                <w:szCs w:val="20"/>
              </w:rPr>
              <w:t>13</w:t>
            </w:r>
          </w:p>
        </w:tc>
        <w:tc>
          <w:tcPr>
            <w:tcW w:w="1411" w:type="dxa"/>
            <w:tcBorders>
              <w:top w:val="nil"/>
              <w:left w:val="single" w:sz="4" w:space="0" w:color="auto"/>
              <w:bottom w:val="nil"/>
              <w:right w:val="nil"/>
            </w:tcBorders>
            <w:shd w:val="clear" w:color="auto" w:fill="auto"/>
            <w:noWrap/>
            <w:vAlign w:val="center"/>
            <w:hideMark/>
          </w:tcPr>
          <w:p w14:paraId="2DD347B1" w14:textId="77777777" w:rsidR="00387142" w:rsidRPr="008B6A75" w:rsidRDefault="00387142" w:rsidP="00387142">
            <w:pPr>
              <w:jc w:val="center"/>
              <w:rPr>
                <w:sz w:val="20"/>
                <w:szCs w:val="20"/>
              </w:rPr>
            </w:pPr>
            <w:r w:rsidRPr="008B6A75">
              <w:rPr>
                <w:sz w:val="20"/>
                <w:szCs w:val="20"/>
              </w:rPr>
              <w:t>99.0.00.01620</w:t>
            </w:r>
          </w:p>
        </w:tc>
        <w:tc>
          <w:tcPr>
            <w:tcW w:w="955" w:type="dxa"/>
            <w:tcBorders>
              <w:top w:val="nil"/>
              <w:left w:val="single" w:sz="4" w:space="0" w:color="auto"/>
              <w:bottom w:val="nil"/>
              <w:right w:val="single" w:sz="4" w:space="0" w:color="auto"/>
            </w:tcBorders>
            <w:shd w:val="clear" w:color="auto" w:fill="auto"/>
            <w:noWrap/>
            <w:vAlign w:val="center"/>
            <w:hideMark/>
          </w:tcPr>
          <w:p w14:paraId="1D720B13" w14:textId="77777777" w:rsidR="00387142" w:rsidRPr="008B6A75" w:rsidRDefault="00387142" w:rsidP="00387142">
            <w:pPr>
              <w:jc w:val="center"/>
              <w:rPr>
                <w:sz w:val="20"/>
                <w:szCs w:val="20"/>
              </w:rPr>
            </w:pPr>
            <w:r w:rsidRPr="008B6A75">
              <w:rPr>
                <w:sz w:val="20"/>
                <w:szCs w:val="20"/>
              </w:rPr>
              <w:t>400</w:t>
            </w:r>
          </w:p>
        </w:tc>
        <w:tc>
          <w:tcPr>
            <w:tcW w:w="992" w:type="dxa"/>
            <w:tcBorders>
              <w:top w:val="nil"/>
              <w:left w:val="single" w:sz="4" w:space="0" w:color="auto"/>
              <w:bottom w:val="nil"/>
              <w:right w:val="single" w:sz="4" w:space="0" w:color="auto"/>
            </w:tcBorders>
            <w:shd w:val="clear" w:color="auto" w:fill="auto"/>
            <w:noWrap/>
            <w:vAlign w:val="center"/>
            <w:hideMark/>
          </w:tcPr>
          <w:p w14:paraId="3B1F8D1A" w14:textId="77777777" w:rsidR="00387142" w:rsidRPr="008B6A75" w:rsidRDefault="00387142" w:rsidP="00387142">
            <w:pPr>
              <w:jc w:val="right"/>
              <w:rPr>
                <w:sz w:val="20"/>
                <w:szCs w:val="20"/>
              </w:rPr>
            </w:pPr>
            <w:r w:rsidRPr="008B6A75">
              <w:rPr>
                <w:sz w:val="20"/>
                <w:szCs w:val="20"/>
              </w:rPr>
              <w:t>5 241 686,08</w:t>
            </w:r>
          </w:p>
        </w:tc>
        <w:tc>
          <w:tcPr>
            <w:tcW w:w="992" w:type="dxa"/>
            <w:gridSpan w:val="2"/>
            <w:tcBorders>
              <w:top w:val="nil"/>
              <w:left w:val="single" w:sz="4" w:space="0" w:color="auto"/>
              <w:bottom w:val="nil"/>
              <w:right w:val="nil"/>
            </w:tcBorders>
            <w:shd w:val="clear" w:color="auto" w:fill="auto"/>
            <w:noWrap/>
            <w:vAlign w:val="center"/>
            <w:hideMark/>
          </w:tcPr>
          <w:p w14:paraId="4474F6F0" w14:textId="77777777" w:rsidR="00387142" w:rsidRPr="008B6A75" w:rsidRDefault="00387142" w:rsidP="00387142">
            <w:pPr>
              <w:jc w:val="right"/>
              <w:rPr>
                <w:sz w:val="20"/>
                <w:szCs w:val="20"/>
              </w:rPr>
            </w:pPr>
            <w:r w:rsidRPr="008B6A75">
              <w:rPr>
                <w:sz w:val="20"/>
                <w:szCs w:val="20"/>
              </w:rPr>
              <w:t>0,00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56321C85" w14:textId="77777777" w:rsidR="00387142" w:rsidRPr="008B6A75" w:rsidRDefault="00387142" w:rsidP="00387142">
            <w:pPr>
              <w:jc w:val="right"/>
              <w:rPr>
                <w:sz w:val="20"/>
                <w:szCs w:val="20"/>
              </w:rPr>
            </w:pPr>
            <w:r w:rsidRPr="008B6A75">
              <w:rPr>
                <w:sz w:val="20"/>
                <w:szCs w:val="20"/>
              </w:rPr>
              <w:t>0,00</w:t>
            </w:r>
          </w:p>
        </w:tc>
        <w:tc>
          <w:tcPr>
            <w:tcW w:w="222" w:type="dxa"/>
            <w:vAlign w:val="center"/>
            <w:hideMark/>
          </w:tcPr>
          <w:p w14:paraId="5B7CF128" w14:textId="77777777" w:rsidR="00387142" w:rsidRPr="008B6A75" w:rsidRDefault="00387142" w:rsidP="00387142">
            <w:pPr>
              <w:rPr>
                <w:sz w:val="20"/>
                <w:szCs w:val="20"/>
              </w:rPr>
            </w:pPr>
          </w:p>
        </w:tc>
      </w:tr>
      <w:tr w:rsidR="00387142" w:rsidRPr="008B6A75" w14:paraId="3D8D06BD" w14:textId="77777777" w:rsidTr="00387142">
        <w:trPr>
          <w:trHeight w:val="300"/>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22093CA8" w14:textId="77777777" w:rsidR="00387142" w:rsidRPr="008B6A75" w:rsidRDefault="00387142" w:rsidP="00387142">
            <w:pPr>
              <w:rPr>
                <w:sz w:val="20"/>
                <w:szCs w:val="20"/>
              </w:rPr>
            </w:pPr>
            <w:r w:rsidRPr="008B6A75">
              <w:rPr>
                <w:sz w:val="20"/>
                <w:szCs w:val="20"/>
              </w:rPr>
              <w:t>Бюджетные инвестиции</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5768B845" w14:textId="77777777" w:rsidR="00387142" w:rsidRPr="008B6A75" w:rsidRDefault="00387142" w:rsidP="00387142">
            <w:pPr>
              <w:jc w:val="center"/>
              <w:rPr>
                <w:sz w:val="20"/>
                <w:szCs w:val="20"/>
              </w:rPr>
            </w:pPr>
            <w:r w:rsidRPr="008B6A75">
              <w:rPr>
                <w:sz w:val="20"/>
                <w:szCs w:val="20"/>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67721498" w14:textId="77777777" w:rsidR="00387142" w:rsidRPr="008B6A75" w:rsidRDefault="00387142" w:rsidP="00387142">
            <w:pPr>
              <w:jc w:val="center"/>
              <w:rPr>
                <w:sz w:val="20"/>
                <w:szCs w:val="20"/>
              </w:rPr>
            </w:pPr>
            <w:r w:rsidRPr="008B6A75">
              <w:rPr>
                <w:sz w:val="20"/>
                <w:szCs w:val="20"/>
              </w:rPr>
              <w:t>01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8CE9C8" w14:textId="77777777" w:rsidR="00387142" w:rsidRPr="008B6A75" w:rsidRDefault="00387142" w:rsidP="00387142">
            <w:pPr>
              <w:jc w:val="center"/>
              <w:rPr>
                <w:sz w:val="20"/>
                <w:szCs w:val="20"/>
              </w:rPr>
            </w:pPr>
            <w:r w:rsidRPr="008B6A75">
              <w:rPr>
                <w:sz w:val="20"/>
                <w:szCs w:val="20"/>
              </w:rPr>
              <w:t>13</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1EF159FA" w14:textId="77777777" w:rsidR="00387142" w:rsidRPr="008B6A75" w:rsidRDefault="00387142" w:rsidP="00387142">
            <w:pPr>
              <w:jc w:val="center"/>
              <w:rPr>
                <w:sz w:val="20"/>
                <w:szCs w:val="20"/>
              </w:rPr>
            </w:pPr>
            <w:r w:rsidRPr="008B6A75">
              <w:rPr>
                <w:sz w:val="20"/>
                <w:szCs w:val="20"/>
              </w:rPr>
              <w:t>99.0.00.01620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1587C4" w14:textId="77777777" w:rsidR="00387142" w:rsidRPr="008B6A75" w:rsidRDefault="00387142" w:rsidP="00387142">
            <w:pPr>
              <w:jc w:val="center"/>
              <w:rPr>
                <w:sz w:val="20"/>
                <w:szCs w:val="20"/>
              </w:rPr>
            </w:pPr>
            <w:r w:rsidRPr="008B6A75">
              <w:rPr>
                <w:sz w:val="20"/>
                <w:szCs w:val="20"/>
              </w:rPr>
              <w:t>410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0629AB" w14:textId="77777777" w:rsidR="00387142" w:rsidRPr="008B6A75" w:rsidRDefault="00387142" w:rsidP="00387142">
            <w:pPr>
              <w:jc w:val="right"/>
              <w:rPr>
                <w:sz w:val="20"/>
                <w:szCs w:val="20"/>
              </w:rPr>
            </w:pPr>
            <w:r w:rsidRPr="008B6A75">
              <w:rPr>
                <w:sz w:val="20"/>
                <w:szCs w:val="20"/>
              </w:rPr>
              <w:t>5 241 686,08</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74795930" w14:textId="77777777" w:rsidR="00387142" w:rsidRPr="008B6A75" w:rsidRDefault="00387142" w:rsidP="00387142">
            <w:pPr>
              <w:jc w:val="right"/>
              <w:rPr>
                <w:sz w:val="20"/>
                <w:szCs w:val="20"/>
              </w:rPr>
            </w:pPr>
            <w:r w:rsidRPr="008B6A75">
              <w:rPr>
                <w:sz w:val="20"/>
                <w:szCs w:val="20"/>
              </w:rPr>
              <w:t>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5F7EFF" w14:textId="77777777" w:rsidR="00387142" w:rsidRPr="008B6A75" w:rsidRDefault="00387142" w:rsidP="00387142">
            <w:pPr>
              <w:jc w:val="right"/>
              <w:rPr>
                <w:sz w:val="20"/>
                <w:szCs w:val="20"/>
              </w:rPr>
            </w:pPr>
            <w:r w:rsidRPr="008B6A75">
              <w:rPr>
                <w:sz w:val="20"/>
                <w:szCs w:val="20"/>
              </w:rPr>
              <w:t>0,00</w:t>
            </w:r>
          </w:p>
        </w:tc>
        <w:tc>
          <w:tcPr>
            <w:tcW w:w="222" w:type="dxa"/>
            <w:vAlign w:val="center"/>
            <w:hideMark/>
          </w:tcPr>
          <w:p w14:paraId="6097E084" w14:textId="77777777" w:rsidR="00387142" w:rsidRPr="008B6A75" w:rsidRDefault="00387142" w:rsidP="00387142">
            <w:pPr>
              <w:rPr>
                <w:sz w:val="20"/>
                <w:szCs w:val="20"/>
              </w:rPr>
            </w:pPr>
          </w:p>
        </w:tc>
      </w:tr>
      <w:tr w:rsidR="00387142" w:rsidRPr="008B6A75" w14:paraId="4512CD4A" w14:textId="77777777" w:rsidTr="00387142">
        <w:trPr>
          <w:trHeight w:val="300"/>
        </w:trPr>
        <w:tc>
          <w:tcPr>
            <w:tcW w:w="3021" w:type="dxa"/>
            <w:tcBorders>
              <w:top w:val="nil"/>
              <w:left w:val="single" w:sz="4" w:space="0" w:color="auto"/>
              <w:bottom w:val="nil"/>
              <w:right w:val="nil"/>
            </w:tcBorders>
            <w:shd w:val="clear" w:color="auto" w:fill="auto"/>
            <w:vAlign w:val="center"/>
            <w:hideMark/>
          </w:tcPr>
          <w:p w14:paraId="664851E1" w14:textId="77777777" w:rsidR="00387142" w:rsidRPr="008B6A75" w:rsidRDefault="00387142" w:rsidP="00387142">
            <w:pPr>
              <w:rPr>
                <w:sz w:val="20"/>
                <w:szCs w:val="20"/>
              </w:rPr>
            </w:pPr>
            <w:r w:rsidRPr="008B6A75">
              <w:rPr>
                <w:sz w:val="20"/>
                <w:szCs w:val="20"/>
              </w:rPr>
              <w:t>Иные бюджетные ассигнования</w:t>
            </w:r>
          </w:p>
        </w:tc>
        <w:tc>
          <w:tcPr>
            <w:tcW w:w="850" w:type="dxa"/>
            <w:tcBorders>
              <w:top w:val="nil"/>
              <w:left w:val="single" w:sz="4" w:space="0" w:color="auto"/>
              <w:bottom w:val="nil"/>
              <w:right w:val="nil"/>
            </w:tcBorders>
            <w:shd w:val="clear" w:color="auto" w:fill="auto"/>
            <w:noWrap/>
            <w:vAlign w:val="center"/>
            <w:hideMark/>
          </w:tcPr>
          <w:p w14:paraId="7F7A210A" w14:textId="77777777" w:rsidR="00387142" w:rsidRPr="008B6A75" w:rsidRDefault="00387142" w:rsidP="00387142">
            <w:pPr>
              <w:jc w:val="center"/>
              <w:rPr>
                <w:sz w:val="20"/>
                <w:szCs w:val="20"/>
              </w:rPr>
            </w:pPr>
            <w:r w:rsidRPr="008B6A75">
              <w:rPr>
                <w:sz w:val="20"/>
                <w:szCs w:val="20"/>
              </w:rPr>
              <w:t>444</w:t>
            </w:r>
          </w:p>
        </w:tc>
        <w:tc>
          <w:tcPr>
            <w:tcW w:w="709" w:type="dxa"/>
            <w:tcBorders>
              <w:top w:val="nil"/>
              <w:left w:val="single" w:sz="4" w:space="0" w:color="auto"/>
              <w:bottom w:val="nil"/>
              <w:right w:val="nil"/>
            </w:tcBorders>
            <w:shd w:val="clear" w:color="auto" w:fill="auto"/>
            <w:noWrap/>
            <w:vAlign w:val="center"/>
            <w:hideMark/>
          </w:tcPr>
          <w:p w14:paraId="0B5289F3" w14:textId="77777777" w:rsidR="00387142" w:rsidRPr="008B6A75" w:rsidRDefault="00387142" w:rsidP="00387142">
            <w:pPr>
              <w:jc w:val="center"/>
              <w:rPr>
                <w:sz w:val="20"/>
                <w:szCs w:val="20"/>
              </w:rPr>
            </w:pPr>
            <w:r w:rsidRPr="008B6A75">
              <w:rPr>
                <w:sz w:val="20"/>
                <w:szCs w:val="20"/>
              </w:rPr>
              <w:t>01</w:t>
            </w:r>
          </w:p>
        </w:tc>
        <w:tc>
          <w:tcPr>
            <w:tcW w:w="709" w:type="dxa"/>
            <w:tcBorders>
              <w:top w:val="nil"/>
              <w:left w:val="single" w:sz="4" w:space="0" w:color="auto"/>
              <w:bottom w:val="nil"/>
              <w:right w:val="single" w:sz="4" w:space="0" w:color="auto"/>
            </w:tcBorders>
            <w:shd w:val="clear" w:color="auto" w:fill="auto"/>
            <w:noWrap/>
            <w:vAlign w:val="center"/>
            <w:hideMark/>
          </w:tcPr>
          <w:p w14:paraId="7882F8EE" w14:textId="77777777" w:rsidR="00387142" w:rsidRPr="008B6A75" w:rsidRDefault="00387142" w:rsidP="00387142">
            <w:pPr>
              <w:jc w:val="center"/>
              <w:rPr>
                <w:sz w:val="20"/>
                <w:szCs w:val="20"/>
              </w:rPr>
            </w:pPr>
            <w:r w:rsidRPr="008B6A75">
              <w:rPr>
                <w:sz w:val="20"/>
                <w:szCs w:val="20"/>
              </w:rPr>
              <w:t>13</w:t>
            </w:r>
          </w:p>
        </w:tc>
        <w:tc>
          <w:tcPr>
            <w:tcW w:w="1411" w:type="dxa"/>
            <w:tcBorders>
              <w:top w:val="nil"/>
              <w:left w:val="single" w:sz="4" w:space="0" w:color="auto"/>
              <w:bottom w:val="nil"/>
              <w:right w:val="nil"/>
            </w:tcBorders>
            <w:shd w:val="clear" w:color="auto" w:fill="auto"/>
            <w:noWrap/>
            <w:vAlign w:val="center"/>
            <w:hideMark/>
          </w:tcPr>
          <w:p w14:paraId="5394B181" w14:textId="77777777" w:rsidR="00387142" w:rsidRPr="008B6A75" w:rsidRDefault="00387142" w:rsidP="00387142">
            <w:pPr>
              <w:jc w:val="center"/>
              <w:rPr>
                <w:sz w:val="20"/>
                <w:szCs w:val="20"/>
              </w:rPr>
            </w:pPr>
            <w:r w:rsidRPr="008B6A75">
              <w:rPr>
                <w:sz w:val="20"/>
                <w:szCs w:val="20"/>
              </w:rPr>
              <w:t>99.0.00.01620</w:t>
            </w:r>
          </w:p>
        </w:tc>
        <w:tc>
          <w:tcPr>
            <w:tcW w:w="955" w:type="dxa"/>
            <w:tcBorders>
              <w:top w:val="nil"/>
              <w:left w:val="single" w:sz="4" w:space="0" w:color="auto"/>
              <w:bottom w:val="nil"/>
              <w:right w:val="single" w:sz="4" w:space="0" w:color="auto"/>
            </w:tcBorders>
            <w:shd w:val="clear" w:color="auto" w:fill="auto"/>
            <w:noWrap/>
            <w:vAlign w:val="center"/>
            <w:hideMark/>
          </w:tcPr>
          <w:p w14:paraId="0A6A8333" w14:textId="77777777" w:rsidR="00387142" w:rsidRPr="008B6A75" w:rsidRDefault="00387142" w:rsidP="00387142">
            <w:pPr>
              <w:jc w:val="center"/>
              <w:rPr>
                <w:sz w:val="20"/>
                <w:szCs w:val="20"/>
              </w:rPr>
            </w:pPr>
            <w:r w:rsidRPr="008B6A75">
              <w:rPr>
                <w:sz w:val="20"/>
                <w:szCs w:val="20"/>
              </w:rPr>
              <w:t>800</w:t>
            </w:r>
          </w:p>
        </w:tc>
        <w:tc>
          <w:tcPr>
            <w:tcW w:w="992" w:type="dxa"/>
            <w:tcBorders>
              <w:top w:val="nil"/>
              <w:left w:val="single" w:sz="4" w:space="0" w:color="auto"/>
              <w:bottom w:val="nil"/>
              <w:right w:val="single" w:sz="4" w:space="0" w:color="auto"/>
            </w:tcBorders>
            <w:shd w:val="clear" w:color="auto" w:fill="auto"/>
            <w:noWrap/>
            <w:vAlign w:val="center"/>
            <w:hideMark/>
          </w:tcPr>
          <w:p w14:paraId="3337ED22" w14:textId="77777777" w:rsidR="00387142" w:rsidRPr="008B6A75" w:rsidRDefault="00387142" w:rsidP="00387142">
            <w:pPr>
              <w:jc w:val="right"/>
              <w:rPr>
                <w:sz w:val="20"/>
                <w:szCs w:val="20"/>
              </w:rPr>
            </w:pPr>
            <w:r w:rsidRPr="008B6A75">
              <w:rPr>
                <w:sz w:val="20"/>
                <w:szCs w:val="20"/>
              </w:rPr>
              <w:t>56 100,00</w:t>
            </w:r>
          </w:p>
        </w:tc>
        <w:tc>
          <w:tcPr>
            <w:tcW w:w="992" w:type="dxa"/>
            <w:gridSpan w:val="2"/>
            <w:tcBorders>
              <w:top w:val="nil"/>
              <w:left w:val="single" w:sz="4" w:space="0" w:color="auto"/>
              <w:bottom w:val="nil"/>
              <w:right w:val="nil"/>
            </w:tcBorders>
            <w:shd w:val="clear" w:color="auto" w:fill="auto"/>
            <w:noWrap/>
            <w:vAlign w:val="center"/>
            <w:hideMark/>
          </w:tcPr>
          <w:p w14:paraId="0390EE46" w14:textId="77777777" w:rsidR="00387142" w:rsidRPr="008B6A75" w:rsidRDefault="00387142" w:rsidP="00387142">
            <w:pPr>
              <w:jc w:val="right"/>
              <w:rPr>
                <w:sz w:val="20"/>
                <w:szCs w:val="20"/>
              </w:rPr>
            </w:pPr>
            <w:r w:rsidRPr="008B6A75">
              <w:rPr>
                <w:sz w:val="20"/>
                <w:szCs w:val="20"/>
              </w:rPr>
              <w:t>0,00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6A119A64" w14:textId="77777777" w:rsidR="00387142" w:rsidRPr="008B6A75" w:rsidRDefault="00387142" w:rsidP="00387142">
            <w:pPr>
              <w:jc w:val="right"/>
              <w:rPr>
                <w:sz w:val="20"/>
                <w:szCs w:val="20"/>
              </w:rPr>
            </w:pPr>
            <w:r w:rsidRPr="008B6A75">
              <w:rPr>
                <w:sz w:val="20"/>
                <w:szCs w:val="20"/>
              </w:rPr>
              <w:t>0,00</w:t>
            </w:r>
          </w:p>
        </w:tc>
        <w:tc>
          <w:tcPr>
            <w:tcW w:w="222" w:type="dxa"/>
            <w:vAlign w:val="center"/>
            <w:hideMark/>
          </w:tcPr>
          <w:p w14:paraId="405CD98D" w14:textId="77777777" w:rsidR="00387142" w:rsidRPr="008B6A75" w:rsidRDefault="00387142" w:rsidP="00387142">
            <w:pPr>
              <w:rPr>
                <w:sz w:val="20"/>
                <w:szCs w:val="20"/>
              </w:rPr>
            </w:pPr>
          </w:p>
        </w:tc>
      </w:tr>
      <w:tr w:rsidR="00387142" w:rsidRPr="008B6A75" w14:paraId="52BFF4DE" w14:textId="77777777" w:rsidTr="00387142">
        <w:trPr>
          <w:trHeight w:val="300"/>
        </w:trPr>
        <w:tc>
          <w:tcPr>
            <w:tcW w:w="3021" w:type="dxa"/>
            <w:tcBorders>
              <w:top w:val="single" w:sz="4" w:space="0" w:color="auto"/>
              <w:left w:val="single" w:sz="4" w:space="0" w:color="auto"/>
              <w:bottom w:val="nil"/>
              <w:right w:val="nil"/>
            </w:tcBorders>
            <w:shd w:val="clear" w:color="auto" w:fill="auto"/>
            <w:vAlign w:val="center"/>
            <w:hideMark/>
          </w:tcPr>
          <w:p w14:paraId="7D5A6C44" w14:textId="77777777" w:rsidR="00387142" w:rsidRPr="008B6A75" w:rsidRDefault="00387142" w:rsidP="00387142">
            <w:pPr>
              <w:rPr>
                <w:sz w:val="20"/>
                <w:szCs w:val="20"/>
              </w:rPr>
            </w:pPr>
            <w:r w:rsidRPr="008B6A75">
              <w:rPr>
                <w:sz w:val="20"/>
                <w:szCs w:val="20"/>
              </w:rPr>
              <w:t>Исполнение судебных актов</w:t>
            </w:r>
          </w:p>
        </w:tc>
        <w:tc>
          <w:tcPr>
            <w:tcW w:w="850" w:type="dxa"/>
            <w:tcBorders>
              <w:top w:val="single" w:sz="4" w:space="0" w:color="auto"/>
              <w:left w:val="single" w:sz="4" w:space="0" w:color="auto"/>
              <w:bottom w:val="nil"/>
              <w:right w:val="nil"/>
            </w:tcBorders>
            <w:shd w:val="clear" w:color="auto" w:fill="auto"/>
            <w:noWrap/>
            <w:vAlign w:val="center"/>
            <w:hideMark/>
          </w:tcPr>
          <w:p w14:paraId="10F86B7C" w14:textId="77777777" w:rsidR="00387142" w:rsidRPr="008B6A75" w:rsidRDefault="00387142" w:rsidP="00387142">
            <w:pPr>
              <w:jc w:val="center"/>
              <w:rPr>
                <w:sz w:val="20"/>
                <w:szCs w:val="20"/>
              </w:rPr>
            </w:pPr>
            <w:r w:rsidRPr="008B6A75">
              <w:rPr>
                <w:sz w:val="20"/>
                <w:szCs w:val="20"/>
              </w:rPr>
              <w:t>444</w:t>
            </w:r>
          </w:p>
        </w:tc>
        <w:tc>
          <w:tcPr>
            <w:tcW w:w="709" w:type="dxa"/>
            <w:tcBorders>
              <w:top w:val="single" w:sz="4" w:space="0" w:color="auto"/>
              <w:left w:val="single" w:sz="4" w:space="0" w:color="auto"/>
              <w:bottom w:val="nil"/>
              <w:right w:val="nil"/>
            </w:tcBorders>
            <w:shd w:val="clear" w:color="auto" w:fill="auto"/>
            <w:noWrap/>
            <w:vAlign w:val="center"/>
            <w:hideMark/>
          </w:tcPr>
          <w:p w14:paraId="2540346A" w14:textId="77777777" w:rsidR="00387142" w:rsidRPr="008B6A75" w:rsidRDefault="00387142" w:rsidP="00387142">
            <w:pPr>
              <w:jc w:val="center"/>
              <w:rPr>
                <w:sz w:val="20"/>
                <w:szCs w:val="20"/>
              </w:rPr>
            </w:pPr>
            <w:r w:rsidRPr="008B6A75">
              <w:rPr>
                <w:sz w:val="20"/>
                <w:szCs w:val="20"/>
              </w:rPr>
              <w:t>01</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2B277B1C" w14:textId="77777777" w:rsidR="00387142" w:rsidRPr="008B6A75" w:rsidRDefault="00387142" w:rsidP="00387142">
            <w:pPr>
              <w:jc w:val="center"/>
              <w:rPr>
                <w:sz w:val="20"/>
                <w:szCs w:val="20"/>
              </w:rPr>
            </w:pPr>
            <w:r w:rsidRPr="008B6A75">
              <w:rPr>
                <w:sz w:val="20"/>
                <w:szCs w:val="20"/>
              </w:rPr>
              <w:t>13</w:t>
            </w:r>
          </w:p>
        </w:tc>
        <w:tc>
          <w:tcPr>
            <w:tcW w:w="1411" w:type="dxa"/>
            <w:tcBorders>
              <w:top w:val="single" w:sz="4" w:space="0" w:color="auto"/>
              <w:left w:val="single" w:sz="4" w:space="0" w:color="auto"/>
              <w:bottom w:val="nil"/>
              <w:right w:val="nil"/>
            </w:tcBorders>
            <w:shd w:val="clear" w:color="auto" w:fill="auto"/>
            <w:noWrap/>
            <w:vAlign w:val="center"/>
            <w:hideMark/>
          </w:tcPr>
          <w:p w14:paraId="24AAA848" w14:textId="77777777" w:rsidR="00387142" w:rsidRPr="008B6A75" w:rsidRDefault="00387142" w:rsidP="00387142">
            <w:pPr>
              <w:jc w:val="center"/>
              <w:rPr>
                <w:sz w:val="20"/>
                <w:szCs w:val="20"/>
              </w:rPr>
            </w:pPr>
            <w:r w:rsidRPr="008B6A75">
              <w:rPr>
                <w:sz w:val="20"/>
                <w:szCs w:val="20"/>
              </w:rPr>
              <w:t>99.0.00.01620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42069418" w14:textId="77777777" w:rsidR="00387142" w:rsidRPr="008B6A75" w:rsidRDefault="00387142" w:rsidP="00387142">
            <w:pPr>
              <w:jc w:val="center"/>
              <w:rPr>
                <w:sz w:val="20"/>
                <w:szCs w:val="20"/>
              </w:rPr>
            </w:pPr>
            <w:r w:rsidRPr="008B6A75">
              <w:rPr>
                <w:sz w:val="20"/>
                <w:szCs w:val="20"/>
              </w:rPr>
              <w:t>830</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116C3091" w14:textId="77777777" w:rsidR="00387142" w:rsidRPr="008B6A75" w:rsidRDefault="00387142" w:rsidP="00387142">
            <w:pPr>
              <w:jc w:val="right"/>
              <w:rPr>
                <w:sz w:val="20"/>
                <w:szCs w:val="20"/>
              </w:rPr>
            </w:pPr>
            <w:r w:rsidRPr="008B6A75">
              <w:rPr>
                <w:sz w:val="20"/>
                <w:szCs w:val="20"/>
              </w:rPr>
              <w:t xml:space="preserve">16 </w:t>
            </w:r>
            <w:r w:rsidRPr="008B6A75">
              <w:rPr>
                <w:sz w:val="20"/>
                <w:szCs w:val="20"/>
              </w:rPr>
              <w:lastRenderedPageBreak/>
              <w:t>100,00</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7E8FE7F7" w14:textId="77777777" w:rsidR="00387142" w:rsidRPr="008B6A75" w:rsidRDefault="00387142" w:rsidP="00387142">
            <w:pPr>
              <w:jc w:val="right"/>
              <w:rPr>
                <w:sz w:val="20"/>
                <w:szCs w:val="20"/>
              </w:rPr>
            </w:pPr>
            <w:r w:rsidRPr="008B6A75">
              <w:rPr>
                <w:sz w:val="20"/>
                <w:szCs w:val="20"/>
              </w:rPr>
              <w:lastRenderedPageBreak/>
              <w:t>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71C2DEE5" w14:textId="77777777" w:rsidR="00387142" w:rsidRPr="008B6A75" w:rsidRDefault="00387142" w:rsidP="00387142">
            <w:pPr>
              <w:jc w:val="right"/>
              <w:rPr>
                <w:sz w:val="20"/>
                <w:szCs w:val="20"/>
              </w:rPr>
            </w:pPr>
            <w:r w:rsidRPr="008B6A75">
              <w:rPr>
                <w:sz w:val="20"/>
                <w:szCs w:val="20"/>
              </w:rPr>
              <w:t>0,00</w:t>
            </w:r>
          </w:p>
        </w:tc>
        <w:tc>
          <w:tcPr>
            <w:tcW w:w="222" w:type="dxa"/>
            <w:vAlign w:val="center"/>
            <w:hideMark/>
          </w:tcPr>
          <w:p w14:paraId="5BEDF43F" w14:textId="77777777" w:rsidR="00387142" w:rsidRPr="008B6A75" w:rsidRDefault="00387142" w:rsidP="00387142">
            <w:pPr>
              <w:rPr>
                <w:sz w:val="20"/>
                <w:szCs w:val="20"/>
              </w:rPr>
            </w:pPr>
          </w:p>
        </w:tc>
      </w:tr>
      <w:tr w:rsidR="00387142" w:rsidRPr="008B6A75" w14:paraId="64F2A22F" w14:textId="77777777" w:rsidTr="00387142">
        <w:trPr>
          <w:trHeight w:val="300"/>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2921DCA4" w14:textId="77777777" w:rsidR="00387142" w:rsidRPr="008B6A75" w:rsidRDefault="00387142" w:rsidP="00387142">
            <w:pPr>
              <w:rPr>
                <w:sz w:val="20"/>
                <w:szCs w:val="20"/>
              </w:rPr>
            </w:pPr>
            <w:r w:rsidRPr="008B6A75">
              <w:rPr>
                <w:sz w:val="20"/>
                <w:szCs w:val="20"/>
              </w:rPr>
              <w:t>Уплата налогов, сборов и иных платежей</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131A39F3" w14:textId="77777777" w:rsidR="00387142" w:rsidRPr="008B6A75" w:rsidRDefault="00387142" w:rsidP="00387142">
            <w:pPr>
              <w:jc w:val="center"/>
              <w:rPr>
                <w:sz w:val="20"/>
                <w:szCs w:val="20"/>
              </w:rPr>
            </w:pPr>
            <w:r w:rsidRPr="008B6A75">
              <w:rPr>
                <w:sz w:val="20"/>
                <w:szCs w:val="20"/>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702DE5DB" w14:textId="77777777" w:rsidR="00387142" w:rsidRPr="008B6A75" w:rsidRDefault="00387142" w:rsidP="00387142">
            <w:pPr>
              <w:jc w:val="center"/>
              <w:rPr>
                <w:sz w:val="20"/>
                <w:szCs w:val="20"/>
              </w:rPr>
            </w:pPr>
            <w:r w:rsidRPr="008B6A75">
              <w:rPr>
                <w:sz w:val="20"/>
                <w:szCs w:val="20"/>
              </w:rPr>
              <w:t>01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D806CF" w14:textId="77777777" w:rsidR="00387142" w:rsidRPr="008B6A75" w:rsidRDefault="00387142" w:rsidP="00387142">
            <w:pPr>
              <w:jc w:val="center"/>
              <w:rPr>
                <w:sz w:val="20"/>
                <w:szCs w:val="20"/>
              </w:rPr>
            </w:pPr>
            <w:r w:rsidRPr="008B6A75">
              <w:rPr>
                <w:sz w:val="20"/>
                <w:szCs w:val="20"/>
              </w:rPr>
              <w:t>13</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1989FD9B" w14:textId="77777777" w:rsidR="00387142" w:rsidRPr="008B6A75" w:rsidRDefault="00387142" w:rsidP="00387142">
            <w:pPr>
              <w:jc w:val="center"/>
              <w:rPr>
                <w:sz w:val="20"/>
                <w:szCs w:val="20"/>
              </w:rPr>
            </w:pPr>
            <w:r w:rsidRPr="008B6A75">
              <w:rPr>
                <w:sz w:val="20"/>
                <w:szCs w:val="20"/>
              </w:rPr>
              <w:t>99.0.00.01620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D2E4F2" w14:textId="77777777" w:rsidR="00387142" w:rsidRPr="008B6A75" w:rsidRDefault="00387142" w:rsidP="00387142">
            <w:pPr>
              <w:jc w:val="center"/>
              <w:rPr>
                <w:sz w:val="20"/>
                <w:szCs w:val="20"/>
              </w:rPr>
            </w:pPr>
            <w:r w:rsidRPr="008B6A75">
              <w:rPr>
                <w:sz w:val="20"/>
                <w:szCs w:val="20"/>
              </w:rPr>
              <w:t>850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A5F63F" w14:textId="77777777" w:rsidR="00387142" w:rsidRPr="008B6A75" w:rsidRDefault="00387142" w:rsidP="00387142">
            <w:pPr>
              <w:jc w:val="right"/>
              <w:rPr>
                <w:sz w:val="20"/>
                <w:szCs w:val="20"/>
              </w:rPr>
            </w:pPr>
            <w:r w:rsidRPr="008B6A75">
              <w:rPr>
                <w:sz w:val="20"/>
                <w:szCs w:val="20"/>
              </w:rPr>
              <w:t>40 000,00</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3FE4C307" w14:textId="77777777" w:rsidR="00387142" w:rsidRPr="008B6A75" w:rsidRDefault="00387142" w:rsidP="00387142">
            <w:pPr>
              <w:jc w:val="right"/>
              <w:rPr>
                <w:sz w:val="20"/>
                <w:szCs w:val="20"/>
              </w:rPr>
            </w:pPr>
            <w:r w:rsidRPr="008B6A75">
              <w:rPr>
                <w:sz w:val="20"/>
                <w:szCs w:val="20"/>
              </w:rPr>
              <w:t>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1AAC00" w14:textId="77777777" w:rsidR="00387142" w:rsidRPr="008B6A75" w:rsidRDefault="00387142" w:rsidP="00387142">
            <w:pPr>
              <w:jc w:val="right"/>
              <w:rPr>
                <w:sz w:val="20"/>
                <w:szCs w:val="20"/>
              </w:rPr>
            </w:pPr>
            <w:r w:rsidRPr="008B6A75">
              <w:rPr>
                <w:sz w:val="20"/>
                <w:szCs w:val="20"/>
              </w:rPr>
              <w:t>0,00</w:t>
            </w:r>
          </w:p>
        </w:tc>
        <w:tc>
          <w:tcPr>
            <w:tcW w:w="222" w:type="dxa"/>
            <w:vAlign w:val="center"/>
            <w:hideMark/>
          </w:tcPr>
          <w:p w14:paraId="08454848" w14:textId="77777777" w:rsidR="00387142" w:rsidRPr="008B6A75" w:rsidRDefault="00387142" w:rsidP="00387142">
            <w:pPr>
              <w:rPr>
                <w:sz w:val="20"/>
                <w:szCs w:val="20"/>
              </w:rPr>
            </w:pPr>
          </w:p>
        </w:tc>
      </w:tr>
      <w:tr w:rsidR="00387142" w:rsidRPr="008B6A75" w14:paraId="75518D2B" w14:textId="77777777" w:rsidTr="00387142">
        <w:trPr>
          <w:trHeight w:val="1440"/>
        </w:trPr>
        <w:tc>
          <w:tcPr>
            <w:tcW w:w="3021" w:type="dxa"/>
            <w:tcBorders>
              <w:top w:val="nil"/>
              <w:left w:val="single" w:sz="4" w:space="0" w:color="auto"/>
              <w:bottom w:val="nil"/>
              <w:right w:val="nil"/>
            </w:tcBorders>
            <w:shd w:val="clear" w:color="auto" w:fill="auto"/>
            <w:vAlign w:val="center"/>
            <w:hideMark/>
          </w:tcPr>
          <w:p w14:paraId="4B44CF79" w14:textId="77777777" w:rsidR="00387142" w:rsidRPr="008B6A75" w:rsidRDefault="00387142" w:rsidP="00387142">
            <w:pPr>
              <w:rPr>
                <w:bCs/>
                <w:sz w:val="20"/>
                <w:szCs w:val="20"/>
              </w:rPr>
            </w:pPr>
            <w:r w:rsidRPr="008B6A75">
              <w:rPr>
                <w:bCs/>
                <w:sz w:val="20"/>
                <w:szCs w:val="20"/>
              </w:rPr>
              <w:t xml:space="preserve">Реализация мероприятий по обеспечению сбалансированности местных </w:t>
            </w:r>
            <w:proofErr w:type="gramStart"/>
            <w:r w:rsidRPr="008B6A75">
              <w:rPr>
                <w:bCs/>
                <w:sz w:val="20"/>
                <w:szCs w:val="20"/>
              </w:rPr>
              <w:t>бюджетов  государственной</w:t>
            </w:r>
            <w:proofErr w:type="gramEnd"/>
            <w:r w:rsidRPr="008B6A75">
              <w:rPr>
                <w:bCs/>
                <w:sz w:val="20"/>
                <w:szCs w:val="20"/>
              </w:rPr>
              <w:t xml:space="preserve"> программы Новосибирской области "Управление  финансами в Новосибирской области"</w:t>
            </w:r>
          </w:p>
        </w:tc>
        <w:tc>
          <w:tcPr>
            <w:tcW w:w="850" w:type="dxa"/>
            <w:tcBorders>
              <w:top w:val="nil"/>
              <w:left w:val="single" w:sz="4" w:space="0" w:color="auto"/>
              <w:bottom w:val="nil"/>
              <w:right w:val="nil"/>
            </w:tcBorders>
            <w:shd w:val="clear" w:color="auto" w:fill="auto"/>
            <w:noWrap/>
            <w:vAlign w:val="center"/>
            <w:hideMark/>
          </w:tcPr>
          <w:p w14:paraId="29D82C1A" w14:textId="77777777" w:rsidR="00387142" w:rsidRPr="008B6A75" w:rsidRDefault="00387142" w:rsidP="00387142">
            <w:pPr>
              <w:jc w:val="center"/>
              <w:rPr>
                <w:bCs/>
                <w:sz w:val="20"/>
                <w:szCs w:val="20"/>
              </w:rPr>
            </w:pPr>
            <w:r w:rsidRPr="008B6A75">
              <w:rPr>
                <w:bCs/>
                <w:sz w:val="20"/>
                <w:szCs w:val="20"/>
              </w:rPr>
              <w:t>444</w:t>
            </w:r>
          </w:p>
        </w:tc>
        <w:tc>
          <w:tcPr>
            <w:tcW w:w="709" w:type="dxa"/>
            <w:tcBorders>
              <w:top w:val="nil"/>
              <w:left w:val="single" w:sz="4" w:space="0" w:color="auto"/>
              <w:bottom w:val="nil"/>
              <w:right w:val="nil"/>
            </w:tcBorders>
            <w:shd w:val="clear" w:color="auto" w:fill="auto"/>
            <w:noWrap/>
            <w:vAlign w:val="center"/>
            <w:hideMark/>
          </w:tcPr>
          <w:p w14:paraId="65209E6F" w14:textId="77777777" w:rsidR="00387142" w:rsidRPr="008B6A75" w:rsidRDefault="00387142" w:rsidP="00387142">
            <w:pPr>
              <w:jc w:val="center"/>
              <w:rPr>
                <w:bCs/>
                <w:sz w:val="20"/>
                <w:szCs w:val="20"/>
              </w:rPr>
            </w:pPr>
            <w:r w:rsidRPr="008B6A75">
              <w:rPr>
                <w:bCs/>
                <w:sz w:val="20"/>
                <w:szCs w:val="20"/>
              </w:rPr>
              <w:t>01</w:t>
            </w:r>
          </w:p>
        </w:tc>
        <w:tc>
          <w:tcPr>
            <w:tcW w:w="709" w:type="dxa"/>
            <w:tcBorders>
              <w:top w:val="nil"/>
              <w:left w:val="single" w:sz="4" w:space="0" w:color="auto"/>
              <w:bottom w:val="nil"/>
              <w:right w:val="single" w:sz="4" w:space="0" w:color="auto"/>
            </w:tcBorders>
            <w:shd w:val="clear" w:color="auto" w:fill="auto"/>
            <w:noWrap/>
            <w:vAlign w:val="center"/>
            <w:hideMark/>
          </w:tcPr>
          <w:p w14:paraId="2F6B02FC" w14:textId="77777777" w:rsidR="00387142" w:rsidRPr="008B6A75" w:rsidRDefault="00387142" w:rsidP="00387142">
            <w:pPr>
              <w:jc w:val="center"/>
              <w:rPr>
                <w:bCs/>
                <w:sz w:val="20"/>
                <w:szCs w:val="20"/>
              </w:rPr>
            </w:pPr>
            <w:r w:rsidRPr="008B6A75">
              <w:rPr>
                <w:bCs/>
                <w:sz w:val="20"/>
                <w:szCs w:val="20"/>
              </w:rPr>
              <w:t>13</w:t>
            </w:r>
          </w:p>
        </w:tc>
        <w:tc>
          <w:tcPr>
            <w:tcW w:w="1411" w:type="dxa"/>
            <w:tcBorders>
              <w:top w:val="nil"/>
              <w:left w:val="single" w:sz="4" w:space="0" w:color="auto"/>
              <w:bottom w:val="nil"/>
              <w:right w:val="nil"/>
            </w:tcBorders>
            <w:shd w:val="clear" w:color="auto" w:fill="auto"/>
            <w:noWrap/>
            <w:vAlign w:val="center"/>
            <w:hideMark/>
          </w:tcPr>
          <w:p w14:paraId="375E3E49" w14:textId="77777777" w:rsidR="00387142" w:rsidRPr="008B6A75" w:rsidRDefault="00387142" w:rsidP="00387142">
            <w:pPr>
              <w:jc w:val="center"/>
              <w:rPr>
                <w:bCs/>
                <w:sz w:val="20"/>
                <w:szCs w:val="20"/>
              </w:rPr>
            </w:pPr>
            <w:r w:rsidRPr="008B6A75">
              <w:rPr>
                <w:bCs/>
                <w:sz w:val="20"/>
                <w:szCs w:val="20"/>
              </w:rPr>
              <w:t>99.0.00.70510</w:t>
            </w:r>
          </w:p>
        </w:tc>
        <w:tc>
          <w:tcPr>
            <w:tcW w:w="955" w:type="dxa"/>
            <w:tcBorders>
              <w:top w:val="nil"/>
              <w:left w:val="single" w:sz="4" w:space="0" w:color="auto"/>
              <w:bottom w:val="nil"/>
              <w:right w:val="single" w:sz="4" w:space="0" w:color="auto"/>
            </w:tcBorders>
            <w:shd w:val="clear" w:color="auto" w:fill="auto"/>
            <w:noWrap/>
            <w:vAlign w:val="center"/>
            <w:hideMark/>
          </w:tcPr>
          <w:p w14:paraId="35884DF6"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nil"/>
              <w:right w:val="single" w:sz="4" w:space="0" w:color="auto"/>
            </w:tcBorders>
            <w:shd w:val="clear" w:color="auto" w:fill="auto"/>
            <w:noWrap/>
            <w:vAlign w:val="center"/>
            <w:hideMark/>
          </w:tcPr>
          <w:p w14:paraId="4923AF3B" w14:textId="77777777" w:rsidR="00387142" w:rsidRPr="008B6A75" w:rsidRDefault="00387142" w:rsidP="00387142">
            <w:pPr>
              <w:jc w:val="right"/>
              <w:rPr>
                <w:bCs/>
                <w:sz w:val="20"/>
                <w:szCs w:val="20"/>
              </w:rPr>
            </w:pPr>
            <w:r w:rsidRPr="008B6A75">
              <w:rPr>
                <w:bCs/>
                <w:sz w:val="20"/>
                <w:szCs w:val="20"/>
              </w:rPr>
              <w:t>1 864 200,00</w:t>
            </w:r>
          </w:p>
        </w:tc>
        <w:tc>
          <w:tcPr>
            <w:tcW w:w="992" w:type="dxa"/>
            <w:gridSpan w:val="2"/>
            <w:tcBorders>
              <w:top w:val="nil"/>
              <w:left w:val="single" w:sz="4" w:space="0" w:color="auto"/>
              <w:bottom w:val="nil"/>
              <w:right w:val="nil"/>
            </w:tcBorders>
            <w:shd w:val="clear" w:color="auto" w:fill="auto"/>
            <w:noWrap/>
            <w:vAlign w:val="center"/>
            <w:hideMark/>
          </w:tcPr>
          <w:p w14:paraId="7906549B" w14:textId="77777777" w:rsidR="00387142" w:rsidRPr="008B6A75" w:rsidRDefault="00387142" w:rsidP="00387142">
            <w:pPr>
              <w:jc w:val="right"/>
              <w:rPr>
                <w:bCs/>
                <w:sz w:val="20"/>
                <w:szCs w:val="20"/>
              </w:rPr>
            </w:pPr>
            <w:r w:rsidRPr="008B6A75">
              <w:rPr>
                <w:bCs/>
                <w:sz w:val="20"/>
                <w:szCs w:val="20"/>
              </w:rPr>
              <w:t>0,00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02E8A6EA" w14:textId="77777777" w:rsidR="00387142" w:rsidRPr="008B6A75" w:rsidRDefault="00387142" w:rsidP="00387142">
            <w:pPr>
              <w:jc w:val="right"/>
              <w:rPr>
                <w:bCs/>
                <w:sz w:val="20"/>
                <w:szCs w:val="20"/>
              </w:rPr>
            </w:pPr>
            <w:r w:rsidRPr="008B6A75">
              <w:rPr>
                <w:bCs/>
                <w:sz w:val="20"/>
                <w:szCs w:val="20"/>
              </w:rPr>
              <w:t>0,00</w:t>
            </w:r>
          </w:p>
        </w:tc>
        <w:tc>
          <w:tcPr>
            <w:tcW w:w="222" w:type="dxa"/>
            <w:vAlign w:val="center"/>
            <w:hideMark/>
          </w:tcPr>
          <w:p w14:paraId="32580200" w14:textId="77777777" w:rsidR="00387142" w:rsidRPr="008B6A75" w:rsidRDefault="00387142" w:rsidP="00387142">
            <w:pPr>
              <w:rPr>
                <w:sz w:val="20"/>
                <w:szCs w:val="20"/>
              </w:rPr>
            </w:pPr>
          </w:p>
        </w:tc>
      </w:tr>
      <w:tr w:rsidR="00387142" w:rsidRPr="008B6A75" w14:paraId="1B7D0A5C" w14:textId="77777777" w:rsidTr="00387142">
        <w:trPr>
          <w:trHeight w:val="585"/>
        </w:trPr>
        <w:tc>
          <w:tcPr>
            <w:tcW w:w="3021" w:type="dxa"/>
            <w:tcBorders>
              <w:top w:val="single" w:sz="4" w:space="0" w:color="auto"/>
              <w:left w:val="single" w:sz="4" w:space="0" w:color="auto"/>
              <w:bottom w:val="nil"/>
              <w:right w:val="nil"/>
            </w:tcBorders>
            <w:shd w:val="clear" w:color="auto" w:fill="auto"/>
            <w:vAlign w:val="center"/>
            <w:hideMark/>
          </w:tcPr>
          <w:p w14:paraId="54A1B34A" w14:textId="77777777" w:rsidR="00387142" w:rsidRPr="008B6A75" w:rsidRDefault="00387142" w:rsidP="00387142">
            <w:pPr>
              <w:rPr>
                <w:sz w:val="20"/>
                <w:szCs w:val="20"/>
              </w:rPr>
            </w:pPr>
            <w:r w:rsidRPr="008B6A75">
              <w:rPr>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nil"/>
              <w:right w:val="nil"/>
            </w:tcBorders>
            <w:shd w:val="clear" w:color="auto" w:fill="auto"/>
            <w:noWrap/>
            <w:vAlign w:val="center"/>
            <w:hideMark/>
          </w:tcPr>
          <w:p w14:paraId="5A6803B6" w14:textId="77777777" w:rsidR="00387142" w:rsidRPr="008B6A75" w:rsidRDefault="00387142" w:rsidP="00387142">
            <w:pPr>
              <w:jc w:val="center"/>
              <w:rPr>
                <w:sz w:val="20"/>
                <w:szCs w:val="20"/>
              </w:rPr>
            </w:pPr>
            <w:r w:rsidRPr="008B6A75">
              <w:rPr>
                <w:sz w:val="20"/>
                <w:szCs w:val="20"/>
              </w:rPr>
              <w:t>444</w:t>
            </w:r>
          </w:p>
        </w:tc>
        <w:tc>
          <w:tcPr>
            <w:tcW w:w="709" w:type="dxa"/>
            <w:tcBorders>
              <w:top w:val="single" w:sz="4" w:space="0" w:color="auto"/>
              <w:left w:val="single" w:sz="4" w:space="0" w:color="auto"/>
              <w:bottom w:val="nil"/>
              <w:right w:val="nil"/>
            </w:tcBorders>
            <w:shd w:val="clear" w:color="auto" w:fill="auto"/>
            <w:noWrap/>
            <w:vAlign w:val="center"/>
            <w:hideMark/>
          </w:tcPr>
          <w:p w14:paraId="6363312F" w14:textId="77777777" w:rsidR="00387142" w:rsidRPr="008B6A75" w:rsidRDefault="00387142" w:rsidP="00387142">
            <w:pPr>
              <w:jc w:val="center"/>
              <w:rPr>
                <w:sz w:val="20"/>
                <w:szCs w:val="20"/>
              </w:rPr>
            </w:pPr>
            <w:r w:rsidRPr="008B6A75">
              <w:rPr>
                <w:sz w:val="20"/>
                <w:szCs w:val="20"/>
              </w:rPr>
              <w:t>01</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6F62D0A2" w14:textId="77777777" w:rsidR="00387142" w:rsidRPr="008B6A75" w:rsidRDefault="00387142" w:rsidP="00387142">
            <w:pPr>
              <w:jc w:val="center"/>
              <w:rPr>
                <w:sz w:val="20"/>
                <w:szCs w:val="20"/>
              </w:rPr>
            </w:pPr>
            <w:r w:rsidRPr="008B6A75">
              <w:rPr>
                <w:sz w:val="20"/>
                <w:szCs w:val="20"/>
              </w:rPr>
              <w:t>13</w:t>
            </w:r>
          </w:p>
        </w:tc>
        <w:tc>
          <w:tcPr>
            <w:tcW w:w="1411" w:type="dxa"/>
            <w:tcBorders>
              <w:top w:val="single" w:sz="4" w:space="0" w:color="auto"/>
              <w:left w:val="single" w:sz="4" w:space="0" w:color="auto"/>
              <w:bottom w:val="nil"/>
              <w:right w:val="nil"/>
            </w:tcBorders>
            <w:shd w:val="clear" w:color="auto" w:fill="auto"/>
            <w:noWrap/>
            <w:vAlign w:val="center"/>
            <w:hideMark/>
          </w:tcPr>
          <w:p w14:paraId="3CEABAA8" w14:textId="77777777" w:rsidR="00387142" w:rsidRPr="008B6A75" w:rsidRDefault="00387142" w:rsidP="00387142">
            <w:pPr>
              <w:jc w:val="center"/>
              <w:rPr>
                <w:sz w:val="20"/>
                <w:szCs w:val="20"/>
              </w:rPr>
            </w:pPr>
            <w:r w:rsidRPr="008B6A75">
              <w:rPr>
                <w:sz w:val="20"/>
                <w:szCs w:val="20"/>
              </w:rPr>
              <w:t>99.0.00.70510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140796C6" w14:textId="77777777" w:rsidR="00387142" w:rsidRPr="008B6A75" w:rsidRDefault="00387142" w:rsidP="00387142">
            <w:pPr>
              <w:jc w:val="center"/>
              <w:rPr>
                <w:sz w:val="20"/>
                <w:szCs w:val="20"/>
              </w:rPr>
            </w:pPr>
            <w:r w:rsidRPr="008B6A75">
              <w:rPr>
                <w:sz w:val="20"/>
                <w:szCs w:val="20"/>
              </w:rPr>
              <w:t>200</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022FF84F" w14:textId="77777777" w:rsidR="00387142" w:rsidRPr="008B6A75" w:rsidRDefault="00387142" w:rsidP="00387142">
            <w:pPr>
              <w:jc w:val="right"/>
              <w:rPr>
                <w:sz w:val="20"/>
                <w:szCs w:val="20"/>
              </w:rPr>
            </w:pPr>
            <w:r w:rsidRPr="008B6A75">
              <w:rPr>
                <w:sz w:val="20"/>
                <w:szCs w:val="20"/>
              </w:rPr>
              <w:t>1 864 200,00</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0555A207" w14:textId="77777777" w:rsidR="00387142" w:rsidRPr="008B6A75" w:rsidRDefault="00387142" w:rsidP="00387142">
            <w:pPr>
              <w:jc w:val="right"/>
              <w:rPr>
                <w:sz w:val="20"/>
                <w:szCs w:val="20"/>
              </w:rPr>
            </w:pPr>
            <w:r w:rsidRPr="008B6A75">
              <w:rPr>
                <w:sz w:val="20"/>
                <w:szCs w:val="20"/>
              </w:rPr>
              <w:t>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4135AA48" w14:textId="77777777" w:rsidR="00387142" w:rsidRPr="008B6A75" w:rsidRDefault="00387142" w:rsidP="00387142">
            <w:pPr>
              <w:jc w:val="right"/>
              <w:rPr>
                <w:sz w:val="20"/>
                <w:szCs w:val="20"/>
              </w:rPr>
            </w:pPr>
            <w:r w:rsidRPr="008B6A75">
              <w:rPr>
                <w:sz w:val="20"/>
                <w:szCs w:val="20"/>
              </w:rPr>
              <w:t>0,00</w:t>
            </w:r>
          </w:p>
        </w:tc>
        <w:tc>
          <w:tcPr>
            <w:tcW w:w="222" w:type="dxa"/>
            <w:vAlign w:val="center"/>
            <w:hideMark/>
          </w:tcPr>
          <w:p w14:paraId="42D25E6B" w14:textId="77777777" w:rsidR="00387142" w:rsidRPr="008B6A75" w:rsidRDefault="00387142" w:rsidP="00387142">
            <w:pPr>
              <w:rPr>
                <w:sz w:val="20"/>
                <w:szCs w:val="20"/>
              </w:rPr>
            </w:pPr>
          </w:p>
        </w:tc>
      </w:tr>
      <w:tr w:rsidR="00387142" w:rsidRPr="008B6A75" w14:paraId="03DE8C02" w14:textId="77777777" w:rsidTr="00387142">
        <w:trPr>
          <w:trHeight w:val="870"/>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27033CF2" w14:textId="77777777" w:rsidR="00387142" w:rsidRPr="008B6A75" w:rsidRDefault="00387142" w:rsidP="00387142">
            <w:pPr>
              <w:rPr>
                <w:sz w:val="20"/>
                <w:szCs w:val="20"/>
              </w:rPr>
            </w:pPr>
            <w:r w:rsidRPr="008B6A75">
              <w:rPr>
                <w:sz w:val="20"/>
                <w:szCs w:val="20"/>
              </w:rPr>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4245DB5E" w14:textId="77777777" w:rsidR="00387142" w:rsidRPr="008B6A75" w:rsidRDefault="00387142" w:rsidP="00387142">
            <w:pPr>
              <w:jc w:val="center"/>
              <w:rPr>
                <w:sz w:val="20"/>
                <w:szCs w:val="20"/>
              </w:rPr>
            </w:pPr>
            <w:r w:rsidRPr="008B6A75">
              <w:rPr>
                <w:sz w:val="20"/>
                <w:szCs w:val="20"/>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0CFD7B9E" w14:textId="77777777" w:rsidR="00387142" w:rsidRPr="008B6A75" w:rsidRDefault="00387142" w:rsidP="00387142">
            <w:pPr>
              <w:jc w:val="center"/>
              <w:rPr>
                <w:sz w:val="20"/>
                <w:szCs w:val="20"/>
              </w:rPr>
            </w:pPr>
            <w:r w:rsidRPr="008B6A75">
              <w:rPr>
                <w:sz w:val="20"/>
                <w:szCs w:val="20"/>
              </w:rPr>
              <w:t>01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7C2766" w14:textId="77777777" w:rsidR="00387142" w:rsidRPr="008B6A75" w:rsidRDefault="00387142" w:rsidP="00387142">
            <w:pPr>
              <w:jc w:val="center"/>
              <w:rPr>
                <w:sz w:val="20"/>
                <w:szCs w:val="20"/>
              </w:rPr>
            </w:pPr>
            <w:r w:rsidRPr="008B6A75">
              <w:rPr>
                <w:sz w:val="20"/>
                <w:szCs w:val="20"/>
              </w:rPr>
              <w:t>13</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7D006D6F" w14:textId="77777777" w:rsidR="00387142" w:rsidRPr="008B6A75" w:rsidRDefault="00387142" w:rsidP="00387142">
            <w:pPr>
              <w:jc w:val="center"/>
              <w:rPr>
                <w:sz w:val="20"/>
                <w:szCs w:val="20"/>
              </w:rPr>
            </w:pPr>
            <w:r w:rsidRPr="008B6A75">
              <w:rPr>
                <w:sz w:val="20"/>
                <w:szCs w:val="20"/>
              </w:rPr>
              <w:t>99.0.00.70510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73456C" w14:textId="77777777" w:rsidR="00387142" w:rsidRPr="008B6A75" w:rsidRDefault="00387142" w:rsidP="00387142">
            <w:pPr>
              <w:jc w:val="center"/>
              <w:rPr>
                <w:sz w:val="20"/>
                <w:szCs w:val="20"/>
              </w:rPr>
            </w:pPr>
            <w:r w:rsidRPr="008B6A75">
              <w:rPr>
                <w:sz w:val="20"/>
                <w:szCs w:val="20"/>
              </w:rPr>
              <w:t>240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3AEAB8" w14:textId="77777777" w:rsidR="00387142" w:rsidRPr="008B6A75" w:rsidRDefault="00387142" w:rsidP="00387142">
            <w:pPr>
              <w:jc w:val="right"/>
              <w:rPr>
                <w:sz w:val="20"/>
                <w:szCs w:val="20"/>
              </w:rPr>
            </w:pPr>
            <w:r w:rsidRPr="008B6A75">
              <w:rPr>
                <w:sz w:val="20"/>
                <w:szCs w:val="20"/>
              </w:rPr>
              <w:t>1 864 200,00</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604B6E4E" w14:textId="77777777" w:rsidR="00387142" w:rsidRPr="008B6A75" w:rsidRDefault="00387142" w:rsidP="00387142">
            <w:pPr>
              <w:jc w:val="right"/>
              <w:rPr>
                <w:sz w:val="20"/>
                <w:szCs w:val="20"/>
              </w:rPr>
            </w:pPr>
            <w:r w:rsidRPr="008B6A75">
              <w:rPr>
                <w:sz w:val="20"/>
                <w:szCs w:val="20"/>
              </w:rPr>
              <w:t>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D3A1E4" w14:textId="77777777" w:rsidR="00387142" w:rsidRPr="008B6A75" w:rsidRDefault="00387142" w:rsidP="00387142">
            <w:pPr>
              <w:jc w:val="right"/>
              <w:rPr>
                <w:sz w:val="20"/>
                <w:szCs w:val="20"/>
              </w:rPr>
            </w:pPr>
            <w:r w:rsidRPr="008B6A75">
              <w:rPr>
                <w:sz w:val="20"/>
                <w:szCs w:val="20"/>
              </w:rPr>
              <w:t>0,00</w:t>
            </w:r>
          </w:p>
        </w:tc>
        <w:tc>
          <w:tcPr>
            <w:tcW w:w="222" w:type="dxa"/>
            <w:vAlign w:val="center"/>
            <w:hideMark/>
          </w:tcPr>
          <w:p w14:paraId="79F695D2" w14:textId="77777777" w:rsidR="00387142" w:rsidRPr="008B6A75" w:rsidRDefault="00387142" w:rsidP="00387142">
            <w:pPr>
              <w:rPr>
                <w:sz w:val="20"/>
                <w:szCs w:val="20"/>
              </w:rPr>
            </w:pPr>
          </w:p>
        </w:tc>
      </w:tr>
      <w:tr w:rsidR="00387142" w:rsidRPr="008B6A75" w14:paraId="2A255542" w14:textId="77777777" w:rsidTr="00387142">
        <w:trPr>
          <w:trHeight w:val="300"/>
        </w:trPr>
        <w:tc>
          <w:tcPr>
            <w:tcW w:w="3021" w:type="dxa"/>
            <w:tcBorders>
              <w:top w:val="nil"/>
              <w:left w:val="single" w:sz="4" w:space="0" w:color="auto"/>
              <w:bottom w:val="nil"/>
              <w:right w:val="nil"/>
            </w:tcBorders>
            <w:shd w:val="clear" w:color="auto" w:fill="auto"/>
            <w:vAlign w:val="center"/>
            <w:hideMark/>
          </w:tcPr>
          <w:p w14:paraId="0BADDFCD" w14:textId="77777777" w:rsidR="00387142" w:rsidRPr="008B6A75" w:rsidRDefault="00387142" w:rsidP="00387142">
            <w:pPr>
              <w:rPr>
                <w:bCs/>
                <w:sz w:val="20"/>
                <w:szCs w:val="20"/>
              </w:rPr>
            </w:pPr>
            <w:r w:rsidRPr="008B6A75">
              <w:rPr>
                <w:bCs/>
                <w:sz w:val="20"/>
                <w:szCs w:val="20"/>
              </w:rPr>
              <w:t>НАЦИОНАЛЬНАЯ ОБОРОНА</w:t>
            </w:r>
          </w:p>
        </w:tc>
        <w:tc>
          <w:tcPr>
            <w:tcW w:w="850" w:type="dxa"/>
            <w:tcBorders>
              <w:top w:val="nil"/>
              <w:left w:val="single" w:sz="4" w:space="0" w:color="auto"/>
              <w:bottom w:val="nil"/>
              <w:right w:val="nil"/>
            </w:tcBorders>
            <w:shd w:val="clear" w:color="auto" w:fill="auto"/>
            <w:noWrap/>
            <w:vAlign w:val="center"/>
            <w:hideMark/>
          </w:tcPr>
          <w:p w14:paraId="286F825B" w14:textId="77777777" w:rsidR="00387142" w:rsidRPr="008B6A75" w:rsidRDefault="00387142" w:rsidP="00387142">
            <w:pPr>
              <w:jc w:val="center"/>
              <w:rPr>
                <w:bCs/>
                <w:sz w:val="20"/>
                <w:szCs w:val="20"/>
              </w:rPr>
            </w:pPr>
            <w:r w:rsidRPr="008B6A75">
              <w:rPr>
                <w:bCs/>
                <w:sz w:val="20"/>
                <w:szCs w:val="20"/>
              </w:rPr>
              <w:t>444</w:t>
            </w:r>
          </w:p>
        </w:tc>
        <w:tc>
          <w:tcPr>
            <w:tcW w:w="709" w:type="dxa"/>
            <w:tcBorders>
              <w:top w:val="nil"/>
              <w:left w:val="single" w:sz="4" w:space="0" w:color="auto"/>
              <w:bottom w:val="nil"/>
              <w:right w:val="nil"/>
            </w:tcBorders>
            <w:shd w:val="clear" w:color="auto" w:fill="auto"/>
            <w:noWrap/>
            <w:vAlign w:val="center"/>
            <w:hideMark/>
          </w:tcPr>
          <w:p w14:paraId="58E8B074" w14:textId="77777777" w:rsidR="00387142" w:rsidRPr="008B6A75" w:rsidRDefault="00387142" w:rsidP="00387142">
            <w:pPr>
              <w:jc w:val="center"/>
              <w:rPr>
                <w:bCs/>
                <w:sz w:val="20"/>
                <w:szCs w:val="20"/>
              </w:rPr>
            </w:pPr>
            <w:r w:rsidRPr="008B6A75">
              <w:rPr>
                <w:bCs/>
                <w:sz w:val="20"/>
                <w:szCs w:val="20"/>
              </w:rPr>
              <w:t>02</w:t>
            </w:r>
          </w:p>
        </w:tc>
        <w:tc>
          <w:tcPr>
            <w:tcW w:w="709" w:type="dxa"/>
            <w:tcBorders>
              <w:top w:val="nil"/>
              <w:left w:val="single" w:sz="4" w:space="0" w:color="auto"/>
              <w:bottom w:val="nil"/>
              <w:right w:val="single" w:sz="4" w:space="0" w:color="auto"/>
            </w:tcBorders>
            <w:shd w:val="clear" w:color="auto" w:fill="auto"/>
            <w:noWrap/>
            <w:vAlign w:val="center"/>
            <w:hideMark/>
          </w:tcPr>
          <w:p w14:paraId="71C63259" w14:textId="77777777" w:rsidR="00387142" w:rsidRPr="008B6A75" w:rsidRDefault="00387142" w:rsidP="00387142">
            <w:pPr>
              <w:jc w:val="center"/>
              <w:rPr>
                <w:bCs/>
                <w:sz w:val="20"/>
                <w:szCs w:val="20"/>
              </w:rPr>
            </w:pPr>
            <w:r w:rsidRPr="008B6A75">
              <w:rPr>
                <w:bCs/>
                <w:sz w:val="20"/>
                <w:szCs w:val="20"/>
              </w:rPr>
              <w:t> </w:t>
            </w:r>
          </w:p>
        </w:tc>
        <w:tc>
          <w:tcPr>
            <w:tcW w:w="1411" w:type="dxa"/>
            <w:tcBorders>
              <w:top w:val="nil"/>
              <w:left w:val="single" w:sz="4" w:space="0" w:color="auto"/>
              <w:bottom w:val="nil"/>
              <w:right w:val="nil"/>
            </w:tcBorders>
            <w:shd w:val="clear" w:color="auto" w:fill="auto"/>
            <w:noWrap/>
            <w:vAlign w:val="center"/>
            <w:hideMark/>
          </w:tcPr>
          <w:p w14:paraId="5B8662DD" w14:textId="77777777" w:rsidR="00387142" w:rsidRPr="008B6A75" w:rsidRDefault="00387142" w:rsidP="00387142">
            <w:pPr>
              <w:jc w:val="center"/>
              <w:rPr>
                <w:bCs/>
                <w:sz w:val="20"/>
                <w:szCs w:val="20"/>
              </w:rPr>
            </w:pPr>
            <w:r w:rsidRPr="008B6A75">
              <w:rPr>
                <w:bCs/>
                <w:sz w:val="20"/>
                <w:szCs w:val="20"/>
              </w:rPr>
              <w:t> </w:t>
            </w:r>
          </w:p>
        </w:tc>
        <w:tc>
          <w:tcPr>
            <w:tcW w:w="955" w:type="dxa"/>
            <w:tcBorders>
              <w:top w:val="nil"/>
              <w:left w:val="single" w:sz="4" w:space="0" w:color="auto"/>
              <w:bottom w:val="nil"/>
              <w:right w:val="single" w:sz="4" w:space="0" w:color="auto"/>
            </w:tcBorders>
            <w:shd w:val="clear" w:color="auto" w:fill="auto"/>
            <w:noWrap/>
            <w:vAlign w:val="center"/>
            <w:hideMark/>
          </w:tcPr>
          <w:p w14:paraId="4D8B8CBB"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nil"/>
              <w:right w:val="single" w:sz="4" w:space="0" w:color="auto"/>
            </w:tcBorders>
            <w:shd w:val="clear" w:color="auto" w:fill="auto"/>
            <w:noWrap/>
            <w:vAlign w:val="center"/>
            <w:hideMark/>
          </w:tcPr>
          <w:p w14:paraId="7DA2B09B" w14:textId="77777777" w:rsidR="00387142" w:rsidRPr="008B6A75" w:rsidRDefault="00387142" w:rsidP="00387142">
            <w:pPr>
              <w:jc w:val="right"/>
              <w:rPr>
                <w:bCs/>
                <w:sz w:val="20"/>
                <w:szCs w:val="20"/>
              </w:rPr>
            </w:pPr>
            <w:r w:rsidRPr="008B6A75">
              <w:rPr>
                <w:bCs/>
                <w:sz w:val="20"/>
                <w:szCs w:val="20"/>
              </w:rPr>
              <w:t>2 244 446,01</w:t>
            </w:r>
          </w:p>
        </w:tc>
        <w:tc>
          <w:tcPr>
            <w:tcW w:w="992" w:type="dxa"/>
            <w:gridSpan w:val="2"/>
            <w:tcBorders>
              <w:top w:val="nil"/>
              <w:left w:val="single" w:sz="4" w:space="0" w:color="auto"/>
              <w:bottom w:val="nil"/>
              <w:right w:val="nil"/>
            </w:tcBorders>
            <w:shd w:val="clear" w:color="auto" w:fill="auto"/>
            <w:noWrap/>
            <w:vAlign w:val="center"/>
            <w:hideMark/>
          </w:tcPr>
          <w:p w14:paraId="655E1FDE" w14:textId="77777777" w:rsidR="00387142" w:rsidRPr="008B6A75" w:rsidRDefault="00387142" w:rsidP="00387142">
            <w:pPr>
              <w:jc w:val="right"/>
              <w:rPr>
                <w:bCs/>
                <w:sz w:val="20"/>
                <w:szCs w:val="20"/>
              </w:rPr>
            </w:pPr>
            <w:r w:rsidRPr="008B6A75">
              <w:rPr>
                <w:bCs/>
                <w:sz w:val="20"/>
                <w:szCs w:val="20"/>
              </w:rPr>
              <w:t>2 176 627,79</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66F987B3" w14:textId="77777777" w:rsidR="00387142" w:rsidRPr="008B6A75" w:rsidRDefault="00387142" w:rsidP="00387142">
            <w:pPr>
              <w:jc w:val="right"/>
              <w:rPr>
                <w:bCs/>
                <w:sz w:val="20"/>
                <w:szCs w:val="20"/>
              </w:rPr>
            </w:pPr>
            <w:r w:rsidRPr="008B6A75">
              <w:rPr>
                <w:bCs/>
                <w:sz w:val="20"/>
                <w:szCs w:val="20"/>
              </w:rPr>
              <w:t>2 253 758,06</w:t>
            </w:r>
          </w:p>
        </w:tc>
        <w:tc>
          <w:tcPr>
            <w:tcW w:w="222" w:type="dxa"/>
            <w:vAlign w:val="center"/>
            <w:hideMark/>
          </w:tcPr>
          <w:p w14:paraId="0DD7C821" w14:textId="77777777" w:rsidR="00387142" w:rsidRPr="008B6A75" w:rsidRDefault="00387142" w:rsidP="00387142">
            <w:pPr>
              <w:rPr>
                <w:sz w:val="20"/>
                <w:szCs w:val="20"/>
              </w:rPr>
            </w:pPr>
          </w:p>
        </w:tc>
      </w:tr>
      <w:tr w:rsidR="00387142" w:rsidRPr="008B6A75" w14:paraId="2D29E7F4" w14:textId="77777777" w:rsidTr="00387142">
        <w:trPr>
          <w:trHeight w:val="300"/>
        </w:trPr>
        <w:tc>
          <w:tcPr>
            <w:tcW w:w="3021" w:type="dxa"/>
            <w:tcBorders>
              <w:top w:val="single" w:sz="4" w:space="0" w:color="auto"/>
              <w:left w:val="single" w:sz="4" w:space="0" w:color="auto"/>
              <w:bottom w:val="nil"/>
              <w:right w:val="nil"/>
            </w:tcBorders>
            <w:shd w:val="clear" w:color="auto" w:fill="auto"/>
            <w:vAlign w:val="center"/>
            <w:hideMark/>
          </w:tcPr>
          <w:p w14:paraId="75449273" w14:textId="77777777" w:rsidR="00387142" w:rsidRPr="008B6A75" w:rsidRDefault="00387142" w:rsidP="00387142">
            <w:pPr>
              <w:rPr>
                <w:bCs/>
                <w:sz w:val="20"/>
                <w:szCs w:val="20"/>
              </w:rPr>
            </w:pPr>
            <w:r w:rsidRPr="008B6A75">
              <w:rPr>
                <w:bCs/>
                <w:sz w:val="20"/>
                <w:szCs w:val="20"/>
              </w:rPr>
              <w:t>Мобилизационная и вневойсковая подготовка</w:t>
            </w:r>
          </w:p>
        </w:tc>
        <w:tc>
          <w:tcPr>
            <w:tcW w:w="850" w:type="dxa"/>
            <w:tcBorders>
              <w:top w:val="single" w:sz="4" w:space="0" w:color="auto"/>
              <w:left w:val="single" w:sz="4" w:space="0" w:color="auto"/>
              <w:bottom w:val="nil"/>
              <w:right w:val="nil"/>
            </w:tcBorders>
            <w:shd w:val="clear" w:color="auto" w:fill="auto"/>
            <w:noWrap/>
            <w:vAlign w:val="center"/>
            <w:hideMark/>
          </w:tcPr>
          <w:p w14:paraId="62B33EEF" w14:textId="77777777" w:rsidR="00387142" w:rsidRPr="008B6A75" w:rsidRDefault="00387142" w:rsidP="00387142">
            <w:pPr>
              <w:jc w:val="center"/>
              <w:rPr>
                <w:bCs/>
                <w:sz w:val="20"/>
                <w:szCs w:val="20"/>
              </w:rPr>
            </w:pPr>
            <w:r w:rsidRPr="008B6A75">
              <w:rPr>
                <w:bCs/>
                <w:sz w:val="20"/>
                <w:szCs w:val="20"/>
              </w:rPr>
              <w:t>444</w:t>
            </w:r>
          </w:p>
        </w:tc>
        <w:tc>
          <w:tcPr>
            <w:tcW w:w="709" w:type="dxa"/>
            <w:tcBorders>
              <w:top w:val="single" w:sz="4" w:space="0" w:color="auto"/>
              <w:left w:val="single" w:sz="4" w:space="0" w:color="auto"/>
              <w:bottom w:val="nil"/>
              <w:right w:val="nil"/>
            </w:tcBorders>
            <w:shd w:val="clear" w:color="auto" w:fill="auto"/>
            <w:noWrap/>
            <w:vAlign w:val="center"/>
            <w:hideMark/>
          </w:tcPr>
          <w:p w14:paraId="11824C17" w14:textId="77777777" w:rsidR="00387142" w:rsidRPr="008B6A75" w:rsidRDefault="00387142" w:rsidP="00387142">
            <w:pPr>
              <w:jc w:val="center"/>
              <w:rPr>
                <w:bCs/>
                <w:sz w:val="20"/>
                <w:szCs w:val="20"/>
              </w:rPr>
            </w:pPr>
            <w:r w:rsidRPr="008B6A75">
              <w:rPr>
                <w:bCs/>
                <w:sz w:val="20"/>
                <w:szCs w:val="20"/>
              </w:rPr>
              <w:t>02</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4EADCC19" w14:textId="77777777" w:rsidR="00387142" w:rsidRPr="008B6A75" w:rsidRDefault="00387142" w:rsidP="00387142">
            <w:pPr>
              <w:jc w:val="center"/>
              <w:rPr>
                <w:bCs/>
                <w:sz w:val="20"/>
                <w:szCs w:val="20"/>
              </w:rPr>
            </w:pPr>
            <w:r w:rsidRPr="008B6A75">
              <w:rPr>
                <w:bCs/>
                <w:sz w:val="20"/>
                <w:szCs w:val="20"/>
              </w:rPr>
              <w:t>03</w:t>
            </w:r>
          </w:p>
        </w:tc>
        <w:tc>
          <w:tcPr>
            <w:tcW w:w="1411" w:type="dxa"/>
            <w:tcBorders>
              <w:top w:val="single" w:sz="4" w:space="0" w:color="auto"/>
              <w:left w:val="single" w:sz="4" w:space="0" w:color="auto"/>
              <w:bottom w:val="nil"/>
              <w:right w:val="nil"/>
            </w:tcBorders>
            <w:shd w:val="clear" w:color="auto" w:fill="auto"/>
            <w:noWrap/>
            <w:vAlign w:val="center"/>
            <w:hideMark/>
          </w:tcPr>
          <w:p w14:paraId="7C7BA854" w14:textId="77777777" w:rsidR="00387142" w:rsidRPr="008B6A75" w:rsidRDefault="00387142" w:rsidP="00387142">
            <w:pPr>
              <w:jc w:val="center"/>
              <w:rPr>
                <w:bCs/>
                <w:sz w:val="20"/>
                <w:szCs w:val="20"/>
              </w:rPr>
            </w:pPr>
            <w:r w:rsidRPr="008B6A75">
              <w:rPr>
                <w:bCs/>
                <w:sz w:val="20"/>
                <w:szCs w:val="20"/>
              </w:rPr>
              <w:t> </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2EF5A922" w14:textId="77777777" w:rsidR="00387142" w:rsidRPr="008B6A75" w:rsidRDefault="00387142" w:rsidP="00387142">
            <w:pPr>
              <w:jc w:val="center"/>
              <w:rPr>
                <w:bCs/>
                <w:sz w:val="20"/>
                <w:szCs w:val="20"/>
              </w:rPr>
            </w:pPr>
            <w:r w:rsidRPr="008B6A75">
              <w:rPr>
                <w:bCs/>
                <w:sz w:val="20"/>
                <w:szCs w:val="20"/>
              </w:rPr>
              <w:t> </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216658B1" w14:textId="77777777" w:rsidR="00387142" w:rsidRPr="008B6A75" w:rsidRDefault="00387142" w:rsidP="00387142">
            <w:pPr>
              <w:jc w:val="right"/>
              <w:rPr>
                <w:bCs/>
                <w:sz w:val="20"/>
                <w:szCs w:val="20"/>
              </w:rPr>
            </w:pPr>
            <w:r w:rsidRPr="008B6A75">
              <w:rPr>
                <w:bCs/>
                <w:sz w:val="20"/>
                <w:szCs w:val="20"/>
              </w:rPr>
              <w:t>2 244 446,01</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6E6541E2" w14:textId="77777777" w:rsidR="00387142" w:rsidRPr="008B6A75" w:rsidRDefault="00387142" w:rsidP="00387142">
            <w:pPr>
              <w:jc w:val="right"/>
              <w:rPr>
                <w:bCs/>
                <w:sz w:val="20"/>
                <w:szCs w:val="20"/>
              </w:rPr>
            </w:pPr>
            <w:r w:rsidRPr="008B6A75">
              <w:rPr>
                <w:bCs/>
                <w:sz w:val="20"/>
                <w:szCs w:val="20"/>
              </w:rPr>
              <w:t>2 176 627,79</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3D9D7529" w14:textId="77777777" w:rsidR="00387142" w:rsidRPr="008B6A75" w:rsidRDefault="00387142" w:rsidP="00387142">
            <w:pPr>
              <w:jc w:val="right"/>
              <w:rPr>
                <w:bCs/>
                <w:sz w:val="20"/>
                <w:szCs w:val="20"/>
              </w:rPr>
            </w:pPr>
            <w:r w:rsidRPr="008B6A75">
              <w:rPr>
                <w:bCs/>
                <w:sz w:val="20"/>
                <w:szCs w:val="20"/>
              </w:rPr>
              <w:t>2 253 758,06</w:t>
            </w:r>
          </w:p>
        </w:tc>
        <w:tc>
          <w:tcPr>
            <w:tcW w:w="222" w:type="dxa"/>
            <w:vAlign w:val="center"/>
            <w:hideMark/>
          </w:tcPr>
          <w:p w14:paraId="5CA47BB0" w14:textId="77777777" w:rsidR="00387142" w:rsidRPr="008B6A75" w:rsidRDefault="00387142" w:rsidP="00387142">
            <w:pPr>
              <w:rPr>
                <w:sz w:val="20"/>
                <w:szCs w:val="20"/>
              </w:rPr>
            </w:pPr>
          </w:p>
        </w:tc>
      </w:tr>
      <w:tr w:rsidR="00387142" w:rsidRPr="008B6A75" w14:paraId="703A8B61" w14:textId="77777777" w:rsidTr="00387142">
        <w:trPr>
          <w:trHeight w:val="300"/>
        </w:trPr>
        <w:tc>
          <w:tcPr>
            <w:tcW w:w="3021" w:type="dxa"/>
            <w:tcBorders>
              <w:top w:val="single" w:sz="4" w:space="0" w:color="auto"/>
              <w:left w:val="single" w:sz="4" w:space="0" w:color="auto"/>
              <w:bottom w:val="nil"/>
              <w:right w:val="nil"/>
            </w:tcBorders>
            <w:shd w:val="clear" w:color="auto" w:fill="auto"/>
            <w:vAlign w:val="center"/>
            <w:hideMark/>
          </w:tcPr>
          <w:p w14:paraId="3BB44D63" w14:textId="77777777" w:rsidR="00387142" w:rsidRPr="008B6A75" w:rsidRDefault="00387142" w:rsidP="00387142">
            <w:pPr>
              <w:rPr>
                <w:bCs/>
                <w:sz w:val="20"/>
                <w:szCs w:val="20"/>
              </w:rPr>
            </w:pPr>
            <w:r w:rsidRPr="008B6A75">
              <w:rPr>
                <w:bCs/>
                <w:sz w:val="20"/>
                <w:szCs w:val="20"/>
              </w:rPr>
              <w:t>Непрограммные направления бюджета</w:t>
            </w:r>
          </w:p>
        </w:tc>
        <w:tc>
          <w:tcPr>
            <w:tcW w:w="850" w:type="dxa"/>
            <w:tcBorders>
              <w:top w:val="single" w:sz="4" w:space="0" w:color="auto"/>
              <w:left w:val="single" w:sz="4" w:space="0" w:color="auto"/>
              <w:bottom w:val="nil"/>
              <w:right w:val="nil"/>
            </w:tcBorders>
            <w:shd w:val="clear" w:color="auto" w:fill="auto"/>
            <w:noWrap/>
            <w:vAlign w:val="center"/>
            <w:hideMark/>
          </w:tcPr>
          <w:p w14:paraId="0F09AF53" w14:textId="77777777" w:rsidR="00387142" w:rsidRPr="008B6A75" w:rsidRDefault="00387142" w:rsidP="00387142">
            <w:pPr>
              <w:jc w:val="center"/>
              <w:rPr>
                <w:bCs/>
                <w:sz w:val="20"/>
                <w:szCs w:val="20"/>
              </w:rPr>
            </w:pPr>
            <w:r w:rsidRPr="008B6A75">
              <w:rPr>
                <w:bCs/>
                <w:sz w:val="20"/>
                <w:szCs w:val="20"/>
              </w:rPr>
              <w:t>444</w:t>
            </w:r>
          </w:p>
        </w:tc>
        <w:tc>
          <w:tcPr>
            <w:tcW w:w="709" w:type="dxa"/>
            <w:tcBorders>
              <w:top w:val="single" w:sz="4" w:space="0" w:color="auto"/>
              <w:left w:val="single" w:sz="4" w:space="0" w:color="auto"/>
              <w:bottom w:val="nil"/>
              <w:right w:val="nil"/>
            </w:tcBorders>
            <w:shd w:val="clear" w:color="auto" w:fill="auto"/>
            <w:noWrap/>
            <w:vAlign w:val="center"/>
            <w:hideMark/>
          </w:tcPr>
          <w:p w14:paraId="0197CD43" w14:textId="77777777" w:rsidR="00387142" w:rsidRPr="008B6A75" w:rsidRDefault="00387142" w:rsidP="00387142">
            <w:pPr>
              <w:jc w:val="center"/>
              <w:rPr>
                <w:bCs/>
                <w:sz w:val="20"/>
                <w:szCs w:val="20"/>
              </w:rPr>
            </w:pPr>
            <w:r w:rsidRPr="008B6A75">
              <w:rPr>
                <w:bCs/>
                <w:sz w:val="20"/>
                <w:szCs w:val="20"/>
              </w:rPr>
              <w:t>02</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37AA291B" w14:textId="77777777" w:rsidR="00387142" w:rsidRPr="008B6A75" w:rsidRDefault="00387142" w:rsidP="00387142">
            <w:pPr>
              <w:jc w:val="center"/>
              <w:rPr>
                <w:bCs/>
                <w:sz w:val="20"/>
                <w:szCs w:val="20"/>
              </w:rPr>
            </w:pPr>
            <w:r w:rsidRPr="008B6A75">
              <w:rPr>
                <w:bCs/>
                <w:sz w:val="20"/>
                <w:szCs w:val="20"/>
              </w:rPr>
              <w:t>03</w:t>
            </w:r>
          </w:p>
        </w:tc>
        <w:tc>
          <w:tcPr>
            <w:tcW w:w="1411" w:type="dxa"/>
            <w:tcBorders>
              <w:top w:val="single" w:sz="4" w:space="0" w:color="auto"/>
              <w:left w:val="single" w:sz="4" w:space="0" w:color="auto"/>
              <w:bottom w:val="nil"/>
              <w:right w:val="nil"/>
            </w:tcBorders>
            <w:shd w:val="clear" w:color="auto" w:fill="auto"/>
            <w:noWrap/>
            <w:vAlign w:val="center"/>
            <w:hideMark/>
          </w:tcPr>
          <w:p w14:paraId="15F7B945" w14:textId="77777777" w:rsidR="00387142" w:rsidRPr="008B6A75" w:rsidRDefault="00387142" w:rsidP="00387142">
            <w:pPr>
              <w:jc w:val="center"/>
              <w:rPr>
                <w:bCs/>
                <w:sz w:val="20"/>
                <w:szCs w:val="20"/>
              </w:rPr>
            </w:pPr>
            <w:r w:rsidRPr="008B6A75">
              <w:rPr>
                <w:bCs/>
                <w:sz w:val="20"/>
                <w:szCs w:val="20"/>
              </w:rPr>
              <w:t>99.0.00.00000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5B8B3D71" w14:textId="77777777" w:rsidR="00387142" w:rsidRPr="008B6A75" w:rsidRDefault="00387142" w:rsidP="00387142">
            <w:pPr>
              <w:jc w:val="center"/>
              <w:rPr>
                <w:bCs/>
                <w:sz w:val="20"/>
                <w:szCs w:val="20"/>
              </w:rPr>
            </w:pPr>
            <w:r w:rsidRPr="008B6A75">
              <w:rPr>
                <w:bCs/>
                <w:sz w:val="20"/>
                <w:szCs w:val="20"/>
              </w:rPr>
              <w:t> </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07C10CCB" w14:textId="77777777" w:rsidR="00387142" w:rsidRPr="008B6A75" w:rsidRDefault="00387142" w:rsidP="00387142">
            <w:pPr>
              <w:jc w:val="right"/>
              <w:rPr>
                <w:bCs/>
                <w:sz w:val="20"/>
                <w:szCs w:val="20"/>
              </w:rPr>
            </w:pPr>
            <w:r w:rsidRPr="008B6A75">
              <w:rPr>
                <w:bCs/>
                <w:sz w:val="20"/>
                <w:szCs w:val="20"/>
              </w:rPr>
              <w:t>2 244 446,01</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14147B13" w14:textId="77777777" w:rsidR="00387142" w:rsidRPr="008B6A75" w:rsidRDefault="00387142" w:rsidP="00387142">
            <w:pPr>
              <w:jc w:val="right"/>
              <w:rPr>
                <w:bCs/>
                <w:sz w:val="20"/>
                <w:szCs w:val="20"/>
              </w:rPr>
            </w:pPr>
            <w:r w:rsidRPr="008B6A75">
              <w:rPr>
                <w:bCs/>
                <w:sz w:val="20"/>
                <w:szCs w:val="20"/>
              </w:rPr>
              <w:t>2 176 627,79</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70C24BA3" w14:textId="77777777" w:rsidR="00387142" w:rsidRPr="008B6A75" w:rsidRDefault="00387142" w:rsidP="00387142">
            <w:pPr>
              <w:jc w:val="right"/>
              <w:rPr>
                <w:bCs/>
                <w:sz w:val="20"/>
                <w:szCs w:val="20"/>
              </w:rPr>
            </w:pPr>
            <w:r w:rsidRPr="008B6A75">
              <w:rPr>
                <w:bCs/>
                <w:sz w:val="20"/>
                <w:szCs w:val="20"/>
              </w:rPr>
              <w:t>2 253 758,06</w:t>
            </w:r>
          </w:p>
        </w:tc>
        <w:tc>
          <w:tcPr>
            <w:tcW w:w="222" w:type="dxa"/>
            <w:vAlign w:val="center"/>
            <w:hideMark/>
          </w:tcPr>
          <w:p w14:paraId="68DC8DD8" w14:textId="77777777" w:rsidR="00387142" w:rsidRPr="008B6A75" w:rsidRDefault="00387142" w:rsidP="00387142">
            <w:pPr>
              <w:rPr>
                <w:sz w:val="20"/>
                <w:szCs w:val="20"/>
              </w:rPr>
            </w:pPr>
          </w:p>
        </w:tc>
      </w:tr>
      <w:tr w:rsidR="00387142" w:rsidRPr="008B6A75" w14:paraId="31402B60" w14:textId="77777777" w:rsidTr="00387142">
        <w:trPr>
          <w:trHeight w:val="1440"/>
        </w:trPr>
        <w:tc>
          <w:tcPr>
            <w:tcW w:w="3021" w:type="dxa"/>
            <w:tcBorders>
              <w:top w:val="single" w:sz="4" w:space="0" w:color="auto"/>
              <w:left w:val="single" w:sz="4" w:space="0" w:color="auto"/>
              <w:bottom w:val="nil"/>
              <w:right w:val="nil"/>
            </w:tcBorders>
            <w:shd w:val="clear" w:color="auto" w:fill="auto"/>
            <w:vAlign w:val="center"/>
            <w:hideMark/>
          </w:tcPr>
          <w:p w14:paraId="1102085E" w14:textId="77777777" w:rsidR="00387142" w:rsidRPr="008B6A75" w:rsidRDefault="00387142" w:rsidP="00387142">
            <w:pPr>
              <w:rPr>
                <w:bCs/>
                <w:sz w:val="20"/>
                <w:szCs w:val="20"/>
              </w:rPr>
            </w:pPr>
            <w:r w:rsidRPr="008B6A75">
              <w:rPr>
                <w:bCs/>
                <w:sz w:val="20"/>
                <w:szCs w:val="20"/>
              </w:rPr>
              <w:t>Осуществление первичного воинского учета на территориях, где отсутствуют военные комиссариаты в рамках непрограммных расходов федеральных органов исполнительной власти</w:t>
            </w:r>
          </w:p>
        </w:tc>
        <w:tc>
          <w:tcPr>
            <w:tcW w:w="850" w:type="dxa"/>
            <w:tcBorders>
              <w:top w:val="single" w:sz="4" w:space="0" w:color="auto"/>
              <w:left w:val="single" w:sz="4" w:space="0" w:color="auto"/>
              <w:bottom w:val="nil"/>
              <w:right w:val="nil"/>
            </w:tcBorders>
            <w:shd w:val="clear" w:color="auto" w:fill="auto"/>
            <w:noWrap/>
            <w:vAlign w:val="center"/>
            <w:hideMark/>
          </w:tcPr>
          <w:p w14:paraId="1607C901" w14:textId="77777777" w:rsidR="00387142" w:rsidRPr="008B6A75" w:rsidRDefault="00387142" w:rsidP="00387142">
            <w:pPr>
              <w:jc w:val="center"/>
              <w:rPr>
                <w:bCs/>
                <w:sz w:val="20"/>
                <w:szCs w:val="20"/>
              </w:rPr>
            </w:pPr>
            <w:r w:rsidRPr="008B6A75">
              <w:rPr>
                <w:bCs/>
                <w:sz w:val="20"/>
                <w:szCs w:val="20"/>
              </w:rPr>
              <w:t>444</w:t>
            </w:r>
          </w:p>
        </w:tc>
        <w:tc>
          <w:tcPr>
            <w:tcW w:w="709" w:type="dxa"/>
            <w:tcBorders>
              <w:top w:val="single" w:sz="4" w:space="0" w:color="auto"/>
              <w:left w:val="single" w:sz="4" w:space="0" w:color="auto"/>
              <w:bottom w:val="nil"/>
              <w:right w:val="nil"/>
            </w:tcBorders>
            <w:shd w:val="clear" w:color="auto" w:fill="auto"/>
            <w:noWrap/>
            <w:vAlign w:val="center"/>
            <w:hideMark/>
          </w:tcPr>
          <w:p w14:paraId="43B6F073" w14:textId="77777777" w:rsidR="00387142" w:rsidRPr="008B6A75" w:rsidRDefault="00387142" w:rsidP="00387142">
            <w:pPr>
              <w:jc w:val="center"/>
              <w:rPr>
                <w:bCs/>
                <w:sz w:val="20"/>
                <w:szCs w:val="20"/>
              </w:rPr>
            </w:pPr>
            <w:r w:rsidRPr="008B6A75">
              <w:rPr>
                <w:bCs/>
                <w:sz w:val="20"/>
                <w:szCs w:val="20"/>
              </w:rPr>
              <w:t>02</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5C333162" w14:textId="77777777" w:rsidR="00387142" w:rsidRPr="008B6A75" w:rsidRDefault="00387142" w:rsidP="00387142">
            <w:pPr>
              <w:jc w:val="center"/>
              <w:rPr>
                <w:bCs/>
                <w:sz w:val="20"/>
                <w:szCs w:val="20"/>
              </w:rPr>
            </w:pPr>
            <w:r w:rsidRPr="008B6A75">
              <w:rPr>
                <w:bCs/>
                <w:sz w:val="20"/>
                <w:szCs w:val="20"/>
              </w:rPr>
              <w:t>03</w:t>
            </w:r>
          </w:p>
        </w:tc>
        <w:tc>
          <w:tcPr>
            <w:tcW w:w="1411" w:type="dxa"/>
            <w:tcBorders>
              <w:top w:val="single" w:sz="4" w:space="0" w:color="auto"/>
              <w:left w:val="single" w:sz="4" w:space="0" w:color="auto"/>
              <w:bottom w:val="nil"/>
              <w:right w:val="nil"/>
            </w:tcBorders>
            <w:shd w:val="clear" w:color="auto" w:fill="auto"/>
            <w:noWrap/>
            <w:vAlign w:val="center"/>
            <w:hideMark/>
          </w:tcPr>
          <w:p w14:paraId="32FA72FD" w14:textId="77777777" w:rsidR="00387142" w:rsidRPr="008B6A75" w:rsidRDefault="00387142" w:rsidP="00387142">
            <w:pPr>
              <w:jc w:val="center"/>
              <w:rPr>
                <w:bCs/>
                <w:sz w:val="20"/>
                <w:szCs w:val="20"/>
              </w:rPr>
            </w:pPr>
            <w:r w:rsidRPr="008B6A75">
              <w:rPr>
                <w:bCs/>
                <w:sz w:val="20"/>
                <w:szCs w:val="20"/>
              </w:rPr>
              <w:t>99.0.00.51180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4D1A2D73" w14:textId="77777777" w:rsidR="00387142" w:rsidRPr="008B6A75" w:rsidRDefault="00387142" w:rsidP="00387142">
            <w:pPr>
              <w:jc w:val="center"/>
              <w:rPr>
                <w:bCs/>
                <w:sz w:val="20"/>
                <w:szCs w:val="20"/>
              </w:rPr>
            </w:pPr>
            <w:r w:rsidRPr="008B6A75">
              <w:rPr>
                <w:bCs/>
                <w:sz w:val="20"/>
                <w:szCs w:val="20"/>
              </w:rPr>
              <w:t> </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004E70F1" w14:textId="77777777" w:rsidR="00387142" w:rsidRPr="008B6A75" w:rsidRDefault="00387142" w:rsidP="00387142">
            <w:pPr>
              <w:jc w:val="right"/>
              <w:rPr>
                <w:bCs/>
                <w:sz w:val="20"/>
                <w:szCs w:val="20"/>
              </w:rPr>
            </w:pPr>
            <w:r w:rsidRPr="008B6A75">
              <w:rPr>
                <w:bCs/>
                <w:sz w:val="20"/>
                <w:szCs w:val="20"/>
              </w:rPr>
              <w:t>2 244 446,01</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5C4F910F" w14:textId="77777777" w:rsidR="00387142" w:rsidRPr="008B6A75" w:rsidRDefault="00387142" w:rsidP="00387142">
            <w:pPr>
              <w:jc w:val="right"/>
              <w:rPr>
                <w:bCs/>
                <w:sz w:val="20"/>
                <w:szCs w:val="20"/>
              </w:rPr>
            </w:pPr>
            <w:r w:rsidRPr="008B6A75">
              <w:rPr>
                <w:bCs/>
                <w:sz w:val="20"/>
                <w:szCs w:val="20"/>
              </w:rPr>
              <w:t>2 176 627,79</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737CDF8A" w14:textId="77777777" w:rsidR="00387142" w:rsidRPr="008B6A75" w:rsidRDefault="00387142" w:rsidP="00387142">
            <w:pPr>
              <w:jc w:val="right"/>
              <w:rPr>
                <w:bCs/>
                <w:sz w:val="20"/>
                <w:szCs w:val="20"/>
              </w:rPr>
            </w:pPr>
            <w:r w:rsidRPr="008B6A75">
              <w:rPr>
                <w:bCs/>
                <w:sz w:val="20"/>
                <w:szCs w:val="20"/>
              </w:rPr>
              <w:t>2 253 758,06</w:t>
            </w:r>
          </w:p>
        </w:tc>
        <w:tc>
          <w:tcPr>
            <w:tcW w:w="222" w:type="dxa"/>
            <w:vAlign w:val="center"/>
            <w:hideMark/>
          </w:tcPr>
          <w:p w14:paraId="1898995C" w14:textId="77777777" w:rsidR="00387142" w:rsidRPr="008B6A75" w:rsidRDefault="00387142" w:rsidP="00387142">
            <w:pPr>
              <w:rPr>
                <w:sz w:val="20"/>
                <w:szCs w:val="20"/>
              </w:rPr>
            </w:pPr>
          </w:p>
        </w:tc>
      </w:tr>
      <w:tr w:rsidR="00387142" w:rsidRPr="008B6A75" w14:paraId="4A241B77" w14:textId="77777777" w:rsidTr="00387142">
        <w:trPr>
          <w:trHeight w:val="300"/>
        </w:trPr>
        <w:tc>
          <w:tcPr>
            <w:tcW w:w="3021" w:type="dxa"/>
            <w:tcBorders>
              <w:top w:val="single" w:sz="4" w:space="0" w:color="auto"/>
              <w:left w:val="single" w:sz="4" w:space="0" w:color="auto"/>
              <w:bottom w:val="nil"/>
              <w:right w:val="nil"/>
            </w:tcBorders>
            <w:shd w:val="clear" w:color="auto" w:fill="auto"/>
            <w:vAlign w:val="center"/>
            <w:hideMark/>
          </w:tcPr>
          <w:p w14:paraId="05CCCA42" w14:textId="77777777" w:rsidR="00387142" w:rsidRPr="008B6A75" w:rsidRDefault="00387142" w:rsidP="00387142">
            <w:pPr>
              <w:rPr>
                <w:sz w:val="20"/>
                <w:szCs w:val="20"/>
              </w:rPr>
            </w:pPr>
            <w:r w:rsidRPr="008B6A75">
              <w:rPr>
                <w:sz w:val="20"/>
                <w:szCs w:val="20"/>
              </w:rPr>
              <w:t>Межбюджетные трансферты</w:t>
            </w:r>
          </w:p>
        </w:tc>
        <w:tc>
          <w:tcPr>
            <w:tcW w:w="850" w:type="dxa"/>
            <w:tcBorders>
              <w:top w:val="single" w:sz="4" w:space="0" w:color="auto"/>
              <w:left w:val="single" w:sz="4" w:space="0" w:color="auto"/>
              <w:bottom w:val="nil"/>
              <w:right w:val="nil"/>
            </w:tcBorders>
            <w:shd w:val="clear" w:color="auto" w:fill="auto"/>
            <w:noWrap/>
            <w:vAlign w:val="center"/>
            <w:hideMark/>
          </w:tcPr>
          <w:p w14:paraId="1C780B4A" w14:textId="77777777" w:rsidR="00387142" w:rsidRPr="008B6A75" w:rsidRDefault="00387142" w:rsidP="00387142">
            <w:pPr>
              <w:jc w:val="center"/>
              <w:rPr>
                <w:sz w:val="20"/>
                <w:szCs w:val="20"/>
              </w:rPr>
            </w:pPr>
            <w:r w:rsidRPr="008B6A75">
              <w:rPr>
                <w:sz w:val="20"/>
                <w:szCs w:val="20"/>
              </w:rPr>
              <w:t>444</w:t>
            </w:r>
          </w:p>
        </w:tc>
        <w:tc>
          <w:tcPr>
            <w:tcW w:w="709" w:type="dxa"/>
            <w:tcBorders>
              <w:top w:val="single" w:sz="4" w:space="0" w:color="auto"/>
              <w:left w:val="single" w:sz="4" w:space="0" w:color="auto"/>
              <w:bottom w:val="nil"/>
              <w:right w:val="nil"/>
            </w:tcBorders>
            <w:shd w:val="clear" w:color="auto" w:fill="auto"/>
            <w:noWrap/>
            <w:vAlign w:val="center"/>
            <w:hideMark/>
          </w:tcPr>
          <w:p w14:paraId="4455CA08" w14:textId="77777777" w:rsidR="00387142" w:rsidRPr="008B6A75" w:rsidRDefault="00387142" w:rsidP="00387142">
            <w:pPr>
              <w:jc w:val="center"/>
              <w:rPr>
                <w:sz w:val="20"/>
                <w:szCs w:val="20"/>
              </w:rPr>
            </w:pPr>
            <w:r w:rsidRPr="008B6A75">
              <w:rPr>
                <w:sz w:val="20"/>
                <w:szCs w:val="20"/>
              </w:rPr>
              <w:t>02</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2A347EEE" w14:textId="77777777" w:rsidR="00387142" w:rsidRPr="008B6A75" w:rsidRDefault="00387142" w:rsidP="00387142">
            <w:pPr>
              <w:jc w:val="center"/>
              <w:rPr>
                <w:sz w:val="20"/>
                <w:szCs w:val="20"/>
              </w:rPr>
            </w:pPr>
            <w:r w:rsidRPr="008B6A75">
              <w:rPr>
                <w:sz w:val="20"/>
                <w:szCs w:val="20"/>
              </w:rPr>
              <w:t>03</w:t>
            </w:r>
          </w:p>
        </w:tc>
        <w:tc>
          <w:tcPr>
            <w:tcW w:w="1411" w:type="dxa"/>
            <w:tcBorders>
              <w:top w:val="single" w:sz="4" w:space="0" w:color="auto"/>
              <w:left w:val="single" w:sz="4" w:space="0" w:color="auto"/>
              <w:bottom w:val="nil"/>
              <w:right w:val="nil"/>
            </w:tcBorders>
            <w:shd w:val="clear" w:color="auto" w:fill="auto"/>
            <w:noWrap/>
            <w:vAlign w:val="center"/>
            <w:hideMark/>
          </w:tcPr>
          <w:p w14:paraId="3AF64B20" w14:textId="77777777" w:rsidR="00387142" w:rsidRPr="008B6A75" w:rsidRDefault="00387142" w:rsidP="00387142">
            <w:pPr>
              <w:jc w:val="center"/>
              <w:rPr>
                <w:sz w:val="20"/>
                <w:szCs w:val="20"/>
              </w:rPr>
            </w:pPr>
            <w:r w:rsidRPr="008B6A75">
              <w:rPr>
                <w:sz w:val="20"/>
                <w:szCs w:val="20"/>
              </w:rPr>
              <w:t>99.0.00.51180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15ACDC3A" w14:textId="77777777" w:rsidR="00387142" w:rsidRPr="008B6A75" w:rsidRDefault="00387142" w:rsidP="00387142">
            <w:pPr>
              <w:jc w:val="center"/>
              <w:rPr>
                <w:sz w:val="20"/>
                <w:szCs w:val="20"/>
              </w:rPr>
            </w:pPr>
            <w:r w:rsidRPr="008B6A75">
              <w:rPr>
                <w:sz w:val="20"/>
                <w:szCs w:val="20"/>
              </w:rPr>
              <w:t>500</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23894921" w14:textId="77777777" w:rsidR="00387142" w:rsidRPr="008B6A75" w:rsidRDefault="00387142" w:rsidP="00387142">
            <w:pPr>
              <w:jc w:val="right"/>
              <w:rPr>
                <w:sz w:val="20"/>
                <w:szCs w:val="20"/>
              </w:rPr>
            </w:pPr>
            <w:r w:rsidRPr="008B6A75">
              <w:rPr>
                <w:sz w:val="20"/>
                <w:szCs w:val="20"/>
              </w:rPr>
              <w:t>2 244 446,01</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64C74955" w14:textId="77777777" w:rsidR="00387142" w:rsidRPr="008B6A75" w:rsidRDefault="00387142" w:rsidP="00387142">
            <w:pPr>
              <w:jc w:val="right"/>
              <w:rPr>
                <w:sz w:val="20"/>
                <w:szCs w:val="20"/>
              </w:rPr>
            </w:pPr>
            <w:r w:rsidRPr="008B6A75">
              <w:rPr>
                <w:sz w:val="20"/>
                <w:szCs w:val="20"/>
              </w:rPr>
              <w:t>2 176 627,79</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4C55339F" w14:textId="77777777" w:rsidR="00387142" w:rsidRPr="008B6A75" w:rsidRDefault="00387142" w:rsidP="00387142">
            <w:pPr>
              <w:jc w:val="right"/>
              <w:rPr>
                <w:sz w:val="20"/>
                <w:szCs w:val="20"/>
              </w:rPr>
            </w:pPr>
            <w:r w:rsidRPr="008B6A75">
              <w:rPr>
                <w:sz w:val="20"/>
                <w:szCs w:val="20"/>
              </w:rPr>
              <w:t>2 253 758,06</w:t>
            </w:r>
          </w:p>
        </w:tc>
        <w:tc>
          <w:tcPr>
            <w:tcW w:w="222" w:type="dxa"/>
            <w:vAlign w:val="center"/>
            <w:hideMark/>
          </w:tcPr>
          <w:p w14:paraId="7BAA2A42" w14:textId="77777777" w:rsidR="00387142" w:rsidRPr="008B6A75" w:rsidRDefault="00387142" w:rsidP="00387142">
            <w:pPr>
              <w:rPr>
                <w:sz w:val="20"/>
                <w:szCs w:val="20"/>
              </w:rPr>
            </w:pPr>
          </w:p>
        </w:tc>
      </w:tr>
      <w:tr w:rsidR="00387142" w:rsidRPr="008B6A75" w14:paraId="235EB5A2" w14:textId="77777777" w:rsidTr="00387142">
        <w:trPr>
          <w:trHeight w:val="300"/>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663E76E0" w14:textId="77777777" w:rsidR="00387142" w:rsidRPr="008B6A75" w:rsidRDefault="00387142" w:rsidP="00387142">
            <w:pPr>
              <w:rPr>
                <w:sz w:val="20"/>
                <w:szCs w:val="20"/>
              </w:rPr>
            </w:pPr>
            <w:r w:rsidRPr="008B6A75">
              <w:rPr>
                <w:sz w:val="20"/>
                <w:szCs w:val="20"/>
              </w:rPr>
              <w:t>Субвенции</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056356A1" w14:textId="77777777" w:rsidR="00387142" w:rsidRPr="008B6A75" w:rsidRDefault="00387142" w:rsidP="00387142">
            <w:pPr>
              <w:jc w:val="center"/>
              <w:rPr>
                <w:sz w:val="20"/>
                <w:szCs w:val="20"/>
              </w:rPr>
            </w:pPr>
            <w:r w:rsidRPr="008B6A75">
              <w:rPr>
                <w:sz w:val="20"/>
                <w:szCs w:val="20"/>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4EFF1D81" w14:textId="77777777" w:rsidR="00387142" w:rsidRPr="008B6A75" w:rsidRDefault="00387142" w:rsidP="00387142">
            <w:pPr>
              <w:jc w:val="center"/>
              <w:rPr>
                <w:sz w:val="20"/>
                <w:szCs w:val="20"/>
              </w:rPr>
            </w:pPr>
            <w:r w:rsidRPr="008B6A75">
              <w:rPr>
                <w:sz w:val="20"/>
                <w:szCs w:val="20"/>
              </w:rPr>
              <w:t>02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1BAE7D" w14:textId="77777777" w:rsidR="00387142" w:rsidRPr="008B6A75" w:rsidRDefault="00387142" w:rsidP="00387142">
            <w:pPr>
              <w:jc w:val="center"/>
              <w:rPr>
                <w:sz w:val="20"/>
                <w:szCs w:val="20"/>
              </w:rPr>
            </w:pPr>
            <w:r w:rsidRPr="008B6A75">
              <w:rPr>
                <w:sz w:val="20"/>
                <w:szCs w:val="20"/>
              </w:rPr>
              <w:t>03</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3D01B5F8" w14:textId="77777777" w:rsidR="00387142" w:rsidRPr="008B6A75" w:rsidRDefault="00387142" w:rsidP="00387142">
            <w:pPr>
              <w:jc w:val="center"/>
              <w:rPr>
                <w:sz w:val="20"/>
                <w:szCs w:val="20"/>
              </w:rPr>
            </w:pPr>
            <w:r w:rsidRPr="008B6A75">
              <w:rPr>
                <w:sz w:val="20"/>
                <w:szCs w:val="20"/>
              </w:rPr>
              <w:t>99.0.00.51180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AECCA7" w14:textId="77777777" w:rsidR="00387142" w:rsidRPr="008B6A75" w:rsidRDefault="00387142" w:rsidP="00387142">
            <w:pPr>
              <w:jc w:val="center"/>
              <w:rPr>
                <w:sz w:val="20"/>
                <w:szCs w:val="20"/>
              </w:rPr>
            </w:pPr>
            <w:r w:rsidRPr="008B6A75">
              <w:rPr>
                <w:sz w:val="20"/>
                <w:szCs w:val="20"/>
              </w:rPr>
              <w:t>530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EDE92E" w14:textId="77777777" w:rsidR="00387142" w:rsidRPr="008B6A75" w:rsidRDefault="00387142" w:rsidP="00387142">
            <w:pPr>
              <w:jc w:val="right"/>
              <w:rPr>
                <w:sz w:val="20"/>
                <w:szCs w:val="20"/>
              </w:rPr>
            </w:pPr>
            <w:r w:rsidRPr="008B6A75">
              <w:rPr>
                <w:sz w:val="20"/>
                <w:szCs w:val="20"/>
              </w:rPr>
              <w:t>2 244 446,01</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4B173A44" w14:textId="77777777" w:rsidR="00387142" w:rsidRPr="008B6A75" w:rsidRDefault="00387142" w:rsidP="00387142">
            <w:pPr>
              <w:jc w:val="right"/>
              <w:rPr>
                <w:sz w:val="20"/>
                <w:szCs w:val="20"/>
              </w:rPr>
            </w:pPr>
            <w:r w:rsidRPr="008B6A75">
              <w:rPr>
                <w:sz w:val="20"/>
                <w:szCs w:val="20"/>
              </w:rPr>
              <w:t>2 176 627,79</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231127" w14:textId="77777777" w:rsidR="00387142" w:rsidRPr="008B6A75" w:rsidRDefault="00387142" w:rsidP="00387142">
            <w:pPr>
              <w:jc w:val="right"/>
              <w:rPr>
                <w:sz w:val="20"/>
                <w:szCs w:val="20"/>
              </w:rPr>
            </w:pPr>
            <w:r w:rsidRPr="008B6A75">
              <w:rPr>
                <w:sz w:val="20"/>
                <w:szCs w:val="20"/>
              </w:rPr>
              <w:t>2 253 758,06</w:t>
            </w:r>
          </w:p>
        </w:tc>
        <w:tc>
          <w:tcPr>
            <w:tcW w:w="222" w:type="dxa"/>
            <w:vAlign w:val="center"/>
            <w:hideMark/>
          </w:tcPr>
          <w:p w14:paraId="3D55E5D3" w14:textId="77777777" w:rsidR="00387142" w:rsidRPr="008B6A75" w:rsidRDefault="00387142" w:rsidP="00387142">
            <w:pPr>
              <w:rPr>
                <w:sz w:val="20"/>
                <w:szCs w:val="20"/>
              </w:rPr>
            </w:pPr>
          </w:p>
        </w:tc>
      </w:tr>
      <w:tr w:rsidR="00387142" w:rsidRPr="008B6A75" w14:paraId="09F7C1F6" w14:textId="77777777" w:rsidTr="00387142">
        <w:trPr>
          <w:trHeight w:val="585"/>
        </w:trPr>
        <w:tc>
          <w:tcPr>
            <w:tcW w:w="3021" w:type="dxa"/>
            <w:tcBorders>
              <w:top w:val="nil"/>
              <w:left w:val="single" w:sz="4" w:space="0" w:color="auto"/>
              <w:bottom w:val="nil"/>
              <w:right w:val="nil"/>
            </w:tcBorders>
            <w:shd w:val="clear" w:color="auto" w:fill="auto"/>
            <w:vAlign w:val="center"/>
            <w:hideMark/>
          </w:tcPr>
          <w:p w14:paraId="036AC380" w14:textId="77777777" w:rsidR="00387142" w:rsidRPr="008B6A75" w:rsidRDefault="00387142" w:rsidP="00387142">
            <w:pPr>
              <w:rPr>
                <w:bCs/>
                <w:sz w:val="20"/>
                <w:szCs w:val="20"/>
              </w:rPr>
            </w:pPr>
            <w:r w:rsidRPr="008B6A75">
              <w:rPr>
                <w:bCs/>
                <w:sz w:val="20"/>
                <w:szCs w:val="20"/>
              </w:rPr>
              <w:t>НАЦИОНАЛЬНАЯ БЕЗОПАСНОСТЬ И ПРАВООХРАНИТЕЛЬНАЯ ДЕЯТЕЛЬНОСТЬ</w:t>
            </w:r>
          </w:p>
        </w:tc>
        <w:tc>
          <w:tcPr>
            <w:tcW w:w="850" w:type="dxa"/>
            <w:tcBorders>
              <w:top w:val="nil"/>
              <w:left w:val="single" w:sz="4" w:space="0" w:color="auto"/>
              <w:bottom w:val="nil"/>
              <w:right w:val="nil"/>
            </w:tcBorders>
            <w:shd w:val="clear" w:color="auto" w:fill="auto"/>
            <w:noWrap/>
            <w:vAlign w:val="center"/>
            <w:hideMark/>
          </w:tcPr>
          <w:p w14:paraId="31DAA918" w14:textId="77777777" w:rsidR="00387142" w:rsidRPr="008B6A75" w:rsidRDefault="00387142" w:rsidP="00387142">
            <w:pPr>
              <w:jc w:val="center"/>
              <w:rPr>
                <w:bCs/>
                <w:sz w:val="20"/>
                <w:szCs w:val="20"/>
              </w:rPr>
            </w:pPr>
            <w:r w:rsidRPr="008B6A75">
              <w:rPr>
                <w:bCs/>
                <w:sz w:val="20"/>
                <w:szCs w:val="20"/>
              </w:rPr>
              <w:t>444</w:t>
            </w:r>
          </w:p>
        </w:tc>
        <w:tc>
          <w:tcPr>
            <w:tcW w:w="709" w:type="dxa"/>
            <w:tcBorders>
              <w:top w:val="nil"/>
              <w:left w:val="single" w:sz="4" w:space="0" w:color="auto"/>
              <w:bottom w:val="nil"/>
              <w:right w:val="nil"/>
            </w:tcBorders>
            <w:shd w:val="clear" w:color="auto" w:fill="auto"/>
            <w:noWrap/>
            <w:vAlign w:val="center"/>
            <w:hideMark/>
          </w:tcPr>
          <w:p w14:paraId="2C95BBE9" w14:textId="77777777" w:rsidR="00387142" w:rsidRPr="008B6A75" w:rsidRDefault="00387142" w:rsidP="00387142">
            <w:pPr>
              <w:jc w:val="center"/>
              <w:rPr>
                <w:bCs/>
                <w:sz w:val="20"/>
                <w:szCs w:val="20"/>
              </w:rPr>
            </w:pPr>
            <w:r w:rsidRPr="008B6A75">
              <w:rPr>
                <w:bCs/>
                <w:sz w:val="20"/>
                <w:szCs w:val="20"/>
              </w:rPr>
              <w:t>03</w:t>
            </w:r>
          </w:p>
        </w:tc>
        <w:tc>
          <w:tcPr>
            <w:tcW w:w="709" w:type="dxa"/>
            <w:tcBorders>
              <w:top w:val="nil"/>
              <w:left w:val="single" w:sz="4" w:space="0" w:color="auto"/>
              <w:bottom w:val="nil"/>
              <w:right w:val="single" w:sz="4" w:space="0" w:color="auto"/>
            </w:tcBorders>
            <w:shd w:val="clear" w:color="auto" w:fill="auto"/>
            <w:noWrap/>
            <w:vAlign w:val="center"/>
            <w:hideMark/>
          </w:tcPr>
          <w:p w14:paraId="0756AA59" w14:textId="77777777" w:rsidR="00387142" w:rsidRPr="008B6A75" w:rsidRDefault="00387142" w:rsidP="00387142">
            <w:pPr>
              <w:jc w:val="center"/>
              <w:rPr>
                <w:bCs/>
                <w:sz w:val="20"/>
                <w:szCs w:val="20"/>
              </w:rPr>
            </w:pPr>
            <w:r w:rsidRPr="008B6A75">
              <w:rPr>
                <w:bCs/>
                <w:sz w:val="20"/>
                <w:szCs w:val="20"/>
              </w:rPr>
              <w:t> </w:t>
            </w:r>
          </w:p>
        </w:tc>
        <w:tc>
          <w:tcPr>
            <w:tcW w:w="1411" w:type="dxa"/>
            <w:tcBorders>
              <w:top w:val="nil"/>
              <w:left w:val="single" w:sz="4" w:space="0" w:color="auto"/>
              <w:bottom w:val="nil"/>
              <w:right w:val="nil"/>
            </w:tcBorders>
            <w:shd w:val="clear" w:color="auto" w:fill="auto"/>
            <w:noWrap/>
            <w:vAlign w:val="center"/>
            <w:hideMark/>
          </w:tcPr>
          <w:p w14:paraId="22D1BD80" w14:textId="77777777" w:rsidR="00387142" w:rsidRPr="008B6A75" w:rsidRDefault="00387142" w:rsidP="00387142">
            <w:pPr>
              <w:jc w:val="center"/>
              <w:rPr>
                <w:bCs/>
                <w:sz w:val="20"/>
                <w:szCs w:val="20"/>
              </w:rPr>
            </w:pPr>
            <w:r w:rsidRPr="008B6A75">
              <w:rPr>
                <w:bCs/>
                <w:sz w:val="20"/>
                <w:szCs w:val="20"/>
              </w:rPr>
              <w:t> </w:t>
            </w:r>
          </w:p>
        </w:tc>
        <w:tc>
          <w:tcPr>
            <w:tcW w:w="955" w:type="dxa"/>
            <w:tcBorders>
              <w:top w:val="nil"/>
              <w:left w:val="single" w:sz="4" w:space="0" w:color="auto"/>
              <w:bottom w:val="nil"/>
              <w:right w:val="single" w:sz="4" w:space="0" w:color="auto"/>
            </w:tcBorders>
            <w:shd w:val="clear" w:color="auto" w:fill="auto"/>
            <w:noWrap/>
            <w:vAlign w:val="center"/>
            <w:hideMark/>
          </w:tcPr>
          <w:p w14:paraId="635F8E92"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nil"/>
              <w:right w:val="single" w:sz="4" w:space="0" w:color="auto"/>
            </w:tcBorders>
            <w:shd w:val="clear" w:color="auto" w:fill="auto"/>
            <w:noWrap/>
            <w:vAlign w:val="center"/>
            <w:hideMark/>
          </w:tcPr>
          <w:p w14:paraId="63ED6448" w14:textId="77777777" w:rsidR="00387142" w:rsidRPr="008B6A75" w:rsidRDefault="00387142" w:rsidP="00387142">
            <w:pPr>
              <w:jc w:val="right"/>
              <w:rPr>
                <w:bCs/>
                <w:sz w:val="20"/>
                <w:szCs w:val="20"/>
              </w:rPr>
            </w:pPr>
            <w:r w:rsidRPr="008B6A75">
              <w:rPr>
                <w:bCs/>
                <w:sz w:val="20"/>
                <w:szCs w:val="20"/>
              </w:rPr>
              <w:t>19 330 883,36</w:t>
            </w:r>
          </w:p>
        </w:tc>
        <w:tc>
          <w:tcPr>
            <w:tcW w:w="992" w:type="dxa"/>
            <w:gridSpan w:val="2"/>
            <w:tcBorders>
              <w:top w:val="nil"/>
              <w:left w:val="single" w:sz="4" w:space="0" w:color="auto"/>
              <w:bottom w:val="nil"/>
              <w:right w:val="nil"/>
            </w:tcBorders>
            <w:shd w:val="clear" w:color="auto" w:fill="auto"/>
            <w:noWrap/>
            <w:vAlign w:val="center"/>
            <w:hideMark/>
          </w:tcPr>
          <w:p w14:paraId="252D17EB" w14:textId="77777777" w:rsidR="00387142" w:rsidRPr="008B6A75" w:rsidRDefault="00387142" w:rsidP="00387142">
            <w:pPr>
              <w:jc w:val="right"/>
              <w:rPr>
                <w:bCs/>
                <w:sz w:val="20"/>
                <w:szCs w:val="20"/>
              </w:rPr>
            </w:pPr>
            <w:r w:rsidRPr="008B6A75">
              <w:rPr>
                <w:bCs/>
                <w:sz w:val="20"/>
                <w:szCs w:val="20"/>
              </w:rPr>
              <w:t>6 650 000,00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4DFB4C37" w14:textId="77777777" w:rsidR="00387142" w:rsidRPr="008B6A75" w:rsidRDefault="00387142" w:rsidP="00387142">
            <w:pPr>
              <w:jc w:val="right"/>
              <w:rPr>
                <w:bCs/>
                <w:sz w:val="20"/>
                <w:szCs w:val="20"/>
              </w:rPr>
            </w:pPr>
            <w:r w:rsidRPr="008B6A75">
              <w:rPr>
                <w:bCs/>
                <w:sz w:val="20"/>
                <w:szCs w:val="20"/>
              </w:rPr>
              <w:t>6 650 000,00</w:t>
            </w:r>
          </w:p>
        </w:tc>
        <w:tc>
          <w:tcPr>
            <w:tcW w:w="222" w:type="dxa"/>
            <w:vAlign w:val="center"/>
            <w:hideMark/>
          </w:tcPr>
          <w:p w14:paraId="3CA7BC83" w14:textId="77777777" w:rsidR="00387142" w:rsidRPr="008B6A75" w:rsidRDefault="00387142" w:rsidP="00387142">
            <w:pPr>
              <w:rPr>
                <w:sz w:val="20"/>
                <w:szCs w:val="20"/>
              </w:rPr>
            </w:pPr>
          </w:p>
        </w:tc>
      </w:tr>
      <w:tr w:rsidR="00387142" w:rsidRPr="008B6A75" w14:paraId="1984441A" w14:textId="77777777" w:rsidTr="00387142">
        <w:trPr>
          <w:trHeight w:val="1155"/>
        </w:trPr>
        <w:tc>
          <w:tcPr>
            <w:tcW w:w="3021" w:type="dxa"/>
            <w:tcBorders>
              <w:top w:val="single" w:sz="4" w:space="0" w:color="auto"/>
              <w:left w:val="single" w:sz="4" w:space="0" w:color="auto"/>
              <w:bottom w:val="nil"/>
              <w:right w:val="nil"/>
            </w:tcBorders>
            <w:shd w:val="clear" w:color="auto" w:fill="auto"/>
            <w:vAlign w:val="center"/>
            <w:hideMark/>
          </w:tcPr>
          <w:p w14:paraId="00D8C214" w14:textId="77777777" w:rsidR="00387142" w:rsidRPr="008B6A75" w:rsidRDefault="00387142" w:rsidP="00387142">
            <w:pPr>
              <w:rPr>
                <w:bCs/>
                <w:sz w:val="20"/>
                <w:szCs w:val="20"/>
              </w:rPr>
            </w:pPr>
            <w:r w:rsidRPr="008B6A75">
              <w:rPr>
                <w:bCs/>
                <w:sz w:val="20"/>
                <w:szCs w:val="20"/>
              </w:rPr>
              <w:t>Защита населения и территории от чрезвычайных ситуаций природного и техногенного характера, пожарная безопасность</w:t>
            </w:r>
          </w:p>
        </w:tc>
        <w:tc>
          <w:tcPr>
            <w:tcW w:w="850" w:type="dxa"/>
            <w:tcBorders>
              <w:top w:val="single" w:sz="4" w:space="0" w:color="auto"/>
              <w:left w:val="single" w:sz="4" w:space="0" w:color="auto"/>
              <w:bottom w:val="nil"/>
              <w:right w:val="nil"/>
            </w:tcBorders>
            <w:shd w:val="clear" w:color="auto" w:fill="auto"/>
            <w:noWrap/>
            <w:vAlign w:val="center"/>
            <w:hideMark/>
          </w:tcPr>
          <w:p w14:paraId="169A263A" w14:textId="77777777" w:rsidR="00387142" w:rsidRPr="008B6A75" w:rsidRDefault="00387142" w:rsidP="00387142">
            <w:pPr>
              <w:jc w:val="center"/>
              <w:rPr>
                <w:bCs/>
                <w:sz w:val="20"/>
                <w:szCs w:val="20"/>
              </w:rPr>
            </w:pPr>
            <w:r w:rsidRPr="008B6A75">
              <w:rPr>
                <w:bCs/>
                <w:sz w:val="20"/>
                <w:szCs w:val="20"/>
              </w:rPr>
              <w:t>444</w:t>
            </w:r>
          </w:p>
        </w:tc>
        <w:tc>
          <w:tcPr>
            <w:tcW w:w="709" w:type="dxa"/>
            <w:tcBorders>
              <w:top w:val="single" w:sz="4" w:space="0" w:color="auto"/>
              <w:left w:val="single" w:sz="4" w:space="0" w:color="auto"/>
              <w:bottom w:val="nil"/>
              <w:right w:val="nil"/>
            </w:tcBorders>
            <w:shd w:val="clear" w:color="auto" w:fill="auto"/>
            <w:noWrap/>
            <w:vAlign w:val="center"/>
            <w:hideMark/>
          </w:tcPr>
          <w:p w14:paraId="32B931F3" w14:textId="77777777" w:rsidR="00387142" w:rsidRPr="008B6A75" w:rsidRDefault="00387142" w:rsidP="00387142">
            <w:pPr>
              <w:jc w:val="center"/>
              <w:rPr>
                <w:bCs/>
                <w:sz w:val="20"/>
                <w:szCs w:val="20"/>
              </w:rPr>
            </w:pPr>
            <w:r w:rsidRPr="008B6A75">
              <w:rPr>
                <w:bCs/>
                <w:sz w:val="20"/>
                <w:szCs w:val="20"/>
              </w:rPr>
              <w:t>03</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05BE0312" w14:textId="77777777" w:rsidR="00387142" w:rsidRPr="008B6A75" w:rsidRDefault="00387142" w:rsidP="00387142">
            <w:pPr>
              <w:jc w:val="center"/>
              <w:rPr>
                <w:bCs/>
                <w:sz w:val="20"/>
                <w:szCs w:val="20"/>
              </w:rPr>
            </w:pPr>
            <w:r w:rsidRPr="008B6A75">
              <w:rPr>
                <w:bCs/>
                <w:sz w:val="20"/>
                <w:szCs w:val="20"/>
              </w:rPr>
              <w:t>10</w:t>
            </w:r>
          </w:p>
        </w:tc>
        <w:tc>
          <w:tcPr>
            <w:tcW w:w="1411" w:type="dxa"/>
            <w:tcBorders>
              <w:top w:val="single" w:sz="4" w:space="0" w:color="auto"/>
              <w:left w:val="single" w:sz="4" w:space="0" w:color="auto"/>
              <w:bottom w:val="nil"/>
              <w:right w:val="nil"/>
            </w:tcBorders>
            <w:shd w:val="clear" w:color="auto" w:fill="auto"/>
            <w:noWrap/>
            <w:vAlign w:val="center"/>
            <w:hideMark/>
          </w:tcPr>
          <w:p w14:paraId="658885D1" w14:textId="77777777" w:rsidR="00387142" w:rsidRPr="008B6A75" w:rsidRDefault="00387142" w:rsidP="00387142">
            <w:pPr>
              <w:jc w:val="center"/>
              <w:rPr>
                <w:bCs/>
                <w:sz w:val="20"/>
                <w:szCs w:val="20"/>
              </w:rPr>
            </w:pPr>
            <w:r w:rsidRPr="008B6A75">
              <w:rPr>
                <w:bCs/>
                <w:sz w:val="20"/>
                <w:szCs w:val="20"/>
              </w:rPr>
              <w:t> </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418294EE" w14:textId="77777777" w:rsidR="00387142" w:rsidRPr="008B6A75" w:rsidRDefault="00387142" w:rsidP="00387142">
            <w:pPr>
              <w:jc w:val="center"/>
              <w:rPr>
                <w:bCs/>
                <w:sz w:val="20"/>
                <w:szCs w:val="20"/>
              </w:rPr>
            </w:pPr>
            <w:r w:rsidRPr="008B6A75">
              <w:rPr>
                <w:bCs/>
                <w:sz w:val="20"/>
                <w:szCs w:val="20"/>
              </w:rPr>
              <w:t> </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49984321" w14:textId="77777777" w:rsidR="00387142" w:rsidRPr="008B6A75" w:rsidRDefault="00387142" w:rsidP="00387142">
            <w:pPr>
              <w:jc w:val="right"/>
              <w:rPr>
                <w:bCs/>
                <w:sz w:val="20"/>
                <w:szCs w:val="20"/>
              </w:rPr>
            </w:pPr>
            <w:r w:rsidRPr="008B6A75">
              <w:rPr>
                <w:bCs/>
                <w:sz w:val="20"/>
                <w:szCs w:val="20"/>
              </w:rPr>
              <w:t>19 330 883,36</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71542C91" w14:textId="77777777" w:rsidR="00387142" w:rsidRPr="008B6A75" w:rsidRDefault="00387142" w:rsidP="00387142">
            <w:pPr>
              <w:jc w:val="right"/>
              <w:rPr>
                <w:bCs/>
                <w:sz w:val="20"/>
                <w:szCs w:val="20"/>
              </w:rPr>
            </w:pPr>
            <w:r w:rsidRPr="008B6A75">
              <w:rPr>
                <w:bCs/>
                <w:sz w:val="20"/>
                <w:szCs w:val="20"/>
              </w:rPr>
              <w:t>6 650 000,00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453E9FE0" w14:textId="77777777" w:rsidR="00387142" w:rsidRPr="008B6A75" w:rsidRDefault="00387142" w:rsidP="00387142">
            <w:pPr>
              <w:jc w:val="right"/>
              <w:rPr>
                <w:bCs/>
                <w:sz w:val="20"/>
                <w:szCs w:val="20"/>
              </w:rPr>
            </w:pPr>
            <w:r w:rsidRPr="008B6A75">
              <w:rPr>
                <w:bCs/>
                <w:sz w:val="20"/>
                <w:szCs w:val="20"/>
              </w:rPr>
              <w:t>6 650 000,00</w:t>
            </w:r>
          </w:p>
        </w:tc>
        <w:tc>
          <w:tcPr>
            <w:tcW w:w="222" w:type="dxa"/>
            <w:vAlign w:val="center"/>
            <w:hideMark/>
          </w:tcPr>
          <w:p w14:paraId="0E882F1E" w14:textId="77777777" w:rsidR="00387142" w:rsidRPr="008B6A75" w:rsidRDefault="00387142" w:rsidP="00387142">
            <w:pPr>
              <w:rPr>
                <w:sz w:val="20"/>
                <w:szCs w:val="20"/>
              </w:rPr>
            </w:pPr>
          </w:p>
        </w:tc>
      </w:tr>
      <w:tr w:rsidR="00387142" w:rsidRPr="008B6A75" w14:paraId="123EB33B" w14:textId="77777777" w:rsidTr="00387142">
        <w:trPr>
          <w:trHeight w:val="870"/>
        </w:trPr>
        <w:tc>
          <w:tcPr>
            <w:tcW w:w="3021" w:type="dxa"/>
            <w:tcBorders>
              <w:top w:val="single" w:sz="4" w:space="0" w:color="auto"/>
              <w:left w:val="single" w:sz="4" w:space="0" w:color="auto"/>
              <w:bottom w:val="nil"/>
              <w:right w:val="nil"/>
            </w:tcBorders>
            <w:shd w:val="clear" w:color="auto" w:fill="auto"/>
            <w:vAlign w:val="center"/>
            <w:hideMark/>
          </w:tcPr>
          <w:p w14:paraId="023567C0" w14:textId="77777777" w:rsidR="00387142" w:rsidRPr="008B6A75" w:rsidRDefault="00387142" w:rsidP="00387142">
            <w:pPr>
              <w:rPr>
                <w:bCs/>
                <w:sz w:val="20"/>
                <w:szCs w:val="20"/>
              </w:rPr>
            </w:pPr>
            <w:r w:rsidRPr="008B6A75">
              <w:rPr>
                <w:bCs/>
                <w:sz w:val="20"/>
                <w:szCs w:val="20"/>
              </w:rPr>
              <w:t>Муниципальная программа "Профилактика правонарушений, терроризма и экстремизма на территории Куйбышевского района"</w:t>
            </w:r>
          </w:p>
        </w:tc>
        <w:tc>
          <w:tcPr>
            <w:tcW w:w="850" w:type="dxa"/>
            <w:tcBorders>
              <w:top w:val="single" w:sz="4" w:space="0" w:color="auto"/>
              <w:left w:val="single" w:sz="4" w:space="0" w:color="auto"/>
              <w:bottom w:val="nil"/>
              <w:right w:val="nil"/>
            </w:tcBorders>
            <w:shd w:val="clear" w:color="auto" w:fill="auto"/>
            <w:noWrap/>
            <w:vAlign w:val="center"/>
            <w:hideMark/>
          </w:tcPr>
          <w:p w14:paraId="55D9DD1B" w14:textId="77777777" w:rsidR="00387142" w:rsidRPr="008B6A75" w:rsidRDefault="00387142" w:rsidP="00387142">
            <w:pPr>
              <w:jc w:val="center"/>
              <w:rPr>
                <w:bCs/>
                <w:sz w:val="20"/>
                <w:szCs w:val="20"/>
              </w:rPr>
            </w:pPr>
            <w:r w:rsidRPr="008B6A75">
              <w:rPr>
                <w:bCs/>
                <w:sz w:val="20"/>
                <w:szCs w:val="20"/>
              </w:rPr>
              <w:t>444</w:t>
            </w:r>
          </w:p>
        </w:tc>
        <w:tc>
          <w:tcPr>
            <w:tcW w:w="709" w:type="dxa"/>
            <w:tcBorders>
              <w:top w:val="single" w:sz="4" w:space="0" w:color="auto"/>
              <w:left w:val="single" w:sz="4" w:space="0" w:color="auto"/>
              <w:bottom w:val="nil"/>
              <w:right w:val="nil"/>
            </w:tcBorders>
            <w:shd w:val="clear" w:color="auto" w:fill="auto"/>
            <w:noWrap/>
            <w:vAlign w:val="center"/>
            <w:hideMark/>
          </w:tcPr>
          <w:p w14:paraId="22044308" w14:textId="77777777" w:rsidR="00387142" w:rsidRPr="008B6A75" w:rsidRDefault="00387142" w:rsidP="00387142">
            <w:pPr>
              <w:jc w:val="center"/>
              <w:rPr>
                <w:bCs/>
                <w:sz w:val="20"/>
                <w:szCs w:val="20"/>
              </w:rPr>
            </w:pPr>
            <w:r w:rsidRPr="008B6A75">
              <w:rPr>
                <w:bCs/>
                <w:sz w:val="20"/>
                <w:szCs w:val="20"/>
              </w:rPr>
              <w:t>03</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188C5BCE" w14:textId="77777777" w:rsidR="00387142" w:rsidRPr="008B6A75" w:rsidRDefault="00387142" w:rsidP="00387142">
            <w:pPr>
              <w:jc w:val="center"/>
              <w:rPr>
                <w:bCs/>
                <w:sz w:val="20"/>
                <w:szCs w:val="20"/>
              </w:rPr>
            </w:pPr>
            <w:r w:rsidRPr="008B6A75">
              <w:rPr>
                <w:bCs/>
                <w:sz w:val="20"/>
                <w:szCs w:val="20"/>
              </w:rPr>
              <w:t>10</w:t>
            </w:r>
          </w:p>
        </w:tc>
        <w:tc>
          <w:tcPr>
            <w:tcW w:w="1411" w:type="dxa"/>
            <w:tcBorders>
              <w:top w:val="single" w:sz="4" w:space="0" w:color="auto"/>
              <w:left w:val="single" w:sz="4" w:space="0" w:color="auto"/>
              <w:bottom w:val="nil"/>
              <w:right w:val="nil"/>
            </w:tcBorders>
            <w:shd w:val="clear" w:color="auto" w:fill="auto"/>
            <w:noWrap/>
            <w:vAlign w:val="center"/>
            <w:hideMark/>
          </w:tcPr>
          <w:p w14:paraId="5BAAB5C4" w14:textId="77777777" w:rsidR="00387142" w:rsidRPr="008B6A75" w:rsidRDefault="00387142" w:rsidP="00387142">
            <w:pPr>
              <w:jc w:val="center"/>
              <w:rPr>
                <w:bCs/>
                <w:sz w:val="20"/>
                <w:szCs w:val="20"/>
              </w:rPr>
            </w:pPr>
            <w:r w:rsidRPr="008B6A75">
              <w:rPr>
                <w:bCs/>
                <w:sz w:val="20"/>
                <w:szCs w:val="20"/>
              </w:rPr>
              <w:t>16.0.00.00000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3F0C086E" w14:textId="77777777" w:rsidR="00387142" w:rsidRPr="008B6A75" w:rsidRDefault="00387142" w:rsidP="00387142">
            <w:pPr>
              <w:jc w:val="center"/>
              <w:rPr>
                <w:bCs/>
                <w:sz w:val="20"/>
                <w:szCs w:val="20"/>
              </w:rPr>
            </w:pPr>
            <w:r w:rsidRPr="008B6A75">
              <w:rPr>
                <w:bCs/>
                <w:sz w:val="20"/>
                <w:szCs w:val="20"/>
              </w:rPr>
              <w:t> </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4BAC30D6" w14:textId="77777777" w:rsidR="00387142" w:rsidRPr="008B6A75" w:rsidRDefault="00387142" w:rsidP="00387142">
            <w:pPr>
              <w:jc w:val="right"/>
              <w:rPr>
                <w:bCs/>
                <w:sz w:val="20"/>
                <w:szCs w:val="20"/>
              </w:rPr>
            </w:pPr>
            <w:r w:rsidRPr="008B6A75">
              <w:rPr>
                <w:bCs/>
                <w:sz w:val="20"/>
                <w:szCs w:val="20"/>
              </w:rPr>
              <w:t>800 000,00</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27DA6985" w14:textId="77777777" w:rsidR="00387142" w:rsidRPr="008B6A75" w:rsidRDefault="00387142" w:rsidP="00387142">
            <w:pPr>
              <w:jc w:val="right"/>
              <w:rPr>
                <w:bCs/>
                <w:sz w:val="20"/>
                <w:szCs w:val="20"/>
              </w:rPr>
            </w:pPr>
            <w:r w:rsidRPr="008B6A75">
              <w:rPr>
                <w:bCs/>
                <w:sz w:val="20"/>
                <w:szCs w:val="20"/>
              </w:rPr>
              <w:t>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010EDCC0" w14:textId="77777777" w:rsidR="00387142" w:rsidRPr="008B6A75" w:rsidRDefault="00387142" w:rsidP="00387142">
            <w:pPr>
              <w:jc w:val="right"/>
              <w:rPr>
                <w:bCs/>
                <w:sz w:val="20"/>
                <w:szCs w:val="20"/>
              </w:rPr>
            </w:pPr>
            <w:r w:rsidRPr="008B6A75">
              <w:rPr>
                <w:bCs/>
                <w:sz w:val="20"/>
                <w:szCs w:val="20"/>
              </w:rPr>
              <w:t>0,00</w:t>
            </w:r>
          </w:p>
        </w:tc>
        <w:tc>
          <w:tcPr>
            <w:tcW w:w="222" w:type="dxa"/>
            <w:vAlign w:val="center"/>
            <w:hideMark/>
          </w:tcPr>
          <w:p w14:paraId="32376587" w14:textId="77777777" w:rsidR="00387142" w:rsidRPr="008B6A75" w:rsidRDefault="00387142" w:rsidP="00387142">
            <w:pPr>
              <w:rPr>
                <w:sz w:val="20"/>
                <w:szCs w:val="20"/>
              </w:rPr>
            </w:pPr>
          </w:p>
        </w:tc>
      </w:tr>
      <w:tr w:rsidR="00387142" w:rsidRPr="008B6A75" w14:paraId="5DB8B2E6" w14:textId="77777777" w:rsidTr="00387142">
        <w:trPr>
          <w:trHeight w:val="1155"/>
        </w:trPr>
        <w:tc>
          <w:tcPr>
            <w:tcW w:w="3021" w:type="dxa"/>
            <w:tcBorders>
              <w:top w:val="single" w:sz="4" w:space="0" w:color="auto"/>
              <w:left w:val="single" w:sz="4" w:space="0" w:color="auto"/>
              <w:bottom w:val="nil"/>
              <w:right w:val="nil"/>
            </w:tcBorders>
            <w:shd w:val="clear" w:color="auto" w:fill="auto"/>
            <w:vAlign w:val="center"/>
            <w:hideMark/>
          </w:tcPr>
          <w:p w14:paraId="0A6E8C7B" w14:textId="77777777" w:rsidR="00387142" w:rsidRPr="008B6A75" w:rsidRDefault="00387142" w:rsidP="00387142">
            <w:pPr>
              <w:rPr>
                <w:bCs/>
                <w:sz w:val="20"/>
                <w:szCs w:val="20"/>
              </w:rPr>
            </w:pPr>
            <w:r w:rsidRPr="008B6A75">
              <w:rPr>
                <w:bCs/>
                <w:sz w:val="20"/>
                <w:szCs w:val="20"/>
              </w:rPr>
              <w:t>Реализация мероприятий муниципальной программы "Профилактика правонарушений, терроризма и экстремизма на территории Куйбышевского района"</w:t>
            </w:r>
          </w:p>
        </w:tc>
        <w:tc>
          <w:tcPr>
            <w:tcW w:w="850" w:type="dxa"/>
            <w:tcBorders>
              <w:top w:val="single" w:sz="4" w:space="0" w:color="auto"/>
              <w:left w:val="single" w:sz="4" w:space="0" w:color="auto"/>
              <w:bottom w:val="nil"/>
              <w:right w:val="nil"/>
            </w:tcBorders>
            <w:shd w:val="clear" w:color="auto" w:fill="auto"/>
            <w:noWrap/>
            <w:vAlign w:val="center"/>
            <w:hideMark/>
          </w:tcPr>
          <w:p w14:paraId="4E1002B1" w14:textId="77777777" w:rsidR="00387142" w:rsidRPr="008B6A75" w:rsidRDefault="00387142" w:rsidP="00387142">
            <w:pPr>
              <w:jc w:val="center"/>
              <w:rPr>
                <w:bCs/>
                <w:sz w:val="20"/>
                <w:szCs w:val="20"/>
              </w:rPr>
            </w:pPr>
            <w:r w:rsidRPr="008B6A75">
              <w:rPr>
                <w:bCs/>
                <w:sz w:val="20"/>
                <w:szCs w:val="20"/>
              </w:rPr>
              <w:t>444</w:t>
            </w:r>
          </w:p>
        </w:tc>
        <w:tc>
          <w:tcPr>
            <w:tcW w:w="709" w:type="dxa"/>
            <w:tcBorders>
              <w:top w:val="single" w:sz="4" w:space="0" w:color="auto"/>
              <w:left w:val="single" w:sz="4" w:space="0" w:color="auto"/>
              <w:bottom w:val="nil"/>
              <w:right w:val="nil"/>
            </w:tcBorders>
            <w:shd w:val="clear" w:color="auto" w:fill="auto"/>
            <w:noWrap/>
            <w:vAlign w:val="center"/>
            <w:hideMark/>
          </w:tcPr>
          <w:p w14:paraId="574424BE" w14:textId="77777777" w:rsidR="00387142" w:rsidRPr="008B6A75" w:rsidRDefault="00387142" w:rsidP="00387142">
            <w:pPr>
              <w:jc w:val="center"/>
              <w:rPr>
                <w:bCs/>
                <w:sz w:val="20"/>
                <w:szCs w:val="20"/>
              </w:rPr>
            </w:pPr>
            <w:r w:rsidRPr="008B6A75">
              <w:rPr>
                <w:bCs/>
                <w:sz w:val="20"/>
                <w:szCs w:val="20"/>
              </w:rPr>
              <w:t>03</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6C42667C" w14:textId="77777777" w:rsidR="00387142" w:rsidRPr="008B6A75" w:rsidRDefault="00387142" w:rsidP="00387142">
            <w:pPr>
              <w:jc w:val="center"/>
              <w:rPr>
                <w:bCs/>
                <w:sz w:val="20"/>
                <w:szCs w:val="20"/>
              </w:rPr>
            </w:pPr>
            <w:r w:rsidRPr="008B6A75">
              <w:rPr>
                <w:bCs/>
                <w:sz w:val="20"/>
                <w:szCs w:val="20"/>
              </w:rPr>
              <w:t>10</w:t>
            </w:r>
          </w:p>
        </w:tc>
        <w:tc>
          <w:tcPr>
            <w:tcW w:w="1411" w:type="dxa"/>
            <w:tcBorders>
              <w:top w:val="single" w:sz="4" w:space="0" w:color="auto"/>
              <w:left w:val="single" w:sz="4" w:space="0" w:color="auto"/>
              <w:bottom w:val="nil"/>
              <w:right w:val="nil"/>
            </w:tcBorders>
            <w:shd w:val="clear" w:color="auto" w:fill="auto"/>
            <w:noWrap/>
            <w:vAlign w:val="center"/>
            <w:hideMark/>
          </w:tcPr>
          <w:p w14:paraId="4A629E9A" w14:textId="77777777" w:rsidR="00387142" w:rsidRPr="008B6A75" w:rsidRDefault="00387142" w:rsidP="00387142">
            <w:pPr>
              <w:jc w:val="center"/>
              <w:rPr>
                <w:bCs/>
                <w:sz w:val="20"/>
                <w:szCs w:val="20"/>
              </w:rPr>
            </w:pPr>
            <w:r w:rsidRPr="008B6A75">
              <w:rPr>
                <w:bCs/>
                <w:sz w:val="20"/>
                <w:szCs w:val="20"/>
              </w:rPr>
              <w:t>16.0.00.79500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446B6804" w14:textId="77777777" w:rsidR="00387142" w:rsidRPr="008B6A75" w:rsidRDefault="00387142" w:rsidP="00387142">
            <w:pPr>
              <w:jc w:val="center"/>
              <w:rPr>
                <w:bCs/>
                <w:sz w:val="20"/>
                <w:szCs w:val="20"/>
              </w:rPr>
            </w:pPr>
            <w:r w:rsidRPr="008B6A75">
              <w:rPr>
                <w:bCs/>
                <w:sz w:val="20"/>
                <w:szCs w:val="20"/>
              </w:rPr>
              <w:t> </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678234C5" w14:textId="77777777" w:rsidR="00387142" w:rsidRPr="008B6A75" w:rsidRDefault="00387142" w:rsidP="00387142">
            <w:pPr>
              <w:jc w:val="right"/>
              <w:rPr>
                <w:bCs/>
                <w:sz w:val="20"/>
                <w:szCs w:val="20"/>
              </w:rPr>
            </w:pPr>
            <w:r w:rsidRPr="008B6A75">
              <w:rPr>
                <w:bCs/>
                <w:sz w:val="20"/>
                <w:szCs w:val="20"/>
              </w:rPr>
              <w:t>800 000,00</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092F692C" w14:textId="77777777" w:rsidR="00387142" w:rsidRPr="008B6A75" w:rsidRDefault="00387142" w:rsidP="00387142">
            <w:pPr>
              <w:jc w:val="right"/>
              <w:rPr>
                <w:bCs/>
                <w:sz w:val="20"/>
                <w:szCs w:val="20"/>
              </w:rPr>
            </w:pPr>
            <w:r w:rsidRPr="008B6A75">
              <w:rPr>
                <w:bCs/>
                <w:sz w:val="20"/>
                <w:szCs w:val="20"/>
              </w:rPr>
              <w:t>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7AE27D45" w14:textId="77777777" w:rsidR="00387142" w:rsidRPr="008B6A75" w:rsidRDefault="00387142" w:rsidP="00387142">
            <w:pPr>
              <w:jc w:val="right"/>
              <w:rPr>
                <w:bCs/>
                <w:sz w:val="20"/>
                <w:szCs w:val="20"/>
              </w:rPr>
            </w:pPr>
            <w:r w:rsidRPr="008B6A75">
              <w:rPr>
                <w:bCs/>
                <w:sz w:val="20"/>
                <w:szCs w:val="20"/>
              </w:rPr>
              <w:t>0,00</w:t>
            </w:r>
          </w:p>
        </w:tc>
        <w:tc>
          <w:tcPr>
            <w:tcW w:w="222" w:type="dxa"/>
            <w:vAlign w:val="center"/>
            <w:hideMark/>
          </w:tcPr>
          <w:p w14:paraId="5DECBA6C" w14:textId="77777777" w:rsidR="00387142" w:rsidRPr="008B6A75" w:rsidRDefault="00387142" w:rsidP="00387142">
            <w:pPr>
              <w:rPr>
                <w:sz w:val="20"/>
                <w:szCs w:val="20"/>
              </w:rPr>
            </w:pPr>
          </w:p>
        </w:tc>
      </w:tr>
      <w:tr w:rsidR="00387142" w:rsidRPr="008B6A75" w14:paraId="756AF8FC" w14:textId="77777777" w:rsidTr="00387142">
        <w:trPr>
          <w:trHeight w:val="585"/>
        </w:trPr>
        <w:tc>
          <w:tcPr>
            <w:tcW w:w="3021" w:type="dxa"/>
            <w:tcBorders>
              <w:top w:val="single" w:sz="4" w:space="0" w:color="auto"/>
              <w:left w:val="single" w:sz="4" w:space="0" w:color="auto"/>
              <w:bottom w:val="nil"/>
              <w:right w:val="nil"/>
            </w:tcBorders>
            <w:shd w:val="clear" w:color="auto" w:fill="auto"/>
            <w:vAlign w:val="center"/>
            <w:hideMark/>
          </w:tcPr>
          <w:p w14:paraId="11B41074" w14:textId="77777777" w:rsidR="00387142" w:rsidRPr="008B6A75" w:rsidRDefault="00387142" w:rsidP="00387142">
            <w:pPr>
              <w:rPr>
                <w:sz w:val="20"/>
                <w:szCs w:val="20"/>
              </w:rPr>
            </w:pPr>
            <w:r w:rsidRPr="008B6A75">
              <w:rPr>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nil"/>
              <w:right w:val="nil"/>
            </w:tcBorders>
            <w:shd w:val="clear" w:color="auto" w:fill="auto"/>
            <w:noWrap/>
            <w:vAlign w:val="center"/>
            <w:hideMark/>
          </w:tcPr>
          <w:p w14:paraId="43E7DF06" w14:textId="77777777" w:rsidR="00387142" w:rsidRPr="008B6A75" w:rsidRDefault="00387142" w:rsidP="00387142">
            <w:pPr>
              <w:jc w:val="center"/>
              <w:rPr>
                <w:sz w:val="20"/>
                <w:szCs w:val="20"/>
              </w:rPr>
            </w:pPr>
            <w:r w:rsidRPr="008B6A75">
              <w:rPr>
                <w:sz w:val="20"/>
                <w:szCs w:val="20"/>
              </w:rPr>
              <w:t>444</w:t>
            </w:r>
          </w:p>
        </w:tc>
        <w:tc>
          <w:tcPr>
            <w:tcW w:w="709" w:type="dxa"/>
            <w:tcBorders>
              <w:top w:val="single" w:sz="4" w:space="0" w:color="auto"/>
              <w:left w:val="single" w:sz="4" w:space="0" w:color="auto"/>
              <w:bottom w:val="nil"/>
              <w:right w:val="nil"/>
            </w:tcBorders>
            <w:shd w:val="clear" w:color="auto" w:fill="auto"/>
            <w:noWrap/>
            <w:vAlign w:val="center"/>
            <w:hideMark/>
          </w:tcPr>
          <w:p w14:paraId="3163BB74" w14:textId="77777777" w:rsidR="00387142" w:rsidRPr="008B6A75" w:rsidRDefault="00387142" w:rsidP="00387142">
            <w:pPr>
              <w:jc w:val="center"/>
              <w:rPr>
                <w:sz w:val="20"/>
                <w:szCs w:val="20"/>
              </w:rPr>
            </w:pPr>
            <w:r w:rsidRPr="008B6A75">
              <w:rPr>
                <w:sz w:val="20"/>
                <w:szCs w:val="20"/>
              </w:rPr>
              <w:t>03</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5A1B158D" w14:textId="77777777" w:rsidR="00387142" w:rsidRPr="008B6A75" w:rsidRDefault="00387142" w:rsidP="00387142">
            <w:pPr>
              <w:jc w:val="center"/>
              <w:rPr>
                <w:sz w:val="20"/>
                <w:szCs w:val="20"/>
              </w:rPr>
            </w:pPr>
            <w:r w:rsidRPr="008B6A75">
              <w:rPr>
                <w:sz w:val="20"/>
                <w:szCs w:val="20"/>
              </w:rPr>
              <w:t>10</w:t>
            </w:r>
          </w:p>
        </w:tc>
        <w:tc>
          <w:tcPr>
            <w:tcW w:w="1411" w:type="dxa"/>
            <w:tcBorders>
              <w:top w:val="single" w:sz="4" w:space="0" w:color="auto"/>
              <w:left w:val="single" w:sz="4" w:space="0" w:color="auto"/>
              <w:bottom w:val="nil"/>
              <w:right w:val="nil"/>
            </w:tcBorders>
            <w:shd w:val="clear" w:color="auto" w:fill="auto"/>
            <w:noWrap/>
            <w:vAlign w:val="center"/>
            <w:hideMark/>
          </w:tcPr>
          <w:p w14:paraId="5C1695D7" w14:textId="77777777" w:rsidR="00387142" w:rsidRPr="008B6A75" w:rsidRDefault="00387142" w:rsidP="00387142">
            <w:pPr>
              <w:jc w:val="center"/>
              <w:rPr>
                <w:sz w:val="20"/>
                <w:szCs w:val="20"/>
              </w:rPr>
            </w:pPr>
            <w:r w:rsidRPr="008B6A75">
              <w:rPr>
                <w:sz w:val="20"/>
                <w:szCs w:val="20"/>
              </w:rPr>
              <w:t>16.0.00.79500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697F4E37" w14:textId="77777777" w:rsidR="00387142" w:rsidRPr="008B6A75" w:rsidRDefault="00387142" w:rsidP="00387142">
            <w:pPr>
              <w:jc w:val="center"/>
              <w:rPr>
                <w:sz w:val="20"/>
                <w:szCs w:val="20"/>
              </w:rPr>
            </w:pPr>
            <w:r w:rsidRPr="008B6A75">
              <w:rPr>
                <w:sz w:val="20"/>
                <w:szCs w:val="20"/>
              </w:rPr>
              <w:t>200</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53E89083" w14:textId="77777777" w:rsidR="00387142" w:rsidRPr="008B6A75" w:rsidRDefault="00387142" w:rsidP="00387142">
            <w:pPr>
              <w:jc w:val="right"/>
              <w:rPr>
                <w:sz w:val="20"/>
                <w:szCs w:val="20"/>
              </w:rPr>
            </w:pPr>
            <w:r w:rsidRPr="008B6A75">
              <w:rPr>
                <w:sz w:val="20"/>
                <w:szCs w:val="20"/>
              </w:rPr>
              <w:t>800 000,00</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1BFCC716" w14:textId="77777777" w:rsidR="00387142" w:rsidRPr="008B6A75" w:rsidRDefault="00387142" w:rsidP="00387142">
            <w:pPr>
              <w:jc w:val="right"/>
              <w:rPr>
                <w:sz w:val="20"/>
                <w:szCs w:val="20"/>
              </w:rPr>
            </w:pPr>
            <w:r w:rsidRPr="008B6A75">
              <w:rPr>
                <w:sz w:val="20"/>
                <w:szCs w:val="20"/>
              </w:rPr>
              <w:t>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4B6E5422" w14:textId="77777777" w:rsidR="00387142" w:rsidRPr="008B6A75" w:rsidRDefault="00387142" w:rsidP="00387142">
            <w:pPr>
              <w:jc w:val="right"/>
              <w:rPr>
                <w:sz w:val="20"/>
                <w:szCs w:val="20"/>
              </w:rPr>
            </w:pPr>
            <w:r w:rsidRPr="008B6A75">
              <w:rPr>
                <w:sz w:val="20"/>
                <w:szCs w:val="20"/>
              </w:rPr>
              <w:t>0,00</w:t>
            </w:r>
          </w:p>
        </w:tc>
        <w:tc>
          <w:tcPr>
            <w:tcW w:w="222" w:type="dxa"/>
            <w:vAlign w:val="center"/>
            <w:hideMark/>
          </w:tcPr>
          <w:p w14:paraId="629E7E95" w14:textId="77777777" w:rsidR="00387142" w:rsidRPr="008B6A75" w:rsidRDefault="00387142" w:rsidP="00387142">
            <w:pPr>
              <w:rPr>
                <w:sz w:val="20"/>
                <w:szCs w:val="20"/>
              </w:rPr>
            </w:pPr>
          </w:p>
        </w:tc>
      </w:tr>
      <w:tr w:rsidR="00387142" w:rsidRPr="008B6A75" w14:paraId="1D14D2EE" w14:textId="77777777" w:rsidTr="00387142">
        <w:trPr>
          <w:trHeight w:val="870"/>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23DEDA1A" w14:textId="77777777" w:rsidR="00387142" w:rsidRPr="008B6A75" w:rsidRDefault="00387142" w:rsidP="00387142">
            <w:pPr>
              <w:rPr>
                <w:sz w:val="20"/>
                <w:szCs w:val="20"/>
              </w:rPr>
            </w:pPr>
            <w:r w:rsidRPr="008B6A75">
              <w:rPr>
                <w:sz w:val="20"/>
                <w:szCs w:val="20"/>
              </w:rPr>
              <w:lastRenderedPageBreak/>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3761E958" w14:textId="77777777" w:rsidR="00387142" w:rsidRPr="008B6A75" w:rsidRDefault="00387142" w:rsidP="00387142">
            <w:pPr>
              <w:jc w:val="center"/>
              <w:rPr>
                <w:sz w:val="20"/>
                <w:szCs w:val="20"/>
              </w:rPr>
            </w:pPr>
            <w:r w:rsidRPr="008B6A75">
              <w:rPr>
                <w:sz w:val="20"/>
                <w:szCs w:val="20"/>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42419CE6" w14:textId="77777777" w:rsidR="00387142" w:rsidRPr="008B6A75" w:rsidRDefault="00387142" w:rsidP="00387142">
            <w:pPr>
              <w:jc w:val="center"/>
              <w:rPr>
                <w:sz w:val="20"/>
                <w:szCs w:val="20"/>
              </w:rPr>
            </w:pPr>
            <w:r w:rsidRPr="008B6A75">
              <w:rPr>
                <w:sz w:val="20"/>
                <w:szCs w:val="20"/>
              </w:rPr>
              <w:t>03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2D0BC7" w14:textId="77777777" w:rsidR="00387142" w:rsidRPr="008B6A75" w:rsidRDefault="00387142" w:rsidP="00387142">
            <w:pPr>
              <w:jc w:val="center"/>
              <w:rPr>
                <w:sz w:val="20"/>
                <w:szCs w:val="20"/>
              </w:rPr>
            </w:pPr>
            <w:r w:rsidRPr="008B6A75">
              <w:rPr>
                <w:sz w:val="20"/>
                <w:szCs w:val="20"/>
              </w:rPr>
              <w:t>10</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5D29C488" w14:textId="77777777" w:rsidR="00387142" w:rsidRPr="008B6A75" w:rsidRDefault="00387142" w:rsidP="00387142">
            <w:pPr>
              <w:jc w:val="center"/>
              <w:rPr>
                <w:sz w:val="20"/>
                <w:szCs w:val="20"/>
              </w:rPr>
            </w:pPr>
            <w:r w:rsidRPr="008B6A75">
              <w:rPr>
                <w:sz w:val="20"/>
                <w:szCs w:val="20"/>
              </w:rPr>
              <w:t>16.0.00.79500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657D2F" w14:textId="77777777" w:rsidR="00387142" w:rsidRPr="008B6A75" w:rsidRDefault="00387142" w:rsidP="00387142">
            <w:pPr>
              <w:jc w:val="center"/>
              <w:rPr>
                <w:sz w:val="20"/>
                <w:szCs w:val="20"/>
              </w:rPr>
            </w:pPr>
            <w:r w:rsidRPr="008B6A75">
              <w:rPr>
                <w:sz w:val="20"/>
                <w:szCs w:val="20"/>
              </w:rPr>
              <w:t>240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803D82" w14:textId="77777777" w:rsidR="00387142" w:rsidRPr="008B6A75" w:rsidRDefault="00387142" w:rsidP="00387142">
            <w:pPr>
              <w:jc w:val="right"/>
              <w:rPr>
                <w:sz w:val="20"/>
                <w:szCs w:val="20"/>
              </w:rPr>
            </w:pPr>
            <w:r w:rsidRPr="008B6A75">
              <w:rPr>
                <w:sz w:val="20"/>
                <w:szCs w:val="20"/>
              </w:rPr>
              <w:t>800 000,00</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38C45801" w14:textId="77777777" w:rsidR="00387142" w:rsidRPr="008B6A75" w:rsidRDefault="00387142" w:rsidP="00387142">
            <w:pPr>
              <w:jc w:val="right"/>
              <w:rPr>
                <w:sz w:val="20"/>
                <w:szCs w:val="20"/>
              </w:rPr>
            </w:pPr>
            <w:r w:rsidRPr="008B6A75">
              <w:rPr>
                <w:sz w:val="20"/>
                <w:szCs w:val="20"/>
              </w:rPr>
              <w:t>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70E58B" w14:textId="77777777" w:rsidR="00387142" w:rsidRPr="008B6A75" w:rsidRDefault="00387142" w:rsidP="00387142">
            <w:pPr>
              <w:jc w:val="right"/>
              <w:rPr>
                <w:sz w:val="20"/>
                <w:szCs w:val="20"/>
              </w:rPr>
            </w:pPr>
            <w:r w:rsidRPr="008B6A75">
              <w:rPr>
                <w:sz w:val="20"/>
                <w:szCs w:val="20"/>
              </w:rPr>
              <w:t>0,00</w:t>
            </w:r>
          </w:p>
        </w:tc>
        <w:tc>
          <w:tcPr>
            <w:tcW w:w="222" w:type="dxa"/>
            <w:vAlign w:val="center"/>
            <w:hideMark/>
          </w:tcPr>
          <w:p w14:paraId="0922F4C5" w14:textId="77777777" w:rsidR="00387142" w:rsidRPr="008B6A75" w:rsidRDefault="00387142" w:rsidP="00387142">
            <w:pPr>
              <w:rPr>
                <w:sz w:val="20"/>
                <w:szCs w:val="20"/>
              </w:rPr>
            </w:pPr>
          </w:p>
        </w:tc>
      </w:tr>
      <w:tr w:rsidR="00387142" w:rsidRPr="008B6A75" w14:paraId="5BEB5F62" w14:textId="77777777" w:rsidTr="00387142">
        <w:trPr>
          <w:trHeight w:val="870"/>
        </w:trPr>
        <w:tc>
          <w:tcPr>
            <w:tcW w:w="3021" w:type="dxa"/>
            <w:tcBorders>
              <w:top w:val="nil"/>
              <w:left w:val="single" w:sz="4" w:space="0" w:color="auto"/>
              <w:bottom w:val="nil"/>
              <w:right w:val="nil"/>
            </w:tcBorders>
            <w:shd w:val="clear" w:color="auto" w:fill="auto"/>
            <w:vAlign w:val="center"/>
            <w:hideMark/>
          </w:tcPr>
          <w:p w14:paraId="42ECB221" w14:textId="77777777" w:rsidR="00387142" w:rsidRPr="008B6A75" w:rsidRDefault="00387142" w:rsidP="00387142">
            <w:pPr>
              <w:rPr>
                <w:bCs/>
                <w:sz w:val="20"/>
                <w:szCs w:val="20"/>
              </w:rPr>
            </w:pPr>
            <w:r w:rsidRPr="008B6A75">
              <w:rPr>
                <w:bCs/>
                <w:sz w:val="20"/>
                <w:szCs w:val="20"/>
              </w:rPr>
              <w:t>Муниципальная программа «Обеспечение безопасности жизнедеятельности населения Куйбышевского района»</w:t>
            </w:r>
          </w:p>
        </w:tc>
        <w:tc>
          <w:tcPr>
            <w:tcW w:w="850" w:type="dxa"/>
            <w:tcBorders>
              <w:top w:val="nil"/>
              <w:left w:val="single" w:sz="4" w:space="0" w:color="auto"/>
              <w:bottom w:val="nil"/>
              <w:right w:val="nil"/>
            </w:tcBorders>
            <w:shd w:val="clear" w:color="auto" w:fill="auto"/>
            <w:noWrap/>
            <w:vAlign w:val="center"/>
            <w:hideMark/>
          </w:tcPr>
          <w:p w14:paraId="0D7A6246" w14:textId="77777777" w:rsidR="00387142" w:rsidRPr="008B6A75" w:rsidRDefault="00387142" w:rsidP="00387142">
            <w:pPr>
              <w:jc w:val="center"/>
              <w:rPr>
                <w:bCs/>
                <w:sz w:val="20"/>
                <w:szCs w:val="20"/>
              </w:rPr>
            </w:pPr>
            <w:r w:rsidRPr="008B6A75">
              <w:rPr>
                <w:bCs/>
                <w:sz w:val="20"/>
                <w:szCs w:val="20"/>
              </w:rPr>
              <w:t>444</w:t>
            </w:r>
          </w:p>
        </w:tc>
        <w:tc>
          <w:tcPr>
            <w:tcW w:w="709" w:type="dxa"/>
            <w:tcBorders>
              <w:top w:val="nil"/>
              <w:left w:val="single" w:sz="4" w:space="0" w:color="auto"/>
              <w:bottom w:val="nil"/>
              <w:right w:val="nil"/>
            </w:tcBorders>
            <w:shd w:val="clear" w:color="auto" w:fill="auto"/>
            <w:noWrap/>
            <w:vAlign w:val="center"/>
            <w:hideMark/>
          </w:tcPr>
          <w:p w14:paraId="2B18D971" w14:textId="77777777" w:rsidR="00387142" w:rsidRPr="008B6A75" w:rsidRDefault="00387142" w:rsidP="00387142">
            <w:pPr>
              <w:jc w:val="center"/>
              <w:rPr>
                <w:bCs/>
                <w:sz w:val="20"/>
                <w:szCs w:val="20"/>
              </w:rPr>
            </w:pPr>
            <w:r w:rsidRPr="008B6A75">
              <w:rPr>
                <w:bCs/>
                <w:sz w:val="20"/>
                <w:szCs w:val="20"/>
              </w:rPr>
              <w:t>03</w:t>
            </w:r>
          </w:p>
        </w:tc>
        <w:tc>
          <w:tcPr>
            <w:tcW w:w="709" w:type="dxa"/>
            <w:tcBorders>
              <w:top w:val="nil"/>
              <w:left w:val="single" w:sz="4" w:space="0" w:color="auto"/>
              <w:bottom w:val="nil"/>
              <w:right w:val="single" w:sz="4" w:space="0" w:color="auto"/>
            </w:tcBorders>
            <w:shd w:val="clear" w:color="auto" w:fill="auto"/>
            <w:noWrap/>
            <w:vAlign w:val="center"/>
            <w:hideMark/>
          </w:tcPr>
          <w:p w14:paraId="735A9EDC" w14:textId="77777777" w:rsidR="00387142" w:rsidRPr="008B6A75" w:rsidRDefault="00387142" w:rsidP="00387142">
            <w:pPr>
              <w:jc w:val="center"/>
              <w:rPr>
                <w:bCs/>
                <w:sz w:val="20"/>
                <w:szCs w:val="20"/>
              </w:rPr>
            </w:pPr>
            <w:r w:rsidRPr="008B6A75">
              <w:rPr>
                <w:bCs/>
                <w:sz w:val="20"/>
                <w:szCs w:val="20"/>
              </w:rPr>
              <w:t>10</w:t>
            </w:r>
          </w:p>
        </w:tc>
        <w:tc>
          <w:tcPr>
            <w:tcW w:w="1411" w:type="dxa"/>
            <w:tcBorders>
              <w:top w:val="nil"/>
              <w:left w:val="single" w:sz="4" w:space="0" w:color="auto"/>
              <w:bottom w:val="nil"/>
              <w:right w:val="nil"/>
            </w:tcBorders>
            <w:shd w:val="clear" w:color="auto" w:fill="auto"/>
            <w:noWrap/>
            <w:vAlign w:val="center"/>
            <w:hideMark/>
          </w:tcPr>
          <w:p w14:paraId="768D63D1" w14:textId="77777777" w:rsidR="00387142" w:rsidRPr="008B6A75" w:rsidRDefault="00387142" w:rsidP="00387142">
            <w:pPr>
              <w:jc w:val="center"/>
              <w:rPr>
                <w:bCs/>
                <w:sz w:val="20"/>
                <w:szCs w:val="20"/>
              </w:rPr>
            </w:pPr>
            <w:r w:rsidRPr="008B6A75">
              <w:rPr>
                <w:bCs/>
                <w:sz w:val="20"/>
                <w:szCs w:val="20"/>
              </w:rPr>
              <w:t>18.0.00.00000</w:t>
            </w:r>
          </w:p>
        </w:tc>
        <w:tc>
          <w:tcPr>
            <w:tcW w:w="955" w:type="dxa"/>
            <w:tcBorders>
              <w:top w:val="nil"/>
              <w:left w:val="single" w:sz="4" w:space="0" w:color="auto"/>
              <w:bottom w:val="nil"/>
              <w:right w:val="single" w:sz="4" w:space="0" w:color="auto"/>
            </w:tcBorders>
            <w:shd w:val="clear" w:color="auto" w:fill="auto"/>
            <w:noWrap/>
            <w:vAlign w:val="center"/>
            <w:hideMark/>
          </w:tcPr>
          <w:p w14:paraId="293B398B"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nil"/>
              <w:right w:val="single" w:sz="4" w:space="0" w:color="auto"/>
            </w:tcBorders>
            <w:shd w:val="clear" w:color="auto" w:fill="auto"/>
            <w:noWrap/>
            <w:vAlign w:val="center"/>
            <w:hideMark/>
          </w:tcPr>
          <w:p w14:paraId="601B63A2" w14:textId="77777777" w:rsidR="00387142" w:rsidRPr="008B6A75" w:rsidRDefault="00387142" w:rsidP="00387142">
            <w:pPr>
              <w:jc w:val="right"/>
              <w:rPr>
                <w:bCs/>
                <w:sz w:val="20"/>
                <w:szCs w:val="20"/>
              </w:rPr>
            </w:pPr>
            <w:r w:rsidRPr="008B6A75">
              <w:rPr>
                <w:bCs/>
                <w:sz w:val="20"/>
                <w:szCs w:val="20"/>
              </w:rPr>
              <w:t>18 530 883,36</w:t>
            </w:r>
          </w:p>
        </w:tc>
        <w:tc>
          <w:tcPr>
            <w:tcW w:w="992" w:type="dxa"/>
            <w:gridSpan w:val="2"/>
            <w:tcBorders>
              <w:top w:val="nil"/>
              <w:left w:val="single" w:sz="4" w:space="0" w:color="auto"/>
              <w:bottom w:val="nil"/>
              <w:right w:val="nil"/>
            </w:tcBorders>
            <w:shd w:val="clear" w:color="auto" w:fill="auto"/>
            <w:noWrap/>
            <w:vAlign w:val="center"/>
            <w:hideMark/>
          </w:tcPr>
          <w:p w14:paraId="15CA2B66" w14:textId="77777777" w:rsidR="00387142" w:rsidRPr="008B6A75" w:rsidRDefault="00387142" w:rsidP="00387142">
            <w:pPr>
              <w:jc w:val="right"/>
              <w:rPr>
                <w:bCs/>
                <w:sz w:val="20"/>
                <w:szCs w:val="20"/>
              </w:rPr>
            </w:pPr>
            <w:r w:rsidRPr="008B6A75">
              <w:rPr>
                <w:bCs/>
                <w:sz w:val="20"/>
                <w:szCs w:val="20"/>
              </w:rPr>
              <w:t>6 650 000,00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07EFB0F7" w14:textId="77777777" w:rsidR="00387142" w:rsidRPr="008B6A75" w:rsidRDefault="00387142" w:rsidP="00387142">
            <w:pPr>
              <w:jc w:val="right"/>
              <w:rPr>
                <w:bCs/>
                <w:sz w:val="20"/>
                <w:szCs w:val="20"/>
              </w:rPr>
            </w:pPr>
            <w:r w:rsidRPr="008B6A75">
              <w:rPr>
                <w:bCs/>
                <w:sz w:val="20"/>
                <w:szCs w:val="20"/>
              </w:rPr>
              <w:t>6 650 000,00</w:t>
            </w:r>
          </w:p>
        </w:tc>
        <w:tc>
          <w:tcPr>
            <w:tcW w:w="222" w:type="dxa"/>
            <w:vAlign w:val="center"/>
            <w:hideMark/>
          </w:tcPr>
          <w:p w14:paraId="11649D18" w14:textId="77777777" w:rsidR="00387142" w:rsidRPr="008B6A75" w:rsidRDefault="00387142" w:rsidP="00387142">
            <w:pPr>
              <w:rPr>
                <w:sz w:val="20"/>
                <w:szCs w:val="20"/>
              </w:rPr>
            </w:pPr>
          </w:p>
        </w:tc>
      </w:tr>
      <w:tr w:rsidR="00387142" w:rsidRPr="008B6A75" w14:paraId="2153D287" w14:textId="77777777" w:rsidTr="00387142">
        <w:trPr>
          <w:trHeight w:val="870"/>
        </w:trPr>
        <w:tc>
          <w:tcPr>
            <w:tcW w:w="3021" w:type="dxa"/>
            <w:tcBorders>
              <w:top w:val="single" w:sz="4" w:space="0" w:color="auto"/>
              <w:left w:val="single" w:sz="4" w:space="0" w:color="auto"/>
              <w:bottom w:val="nil"/>
              <w:right w:val="nil"/>
            </w:tcBorders>
            <w:shd w:val="clear" w:color="auto" w:fill="auto"/>
            <w:vAlign w:val="center"/>
            <w:hideMark/>
          </w:tcPr>
          <w:p w14:paraId="6FB71F3F" w14:textId="77777777" w:rsidR="00387142" w:rsidRPr="008B6A75" w:rsidRDefault="00387142" w:rsidP="00387142">
            <w:pPr>
              <w:rPr>
                <w:bCs/>
                <w:sz w:val="20"/>
                <w:szCs w:val="20"/>
              </w:rPr>
            </w:pPr>
            <w:r w:rsidRPr="008B6A75">
              <w:rPr>
                <w:bCs/>
                <w:sz w:val="20"/>
                <w:szCs w:val="20"/>
              </w:rPr>
              <w:t>Расходы на обеспечение деятельности (оказание услуг) единой диспетчерской службы</w:t>
            </w:r>
          </w:p>
        </w:tc>
        <w:tc>
          <w:tcPr>
            <w:tcW w:w="850" w:type="dxa"/>
            <w:tcBorders>
              <w:top w:val="single" w:sz="4" w:space="0" w:color="auto"/>
              <w:left w:val="single" w:sz="4" w:space="0" w:color="auto"/>
              <w:bottom w:val="nil"/>
              <w:right w:val="nil"/>
            </w:tcBorders>
            <w:shd w:val="clear" w:color="auto" w:fill="auto"/>
            <w:noWrap/>
            <w:vAlign w:val="center"/>
            <w:hideMark/>
          </w:tcPr>
          <w:p w14:paraId="5F369C43" w14:textId="77777777" w:rsidR="00387142" w:rsidRPr="008B6A75" w:rsidRDefault="00387142" w:rsidP="00387142">
            <w:pPr>
              <w:jc w:val="center"/>
              <w:rPr>
                <w:bCs/>
                <w:sz w:val="20"/>
                <w:szCs w:val="20"/>
              </w:rPr>
            </w:pPr>
            <w:r w:rsidRPr="008B6A75">
              <w:rPr>
                <w:bCs/>
                <w:sz w:val="20"/>
                <w:szCs w:val="20"/>
              </w:rPr>
              <w:t>444</w:t>
            </w:r>
          </w:p>
        </w:tc>
        <w:tc>
          <w:tcPr>
            <w:tcW w:w="709" w:type="dxa"/>
            <w:tcBorders>
              <w:top w:val="single" w:sz="4" w:space="0" w:color="auto"/>
              <w:left w:val="single" w:sz="4" w:space="0" w:color="auto"/>
              <w:bottom w:val="nil"/>
              <w:right w:val="nil"/>
            </w:tcBorders>
            <w:shd w:val="clear" w:color="auto" w:fill="auto"/>
            <w:noWrap/>
            <w:vAlign w:val="center"/>
            <w:hideMark/>
          </w:tcPr>
          <w:p w14:paraId="4D15913A" w14:textId="77777777" w:rsidR="00387142" w:rsidRPr="008B6A75" w:rsidRDefault="00387142" w:rsidP="00387142">
            <w:pPr>
              <w:jc w:val="center"/>
              <w:rPr>
                <w:bCs/>
                <w:sz w:val="20"/>
                <w:szCs w:val="20"/>
              </w:rPr>
            </w:pPr>
            <w:r w:rsidRPr="008B6A75">
              <w:rPr>
                <w:bCs/>
                <w:sz w:val="20"/>
                <w:szCs w:val="20"/>
              </w:rPr>
              <w:t>03</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4F714492" w14:textId="77777777" w:rsidR="00387142" w:rsidRPr="008B6A75" w:rsidRDefault="00387142" w:rsidP="00387142">
            <w:pPr>
              <w:jc w:val="center"/>
              <w:rPr>
                <w:bCs/>
                <w:sz w:val="20"/>
                <w:szCs w:val="20"/>
              </w:rPr>
            </w:pPr>
            <w:r w:rsidRPr="008B6A75">
              <w:rPr>
                <w:bCs/>
                <w:sz w:val="20"/>
                <w:szCs w:val="20"/>
              </w:rPr>
              <w:t>10</w:t>
            </w:r>
          </w:p>
        </w:tc>
        <w:tc>
          <w:tcPr>
            <w:tcW w:w="1411" w:type="dxa"/>
            <w:tcBorders>
              <w:top w:val="single" w:sz="4" w:space="0" w:color="auto"/>
              <w:left w:val="single" w:sz="4" w:space="0" w:color="auto"/>
              <w:bottom w:val="nil"/>
              <w:right w:val="nil"/>
            </w:tcBorders>
            <w:shd w:val="clear" w:color="auto" w:fill="auto"/>
            <w:noWrap/>
            <w:vAlign w:val="center"/>
            <w:hideMark/>
          </w:tcPr>
          <w:p w14:paraId="47608176" w14:textId="77777777" w:rsidR="00387142" w:rsidRPr="008B6A75" w:rsidRDefault="00387142" w:rsidP="00387142">
            <w:pPr>
              <w:jc w:val="center"/>
              <w:rPr>
                <w:bCs/>
                <w:sz w:val="20"/>
                <w:szCs w:val="20"/>
              </w:rPr>
            </w:pPr>
            <w:r w:rsidRPr="008B6A75">
              <w:rPr>
                <w:bCs/>
                <w:sz w:val="20"/>
                <w:szCs w:val="20"/>
              </w:rPr>
              <w:t>18.0.00.03190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5C535F56" w14:textId="77777777" w:rsidR="00387142" w:rsidRPr="008B6A75" w:rsidRDefault="00387142" w:rsidP="00387142">
            <w:pPr>
              <w:jc w:val="center"/>
              <w:rPr>
                <w:bCs/>
                <w:sz w:val="20"/>
                <w:szCs w:val="20"/>
              </w:rPr>
            </w:pPr>
            <w:r w:rsidRPr="008B6A75">
              <w:rPr>
                <w:bCs/>
                <w:sz w:val="20"/>
                <w:szCs w:val="20"/>
              </w:rPr>
              <w:t> </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057D4D6C" w14:textId="77777777" w:rsidR="00387142" w:rsidRPr="008B6A75" w:rsidRDefault="00387142" w:rsidP="00387142">
            <w:pPr>
              <w:jc w:val="right"/>
              <w:rPr>
                <w:bCs/>
                <w:sz w:val="20"/>
                <w:szCs w:val="20"/>
              </w:rPr>
            </w:pPr>
            <w:r w:rsidRPr="008B6A75">
              <w:rPr>
                <w:bCs/>
                <w:sz w:val="20"/>
                <w:szCs w:val="20"/>
              </w:rPr>
              <w:t>11 357 273,76</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330FE048" w14:textId="77777777" w:rsidR="00387142" w:rsidRPr="008B6A75" w:rsidRDefault="00387142" w:rsidP="00387142">
            <w:pPr>
              <w:jc w:val="right"/>
              <w:rPr>
                <w:bCs/>
                <w:sz w:val="20"/>
                <w:szCs w:val="20"/>
              </w:rPr>
            </w:pPr>
            <w:r w:rsidRPr="008B6A75">
              <w:rPr>
                <w:bCs/>
                <w:sz w:val="20"/>
                <w:szCs w:val="20"/>
              </w:rPr>
              <w:t>6 650 000,00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031BFEE7" w14:textId="77777777" w:rsidR="00387142" w:rsidRPr="008B6A75" w:rsidRDefault="00387142" w:rsidP="00387142">
            <w:pPr>
              <w:jc w:val="right"/>
              <w:rPr>
                <w:bCs/>
                <w:sz w:val="20"/>
                <w:szCs w:val="20"/>
              </w:rPr>
            </w:pPr>
            <w:r w:rsidRPr="008B6A75">
              <w:rPr>
                <w:bCs/>
                <w:sz w:val="20"/>
                <w:szCs w:val="20"/>
              </w:rPr>
              <w:t>6 650 000,00</w:t>
            </w:r>
          </w:p>
        </w:tc>
        <w:tc>
          <w:tcPr>
            <w:tcW w:w="222" w:type="dxa"/>
            <w:vAlign w:val="center"/>
            <w:hideMark/>
          </w:tcPr>
          <w:p w14:paraId="640EA81A" w14:textId="77777777" w:rsidR="00387142" w:rsidRPr="008B6A75" w:rsidRDefault="00387142" w:rsidP="00387142">
            <w:pPr>
              <w:rPr>
                <w:sz w:val="20"/>
                <w:szCs w:val="20"/>
              </w:rPr>
            </w:pPr>
          </w:p>
        </w:tc>
      </w:tr>
      <w:tr w:rsidR="00387142" w:rsidRPr="008B6A75" w14:paraId="5F183E3F" w14:textId="77777777" w:rsidTr="00387142">
        <w:trPr>
          <w:trHeight w:val="1440"/>
        </w:trPr>
        <w:tc>
          <w:tcPr>
            <w:tcW w:w="3021" w:type="dxa"/>
            <w:tcBorders>
              <w:top w:val="single" w:sz="4" w:space="0" w:color="auto"/>
              <w:left w:val="single" w:sz="4" w:space="0" w:color="auto"/>
              <w:bottom w:val="nil"/>
              <w:right w:val="nil"/>
            </w:tcBorders>
            <w:shd w:val="clear" w:color="auto" w:fill="auto"/>
            <w:vAlign w:val="center"/>
            <w:hideMark/>
          </w:tcPr>
          <w:p w14:paraId="27C050CC" w14:textId="77777777" w:rsidR="00387142" w:rsidRPr="008B6A75" w:rsidRDefault="00387142" w:rsidP="00387142">
            <w:pPr>
              <w:rPr>
                <w:sz w:val="20"/>
                <w:szCs w:val="20"/>
              </w:rPr>
            </w:pPr>
            <w:r w:rsidRPr="008B6A7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nil"/>
              <w:right w:val="nil"/>
            </w:tcBorders>
            <w:shd w:val="clear" w:color="auto" w:fill="auto"/>
            <w:noWrap/>
            <w:vAlign w:val="center"/>
            <w:hideMark/>
          </w:tcPr>
          <w:p w14:paraId="17E86E17" w14:textId="77777777" w:rsidR="00387142" w:rsidRPr="008B6A75" w:rsidRDefault="00387142" w:rsidP="00387142">
            <w:pPr>
              <w:jc w:val="center"/>
              <w:rPr>
                <w:sz w:val="20"/>
                <w:szCs w:val="20"/>
              </w:rPr>
            </w:pPr>
            <w:r w:rsidRPr="008B6A75">
              <w:rPr>
                <w:sz w:val="20"/>
                <w:szCs w:val="20"/>
              </w:rPr>
              <w:t>444</w:t>
            </w:r>
          </w:p>
        </w:tc>
        <w:tc>
          <w:tcPr>
            <w:tcW w:w="709" w:type="dxa"/>
            <w:tcBorders>
              <w:top w:val="single" w:sz="4" w:space="0" w:color="auto"/>
              <w:left w:val="single" w:sz="4" w:space="0" w:color="auto"/>
              <w:bottom w:val="nil"/>
              <w:right w:val="nil"/>
            </w:tcBorders>
            <w:shd w:val="clear" w:color="auto" w:fill="auto"/>
            <w:noWrap/>
            <w:vAlign w:val="center"/>
            <w:hideMark/>
          </w:tcPr>
          <w:p w14:paraId="4AD422E0" w14:textId="77777777" w:rsidR="00387142" w:rsidRPr="008B6A75" w:rsidRDefault="00387142" w:rsidP="00387142">
            <w:pPr>
              <w:jc w:val="center"/>
              <w:rPr>
                <w:sz w:val="20"/>
                <w:szCs w:val="20"/>
              </w:rPr>
            </w:pPr>
            <w:r w:rsidRPr="008B6A75">
              <w:rPr>
                <w:sz w:val="20"/>
                <w:szCs w:val="20"/>
              </w:rPr>
              <w:t>03</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474ABFE5" w14:textId="77777777" w:rsidR="00387142" w:rsidRPr="008B6A75" w:rsidRDefault="00387142" w:rsidP="00387142">
            <w:pPr>
              <w:jc w:val="center"/>
              <w:rPr>
                <w:sz w:val="20"/>
                <w:szCs w:val="20"/>
              </w:rPr>
            </w:pPr>
            <w:r w:rsidRPr="008B6A75">
              <w:rPr>
                <w:sz w:val="20"/>
                <w:szCs w:val="20"/>
              </w:rPr>
              <w:t>10</w:t>
            </w:r>
          </w:p>
        </w:tc>
        <w:tc>
          <w:tcPr>
            <w:tcW w:w="1411" w:type="dxa"/>
            <w:tcBorders>
              <w:top w:val="single" w:sz="4" w:space="0" w:color="auto"/>
              <w:left w:val="single" w:sz="4" w:space="0" w:color="auto"/>
              <w:bottom w:val="nil"/>
              <w:right w:val="nil"/>
            </w:tcBorders>
            <w:shd w:val="clear" w:color="auto" w:fill="auto"/>
            <w:noWrap/>
            <w:vAlign w:val="center"/>
            <w:hideMark/>
          </w:tcPr>
          <w:p w14:paraId="19B089D6" w14:textId="77777777" w:rsidR="00387142" w:rsidRPr="008B6A75" w:rsidRDefault="00387142" w:rsidP="00387142">
            <w:pPr>
              <w:jc w:val="center"/>
              <w:rPr>
                <w:sz w:val="20"/>
                <w:szCs w:val="20"/>
              </w:rPr>
            </w:pPr>
            <w:r w:rsidRPr="008B6A75">
              <w:rPr>
                <w:sz w:val="20"/>
                <w:szCs w:val="20"/>
              </w:rPr>
              <w:t>18.0.00.03190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24A4A1D3" w14:textId="77777777" w:rsidR="00387142" w:rsidRPr="008B6A75" w:rsidRDefault="00387142" w:rsidP="00387142">
            <w:pPr>
              <w:jc w:val="center"/>
              <w:rPr>
                <w:sz w:val="20"/>
                <w:szCs w:val="20"/>
              </w:rPr>
            </w:pPr>
            <w:r w:rsidRPr="008B6A75">
              <w:rPr>
                <w:sz w:val="20"/>
                <w:szCs w:val="20"/>
              </w:rPr>
              <w:t>100</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5AE0CF47" w14:textId="77777777" w:rsidR="00387142" w:rsidRPr="008B6A75" w:rsidRDefault="00387142" w:rsidP="00387142">
            <w:pPr>
              <w:jc w:val="right"/>
              <w:rPr>
                <w:sz w:val="20"/>
                <w:szCs w:val="20"/>
              </w:rPr>
            </w:pPr>
            <w:r w:rsidRPr="008B6A75">
              <w:rPr>
                <w:sz w:val="20"/>
                <w:szCs w:val="20"/>
              </w:rPr>
              <w:t>7 692 988,80</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7D7CB666" w14:textId="77777777" w:rsidR="00387142" w:rsidRPr="008B6A75" w:rsidRDefault="00387142" w:rsidP="00387142">
            <w:pPr>
              <w:jc w:val="right"/>
              <w:rPr>
                <w:sz w:val="20"/>
                <w:szCs w:val="20"/>
              </w:rPr>
            </w:pPr>
            <w:r w:rsidRPr="008B6A75">
              <w:rPr>
                <w:sz w:val="20"/>
                <w:szCs w:val="20"/>
              </w:rPr>
              <w:t>5 350 000,00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346E5E91" w14:textId="77777777" w:rsidR="00387142" w:rsidRPr="008B6A75" w:rsidRDefault="00387142" w:rsidP="00387142">
            <w:pPr>
              <w:jc w:val="right"/>
              <w:rPr>
                <w:sz w:val="20"/>
                <w:szCs w:val="20"/>
              </w:rPr>
            </w:pPr>
            <w:r w:rsidRPr="008B6A75">
              <w:rPr>
                <w:sz w:val="20"/>
                <w:szCs w:val="20"/>
              </w:rPr>
              <w:t>6 000 000,00</w:t>
            </w:r>
          </w:p>
        </w:tc>
        <w:tc>
          <w:tcPr>
            <w:tcW w:w="222" w:type="dxa"/>
            <w:vAlign w:val="center"/>
            <w:hideMark/>
          </w:tcPr>
          <w:p w14:paraId="092EAFBB" w14:textId="77777777" w:rsidR="00387142" w:rsidRPr="008B6A75" w:rsidRDefault="00387142" w:rsidP="00387142">
            <w:pPr>
              <w:rPr>
                <w:sz w:val="20"/>
                <w:szCs w:val="20"/>
              </w:rPr>
            </w:pPr>
          </w:p>
        </w:tc>
      </w:tr>
      <w:tr w:rsidR="00387142" w:rsidRPr="008B6A75" w14:paraId="6E50D08F" w14:textId="77777777" w:rsidTr="00387142">
        <w:trPr>
          <w:trHeight w:val="585"/>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4018E242" w14:textId="77777777" w:rsidR="00387142" w:rsidRPr="008B6A75" w:rsidRDefault="00387142" w:rsidP="00387142">
            <w:pPr>
              <w:rPr>
                <w:sz w:val="20"/>
                <w:szCs w:val="20"/>
              </w:rPr>
            </w:pPr>
            <w:r w:rsidRPr="008B6A75">
              <w:rPr>
                <w:sz w:val="20"/>
                <w:szCs w:val="20"/>
              </w:rPr>
              <w:t>Расходы на выплаты персоналу казенных учреждений</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15ACE2FC" w14:textId="77777777" w:rsidR="00387142" w:rsidRPr="008B6A75" w:rsidRDefault="00387142" w:rsidP="00387142">
            <w:pPr>
              <w:jc w:val="center"/>
              <w:rPr>
                <w:sz w:val="20"/>
                <w:szCs w:val="20"/>
              </w:rPr>
            </w:pPr>
            <w:r w:rsidRPr="008B6A75">
              <w:rPr>
                <w:sz w:val="20"/>
                <w:szCs w:val="20"/>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248C8B54" w14:textId="77777777" w:rsidR="00387142" w:rsidRPr="008B6A75" w:rsidRDefault="00387142" w:rsidP="00387142">
            <w:pPr>
              <w:jc w:val="center"/>
              <w:rPr>
                <w:sz w:val="20"/>
                <w:szCs w:val="20"/>
              </w:rPr>
            </w:pPr>
            <w:r w:rsidRPr="008B6A75">
              <w:rPr>
                <w:sz w:val="20"/>
                <w:szCs w:val="20"/>
              </w:rPr>
              <w:t>03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C9EEAE" w14:textId="77777777" w:rsidR="00387142" w:rsidRPr="008B6A75" w:rsidRDefault="00387142" w:rsidP="00387142">
            <w:pPr>
              <w:jc w:val="center"/>
              <w:rPr>
                <w:sz w:val="20"/>
                <w:szCs w:val="20"/>
              </w:rPr>
            </w:pPr>
            <w:r w:rsidRPr="008B6A75">
              <w:rPr>
                <w:sz w:val="20"/>
                <w:szCs w:val="20"/>
              </w:rPr>
              <w:t>10</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63D668E4" w14:textId="77777777" w:rsidR="00387142" w:rsidRPr="008B6A75" w:rsidRDefault="00387142" w:rsidP="00387142">
            <w:pPr>
              <w:jc w:val="center"/>
              <w:rPr>
                <w:sz w:val="20"/>
                <w:szCs w:val="20"/>
              </w:rPr>
            </w:pPr>
            <w:r w:rsidRPr="008B6A75">
              <w:rPr>
                <w:sz w:val="20"/>
                <w:szCs w:val="20"/>
              </w:rPr>
              <w:t>18.0.00.03190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82F14F" w14:textId="77777777" w:rsidR="00387142" w:rsidRPr="008B6A75" w:rsidRDefault="00387142" w:rsidP="00387142">
            <w:pPr>
              <w:jc w:val="center"/>
              <w:rPr>
                <w:sz w:val="20"/>
                <w:szCs w:val="20"/>
              </w:rPr>
            </w:pPr>
            <w:r w:rsidRPr="008B6A75">
              <w:rPr>
                <w:sz w:val="20"/>
                <w:szCs w:val="20"/>
              </w:rPr>
              <w:t>110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702E8E" w14:textId="77777777" w:rsidR="00387142" w:rsidRPr="008B6A75" w:rsidRDefault="00387142" w:rsidP="00387142">
            <w:pPr>
              <w:jc w:val="right"/>
              <w:rPr>
                <w:sz w:val="20"/>
                <w:szCs w:val="20"/>
              </w:rPr>
            </w:pPr>
            <w:r w:rsidRPr="008B6A75">
              <w:rPr>
                <w:sz w:val="20"/>
                <w:szCs w:val="20"/>
              </w:rPr>
              <w:t>7 692 988,80</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07B6C2AC" w14:textId="77777777" w:rsidR="00387142" w:rsidRPr="008B6A75" w:rsidRDefault="00387142" w:rsidP="00387142">
            <w:pPr>
              <w:jc w:val="right"/>
              <w:rPr>
                <w:sz w:val="20"/>
                <w:szCs w:val="20"/>
              </w:rPr>
            </w:pPr>
            <w:r w:rsidRPr="008B6A75">
              <w:rPr>
                <w:sz w:val="20"/>
                <w:szCs w:val="20"/>
              </w:rPr>
              <w:t>5 350 000,00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570619" w14:textId="77777777" w:rsidR="00387142" w:rsidRPr="008B6A75" w:rsidRDefault="00387142" w:rsidP="00387142">
            <w:pPr>
              <w:jc w:val="right"/>
              <w:rPr>
                <w:sz w:val="20"/>
                <w:szCs w:val="20"/>
              </w:rPr>
            </w:pPr>
            <w:r w:rsidRPr="008B6A75">
              <w:rPr>
                <w:sz w:val="20"/>
                <w:szCs w:val="20"/>
              </w:rPr>
              <w:t>6 000 000,00</w:t>
            </w:r>
          </w:p>
        </w:tc>
        <w:tc>
          <w:tcPr>
            <w:tcW w:w="222" w:type="dxa"/>
            <w:vAlign w:val="center"/>
            <w:hideMark/>
          </w:tcPr>
          <w:p w14:paraId="6A9196BD" w14:textId="77777777" w:rsidR="00387142" w:rsidRPr="008B6A75" w:rsidRDefault="00387142" w:rsidP="00387142">
            <w:pPr>
              <w:rPr>
                <w:sz w:val="20"/>
                <w:szCs w:val="20"/>
              </w:rPr>
            </w:pPr>
          </w:p>
        </w:tc>
      </w:tr>
      <w:tr w:rsidR="00387142" w:rsidRPr="008B6A75" w14:paraId="7F86EDF8" w14:textId="77777777" w:rsidTr="00387142">
        <w:trPr>
          <w:trHeight w:val="585"/>
        </w:trPr>
        <w:tc>
          <w:tcPr>
            <w:tcW w:w="3021" w:type="dxa"/>
            <w:tcBorders>
              <w:top w:val="nil"/>
              <w:left w:val="single" w:sz="4" w:space="0" w:color="auto"/>
              <w:bottom w:val="nil"/>
              <w:right w:val="nil"/>
            </w:tcBorders>
            <w:shd w:val="clear" w:color="auto" w:fill="auto"/>
            <w:vAlign w:val="center"/>
            <w:hideMark/>
          </w:tcPr>
          <w:p w14:paraId="2D5E007A" w14:textId="77777777" w:rsidR="00387142" w:rsidRPr="008B6A75" w:rsidRDefault="00387142" w:rsidP="00387142">
            <w:pPr>
              <w:rPr>
                <w:sz w:val="20"/>
                <w:szCs w:val="20"/>
              </w:rPr>
            </w:pPr>
            <w:r w:rsidRPr="008B6A75">
              <w:rPr>
                <w:sz w:val="20"/>
                <w:szCs w:val="20"/>
              </w:rPr>
              <w:t>Закупка товаров, работ и услуг для обеспечения государственных (муниципальных) нужд</w:t>
            </w:r>
          </w:p>
        </w:tc>
        <w:tc>
          <w:tcPr>
            <w:tcW w:w="850" w:type="dxa"/>
            <w:tcBorders>
              <w:top w:val="nil"/>
              <w:left w:val="single" w:sz="4" w:space="0" w:color="auto"/>
              <w:bottom w:val="nil"/>
              <w:right w:val="nil"/>
            </w:tcBorders>
            <w:shd w:val="clear" w:color="auto" w:fill="auto"/>
            <w:noWrap/>
            <w:vAlign w:val="center"/>
            <w:hideMark/>
          </w:tcPr>
          <w:p w14:paraId="0A450BFC" w14:textId="77777777" w:rsidR="00387142" w:rsidRPr="008B6A75" w:rsidRDefault="00387142" w:rsidP="00387142">
            <w:pPr>
              <w:jc w:val="center"/>
              <w:rPr>
                <w:sz w:val="20"/>
                <w:szCs w:val="20"/>
              </w:rPr>
            </w:pPr>
            <w:r w:rsidRPr="008B6A75">
              <w:rPr>
                <w:sz w:val="20"/>
                <w:szCs w:val="20"/>
              </w:rPr>
              <w:t>444</w:t>
            </w:r>
          </w:p>
        </w:tc>
        <w:tc>
          <w:tcPr>
            <w:tcW w:w="709" w:type="dxa"/>
            <w:tcBorders>
              <w:top w:val="nil"/>
              <w:left w:val="single" w:sz="4" w:space="0" w:color="auto"/>
              <w:bottom w:val="nil"/>
              <w:right w:val="nil"/>
            </w:tcBorders>
            <w:shd w:val="clear" w:color="auto" w:fill="auto"/>
            <w:noWrap/>
            <w:vAlign w:val="center"/>
            <w:hideMark/>
          </w:tcPr>
          <w:p w14:paraId="15E976DA" w14:textId="77777777" w:rsidR="00387142" w:rsidRPr="008B6A75" w:rsidRDefault="00387142" w:rsidP="00387142">
            <w:pPr>
              <w:jc w:val="center"/>
              <w:rPr>
                <w:sz w:val="20"/>
                <w:szCs w:val="20"/>
              </w:rPr>
            </w:pPr>
            <w:r w:rsidRPr="008B6A75">
              <w:rPr>
                <w:sz w:val="20"/>
                <w:szCs w:val="20"/>
              </w:rPr>
              <w:t>03</w:t>
            </w:r>
          </w:p>
        </w:tc>
        <w:tc>
          <w:tcPr>
            <w:tcW w:w="709" w:type="dxa"/>
            <w:tcBorders>
              <w:top w:val="nil"/>
              <w:left w:val="single" w:sz="4" w:space="0" w:color="auto"/>
              <w:bottom w:val="nil"/>
              <w:right w:val="single" w:sz="4" w:space="0" w:color="auto"/>
            </w:tcBorders>
            <w:shd w:val="clear" w:color="auto" w:fill="auto"/>
            <w:noWrap/>
            <w:vAlign w:val="center"/>
            <w:hideMark/>
          </w:tcPr>
          <w:p w14:paraId="3881346E" w14:textId="77777777" w:rsidR="00387142" w:rsidRPr="008B6A75" w:rsidRDefault="00387142" w:rsidP="00387142">
            <w:pPr>
              <w:jc w:val="center"/>
              <w:rPr>
                <w:sz w:val="20"/>
                <w:szCs w:val="20"/>
              </w:rPr>
            </w:pPr>
            <w:r w:rsidRPr="008B6A75">
              <w:rPr>
                <w:sz w:val="20"/>
                <w:szCs w:val="20"/>
              </w:rPr>
              <w:t>10</w:t>
            </w:r>
          </w:p>
        </w:tc>
        <w:tc>
          <w:tcPr>
            <w:tcW w:w="1411" w:type="dxa"/>
            <w:tcBorders>
              <w:top w:val="nil"/>
              <w:left w:val="single" w:sz="4" w:space="0" w:color="auto"/>
              <w:bottom w:val="nil"/>
              <w:right w:val="nil"/>
            </w:tcBorders>
            <w:shd w:val="clear" w:color="auto" w:fill="auto"/>
            <w:noWrap/>
            <w:vAlign w:val="center"/>
            <w:hideMark/>
          </w:tcPr>
          <w:p w14:paraId="4FC53262" w14:textId="77777777" w:rsidR="00387142" w:rsidRPr="008B6A75" w:rsidRDefault="00387142" w:rsidP="00387142">
            <w:pPr>
              <w:jc w:val="center"/>
              <w:rPr>
                <w:sz w:val="20"/>
                <w:szCs w:val="20"/>
              </w:rPr>
            </w:pPr>
            <w:r w:rsidRPr="008B6A75">
              <w:rPr>
                <w:sz w:val="20"/>
                <w:szCs w:val="20"/>
              </w:rPr>
              <w:t>18.0.00.03190</w:t>
            </w:r>
          </w:p>
        </w:tc>
        <w:tc>
          <w:tcPr>
            <w:tcW w:w="955" w:type="dxa"/>
            <w:tcBorders>
              <w:top w:val="nil"/>
              <w:left w:val="single" w:sz="4" w:space="0" w:color="auto"/>
              <w:bottom w:val="nil"/>
              <w:right w:val="single" w:sz="4" w:space="0" w:color="auto"/>
            </w:tcBorders>
            <w:shd w:val="clear" w:color="auto" w:fill="auto"/>
            <w:noWrap/>
            <w:vAlign w:val="center"/>
            <w:hideMark/>
          </w:tcPr>
          <w:p w14:paraId="5B2AABF2" w14:textId="77777777" w:rsidR="00387142" w:rsidRPr="008B6A75" w:rsidRDefault="00387142" w:rsidP="00387142">
            <w:pPr>
              <w:jc w:val="center"/>
              <w:rPr>
                <w:sz w:val="20"/>
                <w:szCs w:val="20"/>
              </w:rPr>
            </w:pPr>
            <w:r w:rsidRPr="008B6A75">
              <w:rPr>
                <w:sz w:val="20"/>
                <w:szCs w:val="20"/>
              </w:rPr>
              <w:t>200</w:t>
            </w:r>
          </w:p>
        </w:tc>
        <w:tc>
          <w:tcPr>
            <w:tcW w:w="992" w:type="dxa"/>
            <w:tcBorders>
              <w:top w:val="nil"/>
              <w:left w:val="single" w:sz="4" w:space="0" w:color="auto"/>
              <w:bottom w:val="nil"/>
              <w:right w:val="single" w:sz="4" w:space="0" w:color="auto"/>
            </w:tcBorders>
            <w:shd w:val="clear" w:color="auto" w:fill="auto"/>
            <w:noWrap/>
            <w:vAlign w:val="center"/>
            <w:hideMark/>
          </w:tcPr>
          <w:p w14:paraId="0F1354A9" w14:textId="77777777" w:rsidR="00387142" w:rsidRPr="008B6A75" w:rsidRDefault="00387142" w:rsidP="00387142">
            <w:pPr>
              <w:jc w:val="right"/>
              <w:rPr>
                <w:sz w:val="20"/>
                <w:szCs w:val="20"/>
              </w:rPr>
            </w:pPr>
            <w:r w:rsidRPr="008B6A75">
              <w:rPr>
                <w:sz w:val="20"/>
                <w:szCs w:val="20"/>
              </w:rPr>
              <w:t>3 654 302,80</w:t>
            </w:r>
          </w:p>
        </w:tc>
        <w:tc>
          <w:tcPr>
            <w:tcW w:w="992" w:type="dxa"/>
            <w:gridSpan w:val="2"/>
            <w:tcBorders>
              <w:top w:val="nil"/>
              <w:left w:val="single" w:sz="4" w:space="0" w:color="auto"/>
              <w:bottom w:val="nil"/>
              <w:right w:val="nil"/>
            </w:tcBorders>
            <w:shd w:val="clear" w:color="auto" w:fill="auto"/>
            <w:noWrap/>
            <w:vAlign w:val="center"/>
            <w:hideMark/>
          </w:tcPr>
          <w:p w14:paraId="73A38087" w14:textId="77777777" w:rsidR="00387142" w:rsidRPr="008B6A75" w:rsidRDefault="00387142" w:rsidP="00387142">
            <w:pPr>
              <w:jc w:val="right"/>
              <w:rPr>
                <w:sz w:val="20"/>
                <w:szCs w:val="20"/>
              </w:rPr>
            </w:pPr>
            <w:r w:rsidRPr="008B6A75">
              <w:rPr>
                <w:sz w:val="20"/>
                <w:szCs w:val="20"/>
              </w:rPr>
              <w:t>1 300 000,00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6286B087" w14:textId="77777777" w:rsidR="00387142" w:rsidRPr="008B6A75" w:rsidRDefault="00387142" w:rsidP="00387142">
            <w:pPr>
              <w:jc w:val="right"/>
              <w:rPr>
                <w:sz w:val="20"/>
                <w:szCs w:val="20"/>
              </w:rPr>
            </w:pPr>
            <w:r w:rsidRPr="008B6A75">
              <w:rPr>
                <w:sz w:val="20"/>
                <w:szCs w:val="20"/>
              </w:rPr>
              <w:t>650 000,00</w:t>
            </w:r>
          </w:p>
        </w:tc>
        <w:tc>
          <w:tcPr>
            <w:tcW w:w="222" w:type="dxa"/>
            <w:vAlign w:val="center"/>
            <w:hideMark/>
          </w:tcPr>
          <w:p w14:paraId="642F240D" w14:textId="77777777" w:rsidR="00387142" w:rsidRPr="008B6A75" w:rsidRDefault="00387142" w:rsidP="00387142">
            <w:pPr>
              <w:rPr>
                <w:sz w:val="20"/>
                <w:szCs w:val="20"/>
              </w:rPr>
            </w:pPr>
          </w:p>
        </w:tc>
      </w:tr>
      <w:tr w:rsidR="00387142" w:rsidRPr="008B6A75" w14:paraId="2F8D87C0" w14:textId="77777777" w:rsidTr="00387142">
        <w:trPr>
          <w:trHeight w:val="870"/>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76644ED5" w14:textId="77777777" w:rsidR="00387142" w:rsidRPr="008B6A75" w:rsidRDefault="00387142" w:rsidP="00387142">
            <w:pPr>
              <w:rPr>
                <w:sz w:val="20"/>
                <w:szCs w:val="20"/>
              </w:rPr>
            </w:pPr>
            <w:r w:rsidRPr="008B6A75">
              <w:rPr>
                <w:sz w:val="20"/>
                <w:szCs w:val="20"/>
              </w:rPr>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01313872" w14:textId="77777777" w:rsidR="00387142" w:rsidRPr="008B6A75" w:rsidRDefault="00387142" w:rsidP="00387142">
            <w:pPr>
              <w:jc w:val="center"/>
              <w:rPr>
                <w:sz w:val="20"/>
                <w:szCs w:val="20"/>
              </w:rPr>
            </w:pPr>
            <w:r w:rsidRPr="008B6A75">
              <w:rPr>
                <w:sz w:val="20"/>
                <w:szCs w:val="20"/>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584F12A7" w14:textId="77777777" w:rsidR="00387142" w:rsidRPr="008B6A75" w:rsidRDefault="00387142" w:rsidP="00387142">
            <w:pPr>
              <w:jc w:val="center"/>
              <w:rPr>
                <w:sz w:val="20"/>
                <w:szCs w:val="20"/>
              </w:rPr>
            </w:pPr>
            <w:r w:rsidRPr="008B6A75">
              <w:rPr>
                <w:sz w:val="20"/>
                <w:szCs w:val="20"/>
              </w:rPr>
              <w:t>03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8B7512" w14:textId="77777777" w:rsidR="00387142" w:rsidRPr="008B6A75" w:rsidRDefault="00387142" w:rsidP="00387142">
            <w:pPr>
              <w:jc w:val="center"/>
              <w:rPr>
                <w:sz w:val="20"/>
                <w:szCs w:val="20"/>
              </w:rPr>
            </w:pPr>
            <w:r w:rsidRPr="008B6A75">
              <w:rPr>
                <w:sz w:val="20"/>
                <w:szCs w:val="20"/>
              </w:rPr>
              <w:t>10</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3D172821" w14:textId="77777777" w:rsidR="00387142" w:rsidRPr="008B6A75" w:rsidRDefault="00387142" w:rsidP="00387142">
            <w:pPr>
              <w:jc w:val="center"/>
              <w:rPr>
                <w:sz w:val="20"/>
                <w:szCs w:val="20"/>
              </w:rPr>
            </w:pPr>
            <w:r w:rsidRPr="008B6A75">
              <w:rPr>
                <w:sz w:val="20"/>
                <w:szCs w:val="20"/>
              </w:rPr>
              <w:t>18.0.00.03190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6B45BE" w14:textId="77777777" w:rsidR="00387142" w:rsidRPr="008B6A75" w:rsidRDefault="00387142" w:rsidP="00387142">
            <w:pPr>
              <w:jc w:val="center"/>
              <w:rPr>
                <w:sz w:val="20"/>
                <w:szCs w:val="20"/>
              </w:rPr>
            </w:pPr>
            <w:r w:rsidRPr="008B6A75">
              <w:rPr>
                <w:sz w:val="20"/>
                <w:szCs w:val="20"/>
              </w:rPr>
              <w:t>240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5F55FF" w14:textId="77777777" w:rsidR="00387142" w:rsidRPr="008B6A75" w:rsidRDefault="00387142" w:rsidP="00387142">
            <w:pPr>
              <w:jc w:val="right"/>
              <w:rPr>
                <w:sz w:val="20"/>
                <w:szCs w:val="20"/>
              </w:rPr>
            </w:pPr>
            <w:r w:rsidRPr="008B6A75">
              <w:rPr>
                <w:sz w:val="20"/>
                <w:szCs w:val="20"/>
              </w:rPr>
              <w:t>3 654 302,80</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36731EE2" w14:textId="77777777" w:rsidR="00387142" w:rsidRPr="008B6A75" w:rsidRDefault="00387142" w:rsidP="00387142">
            <w:pPr>
              <w:jc w:val="right"/>
              <w:rPr>
                <w:sz w:val="20"/>
                <w:szCs w:val="20"/>
              </w:rPr>
            </w:pPr>
            <w:r w:rsidRPr="008B6A75">
              <w:rPr>
                <w:sz w:val="20"/>
                <w:szCs w:val="20"/>
              </w:rPr>
              <w:t>1 300 000,00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7498B1" w14:textId="77777777" w:rsidR="00387142" w:rsidRPr="008B6A75" w:rsidRDefault="00387142" w:rsidP="00387142">
            <w:pPr>
              <w:jc w:val="right"/>
              <w:rPr>
                <w:sz w:val="20"/>
                <w:szCs w:val="20"/>
              </w:rPr>
            </w:pPr>
            <w:r w:rsidRPr="008B6A75">
              <w:rPr>
                <w:sz w:val="20"/>
                <w:szCs w:val="20"/>
              </w:rPr>
              <w:t>650 000,00</w:t>
            </w:r>
          </w:p>
        </w:tc>
        <w:tc>
          <w:tcPr>
            <w:tcW w:w="222" w:type="dxa"/>
            <w:vAlign w:val="center"/>
            <w:hideMark/>
          </w:tcPr>
          <w:p w14:paraId="0912C147" w14:textId="77777777" w:rsidR="00387142" w:rsidRPr="008B6A75" w:rsidRDefault="00387142" w:rsidP="00387142">
            <w:pPr>
              <w:rPr>
                <w:sz w:val="20"/>
                <w:szCs w:val="20"/>
              </w:rPr>
            </w:pPr>
          </w:p>
        </w:tc>
      </w:tr>
      <w:tr w:rsidR="00387142" w:rsidRPr="008B6A75" w14:paraId="2E4B06D1" w14:textId="77777777" w:rsidTr="00387142">
        <w:trPr>
          <w:trHeight w:val="300"/>
        </w:trPr>
        <w:tc>
          <w:tcPr>
            <w:tcW w:w="3021" w:type="dxa"/>
            <w:tcBorders>
              <w:top w:val="nil"/>
              <w:left w:val="single" w:sz="4" w:space="0" w:color="auto"/>
              <w:bottom w:val="nil"/>
              <w:right w:val="nil"/>
            </w:tcBorders>
            <w:shd w:val="clear" w:color="auto" w:fill="auto"/>
            <w:vAlign w:val="center"/>
            <w:hideMark/>
          </w:tcPr>
          <w:p w14:paraId="639DAB1D" w14:textId="77777777" w:rsidR="00387142" w:rsidRPr="008B6A75" w:rsidRDefault="00387142" w:rsidP="00387142">
            <w:pPr>
              <w:rPr>
                <w:sz w:val="20"/>
                <w:szCs w:val="20"/>
              </w:rPr>
            </w:pPr>
            <w:r w:rsidRPr="008B6A75">
              <w:rPr>
                <w:sz w:val="20"/>
                <w:szCs w:val="20"/>
              </w:rPr>
              <w:t>Иные бюджетные ассигнования</w:t>
            </w:r>
          </w:p>
        </w:tc>
        <w:tc>
          <w:tcPr>
            <w:tcW w:w="850" w:type="dxa"/>
            <w:tcBorders>
              <w:top w:val="nil"/>
              <w:left w:val="single" w:sz="4" w:space="0" w:color="auto"/>
              <w:bottom w:val="nil"/>
              <w:right w:val="nil"/>
            </w:tcBorders>
            <w:shd w:val="clear" w:color="auto" w:fill="auto"/>
            <w:noWrap/>
            <w:vAlign w:val="center"/>
            <w:hideMark/>
          </w:tcPr>
          <w:p w14:paraId="32BA53A0" w14:textId="77777777" w:rsidR="00387142" w:rsidRPr="008B6A75" w:rsidRDefault="00387142" w:rsidP="00387142">
            <w:pPr>
              <w:jc w:val="center"/>
              <w:rPr>
                <w:sz w:val="20"/>
                <w:szCs w:val="20"/>
              </w:rPr>
            </w:pPr>
            <w:r w:rsidRPr="008B6A75">
              <w:rPr>
                <w:sz w:val="20"/>
                <w:szCs w:val="20"/>
              </w:rPr>
              <w:t>444</w:t>
            </w:r>
          </w:p>
        </w:tc>
        <w:tc>
          <w:tcPr>
            <w:tcW w:w="709" w:type="dxa"/>
            <w:tcBorders>
              <w:top w:val="nil"/>
              <w:left w:val="single" w:sz="4" w:space="0" w:color="auto"/>
              <w:bottom w:val="nil"/>
              <w:right w:val="nil"/>
            </w:tcBorders>
            <w:shd w:val="clear" w:color="auto" w:fill="auto"/>
            <w:noWrap/>
            <w:vAlign w:val="center"/>
            <w:hideMark/>
          </w:tcPr>
          <w:p w14:paraId="3126DDAB" w14:textId="77777777" w:rsidR="00387142" w:rsidRPr="008B6A75" w:rsidRDefault="00387142" w:rsidP="00387142">
            <w:pPr>
              <w:jc w:val="center"/>
              <w:rPr>
                <w:sz w:val="20"/>
                <w:szCs w:val="20"/>
              </w:rPr>
            </w:pPr>
            <w:r w:rsidRPr="008B6A75">
              <w:rPr>
                <w:sz w:val="20"/>
                <w:szCs w:val="20"/>
              </w:rPr>
              <w:t>03</w:t>
            </w:r>
          </w:p>
        </w:tc>
        <w:tc>
          <w:tcPr>
            <w:tcW w:w="709" w:type="dxa"/>
            <w:tcBorders>
              <w:top w:val="nil"/>
              <w:left w:val="single" w:sz="4" w:space="0" w:color="auto"/>
              <w:bottom w:val="nil"/>
              <w:right w:val="single" w:sz="4" w:space="0" w:color="auto"/>
            </w:tcBorders>
            <w:shd w:val="clear" w:color="auto" w:fill="auto"/>
            <w:noWrap/>
            <w:vAlign w:val="center"/>
            <w:hideMark/>
          </w:tcPr>
          <w:p w14:paraId="3B12B9F8" w14:textId="77777777" w:rsidR="00387142" w:rsidRPr="008B6A75" w:rsidRDefault="00387142" w:rsidP="00387142">
            <w:pPr>
              <w:jc w:val="center"/>
              <w:rPr>
                <w:sz w:val="20"/>
                <w:szCs w:val="20"/>
              </w:rPr>
            </w:pPr>
            <w:r w:rsidRPr="008B6A75">
              <w:rPr>
                <w:sz w:val="20"/>
                <w:szCs w:val="20"/>
              </w:rPr>
              <w:t>10</w:t>
            </w:r>
          </w:p>
        </w:tc>
        <w:tc>
          <w:tcPr>
            <w:tcW w:w="1411" w:type="dxa"/>
            <w:tcBorders>
              <w:top w:val="nil"/>
              <w:left w:val="single" w:sz="4" w:space="0" w:color="auto"/>
              <w:bottom w:val="nil"/>
              <w:right w:val="nil"/>
            </w:tcBorders>
            <w:shd w:val="clear" w:color="auto" w:fill="auto"/>
            <w:noWrap/>
            <w:vAlign w:val="center"/>
            <w:hideMark/>
          </w:tcPr>
          <w:p w14:paraId="5875388F" w14:textId="77777777" w:rsidR="00387142" w:rsidRPr="008B6A75" w:rsidRDefault="00387142" w:rsidP="00387142">
            <w:pPr>
              <w:jc w:val="center"/>
              <w:rPr>
                <w:sz w:val="20"/>
                <w:szCs w:val="20"/>
              </w:rPr>
            </w:pPr>
            <w:r w:rsidRPr="008B6A75">
              <w:rPr>
                <w:sz w:val="20"/>
                <w:szCs w:val="20"/>
              </w:rPr>
              <w:t>18.0.00.03190</w:t>
            </w:r>
          </w:p>
        </w:tc>
        <w:tc>
          <w:tcPr>
            <w:tcW w:w="955" w:type="dxa"/>
            <w:tcBorders>
              <w:top w:val="nil"/>
              <w:left w:val="single" w:sz="4" w:space="0" w:color="auto"/>
              <w:bottom w:val="nil"/>
              <w:right w:val="single" w:sz="4" w:space="0" w:color="auto"/>
            </w:tcBorders>
            <w:shd w:val="clear" w:color="auto" w:fill="auto"/>
            <w:noWrap/>
            <w:vAlign w:val="center"/>
            <w:hideMark/>
          </w:tcPr>
          <w:p w14:paraId="24079B25" w14:textId="77777777" w:rsidR="00387142" w:rsidRPr="008B6A75" w:rsidRDefault="00387142" w:rsidP="00387142">
            <w:pPr>
              <w:jc w:val="center"/>
              <w:rPr>
                <w:sz w:val="20"/>
                <w:szCs w:val="20"/>
              </w:rPr>
            </w:pPr>
            <w:r w:rsidRPr="008B6A75">
              <w:rPr>
                <w:sz w:val="20"/>
                <w:szCs w:val="20"/>
              </w:rPr>
              <w:t>800</w:t>
            </w:r>
          </w:p>
        </w:tc>
        <w:tc>
          <w:tcPr>
            <w:tcW w:w="992" w:type="dxa"/>
            <w:tcBorders>
              <w:top w:val="nil"/>
              <w:left w:val="single" w:sz="4" w:space="0" w:color="auto"/>
              <w:bottom w:val="nil"/>
              <w:right w:val="single" w:sz="4" w:space="0" w:color="auto"/>
            </w:tcBorders>
            <w:shd w:val="clear" w:color="auto" w:fill="auto"/>
            <w:noWrap/>
            <w:vAlign w:val="center"/>
            <w:hideMark/>
          </w:tcPr>
          <w:p w14:paraId="52D7A212" w14:textId="77777777" w:rsidR="00387142" w:rsidRPr="008B6A75" w:rsidRDefault="00387142" w:rsidP="00387142">
            <w:pPr>
              <w:jc w:val="right"/>
              <w:rPr>
                <w:sz w:val="20"/>
                <w:szCs w:val="20"/>
              </w:rPr>
            </w:pPr>
            <w:r w:rsidRPr="008B6A75">
              <w:rPr>
                <w:sz w:val="20"/>
                <w:szCs w:val="20"/>
              </w:rPr>
              <w:t>9 982,16</w:t>
            </w:r>
          </w:p>
        </w:tc>
        <w:tc>
          <w:tcPr>
            <w:tcW w:w="992" w:type="dxa"/>
            <w:gridSpan w:val="2"/>
            <w:tcBorders>
              <w:top w:val="nil"/>
              <w:left w:val="single" w:sz="4" w:space="0" w:color="auto"/>
              <w:bottom w:val="nil"/>
              <w:right w:val="nil"/>
            </w:tcBorders>
            <w:shd w:val="clear" w:color="auto" w:fill="auto"/>
            <w:noWrap/>
            <w:vAlign w:val="center"/>
            <w:hideMark/>
          </w:tcPr>
          <w:p w14:paraId="35717F41" w14:textId="77777777" w:rsidR="00387142" w:rsidRPr="008B6A75" w:rsidRDefault="00387142" w:rsidP="00387142">
            <w:pPr>
              <w:jc w:val="right"/>
              <w:rPr>
                <w:sz w:val="20"/>
                <w:szCs w:val="20"/>
              </w:rPr>
            </w:pPr>
            <w:r w:rsidRPr="008B6A75">
              <w:rPr>
                <w:sz w:val="20"/>
                <w:szCs w:val="20"/>
              </w:rPr>
              <w:t>0,00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5E2BBDF9" w14:textId="77777777" w:rsidR="00387142" w:rsidRPr="008B6A75" w:rsidRDefault="00387142" w:rsidP="00387142">
            <w:pPr>
              <w:jc w:val="right"/>
              <w:rPr>
                <w:sz w:val="20"/>
                <w:szCs w:val="20"/>
              </w:rPr>
            </w:pPr>
            <w:r w:rsidRPr="008B6A75">
              <w:rPr>
                <w:sz w:val="20"/>
                <w:szCs w:val="20"/>
              </w:rPr>
              <w:t>0,00</w:t>
            </w:r>
          </w:p>
        </w:tc>
        <w:tc>
          <w:tcPr>
            <w:tcW w:w="222" w:type="dxa"/>
            <w:vAlign w:val="center"/>
            <w:hideMark/>
          </w:tcPr>
          <w:p w14:paraId="4F23DFBC" w14:textId="77777777" w:rsidR="00387142" w:rsidRPr="008B6A75" w:rsidRDefault="00387142" w:rsidP="00387142">
            <w:pPr>
              <w:rPr>
                <w:sz w:val="20"/>
                <w:szCs w:val="20"/>
              </w:rPr>
            </w:pPr>
          </w:p>
        </w:tc>
      </w:tr>
      <w:tr w:rsidR="00387142" w:rsidRPr="008B6A75" w14:paraId="1EEFF594" w14:textId="77777777" w:rsidTr="00387142">
        <w:trPr>
          <w:trHeight w:val="300"/>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0F513966" w14:textId="77777777" w:rsidR="00387142" w:rsidRPr="008B6A75" w:rsidRDefault="00387142" w:rsidP="00387142">
            <w:pPr>
              <w:rPr>
                <w:sz w:val="20"/>
                <w:szCs w:val="20"/>
              </w:rPr>
            </w:pPr>
            <w:r w:rsidRPr="008B6A75">
              <w:rPr>
                <w:sz w:val="20"/>
                <w:szCs w:val="20"/>
              </w:rPr>
              <w:t>Уплата налогов, сборов и иных платежей</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3A13BDBF" w14:textId="77777777" w:rsidR="00387142" w:rsidRPr="008B6A75" w:rsidRDefault="00387142" w:rsidP="00387142">
            <w:pPr>
              <w:jc w:val="center"/>
              <w:rPr>
                <w:sz w:val="20"/>
                <w:szCs w:val="20"/>
              </w:rPr>
            </w:pPr>
            <w:r w:rsidRPr="008B6A75">
              <w:rPr>
                <w:sz w:val="20"/>
                <w:szCs w:val="20"/>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22630B00" w14:textId="77777777" w:rsidR="00387142" w:rsidRPr="008B6A75" w:rsidRDefault="00387142" w:rsidP="00387142">
            <w:pPr>
              <w:jc w:val="center"/>
              <w:rPr>
                <w:sz w:val="20"/>
                <w:szCs w:val="20"/>
              </w:rPr>
            </w:pPr>
            <w:r w:rsidRPr="008B6A75">
              <w:rPr>
                <w:sz w:val="20"/>
                <w:szCs w:val="20"/>
              </w:rPr>
              <w:t>03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A9C4D5" w14:textId="77777777" w:rsidR="00387142" w:rsidRPr="008B6A75" w:rsidRDefault="00387142" w:rsidP="00387142">
            <w:pPr>
              <w:jc w:val="center"/>
              <w:rPr>
                <w:sz w:val="20"/>
                <w:szCs w:val="20"/>
              </w:rPr>
            </w:pPr>
            <w:r w:rsidRPr="008B6A75">
              <w:rPr>
                <w:sz w:val="20"/>
                <w:szCs w:val="20"/>
              </w:rPr>
              <w:t>10</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27F1044F" w14:textId="77777777" w:rsidR="00387142" w:rsidRPr="008B6A75" w:rsidRDefault="00387142" w:rsidP="00387142">
            <w:pPr>
              <w:jc w:val="center"/>
              <w:rPr>
                <w:sz w:val="20"/>
                <w:szCs w:val="20"/>
              </w:rPr>
            </w:pPr>
            <w:r w:rsidRPr="008B6A75">
              <w:rPr>
                <w:sz w:val="20"/>
                <w:szCs w:val="20"/>
              </w:rPr>
              <w:t>18.0.00.03190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3F17E0" w14:textId="77777777" w:rsidR="00387142" w:rsidRPr="008B6A75" w:rsidRDefault="00387142" w:rsidP="00387142">
            <w:pPr>
              <w:jc w:val="center"/>
              <w:rPr>
                <w:sz w:val="20"/>
                <w:szCs w:val="20"/>
              </w:rPr>
            </w:pPr>
            <w:r w:rsidRPr="008B6A75">
              <w:rPr>
                <w:sz w:val="20"/>
                <w:szCs w:val="20"/>
              </w:rPr>
              <w:t>850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83C9A9" w14:textId="77777777" w:rsidR="00387142" w:rsidRPr="008B6A75" w:rsidRDefault="00387142" w:rsidP="00387142">
            <w:pPr>
              <w:jc w:val="right"/>
              <w:rPr>
                <w:sz w:val="20"/>
                <w:szCs w:val="20"/>
              </w:rPr>
            </w:pPr>
            <w:r w:rsidRPr="008B6A75">
              <w:rPr>
                <w:sz w:val="20"/>
                <w:szCs w:val="20"/>
              </w:rPr>
              <w:t>9 982,16</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51DC37B4" w14:textId="77777777" w:rsidR="00387142" w:rsidRPr="008B6A75" w:rsidRDefault="00387142" w:rsidP="00387142">
            <w:pPr>
              <w:jc w:val="right"/>
              <w:rPr>
                <w:sz w:val="20"/>
                <w:szCs w:val="20"/>
              </w:rPr>
            </w:pPr>
            <w:r w:rsidRPr="008B6A75">
              <w:rPr>
                <w:sz w:val="20"/>
                <w:szCs w:val="20"/>
              </w:rPr>
              <w:t>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51D008" w14:textId="77777777" w:rsidR="00387142" w:rsidRPr="008B6A75" w:rsidRDefault="00387142" w:rsidP="00387142">
            <w:pPr>
              <w:jc w:val="right"/>
              <w:rPr>
                <w:sz w:val="20"/>
                <w:szCs w:val="20"/>
              </w:rPr>
            </w:pPr>
            <w:r w:rsidRPr="008B6A75">
              <w:rPr>
                <w:sz w:val="20"/>
                <w:szCs w:val="20"/>
              </w:rPr>
              <w:t>0,00</w:t>
            </w:r>
          </w:p>
        </w:tc>
        <w:tc>
          <w:tcPr>
            <w:tcW w:w="222" w:type="dxa"/>
            <w:vAlign w:val="center"/>
            <w:hideMark/>
          </w:tcPr>
          <w:p w14:paraId="45A67C00" w14:textId="77777777" w:rsidR="00387142" w:rsidRPr="008B6A75" w:rsidRDefault="00387142" w:rsidP="00387142">
            <w:pPr>
              <w:rPr>
                <w:sz w:val="20"/>
                <w:szCs w:val="20"/>
              </w:rPr>
            </w:pPr>
          </w:p>
        </w:tc>
      </w:tr>
      <w:tr w:rsidR="00387142" w:rsidRPr="008B6A75" w14:paraId="0774C1DB" w14:textId="77777777" w:rsidTr="00387142">
        <w:trPr>
          <w:trHeight w:val="1155"/>
        </w:trPr>
        <w:tc>
          <w:tcPr>
            <w:tcW w:w="3021" w:type="dxa"/>
            <w:tcBorders>
              <w:top w:val="nil"/>
              <w:left w:val="single" w:sz="4" w:space="0" w:color="auto"/>
              <w:bottom w:val="nil"/>
              <w:right w:val="nil"/>
            </w:tcBorders>
            <w:shd w:val="clear" w:color="auto" w:fill="auto"/>
            <w:vAlign w:val="center"/>
            <w:hideMark/>
          </w:tcPr>
          <w:p w14:paraId="76ACDF9E" w14:textId="77777777" w:rsidR="00387142" w:rsidRPr="008B6A75" w:rsidRDefault="00387142" w:rsidP="00387142">
            <w:pPr>
              <w:rPr>
                <w:bCs/>
                <w:sz w:val="20"/>
                <w:szCs w:val="20"/>
              </w:rPr>
            </w:pPr>
            <w:r w:rsidRPr="008B6A75">
              <w:rPr>
                <w:bCs/>
                <w:sz w:val="20"/>
                <w:szCs w:val="20"/>
              </w:rPr>
              <w:t>Реализация мероприятий муниципальной программы «Обеспечение безопасности жизнедеятельности населения Куйбышевского района»</w:t>
            </w:r>
          </w:p>
        </w:tc>
        <w:tc>
          <w:tcPr>
            <w:tcW w:w="850" w:type="dxa"/>
            <w:tcBorders>
              <w:top w:val="nil"/>
              <w:left w:val="single" w:sz="4" w:space="0" w:color="auto"/>
              <w:bottom w:val="nil"/>
              <w:right w:val="nil"/>
            </w:tcBorders>
            <w:shd w:val="clear" w:color="auto" w:fill="auto"/>
            <w:noWrap/>
            <w:vAlign w:val="center"/>
            <w:hideMark/>
          </w:tcPr>
          <w:p w14:paraId="610B9AB8" w14:textId="77777777" w:rsidR="00387142" w:rsidRPr="008B6A75" w:rsidRDefault="00387142" w:rsidP="00387142">
            <w:pPr>
              <w:jc w:val="center"/>
              <w:rPr>
                <w:bCs/>
                <w:sz w:val="20"/>
                <w:szCs w:val="20"/>
              </w:rPr>
            </w:pPr>
            <w:r w:rsidRPr="008B6A75">
              <w:rPr>
                <w:bCs/>
                <w:sz w:val="20"/>
                <w:szCs w:val="20"/>
              </w:rPr>
              <w:t>444</w:t>
            </w:r>
          </w:p>
        </w:tc>
        <w:tc>
          <w:tcPr>
            <w:tcW w:w="709" w:type="dxa"/>
            <w:tcBorders>
              <w:top w:val="nil"/>
              <w:left w:val="single" w:sz="4" w:space="0" w:color="auto"/>
              <w:bottom w:val="nil"/>
              <w:right w:val="nil"/>
            </w:tcBorders>
            <w:shd w:val="clear" w:color="auto" w:fill="auto"/>
            <w:noWrap/>
            <w:vAlign w:val="center"/>
            <w:hideMark/>
          </w:tcPr>
          <w:p w14:paraId="153B7B75" w14:textId="77777777" w:rsidR="00387142" w:rsidRPr="008B6A75" w:rsidRDefault="00387142" w:rsidP="00387142">
            <w:pPr>
              <w:jc w:val="center"/>
              <w:rPr>
                <w:bCs/>
                <w:sz w:val="20"/>
                <w:szCs w:val="20"/>
              </w:rPr>
            </w:pPr>
            <w:r w:rsidRPr="008B6A75">
              <w:rPr>
                <w:bCs/>
                <w:sz w:val="20"/>
                <w:szCs w:val="20"/>
              </w:rPr>
              <w:t>03</w:t>
            </w:r>
          </w:p>
        </w:tc>
        <w:tc>
          <w:tcPr>
            <w:tcW w:w="709" w:type="dxa"/>
            <w:tcBorders>
              <w:top w:val="nil"/>
              <w:left w:val="single" w:sz="4" w:space="0" w:color="auto"/>
              <w:bottom w:val="nil"/>
              <w:right w:val="single" w:sz="4" w:space="0" w:color="auto"/>
            </w:tcBorders>
            <w:shd w:val="clear" w:color="auto" w:fill="auto"/>
            <w:noWrap/>
            <w:vAlign w:val="center"/>
            <w:hideMark/>
          </w:tcPr>
          <w:p w14:paraId="25FBFF96" w14:textId="77777777" w:rsidR="00387142" w:rsidRPr="008B6A75" w:rsidRDefault="00387142" w:rsidP="00387142">
            <w:pPr>
              <w:jc w:val="center"/>
              <w:rPr>
                <w:bCs/>
                <w:sz w:val="20"/>
                <w:szCs w:val="20"/>
              </w:rPr>
            </w:pPr>
            <w:r w:rsidRPr="008B6A75">
              <w:rPr>
                <w:bCs/>
                <w:sz w:val="20"/>
                <w:szCs w:val="20"/>
              </w:rPr>
              <w:t>10</w:t>
            </w:r>
          </w:p>
        </w:tc>
        <w:tc>
          <w:tcPr>
            <w:tcW w:w="1411" w:type="dxa"/>
            <w:tcBorders>
              <w:top w:val="nil"/>
              <w:left w:val="single" w:sz="4" w:space="0" w:color="auto"/>
              <w:bottom w:val="nil"/>
              <w:right w:val="nil"/>
            </w:tcBorders>
            <w:shd w:val="clear" w:color="auto" w:fill="auto"/>
            <w:noWrap/>
            <w:vAlign w:val="center"/>
            <w:hideMark/>
          </w:tcPr>
          <w:p w14:paraId="4F88ED4A" w14:textId="77777777" w:rsidR="00387142" w:rsidRPr="008B6A75" w:rsidRDefault="00387142" w:rsidP="00387142">
            <w:pPr>
              <w:jc w:val="center"/>
              <w:rPr>
                <w:bCs/>
                <w:sz w:val="20"/>
                <w:szCs w:val="20"/>
              </w:rPr>
            </w:pPr>
            <w:r w:rsidRPr="008B6A75">
              <w:rPr>
                <w:bCs/>
                <w:sz w:val="20"/>
                <w:szCs w:val="20"/>
              </w:rPr>
              <w:t>18.0.00.03950</w:t>
            </w:r>
          </w:p>
        </w:tc>
        <w:tc>
          <w:tcPr>
            <w:tcW w:w="955" w:type="dxa"/>
            <w:tcBorders>
              <w:top w:val="nil"/>
              <w:left w:val="single" w:sz="4" w:space="0" w:color="auto"/>
              <w:bottom w:val="nil"/>
              <w:right w:val="single" w:sz="4" w:space="0" w:color="auto"/>
            </w:tcBorders>
            <w:shd w:val="clear" w:color="auto" w:fill="auto"/>
            <w:noWrap/>
            <w:vAlign w:val="center"/>
            <w:hideMark/>
          </w:tcPr>
          <w:p w14:paraId="53041AE1"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nil"/>
              <w:right w:val="single" w:sz="4" w:space="0" w:color="auto"/>
            </w:tcBorders>
            <w:shd w:val="clear" w:color="auto" w:fill="auto"/>
            <w:noWrap/>
            <w:vAlign w:val="center"/>
            <w:hideMark/>
          </w:tcPr>
          <w:p w14:paraId="5F881243" w14:textId="77777777" w:rsidR="00387142" w:rsidRPr="008B6A75" w:rsidRDefault="00387142" w:rsidP="00387142">
            <w:pPr>
              <w:jc w:val="right"/>
              <w:rPr>
                <w:bCs/>
                <w:sz w:val="20"/>
                <w:szCs w:val="20"/>
              </w:rPr>
            </w:pPr>
            <w:r w:rsidRPr="008B6A75">
              <w:rPr>
                <w:bCs/>
                <w:sz w:val="20"/>
                <w:szCs w:val="20"/>
              </w:rPr>
              <w:t>4 978 118,89</w:t>
            </w:r>
          </w:p>
        </w:tc>
        <w:tc>
          <w:tcPr>
            <w:tcW w:w="992" w:type="dxa"/>
            <w:gridSpan w:val="2"/>
            <w:tcBorders>
              <w:top w:val="nil"/>
              <w:left w:val="single" w:sz="4" w:space="0" w:color="auto"/>
              <w:bottom w:val="nil"/>
              <w:right w:val="nil"/>
            </w:tcBorders>
            <w:shd w:val="clear" w:color="auto" w:fill="auto"/>
            <w:noWrap/>
            <w:vAlign w:val="center"/>
            <w:hideMark/>
          </w:tcPr>
          <w:p w14:paraId="02317D18" w14:textId="77777777" w:rsidR="00387142" w:rsidRPr="008B6A75" w:rsidRDefault="00387142" w:rsidP="00387142">
            <w:pPr>
              <w:jc w:val="right"/>
              <w:rPr>
                <w:bCs/>
                <w:sz w:val="20"/>
                <w:szCs w:val="20"/>
              </w:rPr>
            </w:pPr>
            <w:r w:rsidRPr="008B6A75">
              <w:rPr>
                <w:bCs/>
                <w:sz w:val="20"/>
                <w:szCs w:val="20"/>
              </w:rPr>
              <w:t>0,00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3F98B2A6" w14:textId="77777777" w:rsidR="00387142" w:rsidRPr="008B6A75" w:rsidRDefault="00387142" w:rsidP="00387142">
            <w:pPr>
              <w:jc w:val="right"/>
              <w:rPr>
                <w:bCs/>
                <w:sz w:val="20"/>
                <w:szCs w:val="20"/>
              </w:rPr>
            </w:pPr>
            <w:r w:rsidRPr="008B6A75">
              <w:rPr>
                <w:bCs/>
                <w:sz w:val="20"/>
                <w:szCs w:val="20"/>
              </w:rPr>
              <w:t>0,00</w:t>
            </w:r>
          </w:p>
        </w:tc>
        <w:tc>
          <w:tcPr>
            <w:tcW w:w="222" w:type="dxa"/>
            <w:vAlign w:val="center"/>
            <w:hideMark/>
          </w:tcPr>
          <w:p w14:paraId="600A553C" w14:textId="77777777" w:rsidR="00387142" w:rsidRPr="008B6A75" w:rsidRDefault="00387142" w:rsidP="00387142">
            <w:pPr>
              <w:rPr>
                <w:sz w:val="20"/>
                <w:szCs w:val="20"/>
              </w:rPr>
            </w:pPr>
          </w:p>
        </w:tc>
      </w:tr>
      <w:tr w:rsidR="00387142" w:rsidRPr="008B6A75" w14:paraId="3FDB11B7" w14:textId="77777777" w:rsidTr="00387142">
        <w:trPr>
          <w:trHeight w:val="1440"/>
        </w:trPr>
        <w:tc>
          <w:tcPr>
            <w:tcW w:w="3021" w:type="dxa"/>
            <w:tcBorders>
              <w:top w:val="single" w:sz="4" w:space="0" w:color="auto"/>
              <w:left w:val="single" w:sz="4" w:space="0" w:color="auto"/>
              <w:bottom w:val="nil"/>
              <w:right w:val="nil"/>
            </w:tcBorders>
            <w:shd w:val="clear" w:color="auto" w:fill="auto"/>
            <w:vAlign w:val="center"/>
            <w:hideMark/>
          </w:tcPr>
          <w:p w14:paraId="253DA6FB" w14:textId="77777777" w:rsidR="00387142" w:rsidRPr="008B6A75" w:rsidRDefault="00387142" w:rsidP="00387142">
            <w:pPr>
              <w:rPr>
                <w:sz w:val="20"/>
                <w:szCs w:val="20"/>
              </w:rPr>
            </w:pPr>
            <w:r w:rsidRPr="008B6A7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nil"/>
              <w:right w:val="nil"/>
            </w:tcBorders>
            <w:shd w:val="clear" w:color="auto" w:fill="auto"/>
            <w:noWrap/>
            <w:vAlign w:val="center"/>
            <w:hideMark/>
          </w:tcPr>
          <w:p w14:paraId="493BBC68" w14:textId="77777777" w:rsidR="00387142" w:rsidRPr="008B6A75" w:rsidRDefault="00387142" w:rsidP="00387142">
            <w:pPr>
              <w:jc w:val="center"/>
              <w:rPr>
                <w:sz w:val="20"/>
                <w:szCs w:val="20"/>
              </w:rPr>
            </w:pPr>
            <w:r w:rsidRPr="008B6A75">
              <w:rPr>
                <w:sz w:val="20"/>
                <w:szCs w:val="20"/>
              </w:rPr>
              <w:t>444</w:t>
            </w:r>
          </w:p>
        </w:tc>
        <w:tc>
          <w:tcPr>
            <w:tcW w:w="709" w:type="dxa"/>
            <w:tcBorders>
              <w:top w:val="single" w:sz="4" w:space="0" w:color="auto"/>
              <w:left w:val="single" w:sz="4" w:space="0" w:color="auto"/>
              <w:bottom w:val="nil"/>
              <w:right w:val="nil"/>
            </w:tcBorders>
            <w:shd w:val="clear" w:color="auto" w:fill="auto"/>
            <w:noWrap/>
            <w:vAlign w:val="center"/>
            <w:hideMark/>
          </w:tcPr>
          <w:p w14:paraId="13B7B7BA" w14:textId="77777777" w:rsidR="00387142" w:rsidRPr="008B6A75" w:rsidRDefault="00387142" w:rsidP="00387142">
            <w:pPr>
              <w:jc w:val="center"/>
              <w:rPr>
                <w:sz w:val="20"/>
                <w:szCs w:val="20"/>
              </w:rPr>
            </w:pPr>
            <w:r w:rsidRPr="008B6A75">
              <w:rPr>
                <w:sz w:val="20"/>
                <w:szCs w:val="20"/>
              </w:rPr>
              <w:t>03</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0A101B2A" w14:textId="77777777" w:rsidR="00387142" w:rsidRPr="008B6A75" w:rsidRDefault="00387142" w:rsidP="00387142">
            <w:pPr>
              <w:jc w:val="center"/>
              <w:rPr>
                <w:sz w:val="20"/>
                <w:szCs w:val="20"/>
              </w:rPr>
            </w:pPr>
            <w:r w:rsidRPr="008B6A75">
              <w:rPr>
                <w:sz w:val="20"/>
                <w:szCs w:val="20"/>
              </w:rPr>
              <w:t>10</w:t>
            </w:r>
          </w:p>
        </w:tc>
        <w:tc>
          <w:tcPr>
            <w:tcW w:w="1411" w:type="dxa"/>
            <w:tcBorders>
              <w:top w:val="single" w:sz="4" w:space="0" w:color="auto"/>
              <w:left w:val="single" w:sz="4" w:space="0" w:color="auto"/>
              <w:bottom w:val="nil"/>
              <w:right w:val="nil"/>
            </w:tcBorders>
            <w:shd w:val="clear" w:color="auto" w:fill="auto"/>
            <w:noWrap/>
            <w:vAlign w:val="center"/>
            <w:hideMark/>
          </w:tcPr>
          <w:p w14:paraId="26EEBD67" w14:textId="77777777" w:rsidR="00387142" w:rsidRPr="008B6A75" w:rsidRDefault="00387142" w:rsidP="00387142">
            <w:pPr>
              <w:jc w:val="center"/>
              <w:rPr>
                <w:sz w:val="20"/>
                <w:szCs w:val="20"/>
              </w:rPr>
            </w:pPr>
            <w:r w:rsidRPr="008B6A75">
              <w:rPr>
                <w:sz w:val="20"/>
                <w:szCs w:val="20"/>
              </w:rPr>
              <w:t>18.0.00.03950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2FE4D32A" w14:textId="77777777" w:rsidR="00387142" w:rsidRPr="008B6A75" w:rsidRDefault="00387142" w:rsidP="00387142">
            <w:pPr>
              <w:jc w:val="center"/>
              <w:rPr>
                <w:sz w:val="20"/>
                <w:szCs w:val="20"/>
              </w:rPr>
            </w:pPr>
            <w:r w:rsidRPr="008B6A75">
              <w:rPr>
                <w:sz w:val="20"/>
                <w:szCs w:val="20"/>
              </w:rPr>
              <w:t>100</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7885B551" w14:textId="77777777" w:rsidR="00387142" w:rsidRPr="008B6A75" w:rsidRDefault="00387142" w:rsidP="00387142">
            <w:pPr>
              <w:jc w:val="right"/>
              <w:rPr>
                <w:sz w:val="20"/>
                <w:szCs w:val="20"/>
              </w:rPr>
            </w:pPr>
            <w:r w:rsidRPr="008B6A75">
              <w:rPr>
                <w:sz w:val="20"/>
                <w:szCs w:val="20"/>
              </w:rPr>
              <w:t>896 715,44</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3C89D412" w14:textId="77777777" w:rsidR="00387142" w:rsidRPr="008B6A75" w:rsidRDefault="00387142" w:rsidP="00387142">
            <w:pPr>
              <w:jc w:val="right"/>
              <w:rPr>
                <w:sz w:val="20"/>
                <w:szCs w:val="20"/>
              </w:rPr>
            </w:pPr>
            <w:r w:rsidRPr="008B6A75">
              <w:rPr>
                <w:sz w:val="20"/>
                <w:szCs w:val="20"/>
              </w:rPr>
              <w:t>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0E9982E5" w14:textId="77777777" w:rsidR="00387142" w:rsidRPr="008B6A75" w:rsidRDefault="00387142" w:rsidP="00387142">
            <w:pPr>
              <w:jc w:val="right"/>
              <w:rPr>
                <w:sz w:val="20"/>
                <w:szCs w:val="20"/>
              </w:rPr>
            </w:pPr>
            <w:r w:rsidRPr="008B6A75">
              <w:rPr>
                <w:sz w:val="20"/>
                <w:szCs w:val="20"/>
              </w:rPr>
              <w:t>0,00</w:t>
            </w:r>
          </w:p>
        </w:tc>
        <w:tc>
          <w:tcPr>
            <w:tcW w:w="222" w:type="dxa"/>
            <w:vAlign w:val="center"/>
            <w:hideMark/>
          </w:tcPr>
          <w:p w14:paraId="323F4231" w14:textId="77777777" w:rsidR="00387142" w:rsidRPr="008B6A75" w:rsidRDefault="00387142" w:rsidP="00387142">
            <w:pPr>
              <w:rPr>
                <w:sz w:val="20"/>
                <w:szCs w:val="20"/>
              </w:rPr>
            </w:pPr>
          </w:p>
        </w:tc>
      </w:tr>
      <w:tr w:rsidR="00387142" w:rsidRPr="008B6A75" w14:paraId="47042DFB" w14:textId="77777777" w:rsidTr="00387142">
        <w:trPr>
          <w:trHeight w:val="585"/>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524370FF" w14:textId="77777777" w:rsidR="00387142" w:rsidRPr="008B6A75" w:rsidRDefault="00387142" w:rsidP="00387142">
            <w:pPr>
              <w:rPr>
                <w:sz w:val="20"/>
                <w:szCs w:val="20"/>
              </w:rPr>
            </w:pPr>
            <w:r w:rsidRPr="008B6A75">
              <w:rPr>
                <w:sz w:val="20"/>
                <w:szCs w:val="20"/>
              </w:rPr>
              <w:t>Расходы на выплаты персоналу казенных учреждений</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0052C679" w14:textId="77777777" w:rsidR="00387142" w:rsidRPr="008B6A75" w:rsidRDefault="00387142" w:rsidP="00387142">
            <w:pPr>
              <w:jc w:val="center"/>
              <w:rPr>
                <w:sz w:val="20"/>
                <w:szCs w:val="20"/>
              </w:rPr>
            </w:pPr>
            <w:r w:rsidRPr="008B6A75">
              <w:rPr>
                <w:sz w:val="20"/>
                <w:szCs w:val="20"/>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0294CFA6" w14:textId="77777777" w:rsidR="00387142" w:rsidRPr="008B6A75" w:rsidRDefault="00387142" w:rsidP="00387142">
            <w:pPr>
              <w:jc w:val="center"/>
              <w:rPr>
                <w:sz w:val="20"/>
                <w:szCs w:val="20"/>
              </w:rPr>
            </w:pPr>
            <w:r w:rsidRPr="008B6A75">
              <w:rPr>
                <w:sz w:val="20"/>
                <w:szCs w:val="20"/>
              </w:rPr>
              <w:t>03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EED5EB" w14:textId="77777777" w:rsidR="00387142" w:rsidRPr="008B6A75" w:rsidRDefault="00387142" w:rsidP="00387142">
            <w:pPr>
              <w:jc w:val="center"/>
              <w:rPr>
                <w:sz w:val="20"/>
                <w:szCs w:val="20"/>
              </w:rPr>
            </w:pPr>
            <w:r w:rsidRPr="008B6A75">
              <w:rPr>
                <w:sz w:val="20"/>
                <w:szCs w:val="20"/>
              </w:rPr>
              <w:t>10</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62916C94" w14:textId="77777777" w:rsidR="00387142" w:rsidRPr="008B6A75" w:rsidRDefault="00387142" w:rsidP="00387142">
            <w:pPr>
              <w:jc w:val="center"/>
              <w:rPr>
                <w:sz w:val="20"/>
                <w:szCs w:val="20"/>
              </w:rPr>
            </w:pPr>
            <w:r w:rsidRPr="008B6A75">
              <w:rPr>
                <w:sz w:val="20"/>
                <w:szCs w:val="20"/>
              </w:rPr>
              <w:t>18.0.00.03950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FF4A02" w14:textId="77777777" w:rsidR="00387142" w:rsidRPr="008B6A75" w:rsidRDefault="00387142" w:rsidP="00387142">
            <w:pPr>
              <w:jc w:val="center"/>
              <w:rPr>
                <w:sz w:val="20"/>
                <w:szCs w:val="20"/>
              </w:rPr>
            </w:pPr>
            <w:r w:rsidRPr="008B6A75">
              <w:rPr>
                <w:sz w:val="20"/>
                <w:szCs w:val="20"/>
              </w:rPr>
              <w:t>110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C727F5" w14:textId="77777777" w:rsidR="00387142" w:rsidRPr="008B6A75" w:rsidRDefault="00387142" w:rsidP="00387142">
            <w:pPr>
              <w:jc w:val="right"/>
              <w:rPr>
                <w:sz w:val="20"/>
                <w:szCs w:val="20"/>
              </w:rPr>
            </w:pPr>
            <w:r w:rsidRPr="008B6A75">
              <w:rPr>
                <w:sz w:val="20"/>
                <w:szCs w:val="20"/>
              </w:rPr>
              <w:t>896 715,44</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1654DE50" w14:textId="77777777" w:rsidR="00387142" w:rsidRPr="008B6A75" w:rsidRDefault="00387142" w:rsidP="00387142">
            <w:pPr>
              <w:jc w:val="right"/>
              <w:rPr>
                <w:sz w:val="20"/>
                <w:szCs w:val="20"/>
              </w:rPr>
            </w:pPr>
            <w:r w:rsidRPr="008B6A75">
              <w:rPr>
                <w:sz w:val="20"/>
                <w:szCs w:val="20"/>
              </w:rPr>
              <w:t>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E163BA" w14:textId="77777777" w:rsidR="00387142" w:rsidRPr="008B6A75" w:rsidRDefault="00387142" w:rsidP="00387142">
            <w:pPr>
              <w:jc w:val="right"/>
              <w:rPr>
                <w:sz w:val="20"/>
                <w:szCs w:val="20"/>
              </w:rPr>
            </w:pPr>
            <w:r w:rsidRPr="008B6A75">
              <w:rPr>
                <w:sz w:val="20"/>
                <w:szCs w:val="20"/>
              </w:rPr>
              <w:t>0,00</w:t>
            </w:r>
          </w:p>
        </w:tc>
        <w:tc>
          <w:tcPr>
            <w:tcW w:w="222" w:type="dxa"/>
            <w:vAlign w:val="center"/>
            <w:hideMark/>
          </w:tcPr>
          <w:p w14:paraId="71BBA70A" w14:textId="77777777" w:rsidR="00387142" w:rsidRPr="008B6A75" w:rsidRDefault="00387142" w:rsidP="00387142">
            <w:pPr>
              <w:rPr>
                <w:sz w:val="20"/>
                <w:szCs w:val="20"/>
              </w:rPr>
            </w:pPr>
          </w:p>
        </w:tc>
      </w:tr>
      <w:tr w:rsidR="00387142" w:rsidRPr="008B6A75" w14:paraId="1C7B8A8C" w14:textId="77777777" w:rsidTr="00387142">
        <w:trPr>
          <w:trHeight w:val="585"/>
        </w:trPr>
        <w:tc>
          <w:tcPr>
            <w:tcW w:w="3021" w:type="dxa"/>
            <w:tcBorders>
              <w:top w:val="nil"/>
              <w:left w:val="single" w:sz="4" w:space="0" w:color="auto"/>
              <w:bottom w:val="nil"/>
              <w:right w:val="nil"/>
            </w:tcBorders>
            <w:shd w:val="clear" w:color="auto" w:fill="auto"/>
            <w:vAlign w:val="center"/>
            <w:hideMark/>
          </w:tcPr>
          <w:p w14:paraId="0664E010" w14:textId="77777777" w:rsidR="00387142" w:rsidRPr="008B6A75" w:rsidRDefault="00387142" w:rsidP="00387142">
            <w:pPr>
              <w:rPr>
                <w:sz w:val="20"/>
                <w:szCs w:val="20"/>
              </w:rPr>
            </w:pPr>
            <w:r w:rsidRPr="008B6A75">
              <w:rPr>
                <w:sz w:val="20"/>
                <w:szCs w:val="20"/>
              </w:rPr>
              <w:t>Закупка товаров, работ и услуг для обеспечения государственных (муниципальных) нужд</w:t>
            </w:r>
          </w:p>
        </w:tc>
        <w:tc>
          <w:tcPr>
            <w:tcW w:w="850" w:type="dxa"/>
            <w:tcBorders>
              <w:top w:val="nil"/>
              <w:left w:val="single" w:sz="4" w:space="0" w:color="auto"/>
              <w:bottom w:val="nil"/>
              <w:right w:val="nil"/>
            </w:tcBorders>
            <w:shd w:val="clear" w:color="auto" w:fill="auto"/>
            <w:noWrap/>
            <w:vAlign w:val="center"/>
            <w:hideMark/>
          </w:tcPr>
          <w:p w14:paraId="66F46C2C" w14:textId="77777777" w:rsidR="00387142" w:rsidRPr="008B6A75" w:rsidRDefault="00387142" w:rsidP="00387142">
            <w:pPr>
              <w:jc w:val="center"/>
              <w:rPr>
                <w:sz w:val="20"/>
                <w:szCs w:val="20"/>
              </w:rPr>
            </w:pPr>
            <w:r w:rsidRPr="008B6A75">
              <w:rPr>
                <w:sz w:val="20"/>
                <w:szCs w:val="20"/>
              </w:rPr>
              <w:t>444</w:t>
            </w:r>
          </w:p>
        </w:tc>
        <w:tc>
          <w:tcPr>
            <w:tcW w:w="709" w:type="dxa"/>
            <w:tcBorders>
              <w:top w:val="nil"/>
              <w:left w:val="single" w:sz="4" w:space="0" w:color="auto"/>
              <w:bottom w:val="nil"/>
              <w:right w:val="nil"/>
            </w:tcBorders>
            <w:shd w:val="clear" w:color="auto" w:fill="auto"/>
            <w:noWrap/>
            <w:vAlign w:val="center"/>
            <w:hideMark/>
          </w:tcPr>
          <w:p w14:paraId="49E6D430" w14:textId="77777777" w:rsidR="00387142" w:rsidRPr="008B6A75" w:rsidRDefault="00387142" w:rsidP="00387142">
            <w:pPr>
              <w:jc w:val="center"/>
              <w:rPr>
                <w:sz w:val="20"/>
                <w:szCs w:val="20"/>
              </w:rPr>
            </w:pPr>
            <w:r w:rsidRPr="008B6A75">
              <w:rPr>
                <w:sz w:val="20"/>
                <w:szCs w:val="20"/>
              </w:rPr>
              <w:t>03</w:t>
            </w:r>
          </w:p>
        </w:tc>
        <w:tc>
          <w:tcPr>
            <w:tcW w:w="709" w:type="dxa"/>
            <w:tcBorders>
              <w:top w:val="nil"/>
              <w:left w:val="single" w:sz="4" w:space="0" w:color="auto"/>
              <w:bottom w:val="nil"/>
              <w:right w:val="single" w:sz="4" w:space="0" w:color="auto"/>
            </w:tcBorders>
            <w:shd w:val="clear" w:color="auto" w:fill="auto"/>
            <w:noWrap/>
            <w:vAlign w:val="center"/>
            <w:hideMark/>
          </w:tcPr>
          <w:p w14:paraId="3767071C" w14:textId="77777777" w:rsidR="00387142" w:rsidRPr="008B6A75" w:rsidRDefault="00387142" w:rsidP="00387142">
            <w:pPr>
              <w:jc w:val="center"/>
              <w:rPr>
                <w:sz w:val="20"/>
                <w:szCs w:val="20"/>
              </w:rPr>
            </w:pPr>
            <w:r w:rsidRPr="008B6A75">
              <w:rPr>
                <w:sz w:val="20"/>
                <w:szCs w:val="20"/>
              </w:rPr>
              <w:t>10</w:t>
            </w:r>
          </w:p>
        </w:tc>
        <w:tc>
          <w:tcPr>
            <w:tcW w:w="1411" w:type="dxa"/>
            <w:tcBorders>
              <w:top w:val="nil"/>
              <w:left w:val="single" w:sz="4" w:space="0" w:color="auto"/>
              <w:bottom w:val="nil"/>
              <w:right w:val="nil"/>
            </w:tcBorders>
            <w:shd w:val="clear" w:color="auto" w:fill="auto"/>
            <w:noWrap/>
            <w:vAlign w:val="center"/>
            <w:hideMark/>
          </w:tcPr>
          <w:p w14:paraId="06889691" w14:textId="77777777" w:rsidR="00387142" w:rsidRPr="008B6A75" w:rsidRDefault="00387142" w:rsidP="00387142">
            <w:pPr>
              <w:jc w:val="center"/>
              <w:rPr>
                <w:sz w:val="20"/>
                <w:szCs w:val="20"/>
              </w:rPr>
            </w:pPr>
            <w:r w:rsidRPr="008B6A75">
              <w:rPr>
                <w:sz w:val="20"/>
                <w:szCs w:val="20"/>
              </w:rPr>
              <w:t>18.0.00.03950</w:t>
            </w:r>
          </w:p>
        </w:tc>
        <w:tc>
          <w:tcPr>
            <w:tcW w:w="955" w:type="dxa"/>
            <w:tcBorders>
              <w:top w:val="nil"/>
              <w:left w:val="single" w:sz="4" w:space="0" w:color="auto"/>
              <w:bottom w:val="nil"/>
              <w:right w:val="single" w:sz="4" w:space="0" w:color="auto"/>
            </w:tcBorders>
            <w:shd w:val="clear" w:color="auto" w:fill="auto"/>
            <w:noWrap/>
            <w:vAlign w:val="center"/>
            <w:hideMark/>
          </w:tcPr>
          <w:p w14:paraId="4104E08A" w14:textId="77777777" w:rsidR="00387142" w:rsidRPr="008B6A75" w:rsidRDefault="00387142" w:rsidP="00387142">
            <w:pPr>
              <w:jc w:val="center"/>
              <w:rPr>
                <w:sz w:val="20"/>
                <w:szCs w:val="20"/>
              </w:rPr>
            </w:pPr>
            <w:r w:rsidRPr="008B6A75">
              <w:rPr>
                <w:sz w:val="20"/>
                <w:szCs w:val="20"/>
              </w:rPr>
              <w:t>200</w:t>
            </w:r>
          </w:p>
        </w:tc>
        <w:tc>
          <w:tcPr>
            <w:tcW w:w="992" w:type="dxa"/>
            <w:tcBorders>
              <w:top w:val="nil"/>
              <w:left w:val="single" w:sz="4" w:space="0" w:color="auto"/>
              <w:bottom w:val="nil"/>
              <w:right w:val="single" w:sz="4" w:space="0" w:color="auto"/>
            </w:tcBorders>
            <w:shd w:val="clear" w:color="auto" w:fill="auto"/>
            <w:noWrap/>
            <w:vAlign w:val="center"/>
            <w:hideMark/>
          </w:tcPr>
          <w:p w14:paraId="7326D9E2" w14:textId="77777777" w:rsidR="00387142" w:rsidRPr="008B6A75" w:rsidRDefault="00387142" w:rsidP="00387142">
            <w:pPr>
              <w:jc w:val="right"/>
              <w:rPr>
                <w:sz w:val="20"/>
                <w:szCs w:val="20"/>
              </w:rPr>
            </w:pPr>
            <w:r w:rsidRPr="008B6A75">
              <w:rPr>
                <w:sz w:val="20"/>
                <w:szCs w:val="20"/>
              </w:rPr>
              <w:t>2 912 603,45</w:t>
            </w:r>
          </w:p>
        </w:tc>
        <w:tc>
          <w:tcPr>
            <w:tcW w:w="992" w:type="dxa"/>
            <w:gridSpan w:val="2"/>
            <w:tcBorders>
              <w:top w:val="nil"/>
              <w:left w:val="single" w:sz="4" w:space="0" w:color="auto"/>
              <w:bottom w:val="nil"/>
              <w:right w:val="nil"/>
            </w:tcBorders>
            <w:shd w:val="clear" w:color="auto" w:fill="auto"/>
            <w:noWrap/>
            <w:vAlign w:val="center"/>
            <w:hideMark/>
          </w:tcPr>
          <w:p w14:paraId="3481A571" w14:textId="77777777" w:rsidR="00387142" w:rsidRPr="008B6A75" w:rsidRDefault="00387142" w:rsidP="00387142">
            <w:pPr>
              <w:jc w:val="right"/>
              <w:rPr>
                <w:sz w:val="20"/>
                <w:szCs w:val="20"/>
              </w:rPr>
            </w:pPr>
            <w:r w:rsidRPr="008B6A75">
              <w:rPr>
                <w:sz w:val="20"/>
                <w:szCs w:val="20"/>
              </w:rPr>
              <w:t>0,00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6CB4C115" w14:textId="77777777" w:rsidR="00387142" w:rsidRPr="008B6A75" w:rsidRDefault="00387142" w:rsidP="00387142">
            <w:pPr>
              <w:jc w:val="right"/>
              <w:rPr>
                <w:sz w:val="20"/>
                <w:szCs w:val="20"/>
              </w:rPr>
            </w:pPr>
            <w:r w:rsidRPr="008B6A75">
              <w:rPr>
                <w:sz w:val="20"/>
                <w:szCs w:val="20"/>
              </w:rPr>
              <w:t>0,00</w:t>
            </w:r>
          </w:p>
        </w:tc>
        <w:tc>
          <w:tcPr>
            <w:tcW w:w="222" w:type="dxa"/>
            <w:vAlign w:val="center"/>
            <w:hideMark/>
          </w:tcPr>
          <w:p w14:paraId="6D602515" w14:textId="77777777" w:rsidR="00387142" w:rsidRPr="008B6A75" w:rsidRDefault="00387142" w:rsidP="00387142">
            <w:pPr>
              <w:rPr>
                <w:sz w:val="20"/>
                <w:szCs w:val="20"/>
              </w:rPr>
            </w:pPr>
          </w:p>
        </w:tc>
      </w:tr>
      <w:tr w:rsidR="00387142" w:rsidRPr="008B6A75" w14:paraId="42880D09" w14:textId="77777777" w:rsidTr="00387142">
        <w:trPr>
          <w:trHeight w:val="870"/>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4A7ED056" w14:textId="77777777" w:rsidR="00387142" w:rsidRPr="008B6A75" w:rsidRDefault="00387142" w:rsidP="00387142">
            <w:pPr>
              <w:rPr>
                <w:sz w:val="20"/>
                <w:szCs w:val="20"/>
              </w:rPr>
            </w:pPr>
            <w:r w:rsidRPr="008B6A75">
              <w:rPr>
                <w:sz w:val="20"/>
                <w:szCs w:val="20"/>
              </w:rPr>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7E0B44E9" w14:textId="77777777" w:rsidR="00387142" w:rsidRPr="008B6A75" w:rsidRDefault="00387142" w:rsidP="00387142">
            <w:pPr>
              <w:jc w:val="center"/>
              <w:rPr>
                <w:sz w:val="20"/>
                <w:szCs w:val="20"/>
              </w:rPr>
            </w:pPr>
            <w:r w:rsidRPr="008B6A75">
              <w:rPr>
                <w:sz w:val="20"/>
                <w:szCs w:val="20"/>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115F9E67" w14:textId="77777777" w:rsidR="00387142" w:rsidRPr="008B6A75" w:rsidRDefault="00387142" w:rsidP="00387142">
            <w:pPr>
              <w:jc w:val="center"/>
              <w:rPr>
                <w:sz w:val="20"/>
                <w:szCs w:val="20"/>
              </w:rPr>
            </w:pPr>
            <w:r w:rsidRPr="008B6A75">
              <w:rPr>
                <w:sz w:val="20"/>
                <w:szCs w:val="20"/>
              </w:rPr>
              <w:t>03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4C7D5B" w14:textId="77777777" w:rsidR="00387142" w:rsidRPr="008B6A75" w:rsidRDefault="00387142" w:rsidP="00387142">
            <w:pPr>
              <w:jc w:val="center"/>
              <w:rPr>
                <w:sz w:val="20"/>
                <w:szCs w:val="20"/>
              </w:rPr>
            </w:pPr>
            <w:r w:rsidRPr="008B6A75">
              <w:rPr>
                <w:sz w:val="20"/>
                <w:szCs w:val="20"/>
              </w:rPr>
              <w:t>10</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3D71DEC8" w14:textId="77777777" w:rsidR="00387142" w:rsidRPr="008B6A75" w:rsidRDefault="00387142" w:rsidP="00387142">
            <w:pPr>
              <w:jc w:val="center"/>
              <w:rPr>
                <w:sz w:val="20"/>
                <w:szCs w:val="20"/>
              </w:rPr>
            </w:pPr>
            <w:r w:rsidRPr="008B6A75">
              <w:rPr>
                <w:sz w:val="20"/>
                <w:szCs w:val="20"/>
              </w:rPr>
              <w:t>18.0.00.03950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7C6683" w14:textId="77777777" w:rsidR="00387142" w:rsidRPr="008B6A75" w:rsidRDefault="00387142" w:rsidP="00387142">
            <w:pPr>
              <w:jc w:val="center"/>
              <w:rPr>
                <w:sz w:val="20"/>
                <w:szCs w:val="20"/>
              </w:rPr>
            </w:pPr>
            <w:r w:rsidRPr="008B6A75">
              <w:rPr>
                <w:sz w:val="20"/>
                <w:szCs w:val="20"/>
              </w:rPr>
              <w:t>240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7590D9" w14:textId="77777777" w:rsidR="00387142" w:rsidRPr="008B6A75" w:rsidRDefault="00387142" w:rsidP="00387142">
            <w:pPr>
              <w:jc w:val="right"/>
              <w:rPr>
                <w:sz w:val="20"/>
                <w:szCs w:val="20"/>
              </w:rPr>
            </w:pPr>
            <w:r w:rsidRPr="008B6A75">
              <w:rPr>
                <w:sz w:val="20"/>
                <w:szCs w:val="20"/>
              </w:rPr>
              <w:t>2 912 603,45</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1042A5D5" w14:textId="77777777" w:rsidR="00387142" w:rsidRPr="008B6A75" w:rsidRDefault="00387142" w:rsidP="00387142">
            <w:pPr>
              <w:jc w:val="right"/>
              <w:rPr>
                <w:sz w:val="20"/>
                <w:szCs w:val="20"/>
              </w:rPr>
            </w:pPr>
            <w:r w:rsidRPr="008B6A75">
              <w:rPr>
                <w:sz w:val="20"/>
                <w:szCs w:val="20"/>
              </w:rPr>
              <w:t>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E09D6A" w14:textId="77777777" w:rsidR="00387142" w:rsidRPr="008B6A75" w:rsidRDefault="00387142" w:rsidP="00387142">
            <w:pPr>
              <w:jc w:val="right"/>
              <w:rPr>
                <w:sz w:val="20"/>
                <w:szCs w:val="20"/>
              </w:rPr>
            </w:pPr>
            <w:r w:rsidRPr="008B6A75">
              <w:rPr>
                <w:sz w:val="20"/>
                <w:szCs w:val="20"/>
              </w:rPr>
              <w:t>0,00</w:t>
            </w:r>
          </w:p>
        </w:tc>
        <w:tc>
          <w:tcPr>
            <w:tcW w:w="222" w:type="dxa"/>
            <w:vAlign w:val="center"/>
            <w:hideMark/>
          </w:tcPr>
          <w:p w14:paraId="2F03DED3" w14:textId="77777777" w:rsidR="00387142" w:rsidRPr="008B6A75" w:rsidRDefault="00387142" w:rsidP="00387142">
            <w:pPr>
              <w:rPr>
                <w:sz w:val="20"/>
                <w:szCs w:val="20"/>
              </w:rPr>
            </w:pPr>
          </w:p>
        </w:tc>
      </w:tr>
      <w:tr w:rsidR="00387142" w:rsidRPr="008B6A75" w14:paraId="09082CBC" w14:textId="77777777" w:rsidTr="00387142">
        <w:trPr>
          <w:trHeight w:val="300"/>
        </w:trPr>
        <w:tc>
          <w:tcPr>
            <w:tcW w:w="3021" w:type="dxa"/>
            <w:tcBorders>
              <w:top w:val="nil"/>
              <w:left w:val="single" w:sz="4" w:space="0" w:color="auto"/>
              <w:bottom w:val="nil"/>
              <w:right w:val="nil"/>
            </w:tcBorders>
            <w:shd w:val="clear" w:color="auto" w:fill="auto"/>
            <w:vAlign w:val="center"/>
            <w:hideMark/>
          </w:tcPr>
          <w:p w14:paraId="7868D793" w14:textId="77777777" w:rsidR="00387142" w:rsidRPr="008B6A75" w:rsidRDefault="00387142" w:rsidP="00387142">
            <w:pPr>
              <w:rPr>
                <w:sz w:val="20"/>
                <w:szCs w:val="20"/>
              </w:rPr>
            </w:pPr>
            <w:r w:rsidRPr="008B6A75">
              <w:rPr>
                <w:sz w:val="20"/>
                <w:szCs w:val="20"/>
              </w:rPr>
              <w:t>Межбюджетные трансферты</w:t>
            </w:r>
          </w:p>
        </w:tc>
        <w:tc>
          <w:tcPr>
            <w:tcW w:w="850" w:type="dxa"/>
            <w:tcBorders>
              <w:top w:val="nil"/>
              <w:left w:val="single" w:sz="4" w:space="0" w:color="auto"/>
              <w:bottom w:val="nil"/>
              <w:right w:val="nil"/>
            </w:tcBorders>
            <w:shd w:val="clear" w:color="auto" w:fill="auto"/>
            <w:noWrap/>
            <w:vAlign w:val="center"/>
            <w:hideMark/>
          </w:tcPr>
          <w:p w14:paraId="69232347" w14:textId="77777777" w:rsidR="00387142" w:rsidRPr="008B6A75" w:rsidRDefault="00387142" w:rsidP="00387142">
            <w:pPr>
              <w:jc w:val="center"/>
              <w:rPr>
                <w:sz w:val="20"/>
                <w:szCs w:val="20"/>
              </w:rPr>
            </w:pPr>
            <w:r w:rsidRPr="008B6A75">
              <w:rPr>
                <w:sz w:val="20"/>
                <w:szCs w:val="20"/>
              </w:rPr>
              <w:t>444</w:t>
            </w:r>
          </w:p>
        </w:tc>
        <w:tc>
          <w:tcPr>
            <w:tcW w:w="709" w:type="dxa"/>
            <w:tcBorders>
              <w:top w:val="nil"/>
              <w:left w:val="single" w:sz="4" w:space="0" w:color="auto"/>
              <w:bottom w:val="nil"/>
              <w:right w:val="nil"/>
            </w:tcBorders>
            <w:shd w:val="clear" w:color="auto" w:fill="auto"/>
            <w:noWrap/>
            <w:vAlign w:val="center"/>
            <w:hideMark/>
          </w:tcPr>
          <w:p w14:paraId="040D44D2" w14:textId="77777777" w:rsidR="00387142" w:rsidRPr="008B6A75" w:rsidRDefault="00387142" w:rsidP="00387142">
            <w:pPr>
              <w:jc w:val="center"/>
              <w:rPr>
                <w:sz w:val="20"/>
                <w:szCs w:val="20"/>
              </w:rPr>
            </w:pPr>
            <w:r w:rsidRPr="008B6A75">
              <w:rPr>
                <w:sz w:val="20"/>
                <w:szCs w:val="20"/>
              </w:rPr>
              <w:t>03</w:t>
            </w:r>
          </w:p>
        </w:tc>
        <w:tc>
          <w:tcPr>
            <w:tcW w:w="709" w:type="dxa"/>
            <w:tcBorders>
              <w:top w:val="nil"/>
              <w:left w:val="single" w:sz="4" w:space="0" w:color="auto"/>
              <w:bottom w:val="nil"/>
              <w:right w:val="single" w:sz="4" w:space="0" w:color="auto"/>
            </w:tcBorders>
            <w:shd w:val="clear" w:color="auto" w:fill="auto"/>
            <w:noWrap/>
            <w:vAlign w:val="center"/>
            <w:hideMark/>
          </w:tcPr>
          <w:p w14:paraId="0C15E098" w14:textId="77777777" w:rsidR="00387142" w:rsidRPr="008B6A75" w:rsidRDefault="00387142" w:rsidP="00387142">
            <w:pPr>
              <w:jc w:val="center"/>
              <w:rPr>
                <w:sz w:val="20"/>
                <w:szCs w:val="20"/>
              </w:rPr>
            </w:pPr>
            <w:r w:rsidRPr="008B6A75">
              <w:rPr>
                <w:sz w:val="20"/>
                <w:szCs w:val="20"/>
              </w:rPr>
              <w:t>10</w:t>
            </w:r>
          </w:p>
        </w:tc>
        <w:tc>
          <w:tcPr>
            <w:tcW w:w="1411" w:type="dxa"/>
            <w:tcBorders>
              <w:top w:val="nil"/>
              <w:left w:val="single" w:sz="4" w:space="0" w:color="auto"/>
              <w:bottom w:val="nil"/>
              <w:right w:val="nil"/>
            </w:tcBorders>
            <w:shd w:val="clear" w:color="auto" w:fill="auto"/>
            <w:noWrap/>
            <w:vAlign w:val="center"/>
            <w:hideMark/>
          </w:tcPr>
          <w:p w14:paraId="3E55D274" w14:textId="77777777" w:rsidR="00387142" w:rsidRPr="008B6A75" w:rsidRDefault="00387142" w:rsidP="00387142">
            <w:pPr>
              <w:jc w:val="center"/>
              <w:rPr>
                <w:sz w:val="20"/>
                <w:szCs w:val="20"/>
              </w:rPr>
            </w:pPr>
            <w:r w:rsidRPr="008B6A75">
              <w:rPr>
                <w:sz w:val="20"/>
                <w:szCs w:val="20"/>
              </w:rPr>
              <w:t>18.0.00.03950</w:t>
            </w:r>
          </w:p>
        </w:tc>
        <w:tc>
          <w:tcPr>
            <w:tcW w:w="955" w:type="dxa"/>
            <w:tcBorders>
              <w:top w:val="nil"/>
              <w:left w:val="single" w:sz="4" w:space="0" w:color="auto"/>
              <w:bottom w:val="nil"/>
              <w:right w:val="single" w:sz="4" w:space="0" w:color="auto"/>
            </w:tcBorders>
            <w:shd w:val="clear" w:color="auto" w:fill="auto"/>
            <w:noWrap/>
            <w:vAlign w:val="center"/>
            <w:hideMark/>
          </w:tcPr>
          <w:p w14:paraId="7D777E8F" w14:textId="77777777" w:rsidR="00387142" w:rsidRPr="008B6A75" w:rsidRDefault="00387142" w:rsidP="00387142">
            <w:pPr>
              <w:jc w:val="center"/>
              <w:rPr>
                <w:sz w:val="20"/>
                <w:szCs w:val="20"/>
              </w:rPr>
            </w:pPr>
            <w:r w:rsidRPr="008B6A75">
              <w:rPr>
                <w:sz w:val="20"/>
                <w:szCs w:val="20"/>
              </w:rPr>
              <w:t>500</w:t>
            </w:r>
          </w:p>
        </w:tc>
        <w:tc>
          <w:tcPr>
            <w:tcW w:w="992" w:type="dxa"/>
            <w:tcBorders>
              <w:top w:val="nil"/>
              <w:left w:val="single" w:sz="4" w:space="0" w:color="auto"/>
              <w:bottom w:val="nil"/>
              <w:right w:val="single" w:sz="4" w:space="0" w:color="auto"/>
            </w:tcBorders>
            <w:shd w:val="clear" w:color="auto" w:fill="auto"/>
            <w:noWrap/>
            <w:vAlign w:val="center"/>
            <w:hideMark/>
          </w:tcPr>
          <w:p w14:paraId="6C3F2CA8" w14:textId="77777777" w:rsidR="00387142" w:rsidRPr="008B6A75" w:rsidRDefault="00387142" w:rsidP="00387142">
            <w:pPr>
              <w:jc w:val="right"/>
              <w:rPr>
                <w:sz w:val="20"/>
                <w:szCs w:val="20"/>
              </w:rPr>
            </w:pPr>
            <w:r w:rsidRPr="008B6A75">
              <w:rPr>
                <w:sz w:val="20"/>
                <w:szCs w:val="20"/>
              </w:rPr>
              <w:t>1 168 800,00</w:t>
            </w:r>
          </w:p>
        </w:tc>
        <w:tc>
          <w:tcPr>
            <w:tcW w:w="992" w:type="dxa"/>
            <w:gridSpan w:val="2"/>
            <w:tcBorders>
              <w:top w:val="nil"/>
              <w:left w:val="single" w:sz="4" w:space="0" w:color="auto"/>
              <w:bottom w:val="nil"/>
              <w:right w:val="nil"/>
            </w:tcBorders>
            <w:shd w:val="clear" w:color="auto" w:fill="auto"/>
            <w:noWrap/>
            <w:vAlign w:val="center"/>
            <w:hideMark/>
          </w:tcPr>
          <w:p w14:paraId="4EA11AD9" w14:textId="77777777" w:rsidR="00387142" w:rsidRPr="008B6A75" w:rsidRDefault="00387142" w:rsidP="00387142">
            <w:pPr>
              <w:jc w:val="right"/>
              <w:rPr>
                <w:sz w:val="20"/>
                <w:szCs w:val="20"/>
              </w:rPr>
            </w:pPr>
            <w:r w:rsidRPr="008B6A75">
              <w:rPr>
                <w:sz w:val="20"/>
                <w:szCs w:val="20"/>
              </w:rPr>
              <w:t>0,00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158FCD61" w14:textId="77777777" w:rsidR="00387142" w:rsidRPr="008B6A75" w:rsidRDefault="00387142" w:rsidP="00387142">
            <w:pPr>
              <w:jc w:val="right"/>
              <w:rPr>
                <w:sz w:val="20"/>
                <w:szCs w:val="20"/>
              </w:rPr>
            </w:pPr>
            <w:r w:rsidRPr="008B6A75">
              <w:rPr>
                <w:sz w:val="20"/>
                <w:szCs w:val="20"/>
              </w:rPr>
              <w:t>0,00</w:t>
            </w:r>
          </w:p>
        </w:tc>
        <w:tc>
          <w:tcPr>
            <w:tcW w:w="222" w:type="dxa"/>
            <w:vAlign w:val="center"/>
            <w:hideMark/>
          </w:tcPr>
          <w:p w14:paraId="48C6ADD9" w14:textId="77777777" w:rsidR="00387142" w:rsidRPr="008B6A75" w:rsidRDefault="00387142" w:rsidP="00387142">
            <w:pPr>
              <w:rPr>
                <w:sz w:val="20"/>
                <w:szCs w:val="20"/>
              </w:rPr>
            </w:pPr>
          </w:p>
        </w:tc>
      </w:tr>
      <w:tr w:rsidR="00387142" w:rsidRPr="008B6A75" w14:paraId="53CD4AE3" w14:textId="77777777" w:rsidTr="00387142">
        <w:trPr>
          <w:trHeight w:val="300"/>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19A8E60A" w14:textId="77777777" w:rsidR="00387142" w:rsidRPr="008B6A75" w:rsidRDefault="00387142" w:rsidP="00387142">
            <w:pPr>
              <w:rPr>
                <w:sz w:val="20"/>
                <w:szCs w:val="20"/>
              </w:rPr>
            </w:pPr>
            <w:r w:rsidRPr="008B6A75">
              <w:rPr>
                <w:sz w:val="20"/>
                <w:szCs w:val="20"/>
              </w:rPr>
              <w:t xml:space="preserve">Иные межбюджетные </w:t>
            </w:r>
            <w:r w:rsidRPr="008B6A75">
              <w:rPr>
                <w:sz w:val="20"/>
                <w:szCs w:val="20"/>
              </w:rPr>
              <w:lastRenderedPageBreak/>
              <w:t>трансферты</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7F8DDAE1" w14:textId="77777777" w:rsidR="00387142" w:rsidRPr="008B6A75" w:rsidRDefault="00387142" w:rsidP="00387142">
            <w:pPr>
              <w:jc w:val="center"/>
              <w:rPr>
                <w:sz w:val="20"/>
                <w:szCs w:val="20"/>
              </w:rPr>
            </w:pPr>
            <w:r w:rsidRPr="008B6A75">
              <w:rPr>
                <w:sz w:val="20"/>
                <w:szCs w:val="20"/>
              </w:rPr>
              <w:lastRenderedPageBreak/>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0012F45C" w14:textId="77777777" w:rsidR="00387142" w:rsidRPr="008B6A75" w:rsidRDefault="00387142" w:rsidP="00387142">
            <w:pPr>
              <w:jc w:val="center"/>
              <w:rPr>
                <w:sz w:val="20"/>
                <w:szCs w:val="20"/>
              </w:rPr>
            </w:pPr>
            <w:r w:rsidRPr="008B6A75">
              <w:rPr>
                <w:sz w:val="20"/>
                <w:szCs w:val="20"/>
              </w:rPr>
              <w:t>03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352265" w14:textId="77777777" w:rsidR="00387142" w:rsidRPr="008B6A75" w:rsidRDefault="00387142" w:rsidP="00387142">
            <w:pPr>
              <w:jc w:val="center"/>
              <w:rPr>
                <w:sz w:val="20"/>
                <w:szCs w:val="20"/>
              </w:rPr>
            </w:pPr>
            <w:r w:rsidRPr="008B6A75">
              <w:rPr>
                <w:sz w:val="20"/>
                <w:szCs w:val="20"/>
              </w:rPr>
              <w:t>10</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7B7566A3" w14:textId="77777777" w:rsidR="00387142" w:rsidRPr="008B6A75" w:rsidRDefault="00387142" w:rsidP="00387142">
            <w:pPr>
              <w:jc w:val="center"/>
              <w:rPr>
                <w:sz w:val="20"/>
                <w:szCs w:val="20"/>
              </w:rPr>
            </w:pPr>
            <w:r w:rsidRPr="008B6A75">
              <w:rPr>
                <w:sz w:val="20"/>
                <w:szCs w:val="20"/>
              </w:rPr>
              <w:t>18.0.00.03950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EF830F" w14:textId="77777777" w:rsidR="00387142" w:rsidRPr="008B6A75" w:rsidRDefault="00387142" w:rsidP="00387142">
            <w:pPr>
              <w:jc w:val="center"/>
              <w:rPr>
                <w:sz w:val="20"/>
                <w:szCs w:val="20"/>
              </w:rPr>
            </w:pPr>
            <w:r w:rsidRPr="008B6A75">
              <w:rPr>
                <w:sz w:val="20"/>
                <w:szCs w:val="20"/>
              </w:rPr>
              <w:t>540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83BC6D" w14:textId="77777777" w:rsidR="00387142" w:rsidRPr="008B6A75" w:rsidRDefault="00387142" w:rsidP="00387142">
            <w:pPr>
              <w:jc w:val="right"/>
              <w:rPr>
                <w:sz w:val="20"/>
                <w:szCs w:val="20"/>
              </w:rPr>
            </w:pPr>
            <w:r w:rsidRPr="008B6A75">
              <w:rPr>
                <w:sz w:val="20"/>
                <w:szCs w:val="20"/>
              </w:rPr>
              <w:t xml:space="preserve">1 168 </w:t>
            </w:r>
            <w:r w:rsidRPr="008B6A75">
              <w:rPr>
                <w:sz w:val="20"/>
                <w:szCs w:val="20"/>
              </w:rPr>
              <w:lastRenderedPageBreak/>
              <w:t>800,00</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24E0839B" w14:textId="77777777" w:rsidR="00387142" w:rsidRPr="008B6A75" w:rsidRDefault="00387142" w:rsidP="00387142">
            <w:pPr>
              <w:jc w:val="right"/>
              <w:rPr>
                <w:sz w:val="20"/>
                <w:szCs w:val="20"/>
              </w:rPr>
            </w:pPr>
            <w:r w:rsidRPr="008B6A75">
              <w:rPr>
                <w:sz w:val="20"/>
                <w:szCs w:val="20"/>
              </w:rPr>
              <w:lastRenderedPageBreak/>
              <w:t>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259B43" w14:textId="77777777" w:rsidR="00387142" w:rsidRPr="008B6A75" w:rsidRDefault="00387142" w:rsidP="00387142">
            <w:pPr>
              <w:jc w:val="right"/>
              <w:rPr>
                <w:sz w:val="20"/>
                <w:szCs w:val="20"/>
              </w:rPr>
            </w:pPr>
            <w:r w:rsidRPr="008B6A75">
              <w:rPr>
                <w:sz w:val="20"/>
                <w:szCs w:val="20"/>
              </w:rPr>
              <w:t>0,00</w:t>
            </w:r>
          </w:p>
        </w:tc>
        <w:tc>
          <w:tcPr>
            <w:tcW w:w="222" w:type="dxa"/>
            <w:vAlign w:val="center"/>
            <w:hideMark/>
          </w:tcPr>
          <w:p w14:paraId="41C23DE5" w14:textId="77777777" w:rsidR="00387142" w:rsidRPr="008B6A75" w:rsidRDefault="00387142" w:rsidP="00387142">
            <w:pPr>
              <w:rPr>
                <w:sz w:val="20"/>
                <w:szCs w:val="20"/>
              </w:rPr>
            </w:pPr>
          </w:p>
        </w:tc>
      </w:tr>
      <w:tr w:rsidR="00387142" w:rsidRPr="008B6A75" w14:paraId="5B346FD3" w14:textId="77777777" w:rsidTr="00387142">
        <w:trPr>
          <w:trHeight w:val="1440"/>
        </w:trPr>
        <w:tc>
          <w:tcPr>
            <w:tcW w:w="3021" w:type="dxa"/>
            <w:tcBorders>
              <w:top w:val="nil"/>
              <w:left w:val="single" w:sz="4" w:space="0" w:color="auto"/>
              <w:bottom w:val="nil"/>
              <w:right w:val="nil"/>
            </w:tcBorders>
            <w:shd w:val="clear" w:color="auto" w:fill="auto"/>
            <w:vAlign w:val="center"/>
            <w:hideMark/>
          </w:tcPr>
          <w:p w14:paraId="05BED85C" w14:textId="77777777" w:rsidR="00387142" w:rsidRPr="008B6A75" w:rsidRDefault="00387142" w:rsidP="00387142">
            <w:pPr>
              <w:rPr>
                <w:bCs/>
                <w:sz w:val="20"/>
                <w:szCs w:val="20"/>
              </w:rPr>
            </w:pPr>
            <w:r w:rsidRPr="008B6A75">
              <w:rPr>
                <w:bCs/>
                <w:sz w:val="20"/>
                <w:szCs w:val="20"/>
              </w:rPr>
              <w:t xml:space="preserve">Реализация мероприятий по обеспечению сбалансированности местных </w:t>
            </w:r>
            <w:proofErr w:type="gramStart"/>
            <w:r w:rsidRPr="008B6A75">
              <w:rPr>
                <w:bCs/>
                <w:sz w:val="20"/>
                <w:szCs w:val="20"/>
              </w:rPr>
              <w:t>бюджетов  государственной</w:t>
            </w:r>
            <w:proofErr w:type="gramEnd"/>
            <w:r w:rsidRPr="008B6A75">
              <w:rPr>
                <w:bCs/>
                <w:sz w:val="20"/>
                <w:szCs w:val="20"/>
              </w:rPr>
              <w:t xml:space="preserve"> программы Новосибирской области "Управление  финансами в Новосибирской области"</w:t>
            </w:r>
          </w:p>
        </w:tc>
        <w:tc>
          <w:tcPr>
            <w:tcW w:w="850" w:type="dxa"/>
            <w:tcBorders>
              <w:top w:val="nil"/>
              <w:left w:val="single" w:sz="4" w:space="0" w:color="auto"/>
              <w:bottom w:val="nil"/>
              <w:right w:val="nil"/>
            </w:tcBorders>
            <w:shd w:val="clear" w:color="auto" w:fill="auto"/>
            <w:noWrap/>
            <w:vAlign w:val="center"/>
            <w:hideMark/>
          </w:tcPr>
          <w:p w14:paraId="057EF880" w14:textId="77777777" w:rsidR="00387142" w:rsidRPr="008B6A75" w:rsidRDefault="00387142" w:rsidP="00387142">
            <w:pPr>
              <w:jc w:val="center"/>
              <w:rPr>
                <w:bCs/>
                <w:sz w:val="20"/>
                <w:szCs w:val="20"/>
              </w:rPr>
            </w:pPr>
            <w:r w:rsidRPr="008B6A75">
              <w:rPr>
                <w:bCs/>
                <w:sz w:val="20"/>
                <w:szCs w:val="20"/>
              </w:rPr>
              <w:t>444</w:t>
            </w:r>
          </w:p>
        </w:tc>
        <w:tc>
          <w:tcPr>
            <w:tcW w:w="709" w:type="dxa"/>
            <w:tcBorders>
              <w:top w:val="nil"/>
              <w:left w:val="single" w:sz="4" w:space="0" w:color="auto"/>
              <w:bottom w:val="nil"/>
              <w:right w:val="nil"/>
            </w:tcBorders>
            <w:shd w:val="clear" w:color="auto" w:fill="auto"/>
            <w:noWrap/>
            <w:vAlign w:val="center"/>
            <w:hideMark/>
          </w:tcPr>
          <w:p w14:paraId="730FE704" w14:textId="77777777" w:rsidR="00387142" w:rsidRPr="008B6A75" w:rsidRDefault="00387142" w:rsidP="00387142">
            <w:pPr>
              <w:jc w:val="center"/>
              <w:rPr>
                <w:bCs/>
                <w:sz w:val="20"/>
                <w:szCs w:val="20"/>
              </w:rPr>
            </w:pPr>
            <w:r w:rsidRPr="008B6A75">
              <w:rPr>
                <w:bCs/>
                <w:sz w:val="20"/>
                <w:szCs w:val="20"/>
              </w:rPr>
              <w:t>03</w:t>
            </w:r>
          </w:p>
        </w:tc>
        <w:tc>
          <w:tcPr>
            <w:tcW w:w="709" w:type="dxa"/>
            <w:tcBorders>
              <w:top w:val="nil"/>
              <w:left w:val="single" w:sz="4" w:space="0" w:color="auto"/>
              <w:bottom w:val="nil"/>
              <w:right w:val="single" w:sz="4" w:space="0" w:color="auto"/>
            </w:tcBorders>
            <w:shd w:val="clear" w:color="auto" w:fill="auto"/>
            <w:noWrap/>
            <w:vAlign w:val="center"/>
            <w:hideMark/>
          </w:tcPr>
          <w:p w14:paraId="441E7E36" w14:textId="77777777" w:rsidR="00387142" w:rsidRPr="008B6A75" w:rsidRDefault="00387142" w:rsidP="00387142">
            <w:pPr>
              <w:jc w:val="center"/>
              <w:rPr>
                <w:bCs/>
                <w:sz w:val="20"/>
                <w:szCs w:val="20"/>
              </w:rPr>
            </w:pPr>
            <w:r w:rsidRPr="008B6A75">
              <w:rPr>
                <w:bCs/>
                <w:sz w:val="20"/>
                <w:szCs w:val="20"/>
              </w:rPr>
              <w:t>10</w:t>
            </w:r>
          </w:p>
        </w:tc>
        <w:tc>
          <w:tcPr>
            <w:tcW w:w="1411" w:type="dxa"/>
            <w:tcBorders>
              <w:top w:val="nil"/>
              <w:left w:val="single" w:sz="4" w:space="0" w:color="auto"/>
              <w:bottom w:val="nil"/>
              <w:right w:val="nil"/>
            </w:tcBorders>
            <w:shd w:val="clear" w:color="auto" w:fill="auto"/>
            <w:noWrap/>
            <w:vAlign w:val="center"/>
            <w:hideMark/>
          </w:tcPr>
          <w:p w14:paraId="60DCBDE6" w14:textId="77777777" w:rsidR="00387142" w:rsidRPr="008B6A75" w:rsidRDefault="00387142" w:rsidP="00387142">
            <w:pPr>
              <w:jc w:val="center"/>
              <w:rPr>
                <w:bCs/>
                <w:sz w:val="20"/>
                <w:szCs w:val="20"/>
              </w:rPr>
            </w:pPr>
            <w:r w:rsidRPr="008B6A75">
              <w:rPr>
                <w:bCs/>
                <w:sz w:val="20"/>
                <w:szCs w:val="20"/>
              </w:rPr>
              <w:t>18.0.00.70510</w:t>
            </w:r>
          </w:p>
        </w:tc>
        <w:tc>
          <w:tcPr>
            <w:tcW w:w="955" w:type="dxa"/>
            <w:tcBorders>
              <w:top w:val="nil"/>
              <w:left w:val="single" w:sz="4" w:space="0" w:color="auto"/>
              <w:bottom w:val="nil"/>
              <w:right w:val="single" w:sz="4" w:space="0" w:color="auto"/>
            </w:tcBorders>
            <w:shd w:val="clear" w:color="auto" w:fill="auto"/>
            <w:noWrap/>
            <w:vAlign w:val="center"/>
            <w:hideMark/>
          </w:tcPr>
          <w:p w14:paraId="0F6E0A0F"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nil"/>
              <w:right w:val="single" w:sz="4" w:space="0" w:color="auto"/>
            </w:tcBorders>
            <w:shd w:val="clear" w:color="auto" w:fill="auto"/>
            <w:noWrap/>
            <w:vAlign w:val="center"/>
            <w:hideMark/>
          </w:tcPr>
          <w:p w14:paraId="0B848B56" w14:textId="77777777" w:rsidR="00387142" w:rsidRPr="008B6A75" w:rsidRDefault="00387142" w:rsidP="00387142">
            <w:pPr>
              <w:jc w:val="right"/>
              <w:rPr>
                <w:bCs/>
                <w:sz w:val="20"/>
                <w:szCs w:val="20"/>
              </w:rPr>
            </w:pPr>
            <w:r w:rsidRPr="008B6A75">
              <w:rPr>
                <w:bCs/>
                <w:sz w:val="20"/>
                <w:szCs w:val="20"/>
              </w:rPr>
              <w:t>2 195 490,71</w:t>
            </w:r>
          </w:p>
        </w:tc>
        <w:tc>
          <w:tcPr>
            <w:tcW w:w="992" w:type="dxa"/>
            <w:gridSpan w:val="2"/>
            <w:tcBorders>
              <w:top w:val="nil"/>
              <w:left w:val="single" w:sz="4" w:space="0" w:color="auto"/>
              <w:bottom w:val="nil"/>
              <w:right w:val="nil"/>
            </w:tcBorders>
            <w:shd w:val="clear" w:color="auto" w:fill="auto"/>
            <w:noWrap/>
            <w:vAlign w:val="center"/>
            <w:hideMark/>
          </w:tcPr>
          <w:p w14:paraId="76E22A52" w14:textId="77777777" w:rsidR="00387142" w:rsidRPr="008B6A75" w:rsidRDefault="00387142" w:rsidP="00387142">
            <w:pPr>
              <w:jc w:val="right"/>
              <w:rPr>
                <w:bCs/>
                <w:sz w:val="20"/>
                <w:szCs w:val="20"/>
              </w:rPr>
            </w:pPr>
            <w:r w:rsidRPr="008B6A75">
              <w:rPr>
                <w:bCs/>
                <w:sz w:val="20"/>
                <w:szCs w:val="20"/>
              </w:rPr>
              <w:t>0,00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5D7E81F3" w14:textId="77777777" w:rsidR="00387142" w:rsidRPr="008B6A75" w:rsidRDefault="00387142" w:rsidP="00387142">
            <w:pPr>
              <w:jc w:val="right"/>
              <w:rPr>
                <w:bCs/>
                <w:sz w:val="20"/>
                <w:szCs w:val="20"/>
              </w:rPr>
            </w:pPr>
            <w:r w:rsidRPr="008B6A75">
              <w:rPr>
                <w:bCs/>
                <w:sz w:val="20"/>
                <w:szCs w:val="20"/>
              </w:rPr>
              <w:t>0,00</w:t>
            </w:r>
          </w:p>
        </w:tc>
        <w:tc>
          <w:tcPr>
            <w:tcW w:w="222" w:type="dxa"/>
            <w:vAlign w:val="center"/>
            <w:hideMark/>
          </w:tcPr>
          <w:p w14:paraId="594C3259" w14:textId="77777777" w:rsidR="00387142" w:rsidRPr="008B6A75" w:rsidRDefault="00387142" w:rsidP="00387142">
            <w:pPr>
              <w:rPr>
                <w:sz w:val="20"/>
                <w:szCs w:val="20"/>
              </w:rPr>
            </w:pPr>
          </w:p>
        </w:tc>
      </w:tr>
      <w:tr w:rsidR="00387142" w:rsidRPr="008B6A75" w14:paraId="6C616B6A" w14:textId="77777777" w:rsidTr="00387142">
        <w:trPr>
          <w:trHeight w:val="1440"/>
        </w:trPr>
        <w:tc>
          <w:tcPr>
            <w:tcW w:w="3021" w:type="dxa"/>
            <w:tcBorders>
              <w:top w:val="single" w:sz="4" w:space="0" w:color="auto"/>
              <w:left w:val="single" w:sz="4" w:space="0" w:color="auto"/>
              <w:bottom w:val="nil"/>
              <w:right w:val="nil"/>
            </w:tcBorders>
            <w:shd w:val="clear" w:color="auto" w:fill="auto"/>
            <w:vAlign w:val="center"/>
            <w:hideMark/>
          </w:tcPr>
          <w:p w14:paraId="05B2D649" w14:textId="77777777" w:rsidR="00387142" w:rsidRPr="008B6A75" w:rsidRDefault="00387142" w:rsidP="00387142">
            <w:pPr>
              <w:rPr>
                <w:sz w:val="20"/>
                <w:szCs w:val="20"/>
              </w:rPr>
            </w:pPr>
            <w:r w:rsidRPr="008B6A7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nil"/>
              <w:right w:val="nil"/>
            </w:tcBorders>
            <w:shd w:val="clear" w:color="auto" w:fill="auto"/>
            <w:noWrap/>
            <w:vAlign w:val="center"/>
            <w:hideMark/>
          </w:tcPr>
          <w:p w14:paraId="38D35FD3" w14:textId="77777777" w:rsidR="00387142" w:rsidRPr="008B6A75" w:rsidRDefault="00387142" w:rsidP="00387142">
            <w:pPr>
              <w:jc w:val="center"/>
              <w:rPr>
                <w:sz w:val="20"/>
                <w:szCs w:val="20"/>
              </w:rPr>
            </w:pPr>
            <w:r w:rsidRPr="008B6A75">
              <w:rPr>
                <w:sz w:val="20"/>
                <w:szCs w:val="20"/>
              </w:rPr>
              <w:t>444</w:t>
            </w:r>
          </w:p>
        </w:tc>
        <w:tc>
          <w:tcPr>
            <w:tcW w:w="709" w:type="dxa"/>
            <w:tcBorders>
              <w:top w:val="single" w:sz="4" w:space="0" w:color="auto"/>
              <w:left w:val="single" w:sz="4" w:space="0" w:color="auto"/>
              <w:bottom w:val="nil"/>
              <w:right w:val="nil"/>
            </w:tcBorders>
            <w:shd w:val="clear" w:color="auto" w:fill="auto"/>
            <w:noWrap/>
            <w:vAlign w:val="center"/>
            <w:hideMark/>
          </w:tcPr>
          <w:p w14:paraId="200FE910" w14:textId="77777777" w:rsidR="00387142" w:rsidRPr="008B6A75" w:rsidRDefault="00387142" w:rsidP="00387142">
            <w:pPr>
              <w:jc w:val="center"/>
              <w:rPr>
                <w:sz w:val="20"/>
                <w:szCs w:val="20"/>
              </w:rPr>
            </w:pPr>
            <w:r w:rsidRPr="008B6A75">
              <w:rPr>
                <w:sz w:val="20"/>
                <w:szCs w:val="20"/>
              </w:rPr>
              <w:t>03</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1D6CC243" w14:textId="77777777" w:rsidR="00387142" w:rsidRPr="008B6A75" w:rsidRDefault="00387142" w:rsidP="00387142">
            <w:pPr>
              <w:jc w:val="center"/>
              <w:rPr>
                <w:sz w:val="20"/>
                <w:szCs w:val="20"/>
              </w:rPr>
            </w:pPr>
            <w:r w:rsidRPr="008B6A75">
              <w:rPr>
                <w:sz w:val="20"/>
                <w:szCs w:val="20"/>
              </w:rPr>
              <w:t>10</w:t>
            </w:r>
          </w:p>
        </w:tc>
        <w:tc>
          <w:tcPr>
            <w:tcW w:w="1411" w:type="dxa"/>
            <w:tcBorders>
              <w:top w:val="single" w:sz="4" w:space="0" w:color="auto"/>
              <w:left w:val="single" w:sz="4" w:space="0" w:color="auto"/>
              <w:bottom w:val="nil"/>
              <w:right w:val="nil"/>
            </w:tcBorders>
            <w:shd w:val="clear" w:color="auto" w:fill="auto"/>
            <w:noWrap/>
            <w:vAlign w:val="center"/>
            <w:hideMark/>
          </w:tcPr>
          <w:p w14:paraId="706547B3" w14:textId="77777777" w:rsidR="00387142" w:rsidRPr="008B6A75" w:rsidRDefault="00387142" w:rsidP="00387142">
            <w:pPr>
              <w:jc w:val="center"/>
              <w:rPr>
                <w:sz w:val="20"/>
                <w:szCs w:val="20"/>
              </w:rPr>
            </w:pPr>
            <w:r w:rsidRPr="008B6A75">
              <w:rPr>
                <w:sz w:val="20"/>
                <w:szCs w:val="20"/>
              </w:rPr>
              <w:t>18.0.00.70510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787C832D" w14:textId="77777777" w:rsidR="00387142" w:rsidRPr="008B6A75" w:rsidRDefault="00387142" w:rsidP="00387142">
            <w:pPr>
              <w:jc w:val="center"/>
              <w:rPr>
                <w:sz w:val="20"/>
                <w:szCs w:val="20"/>
              </w:rPr>
            </w:pPr>
            <w:r w:rsidRPr="008B6A75">
              <w:rPr>
                <w:sz w:val="20"/>
                <w:szCs w:val="20"/>
              </w:rPr>
              <w:t>100</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5BC15DF1" w14:textId="77777777" w:rsidR="00387142" w:rsidRPr="008B6A75" w:rsidRDefault="00387142" w:rsidP="00387142">
            <w:pPr>
              <w:jc w:val="right"/>
              <w:rPr>
                <w:sz w:val="20"/>
                <w:szCs w:val="20"/>
              </w:rPr>
            </w:pPr>
            <w:r w:rsidRPr="008B6A75">
              <w:rPr>
                <w:sz w:val="20"/>
                <w:szCs w:val="20"/>
              </w:rPr>
              <w:t>2 195 490,71</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243DC57D" w14:textId="77777777" w:rsidR="00387142" w:rsidRPr="008B6A75" w:rsidRDefault="00387142" w:rsidP="00387142">
            <w:pPr>
              <w:jc w:val="right"/>
              <w:rPr>
                <w:sz w:val="20"/>
                <w:szCs w:val="20"/>
              </w:rPr>
            </w:pPr>
            <w:r w:rsidRPr="008B6A75">
              <w:rPr>
                <w:sz w:val="20"/>
                <w:szCs w:val="20"/>
              </w:rPr>
              <w:t>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70CE0534" w14:textId="77777777" w:rsidR="00387142" w:rsidRPr="008B6A75" w:rsidRDefault="00387142" w:rsidP="00387142">
            <w:pPr>
              <w:jc w:val="right"/>
              <w:rPr>
                <w:sz w:val="20"/>
                <w:szCs w:val="20"/>
              </w:rPr>
            </w:pPr>
            <w:r w:rsidRPr="008B6A75">
              <w:rPr>
                <w:sz w:val="20"/>
                <w:szCs w:val="20"/>
              </w:rPr>
              <w:t>0,00</w:t>
            </w:r>
          </w:p>
        </w:tc>
        <w:tc>
          <w:tcPr>
            <w:tcW w:w="222" w:type="dxa"/>
            <w:vAlign w:val="center"/>
            <w:hideMark/>
          </w:tcPr>
          <w:p w14:paraId="2AAA8FF5" w14:textId="77777777" w:rsidR="00387142" w:rsidRPr="008B6A75" w:rsidRDefault="00387142" w:rsidP="00387142">
            <w:pPr>
              <w:rPr>
                <w:sz w:val="20"/>
                <w:szCs w:val="20"/>
              </w:rPr>
            </w:pPr>
          </w:p>
        </w:tc>
      </w:tr>
      <w:tr w:rsidR="00387142" w:rsidRPr="008B6A75" w14:paraId="59203109" w14:textId="77777777" w:rsidTr="00387142">
        <w:trPr>
          <w:trHeight w:val="585"/>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7062B14C" w14:textId="77777777" w:rsidR="00387142" w:rsidRPr="008B6A75" w:rsidRDefault="00387142" w:rsidP="00387142">
            <w:pPr>
              <w:rPr>
                <w:sz w:val="20"/>
                <w:szCs w:val="20"/>
              </w:rPr>
            </w:pPr>
            <w:r w:rsidRPr="008B6A75">
              <w:rPr>
                <w:sz w:val="20"/>
                <w:szCs w:val="20"/>
              </w:rPr>
              <w:t>Расходы на выплаты персоналу казенных учреждений</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1538B11D" w14:textId="77777777" w:rsidR="00387142" w:rsidRPr="008B6A75" w:rsidRDefault="00387142" w:rsidP="00387142">
            <w:pPr>
              <w:jc w:val="center"/>
              <w:rPr>
                <w:sz w:val="20"/>
                <w:szCs w:val="20"/>
              </w:rPr>
            </w:pPr>
            <w:r w:rsidRPr="008B6A75">
              <w:rPr>
                <w:sz w:val="20"/>
                <w:szCs w:val="20"/>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3AEF6CCB" w14:textId="77777777" w:rsidR="00387142" w:rsidRPr="008B6A75" w:rsidRDefault="00387142" w:rsidP="00387142">
            <w:pPr>
              <w:jc w:val="center"/>
              <w:rPr>
                <w:sz w:val="20"/>
                <w:szCs w:val="20"/>
              </w:rPr>
            </w:pPr>
            <w:r w:rsidRPr="008B6A75">
              <w:rPr>
                <w:sz w:val="20"/>
                <w:szCs w:val="20"/>
              </w:rPr>
              <w:t>03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2D779F" w14:textId="77777777" w:rsidR="00387142" w:rsidRPr="008B6A75" w:rsidRDefault="00387142" w:rsidP="00387142">
            <w:pPr>
              <w:jc w:val="center"/>
              <w:rPr>
                <w:sz w:val="20"/>
                <w:szCs w:val="20"/>
              </w:rPr>
            </w:pPr>
            <w:r w:rsidRPr="008B6A75">
              <w:rPr>
                <w:sz w:val="20"/>
                <w:szCs w:val="20"/>
              </w:rPr>
              <w:t>10</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0152DA5E" w14:textId="77777777" w:rsidR="00387142" w:rsidRPr="008B6A75" w:rsidRDefault="00387142" w:rsidP="00387142">
            <w:pPr>
              <w:jc w:val="center"/>
              <w:rPr>
                <w:sz w:val="20"/>
                <w:szCs w:val="20"/>
              </w:rPr>
            </w:pPr>
            <w:r w:rsidRPr="008B6A75">
              <w:rPr>
                <w:sz w:val="20"/>
                <w:szCs w:val="20"/>
              </w:rPr>
              <w:t>18.0.00.70510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900630" w14:textId="77777777" w:rsidR="00387142" w:rsidRPr="008B6A75" w:rsidRDefault="00387142" w:rsidP="00387142">
            <w:pPr>
              <w:jc w:val="center"/>
              <w:rPr>
                <w:sz w:val="20"/>
                <w:szCs w:val="20"/>
              </w:rPr>
            </w:pPr>
            <w:r w:rsidRPr="008B6A75">
              <w:rPr>
                <w:sz w:val="20"/>
                <w:szCs w:val="20"/>
              </w:rPr>
              <w:t>110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4A4890" w14:textId="77777777" w:rsidR="00387142" w:rsidRPr="008B6A75" w:rsidRDefault="00387142" w:rsidP="00387142">
            <w:pPr>
              <w:jc w:val="right"/>
              <w:rPr>
                <w:sz w:val="20"/>
                <w:szCs w:val="20"/>
              </w:rPr>
            </w:pPr>
            <w:r w:rsidRPr="008B6A75">
              <w:rPr>
                <w:sz w:val="20"/>
                <w:szCs w:val="20"/>
              </w:rPr>
              <w:t>2 195 490,71</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1ECE9B8C" w14:textId="77777777" w:rsidR="00387142" w:rsidRPr="008B6A75" w:rsidRDefault="00387142" w:rsidP="00387142">
            <w:pPr>
              <w:jc w:val="right"/>
              <w:rPr>
                <w:sz w:val="20"/>
                <w:szCs w:val="20"/>
              </w:rPr>
            </w:pPr>
            <w:r w:rsidRPr="008B6A75">
              <w:rPr>
                <w:sz w:val="20"/>
                <w:szCs w:val="20"/>
              </w:rPr>
              <w:t>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321E86" w14:textId="77777777" w:rsidR="00387142" w:rsidRPr="008B6A75" w:rsidRDefault="00387142" w:rsidP="00387142">
            <w:pPr>
              <w:jc w:val="right"/>
              <w:rPr>
                <w:sz w:val="20"/>
                <w:szCs w:val="20"/>
              </w:rPr>
            </w:pPr>
            <w:r w:rsidRPr="008B6A75">
              <w:rPr>
                <w:sz w:val="20"/>
                <w:szCs w:val="20"/>
              </w:rPr>
              <w:t>0,00</w:t>
            </w:r>
          </w:p>
        </w:tc>
        <w:tc>
          <w:tcPr>
            <w:tcW w:w="222" w:type="dxa"/>
            <w:vAlign w:val="center"/>
            <w:hideMark/>
          </w:tcPr>
          <w:p w14:paraId="58CA049F" w14:textId="77777777" w:rsidR="00387142" w:rsidRPr="008B6A75" w:rsidRDefault="00387142" w:rsidP="00387142">
            <w:pPr>
              <w:rPr>
                <w:sz w:val="20"/>
                <w:szCs w:val="20"/>
              </w:rPr>
            </w:pPr>
          </w:p>
        </w:tc>
      </w:tr>
      <w:tr w:rsidR="00387142" w:rsidRPr="008B6A75" w14:paraId="2329D5DC" w14:textId="77777777" w:rsidTr="00387142">
        <w:trPr>
          <w:trHeight w:val="300"/>
        </w:trPr>
        <w:tc>
          <w:tcPr>
            <w:tcW w:w="3021" w:type="dxa"/>
            <w:tcBorders>
              <w:top w:val="nil"/>
              <w:left w:val="single" w:sz="4" w:space="0" w:color="auto"/>
              <w:bottom w:val="nil"/>
              <w:right w:val="nil"/>
            </w:tcBorders>
            <w:shd w:val="clear" w:color="auto" w:fill="auto"/>
            <w:vAlign w:val="center"/>
            <w:hideMark/>
          </w:tcPr>
          <w:p w14:paraId="430607FA" w14:textId="77777777" w:rsidR="00387142" w:rsidRPr="008B6A75" w:rsidRDefault="00387142" w:rsidP="00387142">
            <w:pPr>
              <w:rPr>
                <w:bCs/>
                <w:sz w:val="20"/>
                <w:szCs w:val="20"/>
              </w:rPr>
            </w:pPr>
            <w:r w:rsidRPr="008B6A75">
              <w:rPr>
                <w:bCs/>
                <w:sz w:val="20"/>
                <w:szCs w:val="20"/>
              </w:rPr>
              <w:t>НАЦИОНАЛЬНАЯ ЭКОНОМИКА</w:t>
            </w:r>
          </w:p>
        </w:tc>
        <w:tc>
          <w:tcPr>
            <w:tcW w:w="850" w:type="dxa"/>
            <w:tcBorders>
              <w:top w:val="nil"/>
              <w:left w:val="single" w:sz="4" w:space="0" w:color="auto"/>
              <w:bottom w:val="nil"/>
              <w:right w:val="nil"/>
            </w:tcBorders>
            <w:shd w:val="clear" w:color="auto" w:fill="auto"/>
            <w:noWrap/>
            <w:vAlign w:val="center"/>
            <w:hideMark/>
          </w:tcPr>
          <w:p w14:paraId="596CD643" w14:textId="77777777" w:rsidR="00387142" w:rsidRPr="008B6A75" w:rsidRDefault="00387142" w:rsidP="00387142">
            <w:pPr>
              <w:jc w:val="center"/>
              <w:rPr>
                <w:bCs/>
                <w:sz w:val="20"/>
                <w:szCs w:val="20"/>
              </w:rPr>
            </w:pPr>
            <w:r w:rsidRPr="008B6A75">
              <w:rPr>
                <w:bCs/>
                <w:sz w:val="20"/>
                <w:szCs w:val="20"/>
              </w:rPr>
              <w:t>444</w:t>
            </w:r>
          </w:p>
        </w:tc>
        <w:tc>
          <w:tcPr>
            <w:tcW w:w="709" w:type="dxa"/>
            <w:tcBorders>
              <w:top w:val="nil"/>
              <w:left w:val="single" w:sz="4" w:space="0" w:color="auto"/>
              <w:bottom w:val="nil"/>
              <w:right w:val="nil"/>
            </w:tcBorders>
            <w:shd w:val="clear" w:color="auto" w:fill="auto"/>
            <w:noWrap/>
            <w:vAlign w:val="center"/>
            <w:hideMark/>
          </w:tcPr>
          <w:p w14:paraId="3F64BD61" w14:textId="77777777" w:rsidR="00387142" w:rsidRPr="008B6A75" w:rsidRDefault="00387142" w:rsidP="00387142">
            <w:pPr>
              <w:jc w:val="center"/>
              <w:rPr>
                <w:bCs/>
                <w:sz w:val="20"/>
                <w:szCs w:val="20"/>
              </w:rPr>
            </w:pPr>
            <w:r w:rsidRPr="008B6A75">
              <w:rPr>
                <w:bCs/>
                <w:sz w:val="20"/>
                <w:szCs w:val="20"/>
              </w:rPr>
              <w:t>04</w:t>
            </w:r>
          </w:p>
        </w:tc>
        <w:tc>
          <w:tcPr>
            <w:tcW w:w="709" w:type="dxa"/>
            <w:tcBorders>
              <w:top w:val="nil"/>
              <w:left w:val="single" w:sz="4" w:space="0" w:color="auto"/>
              <w:bottom w:val="nil"/>
              <w:right w:val="single" w:sz="4" w:space="0" w:color="auto"/>
            </w:tcBorders>
            <w:shd w:val="clear" w:color="auto" w:fill="auto"/>
            <w:noWrap/>
            <w:vAlign w:val="center"/>
            <w:hideMark/>
          </w:tcPr>
          <w:p w14:paraId="16C20171" w14:textId="77777777" w:rsidR="00387142" w:rsidRPr="008B6A75" w:rsidRDefault="00387142" w:rsidP="00387142">
            <w:pPr>
              <w:jc w:val="center"/>
              <w:rPr>
                <w:bCs/>
                <w:sz w:val="20"/>
                <w:szCs w:val="20"/>
              </w:rPr>
            </w:pPr>
            <w:r w:rsidRPr="008B6A75">
              <w:rPr>
                <w:bCs/>
                <w:sz w:val="20"/>
                <w:szCs w:val="20"/>
              </w:rPr>
              <w:t> </w:t>
            </w:r>
          </w:p>
        </w:tc>
        <w:tc>
          <w:tcPr>
            <w:tcW w:w="1411" w:type="dxa"/>
            <w:tcBorders>
              <w:top w:val="nil"/>
              <w:left w:val="single" w:sz="4" w:space="0" w:color="auto"/>
              <w:bottom w:val="nil"/>
              <w:right w:val="nil"/>
            </w:tcBorders>
            <w:shd w:val="clear" w:color="auto" w:fill="auto"/>
            <w:noWrap/>
            <w:vAlign w:val="center"/>
            <w:hideMark/>
          </w:tcPr>
          <w:p w14:paraId="2BBDFF4E" w14:textId="77777777" w:rsidR="00387142" w:rsidRPr="008B6A75" w:rsidRDefault="00387142" w:rsidP="00387142">
            <w:pPr>
              <w:jc w:val="center"/>
              <w:rPr>
                <w:bCs/>
                <w:sz w:val="20"/>
                <w:szCs w:val="20"/>
              </w:rPr>
            </w:pPr>
            <w:r w:rsidRPr="008B6A75">
              <w:rPr>
                <w:bCs/>
                <w:sz w:val="20"/>
                <w:szCs w:val="20"/>
              </w:rPr>
              <w:t> </w:t>
            </w:r>
          </w:p>
        </w:tc>
        <w:tc>
          <w:tcPr>
            <w:tcW w:w="955" w:type="dxa"/>
            <w:tcBorders>
              <w:top w:val="nil"/>
              <w:left w:val="single" w:sz="4" w:space="0" w:color="auto"/>
              <w:bottom w:val="nil"/>
              <w:right w:val="single" w:sz="4" w:space="0" w:color="auto"/>
            </w:tcBorders>
            <w:shd w:val="clear" w:color="auto" w:fill="auto"/>
            <w:noWrap/>
            <w:vAlign w:val="center"/>
            <w:hideMark/>
          </w:tcPr>
          <w:p w14:paraId="32F8101B"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nil"/>
              <w:right w:val="single" w:sz="4" w:space="0" w:color="auto"/>
            </w:tcBorders>
            <w:shd w:val="clear" w:color="auto" w:fill="auto"/>
            <w:noWrap/>
            <w:vAlign w:val="center"/>
            <w:hideMark/>
          </w:tcPr>
          <w:p w14:paraId="718E9B32" w14:textId="77777777" w:rsidR="00387142" w:rsidRPr="008B6A75" w:rsidRDefault="00387142" w:rsidP="00387142">
            <w:pPr>
              <w:jc w:val="right"/>
              <w:rPr>
                <w:bCs/>
                <w:sz w:val="20"/>
                <w:szCs w:val="20"/>
              </w:rPr>
            </w:pPr>
            <w:r w:rsidRPr="008B6A75">
              <w:rPr>
                <w:bCs/>
                <w:sz w:val="20"/>
                <w:szCs w:val="20"/>
              </w:rPr>
              <w:t>74 965 882,58</w:t>
            </w:r>
          </w:p>
        </w:tc>
        <w:tc>
          <w:tcPr>
            <w:tcW w:w="992" w:type="dxa"/>
            <w:gridSpan w:val="2"/>
            <w:tcBorders>
              <w:top w:val="nil"/>
              <w:left w:val="single" w:sz="4" w:space="0" w:color="auto"/>
              <w:bottom w:val="nil"/>
              <w:right w:val="nil"/>
            </w:tcBorders>
            <w:shd w:val="clear" w:color="auto" w:fill="auto"/>
            <w:noWrap/>
            <w:vAlign w:val="center"/>
            <w:hideMark/>
          </w:tcPr>
          <w:p w14:paraId="06E4C0A2" w14:textId="77777777" w:rsidR="00387142" w:rsidRPr="008B6A75" w:rsidRDefault="00387142" w:rsidP="00387142">
            <w:pPr>
              <w:jc w:val="right"/>
              <w:rPr>
                <w:bCs/>
                <w:sz w:val="20"/>
                <w:szCs w:val="20"/>
              </w:rPr>
            </w:pPr>
            <w:r w:rsidRPr="008B6A75">
              <w:rPr>
                <w:bCs/>
                <w:sz w:val="20"/>
                <w:szCs w:val="20"/>
              </w:rPr>
              <w:t>73 428 153,32</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10BEB6E2" w14:textId="77777777" w:rsidR="00387142" w:rsidRPr="008B6A75" w:rsidRDefault="00387142" w:rsidP="00387142">
            <w:pPr>
              <w:jc w:val="right"/>
              <w:rPr>
                <w:bCs/>
                <w:sz w:val="20"/>
                <w:szCs w:val="20"/>
              </w:rPr>
            </w:pPr>
            <w:r w:rsidRPr="008B6A75">
              <w:rPr>
                <w:bCs/>
                <w:sz w:val="20"/>
                <w:szCs w:val="20"/>
              </w:rPr>
              <w:t>75 647 797,00</w:t>
            </w:r>
          </w:p>
        </w:tc>
        <w:tc>
          <w:tcPr>
            <w:tcW w:w="222" w:type="dxa"/>
            <w:vAlign w:val="center"/>
            <w:hideMark/>
          </w:tcPr>
          <w:p w14:paraId="7F7AC022" w14:textId="77777777" w:rsidR="00387142" w:rsidRPr="008B6A75" w:rsidRDefault="00387142" w:rsidP="00387142">
            <w:pPr>
              <w:rPr>
                <w:sz w:val="20"/>
                <w:szCs w:val="20"/>
              </w:rPr>
            </w:pPr>
          </w:p>
        </w:tc>
      </w:tr>
      <w:tr w:rsidR="00387142" w:rsidRPr="008B6A75" w14:paraId="50D7B375" w14:textId="77777777" w:rsidTr="00387142">
        <w:trPr>
          <w:trHeight w:val="300"/>
        </w:trPr>
        <w:tc>
          <w:tcPr>
            <w:tcW w:w="3021" w:type="dxa"/>
            <w:tcBorders>
              <w:top w:val="single" w:sz="4" w:space="0" w:color="auto"/>
              <w:left w:val="single" w:sz="4" w:space="0" w:color="auto"/>
              <w:bottom w:val="nil"/>
              <w:right w:val="nil"/>
            </w:tcBorders>
            <w:shd w:val="clear" w:color="auto" w:fill="auto"/>
            <w:vAlign w:val="center"/>
            <w:hideMark/>
          </w:tcPr>
          <w:p w14:paraId="16FE15FE" w14:textId="77777777" w:rsidR="00387142" w:rsidRPr="008B6A75" w:rsidRDefault="00387142" w:rsidP="00387142">
            <w:pPr>
              <w:rPr>
                <w:bCs/>
                <w:sz w:val="20"/>
                <w:szCs w:val="20"/>
              </w:rPr>
            </w:pPr>
            <w:r w:rsidRPr="008B6A75">
              <w:rPr>
                <w:bCs/>
                <w:sz w:val="20"/>
                <w:szCs w:val="20"/>
              </w:rPr>
              <w:t>Сельское хозяйство и рыболовство</w:t>
            </w:r>
          </w:p>
        </w:tc>
        <w:tc>
          <w:tcPr>
            <w:tcW w:w="850" w:type="dxa"/>
            <w:tcBorders>
              <w:top w:val="single" w:sz="4" w:space="0" w:color="auto"/>
              <w:left w:val="single" w:sz="4" w:space="0" w:color="auto"/>
              <w:bottom w:val="nil"/>
              <w:right w:val="nil"/>
            </w:tcBorders>
            <w:shd w:val="clear" w:color="auto" w:fill="auto"/>
            <w:noWrap/>
            <w:vAlign w:val="center"/>
            <w:hideMark/>
          </w:tcPr>
          <w:p w14:paraId="2C9E662D" w14:textId="77777777" w:rsidR="00387142" w:rsidRPr="008B6A75" w:rsidRDefault="00387142" w:rsidP="00387142">
            <w:pPr>
              <w:jc w:val="center"/>
              <w:rPr>
                <w:bCs/>
                <w:sz w:val="20"/>
                <w:szCs w:val="20"/>
              </w:rPr>
            </w:pPr>
            <w:r w:rsidRPr="008B6A75">
              <w:rPr>
                <w:bCs/>
                <w:sz w:val="20"/>
                <w:szCs w:val="20"/>
              </w:rPr>
              <w:t>444</w:t>
            </w:r>
          </w:p>
        </w:tc>
        <w:tc>
          <w:tcPr>
            <w:tcW w:w="709" w:type="dxa"/>
            <w:tcBorders>
              <w:top w:val="single" w:sz="4" w:space="0" w:color="auto"/>
              <w:left w:val="single" w:sz="4" w:space="0" w:color="auto"/>
              <w:bottom w:val="nil"/>
              <w:right w:val="nil"/>
            </w:tcBorders>
            <w:shd w:val="clear" w:color="auto" w:fill="auto"/>
            <w:noWrap/>
            <w:vAlign w:val="center"/>
            <w:hideMark/>
          </w:tcPr>
          <w:p w14:paraId="53C288F7" w14:textId="77777777" w:rsidR="00387142" w:rsidRPr="008B6A75" w:rsidRDefault="00387142" w:rsidP="00387142">
            <w:pPr>
              <w:jc w:val="center"/>
              <w:rPr>
                <w:bCs/>
                <w:sz w:val="20"/>
                <w:szCs w:val="20"/>
              </w:rPr>
            </w:pPr>
            <w:r w:rsidRPr="008B6A75">
              <w:rPr>
                <w:bCs/>
                <w:sz w:val="20"/>
                <w:szCs w:val="20"/>
              </w:rPr>
              <w:t>04</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690D438B" w14:textId="77777777" w:rsidR="00387142" w:rsidRPr="008B6A75" w:rsidRDefault="00387142" w:rsidP="00387142">
            <w:pPr>
              <w:jc w:val="center"/>
              <w:rPr>
                <w:bCs/>
                <w:sz w:val="20"/>
                <w:szCs w:val="20"/>
              </w:rPr>
            </w:pPr>
            <w:r w:rsidRPr="008B6A75">
              <w:rPr>
                <w:bCs/>
                <w:sz w:val="20"/>
                <w:szCs w:val="20"/>
              </w:rPr>
              <w:t>05</w:t>
            </w:r>
          </w:p>
        </w:tc>
        <w:tc>
          <w:tcPr>
            <w:tcW w:w="1411" w:type="dxa"/>
            <w:tcBorders>
              <w:top w:val="single" w:sz="4" w:space="0" w:color="auto"/>
              <w:left w:val="single" w:sz="4" w:space="0" w:color="auto"/>
              <w:bottom w:val="nil"/>
              <w:right w:val="nil"/>
            </w:tcBorders>
            <w:shd w:val="clear" w:color="auto" w:fill="auto"/>
            <w:noWrap/>
            <w:vAlign w:val="center"/>
            <w:hideMark/>
          </w:tcPr>
          <w:p w14:paraId="3CE52734" w14:textId="77777777" w:rsidR="00387142" w:rsidRPr="008B6A75" w:rsidRDefault="00387142" w:rsidP="00387142">
            <w:pPr>
              <w:jc w:val="center"/>
              <w:rPr>
                <w:bCs/>
                <w:sz w:val="20"/>
                <w:szCs w:val="20"/>
              </w:rPr>
            </w:pPr>
            <w:r w:rsidRPr="008B6A75">
              <w:rPr>
                <w:bCs/>
                <w:sz w:val="20"/>
                <w:szCs w:val="20"/>
              </w:rPr>
              <w:t> </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3E1DCB76" w14:textId="77777777" w:rsidR="00387142" w:rsidRPr="008B6A75" w:rsidRDefault="00387142" w:rsidP="00387142">
            <w:pPr>
              <w:jc w:val="center"/>
              <w:rPr>
                <w:bCs/>
                <w:sz w:val="20"/>
                <w:szCs w:val="20"/>
              </w:rPr>
            </w:pPr>
            <w:r w:rsidRPr="008B6A75">
              <w:rPr>
                <w:bCs/>
                <w:sz w:val="20"/>
                <w:szCs w:val="20"/>
              </w:rPr>
              <w:t> </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181331FB" w14:textId="77777777" w:rsidR="00387142" w:rsidRPr="008B6A75" w:rsidRDefault="00387142" w:rsidP="00387142">
            <w:pPr>
              <w:jc w:val="right"/>
              <w:rPr>
                <w:bCs/>
                <w:sz w:val="20"/>
                <w:szCs w:val="20"/>
              </w:rPr>
            </w:pPr>
            <w:r w:rsidRPr="008B6A75">
              <w:rPr>
                <w:bCs/>
                <w:sz w:val="20"/>
                <w:szCs w:val="20"/>
              </w:rPr>
              <w:t>728 300,00</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337121EE" w14:textId="77777777" w:rsidR="00387142" w:rsidRPr="008B6A75" w:rsidRDefault="00387142" w:rsidP="00387142">
            <w:pPr>
              <w:jc w:val="right"/>
              <w:rPr>
                <w:bCs/>
                <w:sz w:val="20"/>
                <w:szCs w:val="20"/>
              </w:rPr>
            </w:pPr>
            <w:r w:rsidRPr="008B6A75">
              <w:rPr>
                <w:bCs/>
                <w:sz w:val="20"/>
                <w:szCs w:val="20"/>
              </w:rPr>
              <w:t>728 300,00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162F86B3" w14:textId="77777777" w:rsidR="00387142" w:rsidRPr="008B6A75" w:rsidRDefault="00387142" w:rsidP="00387142">
            <w:pPr>
              <w:jc w:val="right"/>
              <w:rPr>
                <w:bCs/>
                <w:sz w:val="20"/>
                <w:szCs w:val="20"/>
              </w:rPr>
            </w:pPr>
            <w:r w:rsidRPr="008B6A75">
              <w:rPr>
                <w:bCs/>
                <w:sz w:val="20"/>
                <w:szCs w:val="20"/>
              </w:rPr>
              <w:t>728 300,00</w:t>
            </w:r>
          </w:p>
        </w:tc>
        <w:tc>
          <w:tcPr>
            <w:tcW w:w="222" w:type="dxa"/>
            <w:vAlign w:val="center"/>
            <w:hideMark/>
          </w:tcPr>
          <w:p w14:paraId="384F2F55" w14:textId="77777777" w:rsidR="00387142" w:rsidRPr="008B6A75" w:rsidRDefault="00387142" w:rsidP="00387142">
            <w:pPr>
              <w:rPr>
                <w:sz w:val="20"/>
                <w:szCs w:val="20"/>
              </w:rPr>
            </w:pPr>
          </w:p>
        </w:tc>
      </w:tr>
      <w:tr w:rsidR="00387142" w:rsidRPr="008B6A75" w14:paraId="4A2D702C" w14:textId="77777777" w:rsidTr="00387142">
        <w:trPr>
          <w:trHeight w:val="300"/>
        </w:trPr>
        <w:tc>
          <w:tcPr>
            <w:tcW w:w="3021" w:type="dxa"/>
            <w:tcBorders>
              <w:top w:val="single" w:sz="4" w:space="0" w:color="auto"/>
              <w:left w:val="single" w:sz="4" w:space="0" w:color="auto"/>
              <w:bottom w:val="nil"/>
              <w:right w:val="nil"/>
            </w:tcBorders>
            <w:shd w:val="clear" w:color="auto" w:fill="auto"/>
            <w:vAlign w:val="center"/>
            <w:hideMark/>
          </w:tcPr>
          <w:p w14:paraId="7E0C78B3" w14:textId="77777777" w:rsidR="00387142" w:rsidRPr="008B6A75" w:rsidRDefault="00387142" w:rsidP="00387142">
            <w:pPr>
              <w:rPr>
                <w:bCs/>
                <w:sz w:val="20"/>
                <w:szCs w:val="20"/>
              </w:rPr>
            </w:pPr>
            <w:r w:rsidRPr="008B6A75">
              <w:rPr>
                <w:bCs/>
                <w:sz w:val="20"/>
                <w:szCs w:val="20"/>
              </w:rPr>
              <w:t>Непрограммные направления бюджета</w:t>
            </w:r>
          </w:p>
        </w:tc>
        <w:tc>
          <w:tcPr>
            <w:tcW w:w="850" w:type="dxa"/>
            <w:tcBorders>
              <w:top w:val="single" w:sz="4" w:space="0" w:color="auto"/>
              <w:left w:val="single" w:sz="4" w:space="0" w:color="auto"/>
              <w:bottom w:val="nil"/>
              <w:right w:val="nil"/>
            </w:tcBorders>
            <w:shd w:val="clear" w:color="auto" w:fill="auto"/>
            <w:noWrap/>
            <w:vAlign w:val="center"/>
            <w:hideMark/>
          </w:tcPr>
          <w:p w14:paraId="3F7F6C21" w14:textId="77777777" w:rsidR="00387142" w:rsidRPr="008B6A75" w:rsidRDefault="00387142" w:rsidP="00387142">
            <w:pPr>
              <w:jc w:val="center"/>
              <w:rPr>
                <w:bCs/>
                <w:sz w:val="20"/>
                <w:szCs w:val="20"/>
              </w:rPr>
            </w:pPr>
            <w:r w:rsidRPr="008B6A75">
              <w:rPr>
                <w:bCs/>
                <w:sz w:val="20"/>
                <w:szCs w:val="20"/>
              </w:rPr>
              <w:t>444</w:t>
            </w:r>
          </w:p>
        </w:tc>
        <w:tc>
          <w:tcPr>
            <w:tcW w:w="709" w:type="dxa"/>
            <w:tcBorders>
              <w:top w:val="single" w:sz="4" w:space="0" w:color="auto"/>
              <w:left w:val="single" w:sz="4" w:space="0" w:color="auto"/>
              <w:bottom w:val="nil"/>
              <w:right w:val="nil"/>
            </w:tcBorders>
            <w:shd w:val="clear" w:color="auto" w:fill="auto"/>
            <w:noWrap/>
            <w:vAlign w:val="center"/>
            <w:hideMark/>
          </w:tcPr>
          <w:p w14:paraId="166406A2" w14:textId="77777777" w:rsidR="00387142" w:rsidRPr="008B6A75" w:rsidRDefault="00387142" w:rsidP="00387142">
            <w:pPr>
              <w:jc w:val="center"/>
              <w:rPr>
                <w:bCs/>
                <w:sz w:val="20"/>
                <w:szCs w:val="20"/>
              </w:rPr>
            </w:pPr>
            <w:r w:rsidRPr="008B6A75">
              <w:rPr>
                <w:bCs/>
                <w:sz w:val="20"/>
                <w:szCs w:val="20"/>
              </w:rPr>
              <w:t>04</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165F23C2" w14:textId="77777777" w:rsidR="00387142" w:rsidRPr="008B6A75" w:rsidRDefault="00387142" w:rsidP="00387142">
            <w:pPr>
              <w:jc w:val="center"/>
              <w:rPr>
                <w:bCs/>
                <w:sz w:val="20"/>
                <w:szCs w:val="20"/>
              </w:rPr>
            </w:pPr>
            <w:r w:rsidRPr="008B6A75">
              <w:rPr>
                <w:bCs/>
                <w:sz w:val="20"/>
                <w:szCs w:val="20"/>
              </w:rPr>
              <w:t>05</w:t>
            </w:r>
          </w:p>
        </w:tc>
        <w:tc>
          <w:tcPr>
            <w:tcW w:w="1411" w:type="dxa"/>
            <w:tcBorders>
              <w:top w:val="single" w:sz="4" w:space="0" w:color="auto"/>
              <w:left w:val="single" w:sz="4" w:space="0" w:color="auto"/>
              <w:bottom w:val="nil"/>
              <w:right w:val="nil"/>
            </w:tcBorders>
            <w:shd w:val="clear" w:color="auto" w:fill="auto"/>
            <w:noWrap/>
            <w:vAlign w:val="center"/>
            <w:hideMark/>
          </w:tcPr>
          <w:p w14:paraId="5AEB9813" w14:textId="77777777" w:rsidR="00387142" w:rsidRPr="008B6A75" w:rsidRDefault="00387142" w:rsidP="00387142">
            <w:pPr>
              <w:jc w:val="center"/>
              <w:rPr>
                <w:bCs/>
                <w:sz w:val="20"/>
                <w:szCs w:val="20"/>
              </w:rPr>
            </w:pPr>
            <w:r w:rsidRPr="008B6A75">
              <w:rPr>
                <w:bCs/>
                <w:sz w:val="20"/>
                <w:szCs w:val="20"/>
              </w:rPr>
              <w:t>99.0.00.00000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1B35FF80" w14:textId="77777777" w:rsidR="00387142" w:rsidRPr="008B6A75" w:rsidRDefault="00387142" w:rsidP="00387142">
            <w:pPr>
              <w:jc w:val="center"/>
              <w:rPr>
                <w:bCs/>
                <w:sz w:val="20"/>
                <w:szCs w:val="20"/>
              </w:rPr>
            </w:pPr>
            <w:r w:rsidRPr="008B6A75">
              <w:rPr>
                <w:bCs/>
                <w:sz w:val="20"/>
                <w:szCs w:val="20"/>
              </w:rPr>
              <w:t> </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019788E0" w14:textId="77777777" w:rsidR="00387142" w:rsidRPr="008B6A75" w:rsidRDefault="00387142" w:rsidP="00387142">
            <w:pPr>
              <w:jc w:val="right"/>
              <w:rPr>
                <w:bCs/>
                <w:sz w:val="20"/>
                <w:szCs w:val="20"/>
              </w:rPr>
            </w:pPr>
            <w:r w:rsidRPr="008B6A75">
              <w:rPr>
                <w:bCs/>
                <w:sz w:val="20"/>
                <w:szCs w:val="20"/>
              </w:rPr>
              <w:t>728 300,00</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2D6AB5C5" w14:textId="77777777" w:rsidR="00387142" w:rsidRPr="008B6A75" w:rsidRDefault="00387142" w:rsidP="00387142">
            <w:pPr>
              <w:jc w:val="right"/>
              <w:rPr>
                <w:bCs/>
                <w:sz w:val="20"/>
                <w:szCs w:val="20"/>
              </w:rPr>
            </w:pPr>
            <w:r w:rsidRPr="008B6A75">
              <w:rPr>
                <w:bCs/>
                <w:sz w:val="20"/>
                <w:szCs w:val="20"/>
              </w:rPr>
              <w:t>728 300,00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71CC097A" w14:textId="77777777" w:rsidR="00387142" w:rsidRPr="008B6A75" w:rsidRDefault="00387142" w:rsidP="00387142">
            <w:pPr>
              <w:jc w:val="right"/>
              <w:rPr>
                <w:bCs/>
                <w:sz w:val="20"/>
                <w:szCs w:val="20"/>
              </w:rPr>
            </w:pPr>
            <w:r w:rsidRPr="008B6A75">
              <w:rPr>
                <w:bCs/>
                <w:sz w:val="20"/>
                <w:szCs w:val="20"/>
              </w:rPr>
              <w:t>728 300,00</w:t>
            </w:r>
          </w:p>
        </w:tc>
        <w:tc>
          <w:tcPr>
            <w:tcW w:w="222" w:type="dxa"/>
            <w:vAlign w:val="center"/>
            <w:hideMark/>
          </w:tcPr>
          <w:p w14:paraId="3B947A87" w14:textId="77777777" w:rsidR="00387142" w:rsidRPr="008B6A75" w:rsidRDefault="00387142" w:rsidP="00387142">
            <w:pPr>
              <w:rPr>
                <w:sz w:val="20"/>
                <w:szCs w:val="20"/>
              </w:rPr>
            </w:pPr>
          </w:p>
        </w:tc>
      </w:tr>
      <w:tr w:rsidR="00387142" w:rsidRPr="008B6A75" w14:paraId="3EFC253F" w14:textId="77777777" w:rsidTr="00387142">
        <w:trPr>
          <w:trHeight w:val="870"/>
        </w:trPr>
        <w:tc>
          <w:tcPr>
            <w:tcW w:w="3021" w:type="dxa"/>
            <w:tcBorders>
              <w:top w:val="single" w:sz="4" w:space="0" w:color="auto"/>
              <w:left w:val="single" w:sz="4" w:space="0" w:color="auto"/>
              <w:bottom w:val="nil"/>
              <w:right w:val="nil"/>
            </w:tcBorders>
            <w:shd w:val="clear" w:color="auto" w:fill="auto"/>
            <w:vAlign w:val="center"/>
            <w:hideMark/>
          </w:tcPr>
          <w:p w14:paraId="4C352DBD" w14:textId="77777777" w:rsidR="00387142" w:rsidRPr="008B6A75" w:rsidRDefault="00387142" w:rsidP="00387142">
            <w:pPr>
              <w:rPr>
                <w:bCs/>
                <w:sz w:val="20"/>
                <w:szCs w:val="20"/>
              </w:rPr>
            </w:pPr>
            <w:r w:rsidRPr="008B6A75">
              <w:rPr>
                <w:bCs/>
                <w:sz w:val="20"/>
                <w:szCs w:val="20"/>
              </w:rPr>
              <w:t>Организация мероприятий при осуществлении деятельности по обращению с животными без владельцев</w:t>
            </w:r>
          </w:p>
        </w:tc>
        <w:tc>
          <w:tcPr>
            <w:tcW w:w="850" w:type="dxa"/>
            <w:tcBorders>
              <w:top w:val="single" w:sz="4" w:space="0" w:color="auto"/>
              <w:left w:val="single" w:sz="4" w:space="0" w:color="auto"/>
              <w:bottom w:val="nil"/>
              <w:right w:val="nil"/>
            </w:tcBorders>
            <w:shd w:val="clear" w:color="auto" w:fill="auto"/>
            <w:noWrap/>
            <w:vAlign w:val="center"/>
            <w:hideMark/>
          </w:tcPr>
          <w:p w14:paraId="2F2878C3" w14:textId="77777777" w:rsidR="00387142" w:rsidRPr="008B6A75" w:rsidRDefault="00387142" w:rsidP="00387142">
            <w:pPr>
              <w:jc w:val="center"/>
              <w:rPr>
                <w:bCs/>
                <w:sz w:val="20"/>
                <w:szCs w:val="20"/>
              </w:rPr>
            </w:pPr>
            <w:r w:rsidRPr="008B6A75">
              <w:rPr>
                <w:bCs/>
                <w:sz w:val="20"/>
                <w:szCs w:val="20"/>
              </w:rPr>
              <w:t>444</w:t>
            </w:r>
          </w:p>
        </w:tc>
        <w:tc>
          <w:tcPr>
            <w:tcW w:w="709" w:type="dxa"/>
            <w:tcBorders>
              <w:top w:val="single" w:sz="4" w:space="0" w:color="auto"/>
              <w:left w:val="single" w:sz="4" w:space="0" w:color="auto"/>
              <w:bottom w:val="nil"/>
              <w:right w:val="nil"/>
            </w:tcBorders>
            <w:shd w:val="clear" w:color="auto" w:fill="auto"/>
            <w:noWrap/>
            <w:vAlign w:val="center"/>
            <w:hideMark/>
          </w:tcPr>
          <w:p w14:paraId="3EADA728" w14:textId="77777777" w:rsidR="00387142" w:rsidRPr="008B6A75" w:rsidRDefault="00387142" w:rsidP="00387142">
            <w:pPr>
              <w:jc w:val="center"/>
              <w:rPr>
                <w:bCs/>
                <w:sz w:val="20"/>
                <w:szCs w:val="20"/>
              </w:rPr>
            </w:pPr>
            <w:r w:rsidRPr="008B6A75">
              <w:rPr>
                <w:bCs/>
                <w:sz w:val="20"/>
                <w:szCs w:val="20"/>
              </w:rPr>
              <w:t>04</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26F28CF7" w14:textId="77777777" w:rsidR="00387142" w:rsidRPr="008B6A75" w:rsidRDefault="00387142" w:rsidP="00387142">
            <w:pPr>
              <w:jc w:val="center"/>
              <w:rPr>
                <w:bCs/>
                <w:sz w:val="20"/>
                <w:szCs w:val="20"/>
              </w:rPr>
            </w:pPr>
            <w:r w:rsidRPr="008B6A75">
              <w:rPr>
                <w:bCs/>
                <w:sz w:val="20"/>
                <w:szCs w:val="20"/>
              </w:rPr>
              <w:t>05</w:t>
            </w:r>
          </w:p>
        </w:tc>
        <w:tc>
          <w:tcPr>
            <w:tcW w:w="1411" w:type="dxa"/>
            <w:tcBorders>
              <w:top w:val="single" w:sz="4" w:space="0" w:color="auto"/>
              <w:left w:val="single" w:sz="4" w:space="0" w:color="auto"/>
              <w:bottom w:val="nil"/>
              <w:right w:val="nil"/>
            </w:tcBorders>
            <w:shd w:val="clear" w:color="auto" w:fill="auto"/>
            <w:noWrap/>
            <w:vAlign w:val="center"/>
            <w:hideMark/>
          </w:tcPr>
          <w:p w14:paraId="421694A1" w14:textId="77777777" w:rsidR="00387142" w:rsidRPr="008B6A75" w:rsidRDefault="00387142" w:rsidP="00387142">
            <w:pPr>
              <w:jc w:val="center"/>
              <w:rPr>
                <w:bCs/>
                <w:sz w:val="20"/>
                <w:szCs w:val="20"/>
              </w:rPr>
            </w:pPr>
            <w:r w:rsidRPr="008B6A75">
              <w:rPr>
                <w:bCs/>
                <w:sz w:val="20"/>
                <w:szCs w:val="20"/>
              </w:rPr>
              <w:t>99.0.00.70160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7750C777" w14:textId="77777777" w:rsidR="00387142" w:rsidRPr="008B6A75" w:rsidRDefault="00387142" w:rsidP="00387142">
            <w:pPr>
              <w:jc w:val="center"/>
              <w:rPr>
                <w:bCs/>
                <w:sz w:val="20"/>
                <w:szCs w:val="20"/>
              </w:rPr>
            </w:pPr>
            <w:r w:rsidRPr="008B6A75">
              <w:rPr>
                <w:bCs/>
                <w:sz w:val="20"/>
                <w:szCs w:val="20"/>
              </w:rPr>
              <w:t> </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71011E68" w14:textId="77777777" w:rsidR="00387142" w:rsidRPr="008B6A75" w:rsidRDefault="00387142" w:rsidP="00387142">
            <w:pPr>
              <w:jc w:val="right"/>
              <w:rPr>
                <w:bCs/>
                <w:sz w:val="20"/>
                <w:szCs w:val="20"/>
              </w:rPr>
            </w:pPr>
            <w:r w:rsidRPr="008B6A75">
              <w:rPr>
                <w:bCs/>
                <w:sz w:val="20"/>
                <w:szCs w:val="20"/>
              </w:rPr>
              <w:t>728 300,00</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52F8777D" w14:textId="77777777" w:rsidR="00387142" w:rsidRPr="008B6A75" w:rsidRDefault="00387142" w:rsidP="00387142">
            <w:pPr>
              <w:jc w:val="right"/>
              <w:rPr>
                <w:bCs/>
                <w:sz w:val="20"/>
                <w:szCs w:val="20"/>
              </w:rPr>
            </w:pPr>
            <w:r w:rsidRPr="008B6A75">
              <w:rPr>
                <w:bCs/>
                <w:sz w:val="20"/>
                <w:szCs w:val="20"/>
              </w:rPr>
              <w:t>728 300,00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210CCC0E" w14:textId="77777777" w:rsidR="00387142" w:rsidRPr="008B6A75" w:rsidRDefault="00387142" w:rsidP="00387142">
            <w:pPr>
              <w:jc w:val="right"/>
              <w:rPr>
                <w:bCs/>
                <w:sz w:val="20"/>
                <w:szCs w:val="20"/>
              </w:rPr>
            </w:pPr>
            <w:r w:rsidRPr="008B6A75">
              <w:rPr>
                <w:bCs/>
                <w:sz w:val="20"/>
                <w:szCs w:val="20"/>
              </w:rPr>
              <w:t>728 300,00</w:t>
            </w:r>
          </w:p>
        </w:tc>
        <w:tc>
          <w:tcPr>
            <w:tcW w:w="222" w:type="dxa"/>
            <w:vAlign w:val="center"/>
            <w:hideMark/>
          </w:tcPr>
          <w:p w14:paraId="02FD002B" w14:textId="77777777" w:rsidR="00387142" w:rsidRPr="008B6A75" w:rsidRDefault="00387142" w:rsidP="00387142">
            <w:pPr>
              <w:rPr>
                <w:sz w:val="20"/>
                <w:szCs w:val="20"/>
              </w:rPr>
            </w:pPr>
          </w:p>
        </w:tc>
      </w:tr>
      <w:tr w:rsidR="00387142" w:rsidRPr="008B6A75" w14:paraId="5BBF57D7" w14:textId="77777777" w:rsidTr="00387142">
        <w:trPr>
          <w:trHeight w:val="585"/>
        </w:trPr>
        <w:tc>
          <w:tcPr>
            <w:tcW w:w="3021" w:type="dxa"/>
            <w:tcBorders>
              <w:top w:val="single" w:sz="4" w:space="0" w:color="auto"/>
              <w:left w:val="single" w:sz="4" w:space="0" w:color="auto"/>
              <w:bottom w:val="nil"/>
              <w:right w:val="nil"/>
            </w:tcBorders>
            <w:shd w:val="clear" w:color="auto" w:fill="auto"/>
            <w:vAlign w:val="center"/>
            <w:hideMark/>
          </w:tcPr>
          <w:p w14:paraId="6A2DC17F" w14:textId="77777777" w:rsidR="00387142" w:rsidRPr="008B6A75" w:rsidRDefault="00387142" w:rsidP="00387142">
            <w:pPr>
              <w:rPr>
                <w:sz w:val="20"/>
                <w:szCs w:val="20"/>
              </w:rPr>
            </w:pPr>
            <w:r w:rsidRPr="008B6A75">
              <w:rPr>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nil"/>
              <w:right w:val="nil"/>
            </w:tcBorders>
            <w:shd w:val="clear" w:color="auto" w:fill="auto"/>
            <w:noWrap/>
            <w:vAlign w:val="center"/>
            <w:hideMark/>
          </w:tcPr>
          <w:p w14:paraId="78650D49" w14:textId="77777777" w:rsidR="00387142" w:rsidRPr="008B6A75" w:rsidRDefault="00387142" w:rsidP="00387142">
            <w:pPr>
              <w:jc w:val="center"/>
              <w:rPr>
                <w:sz w:val="20"/>
                <w:szCs w:val="20"/>
              </w:rPr>
            </w:pPr>
            <w:r w:rsidRPr="008B6A75">
              <w:rPr>
                <w:sz w:val="20"/>
                <w:szCs w:val="20"/>
              </w:rPr>
              <w:t>444</w:t>
            </w:r>
          </w:p>
        </w:tc>
        <w:tc>
          <w:tcPr>
            <w:tcW w:w="709" w:type="dxa"/>
            <w:tcBorders>
              <w:top w:val="single" w:sz="4" w:space="0" w:color="auto"/>
              <w:left w:val="single" w:sz="4" w:space="0" w:color="auto"/>
              <w:bottom w:val="nil"/>
              <w:right w:val="nil"/>
            </w:tcBorders>
            <w:shd w:val="clear" w:color="auto" w:fill="auto"/>
            <w:noWrap/>
            <w:vAlign w:val="center"/>
            <w:hideMark/>
          </w:tcPr>
          <w:p w14:paraId="57BB95CA" w14:textId="77777777" w:rsidR="00387142" w:rsidRPr="008B6A75" w:rsidRDefault="00387142" w:rsidP="00387142">
            <w:pPr>
              <w:jc w:val="center"/>
              <w:rPr>
                <w:sz w:val="20"/>
                <w:szCs w:val="20"/>
              </w:rPr>
            </w:pPr>
            <w:r w:rsidRPr="008B6A75">
              <w:rPr>
                <w:sz w:val="20"/>
                <w:szCs w:val="20"/>
              </w:rPr>
              <w:t>04</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526E525B" w14:textId="77777777" w:rsidR="00387142" w:rsidRPr="008B6A75" w:rsidRDefault="00387142" w:rsidP="00387142">
            <w:pPr>
              <w:jc w:val="center"/>
              <w:rPr>
                <w:sz w:val="20"/>
                <w:szCs w:val="20"/>
              </w:rPr>
            </w:pPr>
            <w:r w:rsidRPr="008B6A75">
              <w:rPr>
                <w:sz w:val="20"/>
                <w:szCs w:val="20"/>
              </w:rPr>
              <w:t>05</w:t>
            </w:r>
          </w:p>
        </w:tc>
        <w:tc>
          <w:tcPr>
            <w:tcW w:w="1411" w:type="dxa"/>
            <w:tcBorders>
              <w:top w:val="single" w:sz="4" w:space="0" w:color="auto"/>
              <w:left w:val="single" w:sz="4" w:space="0" w:color="auto"/>
              <w:bottom w:val="nil"/>
              <w:right w:val="nil"/>
            </w:tcBorders>
            <w:shd w:val="clear" w:color="auto" w:fill="auto"/>
            <w:noWrap/>
            <w:vAlign w:val="center"/>
            <w:hideMark/>
          </w:tcPr>
          <w:p w14:paraId="6D5A3D14" w14:textId="77777777" w:rsidR="00387142" w:rsidRPr="008B6A75" w:rsidRDefault="00387142" w:rsidP="00387142">
            <w:pPr>
              <w:jc w:val="center"/>
              <w:rPr>
                <w:sz w:val="20"/>
                <w:szCs w:val="20"/>
              </w:rPr>
            </w:pPr>
            <w:r w:rsidRPr="008B6A75">
              <w:rPr>
                <w:sz w:val="20"/>
                <w:szCs w:val="20"/>
              </w:rPr>
              <w:t>99.0.00.70160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39E6282B" w14:textId="77777777" w:rsidR="00387142" w:rsidRPr="008B6A75" w:rsidRDefault="00387142" w:rsidP="00387142">
            <w:pPr>
              <w:jc w:val="center"/>
              <w:rPr>
                <w:sz w:val="20"/>
                <w:szCs w:val="20"/>
              </w:rPr>
            </w:pPr>
            <w:r w:rsidRPr="008B6A75">
              <w:rPr>
                <w:sz w:val="20"/>
                <w:szCs w:val="20"/>
              </w:rPr>
              <w:t>200</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4D9FD5DB" w14:textId="77777777" w:rsidR="00387142" w:rsidRPr="008B6A75" w:rsidRDefault="00387142" w:rsidP="00387142">
            <w:pPr>
              <w:jc w:val="right"/>
              <w:rPr>
                <w:sz w:val="20"/>
                <w:szCs w:val="20"/>
              </w:rPr>
            </w:pPr>
            <w:r w:rsidRPr="008B6A75">
              <w:rPr>
                <w:sz w:val="20"/>
                <w:szCs w:val="20"/>
              </w:rPr>
              <w:t>728 300,00</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07DC2368" w14:textId="77777777" w:rsidR="00387142" w:rsidRPr="008B6A75" w:rsidRDefault="00387142" w:rsidP="00387142">
            <w:pPr>
              <w:jc w:val="right"/>
              <w:rPr>
                <w:sz w:val="20"/>
                <w:szCs w:val="20"/>
              </w:rPr>
            </w:pPr>
            <w:r w:rsidRPr="008B6A75">
              <w:rPr>
                <w:sz w:val="20"/>
                <w:szCs w:val="20"/>
              </w:rPr>
              <w:t>728 300,00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2346EF07" w14:textId="77777777" w:rsidR="00387142" w:rsidRPr="008B6A75" w:rsidRDefault="00387142" w:rsidP="00387142">
            <w:pPr>
              <w:jc w:val="right"/>
              <w:rPr>
                <w:sz w:val="20"/>
                <w:szCs w:val="20"/>
              </w:rPr>
            </w:pPr>
            <w:r w:rsidRPr="008B6A75">
              <w:rPr>
                <w:sz w:val="20"/>
                <w:szCs w:val="20"/>
              </w:rPr>
              <w:t>728 300,00</w:t>
            </w:r>
          </w:p>
        </w:tc>
        <w:tc>
          <w:tcPr>
            <w:tcW w:w="222" w:type="dxa"/>
            <w:vAlign w:val="center"/>
            <w:hideMark/>
          </w:tcPr>
          <w:p w14:paraId="734C9364" w14:textId="77777777" w:rsidR="00387142" w:rsidRPr="008B6A75" w:rsidRDefault="00387142" w:rsidP="00387142">
            <w:pPr>
              <w:rPr>
                <w:sz w:val="20"/>
                <w:szCs w:val="20"/>
              </w:rPr>
            </w:pPr>
          </w:p>
        </w:tc>
      </w:tr>
      <w:tr w:rsidR="00387142" w:rsidRPr="008B6A75" w14:paraId="47610400" w14:textId="77777777" w:rsidTr="00387142">
        <w:trPr>
          <w:trHeight w:val="870"/>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5699BE54" w14:textId="77777777" w:rsidR="00387142" w:rsidRPr="008B6A75" w:rsidRDefault="00387142" w:rsidP="00387142">
            <w:pPr>
              <w:rPr>
                <w:sz w:val="20"/>
                <w:szCs w:val="20"/>
              </w:rPr>
            </w:pPr>
            <w:r w:rsidRPr="008B6A75">
              <w:rPr>
                <w:sz w:val="20"/>
                <w:szCs w:val="20"/>
              </w:rPr>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63277395" w14:textId="77777777" w:rsidR="00387142" w:rsidRPr="008B6A75" w:rsidRDefault="00387142" w:rsidP="00387142">
            <w:pPr>
              <w:jc w:val="center"/>
              <w:rPr>
                <w:sz w:val="20"/>
                <w:szCs w:val="20"/>
              </w:rPr>
            </w:pPr>
            <w:r w:rsidRPr="008B6A75">
              <w:rPr>
                <w:sz w:val="20"/>
                <w:szCs w:val="20"/>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7B89F783" w14:textId="77777777" w:rsidR="00387142" w:rsidRPr="008B6A75" w:rsidRDefault="00387142" w:rsidP="00387142">
            <w:pPr>
              <w:jc w:val="center"/>
              <w:rPr>
                <w:sz w:val="20"/>
                <w:szCs w:val="20"/>
              </w:rPr>
            </w:pPr>
            <w:r w:rsidRPr="008B6A75">
              <w:rPr>
                <w:sz w:val="20"/>
                <w:szCs w:val="20"/>
              </w:rPr>
              <w:t>04</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E95B5E" w14:textId="77777777" w:rsidR="00387142" w:rsidRPr="008B6A75" w:rsidRDefault="00387142" w:rsidP="00387142">
            <w:pPr>
              <w:jc w:val="center"/>
              <w:rPr>
                <w:sz w:val="20"/>
                <w:szCs w:val="20"/>
              </w:rPr>
            </w:pPr>
            <w:r w:rsidRPr="008B6A75">
              <w:rPr>
                <w:sz w:val="20"/>
                <w:szCs w:val="20"/>
              </w:rPr>
              <w:t>05</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71630BDF" w14:textId="77777777" w:rsidR="00387142" w:rsidRPr="008B6A75" w:rsidRDefault="00387142" w:rsidP="00387142">
            <w:pPr>
              <w:jc w:val="center"/>
              <w:rPr>
                <w:sz w:val="20"/>
                <w:szCs w:val="20"/>
              </w:rPr>
            </w:pPr>
            <w:r w:rsidRPr="008B6A75">
              <w:rPr>
                <w:sz w:val="20"/>
                <w:szCs w:val="20"/>
              </w:rPr>
              <w:t>99.0.00.70160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CB6B69" w14:textId="77777777" w:rsidR="00387142" w:rsidRPr="008B6A75" w:rsidRDefault="00387142" w:rsidP="00387142">
            <w:pPr>
              <w:jc w:val="center"/>
              <w:rPr>
                <w:sz w:val="20"/>
                <w:szCs w:val="20"/>
              </w:rPr>
            </w:pPr>
            <w:r w:rsidRPr="008B6A75">
              <w:rPr>
                <w:sz w:val="20"/>
                <w:szCs w:val="20"/>
              </w:rPr>
              <w:t>240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E48FA9" w14:textId="77777777" w:rsidR="00387142" w:rsidRPr="008B6A75" w:rsidRDefault="00387142" w:rsidP="00387142">
            <w:pPr>
              <w:jc w:val="right"/>
              <w:rPr>
                <w:sz w:val="20"/>
                <w:szCs w:val="20"/>
              </w:rPr>
            </w:pPr>
            <w:r w:rsidRPr="008B6A75">
              <w:rPr>
                <w:sz w:val="20"/>
                <w:szCs w:val="20"/>
              </w:rPr>
              <w:t>728 300,00</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10680B42" w14:textId="77777777" w:rsidR="00387142" w:rsidRPr="008B6A75" w:rsidRDefault="00387142" w:rsidP="00387142">
            <w:pPr>
              <w:jc w:val="right"/>
              <w:rPr>
                <w:sz w:val="20"/>
                <w:szCs w:val="20"/>
              </w:rPr>
            </w:pPr>
            <w:r w:rsidRPr="008B6A75">
              <w:rPr>
                <w:sz w:val="20"/>
                <w:szCs w:val="20"/>
              </w:rPr>
              <w:t>728 300,00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8493AF" w14:textId="77777777" w:rsidR="00387142" w:rsidRPr="008B6A75" w:rsidRDefault="00387142" w:rsidP="00387142">
            <w:pPr>
              <w:jc w:val="right"/>
              <w:rPr>
                <w:sz w:val="20"/>
                <w:szCs w:val="20"/>
              </w:rPr>
            </w:pPr>
            <w:r w:rsidRPr="008B6A75">
              <w:rPr>
                <w:sz w:val="20"/>
                <w:szCs w:val="20"/>
              </w:rPr>
              <w:t>728 300,00</w:t>
            </w:r>
          </w:p>
        </w:tc>
        <w:tc>
          <w:tcPr>
            <w:tcW w:w="222" w:type="dxa"/>
            <w:vAlign w:val="center"/>
            <w:hideMark/>
          </w:tcPr>
          <w:p w14:paraId="33225699" w14:textId="77777777" w:rsidR="00387142" w:rsidRPr="008B6A75" w:rsidRDefault="00387142" w:rsidP="00387142">
            <w:pPr>
              <w:rPr>
                <w:sz w:val="20"/>
                <w:szCs w:val="20"/>
              </w:rPr>
            </w:pPr>
          </w:p>
        </w:tc>
      </w:tr>
      <w:tr w:rsidR="00387142" w:rsidRPr="008B6A75" w14:paraId="48D006F2" w14:textId="77777777" w:rsidTr="00387142">
        <w:trPr>
          <w:trHeight w:val="300"/>
        </w:trPr>
        <w:tc>
          <w:tcPr>
            <w:tcW w:w="3021" w:type="dxa"/>
            <w:tcBorders>
              <w:top w:val="nil"/>
              <w:left w:val="single" w:sz="4" w:space="0" w:color="auto"/>
              <w:bottom w:val="nil"/>
              <w:right w:val="nil"/>
            </w:tcBorders>
            <w:shd w:val="clear" w:color="auto" w:fill="auto"/>
            <w:vAlign w:val="center"/>
            <w:hideMark/>
          </w:tcPr>
          <w:p w14:paraId="6FE34B5D" w14:textId="77777777" w:rsidR="00387142" w:rsidRPr="008B6A75" w:rsidRDefault="00387142" w:rsidP="00387142">
            <w:pPr>
              <w:rPr>
                <w:bCs/>
                <w:sz w:val="20"/>
                <w:szCs w:val="20"/>
              </w:rPr>
            </w:pPr>
            <w:r w:rsidRPr="008B6A75">
              <w:rPr>
                <w:bCs/>
                <w:sz w:val="20"/>
                <w:szCs w:val="20"/>
              </w:rPr>
              <w:t>Водное хозяйство</w:t>
            </w:r>
          </w:p>
        </w:tc>
        <w:tc>
          <w:tcPr>
            <w:tcW w:w="850" w:type="dxa"/>
            <w:tcBorders>
              <w:top w:val="nil"/>
              <w:left w:val="single" w:sz="4" w:space="0" w:color="auto"/>
              <w:bottom w:val="nil"/>
              <w:right w:val="nil"/>
            </w:tcBorders>
            <w:shd w:val="clear" w:color="auto" w:fill="auto"/>
            <w:noWrap/>
            <w:vAlign w:val="center"/>
            <w:hideMark/>
          </w:tcPr>
          <w:p w14:paraId="7DCF270B" w14:textId="77777777" w:rsidR="00387142" w:rsidRPr="008B6A75" w:rsidRDefault="00387142" w:rsidP="00387142">
            <w:pPr>
              <w:jc w:val="center"/>
              <w:rPr>
                <w:bCs/>
                <w:sz w:val="20"/>
                <w:szCs w:val="20"/>
              </w:rPr>
            </w:pPr>
            <w:r w:rsidRPr="008B6A75">
              <w:rPr>
                <w:bCs/>
                <w:sz w:val="20"/>
                <w:szCs w:val="20"/>
              </w:rPr>
              <w:t>444</w:t>
            </w:r>
          </w:p>
        </w:tc>
        <w:tc>
          <w:tcPr>
            <w:tcW w:w="709" w:type="dxa"/>
            <w:tcBorders>
              <w:top w:val="nil"/>
              <w:left w:val="single" w:sz="4" w:space="0" w:color="auto"/>
              <w:bottom w:val="nil"/>
              <w:right w:val="nil"/>
            </w:tcBorders>
            <w:shd w:val="clear" w:color="auto" w:fill="auto"/>
            <w:noWrap/>
            <w:vAlign w:val="center"/>
            <w:hideMark/>
          </w:tcPr>
          <w:p w14:paraId="0F19BF5E" w14:textId="77777777" w:rsidR="00387142" w:rsidRPr="008B6A75" w:rsidRDefault="00387142" w:rsidP="00387142">
            <w:pPr>
              <w:jc w:val="center"/>
              <w:rPr>
                <w:bCs/>
                <w:sz w:val="20"/>
                <w:szCs w:val="20"/>
              </w:rPr>
            </w:pPr>
            <w:r w:rsidRPr="008B6A75">
              <w:rPr>
                <w:bCs/>
                <w:sz w:val="20"/>
                <w:szCs w:val="20"/>
              </w:rPr>
              <w:t>04</w:t>
            </w:r>
          </w:p>
        </w:tc>
        <w:tc>
          <w:tcPr>
            <w:tcW w:w="709" w:type="dxa"/>
            <w:tcBorders>
              <w:top w:val="nil"/>
              <w:left w:val="single" w:sz="4" w:space="0" w:color="auto"/>
              <w:bottom w:val="nil"/>
              <w:right w:val="single" w:sz="4" w:space="0" w:color="auto"/>
            </w:tcBorders>
            <w:shd w:val="clear" w:color="auto" w:fill="auto"/>
            <w:noWrap/>
            <w:vAlign w:val="center"/>
            <w:hideMark/>
          </w:tcPr>
          <w:p w14:paraId="69CF420D" w14:textId="77777777" w:rsidR="00387142" w:rsidRPr="008B6A75" w:rsidRDefault="00387142" w:rsidP="00387142">
            <w:pPr>
              <w:jc w:val="center"/>
              <w:rPr>
                <w:bCs/>
                <w:sz w:val="20"/>
                <w:szCs w:val="20"/>
              </w:rPr>
            </w:pPr>
            <w:r w:rsidRPr="008B6A75">
              <w:rPr>
                <w:bCs/>
                <w:sz w:val="20"/>
                <w:szCs w:val="20"/>
              </w:rPr>
              <w:t>06</w:t>
            </w:r>
          </w:p>
        </w:tc>
        <w:tc>
          <w:tcPr>
            <w:tcW w:w="1411" w:type="dxa"/>
            <w:tcBorders>
              <w:top w:val="nil"/>
              <w:left w:val="single" w:sz="4" w:space="0" w:color="auto"/>
              <w:bottom w:val="nil"/>
              <w:right w:val="nil"/>
            </w:tcBorders>
            <w:shd w:val="clear" w:color="auto" w:fill="auto"/>
            <w:noWrap/>
            <w:vAlign w:val="center"/>
            <w:hideMark/>
          </w:tcPr>
          <w:p w14:paraId="4F25E2CF" w14:textId="77777777" w:rsidR="00387142" w:rsidRPr="008B6A75" w:rsidRDefault="00387142" w:rsidP="00387142">
            <w:pPr>
              <w:jc w:val="center"/>
              <w:rPr>
                <w:bCs/>
                <w:sz w:val="20"/>
                <w:szCs w:val="20"/>
              </w:rPr>
            </w:pPr>
            <w:r w:rsidRPr="008B6A75">
              <w:rPr>
                <w:bCs/>
                <w:sz w:val="20"/>
                <w:szCs w:val="20"/>
              </w:rPr>
              <w:t> </w:t>
            </w:r>
          </w:p>
        </w:tc>
        <w:tc>
          <w:tcPr>
            <w:tcW w:w="955" w:type="dxa"/>
            <w:tcBorders>
              <w:top w:val="nil"/>
              <w:left w:val="single" w:sz="4" w:space="0" w:color="auto"/>
              <w:bottom w:val="nil"/>
              <w:right w:val="single" w:sz="4" w:space="0" w:color="auto"/>
            </w:tcBorders>
            <w:shd w:val="clear" w:color="auto" w:fill="auto"/>
            <w:noWrap/>
            <w:vAlign w:val="center"/>
            <w:hideMark/>
          </w:tcPr>
          <w:p w14:paraId="7B7B033A"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nil"/>
              <w:right w:val="single" w:sz="4" w:space="0" w:color="auto"/>
            </w:tcBorders>
            <w:shd w:val="clear" w:color="auto" w:fill="auto"/>
            <w:noWrap/>
            <w:vAlign w:val="center"/>
            <w:hideMark/>
          </w:tcPr>
          <w:p w14:paraId="3937B4B8" w14:textId="77777777" w:rsidR="00387142" w:rsidRPr="008B6A75" w:rsidRDefault="00387142" w:rsidP="00387142">
            <w:pPr>
              <w:jc w:val="right"/>
              <w:rPr>
                <w:bCs/>
                <w:sz w:val="20"/>
                <w:szCs w:val="20"/>
              </w:rPr>
            </w:pPr>
            <w:r w:rsidRPr="008B6A75">
              <w:rPr>
                <w:bCs/>
                <w:sz w:val="20"/>
                <w:szCs w:val="20"/>
              </w:rPr>
              <w:t>2 000 000,00</w:t>
            </w:r>
          </w:p>
        </w:tc>
        <w:tc>
          <w:tcPr>
            <w:tcW w:w="992" w:type="dxa"/>
            <w:gridSpan w:val="2"/>
            <w:tcBorders>
              <w:top w:val="nil"/>
              <w:left w:val="single" w:sz="4" w:space="0" w:color="auto"/>
              <w:bottom w:val="nil"/>
              <w:right w:val="nil"/>
            </w:tcBorders>
            <w:shd w:val="clear" w:color="auto" w:fill="auto"/>
            <w:noWrap/>
            <w:vAlign w:val="center"/>
            <w:hideMark/>
          </w:tcPr>
          <w:p w14:paraId="291CB902" w14:textId="77777777" w:rsidR="00387142" w:rsidRPr="008B6A75" w:rsidRDefault="00387142" w:rsidP="00387142">
            <w:pPr>
              <w:jc w:val="right"/>
              <w:rPr>
                <w:bCs/>
                <w:sz w:val="20"/>
                <w:szCs w:val="20"/>
              </w:rPr>
            </w:pPr>
            <w:r w:rsidRPr="008B6A75">
              <w:rPr>
                <w:bCs/>
                <w:sz w:val="20"/>
                <w:szCs w:val="20"/>
              </w:rPr>
              <w:t>0,00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4DF2441D" w14:textId="77777777" w:rsidR="00387142" w:rsidRPr="008B6A75" w:rsidRDefault="00387142" w:rsidP="00387142">
            <w:pPr>
              <w:jc w:val="right"/>
              <w:rPr>
                <w:bCs/>
                <w:sz w:val="20"/>
                <w:szCs w:val="20"/>
              </w:rPr>
            </w:pPr>
            <w:r w:rsidRPr="008B6A75">
              <w:rPr>
                <w:bCs/>
                <w:sz w:val="20"/>
                <w:szCs w:val="20"/>
              </w:rPr>
              <w:t>0,00</w:t>
            </w:r>
          </w:p>
        </w:tc>
        <w:tc>
          <w:tcPr>
            <w:tcW w:w="222" w:type="dxa"/>
            <w:vAlign w:val="center"/>
            <w:hideMark/>
          </w:tcPr>
          <w:p w14:paraId="622BE3D3" w14:textId="77777777" w:rsidR="00387142" w:rsidRPr="008B6A75" w:rsidRDefault="00387142" w:rsidP="00387142">
            <w:pPr>
              <w:rPr>
                <w:sz w:val="20"/>
                <w:szCs w:val="20"/>
              </w:rPr>
            </w:pPr>
          </w:p>
        </w:tc>
      </w:tr>
      <w:tr w:rsidR="00387142" w:rsidRPr="008B6A75" w14:paraId="1DB858A9" w14:textId="77777777" w:rsidTr="00387142">
        <w:trPr>
          <w:trHeight w:val="870"/>
        </w:trPr>
        <w:tc>
          <w:tcPr>
            <w:tcW w:w="3021" w:type="dxa"/>
            <w:tcBorders>
              <w:top w:val="single" w:sz="4" w:space="0" w:color="auto"/>
              <w:left w:val="single" w:sz="4" w:space="0" w:color="auto"/>
              <w:bottom w:val="nil"/>
              <w:right w:val="nil"/>
            </w:tcBorders>
            <w:shd w:val="clear" w:color="auto" w:fill="auto"/>
            <w:vAlign w:val="center"/>
            <w:hideMark/>
          </w:tcPr>
          <w:p w14:paraId="6FA73DF7" w14:textId="77777777" w:rsidR="00387142" w:rsidRPr="008B6A75" w:rsidRDefault="00387142" w:rsidP="00387142">
            <w:pPr>
              <w:rPr>
                <w:bCs/>
                <w:sz w:val="20"/>
                <w:szCs w:val="20"/>
              </w:rPr>
            </w:pPr>
            <w:r w:rsidRPr="008B6A75">
              <w:rPr>
                <w:bCs/>
                <w:sz w:val="20"/>
                <w:szCs w:val="20"/>
              </w:rPr>
              <w:t>Муниципальная программа "Охрана окружающей среды Куйбышевского района Новосибирской области"</w:t>
            </w:r>
          </w:p>
        </w:tc>
        <w:tc>
          <w:tcPr>
            <w:tcW w:w="850" w:type="dxa"/>
            <w:tcBorders>
              <w:top w:val="single" w:sz="4" w:space="0" w:color="auto"/>
              <w:left w:val="single" w:sz="4" w:space="0" w:color="auto"/>
              <w:bottom w:val="nil"/>
              <w:right w:val="nil"/>
            </w:tcBorders>
            <w:shd w:val="clear" w:color="auto" w:fill="auto"/>
            <w:noWrap/>
            <w:vAlign w:val="center"/>
            <w:hideMark/>
          </w:tcPr>
          <w:p w14:paraId="7E011494" w14:textId="77777777" w:rsidR="00387142" w:rsidRPr="008B6A75" w:rsidRDefault="00387142" w:rsidP="00387142">
            <w:pPr>
              <w:jc w:val="center"/>
              <w:rPr>
                <w:bCs/>
                <w:sz w:val="20"/>
                <w:szCs w:val="20"/>
              </w:rPr>
            </w:pPr>
            <w:r w:rsidRPr="008B6A75">
              <w:rPr>
                <w:bCs/>
                <w:sz w:val="20"/>
                <w:szCs w:val="20"/>
              </w:rPr>
              <w:t>444</w:t>
            </w:r>
          </w:p>
        </w:tc>
        <w:tc>
          <w:tcPr>
            <w:tcW w:w="709" w:type="dxa"/>
            <w:tcBorders>
              <w:top w:val="single" w:sz="4" w:space="0" w:color="auto"/>
              <w:left w:val="single" w:sz="4" w:space="0" w:color="auto"/>
              <w:bottom w:val="nil"/>
              <w:right w:val="nil"/>
            </w:tcBorders>
            <w:shd w:val="clear" w:color="auto" w:fill="auto"/>
            <w:noWrap/>
            <w:vAlign w:val="center"/>
            <w:hideMark/>
          </w:tcPr>
          <w:p w14:paraId="0A7F68AE" w14:textId="77777777" w:rsidR="00387142" w:rsidRPr="008B6A75" w:rsidRDefault="00387142" w:rsidP="00387142">
            <w:pPr>
              <w:jc w:val="center"/>
              <w:rPr>
                <w:bCs/>
                <w:sz w:val="20"/>
                <w:szCs w:val="20"/>
              </w:rPr>
            </w:pPr>
            <w:r w:rsidRPr="008B6A75">
              <w:rPr>
                <w:bCs/>
                <w:sz w:val="20"/>
                <w:szCs w:val="20"/>
              </w:rPr>
              <w:t>04</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54DF98E0" w14:textId="77777777" w:rsidR="00387142" w:rsidRPr="008B6A75" w:rsidRDefault="00387142" w:rsidP="00387142">
            <w:pPr>
              <w:jc w:val="center"/>
              <w:rPr>
                <w:bCs/>
                <w:sz w:val="20"/>
                <w:szCs w:val="20"/>
              </w:rPr>
            </w:pPr>
            <w:r w:rsidRPr="008B6A75">
              <w:rPr>
                <w:bCs/>
                <w:sz w:val="20"/>
                <w:szCs w:val="20"/>
              </w:rPr>
              <w:t>06</w:t>
            </w:r>
          </w:p>
        </w:tc>
        <w:tc>
          <w:tcPr>
            <w:tcW w:w="1411" w:type="dxa"/>
            <w:tcBorders>
              <w:top w:val="single" w:sz="4" w:space="0" w:color="auto"/>
              <w:left w:val="single" w:sz="4" w:space="0" w:color="auto"/>
              <w:bottom w:val="nil"/>
              <w:right w:val="nil"/>
            </w:tcBorders>
            <w:shd w:val="clear" w:color="auto" w:fill="auto"/>
            <w:noWrap/>
            <w:vAlign w:val="center"/>
            <w:hideMark/>
          </w:tcPr>
          <w:p w14:paraId="20F8B606" w14:textId="77777777" w:rsidR="00387142" w:rsidRPr="008B6A75" w:rsidRDefault="00387142" w:rsidP="00387142">
            <w:pPr>
              <w:jc w:val="center"/>
              <w:rPr>
                <w:bCs/>
                <w:sz w:val="20"/>
                <w:szCs w:val="20"/>
              </w:rPr>
            </w:pPr>
            <w:r w:rsidRPr="008B6A75">
              <w:rPr>
                <w:bCs/>
                <w:sz w:val="20"/>
                <w:szCs w:val="20"/>
              </w:rPr>
              <w:t>12.0.00.00000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006BC632" w14:textId="77777777" w:rsidR="00387142" w:rsidRPr="008B6A75" w:rsidRDefault="00387142" w:rsidP="00387142">
            <w:pPr>
              <w:jc w:val="center"/>
              <w:rPr>
                <w:bCs/>
                <w:sz w:val="20"/>
                <w:szCs w:val="20"/>
              </w:rPr>
            </w:pPr>
            <w:r w:rsidRPr="008B6A75">
              <w:rPr>
                <w:bCs/>
                <w:sz w:val="20"/>
                <w:szCs w:val="20"/>
              </w:rPr>
              <w:t> </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419F209D" w14:textId="77777777" w:rsidR="00387142" w:rsidRPr="008B6A75" w:rsidRDefault="00387142" w:rsidP="00387142">
            <w:pPr>
              <w:jc w:val="right"/>
              <w:rPr>
                <w:bCs/>
                <w:sz w:val="20"/>
                <w:szCs w:val="20"/>
              </w:rPr>
            </w:pPr>
            <w:r w:rsidRPr="008B6A75">
              <w:rPr>
                <w:bCs/>
                <w:sz w:val="20"/>
                <w:szCs w:val="20"/>
              </w:rPr>
              <w:t>2 000 000,00</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10B30693" w14:textId="77777777" w:rsidR="00387142" w:rsidRPr="008B6A75" w:rsidRDefault="00387142" w:rsidP="00387142">
            <w:pPr>
              <w:jc w:val="right"/>
              <w:rPr>
                <w:bCs/>
                <w:sz w:val="20"/>
                <w:szCs w:val="20"/>
              </w:rPr>
            </w:pPr>
            <w:r w:rsidRPr="008B6A75">
              <w:rPr>
                <w:bCs/>
                <w:sz w:val="20"/>
                <w:szCs w:val="20"/>
              </w:rPr>
              <w:t>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3F0FE4AF" w14:textId="77777777" w:rsidR="00387142" w:rsidRPr="008B6A75" w:rsidRDefault="00387142" w:rsidP="00387142">
            <w:pPr>
              <w:jc w:val="right"/>
              <w:rPr>
                <w:bCs/>
                <w:sz w:val="20"/>
                <w:szCs w:val="20"/>
              </w:rPr>
            </w:pPr>
            <w:r w:rsidRPr="008B6A75">
              <w:rPr>
                <w:bCs/>
                <w:sz w:val="20"/>
                <w:szCs w:val="20"/>
              </w:rPr>
              <w:t>0,00</w:t>
            </w:r>
          </w:p>
        </w:tc>
        <w:tc>
          <w:tcPr>
            <w:tcW w:w="222" w:type="dxa"/>
            <w:vAlign w:val="center"/>
            <w:hideMark/>
          </w:tcPr>
          <w:p w14:paraId="5FC4D8A7" w14:textId="77777777" w:rsidR="00387142" w:rsidRPr="008B6A75" w:rsidRDefault="00387142" w:rsidP="00387142">
            <w:pPr>
              <w:rPr>
                <w:sz w:val="20"/>
                <w:szCs w:val="20"/>
              </w:rPr>
            </w:pPr>
          </w:p>
        </w:tc>
      </w:tr>
      <w:tr w:rsidR="00387142" w:rsidRPr="008B6A75" w14:paraId="642C31CA" w14:textId="77777777" w:rsidTr="00387142">
        <w:trPr>
          <w:trHeight w:val="1725"/>
        </w:trPr>
        <w:tc>
          <w:tcPr>
            <w:tcW w:w="3021" w:type="dxa"/>
            <w:tcBorders>
              <w:top w:val="single" w:sz="4" w:space="0" w:color="auto"/>
              <w:left w:val="single" w:sz="4" w:space="0" w:color="auto"/>
              <w:bottom w:val="nil"/>
              <w:right w:val="nil"/>
            </w:tcBorders>
            <w:shd w:val="clear" w:color="auto" w:fill="auto"/>
            <w:vAlign w:val="center"/>
            <w:hideMark/>
          </w:tcPr>
          <w:p w14:paraId="442E04A4" w14:textId="77777777" w:rsidR="00387142" w:rsidRPr="008B6A75" w:rsidRDefault="00387142" w:rsidP="00387142">
            <w:pPr>
              <w:rPr>
                <w:bCs/>
                <w:sz w:val="20"/>
                <w:szCs w:val="20"/>
              </w:rPr>
            </w:pPr>
            <w:r w:rsidRPr="008B6A75">
              <w:rPr>
                <w:bCs/>
                <w:sz w:val="20"/>
                <w:szCs w:val="20"/>
              </w:rPr>
              <w:t xml:space="preserve">Реализация </w:t>
            </w:r>
            <w:proofErr w:type="spellStart"/>
            <w:r w:rsidRPr="008B6A75">
              <w:rPr>
                <w:bCs/>
                <w:sz w:val="20"/>
                <w:szCs w:val="20"/>
              </w:rPr>
              <w:t>мероприятиий</w:t>
            </w:r>
            <w:proofErr w:type="spellEnd"/>
            <w:r w:rsidRPr="008B6A75">
              <w:rPr>
                <w:bCs/>
                <w:sz w:val="20"/>
                <w:szCs w:val="20"/>
              </w:rPr>
              <w:t xml:space="preserve"> на поддержание безопасного технического состояния гидротехнических сооружений Новосибирской области государственной программы Новосибирской области "Охрана окружающей среды"</w:t>
            </w:r>
          </w:p>
        </w:tc>
        <w:tc>
          <w:tcPr>
            <w:tcW w:w="850" w:type="dxa"/>
            <w:tcBorders>
              <w:top w:val="single" w:sz="4" w:space="0" w:color="auto"/>
              <w:left w:val="single" w:sz="4" w:space="0" w:color="auto"/>
              <w:bottom w:val="nil"/>
              <w:right w:val="nil"/>
            </w:tcBorders>
            <w:shd w:val="clear" w:color="auto" w:fill="auto"/>
            <w:noWrap/>
            <w:vAlign w:val="center"/>
            <w:hideMark/>
          </w:tcPr>
          <w:p w14:paraId="3474D8BA" w14:textId="77777777" w:rsidR="00387142" w:rsidRPr="008B6A75" w:rsidRDefault="00387142" w:rsidP="00387142">
            <w:pPr>
              <w:jc w:val="center"/>
              <w:rPr>
                <w:bCs/>
                <w:sz w:val="20"/>
                <w:szCs w:val="20"/>
              </w:rPr>
            </w:pPr>
            <w:r w:rsidRPr="008B6A75">
              <w:rPr>
                <w:bCs/>
                <w:sz w:val="20"/>
                <w:szCs w:val="20"/>
              </w:rPr>
              <w:t>444</w:t>
            </w:r>
          </w:p>
        </w:tc>
        <w:tc>
          <w:tcPr>
            <w:tcW w:w="709" w:type="dxa"/>
            <w:tcBorders>
              <w:top w:val="single" w:sz="4" w:space="0" w:color="auto"/>
              <w:left w:val="single" w:sz="4" w:space="0" w:color="auto"/>
              <w:bottom w:val="nil"/>
              <w:right w:val="nil"/>
            </w:tcBorders>
            <w:shd w:val="clear" w:color="auto" w:fill="auto"/>
            <w:noWrap/>
            <w:vAlign w:val="center"/>
            <w:hideMark/>
          </w:tcPr>
          <w:p w14:paraId="01AB268D" w14:textId="77777777" w:rsidR="00387142" w:rsidRPr="008B6A75" w:rsidRDefault="00387142" w:rsidP="00387142">
            <w:pPr>
              <w:jc w:val="center"/>
              <w:rPr>
                <w:bCs/>
                <w:sz w:val="20"/>
                <w:szCs w:val="20"/>
              </w:rPr>
            </w:pPr>
            <w:r w:rsidRPr="008B6A75">
              <w:rPr>
                <w:bCs/>
                <w:sz w:val="20"/>
                <w:szCs w:val="20"/>
              </w:rPr>
              <w:t>04</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1DF28D92" w14:textId="77777777" w:rsidR="00387142" w:rsidRPr="008B6A75" w:rsidRDefault="00387142" w:rsidP="00387142">
            <w:pPr>
              <w:jc w:val="center"/>
              <w:rPr>
                <w:bCs/>
                <w:sz w:val="20"/>
                <w:szCs w:val="20"/>
              </w:rPr>
            </w:pPr>
            <w:r w:rsidRPr="008B6A75">
              <w:rPr>
                <w:bCs/>
                <w:sz w:val="20"/>
                <w:szCs w:val="20"/>
              </w:rPr>
              <w:t>06</w:t>
            </w:r>
          </w:p>
        </w:tc>
        <w:tc>
          <w:tcPr>
            <w:tcW w:w="1411" w:type="dxa"/>
            <w:tcBorders>
              <w:top w:val="single" w:sz="4" w:space="0" w:color="auto"/>
              <w:left w:val="single" w:sz="4" w:space="0" w:color="auto"/>
              <w:bottom w:val="nil"/>
              <w:right w:val="nil"/>
            </w:tcBorders>
            <w:shd w:val="clear" w:color="auto" w:fill="auto"/>
            <w:noWrap/>
            <w:vAlign w:val="center"/>
            <w:hideMark/>
          </w:tcPr>
          <w:p w14:paraId="7D2DE32B" w14:textId="77777777" w:rsidR="00387142" w:rsidRPr="008B6A75" w:rsidRDefault="00387142" w:rsidP="00387142">
            <w:pPr>
              <w:jc w:val="center"/>
              <w:rPr>
                <w:bCs/>
                <w:sz w:val="20"/>
                <w:szCs w:val="20"/>
              </w:rPr>
            </w:pPr>
            <w:r w:rsidRPr="008B6A75">
              <w:rPr>
                <w:bCs/>
                <w:sz w:val="20"/>
                <w:szCs w:val="20"/>
              </w:rPr>
              <w:t>12.0.00.70860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6470E440" w14:textId="77777777" w:rsidR="00387142" w:rsidRPr="008B6A75" w:rsidRDefault="00387142" w:rsidP="00387142">
            <w:pPr>
              <w:jc w:val="center"/>
              <w:rPr>
                <w:bCs/>
                <w:sz w:val="20"/>
                <w:szCs w:val="20"/>
              </w:rPr>
            </w:pPr>
            <w:r w:rsidRPr="008B6A75">
              <w:rPr>
                <w:bCs/>
                <w:sz w:val="20"/>
                <w:szCs w:val="20"/>
              </w:rPr>
              <w:t> </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59F1605D" w14:textId="77777777" w:rsidR="00387142" w:rsidRPr="008B6A75" w:rsidRDefault="00387142" w:rsidP="00387142">
            <w:pPr>
              <w:jc w:val="right"/>
              <w:rPr>
                <w:bCs/>
                <w:sz w:val="20"/>
                <w:szCs w:val="20"/>
              </w:rPr>
            </w:pPr>
            <w:r w:rsidRPr="008B6A75">
              <w:rPr>
                <w:bCs/>
                <w:sz w:val="20"/>
                <w:szCs w:val="20"/>
              </w:rPr>
              <w:t>2 000 000,00</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1C0AA5F5" w14:textId="77777777" w:rsidR="00387142" w:rsidRPr="008B6A75" w:rsidRDefault="00387142" w:rsidP="00387142">
            <w:pPr>
              <w:jc w:val="right"/>
              <w:rPr>
                <w:bCs/>
                <w:sz w:val="20"/>
                <w:szCs w:val="20"/>
              </w:rPr>
            </w:pPr>
            <w:r w:rsidRPr="008B6A75">
              <w:rPr>
                <w:bCs/>
                <w:sz w:val="20"/>
                <w:szCs w:val="20"/>
              </w:rPr>
              <w:t>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5F8D5722" w14:textId="77777777" w:rsidR="00387142" w:rsidRPr="008B6A75" w:rsidRDefault="00387142" w:rsidP="00387142">
            <w:pPr>
              <w:jc w:val="right"/>
              <w:rPr>
                <w:bCs/>
                <w:sz w:val="20"/>
                <w:szCs w:val="20"/>
              </w:rPr>
            </w:pPr>
            <w:r w:rsidRPr="008B6A75">
              <w:rPr>
                <w:bCs/>
                <w:sz w:val="20"/>
                <w:szCs w:val="20"/>
              </w:rPr>
              <w:t>0,00</w:t>
            </w:r>
          </w:p>
        </w:tc>
        <w:tc>
          <w:tcPr>
            <w:tcW w:w="222" w:type="dxa"/>
            <w:vAlign w:val="center"/>
            <w:hideMark/>
          </w:tcPr>
          <w:p w14:paraId="4C5496DB" w14:textId="77777777" w:rsidR="00387142" w:rsidRPr="008B6A75" w:rsidRDefault="00387142" w:rsidP="00387142">
            <w:pPr>
              <w:rPr>
                <w:sz w:val="20"/>
                <w:szCs w:val="20"/>
              </w:rPr>
            </w:pPr>
          </w:p>
        </w:tc>
      </w:tr>
      <w:tr w:rsidR="00387142" w:rsidRPr="008B6A75" w14:paraId="02632B1E" w14:textId="77777777" w:rsidTr="00387142">
        <w:trPr>
          <w:trHeight w:val="300"/>
        </w:trPr>
        <w:tc>
          <w:tcPr>
            <w:tcW w:w="3021" w:type="dxa"/>
            <w:tcBorders>
              <w:top w:val="single" w:sz="4" w:space="0" w:color="auto"/>
              <w:left w:val="single" w:sz="4" w:space="0" w:color="auto"/>
              <w:bottom w:val="nil"/>
              <w:right w:val="nil"/>
            </w:tcBorders>
            <w:shd w:val="clear" w:color="auto" w:fill="auto"/>
            <w:vAlign w:val="center"/>
            <w:hideMark/>
          </w:tcPr>
          <w:p w14:paraId="0E7EF13F" w14:textId="77777777" w:rsidR="00387142" w:rsidRPr="008B6A75" w:rsidRDefault="00387142" w:rsidP="00387142">
            <w:pPr>
              <w:rPr>
                <w:sz w:val="20"/>
                <w:szCs w:val="20"/>
              </w:rPr>
            </w:pPr>
            <w:r w:rsidRPr="008B6A75">
              <w:rPr>
                <w:sz w:val="20"/>
                <w:szCs w:val="20"/>
              </w:rPr>
              <w:t>Межбюджетные трансферты</w:t>
            </w:r>
          </w:p>
        </w:tc>
        <w:tc>
          <w:tcPr>
            <w:tcW w:w="850" w:type="dxa"/>
            <w:tcBorders>
              <w:top w:val="single" w:sz="4" w:space="0" w:color="auto"/>
              <w:left w:val="single" w:sz="4" w:space="0" w:color="auto"/>
              <w:bottom w:val="nil"/>
              <w:right w:val="nil"/>
            </w:tcBorders>
            <w:shd w:val="clear" w:color="auto" w:fill="auto"/>
            <w:noWrap/>
            <w:vAlign w:val="center"/>
            <w:hideMark/>
          </w:tcPr>
          <w:p w14:paraId="36F9AFB7" w14:textId="77777777" w:rsidR="00387142" w:rsidRPr="008B6A75" w:rsidRDefault="00387142" w:rsidP="00387142">
            <w:pPr>
              <w:jc w:val="center"/>
              <w:rPr>
                <w:sz w:val="20"/>
                <w:szCs w:val="20"/>
              </w:rPr>
            </w:pPr>
            <w:r w:rsidRPr="008B6A75">
              <w:rPr>
                <w:sz w:val="20"/>
                <w:szCs w:val="20"/>
              </w:rPr>
              <w:t>444</w:t>
            </w:r>
          </w:p>
        </w:tc>
        <w:tc>
          <w:tcPr>
            <w:tcW w:w="709" w:type="dxa"/>
            <w:tcBorders>
              <w:top w:val="single" w:sz="4" w:space="0" w:color="auto"/>
              <w:left w:val="single" w:sz="4" w:space="0" w:color="auto"/>
              <w:bottom w:val="nil"/>
              <w:right w:val="nil"/>
            </w:tcBorders>
            <w:shd w:val="clear" w:color="auto" w:fill="auto"/>
            <w:noWrap/>
            <w:vAlign w:val="center"/>
            <w:hideMark/>
          </w:tcPr>
          <w:p w14:paraId="23D6D14E" w14:textId="77777777" w:rsidR="00387142" w:rsidRPr="008B6A75" w:rsidRDefault="00387142" w:rsidP="00387142">
            <w:pPr>
              <w:jc w:val="center"/>
              <w:rPr>
                <w:sz w:val="20"/>
                <w:szCs w:val="20"/>
              </w:rPr>
            </w:pPr>
            <w:r w:rsidRPr="008B6A75">
              <w:rPr>
                <w:sz w:val="20"/>
                <w:szCs w:val="20"/>
              </w:rPr>
              <w:t>04</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03285E4E" w14:textId="77777777" w:rsidR="00387142" w:rsidRPr="008B6A75" w:rsidRDefault="00387142" w:rsidP="00387142">
            <w:pPr>
              <w:jc w:val="center"/>
              <w:rPr>
                <w:sz w:val="20"/>
                <w:szCs w:val="20"/>
              </w:rPr>
            </w:pPr>
            <w:r w:rsidRPr="008B6A75">
              <w:rPr>
                <w:sz w:val="20"/>
                <w:szCs w:val="20"/>
              </w:rPr>
              <w:t>06</w:t>
            </w:r>
          </w:p>
        </w:tc>
        <w:tc>
          <w:tcPr>
            <w:tcW w:w="1411" w:type="dxa"/>
            <w:tcBorders>
              <w:top w:val="single" w:sz="4" w:space="0" w:color="auto"/>
              <w:left w:val="single" w:sz="4" w:space="0" w:color="auto"/>
              <w:bottom w:val="nil"/>
              <w:right w:val="nil"/>
            </w:tcBorders>
            <w:shd w:val="clear" w:color="auto" w:fill="auto"/>
            <w:noWrap/>
            <w:vAlign w:val="center"/>
            <w:hideMark/>
          </w:tcPr>
          <w:p w14:paraId="3EB675F5" w14:textId="77777777" w:rsidR="00387142" w:rsidRPr="008B6A75" w:rsidRDefault="00387142" w:rsidP="00387142">
            <w:pPr>
              <w:jc w:val="center"/>
              <w:rPr>
                <w:sz w:val="20"/>
                <w:szCs w:val="20"/>
              </w:rPr>
            </w:pPr>
            <w:r w:rsidRPr="008B6A75">
              <w:rPr>
                <w:sz w:val="20"/>
                <w:szCs w:val="20"/>
              </w:rPr>
              <w:t>12.0.00.70860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78D80481" w14:textId="77777777" w:rsidR="00387142" w:rsidRPr="008B6A75" w:rsidRDefault="00387142" w:rsidP="00387142">
            <w:pPr>
              <w:jc w:val="center"/>
              <w:rPr>
                <w:sz w:val="20"/>
                <w:szCs w:val="20"/>
              </w:rPr>
            </w:pPr>
            <w:r w:rsidRPr="008B6A75">
              <w:rPr>
                <w:sz w:val="20"/>
                <w:szCs w:val="20"/>
              </w:rPr>
              <w:t>500</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1231CB2B" w14:textId="77777777" w:rsidR="00387142" w:rsidRPr="008B6A75" w:rsidRDefault="00387142" w:rsidP="00387142">
            <w:pPr>
              <w:jc w:val="right"/>
              <w:rPr>
                <w:sz w:val="20"/>
                <w:szCs w:val="20"/>
              </w:rPr>
            </w:pPr>
            <w:r w:rsidRPr="008B6A75">
              <w:rPr>
                <w:sz w:val="20"/>
                <w:szCs w:val="20"/>
              </w:rPr>
              <w:t>2 000 000,00</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1B4BDF4E" w14:textId="77777777" w:rsidR="00387142" w:rsidRPr="008B6A75" w:rsidRDefault="00387142" w:rsidP="00387142">
            <w:pPr>
              <w:jc w:val="right"/>
              <w:rPr>
                <w:sz w:val="20"/>
                <w:szCs w:val="20"/>
              </w:rPr>
            </w:pPr>
            <w:r w:rsidRPr="008B6A75">
              <w:rPr>
                <w:sz w:val="20"/>
                <w:szCs w:val="20"/>
              </w:rPr>
              <w:t>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48C26D08" w14:textId="77777777" w:rsidR="00387142" w:rsidRPr="008B6A75" w:rsidRDefault="00387142" w:rsidP="00387142">
            <w:pPr>
              <w:jc w:val="right"/>
              <w:rPr>
                <w:sz w:val="20"/>
                <w:szCs w:val="20"/>
              </w:rPr>
            </w:pPr>
            <w:r w:rsidRPr="008B6A75">
              <w:rPr>
                <w:sz w:val="20"/>
                <w:szCs w:val="20"/>
              </w:rPr>
              <w:t>0,00</w:t>
            </w:r>
          </w:p>
        </w:tc>
        <w:tc>
          <w:tcPr>
            <w:tcW w:w="222" w:type="dxa"/>
            <w:vAlign w:val="center"/>
            <w:hideMark/>
          </w:tcPr>
          <w:p w14:paraId="65DDA080" w14:textId="77777777" w:rsidR="00387142" w:rsidRPr="008B6A75" w:rsidRDefault="00387142" w:rsidP="00387142">
            <w:pPr>
              <w:rPr>
                <w:sz w:val="20"/>
                <w:szCs w:val="20"/>
              </w:rPr>
            </w:pPr>
          </w:p>
        </w:tc>
      </w:tr>
      <w:tr w:rsidR="00387142" w:rsidRPr="008B6A75" w14:paraId="5B3A0156" w14:textId="77777777" w:rsidTr="00387142">
        <w:trPr>
          <w:trHeight w:val="300"/>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3179BE7E" w14:textId="77777777" w:rsidR="00387142" w:rsidRPr="008B6A75" w:rsidRDefault="00387142" w:rsidP="00387142">
            <w:pPr>
              <w:rPr>
                <w:sz w:val="20"/>
                <w:szCs w:val="20"/>
              </w:rPr>
            </w:pPr>
            <w:r w:rsidRPr="008B6A75">
              <w:rPr>
                <w:sz w:val="20"/>
                <w:szCs w:val="20"/>
              </w:rPr>
              <w:t>Субсидии</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268DC224" w14:textId="77777777" w:rsidR="00387142" w:rsidRPr="008B6A75" w:rsidRDefault="00387142" w:rsidP="00387142">
            <w:pPr>
              <w:jc w:val="center"/>
              <w:rPr>
                <w:sz w:val="20"/>
                <w:szCs w:val="20"/>
              </w:rPr>
            </w:pPr>
            <w:r w:rsidRPr="008B6A75">
              <w:rPr>
                <w:sz w:val="20"/>
                <w:szCs w:val="20"/>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275DABCE" w14:textId="77777777" w:rsidR="00387142" w:rsidRPr="008B6A75" w:rsidRDefault="00387142" w:rsidP="00387142">
            <w:pPr>
              <w:jc w:val="center"/>
              <w:rPr>
                <w:sz w:val="20"/>
                <w:szCs w:val="20"/>
              </w:rPr>
            </w:pPr>
            <w:r w:rsidRPr="008B6A75">
              <w:rPr>
                <w:sz w:val="20"/>
                <w:szCs w:val="20"/>
              </w:rPr>
              <w:t>04</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94D7AD" w14:textId="77777777" w:rsidR="00387142" w:rsidRPr="008B6A75" w:rsidRDefault="00387142" w:rsidP="00387142">
            <w:pPr>
              <w:jc w:val="center"/>
              <w:rPr>
                <w:sz w:val="20"/>
                <w:szCs w:val="20"/>
              </w:rPr>
            </w:pPr>
            <w:r w:rsidRPr="008B6A75">
              <w:rPr>
                <w:sz w:val="20"/>
                <w:szCs w:val="20"/>
              </w:rPr>
              <w:t>06</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1C22D986" w14:textId="77777777" w:rsidR="00387142" w:rsidRPr="008B6A75" w:rsidRDefault="00387142" w:rsidP="00387142">
            <w:pPr>
              <w:jc w:val="center"/>
              <w:rPr>
                <w:sz w:val="20"/>
                <w:szCs w:val="20"/>
              </w:rPr>
            </w:pPr>
            <w:r w:rsidRPr="008B6A75">
              <w:rPr>
                <w:sz w:val="20"/>
                <w:szCs w:val="20"/>
              </w:rPr>
              <w:t>12.0.00.70860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FF9CB4" w14:textId="77777777" w:rsidR="00387142" w:rsidRPr="008B6A75" w:rsidRDefault="00387142" w:rsidP="00387142">
            <w:pPr>
              <w:jc w:val="center"/>
              <w:rPr>
                <w:sz w:val="20"/>
                <w:szCs w:val="20"/>
              </w:rPr>
            </w:pPr>
            <w:r w:rsidRPr="008B6A75">
              <w:rPr>
                <w:sz w:val="20"/>
                <w:szCs w:val="20"/>
              </w:rPr>
              <w:t>520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2B99FC" w14:textId="77777777" w:rsidR="00387142" w:rsidRPr="008B6A75" w:rsidRDefault="00387142" w:rsidP="00387142">
            <w:pPr>
              <w:jc w:val="right"/>
              <w:rPr>
                <w:sz w:val="20"/>
                <w:szCs w:val="20"/>
              </w:rPr>
            </w:pPr>
            <w:r w:rsidRPr="008B6A75">
              <w:rPr>
                <w:sz w:val="20"/>
                <w:szCs w:val="20"/>
              </w:rPr>
              <w:t>2 000 000,00</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7FBEFDEF" w14:textId="77777777" w:rsidR="00387142" w:rsidRPr="008B6A75" w:rsidRDefault="00387142" w:rsidP="00387142">
            <w:pPr>
              <w:jc w:val="right"/>
              <w:rPr>
                <w:sz w:val="20"/>
                <w:szCs w:val="20"/>
              </w:rPr>
            </w:pPr>
            <w:r w:rsidRPr="008B6A75">
              <w:rPr>
                <w:sz w:val="20"/>
                <w:szCs w:val="20"/>
              </w:rPr>
              <w:t>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20AC2A" w14:textId="77777777" w:rsidR="00387142" w:rsidRPr="008B6A75" w:rsidRDefault="00387142" w:rsidP="00387142">
            <w:pPr>
              <w:jc w:val="right"/>
              <w:rPr>
                <w:sz w:val="20"/>
                <w:szCs w:val="20"/>
              </w:rPr>
            </w:pPr>
            <w:r w:rsidRPr="008B6A75">
              <w:rPr>
                <w:sz w:val="20"/>
                <w:szCs w:val="20"/>
              </w:rPr>
              <w:t>0,00</w:t>
            </w:r>
          </w:p>
        </w:tc>
        <w:tc>
          <w:tcPr>
            <w:tcW w:w="222" w:type="dxa"/>
            <w:vAlign w:val="center"/>
            <w:hideMark/>
          </w:tcPr>
          <w:p w14:paraId="4979A84A" w14:textId="77777777" w:rsidR="00387142" w:rsidRPr="008B6A75" w:rsidRDefault="00387142" w:rsidP="00387142">
            <w:pPr>
              <w:rPr>
                <w:sz w:val="20"/>
                <w:szCs w:val="20"/>
              </w:rPr>
            </w:pPr>
          </w:p>
        </w:tc>
      </w:tr>
      <w:tr w:rsidR="00387142" w:rsidRPr="008B6A75" w14:paraId="0CA0BCDF" w14:textId="77777777" w:rsidTr="00387142">
        <w:trPr>
          <w:trHeight w:val="300"/>
        </w:trPr>
        <w:tc>
          <w:tcPr>
            <w:tcW w:w="3021" w:type="dxa"/>
            <w:tcBorders>
              <w:top w:val="nil"/>
              <w:left w:val="single" w:sz="4" w:space="0" w:color="auto"/>
              <w:bottom w:val="nil"/>
              <w:right w:val="nil"/>
            </w:tcBorders>
            <w:shd w:val="clear" w:color="auto" w:fill="auto"/>
            <w:vAlign w:val="center"/>
            <w:hideMark/>
          </w:tcPr>
          <w:p w14:paraId="5B523401" w14:textId="77777777" w:rsidR="00387142" w:rsidRPr="008B6A75" w:rsidRDefault="00387142" w:rsidP="00387142">
            <w:pPr>
              <w:rPr>
                <w:bCs/>
                <w:sz w:val="20"/>
                <w:szCs w:val="20"/>
              </w:rPr>
            </w:pPr>
            <w:r w:rsidRPr="008B6A75">
              <w:rPr>
                <w:bCs/>
                <w:sz w:val="20"/>
                <w:szCs w:val="20"/>
              </w:rPr>
              <w:t>Транспорт</w:t>
            </w:r>
          </w:p>
        </w:tc>
        <w:tc>
          <w:tcPr>
            <w:tcW w:w="850" w:type="dxa"/>
            <w:tcBorders>
              <w:top w:val="nil"/>
              <w:left w:val="single" w:sz="4" w:space="0" w:color="auto"/>
              <w:bottom w:val="nil"/>
              <w:right w:val="nil"/>
            </w:tcBorders>
            <w:shd w:val="clear" w:color="auto" w:fill="auto"/>
            <w:noWrap/>
            <w:vAlign w:val="center"/>
            <w:hideMark/>
          </w:tcPr>
          <w:p w14:paraId="7BA1FC8D" w14:textId="77777777" w:rsidR="00387142" w:rsidRPr="008B6A75" w:rsidRDefault="00387142" w:rsidP="00387142">
            <w:pPr>
              <w:jc w:val="center"/>
              <w:rPr>
                <w:bCs/>
                <w:sz w:val="20"/>
                <w:szCs w:val="20"/>
              </w:rPr>
            </w:pPr>
            <w:r w:rsidRPr="008B6A75">
              <w:rPr>
                <w:bCs/>
                <w:sz w:val="20"/>
                <w:szCs w:val="20"/>
              </w:rPr>
              <w:t>444</w:t>
            </w:r>
          </w:p>
        </w:tc>
        <w:tc>
          <w:tcPr>
            <w:tcW w:w="709" w:type="dxa"/>
            <w:tcBorders>
              <w:top w:val="nil"/>
              <w:left w:val="single" w:sz="4" w:space="0" w:color="auto"/>
              <w:bottom w:val="nil"/>
              <w:right w:val="nil"/>
            </w:tcBorders>
            <w:shd w:val="clear" w:color="auto" w:fill="auto"/>
            <w:noWrap/>
            <w:vAlign w:val="center"/>
            <w:hideMark/>
          </w:tcPr>
          <w:p w14:paraId="1062A689" w14:textId="77777777" w:rsidR="00387142" w:rsidRPr="008B6A75" w:rsidRDefault="00387142" w:rsidP="00387142">
            <w:pPr>
              <w:jc w:val="center"/>
              <w:rPr>
                <w:bCs/>
                <w:sz w:val="20"/>
                <w:szCs w:val="20"/>
              </w:rPr>
            </w:pPr>
            <w:r w:rsidRPr="008B6A75">
              <w:rPr>
                <w:bCs/>
                <w:sz w:val="20"/>
                <w:szCs w:val="20"/>
              </w:rPr>
              <w:t>04</w:t>
            </w:r>
          </w:p>
        </w:tc>
        <w:tc>
          <w:tcPr>
            <w:tcW w:w="709" w:type="dxa"/>
            <w:tcBorders>
              <w:top w:val="nil"/>
              <w:left w:val="single" w:sz="4" w:space="0" w:color="auto"/>
              <w:bottom w:val="nil"/>
              <w:right w:val="single" w:sz="4" w:space="0" w:color="auto"/>
            </w:tcBorders>
            <w:shd w:val="clear" w:color="auto" w:fill="auto"/>
            <w:noWrap/>
            <w:vAlign w:val="center"/>
            <w:hideMark/>
          </w:tcPr>
          <w:p w14:paraId="339B8C3E" w14:textId="77777777" w:rsidR="00387142" w:rsidRPr="008B6A75" w:rsidRDefault="00387142" w:rsidP="00387142">
            <w:pPr>
              <w:jc w:val="center"/>
              <w:rPr>
                <w:bCs/>
                <w:sz w:val="20"/>
                <w:szCs w:val="20"/>
              </w:rPr>
            </w:pPr>
            <w:r w:rsidRPr="008B6A75">
              <w:rPr>
                <w:bCs/>
                <w:sz w:val="20"/>
                <w:szCs w:val="20"/>
              </w:rPr>
              <w:t>08</w:t>
            </w:r>
          </w:p>
        </w:tc>
        <w:tc>
          <w:tcPr>
            <w:tcW w:w="1411" w:type="dxa"/>
            <w:tcBorders>
              <w:top w:val="nil"/>
              <w:left w:val="single" w:sz="4" w:space="0" w:color="auto"/>
              <w:bottom w:val="nil"/>
              <w:right w:val="nil"/>
            </w:tcBorders>
            <w:shd w:val="clear" w:color="auto" w:fill="auto"/>
            <w:noWrap/>
            <w:vAlign w:val="center"/>
            <w:hideMark/>
          </w:tcPr>
          <w:p w14:paraId="71600262" w14:textId="77777777" w:rsidR="00387142" w:rsidRPr="008B6A75" w:rsidRDefault="00387142" w:rsidP="00387142">
            <w:pPr>
              <w:jc w:val="center"/>
              <w:rPr>
                <w:bCs/>
                <w:sz w:val="20"/>
                <w:szCs w:val="20"/>
              </w:rPr>
            </w:pPr>
            <w:r w:rsidRPr="008B6A75">
              <w:rPr>
                <w:bCs/>
                <w:sz w:val="20"/>
                <w:szCs w:val="20"/>
              </w:rPr>
              <w:t> </w:t>
            </w:r>
          </w:p>
        </w:tc>
        <w:tc>
          <w:tcPr>
            <w:tcW w:w="955" w:type="dxa"/>
            <w:tcBorders>
              <w:top w:val="nil"/>
              <w:left w:val="single" w:sz="4" w:space="0" w:color="auto"/>
              <w:bottom w:val="nil"/>
              <w:right w:val="single" w:sz="4" w:space="0" w:color="auto"/>
            </w:tcBorders>
            <w:shd w:val="clear" w:color="auto" w:fill="auto"/>
            <w:noWrap/>
            <w:vAlign w:val="center"/>
            <w:hideMark/>
          </w:tcPr>
          <w:p w14:paraId="0B485DF8"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nil"/>
              <w:right w:val="single" w:sz="4" w:space="0" w:color="auto"/>
            </w:tcBorders>
            <w:shd w:val="clear" w:color="auto" w:fill="auto"/>
            <w:noWrap/>
            <w:vAlign w:val="center"/>
            <w:hideMark/>
          </w:tcPr>
          <w:p w14:paraId="7249AA03" w14:textId="77777777" w:rsidR="00387142" w:rsidRPr="008B6A75" w:rsidRDefault="00387142" w:rsidP="00387142">
            <w:pPr>
              <w:jc w:val="right"/>
              <w:rPr>
                <w:bCs/>
                <w:sz w:val="20"/>
                <w:szCs w:val="20"/>
              </w:rPr>
            </w:pPr>
            <w:r w:rsidRPr="008B6A75">
              <w:rPr>
                <w:bCs/>
                <w:sz w:val="20"/>
                <w:szCs w:val="20"/>
              </w:rPr>
              <w:t>18 337 577,00</w:t>
            </w:r>
          </w:p>
        </w:tc>
        <w:tc>
          <w:tcPr>
            <w:tcW w:w="992" w:type="dxa"/>
            <w:gridSpan w:val="2"/>
            <w:tcBorders>
              <w:top w:val="nil"/>
              <w:left w:val="single" w:sz="4" w:space="0" w:color="auto"/>
              <w:bottom w:val="nil"/>
              <w:right w:val="nil"/>
            </w:tcBorders>
            <w:shd w:val="clear" w:color="auto" w:fill="auto"/>
            <w:noWrap/>
            <w:vAlign w:val="center"/>
            <w:hideMark/>
          </w:tcPr>
          <w:p w14:paraId="0F0C3AC4" w14:textId="77777777" w:rsidR="00387142" w:rsidRPr="008B6A75" w:rsidRDefault="00387142" w:rsidP="00387142">
            <w:pPr>
              <w:jc w:val="right"/>
              <w:rPr>
                <w:bCs/>
                <w:sz w:val="20"/>
                <w:szCs w:val="20"/>
              </w:rPr>
            </w:pPr>
            <w:r w:rsidRPr="008B6A75">
              <w:rPr>
                <w:bCs/>
                <w:sz w:val="20"/>
                <w:szCs w:val="20"/>
              </w:rPr>
              <w:t>15 208 707,00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6337267A" w14:textId="77777777" w:rsidR="00387142" w:rsidRPr="008B6A75" w:rsidRDefault="00387142" w:rsidP="00387142">
            <w:pPr>
              <w:jc w:val="right"/>
              <w:rPr>
                <w:bCs/>
                <w:sz w:val="20"/>
                <w:szCs w:val="20"/>
              </w:rPr>
            </w:pPr>
            <w:r w:rsidRPr="008B6A75">
              <w:rPr>
                <w:bCs/>
                <w:sz w:val="20"/>
                <w:szCs w:val="20"/>
              </w:rPr>
              <w:t>15 208 707,00</w:t>
            </w:r>
          </w:p>
        </w:tc>
        <w:tc>
          <w:tcPr>
            <w:tcW w:w="222" w:type="dxa"/>
            <w:vAlign w:val="center"/>
            <w:hideMark/>
          </w:tcPr>
          <w:p w14:paraId="55CBF5C7" w14:textId="77777777" w:rsidR="00387142" w:rsidRPr="008B6A75" w:rsidRDefault="00387142" w:rsidP="00387142">
            <w:pPr>
              <w:rPr>
                <w:sz w:val="20"/>
                <w:szCs w:val="20"/>
              </w:rPr>
            </w:pPr>
          </w:p>
        </w:tc>
      </w:tr>
      <w:tr w:rsidR="00387142" w:rsidRPr="008B6A75" w14:paraId="56B9144C" w14:textId="77777777" w:rsidTr="00387142">
        <w:trPr>
          <w:trHeight w:val="1440"/>
        </w:trPr>
        <w:tc>
          <w:tcPr>
            <w:tcW w:w="3021" w:type="dxa"/>
            <w:tcBorders>
              <w:top w:val="single" w:sz="4" w:space="0" w:color="auto"/>
              <w:left w:val="single" w:sz="4" w:space="0" w:color="auto"/>
              <w:bottom w:val="nil"/>
              <w:right w:val="nil"/>
            </w:tcBorders>
            <w:shd w:val="clear" w:color="auto" w:fill="auto"/>
            <w:vAlign w:val="center"/>
            <w:hideMark/>
          </w:tcPr>
          <w:p w14:paraId="0D7A67DE" w14:textId="77777777" w:rsidR="00387142" w:rsidRPr="008B6A75" w:rsidRDefault="00387142" w:rsidP="00387142">
            <w:pPr>
              <w:rPr>
                <w:bCs/>
                <w:sz w:val="20"/>
                <w:szCs w:val="20"/>
              </w:rPr>
            </w:pPr>
            <w:r w:rsidRPr="008B6A75">
              <w:rPr>
                <w:bCs/>
                <w:sz w:val="20"/>
                <w:szCs w:val="20"/>
              </w:rPr>
              <w:lastRenderedPageBreak/>
              <w:t>Муниципальная программа «Обеспечение доступности услуг автобусного пассажирского транспорта, осуществляющего перевозки по муниципальным маршрутам внутрирайонного сообщения в Куйбышевском районе»</w:t>
            </w:r>
          </w:p>
        </w:tc>
        <w:tc>
          <w:tcPr>
            <w:tcW w:w="850" w:type="dxa"/>
            <w:tcBorders>
              <w:top w:val="single" w:sz="4" w:space="0" w:color="auto"/>
              <w:left w:val="single" w:sz="4" w:space="0" w:color="auto"/>
              <w:bottom w:val="nil"/>
              <w:right w:val="nil"/>
            </w:tcBorders>
            <w:shd w:val="clear" w:color="auto" w:fill="auto"/>
            <w:noWrap/>
            <w:vAlign w:val="center"/>
            <w:hideMark/>
          </w:tcPr>
          <w:p w14:paraId="2BEF739C" w14:textId="77777777" w:rsidR="00387142" w:rsidRPr="008B6A75" w:rsidRDefault="00387142" w:rsidP="00387142">
            <w:pPr>
              <w:jc w:val="center"/>
              <w:rPr>
                <w:bCs/>
                <w:sz w:val="20"/>
                <w:szCs w:val="20"/>
              </w:rPr>
            </w:pPr>
            <w:r w:rsidRPr="008B6A75">
              <w:rPr>
                <w:bCs/>
                <w:sz w:val="20"/>
                <w:szCs w:val="20"/>
              </w:rPr>
              <w:t>444</w:t>
            </w:r>
          </w:p>
        </w:tc>
        <w:tc>
          <w:tcPr>
            <w:tcW w:w="709" w:type="dxa"/>
            <w:tcBorders>
              <w:top w:val="single" w:sz="4" w:space="0" w:color="auto"/>
              <w:left w:val="single" w:sz="4" w:space="0" w:color="auto"/>
              <w:bottom w:val="nil"/>
              <w:right w:val="nil"/>
            </w:tcBorders>
            <w:shd w:val="clear" w:color="auto" w:fill="auto"/>
            <w:noWrap/>
            <w:vAlign w:val="center"/>
            <w:hideMark/>
          </w:tcPr>
          <w:p w14:paraId="1C32F7D9" w14:textId="77777777" w:rsidR="00387142" w:rsidRPr="008B6A75" w:rsidRDefault="00387142" w:rsidP="00387142">
            <w:pPr>
              <w:jc w:val="center"/>
              <w:rPr>
                <w:bCs/>
                <w:sz w:val="20"/>
                <w:szCs w:val="20"/>
              </w:rPr>
            </w:pPr>
            <w:r w:rsidRPr="008B6A75">
              <w:rPr>
                <w:bCs/>
                <w:sz w:val="20"/>
                <w:szCs w:val="20"/>
              </w:rPr>
              <w:t>04</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6A5B00F1" w14:textId="77777777" w:rsidR="00387142" w:rsidRPr="008B6A75" w:rsidRDefault="00387142" w:rsidP="00387142">
            <w:pPr>
              <w:jc w:val="center"/>
              <w:rPr>
                <w:bCs/>
                <w:sz w:val="20"/>
                <w:szCs w:val="20"/>
              </w:rPr>
            </w:pPr>
            <w:r w:rsidRPr="008B6A75">
              <w:rPr>
                <w:bCs/>
                <w:sz w:val="20"/>
                <w:szCs w:val="20"/>
              </w:rPr>
              <w:t>08</w:t>
            </w:r>
          </w:p>
        </w:tc>
        <w:tc>
          <w:tcPr>
            <w:tcW w:w="1411" w:type="dxa"/>
            <w:tcBorders>
              <w:top w:val="single" w:sz="4" w:space="0" w:color="auto"/>
              <w:left w:val="single" w:sz="4" w:space="0" w:color="auto"/>
              <w:bottom w:val="nil"/>
              <w:right w:val="nil"/>
            </w:tcBorders>
            <w:shd w:val="clear" w:color="auto" w:fill="auto"/>
            <w:noWrap/>
            <w:vAlign w:val="center"/>
            <w:hideMark/>
          </w:tcPr>
          <w:p w14:paraId="404017D6" w14:textId="77777777" w:rsidR="00387142" w:rsidRPr="008B6A75" w:rsidRDefault="00387142" w:rsidP="00387142">
            <w:pPr>
              <w:jc w:val="center"/>
              <w:rPr>
                <w:bCs/>
                <w:sz w:val="20"/>
                <w:szCs w:val="20"/>
              </w:rPr>
            </w:pPr>
            <w:r w:rsidRPr="008B6A75">
              <w:rPr>
                <w:bCs/>
                <w:sz w:val="20"/>
                <w:szCs w:val="20"/>
              </w:rPr>
              <w:t>32.0.00.00000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75DF3100" w14:textId="77777777" w:rsidR="00387142" w:rsidRPr="008B6A75" w:rsidRDefault="00387142" w:rsidP="00387142">
            <w:pPr>
              <w:jc w:val="center"/>
              <w:rPr>
                <w:bCs/>
                <w:sz w:val="20"/>
                <w:szCs w:val="20"/>
              </w:rPr>
            </w:pPr>
            <w:r w:rsidRPr="008B6A75">
              <w:rPr>
                <w:bCs/>
                <w:sz w:val="20"/>
                <w:szCs w:val="20"/>
              </w:rPr>
              <w:t> </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0E67B90D" w14:textId="77777777" w:rsidR="00387142" w:rsidRPr="008B6A75" w:rsidRDefault="00387142" w:rsidP="00387142">
            <w:pPr>
              <w:jc w:val="right"/>
              <w:rPr>
                <w:bCs/>
                <w:sz w:val="20"/>
                <w:szCs w:val="20"/>
              </w:rPr>
            </w:pPr>
            <w:r w:rsidRPr="008B6A75">
              <w:rPr>
                <w:bCs/>
                <w:sz w:val="20"/>
                <w:szCs w:val="20"/>
              </w:rPr>
              <w:t>18 337 577,00</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3C32D880" w14:textId="77777777" w:rsidR="00387142" w:rsidRPr="008B6A75" w:rsidRDefault="00387142" w:rsidP="00387142">
            <w:pPr>
              <w:jc w:val="right"/>
              <w:rPr>
                <w:bCs/>
                <w:sz w:val="20"/>
                <w:szCs w:val="20"/>
              </w:rPr>
            </w:pPr>
            <w:r w:rsidRPr="008B6A75">
              <w:rPr>
                <w:bCs/>
                <w:sz w:val="20"/>
                <w:szCs w:val="20"/>
              </w:rPr>
              <w:t>15 208 707,00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05A889DC" w14:textId="77777777" w:rsidR="00387142" w:rsidRPr="008B6A75" w:rsidRDefault="00387142" w:rsidP="00387142">
            <w:pPr>
              <w:jc w:val="right"/>
              <w:rPr>
                <w:bCs/>
                <w:sz w:val="20"/>
                <w:szCs w:val="20"/>
              </w:rPr>
            </w:pPr>
            <w:r w:rsidRPr="008B6A75">
              <w:rPr>
                <w:bCs/>
                <w:sz w:val="20"/>
                <w:szCs w:val="20"/>
              </w:rPr>
              <w:t>15 208 707,00</w:t>
            </w:r>
          </w:p>
        </w:tc>
        <w:tc>
          <w:tcPr>
            <w:tcW w:w="222" w:type="dxa"/>
            <w:vAlign w:val="center"/>
            <w:hideMark/>
          </w:tcPr>
          <w:p w14:paraId="2DBD6ADB" w14:textId="77777777" w:rsidR="00387142" w:rsidRPr="008B6A75" w:rsidRDefault="00387142" w:rsidP="00387142">
            <w:pPr>
              <w:rPr>
                <w:sz w:val="20"/>
                <w:szCs w:val="20"/>
              </w:rPr>
            </w:pPr>
          </w:p>
        </w:tc>
      </w:tr>
      <w:tr w:rsidR="00387142" w:rsidRPr="008B6A75" w14:paraId="62C44BAD" w14:textId="77777777" w:rsidTr="00387142">
        <w:trPr>
          <w:trHeight w:val="1725"/>
        </w:trPr>
        <w:tc>
          <w:tcPr>
            <w:tcW w:w="3021" w:type="dxa"/>
            <w:tcBorders>
              <w:top w:val="single" w:sz="4" w:space="0" w:color="auto"/>
              <w:left w:val="single" w:sz="4" w:space="0" w:color="auto"/>
              <w:bottom w:val="nil"/>
              <w:right w:val="nil"/>
            </w:tcBorders>
            <w:shd w:val="clear" w:color="auto" w:fill="auto"/>
            <w:vAlign w:val="center"/>
            <w:hideMark/>
          </w:tcPr>
          <w:p w14:paraId="154C7F0E" w14:textId="77777777" w:rsidR="00387142" w:rsidRPr="008B6A75" w:rsidRDefault="00387142" w:rsidP="00387142">
            <w:pPr>
              <w:rPr>
                <w:bCs/>
                <w:sz w:val="20"/>
                <w:szCs w:val="20"/>
              </w:rPr>
            </w:pPr>
            <w:r w:rsidRPr="008B6A75">
              <w:rPr>
                <w:bCs/>
                <w:sz w:val="20"/>
                <w:szCs w:val="20"/>
              </w:rPr>
              <w:t>Реализация мероприятий муниципальной программы «Обеспечение доступности услуг автобусного пассажирского транспорта, осуществляющего перевозки по муниципальным маршрутам внутрирайонного сообщения в Куйбышевском районе»</w:t>
            </w:r>
          </w:p>
        </w:tc>
        <w:tc>
          <w:tcPr>
            <w:tcW w:w="850" w:type="dxa"/>
            <w:tcBorders>
              <w:top w:val="single" w:sz="4" w:space="0" w:color="auto"/>
              <w:left w:val="single" w:sz="4" w:space="0" w:color="auto"/>
              <w:bottom w:val="nil"/>
              <w:right w:val="nil"/>
            </w:tcBorders>
            <w:shd w:val="clear" w:color="auto" w:fill="auto"/>
            <w:noWrap/>
            <w:vAlign w:val="center"/>
            <w:hideMark/>
          </w:tcPr>
          <w:p w14:paraId="32B2EE97" w14:textId="77777777" w:rsidR="00387142" w:rsidRPr="008B6A75" w:rsidRDefault="00387142" w:rsidP="00387142">
            <w:pPr>
              <w:jc w:val="center"/>
              <w:rPr>
                <w:bCs/>
                <w:sz w:val="20"/>
                <w:szCs w:val="20"/>
              </w:rPr>
            </w:pPr>
            <w:r w:rsidRPr="008B6A75">
              <w:rPr>
                <w:bCs/>
                <w:sz w:val="20"/>
                <w:szCs w:val="20"/>
              </w:rPr>
              <w:t>444</w:t>
            </w:r>
          </w:p>
        </w:tc>
        <w:tc>
          <w:tcPr>
            <w:tcW w:w="709" w:type="dxa"/>
            <w:tcBorders>
              <w:top w:val="single" w:sz="4" w:space="0" w:color="auto"/>
              <w:left w:val="single" w:sz="4" w:space="0" w:color="auto"/>
              <w:bottom w:val="nil"/>
              <w:right w:val="nil"/>
            </w:tcBorders>
            <w:shd w:val="clear" w:color="auto" w:fill="auto"/>
            <w:noWrap/>
            <w:vAlign w:val="center"/>
            <w:hideMark/>
          </w:tcPr>
          <w:p w14:paraId="1577DAAB" w14:textId="77777777" w:rsidR="00387142" w:rsidRPr="008B6A75" w:rsidRDefault="00387142" w:rsidP="00387142">
            <w:pPr>
              <w:jc w:val="center"/>
              <w:rPr>
                <w:bCs/>
                <w:sz w:val="20"/>
                <w:szCs w:val="20"/>
              </w:rPr>
            </w:pPr>
            <w:r w:rsidRPr="008B6A75">
              <w:rPr>
                <w:bCs/>
                <w:sz w:val="20"/>
                <w:szCs w:val="20"/>
              </w:rPr>
              <w:t>04</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320C945C" w14:textId="77777777" w:rsidR="00387142" w:rsidRPr="008B6A75" w:rsidRDefault="00387142" w:rsidP="00387142">
            <w:pPr>
              <w:jc w:val="center"/>
              <w:rPr>
                <w:bCs/>
                <w:sz w:val="20"/>
                <w:szCs w:val="20"/>
              </w:rPr>
            </w:pPr>
            <w:r w:rsidRPr="008B6A75">
              <w:rPr>
                <w:bCs/>
                <w:sz w:val="20"/>
                <w:szCs w:val="20"/>
              </w:rPr>
              <w:t>08</w:t>
            </w:r>
          </w:p>
        </w:tc>
        <w:tc>
          <w:tcPr>
            <w:tcW w:w="1411" w:type="dxa"/>
            <w:tcBorders>
              <w:top w:val="single" w:sz="4" w:space="0" w:color="auto"/>
              <w:left w:val="single" w:sz="4" w:space="0" w:color="auto"/>
              <w:bottom w:val="nil"/>
              <w:right w:val="nil"/>
            </w:tcBorders>
            <w:shd w:val="clear" w:color="auto" w:fill="auto"/>
            <w:noWrap/>
            <w:vAlign w:val="center"/>
            <w:hideMark/>
          </w:tcPr>
          <w:p w14:paraId="27A456C7" w14:textId="77777777" w:rsidR="00387142" w:rsidRPr="008B6A75" w:rsidRDefault="00387142" w:rsidP="00387142">
            <w:pPr>
              <w:jc w:val="center"/>
              <w:rPr>
                <w:bCs/>
                <w:sz w:val="20"/>
                <w:szCs w:val="20"/>
              </w:rPr>
            </w:pPr>
            <w:r w:rsidRPr="008B6A75">
              <w:rPr>
                <w:bCs/>
                <w:sz w:val="20"/>
                <w:szCs w:val="20"/>
              </w:rPr>
              <w:t>32.0.00.49532</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66A1E376" w14:textId="77777777" w:rsidR="00387142" w:rsidRPr="008B6A75" w:rsidRDefault="00387142" w:rsidP="00387142">
            <w:pPr>
              <w:jc w:val="center"/>
              <w:rPr>
                <w:bCs/>
                <w:sz w:val="20"/>
                <w:szCs w:val="20"/>
              </w:rPr>
            </w:pPr>
            <w:r w:rsidRPr="008B6A75">
              <w:rPr>
                <w:bCs/>
                <w:sz w:val="20"/>
                <w:szCs w:val="20"/>
              </w:rPr>
              <w:t> </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6BA01788" w14:textId="77777777" w:rsidR="00387142" w:rsidRPr="008B6A75" w:rsidRDefault="00387142" w:rsidP="00387142">
            <w:pPr>
              <w:jc w:val="right"/>
              <w:rPr>
                <w:bCs/>
                <w:sz w:val="20"/>
                <w:szCs w:val="20"/>
              </w:rPr>
            </w:pPr>
            <w:r w:rsidRPr="008B6A75">
              <w:rPr>
                <w:bCs/>
                <w:sz w:val="20"/>
                <w:szCs w:val="20"/>
              </w:rPr>
              <w:t>207 470,00</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77B3AB4C" w14:textId="77777777" w:rsidR="00387142" w:rsidRPr="008B6A75" w:rsidRDefault="00387142" w:rsidP="00387142">
            <w:pPr>
              <w:jc w:val="right"/>
              <w:rPr>
                <w:bCs/>
                <w:sz w:val="20"/>
                <w:szCs w:val="20"/>
              </w:rPr>
            </w:pPr>
            <w:r w:rsidRPr="008B6A75">
              <w:rPr>
                <w:bCs/>
                <w:sz w:val="20"/>
                <w:szCs w:val="20"/>
              </w:rPr>
              <w:t>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42BF7C38" w14:textId="77777777" w:rsidR="00387142" w:rsidRPr="008B6A75" w:rsidRDefault="00387142" w:rsidP="00387142">
            <w:pPr>
              <w:jc w:val="right"/>
              <w:rPr>
                <w:bCs/>
                <w:sz w:val="20"/>
                <w:szCs w:val="20"/>
              </w:rPr>
            </w:pPr>
            <w:r w:rsidRPr="008B6A75">
              <w:rPr>
                <w:bCs/>
                <w:sz w:val="20"/>
                <w:szCs w:val="20"/>
              </w:rPr>
              <w:t>0,00</w:t>
            </w:r>
          </w:p>
        </w:tc>
        <w:tc>
          <w:tcPr>
            <w:tcW w:w="222" w:type="dxa"/>
            <w:vAlign w:val="center"/>
            <w:hideMark/>
          </w:tcPr>
          <w:p w14:paraId="470D42B1" w14:textId="77777777" w:rsidR="00387142" w:rsidRPr="008B6A75" w:rsidRDefault="00387142" w:rsidP="00387142">
            <w:pPr>
              <w:rPr>
                <w:sz w:val="20"/>
                <w:szCs w:val="20"/>
              </w:rPr>
            </w:pPr>
          </w:p>
        </w:tc>
      </w:tr>
      <w:tr w:rsidR="00387142" w:rsidRPr="008B6A75" w14:paraId="5D53BB0B" w14:textId="77777777" w:rsidTr="00387142">
        <w:trPr>
          <w:trHeight w:val="585"/>
        </w:trPr>
        <w:tc>
          <w:tcPr>
            <w:tcW w:w="3021" w:type="dxa"/>
            <w:tcBorders>
              <w:top w:val="single" w:sz="4" w:space="0" w:color="auto"/>
              <w:left w:val="single" w:sz="4" w:space="0" w:color="auto"/>
              <w:bottom w:val="nil"/>
              <w:right w:val="nil"/>
            </w:tcBorders>
            <w:shd w:val="clear" w:color="auto" w:fill="auto"/>
            <w:vAlign w:val="center"/>
            <w:hideMark/>
          </w:tcPr>
          <w:p w14:paraId="1F9821B6" w14:textId="77777777" w:rsidR="00387142" w:rsidRPr="008B6A75" w:rsidRDefault="00387142" w:rsidP="00387142">
            <w:pPr>
              <w:rPr>
                <w:sz w:val="20"/>
                <w:szCs w:val="20"/>
              </w:rPr>
            </w:pPr>
            <w:r w:rsidRPr="008B6A75">
              <w:rPr>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nil"/>
              <w:right w:val="nil"/>
            </w:tcBorders>
            <w:shd w:val="clear" w:color="auto" w:fill="auto"/>
            <w:noWrap/>
            <w:vAlign w:val="center"/>
            <w:hideMark/>
          </w:tcPr>
          <w:p w14:paraId="2A52123E" w14:textId="77777777" w:rsidR="00387142" w:rsidRPr="008B6A75" w:rsidRDefault="00387142" w:rsidP="00387142">
            <w:pPr>
              <w:jc w:val="center"/>
              <w:rPr>
                <w:sz w:val="20"/>
                <w:szCs w:val="20"/>
              </w:rPr>
            </w:pPr>
            <w:r w:rsidRPr="008B6A75">
              <w:rPr>
                <w:sz w:val="20"/>
                <w:szCs w:val="20"/>
              </w:rPr>
              <w:t>444</w:t>
            </w:r>
          </w:p>
        </w:tc>
        <w:tc>
          <w:tcPr>
            <w:tcW w:w="709" w:type="dxa"/>
            <w:tcBorders>
              <w:top w:val="single" w:sz="4" w:space="0" w:color="auto"/>
              <w:left w:val="single" w:sz="4" w:space="0" w:color="auto"/>
              <w:bottom w:val="nil"/>
              <w:right w:val="nil"/>
            </w:tcBorders>
            <w:shd w:val="clear" w:color="auto" w:fill="auto"/>
            <w:noWrap/>
            <w:vAlign w:val="center"/>
            <w:hideMark/>
          </w:tcPr>
          <w:p w14:paraId="2992A72C" w14:textId="77777777" w:rsidR="00387142" w:rsidRPr="008B6A75" w:rsidRDefault="00387142" w:rsidP="00387142">
            <w:pPr>
              <w:jc w:val="center"/>
              <w:rPr>
                <w:sz w:val="20"/>
                <w:szCs w:val="20"/>
              </w:rPr>
            </w:pPr>
            <w:r w:rsidRPr="008B6A75">
              <w:rPr>
                <w:sz w:val="20"/>
                <w:szCs w:val="20"/>
              </w:rPr>
              <w:t>04</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7A2403DE" w14:textId="77777777" w:rsidR="00387142" w:rsidRPr="008B6A75" w:rsidRDefault="00387142" w:rsidP="00387142">
            <w:pPr>
              <w:jc w:val="center"/>
              <w:rPr>
                <w:sz w:val="20"/>
                <w:szCs w:val="20"/>
              </w:rPr>
            </w:pPr>
            <w:r w:rsidRPr="008B6A75">
              <w:rPr>
                <w:sz w:val="20"/>
                <w:szCs w:val="20"/>
              </w:rPr>
              <w:t>08</w:t>
            </w:r>
          </w:p>
        </w:tc>
        <w:tc>
          <w:tcPr>
            <w:tcW w:w="1411" w:type="dxa"/>
            <w:tcBorders>
              <w:top w:val="single" w:sz="4" w:space="0" w:color="auto"/>
              <w:left w:val="single" w:sz="4" w:space="0" w:color="auto"/>
              <w:bottom w:val="nil"/>
              <w:right w:val="nil"/>
            </w:tcBorders>
            <w:shd w:val="clear" w:color="auto" w:fill="auto"/>
            <w:noWrap/>
            <w:vAlign w:val="center"/>
            <w:hideMark/>
          </w:tcPr>
          <w:p w14:paraId="52B56764" w14:textId="77777777" w:rsidR="00387142" w:rsidRPr="008B6A75" w:rsidRDefault="00387142" w:rsidP="00387142">
            <w:pPr>
              <w:jc w:val="center"/>
              <w:rPr>
                <w:sz w:val="20"/>
                <w:szCs w:val="20"/>
              </w:rPr>
            </w:pPr>
            <w:r w:rsidRPr="008B6A75">
              <w:rPr>
                <w:sz w:val="20"/>
                <w:szCs w:val="20"/>
              </w:rPr>
              <w:t>32.0.00.49532</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144C3807" w14:textId="77777777" w:rsidR="00387142" w:rsidRPr="008B6A75" w:rsidRDefault="00387142" w:rsidP="00387142">
            <w:pPr>
              <w:jc w:val="center"/>
              <w:rPr>
                <w:sz w:val="20"/>
                <w:szCs w:val="20"/>
              </w:rPr>
            </w:pPr>
            <w:r w:rsidRPr="008B6A75">
              <w:rPr>
                <w:sz w:val="20"/>
                <w:szCs w:val="20"/>
              </w:rPr>
              <w:t>200</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4B0E3012" w14:textId="77777777" w:rsidR="00387142" w:rsidRPr="008B6A75" w:rsidRDefault="00387142" w:rsidP="00387142">
            <w:pPr>
              <w:jc w:val="right"/>
              <w:rPr>
                <w:sz w:val="20"/>
                <w:szCs w:val="20"/>
              </w:rPr>
            </w:pPr>
            <w:r w:rsidRPr="008B6A75">
              <w:rPr>
                <w:sz w:val="20"/>
                <w:szCs w:val="20"/>
              </w:rPr>
              <w:t>207 470,00</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7A56FFF9" w14:textId="77777777" w:rsidR="00387142" w:rsidRPr="008B6A75" w:rsidRDefault="00387142" w:rsidP="00387142">
            <w:pPr>
              <w:jc w:val="right"/>
              <w:rPr>
                <w:sz w:val="20"/>
                <w:szCs w:val="20"/>
              </w:rPr>
            </w:pPr>
            <w:r w:rsidRPr="008B6A75">
              <w:rPr>
                <w:sz w:val="20"/>
                <w:szCs w:val="20"/>
              </w:rPr>
              <w:t>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76A6E0B3" w14:textId="77777777" w:rsidR="00387142" w:rsidRPr="008B6A75" w:rsidRDefault="00387142" w:rsidP="00387142">
            <w:pPr>
              <w:jc w:val="right"/>
              <w:rPr>
                <w:sz w:val="20"/>
                <w:szCs w:val="20"/>
              </w:rPr>
            </w:pPr>
            <w:r w:rsidRPr="008B6A75">
              <w:rPr>
                <w:sz w:val="20"/>
                <w:szCs w:val="20"/>
              </w:rPr>
              <w:t>0,00</w:t>
            </w:r>
          </w:p>
        </w:tc>
        <w:tc>
          <w:tcPr>
            <w:tcW w:w="222" w:type="dxa"/>
            <w:vAlign w:val="center"/>
            <w:hideMark/>
          </w:tcPr>
          <w:p w14:paraId="7B072CEF" w14:textId="77777777" w:rsidR="00387142" w:rsidRPr="008B6A75" w:rsidRDefault="00387142" w:rsidP="00387142">
            <w:pPr>
              <w:rPr>
                <w:sz w:val="20"/>
                <w:szCs w:val="20"/>
              </w:rPr>
            </w:pPr>
          </w:p>
        </w:tc>
      </w:tr>
      <w:tr w:rsidR="00387142" w:rsidRPr="008B6A75" w14:paraId="191452B1" w14:textId="77777777" w:rsidTr="00387142">
        <w:trPr>
          <w:trHeight w:val="870"/>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703B7653" w14:textId="77777777" w:rsidR="00387142" w:rsidRPr="008B6A75" w:rsidRDefault="00387142" w:rsidP="00387142">
            <w:pPr>
              <w:rPr>
                <w:sz w:val="20"/>
                <w:szCs w:val="20"/>
              </w:rPr>
            </w:pPr>
            <w:r w:rsidRPr="008B6A75">
              <w:rPr>
                <w:sz w:val="20"/>
                <w:szCs w:val="20"/>
              </w:rPr>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34374C7C" w14:textId="77777777" w:rsidR="00387142" w:rsidRPr="008B6A75" w:rsidRDefault="00387142" w:rsidP="00387142">
            <w:pPr>
              <w:jc w:val="center"/>
              <w:rPr>
                <w:sz w:val="20"/>
                <w:szCs w:val="20"/>
              </w:rPr>
            </w:pPr>
            <w:r w:rsidRPr="008B6A75">
              <w:rPr>
                <w:sz w:val="20"/>
                <w:szCs w:val="20"/>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487DEE1D" w14:textId="77777777" w:rsidR="00387142" w:rsidRPr="008B6A75" w:rsidRDefault="00387142" w:rsidP="00387142">
            <w:pPr>
              <w:jc w:val="center"/>
              <w:rPr>
                <w:sz w:val="20"/>
                <w:szCs w:val="20"/>
              </w:rPr>
            </w:pPr>
            <w:r w:rsidRPr="008B6A75">
              <w:rPr>
                <w:sz w:val="20"/>
                <w:szCs w:val="20"/>
              </w:rPr>
              <w:t>04</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24A9CD" w14:textId="77777777" w:rsidR="00387142" w:rsidRPr="008B6A75" w:rsidRDefault="00387142" w:rsidP="00387142">
            <w:pPr>
              <w:jc w:val="center"/>
              <w:rPr>
                <w:sz w:val="20"/>
                <w:szCs w:val="20"/>
              </w:rPr>
            </w:pPr>
            <w:r w:rsidRPr="008B6A75">
              <w:rPr>
                <w:sz w:val="20"/>
                <w:szCs w:val="20"/>
              </w:rPr>
              <w:t>08</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7392DA16" w14:textId="77777777" w:rsidR="00387142" w:rsidRPr="008B6A75" w:rsidRDefault="00387142" w:rsidP="00387142">
            <w:pPr>
              <w:jc w:val="center"/>
              <w:rPr>
                <w:sz w:val="20"/>
                <w:szCs w:val="20"/>
              </w:rPr>
            </w:pPr>
            <w:r w:rsidRPr="008B6A75">
              <w:rPr>
                <w:sz w:val="20"/>
                <w:szCs w:val="20"/>
              </w:rPr>
              <w:t>32.0.00.49532</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C57C2B" w14:textId="77777777" w:rsidR="00387142" w:rsidRPr="008B6A75" w:rsidRDefault="00387142" w:rsidP="00387142">
            <w:pPr>
              <w:jc w:val="center"/>
              <w:rPr>
                <w:sz w:val="20"/>
                <w:szCs w:val="20"/>
              </w:rPr>
            </w:pPr>
            <w:r w:rsidRPr="008B6A75">
              <w:rPr>
                <w:sz w:val="20"/>
                <w:szCs w:val="20"/>
              </w:rPr>
              <w:t>240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397954" w14:textId="77777777" w:rsidR="00387142" w:rsidRPr="008B6A75" w:rsidRDefault="00387142" w:rsidP="00387142">
            <w:pPr>
              <w:jc w:val="right"/>
              <w:rPr>
                <w:sz w:val="20"/>
                <w:szCs w:val="20"/>
              </w:rPr>
            </w:pPr>
            <w:r w:rsidRPr="008B6A75">
              <w:rPr>
                <w:sz w:val="20"/>
                <w:szCs w:val="20"/>
              </w:rPr>
              <w:t>207 470,00</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79F06115" w14:textId="77777777" w:rsidR="00387142" w:rsidRPr="008B6A75" w:rsidRDefault="00387142" w:rsidP="00387142">
            <w:pPr>
              <w:jc w:val="right"/>
              <w:rPr>
                <w:sz w:val="20"/>
                <w:szCs w:val="20"/>
              </w:rPr>
            </w:pPr>
            <w:r w:rsidRPr="008B6A75">
              <w:rPr>
                <w:sz w:val="20"/>
                <w:szCs w:val="20"/>
              </w:rPr>
              <w:t>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C94D1B" w14:textId="77777777" w:rsidR="00387142" w:rsidRPr="008B6A75" w:rsidRDefault="00387142" w:rsidP="00387142">
            <w:pPr>
              <w:jc w:val="right"/>
              <w:rPr>
                <w:sz w:val="20"/>
                <w:szCs w:val="20"/>
              </w:rPr>
            </w:pPr>
            <w:r w:rsidRPr="008B6A75">
              <w:rPr>
                <w:sz w:val="20"/>
                <w:szCs w:val="20"/>
              </w:rPr>
              <w:t>0,00</w:t>
            </w:r>
          </w:p>
        </w:tc>
        <w:tc>
          <w:tcPr>
            <w:tcW w:w="222" w:type="dxa"/>
            <w:vAlign w:val="center"/>
            <w:hideMark/>
          </w:tcPr>
          <w:p w14:paraId="669FBCA1" w14:textId="77777777" w:rsidR="00387142" w:rsidRPr="008B6A75" w:rsidRDefault="00387142" w:rsidP="00387142">
            <w:pPr>
              <w:rPr>
                <w:sz w:val="20"/>
                <w:szCs w:val="20"/>
              </w:rPr>
            </w:pPr>
          </w:p>
        </w:tc>
      </w:tr>
      <w:tr w:rsidR="00387142" w:rsidRPr="008B6A75" w14:paraId="1572A2D8" w14:textId="77777777" w:rsidTr="00387142">
        <w:trPr>
          <w:trHeight w:val="2580"/>
        </w:trPr>
        <w:tc>
          <w:tcPr>
            <w:tcW w:w="3021" w:type="dxa"/>
            <w:tcBorders>
              <w:top w:val="nil"/>
              <w:left w:val="single" w:sz="4" w:space="0" w:color="auto"/>
              <w:bottom w:val="nil"/>
              <w:right w:val="nil"/>
            </w:tcBorders>
            <w:shd w:val="clear" w:color="auto" w:fill="auto"/>
            <w:vAlign w:val="center"/>
            <w:hideMark/>
          </w:tcPr>
          <w:p w14:paraId="3BB520D9" w14:textId="77777777" w:rsidR="00387142" w:rsidRPr="008B6A75" w:rsidRDefault="00387142" w:rsidP="00387142">
            <w:pPr>
              <w:rPr>
                <w:bCs/>
                <w:sz w:val="20"/>
                <w:szCs w:val="20"/>
              </w:rPr>
            </w:pPr>
            <w:r w:rsidRPr="008B6A75">
              <w:rPr>
                <w:bCs/>
                <w:sz w:val="20"/>
                <w:szCs w:val="20"/>
              </w:rPr>
              <w:t>Приобретение (обновление) транспортных средств автомобильного и наземного электрического общественного пассажирского транспорта государственной программы Новосибирской области "Обеспечение доступности услуг общественного пассажирского транспорта, в том числе Новосибирского метрополитена, для населения Новосибирской области"</w:t>
            </w:r>
          </w:p>
        </w:tc>
        <w:tc>
          <w:tcPr>
            <w:tcW w:w="850" w:type="dxa"/>
            <w:tcBorders>
              <w:top w:val="nil"/>
              <w:left w:val="single" w:sz="4" w:space="0" w:color="auto"/>
              <w:bottom w:val="nil"/>
              <w:right w:val="nil"/>
            </w:tcBorders>
            <w:shd w:val="clear" w:color="auto" w:fill="auto"/>
            <w:noWrap/>
            <w:vAlign w:val="center"/>
            <w:hideMark/>
          </w:tcPr>
          <w:p w14:paraId="2EBA08CA" w14:textId="77777777" w:rsidR="00387142" w:rsidRPr="008B6A75" w:rsidRDefault="00387142" w:rsidP="00387142">
            <w:pPr>
              <w:jc w:val="center"/>
              <w:rPr>
                <w:bCs/>
                <w:sz w:val="20"/>
                <w:szCs w:val="20"/>
              </w:rPr>
            </w:pPr>
            <w:r w:rsidRPr="008B6A75">
              <w:rPr>
                <w:bCs/>
                <w:sz w:val="20"/>
                <w:szCs w:val="20"/>
              </w:rPr>
              <w:t>444</w:t>
            </w:r>
          </w:p>
        </w:tc>
        <w:tc>
          <w:tcPr>
            <w:tcW w:w="709" w:type="dxa"/>
            <w:tcBorders>
              <w:top w:val="nil"/>
              <w:left w:val="single" w:sz="4" w:space="0" w:color="auto"/>
              <w:bottom w:val="nil"/>
              <w:right w:val="nil"/>
            </w:tcBorders>
            <w:shd w:val="clear" w:color="auto" w:fill="auto"/>
            <w:noWrap/>
            <w:vAlign w:val="center"/>
            <w:hideMark/>
          </w:tcPr>
          <w:p w14:paraId="31EFECB3" w14:textId="77777777" w:rsidR="00387142" w:rsidRPr="008B6A75" w:rsidRDefault="00387142" w:rsidP="00387142">
            <w:pPr>
              <w:jc w:val="center"/>
              <w:rPr>
                <w:bCs/>
                <w:sz w:val="20"/>
                <w:szCs w:val="20"/>
              </w:rPr>
            </w:pPr>
            <w:r w:rsidRPr="008B6A75">
              <w:rPr>
                <w:bCs/>
                <w:sz w:val="20"/>
                <w:szCs w:val="20"/>
              </w:rPr>
              <w:t>04</w:t>
            </w:r>
          </w:p>
        </w:tc>
        <w:tc>
          <w:tcPr>
            <w:tcW w:w="709" w:type="dxa"/>
            <w:tcBorders>
              <w:top w:val="nil"/>
              <w:left w:val="single" w:sz="4" w:space="0" w:color="auto"/>
              <w:bottom w:val="nil"/>
              <w:right w:val="single" w:sz="4" w:space="0" w:color="auto"/>
            </w:tcBorders>
            <w:shd w:val="clear" w:color="auto" w:fill="auto"/>
            <w:noWrap/>
            <w:vAlign w:val="center"/>
            <w:hideMark/>
          </w:tcPr>
          <w:p w14:paraId="5C585529" w14:textId="77777777" w:rsidR="00387142" w:rsidRPr="008B6A75" w:rsidRDefault="00387142" w:rsidP="00387142">
            <w:pPr>
              <w:jc w:val="center"/>
              <w:rPr>
                <w:bCs/>
                <w:sz w:val="20"/>
                <w:szCs w:val="20"/>
              </w:rPr>
            </w:pPr>
            <w:r w:rsidRPr="008B6A75">
              <w:rPr>
                <w:bCs/>
                <w:sz w:val="20"/>
                <w:szCs w:val="20"/>
              </w:rPr>
              <w:t>08</w:t>
            </w:r>
          </w:p>
        </w:tc>
        <w:tc>
          <w:tcPr>
            <w:tcW w:w="1411" w:type="dxa"/>
            <w:tcBorders>
              <w:top w:val="nil"/>
              <w:left w:val="single" w:sz="4" w:space="0" w:color="auto"/>
              <w:bottom w:val="nil"/>
              <w:right w:val="nil"/>
            </w:tcBorders>
            <w:shd w:val="clear" w:color="auto" w:fill="auto"/>
            <w:noWrap/>
            <w:vAlign w:val="center"/>
            <w:hideMark/>
          </w:tcPr>
          <w:p w14:paraId="43C7E055" w14:textId="77777777" w:rsidR="00387142" w:rsidRPr="008B6A75" w:rsidRDefault="00387142" w:rsidP="00387142">
            <w:pPr>
              <w:jc w:val="center"/>
              <w:rPr>
                <w:bCs/>
                <w:sz w:val="20"/>
                <w:szCs w:val="20"/>
              </w:rPr>
            </w:pPr>
            <w:r w:rsidRPr="008B6A75">
              <w:rPr>
                <w:bCs/>
                <w:sz w:val="20"/>
                <w:szCs w:val="20"/>
              </w:rPr>
              <w:t>32.0.00.70170</w:t>
            </w:r>
          </w:p>
        </w:tc>
        <w:tc>
          <w:tcPr>
            <w:tcW w:w="955" w:type="dxa"/>
            <w:tcBorders>
              <w:top w:val="nil"/>
              <w:left w:val="single" w:sz="4" w:space="0" w:color="auto"/>
              <w:bottom w:val="nil"/>
              <w:right w:val="single" w:sz="4" w:space="0" w:color="auto"/>
            </w:tcBorders>
            <w:shd w:val="clear" w:color="auto" w:fill="auto"/>
            <w:noWrap/>
            <w:vAlign w:val="center"/>
            <w:hideMark/>
          </w:tcPr>
          <w:p w14:paraId="65F5FFEF"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nil"/>
              <w:right w:val="single" w:sz="4" w:space="0" w:color="auto"/>
            </w:tcBorders>
            <w:shd w:val="clear" w:color="auto" w:fill="auto"/>
            <w:noWrap/>
            <w:vAlign w:val="center"/>
            <w:hideMark/>
          </w:tcPr>
          <w:p w14:paraId="2968529C" w14:textId="77777777" w:rsidR="00387142" w:rsidRPr="008B6A75" w:rsidRDefault="00387142" w:rsidP="00387142">
            <w:pPr>
              <w:jc w:val="right"/>
              <w:rPr>
                <w:bCs/>
                <w:sz w:val="20"/>
                <w:szCs w:val="20"/>
              </w:rPr>
            </w:pPr>
            <w:r w:rsidRPr="008B6A75">
              <w:rPr>
                <w:bCs/>
                <w:sz w:val="20"/>
                <w:szCs w:val="20"/>
              </w:rPr>
              <w:t>1 752 800,00</w:t>
            </w:r>
          </w:p>
        </w:tc>
        <w:tc>
          <w:tcPr>
            <w:tcW w:w="992" w:type="dxa"/>
            <w:gridSpan w:val="2"/>
            <w:tcBorders>
              <w:top w:val="nil"/>
              <w:left w:val="single" w:sz="4" w:space="0" w:color="auto"/>
              <w:bottom w:val="nil"/>
              <w:right w:val="nil"/>
            </w:tcBorders>
            <w:shd w:val="clear" w:color="auto" w:fill="auto"/>
            <w:noWrap/>
            <w:vAlign w:val="center"/>
            <w:hideMark/>
          </w:tcPr>
          <w:p w14:paraId="2235FBE5" w14:textId="77777777" w:rsidR="00387142" w:rsidRPr="008B6A75" w:rsidRDefault="00387142" w:rsidP="00387142">
            <w:pPr>
              <w:jc w:val="right"/>
              <w:rPr>
                <w:bCs/>
                <w:sz w:val="20"/>
                <w:szCs w:val="20"/>
              </w:rPr>
            </w:pPr>
            <w:r w:rsidRPr="008B6A75">
              <w:rPr>
                <w:bCs/>
                <w:sz w:val="20"/>
                <w:szCs w:val="20"/>
              </w:rPr>
              <w:t>0,00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0C0D5623" w14:textId="77777777" w:rsidR="00387142" w:rsidRPr="008B6A75" w:rsidRDefault="00387142" w:rsidP="00387142">
            <w:pPr>
              <w:jc w:val="right"/>
              <w:rPr>
                <w:bCs/>
                <w:sz w:val="20"/>
                <w:szCs w:val="20"/>
              </w:rPr>
            </w:pPr>
            <w:r w:rsidRPr="008B6A75">
              <w:rPr>
                <w:bCs/>
                <w:sz w:val="20"/>
                <w:szCs w:val="20"/>
              </w:rPr>
              <w:t>0,00</w:t>
            </w:r>
          </w:p>
        </w:tc>
        <w:tc>
          <w:tcPr>
            <w:tcW w:w="222" w:type="dxa"/>
            <w:vAlign w:val="center"/>
            <w:hideMark/>
          </w:tcPr>
          <w:p w14:paraId="76AE3D4D" w14:textId="77777777" w:rsidR="00387142" w:rsidRPr="008B6A75" w:rsidRDefault="00387142" w:rsidP="00387142">
            <w:pPr>
              <w:rPr>
                <w:sz w:val="20"/>
                <w:szCs w:val="20"/>
              </w:rPr>
            </w:pPr>
          </w:p>
        </w:tc>
      </w:tr>
      <w:tr w:rsidR="00387142" w:rsidRPr="008B6A75" w14:paraId="20DA491E" w14:textId="77777777" w:rsidTr="00387142">
        <w:trPr>
          <w:trHeight w:val="585"/>
        </w:trPr>
        <w:tc>
          <w:tcPr>
            <w:tcW w:w="3021" w:type="dxa"/>
            <w:tcBorders>
              <w:top w:val="single" w:sz="4" w:space="0" w:color="auto"/>
              <w:left w:val="single" w:sz="4" w:space="0" w:color="auto"/>
              <w:bottom w:val="nil"/>
              <w:right w:val="nil"/>
            </w:tcBorders>
            <w:shd w:val="clear" w:color="auto" w:fill="auto"/>
            <w:vAlign w:val="center"/>
            <w:hideMark/>
          </w:tcPr>
          <w:p w14:paraId="69DDF349" w14:textId="77777777" w:rsidR="00387142" w:rsidRPr="008B6A75" w:rsidRDefault="00387142" w:rsidP="00387142">
            <w:pPr>
              <w:rPr>
                <w:sz w:val="20"/>
                <w:szCs w:val="20"/>
              </w:rPr>
            </w:pPr>
            <w:r w:rsidRPr="008B6A75">
              <w:rPr>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nil"/>
              <w:right w:val="nil"/>
            </w:tcBorders>
            <w:shd w:val="clear" w:color="auto" w:fill="auto"/>
            <w:noWrap/>
            <w:vAlign w:val="center"/>
            <w:hideMark/>
          </w:tcPr>
          <w:p w14:paraId="02CB27EB" w14:textId="77777777" w:rsidR="00387142" w:rsidRPr="008B6A75" w:rsidRDefault="00387142" w:rsidP="00387142">
            <w:pPr>
              <w:jc w:val="center"/>
              <w:rPr>
                <w:sz w:val="20"/>
                <w:szCs w:val="20"/>
              </w:rPr>
            </w:pPr>
            <w:r w:rsidRPr="008B6A75">
              <w:rPr>
                <w:sz w:val="20"/>
                <w:szCs w:val="20"/>
              </w:rPr>
              <w:t>444</w:t>
            </w:r>
          </w:p>
        </w:tc>
        <w:tc>
          <w:tcPr>
            <w:tcW w:w="709" w:type="dxa"/>
            <w:tcBorders>
              <w:top w:val="single" w:sz="4" w:space="0" w:color="auto"/>
              <w:left w:val="single" w:sz="4" w:space="0" w:color="auto"/>
              <w:bottom w:val="nil"/>
              <w:right w:val="nil"/>
            </w:tcBorders>
            <w:shd w:val="clear" w:color="auto" w:fill="auto"/>
            <w:noWrap/>
            <w:vAlign w:val="center"/>
            <w:hideMark/>
          </w:tcPr>
          <w:p w14:paraId="46C7012B" w14:textId="77777777" w:rsidR="00387142" w:rsidRPr="008B6A75" w:rsidRDefault="00387142" w:rsidP="00387142">
            <w:pPr>
              <w:jc w:val="center"/>
              <w:rPr>
                <w:sz w:val="20"/>
                <w:szCs w:val="20"/>
              </w:rPr>
            </w:pPr>
            <w:r w:rsidRPr="008B6A75">
              <w:rPr>
                <w:sz w:val="20"/>
                <w:szCs w:val="20"/>
              </w:rPr>
              <w:t>04</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5B849B33" w14:textId="77777777" w:rsidR="00387142" w:rsidRPr="008B6A75" w:rsidRDefault="00387142" w:rsidP="00387142">
            <w:pPr>
              <w:jc w:val="center"/>
              <w:rPr>
                <w:sz w:val="20"/>
                <w:szCs w:val="20"/>
              </w:rPr>
            </w:pPr>
            <w:r w:rsidRPr="008B6A75">
              <w:rPr>
                <w:sz w:val="20"/>
                <w:szCs w:val="20"/>
              </w:rPr>
              <w:t>08</w:t>
            </w:r>
          </w:p>
        </w:tc>
        <w:tc>
          <w:tcPr>
            <w:tcW w:w="1411" w:type="dxa"/>
            <w:tcBorders>
              <w:top w:val="single" w:sz="4" w:space="0" w:color="auto"/>
              <w:left w:val="single" w:sz="4" w:space="0" w:color="auto"/>
              <w:bottom w:val="nil"/>
              <w:right w:val="nil"/>
            </w:tcBorders>
            <w:shd w:val="clear" w:color="auto" w:fill="auto"/>
            <w:noWrap/>
            <w:vAlign w:val="center"/>
            <w:hideMark/>
          </w:tcPr>
          <w:p w14:paraId="0942D670" w14:textId="77777777" w:rsidR="00387142" w:rsidRPr="008B6A75" w:rsidRDefault="00387142" w:rsidP="00387142">
            <w:pPr>
              <w:jc w:val="center"/>
              <w:rPr>
                <w:sz w:val="20"/>
                <w:szCs w:val="20"/>
              </w:rPr>
            </w:pPr>
            <w:r w:rsidRPr="008B6A75">
              <w:rPr>
                <w:sz w:val="20"/>
                <w:szCs w:val="20"/>
              </w:rPr>
              <w:t>32.0.00.70170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6429312C" w14:textId="77777777" w:rsidR="00387142" w:rsidRPr="008B6A75" w:rsidRDefault="00387142" w:rsidP="00387142">
            <w:pPr>
              <w:jc w:val="center"/>
              <w:rPr>
                <w:sz w:val="20"/>
                <w:szCs w:val="20"/>
              </w:rPr>
            </w:pPr>
            <w:r w:rsidRPr="008B6A75">
              <w:rPr>
                <w:sz w:val="20"/>
                <w:szCs w:val="20"/>
              </w:rPr>
              <w:t>200</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1B503E74" w14:textId="77777777" w:rsidR="00387142" w:rsidRPr="008B6A75" w:rsidRDefault="00387142" w:rsidP="00387142">
            <w:pPr>
              <w:jc w:val="right"/>
              <w:rPr>
                <w:sz w:val="20"/>
                <w:szCs w:val="20"/>
              </w:rPr>
            </w:pPr>
            <w:r w:rsidRPr="008B6A75">
              <w:rPr>
                <w:sz w:val="20"/>
                <w:szCs w:val="20"/>
              </w:rPr>
              <w:t>1 752 800,00</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707896F8" w14:textId="77777777" w:rsidR="00387142" w:rsidRPr="008B6A75" w:rsidRDefault="00387142" w:rsidP="00387142">
            <w:pPr>
              <w:jc w:val="right"/>
              <w:rPr>
                <w:sz w:val="20"/>
                <w:szCs w:val="20"/>
              </w:rPr>
            </w:pPr>
            <w:r w:rsidRPr="008B6A75">
              <w:rPr>
                <w:sz w:val="20"/>
                <w:szCs w:val="20"/>
              </w:rPr>
              <w:t>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5D449616" w14:textId="77777777" w:rsidR="00387142" w:rsidRPr="008B6A75" w:rsidRDefault="00387142" w:rsidP="00387142">
            <w:pPr>
              <w:jc w:val="right"/>
              <w:rPr>
                <w:sz w:val="20"/>
                <w:szCs w:val="20"/>
              </w:rPr>
            </w:pPr>
            <w:r w:rsidRPr="008B6A75">
              <w:rPr>
                <w:sz w:val="20"/>
                <w:szCs w:val="20"/>
              </w:rPr>
              <w:t>0,00</w:t>
            </w:r>
          </w:p>
        </w:tc>
        <w:tc>
          <w:tcPr>
            <w:tcW w:w="222" w:type="dxa"/>
            <w:vAlign w:val="center"/>
            <w:hideMark/>
          </w:tcPr>
          <w:p w14:paraId="2B3EBCB6" w14:textId="77777777" w:rsidR="00387142" w:rsidRPr="008B6A75" w:rsidRDefault="00387142" w:rsidP="00387142">
            <w:pPr>
              <w:rPr>
                <w:sz w:val="20"/>
                <w:szCs w:val="20"/>
              </w:rPr>
            </w:pPr>
          </w:p>
        </w:tc>
      </w:tr>
      <w:tr w:rsidR="00387142" w:rsidRPr="008B6A75" w14:paraId="4E35583B" w14:textId="77777777" w:rsidTr="00387142">
        <w:trPr>
          <w:trHeight w:val="870"/>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7133C3CF" w14:textId="77777777" w:rsidR="00387142" w:rsidRPr="008B6A75" w:rsidRDefault="00387142" w:rsidP="00387142">
            <w:pPr>
              <w:rPr>
                <w:sz w:val="20"/>
                <w:szCs w:val="20"/>
              </w:rPr>
            </w:pPr>
            <w:r w:rsidRPr="008B6A75">
              <w:rPr>
                <w:sz w:val="20"/>
                <w:szCs w:val="20"/>
              </w:rPr>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69EBDA14" w14:textId="77777777" w:rsidR="00387142" w:rsidRPr="008B6A75" w:rsidRDefault="00387142" w:rsidP="00387142">
            <w:pPr>
              <w:jc w:val="center"/>
              <w:rPr>
                <w:sz w:val="20"/>
                <w:szCs w:val="20"/>
              </w:rPr>
            </w:pPr>
            <w:r w:rsidRPr="008B6A75">
              <w:rPr>
                <w:sz w:val="20"/>
                <w:szCs w:val="20"/>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181A111A" w14:textId="77777777" w:rsidR="00387142" w:rsidRPr="008B6A75" w:rsidRDefault="00387142" w:rsidP="00387142">
            <w:pPr>
              <w:jc w:val="center"/>
              <w:rPr>
                <w:sz w:val="20"/>
                <w:szCs w:val="20"/>
              </w:rPr>
            </w:pPr>
            <w:r w:rsidRPr="008B6A75">
              <w:rPr>
                <w:sz w:val="20"/>
                <w:szCs w:val="20"/>
              </w:rPr>
              <w:t>04</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0ED223" w14:textId="77777777" w:rsidR="00387142" w:rsidRPr="008B6A75" w:rsidRDefault="00387142" w:rsidP="00387142">
            <w:pPr>
              <w:jc w:val="center"/>
              <w:rPr>
                <w:sz w:val="20"/>
                <w:szCs w:val="20"/>
              </w:rPr>
            </w:pPr>
            <w:r w:rsidRPr="008B6A75">
              <w:rPr>
                <w:sz w:val="20"/>
                <w:szCs w:val="20"/>
              </w:rPr>
              <w:t>08</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42A04B54" w14:textId="77777777" w:rsidR="00387142" w:rsidRPr="008B6A75" w:rsidRDefault="00387142" w:rsidP="00387142">
            <w:pPr>
              <w:jc w:val="center"/>
              <w:rPr>
                <w:sz w:val="20"/>
                <w:szCs w:val="20"/>
              </w:rPr>
            </w:pPr>
            <w:r w:rsidRPr="008B6A75">
              <w:rPr>
                <w:sz w:val="20"/>
                <w:szCs w:val="20"/>
              </w:rPr>
              <w:t>32.0.00.70170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769B5A" w14:textId="77777777" w:rsidR="00387142" w:rsidRPr="008B6A75" w:rsidRDefault="00387142" w:rsidP="00387142">
            <w:pPr>
              <w:jc w:val="center"/>
              <w:rPr>
                <w:sz w:val="20"/>
                <w:szCs w:val="20"/>
              </w:rPr>
            </w:pPr>
            <w:r w:rsidRPr="008B6A75">
              <w:rPr>
                <w:sz w:val="20"/>
                <w:szCs w:val="20"/>
              </w:rPr>
              <w:t>240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328A42" w14:textId="77777777" w:rsidR="00387142" w:rsidRPr="008B6A75" w:rsidRDefault="00387142" w:rsidP="00387142">
            <w:pPr>
              <w:jc w:val="right"/>
              <w:rPr>
                <w:sz w:val="20"/>
                <w:szCs w:val="20"/>
              </w:rPr>
            </w:pPr>
            <w:r w:rsidRPr="008B6A75">
              <w:rPr>
                <w:sz w:val="20"/>
                <w:szCs w:val="20"/>
              </w:rPr>
              <w:t>1 752 800,00</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54EEF984" w14:textId="77777777" w:rsidR="00387142" w:rsidRPr="008B6A75" w:rsidRDefault="00387142" w:rsidP="00387142">
            <w:pPr>
              <w:jc w:val="right"/>
              <w:rPr>
                <w:sz w:val="20"/>
                <w:szCs w:val="20"/>
              </w:rPr>
            </w:pPr>
            <w:r w:rsidRPr="008B6A75">
              <w:rPr>
                <w:sz w:val="20"/>
                <w:szCs w:val="20"/>
              </w:rPr>
              <w:t>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E71A3C" w14:textId="77777777" w:rsidR="00387142" w:rsidRPr="008B6A75" w:rsidRDefault="00387142" w:rsidP="00387142">
            <w:pPr>
              <w:jc w:val="right"/>
              <w:rPr>
                <w:sz w:val="20"/>
                <w:szCs w:val="20"/>
              </w:rPr>
            </w:pPr>
            <w:r w:rsidRPr="008B6A75">
              <w:rPr>
                <w:sz w:val="20"/>
                <w:szCs w:val="20"/>
              </w:rPr>
              <w:t>0,00</w:t>
            </w:r>
          </w:p>
        </w:tc>
        <w:tc>
          <w:tcPr>
            <w:tcW w:w="222" w:type="dxa"/>
            <w:vAlign w:val="center"/>
            <w:hideMark/>
          </w:tcPr>
          <w:p w14:paraId="32E67578" w14:textId="77777777" w:rsidR="00387142" w:rsidRPr="008B6A75" w:rsidRDefault="00387142" w:rsidP="00387142">
            <w:pPr>
              <w:rPr>
                <w:sz w:val="20"/>
                <w:szCs w:val="20"/>
              </w:rPr>
            </w:pPr>
          </w:p>
        </w:tc>
      </w:tr>
      <w:tr w:rsidR="00387142" w:rsidRPr="008B6A75" w14:paraId="55EA66B6" w14:textId="77777777" w:rsidTr="00387142">
        <w:trPr>
          <w:trHeight w:val="2295"/>
        </w:trPr>
        <w:tc>
          <w:tcPr>
            <w:tcW w:w="3021" w:type="dxa"/>
            <w:tcBorders>
              <w:top w:val="nil"/>
              <w:left w:val="single" w:sz="4" w:space="0" w:color="auto"/>
              <w:bottom w:val="nil"/>
              <w:right w:val="nil"/>
            </w:tcBorders>
            <w:shd w:val="clear" w:color="auto" w:fill="auto"/>
            <w:vAlign w:val="center"/>
            <w:hideMark/>
          </w:tcPr>
          <w:p w14:paraId="6F86AEE4" w14:textId="77777777" w:rsidR="00387142" w:rsidRPr="008B6A75" w:rsidRDefault="00387142" w:rsidP="00387142">
            <w:pPr>
              <w:rPr>
                <w:bCs/>
                <w:sz w:val="20"/>
                <w:szCs w:val="20"/>
              </w:rPr>
            </w:pPr>
            <w:r w:rsidRPr="008B6A75">
              <w:rPr>
                <w:bCs/>
                <w:sz w:val="20"/>
                <w:szCs w:val="20"/>
              </w:rPr>
              <w:t>Осуществление полномочий по организации регулярных перевозок пассажиров и багажа по муниципальным маршрутам государственной программы Новосибирской области "Обеспечение доступности услуг общественного пассажирского транспорта, в том числе Новосибирского метрополитена, для населения Новосибирской области"</w:t>
            </w:r>
          </w:p>
        </w:tc>
        <w:tc>
          <w:tcPr>
            <w:tcW w:w="850" w:type="dxa"/>
            <w:tcBorders>
              <w:top w:val="nil"/>
              <w:left w:val="single" w:sz="4" w:space="0" w:color="auto"/>
              <w:bottom w:val="nil"/>
              <w:right w:val="nil"/>
            </w:tcBorders>
            <w:shd w:val="clear" w:color="auto" w:fill="auto"/>
            <w:noWrap/>
            <w:vAlign w:val="center"/>
            <w:hideMark/>
          </w:tcPr>
          <w:p w14:paraId="1CF04A68" w14:textId="77777777" w:rsidR="00387142" w:rsidRPr="008B6A75" w:rsidRDefault="00387142" w:rsidP="00387142">
            <w:pPr>
              <w:jc w:val="center"/>
              <w:rPr>
                <w:bCs/>
                <w:sz w:val="20"/>
                <w:szCs w:val="20"/>
              </w:rPr>
            </w:pPr>
            <w:r w:rsidRPr="008B6A75">
              <w:rPr>
                <w:bCs/>
                <w:sz w:val="20"/>
                <w:szCs w:val="20"/>
              </w:rPr>
              <w:t>444</w:t>
            </w:r>
          </w:p>
        </w:tc>
        <w:tc>
          <w:tcPr>
            <w:tcW w:w="709" w:type="dxa"/>
            <w:tcBorders>
              <w:top w:val="nil"/>
              <w:left w:val="single" w:sz="4" w:space="0" w:color="auto"/>
              <w:bottom w:val="nil"/>
              <w:right w:val="nil"/>
            </w:tcBorders>
            <w:shd w:val="clear" w:color="auto" w:fill="auto"/>
            <w:noWrap/>
            <w:vAlign w:val="center"/>
            <w:hideMark/>
          </w:tcPr>
          <w:p w14:paraId="496328B6" w14:textId="77777777" w:rsidR="00387142" w:rsidRPr="008B6A75" w:rsidRDefault="00387142" w:rsidP="00387142">
            <w:pPr>
              <w:jc w:val="center"/>
              <w:rPr>
                <w:bCs/>
                <w:sz w:val="20"/>
                <w:szCs w:val="20"/>
              </w:rPr>
            </w:pPr>
            <w:r w:rsidRPr="008B6A75">
              <w:rPr>
                <w:bCs/>
                <w:sz w:val="20"/>
                <w:szCs w:val="20"/>
              </w:rPr>
              <w:t>04</w:t>
            </w:r>
          </w:p>
        </w:tc>
        <w:tc>
          <w:tcPr>
            <w:tcW w:w="709" w:type="dxa"/>
            <w:tcBorders>
              <w:top w:val="nil"/>
              <w:left w:val="single" w:sz="4" w:space="0" w:color="auto"/>
              <w:bottom w:val="nil"/>
              <w:right w:val="single" w:sz="4" w:space="0" w:color="auto"/>
            </w:tcBorders>
            <w:shd w:val="clear" w:color="auto" w:fill="auto"/>
            <w:noWrap/>
            <w:vAlign w:val="center"/>
            <w:hideMark/>
          </w:tcPr>
          <w:p w14:paraId="7C1D990B" w14:textId="77777777" w:rsidR="00387142" w:rsidRPr="008B6A75" w:rsidRDefault="00387142" w:rsidP="00387142">
            <w:pPr>
              <w:jc w:val="center"/>
              <w:rPr>
                <w:bCs/>
                <w:sz w:val="20"/>
                <w:szCs w:val="20"/>
              </w:rPr>
            </w:pPr>
            <w:r w:rsidRPr="008B6A75">
              <w:rPr>
                <w:bCs/>
                <w:sz w:val="20"/>
                <w:szCs w:val="20"/>
              </w:rPr>
              <w:t>08</w:t>
            </w:r>
          </w:p>
        </w:tc>
        <w:tc>
          <w:tcPr>
            <w:tcW w:w="1411" w:type="dxa"/>
            <w:tcBorders>
              <w:top w:val="nil"/>
              <w:left w:val="single" w:sz="4" w:space="0" w:color="auto"/>
              <w:bottom w:val="nil"/>
              <w:right w:val="nil"/>
            </w:tcBorders>
            <w:shd w:val="clear" w:color="auto" w:fill="auto"/>
            <w:noWrap/>
            <w:vAlign w:val="center"/>
            <w:hideMark/>
          </w:tcPr>
          <w:p w14:paraId="16852D6A" w14:textId="77777777" w:rsidR="00387142" w:rsidRPr="008B6A75" w:rsidRDefault="00387142" w:rsidP="00387142">
            <w:pPr>
              <w:jc w:val="center"/>
              <w:rPr>
                <w:bCs/>
                <w:sz w:val="20"/>
                <w:szCs w:val="20"/>
              </w:rPr>
            </w:pPr>
            <w:r w:rsidRPr="008B6A75">
              <w:rPr>
                <w:bCs/>
                <w:sz w:val="20"/>
                <w:szCs w:val="20"/>
              </w:rPr>
              <w:t>32.0.00.71100</w:t>
            </w:r>
          </w:p>
        </w:tc>
        <w:tc>
          <w:tcPr>
            <w:tcW w:w="955" w:type="dxa"/>
            <w:tcBorders>
              <w:top w:val="nil"/>
              <w:left w:val="single" w:sz="4" w:space="0" w:color="auto"/>
              <w:bottom w:val="nil"/>
              <w:right w:val="single" w:sz="4" w:space="0" w:color="auto"/>
            </w:tcBorders>
            <w:shd w:val="clear" w:color="auto" w:fill="auto"/>
            <w:noWrap/>
            <w:vAlign w:val="center"/>
            <w:hideMark/>
          </w:tcPr>
          <w:p w14:paraId="0E2BFD13"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nil"/>
              <w:right w:val="single" w:sz="4" w:space="0" w:color="auto"/>
            </w:tcBorders>
            <w:shd w:val="clear" w:color="auto" w:fill="auto"/>
            <w:noWrap/>
            <w:vAlign w:val="center"/>
            <w:hideMark/>
          </w:tcPr>
          <w:p w14:paraId="489872E8" w14:textId="77777777" w:rsidR="00387142" w:rsidRPr="008B6A75" w:rsidRDefault="00387142" w:rsidP="00387142">
            <w:pPr>
              <w:jc w:val="right"/>
              <w:rPr>
                <w:bCs/>
                <w:sz w:val="20"/>
                <w:szCs w:val="20"/>
              </w:rPr>
            </w:pPr>
            <w:r w:rsidRPr="008B6A75">
              <w:rPr>
                <w:bCs/>
                <w:sz w:val="20"/>
                <w:szCs w:val="20"/>
              </w:rPr>
              <w:t>15 208 707,00</w:t>
            </w:r>
          </w:p>
        </w:tc>
        <w:tc>
          <w:tcPr>
            <w:tcW w:w="992" w:type="dxa"/>
            <w:gridSpan w:val="2"/>
            <w:tcBorders>
              <w:top w:val="nil"/>
              <w:left w:val="single" w:sz="4" w:space="0" w:color="auto"/>
              <w:bottom w:val="nil"/>
              <w:right w:val="nil"/>
            </w:tcBorders>
            <w:shd w:val="clear" w:color="auto" w:fill="auto"/>
            <w:noWrap/>
            <w:vAlign w:val="center"/>
            <w:hideMark/>
          </w:tcPr>
          <w:p w14:paraId="1B7D002E" w14:textId="77777777" w:rsidR="00387142" w:rsidRPr="008B6A75" w:rsidRDefault="00387142" w:rsidP="00387142">
            <w:pPr>
              <w:jc w:val="right"/>
              <w:rPr>
                <w:bCs/>
                <w:sz w:val="20"/>
                <w:szCs w:val="20"/>
              </w:rPr>
            </w:pPr>
            <w:r w:rsidRPr="008B6A75">
              <w:rPr>
                <w:bCs/>
                <w:sz w:val="20"/>
                <w:szCs w:val="20"/>
              </w:rPr>
              <w:t>15 208 707,00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257CACA5" w14:textId="77777777" w:rsidR="00387142" w:rsidRPr="008B6A75" w:rsidRDefault="00387142" w:rsidP="00387142">
            <w:pPr>
              <w:jc w:val="right"/>
              <w:rPr>
                <w:bCs/>
                <w:sz w:val="20"/>
                <w:szCs w:val="20"/>
              </w:rPr>
            </w:pPr>
            <w:r w:rsidRPr="008B6A75">
              <w:rPr>
                <w:bCs/>
                <w:sz w:val="20"/>
                <w:szCs w:val="20"/>
              </w:rPr>
              <w:t>15 208 707,00</w:t>
            </w:r>
          </w:p>
        </w:tc>
        <w:tc>
          <w:tcPr>
            <w:tcW w:w="222" w:type="dxa"/>
            <w:vAlign w:val="center"/>
            <w:hideMark/>
          </w:tcPr>
          <w:p w14:paraId="3AF7F7CE" w14:textId="77777777" w:rsidR="00387142" w:rsidRPr="008B6A75" w:rsidRDefault="00387142" w:rsidP="00387142">
            <w:pPr>
              <w:rPr>
                <w:sz w:val="20"/>
                <w:szCs w:val="20"/>
              </w:rPr>
            </w:pPr>
          </w:p>
        </w:tc>
      </w:tr>
      <w:tr w:rsidR="00387142" w:rsidRPr="008B6A75" w14:paraId="444A3E57" w14:textId="77777777" w:rsidTr="00387142">
        <w:trPr>
          <w:trHeight w:val="585"/>
        </w:trPr>
        <w:tc>
          <w:tcPr>
            <w:tcW w:w="3021" w:type="dxa"/>
            <w:tcBorders>
              <w:top w:val="single" w:sz="4" w:space="0" w:color="auto"/>
              <w:left w:val="single" w:sz="4" w:space="0" w:color="auto"/>
              <w:bottom w:val="nil"/>
              <w:right w:val="nil"/>
            </w:tcBorders>
            <w:shd w:val="clear" w:color="auto" w:fill="auto"/>
            <w:vAlign w:val="center"/>
            <w:hideMark/>
          </w:tcPr>
          <w:p w14:paraId="1C733BE5" w14:textId="77777777" w:rsidR="00387142" w:rsidRPr="008B6A75" w:rsidRDefault="00387142" w:rsidP="00387142">
            <w:pPr>
              <w:rPr>
                <w:sz w:val="20"/>
                <w:szCs w:val="20"/>
              </w:rPr>
            </w:pPr>
            <w:r w:rsidRPr="008B6A75">
              <w:rPr>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nil"/>
              <w:right w:val="nil"/>
            </w:tcBorders>
            <w:shd w:val="clear" w:color="auto" w:fill="auto"/>
            <w:noWrap/>
            <w:vAlign w:val="center"/>
            <w:hideMark/>
          </w:tcPr>
          <w:p w14:paraId="0BCD89A0" w14:textId="77777777" w:rsidR="00387142" w:rsidRPr="008B6A75" w:rsidRDefault="00387142" w:rsidP="00387142">
            <w:pPr>
              <w:jc w:val="center"/>
              <w:rPr>
                <w:sz w:val="20"/>
                <w:szCs w:val="20"/>
              </w:rPr>
            </w:pPr>
            <w:r w:rsidRPr="008B6A75">
              <w:rPr>
                <w:sz w:val="20"/>
                <w:szCs w:val="20"/>
              </w:rPr>
              <w:t>444</w:t>
            </w:r>
          </w:p>
        </w:tc>
        <w:tc>
          <w:tcPr>
            <w:tcW w:w="709" w:type="dxa"/>
            <w:tcBorders>
              <w:top w:val="single" w:sz="4" w:space="0" w:color="auto"/>
              <w:left w:val="single" w:sz="4" w:space="0" w:color="auto"/>
              <w:bottom w:val="nil"/>
              <w:right w:val="nil"/>
            </w:tcBorders>
            <w:shd w:val="clear" w:color="auto" w:fill="auto"/>
            <w:noWrap/>
            <w:vAlign w:val="center"/>
            <w:hideMark/>
          </w:tcPr>
          <w:p w14:paraId="672572E6" w14:textId="77777777" w:rsidR="00387142" w:rsidRPr="008B6A75" w:rsidRDefault="00387142" w:rsidP="00387142">
            <w:pPr>
              <w:jc w:val="center"/>
              <w:rPr>
                <w:sz w:val="20"/>
                <w:szCs w:val="20"/>
              </w:rPr>
            </w:pPr>
            <w:r w:rsidRPr="008B6A75">
              <w:rPr>
                <w:sz w:val="20"/>
                <w:szCs w:val="20"/>
              </w:rPr>
              <w:t>04</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22B5CF1A" w14:textId="77777777" w:rsidR="00387142" w:rsidRPr="008B6A75" w:rsidRDefault="00387142" w:rsidP="00387142">
            <w:pPr>
              <w:jc w:val="center"/>
              <w:rPr>
                <w:sz w:val="20"/>
                <w:szCs w:val="20"/>
              </w:rPr>
            </w:pPr>
            <w:r w:rsidRPr="008B6A75">
              <w:rPr>
                <w:sz w:val="20"/>
                <w:szCs w:val="20"/>
              </w:rPr>
              <w:t>08</w:t>
            </w:r>
          </w:p>
        </w:tc>
        <w:tc>
          <w:tcPr>
            <w:tcW w:w="1411" w:type="dxa"/>
            <w:tcBorders>
              <w:top w:val="single" w:sz="4" w:space="0" w:color="auto"/>
              <w:left w:val="single" w:sz="4" w:space="0" w:color="auto"/>
              <w:bottom w:val="nil"/>
              <w:right w:val="nil"/>
            </w:tcBorders>
            <w:shd w:val="clear" w:color="auto" w:fill="auto"/>
            <w:noWrap/>
            <w:vAlign w:val="center"/>
            <w:hideMark/>
          </w:tcPr>
          <w:p w14:paraId="33D6E15A" w14:textId="77777777" w:rsidR="00387142" w:rsidRPr="008B6A75" w:rsidRDefault="00387142" w:rsidP="00387142">
            <w:pPr>
              <w:jc w:val="center"/>
              <w:rPr>
                <w:sz w:val="20"/>
                <w:szCs w:val="20"/>
              </w:rPr>
            </w:pPr>
            <w:r w:rsidRPr="008B6A75">
              <w:rPr>
                <w:sz w:val="20"/>
                <w:szCs w:val="20"/>
              </w:rPr>
              <w:t>32.0.00.71100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5590096B" w14:textId="77777777" w:rsidR="00387142" w:rsidRPr="008B6A75" w:rsidRDefault="00387142" w:rsidP="00387142">
            <w:pPr>
              <w:jc w:val="center"/>
              <w:rPr>
                <w:sz w:val="20"/>
                <w:szCs w:val="20"/>
              </w:rPr>
            </w:pPr>
            <w:r w:rsidRPr="008B6A75">
              <w:rPr>
                <w:sz w:val="20"/>
                <w:szCs w:val="20"/>
              </w:rPr>
              <w:t>200</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11C631E7" w14:textId="77777777" w:rsidR="00387142" w:rsidRPr="008B6A75" w:rsidRDefault="00387142" w:rsidP="00387142">
            <w:pPr>
              <w:jc w:val="right"/>
              <w:rPr>
                <w:sz w:val="20"/>
                <w:szCs w:val="20"/>
              </w:rPr>
            </w:pPr>
            <w:r w:rsidRPr="008B6A75">
              <w:rPr>
                <w:sz w:val="20"/>
                <w:szCs w:val="20"/>
              </w:rPr>
              <w:t>0,00</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7B753133" w14:textId="77777777" w:rsidR="00387142" w:rsidRPr="008B6A75" w:rsidRDefault="00387142" w:rsidP="00387142">
            <w:pPr>
              <w:jc w:val="right"/>
              <w:rPr>
                <w:sz w:val="20"/>
                <w:szCs w:val="20"/>
              </w:rPr>
            </w:pPr>
            <w:r w:rsidRPr="008B6A75">
              <w:rPr>
                <w:sz w:val="20"/>
                <w:szCs w:val="20"/>
              </w:rPr>
              <w:t>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59ED59E7" w14:textId="77777777" w:rsidR="00387142" w:rsidRPr="008B6A75" w:rsidRDefault="00387142" w:rsidP="00387142">
            <w:pPr>
              <w:jc w:val="right"/>
              <w:rPr>
                <w:sz w:val="20"/>
                <w:szCs w:val="20"/>
              </w:rPr>
            </w:pPr>
            <w:r w:rsidRPr="008B6A75">
              <w:rPr>
                <w:sz w:val="20"/>
                <w:szCs w:val="20"/>
              </w:rPr>
              <w:t>15 208 707,00</w:t>
            </w:r>
          </w:p>
        </w:tc>
        <w:tc>
          <w:tcPr>
            <w:tcW w:w="222" w:type="dxa"/>
            <w:vAlign w:val="center"/>
            <w:hideMark/>
          </w:tcPr>
          <w:p w14:paraId="019ECDCF" w14:textId="77777777" w:rsidR="00387142" w:rsidRPr="008B6A75" w:rsidRDefault="00387142" w:rsidP="00387142">
            <w:pPr>
              <w:rPr>
                <w:sz w:val="20"/>
                <w:szCs w:val="20"/>
              </w:rPr>
            </w:pPr>
          </w:p>
        </w:tc>
      </w:tr>
      <w:tr w:rsidR="00387142" w:rsidRPr="008B6A75" w14:paraId="5F0EE600" w14:textId="77777777" w:rsidTr="00387142">
        <w:trPr>
          <w:trHeight w:val="870"/>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6F4655A9" w14:textId="77777777" w:rsidR="00387142" w:rsidRPr="008B6A75" w:rsidRDefault="00387142" w:rsidP="00387142">
            <w:pPr>
              <w:rPr>
                <w:sz w:val="20"/>
                <w:szCs w:val="20"/>
              </w:rPr>
            </w:pPr>
            <w:r w:rsidRPr="008B6A75">
              <w:rPr>
                <w:sz w:val="20"/>
                <w:szCs w:val="20"/>
              </w:rPr>
              <w:lastRenderedPageBreak/>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785139B0" w14:textId="77777777" w:rsidR="00387142" w:rsidRPr="008B6A75" w:rsidRDefault="00387142" w:rsidP="00387142">
            <w:pPr>
              <w:jc w:val="center"/>
              <w:rPr>
                <w:sz w:val="20"/>
                <w:szCs w:val="20"/>
              </w:rPr>
            </w:pPr>
            <w:r w:rsidRPr="008B6A75">
              <w:rPr>
                <w:sz w:val="20"/>
                <w:szCs w:val="20"/>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5F1F1A88" w14:textId="77777777" w:rsidR="00387142" w:rsidRPr="008B6A75" w:rsidRDefault="00387142" w:rsidP="00387142">
            <w:pPr>
              <w:jc w:val="center"/>
              <w:rPr>
                <w:sz w:val="20"/>
                <w:szCs w:val="20"/>
              </w:rPr>
            </w:pPr>
            <w:r w:rsidRPr="008B6A75">
              <w:rPr>
                <w:sz w:val="20"/>
                <w:szCs w:val="20"/>
              </w:rPr>
              <w:t>04</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49CE83" w14:textId="77777777" w:rsidR="00387142" w:rsidRPr="008B6A75" w:rsidRDefault="00387142" w:rsidP="00387142">
            <w:pPr>
              <w:jc w:val="center"/>
              <w:rPr>
                <w:sz w:val="20"/>
                <w:szCs w:val="20"/>
              </w:rPr>
            </w:pPr>
            <w:r w:rsidRPr="008B6A75">
              <w:rPr>
                <w:sz w:val="20"/>
                <w:szCs w:val="20"/>
              </w:rPr>
              <w:t>08</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75846223" w14:textId="77777777" w:rsidR="00387142" w:rsidRPr="008B6A75" w:rsidRDefault="00387142" w:rsidP="00387142">
            <w:pPr>
              <w:jc w:val="center"/>
              <w:rPr>
                <w:sz w:val="20"/>
                <w:szCs w:val="20"/>
              </w:rPr>
            </w:pPr>
            <w:r w:rsidRPr="008B6A75">
              <w:rPr>
                <w:sz w:val="20"/>
                <w:szCs w:val="20"/>
              </w:rPr>
              <w:t>32.0.00.71100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B5BDCA" w14:textId="77777777" w:rsidR="00387142" w:rsidRPr="008B6A75" w:rsidRDefault="00387142" w:rsidP="00387142">
            <w:pPr>
              <w:jc w:val="center"/>
              <w:rPr>
                <w:sz w:val="20"/>
                <w:szCs w:val="20"/>
              </w:rPr>
            </w:pPr>
            <w:r w:rsidRPr="008B6A75">
              <w:rPr>
                <w:sz w:val="20"/>
                <w:szCs w:val="20"/>
              </w:rPr>
              <w:t>240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3EEFEF" w14:textId="77777777" w:rsidR="00387142" w:rsidRPr="008B6A75" w:rsidRDefault="00387142" w:rsidP="00387142">
            <w:pPr>
              <w:jc w:val="right"/>
              <w:rPr>
                <w:sz w:val="20"/>
                <w:szCs w:val="20"/>
              </w:rPr>
            </w:pPr>
            <w:r w:rsidRPr="008B6A75">
              <w:rPr>
                <w:sz w:val="20"/>
                <w:szCs w:val="20"/>
              </w:rPr>
              <w:t>0,00</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26877FEA" w14:textId="77777777" w:rsidR="00387142" w:rsidRPr="008B6A75" w:rsidRDefault="00387142" w:rsidP="00387142">
            <w:pPr>
              <w:jc w:val="right"/>
              <w:rPr>
                <w:sz w:val="20"/>
                <w:szCs w:val="20"/>
              </w:rPr>
            </w:pPr>
            <w:r w:rsidRPr="008B6A75">
              <w:rPr>
                <w:sz w:val="20"/>
                <w:szCs w:val="20"/>
              </w:rPr>
              <w:t>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42F08D" w14:textId="77777777" w:rsidR="00387142" w:rsidRPr="008B6A75" w:rsidRDefault="00387142" w:rsidP="00387142">
            <w:pPr>
              <w:jc w:val="right"/>
              <w:rPr>
                <w:sz w:val="20"/>
                <w:szCs w:val="20"/>
              </w:rPr>
            </w:pPr>
            <w:r w:rsidRPr="008B6A75">
              <w:rPr>
                <w:sz w:val="20"/>
                <w:szCs w:val="20"/>
              </w:rPr>
              <w:t>15 208 707,00</w:t>
            </w:r>
          </w:p>
        </w:tc>
        <w:tc>
          <w:tcPr>
            <w:tcW w:w="222" w:type="dxa"/>
            <w:vAlign w:val="center"/>
            <w:hideMark/>
          </w:tcPr>
          <w:p w14:paraId="1E132213" w14:textId="77777777" w:rsidR="00387142" w:rsidRPr="008B6A75" w:rsidRDefault="00387142" w:rsidP="00387142">
            <w:pPr>
              <w:rPr>
                <w:sz w:val="20"/>
                <w:szCs w:val="20"/>
              </w:rPr>
            </w:pPr>
          </w:p>
        </w:tc>
      </w:tr>
      <w:tr w:rsidR="00387142" w:rsidRPr="008B6A75" w14:paraId="702CA7EE" w14:textId="77777777" w:rsidTr="00387142">
        <w:trPr>
          <w:trHeight w:val="300"/>
        </w:trPr>
        <w:tc>
          <w:tcPr>
            <w:tcW w:w="3021" w:type="dxa"/>
            <w:tcBorders>
              <w:top w:val="nil"/>
              <w:left w:val="single" w:sz="4" w:space="0" w:color="auto"/>
              <w:bottom w:val="nil"/>
              <w:right w:val="nil"/>
            </w:tcBorders>
            <w:shd w:val="clear" w:color="auto" w:fill="auto"/>
            <w:vAlign w:val="center"/>
            <w:hideMark/>
          </w:tcPr>
          <w:p w14:paraId="599A898E" w14:textId="77777777" w:rsidR="00387142" w:rsidRPr="008B6A75" w:rsidRDefault="00387142" w:rsidP="00387142">
            <w:pPr>
              <w:rPr>
                <w:sz w:val="20"/>
                <w:szCs w:val="20"/>
              </w:rPr>
            </w:pPr>
            <w:r w:rsidRPr="008B6A75">
              <w:rPr>
                <w:sz w:val="20"/>
                <w:szCs w:val="20"/>
              </w:rPr>
              <w:t>Межбюджетные трансферты</w:t>
            </w:r>
          </w:p>
        </w:tc>
        <w:tc>
          <w:tcPr>
            <w:tcW w:w="850" w:type="dxa"/>
            <w:tcBorders>
              <w:top w:val="nil"/>
              <w:left w:val="single" w:sz="4" w:space="0" w:color="auto"/>
              <w:bottom w:val="nil"/>
              <w:right w:val="nil"/>
            </w:tcBorders>
            <w:shd w:val="clear" w:color="auto" w:fill="auto"/>
            <w:noWrap/>
            <w:vAlign w:val="center"/>
            <w:hideMark/>
          </w:tcPr>
          <w:p w14:paraId="189BFA95" w14:textId="77777777" w:rsidR="00387142" w:rsidRPr="008B6A75" w:rsidRDefault="00387142" w:rsidP="00387142">
            <w:pPr>
              <w:jc w:val="center"/>
              <w:rPr>
                <w:sz w:val="20"/>
                <w:szCs w:val="20"/>
              </w:rPr>
            </w:pPr>
            <w:r w:rsidRPr="008B6A75">
              <w:rPr>
                <w:sz w:val="20"/>
                <w:szCs w:val="20"/>
              </w:rPr>
              <w:t>444</w:t>
            </w:r>
          </w:p>
        </w:tc>
        <w:tc>
          <w:tcPr>
            <w:tcW w:w="709" w:type="dxa"/>
            <w:tcBorders>
              <w:top w:val="nil"/>
              <w:left w:val="single" w:sz="4" w:space="0" w:color="auto"/>
              <w:bottom w:val="nil"/>
              <w:right w:val="nil"/>
            </w:tcBorders>
            <w:shd w:val="clear" w:color="auto" w:fill="auto"/>
            <w:noWrap/>
            <w:vAlign w:val="center"/>
            <w:hideMark/>
          </w:tcPr>
          <w:p w14:paraId="32E8F27B" w14:textId="77777777" w:rsidR="00387142" w:rsidRPr="008B6A75" w:rsidRDefault="00387142" w:rsidP="00387142">
            <w:pPr>
              <w:jc w:val="center"/>
              <w:rPr>
                <w:sz w:val="20"/>
                <w:szCs w:val="20"/>
              </w:rPr>
            </w:pPr>
            <w:r w:rsidRPr="008B6A75">
              <w:rPr>
                <w:sz w:val="20"/>
                <w:szCs w:val="20"/>
              </w:rPr>
              <w:t>04</w:t>
            </w:r>
          </w:p>
        </w:tc>
        <w:tc>
          <w:tcPr>
            <w:tcW w:w="709" w:type="dxa"/>
            <w:tcBorders>
              <w:top w:val="nil"/>
              <w:left w:val="single" w:sz="4" w:space="0" w:color="auto"/>
              <w:bottom w:val="nil"/>
              <w:right w:val="single" w:sz="4" w:space="0" w:color="auto"/>
            </w:tcBorders>
            <w:shd w:val="clear" w:color="auto" w:fill="auto"/>
            <w:noWrap/>
            <w:vAlign w:val="center"/>
            <w:hideMark/>
          </w:tcPr>
          <w:p w14:paraId="2DAB360C" w14:textId="77777777" w:rsidR="00387142" w:rsidRPr="008B6A75" w:rsidRDefault="00387142" w:rsidP="00387142">
            <w:pPr>
              <w:jc w:val="center"/>
              <w:rPr>
                <w:sz w:val="20"/>
                <w:szCs w:val="20"/>
              </w:rPr>
            </w:pPr>
            <w:r w:rsidRPr="008B6A75">
              <w:rPr>
                <w:sz w:val="20"/>
                <w:szCs w:val="20"/>
              </w:rPr>
              <w:t>08</w:t>
            </w:r>
          </w:p>
        </w:tc>
        <w:tc>
          <w:tcPr>
            <w:tcW w:w="1411" w:type="dxa"/>
            <w:tcBorders>
              <w:top w:val="nil"/>
              <w:left w:val="single" w:sz="4" w:space="0" w:color="auto"/>
              <w:bottom w:val="nil"/>
              <w:right w:val="nil"/>
            </w:tcBorders>
            <w:shd w:val="clear" w:color="auto" w:fill="auto"/>
            <w:noWrap/>
            <w:vAlign w:val="center"/>
            <w:hideMark/>
          </w:tcPr>
          <w:p w14:paraId="1C452A47" w14:textId="77777777" w:rsidR="00387142" w:rsidRPr="008B6A75" w:rsidRDefault="00387142" w:rsidP="00387142">
            <w:pPr>
              <w:jc w:val="center"/>
              <w:rPr>
                <w:sz w:val="20"/>
                <w:szCs w:val="20"/>
              </w:rPr>
            </w:pPr>
            <w:r w:rsidRPr="008B6A75">
              <w:rPr>
                <w:sz w:val="20"/>
                <w:szCs w:val="20"/>
              </w:rPr>
              <w:t>32.0.00.71100</w:t>
            </w:r>
          </w:p>
        </w:tc>
        <w:tc>
          <w:tcPr>
            <w:tcW w:w="955" w:type="dxa"/>
            <w:tcBorders>
              <w:top w:val="nil"/>
              <w:left w:val="single" w:sz="4" w:space="0" w:color="auto"/>
              <w:bottom w:val="nil"/>
              <w:right w:val="single" w:sz="4" w:space="0" w:color="auto"/>
            </w:tcBorders>
            <w:shd w:val="clear" w:color="auto" w:fill="auto"/>
            <w:noWrap/>
            <w:vAlign w:val="center"/>
            <w:hideMark/>
          </w:tcPr>
          <w:p w14:paraId="247396F3" w14:textId="77777777" w:rsidR="00387142" w:rsidRPr="008B6A75" w:rsidRDefault="00387142" w:rsidP="00387142">
            <w:pPr>
              <w:jc w:val="center"/>
              <w:rPr>
                <w:sz w:val="20"/>
                <w:szCs w:val="20"/>
              </w:rPr>
            </w:pPr>
            <w:r w:rsidRPr="008B6A75">
              <w:rPr>
                <w:sz w:val="20"/>
                <w:szCs w:val="20"/>
              </w:rPr>
              <w:t>500</w:t>
            </w:r>
          </w:p>
        </w:tc>
        <w:tc>
          <w:tcPr>
            <w:tcW w:w="992" w:type="dxa"/>
            <w:tcBorders>
              <w:top w:val="nil"/>
              <w:left w:val="single" w:sz="4" w:space="0" w:color="auto"/>
              <w:bottom w:val="nil"/>
              <w:right w:val="single" w:sz="4" w:space="0" w:color="auto"/>
            </w:tcBorders>
            <w:shd w:val="clear" w:color="auto" w:fill="auto"/>
            <w:noWrap/>
            <w:vAlign w:val="center"/>
            <w:hideMark/>
          </w:tcPr>
          <w:p w14:paraId="0172A1C0" w14:textId="77777777" w:rsidR="00387142" w:rsidRPr="008B6A75" w:rsidRDefault="00387142" w:rsidP="00387142">
            <w:pPr>
              <w:jc w:val="right"/>
              <w:rPr>
                <w:sz w:val="20"/>
                <w:szCs w:val="20"/>
              </w:rPr>
            </w:pPr>
            <w:r w:rsidRPr="008B6A75">
              <w:rPr>
                <w:sz w:val="20"/>
                <w:szCs w:val="20"/>
              </w:rPr>
              <w:t>15 208 707,00</w:t>
            </w:r>
          </w:p>
        </w:tc>
        <w:tc>
          <w:tcPr>
            <w:tcW w:w="992" w:type="dxa"/>
            <w:gridSpan w:val="2"/>
            <w:tcBorders>
              <w:top w:val="nil"/>
              <w:left w:val="single" w:sz="4" w:space="0" w:color="auto"/>
              <w:bottom w:val="nil"/>
              <w:right w:val="nil"/>
            </w:tcBorders>
            <w:shd w:val="clear" w:color="auto" w:fill="auto"/>
            <w:noWrap/>
            <w:vAlign w:val="center"/>
            <w:hideMark/>
          </w:tcPr>
          <w:p w14:paraId="25B40271" w14:textId="77777777" w:rsidR="00387142" w:rsidRPr="008B6A75" w:rsidRDefault="00387142" w:rsidP="00387142">
            <w:pPr>
              <w:jc w:val="right"/>
              <w:rPr>
                <w:sz w:val="20"/>
                <w:szCs w:val="20"/>
              </w:rPr>
            </w:pPr>
            <w:r w:rsidRPr="008B6A75">
              <w:rPr>
                <w:sz w:val="20"/>
                <w:szCs w:val="20"/>
              </w:rPr>
              <w:t>15 208 707,00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05CE6BAB" w14:textId="77777777" w:rsidR="00387142" w:rsidRPr="008B6A75" w:rsidRDefault="00387142" w:rsidP="00387142">
            <w:pPr>
              <w:jc w:val="right"/>
              <w:rPr>
                <w:sz w:val="20"/>
                <w:szCs w:val="20"/>
              </w:rPr>
            </w:pPr>
            <w:r w:rsidRPr="008B6A75">
              <w:rPr>
                <w:sz w:val="20"/>
                <w:szCs w:val="20"/>
              </w:rPr>
              <w:t>0,00</w:t>
            </w:r>
          </w:p>
        </w:tc>
        <w:tc>
          <w:tcPr>
            <w:tcW w:w="222" w:type="dxa"/>
            <w:vAlign w:val="center"/>
            <w:hideMark/>
          </w:tcPr>
          <w:p w14:paraId="5B052A17" w14:textId="77777777" w:rsidR="00387142" w:rsidRPr="008B6A75" w:rsidRDefault="00387142" w:rsidP="00387142">
            <w:pPr>
              <w:rPr>
                <w:sz w:val="20"/>
                <w:szCs w:val="20"/>
              </w:rPr>
            </w:pPr>
          </w:p>
        </w:tc>
      </w:tr>
      <w:tr w:rsidR="00387142" w:rsidRPr="008B6A75" w14:paraId="0D9FE53C" w14:textId="77777777" w:rsidTr="00387142">
        <w:trPr>
          <w:trHeight w:val="300"/>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7C334972" w14:textId="77777777" w:rsidR="00387142" w:rsidRPr="008B6A75" w:rsidRDefault="00387142" w:rsidP="00387142">
            <w:pPr>
              <w:rPr>
                <w:sz w:val="20"/>
                <w:szCs w:val="20"/>
              </w:rPr>
            </w:pPr>
            <w:r w:rsidRPr="008B6A75">
              <w:rPr>
                <w:sz w:val="20"/>
                <w:szCs w:val="20"/>
              </w:rPr>
              <w:t>Субсидии</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5695A182" w14:textId="77777777" w:rsidR="00387142" w:rsidRPr="008B6A75" w:rsidRDefault="00387142" w:rsidP="00387142">
            <w:pPr>
              <w:jc w:val="center"/>
              <w:rPr>
                <w:sz w:val="20"/>
                <w:szCs w:val="20"/>
              </w:rPr>
            </w:pPr>
            <w:r w:rsidRPr="008B6A75">
              <w:rPr>
                <w:sz w:val="20"/>
                <w:szCs w:val="20"/>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4561E53F" w14:textId="77777777" w:rsidR="00387142" w:rsidRPr="008B6A75" w:rsidRDefault="00387142" w:rsidP="00387142">
            <w:pPr>
              <w:jc w:val="center"/>
              <w:rPr>
                <w:sz w:val="20"/>
                <w:szCs w:val="20"/>
              </w:rPr>
            </w:pPr>
            <w:r w:rsidRPr="008B6A75">
              <w:rPr>
                <w:sz w:val="20"/>
                <w:szCs w:val="20"/>
              </w:rPr>
              <w:t>04</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A486BD" w14:textId="77777777" w:rsidR="00387142" w:rsidRPr="008B6A75" w:rsidRDefault="00387142" w:rsidP="00387142">
            <w:pPr>
              <w:jc w:val="center"/>
              <w:rPr>
                <w:sz w:val="20"/>
                <w:szCs w:val="20"/>
              </w:rPr>
            </w:pPr>
            <w:r w:rsidRPr="008B6A75">
              <w:rPr>
                <w:sz w:val="20"/>
                <w:szCs w:val="20"/>
              </w:rPr>
              <w:t>08</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5DD1ED3B" w14:textId="77777777" w:rsidR="00387142" w:rsidRPr="008B6A75" w:rsidRDefault="00387142" w:rsidP="00387142">
            <w:pPr>
              <w:jc w:val="center"/>
              <w:rPr>
                <w:sz w:val="20"/>
                <w:szCs w:val="20"/>
              </w:rPr>
            </w:pPr>
            <w:r w:rsidRPr="008B6A75">
              <w:rPr>
                <w:sz w:val="20"/>
                <w:szCs w:val="20"/>
              </w:rPr>
              <w:t>32.0.00.71100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86D1D7" w14:textId="77777777" w:rsidR="00387142" w:rsidRPr="008B6A75" w:rsidRDefault="00387142" w:rsidP="00387142">
            <w:pPr>
              <w:jc w:val="center"/>
              <w:rPr>
                <w:sz w:val="20"/>
                <w:szCs w:val="20"/>
              </w:rPr>
            </w:pPr>
            <w:r w:rsidRPr="008B6A75">
              <w:rPr>
                <w:sz w:val="20"/>
                <w:szCs w:val="20"/>
              </w:rPr>
              <w:t>520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2D040B" w14:textId="77777777" w:rsidR="00387142" w:rsidRPr="008B6A75" w:rsidRDefault="00387142" w:rsidP="00387142">
            <w:pPr>
              <w:jc w:val="right"/>
              <w:rPr>
                <w:sz w:val="20"/>
                <w:szCs w:val="20"/>
              </w:rPr>
            </w:pPr>
            <w:r w:rsidRPr="008B6A75">
              <w:rPr>
                <w:sz w:val="20"/>
                <w:szCs w:val="20"/>
              </w:rPr>
              <w:t>15 208 707,00</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6E00D2CA" w14:textId="77777777" w:rsidR="00387142" w:rsidRPr="008B6A75" w:rsidRDefault="00387142" w:rsidP="00387142">
            <w:pPr>
              <w:jc w:val="right"/>
              <w:rPr>
                <w:sz w:val="20"/>
                <w:szCs w:val="20"/>
              </w:rPr>
            </w:pPr>
            <w:r w:rsidRPr="008B6A75">
              <w:rPr>
                <w:sz w:val="20"/>
                <w:szCs w:val="20"/>
              </w:rPr>
              <w:t>15 208 707,00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A38373" w14:textId="77777777" w:rsidR="00387142" w:rsidRPr="008B6A75" w:rsidRDefault="00387142" w:rsidP="00387142">
            <w:pPr>
              <w:jc w:val="right"/>
              <w:rPr>
                <w:sz w:val="20"/>
                <w:szCs w:val="20"/>
              </w:rPr>
            </w:pPr>
            <w:r w:rsidRPr="008B6A75">
              <w:rPr>
                <w:sz w:val="20"/>
                <w:szCs w:val="20"/>
              </w:rPr>
              <w:t>0,00</w:t>
            </w:r>
          </w:p>
        </w:tc>
        <w:tc>
          <w:tcPr>
            <w:tcW w:w="222" w:type="dxa"/>
            <w:vAlign w:val="center"/>
            <w:hideMark/>
          </w:tcPr>
          <w:p w14:paraId="0BF69431" w14:textId="77777777" w:rsidR="00387142" w:rsidRPr="008B6A75" w:rsidRDefault="00387142" w:rsidP="00387142">
            <w:pPr>
              <w:rPr>
                <w:sz w:val="20"/>
                <w:szCs w:val="20"/>
              </w:rPr>
            </w:pPr>
          </w:p>
        </w:tc>
      </w:tr>
      <w:tr w:rsidR="00387142" w:rsidRPr="008B6A75" w14:paraId="0D433FDA" w14:textId="77777777" w:rsidTr="00387142">
        <w:trPr>
          <w:trHeight w:val="2865"/>
        </w:trPr>
        <w:tc>
          <w:tcPr>
            <w:tcW w:w="3021" w:type="dxa"/>
            <w:tcBorders>
              <w:top w:val="nil"/>
              <w:left w:val="single" w:sz="4" w:space="0" w:color="auto"/>
              <w:bottom w:val="nil"/>
              <w:right w:val="nil"/>
            </w:tcBorders>
            <w:shd w:val="clear" w:color="auto" w:fill="auto"/>
            <w:vAlign w:val="center"/>
            <w:hideMark/>
          </w:tcPr>
          <w:p w14:paraId="4A29E292" w14:textId="77777777" w:rsidR="00387142" w:rsidRPr="008B6A75" w:rsidRDefault="00387142" w:rsidP="00387142">
            <w:pPr>
              <w:rPr>
                <w:bCs/>
                <w:sz w:val="20"/>
                <w:szCs w:val="20"/>
              </w:rPr>
            </w:pPr>
            <w:proofErr w:type="spellStart"/>
            <w:r w:rsidRPr="008B6A75">
              <w:rPr>
                <w:bCs/>
                <w:sz w:val="20"/>
                <w:szCs w:val="20"/>
              </w:rPr>
              <w:t>Софинансирование</w:t>
            </w:r>
            <w:proofErr w:type="spellEnd"/>
            <w:r w:rsidRPr="008B6A75">
              <w:rPr>
                <w:bCs/>
                <w:sz w:val="20"/>
                <w:szCs w:val="20"/>
              </w:rPr>
              <w:t xml:space="preserve"> местного </w:t>
            </w:r>
            <w:proofErr w:type="spellStart"/>
            <w:r w:rsidRPr="008B6A75">
              <w:rPr>
                <w:bCs/>
                <w:sz w:val="20"/>
                <w:szCs w:val="20"/>
              </w:rPr>
              <w:t>бюджетна</w:t>
            </w:r>
            <w:proofErr w:type="spellEnd"/>
            <w:r w:rsidRPr="008B6A75">
              <w:rPr>
                <w:bCs/>
                <w:sz w:val="20"/>
                <w:szCs w:val="20"/>
              </w:rPr>
              <w:t xml:space="preserve"> на приобретение (обновление) транспортных средств автомобильного и наземного электрического общественного пассажирского транспорта государственной программы Новосибирской области "Обеспечение доступности услуг общественного пассажирского транспорта, в том числе Новосибирского метрополитена, для населения Новосибирской области"</w:t>
            </w:r>
          </w:p>
        </w:tc>
        <w:tc>
          <w:tcPr>
            <w:tcW w:w="850" w:type="dxa"/>
            <w:tcBorders>
              <w:top w:val="nil"/>
              <w:left w:val="single" w:sz="4" w:space="0" w:color="auto"/>
              <w:bottom w:val="nil"/>
              <w:right w:val="nil"/>
            </w:tcBorders>
            <w:shd w:val="clear" w:color="auto" w:fill="auto"/>
            <w:noWrap/>
            <w:vAlign w:val="center"/>
            <w:hideMark/>
          </w:tcPr>
          <w:p w14:paraId="43E5E896" w14:textId="77777777" w:rsidR="00387142" w:rsidRPr="008B6A75" w:rsidRDefault="00387142" w:rsidP="00387142">
            <w:pPr>
              <w:jc w:val="center"/>
              <w:rPr>
                <w:bCs/>
                <w:sz w:val="20"/>
                <w:szCs w:val="20"/>
              </w:rPr>
            </w:pPr>
            <w:r w:rsidRPr="008B6A75">
              <w:rPr>
                <w:bCs/>
                <w:sz w:val="20"/>
                <w:szCs w:val="20"/>
              </w:rPr>
              <w:t>444</w:t>
            </w:r>
          </w:p>
        </w:tc>
        <w:tc>
          <w:tcPr>
            <w:tcW w:w="709" w:type="dxa"/>
            <w:tcBorders>
              <w:top w:val="nil"/>
              <w:left w:val="single" w:sz="4" w:space="0" w:color="auto"/>
              <w:bottom w:val="nil"/>
              <w:right w:val="nil"/>
            </w:tcBorders>
            <w:shd w:val="clear" w:color="auto" w:fill="auto"/>
            <w:noWrap/>
            <w:vAlign w:val="center"/>
            <w:hideMark/>
          </w:tcPr>
          <w:p w14:paraId="66188B65" w14:textId="77777777" w:rsidR="00387142" w:rsidRPr="008B6A75" w:rsidRDefault="00387142" w:rsidP="00387142">
            <w:pPr>
              <w:jc w:val="center"/>
              <w:rPr>
                <w:bCs/>
                <w:sz w:val="20"/>
                <w:szCs w:val="20"/>
              </w:rPr>
            </w:pPr>
            <w:r w:rsidRPr="008B6A75">
              <w:rPr>
                <w:bCs/>
                <w:sz w:val="20"/>
                <w:szCs w:val="20"/>
              </w:rPr>
              <w:t>04</w:t>
            </w:r>
          </w:p>
        </w:tc>
        <w:tc>
          <w:tcPr>
            <w:tcW w:w="709" w:type="dxa"/>
            <w:tcBorders>
              <w:top w:val="nil"/>
              <w:left w:val="single" w:sz="4" w:space="0" w:color="auto"/>
              <w:bottom w:val="nil"/>
              <w:right w:val="single" w:sz="4" w:space="0" w:color="auto"/>
            </w:tcBorders>
            <w:shd w:val="clear" w:color="auto" w:fill="auto"/>
            <w:noWrap/>
            <w:vAlign w:val="center"/>
            <w:hideMark/>
          </w:tcPr>
          <w:p w14:paraId="56A897C7" w14:textId="77777777" w:rsidR="00387142" w:rsidRPr="008B6A75" w:rsidRDefault="00387142" w:rsidP="00387142">
            <w:pPr>
              <w:jc w:val="center"/>
              <w:rPr>
                <w:bCs/>
                <w:sz w:val="20"/>
                <w:szCs w:val="20"/>
              </w:rPr>
            </w:pPr>
            <w:r w:rsidRPr="008B6A75">
              <w:rPr>
                <w:bCs/>
                <w:sz w:val="20"/>
                <w:szCs w:val="20"/>
              </w:rPr>
              <w:t>08</w:t>
            </w:r>
          </w:p>
        </w:tc>
        <w:tc>
          <w:tcPr>
            <w:tcW w:w="1411" w:type="dxa"/>
            <w:tcBorders>
              <w:top w:val="nil"/>
              <w:left w:val="single" w:sz="4" w:space="0" w:color="auto"/>
              <w:bottom w:val="nil"/>
              <w:right w:val="nil"/>
            </w:tcBorders>
            <w:shd w:val="clear" w:color="auto" w:fill="auto"/>
            <w:noWrap/>
            <w:vAlign w:val="center"/>
            <w:hideMark/>
          </w:tcPr>
          <w:p w14:paraId="1CD39153" w14:textId="77777777" w:rsidR="00387142" w:rsidRPr="008B6A75" w:rsidRDefault="00387142" w:rsidP="00387142">
            <w:pPr>
              <w:jc w:val="center"/>
              <w:rPr>
                <w:bCs/>
                <w:sz w:val="20"/>
                <w:szCs w:val="20"/>
              </w:rPr>
            </w:pPr>
            <w:r w:rsidRPr="008B6A75">
              <w:rPr>
                <w:bCs/>
                <w:sz w:val="20"/>
                <w:szCs w:val="20"/>
              </w:rPr>
              <w:t>32.0.00.S0170</w:t>
            </w:r>
          </w:p>
        </w:tc>
        <w:tc>
          <w:tcPr>
            <w:tcW w:w="955" w:type="dxa"/>
            <w:tcBorders>
              <w:top w:val="nil"/>
              <w:left w:val="single" w:sz="4" w:space="0" w:color="auto"/>
              <w:bottom w:val="nil"/>
              <w:right w:val="single" w:sz="4" w:space="0" w:color="auto"/>
            </w:tcBorders>
            <w:shd w:val="clear" w:color="auto" w:fill="auto"/>
            <w:noWrap/>
            <w:vAlign w:val="center"/>
            <w:hideMark/>
          </w:tcPr>
          <w:p w14:paraId="7B7AE36F"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nil"/>
              <w:right w:val="single" w:sz="4" w:space="0" w:color="auto"/>
            </w:tcBorders>
            <w:shd w:val="clear" w:color="auto" w:fill="auto"/>
            <w:noWrap/>
            <w:vAlign w:val="center"/>
            <w:hideMark/>
          </w:tcPr>
          <w:p w14:paraId="347401B3" w14:textId="77777777" w:rsidR="00387142" w:rsidRPr="008B6A75" w:rsidRDefault="00387142" w:rsidP="00387142">
            <w:pPr>
              <w:jc w:val="right"/>
              <w:rPr>
                <w:bCs/>
                <w:sz w:val="20"/>
                <w:szCs w:val="20"/>
              </w:rPr>
            </w:pPr>
            <w:r w:rsidRPr="008B6A75">
              <w:rPr>
                <w:bCs/>
                <w:sz w:val="20"/>
                <w:szCs w:val="20"/>
              </w:rPr>
              <w:t>1 168 600,00</w:t>
            </w:r>
          </w:p>
        </w:tc>
        <w:tc>
          <w:tcPr>
            <w:tcW w:w="992" w:type="dxa"/>
            <w:gridSpan w:val="2"/>
            <w:tcBorders>
              <w:top w:val="nil"/>
              <w:left w:val="single" w:sz="4" w:space="0" w:color="auto"/>
              <w:bottom w:val="nil"/>
              <w:right w:val="nil"/>
            </w:tcBorders>
            <w:shd w:val="clear" w:color="auto" w:fill="auto"/>
            <w:noWrap/>
            <w:vAlign w:val="center"/>
            <w:hideMark/>
          </w:tcPr>
          <w:p w14:paraId="61720AEA" w14:textId="77777777" w:rsidR="00387142" w:rsidRPr="008B6A75" w:rsidRDefault="00387142" w:rsidP="00387142">
            <w:pPr>
              <w:jc w:val="right"/>
              <w:rPr>
                <w:bCs/>
                <w:sz w:val="20"/>
                <w:szCs w:val="20"/>
              </w:rPr>
            </w:pPr>
            <w:r w:rsidRPr="008B6A75">
              <w:rPr>
                <w:bCs/>
                <w:sz w:val="20"/>
                <w:szCs w:val="20"/>
              </w:rPr>
              <w:t>0,00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6F199982" w14:textId="77777777" w:rsidR="00387142" w:rsidRPr="008B6A75" w:rsidRDefault="00387142" w:rsidP="00387142">
            <w:pPr>
              <w:jc w:val="right"/>
              <w:rPr>
                <w:bCs/>
                <w:sz w:val="20"/>
                <w:szCs w:val="20"/>
              </w:rPr>
            </w:pPr>
            <w:r w:rsidRPr="008B6A75">
              <w:rPr>
                <w:bCs/>
                <w:sz w:val="20"/>
                <w:szCs w:val="20"/>
              </w:rPr>
              <w:t>0,00</w:t>
            </w:r>
          </w:p>
        </w:tc>
        <w:tc>
          <w:tcPr>
            <w:tcW w:w="222" w:type="dxa"/>
            <w:vAlign w:val="center"/>
            <w:hideMark/>
          </w:tcPr>
          <w:p w14:paraId="4422FCA6" w14:textId="77777777" w:rsidR="00387142" w:rsidRPr="008B6A75" w:rsidRDefault="00387142" w:rsidP="00387142">
            <w:pPr>
              <w:rPr>
                <w:sz w:val="20"/>
                <w:szCs w:val="20"/>
              </w:rPr>
            </w:pPr>
          </w:p>
        </w:tc>
      </w:tr>
      <w:tr w:rsidR="00387142" w:rsidRPr="008B6A75" w14:paraId="3F0CB70C" w14:textId="77777777" w:rsidTr="00387142">
        <w:trPr>
          <w:trHeight w:val="585"/>
        </w:trPr>
        <w:tc>
          <w:tcPr>
            <w:tcW w:w="3021" w:type="dxa"/>
            <w:tcBorders>
              <w:top w:val="single" w:sz="4" w:space="0" w:color="auto"/>
              <w:left w:val="single" w:sz="4" w:space="0" w:color="auto"/>
              <w:bottom w:val="nil"/>
              <w:right w:val="nil"/>
            </w:tcBorders>
            <w:shd w:val="clear" w:color="auto" w:fill="auto"/>
            <w:vAlign w:val="center"/>
            <w:hideMark/>
          </w:tcPr>
          <w:p w14:paraId="67F555F9" w14:textId="77777777" w:rsidR="00387142" w:rsidRPr="008B6A75" w:rsidRDefault="00387142" w:rsidP="00387142">
            <w:pPr>
              <w:rPr>
                <w:sz w:val="20"/>
                <w:szCs w:val="20"/>
              </w:rPr>
            </w:pPr>
            <w:r w:rsidRPr="008B6A75">
              <w:rPr>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nil"/>
              <w:right w:val="nil"/>
            </w:tcBorders>
            <w:shd w:val="clear" w:color="auto" w:fill="auto"/>
            <w:noWrap/>
            <w:vAlign w:val="center"/>
            <w:hideMark/>
          </w:tcPr>
          <w:p w14:paraId="49F0321C" w14:textId="77777777" w:rsidR="00387142" w:rsidRPr="008B6A75" w:rsidRDefault="00387142" w:rsidP="00387142">
            <w:pPr>
              <w:jc w:val="center"/>
              <w:rPr>
                <w:sz w:val="20"/>
                <w:szCs w:val="20"/>
              </w:rPr>
            </w:pPr>
            <w:r w:rsidRPr="008B6A75">
              <w:rPr>
                <w:sz w:val="20"/>
                <w:szCs w:val="20"/>
              </w:rPr>
              <w:t>444</w:t>
            </w:r>
          </w:p>
        </w:tc>
        <w:tc>
          <w:tcPr>
            <w:tcW w:w="709" w:type="dxa"/>
            <w:tcBorders>
              <w:top w:val="single" w:sz="4" w:space="0" w:color="auto"/>
              <w:left w:val="single" w:sz="4" w:space="0" w:color="auto"/>
              <w:bottom w:val="nil"/>
              <w:right w:val="nil"/>
            </w:tcBorders>
            <w:shd w:val="clear" w:color="auto" w:fill="auto"/>
            <w:noWrap/>
            <w:vAlign w:val="center"/>
            <w:hideMark/>
          </w:tcPr>
          <w:p w14:paraId="1EBF314B" w14:textId="77777777" w:rsidR="00387142" w:rsidRPr="008B6A75" w:rsidRDefault="00387142" w:rsidP="00387142">
            <w:pPr>
              <w:jc w:val="center"/>
              <w:rPr>
                <w:sz w:val="20"/>
                <w:szCs w:val="20"/>
              </w:rPr>
            </w:pPr>
            <w:r w:rsidRPr="008B6A75">
              <w:rPr>
                <w:sz w:val="20"/>
                <w:szCs w:val="20"/>
              </w:rPr>
              <w:t>04</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27D2CAE9" w14:textId="77777777" w:rsidR="00387142" w:rsidRPr="008B6A75" w:rsidRDefault="00387142" w:rsidP="00387142">
            <w:pPr>
              <w:jc w:val="center"/>
              <w:rPr>
                <w:sz w:val="20"/>
                <w:szCs w:val="20"/>
              </w:rPr>
            </w:pPr>
            <w:r w:rsidRPr="008B6A75">
              <w:rPr>
                <w:sz w:val="20"/>
                <w:szCs w:val="20"/>
              </w:rPr>
              <w:t>08</w:t>
            </w:r>
          </w:p>
        </w:tc>
        <w:tc>
          <w:tcPr>
            <w:tcW w:w="1411" w:type="dxa"/>
            <w:tcBorders>
              <w:top w:val="single" w:sz="4" w:space="0" w:color="auto"/>
              <w:left w:val="single" w:sz="4" w:space="0" w:color="auto"/>
              <w:bottom w:val="nil"/>
              <w:right w:val="nil"/>
            </w:tcBorders>
            <w:shd w:val="clear" w:color="auto" w:fill="auto"/>
            <w:noWrap/>
            <w:vAlign w:val="center"/>
            <w:hideMark/>
          </w:tcPr>
          <w:p w14:paraId="5CBF1D1E" w14:textId="77777777" w:rsidR="00387142" w:rsidRPr="008B6A75" w:rsidRDefault="00387142" w:rsidP="00387142">
            <w:pPr>
              <w:jc w:val="center"/>
              <w:rPr>
                <w:sz w:val="20"/>
                <w:szCs w:val="20"/>
              </w:rPr>
            </w:pPr>
            <w:r w:rsidRPr="008B6A75">
              <w:rPr>
                <w:sz w:val="20"/>
                <w:szCs w:val="20"/>
              </w:rPr>
              <w:t>32.0.00.S0170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2ACCE4E3" w14:textId="77777777" w:rsidR="00387142" w:rsidRPr="008B6A75" w:rsidRDefault="00387142" w:rsidP="00387142">
            <w:pPr>
              <w:jc w:val="center"/>
              <w:rPr>
                <w:sz w:val="20"/>
                <w:szCs w:val="20"/>
              </w:rPr>
            </w:pPr>
            <w:r w:rsidRPr="008B6A75">
              <w:rPr>
                <w:sz w:val="20"/>
                <w:szCs w:val="20"/>
              </w:rPr>
              <w:t>200</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11759BE7" w14:textId="77777777" w:rsidR="00387142" w:rsidRPr="008B6A75" w:rsidRDefault="00387142" w:rsidP="00387142">
            <w:pPr>
              <w:jc w:val="right"/>
              <w:rPr>
                <w:sz w:val="20"/>
                <w:szCs w:val="20"/>
              </w:rPr>
            </w:pPr>
            <w:r w:rsidRPr="008B6A75">
              <w:rPr>
                <w:sz w:val="20"/>
                <w:szCs w:val="20"/>
              </w:rPr>
              <w:t>1 168 600,00</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67EAB2AD" w14:textId="77777777" w:rsidR="00387142" w:rsidRPr="008B6A75" w:rsidRDefault="00387142" w:rsidP="00387142">
            <w:pPr>
              <w:jc w:val="right"/>
              <w:rPr>
                <w:sz w:val="20"/>
                <w:szCs w:val="20"/>
              </w:rPr>
            </w:pPr>
            <w:r w:rsidRPr="008B6A75">
              <w:rPr>
                <w:sz w:val="20"/>
                <w:szCs w:val="20"/>
              </w:rPr>
              <w:t>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31D574CF" w14:textId="77777777" w:rsidR="00387142" w:rsidRPr="008B6A75" w:rsidRDefault="00387142" w:rsidP="00387142">
            <w:pPr>
              <w:jc w:val="right"/>
              <w:rPr>
                <w:sz w:val="20"/>
                <w:szCs w:val="20"/>
              </w:rPr>
            </w:pPr>
            <w:r w:rsidRPr="008B6A75">
              <w:rPr>
                <w:sz w:val="20"/>
                <w:szCs w:val="20"/>
              </w:rPr>
              <w:t>0,00</w:t>
            </w:r>
          </w:p>
        </w:tc>
        <w:tc>
          <w:tcPr>
            <w:tcW w:w="222" w:type="dxa"/>
            <w:vAlign w:val="center"/>
            <w:hideMark/>
          </w:tcPr>
          <w:p w14:paraId="64EEFA7F" w14:textId="77777777" w:rsidR="00387142" w:rsidRPr="008B6A75" w:rsidRDefault="00387142" w:rsidP="00387142">
            <w:pPr>
              <w:rPr>
                <w:sz w:val="20"/>
                <w:szCs w:val="20"/>
              </w:rPr>
            </w:pPr>
          </w:p>
        </w:tc>
      </w:tr>
      <w:tr w:rsidR="00387142" w:rsidRPr="008B6A75" w14:paraId="4B8B8D29" w14:textId="77777777" w:rsidTr="00387142">
        <w:trPr>
          <w:trHeight w:val="870"/>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65D72A30" w14:textId="77777777" w:rsidR="00387142" w:rsidRPr="008B6A75" w:rsidRDefault="00387142" w:rsidP="00387142">
            <w:pPr>
              <w:rPr>
                <w:sz w:val="20"/>
                <w:szCs w:val="20"/>
              </w:rPr>
            </w:pPr>
            <w:r w:rsidRPr="008B6A75">
              <w:rPr>
                <w:sz w:val="20"/>
                <w:szCs w:val="20"/>
              </w:rPr>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0A7A63AF" w14:textId="77777777" w:rsidR="00387142" w:rsidRPr="008B6A75" w:rsidRDefault="00387142" w:rsidP="00387142">
            <w:pPr>
              <w:jc w:val="center"/>
              <w:rPr>
                <w:sz w:val="20"/>
                <w:szCs w:val="20"/>
              </w:rPr>
            </w:pPr>
            <w:r w:rsidRPr="008B6A75">
              <w:rPr>
                <w:sz w:val="20"/>
                <w:szCs w:val="20"/>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144EE7CD" w14:textId="77777777" w:rsidR="00387142" w:rsidRPr="008B6A75" w:rsidRDefault="00387142" w:rsidP="00387142">
            <w:pPr>
              <w:jc w:val="center"/>
              <w:rPr>
                <w:sz w:val="20"/>
                <w:szCs w:val="20"/>
              </w:rPr>
            </w:pPr>
            <w:r w:rsidRPr="008B6A75">
              <w:rPr>
                <w:sz w:val="20"/>
                <w:szCs w:val="20"/>
              </w:rPr>
              <w:t>04</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1F51EE" w14:textId="77777777" w:rsidR="00387142" w:rsidRPr="008B6A75" w:rsidRDefault="00387142" w:rsidP="00387142">
            <w:pPr>
              <w:jc w:val="center"/>
              <w:rPr>
                <w:sz w:val="20"/>
                <w:szCs w:val="20"/>
              </w:rPr>
            </w:pPr>
            <w:r w:rsidRPr="008B6A75">
              <w:rPr>
                <w:sz w:val="20"/>
                <w:szCs w:val="20"/>
              </w:rPr>
              <w:t>08</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7696E29C" w14:textId="77777777" w:rsidR="00387142" w:rsidRPr="008B6A75" w:rsidRDefault="00387142" w:rsidP="00387142">
            <w:pPr>
              <w:jc w:val="center"/>
              <w:rPr>
                <w:sz w:val="20"/>
                <w:szCs w:val="20"/>
              </w:rPr>
            </w:pPr>
            <w:r w:rsidRPr="008B6A75">
              <w:rPr>
                <w:sz w:val="20"/>
                <w:szCs w:val="20"/>
              </w:rPr>
              <w:t>32.0.00.S0170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8081FF" w14:textId="77777777" w:rsidR="00387142" w:rsidRPr="008B6A75" w:rsidRDefault="00387142" w:rsidP="00387142">
            <w:pPr>
              <w:jc w:val="center"/>
              <w:rPr>
                <w:sz w:val="20"/>
                <w:szCs w:val="20"/>
              </w:rPr>
            </w:pPr>
            <w:r w:rsidRPr="008B6A75">
              <w:rPr>
                <w:sz w:val="20"/>
                <w:szCs w:val="20"/>
              </w:rPr>
              <w:t>240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07C8E8" w14:textId="77777777" w:rsidR="00387142" w:rsidRPr="008B6A75" w:rsidRDefault="00387142" w:rsidP="00387142">
            <w:pPr>
              <w:jc w:val="right"/>
              <w:rPr>
                <w:sz w:val="20"/>
                <w:szCs w:val="20"/>
              </w:rPr>
            </w:pPr>
            <w:r w:rsidRPr="008B6A75">
              <w:rPr>
                <w:sz w:val="20"/>
                <w:szCs w:val="20"/>
              </w:rPr>
              <w:t>1 168 600,00</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0BB3721B" w14:textId="77777777" w:rsidR="00387142" w:rsidRPr="008B6A75" w:rsidRDefault="00387142" w:rsidP="00387142">
            <w:pPr>
              <w:jc w:val="right"/>
              <w:rPr>
                <w:sz w:val="20"/>
                <w:szCs w:val="20"/>
              </w:rPr>
            </w:pPr>
            <w:r w:rsidRPr="008B6A75">
              <w:rPr>
                <w:sz w:val="20"/>
                <w:szCs w:val="20"/>
              </w:rPr>
              <w:t>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2D392A" w14:textId="77777777" w:rsidR="00387142" w:rsidRPr="008B6A75" w:rsidRDefault="00387142" w:rsidP="00387142">
            <w:pPr>
              <w:jc w:val="right"/>
              <w:rPr>
                <w:sz w:val="20"/>
                <w:szCs w:val="20"/>
              </w:rPr>
            </w:pPr>
            <w:r w:rsidRPr="008B6A75">
              <w:rPr>
                <w:sz w:val="20"/>
                <w:szCs w:val="20"/>
              </w:rPr>
              <w:t>0,00</w:t>
            </w:r>
          </w:p>
        </w:tc>
        <w:tc>
          <w:tcPr>
            <w:tcW w:w="222" w:type="dxa"/>
            <w:vAlign w:val="center"/>
            <w:hideMark/>
          </w:tcPr>
          <w:p w14:paraId="27F70BC7" w14:textId="77777777" w:rsidR="00387142" w:rsidRPr="008B6A75" w:rsidRDefault="00387142" w:rsidP="00387142">
            <w:pPr>
              <w:rPr>
                <w:sz w:val="20"/>
                <w:szCs w:val="20"/>
              </w:rPr>
            </w:pPr>
          </w:p>
        </w:tc>
      </w:tr>
      <w:tr w:rsidR="00387142" w:rsidRPr="008B6A75" w14:paraId="7831A682" w14:textId="77777777" w:rsidTr="00387142">
        <w:trPr>
          <w:trHeight w:val="300"/>
        </w:trPr>
        <w:tc>
          <w:tcPr>
            <w:tcW w:w="3021" w:type="dxa"/>
            <w:tcBorders>
              <w:top w:val="nil"/>
              <w:left w:val="single" w:sz="4" w:space="0" w:color="auto"/>
              <w:bottom w:val="nil"/>
              <w:right w:val="nil"/>
            </w:tcBorders>
            <w:shd w:val="clear" w:color="auto" w:fill="auto"/>
            <w:vAlign w:val="center"/>
            <w:hideMark/>
          </w:tcPr>
          <w:p w14:paraId="43B33CC1" w14:textId="77777777" w:rsidR="00387142" w:rsidRPr="008B6A75" w:rsidRDefault="00387142" w:rsidP="00387142">
            <w:pPr>
              <w:rPr>
                <w:bCs/>
                <w:sz w:val="20"/>
                <w:szCs w:val="20"/>
              </w:rPr>
            </w:pPr>
            <w:r w:rsidRPr="008B6A75">
              <w:rPr>
                <w:bCs/>
                <w:sz w:val="20"/>
                <w:szCs w:val="20"/>
              </w:rPr>
              <w:t>Дорожное хозяйство (дорожные фонды)</w:t>
            </w:r>
          </w:p>
        </w:tc>
        <w:tc>
          <w:tcPr>
            <w:tcW w:w="850" w:type="dxa"/>
            <w:tcBorders>
              <w:top w:val="nil"/>
              <w:left w:val="single" w:sz="4" w:space="0" w:color="auto"/>
              <w:bottom w:val="nil"/>
              <w:right w:val="nil"/>
            </w:tcBorders>
            <w:shd w:val="clear" w:color="auto" w:fill="auto"/>
            <w:noWrap/>
            <w:vAlign w:val="center"/>
            <w:hideMark/>
          </w:tcPr>
          <w:p w14:paraId="4E2E904E" w14:textId="77777777" w:rsidR="00387142" w:rsidRPr="008B6A75" w:rsidRDefault="00387142" w:rsidP="00387142">
            <w:pPr>
              <w:jc w:val="center"/>
              <w:rPr>
                <w:bCs/>
                <w:sz w:val="20"/>
                <w:szCs w:val="20"/>
              </w:rPr>
            </w:pPr>
            <w:r w:rsidRPr="008B6A75">
              <w:rPr>
                <w:bCs/>
                <w:sz w:val="20"/>
                <w:szCs w:val="20"/>
              </w:rPr>
              <w:t>444</w:t>
            </w:r>
          </w:p>
        </w:tc>
        <w:tc>
          <w:tcPr>
            <w:tcW w:w="709" w:type="dxa"/>
            <w:tcBorders>
              <w:top w:val="nil"/>
              <w:left w:val="single" w:sz="4" w:space="0" w:color="auto"/>
              <w:bottom w:val="nil"/>
              <w:right w:val="nil"/>
            </w:tcBorders>
            <w:shd w:val="clear" w:color="auto" w:fill="auto"/>
            <w:noWrap/>
            <w:vAlign w:val="center"/>
            <w:hideMark/>
          </w:tcPr>
          <w:p w14:paraId="6B62D228" w14:textId="77777777" w:rsidR="00387142" w:rsidRPr="008B6A75" w:rsidRDefault="00387142" w:rsidP="00387142">
            <w:pPr>
              <w:jc w:val="center"/>
              <w:rPr>
                <w:bCs/>
                <w:sz w:val="20"/>
                <w:szCs w:val="20"/>
              </w:rPr>
            </w:pPr>
            <w:r w:rsidRPr="008B6A75">
              <w:rPr>
                <w:bCs/>
                <w:sz w:val="20"/>
                <w:szCs w:val="20"/>
              </w:rPr>
              <w:t>04</w:t>
            </w:r>
          </w:p>
        </w:tc>
        <w:tc>
          <w:tcPr>
            <w:tcW w:w="709" w:type="dxa"/>
            <w:tcBorders>
              <w:top w:val="nil"/>
              <w:left w:val="single" w:sz="4" w:space="0" w:color="auto"/>
              <w:bottom w:val="nil"/>
              <w:right w:val="single" w:sz="4" w:space="0" w:color="auto"/>
            </w:tcBorders>
            <w:shd w:val="clear" w:color="auto" w:fill="auto"/>
            <w:noWrap/>
            <w:vAlign w:val="center"/>
            <w:hideMark/>
          </w:tcPr>
          <w:p w14:paraId="49252FDB" w14:textId="77777777" w:rsidR="00387142" w:rsidRPr="008B6A75" w:rsidRDefault="00387142" w:rsidP="00387142">
            <w:pPr>
              <w:jc w:val="center"/>
              <w:rPr>
                <w:bCs/>
                <w:sz w:val="20"/>
                <w:szCs w:val="20"/>
              </w:rPr>
            </w:pPr>
            <w:r w:rsidRPr="008B6A75">
              <w:rPr>
                <w:bCs/>
                <w:sz w:val="20"/>
                <w:szCs w:val="20"/>
              </w:rPr>
              <w:t>09</w:t>
            </w:r>
          </w:p>
        </w:tc>
        <w:tc>
          <w:tcPr>
            <w:tcW w:w="1411" w:type="dxa"/>
            <w:tcBorders>
              <w:top w:val="nil"/>
              <w:left w:val="single" w:sz="4" w:space="0" w:color="auto"/>
              <w:bottom w:val="nil"/>
              <w:right w:val="nil"/>
            </w:tcBorders>
            <w:shd w:val="clear" w:color="auto" w:fill="auto"/>
            <w:noWrap/>
            <w:vAlign w:val="center"/>
            <w:hideMark/>
          </w:tcPr>
          <w:p w14:paraId="32A9D0FB" w14:textId="77777777" w:rsidR="00387142" w:rsidRPr="008B6A75" w:rsidRDefault="00387142" w:rsidP="00387142">
            <w:pPr>
              <w:jc w:val="center"/>
              <w:rPr>
                <w:bCs/>
                <w:sz w:val="20"/>
                <w:szCs w:val="20"/>
              </w:rPr>
            </w:pPr>
            <w:r w:rsidRPr="008B6A75">
              <w:rPr>
                <w:bCs/>
                <w:sz w:val="20"/>
                <w:szCs w:val="20"/>
              </w:rPr>
              <w:t> </w:t>
            </w:r>
          </w:p>
        </w:tc>
        <w:tc>
          <w:tcPr>
            <w:tcW w:w="955" w:type="dxa"/>
            <w:tcBorders>
              <w:top w:val="nil"/>
              <w:left w:val="single" w:sz="4" w:space="0" w:color="auto"/>
              <w:bottom w:val="nil"/>
              <w:right w:val="single" w:sz="4" w:space="0" w:color="auto"/>
            </w:tcBorders>
            <w:shd w:val="clear" w:color="auto" w:fill="auto"/>
            <w:noWrap/>
            <w:vAlign w:val="center"/>
            <w:hideMark/>
          </w:tcPr>
          <w:p w14:paraId="37C300A8"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nil"/>
              <w:right w:val="single" w:sz="4" w:space="0" w:color="auto"/>
            </w:tcBorders>
            <w:shd w:val="clear" w:color="auto" w:fill="auto"/>
            <w:noWrap/>
            <w:vAlign w:val="center"/>
            <w:hideMark/>
          </w:tcPr>
          <w:p w14:paraId="4EFCEDD8" w14:textId="77777777" w:rsidR="00387142" w:rsidRPr="008B6A75" w:rsidRDefault="00387142" w:rsidP="00387142">
            <w:pPr>
              <w:jc w:val="right"/>
              <w:rPr>
                <w:bCs/>
                <w:sz w:val="20"/>
                <w:szCs w:val="20"/>
              </w:rPr>
            </w:pPr>
            <w:r w:rsidRPr="008B6A75">
              <w:rPr>
                <w:bCs/>
                <w:sz w:val="20"/>
                <w:szCs w:val="20"/>
              </w:rPr>
              <w:t>51 995 805,58</w:t>
            </w:r>
          </w:p>
        </w:tc>
        <w:tc>
          <w:tcPr>
            <w:tcW w:w="992" w:type="dxa"/>
            <w:gridSpan w:val="2"/>
            <w:tcBorders>
              <w:top w:val="nil"/>
              <w:left w:val="single" w:sz="4" w:space="0" w:color="auto"/>
              <w:bottom w:val="nil"/>
              <w:right w:val="nil"/>
            </w:tcBorders>
            <w:shd w:val="clear" w:color="auto" w:fill="auto"/>
            <w:noWrap/>
            <w:vAlign w:val="center"/>
            <w:hideMark/>
          </w:tcPr>
          <w:p w14:paraId="583D55E1" w14:textId="77777777" w:rsidR="00387142" w:rsidRPr="008B6A75" w:rsidRDefault="00387142" w:rsidP="00387142">
            <w:pPr>
              <w:jc w:val="right"/>
              <w:rPr>
                <w:bCs/>
                <w:sz w:val="20"/>
                <w:szCs w:val="20"/>
              </w:rPr>
            </w:pPr>
            <w:r w:rsidRPr="008B6A75">
              <w:rPr>
                <w:bCs/>
                <w:sz w:val="20"/>
                <w:szCs w:val="20"/>
              </w:rPr>
              <w:t>53 076 420,00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44146D7B" w14:textId="77777777" w:rsidR="00387142" w:rsidRPr="008B6A75" w:rsidRDefault="00387142" w:rsidP="00387142">
            <w:pPr>
              <w:jc w:val="right"/>
              <w:rPr>
                <w:bCs/>
                <w:sz w:val="20"/>
                <w:szCs w:val="20"/>
              </w:rPr>
            </w:pPr>
            <w:r w:rsidRPr="008B6A75">
              <w:rPr>
                <w:bCs/>
                <w:sz w:val="20"/>
                <w:szCs w:val="20"/>
              </w:rPr>
              <w:t>59 506 590,00</w:t>
            </w:r>
          </w:p>
        </w:tc>
        <w:tc>
          <w:tcPr>
            <w:tcW w:w="222" w:type="dxa"/>
            <w:vAlign w:val="center"/>
            <w:hideMark/>
          </w:tcPr>
          <w:p w14:paraId="5EB8F23B" w14:textId="77777777" w:rsidR="00387142" w:rsidRPr="008B6A75" w:rsidRDefault="00387142" w:rsidP="00387142">
            <w:pPr>
              <w:rPr>
                <w:sz w:val="20"/>
                <w:szCs w:val="20"/>
              </w:rPr>
            </w:pPr>
          </w:p>
        </w:tc>
      </w:tr>
      <w:tr w:rsidR="00387142" w:rsidRPr="008B6A75" w14:paraId="37F73C0F" w14:textId="77777777" w:rsidTr="00387142">
        <w:trPr>
          <w:trHeight w:val="870"/>
        </w:trPr>
        <w:tc>
          <w:tcPr>
            <w:tcW w:w="3021" w:type="dxa"/>
            <w:tcBorders>
              <w:top w:val="single" w:sz="4" w:space="0" w:color="auto"/>
              <w:left w:val="single" w:sz="4" w:space="0" w:color="auto"/>
              <w:bottom w:val="nil"/>
              <w:right w:val="nil"/>
            </w:tcBorders>
            <w:shd w:val="clear" w:color="auto" w:fill="auto"/>
            <w:vAlign w:val="center"/>
            <w:hideMark/>
          </w:tcPr>
          <w:p w14:paraId="23CDCAB4" w14:textId="77777777" w:rsidR="00387142" w:rsidRPr="008B6A75" w:rsidRDefault="00387142" w:rsidP="00387142">
            <w:pPr>
              <w:rPr>
                <w:bCs/>
                <w:sz w:val="20"/>
                <w:szCs w:val="20"/>
              </w:rPr>
            </w:pPr>
            <w:r w:rsidRPr="008B6A75">
              <w:rPr>
                <w:bCs/>
                <w:sz w:val="20"/>
                <w:szCs w:val="20"/>
              </w:rPr>
              <w:t>Муниципальная программа "Развитие автомобильных дорог местного значения в Куйбышевском районе "</w:t>
            </w:r>
          </w:p>
        </w:tc>
        <w:tc>
          <w:tcPr>
            <w:tcW w:w="850" w:type="dxa"/>
            <w:tcBorders>
              <w:top w:val="single" w:sz="4" w:space="0" w:color="auto"/>
              <w:left w:val="single" w:sz="4" w:space="0" w:color="auto"/>
              <w:bottom w:val="nil"/>
              <w:right w:val="nil"/>
            </w:tcBorders>
            <w:shd w:val="clear" w:color="auto" w:fill="auto"/>
            <w:noWrap/>
            <w:vAlign w:val="center"/>
            <w:hideMark/>
          </w:tcPr>
          <w:p w14:paraId="28E63070" w14:textId="77777777" w:rsidR="00387142" w:rsidRPr="008B6A75" w:rsidRDefault="00387142" w:rsidP="00387142">
            <w:pPr>
              <w:jc w:val="center"/>
              <w:rPr>
                <w:bCs/>
                <w:sz w:val="20"/>
                <w:szCs w:val="20"/>
              </w:rPr>
            </w:pPr>
            <w:r w:rsidRPr="008B6A75">
              <w:rPr>
                <w:bCs/>
                <w:sz w:val="20"/>
                <w:szCs w:val="20"/>
              </w:rPr>
              <w:t>444</w:t>
            </w:r>
          </w:p>
        </w:tc>
        <w:tc>
          <w:tcPr>
            <w:tcW w:w="709" w:type="dxa"/>
            <w:tcBorders>
              <w:top w:val="single" w:sz="4" w:space="0" w:color="auto"/>
              <w:left w:val="single" w:sz="4" w:space="0" w:color="auto"/>
              <w:bottom w:val="nil"/>
              <w:right w:val="nil"/>
            </w:tcBorders>
            <w:shd w:val="clear" w:color="auto" w:fill="auto"/>
            <w:noWrap/>
            <w:vAlign w:val="center"/>
            <w:hideMark/>
          </w:tcPr>
          <w:p w14:paraId="21DCF262" w14:textId="77777777" w:rsidR="00387142" w:rsidRPr="008B6A75" w:rsidRDefault="00387142" w:rsidP="00387142">
            <w:pPr>
              <w:jc w:val="center"/>
              <w:rPr>
                <w:bCs/>
                <w:sz w:val="20"/>
                <w:szCs w:val="20"/>
              </w:rPr>
            </w:pPr>
            <w:r w:rsidRPr="008B6A75">
              <w:rPr>
                <w:bCs/>
                <w:sz w:val="20"/>
                <w:szCs w:val="20"/>
              </w:rPr>
              <w:t>04</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344B6E32" w14:textId="77777777" w:rsidR="00387142" w:rsidRPr="008B6A75" w:rsidRDefault="00387142" w:rsidP="00387142">
            <w:pPr>
              <w:jc w:val="center"/>
              <w:rPr>
                <w:bCs/>
                <w:sz w:val="20"/>
                <w:szCs w:val="20"/>
              </w:rPr>
            </w:pPr>
            <w:r w:rsidRPr="008B6A75">
              <w:rPr>
                <w:bCs/>
                <w:sz w:val="20"/>
                <w:szCs w:val="20"/>
              </w:rPr>
              <w:t>09</w:t>
            </w:r>
          </w:p>
        </w:tc>
        <w:tc>
          <w:tcPr>
            <w:tcW w:w="1411" w:type="dxa"/>
            <w:tcBorders>
              <w:top w:val="single" w:sz="4" w:space="0" w:color="auto"/>
              <w:left w:val="single" w:sz="4" w:space="0" w:color="auto"/>
              <w:bottom w:val="nil"/>
              <w:right w:val="nil"/>
            </w:tcBorders>
            <w:shd w:val="clear" w:color="auto" w:fill="auto"/>
            <w:noWrap/>
            <w:vAlign w:val="center"/>
            <w:hideMark/>
          </w:tcPr>
          <w:p w14:paraId="4CCF50C6" w14:textId="77777777" w:rsidR="00387142" w:rsidRPr="008B6A75" w:rsidRDefault="00387142" w:rsidP="00387142">
            <w:pPr>
              <w:jc w:val="center"/>
              <w:rPr>
                <w:bCs/>
                <w:sz w:val="20"/>
                <w:szCs w:val="20"/>
              </w:rPr>
            </w:pPr>
            <w:r w:rsidRPr="008B6A75">
              <w:rPr>
                <w:bCs/>
                <w:sz w:val="20"/>
                <w:szCs w:val="20"/>
              </w:rPr>
              <w:t>10.0.00.00000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485AA940" w14:textId="77777777" w:rsidR="00387142" w:rsidRPr="008B6A75" w:rsidRDefault="00387142" w:rsidP="00387142">
            <w:pPr>
              <w:jc w:val="center"/>
              <w:rPr>
                <w:bCs/>
                <w:sz w:val="20"/>
                <w:szCs w:val="20"/>
              </w:rPr>
            </w:pPr>
            <w:r w:rsidRPr="008B6A75">
              <w:rPr>
                <w:bCs/>
                <w:sz w:val="20"/>
                <w:szCs w:val="20"/>
              </w:rPr>
              <w:t> </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591BD69D" w14:textId="77777777" w:rsidR="00387142" w:rsidRPr="008B6A75" w:rsidRDefault="00387142" w:rsidP="00387142">
            <w:pPr>
              <w:jc w:val="right"/>
              <w:rPr>
                <w:bCs/>
                <w:sz w:val="20"/>
                <w:szCs w:val="20"/>
              </w:rPr>
            </w:pPr>
            <w:r w:rsidRPr="008B6A75">
              <w:rPr>
                <w:bCs/>
                <w:sz w:val="20"/>
                <w:szCs w:val="20"/>
              </w:rPr>
              <w:t>51 995 805,58</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1C052120" w14:textId="77777777" w:rsidR="00387142" w:rsidRPr="008B6A75" w:rsidRDefault="00387142" w:rsidP="00387142">
            <w:pPr>
              <w:jc w:val="right"/>
              <w:rPr>
                <w:bCs/>
                <w:sz w:val="20"/>
                <w:szCs w:val="20"/>
              </w:rPr>
            </w:pPr>
            <w:r w:rsidRPr="008B6A75">
              <w:rPr>
                <w:bCs/>
                <w:sz w:val="20"/>
                <w:szCs w:val="20"/>
              </w:rPr>
              <w:t>53 076 420,00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0BD4852C" w14:textId="77777777" w:rsidR="00387142" w:rsidRPr="008B6A75" w:rsidRDefault="00387142" w:rsidP="00387142">
            <w:pPr>
              <w:jc w:val="right"/>
              <w:rPr>
                <w:bCs/>
                <w:sz w:val="20"/>
                <w:szCs w:val="20"/>
              </w:rPr>
            </w:pPr>
            <w:r w:rsidRPr="008B6A75">
              <w:rPr>
                <w:bCs/>
                <w:sz w:val="20"/>
                <w:szCs w:val="20"/>
              </w:rPr>
              <w:t>59 506 590,00</w:t>
            </w:r>
          </w:p>
        </w:tc>
        <w:tc>
          <w:tcPr>
            <w:tcW w:w="222" w:type="dxa"/>
            <w:vAlign w:val="center"/>
            <w:hideMark/>
          </w:tcPr>
          <w:p w14:paraId="73059377" w14:textId="77777777" w:rsidR="00387142" w:rsidRPr="008B6A75" w:rsidRDefault="00387142" w:rsidP="00387142">
            <w:pPr>
              <w:rPr>
                <w:sz w:val="20"/>
                <w:szCs w:val="20"/>
              </w:rPr>
            </w:pPr>
          </w:p>
        </w:tc>
      </w:tr>
      <w:tr w:rsidR="00387142" w:rsidRPr="008B6A75" w14:paraId="392CB7F8" w14:textId="77777777" w:rsidTr="00387142">
        <w:trPr>
          <w:trHeight w:val="585"/>
        </w:trPr>
        <w:tc>
          <w:tcPr>
            <w:tcW w:w="3021" w:type="dxa"/>
            <w:tcBorders>
              <w:top w:val="single" w:sz="4" w:space="0" w:color="auto"/>
              <w:left w:val="single" w:sz="4" w:space="0" w:color="auto"/>
              <w:bottom w:val="nil"/>
              <w:right w:val="nil"/>
            </w:tcBorders>
            <w:shd w:val="clear" w:color="auto" w:fill="auto"/>
            <w:vAlign w:val="center"/>
            <w:hideMark/>
          </w:tcPr>
          <w:p w14:paraId="22C7E0CB" w14:textId="77777777" w:rsidR="00387142" w:rsidRPr="008B6A75" w:rsidRDefault="00387142" w:rsidP="00387142">
            <w:pPr>
              <w:rPr>
                <w:bCs/>
                <w:sz w:val="20"/>
                <w:szCs w:val="20"/>
              </w:rPr>
            </w:pPr>
            <w:r w:rsidRPr="008B6A75">
              <w:rPr>
                <w:bCs/>
                <w:sz w:val="20"/>
                <w:szCs w:val="20"/>
              </w:rPr>
              <w:t>Содержание автомобильных дорог и дорожных сооружений</w:t>
            </w:r>
          </w:p>
        </w:tc>
        <w:tc>
          <w:tcPr>
            <w:tcW w:w="850" w:type="dxa"/>
            <w:tcBorders>
              <w:top w:val="single" w:sz="4" w:space="0" w:color="auto"/>
              <w:left w:val="single" w:sz="4" w:space="0" w:color="auto"/>
              <w:bottom w:val="nil"/>
              <w:right w:val="nil"/>
            </w:tcBorders>
            <w:shd w:val="clear" w:color="auto" w:fill="auto"/>
            <w:noWrap/>
            <w:vAlign w:val="center"/>
            <w:hideMark/>
          </w:tcPr>
          <w:p w14:paraId="6907A150" w14:textId="77777777" w:rsidR="00387142" w:rsidRPr="008B6A75" w:rsidRDefault="00387142" w:rsidP="00387142">
            <w:pPr>
              <w:jc w:val="center"/>
              <w:rPr>
                <w:bCs/>
                <w:sz w:val="20"/>
                <w:szCs w:val="20"/>
              </w:rPr>
            </w:pPr>
            <w:r w:rsidRPr="008B6A75">
              <w:rPr>
                <w:bCs/>
                <w:sz w:val="20"/>
                <w:szCs w:val="20"/>
              </w:rPr>
              <w:t>444</w:t>
            </w:r>
          </w:p>
        </w:tc>
        <w:tc>
          <w:tcPr>
            <w:tcW w:w="709" w:type="dxa"/>
            <w:tcBorders>
              <w:top w:val="single" w:sz="4" w:space="0" w:color="auto"/>
              <w:left w:val="single" w:sz="4" w:space="0" w:color="auto"/>
              <w:bottom w:val="nil"/>
              <w:right w:val="nil"/>
            </w:tcBorders>
            <w:shd w:val="clear" w:color="auto" w:fill="auto"/>
            <w:noWrap/>
            <w:vAlign w:val="center"/>
            <w:hideMark/>
          </w:tcPr>
          <w:p w14:paraId="64C46489" w14:textId="77777777" w:rsidR="00387142" w:rsidRPr="008B6A75" w:rsidRDefault="00387142" w:rsidP="00387142">
            <w:pPr>
              <w:jc w:val="center"/>
              <w:rPr>
                <w:bCs/>
                <w:sz w:val="20"/>
                <w:szCs w:val="20"/>
              </w:rPr>
            </w:pPr>
            <w:r w:rsidRPr="008B6A75">
              <w:rPr>
                <w:bCs/>
                <w:sz w:val="20"/>
                <w:szCs w:val="20"/>
              </w:rPr>
              <w:t>04</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5D51B9E1" w14:textId="77777777" w:rsidR="00387142" w:rsidRPr="008B6A75" w:rsidRDefault="00387142" w:rsidP="00387142">
            <w:pPr>
              <w:jc w:val="center"/>
              <w:rPr>
                <w:bCs/>
                <w:sz w:val="20"/>
                <w:szCs w:val="20"/>
              </w:rPr>
            </w:pPr>
            <w:r w:rsidRPr="008B6A75">
              <w:rPr>
                <w:bCs/>
                <w:sz w:val="20"/>
                <w:szCs w:val="20"/>
              </w:rPr>
              <w:t>09</w:t>
            </w:r>
          </w:p>
        </w:tc>
        <w:tc>
          <w:tcPr>
            <w:tcW w:w="1411" w:type="dxa"/>
            <w:tcBorders>
              <w:top w:val="single" w:sz="4" w:space="0" w:color="auto"/>
              <w:left w:val="single" w:sz="4" w:space="0" w:color="auto"/>
              <w:bottom w:val="nil"/>
              <w:right w:val="nil"/>
            </w:tcBorders>
            <w:shd w:val="clear" w:color="auto" w:fill="auto"/>
            <w:noWrap/>
            <w:vAlign w:val="center"/>
            <w:hideMark/>
          </w:tcPr>
          <w:p w14:paraId="2354CBF9" w14:textId="77777777" w:rsidR="00387142" w:rsidRPr="008B6A75" w:rsidRDefault="00387142" w:rsidP="00387142">
            <w:pPr>
              <w:jc w:val="center"/>
              <w:rPr>
                <w:bCs/>
                <w:sz w:val="20"/>
                <w:szCs w:val="20"/>
              </w:rPr>
            </w:pPr>
            <w:r w:rsidRPr="008B6A75">
              <w:rPr>
                <w:bCs/>
                <w:sz w:val="20"/>
                <w:szCs w:val="20"/>
              </w:rPr>
              <w:t>10.0.00.04310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0721E421" w14:textId="77777777" w:rsidR="00387142" w:rsidRPr="008B6A75" w:rsidRDefault="00387142" w:rsidP="00387142">
            <w:pPr>
              <w:jc w:val="center"/>
              <w:rPr>
                <w:bCs/>
                <w:sz w:val="20"/>
                <w:szCs w:val="20"/>
              </w:rPr>
            </w:pPr>
            <w:r w:rsidRPr="008B6A75">
              <w:rPr>
                <w:bCs/>
                <w:sz w:val="20"/>
                <w:szCs w:val="20"/>
              </w:rPr>
              <w:t> </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3A398335" w14:textId="77777777" w:rsidR="00387142" w:rsidRPr="008B6A75" w:rsidRDefault="00387142" w:rsidP="00387142">
            <w:pPr>
              <w:jc w:val="right"/>
              <w:rPr>
                <w:bCs/>
                <w:sz w:val="20"/>
                <w:szCs w:val="20"/>
              </w:rPr>
            </w:pPr>
            <w:r w:rsidRPr="008B6A75">
              <w:rPr>
                <w:bCs/>
                <w:sz w:val="20"/>
                <w:szCs w:val="20"/>
              </w:rPr>
              <w:t>3 403 093,98</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4B6B4B17" w14:textId="77777777" w:rsidR="00387142" w:rsidRPr="008B6A75" w:rsidRDefault="00387142" w:rsidP="00387142">
            <w:pPr>
              <w:jc w:val="right"/>
              <w:rPr>
                <w:bCs/>
                <w:sz w:val="20"/>
                <w:szCs w:val="20"/>
              </w:rPr>
            </w:pPr>
            <w:r w:rsidRPr="008B6A75">
              <w:rPr>
                <w:bCs/>
                <w:sz w:val="20"/>
                <w:szCs w:val="20"/>
              </w:rPr>
              <w:t>4 039 420,00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6E2C8C17" w14:textId="77777777" w:rsidR="00387142" w:rsidRPr="008B6A75" w:rsidRDefault="00387142" w:rsidP="00387142">
            <w:pPr>
              <w:jc w:val="right"/>
              <w:rPr>
                <w:bCs/>
                <w:sz w:val="20"/>
                <w:szCs w:val="20"/>
              </w:rPr>
            </w:pPr>
            <w:r w:rsidRPr="008B6A75">
              <w:rPr>
                <w:bCs/>
                <w:sz w:val="20"/>
                <w:szCs w:val="20"/>
              </w:rPr>
              <w:t>4 258 990,00</w:t>
            </w:r>
          </w:p>
        </w:tc>
        <w:tc>
          <w:tcPr>
            <w:tcW w:w="222" w:type="dxa"/>
            <w:vAlign w:val="center"/>
            <w:hideMark/>
          </w:tcPr>
          <w:p w14:paraId="3E074D49" w14:textId="77777777" w:rsidR="00387142" w:rsidRPr="008B6A75" w:rsidRDefault="00387142" w:rsidP="00387142">
            <w:pPr>
              <w:rPr>
                <w:sz w:val="20"/>
                <w:szCs w:val="20"/>
              </w:rPr>
            </w:pPr>
          </w:p>
        </w:tc>
      </w:tr>
      <w:tr w:rsidR="00387142" w:rsidRPr="008B6A75" w14:paraId="23A6DB6D" w14:textId="77777777" w:rsidTr="00387142">
        <w:trPr>
          <w:trHeight w:val="585"/>
        </w:trPr>
        <w:tc>
          <w:tcPr>
            <w:tcW w:w="3021" w:type="dxa"/>
            <w:tcBorders>
              <w:top w:val="single" w:sz="4" w:space="0" w:color="auto"/>
              <w:left w:val="single" w:sz="4" w:space="0" w:color="auto"/>
              <w:bottom w:val="nil"/>
              <w:right w:val="nil"/>
            </w:tcBorders>
            <w:shd w:val="clear" w:color="auto" w:fill="auto"/>
            <w:vAlign w:val="center"/>
            <w:hideMark/>
          </w:tcPr>
          <w:p w14:paraId="039A85C1" w14:textId="77777777" w:rsidR="00387142" w:rsidRPr="008B6A75" w:rsidRDefault="00387142" w:rsidP="00387142">
            <w:pPr>
              <w:rPr>
                <w:sz w:val="20"/>
                <w:szCs w:val="20"/>
              </w:rPr>
            </w:pPr>
            <w:r w:rsidRPr="008B6A75">
              <w:rPr>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nil"/>
              <w:right w:val="nil"/>
            </w:tcBorders>
            <w:shd w:val="clear" w:color="auto" w:fill="auto"/>
            <w:noWrap/>
            <w:vAlign w:val="center"/>
            <w:hideMark/>
          </w:tcPr>
          <w:p w14:paraId="5A09FCBA" w14:textId="77777777" w:rsidR="00387142" w:rsidRPr="008B6A75" w:rsidRDefault="00387142" w:rsidP="00387142">
            <w:pPr>
              <w:jc w:val="center"/>
              <w:rPr>
                <w:sz w:val="20"/>
                <w:szCs w:val="20"/>
              </w:rPr>
            </w:pPr>
            <w:r w:rsidRPr="008B6A75">
              <w:rPr>
                <w:sz w:val="20"/>
                <w:szCs w:val="20"/>
              </w:rPr>
              <w:t>444</w:t>
            </w:r>
          </w:p>
        </w:tc>
        <w:tc>
          <w:tcPr>
            <w:tcW w:w="709" w:type="dxa"/>
            <w:tcBorders>
              <w:top w:val="single" w:sz="4" w:space="0" w:color="auto"/>
              <w:left w:val="single" w:sz="4" w:space="0" w:color="auto"/>
              <w:bottom w:val="nil"/>
              <w:right w:val="nil"/>
            </w:tcBorders>
            <w:shd w:val="clear" w:color="auto" w:fill="auto"/>
            <w:noWrap/>
            <w:vAlign w:val="center"/>
            <w:hideMark/>
          </w:tcPr>
          <w:p w14:paraId="4C314D93" w14:textId="77777777" w:rsidR="00387142" w:rsidRPr="008B6A75" w:rsidRDefault="00387142" w:rsidP="00387142">
            <w:pPr>
              <w:jc w:val="center"/>
              <w:rPr>
                <w:sz w:val="20"/>
                <w:szCs w:val="20"/>
              </w:rPr>
            </w:pPr>
            <w:r w:rsidRPr="008B6A75">
              <w:rPr>
                <w:sz w:val="20"/>
                <w:szCs w:val="20"/>
              </w:rPr>
              <w:t>04</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1A79F0B9" w14:textId="77777777" w:rsidR="00387142" w:rsidRPr="008B6A75" w:rsidRDefault="00387142" w:rsidP="00387142">
            <w:pPr>
              <w:jc w:val="center"/>
              <w:rPr>
                <w:sz w:val="20"/>
                <w:szCs w:val="20"/>
              </w:rPr>
            </w:pPr>
            <w:r w:rsidRPr="008B6A75">
              <w:rPr>
                <w:sz w:val="20"/>
                <w:szCs w:val="20"/>
              </w:rPr>
              <w:t>09</w:t>
            </w:r>
          </w:p>
        </w:tc>
        <w:tc>
          <w:tcPr>
            <w:tcW w:w="1411" w:type="dxa"/>
            <w:tcBorders>
              <w:top w:val="single" w:sz="4" w:space="0" w:color="auto"/>
              <w:left w:val="single" w:sz="4" w:space="0" w:color="auto"/>
              <w:bottom w:val="nil"/>
              <w:right w:val="nil"/>
            </w:tcBorders>
            <w:shd w:val="clear" w:color="auto" w:fill="auto"/>
            <w:noWrap/>
            <w:vAlign w:val="center"/>
            <w:hideMark/>
          </w:tcPr>
          <w:p w14:paraId="5314A766" w14:textId="77777777" w:rsidR="00387142" w:rsidRPr="008B6A75" w:rsidRDefault="00387142" w:rsidP="00387142">
            <w:pPr>
              <w:jc w:val="center"/>
              <w:rPr>
                <w:sz w:val="20"/>
                <w:szCs w:val="20"/>
              </w:rPr>
            </w:pPr>
            <w:r w:rsidRPr="008B6A75">
              <w:rPr>
                <w:sz w:val="20"/>
                <w:szCs w:val="20"/>
              </w:rPr>
              <w:t>10.0.00.04310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5A66C4C0" w14:textId="77777777" w:rsidR="00387142" w:rsidRPr="008B6A75" w:rsidRDefault="00387142" w:rsidP="00387142">
            <w:pPr>
              <w:jc w:val="center"/>
              <w:rPr>
                <w:sz w:val="20"/>
                <w:szCs w:val="20"/>
              </w:rPr>
            </w:pPr>
            <w:r w:rsidRPr="008B6A75">
              <w:rPr>
                <w:sz w:val="20"/>
                <w:szCs w:val="20"/>
              </w:rPr>
              <w:t>200</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3396EBA4" w14:textId="77777777" w:rsidR="00387142" w:rsidRPr="008B6A75" w:rsidRDefault="00387142" w:rsidP="00387142">
            <w:pPr>
              <w:jc w:val="right"/>
              <w:rPr>
                <w:sz w:val="20"/>
                <w:szCs w:val="20"/>
              </w:rPr>
            </w:pPr>
            <w:r w:rsidRPr="008B6A75">
              <w:rPr>
                <w:sz w:val="20"/>
                <w:szCs w:val="20"/>
              </w:rPr>
              <w:t>3 133 093,98</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3FDAD004" w14:textId="77777777" w:rsidR="00387142" w:rsidRPr="008B6A75" w:rsidRDefault="00387142" w:rsidP="00387142">
            <w:pPr>
              <w:jc w:val="right"/>
              <w:rPr>
                <w:sz w:val="20"/>
                <w:szCs w:val="20"/>
              </w:rPr>
            </w:pPr>
            <w:r w:rsidRPr="008B6A75">
              <w:rPr>
                <w:sz w:val="20"/>
                <w:szCs w:val="20"/>
              </w:rPr>
              <w:t>4 039 420,00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486AF056" w14:textId="77777777" w:rsidR="00387142" w:rsidRPr="008B6A75" w:rsidRDefault="00387142" w:rsidP="00387142">
            <w:pPr>
              <w:jc w:val="right"/>
              <w:rPr>
                <w:sz w:val="20"/>
                <w:szCs w:val="20"/>
              </w:rPr>
            </w:pPr>
            <w:r w:rsidRPr="008B6A75">
              <w:rPr>
                <w:sz w:val="20"/>
                <w:szCs w:val="20"/>
              </w:rPr>
              <w:t>4 258 990,00</w:t>
            </w:r>
          </w:p>
        </w:tc>
        <w:tc>
          <w:tcPr>
            <w:tcW w:w="222" w:type="dxa"/>
            <w:vAlign w:val="center"/>
            <w:hideMark/>
          </w:tcPr>
          <w:p w14:paraId="4992E6A3" w14:textId="77777777" w:rsidR="00387142" w:rsidRPr="008B6A75" w:rsidRDefault="00387142" w:rsidP="00387142">
            <w:pPr>
              <w:rPr>
                <w:sz w:val="20"/>
                <w:szCs w:val="20"/>
              </w:rPr>
            </w:pPr>
          </w:p>
        </w:tc>
      </w:tr>
      <w:tr w:rsidR="00387142" w:rsidRPr="008B6A75" w14:paraId="2866E837" w14:textId="77777777" w:rsidTr="00387142">
        <w:trPr>
          <w:trHeight w:val="870"/>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533CA0C4" w14:textId="77777777" w:rsidR="00387142" w:rsidRPr="008B6A75" w:rsidRDefault="00387142" w:rsidP="00387142">
            <w:pPr>
              <w:rPr>
                <w:sz w:val="20"/>
                <w:szCs w:val="20"/>
              </w:rPr>
            </w:pPr>
            <w:r w:rsidRPr="008B6A75">
              <w:rPr>
                <w:sz w:val="20"/>
                <w:szCs w:val="20"/>
              </w:rPr>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57F05392" w14:textId="77777777" w:rsidR="00387142" w:rsidRPr="008B6A75" w:rsidRDefault="00387142" w:rsidP="00387142">
            <w:pPr>
              <w:jc w:val="center"/>
              <w:rPr>
                <w:sz w:val="20"/>
                <w:szCs w:val="20"/>
              </w:rPr>
            </w:pPr>
            <w:r w:rsidRPr="008B6A75">
              <w:rPr>
                <w:sz w:val="20"/>
                <w:szCs w:val="20"/>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39C2F61C" w14:textId="77777777" w:rsidR="00387142" w:rsidRPr="008B6A75" w:rsidRDefault="00387142" w:rsidP="00387142">
            <w:pPr>
              <w:jc w:val="center"/>
              <w:rPr>
                <w:sz w:val="20"/>
                <w:szCs w:val="20"/>
              </w:rPr>
            </w:pPr>
            <w:r w:rsidRPr="008B6A75">
              <w:rPr>
                <w:sz w:val="20"/>
                <w:szCs w:val="20"/>
              </w:rPr>
              <w:t>04</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68637F" w14:textId="77777777" w:rsidR="00387142" w:rsidRPr="008B6A75" w:rsidRDefault="00387142" w:rsidP="00387142">
            <w:pPr>
              <w:jc w:val="center"/>
              <w:rPr>
                <w:sz w:val="20"/>
                <w:szCs w:val="20"/>
              </w:rPr>
            </w:pPr>
            <w:r w:rsidRPr="008B6A75">
              <w:rPr>
                <w:sz w:val="20"/>
                <w:szCs w:val="20"/>
              </w:rPr>
              <w:t>09</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4ABDB203" w14:textId="77777777" w:rsidR="00387142" w:rsidRPr="008B6A75" w:rsidRDefault="00387142" w:rsidP="00387142">
            <w:pPr>
              <w:jc w:val="center"/>
              <w:rPr>
                <w:sz w:val="20"/>
                <w:szCs w:val="20"/>
              </w:rPr>
            </w:pPr>
            <w:r w:rsidRPr="008B6A75">
              <w:rPr>
                <w:sz w:val="20"/>
                <w:szCs w:val="20"/>
              </w:rPr>
              <w:t>10.0.00.04310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6303BD" w14:textId="77777777" w:rsidR="00387142" w:rsidRPr="008B6A75" w:rsidRDefault="00387142" w:rsidP="00387142">
            <w:pPr>
              <w:jc w:val="center"/>
              <w:rPr>
                <w:sz w:val="20"/>
                <w:szCs w:val="20"/>
              </w:rPr>
            </w:pPr>
            <w:r w:rsidRPr="008B6A75">
              <w:rPr>
                <w:sz w:val="20"/>
                <w:szCs w:val="20"/>
              </w:rPr>
              <w:t>240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936404" w14:textId="77777777" w:rsidR="00387142" w:rsidRPr="008B6A75" w:rsidRDefault="00387142" w:rsidP="00387142">
            <w:pPr>
              <w:jc w:val="right"/>
              <w:rPr>
                <w:sz w:val="20"/>
                <w:szCs w:val="20"/>
              </w:rPr>
            </w:pPr>
            <w:r w:rsidRPr="008B6A75">
              <w:rPr>
                <w:sz w:val="20"/>
                <w:szCs w:val="20"/>
              </w:rPr>
              <w:t>3 133 093,98</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7870DF0B" w14:textId="77777777" w:rsidR="00387142" w:rsidRPr="008B6A75" w:rsidRDefault="00387142" w:rsidP="00387142">
            <w:pPr>
              <w:jc w:val="right"/>
              <w:rPr>
                <w:sz w:val="20"/>
                <w:szCs w:val="20"/>
              </w:rPr>
            </w:pPr>
            <w:r w:rsidRPr="008B6A75">
              <w:rPr>
                <w:sz w:val="20"/>
                <w:szCs w:val="20"/>
              </w:rPr>
              <w:t>4 039 420,00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2990ED" w14:textId="77777777" w:rsidR="00387142" w:rsidRPr="008B6A75" w:rsidRDefault="00387142" w:rsidP="00387142">
            <w:pPr>
              <w:jc w:val="right"/>
              <w:rPr>
                <w:sz w:val="20"/>
                <w:szCs w:val="20"/>
              </w:rPr>
            </w:pPr>
            <w:r w:rsidRPr="008B6A75">
              <w:rPr>
                <w:sz w:val="20"/>
                <w:szCs w:val="20"/>
              </w:rPr>
              <w:t>4 258 990,00</w:t>
            </w:r>
          </w:p>
        </w:tc>
        <w:tc>
          <w:tcPr>
            <w:tcW w:w="222" w:type="dxa"/>
            <w:vAlign w:val="center"/>
            <w:hideMark/>
          </w:tcPr>
          <w:p w14:paraId="5EA9852D" w14:textId="77777777" w:rsidR="00387142" w:rsidRPr="008B6A75" w:rsidRDefault="00387142" w:rsidP="00387142">
            <w:pPr>
              <w:rPr>
                <w:sz w:val="20"/>
                <w:szCs w:val="20"/>
              </w:rPr>
            </w:pPr>
          </w:p>
        </w:tc>
      </w:tr>
      <w:tr w:rsidR="00387142" w:rsidRPr="008B6A75" w14:paraId="5F9BF912" w14:textId="77777777" w:rsidTr="00387142">
        <w:trPr>
          <w:trHeight w:val="300"/>
        </w:trPr>
        <w:tc>
          <w:tcPr>
            <w:tcW w:w="3021" w:type="dxa"/>
            <w:tcBorders>
              <w:top w:val="nil"/>
              <w:left w:val="single" w:sz="4" w:space="0" w:color="auto"/>
              <w:bottom w:val="nil"/>
              <w:right w:val="nil"/>
            </w:tcBorders>
            <w:shd w:val="clear" w:color="auto" w:fill="auto"/>
            <w:vAlign w:val="center"/>
            <w:hideMark/>
          </w:tcPr>
          <w:p w14:paraId="0EE749CB" w14:textId="77777777" w:rsidR="00387142" w:rsidRPr="008B6A75" w:rsidRDefault="00387142" w:rsidP="00387142">
            <w:pPr>
              <w:rPr>
                <w:sz w:val="20"/>
                <w:szCs w:val="20"/>
              </w:rPr>
            </w:pPr>
            <w:r w:rsidRPr="008B6A75">
              <w:rPr>
                <w:sz w:val="20"/>
                <w:szCs w:val="20"/>
              </w:rPr>
              <w:t>Межбюджетные трансферты</w:t>
            </w:r>
          </w:p>
        </w:tc>
        <w:tc>
          <w:tcPr>
            <w:tcW w:w="850" w:type="dxa"/>
            <w:tcBorders>
              <w:top w:val="nil"/>
              <w:left w:val="single" w:sz="4" w:space="0" w:color="auto"/>
              <w:bottom w:val="nil"/>
              <w:right w:val="nil"/>
            </w:tcBorders>
            <w:shd w:val="clear" w:color="auto" w:fill="auto"/>
            <w:noWrap/>
            <w:vAlign w:val="center"/>
            <w:hideMark/>
          </w:tcPr>
          <w:p w14:paraId="5A06B2FB" w14:textId="77777777" w:rsidR="00387142" w:rsidRPr="008B6A75" w:rsidRDefault="00387142" w:rsidP="00387142">
            <w:pPr>
              <w:jc w:val="center"/>
              <w:rPr>
                <w:sz w:val="20"/>
                <w:szCs w:val="20"/>
              </w:rPr>
            </w:pPr>
            <w:r w:rsidRPr="008B6A75">
              <w:rPr>
                <w:sz w:val="20"/>
                <w:szCs w:val="20"/>
              </w:rPr>
              <w:t>444</w:t>
            </w:r>
          </w:p>
        </w:tc>
        <w:tc>
          <w:tcPr>
            <w:tcW w:w="709" w:type="dxa"/>
            <w:tcBorders>
              <w:top w:val="nil"/>
              <w:left w:val="single" w:sz="4" w:space="0" w:color="auto"/>
              <w:bottom w:val="nil"/>
              <w:right w:val="nil"/>
            </w:tcBorders>
            <w:shd w:val="clear" w:color="auto" w:fill="auto"/>
            <w:noWrap/>
            <w:vAlign w:val="center"/>
            <w:hideMark/>
          </w:tcPr>
          <w:p w14:paraId="4E0D36E7" w14:textId="77777777" w:rsidR="00387142" w:rsidRPr="008B6A75" w:rsidRDefault="00387142" w:rsidP="00387142">
            <w:pPr>
              <w:jc w:val="center"/>
              <w:rPr>
                <w:sz w:val="20"/>
                <w:szCs w:val="20"/>
              </w:rPr>
            </w:pPr>
            <w:r w:rsidRPr="008B6A75">
              <w:rPr>
                <w:sz w:val="20"/>
                <w:szCs w:val="20"/>
              </w:rPr>
              <w:t>04</w:t>
            </w:r>
          </w:p>
        </w:tc>
        <w:tc>
          <w:tcPr>
            <w:tcW w:w="709" w:type="dxa"/>
            <w:tcBorders>
              <w:top w:val="nil"/>
              <w:left w:val="single" w:sz="4" w:space="0" w:color="auto"/>
              <w:bottom w:val="nil"/>
              <w:right w:val="single" w:sz="4" w:space="0" w:color="auto"/>
            </w:tcBorders>
            <w:shd w:val="clear" w:color="auto" w:fill="auto"/>
            <w:noWrap/>
            <w:vAlign w:val="center"/>
            <w:hideMark/>
          </w:tcPr>
          <w:p w14:paraId="6C000F16" w14:textId="77777777" w:rsidR="00387142" w:rsidRPr="008B6A75" w:rsidRDefault="00387142" w:rsidP="00387142">
            <w:pPr>
              <w:jc w:val="center"/>
              <w:rPr>
                <w:sz w:val="20"/>
                <w:szCs w:val="20"/>
              </w:rPr>
            </w:pPr>
            <w:r w:rsidRPr="008B6A75">
              <w:rPr>
                <w:sz w:val="20"/>
                <w:szCs w:val="20"/>
              </w:rPr>
              <w:t>09</w:t>
            </w:r>
          </w:p>
        </w:tc>
        <w:tc>
          <w:tcPr>
            <w:tcW w:w="1411" w:type="dxa"/>
            <w:tcBorders>
              <w:top w:val="nil"/>
              <w:left w:val="single" w:sz="4" w:space="0" w:color="auto"/>
              <w:bottom w:val="nil"/>
              <w:right w:val="nil"/>
            </w:tcBorders>
            <w:shd w:val="clear" w:color="auto" w:fill="auto"/>
            <w:noWrap/>
            <w:vAlign w:val="center"/>
            <w:hideMark/>
          </w:tcPr>
          <w:p w14:paraId="594FB0A8" w14:textId="77777777" w:rsidR="00387142" w:rsidRPr="008B6A75" w:rsidRDefault="00387142" w:rsidP="00387142">
            <w:pPr>
              <w:jc w:val="center"/>
              <w:rPr>
                <w:sz w:val="20"/>
                <w:szCs w:val="20"/>
              </w:rPr>
            </w:pPr>
            <w:r w:rsidRPr="008B6A75">
              <w:rPr>
                <w:sz w:val="20"/>
                <w:szCs w:val="20"/>
              </w:rPr>
              <w:t>10.0.00.04310</w:t>
            </w:r>
          </w:p>
        </w:tc>
        <w:tc>
          <w:tcPr>
            <w:tcW w:w="955" w:type="dxa"/>
            <w:tcBorders>
              <w:top w:val="nil"/>
              <w:left w:val="single" w:sz="4" w:space="0" w:color="auto"/>
              <w:bottom w:val="nil"/>
              <w:right w:val="single" w:sz="4" w:space="0" w:color="auto"/>
            </w:tcBorders>
            <w:shd w:val="clear" w:color="auto" w:fill="auto"/>
            <w:noWrap/>
            <w:vAlign w:val="center"/>
            <w:hideMark/>
          </w:tcPr>
          <w:p w14:paraId="61390C00" w14:textId="77777777" w:rsidR="00387142" w:rsidRPr="008B6A75" w:rsidRDefault="00387142" w:rsidP="00387142">
            <w:pPr>
              <w:jc w:val="center"/>
              <w:rPr>
                <w:sz w:val="20"/>
                <w:szCs w:val="20"/>
              </w:rPr>
            </w:pPr>
            <w:r w:rsidRPr="008B6A75">
              <w:rPr>
                <w:sz w:val="20"/>
                <w:szCs w:val="20"/>
              </w:rPr>
              <w:t>500</w:t>
            </w:r>
          </w:p>
        </w:tc>
        <w:tc>
          <w:tcPr>
            <w:tcW w:w="992" w:type="dxa"/>
            <w:tcBorders>
              <w:top w:val="nil"/>
              <w:left w:val="single" w:sz="4" w:space="0" w:color="auto"/>
              <w:bottom w:val="nil"/>
              <w:right w:val="single" w:sz="4" w:space="0" w:color="auto"/>
            </w:tcBorders>
            <w:shd w:val="clear" w:color="auto" w:fill="auto"/>
            <w:noWrap/>
            <w:vAlign w:val="center"/>
            <w:hideMark/>
          </w:tcPr>
          <w:p w14:paraId="648E3636" w14:textId="77777777" w:rsidR="00387142" w:rsidRPr="008B6A75" w:rsidRDefault="00387142" w:rsidP="00387142">
            <w:pPr>
              <w:jc w:val="right"/>
              <w:rPr>
                <w:sz w:val="20"/>
                <w:szCs w:val="20"/>
              </w:rPr>
            </w:pPr>
            <w:r w:rsidRPr="008B6A75">
              <w:rPr>
                <w:sz w:val="20"/>
                <w:szCs w:val="20"/>
              </w:rPr>
              <w:t>270 000,00</w:t>
            </w:r>
          </w:p>
        </w:tc>
        <w:tc>
          <w:tcPr>
            <w:tcW w:w="992" w:type="dxa"/>
            <w:gridSpan w:val="2"/>
            <w:tcBorders>
              <w:top w:val="nil"/>
              <w:left w:val="single" w:sz="4" w:space="0" w:color="auto"/>
              <w:bottom w:val="nil"/>
              <w:right w:val="nil"/>
            </w:tcBorders>
            <w:shd w:val="clear" w:color="auto" w:fill="auto"/>
            <w:noWrap/>
            <w:vAlign w:val="center"/>
            <w:hideMark/>
          </w:tcPr>
          <w:p w14:paraId="3EC2AA22" w14:textId="77777777" w:rsidR="00387142" w:rsidRPr="008B6A75" w:rsidRDefault="00387142" w:rsidP="00387142">
            <w:pPr>
              <w:jc w:val="right"/>
              <w:rPr>
                <w:sz w:val="20"/>
                <w:szCs w:val="20"/>
              </w:rPr>
            </w:pPr>
            <w:r w:rsidRPr="008B6A75">
              <w:rPr>
                <w:sz w:val="20"/>
                <w:szCs w:val="20"/>
              </w:rPr>
              <w:t>0,00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4D059F23" w14:textId="77777777" w:rsidR="00387142" w:rsidRPr="008B6A75" w:rsidRDefault="00387142" w:rsidP="00387142">
            <w:pPr>
              <w:jc w:val="right"/>
              <w:rPr>
                <w:sz w:val="20"/>
                <w:szCs w:val="20"/>
              </w:rPr>
            </w:pPr>
            <w:r w:rsidRPr="008B6A75">
              <w:rPr>
                <w:sz w:val="20"/>
                <w:szCs w:val="20"/>
              </w:rPr>
              <w:t>0,00</w:t>
            </w:r>
          </w:p>
        </w:tc>
        <w:tc>
          <w:tcPr>
            <w:tcW w:w="222" w:type="dxa"/>
            <w:vAlign w:val="center"/>
            <w:hideMark/>
          </w:tcPr>
          <w:p w14:paraId="6BB6D1D0" w14:textId="77777777" w:rsidR="00387142" w:rsidRPr="008B6A75" w:rsidRDefault="00387142" w:rsidP="00387142">
            <w:pPr>
              <w:rPr>
                <w:sz w:val="20"/>
                <w:szCs w:val="20"/>
              </w:rPr>
            </w:pPr>
          </w:p>
        </w:tc>
      </w:tr>
      <w:tr w:rsidR="00387142" w:rsidRPr="008B6A75" w14:paraId="343E41F1" w14:textId="77777777" w:rsidTr="00387142">
        <w:trPr>
          <w:trHeight w:val="300"/>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7DAEFF94" w14:textId="77777777" w:rsidR="00387142" w:rsidRPr="008B6A75" w:rsidRDefault="00387142" w:rsidP="00387142">
            <w:pPr>
              <w:rPr>
                <w:sz w:val="20"/>
                <w:szCs w:val="20"/>
              </w:rPr>
            </w:pPr>
            <w:r w:rsidRPr="008B6A75">
              <w:rPr>
                <w:sz w:val="20"/>
                <w:szCs w:val="20"/>
              </w:rPr>
              <w:t>Иные межбюджетные трансферты</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3D8FBB04" w14:textId="77777777" w:rsidR="00387142" w:rsidRPr="008B6A75" w:rsidRDefault="00387142" w:rsidP="00387142">
            <w:pPr>
              <w:jc w:val="center"/>
              <w:rPr>
                <w:sz w:val="20"/>
                <w:szCs w:val="20"/>
              </w:rPr>
            </w:pPr>
            <w:r w:rsidRPr="008B6A75">
              <w:rPr>
                <w:sz w:val="20"/>
                <w:szCs w:val="20"/>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4E0651CF" w14:textId="77777777" w:rsidR="00387142" w:rsidRPr="008B6A75" w:rsidRDefault="00387142" w:rsidP="00387142">
            <w:pPr>
              <w:jc w:val="center"/>
              <w:rPr>
                <w:sz w:val="20"/>
                <w:szCs w:val="20"/>
              </w:rPr>
            </w:pPr>
            <w:r w:rsidRPr="008B6A75">
              <w:rPr>
                <w:sz w:val="20"/>
                <w:szCs w:val="20"/>
              </w:rPr>
              <w:t>04</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7D455E" w14:textId="77777777" w:rsidR="00387142" w:rsidRPr="008B6A75" w:rsidRDefault="00387142" w:rsidP="00387142">
            <w:pPr>
              <w:jc w:val="center"/>
              <w:rPr>
                <w:sz w:val="20"/>
                <w:szCs w:val="20"/>
              </w:rPr>
            </w:pPr>
            <w:r w:rsidRPr="008B6A75">
              <w:rPr>
                <w:sz w:val="20"/>
                <w:szCs w:val="20"/>
              </w:rPr>
              <w:t>09</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57DB18D0" w14:textId="77777777" w:rsidR="00387142" w:rsidRPr="008B6A75" w:rsidRDefault="00387142" w:rsidP="00387142">
            <w:pPr>
              <w:jc w:val="center"/>
              <w:rPr>
                <w:sz w:val="20"/>
                <w:szCs w:val="20"/>
              </w:rPr>
            </w:pPr>
            <w:r w:rsidRPr="008B6A75">
              <w:rPr>
                <w:sz w:val="20"/>
                <w:szCs w:val="20"/>
              </w:rPr>
              <w:t>10.0.00.04310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53D276" w14:textId="77777777" w:rsidR="00387142" w:rsidRPr="008B6A75" w:rsidRDefault="00387142" w:rsidP="00387142">
            <w:pPr>
              <w:jc w:val="center"/>
              <w:rPr>
                <w:sz w:val="20"/>
                <w:szCs w:val="20"/>
              </w:rPr>
            </w:pPr>
            <w:r w:rsidRPr="008B6A75">
              <w:rPr>
                <w:sz w:val="20"/>
                <w:szCs w:val="20"/>
              </w:rPr>
              <w:t>540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BDA5C0" w14:textId="77777777" w:rsidR="00387142" w:rsidRPr="008B6A75" w:rsidRDefault="00387142" w:rsidP="00387142">
            <w:pPr>
              <w:jc w:val="right"/>
              <w:rPr>
                <w:sz w:val="20"/>
                <w:szCs w:val="20"/>
              </w:rPr>
            </w:pPr>
            <w:r w:rsidRPr="008B6A75">
              <w:rPr>
                <w:sz w:val="20"/>
                <w:szCs w:val="20"/>
              </w:rPr>
              <w:t>270 000,00</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6B8C8905" w14:textId="77777777" w:rsidR="00387142" w:rsidRPr="008B6A75" w:rsidRDefault="00387142" w:rsidP="00387142">
            <w:pPr>
              <w:jc w:val="right"/>
              <w:rPr>
                <w:sz w:val="20"/>
                <w:szCs w:val="20"/>
              </w:rPr>
            </w:pPr>
            <w:r w:rsidRPr="008B6A75">
              <w:rPr>
                <w:sz w:val="20"/>
                <w:szCs w:val="20"/>
              </w:rPr>
              <w:t>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716F98" w14:textId="77777777" w:rsidR="00387142" w:rsidRPr="008B6A75" w:rsidRDefault="00387142" w:rsidP="00387142">
            <w:pPr>
              <w:jc w:val="right"/>
              <w:rPr>
                <w:sz w:val="20"/>
                <w:szCs w:val="20"/>
              </w:rPr>
            </w:pPr>
            <w:r w:rsidRPr="008B6A75">
              <w:rPr>
                <w:sz w:val="20"/>
                <w:szCs w:val="20"/>
              </w:rPr>
              <w:t>0,00</w:t>
            </w:r>
          </w:p>
        </w:tc>
        <w:tc>
          <w:tcPr>
            <w:tcW w:w="222" w:type="dxa"/>
            <w:vAlign w:val="center"/>
            <w:hideMark/>
          </w:tcPr>
          <w:p w14:paraId="5FD2C78C" w14:textId="77777777" w:rsidR="00387142" w:rsidRPr="008B6A75" w:rsidRDefault="00387142" w:rsidP="00387142">
            <w:pPr>
              <w:rPr>
                <w:sz w:val="20"/>
                <w:szCs w:val="20"/>
              </w:rPr>
            </w:pPr>
          </w:p>
        </w:tc>
      </w:tr>
      <w:tr w:rsidR="00387142" w:rsidRPr="008B6A75" w14:paraId="6AD2EB36" w14:textId="77777777" w:rsidTr="00387142">
        <w:trPr>
          <w:trHeight w:val="870"/>
        </w:trPr>
        <w:tc>
          <w:tcPr>
            <w:tcW w:w="3021" w:type="dxa"/>
            <w:tcBorders>
              <w:top w:val="nil"/>
              <w:left w:val="single" w:sz="4" w:space="0" w:color="auto"/>
              <w:bottom w:val="nil"/>
              <w:right w:val="nil"/>
            </w:tcBorders>
            <w:shd w:val="clear" w:color="auto" w:fill="auto"/>
            <w:vAlign w:val="center"/>
            <w:hideMark/>
          </w:tcPr>
          <w:p w14:paraId="53748C99" w14:textId="77777777" w:rsidR="00387142" w:rsidRPr="008B6A75" w:rsidRDefault="00387142" w:rsidP="00387142">
            <w:pPr>
              <w:rPr>
                <w:bCs/>
                <w:sz w:val="20"/>
                <w:szCs w:val="20"/>
              </w:rPr>
            </w:pPr>
            <w:r w:rsidRPr="008B6A75">
              <w:rPr>
                <w:bCs/>
                <w:sz w:val="20"/>
                <w:szCs w:val="20"/>
              </w:rPr>
              <w:t>Капитальный ремонт и ремонт сети автомобильных дорог общего пользования и искусственных сооружений на них</w:t>
            </w:r>
          </w:p>
        </w:tc>
        <w:tc>
          <w:tcPr>
            <w:tcW w:w="850" w:type="dxa"/>
            <w:tcBorders>
              <w:top w:val="nil"/>
              <w:left w:val="single" w:sz="4" w:space="0" w:color="auto"/>
              <w:bottom w:val="nil"/>
              <w:right w:val="nil"/>
            </w:tcBorders>
            <w:shd w:val="clear" w:color="auto" w:fill="auto"/>
            <w:noWrap/>
            <w:vAlign w:val="center"/>
            <w:hideMark/>
          </w:tcPr>
          <w:p w14:paraId="39429F73" w14:textId="77777777" w:rsidR="00387142" w:rsidRPr="008B6A75" w:rsidRDefault="00387142" w:rsidP="00387142">
            <w:pPr>
              <w:jc w:val="center"/>
              <w:rPr>
                <w:bCs/>
                <w:sz w:val="20"/>
                <w:szCs w:val="20"/>
              </w:rPr>
            </w:pPr>
            <w:r w:rsidRPr="008B6A75">
              <w:rPr>
                <w:bCs/>
                <w:sz w:val="20"/>
                <w:szCs w:val="20"/>
              </w:rPr>
              <w:t>444</w:t>
            </w:r>
          </w:p>
        </w:tc>
        <w:tc>
          <w:tcPr>
            <w:tcW w:w="709" w:type="dxa"/>
            <w:tcBorders>
              <w:top w:val="nil"/>
              <w:left w:val="single" w:sz="4" w:space="0" w:color="auto"/>
              <w:bottom w:val="nil"/>
              <w:right w:val="nil"/>
            </w:tcBorders>
            <w:shd w:val="clear" w:color="auto" w:fill="auto"/>
            <w:noWrap/>
            <w:vAlign w:val="center"/>
            <w:hideMark/>
          </w:tcPr>
          <w:p w14:paraId="4BEBDEC3" w14:textId="77777777" w:rsidR="00387142" w:rsidRPr="008B6A75" w:rsidRDefault="00387142" w:rsidP="00387142">
            <w:pPr>
              <w:jc w:val="center"/>
              <w:rPr>
                <w:bCs/>
                <w:sz w:val="20"/>
                <w:szCs w:val="20"/>
              </w:rPr>
            </w:pPr>
            <w:r w:rsidRPr="008B6A75">
              <w:rPr>
                <w:bCs/>
                <w:sz w:val="20"/>
                <w:szCs w:val="20"/>
              </w:rPr>
              <w:t>04</w:t>
            </w:r>
          </w:p>
        </w:tc>
        <w:tc>
          <w:tcPr>
            <w:tcW w:w="709" w:type="dxa"/>
            <w:tcBorders>
              <w:top w:val="nil"/>
              <w:left w:val="single" w:sz="4" w:space="0" w:color="auto"/>
              <w:bottom w:val="nil"/>
              <w:right w:val="single" w:sz="4" w:space="0" w:color="auto"/>
            </w:tcBorders>
            <w:shd w:val="clear" w:color="auto" w:fill="auto"/>
            <w:noWrap/>
            <w:vAlign w:val="center"/>
            <w:hideMark/>
          </w:tcPr>
          <w:p w14:paraId="32CDAC77" w14:textId="77777777" w:rsidR="00387142" w:rsidRPr="008B6A75" w:rsidRDefault="00387142" w:rsidP="00387142">
            <w:pPr>
              <w:jc w:val="center"/>
              <w:rPr>
                <w:bCs/>
                <w:sz w:val="20"/>
                <w:szCs w:val="20"/>
              </w:rPr>
            </w:pPr>
            <w:r w:rsidRPr="008B6A75">
              <w:rPr>
                <w:bCs/>
                <w:sz w:val="20"/>
                <w:szCs w:val="20"/>
              </w:rPr>
              <w:t>09</w:t>
            </w:r>
          </w:p>
        </w:tc>
        <w:tc>
          <w:tcPr>
            <w:tcW w:w="1411" w:type="dxa"/>
            <w:tcBorders>
              <w:top w:val="nil"/>
              <w:left w:val="single" w:sz="4" w:space="0" w:color="auto"/>
              <w:bottom w:val="nil"/>
              <w:right w:val="nil"/>
            </w:tcBorders>
            <w:shd w:val="clear" w:color="auto" w:fill="auto"/>
            <w:noWrap/>
            <w:vAlign w:val="center"/>
            <w:hideMark/>
          </w:tcPr>
          <w:p w14:paraId="175E31F7" w14:textId="77777777" w:rsidR="00387142" w:rsidRPr="008B6A75" w:rsidRDefault="00387142" w:rsidP="00387142">
            <w:pPr>
              <w:jc w:val="center"/>
              <w:rPr>
                <w:bCs/>
                <w:sz w:val="20"/>
                <w:szCs w:val="20"/>
              </w:rPr>
            </w:pPr>
            <w:r w:rsidRPr="008B6A75">
              <w:rPr>
                <w:bCs/>
                <w:sz w:val="20"/>
                <w:szCs w:val="20"/>
              </w:rPr>
              <w:t>10.0.00.04330</w:t>
            </w:r>
          </w:p>
        </w:tc>
        <w:tc>
          <w:tcPr>
            <w:tcW w:w="955" w:type="dxa"/>
            <w:tcBorders>
              <w:top w:val="nil"/>
              <w:left w:val="single" w:sz="4" w:space="0" w:color="auto"/>
              <w:bottom w:val="nil"/>
              <w:right w:val="single" w:sz="4" w:space="0" w:color="auto"/>
            </w:tcBorders>
            <w:shd w:val="clear" w:color="auto" w:fill="auto"/>
            <w:noWrap/>
            <w:vAlign w:val="center"/>
            <w:hideMark/>
          </w:tcPr>
          <w:p w14:paraId="13AF9751"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nil"/>
              <w:right w:val="single" w:sz="4" w:space="0" w:color="auto"/>
            </w:tcBorders>
            <w:shd w:val="clear" w:color="auto" w:fill="auto"/>
            <w:noWrap/>
            <w:vAlign w:val="center"/>
            <w:hideMark/>
          </w:tcPr>
          <w:p w14:paraId="524CB5F2" w14:textId="77777777" w:rsidR="00387142" w:rsidRPr="008B6A75" w:rsidRDefault="00387142" w:rsidP="00387142">
            <w:pPr>
              <w:jc w:val="right"/>
              <w:rPr>
                <w:bCs/>
                <w:sz w:val="20"/>
                <w:szCs w:val="20"/>
              </w:rPr>
            </w:pPr>
            <w:r w:rsidRPr="008B6A75">
              <w:rPr>
                <w:bCs/>
                <w:sz w:val="20"/>
                <w:szCs w:val="20"/>
              </w:rPr>
              <w:t>15 974 211,60</w:t>
            </w:r>
          </w:p>
        </w:tc>
        <w:tc>
          <w:tcPr>
            <w:tcW w:w="992" w:type="dxa"/>
            <w:gridSpan w:val="2"/>
            <w:tcBorders>
              <w:top w:val="nil"/>
              <w:left w:val="single" w:sz="4" w:space="0" w:color="auto"/>
              <w:bottom w:val="nil"/>
              <w:right w:val="nil"/>
            </w:tcBorders>
            <w:shd w:val="clear" w:color="auto" w:fill="auto"/>
            <w:noWrap/>
            <w:vAlign w:val="center"/>
            <w:hideMark/>
          </w:tcPr>
          <w:p w14:paraId="63ECF59B" w14:textId="77777777" w:rsidR="00387142" w:rsidRPr="008B6A75" w:rsidRDefault="00387142" w:rsidP="00387142">
            <w:pPr>
              <w:jc w:val="right"/>
              <w:rPr>
                <w:bCs/>
                <w:sz w:val="20"/>
                <w:szCs w:val="20"/>
              </w:rPr>
            </w:pPr>
            <w:r w:rsidRPr="008B6A75">
              <w:rPr>
                <w:bCs/>
                <w:sz w:val="20"/>
                <w:szCs w:val="20"/>
              </w:rPr>
              <w:t>15 471 200,00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14971C58" w14:textId="77777777" w:rsidR="00387142" w:rsidRPr="008B6A75" w:rsidRDefault="00387142" w:rsidP="00387142">
            <w:pPr>
              <w:jc w:val="right"/>
              <w:rPr>
                <w:bCs/>
                <w:sz w:val="20"/>
                <w:szCs w:val="20"/>
              </w:rPr>
            </w:pPr>
            <w:r w:rsidRPr="008B6A75">
              <w:rPr>
                <w:bCs/>
                <w:sz w:val="20"/>
                <w:szCs w:val="20"/>
              </w:rPr>
              <w:t>15 584 000,00</w:t>
            </w:r>
          </w:p>
        </w:tc>
        <w:tc>
          <w:tcPr>
            <w:tcW w:w="222" w:type="dxa"/>
            <w:vAlign w:val="center"/>
            <w:hideMark/>
          </w:tcPr>
          <w:p w14:paraId="04271811" w14:textId="77777777" w:rsidR="00387142" w:rsidRPr="008B6A75" w:rsidRDefault="00387142" w:rsidP="00387142">
            <w:pPr>
              <w:rPr>
                <w:sz w:val="20"/>
                <w:szCs w:val="20"/>
              </w:rPr>
            </w:pPr>
          </w:p>
        </w:tc>
      </w:tr>
      <w:tr w:rsidR="00387142" w:rsidRPr="008B6A75" w14:paraId="0A118A0A" w14:textId="77777777" w:rsidTr="00387142">
        <w:trPr>
          <w:trHeight w:val="585"/>
        </w:trPr>
        <w:tc>
          <w:tcPr>
            <w:tcW w:w="3021" w:type="dxa"/>
            <w:tcBorders>
              <w:top w:val="single" w:sz="4" w:space="0" w:color="auto"/>
              <w:left w:val="single" w:sz="4" w:space="0" w:color="auto"/>
              <w:bottom w:val="nil"/>
              <w:right w:val="nil"/>
            </w:tcBorders>
            <w:shd w:val="clear" w:color="auto" w:fill="auto"/>
            <w:vAlign w:val="center"/>
            <w:hideMark/>
          </w:tcPr>
          <w:p w14:paraId="389668CF" w14:textId="77777777" w:rsidR="00387142" w:rsidRPr="008B6A75" w:rsidRDefault="00387142" w:rsidP="00387142">
            <w:pPr>
              <w:rPr>
                <w:sz w:val="20"/>
                <w:szCs w:val="20"/>
              </w:rPr>
            </w:pPr>
            <w:r w:rsidRPr="008B6A75">
              <w:rPr>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nil"/>
              <w:right w:val="nil"/>
            </w:tcBorders>
            <w:shd w:val="clear" w:color="auto" w:fill="auto"/>
            <w:noWrap/>
            <w:vAlign w:val="center"/>
            <w:hideMark/>
          </w:tcPr>
          <w:p w14:paraId="7D3FA024" w14:textId="77777777" w:rsidR="00387142" w:rsidRPr="008B6A75" w:rsidRDefault="00387142" w:rsidP="00387142">
            <w:pPr>
              <w:jc w:val="center"/>
              <w:rPr>
                <w:sz w:val="20"/>
                <w:szCs w:val="20"/>
              </w:rPr>
            </w:pPr>
            <w:r w:rsidRPr="008B6A75">
              <w:rPr>
                <w:sz w:val="20"/>
                <w:szCs w:val="20"/>
              </w:rPr>
              <w:t>444</w:t>
            </w:r>
          </w:p>
        </w:tc>
        <w:tc>
          <w:tcPr>
            <w:tcW w:w="709" w:type="dxa"/>
            <w:tcBorders>
              <w:top w:val="single" w:sz="4" w:space="0" w:color="auto"/>
              <w:left w:val="single" w:sz="4" w:space="0" w:color="auto"/>
              <w:bottom w:val="nil"/>
              <w:right w:val="nil"/>
            </w:tcBorders>
            <w:shd w:val="clear" w:color="auto" w:fill="auto"/>
            <w:noWrap/>
            <w:vAlign w:val="center"/>
            <w:hideMark/>
          </w:tcPr>
          <w:p w14:paraId="0CEF8835" w14:textId="77777777" w:rsidR="00387142" w:rsidRPr="008B6A75" w:rsidRDefault="00387142" w:rsidP="00387142">
            <w:pPr>
              <w:jc w:val="center"/>
              <w:rPr>
                <w:sz w:val="20"/>
                <w:szCs w:val="20"/>
              </w:rPr>
            </w:pPr>
            <w:r w:rsidRPr="008B6A75">
              <w:rPr>
                <w:sz w:val="20"/>
                <w:szCs w:val="20"/>
              </w:rPr>
              <w:t>04</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5C4907EF" w14:textId="77777777" w:rsidR="00387142" w:rsidRPr="008B6A75" w:rsidRDefault="00387142" w:rsidP="00387142">
            <w:pPr>
              <w:jc w:val="center"/>
              <w:rPr>
                <w:sz w:val="20"/>
                <w:szCs w:val="20"/>
              </w:rPr>
            </w:pPr>
            <w:r w:rsidRPr="008B6A75">
              <w:rPr>
                <w:sz w:val="20"/>
                <w:szCs w:val="20"/>
              </w:rPr>
              <w:t>09</w:t>
            </w:r>
          </w:p>
        </w:tc>
        <w:tc>
          <w:tcPr>
            <w:tcW w:w="1411" w:type="dxa"/>
            <w:tcBorders>
              <w:top w:val="single" w:sz="4" w:space="0" w:color="auto"/>
              <w:left w:val="single" w:sz="4" w:space="0" w:color="auto"/>
              <w:bottom w:val="nil"/>
              <w:right w:val="nil"/>
            </w:tcBorders>
            <w:shd w:val="clear" w:color="auto" w:fill="auto"/>
            <w:noWrap/>
            <w:vAlign w:val="center"/>
            <w:hideMark/>
          </w:tcPr>
          <w:p w14:paraId="78C23BE1" w14:textId="77777777" w:rsidR="00387142" w:rsidRPr="008B6A75" w:rsidRDefault="00387142" w:rsidP="00387142">
            <w:pPr>
              <w:jc w:val="center"/>
              <w:rPr>
                <w:sz w:val="20"/>
                <w:szCs w:val="20"/>
              </w:rPr>
            </w:pPr>
            <w:r w:rsidRPr="008B6A75">
              <w:rPr>
                <w:sz w:val="20"/>
                <w:szCs w:val="20"/>
              </w:rPr>
              <w:t>10.0.00.04330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4E8021B2" w14:textId="77777777" w:rsidR="00387142" w:rsidRPr="008B6A75" w:rsidRDefault="00387142" w:rsidP="00387142">
            <w:pPr>
              <w:jc w:val="center"/>
              <w:rPr>
                <w:sz w:val="20"/>
                <w:szCs w:val="20"/>
              </w:rPr>
            </w:pPr>
            <w:r w:rsidRPr="008B6A75">
              <w:rPr>
                <w:sz w:val="20"/>
                <w:szCs w:val="20"/>
              </w:rPr>
              <w:t>200</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2499865A" w14:textId="77777777" w:rsidR="00387142" w:rsidRPr="008B6A75" w:rsidRDefault="00387142" w:rsidP="00387142">
            <w:pPr>
              <w:jc w:val="right"/>
              <w:rPr>
                <w:sz w:val="20"/>
                <w:szCs w:val="20"/>
              </w:rPr>
            </w:pPr>
            <w:r w:rsidRPr="008B6A75">
              <w:rPr>
                <w:sz w:val="20"/>
                <w:szCs w:val="20"/>
              </w:rPr>
              <w:t>0,00</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30C3F89F" w14:textId="77777777" w:rsidR="00387142" w:rsidRPr="008B6A75" w:rsidRDefault="00387142" w:rsidP="00387142">
            <w:pPr>
              <w:jc w:val="right"/>
              <w:rPr>
                <w:sz w:val="20"/>
                <w:szCs w:val="20"/>
              </w:rPr>
            </w:pPr>
            <w:r w:rsidRPr="008B6A75">
              <w:rPr>
                <w:sz w:val="20"/>
                <w:szCs w:val="20"/>
              </w:rPr>
              <w:t>15 471 200,00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6925C201" w14:textId="77777777" w:rsidR="00387142" w:rsidRPr="008B6A75" w:rsidRDefault="00387142" w:rsidP="00387142">
            <w:pPr>
              <w:jc w:val="right"/>
              <w:rPr>
                <w:sz w:val="20"/>
                <w:szCs w:val="20"/>
              </w:rPr>
            </w:pPr>
            <w:r w:rsidRPr="008B6A75">
              <w:rPr>
                <w:sz w:val="20"/>
                <w:szCs w:val="20"/>
              </w:rPr>
              <w:t>15 584 000,00</w:t>
            </w:r>
          </w:p>
        </w:tc>
        <w:tc>
          <w:tcPr>
            <w:tcW w:w="222" w:type="dxa"/>
            <w:vAlign w:val="center"/>
            <w:hideMark/>
          </w:tcPr>
          <w:p w14:paraId="68907CD3" w14:textId="77777777" w:rsidR="00387142" w:rsidRPr="008B6A75" w:rsidRDefault="00387142" w:rsidP="00387142">
            <w:pPr>
              <w:rPr>
                <w:sz w:val="20"/>
                <w:szCs w:val="20"/>
              </w:rPr>
            </w:pPr>
          </w:p>
        </w:tc>
      </w:tr>
      <w:tr w:rsidR="00387142" w:rsidRPr="008B6A75" w14:paraId="5438751D" w14:textId="77777777" w:rsidTr="00387142">
        <w:trPr>
          <w:trHeight w:val="870"/>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5DE95DE0" w14:textId="77777777" w:rsidR="00387142" w:rsidRPr="008B6A75" w:rsidRDefault="00387142" w:rsidP="00387142">
            <w:pPr>
              <w:rPr>
                <w:sz w:val="20"/>
                <w:szCs w:val="20"/>
              </w:rPr>
            </w:pPr>
            <w:r w:rsidRPr="008B6A75">
              <w:rPr>
                <w:sz w:val="20"/>
                <w:szCs w:val="20"/>
              </w:rPr>
              <w:lastRenderedPageBreak/>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5CC335B6" w14:textId="77777777" w:rsidR="00387142" w:rsidRPr="008B6A75" w:rsidRDefault="00387142" w:rsidP="00387142">
            <w:pPr>
              <w:jc w:val="center"/>
              <w:rPr>
                <w:sz w:val="20"/>
                <w:szCs w:val="20"/>
              </w:rPr>
            </w:pPr>
            <w:r w:rsidRPr="008B6A75">
              <w:rPr>
                <w:sz w:val="20"/>
                <w:szCs w:val="20"/>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47F07111" w14:textId="77777777" w:rsidR="00387142" w:rsidRPr="008B6A75" w:rsidRDefault="00387142" w:rsidP="00387142">
            <w:pPr>
              <w:jc w:val="center"/>
              <w:rPr>
                <w:sz w:val="20"/>
                <w:szCs w:val="20"/>
              </w:rPr>
            </w:pPr>
            <w:r w:rsidRPr="008B6A75">
              <w:rPr>
                <w:sz w:val="20"/>
                <w:szCs w:val="20"/>
              </w:rPr>
              <w:t>04</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2E6CDE" w14:textId="77777777" w:rsidR="00387142" w:rsidRPr="008B6A75" w:rsidRDefault="00387142" w:rsidP="00387142">
            <w:pPr>
              <w:jc w:val="center"/>
              <w:rPr>
                <w:sz w:val="20"/>
                <w:szCs w:val="20"/>
              </w:rPr>
            </w:pPr>
            <w:r w:rsidRPr="008B6A75">
              <w:rPr>
                <w:sz w:val="20"/>
                <w:szCs w:val="20"/>
              </w:rPr>
              <w:t>09</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06137CBC" w14:textId="77777777" w:rsidR="00387142" w:rsidRPr="008B6A75" w:rsidRDefault="00387142" w:rsidP="00387142">
            <w:pPr>
              <w:jc w:val="center"/>
              <w:rPr>
                <w:sz w:val="20"/>
                <w:szCs w:val="20"/>
              </w:rPr>
            </w:pPr>
            <w:r w:rsidRPr="008B6A75">
              <w:rPr>
                <w:sz w:val="20"/>
                <w:szCs w:val="20"/>
              </w:rPr>
              <w:t>10.0.00.04330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A4E3FB" w14:textId="77777777" w:rsidR="00387142" w:rsidRPr="008B6A75" w:rsidRDefault="00387142" w:rsidP="00387142">
            <w:pPr>
              <w:jc w:val="center"/>
              <w:rPr>
                <w:sz w:val="20"/>
                <w:szCs w:val="20"/>
              </w:rPr>
            </w:pPr>
            <w:r w:rsidRPr="008B6A75">
              <w:rPr>
                <w:sz w:val="20"/>
                <w:szCs w:val="20"/>
              </w:rPr>
              <w:t>240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CAEA0D" w14:textId="77777777" w:rsidR="00387142" w:rsidRPr="008B6A75" w:rsidRDefault="00387142" w:rsidP="00387142">
            <w:pPr>
              <w:jc w:val="right"/>
              <w:rPr>
                <w:sz w:val="20"/>
                <w:szCs w:val="20"/>
              </w:rPr>
            </w:pPr>
            <w:r w:rsidRPr="008B6A75">
              <w:rPr>
                <w:sz w:val="20"/>
                <w:szCs w:val="20"/>
              </w:rPr>
              <w:t>0,00</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6781D4B4" w14:textId="77777777" w:rsidR="00387142" w:rsidRPr="008B6A75" w:rsidRDefault="00387142" w:rsidP="00387142">
            <w:pPr>
              <w:jc w:val="right"/>
              <w:rPr>
                <w:sz w:val="20"/>
                <w:szCs w:val="20"/>
              </w:rPr>
            </w:pPr>
            <w:r w:rsidRPr="008B6A75">
              <w:rPr>
                <w:sz w:val="20"/>
                <w:szCs w:val="20"/>
              </w:rPr>
              <w:t>15 471 200,00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C9F160" w14:textId="77777777" w:rsidR="00387142" w:rsidRPr="008B6A75" w:rsidRDefault="00387142" w:rsidP="00387142">
            <w:pPr>
              <w:jc w:val="right"/>
              <w:rPr>
                <w:sz w:val="20"/>
                <w:szCs w:val="20"/>
              </w:rPr>
            </w:pPr>
            <w:r w:rsidRPr="008B6A75">
              <w:rPr>
                <w:sz w:val="20"/>
                <w:szCs w:val="20"/>
              </w:rPr>
              <w:t>15 584 000,00</w:t>
            </w:r>
          </w:p>
        </w:tc>
        <w:tc>
          <w:tcPr>
            <w:tcW w:w="222" w:type="dxa"/>
            <w:vAlign w:val="center"/>
            <w:hideMark/>
          </w:tcPr>
          <w:p w14:paraId="303DF6F9" w14:textId="77777777" w:rsidR="00387142" w:rsidRPr="008B6A75" w:rsidRDefault="00387142" w:rsidP="00387142">
            <w:pPr>
              <w:rPr>
                <w:sz w:val="20"/>
                <w:szCs w:val="20"/>
              </w:rPr>
            </w:pPr>
          </w:p>
        </w:tc>
      </w:tr>
      <w:tr w:rsidR="00387142" w:rsidRPr="008B6A75" w14:paraId="72CC8301" w14:textId="77777777" w:rsidTr="00387142">
        <w:trPr>
          <w:trHeight w:val="300"/>
        </w:trPr>
        <w:tc>
          <w:tcPr>
            <w:tcW w:w="3021" w:type="dxa"/>
            <w:tcBorders>
              <w:top w:val="nil"/>
              <w:left w:val="single" w:sz="4" w:space="0" w:color="auto"/>
              <w:bottom w:val="nil"/>
              <w:right w:val="nil"/>
            </w:tcBorders>
            <w:shd w:val="clear" w:color="auto" w:fill="auto"/>
            <w:vAlign w:val="center"/>
            <w:hideMark/>
          </w:tcPr>
          <w:p w14:paraId="14F1BE64" w14:textId="77777777" w:rsidR="00387142" w:rsidRPr="008B6A75" w:rsidRDefault="00387142" w:rsidP="00387142">
            <w:pPr>
              <w:rPr>
                <w:sz w:val="20"/>
                <w:szCs w:val="20"/>
              </w:rPr>
            </w:pPr>
            <w:r w:rsidRPr="008B6A75">
              <w:rPr>
                <w:sz w:val="20"/>
                <w:szCs w:val="20"/>
              </w:rPr>
              <w:t>Межбюджетные трансферты</w:t>
            </w:r>
          </w:p>
        </w:tc>
        <w:tc>
          <w:tcPr>
            <w:tcW w:w="850" w:type="dxa"/>
            <w:tcBorders>
              <w:top w:val="nil"/>
              <w:left w:val="single" w:sz="4" w:space="0" w:color="auto"/>
              <w:bottom w:val="nil"/>
              <w:right w:val="nil"/>
            </w:tcBorders>
            <w:shd w:val="clear" w:color="auto" w:fill="auto"/>
            <w:noWrap/>
            <w:vAlign w:val="center"/>
            <w:hideMark/>
          </w:tcPr>
          <w:p w14:paraId="1921C88A" w14:textId="77777777" w:rsidR="00387142" w:rsidRPr="008B6A75" w:rsidRDefault="00387142" w:rsidP="00387142">
            <w:pPr>
              <w:jc w:val="center"/>
              <w:rPr>
                <w:sz w:val="20"/>
                <w:szCs w:val="20"/>
              </w:rPr>
            </w:pPr>
            <w:r w:rsidRPr="008B6A75">
              <w:rPr>
                <w:sz w:val="20"/>
                <w:szCs w:val="20"/>
              </w:rPr>
              <w:t>444</w:t>
            </w:r>
          </w:p>
        </w:tc>
        <w:tc>
          <w:tcPr>
            <w:tcW w:w="709" w:type="dxa"/>
            <w:tcBorders>
              <w:top w:val="nil"/>
              <w:left w:val="single" w:sz="4" w:space="0" w:color="auto"/>
              <w:bottom w:val="nil"/>
              <w:right w:val="nil"/>
            </w:tcBorders>
            <w:shd w:val="clear" w:color="auto" w:fill="auto"/>
            <w:noWrap/>
            <w:vAlign w:val="center"/>
            <w:hideMark/>
          </w:tcPr>
          <w:p w14:paraId="4017112D" w14:textId="77777777" w:rsidR="00387142" w:rsidRPr="008B6A75" w:rsidRDefault="00387142" w:rsidP="00387142">
            <w:pPr>
              <w:jc w:val="center"/>
              <w:rPr>
                <w:sz w:val="20"/>
                <w:szCs w:val="20"/>
              </w:rPr>
            </w:pPr>
            <w:r w:rsidRPr="008B6A75">
              <w:rPr>
                <w:sz w:val="20"/>
                <w:szCs w:val="20"/>
              </w:rPr>
              <w:t>04</w:t>
            </w:r>
          </w:p>
        </w:tc>
        <w:tc>
          <w:tcPr>
            <w:tcW w:w="709" w:type="dxa"/>
            <w:tcBorders>
              <w:top w:val="nil"/>
              <w:left w:val="single" w:sz="4" w:space="0" w:color="auto"/>
              <w:bottom w:val="nil"/>
              <w:right w:val="single" w:sz="4" w:space="0" w:color="auto"/>
            </w:tcBorders>
            <w:shd w:val="clear" w:color="auto" w:fill="auto"/>
            <w:noWrap/>
            <w:vAlign w:val="center"/>
            <w:hideMark/>
          </w:tcPr>
          <w:p w14:paraId="4FFACA48" w14:textId="77777777" w:rsidR="00387142" w:rsidRPr="008B6A75" w:rsidRDefault="00387142" w:rsidP="00387142">
            <w:pPr>
              <w:jc w:val="center"/>
              <w:rPr>
                <w:sz w:val="20"/>
                <w:szCs w:val="20"/>
              </w:rPr>
            </w:pPr>
            <w:r w:rsidRPr="008B6A75">
              <w:rPr>
                <w:sz w:val="20"/>
                <w:szCs w:val="20"/>
              </w:rPr>
              <w:t>09</w:t>
            </w:r>
          </w:p>
        </w:tc>
        <w:tc>
          <w:tcPr>
            <w:tcW w:w="1411" w:type="dxa"/>
            <w:tcBorders>
              <w:top w:val="nil"/>
              <w:left w:val="single" w:sz="4" w:space="0" w:color="auto"/>
              <w:bottom w:val="nil"/>
              <w:right w:val="nil"/>
            </w:tcBorders>
            <w:shd w:val="clear" w:color="auto" w:fill="auto"/>
            <w:noWrap/>
            <w:vAlign w:val="center"/>
            <w:hideMark/>
          </w:tcPr>
          <w:p w14:paraId="632F0B50" w14:textId="77777777" w:rsidR="00387142" w:rsidRPr="008B6A75" w:rsidRDefault="00387142" w:rsidP="00387142">
            <w:pPr>
              <w:jc w:val="center"/>
              <w:rPr>
                <w:sz w:val="20"/>
                <w:szCs w:val="20"/>
              </w:rPr>
            </w:pPr>
            <w:r w:rsidRPr="008B6A75">
              <w:rPr>
                <w:sz w:val="20"/>
                <w:szCs w:val="20"/>
              </w:rPr>
              <w:t>10.0.00.04330</w:t>
            </w:r>
          </w:p>
        </w:tc>
        <w:tc>
          <w:tcPr>
            <w:tcW w:w="955" w:type="dxa"/>
            <w:tcBorders>
              <w:top w:val="nil"/>
              <w:left w:val="single" w:sz="4" w:space="0" w:color="auto"/>
              <w:bottom w:val="nil"/>
              <w:right w:val="single" w:sz="4" w:space="0" w:color="auto"/>
            </w:tcBorders>
            <w:shd w:val="clear" w:color="auto" w:fill="auto"/>
            <w:noWrap/>
            <w:vAlign w:val="center"/>
            <w:hideMark/>
          </w:tcPr>
          <w:p w14:paraId="1ED1F021" w14:textId="77777777" w:rsidR="00387142" w:rsidRPr="008B6A75" w:rsidRDefault="00387142" w:rsidP="00387142">
            <w:pPr>
              <w:jc w:val="center"/>
              <w:rPr>
                <w:sz w:val="20"/>
                <w:szCs w:val="20"/>
              </w:rPr>
            </w:pPr>
            <w:r w:rsidRPr="008B6A75">
              <w:rPr>
                <w:sz w:val="20"/>
                <w:szCs w:val="20"/>
              </w:rPr>
              <w:t>500</w:t>
            </w:r>
          </w:p>
        </w:tc>
        <w:tc>
          <w:tcPr>
            <w:tcW w:w="992" w:type="dxa"/>
            <w:tcBorders>
              <w:top w:val="nil"/>
              <w:left w:val="single" w:sz="4" w:space="0" w:color="auto"/>
              <w:bottom w:val="nil"/>
              <w:right w:val="single" w:sz="4" w:space="0" w:color="auto"/>
            </w:tcBorders>
            <w:shd w:val="clear" w:color="auto" w:fill="auto"/>
            <w:noWrap/>
            <w:vAlign w:val="center"/>
            <w:hideMark/>
          </w:tcPr>
          <w:p w14:paraId="76F5E353" w14:textId="77777777" w:rsidR="00387142" w:rsidRPr="008B6A75" w:rsidRDefault="00387142" w:rsidP="00387142">
            <w:pPr>
              <w:jc w:val="right"/>
              <w:rPr>
                <w:sz w:val="20"/>
                <w:szCs w:val="20"/>
              </w:rPr>
            </w:pPr>
            <w:r w:rsidRPr="008B6A75">
              <w:rPr>
                <w:sz w:val="20"/>
                <w:szCs w:val="20"/>
              </w:rPr>
              <w:t>15 974 211,60</w:t>
            </w:r>
          </w:p>
        </w:tc>
        <w:tc>
          <w:tcPr>
            <w:tcW w:w="992" w:type="dxa"/>
            <w:gridSpan w:val="2"/>
            <w:tcBorders>
              <w:top w:val="nil"/>
              <w:left w:val="single" w:sz="4" w:space="0" w:color="auto"/>
              <w:bottom w:val="nil"/>
              <w:right w:val="nil"/>
            </w:tcBorders>
            <w:shd w:val="clear" w:color="auto" w:fill="auto"/>
            <w:noWrap/>
            <w:vAlign w:val="center"/>
            <w:hideMark/>
          </w:tcPr>
          <w:p w14:paraId="521ECFFA" w14:textId="77777777" w:rsidR="00387142" w:rsidRPr="008B6A75" w:rsidRDefault="00387142" w:rsidP="00387142">
            <w:pPr>
              <w:jc w:val="right"/>
              <w:rPr>
                <w:sz w:val="20"/>
                <w:szCs w:val="20"/>
              </w:rPr>
            </w:pPr>
            <w:r w:rsidRPr="008B6A75">
              <w:rPr>
                <w:sz w:val="20"/>
                <w:szCs w:val="20"/>
              </w:rPr>
              <w:t>0,00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031D8829" w14:textId="77777777" w:rsidR="00387142" w:rsidRPr="008B6A75" w:rsidRDefault="00387142" w:rsidP="00387142">
            <w:pPr>
              <w:jc w:val="right"/>
              <w:rPr>
                <w:sz w:val="20"/>
                <w:szCs w:val="20"/>
              </w:rPr>
            </w:pPr>
            <w:r w:rsidRPr="008B6A75">
              <w:rPr>
                <w:sz w:val="20"/>
                <w:szCs w:val="20"/>
              </w:rPr>
              <w:t>0,00</w:t>
            </w:r>
          </w:p>
        </w:tc>
        <w:tc>
          <w:tcPr>
            <w:tcW w:w="222" w:type="dxa"/>
            <w:vAlign w:val="center"/>
            <w:hideMark/>
          </w:tcPr>
          <w:p w14:paraId="1EFD344F" w14:textId="77777777" w:rsidR="00387142" w:rsidRPr="008B6A75" w:rsidRDefault="00387142" w:rsidP="00387142">
            <w:pPr>
              <w:rPr>
                <w:sz w:val="20"/>
                <w:szCs w:val="20"/>
              </w:rPr>
            </w:pPr>
          </w:p>
        </w:tc>
      </w:tr>
      <w:tr w:rsidR="00387142" w:rsidRPr="008B6A75" w14:paraId="04A69E7F" w14:textId="77777777" w:rsidTr="00387142">
        <w:trPr>
          <w:trHeight w:val="300"/>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2ACAB912" w14:textId="77777777" w:rsidR="00387142" w:rsidRPr="008B6A75" w:rsidRDefault="00387142" w:rsidP="00387142">
            <w:pPr>
              <w:rPr>
                <w:sz w:val="20"/>
                <w:szCs w:val="20"/>
              </w:rPr>
            </w:pPr>
            <w:r w:rsidRPr="008B6A75">
              <w:rPr>
                <w:sz w:val="20"/>
                <w:szCs w:val="20"/>
              </w:rPr>
              <w:t>Иные межбюджетные трансферты</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3E2ABD2F" w14:textId="77777777" w:rsidR="00387142" w:rsidRPr="008B6A75" w:rsidRDefault="00387142" w:rsidP="00387142">
            <w:pPr>
              <w:jc w:val="center"/>
              <w:rPr>
                <w:sz w:val="20"/>
                <w:szCs w:val="20"/>
              </w:rPr>
            </w:pPr>
            <w:r w:rsidRPr="008B6A75">
              <w:rPr>
                <w:sz w:val="20"/>
                <w:szCs w:val="20"/>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08A87F28" w14:textId="77777777" w:rsidR="00387142" w:rsidRPr="008B6A75" w:rsidRDefault="00387142" w:rsidP="00387142">
            <w:pPr>
              <w:jc w:val="center"/>
              <w:rPr>
                <w:sz w:val="20"/>
                <w:szCs w:val="20"/>
              </w:rPr>
            </w:pPr>
            <w:r w:rsidRPr="008B6A75">
              <w:rPr>
                <w:sz w:val="20"/>
                <w:szCs w:val="20"/>
              </w:rPr>
              <w:t>04</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22D528" w14:textId="77777777" w:rsidR="00387142" w:rsidRPr="008B6A75" w:rsidRDefault="00387142" w:rsidP="00387142">
            <w:pPr>
              <w:jc w:val="center"/>
              <w:rPr>
                <w:sz w:val="20"/>
                <w:szCs w:val="20"/>
              </w:rPr>
            </w:pPr>
            <w:r w:rsidRPr="008B6A75">
              <w:rPr>
                <w:sz w:val="20"/>
                <w:szCs w:val="20"/>
              </w:rPr>
              <w:t>09</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2A583F24" w14:textId="77777777" w:rsidR="00387142" w:rsidRPr="008B6A75" w:rsidRDefault="00387142" w:rsidP="00387142">
            <w:pPr>
              <w:jc w:val="center"/>
              <w:rPr>
                <w:sz w:val="20"/>
                <w:szCs w:val="20"/>
              </w:rPr>
            </w:pPr>
            <w:r w:rsidRPr="008B6A75">
              <w:rPr>
                <w:sz w:val="20"/>
                <w:szCs w:val="20"/>
              </w:rPr>
              <w:t>10.0.00.04330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7B193A" w14:textId="77777777" w:rsidR="00387142" w:rsidRPr="008B6A75" w:rsidRDefault="00387142" w:rsidP="00387142">
            <w:pPr>
              <w:jc w:val="center"/>
              <w:rPr>
                <w:sz w:val="20"/>
                <w:szCs w:val="20"/>
              </w:rPr>
            </w:pPr>
            <w:r w:rsidRPr="008B6A75">
              <w:rPr>
                <w:sz w:val="20"/>
                <w:szCs w:val="20"/>
              </w:rPr>
              <w:t>540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83950C" w14:textId="77777777" w:rsidR="00387142" w:rsidRPr="008B6A75" w:rsidRDefault="00387142" w:rsidP="00387142">
            <w:pPr>
              <w:jc w:val="right"/>
              <w:rPr>
                <w:sz w:val="20"/>
                <w:szCs w:val="20"/>
              </w:rPr>
            </w:pPr>
            <w:r w:rsidRPr="008B6A75">
              <w:rPr>
                <w:sz w:val="20"/>
                <w:szCs w:val="20"/>
              </w:rPr>
              <w:t>15 974 211,60</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51F9B211" w14:textId="77777777" w:rsidR="00387142" w:rsidRPr="008B6A75" w:rsidRDefault="00387142" w:rsidP="00387142">
            <w:pPr>
              <w:jc w:val="right"/>
              <w:rPr>
                <w:sz w:val="20"/>
                <w:szCs w:val="20"/>
              </w:rPr>
            </w:pPr>
            <w:r w:rsidRPr="008B6A75">
              <w:rPr>
                <w:sz w:val="20"/>
                <w:szCs w:val="20"/>
              </w:rPr>
              <w:t>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3125AB" w14:textId="77777777" w:rsidR="00387142" w:rsidRPr="008B6A75" w:rsidRDefault="00387142" w:rsidP="00387142">
            <w:pPr>
              <w:jc w:val="right"/>
              <w:rPr>
                <w:sz w:val="20"/>
                <w:szCs w:val="20"/>
              </w:rPr>
            </w:pPr>
            <w:r w:rsidRPr="008B6A75">
              <w:rPr>
                <w:sz w:val="20"/>
                <w:szCs w:val="20"/>
              </w:rPr>
              <w:t>0,00</w:t>
            </w:r>
          </w:p>
        </w:tc>
        <w:tc>
          <w:tcPr>
            <w:tcW w:w="222" w:type="dxa"/>
            <w:vAlign w:val="center"/>
            <w:hideMark/>
          </w:tcPr>
          <w:p w14:paraId="3F7EF5C0" w14:textId="77777777" w:rsidR="00387142" w:rsidRPr="008B6A75" w:rsidRDefault="00387142" w:rsidP="00387142">
            <w:pPr>
              <w:rPr>
                <w:sz w:val="20"/>
                <w:szCs w:val="20"/>
              </w:rPr>
            </w:pPr>
          </w:p>
        </w:tc>
      </w:tr>
      <w:tr w:rsidR="00387142" w:rsidRPr="008B6A75" w14:paraId="387A5355" w14:textId="77777777" w:rsidTr="00387142">
        <w:trPr>
          <w:trHeight w:val="2865"/>
        </w:trPr>
        <w:tc>
          <w:tcPr>
            <w:tcW w:w="3021" w:type="dxa"/>
            <w:tcBorders>
              <w:top w:val="nil"/>
              <w:left w:val="single" w:sz="4" w:space="0" w:color="auto"/>
              <w:bottom w:val="nil"/>
              <w:right w:val="nil"/>
            </w:tcBorders>
            <w:shd w:val="clear" w:color="auto" w:fill="auto"/>
            <w:vAlign w:val="center"/>
            <w:hideMark/>
          </w:tcPr>
          <w:p w14:paraId="071B1627" w14:textId="77777777" w:rsidR="00387142" w:rsidRPr="008B6A75" w:rsidRDefault="00387142" w:rsidP="00387142">
            <w:pPr>
              <w:rPr>
                <w:bCs/>
                <w:sz w:val="20"/>
                <w:szCs w:val="20"/>
              </w:rPr>
            </w:pPr>
            <w:r w:rsidRPr="008B6A75">
              <w:rPr>
                <w:bCs/>
                <w:sz w:val="20"/>
                <w:szCs w:val="20"/>
              </w:rPr>
              <w:t>Реализация мероприятий по устойчивому функционированию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850" w:type="dxa"/>
            <w:tcBorders>
              <w:top w:val="nil"/>
              <w:left w:val="single" w:sz="4" w:space="0" w:color="auto"/>
              <w:bottom w:val="nil"/>
              <w:right w:val="nil"/>
            </w:tcBorders>
            <w:shd w:val="clear" w:color="auto" w:fill="auto"/>
            <w:noWrap/>
            <w:vAlign w:val="center"/>
            <w:hideMark/>
          </w:tcPr>
          <w:p w14:paraId="352D897F" w14:textId="77777777" w:rsidR="00387142" w:rsidRPr="008B6A75" w:rsidRDefault="00387142" w:rsidP="00387142">
            <w:pPr>
              <w:jc w:val="center"/>
              <w:rPr>
                <w:bCs/>
                <w:sz w:val="20"/>
                <w:szCs w:val="20"/>
              </w:rPr>
            </w:pPr>
            <w:r w:rsidRPr="008B6A75">
              <w:rPr>
                <w:bCs/>
                <w:sz w:val="20"/>
                <w:szCs w:val="20"/>
              </w:rPr>
              <w:t>444</w:t>
            </w:r>
          </w:p>
        </w:tc>
        <w:tc>
          <w:tcPr>
            <w:tcW w:w="709" w:type="dxa"/>
            <w:tcBorders>
              <w:top w:val="nil"/>
              <w:left w:val="single" w:sz="4" w:space="0" w:color="auto"/>
              <w:bottom w:val="nil"/>
              <w:right w:val="nil"/>
            </w:tcBorders>
            <w:shd w:val="clear" w:color="auto" w:fill="auto"/>
            <w:noWrap/>
            <w:vAlign w:val="center"/>
            <w:hideMark/>
          </w:tcPr>
          <w:p w14:paraId="2F0090E0" w14:textId="77777777" w:rsidR="00387142" w:rsidRPr="008B6A75" w:rsidRDefault="00387142" w:rsidP="00387142">
            <w:pPr>
              <w:jc w:val="center"/>
              <w:rPr>
                <w:bCs/>
                <w:sz w:val="20"/>
                <w:szCs w:val="20"/>
              </w:rPr>
            </w:pPr>
            <w:r w:rsidRPr="008B6A75">
              <w:rPr>
                <w:bCs/>
                <w:sz w:val="20"/>
                <w:szCs w:val="20"/>
              </w:rPr>
              <w:t>04</w:t>
            </w:r>
          </w:p>
        </w:tc>
        <w:tc>
          <w:tcPr>
            <w:tcW w:w="709" w:type="dxa"/>
            <w:tcBorders>
              <w:top w:val="nil"/>
              <w:left w:val="single" w:sz="4" w:space="0" w:color="auto"/>
              <w:bottom w:val="nil"/>
              <w:right w:val="single" w:sz="4" w:space="0" w:color="auto"/>
            </w:tcBorders>
            <w:shd w:val="clear" w:color="auto" w:fill="auto"/>
            <w:noWrap/>
            <w:vAlign w:val="center"/>
            <w:hideMark/>
          </w:tcPr>
          <w:p w14:paraId="43C29CA5" w14:textId="77777777" w:rsidR="00387142" w:rsidRPr="008B6A75" w:rsidRDefault="00387142" w:rsidP="00387142">
            <w:pPr>
              <w:jc w:val="center"/>
              <w:rPr>
                <w:bCs/>
                <w:sz w:val="20"/>
                <w:szCs w:val="20"/>
              </w:rPr>
            </w:pPr>
            <w:r w:rsidRPr="008B6A75">
              <w:rPr>
                <w:bCs/>
                <w:sz w:val="20"/>
                <w:szCs w:val="20"/>
              </w:rPr>
              <w:t>09</w:t>
            </w:r>
          </w:p>
        </w:tc>
        <w:tc>
          <w:tcPr>
            <w:tcW w:w="1411" w:type="dxa"/>
            <w:tcBorders>
              <w:top w:val="nil"/>
              <w:left w:val="single" w:sz="4" w:space="0" w:color="auto"/>
              <w:bottom w:val="nil"/>
              <w:right w:val="nil"/>
            </w:tcBorders>
            <w:shd w:val="clear" w:color="auto" w:fill="auto"/>
            <w:noWrap/>
            <w:vAlign w:val="center"/>
            <w:hideMark/>
          </w:tcPr>
          <w:p w14:paraId="1C00336B" w14:textId="77777777" w:rsidR="00387142" w:rsidRPr="008B6A75" w:rsidRDefault="00387142" w:rsidP="00387142">
            <w:pPr>
              <w:jc w:val="center"/>
              <w:rPr>
                <w:bCs/>
                <w:sz w:val="20"/>
                <w:szCs w:val="20"/>
              </w:rPr>
            </w:pPr>
            <w:r w:rsidRPr="008B6A75">
              <w:rPr>
                <w:bCs/>
                <w:sz w:val="20"/>
                <w:szCs w:val="20"/>
              </w:rPr>
              <w:t>10.0.00.70760</w:t>
            </w:r>
          </w:p>
        </w:tc>
        <w:tc>
          <w:tcPr>
            <w:tcW w:w="955" w:type="dxa"/>
            <w:tcBorders>
              <w:top w:val="nil"/>
              <w:left w:val="single" w:sz="4" w:space="0" w:color="auto"/>
              <w:bottom w:val="nil"/>
              <w:right w:val="single" w:sz="4" w:space="0" w:color="auto"/>
            </w:tcBorders>
            <w:shd w:val="clear" w:color="auto" w:fill="auto"/>
            <w:noWrap/>
            <w:vAlign w:val="center"/>
            <w:hideMark/>
          </w:tcPr>
          <w:p w14:paraId="4EC162AB"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nil"/>
              <w:right w:val="single" w:sz="4" w:space="0" w:color="auto"/>
            </w:tcBorders>
            <w:shd w:val="clear" w:color="auto" w:fill="auto"/>
            <w:noWrap/>
            <w:vAlign w:val="center"/>
            <w:hideMark/>
          </w:tcPr>
          <w:p w14:paraId="6BF308F1" w14:textId="77777777" w:rsidR="00387142" w:rsidRPr="008B6A75" w:rsidRDefault="00387142" w:rsidP="00387142">
            <w:pPr>
              <w:jc w:val="right"/>
              <w:rPr>
                <w:bCs/>
                <w:sz w:val="20"/>
                <w:szCs w:val="20"/>
              </w:rPr>
            </w:pPr>
            <w:r w:rsidRPr="008B6A75">
              <w:rPr>
                <w:bCs/>
                <w:sz w:val="20"/>
                <w:szCs w:val="20"/>
              </w:rPr>
              <w:t>32 578 500,00</w:t>
            </w:r>
          </w:p>
        </w:tc>
        <w:tc>
          <w:tcPr>
            <w:tcW w:w="992" w:type="dxa"/>
            <w:gridSpan w:val="2"/>
            <w:tcBorders>
              <w:top w:val="nil"/>
              <w:left w:val="single" w:sz="4" w:space="0" w:color="auto"/>
              <w:bottom w:val="nil"/>
              <w:right w:val="nil"/>
            </w:tcBorders>
            <w:shd w:val="clear" w:color="auto" w:fill="auto"/>
            <w:noWrap/>
            <w:vAlign w:val="center"/>
            <w:hideMark/>
          </w:tcPr>
          <w:p w14:paraId="65AB090C" w14:textId="77777777" w:rsidR="00387142" w:rsidRPr="008B6A75" w:rsidRDefault="00387142" w:rsidP="00387142">
            <w:pPr>
              <w:jc w:val="right"/>
              <w:rPr>
                <w:bCs/>
                <w:sz w:val="20"/>
                <w:szCs w:val="20"/>
              </w:rPr>
            </w:pPr>
            <w:r w:rsidRPr="008B6A75">
              <w:rPr>
                <w:bCs/>
                <w:sz w:val="20"/>
                <w:szCs w:val="20"/>
              </w:rPr>
              <w:t>33 565 800,00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6D87092B" w14:textId="77777777" w:rsidR="00387142" w:rsidRPr="008B6A75" w:rsidRDefault="00387142" w:rsidP="00387142">
            <w:pPr>
              <w:jc w:val="right"/>
              <w:rPr>
                <w:bCs/>
                <w:sz w:val="20"/>
                <w:szCs w:val="20"/>
              </w:rPr>
            </w:pPr>
            <w:r w:rsidRPr="008B6A75">
              <w:rPr>
                <w:bCs/>
                <w:sz w:val="20"/>
                <w:szCs w:val="20"/>
              </w:rPr>
              <w:t>39 663 600,00</w:t>
            </w:r>
          </w:p>
        </w:tc>
        <w:tc>
          <w:tcPr>
            <w:tcW w:w="222" w:type="dxa"/>
            <w:vAlign w:val="center"/>
            <w:hideMark/>
          </w:tcPr>
          <w:p w14:paraId="7077A177" w14:textId="77777777" w:rsidR="00387142" w:rsidRPr="008B6A75" w:rsidRDefault="00387142" w:rsidP="00387142">
            <w:pPr>
              <w:rPr>
                <w:sz w:val="20"/>
                <w:szCs w:val="20"/>
              </w:rPr>
            </w:pPr>
          </w:p>
        </w:tc>
      </w:tr>
      <w:tr w:rsidR="00387142" w:rsidRPr="008B6A75" w14:paraId="24E43336" w14:textId="77777777" w:rsidTr="00387142">
        <w:trPr>
          <w:trHeight w:val="585"/>
        </w:trPr>
        <w:tc>
          <w:tcPr>
            <w:tcW w:w="3021" w:type="dxa"/>
            <w:tcBorders>
              <w:top w:val="single" w:sz="4" w:space="0" w:color="auto"/>
              <w:left w:val="single" w:sz="4" w:space="0" w:color="auto"/>
              <w:bottom w:val="nil"/>
              <w:right w:val="nil"/>
            </w:tcBorders>
            <w:shd w:val="clear" w:color="auto" w:fill="auto"/>
            <w:vAlign w:val="center"/>
            <w:hideMark/>
          </w:tcPr>
          <w:p w14:paraId="47DBBC85" w14:textId="77777777" w:rsidR="00387142" w:rsidRPr="008B6A75" w:rsidRDefault="00387142" w:rsidP="00387142">
            <w:pPr>
              <w:rPr>
                <w:sz w:val="20"/>
                <w:szCs w:val="20"/>
              </w:rPr>
            </w:pPr>
            <w:r w:rsidRPr="008B6A75">
              <w:rPr>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nil"/>
              <w:right w:val="nil"/>
            </w:tcBorders>
            <w:shd w:val="clear" w:color="auto" w:fill="auto"/>
            <w:noWrap/>
            <w:vAlign w:val="center"/>
            <w:hideMark/>
          </w:tcPr>
          <w:p w14:paraId="53DC0F95" w14:textId="77777777" w:rsidR="00387142" w:rsidRPr="008B6A75" w:rsidRDefault="00387142" w:rsidP="00387142">
            <w:pPr>
              <w:jc w:val="center"/>
              <w:rPr>
                <w:sz w:val="20"/>
                <w:szCs w:val="20"/>
              </w:rPr>
            </w:pPr>
            <w:r w:rsidRPr="008B6A75">
              <w:rPr>
                <w:sz w:val="20"/>
                <w:szCs w:val="20"/>
              </w:rPr>
              <w:t>444</w:t>
            </w:r>
          </w:p>
        </w:tc>
        <w:tc>
          <w:tcPr>
            <w:tcW w:w="709" w:type="dxa"/>
            <w:tcBorders>
              <w:top w:val="single" w:sz="4" w:space="0" w:color="auto"/>
              <w:left w:val="single" w:sz="4" w:space="0" w:color="auto"/>
              <w:bottom w:val="nil"/>
              <w:right w:val="nil"/>
            </w:tcBorders>
            <w:shd w:val="clear" w:color="auto" w:fill="auto"/>
            <w:noWrap/>
            <w:vAlign w:val="center"/>
            <w:hideMark/>
          </w:tcPr>
          <w:p w14:paraId="3C4EBC18" w14:textId="77777777" w:rsidR="00387142" w:rsidRPr="008B6A75" w:rsidRDefault="00387142" w:rsidP="00387142">
            <w:pPr>
              <w:jc w:val="center"/>
              <w:rPr>
                <w:sz w:val="20"/>
                <w:szCs w:val="20"/>
              </w:rPr>
            </w:pPr>
            <w:r w:rsidRPr="008B6A75">
              <w:rPr>
                <w:sz w:val="20"/>
                <w:szCs w:val="20"/>
              </w:rPr>
              <w:t>04</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3392ACF3" w14:textId="77777777" w:rsidR="00387142" w:rsidRPr="008B6A75" w:rsidRDefault="00387142" w:rsidP="00387142">
            <w:pPr>
              <w:jc w:val="center"/>
              <w:rPr>
                <w:sz w:val="20"/>
                <w:szCs w:val="20"/>
              </w:rPr>
            </w:pPr>
            <w:r w:rsidRPr="008B6A75">
              <w:rPr>
                <w:sz w:val="20"/>
                <w:szCs w:val="20"/>
              </w:rPr>
              <w:t>09</w:t>
            </w:r>
          </w:p>
        </w:tc>
        <w:tc>
          <w:tcPr>
            <w:tcW w:w="1411" w:type="dxa"/>
            <w:tcBorders>
              <w:top w:val="single" w:sz="4" w:space="0" w:color="auto"/>
              <w:left w:val="single" w:sz="4" w:space="0" w:color="auto"/>
              <w:bottom w:val="nil"/>
              <w:right w:val="nil"/>
            </w:tcBorders>
            <w:shd w:val="clear" w:color="auto" w:fill="auto"/>
            <w:noWrap/>
            <w:vAlign w:val="center"/>
            <w:hideMark/>
          </w:tcPr>
          <w:p w14:paraId="1D01C404" w14:textId="77777777" w:rsidR="00387142" w:rsidRPr="008B6A75" w:rsidRDefault="00387142" w:rsidP="00387142">
            <w:pPr>
              <w:jc w:val="center"/>
              <w:rPr>
                <w:sz w:val="20"/>
                <w:szCs w:val="20"/>
              </w:rPr>
            </w:pPr>
            <w:r w:rsidRPr="008B6A75">
              <w:rPr>
                <w:sz w:val="20"/>
                <w:szCs w:val="20"/>
              </w:rPr>
              <w:t>10.0.00.70760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67C989D8" w14:textId="77777777" w:rsidR="00387142" w:rsidRPr="008B6A75" w:rsidRDefault="00387142" w:rsidP="00387142">
            <w:pPr>
              <w:jc w:val="center"/>
              <w:rPr>
                <w:sz w:val="20"/>
                <w:szCs w:val="20"/>
              </w:rPr>
            </w:pPr>
            <w:r w:rsidRPr="008B6A75">
              <w:rPr>
                <w:sz w:val="20"/>
                <w:szCs w:val="20"/>
              </w:rPr>
              <w:t>200</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39BA0CBE" w14:textId="77777777" w:rsidR="00387142" w:rsidRPr="008B6A75" w:rsidRDefault="00387142" w:rsidP="00387142">
            <w:pPr>
              <w:jc w:val="right"/>
              <w:rPr>
                <w:sz w:val="20"/>
                <w:szCs w:val="20"/>
              </w:rPr>
            </w:pPr>
            <w:r w:rsidRPr="008B6A75">
              <w:rPr>
                <w:sz w:val="20"/>
                <w:szCs w:val="20"/>
              </w:rPr>
              <w:t>1 960 000,00</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3187B6BB" w14:textId="77777777" w:rsidR="00387142" w:rsidRPr="008B6A75" w:rsidRDefault="00387142" w:rsidP="00387142">
            <w:pPr>
              <w:jc w:val="right"/>
              <w:rPr>
                <w:sz w:val="20"/>
                <w:szCs w:val="20"/>
              </w:rPr>
            </w:pPr>
            <w:r w:rsidRPr="008B6A75">
              <w:rPr>
                <w:sz w:val="20"/>
                <w:szCs w:val="20"/>
              </w:rPr>
              <w:t>33 565 800,00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3E79F861" w14:textId="77777777" w:rsidR="00387142" w:rsidRPr="008B6A75" w:rsidRDefault="00387142" w:rsidP="00387142">
            <w:pPr>
              <w:jc w:val="right"/>
              <w:rPr>
                <w:sz w:val="20"/>
                <w:szCs w:val="20"/>
              </w:rPr>
            </w:pPr>
            <w:r w:rsidRPr="008B6A75">
              <w:rPr>
                <w:sz w:val="20"/>
                <w:szCs w:val="20"/>
              </w:rPr>
              <w:t>39 663 600,00</w:t>
            </w:r>
          </w:p>
        </w:tc>
        <w:tc>
          <w:tcPr>
            <w:tcW w:w="222" w:type="dxa"/>
            <w:vAlign w:val="center"/>
            <w:hideMark/>
          </w:tcPr>
          <w:p w14:paraId="683A6FE9" w14:textId="77777777" w:rsidR="00387142" w:rsidRPr="008B6A75" w:rsidRDefault="00387142" w:rsidP="00387142">
            <w:pPr>
              <w:rPr>
                <w:sz w:val="20"/>
                <w:szCs w:val="20"/>
              </w:rPr>
            </w:pPr>
          </w:p>
        </w:tc>
      </w:tr>
      <w:tr w:rsidR="00387142" w:rsidRPr="008B6A75" w14:paraId="5D44DCCD" w14:textId="77777777" w:rsidTr="00387142">
        <w:trPr>
          <w:trHeight w:val="870"/>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618D51DE" w14:textId="77777777" w:rsidR="00387142" w:rsidRPr="008B6A75" w:rsidRDefault="00387142" w:rsidP="00387142">
            <w:pPr>
              <w:rPr>
                <w:sz w:val="20"/>
                <w:szCs w:val="20"/>
              </w:rPr>
            </w:pPr>
            <w:r w:rsidRPr="008B6A75">
              <w:rPr>
                <w:sz w:val="20"/>
                <w:szCs w:val="20"/>
              </w:rPr>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058A94C8" w14:textId="77777777" w:rsidR="00387142" w:rsidRPr="008B6A75" w:rsidRDefault="00387142" w:rsidP="00387142">
            <w:pPr>
              <w:jc w:val="center"/>
              <w:rPr>
                <w:sz w:val="20"/>
                <w:szCs w:val="20"/>
              </w:rPr>
            </w:pPr>
            <w:r w:rsidRPr="008B6A75">
              <w:rPr>
                <w:sz w:val="20"/>
                <w:szCs w:val="20"/>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307A7C0C" w14:textId="77777777" w:rsidR="00387142" w:rsidRPr="008B6A75" w:rsidRDefault="00387142" w:rsidP="00387142">
            <w:pPr>
              <w:jc w:val="center"/>
              <w:rPr>
                <w:sz w:val="20"/>
                <w:szCs w:val="20"/>
              </w:rPr>
            </w:pPr>
            <w:r w:rsidRPr="008B6A75">
              <w:rPr>
                <w:sz w:val="20"/>
                <w:szCs w:val="20"/>
              </w:rPr>
              <w:t>04</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F5A575" w14:textId="77777777" w:rsidR="00387142" w:rsidRPr="008B6A75" w:rsidRDefault="00387142" w:rsidP="00387142">
            <w:pPr>
              <w:jc w:val="center"/>
              <w:rPr>
                <w:sz w:val="20"/>
                <w:szCs w:val="20"/>
              </w:rPr>
            </w:pPr>
            <w:r w:rsidRPr="008B6A75">
              <w:rPr>
                <w:sz w:val="20"/>
                <w:szCs w:val="20"/>
              </w:rPr>
              <w:t>09</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1BD97630" w14:textId="77777777" w:rsidR="00387142" w:rsidRPr="008B6A75" w:rsidRDefault="00387142" w:rsidP="00387142">
            <w:pPr>
              <w:jc w:val="center"/>
              <w:rPr>
                <w:sz w:val="20"/>
                <w:szCs w:val="20"/>
              </w:rPr>
            </w:pPr>
            <w:r w:rsidRPr="008B6A75">
              <w:rPr>
                <w:sz w:val="20"/>
                <w:szCs w:val="20"/>
              </w:rPr>
              <w:t>10.0.00.70760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97CC82" w14:textId="77777777" w:rsidR="00387142" w:rsidRPr="008B6A75" w:rsidRDefault="00387142" w:rsidP="00387142">
            <w:pPr>
              <w:jc w:val="center"/>
              <w:rPr>
                <w:sz w:val="20"/>
                <w:szCs w:val="20"/>
              </w:rPr>
            </w:pPr>
            <w:r w:rsidRPr="008B6A75">
              <w:rPr>
                <w:sz w:val="20"/>
                <w:szCs w:val="20"/>
              </w:rPr>
              <w:t>240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8D4C20" w14:textId="77777777" w:rsidR="00387142" w:rsidRPr="008B6A75" w:rsidRDefault="00387142" w:rsidP="00387142">
            <w:pPr>
              <w:jc w:val="right"/>
              <w:rPr>
                <w:sz w:val="20"/>
                <w:szCs w:val="20"/>
              </w:rPr>
            </w:pPr>
            <w:r w:rsidRPr="008B6A75">
              <w:rPr>
                <w:sz w:val="20"/>
                <w:szCs w:val="20"/>
              </w:rPr>
              <w:t>1 960 000,00</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79AE4A9A" w14:textId="77777777" w:rsidR="00387142" w:rsidRPr="008B6A75" w:rsidRDefault="00387142" w:rsidP="00387142">
            <w:pPr>
              <w:jc w:val="right"/>
              <w:rPr>
                <w:sz w:val="20"/>
                <w:szCs w:val="20"/>
              </w:rPr>
            </w:pPr>
            <w:r w:rsidRPr="008B6A75">
              <w:rPr>
                <w:sz w:val="20"/>
                <w:szCs w:val="20"/>
              </w:rPr>
              <w:t>33 565 800,00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70FF97" w14:textId="77777777" w:rsidR="00387142" w:rsidRPr="008B6A75" w:rsidRDefault="00387142" w:rsidP="00387142">
            <w:pPr>
              <w:jc w:val="right"/>
              <w:rPr>
                <w:sz w:val="20"/>
                <w:szCs w:val="20"/>
              </w:rPr>
            </w:pPr>
            <w:r w:rsidRPr="008B6A75">
              <w:rPr>
                <w:sz w:val="20"/>
                <w:szCs w:val="20"/>
              </w:rPr>
              <w:t>39 663 600,00</w:t>
            </w:r>
          </w:p>
        </w:tc>
        <w:tc>
          <w:tcPr>
            <w:tcW w:w="222" w:type="dxa"/>
            <w:vAlign w:val="center"/>
            <w:hideMark/>
          </w:tcPr>
          <w:p w14:paraId="400A1142" w14:textId="77777777" w:rsidR="00387142" w:rsidRPr="008B6A75" w:rsidRDefault="00387142" w:rsidP="00387142">
            <w:pPr>
              <w:rPr>
                <w:sz w:val="20"/>
                <w:szCs w:val="20"/>
              </w:rPr>
            </w:pPr>
          </w:p>
        </w:tc>
      </w:tr>
      <w:tr w:rsidR="00387142" w:rsidRPr="008B6A75" w14:paraId="718C5695" w14:textId="77777777" w:rsidTr="00387142">
        <w:trPr>
          <w:trHeight w:val="300"/>
        </w:trPr>
        <w:tc>
          <w:tcPr>
            <w:tcW w:w="3021" w:type="dxa"/>
            <w:tcBorders>
              <w:top w:val="nil"/>
              <w:left w:val="single" w:sz="4" w:space="0" w:color="auto"/>
              <w:bottom w:val="nil"/>
              <w:right w:val="nil"/>
            </w:tcBorders>
            <w:shd w:val="clear" w:color="auto" w:fill="auto"/>
            <w:vAlign w:val="center"/>
            <w:hideMark/>
          </w:tcPr>
          <w:p w14:paraId="35D79DC8" w14:textId="77777777" w:rsidR="00387142" w:rsidRPr="008B6A75" w:rsidRDefault="00387142" w:rsidP="00387142">
            <w:pPr>
              <w:rPr>
                <w:sz w:val="20"/>
                <w:szCs w:val="20"/>
              </w:rPr>
            </w:pPr>
            <w:r w:rsidRPr="008B6A75">
              <w:rPr>
                <w:sz w:val="20"/>
                <w:szCs w:val="20"/>
              </w:rPr>
              <w:t>Межбюджетные трансферты</w:t>
            </w:r>
          </w:p>
        </w:tc>
        <w:tc>
          <w:tcPr>
            <w:tcW w:w="850" w:type="dxa"/>
            <w:tcBorders>
              <w:top w:val="nil"/>
              <w:left w:val="single" w:sz="4" w:space="0" w:color="auto"/>
              <w:bottom w:val="nil"/>
              <w:right w:val="nil"/>
            </w:tcBorders>
            <w:shd w:val="clear" w:color="auto" w:fill="auto"/>
            <w:noWrap/>
            <w:vAlign w:val="center"/>
            <w:hideMark/>
          </w:tcPr>
          <w:p w14:paraId="2BCCDE6B" w14:textId="77777777" w:rsidR="00387142" w:rsidRPr="008B6A75" w:rsidRDefault="00387142" w:rsidP="00387142">
            <w:pPr>
              <w:jc w:val="center"/>
              <w:rPr>
                <w:sz w:val="20"/>
                <w:szCs w:val="20"/>
              </w:rPr>
            </w:pPr>
            <w:r w:rsidRPr="008B6A75">
              <w:rPr>
                <w:sz w:val="20"/>
                <w:szCs w:val="20"/>
              </w:rPr>
              <w:t>444</w:t>
            </w:r>
          </w:p>
        </w:tc>
        <w:tc>
          <w:tcPr>
            <w:tcW w:w="709" w:type="dxa"/>
            <w:tcBorders>
              <w:top w:val="nil"/>
              <w:left w:val="single" w:sz="4" w:space="0" w:color="auto"/>
              <w:bottom w:val="nil"/>
              <w:right w:val="nil"/>
            </w:tcBorders>
            <w:shd w:val="clear" w:color="auto" w:fill="auto"/>
            <w:noWrap/>
            <w:vAlign w:val="center"/>
            <w:hideMark/>
          </w:tcPr>
          <w:p w14:paraId="6D7D83C3" w14:textId="77777777" w:rsidR="00387142" w:rsidRPr="008B6A75" w:rsidRDefault="00387142" w:rsidP="00387142">
            <w:pPr>
              <w:jc w:val="center"/>
              <w:rPr>
                <w:sz w:val="20"/>
                <w:szCs w:val="20"/>
              </w:rPr>
            </w:pPr>
            <w:r w:rsidRPr="008B6A75">
              <w:rPr>
                <w:sz w:val="20"/>
                <w:szCs w:val="20"/>
              </w:rPr>
              <w:t>04</w:t>
            </w:r>
          </w:p>
        </w:tc>
        <w:tc>
          <w:tcPr>
            <w:tcW w:w="709" w:type="dxa"/>
            <w:tcBorders>
              <w:top w:val="nil"/>
              <w:left w:val="single" w:sz="4" w:space="0" w:color="auto"/>
              <w:bottom w:val="nil"/>
              <w:right w:val="single" w:sz="4" w:space="0" w:color="auto"/>
            </w:tcBorders>
            <w:shd w:val="clear" w:color="auto" w:fill="auto"/>
            <w:noWrap/>
            <w:vAlign w:val="center"/>
            <w:hideMark/>
          </w:tcPr>
          <w:p w14:paraId="0334C854" w14:textId="77777777" w:rsidR="00387142" w:rsidRPr="008B6A75" w:rsidRDefault="00387142" w:rsidP="00387142">
            <w:pPr>
              <w:jc w:val="center"/>
              <w:rPr>
                <w:sz w:val="20"/>
                <w:szCs w:val="20"/>
              </w:rPr>
            </w:pPr>
            <w:r w:rsidRPr="008B6A75">
              <w:rPr>
                <w:sz w:val="20"/>
                <w:szCs w:val="20"/>
              </w:rPr>
              <w:t>09</w:t>
            </w:r>
          </w:p>
        </w:tc>
        <w:tc>
          <w:tcPr>
            <w:tcW w:w="1411" w:type="dxa"/>
            <w:tcBorders>
              <w:top w:val="nil"/>
              <w:left w:val="single" w:sz="4" w:space="0" w:color="auto"/>
              <w:bottom w:val="nil"/>
              <w:right w:val="nil"/>
            </w:tcBorders>
            <w:shd w:val="clear" w:color="auto" w:fill="auto"/>
            <w:noWrap/>
            <w:vAlign w:val="center"/>
            <w:hideMark/>
          </w:tcPr>
          <w:p w14:paraId="1AF5F4FE" w14:textId="77777777" w:rsidR="00387142" w:rsidRPr="008B6A75" w:rsidRDefault="00387142" w:rsidP="00387142">
            <w:pPr>
              <w:jc w:val="center"/>
              <w:rPr>
                <w:sz w:val="20"/>
                <w:szCs w:val="20"/>
              </w:rPr>
            </w:pPr>
            <w:r w:rsidRPr="008B6A75">
              <w:rPr>
                <w:sz w:val="20"/>
                <w:szCs w:val="20"/>
              </w:rPr>
              <w:t>10.0.00.70760</w:t>
            </w:r>
          </w:p>
        </w:tc>
        <w:tc>
          <w:tcPr>
            <w:tcW w:w="955" w:type="dxa"/>
            <w:tcBorders>
              <w:top w:val="nil"/>
              <w:left w:val="single" w:sz="4" w:space="0" w:color="auto"/>
              <w:bottom w:val="nil"/>
              <w:right w:val="single" w:sz="4" w:space="0" w:color="auto"/>
            </w:tcBorders>
            <w:shd w:val="clear" w:color="auto" w:fill="auto"/>
            <w:noWrap/>
            <w:vAlign w:val="center"/>
            <w:hideMark/>
          </w:tcPr>
          <w:p w14:paraId="68C469C6" w14:textId="77777777" w:rsidR="00387142" w:rsidRPr="008B6A75" w:rsidRDefault="00387142" w:rsidP="00387142">
            <w:pPr>
              <w:jc w:val="center"/>
              <w:rPr>
                <w:sz w:val="20"/>
                <w:szCs w:val="20"/>
              </w:rPr>
            </w:pPr>
            <w:r w:rsidRPr="008B6A75">
              <w:rPr>
                <w:sz w:val="20"/>
                <w:szCs w:val="20"/>
              </w:rPr>
              <w:t>500</w:t>
            </w:r>
          </w:p>
        </w:tc>
        <w:tc>
          <w:tcPr>
            <w:tcW w:w="992" w:type="dxa"/>
            <w:tcBorders>
              <w:top w:val="nil"/>
              <w:left w:val="single" w:sz="4" w:space="0" w:color="auto"/>
              <w:bottom w:val="nil"/>
              <w:right w:val="single" w:sz="4" w:space="0" w:color="auto"/>
            </w:tcBorders>
            <w:shd w:val="clear" w:color="auto" w:fill="auto"/>
            <w:noWrap/>
            <w:vAlign w:val="center"/>
            <w:hideMark/>
          </w:tcPr>
          <w:p w14:paraId="521AB5EF" w14:textId="77777777" w:rsidR="00387142" w:rsidRPr="008B6A75" w:rsidRDefault="00387142" w:rsidP="00387142">
            <w:pPr>
              <w:jc w:val="right"/>
              <w:rPr>
                <w:sz w:val="20"/>
                <w:szCs w:val="20"/>
              </w:rPr>
            </w:pPr>
            <w:r w:rsidRPr="008B6A75">
              <w:rPr>
                <w:sz w:val="20"/>
                <w:szCs w:val="20"/>
              </w:rPr>
              <w:t>30 618 500,00</w:t>
            </w:r>
          </w:p>
        </w:tc>
        <w:tc>
          <w:tcPr>
            <w:tcW w:w="992" w:type="dxa"/>
            <w:gridSpan w:val="2"/>
            <w:tcBorders>
              <w:top w:val="nil"/>
              <w:left w:val="single" w:sz="4" w:space="0" w:color="auto"/>
              <w:bottom w:val="nil"/>
              <w:right w:val="nil"/>
            </w:tcBorders>
            <w:shd w:val="clear" w:color="auto" w:fill="auto"/>
            <w:noWrap/>
            <w:vAlign w:val="center"/>
            <w:hideMark/>
          </w:tcPr>
          <w:p w14:paraId="65C265F7" w14:textId="77777777" w:rsidR="00387142" w:rsidRPr="008B6A75" w:rsidRDefault="00387142" w:rsidP="00387142">
            <w:pPr>
              <w:jc w:val="right"/>
              <w:rPr>
                <w:sz w:val="20"/>
                <w:szCs w:val="20"/>
              </w:rPr>
            </w:pPr>
            <w:r w:rsidRPr="008B6A75">
              <w:rPr>
                <w:sz w:val="20"/>
                <w:szCs w:val="20"/>
              </w:rPr>
              <w:t>0,00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6DCEB442" w14:textId="77777777" w:rsidR="00387142" w:rsidRPr="008B6A75" w:rsidRDefault="00387142" w:rsidP="00387142">
            <w:pPr>
              <w:jc w:val="right"/>
              <w:rPr>
                <w:sz w:val="20"/>
                <w:szCs w:val="20"/>
              </w:rPr>
            </w:pPr>
            <w:r w:rsidRPr="008B6A75">
              <w:rPr>
                <w:sz w:val="20"/>
                <w:szCs w:val="20"/>
              </w:rPr>
              <w:t>0,00</w:t>
            </w:r>
          </w:p>
        </w:tc>
        <w:tc>
          <w:tcPr>
            <w:tcW w:w="222" w:type="dxa"/>
            <w:vAlign w:val="center"/>
            <w:hideMark/>
          </w:tcPr>
          <w:p w14:paraId="2DE627A9" w14:textId="77777777" w:rsidR="00387142" w:rsidRPr="008B6A75" w:rsidRDefault="00387142" w:rsidP="00387142">
            <w:pPr>
              <w:rPr>
                <w:sz w:val="20"/>
                <w:szCs w:val="20"/>
              </w:rPr>
            </w:pPr>
          </w:p>
        </w:tc>
      </w:tr>
      <w:tr w:rsidR="00387142" w:rsidRPr="008B6A75" w14:paraId="17F4CE1B" w14:textId="77777777" w:rsidTr="00387142">
        <w:trPr>
          <w:trHeight w:val="300"/>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2FE28A51" w14:textId="77777777" w:rsidR="00387142" w:rsidRPr="008B6A75" w:rsidRDefault="00387142" w:rsidP="00387142">
            <w:pPr>
              <w:rPr>
                <w:sz w:val="20"/>
                <w:szCs w:val="20"/>
              </w:rPr>
            </w:pPr>
            <w:r w:rsidRPr="008B6A75">
              <w:rPr>
                <w:sz w:val="20"/>
                <w:szCs w:val="20"/>
              </w:rPr>
              <w:t>Субсидии</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20E10664" w14:textId="77777777" w:rsidR="00387142" w:rsidRPr="008B6A75" w:rsidRDefault="00387142" w:rsidP="00387142">
            <w:pPr>
              <w:jc w:val="center"/>
              <w:rPr>
                <w:sz w:val="20"/>
                <w:szCs w:val="20"/>
              </w:rPr>
            </w:pPr>
            <w:r w:rsidRPr="008B6A75">
              <w:rPr>
                <w:sz w:val="20"/>
                <w:szCs w:val="20"/>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73BEF04F" w14:textId="77777777" w:rsidR="00387142" w:rsidRPr="008B6A75" w:rsidRDefault="00387142" w:rsidP="00387142">
            <w:pPr>
              <w:jc w:val="center"/>
              <w:rPr>
                <w:sz w:val="20"/>
                <w:szCs w:val="20"/>
              </w:rPr>
            </w:pPr>
            <w:r w:rsidRPr="008B6A75">
              <w:rPr>
                <w:sz w:val="20"/>
                <w:szCs w:val="20"/>
              </w:rPr>
              <w:t>04</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15F990" w14:textId="77777777" w:rsidR="00387142" w:rsidRPr="008B6A75" w:rsidRDefault="00387142" w:rsidP="00387142">
            <w:pPr>
              <w:jc w:val="center"/>
              <w:rPr>
                <w:sz w:val="20"/>
                <w:szCs w:val="20"/>
              </w:rPr>
            </w:pPr>
            <w:r w:rsidRPr="008B6A75">
              <w:rPr>
                <w:sz w:val="20"/>
                <w:szCs w:val="20"/>
              </w:rPr>
              <w:t>09</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0913F4B0" w14:textId="77777777" w:rsidR="00387142" w:rsidRPr="008B6A75" w:rsidRDefault="00387142" w:rsidP="00387142">
            <w:pPr>
              <w:jc w:val="center"/>
              <w:rPr>
                <w:sz w:val="20"/>
                <w:szCs w:val="20"/>
              </w:rPr>
            </w:pPr>
            <w:r w:rsidRPr="008B6A75">
              <w:rPr>
                <w:sz w:val="20"/>
                <w:szCs w:val="20"/>
              </w:rPr>
              <w:t>10.0.00.70760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9EC2A7" w14:textId="77777777" w:rsidR="00387142" w:rsidRPr="008B6A75" w:rsidRDefault="00387142" w:rsidP="00387142">
            <w:pPr>
              <w:jc w:val="center"/>
              <w:rPr>
                <w:sz w:val="20"/>
                <w:szCs w:val="20"/>
              </w:rPr>
            </w:pPr>
            <w:r w:rsidRPr="008B6A75">
              <w:rPr>
                <w:sz w:val="20"/>
                <w:szCs w:val="20"/>
              </w:rPr>
              <w:t>520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9E5BC8" w14:textId="77777777" w:rsidR="00387142" w:rsidRPr="008B6A75" w:rsidRDefault="00387142" w:rsidP="00387142">
            <w:pPr>
              <w:jc w:val="right"/>
              <w:rPr>
                <w:sz w:val="20"/>
                <w:szCs w:val="20"/>
              </w:rPr>
            </w:pPr>
            <w:r w:rsidRPr="008B6A75">
              <w:rPr>
                <w:sz w:val="20"/>
                <w:szCs w:val="20"/>
              </w:rPr>
              <w:t>30 618 500,00</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0C33DCB4" w14:textId="77777777" w:rsidR="00387142" w:rsidRPr="008B6A75" w:rsidRDefault="00387142" w:rsidP="00387142">
            <w:pPr>
              <w:jc w:val="right"/>
              <w:rPr>
                <w:sz w:val="20"/>
                <w:szCs w:val="20"/>
              </w:rPr>
            </w:pPr>
            <w:r w:rsidRPr="008B6A75">
              <w:rPr>
                <w:sz w:val="20"/>
                <w:szCs w:val="20"/>
              </w:rPr>
              <w:t>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A69F16" w14:textId="77777777" w:rsidR="00387142" w:rsidRPr="008B6A75" w:rsidRDefault="00387142" w:rsidP="00387142">
            <w:pPr>
              <w:jc w:val="right"/>
              <w:rPr>
                <w:sz w:val="20"/>
                <w:szCs w:val="20"/>
              </w:rPr>
            </w:pPr>
            <w:r w:rsidRPr="008B6A75">
              <w:rPr>
                <w:sz w:val="20"/>
                <w:szCs w:val="20"/>
              </w:rPr>
              <w:t>0,00</w:t>
            </w:r>
          </w:p>
        </w:tc>
        <w:tc>
          <w:tcPr>
            <w:tcW w:w="222" w:type="dxa"/>
            <w:vAlign w:val="center"/>
            <w:hideMark/>
          </w:tcPr>
          <w:p w14:paraId="5F31E396" w14:textId="77777777" w:rsidR="00387142" w:rsidRPr="008B6A75" w:rsidRDefault="00387142" w:rsidP="00387142">
            <w:pPr>
              <w:rPr>
                <w:sz w:val="20"/>
                <w:szCs w:val="20"/>
              </w:rPr>
            </w:pPr>
          </w:p>
        </w:tc>
      </w:tr>
      <w:tr w:rsidR="00387142" w:rsidRPr="008B6A75" w14:paraId="7F5E365F" w14:textId="77777777" w:rsidTr="00387142">
        <w:trPr>
          <w:trHeight w:val="1725"/>
        </w:trPr>
        <w:tc>
          <w:tcPr>
            <w:tcW w:w="3021" w:type="dxa"/>
            <w:tcBorders>
              <w:top w:val="nil"/>
              <w:left w:val="single" w:sz="4" w:space="0" w:color="auto"/>
              <w:bottom w:val="nil"/>
              <w:right w:val="nil"/>
            </w:tcBorders>
            <w:shd w:val="clear" w:color="auto" w:fill="auto"/>
            <w:vAlign w:val="center"/>
            <w:hideMark/>
          </w:tcPr>
          <w:p w14:paraId="2593A8C5" w14:textId="77777777" w:rsidR="00387142" w:rsidRPr="008B6A75" w:rsidRDefault="00387142" w:rsidP="00387142">
            <w:pPr>
              <w:rPr>
                <w:bCs/>
                <w:sz w:val="20"/>
                <w:szCs w:val="20"/>
              </w:rPr>
            </w:pPr>
            <w:proofErr w:type="spellStart"/>
            <w:r w:rsidRPr="008B6A75">
              <w:rPr>
                <w:bCs/>
                <w:sz w:val="20"/>
                <w:szCs w:val="20"/>
              </w:rPr>
              <w:t>Софинансирование</w:t>
            </w:r>
            <w:proofErr w:type="spellEnd"/>
            <w:r w:rsidRPr="008B6A75">
              <w:rPr>
                <w:bCs/>
                <w:sz w:val="20"/>
                <w:szCs w:val="20"/>
              </w:rPr>
              <w:t xml:space="preserve"> местного бюджета на реализацию мероприятий государственной программы Новосибирской </w:t>
            </w:r>
            <w:proofErr w:type="gramStart"/>
            <w:r w:rsidRPr="008B6A75">
              <w:rPr>
                <w:bCs/>
                <w:sz w:val="20"/>
                <w:szCs w:val="20"/>
              </w:rPr>
              <w:t>области  "</w:t>
            </w:r>
            <w:proofErr w:type="gramEnd"/>
            <w:r w:rsidRPr="008B6A75">
              <w:rPr>
                <w:bCs/>
                <w:sz w:val="20"/>
                <w:szCs w:val="20"/>
              </w:rPr>
              <w:t>Развитие автомобильных дорог регионального, межмуниципального и местного значения в Новосибирской области"</w:t>
            </w:r>
          </w:p>
        </w:tc>
        <w:tc>
          <w:tcPr>
            <w:tcW w:w="850" w:type="dxa"/>
            <w:tcBorders>
              <w:top w:val="nil"/>
              <w:left w:val="single" w:sz="4" w:space="0" w:color="auto"/>
              <w:bottom w:val="nil"/>
              <w:right w:val="nil"/>
            </w:tcBorders>
            <w:shd w:val="clear" w:color="auto" w:fill="auto"/>
            <w:noWrap/>
            <w:vAlign w:val="center"/>
            <w:hideMark/>
          </w:tcPr>
          <w:p w14:paraId="2CBE4191" w14:textId="77777777" w:rsidR="00387142" w:rsidRPr="008B6A75" w:rsidRDefault="00387142" w:rsidP="00387142">
            <w:pPr>
              <w:jc w:val="center"/>
              <w:rPr>
                <w:bCs/>
                <w:sz w:val="20"/>
                <w:szCs w:val="20"/>
              </w:rPr>
            </w:pPr>
            <w:r w:rsidRPr="008B6A75">
              <w:rPr>
                <w:bCs/>
                <w:sz w:val="20"/>
                <w:szCs w:val="20"/>
              </w:rPr>
              <w:t>444</w:t>
            </w:r>
          </w:p>
        </w:tc>
        <w:tc>
          <w:tcPr>
            <w:tcW w:w="709" w:type="dxa"/>
            <w:tcBorders>
              <w:top w:val="nil"/>
              <w:left w:val="single" w:sz="4" w:space="0" w:color="auto"/>
              <w:bottom w:val="nil"/>
              <w:right w:val="nil"/>
            </w:tcBorders>
            <w:shd w:val="clear" w:color="auto" w:fill="auto"/>
            <w:noWrap/>
            <w:vAlign w:val="center"/>
            <w:hideMark/>
          </w:tcPr>
          <w:p w14:paraId="19E633C4" w14:textId="77777777" w:rsidR="00387142" w:rsidRPr="008B6A75" w:rsidRDefault="00387142" w:rsidP="00387142">
            <w:pPr>
              <w:jc w:val="center"/>
              <w:rPr>
                <w:bCs/>
                <w:sz w:val="20"/>
                <w:szCs w:val="20"/>
              </w:rPr>
            </w:pPr>
            <w:r w:rsidRPr="008B6A75">
              <w:rPr>
                <w:bCs/>
                <w:sz w:val="20"/>
                <w:szCs w:val="20"/>
              </w:rPr>
              <w:t>04</w:t>
            </w:r>
          </w:p>
        </w:tc>
        <w:tc>
          <w:tcPr>
            <w:tcW w:w="709" w:type="dxa"/>
            <w:tcBorders>
              <w:top w:val="nil"/>
              <w:left w:val="single" w:sz="4" w:space="0" w:color="auto"/>
              <w:bottom w:val="nil"/>
              <w:right w:val="single" w:sz="4" w:space="0" w:color="auto"/>
            </w:tcBorders>
            <w:shd w:val="clear" w:color="auto" w:fill="auto"/>
            <w:noWrap/>
            <w:vAlign w:val="center"/>
            <w:hideMark/>
          </w:tcPr>
          <w:p w14:paraId="2F5CA2BF" w14:textId="77777777" w:rsidR="00387142" w:rsidRPr="008B6A75" w:rsidRDefault="00387142" w:rsidP="00387142">
            <w:pPr>
              <w:jc w:val="center"/>
              <w:rPr>
                <w:bCs/>
                <w:sz w:val="20"/>
                <w:szCs w:val="20"/>
              </w:rPr>
            </w:pPr>
            <w:r w:rsidRPr="008B6A75">
              <w:rPr>
                <w:bCs/>
                <w:sz w:val="20"/>
                <w:szCs w:val="20"/>
              </w:rPr>
              <w:t>09</w:t>
            </w:r>
          </w:p>
        </w:tc>
        <w:tc>
          <w:tcPr>
            <w:tcW w:w="1411" w:type="dxa"/>
            <w:tcBorders>
              <w:top w:val="nil"/>
              <w:left w:val="single" w:sz="4" w:space="0" w:color="auto"/>
              <w:bottom w:val="nil"/>
              <w:right w:val="nil"/>
            </w:tcBorders>
            <w:shd w:val="clear" w:color="auto" w:fill="auto"/>
            <w:noWrap/>
            <w:vAlign w:val="center"/>
            <w:hideMark/>
          </w:tcPr>
          <w:p w14:paraId="0FDC4A3D" w14:textId="77777777" w:rsidR="00387142" w:rsidRPr="008B6A75" w:rsidRDefault="00387142" w:rsidP="00387142">
            <w:pPr>
              <w:jc w:val="center"/>
              <w:rPr>
                <w:bCs/>
                <w:sz w:val="20"/>
                <w:szCs w:val="20"/>
              </w:rPr>
            </w:pPr>
            <w:r w:rsidRPr="008B6A75">
              <w:rPr>
                <w:bCs/>
                <w:sz w:val="20"/>
                <w:szCs w:val="20"/>
              </w:rPr>
              <w:t>10.0.00.S0760</w:t>
            </w:r>
          </w:p>
        </w:tc>
        <w:tc>
          <w:tcPr>
            <w:tcW w:w="955" w:type="dxa"/>
            <w:tcBorders>
              <w:top w:val="nil"/>
              <w:left w:val="single" w:sz="4" w:space="0" w:color="auto"/>
              <w:bottom w:val="nil"/>
              <w:right w:val="single" w:sz="4" w:space="0" w:color="auto"/>
            </w:tcBorders>
            <w:shd w:val="clear" w:color="auto" w:fill="auto"/>
            <w:noWrap/>
            <w:vAlign w:val="center"/>
            <w:hideMark/>
          </w:tcPr>
          <w:p w14:paraId="1118B944"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nil"/>
              <w:right w:val="single" w:sz="4" w:space="0" w:color="auto"/>
            </w:tcBorders>
            <w:shd w:val="clear" w:color="auto" w:fill="auto"/>
            <w:noWrap/>
            <w:vAlign w:val="center"/>
            <w:hideMark/>
          </w:tcPr>
          <w:p w14:paraId="7C881488" w14:textId="77777777" w:rsidR="00387142" w:rsidRPr="008B6A75" w:rsidRDefault="00387142" w:rsidP="00387142">
            <w:pPr>
              <w:jc w:val="right"/>
              <w:rPr>
                <w:bCs/>
                <w:sz w:val="20"/>
                <w:szCs w:val="20"/>
              </w:rPr>
            </w:pPr>
            <w:r w:rsidRPr="008B6A75">
              <w:rPr>
                <w:bCs/>
                <w:sz w:val="20"/>
                <w:szCs w:val="20"/>
              </w:rPr>
              <w:t>40 000,00</w:t>
            </w:r>
          </w:p>
        </w:tc>
        <w:tc>
          <w:tcPr>
            <w:tcW w:w="992" w:type="dxa"/>
            <w:gridSpan w:val="2"/>
            <w:tcBorders>
              <w:top w:val="nil"/>
              <w:left w:val="single" w:sz="4" w:space="0" w:color="auto"/>
              <w:bottom w:val="nil"/>
              <w:right w:val="nil"/>
            </w:tcBorders>
            <w:shd w:val="clear" w:color="auto" w:fill="auto"/>
            <w:noWrap/>
            <w:vAlign w:val="center"/>
            <w:hideMark/>
          </w:tcPr>
          <w:p w14:paraId="0B889368" w14:textId="77777777" w:rsidR="00387142" w:rsidRPr="008B6A75" w:rsidRDefault="00387142" w:rsidP="00387142">
            <w:pPr>
              <w:jc w:val="right"/>
              <w:rPr>
                <w:bCs/>
                <w:sz w:val="20"/>
                <w:szCs w:val="20"/>
              </w:rPr>
            </w:pPr>
            <w:r w:rsidRPr="008B6A75">
              <w:rPr>
                <w:bCs/>
                <w:sz w:val="20"/>
                <w:szCs w:val="20"/>
              </w:rPr>
              <w:t>0,00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118BA2C6" w14:textId="77777777" w:rsidR="00387142" w:rsidRPr="008B6A75" w:rsidRDefault="00387142" w:rsidP="00387142">
            <w:pPr>
              <w:jc w:val="right"/>
              <w:rPr>
                <w:bCs/>
                <w:sz w:val="20"/>
                <w:szCs w:val="20"/>
              </w:rPr>
            </w:pPr>
            <w:r w:rsidRPr="008B6A75">
              <w:rPr>
                <w:bCs/>
                <w:sz w:val="20"/>
                <w:szCs w:val="20"/>
              </w:rPr>
              <w:t>0,00</w:t>
            </w:r>
          </w:p>
        </w:tc>
        <w:tc>
          <w:tcPr>
            <w:tcW w:w="222" w:type="dxa"/>
            <w:vAlign w:val="center"/>
            <w:hideMark/>
          </w:tcPr>
          <w:p w14:paraId="34F03CEE" w14:textId="77777777" w:rsidR="00387142" w:rsidRPr="008B6A75" w:rsidRDefault="00387142" w:rsidP="00387142">
            <w:pPr>
              <w:rPr>
                <w:sz w:val="20"/>
                <w:szCs w:val="20"/>
              </w:rPr>
            </w:pPr>
          </w:p>
        </w:tc>
      </w:tr>
      <w:tr w:rsidR="00387142" w:rsidRPr="008B6A75" w14:paraId="6AD73F1F" w14:textId="77777777" w:rsidTr="00387142">
        <w:trPr>
          <w:trHeight w:val="585"/>
        </w:trPr>
        <w:tc>
          <w:tcPr>
            <w:tcW w:w="3021" w:type="dxa"/>
            <w:tcBorders>
              <w:top w:val="single" w:sz="4" w:space="0" w:color="auto"/>
              <w:left w:val="single" w:sz="4" w:space="0" w:color="auto"/>
              <w:bottom w:val="nil"/>
              <w:right w:val="nil"/>
            </w:tcBorders>
            <w:shd w:val="clear" w:color="auto" w:fill="auto"/>
            <w:vAlign w:val="center"/>
            <w:hideMark/>
          </w:tcPr>
          <w:p w14:paraId="5C58D864" w14:textId="77777777" w:rsidR="00387142" w:rsidRPr="008B6A75" w:rsidRDefault="00387142" w:rsidP="00387142">
            <w:pPr>
              <w:rPr>
                <w:sz w:val="20"/>
                <w:szCs w:val="20"/>
              </w:rPr>
            </w:pPr>
            <w:r w:rsidRPr="008B6A75">
              <w:rPr>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nil"/>
              <w:right w:val="nil"/>
            </w:tcBorders>
            <w:shd w:val="clear" w:color="auto" w:fill="auto"/>
            <w:noWrap/>
            <w:vAlign w:val="center"/>
            <w:hideMark/>
          </w:tcPr>
          <w:p w14:paraId="57725429" w14:textId="77777777" w:rsidR="00387142" w:rsidRPr="008B6A75" w:rsidRDefault="00387142" w:rsidP="00387142">
            <w:pPr>
              <w:jc w:val="center"/>
              <w:rPr>
                <w:sz w:val="20"/>
                <w:szCs w:val="20"/>
              </w:rPr>
            </w:pPr>
            <w:r w:rsidRPr="008B6A75">
              <w:rPr>
                <w:sz w:val="20"/>
                <w:szCs w:val="20"/>
              </w:rPr>
              <w:t>444</w:t>
            </w:r>
          </w:p>
        </w:tc>
        <w:tc>
          <w:tcPr>
            <w:tcW w:w="709" w:type="dxa"/>
            <w:tcBorders>
              <w:top w:val="single" w:sz="4" w:space="0" w:color="auto"/>
              <w:left w:val="single" w:sz="4" w:space="0" w:color="auto"/>
              <w:bottom w:val="nil"/>
              <w:right w:val="nil"/>
            </w:tcBorders>
            <w:shd w:val="clear" w:color="auto" w:fill="auto"/>
            <w:noWrap/>
            <w:vAlign w:val="center"/>
            <w:hideMark/>
          </w:tcPr>
          <w:p w14:paraId="58138EF2" w14:textId="77777777" w:rsidR="00387142" w:rsidRPr="008B6A75" w:rsidRDefault="00387142" w:rsidP="00387142">
            <w:pPr>
              <w:jc w:val="center"/>
              <w:rPr>
                <w:sz w:val="20"/>
                <w:szCs w:val="20"/>
              </w:rPr>
            </w:pPr>
            <w:r w:rsidRPr="008B6A75">
              <w:rPr>
                <w:sz w:val="20"/>
                <w:szCs w:val="20"/>
              </w:rPr>
              <w:t>04</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015FC2E5" w14:textId="77777777" w:rsidR="00387142" w:rsidRPr="008B6A75" w:rsidRDefault="00387142" w:rsidP="00387142">
            <w:pPr>
              <w:jc w:val="center"/>
              <w:rPr>
                <w:sz w:val="20"/>
                <w:szCs w:val="20"/>
              </w:rPr>
            </w:pPr>
            <w:r w:rsidRPr="008B6A75">
              <w:rPr>
                <w:sz w:val="20"/>
                <w:szCs w:val="20"/>
              </w:rPr>
              <w:t>09</w:t>
            </w:r>
          </w:p>
        </w:tc>
        <w:tc>
          <w:tcPr>
            <w:tcW w:w="1411" w:type="dxa"/>
            <w:tcBorders>
              <w:top w:val="single" w:sz="4" w:space="0" w:color="auto"/>
              <w:left w:val="single" w:sz="4" w:space="0" w:color="auto"/>
              <w:bottom w:val="nil"/>
              <w:right w:val="nil"/>
            </w:tcBorders>
            <w:shd w:val="clear" w:color="auto" w:fill="auto"/>
            <w:noWrap/>
            <w:vAlign w:val="center"/>
            <w:hideMark/>
          </w:tcPr>
          <w:p w14:paraId="51C46AA9" w14:textId="77777777" w:rsidR="00387142" w:rsidRPr="008B6A75" w:rsidRDefault="00387142" w:rsidP="00387142">
            <w:pPr>
              <w:jc w:val="center"/>
              <w:rPr>
                <w:sz w:val="20"/>
                <w:szCs w:val="20"/>
              </w:rPr>
            </w:pPr>
            <w:r w:rsidRPr="008B6A75">
              <w:rPr>
                <w:sz w:val="20"/>
                <w:szCs w:val="20"/>
              </w:rPr>
              <w:t>10.0.00.S0760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773CBA52" w14:textId="77777777" w:rsidR="00387142" w:rsidRPr="008B6A75" w:rsidRDefault="00387142" w:rsidP="00387142">
            <w:pPr>
              <w:jc w:val="center"/>
              <w:rPr>
                <w:sz w:val="20"/>
                <w:szCs w:val="20"/>
              </w:rPr>
            </w:pPr>
            <w:r w:rsidRPr="008B6A75">
              <w:rPr>
                <w:sz w:val="20"/>
                <w:szCs w:val="20"/>
              </w:rPr>
              <w:t>200</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6FC4DACA" w14:textId="77777777" w:rsidR="00387142" w:rsidRPr="008B6A75" w:rsidRDefault="00387142" w:rsidP="00387142">
            <w:pPr>
              <w:jc w:val="right"/>
              <w:rPr>
                <w:sz w:val="20"/>
                <w:szCs w:val="20"/>
              </w:rPr>
            </w:pPr>
            <w:r w:rsidRPr="008B6A75">
              <w:rPr>
                <w:sz w:val="20"/>
                <w:szCs w:val="20"/>
              </w:rPr>
              <w:t>40 000,00</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6E0A7316" w14:textId="77777777" w:rsidR="00387142" w:rsidRPr="008B6A75" w:rsidRDefault="00387142" w:rsidP="00387142">
            <w:pPr>
              <w:jc w:val="right"/>
              <w:rPr>
                <w:sz w:val="20"/>
                <w:szCs w:val="20"/>
              </w:rPr>
            </w:pPr>
            <w:r w:rsidRPr="008B6A75">
              <w:rPr>
                <w:sz w:val="20"/>
                <w:szCs w:val="20"/>
              </w:rPr>
              <w:t>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21EE0F00" w14:textId="77777777" w:rsidR="00387142" w:rsidRPr="008B6A75" w:rsidRDefault="00387142" w:rsidP="00387142">
            <w:pPr>
              <w:jc w:val="right"/>
              <w:rPr>
                <w:sz w:val="20"/>
                <w:szCs w:val="20"/>
              </w:rPr>
            </w:pPr>
            <w:r w:rsidRPr="008B6A75">
              <w:rPr>
                <w:sz w:val="20"/>
                <w:szCs w:val="20"/>
              </w:rPr>
              <w:t>0,00</w:t>
            </w:r>
          </w:p>
        </w:tc>
        <w:tc>
          <w:tcPr>
            <w:tcW w:w="222" w:type="dxa"/>
            <w:vAlign w:val="center"/>
            <w:hideMark/>
          </w:tcPr>
          <w:p w14:paraId="44C23E27" w14:textId="77777777" w:rsidR="00387142" w:rsidRPr="008B6A75" w:rsidRDefault="00387142" w:rsidP="00387142">
            <w:pPr>
              <w:rPr>
                <w:sz w:val="20"/>
                <w:szCs w:val="20"/>
              </w:rPr>
            </w:pPr>
          </w:p>
        </w:tc>
      </w:tr>
      <w:tr w:rsidR="00387142" w:rsidRPr="008B6A75" w14:paraId="3BFFF504" w14:textId="77777777" w:rsidTr="00387142">
        <w:trPr>
          <w:trHeight w:val="870"/>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5E9D8A1C" w14:textId="77777777" w:rsidR="00387142" w:rsidRPr="008B6A75" w:rsidRDefault="00387142" w:rsidP="00387142">
            <w:pPr>
              <w:rPr>
                <w:sz w:val="20"/>
                <w:szCs w:val="20"/>
              </w:rPr>
            </w:pPr>
            <w:r w:rsidRPr="008B6A75">
              <w:rPr>
                <w:sz w:val="20"/>
                <w:szCs w:val="20"/>
              </w:rPr>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5CC84C21" w14:textId="77777777" w:rsidR="00387142" w:rsidRPr="008B6A75" w:rsidRDefault="00387142" w:rsidP="00387142">
            <w:pPr>
              <w:jc w:val="center"/>
              <w:rPr>
                <w:sz w:val="20"/>
                <w:szCs w:val="20"/>
              </w:rPr>
            </w:pPr>
            <w:r w:rsidRPr="008B6A75">
              <w:rPr>
                <w:sz w:val="20"/>
                <w:szCs w:val="20"/>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0B1D86C7" w14:textId="77777777" w:rsidR="00387142" w:rsidRPr="008B6A75" w:rsidRDefault="00387142" w:rsidP="00387142">
            <w:pPr>
              <w:jc w:val="center"/>
              <w:rPr>
                <w:sz w:val="20"/>
                <w:szCs w:val="20"/>
              </w:rPr>
            </w:pPr>
            <w:r w:rsidRPr="008B6A75">
              <w:rPr>
                <w:sz w:val="20"/>
                <w:szCs w:val="20"/>
              </w:rPr>
              <w:t>04</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C82C48" w14:textId="77777777" w:rsidR="00387142" w:rsidRPr="008B6A75" w:rsidRDefault="00387142" w:rsidP="00387142">
            <w:pPr>
              <w:jc w:val="center"/>
              <w:rPr>
                <w:sz w:val="20"/>
                <w:szCs w:val="20"/>
              </w:rPr>
            </w:pPr>
            <w:r w:rsidRPr="008B6A75">
              <w:rPr>
                <w:sz w:val="20"/>
                <w:szCs w:val="20"/>
              </w:rPr>
              <w:t>09</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48576B2C" w14:textId="77777777" w:rsidR="00387142" w:rsidRPr="008B6A75" w:rsidRDefault="00387142" w:rsidP="00387142">
            <w:pPr>
              <w:jc w:val="center"/>
              <w:rPr>
                <w:sz w:val="20"/>
                <w:szCs w:val="20"/>
              </w:rPr>
            </w:pPr>
            <w:r w:rsidRPr="008B6A75">
              <w:rPr>
                <w:sz w:val="20"/>
                <w:szCs w:val="20"/>
              </w:rPr>
              <w:t>10.0.00.S0760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B7467B" w14:textId="77777777" w:rsidR="00387142" w:rsidRPr="008B6A75" w:rsidRDefault="00387142" w:rsidP="00387142">
            <w:pPr>
              <w:jc w:val="center"/>
              <w:rPr>
                <w:sz w:val="20"/>
                <w:szCs w:val="20"/>
              </w:rPr>
            </w:pPr>
            <w:r w:rsidRPr="008B6A75">
              <w:rPr>
                <w:sz w:val="20"/>
                <w:szCs w:val="20"/>
              </w:rPr>
              <w:t>240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17D22B" w14:textId="77777777" w:rsidR="00387142" w:rsidRPr="008B6A75" w:rsidRDefault="00387142" w:rsidP="00387142">
            <w:pPr>
              <w:jc w:val="right"/>
              <w:rPr>
                <w:sz w:val="20"/>
                <w:szCs w:val="20"/>
              </w:rPr>
            </w:pPr>
            <w:r w:rsidRPr="008B6A75">
              <w:rPr>
                <w:sz w:val="20"/>
                <w:szCs w:val="20"/>
              </w:rPr>
              <w:t>40 000,00</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72E6B4A1" w14:textId="77777777" w:rsidR="00387142" w:rsidRPr="008B6A75" w:rsidRDefault="00387142" w:rsidP="00387142">
            <w:pPr>
              <w:jc w:val="right"/>
              <w:rPr>
                <w:sz w:val="20"/>
                <w:szCs w:val="20"/>
              </w:rPr>
            </w:pPr>
            <w:r w:rsidRPr="008B6A75">
              <w:rPr>
                <w:sz w:val="20"/>
                <w:szCs w:val="20"/>
              </w:rPr>
              <w:t>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AC6BD1" w14:textId="77777777" w:rsidR="00387142" w:rsidRPr="008B6A75" w:rsidRDefault="00387142" w:rsidP="00387142">
            <w:pPr>
              <w:jc w:val="right"/>
              <w:rPr>
                <w:sz w:val="20"/>
                <w:szCs w:val="20"/>
              </w:rPr>
            </w:pPr>
            <w:r w:rsidRPr="008B6A75">
              <w:rPr>
                <w:sz w:val="20"/>
                <w:szCs w:val="20"/>
              </w:rPr>
              <w:t>0,00</w:t>
            </w:r>
          </w:p>
        </w:tc>
        <w:tc>
          <w:tcPr>
            <w:tcW w:w="222" w:type="dxa"/>
            <w:vAlign w:val="center"/>
            <w:hideMark/>
          </w:tcPr>
          <w:p w14:paraId="4CB0F6FC" w14:textId="77777777" w:rsidR="00387142" w:rsidRPr="008B6A75" w:rsidRDefault="00387142" w:rsidP="00387142">
            <w:pPr>
              <w:rPr>
                <w:sz w:val="20"/>
                <w:szCs w:val="20"/>
              </w:rPr>
            </w:pPr>
          </w:p>
        </w:tc>
      </w:tr>
      <w:tr w:rsidR="00387142" w:rsidRPr="008B6A75" w14:paraId="12B3F1A4" w14:textId="77777777" w:rsidTr="00387142">
        <w:trPr>
          <w:trHeight w:val="300"/>
        </w:trPr>
        <w:tc>
          <w:tcPr>
            <w:tcW w:w="3021" w:type="dxa"/>
            <w:tcBorders>
              <w:top w:val="nil"/>
              <w:left w:val="single" w:sz="4" w:space="0" w:color="auto"/>
              <w:bottom w:val="nil"/>
              <w:right w:val="nil"/>
            </w:tcBorders>
            <w:shd w:val="clear" w:color="auto" w:fill="auto"/>
            <w:vAlign w:val="center"/>
            <w:hideMark/>
          </w:tcPr>
          <w:p w14:paraId="656781A1" w14:textId="77777777" w:rsidR="00387142" w:rsidRPr="008B6A75" w:rsidRDefault="00387142" w:rsidP="00387142">
            <w:pPr>
              <w:rPr>
                <w:bCs/>
                <w:sz w:val="20"/>
                <w:szCs w:val="20"/>
              </w:rPr>
            </w:pPr>
            <w:r w:rsidRPr="008B6A75">
              <w:rPr>
                <w:bCs/>
                <w:sz w:val="20"/>
                <w:szCs w:val="20"/>
              </w:rPr>
              <w:t>Связь и информатика</w:t>
            </w:r>
          </w:p>
        </w:tc>
        <w:tc>
          <w:tcPr>
            <w:tcW w:w="850" w:type="dxa"/>
            <w:tcBorders>
              <w:top w:val="nil"/>
              <w:left w:val="single" w:sz="4" w:space="0" w:color="auto"/>
              <w:bottom w:val="nil"/>
              <w:right w:val="nil"/>
            </w:tcBorders>
            <w:shd w:val="clear" w:color="auto" w:fill="auto"/>
            <w:noWrap/>
            <w:vAlign w:val="center"/>
            <w:hideMark/>
          </w:tcPr>
          <w:p w14:paraId="4EE4DBE6" w14:textId="77777777" w:rsidR="00387142" w:rsidRPr="008B6A75" w:rsidRDefault="00387142" w:rsidP="00387142">
            <w:pPr>
              <w:jc w:val="center"/>
              <w:rPr>
                <w:bCs/>
                <w:sz w:val="20"/>
                <w:szCs w:val="20"/>
              </w:rPr>
            </w:pPr>
            <w:r w:rsidRPr="008B6A75">
              <w:rPr>
                <w:bCs/>
                <w:sz w:val="20"/>
                <w:szCs w:val="20"/>
              </w:rPr>
              <w:t>444</w:t>
            </w:r>
          </w:p>
        </w:tc>
        <w:tc>
          <w:tcPr>
            <w:tcW w:w="709" w:type="dxa"/>
            <w:tcBorders>
              <w:top w:val="nil"/>
              <w:left w:val="single" w:sz="4" w:space="0" w:color="auto"/>
              <w:bottom w:val="nil"/>
              <w:right w:val="nil"/>
            </w:tcBorders>
            <w:shd w:val="clear" w:color="auto" w:fill="auto"/>
            <w:noWrap/>
            <w:vAlign w:val="center"/>
            <w:hideMark/>
          </w:tcPr>
          <w:p w14:paraId="3CD4DB4D" w14:textId="77777777" w:rsidR="00387142" w:rsidRPr="008B6A75" w:rsidRDefault="00387142" w:rsidP="00387142">
            <w:pPr>
              <w:jc w:val="center"/>
              <w:rPr>
                <w:bCs/>
                <w:sz w:val="20"/>
                <w:szCs w:val="20"/>
              </w:rPr>
            </w:pPr>
            <w:r w:rsidRPr="008B6A75">
              <w:rPr>
                <w:bCs/>
                <w:sz w:val="20"/>
                <w:szCs w:val="20"/>
              </w:rPr>
              <w:t>04</w:t>
            </w:r>
          </w:p>
        </w:tc>
        <w:tc>
          <w:tcPr>
            <w:tcW w:w="709" w:type="dxa"/>
            <w:tcBorders>
              <w:top w:val="nil"/>
              <w:left w:val="single" w:sz="4" w:space="0" w:color="auto"/>
              <w:bottom w:val="nil"/>
              <w:right w:val="single" w:sz="4" w:space="0" w:color="auto"/>
            </w:tcBorders>
            <w:shd w:val="clear" w:color="auto" w:fill="auto"/>
            <w:noWrap/>
            <w:vAlign w:val="center"/>
            <w:hideMark/>
          </w:tcPr>
          <w:p w14:paraId="4CEDDD28" w14:textId="77777777" w:rsidR="00387142" w:rsidRPr="008B6A75" w:rsidRDefault="00387142" w:rsidP="00387142">
            <w:pPr>
              <w:jc w:val="center"/>
              <w:rPr>
                <w:bCs/>
                <w:sz w:val="20"/>
                <w:szCs w:val="20"/>
              </w:rPr>
            </w:pPr>
            <w:r w:rsidRPr="008B6A75">
              <w:rPr>
                <w:bCs/>
                <w:sz w:val="20"/>
                <w:szCs w:val="20"/>
              </w:rPr>
              <w:t>10</w:t>
            </w:r>
          </w:p>
        </w:tc>
        <w:tc>
          <w:tcPr>
            <w:tcW w:w="1411" w:type="dxa"/>
            <w:tcBorders>
              <w:top w:val="nil"/>
              <w:left w:val="single" w:sz="4" w:space="0" w:color="auto"/>
              <w:bottom w:val="nil"/>
              <w:right w:val="nil"/>
            </w:tcBorders>
            <w:shd w:val="clear" w:color="auto" w:fill="auto"/>
            <w:noWrap/>
            <w:vAlign w:val="center"/>
            <w:hideMark/>
          </w:tcPr>
          <w:p w14:paraId="5C4A2C9C" w14:textId="77777777" w:rsidR="00387142" w:rsidRPr="008B6A75" w:rsidRDefault="00387142" w:rsidP="00387142">
            <w:pPr>
              <w:jc w:val="center"/>
              <w:rPr>
                <w:bCs/>
                <w:sz w:val="20"/>
                <w:szCs w:val="20"/>
              </w:rPr>
            </w:pPr>
            <w:r w:rsidRPr="008B6A75">
              <w:rPr>
                <w:bCs/>
                <w:sz w:val="20"/>
                <w:szCs w:val="20"/>
              </w:rPr>
              <w:t> </w:t>
            </w:r>
          </w:p>
        </w:tc>
        <w:tc>
          <w:tcPr>
            <w:tcW w:w="955" w:type="dxa"/>
            <w:tcBorders>
              <w:top w:val="nil"/>
              <w:left w:val="single" w:sz="4" w:space="0" w:color="auto"/>
              <w:bottom w:val="nil"/>
              <w:right w:val="single" w:sz="4" w:space="0" w:color="auto"/>
            </w:tcBorders>
            <w:shd w:val="clear" w:color="auto" w:fill="auto"/>
            <w:noWrap/>
            <w:vAlign w:val="center"/>
            <w:hideMark/>
          </w:tcPr>
          <w:p w14:paraId="249E37C9"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nil"/>
              <w:right w:val="single" w:sz="4" w:space="0" w:color="auto"/>
            </w:tcBorders>
            <w:shd w:val="clear" w:color="auto" w:fill="auto"/>
            <w:noWrap/>
            <w:vAlign w:val="center"/>
            <w:hideMark/>
          </w:tcPr>
          <w:p w14:paraId="64CEEF10" w14:textId="77777777" w:rsidR="00387142" w:rsidRPr="008B6A75" w:rsidRDefault="00387142" w:rsidP="00387142">
            <w:pPr>
              <w:jc w:val="right"/>
              <w:rPr>
                <w:bCs/>
                <w:sz w:val="20"/>
                <w:szCs w:val="20"/>
              </w:rPr>
            </w:pPr>
            <w:r w:rsidRPr="008B6A75">
              <w:rPr>
                <w:bCs/>
                <w:sz w:val="20"/>
                <w:szCs w:val="20"/>
              </w:rPr>
              <w:t>0,00</w:t>
            </w:r>
          </w:p>
        </w:tc>
        <w:tc>
          <w:tcPr>
            <w:tcW w:w="992" w:type="dxa"/>
            <w:gridSpan w:val="2"/>
            <w:tcBorders>
              <w:top w:val="nil"/>
              <w:left w:val="single" w:sz="4" w:space="0" w:color="auto"/>
              <w:bottom w:val="nil"/>
              <w:right w:val="nil"/>
            </w:tcBorders>
            <w:shd w:val="clear" w:color="auto" w:fill="auto"/>
            <w:noWrap/>
            <w:vAlign w:val="center"/>
            <w:hideMark/>
          </w:tcPr>
          <w:p w14:paraId="71B618DE" w14:textId="77777777" w:rsidR="00387142" w:rsidRPr="008B6A75" w:rsidRDefault="00387142" w:rsidP="00387142">
            <w:pPr>
              <w:jc w:val="right"/>
              <w:rPr>
                <w:bCs/>
                <w:sz w:val="20"/>
                <w:szCs w:val="20"/>
              </w:rPr>
            </w:pPr>
            <w:r w:rsidRPr="008B6A75">
              <w:rPr>
                <w:bCs/>
                <w:sz w:val="20"/>
                <w:szCs w:val="20"/>
              </w:rPr>
              <w:t>4 210 526,32</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71E4F79A" w14:textId="77777777" w:rsidR="00387142" w:rsidRPr="008B6A75" w:rsidRDefault="00387142" w:rsidP="00387142">
            <w:pPr>
              <w:jc w:val="right"/>
              <w:rPr>
                <w:bCs/>
                <w:sz w:val="20"/>
                <w:szCs w:val="20"/>
              </w:rPr>
            </w:pPr>
            <w:r w:rsidRPr="008B6A75">
              <w:rPr>
                <w:bCs/>
                <w:sz w:val="20"/>
                <w:szCs w:val="20"/>
              </w:rPr>
              <w:t>0,00</w:t>
            </w:r>
          </w:p>
        </w:tc>
        <w:tc>
          <w:tcPr>
            <w:tcW w:w="222" w:type="dxa"/>
            <w:vAlign w:val="center"/>
            <w:hideMark/>
          </w:tcPr>
          <w:p w14:paraId="77FBD1FE" w14:textId="77777777" w:rsidR="00387142" w:rsidRPr="008B6A75" w:rsidRDefault="00387142" w:rsidP="00387142">
            <w:pPr>
              <w:rPr>
                <w:sz w:val="20"/>
                <w:szCs w:val="20"/>
              </w:rPr>
            </w:pPr>
          </w:p>
        </w:tc>
      </w:tr>
      <w:tr w:rsidR="00387142" w:rsidRPr="008B6A75" w14:paraId="040ADD11" w14:textId="77777777" w:rsidTr="00387142">
        <w:trPr>
          <w:trHeight w:val="300"/>
        </w:trPr>
        <w:tc>
          <w:tcPr>
            <w:tcW w:w="3021" w:type="dxa"/>
            <w:tcBorders>
              <w:top w:val="single" w:sz="4" w:space="0" w:color="auto"/>
              <w:left w:val="single" w:sz="4" w:space="0" w:color="auto"/>
              <w:bottom w:val="nil"/>
              <w:right w:val="nil"/>
            </w:tcBorders>
            <w:shd w:val="clear" w:color="auto" w:fill="auto"/>
            <w:vAlign w:val="center"/>
            <w:hideMark/>
          </w:tcPr>
          <w:p w14:paraId="1C49D781" w14:textId="77777777" w:rsidR="00387142" w:rsidRPr="008B6A75" w:rsidRDefault="00387142" w:rsidP="00387142">
            <w:pPr>
              <w:rPr>
                <w:bCs/>
                <w:sz w:val="20"/>
                <w:szCs w:val="20"/>
              </w:rPr>
            </w:pPr>
            <w:r w:rsidRPr="008B6A75">
              <w:rPr>
                <w:bCs/>
                <w:sz w:val="20"/>
                <w:szCs w:val="20"/>
              </w:rPr>
              <w:t>Непрограммные направления бюджета</w:t>
            </w:r>
          </w:p>
        </w:tc>
        <w:tc>
          <w:tcPr>
            <w:tcW w:w="850" w:type="dxa"/>
            <w:tcBorders>
              <w:top w:val="single" w:sz="4" w:space="0" w:color="auto"/>
              <w:left w:val="single" w:sz="4" w:space="0" w:color="auto"/>
              <w:bottom w:val="nil"/>
              <w:right w:val="nil"/>
            </w:tcBorders>
            <w:shd w:val="clear" w:color="auto" w:fill="auto"/>
            <w:noWrap/>
            <w:vAlign w:val="center"/>
            <w:hideMark/>
          </w:tcPr>
          <w:p w14:paraId="57DD28CF" w14:textId="77777777" w:rsidR="00387142" w:rsidRPr="008B6A75" w:rsidRDefault="00387142" w:rsidP="00387142">
            <w:pPr>
              <w:jc w:val="center"/>
              <w:rPr>
                <w:bCs/>
                <w:sz w:val="20"/>
                <w:szCs w:val="20"/>
              </w:rPr>
            </w:pPr>
            <w:r w:rsidRPr="008B6A75">
              <w:rPr>
                <w:bCs/>
                <w:sz w:val="20"/>
                <w:szCs w:val="20"/>
              </w:rPr>
              <w:t>444</w:t>
            </w:r>
          </w:p>
        </w:tc>
        <w:tc>
          <w:tcPr>
            <w:tcW w:w="709" w:type="dxa"/>
            <w:tcBorders>
              <w:top w:val="single" w:sz="4" w:space="0" w:color="auto"/>
              <w:left w:val="single" w:sz="4" w:space="0" w:color="auto"/>
              <w:bottom w:val="nil"/>
              <w:right w:val="nil"/>
            </w:tcBorders>
            <w:shd w:val="clear" w:color="auto" w:fill="auto"/>
            <w:noWrap/>
            <w:vAlign w:val="center"/>
            <w:hideMark/>
          </w:tcPr>
          <w:p w14:paraId="5A7368D6" w14:textId="77777777" w:rsidR="00387142" w:rsidRPr="008B6A75" w:rsidRDefault="00387142" w:rsidP="00387142">
            <w:pPr>
              <w:jc w:val="center"/>
              <w:rPr>
                <w:bCs/>
                <w:sz w:val="20"/>
                <w:szCs w:val="20"/>
              </w:rPr>
            </w:pPr>
            <w:r w:rsidRPr="008B6A75">
              <w:rPr>
                <w:bCs/>
                <w:sz w:val="20"/>
                <w:szCs w:val="20"/>
              </w:rPr>
              <w:t>04</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1889B934" w14:textId="77777777" w:rsidR="00387142" w:rsidRPr="008B6A75" w:rsidRDefault="00387142" w:rsidP="00387142">
            <w:pPr>
              <w:jc w:val="center"/>
              <w:rPr>
                <w:bCs/>
                <w:sz w:val="20"/>
                <w:szCs w:val="20"/>
              </w:rPr>
            </w:pPr>
            <w:r w:rsidRPr="008B6A75">
              <w:rPr>
                <w:bCs/>
                <w:sz w:val="20"/>
                <w:szCs w:val="20"/>
              </w:rPr>
              <w:t>10</w:t>
            </w:r>
          </w:p>
        </w:tc>
        <w:tc>
          <w:tcPr>
            <w:tcW w:w="1411" w:type="dxa"/>
            <w:tcBorders>
              <w:top w:val="single" w:sz="4" w:space="0" w:color="auto"/>
              <w:left w:val="single" w:sz="4" w:space="0" w:color="auto"/>
              <w:bottom w:val="nil"/>
              <w:right w:val="nil"/>
            </w:tcBorders>
            <w:shd w:val="clear" w:color="auto" w:fill="auto"/>
            <w:noWrap/>
            <w:vAlign w:val="center"/>
            <w:hideMark/>
          </w:tcPr>
          <w:p w14:paraId="7692C319" w14:textId="77777777" w:rsidR="00387142" w:rsidRPr="008B6A75" w:rsidRDefault="00387142" w:rsidP="00387142">
            <w:pPr>
              <w:jc w:val="center"/>
              <w:rPr>
                <w:bCs/>
                <w:sz w:val="20"/>
                <w:szCs w:val="20"/>
              </w:rPr>
            </w:pPr>
            <w:r w:rsidRPr="008B6A75">
              <w:rPr>
                <w:bCs/>
                <w:sz w:val="20"/>
                <w:szCs w:val="20"/>
              </w:rPr>
              <w:t>99.0.00.00000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775393A9" w14:textId="77777777" w:rsidR="00387142" w:rsidRPr="008B6A75" w:rsidRDefault="00387142" w:rsidP="00387142">
            <w:pPr>
              <w:jc w:val="center"/>
              <w:rPr>
                <w:bCs/>
                <w:sz w:val="20"/>
                <w:szCs w:val="20"/>
              </w:rPr>
            </w:pPr>
            <w:r w:rsidRPr="008B6A75">
              <w:rPr>
                <w:bCs/>
                <w:sz w:val="20"/>
                <w:szCs w:val="20"/>
              </w:rPr>
              <w:t> </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5C54A4B7" w14:textId="77777777" w:rsidR="00387142" w:rsidRPr="008B6A75" w:rsidRDefault="00387142" w:rsidP="00387142">
            <w:pPr>
              <w:jc w:val="right"/>
              <w:rPr>
                <w:bCs/>
                <w:sz w:val="20"/>
                <w:szCs w:val="20"/>
              </w:rPr>
            </w:pPr>
            <w:r w:rsidRPr="008B6A75">
              <w:rPr>
                <w:bCs/>
                <w:sz w:val="20"/>
                <w:szCs w:val="20"/>
              </w:rPr>
              <w:t>0,00</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363FF718" w14:textId="77777777" w:rsidR="00387142" w:rsidRPr="008B6A75" w:rsidRDefault="00387142" w:rsidP="00387142">
            <w:pPr>
              <w:jc w:val="right"/>
              <w:rPr>
                <w:bCs/>
                <w:sz w:val="20"/>
                <w:szCs w:val="20"/>
              </w:rPr>
            </w:pPr>
            <w:r w:rsidRPr="008B6A75">
              <w:rPr>
                <w:bCs/>
                <w:sz w:val="20"/>
                <w:szCs w:val="20"/>
              </w:rPr>
              <w:t>4 210 526,32</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4EF71BCD" w14:textId="77777777" w:rsidR="00387142" w:rsidRPr="008B6A75" w:rsidRDefault="00387142" w:rsidP="00387142">
            <w:pPr>
              <w:jc w:val="right"/>
              <w:rPr>
                <w:bCs/>
                <w:sz w:val="20"/>
                <w:szCs w:val="20"/>
              </w:rPr>
            </w:pPr>
            <w:r w:rsidRPr="008B6A75">
              <w:rPr>
                <w:bCs/>
                <w:sz w:val="20"/>
                <w:szCs w:val="20"/>
              </w:rPr>
              <w:t>0,00</w:t>
            </w:r>
          </w:p>
        </w:tc>
        <w:tc>
          <w:tcPr>
            <w:tcW w:w="222" w:type="dxa"/>
            <w:vAlign w:val="center"/>
            <w:hideMark/>
          </w:tcPr>
          <w:p w14:paraId="78F25745" w14:textId="77777777" w:rsidR="00387142" w:rsidRPr="008B6A75" w:rsidRDefault="00387142" w:rsidP="00387142">
            <w:pPr>
              <w:rPr>
                <w:sz w:val="20"/>
                <w:szCs w:val="20"/>
              </w:rPr>
            </w:pPr>
          </w:p>
        </w:tc>
      </w:tr>
      <w:tr w:rsidR="00387142" w:rsidRPr="008B6A75" w14:paraId="7EF101AF" w14:textId="77777777" w:rsidTr="00387142">
        <w:trPr>
          <w:trHeight w:val="585"/>
        </w:trPr>
        <w:tc>
          <w:tcPr>
            <w:tcW w:w="3021" w:type="dxa"/>
            <w:tcBorders>
              <w:top w:val="single" w:sz="4" w:space="0" w:color="auto"/>
              <w:left w:val="single" w:sz="4" w:space="0" w:color="auto"/>
              <w:bottom w:val="nil"/>
              <w:right w:val="nil"/>
            </w:tcBorders>
            <w:shd w:val="clear" w:color="auto" w:fill="auto"/>
            <w:vAlign w:val="center"/>
            <w:hideMark/>
          </w:tcPr>
          <w:p w14:paraId="2FCF9757" w14:textId="77777777" w:rsidR="00387142" w:rsidRPr="008B6A75" w:rsidRDefault="00387142" w:rsidP="00387142">
            <w:pPr>
              <w:rPr>
                <w:bCs/>
                <w:sz w:val="20"/>
                <w:szCs w:val="20"/>
              </w:rPr>
            </w:pPr>
            <w:r w:rsidRPr="008B6A75">
              <w:rPr>
                <w:bCs/>
                <w:sz w:val="20"/>
                <w:szCs w:val="20"/>
              </w:rPr>
              <w:t>Региональный проект "Информационная инфраструктура"</w:t>
            </w:r>
          </w:p>
        </w:tc>
        <w:tc>
          <w:tcPr>
            <w:tcW w:w="850" w:type="dxa"/>
            <w:tcBorders>
              <w:top w:val="single" w:sz="4" w:space="0" w:color="auto"/>
              <w:left w:val="single" w:sz="4" w:space="0" w:color="auto"/>
              <w:bottom w:val="nil"/>
              <w:right w:val="nil"/>
            </w:tcBorders>
            <w:shd w:val="clear" w:color="auto" w:fill="auto"/>
            <w:noWrap/>
            <w:vAlign w:val="center"/>
            <w:hideMark/>
          </w:tcPr>
          <w:p w14:paraId="49EDA6FE" w14:textId="77777777" w:rsidR="00387142" w:rsidRPr="008B6A75" w:rsidRDefault="00387142" w:rsidP="00387142">
            <w:pPr>
              <w:jc w:val="center"/>
              <w:rPr>
                <w:bCs/>
                <w:sz w:val="20"/>
                <w:szCs w:val="20"/>
              </w:rPr>
            </w:pPr>
            <w:r w:rsidRPr="008B6A75">
              <w:rPr>
                <w:bCs/>
                <w:sz w:val="20"/>
                <w:szCs w:val="20"/>
              </w:rPr>
              <w:t>444</w:t>
            </w:r>
          </w:p>
        </w:tc>
        <w:tc>
          <w:tcPr>
            <w:tcW w:w="709" w:type="dxa"/>
            <w:tcBorders>
              <w:top w:val="single" w:sz="4" w:space="0" w:color="auto"/>
              <w:left w:val="single" w:sz="4" w:space="0" w:color="auto"/>
              <w:bottom w:val="nil"/>
              <w:right w:val="nil"/>
            </w:tcBorders>
            <w:shd w:val="clear" w:color="auto" w:fill="auto"/>
            <w:noWrap/>
            <w:vAlign w:val="center"/>
            <w:hideMark/>
          </w:tcPr>
          <w:p w14:paraId="3D2C3591" w14:textId="77777777" w:rsidR="00387142" w:rsidRPr="008B6A75" w:rsidRDefault="00387142" w:rsidP="00387142">
            <w:pPr>
              <w:jc w:val="center"/>
              <w:rPr>
                <w:bCs/>
                <w:sz w:val="20"/>
                <w:szCs w:val="20"/>
              </w:rPr>
            </w:pPr>
            <w:r w:rsidRPr="008B6A75">
              <w:rPr>
                <w:bCs/>
                <w:sz w:val="20"/>
                <w:szCs w:val="20"/>
              </w:rPr>
              <w:t>04</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640FC69A" w14:textId="77777777" w:rsidR="00387142" w:rsidRPr="008B6A75" w:rsidRDefault="00387142" w:rsidP="00387142">
            <w:pPr>
              <w:jc w:val="center"/>
              <w:rPr>
                <w:bCs/>
                <w:sz w:val="20"/>
                <w:szCs w:val="20"/>
              </w:rPr>
            </w:pPr>
            <w:r w:rsidRPr="008B6A75">
              <w:rPr>
                <w:bCs/>
                <w:sz w:val="20"/>
                <w:szCs w:val="20"/>
              </w:rPr>
              <w:t>10</w:t>
            </w:r>
          </w:p>
        </w:tc>
        <w:tc>
          <w:tcPr>
            <w:tcW w:w="1411" w:type="dxa"/>
            <w:tcBorders>
              <w:top w:val="single" w:sz="4" w:space="0" w:color="auto"/>
              <w:left w:val="single" w:sz="4" w:space="0" w:color="auto"/>
              <w:bottom w:val="nil"/>
              <w:right w:val="nil"/>
            </w:tcBorders>
            <w:shd w:val="clear" w:color="auto" w:fill="auto"/>
            <w:noWrap/>
            <w:vAlign w:val="center"/>
            <w:hideMark/>
          </w:tcPr>
          <w:p w14:paraId="4C42F45C" w14:textId="77777777" w:rsidR="00387142" w:rsidRPr="008B6A75" w:rsidRDefault="00387142" w:rsidP="00387142">
            <w:pPr>
              <w:jc w:val="center"/>
              <w:rPr>
                <w:bCs/>
                <w:sz w:val="20"/>
                <w:szCs w:val="20"/>
              </w:rPr>
            </w:pPr>
            <w:r w:rsidRPr="008B6A75">
              <w:rPr>
                <w:bCs/>
                <w:sz w:val="20"/>
                <w:szCs w:val="20"/>
              </w:rPr>
              <w:t>99.0.D2.00000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3FA55546" w14:textId="77777777" w:rsidR="00387142" w:rsidRPr="008B6A75" w:rsidRDefault="00387142" w:rsidP="00387142">
            <w:pPr>
              <w:jc w:val="center"/>
              <w:rPr>
                <w:bCs/>
                <w:sz w:val="20"/>
                <w:szCs w:val="20"/>
              </w:rPr>
            </w:pPr>
            <w:r w:rsidRPr="008B6A75">
              <w:rPr>
                <w:bCs/>
                <w:sz w:val="20"/>
                <w:szCs w:val="20"/>
              </w:rPr>
              <w:t> </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44C52ED4" w14:textId="77777777" w:rsidR="00387142" w:rsidRPr="008B6A75" w:rsidRDefault="00387142" w:rsidP="00387142">
            <w:pPr>
              <w:jc w:val="right"/>
              <w:rPr>
                <w:bCs/>
                <w:sz w:val="20"/>
                <w:szCs w:val="20"/>
              </w:rPr>
            </w:pPr>
            <w:r w:rsidRPr="008B6A75">
              <w:rPr>
                <w:bCs/>
                <w:sz w:val="20"/>
                <w:szCs w:val="20"/>
              </w:rPr>
              <w:t>0,00</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5BA25108" w14:textId="77777777" w:rsidR="00387142" w:rsidRPr="008B6A75" w:rsidRDefault="00387142" w:rsidP="00387142">
            <w:pPr>
              <w:jc w:val="right"/>
              <w:rPr>
                <w:bCs/>
                <w:sz w:val="20"/>
                <w:szCs w:val="20"/>
              </w:rPr>
            </w:pPr>
            <w:r w:rsidRPr="008B6A75">
              <w:rPr>
                <w:bCs/>
                <w:sz w:val="20"/>
                <w:szCs w:val="20"/>
              </w:rPr>
              <w:t>4 210 526,32</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7D0B8DD3" w14:textId="77777777" w:rsidR="00387142" w:rsidRPr="008B6A75" w:rsidRDefault="00387142" w:rsidP="00387142">
            <w:pPr>
              <w:jc w:val="right"/>
              <w:rPr>
                <w:bCs/>
                <w:sz w:val="20"/>
                <w:szCs w:val="20"/>
              </w:rPr>
            </w:pPr>
            <w:r w:rsidRPr="008B6A75">
              <w:rPr>
                <w:bCs/>
                <w:sz w:val="20"/>
                <w:szCs w:val="20"/>
              </w:rPr>
              <w:t>0,00</w:t>
            </w:r>
          </w:p>
        </w:tc>
        <w:tc>
          <w:tcPr>
            <w:tcW w:w="222" w:type="dxa"/>
            <w:vAlign w:val="center"/>
            <w:hideMark/>
          </w:tcPr>
          <w:p w14:paraId="3F4CC366" w14:textId="77777777" w:rsidR="00387142" w:rsidRPr="008B6A75" w:rsidRDefault="00387142" w:rsidP="00387142">
            <w:pPr>
              <w:rPr>
                <w:sz w:val="20"/>
                <w:szCs w:val="20"/>
              </w:rPr>
            </w:pPr>
          </w:p>
        </w:tc>
      </w:tr>
      <w:tr w:rsidR="00387142" w:rsidRPr="008B6A75" w14:paraId="0CF46B1A" w14:textId="77777777" w:rsidTr="00387142">
        <w:trPr>
          <w:trHeight w:val="1725"/>
        </w:trPr>
        <w:tc>
          <w:tcPr>
            <w:tcW w:w="3021" w:type="dxa"/>
            <w:tcBorders>
              <w:top w:val="single" w:sz="4" w:space="0" w:color="auto"/>
              <w:left w:val="single" w:sz="4" w:space="0" w:color="auto"/>
              <w:bottom w:val="nil"/>
              <w:right w:val="nil"/>
            </w:tcBorders>
            <w:shd w:val="clear" w:color="auto" w:fill="auto"/>
            <w:vAlign w:val="center"/>
            <w:hideMark/>
          </w:tcPr>
          <w:p w14:paraId="7EDA8A69" w14:textId="77777777" w:rsidR="00387142" w:rsidRPr="008B6A75" w:rsidRDefault="00387142" w:rsidP="00387142">
            <w:pPr>
              <w:rPr>
                <w:bCs/>
                <w:sz w:val="20"/>
                <w:szCs w:val="20"/>
              </w:rPr>
            </w:pPr>
            <w:r w:rsidRPr="008B6A75">
              <w:rPr>
                <w:bCs/>
                <w:sz w:val="20"/>
                <w:szCs w:val="20"/>
              </w:rPr>
              <w:lastRenderedPageBreak/>
              <w:t>Реализация мероприятий по модернизации и развитию инфраструктуры связи на территории Новосибирской области государственной программы Новосибирской области "Цифровая трансформация Новосибирской области"</w:t>
            </w:r>
          </w:p>
        </w:tc>
        <w:tc>
          <w:tcPr>
            <w:tcW w:w="850" w:type="dxa"/>
            <w:tcBorders>
              <w:top w:val="single" w:sz="4" w:space="0" w:color="auto"/>
              <w:left w:val="single" w:sz="4" w:space="0" w:color="auto"/>
              <w:bottom w:val="nil"/>
              <w:right w:val="nil"/>
            </w:tcBorders>
            <w:shd w:val="clear" w:color="auto" w:fill="auto"/>
            <w:noWrap/>
            <w:vAlign w:val="center"/>
            <w:hideMark/>
          </w:tcPr>
          <w:p w14:paraId="20FCD775" w14:textId="77777777" w:rsidR="00387142" w:rsidRPr="008B6A75" w:rsidRDefault="00387142" w:rsidP="00387142">
            <w:pPr>
              <w:jc w:val="center"/>
              <w:rPr>
                <w:bCs/>
                <w:sz w:val="20"/>
                <w:szCs w:val="20"/>
              </w:rPr>
            </w:pPr>
            <w:r w:rsidRPr="008B6A75">
              <w:rPr>
                <w:bCs/>
                <w:sz w:val="20"/>
                <w:szCs w:val="20"/>
              </w:rPr>
              <w:t>444</w:t>
            </w:r>
          </w:p>
        </w:tc>
        <w:tc>
          <w:tcPr>
            <w:tcW w:w="709" w:type="dxa"/>
            <w:tcBorders>
              <w:top w:val="single" w:sz="4" w:space="0" w:color="auto"/>
              <w:left w:val="single" w:sz="4" w:space="0" w:color="auto"/>
              <w:bottom w:val="nil"/>
              <w:right w:val="nil"/>
            </w:tcBorders>
            <w:shd w:val="clear" w:color="auto" w:fill="auto"/>
            <w:noWrap/>
            <w:vAlign w:val="center"/>
            <w:hideMark/>
          </w:tcPr>
          <w:p w14:paraId="1EE259FB" w14:textId="77777777" w:rsidR="00387142" w:rsidRPr="008B6A75" w:rsidRDefault="00387142" w:rsidP="00387142">
            <w:pPr>
              <w:jc w:val="center"/>
              <w:rPr>
                <w:bCs/>
                <w:sz w:val="20"/>
                <w:szCs w:val="20"/>
              </w:rPr>
            </w:pPr>
            <w:r w:rsidRPr="008B6A75">
              <w:rPr>
                <w:bCs/>
                <w:sz w:val="20"/>
                <w:szCs w:val="20"/>
              </w:rPr>
              <w:t>04</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6CA2A7AE" w14:textId="77777777" w:rsidR="00387142" w:rsidRPr="008B6A75" w:rsidRDefault="00387142" w:rsidP="00387142">
            <w:pPr>
              <w:jc w:val="center"/>
              <w:rPr>
                <w:bCs/>
                <w:sz w:val="20"/>
                <w:szCs w:val="20"/>
              </w:rPr>
            </w:pPr>
            <w:r w:rsidRPr="008B6A75">
              <w:rPr>
                <w:bCs/>
                <w:sz w:val="20"/>
                <w:szCs w:val="20"/>
              </w:rPr>
              <w:t>10</w:t>
            </w:r>
          </w:p>
        </w:tc>
        <w:tc>
          <w:tcPr>
            <w:tcW w:w="1411" w:type="dxa"/>
            <w:tcBorders>
              <w:top w:val="single" w:sz="4" w:space="0" w:color="auto"/>
              <w:left w:val="single" w:sz="4" w:space="0" w:color="auto"/>
              <w:bottom w:val="nil"/>
              <w:right w:val="nil"/>
            </w:tcBorders>
            <w:shd w:val="clear" w:color="auto" w:fill="auto"/>
            <w:noWrap/>
            <w:vAlign w:val="center"/>
            <w:hideMark/>
          </w:tcPr>
          <w:p w14:paraId="3707B293" w14:textId="77777777" w:rsidR="00387142" w:rsidRPr="008B6A75" w:rsidRDefault="00387142" w:rsidP="00387142">
            <w:pPr>
              <w:jc w:val="center"/>
              <w:rPr>
                <w:bCs/>
                <w:sz w:val="20"/>
                <w:szCs w:val="20"/>
              </w:rPr>
            </w:pPr>
            <w:r w:rsidRPr="008B6A75">
              <w:rPr>
                <w:bCs/>
                <w:sz w:val="20"/>
                <w:szCs w:val="20"/>
              </w:rPr>
              <w:t>99.0.D2.70570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3D5A8EB0" w14:textId="77777777" w:rsidR="00387142" w:rsidRPr="008B6A75" w:rsidRDefault="00387142" w:rsidP="00387142">
            <w:pPr>
              <w:jc w:val="center"/>
              <w:rPr>
                <w:bCs/>
                <w:sz w:val="20"/>
                <w:szCs w:val="20"/>
              </w:rPr>
            </w:pPr>
            <w:r w:rsidRPr="008B6A75">
              <w:rPr>
                <w:bCs/>
                <w:sz w:val="20"/>
                <w:szCs w:val="20"/>
              </w:rPr>
              <w:t> </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5620D53F" w14:textId="77777777" w:rsidR="00387142" w:rsidRPr="008B6A75" w:rsidRDefault="00387142" w:rsidP="00387142">
            <w:pPr>
              <w:jc w:val="right"/>
              <w:rPr>
                <w:bCs/>
                <w:sz w:val="20"/>
                <w:szCs w:val="20"/>
              </w:rPr>
            </w:pPr>
            <w:r w:rsidRPr="008B6A75">
              <w:rPr>
                <w:bCs/>
                <w:sz w:val="20"/>
                <w:szCs w:val="20"/>
              </w:rPr>
              <w:t>0,00</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44A1AD86" w14:textId="77777777" w:rsidR="00387142" w:rsidRPr="008B6A75" w:rsidRDefault="00387142" w:rsidP="00387142">
            <w:pPr>
              <w:jc w:val="right"/>
              <w:rPr>
                <w:bCs/>
                <w:sz w:val="20"/>
                <w:szCs w:val="20"/>
              </w:rPr>
            </w:pPr>
            <w:r w:rsidRPr="008B6A75">
              <w:rPr>
                <w:bCs/>
                <w:sz w:val="20"/>
                <w:szCs w:val="20"/>
              </w:rPr>
              <w:t>4 210 526,32</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098ACD24" w14:textId="77777777" w:rsidR="00387142" w:rsidRPr="008B6A75" w:rsidRDefault="00387142" w:rsidP="00387142">
            <w:pPr>
              <w:jc w:val="right"/>
              <w:rPr>
                <w:bCs/>
                <w:sz w:val="20"/>
                <w:szCs w:val="20"/>
              </w:rPr>
            </w:pPr>
            <w:r w:rsidRPr="008B6A75">
              <w:rPr>
                <w:bCs/>
                <w:sz w:val="20"/>
                <w:szCs w:val="20"/>
              </w:rPr>
              <w:t>0,00</w:t>
            </w:r>
          </w:p>
        </w:tc>
        <w:tc>
          <w:tcPr>
            <w:tcW w:w="222" w:type="dxa"/>
            <w:vAlign w:val="center"/>
            <w:hideMark/>
          </w:tcPr>
          <w:p w14:paraId="2CECA14A" w14:textId="77777777" w:rsidR="00387142" w:rsidRPr="008B6A75" w:rsidRDefault="00387142" w:rsidP="00387142">
            <w:pPr>
              <w:rPr>
                <w:sz w:val="20"/>
                <w:szCs w:val="20"/>
              </w:rPr>
            </w:pPr>
          </w:p>
        </w:tc>
      </w:tr>
      <w:tr w:rsidR="00387142" w:rsidRPr="008B6A75" w14:paraId="7EF32A4E" w14:textId="77777777" w:rsidTr="00387142">
        <w:trPr>
          <w:trHeight w:val="585"/>
        </w:trPr>
        <w:tc>
          <w:tcPr>
            <w:tcW w:w="3021" w:type="dxa"/>
            <w:tcBorders>
              <w:top w:val="single" w:sz="4" w:space="0" w:color="auto"/>
              <w:left w:val="single" w:sz="4" w:space="0" w:color="auto"/>
              <w:bottom w:val="nil"/>
              <w:right w:val="nil"/>
            </w:tcBorders>
            <w:shd w:val="clear" w:color="auto" w:fill="auto"/>
            <w:vAlign w:val="center"/>
            <w:hideMark/>
          </w:tcPr>
          <w:p w14:paraId="17BD8868" w14:textId="77777777" w:rsidR="00387142" w:rsidRPr="008B6A75" w:rsidRDefault="00387142" w:rsidP="00387142">
            <w:pPr>
              <w:rPr>
                <w:sz w:val="20"/>
                <w:szCs w:val="20"/>
              </w:rPr>
            </w:pPr>
            <w:r w:rsidRPr="008B6A75">
              <w:rPr>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nil"/>
              <w:right w:val="nil"/>
            </w:tcBorders>
            <w:shd w:val="clear" w:color="auto" w:fill="auto"/>
            <w:noWrap/>
            <w:vAlign w:val="center"/>
            <w:hideMark/>
          </w:tcPr>
          <w:p w14:paraId="5D26CDF4" w14:textId="77777777" w:rsidR="00387142" w:rsidRPr="008B6A75" w:rsidRDefault="00387142" w:rsidP="00387142">
            <w:pPr>
              <w:jc w:val="center"/>
              <w:rPr>
                <w:sz w:val="20"/>
                <w:szCs w:val="20"/>
              </w:rPr>
            </w:pPr>
            <w:r w:rsidRPr="008B6A75">
              <w:rPr>
                <w:sz w:val="20"/>
                <w:szCs w:val="20"/>
              </w:rPr>
              <w:t>444</w:t>
            </w:r>
          </w:p>
        </w:tc>
        <w:tc>
          <w:tcPr>
            <w:tcW w:w="709" w:type="dxa"/>
            <w:tcBorders>
              <w:top w:val="single" w:sz="4" w:space="0" w:color="auto"/>
              <w:left w:val="single" w:sz="4" w:space="0" w:color="auto"/>
              <w:bottom w:val="nil"/>
              <w:right w:val="nil"/>
            </w:tcBorders>
            <w:shd w:val="clear" w:color="auto" w:fill="auto"/>
            <w:noWrap/>
            <w:vAlign w:val="center"/>
            <w:hideMark/>
          </w:tcPr>
          <w:p w14:paraId="34B7F11E" w14:textId="77777777" w:rsidR="00387142" w:rsidRPr="008B6A75" w:rsidRDefault="00387142" w:rsidP="00387142">
            <w:pPr>
              <w:jc w:val="center"/>
              <w:rPr>
                <w:sz w:val="20"/>
                <w:szCs w:val="20"/>
              </w:rPr>
            </w:pPr>
            <w:r w:rsidRPr="008B6A75">
              <w:rPr>
                <w:sz w:val="20"/>
                <w:szCs w:val="20"/>
              </w:rPr>
              <w:t>04</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0FA9DFD2" w14:textId="77777777" w:rsidR="00387142" w:rsidRPr="008B6A75" w:rsidRDefault="00387142" w:rsidP="00387142">
            <w:pPr>
              <w:jc w:val="center"/>
              <w:rPr>
                <w:sz w:val="20"/>
                <w:szCs w:val="20"/>
              </w:rPr>
            </w:pPr>
            <w:r w:rsidRPr="008B6A75">
              <w:rPr>
                <w:sz w:val="20"/>
                <w:szCs w:val="20"/>
              </w:rPr>
              <w:t>10</w:t>
            </w:r>
          </w:p>
        </w:tc>
        <w:tc>
          <w:tcPr>
            <w:tcW w:w="1411" w:type="dxa"/>
            <w:tcBorders>
              <w:top w:val="single" w:sz="4" w:space="0" w:color="auto"/>
              <w:left w:val="single" w:sz="4" w:space="0" w:color="auto"/>
              <w:bottom w:val="nil"/>
              <w:right w:val="nil"/>
            </w:tcBorders>
            <w:shd w:val="clear" w:color="auto" w:fill="auto"/>
            <w:noWrap/>
            <w:vAlign w:val="center"/>
            <w:hideMark/>
          </w:tcPr>
          <w:p w14:paraId="02FC3F8E" w14:textId="77777777" w:rsidR="00387142" w:rsidRPr="008B6A75" w:rsidRDefault="00387142" w:rsidP="00387142">
            <w:pPr>
              <w:jc w:val="center"/>
              <w:rPr>
                <w:sz w:val="20"/>
                <w:szCs w:val="20"/>
              </w:rPr>
            </w:pPr>
            <w:r w:rsidRPr="008B6A75">
              <w:rPr>
                <w:sz w:val="20"/>
                <w:szCs w:val="20"/>
              </w:rPr>
              <w:t>99.0.D2.70570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221EC9E8" w14:textId="77777777" w:rsidR="00387142" w:rsidRPr="008B6A75" w:rsidRDefault="00387142" w:rsidP="00387142">
            <w:pPr>
              <w:jc w:val="center"/>
              <w:rPr>
                <w:sz w:val="20"/>
                <w:szCs w:val="20"/>
              </w:rPr>
            </w:pPr>
            <w:r w:rsidRPr="008B6A75">
              <w:rPr>
                <w:sz w:val="20"/>
                <w:szCs w:val="20"/>
              </w:rPr>
              <w:t>200</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1234A047" w14:textId="77777777" w:rsidR="00387142" w:rsidRPr="008B6A75" w:rsidRDefault="00387142" w:rsidP="00387142">
            <w:pPr>
              <w:jc w:val="right"/>
              <w:rPr>
                <w:sz w:val="20"/>
                <w:szCs w:val="20"/>
              </w:rPr>
            </w:pPr>
            <w:r w:rsidRPr="008B6A75">
              <w:rPr>
                <w:sz w:val="20"/>
                <w:szCs w:val="20"/>
              </w:rPr>
              <w:t>0,00</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07F589DB" w14:textId="77777777" w:rsidR="00387142" w:rsidRPr="008B6A75" w:rsidRDefault="00387142" w:rsidP="00387142">
            <w:pPr>
              <w:jc w:val="right"/>
              <w:rPr>
                <w:sz w:val="20"/>
                <w:szCs w:val="20"/>
              </w:rPr>
            </w:pPr>
            <w:r w:rsidRPr="008B6A75">
              <w:rPr>
                <w:sz w:val="20"/>
                <w:szCs w:val="20"/>
              </w:rPr>
              <w:t>4 210 526,32</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71B643AA" w14:textId="77777777" w:rsidR="00387142" w:rsidRPr="008B6A75" w:rsidRDefault="00387142" w:rsidP="00387142">
            <w:pPr>
              <w:jc w:val="right"/>
              <w:rPr>
                <w:sz w:val="20"/>
                <w:szCs w:val="20"/>
              </w:rPr>
            </w:pPr>
            <w:r w:rsidRPr="008B6A75">
              <w:rPr>
                <w:sz w:val="20"/>
                <w:szCs w:val="20"/>
              </w:rPr>
              <w:t>0,00</w:t>
            </w:r>
          </w:p>
        </w:tc>
        <w:tc>
          <w:tcPr>
            <w:tcW w:w="222" w:type="dxa"/>
            <w:vAlign w:val="center"/>
            <w:hideMark/>
          </w:tcPr>
          <w:p w14:paraId="784EB7EE" w14:textId="77777777" w:rsidR="00387142" w:rsidRPr="008B6A75" w:rsidRDefault="00387142" w:rsidP="00387142">
            <w:pPr>
              <w:rPr>
                <w:sz w:val="20"/>
                <w:szCs w:val="20"/>
              </w:rPr>
            </w:pPr>
          </w:p>
        </w:tc>
      </w:tr>
      <w:tr w:rsidR="00387142" w:rsidRPr="008B6A75" w14:paraId="66FC9A12" w14:textId="77777777" w:rsidTr="00387142">
        <w:trPr>
          <w:trHeight w:val="870"/>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51AAF47C" w14:textId="77777777" w:rsidR="00387142" w:rsidRPr="008B6A75" w:rsidRDefault="00387142" w:rsidP="00387142">
            <w:pPr>
              <w:rPr>
                <w:sz w:val="20"/>
                <w:szCs w:val="20"/>
              </w:rPr>
            </w:pPr>
            <w:r w:rsidRPr="008B6A75">
              <w:rPr>
                <w:sz w:val="20"/>
                <w:szCs w:val="20"/>
              </w:rPr>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26722685" w14:textId="77777777" w:rsidR="00387142" w:rsidRPr="008B6A75" w:rsidRDefault="00387142" w:rsidP="00387142">
            <w:pPr>
              <w:jc w:val="center"/>
              <w:rPr>
                <w:sz w:val="20"/>
                <w:szCs w:val="20"/>
              </w:rPr>
            </w:pPr>
            <w:r w:rsidRPr="008B6A75">
              <w:rPr>
                <w:sz w:val="20"/>
                <w:szCs w:val="20"/>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043C7E42" w14:textId="77777777" w:rsidR="00387142" w:rsidRPr="008B6A75" w:rsidRDefault="00387142" w:rsidP="00387142">
            <w:pPr>
              <w:jc w:val="center"/>
              <w:rPr>
                <w:sz w:val="20"/>
                <w:szCs w:val="20"/>
              </w:rPr>
            </w:pPr>
            <w:r w:rsidRPr="008B6A75">
              <w:rPr>
                <w:sz w:val="20"/>
                <w:szCs w:val="20"/>
              </w:rPr>
              <w:t>04</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C45776" w14:textId="77777777" w:rsidR="00387142" w:rsidRPr="008B6A75" w:rsidRDefault="00387142" w:rsidP="00387142">
            <w:pPr>
              <w:jc w:val="center"/>
              <w:rPr>
                <w:sz w:val="20"/>
                <w:szCs w:val="20"/>
              </w:rPr>
            </w:pPr>
            <w:r w:rsidRPr="008B6A75">
              <w:rPr>
                <w:sz w:val="20"/>
                <w:szCs w:val="20"/>
              </w:rPr>
              <w:t>10</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4A5C0729" w14:textId="77777777" w:rsidR="00387142" w:rsidRPr="008B6A75" w:rsidRDefault="00387142" w:rsidP="00387142">
            <w:pPr>
              <w:jc w:val="center"/>
              <w:rPr>
                <w:sz w:val="20"/>
                <w:szCs w:val="20"/>
              </w:rPr>
            </w:pPr>
            <w:r w:rsidRPr="008B6A75">
              <w:rPr>
                <w:sz w:val="20"/>
                <w:szCs w:val="20"/>
              </w:rPr>
              <w:t>99.0.D2.70570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8B79B3" w14:textId="77777777" w:rsidR="00387142" w:rsidRPr="008B6A75" w:rsidRDefault="00387142" w:rsidP="00387142">
            <w:pPr>
              <w:jc w:val="center"/>
              <w:rPr>
                <w:sz w:val="20"/>
                <w:szCs w:val="20"/>
              </w:rPr>
            </w:pPr>
            <w:r w:rsidRPr="008B6A75">
              <w:rPr>
                <w:sz w:val="20"/>
                <w:szCs w:val="20"/>
              </w:rPr>
              <w:t>240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C89EA5" w14:textId="77777777" w:rsidR="00387142" w:rsidRPr="008B6A75" w:rsidRDefault="00387142" w:rsidP="00387142">
            <w:pPr>
              <w:jc w:val="right"/>
              <w:rPr>
                <w:sz w:val="20"/>
                <w:szCs w:val="20"/>
              </w:rPr>
            </w:pPr>
            <w:r w:rsidRPr="008B6A75">
              <w:rPr>
                <w:sz w:val="20"/>
                <w:szCs w:val="20"/>
              </w:rPr>
              <w:t>0,00</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477AF8E2" w14:textId="77777777" w:rsidR="00387142" w:rsidRPr="008B6A75" w:rsidRDefault="00387142" w:rsidP="00387142">
            <w:pPr>
              <w:jc w:val="right"/>
              <w:rPr>
                <w:sz w:val="20"/>
                <w:szCs w:val="20"/>
              </w:rPr>
            </w:pPr>
            <w:r w:rsidRPr="008B6A75">
              <w:rPr>
                <w:sz w:val="20"/>
                <w:szCs w:val="20"/>
              </w:rPr>
              <w:t>4 210 526,32</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AAC0E1" w14:textId="77777777" w:rsidR="00387142" w:rsidRPr="008B6A75" w:rsidRDefault="00387142" w:rsidP="00387142">
            <w:pPr>
              <w:jc w:val="right"/>
              <w:rPr>
                <w:sz w:val="20"/>
                <w:szCs w:val="20"/>
              </w:rPr>
            </w:pPr>
            <w:r w:rsidRPr="008B6A75">
              <w:rPr>
                <w:sz w:val="20"/>
                <w:szCs w:val="20"/>
              </w:rPr>
              <w:t>0,00</w:t>
            </w:r>
          </w:p>
        </w:tc>
        <w:tc>
          <w:tcPr>
            <w:tcW w:w="222" w:type="dxa"/>
            <w:vAlign w:val="center"/>
            <w:hideMark/>
          </w:tcPr>
          <w:p w14:paraId="58B65C37" w14:textId="77777777" w:rsidR="00387142" w:rsidRPr="008B6A75" w:rsidRDefault="00387142" w:rsidP="00387142">
            <w:pPr>
              <w:rPr>
                <w:sz w:val="20"/>
                <w:szCs w:val="20"/>
              </w:rPr>
            </w:pPr>
          </w:p>
        </w:tc>
      </w:tr>
      <w:tr w:rsidR="00387142" w:rsidRPr="008B6A75" w14:paraId="7D8E1D80" w14:textId="77777777" w:rsidTr="00387142">
        <w:trPr>
          <w:trHeight w:val="585"/>
        </w:trPr>
        <w:tc>
          <w:tcPr>
            <w:tcW w:w="3021" w:type="dxa"/>
            <w:tcBorders>
              <w:top w:val="nil"/>
              <w:left w:val="single" w:sz="4" w:space="0" w:color="auto"/>
              <w:bottom w:val="nil"/>
              <w:right w:val="nil"/>
            </w:tcBorders>
            <w:shd w:val="clear" w:color="auto" w:fill="auto"/>
            <w:vAlign w:val="center"/>
            <w:hideMark/>
          </w:tcPr>
          <w:p w14:paraId="03AF9A8E" w14:textId="77777777" w:rsidR="00387142" w:rsidRPr="008B6A75" w:rsidRDefault="00387142" w:rsidP="00387142">
            <w:pPr>
              <w:rPr>
                <w:bCs/>
                <w:sz w:val="20"/>
                <w:szCs w:val="20"/>
              </w:rPr>
            </w:pPr>
            <w:r w:rsidRPr="008B6A75">
              <w:rPr>
                <w:bCs/>
                <w:sz w:val="20"/>
                <w:szCs w:val="20"/>
              </w:rPr>
              <w:t>Другие вопросы в области национальной экономики</w:t>
            </w:r>
          </w:p>
        </w:tc>
        <w:tc>
          <w:tcPr>
            <w:tcW w:w="850" w:type="dxa"/>
            <w:tcBorders>
              <w:top w:val="nil"/>
              <w:left w:val="single" w:sz="4" w:space="0" w:color="auto"/>
              <w:bottom w:val="nil"/>
              <w:right w:val="nil"/>
            </w:tcBorders>
            <w:shd w:val="clear" w:color="auto" w:fill="auto"/>
            <w:noWrap/>
            <w:vAlign w:val="center"/>
            <w:hideMark/>
          </w:tcPr>
          <w:p w14:paraId="02C8F04A" w14:textId="77777777" w:rsidR="00387142" w:rsidRPr="008B6A75" w:rsidRDefault="00387142" w:rsidP="00387142">
            <w:pPr>
              <w:jc w:val="center"/>
              <w:rPr>
                <w:bCs/>
                <w:sz w:val="20"/>
                <w:szCs w:val="20"/>
              </w:rPr>
            </w:pPr>
            <w:r w:rsidRPr="008B6A75">
              <w:rPr>
                <w:bCs/>
                <w:sz w:val="20"/>
                <w:szCs w:val="20"/>
              </w:rPr>
              <w:t>444</w:t>
            </w:r>
          </w:p>
        </w:tc>
        <w:tc>
          <w:tcPr>
            <w:tcW w:w="709" w:type="dxa"/>
            <w:tcBorders>
              <w:top w:val="nil"/>
              <w:left w:val="single" w:sz="4" w:space="0" w:color="auto"/>
              <w:bottom w:val="nil"/>
              <w:right w:val="nil"/>
            </w:tcBorders>
            <w:shd w:val="clear" w:color="auto" w:fill="auto"/>
            <w:noWrap/>
            <w:vAlign w:val="center"/>
            <w:hideMark/>
          </w:tcPr>
          <w:p w14:paraId="71B6EAEC" w14:textId="77777777" w:rsidR="00387142" w:rsidRPr="008B6A75" w:rsidRDefault="00387142" w:rsidP="00387142">
            <w:pPr>
              <w:jc w:val="center"/>
              <w:rPr>
                <w:bCs/>
                <w:sz w:val="20"/>
                <w:szCs w:val="20"/>
              </w:rPr>
            </w:pPr>
            <w:r w:rsidRPr="008B6A75">
              <w:rPr>
                <w:bCs/>
                <w:sz w:val="20"/>
                <w:szCs w:val="20"/>
              </w:rPr>
              <w:t>04</w:t>
            </w:r>
          </w:p>
        </w:tc>
        <w:tc>
          <w:tcPr>
            <w:tcW w:w="709" w:type="dxa"/>
            <w:tcBorders>
              <w:top w:val="nil"/>
              <w:left w:val="single" w:sz="4" w:space="0" w:color="auto"/>
              <w:bottom w:val="nil"/>
              <w:right w:val="single" w:sz="4" w:space="0" w:color="auto"/>
            </w:tcBorders>
            <w:shd w:val="clear" w:color="auto" w:fill="auto"/>
            <w:noWrap/>
            <w:vAlign w:val="center"/>
            <w:hideMark/>
          </w:tcPr>
          <w:p w14:paraId="115F47BE" w14:textId="77777777" w:rsidR="00387142" w:rsidRPr="008B6A75" w:rsidRDefault="00387142" w:rsidP="00387142">
            <w:pPr>
              <w:jc w:val="center"/>
              <w:rPr>
                <w:bCs/>
                <w:sz w:val="20"/>
                <w:szCs w:val="20"/>
              </w:rPr>
            </w:pPr>
            <w:r w:rsidRPr="008B6A75">
              <w:rPr>
                <w:bCs/>
                <w:sz w:val="20"/>
                <w:szCs w:val="20"/>
              </w:rPr>
              <w:t>12</w:t>
            </w:r>
          </w:p>
        </w:tc>
        <w:tc>
          <w:tcPr>
            <w:tcW w:w="1411" w:type="dxa"/>
            <w:tcBorders>
              <w:top w:val="nil"/>
              <w:left w:val="single" w:sz="4" w:space="0" w:color="auto"/>
              <w:bottom w:val="nil"/>
              <w:right w:val="nil"/>
            </w:tcBorders>
            <w:shd w:val="clear" w:color="auto" w:fill="auto"/>
            <w:noWrap/>
            <w:vAlign w:val="center"/>
            <w:hideMark/>
          </w:tcPr>
          <w:p w14:paraId="0F4FECB6" w14:textId="77777777" w:rsidR="00387142" w:rsidRPr="008B6A75" w:rsidRDefault="00387142" w:rsidP="00387142">
            <w:pPr>
              <w:jc w:val="center"/>
              <w:rPr>
                <w:bCs/>
                <w:sz w:val="20"/>
                <w:szCs w:val="20"/>
              </w:rPr>
            </w:pPr>
            <w:r w:rsidRPr="008B6A75">
              <w:rPr>
                <w:bCs/>
                <w:sz w:val="20"/>
                <w:szCs w:val="20"/>
              </w:rPr>
              <w:t> </w:t>
            </w:r>
          </w:p>
        </w:tc>
        <w:tc>
          <w:tcPr>
            <w:tcW w:w="955" w:type="dxa"/>
            <w:tcBorders>
              <w:top w:val="nil"/>
              <w:left w:val="single" w:sz="4" w:space="0" w:color="auto"/>
              <w:bottom w:val="nil"/>
              <w:right w:val="single" w:sz="4" w:space="0" w:color="auto"/>
            </w:tcBorders>
            <w:shd w:val="clear" w:color="auto" w:fill="auto"/>
            <w:noWrap/>
            <w:vAlign w:val="center"/>
            <w:hideMark/>
          </w:tcPr>
          <w:p w14:paraId="0838CDCC"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nil"/>
              <w:right w:val="single" w:sz="4" w:space="0" w:color="auto"/>
            </w:tcBorders>
            <w:shd w:val="clear" w:color="auto" w:fill="auto"/>
            <w:noWrap/>
            <w:vAlign w:val="center"/>
            <w:hideMark/>
          </w:tcPr>
          <w:p w14:paraId="063BD01F" w14:textId="77777777" w:rsidR="00387142" w:rsidRPr="008B6A75" w:rsidRDefault="00387142" w:rsidP="00387142">
            <w:pPr>
              <w:jc w:val="right"/>
              <w:rPr>
                <w:bCs/>
                <w:sz w:val="20"/>
                <w:szCs w:val="20"/>
              </w:rPr>
            </w:pPr>
            <w:r w:rsidRPr="008B6A75">
              <w:rPr>
                <w:bCs/>
                <w:sz w:val="20"/>
                <w:szCs w:val="20"/>
              </w:rPr>
              <w:t>1 904 200,00</w:t>
            </w:r>
          </w:p>
        </w:tc>
        <w:tc>
          <w:tcPr>
            <w:tcW w:w="992" w:type="dxa"/>
            <w:gridSpan w:val="2"/>
            <w:tcBorders>
              <w:top w:val="nil"/>
              <w:left w:val="single" w:sz="4" w:space="0" w:color="auto"/>
              <w:bottom w:val="nil"/>
              <w:right w:val="nil"/>
            </w:tcBorders>
            <w:shd w:val="clear" w:color="auto" w:fill="auto"/>
            <w:noWrap/>
            <w:vAlign w:val="center"/>
            <w:hideMark/>
          </w:tcPr>
          <w:p w14:paraId="3FABF3E7" w14:textId="77777777" w:rsidR="00387142" w:rsidRPr="008B6A75" w:rsidRDefault="00387142" w:rsidP="00387142">
            <w:pPr>
              <w:jc w:val="right"/>
              <w:rPr>
                <w:bCs/>
                <w:sz w:val="20"/>
                <w:szCs w:val="20"/>
              </w:rPr>
            </w:pPr>
            <w:r w:rsidRPr="008B6A75">
              <w:rPr>
                <w:bCs/>
                <w:sz w:val="20"/>
                <w:szCs w:val="20"/>
              </w:rPr>
              <w:t>204 200,00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42B8B910" w14:textId="77777777" w:rsidR="00387142" w:rsidRPr="008B6A75" w:rsidRDefault="00387142" w:rsidP="00387142">
            <w:pPr>
              <w:jc w:val="right"/>
              <w:rPr>
                <w:bCs/>
                <w:sz w:val="20"/>
                <w:szCs w:val="20"/>
              </w:rPr>
            </w:pPr>
            <w:r w:rsidRPr="008B6A75">
              <w:rPr>
                <w:bCs/>
                <w:sz w:val="20"/>
                <w:szCs w:val="20"/>
              </w:rPr>
              <w:t>204 200,00</w:t>
            </w:r>
          </w:p>
        </w:tc>
        <w:tc>
          <w:tcPr>
            <w:tcW w:w="222" w:type="dxa"/>
            <w:vAlign w:val="center"/>
            <w:hideMark/>
          </w:tcPr>
          <w:p w14:paraId="43A073FA" w14:textId="77777777" w:rsidR="00387142" w:rsidRPr="008B6A75" w:rsidRDefault="00387142" w:rsidP="00387142">
            <w:pPr>
              <w:rPr>
                <w:sz w:val="20"/>
                <w:szCs w:val="20"/>
              </w:rPr>
            </w:pPr>
          </w:p>
        </w:tc>
      </w:tr>
      <w:tr w:rsidR="00387142" w:rsidRPr="008B6A75" w14:paraId="5D8BA774" w14:textId="77777777" w:rsidTr="00387142">
        <w:trPr>
          <w:trHeight w:val="1155"/>
        </w:trPr>
        <w:tc>
          <w:tcPr>
            <w:tcW w:w="3021" w:type="dxa"/>
            <w:tcBorders>
              <w:top w:val="single" w:sz="4" w:space="0" w:color="auto"/>
              <w:left w:val="single" w:sz="4" w:space="0" w:color="auto"/>
              <w:bottom w:val="nil"/>
              <w:right w:val="nil"/>
            </w:tcBorders>
            <w:shd w:val="clear" w:color="auto" w:fill="auto"/>
            <w:vAlign w:val="center"/>
            <w:hideMark/>
          </w:tcPr>
          <w:p w14:paraId="500EB5FA" w14:textId="77777777" w:rsidR="00387142" w:rsidRPr="008B6A75" w:rsidRDefault="00387142" w:rsidP="00387142">
            <w:pPr>
              <w:rPr>
                <w:bCs/>
                <w:sz w:val="20"/>
                <w:szCs w:val="20"/>
              </w:rPr>
            </w:pPr>
            <w:r w:rsidRPr="008B6A75">
              <w:rPr>
                <w:bCs/>
                <w:sz w:val="20"/>
                <w:szCs w:val="20"/>
              </w:rPr>
              <w:t>Муниципальная программа "Развитие и поддержка малого и среднего предпринимательства в Куйбышевском районе"</w:t>
            </w:r>
          </w:p>
        </w:tc>
        <w:tc>
          <w:tcPr>
            <w:tcW w:w="850" w:type="dxa"/>
            <w:tcBorders>
              <w:top w:val="single" w:sz="4" w:space="0" w:color="auto"/>
              <w:left w:val="single" w:sz="4" w:space="0" w:color="auto"/>
              <w:bottom w:val="nil"/>
              <w:right w:val="nil"/>
            </w:tcBorders>
            <w:shd w:val="clear" w:color="auto" w:fill="auto"/>
            <w:noWrap/>
            <w:vAlign w:val="center"/>
            <w:hideMark/>
          </w:tcPr>
          <w:p w14:paraId="5F682909" w14:textId="77777777" w:rsidR="00387142" w:rsidRPr="008B6A75" w:rsidRDefault="00387142" w:rsidP="00387142">
            <w:pPr>
              <w:jc w:val="center"/>
              <w:rPr>
                <w:bCs/>
                <w:sz w:val="20"/>
                <w:szCs w:val="20"/>
              </w:rPr>
            </w:pPr>
            <w:r w:rsidRPr="008B6A75">
              <w:rPr>
                <w:bCs/>
                <w:sz w:val="20"/>
                <w:szCs w:val="20"/>
              </w:rPr>
              <w:t>444</w:t>
            </w:r>
          </w:p>
        </w:tc>
        <w:tc>
          <w:tcPr>
            <w:tcW w:w="709" w:type="dxa"/>
            <w:tcBorders>
              <w:top w:val="single" w:sz="4" w:space="0" w:color="auto"/>
              <w:left w:val="single" w:sz="4" w:space="0" w:color="auto"/>
              <w:bottom w:val="nil"/>
              <w:right w:val="nil"/>
            </w:tcBorders>
            <w:shd w:val="clear" w:color="auto" w:fill="auto"/>
            <w:noWrap/>
            <w:vAlign w:val="center"/>
            <w:hideMark/>
          </w:tcPr>
          <w:p w14:paraId="39FB29B8" w14:textId="77777777" w:rsidR="00387142" w:rsidRPr="008B6A75" w:rsidRDefault="00387142" w:rsidP="00387142">
            <w:pPr>
              <w:jc w:val="center"/>
              <w:rPr>
                <w:bCs/>
                <w:sz w:val="20"/>
                <w:szCs w:val="20"/>
              </w:rPr>
            </w:pPr>
            <w:r w:rsidRPr="008B6A75">
              <w:rPr>
                <w:bCs/>
                <w:sz w:val="20"/>
                <w:szCs w:val="20"/>
              </w:rPr>
              <w:t>04</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737C3D73" w14:textId="77777777" w:rsidR="00387142" w:rsidRPr="008B6A75" w:rsidRDefault="00387142" w:rsidP="00387142">
            <w:pPr>
              <w:jc w:val="center"/>
              <w:rPr>
                <w:bCs/>
                <w:sz w:val="20"/>
                <w:szCs w:val="20"/>
              </w:rPr>
            </w:pPr>
            <w:r w:rsidRPr="008B6A75">
              <w:rPr>
                <w:bCs/>
                <w:sz w:val="20"/>
                <w:szCs w:val="20"/>
              </w:rPr>
              <w:t>12</w:t>
            </w:r>
          </w:p>
        </w:tc>
        <w:tc>
          <w:tcPr>
            <w:tcW w:w="1411" w:type="dxa"/>
            <w:tcBorders>
              <w:top w:val="single" w:sz="4" w:space="0" w:color="auto"/>
              <w:left w:val="single" w:sz="4" w:space="0" w:color="auto"/>
              <w:bottom w:val="nil"/>
              <w:right w:val="nil"/>
            </w:tcBorders>
            <w:shd w:val="clear" w:color="auto" w:fill="auto"/>
            <w:noWrap/>
            <w:vAlign w:val="center"/>
            <w:hideMark/>
          </w:tcPr>
          <w:p w14:paraId="004E5B2B" w14:textId="77777777" w:rsidR="00387142" w:rsidRPr="008B6A75" w:rsidRDefault="00387142" w:rsidP="00387142">
            <w:pPr>
              <w:jc w:val="center"/>
              <w:rPr>
                <w:bCs/>
                <w:sz w:val="20"/>
                <w:szCs w:val="20"/>
              </w:rPr>
            </w:pPr>
            <w:r w:rsidRPr="008B6A75">
              <w:rPr>
                <w:bCs/>
                <w:sz w:val="20"/>
                <w:szCs w:val="20"/>
              </w:rPr>
              <w:t>02.0.00.00000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590C33CC" w14:textId="77777777" w:rsidR="00387142" w:rsidRPr="008B6A75" w:rsidRDefault="00387142" w:rsidP="00387142">
            <w:pPr>
              <w:jc w:val="center"/>
              <w:rPr>
                <w:bCs/>
                <w:sz w:val="20"/>
                <w:szCs w:val="20"/>
              </w:rPr>
            </w:pPr>
            <w:r w:rsidRPr="008B6A75">
              <w:rPr>
                <w:bCs/>
                <w:sz w:val="20"/>
                <w:szCs w:val="20"/>
              </w:rPr>
              <w:t> </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442BF546" w14:textId="77777777" w:rsidR="00387142" w:rsidRPr="008B6A75" w:rsidRDefault="00387142" w:rsidP="00387142">
            <w:pPr>
              <w:jc w:val="right"/>
              <w:rPr>
                <w:bCs/>
                <w:sz w:val="20"/>
                <w:szCs w:val="20"/>
              </w:rPr>
            </w:pPr>
            <w:r w:rsidRPr="008B6A75">
              <w:rPr>
                <w:bCs/>
                <w:sz w:val="20"/>
                <w:szCs w:val="20"/>
              </w:rPr>
              <w:t>1 904 200,00</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656D5053" w14:textId="77777777" w:rsidR="00387142" w:rsidRPr="008B6A75" w:rsidRDefault="00387142" w:rsidP="00387142">
            <w:pPr>
              <w:jc w:val="right"/>
              <w:rPr>
                <w:bCs/>
                <w:sz w:val="20"/>
                <w:szCs w:val="20"/>
              </w:rPr>
            </w:pPr>
            <w:r w:rsidRPr="008B6A75">
              <w:rPr>
                <w:bCs/>
                <w:sz w:val="20"/>
                <w:szCs w:val="20"/>
              </w:rPr>
              <w:t>204 200,00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2DAF6E73" w14:textId="77777777" w:rsidR="00387142" w:rsidRPr="008B6A75" w:rsidRDefault="00387142" w:rsidP="00387142">
            <w:pPr>
              <w:jc w:val="right"/>
              <w:rPr>
                <w:bCs/>
                <w:sz w:val="20"/>
                <w:szCs w:val="20"/>
              </w:rPr>
            </w:pPr>
            <w:r w:rsidRPr="008B6A75">
              <w:rPr>
                <w:bCs/>
                <w:sz w:val="20"/>
                <w:szCs w:val="20"/>
              </w:rPr>
              <w:t>204 200,00</w:t>
            </w:r>
          </w:p>
        </w:tc>
        <w:tc>
          <w:tcPr>
            <w:tcW w:w="222" w:type="dxa"/>
            <w:vAlign w:val="center"/>
            <w:hideMark/>
          </w:tcPr>
          <w:p w14:paraId="3E2CF3A4" w14:textId="77777777" w:rsidR="00387142" w:rsidRPr="008B6A75" w:rsidRDefault="00387142" w:rsidP="00387142">
            <w:pPr>
              <w:rPr>
                <w:sz w:val="20"/>
                <w:szCs w:val="20"/>
              </w:rPr>
            </w:pPr>
          </w:p>
        </w:tc>
      </w:tr>
      <w:tr w:rsidR="00387142" w:rsidRPr="008B6A75" w14:paraId="7A73F3ED" w14:textId="77777777" w:rsidTr="00387142">
        <w:trPr>
          <w:trHeight w:val="1155"/>
        </w:trPr>
        <w:tc>
          <w:tcPr>
            <w:tcW w:w="3021" w:type="dxa"/>
            <w:tcBorders>
              <w:top w:val="single" w:sz="4" w:space="0" w:color="auto"/>
              <w:left w:val="single" w:sz="4" w:space="0" w:color="auto"/>
              <w:bottom w:val="nil"/>
              <w:right w:val="nil"/>
            </w:tcBorders>
            <w:shd w:val="clear" w:color="auto" w:fill="auto"/>
            <w:vAlign w:val="center"/>
            <w:hideMark/>
          </w:tcPr>
          <w:p w14:paraId="51A3F4EA" w14:textId="77777777" w:rsidR="00387142" w:rsidRPr="008B6A75" w:rsidRDefault="00387142" w:rsidP="00387142">
            <w:pPr>
              <w:rPr>
                <w:bCs/>
                <w:sz w:val="20"/>
                <w:szCs w:val="20"/>
              </w:rPr>
            </w:pPr>
            <w:r w:rsidRPr="008B6A75">
              <w:rPr>
                <w:bCs/>
                <w:sz w:val="20"/>
                <w:szCs w:val="20"/>
              </w:rPr>
              <w:t>Реализация мероприятий в рамках МП "Развитие и поддержка малого и среднего предпринимательства в Куйбышевском районе"</w:t>
            </w:r>
          </w:p>
        </w:tc>
        <w:tc>
          <w:tcPr>
            <w:tcW w:w="850" w:type="dxa"/>
            <w:tcBorders>
              <w:top w:val="single" w:sz="4" w:space="0" w:color="auto"/>
              <w:left w:val="single" w:sz="4" w:space="0" w:color="auto"/>
              <w:bottom w:val="nil"/>
              <w:right w:val="nil"/>
            </w:tcBorders>
            <w:shd w:val="clear" w:color="auto" w:fill="auto"/>
            <w:noWrap/>
            <w:vAlign w:val="center"/>
            <w:hideMark/>
          </w:tcPr>
          <w:p w14:paraId="19F7A4CE" w14:textId="77777777" w:rsidR="00387142" w:rsidRPr="008B6A75" w:rsidRDefault="00387142" w:rsidP="00387142">
            <w:pPr>
              <w:jc w:val="center"/>
              <w:rPr>
                <w:bCs/>
                <w:sz w:val="20"/>
                <w:szCs w:val="20"/>
              </w:rPr>
            </w:pPr>
            <w:r w:rsidRPr="008B6A75">
              <w:rPr>
                <w:bCs/>
                <w:sz w:val="20"/>
                <w:szCs w:val="20"/>
              </w:rPr>
              <w:t>444</w:t>
            </w:r>
          </w:p>
        </w:tc>
        <w:tc>
          <w:tcPr>
            <w:tcW w:w="709" w:type="dxa"/>
            <w:tcBorders>
              <w:top w:val="single" w:sz="4" w:space="0" w:color="auto"/>
              <w:left w:val="single" w:sz="4" w:space="0" w:color="auto"/>
              <w:bottom w:val="nil"/>
              <w:right w:val="nil"/>
            </w:tcBorders>
            <w:shd w:val="clear" w:color="auto" w:fill="auto"/>
            <w:noWrap/>
            <w:vAlign w:val="center"/>
            <w:hideMark/>
          </w:tcPr>
          <w:p w14:paraId="4C7A269C" w14:textId="77777777" w:rsidR="00387142" w:rsidRPr="008B6A75" w:rsidRDefault="00387142" w:rsidP="00387142">
            <w:pPr>
              <w:jc w:val="center"/>
              <w:rPr>
                <w:bCs/>
                <w:sz w:val="20"/>
                <w:szCs w:val="20"/>
              </w:rPr>
            </w:pPr>
            <w:r w:rsidRPr="008B6A75">
              <w:rPr>
                <w:bCs/>
                <w:sz w:val="20"/>
                <w:szCs w:val="20"/>
              </w:rPr>
              <w:t>04</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05281C39" w14:textId="77777777" w:rsidR="00387142" w:rsidRPr="008B6A75" w:rsidRDefault="00387142" w:rsidP="00387142">
            <w:pPr>
              <w:jc w:val="center"/>
              <w:rPr>
                <w:bCs/>
                <w:sz w:val="20"/>
                <w:szCs w:val="20"/>
              </w:rPr>
            </w:pPr>
            <w:r w:rsidRPr="008B6A75">
              <w:rPr>
                <w:bCs/>
                <w:sz w:val="20"/>
                <w:szCs w:val="20"/>
              </w:rPr>
              <w:t>12</w:t>
            </w:r>
          </w:p>
        </w:tc>
        <w:tc>
          <w:tcPr>
            <w:tcW w:w="1411" w:type="dxa"/>
            <w:tcBorders>
              <w:top w:val="single" w:sz="4" w:space="0" w:color="auto"/>
              <w:left w:val="single" w:sz="4" w:space="0" w:color="auto"/>
              <w:bottom w:val="nil"/>
              <w:right w:val="nil"/>
            </w:tcBorders>
            <w:shd w:val="clear" w:color="auto" w:fill="auto"/>
            <w:noWrap/>
            <w:vAlign w:val="center"/>
            <w:hideMark/>
          </w:tcPr>
          <w:p w14:paraId="6ECF593F" w14:textId="77777777" w:rsidR="00387142" w:rsidRPr="008B6A75" w:rsidRDefault="00387142" w:rsidP="00387142">
            <w:pPr>
              <w:jc w:val="center"/>
              <w:rPr>
                <w:bCs/>
                <w:sz w:val="20"/>
                <w:szCs w:val="20"/>
              </w:rPr>
            </w:pPr>
            <w:r w:rsidRPr="008B6A75">
              <w:rPr>
                <w:bCs/>
                <w:sz w:val="20"/>
                <w:szCs w:val="20"/>
              </w:rPr>
              <w:t>02.0.00.49500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239FBBFA" w14:textId="77777777" w:rsidR="00387142" w:rsidRPr="008B6A75" w:rsidRDefault="00387142" w:rsidP="00387142">
            <w:pPr>
              <w:jc w:val="center"/>
              <w:rPr>
                <w:bCs/>
                <w:sz w:val="20"/>
                <w:szCs w:val="20"/>
              </w:rPr>
            </w:pPr>
            <w:r w:rsidRPr="008B6A75">
              <w:rPr>
                <w:bCs/>
                <w:sz w:val="20"/>
                <w:szCs w:val="20"/>
              </w:rPr>
              <w:t> </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41FB237D" w14:textId="77777777" w:rsidR="00387142" w:rsidRPr="008B6A75" w:rsidRDefault="00387142" w:rsidP="00387142">
            <w:pPr>
              <w:jc w:val="right"/>
              <w:rPr>
                <w:bCs/>
                <w:sz w:val="20"/>
                <w:szCs w:val="20"/>
              </w:rPr>
            </w:pPr>
            <w:r w:rsidRPr="008B6A75">
              <w:rPr>
                <w:bCs/>
                <w:sz w:val="20"/>
                <w:szCs w:val="20"/>
              </w:rPr>
              <w:t>1 700 000,00</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5A8D38B1" w14:textId="77777777" w:rsidR="00387142" w:rsidRPr="008B6A75" w:rsidRDefault="00387142" w:rsidP="00387142">
            <w:pPr>
              <w:jc w:val="right"/>
              <w:rPr>
                <w:bCs/>
                <w:sz w:val="20"/>
                <w:szCs w:val="20"/>
              </w:rPr>
            </w:pPr>
            <w:r w:rsidRPr="008B6A75">
              <w:rPr>
                <w:bCs/>
                <w:sz w:val="20"/>
                <w:szCs w:val="20"/>
              </w:rPr>
              <w:t>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76C4C6AC" w14:textId="77777777" w:rsidR="00387142" w:rsidRPr="008B6A75" w:rsidRDefault="00387142" w:rsidP="00387142">
            <w:pPr>
              <w:jc w:val="right"/>
              <w:rPr>
                <w:bCs/>
                <w:sz w:val="20"/>
                <w:szCs w:val="20"/>
              </w:rPr>
            </w:pPr>
            <w:r w:rsidRPr="008B6A75">
              <w:rPr>
                <w:bCs/>
                <w:sz w:val="20"/>
                <w:szCs w:val="20"/>
              </w:rPr>
              <w:t>0,00</w:t>
            </w:r>
          </w:p>
        </w:tc>
        <w:tc>
          <w:tcPr>
            <w:tcW w:w="222" w:type="dxa"/>
            <w:vAlign w:val="center"/>
            <w:hideMark/>
          </w:tcPr>
          <w:p w14:paraId="7606B5A8" w14:textId="77777777" w:rsidR="00387142" w:rsidRPr="008B6A75" w:rsidRDefault="00387142" w:rsidP="00387142">
            <w:pPr>
              <w:rPr>
                <w:sz w:val="20"/>
                <w:szCs w:val="20"/>
              </w:rPr>
            </w:pPr>
          </w:p>
        </w:tc>
      </w:tr>
      <w:tr w:rsidR="00387142" w:rsidRPr="008B6A75" w14:paraId="66DBA981" w14:textId="77777777" w:rsidTr="00387142">
        <w:trPr>
          <w:trHeight w:val="300"/>
        </w:trPr>
        <w:tc>
          <w:tcPr>
            <w:tcW w:w="3021" w:type="dxa"/>
            <w:tcBorders>
              <w:top w:val="single" w:sz="4" w:space="0" w:color="auto"/>
              <w:left w:val="single" w:sz="4" w:space="0" w:color="auto"/>
              <w:bottom w:val="nil"/>
              <w:right w:val="nil"/>
            </w:tcBorders>
            <w:shd w:val="clear" w:color="auto" w:fill="auto"/>
            <w:vAlign w:val="center"/>
            <w:hideMark/>
          </w:tcPr>
          <w:p w14:paraId="4D61BBB7" w14:textId="77777777" w:rsidR="00387142" w:rsidRPr="008B6A75" w:rsidRDefault="00387142" w:rsidP="00387142">
            <w:pPr>
              <w:rPr>
                <w:sz w:val="20"/>
                <w:szCs w:val="20"/>
              </w:rPr>
            </w:pPr>
            <w:r w:rsidRPr="008B6A75">
              <w:rPr>
                <w:sz w:val="20"/>
                <w:szCs w:val="20"/>
              </w:rPr>
              <w:t>Иные бюджетные ассигнования</w:t>
            </w:r>
          </w:p>
        </w:tc>
        <w:tc>
          <w:tcPr>
            <w:tcW w:w="850" w:type="dxa"/>
            <w:tcBorders>
              <w:top w:val="single" w:sz="4" w:space="0" w:color="auto"/>
              <w:left w:val="single" w:sz="4" w:space="0" w:color="auto"/>
              <w:bottom w:val="nil"/>
              <w:right w:val="nil"/>
            </w:tcBorders>
            <w:shd w:val="clear" w:color="auto" w:fill="auto"/>
            <w:noWrap/>
            <w:vAlign w:val="center"/>
            <w:hideMark/>
          </w:tcPr>
          <w:p w14:paraId="396B359F" w14:textId="77777777" w:rsidR="00387142" w:rsidRPr="008B6A75" w:rsidRDefault="00387142" w:rsidP="00387142">
            <w:pPr>
              <w:jc w:val="center"/>
              <w:rPr>
                <w:sz w:val="20"/>
                <w:szCs w:val="20"/>
              </w:rPr>
            </w:pPr>
            <w:r w:rsidRPr="008B6A75">
              <w:rPr>
                <w:sz w:val="20"/>
                <w:szCs w:val="20"/>
              </w:rPr>
              <w:t>444</w:t>
            </w:r>
          </w:p>
        </w:tc>
        <w:tc>
          <w:tcPr>
            <w:tcW w:w="709" w:type="dxa"/>
            <w:tcBorders>
              <w:top w:val="single" w:sz="4" w:space="0" w:color="auto"/>
              <w:left w:val="single" w:sz="4" w:space="0" w:color="auto"/>
              <w:bottom w:val="nil"/>
              <w:right w:val="nil"/>
            </w:tcBorders>
            <w:shd w:val="clear" w:color="auto" w:fill="auto"/>
            <w:noWrap/>
            <w:vAlign w:val="center"/>
            <w:hideMark/>
          </w:tcPr>
          <w:p w14:paraId="60F4DBF1" w14:textId="77777777" w:rsidR="00387142" w:rsidRPr="008B6A75" w:rsidRDefault="00387142" w:rsidP="00387142">
            <w:pPr>
              <w:jc w:val="center"/>
              <w:rPr>
                <w:sz w:val="20"/>
                <w:szCs w:val="20"/>
              </w:rPr>
            </w:pPr>
            <w:r w:rsidRPr="008B6A75">
              <w:rPr>
                <w:sz w:val="20"/>
                <w:szCs w:val="20"/>
              </w:rPr>
              <w:t>04</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2CA69BD2" w14:textId="77777777" w:rsidR="00387142" w:rsidRPr="008B6A75" w:rsidRDefault="00387142" w:rsidP="00387142">
            <w:pPr>
              <w:jc w:val="center"/>
              <w:rPr>
                <w:sz w:val="20"/>
                <w:szCs w:val="20"/>
              </w:rPr>
            </w:pPr>
            <w:r w:rsidRPr="008B6A75">
              <w:rPr>
                <w:sz w:val="20"/>
                <w:szCs w:val="20"/>
              </w:rPr>
              <w:t>12</w:t>
            </w:r>
          </w:p>
        </w:tc>
        <w:tc>
          <w:tcPr>
            <w:tcW w:w="1411" w:type="dxa"/>
            <w:tcBorders>
              <w:top w:val="single" w:sz="4" w:space="0" w:color="auto"/>
              <w:left w:val="single" w:sz="4" w:space="0" w:color="auto"/>
              <w:bottom w:val="nil"/>
              <w:right w:val="nil"/>
            </w:tcBorders>
            <w:shd w:val="clear" w:color="auto" w:fill="auto"/>
            <w:noWrap/>
            <w:vAlign w:val="center"/>
            <w:hideMark/>
          </w:tcPr>
          <w:p w14:paraId="0EB49704" w14:textId="77777777" w:rsidR="00387142" w:rsidRPr="008B6A75" w:rsidRDefault="00387142" w:rsidP="00387142">
            <w:pPr>
              <w:jc w:val="center"/>
              <w:rPr>
                <w:sz w:val="20"/>
                <w:szCs w:val="20"/>
              </w:rPr>
            </w:pPr>
            <w:r w:rsidRPr="008B6A75">
              <w:rPr>
                <w:sz w:val="20"/>
                <w:szCs w:val="20"/>
              </w:rPr>
              <w:t>02.0.00.49500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4112321F" w14:textId="77777777" w:rsidR="00387142" w:rsidRPr="008B6A75" w:rsidRDefault="00387142" w:rsidP="00387142">
            <w:pPr>
              <w:jc w:val="center"/>
              <w:rPr>
                <w:sz w:val="20"/>
                <w:szCs w:val="20"/>
              </w:rPr>
            </w:pPr>
            <w:r w:rsidRPr="008B6A75">
              <w:rPr>
                <w:sz w:val="20"/>
                <w:szCs w:val="20"/>
              </w:rPr>
              <w:t>800</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7219958B" w14:textId="77777777" w:rsidR="00387142" w:rsidRPr="008B6A75" w:rsidRDefault="00387142" w:rsidP="00387142">
            <w:pPr>
              <w:jc w:val="right"/>
              <w:rPr>
                <w:sz w:val="20"/>
                <w:szCs w:val="20"/>
              </w:rPr>
            </w:pPr>
            <w:r w:rsidRPr="008B6A75">
              <w:rPr>
                <w:sz w:val="20"/>
                <w:szCs w:val="20"/>
              </w:rPr>
              <w:t>1 700 000,00</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5A8ADDDF" w14:textId="77777777" w:rsidR="00387142" w:rsidRPr="008B6A75" w:rsidRDefault="00387142" w:rsidP="00387142">
            <w:pPr>
              <w:jc w:val="right"/>
              <w:rPr>
                <w:sz w:val="20"/>
                <w:szCs w:val="20"/>
              </w:rPr>
            </w:pPr>
            <w:r w:rsidRPr="008B6A75">
              <w:rPr>
                <w:sz w:val="20"/>
                <w:szCs w:val="20"/>
              </w:rPr>
              <w:t>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1C6E8EE7" w14:textId="77777777" w:rsidR="00387142" w:rsidRPr="008B6A75" w:rsidRDefault="00387142" w:rsidP="00387142">
            <w:pPr>
              <w:jc w:val="right"/>
              <w:rPr>
                <w:sz w:val="20"/>
                <w:szCs w:val="20"/>
              </w:rPr>
            </w:pPr>
            <w:r w:rsidRPr="008B6A75">
              <w:rPr>
                <w:sz w:val="20"/>
                <w:szCs w:val="20"/>
              </w:rPr>
              <w:t>0,00</w:t>
            </w:r>
          </w:p>
        </w:tc>
        <w:tc>
          <w:tcPr>
            <w:tcW w:w="222" w:type="dxa"/>
            <w:vAlign w:val="center"/>
            <w:hideMark/>
          </w:tcPr>
          <w:p w14:paraId="586CF40E" w14:textId="77777777" w:rsidR="00387142" w:rsidRPr="008B6A75" w:rsidRDefault="00387142" w:rsidP="00387142">
            <w:pPr>
              <w:rPr>
                <w:sz w:val="20"/>
                <w:szCs w:val="20"/>
              </w:rPr>
            </w:pPr>
          </w:p>
        </w:tc>
      </w:tr>
      <w:tr w:rsidR="00387142" w:rsidRPr="008B6A75" w14:paraId="5637B72D" w14:textId="77777777" w:rsidTr="00387142">
        <w:trPr>
          <w:trHeight w:val="1155"/>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1402B3B3" w14:textId="77777777" w:rsidR="00387142" w:rsidRPr="008B6A75" w:rsidRDefault="00387142" w:rsidP="00387142">
            <w:pPr>
              <w:rPr>
                <w:sz w:val="20"/>
                <w:szCs w:val="20"/>
              </w:rPr>
            </w:pPr>
            <w:r w:rsidRPr="008B6A75">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46B49AD7" w14:textId="77777777" w:rsidR="00387142" w:rsidRPr="008B6A75" w:rsidRDefault="00387142" w:rsidP="00387142">
            <w:pPr>
              <w:jc w:val="center"/>
              <w:rPr>
                <w:sz w:val="20"/>
                <w:szCs w:val="20"/>
              </w:rPr>
            </w:pPr>
            <w:r w:rsidRPr="008B6A75">
              <w:rPr>
                <w:sz w:val="20"/>
                <w:szCs w:val="20"/>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19A50885" w14:textId="77777777" w:rsidR="00387142" w:rsidRPr="008B6A75" w:rsidRDefault="00387142" w:rsidP="00387142">
            <w:pPr>
              <w:jc w:val="center"/>
              <w:rPr>
                <w:sz w:val="20"/>
                <w:szCs w:val="20"/>
              </w:rPr>
            </w:pPr>
            <w:r w:rsidRPr="008B6A75">
              <w:rPr>
                <w:sz w:val="20"/>
                <w:szCs w:val="20"/>
              </w:rPr>
              <w:t>04</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4484B2" w14:textId="77777777" w:rsidR="00387142" w:rsidRPr="008B6A75" w:rsidRDefault="00387142" w:rsidP="00387142">
            <w:pPr>
              <w:jc w:val="center"/>
              <w:rPr>
                <w:sz w:val="20"/>
                <w:szCs w:val="20"/>
              </w:rPr>
            </w:pPr>
            <w:r w:rsidRPr="008B6A75">
              <w:rPr>
                <w:sz w:val="20"/>
                <w:szCs w:val="20"/>
              </w:rPr>
              <w:t>12</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3EA38B36" w14:textId="77777777" w:rsidR="00387142" w:rsidRPr="008B6A75" w:rsidRDefault="00387142" w:rsidP="00387142">
            <w:pPr>
              <w:jc w:val="center"/>
              <w:rPr>
                <w:sz w:val="20"/>
                <w:szCs w:val="20"/>
              </w:rPr>
            </w:pPr>
            <w:r w:rsidRPr="008B6A75">
              <w:rPr>
                <w:sz w:val="20"/>
                <w:szCs w:val="20"/>
              </w:rPr>
              <w:t>02.0.00.49500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207BD9" w14:textId="77777777" w:rsidR="00387142" w:rsidRPr="008B6A75" w:rsidRDefault="00387142" w:rsidP="00387142">
            <w:pPr>
              <w:jc w:val="center"/>
              <w:rPr>
                <w:sz w:val="20"/>
                <w:szCs w:val="20"/>
              </w:rPr>
            </w:pPr>
            <w:r w:rsidRPr="008B6A75">
              <w:rPr>
                <w:sz w:val="20"/>
                <w:szCs w:val="20"/>
              </w:rPr>
              <w:t>810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3BF685" w14:textId="77777777" w:rsidR="00387142" w:rsidRPr="008B6A75" w:rsidRDefault="00387142" w:rsidP="00387142">
            <w:pPr>
              <w:jc w:val="right"/>
              <w:rPr>
                <w:sz w:val="20"/>
                <w:szCs w:val="20"/>
              </w:rPr>
            </w:pPr>
            <w:r w:rsidRPr="008B6A75">
              <w:rPr>
                <w:sz w:val="20"/>
                <w:szCs w:val="20"/>
              </w:rPr>
              <w:t>1 700 000,00</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076D191F" w14:textId="77777777" w:rsidR="00387142" w:rsidRPr="008B6A75" w:rsidRDefault="00387142" w:rsidP="00387142">
            <w:pPr>
              <w:jc w:val="right"/>
              <w:rPr>
                <w:sz w:val="20"/>
                <w:szCs w:val="20"/>
              </w:rPr>
            </w:pPr>
            <w:r w:rsidRPr="008B6A75">
              <w:rPr>
                <w:sz w:val="20"/>
                <w:szCs w:val="20"/>
              </w:rPr>
              <w:t>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6974B4" w14:textId="77777777" w:rsidR="00387142" w:rsidRPr="008B6A75" w:rsidRDefault="00387142" w:rsidP="00387142">
            <w:pPr>
              <w:jc w:val="right"/>
              <w:rPr>
                <w:sz w:val="20"/>
                <w:szCs w:val="20"/>
              </w:rPr>
            </w:pPr>
            <w:r w:rsidRPr="008B6A75">
              <w:rPr>
                <w:sz w:val="20"/>
                <w:szCs w:val="20"/>
              </w:rPr>
              <w:t>0,00</w:t>
            </w:r>
          </w:p>
        </w:tc>
        <w:tc>
          <w:tcPr>
            <w:tcW w:w="222" w:type="dxa"/>
            <w:vAlign w:val="center"/>
            <w:hideMark/>
          </w:tcPr>
          <w:p w14:paraId="0BAF114F" w14:textId="77777777" w:rsidR="00387142" w:rsidRPr="008B6A75" w:rsidRDefault="00387142" w:rsidP="00387142">
            <w:pPr>
              <w:rPr>
                <w:sz w:val="20"/>
                <w:szCs w:val="20"/>
              </w:rPr>
            </w:pPr>
          </w:p>
        </w:tc>
      </w:tr>
      <w:tr w:rsidR="00387142" w:rsidRPr="008B6A75" w14:paraId="67F7D3DA" w14:textId="77777777" w:rsidTr="00387142">
        <w:trPr>
          <w:trHeight w:val="2295"/>
        </w:trPr>
        <w:tc>
          <w:tcPr>
            <w:tcW w:w="3021" w:type="dxa"/>
            <w:tcBorders>
              <w:top w:val="nil"/>
              <w:left w:val="single" w:sz="4" w:space="0" w:color="auto"/>
              <w:bottom w:val="nil"/>
              <w:right w:val="nil"/>
            </w:tcBorders>
            <w:shd w:val="clear" w:color="auto" w:fill="auto"/>
            <w:vAlign w:val="center"/>
            <w:hideMark/>
          </w:tcPr>
          <w:p w14:paraId="327B0B05" w14:textId="77777777" w:rsidR="00387142" w:rsidRPr="008B6A75" w:rsidRDefault="00387142" w:rsidP="00387142">
            <w:pPr>
              <w:rPr>
                <w:bCs/>
                <w:sz w:val="20"/>
                <w:szCs w:val="20"/>
              </w:rPr>
            </w:pPr>
            <w:r w:rsidRPr="008B6A75">
              <w:rPr>
                <w:bCs/>
                <w:sz w:val="20"/>
                <w:szCs w:val="20"/>
              </w:rPr>
              <w:t xml:space="preserve">Реализация мероприятий на </w:t>
            </w:r>
            <w:proofErr w:type="spellStart"/>
            <w:r w:rsidRPr="008B6A75">
              <w:rPr>
                <w:bCs/>
                <w:sz w:val="20"/>
                <w:szCs w:val="20"/>
              </w:rPr>
              <w:t>софинансирование</w:t>
            </w:r>
            <w:proofErr w:type="spellEnd"/>
            <w:r w:rsidRPr="008B6A75">
              <w:rPr>
                <w:bCs/>
                <w:sz w:val="20"/>
                <w:szCs w:val="20"/>
              </w:rPr>
              <w:t xml:space="preserve"> муниципальных программ развития малого и среднего предпринимательства государственной программы Новосибирской области «Развитие субъектов малого и среднего предпринимательства в Новосибирской области»</w:t>
            </w:r>
          </w:p>
        </w:tc>
        <w:tc>
          <w:tcPr>
            <w:tcW w:w="850" w:type="dxa"/>
            <w:tcBorders>
              <w:top w:val="nil"/>
              <w:left w:val="single" w:sz="4" w:space="0" w:color="auto"/>
              <w:bottom w:val="nil"/>
              <w:right w:val="nil"/>
            </w:tcBorders>
            <w:shd w:val="clear" w:color="auto" w:fill="auto"/>
            <w:noWrap/>
            <w:vAlign w:val="center"/>
            <w:hideMark/>
          </w:tcPr>
          <w:p w14:paraId="35629835" w14:textId="77777777" w:rsidR="00387142" w:rsidRPr="008B6A75" w:rsidRDefault="00387142" w:rsidP="00387142">
            <w:pPr>
              <w:jc w:val="center"/>
              <w:rPr>
                <w:bCs/>
                <w:sz w:val="20"/>
                <w:szCs w:val="20"/>
              </w:rPr>
            </w:pPr>
            <w:r w:rsidRPr="008B6A75">
              <w:rPr>
                <w:bCs/>
                <w:sz w:val="20"/>
                <w:szCs w:val="20"/>
              </w:rPr>
              <w:t>444</w:t>
            </w:r>
          </w:p>
        </w:tc>
        <w:tc>
          <w:tcPr>
            <w:tcW w:w="709" w:type="dxa"/>
            <w:tcBorders>
              <w:top w:val="nil"/>
              <w:left w:val="single" w:sz="4" w:space="0" w:color="auto"/>
              <w:bottom w:val="nil"/>
              <w:right w:val="nil"/>
            </w:tcBorders>
            <w:shd w:val="clear" w:color="auto" w:fill="auto"/>
            <w:noWrap/>
            <w:vAlign w:val="center"/>
            <w:hideMark/>
          </w:tcPr>
          <w:p w14:paraId="2275F77B" w14:textId="77777777" w:rsidR="00387142" w:rsidRPr="008B6A75" w:rsidRDefault="00387142" w:rsidP="00387142">
            <w:pPr>
              <w:jc w:val="center"/>
              <w:rPr>
                <w:bCs/>
                <w:sz w:val="20"/>
                <w:szCs w:val="20"/>
              </w:rPr>
            </w:pPr>
            <w:r w:rsidRPr="008B6A75">
              <w:rPr>
                <w:bCs/>
                <w:sz w:val="20"/>
                <w:szCs w:val="20"/>
              </w:rPr>
              <w:t>04</w:t>
            </w:r>
          </w:p>
        </w:tc>
        <w:tc>
          <w:tcPr>
            <w:tcW w:w="709" w:type="dxa"/>
            <w:tcBorders>
              <w:top w:val="nil"/>
              <w:left w:val="single" w:sz="4" w:space="0" w:color="auto"/>
              <w:bottom w:val="nil"/>
              <w:right w:val="single" w:sz="4" w:space="0" w:color="auto"/>
            </w:tcBorders>
            <w:shd w:val="clear" w:color="auto" w:fill="auto"/>
            <w:noWrap/>
            <w:vAlign w:val="center"/>
            <w:hideMark/>
          </w:tcPr>
          <w:p w14:paraId="22A3F570" w14:textId="77777777" w:rsidR="00387142" w:rsidRPr="008B6A75" w:rsidRDefault="00387142" w:rsidP="00387142">
            <w:pPr>
              <w:jc w:val="center"/>
              <w:rPr>
                <w:bCs/>
                <w:sz w:val="20"/>
                <w:szCs w:val="20"/>
              </w:rPr>
            </w:pPr>
            <w:r w:rsidRPr="008B6A75">
              <w:rPr>
                <w:bCs/>
                <w:sz w:val="20"/>
                <w:szCs w:val="20"/>
              </w:rPr>
              <w:t>12</w:t>
            </w:r>
          </w:p>
        </w:tc>
        <w:tc>
          <w:tcPr>
            <w:tcW w:w="1411" w:type="dxa"/>
            <w:tcBorders>
              <w:top w:val="nil"/>
              <w:left w:val="single" w:sz="4" w:space="0" w:color="auto"/>
              <w:bottom w:val="nil"/>
              <w:right w:val="nil"/>
            </w:tcBorders>
            <w:shd w:val="clear" w:color="auto" w:fill="auto"/>
            <w:noWrap/>
            <w:vAlign w:val="center"/>
            <w:hideMark/>
          </w:tcPr>
          <w:p w14:paraId="070B95AB" w14:textId="77777777" w:rsidR="00387142" w:rsidRPr="008B6A75" w:rsidRDefault="00387142" w:rsidP="00387142">
            <w:pPr>
              <w:jc w:val="center"/>
              <w:rPr>
                <w:bCs/>
                <w:sz w:val="20"/>
                <w:szCs w:val="20"/>
              </w:rPr>
            </w:pPr>
            <w:r w:rsidRPr="008B6A75">
              <w:rPr>
                <w:bCs/>
                <w:sz w:val="20"/>
                <w:szCs w:val="20"/>
              </w:rPr>
              <w:t>02.0.00.70690</w:t>
            </w:r>
          </w:p>
        </w:tc>
        <w:tc>
          <w:tcPr>
            <w:tcW w:w="955" w:type="dxa"/>
            <w:tcBorders>
              <w:top w:val="nil"/>
              <w:left w:val="single" w:sz="4" w:space="0" w:color="auto"/>
              <w:bottom w:val="nil"/>
              <w:right w:val="single" w:sz="4" w:space="0" w:color="auto"/>
            </w:tcBorders>
            <w:shd w:val="clear" w:color="auto" w:fill="auto"/>
            <w:noWrap/>
            <w:vAlign w:val="center"/>
            <w:hideMark/>
          </w:tcPr>
          <w:p w14:paraId="62797BA3"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nil"/>
              <w:right w:val="single" w:sz="4" w:space="0" w:color="auto"/>
            </w:tcBorders>
            <w:shd w:val="clear" w:color="auto" w:fill="auto"/>
            <w:noWrap/>
            <w:vAlign w:val="center"/>
            <w:hideMark/>
          </w:tcPr>
          <w:p w14:paraId="69891718" w14:textId="77777777" w:rsidR="00387142" w:rsidRPr="008B6A75" w:rsidRDefault="00387142" w:rsidP="00387142">
            <w:pPr>
              <w:jc w:val="right"/>
              <w:rPr>
                <w:bCs/>
                <w:sz w:val="20"/>
                <w:szCs w:val="20"/>
              </w:rPr>
            </w:pPr>
            <w:r w:rsidRPr="008B6A75">
              <w:rPr>
                <w:bCs/>
                <w:sz w:val="20"/>
                <w:szCs w:val="20"/>
              </w:rPr>
              <w:t>204 200,00</w:t>
            </w:r>
          </w:p>
        </w:tc>
        <w:tc>
          <w:tcPr>
            <w:tcW w:w="992" w:type="dxa"/>
            <w:gridSpan w:val="2"/>
            <w:tcBorders>
              <w:top w:val="nil"/>
              <w:left w:val="single" w:sz="4" w:space="0" w:color="auto"/>
              <w:bottom w:val="nil"/>
              <w:right w:val="nil"/>
            </w:tcBorders>
            <w:shd w:val="clear" w:color="auto" w:fill="auto"/>
            <w:noWrap/>
            <w:vAlign w:val="center"/>
            <w:hideMark/>
          </w:tcPr>
          <w:p w14:paraId="4B47EFBA" w14:textId="77777777" w:rsidR="00387142" w:rsidRPr="008B6A75" w:rsidRDefault="00387142" w:rsidP="00387142">
            <w:pPr>
              <w:jc w:val="right"/>
              <w:rPr>
                <w:bCs/>
                <w:sz w:val="20"/>
                <w:szCs w:val="20"/>
              </w:rPr>
            </w:pPr>
            <w:r w:rsidRPr="008B6A75">
              <w:rPr>
                <w:bCs/>
                <w:sz w:val="20"/>
                <w:szCs w:val="20"/>
              </w:rPr>
              <w:t>204 200,00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21C47DA7" w14:textId="77777777" w:rsidR="00387142" w:rsidRPr="008B6A75" w:rsidRDefault="00387142" w:rsidP="00387142">
            <w:pPr>
              <w:jc w:val="right"/>
              <w:rPr>
                <w:bCs/>
                <w:sz w:val="20"/>
                <w:szCs w:val="20"/>
              </w:rPr>
            </w:pPr>
            <w:r w:rsidRPr="008B6A75">
              <w:rPr>
                <w:bCs/>
                <w:sz w:val="20"/>
                <w:szCs w:val="20"/>
              </w:rPr>
              <w:t>204 200,00</w:t>
            </w:r>
          </w:p>
        </w:tc>
        <w:tc>
          <w:tcPr>
            <w:tcW w:w="222" w:type="dxa"/>
            <w:vAlign w:val="center"/>
            <w:hideMark/>
          </w:tcPr>
          <w:p w14:paraId="0A15234C" w14:textId="77777777" w:rsidR="00387142" w:rsidRPr="008B6A75" w:rsidRDefault="00387142" w:rsidP="00387142">
            <w:pPr>
              <w:rPr>
                <w:sz w:val="20"/>
                <w:szCs w:val="20"/>
              </w:rPr>
            </w:pPr>
          </w:p>
        </w:tc>
      </w:tr>
      <w:tr w:rsidR="00387142" w:rsidRPr="008B6A75" w14:paraId="6BA693F5" w14:textId="77777777" w:rsidTr="00387142">
        <w:trPr>
          <w:trHeight w:val="300"/>
        </w:trPr>
        <w:tc>
          <w:tcPr>
            <w:tcW w:w="3021" w:type="dxa"/>
            <w:tcBorders>
              <w:top w:val="single" w:sz="4" w:space="0" w:color="auto"/>
              <w:left w:val="single" w:sz="4" w:space="0" w:color="auto"/>
              <w:bottom w:val="nil"/>
              <w:right w:val="nil"/>
            </w:tcBorders>
            <w:shd w:val="clear" w:color="auto" w:fill="auto"/>
            <w:vAlign w:val="center"/>
            <w:hideMark/>
          </w:tcPr>
          <w:p w14:paraId="298749B5" w14:textId="77777777" w:rsidR="00387142" w:rsidRPr="008B6A75" w:rsidRDefault="00387142" w:rsidP="00387142">
            <w:pPr>
              <w:rPr>
                <w:sz w:val="20"/>
                <w:szCs w:val="20"/>
              </w:rPr>
            </w:pPr>
            <w:r w:rsidRPr="008B6A75">
              <w:rPr>
                <w:sz w:val="20"/>
                <w:szCs w:val="20"/>
              </w:rPr>
              <w:t>Иные бюджетные ассигнования</w:t>
            </w:r>
          </w:p>
        </w:tc>
        <w:tc>
          <w:tcPr>
            <w:tcW w:w="850" w:type="dxa"/>
            <w:tcBorders>
              <w:top w:val="single" w:sz="4" w:space="0" w:color="auto"/>
              <w:left w:val="single" w:sz="4" w:space="0" w:color="auto"/>
              <w:bottom w:val="nil"/>
              <w:right w:val="nil"/>
            </w:tcBorders>
            <w:shd w:val="clear" w:color="auto" w:fill="auto"/>
            <w:noWrap/>
            <w:vAlign w:val="center"/>
            <w:hideMark/>
          </w:tcPr>
          <w:p w14:paraId="462373BA" w14:textId="77777777" w:rsidR="00387142" w:rsidRPr="008B6A75" w:rsidRDefault="00387142" w:rsidP="00387142">
            <w:pPr>
              <w:jc w:val="center"/>
              <w:rPr>
                <w:sz w:val="20"/>
                <w:szCs w:val="20"/>
              </w:rPr>
            </w:pPr>
            <w:r w:rsidRPr="008B6A75">
              <w:rPr>
                <w:sz w:val="20"/>
                <w:szCs w:val="20"/>
              </w:rPr>
              <w:t>444</w:t>
            </w:r>
          </w:p>
        </w:tc>
        <w:tc>
          <w:tcPr>
            <w:tcW w:w="709" w:type="dxa"/>
            <w:tcBorders>
              <w:top w:val="single" w:sz="4" w:space="0" w:color="auto"/>
              <w:left w:val="single" w:sz="4" w:space="0" w:color="auto"/>
              <w:bottom w:val="nil"/>
              <w:right w:val="nil"/>
            </w:tcBorders>
            <w:shd w:val="clear" w:color="auto" w:fill="auto"/>
            <w:noWrap/>
            <w:vAlign w:val="center"/>
            <w:hideMark/>
          </w:tcPr>
          <w:p w14:paraId="591B91A4" w14:textId="77777777" w:rsidR="00387142" w:rsidRPr="008B6A75" w:rsidRDefault="00387142" w:rsidP="00387142">
            <w:pPr>
              <w:jc w:val="center"/>
              <w:rPr>
                <w:sz w:val="20"/>
                <w:szCs w:val="20"/>
              </w:rPr>
            </w:pPr>
            <w:r w:rsidRPr="008B6A75">
              <w:rPr>
                <w:sz w:val="20"/>
                <w:szCs w:val="20"/>
              </w:rPr>
              <w:t>04</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11AF3013" w14:textId="77777777" w:rsidR="00387142" w:rsidRPr="008B6A75" w:rsidRDefault="00387142" w:rsidP="00387142">
            <w:pPr>
              <w:jc w:val="center"/>
              <w:rPr>
                <w:sz w:val="20"/>
                <w:szCs w:val="20"/>
              </w:rPr>
            </w:pPr>
            <w:r w:rsidRPr="008B6A75">
              <w:rPr>
                <w:sz w:val="20"/>
                <w:szCs w:val="20"/>
              </w:rPr>
              <w:t>12</w:t>
            </w:r>
          </w:p>
        </w:tc>
        <w:tc>
          <w:tcPr>
            <w:tcW w:w="1411" w:type="dxa"/>
            <w:tcBorders>
              <w:top w:val="single" w:sz="4" w:space="0" w:color="auto"/>
              <w:left w:val="single" w:sz="4" w:space="0" w:color="auto"/>
              <w:bottom w:val="nil"/>
              <w:right w:val="nil"/>
            </w:tcBorders>
            <w:shd w:val="clear" w:color="auto" w:fill="auto"/>
            <w:noWrap/>
            <w:vAlign w:val="center"/>
            <w:hideMark/>
          </w:tcPr>
          <w:p w14:paraId="08D4072C" w14:textId="77777777" w:rsidR="00387142" w:rsidRPr="008B6A75" w:rsidRDefault="00387142" w:rsidP="00387142">
            <w:pPr>
              <w:jc w:val="center"/>
              <w:rPr>
                <w:sz w:val="20"/>
                <w:szCs w:val="20"/>
              </w:rPr>
            </w:pPr>
            <w:r w:rsidRPr="008B6A75">
              <w:rPr>
                <w:sz w:val="20"/>
                <w:szCs w:val="20"/>
              </w:rPr>
              <w:t>02.0.00.70690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4923D449" w14:textId="77777777" w:rsidR="00387142" w:rsidRPr="008B6A75" w:rsidRDefault="00387142" w:rsidP="00387142">
            <w:pPr>
              <w:jc w:val="center"/>
              <w:rPr>
                <w:sz w:val="20"/>
                <w:szCs w:val="20"/>
              </w:rPr>
            </w:pPr>
            <w:r w:rsidRPr="008B6A75">
              <w:rPr>
                <w:sz w:val="20"/>
                <w:szCs w:val="20"/>
              </w:rPr>
              <w:t>800</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7E93E249" w14:textId="77777777" w:rsidR="00387142" w:rsidRPr="008B6A75" w:rsidRDefault="00387142" w:rsidP="00387142">
            <w:pPr>
              <w:jc w:val="right"/>
              <w:rPr>
                <w:sz w:val="20"/>
                <w:szCs w:val="20"/>
              </w:rPr>
            </w:pPr>
            <w:r w:rsidRPr="008B6A75">
              <w:rPr>
                <w:sz w:val="20"/>
                <w:szCs w:val="20"/>
              </w:rPr>
              <w:t>204 200,00</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0A5D0EB2" w14:textId="77777777" w:rsidR="00387142" w:rsidRPr="008B6A75" w:rsidRDefault="00387142" w:rsidP="00387142">
            <w:pPr>
              <w:jc w:val="right"/>
              <w:rPr>
                <w:sz w:val="20"/>
                <w:szCs w:val="20"/>
              </w:rPr>
            </w:pPr>
            <w:r w:rsidRPr="008B6A75">
              <w:rPr>
                <w:sz w:val="20"/>
                <w:szCs w:val="20"/>
              </w:rPr>
              <w:t>204 200,00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2F098607" w14:textId="77777777" w:rsidR="00387142" w:rsidRPr="008B6A75" w:rsidRDefault="00387142" w:rsidP="00387142">
            <w:pPr>
              <w:jc w:val="right"/>
              <w:rPr>
                <w:sz w:val="20"/>
                <w:szCs w:val="20"/>
              </w:rPr>
            </w:pPr>
            <w:r w:rsidRPr="008B6A75">
              <w:rPr>
                <w:sz w:val="20"/>
                <w:szCs w:val="20"/>
              </w:rPr>
              <w:t>204 200,00</w:t>
            </w:r>
          </w:p>
        </w:tc>
        <w:tc>
          <w:tcPr>
            <w:tcW w:w="222" w:type="dxa"/>
            <w:vAlign w:val="center"/>
            <w:hideMark/>
          </w:tcPr>
          <w:p w14:paraId="1B677956" w14:textId="77777777" w:rsidR="00387142" w:rsidRPr="008B6A75" w:rsidRDefault="00387142" w:rsidP="00387142">
            <w:pPr>
              <w:rPr>
                <w:sz w:val="20"/>
                <w:szCs w:val="20"/>
              </w:rPr>
            </w:pPr>
          </w:p>
        </w:tc>
      </w:tr>
      <w:tr w:rsidR="00387142" w:rsidRPr="008B6A75" w14:paraId="4017C68C" w14:textId="77777777" w:rsidTr="00387142">
        <w:trPr>
          <w:trHeight w:val="1155"/>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70871549" w14:textId="77777777" w:rsidR="00387142" w:rsidRPr="008B6A75" w:rsidRDefault="00387142" w:rsidP="00387142">
            <w:pPr>
              <w:rPr>
                <w:sz w:val="20"/>
                <w:szCs w:val="20"/>
              </w:rPr>
            </w:pPr>
            <w:r w:rsidRPr="008B6A75">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09489852" w14:textId="77777777" w:rsidR="00387142" w:rsidRPr="008B6A75" w:rsidRDefault="00387142" w:rsidP="00387142">
            <w:pPr>
              <w:jc w:val="center"/>
              <w:rPr>
                <w:sz w:val="20"/>
                <w:szCs w:val="20"/>
              </w:rPr>
            </w:pPr>
            <w:r w:rsidRPr="008B6A75">
              <w:rPr>
                <w:sz w:val="20"/>
                <w:szCs w:val="20"/>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41082C93" w14:textId="77777777" w:rsidR="00387142" w:rsidRPr="008B6A75" w:rsidRDefault="00387142" w:rsidP="00387142">
            <w:pPr>
              <w:jc w:val="center"/>
              <w:rPr>
                <w:sz w:val="20"/>
                <w:szCs w:val="20"/>
              </w:rPr>
            </w:pPr>
            <w:r w:rsidRPr="008B6A75">
              <w:rPr>
                <w:sz w:val="20"/>
                <w:szCs w:val="20"/>
              </w:rPr>
              <w:t>04</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A2D260" w14:textId="77777777" w:rsidR="00387142" w:rsidRPr="008B6A75" w:rsidRDefault="00387142" w:rsidP="00387142">
            <w:pPr>
              <w:jc w:val="center"/>
              <w:rPr>
                <w:sz w:val="20"/>
                <w:szCs w:val="20"/>
              </w:rPr>
            </w:pPr>
            <w:r w:rsidRPr="008B6A75">
              <w:rPr>
                <w:sz w:val="20"/>
                <w:szCs w:val="20"/>
              </w:rPr>
              <w:t>12</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0E6D97F3" w14:textId="77777777" w:rsidR="00387142" w:rsidRPr="008B6A75" w:rsidRDefault="00387142" w:rsidP="00387142">
            <w:pPr>
              <w:jc w:val="center"/>
              <w:rPr>
                <w:sz w:val="20"/>
                <w:szCs w:val="20"/>
              </w:rPr>
            </w:pPr>
            <w:r w:rsidRPr="008B6A75">
              <w:rPr>
                <w:sz w:val="20"/>
                <w:szCs w:val="20"/>
              </w:rPr>
              <w:t>02.0.00.70690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6B0E7C" w14:textId="77777777" w:rsidR="00387142" w:rsidRPr="008B6A75" w:rsidRDefault="00387142" w:rsidP="00387142">
            <w:pPr>
              <w:jc w:val="center"/>
              <w:rPr>
                <w:sz w:val="20"/>
                <w:szCs w:val="20"/>
              </w:rPr>
            </w:pPr>
            <w:r w:rsidRPr="008B6A75">
              <w:rPr>
                <w:sz w:val="20"/>
                <w:szCs w:val="20"/>
              </w:rPr>
              <w:t>810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177048" w14:textId="77777777" w:rsidR="00387142" w:rsidRPr="008B6A75" w:rsidRDefault="00387142" w:rsidP="00387142">
            <w:pPr>
              <w:jc w:val="right"/>
              <w:rPr>
                <w:sz w:val="20"/>
                <w:szCs w:val="20"/>
              </w:rPr>
            </w:pPr>
            <w:r w:rsidRPr="008B6A75">
              <w:rPr>
                <w:sz w:val="20"/>
                <w:szCs w:val="20"/>
              </w:rPr>
              <w:t>204 200,00</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313B4DB4" w14:textId="77777777" w:rsidR="00387142" w:rsidRPr="008B6A75" w:rsidRDefault="00387142" w:rsidP="00387142">
            <w:pPr>
              <w:jc w:val="right"/>
              <w:rPr>
                <w:sz w:val="20"/>
                <w:szCs w:val="20"/>
              </w:rPr>
            </w:pPr>
            <w:r w:rsidRPr="008B6A75">
              <w:rPr>
                <w:sz w:val="20"/>
                <w:szCs w:val="20"/>
              </w:rPr>
              <w:t>204 200,00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20BA2C" w14:textId="77777777" w:rsidR="00387142" w:rsidRPr="008B6A75" w:rsidRDefault="00387142" w:rsidP="00387142">
            <w:pPr>
              <w:jc w:val="right"/>
              <w:rPr>
                <w:sz w:val="20"/>
                <w:szCs w:val="20"/>
              </w:rPr>
            </w:pPr>
            <w:r w:rsidRPr="008B6A75">
              <w:rPr>
                <w:sz w:val="20"/>
                <w:szCs w:val="20"/>
              </w:rPr>
              <w:t>204 200,00</w:t>
            </w:r>
          </w:p>
        </w:tc>
        <w:tc>
          <w:tcPr>
            <w:tcW w:w="222" w:type="dxa"/>
            <w:vAlign w:val="center"/>
            <w:hideMark/>
          </w:tcPr>
          <w:p w14:paraId="41930446" w14:textId="77777777" w:rsidR="00387142" w:rsidRPr="008B6A75" w:rsidRDefault="00387142" w:rsidP="00387142">
            <w:pPr>
              <w:rPr>
                <w:sz w:val="20"/>
                <w:szCs w:val="20"/>
              </w:rPr>
            </w:pPr>
          </w:p>
        </w:tc>
      </w:tr>
      <w:tr w:rsidR="00387142" w:rsidRPr="008B6A75" w14:paraId="347A0BEF" w14:textId="77777777" w:rsidTr="00387142">
        <w:trPr>
          <w:trHeight w:val="585"/>
        </w:trPr>
        <w:tc>
          <w:tcPr>
            <w:tcW w:w="3021" w:type="dxa"/>
            <w:tcBorders>
              <w:top w:val="nil"/>
              <w:left w:val="single" w:sz="4" w:space="0" w:color="auto"/>
              <w:bottom w:val="nil"/>
              <w:right w:val="nil"/>
            </w:tcBorders>
            <w:shd w:val="clear" w:color="auto" w:fill="auto"/>
            <w:vAlign w:val="center"/>
            <w:hideMark/>
          </w:tcPr>
          <w:p w14:paraId="6B28CFE2" w14:textId="77777777" w:rsidR="00387142" w:rsidRPr="008B6A75" w:rsidRDefault="00387142" w:rsidP="00387142">
            <w:pPr>
              <w:rPr>
                <w:bCs/>
                <w:sz w:val="20"/>
                <w:szCs w:val="20"/>
              </w:rPr>
            </w:pPr>
            <w:r w:rsidRPr="008B6A75">
              <w:rPr>
                <w:bCs/>
                <w:sz w:val="20"/>
                <w:szCs w:val="20"/>
              </w:rPr>
              <w:t>ЖИЛИЩНО-КОММУНАЛЬНОЕ ХОЗЯЙСТВО</w:t>
            </w:r>
          </w:p>
        </w:tc>
        <w:tc>
          <w:tcPr>
            <w:tcW w:w="850" w:type="dxa"/>
            <w:tcBorders>
              <w:top w:val="nil"/>
              <w:left w:val="single" w:sz="4" w:space="0" w:color="auto"/>
              <w:bottom w:val="nil"/>
              <w:right w:val="nil"/>
            </w:tcBorders>
            <w:shd w:val="clear" w:color="auto" w:fill="auto"/>
            <w:noWrap/>
            <w:vAlign w:val="center"/>
            <w:hideMark/>
          </w:tcPr>
          <w:p w14:paraId="17BC07F1" w14:textId="77777777" w:rsidR="00387142" w:rsidRPr="008B6A75" w:rsidRDefault="00387142" w:rsidP="00387142">
            <w:pPr>
              <w:jc w:val="center"/>
              <w:rPr>
                <w:bCs/>
                <w:sz w:val="20"/>
                <w:szCs w:val="20"/>
              </w:rPr>
            </w:pPr>
            <w:r w:rsidRPr="008B6A75">
              <w:rPr>
                <w:bCs/>
                <w:sz w:val="20"/>
                <w:szCs w:val="20"/>
              </w:rPr>
              <w:t>444</w:t>
            </w:r>
          </w:p>
        </w:tc>
        <w:tc>
          <w:tcPr>
            <w:tcW w:w="709" w:type="dxa"/>
            <w:tcBorders>
              <w:top w:val="nil"/>
              <w:left w:val="single" w:sz="4" w:space="0" w:color="auto"/>
              <w:bottom w:val="nil"/>
              <w:right w:val="nil"/>
            </w:tcBorders>
            <w:shd w:val="clear" w:color="auto" w:fill="auto"/>
            <w:noWrap/>
            <w:vAlign w:val="center"/>
            <w:hideMark/>
          </w:tcPr>
          <w:p w14:paraId="23895F53" w14:textId="77777777" w:rsidR="00387142" w:rsidRPr="008B6A75" w:rsidRDefault="00387142" w:rsidP="00387142">
            <w:pPr>
              <w:jc w:val="center"/>
              <w:rPr>
                <w:bCs/>
                <w:sz w:val="20"/>
                <w:szCs w:val="20"/>
              </w:rPr>
            </w:pPr>
            <w:r w:rsidRPr="008B6A75">
              <w:rPr>
                <w:bCs/>
                <w:sz w:val="20"/>
                <w:szCs w:val="20"/>
              </w:rPr>
              <w:t>05</w:t>
            </w:r>
          </w:p>
        </w:tc>
        <w:tc>
          <w:tcPr>
            <w:tcW w:w="709" w:type="dxa"/>
            <w:tcBorders>
              <w:top w:val="nil"/>
              <w:left w:val="single" w:sz="4" w:space="0" w:color="auto"/>
              <w:bottom w:val="nil"/>
              <w:right w:val="single" w:sz="4" w:space="0" w:color="auto"/>
            </w:tcBorders>
            <w:shd w:val="clear" w:color="auto" w:fill="auto"/>
            <w:noWrap/>
            <w:vAlign w:val="center"/>
            <w:hideMark/>
          </w:tcPr>
          <w:p w14:paraId="681AC486" w14:textId="77777777" w:rsidR="00387142" w:rsidRPr="008B6A75" w:rsidRDefault="00387142" w:rsidP="00387142">
            <w:pPr>
              <w:jc w:val="center"/>
              <w:rPr>
                <w:bCs/>
                <w:sz w:val="20"/>
                <w:szCs w:val="20"/>
              </w:rPr>
            </w:pPr>
            <w:r w:rsidRPr="008B6A75">
              <w:rPr>
                <w:bCs/>
                <w:sz w:val="20"/>
                <w:szCs w:val="20"/>
              </w:rPr>
              <w:t> </w:t>
            </w:r>
          </w:p>
        </w:tc>
        <w:tc>
          <w:tcPr>
            <w:tcW w:w="1411" w:type="dxa"/>
            <w:tcBorders>
              <w:top w:val="nil"/>
              <w:left w:val="single" w:sz="4" w:space="0" w:color="auto"/>
              <w:bottom w:val="nil"/>
              <w:right w:val="nil"/>
            </w:tcBorders>
            <w:shd w:val="clear" w:color="auto" w:fill="auto"/>
            <w:noWrap/>
            <w:vAlign w:val="center"/>
            <w:hideMark/>
          </w:tcPr>
          <w:p w14:paraId="65F22C8F" w14:textId="77777777" w:rsidR="00387142" w:rsidRPr="008B6A75" w:rsidRDefault="00387142" w:rsidP="00387142">
            <w:pPr>
              <w:jc w:val="center"/>
              <w:rPr>
                <w:bCs/>
                <w:sz w:val="20"/>
                <w:szCs w:val="20"/>
              </w:rPr>
            </w:pPr>
            <w:r w:rsidRPr="008B6A75">
              <w:rPr>
                <w:bCs/>
                <w:sz w:val="20"/>
                <w:szCs w:val="20"/>
              </w:rPr>
              <w:t> </w:t>
            </w:r>
          </w:p>
        </w:tc>
        <w:tc>
          <w:tcPr>
            <w:tcW w:w="955" w:type="dxa"/>
            <w:tcBorders>
              <w:top w:val="nil"/>
              <w:left w:val="single" w:sz="4" w:space="0" w:color="auto"/>
              <w:bottom w:val="nil"/>
              <w:right w:val="single" w:sz="4" w:space="0" w:color="auto"/>
            </w:tcBorders>
            <w:shd w:val="clear" w:color="auto" w:fill="auto"/>
            <w:noWrap/>
            <w:vAlign w:val="center"/>
            <w:hideMark/>
          </w:tcPr>
          <w:p w14:paraId="16A448A9"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nil"/>
              <w:right w:val="single" w:sz="4" w:space="0" w:color="auto"/>
            </w:tcBorders>
            <w:shd w:val="clear" w:color="auto" w:fill="auto"/>
            <w:noWrap/>
            <w:vAlign w:val="center"/>
            <w:hideMark/>
          </w:tcPr>
          <w:p w14:paraId="378445A6" w14:textId="77777777" w:rsidR="00387142" w:rsidRPr="008B6A75" w:rsidRDefault="00387142" w:rsidP="00387142">
            <w:pPr>
              <w:jc w:val="right"/>
              <w:rPr>
                <w:bCs/>
                <w:sz w:val="20"/>
                <w:szCs w:val="20"/>
              </w:rPr>
            </w:pPr>
            <w:r w:rsidRPr="008B6A75">
              <w:rPr>
                <w:bCs/>
                <w:sz w:val="20"/>
                <w:szCs w:val="20"/>
              </w:rPr>
              <w:t>274 224 999,76</w:t>
            </w:r>
          </w:p>
        </w:tc>
        <w:tc>
          <w:tcPr>
            <w:tcW w:w="992" w:type="dxa"/>
            <w:gridSpan w:val="2"/>
            <w:tcBorders>
              <w:top w:val="nil"/>
              <w:left w:val="single" w:sz="4" w:space="0" w:color="auto"/>
              <w:bottom w:val="nil"/>
              <w:right w:val="nil"/>
            </w:tcBorders>
            <w:shd w:val="clear" w:color="auto" w:fill="auto"/>
            <w:noWrap/>
            <w:vAlign w:val="center"/>
            <w:hideMark/>
          </w:tcPr>
          <w:p w14:paraId="6870CB5E" w14:textId="77777777" w:rsidR="00387142" w:rsidRPr="008B6A75" w:rsidRDefault="00387142" w:rsidP="00387142">
            <w:pPr>
              <w:jc w:val="right"/>
              <w:rPr>
                <w:bCs/>
                <w:sz w:val="20"/>
                <w:szCs w:val="20"/>
              </w:rPr>
            </w:pPr>
            <w:r w:rsidRPr="008B6A75">
              <w:rPr>
                <w:bCs/>
                <w:sz w:val="20"/>
                <w:szCs w:val="20"/>
              </w:rPr>
              <w:t>143 985 969,03</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4A36BBBA" w14:textId="77777777" w:rsidR="00387142" w:rsidRPr="008B6A75" w:rsidRDefault="00387142" w:rsidP="00387142">
            <w:pPr>
              <w:jc w:val="right"/>
              <w:rPr>
                <w:bCs/>
                <w:sz w:val="20"/>
                <w:szCs w:val="20"/>
              </w:rPr>
            </w:pPr>
            <w:r w:rsidRPr="008B6A75">
              <w:rPr>
                <w:bCs/>
                <w:sz w:val="20"/>
                <w:szCs w:val="20"/>
              </w:rPr>
              <w:t>77 057 396,84</w:t>
            </w:r>
          </w:p>
        </w:tc>
        <w:tc>
          <w:tcPr>
            <w:tcW w:w="222" w:type="dxa"/>
            <w:vAlign w:val="center"/>
            <w:hideMark/>
          </w:tcPr>
          <w:p w14:paraId="30CC9B99" w14:textId="77777777" w:rsidR="00387142" w:rsidRPr="008B6A75" w:rsidRDefault="00387142" w:rsidP="00387142">
            <w:pPr>
              <w:rPr>
                <w:sz w:val="20"/>
                <w:szCs w:val="20"/>
              </w:rPr>
            </w:pPr>
          </w:p>
        </w:tc>
      </w:tr>
      <w:tr w:rsidR="00387142" w:rsidRPr="008B6A75" w14:paraId="5464B3B1" w14:textId="77777777" w:rsidTr="00387142">
        <w:trPr>
          <w:trHeight w:val="300"/>
        </w:trPr>
        <w:tc>
          <w:tcPr>
            <w:tcW w:w="3021" w:type="dxa"/>
            <w:tcBorders>
              <w:top w:val="single" w:sz="4" w:space="0" w:color="auto"/>
              <w:left w:val="single" w:sz="4" w:space="0" w:color="auto"/>
              <w:bottom w:val="nil"/>
              <w:right w:val="nil"/>
            </w:tcBorders>
            <w:shd w:val="clear" w:color="auto" w:fill="auto"/>
            <w:vAlign w:val="center"/>
            <w:hideMark/>
          </w:tcPr>
          <w:p w14:paraId="49289103" w14:textId="77777777" w:rsidR="00387142" w:rsidRPr="008B6A75" w:rsidRDefault="00387142" w:rsidP="00387142">
            <w:pPr>
              <w:rPr>
                <w:bCs/>
                <w:sz w:val="20"/>
                <w:szCs w:val="20"/>
              </w:rPr>
            </w:pPr>
            <w:r w:rsidRPr="008B6A75">
              <w:rPr>
                <w:bCs/>
                <w:sz w:val="20"/>
                <w:szCs w:val="20"/>
              </w:rPr>
              <w:t>Жилищное хозяйство</w:t>
            </w:r>
          </w:p>
        </w:tc>
        <w:tc>
          <w:tcPr>
            <w:tcW w:w="850" w:type="dxa"/>
            <w:tcBorders>
              <w:top w:val="single" w:sz="4" w:space="0" w:color="auto"/>
              <w:left w:val="single" w:sz="4" w:space="0" w:color="auto"/>
              <w:bottom w:val="nil"/>
              <w:right w:val="nil"/>
            </w:tcBorders>
            <w:shd w:val="clear" w:color="auto" w:fill="auto"/>
            <w:noWrap/>
            <w:vAlign w:val="center"/>
            <w:hideMark/>
          </w:tcPr>
          <w:p w14:paraId="344FFAFB" w14:textId="77777777" w:rsidR="00387142" w:rsidRPr="008B6A75" w:rsidRDefault="00387142" w:rsidP="00387142">
            <w:pPr>
              <w:jc w:val="center"/>
              <w:rPr>
                <w:bCs/>
                <w:sz w:val="20"/>
                <w:szCs w:val="20"/>
              </w:rPr>
            </w:pPr>
            <w:r w:rsidRPr="008B6A75">
              <w:rPr>
                <w:bCs/>
                <w:sz w:val="20"/>
                <w:szCs w:val="20"/>
              </w:rPr>
              <w:t>444</w:t>
            </w:r>
          </w:p>
        </w:tc>
        <w:tc>
          <w:tcPr>
            <w:tcW w:w="709" w:type="dxa"/>
            <w:tcBorders>
              <w:top w:val="single" w:sz="4" w:space="0" w:color="auto"/>
              <w:left w:val="single" w:sz="4" w:space="0" w:color="auto"/>
              <w:bottom w:val="nil"/>
              <w:right w:val="nil"/>
            </w:tcBorders>
            <w:shd w:val="clear" w:color="auto" w:fill="auto"/>
            <w:noWrap/>
            <w:vAlign w:val="center"/>
            <w:hideMark/>
          </w:tcPr>
          <w:p w14:paraId="7B5C2F52" w14:textId="77777777" w:rsidR="00387142" w:rsidRPr="008B6A75" w:rsidRDefault="00387142" w:rsidP="00387142">
            <w:pPr>
              <w:jc w:val="center"/>
              <w:rPr>
                <w:bCs/>
                <w:sz w:val="20"/>
                <w:szCs w:val="20"/>
              </w:rPr>
            </w:pPr>
            <w:r w:rsidRPr="008B6A75">
              <w:rPr>
                <w:bCs/>
                <w:sz w:val="20"/>
                <w:szCs w:val="20"/>
              </w:rPr>
              <w:t>05</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1A904937" w14:textId="77777777" w:rsidR="00387142" w:rsidRPr="008B6A75" w:rsidRDefault="00387142" w:rsidP="00387142">
            <w:pPr>
              <w:jc w:val="center"/>
              <w:rPr>
                <w:bCs/>
                <w:sz w:val="20"/>
                <w:szCs w:val="20"/>
              </w:rPr>
            </w:pPr>
            <w:r w:rsidRPr="008B6A75">
              <w:rPr>
                <w:bCs/>
                <w:sz w:val="20"/>
                <w:szCs w:val="20"/>
              </w:rPr>
              <w:t>01</w:t>
            </w:r>
          </w:p>
        </w:tc>
        <w:tc>
          <w:tcPr>
            <w:tcW w:w="1411" w:type="dxa"/>
            <w:tcBorders>
              <w:top w:val="single" w:sz="4" w:space="0" w:color="auto"/>
              <w:left w:val="single" w:sz="4" w:space="0" w:color="auto"/>
              <w:bottom w:val="nil"/>
              <w:right w:val="nil"/>
            </w:tcBorders>
            <w:shd w:val="clear" w:color="auto" w:fill="auto"/>
            <w:noWrap/>
            <w:vAlign w:val="center"/>
            <w:hideMark/>
          </w:tcPr>
          <w:p w14:paraId="2C55702A" w14:textId="77777777" w:rsidR="00387142" w:rsidRPr="008B6A75" w:rsidRDefault="00387142" w:rsidP="00387142">
            <w:pPr>
              <w:jc w:val="center"/>
              <w:rPr>
                <w:bCs/>
                <w:sz w:val="20"/>
                <w:szCs w:val="20"/>
              </w:rPr>
            </w:pPr>
            <w:r w:rsidRPr="008B6A75">
              <w:rPr>
                <w:bCs/>
                <w:sz w:val="20"/>
                <w:szCs w:val="20"/>
              </w:rPr>
              <w:t> </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64BCC30A" w14:textId="77777777" w:rsidR="00387142" w:rsidRPr="008B6A75" w:rsidRDefault="00387142" w:rsidP="00387142">
            <w:pPr>
              <w:jc w:val="center"/>
              <w:rPr>
                <w:bCs/>
                <w:sz w:val="20"/>
                <w:szCs w:val="20"/>
              </w:rPr>
            </w:pPr>
            <w:r w:rsidRPr="008B6A75">
              <w:rPr>
                <w:bCs/>
                <w:sz w:val="20"/>
                <w:szCs w:val="20"/>
              </w:rPr>
              <w:t> </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389330EC" w14:textId="77777777" w:rsidR="00387142" w:rsidRPr="008B6A75" w:rsidRDefault="00387142" w:rsidP="00387142">
            <w:pPr>
              <w:jc w:val="right"/>
              <w:rPr>
                <w:bCs/>
                <w:sz w:val="20"/>
                <w:szCs w:val="20"/>
              </w:rPr>
            </w:pPr>
            <w:r w:rsidRPr="008B6A75">
              <w:rPr>
                <w:bCs/>
                <w:sz w:val="20"/>
                <w:szCs w:val="20"/>
              </w:rPr>
              <w:t>95 438 965,18</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01C8A2DB" w14:textId="77777777" w:rsidR="00387142" w:rsidRPr="008B6A75" w:rsidRDefault="00387142" w:rsidP="00387142">
            <w:pPr>
              <w:jc w:val="right"/>
              <w:rPr>
                <w:bCs/>
                <w:sz w:val="20"/>
                <w:szCs w:val="20"/>
              </w:rPr>
            </w:pPr>
            <w:r w:rsidRPr="008B6A75">
              <w:rPr>
                <w:bCs/>
                <w:sz w:val="20"/>
                <w:szCs w:val="20"/>
              </w:rPr>
              <w:t>25 976 894,74</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091C6C3A" w14:textId="77777777" w:rsidR="00387142" w:rsidRPr="008B6A75" w:rsidRDefault="00387142" w:rsidP="00387142">
            <w:pPr>
              <w:jc w:val="right"/>
              <w:rPr>
                <w:bCs/>
                <w:sz w:val="20"/>
                <w:szCs w:val="20"/>
              </w:rPr>
            </w:pPr>
            <w:r w:rsidRPr="008B6A75">
              <w:rPr>
                <w:bCs/>
                <w:sz w:val="20"/>
                <w:szCs w:val="20"/>
              </w:rPr>
              <w:t>21 591 336,84</w:t>
            </w:r>
          </w:p>
        </w:tc>
        <w:tc>
          <w:tcPr>
            <w:tcW w:w="222" w:type="dxa"/>
            <w:vAlign w:val="center"/>
            <w:hideMark/>
          </w:tcPr>
          <w:p w14:paraId="2270972F" w14:textId="77777777" w:rsidR="00387142" w:rsidRPr="008B6A75" w:rsidRDefault="00387142" w:rsidP="00387142">
            <w:pPr>
              <w:rPr>
                <w:sz w:val="20"/>
                <w:szCs w:val="20"/>
              </w:rPr>
            </w:pPr>
          </w:p>
        </w:tc>
      </w:tr>
      <w:tr w:rsidR="00387142" w:rsidRPr="008B6A75" w14:paraId="31D24A2A" w14:textId="77777777" w:rsidTr="00387142">
        <w:trPr>
          <w:trHeight w:val="300"/>
        </w:trPr>
        <w:tc>
          <w:tcPr>
            <w:tcW w:w="3021" w:type="dxa"/>
            <w:tcBorders>
              <w:top w:val="single" w:sz="4" w:space="0" w:color="auto"/>
              <w:left w:val="single" w:sz="4" w:space="0" w:color="auto"/>
              <w:bottom w:val="nil"/>
              <w:right w:val="nil"/>
            </w:tcBorders>
            <w:shd w:val="clear" w:color="auto" w:fill="auto"/>
            <w:vAlign w:val="center"/>
            <w:hideMark/>
          </w:tcPr>
          <w:p w14:paraId="364E5EC9" w14:textId="77777777" w:rsidR="00387142" w:rsidRPr="008B6A75" w:rsidRDefault="00387142" w:rsidP="00387142">
            <w:pPr>
              <w:rPr>
                <w:bCs/>
                <w:sz w:val="20"/>
                <w:szCs w:val="20"/>
              </w:rPr>
            </w:pPr>
            <w:r w:rsidRPr="008B6A75">
              <w:rPr>
                <w:bCs/>
                <w:sz w:val="20"/>
                <w:szCs w:val="20"/>
              </w:rPr>
              <w:t>Непрограммные направления бюджета</w:t>
            </w:r>
          </w:p>
        </w:tc>
        <w:tc>
          <w:tcPr>
            <w:tcW w:w="850" w:type="dxa"/>
            <w:tcBorders>
              <w:top w:val="single" w:sz="4" w:space="0" w:color="auto"/>
              <w:left w:val="single" w:sz="4" w:space="0" w:color="auto"/>
              <w:bottom w:val="nil"/>
              <w:right w:val="nil"/>
            </w:tcBorders>
            <w:shd w:val="clear" w:color="auto" w:fill="auto"/>
            <w:noWrap/>
            <w:vAlign w:val="center"/>
            <w:hideMark/>
          </w:tcPr>
          <w:p w14:paraId="77972021" w14:textId="77777777" w:rsidR="00387142" w:rsidRPr="008B6A75" w:rsidRDefault="00387142" w:rsidP="00387142">
            <w:pPr>
              <w:jc w:val="center"/>
              <w:rPr>
                <w:bCs/>
                <w:sz w:val="20"/>
                <w:szCs w:val="20"/>
              </w:rPr>
            </w:pPr>
            <w:r w:rsidRPr="008B6A75">
              <w:rPr>
                <w:bCs/>
                <w:sz w:val="20"/>
                <w:szCs w:val="20"/>
              </w:rPr>
              <w:t>444</w:t>
            </w:r>
          </w:p>
        </w:tc>
        <w:tc>
          <w:tcPr>
            <w:tcW w:w="709" w:type="dxa"/>
            <w:tcBorders>
              <w:top w:val="single" w:sz="4" w:space="0" w:color="auto"/>
              <w:left w:val="single" w:sz="4" w:space="0" w:color="auto"/>
              <w:bottom w:val="nil"/>
              <w:right w:val="nil"/>
            </w:tcBorders>
            <w:shd w:val="clear" w:color="auto" w:fill="auto"/>
            <w:noWrap/>
            <w:vAlign w:val="center"/>
            <w:hideMark/>
          </w:tcPr>
          <w:p w14:paraId="7BB88D64" w14:textId="77777777" w:rsidR="00387142" w:rsidRPr="008B6A75" w:rsidRDefault="00387142" w:rsidP="00387142">
            <w:pPr>
              <w:jc w:val="center"/>
              <w:rPr>
                <w:bCs/>
                <w:sz w:val="20"/>
                <w:szCs w:val="20"/>
              </w:rPr>
            </w:pPr>
            <w:r w:rsidRPr="008B6A75">
              <w:rPr>
                <w:bCs/>
                <w:sz w:val="20"/>
                <w:szCs w:val="20"/>
              </w:rPr>
              <w:t>05</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72153BD2" w14:textId="77777777" w:rsidR="00387142" w:rsidRPr="008B6A75" w:rsidRDefault="00387142" w:rsidP="00387142">
            <w:pPr>
              <w:jc w:val="center"/>
              <w:rPr>
                <w:bCs/>
                <w:sz w:val="20"/>
                <w:szCs w:val="20"/>
              </w:rPr>
            </w:pPr>
            <w:r w:rsidRPr="008B6A75">
              <w:rPr>
                <w:bCs/>
                <w:sz w:val="20"/>
                <w:szCs w:val="20"/>
              </w:rPr>
              <w:t>01</w:t>
            </w:r>
          </w:p>
        </w:tc>
        <w:tc>
          <w:tcPr>
            <w:tcW w:w="1411" w:type="dxa"/>
            <w:tcBorders>
              <w:top w:val="single" w:sz="4" w:space="0" w:color="auto"/>
              <w:left w:val="single" w:sz="4" w:space="0" w:color="auto"/>
              <w:bottom w:val="nil"/>
              <w:right w:val="nil"/>
            </w:tcBorders>
            <w:shd w:val="clear" w:color="auto" w:fill="auto"/>
            <w:noWrap/>
            <w:vAlign w:val="center"/>
            <w:hideMark/>
          </w:tcPr>
          <w:p w14:paraId="33A4E94A" w14:textId="77777777" w:rsidR="00387142" w:rsidRPr="008B6A75" w:rsidRDefault="00387142" w:rsidP="00387142">
            <w:pPr>
              <w:jc w:val="center"/>
              <w:rPr>
                <w:bCs/>
                <w:sz w:val="20"/>
                <w:szCs w:val="20"/>
              </w:rPr>
            </w:pPr>
            <w:r w:rsidRPr="008B6A75">
              <w:rPr>
                <w:bCs/>
                <w:sz w:val="20"/>
                <w:szCs w:val="20"/>
              </w:rPr>
              <w:t>99.0.00.00000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58969B6A" w14:textId="77777777" w:rsidR="00387142" w:rsidRPr="008B6A75" w:rsidRDefault="00387142" w:rsidP="00387142">
            <w:pPr>
              <w:jc w:val="center"/>
              <w:rPr>
                <w:bCs/>
                <w:sz w:val="20"/>
                <w:szCs w:val="20"/>
              </w:rPr>
            </w:pPr>
            <w:r w:rsidRPr="008B6A75">
              <w:rPr>
                <w:bCs/>
                <w:sz w:val="20"/>
                <w:szCs w:val="20"/>
              </w:rPr>
              <w:t> </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24D5220D" w14:textId="77777777" w:rsidR="00387142" w:rsidRPr="008B6A75" w:rsidRDefault="00387142" w:rsidP="00387142">
            <w:pPr>
              <w:jc w:val="right"/>
              <w:rPr>
                <w:bCs/>
                <w:sz w:val="20"/>
                <w:szCs w:val="20"/>
              </w:rPr>
            </w:pPr>
            <w:r w:rsidRPr="008B6A75">
              <w:rPr>
                <w:bCs/>
                <w:sz w:val="20"/>
                <w:szCs w:val="20"/>
              </w:rPr>
              <w:t>95 438 965,18</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1F881FD2" w14:textId="77777777" w:rsidR="00387142" w:rsidRPr="008B6A75" w:rsidRDefault="00387142" w:rsidP="00387142">
            <w:pPr>
              <w:jc w:val="right"/>
              <w:rPr>
                <w:bCs/>
                <w:sz w:val="20"/>
                <w:szCs w:val="20"/>
              </w:rPr>
            </w:pPr>
            <w:r w:rsidRPr="008B6A75">
              <w:rPr>
                <w:bCs/>
                <w:sz w:val="20"/>
                <w:szCs w:val="20"/>
              </w:rPr>
              <w:t>25 976 894,74</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44397FA0" w14:textId="77777777" w:rsidR="00387142" w:rsidRPr="008B6A75" w:rsidRDefault="00387142" w:rsidP="00387142">
            <w:pPr>
              <w:jc w:val="right"/>
              <w:rPr>
                <w:bCs/>
                <w:sz w:val="20"/>
                <w:szCs w:val="20"/>
              </w:rPr>
            </w:pPr>
            <w:r w:rsidRPr="008B6A75">
              <w:rPr>
                <w:bCs/>
                <w:sz w:val="20"/>
                <w:szCs w:val="20"/>
              </w:rPr>
              <w:t>21 591 336,84</w:t>
            </w:r>
          </w:p>
        </w:tc>
        <w:tc>
          <w:tcPr>
            <w:tcW w:w="222" w:type="dxa"/>
            <w:vAlign w:val="center"/>
            <w:hideMark/>
          </w:tcPr>
          <w:p w14:paraId="6CE1E9C6" w14:textId="77777777" w:rsidR="00387142" w:rsidRPr="008B6A75" w:rsidRDefault="00387142" w:rsidP="00387142">
            <w:pPr>
              <w:rPr>
                <w:sz w:val="20"/>
                <w:szCs w:val="20"/>
              </w:rPr>
            </w:pPr>
          </w:p>
        </w:tc>
      </w:tr>
      <w:tr w:rsidR="00387142" w:rsidRPr="008B6A75" w14:paraId="2A80E95A" w14:textId="77777777" w:rsidTr="00387142">
        <w:trPr>
          <w:trHeight w:val="585"/>
        </w:trPr>
        <w:tc>
          <w:tcPr>
            <w:tcW w:w="3021" w:type="dxa"/>
            <w:tcBorders>
              <w:top w:val="single" w:sz="4" w:space="0" w:color="auto"/>
              <w:left w:val="single" w:sz="4" w:space="0" w:color="auto"/>
              <w:bottom w:val="nil"/>
              <w:right w:val="nil"/>
            </w:tcBorders>
            <w:shd w:val="clear" w:color="auto" w:fill="auto"/>
            <w:vAlign w:val="center"/>
            <w:hideMark/>
          </w:tcPr>
          <w:p w14:paraId="6B740333" w14:textId="77777777" w:rsidR="00387142" w:rsidRPr="008B6A75" w:rsidRDefault="00387142" w:rsidP="00387142">
            <w:pPr>
              <w:rPr>
                <w:bCs/>
                <w:sz w:val="20"/>
                <w:szCs w:val="20"/>
              </w:rPr>
            </w:pPr>
            <w:r w:rsidRPr="008B6A75">
              <w:rPr>
                <w:bCs/>
                <w:sz w:val="20"/>
                <w:szCs w:val="20"/>
              </w:rPr>
              <w:lastRenderedPageBreak/>
              <w:t>Мероприятия в области строительства муниципального жилого фонда</w:t>
            </w:r>
          </w:p>
        </w:tc>
        <w:tc>
          <w:tcPr>
            <w:tcW w:w="850" w:type="dxa"/>
            <w:tcBorders>
              <w:top w:val="single" w:sz="4" w:space="0" w:color="auto"/>
              <w:left w:val="single" w:sz="4" w:space="0" w:color="auto"/>
              <w:bottom w:val="nil"/>
              <w:right w:val="nil"/>
            </w:tcBorders>
            <w:shd w:val="clear" w:color="auto" w:fill="auto"/>
            <w:noWrap/>
            <w:vAlign w:val="center"/>
            <w:hideMark/>
          </w:tcPr>
          <w:p w14:paraId="5CABA27A" w14:textId="77777777" w:rsidR="00387142" w:rsidRPr="008B6A75" w:rsidRDefault="00387142" w:rsidP="00387142">
            <w:pPr>
              <w:jc w:val="center"/>
              <w:rPr>
                <w:bCs/>
                <w:sz w:val="20"/>
                <w:szCs w:val="20"/>
              </w:rPr>
            </w:pPr>
            <w:r w:rsidRPr="008B6A75">
              <w:rPr>
                <w:bCs/>
                <w:sz w:val="20"/>
                <w:szCs w:val="20"/>
              </w:rPr>
              <w:t>444</w:t>
            </w:r>
          </w:p>
        </w:tc>
        <w:tc>
          <w:tcPr>
            <w:tcW w:w="709" w:type="dxa"/>
            <w:tcBorders>
              <w:top w:val="single" w:sz="4" w:space="0" w:color="auto"/>
              <w:left w:val="single" w:sz="4" w:space="0" w:color="auto"/>
              <w:bottom w:val="nil"/>
              <w:right w:val="nil"/>
            </w:tcBorders>
            <w:shd w:val="clear" w:color="auto" w:fill="auto"/>
            <w:noWrap/>
            <w:vAlign w:val="center"/>
            <w:hideMark/>
          </w:tcPr>
          <w:p w14:paraId="3F851257" w14:textId="77777777" w:rsidR="00387142" w:rsidRPr="008B6A75" w:rsidRDefault="00387142" w:rsidP="00387142">
            <w:pPr>
              <w:jc w:val="center"/>
              <w:rPr>
                <w:bCs/>
                <w:sz w:val="20"/>
                <w:szCs w:val="20"/>
              </w:rPr>
            </w:pPr>
            <w:r w:rsidRPr="008B6A75">
              <w:rPr>
                <w:bCs/>
                <w:sz w:val="20"/>
                <w:szCs w:val="20"/>
              </w:rPr>
              <w:t>05</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6F1D5C49" w14:textId="77777777" w:rsidR="00387142" w:rsidRPr="008B6A75" w:rsidRDefault="00387142" w:rsidP="00387142">
            <w:pPr>
              <w:jc w:val="center"/>
              <w:rPr>
                <w:bCs/>
                <w:sz w:val="20"/>
                <w:szCs w:val="20"/>
              </w:rPr>
            </w:pPr>
            <w:r w:rsidRPr="008B6A75">
              <w:rPr>
                <w:bCs/>
                <w:sz w:val="20"/>
                <w:szCs w:val="20"/>
              </w:rPr>
              <w:t>01</w:t>
            </w:r>
          </w:p>
        </w:tc>
        <w:tc>
          <w:tcPr>
            <w:tcW w:w="1411" w:type="dxa"/>
            <w:tcBorders>
              <w:top w:val="single" w:sz="4" w:space="0" w:color="auto"/>
              <w:left w:val="single" w:sz="4" w:space="0" w:color="auto"/>
              <w:bottom w:val="nil"/>
              <w:right w:val="nil"/>
            </w:tcBorders>
            <w:shd w:val="clear" w:color="auto" w:fill="auto"/>
            <w:noWrap/>
            <w:vAlign w:val="center"/>
            <w:hideMark/>
          </w:tcPr>
          <w:p w14:paraId="546A3DB3" w14:textId="77777777" w:rsidR="00387142" w:rsidRPr="008B6A75" w:rsidRDefault="00387142" w:rsidP="00387142">
            <w:pPr>
              <w:jc w:val="center"/>
              <w:rPr>
                <w:bCs/>
                <w:sz w:val="20"/>
                <w:szCs w:val="20"/>
              </w:rPr>
            </w:pPr>
            <w:r w:rsidRPr="008B6A75">
              <w:rPr>
                <w:bCs/>
                <w:sz w:val="20"/>
                <w:szCs w:val="20"/>
              </w:rPr>
              <w:t>99.0.00.05130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0ACDEC80" w14:textId="77777777" w:rsidR="00387142" w:rsidRPr="008B6A75" w:rsidRDefault="00387142" w:rsidP="00387142">
            <w:pPr>
              <w:jc w:val="center"/>
              <w:rPr>
                <w:bCs/>
                <w:sz w:val="20"/>
                <w:szCs w:val="20"/>
              </w:rPr>
            </w:pPr>
            <w:r w:rsidRPr="008B6A75">
              <w:rPr>
                <w:bCs/>
                <w:sz w:val="20"/>
                <w:szCs w:val="20"/>
              </w:rPr>
              <w:t> </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18F69044" w14:textId="77777777" w:rsidR="00387142" w:rsidRPr="008B6A75" w:rsidRDefault="00387142" w:rsidP="00387142">
            <w:pPr>
              <w:jc w:val="right"/>
              <w:rPr>
                <w:bCs/>
                <w:sz w:val="20"/>
                <w:szCs w:val="20"/>
              </w:rPr>
            </w:pPr>
            <w:r w:rsidRPr="008B6A75">
              <w:rPr>
                <w:bCs/>
                <w:sz w:val="20"/>
                <w:szCs w:val="20"/>
              </w:rPr>
              <w:t>2 000 000,00</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46094929" w14:textId="77777777" w:rsidR="00387142" w:rsidRPr="008B6A75" w:rsidRDefault="00387142" w:rsidP="00387142">
            <w:pPr>
              <w:jc w:val="right"/>
              <w:rPr>
                <w:bCs/>
                <w:sz w:val="20"/>
                <w:szCs w:val="20"/>
              </w:rPr>
            </w:pPr>
            <w:r w:rsidRPr="008B6A75">
              <w:rPr>
                <w:bCs/>
                <w:sz w:val="20"/>
                <w:szCs w:val="20"/>
              </w:rPr>
              <w:t>5 000 000,00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6D48762B" w14:textId="77777777" w:rsidR="00387142" w:rsidRPr="008B6A75" w:rsidRDefault="00387142" w:rsidP="00387142">
            <w:pPr>
              <w:jc w:val="right"/>
              <w:rPr>
                <w:bCs/>
                <w:sz w:val="20"/>
                <w:szCs w:val="20"/>
              </w:rPr>
            </w:pPr>
            <w:r w:rsidRPr="008B6A75">
              <w:rPr>
                <w:bCs/>
                <w:sz w:val="20"/>
                <w:szCs w:val="20"/>
              </w:rPr>
              <w:t>0,00</w:t>
            </w:r>
          </w:p>
        </w:tc>
        <w:tc>
          <w:tcPr>
            <w:tcW w:w="222" w:type="dxa"/>
            <w:vAlign w:val="center"/>
            <w:hideMark/>
          </w:tcPr>
          <w:p w14:paraId="0FEA4C61" w14:textId="77777777" w:rsidR="00387142" w:rsidRPr="008B6A75" w:rsidRDefault="00387142" w:rsidP="00387142">
            <w:pPr>
              <w:rPr>
                <w:sz w:val="20"/>
                <w:szCs w:val="20"/>
              </w:rPr>
            </w:pPr>
          </w:p>
        </w:tc>
      </w:tr>
      <w:tr w:rsidR="00387142" w:rsidRPr="008B6A75" w14:paraId="48065ABC" w14:textId="77777777" w:rsidTr="00387142">
        <w:trPr>
          <w:trHeight w:val="870"/>
        </w:trPr>
        <w:tc>
          <w:tcPr>
            <w:tcW w:w="3021" w:type="dxa"/>
            <w:tcBorders>
              <w:top w:val="single" w:sz="4" w:space="0" w:color="auto"/>
              <w:left w:val="single" w:sz="4" w:space="0" w:color="auto"/>
              <w:bottom w:val="nil"/>
              <w:right w:val="nil"/>
            </w:tcBorders>
            <w:shd w:val="clear" w:color="auto" w:fill="auto"/>
            <w:vAlign w:val="center"/>
            <w:hideMark/>
          </w:tcPr>
          <w:p w14:paraId="2E84D971" w14:textId="77777777" w:rsidR="00387142" w:rsidRPr="008B6A75" w:rsidRDefault="00387142" w:rsidP="00387142">
            <w:pPr>
              <w:rPr>
                <w:sz w:val="20"/>
                <w:szCs w:val="20"/>
              </w:rPr>
            </w:pPr>
            <w:r w:rsidRPr="008B6A75">
              <w:rPr>
                <w:sz w:val="20"/>
                <w:szCs w:val="20"/>
              </w:rPr>
              <w:t>Капитальные вложения в объекты государственной (муниципальной) собственности</w:t>
            </w:r>
          </w:p>
        </w:tc>
        <w:tc>
          <w:tcPr>
            <w:tcW w:w="850" w:type="dxa"/>
            <w:tcBorders>
              <w:top w:val="single" w:sz="4" w:space="0" w:color="auto"/>
              <w:left w:val="single" w:sz="4" w:space="0" w:color="auto"/>
              <w:bottom w:val="nil"/>
              <w:right w:val="nil"/>
            </w:tcBorders>
            <w:shd w:val="clear" w:color="auto" w:fill="auto"/>
            <w:noWrap/>
            <w:vAlign w:val="center"/>
            <w:hideMark/>
          </w:tcPr>
          <w:p w14:paraId="3996A349" w14:textId="77777777" w:rsidR="00387142" w:rsidRPr="008B6A75" w:rsidRDefault="00387142" w:rsidP="00387142">
            <w:pPr>
              <w:jc w:val="center"/>
              <w:rPr>
                <w:sz w:val="20"/>
                <w:szCs w:val="20"/>
              </w:rPr>
            </w:pPr>
            <w:r w:rsidRPr="008B6A75">
              <w:rPr>
                <w:sz w:val="20"/>
                <w:szCs w:val="20"/>
              </w:rPr>
              <w:t>444</w:t>
            </w:r>
          </w:p>
        </w:tc>
        <w:tc>
          <w:tcPr>
            <w:tcW w:w="709" w:type="dxa"/>
            <w:tcBorders>
              <w:top w:val="single" w:sz="4" w:space="0" w:color="auto"/>
              <w:left w:val="single" w:sz="4" w:space="0" w:color="auto"/>
              <w:bottom w:val="nil"/>
              <w:right w:val="nil"/>
            </w:tcBorders>
            <w:shd w:val="clear" w:color="auto" w:fill="auto"/>
            <w:noWrap/>
            <w:vAlign w:val="center"/>
            <w:hideMark/>
          </w:tcPr>
          <w:p w14:paraId="6302FC30" w14:textId="77777777" w:rsidR="00387142" w:rsidRPr="008B6A75" w:rsidRDefault="00387142" w:rsidP="00387142">
            <w:pPr>
              <w:jc w:val="center"/>
              <w:rPr>
                <w:sz w:val="20"/>
                <w:szCs w:val="20"/>
              </w:rPr>
            </w:pPr>
            <w:r w:rsidRPr="008B6A75">
              <w:rPr>
                <w:sz w:val="20"/>
                <w:szCs w:val="20"/>
              </w:rPr>
              <w:t>05</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0491A105" w14:textId="77777777" w:rsidR="00387142" w:rsidRPr="008B6A75" w:rsidRDefault="00387142" w:rsidP="00387142">
            <w:pPr>
              <w:jc w:val="center"/>
              <w:rPr>
                <w:sz w:val="20"/>
                <w:szCs w:val="20"/>
              </w:rPr>
            </w:pPr>
            <w:r w:rsidRPr="008B6A75">
              <w:rPr>
                <w:sz w:val="20"/>
                <w:szCs w:val="20"/>
              </w:rPr>
              <w:t>01</w:t>
            </w:r>
          </w:p>
        </w:tc>
        <w:tc>
          <w:tcPr>
            <w:tcW w:w="1411" w:type="dxa"/>
            <w:tcBorders>
              <w:top w:val="single" w:sz="4" w:space="0" w:color="auto"/>
              <w:left w:val="single" w:sz="4" w:space="0" w:color="auto"/>
              <w:bottom w:val="nil"/>
              <w:right w:val="nil"/>
            </w:tcBorders>
            <w:shd w:val="clear" w:color="auto" w:fill="auto"/>
            <w:noWrap/>
            <w:vAlign w:val="center"/>
            <w:hideMark/>
          </w:tcPr>
          <w:p w14:paraId="61DAFFA7" w14:textId="77777777" w:rsidR="00387142" w:rsidRPr="008B6A75" w:rsidRDefault="00387142" w:rsidP="00387142">
            <w:pPr>
              <w:jc w:val="center"/>
              <w:rPr>
                <w:sz w:val="20"/>
                <w:szCs w:val="20"/>
              </w:rPr>
            </w:pPr>
            <w:r w:rsidRPr="008B6A75">
              <w:rPr>
                <w:sz w:val="20"/>
                <w:szCs w:val="20"/>
              </w:rPr>
              <w:t>99.0.00.05130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298E8468" w14:textId="77777777" w:rsidR="00387142" w:rsidRPr="008B6A75" w:rsidRDefault="00387142" w:rsidP="00387142">
            <w:pPr>
              <w:jc w:val="center"/>
              <w:rPr>
                <w:sz w:val="20"/>
                <w:szCs w:val="20"/>
              </w:rPr>
            </w:pPr>
            <w:r w:rsidRPr="008B6A75">
              <w:rPr>
                <w:sz w:val="20"/>
                <w:szCs w:val="20"/>
              </w:rPr>
              <w:t>400</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5B7A6258" w14:textId="77777777" w:rsidR="00387142" w:rsidRPr="008B6A75" w:rsidRDefault="00387142" w:rsidP="00387142">
            <w:pPr>
              <w:jc w:val="right"/>
              <w:rPr>
                <w:sz w:val="20"/>
                <w:szCs w:val="20"/>
              </w:rPr>
            </w:pPr>
            <w:r w:rsidRPr="008B6A75">
              <w:rPr>
                <w:sz w:val="20"/>
                <w:szCs w:val="20"/>
              </w:rPr>
              <w:t>2 000 000,00</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011BBEA3" w14:textId="77777777" w:rsidR="00387142" w:rsidRPr="008B6A75" w:rsidRDefault="00387142" w:rsidP="00387142">
            <w:pPr>
              <w:jc w:val="right"/>
              <w:rPr>
                <w:sz w:val="20"/>
                <w:szCs w:val="20"/>
              </w:rPr>
            </w:pPr>
            <w:r w:rsidRPr="008B6A75">
              <w:rPr>
                <w:sz w:val="20"/>
                <w:szCs w:val="20"/>
              </w:rPr>
              <w:t>5 000 000,00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206D1F93" w14:textId="77777777" w:rsidR="00387142" w:rsidRPr="008B6A75" w:rsidRDefault="00387142" w:rsidP="00387142">
            <w:pPr>
              <w:jc w:val="right"/>
              <w:rPr>
                <w:sz w:val="20"/>
                <w:szCs w:val="20"/>
              </w:rPr>
            </w:pPr>
            <w:r w:rsidRPr="008B6A75">
              <w:rPr>
                <w:sz w:val="20"/>
                <w:szCs w:val="20"/>
              </w:rPr>
              <w:t>0,00</w:t>
            </w:r>
          </w:p>
        </w:tc>
        <w:tc>
          <w:tcPr>
            <w:tcW w:w="222" w:type="dxa"/>
            <w:vAlign w:val="center"/>
            <w:hideMark/>
          </w:tcPr>
          <w:p w14:paraId="15611243" w14:textId="77777777" w:rsidR="00387142" w:rsidRPr="008B6A75" w:rsidRDefault="00387142" w:rsidP="00387142">
            <w:pPr>
              <w:rPr>
                <w:sz w:val="20"/>
                <w:szCs w:val="20"/>
              </w:rPr>
            </w:pPr>
          </w:p>
        </w:tc>
      </w:tr>
      <w:tr w:rsidR="00387142" w:rsidRPr="008B6A75" w14:paraId="56BC9A8C" w14:textId="77777777" w:rsidTr="00387142">
        <w:trPr>
          <w:trHeight w:val="300"/>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36D3BDF2" w14:textId="77777777" w:rsidR="00387142" w:rsidRPr="008B6A75" w:rsidRDefault="00387142" w:rsidP="00387142">
            <w:pPr>
              <w:rPr>
                <w:sz w:val="20"/>
                <w:szCs w:val="20"/>
              </w:rPr>
            </w:pPr>
            <w:r w:rsidRPr="008B6A75">
              <w:rPr>
                <w:sz w:val="20"/>
                <w:szCs w:val="20"/>
              </w:rPr>
              <w:t>Бюджетные инвестиции</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742AAE66" w14:textId="77777777" w:rsidR="00387142" w:rsidRPr="008B6A75" w:rsidRDefault="00387142" w:rsidP="00387142">
            <w:pPr>
              <w:jc w:val="center"/>
              <w:rPr>
                <w:sz w:val="20"/>
                <w:szCs w:val="20"/>
              </w:rPr>
            </w:pPr>
            <w:r w:rsidRPr="008B6A75">
              <w:rPr>
                <w:sz w:val="20"/>
                <w:szCs w:val="20"/>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247175D1" w14:textId="77777777" w:rsidR="00387142" w:rsidRPr="008B6A75" w:rsidRDefault="00387142" w:rsidP="00387142">
            <w:pPr>
              <w:jc w:val="center"/>
              <w:rPr>
                <w:sz w:val="20"/>
                <w:szCs w:val="20"/>
              </w:rPr>
            </w:pPr>
            <w:r w:rsidRPr="008B6A75">
              <w:rPr>
                <w:sz w:val="20"/>
                <w:szCs w:val="20"/>
              </w:rPr>
              <w:t>05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C1A905" w14:textId="77777777" w:rsidR="00387142" w:rsidRPr="008B6A75" w:rsidRDefault="00387142" w:rsidP="00387142">
            <w:pPr>
              <w:jc w:val="center"/>
              <w:rPr>
                <w:sz w:val="20"/>
                <w:szCs w:val="20"/>
              </w:rPr>
            </w:pPr>
            <w:r w:rsidRPr="008B6A75">
              <w:rPr>
                <w:sz w:val="20"/>
                <w:szCs w:val="20"/>
              </w:rPr>
              <w:t>01</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337DF358" w14:textId="77777777" w:rsidR="00387142" w:rsidRPr="008B6A75" w:rsidRDefault="00387142" w:rsidP="00387142">
            <w:pPr>
              <w:jc w:val="center"/>
              <w:rPr>
                <w:sz w:val="20"/>
                <w:szCs w:val="20"/>
              </w:rPr>
            </w:pPr>
            <w:r w:rsidRPr="008B6A75">
              <w:rPr>
                <w:sz w:val="20"/>
                <w:szCs w:val="20"/>
              </w:rPr>
              <w:t>99.0.00.05130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ED383C" w14:textId="77777777" w:rsidR="00387142" w:rsidRPr="008B6A75" w:rsidRDefault="00387142" w:rsidP="00387142">
            <w:pPr>
              <w:jc w:val="center"/>
              <w:rPr>
                <w:sz w:val="20"/>
                <w:szCs w:val="20"/>
              </w:rPr>
            </w:pPr>
            <w:r w:rsidRPr="008B6A75">
              <w:rPr>
                <w:sz w:val="20"/>
                <w:szCs w:val="20"/>
              </w:rPr>
              <w:t>410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93114B" w14:textId="77777777" w:rsidR="00387142" w:rsidRPr="008B6A75" w:rsidRDefault="00387142" w:rsidP="00387142">
            <w:pPr>
              <w:jc w:val="right"/>
              <w:rPr>
                <w:sz w:val="20"/>
                <w:szCs w:val="20"/>
              </w:rPr>
            </w:pPr>
            <w:r w:rsidRPr="008B6A75">
              <w:rPr>
                <w:sz w:val="20"/>
                <w:szCs w:val="20"/>
              </w:rPr>
              <w:t>2 000 000,00</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190B2645" w14:textId="77777777" w:rsidR="00387142" w:rsidRPr="008B6A75" w:rsidRDefault="00387142" w:rsidP="00387142">
            <w:pPr>
              <w:jc w:val="right"/>
              <w:rPr>
                <w:sz w:val="20"/>
                <w:szCs w:val="20"/>
              </w:rPr>
            </w:pPr>
            <w:r w:rsidRPr="008B6A75">
              <w:rPr>
                <w:sz w:val="20"/>
                <w:szCs w:val="20"/>
              </w:rPr>
              <w:t>5 000 000,00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C7DC21" w14:textId="77777777" w:rsidR="00387142" w:rsidRPr="008B6A75" w:rsidRDefault="00387142" w:rsidP="00387142">
            <w:pPr>
              <w:jc w:val="right"/>
              <w:rPr>
                <w:sz w:val="20"/>
                <w:szCs w:val="20"/>
              </w:rPr>
            </w:pPr>
            <w:r w:rsidRPr="008B6A75">
              <w:rPr>
                <w:sz w:val="20"/>
                <w:szCs w:val="20"/>
              </w:rPr>
              <w:t>0,00</w:t>
            </w:r>
          </w:p>
        </w:tc>
        <w:tc>
          <w:tcPr>
            <w:tcW w:w="222" w:type="dxa"/>
            <w:vAlign w:val="center"/>
            <w:hideMark/>
          </w:tcPr>
          <w:p w14:paraId="1D54BBFD" w14:textId="77777777" w:rsidR="00387142" w:rsidRPr="008B6A75" w:rsidRDefault="00387142" w:rsidP="00387142">
            <w:pPr>
              <w:rPr>
                <w:sz w:val="20"/>
                <w:szCs w:val="20"/>
              </w:rPr>
            </w:pPr>
          </w:p>
        </w:tc>
      </w:tr>
      <w:tr w:rsidR="00387142" w:rsidRPr="008B6A75" w14:paraId="5CCA8F9F" w14:textId="77777777" w:rsidTr="00387142">
        <w:trPr>
          <w:trHeight w:val="1440"/>
        </w:trPr>
        <w:tc>
          <w:tcPr>
            <w:tcW w:w="3021" w:type="dxa"/>
            <w:tcBorders>
              <w:top w:val="nil"/>
              <w:left w:val="single" w:sz="4" w:space="0" w:color="auto"/>
              <w:bottom w:val="nil"/>
              <w:right w:val="nil"/>
            </w:tcBorders>
            <w:shd w:val="clear" w:color="auto" w:fill="auto"/>
            <w:vAlign w:val="center"/>
            <w:hideMark/>
          </w:tcPr>
          <w:p w14:paraId="1C81CB32" w14:textId="77777777" w:rsidR="00387142" w:rsidRPr="008B6A75" w:rsidRDefault="00387142" w:rsidP="00387142">
            <w:pPr>
              <w:rPr>
                <w:bCs/>
                <w:sz w:val="20"/>
                <w:szCs w:val="20"/>
              </w:rPr>
            </w:pPr>
            <w:r w:rsidRPr="008B6A75">
              <w:rPr>
                <w:bCs/>
                <w:sz w:val="20"/>
                <w:szCs w:val="2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850" w:type="dxa"/>
            <w:tcBorders>
              <w:top w:val="nil"/>
              <w:left w:val="single" w:sz="4" w:space="0" w:color="auto"/>
              <w:bottom w:val="nil"/>
              <w:right w:val="nil"/>
            </w:tcBorders>
            <w:shd w:val="clear" w:color="auto" w:fill="auto"/>
            <w:noWrap/>
            <w:vAlign w:val="center"/>
            <w:hideMark/>
          </w:tcPr>
          <w:p w14:paraId="3A5D0AF1" w14:textId="77777777" w:rsidR="00387142" w:rsidRPr="008B6A75" w:rsidRDefault="00387142" w:rsidP="00387142">
            <w:pPr>
              <w:jc w:val="center"/>
              <w:rPr>
                <w:bCs/>
                <w:sz w:val="20"/>
                <w:szCs w:val="20"/>
              </w:rPr>
            </w:pPr>
            <w:r w:rsidRPr="008B6A75">
              <w:rPr>
                <w:bCs/>
                <w:sz w:val="20"/>
                <w:szCs w:val="20"/>
              </w:rPr>
              <w:t>444</w:t>
            </w:r>
          </w:p>
        </w:tc>
        <w:tc>
          <w:tcPr>
            <w:tcW w:w="709" w:type="dxa"/>
            <w:tcBorders>
              <w:top w:val="nil"/>
              <w:left w:val="single" w:sz="4" w:space="0" w:color="auto"/>
              <w:bottom w:val="nil"/>
              <w:right w:val="nil"/>
            </w:tcBorders>
            <w:shd w:val="clear" w:color="auto" w:fill="auto"/>
            <w:noWrap/>
            <w:vAlign w:val="center"/>
            <w:hideMark/>
          </w:tcPr>
          <w:p w14:paraId="1E7987DC" w14:textId="77777777" w:rsidR="00387142" w:rsidRPr="008B6A75" w:rsidRDefault="00387142" w:rsidP="00387142">
            <w:pPr>
              <w:jc w:val="center"/>
              <w:rPr>
                <w:bCs/>
                <w:sz w:val="20"/>
                <w:szCs w:val="20"/>
              </w:rPr>
            </w:pPr>
            <w:r w:rsidRPr="008B6A75">
              <w:rPr>
                <w:bCs/>
                <w:sz w:val="20"/>
                <w:szCs w:val="20"/>
              </w:rPr>
              <w:t>05</w:t>
            </w:r>
          </w:p>
        </w:tc>
        <w:tc>
          <w:tcPr>
            <w:tcW w:w="709" w:type="dxa"/>
            <w:tcBorders>
              <w:top w:val="nil"/>
              <w:left w:val="single" w:sz="4" w:space="0" w:color="auto"/>
              <w:bottom w:val="nil"/>
              <w:right w:val="single" w:sz="4" w:space="0" w:color="auto"/>
            </w:tcBorders>
            <w:shd w:val="clear" w:color="auto" w:fill="auto"/>
            <w:noWrap/>
            <w:vAlign w:val="center"/>
            <w:hideMark/>
          </w:tcPr>
          <w:p w14:paraId="375DC143" w14:textId="77777777" w:rsidR="00387142" w:rsidRPr="008B6A75" w:rsidRDefault="00387142" w:rsidP="00387142">
            <w:pPr>
              <w:jc w:val="center"/>
              <w:rPr>
                <w:bCs/>
                <w:sz w:val="20"/>
                <w:szCs w:val="20"/>
              </w:rPr>
            </w:pPr>
            <w:r w:rsidRPr="008B6A75">
              <w:rPr>
                <w:bCs/>
                <w:sz w:val="20"/>
                <w:szCs w:val="20"/>
              </w:rPr>
              <w:t>01</w:t>
            </w:r>
          </w:p>
        </w:tc>
        <w:tc>
          <w:tcPr>
            <w:tcW w:w="1411" w:type="dxa"/>
            <w:tcBorders>
              <w:top w:val="nil"/>
              <w:left w:val="single" w:sz="4" w:space="0" w:color="auto"/>
              <w:bottom w:val="nil"/>
              <w:right w:val="nil"/>
            </w:tcBorders>
            <w:shd w:val="clear" w:color="auto" w:fill="auto"/>
            <w:noWrap/>
            <w:vAlign w:val="center"/>
            <w:hideMark/>
          </w:tcPr>
          <w:p w14:paraId="22CC05FA" w14:textId="77777777" w:rsidR="00387142" w:rsidRPr="008B6A75" w:rsidRDefault="00387142" w:rsidP="00387142">
            <w:pPr>
              <w:jc w:val="center"/>
              <w:rPr>
                <w:bCs/>
                <w:sz w:val="20"/>
                <w:szCs w:val="20"/>
              </w:rPr>
            </w:pPr>
            <w:r w:rsidRPr="008B6A75">
              <w:rPr>
                <w:bCs/>
                <w:sz w:val="20"/>
                <w:szCs w:val="20"/>
              </w:rPr>
              <w:t>99.0.00.70139</w:t>
            </w:r>
          </w:p>
        </w:tc>
        <w:tc>
          <w:tcPr>
            <w:tcW w:w="955" w:type="dxa"/>
            <w:tcBorders>
              <w:top w:val="nil"/>
              <w:left w:val="single" w:sz="4" w:space="0" w:color="auto"/>
              <w:bottom w:val="nil"/>
              <w:right w:val="single" w:sz="4" w:space="0" w:color="auto"/>
            </w:tcBorders>
            <w:shd w:val="clear" w:color="auto" w:fill="auto"/>
            <w:noWrap/>
            <w:vAlign w:val="center"/>
            <w:hideMark/>
          </w:tcPr>
          <w:p w14:paraId="080E0B1C"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nil"/>
              <w:right w:val="single" w:sz="4" w:space="0" w:color="auto"/>
            </w:tcBorders>
            <w:shd w:val="clear" w:color="auto" w:fill="auto"/>
            <w:noWrap/>
            <w:vAlign w:val="center"/>
            <w:hideMark/>
          </w:tcPr>
          <w:p w14:paraId="1DCCE8FF" w14:textId="77777777" w:rsidR="00387142" w:rsidRPr="008B6A75" w:rsidRDefault="00387142" w:rsidP="00387142">
            <w:pPr>
              <w:jc w:val="right"/>
              <w:rPr>
                <w:bCs/>
                <w:sz w:val="20"/>
                <w:szCs w:val="20"/>
              </w:rPr>
            </w:pPr>
            <w:r w:rsidRPr="008B6A75">
              <w:rPr>
                <w:bCs/>
                <w:sz w:val="20"/>
                <w:szCs w:val="20"/>
              </w:rPr>
              <w:t>3 716 023,00</w:t>
            </w:r>
          </w:p>
        </w:tc>
        <w:tc>
          <w:tcPr>
            <w:tcW w:w="992" w:type="dxa"/>
            <w:gridSpan w:val="2"/>
            <w:tcBorders>
              <w:top w:val="nil"/>
              <w:left w:val="single" w:sz="4" w:space="0" w:color="auto"/>
              <w:bottom w:val="nil"/>
              <w:right w:val="nil"/>
            </w:tcBorders>
            <w:shd w:val="clear" w:color="auto" w:fill="auto"/>
            <w:noWrap/>
            <w:vAlign w:val="center"/>
            <w:hideMark/>
          </w:tcPr>
          <w:p w14:paraId="59133E79" w14:textId="77777777" w:rsidR="00387142" w:rsidRPr="008B6A75" w:rsidRDefault="00387142" w:rsidP="00387142">
            <w:pPr>
              <w:jc w:val="right"/>
              <w:rPr>
                <w:bCs/>
                <w:sz w:val="20"/>
                <w:szCs w:val="20"/>
              </w:rPr>
            </w:pPr>
            <w:r w:rsidRPr="008B6A75">
              <w:rPr>
                <w:bCs/>
                <w:sz w:val="20"/>
                <w:szCs w:val="20"/>
              </w:rPr>
              <w:t>2 305 300,00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52509EDE" w14:textId="77777777" w:rsidR="00387142" w:rsidRPr="008B6A75" w:rsidRDefault="00387142" w:rsidP="00387142">
            <w:pPr>
              <w:jc w:val="right"/>
              <w:rPr>
                <w:bCs/>
                <w:sz w:val="20"/>
                <w:szCs w:val="20"/>
              </w:rPr>
            </w:pPr>
            <w:r w:rsidRPr="008B6A75">
              <w:rPr>
                <w:bCs/>
                <w:sz w:val="20"/>
                <w:szCs w:val="20"/>
              </w:rPr>
              <w:t>0,00</w:t>
            </w:r>
          </w:p>
        </w:tc>
        <w:tc>
          <w:tcPr>
            <w:tcW w:w="222" w:type="dxa"/>
            <w:vAlign w:val="center"/>
            <w:hideMark/>
          </w:tcPr>
          <w:p w14:paraId="79EB8E99" w14:textId="77777777" w:rsidR="00387142" w:rsidRPr="008B6A75" w:rsidRDefault="00387142" w:rsidP="00387142">
            <w:pPr>
              <w:rPr>
                <w:sz w:val="20"/>
                <w:szCs w:val="20"/>
              </w:rPr>
            </w:pPr>
          </w:p>
        </w:tc>
      </w:tr>
      <w:tr w:rsidR="00387142" w:rsidRPr="008B6A75" w14:paraId="78004388" w14:textId="77777777" w:rsidTr="00387142">
        <w:trPr>
          <w:trHeight w:val="585"/>
        </w:trPr>
        <w:tc>
          <w:tcPr>
            <w:tcW w:w="3021" w:type="dxa"/>
            <w:tcBorders>
              <w:top w:val="single" w:sz="4" w:space="0" w:color="auto"/>
              <w:left w:val="single" w:sz="4" w:space="0" w:color="auto"/>
              <w:bottom w:val="nil"/>
              <w:right w:val="nil"/>
            </w:tcBorders>
            <w:shd w:val="clear" w:color="auto" w:fill="auto"/>
            <w:vAlign w:val="center"/>
            <w:hideMark/>
          </w:tcPr>
          <w:p w14:paraId="61F4B355" w14:textId="77777777" w:rsidR="00387142" w:rsidRPr="008B6A75" w:rsidRDefault="00387142" w:rsidP="00387142">
            <w:pPr>
              <w:rPr>
                <w:sz w:val="20"/>
                <w:szCs w:val="20"/>
              </w:rPr>
            </w:pPr>
            <w:r w:rsidRPr="008B6A75">
              <w:rPr>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nil"/>
              <w:right w:val="nil"/>
            </w:tcBorders>
            <w:shd w:val="clear" w:color="auto" w:fill="auto"/>
            <w:noWrap/>
            <w:vAlign w:val="center"/>
            <w:hideMark/>
          </w:tcPr>
          <w:p w14:paraId="0390A54A" w14:textId="77777777" w:rsidR="00387142" w:rsidRPr="008B6A75" w:rsidRDefault="00387142" w:rsidP="00387142">
            <w:pPr>
              <w:jc w:val="center"/>
              <w:rPr>
                <w:sz w:val="20"/>
                <w:szCs w:val="20"/>
              </w:rPr>
            </w:pPr>
            <w:r w:rsidRPr="008B6A75">
              <w:rPr>
                <w:sz w:val="20"/>
                <w:szCs w:val="20"/>
              </w:rPr>
              <w:t>444</w:t>
            </w:r>
          </w:p>
        </w:tc>
        <w:tc>
          <w:tcPr>
            <w:tcW w:w="709" w:type="dxa"/>
            <w:tcBorders>
              <w:top w:val="single" w:sz="4" w:space="0" w:color="auto"/>
              <w:left w:val="single" w:sz="4" w:space="0" w:color="auto"/>
              <w:bottom w:val="nil"/>
              <w:right w:val="nil"/>
            </w:tcBorders>
            <w:shd w:val="clear" w:color="auto" w:fill="auto"/>
            <w:noWrap/>
            <w:vAlign w:val="center"/>
            <w:hideMark/>
          </w:tcPr>
          <w:p w14:paraId="5F21C074" w14:textId="77777777" w:rsidR="00387142" w:rsidRPr="008B6A75" w:rsidRDefault="00387142" w:rsidP="00387142">
            <w:pPr>
              <w:jc w:val="center"/>
              <w:rPr>
                <w:sz w:val="20"/>
                <w:szCs w:val="20"/>
              </w:rPr>
            </w:pPr>
            <w:r w:rsidRPr="008B6A75">
              <w:rPr>
                <w:sz w:val="20"/>
                <w:szCs w:val="20"/>
              </w:rPr>
              <w:t>05</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2CE1014D" w14:textId="77777777" w:rsidR="00387142" w:rsidRPr="008B6A75" w:rsidRDefault="00387142" w:rsidP="00387142">
            <w:pPr>
              <w:jc w:val="center"/>
              <w:rPr>
                <w:sz w:val="20"/>
                <w:szCs w:val="20"/>
              </w:rPr>
            </w:pPr>
            <w:r w:rsidRPr="008B6A75">
              <w:rPr>
                <w:sz w:val="20"/>
                <w:szCs w:val="20"/>
              </w:rPr>
              <w:t>01</w:t>
            </w:r>
          </w:p>
        </w:tc>
        <w:tc>
          <w:tcPr>
            <w:tcW w:w="1411" w:type="dxa"/>
            <w:tcBorders>
              <w:top w:val="single" w:sz="4" w:space="0" w:color="auto"/>
              <w:left w:val="single" w:sz="4" w:space="0" w:color="auto"/>
              <w:bottom w:val="nil"/>
              <w:right w:val="nil"/>
            </w:tcBorders>
            <w:shd w:val="clear" w:color="auto" w:fill="auto"/>
            <w:noWrap/>
            <w:vAlign w:val="center"/>
            <w:hideMark/>
          </w:tcPr>
          <w:p w14:paraId="4EFBB4AC" w14:textId="77777777" w:rsidR="00387142" w:rsidRPr="008B6A75" w:rsidRDefault="00387142" w:rsidP="00387142">
            <w:pPr>
              <w:jc w:val="center"/>
              <w:rPr>
                <w:sz w:val="20"/>
                <w:szCs w:val="20"/>
              </w:rPr>
            </w:pPr>
            <w:r w:rsidRPr="008B6A75">
              <w:rPr>
                <w:sz w:val="20"/>
                <w:szCs w:val="20"/>
              </w:rPr>
              <w:t>99.0.00.70139</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294F1230" w14:textId="77777777" w:rsidR="00387142" w:rsidRPr="008B6A75" w:rsidRDefault="00387142" w:rsidP="00387142">
            <w:pPr>
              <w:jc w:val="center"/>
              <w:rPr>
                <w:sz w:val="20"/>
                <w:szCs w:val="20"/>
              </w:rPr>
            </w:pPr>
            <w:r w:rsidRPr="008B6A75">
              <w:rPr>
                <w:sz w:val="20"/>
                <w:szCs w:val="20"/>
              </w:rPr>
              <w:t>200</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59797DE6" w14:textId="77777777" w:rsidR="00387142" w:rsidRPr="008B6A75" w:rsidRDefault="00387142" w:rsidP="00387142">
            <w:pPr>
              <w:jc w:val="right"/>
              <w:rPr>
                <w:sz w:val="20"/>
                <w:szCs w:val="20"/>
              </w:rPr>
            </w:pPr>
            <w:r w:rsidRPr="008B6A75">
              <w:rPr>
                <w:sz w:val="20"/>
                <w:szCs w:val="20"/>
              </w:rPr>
              <w:t>310 900,00</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24DFBED1" w14:textId="77777777" w:rsidR="00387142" w:rsidRPr="008B6A75" w:rsidRDefault="00387142" w:rsidP="00387142">
            <w:pPr>
              <w:jc w:val="right"/>
              <w:rPr>
                <w:sz w:val="20"/>
                <w:szCs w:val="20"/>
              </w:rPr>
            </w:pPr>
            <w:r w:rsidRPr="008B6A75">
              <w:rPr>
                <w:sz w:val="20"/>
                <w:szCs w:val="20"/>
              </w:rPr>
              <w:t>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36A81EBC" w14:textId="77777777" w:rsidR="00387142" w:rsidRPr="008B6A75" w:rsidRDefault="00387142" w:rsidP="00387142">
            <w:pPr>
              <w:jc w:val="right"/>
              <w:rPr>
                <w:sz w:val="20"/>
                <w:szCs w:val="20"/>
              </w:rPr>
            </w:pPr>
            <w:r w:rsidRPr="008B6A75">
              <w:rPr>
                <w:sz w:val="20"/>
                <w:szCs w:val="20"/>
              </w:rPr>
              <w:t>0,00</w:t>
            </w:r>
          </w:p>
        </w:tc>
        <w:tc>
          <w:tcPr>
            <w:tcW w:w="222" w:type="dxa"/>
            <w:vAlign w:val="center"/>
            <w:hideMark/>
          </w:tcPr>
          <w:p w14:paraId="6AAFDEB9" w14:textId="77777777" w:rsidR="00387142" w:rsidRPr="008B6A75" w:rsidRDefault="00387142" w:rsidP="00387142">
            <w:pPr>
              <w:rPr>
                <w:sz w:val="20"/>
                <w:szCs w:val="20"/>
              </w:rPr>
            </w:pPr>
          </w:p>
        </w:tc>
      </w:tr>
      <w:tr w:rsidR="00387142" w:rsidRPr="008B6A75" w14:paraId="5B694774" w14:textId="77777777" w:rsidTr="00387142">
        <w:trPr>
          <w:trHeight w:val="870"/>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3D2BC0ED" w14:textId="77777777" w:rsidR="00387142" w:rsidRPr="008B6A75" w:rsidRDefault="00387142" w:rsidP="00387142">
            <w:pPr>
              <w:rPr>
                <w:sz w:val="20"/>
                <w:szCs w:val="20"/>
              </w:rPr>
            </w:pPr>
            <w:r w:rsidRPr="008B6A75">
              <w:rPr>
                <w:sz w:val="20"/>
                <w:szCs w:val="20"/>
              </w:rPr>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52951C23" w14:textId="77777777" w:rsidR="00387142" w:rsidRPr="008B6A75" w:rsidRDefault="00387142" w:rsidP="00387142">
            <w:pPr>
              <w:jc w:val="center"/>
              <w:rPr>
                <w:sz w:val="20"/>
                <w:szCs w:val="20"/>
              </w:rPr>
            </w:pPr>
            <w:r w:rsidRPr="008B6A75">
              <w:rPr>
                <w:sz w:val="20"/>
                <w:szCs w:val="20"/>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3D6554F7" w14:textId="77777777" w:rsidR="00387142" w:rsidRPr="008B6A75" w:rsidRDefault="00387142" w:rsidP="00387142">
            <w:pPr>
              <w:jc w:val="center"/>
              <w:rPr>
                <w:sz w:val="20"/>
                <w:szCs w:val="20"/>
              </w:rPr>
            </w:pPr>
            <w:r w:rsidRPr="008B6A75">
              <w:rPr>
                <w:sz w:val="20"/>
                <w:szCs w:val="20"/>
              </w:rPr>
              <w:t>05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7950EF" w14:textId="77777777" w:rsidR="00387142" w:rsidRPr="008B6A75" w:rsidRDefault="00387142" w:rsidP="00387142">
            <w:pPr>
              <w:jc w:val="center"/>
              <w:rPr>
                <w:sz w:val="20"/>
                <w:szCs w:val="20"/>
              </w:rPr>
            </w:pPr>
            <w:r w:rsidRPr="008B6A75">
              <w:rPr>
                <w:sz w:val="20"/>
                <w:szCs w:val="20"/>
              </w:rPr>
              <w:t>01</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1022CC6D" w14:textId="77777777" w:rsidR="00387142" w:rsidRPr="008B6A75" w:rsidRDefault="00387142" w:rsidP="00387142">
            <w:pPr>
              <w:jc w:val="center"/>
              <w:rPr>
                <w:sz w:val="20"/>
                <w:szCs w:val="20"/>
              </w:rPr>
            </w:pPr>
            <w:r w:rsidRPr="008B6A75">
              <w:rPr>
                <w:sz w:val="20"/>
                <w:szCs w:val="20"/>
              </w:rPr>
              <w:t>99.0.00.70139</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091EC8" w14:textId="77777777" w:rsidR="00387142" w:rsidRPr="008B6A75" w:rsidRDefault="00387142" w:rsidP="00387142">
            <w:pPr>
              <w:jc w:val="center"/>
              <w:rPr>
                <w:sz w:val="20"/>
                <w:szCs w:val="20"/>
              </w:rPr>
            </w:pPr>
            <w:r w:rsidRPr="008B6A75">
              <w:rPr>
                <w:sz w:val="20"/>
                <w:szCs w:val="20"/>
              </w:rPr>
              <w:t>240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EEA670" w14:textId="77777777" w:rsidR="00387142" w:rsidRPr="008B6A75" w:rsidRDefault="00387142" w:rsidP="00387142">
            <w:pPr>
              <w:jc w:val="right"/>
              <w:rPr>
                <w:sz w:val="20"/>
                <w:szCs w:val="20"/>
              </w:rPr>
            </w:pPr>
            <w:r w:rsidRPr="008B6A75">
              <w:rPr>
                <w:sz w:val="20"/>
                <w:szCs w:val="20"/>
              </w:rPr>
              <w:t>310 900,00</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2873F0FA" w14:textId="77777777" w:rsidR="00387142" w:rsidRPr="008B6A75" w:rsidRDefault="00387142" w:rsidP="00387142">
            <w:pPr>
              <w:jc w:val="right"/>
              <w:rPr>
                <w:sz w:val="20"/>
                <w:szCs w:val="20"/>
              </w:rPr>
            </w:pPr>
            <w:r w:rsidRPr="008B6A75">
              <w:rPr>
                <w:sz w:val="20"/>
                <w:szCs w:val="20"/>
              </w:rPr>
              <w:t>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F07BF1" w14:textId="77777777" w:rsidR="00387142" w:rsidRPr="008B6A75" w:rsidRDefault="00387142" w:rsidP="00387142">
            <w:pPr>
              <w:jc w:val="right"/>
              <w:rPr>
                <w:sz w:val="20"/>
                <w:szCs w:val="20"/>
              </w:rPr>
            </w:pPr>
            <w:r w:rsidRPr="008B6A75">
              <w:rPr>
                <w:sz w:val="20"/>
                <w:szCs w:val="20"/>
              </w:rPr>
              <w:t>0,00</w:t>
            </w:r>
          </w:p>
        </w:tc>
        <w:tc>
          <w:tcPr>
            <w:tcW w:w="222" w:type="dxa"/>
            <w:vAlign w:val="center"/>
            <w:hideMark/>
          </w:tcPr>
          <w:p w14:paraId="5ECF8D36" w14:textId="77777777" w:rsidR="00387142" w:rsidRPr="008B6A75" w:rsidRDefault="00387142" w:rsidP="00387142">
            <w:pPr>
              <w:rPr>
                <w:sz w:val="20"/>
                <w:szCs w:val="20"/>
              </w:rPr>
            </w:pPr>
          </w:p>
        </w:tc>
      </w:tr>
      <w:tr w:rsidR="00387142" w:rsidRPr="008B6A75" w14:paraId="588F12CE" w14:textId="77777777" w:rsidTr="00387142">
        <w:trPr>
          <w:trHeight w:val="870"/>
        </w:trPr>
        <w:tc>
          <w:tcPr>
            <w:tcW w:w="3021" w:type="dxa"/>
            <w:tcBorders>
              <w:top w:val="nil"/>
              <w:left w:val="single" w:sz="4" w:space="0" w:color="auto"/>
              <w:bottom w:val="nil"/>
              <w:right w:val="nil"/>
            </w:tcBorders>
            <w:shd w:val="clear" w:color="auto" w:fill="auto"/>
            <w:vAlign w:val="center"/>
            <w:hideMark/>
          </w:tcPr>
          <w:p w14:paraId="70E72121" w14:textId="77777777" w:rsidR="00387142" w:rsidRPr="008B6A75" w:rsidRDefault="00387142" w:rsidP="00387142">
            <w:pPr>
              <w:rPr>
                <w:sz w:val="20"/>
                <w:szCs w:val="20"/>
              </w:rPr>
            </w:pPr>
            <w:r w:rsidRPr="008B6A75">
              <w:rPr>
                <w:sz w:val="20"/>
                <w:szCs w:val="20"/>
              </w:rPr>
              <w:t>Капитальные вложения в объекты государственной (муниципальной) собственности</w:t>
            </w:r>
          </w:p>
        </w:tc>
        <w:tc>
          <w:tcPr>
            <w:tcW w:w="850" w:type="dxa"/>
            <w:tcBorders>
              <w:top w:val="nil"/>
              <w:left w:val="single" w:sz="4" w:space="0" w:color="auto"/>
              <w:bottom w:val="nil"/>
              <w:right w:val="nil"/>
            </w:tcBorders>
            <w:shd w:val="clear" w:color="auto" w:fill="auto"/>
            <w:noWrap/>
            <w:vAlign w:val="center"/>
            <w:hideMark/>
          </w:tcPr>
          <w:p w14:paraId="6DEECFB8" w14:textId="77777777" w:rsidR="00387142" w:rsidRPr="008B6A75" w:rsidRDefault="00387142" w:rsidP="00387142">
            <w:pPr>
              <w:jc w:val="center"/>
              <w:rPr>
                <w:sz w:val="20"/>
                <w:szCs w:val="20"/>
              </w:rPr>
            </w:pPr>
            <w:r w:rsidRPr="008B6A75">
              <w:rPr>
                <w:sz w:val="20"/>
                <w:szCs w:val="20"/>
              </w:rPr>
              <w:t>444</w:t>
            </w:r>
          </w:p>
        </w:tc>
        <w:tc>
          <w:tcPr>
            <w:tcW w:w="709" w:type="dxa"/>
            <w:tcBorders>
              <w:top w:val="nil"/>
              <w:left w:val="single" w:sz="4" w:space="0" w:color="auto"/>
              <w:bottom w:val="nil"/>
              <w:right w:val="nil"/>
            </w:tcBorders>
            <w:shd w:val="clear" w:color="auto" w:fill="auto"/>
            <w:noWrap/>
            <w:vAlign w:val="center"/>
            <w:hideMark/>
          </w:tcPr>
          <w:p w14:paraId="7DA3B2DC" w14:textId="77777777" w:rsidR="00387142" w:rsidRPr="008B6A75" w:rsidRDefault="00387142" w:rsidP="00387142">
            <w:pPr>
              <w:jc w:val="center"/>
              <w:rPr>
                <w:sz w:val="20"/>
                <w:szCs w:val="20"/>
              </w:rPr>
            </w:pPr>
            <w:r w:rsidRPr="008B6A75">
              <w:rPr>
                <w:sz w:val="20"/>
                <w:szCs w:val="20"/>
              </w:rPr>
              <w:t>05</w:t>
            </w:r>
          </w:p>
        </w:tc>
        <w:tc>
          <w:tcPr>
            <w:tcW w:w="709" w:type="dxa"/>
            <w:tcBorders>
              <w:top w:val="nil"/>
              <w:left w:val="single" w:sz="4" w:space="0" w:color="auto"/>
              <w:bottom w:val="nil"/>
              <w:right w:val="single" w:sz="4" w:space="0" w:color="auto"/>
            </w:tcBorders>
            <w:shd w:val="clear" w:color="auto" w:fill="auto"/>
            <w:noWrap/>
            <w:vAlign w:val="center"/>
            <w:hideMark/>
          </w:tcPr>
          <w:p w14:paraId="0C11AD38" w14:textId="77777777" w:rsidR="00387142" w:rsidRPr="008B6A75" w:rsidRDefault="00387142" w:rsidP="00387142">
            <w:pPr>
              <w:jc w:val="center"/>
              <w:rPr>
                <w:sz w:val="20"/>
                <w:szCs w:val="20"/>
              </w:rPr>
            </w:pPr>
            <w:r w:rsidRPr="008B6A75">
              <w:rPr>
                <w:sz w:val="20"/>
                <w:szCs w:val="20"/>
              </w:rPr>
              <w:t>01</w:t>
            </w:r>
          </w:p>
        </w:tc>
        <w:tc>
          <w:tcPr>
            <w:tcW w:w="1411" w:type="dxa"/>
            <w:tcBorders>
              <w:top w:val="nil"/>
              <w:left w:val="single" w:sz="4" w:space="0" w:color="auto"/>
              <w:bottom w:val="nil"/>
              <w:right w:val="nil"/>
            </w:tcBorders>
            <w:shd w:val="clear" w:color="auto" w:fill="auto"/>
            <w:noWrap/>
            <w:vAlign w:val="center"/>
            <w:hideMark/>
          </w:tcPr>
          <w:p w14:paraId="1D2EE43C" w14:textId="77777777" w:rsidR="00387142" w:rsidRPr="008B6A75" w:rsidRDefault="00387142" w:rsidP="00387142">
            <w:pPr>
              <w:jc w:val="center"/>
              <w:rPr>
                <w:sz w:val="20"/>
                <w:szCs w:val="20"/>
              </w:rPr>
            </w:pPr>
            <w:r w:rsidRPr="008B6A75">
              <w:rPr>
                <w:sz w:val="20"/>
                <w:szCs w:val="20"/>
              </w:rPr>
              <w:t>99.0.00.70139</w:t>
            </w:r>
          </w:p>
        </w:tc>
        <w:tc>
          <w:tcPr>
            <w:tcW w:w="955" w:type="dxa"/>
            <w:tcBorders>
              <w:top w:val="nil"/>
              <w:left w:val="single" w:sz="4" w:space="0" w:color="auto"/>
              <w:bottom w:val="nil"/>
              <w:right w:val="single" w:sz="4" w:space="0" w:color="auto"/>
            </w:tcBorders>
            <w:shd w:val="clear" w:color="auto" w:fill="auto"/>
            <w:noWrap/>
            <w:vAlign w:val="center"/>
            <w:hideMark/>
          </w:tcPr>
          <w:p w14:paraId="2AF68FB0" w14:textId="77777777" w:rsidR="00387142" w:rsidRPr="008B6A75" w:rsidRDefault="00387142" w:rsidP="00387142">
            <w:pPr>
              <w:jc w:val="center"/>
              <w:rPr>
                <w:sz w:val="20"/>
                <w:szCs w:val="20"/>
              </w:rPr>
            </w:pPr>
            <w:r w:rsidRPr="008B6A75">
              <w:rPr>
                <w:sz w:val="20"/>
                <w:szCs w:val="20"/>
              </w:rPr>
              <w:t>400</w:t>
            </w:r>
          </w:p>
        </w:tc>
        <w:tc>
          <w:tcPr>
            <w:tcW w:w="992" w:type="dxa"/>
            <w:tcBorders>
              <w:top w:val="nil"/>
              <w:left w:val="single" w:sz="4" w:space="0" w:color="auto"/>
              <w:bottom w:val="nil"/>
              <w:right w:val="single" w:sz="4" w:space="0" w:color="auto"/>
            </w:tcBorders>
            <w:shd w:val="clear" w:color="auto" w:fill="auto"/>
            <w:noWrap/>
            <w:vAlign w:val="center"/>
            <w:hideMark/>
          </w:tcPr>
          <w:p w14:paraId="4FF32E20" w14:textId="77777777" w:rsidR="00387142" w:rsidRPr="008B6A75" w:rsidRDefault="00387142" w:rsidP="00387142">
            <w:pPr>
              <w:jc w:val="right"/>
              <w:rPr>
                <w:sz w:val="20"/>
                <w:szCs w:val="20"/>
              </w:rPr>
            </w:pPr>
            <w:r w:rsidRPr="008B6A75">
              <w:rPr>
                <w:sz w:val="20"/>
                <w:szCs w:val="20"/>
              </w:rPr>
              <w:t>3 405 123,00</w:t>
            </w:r>
          </w:p>
        </w:tc>
        <w:tc>
          <w:tcPr>
            <w:tcW w:w="992" w:type="dxa"/>
            <w:gridSpan w:val="2"/>
            <w:tcBorders>
              <w:top w:val="nil"/>
              <w:left w:val="single" w:sz="4" w:space="0" w:color="auto"/>
              <w:bottom w:val="nil"/>
              <w:right w:val="nil"/>
            </w:tcBorders>
            <w:shd w:val="clear" w:color="auto" w:fill="auto"/>
            <w:noWrap/>
            <w:vAlign w:val="center"/>
            <w:hideMark/>
          </w:tcPr>
          <w:p w14:paraId="3F3D5DA3" w14:textId="77777777" w:rsidR="00387142" w:rsidRPr="008B6A75" w:rsidRDefault="00387142" w:rsidP="00387142">
            <w:pPr>
              <w:jc w:val="right"/>
              <w:rPr>
                <w:sz w:val="20"/>
                <w:szCs w:val="20"/>
              </w:rPr>
            </w:pPr>
            <w:r w:rsidRPr="008B6A75">
              <w:rPr>
                <w:sz w:val="20"/>
                <w:szCs w:val="20"/>
              </w:rPr>
              <w:t>2 305 300,00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303E1227" w14:textId="77777777" w:rsidR="00387142" w:rsidRPr="008B6A75" w:rsidRDefault="00387142" w:rsidP="00387142">
            <w:pPr>
              <w:jc w:val="right"/>
              <w:rPr>
                <w:sz w:val="20"/>
                <w:szCs w:val="20"/>
              </w:rPr>
            </w:pPr>
            <w:r w:rsidRPr="008B6A75">
              <w:rPr>
                <w:sz w:val="20"/>
                <w:szCs w:val="20"/>
              </w:rPr>
              <w:t>0,00</w:t>
            </w:r>
          </w:p>
        </w:tc>
        <w:tc>
          <w:tcPr>
            <w:tcW w:w="222" w:type="dxa"/>
            <w:vAlign w:val="center"/>
            <w:hideMark/>
          </w:tcPr>
          <w:p w14:paraId="584B3723" w14:textId="77777777" w:rsidR="00387142" w:rsidRPr="008B6A75" w:rsidRDefault="00387142" w:rsidP="00387142">
            <w:pPr>
              <w:rPr>
                <w:sz w:val="20"/>
                <w:szCs w:val="20"/>
              </w:rPr>
            </w:pPr>
          </w:p>
        </w:tc>
      </w:tr>
      <w:tr w:rsidR="00387142" w:rsidRPr="008B6A75" w14:paraId="008C63DC" w14:textId="77777777" w:rsidTr="00387142">
        <w:trPr>
          <w:trHeight w:val="300"/>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03D1418E" w14:textId="77777777" w:rsidR="00387142" w:rsidRPr="008B6A75" w:rsidRDefault="00387142" w:rsidP="00387142">
            <w:pPr>
              <w:rPr>
                <w:sz w:val="20"/>
                <w:szCs w:val="20"/>
              </w:rPr>
            </w:pPr>
            <w:r w:rsidRPr="008B6A75">
              <w:rPr>
                <w:sz w:val="20"/>
                <w:szCs w:val="20"/>
              </w:rPr>
              <w:t>Бюджетные инвестиции</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0DCC9A76" w14:textId="77777777" w:rsidR="00387142" w:rsidRPr="008B6A75" w:rsidRDefault="00387142" w:rsidP="00387142">
            <w:pPr>
              <w:jc w:val="center"/>
              <w:rPr>
                <w:sz w:val="20"/>
                <w:szCs w:val="20"/>
              </w:rPr>
            </w:pPr>
            <w:r w:rsidRPr="008B6A75">
              <w:rPr>
                <w:sz w:val="20"/>
                <w:szCs w:val="20"/>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7D4E6B58" w14:textId="77777777" w:rsidR="00387142" w:rsidRPr="008B6A75" w:rsidRDefault="00387142" w:rsidP="00387142">
            <w:pPr>
              <w:jc w:val="center"/>
              <w:rPr>
                <w:sz w:val="20"/>
                <w:szCs w:val="20"/>
              </w:rPr>
            </w:pPr>
            <w:r w:rsidRPr="008B6A75">
              <w:rPr>
                <w:sz w:val="20"/>
                <w:szCs w:val="20"/>
              </w:rPr>
              <w:t>05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78FDF0" w14:textId="77777777" w:rsidR="00387142" w:rsidRPr="008B6A75" w:rsidRDefault="00387142" w:rsidP="00387142">
            <w:pPr>
              <w:jc w:val="center"/>
              <w:rPr>
                <w:sz w:val="20"/>
                <w:szCs w:val="20"/>
              </w:rPr>
            </w:pPr>
            <w:r w:rsidRPr="008B6A75">
              <w:rPr>
                <w:sz w:val="20"/>
                <w:szCs w:val="20"/>
              </w:rPr>
              <w:t>01</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70B2BA79" w14:textId="77777777" w:rsidR="00387142" w:rsidRPr="008B6A75" w:rsidRDefault="00387142" w:rsidP="00387142">
            <w:pPr>
              <w:jc w:val="center"/>
              <w:rPr>
                <w:sz w:val="20"/>
                <w:szCs w:val="20"/>
              </w:rPr>
            </w:pPr>
            <w:r w:rsidRPr="008B6A75">
              <w:rPr>
                <w:sz w:val="20"/>
                <w:szCs w:val="20"/>
              </w:rPr>
              <w:t>99.0.00.70139</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A8AF71" w14:textId="77777777" w:rsidR="00387142" w:rsidRPr="008B6A75" w:rsidRDefault="00387142" w:rsidP="00387142">
            <w:pPr>
              <w:jc w:val="center"/>
              <w:rPr>
                <w:sz w:val="20"/>
                <w:szCs w:val="20"/>
              </w:rPr>
            </w:pPr>
            <w:r w:rsidRPr="008B6A75">
              <w:rPr>
                <w:sz w:val="20"/>
                <w:szCs w:val="20"/>
              </w:rPr>
              <w:t>410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5F42B7" w14:textId="77777777" w:rsidR="00387142" w:rsidRPr="008B6A75" w:rsidRDefault="00387142" w:rsidP="00387142">
            <w:pPr>
              <w:jc w:val="right"/>
              <w:rPr>
                <w:sz w:val="20"/>
                <w:szCs w:val="20"/>
              </w:rPr>
            </w:pPr>
            <w:r w:rsidRPr="008B6A75">
              <w:rPr>
                <w:sz w:val="20"/>
                <w:szCs w:val="20"/>
              </w:rPr>
              <w:t>3 405 123,00</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668F36F4" w14:textId="77777777" w:rsidR="00387142" w:rsidRPr="008B6A75" w:rsidRDefault="00387142" w:rsidP="00387142">
            <w:pPr>
              <w:jc w:val="right"/>
              <w:rPr>
                <w:sz w:val="20"/>
                <w:szCs w:val="20"/>
              </w:rPr>
            </w:pPr>
            <w:r w:rsidRPr="008B6A75">
              <w:rPr>
                <w:sz w:val="20"/>
                <w:szCs w:val="20"/>
              </w:rPr>
              <w:t>2 305 300,00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3C0BA1" w14:textId="77777777" w:rsidR="00387142" w:rsidRPr="008B6A75" w:rsidRDefault="00387142" w:rsidP="00387142">
            <w:pPr>
              <w:jc w:val="right"/>
              <w:rPr>
                <w:sz w:val="20"/>
                <w:szCs w:val="20"/>
              </w:rPr>
            </w:pPr>
            <w:r w:rsidRPr="008B6A75">
              <w:rPr>
                <w:sz w:val="20"/>
                <w:szCs w:val="20"/>
              </w:rPr>
              <w:t>0,00</w:t>
            </w:r>
          </w:p>
        </w:tc>
        <w:tc>
          <w:tcPr>
            <w:tcW w:w="222" w:type="dxa"/>
            <w:vAlign w:val="center"/>
            <w:hideMark/>
          </w:tcPr>
          <w:p w14:paraId="5D96E2EC" w14:textId="77777777" w:rsidR="00387142" w:rsidRPr="008B6A75" w:rsidRDefault="00387142" w:rsidP="00387142">
            <w:pPr>
              <w:rPr>
                <w:sz w:val="20"/>
                <w:szCs w:val="20"/>
              </w:rPr>
            </w:pPr>
          </w:p>
        </w:tc>
      </w:tr>
      <w:tr w:rsidR="00387142" w:rsidRPr="008B6A75" w14:paraId="5F5A020D" w14:textId="77777777" w:rsidTr="00387142">
        <w:trPr>
          <w:trHeight w:val="2865"/>
        </w:trPr>
        <w:tc>
          <w:tcPr>
            <w:tcW w:w="3021" w:type="dxa"/>
            <w:tcBorders>
              <w:top w:val="nil"/>
              <w:left w:val="single" w:sz="4" w:space="0" w:color="auto"/>
              <w:bottom w:val="nil"/>
              <w:right w:val="nil"/>
            </w:tcBorders>
            <w:shd w:val="clear" w:color="auto" w:fill="auto"/>
            <w:vAlign w:val="center"/>
            <w:hideMark/>
          </w:tcPr>
          <w:p w14:paraId="24DFA685" w14:textId="77777777" w:rsidR="00387142" w:rsidRPr="008B6A75" w:rsidRDefault="00387142" w:rsidP="00387142">
            <w:pPr>
              <w:rPr>
                <w:bCs/>
                <w:sz w:val="20"/>
                <w:szCs w:val="20"/>
              </w:rPr>
            </w:pPr>
            <w:r w:rsidRPr="008B6A75">
              <w:rPr>
                <w:bCs/>
                <w:sz w:val="20"/>
                <w:szCs w:val="20"/>
              </w:rPr>
              <w:t>Строительство (приобретение на первичном рынке) служебного жилья подпрограммы "Строительство (приобретение на первичном рынке) служебного жилья для отдельных категорий граждан, проживающих и работающих на территории Новосибирской области" государственной программы Новосибирской области "Стимулирование развития жилищного строительства в Новосибирской области"</w:t>
            </w:r>
          </w:p>
        </w:tc>
        <w:tc>
          <w:tcPr>
            <w:tcW w:w="850" w:type="dxa"/>
            <w:tcBorders>
              <w:top w:val="nil"/>
              <w:left w:val="single" w:sz="4" w:space="0" w:color="auto"/>
              <w:bottom w:val="nil"/>
              <w:right w:val="nil"/>
            </w:tcBorders>
            <w:shd w:val="clear" w:color="auto" w:fill="auto"/>
            <w:noWrap/>
            <w:vAlign w:val="center"/>
            <w:hideMark/>
          </w:tcPr>
          <w:p w14:paraId="33040D9E" w14:textId="77777777" w:rsidR="00387142" w:rsidRPr="008B6A75" w:rsidRDefault="00387142" w:rsidP="00387142">
            <w:pPr>
              <w:jc w:val="center"/>
              <w:rPr>
                <w:bCs/>
                <w:sz w:val="20"/>
                <w:szCs w:val="20"/>
              </w:rPr>
            </w:pPr>
            <w:r w:rsidRPr="008B6A75">
              <w:rPr>
                <w:bCs/>
                <w:sz w:val="20"/>
                <w:szCs w:val="20"/>
              </w:rPr>
              <w:t>444</w:t>
            </w:r>
          </w:p>
        </w:tc>
        <w:tc>
          <w:tcPr>
            <w:tcW w:w="709" w:type="dxa"/>
            <w:tcBorders>
              <w:top w:val="nil"/>
              <w:left w:val="single" w:sz="4" w:space="0" w:color="auto"/>
              <w:bottom w:val="nil"/>
              <w:right w:val="nil"/>
            </w:tcBorders>
            <w:shd w:val="clear" w:color="auto" w:fill="auto"/>
            <w:noWrap/>
            <w:vAlign w:val="center"/>
            <w:hideMark/>
          </w:tcPr>
          <w:p w14:paraId="3D8B2873" w14:textId="77777777" w:rsidR="00387142" w:rsidRPr="008B6A75" w:rsidRDefault="00387142" w:rsidP="00387142">
            <w:pPr>
              <w:jc w:val="center"/>
              <w:rPr>
                <w:bCs/>
                <w:sz w:val="20"/>
                <w:szCs w:val="20"/>
              </w:rPr>
            </w:pPr>
            <w:r w:rsidRPr="008B6A75">
              <w:rPr>
                <w:bCs/>
                <w:sz w:val="20"/>
                <w:szCs w:val="20"/>
              </w:rPr>
              <w:t>05</w:t>
            </w:r>
          </w:p>
        </w:tc>
        <w:tc>
          <w:tcPr>
            <w:tcW w:w="709" w:type="dxa"/>
            <w:tcBorders>
              <w:top w:val="nil"/>
              <w:left w:val="single" w:sz="4" w:space="0" w:color="auto"/>
              <w:bottom w:val="nil"/>
              <w:right w:val="single" w:sz="4" w:space="0" w:color="auto"/>
            </w:tcBorders>
            <w:shd w:val="clear" w:color="auto" w:fill="auto"/>
            <w:noWrap/>
            <w:vAlign w:val="center"/>
            <w:hideMark/>
          </w:tcPr>
          <w:p w14:paraId="1E9B8EE5" w14:textId="77777777" w:rsidR="00387142" w:rsidRPr="008B6A75" w:rsidRDefault="00387142" w:rsidP="00387142">
            <w:pPr>
              <w:jc w:val="center"/>
              <w:rPr>
                <w:bCs/>
                <w:sz w:val="20"/>
                <w:szCs w:val="20"/>
              </w:rPr>
            </w:pPr>
            <w:r w:rsidRPr="008B6A75">
              <w:rPr>
                <w:bCs/>
                <w:sz w:val="20"/>
                <w:szCs w:val="20"/>
              </w:rPr>
              <w:t>01</w:t>
            </w:r>
          </w:p>
        </w:tc>
        <w:tc>
          <w:tcPr>
            <w:tcW w:w="1411" w:type="dxa"/>
            <w:tcBorders>
              <w:top w:val="nil"/>
              <w:left w:val="single" w:sz="4" w:space="0" w:color="auto"/>
              <w:bottom w:val="nil"/>
              <w:right w:val="nil"/>
            </w:tcBorders>
            <w:shd w:val="clear" w:color="auto" w:fill="auto"/>
            <w:noWrap/>
            <w:vAlign w:val="center"/>
            <w:hideMark/>
          </w:tcPr>
          <w:p w14:paraId="50C5B185" w14:textId="77777777" w:rsidR="00387142" w:rsidRPr="008B6A75" w:rsidRDefault="00387142" w:rsidP="00387142">
            <w:pPr>
              <w:jc w:val="center"/>
              <w:rPr>
                <w:bCs/>
                <w:sz w:val="20"/>
                <w:szCs w:val="20"/>
              </w:rPr>
            </w:pPr>
            <w:r w:rsidRPr="008B6A75">
              <w:rPr>
                <w:bCs/>
                <w:sz w:val="20"/>
                <w:szCs w:val="20"/>
              </w:rPr>
              <w:t>99.0.00.70650</w:t>
            </w:r>
          </w:p>
        </w:tc>
        <w:tc>
          <w:tcPr>
            <w:tcW w:w="955" w:type="dxa"/>
            <w:tcBorders>
              <w:top w:val="nil"/>
              <w:left w:val="single" w:sz="4" w:space="0" w:color="auto"/>
              <w:bottom w:val="nil"/>
              <w:right w:val="single" w:sz="4" w:space="0" w:color="auto"/>
            </w:tcBorders>
            <w:shd w:val="clear" w:color="auto" w:fill="auto"/>
            <w:noWrap/>
            <w:vAlign w:val="center"/>
            <w:hideMark/>
          </w:tcPr>
          <w:p w14:paraId="4B381C59"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nil"/>
              <w:right w:val="single" w:sz="4" w:space="0" w:color="auto"/>
            </w:tcBorders>
            <w:shd w:val="clear" w:color="auto" w:fill="auto"/>
            <w:noWrap/>
            <w:vAlign w:val="center"/>
            <w:hideMark/>
          </w:tcPr>
          <w:p w14:paraId="42A464CA" w14:textId="77777777" w:rsidR="00387142" w:rsidRPr="008B6A75" w:rsidRDefault="00387142" w:rsidP="00387142">
            <w:pPr>
              <w:jc w:val="right"/>
              <w:rPr>
                <w:bCs/>
                <w:sz w:val="20"/>
                <w:szCs w:val="20"/>
              </w:rPr>
            </w:pPr>
            <w:r w:rsidRPr="008B6A75">
              <w:rPr>
                <w:bCs/>
                <w:sz w:val="20"/>
                <w:szCs w:val="20"/>
              </w:rPr>
              <w:t>48 431 800,00</w:t>
            </w:r>
          </w:p>
        </w:tc>
        <w:tc>
          <w:tcPr>
            <w:tcW w:w="992" w:type="dxa"/>
            <w:gridSpan w:val="2"/>
            <w:tcBorders>
              <w:top w:val="nil"/>
              <w:left w:val="single" w:sz="4" w:space="0" w:color="auto"/>
              <w:bottom w:val="nil"/>
              <w:right w:val="nil"/>
            </w:tcBorders>
            <w:shd w:val="clear" w:color="auto" w:fill="auto"/>
            <w:noWrap/>
            <w:vAlign w:val="center"/>
            <w:hideMark/>
          </w:tcPr>
          <w:p w14:paraId="37BB66C9" w14:textId="77777777" w:rsidR="00387142" w:rsidRPr="008B6A75" w:rsidRDefault="00387142" w:rsidP="00387142">
            <w:pPr>
              <w:jc w:val="right"/>
              <w:rPr>
                <w:bCs/>
                <w:sz w:val="20"/>
                <w:szCs w:val="20"/>
              </w:rPr>
            </w:pPr>
            <w:r w:rsidRPr="008B6A75">
              <w:rPr>
                <w:bCs/>
                <w:sz w:val="20"/>
                <w:szCs w:val="20"/>
              </w:rPr>
              <w:t>0,00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2B62F8D9" w14:textId="77777777" w:rsidR="00387142" w:rsidRPr="008B6A75" w:rsidRDefault="00387142" w:rsidP="00387142">
            <w:pPr>
              <w:jc w:val="right"/>
              <w:rPr>
                <w:bCs/>
                <w:sz w:val="20"/>
                <w:szCs w:val="20"/>
              </w:rPr>
            </w:pPr>
            <w:r w:rsidRPr="008B6A75">
              <w:rPr>
                <w:bCs/>
                <w:sz w:val="20"/>
                <w:szCs w:val="20"/>
              </w:rPr>
              <w:t>0,00</w:t>
            </w:r>
          </w:p>
        </w:tc>
        <w:tc>
          <w:tcPr>
            <w:tcW w:w="222" w:type="dxa"/>
            <w:vAlign w:val="center"/>
            <w:hideMark/>
          </w:tcPr>
          <w:p w14:paraId="0EF16FC8" w14:textId="77777777" w:rsidR="00387142" w:rsidRPr="008B6A75" w:rsidRDefault="00387142" w:rsidP="00387142">
            <w:pPr>
              <w:rPr>
                <w:sz w:val="20"/>
                <w:szCs w:val="20"/>
              </w:rPr>
            </w:pPr>
          </w:p>
        </w:tc>
      </w:tr>
      <w:tr w:rsidR="00387142" w:rsidRPr="008B6A75" w14:paraId="37EEE990" w14:textId="77777777" w:rsidTr="00387142">
        <w:trPr>
          <w:trHeight w:val="870"/>
        </w:trPr>
        <w:tc>
          <w:tcPr>
            <w:tcW w:w="3021" w:type="dxa"/>
            <w:tcBorders>
              <w:top w:val="single" w:sz="4" w:space="0" w:color="auto"/>
              <w:left w:val="single" w:sz="4" w:space="0" w:color="auto"/>
              <w:bottom w:val="nil"/>
              <w:right w:val="nil"/>
            </w:tcBorders>
            <w:shd w:val="clear" w:color="auto" w:fill="auto"/>
            <w:vAlign w:val="center"/>
            <w:hideMark/>
          </w:tcPr>
          <w:p w14:paraId="1B0DA7FB" w14:textId="77777777" w:rsidR="00387142" w:rsidRPr="008B6A75" w:rsidRDefault="00387142" w:rsidP="00387142">
            <w:pPr>
              <w:rPr>
                <w:sz w:val="20"/>
                <w:szCs w:val="20"/>
              </w:rPr>
            </w:pPr>
            <w:r w:rsidRPr="008B6A75">
              <w:rPr>
                <w:sz w:val="20"/>
                <w:szCs w:val="20"/>
              </w:rPr>
              <w:t>Капитальные вложения в объекты государственной (муниципальной) собственности</w:t>
            </w:r>
          </w:p>
        </w:tc>
        <w:tc>
          <w:tcPr>
            <w:tcW w:w="850" w:type="dxa"/>
            <w:tcBorders>
              <w:top w:val="single" w:sz="4" w:space="0" w:color="auto"/>
              <w:left w:val="single" w:sz="4" w:space="0" w:color="auto"/>
              <w:bottom w:val="nil"/>
              <w:right w:val="nil"/>
            </w:tcBorders>
            <w:shd w:val="clear" w:color="auto" w:fill="auto"/>
            <w:noWrap/>
            <w:vAlign w:val="center"/>
            <w:hideMark/>
          </w:tcPr>
          <w:p w14:paraId="75F21A4D" w14:textId="77777777" w:rsidR="00387142" w:rsidRPr="008B6A75" w:rsidRDefault="00387142" w:rsidP="00387142">
            <w:pPr>
              <w:jc w:val="center"/>
              <w:rPr>
                <w:sz w:val="20"/>
                <w:szCs w:val="20"/>
              </w:rPr>
            </w:pPr>
            <w:r w:rsidRPr="008B6A75">
              <w:rPr>
                <w:sz w:val="20"/>
                <w:szCs w:val="20"/>
              </w:rPr>
              <w:t>444</w:t>
            </w:r>
          </w:p>
        </w:tc>
        <w:tc>
          <w:tcPr>
            <w:tcW w:w="709" w:type="dxa"/>
            <w:tcBorders>
              <w:top w:val="single" w:sz="4" w:space="0" w:color="auto"/>
              <w:left w:val="single" w:sz="4" w:space="0" w:color="auto"/>
              <w:bottom w:val="nil"/>
              <w:right w:val="nil"/>
            </w:tcBorders>
            <w:shd w:val="clear" w:color="auto" w:fill="auto"/>
            <w:noWrap/>
            <w:vAlign w:val="center"/>
            <w:hideMark/>
          </w:tcPr>
          <w:p w14:paraId="63E7FF2C" w14:textId="77777777" w:rsidR="00387142" w:rsidRPr="008B6A75" w:rsidRDefault="00387142" w:rsidP="00387142">
            <w:pPr>
              <w:jc w:val="center"/>
              <w:rPr>
                <w:sz w:val="20"/>
                <w:szCs w:val="20"/>
              </w:rPr>
            </w:pPr>
            <w:r w:rsidRPr="008B6A75">
              <w:rPr>
                <w:sz w:val="20"/>
                <w:szCs w:val="20"/>
              </w:rPr>
              <w:t>05</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563516EC" w14:textId="77777777" w:rsidR="00387142" w:rsidRPr="008B6A75" w:rsidRDefault="00387142" w:rsidP="00387142">
            <w:pPr>
              <w:jc w:val="center"/>
              <w:rPr>
                <w:sz w:val="20"/>
                <w:szCs w:val="20"/>
              </w:rPr>
            </w:pPr>
            <w:r w:rsidRPr="008B6A75">
              <w:rPr>
                <w:sz w:val="20"/>
                <w:szCs w:val="20"/>
              </w:rPr>
              <w:t>01</w:t>
            </w:r>
          </w:p>
        </w:tc>
        <w:tc>
          <w:tcPr>
            <w:tcW w:w="1411" w:type="dxa"/>
            <w:tcBorders>
              <w:top w:val="single" w:sz="4" w:space="0" w:color="auto"/>
              <w:left w:val="single" w:sz="4" w:space="0" w:color="auto"/>
              <w:bottom w:val="nil"/>
              <w:right w:val="nil"/>
            </w:tcBorders>
            <w:shd w:val="clear" w:color="auto" w:fill="auto"/>
            <w:noWrap/>
            <w:vAlign w:val="center"/>
            <w:hideMark/>
          </w:tcPr>
          <w:p w14:paraId="4DBD30B4" w14:textId="77777777" w:rsidR="00387142" w:rsidRPr="008B6A75" w:rsidRDefault="00387142" w:rsidP="00387142">
            <w:pPr>
              <w:jc w:val="center"/>
              <w:rPr>
                <w:sz w:val="20"/>
                <w:szCs w:val="20"/>
              </w:rPr>
            </w:pPr>
            <w:r w:rsidRPr="008B6A75">
              <w:rPr>
                <w:sz w:val="20"/>
                <w:szCs w:val="20"/>
              </w:rPr>
              <w:t>99.0.00.70650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6E02427A" w14:textId="77777777" w:rsidR="00387142" w:rsidRPr="008B6A75" w:rsidRDefault="00387142" w:rsidP="00387142">
            <w:pPr>
              <w:jc w:val="center"/>
              <w:rPr>
                <w:sz w:val="20"/>
                <w:szCs w:val="20"/>
              </w:rPr>
            </w:pPr>
            <w:r w:rsidRPr="008B6A75">
              <w:rPr>
                <w:sz w:val="20"/>
                <w:szCs w:val="20"/>
              </w:rPr>
              <w:t>400</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67BD4166" w14:textId="77777777" w:rsidR="00387142" w:rsidRPr="008B6A75" w:rsidRDefault="00387142" w:rsidP="00387142">
            <w:pPr>
              <w:jc w:val="right"/>
              <w:rPr>
                <w:sz w:val="20"/>
                <w:szCs w:val="20"/>
              </w:rPr>
            </w:pPr>
            <w:r w:rsidRPr="008B6A75">
              <w:rPr>
                <w:sz w:val="20"/>
                <w:szCs w:val="20"/>
              </w:rPr>
              <w:t>48 431 800,00</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6282C24A" w14:textId="77777777" w:rsidR="00387142" w:rsidRPr="008B6A75" w:rsidRDefault="00387142" w:rsidP="00387142">
            <w:pPr>
              <w:jc w:val="right"/>
              <w:rPr>
                <w:sz w:val="20"/>
                <w:szCs w:val="20"/>
              </w:rPr>
            </w:pPr>
            <w:r w:rsidRPr="008B6A75">
              <w:rPr>
                <w:sz w:val="20"/>
                <w:szCs w:val="20"/>
              </w:rPr>
              <w:t>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4D6481B9" w14:textId="77777777" w:rsidR="00387142" w:rsidRPr="008B6A75" w:rsidRDefault="00387142" w:rsidP="00387142">
            <w:pPr>
              <w:jc w:val="right"/>
              <w:rPr>
                <w:sz w:val="20"/>
                <w:szCs w:val="20"/>
              </w:rPr>
            </w:pPr>
            <w:r w:rsidRPr="008B6A75">
              <w:rPr>
                <w:sz w:val="20"/>
                <w:szCs w:val="20"/>
              </w:rPr>
              <w:t>0,00</w:t>
            </w:r>
          </w:p>
        </w:tc>
        <w:tc>
          <w:tcPr>
            <w:tcW w:w="222" w:type="dxa"/>
            <w:vAlign w:val="center"/>
            <w:hideMark/>
          </w:tcPr>
          <w:p w14:paraId="23D1852E" w14:textId="77777777" w:rsidR="00387142" w:rsidRPr="008B6A75" w:rsidRDefault="00387142" w:rsidP="00387142">
            <w:pPr>
              <w:rPr>
                <w:sz w:val="20"/>
                <w:szCs w:val="20"/>
              </w:rPr>
            </w:pPr>
          </w:p>
        </w:tc>
      </w:tr>
      <w:tr w:rsidR="00387142" w:rsidRPr="008B6A75" w14:paraId="7571EDDF" w14:textId="77777777" w:rsidTr="00387142">
        <w:trPr>
          <w:trHeight w:val="300"/>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63830776" w14:textId="77777777" w:rsidR="00387142" w:rsidRPr="008B6A75" w:rsidRDefault="00387142" w:rsidP="00387142">
            <w:pPr>
              <w:rPr>
                <w:sz w:val="20"/>
                <w:szCs w:val="20"/>
              </w:rPr>
            </w:pPr>
            <w:r w:rsidRPr="008B6A75">
              <w:rPr>
                <w:sz w:val="20"/>
                <w:szCs w:val="20"/>
              </w:rPr>
              <w:t>Бюджетные инвестиции</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34C22504" w14:textId="77777777" w:rsidR="00387142" w:rsidRPr="008B6A75" w:rsidRDefault="00387142" w:rsidP="00387142">
            <w:pPr>
              <w:jc w:val="center"/>
              <w:rPr>
                <w:sz w:val="20"/>
                <w:szCs w:val="20"/>
              </w:rPr>
            </w:pPr>
            <w:r w:rsidRPr="008B6A75">
              <w:rPr>
                <w:sz w:val="20"/>
                <w:szCs w:val="20"/>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1712DA8E" w14:textId="77777777" w:rsidR="00387142" w:rsidRPr="008B6A75" w:rsidRDefault="00387142" w:rsidP="00387142">
            <w:pPr>
              <w:jc w:val="center"/>
              <w:rPr>
                <w:sz w:val="20"/>
                <w:szCs w:val="20"/>
              </w:rPr>
            </w:pPr>
            <w:r w:rsidRPr="008B6A75">
              <w:rPr>
                <w:sz w:val="20"/>
                <w:szCs w:val="20"/>
              </w:rPr>
              <w:t>05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5733BB" w14:textId="77777777" w:rsidR="00387142" w:rsidRPr="008B6A75" w:rsidRDefault="00387142" w:rsidP="00387142">
            <w:pPr>
              <w:jc w:val="center"/>
              <w:rPr>
                <w:sz w:val="20"/>
                <w:szCs w:val="20"/>
              </w:rPr>
            </w:pPr>
            <w:r w:rsidRPr="008B6A75">
              <w:rPr>
                <w:sz w:val="20"/>
                <w:szCs w:val="20"/>
              </w:rPr>
              <w:t>01</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316864FA" w14:textId="77777777" w:rsidR="00387142" w:rsidRPr="008B6A75" w:rsidRDefault="00387142" w:rsidP="00387142">
            <w:pPr>
              <w:jc w:val="center"/>
              <w:rPr>
                <w:sz w:val="20"/>
                <w:szCs w:val="20"/>
              </w:rPr>
            </w:pPr>
            <w:r w:rsidRPr="008B6A75">
              <w:rPr>
                <w:sz w:val="20"/>
                <w:szCs w:val="20"/>
              </w:rPr>
              <w:t>99.0.00.70650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F68EB5" w14:textId="77777777" w:rsidR="00387142" w:rsidRPr="008B6A75" w:rsidRDefault="00387142" w:rsidP="00387142">
            <w:pPr>
              <w:jc w:val="center"/>
              <w:rPr>
                <w:sz w:val="20"/>
                <w:szCs w:val="20"/>
              </w:rPr>
            </w:pPr>
            <w:r w:rsidRPr="008B6A75">
              <w:rPr>
                <w:sz w:val="20"/>
                <w:szCs w:val="20"/>
              </w:rPr>
              <w:t>410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CD7EF5" w14:textId="77777777" w:rsidR="00387142" w:rsidRPr="008B6A75" w:rsidRDefault="00387142" w:rsidP="00387142">
            <w:pPr>
              <w:jc w:val="right"/>
              <w:rPr>
                <w:sz w:val="20"/>
                <w:szCs w:val="20"/>
              </w:rPr>
            </w:pPr>
            <w:r w:rsidRPr="008B6A75">
              <w:rPr>
                <w:sz w:val="20"/>
                <w:szCs w:val="20"/>
              </w:rPr>
              <w:t>48 431 800,00</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0B8C689B" w14:textId="77777777" w:rsidR="00387142" w:rsidRPr="008B6A75" w:rsidRDefault="00387142" w:rsidP="00387142">
            <w:pPr>
              <w:jc w:val="right"/>
              <w:rPr>
                <w:sz w:val="20"/>
                <w:szCs w:val="20"/>
              </w:rPr>
            </w:pPr>
            <w:r w:rsidRPr="008B6A75">
              <w:rPr>
                <w:sz w:val="20"/>
                <w:szCs w:val="20"/>
              </w:rPr>
              <w:t>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95AF7E" w14:textId="77777777" w:rsidR="00387142" w:rsidRPr="008B6A75" w:rsidRDefault="00387142" w:rsidP="00387142">
            <w:pPr>
              <w:jc w:val="right"/>
              <w:rPr>
                <w:sz w:val="20"/>
                <w:szCs w:val="20"/>
              </w:rPr>
            </w:pPr>
            <w:r w:rsidRPr="008B6A75">
              <w:rPr>
                <w:sz w:val="20"/>
                <w:szCs w:val="20"/>
              </w:rPr>
              <w:t>0,00</w:t>
            </w:r>
          </w:p>
        </w:tc>
        <w:tc>
          <w:tcPr>
            <w:tcW w:w="222" w:type="dxa"/>
            <w:vAlign w:val="center"/>
            <w:hideMark/>
          </w:tcPr>
          <w:p w14:paraId="1D7A3C8F" w14:textId="77777777" w:rsidR="00387142" w:rsidRPr="008B6A75" w:rsidRDefault="00387142" w:rsidP="00387142">
            <w:pPr>
              <w:rPr>
                <w:sz w:val="20"/>
                <w:szCs w:val="20"/>
              </w:rPr>
            </w:pPr>
          </w:p>
        </w:tc>
      </w:tr>
      <w:tr w:rsidR="00387142" w:rsidRPr="008B6A75" w14:paraId="743A0141" w14:textId="77777777" w:rsidTr="00387142">
        <w:trPr>
          <w:trHeight w:val="2295"/>
        </w:trPr>
        <w:tc>
          <w:tcPr>
            <w:tcW w:w="3021" w:type="dxa"/>
            <w:tcBorders>
              <w:top w:val="nil"/>
              <w:left w:val="single" w:sz="4" w:space="0" w:color="auto"/>
              <w:bottom w:val="nil"/>
              <w:right w:val="nil"/>
            </w:tcBorders>
            <w:shd w:val="clear" w:color="auto" w:fill="auto"/>
            <w:vAlign w:val="center"/>
            <w:hideMark/>
          </w:tcPr>
          <w:p w14:paraId="2EBF7F7F" w14:textId="77777777" w:rsidR="00387142" w:rsidRPr="008B6A75" w:rsidRDefault="00387142" w:rsidP="00387142">
            <w:pPr>
              <w:rPr>
                <w:bCs/>
                <w:sz w:val="20"/>
                <w:szCs w:val="20"/>
              </w:rPr>
            </w:pPr>
            <w:r w:rsidRPr="008B6A75">
              <w:rPr>
                <w:bCs/>
                <w:sz w:val="20"/>
                <w:szCs w:val="20"/>
              </w:rPr>
              <w:t>Реализация мероприятий на оплату расходов, связанных со строительством специализированного жилищного фонда для предоставления отдельным категориям граждан, государственной программы Новосибирской области «Стимулирование развития жилищного строительства в Новосибирской области»</w:t>
            </w:r>
          </w:p>
        </w:tc>
        <w:tc>
          <w:tcPr>
            <w:tcW w:w="850" w:type="dxa"/>
            <w:tcBorders>
              <w:top w:val="nil"/>
              <w:left w:val="single" w:sz="4" w:space="0" w:color="auto"/>
              <w:bottom w:val="nil"/>
              <w:right w:val="nil"/>
            </w:tcBorders>
            <w:shd w:val="clear" w:color="auto" w:fill="auto"/>
            <w:noWrap/>
            <w:vAlign w:val="center"/>
            <w:hideMark/>
          </w:tcPr>
          <w:p w14:paraId="038AEBCE" w14:textId="77777777" w:rsidR="00387142" w:rsidRPr="008B6A75" w:rsidRDefault="00387142" w:rsidP="00387142">
            <w:pPr>
              <w:jc w:val="center"/>
              <w:rPr>
                <w:bCs/>
                <w:sz w:val="20"/>
                <w:szCs w:val="20"/>
              </w:rPr>
            </w:pPr>
            <w:r w:rsidRPr="008B6A75">
              <w:rPr>
                <w:bCs/>
                <w:sz w:val="20"/>
                <w:szCs w:val="20"/>
              </w:rPr>
              <w:t>444</w:t>
            </w:r>
          </w:p>
        </w:tc>
        <w:tc>
          <w:tcPr>
            <w:tcW w:w="709" w:type="dxa"/>
            <w:tcBorders>
              <w:top w:val="nil"/>
              <w:left w:val="single" w:sz="4" w:space="0" w:color="auto"/>
              <w:bottom w:val="nil"/>
              <w:right w:val="nil"/>
            </w:tcBorders>
            <w:shd w:val="clear" w:color="auto" w:fill="auto"/>
            <w:noWrap/>
            <w:vAlign w:val="center"/>
            <w:hideMark/>
          </w:tcPr>
          <w:p w14:paraId="0384E7F3" w14:textId="77777777" w:rsidR="00387142" w:rsidRPr="008B6A75" w:rsidRDefault="00387142" w:rsidP="00387142">
            <w:pPr>
              <w:jc w:val="center"/>
              <w:rPr>
                <w:bCs/>
                <w:sz w:val="20"/>
                <w:szCs w:val="20"/>
              </w:rPr>
            </w:pPr>
            <w:r w:rsidRPr="008B6A75">
              <w:rPr>
                <w:bCs/>
                <w:sz w:val="20"/>
                <w:szCs w:val="20"/>
              </w:rPr>
              <w:t>05</w:t>
            </w:r>
          </w:p>
        </w:tc>
        <w:tc>
          <w:tcPr>
            <w:tcW w:w="709" w:type="dxa"/>
            <w:tcBorders>
              <w:top w:val="nil"/>
              <w:left w:val="single" w:sz="4" w:space="0" w:color="auto"/>
              <w:bottom w:val="nil"/>
              <w:right w:val="single" w:sz="4" w:space="0" w:color="auto"/>
            </w:tcBorders>
            <w:shd w:val="clear" w:color="auto" w:fill="auto"/>
            <w:noWrap/>
            <w:vAlign w:val="center"/>
            <w:hideMark/>
          </w:tcPr>
          <w:p w14:paraId="1CC30BE7" w14:textId="77777777" w:rsidR="00387142" w:rsidRPr="008B6A75" w:rsidRDefault="00387142" w:rsidP="00387142">
            <w:pPr>
              <w:jc w:val="center"/>
              <w:rPr>
                <w:bCs/>
                <w:sz w:val="20"/>
                <w:szCs w:val="20"/>
              </w:rPr>
            </w:pPr>
            <w:r w:rsidRPr="008B6A75">
              <w:rPr>
                <w:bCs/>
                <w:sz w:val="20"/>
                <w:szCs w:val="20"/>
              </w:rPr>
              <w:t>01</w:t>
            </w:r>
          </w:p>
        </w:tc>
        <w:tc>
          <w:tcPr>
            <w:tcW w:w="1411" w:type="dxa"/>
            <w:tcBorders>
              <w:top w:val="nil"/>
              <w:left w:val="single" w:sz="4" w:space="0" w:color="auto"/>
              <w:bottom w:val="nil"/>
              <w:right w:val="nil"/>
            </w:tcBorders>
            <w:shd w:val="clear" w:color="auto" w:fill="auto"/>
            <w:noWrap/>
            <w:vAlign w:val="center"/>
            <w:hideMark/>
          </w:tcPr>
          <w:p w14:paraId="01AC605C" w14:textId="77777777" w:rsidR="00387142" w:rsidRPr="008B6A75" w:rsidRDefault="00387142" w:rsidP="00387142">
            <w:pPr>
              <w:jc w:val="center"/>
              <w:rPr>
                <w:bCs/>
                <w:sz w:val="20"/>
                <w:szCs w:val="20"/>
              </w:rPr>
            </w:pPr>
            <w:r w:rsidRPr="008B6A75">
              <w:rPr>
                <w:bCs/>
                <w:sz w:val="20"/>
                <w:szCs w:val="20"/>
              </w:rPr>
              <w:t>99.0.00.70830</w:t>
            </w:r>
          </w:p>
        </w:tc>
        <w:tc>
          <w:tcPr>
            <w:tcW w:w="955" w:type="dxa"/>
            <w:tcBorders>
              <w:top w:val="nil"/>
              <w:left w:val="single" w:sz="4" w:space="0" w:color="auto"/>
              <w:bottom w:val="nil"/>
              <w:right w:val="single" w:sz="4" w:space="0" w:color="auto"/>
            </w:tcBorders>
            <w:shd w:val="clear" w:color="auto" w:fill="auto"/>
            <w:noWrap/>
            <w:vAlign w:val="center"/>
            <w:hideMark/>
          </w:tcPr>
          <w:p w14:paraId="4CF948D1"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nil"/>
              <w:right w:val="single" w:sz="4" w:space="0" w:color="auto"/>
            </w:tcBorders>
            <w:shd w:val="clear" w:color="auto" w:fill="auto"/>
            <w:noWrap/>
            <w:vAlign w:val="center"/>
            <w:hideMark/>
          </w:tcPr>
          <w:p w14:paraId="126B57E4" w14:textId="77777777" w:rsidR="00387142" w:rsidRPr="008B6A75" w:rsidRDefault="00387142" w:rsidP="00387142">
            <w:pPr>
              <w:jc w:val="right"/>
              <w:rPr>
                <w:bCs/>
                <w:sz w:val="20"/>
                <w:szCs w:val="20"/>
              </w:rPr>
            </w:pPr>
            <w:r w:rsidRPr="008B6A75">
              <w:rPr>
                <w:bCs/>
                <w:sz w:val="20"/>
                <w:szCs w:val="20"/>
              </w:rPr>
              <w:t>15 781 000,00</w:t>
            </w:r>
          </w:p>
        </w:tc>
        <w:tc>
          <w:tcPr>
            <w:tcW w:w="992" w:type="dxa"/>
            <w:gridSpan w:val="2"/>
            <w:tcBorders>
              <w:top w:val="nil"/>
              <w:left w:val="single" w:sz="4" w:space="0" w:color="auto"/>
              <w:bottom w:val="nil"/>
              <w:right w:val="nil"/>
            </w:tcBorders>
            <w:shd w:val="clear" w:color="auto" w:fill="auto"/>
            <w:noWrap/>
            <w:vAlign w:val="center"/>
            <w:hideMark/>
          </w:tcPr>
          <w:p w14:paraId="3B1787C4" w14:textId="77777777" w:rsidR="00387142" w:rsidRPr="008B6A75" w:rsidRDefault="00387142" w:rsidP="00387142">
            <w:pPr>
              <w:jc w:val="right"/>
              <w:rPr>
                <w:bCs/>
                <w:sz w:val="20"/>
                <w:szCs w:val="20"/>
              </w:rPr>
            </w:pPr>
            <w:r w:rsidRPr="008B6A75">
              <w:rPr>
                <w:bCs/>
                <w:sz w:val="20"/>
                <w:szCs w:val="20"/>
              </w:rPr>
              <w:t>7 590 400,00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10C03E0D" w14:textId="77777777" w:rsidR="00387142" w:rsidRPr="008B6A75" w:rsidRDefault="00387142" w:rsidP="00387142">
            <w:pPr>
              <w:jc w:val="right"/>
              <w:rPr>
                <w:bCs/>
                <w:sz w:val="20"/>
                <w:szCs w:val="20"/>
              </w:rPr>
            </w:pPr>
            <w:r w:rsidRPr="008B6A75">
              <w:rPr>
                <w:bCs/>
                <w:sz w:val="20"/>
                <w:szCs w:val="20"/>
              </w:rPr>
              <w:t>5 290 300,00</w:t>
            </w:r>
          </w:p>
        </w:tc>
        <w:tc>
          <w:tcPr>
            <w:tcW w:w="222" w:type="dxa"/>
            <w:vAlign w:val="center"/>
            <w:hideMark/>
          </w:tcPr>
          <w:p w14:paraId="3A193604" w14:textId="77777777" w:rsidR="00387142" w:rsidRPr="008B6A75" w:rsidRDefault="00387142" w:rsidP="00387142">
            <w:pPr>
              <w:rPr>
                <w:sz w:val="20"/>
                <w:szCs w:val="20"/>
              </w:rPr>
            </w:pPr>
          </w:p>
        </w:tc>
      </w:tr>
      <w:tr w:rsidR="00387142" w:rsidRPr="008B6A75" w14:paraId="4F882067" w14:textId="77777777" w:rsidTr="00387142">
        <w:trPr>
          <w:trHeight w:val="870"/>
        </w:trPr>
        <w:tc>
          <w:tcPr>
            <w:tcW w:w="3021" w:type="dxa"/>
            <w:tcBorders>
              <w:top w:val="single" w:sz="4" w:space="0" w:color="auto"/>
              <w:left w:val="single" w:sz="4" w:space="0" w:color="auto"/>
              <w:bottom w:val="nil"/>
              <w:right w:val="nil"/>
            </w:tcBorders>
            <w:shd w:val="clear" w:color="auto" w:fill="auto"/>
            <w:vAlign w:val="center"/>
            <w:hideMark/>
          </w:tcPr>
          <w:p w14:paraId="704F1797" w14:textId="77777777" w:rsidR="00387142" w:rsidRPr="008B6A75" w:rsidRDefault="00387142" w:rsidP="00387142">
            <w:pPr>
              <w:rPr>
                <w:sz w:val="20"/>
                <w:szCs w:val="20"/>
              </w:rPr>
            </w:pPr>
            <w:r w:rsidRPr="008B6A75">
              <w:rPr>
                <w:sz w:val="20"/>
                <w:szCs w:val="20"/>
              </w:rPr>
              <w:lastRenderedPageBreak/>
              <w:t>Капитальные вложения в объекты государственной (муниципальной) собственности</w:t>
            </w:r>
          </w:p>
        </w:tc>
        <w:tc>
          <w:tcPr>
            <w:tcW w:w="850" w:type="dxa"/>
            <w:tcBorders>
              <w:top w:val="single" w:sz="4" w:space="0" w:color="auto"/>
              <w:left w:val="single" w:sz="4" w:space="0" w:color="auto"/>
              <w:bottom w:val="nil"/>
              <w:right w:val="nil"/>
            </w:tcBorders>
            <w:shd w:val="clear" w:color="auto" w:fill="auto"/>
            <w:noWrap/>
            <w:vAlign w:val="center"/>
            <w:hideMark/>
          </w:tcPr>
          <w:p w14:paraId="2548FB29" w14:textId="77777777" w:rsidR="00387142" w:rsidRPr="008B6A75" w:rsidRDefault="00387142" w:rsidP="00387142">
            <w:pPr>
              <w:jc w:val="center"/>
              <w:rPr>
                <w:sz w:val="20"/>
                <w:szCs w:val="20"/>
              </w:rPr>
            </w:pPr>
            <w:r w:rsidRPr="008B6A75">
              <w:rPr>
                <w:sz w:val="20"/>
                <w:szCs w:val="20"/>
              </w:rPr>
              <w:t>444</w:t>
            </w:r>
          </w:p>
        </w:tc>
        <w:tc>
          <w:tcPr>
            <w:tcW w:w="709" w:type="dxa"/>
            <w:tcBorders>
              <w:top w:val="single" w:sz="4" w:space="0" w:color="auto"/>
              <w:left w:val="single" w:sz="4" w:space="0" w:color="auto"/>
              <w:bottom w:val="nil"/>
              <w:right w:val="nil"/>
            </w:tcBorders>
            <w:shd w:val="clear" w:color="auto" w:fill="auto"/>
            <w:noWrap/>
            <w:vAlign w:val="center"/>
            <w:hideMark/>
          </w:tcPr>
          <w:p w14:paraId="7BD81EBF" w14:textId="77777777" w:rsidR="00387142" w:rsidRPr="008B6A75" w:rsidRDefault="00387142" w:rsidP="00387142">
            <w:pPr>
              <w:jc w:val="center"/>
              <w:rPr>
                <w:sz w:val="20"/>
                <w:szCs w:val="20"/>
              </w:rPr>
            </w:pPr>
            <w:r w:rsidRPr="008B6A75">
              <w:rPr>
                <w:sz w:val="20"/>
                <w:szCs w:val="20"/>
              </w:rPr>
              <w:t>05</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2D2070D6" w14:textId="77777777" w:rsidR="00387142" w:rsidRPr="008B6A75" w:rsidRDefault="00387142" w:rsidP="00387142">
            <w:pPr>
              <w:jc w:val="center"/>
              <w:rPr>
                <w:sz w:val="20"/>
                <w:szCs w:val="20"/>
              </w:rPr>
            </w:pPr>
            <w:r w:rsidRPr="008B6A75">
              <w:rPr>
                <w:sz w:val="20"/>
                <w:szCs w:val="20"/>
              </w:rPr>
              <w:t>01</w:t>
            </w:r>
          </w:p>
        </w:tc>
        <w:tc>
          <w:tcPr>
            <w:tcW w:w="1411" w:type="dxa"/>
            <w:tcBorders>
              <w:top w:val="single" w:sz="4" w:space="0" w:color="auto"/>
              <w:left w:val="single" w:sz="4" w:space="0" w:color="auto"/>
              <w:bottom w:val="nil"/>
              <w:right w:val="nil"/>
            </w:tcBorders>
            <w:shd w:val="clear" w:color="auto" w:fill="auto"/>
            <w:noWrap/>
            <w:vAlign w:val="center"/>
            <w:hideMark/>
          </w:tcPr>
          <w:p w14:paraId="50958780" w14:textId="77777777" w:rsidR="00387142" w:rsidRPr="008B6A75" w:rsidRDefault="00387142" w:rsidP="00387142">
            <w:pPr>
              <w:jc w:val="center"/>
              <w:rPr>
                <w:sz w:val="20"/>
                <w:szCs w:val="20"/>
              </w:rPr>
            </w:pPr>
            <w:r w:rsidRPr="008B6A75">
              <w:rPr>
                <w:sz w:val="20"/>
                <w:szCs w:val="20"/>
              </w:rPr>
              <w:t>99.0.00.70830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137C1777" w14:textId="77777777" w:rsidR="00387142" w:rsidRPr="008B6A75" w:rsidRDefault="00387142" w:rsidP="00387142">
            <w:pPr>
              <w:jc w:val="center"/>
              <w:rPr>
                <w:sz w:val="20"/>
                <w:szCs w:val="20"/>
              </w:rPr>
            </w:pPr>
            <w:r w:rsidRPr="008B6A75">
              <w:rPr>
                <w:sz w:val="20"/>
                <w:szCs w:val="20"/>
              </w:rPr>
              <w:t>400</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1A9CDB2B" w14:textId="77777777" w:rsidR="00387142" w:rsidRPr="008B6A75" w:rsidRDefault="00387142" w:rsidP="00387142">
            <w:pPr>
              <w:jc w:val="right"/>
              <w:rPr>
                <w:sz w:val="20"/>
                <w:szCs w:val="20"/>
              </w:rPr>
            </w:pPr>
            <w:r w:rsidRPr="008B6A75">
              <w:rPr>
                <w:sz w:val="20"/>
                <w:szCs w:val="20"/>
              </w:rPr>
              <w:t>15 781 000,00</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0E90B72C" w14:textId="77777777" w:rsidR="00387142" w:rsidRPr="008B6A75" w:rsidRDefault="00387142" w:rsidP="00387142">
            <w:pPr>
              <w:jc w:val="right"/>
              <w:rPr>
                <w:sz w:val="20"/>
                <w:szCs w:val="20"/>
              </w:rPr>
            </w:pPr>
            <w:r w:rsidRPr="008B6A75">
              <w:rPr>
                <w:sz w:val="20"/>
                <w:szCs w:val="20"/>
              </w:rPr>
              <w:t>7 590 400,00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60CFCF73" w14:textId="77777777" w:rsidR="00387142" w:rsidRPr="008B6A75" w:rsidRDefault="00387142" w:rsidP="00387142">
            <w:pPr>
              <w:jc w:val="right"/>
              <w:rPr>
                <w:sz w:val="20"/>
                <w:szCs w:val="20"/>
              </w:rPr>
            </w:pPr>
            <w:r w:rsidRPr="008B6A75">
              <w:rPr>
                <w:sz w:val="20"/>
                <w:szCs w:val="20"/>
              </w:rPr>
              <w:t>5 290 300,00</w:t>
            </w:r>
          </w:p>
        </w:tc>
        <w:tc>
          <w:tcPr>
            <w:tcW w:w="222" w:type="dxa"/>
            <w:vAlign w:val="center"/>
            <w:hideMark/>
          </w:tcPr>
          <w:p w14:paraId="1F565F06" w14:textId="77777777" w:rsidR="00387142" w:rsidRPr="008B6A75" w:rsidRDefault="00387142" w:rsidP="00387142">
            <w:pPr>
              <w:rPr>
                <w:sz w:val="20"/>
                <w:szCs w:val="20"/>
              </w:rPr>
            </w:pPr>
          </w:p>
        </w:tc>
      </w:tr>
      <w:tr w:rsidR="00387142" w:rsidRPr="008B6A75" w14:paraId="2CB2AB58" w14:textId="77777777" w:rsidTr="00387142">
        <w:trPr>
          <w:trHeight w:val="300"/>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344FE43D" w14:textId="77777777" w:rsidR="00387142" w:rsidRPr="008B6A75" w:rsidRDefault="00387142" w:rsidP="00387142">
            <w:pPr>
              <w:rPr>
                <w:sz w:val="20"/>
                <w:szCs w:val="20"/>
              </w:rPr>
            </w:pPr>
            <w:r w:rsidRPr="008B6A75">
              <w:rPr>
                <w:sz w:val="20"/>
                <w:szCs w:val="20"/>
              </w:rPr>
              <w:t>Бюджетные инвестиции</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77F3C34F" w14:textId="77777777" w:rsidR="00387142" w:rsidRPr="008B6A75" w:rsidRDefault="00387142" w:rsidP="00387142">
            <w:pPr>
              <w:jc w:val="center"/>
              <w:rPr>
                <w:sz w:val="20"/>
                <w:szCs w:val="20"/>
              </w:rPr>
            </w:pPr>
            <w:r w:rsidRPr="008B6A75">
              <w:rPr>
                <w:sz w:val="20"/>
                <w:szCs w:val="20"/>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5D98B505" w14:textId="77777777" w:rsidR="00387142" w:rsidRPr="008B6A75" w:rsidRDefault="00387142" w:rsidP="00387142">
            <w:pPr>
              <w:jc w:val="center"/>
              <w:rPr>
                <w:sz w:val="20"/>
                <w:szCs w:val="20"/>
              </w:rPr>
            </w:pPr>
            <w:r w:rsidRPr="008B6A75">
              <w:rPr>
                <w:sz w:val="20"/>
                <w:szCs w:val="20"/>
              </w:rPr>
              <w:t>05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655C74" w14:textId="77777777" w:rsidR="00387142" w:rsidRPr="008B6A75" w:rsidRDefault="00387142" w:rsidP="00387142">
            <w:pPr>
              <w:jc w:val="center"/>
              <w:rPr>
                <w:sz w:val="20"/>
                <w:szCs w:val="20"/>
              </w:rPr>
            </w:pPr>
            <w:r w:rsidRPr="008B6A75">
              <w:rPr>
                <w:sz w:val="20"/>
                <w:szCs w:val="20"/>
              </w:rPr>
              <w:t>01</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3998AD9A" w14:textId="77777777" w:rsidR="00387142" w:rsidRPr="008B6A75" w:rsidRDefault="00387142" w:rsidP="00387142">
            <w:pPr>
              <w:jc w:val="center"/>
              <w:rPr>
                <w:sz w:val="20"/>
                <w:szCs w:val="20"/>
              </w:rPr>
            </w:pPr>
            <w:r w:rsidRPr="008B6A75">
              <w:rPr>
                <w:sz w:val="20"/>
                <w:szCs w:val="20"/>
              </w:rPr>
              <w:t>99.0.00.70830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48B028" w14:textId="77777777" w:rsidR="00387142" w:rsidRPr="008B6A75" w:rsidRDefault="00387142" w:rsidP="00387142">
            <w:pPr>
              <w:jc w:val="center"/>
              <w:rPr>
                <w:sz w:val="20"/>
                <w:szCs w:val="20"/>
              </w:rPr>
            </w:pPr>
            <w:r w:rsidRPr="008B6A75">
              <w:rPr>
                <w:sz w:val="20"/>
                <w:szCs w:val="20"/>
              </w:rPr>
              <w:t>410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9AC5BF" w14:textId="77777777" w:rsidR="00387142" w:rsidRPr="008B6A75" w:rsidRDefault="00387142" w:rsidP="00387142">
            <w:pPr>
              <w:jc w:val="right"/>
              <w:rPr>
                <w:sz w:val="20"/>
                <w:szCs w:val="20"/>
              </w:rPr>
            </w:pPr>
            <w:r w:rsidRPr="008B6A75">
              <w:rPr>
                <w:sz w:val="20"/>
                <w:szCs w:val="20"/>
              </w:rPr>
              <w:t>15 781 000,00</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68A11AB5" w14:textId="77777777" w:rsidR="00387142" w:rsidRPr="008B6A75" w:rsidRDefault="00387142" w:rsidP="00387142">
            <w:pPr>
              <w:jc w:val="right"/>
              <w:rPr>
                <w:sz w:val="20"/>
                <w:szCs w:val="20"/>
              </w:rPr>
            </w:pPr>
            <w:r w:rsidRPr="008B6A75">
              <w:rPr>
                <w:sz w:val="20"/>
                <w:szCs w:val="20"/>
              </w:rPr>
              <w:t>7 590 400,00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8A884B" w14:textId="77777777" w:rsidR="00387142" w:rsidRPr="008B6A75" w:rsidRDefault="00387142" w:rsidP="00387142">
            <w:pPr>
              <w:jc w:val="right"/>
              <w:rPr>
                <w:sz w:val="20"/>
                <w:szCs w:val="20"/>
              </w:rPr>
            </w:pPr>
            <w:r w:rsidRPr="008B6A75">
              <w:rPr>
                <w:sz w:val="20"/>
                <w:szCs w:val="20"/>
              </w:rPr>
              <w:t>5 290 300,00</w:t>
            </w:r>
          </w:p>
        </w:tc>
        <w:tc>
          <w:tcPr>
            <w:tcW w:w="222" w:type="dxa"/>
            <w:vAlign w:val="center"/>
            <w:hideMark/>
          </w:tcPr>
          <w:p w14:paraId="689B665B" w14:textId="77777777" w:rsidR="00387142" w:rsidRPr="008B6A75" w:rsidRDefault="00387142" w:rsidP="00387142">
            <w:pPr>
              <w:rPr>
                <w:sz w:val="20"/>
                <w:szCs w:val="20"/>
              </w:rPr>
            </w:pPr>
          </w:p>
        </w:tc>
      </w:tr>
      <w:tr w:rsidR="00387142" w:rsidRPr="008B6A75" w14:paraId="579862F8" w14:textId="77777777" w:rsidTr="00387142">
        <w:trPr>
          <w:trHeight w:val="1440"/>
        </w:trPr>
        <w:tc>
          <w:tcPr>
            <w:tcW w:w="3021" w:type="dxa"/>
            <w:tcBorders>
              <w:top w:val="nil"/>
              <w:left w:val="single" w:sz="4" w:space="0" w:color="auto"/>
              <w:bottom w:val="nil"/>
              <w:right w:val="nil"/>
            </w:tcBorders>
            <w:shd w:val="clear" w:color="auto" w:fill="auto"/>
            <w:vAlign w:val="center"/>
            <w:hideMark/>
          </w:tcPr>
          <w:p w14:paraId="5D64133A" w14:textId="77777777" w:rsidR="00387142" w:rsidRPr="008B6A75" w:rsidRDefault="00387142" w:rsidP="00387142">
            <w:pPr>
              <w:rPr>
                <w:bCs/>
                <w:sz w:val="20"/>
                <w:szCs w:val="20"/>
              </w:rPr>
            </w:pPr>
            <w:r w:rsidRPr="008B6A75">
              <w:rPr>
                <w:bCs/>
                <w:sz w:val="20"/>
                <w:szCs w:val="2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(поддержка семьи и детей)</w:t>
            </w:r>
          </w:p>
        </w:tc>
        <w:tc>
          <w:tcPr>
            <w:tcW w:w="850" w:type="dxa"/>
            <w:tcBorders>
              <w:top w:val="nil"/>
              <w:left w:val="single" w:sz="4" w:space="0" w:color="auto"/>
              <w:bottom w:val="nil"/>
              <w:right w:val="nil"/>
            </w:tcBorders>
            <w:shd w:val="clear" w:color="auto" w:fill="auto"/>
            <w:noWrap/>
            <w:vAlign w:val="center"/>
            <w:hideMark/>
          </w:tcPr>
          <w:p w14:paraId="6342841D" w14:textId="77777777" w:rsidR="00387142" w:rsidRPr="008B6A75" w:rsidRDefault="00387142" w:rsidP="00387142">
            <w:pPr>
              <w:jc w:val="center"/>
              <w:rPr>
                <w:bCs/>
                <w:sz w:val="20"/>
                <w:szCs w:val="20"/>
              </w:rPr>
            </w:pPr>
            <w:r w:rsidRPr="008B6A75">
              <w:rPr>
                <w:bCs/>
                <w:sz w:val="20"/>
                <w:szCs w:val="20"/>
              </w:rPr>
              <w:t>444</w:t>
            </w:r>
          </w:p>
        </w:tc>
        <w:tc>
          <w:tcPr>
            <w:tcW w:w="709" w:type="dxa"/>
            <w:tcBorders>
              <w:top w:val="nil"/>
              <w:left w:val="single" w:sz="4" w:space="0" w:color="auto"/>
              <w:bottom w:val="nil"/>
              <w:right w:val="nil"/>
            </w:tcBorders>
            <w:shd w:val="clear" w:color="auto" w:fill="auto"/>
            <w:noWrap/>
            <w:vAlign w:val="center"/>
            <w:hideMark/>
          </w:tcPr>
          <w:p w14:paraId="09D349E5" w14:textId="77777777" w:rsidR="00387142" w:rsidRPr="008B6A75" w:rsidRDefault="00387142" w:rsidP="00387142">
            <w:pPr>
              <w:jc w:val="center"/>
              <w:rPr>
                <w:bCs/>
                <w:sz w:val="20"/>
                <w:szCs w:val="20"/>
              </w:rPr>
            </w:pPr>
            <w:r w:rsidRPr="008B6A75">
              <w:rPr>
                <w:bCs/>
                <w:sz w:val="20"/>
                <w:szCs w:val="20"/>
              </w:rPr>
              <w:t>05</w:t>
            </w:r>
          </w:p>
        </w:tc>
        <w:tc>
          <w:tcPr>
            <w:tcW w:w="709" w:type="dxa"/>
            <w:tcBorders>
              <w:top w:val="nil"/>
              <w:left w:val="single" w:sz="4" w:space="0" w:color="auto"/>
              <w:bottom w:val="nil"/>
              <w:right w:val="single" w:sz="4" w:space="0" w:color="auto"/>
            </w:tcBorders>
            <w:shd w:val="clear" w:color="auto" w:fill="auto"/>
            <w:noWrap/>
            <w:vAlign w:val="center"/>
            <w:hideMark/>
          </w:tcPr>
          <w:p w14:paraId="09C68540" w14:textId="77777777" w:rsidR="00387142" w:rsidRPr="008B6A75" w:rsidRDefault="00387142" w:rsidP="00387142">
            <w:pPr>
              <w:jc w:val="center"/>
              <w:rPr>
                <w:bCs/>
                <w:sz w:val="20"/>
                <w:szCs w:val="20"/>
              </w:rPr>
            </w:pPr>
            <w:r w:rsidRPr="008B6A75">
              <w:rPr>
                <w:bCs/>
                <w:sz w:val="20"/>
                <w:szCs w:val="20"/>
              </w:rPr>
              <w:t>01</w:t>
            </w:r>
          </w:p>
        </w:tc>
        <w:tc>
          <w:tcPr>
            <w:tcW w:w="1411" w:type="dxa"/>
            <w:tcBorders>
              <w:top w:val="nil"/>
              <w:left w:val="single" w:sz="4" w:space="0" w:color="auto"/>
              <w:bottom w:val="nil"/>
              <w:right w:val="nil"/>
            </w:tcBorders>
            <w:shd w:val="clear" w:color="auto" w:fill="auto"/>
            <w:noWrap/>
            <w:vAlign w:val="center"/>
            <w:hideMark/>
          </w:tcPr>
          <w:p w14:paraId="1FF29E6D" w14:textId="77777777" w:rsidR="00387142" w:rsidRPr="008B6A75" w:rsidRDefault="00387142" w:rsidP="00387142">
            <w:pPr>
              <w:jc w:val="center"/>
              <w:rPr>
                <w:bCs/>
                <w:sz w:val="20"/>
                <w:szCs w:val="20"/>
              </w:rPr>
            </w:pPr>
            <w:r w:rsidRPr="008B6A75">
              <w:rPr>
                <w:bCs/>
                <w:sz w:val="20"/>
                <w:szCs w:val="20"/>
              </w:rPr>
              <w:t>99.0.00.R0829</w:t>
            </w:r>
          </w:p>
        </w:tc>
        <w:tc>
          <w:tcPr>
            <w:tcW w:w="955" w:type="dxa"/>
            <w:tcBorders>
              <w:top w:val="nil"/>
              <w:left w:val="single" w:sz="4" w:space="0" w:color="auto"/>
              <w:bottom w:val="nil"/>
              <w:right w:val="single" w:sz="4" w:space="0" w:color="auto"/>
            </w:tcBorders>
            <w:shd w:val="clear" w:color="auto" w:fill="auto"/>
            <w:noWrap/>
            <w:vAlign w:val="center"/>
            <w:hideMark/>
          </w:tcPr>
          <w:p w14:paraId="39B47B96"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nil"/>
              <w:right w:val="single" w:sz="4" w:space="0" w:color="auto"/>
            </w:tcBorders>
            <w:shd w:val="clear" w:color="auto" w:fill="auto"/>
            <w:noWrap/>
            <w:vAlign w:val="center"/>
            <w:hideMark/>
          </w:tcPr>
          <w:p w14:paraId="5BF607FA" w14:textId="77777777" w:rsidR="00387142" w:rsidRPr="008B6A75" w:rsidRDefault="00387142" w:rsidP="00387142">
            <w:pPr>
              <w:jc w:val="right"/>
              <w:rPr>
                <w:bCs/>
                <w:sz w:val="20"/>
                <w:szCs w:val="20"/>
              </w:rPr>
            </w:pPr>
            <w:r w:rsidRPr="008B6A75">
              <w:rPr>
                <w:bCs/>
                <w:sz w:val="20"/>
                <w:szCs w:val="20"/>
              </w:rPr>
              <w:t>22 484 447,44</w:t>
            </w:r>
          </w:p>
        </w:tc>
        <w:tc>
          <w:tcPr>
            <w:tcW w:w="992" w:type="dxa"/>
            <w:gridSpan w:val="2"/>
            <w:tcBorders>
              <w:top w:val="nil"/>
              <w:left w:val="single" w:sz="4" w:space="0" w:color="auto"/>
              <w:bottom w:val="nil"/>
              <w:right w:val="nil"/>
            </w:tcBorders>
            <w:shd w:val="clear" w:color="auto" w:fill="auto"/>
            <w:noWrap/>
            <w:vAlign w:val="center"/>
            <w:hideMark/>
          </w:tcPr>
          <w:p w14:paraId="089CDD89" w14:textId="77777777" w:rsidR="00387142" w:rsidRPr="008B6A75" w:rsidRDefault="00387142" w:rsidP="00387142">
            <w:pPr>
              <w:jc w:val="right"/>
              <w:rPr>
                <w:bCs/>
                <w:sz w:val="20"/>
                <w:szCs w:val="20"/>
              </w:rPr>
            </w:pPr>
            <w:r w:rsidRPr="008B6A75">
              <w:rPr>
                <w:bCs/>
                <w:sz w:val="20"/>
                <w:szCs w:val="20"/>
              </w:rPr>
              <w:t>10 681 700,00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04EB90D6" w14:textId="77777777" w:rsidR="00387142" w:rsidRPr="008B6A75" w:rsidRDefault="00387142" w:rsidP="00387142">
            <w:pPr>
              <w:jc w:val="right"/>
              <w:rPr>
                <w:bCs/>
                <w:sz w:val="20"/>
                <w:szCs w:val="20"/>
              </w:rPr>
            </w:pPr>
            <w:r w:rsidRPr="008B6A75">
              <w:rPr>
                <w:bCs/>
                <w:sz w:val="20"/>
                <w:szCs w:val="20"/>
              </w:rPr>
              <w:t>16 022 600,00</w:t>
            </w:r>
          </w:p>
        </w:tc>
        <w:tc>
          <w:tcPr>
            <w:tcW w:w="222" w:type="dxa"/>
            <w:vAlign w:val="center"/>
            <w:hideMark/>
          </w:tcPr>
          <w:p w14:paraId="5C2020D5" w14:textId="77777777" w:rsidR="00387142" w:rsidRPr="008B6A75" w:rsidRDefault="00387142" w:rsidP="00387142">
            <w:pPr>
              <w:rPr>
                <w:sz w:val="20"/>
                <w:szCs w:val="20"/>
              </w:rPr>
            </w:pPr>
          </w:p>
        </w:tc>
      </w:tr>
      <w:tr w:rsidR="00387142" w:rsidRPr="008B6A75" w14:paraId="40AA1500" w14:textId="77777777" w:rsidTr="00387142">
        <w:trPr>
          <w:trHeight w:val="870"/>
        </w:trPr>
        <w:tc>
          <w:tcPr>
            <w:tcW w:w="3021" w:type="dxa"/>
            <w:tcBorders>
              <w:top w:val="single" w:sz="4" w:space="0" w:color="auto"/>
              <w:left w:val="single" w:sz="4" w:space="0" w:color="auto"/>
              <w:bottom w:val="nil"/>
              <w:right w:val="nil"/>
            </w:tcBorders>
            <w:shd w:val="clear" w:color="auto" w:fill="auto"/>
            <w:vAlign w:val="center"/>
            <w:hideMark/>
          </w:tcPr>
          <w:p w14:paraId="0C19AAE6" w14:textId="77777777" w:rsidR="00387142" w:rsidRPr="008B6A75" w:rsidRDefault="00387142" w:rsidP="00387142">
            <w:pPr>
              <w:rPr>
                <w:sz w:val="20"/>
                <w:szCs w:val="20"/>
              </w:rPr>
            </w:pPr>
            <w:r w:rsidRPr="008B6A75">
              <w:rPr>
                <w:sz w:val="20"/>
                <w:szCs w:val="20"/>
              </w:rPr>
              <w:t>Капитальные вложения в объекты государственной (муниципальной) собственности</w:t>
            </w:r>
          </w:p>
        </w:tc>
        <w:tc>
          <w:tcPr>
            <w:tcW w:w="850" w:type="dxa"/>
            <w:tcBorders>
              <w:top w:val="single" w:sz="4" w:space="0" w:color="auto"/>
              <w:left w:val="single" w:sz="4" w:space="0" w:color="auto"/>
              <w:bottom w:val="nil"/>
              <w:right w:val="nil"/>
            </w:tcBorders>
            <w:shd w:val="clear" w:color="auto" w:fill="auto"/>
            <w:noWrap/>
            <w:vAlign w:val="center"/>
            <w:hideMark/>
          </w:tcPr>
          <w:p w14:paraId="4FBDF51F" w14:textId="77777777" w:rsidR="00387142" w:rsidRPr="008B6A75" w:rsidRDefault="00387142" w:rsidP="00387142">
            <w:pPr>
              <w:jc w:val="center"/>
              <w:rPr>
                <w:sz w:val="20"/>
                <w:szCs w:val="20"/>
              </w:rPr>
            </w:pPr>
            <w:r w:rsidRPr="008B6A75">
              <w:rPr>
                <w:sz w:val="20"/>
                <w:szCs w:val="20"/>
              </w:rPr>
              <w:t>444</w:t>
            </w:r>
          </w:p>
        </w:tc>
        <w:tc>
          <w:tcPr>
            <w:tcW w:w="709" w:type="dxa"/>
            <w:tcBorders>
              <w:top w:val="single" w:sz="4" w:space="0" w:color="auto"/>
              <w:left w:val="single" w:sz="4" w:space="0" w:color="auto"/>
              <w:bottom w:val="nil"/>
              <w:right w:val="nil"/>
            </w:tcBorders>
            <w:shd w:val="clear" w:color="auto" w:fill="auto"/>
            <w:noWrap/>
            <w:vAlign w:val="center"/>
            <w:hideMark/>
          </w:tcPr>
          <w:p w14:paraId="45718F9C" w14:textId="77777777" w:rsidR="00387142" w:rsidRPr="008B6A75" w:rsidRDefault="00387142" w:rsidP="00387142">
            <w:pPr>
              <w:jc w:val="center"/>
              <w:rPr>
                <w:sz w:val="20"/>
                <w:szCs w:val="20"/>
              </w:rPr>
            </w:pPr>
            <w:r w:rsidRPr="008B6A75">
              <w:rPr>
                <w:sz w:val="20"/>
                <w:szCs w:val="20"/>
              </w:rPr>
              <w:t>05</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309F3C59" w14:textId="77777777" w:rsidR="00387142" w:rsidRPr="008B6A75" w:rsidRDefault="00387142" w:rsidP="00387142">
            <w:pPr>
              <w:jc w:val="center"/>
              <w:rPr>
                <w:sz w:val="20"/>
                <w:szCs w:val="20"/>
              </w:rPr>
            </w:pPr>
            <w:r w:rsidRPr="008B6A75">
              <w:rPr>
                <w:sz w:val="20"/>
                <w:szCs w:val="20"/>
              </w:rPr>
              <w:t>01</w:t>
            </w:r>
          </w:p>
        </w:tc>
        <w:tc>
          <w:tcPr>
            <w:tcW w:w="1411" w:type="dxa"/>
            <w:tcBorders>
              <w:top w:val="single" w:sz="4" w:space="0" w:color="auto"/>
              <w:left w:val="single" w:sz="4" w:space="0" w:color="auto"/>
              <w:bottom w:val="nil"/>
              <w:right w:val="nil"/>
            </w:tcBorders>
            <w:shd w:val="clear" w:color="auto" w:fill="auto"/>
            <w:noWrap/>
            <w:vAlign w:val="center"/>
            <w:hideMark/>
          </w:tcPr>
          <w:p w14:paraId="67DAF2A7" w14:textId="77777777" w:rsidR="00387142" w:rsidRPr="008B6A75" w:rsidRDefault="00387142" w:rsidP="00387142">
            <w:pPr>
              <w:jc w:val="center"/>
              <w:rPr>
                <w:sz w:val="20"/>
                <w:szCs w:val="20"/>
              </w:rPr>
            </w:pPr>
            <w:r w:rsidRPr="008B6A75">
              <w:rPr>
                <w:sz w:val="20"/>
                <w:szCs w:val="20"/>
              </w:rPr>
              <w:t>99.0.00.R0829</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559BE614" w14:textId="77777777" w:rsidR="00387142" w:rsidRPr="008B6A75" w:rsidRDefault="00387142" w:rsidP="00387142">
            <w:pPr>
              <w:jc w:val="center"/>
              <w:rPr>
                <w:sz w:val="20"/>
                <w:szCs w:val="20"/>
              </w:rPr>
            </w:pPr>
            <w:r w:rsidRPr="008B6A75">
              <w:rPr>
                <w:sz w:val="20"/>
                <w:szCs w:val="20"/>
              </w:rPr>
              <w:t>400</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58D67F4E" w14:textId="77777777" w:rsidR="00387142" w:rsidRPr="008B6A75" w:rsidRDefault="00387142" w:rsidP="00387142">
            <w:pPr>
              <w:jc w:val="right"/>
              <w:rPr>
                <w:sz w:val="20"/>
                <w:szCs w:val="20"/>
              </w:rPr>
            </w:pPr>
            <w:r w:rsidRPr="008B6A75">
              <w:rPr>
                <w:sz w:val="20"/>
                <w:szCs w:val="20"/>
              </w:rPr>
              <w:t>22 484 447,44</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37DEBEB6" w14:textId="77777777" w:rsidR="00387142" w:rsidRPr="008B6A75" w:rsidRDefault="00387142" w:rsidP="00387142">
            <w:pPr>
              <w:jc w:val="right"/>
              <w:rPr>
                <w:sz w:val="20"/>
                <w:szCs w:val="20"/>
              </w:rPr>
            </w:pPr>
            <w:r w:rsidRPr="008B6A75">
              <w:rPr>
                <w:sz w:val="20"/>
                <w:szCs w:val="20"/>
              </w:rPr>
              <w:t>10 681 700,00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77470AC1" w14:textId="77777777" w:rsidR="00387142" w:rsidRPr="008B6A75" w:rsidRDefault="00387142" w:rsidP="00387142">
            <w:pPr>
              <w:jc w:val="right"/>
              <w:rPr>
                <w:sz w:val="20"/>
                <w:szCs w:val="20"/>
              </w:rPr>
            </w:pPr>
            <w:r w:rsidRPr="008B6A75">
              <w:rPr>
                <w:sz w:val="20"/>
                <w:szCs w:val="20"/>
              </w:rPr>
              <w:t>16 022 600,00</w:t>
            </w:r>
          </w:p>
        </w:tc>
        <w:tc>
          <w:tcPr>
            <w:tcW w:w="222" w:type="dxa"/>
            <w:vAlign w:val="center"/>
            <w:hideMark/>
          </w:tcPr>
          <w:p w14:paraId="7B74889E" w14:textId="77777777" w:rsidR="00387142" w:rsidRPr="008B6A75" w:rsidRDefault="00387142" w:rsidP="00387142">
            <w:pPr>
              <w:rPr>
                <w:sz w:val="20"/>
                <w:szCs w:val="20"/>
              </w:rPr>
            </w:pPr>
          </w:p>
        </w:tc>
      </w:tr>
      <w:tr w:rsidR="00387142" w:rsidRPr="008B6A75" w14:paraId="77AB8F13" w14:textId="77777777" w:rsidTr="00387142">
        <w:trPr>
          <w:trHeight w:val="300"/>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57F487BA" w14:textId="77777777" w:rsidR="00387142" w:rsidRPr="008B6A75" w:rsidRDefault="00387142" w:rsidP="00387142">
            <w:pPr>
              <w:rPr>
                <w:sz w:val="20"/>
                <w:szCs w:val="20"/>
              </w:rPr>
            </w:pPr>
            <w:r w:rsidRPr="008B6A75">
              <w:rPr>
                <w:sz w:val="20"/>
                <w:szCs w:val="20"/>
              </w:rPr>
              <w:t>Бюджетные инвестиции</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5B07C588" w14:textId="77777777" w:rsidR="00387142" w:rsidRPr="008B6A75" w:rsidRDefault="00387142" w:rsidP="00387142">
            <w:pPr>
              <w:jc w:val="center"/>
              <w:rPr>
                <w:sz w:val="20"/>
                <w:szCs w:val="20"/>
              </w:rPr>
            </w:pPr>
            <w:r w:rsidRPr="008B6A75">
              <w:rPr>
                <w:sz w:val="20"/>
                <w:szCs w:val="20"/>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5431DFE0" w14:textId="77777777" w:rsidR="00387142" w:rsidRPr="008B6A75" w:rsidRDefault="00387142" w:rsidP="00387142">
            <w:pPr>
              <w:jc w:val="center"/>
              <w:rPr>
                <w:sz w:val="20"/>
                <w:szCs w:val="20"/>
              </w:rPr>
            </w:pPr>
            <w:r w:rsidRPr="008B6A75">
              <w:rPr>
                <w:sz w:val="20"/>
                <w:szCs w:val="20"/>
              </w:rPr>
              <w:t>05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667CAE" w14:textId="77777777" w:rsidR="00387142" w:rsidRPr="008B6A75" w:rsidRDefault="00387142" w:rsidP="00387142">
            <w:pPr>
              <w:jc w:val="center"/>
              <w:rPr>
                <w:sz w:val="20"/>
                <w:szCs w:val="20"/>
              </w:rPr>
            </w:pPr>
            <w:r w:rsidRPr="008B6A75">
              <w:rPr>
                <w:sz w:val="20"/>
                <w:szCs w:val="20"/>
              </w:rPr>
              <w:t>01</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2EC9CCB2" w14:textId="77777777" w:rsidR="00387142" w:rsidRPr="008B6A75" w:rsidRDefault="00387142" w:rsidP="00387142">
            <w:pPr>
              <w:jc w:val="center"/>
              <w:rPr>
                <w:sz w:val="20"/>
                <w:szCs w:val="20"/>
              </w:rPr>
            </w:pPr>
            <w:r w:rsidRPr="008B6A75">
              <w:rPr>
                <w:sz w:val="20"/>
                <w:szCs w:val="20"/>
              </w:rPr>
              <w:t>99.0.00.R0829</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BE85F5" w14:textId="77777777" w:rsidR="00387142" w:rsidRPr="008B6A75" w:rsidRDefault="00387142" w:rsidP="00387142">
            <w:pPr>
              <w:jc w:val="center"/>
              <w:rPr>
                <w:sz w:val="20"/>
                <w:szCs w:val="20"/>
              </w:rPr>
            </w:pPr>
            <w:r w:rsidRPr="008B6A75">
              <w:rPr>
                <w:sz w:val="20"/>
                <w:szCs w:val="20"/>
              </w:rPr>
              <w:t>410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25D1CF" w14:textId="77777777" w:rsidR="00387142" w:rsidRPr="008B6A75" w:rsidRDefault="00387142" w:rsidP="00387142">
            <w:pPr>
              <w:jc w:val="right"/>
              <w:rPr>
                <w:sz w:val="20"/>
                <w:szCs w:val="20"/>
              </w:rPr>
            </w:pPr>
            <w:r w:rsidRPr="008B6A75">
              <w:rPr>
                <w:sz w:val="20"/>
                <w:szCs w:val="20"/>
              </w:rPr>
              <w:t>22 484 447,44</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4BEEC8D1" w14:textId="77777777" w:rsidR="00387142" w:rsidRPr="008B6A75" w:rsidRDefault="00387142" w:rsidP="00387142">
            <w:pPr>
              <w:jc w:val="right"/>
              <w:rPr>
                <w:sz w:val="20"/>
                <w:szCs w:val="20"/>
              </w:rPr>
            </w:pPr>
            <w:r w:rsidRPr="008B6A75">
              <w:rPr>
                <w:sz w:val="20"/>
                <w:szCs w:val="20"/>
              </w:rPr>
              <w:t>10 681 700,00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9AD2DE" w14:textId="77777777" w:rsidR="00387142" w:rsidRPr="008B6A75" w:rsidRDefault="00387142" w:rsidP="00387142">
            <w:pPr>
              <w:jc w:val="right"/>
              <w:rPr>
                <w:sz w:val="20"/>
                <w:szCs w:val="20"/>
              </w:rPr>
            </w:pPr>
            <w:r w:rsidRPr="008B6A75">
              <w:rPr>
                <w:sz w:val="20"/>
                <w:szCs w:val="20"/>
              </w:rPr>
              <w:t>16 022 600,00</w:t>
            </w:r>
          </w:p>
        </w:tc>
        <w:tc>
          <w:tcPr>
            <w:tcW w:w="222" w:type="dxa"/>
            <w:vAlign w:val="center"/>
            <w:hideMark/>
          </w:tcPr>
          <w:p w14:paraId="2898596E" w14:textId="77777777" w:rsidR="00387142" w:rsidRPr="008B6A75" w:rsidRDefault="00387142" w:rsidP="00387142">
            <w:pPr>
              <w:rPr>
                <w:sz w:val="20"/>
                <w:szCs w:val="20"/>
              </w:rPr>
            </w:pPr>
          </w:p>
        </w:tc>
      </w:tr>
      <w:tr w:rsidR="00387142" w:rsidRPr="008B6A75" w14:paraId="0698E298" w14:textId="77777777" w:rsidTr="00387142">
        <w:trPr>
          <w:trHeight w:val="3150"/>
        </w:trPr>
        <w:tc>
          <w:tcPr>
            <w:tcW w:w="3021" w:type="dxa"/>
            <w:tcBorders>
              <w:top w:val="nil"/>
              <w:left w:val="single" w:sz="4" w:space="0" w:color="auto"/>
              <w:bottom w:val="nil"/>
              <w:right w:val="nil"/>
            </w:tcBorders>
            <w:shd w:val="clear" w:color="auto" w:fill="auto"/>
            <w:vAlign w:val="center"/>
            <w:hideMark/>
          </w:tcPr>
          <w:p w14:paraId="0B9CBC00" w14:textId="77777777" w:rsidR="00387142" w:rsidRPr="008B6A75" w:rsidRDefault="00387142" w:rsidP="00387142">
            <w:pPr>
              <w:rPr>
                <w:bCs/>
                <w:sz w:val="20"/>
                <w:szCs w:val="20"/>
              </w:rPr>
            </w:pPr>
            <w:proofErr w:type="spellStart"/>
            <w:r w:rsidRPr="008B6A75">
              <w:rPr>
                <w:bCs/>
                <w:sz w:val="20"/>
                <w:szCs w:val="20"/>
              </w:rPr>
              <w:t>Софинансирование</w:t>
            </w:r>
            <w:proofErr w:type="spellEnd"/>
            <w:r w:rsidRPr="008B6A75">
              <w:rPr>
                <w:bCs/>
                <w:sz w:val="20"/>
                <w:szCs w:val="20"/>
              </w:rPr>
              <w:t xml:space="preserve"> местного бюджета на строительство (приобретение на первичном рынке) служебного жилья подпрограммы "Строительство (приобретение на первичном рынке) служебного жилья для отдельных категорий граждан, проживающих и работающих на территории Новосибирской области" государственной программы Новосибирской области "Стимулирование развития жилищного строительства в Новосибирской области"</w:t>
            </w:r>
          </w:p>
        </w:tc>
        <w:tc>
          <w:tcPr>
            <w:tcW w:w="850" w:type="dxa"/>
            <w:tcBorders>
              <w:top w:val="nil"/>
              <w:left w:val="single" w:sz="4" w:space="0" w:color="auto"/>
              <w:bottom w:val="nil"/>
              <w:right w:val="nil"/>
            </w:tcBorders>
            <w:shd w:val="clear" w:color="auto" w:fill="auto"/>
            <w:noWrap/>
            <w:vAlign w:val="center"/>
            <w:hideMark/>
          </w:tcPr>
          <w:p w14:paraId="16E4F54A" w14:textId="77777777" w:rsidR="00387142" w:rsidRPr="008B6A75" w:rsidRDefault="00387142" w:rsidP="00387142">
            <w:pPr>
              <w:jc w:val="center"/>
              <w:rPr>
                <w:bCs/>
                <w:sz w:val="20"/>
                <w:szCs w:val="20"/>
              </w:rPr>
            </w:pPr>
            <w:r w:rsidRPr="008B6A75">
              <w:rPr>
                <w:bCs/>
                <w:sz w:val="20"/>
                <w:szCs w:val="20"/>
              </w:rPr>
              <w:t>444</w:t>
            </w:r>
          </w:p>
        </w:tc>
        <w:tc>
          <w:tcPr>
            <w:tcW w:w="709" w:type="dxa"/>
            <w:tcBorders>
              <w:top w:val="nil"/>
              <w:left w:val="single" w:sz="4" w:space="0" w:color="auto"/>
              <w:bottom w:val="nil"/>
              <w:right w:val="nil"/>
            </w:tcBorders>
            <w:shd w:val="clear" w:color="auto" w:fill="auto"/>
            <w:noWrap/>
            <w:vAlign w:val="center"/>
            <w:hideMark/>
          </w:tcPr>
          <w:p w14:paraId="68A2CE94" w14:textId="77777777" w:rsidR="00387142" w:rsidRPr="008B6A75" w:rsidRDefault="00387142" w:rsidP="00387142">
            <w:pPr>
              <w:jc w:val="center"/>
              <w:rPr>
                <w:bCs/>
                <w:sz w:val="20"/>
                <w:szCs w:val="20"/>
              </w:rPr>
            </w:pPr>
            <w:r w:rsidRPr="008B6A75">
              <w:rPr>
                <w:bCs/>
                <w:sz w:val="20"/>
                <w:szCs w:val="20"/>
              </w:rPr>
              <w:t>05</w:t>
            </w:r>
          </w:p>
        </w:tc>
        <w:tc>
          <w:tcPr>
            <w:tcW w:w="709" w:type="dxa"/>
            <w:tcBorders>
              <w:top w:val="nil"/>
              <w:left w:val="single" w:sz="4" w:space="0" w:color="auto"/>
              <w:bottom w:val="nil"/>
              <w:right w:val="single" w:sz="4" w:space="0" w:color="auto"/>
            </w:tcBorders>
            <w:shd w:val="clear" w:color="auto" w:fill="auto"/>
            <w:noWrap/>
            <w:vAlign w:val="center"/>
            <w:hideMark/>
          </w:tcPr>
          <w:p w14:paraId="48DBF488" w14:textId="77777777" w:rsidR="00387142" w:rsidRPr="008B6A75" w:rsidRDefault="00387142" w:rsidP="00387142">
            <w:pPr>
              <w:jc w:val="center"/>
              <w:rPr>
                <w:bCs/>
                <w:sz w:val="20"/>
                <w:szCs w:val="20"/>
              </w:rPr>
            </w:pPr>
            <w:r w:rsidRPr="008B6A75">
              <w:rPr>
                <w:bCs/>
                <w:sz w:val="20"/>
                <w:szCs w:val="20"/>
              </w:rPr>
              <w:t>01</w:t>
            </w:r>
          </w:p>
        </w:tc>
        <w:tc>
          <w:tcPr>
            <w:tcW w:w="1411" w:type="dxa"/>
            <w:tcBorders>
              <w:top w:val="nil"/>
              <w:left w:val="single" w:sz="4" w:space="0" w:color="auto"/>
              <w:bottom w:val="nil"/>
              <w:right w:val="nil"/>
            </w:tcBorders>
            <w:shd w:val="clear" w:color="auto" w:fill="auto"/>
            <w:noWrap/>
            <w:vAlign w:val="center"/>
            <w:hideMark/>
          </w:tcPr>
          <w:p w14:paraId="3940ED68" w14:textId="77777777" w:rsidR="00387142" w:rsidRPr="008B6A75" w:rsidRDefault="00387142" w:rsidP="00387142">
            <w:pPr>
              <w:jc w:val="center"/>
              <w:rPr>
                <w:bCs/>
                <w:sz w:val="20"/>
                <w:szCs w:val="20"/>
              </w:rPr>
            </w:pPr>
            <w:r w:rsidRPr="008B6A75">
              <w:rPr>
                <w:bCs/>
                <w:sz w:val="20"/>
                <w:szCs w:val="20"/>
              </w:rPr>
              <w:t>99.0.00.S0650</w:t>
            </w:r>
          </w:p>
        </w:tc>
        <w:tc>
          <w:tcPr>
            <w:tcW w:w="955" w:type="dxa"/>
            <w:tcBorders>
              <w:top w:val="nil"/>
              <w:left w:val="single" w:sz="4" w:space="0" w:color="auto"/>
              <w:bottom w:val="nil"/>
              <w:right w:val="single" w:sz="4" w:space="0" w:color="auto"/>
            </w:tcBorders>
            <w:shd w:val="clear" w:color="auto" w:fill="auto"/>
            <w:noWrap/>
            <w:vAlign w:val="center"/>
            <w:hideMark/>
          </w:tcPr>
          <w:p w14:paraId="0AE08D1F"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nil"/>
              <w:right w:val="single" w:sz="4" w:space="0" w:color="auto"/>
            </w:tcBorders>
            <w:shd w:val="clear" w:color="auto" w:fill="auto"/>
            <w:noWrap/>
            <w:vAlign w:val="center"/>
            <w:hideMark/>
          </w:tcPr>
          <w:p w14:paraId="639285AC" w14:textId="77777777" w:rsidR="00387142" w:rsidRPr="008B6A75" w:rsidRDefault="00387142" w:rsidP="00387142">
            <w:pPr>
              <w:jc w:val="right"/>
              <w:rPr>
                <w:bCs/>
                <w:sz w:val="20"/>
                <w:szCs w:val="20"/>
              </w:rPr>
            </w:pPr>
            <w:r w:rsidRPr="008B6A75">
              <w:rPr>
                <w:bCs/>
                <w:sz w:val="20"/>
                <w:szCs w:val="20"/>
              </w:rPr>
              <w:t>2 315 978,95</w:t>
            </w:r>
          </w:p>
        </w:tc>
        <w:tc>
          <w:tcPr>
            <w:tcW w:w="992" w:type="dxa"/>
            <w:gridSpan w:val="2"/>
            <w:tcBorders>
              <w:top w:val="nil"/>
              <w:left w:val="single" w:sz="4" w:space="0" w:color="auto"/>
              <w:bottom w:val="nil"/>
              <w:right w:val="nil"/>
            </w:tcBorders>
            <w:shd w:val="clear" w:color="auto" w:fill="auto"/>
            <w:noWrap/>
            <w:vAlign w:val="center"/>
            <w:hideMark/>
          </w:tcPr>
          <w:p w14:paraId="071F0628" w14:textId="77777777" w:rsidR="00387142" w:rsidRPr="008B6A75" w:rsidRDefault="00387142" w:rsidP="00387142">
            <w:pPr>
              <w:jc w:val="right"/>
              <w:rPr>
                <w:bCs/>
                <w:sz w:val="20"/>
                <w:szCs w:val="20"/>
              </w:rPr>
            </w:pPr>
            <w:r w:rsidRPr="008B6A75">
              <w:rPr>
                <w:bCs/>
                <w:sz w:val="20"/>
                <w:szCs w:val="20"/>
              </w:rPr>
              <w:t>0,00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4C3BEADF" w14:textId="77777777" w:rsidR="00387142" w:rsidRPr="008B6A75" w:rsidRDefault="00387142" w:rsidP="00387142">
            <w:pPr>
              <w:jc w:val="right"/>
              <w:rPr>
                <w:bCs/>
                <w:sz w:val="20"/>
                <w:szCs w:val="20"/>
              </w:rPr>
            </w:pPr>
            <w:r w:rsidRPr="008B6A75">
              <w:rPr>
                <w:bCs/>
                <w:sz w:val="20"/>
                <w:szCs w:val="20"/>
              </w:rPr>
              <w:t>0,00</w:t>
            </w:r>
          </w:p>
        </w:tc>
        <w:tc>
          <w:tcPr>
            <w:tcW w:w="222" w:type="dxa"/>
            <w:vAlign w:val="center"/>
            <w:hideMark/>
          </w:tcPr>
          <w:p w14:paraId="31AE4BA6" w14:textId="77777777" w:rsidR="00387142" w:rsidRPr="008B6A75" w:rsidRDefault="00387142" w:rsidP="00387142">
            <w:pPr>
              <w:rPr>
                <w:sz w:val="20"/>
                <w:szCs w:val="20"/>
              </w:rPr>
            </w:pPr>
          </w:p>
        </w:tc>
      </w:tr>
      <w:tr w:rsidR="00387142" w:rsidRPr="008B6A75" w14:paraId="56BF827A" w14:textId="77777777" w:rsidTr="00387142">
        <w:trPr>
          <w:trHeight w:val="870"/>
        </w:trPr>
        <w:tc>
          <w:tcPr>
            <w:tcW w:w="3021" w:type="dxa"/>
            <w:tcBorders>
              <w:top w:val="single" w:sz="4" w:space="0" w:color="auto"/>
              <w:left w:val="single" w:sz="4" w:space="0" w:color="auto"/>
              <w:bottom w:val="nil"/>
              <w:right w:val="nil"/>
            </w:tcBorders>
            <w:shd w:val="clear" w:color="auto" w:fill="auto"/>
            <w:vAlign w:val="center"/>
            <w:hideMark/>
          </w:tcPr>
          <w:p w14:paraId="3239990B" w14:textId="77777777" w:rsidR="00387142" w:rsidRPr="008B6A75" w:rsidRDefault="00387142" w:rsidP="00387142">
            <w:pPr>
              <w:rPr>
                <w:sz w:val="20"/>
                <w:szCs w:val="20"/>
              </w:rPr>
            </w:pPr>
            <w:r w:rsidRPr="008B6A75">
              <w:rPr>
                <w:sz w:val="20"/>
                <w:szCs w:val="20"/>
              </w:rPr>
              <w:t>Капитальные вложения в объекты государственной (муниципальной) собственности</w:t>
            </w:r>
          </w:p>
        </w:tc>
        <w:tc>
          <w:tcPr>
            <w:tcW w:w="850" w:type="dxa"/>
            <w:tcBorders>
              <w:top w:val="single" w:sz="4" w:space="0" w:color="auto"/>
              <w:left w:val="single" w:sz="4" w:space="0" w:color="auto"/>
              <w:bottom w:val="nil"/>
              <w:right w:val="nil"/>
            </w:tcBorders>
            <w:shd w:val="clear" w:color="auto" w:fill="auto"/>
            <w:noWrap/>
            <w:vAlign w:val="center"/>
            <w:hideMark/>
          </w:tcPr>
          <w:p w14:paraId="66B0FAD5" w14:textId="77777777" w:rsidR="00387142" w:rsidRPr="008B6A75" w:rsidRDefault="00387142" w:rsidP="00387142">
            <w:pPr>
              <w:jc w:val="center"/>
              <w:rPr>
                <w:sz w:val="20"/>
                <w:szCs w:val="20"/>
              </w:rPr>
            </w:pPr>
            <w:r w:rsidRPr="008B6A75">
              <w:rPr>
                <w:sz w:val="20"/>
                <w:szCs w:val="20"/>
              </w:rPr>
              <w:t>444</w:t>
            </w:r>
          </w:p>
        </w:tc>
        <w:tc>
          <w:tcPr>
            <w:tcW w:w="709" w:type="dxa"/>
            <w:tcBorders>
              <w:top w:val="single" w:sz="4" w:space="0" w:color="auto"/>
              <w:left w:val="single" w:sz="4" w:space="0" w:color="auto"/>
              <w:bottom w:val="nil"/>
              <w:right w:val="nil"/>
            </w:tcBorders>
            <w:shd w:val="clear" w:color="auto" w:fill="auto"/>
            <w:noWrap/>
            <w:vAlign w:val="center"/>
            <w:hideMark/>
          </w:tcPr>
          <w:p w14:paraId="2E93B44B" w14:textId="77777777" w:rsidR="00387142" w:rsidRPr="008B6A75" w:rsidRDefault="00387142" w:rsidP="00387142">
            <w:pPr>
              <w:jc w:val="center"/>
              <w:rPr>
                <w:sz w:val="20"/>
                <w:szCs w:val="20"/>
              </w:rPr>
            </w:pPr>
            <w:r w:rsidRPr="008B6A75">
              <w:rPr>
                <w:sz w:val="20"/>
                <w:szCs w:val="20"/>
              </w:rPr>
              <w:t>05</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73785ED6" w14:textId="77777777" w:rsidR="00387142" w:rsidRPr="008B6A75" w:rsidRDefault="00387142" w:rsidP="00387142">
            <w:pPr>
              <w:jc w:val="center"/>
              <w:rPr>
                <w:sz w:val="20"/>
                <w:szCs w:val="20"/>
              </w:rPr>
            </w:pPr>
            <w:r w:rsidRPr="008B6A75">
              <w:rPr>
                <w:sz w:val="20"/>
                <w:szCs w:val="20"/>
              </w:rPr>
              <w:t>01</w:t>
            </w:r>
          </w:p>
        </w:tc>
        <w:tc>
          <w:tcPr>
            <w:tcW w:w="1411" w:type="dxa"/>
            <w:tcBorders>
              <w:top w:val="single" w:sz="4" w:space="0" w:color="auto"/>
              <w:left w:val="single" w:sz="4" w:space="0" w:color="auto"/>
              <w:bottom w:val="nil"/>
              <w:right w:val="nil"/>
            </w:tcBorders>
            <w:shd w:val="clear" w:color="auto" w:fill="auto"/>
            <w:noWrap/>
            <w:vAlign w:val="center"/>
            <w:hideMark/>
          </w:tcPr>
          <w:p w14:paraId="6BDB1D6B" w14:textId="77777777" w:rsidR="00387142" w:rsidRPr="008B6A75" w:rsidRDefault="00387142" w:rsidP="00387142">
            <w:pPr>
              <w:jc w:val="center"/>
              <w:rPr>
                <w:sz w:val="20"/>
                <w:szCs w:val="20"/>
              </w:rPr>
            </w:pPr>
            <w:r w:rsidRPr="008B6A75">
              <w:rPr>
                <w:sz w:val="20"/>
                <w:szCs w:val="20"/>
              </w:rPr>
              <w:t>99.0.00.S0650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50047E71" w14:textId="77777777" w:rsidR="00387142" w:rsidRPr="008B6A75" w:rsidRDefault="00387142" w:rsidP="00387142">
            <w:pPr>
              <w:jc w:val="center"/>
              <w:rPr>
                <w:sz w:val="20"/>
                <w:szCs w:val="20"/>
              </w:rPr>
            </w:pPr>
            <w:r w:rsidRPr="008B6A75">
              <w:rPr>
                <w:sz w:val="20"/>
                <w:szCs w:val="20"/>
              </w:rPr>
              <w:t>400</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57739688" w14:textId="77777777" w:rsidR="00387142" w:rsidRPr="008B6A75" w:rsidRDefault="00387142" w:rsidP="00387142">
            <w:pPr>
              <w:jc w:val="right"/>
              <w:rPr>
                <w:sz w:val="20"/>
                <w:szCs w:val="20"/>
              </w:rPr>
            </w:pPr>
            <w:r w:rsidRPr="008B6A75">
              <w:rPr>
                <w:sz w:val="20"/>
                <w:szCs w:val="20"/>
              </w:rPr>
              <w:t>2 315 978,95</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0862C550" w14:textId="77777777" w:rsidR="00387142" w:rsidRPr="008B6A75" w:rsidRDefault="00387142" w:rsidP="00387142">
            <w:pPr>
              <w:jc w:val="right"/>
              <w:rPr>
                <w:sz w:val="20"/>
                <w:szCs w:val="20"/>
              </w:rPr>
            </w:pPr>
            <w:r w:rsidRPr="008B6A75">
              <w:rPr>
                <w:sz w:val="20"/>
                <w:szCs w:val="20"/>
              </w:rPr>
              <w:t>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503842BD" w14:textId="77777777" w:rsidR="00387142" w:rsidRPr="008B6A75" w:rsidRDefault="00387142" w:rsidP="00387142">
            <w:pPr>
              <w:jc w:val="right"/>
              <w:rPr>
                <w:sz w:val="20"/>
                <w:szCs w:val="20"/>
              </w:rPr>
            </w:pPr>
            <w:r w:rsidRPr="008B6A75">
              <w:rPr>
                <w:sz w:val="20"/>
                <w:szCs w:val="20"/>
              </w:rPr>
              <w:t>0,00</w:t>
            </w:r>
          </w:p>
        </w:tc>
        <w:tc>
          <w:tcPr>
            <w:tcW w:w="222" w:type="dxa"/>
            <w:vAlign w:val="center"/>
            <w:hideMark/>
          </w:tcPr>
          <w:p w14:paraId="19651ABD" w14:textId="77777777" w:rsidR="00387142" w:rsidRPr="008B6A75" w:rsidRDefault="00387142" w:rsidP="00387142">
            <w:pPr>
              <w:rPr>
                <w:sz w:val="20"/>
                <w:szCs w:val="20"/>
              </w:rPr>
            </w:pPr>
          </w:p>
        </w:tc>
      </w:tr>
      <w:tr w:rsidR="00387142" w:rsidRPr="008B6A75" w14:paraId="5155EF31" w14:textId="77777777" w:rsidTr="00387142">
        <w:trPr>
          <w:trHeight w:val="300"/>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0BFD568B" w14:textId="77777777" w:rsidR="00387142" w:rsidRPr="008B6A75" w:rsidRDefault="00387142" w:rsidP="00387142">
            <w:pPr>
              <w:rPr>
                <w:sz w:val="20"/>
                <w:szCs w:val="20"/>
              </w:rPr>
            </w:pPr>
            <w:r w:rsidRPr="008B6A75">
              <w:rPr>
                <w:sz w:val="20"/>
                <w:szCs w:val="20"/>
              </w:rPr>
              <w:t>Бюджетные инвестиции</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10EDCC45" w14:textId="77777777" w:rsidR="00387142" w:rsidRPr="008B6A75" w:rsidRDefault="00387142" w:rsidP="00387142">
            <w:pPr>
              <w:jc w:val="center"/>
              <w:rPr>
                <w:sz w:val="20"/>
                <w:szCs w:val="20"/>
              </w:rPr>
            </w:pPr>
            <w:r w:rsidRPr="008B6A75">
              <w:rPr>
                <w:sz w:val="20"/>
                <w:szCs w:val="20"/>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0DC22845" w14:textId="77777777" w:rsidR="00387142" w:rsidRPr="008B6A75" w:rsidRDefault="00387142" w:rsidP="00387142">
            <w:pPr>
              <w:jc w:val="center"/>
              <w:rPr>
                <w:sz w:val="20"/>
                <w:szCs w:val="20"/>
              </w:rPr>
            </w:pPr>
            <w:r w:rsidRPr="008B6A75">
              <w:rPr>
                <w:sz w:val="20"/>
                <w:szCs w:val="20"/>
              </w:rPr>
              <w:t>05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8F9131" w14:textId="77777777" w:rsidR="00387142" w:rsidRPr="008B6A75" w:rsidRDefault="00387142" w:rsidP="00387142">
            <w:pPr>
              <w:jc w:val="center"/>
              <w:rPr>
                <w:sz w:val="20"/>
                <w:szCs w:val="20"/>
              </w:rPr>
            </w:pPr>
            <w:r w:rsidRPr="008B6A75">
              <w:rPr>
                <w:sz w:val="20"/>
                <w:szCs w:val="20"/>
              </w:rPr>
              <w:t>01</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5AC1F27F" w14:textId="77777777" w:rsidR="00387142" w:rsidRPr="008B6A75" w:rsidRDefault="00387142" w:rsidP="00387142">
            <w:pPr>
              <w:jc w:val="center"/>
              <w:rPr>
                <w:sz w:val="20"/>
                <w:szCs w:val="20"/>
              </w:rPr>
            </w:pPr>
            <w:r w:rsidRPr="008B6A75">
              <w:rPr>
                <w:sz w:val="20"/>
                <w:szCs w:val="20"/>
              </w:rPr>
              <w:t>99.0.00.S0650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80C8FA" w14:textId="77777777" w:rsidR="00387142" w:rsidRPr="008B6A75" w:rsidRDefault="00387142" w:rsidP="00387142">
            <w:pPr>
              <w:jc w:val="center"/>
              <w:rPr>
                <w:sz w:val="20"/>
                <w:szCs w:val="20"/>
              </w:rPr>
            </w:pPr>
            <w:r w:rsidRPr="008B6A75">
              <w:rPr>
                <w:sz w:val="20"/>
                <w:szCs w:val="20"/>
              </w:rPr>
              <w:t>410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AB0CAB" w14:textId="77777777" w:rsidR="00387142" w:rsidRPr="008B6A75" w:rsidRDefault="00387142" w:rsidP="00387142">
            <w:pPr>
              <w:jc w:val="right"/>
              <w:rPr>
                <w:sz w:val="20"/>
                <w:szCs w:val="20"/>
              </w:rPr>
            </w:pPr>
            <w:r w:rsidRPr="008B6A75">
              <w:rPr>
                <w:sz w:val="20"/>
                <w:szCs w:val="20"/>
              </w:rPr>
              <w:t>2 315 978,95</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2D11BA8A" w14:textId="77777777" w:rsidR="00387142" w:rsidRPr="008B6A75" w:rsidRDefault="00387142" w:rsidP="00387142">
            <w:pPr>
              <w:jc w:val="right"/>
              <w:rPr>
                <w:sz w:val="20"/>
                <w:szCs w:val="20"/>
              </w:rPr>
            </w:pPr>
            <w:r w:rsidRPr="008B6A75">
              <w:rPr>
                <w:sz w:val="20"/>
                <w:szCs w:val="20"/>
              </w:rPr>
              <w:t>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2DFF60" w14:textId="77777777" w:rsidR="00387142" w:rsidRPr="008B6A75" w:rsidRDefault="00387142" w:rsidP="00387142">
            <w:pPr>
              <w:jc w:val="right"/>
              <w:rPr>
                <w:sz w:val="20"/>
                <w:szCs w:val="20"/>
              </w:rPr>
            </w:pPr>
            <w:r w:rsidRPr="008B6A75">
              <w:rPr>
                <w:sz w:val="20"/>
                <w:szCs w:val="20"/>
              </w:rPr>
              <w:t>0,00</w:t>
            </w:r>
          </w:p>
        </w:tc>
        <w:tc>
          <w:tcPr>
            <w:tcW w:w="222" w:type="dxa"/>
            <w:vAlign w:val="center"/>
            <w:hideMark/>
          </w:tcPr>
          <w:p w14:paraId="2BAAC50B" w14:textId="77777777" w:rsidR="00387142" w:rsidRPr="008B6A75" w:rsidRDefault="00387142" w:rsidP="00387142">
            <w:pPr>
              <w:rPr>
                <w:sz w:val="20"/>
                <w:szCs w:val="20"/>
              </w:rPr>
            </w:pPr>
          </w:p>
        </w:tc>
      </w:tr>
      <w:tr w:rsidR="00387142" w:rsidRPr="008B6A75" w14:paraId="5E9A3507" w14:textId="77777777" w:rsidTr="00387142">
        <w:trPr>
          <w:trHeight w:val="2580"/>
        </w:trPr>
        <w:tc>
          <w:tcPr>
            <w:tcW w:w="3021" w:type="dxa"/>
            <w:tcBorders>
              <w:top w:val="nil"/>
              <w:left w:val="single" w:sz="4" w:space="0" w:color="auto"/>
              <w:bottom w:val="nil"/>
              <w:right w:val="nil"/>
            </w:tcBorders>
            <w:shd w:val="clear" w:color="auto" w:fill="auto"/>
            <w:vAlign w:val="center"/>
            <w:hideMark/>
          </w:tcPr>
          <w:p w14:paraId="68C60D7B" w14:textId="77777777" w:rsidR="00387142" w:rsidRPr="008B6A75" w:rsidRDefault="00387142" w:rsidP="00387142">
            <w:pPr>
              <w:rPr>
                <w:bCs/>
                <w:sz w:val="20"/>
                <w:szCs w:val="20"/>
              </w:rPr>
            </w:pPr>
            <w:proofErr w:type="spellStart"/>
            <w:r w:rsidRPr="008B6A75">
              <w:rPr>
                <w:bCs/>
                <w:sz w:val="20"/>
                <w:szCs w:val="20"/>
              </w:rPr>
              <w:t>Софинансирование</w:t>
            </w:r>
            <w:proofErr w:type="spellEnd"/>
            <w:r w:rsidRPr="008B6A75">
              <w:rPr>
                <w:bCs/>
                <w:sz w:val="20"/>
                <w:szCs w:val="20"/>
              </w:rPr>
              <w:t xml:space="preserve"> местного бюджета на реализацию мероприятий на оплату расходов, связанных со строительством специализированного жилищного фонда для предоставления отдельным категориям граждан, государственной программы Новосибирской области «Стимулирование развития жилищного строительства в Новосибирской области»</w:t>
            </w:r>
          </w:p>
        </w:tc>
        <w:tc>
          <w:tcPr>
            <w:tcW w:w="850" w:type="dxa"/>
            <w:tcBorders>
              <w:top w:val="nil"/>
              <w:left w:val="single" w:sz="4" w:space="0" w:color="auto"/>
              <w:bottom w:val="nil"/>
              <w:right w:val="nil"/>
            </w:tcBorders>
            <w:shd w:val="clear" w:color="auto" w:fill="auto"/>
            <w:noWrap/>
            <w:vAlign w:val="center"/>
            <w:hideMark/>
          </w:tcPr>
          <w:p w14:paraId="110009FE" w14:textId="77777777" w:rsidR="00387142" w:rsidRPr="008B6A75" w:rsidRDefault="00387142" w:rsidP="00387142">
            <w:pPr>
              <w:jc w:val="center"/>
              <w:rPr>
                <w:bCs/>
                <w:sz w:val="20"/>
                <w:szCs w:val="20"/>
              </w:rPr>
            </w:pPr>
            <w:r w:rsidRPr="008B6A75">
              <w:rPr>
                <w:bCs/>
                <w:sz w:val="20"/>
                <w:szCs w:val="20"/>
              </w:rPr>
              <w:t>444</w:t>
            </w:r>
          </w:p>
        </w:tc>
        <w:tc>
          <w:tcPr>
            <w:tcW w:w="709" w:type="dxa"/>
            <w:tcBorders>
              <w:top w:val="nil"/>
              <w:left w:val="single" w:sz="4" w:space="0" w:color="auto"/>
              <w:bottom w:val="nil"/>
              <w:right w:val="nil"/>
            </w:tcBorders>
            <w:shd w:val="clear" w:color="auto" w:fill="auto"/>
            <w:noWrap/>
            <w:vAlign w:val="center"/>
            <w:hideMark/>
          </w:tcPr>
          <w:p w14:paraId="498C14BD" w14:textId="77777777" w:rsidR="00387142" w:rsidRPr="008B6A75" w:rsidRDefault="00387142" w:rsidP="00387142">
            <w:pPr>
              <w:jc w:val="center"/>
              <w:rPr>
                <w:bCs/>
                <w:sz w:val="20"/>
                <w:szCs w:val="20"/>
              </w:rPr>
            </w:pPr>
            <w:r w:rsidRPr="008B6A75">
              <w:rPr>
                <w:bCs/>
                <w:sz w:val="20"/>
                <w:szCs w:val="20"/>
              </w:rPr>
              <w:t>05</w:t>
            </w:r>
          </w:p>
        </w:tc>
        <w:tc>
          <w:tcPr>
            <w:tcW w:w="709" w:type="dxa"/>
            <w:tcBorders>
              <w:top w:val="nil"/>
              <w:left w:val="single" w:sz="4" w:space="0" w:color="auto"/>
              <w:bottom w:val="nil"/>
              <w:right w:val="single" w:sz="4" w:space="0" w:color="auto"/>
            </w:tcBorders>
            <w:shd w:val="clear" w:color="auto" w:fill="auto"/>
            <w:noWrap/>
            <w:vAlign w:val="center"/>
            <w:hideMark/>
          </w:tcPr>
          <w:p w14:paraId="1E046ABB" w14:textId="77777777" w:rsidR="00387142" w:rsidRPr="008B6A75" w:rsidRDefault="00387142" w:rsidP="00387142">
            <w:pPr>
              <w:jc w:val="center"/>
              <w:rPr>
                <w:bCs/>
                <w:sz w:val="20"/>
                <w:szCs w:val="20"/>
              </w:rPr>
            </w:pPr>
            <w:r w:rsidRPr="008B6A75">
              <w:rPr>
                <w:bCs/>
                <w:sz w:val="20"/>
                <w:szCs w:val="20"/>
              </w:rPr>
              <w:t>01</w:t>
            </w:r>
          </w:p>
        </w:tc>
        <w:tc>
          <w:tcPr>
            <w:tcW w:w="1411" w:type="dxa"/>
            <w:tcBorders>
              <w:top w:val="nil"/>
              <w:left w:val="single" w:sz="4" w:space="0" w:color="auto"/>
              <w:bottom w:val="nil"/>
              <w:right w:val="nil"/>
            </w:tcBorders>
            <w:shd w:val="clear" w:color="auto" w:fill="auto"/>
            <w:noWrap/>
            <w:vAlign w:val="center"/>
            <w:hideMark/>
          </w:tcPr>
          <w:p w14:paraId="2A7F5A22" w14:textId="77777777" w:rsidR="00387142" w:rsidRPr="008B6A75" w:rsidRDefault="00387142" w:rsidP="00387142">
            <w:pPr>
              <w:jc w:val="center"/>
              <w:rPr>
                <w:bCs/>
                <w:sz w:val="20"/>
                <w:szCs w:val="20"/>
              </w:rPr>
            </w:pPr>
            <w:r w:rsidRPr="008B6A75">
              <w:rPr>
                <w:bCs/>
                <w:sz w:val="20"/>
                <w:szCs w:val="20"/>
              </w:rPr>
              <w:t>99.0.00.S0830</w:t>
            </w:r>
          </w:p>
        </w:tc>
        <w:tc>
          <w:tcPr>
            <w:tcW w:w="955" w:type="dxa"/>
            <w:tcBorders>
              <w:top w:val="nil"/>
              <w:left w:val="single" w:sz="4" w:space="0" w:color="auto"/>
              <w:bottom w:val="nil"/>
              <w:right w:val="single" w:sz="4" w:space="0" w:color="auto"/>
            </w:tcBorders>
            <w:shd w:val="clear" w:color="auto" w:fill="auto"/>
            <w:noWrap/>
            <w:vAlign w:val="center"/>
            <w:hideMark/>
          </w:tcPr>
          <w:p w14:paraId="72B187CA"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nil"/>
              <w:right w:val="single" w:sz="4" w:space="0" w:color="auto"/>
            </w:tcBorders>
            <w:shd w:val="clear" w:color="auto" w:fill="auto"/>
            <w:noWrap/>
            <w:vAlign w:val="center"/>
            <w:hideMark/>
          </w:tcPr>
          <w:p w14:paraId="1FB34E7D" w14:textId="77777777" w:rsidR="00387142" w:rsidRPr="008B6A75" w:rsidRDefault="00387142" w:rsidP="00387142">
            <w:pPr>
              <w:jc w:val="right"/>
              <w:rPr>
                <w:bCs/>
                <w:sz w:val="20"/>
                <w:szCs w:val="20"/>
              </w:rPr>
            </w:pPr>
            <w:r w:rsidRPr="008B6A75">
              <w:rPr>
                <w:bCs/>
                <w:sz w:val="20"/>
                <w:szCs w:val="20"/>
              </w:rPr>
              <w:t>709 715,79</w:t>
            </w:r>
          </w:p>
        </w:tc>
        <w:tc>
          <w:tcPr>
            <w:tcW w:w="992" w:type="dxa"/>
            <w:gridSpan w:val="2"/>
            <w:tcBorders>
              <w:top w:val="nil"/>
              <w:left w:val="single" w:sz="4" w:space="0" w:color="auto"/>
              <w:bottom w:val="nil"/>
              <w:right w:val="nil"/>
            </w:tcBorders>
            <w:shd w:val="clear" w:color="auto" w:fill="auto"/>
            <w:noWrap/>
            <w:vAlign w:val="center"/>
            <w:hideMark/>
          </w:tcPr>
          <w:p w14:paraId="3CD6DFDC" w14:textId="77777777" w:rsidR="00387142" w:rsidRPr="008B6A75" w:rsidRDefault="00387142" w:rsidP="00387142">
            <w:pPr>
              <w:jc w:val="right"/>
              <w:rPr>
                <w:bCs/>
                <w:sz w:val="20"/>
                <w:szCs w:val="20"/>
              </w:rPr>
            </w:pPr>
            <w:r w:rsidRPr="008B6A75">
              <w:rPr>
                <w:bCs/>
                <w:sz w:val="20"/>
                <w:szCs w:val="20"/>
              </w:rPr>
              <w:t>399 494,74</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1A56DB95" w14:textId="77777777" w:rsidR="00387142" w:rsidRPr="008B6A75" w:rsidRDefault="00387142" w:rsidP="00387142">
            <w:pPr>
              <w:jc w:val="right"/>
              <w:rPr>
                <w:bCs/>
                <w:sz w:val="20"/>
                <w:szCs w:val="20"/>
              </w:rPr>
            </w:pPr>
            <w:r w:rsidRPr="008B6A75">
              <w:rPr>
                <w:bCs/>
                <w:sz w:val="20"/>
                <w:szCs w:val="20"/>
              </w:rPr>
              <w:t>278 436,84</w:t>
            </w:r>
          </w:p>
        </w:tc>
        <w:tc>
          <w:tcPr>
            <w:tcW w:w="222" w:type="dxa"/>
            <w:vAlign w:val="center"/>
            <w:hideMark/>
          </w:tcPr>
          <w:p w14:paraId="1132A2BF" w14:textId="77777777" w:rsidR="00387142" w:rsidRPr="008B6A75" w:rsidRDefault="00387142" w:rsidP="00387142">
            <w:pPr>
              <w:rPr>
                <w:sz w:val="20"/>
                <w:szCs w:val="20"/>
              </w:rPr>
            </w:pPr>
          </w:p>
        </w:tc>
      </w:tr>
      <w:tr w:rsidR="00387142" w:rsidRPr="008B6A75" w14:paraId="0190133B" w14:textId="77777777" w:rsidTr="00387142">
        <w:trPr>
          <w:trHeight w:val="870"/>
        </w:trPr>
        <w:tc>
          <w:tcPr>
            <w:tcW w:w="3021" w:type="dxa"/>
            <w:tcBorders>
              <w:top w:val="single" w:sz="4" w:space="0" w:color="auto"/>
              <w:left w:val="single" w:sz="4" w:space="0" w:color="auto"/>
              <w:bottom w:val="nil"/>
              <w:right w:val="nil"/>
            </w:tcBorders>
            <w:shd w:val="clear" w:color="auto" w:fill="auto"/>
            <w:vAlign w:val="center"/>
            <w:hideMark/>
          </w:tcPr>
          <w:p w14:paraId="5CF13DDC" w14:textId="77777777" w:rsidR="00387142" w:rsidRPr="008B6A75" w:rsidRDefault="00387142" w:rsidP="00387142">
            <w:pPr>
              <w:rPr>
                <w:sz w:val="20"/>
                <w:szCs w:val="20"/>
              </w:rPr>
            </w:pPr>
            <w:r w:rsidRPr="008B6A75">
              <w:rPr>
                <w:sz w:val="20"/>
                <w:szCs w:val="20"/>
              </w:rPr>
              <w:t>Капитальные вложения в объекты государственной (муниципальной) собственности</w:t>
            </w:r>
          </w:p>
        </w:tc>
        <w:tc>
          <w:tcPr>
            <w:tcW w:w="850" w:type="dxa"/>
            <w:tcBorders>
              <w:top w:val="single" w:sz="4" w:space="0" w:color="auto"/>
              <w:left w:val="single" w:sz="4" w:space="0" w:color="auto"/>
              <w:bottom w:val="nil"/>
              <w:right w:val="nil"/>
            </w:tcBorders>
            <w:shd w:val="clear" w:color="auto" w:fill="auto"/>
            <w:noWrap/>
            <w:vAlign w:val="center"/>
            <w:hideMark/>
          </w:tcPr>
          <w:p w14:paraId="2DDF057A" w14:textId="77777777" w:rsidR="00387142" w:rsidRPr="008B6A75" w:rsidRDefault="00387142" w:rsidP="00387142">
            <w:pPr>
              <w:jc w:val="center"/>
              <w:rPr>
                <w:sz w:val="20"/>
                <w:szCs w:val="20"/>
              </w:rPr>
            </w:pPr>
            <w:r w:rsidRPr="008B6A75">
              <w:rPr>
                <w:sz w:val="20"/>
                <w:szCs w:val="20"/>
              </w:rPr>
              <w:t>444</w:t>
            </w:r>
          </w:p>
        </w:tc>
        <w:tc>
          <w:tcPr>
            <w:tcW w:w="709" w:type="dxa"/>
            <w:tcBorders>
              <w:top w:val="single" w:sz="4" w:space="0" w:color="auto"/>
              <w:left w:val="single" w:sz="4" w:space="0" w:color="auto"/>
              <w:bottom w:val="nil"/>
              <w:right w:val="nil"/>
            </w:tcBorders>
            <w:shd w:val="clear" w:color="auto" w:fill="auto"/>
            <w:noWrap/>
            <w:vAlign w:val="center"/>
            <w:hideMark/>
          </w:tcPr>
          <w:p w14:paraId="5FE1EA04" w14:textId="77777777" w:rsidR="00387142" w:rsidRPr="008B6A75" w:rsidRDefault="00387142" w:rsidP="00387142">
            <w:pPr>
              <w:jc w:val="center"/>
              <w:rPr>
                <w:sz w:val="20"/>
                <w:szCs w:val="20"/>
              </w:rPr>
            </w:pPr>
            <w:r w:rsidRPr="008B6A75">
              <w:rPr>
                <w:sz w:val="20"/>
                <w:szCs w:val="20"/>
              </w:rPr>
              <w:t>05</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78DB8D57" w14:textId="77777777" w:rsidR="00387142" w:rsidRPr="008B6A75" w:rsidRDefault="00387142" w:rsidP="00387142">
            <w:pPr>
              <w:jc w:val="center"/>
              <w:rPr>
                <w:sz w:val="20"/>
                <w:szCs w:val="20"/>
              </w:rPr>
            </w:pPr>
            <w:r w:rsidRPr="008B6A75">
              <w:rPr>
                <w:sz w:val="20"/>
                <w:szCs w:val="20"/>
              </w:rPr>
              <w:t>01</w:t>
            </w:r>
          </w:p>
        </w:tc>
        <w:tc>
          <w:tcPr>
            <w:tcW w:w="1411" w:type="dxa"/>
            <w:tcBorders>
              <w:top w:val="single" w:sz="4" w:space="0" w:color="auto"/>
              <w:left w:val="single" w:sz="4" w:space="0" w:color="auto"/>
              <w:bottom w:val="nil"/>
              <w:right w:val="nil"/>
            </w:tcBorders>
            <w:shd w:val="clear" w:color="auto" w:fill="auto"/>
            <w:noWrap/>
            <w:vAlign w:val="center"/>
            <w:hideMark/>
          </w:tcPr>
          <w:p w14:paraId="19CA4668" w14:textId="77777777" w:rsidR="00387142" w:rsidRPr="008B6A75" w:rsidRDefault="00387142" w:rsidP="00387142">
            <w:pPr>
              <w:jc w:val="center"/>
              <w:rPr>
                <w:sz w:val="20"/>
                <w:szCs w:val="20"/>
              </w:rPr>
            </w:pPr>
            <w:r w:rsidRPr="008B6A75">
              <w:rPr>
                <w:sz w:val="20"/>
                <w:szCs w:val="20"/>
              </w:rPr>
              <w:t>99.0.00.S0830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7FFBCABC" w14:textId="77777777" w:rsidR="00387142" w:rsidRPr="008B6A75" w:rsidRDefault="00387142" w:rsidP="00387142">
            <w:pPr>
              <w:jc w:val="center"/>
              <w:rPr>
                <w:sz w:val="20"/>
                <w:szCs w:val="20"/>
              </w:rPr>
            </w:pPr>
            <w:r w:rsidRPr="008B6A75">
              <w:rPr>
                <w:sz w:val="20"/>
                <w:szCs w:val="20"/>
              </w:rPr>
              <w:t>400</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799D8F05" w14:textId="77777777" w:rsidR="00387142" w:rsidRPr="008B6A75" w:rsidRDefault="00387142" w:rsidP="00387142">
            <w:pPr>
              <w:jc w:val="right"/>
              <w:rPr>
                <w:sz w:val="20"/>
                <w:szCs w:val="20"/>
              </w:rPr>
            </w:pPr>
            <w:r w:rsidRPr="008B6A75">
              <w:rPr>
                <w:sz w:val="20"/>
                <w:szCs w:val="20"/>
              </w:rPr>
              <w:t>709 715,79</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2C84B56B" w14:textId="77777777" w:rsidR="00387142" w:rsidRPr="008B6A75" w:rsidRDefault="00387142" w:rsidP="00387142">
            <w:pPr>
              <w:jc w:val="right"/>
              <w:rPr>
                <w:sz w:val="20"/>
                <w:szCs w:val="20"/>
              </w:rPr>
            </w:pPr>
            <w:r w:rsidRPr="008B6A75">
              <w:rPr>
                <w:sz w:val="20"/>
                <w:szCs w:val="20"/>
              </w:rPr>
              <w:t>399 494,74</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7A30946C" w14:textId="77777777" w:rsidR="00387142" w:rsidRPr="008B6A75" w:rsidRDefault="00387142" w:rsidP="00387142">
            <w:pPr>
              <w:jc w:val="right"/>
              <w:rPr>
                <w:sz w:val="20"/>
                <w:szCs w:val="20"/>
              </w:rPr>
            </w:pPr>
            <w:r w:rsidRPr="008B6A75">
              <w:rPr>
                <w:sz w:val="20"/>
                <w:szCs w:val="20"/>
              </w:rPr>
              <w:t>278 436,84</w:t>
            </w:r>
          </w:p>
        </w:tc>
        <w:tc>
          <w:tcPr>
            <w:tcW w:w="222" w:type="dxa"/>
            <w:vAlign w:val="center"/>
            <w:hideMark/>
          </w:tcPr>
          <w:p w14:paraId="34BAE92C" w14:textId="77777777" w:rsidR="00387142" w:rsidRPr="008B6A75" w:rsidRDefault="00387142" w:rsidP="00387142">
            <w:pPr>
              <w:rPr>
                <w:sz w:val="20"/>
                <w:szCs w:val="20"/>
              </w:rPr>
            </w:pPr>
          </w:p>
        </w:tc>
      </w:tr>
      <w:tr w:rsidR="00387142" w:rsidRPr="008B6A75" w14:paraId="26E94D21" w14:textId="77777777" w:rsidTr="00387142">
        <w:trPr>
          <w:trHeight w:val="300"/>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0F3E7489" w14:textId="77777777" w:rsidR="00387142" w:rsidRPr="008B6A75" w:rsidRDefault="00387142" w:rsidP="00387142">
            <w:pPr>
              <w:rPr>
                <w:sz w:val="20"/>
                <w:szCs w:val="20"/>
              </w:rPr>
            </w:pPr>
            <w:r w:rsidRPr="008B6A75">
              <w:rPr>
                <w:sz w:val="20"/>
                <w:szCs w:val="20"/>
              </w:rPr>
              <w:t>Бюджетные инвестиции</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6A0964CA" w14:textId="77777777" w:rsidR="00387142" w:rsidRPr="008B6A75" w:rsidRDefault="00387142" w:rsidP="00387142">
            <w:pPr>
              <w:jc w:val="center"/>
              <w:rPr>
                <w:sz w:val="20"/>
                <w:szCs w:val="20"/>
              </w:rPr>
            </w:pPr>
            <w:r w:rsidRPr="008B6A75">
              <w:rPr>
                <w:sz w:val="20"/>
                <w:szCs w:val="20"/>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056C877E" w14:textId="77777777" w:rsidR="00387142" w:rsidRPr="008B6A75" w:rsidRDefault="00387142" w:rsidP="00387142">
            <w:pPr>
              <w:jc w:val="center"/>
              <w:rPr>
                <w:sz w:val="20"/>
                <w:szCs w:val="20"/>
              </w:rPr>
            </w:pPr>
            <w:r w:rsidRPr="008B6A75">
              <w:rPr>
                <w:sz w:val="20"/>
                <w:szCs w:val="20"/>
              </w:rPr>
              <w:t>05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96B05C" w14:textId="77777777" w:rsidR="00387142" w:rsidRPr="008B6A75" w:rsidRDefault="00387142" w:rsidP="00387142">
            <w:pPr>
              <w:jc w:val="center"/>
              <w:rPr>
                <w:sz w:val="20"/>
                <w:szCs w:val="20"/>
              </w:rPr>
            </w:pPr>
            <w:r w:rsidRPr="008B6A75">
              <w:rPr>
                <w:sz w:val="20"/>
                <w:szCs w:val="20"/>
              </w:rPr>
              <w:t>01</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42F88D1E" w14:textId="77777777" w:rsidR="00387142" w:rsidRPr="008B6A75" w:rsidRDefault="00387142" w:rsidP="00387142">
            <w:pPr>
              <w:jc w:val="center"/>
              <w:rPr>
                <w:sz w:val="20"/>
                <w:szCs w:val="20"/>
              </w:rPr>
            </w:pPr>
            <w:r w:rsidRPr="008B6A75">
              <w:rPr>
                <w:sz w:val="20"/>
                <w:szCs w:val="20"/>
              </w:rPr>
              <w:t>99.0.00.S0830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4A8D9E" w14:textId="77777777" w:rsidR="00387142" w:rsidRPr="008B6A75" w:rsidRDefault="00387142" w:rsidP="00387142">
            <w:pPr>
              <w:jc w:val="center"/>
              <w:rPr>
                <w:sz w:val="20"/>
                <w:szCs w:val="20"/>
              </w:rPr>
            </w:pPr>
            <w:r w:rsidRPr="008B6A75">
              <w:rPr>
                <w:sz w:val="20"/>
                <w:szCs w:val="20"/>
              </w:rPr>
              <w:t>410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27B872" w14:textId="77777777" w:rsidR="00387142" w:rsidRPr="008B6A75" w:rsidRDefault="00387142" w:rsidP="00387142">
            <w:pPr>
              <w:jc w:val="right"/>
              <w:rPr>
                <w:sz w:val="20"/>
                <w:szCs w:val="20"/>
              </w:rPr>
            </w:pPr>
            <w:r w:rsidRPr="008B6A75">
              <w:rPr>
                <w:sz w:val="20"/>
                <w:szCs w:val="20"/>
              </w:rPr>
              <w:t>709 715,79</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4DDBC348" w14:textId="77777777" w:rsidR="00387142" w:rsidRPr="008B6A75" w:rsidRDefault="00387142" w:rsidP="00387142">
            <w:pPr>
              <w:jc w:val="right"/>
              <w:rPr>
                <w:sz w:val="20"/>
                <w:szCs w:val="20"/>
              </w:rPr>
            </w:pPr>
            <w:r w:rsidRPr="008B6A75">
              <w:rPr>
                <w:sz w:val="20"/>
                <w:szCs w:val="20"/>
              </w:rPr>
              <w:t>399 494,74</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DF8125" w14:textId="77777777" w:rsidR="00387142" w:rsidRPr="008B6A75" w:rsidRDefault="00387142" w:rsidP="00387142">
            <w:pPr>
              <w:jc w:val="right"/>
              <w:rPr>
                <w:sz w:val="20"/>
                <w:szCs w:val="20"/>
              </w:rPr>
            </w:pPr>
            <w:r w:rsidRPr="008B6A75">
              <w:rPr>
                <w:sz w:val="20"/>
                <w:szCs w:val="20"/>
              </w:rPr>
              <w:t>278 436,84</w:t>
            </w:r>
          </w:p>
        </w:tc>
        <w:tc>
          <w:tcPr>
            <w:tcW w:w="222" w:type="dxa"/>
            <w:vAlign w:val="center"/>
            <w:hideMark/>
          </w:tcPr>
          <w:p w14:paraId="536A0FB4" w14:textId="77777777" w:rsidR="00387142" w:rsidRPr="008B6A75" w:rsidRDefault="00387142" w:rsidP="00387142">
            <w:pPr>
              <w:rPr>
                <w:sz w:val="20"/>
                <w:szCs w:val="20"/>
              </w:rPr>
            </w:pPr>
          </w:p>
        </w:tc>
      </w:tr>
      <w:tr w:rsidR="00387142" w:rsidRPr="008B6A75" w14:paraId="7D4A678A" w14:textId="77777777" w:rsidTr="00387142">
        <w:trPr>
          <w:trHeight w:val="300"/>
        </w:trPr>
        <w:tc>
          <w:tcPr>
            <w:tcW w:w="3021" w:type="dxa"/>
            <w:tcBorders>
              <w:top w:val="nil"/>
              <w:left w:val="single" w:sz="4" w:space="0" w:color="auto"/>
              <w:bottom w:val="nil"/>
              <w:right w:val="nil"/>
            </w:tcBorders>
            <w:shd w:val="clear" w:color="auto" w:fill="auto"/>
            <w:vAlign w:val="center"/>
            <w:hideMark/>
          </w:tcPr>
          <w:p w14:paraId="5F40A235" w14:textId="77777777" w:rsidR="00387142" w:rsidRPr="008B6A75" w:rsidRDefault="00387142" w:rsidP="00387142">
            <w:pPr>
              <w:rPr>
                <w:bCs/>
                <w:sz w:val="20"/>
                <w:szCs w:val="20"/>
              </w:rPr>
            </w:pPr>
            <w:r w:rsidRPr="008B6A75">
              <w:rPr>
                <w:bCs/>
                <w:sz w:val="20"/>
                <w:szCs w:val="20"/>
              </w:rPr>
              <w:t>Коммунальное хозяйство</w:t>
            </w:r>
          </w:p>
        </w:tc>
        <w:tc>
          <w:tcPr>
            <w:tcW w:w="850" w:type="dxa"/>
            <w:tcBorders>
              <w:top w:val="nil"/>
              <w:left w:val="single" w:sz="4" w:space="0" w:color="auto"/>
              <w:bottom w:val="nil"/>
              <w:right w:val="nil"/>
            </w:tcBorders>
            <w:shd w:val="clear" w:color="auto" w:fill="auto"/>
            <w:noWrap/>
            <w:vAlign w:val="center"/>
            <w:hideMark/>
          </w:tcPr>
          <w:p w14:paraId="4D9BC66F" w14:textId="77777777" w:rsidR="00387142" w:rsidRPr="008B6A75" w:rsidRDefault="00387142" w:rsidP="00387142">
            <w:pPr>
              <w:jc w:val="center"/>
              <w:rPr>
                <w:bCs/>
                <w:sz w:val="20"/>
                <w:szCs w:val="20"/>
              </w:rPr>
            </w:pPr>
            <w:r w:rsidRPr="008B6A75">
              <w:rPr>
                <w:bCs/>
                <w:sz w:val="20"/>
                <w:szCs w:val="20"/>
              </w:rPr>
              <w:t>444</w:t>
            </w:r>
          </w:p>
        </w:tc>
        <w:tc>
          <w:tcPr>
            <w:tcW w:w="709" w:type="dxa"/>
            <w:tcBorders>
              <w:top w:val="nil"/>
              <w:left w:val="single" w:sz="4" w:space="0" w:color="auto"/>
              <w:bottom w:val="nil"/>
              <w:right w:val="nil"/>
            </w:tcBorders>
            <w:shd w:val="clear" w:color="auto" w:fill="auto"/>
            <w:noWrap/>
            <w:vAlign w:val="center"/>
            <w:hideMark/>
          </w:tcPr>
          <w:p w14:paraId="6C1881D7" w14:textId="77777777" w:rsidR="00387142" w:rsidRPr="008B6A75" w:rsidRDefault="00387142" w:rsidP="00387142">
            <w:pPr>
              <w:jc w:val="center"/>
              <w:rPr>
                <w:bCs/>
                <w:sz w:val="20"/>
                <w:szCs w:val="20"/>
              </w:rPr>
            </w:pPr>
            <w:r w:rsidRPr="008B6A75">
              <w:rPr>
                <w:bCs/>
                <w:sz w:val="20"/>
                <w:szCs w:val="20"/>
              </w:rPr>
              <w:t>05</w:t>
            </w:r>
          </w:p>
        </w:tc>
        <w:tc>
          <w:tcPr>
            <w:tcW w:w="709" w:type="dxa"/>
            <w:tcBorders>
              <w:top w:val="nil"/>
              <w:left w:val="single" w:sz="4" w:space="0" w:color="auto"/>
              <w:bottom w:val="nil"/>
              <w:right w:val="single" w:sz="4" w:space="0" w:color="auto"/>
            </w:tcBorders>
            <w:shd w:val="clear" w:color="auto" w:fill="auto"/>
            <w:noWrap/>
            <w:vAlign w:val="center"/>
            <w:hideMark/>
          </w:tcPr>
          <w:p w14:paraId="0339F611" w14:textId="77777777" w:rsidR="00387142" w:rsidRPr="008B6A75" w:rsidRDefault="00387142" w:rsidP="00387142">
            <w:pPr>
              <w:jc w:val="center"/>
              <w:rPr>
                <w:bCs/>
                <w:sz w:val="20"/>
                <w:szCs w:val="20"/>
              </w:rPr>
            </w:pPr>
            <w:r w:rsidRPr="008B6A75">
              <w:rPr>
                <w:bCs/>
                <w:sz w:val="20"/>
                <w:szCs w:val="20"/>
              </w:rPr>
              <w:t>02</w:t>
            </w:r>
          </w:p>
        </w:tc>
        <w:tc>
          <w:tcPr>
            <w:tcW w:w="1411" w:type="dxa"/>
            <w:tcBorders>
              <w:top w:val="nil"/>
              <w:left w:val="single" w:sz="4" w:space="0" w:color="auto"/>
              <w:bottom w:val="nil"/>
              <w:right w:val="nil"/>
            </w:tcBorders>
            <w:shd w:val="clear" w:color="auto" w:fill="auto"/>
            <w:noWrap/>
            <w:vAlign w:val="center"/>
            <w:hideMark/>
          </w:tcPr>
          <w:p w14:paraId="61A19F73" w14:textId="77777777" w:rsidR="00387142" w:rsidRPr="008B6A75" w:rsidRDefault="00387142" w:rsidP="00387142">
            <w:pPr>
              <w:jc w:val="center"/>
              <w:rPr>
                <w:bCs/>
                <w:sz w:val="20"/>
                <w:szCs w:val="20"/>
              </w:rPr>
            </w:pPr>
            <w:r w:rsidRPr="008B6A75">
              <w:rPr>
                <w:bCs/>
                <w:sz w:val="20"/>
                <w:szCs w:val="20"/>
              </w:rPr>
              <w:t> </w:t>
            </w:r>
          </w:p>
        </w:tc>
        <w:tc>
          <w:tcPr>
            <w:tcW w:w="955" w:type="dxa"/>
            <w:tcBorders>
              <w:top w:val="nil"/>
              <w:left w:val="single" w:sz="4" w:space="0" w:color="auto"/>
              <w:bottom w:val="nil"/>
              <w:right w:val="single" w:sz="4" w:space="0" w:color="auto"/>
            </w:tcBorders>
            <w:shd w:val="clear" w:color="auto" w:fill="auto"/>
            <w:noWrap/>
            <w:vAlign w:val="center"/>
            <w:hideMark/>
          </w:tcPr>
          <w:p w14:paraId="106EDE3E"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nil"/>
              <w:right w:val="single" w:sz="4" w:space="0" w:color="auto"/>
            </w:tcBorders>
            <w:shd w:val="clear" w:color="auto" w:fill="auto"/>
            <w:noWrap/>
            <w:vAlign w:val="center"/>
            <w:hideMark/>
          </w:tcPr>
          <w:p w14:paraId="0850A461" w14:textId="77777777" w:rsidR="00387142" w:rsidRPr="008B6A75" w:rsidRDefault="00387142" w:rsidP="00387142">
            <w:pPr>
              <w:jc w:val="right"/>
              <w:rPr>
                <w:bCs/>
                <w:sz w:val="20"/>
                <w:szCs w:val="20"/>
              </w:rPr>
            </w:pPr>
            <w:r w:rsidRPr="008B6A75">
              <w:rPr>
                <w:bCs/>
                <w:sz w:val="20"/>
                <w:szCs w:val="20"/>
              </w:rPr>
              <w:t xml:space="preserve">141 812 </w:t>
            </w:r>
            <w:r w:rsidRPr="008B6A75">
              <w:rPr>
                <w:bCs/>
                <w:sz w:val="20"/>
                <w:szCs w:val="20"/>
              </w:rPr>
              <w:lastRenderedPageBreak/>
              <w:t>890,91</w:t>
            </w:r>
          </w:p>
        </w:tc>
        <w:tc>
          <w:tcPr>
            <w:tcW w:w="992" w:type="dxa"/>
            <w:gridSpan w:val="2"/>
            <w:tcBorders>
              <w:top w:val="nil"/>
              <w:left w:val="single" w:sz="4" w:space="0" w:color="auto"/>
              <w:bottom w:val="nil"/>
              <w:right w:val="nil"/>
            </w:tcBorders>
            <w:shd w:val="clear" w:color="auto" w:fill="auto"/>
            <w:noWrap/>
            <w:vAlign w:val="center"/>
            <w:hideMark/>
          </w:tcPr>
          <w:p w14:paraId="18BEC507" w14:textId="77777777" w:rsidR="00387142" w:rsidRPr="008B6A75" w:rsidRDefault="00387142" w:rsidP="00387142">
            <w:pPr>
              <w:jc w:val="right"/>
              <w:rPr>
                <w:bCs/>
                <w:sz w:val="20"/>
                <w:szCs w:val="20"/>
              </w:rPr>
            </w:pPr>
            <w:r w:rsidRPr="008B6A75">
              <w:rPr>
                <w:bCs/>
                <w:sz w:val="20"/>
                <w:szCs w:val="20"/>
              </w:rPr>
              <w:lastRenderedPageBreak/>
              <w:t xml:space="preserve">100 580 </w:t>
            </w:r>
            <w:r w:rsidRPr="008B6A75">
              <w:rPr>
                <w:bCs/>
                <w:sz w:val="20"/>
                <w:szCs w:val="20"/>
              </w:rPr>
              <w:lastRenderedPageBreak/>
              <w:t>874,29</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69996253" w14:textId="77777777" w:rsidR="00387142" w:rsidRPr="008B6A75" w:rsidRDefault="00387142" w:rsidP="00387142">
            <w:pPr>
              <w:jc w:val="right"/>
              <w:rPr>
                <w:bCs/>
                <w:sz w:val="20"/>
                <w:szCs w:val="20"/>
              </w:rPr>
            </w:pPr>
            <w:r w:rsidRPr="008B6A75">
              <w:rPr>
                <w:bCs/>
                <w:sz w:val="20"/>
                <w:szCs w:val="20"/>
              </w:rPr>
              <w:lastRenderedPageBreak/>
              <w:t xml:space="preserve">35 604 </w:t>
            </w:r>
            <w:r w:rsidRPr="008B6A75">
              <w:rPr>
                <w:bCs/>
                <w:sz w:val="20"/>
                <w:szCs w:val="20"/>
              </w:rPr>
              <w:lastRenderedPageBreak/>
              <w:t>160,00</w:t>
            </w:r>
          </w:p>
        </w:tc>
        <w:tc>
          <w:tcPr>
            <w:tcW w:w="222" w:type="dxa"/>
            <w:vAlign w:val="center"/>
            <w:hideMark/>
          </w:tcPr>
          <w:p w14:paraId="3C5E009D" w14:textId="77777777" w:rsidR="00387142" w:rsidRPr="008B6A75" w:rsidRDefault="00387142" w:rsidP="00387142">
            <w:pPr>
              <w:rPr>
                <w:sz w:val="20"/>
                <w:szCs w:val="20"/>
              </w:rPr>
            </w:pPr>
          </w:p>
        </w:tc>
      </w:tr>
      <w:tr w:rsidR="00387142" w:rsidRPr="008B6A75" w14:paraId="099965EC" w14:textId="77777777" w:rsidTr="00387142">
        <w:trPr>
          <w:trHeight w:val="870"/>
        </w:trPr>
        <w:tc>
          <w:tcPr>
            <w:tcW w:w="3021" w:type="dxa"/>
            <w:tcBorders>
              <w:top w:val="single" w:sz="4" w:space="0" w:color="auto"/>
              <w:left w:val="single" w:sz="4" w:space="0" w:color="auto"/>
              <w:bottom w:val="nil"/>
              <w:right w:val="nil"/>
            </w:tcBorders>
            <w:shd w:val="clear" w:color="auto" w:fill="auto"/>
            <w:vAlign w:val="center"/>
            <w:hideMark/>
          </w:tcPr>
          <w:p w14:paraId="2A73178A" w14:textId="77777777" w:rsidR="00387142" w:rsidRPr="008B6A75" w:rsidRDefault="00387142" w:rsidP="00387142">
            <w:pPr>
              <w:rPr>
                <w:bCs/>
                <w:sz w:val="20"/>
                <w:szCs w:val="20"/>
              </w:rPr>
            </w:pPr>
            <w:r w:rsidRPr="008B6A75">
              <w:rPr>
                <w:bCs/>
                <w:sz w:val="20"/>
                <w:szCs w:val="20"/>
              </w:rPr>
              <w:t>Муниципальная программа "Комплексное развитие сельских территорий в Куйбышевском районе"</w:t>
            </w:r>
          </w:p>
        </w:tc>
        <w:tc>
          <w:tcPr>
            <w:tcW w:w="850" w:type="dxa"/>
            <w:tcBorders>
              <w:top w:val="single" w:sz="4" w:space="0" w:color="auto"/>
              <w:left w:val="single" w:sz="4" w:space="0" w:color="auto"/>
              <w:bottom w:val="nil"/>
              <w:right w:val="nil"/>
            </w:tcBorders>
            <w:shd w:val="clear" w:color="auto" w:fill="auto"/>
            <w:noWrap/>
            <w:vAlign w:val="center"/>
            <w:hideMark/>
          </w:tcPr>
          <w:p w14:paraId="1C5ACD18" w14:textId="77777777" w:rsidR="00387142" w:rsidRPr="008B6A75" w:rsidRDefault="00387142" w:rsidP="00387142">
            <w:pPr>
              <w:jc w:val="center"/>
              <w:rPr>
                <w:bCs/>
                <w:sz w:val="20"/>
                <w:szCs w:val="20"/>
              </w:rPr>
            </w:pPr>
            <w:r w:rsidRPr="008B6A75">
              <w:rPr>
                <w:bCs/>
                <w:sz w:val="20"/>
                <w:szCs w:val="20"/>
              </w:rPr>
              <w:t>444</w:t>
            </w:r>
          </w:p>
        </w:tc>
        <w:tc>
          <w:tcPr>
            <w:tcW w:w="709" w:type="dxa"/>
            <w:tcBorders>
              <w:top w:val="single" w:sz="4" w:space="0" w:color="auto"/>
              <w:left w:val="single" w:sz="4" w:space="0" w:color="auto"/>
              <w:bottom w:val="nil"/>
              <w:right w:val="nil"/>
            </w:tcBorders>
            <w:shd w:val="clear" w:color="auto" w:fill="auto"/>
            <w:noWrap/>
            <w:vAlign w:val="center"/>
            <w:hideMark/>
          </w:tcPr>
          <w:p w14:paraId="627AE1E4" w14:textId="77777777" w:rsidR="00387142" w:rsidRPr="008B6A75" w:rsidRDefault="00387142" w:rsidP="00387142">
            <w:pPr>
              <w:jc w:val="center"/>
              <w:rPr>
                <w:bCs/>
                <w:sz w:val="20"/>
                <w:szCs w:val="20"/>
              </w:rPr>
            </w:pPr>
            <w:r w:rsidRPr="008B6A75">
              <w:rPr>
                <w:bCs/>
                <w:sz w:val="20"/>
                <w:szCs w:val="20"/>
              </w:rPr>
              <w:t>05</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1F38CF4E" w14:textId="77777777" w:rsidR="00387142" w:rsidRPr="008B6A75" w:rsidRDefault="00387142" w:rsidP="00387142">
            <w:pPr>
              <w:jc w:val="center"/>
              <w:rPr>
                <w:bCs/>
                <w:sz w:val="20"/>
                <w:szCs w:val="20"/>
              </w:rPr>
            </w:pPr>
            <w:r w:rsidRPr="008B6A75">
              <w:rPr>
                <w:bCs/>
                <w:sz w:val="20"/>
                <w:szCs w:val="20"/>
              </w:rPr>
              <w:t>02</w:t>
            </w:r>
          </w:p>
        </w:tc>
        <w:tc>
          <w:tcPr>
            <w:tcW w:w="1411" w:type="dxa"/>
            <w:tcBorders>
              <w:top w:val="single" w:sz="4" w:space="0" w:color="auto"/>
              <w:left w:val="single" w:sz="4" w:space="0" w:color="auto"/>
              <w:bottom w:val="nil"/>
              <w:right w:val="nil"/>
            </w:tcBorders>
            <w:shd w:val="clear" w:color="auto" w:fill="auto"/>
            <w:noWrap/>
            <w:vAlign w:val="center"/>
            <w:hideMark/>
          </w:tcPr>
          <w:p w14:paraId="6175B741" w14:textId="77777777" w:rsidR="00387142" w:rsidRPr="008B6A75" w:rsidRDefault="00387142" w:rsidP="00387142">
            <w:pPr>
              <w:jc w:val="center"/>
              <w:rPr>
                <w:bCs/>
                <w:sz w:val="20"/>
                <w:szCs w:val="20"/>
              </w:rPr>
            </w:pPr>
            <w:r w:rsidRPr="008B6A75">
              <w:rPr>
                <w:bCs/>
                <w:sz w:val="20"/>
                <w:szCs w:val="20"/>
              </w:rPr>
              <w:t>06.0.00.00000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7C04233C" w14:textId="77777777" w:rsidR="00387142" w:rsidRPr="008B6A75" w:rsidRDefault="00387142" w:rsidP="00387142">
            <w:pPr>
              <w:jc w:val="center"/>
              <w:rPr>
                <w:bCs/>
                <w:sz w:val="20"/>
                <w:szCs w:val="20"/>
              </w:rPr>
            </w:pPr>
            <w:r w:rsidRPr="008B6A75">
              <w:rPr>
                <w:bCs/>
                <w:sz w:val="20"/>
                <w:szCs w:val="20"/>
              </w:rPr>
              <w:t> </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45C8A0D8" w14:textId="77777777" w:rsidR="00387142" w:rsidRPr="008B6A75" w:rsidRDefault="00387142" w:rsidP="00387142">
            <w:pPr>
              <w:jc w:val="right"/>
              <w:rPr>
                <w:bCs/>
                <w:sz w:val="20"/>
                <w:szCs w:val="20"/>
              </w:rPr>
            </w:pPr>
            <w:r w:rsidRPr="008B6A75">
              <w:rPr>
                <w:bCs/>
                <w:sz w:val="20"/>
                <w:szCs w:val="20"/>
              </w:rPr>
              <w:t>16 567 817,28</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3CCF559C" w14:textId="77777777" w:rsidR="00387142" w:rsidRPr="008B6A75" w:rsidRDefault="00387142" w:rsidP="00387142">
            <w:pPr>
              <w:jc w:val="right"/>
              <w:rPr>
                <w:bCs/>
                <w:sz w:val="20"/>
                <w:szCs w:val="20"/>
              </w:rPr>
            </w:pPr>
            <w:r w:rsidRPr="008B6A75">
              <w:rPr>
                <w:bCs/>
                <w:sz w:val="20"/>
                <w:szCs w:val="20"/>
              </w:rPr>
              <w:t>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79142506" w14:textId="77777777" w:rsidR="00387142" w:rsidRPr="008B6A75" w:rsidRDefault="00387142" w:rsidP="00387142">
            <w:pPr>
              <w:jc w:val="right"/>
              <w:rPr>
                <w:bCs/>
                <w:sz w:val="20"/>
                <w:szCs w:val="20"/>
              </w:rPr>
            </w:pPr>
            <w:r w:rsidRPr="008B6A75">
              <w:rPr>
                <w:bCs/>
                <w:sz w:val="20"/>
                <w:szCs w:val="20"/>
              </w:rPr>
              <w:t>0,00</w:t>
            </w:r>
          </w:p>
        </w:tc>
        <w:tc>
          <w:tcPr>
            <w:tcW w:w="222" w:type="dxa"/>
            <w:vAlign w:val="center"/>
            <w:hideMark/>
          </w:tcPr>
          <w:p w14:paraId="14DD51D7" w14:textId="77777777" w:rsidR="00387142" w:rsidRPr="008B6A75" w:rsidRDefault="00387142" w:rsidP="00387142">
            <w:pPr>
              <w:rPr>
                <w:sz w:val="20"/>
                <w:szCs w:val="20"/>
              </w:rPr>
            </w:pPr>
          </w:p>
        </w:tc>
      </w:tr>
      <w:tr w:rsidR="00387142" w:rsidRPr="008B6A75" w14:paraId="36576A5C" w14:textId="77777777" w:rsidTr="00387142">
        <w:trPr>
          <w:trHeight w:val="870"/>
        </w:trPr>
        <w:tc>
          <w:tcPr>
            <w:tcW w:w="3021" w:type="dxa"/>
            <w:tcBorders>
              <w:top w:val="single" w:sz="4" w:space="0" w:color="auto"/>
              <w:left w:val="single" w:sz="4" w:space="0" w:color="auto"/>
              <w:bottom w:val="nil"/>
              <w:right w:val="nil"/>
            </w:tcBorders>
            <w:shd w:val="clear" w:color="auto" w:fill="auto"/>
            <w:vAlign w:val="center"/>
            <w:hideMark/>
          </w:tcPr>
          <w:p w14:paraId="5CE7C6C8" w14:textId="77777777" w:rsidR="00387142" w:rsidRPr="008B6A75" w:rsidRDefault="00387142" w:rsidP="00387142">
            <w:pPr>
              <w:rPr>
                <w:bCs/>
                <w:sz w:val="20"/>
                <w:szCs w:val="20"/>
              </w:rPr>
            </w:pPr>
            <w:r w:rsidRPr="008B6A75">
              <w:rPr>
                <w:bCs/>
                <w:sz w:val="20"/>
                <w:szCs w:val="20"/>
              </w:rPr>
              <w:t>Реализация мероприятий муниципальной программы «Комплексное развитие сельских территорий в Куйбышевском районе»</w:t>
            </w:r>
          </w:p>
        </w:tc>
        <w:tc>
          <w:tcPr>
            <w:tcW w:w="850" w:type="dxa"/>
            <w:tcBorders>
              <w:top w:val="single" w:sz="4" w:space="0" w:color="auto"/>
              <w:left w:val="single" w:sz="4" w:space="0" w:color="auto"/>
              <w:bottom w:val="nil"/>
              <w:right w:val="nil"/>
            </w:tcBorders>
            <w:shd w:val="clear" w:color="auto" w:fill="auto"/>
            <w:noWrap/>
            <w:vAlign w:val="center"/>
            <w:hideMark/>
          </w:tcPr>
          <w:p w14:paraId="42C1BB66" w14:textId="77777777" w:rsidR="00387142" w:rsidRPr="008B6A75" w:rsidRDefault="00387142" w:rsidP="00387142">
            <w:pPr>
              <w:jc w:val="center"/>
              <w:rPr>
                <w:bCs/>
                <w:sz w:val="20"/>
                <w:szCs w:val="20"/>
              </w:rPr>
            </w:pPr>
            <w:r w:rsidRPr="008B6A75">
              <w:rPr>
                <w:bCs/>
                <w:sz w:val="20"/>
                <w:szCs w:val="20"/>
              </w:rPr>
              <w:t>444</w:t>
            </w:r>
          </w:p>
        </w:tc>
        <w:tc>
          <w:tcPr>
            <w:tcW w:w="709" w:type="dxa"/>
            <w:tcBorders>
              <w:top w:val="single" w:sz="4" w:space="0" w:color="auto"/>
              <w:left w:val="single" w:sz="4" w:space="0" w:color="auto"/>
              <w:bottom w:val="nil"/>
              <w:right w:val="nil"/>
            </w:tcBorders>
            <w:shd w:val="clear" w:color="auto" w:fill="auto"/>
            <w:noWrap/>
            <w:vAlign w:val="center"/>
            <w:hideMark/>
          </w:tcPr>
          <w:p w14:paraId="1D3F229B" w14:textId="77777777" w:rsidR="00387142" w:rsidRPr="008B6A75" w:rsidRDefault="00387142" w:rsidP="00387142">
            <w:pPr>
              <w:jc w:val="center"/>
              <w:rPr>
                <w:bCs/>
                <w:sz w:val="20"/>
                <w:szCs w:val="20"/>
              </w:rPr>
            </w:pPr>
            <w:r w:rsidRPr="008B6A75">
              <w:rPr>
                <w:bCs/>
                <w:sz w:val="20"/>
                <w:szCs w:val="20"/>
              </w:rPr>
              <w:t>05</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1A1F5307" w14:textId="77777777" w:rsidR="00387142" w:rsidRPr="008B6A75" w:rsidRDefault="00387142" w:rsidP="00387142">
            <w:pPr>
              <w:jc w:val="center"/>
              <w:rPr>
                <w:bCs/>
                <w:sz w:val="20"/>
                <w:szCs w:val="20"/>
              </w:rPr>
            </w:pPr>
            <w:r w:rsidRPr="008B6A75">
              <w:rPr>
                <w:bCs/>
                <w:sz w:val="20"/>
                <w:szCs w:val="20"/>
              </w:rPr>
              <w:t>02</w:t>
            </w:r>
          </w:p>
        </w:tc>
        <w:tc>
          <w:tcPr>
            <w:tcW w:w="1411" w:type="dxa"/>
            <w:tcBorders>
              <w:top w:val="single" w:sz="4" w:space="0" w:color="auto"/>
              <w:left w:val="single" w:sz="4" w:space="0" w:color="auto"/>
              <w:bottom w:val="nil"/>
              <w:right w:val="nil"/>
            </w:tcBorders>
            <w:shd w:val="clear" w:color="auto" w:fill="auto"/>
            <w:noWrap/>
            <w:vAlign w:val="center"/>
            <w:hideMark/>
          </w:tcPr>
          <w:p w14:paraId="3EC0E84B" w14:textId="77777777" w:rsidR="00387142" w:rsidRPr="008B6A75" w:rsidRDefault="00387142" w:rsidP="00387142">
            <w:pPr>
              <w:jc w:val="center"/>
              <w:rPr>
                <w:bCs/>
                <w:sz w:val="20"/>
                <w:szCs w:val="20"/>
              </w:rPr>
            </w:pPr>
            <w:r w:rsidRPr="008B6A75">
              <w:rPr>
                <w:bCs/>
                <w:sz w:val="20"/>
                <w:szCs w:val="20"/>
              </w:rPr>
              <w:t>06.0.00.05956</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099C5A4B" w14:textId="77777777" w:rsidR="00387142" w:rsidRPr="008B6A75" w:rsidRDefault="00387142" w:rsidP="00387142">
            <w:pPr>
              <w:jc w:val="center"/>
              <w:rPr>
                <w:bCs/>
                <w:sz w:val="20"/>
                <w:szCs w:val="20"/>
              </w:rPr>
            </w:pPr>
            <w:r w:rsidRPr="008B6A75">
              <w:rPr>
                <w:bCs/>
                <w:sz w:val="20"/>
                <w:szCs w:val="20"/>
              </w:rPr>
              <w:t> </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4E40A8F1" w14:textId="77777777" w:rsidR="00387142" w:rsidRPr="008B6A75" w:rsidRDefault="00387142" w:rsidP="00387142">
            <w:pPr>
              <w:jc w:val="right"/>
              <w:rPr>
                <w:bCs/>
                <w:sz w:val="20"/>
                <w:szCs w:val="20"/>
              </w:rPr>
            </w:pPr>
            <w:r w:rsidRPr="008B6A75">
              <w:rPr>
                <w:bCs/>
                <w:sz w:val="20"/>
                <w:szCs w:val="20"/>
              </w:rPr>
              <w:t>1 047 494,78</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219DFA26" w14:textId="77777777" w:rsidR="00387142" w:rsidRPr="008B6A75" w:rsidRDefault="00387142" w:rsidP="00387142">
            <w:pPr>
              <w:jc w:val="right"/>
              <w:rPr>
                <w:bCs/>
                <w:sz w:val="20"/>
                <w:szCs w:val="20"/>
              </w:rPr>
            </w:pPr>
            <w:r w:rsidRPr="008B6A75">
              <w:rPr>
                <w:bCs/>
                <w:sz w:val="20"/>
                <w:szCs w:val="20"/>
              </w:rPr>
              <w:t>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44923A0E" w14:textId="77777777" w:rsidR="00387142" w:rsidRPr="008B6A75" w:rsidRDefault="00387142" w:rsidP="00387142">
            <w:pPr>
              <w:jc w:val="right"/>
              <w:rPr>
                <w:bCs/>
                <w:sz w:val="20"/>
                <w:szCs w:val="20"/>
              </w:rPr>
            </w:pPr>
            <w:r w:rsidRPr="008B6A75">
              <w:rPr>
                <w:bCs/>
                <w:sz w:val="20"/>
                <w:szCs w:val="20"/>
              </w:rPr>
              <w:t>0,00</w:t>
            </w:r>
          </w:p>
        </w:tc>
        <w:tc>
          <w:tcPr>
            <w:tcW w:w="222" w:type="dxa"/>
            <w:vAlign w:val="center"/>
            <w:hideMark/>
          </w:tcPr>
          <w:p w14:paraId="38C9F20B" w14:textId="77777777" w:rsidR="00387142" w:rsidRPr="008B6A75" w:rsidRDefault="00387142" w:rsidP="00387142">
            <w:pPr>
              <w:rPr>
                <w:sz w:val="20"/>
                <w:szCs w:val="20"/>
              </w:rPr>
            </w:pPr>
          </w:p>
        </w:tc>
      </w:tr>
      <w:tr w:rsidR="00387142" w:rsidRPr="008B6A75" w14:paraId="45359A80" w14:textId="77777777" w:rsidTr="00387142">
        <w:trPr>
          <w:trHeight w:val="300"/>
        </w:trPr>
        <w:tc>
          <w:tcPr>
            <w:tcW w:w="3021" w:type="dxa"/>
            <w:tcBorders>
              <w:top w:val="single" w:sz="4" w:space="0" w:color="auto"/>
              <w:left w:val="single" w:sz="4" w:space="0" w:color="auto"/>
              <w:bottom w:val="nil"/>
              <w:right w:val="nil"/>
            </w:tcBorders>
            <w:shd w:val="clear" w:color="auto" w:fill="auto"/>
            <w:vAlign w:val="center"/>
            <w:hideMark/>
          </w:tcPr>
          <w:p w14:paraId="52982782" w14:textId="77777777" w:rsidR="00387142" w:rsidRPr="008B6A75" w:rsidRDefault="00387142" w:rsidP="00387142">
            <w:pPr>
              <w:rPr>
                <w:sz w:val="20"/>
                <w:szCs w:val="20"/>
              </w:rPr>
            </w:pPr>
            <w:r w:rsidRPr="008B6A75">
              <w:rPr>
                <w:sz w:val="20"/>
                <w:szCs w:val="20"/>
              </w:rPr>
              <w:t>Межбюджетные трансферты</w:t>
            </w:r>
          </w:p>
        </w:tc>
        <w:tc>
          <w:tcPr>
            <w:tcW w:w="850" w:type="dxa"/>
            <w:tcBorders>
              <w:top w:val="single" w:sz="4" w:space="0" w:color="auto"/>
              <w:left w:val="single" w:sz="4" w:space="0" w:color="auto"/>
              <w:bottom w:val="nil"/>
              <w:right w:val="nil"/>
            </w:tcBorders>
            <w:shd w:val="clear" w:color="auto" w:fill="auto"/>
            <w:noWrap/>
            <w:vAlign w:val="center"/>
            <w:hideMark/>
          </w:tcPr>
          <w:p w14:paraId="32308922" w14:textId="77777777" w:rsidR="00387142" w:rsidRPr="008B6A75" w:rsidRDefault="00387142" w:rsidP="00387142">
            <w:pPr>
              <w:jc w:val="center"/>
              <w:rPr>
                <w:sz w:val="20"/>
                <w:szCs w:val="20"/>
              </w:rPr>
            </w:pPr>
            <w:r w:rsidRPr="008B6A75">
              <w:rPr>
                <w:sz w:val="20"/>
                <w:szCs w:val="20"/>
              </w:rPr>
              <w:t>444</w:t>
            </w:r>
          </w:p>
        </w:tc>
        <w:tc>
          <w:tcPr>
            <w:tcW w:w="709" w:type="dxa"/>
            <w:tcBorders>
              <w:top w:val="single" w:sz="4" w:space="0" w:color="auto"/>
              <w:left w:val="single" w:sz="4" w:space="0" w:color="auto"/>
              <w:bottom w:val="nil"/>
              <w:right w:val="nil"/>
            </w:tcBorders>
            <w:shd w:val="clear" w:color="auto" w:fill="auto"/>
            <w:noWrap/>
            <w:vAlign w:val="center"/>
            <w:hideMark/>
          </w:tcPr>
          <w:p w14:paraId="0B09AE34" w14:textId="77777777" w:rsidR="00387142" w:rsidRPr="008B6A75" w:rsidRDefault="00387142" w:rsidP="00387142">
            <w:pPr>
              <w:jc w:val="center"/>
              <w:rPr>
                <w:sz w:val="20"/>
                <w:szCs w:val="20"/>
              </w:rPr>
            </w:pPr>
            <w:r w:rsidRPr="008B6A75">
              <w:rPr>
                <w:sz w:val="20"/>
                <w:szCs w:val="20"/>
              </w:rPr>
              <w:t>05</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0D6CB3FF" w14:textId="77777777" w:rsidR="00387142" w:rsidRPr="008B6A75" w:rsidRDefault="00387142" w:rsidP="00387142">
            <w:pPr>
              <w:jc w:val="center"/>
              <w:rPr>
                <w:sz w:val="20"/>
                <w:szCs w:val="20"/>
              </w:rPr>
            </w:pPr>
            <w:r w:rsidRPr="008B6A75">
              <w:rPr>
                <w:sz w:val="20"/>
                <w:szCs w:val="20"/>
              </w:rPr>
              <w:t>02</w:t>
            </w:r>
          </w:p>
        </w:tc>
        <w:tc>
          <w:tcPr>
            <w:tcW w:w="1411" w:type="dxa"/>
            <w:tcBorders>
              <w:top w:val="single" w:sz="4" w:space="0" w:color="auto"/>
              <w:left w:val="single" w:sz="4" w:space="0" w:color="auto"/>
              <w:bottom w:val="nil"/>
              <w:right w:val="nil"/>
            </w:tcBorders>
            <w:shd w:val="clear" w:color="auto" w:fill="auto"/>
            <w:noWrap/>
            <w:vAlign w:val="center"/>
            <w:hideMark/>
          </w:tcPr>
          <w:p w14:paraId="1E41EC78" w14:textId="77777777" w:rsidR="00387142" w:rsidRPr="008B6A75" w:rsidRDefault="00387142" w:rsidP="00387142">
            <w:pPr>
              <w:jc w:val="center"/>
              <w:rPr>
                <w:sz w:val="20"/>
                <w:szCs w:val="20"/>
              </w:rPr>
            </w:pPr>
            <w:r w:rsidRPr="008B6A75">
              <w:rPr>
                <w:sz w:val="20"/>
                <w:szCs w:val="20"/>
              </w:rPr>
              <w:t>06.0.00.05956</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62197F39" w14:textId="77777777" w:rsidR="00387142" w:rsidRPr="008B6A75" w:rsidRDefault="00387142" w:rsidP="00387142">
            <w:pPr>
              <w:jc w:val="center"/>
              <w:rPr>
                <w:sz w:val="20"/>
                <w:szCs w:val="20"/>
              </w:rPr>
            </w:pPr>
            <w:r w:rsidRPr="008B6A75">
              <w:rPr>
                <w:sz w:val="20"/>
                <w:szCs w:val="20"/>
              </w:rPr>
              <w:t>500</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0732A06D" w14:textId="77777777" w:rsidR="00387142" w:rsidRPr="008B6A75" w:rsidRDefault="00387142" w:rsidP="00387142">
            <w:pPr>
              <w:jc w:val="right"/>
              <w:rPr>
                <w:sz w:val="20"/>
                <w:szCs w:val="20"/>
              </w:rPr>
            </w:pPr>
            <w:r w:rsidRPr="008B6A75">
              <w:rPr>
                <w:sz w:val="20"/>
                <w:szCs w:val="20"/>
              </w:rPr>
              <w:t>1 047 494,78</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3C412C98" w14:textId="77777777" w:rsidR="00387142" w:rsidRPr="008B6A75" w:rsidRDefault="00387142" w:rsidP="00387142">
            <w:pPr>
              <w:jc w:val="right"/>
              <w:rPr>
                <w:sz w:val="20"/>
                <w:szCs w:val="20"/>
              </w:rPr>
            </w:pPr>
            <w:r w:rsidRPr="008B6A75">
              <w:rPr>
                <w:sz w:val="20"/>
                <w:szCs w:val="20"/>
              </w:rPr>
              <w:t>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2B58A97F" w14:textId="77777777" w:rsidR="00387142" w:rsidRPr="008B6A75" w:rsidRDefault="00387142" w:rsidP="00387142">
            <w:pPr>
              <w:jc w:val="right"/>
              <w:rPr>
                <w:sz w:val="20"/>
                <w:szCs w:val="20"/>
              </w:rPr>
            </w:pPr>
            <w:r w:rsidRPr="008B6A75">
              <w:rPr>
                <w:sz w:val="20"/>
                <w:szCs w:val="20"/>
              </w:rPr>
              <w:t>0,00</w:t>
            </w:r>
          </w:p>
        </w:tc>
        <w:tc>
          <w:tcPr>
            <w:tcW w:w="222" w:type="dxa"/>
            <w:vAlign w:val="center"/>
            <w:hideMark/>
          </w:tcPr>
          <w:p w14:paraId="036B44A8" w14:textId="77777777" w:rsidR="00387142" w:rsidRPr="008B6A75" w:rsidRDefault="00387142" w:rsidP="00387142">
            <w:pPr>
              <w:rPr>
                <w:sz w:val="20"/>
                <w:szCs w:val="20"/>
              </w:rPr>
            </w:pPr>
          </w:p>
        </w:tc>
      </w:tr>
      <w:tr w:rsidR="00387142" w:rsidRPr="008B6A75" w14:paraId="34983986" w14:textId="77777777" w:rsidTr="00387142">
        <w:trPr>
          <w:trHeight w:val="300"/>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3475068E" w14:textId="77777777" w:rsidR="00387142" w:rsidRPr="008B6A75" w:rsidRDefault="00387142" w:rsidP="00387142">
            <w:pPr>
              <w:rPr>
                <w:sz w:val="20"/>
                <w:szCs w:val="20"/>
              </w:rPr>
            </w:pPr>
            <w:r w:rsidRPr="008B6A75">
              <w:rPr>
                <w:sz w:val="20"/>
                <w:szCs w:val="20"/>
              </w:rPr>
              <w:t>Иные межбюджетные трансферты</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08893833" w14:textId="77777777" w:rsidR="00387142" w:rsidRPr="008B6A75" w:rsidRDefault="00387142" w:rsidP="00387142">
            <w:pPr>
              <w:jc w:val="center"/>
              <w:rPr>
                <w:sz w:val="20"/>
                <w:szCs w:val="20"/>
              </w:rPr>
            </w:pPr>
            <w:r w:rsidRPr="008B6A75">
              <w:rPr>
                <w:sz w:val="20"/>
                <w:szCs w:val="20"/>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133DC25D" w14:textId="77777777" w:rsidR="00387142" w:rsidRPr="008B6A75" w:rsidRDefault="00387142" w:rsidP="00387142">
            <w:pPr>
              <w:jc w:val="center"/>
              <w:rPr>
                <w:sz w:val="20"/>
                <w:szCs w:val="20"/>
              </w:rPr>
            </w:pPr>
            <w:r w:rsidRPr="008B6A75">
              <w:rPr>
                <w:sz w:val="20"/>
                <w:szCs w:val="20"/>
              </w:rPr>
              <w:t>05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56285A" w14:textId="77777777" w:rsidR="00387142" w:rsidRPr="008B6A75" w:rsidRDefault="00387142" w:rsidP="00387142">
            <w:pPr>
              <w:jc w:val="center"/>
              <w:rPr>
                <w:sz w:val="20"/>
                <w:szCs w:val="20"/>
              </w:rPr>
            </w:pPr>
            <w:r w:rsidRPr="008B6A75">
              <w:rPr>
                <w:sz w:val="20"/>
                <w:szCs w:val="20"/>
              </w:rPr>
              <w:t>02</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5B56D1DF" w14:textId="77777777" w:rsidR="00387142" w:rsidRPr="008B6A75" w:rsidRDefault="00387142" w:rsidP="00387142">
            <w:pPr>
              <w:jc w:val="center"/>
              <w:rPr>
                <w:sz w:val="20"/>
                <w:szCs w:val="20"/>
              </w:rPr>
            </w:pPr>
            <w:r w:rsidRPr="008B6A75">
              <w:rPr>
                <w:sz w:val="20"/>
                <w:szCs w:val="20"/>
              </w:rPr>
              <w:t>06.0.00.05956</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BE354D" w14:textId="77777777" w:rsidR="00387142" w:rsidRPr="008B6A75" w:rsidRDefault="00387142" w:rsidP="00387142">
            <w:pPr>
              <w:jc w:val="center"/>
              <w:rPr>
                <w:sz w:val="20"/>
                <w:szCs w:val="20"/>
              </w:rPr>
            </w:pPr>
            <w:r w:rsidRPr="008B6A75">
              <w:rPr>
                <w:sz w:val="20"/>
                <w:szCs w:val="20"/>
              </w:rPr>
              <w:t>540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0F83EC" w14:textId="77777777" w:rsidR="00387142" w:rsidRPr="008B6A75" w:rsidRDefault="00387142" w:rsidP="00387142">
            <w:pPr>
              <w:jc w:val="right"/>
              <w:rPr>
                <w:sz w:val="20"/>
                <w:szCs w:val="20"/>
              </w:rPr>
            </w:pPr>
            <w:r w:rsidRPr="008B6A75">
              <w:rPr>
                <w:sz w:val="20"/>
                <w:szCs w:val="20"/>
              </w:rPr>
              <w:t>1 047 494,78</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2644AA03" w14:textId="77777777" w:rsidR="00387142" w:rsidRPr="008B6A75" w:rsidRDefault="00387142" w:rsidP="00387142">
            <w:pPr>
              <w:jc w:val="right"/>
              <w:rPr>
                <w:sz w:val="20"/>
                <w:szCs w:val="20"/>
              </w:rPr>
            </w:pPr>
            <w:r w:rsidRPr="008B6A75">
              <w:rPr>
                <w:sz w:val="20"/>
                <w:szCs w:val="20"/>
              </w:rPr>
              <w:t>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3AEE30" w14:textId="77777777" w:rsidR="00387142" w:rsidRPr="008B6A75" w:rsidRDefault="00387142" w:rsidP="00387142">
            <w:pPr>
              <w:jc w:val="right"/>
              <w:rPr>
                <w:sz w:val="20"/>
                <w:szCs w:val="20"/>
              </w:rPr>
            </w:pPr>
            <w:r w:rsidRPr="008B6A75">
              <w:rPr>
                <w:sz w:val="20"/>
                <w:szCs w:val="20"/>
              </w:rPr>
              <w:t>0,00</w:t>
            </w:r>
          </w:p>
        </w:tc>
        <w:tc>
          <w:tcPr>
            <w:tcW w:w="222" w:type="dxa"/>
            <w:vAlign w:val="center"/>
            <w:hideMark/>
          </w:tcPr>
          <w:p w14:paraId="76D06AA5" w14:textId="77777777" w:rsidR="00387142" w:rsidRPr="008B6A75" w:rsidRDefault="00387142" w:rsidP="00387142">
            <w:pPr>
              <w:rPr>
                <w:sz w:val="20"/>
                <w:szCs w:val="20"/>
              </w:rPr>
            </w:pPr>
          </w:p>
        </w:tc>
      </w:tr>
      <w:tr w:rsidR="00387142" w:rsidRPr="008B6A75" w14:paraId="08055881" w14:textId="77777777" w:rsidTr="00387142">
        <w:trPr>
          <w:trHeight w:val="2295"/>
        </w:trPr>
        <w:tc>
          <w:tcPr>
            <w:tcW w:w="3021" w:type="dxa"/>
            <w:tcBorders>
              <w:top w:val="nil"/>
              <w:left w:val="single" w:sz="4" w:space="0" w:color="auto"/>
              <w:bottom w:val="nil"/>
              <w:right w:val="nil"/>
            </w:tcBorders>
            <w:shd w:val="clear" w:color="auto" w:fill="auto"/>
            <w:vAlign w:val="center"/>
            <w:hideMark/>
          </w:tcPr>
          <w:p w14:paraId="4EE38DA4" w14:textId="77777777" w:rsidR="00387142" w:rsidRPr="008B6A75" w:rsidRDefault="00387142" w:rsidP="00387142">
            <w:pPr>
              <w:rPr>
                <w:bCs/>
                <w:sz w:val="20"/>
                <w:szCs w:val="20"/>
              </w:rPr>
            </w:pPr>
            <w:r w:rsidRPr="008B6A75">
              <w:rPr>
                <w:bCs/>
                <w:sz w:val="20"/>
                <w:szCs w:val="20"/>
              </w:rPr>
              <w:t>Обеспечение комплексного развития сельских территорий (формирование современного облика сельских территорий, направленных на создание и развитие инфраструктуры в сельской местности), государственной программы Новосибирской области "Комплексное развитие сельских территорий в Новосибирской области"</w:t>
            </w:r>
          </w:p>
        </w:tc>
        <w:tc>
          <w:tcPr>
            <w:tcW w:w="850" w:type="dxa"/>
            <w:tcBorders>
              <w:top w:val="nil"/>
              <w:left w:val="single" w:sz="4" w:space="0" w:color="auto"/>
              <w:bottom w:val="nil"/>
              <w:right w:val="nil"/>
            </w:tcBorders>
            <w:shd w:val="clear" w:color="auto" w:fill="auto"/>
            <w:noWrap/>
            <w:vAlign w:val="center"/>
            <w:hideMark/>
          </w:tcPr>
          <w:p w14:paraId="0ABD9CC1" w14:textId="77777777" w:rsidR="00387142" w:rsidRPr="008B6A75" w:rsidRDefault="00387142" w:rsidP="00387142">
            <w:pPr>
              <w:jc w:val="center"/>
              <w:rPr>
                <w:bCs/>
                <w:sz w:val="20"/>
                <w:szCs w:val="20"/>
              </w:rPr>
            </w:pPr>
            <w:r w:rsidRPr="008B6A75">
              <w:rPr>
                <w:bCs/>
                <w:sz w:val="20"/>
                <w:szCs w:val="20"/>
              </w:rPr>
              <w:t>444</w:t>
            </w:r>
          </w:p>
        </w:tc>
        <w:tc>
          <w:tcPr>
            <w:tcW w:w="709" w:type="dxa"/>
            <w:tcBorders>
              <w:top w:val="nil"/>
              <w:left w:val="single" w:sz="4" w:space="0" w:color="auto"/>
              <w:bottom w:val="nil"/>
              <w:right w:val="nil"/>
            </w:tcBorders>
            <w:shd w:val="clear" w:color="auto" w:fill="auto"/>
            <w:noWrap/>
            <w:vAlign w:val="center"/>
            <w:hideMark/>
          </w:tcPr>
          <w:p w14:paraId="2733593A" w14:textId="77777777" w:rsidR="00387142" w:rsidRPr="008B6A75" w:rsidRDefault="00387142" w:rsidP="00387142">
            <w:pPr>
              <w:jc w:val="center"/>
              <w:rPr>
                <w:bCs/>
                <w:sz w:val="20"/>
                <w:szCs w:val="20"/>
              </w:rPr>
            </w:pPr>
            <w:r w:rsidRPr="008B6A75">
              <w:rPr>
                <w:bCs/>
                <w:sz w:val="20"/>
                <w:szCs w:val="20"/>
              </w:rPr>
              <w:t>05</w:t>
            </w:r>
          </w:p>
        </w:tc>
        <w:tc>
          <w:tcPr>
            <w:tcW w:w="709" w:type="dxa"/>
            <w:tcBorders>
              <w:top w:val="nil"/>
              <w:left w:val="single" w:sz="4" w:space="0" w:color="auto"/>
              <w:bottom w:val="nil"/>
              <w:right w:val="single" w:sz="4" w:space="0" w:color="auto"/>
            </w:tcBorders>
            <w:shd w:val="clear" w:color="auto" w:fill="auto"/>
            <w:noWrap/>
            <w:vAlign w:val="center"/>
            <w:hideMark/>
          </w:tcPr>
          <w:p w14:paraId="77F2D9FD" w14:textId="77777777" w:rsidR="00387142" w:rsidRPr="008B6A75" w:rsidRDefault="00387142" w:rsidP="00387142">
            <w:pPr>
              <w:jc w:val="center"/>
              <w:rPr>
                <w:bCs/>
                <w:sz w:val="20"/>
                <w:szCs w:val="20"/>
              </w:rPr>
            </w:pPr>
            <w:r w:rsidRPr="008B6A75">
              <w:rPr>
                <w:bCs/>
                <w:sz w:val="20"/>
                <w:szCs w:val="20"/>
              </w:rPr>
              <w:t>02</w:t>
            </w:r>
          </w:p>
        </w:tc>
        <w:tc>
          <w:tcPr>
            <w:tcW w:w="1411" w:type="dxa"/>
            <w:tcBorders>
              <w:top w:val="nil"/>
              <w:left w:val="single" w:sz="4" w:space="0" w:color="auto"/>
              <w:bottom w:val="nil"/>
              <w:right w:val="nil"/>
            </w:tcBorders>
            <w:shd w:val="clear" w:color="auto" w:fill="auto"/>
            <w:noWrap/>
            <w:vAlign w:val="center"/>
            <w:hideMark/>
          </w:tcPr>
          <w:p w14:paraId="3AA1A989" w14:textId="77777777" w:rsidR="00387142" w:rsidRPr="008B6A75" w:rsidRDefault="00387142" w:rsidP="00387142">
            <w:pPr>
              <w:jc w:val="center"/>
              <w:rPr>
                <w:bCs/>
                <w:sz w:val="20"/>
                <w:szCs w:val="20"/>
              </w:rPr>
            </w:pPr>
            <w:r w:rsidRPr="008B6A75">
              <w:rPr>
                <w:bCs/>
                <w:sz w:val="20"/>
                <w:szCs w:val="20"/>
              </w:rPr>
              <w:t>06.0.00.L5766</w:t>
            </w:r>
          </w:p>
        </w:tc>
        <w:tc>
          <w:tcPr>
            <w:tcW w:w="955" w:type="dxa"/>
            <w:tcBorders>
              <w:top w:val="nil"/>
              <w:left w:val="single" w:sz="4" w:space="0" w:color="auto"/>
              <w:bottom w:val="nil"/>
              <w:right w:val="single" w:sz="4" w:space="0" w:color="auto"/>
            </w:tcBorders>
            <w:shd w:val="clear" w:color="auto" w:fill="auto"/>
            <w:noWrap/>
            <w:vAlign w:val="center"/>
            <w:hideMark/>
          </w:tcPr>
          <w:p w14:paraId="66F1B287"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nil"/>
              <w:right w:val="single" w:sz="4" w:space="0" w:color="auto"/>
            </w:tcBorders>
            <w:shd w:val="clear" w:color="auto" w:fill="auto"/>
            <w:noWrap/>
            <w:vAlign w:val="center"/>
            <w:hideMark/>
          </w:tcPr>
          <w:p w14:paraId="615AC300" w14:textId="77777777" w:rsidR="00387142" w:rsidRPr="008B6A75" w:rsidRDefault="00387142" w:rsidP="00387142">
            <w:pPr>
              <w:jc w:val="right"/>
              <w:rPr>
                <w:bCs/>
                <w:sz w:val="20"/>
                <w:szCs w:val="20"/>
              </w:rPr>
            </w:pPr>
            <w:r w:rsidRPr="008B6A75">
              <w:rPr>
                <w:bCs/>
                <w:sz w:val="20"/>
                <w:szCs w:val="20"/>
              </w:rPr>
              <w:t>15 520 322,50</w:t>
            </w:r>
          </w:p>
        </w:tc>
        <w:tc>
          <w:tcPr>
            <w:tcW w:w="992" w:type="dxa"/>
            <w:gridSpan w:val="2"/>
            <w:tcBorders>
              <w:top w:val="nil"/>
              <w:left w:val="single" w:sz="4" w:space="0" w:color="auto"/>
              <w:bottom w:val="nil"/>
              <w:right w:val="nil"/>
            </w:tcBorders>
            <w:shd w:val="clear" w:color="auto" w:fill="auto"/>
            <w:noWrap/>
            <w:vAlign w:val="center"/>
            <w:hideMark/>
          </w:tcPr>
          <w:p w14:paraId="71F7CEA8" w14:textId="77777777" w:rsidR="00387142" w:rsidRPr="008B6A75" w:rsidRDefault="00387142" w:rsidP="00387142">
            <w:pPr>
              <w:jc w:val="right"/>
              <w:rPr>
                <w:bCs/>
                <w:sz w:val="20"/>
                <w:szCs w:val="20"/>
              </w:rPr>
            </w:pPr>
            <w:r w:rsidRPr="008B6A75">
              <w:rPr>
                <w:bCs/>
                <w:sz w:val="20"/>
                <w:szCs w:val="20"/>
              </w:rPr>
              <w:t>0,00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4AC0064E" w14:textId="77777777" w:rsidR="00387142" w:rsidRPr="008B6A75" w:rsidRDefault="00387142" w:rsidP="00387142">
            <w:pPr>
              <w:jc w:val="right"/>
              <w:rPr>
                <w:bCs/>
                <w:sz w:val="20"/>
                <w:szCs w:val="20"/>
              </w:rPr>
            </w:pPr>
            <w:r w:rsidRPr="008B6A75">
              <w:rPr>
                <w:bCs/>
                <w:sz w:val="20"/>
                <w:szCs w:val="20"/>
              </w:rPr>
              <w:t>0,00</w:t>
            </w:r>
          </w:p>
        </w:tc>
        <w:tc>
          <w:tcPr>
            <w:tcW w:w="222" w:type="dxa"/>
            <w:vAlign w:val="center"/>
            <w:hideMark/>
          </w:tcPr>
          <w:p w14:paraId="43BEC12B" w14:textId="77777777" w:rsidR="00387142" w:rsidRPr="008B6A75" w:rsidRDefault="00387142" w:rsidP="00387142">
            <w:pPr>
              <w:rPr>
                <w:sz w:val="20"/>
                <w:szCs w:val="20"/>
              </w:rPr>
            </w:pPr>
          </w:p>
        </w:tc>
      </w:tr>
      <w:tr w:rsidR="00387142" w:rsidRPr="008B6A75" w14:paraId="1A2E65D4" w14:textId="77777777" w:rsidTr="00387142">
        <w:trPr>
          <w:trHeight w:val="300"/>
        </w:trPr>
        <w:tc>
          <w:tcPr>
            <w:tcW w:w="3021" w:type="dxa"/>
            <w:tcBorders>
              <w:top w:val="single" w:sz="4" w:space="0" w:color="auto"/>
              <w:left w:val="single" w:sz="4" w:space="0" w:color="auto"/>
              <w:bottom w:val="nil"/>
              <w:right w:val="nil"/>
            </w:tcBorders>
            <w:shd w:val="clear" w:color="auto" w:fill="auto"/>
            <w:vAlign w:val="center"/>
            <w:hideMark/>
          </w:tcPr>
          <w:p w14:paraId="50210416" w14:textId="77777777" w:rsidR="00387142" w:rsidRPr="008B6A75" w:rsidRDefault="00387142" w:rsidP="00387142">
            <w:pPr>
              <w:rPr>
                <w:sz w:val="20"/>
                <w:szCs w:val="20"/>
              </w:rPr>
            </w:pPr>
            <w:r w:rsidRPr="008B6A75">
              <w:rPr>
                <w:sz w:val="20"/>
                <w:szCs w:val="20"/>
              </w:rPr>
              <w:t>Межбюджетные трансферты</w:t>
            </w:r>
          </w:p>
        </w:tc>
        <w:tc>
          <w:tcPr>
            <w:tcW w:w="850" w:type="dxa"/>
            <w:tcBorders>
              <w:top w:val="single" w:sz="4" w:space="0" w:color="auto"/>
              <w:left w:val="single" w:sz="4" w:space="0" w:color="auto"/>
              <w:bottom w:val="nil"/>
              <w:right w:val="nil"/>
            </w:tcBorders>
            <w:shd w:val="clear" w:color="auto" w:fill="auto"/>
            <w:noWrap/>
            <w:vAlign w:val="center"/>
            <w:hideMark/>
          </w:tcPr>
          <w:p w14:paraId="1DA694D0" w14:textId="77777777" w:rsidR="00387142" w:rsidRPr="008B6A75" w:rsidRDefault="00387142" w:rsidP="00387142">
            <w:pPr>
              <w:jc w:val="center"/>
              <w:rPr>
                <w:sz w:val="20"/>
                <w:szCs w:val="20"/>
              </w:rPr>
            </w:pPr>
            <w:r w:rsidRPr="008B6A75">
              <w:rPr>
                <w:sz w:val="20"/>
                <w:szCs w:val="20"/>
              </w:rPr>
              <w:t>444</w:t>
            </w:r>
          </w:p>
        </w:tc>
        <w:tc>
          <w:tcPr>
            <w:tcW w:w="709" w:type="dxa"/>
            <w:tcBorders>
              <w:top w:val="single" w:sz="4" w:space="0" w:color="auto"/>
              <w:left w:val="single" w:sz="4" w:space="0" w:color="auto"/>
              <w:bottom w:val="nil"/>
              <w:right w:val="nil"/>
            </w:tcBorders>
            <w:shd w:val="clear" w:color="auto" w:fill="auto"/>
            <w:noWrap/>
            <w:vAlign w:val="center"/>
            <w:hideMark/>
          </w:tcPr>
          <w:p w14:paraId="1AA7BAB8" w14:textId="77777777" w:rsidR="00387142" w:rsidRPr="008B6A75" w:rsidRDefault="00387142" w:rsidP="00387142">
            <w:pPr>
              <w:jc w:val="center"/>
              <w:rPr>
                <w:sz w:val="20"/>
                <w:szCs w:val="20"/>
              </w:rPr>
            </w:pPr>
            <w:r w:rsidRPr="008B6A75">
              <w:rPr>
                <w:sz w:val="20"/>
                <w:szCs w:val="20"/>
              </w:rPr>
              <w:t>05</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2FB2DF70" w14:textId="77777777" w:rsidR="00387142" w:rsidRPr="008B6A75" w:rsidRDefault="00387142" w:rsidP="00387142">
            <w:pPr>
              <w:jc w:val="center"/>
              <w:rPr>
                <w:sz w:val="20"/>
                <w:szCs w:val="20"/>
              </w:rPr>
            </w:pPr>
            <w:r w:rsidRPr="008B6A75">
              <w:rPr>
                <w:sz w:val="20"/>
                <w:szCs w:val="20"/>
              </w:rPr>
              <w:t>02</w:t>
            </w:r>
          </w:p>
        </w:tc>
        <w:tc>
          <w:tcPr>
            <w:tcW w:w="1411" w:type="dxa"/>
            <w:tcBorders>
              <w:top w:val="single" w:sz="4" w:space="0" w:color="auto"/>
              <w:left w:val="single" w:sz="4" w:space="0" w:color="auto"/>
              <w:bottom w:val="nil"/>
              <w:right w:val="nil"/>
            </w:tcBorders>
            <w:shd w:val="clear" w:color="auto" w:fill="auto"/>
            <w:noWrap/>
            <w:vAlign w:val="center"/>
            <w:hideMark/>
          </w:tcPr>
          <w:p w14:paraId="7C32A72C" w14:textId="77777777" w:rsidR="00387142" w:rsidRPr="008B6A75" w:rsidRDefault="00387142" w:rsidP="00387142">
            <w:pPr>
              <w:jc w:val="center"/>
              <w:rPr>
                <w:sz w:val="20"/>
                <w:szCs w:val="20"/>
              </w:rPr>
            </w:pPr>
            <w:r w:rsidRPr="008B6A75">
              <w:rPr>
                <w:sz w:val="20"/>
                <w:szCs w:val="20"/>
              </w:rPr>
              <w:t>06.0.00.L5766</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3E443ADF" w14:textId="77777777" w:rsidR="00387142" w:rsidRPr="008B6A75" w:rsidRDefault="00387142" w:rsidP="00387142">
            <w:pPr>
              <w:jc w:val="center"/>
              <w:rPr>
                <w:sz w:val="20"/>
                <w:szCs w:val="20"/>
              </w:rPr>
            </w:pPr>
            <w:r w:rsidRPr="008B6A75">
              <w:rPr>
                <w:sz w:val="20"/>
                <w:szCs w:val="20"/>
              </w:rPr>
              <w:t>500</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5A934877" w14:textId="77777777" w:rsidR="00387142" w:rsidRPr="008B6A75" w:rsidRDefault="00387142" w:rsidP="00387142">
            <w:pPr>
              <w:jc w:val="right"/>
              <w:rPr>
                <w:sz w:val="20"/>
                <w:szCs w:val="20"/>
              </w:rPr>
            </w:pPr>
            <w:r w:rsidRPr="008B6A75">
              <w:rPr>
                <w:sz w:val="20"/>
                <w:szCs w:val="20"/>
              </w:rPr>
              <w:t>15 520 322,50</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5F4FD3B2" w14:textId="77777777" w:rsidR="00387142" w:rsidRPr="008B6A75" w:rsidRDefault="00387142" w:rsidP="00387142">
            <w:pPr>
              <w:jc w:val="right"/>
              <w:rPr>
                <w:sz w:val="20"/>
                <w:szCs w:val="20"/>
              </w:rPr>
            </w:pPr>
            <w:r w:rsidRPr="008B6A75">
              <w:rPr>
                <w:sz w:val="20"/>
                <w:szCs w:val="20"/>
              </w:rPr>
              <w:t>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14794509" w14:textId="77777777" w:rsidR="00387142" w:rsidRPr="008B6A75" w:rsidRDefault="00387142" w:rsidP="00387142">
            <w:pPr>
              <w:jc w:val="right"/>
              <w:rPr>
                <w:sz w:val="20"/>
                <w:szCs w:val="20"/>
              </w:rPr>
            </w:pPr>
            <w:r w:rsidRPr="008B6A75">
              <w:rPr>
                <w:sz w:val="20"/>
                <w:szCs w:val="20"/>
              </w:rPr>
              <w:t>0,00</w:t>
            </w:r>
          </w:p>
        </w:tc>
        <w:tc>
          <w:tcPr>
            <w:tcW w:w="222" w:type="dxa"/>
            <w:vAlign w:val="center"/>
            <w:hideMark/>
          </w:tcPr>
          <w:p w14:paraId="0B5A16EE" w14:textId="77777777" w:rsidR="00387142" w:rsidRPr="008B6A75" w:rsidRDefault="00387142" w:rsidP="00387142">
            <w:pPr>
              <w:rPr>
                <w:sz w:val="20"/>
                <w:szCs w:val="20"/>
              </w:rPr>
            </w:pPr>
          </w:p>
        </w:tc>
      </w:tr>
      <w:tr w:rsidR="00387142" w:rsidRPr="008B6A75" w14:paraId="1EBF3428" w14:textId="77777777" w:rsidTr="00387142">
        <w:trPr>
          <w:trHeight w:val="300"/>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010546CB" w14:textId="77777777" w:rsidR="00387142" w:rsidRPr="008B6A75" w:rsidRDefault="00387142" w:rsidP="00387142">
            <w:pPr>
              <w:rPr>
                <w:sz w:val="20"/>
                <w:szCs w:val="20"/>
              </w:rPr>
            </w:pPr>
            <w:r w:rsidRPr="008B6A75">
              <w:rPr>
                <w:sz w:val="20"/>
                <w:szCs w:val="20"/>
              </w:rPr>
              <w:t>Иные межбюджетные трансферты</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427985E1" w14:textId="77777777" w:rsidR="00387142" w:rsidRPr="008B6A75" w:rsidRDefault="00387142" w:rsidP="00387142">
            <w:pPr>
              <w:jc w:val="center"/>
              <w:rPr>
                <w:sz w:val="20"/>
                <w:szCs w:val="20"/>
              </w:rPr>
            </w:pPr>
            <w:r w:rsidRPr="008B6A75">
              <w:rPr>
                <w:sz w:val="20"/>
                <w:szCs w:val="20"/>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4B11E20E" w14:textId="77777777" w:rsidR="00387142" w:rsidRPr="008B6A75" w:rsidRDefault="00387142" w:rsidP="00387142">
            <w:pPr>
              <w:jc w:val="center"/>
              <w:rPr>
                <w:sz w:val="20"/>
                <w:szCs w:val="20"/>
              </w:rPr>
            </w:pPr>
            <w:r w:rsidRPr="008B6A75">
              <w:rPr>
                <w:sz w:val="20"/>
                <w:szCs w:val="20"/>
              </w:rPr>
              <w:t>05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1A05CF" w14:textId="77777777" w:rsidR="00387142" w:rsidRPr="008B6A75" w:rsidRDefault="00387142" w:rsidP="00387142">
            <w:pPr>
              <w:jc w:val="center"/>
              <w:rPr>
                <w:sz w:val="20"/>
                <w:szCs w:val="20"/>
              </w:rPr>
            </w:pPr>
            <w:r w:rsidRPr="008B6A75">
              <w:rPr>
                <w:sz w:val="20"/>
                <w:szCs w:val="20"/>
              </w:rPr>
              <w:t>02</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695D9E0E" w14:textId="77777777" w:rsidR="00387142" w:rsidRPr="008B6A75" w:rsidRDefault="00387142" w:rsidP="00387142">
            <w:pPr>
              <w:jc w:val="center"/>
              <w:rPr>
                <w:sz w:val="20"/>
                <w:szCs w:val="20"/>
              </w:rPr>
            </w:pPr>
            <w:r w:rsidRPr="008B6A75">
              <w:rPr>
                <w:sz w:val="20"/>
                <w:szCs w:val="20"/>
              </w:rPr>
              <w:t>06.0.00.L5766</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856058" w14:textId="77777777" w:rsidR="00387142" w:rsidRPr="008B6A75" w:rsidRDefault="00387142" w:rsidP="00387142">
            <w:pPr>
              <w:jc w:val="center"/>
              <w:rPr>
                <w:sz w:val="20"/>
                <w:szCs w:val="20"/>
              </w:rPr>
            </w:pPr>
            <w:r w:rsidRPr="008B6A75">
              <w:rPr>
                <w:sz w:val="20"/>
                <w:szCs w:val="20"/>
              </w:rPr>
              <w:t>540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CDE0F7" w14:textId="77777777" w:rsidR="00387142" w:rsidRPr="008B6A75" w:rsidRDefault="00387142" w:rsidP="00387142">
            <w:pPr>
              <w:jc w:val="right"/>
              <w:rPr>
                <w:sz w:val="20"/>
                <w:szCs w:val="20"/>
              </w:rPr>
            </w:pPr>
            <w:r w:rsidRPr="008B6A75">
              <w:rPr>
                <w:sz w:val="20"/>
                <w:szCs w:val="20"/>
              </w:rPr>
              <w:t>15 520 322,50</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0F3C4B23" w14:textId="77777777" w:rsidR="00387142" w:rsidRPr="008B6A75" w:rsidRDefault="00387142" w:rsidP="00387142">
            <w:pPr>
              <w:jc w:val="right"/>
              <w:rPr>
                <w:sz w:val="20"/>
                <w:szCs w:val="20"/>
              </w:rPr>
            </w:pPr>
            <w:r w:rsidRPr="008B6A75">
              <w:rPr>
                <w:sz w:val="20"/>
                <w:szCs w:val="20"/>
              </w:rPr>
              <w:t>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1B244E" w14:textId="77777777" w:rsidR="00387142" w:rsidRPr="008B6A75" w:rsidRDefault="00387142" w:rsidP="00387142">
            <w:pPr>
              <w:jc w:val="right"/>
              <w:rPr>
                <w:sz w:val="20"/>
                <w:szCs w:val="20"/>
              </w:rPr>
            </w:pPr>
            <w:r w:rsidRPr="008B6A75">
              <w:rPr>
                <w:sz w:val="20"/>
                <w:szCs w:val="20"/>
              </w:rPr>
              <w:t>0,00</w:t>
            </w:r>
          </w:p>
        </w:tc>
        <w:tc>
          <w:tcPr>
            <w:tcW w:w="222" w:type="dxa"/>
            <w:vAlign w:val="center"/>
            <w:hideMark/>
          </w:tcPr>
          <w:p w14:paraId="074C8CB8" w14:textId="77777777" w:rsidR="00387142" w:rsidRPr="008B6A75" w:rsidRDefault="00387142" w:rsidP="00387142">
            <w:pPr>
              <w:rPr>
                <w:sz w:val="20"/>
                <w:szCs w:val="20"/>
              </w:rPr>
            </w:pPr>
          </w:p>
        </w:tc>
      </w:tr>
      <w:tr w:rsidR="00387142" w:rsidRPr="008B6A75" w14:paraId="51039B83" w14:textId="77777777" w:rsidTr="00387142">
        <w:trPr>
          <w:trHeight w:val="870"/>
        </w:trPr>
        <w:tc>
          <w:tcPr>
            <w:tcW w:w="3021" w:type="dxa"/>
            <w:tcBorders>
              <w:top w:val="nil"/>
              <w:left w:val="single" w:sz="4" w:space="0" w:color="auto"/>
              <w:bottom w:val="nil"/>
              <w:right w:val="nil"/>
            </w:tcBorders>
            <w:shd w:val="clear" w:color="auto" w:fill="auto"/>
            <w:vAlign w:val="center"/>
            <w:hideMark/>
          </w:tcPr>
          <w:p w14:paraId="284096AF" w14:textId="77777777" w:rsidR="00387142" w:rsidRPr="008B6A75" w:rsidRDefault="00387142" w:rsidP="00387142">
            <w:pPr>
              <w:rPr>
                <w:bCs/>
                <w:sz w:val="20"/>
                <w:szCs w:val="20"/>
              </w:rPr>
            </w:pPr>
            <w:r w:rsidRPr="008B6A75">
              <w:rPr>
                <w:bCs/>
                <w:sz w:val="20"/>
                <w:szCs w:val="20"/>
              </w:rPr>
              <w:t>Муниципальная программа "Жилищно-коммунальное хозяйство Куйбышевского района"</w:t>
            </w:r>
          </w:p>
        </w:tc>
        <w:tc>
          <w:tcPr>
            <w:tcW w:w="850" w:type="dxa"/>
            <w:tcBorders>
              <w:top w:val="nil"/>
              <w:left w:val="single" w:sz="4" w:space="0" w:color="auto"/>
              <w:bottom w:val="nil"/>
              <w:right w:val="nil"/>
            </w:tcBorders>
            <w:shd w:val="clear" w:color="auto" w:fill="auto"/>
            <w:noWrap/>
            <w:vAlign w:val="center"/>
            <w:hideMark/>
          </w:tcPr>
          <w:p w14:paraId="50E17B3C" w14:textId="77777777" w:rsidR="00387142" w:rsidRPr="008B6A75" w:rsidRDefault="00387142" w:rsidP="00387142">
            <w:pPr>
              <w:jc w:val="center"/>
              <w:rPr>
                <w:bCs/>
                <w:sz w:val="20"/>
                <w:szCs w:val="20"/>
              </w:rPr>
            </w:pPr>
            <w:r w:rsidRPr="008B6A75">
              <w:rPr>
                <w:bCs/>
                <w:sz w:val="20"/>
                <w:szCs w:val="20"/>
              </w:rPr>
              <w:t>444</w:t>
            </w:r>
          </w:p>
        </w:tc>
        <w:tc>
          <w:tcPr>
            <w:tcW w:w="709" w:type="dxa"/>
            <w:tcBorders>
              <w:top w:val="nil"/>
              <w:left w:val="single" w:sz="4" w:space="0" w:color="auto"/>
              <w:bottom w:val="nil"/>
              <w:right w:val="nil"/>
            </w:tcBorders>
            <w:shd w:val="clear" w:color="auto" w:fill="auto"/>
            <w:noWrap/>
            <w:vAlign w:val="center"/>
            <w:hideMark/>
          </w:tcPr>
          <w:p w14:paraId="75418775" w14:textId="77777777" w:rsidR="00387142" w:rsidRPr="008B6A75" w:rsidRDefault="00387142" w:rsidP="00387142">
            <w:pPr>
              <w:jc w:val="center"/>
              <w:rPr>
                <w:bCs/>
                <w:sz w:val="20"/>
                <w:szCs w:val="20"/>
              </w:rPr>
            </w:pPr>
            <w:r w:rsidRPr="008B6A75">
              <w:rPr>
                <w:bCs/>
                <w:sz w:val="20"/>
                <w:szCs w:val="20"/>
              </w:rPr>
              <w:t>05</w:t>
            </w:r>
          </w:p>
        </w:tc>
        <w:tc>
          <w:tcPr>
            <w:tcW w:w="709" w:type="dxa"/>
            <w:tcBorders>
              <w:top w:val="nil"/>
              <w:left w:val="single" w:sz="4" w:space="0" w:color="auto"/>
              <w:bottom w:val="nil"/>
              <w:right w:val="single" w:sz="4" w:space="0" w:color="auto"/>
            </w:tcBorders>
            <w:shd w:val="clear" w:color="auto" w:fill="auto"/>
            <w:noWrap/>
            <w:vAlign w:val="center"/>
            <w:hideMark/>
          </w:tcPr>
          <w:p w14:paraId="6DF68B76" w14:textId="77777777" w:rsidR="00387142" w:rsidRPr="008B6A75" w:rsidRDefault="00387142" w:rsidP="00387142">
            <w:pPr>
              <w:jc w:val="center"/>
              <w:rPr>
                <w:bCs/>
                <w:sz w:val="20"/>
                <w:szCs w:val="20"/>
              </w:rPr>
            </w:pPr>
            <w:r w:rsidRPr="008B6A75">
              <w:rPr>
                <w:bCs/>
                <w:sz w:val="20"/>
                <w:szCs w:val="20"/>
              </w:rPr>
              <w:t>02</w:t>
            </w:r>
          </w:p>
        </w:tc>
        <w:tc>
          <w:tcPr>
            <w:tcW w:w="1411" w:type="dxa"/>
            <w:tcBorders>
              <w:top w:val="nil"/>
              <w:left w:val="single" w:sz="4" w:space="0" w:color="auto"/>
              <w:bottom w:val="nil"/>
              <w:right w:val="nil"/>
            </w:tcBorders>
            <w:shd w:val="clear" w:color="auto" w:fill="auto"/>
            <w:noWrap/>
            <w:vAlign w:val="center"/>
            <w:hideMark/>
          </w:tcPr>
          <w:p w14:paraId="265126BA" w14:textId="77777777" w:rsidR="00387142" w:rsidRPr="008B6A75" w:rsidRDefault="00387142" w:rsidP="00387142">
            <w:pPr>
              <w:jc w:val="center"/>
              <w:rPr>
                <w:bCs/>
                <w:sz w:val="20"/>
                <w:szCs w:val="20"/>
              </w:rPr>
            </w:pPr>
            <w:r w:rsidRPr="008B6A75">
              <w:rPr>
                <w:bCs/>
                <w:sz w:val="20"/>
                <w:szCs w:val="20"/>
              </w:rPr>
              <w:t>17.0.00.00000</w:t>
            </w:r>
          </w:p>
        </w:tc>
        <w:tc>
          <w:tcPr>
            <w:tcW w:w="955" w:type="dxa"/>
            <w:tcBorders>
              <w:top w:val="nil"/>
              <w:left w:val="single" w:sz="4" w:space="0" w:color="auto"/>
              <w:bottom w:val="nil"/>
              <w:right w:val="single" w:sz="4" w:space="0" w:color="auto"/>
            </w:tcBorders>
            <w:shd w:val="clear" w:color="auto" w:fill="auto"/>
            <w:noWrap/>
            <w:vAlign w:val="center"/>
            <w:hideMark/>
          </w:tcPr>
          <w:p w14:paraId="124786F6"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nil"/>
              <w:right w:val="single" w:sz="4" w:space="0" w:color="auto"/>
            </w:tcBorders>
            <w:shd w:val="clear" w:color="auto" w:fill="auto"/>
            <w:noWrap/>
            <w:vAlign w:val="center"/>
            <w:hideMark/>
          </w:tcPr>
          <w:p w14:paraId="5D115997" w14:textId="77777777" w:rsidR="00387142" w:rsidRPr="008B6A75" w:rsidRDefault="00387142" w:rsidP="00387142">
            <w:pPr>
              <w:jc w:val="right"/>
              <w:rPr>
                <w:bCs/>
                <w:sz w:val="20"/>
                <w:szCs w:val="20"/>
              </w:rPr>
            </w:pPr>
            <w:r w:rsidRPr="008B6A75">
              <w:rPr>
                <w:bCs/>
                <w:sz w:val="20"/>
                <w:szCs w:val="20"/>
              </w:rPr>
              <w:t>121 202 659,22</w:t>
            </w:r>
          </w:p>
        </w:tc>
        <w:tc>
          <w:tcPr>
            <w:tcW w:w="992" w:type="dxa"/>
            <w:gridSpan w:val="2"/>
            <w:tcBorders>
              <w:top w:val="nil"/>
              <w:left w:val="single" w:sz="4" w:space="0" w:color="auto"/>
              <w:bottom w:val="nil"/>
              <w:right w:val="nil"/>
            </w:tcBorders>
            <w:shd w:val="clear" w:color="auto" w:fill="auto"/>
            <w:noWrap/>
            <w:vAlign w:val="center"/>
            <w:hideMark/>
          </w:tcPr>
          <w:p w14:paraId="7DA6E7F8" w14:textId="77777777" w:rsidR="00387142" w:rsidRPr="008B6A75" w:rsidRDefault="00387142" w:rsidP="00387142">
            <w:pPr>
              <w:jc w:val="right"/>
              <w:rPr>
                <w:bCs/>
                <w:sz w:val="20"/>
                <w:szCs w:val="20"/>
              </w:rPr>
            </w:pPr>
            <w:r w:rsidRPr="008B6A75">
              <w:rPr>
                <w:bCs/>
                <w:sz w:val="20"/>
                <w:szCs w:val="20"/>
              </w:rPr>
              <w:t>100 580 874,29</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071E0770" w14:textId="77777777" w:rsidR="00387142" w:rsidRPr="008B6A75" w:rsidRDefault="00387142" w:rsidP="00387142">
            <w:pPr>
              <w:jc w:val="right"/>
              <w:rPr>
                <w:bCs/>
                <w:sz w:val="20"/>
                <w:szCs w:val="20"/>
              </w:rPr>
            </w:pPr>
            <w:r w:rsidRPr="008B6A75">
              <w:rPr>
                <w:bCs/>
                <w:sz w:val="20"/>
                <w:szCs w:val="20"/>
              </w:rPr>
              <w:t>35 604 160,00</w:t>
            </w:r>
          </w:p>
        </w:tc>
        <w:tc>
          <w:tcPr>
            <w:tcW w:w="222" w:type="dxa"/>
            <w:vAlign w:val="center"/>
            <w:hideMark/>
          </w:tcPr>
          <w:p w14:paraId="26100E5C" w14:textId="77777777" w:rsidR="00387142" w:rsidRPr="008B6A75" w:rsidRDefault="00387142" w:rsidP="00387142">
            <w:pPr>
              <w:rPr>
                <w:sz w:val="20"/>
                <w:szCs w:val="20"/>
              </w:rPr>
            </w:pPr>
          </w:p>
        </w:tc>
      </w:tr>
      <w:tr w:rsidR="00387142" w:rsidRPr="008B6A75" w14:paraId="3F2C0814" w14:textId="77777777" w:rsidTr="00387142">
        <w:trPr>
          <w:trHeight w:val="585"/>
        </w:trPr>
        <w:tc>
          <w:tcPr>
            <w:tcW w:w="3021" w:type="dxa"/>
            <w:tcBorders>
              <w:top w:val="single" w:sz="4" w:space="0" w:color="auto"/>
              <w:left w:val="single" w:sz="4" w:space="0" w:color="auto"/>
              <w:bottom w:val="nil"/>
              <w:right w:val="nil"/>
            </w:tcBorders>
            <w:shd w:val="clear" w:color="auto" w:fill="auto"/>
            <w:vAlign w:val="center"/>
            <w:hideMark/>
          </w:tcPr>
          <w:p w14:paraId="1271E45B" w14:textId="77777777" w:rsidR="00387142" w:rsidRPr="008B6A75" w:rsidRDefault="00387142" w:rsidP="00387142">
            <w:pPr>
              <w:rPr>
                <w:bCs/>
                <w:sz w:val="20"/>
                <w:szCs w:val="20"/>
              </w:rPr>
            </w:pPr>
            <w:r w:rsidRPr="008B6A75">
              <w:rPr>
                <w:bCs/>
                <w:sz w:val="20"/>
                <w:szCs w:val="20"/>
              </w:rPr>
              <w:t>Подпрограмма "Чистая вода Куйбышевского района"</w:t>
            </w:r>
          </w:p>
        </w:tc>
        <w:tc>
          <w:tcPr>
            <w:tcW w:w="850" w:type="dxa"/>
            <w:tcBorders>
              <w:top w:val="single" w:sz="4" w:space="0" w:color="auto"/>
              <w:left w:val="single" w:sz="4" w:space="0" w:color="auto"/>
              <w:bottom w:val="nil"/>
              <w:right w:val="nil"/>
            </w:tcBorders>
            <w:shd w:val="clear" w:color="auto" w:fill="auto"/>
            <w:noWrap/>
            <w:vAlign w:val="center"/>
            <w:hideMark/>
          </w:tcPr>
          <w:p w14:paraId="365242E3" w14:textId="77777777" w:rsidR="00387142" w:rsidRPr="008B6A75" w:rsidRDefault="00387142" w:rsidP="00387142">
            <w:pPr>
              <w:jc w:val="center"/>
              <w:rPr>
                <w:bCs/>
                <w:sz w:val="20"/>
                <w:szCs w:val="20"/>
              </w:rPr>
            </w:pPr>
            <w:r w:rsidRPr="008B6A75">
              <w:rPr>
                <w:bCs/>
                <w:sz w:val="20"/>
                <w:szCs w:val="20"/>
              </w:rPr>
              <w:t>444</w:t>
            </w:r>
          </w:p>
        </w:tc>
        <w:tc>
          <w:tcPr>
            <w:tcW w:w="709" w:type="dxa"/>
            <w:tcBorders>
              <w:top w:val="single" w:sz="4" w:space="0" w:color="auto"/>
              <w:left w:val="single" w:sz="4" w:space="0" w:color="auto"/>
              <w:bottom w:val="nil"/>
              <w:right w:val="nil"/>
            </w:tcBorders>
            <w:shd w:val="clear" w:color="auto" w:fill="auto"/>
            <w:noWrap/>
            <w:vAlign w:val="center"/>
            <w:hideMark/>
          </w:tcPr>
          <w:p w14:paraId="0CDCD16A" w14:textId="77777777" w:rsidR="00387142" w:rsidRPr="008B6A75" w:rsidRDefault="00387142" w:rsidP="00387142">
            <w:pPr>
              <w:jc w:val="center"/>
              <w:rPr>
                <w:bCs/>
                <w:sz w:val="20"/>
                <w:szCs w:val="20"/>
              </w:rPr>
            </w:pPr>
            <w:r w:rsidRPr="008B6A75">
              <w:rPr>
                <w:bCs/>
                <w:sz w:val="20"/>
                <w:szCs w:val="20"/>
              </w:rPr>
              <w:t>05</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0E5A85E9" w14:textId="77777777" w:rsidR="00387142" w:rsidRPr="008B6A75" w:rsidRDefault="00387142" w:rsidP="00387142">
            <w:pPr>
              <w:jc w:val="center"/>
              <w:rPr>
                <w:bCs/>
                <w:sz w:val="20"/>
                <w:szCs w:val="20"/>
              </w:rPr>
            </w:pPr>
            <w:r w:rsidRPr="008B6A75">
              <w:rPr>
                <w:bCs/>
                <w:sz w:val="20"/>
                <w:szCs w:val="20"/>
              </w:rPr>
              <w:t>02</w:t>
            </w:r>
          </w:p>
        </w:tc>
        <w:tc>
          <w:tcPr>
            <w:tcW w:w="1411" w:type="dxa"/>
            <w:tcBorders>
              <w:top w:val="single" w:sz="4" w:space="0" w:color="auto"/>
              <w:left w:val="single" w:sz="4" w:space="0" w:color="auto"/>
              <w:bottom w:val="nil"/>
              <w:right w:val="nil"/>
            </w:tcBorders>
            <w:shd w:val="clear" w:color="auto" w:fill="auto"/>
            <w:noWrap/>
            <w:vAlign w:val="center"/>
            <w:hideMark/>
          </w:tcPr>
          <w:p w14:paraId="41CFEA2D" w14:textId="77777777" w:rsidR="00387142" w:rsidRPr="008B6A75" w:rsidRDefault="00387142" w:rsidP="00387142">
            <w:pPr>
              <w:jc w:val="center"/>
              <w:rPr>
                <w:bCs/>
                <w:sz w:val="20"/>
                <w:szCs w:val="20"/>
              </w:rPr>
            </w:pPr>
            <w:r w:rsidRPr="008B6A75">
              <w:rPr>
                <w:bCs/>
                <w:sz w:val="20"/>
                <w:szCs w:val="20"/>
              </w:rPr>
              <w:t>17.1.00.00000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60579278" w14:textId="77777777" w:rsidR="00387142" w:rsidRPr="008B6A75" w:rsidRDefault="00387142" w:rsidP="00387142">
            <w:pPr>
              <w:jc w:val="center"/>
              <w:rPr>
                <w:bCs/>
                <w:sz w:val="20"/>
                <w:szCs w:val="20"/>
              </w:rPr>
            </w:pPr>
            <w:r w:rsidRPr="008B6A75">
              <w:rPr>
                <w:bCs/>
                <w:sz w:val="20"/>
                <w:szCs w:val="20"/>
              </w:rPr>
              <w:t> </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1A9AE26F" w14:textId="77777777" w:rsidR="00387142" w:rsidRPr="008B6A75" w:rsidRDefault="00387142" w:rsidP="00387142">
            <w:pPr>
              <w:jc w:val="right"/>
              <w:rPr>
                <w:bCs/>
                <w:sz w:val="20"/>
                <w:szCs w:val="20"/>
              </w:rPr>
            </w:pPr>
            <w:r w:rsidRPr="008B6A75">
              <w:rPr>
                <w:bCs/>
                <w:sz w:val="20"/>
                <w:szCs w:val="20"/>
              </w:rPr>
              <w:t>81 165 314,29</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42ED71D3" w14:textId="77777777" w:rsidR="00387142" w:rsidRPr="008B6A75" w:rsidRDefault="00387142" w:rsidP="00387142">
            <w:pPr>
              <w:jc w:val="right"/>
              <w:rPr>
                <w:bCs/>
                <w:sz w:val="20"/>
                <w:szCs w:val="20"/>
              </w:rPr>
            </w:pPr>
            <w:r w:rsidRPr="008B6A75">
              <w:rPr>
                <w:bCs/>
                <w:sz w:val="20"/>
                <w:szCs w:val="20"/>
              </w:rPr>
              <w:t>64 976 714,29</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2A3479A8" w14:textId="77777777" w:rsidR="00387142" w:rsidRPr="008B6A75" w:rsidRDefault="00387142" w:rsidP="00387142">
            <w:pPr>
              <w:jc w:val="right"/>
              <w:rPr>
                <w:bCs/>
                <w:sz w:val="20"/>
                <w:szCs w:val="20"/>
              </w:rPr>
            </w:pPr>
            <w:r w:rsidRPr="008B6A75">
              <w:rPr>
                <w:bCs/>
                <w:sz w:val="20"/>
                <w:szCs w:val="20"/>
              </w:rPr>
              <w:t>0,00</w:t>
            </w:r>
          </w:p>
        </w:tc>
        <w:tc>
          <w:tcPr>
            <w:tcW w:w="222" w:type="dxa"/>
            <w:vAlign w:val="center"/>
            <w:hideMark/>
          </w:tcPr>
          <w:p w14:paraId="3A2BD8E1" w14:textId="77777777" w:rsidR="00387142" w:rsidRPr="008B6A75" w:rsidRDefault="00387142" w:rsidP="00387142">
            <w:pPr>
              <w:rPr>
                <w:sz w:val="20"/>
                <w:szCs w:val="20"/>
              </w:rPr>
            </w:pPr>
          </w:p>
        </w:tc>
      </w:tr>
      <w:tr w:rsidR="00387142" w:rsidRPr="008B6A75" w14:paraId="048D977A" w14:textId="77777777" w:rsidTr="00387142">
        <w:trPr>
          <w:trHeight w:val="2010"/>
        </w:trPr>
        <w:tc>
          <w:tcPr>
            <w:tcW w:w="3021" w:type="dxa"/>
            <w:tcBorders>
              <w:top w:val="single" w:sz="4" w:space="0" w:color="auto"/>
              <w:left w:val="single" w:sz="4" w:space="0" w:color="auto"/>
              <w:bottom w:val="nil"/>
              <w:right w:val="nil"/>
            </w:tcBorders>
            <w:shd w:val="clear" w:color="auto" w:fill="auto"/>
            <w:vAlign w:val="center"/>
            <w:hideMark/>
          </w:tcPr>
          <w:p w14:paraId="173EC707" w14:textId="77777777" w:rsidR="00387142" w:rsidRPr="008B6A75" w:rsidRDefault="00387142" w:rsidP="00387142">
            <w:pPr>
              <w:rPr>
                <w:bCs/>
                <w:sz w:val="20"/>
                <w:szCs w:val="20"/>
              </w:rPr>
            </w:pPr>
            <w:r w:rsidRPr="008B6A75">
              <w:rPr>
                <w:bCs/>
                <w:sz w:val="20"/>
                <w:szCs w:val="20"/>
              </w:rPr>
              <w:t>Реализация мероприятий по строительству и реконструкции объектов централизованных систем холодного водоснабжения и водоотведения подпрограммы "Чистая вода" государственной программы Новосибирской области "Жилищно-коммунальное хозяйство Новосибирской области"</w:t>
            </w:r>
          </w:p>
        </w:tc>
        <w:tc>
          <w:tcPr>
            <w:tcW w:w="850" w:type="dxa"/>
            <w:tcBorders>
              <w:top w:val="single" w:sz="4" w:space="0" w:color="auto"/>
              <w:left w:val="single" w:sz="4" w:space="0" w:color="auto"/>
              <w:bottom w:val="nil"/>
              <w:right w:val="nil"/>
            </w:tcBorders>
            <w:shd w:val="clear" w:color="auto" w:fill="auto"/>
            <w:noWrap/>
            <w:vAlign w:val="center"/>
            <w:hideMark/>
          </w:tcPr>
          <w:p w14:paraId="5E661043" w14:textId="77777777" w:rsidR="00387142" w:rsidRPr="008B6A75" w:rsidRDefault="00387142" w:rsidP="00387142">
            <w:pPr>
              <w:jc w:val="center"/>
              <w:rPr>
                <w:bCs/>
                <w:sz w:val="20"/>
                <w:szCs w:val="20"/>
              </w:rPr>
            </w:pPr>
            <w:r w:rsidRPr="008B6A75">
              <w:rPr>
                <w:bCs/>
                <w:sz w:val="20"/>
                <w:szCs w:val="20"/>
              </w:rPr>
              <w:t>444</w:t>
            </w:r>
          </w:p>
        </w:tc>
        <w:tc>
          <w:tcPr>
            <w:tcW w:w="709" w:type="dxa"/>
            <w:tcBorders>
              <w:top w:val="single" w:sz="4" w:space="0" w:color="auto"/>
              <w:left w:val="single" w:sz="4" w:space="0" w:color="auto"/>
              <w:bottom w:val="nil"/>
              <w:right w:val="nil"/>
            </w:tcBorders>
            <w:shd w:val="clear" w:color="auto" w:fill="auto"/>
            <w:noWrap/>
            <w:vAlign w:val="center"/>
            <w:hideMark/>
          </w:tcPr>
          <w:p w14:paraId="0C8AC770" w14:textId="77777777" w:rsidR="00387142" w:rsidRPr="008B6A75" w:rsidRDefault="00387142" w:rsidP="00387142">
            <w:pPr>
              <w:jc w:val="center"/>
              <w:rPr>
                <w:bCs/>
                <w:sz w:val="20"/>
                <w:szCs w:val="20"/>
              </w:rPr>
            </w:pPr>
            <w:r w:rsidRPr="008B6A75">
              <w:rPr>
                <w:bCs/>
                <w:sz w:val="20"/>
                <w:szCs w:val="20"/>
              </w:rPr>
              <w:t>05</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4311D925" w14:textId="77777777" w:rsidR="00387142" w:rsidRPr="008B6A75" w:rsidRDefault="00387142" w:rsidP="00387142">
            <w:pPr>
              <w:jc w:val="center"/>
              <w:rPr>
                <w:bCs/>
                <w:sz w:val="20"/>
                <w:szCs w:val="20"/>
              </w:rPr>
            </w:pPr>
            <w:r w:rsidRPr="008B6A75">
              <w:rPr>
                <w:bCs/>
                <w:sz w:val="20"/>
                <w:szCs w:val="20"/>
              </w:rPr>
              <w:t>02</w:t>
            </w:r>
          </w:p>
        </w:tc>
        <w:tc>
          <w:tcPr>
            <w:tcW w:w="1411" w:type="dxa"/>
            <w:tcBorders>
              <w:top w:val="single" w:sz="4" w:space="0" w:color="auto"/>
              <w:left w:val="single" w:sz="4" w:space="0" w:color="auto"/>
              <w:bottom w:val="nil"/>
              <w:right w:val="nil"/>
            </w:tcBorders>
            <w:shd w:val="clear" w:color="auto" w:fill="auto"/>
            <w:noWrap/>
            <w:vAlign w:val="center"/>
            <w:hideMark/>
          </w:tcPr>
          <w:p w14:paraId="1EC448E5" w14:textId="77777777" w:rsidR="00387142" w:rsidRPr="008B6A75" w:rsidRDefault="00387142" w:rsidP="00387142">
            <w:pPr>
              <w:jc w:val="center"/>
              <w:rPr>
                <w:bCs/>
                <w:sz w:val="20"/>
                <w:szCs w:val="20"/>
              </w:rPr>
            </w:pPr>
            <w:r w:rsidRPr="008B6A75">
              <w:rPr>
                <w:bCs/>
                <w:sz w:val="20"/>
                <w:szCs w:val="20"/>
              </w:rPr>
              <w:t>17.1.00.70640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6B2D349B" w14:textId="77777777" w:rsidR="00387142" w:rsidRPr="008B6A75" w:rsidRDefault="00387142" w:rsidP="00387142">
            <w:pPr>
              <w:jc w:val="center"/>
              <w:rPr>
                <w:bCs/>
                <w:sz w:val="20"/>
                <w:szCs w:val="20"/>
              </w:rPr>
            </w:pPr>
            <w:r w:rsidRPr="008B6A75">
              <w:rPr>
                <w:bCs/>
                <w:sz w:val="20"/>
                <w:szCs w:val="20"/>
              </w:rPr>
              <w:t> </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40482016" w14:textId="77777777" w:rsidR="00387142" w:rsidRPr="008B6A75" w:rsidRDefault="00387142" w:rsidP="00387142">
            <w:pPr>
              <w:jc w:val="right"/>
              <w:rPr>
                <w:bCs/>
                <w:sz w:val="20"/>
                <w:szCs w:val="20"/>
              </w:rPr>
            </w:pPr>
            <w:r w:rsidRPr="008B6A75">
              <w:rPr>
                <w:bCs/>
                <w:sz w:val="20"/>
                <w:szCs w:val="20"/>
              </w:rPr>
              <w:t>79 541 980,00</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2A03B68C" w14:textId="77777777" w:rsidR="00387142" w:rsidRPr="008B6A75" w:rsidRDefault="00387142" w:rsidP="00387142">
            <w:pPr>
              <w:jc w:val="right"/>
              <w:rPr>
                <w:bCs/>
                <w:sz w:val="20"/>
                <w:szCs w:val="20"/>
              </w:rPr>
            </w:pPr>
            <w:r w:rsidRPr="008B6A75">
              <w:rPr>
                <w:bCs/>
                <w:sz w:val="20"/>
                <w:szCs w:val="20"/>
              </w:rPr>
              <w:t>63 677 180,00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6B7EE86E" w14:textId="77777777" w:rsidR="00387142" w:rsidRPr="008B6A75" w:rsidRDefault="00387142" w:rsidP="00387142">
            <w:pPr>
              <w:jc w:val="right"/>
              <w:rPr>
                <w:bCs/>
                <w:sz w:val="20"/>
                <w:szCs w:val="20"/>
              </w:rPr>
            </w:pPr>
            <w:r w:rsidRPr="008B6A75">
              <w:rPr>
                <w:bCs/>
                <w:sz w:val="20"/>
                <w:szCs w:val="20"/>
              </w:rPr>
              <w:t>0,00</w:t>
            </w:r>
          </w:p>
        </w:tc>
        <w:tc>
          <w:tcPr>
            <w:tcW w:w="222" w:type="dxa"/>
            <w:vAlign w:val="center"/>
            <w:hideMark/>
          </w:tcPr>
          <w:p w14:paraId="7EA7C06A" w14:textId="77777777" w:rsidR="00387142" w:rsidRPr="008B6A75" w:rsidRDefault="00387142" w:rsidP="00387142">
            <w:pPr>
              <w:rPr>
                <w:sz w:val="20"/>
                <w:szCs w:val="20"/>
              </w:rPr>
            </w:pPr>
          </w:p>
        </w:tc>
      </w:tr>
      <w:tr w:rsidR="00387142" w:rsidRPr="008B6A75" w14:paraId="1F996DF8" w14:textId="77777777" w:rsidTr="00387142">
        <w:trPr>
          <w:trHeight w:val="870"/>
        </w:trPr>
        <w:tc>
          <w:tcPr>
            <w:tcW w:w="3021" w:type="dxa"/>
            <w:tcBorders>
              <w:top w:val="single" w:sz="4" w:space="0" w:color="auto"/>
              <w:left w:val="single" w:sz="4" w:space="0" w:color="auto"/>
              <w:bottom w:val="nil"/>
              <w:right w:val="nil"/>
            </w:tcBorders>
            <w:shd w:val="clear" w:color="auto" w:fill="auto"/>
            <w:vAlign w:val="center"/>
            <w:hideMark/>
          </w:tcPr>
          <w:p w14:paraId="46F8C543" w14:textId="77777777" w:rsidR="00387142" w:rsidRPr="008B6A75" w:rsidRDefault="00387142" w:rsidP="00387142">
            <w:pPr>
              <w:rPr>
                <w:sz w:val="20"/>
                <w:szCs w:val="20"/>
              </w:rPr>
            </w:pPr>
            <w:r w:rsidRPr="008B6A75">
              <w:rPr>
                <w:sz w:val="20"/>
                <w:szCs w:val="20"/>
              </w:rPr>
              <w:t>Капитальные вложения в объекты государственной (муниципальной) собственности</w:t>
            </w:r>
          </w:p>
        </w:tc>
        <w:tc>
          <w:tcPr>
            <w:tcW w:w="850" w:type="dxa"/>
            <w:tcBorders>
              <w:top w:val="single" w:sz="4" w:space="0" w:color="auto"/>
              <w:left w:val="single" w:sz="4" w:space="0" w:color="auto"/>
              <w:bottom w:val="nil"/>
              <w:right w:val="nil"/>
            </w:tcBorders>
            <w:shd w:val="clear" w:color="auto" w:fill="auto"/>
            <w:noWrap/>
            <w:vAlign w:val="center"/>
            <w:hideMark/>
          </w:tcPr>
          <w:p w14:paraId="50B4800B" w14:textId="77777777" w:rsidR="00387142" w:rsidRPr="008B6A75" w:rsidRDefault="00387142" w:rsidP="00387142">
            <w:pPr>
              <w:jc w:val="center"/>
              <w:rPr>
                <w:sz w:val="20"/>
                <w:szCs w:val="20"/>
              </w:rPr>
            </w:pPr>
            <w:r w:rsidRPr="008B6A75">
              <w:rPr>
                <w:sz w:val="20"/>
                <w:szCs w:val="20"/>
              </w:rPr>
              <w:t>444</w:t>
            </w:r>
          </w:p>
        </w:tc>
        <w:tc>
          <w:tcPr>
            <w:tcW w:w="709" w:type="dxa"/>
            <w:tcBorders>
              <w:top w:val="single" w:sz="4" w:space="0" w:color="auto"/>
              <w:left w:val="single" w:sz="4" w:space="0" w:color="auto"/>
              <w:bottom w:val="nil"/>
              <w:right w:val="nil"/>
            </w:tcBorders>
            <w:shd w:val="clear" w:color="auto" w:fill="auto"/>
            <w:noWrap/>
            <w:vAlign w:val="center"/>
            <w:hideMark/>
          </w:tcPr>
          <w:p w14:paraId="37A104A2" w14:textId="77777777" w:rsidR="00387142" w:rsidRPr="008B6A75" w:rsidRDefault="00387142" w:rsidP="00387142">
            <w:pPr>
              <w:jc w:val="center"/>
              <w:rPr>
                <w:sz w:val="20"/>
                <w:szCs w:val="20"/>
              </w:rPr>
            </w:pPr>
            <w:r w:rsidRPr="008B6A75">
              <w:rPr>
                <w:sz w:val="20"/>
                <w:szCs w:val="20"/>
              </w:rPr>
              <w:t>05</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373B7E23" w14:textId="77777777" w:rsidR="00387142" w:rsidRPr="008B6A75" w:rsidRDefault="00387142" w:rsidP="00387142">
            <w:pPr>
              <w:jc w:val="center"/>
              <w:rPr>
                <w:sz w:val="20"/>
                <w:szCs w:val="20"/>
              </w:rPr>
            </w:pPr>
            <w:r w:rsidRPr="008B6A75">
              <w:rPr>
                <w:sz w:val="20"/>
                <w:szCs w:val="20"/>
              </w:rPr>
              <w:t>02</w:t>
            </w:r>
          </w:p>
        </w:tc>
        <w:tc>
          <w:tcPr>
            <w:tcW w:w="1411" w:type="dxa"/>
            <w:tcBorders>
              <w:top w:val="single" w:sz="4" w:space="0" w:color="auto"/>
              <w:left w:val="single" w:sz="4" w:space="0" w:color="auto"/>
              <w:bottom w:val="nil"/>
              <w:right w:val="nil"/>
            </w:tcBorders>
            <w:shd w:val="clear" w:color="auto" w:fill="auto"/>
            <w:noWrap/>
            <w:vAlign w:val="center"/>
            <w:hideMark/>
          </w:tcPr>
          <w:p w14:paraId="0062E2E7" w14:textId="77777777" w:rsidR="00387142" w:rsidRPr="008B6A75" w:rsidRDefault="00387142" w:rsidP="00387142">
            <w:pPr>
              <w:jc w:val="center"/>
              <w:rPr>
                <w:sz w:val="20"/>
                <w:szCs w:val="20"/>
              </w:rPr>
            </w:pPr>
            <w:r w:rsidRPr="008B6A75">
              <w:rPr>
                <w:sz w:val="20"/>
                <w:szCs w:val="20"/>
              </w:rPr>
              <w:t>17.1.00.70640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6CA777C1" w14:textId="77777777" w:rsidR="00387142" w:rsidRPr="008B6A75" w:rsidRDefault="00387142" w:rsidP="00387142">
            <w:pPr>
              <w:jc w:val="center"/>
              <w:rPr>
                <w:sz w:val="20"/>
                <w:szCs w:val="20"/>
              </w:rPr>
            </w:pPr>
            <w:r w:rsidRPr="008B6A75">
              <w:rPr>
                <w:sz w:val="20"/>
                <w:szCs w:val="20"/>
              </w:rPr>
              <w:t>400</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6FAA1E06" w14:textId="77777777" w:rsidR="00387142" w:rsidRPr="008B6A75" w:rsidRDefault="00387142" w:rsidP="00387142">
            <w:pPr>
              <w:jc w:val="right"/>
              <w:rPr>
                <w:sz w:val="20"/>
                <w:szCs w:val="20"/>
              </w:rPr>
            </w:pPr>
            <w:r w:rsidRPr="008B6A75">
              <w:rPr>
                <w:sz w:val="20"/>
                <w:szCs w:val="20"/>
              </w:rPr>
              <w:t>79 541 980,00</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6C4EBE98" w14:textId="77777777" w:rsidR="00387142" w:rsidRPr="008B6A75" w:rsidRDefault="00387142" w:rsidP="00387142">
            <w:pPr>
              <w:jc w:val="right"/>
              <w:rPr>
                <w:sz w:val="20"/>
                <w:szCs w:val="20"/>
              </w:rPr>
            </w:pPr>
            <w:r w:rsidRPr="008B6A75">
              <w:rPr>
                <w:sz w:val="20"/>
                <w:szCs w:val="20"/>
              </w:rPr>
              <w:t>63 677 180,00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23F2B525" w14:textId="77777777" w:rsidR="00387142" w:rsidRPr="008B6A75" w:rsidRDefault="00387142" w:rsidP="00387142">
            <w:pPr>
              <w:jc w:val="right"/>
              <w:rPr>
                <w:sz w:val="20"/>
                <w:szCs w:val="20"/>
              </w:rPr>
            </w:pPr>
            <w:r w:rsidRPr="008B6A75">
              <w:rPr>
                <w:sz w:val="20"/>
                <w:szCs w:val="20"/>
              </w:rPr>
              <w:t>0,00</w:t>
            </w:r>
          </w:p>
        </w:tc>
        <w:tc>
          <w:tcPr>
            <w:tcW w:w="222" w:type="dxa"/>
            <w:vAlign w:val="center"/>
            <w:hideMark/>
          </w:tcPr>
          <w:p w14:paraId="311C23E2" w14:textId="77777777" w:rsidR="00387142" w:rsidRPr="008B6A75" w:rsidRDefault="00387142" w:rsidP="00387142">
            <w:pPr>
              <w:rPr>
                <w:sz w:val="20"/>
                <w:szCs w:val="20"/>
              </w:rPr>
            </w:pPr>
          </w:p>
        </w:tc>
      </w:tr>
      <w:tr w:rsidR="00387142" w:rsidRPr="008B6A75" w14:paraId="4F464E0F" w14:textId="77777777" w:rsidTr="00387142">
        <w:trPr>
          <w:trHeight w:val="300"/>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5C1C86E7" w14:textId="77777777" w:rsidR="00387142" w:rsidRPr="008B6A75" w:rsidRDefault="00387142" w:rsidP="00387142">
            <w:pPr>
              <w:rPr>
                <w:sz w:val="20"/>
                <w:szCs w:val="20"/>
              </w:rPr>
            </w:pPr>
            <w:r w:rsidRPr="008B6A75">
              <w:rPr>
                <w:sz w:val="20"/>
                <w:szCs w:val="20"/>
              </w:rPr>
              <w:t>Бюджетные инвестиции</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4D703484" w14:textId="77777777" w:rsidR="00387142" w:rsidRPr="008B6A75" w:rsidRDefault="00387142" w:rsidP="00387142">
            <w:pPr>
              <w:jc w:val="center"/>
              <w:rPr>
                <w:sz w:val="20"/>
                <w:szCs w:val="20"/>
              </w:rPr>
            </w:pPr>
            <w:r w:rsidRPr="008B6A75">
              <w:rPr>
                <w:sz w:val="20"/>
                <w:szCs w:val="20"/>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649B9BAB" w14:textId="77777777" w:rsidR="00387142" w:rsidRPr="008B6A75" w:rsidRDefault="00387142" w:rsidP="00387142">
            <w:pPr>
              <w:jc w:val="center"/>
              <w:rPr>
                <w:sz w:val="20"/>
                <w:szCs w:val="20"/>
              </w:rPr>
            </w:pPr>
            <w:r w:rsidRPr="008B6A75">
              <w:rPr>
                <w:sz w:val="20"/>
                <w:szCs w:val="20"/>
              </w:rPr>
              <w:t>05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AFE8A8" w14:textId="77777777" w:rsidR="00387142" w:rsidRPr="008B6A75" w:rsidRDefault="00387142" w:rsidP="00387142">
            <w:pPr>
              <w:jc w:val="center"/>
              <w:rPr>
                <w:sz w:val="20"/>
                <w:szCs w:val="20"/>
              </w:rPr>
            </w:pPr>
            <w:r w:rsidRPr="008B6A75">
              <w:rPr>
                <w:sz w:val="20"/>
                <w:szCs w:val="20"/>
              </w:rPr>
              <w:t>02</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377D4056" w14:textId="77777777" w:rsidR="00387142" w:rsidRPr="008B6A75" w:rsidRDefault="00387142" w:rsidP="00387142">
            <w:pPr>
              <w:jc w:val="center"/>
              <w:rPr>
                <w:sz w:val="20"/>
                <w:szCs w:val="20"/>
              </w:rPr>
            </w:pPr>
            <w:r w:rsidRPr="008B6A75">
              <w:rPr>
                <w:sz w:val="20"/>
                <w:szCs w:val="20"/>
              </w:rPr>
              <w:t>17.1.00.70640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19EBC5" w14:textId="77777777" w:rsidR="00387142" w:rsidRPr="008B6A75" w:rsidRDefault="00387142" w:rsidP="00387142">
            <w:pPr>
              <w:jc w:val="center"/>
              <w:rPr>
                <w:sz w:val="20"/>
                <w:szCs w:val="20"/>
              </w:rPr>
            </w:pPr>
            <w:r w:rsidRPr="008B6A75">
              <w:rPr>
                <w:sz w:val="20"/>
                <w:szCs w:val="20"/>
              </w:rPr>
              <w:t>410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76DE2E" w14:textId="77777777" w:rsidR="00387142" w:rsidRPr="008B6A75" w:rsidRDefault="00387142" w:rsidP="00387142">
            <w:pPr>
              <w:jc w:val="right"/>
              <w:rPr>
                <w:sz w:val="20"/>
                <w:szCs w:val="20"/>
              </w:rPr>
            </w:pPr>
            <w:r w:rsidRPr="008B6A75">
              <w:rPr>
                <w:sz w:val="20"/>
                <w:szCs w:val="20"/>
              </w:rPr>
              <w:t>79 541 980,00</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4736369E" w14:textId="77777777" w:rsidR="00387142" w:rsidRPr="008B6A75" w:rsidRDefault="00387142" w:rsidP="00387142">
            <w:pPr>
              <w:jc w:val="right"/>
              <w:rPr>
                <w:sz w:val="20"/>
                <w:szCs w:val="20"/>
              </w:rPr>
            </w:pPr>
            <w:r w:rsidRPr="008B6A75">
              <w:rPr>
                <w:sz w:val="20"/>
                <w:szCs w:val="20"/>
              </w:rPr>
              <w:t>63 677 180,00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DA362D" w14:textId="77777777" w:rsidR="00387142" w:rsidRPr="008B6A75" w:rsidRDefault="00387142" w:rsidP="00387142">
            <w:pPr>
              <w:jc w:val="right"/>
              <w:rPr>
                <w:sz w:val="20"/>
                <w:szCs w:val="20"/>
              </w:rPr>
            </w:pPr>
            <w:r w:rsidRPr="008B6A75">
              <w:rPr>
                <w:sz w:val="20"/>
                <w:szCs w:val="20"/>
              </w:rPr>
              <w:t>0,00</w:t>
            </w:r>
          </w:p>
        </w:tc>
        <w:tc>
          <w:tcPr>
            <w:tcW w:w="222" w:type="dxa"/>
            <w:vAlign w:val="center"/>
            <w:hideMark/>
          </w:tcPr>
          <w:p w14:paraId="1F5D099B" w14:textId="77777777" w:rsidR="00387142" w:rsidRPr="008B6A75" w:rsidRDefault="00387142" w:rsidP="00387142">
            <w:pPr>
              <w:rPr>
                <w:sz w:val="20"/>
                <w:szCs w:val="20"/>
              </w:rPr>
            </w:pPr>
          </w:p>
        </w:tc>
      </w:tr>
      <w:tr w:rsidR="00387142" w:rsidRPr="008B6A75" w14:paraId="76762151" w14:textId="77777777" w:rsidTr="00387142">
        <w:trPr>
          <w:trHeight w:val="2295"/>
        </w:trPr>
        <w:tc>
          <w:tcPr>
            <w:tcW w:w="3021" w:type="dxa"/>
            <w:tcBorders>
              <w:top w:val="nil"/>
              <w:left w:val="single" w:sz="4" w:space="0" w:color="auto"/>
              <w:bottom w:val="nil"/>
              <w:right w:val="nil"/>
            </w:tcBorders>
            <w:shd w:val="clear" w:color="auto" w:fill="auto"/>
            <w:vAlign w:val="center"/>
            <w:hideMark/>
          </w:tcPr>
          <w:p w14:paraId="572D6B9E" w14:textId="77777777" w:rsidR="00387142" w:rsidRPr="008B6A75" w:rsidRDefault="00387142" w:rsidP="00387142">
            <w:pPr>
              <w:rPr>
                <w:bCs/>
                <w:sz w:val="20"/>
                <w:szCs w:val="20"/>
              </w:rPr>
            </w:pPr>
            <w:proofErr w:type="spellStart"/>
            <w:r w:rsidRPr="008B6A75">
              <w:rPr>
                <w:bCs/>
                <w:sz w:val="20"/>
                <w:szCs w:val="20"/>
              </w:rPr>
              <w:lastRenderedPageBreak/>
              <w:t>Софинансирование</w:t>
            </w:r>
            <w:proofErr w:type="spellEnd"/>
            <w:r w:rsidRPr="008B6A75">
              <w:rPr>
                <w:bCs/>
                <w:sz w:val="20"/>
                <w:szCs w:val="20"/>
              </w:rPr>
              <w:t xml:space="preserve"> местного бюджета на реализацию мероприятий по строительству и реконструкции объектов централизованных систем холодного водоснабжения и водоотведения подпрограммы "Чистая вода" государственной программы Новосибирской области "Жилищно-коммунальное хозяйство Новосибирской области"</w:t>
            </w:r>
          </w:p>
        </w:tc>
        <w:tc>
          <w:tcPr>
            <w:tcW w:w="850" w:type="dxa"/>
            <w:tcBorders>
              <w:top w:val="nil"/>
              <w:left w:val="single" w:sz="4" w:space="0" w:color="auto"/>
              <w:bottom w:val="nil"/>
              <w:right w:val="nil"/>
            </w:tcBorders>
            <w:shd w:val="clear" w:color="auto" w:fill="auto"/>
            <w:noWrap/>
            <w:vAlign w:val="center"/>
            <w:hideMark/>
          </w:tcPr>
          <w:p w14:paraId="048661E5" w14:textId="77777777" w:rsidR="00387142" w:rsidRPr="008B6A75" w:rsidRDefault="00387142" w:rsidP="00387142">
            <w:pPr>
              <w:jc w:val="center"/>
              <w:rPr>
                <w:bCs/>
                <w:sz w:val="20"/>
                <w:szCs w:val="20"/>
              </w:rPr>
            </w:pPr>
            <w:r w:rsidRPr="008B6A75">
              <w:rPr>
                <w:bCs/>
                <w:sz w:val="20"/>
                <w:szCs w:val="20"/>
              </w:rPr>
              <w:t>444</w:t>
            </w:r>
          </w:p>
        </w:tc>
        <w:tc>
          <w:tcPr>
            <w:tcW w:w="709" w:type="dxa"/>
            <w:tcBorders>
              <w:top w:val="nil"/>
              <w:left w:val="single" w:sz="4" w:space="0" w:color="auto"/>
              <w:bottom w:val="nil"/>
              <w:right w:val="nil"/>
            </w:tcBorders>
            <w:shd w:val="clear" w:color="auto" w:fill="auto"/>
            <w:noWrap/>
            <w:vAlign w:val="center"/>
            <w:hideMark/>
          </w:tcPr>
          <w:p w14:paraId="32664B56" w14:textId="77777777" w:rsidR="00387142" w:rsidRPr="008B6A75" w:rsidRDefault="00387142" w:rsidP="00387142">
            <w:pPr>
              <w:jc w:val="center"/>
              <w:rPr>
                <w:bCs/>
                <w:sz w:val="20"/>
                <w:szCs w:val="20"/>
              </w:rPr>
            </w:pPr>
            <w:r w:rsidRPr="008B6A75">
              <w:rPr>
                <w:bCs/>
                <w:sz w:val="20"/>
                <w:szCs w:val="20"/>
              </w:rPr>
              <w:t>05</w:t>
            </w:r>
          </w:p>
        </w:tc>
        <w:tc>
          <w:tcPr>
            <w:tcW w:w="709" w:type="dxa"/>
            <w:tcBorders>
              <w:top w:val="nil"/>
              <w:left w:val="single" w:sz="4" w:space="0" w:color="auto"/>
              <w:bottom w:val="nil"/>
              <w:right w:val="single" w:sz="4" w:space="0" w:color="auto"/>
            </w:tcBorders>
            <w:shd w:val="clear" w:color="auto" w:fill="auto"/>
            <w:noWrap/>
            <w:vAlign w:val="center"/>
            <w:hideMark/>
          </w:tcPr>
          <w:p w14:paraId="1964DE1D" w14:textId="77777777" w:rsidR="00387142" w:rsidRPr="008B6A75" w:rsidRDefault="00387142" w:rsidP="00387142">
            <w:pPr>
              <w:jc w:val="center"/>
              <w:rPr>
                <w:bCs/>
                <w:sz w:val="20"/>
                <w:szCs w:val="20"/>
              </w:rPr>
            </w:pPr>
            <w:r w:rsidRPr="008B6A75">
              <w:rPr>
                <w:bCs/>
                <w:sz w:val="20"/>
                <w:szCs w:val="20"/>
              </w:rPr>
              <w:t>02</w:t>
            </w:r>
          </w:p>
        </w:tc>
        <w:tc>
          <w:tcPr>
            <w:tcW w:w="1411" w:type="dxa"/>
            <w:tcBorders>
              <w:top w:val="nil"/>
              <w:left w:val="single" w:sz="4" w:space="0" w:color="auto"/>
              <w:bottom w:val="nil"/>
              <w:right w:val="nil"/>
            </w:tcBorders>
            <w:shd w:val="clear" w:color="auto" w:fill="auto"/>
            <w:noWrap/>
            <w:vAlign w:val="center"/>
            <w:hideMark/>
          </w:tcPr>
          <w:p w14:paraId="4DA9B708" w14:textId="77777777" w:rsidR="00387142" w:rsidRPr="008B6A75" w:rsidRDefault="00387142" w:rsidP="00387142">
            <w:pPr>
              <w:jc w:val="center"/>
              <w:rPr>
                <w:bCs/>
                <w:sz w:val="20"/>
                <w:szCs w:val="20"/>
              </w:rPr>
            </w:pPr>
            <w:r w:rsidRPr="008B6A75">
              <w:rPr>
                <w:bCs/>
                <w:sz w:val="20"/>
                <w:szCs w:val="20"/>
              </w:rPr>
              <w:t>17.1.00.S0640</w:t>
            </w:r>
          </w:p>
        </w:tc>
        <w:tc>
          <w:tcPr>
            <w:tcW w:w="955" w:type="dxa"/>
            <w:tcBorders>
              <w:top w:val="nil"/>
              <w:left w:val="single" w:sz="4" w:space="0" w:color="auto"/>
              <w:bottom w:val="nil"/>
              <w:right w:val="single" w:sz="4" w:space="0" w:color="auto"/>
            </w:tcBorders>
            <w:shd w:val="clear" w:color="auto" w:fill="auto"/>
            <w:noWrap/>
            <w:vAlign w:val="center"/>
            <w:hideMark/>
          </w:tcPr>
          <w:p w14:paraId="02DF861A"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nil"/>
              <w:right w:val="single" w:sz="4" w:space="0" w:color="auto"/>
            </w:tcBorders>
            <w:shd w:val="clear" w:color="auto" w:fill="auto"/>
            <w:noWrap/>
            <w:vAlign w:val="center"/>
            <w:hideMark/>
          </w:tcPr>
          <w:p w14:paraId="54283EE7" w14:textId="77777777" w:rsidR="00387142" w:rsidRPr="008B6A75" w:rsidRDefault="00387142" w:rsidP="00387142">
            <w:pPr>
              <w:jc w:val="right"/>
              <w:rPr>
                <w:bCs/>
                <w:sz w:val="20"/>
                <w:szCs w:val="20"/>
              </w:rPr>
            </w:pPr>
            <w:r w:rsidRPr="008B6A75">
              <w:rPr>
                <w:bCs/>
                <w:sz w:val="20"/>
                <w:szCs w:val="20"/>
              </w:rPr>
              <w:t>1 623 334,29</w:t>
            </w:r>
          </w:p>
        </w:tc>
        <w:tc>
          <w:tcPr>
            <w:tcW w:w="992" w:type="dxa"/>
            <w:gridSpan w:val="2"/>
            <w:tcBorders>
              <w:top w:val="nil"/>
              <w:left w:val="single" w:sz="4" w:space="0" w:color="auto"/>
              <w:bottom w:val="nil"/>
              <w:right w:val="nil"/>
            </w:tcBorders>
            <w:shd w:val="clear" w:color="auto" w:fill="auto"/>
            <w:noWrap/>
            <w:vAlign w:val="center"/>
            <w:hideMark/>
          </w:tcPr>
          <w:p w14:paraId="27020B40" w14:textId="77777777" w:rsidR="00387142" w:rsidRPr="008B6A75" w:rsidRDefault="00387142" w:rsidP="00387142">
            <w:pPr>
              <w:jc w:val="right"/>
              <w:rPr>
                <w:bCs/>
                <w:sz w:val="20"/>
                <w:szCs w:val="20"/>
              </w:rPr>
            </w:pPr>
            <w:r w:rsidRPr="008B6A75">
              <w:rPr>
                <w:bCs/>
                <w:sz w:val="20"/>
                <w:szCs w:val="20"/>
              </w:rPr>
              <w:t>1 299 534,29</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14764CE0" w14:textId="77777777" w:rsidR="00387142" w:rsidRPr="008B6A75" w:rsidRDefault="00387142" w:rsidP="00387142">
            <w:pPr>
              <w:jc w:val="right"/>
              <w:rPr>
                <w:bCs/>
                <w:sz w:val="20"/>
                <w:szCs w:val="20"/>
              </w:rPr>
            </w:pPr>
            <w:r w:rsidRPr="008B6A75">
              <w:rPr>
                <w:bCs/>
                <w:sz w:val="20"/>
                <w:szCs w:val="20"/>
              </w:rPr>
              <w:t>0,00</w:t>
            </w:r>
          </w:p>
        </w:tc>
        <w:tc>
          <w:tcPr>
            <w:tcW w:w="222" w:type="dxa"/>
            <w:vAlign w:val="center"/>
            <w:hideMark/>
          </w:tcPr>
          <w:p w14:paraId="196FF0D0" w14:textId="77777777" w:rsidR="00387142" w:rsidRPr="008B6A75" w:rsidRDefault="00387142" w:rsidP="00387142">
            <w:pPr>
              <w:rPr>
                <w:sz w:val="20"/>
                <w:szCs w:val="20"/>
              </w:rPr>
            </w:pPr>
          </w:p>
        </w:tc>
      </w:tr>
      <w:tr w:rsidR="00387142" w:rsidRPr="008B6A75" w14:paraId="3C923829" w14:textId="77777777" w:rsidTr="00387142">
        <w:trPr>
          <w:trHeight w:val="870"/>
        </w:trPr>
        <w:tc>
          <w:tcPr>
            <w:tcW w:w="3021" w:type="dxa"/>
            <w:tcBorders>
              <w:top w:val="single" w:sz="4" w:space="0" w:color="auto"/>
              <w:left w:val="single" w:sz="4" w:space="0" w:color="auto"/>
              <w:bottom w:val="nil"/>
              <w:right w:val="nil"/>
            </w:tcBorders>
            <w:shd w:val="clear" w:color="auto" w:fill="auto"/>
            <w:vAlign w:val="center"/>
            <w:hideMark/>
          </w:tcPr>
          <w:p w14:paraId="2CE924C0" w14:textId="77777777" w:rsidR="00387142" w:rsidRPr="008B6A75" w:rsidRDefault="00387142" w:rsidP="00387142">
            <w:pPr>
              <w:rPr>
                <w:sz w:val="20"/>
                <w:szCs w:val="20"/>
              </w:rPr>
            </w:pPr>
            <w:r w:rsidRPr="008B6A75">
              <w:rPr>
                <w:sz w:val="20"/>
                <w:szCs w:val="20"/>
              </w:rPr>
              <w:t>Капитальные вложения в объекты государственной (муниципальной) собственности</w:t>
            </w:r>
          </w:p>
        </w:tc>
        <w:tc>
          <w:tcPr>
            <w:tcW w:w="850" w:type="dxa"/>
            <w:tcBorders>
              <w:top w:val="single" w:sz="4" w:space="0" w:color="auto"/>
              <w:left w:val="single" w:sz="4" w:space="0" w:color="auto"/>
              <w:bottom w:val="nil"/>
              <w:right w:val="nil"/>
            </w:tcBorders>
            <w:shd w:val="clear" w:color="auto" w:fill="auto"/>
            <w:noWrap/>
            <w:vAlign w:val="center"/>
            <w:hideMark/>
          </w:tcPr>
          <w:p w14:paraId="0733AB33" w14:textId="77777777" w:rsidR="00387142" w:rsidRPr="008B6A75" w:rsidRDefault="00387142" w:rsidP="00387142">
            <w:pPr>
              <w:jc w:val="center"/>
              <w:rPr>
                <w:sz w:val="20"/>
                <w:szCs w:val="20"/>
              </w:rPr>
            </w:pPr>
            <w:r w:rsidRPr="008B6A75">
              <w:rPr>
                <w:sz w:val="20"/>
                <w:szCs w:val="20"/>
              </w:rPr>
              <w:t>444</w:t>
            </w:r>
          </w:p>
        </w:tc>
        <w:tc>
          <w:tcPr>
            <w:tcW w:w="709" w:type="dxa"/>
            <w:tcBorders>
              <w:top w:val="single" w:sz="4" w:space="0" w:color="auto"/>
              <w:left w:val="single" w:sz="4" w:space="0" w:color="auto"/>
              <w:bottom w:val="nil"/>
              <w:right w:val="nil"/>
            </w:tcBorders>
            <w:shd w:val="clear" w:color="auto" w:fill="auto"/>
            <w:noWrap/>
            <w:vAlign w:val="center"/>
            <w:hideMark/>
          </w:tcPr>
          <w:p w14:paraId="643B8803" w14:textId="77777777" w:rsidR="00387142" w:rsidRPr="008B6A75" w:rsidRDefault="00387142" w:rsidP="00387142">
            <w:pPr>
              <w:jc w:val="center"/>
              <w:rPr>
                <w:sz w:val="20"/>
                <w:szCs w:val="20"/>
              </w:rPr>
            </w:pPr>
            <w:r w:rsidRPr="008B6A75">
              <w:rPr>
                <w:sz w:val="20"/>
                <w:szCs w:val="20"/>
              </w:rPr>
              <w:t>05</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5ADDB5AD" w14:textId="77777777" w:rsidR="00387142" w:rsidRPr="008B6A75" w:rsidRDefault="00387142" w:rsidP="00387142">
            <w:pPr>
              <w:jc w:val="center"/>
              <w:rPr>
                <w:sz w:val="20"/>
                <w:szCs w:val="20"/>
              </w:rPr>
            </w:pPr>
            <w:r w:rsidRPr="008B6A75">
              <w:rPr>
                <w:sz w:val="20"/>
                <w:szCs w:val="20"/>
              </w:rPr>
              <w:t>02</w:t>
            </w:r>
          </w:p>
        </w:tc>
        <w:tc>
          <w:tcPr>
            <w:tcW w:w="1411" w:type="dxa"/>
            <w:tcBorders>
              <w:top w:val="single" w:sz="4" w:space="0" w:color="auto"/>
              <w:left w:val="single" w:sz="4" w:space="0" w:color="auto"/>
              <w:bottom w:val="nil"/>
              <w:right w:val="nil"/>
            </w:tcBorders>
            <w:shd w:val="clear" w:color="auto" w:fill="auto"/>
            <w:noWrap/>
            <w:vAlign w:val="center"/>
            <w:hideMark/>
          </w:tcPr>
          <w:p w14:paraId="068F9ED8" w14:textId="77777777" w:rsidR="00387142" w:rsidRPr="008B6A75" w:rsidRDefault="00387142" w:rsidP="00387142">
            <w:pPr>
              <w:jc w:val="center"/>
              <w:rPr>
                <w:sz w:val="20"/>
                <w:szCs w:val="20"/>
              </w:rPr>
            </w:pPr>
            <w:r w:rsidRPr="008B6A75">
              <w:rPr>
                <w:sz w:val="20"/>
                <w:szCs w:val="20"/>
              </w:rPr>
              <w:t>17.1.00.S0640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4ECD74A6" w14:textId="77777777" w:rsidR="00387142" w:rsidRPr="008B6A75" w:rsidRDefault="00387142" w:rsidP="00387142">
            <w:pPr>
              <w:jc w:val="center"/>
              <w:rPr>
                <w:sz w:val="20"/>
                <w:szCs w:val="20"/>
              </w:rPr>
            </w:pPr>
            <w:r w:rsidRPr="008B6A75">
              <w:rPr>
                <w:sz w:val="20"/>
                <w:szCs w:val="20"/>
              </w:rPr>
              <w:t>400</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3B00D647" w14:textId="77777777" w:rsidR="00387142" w:rsidRPr="008B6A75" w:rsidRDefault="00387142" w:rsidP="00387142">
            <w:pPr>
              <w:jc w:val="right"/>
              <w:rPr>
                <w:sz w:val="20"/>
                <w:szCs w:val="20"/>
              </w:rPr>
            </w:pPr>
            <w:r w:rsidRPr="008B6A75">
              <w:rPr>
                <w:sz w:val="20"/>
                <w:szCs w:val="20"/>
              </w:rPr>
              <w:t>1 623 334,29</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2A2930B2" w14:textId="77777777" w:rsidR="00387142" w:rsidRPr="008B6A75" w:rsidRDefault="00387142" w:rsidP="00387142">
            <w:pPr>
              <w:jc w:val="right"/>
              <w:rPr>
                <w:sz w:val="20"/>
                <w:szCs w:val="20"/>
              </w:rPr>
            </w:pPr>
            <w:r w:rsidRPr="008B6A75">
              <w:rPr>
                <w:sz w:val="20"/>
                <w:szCs w:val="20"/>
              </w:rPr>
              <w:t>1 299 534,29</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093DDA69" w14:textId="77777777" w:rsidR="00387142" w:rsidRPr="008B6A75" w:rsidRDefault="00387142" w:rsidP="00387142">
            <w:pPr>
              <w:jc w:val="right"/>
              <w:rPr>
                <w:sz w:val="20"/>
                <w:szCs w:val="20"/>
              </w:rPr>
            </w:pPr>
            <w:r w:rsidRPr="008B6A75">
              <w:rPr>
                <w:sz w:val="20"/>
                <w:szCs w:val="20"/>
              </w:rPr>
              <w:t>0,00</w:t>
            </w:r>
          </w:p>
        </w:tc>
        <w:tc>
          <w:tcPr>
            <w:tcW w:w="222" w:type="dxa"/>
            <w:vAlign w:val="center"/>
            <w:hideMark/>
          </w:tcPr>
          <w:p w14:paraId="24F09509" w14:textId="77777777" w:rsidR="00387142" w:rsidRPr="008B6A75" w:rsidRDefault="00387142" w:rsidP="00387142">
            <w:pPr>
              <w:rPr>
                <w:sz w:val="20"/>
                <w:szCs w:val="20"/>
              </w:rPr>
            </w:pPr>
          </w:p>
        </w:tc>
      </w:tr>
      <w:tr w:rsidR="00387142" w:rsidRPr="008B6A75" w14:paraId="14A6D6F7" w14:textId="77777777" w:rsidTr="00387142">
        <w:trPr>
          <w:trHeight w:val="300"/>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50815815" w14:textId="77777777" w:rsidR="00387142" w:rsidRPr="008B6A75" w:rsidRDefault="00387142" w:rsidP="00387142">
            <w:pPr>
              <w:rPr>
                <w:sz w:val="20"/>
                <w:szCs w:val="20"/>
              </w:rPr>
            </w:pPr>
            <w:r w:rsidRPr="008B6A75">
              <w:rPr>
                <w:sz w:val="20"/>
                <w:szCs w:val="20"/>
              </w:rPr>
              <w:t>Бюджетные инвестиции</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0D1CF9A5" w14:textId="77777777" w:rsidR="00387142" w:rsidRPr="008B6A75" w:rsidRDefault="00387142" w:rsidP="00387142">
            <w:pPr>
              <w:jc w:val="center"/>
              <w:rPr>
                <w:sz w:val="20"/>
                <w:szCs w:val="20"/>
              </w:rPr>
            </w:pPr>
            <w:r w:rsidRPr="008B6A75">
              <w:rPr>
                <w:sz w:val="20"/>
                <w:szCs w:val="20"/>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2BA1E484" w14:textId="77777777" w:rsidR="00387142" w:rsidRPr="008B6A75" w:rsidRDefault="00387142" w:rsidP="00387142">
            <w:pPr>
              <w:jc w:val="center"/>
              <w:rPr>
                <w:sz w:val="20"/>
                <w:szCs w:val="20"/>
              </w:rPr>
            </w:pPr>
            <w:r w:rsidRPr="008B6A75">
              <w:rPr>
                <w:sz w:val="20"/>
                <w:szCs w:val="20"/>
              </w:rPr>
              <w:t>05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C870EB" w14:textId="77777777" w:rsidR="00387142" w:rsidRPr="008B6A75" w:rsidRDefault="00387142" w:rsidP="00387142">
            <w:pPr>
              <w:jc w:val="center"/>
              <w:rPr>
                <w:sz w:val="20"/>
                <w:szCs w:val="20"/>
              </w:rPr>
            </w:pPr>
            <w:r w:rsidRPr="008B6A75">
              <w:rPr>
                <w:sz w:val="20"/>
                <w:szCs w:val="20"/>
              </w:rPr>
              <w:t>02</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30A0E6D3" w14:textId="77777777" w:rsidR="00387142" w:rsidRPr="008B6A75" w:rsidRDefault="00387142" w:rsidP="00387142">
            <w:pPr>
              <w:jc w:val="center"/>
              <w:rPr>
                <w:sz w:val="20"/>
                <w:szCs w:val="20"/>
              </w:rPr>
            </w:pPr>
            <w:r w:rsidRPr="008B6A75">
              <w:rPr>
                <w:sz w:val="20"/>
                <w:szCs w:val="20"/>
              </w:rPr>
              <w:t>17.1.00.S0640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C40572" w14:textId="77777777" w:rsidR="00387142" w:rsidRPr="008B6A75" w:rsidRDefault="00387142" w:rsidP="00387142">
            <w:pPr>
              <w:jc w:val="center"/>
              <w:rPr>
                <w:sz w:val="20"/>
                <w:szCs w:val="20"/>
              </w:rPr>
            </w:pPr>
            <w:r w:rsidRPr="008B6A75">
              <w:rPr>
                <w:sz w:val="20"/>
                <w:szCs w:val="20"/>
              </w:rPr>
              <w:t>410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11A342" w14:textId="77777777" w:rsidR="00387142" w:rsidRPr="008B6A75" w:rsidRDefault="00387142" w:rsidP="00387142">
            <w:pPr>
              <w:jc w:val="right"/>
              <w:rPr>
                <w:sz w:val="20"/>
                <w:szCs w:val="20"/>
              </w:rPr>
            </w:pPr>
            <w:r w:rsidRPr="008B6A75">
              <w:rPr>
                <w:sz w:val="20"/>
                <w:szCs w:val="20"/>
              </w:rPr>
              <w:t>1 623 334,29</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0DB0E156" w14:textId="77777777" w:rsidR="00387142" w:rsidRPr="008B6A75" w:rsidRDefault="00387142" w:rsidP="00387142">
            <w:pPr>
              <w:jc w:val="right"/>
              <w:rPr>
                <w:sz w:val="20"/>
                <w:szCs w:val="20"/>
              </w:rPr>
            </w:pPr>
            <w:r w:rsidRPr="008B6A75">
              <w:rPr>
                <w:sz w:val="20"/>
                <w:szCs w:val="20"/>
              </w:rPr>
              <w:t>1 299 534,29</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C16939" w14:textId="77777777" w:rsidR="00387142" w:rsidRPr="008B6A75" w:rsidRDefault="00387142" w:rsidP="00387142">
            <w:pPr>
              <w:jc w:val="right"/>
              <w:rPr>
                <w:sz w:val="20"/>
                <w:szCs w:val="20"/>
              </w:rPr>
            </w:pPr>
            <w:r w:rsidRPr="008B6A75">
              <w:rPr>
                <w:sz w:val="20"/>
                <w:szCs w:val="20"/>
              </w:rPr>
              <w:t>0,00</w:t>
            </w:r>
          </w:p>
        </w:tc>
        <w:tc>
          <w:tcPr>
            <w:tcW w:w="222" w:type="dxa"/>
            <w:vAlign w:val="center"/>
            <w:hideMark/>
          </w:tcPr>
          <w:p w14:paraId="77EE8665" w14:textId="77777777" w:rsidR="00387142" w:rsidRPr="008B6A75" w:rsidRDefault="00387142" w:rsidP="00387142">
            <w:pPr>
              <w:rPr>
                <w:sz w:val="20"/>
                <w:szCs w:val="20"/>
              </w:rPr>
            </w:pPr>
          </w:p>
        </w:tc>
      </w:tr>
      <w:tr w:rsidR="00387142" w:rsidRPr="008B6A75" w14:paraId="1A6E5B13" w14:textId="77777777" w:rsidTr="00387142">
        <w:trPr>
          <w:trHeight w:val="870"/>
        </w:trPr>
        <w:tc>
          <w:tcPr>
            <w:tcW w:w="3021" w:type="dxa"/>
            <w:tcBorders>
              <w:top w:val="nil"/>
              <w:left w:val="single" w:sz="4" w:space="0" w:color="auto"/>
              <w:bottom w:val="nil"/>
              <w:right w:val="nil"/>
            </w:tcBorders>
            <w:shd w:val="clear" w:color="auto" w:fill="auto"/>
            <w:vAlign w:val="center"/>
            <w:hideMark/>
          </w:tcPr>
          <w:p w14:paraId="5F918863" w14:textId="77777777" w:rsidR="00387142" w:rsidRPr="008B6A75" w:rsidRDefault="00387142" w:rsidP="00387142">
            <w:pPr>
              <w:rPr>
                <w:bCs/>
                <w:sz w:val="20"/>
                <w:szCs w:val="20"/>
              </w:rPr>
            </w:pPr>
            <w:r w:rsidRPr="008B6A75">
              <w:rPr>
                <w:bCs/>
                <w:sz w:val="20"/>
                <w:szCs w:val="20"/>
              </w:rPr>
              <w:t>Подпрограмма "Безопасность жилищно-коммунального хозяйства Куйбышевского района"</w:t>
            </w:r>
          </w:p>
        </w:tc>
        <w:tc>
          <w:tcPr>
            <w:tcW w:w="850" w:type="dxa"/>
            <w:tcBorders>
              <w:top w:val="nil"/>
              <w:left w:val="single" w:sz="4" w:space="0" w:color="auto"/>
              <w:bottom w:val="nil"/>
              <w:right w:val="nil"/>
            </w:tcBorders>
            <w:shd w:val="clear" w:color="auto" w:fill="auto"/>
            <w:noWrap/>
            <w:vAlign w:val="center"/>
            <w:hideMark/>
          </w:tcPr>
          <w:p w14:paraId="6D2A22D1" w14:textId="77777777" w:rsidR="00387142" w:rsidRPr="008B6A75" w:rsidRDefault="00387142" w:rsidP="00387142">
            <w:pPr>
              <w:jc w:val="center"/>
              <w:rPr>
                <w:bCs/>
                <w:sz w:val="20"/>
                <w:szCs w:val="20"/>
              </w:rPr>
            </w:pPr>
            <w:r w:rsidRPr="008B6A75">
              <w:rPr>
                <w:bCs/>
                <w:sz w:val="20"/>
                <w:szCs w:val="20"/>
              </w:rPr>
              <w:t>444</w:t>
            </w:r>
          </w:p>
        </w:tc>
        <w:tc>
          <w:tcPr>
            <w:tcW w:w="709" w:type="dxa"/>
            <w:tcBorders>
              <w:top w:val="nil"/>
              <w:left w:val="single" w:sz="4" w:space="0" w:color="auto"/>
              <w:bottom w:val="nil"/>
              <w:right w:val="nil"/>
            </w:tcBorders>
            <w:shd w:val="clear" w:color="auto" w:fill="auto"/>
            <w:noWrap/>
            <w:vAlign w:val="center"/>
            <w:hideMark/>
          </w:tcPr>
          <w:p w14:paraId="04869880" w14:textId="77777777" w:rsidR="00387142" w:rsidRPr="008B6A75" w:rsidRDefault="00387142" w:rsidP="00387142">
            <w:pPr>
              <w:jc w:val="center"/>
              <w:rPr>
                <w:bCs/>
                <w:sz w:val="20"/>
                <w:szCs w:val="20"/>
              </w:rPr>
            </w:pPr>
            <w:r w:rsidRPr="008B6A75">
              <w:rPr>
                <w:bCs/>
                <w:sz w:val="20"/>
                <w:szCs w:val="20"/>
              </w:rPr>
              <w:t>05</w:t>
            </w:r>
          </w:p>
        </w:tc>
        <w:tc>
          <w:tcPr>
            <w:tcW w:w="709" w:type="dxa"/>
            <w:tcBorders>
              <w:top w:val="nil"/>
              <w:left w:val="single" w:sz="4" w:space="0" w:color="auto"/>
              <w:bottom w:val="nil"/>
              <w:right w:val="single" w:sz="4" w:space="0" w:color="auto"/>
            </w:tcBorders>
            <w:shd w:val="clear" w:color="auto" w:fill="auto"/>
            <w:noWrap/>
            <w:vAlign w:val="center"/>
            <w:hideMark/>
          </w:tcPr>
          <w:p w14:paraId="3A95219E" w14:textId="77777777" w:rsidR="00387142" w:rsidRPr="008B6A75" w:rsidRDefault="00387142" w:rsidP="00387142">
            <w:pPr>
              <w:jc w:val="center"/>
              <w:rPr>
                <w:bCs/>
                <w:sz w:val="20"/>
                <w:szCs w:val="20"/>
              </w:rPr>
            </w:pPr>
            <w:r w:rsidRPr="008B6A75">
              <w:rPr>
                <w:bCs/>
                <w:sz w:val="20"/>
                <w:szCs w:val="20"/>
              </w:rPr>
              <w:t>02</w:t>
            </w:r>
          </w:p>
        </w:tc>
        <w:tc>
          <w:tcPr>
            <w:tcW w:w="1411" w:type="dxa"/>
            <w:tcBorders>
              <w:top w:val="nil"/>
              <w:left w:val="single" w:sz="4" w:space="0" w:color="auto"/>
              <w:bottom w:val="nil"/>
              <w:right w:val="nil"/>
            </w:tcBorders>
            <w:shd w:val="clear" w:color="auto" w:fill="auto"/>
            <w:noWrap/>
            <w:vAlign w:val="center"/>
            <w:hideMark/>
          </w:tcPr>
          <w:p w14:paraId="0637904E" w14:textId="77777777" w:rsidR="00387142" w:rsidRPr="008B6A75" w:rsidRDefault="00387142" w:rsidP="00387142">
            <w:pPr>
              <w:jc w:val="center"/>
              <w:rPr>
                <w:bCs/>
                <w:sz w:val="20"/>
                <w:szCs w:val="20"/>
              </w:rPr>
            </w:pPr>
            <w:r w:rsidRPr="008B6A75">
              <w:rPr>
                <w:bCs/>
                <w:sz w:val="20"/>
                <w:szCs w:val="20"/>
              </w:rPr>
              <w:t>17.3.00.00000</w:t>
            </w:r>
          </w:p>
        </w:tc>
        <w:tc>
          <w:tcPr>
            <w:tcW w:w="955" w:type="dxa"/>
            <w:tcBorders>
              <w:top w:val="nil"/>
              <w:left w:val="single" w:sz="4" w:space="0" w:color="auto"/>
              <w:bottom w:val="nil"/>
              <w:right w:val="single" w:sz="4" w:space="0" w:color="auto"/>
            </w:tcBorders>
            <w:shd w:val="clear" w:color="auto" w:fill="auto"/>
            <w:noWrap/>
            <w:vAlign w:val="center"/>
            <w:hideMark/>
          </w:tcPr>
          <w:p w14:paraId="1CA7B503"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nil"/>
              <w:right w:val="single" w:sz="4" w:space="0" w:color="auto"/>
            </w:tcBorders>
            <w:shd w:val="clear" w:color="auto" w:fill="auto"/>
            <w:noWrap/>
            <w:vAlign w:val="center"/>
            <w:hideMark/>
          </w:tcPr>
          <w:p w14:paraId="68D8022A" w14:textId="77777777" w:rsidR="00387142" w:rsidRPr="008B6A75" w:rsidRDefault="00387142" w:rsidP="00387142">
            <w:pPr>
              <w:jc w:val="right"/>
              <w:rPr>
                <w:bCs/>
                <w:sz w:val="20"/>
                <w:szCs w:val="20"/>
              </w:rPr>
            </w:pPr>
            <w:r w:rsidRPr="008B6A75">
              <w:rPr>
                <w:bCs/>
                <w:sz w:val="20"/>
                <w:szCs w:val="20"/>
              </w:rPr>
              <w:t>40 037 344,93</w:t>
            </w:r>
          </w:p>
        </w:tc>
        <w:tc>
          <w:tcPr>
            <w:tcW w:w="992" w:type="dxa"/>
            <w:gridSpan w:val="2"/>
            <w:tcBorders>
              <w:top w:val="nil"/>
              <w:left w:val="single" w:sz="4" w:space="0" w:color="auto"/>
              <w:bottom w:val="nil"/>
              <w:right w:val="nil"/>
            </w:tcBorders>
            <w:shd w:val="clear" w:color="auto" w:fill="auto"/>
            <w:noWrap/>
            <w:vAlign w:val="center"/>
            <w:hideMark/>
          </w:tcPr>
          <w:p w14:paraId="41D7E970" w14:textId="77777777" w:rsidR="00387142" w:rsidRPr="008B6A75" w:rsidRDefault="00387142" w:rsidP="00387142">
            <w:pPr>
              <w:jc w:val="right"/>
              <w:rPr>
                <w:bCs/>
                <w:sz w:val="20"/>
                <w:szCs w:val="20"/>
              </w:rPr>
            </w:pPr>
            <w:r w:rsidRPr="008B6A75">
              <w:rPr>
                <w:bCs/>
                <w:sz w:val="20"/>
                <w:szCs w:val="20"/>
              </w:rPr>
              <w:t>35 604 160,00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132341E9" w14:textId="77777777" w:rsidR="00387142" w:rsidRPr="008B6A75" w:rsidRDefault="00387142" w:rsidP="00387142">
            <w:pPr>
              <w:jc w:val="right"/>
              <w:rPr>
                <w:bCs/>
                <w:sz w:val="20"/>
                <w:szCs w:val="20"/>
              </w:rPr>
            </w:pPr>
            <w:r w:rsidRPr="008B6A75">
              <w:rPr>
                <w:bCs/>
                <w:sz w:val="20"/>
                <w:szCs w:val="20"/>
              </w:rPr>
              <w:t>35 604 160,00</w:t>
            </w:r>
          </w:p>
        </w:tc>
        <w:tc>
          <w:tcPr>
            <w:tcW w:w="222" w:type="dxa"/>
            <w:vAlign w:val="center"/>
            <w:hideMark/>
          </w:tcPr>
          <w:p w14:paraId="4AA4416A" w14:textId="77777777" w:rsidR="00387142" w:rsidRPr="008B6A75" w:rsidRDefault="00387142" w:rsidP="00387142">
            <w:pPr>
              <w:rPr>
                <w:sz w:val="20"/>
                <w:szCs w:val="20"/>
              </w:rPr>
            </w:pPr>
          </w:p>
        </w:tc>
      </w:tr>
      <w:tr w:rsidR="00387142" w:rsidRPr="008B6A75" w14:paraId="0A43D684" w14:textId="77777777" w:rsidTr="00387142">
        <w:trPr>
          <w:trHeight w:val="2295"/>
        </w:trPr>
        <w:tc>
          <w:tcPr>
            <w:tcW w:w="3021" w:type="dxa"/>
            <w:tcBorders>
              <w:top w:val="single" w:sz="4" w:space="0" w:color="auto"/>
              <w:left w:val="single" w:sz="4" w:space="0" w:color="auto"/>
              <w:bottom w:val="nil"/>
              <w:right w:val="nil"/>
            </w:tcBorders>
            <w:shd w:val="clear" w:color="auto" w:fill="auto"/>
            <w:vAlign w:val="center"/>
            <w:hideMark/>
          </w:tcPr>
          <w:p w14:paraId="16A89A08" w14:textId="77777777" w:rsidR="00387142" w:rsidRPr="008B6A75" w:rsidRDefault="00387142" w:rsidP="00387142">
            <w:pPr>
              <w:rPr>
                <w:bCs/>
                <w:sz w:val="20"/>
                <w:szCs w:val="20"/>
              </w:rPr>
            </w:pPr>
            <w:r w:rsidRPr="008B6A75">
              <w:rPr>
                <w:bCs/>
                <w:sz w:val="20"/>
                <w:szCs w:val="20"/>
              </w:rPr>
              <w:t>Реализация мероприятий по организации функционирования систем жизнеобеспечения и снабжению населения топливом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w:t>
            </w:r>
          </w:p>
        </w:tc>
        <w:tc>
          <w:tcPr>
            <w:tcW w:w="850" w:type="dxa"/>
            <w:tcBorders>
              <w:top w:val="single" w:sz="4" w:space="0" w:color="auto"/>
              <w:left w:val="single" w:sz="4" w:space="0" w:color="auto"/>
              <w:bottom w:val="nil"/>
              <w:right w:val="nil"/>
            </w:tcBorders>
            <w:shd w:val="clear" w:color="auto" w:fill="auto"/>
            <w:noWrap/>
            <w:vAlign w:val="center"/>
            <w:hideMark/>
          </w:tcPr>
          <w:p w14:paraId="5D29EC3D" w14:textId="77777777" w:rsidR="00387142" w:rsidRPr="008B6A75" w:rsidRDefault="00387142" w:rsidP="00387142">
            <w:pPr>
              <w:jc w:val="center"/>
              <w:rPr>
                <w:bCs/>
                <w:sz w:val="20"/>
                <w:szCs w:val="20"/>
              </w:rPr>
            </w:pPr>
            <w:r w:rsidRPr="008B6A75">
              <w:rPr>
                <w:bCs/>
                <w:sz w:val="20"/>
                <w:szCs w:val="20"/>
              </w:rPr>
              <w:t>444</w:t>
            </w:r>
          </w:p>
        </w:tc>
        <w:tc>
          <w:tcPr>
            <w:tcW w:w="709" w:type="dxa"/>
            <w:tcBorders>
              <w:top w:val="single" w:sz="4" w:space="0" w:color="auto"/>
              <w:left w:val="single" w:sz="4" w:space="0" w:color="auto"/>
              <w:bottom w:val="nil"/>
              <w:right w:val="nil"/>
            </w:tcBorders>
            <w:shd w:val="clear" w:color="auto" w:fill="auto"/>
            <w:noWrap/>
            <w:vAlign w:val="center"/>
            <w:hideMark/>
          </w:tcPr>
          <w:p w14:paraId="2C58B701" w14:textId="77777777" w:rsidR="00387142" w:rsidRPr="008B6A75" w:rsidRDefault="00387142" w:rsidP="00387142">
            <w:pPr>
              <w:jc w:val="center"/>
              <w:rPr>
                <w:bCs/>
                <w:sz w:val="20"/>
                <w:szCs w:val="20"/>
              </w:rPr>
            </w:pPr>
            <w:r w:rsidRPr="008B6A75">
              <w:rPr>
                <w:bCs/>
                <w:sz w:val="20"/>
                <w:szCs w:val="20"/>
              </w:rPr>
              <w:t>05</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627168D8" w14:textId="77777777" w:rsidR="00387142" w:rsidRPr="008B6A75" w:rsidRDefault="00387142" w:rsidP="00387142">
            <w:pPr>
              <w:jc w:val="center"/>
              <w:rPr>
                <w:bCs/>
                <w:sz w:val="20"/>
                <w:szCs w:val="20"/>
              </w:rPr>
            </w:pPr>
            <w:r w:rsidRPr="008B6A75">
              <w:rPr>
                <w:bCs/>
                <w:sz w:val="20"/>
                <w:szCs w:val="20"/>
              </w:rPr>
              <w:t>02</w:t>
            </w:r>
          </w:p>
        </w:tc>
        <w:tc>
          <w:tcPr>
            <w:tcW w:w="1411" w:type="dxa"/>
            <w:tcBorders>
              <w:top w:val="single" w:sz="4" w:space="0" w:color="auto"/>
              <w:left w:val="single" w:sz="4" w:space="0" w:color="auto"/>
              <w:bottom w:val="nil"/>
              <w:right w:val="nil"/>
            </w:tcBorders>
            <w:shd w:val="clear" w:color="auto" w:fill="auto"/>
            <w:noWrap/>
            <w:vAlign w:val="center"/>
            <w:hideMark/>
          </w:tcPr>
          <w:p w14:paraId="33D00B40" w14:textId="77777777" w:rsidR="00387142" w:rsidRPr="008B6A75" w:rsidRDefault="00387142" w:rsidP="00387142">
            <w:pPr>
              <w:jc w:val="center"/>
              <w:rPr>
                <w:bCs/>
                <w:sz w:val="20"/>
                <w:szCs w:val="20"/>
              </w:rPr>
            </w:pPr>
            <w:r w:rsidRPr="008B6A75">
              <w:rPr>
                <w:bCs/>
                <w:sz w:val="20"/>
                <w:szCs w:val="20"/>
              </w:rPr>
              <w:t>17.3.00.70490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4F4C557D" w14:textId="77777777" w:rsidR="00387142" w:rsidRPr="008B6A75" w:rsidRDefault="00387142" w:rsidP="00387142">
            <w:pPr>
              <w:jc w:val="center"/>
              <w:rPr>
                <w:bCs/>
                <w:sz w:val="20"/>
                <w:szCs w:val="20"/>
              </w:rPr>
            </w:pPr>
            <w:r w:rsidRPr="008B6A75">
              <w:rPr>
                <w:bCs/>
                <w:sz w:val="20"/>
                <w:szCs w:val="20"/>
              </w:rPr>
              <w:t> </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3E7881F0" w14:textId="77777777" w:rsidR="00387142" w:rsidRPr="008B6A75" w:rsidRDefault="00387142" w:rsidP="00387142">
            <w:pPr>
              <w:jc w:val="right"/>
              <w:rPr>
                <w:bCs/>
                <w:sz w:val="20"/>
                <w:szCs w:val="20"/>
              </w:rPr>
            </w:pPr>
            <w:r w:rsidRPr="008B6A75">
              <w:rPr>
                <w:bCs/>
                <w:sz w:val="20"/>
                <w:szCs w:val="20"/>
              </w:rPr>
              <w:t>29 962 877,00</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301DB2C0" w14:textId="77777777" w:rsidR="00387142" w:rsidRPr="008B6A75" w:rsidRDefault="00387142" w:rsidP="00387142">
            <w:pPr>
              <w:jc w:val="right"/>
              <w:rPr>
                <w:bCs/>
                <w:sz w:val="20"/>
                <w:szCs w:val="20"/>
              </w:rPr>
            </w:pPr>
            <w:r w:rsidRPr="008B6A75">
              <w:rPr>
                <w:bCs/>
                <w:sz w:val="20"/>
                <w:szCs w:val="20"/>
              </w:rPr>
              <w:t>25 952 760,00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7E5F2C10" w14:textId="77777777" w:rsidR="00387142" w:rsidRPr="008B6A75" w:rsidRDefault="00387142" w:rsidP="00387142">
            <w:pPr>
              <w:jc w:val="right"/>
              <w:rPr>
                <w:bCs/>
                <w:sz w:val="20"/>
                <w:szCs w:val="20"/>
              </w:rPr>
            </w:pPr>
            <w:r w:rsidRPr="008B6A75">
              <w:rPr>
                <w:bCs/>
                <w:sz w:val="20"/>
                <w:szCs w:val="20"/>
              </w:rPr>
              <w:t>25 952 760,00</w:t>
            </w:r>
          </w:p>
        </w:tc>
        <w:tc>
          <w:tcPr>
            <w:tcW w:w="222" w:type="dxa"/>
            <w:vAlign w:val="center"/>
            <w:hideMark/>
          </w:tcPr>
          <w:p w14:paraId="242A6A7C" w14:textId="77777777" w:rsidR="00387142" w:rsidRPr="008B6A75" w:rsidRDefault="00387142" w:rsidP="00387142">
            <w:pPr>
              <w:rPr>
                <w:sz w:val="20"/>
                <w:szCs w:val="20"/>
              </w:rPr>
            </w:pPr>
          </w:p>
        </w:tc>
      </w:tr>
      <w:tr w:rsidR="00387142" w:rsidRPr="008B6A75" w14:paraId="06533D3A" w14:textId="77777777" w:rsidTr="00387142">
        <w:trPr>
          <w:trHeight w:val="300"/>
        </w:trPr>
        <w:tc>
          <w:tcPr>
            <w:tcW w:w="3021" w:type="dxa"/>
            <w:tcBorders>
              <w:top w:val="single" w:sz="4" w:space="0" w:color="auto"/>
              <w:left w:val="single" w:sz="4" w:space="0" w:color="auto"/>
              <w:bottom w:val="nil"/>
              <w:right w:val="nil"/>
            </w:tcBorders>
            <w:shd w:val="clear" w:color="auto" w:fill="auto"/>
            <w:vAlign w:val="center"/>
            <w:hideMark/>
          </w:tcPr>
          <w:p w14:paraId="678933A8" w14:textId="77777777" w:rsidR="00387142" w:rsidRPr="008B6A75" w:rsidRDefault="00387142" w:rsidP="00387142">
            <w:pPr>
              <w:rPr>
                <w:sz w:val="20"/>
                <w:szCs w:val="20"/>
              </w:rPr>
            </w:pPr>
            <w:r w:rsidRPr="008B6A75">
              <w:rPr>
                <w:sz w:val="20"/>
                <w:szCs w:val="20"/>
              </w:rPr>
              <w:t>Межбюджетные трансферты</w:t>
            </w:r>
          </w:p>
        </w:tc>
        <w:tc>
          <w:tcPr>
            <w:tcW w:w="850" w:type="dxa"/>
            <w:tcBorders>
              <w:top w:val="single" w:sz="4" w:space="0" w:color="auto"/>
              <w:left w:val="single" w:sz="4" w:space="0" w:color="auto"/>
              <w:bottom w:val="nil"/>
              <w:right w:val="nil"/>
            </w:tcBorders>
            <w:shd w:val="clear" w:color="auto" w:fill="auto"/>
            <w:noWrap/>
            <w:vAlign w:val="center"/>
            <w:hideMark/>
          </w:tcPr>
          <w:p w14:paraId="158FAC98" w14:textId="77777777" w:rsidR="00387142" w:rsidRPr="008B6A75" w:rsidRDefault="00387142" w:rsidP="00387142">
            <w:pPr>
              <w:jc w:val="center"/>
              <w:rPr>
                <w:sz w:val="20"/>
                <w:szCs w:val="20"/>
              </w:rPr>
            </w:pPr>
            <w:r w:rsidRPr="008B6A75">
              <w:rPr>
                <w:sz w:val="20"/>
                <w:szCs w:val="20"/>
              </w:rPr>
              <w:t>444</w:t>
            </w:r>
          </w:p>
        </w:tc>
        <w:tc>
          <w:tcPr>
            <w:tcW w:w="709" w:type="dxa"/>
            <w:tcBorders>
              <w:top w:val="single" w:sz="4" w:space="0" w:color="auto"/>
              <w:left w:val="single" w:sz="4" w:space="0" w:color="auto"/>
              <w:bottom w:val="nil"/>
              <w:right w:val="nil"/>
            </w:tcBorders>
            <w:shd w:val="clear" w:color="auto" w:fill="auto"/>
            <w:noWrap/>
            <w:vAlign w:val="center"/>
            <w:hideMark/>
          </w:tcPr>
          <w:p w14:paraId="43DD00A9" w14:textId="77777777" w:rsidR="00387142" w:rsidRPr="008B6A75" w:rsidRDefault="00387142" w:rsidP="00387142">
            <w:pPr>
              <w:jc w:val="center"/>
              <w:rPr>
                <w:sz w:val="20"/>
                <w:szCs w:val="20"/>
              </w:rPr>
            </w:pPr>
            <w:r w:rsidRPr="008B6A75">
              <w:rPr>
                <w:sz w:val="20"/>
                <w:szCs w:val="20"/>
              </w:rPr>
              <w:t>05</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106F2B24" w14:textId="77777777" w:rsidR="00387142" w:rsidRPr="008B6A75" w:rsidRDefault="00387142" w:rsidP="00387142">
            <w:pPr>
              <w:jc w:val="center"/>
              <w:rPr>
                <w:sz w:val="20"/>
                <w:szCs w:val="20"/>
              </w:rPr>
            </w:pPr>
            <w:r w:rsidRPr="008B6A75">
              <w:rPr>
                <w:sz w:val="20"/>
                <w:szCs w:val="20"/>
              </w:rPr>
              <w:t>02</w:t>
            </w:r>
          </w:p>
        </w:tc>
        <w:tc>
          <w:tcPr>
            <w:tcW w:w="1411" w:type="dxa"/>
            <w:tcBorders>
              <w:top w:val="single" w:sz="4" w:space="0" w:color="auto"/>
              <w:left w:val="single" w:sz="4" w:space="0" w:color="auto"/>
              <w:bottom w:val="nil"/>
              <w:right w:val="nil"/>
            </w:tcBorders>
            <w:shd w:val="clear" w:color="auto" w:fill="auto"/>
            <w:noWrap/>
            <w:vAlign w:val="center"/>
            <w:hideMark/>
          </w:tcPr>
          <w:p w14:paraId="13D6AC18" w14:textId="77777777" w:rsidR="00387142" w:rsidRPr="008B6A75" w:rsidRDefault="00387142" w:rsidP="00387142">
            <w:pPr>
              <w:jc w:val="center"/>
              <w:rPr>
                <w:sz w:val="20"/>
                <w:szCs w:val="20"/>
              </w:rPr>
            </w:pPr>
            <w:r w:rsidRPr="008B6A75">
              <w:rPr>
                <w:sz w:val="20"/>
                <w:szCs w:val="20"/>
              </w:rPr>
              <w:t>17.3.00.70490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2D94C80C" w14:textId="77777777" w:rsidR="00387142" w:rsidRPr="008B6A75" w:rsidRDefault="00387142" w:rsidP="00387142">
            <w:pPr>
              <w:jc w:val="center"/>
              <w:rPr>
                <w:sz w:val="20"/>
                <w:szCs w:val="20"/>
              </w:rPr>
            </w:pPr>
            <w:r w:rsidRPr="008B6A75">
              <w:rPr>
                <w:sz w:val="20"/>
                <w:szCs w:val="20"/>
              </w:rPr>
              <w:t>500</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3FCB3818" w14:textId="77777777" w:rsidR="00387142" w:rsidRPr="008B6A75" w:rsidRDefault="00387142" w:rsidP="00387142">
            <w:pPr>
              <w:jc w:val="right"/>
              <w:rPr>
                <w:sz w:val="20"/>
                <w:szCs w:val="20"/>
              </w:rPr>
            </w:pPr>
            <w:r w:rsidRPr="008B6A75">
              <w:rPr>
                <w:sz w:val="20"/>
                <w:szCs w:val="20"/>
              </w:rPr>
              <w:t>12 916 217,00</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7233D259" w14:textId="77777777" w:rsidR="00387142" w:rsidRPr="008B6A75" w:rsidRDefault="00387142" w:rsidP="00387142">
            <w:pPr>
              <w:jc w:val="right"/>
              <w:rPr>
                <w:sz w:val="20"/>
                <w:szCs w:val="20"/>
              </w:rPr>
            </w:pPr>
            <w:r w:rsidRPr="008B6A75">
              <w:rPr>
                <w:sz w:val="20"/>
                <w:szCs w:val="20"/>
              </w:rPr>
              <w:t>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4919942C" w14:textId="77777777" w:rsidR="00387142" w:rsidRPr="008B6A75" w:rsidRDefault="00387142" w:rsidP="00387142">
            <w:pPr>
              <w:jc w:val="right"/>
              <w:rPr>
                <w:sz w:val="20"/>
                <w:szCs w:val="20"/>
              </w:rPr>
            </w:pPr>
            <w:r w:rsidRPr="008B6A75">
              <w:rPr>
                <w:sz w:val="20"/>
                <w:szCs w:val="20"/>
              </w:rPr>
              <w:t>0,00</w:t>
            </w:r>
          </w:p>
        </w:tc>
        <w:tc>
          <w:tcPr>
            <w:tcW w:w="222" w:type="dxa"/>
            <w:vAlign w:val="center"/>
            <w:hideMark/>
          </w:tcPr>
          <w:p w14:paraId="75562EED" w14:textId="77777777" w:rsidR="00387142" w:rsidRPr="008B6A75" w:rsidRDefault="00387142" w:rsidP="00387142">
            <w:pPr>
              <w:rPr>
                <w:sz w:val="20"/>
                <w:szCs w:val="20"/>
              </w:rPr>
            </w:pPr>
          </w:p>
        </w:tc>
      </w:tr>
      <w:tr w:rsidR="00387142" w:rsidRPr="008B6A75" w14:paraId="4FCBA308" w14:textId="77777777" w:rsidTr="00387142">
        <w:trPr>
          <w:trHeight w:val="300"/>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426088C0" w14:textId="77777777" w:rsidR="00387142" w:rsidRPr="008B6A75" w:rsidRDefault="00387142" w:rsidP="00387142">
            <w:pPr>
              <w:rPr>
                <w:sz w:val="20"/>
                <w:szCs w:val="20"/>
              </w:rPr>
            </w:pPr>
            <w:r w:rsidRPr="008B6A75">
              <w:rPr>
                <w:sz w:val="20"/>
                <w:szCs w:val="20"/>
              </w:rPr>
              <w:t>Субсидии</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0C6B0DD0" w14:textId="77777777" w:rsidR="00387142" w:rsidRPr="008B6A75" w:rsidRDefault="00387142" w:rsidP="00387142">
            <w:pPr>
              <w:jc w:val="center"/>
              <w:rPr>
                <w:sz w:val="20"/>
                <w:szCs w:val="20"/>
              </w:rPr>
            </w:pPr>
            <w:r w:rsidRPr="008B6A75">
              <w:rPr>
                <w:sz w:val="20"/>
                <w:szCs w:val="20"/>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01FD92CC" w14:textId="77777777" w:rsidR="00387142" w:rsidRPr="008B6A75" w:rsidRDefault="00387142" w:rsidP="00387142">
            <w:pPr>
              <w:jc w:val="center"/>
              <w:rPr>
                <w:sz w:val="20"/>
                <w:szCs w:val="20"/>
              </w:rPr>
            </w:pPr>
            <w:r w:rsidRPr="008B6A75">
              <w:rPr>
                <w:sz w:val="20"/>
                <w:szCs w:val="20"/>
              </w:rPr>
              <w:t>05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F5525B" w14:textId="77777777" w:rsidR="00387142" w:rsidRPr="008B6A75" w:rsidRDefault="00387142" w:rsidP="00387142">
            <w:pPr>
              <w:jc w:val="center"/>
              <w:rPr>
                <w:sz w:val="20"/>
                <w:szCs w:val="20"/>
              </w:rPr>
            </w:pPr>
            <w:r w:rsidRPr="008B6A75">
              <w:rPr>
                <w:sz w:val="20"/>
                <w:szCs w:val="20"/>
              </w:rPr>
              <w:t>02</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19655A62" w14:textId="77777777" w:rsidR="00387142" w:rsidRPr="008B6A75" w:rsidRDefault="00387142" w:rsidP="00387142">
            <w:pPr>
              <w:jc w:val="center"/>
              <w:rPr>
                <w:sz w:val="20"/>
                <w:szCs w:val="20"/>
              </w:rPr>
            </w:pPr>
            <w:r w:rsidRPr="008B6A75">
              <w:rPr>
                <w:sz w:val="20"/>
                <w:szCs w:val="20"/>
              </w:rPr>
              <w:t>17.3.00.70490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492C9A" w14:textId="77777777" w:rsidR="00387142" w:rsidRPr="008B6A75" w:rsidRDefault="00387142" w:rsidP="00387142">
            <w:pPr>
              <w:jc w:val="center"/>
              <w:rPr>
                <w:sz w:val="20"/>
                <w:szCs w:val="20"/>
              </w:rPr>
            </w:pPr>
            <w:r w:rsidRPr="008B6A75">
              <w:rPr>
                <w:sz w:val="20"/>
                <w:szCs w:val="20"/>
              </w:rPr>
              <w:t>520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410954" w14:textId="77777777" w:rsidR="00387142" w:rsidRPr="008B6A75" w:rsidRDefault="00387142" w:rsidP="00387142">
            <w:pPr>
              <w:jc w:val="right"/>
              <w:rPr>
                <w:sz w:val="20"/>
                <w:szCs w:val="20"/>
              </w:rPr>
            </w:pPr>
            <w:r w:rsidRPr="008B6A75">
              <w:rPr>
                <w:sz w:val="20"/>
                <w:szCs w:val="20"/>
              </w:rPr>
              <w:t>12 916 217,00</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440FBF3F" w14:textId="77777777" w:rsidR="00387142" w:rsidRPr="008B6A75" w:rsidRDefault="00387142" w:rsidP="00387142">
            <w:pPr>
              <w:jc w:val="right"/>
              <w:rPr>
                <w:sz w:val="20"/>
                <w:szCs w:val="20"/>
              </w:rPr>
            </w:pPr>
            <w:r w:rsidRPr="008B6A75">
              <w:rPr>
                <w:sz w:val="20"/>
                <w:szCs w:val="20"/>
              </w:rPr>
              <w:t>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28A4BC" w14:textId="77777777" w:rsidR="00387142" w:rsidRPr="008B6A75" w:rsidRDefault="00387142" w:rsidP="00387142">
            <w:pPr>
              <w:jc w:val="right"/>
              <w:rPr>
                <w:sz w:val="20"/>
                <w:szCs w:val="20"/>
              </w:rPr>
            </w:pPr>
            <w:r w:rsidRPr="008B6A75">
              <w:rPr>
                <w:sz w:val="20"/>
                <w:szCs w:val="20"/>
              </w:rPr>
              <w:t>0,00</w:t>
            </w:r>
          </w:p>
        </w:tc>
        <w:tc>
          <w:tcPr>
            <w:tcW w:w="222" w:type="dxa"/>
            <w:vAlign w:val="center"/>
            <w:hideMark/>
          </w:tcPr>
          <w:p w14:paraId="514499C3" w14:textId="77777777" w:rsidR="00387142" w:rsidRPr="008B6A75" w:rsidRDefault="00387142" w:rsidP="00387142">
            <w:pPr>
              <w:rPr>
                <w:sz w:val="20"/>
                <w:szCs w:val="20"/>
              </w:rPr>
            </w:pPr>
          </w:p>
        </w:tc>
      </w:tr>
      <w:tr w:rsidR="00387142" w:rsidRPr="008B6A75" w14:paraId="5833E7D4" w14:textId="77777777" w:rsidTr="00387142">
        <w:trPr>
          <w:trHeight w:val="300"/>
        </w:trPr>
        <w:tc>
          <w:tcPr>
            <w:tcW w:w="3021" w:type="dxa"/>
            <w:tcBorders>
              <w:top w:val="nil"/>
              <w:left w:val="single" w:sz="4" w:space="0" w:color="auto"/>
              <w:bottom w:val="nil"/>
              <w:right w:val="nil"/>
            </w:tcBorders>
            <w:shd w:val="clear" w:color="auto" w:fill="auto"/>
            <w:vAlign w:val="center"/>
            <w:hideMark/>
          </w:tcPr>
          <w:p w14:paraId="523A57E6" w14:textId="77777777" w:rsidR="00387142" w:rsidRPr="008B6A75" w:rsidRDefault="00387142" w:rsidP="00387142">
            <w:pPr>
              <w:rPr>
                <w:sz w:val="20"/>
                <w:szCs w:val="20"/>
              </w:rPr>
            </w:pPr>
            <w:r w:rsidRPr="008B6A75">
              <w:rPr>
                <w:sz w:val="20"/>
                <w:szCs w:val="20"/>
              </w:rPr>
              <w:t>Иные бюджетные ассигнования</w:t>
            </w:r>
          </w:p>
        </w:tc>
        <w:tc>
          <w:tcPr>
            <w:tcW w:w="850" w:type="dxa"/>
            <w:tcBorders>
              <w:top w:val="nil"/>
              <w:left w:val="single" w:sz="4" w:space="0" w:color="auto"/>
              <w:bottom w:val="nil"/>
              <w:right w:val="nil"/>
            </w:tcBorders>
            <w:shd w:val="clear" w:color="auto" w:fill="auto"/>
            <w:noWrap/>
            <w:vAlign w:val="center"/>
            <w:hideMark/>
          </w:tcPr>
          <w:p w14:paraId="234B0546" w14:textId="77777777" w:rsidR="00387142" w:rsidRPr="008B6A75" w:rsidRDefault="00387142" w:rsidP="00387142">
            <w:pPr>
              <w:jc w:val="center"/>
              <w:rPr>
                <w:sz w:val="20"/>
                <w:szCs w:val="20"/>
              </w:rPr>
            </w:pPr>
            <w:r w:rsidRPr="008B6A75">
              <w:rPr>
                <w:sz w:val="20"/>
                <w:szCs w:val="20"/>
              </w:rPr>
              <w:t>444</w:t>
            </w:r>
          </w:p>
        </w:tc>
        <w:tc>
          <w:tcPr>
            <w:tcW w:w="709" w:type="dxa"/>
            <w:tcBorders>
              <w:top w:val="nil"/>
              <w:left w:val="single" w:sz="4" w:space="0" w:color="auto"/>
              <w:bottom w:val="nil"/>
              <w:right w:val="nil"/>
            </w:tcBorders>
            <w:shd w:val="clear" w:color="auto" w:fill="auto"/>
            <w:noWrap/>
            <w:vAlign w:val="center"/>
            <w:hideMark/>
          </w:tcPr>
          <w:p w14:paraId="1016056E" w14:textId="77777777" w:rsidR="00387142" w:rsidRPr="008B6A75" w:rsidRDefault="00387142" w:rsidP="00387142">
            <w:pPr>
              <w:jc w:val="center"/>
              <w:rPr>
                <w:sz w:val="20"/>
                <w:szCs w:val="20"/>
              </w:rPr>
            </w:pPr>
            <w:r w:rsidRPr="008B6A75">
              <w:rPr>
                <w:sz w:val="20"/>
                <w:szCs w:val="20"/>
              </w:rPr>
              <w:t>05</w:t>
            </w:r>
          </w:p>
        </w:tc>
        <w:tc>
          <w:tcPr>
            <w:tcW w:w="709" w:type="dxa"/>
            <w:tcBorders>
              <w:top w:val="nil"/>
              <w:left w:val="single" w:sz="4" w:space="0" w:color="auto"/>
              <w:bottom w:val="nil"/>
              <w:right w:val="single" w:sz="4" w:space="0" w:color="auto"/>
            </w:tcBorders>
            <w:shd w:val="clear" w:color="auto" w:fill="auto"/>
            <w:noWrap/>
            <w:vAlign w:val="center"/>
            <w:hideMark/>
          </w:tcPr>
          <w:p w14:paraId="37DB0CE0" w14:textId="77777777" w:rsidR="00387142" w:rsidRPr="008B6A75" w:rsidRDefault="00387142" w:rsidP="00387142">
            <w:pPr>
              <w:jc w:val="center"/>
              <w:rPr>
                <w:sz w:val="20"/>
                <w:szCs w:val="20"/>
              </w:rPr>
            </w:pPr>
            <w:r w:rsidRPr="008B6A75">
              <w:rPr>
                <w:sz w:val="20"/>
                <w:szCs w:val="20"/>
              </w:rPr>
              <w:t>02</w:t>
            </w:r>
          </w:p>
        </w:tc>
        <w:tc>
          <w:tcPr>
            <w:tcW w:w="1411" w:type="dxa"/>
            <w:tcBorders>
              <w:top w:val="nil"/>
              <w:left w:val="single" w:sz="4" w:space="0" w:color="auto"/>
              <w:bottom w:val="nil"/>
              <w:right w:val="nil"/>
            </w:tcBorders>
            <w:shd w:val="clear" w:color="auto" w:fill="auto"/>
            <w:noWrap/>
            <w:vAlign w:val="center"/>
            <w:hideMark/>
          </w:tcPr>
          <w:p w14:paraId="6989C4E4" w14:textId="77777777" w:rsidR="00387142" w:rsidRPr="008B6A75" w:rsidRDefault="00387142" w:rsidP="00387142">
            <w:pPr>
              <w:jc w:val="center"/>
              <w:rPr>
                <w:sz w:val="20"/>
                <w:szCs w:val="20"/>
              </w:rPr>
            </w:pPr>
            <w:r w:rsidRPr="008B6A75">
              <w:rPr>
                <w:sz w:val="20"/>
                <w:szCs w:val="20"/>
              </w:rPr>
              <w:t>17.3.00.70490</w:t>
            </w:r>
          </w:p>
        </w:tc>
        <w:tc>
          <w:tcPr>
            <w:tcW w:w="955" w:type="dxa"/>
            <w:tcBorders>
              <w:top w:val="nil"/>
              <w:left w:val="single" w:sz="4" w:space="0" w:color="auto"/>
              <w:bottom w:val="nil"/>
              <w:right w:val="single" w:sz="4" w:space="0" w:color="auto"/>
            </w:tcBorders>
            <w:shd w:val="clear" w:color="auto" w:fill="auto"/>
            <w:noWrap/>
            <w:vAlign w:val="center"/>
            <w:hideMark/>
          </w:tcPr>
          <w:p w14:paraId="65533EA9" w14:textId="77777777" w:rsidR="00387142" w:rsidRPr="008B6A75" w:rsidRDefault="00387142" w:rsidP="00387142">
            <w:pPr>
              <w:jc w:val="center"/>
              <w:rPr>
                <w:sz w:val="20"/>
                <w:szCs w:val="20"/>
              </w:rPr>
            </w:pPr>
            <w:r w:rsidRPr="008B6A75">
              <w:rPr>
                <w:sz w:val="20"/>
                <w:szCs w:val="20"/>
              </w:rPr>
              <w:t>800</w:t>
            </w:r>
          </w:p>
        </w:tc>
        <w:tc>
          <w:tcPr>
            <w:tcW w:w="992" w:type="dxa"/>
            <w:tcBorders>
              <w:top w:val="nil"/>
              <w:left w:val="single" w:sz="4" w:space="0" w:color="auto"/>
              <w:bottom w:val="nil"/>
              <w:right w:val="single" w:sz="4" w:space="0" w:color="auto"/>
            </w:tcBorders>
            <w:shd w:val="clear" w:color="auto" w:fill="auto"/>
            <w:noWrap/>
            <w:vAlign w:val="center"/>
            <w:hideMark/>
          </w:tcPr>
          <w:p w14:paraId="4597BF72" w14:textId="77777777" w:rsidR="00387142" w:rsidRPr="008B6A75" w:rsidRDefault="00387142" w:rsidP="00387142">
            <w:pPr>
              <w:jc w:val="right"/>
              <w:rPr>
                <w:sz w:val="20"/>
                <w:szCs w:val="20"/>
              </w:rPr>
            </w:pPr>
            <w:r w:rsidRPr="008B6A75">
              <w:rPr>
                <w:sz w:val="20"/>
                <w:szCs w:val="20"/>
              </w:rPr>
              <w:t>17 046 660,00</w:t>
            </w:r>
          </w:p>
        </w:tc>
        <w:tc>
          <w:tcPr>
            <w:tcW w:w="992" w:type="dxa"/>
            <w:gridSpan w:val="2"/>
            <w:tcBorders>
              <w:top w:val="nil"/>
              <w:left w:val="single" w:sz="4" w:space="0" w:color="auto"/>
              <w:bottom w:val="nil"/>
              <w:right w:val="nil"/>
            </w:tcBorders>
            <w:shd w:val="clear" w:color="auto" w:fill="auto"/>
            <w:noWrap/>
            <w:vAlign w:val="center"/>
            <w:hideMark/>
          </w:tcPr>
          <w:p w14:paraId="69986163" w14:textId="77777777" w:rsidR="00387142" w:rsidRPr="008B6A75" w:rsidRDefault="00387142" w:rsidP="00387142">
            <w:pPr>
              <w:jc w:val="right"/>
              <w:rPr>
                <w:sz w:val="20"/>
                <w:szCs w:val="20"/>
              </w:rPr>
            </w:pPr>
            <w:r w:rsidRPr="008B6A75">
              <w:rPr>
                <w:sz w:val="20"/>
                <w:szCs w:val="20"/>
              </w:rPr>
              <w:t>25 952 760,00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15DCFF2A" w14:textId="77777777" w:rsidR="00387142" w:rsidRPr="008B6A75" w:rsidRDefault="00387142" w:rsidP="00387142">
            <w:pPr>
              <w:jc w:val="right"/>
              <w:rPr>
                <w:sz w:val="20"/>
                <w:szCs w:val="20"/>
              </w:rPr>
            </w:pPr>
            <w:r w:rsidRPr="008B6A75">
              <w:rPr>
                <w:sz w:val="20"/>
                <w:szCs w:val="20"/>
              </w:rPr>
              <w:t>25 952 760,00</w:t>
            </w:r>
          </w:p>
        </w:tc>
        <w:tc>
          <w:tcPr>
            <w:tcW w:w="222" w:type="dxa"/>
            <w:vAlign w:val="center"/>
            <w:hideMark/>
          </w:tcPr>
          <w:p w14:paraId="5A35ACD2" w14:textId="77777777" w:rsidR="00387142" w:rsidRPr="008B6A75" w:rsidRDefault="00387142" w:rsidP="00387142">
            <w:pPr>
              <w:rPr>
                <w:sz w:val="20"/>
                <w:szCs w:val="20"/>
              </w:rPr>
            </w:pPr>
          </w:p>
        </w:tc>
      </w:tr>
      <w:tr w:rsidR="00387142" w:rsidRPr="008B6A75" w14:paraId="1CBE88BA" w14:textId="77777777" w:rsidTr="00387142">
        <w:trPr>
          <w:trHeight w:val="1155"/>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5A518D4D" w14:textId="77777777" w:rsidR="00387142" w:rsidRPr="008B6A75" w:rsidRDefault="00387142" w:rsidP="00387142">
            <w:pPr>
              <w:rPr>
                <w:sz w:val="20"/>
                <w:szCs w:val="20"/>
              </w:rPr>
            </w:pPr>
            <w:r w:rsidRPr="008B6A75">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05A6A249" w14:textId="77777777" w:rsidR="00387142" w:rsidRPr="008B6A75" w:rsidRDefault="00387142" w:rsidP="00387142">
            <w:pPr>
              <w:jc w:val="center"/>
              <w:rPr>
                <w:sz w:val="20"/>
                <w:szCs w:val="20"/>
              </w:rPr>
            </w:pPr>
            <w:r w:rsidRPr="008B6A75">
              <w:rPr>
                <w:sz w:val="20"/>
                <w:szCs w:val="20"/>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64AC7FCB" w14:textId="77777777" w:rsidR="00387142" w:rsidRPr="008B6A75" w:rsidRDefault="00387142" w:rsidP="00387142">
            <w:pPr>
              <w:jc w:val="center"/>
              <w:rPr>
                <w:sz w:val="20"/>
                <w:szCs w:val="20"/>
              </w:rPr>
            </w:pPr>
            <w:r w:rsidRPr="008B6A75">
              <w:rPr>
                <w:sz w:val="20"/>
                <w:szCs w:val="20"/>
              </w:rPr>
              <w:t>05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AF6E34" w14:textId="77777777" w:rsidR="00387142" w:rsidRPr="008B6A75" w:rsidRDefault="00387142" w:rsidP="00387142">
            <w:pPr>
              <w:jc w:val="center"/>
              <w:rPr>
                <w:sz w:val="20"/>
                <w:szCs w:val="20"/>
              </w:rPr>
            </w:pPr>
            <w:r w:rsidRPr="008B6A75">
              <w:rPr>
                <w:sz w:val="20"/>
                <w:szCs w:val="20"/>
              </w:rPr>
              <w:t>02</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0D23AA78" w14:textId="77777777" w:rsidR="00387142" w:rsidRPr="008B6A75" w:rsidRDefault="00387142" w:rsidP="00387142">
            <w:pPr>
              <w:jc w:val="center"/>
              <w:rPr>
                <w:sz w:val="20"/>
                <w:szCs w:val="20"/>
              </w:rPr>
            </w:pPr>
            <w:r w:rsidRPr="008B6A75">
              <w:rPr>
                <w:sz w:val="20"/>
                <w:szCs w:val="20"/>
              </w:rPr>
              <w:t>17.3.00.70490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4F6E73" w14:textId="77777777" w:rsidR="00387142" w:rsidRPr="008B6A75" w:rsidRDefault="00387142" w:rsidP="00387142">
            <w:pPr>
              <w:jc w:val="center"/>
              <w:rPr>
                <w:sz w:val="20"/>
                <w:szCs w:val="20"/>
              </w:rPr>
            </w:pPr>
            <w:r w:rsidRPr="008B6A75">
              <w:rPr>
                <w:sz w:val="20"/>
                <w:szCs w:val="20"/>
              </w:rPr>
              <w:t>810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4CF5BC" w14:textId="77777777" w:rsidR="00387142" w:rsidRPr="008B6A75" w:rsidRDefault="00387142" w:rsidP="00387142">
            <w:pPr>
              <w:jc w:val="right"/>
              <w:rPr>
                <w:sz w:val="20"/>
                <w:szCs w:val="20"/>
              </w:rPr>
            </w:pPr>
            <w:r w:rsidRPr="008B6A75">
              <w:rPr>
                <w:sz w:val="20"/>
                <w:szCs w:val="20"/>
              </w:rPr>
              <w:t>17 046 660,00</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697C23D5" w14:textId="77777777" w:rsidR="00387142" w:rsidRPr="008B6A75" w:rsidRDefault="00387142" w:rsidP="00387142">
            <w:pPr>
              <w:jc w:val="right"/>
              <w:rPr>
                <w:sz w:val="20"/>
                <w:szCs w:val="20"/>
              </w:rPr>
            </w:pPr>
            <w:r w:rsidRPr="008B6A75">
              <w:rPr>
                <w:sz w:val="20"/>
                <w:szCs w:val="20"/>
              </w:rPr>
              <w:t>25 952 760,00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778A01" w14:textId="77777777" w:rsidR="00387142" w:rsidRPr="008B6A75" w:rsidRDefault="00387142" w:rsidP="00387142">
            <w:pPr>
              <w:jc w:val="right"/>
              <w:rPr>
                <w:sz w:val="20"/>
                <w:szCs w:val="20"/>
              </w:rPr>
            </w:pPr>
            <w:r w:rsidRPr="008B6A75">
              <w:rPr>
                <w:sz w:val="20"/>
                <w:szCs w:val="20"/>
              </w:rPr>
              <w:t>25 952 760,00</w:t>
            </w:r>
          </w:p>
        </w:tc>
        <w:tc>
          <w:tcPr>
            <w:tcW w:w="222" w:type="dxa"/>
            <w:vAlign w:val="center"/>
            <w:hideMark/>
          </w:tcPr>
          <w:p w14:paraId="36F62A38" w14:textId="77777777" w:rsidR="00387142" w:rsidRPr="008B6A75" w:rsidRDefault="00387142" w:rsidP="00387142">
            <w:pPr>
              <w:rPr>
                <w:sz w:val="20"/>
                <w:szCs w:val="20"/>
              </w:rPr>
            </w:pPr>
          </w:p>
        </w:tc>
      </w:tr>
      <w:tr w:rsidR="00387142" w:rsidRPr="008B6A75" w14:paraId="17DC9D51" w14:textId="77777777" w:rsidTr="00387142">
        <w:trPr>
          <w:trHeight w:val="2295"/>
        </w:trPr>
        <w:tc>
          <w:tcPr>
            <w:tcW w:w="3021" w:type="dxa"/>
            <w:tcBorders>
              <w:top w:val="nil"/>
              <w:left w:val="single" w:sz="4" w:space="0" w:color="auto"/>
              <w:bottom w:val="nil"/>
              <w:right w:val="nil"/>
            </w:tcBorders>
            <w:shd w:val="clear" w:color="auto" w:fill="auto"/>
            <w:vAlign w:val="center"/>
            <w:hideMark/>
          </w:tcPr>
          <w:p w14:paraId="54900E01" w14:textId="77777777" w:rsidR="00387142" w:rsidRPr="008B6A75" w:rsidRDefault="00387142" w:rsidP="00387142">
            <w:pPr>
              <w:rPr>
                <w:bCs/>
                <w:sz w:val="20"/>
                <w:szCs w:val="20"/>
              </w:rPr>
            </w:pPr>
            <w:r w:rsidRPr="008B6A75">
              <w:rPr>
                <w:bCs/>
                <w:sz w:val="20"/>
                <w:szCs w:val="20"/>
              </w:rPr>
              <w:t>Реализация мероприятий по организации бесперебойной работы объектов жизнедеятельности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w:t>
            </w:r>
          </w:p>
        </w:tc>
        <w:tc>
          <w:tcPr>
            <w:tcW w:w="850" w:type="dxa"/>
            <w:tcBorders>
              <w:top w:val="nil"/>
              <w:left w:val="single" w:sz="4" w:space="0" w:color="auto"/>
              <w:bottom w:val="nil"/>
              <w:right w:val="nil"/>
            </w:tcBorders>
            <w:shd w:val="clear" w:color="auto" w:fill="auto"/>
            <w:noWrap/>
            <w:vAlign w:val="center"/>
            <w:hideMark/>
          </w:tcPr>
          <w:p w14:paraId="35760C50" w14:textId="77777777" w:rsidR="00387142" w:rsidRPr="008B6A75" w:rsidRDefault="00387142" w:rsidP="00387142">
            <w:pPr>
              <w:jc w:val="center"/>
              <w:rPr>
                <w:bCs/>
                <w:sz w:val="20"/>
                <w:szCs w:val="20"/>
              </w:rPr>
            </w:pPr>
            <w:r w:rsidRPr="008B6A75">
              <w:rPr>
                <w:bCs/>
                <w:sz w:val="20"/>
                <w:szCs w:val="20"/>
              </w:rPr>
              <w:t>444</w:t>
            </w:r>
          </w:p>
        </w:tc>
        <w:tc>
          <w:tcPr>
            <w:tcW w:w="709" w:type="dxa"/>
            <w:tcBorders>
              <w:top w:val="nil"/>
              <w:left w:val="single" w:sz="4" w:space="0" w:color="auto"/>
              <w:bottom w:val="nil"/>
              <w:right w:val="nil"/>
            </w:tcBorders>
            <w:shd w:val="clear" w:color="auto" w:fill="auto"/>
            <w:noWrap/>
            <w:vAlign w:val="center"/>
            <w:hideMark/>
          </w:tcPr>
          <w:p w14:paraId="0CC32BA3" w14:textId="77777777" w:rsidR="00387142" w:rsidRPr="008B6A75" w:rsidRDefault="00387142" w:rsidP="00387142">
            <w:pPr>
              <w:jc w:val="center"/>
              <w:rPr>
                <w:bCs/>
                <w:sz w:val="20"/>
                <w:szCs w:val="20"/>
              </w:rPr>
            </w:pPr>
            <w:r w:rsidRPr="008B6A75">
              <w:rPr>
                <w:bCs/>
                <w:sz w:val="20"/>
                <w:szCs w:val="20"/>
              </w:rPr>
              <w:t>05</w:t>
            </w:r>
          </w:p>
        </w:tc>
        <w:tc>
          <w:tcPr>
            <w:tcW w:w="709" w:type="dxa"/>
            <w:tcBorders>
              <w:top w:val="nil"/>
              <w:left w:val="single" w:sz="4" w:space="0" w:color="auto"/>
              <w:bottom w:val="nil"/>
              <w:right w:val="single" w:sz="4" w:space="0" w:color="auto"/>
            </w:tcBorders>
            <w:shd w:val="clear" w:color="auto" w:fill="auto"/>
            <w:noWrap/>
            <w:vAlign w:val="center"/>
            <w:hideMark/>
          </w:tcPr>
          <w:p w14:paraId="366DC623" w14:textId="77777777" w:rsidR="00387142" w:rsidRPr="008B6A75" w:rsidRDefault="00387142" w:rsidP="00387142">
            <w:pPr>
              <w:jc w:val="center"/>
              <w:rPr>
                <w:bCs/>
                <w:sz w:val="20"/>
                <w:szCs w:val="20"/>
              </w:rPr>
            </w:pPr>
            <w:r w:rsidRPr="008B6A75">
              <w:rPr>
                <w:bCs/>
                <w:sz w:val="20"/>
                <w:szCs w:val="20"/>
              </w:rPr>
              <w:t>02</w:t>
            </w:r>
          </w:p>
        </w:tc>
        <w:tc>
          <w:tcPr>
            <w:tcW w:w="1411" w:type="dxa"/>
            <w:tcBorders>
              <w:top w:val="nil"/>
              <w:left w:val="single" w:sz="4" w:space="0" w:color="auto"/>
              <w:bottom w:val="nil"/>
              <w:right w:val="nil"/>
            </w:tcBorders>
            <w:shd w:val="clear" w:color="auto" w:fill="auto"/>
            <w:noWrap/>
            <w:vAlign w:val="center"/>
            <w:hideMark/>
          </w:tcPr>
          <w:p w14:paraId="2C56EFDA" w14:textId="77777777" w:rsidR="00387142" w:rsidRPr="008B6A75" w:rsidRDefault="00387142" w:rsidP="00387142">
            <w:pPr>
              <w:jc w:val="center"/>
              <w:rPr>
                <w:bCs/>
                <w:sz w:val="20"/>
                <w:szCs w:val="20"/>
              </w:rPr>
            </w:pPr>
            <w:r w:rsidRPr="008B6A75">
              <w:rPr>
                <w:bCs/>
                <w:sz w:val="20"/>
                <w:szCs w:val="20"/>
              </w:rPr>
              <w:t>17.3.00.70600</w:t>
            </w:r>
          </w:p>
        </w:tc>
        <w:tc>
          <w:tcPr>
            <w:tcW w:w="955" w:type="dxa"/>
            <w:tcBorders>
              <w:top w:val="nil"/>
              <w:left w:val="single" w:sz="4" w:space="0" w:color="auto"/>
              <w:bottom w:val="nil"/>
              <w:right w:val="single" w:sz="4" w:space="0" w:color="auto"/>
            </w:tcBorders>
            <w:shd w:val="clear" w:color="auto" w:fill="auto"/>
            <w:noWrap/>
            <w:vAlign w:val="center"/>
            <w:hideMark/>
          </w:tcPr>
          <w:p w14:paraId="1E3C4E72"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nil"/>
              <w:right w:val="single" w:sz="4" w:space="0" w:color="auto"/>
            </w:tcBorders>
            <w:shd w:val="clear" w:color="auto" w:fill="auto"/>
            <w:noWrap/>
            <w:vAlign w:val="center"/>
            <w:hideMark/>
          </w:tcPr>
          <w:p w14:paraId="0A9A3380" w14:textId="77777777" w:rsidR="00387142" w:rsidRPr="008B6A75" w:rsidRDefault="00387142" w:rsidP="00387142">
            <w:pPr>
              <w:jc w:val="right"/>
              <w:rPr>
                <w:bCs/>
                <w:sz w:val="20"/>
                <w:szCs w:val="20"/>
              </w:rPr>
            </w:pPr>
            <w:r w:rsidRPr="008B6A75">
              <w:rPr>
                <w:bCs/>
                <w:sz w:val="20"/>
                <w:szCs w:val="20"/>
              </w:rPr>
              <w:t>9 651 388,21</w:t>
            </w:r>
          </w:p>
        </w:tc>
        <w:tc>
          <w:tcPr>
            <w:tcW w:w="992" w:type="dxa"/>
            <w:gridSpan w:val="2"/>
            <w:tcBorders>
              <w:top w:val="nil"/>
              <w:left w:val="single" w:sz="4" w:space="0" w:color="auto"/>
              <w:bottom w:val="nil"/>
              <w:right w:val="nil"/>
            </w:tcBorders>
            <w:shd w:val="clear" w:color="auto" w:fill="auto"/>
            <w:noWrap/>
            <w:vAlign w:val="center"/>
            <w:hideMark/>
          </w:tcPr>
          <w:p w14:paraId="58B65EEF" w14:textId="77777777" w:rsidR="00387142" w:rsidRPr="008B6A75" w:rsidRDefault="00387142" w:rsidP="00387142">
            <w:pPr>
              <w:jc w:val="right"/>
              <w:rPr>
                <w:bCs/>
                <w:sz w:val="20"/>
                <w:szCs w:val="20"/>
              </w:rPr>
            </w:pPr>
            <w:r w:rsidRPr="008B6A75">
              <w:rPr>
                <w:bCs/>
                <w:sz w:val="20"/>
                <w:szCs w:val="20"/>
              </w:rPr>
              <w:t>9 651 400,00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6764E1D2" w14:textId="77777777" w:rsidR="00387142" w:rsidRPr="008B6A75" w:rsidRDefault="00387142" w:rsidP="00387142">
            <w:pPr>
              <w:jc w:val="right"/>
              <w:rPr>
                <w:bCs/>
                <w:sz w:val="20"/>
                <w:szCs w:val="20"/>
              </w:rPr>
            </w:pPr>
            <w:r w:rsidRPr="008B6A75">
              <w:rPr>
                <w:bCs/>
                <w:sz w:val="20"/>
                <w:szCs w:val="20"/>
              </w:rPr>
              <w:t>9 651 400,00</w:t>
            </w:r>
          </w:p>
        </w:tc>
        <w:tc>
          <w:tcPr>
            <w:tcW w:w="222" w:type="dxa"/>
            <w:vAlign w:val="center"/>
            <w:hideMark/>
          </w:tcPr>
          <w:p w14:paraId="24381DD1" w14:textId="77777777" w:rsidR="00387142" w:rsidRPr="008B6A75" w:rsidRDefault="00387142" w:rsidP="00387142">
            <w:pPr>
              <w:rPr>
                <w:sz w:val="20"/>
                <w:szCs w:val="20"/>
              </w:rPr>
            </w:pPr>
          </w:p>
        </w:tc>
      </w:tr>
      <w:tr w:rsidR="00387142" w:rsidRPr="008B6A75" w14:paraId="4932A351" w14:textId="77777777" w:rsidTr="00387142">
        <w:trPr>
          <w:trHeight w:val="300"/>
        </w:trPr>
        <w:tc>
          <w:tcPr>
            <w:tcW w:w="3021" w:type="dxa"/>
            <w:tcBorders>
              <w:top w:val="single" w:sz="4" w:space="0" w:color="auto"/>
              <w:left w:val="single" w:sz="4" w:space="0" w:color="auto"/>
              <w:bottom w:val="nil"/>
              <w:right w:val="nil"/>
            </w:tcBorders>
            <w:shd w:val="clear" w:color="auto" w:fill="auto"/>
            <w:vAlign w:val="center"/>
            <w:hideMark/>
          </w:tcPr>
          <w:p w14:paraId="058BDD5C" w14:textId="77777777" w:rsidR="00387142" w:rsidRPr="008B6A75" w:rsidRDefault="00387142" w:rsidP="00387142">
            <w:pPr>
              <w:rPr>
                <w:sz w:val="20"/>
                <w:szCs w:val="20"/>
              </w:rPr>
            </w:pPr>
            <w:r w:rsidRPr="008B6A75">
              <w:rPr>
                <w:sz w:val="20"/>
                <w:szCs w:val="20"/>
              </w:rPr>
              <w:t>Межбюджетные трансферты</w:t>
            </w:r>
          </w:p>
        </w:tc>
        <w:tc>
          <w:tcPr>
            <w:tcW w:w="850" w:type="dxa"/>
            <w:tcBorders>
              <w:top w:val="single" w:sz="4" w:space="0" w:color="auto"/>
              <w:left w:val="single" w:sz="4" w:space="0" w:color="auto"/>
              <w:bottom w:val="nil"/>
              <w:right w:val="nil"/>
            </w:tcBorders>
            <w:shd w:val="clear" w:color="auto" w:fill="auto"/>
            <w:noWrap/>
            <w:vAlign w:val="center"/>
            <w:hideMark/>
          </w:tcPr>
          <w:p w14:paraId="61B7B6FC" w14:textId="77777777" w:rsidR="00387142" w:rsidRPr="008B6A75" w:rsidRDefault="00387142" w:rsidP="00387142">
            <w:pPr>
              <w:jc w:val="center"/>
              <w:rPr>
                <w:sz w:val="20"/>
                <w:szCs w:val="20"/>
              </w:rPr>
            </w:pPr>
            <w:r w:rsidRPr="008B6A75">
              <w:rPr>
                <w:sz w:val="20"/>
                <w:szCs w:val="20"/>
              </w:rPr>
              <w:t>444</w:t>
            </w:r>
          </w:p>
        </w:tc>
        <w:tc>
          <w:tcPr>
            <w:tcW w:w="709" w:type="dxa"/>
            <w:tcBorders>
              <w:top w:val="single" w:sz="4" w:space="0" w:color="auto"/>
              <w:left w:val="single" w:sz="4" w:space="0" w:color="auto"/>
              <w:bottom w:val="nil"/>
              <w:right w:val="nil"/>
            </w:tcBorders>
            <w:shd w:val="clear" w:color="auto" w:fill="auto"/>
            <w:noWrap/>
            <w:vAlign w:val="center"/>
            <w:hideMark/>
          </w:tcPr>
          <w:p w14:paraId="5FF3D3F6" w14:textId="77777777" w:rsidR="00387142" w:rsidRPr="008B6A75" w:rsidRDefault="00387142" w:rsidP="00387142">
            <w:pPr>
              <w:jc w:val="center"/>
              <w:rPr>
                <w:sz w:val="20"/>
                <w:szCs w:val="20"/>
              </w:rPr>
            </w:pPr>
            <w:r w:rsidRPr="008B6A75">
              <w:rPr>
                <w:sz w:val="20"/>
                <w:szCs w:val="20"/>
              </w:rPr>
              <w:t>05</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28176C38" w14:textId="77777777" w:rsidR="00387142" w:rsidRPr="008B6A75" w:rsidRDefault="00387142" w:rsidP="00387142">
            <w:pPr>
              <w:jc w:val="center"/>
              <w:rPr>
                <w:sz w:val="20"/>
                <w:szCs w:val="20"/>
              </w:rPr>
            </w:pPr>
            <w:r w:rsidRPr="008B6A75">
              <w:rPr>
                <w:sz w:val="20"/>
                <w:szCs w:val="20"/>
              </w:rPr>
              <w:t>02</w:t>
            </w:r>
          </w:p>
        </w:tc>
        <w:tc>
          <w:tcPr>
            <w:tcW w:w="1411" w:type="dxa"/>
            <w:tcBorders>
              <w:top w:val="single" w:sz="4" w:space="0" w:color="auto"/>
              <w:left w:val="single" w:sz="4" w:space="0" w:color="auto"/>
              <w:bottom w:val="nil"/>
              <w:right w:val="nil"/>
            </w:tcBorders>
            <w:shd w:val="clear" w:color="auto" w:fill="auto"/>
            <w:noWrap/>
            <w:vAlign w:val="center"/>
            <w:hideMark/>
          </w:tcPr>
          <w:p w14:paraId="259F70BE" w14:textId="77777777" w:rsidR="00387142" w:rsidRPr="008B6A75" w:rsidRDefault="00387142" w:rsidP="00387142">
            <w:pPr>
              <w:jc w:val="center"/>
              <w:rPr>
                <w:sz w:val="20"/>
                <w:szCs w:val="20"/>
              </w:rPr>
            </w:pPr>
            <w:r w:rsidRPr="008B6A75">
              <w:rPr>
                <w:sz w:val="20"/>
                <w:szCs w:val="20"/>
              </w:rPr>
              <w:t>17.3.00.70600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70B4FF0A" w14:textId="77777777" w:rsidR="00387142" w:rsidRPr="008B6A75" w:rsidRDefault="00387142" w:rsidP="00387142">
            <w:pPr>
              <w:jc w:val="center"/>
              <w:rPr>
                <w:sz w:val="20"/>
                <w:szCs w:val="20"/>
              </w:rPr>
            </w:pPr>
            <w:r w:rsidRPr="008B6A75">
              <w:rPr>
                <w:sz w:val="20"/>
                <w:szCs w:val="20"/>
              </w:rPr>
              <w:t>500</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6AA9108D" w14:textId="77777777" w:rsidR="00387142" w:rsidRPr="008B6A75" w:rsidRDefault="00387142" w:rsidP="00387142">
            <w:pPr>
              <w:jc w:val="right"/>
              <w:rPr>
                <w:sz w:val="20"/>
                <w:szCs w:val="20"/>
              </w:rPr>
            </w:pPr>
            <w:r w:rsidRPr="008B6A75">
              <w:rPr>
                <w:sz w:val="20"/>
                <w:szCs w:val="20"/>
              </w:rPr>
              <w:t>1 922 500,00</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72ECDD0B" w14:textId="77777777" w:rsidR="00387142" w:rsidRPr="008B6A75" w:rsidRDefault="00387142" w:rsidP="00387142">
            <w:pPr>
              <w:jc w:val="right"/>
              <w:rPr>
                <w:sz w:val="20"/>
                <w:szCs w:val="20"/>
              </w:rPr>
            </w:pPr>
            <w:r w:rsidRPr="008B6A75">
              <w:rPr>
                <w:sz w:val="20"/>
                <w:szCs w:val="20"/>
              </w:rPr>
              <w:t>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03E8D773" w14:textId="77777777" w:rsidR="00387142" w:rsidRPr="008B6A75" w:rsidRDefault="00387142" w:rsidP="00387142">
            <w:pPr>
              <w:jc w:val="right"/>
              <w:rPr>
                <w:sz w:val="20"/>
                <w:szCs w:val="20"/>
              </w:rPr>
            </w:pPr>
            <w:r w:rsidRPr="008B6A75">
              <w:rPr>
                <w:sz w:val="20"/>
                <w:szCs w:val="20"/>
              </w:rPr>
              <w:t>0,00</w:t>
            </w:r>
          </w:p>
        </w:tc>
        <w:tc>
          <w:tcPr>
            <w:tcW w:w="222" w:type="dxa"/>
            <w:vAlign w:val="center"/>
            <w:hideMark/>
          </w:tcPr>
          <w:p w14:paraId="169E1259" w14:textId="77777777" w:rsidR="00387142" w:rsidRPr="008B6A75" w:rsidRDefault="00387142" w:rsidP="00387142">
            <w:pPr>
              <w:rPr>
                <w:sz w:val="20"/>
                <w:szCs w:val="20"/>
              </w:rPr>
            </w:pPr>
          </w:p>
        </w:tc>
      </w:tr>
      <w:tr w:rsidR="00387142" w:rsidRPr="008B6A75" w14:paraId="78C59E40" w14:textId="77777777" w:rsidTr="00387142">
        <w:trPr>
          <w:trHeight w:val="300"/>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36B0431A" w14:textId="77777777" w:rsidR="00387142" w:rsidRPr="008B6A75" w:rsidRDefault="00387142" w:rsidP="00387142">
            <w:pPr>
              <w:rPr>
                <w:sz w:val="20"/>
                <w:szCs w:val="20"/>
              </w:rPr>
            </w:pPr>
            <w:r w:rsidRPr="008B6A75">
              <w:rPr>
                <w:sz w:val="20"/>
                <w:szCs w:val="20"/>
              </w:rPr>
              <w:t>Субсидии</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230B0CC5" w14:textId="77777777" w:rsidR="00387142" w:rsidRPr="008B6A75" w:rsidRDefault="00387142" w:rsidP="00387142">
            <w:pPr>
              <w:jc w:val="center"/>
              <w:rPr>
                <w:sz w:val="20"/>
                <w:szCs w:val="20"/>
              </w:rPr>
            </w:pPr>
            <w:r w:rsidRPr="008B6A75">
              <w:rPr>
                <w:sz w:val="20"/>
                <w:szCs w:val="20"/>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79F5B09D" w14:textId="77777777" w:rsidR="00387142" w:rsidRPr="008B6A75" w:rsidRDefault="00387142" w:rsidP="00387142">
            <w:pPr>
              <w:jc w:val="center"/>
              <w:rPr>
                <w:sz w:val="20"/>
                <w:szCs w:val="20"/>
              </w:rPr>
            </w:pPr>
            <w:r w:rsidRPr="008B6A75">
              <w:rPr>
                <w:sz w:val="20"/>
                <w:szCs w:val="20"/>
              </w:rPr>
              <w:t>05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856913" w14:textId="77777777" w:rsidR="00387142" w:rsidRPr="008B6A75" w:rsidRDefault="00387142" w:rsidP="00387142">
            <w:pPr>
              <w:jc w:val="center"/>
              <w:rPr>
                <w:sz w:val="20"/>
                <w:szCs w:val="20"/>
              </w:rPr>
            </w:pPr>
            <w:r w:rsidRPr="008B6A75">
              <w:rPr>
                <w:sz w:val="20"/>
                <w:szCs w:val="20"/>
              </w:rPr>
              <w:t>02</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561CE96C" w14:textId="77777777" w:rsidR="00387142" w:rsidRPr="008B6A75" w:rsidRDefault="00387142" w:rsidP="00387142">
            <w:pPr>
              <w:jc w:val="center"/>
              <w:rPr>
                <w:sz w:val="20"/>
                <w:szCs w:val="20"/>
              </w:rPr>
            </w:pPr>
            <w:r w:rsidRPr="008B6A75">
              <w:rPr>
                <w:sz w:val="20"/>
                <w:szCs w:val="20"/>
              </w:rPr>
              <w:t>17.3.00.70600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33C72D" w14:textId="77777777" w:rsidR="00387142" w:rsidRPr="008B6A75" w:rsidRDefault="00387142" w:rsidP="00387142">
            <w:pPr>
              <w:jc w:val="center"/>
              <w:rPr>
                <w:sz w:val="20"/>
                <w:szCs w:val="20"/>
              </w:rPr>
            </w:pPr>
            <w:r w:rsidRPr="008B6A75">
              <w:rPr>
                <w:sz w:val="20"/>
                <w:szCs w:val="20"/>
              </w:rPr>
              <w:t>520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6CD541" w14:textId="77777777" w:rsidR="00387142" w:rsidRPr="008B6A75" w:rsidRDefault="00387142" w:rsidP="00387142">
            <w:pPr>
              <w:jc w:val="right"/>
              <w:rPr>
                <w:sz w:val="20"/>
                <w:szCs w:val="20"/>
              </w:rPr>
            </w:pPr>
            <w:r w:rsidRPr="008B6A75">
              <w:rPr>
                <w:sz w:val="20"/>
                <w:szCs w:val="20"/>
              </w:rPr>
              <w:t>1 922 500,00</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513DD22A" w14:textId="77777777" w:rsidR="00387142" w:rsidRPr="008B6A75" w:rsidRDefault="00387142" w:rsidP="00387142">
            <w:pPr>
              <w:jc w:val="right"/>
              <w:rPr>
                <w:sz w:val="20"/>
                <w:szCs w:val="20"/>
              </w:rPr>
            </w:pPr>
            <w:r w:rsidRPr="008B6A75">
              <w:rPr>
                <w:sz w:val="20"/>
                <w:szCs w:val="20"/>
              </w:rPr>
              <w:t>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B46DE6" w14:textId="77777777" w:rsidR="00387142" w:rsidRPr="008B6A75" w:rsidRDefault="00387142" w:rsidP="00387142">
            <w:pPr>
              <w:jc w:val="right"/>
              <w:rPr>
                <w:sz w:val="20"/>
                <w:szCs w:val="20"/>
              </w:rPr>
            </w:pPr>
            <w:r w:rsidRPr="008B6A75">
              <w:rPr>
                <w:sz w:val="20"/>
                <w:szCs w:val="20"/>
              </w:rPr>
              <w:t>0,00</w:t>
            </w:r>
          </w:p>
        </w:tc>
        <w:tc>
          <w:tcPr>
            <w:tcW w:w="222" w:type="dxa"/>
            <w:vAlign w:val="center"/>
            <w:hideMark/>
          </w:tcPr>
          <w:p w14:paraId="63E8E5D2" w14:textId="77777777" w:rsidR="00387142" w:rsidRPr="008B6A75" w:rsidRDefault="00387142" w:rsidP="00387142">
            <w:pPr>
              <w:rPr>
                <w:sz w:val="20"/>
                <w:szCs w:val="20"/>
              </w:rPr>
            </w:pPr>
          </w:p>
        </w:tc>
      </w:tr>
      <w:tr w:rsidR="00387142" w:rsidRPr="008B6A75" w14:paraId="68D1A70B" w14:textId="77777777" w:rsidTr="00387142">
        <w:trPr>
          <w:trHeight w:val="300"/>
        </w:trPr>
        <w:tc>
          <w:tcPr>
            <w:tcW w:w="3021" w:type="dxa"/>
            <w:tcBorders>
              <w:top w:val="nil"/>
              <w:left w:val="single" w:sz="4" w:space="0" w:color="auto"/>
              <w:bottom w:val="nil"/>
              <w:right w:val="nil"/>
            </w:tcBorders>
            <w:shd w:val="clear" w:color="auto" w:fill="auto"/>
            <w:vAlign w:val="center"/>
            <w:hideMark/>
          </w:tcPr>
          <w:p w14:paraId="5054EBD8" w14:textId="77777777" w:rsidR="00387142" w:rsidRPr="008B6A75" w:rsidRDefault="00387142" w:rsidP="00387142">
            <w:pPr>
              <w:rPr>
                <w:sz w:val="20"/>
                <w:szCs w:val="20"/>
              </w:rPr>
            </w:pPr>
            <w:r w:rsidRPr="008B6A75">
              <w:rPr>
                <w:sz w:val="20"/>
                <w:szCs w:val="20"/>
              </w:rPr>
              <w:t>Иные бюджетные ассигнования</w:t>
            </w:r>
          </w:p>
        </w:tc>
        <w:tc>
          <w:tcPr>
            <w:tcW w:w="850" w:type="dxa"/>
            <w:tcBorders>
              <w:top w:val="nil"/>
              <w:left w:val="single" w:sz="4" w:space="0" w:color="auto"/>
              <w:bottom w:val="nil"/>
              <w:right w:val="nil"/>
            </w:tcBorders>
            <w:shd w:val="clear" w:color="auto" w:fill="auto"/>
            <w:noWrap/>
            <w:vAlign w:val="center"/>
            <w:hideMark/>
          </w:tcPr>
          <w:p w14:paraId="64E89B34" w14:textId="77777777" w:rsidR="00387142" w:rsidRPr="008B6A75" w:rsidRDefault="00387142" w:rsidP="00387142">
            <w:pPr>
              <w:jc w:val="center"/>
              <w:rPr>
                <w:sz w:val="20"/>
                <w:szCs w:val="20"/>
              </w:rPr>
            </w:pPr>
            <w:r w:rsidRPr="008B6A75">
              <w:rPr>
                <w:sz w:val="20"/>
                <w:szCs w:val="20"/>
              </w:rPr>
              <w:t>444</w:t>
            </w:r>
          </w:p>
        </w:tc>
        <w:tc>
          <w:tcPr>
            <w:tcW w:w="709" w:type="dxa"/>
            <w:tcBorders>
              <w:top w:val="nil"/>
              <w:left w:val="single" w:sz="4" w:space="0" w:color="auto"/>
              <w:bottom w:val="nil"/>
              <w:right w:val="nil"/>
            </w:tcBorders>
            <w:shd w:val="clear" w:color="auto" w:fill="auto"/>
            <w:noWrap/>
            <w:vAlign w:val="center"/>
            <w:hideMark/>
          </w:tcPr>
          <w:p w14:paraId="4A96FCA5" w14:textId="77777777" w:rsidR="00387142" w:rsidRPr="008B6A75" w:rsidRDefault="00387142" w:rsidP="00387142">
            <w:pPr>
              <w:jc w:val="center"/>
              <w:rPr>
                <w:sz w:val="20"/>
                <w:szCs w:val="20"/>
              </w:rPr>
            </w:pPr>
            <w:r w:rsidRPr="008B6A75">
              <w:rPr>
                <w:sz w:val="20"/>
                <w:szCs w:val="20"/>
              </w:rPr>
              <w:t>05</w:t>
            </w:r>
          </w:p>
        </w:tc>
        <w:tc>
          <w:tcPr>
            <w:tcW w:w="709" w:type="dxa"/>
            <w:tcBorders>
              <w:top w:val="nil"/>
              <w:left w:val="single" w:sz="4" w:space="0" w:color="auto"/>
              <w:bottom w:val="nil"/>
              <w:right w:val="single" w:sz="4" w:space="0" w:color="auto"/>
            </w:tcBorders>
            <w:shd w:val="clear" w:color="auto" w:fill="auto"/>
            <w:noWrap/>
            <w:vAlign w:val="center"/>
            <w:hideMark/>
          </w:tcPr>
          <w:p w14:paraId="1D672F38" w14:textId="77777777" w:rsidR="00387142" w:rsidRPr="008B6A75" w:rsidRDefault="00387142" w:rsidP="00387142">
            <w:pPr>
              <w:jc w:val="center"/>
              <w:rPr>
                <w:sz w:val="20"/>
                <w:szCs w:val="20"/>
              </w:rPr>
            </w:pPr>
            <w:r w:rsidRPr="008B6A75">
              <w:rPr>
                <w:sz w:val="20"/>
                <w:szCs w:val="20"/>
              </w:rPr>
              <w:t>02</w:t>
            </w:r>
          </w:p>
        </w:tc>
        <w:tc>
          <w:tcPr>
            <w:tcW w:w="1411" w:type="dxa"/>
            <w:tcBorders>
              <w:top w:val="nil"/>
              <w:left w:val="single" w:sz="4" w:space="0" w:color="auto"/>
              <w:bottom w:val="nil"/>
              <w:right w:val="nil"/>
            </w:tcBorders>
            <w:shd w:val="clear" w:color="auto" w:fill="auto"/>
            <w:noWrap/>
            <w:vAlign w:val="center"/>
            <w:hideMark/>
          </w:tcPr>
          <w:p w14:paraId="1A8B32B1" w14:textId="77777777" w:rsidR="00387142" w:rsidRPr="008B6A75" w:rsidRDefault="00387142" w:rsidP="00387142">
            <w:pPr>
              <w:jc w:val="center"/>
              <w:rPr>
                <w:sz w:val="20"/>
                <w:szCs w:val="20"/>
              </w:rPr>
            </w:pPr>
            <w:r w:rsidRPr="008B6A75">
              <w:rPr>
                <w:sz w:val="20"/>
                <w:szCs w:val="20"/>
              </w:rPr>
              <w:t>17.3.00.70600</w:t>
            </w:r>
          </w:p>
        </w:tc>
        <w:tc>
          <w:tcPr>
            <w:tcW w:w="955" w:type="dxa"/>
            <w:tcBorders>
              <w:top w:val="nil"/>
              <w:left w:val="single" w:sz="4" w:space="0" w:color="auto"/>
              <w:bottom w:val="nil"/>
              <w:right w:val="single" w:sz="4" w:space="0" w:color="auto"/>
            </w:tcBorders>
            <w:shd w:val="clear" w:color="auto" w:fill="auto"/>
            <w:noWrap/>
            <w:vAlign w:val="center"/>
            <w:hideMark/>
          </w:tcPr>
          <w:p w14:paraId="69245E61" w14:textId="77777777" w:rsidR="00387142" w:rsidRPr="008B6A75" w:rsidRDefault="00387142" w:rsidP="00387142">
            <w:pPr>
              <w:jc w:val="center"/>
              <w:rPr>
                <w:sz w:val="20"/>
                <w:szCs w:val="20"/>
              </w:rPr>
            </w:pPr>
            <w:r w:rsidRPr="008B6A75">
              <w:rPr>
                <w:sz w:val="20"/>
                <w:szCs w:val="20"/>
              </w:rPr>
              <w:t>800</w:t>
            </w:r>
          </w:p>
        </w:tc>
        <w:tc>
          <w:tcPr>
            <w:tcW w:w="992" w:type="dxa"/>
            <w:tcBorders>
              <w:top w:val="nil"/>
              <w:left w:val="single" w:sz="4" w:space="0" w:color="auto"/>
              <w:bottom w:val="nil"/>
              <w:right w:val="single" w:sz="4" w:space="0" w:color="auto"/>
            </w:tcBorders>
            <w:shd w:val="clear" w:color="auto" w:fill="auto"/>
            <w:noWrap/>
            <w:vAlign w:val="center"/>
            <w:hideMark/>
          </w:tcPr>
          <w:p w14:paraId="3345A447" w14:textId="77777777" w:rsidR="00387142" w:rsidRPr="008B6A75" w:rsidRDefault="00387142" w:rsidP="00387142">
            <w:pPr>
              <w:jc w:val="right"/>
              <w:rPr>
                <w:sz w:val="20"/>
                <w:szCs w:val="20"/>
              </w:rPr>
            </w:pPr>
            <w:r w:rsidRPr="008B6A75">
              <w:rPr>
                <w:sz w:val="20"/>
                <w:szCs w:val="20"/>
              </w:rPr>
              <w:t>7 728 888,21</w:t>
            </w:r>
          </w:p>
        </w:tc>
        <w:tc>
          <w:tcPr>
            <w:tcW w:w="992" w:type="dxa"/>
            <w:gridSpan w:val="2"/>
            <w:tcBorders>
              <w:top w:val="nil"/>
              <w:left w:val="single" w:sz="4" w:space="0" w:color="auto"/>
              <w:bottom w:val="nil"/>
              <w:right w:val="nil"/>
            </w:tcBorders>
            <w:shd w:val="clear" w:color="auto" w:fill="auto"/>
            <w:noWrap/>
            <w:vAlign w:val="center"/>
            <w:hideMark/>
          </w:tcPr>
          <w:p w14:paraId="11BC06FF" w14:textId="77777777" w:rsidR="00387142" w:rsidRPr="008B6A75" w:rsidRDefault="00387142" w:rsidP="00387142">
            <w:pPr>
              <w:jc w:val="right"/>
              <w:rPr>
                <w:sz w:val="20"/>
                <w:szCs w:val="20"/>
              </w:rPr>
            </w:pPr>
            <w:r w:rsidRPr="008B6A75">
              <w:rPr>
                <w:sz w:val="20"/>
                <w:szCs w:val="20"/>
              </w:rPr>
              <w:t>9 651 400,00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756517E2" w14:textId="77777777" w:rsidR="00387142" w:rsidRPr="008B6A75" w:rsidRDefault="00387142" w:rsidP="00387142">
            <w:pPr>
              <w:jc w:val="right"/>
              <w:rPr>
                <w:sz w:val="20"/>
                <w:szCs w:val="20"/>
              </w:rPr>
            </w:pPr>
            <w:r w:rsidRPr="008B6A75">
              <w:rPr>
                <w:sz w:val="20"/>
                <w:szCs w:val="20"/>
              </w:rPr>
              <w:t>9 651 400,00</w:t>
            </w:r>
          </w:p>
        </w:tc>
        <w:tc>
          <w:tcPr>
            <w:tcW w:w="222" w:type="dxa"/>
            <w:vAlign w:val="center"/>
            <w:hideMark/>
          </w:tcPr>
          <w:p w14:paraId="42524298" w14:textId="77777777" w:rsidR="00387142" w:rsidRPr="008B6A75" w:rsidRDefault="00387142" w:rsidP="00387142">
            <w:pPr>
              <w:rPr>
                <w:sz w:val="20"/>
                <w:szCs w:val="20"/>
              </w:rPr>
            </w:pPr>
          </w:p>
        </w:tc>
      </w:tr>
      <w:tr w:rsidR="00387142" w:rsidRPr="008B6A75" w14:paraId="6E932BFC" w14:textId="77777777" w:rsidTr="00387142">
        <w:trPr>
          <w:trHeight w:val="1155"/>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4E024B6E" w14:textId="77777777" w:rsidR="00387142" w:rsidRPr="008B6A75" w:rsidRDefault="00387142" w:rsidP="00387142">
            <w:pPr>
              <w:rPr>
                <w:sz w:val="20"/>
                <w:szCs w:val="20"/>
              </w:rPr>
            </w:pPr>
            <w:r w:rsidRPr="008B6A75">
              <w:rPr>
                <w:sz w:val="20"/>
                <w:szCs w:val="20"/>
              </w:rP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49148D28" w14:textId="77777777" w:rsidR="00387142" w:rsidRPr="008B6A75" w:rsidRDefault="00387142" w:rsidP="00387142">
            <w:pPr>
              <w:jc w:val="center"/>
              <w:rPr>
                <w:sz w:val="20"/>
                <w:szCs w:val="20"/>
              </w:rPr>
            </w:pPr>
            <w:r w:rsidRPr="008B6A75">
              <w:rPr>
                <w:sz w:val="20"/>
                <w:szCs w:val="20"/>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34781B56" w14:textId="77777777" w:rsidR="00387142" w:rsidRPr="008B6A75" w:rsidRDefault="00387142" w:rsidP="00387142">
            <w:pPr>
              <w:jc w:val="center"/>
              <w:rPr>
                <w:sz w:val="20"/>
                <w:szCs w:val="20"/>
              </w:rPr>
            </w:pPr>
            <w:r w:rsidRPr="008B6A75">
              <w:rPr>
                <w:sz w:val="20"/>
                <w:szCs w:val="20"/>
              </w:rPr>
              <w:t>05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BD89FB" w14:textId="77777777" w:rsidR="00387142" w:rsidRPr="008B6A75" w:rsidRDefault="00387142" w:rsidP="00387142">
            <w:pPr>
              <w:jc w:val="center"/>
              <w:rPr>
                <w:sz w:val="20"/>
                <w:szCs w:val="20"/>
              </w:rPr>
            </w:pPr>
            <w:r w:rsidRPr="008B6A75">
              <w:rPr>
                <w:sz w:val="20"/>
                <w:szCs w:val="20"/>
              </w:rPr>
              <w:t>02</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486356EC" w14:textId="77777777" w:rsidR="00387142" w:rsidRPr="008B6A75" w:rsidRDefault="00387142" w:rsidP="00387142">
            <w:pPr>
              <w:jc w:val="center"/>
              <w:rPr>
                <w:sz w:val="20"/>
                <w:szCs w:val="20"/>
              </w:rPr>
            </w:pPr>
            <w:r w:rsidRPr="008B6A75">
              <w:rPr>
                <w:sz w:val="20"/>
                <w:szCs w:val="20"/>
              </w:rPr>
              <w:t>17.3.00.70600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0A7593" w14:textId="77777777" w:rsidR="00387142" w:rsidRPr="008B6A75" w:rsidRDefault="00387142" w:rsidP="00387142">
            <w:pPr>
              <w:jc w:val="center"/>
              <w:rPr>
                <w:sz w:val="20"/>
                <w:szCs w:val="20"/>
              </w:rPr>
            </w:pPr>
            <w:r w:rsidRPr="008B6A75">
              <w:rPr>
                <w:sz w:val="20"/>
                <w:szCs w:val="20"/>
              </w:rPr>
              <w:t>810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4D5A12" w14:textId="77777777" w:rsidR="00387142" w:rsidRPr="008B6A75" w:rsidRDefault="00387142" w:rsidP="00387142">
            <w:pPr>
              <w:jc w:val="right"/>
              <w:rPr>
                <w:sz w:val="20"/>
                <w:szCs w:val="20"/>
              </w:rPr>
            </w:pPr>
            <w:r w:rsidRPr="008B6A75">
              <w:rPr>
                <w:sz w:val="20"/>
                <w:szCs w:val="20"/>
              </w:rPr>
              <w:t>7 728 888,21</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0485644C" w14:textId="77777777" w:rsidR="00387142" w:rsidRPr="008B6A75" w:rsidRDefault="00387142" w:rsidP="00387142">
            <w:pPr>
              <w:jc w:val="right"/>
              <w:rPr>
                <w:sz w:val="20"/>
                <w:szCs w:val="20"/>
              </w:rPr>
            </w:pPr>
            <w:r w:rsidRPr="008B6A75">
              <w:rPr>
                <w:sz w:val="20"/>
                <w:szCs w:val="20"/>
              </w:rPr>
              <w:t>9 651 400,00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655F8D" w14:textId="77777777" w:rsidR="00387142" w:rsidRPr="008B6A75" w:rsidRDefault="00387142" w:rsidP="00387142">
            <w:pPr>
              <w:jc w:val="right"/>
              <w:rPr>
                <w:sz w:val="20"/>
                <w:szCs w:val="20"/>
              </w:rPr>
            </w:pPr>
            <w:r w:rsidRPr="008B6A75">
              <w:rPr>
                <w:sz w:val="20"/>
                <w:szCs w:val="20"/>
              </w:rPr>
              <w:t>9 651 400,00</w:t>
            </w:r>
          </w:p>
        </w:tc>
        <w:tc>
          <w:tcPr>
            <w:tcW w:w="222" w:type="dxa"/>
            <w:vAlign w:val="center"/>
            <w:hideMark/>
          </w:tcPr>
          <w:p w14:paraId="280F5095" w14:textId="77777777" w:rsidR="00387142" w:rsidRPr="008B6A75" w:rsidRDefault="00387142" w:rsidP="00387142">
            <w:pPr>
              <w:rPr>
                <w:sz w:val="20"/>
                <w:szCs w:val="20"/>
              </w:rPr>
            </w:pPr>
          </w:p>
        </w:tc>
      </w:tr>
      <w:tr w:rsidR="00387142" w:rsidRPr="008B6A75" w14:paraId="52EC0D13" w14:textId="77777777" w:rsidTr="00387142">
        <w:trPr>
          <w:trHeight w:val="2580"/>
        </w:trPr>
        <w:tc>
          <w:tcPr>
            <w:tcW w:w="3021" w:type="dxa"/>
            <w:tcBorders>
              <w:top w:val="nil"/>
              <w:left w:val="single" w:sz="4" w:space="0" w:color="auto"/>
              <w:bottom w:val="nil"/>
              <w:right w:val="nil"/>
            </w:tcBorders>
            <w:shd w:val="clear" w:color="auto" w:fill="auto"/>
            <w:vAlign w:val="center"/>
            <w:hideMark/>
          </w:tcPr>
          <w:p w14:paraId="1F0B43CE" w14:textId="77777777" w:rsidR="00387142" w:rsidRPr="008B6A75" w:rsidRDefault="00387142" w:rsidP="00387142">
            <w:pPr>
              <w:rPr>
                <w:bCs/>
                <w:sz w:val="20"/>
                <w:szCs w:val="20"/>
              </w:rPr>
            </w:pPr>
            <w:proofErr w:type="spellStart"/>
            <w:r w:rsidRPr="008B6A75">
              <w:rPr>
                <w:bCs/>
                <w:sz w:val="20"/>
                <w:szCs w:val="20"/>
              </w:rPr>
              <w:t>Софинансирование</w:t>
            </w:r>
            <w:proofErr w:type="spellEnd"/>
            <w:r w:rsidRPr="008B6A75">
              <w:rPr>
                <w:bCs/>
                <w:sz w:val="20"/>
                <w:szCs w:val="20"/>
              </w:rPr>
              <w:t xml:space="preserve"> местного бюджета на реализацию мероприятий по организации функционирования систем жизнеобеспечения и снабжению населения топливом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w:t>
            </w:r>
          </w:p>
        </w:tc>
        <w:tc>
          <w:tcPr>
            <w:tcW w:w="850" w:type="dxa"/>
            <w:tcBorders>
              <w:top w:val="nil"/>
              <w:left w:val="single" w:sz="4" w:space="0" w:color="auto"/>
              <w:bottom w:val="nil"/>
              <w:right w:val="nil"/>
            </w:tcBorders>
            <w:shd w:val="clear" w:color="auto" w:fill="auto"/>
            <w:noWrap/>
            <w:vAlign w:val="center"/>
            <w:hideMark/>
          </w:tcPr>
          <w:p w14:paraId="0E3506FD" w14:textId="77777777" w:rsidR="00387142" w:rsidRPr="008B6A75" w:rsidRDefault="00387142" w:rsidP="00387142">
            <w:pPr>
              <w:jc w:val="center"/>
              <w:rPr>
                <w:bCs/>
                <w:sz w:val="20"/>
                <w:szCs w:val="20"/>
              </w:rPr>
            </w:pPr>
            <w:r w:rsidRPr="008B6A75">
              <w:rPr>
                <w:bCs/>
                <w:sz w:val="20"/>
                <w:szCs w:val="20"/>
              </w:rPr>
              <w:t>444</w:t>
            </w:r>
          </w:p>
        </w:tc>
        <w:tc>
          <w:tcPr>
            <w:tcW w:w="709" w:type="dxa"/>
            <w:tcBorders>
              <w:top w:val="nil"/>
              <w:left w:val="single" w:sz="4" w:space="0" w:color="auto"/>
              <w:bottom w:val="nil"/>
              <w:right w:val="nil"/>
            </w:tcBorders>
            <w:shd w:val="clear" w:color="auto" w:fill="auto"/>
            <w:noWrap/>
            <w:vAlign w:val="center"/>
            <w:hideMark/>
          </w:tcPr>
          <w:p w14:paraId="2359C086" w14:textId="77777777" w:rsidR="00387142" w:rsidRPr="008B6A75" w:rsidRDefault="00387142" w:rsidP="00387142">
            <w:pPr>
              <w:jc w:val="center"/>
              <w:rPr>
                <w:bCs/>
                <w:sz w:val="20"/>
                <w:szCs w:val="20"/>
              </w:rPr>
            </w:pPr>
            <w:r w:rsidRPr="008B6A75">
              <w:rPr>
                <w:bCs/>
                <w:sz w:val="20"/>
                <w:szCs w:val="20"/>
              </w:rPr>
              <w:t>05</w:t>
            </w:r>
          </w:p>
        </w:tc>
        <w:tc>
          <w:tcPr>
            <w:tcW w:w="709" w:type="dxa"/>
            <w:tcBorders>
              <w:top w:val="nil"/>
              <w:left w:val="single" w:sz="4" w:space="0" w:color="auto"/>
              <w:bottom w:val="nil"/>
              <w:right w:val="single" w:sz="4" w:space="0" w:color="auto"/>
            </w:tcBorders>
            <w:shd w:val="clear" w:color="auto" w:fill="auto"/>
            <w:noWrap/>
            <w:vAlign w:val="center"/>
            <w:hideMark/>
          </w:tcPr>
          <w:p w14:paraId="453B9964" w14:textId="77777777" w:rsidR="00387142" w:rsidRPr="008B6A75" w:rsidRDefault="00387142" w:rsidP="00387142">
            <w:pPr>
              <w:jc w:val="center"/>
              <w:rPr>
                <w:bCs/>
                <w:sz w:val="20"/>
                <w:szCs w:val="20"/>
              </w:rPr>
            </w:pPr>
            <w:r w:rsidRPr="008B6A75">
              <w:rPr>
                <w:bCs/>
                <w:sz w:val="20"/>
                <w:szCs w:val="20"/>
              </w:rPr>
              <w:t>02</w:t>
            </w:r>
          </w:p>
        </w:tc>
        <w:tc>
          <w:tcPr>
            <w:tcW w:w="1411" w:type="dxa"/>
            <w:tcBorders>
              <w:top w:val="nil"/>
              <w:left w:val="single" w:sz="4" w:space="0" w:color="auto"/>
              <w:bottom w:val="nil"/>
              <w:right w:val="nil"/>
            </w:tcBorders>
            <w:shd w:val="clear" w:color="auto" w:fill="auto"/>
            <w:noWrap/>
            <w:vAlign w:val="center"/>
            <w:hideMark/>
          </w:tcPr>
          <w:p w14:paraId="1A785A76" w14:textId="77777777" w:rsidR="00387142" w:rsidRPr="008B6A75" w:rsidRDefault="00387142" w:rsidP="00387142">
            <w:pPr>
              <w:jc w:val="center"/>
              <w:rPr>
                <w:bCs/>
                <w:sz w:val="20"/>
                <w:szCs w:val="20"/>
              </w:rPr>
            </w:pPr>
            <w:r w:rsidRPr="008B6A75">
              <w:rPr>
                <w:bCs/>
                <w:sz w:val="20"/>
                <w:szCs w:val="20"/>
              </w:rPr>
              <w:t>17.3.00.S0490</w:t>
            </w:r>
          </w:p>
        </w:tc>
        <w:tc>
          <w:tcPr>
            <w:tcW w:w="955" w:type="dxa"/>
            <w:tcBorders>
              <w:top w:val="nil"/>
              <w:left w:val="single" w:sz="4" w:space="0" w:color="auto"/>
              <w:bottom w:val="nil"/>
              <w:right w:val="single" w:sz="4" w:space="0" w:color="auto"/>
            </w:tcBorders>
            <w:shd w:val="clear" w:color="auto" w:fill="auto"/>
            <w:noWrap/>
            <w:vAlign w:val="center"/>
            <w:hideMark/>
          </w:tcPr>
          <w:p w14:paraId="16331F23"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nil"/>
              <w:right w:val="single" w:sz="4" w:space="0" w:color="auto"/>
            </w:tcBorders>
            <w:shd w:val="clear" w:color="auto" w:fill="auto"/>
            <w:noWrap/>
            <w:vAlign w:val="center"/>
            <w:hideMark/>
          </w:tcPr>
          <w:p w14:paraId="423E3305" w14:textId="77777777" w:rsidR="00387142" w:rsidRPr="008B6A75" w:rsidRDefault="00387142" w:rsidP="00387142">
            <w:pPr>
              <w:jc w:val="right"/>
              <w:rPr>
                <w:bCs/>
                <w:sz w:val="20"/>
                <w:szCs w:val="20"/>
              </w:rPr>
            </w:pPr>
            <w:r w:rsidRPr="008B6A75">
              <w:rPr>
                <w:bCs/>
                <w:sz w:val="20"/>
                <w:szCs w:val="20"/>
              </w:rPr>
              <w:t>265 347,30</w:t>
            </w:r>
          </w:p>
        </w:tc>
        <w:tc>
          <w:tcPr>
            <w:tcW w:w="992" w:type="dxa"/>
            <w:gridSpan w:val="2"/>
            <w:tcBorders>
              <w:top w:val="nil"/>
              <w:left w:val="single" w:sz="4" w:space="0" w:color="auto"/>
              <w:bottom w:val="nil"/>
              <w:right w:val="nil"/>
            </w:tcBorders>
            <w:shd w:val="clear" w:color="auto" w:fill="auto"/>
            <w:noWrap/>
            <w:vAlign w:val="center"/>
            <w:hideMark/>
          </w:tcPr>
          <w:p w14:paraId="67380E39" w14:textId="77777777" w:rsidR="00387142" w:rsidRPr="008B6A75" w:rsidRDefault="00387142" w:rsidP="00387142">
            <w:pPr>
              <w:jc w:val="right"/>
              <w:rPr>
                <w:bCs/>
                <w:sz w:val="20"/>
                <w:szCs w:val="20"/>
              </w:rPr>
            </w:pPr>
            <w:r w:rsidRPr="008B6A75">
              <w:rPr>
                <w:bCs/>
                <w:sz w:val="20"/>
                <w:szCs w:val="20"/>
              </w:rPr>
              <w:t>0,00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6C867E84" w14:textId="77777777" w:rsidR="00387142" w:rsidRPr="008B6A75" w:rsidRDefault="00387142" w:rsidP="00387142">
            <w:pPr>
              <w:jc w:val="right"/>
              <w:rPr>
                <w:bCs/>
                <w:sz w:val="20"/>
                <w:szCs w:val="20"/>
              </w:rPr>
            </w:pPr>
            <w:r w:rsidRPr="008B6A75">
              <w:rPr>
                <w:bCs/>
                <w:sz w:val="20"/>
                <w:szCs w:val="20"/>
              </w:rPr>
              <w:t>0,00</w:t>
            </w:r>
          </w:p>
        </w:tc>
        <w:tc>
          <w:tcPr>
            <w:tcW w:w="222" w:type="dxa"/>
            <w:vAlign w:val="center"/>
            <w:hideMark/>
          </w:tcPr>
          <w:p w14:paraId="7EB077AC" w14:textId="77777777" w:rsidR="00387142" w:rsidRPr="008B6A75" w:rsidRDefault="00387142" w:rsidP="00387142">
            <w:pPr>
              <w:rPr>
                <w:sz w:val="20"/>
                <w:szCs w:val="20"/>
              </w:rPr>
            </w:pPr>
          </w:p>
        </w:tc>
      </w:tr>
      <w:tr w:rsidR="00387142" w:rsidRPr="008B6A75" w14:paraId="56BDC305" w14:textId="77777777" w:rsidTr="00387142">
        <w:trPr>
          <w:trHeight w:val="300"/>
        </w:trPr>
        <w:tc>
          <w:tcPr>
            <w:tcW w:w="3021" w:type="dxa"/>
            <w:tcBorders>
              <w:top w:val="single" w:sz="4" w:space="0" w:color="auto"/>
              <w:left w:val="single" w:sz="4" w:space="0" w:color="auto"/>
              <w:bottom w:val="nil"/>
              <w:right w:val="nil"/>
            </w:tcBorders>
            <w:shd w:val="clear" w:color="auto" w:fill="auto"/>
            <w:vAlign w:val="center"/>
            <w:hideMark/>
          </w:tcPr>
          <w:p w14:paraId="44BE7B07" w14:textId="77777777" w:rsidR="00387142" w:rsidRPr="008B6A75" w:rsidRDefault="00387142" w:rsidP="00387142">
            <w:pPr>
              <w:rPr>
                <w:sz w:val="20"/>
                <w:szCs w:val="20"/>
              </w:rPr>
            </w:pPr>
            <w:r w:rsidRPr="008B6A75">
              <w:rPr>
                <w:sz w:val="20"/>
                <w:szCs w:val="20"/>
              </w:rPr>
              <w:t>Иные бюджетные ассигнования</w:t>
            </w:r>
          </w:p>
        </w:tc>
        <w:tc>
          <w:tcPr>
            <w:tcW w:w="850" w:type="dxa"/>
            <w:tcBorders>
              <w:top w:val="single" w:sz="4" w:space="0" w:color="auto"/>
              <w:left w:val="single" w:sz="4" w:space="0" w:color="auto"/>
              <w:bottom w:val="nil"/>
              <w:right w:val="nil"/>
            </w:tcBorders>
            <w:shd w:val="clear" w:color="auto" w:fill="auto"/>
            <w:noWrap/>
            <w:vAlign w:val="center"/>
            <w:hideMark/>
          </w:tcPr>
          <w:p w14:paraId="5A828F50" w14:textId="77777777" w:rsidR="00387142" w:rsidRPr="008B6A75" w:rsidRDefault="00387142" w:rsidP="00387142">
            <w:pPr>
              <w:jc w:val="center"/>
              <w:rPr>
                <w:sz w:val="20"/>
                <w:szCs w:val="20"/>
              </w:rPr>
            </w:pPr>
            <w:r w:rsidRPr="008B6A75">
              <w:rPr>
                <w:sz w:val="20"/>
                <w:szCs w:val="20"/>
              </w:rPr>
              <w:t>444</w:t>
            </w:r>
          </w:p>
        </w:tc>
        <w:tc>
          <w:tcPr>
            <w:tcW w:w="709" w:type="dxa"/>
            <w:tcBorders>
              <w:top w:val="single" w:sz="4" w:space="0" w:color="auto"/>
              <w:left w:val="single" w:sz="4" w:space="0" w:color="auto"/>
              <w:bottom w:val="nil"/>
              <w:right w:val="nil"/>
            </w:tcBorders>
            <w:shd w:val="clear" w:color="auto" w:fill="auto"/>
            <w:noWrap/>
            <w:vAlign w:val="center"/>
            <w:hideMark/>
          </w:tcPr>
          <w:p w14:paraId="5DC0CCBF" w14:textId="77777777" w:rsidR="00387142" w:rsidRPr="008B6A75" w:rsidRDefault="00387142" w:rsidP="00387142">
            <w:pPr>
              <w:jc w:val="center"/>
              <w:rPr>
                <w:sz w:val="20"/>
                <w:szCs w:val="20"/>
              </w:rPr>
            </w:pPr>
            <w:r w:rsidRPr="008B6A75">
              <w:rPr>
                <w:sz w:val="20"/>
                <w:szCs w:val="20"/>
              </w:rPr>
              <w:t>05</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487BAFAD" w14:textId="77777777" w:rsidR="00387142" w:rsidRPr="008B6A75" w:rsidRDefault="00387142" w:rsidP="00387142">
            <w:pPr>
              <w:jc w:val="center"/>
              <w:rPr>
                <w:sz w:val="20"/>
                <w:szCs w:val="20"/>
              </w:rPr>
            </w:pPr>
            <w:r w:rsidRPr="008B6A75">
              <w:rPr>
                <w:sz w:val="20"/>
                <w:szCs w:val="20"/>
              </w:rPr>
              <w:t>02</w:t>
            </w:r>
          </w:p>
        </w:tc>
        <w:tc>
          <w:tcPr>
            <w:tcW w:w="1411" w:type="dxa"/>
            <w:tcBorders>
              <w:top w:val="single" w:sz="4" w:space="0" w:color="auto"/>
              <w:left w:val="single" w:sz="4" w:space="0" w:color="auto"/>
              <w:bottom w:val="nil"/>
              <w:right w:val="nil"/>
            </w:tcBorders>
            <w:shd w:val="clear" w:color="auto" w:fill="auto"/>
            <w:noWrap/>
            <w:vAlign w:val="center"/>
            <w:hideMark/>
          </w:tcPr>
          <w:p w14:paraId="4C0F5617" w14:textId="77777777" w:rsidR="00387142" w:rsidRPr="008B6A75" w:rsidRDefault="00387142" w:rsidP="00387142">
            <w:pPr>
              <w:jc w:val="center"/>
              <w:rPr>
                <w:sz w:val="20"/>
                <w:szCs w:val="20"/>
              </w:rPr>
            </w:pPr>
            <w:r w:rsidRPr="008B6A75">
              <w:rPr>
                <w:sz w:val="20"/>
                <w:szCs w:val="20"/>
              </w:rPr>
              <w:t>17.3.00.S0490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03668CD2" w14:textId="77777777" w:rsidR="00387142" w:rsidRPr="008B6A75" w:rsidRDefault="00387142" w:rsidP="00387142">
            <w:pPr>
              <w:jc w:val="center"/>
              <w:rPr>
                <w:sz w:val="20"/>
                <w:szCs w:val="20"/>
              </w:rPr>
            </w:pPr>
            <w:r w:rsidRPr="008B6A75">
              <w:rPr>
                <w:sz w:val="20"/>
                <w:szCs w:val="20"/>
              </w:rPr>
              <w:t>800</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10350D50" w14:textId="77777777" w:rsidR="00387142" w:rsidRPr="008B6A75" w:rsidRDefault="00387142" w:rsidP="00387142">
            <w:pPr>
              <w:jc w:val="right"/>
              <w:rPr>
                <w:sz w:val="20"/>
                <w:szCs w:val="20"/>
              </w:rPr>
            </w:pPr>
            <w:r w:rsidRPr="008B6A75">
              <w:rPr>
                <w:sz w:val="20"/>
                <w:szCs w:val="20"/>
              </w:rPr>
              <w:t>265 347,30</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5E4C724E" w14:textId="77777777" w:rsidR="00387142" w:rsidRPr="008B6A75" w:rsidRDefault="00387142" w:rsidP="00387142">
            <w:pPr>
              <w:jc w:val="right"/>
              <w:rPr>
                <w:sz w:val="20"/>
                <w:szCs w:val="20"/>
              </w:rPr>
            </w:pPr>
            <w:r w:rsidRPr="008B6A75">
              <w:rPr>
                <w:sz w:val="20"/>
                <w:szCs w:val="20"/>
              </w:rPr>
              <w:t>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35C9F5AD" w14:textId="77777777" w:rsidR="00387142" w:rsidRPr="008B6A75" w:rsidRDefault="00387142" w:rsidP="00387142">
            <w:pPr>
              <w:jc w:val="right"/>
              <w:rPr>
                <w:sz w:val="20"/>
                <w:szCs w:val="20"/>
              </w:rPr>
            </w:pPr>
            <w:r w:rsidRPr="008B6A75">
              <w:rPr>
                <w:sz w:val="20"/>
                <w:szCs w:val="20"/>
              </w:rPr>
              <w:t>0,00</w:t>
            </w:r>
          </w:p>
        </w:tc>
        <w:tc>
          <w:tcPr>
            <w:tcW w:w="222" w:type="dxa"/>
            <w:vAlign w:val="center"/>
            <w:hideMark/>
          </w:tcPr>
          <w:p w14:paraId="1FE2B16F" w14:textId="77777777" w:rsidR="00387142" w:rsidRPr="008B6A75" w:rsidRDefault="00387142" w:rsidP="00387142">
            <w:pPr>
              <w:rPr>
                <w:sz w:val="20"/>
                <w:szCs w:val="20"/>
              </w:rPr>
            </w:pPr>
          </w:p>
        </w:tc>
      </w:tr>
      <w:tr w:rsidR="00387142" w:rsidRPr="008B6A75" w14:paraId="1E7FD868" w14:textId="77777777" w:rsidTr="00387142">
        <w:trPr>
          <w:trHeight w:val="1155"/>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48EF6C89" w14:textId="77777777" w:rsidR="00387142" w:rsidRPr="008B6A75" w:rsidRDefault="00387142" w:rsidP="00387142">
            <w:pPr>
              <w:rPr>
                <w:sz w:val="20"/>
                <w:szCs w:val="20"/>
              </w:rPr>
            </w:pPr>
            <w:r w:rsidRPr="008B6A75">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242395D1" w14:textId="77777777" w:rsidR="00387142" w:rsidRPr="008B6A75" w:rsidRDefault="00387142" w:rsidP="00387142">
            <w:pPr>
              <w:jc w:val="center"/>
              <w:rPr>
                <w:sz w:val="20"/>
                <w:szCs w:val="20"/>
              </w:rPr>
            </w:pPr>
            <w:r w:rsidRPr="008B6A75">
              <w:rPr>
                <w:sz w:val="20"/>
                <w:szCs w:val="20"/>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043748CC" w14:textId="77777777" w:rsidR="00387142" w:rsidRPr="008B6A75" w:rsidRDefault="00387142" w:rsidP="00387142">
            <w:pPr>
              <w:jc w:val="center"/>
              <w:rPr>
                <w:sz w:val="20"/>
                <w:szCs w:val="20"/>
              </w:rPr>
            </w:pPr>
            <w:r w:rsidRPr="008B6A75">
              <w:rPr>
                <w:sz w:val="20"/>
                <w:szCs w:val="20"/>
              </w:rPr>
              <w:t>05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F073BA" w14:textId="77777777" w:rsidR="00387142" w:rsidRPr="008B6A75" w:rsidRDefault="00387142" w:rsidP="00387142">
            <w:pPr>
              <w:jc w:val="center"/>
              <w:rPr>
                <w:sz w:val="20"/>
                <w:szCs w:val="20"/>
              </w:rPr>
            </w:pPr>
            <w:r w:rsidRPr="008B6A75">
              <w:rPr>
                <w:sz w:val="20"/>
                <w:szCs w:val="20"/>
              </w:rPr>
              <w:t>02</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3E949A8F" w14:textId="77777777" w:rsidR="00387142" w:rsidRPr="008B6A75" w:rsidRDefault="00387142" w:rsidP="00387142">
            <w:pPr>
              <w:jc w:val="center"/>
              <w:rPr>
                <w:sz w:val="20"/>
                <w:szCs w:val="20"/>
              </w:rPr>
            </w:pPr>
            <w:r w:rsidRPr="008B6A75">
              <w:rPr>
                <w:sz w:val="20"/>
                <w:szCs w:val="20"/>
              </w:rPr>
              <w:t>17.3.00.S0490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FA40AE" w14:textId="77777777" w:rsidR="00387142" w:rsidRPr="008B6A75" w:rsidRDefault="00387142" w:rsidP="00387142">
            <w:pPr>
              <w:jc w:val="center"/>
              <w:rPr>
                <w:sz w:val="20"/>
                <w:szCs w:val="20"/>
              </w:rPr>
            </w:pPr>
            <w:r w:rsidRPr="008B6A75">
              <w:rPr>
                <w:sz w:val="20"/>
                <w:szCs w:val="20"/>
              </w:rPr>
              <w:t>810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904028" w14:textId="77777777" w:rsidR="00387142" w:rsidRPr="008B6A75" w:rsidRDefault="00387142" w:rsidP="00387142">
            <w:pPr>
              <w:jc w:val="right"/>
              <w:rPr>
                <w:sz w:val="20"/>
                <w:szCs w:val="20"/>
              </w:rPr>
            </w:pPr>
            <w:r w:rsidRPr="008B6A75">
              <w:rPr>
                <w:sz w:val="20"/>
                <w:szCs w:val="20"/>
              </w:rPr>
              <w:t>265 347,30</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54FA1C6A" w14:textId="77777777" w:rsidR="00387142" w:rsidRPr="008B6A75" w:rsidRDefault="00387142" w:rsidP="00387142">
            <w:pPr>
              <w:jc w:val="right"/>
              <w:rPr>
                <w:sz w:val="20"/>
                <w:szCs w:val="20"/>
              </w:rPr>
            </w:pPr>
            <w:r w:rsidRPr="008B6A75">
              <w:rPr>
                <w:sz w:val="20"/>
                <w:szCs w:val="20"/>
              </w:rPr>
              <w:t>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20FF34" w14:textId="77777777" w:rsidR="00387142" w:rsidRPr="008B6A75" w:rsidRDefault="00387142" w:rsidP="00387142">
            <w:pPr>
              <w:jc w:val="right"/>
              <w:rPr>
                <w:sz w:val="20"/>
                <w:szCs w:val="20"/>
              </w:rPr>
            </w:pPr>
            <w:r w:rsidRPr="008B6A75">
              <w:rPr>
                <w:sz w:val="20"/>
                <w:szCs w:val="20"/>
              </w:rPr>
              <w:t>0,00</w:t>
            </w:r>
          </w:p>
        </w:tc>
        <w:tc>
          <w:tcPr>
            <w:tcW w:w="222" w:type="dxa"/>
            <w:vAlign w:val="center"/>
            <w:hideMark/>
          </w:tcPr>
          <w:p w14:paraId="7EEB288E" w14:textId="77777777" w:rsidR="00387142" w:rsidRPr="008B6A75" w:rsidRDefault="00387142" w:rsidP="00387142">
            <w:pPr>
              <w:rPr>
                <w:sz w:val="20"/>
                <w:szCs w:val="20"/>
              </w:rPr>
            </w:pPr>
          </w:p>
        </w:tc>
      </w:tr>
      <w:tr w:rsidR="00387142" w:rsidRPr="008B6A75" w14:paraId="63C6330B" w14:textId="77777777" w:rsidTr="00387142">
        <w:trPr>
          <w:trHeight w:val="2580"/>
        </w:trPr>
        <w:tc>
          <w:tcPr>
            <w:tcW w:w="3021" w:type="dxa"/>
            <w:tcBorders>
              <w:top w:val="nil"/>
              <w:left w:val="single" w:sz="4" w:space="0" w:color="auto"/>
              <w:bottom w:val="nil"/>
              <w:right w:val="nil"/>
            </w:tcBorders>
            <w:shd w:val="clear" w:color="auto" w:fill="auto"/>
            <w:vAlign w:val="center"/>
            <w:hideMark/>
          </w:tcPr>
          <w:p w14:paraId="299DDB55" w14:textId="77777777" w:rsidR="00387142" w:rsidRPr="008B6A75" w:rsidRDefault="00387142" w:rsidP="00387142">
            <w:pPr>
              <w:rPr>
                <w:bCs/>
                <w:sz w:val="20"/>
                <w:szCs w:val="20"/>
              </w:rPr>
            </w:pPr>
            <w:proofErr w:type="spellStart"/>
            <w:r w:rsidRPr="008B6A75">
              <w:rPr>
                <w:bCs/>
                <w:sz w:val="20"/>
                <w:szCs w:val="20"/>
              </w:rPr>
              <w:t>Софинансирование</w:t>
            </w:r>
            <w:proofErr w:type="spellEnd"/>
            <w:r w:rsidRPr="008B6A75">
              <w:rPr>
                <w:bCs/>
                <w:sz w:val="20"/>
                <w:szCs w:val="20"/>
              </w:rPr>
              <w:t xml:space="preserve"> местного бюджета на реализацию мероприятий по организации бесперебойной работы объектов жизнедеятельности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w:t>
            </w:r>
          </w:p>
        </w:tc>
        <w:tc>
          <w:tcPr>
            <w:tcW w:w="850" w:type="dxa"/>
            <w:tcBorders>
              <w:top w:val="nil"/>
              <w:left w:val="single" w:sz="4" w:space="0" w:color="auto"/>
              <w:bottom w:val="nil"/>
              <w:right w:val="nil"/>
            </w:tcBorders>
            <w:shd w:val="clear" w:color="auto" w:fill="auto"/>
            <w:noWrap/>
            <w:vAlign w:val="center"/>
            <w:hideMark/>
          </w:tcPr>
          <w:p w14:paraId="27F425A5" w14:textId="77777777" w:rsidR="00387142" w:rsidRPr="008B6A75" w:rsidRDefault="00387142" w:rsidP="00387142">
            <w:pPr>
              <w:jc w:val="center"/>
              <w:rPr>
                <w:bCs/>
                <w:sz w:val="20"/>
                <w:szCs w:val="20"/>
              </w:rPr>
            </w:pPr>
            <w:r w:rsidRPr="008B6A75">
              <w:rPr>
                <w:bCs/>
                <w:sz w:val="20"/>
                <w:szCs w:val="20"/>
              </w:rPr>
              <w:t>444</w:t>
            </w:r>
          </w:p>
        </w:tc>
        <w:tc>
          <w:tcPr>
            <w:tcW w:w="709" w:type="dxa"/>
            <w:tcBorders>
              <w:top w:val="nil"/>
              <w:left w:val="single" w:sz="4" w:space="0" w:color="auto"/>
              <w:bottom w:val="nil"/>
              <w:right w:val="nil"/>
            </w:tcBorders>
            <w:shd w:val="clear" w:color="auto" w:fill="auto"/>
            <w:noWrap/>
            <w:vAlign w:val="center"/>
            <w:hideMark/>
          </w:tcPr>
          <w:p w14:paraId="5C54F5A5" w14:textId="77777777" w:rsidR="00387142" w:rsidRPr="008B6A75" w:rsidRDefault="00387142" w:rsidP="00387142">
            <w:pPr>
              <w:jc w:val="center"/>
              <w:rPr>
                <w:bCs/>
                <w:sz w:val="20"/>
                <w:szCs w:val="20"/>
              </w:rPr>
            </w:pPr>
            <w:r w:rsidRPr="008B6A75">
              <w:rPr>
                <w:bCs/>
                <w:sz w:val="20"/>
                <w:szCs w:val="20"/>
              </w:rPr>
              <w:t>05</w:t>
            </w:r>
          </w:p>
        </w:tc>
        <w:tc>
          <w:tcPr>
            <w:tcW w:w="709" w:type="dxa"/>
            <w:tcBorders>
              <w:top w:val="nil"/>
              <w:left w:val="single" w:sz="4" w:space="0" w:color="auto"/>
              <w:bottom w:val="nil"/>
              <w:right w:val="single" w:sz="4" w:space="0" w:color="auto"/>
            </w:tcBorders>
            <w:shd w:val="clear" w:color="auto" w:fill="auto"/>
            <w:noWrap/>
            <w:vAlign w:val="center"/>
            <w:hideMark/>
          </w:tcPr>
          <w:p w14:paraId="42609874" w14:textId="77777777" w:rsidR="00387142" w:rsidRPr="008B6A75" w:rsidRDefault="00387142" w:rsidP="00387142">
            <w:pPr>
              <w:jc w:val="center"/>
              <w:rPr>
                <w:bCs/>
                <w:sz w:val="20"/>
                <w:szCs w:val="20"/>
              </w:rPr>
            </w:pPr>
            <w:r w:rsidRPr="008B6A75">
              <w:rPr>
                <w:bCs/>
                <w:sz w:val="20"/>
                <w:szCs w:val="20"/>
              </w:rPr>
              <w:t>02</w:t>
            </w:r>
          </w:p>
        </w:tc>
        <w:tc>
          <w:tcPr>
            <w:tcW w:w="1411" w:type="dxa"/>
            <w:tcBorders>
              <w:top w:val="nil"/>
              <w:left w:val="single" w:sz="4" w:space="0" w:color="auto"/>
              <w:bottom w:val="nil"/>
              <w:right w:val="nil"/>
            </w:tcBorders>
            <w:shd w:val="clear" w:color="auto" w:fill="auto"/>
            <w:noWrap/>
            <w:vAlign w:val="center"/>
            <w:hideMark/>
          </w:tcPr>
          <w:p w14:paraId="0EC567FF" w14:textId="77777777" w:rsidR="00387142" w:rsidRPr="008B6A75" w:rsidRDefault="00387142" w:rsidP="00387142">
            <w:pPr>
              <w:jc w:val="center"/>
              <w:rPr>
                <w:bCs/>
                <w:sz w:val="20"/>
                <w:szCs w:val="20"/>
              </w:rPr>
            </w:pPr>
            <w:r w:rsidRPr="008B6A75">
              <w:rPr>
                <w:bCs/>
                <w:sz w:val="20"/>
                <w:szCs w:val="20"/>
              </w:rPr>
              <w:t>17.3.00.S0600</w:t>
            </w:r>
          </w:p>
        </w:tc>
        <w:tc>
          <w:tcPr>
            <w:tcW w:w="955" w:type="dxa"/>
            <w:tcBorders>
              <w:top w:val="nil"/>
              <w:left w:val="single" w:sz="4" w:space="0" w:color="auto"/>
              <w:bottom w:val="nil"/>
              <w:right w:val="single" w:sz="4" w:space="0" w:color="auto"/>
            </w:tcBorders>
            <w:shd w:val="clear" w:color="auto" w:fill="auto"/>
            <w:noWrap/>
            <w:vAlign w:val="center"/>
            <w:hideMark/>
          </w:tcPr>
          <w:p w14:paraId="46334A8C"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nil"/>
              <w:right w:val="single" w:sz="4" w:space="0" w:color="auto"/>
            </w:tcBorders>
            <w:shd w:val="clear" w:color="auto" w:fill="auto"/>
            <w:noWrap/>
            <w:vAlign w:val="center"/>
            <w:hideMark/>
          </w:tcPr>
          <w:p w14:paraId="38BFBD71" w14:textId="77777777" w:rsidR="00387142" w:rsidRPr="008B6A75" w:rsidRDefault="00387142" w:rsidP="00387142">
            <w:pPr>
              <w:jc w:val="right"/>
              <w:rPr>
                <w:bCs/>
                <w:sz w:val="20"/>
                <w:szCs w:val="20"/>
              </w:rPr>
            </w:pPr>
            <w:r w:rsidRPr="008B6A75">
              <w:rPr>
                <w:bCs/>
                <w:sz w:val="20"/>
                <w:szCs w:val="20"/>
              </w:rPr>
              <w:t>157 732,42</w:t>
            </w:r>
          </w:p>
        </w:tc>
        <w:tc>
          <w:tcPr>
            <w:tcW w:w="992" w:type="dxa"/>
            <w:gridSpan w:val="2"/>
            <w:tcBorders>
              <w:top w:val="nil"/>
              <w:left w:val="single" w:sz="4" w:space="0" w:color="auto"/>
              <w:bottom w:val="nil"/>
              <w:right w:val="nil"/>
            </w:tcBorders>
            <w:shd w:val="clear" w:color="auto" w:fill="auto"/>
            <w:noWrap/>
            <w:vAlign w:val="center"/>
            <w:hideMark/>
          </w:tcPr>
          <w:p w14:paraId="2ED37710" w14:textId="77777777" w:rsidR="00387142" w:rsidRPr="008B6A75" w:rsidRDefault="00387142" w:rsidP="00387142">
            <w:pPr>
              <w:jc w:val="right"/>
              <w:rPr>
                <w:bCs/>
                <w:sz w:val="20"/>
                <w:szCs w:val="20"/>
              </w:rPr>
            </w:pPr>
            <w:r w:rsidRPr="008B6A75">
              <w:rPr>
                <w:bCs/>
                <w:sz w:val="20"/>
                <w:szCs w:val="20"/>
              </w:rPr>
              <w:t>0,00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018B6095" w14:textId="77777777" w:rsidR="00387142" w:rsidRPr="008B6A75" w:rsidRDefault="00387142" w:rsidP="00387142">
            <w:pPr>
              <w:jc w:val="right"/>
              <w:rPr>
                <w:bCs/>
                <w:sz w:val="20"/>
                <w:szCs w:val="20"/>
              </w:rPr>
            </w:pPr>
            <w:r w:rsidRPr="008B6A75">
              <w:rPr>
                <w:bCs/>
                <w:sz w:val="20"/>
                <w:szCs w:val="20"/>
              </w:rPr>
              <w:t>0,00</w:t>
            </w:r>
          </w:p>
        </w:tc>
        <w:tc>
          <w:tcPr>
            <w:tcW w:w="222" w:type="dxa"/>
            <w:vAlign w:val="center"/>
            <w:hideMark/>
          </w:tcPr>
          <w:p w14:paraId="5B04D758" w14:textId="77777777" w:rsidR="00387142" w:rsidRPr="008B6A75" w:rsidRDefault="00387142" w:rsidP="00387142">
            <w:pPr>
              <w:rPr>
                <w:sz w:val="20"/>
                <w:szCs w:val="20"/>
              </w:rPr>
            </w:pPr>
          </w:p>
        </w:tc>
      </w:tr>
      <w:tr w:rsidR="00387142" w:rsidRPr="008B6A75" w14:paraId="1FC61ECD" w14:textId="77777777" w:rsidTr="00387142">
        <w:trPr>
          <w:trHeight w:val="300"/>
        </w:trPr>
        <w:tc>
          <w:tcPr>
            <w:tcW w:w="3021" w:type="dxa"/>
            <w:tcBorders>
              <w:top w:val="single" w:sz="4" w:space="0" w:color="auto"/>
              <w:left w:val="single" w:sz="4" w:space="0" w:color="auto"/>
              <w:bottom w:val="nil"/>
              <w:right w:val="nil"/>
            </w:tcBorders>
            <w:shd w:val="clear" w:color="auto" w:fill="auto"/>
            <w:vAlign w:val="center"/>
            <w:hideMark/>
          </w:tcPr>
          <w:p w14:paraId="45A11DC3" w14:textId="77777777" w:rsidR="00387142" w:rsidRPr="008B6A75" w:rsidRDefault="00387142" w:rsidP="00387142">
            <w:pPr>
              <w:rPr>
                <w:sz w:val="20"/>
                <w:szCs w:val="20"/>
              </w:rPr>
            </w:pPr>
            <w:r w:rsidRPr="008B6A75">
              <w:rPr>
                <w:sz w:val="20"/>
                <w:szCs w:val="20"/>
              </w:rPr>
              <w:t>Иные бюджетные ассигнования</w:t>
            </w:r>
          </w:p>
        </w:tc>
        <w:tc>
          <w:tcPr>
            <w:tcW w:w="850" w:type="dxa"/>
            <w:tcBorders>
              <w:top w:val="single" w:sz="4" w:space="0" w:color="auto"/>
              <w:left w:val="single" w:sz="4" w:space="0" w:color="auto"/>
              <w:bottom w:val="nil"/>
              <w:right w:val="nil"/>
            </w:tcBorders>
            <w:shd w:val="clear" w:color="auto" w:fill="auto"/>
            <w:noWrap/>
            <w:vAlign w:val="center"/>
            <w:hideMark/>
          </w:tcPr>
          <w:p w14:paraId="50FFA9D7" w14:textId="77777777" w:rsidR="00387142" w:rsidRPr="008B6A75" w:rsidRDefault="00387142" w:rsidP="00387142">
            <w:pPr>
              <w:jc w:val="center"/>
              <w:rPr>
                <w:sz w:val="20"/>
                <w:szCs w:val="20"/>
              </w:rPr>
            </w:pPr>
            <w:r w:rsidRPr="008B6A75">
              <w:rPr>
                <w:sz w:val="20"/>
                <w:szCs w:val="20"/>
              </w:rPr>
              <w:t>444</w:t>
            </w:r>
          </w:p>
        </w:tc>
        <w:tc>
          <w:tcPr>
            <w:tcW w:w="709" w:type="dxa"/>
            <w:tcBorders>
              <w:top w:val="single" w:sz="4" w:space="0" w:color="auto"/>
              <w:left w:val="single" w:sz="4" w:space="0" w:color="auto"/>
              <w:bottom w:val="nil"/>
              <w:right w:val="nil"/>
            </w:tcBorders>
            <w:shd w:val="clear" w:color="auto" w:fill="auto"/>
            <w:noWrap/>
            <w:vAlign w:val="center"/>
            <w:hideMark/>
          </w:tcPr>
          <w:p w14:paraId="7B237B70" w14:textId="77777777" w:rsidR="00387142" w:rsidRPr="008B6A75" w:rsidRDefault="00387142" w:rsidP="00387142">
            <w:pPr>
              <w:jc w:val="center"/>
              <w:rPr>
                <w:sz w:val="20"/>
                <w:szCs w:val="20"/>
              </w:rPr>
            </w:pPr>
            <w:r w:rsidRPr="008B6A75">
              <w:rPr>
                <w:sz w:val="20"/>
                <w:szCs w:val="20"/>
              </w:rPr>
              <w:t>05</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1B436BD4" w14:textId="77777777" w:rsidR="00387142" w:rsidRPr="008B6A75" w:rsidRDefault="00387142" w:rsidP="00387142">
            <w:pPr>
              <w:jc w:val="center"/>
              <w:rPr>
                <w:sz w:val="20"/>
                <w:szCs w:val="20"/>
              </w:rPr>
            </w:pPr>
            <w:r w:rsidRPr="008B6A75">
              <w:rPr>
                <w:sz w:val="20"/>
                <w:szCs w:val="20"/>
              </w:rPr>
              <w:t>02</w:t>
            </w:r>
          </w:p>
        </w:tc>
        <w:tc>
          <w:tcPr>
            <w:tcW w:w="1411" w:type="dxa"/>
            <w:tcBorders>
              <w:top w:val="single" w:sz="4" w:space="0" w:color="auto"/>
              <w:left w:val="single" w:sz="4" w:space="0" w:color="auto"/>
              <w:bottom w:val="nil"/>
              <w:right w:val="nil"/>
            </w:tcBorders>
            <w:shd w:val="clear" w:color="auto" w:fill="auto"/>
            <w:noWrap/>
            <w:vAlign w:val="center"/>
            <w:hideMark/>
          </w:tcPr>
          <w:p w14:paraId="048C6C7A" w14:textId="77777777" w:rsidR="00387142" w:rsidRPr="008B6A75" w:rsidRDefault="00387142" w:rsidP="00387142">
            <w:pPr>
              <w:jc w:val="center"/>
              <w:rPr>
                <w:sz w:val="20"/>
                <w:szCs w:val="20"/>
              </w:rPr>
            </w:pPr>
            <w:r w:rsidRPr="008B6A75">
              <w:rPr>
                <w:sz w:val="20"/>
                <w:szCs w:val="20"/>
              </w:rPr>
              <w:t>17.3.00.S0600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1A2A2A3D" w14:textId="77777777" w:rsidR="00387142" w:rsidRPr="008B6A75" w:rsidRDefault="00387142" w:rsidP="00387142">
            <w:pPr>
              <w:jc w:val="center"/>
              <w:rPr>
                <w:sz w:val="20"/>
                <w:szCs w:val="20"/>
              </w:rPr>
            </w:pPr>
            <w:r w:rsidRPr="008B6A75">
              <w:rPr>
                <w:sz w:val="20"/>
                <w:szCs w:val="20"/>
              </w:rPr>
              <w:t>800</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5EA31630" w14:textId="77777777" w:rsidR="00387142" w:rsidRPr="008B6A75" w:rsidRDefault="00387142" w:rsidP="00387142">
            <w:pPr>
              <w:jc w:val="right"/>
              <w:rPr>
                <w:sz w:val="20"/>
                <w:szCs w:val="20"/>
              </w:rPr>
            </w:pPr>
            <w:r w:rsidRPr="008B6A75">
              <w:rPr>
                <w:sz w:val="20"/>
                <w:szCs w:val="20"/>
              </w:rPr>
              <w:t>157 732,42</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319719D6" w14:textId="77777777" w:rsidR="00387142" w:rsidRPr="008B6A75" w:rsidRDefault="00387142" w:rsidP="00387142">
            <w:pPr>
              <w:jc w:val="right"/>
              <w:rPr>
                <w:sz w:val="20"/>
                <w:szCs w:val="20"/>
              </w:rPr>
            </w:pPr>
            <w:r w:rsidRPr="008B6A75">
              <w:rPr>
                <w:sz w:val="20"/>
                <w:szCs w:val="20"/>
              </w:rPr>
              <w:t>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0CC6FDE3" w14:textId="77777777" w:rsidR="00387142" w:rsidRPr="008B6A75" w:rsidRDefault="00387142" w:rsidP="00387142">
            <w:pPr>
              <w:jc w:val="right"/>
              <w:rPr>
                <w:sz w:val="20"/>
                <w:szCs w:val="20"/>
              </w:rPr>
            </w:pPr>
            <w:r w:rsidRPr="008B6A75">
              <w:rPr>
                <w:sz w:val="20"/>
                <w:szCs w:val="20"/>
              </w:rPr>
              <w:t>0,00</w:t>
            </w:r>
          </w:p>
        </w:tc>
        <w:tc>
          <w:tcPr>
            <w:tcW w:w="222" w:type="dxa"/>
            <w:vAlign w:val="center"/>
            <w:hideMark/>
          </w:tcPr>
          <w:p w14:paraId="4906AA75" w14:textId="77777777" w:rsidR="00387142" w:rsidRPr="008B6A75" w:rsidRDefault="00387142" w:rsidP="00387142">
            <w:pPr>
              <w:rPr>
                <w:sz w:val="20"/>
                <w:szCs w:val="20"/>
              </w:rPr>
            </w:pPr>
          </w:p>
        </w:tc>
      </w:tr>
      <w:tr w:rsidR="00387142" w:rsidRPr="008B6A75" w14:paraId="66AF1A97" w14:textId="77777777" w:rsidTr="00387142">
        <w:trPr>
          <w:trHeight w:val="1155"/>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0E985F37" w14:textId="77777777" w:rsidR="00387142" w:rsidRPr="008B6A75" w:rsidRDefault="00387142" w:rsidP="00387142">
            <w:pPr>
              <w:rPr>
                <w:sz w:val="20"/>
                <w:szCs w:val="20"/>
              </w:rPr>
            </w:pPr>
            <w:r w:rsidRPr="008B6A75">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06897210" w14:textId="77777777" w:rsidR="00387142" w:rsidRPr="008B6A75" w:rsidRDefault="00387142" w:rsidP="00387142">
            <w:pPr>
              <w:jc w:val="center"/>
              <w:rPr>
                <w:sz w:val="20"/>
                <w:szCs w:val="20"/>
              </w:rPr>
            </w:pPr>
            <w:r w:rsidRPr="008B6A75">
              <w:rPr>
                <w:sz w:val="20"/>
                <w:szCs w:val="20"/>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61E98250" w14:textId="77777777" w:rsidR="00387142" w:rsidRPr="008B6A75" w:rsidRDefault="00387142" w:rsidP="00387142">
            <w:pPr>
              <w:jc w:val="center"/>
              <w:rPr>
                <w:sz w:val="20"/>
                <w:szCs w:val="20"/>
              </w:rPr>
            </w:pPr>
            <w:r w:rsidRPr="008B6A75">
              <w:rPr>
                <w:sz w:val="20"/>
                <w:szCs w:val="20"/>
              </w:rPr>
              <w:t>05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39213C" w14:textId="77777777" w:rsidR="00387142" w:rsidRPr="008B6A75" w:rsidRDefault="00387142" w:rsidP="00387142">
            <w:pPr>
              <w:jc w:val="center"/>
              <w:rPr>
                <w:sz w:val="20"/>
                <w:szCs w:val="20"/>
              </w:rPr>
            </w:pPr>
            <w:r w:rsidRPr="008B6A75">
              <w:rPr>
                <w:sz w:val="20"/>
                <w:szCs w:val="20"/>
              </w:rPr>
              <w:t>02</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68BCE365" w14:textId="77777777" w:rsidR="00387142" w:rsidRPr="008B6A75" w:rsidRDefault="00387142" w:rsidP="00387142">
            <w:pPr>
              <w:jc w:val="center"/>
              <w:rPr>
                <w:sz w:val="20"/>
                <w:szCs w:val="20"/>
              </w:rPr>
            </w:pPr>
            <w:r w:rsidRPr="008B6A75">
              <w:rPr>
                <w:sz w:val="20"/>
                <w:szCs w:val="20"/>
              </w:rPr>
              <w:t>17.3.00.S0600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6C8969" w14:textId="77777777" w:rsidR="00387142" w:rsidRPr="008B6A75" w:rsidRDefault="00387142" w:rsidP="00387142">
            <w:pPr>
              <w:jc w:val="center"/>
              <w:rPr>
                <w:sz w:val="20"/>
                <w:szCs w:val="20"/>
              </w:rPr>
            </w:pPr>
            <w:r w:rsidRPr="008B6A75">
              <w:rPr>
                <w:sz w:val="20"/>
                <w:szCs w:val="20"/>
              </w:rPr>
              <w:t>810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E05451" w14:textId="77777777" w:rsidR="00387142" w:rsidRPr="008B6A75" w:rsidRDefault="00387142" w:rsidP="00387142">
            <w:pPr>
              <w:jc w:val="right"/>
              <w:rPr>
                <w:sz w:val="20"/>
                <w:szCs w:val="20"/>
              </w:rPr>
            </w:pPr>
            <w:r w:rsidRPr="008B6A75">
              <w:rPr>
                <w:sz w:val="20"/>
                <w:szCs w:val="20"/>
              </w:rPr>
              <w:t>157 732,42</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580F72BA" w14:textId="77777777" w:rsidR="00387142" w:rsidRPr="008B6A75" w:rsidRDefault="00387142" w:rsidP="00387142">
            <w:pPr>
              <w:jc w:val="right"/>
              <w:rPr>
                <w:sz w:val="20"/>
                <w:szCs w:val="20"/>
              </w:rPr>
            </w:pPr>
            <w:r w:rsidRPr="008B6A75">
              <w:rPr>
                <w:sz w:val="20"/>
                <w:szCs w:val="20"/>
              </w:rPr>
              <w:t>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B13876" w14:textId="77777777" w:rsidR="00387142" w:rsidRPr="008B6A75" w:rsidRDefault="00387142" w:rsidP="00387142">
            <w:pPr>
              <w:jc w:val="right"/>
              <w:rPr>
                <w:sz w:val="20"/>
                <w:szCs w:val="20"/>
              </w:rPr>
            </w:pPr>
            <w:r w:rsidRPr="008B6A75">
              <w:rPr>
                <w:sz w:val="20"/>
                <w:szCs w:val="20"/>
              </w:rPr>
              <w:t>0,00</w:t>
            </w:r>
          </w:p>
        </w:tc>
        <w:tc>
          <w:tcPr>
            <w:tcW w:w="222" w:type="dxa"/>
            <w:vAlign w:val="center"/>
            <w:hideMark/>
          </w:tcPr>
          <w:p w14:paraId="20D0007A" w14:textId="77777777" w:rsidR="00387142" w:rsidRPr="008B6A75" w:rsidRDefault="00387142" w:rsidP="00387142">
            <w:pPr>
              <w:rPr>
                <w:sz w:val="20"/>
                <w:szCs w:val="20"/>
              </w:rPr>
            </w:pPr>
          </w:p>
        </w:tc>
      </w:tr>
      <w:tr w:rsidR="00387142" w:rsidRPr="008B6A75" w14:paraId="4613F063" w14:textId="77777777" w:rsidTr="00387142">
        <w:trPr>
          <w:trHeight w:val="300"/>
        </w:trPr>
        <w:tc>
          <w:tcPr>
            <w:tcW w:w="3021" w:type="dxa"/>
            <w:tcBorders>
              <w:top w:val="nil"/>
              <w:left w:val="single" w:sz="4" w:space="0" w:color="auto"/>
              <w:bottom w:val="nil"/>
              <w:right w:val="nil"/>
            </w:tcBorders>
            <w:shd w:val="clear" w:color="auto" w:fill="auto"/>
            <w:vAlign w:val="center"/>
            <w:hideMark/>
          </w:tcPr>
          <w:p w14:paraId="669BFDA0" w14:textId="77777777" w:rsidR="00387142" w:rsidRPr="008B6A75" w:rsidRDefault="00387142" w:rsidP="00387142">
            <w:pPr>
              <w:rPr>
                <w:bCs/>
                <w:sz w:val="20"/>
                <w:szCs w:val="20"/>
              </w:rPr>
            </w:pPr>
            <w:r w:rsidRPr="008B6A75">
              <w:rPr>
                <w:bCs/>
                <w:sz w:val="20"/>
                <w:szCs w:val="20"/>
              </w:rPr>
              <w:t>Непрограммные направления бюджета</w:t>
            </w:r>
          </w:p>
        </w:tc>
        <w:tc>
          <w:tcPr>
            <w:tcW w:w="850" w:type="dxa"/>
            <w:tcBorders>
              <w:top w:val="nil"/>
              <w:left w:val="single" w:sz="4" w:space="0" w:color="auto"/>
              <w:bottom w:val="nil"/>
              <w:right w:val="nil"/>
            </w:tcBorders>
            <w:shd w:val="clear" w:color="auto" w:fill="auto"/>
            <w:noWrap/>
            <w:vAlign w:val="center"/>
            <w:hideMark/>
          </w:tcPr>
          <w:p w14:paraId="095DDD1D" w14:textId="77777777" w:rsidR="00387142" w:rsidRPr="008B6A75" w:rsidRDefault="00387142" w:rsidP="00387142">
            <w:pPr>
              <w:jc w:val="center"/>
              <w:rPr>
                <w:bCs/>
                <w:sz w:val="20"/>
                <w:szCs w:val="20"/>
              </w:rPr>
            </w:pPr>
            <w:r w:rsidRPr="008B6A75">
              <w:rPr>
                <w:bCs/>
                <w:sz w:val="20"/>
                <w:szCs w:val="20"/>
              </w:rPr>
              <w:t>444</w:t>
            </w:r>
          </w:p>
        </w:tc>
        <w:tc>
          <w:tcPr>
            <w:tcW w:w="709" w:type="dxa"/>
            <w:tcBorders>
              <w:top w:val="nil"/>
              <w:left w:val="single" w:sz="4" w:space="0" w:color="auto"/>
              <w:bottom w:val="nil"/>
              <w:right w:val="nil"/>
            </w:tcBorders>
            <w:shd w:val="clear" w:color="auto" w:fill="auto"/>
            <w:noWrap/>
            <w:vAlign w:val="center"/>
            <w:hideMark/>
          </w:tcPr>
          <w:p w14:paraId="70F849EB" w14:textId="77777777" w:rsidR="00387142" w:rsidRPr="008B6A75" w:rsidRDefault="00387142" w:rsidP="00387142">
            <w:pPr>
              <w:jc w:val="center"/>
              <w:rPr>
                <w:bCs/>
                <w:sz w:val="20"/>
                <w:szCs w:val="20"/>
              </w:rPr>
            </w:pPr>
            <w:r w:rsidRPr="008B6A75">
              <w:rPr>
                <w:bCs/>
                <w:sz w:val="20"/>
                <w:szCs w:val="20"/>
              </w:rPr>
              <w:t>05</w:t>
            </w:r>
          </w:p>
        </w:tc>
        <w:tc>
          <w:tcPr>
            <w:tcW w:w="709" w:type="dxa"/>
            <w:tcBorders>
              <w:top w:val="nil"/>
              <w:left w:val="single" w:sz="4" w:space="0" w:color="auto"/>
              <w:bottom w:val="nil"/>
              <w:right w:val="single" w:sz="4" w:space="0" w:color="auto"/>
            </w:tcBorders>
            <w:shd w:val="clear" w:color="auto" w:fill="auto"/>
            <w:noWrap/>
            <w:vAlign w:val="center"/>
            <w:hideMark/>
          </w:tcPr>
          <w:p w14:paraId="0038B8E8" w14:textId="77777777" w:rsidR="00387142" w:rsidRPr="008B6A75" w:rsidRDefault="00387142" w:rsidP="00387142">
            <w:pPr>
              <w:jc w:val="center"/>
              <w:rPr>
                <w:bCs/>
                <w:sz w:val="20"/>
                <w:szCs w:val="20"/>
              </w:rPr>
            </w:pPr>
            <w:r w:rsidRPr="008B6A75">
              <w:rPr>
                <w:bCs/>
                <w:sz w:val="20"/>
                <w:szCs w:val="20"/>
              </w:rPr>
              <w:t>02</w:t>
            </w:r>
          </w:p>
        </w:tc>
        <w:tc>
          <w:tcPr>
            <w:tcW w:w="1411" w:type="dxa"/>
            <w:tcBorders>
              <w:top w:val="nil"/>
              <w:left w:val="single" w:sz="4" w:space="0" w:color="auto"/>
              <w:bottom w:val="nil"/>
              <w:right w:val="nil"/>
            </w:tcBorders>
            <w:shd w:val="clear" w:color="auto" w:fill="auto"/>
            <w:noWrap/>
            <w:vAlign w:val="center"/>
            <w:hideMark/>
          </w:tcPr>
          <w:p w14:paraId="1B1A4B90" w14:textId="77777777" w:rsidR="00387142" w:rsidRPr="008B6A75" w:rsidRDefault="00387142" w:rsidP="00387142">
            <w:pPr>
              <w:jc w:val="center"/>
              <w:rPr>
                <w:bCs/>
                <w:sz w:val="20"/>
                <w:szCs w:val="20"/>
              </w:rPr>
            </w:pPr>
            <w:r w:rsidRPr="008B6A75">
              <w:rPr>
                <w:bCs/>
                <w:sz w:val="20"/>
                <w:szCs w:val="20"/>
              </w:rPr>
              <w:t>99.0.00.00000</w:t>
            </w:r>
          </w:p>
        </w:tc>
        <w:tc>
          <w:tcPr>
            <w:tcW w:w="955" w:type="dxa"/>
            <w:tcBorders>
              <w:top w:val="nil"/>
              <w:left w:val="single" w:sz="4" w:space="0" w:color="auto"/>
              <w:bottom w:val="nil"/>
              <w:right w:val="single" w:sz="4" w:space="0" w:color="auto"/>
            </w:tcBorders>
            <w:shd w:val="clear" w:color="auto" w:fill="auto"/>
            <w:noWrap/>
            <w:vAlign w:val="center"/>
            <w:hideMark/>
          </w:tcPr>
          <w:p w14:paraId="5AD19E64"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nil"/>
              <w:right w:val="single" w:sz="4" w:space="0" w:color="auto"/>
            </w:tcBorders>
            <w:shd w:val="clear" w:color="auto" w:fill="auto"/>
            <w:noWrap/>
            <w:vAlign w:val="center"/>
            <w:hideMark/>
          </w:tcPr>
          <w:p w14:paraId="36B64AB4" w14:textId="77777777" w:rsidR="00387142" w:rsidRPr="008B6A75" w:rsidRDefault="00387142" w:rsidP="00387142">
            <w:pPr>
              <w:jc w:val="right"/>
              <w:rPr>
                <w:bCs/>
                <w:sz w:val="20"/>
                <w:szCs w:val="20"/>
              </w:rPr>
            </w:pPr>
            <w:r w:rsidRPr="008B6A75">
              <w:rPr>
                <w:bCs/>
                <w:sz w:val="20"/>
                <w:szCs w:val="20"/>
              </w:rPr>
              <w:t>4 042 414,41</w:t>
            </w:r>
          </w:p>
        </w:tc>
        <w:tc>
          <w:tcPr>
            <w:tcW w:w="992" w:type="dxa"/>
            <w:gridSpan w:val="2"/>
            <w:tcBorders>
              <w:top w:val="nil"/>
              <w:left w:val="single" w:sz="4" w:space="0" w:color="auto"/>
              <w:bottom w:val="nil"/>
              <w:right w:val="nil"/>
            </w:tcBorders>
            <w:shd w:val="clear" w:color="auto" w:fill="auto"/>
            <w:noWrap/>
            <w:vAlign w:val="center"/>
            <w:hideMark/>
          </w:tcPr>
          <w:p w14:paraId="0A5CB635" w14:textId="77777777" w:rsidR="00387142" w:rsidRPr="008B6A75" w:rsidRDefault="00387142" w:rsidP="00387142">
            <w:pPr>
              <w:jc w:val="right"/>
              <w:rPr>
                <w:bCs/>
                <w:sz w:val="20"/>
                <w:szCs w:val="20"/>
              </w:rPr>
            </w:pPr>
            <w:r w:rsidRPr="008B6A75">
              <w:rPr>
                <w:bCs/>
                <w:sz w:val="20"/>
                <w:szCs w:val="20"/>
              </w:rPr>
              <w:t>0,00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21C6C86D" w14:textId="77777777" w:rsidR="00387142" w:rsidRPr="008B6A75" w:rsidRDefault="00387142" w:rsidP="00387142">
            <w:pPr>
              <w:jc w:val="right"/>
              <w:rPr>
                <w:bCs/>
                <w:sz w:val="20"/>
                <w:szCs w:val="20"/>
              </w:rPr>
            </w:pPr>
            <w:r w:rsidRPr="008B6A75">
              <w:rPr>
                <w:bCs/>
                <w:sz w:val="20"/>
                <w:szCs w:val="20"/>
              </w:rPr>
              <w:t>0,00</w:t>
            </w:r>
          </w:p>
        </w:tc>
        <w:tc>
          <w:tcPr>
            <w:tcW w:w="222" w:type="dxa"/>
            <w:vAlign w:val="center"/>
            <w:hideMark/>
          </w:tcPr>
          <w:p w14:paraId="6203C7C6" w14:textId="77777777" w:rsidR="00387142" w:rsidRPr="008B6A75" w:rsidRDefault="00387142" w:rsidP="00387142">
            <w:pPr>
              <w:rPr>
                <w:sz w:val="20"/>
                <w:szCs w:val="20"/>
              </w:rPr>
            </w:pPr>
          </w:p>
        </w:tc>
      </w:tr>
      <w:tr w:rsidR="00387142" w:rsidRPr="008B6A75" w14:paraId="1662EB12" w14:textId="77777777" w:rsidTr="00387142">
        <w:trPr>
          <w:trHeight w:val="300"/>
        </w:trPr>
        <w:tc>
          <w:tcPr>
            <w:tcW w:w="3021" w:type="dxa"/>
            <w:tcBorders>
              <w:top w:val="single" w:sz="4" w:space="0" w:color="auto"/>
              <w:left w:val="single" w:sz="4" w:space="0" w:color="auto"/>
              <w:bottom w:val="nil"/>
              <w:right w:val="nil"/>
            </w:tcBorders>
            <w:shd w:val="clear" w:color="auto" w:fill="auto"/>
            <w:vAlign w:val="center"/>
            <w:hideMark/>
          </w:tcPr>
          <w:p w14:paraId="05F9F0AB" w14:textId="77777777" w:rsidR="00387142" w:rsidRPr="008B6A75" w:rsidRDefault="00387142" w:rsidP="00387142">
            <w:pPr>
              <w:rPr>
                <w:bCs/>
                <w:sz w:val="20"/>
                <w:szCs w:val="20"/>
              </w:rPr>
            </w:pPr>
            <w:r w:rsidRPr="008B6A75">
              <w:rPr>
                <w:bCs/>
                <w:sz w:val="20"/>
                <w:szCs w:val="20"/>
              </w:rPr>
              <w:t>Резервные фонды местного бюджета</w:t>
            </w:r>
          </w:p>
        </w:tc>
        <w:tc>
          <w:tcPr>
            <w:tcW w:w="850" w:type="dxa"/>
            <w:tcBorders>
              <w:top w:val="single" w:sz="4" w:space="0" w:color="auto"/>
              <w:left w:val="single" w:sz="4" w:space="0" w:color="auto"/>
              <w:bottom w:val="nil"/>
              <w:right w:val="nil"/>
            </w:tcBorders>
            <w:shd w:val="clear" w:color="auto" w:fill="auto"/>
            <w:noWrap/>
            <w:vAlign w:val="center"/>
            <w:hideMark/>
          </w:tcPr>
          <w:p w14:paraId="60927668" w14:textId="77777777" w:rsidR="00387142" w:rsidRPr="008B6A75" w:rsidRDefault="00387142" w:rsidP="00387142">
            <w:pPr>
              <w:jc w:val="center"/>
              <w:rPr>
                <w:bCs/>
                <w:sz w:val="20"/>
                <w:szCs w:val="20"/>
              </w:rPr>
            </w:pPr>
            <w:r w:rsidRPr="008B6A75">
              <w:rPr>
                <w:bCs/>
                <w:sz w:val="20"/>
                <w:szCs w:val="20"/>
              </w:rPr>
              <w:t>444</w:t>
            </w:r>
          </w:p>
        </w:tc>
        <w:tc>
          <w:tcPr>
            <w:tcW w:w="709" w:type="dxa"/>
            <w:tcBorders>
              <w:top w:val="single" w:sz="4" w:space="0" w:color="auto"/>
              <w:left w:val="single" w:sz="4" w:space="0" w:color="auto"/>
              <w:bottom w:val="nil"/>
              <w:right w:val="nil"/>
            </w:tcBorders>
            <w:shd w:val="clear" w:color="auto" w:fill="auto"/>
            <w:noWrap/>
            <w:vAlign w:val="center"/>
            <w:hideMark/>
          </w:tcPr>
          <w:p w14:paraId="6DD56D03" w14:textId="77777777" w:rsidR="00387142" w:rsidRPr="008B6A75" w:rsidRDefault="00387142" w:rsidP="00387142">
            <w:pPr>
              <w:jc w:val="center"/>
              <w:rPr>
                <w:bCs/>
                <w:sz w:val="20"/>
                <w:szCs w:val="20"/>
              </w:rPr>
            </w:pPr>
            <w:r w:rsidRPr="008B6A75">
              <w:rPr>
                <w:bCs/>
                <w:sz w:val="20"/>
                <w:szCs w:val="20"/>
              </w:rPr>
              <w:t>05</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2FC4083F" w14:textId="77777777" w:rsidR="00387142" w:rsidRPr="008B6A75" w:rsidRDefault="00387142" w:rsidP="00387142">
            <w:pPr>
              <w:jc w:val="center"/>
              <w:rPr>
                <w:bCs/>
                <w:sz w:val="20"/>
                <w:szCs w:val="20"/>
              </w:rPr>
            </w:pPr>
            <w:r w:rsidRPr="008B6A75">
              <w:rPr>
                <w:bCs/>
                <w:sz w:val="20"/>
                <w:szCs w:val="20"/>
              </w:rPr>
              <w:t>02</w:t>
            </w:r>
          </w:p>
        </w:tc>
        <w:tc>
          <w:tcPr>
            <w:tcW w:w="1411" w:type="dxa"/>
            <w:tcBorders>
              <w:top w:val="single" w:sz="4" w:space="0" w:color="auto"/>
              <w:left w:val="single" w:sz="4" w:space="0" w:color="auto"/>
              <w:bottom w:val="nil"/>
              <w:right w:val="nil"/>
            </w:tcBorders>
            <w:shd w:val="clear" w:color="auto" w:fill="auto"/>
            <w:noWrap/>
            <w:vAlign w:val="center"/>
            <w:hideMark/>
          </w:tcPr>
          <w:p w14:paraId="0E7D31FB" w14:textId="77777777" w:rsidR="00387142" w:rsidRPr="008B6A75" w:rsidRDefault="00387142" w:rsidP="00387142">
            <w:pPr>
              <w:jc w:val="center"/>
              <w:rPr>
                <w:bCs/>
                <w:sz w:val="20"/>
                <w:szCs w:val="20"/>
              </w:rPr>
            </w:pPr>
            <w:r w:rsidRPr="008B6A75">
              <w:rPr>
                <w:bCs/>
                <w:sz w:val="20"/>
                <w:szCs w:val="20"/>
              </w:rPr>
              <w:t>99.0.00.01700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73F31C88" w14:textId="77777777" w:rsidR="00387142" w:rsidRPr="008B6A75" w:rsidRDefault="00387142" w:rsidP="00387142">
            <w:pPr>
              <w:jc w:val="center"/>
              <w:rPr>
                <w:bCs/>
                <w:sz w:val="20"/>
                <w:szCs w:val="20"/>
              </w:rPr>
            </w:pPr>
            <w:r w:rsidRPr="008B6A75">
              <w:rPr>
                <w:bCs/>
                <w:sz w:val="20"/>
                <w:szCs w:val="20"/>
              </w:rPr>
              <w:t> </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509A9001" w14:textId="77777777" w:rsidR="00387142" w:rsidRPr="008B6A75" w:rsidRDefault="00387142" w:rsidP="00387142">
            <w:pPr>
              <w:jc w:val="right"/>
              <w:rPr>
                <w:bCs/>
                <w:sz w:val="20"/>
                <w:szCs w:val="20"/>
              </w:rPr>
            </w:pPr>
            <w:r w:rsidRPr="008B6A75">
              <w:rPr>
                <w:bCs/>
                <w:sz w:val="20"/>
                <w:szCs w:val="20"/>
              </w:rPr>
              <w:t>3 002 300,00</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54936747" w14:textId="77777777" w:rsidR="00387142" w:rsidRPr="008B6A75" w:rsidRDefault="00387142" w:rsidP="00387142">
            <w:pPr>
              <w:jc w:val="right"/>
              <w:rPr>
                <w:bCs/>
                <w:sz w:val="20"/>
                <w:szCs w:val="20"/>
              </w:rPr>
            </w:pPr>
            <w:r w:rsidRPr="008B6A75">
              <w:rPr>
                <w:bCs/>
                <w:sz w:val="20"/>
                <w:szCs w:val="20"/>
              </w:rPr>
              <w:t>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35EE04BB" w14:textId="77777777" w:rsidR="00387142" w:rsidRPr="008B6A75" w:rsidRDefault="00387142" w:rsidP="00387142">
            <w:pPr>
              <w:jc w:val="right"/>
              <w:rPr>
                <w:bCs/>
                <w:sz w:val="20"/>
                <w:szCs w:val="20"/>
              </w:rPr>
            </w:pPr>
            <w:r w:rsidRPr="008B6A75">
              <w:rPr>
                <w:bCs/>
                <w:sz w:val="20"/>
                <w:szCs w:val="20"/>
              </w:rPr>
              <w:t>0,00</w:t>
            </w:r>
          </w:p>
        </w:tc>
        <w:tc>
          <w:tcPr>
            <w:tcW w:w="222" w:type="dxa"/>
            <w:vAlign w:val="center"/>
            <w:hideMark/>
          </w:tcPr>
          <w:p w14:paraId="07385008" w14:textId="77777777" w:rsidR="00387142" w:rsidRPr="008B6A75" w:rsidRDefault="00387142" w:rsidP="00387142">
            <w:pPr>
              <w:rPr>
                <w:sz w:val="20"/>
                <w:szCs w:val="20"/>
              </w:rPr>
            </w:pPr>
          </w:p>
        </w:tc>
      </w:tr>
      <w:tr w:rsidR="00387142" w:rsidRPr="008B6A75" w14:paraId="733EED1B" w14:textId="77777777" w:rsidTr="00387142">
        <w:trPr>
          <w:trHeight w:val="300"/>
        </w:trPr>
        <w:tc>
          <w:tcPr>
            <w:tcW w:w="3021" w:type="dxa"/>
            <w:tcBorders>
              <w:top w:val="single" w:sz="4" w:space="0" w:color="auto"/>
              <w:left w:val="single" w:sz="4" w:space="0" w:color="auto"/>
              <w:bottom w:val="nil"/>
              <w:right w:val="nil"/>
            </w:tcBorders>
            <w:shd w:val="clear" w:color="auto" w:fill="auto"/>
            <w:vAlign w:val="center"/>
            <w:hideMark/>
          </w:tcPr>
          <w:p w14:paraId="6BE0D2CD" w14:textId="77777777" w:rsidR="00387142" w:rsidRPr="008B6A75" w:rsidRDefault="00387142" w:rsidP="00387142">
            <w:pPr>
              <w:rPr>
                <w:sz w:val="20"/>
                <w:szCs w:val="20"/>
              </w:rPr>
            </w:pPr>
            <w:r w:rsidRPr="008B6A75">
              <w:rPr>
                <w:sz w:val="20"/>
                <w:szCs w:val="20"/>
              </w:rPr>
              <w:t>Межбюджетные трансферты</w:t>
            </w:r>
          </w:p>
        </w:tc>
        <w:tc>
          <w:tcPr>
            <w:tcW w:w="850" w:type="dxa"/>
            <w:tcBorders>
              <w:top w:val="single" w:sz="4" w:space="0" w:color="auto"/>
              <w:left w:val="single" w:sz="4" w:space="0" w:color="auto"/>
              <w:bottom w:val="nil"/>
              <w:right w:val="nil"/>
            </w:tcBorders>
            <w:shd w:val="clear" w:color="auto" w:fill="auto"/>
            <w:noWrap/>
            <w:vAlign w:val="center"/>
            <w:hideMark/>
          </w:tcPr>
          <w:p w14:paraId="2B03E455" w14:textId="77777777" w:rsidR="00387142" w:rsidRPr="008B6A75" w:rsidRDefault="00387142" w:rsidP="00387142">
            <w:pPr>
              <w:jc w:val="center"/>
              <w:rPr>
                <w:sz w:val="20"/>
                <w:szCs w:val="20"/>
              </w:rPr>
            </w:pPr>
            <w:r w:rsidRPr="008B6A75">
              <w:rPr>
                <w:sz w:val="20"/>
                <w:szCs w:val="20"/>
              </w:rPr>
              <w:t>444</w:t>
            </w:r>
          </w:p>
        </w:tc>
        <w:tc>
          <w:tcPr>
            <w:tcW w:w="709" w:type="dxa"/>
            <w:tcBorders>
              <w:top w:val="single" w:sz="4" w:space="0" w:color="auto"/>
              <w:left w:val="single" w:sz="4" w:space="0" w:color="auto"/>
              <w:bottom w:val="nil"/>
              <w:right w:val="nil"/>
            </w:tcBorders>
            <w:shd w:val="clear" w:color="auto" w:fill="auto"/>
            <w:noWrap/>
            <w:vAlign w:val="center"/>
            <w:hideMark/>
          </w:tcPr>
          <w:p w14:paraId="4F5B4D0C" w14:textId="77777777" w:rsidR="00387142" w:rsidRPr="008B6A75" w:rsidRDefault="00387142" w:rsidP="00387142">
            <w:pPr>
              <w:jc w:val="center"/>
              <w:rPr>
                <w:sz w:val="20"/>
                <w:szCs w:val="20"/>
              </w:rPr>
            </w:pPr>
            <w:r w:rsidRPr="008B6A75">
              <w:rPr>
                <w:sz w:val="20"/>
                <w:szCs w:val="20"/>
              </w:rPr>
              <w:t>05</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7CA799BA" w14:textId="77777777" w:rsidR="00387142" w:rsidRPr="008B6A75" w:rsidRDefault="00387142" w:rsidP="00387142">
            <w:pPr>
              <w:jc w:val="center"/>
              <w:rPr>
                <w:sz w:val="20"/>
                <w:szCs w:val="20"/>
              </w:rPr>
            </w:pPr>
            <w:r w:rsidRPr="008B6A75">
              <w:rPr>
                <w:sz w:val="20"/>
                <w:szCs w:val="20"/>
              </w:rPr>
              <w:t>02</w:t>
            </w:r>
          </w:p>
        </w:tc>
        <w:tc>
          <w:tcPr>
            <w:tcW w:w="1411" w:type="dxa"/>
            <w:tcBorders>
              <w:top w:val="single" w:sz="4" w:space="0" w:color="auto"/>
              <w:left w:val="single" w:sz="4" w:space="0" w:color="auto"/>
              <w:bottom w:val="nil"/>
              <w:right w:val="nil"/>
            </w:tcBorders>
            <w:shd w:val="clear" w:color="auto" w:fill="auto"/>
            <w:noWrap/>
            <w:vAlign w:val="center"/>
            <w:hideMark/>
          </w:tcPr>
          <w:p w14:paraId="44C162A4" w14:textId="77777777" w:rsidR="00387142" w:rsidRPr="008B6A75" w:rsidRDefault="00387142" w:rsidP="00387142">
            <w:pPr>
              <w:jc w:val="center"/>
              <w:rPr>
                <w:sz w:val="20"/>
                <w:szCs w:val="20"/>
              </w:rPr>
            </w:pPr>
            <w:r w:rsidRPr="008B6A75">
              <w:rPr>
                <w:sz w:val="20"/>
                <w:szCs w:val="20"/>
              </w:rPr>
              <w:t>99.0.00.01700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49F200F9" w14:textId="77777777" w:rsidR="00387142" w:rsidRPr="008B6A75" w:rsidRDefault="00387142" w:rsidP="00387142">
            <w:pPr>
              <w:jc w:val="center"/>
              <w:rPr>
                <w:sz w:val="20"/>
                <w:szCs w:val="20"/>
              </w:rPr>
            </w:pPr>
            <w:r w:rsidRPr="008B6A75">
              <w:rPr>
                <w:sz w:val="20"/>
                <w:szCs w:val="20"/>
              </w:rPr>
              <w:t>500</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641C30AA" w14:textId="77777777" w:rsidR="00387142" w:rsidRPr="008B6A75" w:rsidRDefault="00387142" w:rsidP="00387142">
            <w:pPr>
              <w:jc w:val="right"/>
              <w:rPr>
                <w:sz w:val="20"/>
                <w:szCs w:val="20"/>
              </w:rPr>
            </w:pPr>
            <w:r w:rsidRPr="008B6A75">
              <w:rPr>
                <w:sz w:val="20"/>
                <w:szCs w:val="20"/>
              </w:rPr>
              <w:t>3 002 300,00</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2883CC4A" w14:textId="77777777" w:rsidR="00387142" w:rsidRPr="008B6A75" w:rsidRDefault="00387142" w:rsidP="00387142">
            <w:pPr>
              <w:jc w:val="right"/>
              <w:rPr>
                <w:sz w:val="20"/>
                <w:szCs w:val="20"/>
              </w:rPr>
            </w:pPr>
            <w:r w:rsidRPr="008B6A75">
              <w:rPr>
                <w:sz w:val="20"/>
                <w:szCs w:val="20"/>
              </w:rPr>
              <w:t>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63410740" w14:textId="77777777" w:rsidR="00387142" w:rsidRPr="008B6A75" w:rsidRDefault="00387142" w:rsidP="00387142">
            <w:pPr>
              <w:jc w:val="right"/>
              <w:rPr>
                <w:sz w:val="20"/>
                <w:szCs w:val="20"/>
              </w:rPr>
            </w:pPr>
            <w:r w:rsidRPr="008B6A75">
              <w:rPr>
                <w:sz w:val="20"/>
                <w:szCs w:val="20"/>
              </w:rPr>
              <w:t>0,00</w:t>
            </w:r>
          </w:p>
        </w:tc>
        <w:tc>
          <w:tcPr>
            <w:tcW w:w="222" w:type="dxa"/>
            <w:vAlign w:val="center"/>
            <w:hideMark/>
          </w:tcPr>
          <w:p w14:paraId="50C01052" w14:textId="77777777" w:rsidR="00387142" w:rsidRPr="008B6A75" w:rsidRDefault="00387142" w:rsidP="00387142">
            <w:pPr>
              <w:rPr>
                <w:sz w:val="20"/>
                <w:szCs w:val="20"/>
              </w:rPr>
            </w:pPr>
          </w:p>
        </w:tc>
      </w:tr>
      <w:tr w:rsidR="00387142" w:rsidRPr="008B6A75" w14:paraId="0007F686" w14:textId="77777777" w:rsidTr="00387142">
        <w:trPr>
          <w:trHeight w:val="300"/>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501B2469" w14:textId="77777777" w:rsidR="00387142" w:rsidRPr="008B6A75" w:rsidRDefault="00387142" w:rsidP="00387142">
            <w:pPr>
              <w:rPr>
                <w:sz w:val="20"/>
                <w:szCs w:val="20"/>
              </w:rPr>
            </w:pPr>
            <w:r w:rsidRPr="008B6A75">
              <w:rPr>
                <w:sz w:val="20"/>
                <w:szCs w:val="20"/>
              </w:rPr>
              <w:t>Иные межбюджетные трансферты</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3C50B6DF" w14:textId="77777777" w:rsidR="00387142" w:rsidRPr="008B6A75" w:rsidRDefault="00387142" w:rsidP="00387142">
            <w:pPr>
              <w:jc w:val="center"/>
              <w:rPr>
                <w:sz w:val="20"/>
                <w:szCs w:val="20"/>
              </w:rPr>
            </w:pPr>
            <w:r w:rsidRPr="008B6A75">
              <w:rPr>
                <w:sz w:val="20"/>
                <w:szCs w:val="20"/>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7F8463F9" w14:textId="77777777" w:rsidR="00387142" w:rsidRPr="008B6A75" w:rsidRDefault="00387142" w:rsidP="00387142">
            <w:pPr>
              <w:jc w:val="center"/>
              <w:rPr>
                <w:sz w:val="20"/>
                <w:szCs w:val="20"/>
              </w:rPr>
            </w:pPr>
            <w:r w:rsidRPr="008B6A75">
              <w:rPr>
                <w:sz w:val="20"/>
                <w:szCs w:val="20"/>
              </w:rPr>
              <w:t>05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FC34EE" w14:textId="77777777" w:rsidR="00387142" w:rsidRPr="008B6A75" w:rsidRDefault="00387142" w:rsidP="00387142">
            <w:pPr>
              <w:jc w:val="center"/>
              <w:rPr>
                <w:sz w:val="20"/>
                <w:szCs w:val="20"/>
              </w:rPr>
            </w:pPr>
            <w:r w:rsidRPr="008B6A75">
              <w:rPr>
                <w:sz w:val="20"/>
                <w:szCs w:val="20"/>
              </w:rPr>
              <w:t>02</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2A875079" w14:textId="77777777" w:rsidR="00387142" w:rsidRPr="008B6A75" w:rsidRDefault="00387142" w:rsidP="00387142">
            <w:pPr>
              <w:jc w:val="center"/>
              <w:rPr>
                <w:sz w:val="20"/>
                <w:szCs w:val="20"/>
              </w:rPr>
            </w:pPr>
            <w:r w:rsidRPr="008B6A75">
              <w:rPr>
                <w:sz w:val="20"/>
                <w:szCs w:val="20"/>
              </w:rPr>
              <w:t>99.0.00.01700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270CC6" w14:textId="77777777" w:rsidR="00387142" w:rsidRPr="008B6A75" w:rsidRDefault="00387142" w:rsidP="00387142">
            <w:pPr>
              <w:jc w:val="center"/>
              <w:rPr>
                <w:sz w:val="20"/>
                <w:szCs w:val="20"/>
              </w:rPr>
            </w:pPr>
            <w:r w:rsidRPr="008B6A75">
              <w:rPr>
                <w:sz w:val="20"/>
                <w:szCs w:val="20"/>
              </w:rPr>
              <w:t>540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21C11B" w14:textId="77777777" w:rsidR="00387142" w:rsidRPr="008B6A75" w:rsidRDefault="00387142" w:rsidP="00387142">
            <w:pPr>
              <w:jc w:val="right"/>
              <w:rPr>
                <w:sz w:val="20"/>
                <w:szCs w:val="20"/>
              </w:rPr>
            </w:pPr>
            <w:r w:rsidRPr="008B6A75">
              <w:rPr>
                <w:sz w:val="20"/>
                <w:szCs w:val="20"/>
              </w:rPr>
              <w:t>3 002 300,00</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6EF9CC9F" w14:textId="77777777" w:rsidR="00387142" w:rsidRPr="008B6A75" w:rsidRDefault="00387142" w:rsidP="00387142">
            <w:pPr>
              <w:jc w:val="right"/>
              <w:rPr>
                <w:sz w:val="20"/>
                <w:szCs w:val="20"/>
              </w:rPr>
            </w:pPr>
            <w:r w:rsidRPr="008B6A75">
              <w:rPr>
                <w:sz w:val="20"/>
                <w:szCs w:val="20"/>
              </w:rPr>
              <w:t>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2BE93A" w14:textId="77777777" w:rsidR="00387142" w:rsidRPr="008B6A75" w:rsidRDefault="00387142" w:rsidP="00387142">
            <w:pPr>
              <w:jc w:val="right"/>
              <w:rPr>
                <w:sz w:val="20"/>
                <w:szCs w:val="20"/>
              </w:rPr>
            </w:pPr>
            <w:r w:rsidRPr="008B6A75">
              <w:rPr>
                <w:sz w:val="20"/>
                <w:szCs w:val="20"/>
              </w:rPr>
              <w:t>0,00</w:t>
            </w:r>
          </w:p>
        </w:tc>
        <w:tc>
          <w:tcPr>
            <w:tcW w:w="222" w:type="dxa"/>
            <w:vAlign w:val="center"/>
            <w:hideMark/>
          </w:tcPr>
          <w:p w14:paraId="2F9EF41E" w14:textId="77777777" w:rsidR="00387142" w:rsidRPr="008B6A75" w:rsidRDefault="00387142" w:rsidP="00387142">
            <w:pPr>
              <w:rPr>
                <w:sz w:val="20"/>
                <w:szCs w:val="20"/>
              </w:rPr>
            </w:pPr>
          </w:p>
        </w:tc>
      </w:tr>
      <w:tr w:rsidR="00387142" w:rsidRPr="008B6A75" w14:paraId="3EBA94B8" w14:textId="77777777" w:rsidTr="00387142">
        <w:trPr>
          <w:trHeight w:val="585"/>
        </w:trPr>
        <w:tc>
          <w:tcPr>
            <w:tcW w:w="3021" w:type="dxa"/>
            <w:tcBorders>
              <w:top w:val="nil"/>
              <w:left w:val="single" w:sz="4" w:space="0" w:color="auto"/>
              <w:bottom w:val="nil"/>
              <w:right w:val="nil"/>
            </w:tcBorders>
            <w:shd w:val="clear" w:color="auto" w:fill="auto"/>
            <w:vAlign w:val="center"/>
            <w:hideMark/>
          </w:tcPr>
          <w:p w14:paraId="4C892974" w14:textId="77777777" w:rsidR="00387142" w:rsidRPr="008B6A75" w:rsidRDefault="00387142" w:rsidP="00387142">
            <w:pPr>
              <w:rPr>
                <w:bCs/>
                <w:sz w:val="20"/>
                <w:szCs w:val="20"/>
              </w:rPr>
            </w:pPr>
            <w:r w:rsidRPr="008B6A75">
              <w:rPr>
                <w:bCs/>
                <w:sz w:val="20"/>
                <w:szCs w:val="20"/>
              </w:rPr>
              <w:t>Мероприятия в области коммунального хозяйства</w:t>
            </w:r>
          </w:p>
        </w:tc>
        <w:tc>
          <w:tcPr>
            <w:tcW w:w="850" w:type="dxa"/>
            <w:tcBorders>
              <w:top w:val="nil"/>
              <w:left w:val="single" w:sz="4" w:space="0" w:color="auto"/>
              <w:bottom w:val="nil"/>
              <w:right w:val="nil"/>
            </w:tcBorders>
            <w:shd w:val="clear" w:color="auto" w:fill="auto"/>
            <w:noWrap/>
            <w:vAlign w:val="center"/>
            <w:hideMark/>
          </w:tcPr>
          <w:p w14:paraId="45081884" w14:textId="77777777" w:rsidR="00387142" w:rsidRPr="008B6A75" w:rsidRDefault="00387142" w:rsidP="00387142">
            <w:pPr>
              <w:jc w:val="center"/>
              <w:rPr>
                <w:bCs/>
                <w:sz w:val="20"/>
                <w:szCs w:val="20"/>
              </w:rPr>
            </w:pPr>
            <w:r w:rsidRPr="008B6A75">
              <w:rPr>
                <w:bCs/>
                <w:sz w:val="20"/>
                <w:szCs w:val="20"/>
              </w:rPr>
              <w:t>444</w:t>
            </w:r>
          </w:p>
        </w:tc>
        <w:tc>
          <w:tcPr>
            <w:tcW w:w="709" w:type="dxa"/>
            <w:tcBorders>
              <w:top w:val="nil"/>
              <w:left w:val="single" w:sz="4" w:space="0" w:color="auto"/>
              <w:bottom w:val="nil"/>
              <w:right w:val="nil"/>
            </w:tcBorders>
            <w:shd w:val="clear" w:color="auto" w:fill="auto"/>
            <w:noWrap/>
            <w:vAlign w:val="center"/>
            <w:hideMark/>
          </w:tcPr>
          <w:p w14:paraId="62A14B1B" w14:textId="77777777" w:rsidR="00387142" w:rsidRPr="008B6A75" w:rsidRDefault="00387142" w:rsidP="00387142">
            <w:pPr>
              <w:jc w:val="center"/>
              <w:rPr>
                <w:bCs/>
                <w:sz w:val="20"/>
                <w:szCs w:val="20"/>
              </w:rPr>
            </w:pPr>
            <w:r w:rsidRPr="008B6A75">
              <w:rPr>
                <w:bCs/>
                <w:sz w:val="20"/>
                <w:szCs w:val="20"/>
              </w:rPr>
              <w:t>05</w:t>
            </w:r>
          </w:p>
        </w:tc>
        <w:tc>
          <w:tcPr>
            <w:tcW w:w="709" w:type="dxa"/>
            <w:tcBorders>
              <w:top w:val="nil"/>
              <w:left w:val="single" w:sz="4" w:space="0" w:color="auto"/>
              <w:bottom w:val="nil"/>
              <w:right w:val="single" w:sz="4" w:space="0" w:color="auto"/>
            </w:tcBorders>
            <w:shd w:val="clear" w:color="auto" w:fill="auto"/>
            <w:noWrap/>
            <w:vAlign w:val="center"/>
            <w:hideMark/>
          </w:tcPr>
          <w:p w14:paraId="60CB2BC4" w14:textId="77777777" w:rsidR="00387142" w:rsidRPr="008B6A75" w:rsidRDefault="00387142" w:rsidP="00387142">
            <w:pPr>
              <w:jc w:val="center"/>
              <w:rPr>
                <w:bCs/>
                <w:sz w:val="20"/>
                <w:szCs w:val="20"/>
              </w:rPr>
            </w:pPr>
            <w:r w:rsidRPr="008B6A75">
              <w:rPr>
                <w:bCs/>
                <w:sz w:val="20"/>
                <w:szCs w:val="20"/>
              </w:rPr>
              <w:t>02</w:t>
            </w:r>
          </w:p>
        </w:tc>
        <w:tc>
          <w:tcPr>
            <w:tcW w:w="1411" w:type="dxa"/>
            <w:tcBorders>
              <w:top w:val="nil"/>
              <w:left w:val="single" w:sz="4" w:space="0" w:color="auto"/>
              <w:bottom w:val="nil"/>
              <w:right w:val="nil"/>
            </w:tcBorders>
            <w:shd w:val="clear" w:color="auto" w:fill="auto"/>
            <w:noWrap/>
            <w:vAlign w:val="center"/>
            <w:hideMark/>
          </w:tcPr>
          <w:p w14:paraId="6D5AD9B0" w14:textId="77777777" w:rsidR="00387142" w:rsidRPr="008B6A75" w:rsidRDefault="00387142" w:rsidP="00387142">
            <w:pPr>
              <w:jc w:val="center"/>
              <w:rPr>
                <w:bCs/>
                <w:sz w:val="20"/>
                <w:szCs w:val="20"/>
              </w:rPr>
            </w:pPr>
            <w:r w:rsidRPr="008B6A75">
              <w:rPr>
                <w:bCs/>
                <w:sz w:val="20"/>
                <w:szCs w:val="20"/>
              </w:rPr>
              <w:t>99.0.00.05220</w:t>
            </w:r>
          </w:p>
        </w:tc>
        <w:tc>
          <w:tcPr>
            <w:tcW w:w="955" w:type="dxa"/>
            <w:tcBorders>
              <w:top w:val="nil"/>
              <w:left w:val="single" w:sz="4" w:space="0" w:color="auto"/>
              <w:bottom w:val="nil"/>
              <w:right w:val="single" w:sz="4" w:space="0" w:color="auto"/>
            </w:tcBorders>
            <w:shd w:val="clear" w:color="auto" w:fill="auto"/>
            <w:noWrap/>
            <w:vAlign w:val="center"/>
            <w:hideMark/>
          </w:tcPr>
          <w:p w14:paraId="515E2CD2"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nil"/>
              <w:right w:val="single" w:sz="4" w:space="0" w:color="auto"/>
            </w:tcBorders>
            <w:shd w:val="clear" w:color="auto" w:fill="auto"/>
            <w:noWrap/>
            <w:vAlign w:val="center"/>
            <w:hideMark/>
          </w:tcPr>
          <w:p w14:paraId="24EA661B" w14:textId="77777777" w:rsidR="00387142" w:rsidRPr="008B6A75" w:rsidRDefault="00387142" w:rsidP="00387142">
            <w:pPr>
              <w:jc w:val="right"/>
              <w:rPr>
                <w:bCs/>
                <w:sz w:val="20"/>
                <w:szCs w:val="20"/>
              </w:rPr>
            </w:pPr>
            <w:r w:rsidRPr="008B6A75">
              <w:rPr>
                <w:bCs/>
                <w:sz w:val="20"/>
                <w:szCs w:val="20"/>
              </w:rPr>
              <w:t>46 880,00</w:t>
            </w:r>
          </w:p>
        </w:tc>
        <w:tc>
          <w:tcPr>
            <w:tcW w:w="992" w:type="dxa"/>
            <w:gridSpan w:val="2"/>
            <w:tcBorders>
              <w:top w:val="nil"/>
              <w:left w:val="single" w:sz="4" w:space="0" w:color="auto"/>
              <w:bottom w:val="nil"/>
              <w:right w:val="nil"/>
            </w:tcBorders>
            <w:shd w:val="clear" w:color="auto" w:fill="auto"/>
            <w:noWrap/>
            <w:vAlign w:val="center"/>
            <w:hideMark/>
          </w:tcPr>
          <w:p w14:paraId="4F5BF046" w14:textId="77777777" w:rsidR="00387142" w:rsidRPr="008B6A75" w:rsidRDefault="00387142" w:rsidP="00387142">
            <w:pPr>
              <w:jc w:val="right"/>
              <w:rPr>
                <w:bCs/>
                <w:sz w:val="20"/>
                <w:szCs w:val="20"/>
              </w:rPr>
            </w:pPr>
            <w:r w:rsidRPr="008B6A75">
              <w:rPr>
                <w:bCs/>
                <w:sz w:val="20"/>
                <w:szCs w:val="20"/>
              </w:rPr>
              <w:t>0,00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151D9ECD" w14:textId="77777777" w:rsidR="00387142" w:rsidRPr="008B6A75" w:rsidRDefault="00387142" w:rsidP="00387142">
            <w:pPr>
              <w:jc w:val="right"/>
              <w:rPr>
                <w:bCs/>
                <w:sz w:val="20"/>
                <w:szCs w:val="20"/>
              </w:rPr>
            </w:pPr>
            <w:r w:rsidRPr="008B6A75">
              <w:rPr>
                <w:bCs/>
                <w:sz w:val="20"/>
                <w:szCs w:val="20"/>
              </w:rPr>
              <w:t>0,00</w:t>
            </w:r>
          </w:p>
        </w:tc>
        <w:tc>
          <w:tcPr>
            <w:tcW w:w="222" w:type="dxa"/>
            <w:vAlign w:val="center"/>
            <w:hideMark/>
          </w:tcPr>
          <w:p w14:paraId="2C61CB22" w14:textId="77777777" w:rsidR="00387142" w:rsidRPr="008B6A75" w:rsidRDefault="00387142" w:rsidP="00387142">
            <w:pPr>
              <w:rPr>
                <w:sz w:val="20"/>
                <w:szCs w:val="20"/>
              </w:rPr>
            </w:pPr>
          </w:p>
        </w:tc>
      </w:tr>
      <w:tr w:rsidR="00387142" w:rsidRPr="008B6A75" w14:paraId="3925AB0E" w14:textId="77777777" w:rsidTr="00387142">
        <w:trPr>
          <w:trHeight w:val="585"/>
        </w:trPr>
        <w:tc>
          <w:tcPr>
            <w:tcW w:w="3021" w:type="dxa"/>
            <w:tcBorders>
              <w:top w:val="single" w:sz="4" w:space="0" w:color="auto"/>
              <w:left w:val="single" w:sz="4" w:space="0" w:color="auto"/>
              <w:bottom w:val="nil"/>
              <w:right w:val="nil"/>
            </w:tcBorders>
            <w:shd w:val="clear" w:color="auto" w:fill="auto"/>
            <w:vAlign w:val="center"/>
            <w:hideMark/>
          </w:tcPr>
          <w:p w14:paraId="16E8279F" w14:textId="77777777" w:rsidR="00387142" w:rsidRPr="008B6A75" w:rsidRDefault="00387142" w:rsidP="00387142">
            <w:pPr>
              <w:rPr>
                <w:sz w:val="20"/>
                <w:szCs w:val="20"/>
              </w:rPr>
            </w:pPr>
            <w:r w:rsidRPr="008B6A75">
              <w:rPr>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nil"/>
              <w:right w:val="nil"/>
            </w:tcBorders>
            <w:shd w:val="clear" w:color="auto" w:fill="auto"/>
            <w:noWrap/>
            <w:vAlign w:val="center"/>
            <w:hideMark/>
          </w:tcPr>
          <w:p w14:paraId="6344AAE5" w14:textId="77777777" w:rsidR="00387142" w:rsidRPr="008B6A75" w:rsidRDefault="00387142" w:rsidP="00387142">
            <w:pPr>
              <w:jc w:val="center"/>
              <w:rPr>
                <w:sz w:val="20"/>
                <w:szCs w:val="20"/>
              </w:rPr>
            </w:pPr>
            <w:r w:rsidRPr="008B6A75">
              <w:rPr>
                <w:sz w:val="20"/>
                <w:szCs w:val="20"/>
              </w:rPr>
              <w:t>444</w:t>
            </w:r>
          </w:p>
        </w:tc>
        <w:tc>
          <w:tcPr>
            <w:tcW w:w="709" w:type="dxa"/>
            <w:tcBorders>
              <w:top w:val="single" w:sz="4" w:space="0" w:color="auto"/>
              <w:left w:val="single" w:sz="4" w:space="0" w:color="auto"/>
              <w:bottom w:val="nil"/>
              <w:right w:val="nil"/>
            </w:tcBorders>
            <w:shd w:val="clear" w:color="auto" w:fill="auto"/>
            <w:noWrap/>
            <w:vAlign w:val="center"/>
            <w:hideMark/>
          </w:tcPr>
          <w:p w14:paraId="5C5CEC81" w14:textId="77777777" w:rsidR="00387142" w:rsidRPr="008B6A75" w:rsidRDefault="00387142" w:rsidP="00387142">
            <w:pPr>
              <w:jc w:val="center"/>
              <w:rPr>
                <w:sz w:val="20"/>
                <w:szCs w:val="20"/>
              </w:rPr>
            </w:pPr>
            <w:r w:rsidRPr="008B6A75">
              <w:rPr>
                <w:sz w:val="20"/>
                <w:szCs w:val="20"/>
              </w:rPr>
              <w:t>05</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73E9FE7B" w14:textId="77777777" w:rsidR="00387142" w:rsidRPr="008B6A75" w:rsidRDefault="00387142" w:rsidP="00387142">
            <w:pPr>
              <w:jc w:val="center"/>
              <w:rPr>
                <w:sz w:val="20"/>
                <w:szCs w:val="20"/>
              </w:rPr>
            </w:pPr>
            <w:r w:rsidRPr="008B6A75">
              <w:rPr>
                <w:sz w:val="20"/>
                <w:szCs w:val="20"/>
              </w:rPr>
              <w:t>02</w:t>
            </w:r>
          </w:p>
        </w:tc>
        <w:tc>
          <w:tcPr>
            <w:tcW w:w="1411" w:type="dxa"/>
            <w:tcBorders>
              <w:top w:val="single" w:sz="4" w:space="0" w:color="auto"/>
              <w:left w:val="single" w:sz="4" w:space="0" w:color="auto"/>
              <w:bottom w:val="nil"/>
              <w:right w:val="nil"/>
            </w:tcBorders>
            <w:shd w:val="clear" w:color="auto" w:fill="auto"/>
            <w:noWrap/>
            <w:vAlign w:val="center"/>
            <w:hideMark/>
          </w:tcPr>
          <w:p w14:paraId="72D4AAEB" w14:textId="77777777" w:rsidR="00387142" w:rsidRPr="008B6A75" w:rsidRDefault="00387142" w:rsidP="00387142">
            <w:pPr>
              <w:jc w:val="center"/>
              <w:rPr>
                <w:sz w:val="20"/>
                <w:szCs w:val="20"/>
              </w:rPr>
            </w:pPr>
            <w:r w:rsidRPr="008B6A75">
              <w:rPr>
                <w:sz w:val="20"/>
                <w:szCs w:val="20"/>
              </w:rPr>
              <w:t>99.0.00.05220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63ADEB7C" w14:textId="77777777" w:rsidR="00387142" w:rsidRPr="008B6A75" w:rsidRDefault="00387142" w:rsidP="00387142">
            <w:pPr>
              <w:jc w:val="center"/>
              <w:rPr>
                <w:sz w:val="20"/>
                <w:szCs w:val="20"/>
              </w:rPr>
            </w:pPr>
            <w:r w:rsidRPr="008B6A75">
              <w:rPr>
                <w:sz w:val="20"/>
                <w:szCs w:val="20"/>
              </w:rPr>
              <w:t>200</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222FE677" w14:textId="77777777" w:rsidR="00387142" w:rsidRPr="008B6A75" w:rsidRDefault="00387142" w:rsidP="00387142">
            <w:pPr>
              <w:jc w:val="right"/>
              <w:rPr>
                <w:sz w:val="20"/>
                <w:szCs w:val="20"/>
              </w:rPr>
            </w:pPr>
            <w:r w:rsidRPr="008B6A75">
              <w:rPr>
                <w:sz w:val="20"/>
                <w:szCs w:val="20"/>
              </w:rPr>
              <w:t>46 880,00</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22A924B8" w14:textId="77777777" w:rsidR="00387142" w:rsidRPr="008B6A75" w:rsidRDefault="00387142" w:rsidP="00387142">
            <w:pPr>
              <w:jc w:val="right"/>
              <w:rPr>
                <w:sz w:val="20"/>
                <w:szCs w:val="20"/>
              </w:rPr>
            </w:pPr>
            <w:r w:rsidRPr="008B6A75">
              <w:rPr>
                <w:sz w:val="20"/>
                <w:szCs w:val="20"/>
              </w:rPr>
              <w:t>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4DF2773E" w14:textId="77777777" w:rsidR="00387142" w:rsidRPr="008B6A75" w:rsidRDefault="00387142" w:rsidP="00387142">
            <w:pPr>
              <w:jc w:val="right"/>
              <w:rPr>
                <w:sz w:val="20"/>
                <w:szCs w:val="20"/>
              </w:rPr>
            </w:pPr>
            <w:r w:rsidRPr="008B6A75">
              <w:rPr>
                <w:sz w:val="20"/>
                <w:szCs w:val="20"/>
              </w:rPr>
              <w:t>0,00</w:t>
            </w:r>
          </w:p>
        </w:tc>
        <w:tc>
          <w:tcPr>
            <w:tcW w:w="222" w:type="dxa"/>
            <w:vAlign w:val="center"/>
            <w:hideMark/>
          </w:tcPr>
          <w:p w14:paraId="69D55B8A" w14:textId="77777777" w:rsidR="00387142" w:rsidRPr="008B6A75" w:rsidRDefault="00387142" w:rsidP="00387142">
            <w:pPr>
              <w:rPr>
                <w:sz w:val="20"/>
                <w:szCs w:val="20"/>
              </w:rPr>
            </w:pPr>
          </w:p>
        </w:tc>
      </w:tr>
      <w:tr w:rsidR="00387142" w:rsidRPr="008B6A75" w14:paraId="3F635CFB" w14:textId="77777777" w:rsidTr="00387142">
        <w:trPr>
          <w:trHeight w:val="870"/>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751FFD77" w14:textId="77777777" w:rsidR="00387142" w:rsidRPr="008B6A75" w:rsidRDefault="00387142" w:rsidP="00387142">
            <w:pPr>
              <w:rPr>
                <w:sz w:val="20"/>
                <w:szCs w:val="20"/>
              </w:rPr>
            </w:pPr>
            <w:r w:rsidRPr="008B6A75">
              <w:rPr>
                <w:sz w:val="20"/>
                <w:szCs w:val="20"/>
              </w:rPr>
              <w:lastRenderedPageBreak/>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674BC613" w14:textId="77777777" w:rsidR="00387142" w:rsidRPr="008B6A75" w:rsidRDefault="00387142" w:rsidP="00387142">
            <w:pPr>
              <w:jc w:val="center"/>
              <w:rPr>
                <w:sz w:val="20"/>
                <w:szCs w:val="20"/>
              </w:rPr>
            </w:pPr>
            <w:r w:rsidRPr="008B6A75">
              <w:rPr>
                <w:sz w:val="20"/>
                <w:szCs w:val="20"/>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60FAACE1" w14:textId="77777777" w:rsidR="00387142" w:rsidRPr="008B6A75" w:rsidRDefault="00387142" w:rsidP="00387142">
            <w:pPr>
              <w:jc w:val="center"/>
              <w:rPr>
                <w:sz w:val="20"/>
                <w:szCs w:val="20"/>
              </w:rPr>
            </w:pPr>
            <w:r w:rsidRPr="008B6A75">
              <w:rPr>
                <w:sz w:val="20"/>
                <w:szCs w:val="20"/>
              </w:rPr>
              <w:t>05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C715BF" w14:textId="77777777" w:rsidR="00387142" w:rsidRPr="008B6A75" w:rsidRDefault="00387142" w:rsidP="00387142">
            <w:pPr>
              <w:jc w:val="center"/>
              <w:rPr>
                <w:sz w:val="20"/>
                <w:szCs w:val="20"/>
              </w:rPr>
            </w:pPr>
            <w:r w:rsidRPr="008B6A75">
              <w:rPr>
                <w:sz w:val="20"/>
                <w:szCs w:val="20"/>
              </w:rPr>
              <w:t>02</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6F9A0A57" w14:textId="77777777" w:rsidR="00387142" w:rsidRPr="008B6A75" w:rsidRDefault="00387142" w:rsidP="00387142">
            <w:pPr>
              <w:jc w:val="center"/>
              <w:rPr>
                <w:sz w:val="20"/>
                <w:szCs w:val="20"/>
              </w:rPr>
            </w:pPr>
            <w:r w:rsidRPr="008B6A75">
              <w:rPr>
                <w:sz w:val="20"/>
                <w:szCs w:val="20"/>
              </w:rPr>
              <w:t>99.0.00.05220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8B902A" w14:textId="77777777" w:rsidR="00387142" w:rsidRPr="008B6A75" w:rsidRDefault="00387142" w:rsidP="00387142">
            <w:pPr>
              <w:jc w:val="center"/>
              <w:rPr>
                <w:sz w:val="20"/>
                <w:szCs w:val="20"/>
              </w:rPr>
            </w:pPr>
            <w:r w:rsidRPr="008B6A75">
              <w:rPr>
                <w:sz w:val="20"/>
                <w:szCs w:val="20"/>
              </w:rPr>
              <w:t>240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2645BF" w14:textId="77777777" w:rsidR="00387142" w:rsidRPr="008B6A75" w:rsidRDefault="00387142" w:rsidP="00387142">
            <w:pPr>
              <w:jc w:val="right"/>
              <w:rPr>
                <w:sz w:val="20"/>
                <w:szCs w:val="20"/>
              </w:rPr>
            </w:pPr>
            <w:r w:rsidRPr="008B6A75">
              <w:rPr>
                <w:sz w:val="20"/>
                <w:szCs w:val="20"/>
              </w:rPr>
              <w:t>46 880,00</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034E637E" w14:textId="77777777" w:rsidR="00387142" w:rsidRPr="008B6A75" w:rsidRDefault="00387142" w:rsidP="00387142">
            <w:pPr>
              <w:jc w:val="right"/>
              <w:rPr>
                <w:sz w:val="20"/>
                <w:szCs w:val="20"/>
              </w:rPr>
            </w:pPr>
            <w:r w:rsidRPr="008B6A75">
              <w:rPr>
                <w:sz w:val="20"/>
                <w:szCs w:val="20"/>
              </w:rPr>
              <w:t>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4B879A" w14:textId="77777777" w:rsidR="00387142" w:rsidRPr="008B6A75" w:rsidRDefault="00387142" w:rsidP="00387142">
            <w:pPr>
              <w:jc w:val="right"/>
              <w:rPr>
                <w:sz w:val="20"/>
                <w:szCs w:val="20"/>
              </w:rPr>
            </w:pPr>
            <w:r w:rsidRPr="008B6A75">
              <w:rPr>
                <w:sz w:val="20"/>
                <w:szCs w:val="20"/>
              </w:rPr>
              <w:t>0,00</w:t>
            </w:r>
          </w:p>
        </w:tc>
        <w:tc>
          <w:tcPr>
            <w:tcW w:w="222" w:type="dxa"/>
            <w:vAlign w:val="center"/>
            <w:hideMark/>
          </w:tcPr>
          <w:p w14:paraId="799E0CF0" w14:textId="77777777" w:rsidR="00387142" w:rsidRPr="008B6A75" w:rsidRDefault="00387142" w:rsidP="00387142">
            <w:pPr>
              <w:rPr>
                <w:sz w:val="20"/>
                <w:szCs w:val="20"/>
              </w:rPr>
            </w:pPr>
          </w:p>
        </w:tc>
      </w:tr>
      <w:tr w:rsidR="00387142" w:rsidRPr="008B6A75" w14:paraId="3C540E6C" w14:textId="77777777" w:rsidTr="00387142">
        <w:trPr>
          <w:trHeight w:val="870"/>
        </w:trPr>
        <w:tc>
          <w:tcPr>
            <w:tcW w:w="3021" w:type="dxa"/>
            <w:tcBorders>
              <w:top w:val="nil"/>
              <w:left w:val="single" w:sz="4" w:space="0" w:color="auto"/>
              <w:bottom w:val="nil"/>
              <w:right w:val="nil"/>
            </w:tcBorders>
            <w:shd w:val="clear" w:color="auto" w:fill="auto"/>
            <w:vAlign w:val="center"/>
            <w:hideMark/>
          </w:tcPr>
          <w:p w14:paraId="61F2E485" w14:textId="77777777" w:rsidR="00387142" w:rsidRPr="008B6A75" w:rsidRDefault="00387142" w:rsidP="00387142">
            <w:pPr>
              <w:rPr>
                <w:bCs/>
                <w:sz w:val="20"/>
                <w:szCs w:val="20"/>
              </w:rPr>
            </w:pPr>
            <w:r w:rsidRPr="008B6A75">
              <w:rPr>
                <w:bCs/>
                <w:sz w:val="20"/>
                <w:szCs w:val="20"/>
              </w:rPr>
              <w:t>Расходы на реализацию мероприятий по модернизации объектов теплоснабжения и сопутствующего холодного водоснабжения</w:t>
            </w:r>
          </w:p>
        </w:tc>
        <w:tc>
          <w:tcPr>
            <w:tcW w:w="850" w:type="dxa"/>
            <w:tcBorders>
              <w:top w:val="nil"/>
              <w:left w:val="single" w:sz="4" w:space="0" w:color="auto"/>
              <w:bottom w:val="nil"/>
              <w:right w:val="nil"/>
            </w:tcBorders>
            <w:shd w:val="clear" w:color="auto" w:fill="auto"/>
            <w:noWrap/>
            <w:vAlign w:val="center"/>
            <w:hideMark/>
          </w:tcPr>
          <w:p w14:paraId="3E35AC44" w14:textId="77777777" w:rsidR="00387142" w:rsidRPr="008B6A75" w:rsidRDefault="00387142" w:rsidP="00387142">
            <w:pPr>
              <w:jc w:val="center"/>
              <w:rPr>
                <w:bCs/>
                <w:sz w:val="20"/>
                <w:szCs w:val="20"/>
              </w:rPr>
            </w:pPr>
            <w:r w:rsidRPr="008B6A75">
              <w:rPr>
                <w:bCs/>
                <w:sz w:val="20"/>
                <w:szCs w:val="20"/>
              </w:rPr>
              <w:t>444</w:t>
            </w:r>
          </w:p>
        </w:tc>
        <w:tc>
          <w:tcPr>
            <w:tcW w:w="709" w:type="dxa"/>
            <w:tcBorders>
              <w:top w:val="nil"/>
              <w:left w:val="single" w:sz="4" w:space="0" w:color="auto"/>
              <w:bottom w:val="nil"/>
              <w:right w:val="nil"/>
            </w:tcBorders>
            <w:shd w:val="clear" w:color="auto" w:fill="auto"/>
            <w:noWrap/>
            <w:vAlign w:val="center"/>
            <w:hideMark/>
          </w:tcPr>
          <w:p w14:paraId="2C1E8066" w14:textId="77777777" w:rsidR="00387142" w:rsidRPr="008B6A75" w:rsidRDefault="00387142" w:rsidP="00387142">
            <w:pPr>
              <w:jc w:val="center"/>
              <w:rPr>
                <w:bCs/>
                <w:sz w:val="20"/>
                <w:szCs w:val="20"/>
              </w:rPr>
            </w:pPr>
            <w:r w:rsidRPr="008B6A75">
              <w:rPr>
                <w:bCs/>
                <w:sz w:val="20"/>
                <w:szCs w:val="20"/>
              </w:rPr>
              <w:t>05</w:t>
            </w:r>
          </w:p>
        </w:tc>
        <w:tc>
          <w:tcPr>
            <w:tcW w:w="709" w:type="dxa"/>
            <w:tcBorders>
              <w:top w:val="nil"/>
              <w:left w:val="single" w:sz="4" w:space="0" w:color="auto"/>
              <w:bottom w:val="nil"/>
              <w:right w:val="single" w:sz="4" w:space="0" w:color="auto"/>
            </w:tcBorders>
            <w:shd w:val="clear" w:color="auto" w:fill="auto"/>
            <w:noWrap/>
            <w:vAlign w:val="center"/>
            <w:hideMark/>
          </w:tcPr>
          <w:p w14:paraId="29309EC6" w14:textId="77777777" w:rsidR="00387142" w:rsidRPr="008B6A75" w:rsidRDefault="00387142" w:rsidP="00387142">
            <w:pPr>
              <w:jc w:val="center"/>
              <w:rPr>
                <w:bCs/>
                <w:sz w:val="20"/>
                <w:szCs w:val="20"/>
              </w:rPr>
            </w:pPr>
            <w:r w:rsidRPr="008B6A75">
              <w:rPr>
                <w:bCs/>
                <w:sz w:val="20"/>
                <w:szCs w:val="20"/>
              </w:rPr>
              <w:t>02</w:t>
            </w:r>
          </w:p>
        </w:tc>
        <w:tc>
          <w:tcPr>
            <w:tcW w:w="1411" w:type="dxa"/>
            <w:tcBorders>
              <w:top w:val="nil"/>
              <w:left w:val="single" w:sz="4" w:space="0" w:color="auto"/>
              <w:bottom w:val="nil"/>
              <w:right w:val="nil"/>
            </w:tcBorders>
            <w:shd w:val="clear" w:color="auto" w:fill="auto"/>
            <w:noWrap/>
            <w:vAlign w:val="center"/>
            <w:hideMark/>
          </w:tcPr>
          <w:p w14:paraId="4947E3FA" w14:textId="77777777" w:rsidR="00387142" w:rsidRPr="008B6A75" w:rsidRDefault="00387142" w:rsidP="00387142">
            <w:pPr>
              <w:jc w:val="center"/>
              <w:rPr>
                <w:bCs/>
                <w:sz w:val="20"/>
                <w:szCs w:val="20"/>
              </w:rPr>
            </w:pPr>
            <w:r w:rsidRPr="008B6A75">
              <w:rPr>
                <w:bCs/>
                <w:sz w:val="20"/>
                <w:szCs w:val="20"/>
              </w:rPr>
              <w:t>99.0.00.05240</w:t>
            </w:r>
          </w:p>
        </w:tc>
        <w:tc>
          <w:tcPr>
            <w:tcW w:w="955" w:type="dxa"/>
            <w:tcBorders>
              <w:top w:val="nil"/>
              <w:left w:val="single" w:sz="4" w:space="0" w:color="auto"/>
              <w:bottom w:val="nil"/>
              <w:right w:val="single" w:sz="4" w:space="0" w:color="auto"/>
            </w:tcBorders>
            <w:shd w:val="clear" w:color="auto" w:fill="auto"/>
            <w:noWrap/>
            <w:vAlign w:val="center"/>
            <w:hideMark/>
          </w:tcPr>
          <w:p w14:paraId="6601C3B0"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nil"/>
              <w:right w:val="single" w:sz="4" w:space="0" w:color="auto"/>
            </w:tcBorders>
            <w:shd w:val="clear" w:color="auto" w:fill="auto"/>
            <w:noWrap/>
            <w:vAlign w:val="center"/>
            <w:hideMark/>
          </w:tcPr>
          <w:p w14:paraId="6CBD16EB" w14:textId="77777777" w:rsidR="00387142" w:rsidRPr="008B6A75" w:rsidRDefault="00387142" w:rsidP="00387142">
            <w:pPr>
              <w:jc w:val="right"/>
              <w:rPr>
                <w:bCs/>
                <w:sz w:val="20"/>
                <w:szCs w:val="20"/>
              </w:rPr>
            </w:pPr>
            <w:r w:rsidRPr="008B6A75">
              <w:rPr>
                <w:bCs/>
                <w:sz w:val="20"/>
                <w:szCs w:val="20"/>
              </w:rPr>
              <w:t>993 234,41</w:t>
            </w:r>
          </w:p>
        </w:tc>
        <w:tc>
          <w:tcPr>
            <w:tcW w:w="992" w:type="dxa"/>
            <w:gridSpan w:val="2"/>
            <w:tcBorders>
              <w:top w:val="nil"/>
              <w:left w:val="single" w:sz="4" w:space="0" w:color="auto"/>
              <w:bottom w:val="nil"/>
              <w:right w:val="nil"/>
            </w:tcBorders>
            <w:shd w:val="clear" w:color="auto" w:fill="auto"/>
            <w:noWrap/>
            <w:vAlign w:val="center"/>
            <w:hideMark/>
          </w:tcPr>
          <w:p w14:paraId="2D25295D" w14:textId="77777777" w:rsidR="00387142" w:rsidRPr="008B6A75" w:rsidRDefault="00387142" w:rsidP="00387142">
            <w:pPr>
              <w:jc w:val="right"/>
              <w:rPr>
                <w:bCs/>
                <w:sz w:val="20"/>
                <w:szCs w:val="20"/>
              </w:rPr>
            </w:pPr>
            <w:r w:rsidRPr="008B6A75">
              <w:rPr>
                <w:bCs/>
                <w:sz w:val="20"/>
                <w:szCs w:val="20"/>
              </w:rPr>
              <w:t>0,00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05B08F28" w14:textId="77777777" w:rsidR="00387142" w:rsidRPr="008B6A75" w:rsidRDefault="00387142" w:rsidP="00387142">
            <w:pPr>
              <w:jc w:val="right"/>
              <w:rPr>
                <w:bCs/>
                <w:sz w:val="20"/>
                <w:szCs w:val="20"/>
              </w:rPr>
            </w:pPr>
            <w:r w:rsidRPr="008B6A75">
              <w:rPr>
                <w:bCs/>
                <w:sz w:val="20"/>
                <w:szCs w:val="20"/>
              </w:rPr>
              <w:t>0,00</w:t>
            </w:r>
          </w:p>
        </w:tc>
        <w:tc>
          <w:tcPr>
            <w:tcW w:w="222" w:type="dxa"/>
            <w:vAlign w:val="center"/>
            <w:hideMark/>
          </w:tcPr>
          <w:p w14:paraId="6170B81D" w14:textId="77777777" w:rsidR="00387142" w:rsidRPr="008B6A75" w:rsidRDefault="00387142" w:rsidP="00387142">
            <w:pPr>
              <w:rPr>
                <w:sz w:val="20"/>
                <w:szCs w:val="20"/>
              </w:rPr>
            </w:pPr>
          </w:p>
        </w:tc>
      </w:tr>
      <w:tr w:rsidR="00387142" w:rsidRPr="008B6A75" w14:paraId="4FC56056" w14:textId="77777777" w:rsidTr="00387142">
        <w:trPr>
          <w:trHeight w:val="870"/>
        </w:trPr>
        <w:tc>
          <w:tcPr>
            <w:tcW w:w="3021" w:type="dxa"/>
            <w:tcBorders>
              <w:top w:val="single" w:sz="4" w:space="0" w:color="auto"/>
              <w:left w:val="single" w:sz="4" w:space="0" w:color="auto"/>
              <w:bottom w:val="nil"/>
              <w:right w:val="nil"/>
            </w:tcBorders>
            <w:shd w:val="clear" w:color="auto" w:fill="auto"/>
            <w:vAlign w:val="center"/>
            <w:hideMark/>
          </w:tcPr>
          <w:p w14:paraId="7FBA0F8F" w14:textId="77777777" w:rsidR="00387142" w:rsidRPr="008B6A75" w:rsidRDefault="00387142" w:rsidP="00387142">
            <w:pPr>
              <w:rPr>
                <w:sz w:val="20"/>
                <w:szCs w:val="20"/>
              </w:rPr>
            </w:pPr>
            <w:r w:rsidRPr="008B6A75">
              <w:rPr>
                <w:sz w:val="20"/>
                <w:szCs w:val="20"/>
              </w:rPr>
              <w:t>Капитальные вложения в объекты государственной (муниципальной) собственности</w:t>
            </w:r>
          </w:p>
        </w:tc>
        <w:tc>
          <w:tcPr>
            <w:tcW w:w="850" w:type="dxa"/>
            <w:tcBorders>
              <w:top w:val="single" w:sz="4" w:space="0" w:color="auto"/>
              <w:left w:val="single" w:sz="4" w:space="0" w:color="auto"/>
              <w:bottom w:val="nil"/>
              <w:right w:val="nil"/>
            </w:tcBorders>
            <w:shd w:val="clear" w:color="auto" w:fill="auto"/>
            <w:noWrap/>
            <w:vAlign w:val="center"/>
            <w:hideMark/>
          </w:tcPr>
          <w:p w14:paraId="1FF3E859" w14:textId="77777777" w:rsidR="00387142" w:rsidRPr="008B6A75" w:rsidRDefault="00387142" w:rsidP="00387142">
            <w:pPr>
              <w:jc w:val="center"/>
              <w:rPr>
                <w:sz w:val="20"/>
                <w:szCs w:val="20"/>
              </w:rPr>
            </w:pPr>
            <w:r w:rsidRPr="008B6A75">
              <w:rPr>
                <w:sz w:val="20"/>
                <w:szCs w:val="20"/>
              </w:rPr>
              <w:t>444</w:t>
            </w:r>
          </w:p>
        </w:tc>
        <w:tc>
          <w:tcPr>
            <w:tcW w:w="709" w:type="dxa"/>
            <w:tcBorders>
              <w:top w:val="single" w:sz="4" w:space="0" w:color="auto"/>
              <w:left w:val="single" w:sz="4" w:space="0" w:color="auto"/>
              <w:bottom w:val="nil"/>
              <w:right w:val="nil"/>
            </w:tcBorders>
            <w:shd w:val="clear" w:color="auto" w:fill="auto"/>
            <w:noWrap/>
            <w:vAlign w:val="center"/>
            <w:hideMark/>
          </w:tcPr>
          <w:p w14:paraId="6B255A7F" w14:textId="77777777" w:rsidR="00387142" w:rsidRPr="008B6A75" w:rsidRDefault="00387142" w:rsidP="00387142">
            <w:pPr>
              <w:jc w:val="center"/>
              <w:rPr>
                <w:sz w:val="20"/>
                <w:szCs w:val="20"/>
              </w:rPr>
            </w:pPr>
            <w:r w:rsidRPr="008B6A75">
              <w:rPr>
                <w:sz w:val="20"/>
                <w:szCs w:val="20"/>
              </w:rPr>
              <w:t>05</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130DB4DF" w14:textId="77777777" w:rsidR="00387142" w:rsidRPr="008B6A75" w:rsidRDefault="00387142" w:rsidP="00387142">
            <w:pPr>
              <w:jc w:val="center"/>
              <w:rPr>
                <w:sz w:val="20"/>
                <w:szCs w:val="20"/>
              </w:rPr>
            </w:pPr>
            <w:r w:rsidRPr="008B6A75">
              <w:rPr>
                <w:sz w:val="20"/>
                <w:szCs w:val="20"/>
              </w:rPr>
              <w:t>02</w:t>
            </w:r>
          </w:p>
        </w:tc>
        <w:tc>
          <w:tcPr>
            <w:tcW w:w="1411" w:type="dxa"/>
            <w:tcBorders>
              <w:top w:val="single" w:sz="4" w:space="0" w:color="auto"/>
              <w:left w:val="single" w:sz="4" w:space="0" w:color="auto"/>
              <w:bottom w:val="nil"/>
              <w:right w:val="nil"/>
            </w:tcBorders>
            <w:shd w:val="clear" w:color="auto" w:fill="auto"/>
            <w:noWrap/>
            <w:vAlign w:val="center"/>
            <w:hideMark/>
          </w:tcPr>
          <w:p w14:paraId="0FE096DF" w14:textId="77777777" w:rsidR="00387142" w:rsidRPr="008B6A75" w:rsidRDefault="00387142" w:rsidP="00387142">
            <w:pPr>
              <w:jc w:val="center"/>
              <w:rPr>
                <w:sz w:val="20"/>
                <w:szCs w:val="20"/>
              </w:rPr>
            </w:pPr>
            <w:r w:rsidRPr="008B6A75">
              <w:rPr>
                <w:sz w:val="20"/>
                <w:szCs w:val="20"/>
              </w:rPr>
              <w:t>99.0.00.05240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3608A3E8" w14:textId="77777777" w:rsidR="00387142" w:rsidRPr="008B6A75" w:rsidRDefault="00387142" w:rsidP="00387142">
            <w:pPr>
              <w:jc w:val="center"/>
              <w:rPr>
                <w:sz w:val="20"/>
                <w:szCs w:val="20"/>
              </w:rPr>
            </w:pPr>
            <w:r w:rsidRPr="008B6A75">
              <w:rPr>
                <w:sz w:val="20"/>
                <w:szCs w:val="20"/>
              </w:rPr>
              <w:t>400</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0484CC48" w14:textId="77777777" w:rsidR="00387142" w:rsidRPr="008B6A75" w:rsidRDefault="00387142" w:rsidP="00387142">
            <w:pPr>
              <w:jc w:val="right"/>
              <w:rPr>
                <w:sz w:val="20"/>
                <w:szCs w:val="20"/>
              </w:rPr>
            </w:pPr>
            <w:r w:rsidRPr="008B6A75">
              <w:rPr>
                <w:sz w:val="20"/>
                <w:szCs w:val="20"/>
              </w:rPr>
              <w:t>993 234,41</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759DA731" w14:textId="77777777" w:rsidR="00387142" w:rsidRPr="008B6A75" w:rsidRDefault="00387142" w:rsidP="00387142">
            <w:pPr>
              <w:jc w:val="right"/>
              <w:rPr>
                <w:sz w:val="20"/>
                <w:szCs w:val="20"/>
              </w:rPr>
            </w:pPr>
            <w:r w:rsidRPr="008B6A75">
              <w:rPr>
                <w:sz w:val="20"/>
                <w:szCs w:val="20"/>
              </w:rPr>
              <w:t>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3C23F61E" w14:textId="77777777" w:rsidR="00387142" w:rsidRPr="008B6A75" w:rsidRDefault="00387142" w:rsidP="00387142">
            <w:pPr>
              <w:jc w:val="right"/>
              <w:rPr>
                <w:sz w:val="20"/>
                <w:szCs w:val="20"/>
              </w:rPr>
            </w:pPr>
            <w:r w:rsidRPr="008B6A75">
              <w:rPr>
                <w:sz w:val="20"/>
                <w:szCs w:val="20"/>
              </w:rPr>
              <w:t>0,00</w:t>
            </w:r>
          </w:p>
        </w:tc>
        <w:tc>
          <w:tcPr>
            <w:tcW w:w="222" w:type="dxa"/>
            <w:vAlign w:val="center"/>
            <w:hideMark/>
          </w:tcPr>
          <w:p w14:paraId="4AA5A55B" w14:textId="77777777" w:rsidR="00387142" w:rsidRPr="008B6A75" w:rsidRDefault="00387142" w:rsidP="00387142">
            <w:pPr>
              <w:rPr>
                <w:sz w:val="20"/>
                <w:szCs w:val="20"/>
              </w:rPr>
            </w:pPr>
          </w:p>
        </w:tc>
      </w:tr>
      <w:tr w:rsidR="00387142" w:rsidRPr="008B6A75" w14:paraId="3C91C02C" w14:textId="77777777" w:rsidTr="00387142">
        <w:trPr>
          <w:trHeight w:val="300"/>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620D99A2" w14:textId="77777777" w:rsidR="00387142" w:rsidRPr="008B6A75" w:rsidRDefault="00387142" w:rsidP="00387142">
            <w:pPr>
              <w:rPr>
                <w:sz w:val="20"/>
                <w:szCs w:val="20"/>
              </w:rPr>
            </w:pPr>
            <w:r w:rsidRPr="008B6A75">
              <w:rPr>
                <w:sz w:val="20"/>
                <w:szCs w:val="20"/>
              </w:rPr>
              <w:t>Бюджетные инвестиции</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3ECBC640" w14:textId="77777777" w:rsidR="00387142" w:rsidRPr="008B6A75" w:rsidRDefault="00387142" w:rsidP="00387142">
            <w:pPr>
              <w:jc w:val="center"/>
              <w:rPr>
                <w:sz w:val="20"/>
                <w:szCs w:val="20"/>
              </w:rPr>
            </w:pPr>
            <w:r w:rsidRPr="008B6A75">
              <w:rPr>
                <w:sz w:val="20"/>
                <w:szCs w:val="20"/>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2A815C65" w14:textId="77777777" w:rsidR="00387142" w:rsidRPr="008B6A75" w:rsidRDefault="00387142" w:rsidP="00387142">
            <w:pPr>
              <w:jc w:val="center"/>
              <w:rPr>
                <w:sz w:val="20"/>
                <w:szCs w:val="20"/>
              </w:rPr>
            </w:pPr>
            <w:r w:rsidRPr="008B6A75">
              <w:rPr>
                <w:sz w:val="20"/>
                <w:szCs w:val="20"/>
              </w:rPr>
              <w:t>05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C24BAF" w14:textId="77777777" w:rsidR="00387142" w:rsidRPr="008B6A75" w:rsidRDefault="00387142" w:rsidP="00387142">
            <w:pPr>
              <w:jc w:val="center"/>
              <w:rPr>
                <w:sz w:val="20"/>
                <w:szCs w:val="20"/>
              </w:rPr>
            </w:pPr>
            <w:r w:rsidRPr="008B6A75">
              <w:rPr>
                <w:sz w:val="20"/>
                <w:szCs w:val="20"/>
              </w:rPr>
              <w:t>02</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1BDE4CDF" w14:textId="77777777" w:rsidR="00387142" w:rsidRPr="008B6A75" w:rsidRDefault="00387142" w:rsidP="00387142">
            <w:pPr>
              <w:jc w:val="center"/>
              <w:rPr>
                <w:sz w:val="20"/>
                <w:szCs w:val="20"/>
              </w:rPr>
            </w:pPr>
            <w:r w:rsidRPr="008B6A75">
              <w:rPr>
                <w:sz w:val="20"/>
                <w:szCs w:val="20"/>
              </w:rPr>
              <w:t>99.0.00.05240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37C7C0" w14:textId="77777777" w:rsidR="00387142" w:rsidRPr="008B6A75" w:rsidRDefault="00387142" w:rsidP="00387142">
            <w:pPr>
              <w:jc w:val="center"/>
              <w:rPr>
                <w:sz w:val="20"/>
                <w:szCs w:val="20"/>
              </w:rPr>
            </w:pPr>
            <w:r w:rsidRPr="008B6A75">
              <w:rPr>
                <w:sz w:val="20"/>
                <w:szCs w:val="20"/>
              </w:rPr>
              <w:t>410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F6E832" w14:textId="77777777" w:rsidR="00387142" w:rsidRPr="008B6A75" w:rsidRDefault="00387142" w:rsidP="00387142">
            <w:pPr>
              <w:jc w:val="right"/>
              <w:rPr>
                <w:sz w:val="20"/>
                <w:szCs w:val="20"/>
              </w:rPr>
            </w:pPr>
            <w:r w:rsidRPr="008B6A75">
              <w:rPr>
                <w:sz w:val="20"/>
                <w:szCs w:val="20"/>
              </w:rPr>
              <w:t>993 234,41</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033678AB" w14:textId="77777777" w:rsidR="00387142" w:rsidRPr="008B6A75" w:rsidRDefault="00387142" w:rsidP="00387142">
            <w:pPr>
              <w:jc w:val="right"/>
              <w:rPr>
                <w:sz w:val="20"/>
                <w:szCs w:val="20"/>
              </w:rPr>
            </w:pPr>
            <w:r w:rsidRPr="008B6A75">
              <w:rPr>
                <w:sz w:val="20"/>
                <w:szCs w:val="20"/>
              </w:rPr>
              <w:t>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BFFBEE" w14:textId="77777777" w:rsidR="00387142" w:rsidRPr="008B6A75" w:rsidRDefault="00387142" w:rsidP="00387142">
            <w:pPr>
              <w:jc w:val="right"/>
              <w:rPr>
                <w:sz w:val="20"/>
                <w:szCs w:val="20"/>
              </w:rPr>
            </w:pPr>
            <w:r w:rsidRPr="008B6A75">
              <w:rPr>
                <w:sz w:val="20"/>
                <w:szCs w:val="20"/>
              </w:rPr>
              <w:t>0,00</w:t>
            </w:r>
          </w:p>
        </w:tc>
        <w:tc>
          <w:tcPr>
            <w:tcW w:w="222" w:type="dxa"/>
            <w:vAlign w:val="center"/>
            <w:hideMark/>
          </w:tcPr>
          <w:p w14:paraId="6F30C210" w14:textId="77777777" w:rsidR="00387142" w:rsidRPr="008B6A75" w:rsidRDefault="00387142" w:rsidP="00387142">
            <w:pPr>
              <w:rPr>
                <w:sz w:val="20"/>
                <w:szCs w:val="20"/>
              </w:rPr>
            </w:pPr>
          </w:p>
        </w:tc>
      </w:tr>
      <w:tr w:rsidR="00387142" w:rsidRPr="008B6A75" w14:paraId="7388B219" w14:textId="77777777" w:rsidTr="00387142">
        <w:trPr>
          <w:trHeight w:val="300"/>
        </w:trPr>
        <w:tc>
          <w:tcPr>
            <w:tcW w:w="3021" w:type="dxa"/>
            <w:tcBorders>
              <w:top w:val="nil"/>
              <w:left w:val="single" w:sz="4" w:space="0" w:color="auto"/>
              <w:bottom w:val="nil"/>
              <w:right w:val="nil"/>
            </w:tcBorders>
            <w:shd w:val="clear" w:color="auto" w:fill="auto"/>
            <w:vAlign w:val="center"/>
            <w:hideMark/>
          </w:tcPr>
          <w:p w14:paraId="3E86223D" w14:textId="77777777" w:rsidR="00387142" w:rsidRPr="008B6A75" w:rsidRDefault="00387142" w:rsidP="00387142">
            <w:pPr>
              <w:rPr>
                <w:bCs/>
                <w:sz w:val="20"/>
                <w:szCs w:val="20"/>
              </w:rPr>
            </w:pPr>
            <w:r w:rsidRPr="008B6A75">
              <w:rPr>
                <w:bCs/>
                <w:sz w:val="20"/>
                <w:szCs w:val="20"/>
              </w:rPr>
              <w:t>Благоустройство</w:t>
            </w:r>
          </w:p>
        </w:tc>
        <w:tc>
          <w:tcPr>
            <w:tcW w:w="850" w:type="dxa"/>
            <w:tcBorders>
              <w:top w:val="nil"/>
              <w:left w:val="single" w:sz="4" w:space="0" w:color="auto"/>
              <w:bottom w:val="nil"/>
              <w:right w:val="nil"/>
            </w:tcBorders>
            <w:shd w:val="clear" w:color="auto" w:fill="auto"/>
            <w:noWrap/>
            <w:vAlign w:val="center"/>
            <w:hideMark/>
          </w:tcPr>
          <w:p w14:paraId="3ADC5839" w14:textId="77777777" w:rsidR="00387142" w:rsidRPr="008B6A75" w:rsidRDefault="00387142" w:rsidP="00387142">
            <w:pPr>
              <w:jc w:val="center"/>
              <w:rPr>
                <w:bCs/>
                <w:sz w:val="20"/>
                <w:szCs w:val="20"/>
              </w:rPr>
            </w:pPr>
            <w:r w:rsidRPr="008B6A75">
              <w:rPr>
                <w:bCs/>
                <w:sz w:val="20"/>
                <w:szCs w:val="20"/>
              </w:rPr>
              <w:t>444</w:t>
            </w:r>
          </w:p>
        </w:tc>
        <w:tc>
          <w:tcPr>
            <w:tcW w:w="709" w:type="dxa"/>
            <w:tcBorders>
              <w:top w:val="nil"/>
              <w:left w:val="single" w:sz="4" w:space="0" w:color="auto"/>
              <w:bottom w:val="nil"/>
              <w:right w:val="nil"/>
            </w:tcBorders>
            <w:shd w:val="clear" w:color="auto" w:fill="auto"/>
            <w:noWrap/>
            <w:vAlign w:val="center"/>
            <w:hideMark/>
          </w:tcPr>
          <w:p w14:paraId="32316949" w14:textId="77777777" w:rsidR="00387142" w:rsidRPr="008B6A75" w:rsidRDefault="00387142" w:rsidP="00387142">
            <w:pPr>
              <w:jc w:val="center"/>
              <w:rPr>
                <w:bCs/>
                <w:sz w:val="20"/>
                <w:szCs w:val="20"/>
              </w:rPr>
            </w:pPr>
            <w:r w:rsidRPr="008B6A75">
              <w:rPr>
                <w:bCs/>
                <w:sz w:val="20"/>
                <w:szCs w:val="20"/>
              </w:rPr>
              <w:t>05</w:t>
            </w:r>
          </w:p>
        </w:tc>
        <w:tc>
          <w:tcPr>
            <w:tcW w:w="709" w:type="dxa"/>
            <w:tcBorders>
              <w:top w:val="nil"/>
              <w:left w:val="single" w:sz="4" w:space="0" w:color="auto"/>
              <w:bottom w:val="nil"/>
              <w:right w:val="single" w:sz="4" w:space="0" w:color="auto"/>
            </w:tcBorders>
            <w:shd w:val="clear" w:color="auto" w:fill="auto"/>
            <w:noWrap/>
            <w:vAlign w:val="center"/>
            <w:hideMark/>
          </w:tcPr>
          <w:p w14:paraId="2CA0E28C" w14:textId="77777777" w:rsidR="00387142" w:rsidRPr="008B6A75" w:rsidRDefault="00387142" w:rsidP="00387142">
            <w:pPr>
              <w:jc w:val="center"/>
              <w:rPr>
                <w:bCs/>
                <w:sz w:val="20"/>
                <w:szCs w:val="20"/>
              </w:rPr>
            </w:pPr>
            <w:r w:rsidRPr="008B6A75">
              <w:rPr>
                <w:bCs/>
                <w:sz w:val="20"/>
                <w:szCs w:val="20"/>
              </w:rPr>
              <w:t>03</w:t>
            </w:r>
          </w:p>
        </w:tc>
        <w:tc>
          <w:tcPr>
            <w:tcW w:w="1411" w:type="dxa"/>
            <w:tcBorders>
              <w:top w:val="nil"/>
              <w:left w:val="single" w:sz="4" w:space="0" w:color="auto"/>
              <w:bottom w:val="nil"/>
              <w:right w:val="nil"/>
            </w:tcBorders>
            <w:shd w:val="clear" w:color="auto" w:fill="auto"/>
            <w:noWrap/>
            <w:vAlign w:val="center"/>
            <w:hideMark/>
          </w:tcPr>
          <w:p w14:paraId="331FE436" w14:textId="77777777" w:rsidR="00387142" w:rsidRPr="008B6A75" w:rsidRDefault="00387142" w:rsidP="00387142">
            <w:pPr>
              <w:jc w:val="center"/>
              <w:rPr>
                <w:bCs/>
                <w:sz w:val="20"/>
                <w:szCs w:val="20"/>
              </w:rPr>
            </w:pPr>
            <w:r w:rsidRPr="008B6A75">
              <w:rPr>
                <w:bCs/>
                <w:sz w:val="20"/>
                <w:szCs w:val="20"/>
              </w:rPr>
              <w:t> </w:t>
            </w:r>
          </w:p>
        </w:tc>
        <w:tc>
          <w:tcPr>
            <w:tcW w:w="955" w:type="dxa"/>
            <w:tcBorders>
              <w:top w:val="nil"/>
              <w:left w:val="single" w:sz="4" w:space="0" w:color="auto"/>
              <w:bottom w:val="nil"/>
              <w:right w:val="single" w:sz="4" w:space="0" w:color="auto"/>
            </w:tcBorders>
            <w:shd w:val="clear" w:color="auto" w:fill="auto"/>
            <w:noWrap/>
            <w:vAlign w:val="center"/>
            <w:hideMark/>
          </w:tcPr>
          <w:p w14:paraId="6982ACCD"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nil"/>
              <w:right w:val="single" w:sz="4" w:space="0" w:color="auto"/>
            </w:tcBorders>
            <w:shd w:val="clear" w:color="auto" w:fill="auto"/>
            <w:noWrap/>
            <w:vAlign w:val="center"/>
            <w:hideMark/>
          </w:tcPr>
          <w:p w14:paraId="552C35B9" w14:textId="77777777" w:rsidR="00387142" w:rsidRPr="008B6A75" w:rsidRDefault="00387142" w:rsidP="00387142">
            <w:pPr>
              <w:jc w:val="right"/>
              <w:rPr>
                <w:bCs/>
                <w:sz w:val="20"/>
                <w:szCs w:val="20"/>
              </w:rPr>
            </w:pPr>
            <w:r w:rsidRPr="008B6A75">
              <w:rPr>
                <w:bCs/>
                <w:sz w:val="20"/>
                <w:szCs w:val="20"/>
              </w:rPr>
              <w:t>36 916 703,67</w:t>
            </w:r>
          </w:p>
        </w:tc>
        <w:tc>
          <w:tcPr>
            <w:tcW w:w="992" w:type="dxa"/>
            <w:gridSpan w:val="2"/>
            <w:tcBorders>
              <w:top w:val="nil"/>
              <w:left w:val="single" w:sz="4" w:space="0" w:color="auto"/>
              <w:bottom w:val="nil"/>
              <w:right w:val="nil"/>
            </w:tcBorders>
            <w:shd w:val="clear" w:color="auto" w:fill="auto"/>
            <w:noWrap/>
            <w:vAlign w:val="center"/>
            <w:hideMark/>
          </w:tcPr>
          <w:p w14:paraId="1C15E0B6" w14:textId="77777777" w:rsidR="00387142" w:rsidRPr="008B6A75" w:rsidRDefault="00387142" w:rsidP="00387142">
            <w:pPr>
              <w:jc w:val="right"/>
              <w:rPr>
                <w:bCs/>
                <w:sz w:val="20"/>
                <w:szCs w:val="20"/>
              </w:rPr>
            </w:pPr>
            <w:r w:rsidRPr="008B6A75">
              <w:rPr>
                <w:bCs/>
                <w:sz w:val="20"/>
                <w:szCs w:val="20"/>
              </w:rPr>
              <w:t>17 428 200,00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0E5A6C2E" w14:textId="77777777" w:rsidR="00387142" w:rsidRPr="008B6A75" w:rsidRDefault="00387142" w:rsidP="00387142">
            <w:pPr>
              <w:jc w:val="right"/>
              <w:rPr>
                <w:bCs/>
                <w:sz w:val="20"/>
                <w:szCs w:val="20"/>
              </w:rPr>
            </w:pPr>
            <w:r w:rsidRPr="008B6A75">
              <w:rPr>
                <w:bCs/>
                <w:sz w:val="20"/>
                <w:szCs w:val="20"/>
              </w:rPr>
              <w:t>19 861 900,00</w:t>
            </w:r>
          </w:p>
        </w:tc>
        <w:tc>
          <w:tcPr>
            <w:tcW w:w="222" w:type="dxa"/>
            <w:vAlign w:val="center"/>
            <w:hideMark/>
          </w:tcPr>
          <w:p w14:paraId="3DF4CDD1" w14:textId="77777777" w:rsidR="00387142" w:rsidRPr="008B6A75" w:rsidRDefault="00387142" w:rsidP="00387142">
            <w:pPr>
              <w:rPr>
                <w:sz w:val="20"/>
                <w:szCs w:val="20"/>
              </w:rPr>
            </w:pPr>
          </w:p>
        </w:tc>
      </w:tr>
      <w:tr w:rsidR="00387142" w:rsidRPr="008B6A75" w14:paraId="74C6640A" w14:textId="77777777" w:rsidTr="00387142">
        <w:trPr>
          <w:trHeight w:val="585"/>
        </w:trPr>
        <w:tc>
          <w:tcPr>
            <w:tcW w:w="3021" w:type="dxa"/>
            <w:tcBorders>
              <w:top w:val="single" w:sz="4" w:space="0" w:color="auto"/>
              <w:left w:val="single" w:sz="4" w:space="0" w:color="auto"/>
              <w:bottom w:val="nil"/>
              <w:right w:val="nil"/>
            </w:tcBorders>
            <w:shd w:val="clear" w:color="auto" w:fill="auto"/>
            <w:vAlign w:val="center"/>
            <w:hideMark/>
          </w:tcPr>
          <w:p w14:paraId="5E256DDA" w14:textId="77777777" w:rsidR="00387142" w:rsidRPr="008B6A75" w:rsidRDefault="00387142" w:rsidP="00387142">
            <w:pPr>
              <w:rPr>
                <w:bCs/>
                <w:sz w:val="20"/>
                <w:szCs w:val="20"/>
              </w:rPr>
            </w:pPr>
            <w:r w:rsidRPr="008B6A75">
              <w:rPr>
                <w:bCs/>
                <w:sz w:val="20"/>
                <w:szCs w:val="20"/>
              </w:rPr>
              <w:t>Муниципальная программа "Содействие занятости населения Куйбышевского района"</w:t>
            </w:r>
          </w:p>
        </w:tc>
        <w:tc>
          <w:tcPr>
            <w:tcW w:w="850" w:type="dxa"/>
            <w:tcBorders>
              <w:top w:val="single" w:sz="4" w:space="0" w:color="auto"/>
              <w:left w:val="single" w:sz="4" w:space="0" w:color="auto"/>
              <w:bottom w:val="nil"/>
              <w:right w:val="nil"/>
            </w:tcBorders>
            <w:shd w:val="clear" w:color="auto" w:fill="auto"/>
            <w:noWrap/>
            <w:vAlign w:val="center"/>
            <w:hideMark/>
          </w:tcPr>
          <w:p w14:paraId="5CF43F4D" w14:textId="77777777" w:rsidR="00387142" w:rsidRPr="008B6A75" w:rsidRDefault="00387142" w:rsidP="00387142">
            <w:pPr>
              <w:jc w:val="center"/>
              <w:rPr>
                <w:bCs/>
                <w:sz w:val="20"/>
                <w:szCs w:val="20"/>
              </w:rPr>
            </w:pPr>
            <w:r w:rsidRPr="008B6A75">
              <w:rPr>
                <w:bCs/>
                <w:sz w:val="20"/>
                <w:szCs w:val="20"/>
              </w:rPr>
              <w:t>444</w:t>
            </w:r>
          </w:p>
        </w:tc>
        <w:tc>
          <w:tcPr>
            <w:tcW w:w="709" w:type="dxa"/>
            <w:tcBorders>
              <w:top w:val="single" w:sz="4" w:space="0" w:color="auto"/>
              <w:left w:val="single" w:sz="4" w:space="0" w:color="auto"/>
              <w:bottom w:val="nil"/>
              <w:right w:val="nil"/>
            </w:tcBorders>
            <w:shd w:val="clear" w:color="auto" w:fill="auto"/>
            <w:noWrap/>
            <w:vAlign w:val="center"/>
            <w:hideMark/>
          </w:tcPr>
          <w:p w14:paraId="212D5786" w14:textId="77777777" w:rsidR="00387142" w:rsidRPr="008B6A75" w:rsidRDefault="00387142" w:rsidP="00387142">
            <w:pPr>
              <w:jc w:val="center"/>
              <w:rPr>
                <w:bCs/>
                <w:sz w:val="20"/>
                <w:szCs w:val="20"/>
              </w:rPr>
            </w:pPr>
            <w:r w:rsidRPr="008B6A75">
              <w:rPr>
                <w:bCs/>
                <w:sz w:val="20"/>
                <w:szCs w:val="20"/>
              </w:rPr>
              <w:t>05</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63836E65" w14:textId="77777777" w:rsidR="00387142" w:rsidRPr="008B6A75" w:rsidRDefault="00387142" w:rsidP="00387142">
            <w:pPr>
              <w:jc w:val="center"/>
              <w:rPr>
                <w:bCs/>
                <w:sz w:val="20"/>
                <w:szCs w:val="20"/>
              </w:rPr>
            </w:pPr>
            <w:r w:rsidRPr="008B6A75">
              <w:rPr>
                <w:bCs/>
                <w:sz w:val="20"/>
                <w:szCs w:val="20"/>
              </w:rPr>
              <w:t>03</w:t>
            </w:r>
          </w:p>
        </w:tc>
        <w:tc>
          <w:tcPr>
            <w:tcW w:w="1411" w:type="dxa"/>
            <w:tcBorders>
              <w:top w:val="single" w:sz="4" w:space="0" w:color="auto"/>
              <w:left w:val="single" w:sz="4" w:space="0" w:color="auto"/>
              <w:bottom w:val="nil"/>
              <w:right w:val="nil"/>
            </w:tcBorders>
            <w:shd w:val="clear" w:color="auto" w:fill="auto"/>
            <w:noWrap/>
            <w:vAlign w:val="center"/>
            <w:hideMark/>
          </w:tcPr>
          <w:p w14:paraId="442EF3CE" w14:textId="77777777" w:rsidR="00387142" w:rsidRPr="008B6A75" w:rsidRDefault="00387142" w:rsidP="00387142">
            <w:pPr>
              <w:jc w:val="center"/>
              <w:rPr>
                <w:bCs/>
                <w:sz w:val="20"/>
                <w:szCs w:val="20"/>
              </w:rPr>
            </w:pPr>
            <w:r w:rsidRPr="008B6A75">
              <w:rPr>
                <w:bCs/>
                <w:sz w:val="20"/>
                <w:szCs w:val="20"/>
              </w:rPr>
              <w:t>01.0.00.00000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584BFAE1" w14:textId="77777777" w:rsidR="00387142" w:rsidRPr="008B6A75" w:rsidRDefault="00387142" w:rsidP="00387142">
            <w:pPr>
              <w:jc w:val="center"/>
              <w:rPr>
                <w:bCs/>
                <w:sz w:val="20"/>
                <w:szCs w:val="20"/>
              </w:rPr>
            </w:pPr>
            <w:r w:rsidRPr="008B6A75">
              <w:rPr>
                <w:bCs/>
                <w:sz w:val="20"/>
                <w:szCs w:val="20"/>
              </w:rPr>
              <w:t> </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75E469CB" w14:textId="77777777" w:rsidR="00387142" w:rsidRPr="008B6A75" w:rsidRDefault="00387142" w:rsidP="00387142">
            <w:pPr>
              <w:jc w:val="right"/>
              <w:rPr>
                <w:bCs/>
                <w:sz w:val="20"/>
                <w:szCs w:val="20"/>
              </w:rPr>
            </w:pPr>
            <w:r w:rsidRPr="008B6A75">
              <w:rPr>
                <w:bCs/>
                <w:sz w:val="20"/>
                <w:szCs w:val="20"/>
              </w:rPr>
              <w:t>167 666,22</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56BB8BB4" w14:textId="77777777" w:rsidR="00387142" w:rsidRPr="008B6A75" w:rsidRDefault="00387142" w:rsidP="00387142">
            <w:pPr>
              <w:jc w:val="right"/>
              <w:rPr>
                <w:bCs/>
                <w:sz w:val="20"/>
                <w:szCs w:val="20"/>
              </w:rPr>
            </w:pPr>
            <w:r w:rsidRPr="008B6A75">
              <w:rPr>
                <w:bCs/>
                <w:sz w:val="20"/>
                <w:szCs w:val="20"/>
              </w:rPr>
              <w:t>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73EB5513" w14:textId="77777777" w:rsidR="00387142" w:rsidRPr="008B6A75" w:rsidRDefault="00387142" w:rsidP="00387142">
            <w:pPr>
              <w:jc w:val="right"/>
              <w:rPr>
                <w:bCs/>
                <w:sz w:val="20"/>
                <w:szCs w:val="20"/>
              </w:rPr>
            </w:pPr>
            <w:r w:rsidRPr="008B6A75">
              <w:rPr>
                <w:bCs/>
                <w:sz w:val="20"/>
                <w:szCs w:val="20"/>
              </w:rPr>
              <w:t>0,00</w:t>
            </w:r>
          </w:p>
        </w:tc>
        <w:tc>
          <w:tcPr>
            <w:tcW w:w="222" w:type="dxa"/>
            <w:vAlign w:val="center"/>
            <w:hideMark/>
          </w:tcPr>
          <w:p w14:paraId="262BAE31" w14:textId="77777777" w:rsidR="00387142" w:rsidRPr="008B6A75" w:rsidRDefault="00387142" w:rsidP="00387142">
            <w:pPr>
              <w:rPr>
                <w:sz w:val="20"/>
                <w:szCs w:val="20"/>
              </w:rPr>
            </w:pPr>
          </w:p>
        </w:tc>
      </w:tr>
      <w:tr w:rsidR="00387142" w:rsidRPr="008B6A75" w14:paraId="11EFF994" w14:textId="77777777" w:rsidTr="00387142">
        <w:trPr>
          <w:trHeight w:val="870"/>
        </w:trPr>
        <w:tc>
          <w:tcPr>
            <w:tcW w:w="3021" w:type="dxa"/>
            <w:tcBorders>
              <w:top w:val="single" w:sz="4" w:space="0" w:color="auto"/>
              <w:left w:val="single" w:sz="4" w:space="0" w:color="auto"/>
              <w:bottom w:val="nil"/>
              <w:right w:val="nil"/>
            </w:tcBorders>
            <w:shd w:val="clear" w:color="auto" w:fill="auto"/>
            <w:vAlign w:val="center"/>
            <w:hideMark/>
          </w:tcPr>
          <w:p w14:paraId="79F8D674" w14:textId="77777777" w:rsidR="00387142" w:rsidRPr="008B6A75" w:rsidRDefault="00387142" w:rsidP="00387142">
            <w:pPr>
              <w:rPr>
                <w:bCs/>
                <w:sz w:val="20"/>
                <w:szCs w:val="20"/>
              </w:rPr>
            </w:pPr>
            <w:r w:rsidRPr="008B6A75">
              <w:rPr>
                <w:bCs/>
                <w:sz w:val="20"/>
                <w:szCs w:val="20"/>
              </w:rPr>
              <w:t>Реализация мероприятий в рамках МП "Содействие занятости населения Куйбышевского района"</w:t>
            </w:r>
          </w:p>
        </w:tc>
        <w:tc>
          <w:tcPr>
            <w:tcW w:w="850" w:type="dxa"/>
            <w:tcBorders>
              <w:top w:val="single" w:sz="4" w:space="0" w:color="auto"/>
              <w:left w:val="single" w:sz="4" w:space="0" w:color="auto"/>
              <w:bottom w:val="nil"/>
              <w:right w:val="nil"/>
            </w:tcBorders>
            <w:shd w:val="clear" w:color="auto" w:fill="auto"/>
            <w:noWrap/>
            <w:vAlign w:val="center"/>
            <w:hideMark/>
          </w:tcPr>
          <w:p w14:paraId="5A482609" w14:textId="77777777" w:rsidR="00387142" w:rsidRPr="008B6A75" w:rsidRDefault="00387142" w:rsidP="00387142">
            <w:pPr>
              <w:jc w:val="center"/>
              <w:rPr>
                <w:bCs/>
                <w:sz w:val="20"/>
                <w:szCs w:val="20"/>
              </w:rPr>
            </w:pPr>
            <w:r w:rsidRPr="008B6A75">
              <w:rPr>
                <w:bCs/>
                <w:sz w:val="20"/>
                <w:szCs w:val="20"/>
              </w:rPr>
              <w:t>444</w:t>
            </w:r>
          </w:p>
        </w:tc>
        <w:tc>
          <w:tcPr>
            <w:tcW w:w="709" w:type="dxa"/>
            <w:tcBorders>
              <w:top w:val="single" w:sz="4" w:space="0" w:color="auto"/>
              <w:left w:val="single" w:sz="4" w:space="0" w:color="auto"/>
              <w:bottom w:val="nil"/>
              <w:right w:val="nil"/>
            </w:tcBorders>
            <w:shd w:val="clear" w:color="auto" w:fill="auto"/>
            <w:noWrap/>
            <w:vAlign w:val="center"/>
            <w:hideMark/>
          </w:tcPr>
          <w:p w14:paraId="1CE817E4" w14:textId="77777777" w:rsidR="00387142" w:rsidRPr="008B6A75" w:rsidRDefault="00387142" w:rsidP="00387142">
            <w:pPr>
              <w:jc w:val="center"/>
              <w:rPr>
                <w:bCs/>
                <w:sz w:val="20"/>
                <w:szCs w:val="20"/>
              </w:rPr>
            </w:pPr>
            <w:r w:rsidRPr="008B6A75">
              <w:rPr>
                <w:bCs/>
                <w:sz w:val="20"/>
                <w:szCs w:val="20"/>
              </w:rPr>
              <w:t>05</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0EE93988" w14:textId="77777777" w:rsidR="00387142" w:rsidRPr="008B6A75" w:rsidRDefault="00387142" w:rsidP="00387142">
            <w:pPr>
              <w:jc w:val="center"/>
              <w:rPr>
                <w:bCs/>
                <w:sz w:val="20"/>
                <w:szCs w:val="20"/>
              </w:rPr>
            </w:pPr>
            <w:r w:rsidRPr="008B6A75">
              <w:rPr>
                <w:bCs/>
                <w:sz w:val="20"/>
                <w:szCs w:val="20"/>
              </w:rPr>
              <w:t>03</w:t>
            </w:r>
          </w:p>
        </w:tc>
        <w:tc>
          <w:tcPr>
            <w:tcW w:w="1411" w:type="dxa"/>
            <w:tcBorders>
              <w:top w:val="single" w:sz="4" w:space="0" w:color="auto"/>
              <w:left w:val="single" w:sz="4" w:space="0" w:color="auto"/>
              <w:bottom w:val="nil"/>
              <w:right w:val="nil"/>
            </w:tcBorders>
            <w:shd w:val="clear" w:color="auto" w:fill="auto"/>
            <w:noWrap/>
            <w:vAlign w:val="center"/>
            <w:hideMark/>
          </w:tcPr>
          <w:p w14:paraId="2450D69F" w14:textId="77777777" w:rsidR="00387142" w:rsidRPr="008B6A75" w:rsidRDefault="00387142" w:rsidP="00387142">
            <w:pPr>
              <w:jc w:val="center"/>
              <w:rPr>
                <w:bCs/>
                <w:sz w:val="20"/>
                <w:szCs w:val="20"/>
              </w:rPr>
            </w:pPr>
            <w:r w:rsidRPr="008B6A75">
              <w:rPr>
                <w:bCs/>
                <w:sz w:val="20"/>
                <w:szCs w:val="20"/>
              </w:rPr>
              <w:t>01.0.00.79500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4C465ECA" w14:textId="77777777" w:rsidR="00387142" w:rsidRPr="008B6A75" w:rsidRDefault="00387142" w:rsidP="00387142">
            <w:pPr>
              <w:jc w:val="center"/>
              <w:rPr>
                <w:bCs/>
                <w:sz w:val="20"/>
                <w:szCs w:val="20"/>
              </w:rPr>
            </w:pPr>
            <w:r w:rsidRPr="008B6A75">
              <w:rPr>
                <w:bCs/>
                <w:sz w:val="20"/>
                <w:szCs w:val="20"/>
              </w:rPr>
              <w:t> </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42AF3ABB" w14:textId="77777777" w:rsidR="00387142" w:rsidRPr="008B6A75" w:rsidRDefault="00387142" w:rsidP="00387142">
            <w:pPr>
              <w:jc w:val="right"/>
              <w:rPr>
                <w:bCs/>
                <w:sz w:val="20"/>
                <w:szCs w:val="20"/>
              </w:rPr>
            </w:pPr>
            <w:r w:rsidRPr="008B6A75">
              <w:rPr>
                <w:bCs/>
                <w:sz w:val="20"/>
                <w:szCs w:val="20"/>
              </w:rPr>
              <w:t>167 666,22</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576CFF7C" w14:textId="77777777" w:rsidR="00387142" w:rsidRPr="008B6A75" w:rsidRDefault="00387142" w:rsidP="00387142">
            <w:pPr>
              <w:jc w:val="right"/>
              <w:rPr>
                <w:bCs/>
                <w:sz w:val="20"/>
                <w:szCs w:val="20"/>
              </w:rPr>
            </w:pPr>
            <w:r w:rsidRPr="008B6A75">
              <w:rPr>
                <w:bCs/>
                <w:sz w:val="20"/>
                <w:szCs w:val="20"/>
              </w:rPr>
              <w:t>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0B9212F0" w14:textId="77777777" w:rsidR="00387142" w:rsidRPr="008B6A75" w:rsidRDefault="00387142" w:rsidP="00387142">
            <w:pPr>
              <w:jc w:val="right"/>
              <w:rPr>
                <w:bCs/>
                <w:sz w:val="20"/>
                <w:szCs w:val="20"/>
              </w:rPr>
            </w:pPr>
            <w:r w:rsidRPr="008B6A75">
              <w:rPr>
                <w:bCs/>
                <w:sz w:val="20"/>
                <w:szCs w:val="20"/>
              </w:rPr>
              <w:t>0,00</w:t>
            </w:r>
          </w:p>
        </w:tc>
        <w:tc>
          <w:tcPr>
            <w:tcW w:w="222" w:type="dxa"/>
            <w:vAlign w:val="center"/>
            <w:hideMark/>
          </w:tcPr>
          <w:p w14:paraId="7DED4153" w14:textId="77777777" w:rsidR="00387142" w:rsidRPr="008B6A75" w:rsidRDefault="00387142" w:rsidP="00387142">
            <w:pPr>
              <w:rPr>
                <w:sz w:val="20"/>
                <w:szCs w:val="20"/>
              </w:rPr>
            </w:pPr>
          </w:p>
        </w:tc>
      </w:tr>
      <w:tr w:rsidR="00387142" w:rsidRPr="008B6A75" w14:paraId="55504FE6" w14:textId="77777777" w:rsidTr="00387142">
        <w:trPr>
          <w:trHeight w:val="300"/>
        </w:trPr>
        <w:tc>
          <w:tcPr>
            <w:tcW w:w="3021" w:type="dxa"/>
            <w:tcBorders>
              <w:top w:val="single" w:sz="4" w:space="0" w:color="auto"/>
              <w:left w:val="single" w:sz="4" w:space="0" w:color="auto"/>
              <w:bottom w:val="nil"/>
              <w:right w:val="nil"/>
            </w:tcBorders>
            <w:shd w:val="clear" w:color="auto" w:fill="auto"/>
            <w:vAlign w:val="center"/>
            <w:hideMark/>
          </w:tcPr>
          <w:p w14:paraId="3E464FF3" w14:textId="77777777" w:rsidR="00387142" w:rsidRPr="008B6A75" w:rsidRDefault="00387142" w:rsidP="00387142">
            <w:pPr>
              <w:rPr>
                <w:sz w:val="20"/>
                <w:szCs w:val="20"/>
              </w:rPr>
            </w:pPr>
            <w:r w:rsidRPr="008B6A75">
              <w:rPr>
                <w:sz w:val="20"/>
                <w:szCs w:val="20"/>
              </w:rPr>
              <w:t>Межбюджетные трансферты</w:t>
            </w:r>
          </w:p>
        </w:tc>
        <w:tc>
          <w:tcPr>
            <w:tcW w:w="850" w:type="dxa"/>
            <w:tcBorders>
              <w:top w:val="single" w:sz="4" w:space="0" w:color="auto"/>
              <w:left w:val="single" w:sz="4" w:space="0" w:color="auto"/>
              <w:bottom w:val="nil"/>
              <w:right w:val="nil"/>
            </w:tcBorders>
            <w:shd w:val="clear" w:color="auto" w:fill="auto"/>
            <w:noWrap/>
            <w:vAlign w:val="center"/>
            <w:hideMark/>
          </w:tcPr>
          <w:p w14:paraId="2A75E50F" w14:textId="77777777" w:rsidR="00387142" w:rsidRPr="008B6A75" w:rsidRDefault="00387142" w:rsidP="00387142">
            <w:pPr>
              <w:jc w:val="center"/>
              <w:rPr>
                <w:sz w:val="20"/>
                <w:szCs w:val="20"/>
              </w:rPr>
            </w:pPr>
            <w:r w:rsidRPr="008B6A75">
              <w:rPr>
                <w:sz w:val="20"/>
                <w:szCs w:val="20"/>
              </w:rPr>
              <w:t>444</w:t>
            </w:r>
          </w:p>
        </w:tc>
        <w:tc>
          <w:tcPr>
            <w:tcW w:w="709" w:type="dxa"/>
            <w:tcBorders>
              <w:top w:val="single" w:sz="4" w:space="0" w:color="auto"/>
              <w:left w:val="single" w:sz="4" w:space="0" w:color="auto"/>
              <w:bottom w:val="nil"/>
              <w:right w:val="nil"/>
            </w:tcBorders>
            <w:shd w:val="clear" w:color="auto" w:fill="auto"/>
            <w:noWrap/>
            <w:vAlign w:val="center"/>
            <w:hideMark/>
          </w:tcPr>
          <w:p w14:paraId="07E14ABE" w14:textId="77777777" w:rsidR="00387142" w:rsidRPr="008B6A75" w:rsidRDefault="00387142" w:rsidP="00387142">
            <w:pPr>
              <w:jc w:val="center"/>
              <w:rPr>
                <w:sz w:val="20"/>
                <w:szCs w:val="20"/>
              </w:rPr>
            </w:pPr>
            <w:r w:rsidRPr="008B6A75">
              <w:rPr>
                <w:sz w:val="20"/>
                <w:szCs w:val="20"/>
              </w:rPr>
              <w:t>05</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68FD09C7" w14:textId="77777777" w:rsidR="00387142" w:rsidRPr="008B6A75" w:rsidRDefault="00387142" w:rsidP="00387142">
            <w:pPr>
              <w:jc w:val="center"/>
              <w:rPr>
                <w:sz w:val="20"/>
                <w:szCs w:val="20"/>
              </w:rPr>
            </w:pPr>
            <w:r w:rsidRPr="008B6A75">
              <w:rPr>
                <w:sz w:val="20"/>
                <w:szCs w:val="20"/>
              </w:rPr>
              <w:t>03</w:t>
            </w:r>
          </w:p>
        </w:tc>
        <w:tc>
          <w:tcPr>
            <w:tcW w:w="1411" w:type="dxa"/>
            <w:tcBorders>
              <w:top w:val="single" w:sz="4" w:space="0" w:color="auto"/>
              <w:left w:val="single" w:sz="4" w:space="0" w:color="auto"/>
              <w:bottom w:val="nil"/>
              <w:right w:val="nil"/>
            </w:tcBorders>
            <w:shd w:val="clear" w:color="auto" w:fill="auto"/>
            <w:noWrap/>
            <w:vAlign w:val="center"/>
            <w:hideMark/>
          </w:tcPr>
          <w:p w14:paraId="4E6CFE52" w14:textId="77777777" w:rsidR="00387142" w:rsidRPr="008B6A75" w:rsidRDefault="00387142" w:rsidP="00387142">
            <w:pPr>
              <w:jc w:val="center"/>
              <w:rPr>
                <w:sz w:val="20"/>
                <w:szCs w:val="20"/>
              </w:rPr>
            </w:pPr>
            <w:r w:rsidRPr="008B6A75">
              <w:rPr>
                <w:sz w:val="20"/>
                <w:szCs w:val="20"/>
              </w:rPr>
              <w:t>01.0.00.79500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46656043" w14:textId="77777777" w:rsidR="00387142" w:rsidRPr="008B6A75" w:rsidRDefault="00387142" w:rsidP="00387142">
            <w:pPr>
              <w:jc w:val="center"/>
              <w:rPr>
                <w:sz w:val="20"/>
                <w:szCs w:val="20"/>
              </w:rPr>
            </w:pPr>
            <w:r w:rsidRPr="008B6A75">
              <w:rPr>
                <w:sz w:val="20"/>
                <w:szCs w:val="20"/>
              </w:rPr>
              <w:t>500</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3A2AC754" w14:textId="77777777" w:rsidR="00387142" w:rsidRPr="008B6A75" w:rsidRDefault="00387142" w:rsidP="00387142">
            <w:pPr>
              <w:jc w:val="right"/>
              <w:rPr>
                <w:sz w:val="20"/>
                <w:szCs w:val="20"/>
              </w:rPr>
            </w:pPr>
            <w:r w:rsidRPr="008B6A75">
              <w:rPr>
                <w:sz w:val="20"/>
                <w:szCs w:val="20"/>
              </w:rPr>
              <w:t>167 666,22</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162DA4F4" w14:textId="77777777" w:rsidR="00387142" w:rsidRPr="008B6A75" w:rsidRDefault="00387142" w:rsidP="00387142">
            <w:pPr>
              <w:jc w:val="right"/>
              <w:rPr>
                <w:sz w:val="20"/>
                <w:szCs w:val="20"/>
              </w:rPr>
            </w:pPr>
            <w:r w:rsidRPr="008B6A75">
              <w:rPr>
                <w:sz w:val="20"/>
                <w:szCs w:val="20"/>
              </w:rPr>
              <w:t>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701DEA65" w14:textId="77777777" w:rsidR="00387142" w:rsidRPr="008B6A75" w:rsidRDefault="00387142" w:rsidP="00387142">
            <w:pPr>
              <w:jc w:val="right"/>
              <w:rPr>
                <w:sz w:val="20"/>
                <w:szCs w:val="20"/>
              </w:rPr>
            </w:pPr>
            <w:r w:rsidRPr="008B6A75">
              <w:rPr>
                <w:sz w:val="20"/>
                <w:szCs w:val="20"/>
              </w:rPr>
              <w:t>0,00</w:t>
            </w:r>
          </w:p>
        </w:tc>
        <w:tc>
          <w:tcPr>
            <w:tcW w:w="222" w:type="dxa"/>
            <w:vAlign w:val="center"/>
            <w:hideMark/>
          </w:tcPr>
          <w:p w14:paraId="46B62904" w14:textId="77777777" w:rsidR="00387142" w:rsidRPr="008B6A75" w:rsidRDefault="00387142" w:rsidP="00387142">
            <w:pPr>
              <w:rPr>
                <w:sz w:val="20"/>
                <w:szCs w:val="20"/>
              </w:rPr>
            </w:pPr>
          </w:p>
        </w:tc>
      </w:tr>
      <w:tr w:rsidR="00387142" w:rsidRPr="008B6A75" w14:paraId="6969D35C" w14:textId="77777777" w:rsidTr="00387142">
        <w:trPr>
          <w:trHeight w:val="300"/>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05161568" w14:textId="77777777" w:rsidR="00387142" w:rsidRPr="008B6A75" w:rsidRDefault="00387142" w:rsidP="00387142">
            <w:pPr>
              <w:rPr>
                <w:sz w:val="20"/>
                <w:szCs w:val="20"/>
              </w:rPr>
            </w:pPr>
            <w:r w:rsidRPr="008B6A75">
              <w:rPr>
                <w:sz w:val="20"/>
                <w:szCs w:val="20"/>
              </w:rPr>
              <w:t>Иные межбюджетные трансферты</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3B3FEB02" w14:textId="77777777" w:rsidR="00387142" w:rsidRPr="008B6A75" w:rsidRDefault="00387142" w:rsidP="00387142">
            <w:pPr>
              <w:jc w:val="center"/>
              <w:rPr>
                <w:sz w:val="20"/>
                <w:szCs w:val="20"/>
              </w:rPr>
            </w:pPr>
            <w:r w:rsidRPr="008B6A75">
              <w:rPr>
                <w:sz w:val="20"/>
                <w:szCs w:val="20"/>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1E27765C" w14:textId="77777777" w:rsidR="00387142" w:rsidRPr="008B6A75" w:rsidRDefault="00387142" w:rsidP="00387142">
            <w:pPr>
              <w:jc w:val="center"/>
              <w:rPr>
                <w:sz w:val="20"/>
                <w:szCs w:val="20"/>
              </w:rPr>
            </w:pPr>
            <w:r w:rsidRPr="008B6A75">
              <w:rPr>
                <w:sz w:val="20"/>
                <w:szCs w:val="20"/>
              </w:rPr>
              <w:t>05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F45799" w14:textId="77777777" w:rsidR="00387142" w:rsidRPr="008B6A75" w:rsidRDefault="00387142" w:rsidP="00387142">
            <w:pPr>
              <w:jc w:val="center"/>
              <w:rPr>
                <w:sz w:val="20"/>
                <w:szCs w:val="20"/>
              </w:rPr>
            </w:pPr>
            <w:r w:rsidRPr="008B6A75">
              <w:rPr>
                <w:sz w:val="20"/>
                <w:szCs w:val="20"/>
              </w:rPr>
              <w:t>03</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3AD180EB" w14:textId="77777777" w:rsidR="00387142" w:rsidRPr="008B6A75" w:rsidRDefault="00387142" w:rsidP="00387142">
            <w:pPr>
              <w:jc w:val="center"/>
              <w:rPr>
                <w:sz w:val="20"/>
                <w:szCs w:val="20"/>
              </w:rPr>
            </w:pPr>
            <w:r w:rsidRPr="008B6A75">
              <w:rPr>
                <w:sz w:val="20"/>
                <w:szCs w:val="20"/>
              </w:rPr>
              <w:t>01.0.00.79500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4B866C" w14:textId="77777777" w:rsidR="00387142" w:rsidRPr="008B6A75" w:rsidRDefault="00387142" w:rsidP="00387142">
            <w:pPr>
              <w:jc w:val="center"/>
              <w:rPr>
                <w:sz w:val="20"/>
                <w:szCs w:val="20"/>
              </w:rPr>
            </w:pPr>
            <w:r w:rsidRPr="008B6A75">
              <w:rPr>
                <w:sz w:val="20"/>
                <w:szCs w:val="20"/>
              </w:rPr>
              <w:t>540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70A8E9" w14:textId="77777777" w:rsidR="00387142" w:rsidRPr="008B6A75" w:rsidRDefault="00387142" w:rsidP="00387142">
            <w:pPr>
              <w:jc w:val="right"/>
              <w:rPr>
                <w:sz w:val="20"/>
                <w:szCs w:val="20"/>
              </w:rPr>
            </w:pPr>
            <w:r w:rsidRPr="008B6A75">
              <w:rPr>
                <w:sz w:val="20"/>
                <w:szCs w:val="20"/>
              </w:rPr>
              <w:t>167 666,22</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5B0CDE04" w14:textId="77777777" w:rsidR="00387142" w:rsidRPr="008B6A75" w:rsidRDefault="00387142" w:rsidP="00387142">
            <w:pPr>
              <w:jc w:val="right"/>
              <w:rPr>
                <w:sz w:val="20"/>
                <w:szCs w:val="20"/>
              </w:rPr>
            </w:pPr>
            <w:r w:rsidRPr="008B6A75">
              <w:rPr>
                <w:sz w:val="20"/>
                <w:szCs w:val="20"/>
              </w:rPr>
              <w:t>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AE2489" w14:textId="77777777" w:rsidR="00387142" w:rsidRPr="008B6A75" w:rsidRDefault="00387142" w:rsidP="00387142">
            <w:pPr>
              <w:jc w:val="right"/>
              <w:rPr>
                <w:sz w:val="20"/>
                <w:szCs w:val="20"/>
              </w:rPr>
            </w:pPr>
            <w:r w:rsidRPr="008B6A75">
              <w:rPr>
                <w:sz w:val="20"/>
                <w:szCs w:val="20"/>
              </w:rPr>
              <w:t>0,00</w:t>
            </w:r>
          </w:p>
        </w:tc>
        <w:tc>
          <w:tcPr>
            <w:tcW w:w="222" w:type="dxa"/>
            <w:vAlign w:val="center"/>
            <w:hideMark/>
          </w:tcPr>
          <w:p w14:paraId="0EBC5086" w14:textId="77777777" w:rsidR="00387142" w:rsidRPr="008B6A75" w:rsidRDefault="00387142" w:rsidP="00387142">
            <w:pPr>
              <w:rPr>
                <w:sz w:val="20"/>
                <w:szCs w:val="20"/>
              </w:rPr>
            </w:pPr>
          </w:p>
        </w:tc>
      </w:tr>
      <w:tr w:rsidR="00387142" w:rsidRPr="008B6A75" w14:paraId="0E87BAA5" w14:textId="77777777" w:rsidTr="00387142">
        <w:trPr>
          <w:trHeight w:val="870"/>
        </w:trPr>
        <w:tc>
          <w:tcPr>
            <w:tcW w:w="3021" w:type="dxa"/>
            <w:tcBorders>
              <w:top w:val="nil"/>
              <w:left w:val="single" w:sz="4" w:space="0" w:color="auto"/>
              <w:bottom w:val="nil"/>
              <w:right w:val="nil"/>
            </w:tcBorders>
            <w:shd w:val="clear" w:color="auto" w:fill="auto"/>
            <w:vAlign w:val="center"/>
            <w:hideMark/>
          </w:tcPr>
          <w:p w14:paraId="1BDE507C" w14:textId="77777777" w:rsidR="00387142" w:rsidRPr="008B6A75" w:rsidRDefault="00387142" w:rsidP="00387142">
            <w:pPr>
              <w:rPr>
                <w:bCs/>
                <w:sz w:val="20"/>
                <w:szCs w:val="20"/>
              </w:rPr>
            </w:pPr>
            <w:r w:rsidRPr="008B6A75">
              <w:rPr>
                <w:bCs/>
                <w:sz w:val="20"/>
                <w:szCs w:val="20"/>
              </w:rPr>
              <w:t>Муниципальная программа "Комплексное развитие сельских территорий в Куйбышевском районе"</w:t>
            </w:r>
          </w:p>
        </w:tc>
        <w:tc>
          <w:tcPr>
            <w:tcW w:w="850" w:type="dxa"/>
            <w:tcBorders>
              <w:top w:val="nil"/>
              <w:left w:val="single" w:sz="4" w:space="0" w:color="auto"/>
              <w:bottom w:val="nil"/>
              <w:right w:val="nil"/>
            </w:tcBorders>
            <w:shd w:val="clear" w:color="auto" w:fill="auto"/>
            <w:noWrap/>
            <w:vAlign w:val="center"/>
            <w:hideMark/>
          </w:tcPr>
          <w:p w14:paraId="3AC25347" w14:textId="77777777" w:rsidR="00387142" w:rsidRPr="008B6A75" w:rsidRDefault="00387142" w:rsidP="00387142">
            <w:pPr>
              <w:jc w:val="center"/>
              <w:rPr>
                <w:bCs/>
                <w:sz w:val="20"/>
                <w:szCs w:val="20"/>
              </w:rPr>
            </w:pPr>
            <w:r w:rsidRPr="008B6A75">
              <w:rPr>
                <w:bCs/>
                <w:sz w:val="20"/>
                <w:szCs w:val="20"/>
              </w:rPr>
              <w:t>444</w:t>
            </w:r>
          </w:p>
        </w:tc>
        <w:tc>
          <w:tcPr>
            <w:tcW w:w="709" w:type="dxa"/>
            <w:tcBorders>
              <w:top w:val="nil"/>
              <w:left w:val="single" w:sz="4" w:space="0" w:color="auto"/>
              <w:bottom w:val="nil"/>
              <w:right w:val="nil"/>
            </w:tcBorders>
            <w:shd w:val="clear" w:color="auto" w:fill="auto"/>
            <w:noWrap/>
            <w:vAlign w:val="center"/>
            <w:hideMark/>
          </w:tcPr>
          <w:p w14:paraId="4C01A767" w14:textId="77777777" w:rsidR="00387142" w:rsidRPr="008B6A75" w:rsidRDefault="00387142" w:rsidP="00387142">
            <w:pPr>
              <w:jc w:val="center"/>
              <w:rPr>
                <w:bCs/>
                <w:sz w:val="20"/>
                <w:szCs w:val="20"/>
              </w:rPr>
            </w:pPr>
            <w:r w:rsidRPr="008B6A75">
              <w:rPr>
                <w:bCs/>
                <w:sz w:val="20"/>
                <w:szCs w:val="20"/>
              </w:rPr>
              <w:t>05</w:t>
            </w:r>
          </w:p>
        </w:tc>
        <w:tc>
          <w:tcPr>
            <w:tcW w:w="709" w:type="dxa"/>
            <w:tcBorders>
              <w:top w:val="nil"/>
              <w:left w:val="single" w:sz="4" w:space="0" w:color="auto"/>
              <w:bottom w:val="nil"/>
              <w:right w:val="single" w:sz="4" w:space="0" w:color="auto"/>
            </w:tcBorders>
            <w:shd w:val="clear" w:color="auto" w:fill="auto"/>
            <w:noWrap/>
            <w:vAlign w:val="center"/>
            <w:hideMark/>
          </w:tcPr>
          <w:p w14:paraId="768007BC" w14:textId="77777777" w:rsidR="00387142" w:rsidRPr="008B6A75" w:rsidRDefault="00387142" w:rsidP="00387142">
            <w:pPr>
              <w:jc w:val="center"/>
              <w:rPr>
                <w:bCs/>
                <w:sz w:val="20"/>
                <w:szCs w:val="20"/>
              </w:rPr>
            </w:pPr>
            <w:r w:rsidRPr="008B6A75">
              <w:rPr>
                <w:bCs/>
                <w:sz w:val="20"/>
                <w:szCs w:val="20"/>
              </w:rPr>
              <w:t>03</w:t>
            </w:r>
          </w:p>
        </w:tc>
        <w:tc>
          <w:tcPr>
            <w:tcW w:w="1411" w:type="dxa"/>
            <w:tcBorders>
              <w:top w:val="nil"/>
              <w:left w:val="single" w:sz="4" w:space="0" w:color="auto"/>
              <w:bottom w:val="nil"/>
              <w:right w:val="nil"/>
            </w:tcBorders>
            <w:shd w:val="clear" w:color="auto" w:fill="auto"/>
            <w:noWrap/>
            <w:vAlign w:val="center"/>
            <w:hideMark/>
          </w:tcPr>
          <w:p w14:paraId="28B5B807" w14:textId="77777777" w:rsidR="00387142" w:rsidRPr="008B6A75" w:rsidRDefault="00387142" w:rsidP="00387142">
            <w:pPr>
              <w:jc w:val="center"/>
              <w:rPr>
                <w:bCs/>
                <w:sz w:val="20"/>
                <w:szCs w:val="20"/>
              </w:rPr>
            </w:pPr>
            <w:r w:rsidRPr="008B6A75">
              <w:rPr>
                <w:bCs/>
                <w:sz w:val="20"/>
                <w:szCs w:val="20"/>
              </w:rPr>
              <w:t>06.0.00.00000</w:t>
            </w:r>
          </w:p>
        </w:tc>
        <w:tc>
          <w:tcPr>
            <w:tcW w:w="955" w:type="dxa"/>
            <w:tcBorders>
              <w:top w:val="nil"/>
              <w:left w:val="single" w:sz="4" w:space="0" w:color="auto"/>
              <w:bottom w:val="nil"/>
              <w:right w:val="single" w:sz="4" w:space="0" w:color="auto"/>
            </w:tcBorders>
            <w:shd w:val="clear" w:color="auto" w:fill="auto"/>
            <w:noWrap/>
            <w:vAlign w:val="center"/>
            <w:hideMark/>
          </w:tcPr>
          <w:p w14:paraId="5E619A6A"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nil"/>
              <w:right w:val="single" w:sz="4" w:space="0" w:color="auto"/>
            </w:tcBorders>
            <w:shd w:val="clear" w:color="auto" w:fill="auto"/>
            <w:noWrap/>
            <w:vAlign w:val="center"/>
            <w:hideMark/>
          </w:tcPr>
          <w:p w14:paraId="616DC559" w14:textId="77777777" w:rsidR="00387142" w:rsidRPr="008B6A75" w:rsidRDefault="00387142" w:rsidP="00387142">
            <w:pPr>
              <w:jc w:val="right"/>
              <w:rPr>
                <w:bCs/>
                <w:sz w:val="20"/>
                <w:szCs w:val="20"/>
              </w:rPr>
            </w:pPr>
            <w:r w:rsidRPr="008B6A75">
              <w:rPr>
                <w:bCs/>
                <w:sz w:val="20"/>
                <w:szCs w:val="20"/>
              </w:rPr>
              <w:t>2 998 172,91</w:t>
            </w:r>
          </w:p>
        </w:tc>
        <w:tc>
          <w:tcPr>
            <w:tcW w:w="992" w:type="dxa"/>
            <w:gridSpan w:val="2"/>
            <w:tcBorders>
              <w:top w:val="nil"/>
              <w:left w:val="single" w:sz="4" w:space="0" w:color="auto"/>
              <w:bottom w:val="nil"/>
              <w:right w:val="nil"/>
            </w:tcBorders>
            <w:shd w:val="clear" w:color="auto" w:fill="auto"/>
            <w:noWrap/>
            <w:vAlign w:val="center"/>
            <w:hideMark/>
          </w:tcPr>
          <w:p w14:paraId="4B38D64D" w14:textId="77777777" w:rsidR="00387142" w:rsidRPr="008B6A75" w:rsidRDefault="00387142" w:rsidP="00387142">
            <w:pPr>
              <w:jc w:val="right"/>
              <w:rPr>
                <w:bCs/>
                <w:sz w:val="20"/>
                <w:szCs w:val="20"/>
              </w:rPr>
            </w:pPr>
            <w:r w:rsidRPr="008B6A75">
              <w:rPr>
                <w:bCs/>
                <w:sz w:val="20"/>
                <w:szCs w:val="20"/>
              </w:rPr>
              <w:t>500 000,00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5E82222F" w14:textId="77777777" w:rsidR="00387142" w:rsidRPr="008B6A75" w:rsidRDefault="00387142" w:rsidP="00387142">
            <w:pPr>
              <w:jc w:val="right"/>
              <w:rPr>
                <w:bCs/>
                <w:sz w:val="20"/>
                <w:szCs w:val="20"/>
              </w:rPr>
            </w:pPr>
            <w:r w:rsidRPr="008B6A75">
              <w:rPr>
                <w:bCs/>
                <w:sz w:val="20"/>
                <w:szCs w:val="20"/>
              </w:rPr>
              <w:t>500 000,00</w:t>
            </w:r>
          </w:p>
        </w:tc>
        <w:tc>
          <w:tcPr>
            <w:tcW w:w="222" w:type="dxa"/>
            <w:vAlign w:val="center"/>
            <w:hideMark/>
          </w:tcPr>
          <w:p w14:paraId="41665997" w14:textId="77777777" w:rsidR="00387142" w:rsidRPr="008B6A75" w:rsidRDefault="00387142" w:rsidP="00387142">
            <w:pPr>
              <w:rPr>
                <w:sz w:val="20"/>
                <w:szCs w:val="20"/>
              </w:rPr>
            </w:pPr>
          </w:p>
        </w:tc>
      </w:tr>
      <w:tr w:rsidR="00387142" w:rsidRPr="008B6A75" w14:paraId="73A73FB4" w14:textId="77777777" w:rsidTr="00387142">
        <w:trPr>
          <w:trHeight w:val="870"/>
        </w:trPr>
        <w:tc>
          <w:tcPr>
            <w:tcW w:w="3021" w:type="dxa"/>
            <w:tcBorders>
              <w:top w:val="single" w:sz="4" w:space="0" w:color="auto"/>
              <w:left w:val="single" w:sz="4" w:space="0" w:color="auto"/>
              <w:bottom w:val="nil"/>
              <w:right w:val="nil"/>
            </w:tcBorders>
            <w:shd w:val="clear" w:color="auto" w:fill="auto"/>
            <w:vAlign w:val="center"/>
            <w:hideMark/>
          </w:tcPr>
          <w:p w14:paraId="080FF5AE" w14:textId="77777777" w:rsidR="00387142" w:rsidRPr="008B6A75" w:rsidRDefault="00387142" w:rsidP="00387142">
            <w:pPr>
              <w:rPr>
                <w:bCs/>
                <w:sz w:val="20"/>
                <w:szCs w:val="20"/>
              </w:rPr>
            </w:pPr>
            <w:r w:rsidRPr="008B6A75">
              <w:rPr>
                <w:bCs/>
                <w:sz w:val="20"/>
                <w:szCs w:val="20"/>
              </w:rPr>
              <w:t>Реализация мероприятий муниципальной программы «Комплексное развитие сельских территорий в Куйбышевском районе»</w:t>
            </w:r>
          </w:p>
        </w:tc>
        <w:tc>
          <w:tcPr>
            <w:tcW w:w="850" w:type="dxa"/>
            <w:tcBorders>
              <w:top w:val="single" w:sz="4" w:space="0" w:color="auto"/>
              <w:left w:val="single" w:sz="4" w:space="0" w:color="auto"/>
              <w:bottom w:val="nil"/>
              <w:right w:val="nil"/>
            </w:tcBorders>
            <w:shd w:val="clear" w:color="auto" w:fill="auto"/>
            <w:noWrap/>
            <w:vAlign w:val="center"/>
            <w:hideMark/>
          </w:tcPr>
          <w:p w14:paraId="6750CE5A" w14:textId="77777777" w:rsidR="00387142" w:rsidRPr="008B6A75" w:rsidRDefault="00387142" w:rsidP="00387142">
            <w:pPr>
              <w:jc w:val="center"/>
              <w:rPr>
                <w:bCs/>
                <w:sz w:val="20"/>
                <w:szCs w:val="20"/>
              </w:rPr>
            </w:pPr>
            <w:r w:rsidRPr="008B6A75">
              <w:rPr>
                <w:bCs/>
                <w:sz w:val="20"/>
                <w:szCs w:val="20"/>
              </w:rPr>
              <w:t>444</w:t>
            </w:r>
          </w:p>
        </w:tc>
        <w:tc>
          <w:tcPr>
            <w:tcW w:w="709" w:type="dxa"/>
            <w:tcBorders>
              <w:top w:val="single" w:sz="4" w:space="0" w:color="auto"/>
              <w:left w:val="single" w:sz="4" w:space="0" w:color="auto"/>
              <w:bottom w:val="nil"/>
              <w:right w:val="nil"/>
            </w:tcBorders>
            <w:shd w:val="clear" w:color="auto" w:fill="auto"/>
            <w:noWrap/>
            <w:vAlign w:val="center"/>
            <w:hideMark/>
          </w:tcPr>
          <w:p w14:paraId="2209511A" w14:textId="77777777" w:rsidR="00387142" w:rsidRPr="008B6A75" w:rsidRDefault="00387142" w:rsidP="00387142">
            <w:pPr>
              <w:jc w:val="center"/>
              <w:rPr>
                <w:bCs/>
                <w:sz w:val="20"/>
                <w:szCs w:val="20"/>
              </w:rPr>
            </w:pPr>
            <w:r w:rsidRPr="008B6A75">
              <w:rPr>
                <w:bCs/>
                <w:sz w:val="20"/>
                <w:szCs w:val="20"/>
              </w:rPr>
              <w:t>05</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5A791654" w14:textId="77777777" w:rsidR="00387142" w:rsidRPr="008B6A75" w:rsidRDefault="00387142" w:rsidP="00387142">
            <w:pPr>
              <w:jc w:val="center"/>
              <w:rPr>
                <w:bCs/>
                <w:sz w:val="20"/>
                <w:szCs w:val="20"/>
              </w:rPr>
            </w:pPr>
            <w:r w:rsidRPr="008B6A75">
              <w:rPr>
                <w:bCs/>
                <w:sz w:val="20"/>
                <w:szCs w:val="20"/>
              </w:rPr>
              <w:t>03</w:t>
            </w:r>
          </w:p>
        </w:tc>
        <w:tc>
          <w:tcPr>
            <w:tcW w:w="1411" w:type="dxa"/>
            <w:tcBorders>
              <w:top w:val="single" w:sz="4" w:space="0" w:color="auto"/>
              <w:left w:val="single" w:sz="4" w:space="0" w:color="auto"/>
              <w:bottom w:val="nil"/>
              <w:right w:val="nil"/>
            </w:tcBorders>
            <w:shd w:val="clear" w:color="auto" w:fill="auto"/>
            <w:noWrap/>
            <w:vAlign w:val="center"/>
            <w:hideMark/>
          </w:tcPr>
          <w:p w14:paraId="725A8415" w14:textId="77777777" w:rsidR="00387142" w:rsidRPr="008B6A75" w:rsidRDefault="00387142" w:rsidP="00387142">
            <w:pPr>
              <w:jc w:val="center"/>
              <w:rPr>
                <w:bCs/>
                <w:sz w:val="20"/>
                <w:szCs w:val="20"/>
              </w:rPr>
            </w:pPr>
            <w:r w:rsidRPr="008B6A75">
              <w:rPr>
                <w:bCs/>
                <w:sz w:val="20"/>
                <w:szCs w:val="20"/>
              </w:rPr>
              <w:t>06.0.00.05956</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158A053B" w14:textId="77777777" w:rsidR="00387142" w:rsidRPr="008B6A75" w:rsidRDefault="00387142" w:rsidP="00387142">
            <w:pPr>
              <w:jc w:val="center"/>
              <w:rPr>
                <w:bCs/>
                <w:sz w:val="20"/>
                <w:szCs w:val="20"/>
              </w:rPr>
            </w:pPr>
            <w:r w:rsidRPr="008B6A75">
              <w:rPr>
                <w:bCs/>
                <w:sz w:val="20"/>
                <w:szCs w:val="20"/>
              </w:rPr>
              <w:t> </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6AF7559D" w14:textId="77777777" w:rsidR="00387142" w:rsidRPr="008B6A75" w:rsidRDefault="00387142" w:rsidP="00387142">
            <w:pPr>
              <w:jc w:val="right"/>
              <w:rPr>
                <w:bCs/>
                <w:sz w:val="20"/>
                <w:szCs w:val="20"/>
              </w:rPr>
            </w:pPr>
            <w:r w:rsidRPr="008B6A75">
              <w:rPr>
                <w:bCs/>
                <w:sz w:val="20"/>
                <w:szCs w:val="20"/>
              </w:rPr>
              <w:t>553 835,00</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2D9C562E" w14:textId="77777777" w:rsidR="00387142" w:rsidRPr="008B6A75" w:rsidRDefault="00387142" w:rsidP="00387142">
            <w:pPr>
              <w:jc w:val="right"/>
              <w:rPr>
                <w:bCs/>
                <w:sz w:val="20"/>
                <w:szCs w:val="20"/>
              </w:rPr>
            </w:pPr>
            <w:r w:rsidRPr="008B6A75">
              <w:rPr>
                <w:bCs/>
                <w:sz w:val="20"/>
                <w:szCs w:val="20"/>
              </w:rPr>
              <w:t>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61A2FD26" w14:textId="77777777" w:rsidR="00387142" w:rsidRPr="008B6A75" w:rsidRDefault="00387142" w:rsidP="00387142">
            <w:pPr>
              <w:jc w:val="right"/>
              <w:rPr>
                <w:bCs/>
                <w:sz w:val="20"/>
                <w:szCs w:val="20"/>
              </w:rPr>
            </w:pPr>
            <w:r w:rsidRPr="008B6A75">
              <w:rPr>
                <w:bCs/>
                <w:sz w:val="20"/>
                <w:szCs w:val="20"/>
              </w:rPr>
              <w:t>0,00</w:t>
            </w:r>
          </w:p>
        </w:tc>
        <w:tc>
          <w:tcPr>
            <w:tcW w:w="222" w:type="dxa"/>
            <w:vAlign w:val="center"/>
            <w:hideMark/>
          </w:tcPr>
          <w:p w14:paraId="44D67DDC" w14:textId="77777777" w:rsidR="00387142" w:rsidRPr="008B6A75" w:rsidRDefault="00387142" w:rsidP="00387142">
            <w:pPr>
              <w:rPr>
                <w:sz w:val="20"/>
                <w:szCs w:val="20"/>
              </w:rPr>
            </w:pPr>
          </w:p>
        </w:tc>
      </w:tr>
      <w:tr w:rsidR="00387142" w:rsidRPr="008B6A75" w14:paraId="19C4AA70" w14:textId="77777777" w:rsidTr="00387142">
        <w:trPr>
          <w:trHeight w:val="300"/>
        </w:trPr>
        <w:tc>
          <w:tcPr>
            <w:tcW w:w="3021" w:type="dxa"/>
            <w:tcBorders>
              <w:top w:val="single" w:sz="4" w:space="0" w:color="auto"/>
              <w:left w:val="single" w:sz="4" w:space="0" w:color="auto"/>
              <w:bottom w:val="nil"/>
              <w:right w:val="nil"/>
            </w:tcBorders>
            <w:shd w:val="clear" w:color="auto" w:fill="auto"/>
            <w:vAlign w:val="center"/>
            <w:hideMark/>
          </w:tcPr>
          <w:p w14:paraId="7243D3F9" w14:textId="77777777" w:rsidR="00387142" w:rsidRPr="008B6A75" w:rsidRDefault="00387142" w:rsidP="00387142">
            <w:pPr>
              <w:rPr>
                <w:sz w:val="20"/>
                <w:szCs w:val="20"/>
              </w:rPr>
            </w:pPr>
            <w:r w:rsidRPr="008B6A75">
              <w:rPr>
                <w:sz w:val="20"/>
                <w:szCs w:val="20"/>
              </w:rPr>
              <w:t>Межбюджетные трансферты</w:t>
            </w:r>
          </w:p>
        </w:tc>
        <w:tc>
          <w:tcPr>
            <w:tcW w:w="850" w:type="dxa"/>
            <w:tcBorders>
              <w:top w:val="single" w:sz="4" w:space="0" w:color="auto"/>
              <w:left w:val="single" w:sz="4" w:space="0" w:color="auto"/>
              <w:bottom w:val="nil"/>
              <w:right w:val="nil"/>
            </w:tcBorders>
            <w:shd w:val="clear" w:color="auto" w:fill="auto"/>
            <w:noWrap/>
            <w:vAlign w:val="center"/>
            <w:hideMark/>
          </w:tcPr>
          <w:p w14:paraId="2F27F3C4" w14:textId="77777777" w:rsidR="00387142" w:rsidRPr="008B6A75" w:rsidRDefault="00387142" w:rsidP="00387142">
            <w:pPr>
              <w:jc w:val="center"/>
              <w:rPr>
                <w:sz w:val="20"/>
                <w:szCs w:val="20"/>
              </w:rPr>
            </w:pPr>
            <w:r w:rsidRPr="008B6A75">
              <w:rPr>
                <w:sz w:val="20"/>
                <w:szCs w:val="20"/>
              </w:rPr>
              <w:t>444</w:t>
            </w:r>
          </w:p>
        </w:tc>
        <w:tc>
          <w:tcPr>
            <w:tcW w:w="709" w:type="dxa"/>
            <w:tcBorders>
              <w:top w:val="single" w:sz="4" w:space="0" w:color="auto"/>
              <w:left w:val="single" w:sz="4" w:space="0" w:color="auto"/>
              <w:bottom w:val="nil"/>
              <w:right w:val="nil"/>
            </w:tcBorders>
            <w:shd w:val="clear" w:color="auto" w:fill="auto"/>
            <w:noWrap/>
            <w:vAlign w:val="center"/>
            <w:hideMark/>
          </w:tcPr>
          <w:p w14:paraId="2ABF66DE" w14:textId="77777777" w:rsidR="00387142" w:rsidRPr="008B6A75" w:rsidRDefault="00387142" w:rsidP="00387142">
            <w:pPr>
              <w:jc w:val="center"/>
              <w:rPr>
                <w:sz w:val="20"/>
                <w:szCs w:val="20"/>
              </w:rPr>
            </w:pPr>
            <w:r w:rsidRPr="008B6A75">
              <w:rPr>
                <w:sz w:val="20"/>
                <w:szCs w:val="20"/>
              </w:rPr>
              <w:t>05</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0BDA2320" w14:textId="77777777" w:rsidR="00387142" w:rsidRPr="008B6A75" w:rsidRDefault="00387142" w:rsidP="00387142">
            <w:pPr>
              <w:jc w:val="center"/>
              <w:rPr>
                <w:sz w:val="20"/>
                <w:szCs w:val="20"/>
              </w:rPr>
            </w:pPr>
            <w:r w:rsidRPr="008B6A75">
              <w:rPr>
                <w:sz w:val="20"/>
                <w:szCs w:val="20"/>
              </w:rPr>
              <w:t>03</w:t>
            </w:r>
          </w:p>
        </w:tc>
        <w:tc>
          <w:tcPr>
            <w:tcW w:w="1411" w:type="dxa"/>
            <w:tcBorders>
              <w:top w:val="single" w:sz="4" w:space="0" w:color="auto"/>
              <w:left w:val="single" w:sz="4" w:space="0" w:color="auto"/>
              <w:bottom w:val="nil"/>
              <w:right w:val="nil"/>
            </w:tcBorders>
            <w:shd w:val="clear" w:color="auto" w:fill="auto"/>
            <w:noWrap/>
            <w:vAlign w:val="center"/>
            <w:hideMark/>
          </w:tcPr>
          <w:p w14:paraId="4A82393F" w14:textId="77777777" w:rsidR="00387142" w:rsidRPr="008B6A75" w:rsidRDefault="00387142" w:rsidP="00387142">
            <w:pPr>
              <w:jc w:val="center"/>
              <w:rPr>
                <w:sz w:val="20"/>
                <w:szCs w:val="20"/>
              </w:rPr>
            </w:pPr>
            <w:r w:rsidRPr="008B6A75">
              <w:rPr>
                <w:sz w:val="20"/>
                <w:szCs w:val="20"/>
              </w:rPr>
              <w:t>06.0.00.05956</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00DB0FB1" w14:textId="77777777" w:rsidR="00387142" w:rsidRPr="008B6A75" w:rsidRDefault="00387142" w:rsidP="00387142">
            <w:pPr>
              <w:jc w:val="center"/>
              <w:rPr>
                <w:sz w:val="20"/>
                <w:szCs w:val="20"/>
              </w:rPr>
            </w:pPr>
            <w:r w:rsidRPr="008B6A75">
              <w:rPr>
                <w:sz w:val="20"/>
                <w:szCs w:val="20"/>
              </w:rPr>
              <w:t>500</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6EF598B1" w14:textId="77777777" w:rsidR="00387142" w:rsidRPr="008B6A75" w:rsidRDefault="00387142" w:rsidP="00387142">
            <w:pPr>
              <w:jc w:val="right"/>
              <w:rPr>
                <w:sz w:val="20"/>
                <w:szCs w:val="20"/>
              </w:rPr>
            </w:pPr>
            <w:r w:rsidRPr="008B6A75">
              <w:rPr>
                <w:sz w:val="20"/>
                <w:szCs w:val="20"/>
              </w:rPr>
              <w:t>553 835,00</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5EEFC2A0" w14:textId="77777777" w:rsidR="00387142" w:rsidRPr="008B6A75" w:rsidRDefault="00387142" w:rsidP="00387142">
            <w:pPr>
              <w:jc w:val="right"/>
              <w:rPr>
                <w:sz w:val="20"/>
                <w:szCs w:val="20"/>
              </w:rPr>
            </w:pPr>
            <w:r w:rsidRPr="008B6A75">
              <w:rPr>
                <w:sz w:val="20"/>
                <w:szCs w:val="20"/>
              </w:rPr>
              <w:t>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2F0A50F6" w14:textId="77777777" w:rsidR="00387142" w:rsidRPr="008B6A75" w:rsidRDefault="00387142" w:rsidP="00387142">
            <w:pPr>
              <w:jc w:val="right"/>
              <w:rPr>
                <w:sz w:val="20"/>
                <w:szCs w:val="20"/>
              </w:rPr>
            </w:pPr>
            <w:r w:rsidRPr="008B6A75">
              <w:rPr>
                <w:sz w:val="20"/>
                <w:szCs w:val="20"/>
              </w:rPr>
              <w:t>0,00</w:t>
            </w:r>
          </w:p>
        </w:tc>
        <w:tc>
          <w:tcPr>
            <w:tcW w:w="222" w:type="dxa"/>
            <w:vAlign w:val="center"/>
            <w:hideMark/>
          </w:tcPr>
          <w:p w14:paraId="39D0C93B" w14:textId="77777777" w:rsidR="00387142" w:rsidRPr="008B6A75" w:rsidRDefault="00387142" w:rsidP="00387142">
            <w:pPr>
              <w:rPr>
                <w:sz w:val="20"/>
                <w:szCs w:val="20"/>
              </w:rPr>
            </w:pPr>
          </w:p>
        </w:tc>
      </w:tr>
      <w:tr w:rsidR="00387142" w:rsidRPr="008B6A75" w14:paraId="04ACF584" w14:textId="77777777" w:rsidTr="00387142">
        <w:trPr>
          <w:trHeight w:val="300"/>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28CB4189" w14:textId="77777777" w:rsidR="00387142" w:rsidRPr="008B6A75" w:rsidRDefault="00387142" w:rsidP="00387142">
            <w:pPr>
              <w:rPr>
                <w:sz w:val="20"/>
                <w:szCs w:val="20"/>
              </w:rPr>
            </w:pPr>
            <w:r w:rsidRPr="008B6A75">
              <w:rPr>
                <w:sz w:val="20"/>
                <w:szCs w:val="20"/>
              </w:rPr>
              <w:t>Иные межбюджетные трансферты</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189DFD1D" w14:textId="77777777" w:rsidR="00387142" w:rsidRPr="008B6A75" w:rsidRDefault="00387142" w:rsidP="00387142">
            <w:pPr>
              <w:jc w:val="center"/>
              <w:rPr>
                <w:sz w:val="20"/>
                <w:szCs w:val="20"/>
              </w:rPr>
            </w:pPr>
            <w:r w:rsidRPr="008B6A75">
              <w:rPr>
                <w:sz w:val="20"/>
                <w:szCs w:val="20"/>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0003FAEF" w14:textId="77777777" w:rsidR="00387142" w:rsidRPr="008B6A75" w:rsidRDefault="00387142" w:rsidP="00387142">
            <w:pPr>
              <w:jc w:val="center"/>
              <w:rPr>
                <w:sz w:val="20"/>
                <w:szCs w:val="20"/>
              </w:rPr>
            </w:pPr>
            <w:r w:rsidRPr="008B6A75">
              <w:rPr>
                <w:sz w:val="20"/>
                <w:szCs w:val="20"/>
              </w:rPr>
              <w:t>05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BE5B8C" w14:textId="77777777" w:rsidR="00387142" w:rsidRPr="008B6A75" w:rsidRDefault="00387142" w:rsidP="00387142">
            <w:pPr>
              <w:jc w:val="center"/>
              <w:rPr>
                <w:sz w:val="20"/>
                <w:szCs w:val="20"/>
              </w:rPr>
            </w:pPr>
            <w:r w:rsidRPr="008B6A75">
              <w:rPr>
                <w:sz w:val="20"/>
                <w:szCs w:val="20"/>
              </w:rPr>
              <w:t>03</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28CAD098" w14:textId="77777777" w:rsidR="00387142" w:rsidRPr="008B6A75" w:rsidRDefault="00387142" w:rsidP="00387142">
            <w:pPr>
              <w:jc w:val="center"/>
              <w:rPr>
                <w:sz w:val="20"/>
                <w:szCs w:val="20"/>
              </w:rPr>
            </w:pPr>
            <w:r w:rsidRPr="008B6A75">
              <w:rPr>
                <w:sz w:val="20"/>
                <w:szCs w:val="20"/>
              </w:rPr>
              <w:t>06.0.00.05956</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B12A81" w14:textId="77777777" w:rsidR="00387142" w:rsidRPr="008B6A75" w:rsidRDefault="00387142" w:rsidP="00387142">
            <w:pPr>
              <w:jc w:val="center"/>
              <w:rPr>
                <w:sz w:val="20"/>
                <w:szCs w:val="20"/>
              </w:rPr>
            </w:pPr>
            <w:r w:rsidRPr="008B6A75">
              <w:rPr>
                <w:sz w:val="20"/>
                <w:szCs w:val="20"/>
              </w:rPr>
              <w:t>540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B85970" w14:textId="77777777" w:rsidR="00387142" w:rsidRPr="008B6A75" w:rsidRDefault="00387142" w:rsidP="00387142">
            <w:pPr>
              <w:jc w:val="right"/>
              <w:rPr>
                <w:sz w:val="20"/>
                <w:szCs w:val="20"/>
              </w:rPr>
            </w:pPr>
            <w:r w:rsidRPr="008B6A75">
              <w:rPr>
                <w:sz w:val="20"/>
                <w:szCs w:val="20"/>
              </w:rPr>
              <w:t>553 835,00</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654BF337" w14:textId="77777777" w:rsidR="00387142" w:rsidRPr="008B6A75" w:rsidRDefault="00387142" w:rsidP="00387142">
            <w:pPr>
              <w:jc w:val="right"/>
              <w:rPr>
                <w:sz w:val="20"/>
                <w:szCs w:val="20"/>
              </w:rPr>
            </w:pPr>
            <w:r w:rsidRPr="008B6A75">
              <w:rPr>
                <w:sz w:val="20"/>
                <w:szCs w:val="20"/>
              </w:rPr>
              <w:t>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BE7F27" w14:textId="77777777" w:rsidR="00387142" w:rsidRPr="008B6A75" w:rsidRDefault="00387142" w:rsidP="00387142">
            <w:pPr>
              <w:jc w:val="right"/>
              <w:rPr>
                <w:sz w:val="20"/>
                <w:szCs w:val="20"/>
              </w:rPr>
            </w:pPr>
            <w:r w:rsidRPr="008B6A75">
              <w:rPr>
                <w:sz w:val="20"/>
                <w:szCs w:val="20"/>
              </w:rPr>
              <w:t>0,00</w:t>
            </w:r>
          </w:p>
        </w:tc>
        <w:tc>
          <w:tcPr>
            <w:tcW w:w="222" w:type="dxa"/>
            <w:vAlign w:val="center"/>
            <w:hideMark/>
          </w:tcPr>
          <w:p w14:paraId="0020C833" w14:textId="77777777" w:rsidR="00387142" w:rsidRPr="008B6A75" w:rsidRDefault="00387142" w:rsidP="00387142">
            <w:pPr>
              <w:rPr>
                <w:sz w:val="20"/>
                <w:szCs w:val="20"/>
              </w:rPr>
            </w:pPr>
          </w:p>
        </w:tc>
      </w:tr>
      <w:tr w:rsidR="00387142" w:rsidRPr="008B6A75" w14:paraId="4CDAD47A" w14:textId="77777777" w:rsidTr="00387142">
        <w:trPr>
          <w:trHeight w:val="1725"/>
        </w:trPr>
        <w:tc>
          <w:tcPr>
            <w:tcW w:w="3021" w:type="dxa"/>
            <w:tcBorders>
              <w:top w:val="nil"/>
              <w:left w:val="single" w:sz="4" w:space="0" w:color="auto"/>
              <w:bottom w:val="nil"/>
              <w:right w:val="nil"/>
            </w:tcBorders>
            <w:shd w:val="clear" w:color="auto" w:fill="auto"/>
            <w:vAlign w:val="center"/>
            <w:hideMark/>
          </w:tcPr>
          <w:p w14:paraId="7A538A24" w14:textId="77777777" w:rsidR="00387142" w:rsidRPr="008B6A75" w:rsidRDefault="00387142" w:rsidP="00387142">
            <w:pPr>
              <w:rPr>
                <w:bCs/>
                <w:sz w:val="20"/>
                <w:szCs w:val="20"/>
              </w:rPr>
            </w:pPr>
            <w:r w:rsidRPr="008B6A75">
              <w:rPr>
                <w:bCs/>
                <w:sz w:val="20"/>
                <w:szCs w:val="20"/>
              </w:rPr>
              <w:t xml:space="preserve">Реализация проектов, направленных на создание комфортных условий проживания в сельской местности, государственной программы Новосибирской области "Комплексное развитие сельских территорий в Новосибирской области" </w:t>
            </w:r>
          </w:p>
        </w:tc>
        <w:tc>
          <w:tcPr>
            <w:tcW w:w="850" w:type="dxa"/>
            <w:tcBorders>
              <w:top w:val="nil"/>
              <w:left w:val="single" w:sz="4" w:space="0" w:color="auto"/>
              <w:bottom w:val="nil"/>
              <w:right w:val="nil"/>
            </w:tcBorders>
            <w:shd w:val="clear" w:color="auto" w:fill="auto"/>
            <w:noWrap/>
            <w:vAlign w:val="center"/>
            <w:hideMark/>
          </w:tcPr>
          <w:p w14:paraId="71E77056" w14:textId="77777777" w:rsidR="00387142" w:rsidRPr="008B6A75" w:rsidRDefault="00387142" w:rsidP="00387142">
            <w:pPr>
              <w:jc w:val="center"/>
              <w:rPr>
                <w:bCs/>
                <w:sz w:val="20"/>
                <w:szCs w:val="20"/>
              </w:rPr>
            </w:pPr>
            <w:r w:rsidRPr="008B6A75">
              <w:rPr>
                <w:bCs/>
                <w:sz w:val="20"/>
                <w:szCs w:val="20"/>
              </w:rPr>
              <w:t>444</w:t>
            </w:r>
          </w:p>
        </w:tc>
        <w:tc>
          <w:tcPr>
            <w:tcW w:w="709" w:type="dxa"/>
            <w:tcBorders>
              <w:top w:val="nil"/>
              <w:left w:val="single" w:sz="4" w:space="0" w:color="auto"/>
              <w:bottom w:val="nil"/>
              <w:right w:val="nil"/>
            </w:tcBorders>
            <w:shd w:val="clear" w:color="auto" w:fill="auto"/>
            <w:noWrap/>
            <w:vAlign w:val="center"/>
            <w:hideMark/>
          </w:tcPr>
          <w:p w14:paraId="56CD8475" w14:textId="77777777" w:rsidR="00387142" w:rsidRPr="008B6A75" w:rsidRDefault="00387142" w:rsidP="00387142">
            <w:pPr>
              <w:jc w:val="center"/>
              <w:rPr>
                <w:bCs/>
                <w:sz w:val="20"/>
                <w:szCs w:val="20"/>
              </w:rPr>
            </w:pPr>
            <w:r w:rsidRPr="008B6A75">
              <w:rPr>
                <w:bCs/>
                <w:sz w:val="20"/>
                <w:szCs w:val="20"/>
              </w:rPr>
              <w:t>05</w:t>
            </w:r>
          </w:p>
        </w:tc>
        <w:tc>
          <w:tcPr>
            <w:tcW w:w="709" w:type="dxa"/>
            <w:tcBorders>
              <w:top w:val="nil"/>
              <w:left w:val="single" w:sz="4" w:space="0" w:color="auto"/>
              <w:bottom w:val="nil"/>
              <w:right w:val="single" w:sz="4" w:space="0" w:color="auto"/>
            </w:tcBorders>
            <w:shd w:val="clear" w:color="auto" w:fill="auto"/>
            <w:noWrap/>
            <w:vAlign w:val="center"/>
            <w:hideMark/>
          </w:tcPr>
          <w:p w14:paraId="255F6807" w14:textId="77777777" w:rsidR="00387142" w:rsidRPr="008B6A75" w:rsidRDefault="00387142" w:rsidP="00387142">
            <w:pPr>
              <w:jc w:val="center"/>
              <w:rPr>
                <w:bCs/>
                <w:sz w:val="20"/>
                <w:szCs w:val="20"/>
              </w:rPr>
            </w:pPr>
            <w:r w:rsidRPr="008B6A75">
              <w:rPr>
                <w:bCs/>
                <w:sz w:val="20"/>
                <w:szCs w:val="20"/>
              </w:rPr>
              <w:t>03</w:t>
            </w:r>
          </w:p>
        </w:tc>
        <w:tc>
          <w:tcPr>
            <w:tcW w:w="1411" w:type="dxa"/>
            <w:tcBorders>
              <w:top w:val="nil"/>
              <w:left w:val="single" w:sz="4" w:space="0" w:color="auto"/>
              <w:bottom w:val="nil"/>
              <w:right w:val="nil"/>
            </w:tcBorders>
            <w:shd w:val="clear" w:color="auto" w:fill="auto"/>
            <w:noWrap/>
            <w:vAlign w:val="center"/>
            <w:hideMark/>
          </w:tcPr>
          <w:p w14:paraId="5826A11E" w14:textId="77777777" w:rsidR="00387142" w:rsidRPr="008B6A75" w:rsidRDefault="00387142" w:rsidP="00387142">
            <w:pPr>
              <w:jc w:val="center"/>
              <w:rPr>
                <w:bCs/>
                <w:sz w:val="20"/>
                <w:szCs w:val="20"/>
              </w:rPr>
            </w:pPr>
            <w:r w:rsidRPr="008B6A75">
              <w:rPr>
                <w:bCs/>
                <w:sz w:val="20"/>
                <w:szCs w:val="20"/>
              </w:rPr>
              <w:t>06.0.00.L5765</w:t>
            </w:r>
          </w:p>
        </w:tc>
        <w:tc>
          <w:tcPr>
            <w:tcW w:w="955" w:type="dxa"/>
            <w:tcBorders>
              <w:top w:val="nil"/>
              <w:left w:val="single" w:sz="4" w:space="0" w:color="auto"/>
              <w:bottom w:val="nil"/>
              <w:right w:val="single" w:sz="4" w:space="0" w:color="auto"/>
            </w:tcBorders>
            <w:shd w:val="clear" w:color="auto" w:fill="auto"/>
            <w:noWrap/>
            <w:vAlign w:val="center"/>
            <w:hideMark/>
          </w:tcPr>
          <w:p w14:paraId="5CFFEE2A"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nil"/>
              <w:right w:val="single" w:sz="4" w:space="0" w:color="auto"/>
            </w:tcBorders>
            <w:shd w:val="clear" w:color="auto" w:fill="auto"/>
            <w:noWrap/>
            <w:vAlign w:val="center"/>
            <w:hideMark/>
          </w:tcPr>
          <w:p w14:paraId="61609B2C" w14:textId="77777777" w:rsidR="00387142" w:rsidRPr="008B6A75" w:rsidRDefault="00387142" w:rsidP="00387142">
            <w:pPr>
              <w:jc w:val="right"/>
              <w:rPr>
                <w:bCs/>
                <w:sz w:val="20"/>
                <w:szCs w:val="20"/>
              </w:rPr>
            </w:pPr>
            <w:r w:rsidRPr="008B6A75">
              <w:rPr>
                <w:bCs/>
                <w:sz w:val="20"/>
                <w:szCs w:val="20"/>
              </w:rPr>
              <w:t>2 427 130,00</w:t>
            </w:r>
          </w:p>
        </w:tc>
        <w:tc>
          <w:tcPr>
            <w:tcW w:w="992" w:type="dxa"/>
            <w:gridSpan w:val="2"/>
            <w:tcBorders>
              <w:top w:val="nil"/>
              <w:left w:val="single" w:sz="4" w:space="0" w:color="auto"/>
              <w:bottom w:val="nil"/>
              <w:right w:val="nil"/>
            </w:tcBorders>
            <w:shd w:val="clear" w:color="auto" w:fill="auto"/>
            <w:noWrap/>
            <w:vAlign w:val="center"/>
            <w:hideMark/>
          </w:tcPr>
          <w:p w14:paraId="522DBFA0" w14:textId="77777777" w:rsidR="00387142" w:rsidRPr="008B6A75" w:rsidRDefault="00387142" w:rsidP="00387142">
            <w:pPr>
              <w:jc w:val="right"/>
              <w:rPr>
                <w:bCs/>
                <w:sz w:val="20"/>
                <w:szCs w:val="20"/>
              </w:rPr>
            </w:pPr>
            <w:r w:rsidRPr="008B6A75">
              <w:rPr>
                <w:bCs/>
                <w:sz w:val="20"/>
                <w:szCs w:val="20"/>
              </w:rPr>
              <w:t>500 000,00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401D3265" w14:textId="77777777" w:rsidR="00387142" w:rsidRPr="008B6A75" w:rsidRDefault="00387142" w:rsidP="00387142">
            <w:pPr>
              <w:jc w:val="right"/>
              <w:rPr>
                <w:bCs/>
                <w:sz w:val="20"/>
                <w:szCs w:val="20"/>
              </w:rPr>
            </w:pPr>
            <w:r w:rsidRPr="008B6A75">
              <w:rPr>
                <w:bCs/>
                <w:sz w:val="20"/>
                <w:szCs w:val="20"/>
              </w:rPr>
              <w:t>500 000,00</w:t>
            </w:r>
          </w:p>
        </w:tc>
        <w:tc>
          <w:tcPr>
            <w:tcW w:w="222" w:type="dxa"/>
            <w:vAlign w:val="center"/>
            <w:hideMark/>
          </w:tcPr>
          <w:p w14:paraId="3B231B4B" w14:textId="77777777" w:rsidR="00387142" w:rsidRPr="008B6A75" w:rsidRDefault="00387142" w:rsidP="00387142">
            <w:pPr>
              <w:rPr>
                <w:sz w:val="20"/>
                <w:szCs w:val="20"/>
              </w:rPr>
            </w:pPr>
          </w:p>
        </w:tc>
      </w:tr>
      <w:tr w:rsidR="00387142" w:rsidRPr="008B6A75" w14:paraId="2A9910AC" w14:textId="77777777" w:rsidTr="00387142">
        <w:trPr>
          <w:trHeight w:val="585"/>
        </w:trPr>
        <w:tc>
          <w:tcPr>
            <w:tcW w:w="3021" w:type="dxa"/>
            <w:tcBorders>
              <w:top w:val="single" w:sz="4" w:space="0" w:color="auto"/>
              <w:left w:val="single" w:sz="4" w:space="0" w:color="auto"/>
              <w:bottom w:val="nil"/>
              <w:right w:val="nil"/>
            </w:tcBorders>
            <w:shd w:val="clear" w:color="auto" w:fill="auto"/>
            <w:vAlign w:val="center"/>
            <w:hideMark/>
          </w:tcPr>
          <w:p w14:paraId="02162A0F" w14:textId="77777777" w:rsidR="00387142" w:rsidRPr="008B6A75" w:rsidRDefault="00387142" w:rsidP="00387142">
            <w:pPr>
              <w:rPr>
                <w:sz w:val="20"/>
                <w:szCs w:val="20"/>
              </w:rPr>
            </w:pPr>
            <w:r w:rsidRPr="008B6A75">
              <w:rPr>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nil"/>
              <w:right w:val="nil"/>
            </w:tcBorders>
            <w:shd w:val="clear" w:color="auto" w:fill="auto"/>
            <w:noWrap/>
            <w:vAlign w:val="center"/>
            <w:hideMark/>
          </w:tcPr>
          <w:p w14:paraId="27583DD8" w14:textId="77777777" w:rsidR="00387142" w:rsidRPr="008B6A75" w:rsidRDefault="00387142" w:rsidP="00387142">
            <w:pPr>
              <w:jc w:val="center"/>
              <w:rPr>
                <w:sz w:val="20"/>
                <w:szCs w:val="20"/>
              </w:rPr>
            </w:pPr>
            <w:r w:rsidRPr="008B6A75">
              <w:rPr>
                <w:sz w:val="20"/>
                <w:szCs w:val="20"/>
              </w:rPr>
              <w:t>444</w:t>
            </w:r>
          </w:p>
        </w:tc>
        <w:tc>
          <w:tcPr>
            <w:tcW w:w="709" w:type="dxa"/>
            <w:tcBorders>
              <w:top w:val="single" w:sz="4" w:space="0" w:color="auto"/>
              <w:left w:val="single" w:sz="4" w:space="0" w:color="auto"/>
              <w:bottom w:val="nil"/>
              <w:right w:val="nil"/>
            </w:tcBorders>
            <w:shd w:val="clear" w:color="auto" w:fill="auto"/>
            <w:noWrap/>
            <w:vAlign w:val="center"/>
            <w:hideMark/>
          </w:tcPr>
          <w:p w14:paraId="7F494A61" w14:textId="77777777" w:rsidR="00387142" w:rsidRPr="008B6A75" w:rsidRDefault="00387142" w:rsidP="00387142">
            <w:pPr>
              <w:jc w:val="center"/>
              <w:rPr>
                <w:sz w:val="20"/>
                <w:szCs w:val="20"/>
              </w:rPr>
            </w:pPr>
            <w:r w:rsidRPr="008B6A75">
              <w:rPr>
                <w:sz w:val="20"/>
                <w:szCs w:val="20"/>
              </w:rPr>
              <w:t>05</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39B763F3" w14:textId="77777777" w:rsidR="00387142" w:rsidRPr="008B6A75" w:rsidRDefault="00387142" w:rsidP="00387142">
            <w:pPr>
              <w:jc w:val="center"/>
              <w:rPr>
                <w:sz w:val="20"/>
                <w:szCs w:val="20"/>
              </w:rPr>
            </w:pPr>
            <w:r w:rsidRPr="008B6A75">
              <w:rPr>
                <w:sz w:val="20"/>
                <w:szCs w:val="20"/>
              </w:rPr>
              <w:t>03</w:t>
            </w:r>
          </w:p>
        </w:tc>
        <w:tc>
          <w:tcPr>
            <w:tcW w:w="1411" w:type="dxa"/>
            <w:tcBorders>
              <w:top w:val="single" w:sz="4" w:space="0" w:color="auto"/>
              <w:left w:val="single" w:sz="4" w:space="0" w:color="auto"/>
              <w:bottom w:val="nil"/>
              <w:right w:val="nil"/>
            </w:tcBorders>
            <w:shd w:val="clear" w:color="auto" w:fill="auto"/>
            <w:noWrap/>
            <w:vAlign w:val="center"/>
            <w:hideMark/>
          </w:tcPr>
          <w:p w14:paraId="4B822CBB" w14:textId="77777777" w:rsidR="00387142" w:rsidRPr="008B6A75" w:rsidRDefault="00387142" w:rsidP="00387142">
            <w:pPr>
              <w:jc w:val="center"/>
              <w:rPr>
                <w:sz w:val="20"/>
                <w:szCs w:val="20"/>
              </w:rPr>
            </w:pPr>
            <w:r w:rsidRPr="008B6A75">
              <w:rPr>
                <w:sz w:val="20"/>
                <w:szCs w:val="20"/>
              </w:rPr>
              <w:t>06.0.00.L5765</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5BFAD866" w14:textId="77777777" w:rsidR="00387142" w:rsidRPr="008B6A75" w:rsidRDefault="00387142" w:rsidP="00387142">
            <w:pPr>
              <w:jc w:val="center"/>
              <w:rPr>
                <w:sz w:val="20"/>
                <w:szCs w:val="20"/>
              </w:rPr>
            </w:pPr>
            <w:r w:rsidRPr="008B6A75">
              <w:rPr>
                <w:sz w:val="20"/>
                <w:szCs w:val="20"/>
              </w:rPr>
              <w:t>200</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414CB26C" w14:textId="77777777" w:rsidR="00387142" w:rsidRPr="008B6A75" w:rsidRDefault="00387142" w:rsidP="00387142">
            <w:pPr>
              <w:jc w:val="right"/>
              <w:rPr>
                <w:sz w:val="20"/>
                <w:szCs w:val="20"/>
              </w:rPr>
            </w:pPr>
            <w:r w:rsidRPr="008B6A75">
              <w:rPr>
                <w:sz w:val="20"/>
                <w:szCs w:val="20"/>
              </w:rPr>
              <w:t>0,00</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3665AC41" w14:textId="77777777" w:rsidR="00387142" w:rsidRPr="008B6A75" w:rsidRDefault="00387142" w:rsidP="00387142">
            <w:pPr>
              <w:jc w:val="right"/>
              <w:rPr>
                <w:sz w:val="20"/>
                <w:szCs w:val="20"/>
              </w:rPr>
            </w:pPr>
            <w:r w:rsidRPr="008B6A75">
              <w:rPr>
                <w:sz w:val="20"/>
                <w:szCs w:val="20"/>
              </w:rPr>
              <w:t>500 000,00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758E1D57" w14:textId="77777777" w:rsidR="00387142" w:rsidRPr="008B6A75" w:rsidRDefault="00387142" w:rsidP="00387142">
            <w:pPr>
              <w:jc w:val="right"/>
              <w:rPr>
                <w:sz w:val="20"/>
                <w:szCs w:val="20"/>
              </w:rPr>
            </w:pPr>
            <w:r w:rsidRPr="008B6A75">
              <w:rPr>
                <w:sz w:val="20"/>
                <w:szCs w:val="20"/>
              </w:rPr>
              <w:t>500 000,00</w:t>
            </w:r>
          </w:p>
        </w:tc>
        <w:tc>
          <w:tcPr>
            <w:tcW w:w="222" w:type="dxa"/>
            <w:vAlign w:val="center"/>
            <w:hideMark/>
          </w:tcPr>
          <w:p w14:paraId="680889BD" w14:textId="77777777" w:rsidR="00387142" w:rsidRPr="008B6A75" w:rsidRDefault="00387142" w:rsidP="00387142">
            <w:pPr>
              <w:rPr>
                <w:sz w:val="20"/>
                <w:szCs w:val="20"/>
              </w:rPr>
            </w:pPr>
          </w:p>
        </w:tc>
      </w:tr>
      <w:tr w:rsidR="00387142" w:rsidRPr="008B6A75" w14:paraId="45765ED6" w14:textId="77777777" w:rsidTr="00387142">
        <w:trPr>
          <w:trHeight w:val="870"/>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4D21575F" w14:textId="77777777" w:rsidR="00387142" w:rsidRPr="008B6A75" w:rsidRDefault="00387142" w:rsidP="00387142">
            <w:pPr>
              <w:rPr>
                <w:sz w:val="20"/>
                <w:szCs w:val="20"/>
              </w:rPr>
            </w:pPr>
            <w:r w:rsidRPr="008B6A75">
              <w:rPr>
                <w:sz w:val="20"/>
                <w:szCs w:val="20"/>
              </w:rPr>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1321BCE5" w14:textId="77777777" w:rsidR="00387142" w:rsidRPr="008B6A75" w:rsidRDefault="00387142" w:rsidP="00387142">
            <w:pPr>
              <w:jc w:val="center"/>
              <w:rPr>
                <w:sz w:val="20"/>
                <w:szCs w:val="20"/>
              </w:rPr>
            </w:pPr>
            <w:r w:rsidRPr="008B6A75">
              <w:rPr>
                <w:sz w:val="20"/>
                <w:szCs w:val="20"/>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10584774" w14:textId="77777777" w:rsidR="00387142" w:rsidRPr="008B6A75" w:rsidRDefault="00387142" w:rsidP="00387142">
            <w:pPr>
              <w:jc w:val="center"/>
              <w:rPr>
                <w:sz w:val="20"/>
                <w:szCs w:val="20"/>
              </w:rPr>
            </w:pPr>
            <w:r w:rsidRPr="008B6A75">
              <w:rPr>
                <w:sz w:val="20"/>
                <w:szCs w:val="20"/>
              </w:rPr>
              <w:t>05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B9F1B4" w14:textId="77777777" w:rsidR="00387142" w:rsidRPr="008B6A75" w:rsidRDefault="00387142" w:rsidP="00387142">
            <w:pPr>
              <w:jc w:val="center"/>
              <w:rPr>
                <w:sz w:val="20"/>
                <w:szCs w:val="20"/>
              </w:rPr>
            </w:pPr>
            <w:r w:rsidRPr="008B6A75">
              <w:rPr>
                <w:sz w:val="20"/>
                <w:szCs w:val="20"/>
              </w:rPr>
              <w:t>03</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697A4195" w14:textId="77777777" w:rsidR="00387142" w:rsidRPr="008B6A75" w:rsidRDefault="00387142" w:rsidP="00387142">
            <w:pPr>
              <w:jc w:val="center"/>
              <w:rPr>
                <w:sz w:val="20"/>
                <w:szCs w:val="20"/>
              </w:rPr>
            </w:pPr>
            <w:r w:rsidRPr="008B6A75">
              <w:rPr>
                <w:sz w:val="20"/>
                <w:szCs w:val="20"/>
              </w:rPr>
              <w:t>06.0.00.L5765</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32DE01" w14:textId="77777777" w:rsidR="00387142" w:rsidRPr="008B6A75" w:rsidRDefault="00387142" w:rsidP="00387142">
            <w:pPr>
              <w:jc w:val="center"/>
              <w:rPr>
                <w:sz w:val="20"/>
                <w:szCs w:val="20"/>
              </w:rPr>
            </w:pPr>
            <w:r w:rsidRPr="008B6A75">
              <w:rPr>
                <w:sz w:val="20"/>
                <w:szCs w:val="20"/>
              </w:rPr>
              <w:t>240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7B7CEB" w14:textId="77777777" w:rsidR="00387142" w:rsidRPr="008B6A75" w:rsidRDefault="00387142" w:rsidP="00387142">
            <w:pPr>
              <w:jc w:val="right"/>
              <w:rPr>
                <w:sz w:val="20"/>
                <w:szCs w:val="20"/>
              </w:rPr>
            </w:pPr>
            <w:r w:rsidRPr="008B6A75">
              <w:rPr>
                <w:sz w:val="20"/>
                <w:szCs w:val="20"/>
              </w:rPr>
              <w:t>0,00</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507411D2" w14:textId="77777777" w:rsidR="00387142" w:rsidRPr="008B6A75" w:rsidRDefault="00387142" w:rsidP="00387142">
            <w:pPr>
              <w:jc w:val="right"/>
              <w:rPr>
                <w:sz w:val="20"/>
                <w:szCs w:val="20"/>
              </w:rPr>
            </w:pPr>
            <w:r w:rsidRPr="008B6A75">
              <w:rPr>
                <w:sz w:val="20"/>
                <w:szCs w:val="20"/>
              </w:rPr>
              <w:t>500 000,00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DC85F3" w14:textId="77777777" w:rsidR="00387142" w:rsidRPr="008B6A75" w:rsidRDefault="00387142" w:rsidP="00387142">
            <w:pPr>
              <w:jc w:val="right"/>
              <w:rPr>
                <w:sz w:val="20"/>
                <w:szCs w:val="20"/>
              </w:rPr>
            </w:pPr>
            <w:r w:rsidRPr="008B6A75">
              <w:rPr>
                <w:sz w:val="20"/>
                <w:szCs w:val="20"/>
              </w:rPr>
              <w:t>500 000,00</w:t>
            </w:r>
          </w:p>
        </w:tc>
        <w:tc>
          <w:tcPr>
            <w:tcW w:w="222" w:type="dxa"/>
            <w:vAlign w:val="center"/>
            <w:hideMark/>
          </w:tcPr>
          <w:p w14:paraId="1A0B7AE5" w14:textId="77777777" w:rsidR="00387142" w:rsidRPr="008B6A75" w:rsidRDefault="00387142" w:rsidP="00387142">
            <w:pPr>
              <w:rPr>
                <w:sz w:val="20"/>
                <w:szCs w:val="20"/>
              </w:rPr>
            </w:pPr>
          </w:p>
        </w:tc>
      </w:tr>
      <w:tr w:rsidR="00387142" w:rsidRPr="008B6A75" w14:paraId="243C7DA2" w14:textId="77777777" w:rsidTr="00387142">
        <w:trPr>
          <w:trHeight w:val="300"/>
        </w:trPr>
        <w:tc>
          <w:tcPr>
            <w:tcW w:w="3021" w:type="dxa"/>
            <w:tcBorders>
              <w:top w:val="nil"/>
              <w:left w:val="single" w:sz="4" w:space="0" w:color="auto"/>
              <w:bottom w:val="nil"/>
              <w:right w:val="nil"/>
            </w:tcBorders>
            <w:shd w:val="clear" w:color="auto" w:fill="auto"/>
            <w:vAlign w:val="center"/>
            <w:hideMark/>
          </w:tcPr>
          <w:p w14:paraId="692101B2" w14:textId="77777777" w:rsidR="00387142" w:rsidRPr="008B6A75" w:rsidRDefault="00387142" w:rsidP="00387142">
            <w:pPr>
              <w:rPr>
                <w:sz w:val="20"/>
                <w:szCs w:val="20"/>
              </w:rPr>
            </w:pPr>
            <w:r w:rsidRPr="008B6A75">
              <w:rPr>
                <w:sz w:val="20"/>
                <w:szCs w:val="20"/>
              </w:rPr>
              <w:t>Межбюджетные трансферты</w:t>
            </w:r>
          </w:p>
        </w:tc>
        <w:tc>
          <w:tcPr>
            <w:tcW w:w="850" w:type="dxa"/>
            <w:tcBorders>
              <w:top w:val="nil"/>
              <w:left w:val="single" w:sz="4" w:space="0" w:color="auto"/>
              <w:bottom w:val="nil"/>
              <w:right w:val="nil"/>
            </w:tcBorders>
            <w:shd w:val="clear" w:color="auto" w:fill="auto"/>
            <w:noWrap/>
            <w:vAlign w:val="center"/>
            <w:hideMark/>
          </w:tcPr>
          <w:p w14:paraId="324AEE38" w14:textId="77777777" w:rsidR="00387142" w:rsidRPr="008B6A75" w:rsidRDefault="00387142" w:rsidP="00387142">
            <w:pPr>
              <w:jc w:val="center"/>
              <w:rPr>
                <w:sz w:val="20"/>
                <w:szCs w:val="20"/>
              </w:rPr>
            </w:pPr>
            <w:r w:rsidRPr="008B6A75">
              <w:rPr>
                <w:sz w:val="20"/>
                <w:szCs w:val="20"/>
              </w:rPr>
              <w:t>444</w:t>
            </w:r>
          </w:p>
        </w:tc>
        <w:tc>
          <w:tcPr>
            <w:tcW w:w="709" w:type="dxa"/>
            <w:tcBorders>
              <w:top w:val="nil"/>
              <w:left w:val="single" w:sz="4" w:space="0" w:color="auto"/>
              <w:bottom w:val="nil"/>
              <w:right w:val="nil"/>
            </w:tcBorders>
            <w:shd w:val="clear" w:color="auto" w:fill="auto"/>
            <w:noWrap/>
            <w:vAlign w:val="center"/>
            <w:hideMark/>
          </w:tcPr>
          <w:p w14:paraId="7FA1AB0A" w14:textId="77777777" w:rsidR="00387142" w:rsidRPr="008B6A75" w:rsidRDefault="00387142" w:rsidP="00387142">
            <w:pPr>
              <w:jc w:val="center"/>
              <w:rPr>
                <w:sz w:val="20"/>
                <w:szCs w:val="20"/>
              </w:rPr>
            </w:pPr>
            <w:r w:rsidRPr="008B6A75">
              <w:rPr>
                <w:sz w:val="20"/>
                <w:szCs w:val="20"/>
              </w:rPr>
              <w:t>05</w:t>
            </w:r>
          </w:p>
        </w:tc>
        <w:tc>
          <w:tcPr>
            <w:tcW w:w="709" w:type="dxa"/>
            <w:tcBorders>
              <w:top w:val="nil"/>
              <w:left w:val="single" w:sz="4" w:space="0" w:color="auto"/>
              <w:bottom w:val="nil"/>
              <w:right w:val="single" w:sz="4" w:space="0" w:color="auto"/>
            </w:tcBorders>
            <w:shd w:val="clear" w:color="auto" w:fill="auto"/>
            <w:noWrap/>
            <w:vAlign w:val="center"/>
            <w:hideMark/>
          </w:tcPr>
          <w:p w14:paraId="782B9085" w14:textId="77777777" w:rsidR="00387142" w:rsidRPr="008B6A75" w:rsidRDefault="00387142" w:rsidP="00387142">
            <w:pPr>
              <w:jc w:val="center"/>
              <w:rPr>
                <w:sz w:val="20"/>
                <w:szCs w:val="20"/>
              </w:rPr>
            </w:pPr>
            <w:r w:rsidRPr="008B6A75">
              <w:rPr>
                <w:sz w:val="20"/>
                <w:szCs w:val="20"/>
              </w:rPr>
              <w:t>03</w:t>
            </w:r>
          </w:p>
        </w:tc>
        <w:tc>
          <w:tcPr>
            <w:tcW w:w="1411" w:type="dxa"/>
            <w:tcBorders>
              <w:top w:val="nil"/>
              <w:left w:val="single" w:sz="4" w:space="0" w:color="auto"/>
              <w:bottom w:val="nil"/>
              <w:right w:val="nil"/>
            </w:tcBorders>
            <w:shd w:val="clear" w:color="auto" w:fill="auto"/>
            <w:noWrap/>
            <w:vAlign w:val="center"/>
            <w:hideMark/>
          </w:tcPr>
          <w:p w14:paraId="3A54421E" w14:textId="77777777" w:rsidR="00387142" w:rsidRPr="008B6A75" w:rsidRDefault="00387142" w:rsidP="00387142">
            <w:pPr>
              <w:jc w:val="center"/>
              <w:rPr>
                <w:sz w:val="20"/>
                <w:szCs w:val="20"/>
              </w:rPr>
            </w:pPr>
            <w:r w:rsidRPr="008B6A75">
              <w:rPr>
                <w:sz w:val="20"/>
                <w:szCs w:val="20"/>
              </w:rPr>
              <w:t>06.0.00.L5765</w:t>
            </w:r>
          </w:p>
        </w:tc>
        <w:tc>
          <w:tcPr>
            <w:tcW w:w="955" w:type="dxa"/>
            <w:tcBorders>
              <w:top w:val="nil"/>
              <w:left w:val="single" w:sz="4" w:space="0" w:color="auto"/>
              <w:bottom w:val="nil"/>
              <w:right w:val="single" w:sz="4" w:space="0" w:color="auto"/>
            </w:tcBorders>
            <w:shd w:val="clear" w:color="auto" w:fill="auto"/>
            <w:noWrap/>
            <w:vAlign w:val="center"/>
            <w:hideMark/>
          </w:tcPr>
          <w:p w14:paraId="4D793FDB" w14:textId="77777777" w:rsidR="00387142" w:rsidRPr="008B6A75" w:rsidRDefault="00387142" w:rsidP="00387142">
            <w:pPr>
              <w:jc w:val="center"/>
              <w:rPr>
                <w:sz w:val="20"/>
                <w:szCs w:val="20"/>
              </w:rPr>
            </w:pPr>
            <w:r w:rsidRPr="008B6A75">
              <w:rPr>
                <w:sz w:val="20"/>
                <w:szCs w:val="20"/>
              </w:rPr>
              <w:t>500</w:t>
            </w:r>
          </w:p>
        </w:tc>
        <w:tc>
          <w:tcPr>
            <w:tcW w:w="992" w:type="dxa"/>
            <w:tcBorders>
              <w:top w:val="nil"/>
              <w:left w:val="single" w:sz="4" w:space="0" w:color="auto"/>
              <w:bottom w:val="nil"/>
              <w:right w:val="single" w:sz="4" w:space="0" w:color="auto"/>
            </w:tcBorders>
            <w:shd w:val="clear" w:color="auto" w:fill="auto"/>
            <w:noWrap/>
            <w:vAlign w:val="center"/>
            <w:hideMark/>
          </w:tcPr>
          <w:p w14:paraId="3F938EEC" w14:textId="77777777" w:rsidR="00387142" w:rsidRPr="008B6A75" w:rsidRDefault="00387142" w:rsidP="00387142">
            <w:pPr>
              <w:jc w:val="right"/>
              <w:rPr>
                <w:sz w:val="20"/>
                <w:szCs w:val="20"/>
              </w:rPr>
            </w:pPr>
            <w:r w:rsidRPr="008B6A75">
              <w:rPr>
                <w:sz w:val="20"/>
                <w:szCs w:val="20"/>
              </w:rPr>
              <w:t>2 427 130,00</w:t>
            </w:r>
          </w:p>
        </w:tc>
        <w:tc>
          <w:tcPr>
            <w:tcW w:w="992" w:type="dxa"/>
            <w:gridSpan w:val="2"/>
            <w:tcBorders>
              <w:top w:val="nil"/>
              <w:left w:val="single" w:sz="4" w:space="0" w:color="auto"/>
              <w:bottom w:val="nil"/>
              <w:right w:val="nil"/>
            </w:tcBorders>
            <w:shd w:val="clear" w:color="auto" w:fill="auto"/>
            <w:noWrap/>
            <w:vAlign w:val="center"/>
            <w:hideMark/>
          </w:tcPr>
          <w:p w14:paraId="1ADECFD3" w14:textId="77777777" w:rsidR="00387142" w:rsidRPr="008B6A75" w:rsidRDefault="00387142" w:rsidP="00387142">
            <w:pPr>
              <w:jc w:val="right"/>
              <w:rPr>
                <w:sz w:val="20"/>
                <w:szCs w:val="20"/>
              </w:rPr>
            </w:pPr>
            <w:r w:rsidRPr="008B6A75">
              <w:rPr>
                <w:sz w:val="20"/>
                <w:szCs w:val="20"/>
              </w:rPr>
              <w:t>0,00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70D78E31" w14:textId="77777777" w:rsidR="00387142" w:rsidRPr="008B6A75" w:rsidRDefault="00387142" w:rsidP="00387142">
            <w:pPr>
              <w:jc w:val="right"/>
              <w:rPr>
                <w:sz w:val="20"/>
                <w:szCs w:val="20"/>
              </w:rPr>
            </w:pPr>
            <w:r w:rsidRPr="008B6A75">
              <w:rPr>
                <w:sz w:val="20"/>
                <w:szCs w:val="20"/>
              </w:rPr>
              <w:t>0,00</w:t>
            </w:r>
          </w:p>
        </w:tc>
        <w:tc>
          <w:tcPr>
            <w:tcW w:w="222" w:type="dxa"/>
            <w:vAlign w:val="center"/>
            <w:hideMark/>
          </w:tcPr>
          <w:p w14:paraId="1876E504" w14:textId="77777777" w:rsidR="00387142" w:rsidRPr="008B6A75" w:rsidRDefault="00387142" w:rsidP="00387142">
            <w:pPr>
              <w:rPr>
                <w:sz w:val="20"/>
                <w:szCs w:val="20"/>
              </w:rPr>
            </w:pPr>
          </w:p>
        </w:tc>
      </w:tr>
      <w:tr w:rsidR="00387142" w:rsidRPr="008B6A75" w14:paraId="7285114A" w14:textId="77777777" w:rsidTr="00387142">
        <w:trPr>
          <w:trHeight w:val="300"/>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3FAC65A7" w14:textId="77777777" w:rsidR="00387142" w:rsidRPr="008B6A75" w:rsidRDefault="00387142" w:rsidP="00387142">
            <w:pPr>
              <w:rPr>
                <w:sz w:val="20"/>
                <w:szCs w:val="20"/>
              </w:rPr>
            </w:pPr>
            <w:r w:rsidRPr="008B6A75">
              <w:rPr>
                <w:sz w:val="20"/>
                <w:szCs w:val="20"/>
              </w:rPr>
              <w:t xml:space="preserve">Иные межбюджетные </w:t>
            </w:r>
            <w:r w:rsidRPr="008B6A75">
              <w:rPr>
                <w:sz w:val="20"/>
                <w:szCs w:val="20"/>
              </w:rPr>
              <w:lastRenderedPageBreak/>
              <w:t>трансферты</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53C47B2D" w14:textId="77777777" w:rsidR="00387142" w:rsidRPr="008B6A75" w:rsidRDefault="00387142" w:rsidP="00387142">
            <w:pPr>
              <w:jc w:val="center"/>
              <w:rPr>
                <w:sz w:val="20"/>
                <w:szCs w:val="20"/>
              </w:rPr>
            </w:pPr>
            <w:r w:rsidRPr="008B6A75">
              <w:rPr>
                <w:sz w:val="20"/>
                <w:szCs w:val="20"/>
              </w:rPr>
              <w:lastRenderedPageBreak/>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33B66070" w14:textId="77777777" w:rsidR="00387142" w:rsidRPr="008B6A75" w:rsidRDefault="00387142" w:rsidP="00387142">
            <w:pPr>
              <w:jc w:val="center"/>
              <w:rPr>
                <w:sz w:val="20"/>
                <w:szCs w:val="20"/>
              </w:rPr>
            </w:pPr>
            <w:r w:rsidRPr="008B6A75">
              <w:rPr>
                <w:sz w:val="20"/>
                <w:szCs w:val="20"/>
              </w:rPr>
              <w:t>05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9E8286" w14:textId="77777777" w:rsidR="00387142" w:rsidRPr="008B6A75" w:rsidRDefault="00387142" w:rsidP="00387142">
            <w:pPr>
              <w:jc w:val="center"/>
              <w:rPr>
                <w:sz w:val="20"/>
                <w:szCs w:val="20"/>
              </w:rPr>
            </w:pPr>
            <w:r w:rsidRPr="008B6A75">
              <w:rPr>
                <w:sz w:val="20"/>
                <w:szCs w:val="20"/>
              </w:rPr>
              <w:t>03</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3A0246B7" w14:textId="77777777" w:rsidR="00387142" w:rsidRPr="008B6A75" w:rsidRDefault="00387142" w:rsidP="00387142">
            <w:pPr>
              <w:jc w:val="center"/>
              <w:rPr>
                <w:sz w:val="20"/>
                <w:szCs w:val="20"/>
              </w:rPr>
            </w:pPr>
            <w:r w:rsidRPr="008B6A75">
              <w:rPr>
                <w:sz w:val="20"/>
                <w:szCs w:val="20"/>
              </w:rPr>
              <w:t>06.0.00.L5765</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5FB406" w14:textId="77777777" w:rsidR="00387142" w:rsidRPr="008B6A75" w:rsidRDefault="00387142" w:rsidP="00387142">
            <w:pPr>
              <w:jc w:val="center"/>
              <w:rPr>
                <w:sz w:val="20"/>
                <w:szCs w:val="20"/>
              </w:rPr>
            </w:pPr>
            <w:r w:rsidRPr="008B6A75">
              <w:rPr>
                <w:sz w:val="20"/>
                <w:szCs w:val="20"/>
              </w:rPr>
              <w:t>540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89FFFA" w14:textId="77777777" w:rsidR="00387142" w:rsidRPr="008B6A75" w:rsidRDefault="00387142" w:rsidP="00387142">
            <w:pPr>
              <w:jc w:val="right"/>
              <w:rPr>
                <w:sz w:val="20"/>
                <w:szCs w:val="20"/>
              </w:rPr>
            </w:pPr>
            <w:r w:rsidRPr="008B6A75">
              <w:rPr>
                <w:sz w:val="20"/>
                <w:szCs w:val="20"/>
              </w:rPr>
              <w:t xml:space="preserve">2 427 </w:t>
            </w:r>
            <w:r w:rsidRPr="008B6A75">
              <w:rPr>
                <w:sz w:val="20"/>
                <w:szCs w:val="20"/>
              </w:rPr>
              <w:lastRenderedPageBreak/>
              <w:t>130,00</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572E03B1" w14:textId="77777777" w:rsidR="00387142" w:rsidRPr="008B6A75" w:rsidRDefault="00387142" w:rsidP="00387142">
            <w:pPr>
              <w:jc w:val="right"/>
              <w:rPr>
                <w:sz w:val="20"/>
                <w:szCs w:val="20"/>
              </w:rPr>
            </w:pPr>
            <w:r w:rsidRPr="008B6A75">
              <w:rPr>
                <w:sz w:val="20"/>
                <w:szCs w:val="20"/>
              </w:rPr>
              <w:lastRenderedPageBreak/>
              <w:t>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509065" w14:textId="77777777" w:rsidR="00387142" w:rsidRPr="008B6A75" w:rsidRDefault="00387142" w:rsidP="00387142">
            <w:pPr>
              <w:jc w:val="right"/>
              <w:rPr>
                <w:sz w:val="20"/>
                <w:szCs w:val="20"/>
              </w:rPr>
            </w:pPr>
            <w:r w:rsidRPr="008B6A75">
              <w:rPr>
                <w:sz w:val="20"/>
                <w:szCs w:val="20"/>
              </w:rPr>
              <w:t>0,00</w:t>
            </w:r>
          </w:p>
        </w:tc>
        <w:tc>
          <w:tcPr>
            <w:tcW w:w="222" w:type="dxa"/>
            <w:vAlign w:val="center"/>
            <w:hideMark/>
          </w:tcPr>
          <w:p w14:paraId="7CC0262A" w14:textId="77777777" w:rsidR="00387142" w:rsidRPr="008B6A75" w:rsidRDefault="00387142" w:rsidP="00387142">
            <w:pPr>
              <w:rPr>
                <w:sz w:val="20"/>
                <w:szCs w:val="20"/>
              </w:rPr>
            </w:pPr>
          </w:p>
        </w:tc>
      </w:tr>
      <w:tr w:rsidR="00387142" w:rsidRPr="008B6A75" w14:paraId="57A4B84F" w14:textId="77777777" w:rsidTr="00387142">
        <w:trPr>
          <w:trHeight w:val="2295"/>
        </w:trPr>
        <w:tc>
          <w:tcPr>
            <w:tcW w:w="3021" w:type="dxa"/>
            <w:tcBorders>
              <w:top w:val="nil"/>
              <w:left w:val="single" w:sz="4" w:space="0" w:color="auto"/>
              <w:bottom w:val="nil"/>
              <w:right w:val="nil"/>
            </w:tcBorders>
            <w:shd w:val="clear" w:color="auto" w:fill="auto"/>
            <w:vAlign w:val="center"/>
            <w:hideMark/>
          </w:tcPr>
          <w:p w14:paraId="75F543C8" w14:textId="77777777" w:rsidR="00387142" w:rsidRPr="008B6A75" w:rsidRDefault="00387142" w:rsidP="00387142">
            <w:pPr>
              <w:rPr>
                <w:bCs/>
                <w:sz w:val="20"/>
                <w:szCs w:val="20"/>
              </w:rPr>
            </w:pPr>
            <w:r w:rsidRPr="008B6A75">
              <w:rPr>
                <w:bCs/>
                <w:sz w:val="20"/>
                <w:szCs w:val="20"/>
              </w:rPr>
              <w:t>Обеспечение комплексного развития сельских территорий (формирование современного облика сельских территорий, направленных на создание и развитие инфраструктуры в сельской местности), государственной программы Новосибирской области "Комплексное развитие сельских территорий в Новосибирской области"</w:t>
            </w:r>
          </w:p>
        </w:tc>
        <w:tc>
          <w:tcPr>
            <w:tcW w:w="850" w:type="dxa"/>
            <w:tcBorders>
              <w:top w:val="nil"/>
              <w:left w:val="single" w:sz="4" w:space="0" w:color="auto"/>
              <w:bottom w:val="nil"/>
              <w:right w:val="nil"/>
            </w:tcBorders>
            <w:shd w:val="clear" w:color="auto" w:fill="auto"/>
            <w:noWrap/>
            <w:vAlign w:val="center"/>
            <w:hideMark/>
          </w:tcPr>
          <w:p w14:paraId="5D365241" w14:textId="77777777" w:rsidR="00387142" w:rsidRPr="008B6A75" w:rsidRDefault="00387142" w:rsidP="00387142">
            <w:pPr>
              <w:jc w:val="center"/>
              <w:rPr>
                <w:bCs/>
                <w:sz w:val="20"/>
                <w:szCs w:val="20"/>
              </w:rPr>
            </w:pPr>
            <w:r w:rsidRPr="008B6A75">
              <w:rPr>
                <w:bCs/>
                <w:sz w:val="20"/>
                <w:szCs w:val="20"/>
              </w:rPr>
              <w:t>444</w:t>
            </w:r>
          </w:p>
        </w:tc>
        <w:tc>
          <w:tcPr>
            <w:tcW w:w="709" w:type="dxa"/>
            <w:tcBorders>
              <w:top w:val="nil"/>
              <w:left w:val="single" w:sz="4" w:space="0" w:color="auto"/>
              <w:bottom w:val="nil"/>
              <w:right w:val="nil"/>
            </w:tcBorders>
            <w:shd w:val="clear" w:color="auto" w:fill="auto"/>
            <w:noWrap/>
            <w:vAlign w:val="center"/>
            <w:hideMark/>
          </w:tcPr>
          <w:p w14:paraId="07FE7889" w14:textId="77777777" w:rsidR="00387142" w:rsidRPr="008B6A75" w:rsidRDefault="00387142" w:rsidP="00387142">
            <w:pPr>
              <w:jc w:val="center"/>
              <w:rPr>
                <w:bCs/>
                <w:sz w:val="20"/>
                <w:szCs w:val="20"/>
              </w:rPr>
            </w:pPr>
            <w:r w:rsidRPr="008B6A75">
              <w:rPr>
                <w:bCs/>
                <w:sz w:val="20"/>
                <w:szCs w:val="20"/>
              </w:rPr>
              <w:t>05</w:t>
            </w:r>
          </w:p>
        </w:tc>
        <w:tc>
          <w:tcPr>
            <w:tcW w:w="709" w:type="dxa"/>
            <w:tcBorders>
              <w:top w:val="nil"/>
              <w:left w:val="single" w:sz="4" w:space="0" w:color="auto"/>
              <w:bottom w:val="nil"/>
              <w:right w:val="single" w:sz="4" w:space="0" w:color="auto"/>
            </w:tcBorders>
            <w:shd w:val="clear" w:color="auto" w:fill="auto"/>
            <w:noWrap/>
            <w:vAlign w:val="center"/>
            <w:hideMark/>
          </w:tcPr>
          <w:p w14:paraId="4862C8FB" w14:textId="77777777" w:rsidR="00387142" w:rsidRPr="008B6A75" w:rsidRDefault="00387142" w:rsidP="00387142">
            <w:pPr>
              <w:jc w:val="center"/>
              <w:rPr>
                <w:bCs/>
                <w:sz w:val="20"/>
                <w:szCs w:val="20"/>
              </w:rPr>
            </w:pPr>
            <w:r w:rsidRPr="008B6A75">
              <w:rPr>
                <w:bCs/>
                <w:sz w:val="20"/>
                <w:szCs w:val="20"/>
              </w:rPr>
              <w:t>03</w:t>
            </w:r>
          </w:p>
        </w:tc>
        <w:tc>
          <w:tcPr>
            <w:tcW w:w="1411" w:type="dxa"/>
            <w:tcBorders>
              <w:top w:val="nil"/>
              <w:left w:val="single" w:sz="4" w:space="0" w:color="auto"/>
              <w:bottom w:val="nil"/>
              <w:right w:val="nil"/>
            </w:tcBorders>
            <w:shd w:val="clear" w:color="auto" w:fill="auto"/>
            <w:noWrap/>
            <w:vAlign w:val="center"/>
            <w:hideMark/>
          </w:tcPr>
          <w:p w14:paraId="10C51B48" w14:textId="77777777" w:rsidR="00387142" w:rsidRPr="008B6A75" w:rsidRDefault="00387142" w:rsidP="00387142">
            <w:pPr>
              <w:jc w:val="center"/>
              <w:rPr>
                <w:bCs/>
                <w:sz w:val="20"/>
                <w:szCs w:val="20"/>
              </w:rPr>
            </w:pPr>
            <w:r w:rsidRPr="008B6A75">
              <w:rPr>
                <w:bCs/>
                <w:sz w:val="20"/>
                <w:szCs w:val="20"/>
              </w:rPr>
              <w:t>06.0.00.L5766</w:t>
            </w:r>
          </w:p>
        </w:tc>
        <w:tc>
          <w:tcPr>
            <w:tcW w:w="955" w:type="dxa"/>
            <w:tcBorders>
              <w:top w:val="nil"/>
              <w:left w:val="single" w:sz="4" w:space="0" w:color="auto"/>
              <w:bottom w:val="nil"/>
              <w:right w:val="single" w:sz="4" w:space="0" w:color="auto"/>
            </w:tcBorders>
            <w:shd w:val="clear" w:color="auto" w:fill="auto"/>
            <w:noWrap/>
            <w:vAlign w:val="center"/>
            <w:hideMark/>
          </w:tcPr>
          <w:p w14:paraId="74B44151"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nil"/>
              <w:right w:val="single" w:sz="4" w:space="0" w:color="auto"/>
            </w:tcBorders>
            <w:shd w:val="clear" w:color="auto" w:fill="auto"/>
            <w:noWrap/>
            <w:vAlign w:val="center"/>
            <w:hideMark/>
          </w:tcPr>
          <w:p w14:paraId="423AA80D" w14:textId="77777777" w:rsidR="00387142" w:rsidRPr="008B6A75" w:rsidRDefault="00387142" w:rsidP="00387142">
            <w:pPr>
              <w:jc w:val="right"/>
              <w:rPr>
                <w:bCs/>
                <w:sz w:val="20"/>
                <w:szCs w:val="20"/>
              </w:rPr>
            </w:pPr>
            <w:r w:rsidRPr="008B6A75">
              <w:rPr>
                <w:bCs/>
                <w:sz w:val="20"/>
                <w:szCs w:val="20"/>
              </w:rPr>
              <w:t>17 207,91</w:t>
            </w:r>
          </w:p>
        </w:tc>
        <w:tc>
          <w:tcPr>
            <w:tcW w:w="992" w:type="dxa"/>
            <w:gridSpan w:val="2"/>
            <w:tcBorders>
              <w:top w:val="nil"/>
              <w:left w:val="single" w:sz="4" w:space="0" w:color="auto"/>
              <w:bottom w:val="nil"/>
              <w:right w:val="nil"/>
            </w:tcBorders>
            <w:shd w:val="clear" w:color="auto" w:fill="auto"/>
            <w:noWrap/>
            <w:vAlign w:val="center"/>
            <w:hideMark/>
          </w:tcPr>
          <w:p w14:paraId="5F4DDCA7" w14:textId="77777777" w:rsidR="00387142" w:rsidRPr="008B6A75" w:rsidRDefault="00387142" w:rsidP="00387142">
            <w:pPr>
              <w:jc w:val="right"/>
              <w:rPr>
                <w:bCs/>
                <w:sz w:val="20"/>
                <w:szCs w:val="20"/>
              </w:rPr>
            </w:pPr>
            <w:r w:rsidRPr="008B6A75">
              <w:rPr>
                <w:bCs/>
                <w:sz w:val="20"/>
                <w:szCs w:val="20"/>
              </w:rPr>
              <w:t>0,00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4916DC04" w14:textId="77777777" w:rsidR="00387142" w:rsidRPr="008B6A75" w:rsidRDefault="00387142" w:rsidP="00387142">
            <w:pPr>
              <w:jc w:val="right"/>
              <w:rPr>
                <w:bCs/>
                <w:sz w:val="20"/>
                <w:szCs w:val="20"/>
              </w:rPr>
            </w:pPr>
            <w:r w:rsidRPr="008B6A75">
              <w:rPr>
                <w:bCs/>
                <w:sz w:val="20"/>
                <w:szCs w:val="20"/>
              </w:rPr>
              <w:t>0,00</w:t>
            </w:r>
          </w:p>
        </w:tc>
        <w:tc>
          <w:tcPr>
            <w:tcW w:w="222" w:type="dxa"/>
            <w:vAlign w:val="center"/>
            <w:hideMark/>
          </w:tcPr>
          <w:p w14:paraId="0D036E22" w14:textId="77777777" w:rsidR="00387142" w:rsidRPr="008B6A75" w:rsidRDefault="00387142" w:rsidP="00387142">
            <w:pPr>
              <w:rPr>
                <w:sz w:val="20"/>
                <w:szCs w:val="20"/>
              </w:rPr>
            </w:pPr>
          </w:p>
        </w:tc>
      </w:tr>
      <w:tr w:rsidR="00387142" w:rsidRPr="008B6A75" w14:paraId="440D3BB3" w14:textId="77777777" w:rsidTr="00387142">
        <w:trPr>
          <w:trHeight w:val="585"/>
        </w:trPr>
        <w:tc>
          <w:tcPr>
            <w:tcW w:w="3021" w:type="dxa"/>
            <w:tcBorders>
              <w:top w:val="single" w:sz="4" w:space="0" w:color="auto"/>
              <w:left w:val="single" w:sz="4" w:space="0" w:color="auto"/>
              <w:bottom w:val="nil"/>
              <w:right w:val="nil"/>
            </w:tcBorders>
            <w:shd w:val="clear" w:color="auto" w:fill="auto"/>
            <w:vAlign w:val="center"/>
            <w:hideMark/>
          </w:tcPr>
          <w:p w14:paraId="653FA41C" w14:textId="77777777" w:rsidR="00387142" w:rsidRPr="008B6A75" w:rsidRDefault="00387142" w:rsidP="00387142">
            <w:pPr>
              <w:rPr>
                <w:sz w:val="20"/>
                <w:szCs w:val="20"/>
              </w:rPr>
            </w:pPr>
            <w:r w:rsidRPr="008B6A75">
              <w:rPr>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nil"/>
              <w:right w:val="nil"/>
            </w:tcBorders>
            <w:shd w:val="clear" w:color="auto" w:fill="auto"/>
            <w:noWrap/>
            <w:vAlign w:val="center"/>
            <w:hideMark/>
          </w:tcPr>
          <w:p w14:paraId="5587B836" w14:textId="77777777" w:rsidR="00387142" w:rsidRPr="008B6A75" w:rsidRDefault="00387142" w:rsidP="00387142">
            <w:pPr>
              <w:jc w:val="center"/>
              <w:rPr>
                <w:sz w:val="20"/>
                <w:szCs w:val="20"/>
              </w:rPr>
            </w:pPr>
            <w:r w:rsidRPr="008B6A75">
              <w:rPr>
                <w:sz w:val="20"/>
                <w:szCs w:val="20"/>
              </w:rPr>
              <w:t>444</w:t>
            </w:r>
          </w:p>
        </w:tc>
        <w:tc>
          <w:tcPr>
            <w:tcW w:w="709" w:type="dxa"/>
            <w:tcBorders>
              <w:top w:val="single" w:sz="4" w:space="0" w:color="auto"/>
              <w:left w:val="single" w:sz="4" w:space="0" w:color="auto"/>
              <w:bottom w:val="nil"/>
              <w:right w:val="nil"/>
            </w:tcBorders>
            <w:shd w:val="clear" w:color="auto" w:fill="auto"/>
            <w:noWrap/>
            <w:vAlign w:val="center"/>
            <w:hideMark/>
          </w:tcPr>
          <w:p w14:paraId="52B2DAFD" w14:textId="77777777" w:rsidR="00387142" w:rsidRPr="008B6A75" w:rsidRDefault="00387142" w:rsidP="00387142">
            <w:pPr>
              <w:jc w:val="center"/>
              <w:rPr>
                <w:sz w:val="20"/>
                <w:szCs w:val="20"/>
              </w:rPr>
            </w:pPr>
            <w:r w:rsidRPr="008B6A75">
              <w:rPr>
                <w:sz w:val="20"/>
                <w:szCs w:val="20"/>
              </w:rPr>
              <w:t>05</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328800EA" w14:textId="77777777" w:rsidR="00387142" w:rsidRPr="008B6A75" w:rsidRDefault="00387142" w:rsidP="00387142">
            <w:pPr>
              <w:jc w:val="center"/>
              <w:rPr>
                <w:sz w:val="20"/>
                <w:szCs w:val="20"/>
              </w:rPr>
            </w:pPr>
            <w:r w:rsidRPr="008B6A75">
              <w:rPr>
                <w:sz w:val="20"/>
                <w:szCs w:val="20"/>
              </w:rPr>
              <w:t>03</w:t>
            </w:r>
          </w:p>
        </w:tc>
        <w:tc>
          <w:tcPr>
            <w:tcW w:w="1411" w:type="dxa"/>
            <w:tcBorders>
              <w:top w:val="single" w:sz="4" w:space="0" w:color="auto"/>
              <w:left w:val="single" w:sz="4" w:space="0" w:color="auto"/>
              <w:bottom w:val="nil"/>
              <w:right w:val="nil"/>
            </w:tcBorders>
            <w:shd w:val="clear" w:color="auto" w:fill="auto"/>
            <w:noWrap/>
            <w:vAlign w:val="center"/>
            <w:hideMark/>
          </w:tcPr>
          <w:p w14:paraId="2697E527" w14:textId="77777777" w:rsidR="00387142" w:rsidRPr="008B6A75" w:rsidRDefault="00387142" w:rsidP="00387142">
            <w:pPr>
              <w:jc w:val="center"/>
              <w:rPr>
                <w:sz w:val="20"/>
                <w:szCs w:val="20"/>
              </w:rPr>
            </w:pPr>
            <w:r w:rsidRPr="008B6A75">
              <w:rPr>
                <w:sz w:val="20"/>
                <w:szCs w:val="20"/>
              </w:rPr>
              <w:t>06.0.00.L5766</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2C3EE256" w14:textId="77777777" w:rsidR="00387142" w:rsidRPr="008B6A75" w:rsidRDefault="00387142" w:rsidP="00387142">
            <w:pPr>
              <w:jc w:val="center"/>
              <w:rPr>
                <w:sz w:val="20"/>
                <w:szCs w:val="20"/>
              </w:rPr>
            </w:pPr>
            <w:r w:rsidRPr="008B6A75">
              <w:rPr>
                <w:sz w:val="20"/>
                <w:szCs w:val="20"/>
              </w:rPr>
              <w:t>200</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037DB691" w14:textId="77777777" w:rsidR="00387142" w:rsidRPr="008B6A75" w:rsidRDefault="00387142" w:rsidP="00387142">
            <w:pPr>
              <w:jc w:val="right"/>
              <w:rPr>
                <w:sz w:val="20"/>
                <w:szCs w:val="20"/>
              </w:rPr>
            </w:pPr>
            <w:r w:rsidRPr="008B6A75">
              <w:rPr>
                <w:sz w:val="20"/>
                <w:szCs w:val="20"/>
              </w:rPr>
              <w:t>17 207,91</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08D18A6F" w14:textId="77777777" w:rsidR="00387142" w:rsidRPr="008B6A75" w:rsidRDefault="00387142" w:rsidP="00387142">
            <w:pPr>
              <w:jc w:val="right"/>
              <w:rPr>
                <w:sz w:val="20"/>
                <w:szCs w:val="20"/>
              </w:rPr>
            </w:pPr>
            <w:r w:rsidRPr="008B6A75">
              <w:rPr>
                <w:sz w:val="20"/>
                <w:szCs w:val="20"/>
              </w:rPr>
              <w:t>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69B868D0" w14:textId="77777777" w:rsidR="00387142" w:rsidRPr="008B6A75" w:rsidRDefault="00387142" w:rsidP="00387142">
            <w:pPr>
              <w:jc w:val="right"/>
              <w:rPr>
                <w:sz w:val="20"/>
                <w:szCs w:val="20"/>
              </w:rPr>
            </w:pPr>
            <w:r w:rsidRPr="008B6A75">
              <w:rPr>
                <w:sz w:val="20"/>
                <w:szCs w:val="20"/>
              </w:rPr>
              <w:t>0,00</w:t>
            </w:r>
          </w:p>
        </w:tc>
        <w:tc>
          <w:tcPr>
            <w:tcW w:w="222" w:type="dxa"/>
            <w:vAlign w:val="center"/>
            <w:hideMark/>
          </w:tcPr>
          <w:p w14:paraId="6299DF02" w14:textId="77777777" w:rsidR="00387142" w:rsidRPr="008B6A75" w:rsidRDefault="00387142" w:rsidP="00387142">
            <w:pPr>
              <w:rPr>
                <w:sz w:val="20"/>
                <w:szCs w:val="20"/>
              </w:rPr>
            </w:pPr>
          </w:p>
        </w:tc>
      </w:tr>
      <w:tr w:rsidR="00387142" w:rsidRPr="008B6A75" w14:paraId="37C60424" w14:textId="77777777" w:rsidTr="00387142">
        <w:trPr>
          <w:trHeight w:val="870"/>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4AB8120D" w14:textId="77777777" w:rsidR="00387142" w:rsidRPr="008B6A75" w:rsidRDefault="00387142" w:rsidP="00387142">
            <w:pPr>
              <w:rPr>
                <w:sz w:val="20"/>
                <w:szCs w:val="20"/>
              </w:rPr>
            </w:pPr>
            <w:r w:rsidRPr="008B6A75">
              <w:rPr>
                <w:sz w:val="20"/>
                <w:szCs w:val="20"/>
              </w:rPr>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12995644" w14:textId="77777777" w:rsidR="00387142" w:rsidRPr="008B6A75" w:rsidRDefault="00387142" w:rsidP="00387142">
            <w:pPr>
              <w:jc w:val="center"/>
              <w:rPr>
                <w:sz w:val="20"/>
                <w:szCs w:val="20"/>
              </w:rPr>
            </w:pPr>
            <w:r w:rsidRPr="008B6A75">
              <w:rPr>
                <w:sz w:val="20"/>
                <w:szCs w:val="20"/>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1F8F2481" w14:textId="77777777" w:rsidR="00387142" w:rsidRPr="008B6A75" w:rsidRDefault="00387142" w:rsidP="00387142">
            <w:pPr>
              <w:jc w:val="center"/>
              <w:rPr>
                <w:sz w:val="20"/>
                <w:szCs w:val="20"/>
              </w:rPr>
            </w:pPr>
            <w:r w:rsidRPr="008B6A75">
              <w:rPr>
                <w:sz w:val="20"/>
                <w:szCs w:val="20"/>
              </w:rPr>
              <w:t>05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782C5F" w14:textId="77777777" w:rsidR="00387142" w:rsidRPr="008B6A75" w:rsidRDefault="00387142" w:rsidP="00387142">
            <w:pPr>
              <w:jc w:val="center"/>
              <w:rPr>
                <w:sz w:val="20"/>
                <w:szCs w:val="20"/>
              </w:rPr>
            </w:pPr>
            <w:r w:rsidRPr="008B6A75">
              <w:rPr>
                <w:sz w:val="20"/>
                <w:szCs w:val="20"/>
              </w:rPr>
              <w:t>03</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0A4B2B9B" w14:textId="77777777" w:rsidR="00387142" w:rsidRPr="008B6A75" w:rsidRDefault="00387142" w:rsidP="00387142">
            <w:pPr>
              <w:jc w:val="center"/>
              <w:rPr>
                <w:sz w:val="20"/>
                <w:szCs w:val="20"/>
              </w:rPr>
            </w:pPr>
            <w:r w:rsidRPr="008B6A75">
              <w:rPr>
                <w:sz w:val="20"/>
                <w:szCs w:val="20"/>
              </w:rPr>
              <w:t>06.0.00.L5766</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D48CCA" w14:textId="77777777" w:rsidR="00387142" w:rsidRPr="008B6A75" w:rsidRDefault="00387142" w:rsidP="00387142">
            <w:pPr>
              <w:jc w:val="center"/>
              <w:rPr>
                <w:sz w:val="20"/>
                <w:szCs w:val="20"/>
              </w:rPr>
            </w:pPr>
            <w:r w:rsidRPr="008B6A75">
              <w:rPr>
                <w:sz w:val="20"/>
                <w:szCs w:val="20"/>
              </w:rPr>
              <w:t>240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29CCB0" w14:textId="77777777" w:rsidR="00387142" w:rsidRPr="008B6A75" w:rsidRDefault="00387142" w:rsidP="00387142">
            <w:pPr>
              <w:jc w:val="right"/>
              <w:rPr>
                <w:sz w:val="20"/>
                <w:szCs w:val="20"/>
              </w:rPr>
            </w:pPr>
            <w:r w:rsidRPr="008B6A75">
              <w:rPr>
                <w:sz w:val="20"/>
                <w:szCs w:val="20"/>
              </w:rPr>
              <w:t>17 207,91</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5F9E7BB1" w14:textId="77777777" w:rsidR="00387142" w:rsidRPr="008B6A75" w:rsidRDefault="00387142" w:rsidP="00387142">
            <w:pPr>
              <w:jc w:val="right"/>
              <w:rPr>
                <w:sz w:val="20"/>
                <w:szCs w:val="20"/>
              </w:rPr>
            </w:pPr>
            <w:r w:rsidRPr="008B6A75">
              <w:rPr>
                <w:sz w:val="20"/>
                <w:szCs w:val="20"/>
              </w:rPr>
              <w:t>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FC0F23" w14:textId="77777777" w:rsidR="00387142" w:rsidRPr="008B6A75" w:rsidRDefault="00387142" w:rsidP="00387142">
            <w:pPr>
              <w:jc w:val="right"/>
              <w:rPr>
                <w:sz w:val="20"/>
                <w:szCs w:val="20"/>
              </w:rPr>
            </w:pPr>
            <w:r w:rsidRPr="008B6A75">
              <w:rPr>
                <w:sz w:val="20"/>
                <w:szCs w:val="20"/>
              </w:rPr>
              <w:t>0,00</w:t>
            </w:r>
          </w:p>
        </w:tc>
        <w:tc>
          <w:tcPr>
            <w:tcW w:w="222" w:type="dxa"/>
            <w:vAlign w:val="center"/>
            <w:hideMark/>
          </w:tcPr>
          <w:p w14:paraId="29DDA9C0" w14:textId="77777777" w:rsidR="00387142" w:rsidRPr="008B6A75" w:rsidRDefault="00387142" w:rsidP="00387142">
            <w:pPr>
              <w:rPr>
                <w:sz w:val="20"/>
                <w:szCs w:val="20"/>
              </w:rPr>
            </w:pPr>
          </w:p>
        </w:tc>
      </w:tr>
      <w:tr w:rsidR="00387142" w:rsidRPr="008B6A75" w14:paraId="0EF3DA46" w14:textId="77777777" w:rsidTr="00387142">
        <w:trPr>
          <w:trHeight w:val="870"/>
        </w:trPr>
        <w:tc>
          <w:tcPr>
            <w:tcW w:w="3021" w:type="dxa"/>
            <w:tcBorders>
              <w:top w:val="nil"/>
              <w:left w:val="single" w:sz="4" w:space="0" w:color="auto"/>
              <w:bottom w:val="nil"/>
              <w:right w:val="nil"/>
            </w:tcBorders>
            <w:shd w:val="clear" w:color="auto" w:fill="auto"/>
            <w:vAlign w:val="center"/>
            <w:hideMark/>
          </w:tcPr>
          <w:p w14:paraId="4299A74E" w14:textId="77777777" w:rsidR="00387142" w:rsidRPr="008B6A75" w:rsidRDefault="00387142" w:rsidP="00387142">
            <w:pPr>
              <w:rPr>
                <w:bCs/>
                <w:sz w:val="20"/>
                <w:szCs w:val="20"/>
              </w:rPr>
            </w:pPr>
            <w:r w:rsidRPr="008B6A75">
              <w:rPr>
                <w:bCs/>
                <w:sz w:val="20"/>
                <w:szCs w:val="20"/>
              </w:rPr>
              <w:t>Муниципальная программа "Охрана окружающей среды Куйбышевского района Новосибирской области"</w:t>
            </w:r>
          </w:p>
        </w:tc>
        <w:tc>
          <w:tcPr>
            <w:tcW w:w="850" w:type="dxa"/>
            <w:tcBorders>
              <w:top w:val="nil"/>
              <w:left w:val="single" w:sz="4" w:space="0" w:color="auto"/>
              <w:bottom w:val="nil"/>
              <w:right w:val="nil"/>
            </w:tcBorders>
            <w:shd w:val="clear" w:color="auto" w:fill="auto"/>
            <w:noWrap/>
            <w:vAlign w:val="center"/>
            <w:hideMark/>
          </w:tcPr>
          <w:p w14:paraId="1BB42717" w14:textId="77777777" w:rsidR="00387142" w:rsidRPr="008B6A75" w:rsidRDefault="00387142" w:rsidP="00387142">
            <w:pPr>
              <w:jc w:val="center"/>
              <w:rPr>
                <w:bCs/>
                <w:sz w:val="20"/>
                <w:szCs w:val="20"/>
              </w:rPr>
            </w:pPr>
            <w:r w:rsidRPr="008B6A75">
              <w:rPr>
                <w:bCs/>
                <w:sz w:val="20"/>
                <w:szCs w:val="20"/>
              </w:rPr>
              <w:t>444</w:t>
            </w:r>
          </w:p>
        </w:tc>
        <w:tc>
          <w:tcPr>
            <w:tcW w:w="709" w:type="dxa"/>
            <w:tcBorders>
              <w:top w:val="nil"/>
              <w:left w:val="single" w:sz="4" w:space="0" w:color="auto"/>
              <w:bottom w:val="nil"/>
              <w:right w:val="nil"/>
            </w:tcBorders>
            <w:shd w:val="clear" w:color="auto" w:fill="auto"/>
            <w:noWrap/>
            <w:vAlign w:val="center"/>
            <w:hideMark/>
          </w:tcPr>
          <w:p w14:paraId="694C6955" w14:textId="77777777" w:rsidR="00387142" w:rsidRPr="008B6A75" w:rsidRDefault="00387142" w:rsidP="00387142">
            <w:pPr>
              <w:jc w:val="center"/>
              <w:rPr>
                <w:bCs/>
                <w:sz w:val="20"/>
                <w:szCs w:val="20"/>
              </w:rPr>
            </w:pPr>
            <w:r w:rsidRPr="008B6A75">
              <w:rPr>
                <w:bCs/>
                <w:sz w:val="20"/>
                <w:szCs w:val="20"/>
              </w:rPr>
              <w:t>05</w:t>
            </w:r>
          </w:p>
        </w:tc>
        <w:tc>
          <w:tcPr>
            <w:tcW w:w="709" w:type="dxa"/>
            <w:tcBorders>
              <w:top w:val="nil"/>
              <w:left w:val="single" w:sz="4" w:space="0" w:color="auto"/>
              <w:bottom w:val="nil"/>
              <w:right w:val="single" w:sz="4" w:space="0" w:color="auto"/>
            </w:tcBorders>
            <w:shd w:val="clear" w:color="auto" w:fill="auto"/>
            <w:noWrap/>
            <w:vAlign w:val="center"/>
            <w:hideMark/>
          </w:tcPr>
          <w:p w14:paraId="3371C2C3" w14:textId="77777777" w:rsidR="00387142" w:rsidRPr="008B6A75" w:rsidRDefault="00387142" w:rsidP="00387142">
            <w:pPr>
              <w:jc w:val="center"/>
              <w:rPr>
                <w:bCs/>
                <w:sz w:val="20"/>
                <w:szCs w:val="20"/>
              </w:rPr>
            </w:pPr>
            <w:r w:rsidRPr="008B6A75">
              <w:rPr>
                <w:bCs/>
                <w:sz w:val="20"/>
                <w:szCs w:val="20"/>
              </w:rPr>
              <w:t>03</w:t>
            </w:r>
          </w:p>
        </w:tc>
        <w:tc>
          <w:tcPr>
            <w:tcW w:w="1411" w:type="dxa"/>
            <w:tcBorders>
              <w:top w:val="nil"/>
              <w:left w:val="single" w:sz="4" w:space="0" w:color="auto"/>
              <w:bottom w:val="nil"/>
              <w:right w:val="nil"/>
            </w:tcBorders>
            <w:shd w:val="clear" w:color="auto" w:fill="auto"/>
            <w:noWrap/>
            <w:vAlign w:val="center"/>
            <w:hideMark/>
          </w:tcPr>
          <w:p w14:paraId="2E49875C" w14:textId="77777777" w:rsidR="00387142" w:rsidRPr="008B6A75" w:rsidRDefault="00387142" w:rsidP="00387142">
            <w:pPr>
              <w:jc w:val="center"/>
              <w:rPr>
                <w:bCs/>
                <w:sz w:val="20"/>
                <w:szCs w:val="20"/>
              </w:rPr>
            </w:pPr>
            <w:r w:rsidRPr="008B6A75">
              <w:rPr>
                <w:bCs/>
                <w:sz w:val="20"/>
                <w:szCs w:val="20"/>
              </w:rPr>
              <w:t>12.0.00.00000</w:t>
            </w:r>
          </w:p>
        </w:tc>
        <w:tc>
          <w:tcPr>
            <w:tcW w:w="955" w:type="dxa"/>
            <w:tcBorders>
              <w:top w:val="nil"/>
              <w:left w:val="single" w:sz="4" w:space="0" w:color="auto"/>
              <w:bottom w:val="nil"/>
              <w:right w:val="single" w:sz="4" w:space="0" w:color="auto"/>
            </w:tcBorders>
            <w:shd w:val="clear" w:color="auto" w:fill="auto"/>
            <w:noWrap/>
            <w:vAlign w:val="center"/>
            <w:hideMark/>
          </w:tcPr>
          <w:p w14:paraId="55DAAA10"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nil"/>
              <w:right w:val="single" w:sz="4" w:space="0" w:color="auto"/>
            </w:tcBorders>
            <w:shd w:val="clear" w:color="auto" w:fill="auto"/>
            <w:noWrap/>
            <w:vAlign w:val="center"/>
            <w:hideMark/>
          </w:tcPr>
          <w:p w14:paraId="40BB1941" w14:textId="77777777" w:rsidR="00387142" w:rsidRPr="008B6A75" w:rsidRDefault="00387142" w:rsidP="00387142">
            <w:pPr>
              <w:jc w:val="right"/>
              <w:rPr>
                <w:bCs/>
                <w:sz w:val="20"/>
                <w:szCs w:val="20"/>
              </w:rPr>
            </w:pPr>
            <w:r w:rsidRPr="008B6A75">
              <w:rPr>
                <w:bCs/>
                <w:sz w:val="20"/>
                <w:szCs w:val="20"/>
              </w:rPr>
              <w:t>200 000,00</w:t>
            </w:r>
          </w:p>
        </w:tc>
        <w:tc>
          <w:tcPr>
            <w:tcW w:w="992" w:type="dxa"/>
            <w:gridSpan w:val="2"/>
            <w:tcBorders>
              <w:top w:val="nil"/>
              <w:left w:val="single" w:sz="4" w:space="0" w:color="auto"/>
              <w:bottom w:val="nil"/>
              <w:right w:val="nil"/>
            </w:tcBorders>
            <w:shd w:val="clear" w:color="auto" w:fill="auto"/>
            <w:noWrap/>
            <w:vAlign w:val="center"/>
            <w:hideMark/>
          </w:tcPr>
          <w:p w14:paraId="64C4AC9A" w14:textId="77777777" w:rsidR="00387142" w:rsidRPr="008B6A75" w:rsidRDefault="00387142" w:rsidP="00387142">
            <w:pPr>
              <w:jc w:val="right"/>
              <w:rPr>
                <w:bCs/>
                <w:sz w:val="20"/>
                <w:szCs w:val="20"/>
              </w:rPr>
            </w:pPr>
            <w:r w:rsidRPr="008B6A75">
              <w:rPr>
                <w:bCs/>
                <w:sz w:val="20"/>
                <w:szCs w:val="20"/>
              </w:rPr>
              <w:t>0,00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681E6F8D" w14:textId="77777777" w:rsidR="00387142" w:rsidRPr="008B6A75" w:rsidRDefault="00387142" w:rsidP="00387142">
            <w:pPr>
              <w:jc w:val="right"/>
              <w:rPr>
                <w:bCs/>
                <w:sz w:val="20"/>
                <w:szCs w:val="20"/>
              </w:rPr>
            </w:pPr>
            <w:r w:rsidRPr="008B6A75">
              <w:rPr>
                <w:bCs/>
                <w:sz w:val="20"/>
                <w:szCs w:val="20"/>
              </w:rPr>
              <w:t>0,00</w:t>
            </w:r>
          </w:p>
        </w:tc>
        <w:tc>
          <w:tcPr>
            <w:tcW w:w="222" w:type="dxa"/>
            <w:vAlign w:val="center"/>
            <w:hideMark/>
          </w:tcPr>
          <w:p w14:paraId="72AA6BBB" w14:textId="77777777" w:rsidR="00387142" w:rsidRPr="008B6A75" w:rsidRDefault="00387142" w:rsidP="00387142">
            <w:pPr>
              <w:rPr>
                <w:sz w:val="20"/>
                <w:szCs w:val="20"/>
              </w:rPr>
            </w:pPr>
          </w:p>
        </w:tc>
      </w:tr>
      <w:tr w:rsidR="00387142" w:rsidRPr="008B6A75" w14:paraId="67763FEF" w14:textId="77777777" w:rsidTr="00387142">
        <w:trPr>
          <w:trHeight w:val="1155"/>
        </w:trPr>
        <w:tc>
          <w:tcPr>
            <w:tcW w:w="3021" w:type="dxa"/>
            <w:tcBorders>
              <w:top w:val="single" w:sz="4" w:space="0" w:color="auto"/>
              <w:left w:val="single" w:sz="4" w:space="0" w:color="auto"/>
              <w:bottom w:val="nil"/>
              <w:right w:val="nil"/>
            </w:tcBorders>
            <w:shd w:val="clear" w:color="auto" w:fill="auto"/>
            <w:vAlign w:val="center"/>
            <w:hideMark/>
          </w:tcPr>
          <w:p w14:paraId="3C09744A" w14:textId="77777777" w:rsidR="00387142" w:rsidRPr="008B6A75" w:rsidRDefault="00387142" w:rsidP="00387142">
            <w:pPr>
              <w:rPr>
                <w:bCs/>
                <w:sz w:val="20"/>
                <w:szCs w:val="20"/>
              </w:rPr>
            </w:pPr>
            <w:r w:rsidRPr="008B6A75">
              <w:rPr>
                <w:bCs/>
                <w:sz w:val="20"/>
                <w:szCs w:val="20"/>
              </w:rPr>
              <w:t>Реализация мероприятий муниципальной программы "Охрана окружающей среды Куйбышевского района Новосибирской области"</w:t>
            </w:r>
          </w:p>
        </w:tc>
        <w:tc>
          <w:tcPr>
            <w:tcW w:w="850" w:type="dxa"/>
            <w:tcBorders>
              <w:top w:val="single" w:sz="4" w:space="0" w:color="auto"/>
              <w:left w:val="single" w:sz="4" w:space="0" w:color="auto"/>
              <w:bottom w:val="nil"/>
              <w:right w:val="nil"/>
            </w:tcBorders>
            <w:shd w:val="clear" w:color="auto" w:fill="auto"/>
            <w:noWrap/>
            <w:vAlign w:val="center"/>
            <w:hideMark/>
          </w:tcPr>
          <w:p w14:paraId="51BF11F3" w14:textId="77777777" w:rsidR="00387142" w:rsidRPr="008B6A75" w:rsidRDefault="00387142" w:rsidP="00387142">
            <w:pPr>
              <w:jc w:val="center"/>
              <w:rPr>
                <w:bCs/>
                <w:sz w:val="20"/>
                <w:szCs w:val="20"/>
              </w:rPr>
            </w:pPr>
            <w:r w:rsidRPr="008B6A75">
              <w:rPr>
                <w:bCs/>
                <w:sz w:val="20"/>
                <w:szCs w:val="20"/>
              </w:rPr>
              <w:t>444</w:t>
            </w:r>
          </w:p>
        </w:tc>
        <w:tc>
          <w:tcPr>
            <w:tcW w:w="709" w:type="dxa"/>
            <w:tcBorders>
              <w:top w:val="single" w:sz="4" w:space="0" w:color="auto"/>
              <w:left w:val="single" w:sz="4" w:space="0" w:color="auto"/>
              <w:bottom w:val="nil"/>
              <w:right w:val="nil"/>
            </w:tcBorders>
            <w:shd w:val="clear" w:color="auto" w:fill="auto"/>
            <w:noWrap/>
            <w:vAlign w:val="center"/>
            <w:hideMark/>
          </w:tcPr>
          <w:p w14:paraId="2A2073AA" w14:textId="77777777" w:rsidR="00387142" w:rsidRPr="008B6A75" w:rsidRDefault="00387142" w:rsidP="00387142">
            <w:pPr>
              <w:jc w:val="center"/>
              <w:rPr>
                <w:bCs/>
                <w:sz w:val="20"/>
                <w:szCs w:val="20"/>
              </w:rPr>
            </w:pPr>
            <w:r w:rsidRPr="008B6A75">
              <w:rPr>
                <w:bCs/>
                <w:sz w:val="20"/>
                <w:szCs w:val="20"/>
              </w:rPr>
              <w:t>05</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3A02192D" w14:textId="77777777" w:rsidR="00387142" w:rsidRPr="008B6A75" w:rsidRDefault="00387142" w:rsidP="00387142">
            <w:pPr>
              <w:jc w:val="center"/>
              <w:rPr>
                <w:bCs/>
                <w:sz w:val="20"/>
                <w:szCs w:val="20"/>
              </w:rPr>
            </w:pPr>
            <w:r w:rsidRPr="008B6A75">
              <w:rPr>
                <w:bCs/>
                <w:sz w:val="20"/>
                <w:szCs w:val="20"/>
              </w:rPr>
              <w:t>03</w:t>
            </w:r>
          </w:p>
        </w:tc>
        <w:tc>
          <w:tcPr>
            <w:tcW w:w="1411" w:type="dxa"/>
            <w:tcBorders>
              <w:top w:val="single" w:sz="4" w:space="0" w:color="auto"/>
              <w:left w:val="single" w:sz="4" w:space="0" w:color="auto"/>
              <w:bottom w:val="nil"/>
              <w:right w:val="nil"/>
            </w:tcBorders>
            <w:shd w:val="clear" w:color="auto" w:fill="auto"/>
            <w:noWrap/>
            <w:vAlign w:val="center"/>
            <w:hideMark/>
          </w:tcPr>
          <w:p w14:paraId="7D8C93B5" w14:textId="77777777" w:rsidR="00387142" w:rsidRPr="008B6A75" w:rsidRDefault="00387142" w:rsidP="00387142">
            <w:pPr>
              <w:jc w:val="center"/>
              <w:rPr>
                <w:bCs/>
                <w:sz w:val="20"/>
                <w:szCs w:val="20"/>
              </w:rPr>
            </w:pPr>
            <w:r w:rsidRPr="008B6A75">
              <w:rPr>
                <w:bCs/>
                <w:sz w:val="20"/>
                <w:szCs w:val="20"/>
              </w:rPr>
              <w:t>12.0.00.49500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150B8815" w14:textId="77777777" w:rsidR="00387142" w:rsidRPr="008B6A75" w:rsidRDefault="00387142" w:rsidP="00387142">
            <w:pPr>
              <w:jc w:val="center"/>
              <w:rPr>
                <w:bCs/>
                <w:sz w:val="20"/>
                <w:szCs w:val="20"/>
              </w:rPr>
            </w:pPr>
            <w:r w:rsidRPr="008B6A75">
              <w:rPr>
                <w:bCs/>
                <w:sz w:val="20"/>
                <w:szCs w:val="20"/>
              </w:rPr>
              <w:t> </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767054E2" w14:textId="77777777" w:rsidR="00387142" w:rsidRPr="008B6A75" w:rsidRDefault="00387142" w:rsidP="00387142">
            <w:pPr>
              <w:jc w:val="right"/>
              <w:rPr>
                <w:bCs/>
                <w:sz w:val="20"/>
                <w:szCs w:val="20"/>
              </w:rPr>
            </w:pPr>
            <w:r w:rsidRPr="008B6A75">
              <w:rPr>
                <w:bCs/>
                <w:sz w:val="20"/>
                <w:szCs w:val="20"/>
              </w:rPr>
              <w:t>200 000,00</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4E755856" w14:textId="77777777" w:rsidR="00387142" w:rsidRPr="008B6A75" w:rsidRDefault="00387142" w:rsidP="00387142">
            <w:pPr>
              <w:jc w:val="right"/>
              <w:rPr>
                <w:bCs/>
                <w:sz w:val="20"/>
                <w:szCs w:val="20"/>
              </w:rPr>
            </w:pPr>
            <w:r w:rsidRPr="008B6A75">
              <w:rPr>
                <w:bCs/>
                <w:sz w:val="20"/>
                <w:szCs w:val="20"/>
              </w:rPr>
              <w:t>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06CACD5D" w14:textId="77777777" w:rsidR="00387142" w:rsidRPr="008B6A75" w:rsidRDefault="00387142" w:rsidP="00387142">
            <w:pPr>
              <w:jc w:val="right"/>
              <w:rPr>
                <w:bCs/>
                <w:sz w:val="20"/>
                <w:szCs w:val="20"/>
              </w:rPr>
            </w:pPr>
            <w:r w:rsidRPr="008B6A75">
              <w:rPr>
                <w:bCs/>
                <w:sz w:val="20"/>
                <w:szCs w:val="20"/>
              </w:rPr>
              <w:t>0,00</w:t>
            </w:r>
          </w:p>
        </w:tc>
        <w:tc>
          <w:tcPr>
            <w:tcW w:w="222" w:type="dxa"/>
            <w:vAlign w:val="center"/>
            <w:hideMark/>
          </w:tcPr>
          <w:p w14:paraId="2D350E67" w14:textId="77777777" w:rsidR="00387142" w:rsidRPr="008B6A75" w:rsidRDefault="00387142" w:rsidP="00387142">
            <w:pPr>
              <w:rPr>
                <w:sz w:val="20"/>
                <w:szCs w:val="20"/>
              </w:rPr>
            </w:pPr>
          </w:p>
        </w:tc>
      </w:tr>
      <w:tr w:rsidR="00387142" w:rsidRPr="008B6A75" w14:paraId="3E8A536C" w14:textId="77777777" w:rsidTr="00387142">
        <w:trPr>
          <w:trHeight w:val="300"/>
        </w:trPr>
        <w:tc>
          <w:tcPr>
            <w:tcW w:w="3021" w:type="dxa"/>
            <w:tcBorders>
              <w:top w:val="single" w:sz="4" w:space="0" w:color="auto"/>
              <w:left w:val="single" w:sz="4" w:space="0" w:color="auto"/>
              <w:bottom w:val="nil"/>
              <w:right w:val="nil"/>
            </w:tcBorders>
            <w:shd w:val="clear" w:color="auto" w:fill="auto"/>
            <w:vAlign w:val="center"/>
            <w:hideMark/>
          </w:tcPr>
          <w:p w14:paraId="3E7FAEB5" w14:textId="77777777" w:rsidR="00387142" w:rsidRPr="008B6A75" w:rsidRDefault="00387142" w:rsidP="00387142">
            <w:pPr>
              <w:rPr>
                <w:sz w:val="20"/>
                <w:szCs w:val="20"/>
              </w:rPr>
            </w:pPr>
            <w:r w:rsidRPr="008B6A75">
              <w:rPr>
                <w:sz w:val="20"/>
                <w:szCs w:val="20"/>
              </w:rPr>
              <w:t>Межбюджетные трансферты</w:t>
            </w:r>
          </w:p>
        </w:tc>
        <w:tc>
          <w:tcPr>
            <w:tcW w:w="850" w:type="dxa"/>
            <w:tcBorders>
              <w:top w:val="single" w:sz="4" w:space="0" w:color="auto"/>
              <w:left w:val="single" w:sz="4" w:space="0" w:color="auto"/>
              <w:bottom w:val="nil"/>
              <w:right w:val="nil"/>
            </w:tcBorders>
            <w:shd w:val="clear" w:color="auto" w:fill="auto"/>
            <w:noWrap/>
            <w:vAlign w:val="center"/>
            <w:hideMark/>
          </w:tcPr>
          <w:p w14:paraId="435E2B66" w14:textId="77777777" w:rsidR="00387142" w:rsidRPr="008B6A75" w:rsidRDefault="00387142" w:rsidP="00387142">
            <w:pPr>
              <w:jc w:val="center"/>
              <w:rPr>
                <w:sz w:val="20"/>
                <w:szCs w:val="20"/>
              </w:rPr>
            </w:pPr>
            <w:r w:rsidRPr="008B6A75">
              <w:rPr>
                <w:sz w:val="20"/>
                <w:szCs w:val="20"/>
              </w:rPr>
              <w:t>444</w:t>
            </w:r>
          </w:p>
        </w:tc>
        <w:tc>
          <w:tcPr>
            <w:tcW w:w="709" w:type="dxa"/>
            <w:tcBorders>
              <w:top w:val="single" w:sz="4" w:space="0" w:color="auto"/>
              <w:left w:val="single" w:sz="4" w:space="0" w:color="auto"/>
              <w:bottom w:val="nil"/>
              <w:right w:val="nil"/>
            </w:tcBorders>
            <w:shd w:val="clear" w:color="auto" w:fill="auto"/>
            <w:noWrap/>
            <w:vAlign w:val="center"/>
            <w:hideMark/>
          </w:tcPr>
          <w:p w14:paraId="0EB3B323" w14:textId="77777777" w:rsidR="00387142" w:rsidRPr="008B6A75" w:rsidRDefault="00387142" w:rsidP="00387142">
            <w:pPr>
              <w:jc w:val="center"/>
              <w:rPr>
                <w:sz w:val="20"/>
                <w:szCs w:val="20"/>
              </w:rPr>
            </w:pPr>
            <w:r w:rsidRPr="008B6A75">
              <w:rPr>
                <w:sz w:val="20"/>
                <w:szCs w:val="20"/>
              </w:rPr>
              <w:t>05</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1EEBF958" w14:textId="77777777" w:rsidR="00387142" w:rsidRPr="008B6A75" w:rsidRDefault="00387142" w:rsidP="00387142">
            <w:pPr>
              <w:jc w:val="center"/>
              <w:rPr>
                <w:sz w:val="20"/>
                <w:szCs w:val="20"/>
              </w:rPr>
            </w:pPr>
            <w:r w:rsidRPr="008B6A75">
              <w:rPr>
                <w:sz w:val="20"/>
                <w:szCs w:val="20"/>
              </w:rPr>
              <w:t>03</w:t>
            </w:r>
          </w:p>
        </w:tc>
        <w:tc>
          <w:tcPr>
            <w:tcW w:w="1411" w:type="dxa"/>
            <w:tcBorders>
              <w:top w:val="single" w:sz="4" w:space="0" w:color="auto"/>
              <w:left w:val="single" w:sz="4" w:space="0" w:color="auto"/>
              <w:bottom w:val="nil"/>
              <w:right w:val="nil"/>
            </w:tcBorders>
            <w:shd w:val="clear" w:color="auto" w:fill="auto"/>
            <w:noWrap/>
            <w:vAlign w:val="center"/>
            <w:hideMark/>
          </w:tcPr>
          <w:p w14:paraId="5DC95E36" w14:textId="77777777" w:rsidR="00387142" w:rsidRPr="008B6A75" w:rsidRDefault="00387142" w:rsidP="00387142">
            <w:pPr>
              <w:jc w:val="center"/>
              <w:rPr>
                <w:sz w:val="20"/>
                <w:szCs w:val="20"/>
              </w:rPr>
            </w:pPr>
            <w:r w:rsidRPr="008B6A75">
              <w:rPr>
                <w:sz w:val="20"/>
                <w:szCs w:val="20"/>
              </w:rPr>
              <w:t>12.0.00.49500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11303522" w14:textId="77777777" w:rsidR="00387142" w:rsidRPr="008B6A75" w:rsidRDefault="00387142" w:rsidP="00387142">
            <w:pPr>
              <w:jc w:val="center"/>
              <w:rPr>
                <w:sz w:val="20"/>
                <w:szCs w:val="20"/>
              </w:rPr>
            </w:pPr>
            <w:r w:rsidRPr="008B6A75">
              <w:rPr>
                <w:sz w:val="20"/>
                <w:szCs w:val="20"/>
              </w:rPr>
              <w:t>500</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017301F8" w14:textId="77777777" w:rsidR="00387142" w:rsidRPr="008B6A75" w:rsidRDefault="00387142" w:rsidP="00387142">
            <w:pPr>
              <w:jc w:val="right"/>
              <w:rPr>
                <w:sz w:val="20"/>
                <w:szCs w:val="20"/>
              </w:rPr>
            </w:pPr>
            <w:r w:rsidRPr="008B6A75">
              <w:rPr>
                <w:sz w:val="20"/>
                <w:szCs w:val="20"/>
              </w:rPr>
              <w:t>200 000,00</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341F2571" w14:textId="77777777" w:rsidR="00387142" w:rsidRPr="008B6A75" w:rsidRDefault="00387142" w:rsidP="00387142">
            <w:pPr>
              <w:jc w:val="right"/>
              <w:rPr>
                <w:sz w:val="20"/>
                <w:szCs w:val="20"/>
              </w:rPr>
            </w:pPr>
            <w:r w:rsidRPr="008B6A75">
              <w:rPr>
                <w:sz w:val="20"/>
                <w:szCs w:val="20"/>
              </w:rPr>
              <w:t>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29EC292F" w14:textId="77777777" w:rsidR="00387142" w:rsidRPr="008B6A75" w:rsidRDefault="00387142" w:rsidP="00387142">
            <w:pPr>
              <w:jc w:val="right"/>
              <w:rPr>
                <w:sz w:val="20"/>
                <w:szCs w:val="20"/>
              </w:rPr>
            </w:pPr>
            <w:r w:rsidRPr="008B6A75">
              <w:rPr>
                <w:sz w:val="20"/>
                <w:szCs w:val="20"/>
              </w:rPr>
              <w:t>0,00</w:t>
            </w:r>
          </w:p>
        </w:tc>
        <w:tc>
          <w:tcPr>
            <w:tcW w:w="222" w:type="dxa"/>
            <w:vAlign w:val="center"/>
            <w:hideMark/>
          </w:tcPr>
          <w:p w14:paraId="63F4B9D7" w14:textId="77777777" w:rsidR="00387142" w:rsidRPr="008B6A75" w:rsidRDefault="00387142" w:rsidP="00387142">
            <w:pPr>
              <w:rPr>
                <w:sz w:val="20"/>
                <w:szCs w:val="20"/>
              </w:rPr>
            </w:pPr>
          </w:p>
        </w:tc>
      </w:tr>
      <w:tr w:rsidR="00387142" w:rsidRPr="008B6A75" w14:paraId="7B114139" w14:textId="77777777" w:rsidTr="00387142">
        <w:trPr>
          <w:trHeight w:val="300"/>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5BAF1E04" w14:textId="77777777" w:rsidR="00387142" w:rsidRPr="008B6A75" w:rsidRDefault="00387142" w:rsidP="00387142">
            <w:pPr>
              <w:rPr>
                <w:sz w:val="20"/>
                <w:szCs w:val="20"/>
              </w:rPr>
            </w:pPr>
            <w:r w:rsidRPr="008B6A75">
              <w:rPr>
                <w:sz w:val="20"/>
                <w:szCs w:val="20"/>
              </w:rPr>
              <w:t>Иные межбюджетные трансферты</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681F59BD" w14:textId="77777777" w:rsidR="00387142" w:rsidRPr="008B6A75" w:rsidRDefault="00387142" w:rsidP="00387142">
            <w:pPr>
              <w:jc w:val="center"/>
              <w:rPr>
                <w:sz w:val="20"/>
                <w:szCs w:val="20"/>
              </w:rPr>
            </w:pPr>
            <w:r w:rsidRPr="008B6A75">
              <w:rPr>
                <w:sz w:val="20"/>
                <w:szCs w:val="20"/>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15C2A325" w14:textId="77777777" w:rsidR="00387142" w:rsidRPr="008B6A75" w:rsidRDefault="00387142" w:rsidP="00387142">
            <w:pPr>
              <w:jc w:val="center"/>
              <w:rPr>
                <w:sz w:val="20"/>
                <w:szCs w:val="20"/>
              </w:rPr>
            </w:pPr>
            <w:r w:rsidRPr="008B6A75">
              <w:rPr>
                <w:sz w:val="20"/>
                <w:szCs w:val="20"/>
              </w:rPr>
              <w:t>05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F9831A" w14:textId="77777777" w:rsidR="00387142" w:rsidRPr="008B6A75" w:rsidRDefault="00387142" w:rsidP="00387142">
            <w:pPr>
              <w:jc w:val="center"/>
              <w:rPr>
                <w:sz w:val="20"/>
                <w:szCs w:val="20"/>
              </w:rPr>
            </w:pPr>
            <w:r w:rsidRPr="008B6A75">
              <w:rPr>
                <w:sz w:val="20"/>
                <w:szCs w:val="20"/>
              </w:rPr>
              <w:t>03</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0D277349" w14:textId="77777777" w:rsidR="00387142" w:rsidRPr="008B6A75" w:rsidRDefault="00387142" w:rsidP="00387142">
            <w:pPr>
              <w:jc w:val="center"/>
              <w:rPr>
                <w:sz w:val="20"/>
                <w:szCs w:val="20"/>
              </w:rPr>
            </w:pPr>
            <w:r w:rsidRPr="008B6A75">
              <w:rPr>
                <w:sz w:val="20"/>
                <w:szCs w:val="20"/>
              </w:rPr>
              <w:t>12.0.00.49500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7E6E25" w14:textId="77777777" w:rsidR="00387142" w:rsidRPr="008B6A75" w:rsidRDefault="00387142" w:rsidP="00387142">
            <w:pPr>
              <w:jc w:val="center"/>
              <w:rPr>
                <w:sz w:val="20"/>
                <w:szCs w:val="20"/>
              </w:rPr>
            </w:pPr>
            <w:r w:rsidRPr="008B6A75">
              <w:rPr>
                <w:sz w:val="20"/>
                <w:szCs w:val="20"/>
              </w:rPr>
              <w:t>540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5444E1" w14:textId="77777777" w:rsidR="00387142" w:rsidRPr="008B6A75" w:rsidRDefault="00387142" w:rsidP="00387142">
            <w:pPr>
              <w:jc w:val="right"/>
              <w:rPr>
                <w:sz w:val="20"/>
                <w:szCs w:val="20"/>
              </w:rPr>
            </w:pPr>
            <w:r w:rsidRPr="008B6A75">
              <w:rPr>
                <w:sz w:val="20"/>
                <w:szCs w:val="20"/>
              </w:rPr>
              <w:t>200 000,00</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59E3317F" w14:textId="77777777" w:rsidR="00387142" w:rsidRPr="008B6A75" w:rsidRDefault="00387142" w:rsidP="00387142">
            <w:pPr>
              <w:jc w:val="right"/>
              <w:rPr>
                <w:sz w:val="20"/>
                <w:szCs w:val="20"/>
              </w:rPr>
            </w:pPr>
            <w:r w:rsidRPr="008B6A75">
              <w:rPr>
                <w:sz w:val="20"/>
                <w:szCs w:val="20"/>
              </w:rPr>
              <w:t>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EEB318" w14:textId="77777777" w:rsidR="00387142" w:rsidRPr="008B6A75" w:rsidRDefault="00387142" w:rsidP="00387142">
            <w:pPr>
              <w:jc w:val="right"/>
              <w:rPr>
                <w:sz w:val="20"/>
                <w:szCs w:val="20"/>
              </w:rPr>
            </w:pPr>
            <w:r w:rsidRPr="008B6A75">
              <w:rPr>
                <w:sz w:val="20"/>
                <w:szCs w:val="20"/>
              </w:rPr>
              <w:t>0,00</w:t>
            </w:r>
          </w:p>
        </w:tc>
        <w:tc>
          <w:tcPr>
            <w:tcW w:w="222" w:type="dxa"/>
            <w:vAlign w:val="center"/>
            <w:hideMark/>
          </w:tcPr>
          <w:p w14:paraId="0F599762" w14:textId="77777777" w:rsidR="00387142" w:rsidRPr="008B6A75" w:rsidRDefault="00387142" w:rsidP="00387142">
            <w:pPr>
              <w:rPr>
                <w:sz w:val="20"/>
                <w:szCs w:val="20"/>
              </w:rPr>
            </w:pPr>
          </w:p>
        </w:tc>
      </w:tr>
      <w:tr w:rsidR="00387142" w:rsidRPr="008B6A75" w14:paraId="7119F927" w14:textId="77777777" w:rsidTr="00387142">
        <w:trPr>
          <w:trHeight w:val="870"/>
        </w:trPr>
        <w:tc>
          <w:tcPr>
            <w:tcW w:w="3021" w:type="dxa"/>
            <w:tcBorders>
              <w:top w:val="nil"/>
              <w:left w:val="single" w:sz="4" w:space="0" w:color="auto"/>
              <w:bottom w:val="nil"/>
              <w:right w:val="nil"/>
            </w:tcBorders>
            <w:shd w:val="clear" w:color="auto" w:fill="auto"/>
            <w:vAlign w:val="center"/>
            <w:hideMark/>
          </w:tcPr>
          <w:p w14:paraId="60001181" w14:textId="77777777" w:rsidR="00387142" w:rsidRPr="008B6A75" w:rsidRDefault="00387142" w:rsidP="00387142">
            <w:pPr>
              <w:rPr>
                <w:bCs/>
                <w:sz w:val="20"/>
                <w:szCs w:val="20"/>
              </w:rPr>
            </w:pPr>
            <w:r w:rsidRPr="008B6A75">
              <w:rPr>
                <w:bCs/>
                <w:sz w:val="20"/>
                <w:szCs w:val="20"/>
              </w:rPr>
              <w:t>Муниципальная программа "Комплексные меры профилактики наркомании в Куйбышевском районе"</w:t>
            </w:r>
          </w:p>
        </w:tc>
        <w:tc>
          <w:tcPr>
            <w:tcW w:w="850" w:type="dxa"/>
            <w:tcBorders>
              <w:top w:val="nil"/>
              <w:left w:val="single" w:sz="4" w:space="0" w:color="auto"/>
              <w:bottom w:val="nil"/>
              <w:right w:val="nil"/>
            </w:tcBorders>
            <w:shd w:val="clear" w:color="auto" w:fill="auto"/>
            <w:noWrap/>
            <w:vAlign w:val="center"/>
            <w:hideMark/>
          </w:tcPr>
          <w:p w14:paraId="7DAC6DFB" w14:textId="77777777" w:rsidR="00387142" w:rsidRPr="008B6A75" w:rsidRDefault="00387142" w:rsidP="00387142">
            <w:pPr>
              <w:jc w:val="center"/>
              <w:rPr>
                <w:bCs/>
                <w:sz w:val="20"/>
                <w:szCs w:val="20"/>
              </w:rPr>
            </w:pPr>
            <w:r w:rsidRPr="008B6A75">
              <w:rPr>
                <w:bCs/>
                <w:sz w:val="20"/>
                <w:szCs w:val="20"/>
              </w:rPr>
              <w:t>444</w:t>
            </w:r>
          </w:p>
        </w:tc>
        <w:tc>
          <w:tcPr>
            <w:tcW w:w="709" w:type="dxa"/>
            <w:tcBorders>
              <w:top w:val="nil"/>
              <w:left w:val="single" w:sz="4" w:space="0" w:color="auto"/>
              <w:bottom w:val="nil"/>
              <w:right w:val="nil"/>
            </w:tcBorders>
            <w:shd w:val="clear" w:color="auto" w:fill="auto"/>
            <w:noWrap/>
            <w:vAlign w:val="center"/>
            <w:hideMark/>
          </w:tcPr>
          <w:p w14:paraId="5B043A81" w14:textId="77777777" w:rsidR="00387142" w:rsidRPr="008B6A75" w:rsidRDefault="00387142" w:rsidP="00387142">
            <w:pPr>
              <w:jc w:val="center"/>
              <w:rPr>
                <w:bCs/>
                <w:sz w:val="20"/>
                <w:szCs w:val="20"/>
              </w:rPr>
            </w:pPr>
            <w:r w:rsidRPr="008B6A75">
              <w:rPr>
                <w:bCs/>
                <w:sz w:val="20"/>
                <w:szCs w:val="20"/>
              </w:rPr>
              <w:t>05</w:t>
            </w:r>
          </w:p>
        </w:tc>
        <w:tc>
          <w:tcPr>
            <w:tcW w:w="709" w:type="dxa"/>
            <w:tcBorders>
              <w:top w:val="nil"/>
              <w:left w:val="single" w:sz="4" w:space="0" w:color="auto"/>
              <w:bottom w:val="nil"/>
              <w:right w:val="single" w:sz="4" w:space="0" w:color="auto"/>
            </w:tcBorders>
            <w:shd w:val="clear" w:color="auto" w:fill="auto"/>
            <w:noWrap/>
            <w:vAlign w:val="center"/>
            <w:hideMark/>
          </w:tcPr>
          <w:p w14:paraId="4C455EAC" w14:textId="77777777" w:rsidR="00387142" w:rsidRPr="008B6A75" w:rsidRDefault="00387142" w:rsidP="00387142">
            <w:pPr>
              <w:jc w:val="center"/>
              <w:rPr>
                <w:bCs/>
                <w:sz w:val="20"/>
                <w:szCs w:val="20"/>
              </w:rPr>
            </w:pPr>
            <w:r w:rsidRPr="008B6A75">
              <w:rPr>
                <w:bCs/>
                <w:sz w:val="20"/>
                <w:szCs w:val="20"/>
              </w:rPr>
              <w:t>03</w:t>
            </w:r>
          </w:p>
        </w:tc>
        <w:tc>
          <w:tcPr>
            <w:tcW w:w="1411" w:type="dxa"/>
            <w:tcBorders>
              <w:top w:val="nil"/>
              <w:left w:val="single" w:sz="4" w:space="0" w:color="auto"/>
              <w:bottom w:val="nil"/>
              <w:right w:val="nil"/>
            </w:tcBorders>
            <w:shd w:val="clear" w:color="auto" w:fill="auto"/>
            <w:noWrap/>
            <w:vAlign w:val="center"/>
            <w:hideMark/>
          </w:tcPr>
          <w:p w14:paraId="1C4DD756" w14:textId="77777777" w:rsidR="00387142" w:rsidRPr="008B6A75" w:rsidRDefault="00387142" w:rsidP="00387142">
            <w:pPr>
              <w:jc w:val="center"/>
              <w:rPr>
                <w:bCs/>
                <w:sz w:val="20"/>
                <w:szCs w:val="20"/>
              </w:rPr>
            </w:pPr>
            <w:r w:rsidRPr="008B6A75">
              <w:rPr>
                <w:bCs/>
                <w:sz w:val="20"/>
                <w:szCs w:val="20"/>
              </w:rPr>
              <w:t>14.0.00.00000</w:t>
            </w:r>
          </w:p>
        </w:tc>
        <w:tc>
          <w:tcPr>
            <w:tcW w:w="955" w:type="dxa"/>
            <w:tcBorders>
              <w:top w:val="nil"/>
              <w:left w:val="single" w:sz="4" w:space="0" w:color="auto"/>
              <w:bottom w:val="nil"/>
              <w:right w:val="single" w:sz="4" w:space="0" w:color="auto"/>
            </w:tcBorders>
            <w:shd w:val="clear" w:color="auto" w:fill="auto"/>
            <w:noWrap/>
            <w:vAlign w:val="center"/>
            <w:hideMark/>
          </w:tcPr>
          <w:p w14:paraId="714AB277"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nil"/>
              <w:right w:val="single" w:sz="4" w:space="0" w:color="auto"/>
            </w:tcBorders>
            <w:shd w:val="clear" w:color="auto" w:fill="auto"/>
            <w:noWrap/>
            <w:vAlign w:val="center"/>
            <w:hideMark/>
          </w:tcPr>
          <w:p w14:paraId="59AD7039" w14:textId="77777777" w:rsidR="00387142" w:rsidRPr="008B6A75" w:rsidRDefault="00387142" w:rsidP="00387142">
            <w:pPr>
              <w:jc w:val="right"/>
              <w:rPr>
                <w:bCs/>
                <w:sz w:val="20"/>
                <w:szCs w:val="20"/>
              </w:rPr>
            </w:pPr>
            <w:r w:rsidRPr="008B6A75">
              <w:rPr>
                <w:bCs/>
                <w:sz w:val="20"/>
                <w:szCs w:val="20"/>
              </w:rPr>
              <w:t>118 791,00</w:t>
            </w:r>
          </w:p>
        </w:tc>
        <w:tc>
          <w:tcPr>
            <w:tcW w:w="992" w:type="dxa"/>
            <w:gridSpan w:val="2"/>
            <w:tcBorders>
              <w:top w:val="nil"/>
              <w:left w:val="single" w:sz="4" w:space="0" w:color="auto"/>
              <w:bottom w:val="nil"/>
              <w:right w:val="nil"/>
            </w:tcBorders>
            <w:shd w:val="clear" w:color="auto" w:fill="auto"/>
            <w:noWrap/>
            <w:vAlign w:val="center"/>
            <w:hideMark/>
          </w:tcPr>
          <w:p w14:paraId="6DB7113F" w14:textId="77777777" w:rsidR="00387142" w:rsidRPr="008B6A75" w:rsidRDefault="00387142" w:rsidP="00387142">
            <w:pPr>
              <w:jc w:val="right"/>
              <w:rPr>
                <w:bCs/>
                <w:sz w:val="20"/>
                <w:szCs w:val="20"/>
              </w:rPr>
            </w:pPr>
            <w:r w:rsidRPr="008B6A75">
              <w:rPr>
                <w:bCs/>
                <w:sz w:val="20"/>
                <w:szCs w:val="20"/>
              </w:rPr>
              <w:t>0,00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231D9639" w14:textId="77777777" w:rsidR="00387142" w:rsidRPr="008B6A75" w:rsidRDefault="00387142" w:rsidP="00387142">
            <w:pPr>
              <w:jc w:val="right"/>
              <w:rPr>
                <w:bCs/>
                <w:sz w:val="20"/>
                <w:szCs w:val="20"/>
              </w:rPr>
            </w:pPr>
            <w:r w:rsidRPr="008B6A75">
              <w:rPr>
                <w:bCs/>
                <w:sz w:val="20"/>
                <w:szCs w:val="20"/>
              </w:rPr>
              <w:t>0,00</w:t>
            </w:r>
          </w:p>
        </w:tc>
        <w:tc>
          <w:tcPr>
            <w:tcW w:w="222" w:type="dxa"/>
            <w:vAlign w:val="center"/>
            <w:hideMark/>
          </w:tcPr>
          <w:p w14:paraId="4118D7C2" w14:textId="77777777" w:rsidR="00387142" w:rsidRPr="008B6A75" w:rsidRDefault="00387142" w:rsidP="00387142">
            <w:pPr>
              <w:rPr>
                <w:sz w:val="20"/>
                <w:szCs w:val="20"/>
              </w:rPr>
            </w:pPr>
          </w:p>
        </w:tc>
      </w:tr>
      <w:tr w:rsidR="00387142" w:rsidRPr="008B6A75" w14:paraId="16ED5892" w14:textId="77777777" w:rsidTr="00387142">
        <w:trPr>
          <w:trHeight w:val="870"/>
        </w:trPr>
        <w:tc>
          <w:tcPr>
            <w:tcW w:w="3021" w:type="dxa"/>
            <w:tcBorders>
              <w:top w:val="single" w:sz="4" w:space="0" w:color="auto"/>
              <w:left w:val="single" w:sz="4" w:space="0" w:color="auto"/>
              <w:bottom w:val="nil"/>
              <w:right w:val="nil"/>
            </w:tcBorders>
            <w:shd w:val="clear" w:color="auto" w:fill="auto"/>
            <w:vAlign w:val="center"/>
            <w:hideMark/>
          </w:tcPr>
          <w:p w14:paraId="0C78388B" w14:textId="77777777" w:rsidR="00387142" w:rsidRPr="008B6A75" w:rsidRDefault="00387142" w:rsidP="00387142">
            <w:pPr>
              <w:rPr>
                <w:bCs/>
                <w:sz w:val="20"/>
                <w:szCs w:val="20"/>
              </w:rPr>
            </w:pPr>
            <w:r w:rsidRPr="008B6A75">
              <w:rPr>
                <w:bCs/>
                <w:sz w:val="20"/>
                <w:szCs w:val="20"/>
              </w:rPr>
              <w:t>Реализация мероприятий в рамках МП "Комплексные меры профилактики наркомании в Куйбышевском районе"</w:t>
            </w:r>
          </w:p>
        </w:tc>
        <w:tc>
          <w:tcPr>
            <w:tcW w:w="850" w:type="dxa"/>
            <w:tcBorders>
              <w:top w:val="single" w:sz="4" w:space="0" w:color="auto"/>
              <w:left w:val="single" w:sz="4" w:space="0" w:color="auto"/>
              <w:bottom w:val="nil"/>
              <w:right w:val="nil"/>
            </w:tcBorders>
            <w:shd w:val="clear" w:color="auto" w:fill="auto"/>
            <w:noWrap/>
            <w:vAlign w:val="center"/>
            <w:hideMark/>
          </w:tcPr>
          <w:p w14:paraId="7B1DEB35" w14:textId="77777777" w:rsidR="00387142" w:rsidRPr="008B6A75" w:rsidRDefault="00387142" w:rsidP="00387142">
            <w:pPr>
              <w:jc w:val="center"/>
              <w:rPr>
                <w:bCs/>
                <w:sz w:val="20"/>
                <w:szCs w:val="20"/>
              </w:rPr>
            </w:pPr>
            <w:r w:rsidRPr="008B6A75">
              <w:rPr>
                <w:bCs/>
                <w:sz w:val="20"/>
                <w:szCs w:val="20"/>
              </w:rPr>
              <w:t>444</w:t>
            </w:r>
          </w:p>
        </w:tc>
        <w:tc>
          <w:tcPr>
            <w:tcW w:w="709" w:type="dxa"/>
            <w:tcBorders>
              <w:top w:val="single" w:sz="4" w:space="0" w:color="auto"/>
              <w:left w:val="single" w:sz="4" w:space="0" w:color="auto"/>
              <w:bottom w:val="nil"/>
              <w:right w:val="nil"/>
            </w:tcBorders>
            <w:shd w:val="clear" w:color="auto" w:fill="auto"/>
            <w:noWrap/>
            <w:vAlign w:val="center"/>
            <w:hideMark/>
          </w:tcPr>
          <w:p w14:paraId="45D551BB" w14:textId="77777777" w:rsidR="00387142" w:rsidRPr="008B6A75" w:rsidRDefault="00387142" w:rsidP="00387142">
            <w:pPr>
              <w:jc w:val="center"/>
              <w:rPr>
                <w:bCs/>
                <w:sz w:val="20"/>
                <w:szCs w:val="20"/>
              </w:rPr>
            </w:pPr>
            <w:r w:rsidRPr="008B6A75">
              <w:rPr>
                <w:bCs/>
                <w:sz w:val="20"/>
                <w:szCs w:val="20"/>
              </w:rPr>
              <w:t>05</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23AD47FB" w14:textId="77777777" w:rsidR="00387142" w:rsidRPr="008B6A75" w:rsidRDefault="00387142" w:rsidP="00387142">
            <w:pPr>
              <w:jc w:val="center"/>
              <w:rPr>
                <w:bCs/>
                <w:sz w:val="20"/>
                <w:szCs w:val="20"/>
              </w:rPr>
            </w:pPr>
            <w:r w:rsidRPr="008B6A75">
              <w:rPr>
                <w:bCs/>
                <w:sz w:val="20"/>
                <w:szCs w:val="20"/>
              </w:rPr>
              <w:t>03</w:t>
            </w:r>
          </w:p>
        </w:tc>
        <w:tc>
          <w:tcPr>
            <w:tcW w:w="1411" w:type="dxa"/>
            <w:tcBorders>
              <w:top w:val="single" w:sz="4" w:space="0" w:color="auto"/>
              <w:left w:val="single" w:sz="4" w:space="0" w:color="auto"/>
              <w:bottom w:val="nil"/>
              <w:right w:val="nil"/>
            </w:tcBorders>
            <w:shd w:val="clear" w:color="auto" w:fill="auto"/>
            <w:noWrap/>
            <w:vAlign w:val="center"/>
            <w:hideMark/>
          </w:tcPr>
          <w:p w14:paraId="49AF21E1" w14:textId="77777777" w:rsidR="00387142" w:rsidRPr="008B6A75" w:rsidRDefault="00387142" w:rsidP="00387142">
            <w:pPr>
              <w:jc w:val="center"/>
              <w:rPr>
                <w:bCs/>
                <w:sz w:val="20"/>
                <w:szCs w:val="20"/>
              </w:rPr>
            </w:pPr>
            <w:r w:rsidRPr="008B6A75">
              <w:rPr>
                <w:bCs/>
                <w:sz w:val="20"/>
                <w:szCs w:val="20"/>
              </w:rPr>
              <w:t>14.0.00.79570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5EB38955" w14:textId="77777777" w:rsidR="00387142" w:rsidRPr="008B6A75" w:rsidRDefault="00387142" w:rsidP="00387142">
            <w:pPr>
              <w:jc w:val="center"/>
              <w:rPr>
                <w:bCs/>
                <w:sz w:val="20"/>
                <w:szCs w:val="20"/>
              </w:rPr>
            </w:pPr>
            <w:r w:rsidRPr="008B6A75">
              <w:rPr>
                <w:bCs/>
                <w:sz w:val="20"/>
                <w:szCs w:val="20"/>
              </w:rPr>
              <w:t> </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28A85E7E" w14:textId="77777777" w:rsidR="00387142" w:rsidRPr="008B6A75" w:rsidRDefault="00387142" w:rsidP="00387142">
            <w:pPr>
              <w:jc w:val="right"/>
              <w:rPr>
                <w:bCs/>
                <w:sz w:val="20"/>
                <w:szCs w:val="20"/>
              </w:rPr>
            </w:pPr>
            <w:r w:rsidRPr="008B6A75">
              <w:rPr>
                <w:bCs/>
                <w:sz w:val="20"/>
                <w:szCs w:val="20"/>
              </w:rPr>
              <w:t>118 791,00</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5E3DCEBB" w14:textId="77777777" w:rsidR="00387142" w:rsidRPr="008B6A75" w:rsidRDefault="00387142" w:rsidP="00387142">
            <w:pPr>
              <w:jc w:val="right"/>
              <w:rPr>
                <w:bCs/>
                <w:sz w:val="20"/>
                <w:szCs w:val="20"/>
              </w:rPr>
            </w:pPr>
            <w:r w:rsidRPr="008B6A75">
              <w:rPr>
                <w:bCs/>
                <w:sz w:val="20"/>
                <w:szCs w:val="20"/>
              </w:rPr>
              <w:t>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0430B64D" w14:textId="77777777" w:rsidR="00387142" w:rsidRPr="008B6A75" w:rsidRDefault="00387142" w:rsidP="00387142">
            <w:pPr>
              <w:jc w:val="right"/>
              <w:rPr>
                <w:bCs/>
                <w:sz w:val="20"/>
                <w:szCs w:val="20"/>
              </w:rPr>
            </w:pPr>
            <w:r w:rsidRPr="008B6A75">
              <w:rPr>
                <w:bCs/>
                <w:sz w:val="20"/>
                <w:szCs w:val="20"/>
              </w:rPr>
              <w:t>0,00</w:t>
            </w:r>
          </w:p>
        </w:tc>
        <w:tc>
          <w:tcPr>
            <w:tcW w:w="222" w:type="dxa"/>
            <w:vAlign w:val="center"/>
            <w:hideMark/>
          </w:tcPr>
          <w:p w14:paraId="5BCE5DB2" w14:textId="77777777" w:rsidR="00387142" w:rsidRPr="008B6A75" w:rsidRDefault="00387142" w:rsidP="00387142">
            <w:pPr>
              <w:rPr>
                <w:sz w:val="20"/>
                <w:szCs w:val="20"/>
              </w:rPr>
            </w:pPr>
          </w:p>
        </w:tc>
      </w:tr>
      <w:tr w:rsidR="00387142" w:rsidRPr="008B6A75" w14:paraId="7BC9D0B6" w14:textId="77777777" w:rsidTr="00387142">
        <w:trPr>
          <w:trHeight w:val="300"/>
        </w:trPr>
        <w:tc>
          <w:tcPr>
            <w:tcW w:w="3021" w:type="dxa"/>
            <w:tcBorders>
              <w:top w:val="single" w:sz="4" w:space="0" w:color="auto"/>
              <w:left w:val="single" w:sz="4" w:space="0" w:color="auto"/>
              <w:bottom w:val="nil"/>
              <w:right w:val="nil"/>
            </w:tcBorders>
            <w:shd w:val="clear" w:color="auto" w:fill="auto"/>
            <w:vAlign w:val="center"/>
            <w:hideMark/>
          </w:tcPr>
          <w:p w14:paraId="2A6BA9E3" w14:textId="77777777" w:rsidR="00387142" w:rsidRPr="008B6A75" w:rsidRDefault="00387142" w:rsidP="00387142">
            <w:pPr>
              <w:rPr>
                <w:sz w:val="20"/>
                <w:szCs w:val="20"/>
              </w:rPr>
            </w:pPr>
            <w:r w:rsidRPr="008B6A75">
              <w:rPr>
                <w:sz w:val="20"/>
                <w:szCs w:val="20"/>
              </w:rPr>
              <w:t>Межбюджетные трансферты</w:t>
            </w:r>
          </w:p>
        </w:tc>
        <w:tc>
          <w:tcPr>
            <w:tcW w:w="850" w:type="dxa"/>
            <w:tcBorders>
              <w:top w:val="single" w:sz="4" w:space="0" w:color="auto"/>
              <w:left w:val="single" w:sz="4" w:space="0" w:color="auto"/>
              <w:bottom w:val="nil"/>
              <w:right w:val="nil"/>
            </w:tcBorders>
            <w:shd w:val="clear" w:color="auto" w:fill="auto"/>
            <w:noWrap/>
            <w:vAlign w:val="center"/>
            <w:hideMark/>
          </w:tcPr>
          <w:p w14:paraId="7F6142ED" w14:textId="77777777" w:rsidR="00387142" w:rsidRPr="008B6A75" w:rsidRDefault="00387142" w:rsidP="00387142">
            <w:pPr>
              <w:jc w:val="center"/>
              <w:rPr>
                <w:sz w:val="20"/>
                <w:szCs w:val="20"/>
              </w:rPr>
            </w:pPr>
            <w:r w:rsidRPr="008B6A75">
              <w:rPr>
                <w:sz w:val="20"/>
                <w:szCs w:val="20"/>
              </w:rPr>
              <w:t>444</w:t>
            </w:r>
          </w:p>
        </w:tc>
        <w:tc>
          <w:tcPr>
            <w:tcW w:w="709" w:type="dxa"/>
            <w:tcBorders>
              <w:top w:val="single" w:sz="4" w:space="0" w:color="auto"/>
              <w:left w:val="single" w:sz="4" w:space="0" w:color="auto"/>
              <w:bottom w:val="nil"/>
              <w:right w:val="nil"/>
            </w:tcBorders>
            <w:shd w:val="clear" w:color="auto" w:fill="auto"/>
            <w:noWrap/>
            <w:vAlign w:val="center"/>
            <w:hideMark/>
          </w:tcPr>
          <w:p w14:paraId="515179A7" w14:textId="77777777" w:rsidR="00387142" w:rsidRPr="008B6A75" w:rsidRDefault="00387142" w:rsidP="00387142">
            <w:pPr>
              <w:jc w:val="center"/>
              <w:rPr>
                <w:sz w:val="20"/>
                <w:szCs w:val="20"/>
              </w:rPr>
            </w:pPr>
            <w:r w:rsidRPr="008B6A75">
              <w:rPr>
                <w:sz w:val="20"/>
                <w:szCs w:val="20"/>
              </w:rPr>
              <w:t>05</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3DB4E9BD" w14:textId="77777777" w:rsidR="00387142" w:rsidRPr="008B6A75" w:rsidRDefault="00387142" w:rsidP="00387142">
            <w:pPr>
              <w:jc w:val="center"/>
              <w:rPr>
                <w:sz w:val="20"/>
                <w:szCs w:val="20"/>
              </w:rPr>
            </w:pPr>
            <w:r w:rsidRPr="008B6A75">
              <w:rPr>
                <w:sz w:val="20"/>
                <w:szCs w:val="20"/>
              </w:rPr>
              <w:t>03</w:t>
            </w:r>
          </w:p>
        </w:tc>
        <w:tc>
          <w:tcPr>
            <w:tcW w:w="1411" w:type="dxa"/>
            <w:tcBorders>
              <w:top w:val="single" w:sz="4" w:space="0" w:color="auto"/>
              <w:left w:val="single" w:sz="4" w:space="0" w:color="auto"/>
              <w:bottom w:val="nil"/>
              <w:right w:val="nil"/>
            </w:tcBorders>
            <w:shd w:val="clear" w:color="auto" w:fill="auto"/>
            <w:noWrap/>
            <w:vAlign w:val="center"/>
            <w:hideMark/>
          </w:tcPr>
          <w:p w14:paraId="6077CAFB" w14:textId="77777777" w:rsidR="00387142" w:rsidRPr="008B6A75" w:rsidRDefault="00387142" w:rsidP="00387142">
            <w:pPr>
              <w:jc w:val="center"/>
              <w:rPr>
                <w:sz w:val="20"/>
                <w:szCs w:val="20"/>
              </w:rPr>
            </w:pPr>
            <w:r w:rsidRPr="008B6A75">
              <w:rPr>
                <w:sz w:val="20"/>
                <w:szCs w:val="20"/>
              </w:rPr>
              <w:t>14.0.00.79570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6EB2D86C" w14:textId="77777777" w:rsidR="00387142" w:rsidRPr="008B6A75" w:rsidRDefault="00387142" w:rsidP="00387142">
            <w:pPr>
              <w:jc w:val="center"/>
              <w:rPr>
                <w:sz w:val="20"/>
                <w:szCs w:val="20"/>
              </w:rPr>
            </w:pPr>
            <w:r w:rsidRPr="008B6A75">
              <w:rPr>
                <w:sz w:val="20"/>
                <w:szCs w:val="20"/>
              </w:rPr>
              <w:t>500</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5E258DE2" w14:textId="77777777" w:rsidR="00387142" w:rsidRPr="008B6A75" w:rsidRDefault="00387142" w:rsidP="00387142">
            <w:pPr>
              <w:jc w:val="right"/>
              <w:rPr>
                <w:sz w:val="20"/>
                <w:szCs w:val="20"/>
              </w:rPr>
            </w:pPr>
            <w:r w:rsidRPr="008B6A75">
              <w:rPr>
                <w:sz w:val="20"/>
                <w:szCs w:val="20"/>
              </w:rPr>
              <w:t>118 791,00</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61C1119C" w14:textId="77777777" w:rsidR="00387142" w:rsidRPr="008B6A75" w:rsidRDefault="00387142" w:rsidP="00387142">
            <w:pPr>
              <w:jc w:val="right"/>
              <w:rPr>
                <w:sz w:val="20"/>
                <w:szCs w:val="20"/>
              </w:rPr>
            </w:pPr>
            <w:r w:rsidRPr="008B6A75">
              <w:rPr>
                <w:sz w:val="20"/>
                <w:szCs w:val="20"/>
              </w:rPr>
              <w:t>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46CD66D6" w14:textId="77777777" w:rsidR="00387142" w:rsidRPr="008B6A75" w:rsidRDefault="00387142" w:rsidP="00387142">
            <w:pPr>
              <w:jc w:val="right"/>
              <w:rPr>
                <w:sz w:val="20"/>
                <w:szCs w:val="20"/>
              </w:rPr>
            </w:pPr>
            <w:r w:rsidRPr="008B6A75">
              <w:rPr>
                <w:sz w:val="20"/>
                <w:szCs w:val="20"/>
              </w:rPr>
              <w:t>0,00</w:t>
            </w:r>
          </w:p>
        </w:tc>
        <w:tc>
          <w:tcPr>
            <w:tcW w:w="222" w:type="dxa"/>
            <w:vAlign w:val="center"/>
            <w:hideMark/>
          </w:tcPr>
          <w:p w14:paraId="50EEFF6D" w14:textId="77777777" w:rsidR="00387142" w:rsidRPr="008B6A75" w:rsidRDefault="00387142" w:rsidP="00387142">
            <w:pPr>
              <w:rPr>
                <w:sz w:val="20"/>
                <w:szCs w:val="20"/>
              </w:rPr>
            </w:pPr>
          </w:p>
        </w:tc>
      </w:tr>
      <w:tr w:rsidR="00387142" w:rsidRPr="008B6A75" w14:paraId="6D37B59B" w14:textId="77777777" w:rsidTr="00387142">
        <w:trPr>
          <w:trHeight w:val="300"/>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0858C756" w14:textId="77777777" w:rsidR="00387142" w:rsidRPr="008B6A75" w:rsidRDefault="00387142" w:rsidP="00387142">
            <w:pPr>
              <w:rPr>
                <w:sz w:val="20"/>
                <w:szCs w:val="20"/>
              </w:rPr>
            </w:pPr>
            <w:r w:rsidRPr="008B6A75">
              <w:rPr>
                <w:sz w:val="20"/>
                <w:szCs w:val="20"/>
              </w:rPr>
              <w:t>Иные межбюджетные трансферты</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50E3F366" w14:textId="77777777" w:rsidR="00387142" w:rsidRPr="008B6A75" w:rsidRDefault="00387142" w:rsidP="00387142">
            <w:pPr>
              <w:jc w:val="center"/>
              <w:rPr>
                <w:sz w:val="20"/>
                <w:szCs w:val="20"/>
              </w:rPr>
            </w:pPr>
            <w:r w:rsidRPr="008B6A75">
              <w:rPr>
                <w:sz w:val="20"/>
                <w:szCs w:val="20"/>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53FD82FE" w14:textId="77777777" w:rsidR="00387142" w:rsidRPr="008B6A75" w:rsidRDefault="00387142" w:rsidP="00387142">
            <w:pPr>
              <w:jc w:val="center"/>
              <w:rPr>
                <w:sz w:val="20"/>
                <w:szCs w:val="20"/>
              </w:rPr>
            </w:pPr>
            <w:r w:rsidRPr="008B6A75">
              <w:rPr>
                <w:sz w:val="20"/>
                <w:szCs w:val="20"/>
              </w:rPr>
              <w:t>05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73C8A" w14:textId="77777777" w:rsidR="00387142" w:rsidRPr="008B6A75" w:rsidRDefault="00387142" w:rsidP="00387142">
            <w:pPr>
              <w:jc w:val="center"/>
              <w:rPr>
                <w:sz w:val="20"/>
                <w:szCs w:val="20"/>
              </w:rPr>
            </w:pPr>
            <w:r w:rsidRPr="008B6A75">
              <w:rPr>
                <w:sz w:val="20"/>
                <w:szCs w:val="20"/>
              </w:rPr>
              <w:t>03</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27FA540C" w14:textId="77777777" w:rsidR="00387142" w:rsidRPr="008B6A75" w:rsidRDefault="00387142" w:rsidP="00387142">
            <w:pPr>
              <w:jc w:val="center"/>
              <w:rPr>
                <w:sz w:val="20"/>
                <w:szCs w:val="20"/>
              </w:rPr>
            </w:pPr>
            <w:r w:rsidRPr="008B6A75">
              <w:rPr>
                <w:sz w:val="20"/>
                <w:szCs w:val="20"/>
              </w:rPr>
              <w:t>14.0.00.79570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772900" w14:textId="77777777" w:rsidR="00387142" w:rsidRPr="008B6A75" w:rsidRDefault="00387142" w:rsidP="00387142">
            <w:pPr>
              <w:jc w:val="center"/>
              <w:rPr>
                <w:sz w:val="20"/>
                <w:szCs w:val="20"/>
              </w:rPr>
            </w:pPr>
            <w:r w:rsidRPr="008B6A75">
              <w:rPr>
                <w:sz w:val="20"/>
                <w:szCs w:val="20"/>
              </w:rPr>
              <w:t>540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6CBA44" w14:textId="77777777" w:rsidR="00387142" w:rsidRPr="008B6A75" w:rsidRDefault="00387142" w:rsidP="00387142">
            <w:pPr>
              <w:jc w:val="right"/>
              <w:rPr>
                <w:sz w:val="20"/>
                <w:szCs w:val="20"/>
              </w:rPr>
            </w:pPr>
            <w:r w:rsidRPr="008B6A75">
              <w:rPr>
                <w:sz w:val="20"/>
                <w:szCs w:val="20"/>
              </w:rPr>
              <w:t>118 791,00</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1532B7AB" w14:textId="77777777" w:rsidR="00387142" w:rsidRPr="008B6A75" w:rsidRDefault="00387142" w:rsidP="00387142">
            <w:pPr>
              <w:jc w:val="right"/>
              <w:rPr>
                <w:sz w:val="20"/>
                <w:szCs w:val="20"/>
              </w:rPr>
            </w:pPr>
            <w:r w:rsidRPr="008B6A75">
              <w:rPr>
                <w:sz w:val="20"/>
                <w:szCs w:val="20"/>
              </w:rPr>
              <w:t>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BCE36D" w14:textId="77777777" w:rsidR="00387142" w:rsidRPr="008B6A75" w:rsidRDefault="00387142" w:rsidP="00387142">
            <w:pPr>
              <w:jc w:val="right"/>
              <w:rPr>
                <w:sz w:val="20"/>
                <w:szCs w:val="20"/>
              </w:rPr>
            </w:pPr>
            <w:r w:rsidRPr="008B6A75">
              <w:rPr>
                <w:sz w:val="20"/>
                <w:szCs w:val="20"/>
              </w:rPr>
              <w:t>0,00</w:t>
            </w:r>
          </w:p>
        </w:tc>
        <w:tc>
          <w:tcPr>
            <w:tcW w:w="222" w:type="dxa"/>
            <w:vAlign w:val="center"/>
            <w:hideMark/>
          </w:tcPr>
          <w:p w14:paraId="4A6DB14D" w14:textId="77777777" w:rsidR="00387142" w:rsidRPr="008B6A75" w:rsidRDefault="00387142" w:rsidP="00387142">
            <w:pPr>
              <w:rPr>
                <w:sz w:val="20"/>
                <w:szCs w:val="20"/>
              </w:rPr>
            </w:pPr>
          </w:p>
        </w:tc>
      </w:tr>
      <w:tr w:rsidR="00387142" w:rsidRPr="008B6A75" w14:paraId="45F6960A" w14:textId="77777777" w:rsidTr="00387142">
        <w:trPr>
          <w:trHeight w:val="870"/>
        </w:trPr>
        <w:tc>
          <w:tcPr>
            <w:tcW w:w="3021" w:type="dxa"/>
            <w:tcBorders>
              <w:top w:val="nil"/>
              <w:left w:val="single" w:sz="4" w:space="0" w:color="auto"/>
              <w:bottom w:val="nil"/>
              <w:right w:val="nil"/>
            </w:tcBorders>
            <w:shd w:val="clear" w:color="auto" w:fill="auto"/>
            <w:vAlign w:val="center"/>
            <w:hideMark/>
          </w:tcPr>
          <w:p w14:paraId="0D3EE4F6" w14:textId="77777777" w:rsidR="00387142" w:rsidRPr="008B6A75" w:rsidRDefault="00387142" w:rsidP="00387142">
            <w:pPr>
              <w:rPr>
                <w:bCs/>
                <w:sz w:val="20"/>
                <w:szCs w:val="20"/>
              </w:rPr>
            </w:pPr>
            <w:r w:rsidRPr="008B6A75">
              <w:rPr>
                <w:bCs/>
                <w:sz w:val="20"/>
                <w:szCs w:val="20"/>
              </w:rPr>
              <w:t>Муниципальная программа "Жилищно-коммунальное хозяйство Куйбышевского района"</w:t>
            </w:r>
          </w:p>
        </w:tc>
        <w:tc>
          <w:tcPr>
            <w:tcW w:w="850" w:type="dxa"/>
            <w:tcBorders>
              <w:top w:val="nil"/>
              <w:left w:val="single" w:sz="4" w:space="0" w:color="auto"/>
              <w:bottom w:val="nil"/>
              <w:right w:val="nil"/>
            </w:tcBorders>
            <w:shd w:val="clear" w:color="auto" w:fill="auto"/>
            <w:noWrap/>
            <w:vAlign w:val="center"/>
            <w:hideMark/>
          </w:tcPr>
          <w:p w14:paraId="40E26957" w14:textId="77777777" w:rsidR="00387142" w:rsidRPr="008B6A75" w:rsidRDefault="00387142" w:rsidP="00387142">
            <w:pPr>
              <w:jc w:val="center"/>
              <w:rPr>
                <w:bCs/>
                <w:sz w:val="20"/>
                <w:szCs w:val="20"/>
              </w:rPr>
            </w:pPr>
            <w:r w:rsidRPr="008B6A75">
              <w:rPr>
                <w:bCs/>
                <w:sz w:val="20"/>
                <w:szCs w:val="20"/>
              </w:rPr>
              <w:t>444</w:t>
            </w:r>
          </w:p>
        </w:tc>
        <w:tc>
          <w:tcPr>
            <w:tcW w:w="709" w:type="dxa"/>
            <w:tcBorders>
              <w:top w:val="nil"/>
              <w:left w:val="single" w:sz="4" w:space="0" w:color="auto"/>
              <w:bottom w:val="nil"/>
              <w:right w:val="nil"/>
            </w:tcBorders>
            <w:shd w:val="clear" w:color="auto" w:fill="auto"/>
            <w:noWrap/>
            <w:vAlign w:val="center"/>
            <w:hideMark/>
          </w:tcPr>
          <w:p w14:paraId="48EFFC61" w14:textId="77777777" w:rsidR="00387142" w:rsidRPr="008B6A75" w:rsidRDefault="00387142" w:rsidP="00387142">
            <w:pPr>
              <w:jc w:val="center"/>
              <w:rPr>
                <w:bCs/>
                <w:sz w:val="20"/>
                <w:szCs w:val="20"/>
              </w:rPr>
            </w:pPr>
            <w:r w:rsidRPr="008B6A75">
              <w:rPr>
                <w:bCs/>
                <w:sz w:val="20"/>
                <w:szCs w:val="20"/>
              </w:rPr>
              <w:t>05</w:t>
            </w:r>
          </w:p>
        </w:tc>
        <w:tc>
          <w:tcPr>
            <w:tcW w:w="709" w:type="dxa"/>
            <w:tcBorders>
              <w:top w:val="nil"/>
              <w:left w:val="single" w:sz="4" w:space="0" w:color="auto"/>
              <w:bottom w:val="nil"/>
              <w:right w:val="single" w:sz="4" w:space="0" w:color="auto"/>
            </w:tcBorders>
            <w:shd w:val="clear" w:color="auto" w:fill="auto"/>
            <w:noWrap/>
            <w:vAlign w:val="center"/>
            <w:hideMark/>
          </w:tcPr>
          <w:p w14:paraId="39B203E8" w14:textId="77777777" w:rsidR="00387142" w:rsidRPr="008B6A75" w:rsidRDefault="00387142" w:rsidP="00387142">
            <w:pPr>
              <w:jc w:val="center"/>
              <w:rPr>
                <w:bCs/>
                <w:sz w:val="20"/>
                <w:szCs w:val="20"/>
              </w:rPr>
            </w:pPr>
            <w:r w:rsidRPr="008B6A75">
              <w:rPr>
                <w:bCs/>
                <w:sz w:val="20"/>
                <w:szCs w:val="20"/>
              </w:rPr>
              <w:t>03</w:t>
            </w:r>
          </w:p>
        </w:tc>
        <w:tc>
          <w:tcPr>
            <w:tcW w:w="1411" w:type="dxa"/>
            <w:tcBorders>
              <w:top w:val="nil"/>
              <w:left w:val="single" w:sz="4" w:space="0" w:color="auto"/>
              <w:bottom w:val="nil"/>
              <w:right w:val="nil"/>
            </w:tcBorders>
            <w:shd w:val="clear" w:color="auto" w:fill="auto"/>
            <w:noWrap/>
            <w:vAlign w:val="center"/>
            <w:hideMark/>
          </w:tcPr>
          <w:p w14:paraId="7D4CBFFB" w14:textId="77777777" w:rsidR="00387142" w:rsidRPr="008B6A75" w:rsidRDefault="00387142" w:rsidP="00387142">
            <w:pPr>
              <w:jc w:val="center"/>
              <w:rPr>
                <w:bCs/>
                <w:sz w:val="20"/>
                <w:szCs w:val="20"/>
              </w:rPr>
            </w:pPr>
            <w:r w:rsidRPr="008B6A75">
              <w:rPr>
                <w:bCs/>
                <w:sz w:val="20"/>
                <w:szCs w:val="20"/>
              </w:rPr>
              <w:t>17.0.00.00000</w:t>
            </w:r>
          </w:p>
        </w:tc>
        <w:tc>
          <w:tcPr>
            <w:tcW w:w="955" w:type="dxa"/>
            <w:tcBorders>
              <w:top w:val="nil"/>
              <w:left w:val="single" w:sz="4" w:space="0" w:color="auto"/>
              <w:bottom w:val="nil"/>
              <w:right w:val="single" w:sz="4" w:space="0" w:color="auto"/>
            </w:tcBorders>
            <w:shd w:val="clear" w:color="auto" w:fill="auto"/>
            <w:noWrap/>
            <w:vAlign w:val="center"/>
            <w:hideMark/>
          </w:tcPr>
          <w:p w14:paraId="046E052F"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nil"/>
              <w:right w:val="single" w:sz="4" w:space="0" w:color="auto"/>
            </w:tcBorders>
            <w:shd w:val="clear" w:color="auto" w:fill="auto"/>
            <w:noWrap/>
            <w:vAlign w:val="center"/>
            <w:hideMark/>
          </w:tcPr>
          <w:p w14:paraId="0BC99F70" w14:textId="77777777" w:rsidR="00387142" w:rsidRPr="008B6A75" w:rsidRDefault="00387142" w:rsidP="00387142">
            <w:pPr>
              <w:jc w:val="right"/>
              <w:rPr>
                <w:bCs/>
                <w:sz w:val="20"/>
                <w:szCs w:val="20"/>
              </w:rPr>
            </w:pPr>
            <w:r w:rsidRPr="008B6A75">
              <w:rPr>
                <w:bCs/>
                <w:sz w:val="20"/>
                <w:szCs w:val="20"/>
              </w:rPr>
              <w:t>33 432 073,54</w:t>
            </w:r>
          </w:p>
        </w:tc>
        <w:tc>
          <w:tcPr>
            <w:tcW w:w="992" w:type="dxa"/>
            <w:gridSpan w:val="2"/>
            <w:tcBorders>
              <w:top w:val="nil"/>
              <w:left w:val="single" w:sz="4" w:space="0" w:color="auto"/>
              <w:bottom w:val="nil"/>
              <w:right w:val="nil"/>
            </w:tcBorders>
            <w:shd w:val="clear" w:color="auto" w:fill="auto"/>
            <w:noWrap/>
            <w:vAlign w:val="center"/>
            <w:hideMark/>
          </w:tcPr>
          <w:p w14:paraId="50F64A7A" w14:textId="77777777" w:rsidR="00387142" w:rsidRPr="008B6A75" w:rsidRDefault="00387142" w:rsidP="00387142">
            <w:pPr>
              <w:jc w:val="right"/>
              <w:rPr>
                <w:bCs/>
                <w:sz w:val="20"/>
                <w:szCs w:val="20"/>
              </w:rPr>
            </w:pPr>
            <w:r w:rsidRPr="008B6A75">
              <w:rPr>
                <w:bCs/>
                <w:sz w:val="20"/>
                <w:szCs w:val="20"/>
              </w:rPr>
              <w:t>16 928 200,00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13940C68" w14:textId="77777777" w:rsidR="00387142" w:rsidRPr="008B6A75" w:rsidRDefault="00387142" w:rsidP="00387142">
            <w:pPr>
              <w:jc w:val="right"/>
              <w:rPr>
                <w:bCs/>
                <w:sz w:val="20"/>
                <w:szCs w:val="20"/>
              </w:rPr>
            </w:pPr>
            <w:r w:rsidRPr="008B6A75">
              <w:rPr>
                <w:bCs/>
                <w:sz w:val="20"/>
                <w:szCs w:val="20"/>
              </w:rPr>
              <w:t>19 361 900,00</w:t>
            </w:r>
          </w:p>
        </w:tc>
        <w:tc>
          <w:tcPr>
            <w:tcW w:w="222" w:type="dxa"/>
            <w:vAlign w:val="center"/>
            <w:hideMark/>
          </w:tcPr>
          <w:p w14:paraId="31AC9C57" w14:textId="77777777" w:rsidR="00387142" w:rsidRPr="008B6A75" w:rsidRDefault="00387142" w:rsidP="00387142">
            <w:pPr>
              <w:rPr>
                <w:sz w:val="20"/>
                <w:szCs w:val="20"/>
              </w:rPr>
            </w:pPr>
          </w:p>
        </w:tc>
      </w:tr>
      <w:tr w:rsidR="00387142" w:rsidRPr="008B6A75" w14:paraId="53AAD52E" w14:textId="77777777" w:rsidTr="00387142">
        <w:trPr>
          <w:trHeight w:val="585"/>
        </w:trPr>
        <w:tc>
          <w:tcPr>
            <w:tcW w:w="3021" w:type="dxa"/>
            <w:tcBorders>
              <w:top w:val="single" w:sz="4" w:space="0" w:color="auto"/>
              <w:left w:val="single" w:sz="4" w:space="0" w:color="auto"/>
              <w:bottom w:val="nil"/>
              <w:right w:val="nil"/>
            </w:tcBorders>
            <w:shd w:val="clear" w:color="auto" w:fill="auto"/>
            <w:vAlign w:val="center"/>
            <w:hideMark/>
          </w:tcPr>
          <w:p w14:paraId="1FE6CEB5" w14:textId="77777777" w:rsidR="00387142" w:rsidRPr="008B6A75" w:rsidRDefault="00387142" w:rsidP="00387142">
            <w:pPr>
              <w:rPr>
                <w:bCs/>
                <w:sz w:val="20"/>
                <w:szCs w:val="20"/>
              </w:rPr>
            </w:pPr>
            <w:r w:rsidRPr="008B6A75">
              <w:rPr>
                <w:bCs/>
                <w:sz w:val="20"/>
                <w:szCs w:val="20"/>
              </w:rPr>
              <w:t>Подпрограмма "Благоустройство территории населённых пунктов Куйбышевского района"</w:t>
            </w:r>
          </w:p>
        </w:tc>
        <w:tc>
          <w:tcPr>
            <w:tcW w:w="850" w:type="dxa"/>
            <w:tcBorders>
              <w:top w:val="single" w:sz="4" w:space="0" w:color="auto"/>
              <w:left w:val="single" w:sz="4" w:space="0" w:color="auto"/>
              <w:bottom w:val="nil"/>
              <w:right w:val="nil"/>
            </w:tcBorders>
            <w:shd w:val="clear" w:color="auto" w:fill="auto"/>
            <w:noWrap/>
            <w:vAlign w:val="center"/>
            <w:hideMark/>
          </w:tcPr>
          <w:p w14:paraId="7494BDC2" w14:textId="77777777" w:rsidR="00387142" w:rsidRPr="008B6A75" w:rsidRDefault="00387142" w:rsidP="00387142">
            <w:pPr>
              <w:jc w:val="center"/>
              <w:rPr>
                <w:bCs/>
                <w:sz w:val="20"/>
                <w:szCs w:val="20"/>
              </w:rPr>
            </w:pPr>
            <w:r w:rsidRPr="008B6A75">
              <w:rPr>
                <w:bCs/>
                <w:sz w:val="20"/>
                <w:szCs w:val="20"/>
              </w:rPr>
              <w:t>444</w:t>
            </w:r>
          </w:p>
        </w:tc>
        <w:tc>
          <w:tcPr>
            <w:tcW w:w="709" w:type="dxa"/>
            <w:tcBorders>
              <w:top w:val="single" w:sz="4" w:space="0" w:color="auto"/>
              <w:left w:val="single" w:sz="4" w:space="0" w:color="auto"/>
              <w:bottom w:val="nil"/>
              <w:right w:val="nil"/>
            </w:tcBorders>
            <w:shd w:val="clear" w:color="auto" w:fill="auto"/>
            <w:noWrap/>
            <w:vAlign w:val="center"/>
            <w:hideMark/>
          </w:tcPr>
          <w:p w14:paraId="0940AAAC" w14:textId="77777777" w:rsidR="00387142" w:rsidRPr="008B6A75" w:rsidRDefault="00387142" w:rsidP="00387142">
            <w:pPr>
              <w:jc w:val="center"/>
              <w:rPr>
                <w:bCs/>
                <w:sz w:val="20"/>
                <w:szCs w:val="20"/>
              </w:rPr>
            </w:pPr>
            <w:r w:rsidRPr="008B6A75">
              <w:rPr>
                <w:bCs/>
                <w:sz w:val="20"/>
                <w:szCs w:val="20"/>
              </w:rPr>
              <w:t>05</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10E0513E" w14:textId="77777777" w:rsidR="00387142" w:rsidRPr="008B6A75" w:rsidRDefault="00387142" w:rsidP="00387142">
            <w:pPr>
              <w:jc w:val="center"/>
              <w:rPr>
                <w:bCs/>
                <w:sz w:val="20"/>
                <w:szCs w:val="20"/>
              </w:rPr>
            </w:pPr>
            <w:r w:rsidRPr="008B6A75">
              <w:rPr>
                <w:bCs/>
                <w:sz w:val="20"/>
                <w:szCs w:val="20"/>
              </w:rPr>
              <w:t>03</w:t>
            </w:r>
          </w:p>
        </w:tc>
        <w:tc>
          <w:tcPr>
            <w:tcW w:w="1411" w:type="dxa"/>
            <w:tcBorders>
              <w:top w:val="single" w:sz="4" w:space="0" w:color="auto"/>
              <w:left w:val="single" w:sz="4" w:space="0" w:color="auto"/>
              <w:bottom w:val="nil"/>
              <w:right w:val="nil"/>
            </w:tcBorders>
            <w:shd w:val="clear" w:color="auto" w:fill="auto"/>
            <w:noWrap/>
            <w:vAlign w:val="center"/>
            <w:hideMark/>
          </w:tcPr>
          <w:p w14:paraId="08997950" w14:textId="77777777" w:rsidR="00387142" w:rsidRPr="008B6A75" w:rsidRDefault="00387142" w:rsidP="00387142">
            <w:pPr>
              <w:jc w:val="center"/>
              <w:rPr>
                <w:bCs/>
                <w:sz w:val="20"/>
                <w:szCs w:val="20"/>
              </w:rPr>
            </w:pPr>
            <w:r w:rsidRPr="008B6A75">
              <w:rPr>
                <w:bCs/>
                <w:sz w:val="20"/>
                <w:szCs w:val="20"/>
              </w:rPr>
              <w:t>17.2.00.00000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02CFB7FA" w14:textId="77777777" w:rsidR="00387142" w:rsidRPr="008B6A75" w:rsidRDefault="00387142" w:rsidP="00387142">
            <w:pPr>
              <w:jc w:val="center"/>
              <w:rPr>
                <w:bCs/>
                <w:sz w:val="20"/>
                <w:szCs w:val="20"/>
              </w:rPr>
            </w:pPr>
            <w:r w:rsidRPr="008B6A75">
              <w:rPr>
                <w:bCs/>
                <w:sz w:val="20"/>
                <w:szCs w:val="20"/>
              </w:rPr>
              <w:t> </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75D190FD" w14:textId="77777777" w:rsidR="00387142" w:rsidRPr="008B6A75" w:rsidRDefault="00387142" w:rsidP="00387142">
            <w:pPr>
              <w:jc w:val="right"/>
              <w:rPr>
                <w:bCs/>
                <w:sz w:val="20"/>
                <w:szCs w:val="20"/>
              </w:rPr>
            </w:pPr>
            <w:r w:rsidRPr="008B6A75">
              <w:rPr>
                <w:bCs/>
                <w:sz w:val="20"/>
                <w:szCs w:val="20"/>
              </w:rPr>
              <w:t>33 432 073,54</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03B42956" w14:textId="77777777" w:rsidR="00387142" w:rsidRPr="008B6A75" w:rsidRDefault="00387142" w:rsidP="00387142">
            <w:pPr>
              <w:jc w:val="right"/>
              <w:rPr>
                <w:bCs/>
                <w:sz w:val="20"/>
                <w:szCs w:val="20"/>
              </w:rPr>
            </w:pPr>
            <w:r w:rsidRPr="008B6A75">
              <w:rPr>
                <w:bCs/>
                <w:sz w:val="20"/>
                <w:szCs w:val="20"/>
              </w:rPr>
              <w:t>16 928 200,00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31A2702E" w14:textId="77777777" w:rsidR="00387142" w:rsidRPr="008B6A75" w:rsidRDefault="00387142" w:rsidP="00387142">
            <w:pPr>
              <w:jc w:val="right"/>
              <w:rPr>
                <w:bCs/>
                <w:sz w:val="20"/>
                <w:szCs w:val="20"/>
              </w:rPr>
            </w:pPr>
            <w:r w:rsidRPr="008B6A75">
              <w:rPr>
                <w:bCs/>
                <w:sz w:val="20"/>
                <w:szCs w:val="20"/>
              </w:rPr>
              <w:t>19 361 900,00</w:t>
            </w:r>
          </w:p>
        </w:tc>
        <w:tc>
          <w:tcPr>
            <w:tcW w:w="222" w:type="dxa"/>
            <w:vAlign w:val="center"/>
            <w:hideMark/>
          </w:tcPr>
          <w:p w14:paraId="3FB6676F" w14:textId="77777777" w:rsidR="00387142" w:rsidRPr="008B6A75" w:rsidRDefault="00387142" w:rsidP="00387142">
            <w:pPr>
              <w:rPr>
                <w:sz w:val="20"/>
                <w:szCs w:val="20"/>
              </w:rPr>
            </w:pPr>
          </w:p>
        </w:tc>
      </w:tr>
      <w:tr w:rsidR="00387142" w:rsidRPr="008B6A75" w14:paraId="7F5F7E46" w14:textId="77777777" w:rsidTr="00387142">
        <w:trPr>
          <w:trHeight w:val="870"/>
        </w:trPr>
        <w:tc>
          <w:tcPr>
            <w:tcW w:w="3021" w:type="dxa"/>
            <w:tcBorders>
              <w:top w:val="single" w:sz="4" w:space="0" w:color="auto"/>
              <w:left w:val="single" w:sz="4" w:space="0" w:color="auto"/>
              <w:bottom w:val="nil"/>
              <w:right w:val="nil"/>
            </w:tcBorders>
            <w:shd w:val="clear" w:color="auto" w:fill="auto"/>
            <w:vAlign w:val="center"/>
            <w:hideMark/>
          </w:tcPr>
          <w:p w14:paraId="5BC126F7" w14:textId="77777777" w:rsidR="00387142" w:rsidRPr="008B6A75" w:rsidRDefault="00387142" w:rsidP="00387142">
            <w:pPr>
              <w:rPr>
                <w:bCs/>
                <w:sz w:val="20"/>
                <w:szCs w:val="20"/>
              </w:rPr>
            </w:pPr>
            <w:r w:rsidRPr="008B6A75">
              <w:rPr>
                <w:bCs/>
                <w:sz w:val="20"/>
                <w:szCs w:val="20"/>
              </w:rPr>
              <w:t>Реализация мероприятий подпрограммы "Благоустройство территории населённых пунктов Куйбышевского района"</w:t>
            </w:r>
          </w:p>
        </w:tc>
        <w:tc>
          <w:tcPr>
            <w:tcW w:w="850" w:type="dxa"/>
            <w:tcBorders>
              <w:top w:val="single" w:sz="4" w:space="0" w:color="auto"/>
              <w:left w:val="single" w:sz="4" w:space="0" w:color="auto"/>
              <w:bottom w:val="nil"/>
              <w:right w:val="nil"/>
            </w:tcBorders>
            <w:shd w:val="clear" w:color="auto" w:fill="auto"/>
            <w:noWrap/>
            <w:vAlign w:val="center"/>
            <w:hideMark/>
          </w:tcPr>
          <w:p w14:paraId="1C00C918" w14:textId="77777777" w:rsidR="00387142" w:rsidRPr="008B6A75" w:rsidRDefault="00387142" w:rsidP="00387142">
            <w:pPr>
              <w:jc w:val="center"/>
              <w:rPr>
                <w:bCs/>
                <w:sz w:val="20"/>
                <w:szCs w:val="20"/>
              </w:rPr>
            </w:pPr>
            <w:r w:rsidRPr="008B6A75">
              <w:rPr>
                <w:bCs/>
                <w:sz w:val="20"/>
                <w:szCs w:val="20"/>
              </w:rPr>
              <w:t>444</w:t>
            </w:r>
          </w:p>
        </w:tc>
        <w:tc>
          <w:tcPr>
            <w:tcW w:w="709" w:type="dxa"/>
            <w:tcBorders>
              <w:top w:val="single" w:sz="4" w:space="0" w:color="auto"/>
              <w:left w:val="single" w:sz="4" w:space="0" w:color="auto"/>
              <w:bottom w:val="nil"/>
              <w:right w:val="nil"/>
            </w:tcBorders>
            <w:shd w:val="clear" w:color="auto" w:fill="auto"/>
            <w:noWrap/>
            <w:vAlign w:val="center"/>
            <w:hideMark/>
          </w:tcPr>
          <w:p w14:paraId="652F5EC1" w14:textId="77777777" w:rsidR="00387142" w:rsidRPr="008B6A75" w:rsidRDefault="00387142" w:rsidP="00387142">
            <w:pPr>
              <w:jc w:val="center"/>
              <w:rPr>
                <w:bCs/>
                <w:sz w:val="20"/>
                <w:szCs w:val="20"/>
              </w:rPr>
            </w:pPr>
            <w:r w:rsidRPr="008B6A75">
              <w:rPr>
                <w:bCs/>
                <w:sz w:val="20"/>
                <w:szCs w:val="20"/>
              </w:rPr>
              <w:t>05</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6553056D" w14:textId="77777777" w:rsidR="00387142" w:rsidRPr="008B6A75" w:rsidRDefault="00387142" w:rsidP="00387142">
            <w:pPr>
              <w:jc w:val="center"/>
              <w:rPr>
                <w:bCs/>
                <w:sz w:val="20"/>
                <w:szCs w:val="20"/>
              </w:rPr>
            </w:pPr>
            <w:r w:rsidRPr="008B6A75">
              <w:rPr>
                <w:bCs/>
                <w:sz w:val="20"/>
                <w:szCs w:val="20"/>
              </w:rPr>
              <w:t>03</w:t>
            </w:r>
          </w:p>
        </w:tc>
        <w:tc>
          <w:tcPr>
            <w:tcW w:w="1411" w:type="dxa"/>
            <w:tcBorders>
              <w:top w:val="single" w:sz="4" w:space="0" w:color="auto"/>
              <w:left w:val="single" w:sz="4" w:space="0" w:color="auto"/>
              <w:bottom w:val="nil"/>
              <w:right w:val="nil"/>
            </w:tcBorders>
            <w:shd w:val="clear" w:color="auto" w:fill="auto"/>
            <w:noWrap/>
            <w:vAlign w:val="center"/>
            <w:hideMark/>
          </w:tcPr>
          <w:p w14:paraId="3D041558" w14:textId="77777777" w:rsidR="00387142" w:rsidRPr="008B6A75" w:rsidRDefault="00387142" w:rsidP="00387142">
            <w:pPr>
              <w:jc w:val="center"/>
              <w:rPr>
                <w:bCs/>
                <w:sz w:val="20"/>
                <w:szCs w:val="20"/>
              </w:rPr>
            </w:pPr>
            <w:r w:rsidRPr="008B6A75">
              <w:rPr>
                <w:bCs/>
                <w:sz w:val="20"/>
                <w:szCs w:val="20"/>
              </w:rPr>
              <w:t>17.2.00.05952</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60B39647" w14:textId="77777777" w:rsidR="00387142" w:rsidRPr="008B6A75" w:rsidRDefault="00387142" w:rsidP="00387142">
            <w:pPr>
              <w:jc w:val="center"/>
              <w:rPr>
                <w:bCs/>
                <w:sz w:val="20"/>
                <w:szCs w:val="20"/>
              </w:rPr>
            </w:pPr>
            <w:r w:rsidRPr="008B6A75">
              <w:rPr>
                <w:bCs/>
                <w:sz w:val="20"/>
                <w:szCs w:val="20"/>
              </w:rPr>
              <w:t> </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6498FC4E" w14:textId="77777777" w:rsidR="00387142" w:rsidRPr="008B6A75" w:rsidRDefault="00387142" w:rsidP="00387142">
            <w:pPr>
              <w:jc w:val="right"/>
              <w:rPr>
                <w:bCs/>
                <w:sz w:val="20"/>
                <w:szCs w:val="20"/>
              </w:rPr>
            </w:pPr>
            <w:r w:rsidRPr="008B6A75">
              <w:rPr>
                <w:bCs/>
                <w:sz w:val="20"/>
                <w:szCs w:val="20"/>
              </w:rPr>
              <w:t>988 900,00</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5C14265C" w14:textId="77777777" w:rsidR="00387142" w:rsidRPr="008B6A75" w:rsidRDefault="00387142" w:rsidP="00387142">
            <w:pPr>
              <w:jc w:val="right"/>
              <w:rPr>
                <w:bCs/>
                <w:sz w:val="20"/>
                <w:szCs w:val="20"/>
              </w:rPr>
            </w:pPr>
            <w:r w:rsidRPr="008B6A75">
              <w:rPr>
                <w:bCs/>
                <w:sz w:val="20"/>
                <w:szCs w:val="20"/>
              </w:rPr>
              <w:t>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0C107217" w14:textId="77777777" w:rsidR="00387142" w:rsidRPr="008B6A75" w:rsidRDefault="00387142" w:rsidP="00387142">
            <w:pPr>
              <w:jc w:val="right"/>
              <w:rPr>
                <w:bCs/>
                <w:sz w:val="20"/>
                <w:szCs w:val="20"/>
              </w:rPr>
            </w:pPr>
            <w:r w:rsidRPr="008B6A75">
              <w:rPr>
                <w:bCs/>
                <w:sz w:val="20"/>
                <w:szCs w:val="20"/>
              </w:rPr>
              <w:t>0,00</w:t>
            </w:r>
          </w:p>
        </w:tc>
        <w:tc>
          <w:tcPr>
            <w:tcW w:w="222" w:type="dxa"/>
            <w:vAlign w:val="center"/>
            <w:hideMark/>
          </w:tcPr>
          <w:p w14:paraId="6DF58796" w14:textId="77777777" w:rsidR="00387142" w:rsidRPr="008B6A75" w:rsidRDefault="00387142" w:rsidP="00387142">
            <w:pPr>
              <w:rPr>
                <w:sz w:val="20"/>
                <w:szCs w:val="20"/>
              </w:rPr>
            </w:pPr>
          </w:p>
        </w:tc>
      </w:tr>
      <w:tr w:rsidR="00387142" w:rsidRPr="008B6A75" w14:paraId="38EA2FFD" w14:textId="77777777" w:rsidTr="00387142">
        <w:trPr>
          <w:trHeight w:val="300"/>
        </w:trPr>
        <w:tc>
          <w:tcPr>
            <w:tcW w:w="3021" w:type="dxa"/>
            <w:tcBorders>
              <w:top w:val="single" w:sz="4" w:space="0" w:color="auto"/>
              <w:left w:val="single" w:sz="4" w:space="0" w:color="auto"/>
              <w:bottom w:val="nil"/>
              <w:right w:val="nil"/>
            </w:tcBorders>
            <w:shd w:val="clear" w:color="auto" w:fill="auto"/>
            <w:vAlign w:val="center"/>
            <w:hideMark/>
          </w:tcPr>
          <w:p w14:paraId="0D7C3C25" w14:textId="77777777" w:rsidR="00387142" w:rsidRPr="008B6A75" w:rsidRDefault="00387142" w:rsidP="00387142">
            <w:pPr>
              <w:rPr>
                <w:sz w:val="20"/>
                <w:szCs w:val="20"/>
              </w:rPr>
            </w:pPr>
            <w:r w:rsidRPr="008B6A75">
              <w:rPr>
                <w:sz w:val="20"/>
                <w:szCs w:val="20"/>
              </w:rPr>
              <w:t>Межбюджетные трансферты</w:t>
            </w:r>
          </w:p>
        </w:tc>
        <w:tc>
          <w:tcPr>
            <w:tcW w:w="850" w:type="dxa"/>
            <w:tcBorders>
              <w:top w:val="single" w:sz="4" w:space="0" w:color="auto"/>
              <w:left w:val="single" w:sz="4" w:space="0" w:color="auto"/>
              <w:bottom w:val="nil"/>
              <w:right w:val="nil"/>
            </w:tcBorders>
            <w:shd w:val="clear" w:color="auto" w:fill="auto"/>
            <w:noWrap/>
            <w:vAlign w:val="center"/>
            <w:hideMark/>
          </w:tcPr>
          <w:p w14:paraId="721BFC87" w14:textId="77777777" w:rsidR="00387142" w:rsidRPr="008B6A75" w:rsidRDefault="00387142" w:rsidP="00387142">
            <w:pPr>
              <w:jc w:val="center"/>
              <w:rPr>
                <w:sz w:val="20"/>
                <w:szCs w:val="20"/>
              </w:rPr>
            </w:pPr>
            <w:r w:rsidRPr="008B6A75">
              <w:rPr>
                <w:sz w:val="20"/>
                <w:szCs w:val="20"/>
              </w:rPr>
              <w:t>444</w:t>
            </w:r>
          </w:p>
        </w:tc>
        <w:tc>
          <w:tcPr>
            <w:tcW w:w="709" w:type="dxa"/>
            <w:tcBorders>
              <w:top w:val="single" w:sz="4" w:space="0" w:color="auto"/>
              <w:left w:val="single" w:sz="4" w:space="0" w:color="auto"/>
              <w:bottom w:val="nil"/>
              <w:right w:val="nil"/>
            </w:tcBorders>
            <w:shd w:val="clear" w:color="auto" w:fill="auto"/>
            <w:noWrap/>
            <w:vAlign w:val="center"/>
            <w:hideMark/>
          </w:tcPr>
          <w:p w14:paraId="36B3C3E0" w14:textId="77777777" w:rsidR="00387142" w:rsidRPr="008B6A75" w:rsidRDefault="00387142" w:rsidP="00387142">
            <w:pPr>
              <w:jc w:val="center"/>
              <w:rPr>
                <w:sz w:val="20"/>
                <w:szCs w:val="20"/>
              </w:rPr>
            </w:pPr>
            <w:r w:rsidRPr="008B6A75">
              <w:rPr>
                <w:sz w:val="20"/>
                <w:szCs w:val="20"/>
              </w:rPr>
              <w:t>05</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296E3388" w14:textId="77777777" w:rsidR="00387142" w:rsidRPr="008B6A75" w:rsidRDefault="00387142" w:rsidP="00387142">
            <w:pPr>
              <w:jc w:val="center"/>
              <w:rPr>
                <w:sz w:val="20"/>
                <w:szCs w:val="20"/>
              </w:rPr>
            </w:pPr>
            <w:r w:rsidRPr="008B6A75">
              <w:rPr>
                <w:sz w:val="20"/>
                <w:szCs w:val="20"/>
              </w:rPr>
              <w:t>03</w:t>
            </w:r>
          </w:p>
        </w:tc>
        <w:tc>
          <w:tcPr>
            <w:tcW w:w="1411" w:type="dxa"/>
            <w:tcBorders>
              <w:top w:val="single" w:sz="4" w:space="0" w:color="auto"/>
              <w:left w:val="single" w:sz="4" w:space="0" w:color="auto"/>
              <w:bottom w:val="nil"/>
              <w:right w:val="nil"/>
            </w:tcBorders>
            <w:shd w:val="clear" w:color="auto" w:fill="auto"/>
            <w:noWrap/>
            <w:vAlign w:val="center"/>
            <w:hideMark/>
          </w:tcPr>
          <w:p w14:paraId="03BBA301" w14:textId="77777777" w:rsidR="00387142" w:rsidRPr="008B6A75" w:rsidRDefault="00387142" w:rsidP="00387142">
            <w:pPr>
              <w:jc w:val="center"/>
              <w:rPr>
                <w:sz w:val="20"/>
                <w:szCs w:val="20"/>
              </w:rPr>
            </w:pPr>
            <w:r w:rsidRPr="008B6A75">
              <w:rPr>
                <w:sz w:val="20"/>
                <w:szCs w:val="20"/>
              </w:rPr>
              <w:t>17.2.00.05952</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5069127D" w14:textId="77777777" w:rsidR="00387142" w:rsidRPr="008B6A75" w:rsidRDefault="00387142" w:rsidP="00387142">
            <w:pPr>
              <w:jc w:val="center"/>
              <w:rPr>
                <w:sz w:val="20"/>
                <w:szCs w:val="20"/>
              </w:rPr>
            </w:pPr>
            <w:r w:rsidRPr="008B6A75">
              <w:rPr>
                <w:sz w:val="20"/>
                <w:szCs w:val="20"/>
              </w:rPr>
              <w:t>500</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69F716EE" w14:textId="77777777" w:rsidR="00387142" w:rsidRPr="008B6A75" w:rsidRDefault="00387142" w:rsidP="00387142">
            <w:pPr>
              <w:jc w:val="right"/>
              <w:rPr>
                <w:sz w:val="20"/>
                <w:szCs w:val="20"/>
              </w:rPr>
            </w:pPr>
            <w:r w:rsidRPr="008B6A75">
              <w:rPr>
                <w:sz w:val="20"/>
                <w:szCs w:val="20"/>
              </w:rPr>
              <w:t>988 900,00</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47379A47" w14:textId="77777777" w:rsidR="00387142" w:rsidRPr="008B6A75" w:rsidRDefault="00387142" w:rsidP="00387142">
            <w:pPr>
              <w:jc w:val="right"/>
              <w:rPr>
                <w:sz w:val="20"/>
                <w:szCs w:val="20"/>
              </w:rPr>
            </w:pPr>
            <w:r w:rsidRPr="008B6A75">
              <w:rPr>
                <w:sz w:val="20"/>
                <w:szCs w:val="20"/>
              </w:rPr>
              <w:t>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3B266C43" w14:textId="77777777" w:rsidR="00387142" w:rsidRPr="008B6A75" w:rsidRDefault="00387142" w:rsidP="00387142">
            <w:pPr>
              <w:jc w:val="right"/>
              <w:rPr>
                <w:sz w:val="20"/>
                <w:szCs w:val="20"/>
              </w:rPr>
            </w:pPr>
            <w:r w:rsidRPr="008B6A75">
              <w:rPr>
                <w:sz w:val="20"/>
                <w:szCs w:val="20"/>
              </w:rPr>
              <w:t>0,00</w:t>
            </w:r>
          </w:p>
        </w:tc>
        <w:tc>
          <w:tcPr>
            <w:tcW w:w="222" w:type="dxa"/>
            <w:vAlign w:val="center"/>
            <w:hideMark/>
          </w:tcPr>
          <w:p w14:paraId="4C141158" w14:textId="77777777" w:rsidR="00387142" w:rsidRPr="008B6A75" w:rsidRDefault="00387142" w:rsidP="00387142">
            <w:pPr>
              <w:rPr>
                <w:sz w:val="20"/>
                <w:szCs w:val="20"/>
              </w:rPr>
            </w:pPr>
          </w:p>
        </w:tc>
      </w:tr>
      <w:tr w:rsidR="00387142" w:rsidRPr="008B6A75" w14:paraId="0B248467" w14:textId="77777777" w:rsidTr="00387142">
        <w:trPr>
          <w:trHeight w:val="300"/>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0B3FE0A5" w14:textId="77777777" w:rsidR="00387142" w:rsidRPr="008B6A75" w:rsidRDefault="00387142" w:rsidP="00387142">
            <w:pPr>
              <w:rPr>
                <w:sz w:val="20"/>
                <w:szCs w:val="20"/>
              </w:rPr>
            </w:pPr>
            <w:r w:rsidRPr="008B6A75">
              <w:rPr>
                <w:sz w:val="20"/>
                <w:szCs w:val="20"/>
              </w:rPr>
              <w:lastRenderedPageBreak/>
              <w:t>Иные межбюджетные трансферты</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2C99C45A" w14:textId="77777777" w:rsidR="00387142" w:rsidRPr="008B6A75" w:rsidRDefault="00387142" w:rsidP="00387142">
            <w:pPr>
              <w:jc w:val="center"/>
              <w:rPr>
                <w:sz w:val="20"/>
                <w:szCs w:val="20"/>
              </w:rPr>
            </w:pPr>
            <w:r w:rsidRPr="008B6A75">
              <w:rPr>
                <w:sz w:val="20"/>
                <w:szCs w:val="20"/>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220E8332" w14:textId="77777777" w:rsidR="00387142" w:rsidRPr="008B6A75" w:rsidRDefault="00387142" w:rsidP="00387142">
            <w:pPr>
              <w:jc w:val="center"/>
              <w:rPr>
                <w:sz w:val="20"/>
                <w:szCs w:val="20"/>
              </w:rPr>
            </w:pPr>
            <w:r w:rsidRPr="008B6A75">
              <w:rPr>
                <w:sz w:val="20"/>
                <w:szCs w:val="20"/>
              </w:rPr>
              <w:t>05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CBC81E" w14:textId="77777777" w:rsidR="00387142" w:rsidRPr="008B6A75" w:rsidRDefault="00387142" w:rsidP="00387142">
            <w:pPr>
              <w:jc w:val="center"/>
              <w:rPr>
                <w:sz w:val="20"/>
                <w:szCs w:val="20"/>
              </w:rPr>
            </w:pPr>
            <w:r w:rsidRPr="008B6A75">
              <w:rPr>
                <w:sz w:val="20"/>
                <w:szCs w:val="20"/>
              </w:rPr>
              <w:t>03</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21C8EE28" w14:textId="77777777" w:rsidR="00387142" w:rsidRPr="008B6A75" w:rsidRDefault="00387142" w:rsidP="00387142">
            <w:pPr>
              <w:jc w:val="center"/>
              <w:rPr>
                <w:sz w:val="20"/>
                <w:szCs w:val="20"/>
              </w:rPr>
            </w:pPr>
            <w:r w:rsidRPr="008B6A75">
              <w:rPr>
                <w:sz w:val="20"/>
                <w:szCs w:val="20"/>
              </w:rPr>
              <w:t>17.2.00.05952</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654468" w14:textId="77777777" w:rsidR="00387142" w:rsidRPr="008B6A75" w:rsidRDefault="00387142" w:rsidP="00387142">
            <w:pPr>
              <w:jc w:val="center"/>
              <w:rPr>
                <w:sz w:val="20"/>
                <w:szCs w:val="20"/>
              </w:rPr>
            </w:pPr>
            <w:r w:rsidRPr="008B6A75">
              <w:rPr>
                <w:sz w:val="20"/>
                <w:szCs w:val="20"/>
              </w:rPr>
              <w:t>540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FE1563" w14:textId="77777777" w:rsidR="00387142" w:rsidRPr="008B6A75" w:rsidRDefault="00387142" w:rsidP="00387142">
            <w:pPr>
              <w:jc w:val="right"/>
              <w:rPr>
                <w:sz w:val="20"/>
                <w:szCs w:val="20"/>
              </w:rPr>
            </w:pPr>
            <w:r w:rsidRPr="008B6A75">
              <w:rPr>
                <w:sz w:val="20"/>
                <w:szCs w:val="20"/>
              </w:rPr>
              <w:t>988 900,00</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4D873501" w14:textId="77777777" w:rsidR="00387142" w:rsidRPr="008B6A75" w:rsidRDefault="00387142" w:rsidP="00387142">
            <w:pPr>
              <w:jc w:val="right"/>
              <w:rPr>
                <w:sz w:val="20"/>
                <w:szCs w:val="20"/>
              </w:rPr>
            </w:pPr>
            <w:r w:rsidRPr="008B6A75">
              <w:rPr>
                <w:sz w:val="20"/>
                <w:szCs w:val="20"/>
              </w:rPr>
              <w:t>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09507D" w14:textId="77777777" w:rsidR="00387142" w:rsidRPr="008B6A75" w:rsidRDefault="00387142" w:rsidP="00387142">
            <w:pPr>
              <w:jc w:val="right"/>
              <w:rPr>
                <w:sz w:val="20"/>
                <w:szCs w:val="20"/>
              </w:rPr>
            </w:pPr>
            <w:r w:rsidRPr="008B6A75">
              <w:rPr>
                <w:sz w:val="20"/>
                <w:szCs w:val="20"/>
              </w:rPr>
              <w:t>0,00</w:t>
            </w:r>
          </w:p>
        </w:tc>
        <w:tc>
          <w:tcPr>
            <w:tcW w:w="222" w:type="dxa"/>
            <w:vAlign w:val="center"/>
            <w:hideMark/>
          </w:tcPr>
          <w:p w14:paraId="1B619F2F" w14:textId="77777777" w:rsidR="00387142" w:rsidRPr="008B6A75" w:rsidRDefault="00387142" w:rsidP="00387142">
            <w:pPr>
              <w:rPr>
                <w:sz w:val="20"/>
                <w:szCs w:val="20"/>
              </w:rPr>
            </w:pPr>
          </w:p>
        </w:tc>
      </w:tr>
      <w:tr w:rsidR="00387142" w:rsidRPr="008B6A75" w14:paraId="6BD83997" w14:textId="77777777" w:rsidTr="00387142">
        <w:trPr>
          <w:trHeight w:val="585"/>
        </w:trPr>
        <w:tc>
          <w:tcPr>
            <w:tcW w:w="3021" w:type="dxa"/>
            <w:tcBorders>
              <w:top w:val="nil"/>
              <w:left w:val="single" w:sz="4" w:space="0" w:color="auto"/>
              <w:bottom w:val="nil"/>
              <w:right w:val="nil"/>
            </w:tcBorders>
            <w:shd w:val="clear" w:color="auto" w:fill="auto"/>
            <w:vAlign w:val="center"/>
            <w:hideMark/>
          </w:tcPr>
          <w:p w14:paraId="12F80AFC" w14:textId="77777777" w:rsidR="00387142" w:rsidRPr="008B6A75" w:rsidRDefault="00387142" w:rsidP="00387142">
            <w:pPr>
              <w:rPr>
                <w:bCs/>
                <w:sz w:val="20"/>
                <w:szCs w:val="20"/>
              </w:rPr>
            </w:pPr>
            <w:r w:rsidRPr="008B6A75">
              <w:rPr>
                <w:bCs/>
                <w:sz w:val="20"/>
                <w:szCs w:val="20"/>
              </w:rPr>
              <w:t>Региональный проект "Формирование комфортной городской среды"</w:t>
            </w:r>
          </w:p>
        </w:tc>
        <w:tc>
          <w:tcPr>
            <w:tcW w:w="850" w:type="dxa"/>
            <w:tcBorders>
              <w:top w:val="nil"/>
              <w:left w:val="single" w:sz="4" w:space="0" w:color="auto"/>
              <w:bottom w:val="nil"/>
              <w:right w:val="nil"/>
            </w:tcBorders>
            <w:shd w:val="clear" w:color="auto" w:fill="auto"/>
            <w:noWrap/>
            <w:vAlign w:val="center"/>
            <w:hideMark/>
          </w:tcPr>
          <w:p w14:paraId="50CA156D" w14:textId="77777777" w:rsidR="00387142" w:rsidRPr="008B6A75" w:rsidRDefault="00387142" w:rsidP="00387142">
            <w:pPr>
              <w:jc w:val="center"/>
              <w:rPr>
                <w:bCs/>
                <w:sz w:val="20"/>
                <w:szCs w:val="20"/>
              </w:rPr>
            </w:pPr>
            <w:r w:rsidRPr="008B6A75">
              <w:rPr>
                <w:bCs/>
                <w:sz w:val="20"/>
                <w:szCs w:val="20"/>
              </w:rPr>
              <w:t>444</w:t>
            </w:r>
          </w:p>
        </w:tc>
        <w:tc>
          <w:tcPr>
            <w:tcW w:w="709" w:type="dxa"/>
            <w:tcBorders>
              <w:top w:val="nil"/>
              <w:left w:val="single" w:sz="4" w:space="0" w:color="auto"/>
              <w:bottom w:val="nil"/>
              <w:right w:val="nil"/>
            </w:tcBorders>
            <w:shd w:val="clear" w:color="auto" w:fill="auto"/>
            <w:noWrap/>
            <w:vAlign w:val="center"/>
            <w:hideMark/>
          </w:tcPr>
          <w:p w14:paraId="73A4D30E" w14:textId="77777777" w:rsidR="00387142" w:rsidRPr="008B6A75" w:rsidRDefault="00387142" w:rsidP="00387142">
            <w:pPr>
              <w:jc w:val="center"/>
              <w:rPr>
                <w:bCs/>
                <w:sz w:val="20"/>
                <w:szCs w:val="20"/>
              </w:rPr>
            </w:pPr>
            <w:r w:rsidRPr="008B6A75">
              <w:rPr>
                <w:bCs/>
                <w:sz w:val="20"/>
                <w:szCs w:val="20"/>
              </w:rPr>
              <w:t>05</w:t>
            </w:r>
          </w:p>
        </w:tc>
        <w:tc>
          <w:tcPr>
            <w:tcW w:w="709" w:type="dxa"/>
            <w:tcBorders>
              <w:top w:val="nil"/>
              <w:left w:val="single" w:sz="4" w:space="0" w:color="auto"/>
              <w:bottom w:val="nil"/>
              <w:right w:val="single" w:sz="4" w:space="0" w:color="auto"/>
            </w:tcBorders>
            <w:shd w:val="clear" w:color="auto" w:fill="auto"/>
            <w:noWrap/>
            <w:vAlign w:val="center"/>
            <w:hideMark/>
          </w:tcPr>
          <w:p w14:paraId="1541C5D6" w14:textId="77777777" w:rsidR="00387142" w:rsidRPr="008B6A75" w:rsidRDefault="00387142" w:rsidP="00387142">
            <w:pPr>
              <w:jc w:val="center"/>
              <w:rPr>
                <w:bCs/>
                <w:sz w:val="20"/>
                <w:szCs w:val="20"/>
              </w:rPr>
            </w:pPr>
            <w:r w:rsidRPr="008B6A75">
              <w:rPr>
                <w:bCs/>
                <w:sz w:val="20"/>
                <w:szCs w:val="20"/>
              </w:rPr>
              <w:t>03</w:t>
            </w:r>
          </w:p>
        </w:tc>
        <w:tc>
          <w:tcPr>
            <w:tcW w:w="1411" w:type="dxa"/>
            <w:tcBorders>
              <w:top w:val="nil"/>
              <w:left w:val="single" w:sz="4" w:space="0" w:color="auto"/>
              <w:bottom w:val="nil"/>
              <w:right w:val="nil"/>
            </w:tcBorders>
            <w:shd w:val="clear" w:color="auto" w:fill="auto"/>
            <w:noWrap/>
            <w:vAlign w:val="center"/>
            <w:hideMark/>
          </w:tcPr>
          <w:p w14:paraId="174F5F10" w14:textId="77777777" w:rsidR="00387142" w:rsidRPr="008B6A75" w:rsidRDefault="00387142" w:rsidP="00387142">
            <w:pPr>
              <w:jc w:val="center"/>
              <w:rPr>
                <w:bCs/>
                <w:sz w:val="20"/>
                <w:szCs w:val="20"/>
              </w:rPr>
            </w:pPr>
            <w:r w:rsidRPr="008B6A75">
              <w:rPr>
                <w:bCs/>
                <w:sz w:val="20"/>
                <w:szCs w:val="20"/>
              </w:rPr>
              <w:t>17.2.F2.00000</w:t>
            </w:r>
          </w:p>
        </w:tc>
        <w:tc>
          <w:tcPr>
            <w:tcW w:w="955" w:type="dxa"/>
            <w:tcBorders>
              <w:top w:val="nil"/>
              <w:left w:val="single" w:sz="4" w:space="0" w:color="auto"/>
              <w:bottom w:val="nil"/>
              <w:right w:val="single" w:sz="4" w:space="0" w:color="auto"/>
            </w:tcBorders>
            <w:shd w:val="clear" w:color="auto" w:fill="auto"/>
            <w:noWrap/>
            <w:vAlign w:val="center"/>
            <w:hideMark/>
          </w:tcPr>
          <w:p w14:paraId="5AFEA4C1"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nil"/>
              <w:right w:val="single" w:sz="4" w:space="0" w:color="auto"/>
            </w:tcBorders>
            <w:shd w:val="clear" w:color="auto" w:fill="auto"/>
            <w:noWrap/>
            <w:vAlign w:val="center"/>
            <w:hideMark/>
          </w:tcPr>
          <w:p w14:paraId="760365F0" w14:textId="77777777" w:rsidR="00387142" w:rsidRPr="008B6A75" w:rsidRDefault="00387142" w:rsidP="00387142">
            <w:pPr>
              <w:jc w:val="right"/>
              <w:rPr>
                <w:bCs/>
                <w:sz w:val="20"/>
                <w:szCs w:val="20"/>
              </w:rPr>
            </w:pPr>
            <w:r w:rsidRPr="008B6A75">
              <w:rPr>
                <w:bCs/>
                <w:sz w:val="20"/>
                <w:szCs w:val="20"/>
              </w:rPr>
              <w:t>32 443 173,54</w:t>
            </w:r>
          </w:p>
        </w:tc>
        <w:tc>
          <w:tcPr>
            <w:tcW w:w="992" w:type="dxa"/>
            <w:gridSpan w:val="2"/>
            <w:tcBorders>
              <w:top w:val="nil"/>
              <w:left w:val="single" w:sz="4" w:space="0" w:color="auto"/>
              <w:bottom w:val="nil"/>
              <w:right w:val="nil"/>
            </w:tcBorders>
            <w:shd w:val="clear" w:color="auto" w:fill="auto"/>
            <w:noWrap/>
            <w:vAlign w:val="center"/>
            <w:hideMark/>
          </w:tcPr>
          <w:p w14:paraId="7B6AA29E" w14:textId="77777777" w:rsidR="00387142" w:rsidRPr="008B6A75" w:rsidRDefault="00387142" w:rsidP="00387142">
            <w:pPr>
              <w:jc w:val="right"/>
              <w:rPr>
                <w:bCs/>
                <w:sz w:val="20"/>
                <w:szCs w:val="20"/>
              </w:rPr>
            </w:pPr>
            <w:r w:rsidRPr="008B6A75">
              <w:rPr>
                <w:bCs/>
                <w:sz w:val="20"/>
                <w:szCs w:val="20"/>
              </w:rPr>
              <w:t>16 928 200,00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44ED801C" w14:textId="77777777" w:rsidR="00387142" w:rsidRPr="008B6A75" w:rsidRDefault="00387142" w:rsidP="00387142">
            <w:pPr>
              <w:jc w:val="right"/>
              <w:rPr>
                <w:bCs/>
                <w:sz w:val="20"/>
                <w:szCs w:val="20"/>
              </w:rPr>
            </w:pPr>
            <w:r w:rsidRPr="008B6A75">
              <w:rPr>
                <w:bCs/>
                <w:sz w:val="20"/>
                <w:szCs w:val="20"/>
              </w:rPr>
              <w:t>19 361 900,00</w:t>
            </w:r>
          </w:p>
        </w:tc>
        <w:tc>
          <w:tcPr>
            <w:tcW w:w="222" w:type="dxa"/>
            <w:vAlign w:val="center"/>
            <w:hideMark/>
          </w:tcPr>
          <w:p w14:paraId="66587D9F" w14:textId="77777777" w:rsidR="00387142" w:rsidRPr="008B6A75" w:rsidRDefault="00387142" w:rsidP="00387142">
            <w:pPr>
              <w:rPr>
                <w:sz w:val="20"/>
                <w:szCs w:val="20"/>
              </w:rPr>
            </w:pPr>
          </w:p>
        </w:tc>
      </w:tr>
      <w:tr w:rsidR="00387142" w:rsidRPr="008B6A75" w14:paraId="43BAB7B2" w14:textId="77777777" w:rsidTr="00387142">
        <w:trPr>
          <w:trHeight w:val="2580"/>
        </w:trPr>
        <w:tc>
          <w:tcPr>
            <w:tcW w:w="3021" w:type="dxa"/>
            <w:tcBorders>
              <w:top w:val="single" w:sz="4" w:space="0" w:color="auto"/>
              <w:left w:val="single" w:sz="4" w:space="0" w:color="auto"/>
              <w:bottom w:val="nil"/>
              <w:right w:val="nil"/>
            </w:tcBorders>
            <w:shd w:val="clear" w:color="auto" w:fill="auto"/>
            <w:vAlign w:val="center"/>
            <w:hideMark/>
          </w:tcPr>
          <w:p w14:paraId="61264738" w14:textId="77777777" w:rsidR="00387142" w:rsidRPr="008B6A75" w:rsidRDefault="00387142" w:rsidP="00387142">
            <w:pPr>
              <w:rPr>
                <w:bCs/>
                <w:sz w:val="20"/>
                <w:szCs w:val="20"/>
              </w:rPr>
            </w:pPr>
            <w:r w:rsidRPr="008B6A75">
              <w:rPr>
                <w:bCs/>
                <w:sz w:val="20"/>
                <w:szCs w:val="20"/>
              </w:rPr>
              <w:t>Реализация мероприятий по формированию комфортной городской среды подпрограммы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 (благоустройство дворовых территорий многоквартирных домов населенных пунктов Новосибирской области)</w:t>
            </w:r>
          </w:p>
        </w:tc>
        <w:tc>
          <w:tcPr>
            <w:tcW w:w="850" w:type="dxa"/>
            <w:tcBorders>
              <w:top w:val="single" w:sz="4" w:space="0" w:color="auto"/>
              <w:left w:val="single" w:sz="4" w:space="0" w:color="auto"/>
              <w:bottom w:val="nil"/>
              <w:right w:val="nil"/>
            </w:tcBorders>
            <w:shd w:val="clear" w:color="auto" w:fill="auto"/>
            <w:noWrap/>
            <w:vAlign w:val="center"/>
            <w:hideMark/>
          </w:tcPr>
          <w:p w14:paraId="148728CE" w14:textId="77777777" w:rsidR="00387142" w:rsidRPr="008B6A75" w:rsidRDefault="00387142" w:rsidP="00387142">
            <w:pPr>
              <w:jc w:val="center"/>
              <w:rPr>
                <w:bCs/>
                <w:sz w:val="20"/>
                <w:szCs w:val="20"/>
              </w:rPr>
            </w:pPr>
            <w:r w:rsidRPr="008B6A75">
              <w:rPr>
                <w:bCs/>
                <w:sz w:val="20"/>
                <w:szCs w:val="20"/>
              </w:rPr>
              <w:t>444</w:t>
            </w:r>
          </w:p>
        </w:tc>
        <w:tc>
          <w:tcPr>
            <w:tcW w:w="709" w:type="dxa"/>
            <w:tcBorders>
              <w:top w:val="single" w:sz="4" w:space="0" w:color="auto"/>
              <w:left w:val="single" w:sz="4" w:space="0" w:color="auto"/>
              <w:bottom w:val="nil"/>
              <w:right w:val="nil"/>
            </w:tcBorders>
            <w:shd w:val="clear" w:color="auto" w:fill="auto"/>
            <w:noWrap/>
            <w:vAlign w:val="center"/>
            <w:hideMark/>
          </w:tcPr>
          <w:p w14:paraId="20352B2C" w14:textId="77777777" w:rsidR="00387142" w:rsidRPr="008B6A75" w:rsidRDefault="00387142" w:rsidP="00387142">
            <w:pPr>
              <w:jc w:val="center"/>
              <w:rPr>
                <w:bCs/>
                <w:sz w:val="20"/>
                <w:szCs w:val="20"/>
              </w:rPr>
            </w:pPr>
            <w:r w:rsidRPr="008B6A75">
              <w:rPr>
                <w:bCs/>
                <w:sz w:val="20"/>
                <w:szCs w:val="20"/>
              </w:rPr>
              <w:t>05</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32C603A3" w14:textId="77777777" w:rsidR="00387142" w:rsidRPr="008B6A75" w:rsidRDefault="00387142" w:rsidP="00387142">
            <w:pPr>
              <w:jc w:val="center"/>
              <w:rPr>
                <w:bCs/>
                <w:sz w:val="20"/>
                <w:szCs w:val="20"/>
              </w:rPr>
            </w:pPr>
            <w:r w:rsidRPr="008B6A75">
              <w:rPr>
                <w:bCs/>
                <w:sz w:val="20"/>
                <w:szCs w:val="20"/>
              </w:rPr>
              <w:t>03</w:t>
            </w:r>
          </w:p>
        </w:tc>
        <w:tc>
          <w:tcPr>
            <w:tcW w:w="1411" w:type="dxa"/>
            <w:tcBorders>
              <w:top w:val="single" w:sz="4" w:space="0" w:color="auto"/>
              <w:left w:val="single" w:sz="4" w:space="0" w:color="auto"/>
              <w:bottom w:val="nil"/>
              <w:right w:val="nil"/>
            </w:tcBorders>
            <w:shd w:val="clear" w:color="auto" w:fill="auto"/>
            <w:noWrap/>
            <w:vAlign w:val="center"/>
            <w:hideMark/>
          </w:tcPr>
          <w:p w14:paraId="71865715" w14:textId="77777777" w:rsidR="00387142" w:rsidRPr="008B6A75" w:rsidRDefault="00387142" w:rsidP="00387142">
            <w:pPr>
              <w:jc w:val="center"/>
              <w:rPr>
                <w:bCs/>
                <w:sz w:val="20"/>
                <w:szCs w:val="20"/>
              </w:rPr>
            </w:pPr>
            <w:r w:rsidRPr="008B6A75">
              <w:rPr>
                <w:bCs/>
                <w:sz w:val="20"/>
                <w:szCs w:val="20"/>
              </w:rPr>
              <w:t>17.2.F2.55551</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49C7BCC9" w14:textId="77777777" w:rsidR="00387142" w:rsidRPr="008B6A75" w:rsidRDefault="00387142" w:rsidP="00387142">
            <w:pPr>
              <w:jc w:val="center"/>
              <w:rPr>
                <w:bCs/>
                <w:sz w:val="20"/>
                <w:szCs w:val="20"/>
              </w:rPr>
            </w:pPr>
            <w:r w:rsidRPr="008B6A75">
              <w:rPr>
                <w:bCs/>
                <w:sz w:val="20"/>
                <w:szCs w:val="20"/>
              </w:rPr>
              <w:t> </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0EA2441D" w14:textId="77777777" w:rsidR="00387142" w:rsidRPr="008B6A75" w:rsidRDefault="00387142" w:rsidP="00387142">
            <w:pPr>
              <w:jc w:val="right"/>
              <w:rPr>
                <w:bCs/>
                <w:sz w:val="20"/>
                <w:szCs w:val="20"/>
              </w:rPr>
            </w:pPr>
            <w:r w:rsidRPr="008B6A75">
              <w:rPr>
                <w:bCs/>
                <w:sz w:val="20"/>
                <w:szCs w:val="20"/>
              </w:rPr>
              <w:t>5 311 600,00</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021BBEE4" w14:textId="77777777" w:rsidR="00387142" w:rsidRPr="008B6A75" w:rsidRDefault="00387142" w:rsidP="00387142">
            <w:pPr>
              <w:jc w:val="right"/>
              <w:rPr>
                <w:bCs/>
                <w:sz w:val="20"/>
                <w:szCs w:val="20"/>
              </w:rPr>
            </w:pPr>
            <w:r w:rsidRPr="008B6A75">
              <w:rPr>
                <w:bCs/>
                <w:sz w:val="20"/>
                <w:szCs w:val="20"/>
              </w:rPr>
              <w:t>4 488 200,00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7D76E6B3" w14:textId="77777777" w:rsidR="00387142" w:rsidRPr="008B6A75" w:rsidRDefault="00387142" w:rsidP="00387142">
            <w:pPr>
              <w:jc w:val="right"/>
              <w:rPr>
                <w:bCs/>
                <w:sz w:val="20"/>
                <w:szCs w:val="20"/>
              </w:rPr>
            </w:pPr>
            <w:r w:rsidRPr="008B6A75">
              <w:rPr>
                <w:bCs/>
                <w:sz w:val="20"/>
                <w:szCs w:val="20"/>
              </w:rPr>
              <w:t>6 921 900,00</w:t>
            </w:r>
          </w:p>
        </w:tc>
        <w:tc>
          <w:tcPr>
            <w:tcW w:w="222" w:type="dxa"/>
            <w:vAlign w:val="center"/>
            <w:hideMark/>
          </w:tcPr>
          <w:p w14:paraId="557D51DF" w14:textId="77777777" w:rsidR="00387142" w:rsidRPr="008B6A75" w:rsidRDefault="00387142" w:rsidP="00387142">
            <w:pPr>
              <w:rPr>
                <w:sz w:val="20"/>
                <w:szCs w:val="20"/>
              </w:rPr>
            </w:pPr>
          </w:p>
        </w:tc>
      </w:tr>
      <w:tr w:rsidR="00387142" w:rsidRPr="008B6A75" w14:paraId="63022246" w14:textId="77777777" w:rsidTr="00387142">
        <w:trPr>
          <w:trHeight w:val="585"/>
        </w:trPr>
        <w:tc>
          <w:tcPr>
            <w:tcW w:w="3021" w:type="dxa"/>
            <w:tcBorders>
              <w:top w:val="single" w:sz="4" w:space="0" w:color="auto"/>
              <w:left w:val="single" w:sz="4" w:space="0" w:color="auto"/>
              <w:bottom w:val="nil"/>
              <w:right w:val="nil"/>
            </w:tcBorders>
            <w:shd w:val="clear" w:color="auto" w:fill="auto"/>
            <w:vAlign w:val="center"/>
            <w:hideMark/>
          </w:tcPr>
          <w:p w14:paraId="6D25FFC7" w14:textId="77777777" w:rsidR="00387142" w:rsidRPr="008B6A75" w:rsidRDefault="00387142" w:rsidP="00387142">
            <w:pPr>
              <w:rPr>
                <w:sz w:val="20"/>
                <w:szCs w:val="20"/>
              </w:rPr>
            </w:pPr>
            <w:r w:rsidRPr="008B6A75">
              <w:rPr>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nil"/>
              <w:right w:val="nil"/>
            </w:tcBorders>
            <w:shd w:val="clear" w:color="auto" w:fill="auto"/>
            <w:noWrap/>
            <w:vAlign w:val="center"/>
            <w:hideMark/>
          </w:tcPr>
          <w:p w14:paraId="65D26682" w14:textId="77777777" w:rsidR="00387142" w:rsidRPr="008B6A75" w:rsidRDefault="00387142" w:rsidP="00387142">
            <w:pPr>
              <w:jc w:val="center"/>
              <w:rPr>
                <w:sz w:val="20"/>
                <w:szCs w:val="20"/>
              </w:rPr>
            </w:pPr>
            <w:r w:rsidRPr="008B6A75">
              <w:rPr>
                <w:sz w:val="20"/>
                <w:szCs w:val="20"/>
              </w:rPr>
              <w:t>444</w:t>
            </w:r>
          </w:p>
        </w:tc>
        <w:tc>
          <w:tcPr>
            <w:tcW w:w="709" w:type="dxa"/>
            <w:tcBorders>
              <w:top w:val="single" w:sz="4" w:space="0" w:color="auto"/>
              <w:left w:val="single" w:sz="4" w:space="0" w:color="auto"/>
              <w:bottom w:val="nil"/>
              <w:right w:val="nil"/>
            </w:tcBorders>
            <w:shd w:val="clear" w:color="auto" w:fill="auto"/>
            <w:noWrap/>
            <w:vAlign w:val="center"/>
            <w:hideMark/>
          </w:tcPr>
          <w:p w14:paraId="53B374BF" w14:textId="77777777" w:rsidR="00387142" w:rsidRPr="008B6A75" w:rsidRDefault="00387142" w:rsidP="00387142">
            <w:pPr>
              <w:jc w:val="center"/>
              <w:rPr>
                <w:sz w:val="20"/>
                <w:szCs w:val="20"/>
              </w:rPr>
            </w:pPr>
            <w:r w:rsidRPr="008B6A75">
              <w:rPr>
                <w:sz w:val="20"/>
                <w:szCs w:val="20"/>
              </w:rPr>
              <w:t>05</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2692B654" w14:textId="77777777" w:rsidR="00387142" w:rsidRPr="008B6A75" w:rsidRDefault="00387142" w:rsidP="00387142">
            <w:pPr>
              <w:jc w:val="center"/>
              <w:rPr>
                <w:sz w:val="20"/>
                <w:szCs w:val="20"/>
              </w:rPr>
            </w:pPr>
            <w:r w:rsidRPr="008B6A75">
              <w:rPr>
                <w:sz w:val="20"/>
                <w:szCs w:val="20"/>
              </w:rPr>
              <w:t>03</w:t>
            </w:r>
          </w:p>
        </w:tc>
        <w:tc>
          <w:tcPr>
            <w:tcW w:w="1411" w:type="dxa"/>
            <w:tcBorders>
              <w:top w:val="single" w:sz="4" w:space="0" w:color="auto"/>
              <w:left w:val="single" w:sz="4" w:space="0" w:color="auto"/>
              <w:bottom w:val="nil"/>
              <w:right w:val="nil"/>
            </w:tcBorders>
            <w:shd w:val="clear" w:color="auto" w:fill="auto"/>
            <w:noWrap/>
            <w:vAlign w:val="center"/>
            <w:hideMark/>
          </w:tcPr>
          <w:p w14:paraId="6569806B" w14:textId="77777777" w:rsidR="00387142" w:rsidRPr="008B6A75" w:rsidRDefault="00387142" w:rsidP="00387142">
            <w:pPr>
              <w:jc w:val="center"/>
              <w:rPr>
                <w:sz w:val="20"/>
                <w:szCs w:val="20"/>
              </w:rPr>
            </w:pPr>
            <w:r w:rsidRPr="008B6A75">
              <w:rPr>
                <w:sz w:val="20"/>
                <w:szCs w:val="20"/>
              </w:rPr>
              <w:t>17.2.F2.55551</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1B7062CA" w14:textId="77777777" w:rsidR="00387142" w:rsidRPr="008B6A75" w:rsidRDefault="00387142" w:rsidP="00387142">
            <w:pPr>
              <w:jc w:val="center"/>
              <w:rPr>
                <w:sz w:val="20"/>
                <w:szCs w:val="20"/>
              </w:rPr>
            </w:pPr>
            <w:r w:rsidRPr="008B6A75">
              <w:rPr>
                <w:sz w:val="20"/>
                <w:szCs w:val="20"/>
              </w:rPr>
              <w:t>200</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418A91A9" w14:textId="77777777" w:rsidR="00387142" w:rsidRPr="008B6A75" w:rsidRDefault="00387142" w:rsidP="00387142">
            <w:pPr>
              <w:jc w:val="right"/>
              <w:rPr>
                <w:sz w:val="20"/>
                <w:szCs w:val="20"/>
              </w:rPr>
            </w:pPr>
            <w:r w:rsidRPr="008B6A75">
              <w:rPr>
                <w:sz w:val="20"/>
                <w:szCs w:val="20"/>
              </w:rPr>
              <w:t>0,00</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7C02D5A9" w14:textId="77777777" w:rsidR="00387142" w:rsidRPr="008B6A75" w:rsidRDefault="00387142" w:rsidP="00387142">
            <w:pPr>
              <w:jc w:val="right"/>
              <w:rPr>
                <w:sz w:val="20"/>
                <w:szCs w:val="20"/>
              </w:rPr>
            </w:pPr>
            <w:r w:rsidRPr="008B6A75">
              <w:rPr>
                <w:sz w:val="20"/>
                <w:szCs w:val="20"/>
              </w:rPr>
              <w:t>4 488 200,00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13CBA95C" w14:textId="77777777" w:rsidR="00387142" w:rsidRPr="008B6A75" w:rsidRDefault="00387142" w:rsidP="00387142">
            <w:pPr>
              <w:jc w:val="right"/>
              <w:rPr>
                <w:sz w:val="20"/>
                <w:szCs w:val="20"/>
              </w:rPr>
            </w:pPr>
            <w:r w:rsidRPr="008B6A75">
              <w:rPr>
                <w:sz w:val="20"/>
                <w:szCs w:val="20"/>
              </w:rPr>
              <w:t>6 921 900,00</w:t>
            </w:r>
          </w:p>
        </w:tc>
        <w:tc>
          <w:tcPr>
            <w:tcW w:w="222" w:type="dxa"/>
            <w:vAlign w:val="center"/>
            <w:hideMark/>
          </w:tcPr>
          <w:p w14:paraId="072CF6BB" w14:textId="77777777" w:rsidR="00387142" w:rsidRPr="008B6A75" w:rsidRDefault="00387142" w:rsidP="00387142">
            <w:pPr>
              <w:rPr>
                <w:sz w:val="20"/>
                <w:szCs w:val="20"/>
              </w:rPr>
            </w:pPr>
          </w:p>
        </w:tc>
      </w:tr>
      <w:tr w:rsidR="00387142" w:rsidRPr="008B6A75" w14:paraId="0B8FBF89" w14:textId="77777777" w:rsidTr="00387142">
        <w:trPr>
          <w:trHeight w:val="870"/>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63E9B610" w14:textId="77777777" w:rsidR="00387142" w:rsidRPr="008B6A75" w:rsidRDefault="00387142" w:rsidP="00387142">
            <w:pPr>
              <w:rPr>
                <w:sz w:val="20"/>
                <w:szCs w:val="20"/>
              </w:rPr>
            </w:pPr>
            <w:r w:rsidRPr="008B6A75">
              <w:rPr>
                <w:sz w:val="20"/>
                <w:szCs w:val="20"/>
              </w:rPr>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17FA6D77" w14:textId="77777777" w:rsidR="00387142" w:rsidRPr="008B6A75" w:rsidRDefault="00387142" w:rsidP="00387142">
            <w:pPr>
              <w:jc w:val="center"/>
              <w:rPr>
                <w:sz w:val="20"/>
                <w:szCs w:val="20"/>
              </w:rPr>
            </w:pPr>
            <w:r w:rsidRPr="008B6A75">
              <w:rPr>
                <w:sz w:val="20"/>
                <w:szCs w:val="20"/>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7D46260C" w14:textId="77777777" w:rsidR="00387142" w:rsidRPr="008B6A75" w:rsidRDefault="00387142" w:rsidP="00387142">
            <w:pPr>
              <w:jc w:val="center"/>
              <w:rPr>
                <w:sz w:val="20"/>
                <w:szCs w:val="20"/>
              </w:rPr>
            </w:pPr>
            <w:r w:rsidRPr="008B6A75">
              <w:rPr>
                <w:sz w:val="20"/>
                <w:szCs w:val="20"/>
              </w:rPr>
              <w:t>05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2EA6EE" w14:textId="77777777" w:rsidR="00387142" w:rsidRPr="008B6A75" w:rsidRDefault="00387142" w:rsidP="00387142">
            <w:pPr>
              <w:jc w:val="center"/>
              <w:rPr>
                <w:sz w:val="20"/>
                <w:szCs w:val="20"/>
              </w:rPr>
            </w:pPr>
            <w:r w:rsidRPr="008B6A75">
              <w:rPr>
                <w:sz w:val="20"/>
                <w:szCs w:val="20"/>
              </w:rPr>
              <w:t>03</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23C6A2A6" w14:textId="77777777" w:rsidR="00387142" w:rsidRPr="008B6A75" w:rsidRDefault="00387142" w:rsidP="00387142">
            <w:pPr>
              <w:jc w:val="center"/>
              <w:rPr>
                <w:sz w:val="20"/>
                <w:szCs w:val="20"/>
              </w:rPr>
            </w:pPr>
            <w:r w:rsidRPr="008B6A75">
              <w:rPr>
                <w:sz w:val="20"/>
                <w:szCs w:val="20"/>
              </w:rPr>
              <w:t>17.2.F2.55551</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5A77E6" w14:textId="77777777" w:rsidR="00387142" w:rsidRPr="008B6A75" w:rsidRDefault="00387142" w:rsidP="00387142">
            <w:pPr>
              <w:jc w:val="center"/>
              <w:rPr>
                <w:sz w:val="20"/>
                <w:szCs w:val="20"/>
              </w:rPr>
            </w:pPr>
            <w:r w:rsidRPr="008B6A75">
              <w:rPr>
                <w:sz w:val="20"/>
                <w:szCs w:val="20"/>
              </w:rPr>
              <w:t>240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B671DF" w14:textId="77777777" w:rsidR="00387142" w:rsidRPr="008B6A75" w:rsidRDefault="00387142" w:rsidP="00387142">
            <w:pPr>
              <w:jc w:val="right"/>
              <w:rPr>
                <w:sz w:val="20"/>
                <w:szCs w:val="20"/>
              </w:rPr>
            </w:pPr>
            <w:r w:rsidRPr="008B6A75">
              <w:rPr>
                <w:sz w:val="20"/>
                <w:szCs w:val="20"/>
              </w:rPr>
              <w:t>0,00</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1D3B3E26" w14:textId="77777777" w:rsidR="00387142" w:rsidRPr="008B6A75" w:rsidRDefault="00387142" w:rsidP="00387142">
            <w:pPr>
              <w:jc w:val="right"/>
              <w:rPr>
                <w:sz w:val="20"/>
                <w:szCs w:val="20"/>
              </w:rPr>
            </w:pPr>
            <w:r w:rsidRPr="008B6A75">
              <w:rPr>
                <w:sz w:val="20"/>
                <w:szCs w:val="20"/>
              </w:rPr>
              <w:t>4 488 200,00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CBEBE2" w14:textId="77777777" w:rsidR="00387142" w:rsidRPr="008B6A75" w:rsidRDefault="00387142" w:rsidP="00387142">
            <w:pPr>
              <w:jc w:val="right"/>
              <w:rPr>
                <w:sz w:val="20"/>
                <w:szCs w:val="20"/>
              </w:rPr>
            </w:pPr>
            <w:r w:rsidRPr="008B6A75">
              <w:rPr>
                <w:sz w:val="20"/>
                <w:szCs w:val="20"/>
              </w:rPr>
              <w:t>6 921 900,00</w:t>
            </w:r>
          </w:p>
        </w:tc>
        <w:tc>
          <w:tcPr>
            <w:tcW w:w="222" w:type="dxa"/>
            <w:vAlign w:val="center"/>
            <w:hideMark/>
          </w:tcPr>
          <w:p w14:paraId="1E24F9CC" w14:textId="77777777" w:rsidR="00387142" w:rsidRPr="008B6A75" w:rsidRDefault="00387142" w:rsidP="00387142">
            <w:pPr>
              <w:rPr>
                <w:sz w:val="20"/>
                <w:szCs w:val="20"/>
              </w:rPr>
            </w:pPr>
          </w:p>
        </w:tc>
      </w:tr>
      <w:tr w:rsidR="00387142" w:rsidRPr="008B6A75" w14:paraId="4BDC03F8" w14:textId="77777777" w:rsidTr="00387142">
        <w:trPr>
          <w:trHeight w:val="300"/>
        </w:trPr>
        <w:tc>
          <w:tcPr>
            <w:tcW w:w="3021" w:type="dxa"/>
            <w:tcBorders>
              <w:top w:val="nil"/>
              <w:left w:val="single" w:sz="4" w:space="0" w:color="auto"/>
              <w:bottom w:val="nil"/>
              <w:right w:val="nil"/>
            </w:tcBorders>
            <w:shd w:val="clear" w:color="auto" w:fill="auto"/>
            <w:vAlign w:val="center"/>
            <w:hideMark/>
          </w:tcPr>
          <w:p w14:paraId="24B395A1" w14:textId="77777777" w:rsidR="00387142" w:rsidRPr="008B6A75" w:rsidRDefault="00387142" w:rsidP="00387142">
            <w:pPr>
              <w:rPr>
                <w:sz w:val="20"/>
                <w:szCs w:val="20"/>
              </w:rPr>
            </w:pPr>
            <w:r w:rsidRPr="008B6A75">
              <w:rPr>
                <w:sz w:val="20"/>
                <w:szCs w:val="20"/>
              </w:rPr>
              <w:t>Межбюджетные трансферты</w:t>
            </w:r>
          </w:p>
        </w:tc>
        <w:tc>
          <w:tcPr>
            <w:tcW w:w="850" w:type="dxa"/>
            <w:tcBorders>
              <w:top w:val="nil"/>
              <w:left w:val="single" w:sz="4" w:space="0" w:color="auto"/>
              <w:bottom w:val="nil"/>
              <w:right w:val="nil"/>
            </w:tcBorders>
            <w:shd w:val="clear" w:color="auto" w:fill="auto"/>
            <w:noWrap/>
            <w:vAlign w:val="center"/>
            <w:hideMark/>
          </w:tcPr>
          <w:p w14:paraId="1880176F" w14:textId="77777777" w:rsidR="00387142" w:rsidRPr="008B6A75" w:rsidRDefault="00387142" w:rsidP="00387142">
            <w:pPr>
              <w:jc w:val="center"/>
              <w:rPr>
                <w:sz w:val="20"/>
                <w:szCs w:val="20"/>
              </w:rPr>
            </w:pPr>
            <w:r w:rsidRPr="008B6A75">
              <w:rPr>
                <w:sz w:val="20"/>
                <w:szCs w:val="20"/>
              </w:rPr>
              <w:t>444</w:t>
            </w:r>
          </w:p>
        </w:tc>
        <w:tc>
          <w:tcPr>
            <w:tcW w:w="709" w:type="dxa"/>
            <w:tcBorders>
              <w:top w:val="nil"/>
              <w:left w:val="single" w:sz="4" w:space="0" w:color="auto"/>
              <w:bottom w:val="nil"/>
              <w:right w:val="nil"/>
            </w:tcBorders>
            <w:shd w:val="clear" w:color="auto" w:fill="auto"/>
            <w:noWrap/>
            <w:vAlign w:val="center"/>
            <w:hideMark/>
          </w:tcPr>
          <w:p w14:paraId="050FBDEB" w14:textId="77777777" w:rsidR="00387142" w:rsidRPr="008B6A75" w:rsidRDefault="00387142" w:rsidP="00387142">
            <w:pPr>
              <w:jc w:val="center"/>
              <w:rPr>
                <w:sz w:val="20"/>
                <w:szCs w:val="20"/>
              </w:rPr>
            </w:pPr>
            <w:r w:rsidRPr="008B6A75">
              <w:rPr>
                <w:sz w:val="20"/>
                <w:szCs w:val="20"/>
              </w:rPr>
              <w:t>05</w:t>
            </w:r>
          </w:p>
        </w:tc>
        <w:tc>
          <w:tcPr>
            <w:tcW w:w="709" w:type="dxa"/>
            <w:tcBorders>
              <w:top w:val="nil"/>
              <w:left w:val="single" w:sz="4" w:space="0" w:color="auto"/>
              <w:bottom w:val="nil"/>
              <w:right w:val="single" w:sz="4" w:space="0" w:color="auto"/>
            </w:tcBorders>
            <w:shd w:val="clear" w:color="auto" w:fill="auto"/>
            <w:noWrap/>
            <w:vAlign w:val="center"/>
            <w:hideMark/>
          </w:tcPr>
          <w:p w14:paraId="47F58383" w14:textId="77777777" w:rsidR="00387142" w:rsidRPr="008B6A75" w:rsidRDefault="00387142" w:rsidP="00387142">
            <w:pPr>
              <w:jc w:val="center"/>
              <w:rPr>
                <w:sz w:val="20"/>
                <w:szCs w:val="20"/>
              </w:rPr>
            </w:pPr>
            <w:r w:rsidRPr="008B6A75">
              <w:rPr>
                <w:sz w:val="20"/>
                <w:szCs w:val="20"/>
              </w:rPr>
              <w:t>03</w:t>
            </w:r>
          </w:p>
        </w:tc>
        <w:tc>
          <w:tcPr>
            <w:tcW w:w="1411" w:type="dxa"/>
            <w:tcBorders>
              <w:top w:val="nil"/>
              <w:left w:val="single" w:sz="4" w:space="0" w:color="auto"/>
              <w:bottom w:val="nil"/>
              <w:right w:val="nil"/>
            </w:tcBorders>
            <w:shd w:val="clear" w:color="auto" w:fill="auto"/>
            <w:noWrap/>
            <w:vAlign w:val="center"/>
            <w:hideMark/>
          </w:tcPr>
          <w:p w14:paraId="30C319B3" w14:textId="77777777" w:rsidR="00387142" w:rsidRPr="008B6A75" w:rsidRDefault="00387142" w:rsidP="00387142">
            <w:pPr>
              <w:jc w:val="center"/>
              <w:rPr>
                <w:sz w:val="20"/>
                <w:szCs w:val="20"/>
              </w:rPr>
            </w:pPr>
            <w:r w:rsidRPr="008B6A75">
              <w:rPr>
                <w:sz w:val="20"/>
                <w:szCs w:val="20"/>
              </w:rPr>
              <w:t>17.2.F2.55551</w:t>
            </w:r>
          </w:p>
        </w:tc>
        <w:tc>
          <w:tcPr>
            <w:tcW w:w="955" w:type="dxa"/>
            <w:tcBorders>
              <w:top w:val="nil"/>
              <w:left w:val="single" w:sz="4" w:space="0" w:color="auto"/>
              <w:bottom w:val="nil"/>
              <w:right w:val="single" w:sz="4" w:space="0" w:color="auto"/>
            </w:tcBorders>
            <w:shd w:val="clear" w:color="auto" w:fill="auto"/>
            <w:noWrap/>
            <w:vAlign w:val="center"/>
            <w:hideMark/>
          </w:tcPr>
          <w:p w14:paraId="47BDAB17" w14:textId="77777777" w:rsidR="00387142" w:rsidRPr="008B6A75" w:rsidRDefault="00387142" w:rsidP="00387142">
            <w:pPr>
              <w:jc w:val="center"/>
              <w:rPr>
                <w:sz w:val="20"/>
                <w:szCs w:val="20"/>
              </w:rPr>
            </w:pPr>
            <w:r w:rsidRPr="008B6A75">
              <w:rPr>
                <w:sz w:val="20"/>
                <w:szCs w:val="20"/>
              </w:rPr>
              <w:t>500</w:t>
            </w:r>
          </w:p>
        </w:tc>
        <w:tc>
          <w:tcPr>
            <w:tcW w:w="992" w:type="dxa"/>
            <w:tcBorders>
              <w:top w:val="nil"/>
              <w:left w:val="single" w:sz="4" w:space="0" w:color="auto"/>
              <w:bottom w:val="nil"/>
              <w:right w:val="single" w:sz="4" w:space="0" w:color="auto"/>
            </w:tcBorders>
            <w:shd w:val="clear" w:color="auto" w:fill="auto"/>
            <w:noWrap/>
            <w:vAlign w:val="center"/>
            <w:hideMark/>
          </w:tcPr>
          <w:p w14:paraId="52595AA2" w14:textId="77777777" w:rsidR="00387142" w:rsidRPr="008B6A75" w:rsidRDefault="00387142" w:rsidP="00387142">
            <w:pPr>
              <w:jc w:val="right"/>
              <w:rPr>
                <w:sz w:val="20"/>
                <w:szCs w:val="20"/>
              </w:rPr>
            </w:pPr>
            <w:r w:rsidRPr="008B6A75">
              <w:rPr>
                <w:sz w:val="20"/>
                <w:szCs w:val="20"/>
              </w:rPr>
              <w:t>5 311 600,00</w:t>
            </w:r>
          </w:p>
        </w:tc>
        <w:tc>
          <w:tcPr>
            <w:tcW w:w="992" w:type="dxa"/>
            <w:gridSpan w:val="2"/>
            <w:tcBorders>
              <w:top w:val="nil"/>
              <w:left w:val="single" w:sz="4" w:space="0" w:color="auto"/>
              <w:bottom w:val="nil"/>
              <w:right w:val="nil"/>
            </w:tcBorders>
            <w:shd w:val="clear" w:color="auto" w:fill="auto"/>
            <w:noWrap/>
            <w:vAlign w:val="center"/>
            <w:hideMark/>
          </w:tcPr>
          <w:p w14:paraId="48F6EB6B" w14:textId="77777777" w:rsidR="00387142" w:rsidRPr="008B6A75" w:rsidRDefault="00387142" w:rsidP="00387142">
            <w:pPr>
              <w:jc w:val="right"/>
              <w:rPr>
                <w:sz w:val="20"/>
                <w:szCs w:val="20"/>
              </w:rPr>
            </w:pPr>
            <w:r w:rsidRPr="008B6A75">
              <w:rPr>
                <w:sz w:val="20"/>
                <w:szCs w:val="20"/>
              </w:rPr>
              <w:t>0,00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43B2374C" w14:textId="77777777" w:rsidR="00387142" w:rsidRPr="008B6A75" w:rsidRDefault="00387142" w:rsidP="00387142">
            <w:pPr>
              <w:jc w:val="right"/>
              <w:rPr>
                <w:sz w:val="20"/>
                <w:szCs w:val="20"/>
              </w:rPr>
            </w:pPr>
            <w:r w:rsidRPr="008B6A75">
              <w:rPr>
                <w:sz w:val="20"/>
                <w:szCs w:val="20"/>
              </w:rPr>
              <w:t>0,00</w:t>
            </w:r>
          </w:p>
        </w:tc>
        <w:tc>
          <w:tcPr>
            <w:tcW w:w="222" w:type="dxa"/>
            <w:vAlign w:val="center"/>
            <w:hideMark/>
          </w:tcPr>
          <w:p w14:paraId="270026C4" w14:textId="77777777" w:rsidR="00387142" w:rsidRPr="008B6A75" w:rsidRDefault="00387142" w:rsidP="00387142">
            <w:pPr>
              <w:rPr>
                <w:sz w:val="20"/>
                <w:szCs w:val="20"/>
              </w:rPr>
            </w:pPr>
          </w:p>
        </w:tc>
      </w:tr>
      <w:tr w:rsidR="00387142" w:rsidRPr="008B6A75" w14:paraId="4528EF36" w14:textId="77777777" w:rsidTr="00387142">
        <w:trPr>
          <w:trHeight w:val="300"/>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529127F8" w14:textId="77777777" w:rsidR="00387142" w:rsidRPr="008B6A75" w:rsidRDefault="00387142" w:rsidP="00387142">
            <w:pPr>
              <w:rPr>
                <w:sz w:val="20"/>
                <w:szCs w:val="20"/>
              </w:rPr>
            </w:pPr>
            <w:r w:rsidRPr="008B6A75">
              <w:rPr>
                <w:sz w:val="20"/>
                <w:szCs w:val="20"/>
              </w:rPr>
              <w:t>Субсидии</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25B73DFF" w14:textId="77777777" w:rsidR="00387142" w:rsidRPr="008B6A75" w:rsidRDefault="00387142" w:rsidP="00387142">
            <w:pPr>
              <w:jc w:val="center"/>
              <w:rPr>
                <w:sz w:val="20"/>
                <w:szCs w:val="20"/>
              </w:rPr>
            </w:pPr>
            <w:r w:rsidRPr="008B6A75">
              <w:rPr>
                <w:sz w:val="20"/>
                <w:szCs w:val="20"/>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01D21E81" w14:textId="77777777" w:rsidR="00387142" w:rsidRPr="008B6A75" w:rsidRDefault="00387142" w:rsidP="00387142">
            <w:pPr>
              <w:jc w:val="center"/>
              <w:rPr>
                <w:sz w:val="20"/>
                <w:szCs w:val="20"/>
              </w:rPr>
            </w:pPr>
            <w:r w:rsidRPr="008B6A75">
              <w:rPr>
                <w:sz w:val="20"/>
                <w:szCs w:val="20"/>
              </w:rPr>
              <w:t>05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E8FD8C" w14:textId="77777777" w:rsidR="00387142" w:rsidRPr="008B6A75" w:rsidRDefault="00387142" w:rsidP="00387142">
            <w:pPr>
              <w:jc w:val="center"/>
              <w:rPr>
                <w:sz w:val="20"/>
                <w:szCs w:val="20"/>
              </w:rPr>
            </w:pPr>
            <w:r w:rsidRPr="008B6A75">
              <w:rPr>
                <w:sz w:val="20"/>
                <w:szCs w:val="20"/>
              </w:rPr>
              <w:t>03</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2953D707" w14:textId="77777777" w:rsidR="00387142" w:rsidRPr="008B6A75" w:rsidRDefault="00387142" w:rsidP="00387142">
            <w:pPr>
              <w:jc w:val="center"/>
              <w:rPr>
                <w:sz w:val="20"/>
                <w:szCs w:val="20"/>
              </w:rPr>
            </w:pPr>
            <w:r w:rsidRPr="008B6A75">
              <w:rPr>
                <w:sz w:val="20"/>
                <w:szCs w:val="20"/>
              </w:rPr>
              <w:t>17.2.F2.55551</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6CF8FE" w14:textId="77777777" w:rsidR="00387142" w:rsidRPr="008B6A75" w:rsidRDefault="00387142" w:rsidP="00387142">
            <w:pPr>
              <w:jc w:val="center"/>
              <w:rPr>
                <w:sz w:val="20"/>
                <w:szCs w:val="20"/>
              </w:rPr>
            </w:pPr>
            <w:r w:rsidRPr="008B6A75">
              <w:rPr>
                <w:sz w:val="20"/>
                <w:szCs w:val="20"/>
              </w:rPr>
              <w:t>520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8ECC2" w14:textId="77777777" w:rsidR="00387142" w:rsidRPr="008B6A75" w:rsidRDefault="00387142" w:rsidP="00387142">
            <w:pPr>
              <w:jc w:val="right"/>
              <w:rPr>
                <w:sz w:val="20"/>
                <w:szCs w:val="20"/>
              </w:rPr>
            </w:pPr>
            <w:r w:rsidRPr="008B6A75">
              <w:rPr>
                <w:sz w:val="20"/>
                <w:szCs w:val="20"/>
              </w:rPr>
              <w:t>5 311 600,00</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68BFA910" w14:textId="77777777" w:rsidR="00387142" w:rsidRPr="008B6A75" w:rsidRDefault="00387142" w:rsidP="00387142">
            <w:pPr>
              <w:jc w:val="right"/>
              <w:rPr>
                <w:sz w:val="20"/>
                <w:szCs w:val="20"/>
              </w:rPr>
            </w:pPr>
            <w:r w:rsidRPr="008B6A75">
              <w:rPr>
                <w:sz w:val="20"/>
                <w:szCs w:val="20"/>
              </w:rPr>
              <w:t>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C5BBCF" w14:textId="77777777" w:rsidR="00387142" w:rsidRPr="008B6A75" w:rsidRDefault="00387142" w:rsidP="00387142">
            <w:pPr>
              <w:jc w:val="right"/>
              <w:rPr>
                <w:sz w:val="20"/>
                <w:szCs w:val="20"/>
              </w:rPr>
            </w:pPr>
            <w:r w:rsidRPr="008B6A75">
              <w:rPr>
                <w:sz w:val="20"/>
                <w:szCs w:val="20"/>
              </w:rPr>
              <w:t>0,00</w:t>
            </w:r>
          </w:p>
        </w:tc>
        <w:tc>
          <w:tcPr>
            <w:tcW w:w="222" w:type="dxa"/>
            <w:vAlign w:val="center"/>
            <w:hideMark/>
          </w:tcPr>
          <w:p w14:paraId="0BC2A462" w14:textId="77777777" w:rsidR="00387142" w:rsidRPr="008B6A75" w:rsidRDefault="00387142" w:rsidP="00387142">
            <w:pPr>
              <w:rPr>
                <w:sz w:val="20"/>
                <w:szCs w:val="20"/>
              </w:rPr>
            </w:pPr>
          </w:p>
        </w:tc>
      </w:tr>
      <w:tr w:rsidR="00387142" w:rsidRPr="008B6A75" w14:paraId="1C7CAB64" w14:textId="77777777" w:rsidTr="00387142">
        <w:trPr>
          <w:trHeight w:val="2580"/>
        </w:trPr>
        <w:tc>
          <w:tcPr>
            <w:tcW w:w="3021" w:type="dxa"/>
            <w:tcBorders>
              <w:top w:val="nil"/>
              <w:left w:val="single" w:sz="4" w:space="0" w:color="auto"/>
              <w:bottom w:val="nil"/>
              <w:right w:val="nil"/>
            </w:tcBorders>
            <w:shd w:val="clear" w:color="auto" w:fill="auto"/>
            <w:vAlign w:val="center"/>
            <w:hideMark/>
          </w:tcPr>
          <w:p w14:paraId="4E6DB984" w14:textId="77777777" w:rsidR="00387142" w:rsidRPr="008B6A75" w:rsidRDefault="00387142" w:rsidP="00387142">
            <w:pPr>
              <w:rPr>
                <w:bCs/>
                <w:sz w:val="20"/>
                <w:szCs w:val="20"/>
              </w:rPr>
            </w:pPr>
            <w:r w:rsidRPr="008B6A75">
              <w:rPr>
                <w:bCs/>
                <w:sz w:val="20"/>
                <w:szCs w:val="20"/>
              </w:rPr>
              <w:t>Реализация мероприятий по формированию комфортной городской среды подпрограммы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 в» (благоустройство общественных пространств населенных пунктов Новосибирской области)</w:t>
            </w:r>
          </w:p>
        </w:tc>
        <w:tc>
          <w:tcPr>
            <w:tcW w:w="850" w:type="dxa"/>
            <w:tcBorders>
              <w:top w:val="nil"/>
              <w:left w:val="single" w:sz="4" w:space="0" w:color="auto"/>
              <w:bottom w:val="nil"/>
              <w:right w:val="nil"/>
            </w:tcBorders>
            <w:shd w:val="clear" w:color="auto" w:fill="auto"/>
            <w:noWrap/>
            <w:vAlign w:val="center"/>
            <w:hideMark/>
          </w:tcPr>
          <w:p w14:paraId="6272E10E" w14:textId="77777777" w:rsidR="00387142" w:rsidRPr="008B6A75" w:rsidRDefault="00387142" w:rsidP="00387142">
            <w:pPr>
              <w:jc w:val="center"/>
              <w:rPr>
                <w:bCs/>
                <w:sz w:val="20"/>
                <w:szCs w:val="20"/>
              </w:rPr>
            </w:pPr>
            <w:r w:rsidRPr="008B6A75">
              <w:rPr>
                <w:bCs/>
                <w:sz w:val="20"/>
                <w:szCs w:val="20"/>
              </w:rPr>
              <w:t>444</w:t>
            </w:r>
          </w:p>
        </w:tc>
        <w:tc>
          <w:tcPr>
            <w:tcW w:w="709" w:type="dxa"/>
            <w:tcBorders>
              <w:top w:val="nil"/>
              <w:left w:val="single" w:sz="4" w:space="0" w:color="auto"/>
              <w:bottom w:val="nil"/>
              <w:right w:val="nil"/>
            </w:tcBorders>
            <w:shd w:val="clear" w:color="auto" w:fill="auto"/>
            <w:noWrap/>
            <w:vAlign w:val="center"/>
            <w:hideMark/>
          </w:tcPr>
          <w:p w14:paraId="6C30C9B3" w14:textId="77777777" w:rsidR="00387142" w:rsidRPr="008B6A75" w:rsidRDefault="00387142" w:rsidP="00387142">
            <w:pPr>
              <w:jc w:val="center"/>
              <w:rPr>
                <w:bCs/>
                <w:sz w:val="20"/>
                <w:szCs w:val="20"/>
              </w:rPr>
            </w:pPr>
            <w:r w:rsidRPr="008B6A75">
              <w:rPr>
                <w:bCs/>
                <w:sz w:val="20"/>
                <w:szCs w:val="20"/>
              </w:rPr>
              <w:t>05</w:t>
            </w:r>
          </w:p>
        </w:tc>
        <w:tc>
          <w:tcPr>
            <w:tcW w:w="709" w:type="dxa"/>
            <w:tcBorders>
              <w:top w:val="nil"/>
              <w:left w:val="single" w:sz="4" w:space="0" w:color="auto"/>
              <w:bottom w:val="nil"/>
              <w:right w:val="single" w:sz="4" w:space="0" w:color="auto"/>
            </w:tcBorders>
            <w:shd w:val="clear" w:color="auto" w:fill="auto"/>
            <w:noWrap/>
            <w:vAlign w:val="center"/>
            <w:hideMark/>
          </w:tcPr>
          <w:p w14:paraId="26B6BC49" w14:textId="77777777" w:rsidR="00387142" w:rsidRPr="008B6A75" w:rsidRDefault="00387142" w:rsidP="00387142">
            <w:pPr>
              <w:jc w:val="center"/>
              <w:rPr>
                <w:bCs/>
                <w:sz w:val="20"/>
                <w:szCs w:val="20"/>
              </w:rPr>
            </w:pPr>
            <w:r w:rsidRPr="008B6A75">
              <w:rPr>
                <w:bCs/>
                <w:sz w:val="20"/>
                <w:szCs w:val="20"/>
              </w:rPr>
              <w:t>03</w:t>
            </w:r>
          </w:p>
        </w:tc>
        <w:tc>
          <w:tcPr>
            <w:tcW w:w="1411" w:type="dxa"/>
            <w:tcBorders>
              <w:top w:val="nil"/>
              <w:left w:val="single" w:sz="4" w:space="0" w:color="auto"/>
              <w:bottom w:val="nil"/>
              <w:right w:val="nil"/>
            </w:tcBorders>
            <w:shd w:val="clear" w:color="auto" w:fill="auto"/>
            <w:noWrap/>
            <w:vAlign w:val="center"/>
            <w:hideMark/>
          </w:tcPr>
          <w:p w14:paraId="4B61F17E" w14:textId="77777777" w:rsidR="00387142" w:rsidRPr="008B6A75" w:rsidRDefault="00387142" w:rsidP="00387142">
            <w:pPr>
              <w:jc w:val="center"/>
              <w:rPr>
                <w:bCs/>
                <w:sz w:val="20"/>
                <w:szCs w:val="20"/>
              </w:rPr>
            </w:pPr>
            <w:r w:rsidRPr="008B6A75">
              <w:rPr>
                <w:bCs/>
                <w:sz w:val="20"/>
                <w:szCs w:val="20"/>
              </w:rPr>
              <w:t>17.2.F2.55552</w:t>
            </w:r>
          </w:p>
        </w:tc>
        <w:tc>
          <w:tcPr>
            <w:tcW w:w="955" w:type="dxa"/>
            <w:tcBorders>
              <w:top w:val="nil"/>
              <w:left w:val="single" w:sz="4" w:space="0" w:color="auto"/>
              <w:bottom w:val="nil"/>
              <w:right w:val="single" w:sz="4" w:space="0" w:color="auto"/>
            </w:tcBorders>
            <w:shd w:val="clear" w:color="auto" w:fill="auto"/>
            <w:noWrap/>
            <w:vAlign w:val="center"/>
            <w:hideMark/>
          </w:tcPr>
          <w:p w14:paraId="077A58BA"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nil"/>
              <w:right w:val="single" w:sz="4" w:space="0" w:color="auto"/>
            </w:tcBorders>
            <w:shd w:val="clear" w:color="auto" w:fill="auto"/>
            <w:noWrap/>
            <w:vAlign w:val="center"/>
            <w:hideMark/>
          </w:tcPr>
          <w:p w14:paraId="7BAA84E6" w14:textId="77777777" w:rsidR="00387142" w:rsidRPr="008B6A75" w:rsidRDefault="00387142" w:rsidP="00387142">
            <w:pPr>
              <w:jc w:val="right"/>
              <w:rPr>
                <w:bCs/>
                <w:sz w:val="20"/>
                <w:szCs w:val="20"/>
              </w:rPr>
            </w:pPr>
            <w:r w:rsidRPr="008B6A75">
              <w:rPr>
                <w:bCs/>
                <w:sz w:val="20"/>
                <w:szCs w:val="20"/>
              </w:rPr>
              <w:t>22 014 773,54</w:t>
            </w:r>
          </w:p>
        </w:tc>
        <w:tc>
          <w:tcPr>
            <w:tcW w:w="992" w:type="dxa"/>
            <w:gridSpan w:val="2"/>
            <w:tcBorders>
              <w:top w:val="nil"/>
              <w:left w:val="single" w:sz="4" w:space="0" w:color="auto"/>
              <w:bottom w:val="nil"/>
              <w:right w:val="nil"/>
            </w:tcBorders>
            <w:shd w:val="clear" w:color="auto" w:fill="auto"/>
            <w:noWrap/>
            <w:vAlign w:val="center"/>
            <w:hideMark/>
          </w:tcPr>
          <w:p w14:paraId="57B967A3" w14:textId="77777777" w:rsidR="00387142" w:rsidRPr="008B6A75" w:rsidRDefault="00387142" w:rsidP="00387142">
            <w:pPr>
              <w:jc w:val="right"/>
              <w:rPr>
                <w:bCs/>
                <w:sz w:val="20"/>
                <w:szCs w:val="20"/>
              </w:rPr>
            </w:pPr>
            <w:r w:rsidRPr="008B6A75">
              <w:rPr>
                <w:bCs/>
                <w:sz w:val="20"/>
                <w:szCs w:val="20"/>
              </w:rPr>
              <w:t>12 440 000,00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7EC9AA42" w14:textId="77777777" w:rsidR="00387142" w:rsidRPr="008B6A75" w:rsidRDefault="00387142" w:rsidP="00387142">
            <w:pPr>
              <w:jc w:val="right"/>
              <w:rPr>
                <w:bCs/>
                <w:sz w:val="20"/>
                <w:szCs w:val="20"/>
              </w:rPr>
            </w:pPr>
            <w:r w:rsidRPr="008B6A75">
              <w:rPr>
                <w:bCs/>
                <w:sz w:val="20"/>
                <w:szCs w:val="20"/>
              </w:rPr>
              <w:t>12 440 000,00</w:t>
            </w:r>
          </w:p>
        </w:tc>
        <w:tc>
          <w:tcPr>
            <w:tcW w:w="222" w:type="dxa"/>
            <w:vAlign w:val="center"/>
            <w:hideMark/>
          </w:tcPr>
          <w:p w14:paraId="1995A236" w14:textId="77777777" w:rsidR="00387142" w:rsidRPr="008B6A75" w:rsidRDefault="00387142" w:rsidP="00387142">
            <w:pPr>
              <w:rPr>
                <w:sz w:val="20"/>
                <w:szCs w:val="20"/>
              </w:rPr>
            </w:pPr>
          </w:p>
        </w:tc>
      </w:tr>
      <w:tr w:rsidR="00387142" w:rsidRPr="008B6A75" w14:paraId="7F2E8C44" w14:textId="77777777" w:rsidTr="00387142">
        <w:trPr>
          <w:trHeight w:val="585"/>
        </w:trPr>
        <w:tc>
          <w:tcPr>
            <w:tcW w:w="3021" w:type="dxa"/>
            <w:tcBorders>
              <w:top w:val="single" w:sz="4" w:space="0" w:color="auto"/>
              <w:left w:val="single" w:sz="4" w:space="0" w:color="auto"/>
              <w:bottom w:val="nil"/>
              <w:right w:val="nil"/>
            </w:tcBorders>
            <w:shd w:val="clear" w:color="auto" w:fill="auto"/>
            <w:vAlign w:val="center"/>
            <w:hideMark/>
          </w:tcPr>
          <w:p w14:paraId="75C7D086" w14:textId="77777777" w:rsidR="00387142" w:rsidRPr="008B6A75" w:rsidRDefault="00387142" w:rsidP="00387142">
            <w:pPr>
              <w:rPr>
                <w:sz w:val="20"/>
                <w:szCs w:val="20"/>
              </w:rPr>
            </w:pPr>
            <w:r w:rsidRPr="008B6A75">
              <w:rPr>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nil"/>
              <w:right w:val="nil"/>
            </w:tcBorders>
            <w:shd w:val="clear" w:color="auto" w:fill="auto"/>
            <w:noWrap/>
            <w:vAlign w:val="center"/>
            <w:hideMark/>
          </w:tcPr>
          <w:p w14:paraId="0D97A389" w14:textId="77777777" w:rsidR="00387142" w:rsidRPr="008B6A75" w:rsidRDefault="00387142" w:rsidP="00387142">
            <w:pPr>
              <w:jc w:val="center"/>
              <w:rPr>
                <w:sz w:val="20"/>
                <w:szCs w:val="20"/>
              </w:rPr>
            </w:pPr>
            <w:r w:rsidRPr="008B6A75">
              <w:rPr>
                <w:sz w:val="20"/>
                <w:szCs w:val="20"/>
              </w:rPr>
              <w:t>444</w:t>
            </w:r>
          </w:p>
        </w:tc>
        <w:tc>
          <w:tcPr>
            <w:tcW w:w="709" w:type="dxa"/>
            <w:tcBorders>
              <w:top w:val="single" w:sz="4" w:space="0" w:color="auto"/>
              <w:left w:val="single" w:sz="4" w:space="0" w:color="auto"/>
              <w:bottom w:val="nil"/>
              <w:right w:val="nil"/>
            </w:tcBorders>
            <w:shd w:val="clear" w:color="auto" w:fill="auto"/>
            <w:noWrap/>
            <w:vAlign w:val="center"/>
            <w:hideMark/>
          </w:tcPr>
          <w:p w14:paraId="0D69862E" w14:textId="77777777" w:rsidR="00387142" w:rsidRPr="008B6A75" w:rsidRDefault="00387142" w:rsidP="00387142">
            <w:pPr>
              <w:jc w:val="center"/>
              <w:rPr>
                <w:sz w:val="20"/>
                <w:szCs w:val="20"/>
              </w:rPr>
            </w:pPr>
            <w:r w:rsidRPr="008B6A75">
              <w:rPr>
                <w:sz w:val="20"/>
                <w:szCs w:val="20"/>
              </w:rPr>
              <w:t>05</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244D4A29" w14:textId="77777777" w:rsidR="00387142" w:rsidRPr="008B6A75" w:rsidRDefault="00387142" w:rsidP="00387142">
            <w:pPr>
              <w:jc w:val="center"/>
              <w:rPr>
                <w:sz w:val="20"/>
                <w:szCs w:val="20"/>
              </w:rPr>
            </w:pPr>
            <w:r w:rsidRPr="008B6A75">
              <w:rPr>
                <w:sz w:val="20"/>
                <w:szCs w:val="20"/>
              </w:rPr>
              <w:t>03</w:t>
            </w:r>
          </w:p>
        </w:tc>
        <w:tc>
          <w:tcPr>
            <w:tcW w:w="1411" w:type="dxa"/>
            <w:tcBorders>
              <w:top w:val="single" w:sz="4" w:space="0" w:color="auto"/>
              <w:left w:val="single" w:sz="4" w:space="0" w:color="auto"/>
              <w:bottom w:val="nil"/>
              <w:right w:val="nil"/>
            </w:tcBorders>
            <w:shd w:val="clear" w:color="auto" w:fill="auto"/>
            <w:noWrap/>
            <w:vAlign w:val="center"/>
            <w:hideMark/>
          </w:tcPr>
          <w:p w14:paraId="4422CA41" w14:textId="77777777" w:rsidR="00387142" w:rsidRPr="008B6A75" w:rsidRDefault="00387142" w:rsidP="00387142">
            <w:pPr>
              <w:jc w:val="center"/>
              <w:rPr>
                <w:sz w:val="20"/>
                <w:szCs w:val="20"/>
              </w:rPr>
            </w:pPr>
            <w:r w:rsidRPr="008B6A75">
              <w:rPr>
                <w:sz w:val="20"/>
                <w:szCs w:val="20"/>
              </w:rPr>
              <w:t>17.2.F2.55552</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05B604C5" w14:textId="77777777" w:rsidR="00387142" w:rsidRPr="008B6A75" w:rsidRDefault="00387142" w:rsidP="00387142">
            <w:pPr>
              <w:jc w:val="center"/>
              <w:rPr>
                <w:sz w:val="20"/>
                <w:szCs w:val="20"/>
              </w:rPr>
            </w:pPr>
            <w:r w:rsidRPr="008B6A75">
              <w:rPr>
                <w:sz w:val="20"/>
                <w:szCs w:val="20"/>
              </w:rPr>
              <w:t>200</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32E1B549" w14:textId="77777777" w:rsidR="00387142" w:rsidRPr="008B6A75" w:rsidRDefault="00387142" w:rsidP="00387142">
            <w:pPr>
              <w:jc w:val="right"/>
              <w:rPr>
                <w:sz w:val="20"/>
                <w:szCs w:val="20"/>
              </w:rPr>
            </w:pPr>
            <w:r w:rsidRPr="008B6A75">
              <w:rPr>
                <w:sz w:val="20"/>
                <w:szCs w:val="20"/>
              </w:rPr>
              <w:t>0,00</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17F48272" w14:textId="77777777" w:rsidR="00387142" w:rsidRPr="008B6A75" w:rsidRDefault="00387142" w:rsidP="00387142">
            <w:pPr>
              <w:jc w:val="right"/>
              <w:rPr>
                <w:sz w:val="20"/>
                <w:szCs w:val="20"/>
              </w:rPr>
            </w:pPr>
            <w:r w:rsidRPr="008B6A75">
              <w:rPr>
                <w:sz w:val="20"/>
                <w:szCs w:val="20"/>
              </w:rPr>
              <w:t>2 908 618,41</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1A3D097C" w14:textId="77777777" w:rsidR="00387142" w:rsidRPr="008B6A75" w:rsidRDefault="00387142" w:rsidP="00387142">
            <w:pPr>
              <w:jc w:val="right"/>
              <w:rPr>
                <w:sz w:val="20"/>
                <w:szCs w:val="20"/>
              </w:rPr>
            </w:pPr>
            <w:r w:rsidRPr="008B6A75">
              <w:rPr>
                <w:sz w:val="20"/>
                <w:szCs w:val="20"/>
              </w:rPr>
              <w:t>12 440 000,00</w:t>
            </w:r>
          </w:p>
        </w:tc>
        <w:tc>
          <w:tcPr>
            <w:tcW w:w="222" w:type="dxa"/>
            <w:vAlign w:val="center"/>
            <w:hideMark/>
          </w:tcPr>
          <w:p w14:paraId="32A1AB1F" w14:textId="77777777" w:rsidR="00387142" w:rsidRPr="008B6A75" w:rsidRDefault="00387142" w:rsidP="00387142">
            <w:pPr>
              <w:rPr>
                <w:sz w:val="20"/>
                <w:szCs w:val="20"/>
              </w:rPr>
            </w:pPr>
          </w:p>
        </w:tc>
      </w:tr>
      <w:tr w:rsidR="00387142" w:rsidRPr="008B6A75" w14:paraId="6128E199" w14:textId="77777777" w:rsidTr="00387142">
        <w:trPr>
          <w:trHeight w:val="870"/>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37C7FBE6" w14:textId="77777777" w:rsidR="00387142" w:rsidRPr="008B6A75" w:rsidRDefault="00387142" w:rsidP="00387142">
            <w:pPr>
              <w:rPr>
                <w:sz w:val="20"/>
                <w:szCs w:val="20"/>
              </w:rPr>
            </w:pPr>
            <w:r w:rsidRPr="008B6A75">
              <w:rPr>
                <w:sz w:val="20"/>
                <w:szCs w:val="20"/>
              </w:rPr>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0E176F50" w14:textId="77777777" w:rsidR="00387142" w:rsidRPr="008B6A75" w:rsidRDefault="00387142" w:rsidP="00387142">
            <w:pPr>
              <w:jc w:val="center"/>
              <w:rPr>
                <w:sz w:val="20"/>
                <w:szCs w:val="20"/>
              </w:rPr>
            </w:pPr>
            <w:r w:rsidRPr="008B6A75">
              <w:rPr>
                <w:sz w:val="20"/>
                <w:szCs w:val="20"/>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341611DA" w14:textId="77777777" w:rsidR="00387142" w:rsidRPr="008B6A75" w:rsidRDefault="00387142" w:rsidP="00387142">
            <w:pPr>
              <w:jc w:val="center"/>
              <w:rPr>
                <w:sz w:val="20"/>
                <w:szCs w:val="20"/>
              </w:rPr>
            </w:pPr>
            <w:r w:rsidRPr="008B6A75">
              <w:rPr>
                <w:sz w:val="20"/>
                <w:szCs w:val="20"/>
              </w:rPr>
              <w:t>05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B79E1A" w14:textId="77777777" w:rsidR="00387142" w:rsidRPr="008B6A75" w:rsidRDefault="00387142" w:rsidP="00387142">
            <w:pPr>
              <w:jc w:val="center"/>
              <w:rPr>
                <w:sz w:val="20"/>
                <w:szCs w:val="20"/>
              </w:rPr>
            </w:pPr>
            <w:r w:rsidRPr="008B6A75">
              <w:rPr>
                <w:sz w:val="20"/>
                <w:szCs w:val="20"/>
              </w:rPr>
              <w:t>03</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18393758" w14:textId="77777777" w:rsidR="00387142" w:rsidRPr="008B6A75" w:rsidRDefault="00387142" w:rsidP="00387142">
            <w:pPr>
              <w:jc w:val="center"/>
              <w:rPr>
                <w:sz w:val="20"/>
                <w:szCs w:val="20"/>
              </w:rPr>
            </w:pPr>
            <w:r w:rsidRPr="008B6A75">
              <w:rPr>
                <w:sz w:val="20"/>
                <w:szCs w:val="20"/>
              </w:rPr>
              <w:t>17.2.F2.55552</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0CF406" w14:textId="77777777" w:rsidR="00387142" w:rsidRPr="008B6A75" w:rsidRDefault="00387142" w:rsidP="00387142">
            <w:pPr>
              <w:jc w:val="center"/>
              <w:rPr>
                <w:sz w:val="20"/>
                <w:szCs w:val="20"/>
              </w:rPr>
            </w:pPr>
            <w:r w:rsidRPr="008B6A75">
              <w:rPr>
                <w:sz w:val="20"/>
                <w:szCs w:val="20"/>
              </w:rPr>
              <w:t>240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FA67D8" w14:textId="77777777" w:rsidR="00387142" w:rsidRPr="008B6A75" w:rsidRDefault="00387142" w:rsidP="00387142">
            <w:pPr>
              <w:jc w:val="right"/>
              <w:rPr>
                <w:sz w:val="20"/>
                <w:szCs w:val="20"/>
              </w:rPr>
            </w:pPr>
            <w:r w:rsidRPr="008B6A75">
              <w:rPr>
                <w:sz w:val="20"/>
                <w:szCs w:val="20"/>
              </w:rPr>
              <w:t>0,00</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366E7EE5" w14:textId="77777777" w:rsidR="00387142" w:rsidRPr="008B6A75" w:rsidRDefault="00387142" w:rsidP="00387142">
            <w:pPr>
              <w:jc w:val="right"/>
              <w:rPr>
                <w:sz w:val="20"/>
                <w:szCs w:val="20"/>
              </w:rPr>
            </w:pPr>
            <w:r w:rsidRPr="008B6A75">
              <w:rPr>
                <w:sz w:val="20"/>
                <w:szCs w:val="20"/>
              </w:rPr>
              <w:t>2 908 618,41</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06DE39" w14:textId="77777777" w:rsidR="00387142" w:rsidRPr="008B6A75" w:rsidRDefault="00387142" w:rsidP="00387142">
            <w:pPr>
              <w:jc w:val="right"/>
              <w:rPr>
                <w:sz w:val="20"/>
                <w:szCs w:val="20"/>
              </w:rPr>
            </w:pPr>
            <w:r w:rsidRPr="008B6A75">
              <w:rPr>
                <w:sz w:val="20"/>
                <w:szCs w:val="20"/>
              </w:rPr>
              <w:t>12 440 000,00</w:t>
            </w:r>
          </w:p>
        </w:tc>
        <w:tc>
          <w:tcPr>
            <w:tcW w:w="222" w:type="dxa"/>
            <w:vAlign w:val="center"/>
            <w:hideMark/>
          </w:tcPr>
          <w:p w14:paraId="4A88120A" w14:textId="77777777" w:rsidR="00387142" w:rsidRPr="008B6A75" w:rsidRDefault="00387142" w:rsidP="00387142">
            <w:pPr>
              <w:rPr>
                <w:sz w:val="20"/>
                <w:szCs w:val="20"/>
              </w:rPr>
            </w:pPr>
          </w:p>
        </w:tc>
      </w:tr>
      <w:tr w:rsidR="00387142" w:rsidRPr="008B6A75" w14:paraId="56D93E1C" w14:textId="77777777" w:rsidTr="00387142">
        <w:trPr>
          <w:trHeight w:val="300"/>
        </w:trPr>
        <w:tc>
          <w:tcPr>
            <w:tcW w:w="3021" w:type="dxa"/>
            <w:tcBorders>
              <w:top w:val="nil"/>
              <w:left w:val="single" w:sz="4" w:space="0" w:color="auto"/>
              <w:bottom w:val="nil"/>
              <w:right w:val="nil"/>
            </w:tcBorders>
            <w:shd w:val="clear" w:color="auto" w:fill="auto"/>
            <w:vAlign w:val="center"/>
            <w:hideMark/>
          </w:tcPr>
          <w:p w14:paraId="78638DDC" w14:textId="77777777" w:rsidR="00387142" w:rsidRPr="008B6A75" w:rsidRDefault="00387142" w:rsidP="00387142">
            <w:pPr>
              <w:rPr>
                <w:sz w:val="20"/>
                <w:szCs w:val="20"/>
              </w:rPr>
            </w:pPr>
            <w:r w:rsidRPr="008B6A75">
              <w:rPr>
                <w:sz w:val="20"/>
                <w:szCs w:val="20"/>
              </w:rPr>
              <w:t>Межбюджетные трансферты</w:t>
            </w:r>
          </w:p>
        </w:tc>
        <w:tc>
          <w:tcPr>
            <w:tcW w:w="850" w:type="dxa"/>
            <w:tcBorders>
              <w:top w:val="nil"/>
              <w:left w:val="single" w:sz="4" w:space="0" w:color="auto"/>
              <w:bottom w:val="nil"/>
              <w:right w:val="nil"/>
            </w:tcBorders>
            <w:shd w:val="clear" w:color="auto" w:fill="auto"/>
            <w:noWrap/>
            <w:vAlign w:val="center"/>
            <w:hideMark/>
          </w:tcPr>
          <w:p w14:paraId="1E46249D" w14:textId="77777777" w:rsidR="00387142" w:rsidRPr="008B6A75" w:rsidRDefault="00387142" w:rsidP="00387142">
            <w:pPr>
              <w:jc w:val="center"/>
              <w:rPr>
                <w:sz w:val="20"/>
                <w:szCs w:val="20"/>
              </w:rPr>
            </w:pPr>
            <w:r w:rsidRPr="008B6A75">
              <w:rPr>
                <w:sz w:val="20"/>
                <w:szCs w:val="20"/>
              </w:rPr>
              <w:t>444</w:t>
            </w:r>
          </w:p>
        </w:tc>
        <w:tc>
          <w:tcPr>
            <w:tcW w:w="709" w:type="dxa"/>
            <w:tcBorders>
              <w:top w:val="nil"/>
              <w:left w:val="single" w:sz="4" w:space="0" w:color="auto"/>
              <w:bottom w:val="nil"/>
              <w:right w:val="nil"/>
            </w:tcBorders>
            <w:shd w:val="clear" w:color="auto" w:fill="auto"/>
            <w:noWrap/>
            <w:vAlign w:val="center"/>
            <w:hideMark/>
          </w:tcPr>
          <w:p w14:paraId="03F75FE6" w14:textId="77777777" w:rsidR="00387142" w:rsidRPr="008B6A75" w:rsidRDefault="00387142" w:rsidP="00387142">
            <w:pPr>
              <w:jc w:val="center"/>
              <w:rPr>
                <w:sz w:val="20"/>
                <w:szCs w:val="20"/>
              </w:rPr>
            </w:pPr>
            <w:r w:rsidRPr="008B6A75">
              <w:rPr>
                <w:sz w:val="20"/>
                <w:szCs w:val="20"/>
              </w:rPr>
              <w:t>05</w:t>
            </w:r>
          </w:p>
        </w:tc>
        <w:tc>
          <w:tcPr>
            <w:tcW w:w="709" w:type="dxa"/>
            <w:tcBorders>
              <w:top w:val="nil"/>
              <w:left w:val="single" w:sz="4" w:space="0" w:color="auto"/>
              <w:bottom w:val="nil"/>
              <w:right w:val="single" w:sz="4" w:space="0" w:color="auto"/>
            </w:tcBorders>
            <w:shd w:val="clear" w:color="auto" w:fill="auto"/>
            <w:noWrap/>
            <w:vAlign w:val="center"/>
            <w:hideMark/>
          </w:tcPr>
          <w:p w14:paraId="4426AB42" w14:textId="77777777" w:rsidR="00387142" w:rsidRPr="008B6A75" w:rsidRDefault="00387142" w:rsidP="00387142">
            <w:pPr>
              <w:jc w:val="center"/>
              <w:rPr>
                <w:sz w:val="20"/>
                <w:szCs w:val="20"/>
              </w:rPr>
            </w:pPr>
            <w:r w:rsidRPr="008B6A75">
              <w:rPr>
                <w:sz w:val="20"/>
                <w:szCs w:val="20"/>
              </w:rPr>
              <w:t>03</w:t>
            </w:r>
          </w:p>
        </w:tc>
        <w:tc>
          <w:tcPr>
            <w:tcW w:w="1411" w:type="dxa"/>
            <w:tcBorders>
              <w:top w:val="nil"/>
              <w:left w:val="single" w:sz="4" w:space="0" w:color="auto"/>
              <w:bottom w:val="nil"/>
              <w:right w:val="nil"/>
            </w:tcBorders>
            <w:shd w:val="clear" w:color="auto" w:fill="auto"/>
            <w:noWrap/>
            <w:vAlign w:val="center"/>
            <w:hideMark/>
          </w:tcPr>
          <w:p w14:paraId="1A84DF5E" w14:textId="77777777" w:rsidR="00387142" w:rsidRPr="008B6A75" w:rsidRDefault="00387142" w:rsidP="00387142">
            <w:pPr>
              <w:jc w:val="center"/>
              <w:rPr>
                <w:sz w:val="20"/>
                <w:szCs w:val="20"/>
              </w:rPr>
            </w:pPr>
            <w:r w:rsidRPr="008B6A75">
              <w:rPr>
                <w:sz w:val="20"/>
                <w:szCs w:val="20"/>
              </w:rPr>
              <w:t>17.2.F2.55552</w:t>
            </w:r>
          </w:p>
        </w:tc>
        <w:tc>
          <w:tcPr>
            <w:tcW w:w="955" w:type="dxa"/>
            <w:tcBorders>
              <w:top w:val="nil"/>
              <w:left w:val="single" w:sz="4" w:space="0" w:color="auto"/>
              <w:bottom w:val="nil"/>
              <w:right w:val="single" w:sz="4" w:space="0" w:color="auto"/>
            </w:tcBorders>
            <w:shd w:val="clear" w:color="auto" w:fill="auto"/>
            <w:noWrap/>
            <w:vAlign w:val="center"/>
            <w:hideMark/>
          </w:tcPr>
          <w:p w14:paraId="7679CB33" w14:textId="77777777" w:rsidR="00387142" w:rsidRPr="008B6A75" w:rsidRDefault="00387142" w:rsidP="00387142">
            <w:pPr>
              <w:jc w:val="center"/>
              <w:rPr>
                <w:sz w:val="20"/>
                <w:szCs w:val="20"/>
              </w:rPr>
            </w:pPr>
            <w:r w:rsidRPr="008B6A75">
              <w:rPr>
                <w:sz w:val="20"/>
                <w:szCs w:val="20"/>
              </w:rPr>
              <w:t>500</w:t>
            </w:r>
          </w:p>
        </w:tc>
        <w:tc>
          <w:tcPr>
            <w:tcW w:w="992" w:type="dxa"/>
            <w:tcBorders>
              <w:top w:val="nil"/>
              <w:left w:val="single" w:sz="4" w:space="0" w:color="auto"/>
              <w:bottom w:val="nil"/>
              <w:right w:val="single" w:sz="4" w:space="0" w:color="auto"/>
            </w:tcBorders>
            <w:shd w:val="clear" w:color="auto" w:fill="auto"/>
            <w:noWrap/>
            <w:vAlign w:val="center"/>
            <w:hideMark/>
          </w:tcPr>
          <w:p w14:paraId="39754A41" w14:textId="77777777" w:rsidR="00387142" w:rsidRPr="008B6A75" w:rsidRDefault="00387142" w:rsidP="00387142">
            <w:pPr>
              <w:jc w:val="right"/>
              <w:rPr>
                <w:sz w:val="20"/>
                <w:szCs w:val="20"/>
              </w:rPr>
            </w:pPr>
            <w:r w:rsidRPr="008B6A75">
              <w:rPr>
                <w:sz w:val="20"/>
                <w:szCs w:val="20"/>
              </w:rPr>
              <w:t>22 014 773,54</w:t>
            </w:r>
          </w:p>
        </w:tc>
        <w:tc>
          <w:tcPr>
            <w:tcW w:w="992" w:type="dxa"/>
            <w:gridSpan w:val="2"/>
            <w:tcBorders>
              <w:top w:val="nil"/>
              <w:left w:val="single" w:sz="4" w:space="0" w:color="auto"/>
              <w:bottom w:val="nil"/>
              <w:right w:val="nil"/>
            </w:tcBorders>
            <w:shd w:val="clear" w:color="auto" w:fill="auto"/>
            <w:noWrap/>
            <w:vAlign w:val="center"/>
            <w:hideMark/>
          </w:tcPr>
          <w:p w14:paraId="63AE7AA6" w14:textId="77777777" w:rsidR="00387142" w:rsidRPr="008B6A75" w:rsidRDefault="00387142" w:rsidP="00387142">
            <w:pPr>
              <w:jc w:val="right"/>
              <w:rPr>
                <w:sz w:val="20"/>
                <w:szCs w:val="20"/>
              </w:rPr>
            </w:pPr>
            <w:r w:rsidRPr="008B6A75">
              <w:rPr>
                <w:sz w:val="20"/>
                <w:szCs w:val="20"/>
              </w:rPr>
              <w:t>9 531 381,59</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37A426BE" w14:textId="77777777" w:rsidR="00387142" w:rsidRPr="008B6A75" w:rsidRDefault="00387142" w:rsidP="00387142">
            <w:pPr>
              <w:jc w:val="right"/>
              <w:rPr>
                <w:sz w:val="20"/>
                <w:szCs w:val="20"/>
              </w:rPr>
            </w:pPr>
            <w:r w:rsidRPr="008B6A75">
              <w:rPr>
                <w:sz w:val="20"/>
                <w:szCs w:val="20"/>
              </w:rPr>
              <w:t>0,00</w:t>
            </w:r>
          </w:p>
        </w:tc>
        <w:tc>
          <w:tcPr>
            <w:tcW w:w="222" w:type="dxa"/>
            <w:vAlign w:val="center"/>
            <w:hideMark/>
          </w:tcPr>
          <w:p w14:paraId="2F6F2B34" w14:textId="77777777" w:rsidR="00387142" w:rsidRPr="008B6A75" w:rsidRDefault="00387142" w:rsidP="00387142">
            <w:pPr>
              <w:rPr>
                <w:sz w:val="20"/>
                <w:szCs w:val="20"/>
              </w:rPr>
            </w:pPr>
          </w:p>
        </w:tc>
      </w:tr>
      <w:tr w:rsidR="00387142" w:rsidRPr="008B6A75" w14:paraId="7DCC1B86" w14:textId="77777777" w:rsidTr="00387142">
        <w:trPr>
          <w:trHeight w:val="300"/>
        </w:trPr>
        <w:tc>
          <w:tcPr>
            <w:tcW w:w="3021" w:type="dxa"/>
            <w:tcBorders>
              <w:top w:val="single" w:sz="4" w:space="0" w:color="auto"/>
              <w:left w:val="single" w:sz="4" w:space="0" w:color="auto"/>
              <w:bottom w:val="nil"/>
              <w:right w:val="nil"/>
            </w:tcBorders>
            <w:shd w:val="clear" w:color="auto" w:fill="auto"/>
            <w:vAlign w:val="center"/>
            <w:hideMark/>
          </w:tcPr>
          <w:p w14:paraId="6730984E" w14:textId="77777777" w:rsidR="00387142" w:rsidRPr="008B6A75" w:rsidRDefault="00387142" w:rsidP="00387142">
            <w:pPr>
              <w:rPr>
                <w:sz w:val="20"/>
                <w:szCs w:val="20"/>
              </w:rPr>
            </w:pPr>
            <w:r w:rsidRPr="008B6A75">
              <w:rPr>
                <w:sz w:val="20"/>
                <w:szCs w:val="20"/>
              </w:rPr>
              <w:t>Субсидии</w:t>
            </w:r>
          </w:p>
        </w:tc>
        <w:tc>
          <w:tcPr>
            <w:tcW w:w="850" w:type="dxa"/>
            <w:tcBorders>
              <w:top w:val="single" w:sz="4" w:space="0" w:color="auto"/>
              <w:left w:val="single" w:sz="4" w:space="0" w:color="auto"/>
              <w:bottom w:val="nil"/>
              <w:right w:val="nil"/>
            </w:tcBorders>
            <w:shd w:val="clear" w:color="auto" w:fill="auto"/>
            <w:noWrap/>
            <w:vAlign w:val="center"/>
            <w:hideMark/>
          </w:tcPr>
          <w:p w14:paraId="4E4FC3E6" w14:textId="77777777" w:rsidR="00387142" w:rsidRPr="008B6A75" w:rsidRDefault="00387142" w:rsidP="00387142">
            <w:pPr>
              <w:jc w:val="center"/>
              <w:rPr>
                <w:sz w:val="20"/>
                <w:szCs w:val="20"/>
              </w:rPr>
            </w:pPr>
            <w:r w:rsidRPr="008B6A75">
              <w:rPr>
                <w:sz w:val="20"/>
                <w:szCs w:val="20"/>
              </w:rPr>
              <w:t>444</w:t>
            </w:r>
          </w:p>
        </w:tc>
        <w:tc>
          <w:tcPr>
            <w:tcW w:w="709" w:type="dxa"/>
            <w:tcBorders>
              <w:top w:val="single" w:sz="4" w:space="0" w:color="auto"/>
              <w:left w:val="single" w:sz="4" w:space="0" w:color="auto"/>
              <w:bottom w:val="nil"/>
              <w:right w:val="nil"/>
            </w:tcBorders>
            <w:shd w:val="clear" w:color="auto" w:fill="auto"/>
            <w:noWrap/>
            <w:vAlign w:val="center"/>
            <w:hideMark/>
          </w:tcPr>
          <w:p w14:paraId="651B270B" w14:textId="77777777" w:rsidR="00387142" w:rsidRPr="008B6A75" w:rsidRDefault="00387142" w:rsidP="00387142">
            <w:pPr>
              <w:jc w:val="center"/>
              <w:rPr>
                <w:sz w:val="20"/>
                <w:szCs w:val="20"/>
              </w:rPr>
            </w:pPr>
            <w:r w:rsidRPr="008B6A75">
              <w:rPr>
                <w:sz w:val="20"/>
                <w:szCs w:val="20"/>
              </w:rPr>
              <w:t>05</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5DB5BEB1" w14:textId="77777777" w:rsidR="00387142" w:rsidRPr="008B6A75" w:rsidRDefault="00387142" w:rsidP="00387142">
            <w:pPr>
              <w:jc w:val="center"/>
              <w:rPr>
                <w:sz w:val="20"/>
                <w:szCs w:val="20"/>
              </w:rPr>
            </w:pPr>
            <w:r w:rsidRPr="008B6A75">
              <w:rPr>
                <w:sz w:val="20"/>
                <w:szCs w:val="20"/>
              </w:rPr>
              <w:t>03</w:t>
            </w:r>
          </w:p>
        </w:tc>
        <w:tc>
          <w:tcPr>
            <w:tcW w:w="1411" w:type="dxa"/>
            <w:tcBorders>
              <w:top w:val="single" w:sz="4" w:space="0" w:color="auto"/>
              <w:left w:val="single" w:sz="4" w:space="0" w:color="auto"/>
              <w:bottom w:val="nil"/>
              <w:right w:val="nil"/>
            </w:tcBorders>
            <w:shd w:val="clear" w:color="auto" w:fill="auto"/>
            <w:noWrap/>
            <w:vAlign w:val="center"/>
            <w:hideMark/>
          </w:tcPr>
          <w:p w14:paraId="20616325" w14:textId="77777777" w:rsidR="00387142" w:rsidRPr="008B6A75" w:rsidRDefault="00387142" w:rsidP="00387142">
            <w:pPr>
              <w:jc w:val="center"/>
              <w:rPr>
                <w:sz w:val="20"/>
                <w:szCs w:val="20"/>
              </w:rPr>
            </w:pPr>
            <w:r w:rsidRPr="008B6A75">
              <w:rPr>
                <w:sz w:val="20"/>
                <w:szCs w:val="20"/>
              </w:rPr>
              <w:t>17.2.F2.55552</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532549EC" w14:textId="77777777" w:rsidR="00387142" w:rsidRPr="008B6A75" w:rsidRDefault="00387142" w:rsidP="00387142">
            <w:pPr>
              <w:jc w:val="center"/>
              <w:rPr>
                <w:sz w:val="20"/>
                <w:szCs w:val="20"/>
              </w:rPr>
            </w:pPr>
            <w:r w:rsidRPr="008B6A75">
              <w:rPr>
                <w:sz w:val="20"/>
                <w:szCs w:val="20"/>
              </w:rPr>
              <w:t>520</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5891C783" w14:textId="77777777" w:rsidR="00387142" w:rsidRPr="008B6A75" w:rsidRDefault="00387142" w:rsidP="00387142">
            <w:pPr>
              <w:jc w:val="right"/>
              <w:rPr>
                <w:sz w:val="20"/>
                <w:szCs w:val="20"/>
              </w:rPr>
            </w:pPr>
            <w:r w:rsidRPr="008B6A75">
              <w:rPr>
                <w:sz w:val="20"/>
                <w:szCs w:val="20"/>
              </w:rPr>
              <w:t>21 971 300,00</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6B9FD231" w14:textId="77777777" w:rsidR="00387142" w:rsidRPr="008B6A75" w:rsidRDefault="00387142" w:rsidP="00387142">
            <w:pPr>
              <w:jc w:val="right"/>
              <w:rPr>
                <w:sz w:val="20"/>
                <w:szCs w:val="20"/>
              </w:rPr>
            </w:pPr>
            <w:r w:rsidRPr="008B6A75">
              <w:rPr>
                <w:sz w:val="20"/>
                <w:szCs w:val="20"/>
              </w:rPr>
              <w:t>9 531 381,59</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6D4F8754" w14:textId="77777777" w:rsidR="00387142" w:rsidRPr="008B6A75" w:rsidRDefault="00387142" w:rsidP="00387142">
            <w:pPr>
              <w:jc w:val="right"/>
              <w:rPr>
                <w:sz w:val="20"/>
                <w:szCs w:val="20"/>
              </w:rPr>
            </w:pPr>
            <w:r w:rsidRPr="008B6A75">
              <w:rPr>
                <w:sz w:val="20"/>
                <w:szCs w:val="20"/>
              </w:rPr>
              <w:t>0,00</w:t>
            </w:r>
          </w:p>
        </w:tc>
        <w:tc>
          <w:tcPr>
            <w:tcW w:w="222" w:type="dxa"/>
            <w:vAlign w:val="center"/>
            <w:hideMark/>
          </w:tcPr>
          <w:p w14:paraId="1F078027" w14:textId="77777777" w:rsidR="00387142" w:rsidRPr="008B6A75" w:rsidRDefault="00387142" w:rsidP="00387142">
            <w:pPr>
              <w:rPr>
                <w:sz w:val="20"/>
                <w:szCs w:val="20"/>
              </w:rPr>
            </w:pPr>
          </w:p>
        </w:tc>
      </w:tr>
      <w:tr w:rsidR="00387142" w:rsidRPr="008B6A75" w14:paraId="34CC7280" w14:textId="77777777" w:rsidTr="00387142">
        <w:trPr>
          <w:trHeight w:val="300"/>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1A48EF33" w14:textId="77777777" w:rsidR="00387142" w:rsidRPr="008B6A75" w:rsidRDefault="00387142" w:rsidP="00387142">
            <w:pPr>
              <w:rPr>
                <w:sz w:val="20"/>
                <w:szCs w:val="20"/>
              </w:rPr>
            </w:pPr>
            <w:r w:rsidRPr="008B6A75">
              <w:rPr>
                <w:sz w:val="20"/>
                <w:szCs w:val="20"/>
              </w:rPr>
              <w:t>Иные межбюджетные трансферты</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7B0D3364" w14:textId="77777777" w:rsidR="00387142" w:rsidRPr="008B6A75" w:rsidRDefault="00387142" w:rsidP="00387142">
            <w:pPr>
              <w:jc w:val="center"/>
              <w:rPr>
                <w:sz w:val="20"/>
                <w:szCs w:val="20"/>
              </w:rPr>
            </w:pPr>
            <w:r w:rsidRPr="008B6A75">
              <w:rPr>
                <w:sz w:val="20"/>
                <w:szCs w:val="20"/>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4479888D" w14:textId="77777777" w:rsidR="00387142" w:rsidRPr="008B6A75" w:rsidRDefault="00387142" w:rsidP="00387142">
            <w:pPr>
              <w:jc w:val="center"/>
              <w:rPr>
                <w:sz w:val="20"/>
                <w:szCs w:val="20"/>
              </w:rPr>
            </w:pPr>
            <w:r w:rsidRPr="008B6A75">
              <w:rPr>
                <w:sz w:val="20"/>
                <w:szCs w:val="20"/>
              </w:rPr>
              <w:t>05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786191" w14:textId="77777777" w:rsidR="00387142" w:rsidRPr="008B6A75" w:rsidRDefault="00387142" w:rsidP="00387142">
            <w:pPr>
              <w:jc w:val="center"/>
              <w:rPr>
                <w:sz w:val="20"/>
                <w:szCs w:val="20"/>
              </w:rPr>
            </w:pPr>
            <w:r w:rsidRPr="008B6A75">
              <w:rPr>
                <w:sz w:val="20"/>
                <w:szCs w:val="20"/>
              </w:rPr>
              <w:t>03</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7643B111" w14:textId="77777777" w:rsidR="00387142" w:rsidRPr="008B6A75" w:rsidRDefault="00387142" w:rsidP="00387142">
            <w:pPr>
              <w:jc w:val="center"/>
              <w:rPr>
                <w:sz w:val="20"/>
                <w:szCs w:val="20"/>
              </w:rPr>
            </w:pPr>
            <w:r w:rsidRPr="008B6A75">
              <w:rPr>
                <w:sz w:val="20"/>
                <w:szCs w:val="20"/>
              </w:rPr>
              <w:t>17.2.F2.55552</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ECDEA0" w14:textId="77777777" w:rsidR="00387142" w:rsidRPr="008B6A75" w:rsidRDefault="00387142" w:rsidP="00387142">
            <w:pPr>
              <w:jc w:val="center"/>
              <w:rPr>
                <w:sz w:val="20"/>
                <w:szCs w:val="20"/>
              </w:rPr>
            </w:pPr>
            <w:r w:rsidRPr="008B6A75">
              <w:rPr>
                <w:sz w:val="20"/>
                <w:szCs w:val="20"/>
              </w:rPr>
              <w:t>540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2566EF" w14:textId="77777777" w:rsidR="00387142" w:rsidRPr="008B6A75" w:rsidRDefault="00387142" w:rsidP="00387142">
            <w:pPr>
              <w:jc w:val="right"/>
              <w:rPr>
                <w:sz w:val="20"/>
                <w:szCs w:val="20"/>
              </w:rPr>
            </w:pPr>
            <w:r w:rsidRPr="008B6A75">
              <w:rPr>
                <w:sz w:val="20"/>
                <w:szCs w:val="20"/>
              </w:rPr>
              <w:t>43 473,54</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6CEAAB40" w14:textId="77777777" w:rsidR="00387142" w:rsidRPr="008B6A75" w:rsidRDefault="00387142" w:rsidP="00387142">
            <w:pPr>
              <w:jc w:val="right"/>
              <w:rPr>
                <w:sz w:val="20"/>
                <w:szCs w:val="20"/>
              </w:rPr>
            </w:pPr>
            <w:r w:rsidRPr="008B6A75">
              <w:rPr>
                <w:sz w:val="20"/>
                <w:szCs w:val="20"/>
              </w:rPr>
              <w:t>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B89A95" w14:textId="77777777" w:rsidR="00387142" w:rsidRPr="008B6A75" w:rsidRDefault="00387142" w:rsidP="00387142">
            <w:pPr>
              <w:jc w:val="right"/>
              <w:rPr>
                <w:sz w:val="20"/>
                <w:szCs w:val="20"/>
              </w:rPr>
            </w:pPr>
            <w:r w:rsidRPr="008B6A75">
              <w:rPr>
                <w:sz w:val="20"/>
                <w:szCs w:val="20"/>
              </w:rPr>
              <w:t>0,00</w:t>
            </w:r>
          </w:p>
        </w:tc>
        <w:tc>
          <w:tcPr>
            <w:tcW w:w="222" w:type="dxa"/>
            <w:vAlign w:val="center"/>
            <w:hideMark/>
          </w:tcPr>
          <w:p w14:paraId="220F0200" w14:textId="77777777" w:rsidR="00387142" w:rsidRPr="008B6A75" w:rsidRDefault="00387142" w:rsidP="00387142">
            <w:pPr>
              <w:rPr>
                <w:sz w:val="20"/>
                <w:szCs w:val="20"/>
              </w:rPr>
            </w:pPr>
          </w:p>
        </w:tc>
      </w:tr>
      <w:tr w:rsidR="00387142" w:rsidRPr="008B6A75" w14:paraId="11B3D921" w14:textId="77777777" w:rsidTr="00387142">
        <w:trPr>
          <w:trHeight w:val="2580"/>
        </w:trPr>
        <w:tc>
          <w:tcPr>
            <w:tcW w:w="3021" w:type="dxa"/>
            <w:tcBorders>
              <w:top w:val="nil"/>
              <w:left w:val="single" w:sz="4" w:space="0" w:color="auto"/>
              <w:bottom w:val="nil"/>
              <w:right w:val="nil"/>
            </w:tcBorders>
            <w:shd w:val="clear" w:color="auto" w:fill="auto"/>
            <w:vAlign w:val="center"/>
            <w:hideMark/>
          </w:tcPr>
          <w:p w14:paraId="22516155" w14:textId="77777777" w:rsidR="00387142" w:rsidRPr="008B6A75" w:rsidRDefault="00387142" w:rsidP="00387142">
            <w:pPr>
              <w:rPr>
                <w:bCs/>
                <w:sz w:val="20"/>
                <w:szCs w:val="20"/>
              </w:rPr>
            </w:pPr>
            <w:r w:rsidRPr="008B6A75">
              <w:rPr>
                <w:bCs/>
                <w:sz w:val="20"/>
                <w:szCs w:val="20"/>
              </w:rPr>
              <w:lastRenderedPageBreak/>
              <w:t>Реализация мероприятий по формированию комфортной городской среды подпрограммы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 в» (организация общественных пространств и дворовых территорий многоквартирных домов)</w:t>
            </w:r>
          </w:p>
        </w:tc>
        <w:tc>
          <w:tcPr>
            <w:tcW w:w="850" w:type="dxa"/>
            <w:tcBorders>
              <w:top w:val="nil"/>
              <w:left w:val="single" w:sz="4" w:space="0" w:color="auto"/>
              <w:bottom w:val="nil"/>
              <w:right w:val="nil"/>
            </w:tcBorders>
            <w:shd w:val="clear" w:color="auto" w:fill="auto"/>
            <w:noWrap/>
            <w:vAlign w:val="center"/>
            <w:hideMark/>
          </w:tcPr>
          <w:p w14:paraId="270FC2A3" w14:textId="77777777" w:rsidR="00387142" w:rsidRPr="008B6A75" w:rsidRDefault="00387142" w:rsidP="00387142">
            <w:pPr>
              <w:jc w:val="center"/>
              <w:rPr>
                <w:bCs/>
                <w:sz w:val="20"/>
                <w:szCs w:val="20"/>
              </w:rPr>
            </w:pPr>
            <w:r w:rsidRPr="008B6A75">
              <w:rPr>
                <w:bCs/>
                <w:sz w:val="20"/>
                <w:szCs w:val="20"/>
              </w:rPr>
              <w:t>444</w:t>
            </w:r>
          </w:p>
        </w:tc>
        <w:tc>
          <w:tcPr>
            <w:tcW w:w="709" w:type="dxa"/>
            <w:tcBorders>
              <w:top w:val="nil"/>
              <w:left w:val="single" w:sz="4" w:space="0" w:color="auto"/>
              <w:bottom w:val="nil"/>
              <w:right w:val="nil"/>
            </w:tcBorders>
            <w:shd w:val="clear" w:color="auto" w:fill="auto"/>
            <w:noWrap/>
            <w:vAlign w:val="center"/>
            <w:hideMark/>
          </w:tcPr>
          <w:p w14:paraId="22AAA901" w14:textId="77777777" w:rsidR="00387142" w:rsidRPr="008B6A75" w:rsidRDefault="00387142" w:rsidP="00387142">
            <w:pPr>
              <w:jc w:val="center"/>
              <w:rPr>
                <w:bCs/>
                <w:sz w:val="20"/>
                <w:szCs w:val="20"/>
              </w:rPr>
            </w:pPr>
            <w:r w:rsidRPr="008B6A75">
              <w:rPr>
                <w:bCs/>
                <w:sz w:val="20"/>
                <w:szCs w:val="20"/>
              </w:rPr>
              <w:t>05</w:t>
            </w:r>
          </w:p>
        </w:tc>
        <w:tc>
          <w:tcPr>
            <w:tcW w:w="709" w:type="dxa"/>
            <w:tcBorders>
              <w:top w:val="nil"/>
              <w:left w:val="single" w:sz="4" w:space="0" w:color="auto"/>
              <w:bottom w:val="nil"/>
              <w:right w:val="single" w:sz="4" w:space="0" w:color="auto"/>
            </w:tcBorders>
            <w:shd w:val="clear" w:color="auto" w:fill="auto"/>
            <w:noWrap/>
            <w:vAlign w:val="center"/>
            <w:hideMark/>
          </w:tcPr>
          <w:p w14:paraId="08225146" w14:textId="77777777" w:rsidR="00387142" w:rsidRPr="008B6A75" w:rsidRDefault="00387142" w:rsidP="00387142">
            <w:pPr>
              <w:jc w:val="center"/>
              <w:rPr>
                <w:bCs/>
                <w:sz w:val="20"/>
                <w:szCs w:val="20"/>
              </w:rPr>
            </w:pPr>
            <w:r w:rsidRPr="008B6A75">
              <w:rPr>
                <w:bCs/>
                <w:sz w:val="20"/>
                <w:szCs w:val="20"/>
              </w:rPr>
              <w:t>03</w:t>
            </w:r>
          </w:p>
        </w:tc>
        <w:tc>
          <w:tcPr>
            <w:tcW w:w="1411" w:type="dxa"/>
            <w:tcBorders>
              <w:top w:val="nil"/>
              <w:left w:val="single" w:sz="4" w:space="0" w:color="auto"/>
              <w:bottom w:val="nil"/>
              <w:right w:val="nil"/>
            </w:tcBorders>
            <w:shd w:val="clear" w:color="auto" w:fill="auto"/>
            <w:noWrap/>
            <w:vAlign w:val="center"/>
            <w:hideMark/>
          </w:tcPr>
          <w:p w14:paraId="2794AFF7" w14:textId="77777777" w:rsidR="00387142" w:rsidRPr="008B6A75" w:rsidRDefault="00387142" w:rsidP="00387142">
            <w:pPr>
              <w:jc w:val="center"/>
              <w:rPr>
                <w:bCs/>
                <w:sz w:val="20"/>
                <w:szCs w:val="20"/>
              </w:rPr>
            </w:pPr>
            <w:r w:rsidRPr="008B6A75">
              <w:rPr>
                <w:bCs/>
                <w:sz w:val="20"/>
                <w:szCs w:val="20"/>
              </w:rPr>
              <w:t>17.2.F2.55553</w:t>
            </w:r>
          </w:p>
        </w:tc>
        <w:tc>
          <w:tcPr>
            <w:tcW w:w="955" w:type="dxa"/>
            <w:tcBorders>
              <w:top w:val="nil"/>
              <w:left w:val="single" w:sz="4" w:space="0" w:color="auto"/>
              <w:bottom w:val="nil"/>
              <w:right w:val="single" w:sz="4" w:space="0" w:color="auto"/>
            </w:tcBorders>
            <w:shd w:val="clear" w:color="auto" w:fill="auto"/>
            <w:noWrap/>
            <w:vAlign w:val="center"/>
            <w:hideMark/>
          </w:tcPr>
          <w:p w14:paraId="0E2F5FCA"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nil"/>
              <w:right w:val="single" w:sz="4" w:space="0" w:color="auto"/>
            </w:tcBorders>
            <w:shd w:val="clear" w:color="auto" w:fill="auto"/>
            <w:noWrap/>
            <w:vAlign w:val="center"/>
            <w:hideMark/>
          </w:tcPr>
          <w:p w14:paraId="4A7A7FAE" w14:textId="77777777" w:rsidR="00387142" w:rsidRPr="008B6A75" w:rsidRDefault="00387142" w:rsidP="00387142">
            <w:pPr>
              <w:jc w:val="right"/>
              <w:rPr>
                <w:bCs/>
                <w:sz w:val="20"/>
                <w:szCs w:val="20"/>
              </w:rPr>
            </w:pPr>
            <w:r w:rsidRPr="008B6A75">
              <w:rPr>
                <w:bCs/>
                <w:sz w:val="20"/>
                <w:szCs w:val="20"/>
              </w:rPr>
              <w:t>5 116 800,00</w:t>
            </w:r>
          </w:p>
        </w:tc>
        <w:tc>
          <w:tcPr>
            <w:tcW w:w="992" w:type="dxa"/>
            <w:gridSpan w:val="2"/>
            <w:tcBorders>
              <w:top w:val="nil"/>
              <w:left w:val="single" w:sz="4" w:space="0" w:color="auto"/>
              <w:bottom w:val="nil"/>
              <w:right w:val="nil"/>
            </w:tcBorders>
            <w:shd w:val="clear" w:color="auto" w:fill="auto"/>
            <w:noWrap/>
            <w:vAlign w:val="center"/>
            <w:hideMark/>
          </w:tcPr>
          <w:p w14:paraId="588111FF" w14:textId="77777777" w:rsidR="00387142" w:rsidRPr="008B6A75" w:rsidRDefault="00387142" w:rsidP="00387142">
            <w:pPr>
              <w:jc w:val="right"/>
              <w:rPr>
                <w:bCs/>
                <w:sz w:val="20"/>
                <w:szCs w:val="20"/>
              </w:rPr>
            </w:pPr>
            <w:r w:rsidRPr="008B6A75">
              <w:rPr>
                <w:bCs/>
                <w:sz w:val="20"/>
                <w:szCs w:val="20"/>
              </w:rPr>
              <w:t>0,00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6A9C5108" w14:textId="77777777" w:rsidR="00387142" w:rsidRPr="008B6A75" w:rsidRDefault="00387142" w:rsidP="00387142">
            <w:pPr>
              <w:jc w:val="right"/>
              <w:rPr>
                <w:bCs/>
                <w:sz w:val="20"/>
                <w:szCs w:val="20"/>
              </w:rPr>
            </w:pPr>
            <w:r w:rsidRPr="008B6A75">
              <w:rPr>
                <w:bCs/>
                <w:sz w:val="20"/>
                <w:szCs w:val="20"/>
              </w:rPr>
              <w:t>0,00</w:t>
            </w:r>
          </w:p>
        </w:tc>
        <w:tc>
          <w:tcPr>
            <w:tcW w:w="222" w:type="dxa"/>
            <w:vAlign w:val="center"/>
            <w:hideMark/>
          </w:tcPr>
          <w:p w14:paraId="09DD813E" w14:textId="77777777" w:rsidR="00387142" w:rsidRPr="008B6A75" w:rsidRDefault="00387142" w:rsidP="00387142">
            <w:pPr>
              <w:rPr>
                <w:sz w:val="20"/>
                <w:szCs w:val="20"/>
              </w:rPr>
            </w:pPr>
          </w:p>
        </w:tc>
      </w:tr>
      <w:tr w:rsidR="00387142" w:rsidRPr="008B6A75" w14:paraId="3AF41D33" w14:textId="77777777" w:rsidTr="00387142">
        <w:trPr>
          <w:trHeight w:val="300"/>
        </w:trPr>
        <w:tc>
          <w:tcPr>
            <w:tcW w:w="3021" w:type="dxa"/>
            <w:tcBorders>
              <w:top w:val="single" w:sz="4" w:space="0" w:color="auto"/>
              <w:left w:val="single" w:sz="4" w:space="0" w:color="auto"/>
              <w:bottom w:val="nil"/>
              <w:right w:val="nil"/>
            </w:tcBorders>
            <w:shd w:val="clear" w:color="auto" w:fill="auto"/>
            <w:vAlign w:val="center"/>
            <w:hideMark/>
          </w:tcPr>
          <w:p w14:paraId="3B9D83E8" w14:textId="77777777" w:rsidR="00387142" w:rsidRPr="008B6A75" w:rsidRDefault="00387142" w:rsidP="00387142">
            <w:pPr>
              <w:rPr>
                <w:sz w:val="20"/>
                <w:szCs w:val="20"/>
              </w:rPr>
            </w:pPr>
            <w:r w:rsidRPr="008B6A75">
              <w:rPr>
                <w:sz w:val="20"/>
                <w:szCs w:val="20"/>
              </w:rPr>
              <w:t>Межбюджетные трансферты</w:t>
            </w:r>
          </w:p>
        </w:tc>
        <w:tc>
          <w:tcPr>
            <w:tcW w:w="850" w:type="dxa"/>
            <w:tcBorders>
              <w:top w:val="single" w:sz="4" w:space="0" w:color="auto"/>
              <w:left w:val="single" w:sz="4" w:space="0" w:color="auto"/>
              <w:bottom w:val="nil"/>
              <w:right w:val="nil"/>
            </w:tcBorders>
            <w:shd w:val="clear" w:color="auto" w:fill="auto"/>
            <w:noWrap/>
            <w:vAlign w:val="center"/>
            <w:hideMark/>
          </w:tcPr>
          <w:p w14:paraId="24DA289C" w14:textId="77777777" w:rsidR="00387142" w:rsidRPr="008B6A75" w:rsidRDefault="00387142" w:rsidP="00387142">
            <w:pPr>
              <w:jc w:val="center"/>
              <w:rPr>
                <w:sz w:val="20"/>
                <w:szCs w:val="20"/>
              </w:rPr>
            </w:pPr>
            <w:r w:rsidRPr="008B6A75">
              <w:rPr>
                <w:sz w:val="20"/>
                <w:szCs w:val="20"/>
              </w:rPr>
              <w:t>444</w:t>
            </w:r>
          </w:p>
        </w:tc>
        <w:tc>
          <w:tcPr>
            <w:tcW w:w="709" w:type="dxa"/>
            <w:tcBorders>
              <w:top w:val="single" w:sz="4" w:space="0" w:color="auto"/>
              <w:left w:val="single" w:sz="4" w:space="0" w:color="auto"/>
              <w:bottom w:val="nil"/>
              <w:right w:val="nil"/>
            </w:tcBorders>
            <w:shd w:val="clear" w:color="auto" w:fill="auto"/>
            <w:noWrap/>
            <w:vAlign w:val="center"/>
            <w:hideMark/>
          </w:tcPr>
          <w:p w14:paraId="6054AD88" w14:textId="77777777" w:rsidR="00387142" w:rsidRPr="008B6A75" w:rsidRDefault="00387142" w:rsidP="00387142">
            <w:pPr>
              <w:jc w:val="center"/>
              <w:rPr>
                <w:sz w:val="20"/>
                <w:szCs w:val="20"/>
              </w:rPr>
            </w:pPr>
            <w:r w:rsidRPr="008B6A75">
              <w:rPr>
                <w:sz w:val="20"/>
                <w:szCs w:val="20"/>
              </w:rPr>
              <w:t>05</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2B921179" w14:textId="77777777" w:rsidR="00387142" w:rsidRPr="008B6A75" w:rsidRDefault="00387142" w:rsidP="00387142">
            <w:pPr>
              <w:jc w:val="center"/>
              <w:rPr>
                <w:sz w:val="20"/>
                <w:szCs w:val="20"/>
              </w:rPr>
            </w:pPr>
            <w:r w:rsidRPr="008B6A75">
              <w:rPr>
                <w:sz w:val="20"/>
                <w:szCs w:val="20"/>
              </w:rPr>
              <w:t>03</w:t>
            </w:r>
          </w:p>
        </w:tc>
        <w:tc>
          <w:tcPr>
            <w:tcW w:w="1411" w:type="dxa"/>
            <w:tcBorders>
              <w:top w:val="single" w:sz="4" w:space="0" w:color="auto"/>
              <w:left w:val="single" w:sz="4" w:space="0" w:color="auto"/>
              <w:bottom w:val="nil"/>
              <w:right w:val="nil"/>
            </w:tcBorders>
            <w:shd w:val="clear" w:color="auto" w:fill="auto"/>
            <w:noWrap/>
            <w:vAlign w:val="center"/>
            <w:hideMark/>
          </w:tcPr>
          <w:p w14:paraId="1DB52B59" w14:textId="77777777" w:rsidR="00387142" w:rsidRPr="008B6A75" w:rsidRDefault="00387142" w:rsidP="00387142">
            <w:pPr>
              <w:jc w:val="center"/>
              <w:rPr>
                <w:sz w:val="20"/>
                <w:szCs w:val="20"/>
              </w:rPr>
            </w:pPr>
            <w:r w:rsidRPr="008B6A75">
              <w:rPr>
                <w:sz w:val="20"/>
                <w:szCs w:val="20"/>
              </w:rPr>
              <w:t>17.2.F2.55553</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4A4CA762" w14:textId="77777777" w:rsidR="00387142" w:rsidRPr="008B6A75" w:rsidRDefault="00387142" w:rsidP="00387142">
            <w:pPr>
              <w:jc w:val="center"/>
              <w:rPr>
                <w:sz w:val="20"/>
                <w:szCs w:val="20"/>
              </w:rPr>
            </w:pPr>
            <w:r w:rsidRPr="008B6A75">
              <w:rPr>
                <w:sz w:val="20"/>
                <w:szCs w:val="20"/>
              </w:rPr>
              <w:t>500</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79BE4153" w14:textId="77777777" w:rsidR="00387142" w:rsidRPr="008B6A75" w:rsidRDefault="00387142" w:rsidP="00387142">
            <w:pPr>
              <w:jc w:val="right"/>
              <w:rPr>
                <w:sz w:val="20"/>
                <w:szCs w:val="20"/>
              </w:rPr>
            </w:pPr>
            <w:r w:rsidRPr="008B6A75">
              <w:rPr>
                <w:sz w:val="20"/>
                <w:szCs w:val="20"/>
              </w:rPr>
              <w:t>5 116 800,00</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12DD0E7B" w14:textId="77777777" w:rsidR="00387142" w:rsidRPr="008B6A75" w:rsidRDefault="00387142" w:rsidP="00387142">
            <w:pPr>
              <w:jc w:val="right"/>
              <w:rPr>
                <w:sz w:val="20"/>
                <w:szCs w:val="20"/>
              </w:rPr>
            </w:pPr>
            <w:r w:rsidRPr="008B6A75">
              <w:rPr>
                <w:sz w:val="20"/>
                <w:szCs w:val="20"/>
              </w:rPr>
              <w:t>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45814BF1" w14:textId="77777777" w:rsidR="00387142" w:rsidRPr="008B6A75" w:rsidRDefault="00387142" w:rsidP="00387142">
            <w:pPr>
              <w:jc w:val="right"/>
              <w:rPr>
                <w:sz w:val="20"/>
                <w:szCs w:val="20"/>
              </w:rPr>
            </w:pPr>
            <w:r w:rsidRPr="008B6A75">
              <w:rPr>
                <w:sz w:val="20"/>
                <w:szCs w:val="20"/>
              </w:rPr>
              <w:t>0,00</w:t>
            </w:r>
          </w:p>
        </w:tc>
        <w:tc>
          <w:tcPr>
            <w:tcW w:w="222" w:type="dxa"/>
            <w:vAlign w:val="center"/>
            <w:hideMark/>
          </w:tcPr>
          <w:p w14:paraId="0C4B2C6E" w14:textId="77777777" w:rsidR="00387142" w:rsidRPr="008B6A75" w:rsidRDefault="00387142" w:rsidP="00387142">
            <w:pPr>
              <w:rPr>
                <w:sz w:val="20"/>
                <w:szCs w:val="20"/>
              </w:rPr>
            </w:pPr>
          </w:p>
        </w:tc>
      </w:tr>
      <w:tr w:rsidR="00387142" w:rsidRPr="008B6A75" w14:paraId="2BE33B69" w14:textId="77777777" w:rsidTr="00387142">
        <w:trPr>
          <w:trHeight w:val="300"/>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421111EE" w14:textId="77777777" w:rsidR="00387142" w:rsidRPr="008B6A75" w:rsidRDefault="00387142" w:rsidP="00387142">
            <w:pPr>
              <w:rPr>
                <w:sz w:val="20"/>
                <w:szCs w:val="20"/>
              </w:rPr>
            </w:pPr>
            <w:r w:rsidRPr="008B6A75">
              <w:rPr>
                <w:sz w:val="20"/>
                <w:szCs w:val="20"/>
              </w:rPr>
              <w:t>Субсидии</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23E9C096" w14:textId="77777777" w:rsidR="00387142" w:rsidRPr="008B6A75" w:rsidRDefault="00387142" w:rsidP="00387142">
            <w:pPr>
              <w:jc w:val="center"/>
              <w:rPr>
                <w:sz w:val="20"/>
                <w:szCs w:val="20"/>
              </w:rPr>
            </w:pPr>
            <w:r w:rsidRPr="008B6A75">
              <w:rPr>
                <w:sz w:val="20"/>
                <w:szCs w:val="20"/>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598E0E43" w14:textId="77777777" w:rsidR="00387142" w:rsidRPr="008B6A75" w:rsidRDefault="00387142" w:rsidP="00387142">
            <w:pPr>
              <w:jc w:val="center"/>
              <w:rPr>
                <w:sz w:val="20"/>
                <w:szCs w:val="20"/>
              </w:rPr>
            </w:pPr>
            <w:r w:rsidRPr="008B6A75">
              <w:rPr>
                <w:sz w:val="20"/>
                <w:szCs w:val="20"/>
              </w:rPr>
              <w:t>05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C5FD07" w14:textId="77777777" w:rsidR="00387142" w:rsidRPr="008B6A75" w:rsidRDefault="00387142" w:rsidP="00387142">
            <w:pPr>
              <w:jc w:val="center"/>
              <w:rPr>
                <w:sz w:val="20"/>
                <w:szCs w:val="20"/>
              </w:rPr>
            </w:pPr>
            <w:r w:rsidRPr="008B6A75">
              <w:rPr>
                <w:sz w:val="20"/>
                <w:szCs w:val="20"/>
              </w:rPr>
              <w:t>03</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7B88C377" w14:textId="77777777" w:rsidR="00387142" w:rsidRPr="008B6A75" w:rsidRDefault="00387142" w:rsidP="00387142">
            <w:pPr>
              <w:jc w:val="center"/>
              <w:rPr>
                <w:sz w:val="20"/>
                <w:szCs w:val="20"/>
              </w:rPr>
            </w:pPr>
            <w:r w:rsidRPr="008B6A75">
              <w:rPr>
                <w:sz w:val="20"/>
                <w:szCs w:val="20"/>
              </w:rPr>
              <w:t>17.2.F2.55553</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BFA8D6" w14:textId="77777777" w:rsidR="00387142" w:rsidRPr="008B6A75" w:rsidRDefault="00387142" w:rsidP="00387142">
            <w:pPr>
              <w:jc w:val="center"/>
              <w:rPr>
                <w:sz w:val="20"/>
                <w:szCs w:val="20"/>
              </w:rPr>
            </w:pPr>
            <w:r w:rsidRPr="008B6A75">
              <w:rPr>
                <w:sz w:val="20"/>
                <w:szCs w:val="20"/>
              </w:rPr>
              <w:t>520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BCF646" w14:textId="77777777" w:rsidR="00387142" w:rsidRPr="008B6A75" w:rsidRDefault="00387142" w:rsidP="00387142">
            <w:pPr>
              <w:jc w:val="right"/>
              <w:rPr>
                <w:sz w:val="20"/>
                <w:szCs w:val="20"/>
              </w:rPr>
            </w:pPr>
            <w:r w:rsidRPr="008B6A75">
              <w:rPr>
                <w:sz w:val="20"/>
                <w:szCs w:val="20"/>
              </w:rPr>
              <w:t>5 116 800,00</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1B40E826" w14:textId="77777777" w:rsidR="00387142" w:rsidRPr="008B6A75" w:rsidRDefault="00387142" w:rsidP="00387142">
            <w:pPr>
              <w:jc w:val="right"/>
              <w:rPr>
                <w:sz w:val="20"/>
                <w:szCs w:val="20"/>
              </w:rPr>
            </w:pPr>
            <w:r w:rsidRPr="008B6A75">
              <w:rPr>
                <w:sz w:val="20"/>
                <w:szCs w:val="20"/>
              </w:rPr>
              <w:t>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16B214" w14:textId="77777777" w:rsidR="00387142" w:rsidRPr="008B6A75" w:rsidRDefault="00387142" w:rsidP="00387142">
            <w:pPr>
              <w:jc w:val="right"/>
              <w:rPr>
                <w:sz w:val="20"/>
                <w:szCs w:val="20"/>
              </w:rPr>
            </w:pPr>
            <w:r w:rsidRPr="008B6A75">
              <w:rPr>
                <w:sz w:val="20"/>
                <w:szCs w:val="20"/>
              </w:rPr>
              <w:t>0,00</w:t>
            </w:r>
          </w:p>
        </w:tc>
        <w:tc>
          <w:tcPr>
            <w:tcW w:w="222" w:type="dxa"/>
            <w:vAlign w:val="center"/>
            <w:hideMark/>
          </w:tcPr>
          <w:p w14:paraId="15BA6C8E" w14:textId="77777777" w:rsidR="00387142" w:rsidRPr="008B6A75" w:rsidRDefault="00387142" w:rsidP="00387142">
            <w:pPr>
              <w:rPr>
                <w:sz w:val="20"/>
                <w:szCs w:val="20"/>
              </w:rPr>
            </w:pPr>
          </w:p>
        </w:tc>
      </w:tr>
      <w:tr w:rsidR="00387142" w:rsidRPr="008B6A75" w14:paraId="4A693EFC" w14:textId="77777777" w:rsidTr="00387142">
        <w:trPr>
          <w:trHeight w:val="585"/>
        </w:trPr>
        <w:tc>
          <w:tcPr>
            <w:tcW w:w="3021" w:type="dxa"/>
            <w:tcBorders>
              <w:top w:val="nil"/>
              <w:left w:val="single" w:sz="4" w:space="0" w:color="auto"/>
              <w:bottom w:val="nil"/>
              <w:right w:val="nil"/>
            </w:tcBorders>
            <w:shd w:val="clear" w:color="auto" w:fill="auto"/>
            <w:vAlign w:val="center"/>
            <w:hideMark/>
          </w:tcPr>
          <w:p w14:paraId="476AEAFC" w14:textId="77777777" w:rsidR="00387142" w:rsidRPr="008B6A75" w:rsidRDefault="00387142" w:rsidP="00387142">
            <w:pPr>
              <w:rPr>
                <w:bCs/>
                <w:sz w:val="20"/>
                <w:szCs w:val="20"/>
              </w:rPr>
            </w:pPr>
            <w:r w:rsidRPr="008B6A75">
              <w:rPr>
                <w:bCs/>
                <w:sz w:val="20"/>
                <w:szCs w:val="20"/>
              </w:rPr>
              <w:t>Другие вопросы в области жилищно-коммунального хозяйства</w:t>
            </w:r>
          </w:p>
        </w:tc>
        <w:tc>
          <w:tcPr>
            <w:tcW w:w="850" w:type="dxa"/>
            <w:tcBorders>
              <w:top w:val="nil"/>
              <w:left w:val="single" w:sz="4" w:space="0" w:color="auto"/>
              <w:bottom w:val="nil"/>
              <w:right w:val="nil"/>
            </w:tcBorders>
            <w:shd w:val="clear" w:color="auto" w:fill="auto"/>
            <w:noWrap/>
            <w:vAlign w:val="center"/>
            <w:hideMark/>
          </w:tcPr>
          <w:p w14:paraId="6BC59618" w14:textId="77777777" w:rsidR="00387142" w:rsidRPr="008B6A75" w:rsidRDefault="00387142" w:rsidP="00387142">
            <w:pPr>
              <w:jc w:val="center"/>
              <w:rPr>
                <w:bCs/>
                <w:sz w:val="20"/>
                <w:szCs w:val="20"/>
              </w:rPr>
            </w:pPr>
            <w:r w:rsidRPr="008B6A75">
              <w:rPr>
                <w:bCs/>
                <w:sz w:val="20"/>
                <w:szCs w:val="20"/>
              </w:rPr>
              <w:t>444</w:t>
            </w:r>
          </w:p>
        </w:tc>
        <w:tc>
          <w:tcPr>
            <w:tcW w:w="709" w:type="dxa"/>
            <w:tcBorders>
              <w:top w:val="nil"/>
              <w:left w:val="single" w:sz="4" w:space="0" w:color="auto"/>
              <w:bottom w:val="nil"/>
              <w:right w:val="nil"/>
            </w:tcBorders>
            <w:shd w:val="clear" w:color="auto" w:fill="auto"/>
            <w:noWrap/>
            <w:vAlign w:val="center"/>
            <w:hideMark/>
          </w:tcPr>
          <w:p w14:paraId="161BFAAD" w14:textId="77777777" w:rsidR="00387142" w:rsidRPr="008B6A75" w:rsidRDefault="00387142" w:rsidP="00387142">
            <w:pPr>
              <w:jc w:val="center"/>
              <w:rPr>
                <w:bCs/>
                <w:sz w:val="20"/>
                <w:szCs w:val="20"/>
              </w:rPr>
            </w:pPr>
            <w:r w:rsidRPr="008B6A75">
              <w:rPr>
                <w:bCs/>
                <w:sz w:val="20"/>
                <w:szCs w:val="20"/>
              </w:rPr>
              <w:t>05</w:t>
            </w:r>
          </w:p>
        </w:tc>
        <w:tc>
          <w:tcPr>
            <w:tcW w:w="709" w:type="dxa"/>
            <w:tcBorders>
              <w:top w:val="nil"/>
              <w:left w:val="single" w:sz="4" w:space="0" w:color="auto"/>
              <w:bottom w:val="nil"/>
              <w:right w:val="single" w:sz="4" w:space="0" w:color="auto"/>
            </w:tcBorders>
            <w:shd w:val="clear" w:color="auto" w:fill="auto"/>
            <w:noWrap/>
            <w:vAlign w:val="center"/>
            <w:hideMark/>
          </w:tcPr>
          <w:p w14:paraId="4A6C7E50" w14:textId="77777777" w:rsidR="00387142" w:rsidRPr="008B6A75" w:rsidRDefault="00387142" w:rsidP="00387142">
            <w:pPr>
              <w:jc w:val="center"/>
              <w:rPr>
                <w:bCs/>
                <w:sz w:val="20"/>
                <w:szCs w:val="20"/>
              </w:rPr>
            </w:pPr>
            <w:r w:rsidRPr="008B6A75">
              <w:rPr>
                <w:bCs/>
                <w:sz w:val="20"/>
                <w:szCs w:val="20"/>
              </w:rPr>
              <w:t>05</w:t>
            </w:r>
          </w:p>
        </w:tc>
        <w:tc>
          <w:tcPr>
            <w:tcW w:w="1411" w:type="dxa"/>
            <w:tcBorders>
              <w:top w:val="nil"/>
              <w:left w:val="single" w:sz="4" w:space="0" w:color="auto"/>
              <w:bottom w:val="nil"/>
              <w:right w:val="nil"/>
            </w:tcBorders>
            <w:shd w:val="clear" w:color="auto" w:fill="auto"/>
            <w:noWrap/>
            <w:vAlign w:val="center"/>
            <w:hideMark/>
          </w:tcPr>
          <w:p w14:paraId="3F369722" w14:textId="77777777" w:rsidR="00387142" w:rsidRPr="008B6A75" w:rsidRDefault="00387142" w:rsidP="00387142">
            <w:pPr>
              <w:jc w:val="center"/>
              <w:rPr>
                <w:bCs/>
                <w:sz w:val="20"/>
                <w:szCs w:val="20"/>
              </w:rPr>
            </w:pPr>
            <w:r w:rsidRPr="008B6A75">
              <w:rPr>
                <w:bCs/>
                <w:sz w:val="20"/>
                <w:szCs w:val="20"/>
              </w:rPr>
              <w:t> </w:t>
            </w:r>
          </w:p>
        </w:tc>
        <w:tc>
          <w:tcPr>
            <w:tcW w:w="955" w:type="dxa"/>
            <w:tcBorders>
              <w:top w:val="nil"/>
              <w:left w:val="single" w:sz="4" w:space="0" w:color="auto"/>
              <w:bottom w:val="nil"/>
              <w:right w:val="single" w:sz="4" w:space="0" w:color="auto"/>
            </w:tcBorders>
            <w:shd w:val="clear" w:color="auto" w:fill="auto"/>
            <w:noWrap/>
            <w:vAlign w:val="center"/>
            <w:hideMark/>
          </w:tcPr>
          <w:p w14:paraId="2C50C58D"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nil"/>
              <w:right w:val="single" w:sz="4" w:space="0" w:color="auto"/>
            </w:tcBorders>
            <w:shd w:val="clear" w:color="auto" w:fill="auto"/>
            <w:noWrap/>
            <w:vAlign w:val="center"/>
            <w:hideMark/>
          </w:tcPr>
          <w:p w14:paraId="31B76FAA" w14:textId="77777777" w:rsidR="00387142" w:rsidRPr="008B6A75" w:rsidRDefault="00387142" w:rsidP="00387142">
            <w:pPr>
              <w:jc w:val="right"/>
              <w:rPr>
                <w:bCs/>
                <w:sz w:val="20"/>
                <w:szCs w:val="20"/>
              </w:rPr>
            </w:pPr>
            <w:r w:rsidRPr="008B6A75">
              <w:rPr>
                <w:bCs/>
                <w:sz w:val="20"/>
                <w:szCs w:val="20"/>
              </w:rPr>
              <w:t>56 440,00</w:t>
            </w:r>
          </w:p>
        </w:tc>
        <w:tc>
          <w:tcPr>
            <w:tcW w:w="992" w:type="dxa"/>
            <w:gridSpan w:val="2"/>
            <w:tcBorders>
              <w:top w:val="nil"/>
              <w:left w:val="single" w:sz="4" w:space="0" w:color="auto"/>
              <w:bottom w:val="nil"/>
              <w:right w:val="nil"/>
            </w:tcBorders>
            <w:shd w:val="clear" w:color="auto" w:fill="auto"/>
            <w:noWrap/>
            <w:vAlign w:val="center"/>
            <w:hideMark/>
          </w:tcPr>
          <w:p w14:paraId="6543A47F" w14:textId="77777777" w:rsidR="00387142" w:rsidRPr="008B6A75" w:rsidRDefault="00387142" w:rsidP="00387142">
            <w:pPr>
              <w:jc w:val="right"/>
              <w:rPr>
                <w:bCs/>
                <w:sz w:val="20"/>
                <w:szCs w:val="20"/>
              </w:rPr>
            </w:pPr>
            <w:r w:rsidRPr="008B6A75">
              <w:rPr>
                <w:bCs/>
                <w:sz w:val="20"/>
                <w:szCs w:val="20"/>
              </w:rPr>
              <w:t>0,00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6F0A90DF" w14:textId="77777777" w:rsidR="00387142" w:rsidRPr="008B6A75" w:rsidRDefault="00387142" w:rsidP="00387142">
            <w:pPr>
              <w:jc w:val="right"/>
              <w:rPr>
                <w:bCs/>
                <w:sz w:val="20"/>
                <w:szCs w:val="20"/>
              </w:rPr>
            </w:pPr>
            <w:r w:rsidRPr="008B6A75">
              <w:rPr>
                <w:bCs/>
                <w:sz w:val="20"/>
                <w:szCs w:val="20"/>
              </w:rPr>
              <w:t>0,00</w:t>
            </w:r>
          </w:p>
        </w:tc>
        <w:tc>
          <w:tcPr>
            <w:tcW w:w="222" w:type="dxa"/>
            <w:vAlign w:val="center"/>
            <w:hideMark/>
          </w:tcPr>
          <w:p w14:paraId="0364BB11" w14:textId="77777777" w:rsidR="00387142" w:rsidRPr="008B6A75" w:rsidRDefault="00387142" w:rsidP="00387142">
            <w:pPr>
              <w:rPr>
                <w:sz w:val="20"/>
                <w:szCs w:val="20"/>
              </w:rPr>
            </w:pPr>
          </w:p>
        </w:tc>
      </w:tr>
      <w:tr w:rsidR="00387142" w:rsidRPr="008B6A75" w14:paraId="0B0645A8" w14:textId="77777777" w:rsidTr="00387142">
        <w:trPr>
          <w:trHeight w:val="300"/>
        </w:trPr>
        <w:tc>
          <w:tcPr>
            <w:tcW w:w="3021" w:type="dxa"/>
            <w:tcBorders>
              <w:top w:val="single" w:sz="4" w:space="0" w:color="auto"/>
              <w:left w:val="single" w:sz="4" w:space="0" w:color="auto"/>
              <w:bottom w:val="nil"/>
              <w:right w:val="nil"/>
            </w:tcBorders>
            <w:shd w:val="clear" w:color="auto" w:fill="auto"/>
            <w:vAlign w:val="center"/>
            <w:hideMark/>
          </w:tcPr>
          <w:p w14:paraId="42A23226" w14:textId="77777777" w:rsidR="00387142" w:rsidRPr="008B6A75" w:rsidRDefault="00387142" w:rsidP="00387142">
            <w:pPr>
              <w:rPr>
                <w:bCs/>
                <w:sz w:val="20"/>
                <w:szCs w:val="20"/>
              </w:rPr>
            </w:pPr>
            <w:r w:rsidRPr="008B6A75">
              <w:rPr>
                <w:bCs/>
                <w:sz w:val="20"/>
                <w:szCs w:val="20"/>
              </w:rPr>
              <w:t>Непрограммные направления бюджета</w:t>
            </w:r>
          </w:p>
        </w:tc>
        <w:tc>
          <w:tcPr>
            <w:tcW w:w="850" w:type="dxa"/>
            <w:tcBorders>
              <w:top w:val="single" w:sz="4" w:space="0" w:color="auto"/>
              <w:left w:val="single" w:sz="4" w:space="0" w:color="auto"/>
              <w:bottom w:val="nil"/>
              <w:right w:val="nil"/>
            </w:tcBorders>
            <w:shd w:val="clear" w:color="auto" w:fill="auto"/>
            <w:noWrap/>
            <w:vAlign w:val="center"/>
            <w:hideMark/>
          </w:tcPr>
          <w:p w14:paraId="636AA528" w14:textId="77777777" w:rsidR="00387142" w:rsidRPr="008B6A75" w:rsidRDefault="00387142" w:rsidP="00387142">
            <w:pPr>
              <w:jc w:val="center"/>
              <w:rPr>
                <w:bCs/>
                <w:sz w:val="20"/>
                <w:szCs w:val="20"/>
              </w:rPr>
            </w:pPr>
            <w:r w:rsidRPr="008B6A75">
              <w:rPr>
                <w:bCs/>
                <w:sz w:val="20"/>
                <w:szCs w:val="20"/>
              </w:rPr>
              <w:t>444</w:t>
            </w:r>
          </w:p>
        </w:tc>
        <w:tc>
          <w:tcPr>
            <w:tcW w:w="709" w:type="dxa"/>
            <w:tcBorders>
              <w:top w:val="single" w:sz="4" w:space="0" w:color="auto"/>
              <w:left w:val="single" w:sz="4" w:space="0" w:color="auto"/>
              <w:bottom w:val="nil"/>
              <w:right w:val="nil"/>
            </w:tcBorders>
            <w:shd w:val="clear" w:color="auto" w:fill="auto"/>
            <w:noWrap/>
            <w:vAlign w:val="center"/>
            <w:hideMark/>
          </w:tcPr>
          <w:p w14:paraId="0D4EE911" w14:textId="77777777" w:rsidR="00387142" w:rsidRPr="008B6A75" w:rsidRDefault="00387142" w:rsidP="00387142">
            <w:pPr>
              <w:jc w:val="center"/>
              <w:rPr>
                <w:bCs/>
                <w:sz w:val="20"/>
                <w:szCs w:val="20"/>
              </w:rPr>
            </w:pPr>
            <w:r w:rsidRPr="008B6A75">
              <w:rPr>
                <w:bCs/>
                <w:sz w:val="20"/>
                <w:szCs w:val="20"/>
              </w:rPr>
              <w:t>05</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274FFC7B" w14:textId="77777777" w:rsidR="00387142" w:rsidRPr="008B6A75" w:rsidRDefault="00387142" w:rsidP="00387142">
            <w:pPr>
              <w:jc w:val="center"/>
              <w:rPr>
                <w:bCs/>
                <w:sz w:val="20"/>
                <w:szCs w:val="20"/>
              </w:rPr>
            </w:pPr>
            <w:r w:rsidRPr="008B6A75">
              <w:rPr>
                <w:bCs/>
                <w:sz w:val="20"/>
                <w:szCs w:val="20"/>
              </w:rPr>
              <w:t>05</w:t>
            </w:r>
          </w:p>
        </w:tc>
        <w:tc>
          <w:tcPr>
            <w:tcW w:w="1411" w:type="dxa"/>
            <w:tcBorders>
              <w:top w:val="single" w:sz="4" w:space="0" w:color="auto"/>
              <w:left w:val="single" w:sz="4" w:space="0" w:color="auto"/>
              <w:bottom w:val="nil"/>
              <w:right w:val="nil"/>
            </w:tcBorders>
            <w:shd w:val="clear" w:color="auto" w:fill="auto"/>
            <w:noWrap/>
            <w:vAlign w:val="center"/>
            <w:hideMark/>
          </w:tcPr>
          <w:p w14:paraId="4295C337" w14:textId="77777777" w:rsidR="00387142" w:rsidRPr="008B6A75" w:rsidRDefault="00387142" w:rsidP="00387142">
            <w:pPr>
              <w:jc w:val="center"/>
              <w:rPr>
                <w:bCs/>
                <w:sz w:val="20"/>
                <w:szCs w:val="20"/>
              </w:rPr>
            </w:pPr>
            <w:r w:rsidRPr="008B6A75">
              <w:rPr>
                <w:bCs/>
                <w:sz w:val="20"/>
                <w:szCs w:val="20"/>
              </w:rPr>
              <w:t>99.0.00.00000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066EE83B" w14:textId="77777777" w:rsidR="00387142" w:rsidRPr="008B6A75" w:rsidRDefault="00387142" w:rsidP="00387142">
            <w:pPr>
              <w:jc w:val="center"/>
              <w:rPr>
                <w:bCs/>
                <w:sz w:val="20"/>
                <w:szCs w:val="20"/>
              </w:rPr>
            </w:pPr>
            <w:r w:rsidRPr="008B6A75">
              <w:rPr>
                <w:bCs/>
                <w:sz w:val="20"/>
                <w:szCs w:val="20"/>
              </w:rPr>
              <w:t> </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67CFCB57" w14:textId="77777777" w:rsidR="00387142" w:rsidRPr="008B6A75" w:rsidRDefault="00387142" w:rsidP="00387142">
            <w:pPr>
              <w:jc w:val="right"/>
              <w:rPr>
                <w:bCs/>
                <w:sz w:val="20"/>
                <w:szCs w:val="20"/>
              </w:rPr>
            </w:pPr>
            <w:r w:rsidRPr="008B6A75">
              <w:rPr>
                <w:bCs/>
                <w:sz w:val="20"/>
                <w:szCs w:val="20"/>
              </w:rPr>
              <w:t>56 440,00</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29B8B361" w14:textId="77777777" w:rsidR="00387142" w:rsidRPr="008B6A75" w:rsidRDefault="00387142" w:rsidP="00387142">
            <w:pPr>
              <w:jc w:val="right"/>
              <w:rPr>
                <w:bCs/>
                <w:sz w:val="20"/>
                <w:szCs w:val="20"/>
              </w:rPr>
            </w:pPr>
            <w:r w:rsidRPr="008B6A75">
              <w:rPr>
                <w:bCs/>
                <w:sz w:val="20"/>
                <w:szCs w:val="20"/>
              </w:rPr>
              <w:t>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2DC663DC" w14:textId="77777777" w:rsidR="00387142" w:rsidRPr="008B6A75" w:rsidRDefault="00387142" w:rsidP="00387142">
            <w:pPr>
              <w:jc w:val="right"/>
              <w:rPr>
                <w:bCs/>
                <w:sz w:val="20"/>
                <w:szCs w:val="20"/>
              </w:rPr>
            </w:pPr>
            <w:r w:rsidRPr="008B6A75">
              <w:rPr>
                <w:bCs/>
                <w:sz w:val="20"/>
                <w:szCs w:val="20"/>
              </w:rPr>
              <w:t>0,00</w:t>
            </w:r>
          </w:p>
        </w:tc>
        <w:tc>
          <w:tcPr>
            <w:tcW w:w="222" w:type="dxa"/>
            <w:vAlign w:val="center"/>
            <w:hideMark/>
          </w:tcPr>
          <w:p w14:paraId="2EF1BDAC" w14:textId="77777777" w:rsidR="00387142" w:rsidRPr="008B6A75" w:rsidRDefault="00387142" w:rsidP="00387142">
            <w:pPr>
              <w:rPr>
                <w:sz w:val="20"/>
                <w:szCs w:val="20"/>
              </w:rPr>
            </w:pPr>
          </w:p>
        </w:tc>
      </w:tr>
      <w:tr w:rsidR="00387142" w:rsidRPr="008B6A75" w14:paraId="39F89773" w14:textId="77777777" w:rsidTr="00387142">
        <w:trPr>
          <w:trHeight w:val="585"/>
        </w:trPr>
        <w:tc>
          <w:tcPr>
            <w:tcW w:w="3021" w:type="dxa"/>
            <w:tcBorders>
              <w:top w:val="single" w:sz="4" w:space="0" w:color="auto"/>
              <w:left w:val="single" w:sz="4" w:space="0" w:color="auto"/>
              <w:bottom w:val="nil"/>
              <w:right w:val="nil"/>
            </w:tcBorders>
            <w:shd w:val="clear" w:color="auto" w:fill="auto"/>
            <w:vAlign w:val="center"/>
            <w:hideMark/>
          </w:tcPr>
          <w:p w14:paraId="0AAAED2A" w14:textId="77777777" w:rsidR="00387142" w:rsidRPr="008B6A75" w:rsidRDefault="00387142" w:rsidP="00387142">
            <w:pPr>
              <w:rPr>
                <w:bCs/>
                <w:sz w:val="20"/>
                <w:szCs w:val="20"/>
              </w:rPr>
            </w:pPr>
            <w:r w:rsidRPr="008B6A75">
              <w:rPr>
                <w:bCs/>
                <w:sz w:val="20"/>
                <w:szCs w:val="20"/>
              </w:rPr>
              <w:t>Капитальный ремонт муниципального жилого фонда</w:t>
            </w:r>
          </w:p>
        </w:tc>
        <w:tc>
          <w:tcPr>
            <w:tcW w:w="850" w:type="dxa"/>
            <w:tcBorders>
              <w:top w:val="single" w:sz="4" w:space="0" w:color="auto"/>
              <w:left w:val="single" w:sz="4" w:space="0" w:color="auto"/>
              <w:bottom w:val="nil"/>
              <w:right w:val="nil"/>
            </w:tcBorders>
            <w:shd w:val="clear" w:color="auto" w:fill="auto"/>
            <w:noWrap/>
            <w:vAlign w:val="center"/>
            <w:hideMark/>
          </w:tcPr>
          <w:p w14:paraId="5A592166" w14:textId="77777777" w:rsidR="00387142" w:rsidRPr="008B6A75" w:rsidRDefault="00387142" w:rsidP="00387142">
            <w:pPr>
              <w:jc w:val="center"/>
              <w:rPr>
                <w:bCs/>
                <w:sz w:val="20"/>
                <w:szCs w:val="20"/>
              </w:rPr>
            </w:pPr>
            <w:r w:rsidRPr="008B6A75">
              <w:rPr>
                <w:bCs/>
                <w:sz w:val="20"/>
                <w:szCs w:val="20"/>
              </w:rPr>
              <w:t>444</w:t>
            </w:r>
          </w:p>
        </w:tc>
        <w:tc>
          <w:tcPr>
            <w:tcW w:w="709" w:type="dxa"/>
            <w:tcBorders>
              <w:top w:val="single" w:sz="4" w:space="0" w:color="auto"/>
              <w:left w:val="single" w:sz="4" w:space="0" w:color="auto"/>
              <w:bottom w:val="nil"/>
              <w:right w:val="nil"/>
            </w:tcBorders>
            <w:shd w:val="clear" w:color="auto" w:fill="auto"/>
            <w:noWrap/>
            <w:vAlign w:val="center"/>
            <w:hideMark/>
          </w:tcPr>
          <w:p w14:paraId="2863284A" w14:textId="77777777" w:rsidR="00387142" w:rsidRPr="008B6A75" w:rsidRDefault="00387142" w:rsidP="00387142">
            <w:pPr>
              <w:jc w:val="center"/>
              <w:rPr>
                <w:bCs/>
                <w:sz w:val="20"/>
                <w:szCs w:val="20"/>
              </w:rPr>
            </w:pPr>
            <w:r w:rsidRPr="008B6A75">
              <w:rPr>
                <w:bCs/>
                <w:sz w:val="20"/>
                <w:szCs w:val="20"/>
              </w:rPr>
              <w:t>05</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7F0D5760" w14:textId="77777777" w:rsidR="00387142" w:rsidRPr="008B6A75" w:rsidRDefault="00387142" w:rsidP="00387142">
            <w:pPr>
              <w:jc w:val="center"/>
              <w:rPr>
                <w:bCs/>
                <w:sz w:val="20"/>
                <w:szCs w:val="20"/>
              </w:rPr>
            </w:pPr>
            <w:r w:rsidRPr="008B6A75">
              <w:rPr>
                <w:bCs/>
                <w:sz w:val="20"/>
                <w:szCs w:val="20"/>
              </w:rPr>
              <w:t>05</w:t>
            </w:r>
          </w:p>
        </w:tc>
        <w:tc>
          <w:tcPr>
            <w:tcW w:w="1411" w:type="dxa"/>
            <w:tcBorders>
              <w:top w:val="single" w:sz="4" w:space="0" w:color="auto"/>
              <w:left w:val="single" w:sz="4" w:space="0" w:color="auto"/>
              <w:bottom w:val="nil"/>
              <w:right w:val="nil"/>
            </w:tcBorders>
            <w:shd w:val="clear" w:color="auto" w:fill="auto"/>
            <w:noWrap/>
            <w:vAlign w:val="center"/>
            <w:hideMark/>
          </w:tcPr>
          <w:p w14:paraId="3DDDFC6E" w14:textId="77777777" w:rsidR="00387142" w:rsidRPr="008B6A75" w:rsidRDefault="00387142" w:rsidP="00387142">
            <w:pPr>
              <w:jc w:val="center"/>
              <w:rPr>
                <w:bCs/>
                <w:sz w:val="20"/>
                <w:szCs w:val="20"/>
              </w:rPr>
            </w:pPr>
            <w:r w:rsidRPr="008B6A75">
              <w:rPr>
                <w:bCs/>
                <w:sz w:val="20"/>
                <w:szCs w:val="20"/>
              </w:rPr>
              <w:t>99.0.00.05110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0829D9DC" w14:textId="77777777" w:rsidR="00387142" w:rsidRPr="008B6A75" w:rsidRDefault="00387142" w:rsidP="00387142">
            <w:pPr>
              <w:jc w:val="center"/>
              <w:rPr>
                <w:bCs/>
                <w:sz w:val="20"/>
                <w:szCs w:val="20"/>
              </w:rPr>
            </w:pPr>
            <w:r w:rsidRPr="008B6A75">
              <w:rPr>
                <w:bCs/>
                <w:sz w:val="20"/>
                <w:szCs w:val="20"/>
              </w:rPr>
              <w:t> </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489794DA" w14:textId="77777777" w:rsidR="00387142" w:rsidRPr="008B6A75" w:rsidRDefault="00387142" w:rsidP="00387142">
            <w:pPr>
              <w:jc w:val="right"/>
              <w:rPr>
                <w:bCs/>
                <w:sz w:val="20"/>
                <w:szCs w:val="20"/>
              </w:rPr>
            </w:pPr>
            <w:r w:rsidRPr="008B6A75">
              <w:rPr>
                <w:bCs/>
                <w:sz w:val="20"/>
                <w:szCs w:val="20"/>
              </w:rPr>
              <w:t>56 440,00</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7A36576B" w14:textId="77777777" w:rsidR="00387142" w:rsidRPr="008B6A75" w:rsidRDefault="00387142" w:rsidP="00387142">
            <w:pPr>
              <w:jc w:val="right"/>
              <w:rPr>
                <w:bCs/>
                <w:sz w:val="20"/>
                <w:szCs w:val="20"/>
              </w:rPr>
            </w:pPr>
            <w:r w:rsidRPr="008B6A75">
              <w:rPr>
                <w:bCs/>
                <w:sz w:val="20"/>
                <w:szCs w:val="20"/>
              </w:rPr>
              <w:t>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11C4971D" w14:textId="77777777" w:rsidR="00387142" w:rsidRPr="008B6A75" w:rsidRDefault="00387142" w:rsidP="00387142">
            <w:pPr>
              <w:jc w:val="right"/>
              <w:rPr>
                <w:bCs/>
                <w:sz w:val="20"/>
                <w:szCs w:val="20"/>
              </w:rPr>
            </w:pPr>
            <w:r w:rsidRPr="008B6A75">
              <w:rPr>
                <w:bCs/>
                <w:sz w:val="20"/>
                <w:szCs w:val="20"/>
              </w:rPr>
              <w:t>0,00</w:t>
            </w:r>
          </w:p>
        </w:tc>
        <w:tc>
          <w:tcPr>
            <w:tcW w:w="222" w:type="dxa"/>
            <w:vAlign w:val="center"/>
            <w:hideMark/>
          </w:tcPr>
          <w:p w14:paraId="3DE5F519" w14:textId="77777777" w:rsidR="00387142" w:rsidRPr="008B6A75" w:rsidRDefault="00387142" w:rsidP="00387142">
            <w:pPr>
              <w:rPr>
                <w:sz w:val="20"/>
                <w:szCs w:val="20"/>
              </w:rPr>
            </w:pPr>
          </w:p>
        </w:tc>
      </w:tr>
      <w:tr w:rsidR="00387142" w:rsidRPr="008B6A75" w14:paraId="28255DE6" w14:textId="77777777" w:rsidTr="00387142">
        <w:trPr>
          <w:trHeight w:val="585"/>
        </w:trPr>
        <w:tc>
          <w:tcPr>
            <w:tcW w:w="3021" w:type="dxa"/>
            <w:tcBorders>
              <w:top w:val="single" w:sz="4" w:space="0" w:color="auto"/>
              <w:left w:val="single" w:sz="4" w:space="0" w:color="auto"/>
              <w:bottom w:val="nil"/>
              <w:right w:val="nil"/>
            </w:tcBorders>
            <w:shd w:val="clear" w:color="auto" w:fill="auto"/>
            <w:vAlign w:val="center"/>
            <w:hideMark/>
          </w:tcPr>
          <w:p w14:paraId="10D6E8AD" w14:textId="77777777" w:rsidR="00387142" w:rsidRPr="008B6A75" w:rsidRDefault="00387142" w:rsidP="00387142">
            <w:pPr>
              <w:rPr>
                <w:sz w:val="20"/>
                <w:szCs w:val="20"/>
              </w:rPr>
            </w:pPr>
            <w:r w:rsidRPr="008B6A75">
              <w:rPr>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nil"/>
              <w:right w:val="nil"/>
            </w:tcBorders>
            <w:shd w:val="clear" w:color="auto" w:fill="auto"/>
            <w:noWrap/>
            <w:vAlign w:val="center"/>
            <w:hideMark/>
          </w:tcPr>
          <w:p w14:paraId="1FA8FCC8" w14:textId="77777777" w:rsidR="00387142" w:rsidRPr="008B6A75" w:rsidRDefault="00387142" w:rsidP="00387142">
            <w:pPr>
              <w:jc w:val="center"/>
              <w:rPr>
                <w:sz w:val="20"/>
                <w:szCs w:val="20"/>
              </w:rPr>
            </w:pPr>
            <w:r w:rsidRPr="008B6A75">
              <w:rPr>
                <w:sz w:val="20"/>
                <w:szCs w:val="20"/>
              </w:rPr>
              <w:t>444</w:t>
            </w:r>
          </w:p>
        </w:tc>
        <w:tc>
          <w:tcPr>
            <w:tcW w:w="709" w:type="dxa"/>
            <w:tcBorders>
              <w:top w:val="single" w:sz="4" w:space="0" w:color="auto"/>
              <w:left w:val="single" w:sz="4" w:space="0" w:color="auto"/>
              <w:bottom w:val="nil"/>
              <w:right w:val="nil"/>
            </w:tcBorders>
            <w:shd w:val="clear" w:color="auto" w:fill="auto"/>
            <w:noWrap/>
            <w:vAlign w:val="center"/>
            <w:hideMark/>
          </w:tcPr>
          <w:p w14:paraId="30F64685" w14:textId="77777777" w:rsidR="00387142" w:rsidRPr="008B6A75" w:rsidRDefault="00387142" w:rsidP="00387142">
            <w:pPr>
              <w:jc w:val="center"/>
              <w:rPr>
                <w:sz w:val="20"/>
                <w:szCs w:val="20"/>
              </w:rPr>
            </w:pPr>
            <w:r w:rsidRPr="008B6A75">
              <w:rPr>
                <w:sz w:val="20"/>
                <w:szCs w:val="20"/>
              </w:rPr>
              <w:t>05</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72FC2931" w14:textId="77777777" w:rsidR="00387142" w:rsidRPr="008B6A75" w:rsidRDefault="00387142" w:rsidP="00387142">
            <w:pPr>
              <w:jc w:val="center"/>
              <w:rPr>
                <w:sz w:val="20"/>
                <w:szCs w:val="20"/>
              </w:rPr>
            </w:pPr>
            <w:r w:rsidRPr="008B6A75">
              <w:rPr>
                <w:sz w:val="20"/>
                <w:szCs w:val="20"/>
              </w:rPr>
              <w:t>05</w:t>
            </w:r>
          </w:p>
        </w:tc>
        <w:tc>
          <w:tcPr>
            <w:tcW w:w="1411" w:type="dxa"/>
            <w:tcBorders>
              <w:top w:val="single" w:sz="4" w:space="0" w:color="auto"/>
              <w:left w:val="single" w:sz="4" w:space="0" w:color="auto"/>
              <w:bottom w:val="nil"/>
              <w:right w:val="nil"/>
            </w:tcBorders>
            <w:shd w:val="clear" w:color="auto" w:fill="auto"/>
            <w:noWrap/>
            <w:vAlign w:val="center"/>
            <w:hideMark/>
          </w:tcPr>
          <w:p w14:paraId="4EC52493" w14:textId="77777777" w:rsidR="00387142" w:rsidRPr="008B6A75" w:rsidRDefault="00387142" w:rsidP="00387142">
            <w:pPr>
              <w:jc w:val="center"/>
              <w:rPr>
                <w:sz w:val="20"/>
                <w:szCs w:val="20"/>
              </w:rPr>
            </w:pPr>
            <w:r w:rsidRPr="008B6A75">
              <w:rPr>
                <w:sz w:val="20"/>
                <w:szCs w:val="20"/>
              </w:rPr>
              <w:t>99.0.00.05110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7C190B44" w14:textId="77777777" w:rsidR="00387142" w:rsidRPr="008B6A75" w:rsidRDefault="00387142" w:rsidP="00387142">
            <w:pPr>
              <w:jc w:val="center"/>
              <w:rPr>
                <w:sz w:val="20"/>
                <w:szCs w:val="20"/>
              </w:rPr>
            </w:pPr>
            <w:r w:rsidRPr="008B6A75">
              <w:rPr>
                <w:sz w:val="20"/>
                <w:szCs w:val="20"/>
              </w:rPr>
              <w:t>200</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67D2372C" w14:textId="77777777" w:rsidR="00387142" w:rsidRPr="008B6A75" w:rsidRDefault="00387142" w:rsidP="00387142">
            <w:pPr>
              <w:jc w:val="right"/>
              <w:rPr>
                <w:sz w:val="20"/>
                <w:szCs w:val="20"/>
              </w:rPr>
            </w:pPr>
            <w:r w:rsidRPr="008B6A75">
              <w:rPr>
                <w:sz w:val="20"/>
                <w:szCs w:val="20"/>
              </w:rPr>
              <w:t>56 440,00</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069B7C6A" w14:textId="77777777" w:rsidR="00387142" w:rsidRPr="008B6A75" w:rsidRDefault="00387142" w:rsidP="00387142">
            <w:pPr>
              <w:jc w:val="right"/>
              <w:rPr>
                <w:sz w:val="20"/>
                <w:szCs w:val="20"/>
              </w:rPr>
            </w:pPr>
            <w:r w:rsidRPr="008B6A75">
              <w:rPr>
                <w:sz w:val="20"/>
                <w:szCs w:val="20"/>
              </w:rPr>
              <w:t>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1600916D" w14:textId="77777777" w:rsidR="00387142" w:rsidRPr="008B6A75" w:rsidRDefault="00387142" w:rsidP="00387142">
            <w:pPr>
              <w:jc w:val="right"/>
              <w:rPr>
                <w:sz w:val="20"/>
                <w:szCs w:val="20"/>
              </w:rPr>
            </w:pPr>
            <w:r w:rsidRPr="008B6A75">
              <w:rPr>
                <w:sz w:val="20"/>
                <w:szCs w:val="20"/>
              </w:rPr>
              <w:t>0,00</w:t>
            </w:r>
          </w:p>
        </w:tc>
        <w:tc>
          <w:tcPr>
            <w:tcW w:w="222" w:type="dxa"/>
            <w:vAlign w:val="center"/>
            <w:hideMark/>
          </w:tcPr>
          <w:p w14:paraId="2ED7CECD" w14:textId="77777777" w:rsidR="00387142" w:rsidRPr="008B6A75" w:rsidRDefault="00387142" w:rsidP="00387142">
            <w:pPr>
              <w:rPr>
                <w:sz w:val="20"/>
                <w:szCs w:val="20"/>
              </w:rPr>
            </w:pPr>
          </w:p>
        </w:tc>
      </w:tr>
      <w:tr w:rsidR="00387142" w:rsidRPr="008B6A75" w14:paraId="037D9CBD" w14:textId="77777777" w:rsidTr="00387142">
        <w:trPr>
          <w:trHeight w:val="870"/>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3C9008B6" w14:textId="77777777" w:rsidR="00387142" w:rsidRPr="008B6A75" w:rsidRDefault="00387142" w:rsidP="00387142">
            <w:pPr>
              <w:rPr>
                <w:sz w:val="20"/>
                <w:szCs w:val="20"/>
              </w:rPr>
            </w:pPr>
            <w:r w:rsidRPr="008B6A75">
              <w:rPr>
                <w:sz w:val="20"/>
                <w:szCs w:val="20"/>
              </w:rPr>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7CAB04E1" w14:textId="77777777" w:rsidR="00387142" w:rsidRPr="008B6A75" w:rsidRDefault="00387142" w:rsidP="00387142">
            <w:pPr>
              <w:jc w:val="center"/>
              <w:rPr>
                <w:sz w:val="20"/>
                <w:szCs w:val="20"/>
              </w:rPr>
            </w:pPr>
            <w:r w:rsidRPr="008B6A75">
              <w:rPr>
                <w:sz w:val="20"/>
                <w:szCs w:val="20"/>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47E738FA" w14:textId="77777777" w:rsidR="00387142" w:rsidRPr="008B6A75" w:rsidRDefault="00387142" w:rsidP="00387142">
            <w:pPr>
              <w:jc w:val="center"/>
              <w:rPr>
                <w:sz w:val="20"/>
                <w:szCs w:val="20"/>
              </w:rPr>
            </w:pPr>
            <w:r w:rsidRPr="008B6A75">
              <w:rPr>
                <w:sz w:val="20"/>
                <w:szCs w:val="20"/>
              </w:rPr>
              <w:t>05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81B7CC" w14:textId="77777777" w:rsidR="00387142" w:rsidRPr="008B6A75" w:rsidRDefault="00387142" w:rsidP="00387142">
            <w:pPr>
              <w:jc w:val="center"/>
              <w:rPr>
                <w:sz w:val="20"/>
                <w:szCs w:val="20"/>
              </w:rPr>
            </w:pPr>
            <w:r w:rsidRPr="008B6A75">
              <w:rPr>
                <w:sz w:val="20"/>
                <w:szCs w:val="20"/>
              </w:rPr>
              <w:t>05</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6774D2F1" w14:textId="77777777" w:rsidR="00387142" w:rsidRPr="008B6A75" w:rsidRDefault="00387142" w:rsidP="00387142">
            <w:pPr>
              <w:jc w:val="center"/>
              <w:rPr>
                <w:sz w:val="20"/>
                <w:szCs w:val="20"/>
              </w:rPr>
            </w:pPr>
            <w:r w:rsidRPr="008B6A75">
              <w:rPr>
                <w:sz w:val="20"/>
                <w:szCs w:val="20"/>
              </w:rPr>
              <w:t>99.0.00.05110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CD4C7C" w14:textId="77777777" w:rsidR="00387142" w:rsidRPr="008B6A75" w:rsidRDefault="00387142" w:rsidP="00387142">
            <w:pPr>
              <w:jc w:val="center"/>
              <w:rPr>
                <w:sz w:val="20"/>
                <w:szCs w:val="20"/>
              </w:rPr>
            </w:pPr>
            <w:r w:rsidRPr="008B6A75">
              <w:rPr>
                <w:sz w:val="20"/>
                <w:szCs w:val="20"/>
              </w:rPr>
              <w:t>240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FBD7DC" w14:textId="77777777" w:rsidR="00387142" w:rsidRPr="008B6A75" w:rsidRDefault="00387142" w:rsidP="00387142">
            <w:pPr>
              <w:jc w:val="right"/>
              <w:rPr>
                <w:sz w:val="20"/>
                <w:szCs w:val="20"/>
              </w:rPr>
            </w:pPr>
            <w:r w:rsidRPr="008B6A75">
              <w:rPr>
                <w:sz w:val="20"/>
                <w:szCs w:val="20"/>
              </w:rPr>
              <w:t>56 440,00</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7D94F034" w14:textId="77777777" w:rsidR="00387142" w:rsidRPr="008B6A75" w:rsidRDefault="00387142" w:rsidP="00387142">
            <w:pPr>
              <w:jc w:val="right"/>
              <w:rPr>
                <w:sz w:val="20"/>
                <w:szCs w:val="20"/>
              </w:rPr>
            </w:pPr>
            <w:r w:rsidRPr="008B6A75">
              <w:rPr>
                <w:sz w:val="20"/>
                <w:szCs w:val="20"/>
              </w:rPr>
              <w:t>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D00090" w14:textId="77777777" w:rsidR="00387142" w:rsidRPr="008B6A75" w:rsidRDefault="00387142" w:rsidP="00387142">
            <w:pPr>
              <w:jc w:val="right"/>
              <w:rPr>
                <w:sz w:val="20"/>
                <w:szCs w:val="20"/>
              </w:rPr>
            </w:pPr>
            <w:r w:rsidRPr="008B6A75">
              <w:rPr>
                <w:sz w:val="20"/>
                <w:szCs w:val="20"/>
              </w:rPr>
              <w:t>0,00</w:t>
            </w:r>
          </w:p>
        </w:tc>
        <w:tc>
          <w:tcPr>
            <w:tcW w:w="222" w:type="dxa"/>
            <w:vAlign w:val="center"/>
            <w:hideMark/>
          </w:tcPr>
          <w:p w14:paraId="27B26FF4" w14:textId="77777777" w:rsidR="00387142" w:rsidRPr="008B6A75" w:rsidRDefault="00387142" w:rsidP="00387142">
            <w:pPr>
              <w:rPr>
                <w:sz w:val="20"/>
                <w:szCs w:val="20"/>
              </w:rPr>
            </w:pPr>
          </w:p>
        </w:tc>
      </w:tr>
      <w:tr w:rsidR="00387142" w:rsidRPr="008B6A75" w14:paraId="7E9D54C2" w14:textId="77777777" w:rsidTr="00387142">
        <w:trPr>
          <w:trHeight w:val="300"/>
        </w:trPr>
        <w:tc>
          <w:tcPr>
            <w:tcW w:w="3021" w:type="dxa"/>
            <w:tcBorders>
              <w:top w:val="nil"/>
              <w:left w:val="single" w:sz="4" w:space="0" w:color="auto"/>
              <w:bottom w:val="nil"/>
              <w:right w:val="nil"/>
            </w:tcBorders>
            <w:shd w:val="clear" w:color="auto" w:fill="auto"/>
            <w:vAlign w:val="center"/>
            <w:hideMark/>
          </w:tcPr>
          <w:p w14:paraId="04F2C1E0" w14:textId="77777777" w:rsidR="00387142" w:rsidRPr="008B6A75" w:rsidRDefault="00387142" w:rsidP="00387142">
            <w:pPr>
              <w:rPr>
                <w:bCs/>
                <w:sz w:val="20"/>
                <w:szCs w:val="20"/>
              </w:rPr>
            </w:pPr>
            <w:r w:rsidRPr="008B6A75">
              <w:rPr>
                <w:bCs/>
                <w:sz w:val="20"/>
                <w:szCs w:val="20"/>
              </w:rPr>
              <w:t>ОБРАЗОВАНИЕ</w:t>
            </w:r>
          </w:p>
        </w:tc>
        <w:tc>
          <w:tcPr>
            <w:tcW w:w="850" w:type="dxa"/>
            <w:tcBorders>
              <w:top w:val="nil"/>
              <w:left w:val="single" w:sz="4" w:space="0" w:color="auto"/>
              <w:bottom w:val="nil"/>
              <w:right w:val="nil"/>
            </w:tcBorders>
            <w:shd w:val="clear" w:color="auto" w:fill="auto"/>
            <w:noWrap/>
            <w:vAlign w:val="center"/>
            <w:hideMark/>
          </w:tcPr>
          <w:p w14:paraId="70045F3A" w14:textId="77777777" w:rsidR="00387142" w:rsidRPr="008B6A75" w:rsidRDefault="00387142" w:rsidP="00387142">
            <w:pPr>
              <w:jc w:val="center"/>
              <w:rPr>
                <w:bCs/>
                <w:sz w:val="20"/>
                <w:szCs w:val="20"/>
              </w:rPr>
            </w:pPr>
            <w:r w:rsidRPr="008B6A75">
              <w:rPr>
                <w:bCs/>
                <w:sz w:val="20"/>
                <w:szCs w:val="20"/>
              </w:rPr>
              <w:t>444</w:t>
            </w:r>
          </w:p>
        </w:tc>
        <w:tc>
          <w:tcPr>
            <w:tcW w:w="709" w:type="dxa"/>
            <w:tcBorders>
              <w:top w:val="nil"/>
              <w:left w:val="single" w:sz="4" w:space="0" w:color="auto"/>
              <w:bottom w:val="nil"/>
              <w:right w:val="nil"/>
            </w:tcBorders>
            <w:shd w:val="clear" w:color="auto" w:fill="auto"/>
            <w:noWrap/>
            <w:vAlign w:val="center"/>
            <w:hideMark/>
          </w:tcPr>
          <w:p w14:paraId="72C61E64" w14:textId="77777777" w:rsidR="00387142" w:rsidRPr="008B6A75" w:rsidRDefault="00387142" w:rsidP="00387142">
            <w:pPr>
              <w:jc w:val="center"/>
              <w:rPr>
                <w:bCs/>
                <w:sz w:val="20"/>
                <w:szCs w:val="20"/>
              </w:rPr>
            </w:pPr>
            <w:r w:rsidRPr="008B6A75">
              <w:rPr>
                <w:bCs/>
                <w:sz w:val="20"/>
                <w:szCs w:val="20"/>
              </w:rPr>
              <w:t>07</w:t>
            </w:r>
          </w:p>
        </w:tc>
        <w:tc>
          <w:tcPr>
            <w:tcW w:w="709" w:type="dxa"/>
            <w:tcBorders>
              <w:top w:val="nil"/>
              <w:left w:val="single" w:sz="4" w:space="0" w:color="auto"/>
              <w:bottom w:val="nil"/>
              <w:right w:val="single" w:sz="4" w:space="0" w:color="auto"/>
            </w:tcBorders>
            <w:shd w:val="clear" w:color="auto" w:fill="auto"/>
            <w:noWrap/>
            <w:vAlign w:val="center"/>
            <w:hideMark/>
          </w:tcPr>
          <w:p w14:paraId="3588D8F1" w14:textId="77777777" w:rsidR="00387142" w:rsidRPr="008B6A75" w:rsidRDefault="00387142" w:rsidP="00387142">
            <w:pPr>
              <w:jc w:val="center"/>
              <w:rPr>
                <w:bCs/>
                <w:sz w:val="20"/>
                <w:szCs w:val="20"/>
              </w:rPr>
            </w:pPr>
            <w:r w:rsidRPr="008B6A75">
              <w:rPr>
                <w:bCs/>
                <w:sz w:val="20"/>
                <w:szCs w:val="20"/>
              </w:rPr>
              <w:t> </w:t>
            </w:r>
          </w:p>
        </w:tc>
        <w:tc>
          <w:tcPr>
            <w:tcW w:w="1411" w:type="dxa"/>
            <w:tcBorders>
              <w:top w:val="nil"/>
              <w:left w:val="single" w:sz="4" w:space="0" w:color="auto"/>
              <w:bottom w:val="nil"/>
              <w:right w:val="nil"/>
            </w:tcBorders>
            <w:shd w:val="clear" w:color="auto" w:fill="auto"/>
            <w:noWrap/>
            <w:vAlign w:val="center"/>
            <w:hideMark/>
          </w:tcPr>
          <w:p w14:paraId="5DF75DB5" w14:textId="77777777" w:rsidR="00387142" w:rsidRPr="008B6A75" w:rsidRDefault="00387142" w:rsidP="00387142">
            <w:pPr>
              <w:jc w:val="center"/>
              <w:rPr>
                <w:bCs/>
                <w:sz w:val="20"/>
                <w:szCs w:val="20"/>
              </w:rPr>
            </w:pPr>
            <w:r w:rsidRPr="008B6A75">
              <w:rPr>
                <w:bCs/>
                <w:sz w:val="20"/>
                <w:szCs w:val="20"/>
              </w:rPr>
              <w:t> </w:t>
            </w:r>
          </w:p>
        </w:tc>
        <w:tc>
          <w:tcPr>
            <w:tcW w:w="955" w:type="dxa"/>
            <w:tcBorders>
              <w:top w:val="nil"/>
              <w:left w:val="single" w:sz="4" w:space="0" w:color="auto"/>
              <w:bottom w:val="nil"/>
              <w:right w:val="single" w:sz="4" w:space="0" w:color="auto"/>
            </w:tcBorders>
            <w:shd w:val="clear" w:color="auto" w:fill="auto"/>
            <w:noWrap/>
            <w:vAlign w:val="center"/>
            <w:hideMark/>
          </w:tcPr>
          <w:p w14:paraId="75D2BF85"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nil"/>
              <w:right w:val="single" w:sz="4" w:space="0" w:color="auto"/>
            </w:tcBorders>
            <w:shd w:val="clear" w:color="auto" w:fill="auto"/>
            <w:noWrap/>
            <w:vAlign w:val="center"/>
            <w:hideMark/>
          </w:tcPr>
          <w:p w14:paraId="310A3832" w14:textId="77777777" w:rsidR="00387142" w:rsidRPr="008B6A75" w:rsidRDefault="00387142" w:rsidP="00387142">
            <w:pPr>
              <w:jc w:val="right"/>
              <w:rPr>
                <w:bCs/>
                <w:sz w:val="20"/>
                <w:szCs w:val="20"/>
              </w:rPr>
            </w:pPr>
            <w:r w:rsidRPr="008B6A75">
              <w:rPr>
                <w:bCs/>
                <w:sz w:val="20"/>
                <w:szCs w:val="20"/>
              </w:rPr>
              <w:t>1 763 615 304,30</w:t>
            </w:r>
          </w:p>
        </w:tc>
        <w:tc>
          <w:tcPr>
            <w:tcW w:w="992" w:type="dxa"/>
            <w:gridSpan w:val="2"/>
            <w:tcBorders>
              <w:top w:val="nil"/>
              <w:left w:val="single" w:sz="4" w:space="0" w:color="auto"/>
              <w:bottom w:val="nil"/>
              <w:right w:val="nil"/>
            </w:tcBorders>
            <w:shd w:val="clear" w:color="auto" w:fill="auto"/>
            <w:noWrap/>
            <w:vAlign w:val="center"/>
            <w:hideMark/>
          </w:tcPr>
          <w:p w14:paraId="701A98C6" w14:textId="77777777" w:rsidR="00387142" w:rsidRPr="008B6A75" w:rsidRDefault="00387142" w:rsidP="00387142">
            <w:pPr>
              <w:jc w:val="right"/>
              <w:rPr>
                <w:bCs/>
                <w:sz w:val="20"/>
                <w:szCs w:val="20"/>
              </w:rPr>
            </w:pPr>
            <w:r w:rsidRPr="008B6A75">
              <w:rPr>
                <w:bCs/>
                <w:sz w:val="20"/>
                <w:szCs w:val="20"/>
              </w:rPr>
              <w:t>1 266 827 500,00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4763D020" w14:textId="77777777" w:rsidR="00387142" w:rsidRPr="008B6A75" w:rsidRDefault="00387142" w:rsidP="00387142">
            <w:pPr>
              <w:jc w:val="right"/>
              <w:rPr>
                <w:bCs/>
                <w:sz w:val="20"/>
                <w:szCs w:val="20"/>
              </w:rPr>
            </w:pPr>
            <w:r w:rsidRPr="008B6A75">
              <w:rPr>
                <w:bCs/>
                <w:sz w:val="20"/>
                <w:szCs w:val="20"/>
              </w:rPr>
              <w:t>1 281 643 600,00</w:t>
            </w:r>
          </w:p>
        </w:tc>
        <w:tc>
          <w:tcPr>
            <w:tcW w:w="222" w:type="dxa"/>
            <w:vAlign w:val="center"/>
            <w:hideMark/>
          </w:tcPr>
          <w:p w14:paraId="5B34408D" w14:textId="77777777" w:rsidR="00387142" w:rsidRPr="008B6A75" w:rsidRDefault="00387142" w:rsidP="00387142">
            <w:pPr>
              <w:rPr>
                <w:sz w:val="20"/>
                <w:szCs w:val="20"/>
              </w:rPr>
            </w:pPr>
          </w:p>
        </w:tc>
      </w:tr>
      <w:tr w:rsidR="00387142" w:rsidRPr="008B6A75" w14:paraId="4CA6A2BE" w14:textId="77777777" w:rsidTr="00387142">
        <w:trPr>
          <w:trHeight w:val="300"/>
        </w:trPr>
        <w:tc>
          <w:tcPr>
            <w:tcW w:w="3021" w:type="dxa"/>
            <w:tcBorders>
              <w:top w:val="single" w:sz="4" w:space="0" w:color="auto"/>
              <w:left w:val="single" w:sz="4" w:space="0" w:color="auto"/>
              <w:bottom w:val="nil"/>
              <w:right w:val="nil"/>
            </w:tcBorders>
            <w:shd w:val="clear" w:color="auto" w:fill="auto"/>
            <w:vAlign w:val="center"/>
            <w:hideMark/>
          </w:tcPr>
          <w:p w14:paraId="74C99A1F" w14:textId="77777777" w:rsidR="00387142" w:rsidRPr="008B6A75" w:rsidRDefault="00387142" w:rsidP="00387142">
            <w:pPr>
              <w:rPr>
                <w:bCs/>
                <w:sz w:val="20"/>
                <w:szCs w:val="20"/>
              </w:rPr>
            </w:pPr>
            <w:r w:rsidRPr="008B6A75">
              <w:rPr>
                <w:bCs/>
                <w:sz w:val="20"/>
                <w:szCs w:val="20"/>
              </w:rPr>
              <w:t>Дошкольное образование</w:t>
            </w:r>
          </w:p>
        </w:tc>
        <w:tc>
          <w:tcPr>
            <w:tcW w:w="850" w:type="dxa"/>
            <w:tcBorders>
              <w:top w:val="single" w:sz="4" w:space="0" w:color="auto"/>
              <w:left w:val="single" w:sz="4" w:space="0" w:color="auto"/>
              <w:bottom w:val="nil"/>
              <w:right w:val="nil"/>
            </w:tcBorders>
            <w:shd w:val="clear" w:color="auto" w:fill="auto"/>
            <w:noWrap/>
            <w:vAlign w:val="center"/>
            <w:hideMark/>
          </w:tcPr>
          <w:p w14:paraId="752A9D01" w14:textId="77777777" w:rsidR="00387142" w:rsidRPr="008B6A75" w:rsidRDefault="00387142" w:rsidP="00387142">
            <w:pPr>
              <w:jc w:val="center"/>
              <w:rPr>
                <w:bCs/>
                <w:sz w:val="20"/>
                <w:szCs w:val="20"/>
              </w:rPr>
            </w:pPr>
            <w:r w:rsidRPr="008B6A75">
              <w:rPr>
                <w:bCs/>
                <w:sz w:val="20"/>
                <w:szCs w:val="20"/>
              </w:rPr>
              <w:t>444</w:t>
            </w:r>
          </w:p>
        </w:tc>
        <w:tc>
          <w:tcPr>
            <w:tcW w:w="709" w:type="dxa"/>
            <w:tcBorders>
              <w:top w:val="single" w:sz="4" w:space="0" w:color="auto"/>
              <w:left w:val="single" w:sz="4" w:space="0" w:color="auto"/>
              <w:bottom w:val="nil"/>
              <w:right w:val="nil"/>
            </w:tcBorders>
            <w:shd w:val="clear" w:color="auto" w:fill="auto"/>
            <w:noWrap/>
            <w:vAlign w:val="center"/>
            <w:hideMark/>
          </w:tcPr>
          <w:p w14:paraId="7ED63867" w14:textId="77777777" w:rsidR="00387142" w:rsidRPr="008B6A75" w:rsidRDefault="00387142" w:rsidP="00387142">
            <w:pPr>
              <w:jc w:val="center"/>
              <w:rPr>
                <w:bCs/>
                <w:sz w:val="20"/>
                <w:szCs w:val="20"/>
              </w:rPr>
            </w:pPr>
            <w:r w:rsidRPr="008B6A75">
              <w:rPr>
                <w:bCs/>
                <w:sz w:val="20"/>
                <w:szCs w:val="20"/>
              </w:rPr>
              <w:t>07</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7B3ED029" w14:textId="77777777" w:rsidR="00387142" w:rsidRPr="008B6A75" w:rsidRDefault="00387142" w:rsidP="00387142">
            <w:pPr>
              <w:jc w:val="center"/>
              <w:rPr>
                <w:bCs/>
                <w:sz w:val="20"/>
                <w:szCs w:val="20"/>
              </w:rPr>
            </w:pPr>
            <w:r w:rsidRPr="008B6A75">
              <w:rPr>
                <w:bCs/>
                <w:sz w:val="20"/>
                <w:szCs w:val="20"/>
              </w:rPr>
              <w:t>01</w:t>
            </w:r>
          </w:p>
        </w:tc>
        <w:tc>
          <w:tcPr>
            <w:tcW w:w="1411" w:type="dxa"/>
            <w:tcBorders>
              <w:top w:val="single" w:sz="4" w:space="0" w:color="auto"/>
              <w:left w:val="single" w:sz="4" w:space="0" w:color="auto"/>
              <w:bottom w:val="nil"/>
              <w:right w:val="nil"/>
            </w:tcBorders>
            <w:shd w:val="clear" w:color="auto" w:fill="auto"/>
            <w:noWrap/>
            <w:vAlign w:val="center"/>
            <w:hideMark/>
          </w:tcPr>
          <w:p w14:paraId="33C4A1C4" w14:textId="77777777" w:rsidR="00387142" w:rsidRPr="008B6A75" w:rsidRDefault="00387142" w:rsidP="00387142">
            <w:pPr>
              <w:jc w:val="center"/>
              <w:rPr>
                <w:bCs/>
                <w:sz w:val="20"/>
                <w:szCs w:val="20"/>
              </w:rPr>
            </w:pPr>
            <w:r w:rsidRPr="008B6A75">
              <w:rPr>
                <w:bCs/>
                <w:sz w:val="20"/>
                <w:szCs w:val="20"/>
              </w:rPr>
              <w:t> </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197EB333" w14:textId="77777777" w:rsidR="00387142" w:rsidRPr="008B6A75" w:rsidRDefault="00387142" w:rsidP="00387142">
            <w:pPr>
              <w:jc w:val="center"/>
              <w:rPr>
                <w:bCs/>
                <w:sz w:val="20"/>
                <w:szCs w:val="20"/>
              </w:rPr>
            </w:pPr>
            <w:r w:rsidRPr="008B6A75">
              <w:rPr>
                <w:bCs/>
                <w:sz w:val="20"/>
                <w:szCs w:val="20"/>
              </w:rPr>
              <w:t> </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2CAD5A95" w14:textId="77777777" w:rsidR="00387142" w:rsidRPr="008B6A75" w:rsidRDefault="00387142" w:rsidP="00387142">
            <w:pPr>
              <w:jc w:val="right"/>
              <w:rPr>
                <w:bCs/>
                <w:sz w:val="20"/>
                <w:szCs w:val="20"/>
              </w:rPr>
            </w:pPr>
            <w:r w:rsidRPr="008B6A75">
              <w:rPr>
                <w:bCs/>
                <w:sz w:val="20"/>
                <w:szCs w:val="20"/>
              </w:rPr>
              <w:t>365 767 047,20</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1178E2AB" w14:textId="77777777" w:rsidR="00387142" w:rsidRPr="008B6A75" w:rsidRDefault="00387142" w:rsidP="00387142">
            <w:pPr>
              <w:jc w:val="right"/>
              <w:rPr>
                <w:bCs/>
                <w:sz w:val="20"/>
                <w:szCs w:val="20"/>
              </w:rPr>
            </w:pPr>
            <w:r w:rsidRPr="008B6A75">
              <w:rPr>
                <w:bCs/>
                <w:sz w:val="20"/>
                <w:szCs w:val="20"/>
              </w:rPr>
              <w:t>314 268 786,20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659C7A1C" w14:textId="77777777" w:rsidR="00387142" w:rsidRPr="008B6A75" w:rsidRDefault="00387142" w:rsidP="00387142">
            <w:pPr>
              <w:jc w:val="right"/>
              <w:rPr>
                <w:bCs/>
                <w:sz w:val="20"/>
                <w:szCs w:val="20"/>
              </w:rPr>
            </w:pPr>
            <w:r w:rsidRPr="008B6A75">
              <w:rPr>
                <w:bCs/>
                <w:sz w:val="20"/>
                <w:szCs w:val="20"/>
              </w:rPr>
              <w:t>329 524 883,78</w:t>
            </w:r>
          </w:p>
        </w:tc>
        <w:tc>
          <w:tcPr>
            <w:tcW w:w="222" w:type="dxa"/>
            <w:vAlign w:val="center"/>
            <w:hideMark/>
          </w:tcPr>
          <w:p w14:paraId="3F0562A8" w14:textId="77777777" w:rsidR="00387142" w:rsidRPr="008B6A75" w:rsidRDefault="00387142" w:rsidP="00387142">
            <w:pPr>
              <w:rPr>
                <w:sz w:val="20"/>
                <w:szCs w:val="20"/>
              </w:rPr>
            </w:pPr>
          </w:p>
        </w:tc>
      </w:tr>
      <w:tr w:rsidR="00387142" w:rsidRPr="008B6A75" w14:paraId="4E23E183" w14:textId="77777777" w:rsidTr="00387142">
        <w:trPr>
          <w:trHeight w:val="585"/>
        </w:trPr>
        <w:tc>
          <w:tcPr>
            <w:tcW w:w="3021" w:type="dxa"/>
            <w:tcBorders>
              <w:top w:val="single" w:sz="4" w:space="0" w:color="auto"/>
              <w:left w:val="single" w:sz="4" w:space="0" w:color="auto"/>
              <w:bottom w:val="nil"/>
              <w:right w:val="nil"/>
            </w:tcBorders>
            <w:shd w:val="clear" w:color="auto" w:fill="auto"/>
            <w:vAlign w:val="center"/>
            <w:hideMark/>
          </w:tcPr>
          <w:p w14:paraId="2FBE3974" w14:textId="77777777" w:rsidR="00387142" w:rsidRPr="008B6A75" w:rsidRDefault="00387142" w:rsidP="00387142">
            <w:pPr>
              <w:rPr>
                <w:bCs/>
                <w:sz w:val="20"/>
                <w:szCs w:val="20"/>
              </w:rPr>
            </w:pPr>
            <w:r w:rsidRPr="008B6A75">
              <w:rPr>
                <w:bCs/>
                <w:sz w:val="20"/>
                <w:szCs w:val="20"/>
              </w:rPr>
              <w:t>Муниципальная программа "Развитие системы образования Куйбышевского района"</w:t>
            </w:r>
          </w:p>
        </w:tc>
        <w:tc>
          <w:tcPr>
            <w:tcW w:w="850" w:type="dxa"/>
            <w:tcBorders>
              <w:top w:val="single" w:sz="4" w:space="0" w:color="auto"/>
              <w:left w:val="single" w:sz="4" w:space="0" w:color="auto"/>
              <w:bottom w:val="nil"/>
              <w:right w:val="nil"/>
            </w:tcBorders>
            <w:shd w:val="clear" w:color="auto" w:fill="auto"/>
            <w:noWrap/>
            <w:vAlign w:val="center"/>
            <w:hideMark/>
          </w:tcPr>
          <w:p w14:paraId="2FAED63B" w14:textId="77777777" w:rsidR="00387142" w:rsidRPr="008B6A75" w:rsidRDefault="00387142" w:rsidP="00387142">
            <w:pPr>
              <w:jc w:val="center"/>
              <w:rPr>
                <w:bCs/>
                <w:sz w:val="20"/>
                <w:szCs w:val="20"/>
              </w:rPr>
            </w:pPr>
            <w:r w:rsidRPr="008B6A75">
              <w:rPr>
                <w:bCs/>
                <w:sz w:val="20"/>
                <w:szCs w:val="20"/>
              </w:rPr>
              <w:t>444</w:t>
            </w:r>
          </w:p>
        </w:tc>
        <w:tc>
          <w:tcPr>
            <w:tcW w:w="709" w:type="dxa"/>
            <w:tcBorders>
              <w:top w:val="single" w:sz="4" w:space="0" w:color="auto"/>
              <w:left w:val="single" w:sz="4" w:space="0" w:color="auto"/>
              <w:bottom w:val="nil"/>
              <w:right w:val="nil"/>
            </w:tcBorders>
            <w:shd w:val="clear" w:color="auto" w:fill="auto"/>
            <w:noWrap/>
            <w:vAlign w:val="center"/>
            <w:hideMark/>
          </w:tcPr>
          <w:p w14:paraId="615D6D06" w14:textId="77777777" w:rsidR="00387142" w:rsidRPr="008B6A75" w:rsidRDefault="00387142" w:rsidP="00387142">
            <w:pPr>
              <w:jc w:val="center"/>
              <w:rPr>
                <w:bCs/>
                <w:sz w:val="20"/>
                <w:szCs w:val="20"/>
              </w:rPr>
            </w:pPr>
            <w:r w:rsidRPr="008B6A75">
              <w:rPr>
                <w:bCs/>
                <w:sz w:val="20"/>
                <w:szCs w:val="20"/>
              </w:rPr>
              <w:t>07</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582C65FB" w14:textId="77777777" w:rsidR="00387142" w:rsidRPr="008B6A75" w:rsidRDefault="00387142" w:rsidP="00387142">
            <w:pPr>
              <w:jc w:val="center"/>
              <w:rPr>
                <w:bCs/>
                <w:sz w:val="20"/>
                <w:szCs w:val="20"/>
              </w:rPr>
            </w:pPr>
            <w:r w:rsidRPr="008B6A75">
              <w:rPr>
                <w:bCs/>
                <w:sz w:val="20"/>
                <w:szCs w:val="20"/>
              </w:rPr>
              <w:t>01</w:t>
            </w:r>
          </w:p>
        </w:tc>
        <w:tc>
          <w:tcPr>
            <w:tcW w:w="1411" w:type="dxa"/>
            <w:tcBorders>
              <w:top w:val="single" w:sz="4" w:space="0" w:color="auto"/>
              <w:left w:val="single" w:sz="4" w:space="0" w:color="auto"/>
              <w:bottom w:val="nil"/>
              <w:right w:val="nil"/>
            </w:tcBorders>
            <w:shd w:val="clear" w:color="auto" w:fill="auto"/>
            <w:noWrap/>
            <w:vAlign w:val="center"/>
            <w:hideMark/>
          </w:tcPr>
          <w:p w14:paraId="3A51301E" w14:textId="77777777" w:rsidR="00387142" w:rsidRPr="008B6A75" w:rsidRDefault="00387142" w:rsidP="00387142">
            <w:pPr>
              <w:jc w:val="center"/>
              <w:rPr>
                <w:bCs/>
                <w:sz w:val="20"/>
                <w:szCs w:val="20"/>
              </w:rPr>
            </w:pPr>
            <w:r w:rsidRPr="008B6A75">
              <w:rPr>
                <w:bCs/>
                <w:sz w:val="20"/>
                <w:szCs w:val="20"/>
              </w:rPr>
              <w:t>07.0.00.00000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57AFB1E2" w14:textId="77777777" w:rsidR="00387142" w:rsidRPr="008B6A75" w:rsidRDefault="00387142" w:rsidP="00387142">
            <w:pPr>
              <w:jc w:val="center"/>
              <w:rPr>
                <w:bCs/>
                <w:sz w:val="20"/>
                <w:szCs w:val="20"/>
              </w:rPr>
            </w:pPr>
            <w:r w:rsidRPr="008B6A75">
              <w:rPr>
                <w:bCs/>
                <w:sz w:val="20"/>
                <w:szCs w:val="20"/>
              </w:rPr>
              <w:t> </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0A4813C8" w14:textId="77777777" w:rsidR="00387142" w:rsidRPr="008B6A75" w:rsidRDefault="00387142" w:rsidP="00387142">
            <w:pPr>
              <w:jc w:val="right"/>
              <w:rPr>
                <w:bCs/>
                <w:sz w:val="20"/>
                <w:szCs w:val="20"/>
              </w:rPr>
            </w:pPr>
            <w:r w:rsidRPr="008B6A75">
              <w:rPr>
                <w:bCs/>
                <w:sz w:val="20"/>
                <w:szCs w:val="20"/>
              </w:rPr>
              <w:t>365 767 047,20</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0A2B899F" w14:textId="77777777" w:rsidR="00387142" w:rsidRPr="008B6A75" w:rsidRDefault="00387142" w:rsidP="00387142">
            <w:pPr>
              <w:jc w:val="right"/>
              <w:rPr>
                <w:bCs/>
                <w:sz w:val="20"/>
                <w:szCs w:val="20"/>
              </w:rPr>
            </w:pPr>
            <w:r w:rsidRPr="008B6A75">
              <w:rPr>
                <w:bCs/>
                <w:sz w:val="20"/>
                <w:szCs w:val="20"/>
              </w:rPr>
              <w:t>314 268 786,20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434B4173" w14:textId="77777777" w:rsidR="00387142" w:rsidRPr="008B6A75" w:rsidRDefault="00387142" w:rsidP="00387142">
            <w:pPr>
              <w:jc w:val="right"/>
              <w:rPr>
                <w:bCs/>
                <w:sz w:val="20"/>
                <w:szCs w:val="20"/>
              </w:rPr>
            </w:pPr>
            <w:r w:rsidRPr="008B6A75">
              <w:rPr>
                <w:bCs/>
                <w:sz w:val="20"/>
                <w:szCs w:val="20"/>
              </w:rPr>
              <w:t>329 524 883,78</w:t>
            </w:r>
          </w:p>
        </w:tc>
        <w:tc>
          <w:tcPr>
            <w:tcW w:w="222" w:type="dxa"/>
            <w:vAlign w:val="center"/>
            <w:hideMark/>
          </w:tcPr>
          <w:p w14:paraId="391AA475" w14:textId="77777777" w:rsidR="00387142" w:rsidRPr="008B6A75" w:rsidRDefault="00387142" w:rsidP="00387142">
            <w:pPr>
              <w:rPr>
                <w:sz w:val="20"/>
                <w:szCs w:val="20"/>
              </w:rPr>
            </w:pPr>
          </w:p>
        </w:tc>
      </w:tr>
      <w:tr w:rsidR="00387142" w:rsidRPr="008B6A75" w14:paraId="42C474D2" w14:textId="77777777" w:rsidTr="00387142">
        <w:trPr>
          <w:trHeight w:val="585"/>
        </w:trPr>
        <w:tc>
          <w:tcPr>
            <w:tcW w:w="3021" w:type="dxa"/>
            <w:tcBorders>
              <w:top w:val="single" w:sz="4" w:space="0" w:color="auto"/>
              <w:left w:val="single" w:sz="4" w:space="0" w:color="auto"/>
              <w:bottom w:val="nil"/>
              <w:right w:val="nil"/>
            </w:tcBorders>
            <w:shd w:val="clear" w:color="auto" w:fill="auto"/>
            <w:vAlign w:val="center"/>
            <w:hideMark/>
          </w:tcPr>
          <w:p w14:paraId="518F4398" w14:textId="77777777" w:rsidR="00387142" w:rsidRPr="008B6A75" w:rsidRDefault="00387142" w:rsidP="00387142">
            <w:pPr>
              <w:rPr>
                <w:bCs/>
                <w:sz w:val="20"/>
                <w:szCs w:val="20"/>
              </w:rPr>
            </w:pPr>
            <w:r w:rsidRPr="008B6A75">
              <w:rPr>
                <w:bCs/>
                <w:sz w:val="20"/>
                <w:szCs w:val="20"/>
              </w:rPr>
              <w:t>Подпрограмма "Развитие дошкольного, общего и дополнительного образования детей"</w:t>
            </w:r>
          </w:p>
        </w:tc>
        <w:tc>
          <w:tcPr>
            <w:tcW w:w="850" w:type="dxa"/>
            <w:tcBorders>
              <w:top w:val="single" w:sz="4" w:space="0" w:color="auto"/>
              <w:left w:val="single" w:sz="4" w:space="0" w:color="auto"/>
              <w:bottom w:val="nil"/>
              <w:right w:val="nil"/>
            </w:tcBorders>
            <w:shd w:val="clear" w:color="auto" w:fill="auto"/>
            <w:noWrap/>
            <w:vAlign w:val="center"/>
            <w:hideMark/>
          </w:tcPr>
          <w:p w14:paraId="0020F25E" w14:textId="77777777" w:rsidR="00387142" w:rsidRPr="008B6A75" w:rsidRDefault="00387142" w:rsidP="00387142">
            <w:pPr>
              <w:jc w:val="center"/>
              <w:rPr>
                <w:bCs/>
                <w:sz w:val="20"/>
                <w:szCs w:val="20"/>
              </w:rPr>
            </w:pPr>
            <w:r w:rsidRPr="008B6A75">
              <w:rPr>
                <w:bCs/>
                <w:sz w:val="20"/>
                <w:szCs w:val="20"/>
              </w:rPr>
              <w:t>444</w:t>
            </w:r>
          </w:p>
        </w:tc>
        <w:tc>
          <w:tcPr>
            <w:tcW w:w="709" w:type="dxa"/>
            <w:tcBorders>
              <w:top w:val="single" w:sz="4" w:space="0" w:color="auto"/>
              <w:left w:val="single" w:sz="4" w:space="0" w:color="auto"/>
              <w:bottom w:val="nil"/>
              <w:right w:val="nil"/>
            </w:tcBorders>
            <w:shd w:val="clear" w:color="auto" w:fill="auto"/>
            <w:noWrap/>
            <w:vAlign w:val="center"/>
            <w:hideMark/>
          </w:tcPr>
          <w:p w14:paraId="0AFEB2F4" w14:textId="77777777" w:rsidR="00387142" w:rsidRPr="008B6A75" w:rsidRDefault="00387142" w:rsidP="00387142">
            <w:pPr>
              <w:jc w:val="center"/>
              <w:rPr>
                <w:bCs/>
                <w:sz w:val="20"/>
                <w:szCs w:val="20"/>
              </w:rPr>
            </w:pPr>
            <w:r w:rsidRPr="008B6A75">
              <w:rPr>
                <w:bCs/>
                <w:sz w:val="20"/>
                <w:szCs w:val="20"/>
              </w:rPr>
              <w:t>07</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6823F3F6" w14:textId="77777777" w:rsidR="00387142" w:rsidRPr="008B6A75" w:rsidRDefault="00387142" w:rsidP="00387142">
            <w:pPr>
              <w:jc w:val="center"/>
              <w:rPr>
                <w:bCs/>
                <w:sz w:val="20"/>
                <w:szCs w:val="20"/>
              </w:rPr>
            </w:pPr>
            <w:r w:rsidRPr="008B6A75">
              <w:rPr>
                <w:bCs/>
                <w:sz w:val="20"/>
                <w:szCs w:val="20"/>
              </w:rPr>
              <w:t>01</w:t>
            </w:r>
          </w:p>
        </w:tc>
        <w:tc>
          <w:tcPr>
            <w:tcW w:w="1411" w:type="dxa"/>
            <w:tcBorders>
              <w:top w:val="single" w:sz="4" w:space="0" w:color="auto"/>
              <w:left w:val="single" w:sz="4" w:space="0" w:color="auto"/>
              <w:bottom w:val="nil"/>
              <w:right w:val="nil"/>
            </w:tcBorders>
            <w:shd w:val="clear" w:color="auto" w:fill="auto"/>
            <w:noWrap/>
            <w:vAlign w:val="center"/>
            <w:hideMark/>
          </w:tcPr>
          <w:p w14:paraId="46530ADC" w14:textId="77777777" w:rsidR="00387142" w:rsidRPr="008B6A75" w:rsidRDefault="00387142" w:rsidP="00387142">
            <w:pPr>
              <w:jc w:val="center"/>
              <w:rPr>
                <w:bCs/>
                <w:sz w:val="20"/>
                <w:szCs w:val="20"/>
              </w:rPr>
            </w:pPr>
            <w:r w:rsidRPr="008B6A75">
              <w:rPr>
                <w:bCs/>
                <w:sz w:val="20"/>
                <w:szCs w:val="20"/>
              </w:rPr>
              <w:t>07.1.00.00000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7AD4770E" w14:textId="77777777" w:rsidR="00387142" w:rsidRPr="008B6A75" w:rsidRDefault="00387142" w:rsidP="00387142">
            <w:pPr>
              <w:jc w:val="center"/>
              <w:rPr>
                <w:bCs/>
                <w:sz w:val="20"/>
                <w:szCs w:val="20"/>
              </w:rPr>
            </w:pPr>
            <w:r w:rsidRPr="008B6A75">
              <w:rPr>
                <w:bCs/>
                <w:sz w:val="20"/>
                <w:szCs w:val="20"/>
              </w:rPr>
              <w:t> </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43E84BD2" w14:textId="77777777" w:rsidR="00387142" w:rsidRPr="008B6A75" w:rsidRDefault="00387142" w:rsidP="00387142">
            <w:pPr>
              <w:jc w:val="right"/>
              <w:rPr>
                <w:bCs/>
                <w:sz w:val="20"/>
                <w:szCs w:val="20"/>
              </w:rPr>
            </w:pPr>
            <w:r w:rsidRPr="008B6A75">
              <w:rPr>
                <w:bCs/>
                <w:sz w:val="20"/>
                <w:szCs w:val="20"/>
              </w:rPr>
              <w:t>365 629 067,20</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41B19B52" w14:textId="77777777" w:rsidR="00387142" w:rsidRPr="008B6A75" w:rsidRDefault="00387142" w:rsidP="00387142">
            <w:pPr>
              <w:jc w:val="right"/>
              <w:rPr>
                <w:bCs/>
                <w:sz w:val="20"/>
                <w:szCs w:val="20"/>
              </w:rPr>
            </w:pPr>
            <w:r w:rsidRPr="008B6A75">
              <w:rPr>
                <w:bCs/>
                <w:sz w:val="20"/>
                <w:szCs w:val="20"/>
              </w:rPr>
              <w:t>314 268 786,20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55A05F12" w14:textId="77777777" w:rsidR="00387142" w:rsidRPr="008B6A75" w:rsidRDefault="00387142" w:rsidP="00387142">
            <w:pPr>
              <w:jc w:val="right"/>
              <w:rPr>
                <w:bCs/>
                <w:sz w:val="20"/>
                <w:szCs w:val="20"/>
              </w:rPr>
            </w:pPr>
            <w:r w:rsidRPr="008B6A75">
              <w:rPr>
                <w:bCs/>
                <w:sz w:val="20"/>
                <w:szCs w:val="20"/>
              </w:rPr>
              <w:t>329 524 883,78</w:t>
            </w:r>
          </w:p>
        </w:tc>
        <w:tc>
          <w:tcPr>
            <w:tcW w:w="222" w:type="dxa"/>
            <w:vAlign w:val="center"/>
            <w:hideMark/>
          </w:tcPr>
          <w:p w14:paraId="046C1DEB" w14:textId="77777777" w:rsidR="00387142" w:rsidRPr="008B6A75" w:rsidRDefault="00387142" w:rsidP="00387142">
            <w:pPr>
              <w:rPr>
                <w:sz w:val="20"/>
                <w:szCs w:val="20"/>
              </w:rPr>
            </w:pPr>
          </w:p>
        </w:tc>
      </w:tr>
      <w:tr w:rsidR="00387142" w:rsidRPr="008B6A75" w14:paraId="172EE03B" w14:textId="77777777" w:rsidTr="00387142">
        <w:trPr>
          <w:trHeight w:val="2295"/>
        </w:trPr>
        <w:tc>
          <w:tcPr>
            <w:tcW w:w="3021" w:type="dxa"/>
            <w:tcBorders>
              <w:top w:val="single" w:sz="4" w:space="0" w:color="auto"/>
              <w:left w:val="single" w:sz="4" w:space="0" w:color="auto"/>
              <w:bottom w:val="nil"/>
              <w:right w:val="nil"/>
            </w:tcBorders>
            <w:shd w:val="clear" w:color="auto" w:fill="auto"/>
            <w:vAlign w:val="center"/>
            <w:hideMark/>
          </w:tcPr>
          <w:p w14:paraId="05C27BD4" w14:textId="77777777" w:rsidR="00387142" w:rsidRPr="008B6A75" w:rsidRDefault="00387142" w:rsidP="00387142">
            <w:pPr>
              <w:rPr>
                <w:bCs/>
                <w:sz w:val="20"/>
                <w:szCs w:val="20"/>
              </w:rPr>
            </w:pPr>
            <w:r w:rsidRPr="008B6A75">
              <w:rPr>
                <w:bCs/>
                <w:sz w:val="20"/>
                <w:szCs w:val="20"/>
              </w:rPr>
              <w:t>Реализация мероприятий по установке и модернизации систем видеонаблюдения, автоматической пожарной сигнализации и пожарного мониторинга государственной программы Новосибирской области "Построение и развитие аппаратно-программного комплекса "Безопасный город" в Новосибирской области"</w:t>
            </w:r>
          </w:p>
        </w:tc>
        <w:tc>
          <w:tcPr>
            <w:tcW w:w="850" w:type="dxa"/>
            <w:tcBorders>
              <w:top w:val="single" w:sz="4" w:space="0" w:color="auto"/>
              <w:left w:val="single" w:sz="4" w:space="0" w:color="auto"/>
              <w:bottom w:val="nil"/>
              <w:right w:val="nil"/>
            </w:tcBorders>
            <w:shd w:val="clear" w:color="auto" w:fill="auto"/>
            <w:noWrap/>
            <w:vAlign w:val="center"/>
            <w:hideMark/>
          </w:tcPr>
          <w:p w14:paraId="111517D6" w14:textId="77777777" w:rsidR="00387142" w:rsidRPr="008B6A75" w:rsidRDefault="00387142" w:rsidP="00387142">
            <w:pPr>
              <w:jc w:val="center"/>
              <w:rPr>
                <w:bCs/>
                <w:sz w:val="20"/>
                <w:szCs w:val="20"/>
              </w:rPr>
            </w:pPr>
            <w:r w:rsidRPr="008B6A75">
              <w:rPr>
                <w:bCs/>
                <w:sz w:val="20"/>
                <w:szCs w:val="20"/>
              </w:rPr>
              <w:t>444</w:t>
            </w:r>
          </w:p>
        </w:tc>
        <w:tc>
          <w:tcPr>
            <w:tcW w:w="709" w:type="dxa"/>
            <w:tcBorders>
              <w:top w:val="single" w:sz="4" w:space="0" w:color="auto"/>
              <w:left w:val="single" w:sz="4" w:space="0" w:color="auto"/>
              <w:bottom w:val="nil"/>
              <w:right w:val="nil"/>
            </w:tcBorders>
            <w:shd w:val="clear" w:color="auto" w:fill="auto"/>
            <w:noWrap/>
            <w:vAlign w:val="center"/>
            <w:hideMark/>
          </w:tcPr>
          <w:p w14:paraId="71401979" w14:textId="77777777" w:rsidR="00387142" w:rsidRPr="008B6A75" w:rsidRDefault="00387142" w:rsidP="00387142">
            <w:pPr>
              <w:jc w:val="center"/>
              <w:rPr>
                <w:bCs/>
                <w:sz w:val="20"/>
                <w:szCs w:val="20"/>
              </w:rPr>
            </w:pPr>
            <w:r w:rsidRPr="008B6A75">
              <w:rPr>
                <w:bCs/>
                <w:sz w:val="20"/>
                <w:szCs w:val="20"/>
              </w:rPr>
              <w:t>07</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431E21A8" w14:textId="77777777" w:rsidR="00387142" w:rsidRPr="008B6A75" w:rsidRDefault="00387142" w:rsidP="00387142">
            <w:pPr>
              <w:jc w:val="center"/>
              <w:rPr>
                <w:bCs/>
                <w:sz w:val="20"/>
                <w:szCs w:val="20"/>
              </w:rPr>
            </w:pPr>
            <w:r w:rsidRPr="008B6A75">
              <w:rPr>
                <w:bCs/>
                <w:sz w:val="20"/>
                <w:szCs w:val="20"/>
              </w:rPr>
              <w:t>01</w:t>
            </w:r>
          </w:p>
        </w:tc>
        <w:tc>
          <w:tcPr>
            <w:tcW w:w="1411" w:type="dxa"/>
            <w:tcBorders>
              <w:top w:val="single" w:sz="4" w:space="0" w:color="auto"/>
              <w:left w:val="single" w:sz="4" w:space="0" w:color="auto"/>
              <w:bottom w:val="nil"/>
              <w:right w:val="nil"/>
            </w:tcBorders>
            <w:shd w:val="clear" w:color="auto" w:fill="auto"/>
            <w:noWrap/>
            <w:vAlign w:val="center"/>
            <w:hideMark/>
          </w:tcPr>
          <w:p w14:paraId="75FDF6AE" w14:textId="77777777" w:rsidR="00387142" w:rsidRPr="008B6A75" w:rsidRDefault="00387142" w:rsidP="00387142">
            <w:pPr>
              <w:jc w:val="center"/>
              <w:rPr>
                <w:bCs/>
                <w:sz w:val="20"/>
                <w:szCs w:val="20"/>
              </w:rPr>
            </w:pPr>
            <w:r w:rsidRPr="008B6A75">
              <w:rPr>
                <w:bCs/>
                <w:sz w:val="20"/>
                <w:szCs w:val="20"/>
              </w:rPr>
              <w:t>07.1.00.02590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2AED6A72" w14:textId="77777777" w:rsidR="00387142" w:rsidRPr="008B6A75" w:rsidRDefault="00387142" w:rsidP="00387142">
            <w:pPr>
              <w:jc w:val="center"/>
              <w:rPr>
                <w:bCs/>
                <w:sz w:val="20"/>
                <w:szCs w:val="20"/>
              </w:rPr>
            </w:pPr>
            <w:r w:rsidRPr="008B6A75">
              <w:rPr>
                <w:bCs/>
                <w:sz w:val="20"/>
                <w:szCs w:val="20"/>
              </w:rPr>
              <w:t> </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71196D5B" w14:textId="77777777" w:rsidR="00387142" w:rsidRPr="008B6A75" w:rsidRDefault="00387142" w:rsidP="00387142">
            <w:pPr>
              <w:jc w:val="right"/>
              <w:rPr>
                <w:bCs/>
                <w:sz w:val="20"/>
                <w:szCs w:val="20"/>
              </w:rPr>
            </w:pPr>
            <w:r w:rsidRPr="008B6A75">
              <w:rPr>
                <w:bCs/>
                <w:sz w:val="20"/>
                <w:szCs w:val="20"/>
              </w:rPr>
              <w:t>63 527,52</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77852302" w14:textId="77777777" w:rsidR="00387142" w:rsidRPr="008B6A75" w:rsidRDefault="00387142" w:rsidP="00387142">
            <w:pPr>
              <w:jc w:val="right"/>
              <w:rPr>
                <w:bCs/>
                <w:sz w:val="20"/>
                <w:szCs w:val="20"/>
              </w:rPr>
            </w:pPr>
            <w:r w:rsidRPr="008B6A75">
              <w:rPr>
                <w:bCs/>
                <w:sz w:val="20"/>
                <w:szCs w:val="20"/>
              </w:rPr>
              <w:t>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499CF3BE" w14:textId="77777777" w:rsidR="00387142" w:rsidRPr="008B6A75" w:rsidRDefault="00387142" w:rsidP="00387142">
            <w:pPr>
              <w:jc w:val="right"/>
              <w:rPr>
                <w:bCs/>
                <w:sz w:val="20"/>
                <w:szCs w:val="20"/>
              </w:rPr>
            </w:pPr>
            <w:r w:rsidRPr="008B6A75">
              <w:rPr>
                <w:bCs/>
                <w:sz w:val="20"/>
                <w:szCs w:val="20"/>
              </w:rPr>
              <w:t>0,00</w:t>
            </w:r>
          </w:p>
        </w:tc>
        <w:tc>
          <w:tcPr>
            <w:tcW w:w="222" w:type="dxa"/>
            <w:vAlign w:val="center"/>
            <w:hideMark/>
          </w:tcPr>
          <w:p w14:paraId="253FAF25" w14:textId="77777777" w:rsidR="00387142" w:rsidRPr="008B6A75" w:rsidRDefault="00387142" w:rsidP="00387142">
            <w:pPr>
              <w:rPr>
                <w:sz w:val="20"/>
                <w:szCs w:val="20"/>
              </w:rPr>
            </w:pPr>
          </w:p>
        </w:tc>
      </w:tr>
      <w:tr w:rsidR="00387142" w:rsidRPr="008B6A75" w14:paraId="466A56EA" w14:textId="77777777" w:rsidTr="00387142">
        <w:trPr>
          <w:trHeight w:val="585"/>
        </w:trPr>
        <w:tc>
          <w:tcPr>
            <w:tcW w:w="3021" w:type="dxa"/>
            <w:tcBorders>
              <w:top w:val="single" w:sz="4" w:space="0" w:color="auto"/>
              <w:left w:val="single" w:sz="4" w:space="0" w:color="auto"/>
              <w:bottom w:val="nil"/>
              <w:right w:val="nil"/>
            </w:tcBorders>
            <w:shd w:val="clear" w:color="auto" w:fill="auto"/>
            <w:vAlign w:val="center"/>
            <w:hideMark/>
          </w:tcPr>
          <w:p w14:paraId="7C5CFD57" w14:textId="77777777" w:rsidR="00387142" w:rsidRPr="008B6A75" w:rsidRDefault="00387142" w:rsidP="00387142">
            <w:pPr>
              <w:rPr>
                <w:sz w:val="20"/>
                <w:szCs w:val="20"/>
              </w:rPr>
            </w:pPr>
            <w:r w:rsidRPr="008B6A75">
              <w:rPr>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nil"/>
              <w:right w:val="nil"/>
            </w:tcBorders>
            <w:shd w:val="clear" w:color="auto" w:fill="auto"/>
            <w:noWrap/>
            <w:vAlign w:val="center"/>
            <w:hideMark/>
          </w:tcPr>
          <w:p w14:paraId="166FDE81" w14:textId="77777777" w:rsidR="00387142" w:rsidRPr="008B6A75" w:rsidRDefault="00387142" w:rsidP="00387142">
            <w:pPr>
              <w:jc w:val="center"/>
              <w:rPr>
                <w:sz w:val="20"/>
                <w:szCs w:val="20"/>
              </w:rPr>
            </w:pPr>
            <w:r w:rsidRPr="008B6A75">
              <w:rPr>
                <w:sz w:val="20"/>
                <w:szCs w:val="20"/>
              </w:rPr>
              <w:t>444</w:t>
            </w:r>
          </w:p>
        </w:tc>
        <w:tc>
          <w:tcPr>
            <w:tcW w:w="709" w:type="dxa"/>
            <w:tcBorders>
              <w:top w:val="single" w:sz="4" w:space="0" w:color="auto"/>
              <w:left w:val="single" w:sz="4" w:space="0" w:color="auto"/>
              <w:bottom w:val="nil"/>
              <w:right w:val="nil"/>
            </w:tcBorders>
            <w:shd w:val="clear" w:color="auto" w:fill="auto"/>
            <w:noWrap/>
            <w:vAlign w:val="center"/>
            <w:hideMark/>
          </w:tcPr>
          <w:p w14:paraId="5CB7C3EB" w14:textId="77777777" w:rsidR="00387142" w:rsidRPr="008B6A75" w:rsidRDefault="00387142" w:rsidP="00387142">
            <w:pPr>
              <w:jc w:val="center"/>
              <w:rPr>
                <w:sz w:val="20"/>
                <w:szCs w:val="20"/>
              </w:rPr>
            </w:pPr>
            <w:r w:rsidRPr="008B6A75">
              <w:rPr>
                <w:sz w:val="20"/>
                <w:szCs w:val="20"/>
              </w:rPr>
              <w:t>07</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10E3EC09" w14:textId="77777777" w:rsidR="00387142" w:rsidRPr="008B6A75" w:rsidRDefault="00387142" w:rsidP="00387142">
            <w:pPr>
              <w:jc w:val="center"/>
              <w:rPr>
                <w:sz w:val="20"/>
                <w:szCs w:val="20"/>
              </w:rPr>
            </w:pPr>
            <w:r w:rsidRPr="008B6A75">
              <w:rPr>
                <w:sz w:val="20"/>
                <w:szCs w:val="20"/>
              </w:rPr>
              <w:t>01</w:t>
            </w:r>
          </w:p>
        </w:tc>
        <w:tc>
          <w:tcPr>
            <w:tcW w:w="1411" w:type="dxa"/>
            <w:tcBorders>
              <w:top w:val="single" w:sz="4" w:space="0" w:color="auto"/>
              <w:left w:val="single" w:sz="4" w:space="0" w:color="auto"/>
              <w:bottom w:val="nil"/>
              <w:right w:val="nil"/>
            </w:tcBorders>
            <w:shd w:val="clear" w:color="auto" w:fill="auto"/>
            <w:noWrap/>
            <w:vAlign w:val="center"/>
            <w:hideMark/>
          </w:tcPr>
          <w:p w14:paraId="12E2CAB2" w14:textId="77777777" w:rsidR="00387142" w:rsidRPr="008B6A75" w:rsidRDefault="00387142" w:rsidP="00387142">
            <w:pPr>
              <w:jc w:val="center"/>
              <w:rPr>
                <w:sz w:val="20"/>
                <w:szCs w:val="20"/>
              </w:rPr>
            </w:pPr>
            <w:r w:rsidRPr="008B6A75">
              <w:rPr>
                <w:sz w:val="20"/>
                <w:szCs w:val="20"/>
              </w:rPr>
              <w:t>07.1.00.02590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2186D5B3" w14:textId="77777777" w:rsidR="00387142" w:rsidRPr="008B6A75" w:rsidRDefault="00387142" w:rsidP="00387142">
            <w:pPr>
              <w:jc w:val="center"/>
              <w:rPr>
                <w:sz w:val="20"/>
                <w:szCs w:val="20"/>
              </w:rPr>
            </w:pPr>
            <w:r w:rsidRPr="008B6A75">
              <w:rPr>
                <w:sz w:val="20"/>
                <w:szCs w:val="20"/>
              </w:rPr>
              <w:t>200</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4CC0EEFF" w14:textId="77777777" w:rsidR="00387142" w:rsidRPr="008B6A75" w:rsidRDefault="00387142" w:rsidP="00387142">
            <w:pPr>
              <w:jc w:val="right"/>
              <w:rPr>
                <w:sz w:val="20"/>
                <w:szCs w:val="20"/>
              </w:rPr>
            </w:pPr>
            <w:r w:rsidRPr="008B6A75">
              <w:rPr>
                <w:sz w:val="20"/>
                <w:szCs w:val="20"/>
              </w:rPr>
              <w:t>63 527,52</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209D849B" w14:textId="77777777" w:rsidR="00387142" w:rsidRPr="008B6A75" w:rsidRDefault="00387142" w:rsidP="00387142">
            <w:pPr>
              <w:jc w:val="right"/>
              <w:rPr>
                <w:sz w:val="20"/>
                <w:szCs w:val="20"/>
              </w:rPr>
            </w:pPr>
            <w:r w:rsidRPr="008B6A75">
              <w:rPr>
                <w:sz w:val="20"/>
                <w:szCs w:val="20"/>
              </w:rPr>
              <w:t>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55F4EB39" w14:textId="77777777" w:rsidR="00387142" w:rsidRPr="008B6A75" w:rsidRDefault="00387142" w:rsidP="00387142">
            <w:pPr>
              <w:jc w:val="right"/>
              <w:rPr>
                <w:sz w:val="20"/>
                <w:szCs w:val="20"/>
              </w:rPr>
            </w:pPr>
            <w:r w:rsidRPr="008B6A75">
              <w:rPr>
                <w:sz w:val="20"/>
                <w:szCs w:val="20"/>
              </w:rPr>
              <w:t>0,00</w:t>
            </w:r>
          </w:p>
        </w:tc>
        <w:tc>
          <w:tcPr>
            <w:tcW w:w="222" w:type="dxa"/>
            <w:vAlign w:val="center"/>
            <w:hideMark/>
          </w:tcPr>
          <w:p w14:paraId="2FF0DD66" w14:textId="77777777" w:rsidR="00387142" w:rsidRPr="008B6A75" w:rsidRDefault="00387142" w:rsidP="00387142">
            <w:pPr>
              <w:rPr>
                <w:sz w:val="20"/>
                <w:szCs w:val="20"/>
              </w:rPr>
            </w:pPr>
          </w:p>
        </w:tc>
      </w:tr>
      <w:tr w:rsidR="00387142" w:rsidRPr="008B6A75" w14:paraId="45EE0E6D" w14:textId="77777777" w:rsidTr="00387142">
        <w:trPr>
          <w:trHeight w:val="870"/>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78952612" w14:textId="77777777" w:rsidR="00387142" w:rsidRPr="008B6A75" w:rsidRDefault="00387142" w:rsidP="00387142">
            <w:pPr>
              <w:rPr>
                <w:sz w:val="20"/>
                <w:szCs w:val="20"/>
              </w:rPr>
            </w:pPr>
            <w:r w:rsidRPr="008B6A75">
              <w:rPr>
                <w:sz w:val="20"/>
                <w:szCs w:val="20"/>
              </w:rPr>
              <w:lastRenderedPageBreak/>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0CE2834B" w14:textId="77777777" w:rsidR="00387142" w:rsidRPr="008B6A75" w:rsidRDefault="00387142" w:rsidP="00387142">
            <w:pPr>
              <w:jc w:val="center"/>
              <w:rPr>
                <w:sz w:val="20"/>
                <w:szCs w:val="20"/>
              </w:rPr>
            </w:pPr>
            <w:r w:rsidRPr="008B6A75">
              <w:rPr>
                <w:sz w:val="20"/>
                <w:szCs w:val="20"/>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68D3865F" w14:textId="77777777" w:rsidR="00387142" w:rsidRPr="008B6A75" w:rsidRDefault="00387142" w:rsidP="00387142">
            <w:pPr>
              <w:jc w:val="center"/>
              <w:rPr>
                <w:sz w:val="20"/>
                <w:szCs w:val="20"/>
              </w:rPr>
            </w:pPr>
            <w:r w:rsidRPr="008B6A75">
              <w:rPr>
                <w:sz w:val="20"/>
                <w:szCs w:val="20"/>
              </w:rPr>
              <w:t>07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D6D836" w14:textId="77777777" w:rsidR="00387142" w:rsidRPr="008B6A75" w:rsidRDefault="00387142" w:rsidP="00387142">
            <w:pPr>
              <w:jc w:val="center"/>
              <w:rPr>
                <w:sz w:val="20"/>
                <w:szCs w:val="20"/>
              </w:rPr>
            </w:pPr>
            <w:r w:rsidRPr="008B6A75">
              <w:rPr>
                <w:sz w:val="20"/>
                <w:szCs w:val="20"/>
              </w:rPr>
              <w:t>01</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6E314018" w14:textId="77777777" w:rsidR="00387142" w:rsidRPr="008B6A75" w:rsidRDefault="00387142" w:rsidP="00387142">
            <w:pPr>
              <w:jc w:val="center"/>
              <w:rPr>
                <w:sz w:val="20"/>
                <w:szCs w:val="20"/>
              </w:rPr>
            </w:pPr>
            <w:r w:rsidRPr="008B6A75">
              <w:rPr>
                <w:sz w:val="20"/>
                <w:szCs w:val="20"/>
              </w:rPr>
              <w:t>07.1.00.02590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74C690" w14:textId="77777777" w:rsidR="00387142" w:rsidRPr="008B6A75" w:rsidRDefault="00387142" w:rsidP="00387142">
            <w:pPr>
              <w:jc w:val="center"/>
              <w:rPr>
                <w:sz w:val="20"/>
                <w:szCs w:val="20"/>
              </w:rPr>
            </w:pPr>
            <w:r w:rsidRPr="008B6A75">
              <w:rPr>
                <w:sz w:val="20"/>
                <w:szCs w:val="20"/>
              </w:rPr>
              <w:t>240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F2673F" w14:textId="77777777" w:rsidR="00387142" w:rsidRPr="008B6A75" w:rsidRDefault="00387142" w:rsidP="00387142">
            <w:pPr>
              <w:jc w:val="right"/>
              <w:rPr>
                <w:sz w:val="20"/>
                <w:szCs w:val="20"/>
              </w:rPr>
            </w:pPr>
            <w:r w:rsidRPr="008B6A75">
              <w:rPr>
                <w:sz w:val="20"/>
                <w:szCs w:val="20"/>
              </w:rPr>
              <w:t>63 527,52</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626F82C6" w14:textId="77777777" w:rsidR="00387142" w:rsidRPr="008B6A75" w:rsidRDefault="00387142" w:rsidP="00387142">
            <w:pPr>
              <w:jc w:val="right"/>
              <w:rPr>
                <w:sz w:val="20"/>
                <w:szCs w:val="20"/>
              </w:rPr>
            </w:pPr>
            <w:r w:rsidRPr="008B6A75">
              <w:rPr>
                <w:sz w:val="20"/>
                <w:szCs w:val="20"/>
              </w:rPr>
              <w:t>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F8CA2E" w14:textId="77777777" w:rsidR="00387142" w:rsidRPr="008B6A75" w:rsidRDefault="00387142" w:rsidP="00387142">
            <w:pPr>
              <w:jc w:val="right"/>
              <w:rPr>
                <w:sz w:val="20"/>
                <w:szCs w:val="20"/>
              </w:rPr>
            </w:pPr>
            <w:r w:rsidRPr="008B6A75">
              <w:rPr>
                <w:sz w:val="20"/>
                <w:szCs w:val="20"/>
              </w:rPr>
              <w:t>0,00</w:t>
            </w:r>
          </w:p>
        </w:tc>
        <w:tc>
          <w:tcPr>
            <w:tcW w:w="222" w:type="dxa"/>
            <w:vAlign w:val="center"/>
            <w:hideMark/>
          </w:tcPr>
          <w:p w14:paraId="65714843" w14:textId="77777777" w:rsidR="00387142" w:rsidRPr="008B6A75" w:rsidRDefault="00387142" w:rsidP="00387142">
            <w:pPr>
              <w:rPr>
                <w:sz w:val="20"/>
                <w:szCs w:val="20"/>
              </w:rPr>
            </w:pPr>
          </w:p>
        </w:tc>
      </w:tr>
      <w:tr w:rsidR="00387142" w:rsidRPr="008B6A75" w14:paraId="12FA2785" w14:textId="77777777" w:rsidTr="00387142">
        <w:trPr>
          <w:trHeight w:val="870"/>
        </w:trPr>
        <w:tc>
          <w:tcPr>
            <w:tcW w:w="3021" w:type="dxa"/>
            <w:tcBorders>
              <w:top w:val="nil"/>
              <w:left w:val="single" w:sz="4" w:space="0" w:color="auto"/>
              <w:bottom w:val="nil"/>
              <w:right w:val="nil"/>
            </w:tcBorders>
            <w:shd w:val="clear" w:color="auto" w:fill="auto"/>
            <w:vAlign w:val="center"/>
            <w:hideMark/>
          </w:tcPr>
          <w:p w14:paraId="58AC4E80" w14:textId="77777777" w:rsidR="00387142" w:rsidRPr="008B6A75" w:rsidRDefault="00387142" w:rsidP="00387142">
            <w:pPr>
              <w:rPr>
                <w:bCs/>
                <w:sz w:val="20"/>
                <w:szCs w:val="20"/>
              </w:rPr>
            </w:pPr>
            <w:r w:rsidRPr="008B6A75">
              <w:rPr>
                <w:bCs/>
                <w:sz w:val="20"/>
                <w:szCs w:val="20"/>
              </w:rPr>
              <w:t>Реализация мероприятий на социальную поддержку отдельных категорий детей, обучающихся в образовательных организациях</w:t>
            </w:r>
          </w:p>
        </w:tc>
        <w:tc>
          <w:tcPr>
            <w:tcW w:w="850" w:type="dxa"/>
            <w:tcBorders>
              <w:top w:val="nil"/>
              <w:left w:val="single" w:sz="4" w:space="0" w:color="auto"/>
              <w:bottom w:val="nil"/>
              <w:right w:val="nil"/>
            </w:tcBorders>
            <w:shd w:val="clear" w:color="auto" w:fill="auto"/>
            <w:noWrap/>
            <w:vAlign w:val="center"/>
            <w:hideMark/>
          </w:tcPr>
          <w:p w14:paraId="654C7BB5" w14:textId="77777777" w:rsidR="00387142" w:rsidRPr="008B6A75" w:rsidRDefault="00387142" w:rsidP="00387142">
            <w:pPr>
              <w:jc w:val="center"/>
              <w:rPr>
                <w:bCs/>
                <w:sz w:val="20"/>
                <w:szCs w:val="20"/>
              </w:rPr>
            </w:pPr>
            <w:r w:rsidRPr="008B6A75">
              <w:rPr>
                <w:bCs/>
                <w:sz w:val="20"/>
                <w:szCs w:val="20"/>
              </w:rPr>
              <w:t>444</w:t>
            </w:r>
          </w:p>
        </w:tc>
        <w:tc>
          <w:tcPr>
            <w:tcW w:w="709" w:type="dxa"/>
            <w:tcBorders>
              <w:top w:val="nil"/>
              <w:left w:val="single" w:sz="4" w:space="0" w:color="auto"/>
              <w:bottom w:val="nil"/>
              <w:right w:val="nil"/>
            </w:tcBorders>
            <w:shd w:val="clear" w:color="auto" w:fill="auto"/>
            <w:noWrap/>
            <w:vAlign w:val="center"/>
            <w:hideMark/>
          </w:tcPr>
          <w:p w14:paraId="4232CE95" w14:textId="77777777" w:rsidR="00387142" w:rsidRPr="008B6A75" w:rsidRDefault="00387142" w:rsidP="00387142">
            <w:pPr>
              <w:jc w:val="center"/>
              <w:rPr>
                <w:bCs/>
                <w:sz w:val="20"/>
                <w:szCs w:val="20"/>
              </w:rPr>
            </w:pPr>
            <w:r w:rsidRPr="008B6A75">
              <w:rPr>
                <w:bCs/>
                <w:sz w:val="20"/>
                <w:szCs w:val="20"/>
              </w:rPr>
              <w:t>07</w:t>
            </w:r>
          </w:p>
        </w:tc>
        <w:tc>
          <w:tcPr>
            <w:tcW w:w="709" w:type="dxa"/>
            <w:tcBorders>
              <w:top w:val="nil"/>
              <w:left w:val="single" w:sz="4" w:space="0" w:color="auto"/>
              <w:bottom w:val="nil"/>
              <w:right w:val="single" w:sz="4" w:space="0" w:color="auto"/>
            </w:tcBorders>
            <w:shd w:val="clear" w:color="auto" w:fill="auto"/>
            <w:noWrap/>
            <w:vAlign w:val="center"/>
            <w:hideMark/>
          </w:tcPr>
          <w:p w14:paraId="322BFF53" w14:textId="77777777" w:rsidR="00387142" w:rsidRPr="008B6A75" w:rsidRDefault="00387142" w:rsidP="00387142">
            <w:pPr>
              <w:jc w:val="center"/>
              <w:rPr>
                <w:bCs/>
                <w:sz w:val="20"/>
                <w:szCs w:val="20"/>
              </w:rPr>
            </w:pPr>
            <w:r w:rsidRPr="008B6A75">
              <w:rPr>
                <w:bCs/>
                <w:sz w:val="20"/>
                <w:szCs w:val="20"/>
              </w:rPr>
              <w:t>01</w:t>
            </w:r>
          </w:p>
        </w:tc>
        <w:tc>
          <w:tcPr>
            <w:tcW w:w="1411" w:type="dxa"/>
            <w:tcBorders>
              <w:top w:val="nil"/>
              <w:left w:val="single" w:sz="4" w:space="0" w:color="auto"/>
              <w:bottom w:val="nil"/>
              <w:right w:val="nil"/>
            </w:tcBorders>
            <w:shd w:val="clear" w:color="auto" w:fill="auto"/>
            <w:noWrap/>
            <w:vAlign w:val="center"/>
            <w:hideMark/>
          </w:tcPr>
          <w:p w14:paraId="5CEEDAC8" w14:textId="77777777" w:rsidR="00387142" w:rsidRPr="008B6A75" w:rsidRDefault="00387142" w:rsidP="00387142">
            <w:pPr>
              <w:jc w:val="center"/>
              <w:rPr>
                <w:bCs/>
                <w:sz w:val="20"/>
                <w:szCs w:val="20"/>
              </w:rPr>
            </w:pPr>
            <w:r w:rsidRPr="008B6A75">
              <w:rPr>
                <w:bCs/>
                <w:sz w:val="20"/>
                <w:szCs w:val="20"/>
              </w:rPr>
              <w:t>07.1.00.03349</w:t>
            </w:r>
          </w:p>
        </w:tc>
        <w:tc>
          <w:tcPr>
            <w:tcW w:w="955" w:type="dxa"/>
            <w:tcBorders>
              <w:top w:val="nil"/>
              <w:left w:val="single" w:sz="4" w:space="0" w:color="auto"/>
              <w:bottom w:val="nil"/>
              <w:right w:val="single" w:sz="4" w:space="0" w:color="auto"/>
            </w:tcBorders>
            <w:shd w:val="clear" w:color="auto" w:fill="auto"/>
            <w:noWrap/>
            <w:vAlign w:val="center"/>
            <w:hideMark/>
          </w:tcPr>
          <w:p w14:paraId="524C1D5F"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nil"/>
              <w:right w:val="single" w:sz="4" w:space="0" w:color="auto"/>
            </w:tcBorders>
            <w:shd w:val="clear" w:color="auto" w:fill="auto"/>
            <w:noWrap/>
            <w:vAlign w:val="center"/>
            <w:hideMark/>
          </w:tcPr>
          <w:p w14:paraId="4D0FA2DF" w14:textId="77777777" w:rsidR="00387142" w:rsidRPr="008B6A75" w:rsidRDefault="00387142" w:rsidP="00387142">
            <w:pPr>
              <w:jc w:val="right"/>
              <w:rPr>
                <w:bCs/>
                <w:sz w:val="20"/>
                <w:szCs w:val="20"/>
              </w:rPr>
            </w:pPr>
            <w:r w:rsidRPr="008B6A75">
              <w:rPr>
                <w:bCs/>
                <w:sz w:val="20"/>
                <w:szCs w:val="20"/>
              </w:rPr>
              <w:t>3 596 379,08</w:t>
            </w:r>
          </w:p>
        </w:tc>
        <w:tc>
          <w:tcPr>
            <w:tcW w:w="992" w:type="dxa"/>
            <w:gridSpan w:val="2"/>
            <w:tcBorders>
              <w:top w:val="nil"/>
              <w:left w:val="single" w:sz="4" w:space="0" w:color="auto"/>
              <w:bottom w:val="nil"/>
              <w:right w:val="nil"/>
            </w:tcBorders>
            <w:shd w:val="clear" w:color="auto" w:fill="auto"/>
            <w:noWrap/>
            <w:vAlign w:val="center"/>
            <w:hideMark/>
          </w:tcPr>
          <w:p w14:paraId="6BE82B49" w14:textId="77777777" w:rsidR="00387142" w:rsidRPr="008B6A75" w:rsidRDefault="00387142" w:rsidP="00387142">
            <w:pPr>
              <w:jc w:val="right"/>
              <w:rPr>
                <w:bCs/>
                <w:sz w:val="20"/>
                <w:szCs w:val="20"/>
              </w:rPr>
            </w:pPr>
            <w:r w:rsidRPr="008B6A75">
              <w:rPr>
                <w:bCs/>
                <w:sz w:val="20"/>
                <w:szCs w:val="20"/>
              </w:rPr>
              <w:t>4 020 000,00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44D18D66" w14:textId="77777777" w:rsidR="00387142" w:rsidRPr="008B6A75" w:rsidRDefault="00387142" w:rsidP="00387142">
            <w:pPr>
              <w:jc w:val="right"/>
              <w:rPr>
                <w:bCs/>
                <w:sz w:val="20"/>
                <w:szCs w:val="20"/>
              </w:rPr>
            </w:pPr>
            <w:r w:rsidRPr="008B6A75">
              <w:rPr>
                <w:bCs/>
                <w:sz w:val="20"/>
                <w:szCs w:val="20"/>
              </w:rPr>
              <w:t>4 020 000,00</w:t>
            </w:r>
          </w:p>
        </w:tc>
        <w:tc>
          <w:tcPr>
            <w:tcW w:w="222" w:type="dxa"/>
            <w:vAlign w:val="center"/>
            <w:hideMark/>
          </w:tcPr>
          <w:p w14:paraId="362A61E4" w14:textId="77777777" w:rsidR="00387142" w:rsidRPr="008B6A75" w:rsidRDefault="00387142" w:rsidP="00387142">
            <w:pPr>
              <w:rPr>
                <w:sz w:val="20"/>
                <w:szCs w:val="20"/>
              </w:rPr>
            </w:pPr>
          </w:p>
        </w:tc>
      </w:tr>
      <w:tr w:rsidR="00387142" w:rsidRPr="008B6A75" w14:paraId="2851E344" w14:textId="77777777" w:rsidTr="00387142">
        <w:trPr>
          <w:trHeight w:val="585"/>
        </w:trPr>
        <w:tc>
          <w:tcPr>
            <w:tcW w:w="3021" w:type="dxa"/>
            <w:tcBorders>
              <w:top w:val="single" w:sz="4" w:space="0" w:color="auto"/>
              <w:left w:val="single" w:sz="4" w:space="0" w:color="auto"/>
              <w:bottom w:val="nil"/>
              <w:right w:val="nil"/>
            </w:tcBorders>
            <w:shd w:val="clear" w:color="auto" w:fill="auto"/>
            <w:vAlign w:val="center"/>
            <w:hideMark/>
          </w:tcPr>
          <w:p w14:paraId="21CADBEE" w14:textId="77777777" w:rsidR="00387142" w:rsidRPr="008B6A75" w:rsidRDefault="00387142" w:rsidP="00387142">
            <w:pPr>
              <w:rPr>
                <w:sz w:val="20"/>
                <w:szCs w:val="20"/>
              </w:rPr>
            </w:pPr>
            <w:r w:rsidRPr="008B6A75">
              <w:rPr>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nil"/>
              <w:right w:val="nil"/>
            </w:tcBorders>
            <w:shd w:val="clear" w:color="auto" w:fill="auto"/>
            <w:noWrap/>
            <w:vAlign w:val="center"/>
            <w:hideMark/>
          </w:tcPr>
          <w:p w14:paraId="7E63FF4A" w14:textId="77777777" w:rsidR="00387142" w:rsidRPr="008B6A75" w:rsidRDefault="00387142" w:rsidP="00387142">
            <w:pPr>
              <w:jc w:val="center"/>
              <w:rPr>
                <w:sz w:val="20"/>
                <w:szCs w:val="20"/>
              </w:rPr>
            </w:pPr>
            <w:r w:rsidRPr="008B6A75">
              <w:rPr>
                <w:sz w:val="20"/>
                <w:szCs w:val="20"/>
              </w:rPr>
              <w:t>444</w:t>
            </w:r>
          </w:p>
        </w:tc>
        <w:tc>
          <w:tcPr>
            <w:tcW w:w="709" w:type="dxa"/>
            <w:tcBorders>
              <w:top w:val="single" w:sz="4" w:space="0" w:color="auto"/>
              <w:left w:val="single" w:sz="4" w:space="0" w:color="auto"/>
              <w:bottom w:val="nil"/>
              <w:right w:val="nil"/>
            </w:tcBorders>
            <w:shd w:val="clear" w:color="auto" w:fill="auto"/>
            <w:noWrap/>
            <w:vAlign w:val="center"/>
            <w:hideMark/>
          </w:tcPr>
          <w:p w14:paraId="5D45C52C" w14:textId="77777777" w:rsidR="00387142" w:rsidRPr="008B6A75" w:rsidRDefault="00387142" w:rsidP="00387142">
            <w:pPr>
              <w:jc w:val="center"/>
              <w:rPr>
                <w:sz w:val="20"/>
                <w:szCs w:val="20"/>
              </w:rPr>
            </w:pPr>
            <w:r w:rsidRPr="008B6A75">
              <w:rPr>
                <w:sz w:val="20"/>
                <w:szCs w:val="20"/>
              </w:rPr>
              <w:t>07</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58AA1C99" w14:textId="77777777" w:rsidR="00387142" w:rsidRPr="008B6A75" w:rsidRDefault="00387142" w:rsidP="00387142">
            <w:pPr>
              <w:jc w:val="center"/>
              <w:rPr>
                <w:sz w:val="20"/>
                <w:szCs w:val="20"/>
              </w:rPr>
            </w:pPr>
            <w:r w:rsidRPr="008B6A75">
              <w:rPr>
                <w:sz w:val="20"/>
                <w:szCs w:val="20"/>
              </w:rPr>
              <w:t>01</w:t>
            </w:r>
          </w:p>
        </w:tc>
        <w:tc>
          <w:tcPr>
            <w:tcW w:w="1411" w:type="dxa"/>
            <w:tcBorders>
              <w:top w:val="single" w:sz="4" w:space="0" w:color="auto"/>
              <w:left w:val="single" w:sz="4" w:space="0" w:color="auto"/>
              <w:bottom w:val="nil"/>
              <w:right w:val="nil"/>
            </w:tcBorders>
            <w:shd w:val="clear" w:color="auto" w:fill="auto"/>
            <w:noWrap/>
            <w:vAlign w:val="center"/>
            <w:hideMark/>
          </w:tcPr>
          <w:p w14:paraId="1117FDD7" w14:textId="77777777" w:rsidR="00387142" w:rsidRPr="008B6A75" w:rsidRDefault="00387142" w:rsidP="00387142">
            <w:pPr>
              <w:jc w:val="center"/>
              <w:rPr>
                <w:sz w:val="20"/>
                <w:szCs w:val="20"/>
              </w:rPr>
            </w:pPr>
            <w:r w:rsidRPr="008B6A75">
              <w:rPr>
                <w:sz w:val="20"/>
                <w:szCs w:val="20"/>
              </w:rPr>
              <w:t>07.1.00.03349</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6071D5EE" w14:textId="77777777" w:rsidR="00387142" w:rsidRPr="008B6A75" w:rsidRDefault="00387142" w:rsidP="00387142">
            <w:pPr>
              <w:jc w:val="center"/>
              <w:rPr>
                <w:sz w:val="20"/>
                <w:szCs w:val="20"/>
              </w:rPr>
            </w:pPr>
            <w:r w:rsidRPr="008B6A75">
              <w:rPr>
                <w:sz w:val="20"/>
                <w:szCs w:val="20"/>
              </w:rPr>
              <w:t>200</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0A28E77A" w14:textId="77777777" w:rsidR="00387142" w:rsidRPr="008B6A75" w:rsidRDefault="00387142" w:rsidP="00387142">
            <w:pPr>
              <w:jc w:val="right"/>
              <w:rPr>
                <w:sz w:val="20"/>
                <w:szCs w:val="20"/>
              </w:rPr>
            </w:pPr>
            <w:r w:rsidRPr="008B6A75">
              <w:rPr>
                <w:sz w:val="20"/>
                <w:szCs w:val="20"/>
              </w:rPr>
              <w:t>3 596 379,08</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5E44E8E4" w14:textId="77777777" w:rsidR="00387142" w:rsidRPr="008B6A75" w:rsidRDefault="00387142" w:rsidP="00387142">
            <w:pPr>
              <w:jc w:val="right"/>
              <w:rPr>
                <w:sz w:val="20"/>
                <w:szCs w:val="20"/>
              </w:rPr>
            </w:pPr>
            <w:r w:rsidRPr="008B6A75">
              <w:rPr>
                <w:sz w:val="20"/>
                <w:szCs w:val="20"/>
              </w:rPr>
              <w:t>4 020 000,00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14A76E2A" w14:textId="77777777" w:rsidR="00387142" w:rsidRPr="008B6A75" w:rsidRDefault="00387142" w:rsidP="00387142">
            <w:pPr>
              <w:jc w:val="right"/>
              <w:rPr>
                <w:sz w:val="20"/>
                <w:szCs w:val="20"/>
              </w:rPr>
            </w:pPr>
            <w:r w:rsidRPr="008B6A75">
              <w:rPr>
                <w:sz w:val="20"/>
                <w:szCs w:val="20"/>
              </w:rPr>
              <w:t>4 020 000,00</w:t>
            </w:r>
          </w:p>
        </w:tc>
        <w:tc>
          <w:tcPr>
            <w:tcW w:w="222" w:type="dxa"/>
            <w:vAlign w:val="center"/>
            <w:hideMark/>
          </w:tcPr>
          <w:p w14:paraId="7639F3FB" w14:textId="77777777" w:rsidR="00387142" w:rsidRPr="008B6A75" w:rsidRDefault="00387142" w:rsidP="00387142">
            <w:pPr>
              <w:rPr>
                <w:sz w:val="20"/>
                <w:szCs w:val="20"/>
              </w:rPr>
            </w:pPr>
          </w:p>
        </w:tc>
      </w:tr>
      <w:tr w:rsidR="00387142" w:rsidRPr="008B6A75" w14:paraId="276679D8" w14:textId="77777777" w:rsidTr="00387142">
        <w:trPr>
          <w:trHeight w:val="870"/>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68885D93" w14:textId="77777777" w:rsidR="00387142" w:rsidRPr="008B6A75" w:rsidRDefault="00387142" w:rsidP="00387142">
            <w:pPr>
              <w:rPr>
                <w:sz w:val="20"/>
                <w:szCs w:val="20"/>
              </w:rPr>
            </w:pPr>
            <w:r w:rsidRPr="008B6A75">
              <w:rPr>
                <w:sz w:val="20"/>
                <w:szCs w:val="20"/>
              </w:rPr>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527AC13E" w14:textId="77777777" w:rsidR="00387142" w:rsidRPr="008B6A75" w:rsidRDefault="00387142" w:rsidP="00387142">
            <w:pPr>
              <w:jc w:val="center"/>
              <w:rPr>
                <w:sz w:val="20"/>
                <w:szCs w:val="20"/>
              </w:rPr>
            </w:pPr>
            <w:r w:rsidRPr="008B6A75">
              <w:rPr>
                <w:sz w:val="20"/>
                <w:szCs w:val="20"/>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4A54567E" w14:textId="77777777" w:rsidR="00387142" w:rsidRPr="008B6A75" w:rsidRDefault="00387142" w:rsidP="00387142">
            <w:pPr>
              <w:jc w:val="center"/>
              <w:rPr>
                <w:sz w:val="20"/>
                <w:szCs w:val="20"/>
              </w:rPr>
            </w:pPr>
            <w:r w:rsidRPr="008B6A75">
              <w:rPr>
                <w:sz w:val="20"/>
                <w:szCs w:val="20"/>
              </w:rPr>
              <w:t>07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86F9FD" w14:textId="77777777" w:rsidR="00387142" w:rsidRPr="008B6A75" w:rsidRDefault="00387142" w:rsidP="00387142">
            <w:pPr>
              <w:jc w:val="center"/>
              <w:rPr>
                <w:sz w:val="20"/>
                <w:szCs w:val="20"/>
              </w:rPr>
            </w:pPr>
            <w:r w:rsidRPr="008B6A75">
              <w:rPr>
                <w:sz w:val="20"/>
                <w:szCs w:val="20"/>
              </w:rPr>
              <w:t>01</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75312D0F" w14:textId="77777777" w:rsidR="00387142" w:rsidRPr="008B6A75" w:rsidRDefault="00387142" w:rsidP="00387142">
            <w:pPr>
              <w:jc w:val="center"/>
              <w:rPr>
                <w:sz w:val="20"/>
                <w:szCs w:val="20"/>
              </w:rPr>
            </w:pPr>
            <w:r w:rsidRPr="008B6A75">
              <w:rPr>
                <w:sz w:val="20"/>
                <w:szCs w:val="20"/>
              </w:rPr>
              <w:t>07.1.00.03349</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9A8398" w14:textId="77777777" w:rsidR="00387142" w:rsidRPr="008B6A75" w:rsidRDefault="00387142" w:rsidP="00387142">
            <w:pPr>
              <w:jc w:val="center"/>
              <w:rPr>
                <w:sz w:val="20"/>
                <w:szCs w:val="20"/>
              </w:rPr>
            </w:pPr>
            <w:r w:rsidRPr="008B6A75">
              <w:rPr>
                <w:sz w:val="20"/>
                <w:szCs w:val="20"/>
              </w:rPr>
              <w:t>240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B754D5" w14:textId="77777777" w:rsidR="00387142" w:rsidRPr="008B6A75" w:rsidRDefault="00387142" w:rsidP="00387142">
            <w:pPr>
              <w:jc w:val="right"/>
              <w:rPr>
                <w:sz w:val="20"/>
                <w:szCs w:val="20"/>
              </w:rPr>
            </w:pPr>
            <w:r w:rsidRPr="008B6A75">
              <w:rPr>
                <w:sz w:val="20"/>
                <w:szCs w:val="20"/>
              </w:rPr>
              <w:t>3 596 379,08</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583E3789" w14:textId="77777777" w:rsidR="00387142" w:rsidRPr="008B6A75" w:rsidRDefault="00387142" w:rsidP="00387142">
            <w:pPr>
              <w:jc w:val="right"/>
              <w:rPr>
                <w:sz w:val="20"/>
                <w:szCs w:val="20"/>
              </w:rPr>
            </w:pPr>
            <w:r w:rsidRPr="008B6A75">
              <w:rPr>
                <w:sz w:val="20"/>
                <w:szCs w:val="20"/>
              </w:rPr>
              <w:t>4 020 000,00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E55989" w14:textId="77777777" w:rsidR="00387142" w:rsidRPr="008B6A75" w:rsidRDefault="00387142" w:rsidP="00387142">
            <w:pPr>
              <w:jc w:val="right"/>
              <w:rPr>
                <w:sz w:val="20"/>
                <w:szCs w:val="20"/>
              </w:rPr>
            </w:pPr>
            <w:r w:rsidRPr="008B6A75">
              <w:rPr>
                <w:sz w:val="20"/>
                <w:szCs w:val="20"/>
              </w:rPr>
              <w:t>4 020 000,00</w:t>
            </w:r>
          </w:p>
        </w:tc>
        <w:tc>
          <w:tcPr>
            <w:tcW w:w="222" w:type="dxa"/>
            <w:vAlign w:val="center"/>
            <w:hideMark/>
          </w:tcPr>
          <w:p w14:paraId="2AA8C3A6" w14:textId="77777777" w:rsidR="00387142" w:rsidRPr="008B6A75" w:rsidRDefault="00387142" w:rsidP="00387142">
            <w:pPr>
              <w:rPr>
                <w:sz w:val="20"/>
                <w:szCs w:val="20"/>
              </w:rPr>
            </w:pPr>
          </w:p>
        </w:tc>
      </w:tr>
      <w:tr w:rsidR="00387142" w:rsidRPr="008B6A75" w14:paraId="3D8FB307" w14:textId="77777777" w:rsidTr="00387142">
        <w:trPr>
          <w:trHeight w:val="2580"/>
        </w:trPr>
        <w:tc>
          <w:tcPr>
            <w:tcW w:w="3021" w:type="dxa"/>
            <w:tcBorders>
              <w:top w:val="nil"/>
              <w:left w:val="single" w:sz="4" w:space="0" w:color="auto"/>
              <w:bottom w:val="nil"/>
              <w:right w:val="nil"/>
            </w:tcBorders>
            <w:shd w:val="clear" w:color="auto" w:fill="auto"/>
            <w:vAlign w:val="center"/>
            <w:hideMark/>
          </w:tcPr>
          <w:p w14:paraId="215D1256" w14:textId="77777777" w:rsidR="00387142" w:rsidRPr="008B6A75" w:rsidRDefault="00387142" w:rsidP="00387142">
            <w:pPr>
              <w:rPr>
                <w:bCs/>
                <w:sz w:val="20"/>
                <w:szCs w:val="20"/>
              </w:rPr>
            </w:pPr>
            <w:r w:rsidRPr="008B6A75">
              <w:rPr>
                <w:bCs/>
                <w:sz w:val="20"/>
                <w:szCs w:val="20"/>
              </w:rPr>
              <w:t xml:space="preserve">Реализация мероприятий по модернизации образования Новосибирской </w:t>
            </w:r>
            <w:proofErr w:type="gramStart"/>
            <w:r w:rsidRPr="008B6A75">
              <w:rPr>
                <w:bCs/>
                <w:sz w:val="20"/>
                <w:szCs w:val="20"/>
              </w:rPr>
              <w:t>области  подпрограммы</w:t>
            </w:r>
            <w:proofErr w:type="gramEnd"/>
            <w:r w:rsidRPr="008B6A75">
              <w:rPr>
                <w:bCs/>
                <w:sz w:val="20"/>
                <w:szCs w:val="20"/>
              </w:rPr>
              <w:t xml:space="preserve"> "Развитие дошкольного, общего и дополнительного образования детей" в рамках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850" w:type="dxa"/>
            <w:tcBorders>
              <w:top w:val="nil"/>
              <w:left w:val="single" w:sz="4" w:space="0" w:color="auto"/>
              <w:bottom w:val="nil"/>
              <w:right w:val="nil"/>
            </w:tcBorders>
            <w:shd w:val="clear" w:color="auto" w:fill="auto"/>
            <w:noWrap/>
            <w:vAlign w:val="center"/>
            <w:hideMark/>
          </w:tcPr>
          <w:p w14:paraId="0A952FEF" w14:textId="77777777" w:rsidR="00387142" w:rsidRPr="008B6A75" w:rsidRDefault="00387142" w:rsidP="00387142">
            <w:pPr>
              <w:jc w:val="center"/>
              <w:rPr>
                <w:bCs/>
                <w:sz w:val="20"/>
                <w:szCs w:val="20"/>
              </w:rPr>
            </w:pPr>
            <w:r w:rsidRPr="008B6A75">
              <w:rPr>
                <w:bCs/>
                <w:sz w:val="20"/>
                <w:szCs w:val="20"/>
              </w:rPr>
              <w:t>444</w:t>
            </w:r>
          </w:p>
        </w:tc>
        <w:tc>
          <w:tcPr>
            <w:tcW w:w="709" w:type="dxa"/>
            <w:tcBorders>
              <w:top w:val="nil"/>
              <w:left w:val="single" w:sz="4" w:space="0" w:color="auto"/>
              <w:bottom w:val="nil"/>
              <w:right w:val="nil"/>
            </w:tcBorders>
            <w:shd w:val="clear" w:color="auto" w:fill="auto"/>
            <w:noWrap/>
            <w:vAlign w:val="center"/>
            <w:hideMark/>
          </w:tcPr>
          <w:p w14:paraId="185C8A44" w14:textId="77777777" w:rsidR="00387142" w:rsidRPr="008B6A75" w:rsidRDefault="00387142" w:rsidP="00387142">
            <w:pPr>
              <w:jc w:val="center"/>
              <w:rPr>
                <w:bCs/>
                <w:sz w:val="20"/>
                <w:szCs w:val="20"/>
              </w:rPr>
            </w:pPr>
            <w:r w:rsidRPr="008B6A75">
              <w:rPr>
                <w:bCs/>
                <w:sz w:val="20"/>
                <w:szCs w:val="20"/>
              </w:rPr>
              <w:t>07</w:t>
            </w:r>
          </w:p>
        </w:tc>
        <w:tc>
          <w:tcPr>
            <w:tcW w:w="709" w:type="dxa"/>
            <w:tcBorders>
              <w:top w:val="nil"/>
              <w:left w:val="single" w:sz="4" w:space="0" w:color="auto"/>
              <w:bottom w:val="nil"/>
              <w:right w:val="single" w:sz="4" w:space="0" w:color="auto"/>
            </w:tcBorders>
            <w:shd w:val="clear" w:color="auto" w:fill="auto"/>
            <w:noWrap/>
            <w:vAlign w:val="center"/>
            <w:hideMark/>
          </w:tcPr>
          <w:p w14:paraId="31310D26" w14:textId="77777777" w:rsidR="00387142" w:rsidRPr="008B6A75" w:rsidRDefault="00387142" w:rsidP="00387142">
            <w:pPr>
              <w:jc w:val="center"/>
              <w:rPr>
                <w:bCs/>
                <w:sz w:val="20"/>
                <w:szCs w:val="20"/>
              </w:rPr>
            </w:pPr>
            <w:r w:rsidRPr="008B6A75">
              <w:rPr>
                <w:bCs/>
                <w:sz w:val="20"/>
                <w:szCs w:val="20"/>
              </w:rPr>
              <w:t>01</w:t>
            </w:r>
          </w:p>
        </w:tc>
        <w:tc>
          <w:tcPr>
            <w:tcW w:w="1411" w:type="dxa"/>
            <w:tcBorders>
              <w:top w:val="nil"/>
              <w:left w:val="single" w:sz="4" w:space="0" w:color="auto"/>
              <w:bottom w:val="nil"/>
              <w:right w:val="nil"/>
            </w:tcBorders>
            <w:shd w:val="clear" w:color="auto" w:fill="auto"/>
            <w:noWrap/>
            <w:vAlign w:val="center"/>
            <w:hideMark/>
          </w:tcPr>
          <w:p w14:paraId="41D2385B" w14:textId="77777777" w:rsidR="00387142" w:rsidRPr="008B6A75" w:rsidRDefault="00387142" w:rsidP="00387142">
            <w:pPr>
              <w:jc w:val="center"/>
              <w:rPr>
                <w:bCs/>
                <w:sz w:val="20"/>
                <w:szCs w:val="20"/>
              </w:rPr>
            </w:pPr>
            <w:r w:rsidRPr="008B6A75">
              <w:rPr>
                <w:bCs/>
                <w:sz w:val="20"/>
                <w:szCs w:val="20"/>
              </w:rPr>
              <w:t>07.1.00.03470</w:t>
            </w:r>
          </w:p>
        </w:tc>
        <w:tc>
          <w:tcPr>
            <w:tcW w:w="955" w:type="dxa"/>
            <w:tcBorders>
              <w:top w:val="nil"/>
              <w:left w:val="single" w:sz="4" w:space="0" w:color="auto"/>
              <w:bottom w:val="nil"/>
              <w:right w:val="single" w:sz="4" w:space="0" w:color="auto"/>
            </w:tcBorders>
            <w:shd w:val="clear" w:color="auto" w:fill="auto"/>
            <w:noWrap/>
            <w:vAlign w:val="center"/>
            <w:hideMark/>
          </w:tcPr>
          <w:p w14:paraId="38C8D4D3"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nil"/>
              <w:right w:val="single" w:sz="4" w:space="0" w:color="auto"/>
            </w:tcBorders>
            <w:shd w:val="clear" w:color="auto" w:fill="auto"/>
            <w:noWrap/>
            <w:vAlign w:val="center"/>
            <w:hideMark/>
          </w:tcPr>
          <w:p w14:paraId="0B996D5C" w14:textId="77777777" w:rsidR="00387142" w:rsidRPr="008B6A75" w:rsidRDefault="00387142" w:rsidP="00387142">
            <w:pPr>
              <w:jc w:val="right"/>
              <w:rPr>
                <w:bCs/>
                <w:sz w:val="20"/>
                <w:szCs w:val="20"/>
              </w:rPr>
            </w:pPr>
            <w:r w:rsidRPr="008B6A75">
              <w:rPr>
                <w:bCs/>
                <w:sz w:val="20"/>
                <w:szCs w:val="20"/>
              </w:rPr>
              <w:t>1 344 200,00</w:t>
            </w:r>
          </w:p>
        </w:tc>
        <w:tc>
          <w:tcPr>
            <w:tcW w:w="992" w:type="dxa"/>
            <w:gridSpan w:val="2"/>
            <w:tcBorders>
              <w:top w:val="nil"/>
              <w:left w:val="single" w:sz="4" w:space="0" w:color="auto"/>
              <w:bottom w:val="nil"/>
              <w:right w:val="nil"/>
            </w:tcBorders>
            <w:shd w:val="clear" w:color="auto" w:fill="auto"/>
            <w:noWrap/>
            <w:vAlign w:val="center"/>
            <w:hideMark/>
          </w:tcPr>
          <w:p w14:paraId="18051992" w14:textId="77777777" w:rsidR="00387142" w:rsidRPr="008B6A75" w:rsidRDefault="00387142" w:rsidP="00387142">
            <w:pPr>
              <w:jc w:val="right"/>
              <w:rPr>
                <w:bCs/>
                <w:sz w:val="20"/>
                <w:szCs w:val="20"/>
              </w:rPr>
            </w:pPr>
            <w:r w:rsidRPr="008B6A75">
              <w:rPr>
                <w:bCs/>
                <w:sz w:val="20"/>
                <w:szCs w:val="20"/>
              </w:rPr>
              <w:t>0,00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16B2C3E4" w14:textId="77777777" w:rsidR="00387142" w:rsidRPr="008B6A75" w:rsidRDefault="00387142" w:rsidP="00387142">
            <w:pPr>
              <w:jc w:val="right"/>
              <w:rPr>
                <w:bCs/>
                <w:sz w:val="20"/>
                <w:szCs w:val="20"/>
              </w:rPr>
            </w:pPr>
            <w:r w:rsidRPr="008B6A75">
              <w:rPr>
                <w:bCs/>
                <w:sz w:val="20"/>
                <w:szCs w:val="20"/>
              </w:rPr>
              <w:t>0,00</w:t>
            </w:r>
          </w:p>
        </w:tc>
        <w:tc>
          <w:tcPr>
            <w:tcW w:w="222" w:type="dxa"/>
            <w:vAlign w:val="center"/>
            <w:hideMark/>
          </w:tcPr>
          <w:p w14:paraId="6311D11A" w14:textId="77777777" w:rsidR="00387142" w:rsidRPr="008B6A75" w:rsidRDefault="00387142" w:rsidP="00387142">
            <w:pPr>
              <w:rPr>
                <w:sz w:val="20"/>
                <w:szCs w:val="20"/>
              </w:rPr>
            </w:pPr>
          </w:p>
        </w:tc>
      </w:tr>
      <w:tr w:rsidR="00387142" w:rsidRPr="008B6A75" w14:paraId="37AADCAC" w14:textId="77777777" w:rsidTr="00387142">
        <w:trPr>
          <w:trHeight w:val="585"/>
        </w:trPr>
        <w:tc>
          <w:tcPr>
            <w:tcW w:w="3021" w:type="dxa"/>
            <w:tcBorders>
              <w:top w:val="single" w:sz="4" w:space="0" w:color="auto"/>
              <w:left w:val="single" w:sz="4" w:space="0" w:color="auto"/>
              <w:bottom w:val="nil"/>
              <w:right w:val="nil"/>
            </w:tcBorders>
            <w:shd w:val="clear" w:color="auto" w:fill="auto"/>
            <w:vAlign w:val="center"/>
            <w:hideMark/>
          </w:tcPr>
          <w:p w14:paraId="4CD3F28D" w14:textId="77777777" w:rsidR="00387142" w:rsidRPr="008B6A75" w:rsidRDefault="00387142" w:rsidP="00387142">
            <w:pPr>
              <w:rPr>
                <w:sz w:val="20"/>
                <w:szCs w:val="20"/>
              </w:rPr>
            </w:pPr>
            <w:r w:rsidRPr="008B6A75">
              <w:rPr>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nil"/>
              <w:right w:val="nil"/>
            </w:tcBorders>
            <w:shd w:val="clear" w:color="auto" w:fill="auto"/>
            <w:noWrap/>
            <w:vAlign w:val="center"/>
            <w:hideMark/>
          </w:tcPr>
          <w:p w14:paraId="7A0CF159" w14:textId="77777777" w:rsidR="00387142" w:rsidRPr="008B6A75" w:rsidRDefault="00387142" w:rsidP="00387142">
            <w:pPr>
              <w:jc w:val="center"/>
              <w:rPr>
                <w:sz w:val="20"/>
                <w:szCs w:val="20"/>
              </w:rPr>
            </w:pPr>
            <w:r w:rsidRPr="008B6A75">
              <w:rPr>
                <w:sz w:val="20"/>
                <w:szCs w:val="20"/>
              </w:rPr>
              <w:t>444</w:t>
            </w:r>
          </w:p>
        </w:tc>
        <w:tc>
          <w:tcPr>
            <w:tcW w:w="709" w:type="dxa"/>
            <w:tcBorders>
              <w:top w:val="single" w:sz="4" w:space="0" w:color="auto"/>
              <w:left w:val="single" w:sz="4" w:space="0" w:color="auto"/>
              <w:bottom w:val="nil"/>
              <w:right w:val="nil"/>
            </w:tcBorders>
            <w:shd w:val="clear" w:color="auto" w:fill="auto"/>
            <w:noWrap/>
            <w:vAlign w:val="center"/>
            <w:hideMark/>
          </w:tcPr>
          <w:p w14:paraId="5D93D346" w14:textId="77777777" w:rsidR="00387142" w:rsidRPr="008B6A75" w:rsidRDefault="00387142" w:rsidP="00387142">
            <w:pPr>
              <w:jc w:val="center"/>
              <w:rPr>
                <w:sz w:val="20"/>
                <w:szCs w:val="20"/>
              </w:rPr>
            </w:pPr>
            <w:r w:rsidRPr="008B6A75">
              <w:rPr>
                <w:sz w:val="20"/>
                <w:szCs w:val="20"/>
              </w:rPr>
              <w:t>07</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0B1D0CA9" w14:textId="77777777" w:rsidR="00387142" w:rsidRPr="008B6A75" w:rsidRDefault="00387142" w:rsidP="00387142">
            <w:pPr>
              <w:jc w:val="center"/>
              <w:rPr>
                <w:sz w:val="20"/>
                <w:szCs w:val="20"/>
              </w:rPr>
            </w:pPr>
            <w:r w:rsidRPr="008B6A75">
              <w:rPr>
                <w:sz w:val="20"/>
                <w:szCs w:val="20"/>
              </w:rPr>
              <w:t>01</w:t>
            </w:r>
          </w:p>
        </w:tc>
        <w:tc>
          <w:tcPr>
            <w:tcW w:w="1411" w:type="dxa"/>
            <w:tcBorders>
              <w:top w:val="single" w:sz="4" w:space="0" w:color="auto"/>
              <w:left w:val="single" w:sz="4" w:space="0" w:color="auto"/>
              <w:bottom w:val="nil"/>
              <w:right w:val="nil"/>
            </w:tcBorders>
            <w:shd w:val="clear" w:color="auto" w:fill="auto"/>
            <w:noWrap/>
            <w:vAlign w:val="center"/>
            <w:hideMark/>
          </w:tcPr>
          <w:p w14:paraId="747B55E8" w14:textId="77777777" w:rsidR="00387142" w:rsidRPr="008B6A75" w:rsidRDefault="00387142" w:rsidP="00387142">
            <w:pPr>
              <w:jc w:val="center"/>
              <w:rPr>
                <w:sz w:val="20"/>
                <w:szCs w:val="20"/>
              </w:rPr>
            </w:pPr>
            <w:r w:rsidRPr="008B6A75">
              <w:rPr>
                <w:sz w:val="20"/>
                <w:szCs w:val="20"/>
              </w:rPr>
              <w:t>07.1.00.03470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3A9B8D0F" w14:textId="77777777" w:rsidR="00387142" w:rsidRPr="008B6A75" w:rsidRDefault="00387142" w:rsidP="00387142">
            <w:pPr>
              <w:jc w:val="center"/>
              <w:rPr>
                <w:sz w:val="20"/>
                <w:szCs w:val="20"/>
              </w:rPr>
            </w:pPr>
            <w:r w:rsidRPr="008B6A75">
              <w:rPr>
                <w:sz w:val="20"/>
                <w:szCs w:val="20"/>
              </w:rPr>
              <w:t>200</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7C7F41F3" w14:textId="77777777" w:rsidR="00387142" w:rsidRPr="008B6A75" w:rsidRDefault="00387142" w:rsidP="00387142">
            <w:pPr>
              <w:jc w:val="right"/>
              <w:rPr>
                <w:sz w:val="20"/>
                <w:szCs w:val="20"/>
              </w:rPr>
            </w:pPr>
            <w:r w:rsidRPr="008B6A75">
              <w:rPr>
                <w:sz w:val="20"/>
                <w:szCs w:val="20"/>
              </w:rPr>
              <w:t>1 344 200,00</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39120EC0" w14:textId="77777777" w:rsidR="00387142" w:rsidRPr="008B6A75" w:rsidRDefault="00387142" w:rsidP="00387142">
            <w:pPr>
              <w:jc w:val="right"/>
              <w:rPr>
                <w:sz w:val="20"/>
                <w:szCs w:val="20"/>
              </w:rPr>
            </w:pPr>
            <w:r w:rsidRPr="008B6A75">
              <w:rPr>
                <w:sz w:val="20"/>
                <w:szCs w:val="20"/>
              </w:rPr>
              <w:t>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04CC9ED1" w14:textId="77777777" w:rsidR="00387142" w:rsidRPr="008B6A75" w:rsidRDefault="00387142" w:rsidP="00387142">
            <w:pPr>
              <w:jc w:val="right"/>
              <w:rPr>
                <w:sz w:val="20"/>
                <w:szCs w:val="20"/>
              </w:rPr>
            </w:pPr>
            <w:r w:rsidRPr="008B6A75">
              <w:rPr>
                <w:sz w:val="20"/>
                <w:szCs w:val="20"/>
              </w:rPr>
              <w:t>0,00</w:t>
            </w:r>
          </w:p>
        </w:tc>
        <w:tc>
          <w:tcPr>
            <w:tcW w:w="222" w:type="dxa"/>
            <w:vAlign w:val="center"/>
            <w:hideMark/>
          </w:tcPr>
          <w:p w14:paraId="38F55AD8" w14:textId="77777777" w:rsidR="00387142" w:rsidRPr="008B6A75" w:rsidRDefault="00387142" w:rsidP="00387142">
            <w:pPr>
              <w:rPr>
                <w:sz w:val="20"/>
                <w:szCs w:val="20"/>
              </w:rPr>
            </w:pPr>
          </w:p>
        </w:tc>
      </w:tr>
      <w:tr w:rsidR="00387142" w:rsidRPr="008B6A75" w14:paraId="2ED15117" w14:textId="77777777" w:rsidTr="00387142">
        <w:trPr>
          <w:trHeight w:val="870"/>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30E081E9" w14:textId="77777777" w:rsidR="00387142" w:rsidRPr="008B6A75" w:rsidRDefault="00387142" w:rsidP="00387142">
            <w:pPr>
              <w:rPr>
                <w:sz w:val="20"/>
                <w:szCs w:val="20"/>
              </w:rPr>
            </w:pPr>
            <w:r w:rsidRPr="008B6A75">
              <w:rPr>
                <w:sz w:val="20"/>
                <w:szCs w:val="20"/>
              </w:rPr>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2FE48FCD" w14:textId="77777777" w:rsidR="00387142" w:rsidRPr="008B6A75" w:rsidRDefault="00387142" w:rsidP="00387142">
            <w:pPr>
              <w:jc w:val="center"/>
              <w:rPr>
                <w:sz w:val="20"/>
                <w:szCs w:val="20"/>
              </w:rPr>
            </w:pPr>
            <w:r w:rsidRPr="008B6A75">
              <w:rPr>
                <w:sz w:val="20"/>
                <w:szCs w:val="20"/>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6E6D823D" w14:textId="77777777" w:rsidR="00387142" w:rsidRPr="008B6A75" w:rsidRDefault="00387142" w:rsidP="00387142">
            <w:pPr>
              <w:jc w:val="center"/>
              <w:rPr>
                <w:sz w:val="20"/>
                <w:szCs w:val="20"/>
              </w:rPr>
            </w:pPr>
            <w:r w:rsidRPr="008B6A75">
              <w:rPr>
                <w:sz w:val="20"/>
                <w:szCs w:val="20"/>
              </w:rPr>
              <w:t>07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2A4509" w14:textId="77777777" w:rsidR="00387142" w:rsidRPr="008B6A75" w:rsidRDefault="00387142" w:rsidP="00387142">
            <w:pPr>
              <w:jc w:val="center"/>
              <w:rPr>
                <w:sz w:val="20"/>
                <w:szCs w:val="20"/>
              </w:rPr>
            </w:pPr>
            <w:r w:rsidRPr="008B6A75">
              <w:rPr>
                <w:sz w:val="20"/>
                <w:szCs w:val="20"/>
              </w:rPr>
              <w:t>01</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42A7533F" w14:textId="77777777" w:rsidR="00387142" w:rsidRPr="008B6A75" w:rsidRDefault="00387142" w:rsidP="00387142">
            <w:pPr>
              <w:jc w:val="center"/>
              <w:rPr>
                <w:sz w:val="20"/>
                <w:szCs w:val="20"/>
              </w:rPr>
            </w:pPr>
            <w:r w:rsidRPr="008B6A75">
              <w:rPr>
                <w:sz w:val="20"/>
                <w:szCs w:val="20"/>
              </w:rPr>
              <w:t>07.1.00.03470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315DCC" w14:textId="77777777" w:rsidR="00387142" w:rsidRPr="008B6A75" w:rsidRDefault="00387142" w:rsidP="00387142">
            <w:pPr>
              <w:jc w:val="center"/>
              <w:rPr>
                <w:sz w:val="20"/>
                <w:szCs w:val="20"/>
              </w:rPr>
            </w:pPr>
            <w:r w:rsidRPr="008B6A75">
              <w:rPr>
                <w:sz w:val="20"/>
                <w:szCs w:val="20"/>
              </w:rPr>
              <w:t>240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E820A6" w14:textId="77777777" w:rsidR="00387142" w:rsidRPr="008B6A75" w:rsidRDefault="00387142" w:rsidP="00387142">
            <w:pPr>
              <w:jc w:val="right"/>
              <w:rPr>
                <w:sz w:val="20"/>
                <w:szCs w:val="20"/>
              </w:rPr>
            </w:pPr>
            <w:r w:rsidRPr="008B6A75">
              <w:rPr>
                <w:sz w:val="20"/>
                <w:szCs w:val="20"/>
              </w:rPr>
              <w:t>1 344 200,00</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4C3922FF" w14:textId="77777777" w:rsidR="00387142" w:rsidRPr="008B6A75" w:rsidRDefault="00387142" w:rsidP="00387142">
            <w:pPr>
              <w:jc w:val="right"/>
              <w:rPr>
                <w:sz w:val="20"/>
                <w:szCs w:val="20"/>
              </w:rPr>
            </w:pPr>
            <w:r w:rsidRPr="008B6A75">
              <w:rPr>
                <w:sz w:val="20"/>
                <w:szCs w:val="20"/>
              </w:rPr>
              <w:t>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006E4C" w14:textId="77777777" w:rsidR="00387142" w:rsidRPr="008B6A75" w:rsidRDefault="00387142" w:rsidP="00387142">
            <w:pPr>
              <w:jc w:val="right"/>
              <w:rPr>
                <w:sz w:val="20"/>
                <w:szCs w:val="20"/>
              </w:rPr>
            </w:pPr>
            <w:r w:rsidRPr="008B6A75">
              <w:rPr>
                <w:sz w:val="20"/>
                <w:szCs w:val="20"/>
              </w:rPr>
              <w:t>0,00</w:t>
            </w:r>
          </w:p>
        </w:tc>
        <w:tc>
          <w:tcPr>
            <w:tcW w:w="222" w:type="dxa"/>
            <w:vAlign w:val="center"/>
            <w:hideMark/>
          </w:tcPr>
          <w:p w14:paraId="76943565" w14:textId="77777777" w:rsidR="00387142" w:rsidRPr="008B6A75" w:rsidRDefault="00387142" w:rsidP="00387142">
            <w:pPr>
              <w:rPr>
                <w:sz w:val="20"/>
                <w:szCs w:val="20"/>
              </w:rPr>
            </w:pPr>
          </w:p>
        </w:tc>
      </w:tr>
      <w:tr w:rsidR="00387142" w:rsidRPr="008B6A75" w14:paraId="264CBACC" w14:textId="77777777" w:rsidTr="00387142">
        <w:trPr>
          <w:trHeight w:val="870"/>
        </w:trPr>
        <w:tc>
          <w:tcPr>
            <w:tcW w:w="3021" w:type="dxa"/>
            <w:tcBorders>
              <w:top w:val="nil"/>
              <w:left w:val="single" w:sz="4" w:space="0" w:color="auto"/>
              <w:bottom w:val="nil"/>
              <w:right w:val="nil"/>
            </w:tcBorders>
            <w:shd w:val="clear" w:color="auto" w:fill="auto"/>
            <w:vAlign w:val="center"/>
            <w:hideMark/>
          </w:tcPr>
          <w:p w14:paraId="2F209A53" w14:textId="77777777" w:rsidR="00387142" w:rsidRPr="008B6A75" w:rsidRDefault="00387142" w:rsidP="00387142">
            <w:pPr>
              <w:rPr>
                <w:bCs/>
                <w:sz w:val="20"/>
                <w:szCs w:val="20"/>
              </w:rPr>
            </w:pPr>
            <w:r w:rsidRPr="008B6A75">
              <w:rPr>
                <w:bCs/>
                <w:sz w:val="20"/>
                <w:szCs w:val="20"/>
              </w:rPr>
              <w:t>Расходы на обеспечение деятельности (оказание услуг) муниципальных учреждений дошкольного образования</w:t>
            </w:r>
          </w:p>
        </w:tc>
        <w:tc>
          <w:tcPr>
            <w:tcW w:w="850" w:type="dxa"/>
            <w:tcBorders>
              <w:top w:val="nil"/>
              <w:left w:val="single" w:sz="4" w:space="0" w:color="auto"/>
              <w:bottom w:val="nil"/>
              <w:right w:val="nil"/>
            </w:tcBorders>
            <w:shd w:val="clear" w:color="auto" w:fill="auto"/>
            <w:noWrap/>
            <w:vAlign w:val="center"/>
            <w:hideMark/>
          </w:tcPr>
          <w:p w14:paraId="10CD3A1F" w14:textId="77777777" w:rsidR="00387142" w:rsidRPr="008B6A75" w:rsidRDefault="00387142" w:rsidP="00387142">
            <w:pPr>
              <w:jc w:val="center"/>
              <w:rPr>
                <w:bCs/>
                <w:sz w:val="20"/>
                <w:szCs w:val="20"/>
              </w:rPr>
            </w:pPr>
            <w:r w:rsidRPr="008B6A75">
              <w:rPr>
                <w:bCs/>
                <w:sz w:val="20"/>
                <w:szCs w:val="20"/>
              </w:rPr>
              <w:t>444</w:t>
            </w:r>
          </w:p>
        </w:tc>
        <w:tc>
          <w:tcPr>
            <w:tcW w:w="709" w:type="dxa"/>
            <w:tcBorders>
              <w:top w:val="nil"/>
              <w:left w:val="single" w:sz="4" w:space="0" w:color="auto"/>
              <w:bottom w:val="nil"/>
              <w:right w:val="nil"/>
            </w:tcBorders>
            <w:shd w:val="clear" w:color="auto" w:fill="auto"/>
            <w:noWrap/>
            <w:vAlign w:val="center"/>
            <w:hideMark/>
          </w:tcPr>
          <w:p w14:paraId="2C3B742E" w14:textId="77777777" w:rsidR="00387142" w:rsidRPr="008B6A75" w:rsidRDefault="00387142" w:rsidP="00387142">
            <w:pPr>
              <w:jc w:val="center"/>
              <w:rPr>
                <w:bCs/>
                <w:sz w:val="20"/>
                <w:szCs w:val="20"/>
              </w:rPr>
            </w:pPr>
            <w:r w:rsidRPr="008B6A75">
              <w:rPr>
                <w:bCs/>
                <w:sz w:val="20"/>
                <w:szCs w:val="20"/>
              </w:rPr>
              <w:t>07</w:t>
            </w:r>
          </w:p>
        </w:tc>
        <w:tc>
          <w:tcPr>
            <w:tcW w:w="709" w:type="dxa"/>
            <w:tcBorders>
              <w:top w:val="nil"/>
              <w:left w:val="single" w:sz="4" w:space="0" w:color="auto"/>
              <w:bottom w:val="nil"/>
              <w:right w:val="single" w:sz="4" w:space="0" w:color="auto"/>
            </w:tcBorders>
            <w:shd w:val="clear" w:color="auto" w:fill="auto"/>
            <w:noWrap/>
            <w:vAlign w:val="center"/>
            <w:hideMark/>
          </w:tcPr>
          <w:p w14:paraId="7FE4D609" w14:textId="77777777" w:rsidR="00387142" w:rsidRPr="008B6A75" w:rsidRDefault="00387142" w:rsidP="00387142">
            <w:pPr>
              <w:jc w:val="center"/>
              <w:rPr>
                <w:bCs/>
                <w:sz w:val="20"/>
                <w:szCs w:val="20"/>
              </w:rPr>
            </w:pPr>
            <w:r w:rsidRPr="008B6A75">
              <w:rPr>
                <w:bCs/>
                <w:sz w:val="20"/>
                <w:szCs w:val="20"/>
              </w:rPr>
              <w:t>01</w:t>
            </w:r>
          </w:p>
        </w:tc>
        <w:tc>
          <w:tcPr>
            <w:tcW w:w="1411" w:type="dxa"/>
            <w:tcBorders>
              <w:top w:val="nil"/>
              <w:left w:val="single" w:sz="4" w:space="0" w:color="auto"/>
              <w:bottom w:val="nil"/>
              <w:right w:val="nil"/>
            </w:tcBorders>
            <w:shd w:val="clear" w:color="auto" w:fill="auto"/>
            <w:noWrap/>
            <w:vAlign w:val="center"/>
            <w:hideMark/>
          </w:tcPr>
          <w:p w14:paraId="08F4027F" w14:textId="77777777" w:rsidR="00387142" w:rsidRPr="008B6A75" w:rsidRDefault="00387142" w:rsidP="00387142">
            <w:pPr>
              <w:jc w:val="center"/>
              <w:rPr>
                <w:bCs/>
                <w:sz w:val="20"/>
                <w:szCs w:val="20"/>
              </w:rPr>
            </w:pPr>
            <w:r w:rsidRPr="008B6A75">
              <w:rPr>
                <w:bCs/>
                <w:sz w:val="20"/>
                <w:szCs w:val="20"/>
              </w:rPr>
              <w:t>07.1.00.07190</w:t>
            </w:r>
          </w:p>
        </w:tc>
        <w:tc>
          <w:tcPr>
            <w:tcW w:w="955" w:type="dxa"/>
            <w:tcBorders>
              <w:top w:val="nil"/>
              <w:left w:val="single" w:sz="4" w:space="0" w:color="auto"/>
              <w:bottom w:val="nil"/>
              <w:right w:val="single" w:sz="4" w:space="0" w:color="auto"/>
            </w:tcBorders>
            <w:shd w:val="clear" w:color="auto" w:fill="auto"/>
            <w:noWrap/>
            <w:vAlign w:val="center"/>
            <w:hideMark/>
          </w:tcPr>
          <w:p w14:paraId="141072EB"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nil"/>
              <w:right w:val="single" w:sz="4" w:space="0" w:color="auto"/>
            </w:tcBorders>
            <w:shd w:val="clear" w:color="auto" w:fill="auto"/>
            <w:noWrap/>
            <w:vAlign w:val="center"/>
            <w:hideMark/>
          </w:tcPr>
          <w:p w14:paraId="56155E5D" w14:textId="77777777" w:rsidR="00387142" w:rsidRPr="008B6A75" w:rsidRDefault="00387142" w:rsidP="00387142">
            <w:pPr>
              <w:jc w:val="right"/>
              <w:rPr>
                <w:bCs/>
                <w:sz w:val="20"/>
                <w:szCs w:val="20"/>
              </w:rPr>
            </w:pPr>
            <w:r w:rsidRPr="008B6A75">
              <w:rPr>
                <w:bCs/>
                <w:sz w:val="20"/>
                <w:szCs w:val="20"/>
              </w:rPr>
              <w:t>85 220 204,57</w:t>
            </w:r>
          </w:p>
        </w:tc>
        <w:tc>
          <w:tcPr>
            <w:tcW w:w="992" w:type="dxa"/>
            <w:gridSpan w:val="2"/>
            <w:tcBorders>
              <w:top w:val="nil"/>
              <w:left w:val="single" w:sz="4" w:space="0" w:color="auto"/>
              <w:bottom w:val="nil"/>
              <w:right w:val="nil"/>
            </w:tcBorders>
            <w:shd w:val="clear" w:color="auto" w:fill="auto"/>
            <w:noWrap/>
            <w:vAlign w:val="center"/>
            <w:hideMark/>
          </w:tcPr>
          <w:p w14:paraId="0CD1EA15" w14:textId="77777777" w:rsidR="00387142" w:rsidRPr="008B6A75" w:rsidRDefault="00387142" w:rsidP="00387142">
            <w:pPr>
              <w:jc w:val="right"/>
              <w:rPr>
                <w:bCs/>
                <w:sz w:val="20"/>
                <w:szCs w:val="20"/>
              </w:rPr>
            </w:pPr>
            <w:r w:rsidRPr="008B6A75">
              <w:rPr>
                <w:bCs/>
                <w:sz w:val="20"/>
                <w:szCs w:val="20"/>
              </w:rPr>
              <w:t>99 125 681,00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6C0DE85D" w14:textId="77777777" w:rsidR="00387142" w:rsidRPr="008B6A75" w:rsidRDefault="00387142" w:rsidP="00387142">
            <w:pPr>
              <w:jc w:val="right"/>
              <w:rPr>
                <w:bCs/>
                <w:sz w:val="20"/>
                <w:szCs w:val="20"/>
              </w:rPr>
            </w:pPr>
            <w:r w:rsidRPr="008B6A75">
              <w:rPr>
                <w:bCs/>
                <w:sz w:val="20"/>
                <w:szCs w:val="20"/>
              </w:rPr>
              <w:t>101 229 581,00</w:t>
            </w:r>
          </w:p>
        </w:tc>
        <w:tc>
          <w:tcPr>
            <w:tcW w:w="222" w:type="dxa"/>
            <w:vAlign w:val="center"/>
            <w:hideMark/>
          </w:tcPr>
          <w:p w14:paraId="6C983596" w14:textId="77777777" w:rsidR="00387142" w:rsidRPr="008B6A75" w:rsidRDefault="00387142" w:rsidP="00387142">
            <w:pPr>
              <w:rPr>
                <w:sz w:val="20"/>
                <w:szCs w:val="20"/>
              </w:rPr>
            </w:pPr>
          </w:p>
        </w:tc>
      </w:tr>
      <w:tr w:rsidR="00387142" w:rsidRPr="008B6A75" w14:paraId="60064012" w14:textId="77777777" w:rsidTr="00387142">
        <w:trPr>
          <w:trHeight w:val="1440"/>
        </w:trPr>
        <w:tc>
          <w:tcPr>
            <w:tcW w:w="3021" w:type="dxa"/>
            <w:tcBorders>
              <w:top w:val="single" w:sz="4" w:space="0" w:color="auto"/>
              <w:left w:val="single" w:sz="4" w:space="0" w:color="auto"/>
              <w:bottom w:val="nil"/>
              <w:right w:val="nil"/>
            </w:tcBorders>
            <w:shd w:val="clear" w:color="auto" w:fill="auto"/>
            <w:vAlign w:val="center"/>
            <w:hideMark/>
          </w:tcPr>
          <w:p w14:paraId="68A6EEF6" w14:textId="77777777" w:rsidR="00387142" w:rsidRPr="008B6A75" w:rsidRDefault="00387142" w:rsidP="00387142">
            <w:pPr>
              <w:rPr>
                <w:sz w:val="20"/>
                <w:szCs w:val="20"/>
              </w:rPr>
            </w:pPr>
            <w:r w:rsidRPr="008B6A7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nil"/>
              <w:right w:val="nil"/>
            </w:tcBorders>
            <w:shd w:val="clear" w:color="auto" w:fill="auto"/>
            <w:noWrap/>
            <w:vAlign w:val="center"/>
            <w:hideMark/>
          </w:tcPr>
          <w:p w14:paraId="672A3ED0" w14:textId="77777777" w:rsidR="00387142" w:rsidRPr="008B6A75" w:rsidRDefault="00387142" w:rsidP="00387142">
            <w:pPr>
              <w:jc w:val="center"/>
              <w:rPr>
                <w:sz w:val="20"/>
                <w:szCs w:val="20"/>
              </w:rPr>
            </w:pPr>
            <w:r w:rsidRPr="008B6A75">
              <w:rPr>
                <w:sz w:val="20"/>
                <w:szCs w:val="20"/>
              </w:rPr>
              <w:t>444</w:t>
            </w:r>
          </w:p>
        </w:tc>
        <w:tc>
          <w:tcPr>
            <w:tcW w:w="709" w:type="dxa"/>
            <w:tcBorders>
              <w:top w:val="single" w:sz="4" w:space="0" w:color="auto"/>
              <w:left w:val="single" w:sz="4" w:space="0" w:color="auto"/>
              <w:bottom w:val="nil"/>
              <w:right w:val="nil"/>
            </w:tcBorders>
            <w:shd w:val="clear" w:color="auto" w:fill="auto"/>
            <w:noWrap/>
            <w:vAlign w:val="center"/>
            <w:hideMark/>
          </w:tcPr>
          <w:p w14:paraId="5AB89D88" w14:textId="77777777" w:rsidR="00387142" w:rsidRPr="008B6A75" w:rsidRDefault="00387142" w:rsidP="00387142">
            <w:pPr>
              <w:jc w:val="center"/>
              <w:rPr>
                <w:sz w:val="20"/>
                <w:szCs w:val="20"/>
              </w:rPr>
            </w:pPr>
            <w:r w:rsidRPr="008B6A75">
              <w:rPr>
                <w:sz w:val="20"/>
                <w:szCs w:val="20"/>
              </w:rPr>
              <w:t>07</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778060CA" w14:textId="77777777" w:rsidR="00387142" w:rsidRPr="008B6A75" w:rsidRDefault="00387142" w:rsidP="00387142">
            <w:pPr>
              <w:jc w:val="center"/>
              <w:rPr>
                <w:sz w:val="20"/>
                <w:szCs w:val="20"/>
              </w:rPr>
            </w:pPr>
            <w:r w:rsidRPr="008B6A75">
              <w:rPr>
                <w:sz w:val="20"/>
                <w:szCs w:val="20"/>
              </w:rPr>
              <w:t>01</w:t>
            </w:r>
          </w:p>
        </w:tc>
        <w:tc>
          <w:tcPr>
            <w:tcW w:w="1411" w:type="dxa"/>
            <w:tcBorders>
              <w:top w:val="single" w:sz="4" w:space="0" w:color="auto"/>
              <w:left w:val="single" w:sz="4" w:space="0" w:color="auto"/>
              <w:bottom w:val="nil"/>
              <w:right w:val="nil"/>
            </w:tcBorders>
            <w:shd w:val="clear" w:color="auto" w:fill="auto"/>
            <w:noWrap/>
            <w:vAlign w:val="center"/>
            <w:hideMark/>
          </w:tcPr>
          <w:p w14:paraId="130E254A" w14:textId="77777777" w:rsidR="00387142" w:rsidRPr="008B6A75" w:rsidRDefault="00387142" w:rsidP="00387142">
            <w:pPr>
              <w:jc w:val="center"/>
              <w:rPr>
                <w:sz w:val="20"/>
                <w:szCs w:val="20"/>
              </w:rPr>
            </w:pPr>
            <w:r w:rsidRPr="008B6A75">
              <w:rPr>
                <w:sz w:val="20"/>
                <w:szCs w:val="20"/>
              </w:rPr>
              <w:t>07.1.00.07190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20B93DC2" w14:textId="77777777" w:rsidR="00387142" w:rsidRPr="008B6A75" w:rsidRDefault="00387142" w:rsidP="00387142">
            <w:pPr>
              <w:jc w:val="center"/>
              <w:rPr>
                <w:sz w:val="20"/>
                <w:szCs w:val="20"/>
              </w:rPr>
            </w:pPr>
            <w:r w:rsidRPr="008B6A75">
              <w:rPr>
                <w:sz w:val="20"/>
                <w:szCs w:val="20"/>
              </w:rPr>
              <w:t>100</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7D8305F4" w14:textId="77777777" w:rsidR="00387142" w:rsidRPr="008B6A75" w:rsidRDefault="00387142" w:rsidP="00387142">
            <w:pPr>
              <w:jc w:val="right"/>
              <w:rPr>
                <w:sz w:val="20"/>
                <w:szCs w:val="20"/>
              </w:rPr>
            </w:pPr>
            <w:r w:rsidRPr="008B6A75">
              <w:rPr>
                <w:sz w:val="20"/>
                <w:szCs w:val="20"/>
              </w:rPr>
              <w:t>2 359 637,84</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2688509C" w14:textId="77777777" w:rsidR="00387142" w:rsidRPr="008B6A75" w:rsidRDefault="00387142" w:rsidP="00387142">
            <w:pPr>
              <w:jc w:val="right"/>
              <w:rPr>
                <w:sz w:val="20"/>
                <w:szCs w:val="20"/>
              </w:rPr>
            </w:pPr>
            <w:r w:rsidRPr="008B6A75">
              <w:rPr>
                <w:sz w:val="20"/>
                <w:szCs w:val="20"/>
              </w:rPr>
              <w:t>31 595 295,36</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56894AF6" w14:textId="77777777" w:rsidR="00387142" w:rsidRPr="008B6A75" w:rsidRDefault="00387142" w:rsidP="00387142">
            <w:pPr>
              <w:jc w:val="right"/>
              <w:rPr>
                <w:sz w:val="20"/>
                <w:szCs w:val="20"/>
              </w:rPr>
            </w:pPr>
            <w:r w:rsidRPr="008B6A75">
              <w:rPr>
                <w:sz w:val="20"/>
                <w:szCs w:val="20"/>
              </w:rPr>
              <w:t>32 126 162,00</w:t>
            </w:r>
          </w:p>
        </w:tc>
        <w:tc>
          <w:tcPr>
            <w:tcW w:w="222" w:type="dxa"/>
            <w:vAlign w:val="center"/>
            <w:hideMark/>
          </w:tcPr>
          <w:p w14:paraId="6C0D947C" w14:textId="77777777" w:rsidR="00387142" w:rsidRPr="008B6A75" w:rsidRDefault="00387142" w:rsidP="00387142">
            <w:pPr>
              <w:rPr>
                <w:sz w:val="20"/>
                <w:szCs w:val="20"/>
              </w:rPr>
            </w:pPr>
          </w:p>
        </w:tc>
      </w:tr>
      <w:tr w:rsidR="00387142" w:rsidRPr="008B6A75" w14:paraId="770FE399" w14:textId="77777777" w:rsidTr="00387142">
        <w:trPr>
          <w:trHeight w:val="585"/>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6AD4E973" w14:textId="77777777" w:rsidR="00387142" w:rsidRPr="008B6A75" w:rsidRDefault="00387142" w:rsidP="00387142">
            <w:pPr>
              <w:rPr>
                <w:sz w:val="20"/>
                <w:szCs w:val="20"/>
              </w:rPr>
            </w:pPr>
            <w:r w:rsidRPr="008B6A75">
              <w:rPr>
                <w:sz w:val="20"/>
                <w:szCs w:val="20"/>
              </w:rPr>
              <w:t>Расходы на выплаты персоналу казенных учреждений</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050CC4BC" w14:textId="77777777" w:rsidR="00387142" w:rsidRPr="008B6A75" w:rsidRDefault="00387142" w:rsidP="00387142">
            <w:pPr>
              <w:jc w:val="center"/>
              <w:rPr>
                <w:sz w:val="20"/>
                <w:szCs w:val="20"/>
              </w:rPr>
            </w:pPr>
            <w:r w:rsidRPr="008B6A75">
              <w:rPr>
                <w:sz w:val="20"/>
                <w:szCs w:val="20"/>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55E41FC3" w14:textId="77777777" w:rsidR="00387142" w:rsidRPr="008B6A75" w:rsidRDefault="00387142" w:rsidP="00387142">
            <w:pPr>
              <w:jc w:val="center"/>
              <w:rPr>
                <w:sz w:val="20"/>
                <w:szCs w:val="20"/>
              </w:rPr>
            </w:pPr>
            <w:r w:rsidRPr="008B6A75">
              <w:rPr>
                <w:sz w:val="20"/>
                <w:szCs w:val="20"/>
              </w:rPr>
              <w:t>07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A34FE9" w14:textId="77777777" w:rsidR="00387142" w:rsidRPr="008B6A75" w:rsidRDefault="00387142" w:rsidP="00387142">
            <w:pPr>
              <w:jc w:val="center"/>
              <w:rPr>
                <w:sz w:val="20"/>
                <w:szCs w:val="20"/>
              </w:rPr>
            </w:pPr>
            <w:r w:rsidRPr="008B6A75">
              <w:rPr>
                <w:sz w:val="20"/>
                <w:szCs w:val="20"/>
              </w:rPr>
              <w:t>01</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333D6FD8" w14:textId="77777777" w:rsidR="00387142" w:rsidRPr="008B6A75" w:rsidRDefault="00387142" w:rsidP="00387142">
            <w:pPr>
              <w:jc w:val="center"/>
              <w:rPr>
                <w:sz w:val="20"/>
                <w:szCs w:val="20"/>
              </w:rPr>
            </w:pPr>
            <w:r w:rsidRPr="008B6A75">
              <w:rPr>
                <w:sz w:val="20"/>
                <w:szCs w:val="20"/>
              </w:rPr>
              <w:t>07.1.00.07190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F86EE9" w14:textId="77777777" w:rsidR="00387142" w:rsidRPr="008B6A75" w:rsidRDefault="00387142" w:rsidP="00387142">
            <w:pPr>
              <w:jc w:val="center"/>
              <w:rPr>
                <w:sz w:val="20"/>
                <w:szCs w:val="20"/>
              </w:rPr>
            </w:pPr>
            <w:r w:rsidRPr="008B6A75">
              <w:rPr>
                <w:sz w:val="20"/>
                <w:szCs w:val="20"/>
              </w:rPr>
              <w:t>110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C3B863" w14:textId="77777777" w:rsidR="00387142" w:rsidRPr="008B6A75" w:rsidRDefault="00387142" w:rsidP="00387142">
            <w:pPr>
              <w:jc w:val="right"/>
              <w:rPr>
                <w:sz w:val="20"/>
                <w:szCs w:val="20"/>
              </w:rPr>
            </w:pPr>
            <w:r w:rsidRPr="008B6A75">
              <w:rPr>
                <w:sz w:val="20"/>
                <w:szCs w:val="20"/>
              </w:rPr>
              <w:t>2 359 637,84</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56857C57" w14:textId="77777777" w:rsidR="00387142" w:rsidRPr="008B6A75" w:rsidRDefault="00387142" w:rsidP="00387142">
            <w:pPr>
              <w:jc w:val="right"/>
              <w:rPr>
                <w:sz w:val="20"/>
                <w:szCs w:val="20"/>
              </w:rPr>
            </w:pPr>
            <w:r w:rsidRPr="008B6A75">
              <w:rPr>
                <w:sz w:val="20"/>
                <w:szCs w:val="20"/>
              </w:rPr>
              <w:t>31 595 295,36</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FFEF4B" w14:textId="77777777" w:rsidR="00387142" w:rsidRPr="008B6A75" w:rsidRDefault="00387142" w:rsidP="00387142">
            <w:pPr>
              <w:jc w:val="right"/>
              <w:rPr>
                <w:sz w:val="20"/>
                <w:szCs w:val="20"/>
              </w:rPr>
            </w:pPr>
            <w:r w:rsidRPr="008B6A75">
              <w:rPr>
                <w:sz w:val="20"/>
                <w:szCs w:val="20"/>
              </w:rPr>
              <w:t>32 126 162,00</w:t>
            </w:r>
          </w:p>
        </w:tc>
        <w:tc>
          <w:tcPr>
            <w:tcW w:w="222" w:type="dxa"/>
            <w:vAlign w:val="center"/>
            <w:hideMark/>
          </w:tcPr>
          <w:p w14:paraId="4A8BFA58" w14:textId="77777777" w:rsidR="00387142" w:rsidRPr="008B6A75" w:rsidRDefault="00387142" w:rsidP="00387142">
            <w:pPr>
              <w:rPr>
                <w:sz w:val="20"/>
                <w:szCs w:val="20"/>
              </w:rPr>
            </w:pPr>
          </w:p>
        </w:tc>
      </w:tr>
      <w:tr w:rsidR="00387142" w:rsidRPr="008B6A75" w14:paraId="3601A737" w14:textId="77777777" w:rsidTr="00387142">
        <w:trPr>
          <w:trHeight w:val="585"/>
        </w:trPr>
        <w:tc>
          <w:tcPr>
            <w:tcW w:w="3021" w:type="dxa"/>
            <w:tcBorders>
              <w:top w:val="nil"/>
              <w:left w:val="single" w:sz="4" w:space="0" w:color="auto"/>
              <w:bottom w:val="nil"/>
              <w:right w:val="nil"/>
            </w:tcBorders>
            <w:shd w:val="clear" w:color="auto" w:fill="auto"/>
            <w:vAlign w:val="center"/>
            <w:hideMark/>
          </w:tcPr>
          <w:p w14:paraId="379B586C" w14:textId="77777777" w:rsidR="00387142" w:rsidRPr="008B6A75" w:rsidRDefault="00387142" w:rsidP="00387142">
            <w:pPr>
              <w:rPr>
                <w:sz w:val="20"/>
                <w:szCs w:val="20"/>
              </w:rPr>
            </w:pPr>
            <w:r w:rsidRPr="008B6A75">
              <w:rPr>
                <w:sz w:val="20"/>
                <w:szCs w:val="20"/>
              </w:rPr>
              <w:t>Закупка товаров, работ и услуг для обеспечения государственных (муниципальных) нужд</w:t>
            </w:r>
          </w:p>
        </w:tc>
        <w:tc>
          <w:tcPr>
            <w:tcW w:w="850" w:type="dxa"/>
            <w:tcBorders>
              <w:top w:val="nil"/>
              <w:left w:val="single" w:sz="4" w:space="0" w:color="auto"/>
              <w:bottom w:val="nil"/>
              <w:right w:val="nil"/>
            </w:tcBorders>
            <w:shd w:val="clear" w:color="auto" w:fill="auto"/>
            <w:noWrap/>
            <w:vAlign w:val="center"/>
            <w:hideMark/>
          </w:tcPr>
          <w:p w14:paraId="5D9BFA2E" w14:textId="77777777" w:rsidR="00387142" w:rsidRPr="008B6A75" w:rsidRDefault="00387142" w:rsidP="00387142">
            <w:pPr>
              <w:jc w:val="center"/>
              <w:rPr>
                <w:sz w:val="20"/>
                <w:szCs w:val="20"/>
              </w:rPr>
            </w:pPr>
            <w:r w:rsidRPr="008B6A75">
              <w:rPr>
                <w:sz w:val="20"/>
                <w:szCs w:val="20"/>
              </w:rPr>
              <w:t>444</w:t>
            </w:r>
          </w:p>
        </w:tc>
        <w:tc>
          <w:tcPr>
            <w:tcW w:w="709" w:type="dxa"/>
            <w:tcBorders>
              <w:top w:val="nil"/>
              <w:left w:val="single" w:sz="4" w:space="0" w:color="auto"/>
              <w:bottom w:val="nil"/>
              <w:right w:val="nil"/>
            </w:tcBorders>
            <w:shd w:val="clear" w:color="auto" w:fill="auto"/>
            <w:noWrap/>
            <w:vAlign w:val="center"/>
            <w:hideMark/>
          </w:tcPr>
          <w:p w14:paraId="43D99379" w14:textId="77777777" w:rsidR="00387142" w:rsidRPr="008B6A75" w:rsidRDefault="00387142" w:rsidP="00387142">
            <w:pPr>
              <w:jc w:val="center"/>
              <w:rPr>
                <w:sz w:val="20"/>
                <w:szCs w:val="20"/>
              </w:rPr>
            </w:pPr>
            <w:r w:rsidRPr="008B6A75">
              <w:rPr>
                <w:sz w:val="20"/>
                <w:szCs w:val="20"/>
              </w:rPr>
              <w:t>07</w:t>
            </w:r>
          </w:p>
        </w:tc>
        <w:tc>
          <w:tcPr>
            <w:tcW w:w="709" w:type="dxa"/>
            <w:tcBorders>
              <w:top w:val="nil"/>
              <w:left w:val="single" w:sz="4" w:space="0" w:color="auto"/>
              <w:bottom w:val="nil"/>
              <w:right w:val="single" w:sz="4" w:space="0" w:color="auto"/>
            </w:tcBorders>
            <w:shd w:val="clear" w:color="auto" w:fill="auto"/>
            <w:noWrap/>
            <w:vAlign w:val="center"/>
            <w:hideMark/>
          </w:tcPr>
          <w:p w14:paraId="0CFB5DDB" w14:textId="77777777" w:rsidR="00387142" w:rsidRPr="008B6A75" w:rsidRDefault="00387142" w:rsidP="00387142">
            <w:pPr>
              <w:jc w:val="center"/>
              <w:rPr>
                <w:sz w:val="20"/>
                <w:szCs w:val="20"/>
              </w:rPr>
            </w:pPr>
            <w:r w:rsidRPr="008B6A75">
              <w:rPr>
                <w:sz w:val="20"/>
                <w:szCs w:val="20"/>
              </w:rPr>
              <w:t>01</w:t>
            </w:r>
          </w:p>
        </w:tc>
        <w:tc>
          <w:tcPr>
            <w:tcW w:w="1411" w:type="dxa"/>
            <w:tcBorders>
              <w:top w:val="nil"/>
              <w:left w:val="single" w:sz="4" w:space="0" w:color="auto"/>
              <w:bottom w:val="nil"/>
              <w:right w:val="nil"/>
            </w:tcBorders>
            <w:shd w:val="clear" w:color="auto" w:fill="auto"/>
            <w:noWrap/>
            <w:vAlign w:val="center"/>
            <w:hideMark/>
          </w:tcPr>
          <w:p w14:paraId="224C4652" w14:textId="77777777" w:rsidR="00387142" w:rsidRPr="008B6A75" w:rsidRDefault="00387142" w:rsidP="00387142">
            <w:pPr>
              <w:jc w:val="center"/>
              <w:rPr>
                <w:sz w:val="20"/>
                <w:szCs w:val="20"/>
              </w:rPr>
            </w:pPr>
            <w:r w:rsidRPr="008B6A75">
              <w:rPr>
                <w:sz w:val="20"/>
                <w:szCs w:val="20"/>
              </w:rPr>
              <w:t>07.1.00.07190</w:t>
            </w:r>
          </w:p>
        </w:tc>
        <w:tc>
          <w:tcPr>
            <w:tcW w:w="955" w:type="dxa"/>
            <w:tcBorders>
              <w:top w:val="nil"/>
              <w:left w:val="single" w:sz="4" w:space="0" w:color="auto"/>
              <w:bottom w:val="nil"/>
              <w:right w:val="single" w:sz="4" w:space="0" w:color="auto"/>
            </w:tcBorders>
            <w:shd w:val="clear" w:color="auto" w:fill="auto"/>
            <w:noWrap/>
            <w:vAlign w:val="center"/>
            <w:hideMark/>
          </w:tcPr>
          <w:p w14:paraId="63326E43" w14:textId="77777777" w:rsidR="00387142" w:rsidRPr="008B6A75" w:rsidRDefault="00387142" w:rsidP="00387142">
            <w:pPr>
              <w:jc w:val="center"/>
              <w:rPr>
                <w:sz w:val="20"/>
                <w:szCs w:val="20"/>
              </w:rPr>
            </w:pPr>
            <w:r w:rsidRPr="008B6A75">
              <w:rPr>
                <w:sz w:val="20"/>
                <w:szCs w:val="20"/>
              </w:rPr>
              <w:t>200</w:t>
            </w:r>
          </w:p>
        </w:tc>
        <w:tc>
          <w:tcPr>
            <w:tcW w:w="992" w:type="dxa"/>
            <w:tcBorders>
              <w:top w:val="nil"/>
              <w:left w:val="single" w:sz="4" w:space="0" w:color="auto"/>
              <w:bottom w:val="nil"/>
              <w:right w:val="single" w:sz="4" w:space="0" w:color="auto"/>
            </w:tcBorders>
            <w:shd w:val="clear" w:color="auto" w:fill="auto"/>
            <w:noWrap/>
            <w:vAlign w:val="center"/>
            <w:hideMark/>
          </w:tcPr>
          <w:p w14:paraId="20BCDC34" w14:textId="77777777" w:rsidR="00387142" w:rsidRPr="008B6A75" w:rsidRDefault="00387142" w:rsidP="00387142">
            <w:pPr>
              <w:jc w:val="right"/>
              <w:rPr>
                <w:sz w:val="20"/>
                <w:szCs w:val="20"/>
              </w:rPr>
            </w:pPr>
            <w:r w:rsidRPr="008B6A75">
              <w:rPr>
                <w:sz w:val="20"/>
                <w:szCs w:val="20"/>
              </w:rPr>
              <w:t>79 486 543,02</w:t>
            </w:r>
          </w:p>
        </w:tc>
        <w:tc>
          <w:tcPr>
            <w:tcW w:w="992" w:type="dxa"/>
            <w:gridSpan w:val="2"/>
            <w:tcBorders>
              <w:top w:val="nil"/>
              <w:left w:val="single" w:sz="4" w:space="0" w:color="auto"/>
              <w:bottom w:val="nil"/>
              <w:right w:val="nil"/>
            </w:tcBorders>
            <w:shd w:val="clear" w:color="auto" w:fill="auto"/>
            <w:noWrap/>
            <w:vAlign w:val="center"/>
            <w:hideMark/>
          </w:tcPr>
          <w:p w14:paraId="085884E5" w14:textId="77777777" w:rsidR="00387142" w:rsidRPr="008B6A75" w:rsidRDefault="00387142" w:rsidP="00387142">
            <w:pPr>
              <w:jc w:val="right"/>
              <w:rPr>
                <w:sz w:val="20"/>
                <w:szCs w:val="20"/>
              </w:rPr>
            </w:pPr>
            <w:r w:rsidRPr="008B6A75">
              <w:rPr>
                <w:sz w:val="20"/>
                <w:szCs w:val="20"/>
              </w:rPr>
              <w:t>67 530 385,64</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46EEFC0A" w14:textId="77777777" w:rsidR="00387142" w:rsidRPr="008B6A75" w:rsidRDefault="00387142" w:rsidP="00387142">
            <w:pPr>
              <w:jc w:val="right"/>
              <w:rPr>
                <w:sz w:val="20"/>
                <w:szCs w:val="20"/>
              </w:rPr>
            </w:pPr>
            <w:r w:rsidRPr="008B6A75">
              <w:rPr>
                <w:sz w:val="20"/>
                <w:szCs w:val="20"/>
              </w:rPr>
              <w:t>69 103 419,00</w:t>
            </w:r>
          </w:p>
        </w:tc>
        <w:tc>
          <w:tcPr>
            <w:tcW w:w="222" w:type="dxa"/>
            <w:vAlign w:val="center"/>
            <w:hideMark/>
          </w:tcPr>
          <w:p w14:paraId="5947E3F9" w14:textId="77777777" w:rsidR="00387142" w:rsidRPr="008B6A75" w:rsidRDefault="00387142" w:rsidP="00387142">
            <w:pPr>
              <w:rPr>
                <w:sz w:val="20"/>
                <w:szCs w:val="20"/>
              </w:rPr>
            </w:pPr>
          </w:p>
        </w:tc>
      </w:tr>
      <w:tr w:rsidR="00387142" w:rsidRPr="008B6A75" w14:paraId="69D2DF66" w14:textId="77777777" w:rsidTr="00387142">
        <w:trPr>
          <w:trHeight w:val="870"/>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7878C810" w14:textId="77777777" w:rsidR="00387142" w:rsidRPr="008B6A75" w:rsidRDefault="00387142" w:rsidP="00387142">
            <w:pPr>
              <w:rPr>
                <w:sz w:val="20"/>
                <w:szCs w:val="20"/>
              </w:rPr>
            </w:pPr>
            <w:r w:rsidRPr="008B6A75">
              <w:rPr>
                <w:sz w:val="20"/>
                <w:szCs w:val="20"/>
              </w:rPr>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4C9FFAE8" w14:textId="77777777" w:rsidR="00387142" w:rsidRPr="008B6A75" w:rsidRDefault="00387142" w:rsidP="00387142">
            <w:pPr>
              <w:jc w:val="center"/>
              <w:rPr>
                <w:sz w:val="20"/>
                <w:szCs w:val="20"/>
              </w:rPr>
            </w:pPr>
            <w:r w:rsidRPr="008B6A75">
              <w:rPr>
                <w:sz w:val="20"/>
                <w:szCs w:val="20"/>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3069821B" w14:textId="77777777" w:rsidR="00387142" w:rsidRPr="008B6A75" w:rsidRDefault="00387142" w:rsidP="00387142">
            <w:pPr>
              <w:jc w:val="center"/>
              <w:rPr>
                <w:sz w:val="20"/>
                <w:szCs w:val="20"/>
              </w:rPr>
            </w:pPr>
            <w:r w:rsidRPr="008B6A75">
              <w:rPr>
                <w:sz w:val="20"/>
                <w:szCs w:val="20"/>
              </w:rPr>
              <w:t>07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B107E5" w14:textId="77777777" w:rsidR="00387142" w:rsidRPr="008B6A75" w:rsidRDefault="00387142" w:rsidP="00387142">
            <w:pPr>
              <w:jc w:val="center"/>
              <w:rPr>
                <w:sz w:val="20"/>
                <w:szCs w:val="20"/>
              </w:rPr>
            </w:pPr>
            <w:r w:rsidRPr="008B6A75">
              <w:rPr>
                <w:sz w:val="20"/>
                <w:szCs w:val="20"/>
              </w:rPr>
              <w:t>01</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5488BDF9" w14:textId="77777777" w:rsidR="00387142" w:rsidRPr="008B6A75" w:rsidRDefault="00387142" w:rsidP="00387142">
            <w:pPr>
              <w:jc w:val="center"/>
              <w:rPr>
                <w:sz w:val="20"/>
                <w:szCs w:val="20"/>
              </w:rPr>
            </w:pPr>
            <w:r w:rsidRPr="008B6A75">
              <w:rPr>
                <w:sz w:val="20"/>
                <w:szCs w:val="20"/>
              </w:rPr>
              <w:t>07.1.00.07190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ECD4DF" w14:textId="77777777" w:rsidR="00387142" w:rsidRPr="008B6A75" w:rsidRDefault="00387142" w:rsidP="00387142">
            <w:pPr>
              <w:jc w:val="center"/>
              <w:rPr>
                <w:sz w:val="20"/>
                <w:szCs w:val="20"/>
              </w:rPr>
            </w:pPr>
            <w:r w:rsidRPr="008B6A75">
              <w:rPr>
                <w:sz w:val="20"/>
                <w:szCs w:val="20"/>
              </w:rPr>
              <w:t>240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AF3991" w14:textId="77777777" w:rsidR="00387142" w:rsidRPr="008B6A75" w:rsidRDefault="00387142" w:rsidP="00387142">
            <w:pPr>
              <w:jc w:val="right"/>
              <w:rPr>
                <w:sz w:val="20"/>
                <w:szCs w:val="20"/>
              </w:rPr>
            </w:pPr>
            <w:r w:rsidRPr="008B6A75">
              <w:rPr>
                <w:sz w:val="20"/>
                <w:szCs w:val="20"/>
              </w:rPr>
              <w:t>79 486 543,02</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11403F41" w14:textId="77777777" w:rsidR="00387142" w:rsidRPr="008B6A75" w:rsidRDefault="00387142" w:rsidP="00387142">
            <w:pPr>
              <w:jc w:val="right"/>
              <w:rPr>
                <w:sz w:val="20"/>
                <w:szCs w:val="20"/>
              </w:rPr>
            </w:pPr>
            <w:r w:rsidRPr="008B6A75">
              <w:rPr>
                <w:sz w:val="20"/>
                <w:szCs w:val="20"/>
              </w:rPr>
              <w:t>67 530 385,64</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C75057" w14:textId="77777777" w:rsidR="00387142" w:rsidRPr="008B6A75" w:rsidRDefault="00387142" w:rsidP="00387142">
            <w:pPr>
              <w:jc w:val="right"/>
              <w:rPr>
                <w:sz w:val="20"/>
                <w:szCs w:val="20"/>
              </w:rPr>
            </w:pPr>
            <w:r w:rsidRPr="008B6A75">
              <w:rPr>
                <w:sz w:val="20"/>
                <w:szCs w:val="20"/>
              </w:rPr>
              <w:t>69 103 419,00</w:t>
            </w:r>
          </w:p>
        </w:tc>
        <w:tc>
          <w:tcPr>
            <w:tcW w:w="222" w:type="dxa"/>
            <w:vAlign w:val="center"/>
            <w:hideMark/>
          </w:tcPr>
          <w:p w14:paraId="41620E7E" w14:textId="77777777" w:rsidR="00387142" w:rsidRPr="008B6A75" w:rsidRDefault="00387142" w:rsidP="00387142">
            <w:pPr>
              <w:rPr>
                <w:sz w:val="20"/>
                <w:szCs w:val="20"/>
              </w:rPr>
            </w:pPr>
          </w:p>
        </w:tc>
      </w:tr>
      <w:tr w:rsidR="00387142" w:rsidRPr="008B6A75" w14:paraId="3E18D276" w14:textId="77777777" w:rsidTr="00387142">
        <w:trPr>
          <w:trHeight w:val="300"/>
        </w:trPr>
        <w:tc>
          <w:tcPr>
            <w:tcW w:w="3021" w:type="dxa"/>
            <w:tcBorders>
              <w:top w:val="nil"/>
              <w:left w:val="single" w:sz="4" w:space="0" w:color="auto"/>
              <w:bottom w:val="nil"/>
              <w:right w:val="nil"/>
            </w:tcBorders>
            <w:shd w:val="clear" w:color="auto" w:fill="auto"/>
            <w:vAlign w:val="center"/>
            <w:hideMark/>
          </w:tcPr>
          <w:p w14:paraId="59D12DE9" w14:textId="77777777" w:rsidR="00387142" w:rsidRPr="008B6A75" w:rsidRDefault="00387142" w:rsidP="00387142">
            <w:pPr>
              <w:rPr>
                <w:sz w:val="20"/>
                <w:szCs w:val="20"/>
              </w:rPr>
            </w:pPr>
            <w:r w:rsidRPr="008B6A75">
              <w:rPr>
                <w:sz w:val="20"/>
                <w:szCs w:val="20"/>
              </w:rPr>
              <w:lastRenderedPageBreak/>
              <w:t>Иные бюджетные ассигнования</w:t>
            </w:r>
          </w:p>
        </w:tc>
        <w:tc>
          <w:tcPr>
            <w:tcW w:w="850" w:type="dxa"/>
            <w:tcBorders>
              <w:top w:val="nil"/>
              <w:left w:val="single" w:sz="4" w:space="0" w:color="auto"/>
              <w:bottom w:val="nil"/>
              <w:right w:val="nil"/>
            </w:tcBorders>
            <w:shd w:val="clear" w:color="auto" w:fill="auto"/>
            <w:noWrap/>
            <w:vAlign w:val="center"/>
            <w:hideMark/>
          </w:tcPr>
          <w:p w14:paraId="48DB2606" w14:textId="77777777" w:rsidR="00387142" w:rsidRPr="008B6A75" w:rsidRDefault="00387142" w:rsidP="00387142">
            <w:pPr>
              <w:jc w:val="center"/>
              <w:rPr>
                <w:sz w:val="20"/>
                <w:szCs w:val="20"/>
              </w:rPr>
            </w:pPr>
            <w:r w:rsidRPr="008B6A75">
              <w:rPr>
                <w:sz w:val="20"/>
                <w:szCs w:val="20"/>
              </w:rPr>
              <w:t>444</w:t>
            </w:r>
          </w:p>
        </w:tc>
        <w:tc>
          <w:tcPr>
            <w:tcW w:w="709" w:type="dxa"/>
            <w:tcBorders>
              <w:top w:val="nil"/>
              <w:left w:val="single" w:sz="4" w:space="0" w:color="auto"/>
              <w:bottom w:val="nil"/>
              <w:right w:val="nil"/>
            </w:tcBorders>
            <w:shd w:val="clear" w:color="auto" w:fill="auto"/>
            <w:noWrap/>
            <w:vAlign w:val="center"/>
            <w:hideMark/>
          </w:tcPr>
          <w:p w14:paraId="1A4EA0FA" w14:textId="77777777" w:rsidR="00387142" w:rsidRPr="008B6A75" w:rsidRDefault="00387142" w:rsidP="00387142">
            <w:pPr>
              <w:jc w:val="center"/>
              <w:rPr>
                <w:sz w:val="20"/>
                <w:szCs w:val="20"/>
              </w:rPr>
            </w:pPr>
            <w:r w:rsidRPr="008B6A75">
              <w:rPr>
                <w:sz w:val="20"/>
                <w:szCs w:val="20"/>
              </w:rPr>
              <w:t>07</w:t>
            </w:r>
          </w:p>
        </w:tc>
        <w:tc>
          <w:tcPr>
            <w:tcW w:w="709" w:type="dxa"/>
            <w:tcBorders>
              <w:top w:val="nil"/>
              <w:left w:val="single" w:sz="4" w:space="0" w:color="auto"/>
              <w:bottom w:val="nil"/>
              <w:right w:val="single" w:sz="4" w:space="0" w:color="auto"/>
            </w:tcBorders>
            <w:shd w:val="clear" w:color="auto" w:fill="auto"/>
            <w:noWrap/>
            <w:vAlign w:val="center"/>
            <w:hideMark/>
          </w:tcPr>
          <w:p w14:paraId="558266C5" w14:textId="77777777" w:rsidR="00387142" w:rsidRPr="008B6A75" w:rsidRDefault="00387142" w:rsidP="00387142">
            <w:pPr>
              <w:jc w:val="center"/>
              <w:rPr>
                <w:sz w:val="20"/>
                <w:szCs w:val="20"/>
              </w:rPr>
            </w:pPr>
            <w:r w:rsidRPr="008B6A75">
              <w:rPr>
                <w:sz w:val="20"/>
                <w:szCs w:val="20"/>
              </w:rPr>
              <w:t>01</w:t>
            </w:r>
          </w:p>
        </w:tc>
        <w:tc>
          <w:tcPr>
            <w:tcW w:w="1411" w:type="dxa"/>
            <w:tcBorders>
              <w:top w:val="nil"/>
              <w:left w:val="single" w:sz="4" w:space="0" w:color="auto"/>
              <w:bottom w:val="nil"/>
              <w:right w:val="nil"/>
            </w:tcBorders>
            <w:shd w:val="clear" w:color="auto" w:fill="auto"/>
            <w:noWrap/>
            <w:vAlign w:val="center"/>
            <w:hideMark/>
          </w:tcPr>
          <w:p w14:paraId="06AD6624" w14:textId="77777777" w:rsidR="00387142" w:rsidRPr="008B6A75" w:rsidRDefault="00387142" w:rsidP="00387142">
            <w:pPr>
              <w:jc w:val="center"/>
              <w:rPr>
                <w:sz w:val="20"/>
                <w:szCs w:val="20"/>
              </w:rPr>
            </w:pPr>
            <w:r w:rsidRPr="008B6A75">
              <w:rPr>
                <w:sz w:val="20"/>
                <w:szCs w:val="20"/>
              </w:rPr>
              <w:t>07.1.00.07190</w:t>
            </w:r>
          </w:p>
        </w:tc>
        <w:tc>
          <w:tcPr>
            <w:tcW w:w="955" w:type="dxa"/>
            <w:tcBorders>
              <w:top w:val="nil"/>
              <w:left w:val="single" w:sz="4" w:space="0" w:color="auto"/>
              <w:bottom w:val="nil"/>
              <w:right w:val="single" w:sz="4" w:space="0" w:color="auto"/>
            </w:tcBorders>
            <w:shd w:val="clear" w:color="auto" w:fill="auto"/>
            <w:noWrap/>
            <w:vAlign w:val="center"/>
            <w:hideMark/>
          </w:tcPr>
          <w:p w14:paraId="45342CFF" w14:textId="77777777" w:rsidR="00387142" w:rsidRPr="008B6A75" w:rsidRDefault="00387142" w:rsidP="00387142">
            <w:pPr>
              <w:jc w:val="center"/>
              <w:rPr>
                <w:sz w:val="20"/>
                <w:szCs w:val="20"/>
              </w:rPr>
            </w:pPr>
            <w:r w:rsidRPr="008B6A75">
              <w:rPr>
                <w:sz w:val="20"/>
                <w:szCs w:val="20"/>
              </w:rPr>
              <w:t>800</w:t>
            </w:r>
          </w:p>
        </w:tc>
        <w:tc>
          <w:tcPr>
            <w:tcW w:w="992" w:type="dxa"/>
            <w:tcBorders>
              <w:top w:val="nil"/>
              <w:left w:val="single" w:sz="4" w:space="0" w:color="auto"/>
              <w:bottom w:val="nil"/>
              <w:right w:val="single" w:sz="4" w:space="0" w:color="auto"/>
            </w:tcBorders>
            <w:shd w:val="clear" w:color="auto" w:fill="auto"/>
            <w:noWrap/>
            <w:vAlign w:val="center"/>
            <w:hideMark/>
          </w:tcPr>
          <w:p w14:paraId="7DAF1C22" w14:textId="77777777" w:rsidR="00387142" w:rsidRPr="008B6A75" w:rsidRDefault="00387142" w:rsidP="00387142">
            <w:pPr>
              <w:jc w:val="right"/>
              <w:rPr>
                <w:sz w:val="20"/>
                <w:szCs w:val="20"/>
              </w:rPr>
            </w:pPr>
            <w:r w:rsidRPr="008B6A75">
              <w:rPr>
                <w:sz w:val="20"/>
                <w:szCs w:val="20"/>
              </w:rPr>
              <w:t>3 374 023,71</w:t>
            </w:r>
          </w:p>
        </w:tc>
        <w:tc>
          <w:tcPr>
            <w:tcW w:w="992" w:type="dxa"/>
            <w:gridSpan w:val="2"/>
            <w:tcBorders>
              <w:top w:val="nil"/>
              <w:left w:val="single" w:sz="4" w:space="0" w:color="auto"/>
              <w:bottom w:val="nil"/>
              <w:right w:val="nil"/>
            </w:tcBorders>
            <w:shd w:val="clear" w:color="auto" w:fill="auto"/>
            <w:noWrap/>
            <w:vAlign w:val="center"/>
            <w:hideMark/>
          </w:tcPr>
          <w:p w14:paraId="41D73AF7" w14:textId="77777777" w:rsidR="00387142" w:rsidRPr="008B6A75" w:rsidRDefault="00387142" w:rsidP="00387142">
            <w:pPr>
              <w:jc w:val="right"/>
              <w:rPr>
                <w:sz w:val="20"/>
                <w:szCs w:val="20"/>
              </w:rPr>
            </w:pPr>
            <w:r w:rsidRPr="008B6A75">
              <w:rPr>
                <w:sz w:val="20"/>
                <w:szCs w:val="20"/>
              </w:rPr>
              <w:t>0,00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78FDDDE2" w14:textId="77777777" w:rsidR="00387142" w:rsidRPr="008B6A75" w:rsidRDefault="00387142" w:rsidP="00387142">
            <w:pPr>
              <w:jc w:val="right"/>
              <w:rPr>
                <w:sz w:val="20"/>
                <w:szCs w:val="20"/>
              </w:rPr>
            </w:pPr>
            <w:r w:rsidRPr="008B6A75">
              <w:rPr>
                <w:sz w:val="20"/>
                <w:szCs w:val="20"/>
              </w:rPr>
              <w:t>0,00</w:t>
            </w:r>
          </w:p>
        </w:tc>
        <w:tc>
          <w:tcPr>
            <w:tcW w:w="222" w:type="dxa"/>
            <w:vAlign w:val="center"/>
            <w:hideMark/>
          </w:tcPr>
          <w:p w14:paraId="3E36243B" w14:textId="77777777" w:rsidR="00387142" w:rsidRPr="008B6A75" w:rsidRDefault="00387142" w:rsidP="00387142">
            <w:pPr>
              <w:rPr>
                <w:sz w:val="20"/>
                <w:szCs w:val="20"/>
              </w:rPr>
            </w:pPr>
          </w:p>
        </w:tc>
      </w:tr>
      <w:tr w:rsidR="00387142" w:rsidRPr="008B6A75" w14:paraId="2A5F104F" w14:textId="77777777" w:rsidTr="00387142">
        <w:trPr>
          <w:trHeight w:val="300"/>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594EC957" w14:textId="77777777" w:rsidR="00387142" w:rsidRPr="008B6A75" w:rsidRDefault="00387142" w:rsidP="00387142">
            <w:pPr>
              <w:rPr>
                <w:sz w:val="20"/>
                <w:szCs w:val="20"/>
              </w:rPr>
            </w:pPr>
            <w:r w:rsidRPr="008B6A75">
              <w:rPr>
                <w:sz w:val="20"/>
                <w:szCs w:val="20"/>
              </w:rPr>
              <w:t>Уплата налогов, сборов и иных платежей</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3E8EEB98" w14:textId="77777777" w:rsidR="00387142" w:rsidRPr="008B6A75" w:rsidRDefault="00387142" w:rsidP="00387142">
            <w:pPr>
              <w:jc w:val="center"/>
              <w:rPr>
                <w:sz w:val="20"/>
                <w:szCs w:val="20"/>
              </w:rPr>
            </w:pPr>
            <w:r w:rsidRPr="008B6A75">
              <w:rPr>
                <w:sz w:val="20"/>
                <w:szCs w:val="20"/>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0BF0E9A8" w14:textId="77777777" w:rsidR="00387142" w:rsidRPr="008B6A75" w:rsidRDefault="00387142" w:rsidP="00387142">
            <w:pPr>
              <w:jc w:val="center"/>
              <w:rPr>
                <w:sz w:val="20"/>
                <w:szCs w:val="20"/>
              </w:rPr>
            </w:pPr>
            <w:r w:rsidRPr="008B6A75">
              <w:rPr>
                <w:sz w:val="20"/>
                <w:szCs w:val="20"/>
              </w:rPr>
              <w:t>07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4097CA" w14:textId="77777777" w:rsidR="00387142" w:rsidRPr="008B6A75" w:rsidRDefault="00387142" w:rsidP="00387142">
            <w:pPr>
              <w:jc w:val="center"/>
              <w:rPr>
                <w:sz w:val="20"/>
                <w:szCs w:val="20"/>
              </w:rPr>
            </w:pPr>
            <w:r w:rsidRPr="008B6A75">
              <w:rPr>
                <w:sz w:val="20"/>
                <w:szCs w:val="20"/>
              </w:rPr>
              <w:t>01</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2D0BFE58" w14:textId="77777777" w:rsidR="00387142" w:rsidRPr="008B6A75" w:rsidRDefault="00387142" w:rsidP="00387142">
            <w:pPr>
              <w:jc w:val="center"/>
              <w:rPr>
                <w:sz w:val="20"/>
                <w:szCs w:val="20"/>
              </w:rPr>
            </w:pPr>
            <w:r w:rsidRPr="008B6A75">
              <w:rPr>
                <w:sz w:val="20"/>
                <w:szCs w:val="20"/>
              </w:rPr>
              <w:t>07.1.00.07190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294744" w14:textId="77777777" w:rsidR="00387142" w:rsidRPr="008B6A75" w:rsidRDefault="00387142" w:rsidP="00387142">
            <w:pPr>
              <w:jc w:val="center"/>
              <w:rPr>
                <w:sz w:val="20"/>
                <w:szCs w:val="20"/>
              </w:rPr>
            </w:pPr>
            <w:r w:rsidRPr="008B6A75">
              <w:rPr>
                <w:sz w:val="20"/>
                <w:szCs w:val="20"/>
              </w:rPr>
              <w:t>850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9FD89E" w14:textId="77777777" w:rsidR="00387142" w:rsidRPr="008B6A75" w:rsidRDefault="00387142" w:rsidP="00387142">
            <w:pPr>
              <w:jc w:val="right"/>
              <w:rPr>
                <w:sz w:val="20"/>
                <w:szCs w:val="20"/>
              </w:rPr>
            </w:pPr>
            <w:r w:rsidRPr="008B6A75">
              <w:rPr>
                <w:sz w:val="20"/>
                <w:szCs w:val="20"/>
              </w:rPr>
              <w:t>3 374 023,71</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3145E1DE" w14:textId="77777777" w:rsidR="00387142" w:rsidRPr="008B6A75" w:rsidRDefault="00387142" w:rsidP="00387142">
            <w:pPr>
              <w:jc w:val="right"/>
              <w:rPr>
                <w:sz w:val="20"/>
                <w:szCs w:val="20"/>
              </w:rPr>
            </w:pPr>
            <w:r w:rsidRPr="008B6A75">
              <w:rPr>
                <w:sz w:val="20"/>
                <w:szCs w:val="20"/>
              </w:rPr>
              <w:t>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F6CB87" w14:textId="77777777" w:rsidR="00387142" w:rsidRPr="008B6A75" w:rsidRDefault="00387142" w:rsidP="00387142">
            <w:pPr>
              <w:jc w:val="right"/>
              <w:rPr>
                <w:sz w:val="20"/>
                <w:szCs w:val="20"/>
              </w:rPr>
            </w:pPr>
            <w:r w:rsidRPr="008B6A75">
              <w:rPr>
                <w:sz w:val="20"/>
                <w:szCs w:val="20"/>
              </w:rPr>
              <w:t>0,00</w:t>
            </w:r>
          </w:p>
        </w:tc>
        <w:tc>
          <w:tcPr>
            <w:tcW w:w="222" w:type="dxa"/>
            <w:vAlign w:val="center"/>
            <w:hideMark/>
          </w:tcPr>
          <w:p w14:paraId="76EAD7A0" w14:textId="77777777" w:rsidR="00387142" w:rsidRPr="008B6A75" w:rsidRDefault="00387142" w:rsidP="00387142">
            <w:pPr>
              <w:rPr>
                <w:sz w:val="20"/>
                <w:szCs w:val="20"/>
              </w:rPr>
            </w:pPr>
          </w:p>
        </w:tc>
      </w:tr>
      <w:tr w:rsidR="00387142" w:rsidRPr="008B6A75" w14:paraId="05F38929" w14:textId="77777777" w:rsidTr="00387142">
        <w:trPr>
          <w:trHeight w:val="870"/>
        </w:trPr>
        <w:tc>
          <w:tcPr>
            <w:tcW w:w="3021" w:type="dxa"/>
            <w:tcBorders>
              <w:top w:val="nil"/>
              <w:left w:val="single" w:sz="4" w:space="0" w:color="auto"/>
              <w:bottom w:val="nil"/>
              <w:right w:val="nil"/>
            </w:tcBorders>
            <w:shd w:val="clear" w:color="auto" w:fill="auto"/>
            <w:vAlign w:val="center"/>
            <w:hideMark/>
          </w:tcPr>
          <w:p w14:paraId="1C0171DB" w14:textId="77777777" w:rsidR="00387142" w:rsidRPr="008B6A75" w:rsidRDefault="00387142" w:rsidP="00387142">
            <w:pPr>
              <w:rPr>
                <w:bCs/>
                <w:sz w:val="20"/>
                <w:szCs w:val="20"/>
              </w:rPr>
            </w:pPr>
            <w:r w:rsidRPr="008B6A75">
              <w:rPr>
                <w:bCs/>
                <w:sz w:val="20"/>
                <w:szCs w:val="20"/>
              </w:rPr>
              <w:t>Расходы на обеспечение деятельности (оказание услуг) муниципальных учреждений дополнительного образования</w:t>
            </w:r>
          </w:p>
        </w:tc>
        <w:tc>
          <w:tcPr>
            <w:tcW w:w="850" w:type="dxa"/>
            <w:tcBorders>
              <w:top w:val="nil"/>
              <w:left w:val="single" w:sz="4" w:space="0" w:color="auto"/>
              <w:bottom w:val="nil"/>
              <w:right w:val="nil"/>
            </w:tcBorders>
            <w:shd w:val="clear" w:color="auto" w:fill="auto"/>
            <w:noWrap/>
            <w:vAlign w:val="center"/>
            <w:hideMark/>
          </w:tcPr>
          <w:p w14:paraId="7E799926" w14:textId="77777777" w:rsidR="00387142" w:rsidRPr="008B6A75" w:rsidRDefault="00387142" w:rsidP="00387142">
            <w:pPr>
              <w:jc w:val="center"/>
              <w:rPr>
                <w:bCs/>
                <w:sz w:val="20"/>
                <w:szCs w:val="20"/>
              </w:rPr>
            </w:pPr>
            <w:r w:rsidRPr="008B6A75">
              <w:rPr>
                <w:bCs/>
                <w:sz w:val="20"/>
                <w:szCs w:val="20"/>
              </w:rPr>
              <w:t>444</w:t>
            </w:r>
          </w:p>
        </w:tc>
        <w:tc>
          <w:tcPr>
            <w:tcW w:w="709" w:type="dxa"/>
            <w:tcBorders>
              <w:top w:val="nil"/>
              <w:left w:val="single" w:sz="4" w:space="0" w:color="auto"/>
              <w:bottom w:val="nil"/>
              <w:right w:val="nil"/>
            </w:tcBorders>
            <w:shd w:val="clear" w:color="auto" w:fill="auto"/>
            <w:noWrap/>
            <w:vAlign w:val="center"/>
            <w:hideMark/>
          </w:tcPr>
          <w:p w14:paraId="19F548A8" w14:textId="77777777" w:rsidR="00387142" w:rsidRPr="008B6A75" w:rsidRDefault="00387142" w:rsidP="00387142">
            <w:pPr>
              <w:jc w:val="center"/>
              <w:rPr>
                <w:bCs/>
                <w:sz w:val="20"/>
                <w:szCs w:val="20"/>
              </w:rPr>
            </w:pPr>
            <w:r w:rsidRPr="008B6A75">
              <w:rPr>
                <w:bCs/>
                <w:sz w:val="20"/>
                <w:szCs w:val="20"/>
              </w:rPr>
              <w:t>07</w:t>
            </w:r>
          </w:p>
        </w:tc>
        <w:tc>
          <w:tcPr>
            <w:tcW w:w="709" w:type="dxa"/>
            <w:tcBorders>
              <w:top w:val="nil"/>
              <w:left w:val="single" w:sz="4" w:space="0" w:color="auto"/>
              <w:bottom w:val="nil"/>
              <w:right w:val="single" w:sz="4" w:space="0" w:color="auto"/>
            </w:tcBorders>
            <w:shd w:val="clear" w:color="auto" w:fill="auto"/>
            <w:noWrap/>
            <w:vAlign w:val="center"/>
            <w:hideMark/>
          </w:tcPr>
          <w:p w14:paraId="71F126A0" w14:textId="77777777" w:rsidR="00387142" w:rsidRPr="008B6A75" w:rsidRDefault="00387142" w:rsidP="00387142">
            <w:pPr>
              <w:jc w:val="center"/>
              <w:rPr>
                <w:bCs/>
                <w:sz w:val="20"/>
                <w:szCs w:val="20"/>
              </w:rPr>
            </w:pPr>
            <w:r w:rsidRPr="008B6A75">
              <w:rPr>
                <w:bCs/>
                <w:sz w:val="20"/>
                <w:szCs w:val="20"/>
              </w:rPr>
              <w:t>01</w:t>
            </w:r>
          </w:p>
        </w:tc>
        <w:tc>
          <w:tcPr>
            <w:tcW w:w="1411" w:type="dxa"/>
            <w:tcBorders>
              <w:top w:val="nil"/>
              <w:left w:val="single" w:sz="4" w:space="0" w:color="auto"/>
              <w:bottom w:val="nil"/>
              <w:right w:val="nil"/>
            </w:tcBorders>
            <w:shd w:val="clear" w:color="auto" w:fill="auto"/>
            <w:noWrap/>
            <w:vAlign w:val="center"/>
            <w:hideMark/>
          </w:tcPr>
          <w:p w14:paraId="4B63C0E9" w14:textId="77777777" w:rsidR="00387142" w:rsidRPr="008B6A75" w:rsidRDefault="00387142" w:rsidP="00387142">
            <w:pPr>
              <w:jc w:val="center"/>
              <w:rPr>
                <w:bCs/>
                <w:sz w:val="20"/>
                <w:szCs w:val="20"/>
              </w:rPr>
            </w:pPr>
            <w:r w:rsidRPr="008B6A75">
              <w:rPr>
                <w:bCs/>
                <w:sz w:val="20"/>
                <w:szCs w:val="20"/>
              </w:rPr>
              <w:t>07.1.00.07490</w:t>
            </w:r>
          </w:p>
        </w:tc>
        <w:tc>
          <w:tcPr>
            <w:tcW w:w="955" w:type="dxa"/>
            <w:tcBorders>
              <w:top w:val="nil"/>
              <w:left w:val="single" w:sz="4" w:space="0" w:color="auto"/>
              <w:bottom w:val="nil"/>
              <w:right w:val="single" w:sz="4" w:space="0" w:color="auto"/>
            </w:tcBorders>
            <w:shd w:val="clear" w:color="auto" w:fill="auto"/>
            <w:noWrap/>
            <w:vAlign w:val="center"/>
            <w:hideMark/>
          </w:tcPr>
          <w:p w14:paraId="4CEC7CFE"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nil"/>
              <w:right w:val="single" w:sz="4" w:space="0" w:color="auto"/>
            </w:tcBorders>
            <w:shd w:val="clear" w:color="auto" w:fill="auto"/>
            <w:noWrap/>
            <w:vAlign w:val="center"/>
            <w:hideMark/>
          </w:tcPr>
          <w:p w14:paraId="2783E7A7" w14:textId="77777777" w:rsidR="00387142" w:rsidRPr="008B6A75" w:rsidRDefault="00387142" w:rsidP="00387142">
            <w:pPr>
              <w:jc w:val="right"/>
              <w:rPr>
                <w:bCs/>
                <w:sz w:val="20"/>
                <w:szCs w:val="20"/>
              </w:rPr>
            </w:pPr>
            <w:r w:rsidRPr="008B6A75">
              <w:rPr>
                <w:bCs/>
                <w:sz w:val="20"/>
                <w:szCs w:val="20"/>
              </w:rPr>
              <w:t>1 985 433,71</w:t>
            </w:r>
          </w:p>
        </w:tc>
        <w:tc>
          <w:tcPr>
            <w:tcW w:w="992" w:type="dxa"/>
            <w:gridSpan w:val="2"/>
            <w:tcBorders>
              <w:top w:val="nil"/>
              <w:left w:val="single" w:sz="4" w:space="0" w:color="auto"/>
              <w:bottom w:val="nil"/>
              <w:right w:val="nil"/>
            </w:tcBorders>
            <w:shd w:val="clear" w:color="auto" w:fill="auto"/>
            <w:noWrap/>
            <w:vAlign w:val="center"/>
            <w:hideMark/>
          </w:tcPr>
          <w:p w14:paraId="0A5AC12C" w14:textId="77777777" w:rsidR="00387142" w:rsidRPr="008B6A75" w:rsidRDefault="00387142" w:rsidP="00387142">
            <w:pPr>
              <w:jc w:val="right"/>
              <w:rPr>
                <w:bCs/>
                <w:sz w:val="20"/>
                <w:szCs w:val="20"/>
              </w:rPr>
            </w:pPr>
            <w:r w:rsidRPr="008B6A75">
              <w:rPr>
                <w:bCs/>
                <w:sz w:val="20"/>
                <w:szCs w:val="20"/>
              </w:rPr>
              <w:t>0,00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56B15DBF" w14:textId="77777777" w:rsidR="00387142" w:rsidRPr="008B6A75" w:rsidRDefault="00387142" w:rsidP="00387142">
            <w:pPr>
              <w:jc w:val="right"/>
              <w:rPr>
                <w:bCs/>
                <w:sz w:val="20"/>
                <w:szCs w:val="20"/>
              </w:rPr>
            </w:pPr>
            <w:r w:rsidRPr="008B6A75">
              <w:rPr>
                <w:bCs/>
                <w:sz w:val="20"/>
                <w:szCs w:val="20"/>
              </w:rPr>
              <w:t>0,00</w:t>
            </w:r>
          </w:p>
        </w:tc>
        <w:tc>
          <w:tcPr>
            <w:tcW w:w="222" w:type="dxa"/>
            <w:vAlign w:val="center"/>
            <w:hideMark/>
          </w:tcPr>
          <w:p w14:paraId="6D663B08" w14:textId="77777777" w:rsidR="00387142" w:rsidRPr="008B6A75" w:rsidRDefault="00387142" w:rsidP="00387142">
            <w:pPr>
              <w:rPr>
                <w:sz w:val="20"/>
                <w:szCs w:val="20"/>
              </w:rPr>
            </w:pPr>
          </w:p>
        </w:tc>
      </w:tr>
      <w:tr w:rsidR="00387142" w:rsidRPr="008B6A75" w14:paraId="0253030B" w14:textId="77777777" w:rsidTr="00387142">
        <w:trPr>
          <w:trHeight w:val="1440"/>
        </w:trPr>
        <w:tc>
          <w:tcPr>
            <w:tcW w:w="3021" w:type="dxa"/>
            <w:tcBorders>
              <w:top w:val="single" w:sz="4" w:space="0" w:color="auto"/>
              <w:left w:val="single" w:sz="4" w:space="0" w:color="auto"/>
              <w:bottom w:val="nil"/>
              <w:right w:val="nil"/>
            </w:tcBorders>
            <w:shd w:val="clear" w:color="auto" w:fill="auto"/>
            <w:vAlign w:val="center"/>
            <w:hideMark/>
          </w:tcPr>
          <w:p w14:paraId="6AE1A90F" w14:textId="77777777" w:rsidR="00387142" w:rsidRPr="008B6A75" w:rsidRDefault="00387142" w:rsidP="00387142">
            <w:pPr>
              <w:rPr>
                <w:sz w:val="20"/>
                <w:szCs w:val="20"/>
              </w:rPr>
            </w:pPr>
            <w:r w:rsidRPr="008B6A7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nil"/>
              <w:right w:val="nil"/>
            </w:tcBorders>
            <w:shd w:val="clear" w:color="auto" w:fill="auto"/>
            <w:noWrap/>
            <w:vAlign w:val="center"/>
            <w:hideMark/>
          </w:tcPr>
          <w:p w14:paraId="6E1F8302" w14:textId="77777777" w:rsidR="00387142" w:rsidRPr="008B6A75" w:rsidRDefault="00387142" w:rsidP="00387142">
            <w:pPr>
              <w:jc w:val="center"/>
              <w:rPr>
                <w:sz w:val="20"/>
                <w:szCs w:val="20"/>
              </w:rPr>
            </w:pPr>
            <w:r w:rsidRPr="008B6A75">
              <w:rPr>
                <w:sz w:val="20"/>
                <w:szCs w:val="20"/>
              </w:rPr>
              <w:t>444</w:t>
            </w:r>
          </w:p>
        </w:tc>
        <w:tc>
          <w:tcPr>
            <w:tcW w:w="709" w:type="dxa"/>
            <w:tcBorders>
              <w:top w:val="single" w:sz="4" w:space="0" w:color="auto"/>
              <w:left w:val="single" w:sz="4" w:space="0" w:color="auto"/>
              <w:bottom w:val="nil"/>
              <w:right w:val="nil"/>
            </w:tcBorders>
            <w:shd w:val="clear" w:color="auto" w:fill="auto"/>
            <w:noWrap/>
            <w:vAlign w:val="center"/>
            <w:hideMark/>
          </w:tcPr>
          <w:p w14:paraId="49F1C68F" w14:textId="77777777" w:rsidR="00387142" w:rsidRPr="008B6A75" w:rsidRDefault="00387142" w:rsidP="00387142">
            <w:pPr>
              <w:jc w:val="center"/>
              <w:rPr>
                <w:sz w:val="20"/>
                <w:szCs w:val="20"/>
              </w:rPr>
            </w:pPr>
            <w:r w:rsidRPr="008B6A75">
              <w:rPr>
                <w:sz w:val="20"/>
                <w:szCs w:val="20"/>
              </w:rPr>
              <w:t>07</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5B5B25E7" w14:textId="77777777" w:rsidR="00387142" w:rsidRPr="008B6A75" w:rsidRDefault="00387142" w:rsidP="00387142">
            <w:pPr>
              <w:jc w:val="center"/>
              <w:rPr>
                <w:sz w:val="20"/>
                <w:szCs w:val="20"/>
              </w:rPr>
            </w:pPr>
            <w:r w:rsidRPr="008B6A75">
              <w:rPr>
                <w:sz w:val="20"/>
                <w:szCs w:val="20"/>
              </w:rPr>
              <w:t>01</w:t>
            </w:r>
          </w:p>
        </w:tc>
        <w:tc>
          <w:tcPr>
            <w:tcW w:w="1411" w:type="dxa"/>
            <w:tcBorders>
              <w:top w:val="single" w:sz="4" w:space="0" w:color="auto"/>
              <w:left w:val="single" w:sz="4" w:space="0" w:color="auto"/>
              <w:bottom w:val="nil"/>
              <w:right w:val="nil"/>
            </w:tcBorders>
            <w:shd w:val="clear" w:color="auto" w:fill="auto"/>
            <w:noWrap/>
            <w:vAlign w:val="center"/>
            <w:hideMark/>
          </w:tcPr>
          <w:p w14:paraId="52C9F379" w14:textId="77777777" w:rsidR="00387142" w:rsidRPr="008B6A75" w:rsidRDefault="00387142" w:rsidP="00387142">
            <w:pPr>
              <w:jc w:val="center"/>
              <w:rPr>
                <w:sz w:val="20"/>
                <w:szCs w:val="20"/>
              </w:rPr>
            </w:pPr>
            <w:r w:rsidRPr="008B6A75">
              <w:rPr>
                <w:sz w:val="20"/>
                <w:szCs w:val="20"/>
              </w:rPr>
              <w:t>07.1.00.07490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288E39A8" w14:textId="77777777" w:rsidR="00387142" w:rsidRPr="008B6A75" w:rsidRDefault="00387142" w:rsidP="00387142">
            <w:pPr>
              <w:jc w:val="center"/>
              <w:rPr>
                <w:sz w:val="20"/>
                <w:szCs w:val="20"/>
              </w:rPr>
            </w:pPr>
            <w:r w:rsidRPr="008B6A75">
              <w:rPr>
                <w:sz w:val="20"/>
                <w:szCs w:val="20"/>
              </w:rPr>
              <w:t>100</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7346AD8E" w14:textId="77777777" w:rsidR="00387142" w:rsidRPr="008B6A75" w:rsidRDefault="00387142" w:rsidP="00387142">
            <w:pPr>
              <w:jc w:val="right"/>
              <w:rPr>
                <w:sz w:val="20"/>
                <w:szCs w:val="20"/>
              </w:rPr>
            </w:pPr>
            <w:r w:rsidRPr="008B6A75">
              <w:rPr>
                <w:sz w:val="20"/>
                <w:szCs w:val="20"/>
              </w:rPr>
              <w:t>1 985 433,71</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797D2462" w14:textId="77777777" w:rsidR="00387142" w:rsidRPr="008B6A75" w:rsidRDefault="00387142" w:rsidP="00387142">
            <w:pPr>
              <w:jc w:val="right"/>
              <w:rPr>
                <w:sz w:val="20"/>
                <w:szCs w:val="20"/>
              </w:rPr>
            </w:pPr>
            <w:r w:rsidRPr="008B6A75">
              <w:rPr>
                <w:sz w:val="20"/>
                <w:szCs w:val="20"/>
              </w:rPr>
              <w:t>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50E9B0EC" w14:textId="77777777" w:rsidR="00387142" w:rsidRPr="008B6A75" w:rsidRDefault="00387142" w:rsidP="00387142">
            <w:pPr>
              <w:jc w:val="right"/>
              <w:rPr>
                <w:sz w:val="20"/>
                <w:szCs w:val="20"/>
              </w:rPr>
            </w:pPr>
            <w:r w:rsidRPr="008B6A75">
              <w:rPr>
                <w:sz w:val="20"/>
                <w:szCs w:val="20"/>
              </w:rPr>
              <w:t>0,00</w:t>
            </w:r>
          </w:p>
        </w:tc>
        <w:tc>
          <w:tcPr>
            <w:tcW w:w="222" w:type="dxa"/>
            <w:vAlign w:val="center"/>
            <w:hideMark/>
          </w:tcPr>
          <w:p w14:paraId="3035282D" w14:textId="77777777" w:rsidR="00387142" w:rsidRPr="008B6A75" w:rsidRDefault="00387142" w:rsidP="00387142">
            <w:pPr>
              <w:rPr>
                <w:sz w:val="20"/>
                <w:szCs w:val="20"/>
              </w:rPr>
            </w:pPr>
          </w:p>
        </w:tc>
      </w:tr>
      <w:tr w:rsidR="00387142" w:rsidRPr="008B6A75" w14:paraId="6AF8CDE0" w14:textId="77777777" w:rsidTr="00387142">
        <w:trPr>
          <w:trHeight w:val="585"/>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45A8756B" w14:textId="77777777" w:rsidR="00387142" w:rsidRPr="008B6A75" w:rsidRDefault="00387142" w:rsidP="00387142">
            <w:pPr>
              <w:rPr>
                <w:sz w:val="20"/>
                <w:szCs w:val="20"/>
              </w:rPr>
            </w:pPr>
            <w:r w:rsidRPr="008B6A75">
              <w:rPr>
                <w:sz w:val="20"/>
                <w:szCs w:val="20"/>
              </w:rPr>
              <w:t>Расходы на выплаты персоналу казенных учреждений</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6AAD5B18" w14:textId="77777777" w:rsidR="00387142" w:rsidRPr="008B6A75" w:rsidRDefault="00387142" w:rsidP="00387142">
            <w:pPr>
              <w:jc w:val="center"/>
              <w:rPr>
                <w:sz w:val="20"/>
                <w:szCs w:val="20"/>
              </w:rPr>
            </w:pPr>
            <w:r w:rsidRPr="008B6A75">
              <w:rPr>
                <w:sz w:val="20"/>
                <w:szCs w:val="20"/>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178C94AB" w14:textId="77777777" w:rsidR="00387142" w:rsidRPr="008B6A75" w:rsidRDefault="00387142" w:rsidP="00387142">
            <w:pPr>
              <w:jc w:val="center"/>
              <w:rPr>
                <w:sz w:val="20"/>
                <w:szCs w:val="20"/>
              </w:rPr>
            </w:pPr>
            <w:r w:rsidRPr="008B6A75">
              <w:rPr>
                <w:sz w:val="20"/>
                <w:szCs w:val="20"/>
              </w:rPr>
              <w:t>07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301BA6" w14:textId="77777777" w:rsidR="00387142" w:rsidRPr="008B6A75" w:rsidRDefault="00387142" w:rsidP="00387142">
            <w:pPr>
              <w:jc w:val="center"/>
              <w:rPr>
                <w:sz w:val="20"/>
                <w:szCs w:val="20"/>
              </w:rPr>
            </w:pPr>
            <w:r w:rsidRPr="008B6A75">
              <w:rPr>
                <w:sz w:val="20"/>
                <w:szCs w:val="20"/>
              </w:rPr>
              <w:t>01</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5BA15345" w14:textId="77777777" w:rsidR="00387142" w:rsidRPr="008B6A75" w:rsidRDefault="00387142" w:rsidP="00387142">
            <w:pPr>
              <w:jc w:val="center"/>
              <w:rPr>
                <w:sz w:val="20"/>
                <w:szCs w:val="20"/>
              </w:rPr>
            </w:pPr>
            <w:r w:rsidRPr="008B6A75">
              <w:rPr>
                <w:sz w:val="20"/>
                <w:szCs w:val="20"/>
              </w:rPr>
              <w:t>07.1.00.07490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045F19" w14:textId="77777777" w:rsidR="00387142" w:rsidRPr="008B6A75" w:rsidRDefault="00387142" w:rsidP="00387142">
            <w:pPr>
              <w:jc w:val="center"/>
              <w:rPr>
                <w:sz w:val="20"/>
                <w:szCs w:val="20"/>
              </w:rPr>
            </w:pPr>
            <w:r w:rsidRPr="008B6A75">
              <w:rPr>
                <w:sz w:val="20"/>
                <w:szCs w:val="20"/>
              </w:rPr>
              <w:t>110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C12489" w14:textId="77777777" w:rsidR="00387142" w:rsidRPr="008B6A75" w:rsidRDefault="00387142" w:rsidP="00387142">
            <w:pPr>
              <w:jc w:val="right"/>
              <w:rPr>
                <w:sz w:val="20"/>
                <w:szCs w:val="20"/>
              </w:rPr>
            </w:pPr>
            <w:r w:rsidRPr="008B6A75">
              <w:rPr>
                <w:sz w:val="20"/>
                <w:szCs w:val="20"/>
              </w:rPr>
              <w:t>1 985 433,71</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55A38F88" w14:textId="77777777" w:rsidR="00387142" w:rsidRPr="008B6A75" w:rsidRDefault="00387142" w:rsidP="00387142">
            <w:pPr>
              <w:jc w:val="right"/>
              <w:rPr>
                <w:sz w:val="20"/>
                <w:szCs w:val="20"/>
              </w:rPr>
            </w:pPr>
            <w:r w:rsidRPr="008B6A75">
              <w:rPr>
                <w:sz w:val="20"/>
                <w:szCs w:val="20"/>
              </w:rPr>
              <w:t>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C64698" w14:textId="77777777" w:rsidR="00387142" w:rsidRPr="008B6A75" w:rsidRDefault="00387142" w:rsidP="00387142">
            <w:pPr>
              <w:jc w:val="right"/>
              <w:rPr>
                <w:sz w:val="20"/>
                <w:szCs w:val="20"/>
              </w:rPr>
            </w:pPr>
            <w:r w:rsidRPr="008B6A75">
              <w:rPr>
                <w:sz w:val="20"/>
                <w:szCs w:val="20"/>
              </w:rPr>
              <w:t>0,00</w:t>
            </w:r>
          </w:p>
        </w:tc>
        <w:tc>
          <w:tcPr>
            <w:tcW w:w="222" w:type="dxa"/>
            <w:vAlign w:val="center"/>
            <w:hideMark/>
          </w:tcPr>
          <w:p w14:paraId="178F2E88" w14:textId="77777777" w:rsidR="00387142" w:rsidRPr="008B6A75" w:rsidRDefault="00387142" w:rsidP="00387142">
            <w:pPr>
              <w:rPr>
                <w:sz w:val="20"/>
                <w:szCs w:val="20"/>
              </w:rPr>
            </w:pPr>
          </w:p>
        </w:tc>
      </w:tr>
      <w:tr w:rsidR="00387142" w:rsidRPr="008B6A75" w14:paraId="474B19A8" w14:textId="77777777" w:rsidTr="00387142">
        <w:trPr>
          <w:trHeight w:val="1155"/>
        </w:trPr>
        <w:tc>
          <w:tcPr>
            <w:tcW w:w="3021" w:type="dxa"/>
            <w:tcBorders>
              <w:top w:val="nil"/>
              <w:left w:val="single" w:sz="4" w:space="0" w:color="auto"/>
              <w:bottom w:val="nil"/>
              <w:right w:val="nil"/>
            </w:tcBorders>
            <w:shd w:val="clear" w:color="auto" w:fill="auto"/>
            <w:vAlign w:val="center"/>
            <w:hideMark/>
          </w:tcPr>
          <w:p w14:paraId="65FF0C99" w14:textId="77777777" w:rsidR="00387142" w:rsidRPr="008B6A75" w:rsidRDefault="00387142" w:rsidP="00387142">
            <w:pPr>
              <w:rPr>
                <w:bCs/>
                <w:sz w:val="20"/>
                <w:szCs w:val="20"/>
              </w:rPr>
            </w:pPr>
            <w:r w:rsidRPr="008B6A75">
              <w:rPr>
                <w:bCs/>
                <w:sz w:val="20"/>
                <w:szCs w:val="20"/>
              </w:rPr>
              <w:t>Реализация основных общеобразовательных программ дошкольного образования в муниципальных образовательных организациях</w:t>
            </w:r>
          </w:p>
        </w:tc>
        <w:tc>
          <w:tcPr>
            <w:tcW w:w="850" w:type="dxa"/>
            <w:tcBorders>
              <w:top w:val="nil"/>
              <w:left w:val="single" w:sz="4" w:space="0" w:color="auto"/>
              <w:bottom w:val="nil"/>
              <w:right w:val="nil"/>
            </w:tcBorders>
            <w:shd w:val="clear" w:color="auto" w:fill="auto"/>
            <w:noWrap/>
            <w:vAlign w:val="center"/>
            <w:hideMark/>
          </w:tcPr>
          <w:p w14:paraId="04933E19" w14:textId="77777777" w:rsidR="00387142" w:rsidRPr="008B6A75" w:rsidRDefault="00387142" w:rsidP="00387142">
            <w:pPr>
              <w:jc w:val="center"/>
              <w:rPr>
                <w:bCs/>
                <w:sz w:val="20"/>
                <w:szCs w:val="20"/>
              </w:rPr>
            </w:pPr>
            <w:r w:rsidRPr="008B6A75">
              <w:rPr>
                <w:bCs/>
                <w:sz w:val="20"/>
                <w:szCs w:val="20"/>
              </w:rPr>
              <w:t>444</w:t>
            </w:r>
          </w:p>
        </w:tc>
        <w:tc>
          <w:tcPr>
            <w:tcW w:w="709" w:type="dxa"/>
            <w:tcBorders>
              <w:top w:val="nil"/>
              <w:left w:val="single" w:sz="4" w:space="0" w:color="auto"/>
              <w:bottom w:val="nil"/>
              <w:right w:val="nil"/>
            </w:tcBorders>
            <w:shd w:val="clear" w:color="auto" w:fill="auto"/>
            <w:noWrap/>
            <w:vAlign w:val="center"/>
            <w:hideMark/>
          </w:tcPr>
          <w:p w14:paraId="1FC209DE" w14:textId="77777777" w:rsidR="00387142" w:rsidRPr="008B6A75" w:rsidRDefault="00387142" w:rsidP="00387142">
            <w:pPr>
              <w:jc w:val="center"/>
              <w:rPr>
                <w:bCs/>
                <w:sz w:val="20"/>
                <w:szCs w:val="20"/>
              </w:rPr>
            </w:pPr>
            <w:r w:rsidRPr="008B6A75">
              <w:rPr>
                <w:bCs/>
                <w:sz w:val="20"/>
                <w:szCs w:val="20"/>
              </w:rPr>
              <w:t>07</w:t>
            </w:r>
          </w:p>
        </w:tc>
        <w:tc>
          <w:tcPr>
            <w:tcW w:w="709" w:type="dxa"/>
            <w:tcBorders>
              <w:top w:val="nil"/>
              <w:left w:val="single" w:sz="4" w:space="0" w:color="auto"/>
              <w:bottom w:val="nil"/>
              <w:right w:val="single" w:sz="4" w:space="0" w:color="auto"/>
            </w:tcBorders>
            <w:shd w:val="clear" w:color="auto" w:fill="auto"/>
            <w:noWrap/>
            <w:vAlign w:val="center"/>
            <w:hideMark/>
          </w:tcPr>
          <w:p w14:paraId="720159BE" w14:textId="77777777" w:rsidR="00387142" w:rsidRPr="008B6A75" w:rsidRDefault="00387142" w:rsidP="00387142">
            <w:pPr>
              <w:jc w:val="center"/>
              <w:rPr>
                <w:bCs/>
                <w:sz w:val="20"/>
                <w:szCs w:val="20"/>
              </w:rPr>
            </w:pPr>
            <w:r w:rsidRPr="008B6A75">
              <w:rPr>
                <w:bCs/>
                <w:sz w:val="20"/>
                <w:szCs w:val="20"/>
              </w:rPr>
              <w:t>01</w:t>
            </w:r>
          </w:p>
        </w:tc>
        <w:tc>
          <w:tcPr>
            <w:tcW w:w="1411" w:type="dxa"/>
            <w:tcBorders>
              <w:top w:val="nil"/>
              <w:left w:val="single" w:sz="4" w:space="0" w:color="auto"/>
              <w:bottom w:val="nil"/>
              <w:right w:val="nil"/>
            </w:tcBorders>
            <w:shd w:val="clear" w:color="auto" w:fill="auto"/>
            <w:noWrap/>
            <w:vAlign w:val="center"/>
            <w:hideMark/>
          </w:tcPr>
          <w:p w14:paraId="38DCD4E5" w14:textId="77777777" w:rsidR="00387142" w:rsidRPr="008B6A75" w:rsidRDefault="00387142" w:rsidP="00387142">
            <w:pPr>
              <w:jc w:val="center"/>
              <w:rPr>
                <w:bCs/>
                <w:sz w:val="20"/>
                <w:szCs w:val="20"/>
              </w:rPr>
            </w:pPr>
            <w:r w:rsidRPr="008B6A75">
              <w:rPr>
                <w:bCs/>
                <w:sz w:val="20"/>
                <w:szCs w:val="20"/>
              </w:rPr>
              <w:t>07.1.00.70110</w:t>
            </w:r>
          </w:p>
        </w:tc>
        <w:tc>
          <w:tcPr>
            <w:tcW w:w="955" w:type="dxa"/>
            <w:tcBorders>
              <w:top w:val="nil"/>
              <w:left w:val="single" w:sz="4" w:space="0" w:color="auto"/>
              <w:bottom w:val="nil"/>
              <w:right w:val="single" w:sz="4" w:space="0" w:color="auto"/>
            </w:tcBorders>
            <w:shd w:val="clear" w:color="auto" w:fill="auto"/>
            <w:noWrap/>
            <w:vAlign w:val="center"/>
            <w:hideMark/>
          </w:tcPr>
          <w:p w14:paraId="0AE02D3C"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nil"/>
              <w:right w:val="single" w:sz="4" w:space="0" w:color="auto"/>
            </w:tcBorders>
            <w:shd w:val="clear" w:color="auto" w:fill="auto"/>
            <w:noWrap/>
            <w:vAlign w:val="center"/>
            <w:hideMark/>
          </w:tcPr>
          <w:p w14:paraId="55341AAE" w14:textId="77777777" w:rsidR="00387142" w:rsidRPr="008B6A75" w:rsidRDefault="00387142" w:rsidP="00387142">
            <w:pPr>
              <w:jc w:val="right"/>
              <w:rPr>
                <w:bCs/>
                <w:sz w:val="20"/>
                <w:szCs w:val="20"/>
              </w:rPr>
            </w:pPr>
            <w:r w:rsidRPr="008B6A75">
              <w:rPr>
                <w:bCs/>
                <w:sz w:val="20"/>
                <w:szCs w:val="20"/>
              </w:rPr>
              <w:t>202 509 500,00</w:t>
            </w:r>
          </w:p>
        </w:tc>
        <w:tc>
          <w:tcPr>
            <w:tcW w:w="992" w:type="dxa"/>
            <w:gridSpan w:val="2"/>
            <w:tcBorders>
              <w:top w:val="nil"/>
              <w:left w:val="single" w:sz="4" w:space="0" w:color="auto"/>
              <w:bottom w:val="nil"/>
              <w:right w:val="nil"/>
            </w:tcBorders>
            <w:shd w:val="clear" w:color="auto" w:fill="auto"/>
            <w:noWrap/>
            <w:vAlign w:val="center"/>
            <w:hideMark/>
          </w:tcPr>
          <w:p w14:paraId="4AF074C7" w14:textId="77777777" w:rsidR="00387142" w:rsidRPr="008B6A75" w:rsidRDefault="00387142" w:rsidP="00387142">
            <w:pPr>
              <w:jc w:val="right"/>
              <w:rPr>
                <w:bCs/>
                <w:sz w:val="20"/>
                <w:szCs w:val="20"/>
              </w:rPr>
            </w:pPr>
            <w:r w:rsidRPr="008B6A75">
              <w:rPr>
                <w:bCs/>
                <w:sz w:val="20"/>
                <w:szCs w:val="20"/>
              </w:rPr>
              <w:t>211 123 105,20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05BCE1E5" w14:textId="77777777" w:rsidR="00387142" w:rsidRPr="008B6A75" w:rsidRDefault="00387142" w:rsidP="00387142">
            <w:pPr>
              <w:jc w:val="right"/>
              <w:rPr>
                <w:bCs/>
                <w:sz w:val="20"/>
                <w:szCs w:val="20"/>
              </w:rPr>
            </w:pPr>
            <w:r w:rsidRPr="008B6A75">
              <w:rPr>
                <w:bCs/>
                <w:sz w:val="20"/>
                <w:szCs w:val="20"/>
              </w:rPr>
              <w:t>224 275 302,78</w:t>
            </w:r>
          </w:p>
        </w:tc>
        <w:tc>
          <w:tcPr>
            <w:tcW w:w="222" w:type="dxa"/>
            <w:vAlign w:val="center"/>
            <w:hideMark/>
          </w:tcPr>
          <w:p w14:paraId="3A32BB60" w14:textId="77777777" w:rsidR="00387142" w:rsidRPr="008B6A75" w:rsidRDefault="00387142" w:rsidP="00387142">
            <w:pPr>
              <w:rPr>
                <w:sz w:val="20"/>
                <w:szCs w:val="20"/>
              </w:rPr>
            </w:pPr>
          </w:p>
        </w:tc>
      </w:tr>
      <w:tr w:rsidR="00387142" w:rsidRPr="008B6A75" w14:paraId="07ACFCA7" w14:textId="77777777" w:rsidTr="00387142">
        <w:trPr>
          <w:trHeight w:val="1440"/>
        </w:trPr>
        <w:tc>
          <w:tcPr>
            <w:tcW w:w="3021" w:type="dxa"/>
            <w:tcBorders>
              <w:top w:val="single" w:sz="4" w:space="0" w:color="auto"/>
              <w:left w:val="single" w:sz="4" w:space="0" w:color="auto"/>
              <w:bottom w:val="nil"/>
              <w:right w:val="nil"/>
            </w:tcBorders>
            <w:shd w:val="clear" w:color="auto" w:fill="auto"/>
            <w:vAlign w:val="center"/>
            <w:hideMark/>
          </w:tcPr>
          <w:p w14:paraId="27241C52" w14:textId="77777777" w:rsidR="00387142" w:rsidRPr="008B6A75" w:rsidRDefault="00387142" w:rsidP="00387142">
            <w:pPr>
              <w:rPr>
                <w:sz w:val="20"/>
                <w:szCs w:val="20"/>
              </w:rPr>
            </w:pPr>
            <w:r w:rsidRPr="008B6A7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nil"/>
              <w:right w:val="nil"/>
            </w:tcBorders>
            <w:shd w:val="clear" w:color="auto" w:fill="auto"/>
            <w:noWrap/>
            <w:vAlign w:val="center"/>
            <w:hideMark/>
          </w:tcPr>
          <w:p w14:paraId="2F5F4AE9" w14:textId="77777777" w:rsidR="00387142" w:rsidRPr="008B6A75" w:rsidRDefault="00387142" w:rsidP="00387142">
            <w:pPr>
              <w:jc w:val="center"/>
              <w:rPr>
                <w:sz w:val="20"/>
                <w:szCs w:val="20"/>
              </w:rPr>
            </w:pPr>
            <w:r w:rsidRPr="008B6A75">
              <w:rPr>
                <w:sz w:val="20"/>
                <w:szCs w:val="20"/>
              </w:rPr>
              <w:t>444</w:t>
            </w:r>
          </w:p>
        </w:tc>
        <w:tc>
          <w:tcPr>
            <w:tcW w:w="709" w:type="dxa"/>
            <w:tcBorders>
              <w:top w:val="single" w:sz="4" w:space="0" w:color="auto"/>
              <w:left w:val="single" w:sz="4" w:space="0" w:color="auto"/>
              <w:bottom w:val="nil"/>
              <w:right w:val="nil"/>
            </w:tcBorders>
            <w:shd w:val="clear" w:color="auto" w:fill="auto"/>
            <w:noWrap/>
            <w:vAlign w:val="center"/>
            <w:hideMark/>
          </w:tcPr>
          <w:p w14:paraId="75C98D4E" w14:textId="77777777" w:rsidR="00387142" w:rsidRPr="008B6A75" w:rsidRDefault="00387142" w:rsidP="00387142">
            <w:pPr>
              <w:jc w:val="center"/>
              <w:rPr>
                <w:sz w:val="20"/>
                <w:szCs w:val="20"/>
              </w:rPr>
            </w:pPr>
            <w:r w:rsidRPr="008B6A75">
              <w:rPr>
                <w:sz w:val="20"/>
                <w:szCs w:val="20"/>
              </w:rPr>
              <w:t>07</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503EE02C" w14:textId="77777777" w:rsidR="00387142" w:rsidRPr="008B6A75" w:rsidRDefault="00387142" w:rsidP="00387142">
            <w:pPr>
              <w:jc w:val="center"/>
              <w:rPr>
                <w:sz w:val="20"/>
                <w:szCs w:val="20"/>
              </w:rPr>
            </w:pPr>
            <w:r w:rsidRPr="008B6A75">
              <w:rPr>
                <w:sz w:val="20"/>
                <w:szCs w:val="20"/>
              </w:rPr>
              <w:t>01</w:t>
            </w:r>
          </w:p>
        </w:tc>
        <w:tc>
          <w:tcPr>
            <w:tcW w:w="1411" w:type="dxa"/>
            <w:tcBorders>
              <w:top w:val="single" w:sz="4" w:space="0" w:color="auto"/>
              <w:left w:val="single" w:sz="4" w:space="0" w:color="auto"/>
              <w:bottom w:val="nil"/>
              <w:right w:val="nil"/>
            </w:tcBorders>
            <w:shd w:val="clear" w:color="auto" w:fill="auto"/>
            <w:noWrap/>
            <w:vAlign w:val="center"/>
            <w:hideMark/>
          </w:tcPr>
          <w:p w14:paraId="172AD520" w14:textId="77777777" w:rsidR="00387142" w:rsidRPr="008B6A75" w:rsidRDefault="00387142" w:rsidP="00387142">
            <w:pPr>
              <w:jc w:val="center"/>
              <w:rPr>
                <w:sz w:val="20"/>
                <w:szCs w:val="20"/>
              </w:rPr>
            </w:pPr>
            <w:r w:rsidRPr="008B6A75">
              <w:rPr>
                <w:sz w:val="20"/>
                <w:szCs w:val="20"/>
              </w:rPr>
              <w:t>07.1.00.70110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613ED7A2" w14:textId="77777777" w:rsidR="00387142" w:rsidRPr="008B6A75" w:rsidRDefault="00387142" w:rsidP="00387142">
            <w:pPr>
              <w:jc w:val="center"/>
              <w:rPr>
                <w:sz w:val="20"/>
                <w:szCs w:val="20"/>
              </w:rPr>
            </w:pPr>
            <w:r w:rsidRPr="008B6A75">
              <w:rPr>
                <w:sz w:val="20"/>
                <w:szCs w:val="20"/>
              </w:rPr>
              <w:t>100</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42E345BB" w14:textId="77777777" w:rsidR="00387142" w:rsidRPr="008B6A75" w:rsidRDefault="00387142" w:rsidP="00387142">
            <w:pPr>
              <w:jc w:val="right"/>
              <w:rPr>
                <w:sz w:val="20"/>
                <w:szCs w:val="20"/>
              </w:rPr>
            </w:pPr>
            <w:r w:rsidRPr="008B6A75">
              <w:rPr>
                <w:sz w:val="20"/>
                <w:szCs w:val="20"/>
              </w:rPr>
              <w:t>200 796 200,00</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23F6F5A5" w14:textId="77777777" w:rsidR="00387142" w:rsidRPr="008B6A75" w:rsidRDefault="00387142" w:rsidP="00387142">
            <w:pPr>
              <w:jc w:val="right"/>
              <w:rPr>
                <w:sz w:val="20"/>
                <w:szCs w:val="20"/>
              </w:rPr>
            </w:pPr>
            <w:r w:rsidRPr="008B6A75">
              <w:rPr>
                <w:sz w:val="20"/>
                <w:szCs w:val="20"/>
              </w:rPr>
              <w:t>209 227 405,20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543A8532" w14:textId="77777777" w:rsidR="00387142" w:rsidRPr="008B6A75" w:rsidRDefault="00387142" w:rsidP="00387142">
            <w:pPr>
              <w:jc w:val="right"/>
              <w:rPr>
                <w:sz w:val="20"/>
                <w:szCs w:val="20"/>
              </w:rPr>
            </w:pPr>
            <w:r w:rsidRPr="008B6A75">
              <w:rPr>
                <w:sz w:val="20"/>
                <w:szCs w:val="20"/>
              </w:rPr>
              <w:t>222 379 602,78</w:t>
            </w:r>
          </w:p>
        </w:tc>
        <w:tc>
          <w:tcPr>
            <w:tcW w:w="222" w:type="dxa"/>
            <w:vAlign w:val="center"/>
            <w:hideMark/>
          </w:tcPr>
          <w:p w14:paraId="6414A93A" w14:textId="77777777" w:rsidR="00387142" w:rsidRPr="008B6A75" w:rsidRDefault="00387142" w:rsidP="00387142">
            <w:pPr>
              <w:rPr>
                <w:sz w:val="20"/>
                <w:szCs w:val="20"/>
              </w:rPr>
            </w:pPr>
          </w:p>
        </w:tc>
      </w:tr>
      <w:tr w:rsidR="00387142" w:rsidRPr="008B6A75" w14:paraId="71D48B0F" w14:textId="77777777" w:rsidTr="00387142">
        <w:trPr>
          <w:trHeight w:val="585"/>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12653956" w14:textId="77777777" w:rsidR="00387142" w:rsidRPr="008B6A75" w:rsidRDefault="00387142" w:rsidP="00387142">
            <w:pPr>
              <w:rPr>
                <w:sz w:val="20"/>
                <w:szCs w:val="20"/>
              </w:rPr>
            </w:pPr>
            <w:r w:rsidRPr="008B6A75">
              <w:rPr>
                <w:sz w:val="20"/>
                <w:szCs w:val="20"/>
              </w:rPr>
              <w:t>Расходы на выплаты персоналу казенных учреждений</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5055413A" w14:textId="77777777" w:rsidR="00387142" w:rsidRPr="008B6A75" w:rsidRDefault="00387142" w:rsidP="00387142">
            <w:pPr>
              <w:jc w:val="center"/>
              <w:rPr>
                <w:sz w:val="20"/>
                <w:szCs w:val="20"/>
              </w:rPr>
            </w:pPr>
            <w:r w:rsidRPr="008B6A75">
              <w:rPr>
                <w:sz w:val="20"/>
                <w:szCs w:val="20"/>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71B4359E" w14:textId="77777777" w:rsidR="00387142" w:rsidRPr="008B6A75" w:rsidRDefault="00387142" w:rsidP="00387142">
            <w:pPr>
              <w:jc w:val="center"/>
              <w:rPr>
                <w:sz w:val="20"/>
                <w:szCs w:val="20"/>
              </w:rPr>
            </w:pPr>
            <w:r w:rsidRPr="008B6A75">
              <w:rPr>
                <w:sz w:val="20"/>
                <w:szCs w:val="20"/>
              </w:rPr>
              <w:t>07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79EFA7" w14:textId="77777777" w:rsidR="00387142" w:rsidRPr="008B6A75" w:rsidRDefault="00387142" w:rsidP="00387142">
            <w:pPr>
              <w:jc w:val="center"/>
              <w:rPr>
                <w:sz w:val="20"/>
                <w:szCs w:val="20"/>
              </w:rPr>
            </w:pPr>
            <w:r w:rsidRPr="008B6A75">
              <w:rPr>
                <w:sz w:val="20"/>
                <w:szCs w:val="20"/>
              </w:rPr>
              <w:t>01</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45EB99E2" w14:textId="77777777" w:rsidR="00387142" w:rsidRPr="008B6A75" w:rsidRDefault="00387142" w:rsidP="00387142">
            <w:pPr>
              <w:jc w:val="center"/>
              <w:rPr>
                <w:sz w:val="20"/>
                <w:szCs w:val="20"/>
              </w:rPr>
            </w:pPr>
            <w:r w:rsidRPr="008B6A75">
              <w:rPr>
                <w:sz w:val="20"/>
                <w:szCs w:val="20"/>
              </w:rPr>
              <w:t>07.1.00.70110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7B4020" w14:textId="77777777" w:rsidR="00387142" w:rsidRPr="008B6A75" w:rsidRDefault="00387142" w:rsidP="00387142">
            <w:pPr>
              <w:jc w:val="center"/>
              <w:rPr>
                <w:sz w:val="20"/>
                <w:szCs w:val="20"/>
              </w:rPr>
            </w:pPr>
            <w:r w:rsidRPr="008B6A75">
              <w:rPr>
                <w:sz w:val="20"/>
                <w:szCs w:val="20"/>
              </w:rPr>
              <w:t>110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580156" w14:textId="77777777" w:rsidR="00387142" w:rsidRPr="008B6A75" w:rsidRDefault="00387142" w:rsidP="00387142">
            <w:pPr>
              <w:jc w:val="right"/>
              <w:rPr>
                <w:sz w:val="20"/>
                <w:szCs w:val="20"/>
              </w:rPr>
            </w:pPr>
            <w:r w:rsidRPr="008B6A75">
              <w:rPr>
                <w:sz w:val="20"/>
                <w:szCs w:val="20"/>
              </w:rPr>
              <w:t>200 796 200,00</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7C3827DD" w14:textId="77777777" w:rsidR="00387142" w:rsidRPr="008B6A75" w:rsidRDefault="00387142" w:rsidP="00387142">
            <w:pPr>
              <w:jc w:val="right"/>
              <w:rPr>
                <w:sz w:val="20"/>
                <w:szCs w:val="20"/>
              </w:rPr>
            </w:pPr>
            <w:r w:rsidRPr="008B6A75">
              <w:rPr>
                <w:sz w:val="20"/>
                <w:szCs w:val="20"/>
              </w:rPr>
              <w:t>209 227 405,20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5E5182" w14:textId="77777777" w:rsidR="00387142" w:rsidRPr="008B6A75" w:rsidRDefault="00387142" w:rsidP="00387142">
            <w:pPr>
              <w:jc w:val="right"/>
              <w:rPr>
                <w:sz w:val="20"/>
                <w:szCs w:val="20"/>
              </w:rPr>
            </w:pPr>
            <w:r w:rsidRPr="008B6A75">
              <w:rPr>
                <w:sz w:val="20"/>
                <w:szCs w:val="20"/>
              </w:rPr>
              <w:t>222 379 602,78</w:t>
            </w:r>
          </w:p>
        </w:tc>
        <w:tc>
          <w:tcPr>
            <w:tcW w:w="222" w:type="dxa"/>
            <w:vAlign w:val="center"/>
            <w:hideMark/>
          </w:tcPr>
          <w:p w14:paraId="6A69A464" w14:textId="77777777" w:rsidR="00387142" w:rsidRPr="008B6A75" w:rsidRDefault="00387142" w:rsidP="00387142">
            <w:pPr>
              <w:rPr>
                <w:sz w:val="20"/>
                <w:szCs w:val="20"/>
              </w:rPr>
            </w:pPr>
          </w:p>
        </w:tc>
      </w:tr>
      <w:tr w:rsidR="00387142" w:rsidRPr="008B6A75" w14:paraId="4BEF0AB7" w14:textId="77777777" w:rsidTr="00387142">
        <w:trPr>
          <w:trHeight w:val="585"/>
        </w:trPr>
        <w:tc>
          <w:tcPr>
            <w:tcW w:w="3021" w:type="dxa"/>
            <w:tcBorders>
              <w:top w:val="nil"/>
              <w:left w:val="single" w:sz="4" w:space="0" w:color="auto"/>
              <w:bottom w:val="nil"/>
              <w:right w:val="nil"/>
            </w:tcBorders>
            <w:shd w:val="clear" w:color="auto" w:fill="auto"/>
            <w:vAlign w:val="center"/>
            <w:hideMark/>
          </w:tcPr>
          <w:p w14:paraId="01E7AC86" w14:textId="77777777" w:rsidR="00387142" w:rsidRPr="008B6A75" w:rsidRDefault="00387142" w:rsidP="00387142">
            <w:pPr>
              <w:rPr>
                <w:sz w:val="20"/>
                <w:szCs w:val="20"/>
              </w:rPr>
            </w:pPr>
            <w:r w:rsidRPr="008B6A75">
              <w:rPr>
                <w:sz w:val="20"/>
                <w:szCs w:val="20"/>
              </w:rPr>
              <w:t>Закупка товаров, работ и услуг для обеспечения государственных (муниципальных) нужд</w:t>
            </w:r>
          </w:p>
        </w:tc>
        <w:tc>
          <w:tcPr>
            <w:tcW w:w="850" w:type="dxa"/>
            <w:tcBorders>
              <w:top w:val="nil"/>
              <w:left w:val="single" w:sz="4" w:space="0" w:color="auto"/>
              <w:bottom w:val="nil"/>
              <w:right w:val="nil"/>
            </w:tcBorders>
            <w:shd w:val="clear" w:color="auto" w:fill="auto"/>
            <w:noWrap/>
            <w:vAlign w:val="center"/>
            <w:hideMark/>
          </w:tcPr>
          <w:p w14:paraId="2FD23DB7" w14:textId="77777777" w:rsidR="00387142" w:rsidRPr="008B6A75" w:rsidRDefault="00387142" w:rsidP="00387142">
            <w:pPr>
              <w:jc w:val="center"/>
              <w:rPr>
                <w:sz w:val="20"/>
                <w:szCs w:val="20"/>
              </w:rPr>
            </w:pPr>
            <w:r w:rsidRPr="008B6A75">
              <w:rPr>
                <w:sz w:val="20"/>
                <w:szCs w:val="20"/>
              </w:rPr>
              <w:t>444</w:t>
            </w:r>
          </w:p>
        </w:tc>
        <w:tc>
          <w:tcPr>
            <w:tcW w:w="709" w:type="dxa"/>
            <w:tcBorders>
              <w:top w:val="nil"/>
              <w:left w:val="single" w:sz="4" w:space="0" w:color="auto"/>
              <w:bottom w:val="nil"/>
              <w:right w:val="nil"/>
            </w:tcBorders>
            <w:shd w:val="clear" w:color="auto" w:fill="auto"/>
            <w:noWrap/>
            <w:vAlign w:val="center"/>
            <w:hideMark/>
          </w:tcPr>
          <w:p w14:paraId="2F964F54" w14:textId="77777777" w:rsidR="00387142" w:rsidRPr="008B6A75" w:rsidRDefault="00387142" w:rsidP="00387142">
            <w:pPr>
              <w:jc w:val="center"/>
              <w:rPr>
                <w:sz w:val="20"/>
                <w:szCs w:val="20"/>
              </w:rPr>
            </w:pPr>
            <w:r w:rsidRPr="008B6A75">
              <w:rPr>
                <w:sz w:val="20"/>
                <w:szCs w:val="20"/>
              </w:rPr>
              <w:t>07</w:t>
            </w:r>
          </w:p>
        </w:tc>
        <w:tc>
          <w:tcPr>
            <w:tcW w:w="709" w:type="dxa"/>
            <w:tcBorders>
              <w:top w:val="nil"/>
              <w:left w:val="single" w:sz="4" w:space="0" w:color="auto"/>
              <w:bottom w:val="nil"/>
              <w:right w:val="single" w:sz="4" w:space="0" w:color="auto"/>
            </w:tcBorders>
            <w:shd w:val="clear" w:color="auto" w:fill="auto"/>
            <w:noWrap/>
            <w:vAlign w:val="center"/>
            <w:hideMark/>
          </w:tcPr>
          <w:p w14:paraId="346E1CB0" w14:textId="77777777" w:rsidR="00387142" w:rsidRPr="008B6A75" w:rsidRDefault="00387142" w:rsidP="00387142">
            <w:pPr>
              <w:jc w:val="center"/>
              <w:rPr>
                <w:sz w:val="20"/>
                <w:szCs w:val="20"/>
              </w:rPr>
            </w:pPr>
            <w:r w:rsidRPr="008B6A75">
              <w:rPr>
                <w:sz w:val="20"/>
                <w:szCs w:val="20"/>
              </w:rPr>
              <w:t>01</w:t>
            </w:r>
          </w:p>
        </w:tc>
        <w:tc>
          <w:tcPr>
            <w:tcW w:w="1411" w:type="dxa"/>
            <w:tcBorders>
              <w:top w:val="nil"/>
              <w:left w:val="single" w:sz="4" w:space="0" w:color="auto"/>
              <w:bottom w:val="nil"/>
              <w:right w:val="nil"/>
            </w:tcBorders>
            <w:shd w:val="clear" w:color="auto" w:fill="auto"/>
            <w:noWrap/>
            <w:vAlign w:val="center"/>
            <w:hideMark/>
          </w:tcPr>
          <w:p w14:paraId="7F4F573D" w14:textId="77777777" w:rsidR="00387142" w:rsidRPr="008B6A75" w:rsidRDefault="00387142" w:rsidP="00387142">
            <w:pPr>
              <w:jc w:val="center"/>
              <w:rPr>
                <w:sz w:val="20"/>
                <w:szCs w:val="20"/>
              </w:rPr>
            </w:pPr>
            <w:r w:rsidRPr="008B6A75">
              <w:rPr>
                <w:sz w:val="20"/>
                <w:szCs w:val="20"/>
              </w:rPr>
              <w:t>07.1.00.70110</w:t>
            </w:r>
          </w:p>
        </w:tc>
        <w:tc>
          <w:tcPr>
            <w:tcW w:w="955" w:type="dxa"/>
            <w:tcBorders>
              <w:top w:val="nil"/>
              <w:left w:val="single" w:sz="4" w:space="0" w:color="auto"/>
              <w:bottom w:val="nil"/>
              <w:right w:val="single" w:sz="4" w:space="0" w:color="auto"/>
            </w:tcBorders>
            <w:shd w:val="clear" w:color="auto" w:fill="auto"/>
            <w:noWrap/>
            <w:vAlign w:val="center"/>
            <w:hideMark/>
          </w:tcPr>
          <w:p w14:paraId="21D2AE0E" w14:textId="77777777" w:rsidR="00387142" w:rsidRPr="008B6A75" w:rsidRDefault="00387142" w:rsidP="00387142">
            <w:pPr>
              <w:jc w:val="center"/>
              <w:rPr>
                <w:sz w:val="20"/>
                <w:szCs w:val="20"/>
              </w:rPr>
            </w:pPr>
            <w:r w:rsidRPr="008B6A75">
              <w:rPr>
                <w:sz w:val="20"/>
                <w:szCs w:val="20"/>
              </w:rPr>
              <w:t>200</w:t>
            </w:r>
          </w:p>
        </w:tc>
        <w:tc>
          <w:tcPr>
            <w:tcW w:w="992" w:type="dxa"/>
            <w:tcBorders>
              <w:top w:val="nil"/>
              <w:left w:val="single" w:sz="4" w:space="0" w:color="auto"/>
              <w:bottom w:val="nil"/>
              <w:right w:val="single" w:sz="4" w:space="0" w:color="auto"/>
            </w:tcBorders>
            <w:shd w:val="clear" w:color="auto" w:fill="auto"/>
            <w:noWrap/>
            <w:vAlign w:val="center"/>
            <w:hideMark/>
          </w:tcPr>
          <w:p w14:paraId="2A6C2255" w14:textId="77777777" w:rsidR="00387142" w:rsidRPr="008B6A75" w:rsidRDefault="00387142" w:rsidP="00387142">
            <w:pPr>
              <w:jc w:val="right"/>
              <w:rPr>
                <w:sz w:val="20"/>
                <w:szCs w:val="20"/>
              </w:rPr>
            </w:pPr>
            <w:r w:rsidRPr="008B6A75">
              <w:rPr>
                <w:sz w:val="20"/>
                <w:szCs w:val="20"/>
              </w:rPr>
              <w:t>1 713 300,00</w:t>
            </w:r>
          </w:p>
        </w:tc>
        <w:tc>
          <w:tcPr>
            <w:tcW w:w="992" w:type="dxa"/>
            <w:gridSpan w:val="2"/>
            <w:tcBorders>
              <w:top w:val="nil"/>
              <w:left w:val="single" w:sz="4" w:space="0" w:color="auto"/>
              <w:bottom w:val="nil"/>
              <w:right w:val="nil"/>
            </w:tcBorders>
            <w:shd w:val="clear" w:color="auto" w:fill="auto"/>
            <w:noWrap/>
            <w:vAlign w:val="center"/>
            <w:hideMark/>
          </w:tcPr>
          <w:p w14:paraId="116DE927" w14:textId="77777777" w:rsidR="00387142" w:rsidRPr="008B6A75" w:rsidRDefault="00387142" w:rsidP="00387142">
            <w:pPr>
              <w:jc w:val="right"/>
              <w:rPr>
                <w:sz w:val="20"/>
                <w:szCs w:val="20"/>
              </w:rPr>
            </w:pPr>
            <w:r w:rsidRPr="008B6A75">
              <w:rPr>
                <w:sz w:val="20"/>
                <w:szCs w:val="20"/>
              </w:rPr>
              <w:t>1 895 700,00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40964194" w14:textId="77777777" w:rsidR="00387142" w:rsidRPr="008B6A75" w:rsidRDefault="00387142" w:rsidP="00387142">
            <w:pPr>
              <w:jc w:val="right"/>
              <w:rPr>
                <w:sz w:val="20"/>
                <w:szCs w:val="20"/>
              </w:rPr>
            </w:pPr>
            <w:r w:rsidRPr="008B6A75">
              <w:rPr>
                <w:sz w:val="20"/>
                <w:szCs w:val="20"/>
              </w:rPr>
              <w:t>1 895 700,00</w:t>
            </w:r>
          </w:p>
        </w:tc>
        <w:tc>
          <w:tcPr>
            <w:tcW w:w="222" w:type="dxa"/>
            <w:vAlign w:val="center"/>
            <w:hideMark/>
          </w:tcPr>
          <w:p w14:paraId="5F5E9E62" w14:textId="77777777" w:rsidR="00387142" w:rsidRPr="008B6A75" w:rsidRDefault="00387142" w:rsidP="00387142">
            <w:pPr>
              <w:rPr>
                <w:sz w:val="20"/>
                <w:szCs w:val="20"/>
              </w:rPr>
            </w:pPr>
          </w:p>
        </w:tc>
      </w:tr>
      <w:tr w:rsidR="00387142" w:rsidRPr="008B6A75" w14:paraId="1FBFA9F5" w14:textId="77777777" w:rsidTr="00387142">
        <w:trPr>
          <w:trHeight w:val="870"/>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2C7AE4A6" w14:textId="77777777" w:rsidR="00387142" w:rsidRPr="008B6A75" w:rsidRDefault="00387142" w:rsidP="00387142">
            <w:pPr>
              <w:rPr>
                <w:sz w:val="20"/>
                <w:szCs w:val="20"/>
              </w:rPr>
            </w:pPr>
            <w:r w:rsidRPr="008B6A75">
              <w:rPr>
                <w:sz w:val="20"/>
                <w:szCs w:val="20"/>
              </w:rPr>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01A289CD" w14:textId="77777777" w:rsidR="00387142" w:rsidRPr="008B6A75" w:rsidRDefault="00387142" w:rsidP="00387142">
            <w:pPr>
              <w:jc w:val="center"/>
              <w:rPr>
                <w:sz w:val="20"/>
                <w:szCs w:val="20"/>
              </w:rPr>
            </w:pPr>
            <w:r w:rsidRPr="008B6A75">
              <w:rPr>
                <w:sz w:val="20"/>
                <w:szCs w:val="20"/>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538D3A9D" w14:textId="77777777" w:rsidR="00387142" w:rsidRPr="008B6A75" w:rsidRDefault="00387142" w:rsidP="00387142">
            <w:pPr>
              <w:jc w:val="center"/>
              <w:rPr>
                <w:sz w:val="20"/>
                <w:szCs w:val="20"/>
              </w:rPr>
            </w:pPr>
            <w:r w:rsidRPr="008B6A75">
              <w:rPr>
                <w:sz w:val="20"/>
                <w:szCs w:val="20"/>
              </w:rPr>
              <w:t>07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0E7B44" w14:textId="77777777" w:rsidR="00387142" w:rsidRPr="008B6A75" w:rsidRDefault="00387142" w:rsidP="00387142">
            <w:pPr>
              <w:jc w:val="center"/>
              <w:rPr>
                <w:sz w:val="20"/>
                <w:szCs w:val="20"/>
              </w:rPr>
            </w:pPr>
            <w:r w:rsidRPr="008B6A75">
              <w:rPr>
                <w:sz w:val="20"/>
                <w:szCs w:val="20"/>
              </w:rPr>
              <w:t>01</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029BCA08" w14:textId="77777777" w:rsidR="00387142" w:rsidRPr="008B6A75" w:rsidRDefault="00387142" w:rsidP="00387142">
            <w:pPr>
              <w:jc w:val="center"/>
              <w:rPr>
                <w:sz w:val="20"/>
                <w:szCs w:val="20"/>
              </w:rPr>
            </w:pPr>
            <w:r w:rsidRPr="008B6A75">
              <w:rPr>
                <w:sz w:val="20"/>
                <w:szCs w:val="20"/>
              </w:rPr>
              <w:t>07.1.00.70110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A23ECB" w14:textId="77777777" w:rsidR="00387142" w:rsidRPr="008B6A75" w:rsidRDefault="00387142" w:rsidP="00387142">
            <w:pPr>
              <w:jc w:val="center"/>
              <w:rPr>
                <w:sz w:val="20"/>
                <w:szCs w:val="20"/>
              </w:rPr>
            </w:pPr>
            <w:r w:rsidRPr="008B6A75">
              <w:rPr>
                <w:sz w:val="20"/>
                <w:szCs w:val="20"/>
              </w:rPr>
              <w:t>240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4FB9D4" w14:textId="77777777" w:rsidR="00387142" w:rsidRPr="008B6A75" w:rsidRDefault="00387142" w:rsidP="00387142">
            <w:pPr>
              <w:jc w:val="right"/>
              <w:rPr>
                <w:sz w:val="20"/>
                <w:szCs w:val="20"/>
              </w:rPr>
            </w:pPr>
            <w:r w:rsidRPr="008B6A75">
              <w:rPr>
                <w:sz w:val="20"/>
                <w:szCs w:val="20"/>
              </w:rPr>
              <w:t>1 713 300,00</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4198E0D1" w14:textId="77777777" w:rsidR="00387142" w:rsidRPr="008B6A75" w:rsidRDefault="00387142" w:rsidP="00387142">
            <w:pPr>
              <w:jc w:val="right"/>
              <w:rPr>
                <w:sz w:val="20"/>
                <w:szCs w:val="20"/>
              </w:rPr>
            </w:pPr>
            <w:r w:rsidRPr="008B6A75">
              <w:rPr>
                <w:sz w:val="20"/>
                <w:szCs w:val="20"/>
              </w:rPr>
              <w:t>1 895 700,00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F593DC" w14:textId="77777777" w:rsidR="00387142" w:rsidRPr="008B6A75" w:rsidRDefault="00387142" w:rsidP="00387142">
            <w:pPr>
              <w:jc w:val="right"/>
              <w:rPr>
                <w:sz w:val="20"/>
                <w:szCs w:val="20"/>
              </w:rPr>
            </w:pPr>
            <w:r w:rsidRPr="008B6A75">
              <w:rPr>
                <w:sz w:val="20"/>
                <w:szCs w:val="20"/>
              </w:rPr>
              <w:t>1 895 700,00</w:t>
            </w:r>
          </w:p>
        </w:tc>
        <w:tc>
          <w:tcPr>
            <w:tcW w:w="222" w:type="dxa"/>
            <w:vAlign w:val="center"/>
            <w:hideMark/>
          </w:tcPr>
          <w:p w14:paraId="083621E9" w14:textId="77777777" w:rsidR="00387142" w:rsidRPr="008B6A75" w:rsidRDefault="00387142" w:rsidP="00387142">
            <w:pPr>
              <w:rPr>
                <w:sz w:val="20"/>
                <w:szCs w:val="20"/>
              </w:rPr>
            </w:pPr>
          </w:p>
        </w:tc>
      </w:tr>
      <w:tr w:rsidR="00387142" w:rsidRPr="008B6A75" w14:paraId="33D88D22" w14:textId="77777777" w:rsidTr="00387142">
        <w:trPr>
          <w:trHeight w:val="1440"/>
        </w:trPr>
        <w:tc>
          <w:tcPr>
            <w:tcW w:w="3021" w:type="dxa"/>
            <w:tcBorders>
              <w:top w:val="nil"/>
              <w:left w:val="single" w:sz="4" w:space="0" w:color="auto"/>
              <w:bottom w:val="nil"/>
              <w:right w:val="nil"/>
            </w:tcBorders>
            <w:shd w:val="clear" w:color="auto" w:fill="auto"/>
            <w:vAlign w:val="center"/>
            <w:hideMark/>
          </w:tcPr>
          <w:p w14:paraId="16E7EC54" w14:textId="77777777" w:rsidR="00387142" w:rsidRPr="008B6A75" w:rsidRDefault="00387142" w:rsidP="00387142">
            <w:pPr>
              <w:rPr>
                <w:bCs/>
                <w:sz w:val="20"/>
                <w:szCs w:val="20"/>
              </w:rPr>
            </w:pPr>
            <w:r w:rsidRPr="008B6A75">
              <w:rPr>
                <w:bCs/>
                <w:sz w:val="20"/>
                <w:szCs w:val="20"/>
              </w:rPr>
              <w:t xml:space="preserve">Реализация мероприятий по обеспечению сбалансированности местных </w:t>
            </w:r>
            <w:proofErr w:type="gramStart"/>
            <w:r w:rsidRPr="008B6A75">
              <w:rPr>
                <w:bCs/>
                <w:sz w:val="20"/>
                <w:szCs w:val="20"/>
              </w:rPr>
              <w:t>бюджетов  государственной</w:t>
            </w:r>
            <w:proofErr w:type="gramEnd"/>
            <w:r w:rsidRPr="008B6A75">
              <w:rPr>
                <w:bCs/>
                <w:sz w:val="20"/>
                <w:szCs w:val="20"/>
              </w:rPr>
              <w:t xml:space="preserve"> программы Новосибирской области "Управление  финансами в Новосибирской области"</w:t>
            </w:r>
          </w:p>
        </w:tc>
        <w:tc>
          <w:tcPr>
            <w:tcW w:w="850" w:type="dxa"/>
            <w:tcBorders>
              <w:top w:val="nil"/>
              <w:left w:val="single" w:sz="4" w:space="0" w:color="auto"/>
              <w:bottom w:val="nil"/>
              <w:right w:val="nil"/>
            </w:tcBorders>
            <w:shd w:val="clear" w:color="auto" w:fill="auto"/>
            <w:noWrap/>
            <w:vAlign w:val="center"/>
            <w:hideMark/>
          </w:tcPr>
          <w:p w14:paraId="5A622190" w14:textId="77777777" w:rsidR="00387142" w:rsidRPr="008B6A75" w:rsidRDefault="00387142" w:rsidP="00387142">
            <w:pPr>
              <w:jc w:val="center"/>
              <w:rPr>
                <w:bCs/>
                <w:sz w:val="20"/>
                <w:szCs w:val="20"/>
              </w:rPr>
            </w:pPr>
            <w:r w:rsidRPr="008B6A75">
              <w:rPr>
                <w:bCs/>
                <w:sz w:val="20"/>
                <w:szCs w:val="20"/>
              </w:rPr>
              <w:t>444</w:t>
            </w:r>
          </w:p>
        </w:tc>
        <w:tc>
          <w:tcPr>
            <w:tcW w:w="709" w:type="dxa"/>
            <w:tcBorders>
              <w:top w:val="nil"/>
              <w:left w:val="single" w:sz="4" w:space="0" w:color="auto"/>
              <w:bottom w:val="nil"/>
              <w:right w:val="nil"/>
            </w:tcBorders>
            <w:shd w:val="clear" w:color="auto" w:fill="auto"/>
            <w:noWrap/>
            <w:vAlign w:val="center"/>
            <w:hideMark/>
          </w:tcPr>
          <w:p w14:paraId="01AE835C" w14:textId="77777777" w:rsidR="00387142" w:rsidRPr="008B6A75" w:rsidRDefault="00387142" w:rsidP="00387142">
            <w:pPr>
              <w:jc w:val="center"/>
              <w:rPr>
                <w:bCs/>
                <w:sz w:val="20"/>
                <w:szCs w:val="20"/>
              </w:rPr>
            </w:pPr>
            <w:r w:rsidRPr="008B6A75">
              <w:rPr>
                <w:bCs/>
                <w:sz w:val="20"/>
                <w:szCs w:val="20"/>
              </w:rPr>
              <w:t>07</w:t>
            </w:r>
          </w:p>
        </w:tc>
        <w:tc>
          <w:tcPr>
            <w:tcW w:w="709" w:type="dxa"/>
            <w:tcBorders>
              <w:top w:val="nil"/>
              <w:left w:val="single" w:sz="4" w:space="0" w:color="auto"/>
              <w:bottom w:val="nil"/>
              <w:right w:val="single" w:sz="4" w:space="0" w:color="auto"/>
            </w:tcBorders>
            <w:shd w:val="clear" w:color="auto" w:fill="auto"/>
            <w:noWrap/>
            <w:vAlign w:val="center"/>
            <w:hideMark/>
          </w:tcPr>
          <w:p w14:paraId="1EF1FF12" w14:textId="77777777" w:rsidR="00387142" w:rsidRPr="008B6A75" w:rsidRDefault="00387142" w:rsidP="00387142">
            <w:pPr>
              <w:jc w:val="center"/>
              <w:rPr>
                <w:bCs/>
                <w:sz w:val="20"/>
                <w:szCs w:val="20"/>
              </w:rPr>
            </w:pPr>
            <w:r w:rsidRPr="008B6A75">
              <w:rPr>
                <w:bCs/>
                <w:sz w:val="20"/>
                <w:szCs w:val="20"/>
              </w:rPr>
              <w:t>01</w:t>
            </w:r>
          </w:p>
        </w:tc>
        <w:tc>
          <w:tcPr>
            <w:tcW w:w="1411" w:type="dxa"/>
            <w:tcBorders>
              <w:top w:val="nil"/>
              <w:left w:val="single" w:sz="4" w:space="0" w:color="auto"/>
              <w:bottom w:val="nil"/>
              <w:right w:val="nil"/>
            </w:tcBorders>
            <w:shd w:val="clear" w:color="auto" w:fill="auto"/>
            <w:noWrap/>
            <w:vAlign w:val="center"/>
            <w:hideMark/>
          </w:tcPr>
          <w:p w14:paraId="44D3142E" w14:textId="77777777" w:rsidR="00387142" w:rsidRPr="008B6A75" w:rsidRDefault="00387142" w:rsidP="00387142">
            <w:pPr>
              <w:jc w:val="center"/>
              <w:rPr>
                <w:bCs/>
                <w:sz w:val="20"/>
                <w:szCs w:val="20"/>
              </w:rPr>
            </w:pPr>
            <w:r w:rsidRPr="008B6A75">
              <w:rPr>
                <w:bCs/>
                <w:sz w:val="20"/>
                <w:szCs w:val="20"/>
              </w:rPr>
              <w:t>07.1.00.70510</w:t>
            </w:r>
          </w:p>
        </w:tc>
        <w:tc>
          <w:tcPr>
            <w:tcW w:w="955" w:type="dxa"/>
            <w:tcBorders>
              <w:top w:val="nil"/>
              <w:left w:val="single" w:sz="4" w:space="0" w:color="auto"/>
              <w:bottom w:val="nil"/>
              <w:right w:val="single" w:sz="4" w:space="0" w:color="auto"/>
            </w:tcBorders>
            <w:shd w:val="clear" w:color="auto" w:fill="auto"/>
            <w:noWrap/>
            <w:vAlign w:val="center"/>
            <w:hideMark/>
          </w:tcPr>
          <w:p w14:paraId="70BA13DB"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nil"/>
              <w:right w:val="single" w:sz="4" w:space="0" w:color="auto"/>
            </w:tcBorders>
            <w:shd w:val="clear" w:color="auto" w:fill="auto"/>
            <w:noWrap/>
            <w:vAlign w:val="center"/>
            <w:hideMark/>
          </w:tcPr>
          <w:p w14:paraId="2D98AF06" w14:textId="77777777" w:rsidR="00387142" w:rsidRPr="008B6A75" w:rsidRDefault="00387142" w:rsidP="00387142">
            <w:pPr>
              <w:jc w:val="right"/>
              <w:rPr>
                <w:bCs/>
                <w:sz w:val="20"/>
                <w:szCs w:val="20"/>
              </w:rPr>
            </w:pPr>
            <w:r w:rsidRPr="008B6A75">
              <w:rPr>
                <w:bCs/>
                <w:sz w:val="20"/>
                <w:szCs w:val="20"/>
              </w:rPr>
              <w:t>70 881 025,84</w:t>
            </w:r>
          </w:p>
        </w:tc>
        <w:tc>
          <w:tcPr>
            <w:tcW w:w="992" w:type="dxa"/>
            <w:gridSpan w:val="2"/>
            <w:tcBorders>
              <w:top w:val="nil"/>
              <w:left w:val="single" w:sz="4" w:space="0" w:color="auto"/>
              <w:bottom w:val="nil"/>
              <w:right w:val="nil"/>
            </w:tcBorders>
            <w:shd w:val="clear" w:color="auto" w:fill="auto"/>
            <w:noWrap/>
            <w:vAlign w:val="center"/>
            <w:hideMark/>
          </w:tcPr>
          <w:p w14:paraId="557F3366" w14:textId="77777777" w:rsidR="00387142" w:rsidRPr="008B6A75" w:rsidRDefault="00387142" w:rsidP="00387142">
            <w:pPr>
              <w:jc w:val="right"/>
              <w:rPr>
                <w:bCs/>
                <w:sz w:val="20"/>
                <w:szCs w:val="20"/>
              </w:rPr>
            </w:pPr>
            <w:r w:rsidRPr="008B6A75">
              <w:rPr>
                <w:bCs/>
                <w:sz w:val="20"/>
                <w:szCs w:val="20"/>
              </w:rPr>
              <w:t>0,00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0BE3AF11" w14:textId="77777777" w:rsidR="00387142" w:rsidRPr="008B6A75" w:rsidRDefault="00387142" w:rsidP="00387142">
            <w:pPr>
              <w:jc w:val="right"/>
              <w:rPr>
                <w:bCs/>
                <w:sz w:val="20"/>
                <w:szCs w:val="20"/>
              </w:rPr>
            </w:pPr>
            <w:r w:rsidRPr="008B6A75">
              <w:rPr>
                <w:bCs/>
                <w:sz w:val="20"/>
                <w:szCs w:val="20"/>
              </w:rPr>
              <w:t>0,00</w:t>
            </w:r>
          </w:p>
        </w:tc>
        <w:tc>
          <w:tcPr>
            <w:tcW w:w="222" w:type="dxa"/>
            <w:vAlign w:val="center"/>
            <w:hideMark/>
          </w:tcPr>
          <w:p w14:paraId="38BFDEF1" w14:textId="77777777" w:rsidR="00387142" w:rsidRPr="008B6A75" w:rsidRDefault="00387142" w:rsidP="00387142">
            <w:pPr>
              <w:rPr>
                <w:sz w:val="20"/>
                <w:szCs w:val="20"/>
              </w:rPr>
            </w:pPr>
          </w:p>
        </w:tc>
      </w:tr>
      <w:tr w:rsidR="00387142" w:rsidRPr="008B6A75" w14:paraId="175C70D4" w14:textId="77777777" w:rsidTr="00387142">
        <w:trPr>
          <w:trHeight w:val="1440"/>
        </w:trPr>
        <w:tc>
          <w:tcPr>
            <w:tcW w:w="3021" w:type="dxa"/>
            <w:tcBorders>
              <w:top w:val="single" w:sz="4" w:space="0" w:color="auto"/>
              <w:left w:val="single" w:sz="4" w:space="0" w:color="auto"/>
              <w:bottom w:val="nil"/>
              <w:right w:val="nil"/>
            </w:tcBorders>
            <w:shd w:val="clear" w:color="auto" w:fill="auto"/>
            <w:vAlign w:val="center"/>
            <w:hideMark/>
          </w:tcPr>
          <w:p w14:paraId="15AB1311" w14:textId="77777777" w:rsidR="00387142" w:rsidRPr="008B6A75" w:rsidRDefault="00387142" w:rsidP="00387142">
            <w:pPr>
              <w:rPr>
                <w:sz w:val="20"/>
                <w:szCs w:val="20"/>
              </w:rPr>
            </w:pPr>
            <w:r w:rsidRPr="008B6A7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nil"/>
              <w:right w:val="nil"/>
            </w:tcBorders>
            <w:shd w:val="clear" w:color="auto" w:fill="auto"/>
            <w:noWrap/>
            <w:vAlign w:val="center"/>
            <w:hideMark/>
          </w:tcPr>
          <w:p w14:paraId="5F07321D" w14:textId="77777777" w:rsidR="00387142" w:rsidRPr="008B6A75" w:rsidRDefault="00387142" w:rsidP="00387142">
            <w:pPr>
              <w:jc w:val="center"/>
              <w:rPr>
                <w:sz w:val="20"/>
                <w:szCs w:val="20"/>
              </w:rPr>
            </w:pPr>
            <w:r w:rsidRPr="008B6A75">
              <w:rPr>
                <w:sz w:val="20"/>
                <w:szCs w:val="20"/>
              </w:rPr>
              <w:t>444</w:t>
            </w:r>
          </w:p>
        </w:tc>
        <w:tc>
          <w:tcPr>
            <w:tcW w:w="709" w:type="dxa"/>
            <w:tcBorders>
              <w:top w:val="single" w:sz="4" w:space="0" w:color="auto"/>
              <w:left w:val="single" w:sz="4" w:space="0" w:color="auto"/>
              <w:bottom w:val="nil"/>
              <w:right w:val="nil"/>
            </w:tcBorders>
            <w:shd w:val="clear" w:color="auto" w:fill="auto"/>
            <w:noWrap/>
            <w:vAlign w:val="center"/>
            <w:hideMark/>
          </w:tcPr>
          <w:p w14:paraId="321A728E" w14:textId="77777777" w:rsidR="00387142" w:rsidRPr="008B6A75" w:rsidRDefault="00387142" w:rsidP="00387142">
            <w:pPr>
              <w:jc w:val="center"/>
              <w:rPr>
                <w:sz w:val="20"/>
                <w:szCs w:val="20"/>
              </w:rPr>
            </w:pPr>
            <w:r w:rsidRPr="008B6A75">
              <w:rPr>
                <w:sz w:val="20"/>
                <w:szCs w:val="20"/>
              </w:rPr>
              <w:t>07</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3BA97A44" w14:textId="77777777" w:rsidR="00387142" w:rsidRPr="008B6A75" w:rsidRDefault="00387142" w:rsidP="00387142">
            <w:pPr>
              <w:jc w:val="center"/>
              <w:rPr>
                <w:sz w:val="20"/>
                <w:szCs w:val="20"/>
              </w:rPr>
            </w:pPr>
            <w:r w:rsidRPr="008B6A75">
              <w:rPr>
                <w:sz w:val="20"/>
                <w:szCs w:val="20"/>
              </w:rPr>
              <w:t>01</w:t>
            </w:r>
          </w:p>
        </w:tc>
        <w:tc>
          <w:tcPr>
            <w:tcW w:w="1411" w:type="dxa"/>
            <w:tcBorders>
              <w:top w:val="single" w:sz="4" w:space="0" w:color="auto"/>
              <w:left w:val="single" w:sz="4" w:space="0" w:color="auto"/>
              <w:bottom w:val="nil"/>
              <w:right w:val="nil"/>
            </w:tcBorders>
            <w:shd w:val="clear" w:color="auto" w:fill="auto"/>
            <w:noWrap/>
            <w:vAlign w:val="center"/>
            <w:hideMark/>
          </w:tcPr>
          <w:p w14:paraId="6FC463E2" w14:textId="77777777" w:rsidR="00387142" w:rsidRPr="008B6A75" w:rsidRDefault="00387142" w:rsidP="00387142">
            <w:pPr>
              <w:jc w:val="center"/>
              <w:rPr>
                <w:sz w:val="20"/>
                <w:szCs w:val="20"/>
              </w:rPr>
            </w:pPr>
            <w:r w:rsidRPr="008B6A75">
              <w:rPr>
                <w:sz w:val="20"/>
                <w:szCs w:val="20"/>
              </w:rPr>
              <w:t>07.1.00.70510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5C38C57E" w14:textId="77777777" w:rsidR="00387142" w:rsidRPr="008B6A75" w:rsidRDefault="00387142" w:rsidP="00387142">
            <w:pPr>
              <w:jc w:val="center"/>
              <w:rPr>
                <w:sz w:val="20"/>
                <w:szCs w:val="20"/>
              </w:rPr>
            </w:pPr>
            <w:r w:rsidRPr="008B6A75">
              <w:rPr>
                <w:sz w:val="20"/>
                <w:szCs w:val="20"/>
              </w:rPr>
              <w:t>100</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08FD5E4D" w14:textId="77777777" w:rsidR="00387142" w:rsidRPr="008B6A75" w:rsidRDefault="00387142" w:rsidP="00387142">
            <w:pPr>
              <w:jc w:val="right"/>
              <w:rPr>
                <w:sz w:val="20"/>
                <w:szCs w:val="20"/>
              </w:rPr>
            </w:pPr>
            <w:r w:rsidRPr="008B6A75">
              <w:rPr>
                <w:sz w:val="20"/>
                <w:szCs w:val="20"/>
              </w:rPr>
              <w:t>69 864 793,66</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7B17562F" w14:textId="77777777" w:rsidR="00387142" w:rsidRPr="008B6A75" w:rsidRDefault="00387142" w:rsidP="00387142">
            <w:pPr>
              <w:jc w:val="right"/>
              <w:rPr>
                <w:sz w:val="20"/>
                <w:szCs w:val="20"/>
              </w:rPr>
            </w:pPr>
            <w:r w:rsidRPr="008B6A75">
              <w:rPr>
                <w:sz w:val="20"/>
                <w:szCs w:val="20"/>
              </w:rPr>
              <w:t>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49523B57" w14:textId="77777777" w:rsidR="00387142" w:rsidRPr="008B6A75" w:rsidRDefault="00387142" w:rsidP="00387142">
            <w:pPr>
              <w:jc w:val="right"/>
              <w:rPr>
                <w:sz w:val="20"/>
                <w:szCs w:val="20"/>
              </w:rPr>
            </w:pPr>
            <w:r w:rsidRPr="008B6A75">
              <w:rPr>
                <w:sz w:val="20"/>
                <w:szCs w:val="20"/>
              </w:rPr>
              <w:t>0,00</w:t>
            </w:r>
          </w:p>
        </w:tc>
        <w:tc>
          <w:tcPr>
            <w:tcW w:w="222" w:type="dxa"/>
            <w:vAlign w:val="center"/>
            <w:hideMark/>
          </w:tcPr>
          <w:p w14:paraId="72BB5297" w14:textId="77777777" w:rsidR="00387142" w:rsidRPr="008B6A75" w:rsidRDefault="00387142" w:rsidP="00387142">
            <w:pPr>
              <w:rPr>
                <w:sz w:val="20"/>
                <w:szCs w:val="20"/>
              </w:rPr>
            </w:pPr>
          </w:p>
        </w:tc>
      </w:tr>
      <w:tr w:rsidR="00387142" w:rsidRPr="008B6A75" w14:paraId="4E2D0EE5" w14:textId="77777777" w:rsidTr="00387142">
        <w:trPr>
          <w:trHeight w:val="585"/>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5061462A" w14:textId="77777777" w:rsidR="00387142" w:rsidRPr="008B6A75" w:rsidRDefault="00387142" w:rsidP="00387142">
            <w:pPr>
              <w:rPr>
                <w:sz w:val="20"/>
                <w:szCs w:val="20"/>
              </w:rPr>
            </w:pPr>
            <w:r w:rsidRPr="008B6A75">
              <w:rPr>
                <w:sz w:val="20"/>
                <w:szCs w:val="20"/>
              </w:rPr>
              <w:lastRenderedPageBreak/>
              <w:t>Расходы на выплаты персоналу казенных учреждений</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3ECD883C" w14:textId="77777777" w:rsidR="00387142" w:rsidRPr="008B6A75" w:rsidRDefault="00387142" w:rsidP="00387142">
            <w:pPr>
              <w:jc w:val="center"/>
              <w:rPr>
                <w:sz w:val="20"/>
                <w:szCs w:val="20"/>
              </w:rPr>
            </w:pPr>
            <w:r w:rsidRPr="008B6A75">
              <w:rPr>
                <w:sz w:val="20"/>
                <w:szCs w:val="20"/>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6DF02A81" w14:textId="77777777" w:rsidR="00387142" w:rsidRPr="008B6A75" w:rsidRDefault="00387142" w:rsidP="00387142">
            <w:pPr>
              <w:jc w:val="center"/>
              <w:rPr>
                <w:sz w:val="20"/>
                <w:szCs w:val="20"/>
              </w:rPr>
            </w:pPr>
            <w:r w:rsidRPr="008B6A75">
              <w:rPr>
                <w:sz w:val="20"/>
                <w:szCs w:val="20"/>
              </w:rPr>
              <w:t>07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9B865C" w14:textId="77777777" w:rsidR="00387142" w:rsidRPr="008B6A75" w:rsidRDefault="00387142" w:rsidP="00387142">
            <w:pPr>
              <w:jc w:val="center"/>
              <w:rPr>
                <w:sz w:val="20"/>
                <w:szCs w:val="20"/>
              </w:rPr>
            </w:pPr>
            <w:r w:rsidRPr="008B6A75">
              <w:rPr>
                <w:sz w:val="20"/>
                <w:szCs w:val="20"/>
              </w:rPr>
              <w:t>01</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367E35B0" w14:textId="77777777" w:rsidR="00387142" w:rsidRPr="008B6A75" w:rsidRDefault="00387142" w:rsidP="00387142">
            <w:pPr>
              <w:jc w:val="center"/>
              <w:rPr>
                <w:sz w:val="20"/>
                <w:szCs w:val="20"/>
              </w:rPr>
            </w:pPr>
            <w:r w:rsidRPr="008B6A75">
              <w:rPr>
                <w:sz w:val="20"/>
                <w:szCs w:val="20"/>
              </w:rPr>
              <w:t>07.1.00.70510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DE789B" w14:textId="77777777" w:rsidR="00387142" w:rsidRPr="008B6A75" w:rsidRDefault="00387142" w:rsidP="00387142">
            <w:pPr>
              <w:jc w:val="center"/>
              <w:rPr>
                <w:sz w:val="20"/>
                <w:szCs w:val="20"/>
              </w:rPr>
            </w:pPr>
            <w:r w:rsidRPr="008B6A75">
              <w:rPr>
                <w:sz w:val="20"/>
                <w:szCs w:val="20"/>
              </w:rPr>
              <w:t>110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C599B7" w14:textId="77777777" w:rsidR="00387142" w:rsidRPr="008B6A75" w:rsidRDefault="00387142" w:rsidP="00387142">
            <w:pPr>
              <w:jc w:val="right"/>
              <w:rPr>
                <w:sz w:val="20"/>
                <w:szCs w:val="20"/>
              </w:rPr>
            </w:pPr>
            <w:r w:rsidRPr="008B6A75">
              <w:rPr>
                <w:sz w:val="20"/>
                <w:szCs w:val="20"/>
              </w:rPr>
              <w:t>69 864 793,66</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76A6DF4A" w14:textId="77777777" w:rsidR="00387142" w:rsidRPr="008B6A75" w:rsidRDefault="00387142" w:rsidP="00387142">
            <w:pPr>
              <w:jc w:val="right"/>
              <w:rPr>
                <w:sz w:val="20"/>
                <w:szCs w:val="20"/>
              </w:rPr>
            </w:pPr>
            <w:r w:rsidRPr="008B6A75">
              <w:rPr>
                <w:sz w:val="20"/>
                <w:szCs w:val="20"/>
              </w:rPr>
              <w:t>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D1039A" w14:textId="77777777" w:rsidR="00387142" w:rsidRPr="008B6A75" w:rsidRDefault="00387142" w:rsidP="00387142">
            <w:pPr>
              <w:jc w:val="right"/>
              <w:rPr>
                <w:sz w:val="20"/>
                <w:szCs w:val="20"/>
              </w:rPr>
            </w:pPr>
            <w:r w:rsidRPr="008B6A75">
              <w:rPr>
                <w:sz w:val="20"/>
                <w:szCs w:val="20"/>
              </w:rPr>
              <w:t>0,00</w:t>
            </w:r>
          </w:p>
        </w:tc>
        <w:tc>
          <w:tcPr>
            <w:tcW w:w="222" w:type="dxa"/>
            <w:vAlign w:val="center"/>
            <w:hideMark/>
          </w:tcPr>
          <w:p w14:paraId="3F843689" w14:textId="77777777" w:rsidR="00387142" w:rsidRPr="008B6A75" w:rsidRDefault="00387142" w:rsidP="00387142">
            <w:pPr>
              <w:rPr>
                <w:sz w:val="20"/>
                <w:szCs w:val="20"/>
              </w:rPr>
            </w:pPr>
          </w:p>
        </w:tc>
      </w:tr>
      <w:tr w:rsidR="00387142" w:rsidRPr="008B6A75" w14:paraId="3602659F" w14:textId="77777777" w:rsidTr="00387142">
        <w:trPr>
          <w:trHeight w:val="585"/>
        </w:trPr>
        <w:tc>
          <w:tcPr>
            <w:tcW w:w="3021" w:type="dxa"/>
            <w:tcBorders>
              <w:top w:val="nil"/>
              <w:left w:val="single" w:sz="4" w:space="0" w:color="auto"/>
              <w:bottom w:val="nil"/>
              <w:right w:val="nil"/>
            </w:tcBorders>
            <w:shd w:val="clear" w:color="auto" w:fill="auto"/>
            <w:vAlign w:val="center"/>
            <w:hideMark/>
          </w:tcPr>
          <w:p w14:paraId="31A13AF6" w14:textId="77777777" w:rsidR="00387142" w:rsidRPr="008B6A75" w:rsidRDefault="00387142" w:rsidP="00387142">
            <w:pPr>
              <w:rPr>
                <w:sz w:val="20"/>
                <w:szCs w:val="20"/>
              </w:rPr>
            </w:pPr>
            <w:r w:rsidRPr="008B6A75">
              <w:rPr>
                <w:sz w:val="20"/>
                <w:szCs w:val="20"/>
              </w:rPr>
              <w:t>Закупка товаров, работ и услуг для обеспечения государственных (муниципальных) нужд</w:t>
            </w:r>
          </w:p>
        </w:tc>
        <w:tc>
          <w:tcPr>
            <w:tcW w:w="850" w:type="dxa"/>
            <w:tcBorders>
              <w:top w:val="nil"/>
              <w:left w:val="single" w:sz="4" w:space="0" w:color="auto"/>
              <w:bottom w:val="nil"/>
              <w:right w:val="nil"/>
            </w:tcBorders>
            <w:shd w:val="clear" w:color="auto" w:fill="auto"/>
            <w:noWrap/>
            <w:vAlign w:val="center"/>
            <w:hideMark/>
          </w:tcPr>
          <w:p w14:paraId="115FCC0F" w14:textId="77777777" w:rsidR="00387142" w:rsidRPr="008B6A75" w:rsidRDefault="00387142" w:rsidP="00387142">
            <w:pPr>
              <w:jc w:val="center"/>
              <w:rPr>
                <w:sz w:val="20"/>
                <w:szCs w:val="20"/>
              </w:rPr>
            </w:pPr>
            <w:r w:rsidRPr="008B6A75">
              <w:rPr>
                <w:sz w:val="20"/>
                <w:szCs w:val="20"/>
              </w:rPr>
              <w:t>444</w:t>
            </w:r>
          </w:p>
        </w:tc>
        <w:tc>
          <w:tcPr>
            <w:tcW w:w="709" w:type="dxa"/>
            <w:tcBorders>
              <w:top w:val="nil"/>
              <w:left w:val="single" w:sz="4" w:space="0" w:color="auto"/>
              <w:bottom w:val="nil"/>
              <w:right w:val="nil"/>
            </w:tcBorders>
            <w:shd w:val="clear" w:color="auto" w:fill="auto"/>
            <w:noWrap/>
            <w:vAlign w:val="center"/>
            <w:hideMark/>
          </w:tcPr>
          <w:p w14:paraId="23240303" w14:textId="77777777" w:rsidR="00387142" w:rsidRPr="008B6A75" w:rsidRDefault="00387142" w:rsidP="00387142">
            <w:pPr>
              <w:jc w:val="center"/>
              <w:rPr>
                <w:sz w:val="20"/>
                <w:szCs w:val="20"/>
              </w:rPr>
            </w:pPr>
            <w:r w:rsidRPr="008B6A75">
              <w:rPr>
                <w:sz w:val="20"/>
                <w:szCs w:val="20"/>
              </w:rPr>
              <w:t>07</w:t>
            </w:r>
          </w:p>
        </w:tc>
        <w:tc>
          <w:tcPr>
            <w:tcW w:w="709" w:type="dxa"/>
            <w:tcBorders>
              <w:top w:val="nil"/>
              <w:left w:val="single" w:sz="4" w:space="0" w:color="auto"/>
              <w:bottom w:val="nil"/>
              <w:right w:val="single" w:sz="4" w:space="0" w:color="auto"/>
            </w:tcBorders>
            <w:shd w:val="clear" w:color="auto" w:fill="auto"/>
            <w:noWrap/>
            <w:vAlign w:val="center"/>
            <w:hideMark/>
          </w:tcPr>
          <w:p w14:paraId="37946055" w14:textId="77777777" w:rsidR="00387142" w:rsidRPr="008B6A75" w:rsidRDefault="00387142" w:rsidP="00387142">
            <w:pPr>
              <w:jc w:val="center"/>
              <w:rPr>
                <w:sz w:val="20"/>
                <w:szCs w:val="20"/>
              </w:rPr>
            </w:pPr>
            <w:r w:rsidRPr="008B6A75">
              <w:rPr>
                <w:sz w:val="20"/>
                <w:szCs w:val="20"/>
              </w:rPr>
              <w:t>01</w:t>
            </w:r>
          </w:p>
        </w:tc>
        <w:tc>
          <w:tcPr>
            <w:tcW w:w="1411" w:type="dxa"/>
            <w:tcBorders>
              <w:top w:val="nil"/>
              <w:left w:val="single" w:sz="4" w:space="0" w:color="auto"/>
              <w:bottom w:val="nil"/>
              <w:right w:val="nil"/>
            </w:tcBorders>
            <w:shd w:val="clear" w:color="auto" w:fill="auto"/>
            <w:noWrap/>
            <w:vAlign w:val="center"/>
            <w:hideMark/>
          </w:tcPr>
          <w:p w14:paraId="52407957" w14:textId="77777777" w:rsidR="00387142" w:rsidRPr="008B6A75" w:rsidRDefault="00387142" w:rsidP="00387142">
            <w:pPr>
              <w:jc w:val="center"/>
              <w:rPr>
                <w:sz w:val="20"/>
                <w:szCs w:val="20"/>
              </w:rPr>
            </w:pPr>
            <w:r w:rsidRPr="008B6A75">
              <w:rPr>
                <w:sz w:val="20"/>
                <w:szCs w:val="20"/>
              </w:rPr>
              <w:t>07.1.00.70510</w:t>
            </w:r>
          </w:p>
        </w:tc>
        <w:tc>
          <w:tcPr>
            <w:tcW w:w="955" w:type="dxa"/>
            <w:tcBorders>
              <w:top w:val="nil"/>
              <w:left w:val="single" w:sz="4" w:space="0" w:color="auto"/>
              <w:bottom w:val="nil"/>
              <w:right w:val="single" w:sz="4" w:space="0" w:color="auto"/>
            </w:tcBorders>
            <w:shd w:val="clear" w:color="auto" w:fill="auto"/>
            <w:noWrap/>
            <w:vAlign w:val="center"/>
            <w:hideMark/>
          </w:tcPr>
          <w:p w14:paraId="0E7BDDFE" w14:textId="77777777" w:rsidR="00387142" w:rsidRPr="008B6A75" w:rsidRDefault="00387142" w:rsidP="00387142">
            <w:pPr>
              <w:jc w:val="center"/>
              <w:rPr>
                <w:sz w:val="20"/>
                <w:szCs w:val="20"/>
              </w:rPr>
            </w:pPr>
            <w:r w:rsidRPr="008B6A75">
              <w:rPr>
                <w:sz w:val="20"/>
                <w:szCs w:val="20"/>
              </w:rPr>
              <w:t>200</w:t>
            </w:r>
          </w:p>
        </w:tc>
        <w:tc>
          <w:tcPr>
            <w:tcW w:w="992" w:type="dxa"/>
            <w:tcBorders>
              <w:top w:val="nil"/>
              <w:left w:val="single" w:sz="4" w:space="0" w:color="auto"/>
              <w:bottom w:val="nil"/>
              <w:right w:val="single" w:sz="4" w:space="0" w:color="auto"/>
            </w:tcBorders>
            <w:shd w:val="clear" w:color="auto" w:fill="auto"/>
            <w:noWrap/>
            <w:vAlign w:val="center"/>
            <w:hideMark/>
          </w:tcPr>
          <w:p w14:paraId="41001584" w14:textId="77777777" w:rsidR="00387142" w:rsidRPr="008B6A75" w:rsidRDefault="00387142" w:rsidP="00387142">
            <w:pPr>
              <w:jc w:val="right"/>
              <w:rPr>
                <w:sz w:val="20"/>
                <w:szCs w:val="20"/>
              </w:rPr>
            </w:pPr>
            <w:r w:rsidRPr="008B6A75">
              <w:rPr>
                <w:sz w:val="20"/>
                <w:szCs w:val="20"/>
              </w:rPr>
              <w:t>1 016 232,18</w:t>
            </w:r>
          </w:p>
        </w:tc>
        <w:tc>
          <w:tcPr>
            <w:tcW w:w="992" w:type="dxa"/>
            <w:gridSpan w:val="2"/>
            <w:tcBorders>
              <w:top w:val="nil"/>
              <w:left w:val="single" w:sz="4" w:space="0" w:color="auto"/>
              <w:bottom w:val="nil"/>
              <w:right w:val="nil"/>
            </w:tcBorders>
            <w:shd w:val="clear" w:color="auto" w:fill="auto"/>
            <w:noWrap/>
            <w:vAlign w:val="center"/>
            <w:hideMark/>
          </w:tcPr>
          <w:p w14:paraId="3B46444B" w14:textId="77777777" w:rsidR="00387142" w:rsidRPr="008B6A75" w:rsidRDefault="00387142" w:rsidP="00387142">
            <w:pPr>
              <w:jc w:val="right"/>
              <w:rPr>
                <w:sz w:val="20"/>
                <w:szCs w:val="20"/>
              </w:rPr>
            </w:pPr>
            <w:r w:rsidRPr="008B6A75">
              <w:rPr>
                <w:sz w:val="20"/>
                <w:szCs w:val="20"/>
              </w:rPr>
              <w:t>0,00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11B6B4D6" w14:textId="77777777" w:rsidR="00387142" w:rsidRPr="008B6A75" w:rsidRDefault="00387142" w:rsidP="00387142">
            <w:pPr>
              <w:jc w:val="right"/>
              <w:rPr>
                <w:sz w:val="20"/>
                <w:szCs w:val="20"/>
              </w:rPr>
            </w:pPr>
            <w:r w:rsidRPr="008B6A75">
              <w:rPr>
                <w:sz w:val="20"/>
                <w:szCs w:val="20"/>
              </w:rPr>
              <w:t>0,00</w:t>
            </w:r>
          </w:p>
        </w:tc>
        <w:tc>
          <w:tcPr>
            <w:tcW w:w="222" w:type="dxa"/>
            <w:vAlign w:val="center"/>
            <w:hideMark/>
          </w:tcPr>
          <w:p w14:paraId="29442313" w14:textId="77777777" w:rsidR="00387142" w:rsidRPr="008B6A75" w:rsidRDefault="00387142" w:rsidP="00387142">
            <w:pPr>
              <w:rPr>
                <w:sz w:val="20"/>
                <w:szCs w:val="20"/>
              </w:rPr>
            </w:pPr>
          </w:p>
        </w:tc>
      </w:tr>
      <w:tr w:rsidR="00387142" w:rsidRPr="008B6A75" w14:paraId="66A2CA48" w14:textId="77777777" w:rsidTr="00387142">
        <w:trPr>
          <w:trHeight w:val="870"/>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150156D0" w14:textId="77777777" w:rsidR="00387142" w:rsidRPr="008B6A75" w:rsidRDefault="00387142" w:rsidP="00387142">
            <w:pPr>
              <w:rPr>
                <w:sz w:val="20"/>
                <w:szCs w:val="20"/>
              </w:rPr>
            </w:pPr>
            <w:r w:rsidRPr="008B6A75">
              <w:rPr>
                <w:sz w:val="20"/>
                <w:szCs w:val="20"/>
              </w:rPr>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6F6C1911" w14:textId="77777777" w:rsidR="00387142" w:rsidRPr="008B6A75" w:rsidRDefault="00387142" w:rsidP="00387142">
            <w:pPr>
              <w:jc w:val="center"/>
              <w:rPr>
                <w:sz w:val="20"/>
                <w:szCs w:val="20"/>
              </w:rPr>
            </w:pPr>
            <w:r w:rsidRPr="008B6A75">
              <w:rPr>
                <w:sz w:val="20"/>
                <w:szCs w:val="20"/>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210A8129" w14:textId="77777777" w:rsidR="00387142" w:rsidRPr="008B6A75" w:rsidRDefault="00387142" w:rsidP="00387142">
            <w:pPr>
              <w:jc w:val="center"/>
              <w:rPr>
                <w:sz w:val="20"/>
                <w:szCs w:val="20"/>
              </w:rPr>
            </w:pPr>
            <w:r w:rsidRPr="008B6A75">
              <w:rPr>
                <w:sz w:val="20"/>
                <w:szCs w:val="20"/>
              </w:rPr>
              <w:t>07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09CF99" w14:textId="77777777" w:rsidR="00387142" w:rsidRPr="008B6A75" w:rsidRDefault="00387142" w:rsidP="00387142">
            <w:pPr>
              <w:jc w:val="center"/>
              <w:rPr>
                <w:sz w:val="20"/>
                <w:szCs w:val="20"/>
              </w:rPr>
            </w:pPr>
            <w:r w:rsidRPr="008B6A75">
              <w:rPr>
                <w:sz w:val="20"/>
                <w:szCs w:val="20"/>
              </w:rPr>
              <w:t>01</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326DE1EC" w14:textId="77777777" w:rsidR="00387142" w:rsidRPr="008B6A75" w:rsidRDefault="00387142" w:rsidP="00387142">
            <w:pPr>
              <w:jc w:val="center"/>
              <w:rPr>
                <w:sz w:val="20"/>
                <w:szCs w:val="20"/>
              </w:rPr>
            </w:pPr>
            <w:r w:rsidRPr="008B6A75">
              <w:rPr>
                <w:sz w:val="20"/>
                <w:szCs w:val="20"/>
              </w:rPr>
              <w:t>07.1.00.70510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80DD32" w14:textId="77777777" w:rsidR="00387142" w:rsidRPr="008B6A75" w:rsidRDefault="00387142" w:rsidP="00387142">
            <w:pPr>
              <w:jc w:val="center"/>
              <w:rPr>
                <w:sz w:val="20"/>
                <w:szCs w:val="20"/>
              </w:rPr>
            </w:pPr>
            <w:r w:rsidRPr="008B6A75">
              <w:rPr>
                <w:sz w:val="20"/>
                <w:szCs w:val="20"/>
              </w:rPr>
              <w:t>240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B2A56D" w14:textId="77777777" w:rsidR="00387142" w:rsidRPr="008B6A75" w:rsidRDefault="00387142" w:rsidP="00387142">
            <w:pPr>
              <w:jc w:val="right"/>
              <w:rPr>
                <w:sz w:val="20"/>
                <w:szCs w:val="20"/>
              </w:rPr>
            </w:pPr>
            <w:r w:rsidRPr="008B6A75">
              <w:rPr>
                <w:sz w:val="20"/>
                <w:szCs w:val="20"/>
              </w:rPr>
              <w:t>1 016 232,18</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7E810D67" w14:textId="77777777" w:rsidR="00387142" w:rsidRPr="008B6A75" w:rsidRDefault="00387142" w:rsidP="00387142">
            <w:pPr>
              <w:jc w:val="right"/>
              <w:rPr>
                <w:sz w:val="20"/>
                <w:szCs w:val="20"/>
              </w:rPr>
            </w:pPr>
            <w:r w:rsidRPr="008B6A75">
              <w:rPr>
                <w:sz w:val="20"/>
                <w:szCs w:val="20"/>
              </w:rPr>
              <w:t>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EC1B35" w14:textId="77777777" w:rsidR="00387142" w:rsidRPr="008B6A75" w:rsidRDefault="00387142" w:rsidP="00387142">
            <w:pPr>
              <w:jc w:val="right"/>
              <w:rPr>
                <w:sz w:val="20"/>
                <w:szCs w:val="20"/>
              </w:rPr>
            </w:pPr>
            <w:r w:rsidRPr="008B6A75">
              <w:rPr>
                <w:sz w:val="20"/>
                <w:szCs w:val="20"/>
              </w:rPr>
              <w:t>0,00</w:t>
            </w:r>
          </w:p>
        </w:tc>
        <w:tc>
          <w:tcPr>
            <w:tcW w:w="222" w:type="dxa"/>
            <w:vAlign w:val="center"/>
            <w:hideMark/>
          </w:tcPr>
          <w:p w14:paraId="77DCA494" w14:textId="77777777" w:rsidR="00387142" w:rsidRPr="008B6A75" w:rsidRDefault="00387142" w:rsidP="00387142">
            <w:pPr>
              <w:rPr>
                <w:sz w:val="20"/>
                <w:szCs w:val="20"/>
              </w:rPr>
            </w:pPr>
          </w:p>
        </w:tc>
      </w:tr>
      <w:tr w:rsidR="00387142" w:rsidRPr="008B6A75" w14:paraId="493F256C" w14:textId="77777777" w:rsidTr="00387142">
        <w:trPr>
          <w:trHeight w:val="2580"/>
        </w:trPr>
        <w:tc>
          <w:tcPr>
            <w:tcW w:w="3021" w:type="dxa"/>
            <w:tcBorders>
              <w:top w:val="nil"/>
              <w:left w:val="single" w:sz="4" w:space="0" w:color="auto"/>
              <w:bottom w:val="nil"/>
              <w:right w:val="nil"/>
            </w:tcBorders>
            <w:shd w:val="clear" w:color="auto" w:fill="auto"/>
            <w:vAlign w:val="center"/>
            <w:hideMark/>
          </w:tcPr>
          <w:p w14:paraId="0E372A90" w14:textId="77777777" w:rsidR="00387142" w:rsidRPr="008B6A75" w:rsidRDefault="00387142" w:rsidP="00387142">
            <w:pPr>
              <w:rPr>
                <w:bCs/>
                <w:sz w:val="20"/>
                <w:szCs w:val="20"/>
              </w:rPr>
            </w:pPr>
            <w:proofErr w:type="spellStart"/>
            <w:r w:rsidRPr="008B6A75">
              <w:rPr>
                <w:bCs/>
                <w:sz w:val="20"/>
                <w:szCs w:val="20"/>
              </w:rPr>
              <w:t>Софинансирование</w:t>
            </w:r>
            <w:proofErr w:type="spellEnd"/>
            <w:r w:rsidRPr="008B6A75">
              <w:rPr>
                <w:bCs/>
                <w:sz w:val="20"/>
                <w:szCs w:val="20"/>
              </w:rPr>
              <w:t xml:space="preserve"> местного бюджета на реализацию мероприятий по установке и модернизации систем видеонаблюдения, автоматической пожарной сигнализации и пожарного мониторинга государственной программы Новосибирской области "Построение и развитие аппаратно-программного комплекса "Безопасный город" в Новосибирской области"</w:t>
            </w:r>
          </w:p>
        </w:tc>
        <w:tc>
          <w:tcPr>
            <w:tcW w:w="850" w:type="dxa"/>
            <w:tcBorders>
              <w:top w:val="nil"/>
              <w:left w:val="single" w:sz="4" w:space="0" w:color="auto"/>
              <w:bottom w:val="nil"/>
              <w:right w:val="nil"/>
            </w:tcBorders>
            <w:shd w:val="clear" w:color="auto" w:fill="auto"/>
            <w:noWrap/>
            <w:vAlign w:val="center"/>
            <w:hideMark/>
          </w:tcPr>
          <w:p w14:paraId="75689A32" w14:textId="77777777" w:rsidR="00387142" w:rsidRPr="008B6A75" w:rsidRDefault="00387142" w:rsidP="00387142">
            <w:pPr>
              <w:jc w:val="center"/>
              <w:rPr>
                <w:bCs/>
                <w:sz w:val="20"/>
                <w:szCs w:val="20"/>
              </w:rPr>
            </w:pPr>
            <w:r w:rsidRPr="008B6A75">
              <w:rPr>
                <w:bCs/>
                <w:sz w:val="20"/>
                <w:szCs w:val="20"/>
              </w:rPr>
              <w:t>444</w:t>
            </w:r>
          </w:p>
        </w:tc>
        <w:tc>
          <w:tcPr>
            <w:tcW w:w="709" w:type="dxa"/>
            <w:tcBorders>
              <w:top w:val="nil"/>
              <w:left w:val="single" w:sz="4" w:space="0" w:color="auto"/>
              <w:bottom w:val="nil"/>
              <w:right w:val="nil"/>
            </w:tcBorders>
            <w:shd w:val="clear" w:color="auto" w:fill="auto"/>
            <w:noWrap/>
            <w:vAlign w:val="center"/>
            <w:hideMark/>
          </w:tcPr>
          <w:p w14:paraId="48F05FBB" w14:textId="77777777" w:rsidR="00387142" w:rsidRPr="008B6A75" w:rsidRDefault="00387142" w:rsidP="00387142">
            <w:pPr>
              <w:jc w:val="center"/>
              <w:rPr>
                <w:bCs/>
                <w:sz w:val="20"/>
                <w:szCs w:val="20"/>
              </w:rPr>
            </w:pPr>
            <w:r w:rsidRPr="008B6A75">
              <w:rPr>
                <w:bCs/>
                <w:sz w:val="20"/>
                <w:szCs w:val="20"/>
              </w:rPr>
              <w:t>07</w:t>
            </w:r>
          </w:p>
        </w:tc>
        <w:tc>
          <w:tcPr>
            <w:tcW w:w="709" w:type="dxa"/>
            <w:tcBorders>
              <w:top w:val="nil"/>
              <w:left w:val="single" w:sz="4" w:space="0" w:color="auto"/>
              <w:bottom w:val="nil"/>
              <w:right w:val="single" w:sz="4" w:space="0" w:color="auto"/>
            </w:tcBorders>
            <w:shd w:val="clear" w:color="auto" w:fill="auto"/>
            <w:noWrap/>
            <w:vAlign w:val="center"/>
            <w:hideMark/>
          </w:tcPr>
          <w:p w14:paraId="4895749B" w14:textId="77777777" w:rsidR="00387142" w:rsidRPr="008B6A75" w:rsidRDefault="00387142" w:rsidP="00387142">
            <w:pPr>
              <w:jc w:val="center"/>
              <w:rPr>
                <w:bCs/>
                <w:sz w:val="20"/>
                <w:szCs w:val="20"/>
              </w:rPr>
            </w:pPr>
            <w:r w:rsidRPr="008B6A75">
              <w:rPr>
                <w:bCs/>
                <w:sz w:val="20"/>
                <w:szCs w:val="20"/>
              </w:rPr>
              <w:t>01</w:t>
            </w:r>
          </w:p>
        </w:tc>
        <w:tc>
          <w:tcPr>
            <w:tcW w:w="1411" w:type="dxa"/>
            <w:tcBorders>
              <w:top w:val="nil"/>
              <w:left w:val="single" w:sz="4" w:space="0" w:color="auto"/>
              <w:bottom w:val="nil"/>
              <w:right w:val="nil"/>
            </w:tcBorders>
            <w:shd w:val="clear" w:color="auto" w:fill="auto"/>
            <w:noWrap/>
            <w:vAlign w:val="center"/>
            <w:hideMark/>
          </w:tcPr>
          <w:p w14:paraId="28A738D3" w14:textId="77777777" w:rsidR="00387142" w:rsidRPr="008B6A75" w:rsidRDefault="00387142" w:rsidP="00387142">
            <w:pPr>
              <w:jc w:val="center"/>
              <w:rPr>
                <w:bCs/>
                <w:sz w:val="20"/>
                <w:szCs w:val="20"/>
              </w:rPr>
            </w:pPr>
            <w:r w:rsidRPr="008B6A75">
              <w:rPr>
                <w:bCs/>
                <w:sz w:val="20"/>
                <w:szCs w:val="20"/>
              </w:rPr>
              <w:t>07.1.00.S2590</w:t>
            </w:r>
          </w:p>
        </w:tc>
        <w:tc>
          <w:tcPr>
            <w:tcW w:w="955" w:type="dxa"/>
            <w:tcBorders>
              <w:top w:val="nil"/>
              <w:left w:val="single" w:sz="4" w:space="0" w:color="auto"/>
              <w:bottom w:val="nil"/>
              <w:right w:val="single" w:sz="4" w:space="0" w:color="auto"/>
            </w:tcBorders>
            <w:shd w:val="clear" w:color="auto" w:fill="auto"/>
            <w:noWrap/>
            <w:vAlign w:val="center"/>
            <w:hideMark/>
          </w:tcPr>
          <w:p w14:paraId="323BBA50"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nil"/>
              <w:right w:val="single" w:sz="4" w:space="0" w:color="auto"/>
            </w:tcBorders>
            <w:shd w:val="clear" w:color="auto" w:fill="auto"/>
            <w:noWrap/>
            <w:vAlign w:val="center"/>
            <w:hideMark/>
          </w:tcPr>
          <w:p w14:paraId="386769BA" w14:textId="77777777" w:rsidR="00387142" w:rsidRPr="008B6A75" w:rsidRDefault="00387142" w:rsidP="00387142">
            <w:pPr>
              <w:jc w:val="right"/>
              <w:rPr>
                <w:bCs/>
                <w:sz w:val="20"/>
                <w:szCs w:val="20"/>
              </w:rPr>
            </w:pPr>
            <w:r w:rsidRPr="008B6A75">
              <w:rPr>
                <w:bCs/>
                <w:sz w:val="20"/>
                <w:szCs w:val="20"/>
              </w:rPr>
              <w:t>1 296,48</w:t>
            </w:r>
          </w:p>
        </w:tc>
        <w:tc>
          <w:tcPr>
            <w:tcW w:w="992" w:type="dxa"/>
            <w:gridSpan w:val="2"/>
            <w:tcBorders>
              <w:top w:val="nil"/>
              <w:left w:val="single" w:sz="4" w:space="0" w:color="auto"/>
              <w:bottom w:val="nil"/>
              <w:right w:val="nil"/>
            </w:tcBorders>
            <w:shd w:val="clear" w:color="auto" w:fill="auto"/>
            <w:noWrap/>
            <w:vAlign w:val="center"/>
            <w:hideMark/>
          </w:tcPr>
          <w:p w14:paraId="724FD62A" w14:textId="77777777" w:rsidR="00387142" w:rsidRPr="008B6A75" w:rsidRDefault="00387142" w:rsidP="00387142">
            <w:pPr>
              <w:jc w:val="right"/>
              <w:rPr>
                <w:bCs/>
                <w:sz w:val="20"/>
                <w:szCs w:val="20"/>
              </w:rPr>
            </w:pPr>
            <w:r w:rsidRPr="008B6A75">
              <w:rPr>
                <w:bCs/>
                <w:sz w:val="20"/>
                <w:szCs w:val="20"/>
              </w:rPr>
              <w:t>0,00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7BD8020A" w14:textId="77777777" w:rsidR="00387142" w:rsidRPr="008B6A75" w:rsidRDefault="00387142" w:rsidP="00387142">
            <w:pPr>
              <w:jc w:val="right"/>
              <w:rPr>
                <w:bCs/>
                <w:sz w:val="20"/>
                <w:szCs w:val="20"/>
              </w:rPr>
            </w:pPr>
            <w:r w:rsidRPr="008B6A75">
              <w:rPr>
                <w:bCs/>
                <w:sz w:val="20"/>
                <w:szCs w:val="20"/>
              </w:rPr>
              <w:t>0,00</w:t>
            </w:r>
          </w:p>
        </w:tc>
        <w:tc>
          <w:tcPr>
            <w:tcW w:w="222" w:type="dxa"/>
            <w:vAlign w:val="center"/>
            <w:hideMark/>
          </w:tcPr>
          <w:p w14:paraId="28D33258" w14:textId="77777777" w:rsidR="00387142" w:rsidRPr="008B6A75" w:rsidRDefault="00387142" w:rsidP="00387142">
            <w:pPr>
              <w:rPr>
                <w:sz w:val="20"/>
                <w:szCs w:val="20"/>
              </w:rPr>
            </w:pPr>
          </w:p>
        </w:tc>
      </w:tr>
      <w:tr w:rsidR="00387142" w:rsidRPr="008B6A75" w14:paraId="2CF9C05B" w14:textId="77777777" w:rsidTr="00387142">
        <w:trPr>
          <w:trHeight w:val="585"/>
        </w:trPr>
        <w:tc>
          <w:tcPr>
            <w:tcW w:w="3021" w:type="dxa"/>
            <w:tcBorders>
              <w:top w:val="single" w:sz="4" w:space="0" w:color="auto"/>
              <w:left w:val="single" w:sz="4" w:space="0" w:color="auto"/>
              <w:bottom w:val="nil"/>
              <w:right w:val="nil"/>
            </w:tcBorders>
            <w:shd w:val="clear" w:color="auto" w:fill="auto"/>
            <w:vAlign w:val="center"/>
            <w:hideMark/>
          </w:tcPr>
          <w:p w14:paraId="168B76B4" w14:textId="77777777" w:rsidR="00387142" w:rsidRPr="008B6A75" w:rsidRDefault="00387142" w:rsidP="00387142">
            <w:pPr>
              <w:rPr>
                <w:sz w:val="20"/>
                <w:szCs w:val="20"/>
              </w:rPr>
            </w:pPr>
            <w:r w:rsidRPr="008B6A75">
              <w:rPr>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nil"/>
              <w:right w:val="nil"/>
            </w:tcBorders>
            <w:shd w:val="clear" w:color="auto" w:fill="auto"/>
            <w:noWrap/>
            <w:vAlign w:val="center"/>
            <w:hideMark/>
          </w:tcPr>
          <w:p w14:paraId="7F55A264" w14:textId="77777777" w:rsidR="00387142" w:rsidRPr="008B6A75" w:rsidRDefault="00387142" w:rsidP="00387142">
            <w:pPr>
              <w:jc w:val="center"/>
              <w:rPr>
                <w:sz w:val="20"/>
                <w:szCs w:val="20"/>
              </w:rPr>
            </w:pPr>
            <w:r w:rsidRPr="008B6A75">
              <w:rPr>
                <w:sz w:val="20"/>
                <w:szCs w:val="20"/>
              </w:rPr>
              <w:t>444</w:t>
            </w:r>
          </w:p>
        </w:tc>
        <w:tc>
          <w:tcPr>
            <w:tcW w:w="709" w:type="dxa"/>
            <w:tcBorders>
              <w:top w:val="single" w:sz="4" w:space="0" w:color="auto"/>
              <w:left w:val="single" w:sz="4" w:space="0" w:color="auto"/>
              <w:bottom w:val="nil"/>
              <w:right w:val="nil"/>
            </w:tcBorders>
            <w:shd w:val="clear" w:color="auto" w:fill="auto"/>
            <w:noWrap/>
            <w:vAlign w:val="center"/>
            <w:hideMark/>
          </w:tcPr>
          <w:p w14:paraId="1343CFB7" w14:textId="77777777" w:rsidR="00387142" w:rsidRPr="008B6A75" w:rsidRDefault="00387142" w:rsidP="00387142">
            <w:pPr>
              <w:jc w:val="center"/>
              <w:rPr>
                <w:sz w:val="20"/>
                <w:szCs w:val="20"/>
              </w:rPr>
            </w:pPr>
            <w:r w:rsidRPr="008B6A75">
              <w:rPr>
                <w:sz w:val="20"/>
                <w:szCs w:val="20"/>
              </w:rPr>
              <w:t>07</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2B845CD9" w14:textId="77777777" w:rsidR="00387142" w:rsidRPr="008B6A75" w:rsidRDefault="00387142" w:rsidP="00387142">
            <w:pPr>
              <w:jc w:val="center"/>
              <w:rPr>
                <w:sz w:val="20"/>
                <w:szCs w:val="20"/>
              </w:rPr>
            </w:pPr>
            <w:r w:rsidRPr="008B6A75">
              <w:rPr>
                <w:sz w:val="20"/>
                <w:szCs w:val="20"/>
              </w:rPr>
              <w:t>01</w:t>
            </w:r>
          </w:p>
        </w:tc>
        <w:tc>
          <w:tcPr>
            <w:tcW w:w="1411" w:type="dxa"/>
            <w:tcBorders>
              <w:top w:val="single" w:sz="4" w:space="0" w:color="auto"/>
              <w:left w:val="single" w:sz="4" w:space="0" w:color="auto"/>
              <w:bottom w:val="nil"/>
              <w:right w:val="nil"/>
            </w:tcBorders>
            <w:shd w:val="clear" w:color="auto" w:fill="auto"/>
            <w:noWrap/>
            <w:vAlign w:val="center"/>
            <w:hideMark/>
          </w:tcPr>
          <w:p w14:paraId="0FEAC19C" w14:textId="77777777" w:rsidR="00387142" w:rsidRPr="008B6A75" w:rsidRDefault="00387142" w:rsidP="00387142">
            <w:pPr>
              <w:jc w:val="center"/>
              <w:rPr>
                <w:sz w:val="20"/>
                <w:szCs w:val="20"/>
              </w:rPr>
            </w:pPr>
            <w:r w:rsidRPr="008B6A75">
              <w:rPr>
                <w:sz w:val="20"/>
                <w:szCs w:val="20"/>
              </w:rPr>
              <w:t>07.1.00.S2590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3C1229CE" w14:textId="77777777" w:rsidR="00387142" w:rsidRPr="008B6A75" w:rsidRDefault="00387142" w:rsidP="00387142">
            <w:pPr>
              <w:jc w:val="center"/>
              <w:rPr>
                <w:sz w:val="20"/>
                <w:szCs w:val="20"/>
              </w:rPr>
            </w:pPr>
            <w:r w:rsidRPr="008B6A75">
              <w:rPr>
                <w:sz w:val="20"/>
                <w:szCs w:val="20"/>
              </w:rPr>
              <w:t>200</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1FDA9D27" w14:textId="77777777" w:rsidR="00387142" w:rsidRPr="008B6A75" w:rsidRDefault="00387142" w:rsidP="00387142">
            <w:pPr>
              <w:jc w:val="right"/>
              <w:rPr>
                <w:sz w:val="20"/>
                <w:szCs w:val="20"/>
              </w:rPr>
            </w:pPr>
            <w:r w:rsidRPr="008B6A75">
              <w:rPr>
                <w:sz w:val="20"/>
                <w:szCs w:val="20"/>
              </w:rPr>
              <w:t>1 296,48</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20CBA86D" w14:textId="77777777" w:rsidR="00387142" w:rsidRPr="008B6A75" w:rsidRDefault="00387142" w:rsidP="00387142">
            <w:pPr>
              <w:jc w:val="right"/>
              <w:rPr>
                <w:sz w:val="20"/>
                <w:szCs w:val="20"/>
              </w:rPr>
            </w:pPr>
            <w:r w:rsidRPr="008B6A75">
              <w:rPr>
                <w:sz w:val="20"/>
                <w:szCs w:val="20"/>
              </w:rPr>
              <w:t>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40092D79" w14:textId="77777777" w:rsidR="00387142" w:rsidRPr="008B6A75" w:rsidRDefault="00387142" w:rsidP="00387142">
            <w:pPr>
              <w:jc w:val="right"/>
              <w:rPr>
                <w:sz w:val="20"/>
                <w:szCs w:val="20"/>
              </w:rPr>
            </w:pPr>
            <w:r w:rsidRPr="008B6A75">
              <w:rPr>
                <w:sz w:val="20"/>
                <w:szCs w:val="20"/>
              </w:rPr>
              <w:t>0,00</w:t>
            </w:r>
          </w:p>
        </w:tc>
        <w:tc>
          <w:tcPr>
            <w:tcW w:w="222" w:type="dxa"/>
            <w:vAlign w:val="center"/>
            <w:hideMark/>
          </w:tcPr>
          <w:p w14:paraId="3B22468F" w14:textId="77777777" w:rsidR="00387142" w:rsidRPr="008B6A75" w:rsidRDefault="00387142" w:rsidP="00387142">
            <w:pPr>
              <w:rPr>
                <w:sz w:val="20"/>
                <w:szCs w:val="20"/>
              </w:rPr>
            </w:pPr>
          </w:p>
        </w:tc>
      </w:tr>
      <w:tr w:rsidR="00387142" w:rsidRPr="008B6A75" w14:paraId="75336126" w14:textId="77777777" w:rsidTr="00387142">
        <w:trPr>
          <w:trHeight w:val="870"/>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045525D3" w14:textId="77777777" w:rsidR="00387142" w:rsidRPr="008B6A75" w:rsidRDefault="00387142" w:rsidP="00387142">
            <w:pPr>
              <w:rPr>
                <w:sz w:val="20"/>
                <w:szCs w:val="20"/>
              </w:rPr>
            </w:pPr>
            <w:r w:rsidRPr="008B6A75">
              <w:rPr>
                <w:sz w:val="20"/>
                <w:szCs w:val="20"/>
              </w:rPr>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5198BD0F" w14:textId="77777777" w:rsidR="00387142" w:rsidRPr="008B6A75" w:rsidRDefault="00387142" w:rsidP="00387142">
            <w:pPr>
              <w:jc w:val="center"/>
              <w:rPr>
                <w:sz w:val="20"/>
                <w:szCs w:val="20"/>
              </w:rPr>
            </w:pPr>
            <w:r w:rsidRPr="008B6A75">
              <w:rPr>
                <w:sz w:val="20"/>
                <w:szCs w:val="20"/>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6B99C522" w14:textId="77777777" w:rsidR="00387142" w:rsidRPr="008B6A75" w:rsidRDefault="00387142" w:rsidP="00387142">
            <w:pPr>
              <w:jc w:val="center"/>
              <w:rPr>
                <w:sz w:val="20"/>
                <w:szCs w:val="20"/>
              </w:rPr>
            </w:pPr>
            <w:r w:rsidRPr="008B6A75">
              <w:rPr>
                <w:sz w:val="20"/>
                <w:szCs w:val="20"/>
              </w:rPr>
              <w:t>07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2C9DA5" w14:textId="77777777" w:rsidR="00387142" w:rsidRPr="008B6A75" w:rsidRDefault="00387142" w:rsidP="00387142">
            <w:pPr>
              <w:jc w:val="center"/>
              <w:rPr>
                <w:sz w:val="20"/>
                <w:szCs w:val="20"/>
              </w:rPr>
            </w:pPr>
            <w:r w:rsidRPr="008B6A75">
              <w:rPr>
                <w:sz w:val="20"/>
                <w:szCs w:val="20"/>
              </w:rPr>
              <w:t>01</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1BA872D3" w14:textId="77777777" w:rsidR="00387142" w:rsidRPr="008B6A75" w:rsidRDefault="00387142" w:rsidP="00387142">
            <w:pPr>
              <w:jc w:val="center"/>
              <w:rPr>
                <w:sz w:val="20"/>
                <w:szCs w:val="20"/>
              </w:rPr>
            </w:pPr>
            <w:r w:rsidRPr="008B6A75">
              <w:rPr>
                <w:sz w:val="20"/>
                <w:szCs w:val="20"/>
              </w:rPr>
              <w:t>07.1.00.S2590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49BEC1" w14:textId="77777777" w:rsidR="00387142" w:rsidRPr="008B6A75" w:rsidRDefault="00387142" w:rsidP="00387142">
            <w:pPr>
              <w:jc w:val="center"/>
              <w:rPr>
                <w:sz w:val="20"/>
                <w:szCs w:val="20"/>
              </w:rPr>
            </w:pPr>
            <w:r w:rsidRPr="008B6A75">
              <w:rPr>
                <w:sz w:val="20"/>
                <w:szCs w:val="20"/>
              </w:rPr>
              <w:t>240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27AB23" w14:textId="77777777" w:rsidR="00387142" w:rsidRPr="008B6A75" w:rsidRDefault="00387142" w:rsidP="00387142">
            <w:pPr>
              <w:jc w:val="right"/>
              <w:rPr>
                <w:sz w:val="20"/>
                <w:szCs w:val="20"/>
              </w:rPr>
            </w:pPr>
            <w:r w:rsidRPr="008B6A75">
              <w:rPr>
                <w:sz w:val="20"/>
                <w:szCs w:val="20"/>
              </w:rPr>
              <w:t>1 296,48</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7CDD19F4" w14:textId="77777777" w:rsidR="00387142" w:rsidRPr="008B6A75" w:rsidRDefault="00387142" w:rsidP="00387142">
            <w:pPr>
              <w:jc w:val="right"/>
              <w:rPr>
                <w:sz w:val="20"/>
                <w:szCs w:val="20"/>
              </w:rPr>
            </w:pPr>
            <w:r w:rsidRPr="008B6A75">
              <w:rPr>
                <w:sz w:val="20"/>
                <w:szCs w:val="20"/>
              </w:rPr>
              <w:t>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39A757" w14:textId="77777777" w:rsidR="00387142" w:rsidRPr="008B6A75" w:rsidRDefault="00387142" w:rsidP="00387142">
            <w:pPr>
              <w:jc w:val="right"/>
              <w:rPr>
                <w:sz w:val="20"/>
                <w:szCs w:val="20"/>
              </w:rPr>
            </w:pPr>
            <w:r w:rsidRPr="008B6A75">
              <w:rPr>
                <w:sz w:val="20"/>
                <w:szCs w:val="20"/>
              </w:rPr>
              <w:t>0,00</w:t>
            </w:r>
          </w:p>
        </w:tc>
        <w:tc>
          <w:tcPr>
            <w:tcW w:w="222" w:type="dxa"/>
            <w:vAlign w:val="center"/>
            <w:hideMark/>
          </w:tcPr>
          <w:p w14:paraId="43D59EA1" w14:textId="77777777" w:rsidR="00387142" w:rsidRPr="008B6A75" w:rsidRDefault="00387142" w:rsidP="00387142">
            <w:pPr>
              <w:rPr>
                <w:sz w:val="20"/>
                <w:szCs w:val="20"/>
              </w:rPr>
            </w:pPr>
          </w:p>
        </w:tc>
      </w:tr>
      <w:tr w:rsidR="00387142" w:rsidRPr="008B6A75" w14:paraId="0C18305A" w14:textId="77777777" w:rsidTr="00387142">
        <w:trPr>
          <w:trHeight w:val="2865"/>
        </w:trPr>
        <w:tc>
          <w:tcPr>
            <w:tcW w:w="3021" w:type="dxa"/>
            <w:tcBorders>
              <w:top w:val="nil"/>
              <w:left w:val="single" w:sz="4" w:space="0" w:color="auto"/>
              <w:bottom w:val="nil"/>
              <w:right w:val="nil"/>
            </w:tcBorders>
            <w:shd w:val="clear" w:color="auto" w:fill="auto"/>
            <w:vAlign w:val="center"/>
            <w:hideMark/>
          </w:tcPr>
          <w:p w14:paraId="4F22E6C4" w14:textId="77777777" w:rsidR="00387142" w:rsidRPr="008B6A75" w:rsidRDefault="00387142" w:rsidP="00387142">
            <w:pPr>
              <w:rPr>
                <w:bCs/>
                <w:sz w:val="20"/>
                <w:szCs w:val="20"/>
              </w:rPr>
            </w:pPr>
            <w:proofErr w:type="spellStart"/>
            <w:r w:rsidRPr="008B6A75">
              <w:rPr>
                <w:bCs/>
                <w:sz w:val="20"/>
                <w:szCs w:val="20"/>
              </w:rPr>
              <w:t>Софинансирование</w:t>
            </w:r>
            <w:proofErr w:type="spellEnd"/>
            <w:r w:rsidRPr="008B6A75">
              <w:rPr>
                <w:bCs/>
                <w:sz w:val="20"/>
                <w:szCs w:val="20"/>
              </w:rPr>
              <w:t xml:space="preserve"> местного бюджета на реализацию мероприятий по модернизации образования Новосибирской </w:t>
            </w:r>
            <w:proofErr w:type="gramStart"/>
            <w:r w:rsidRPr="008B6A75">
              <w:rPr>
                <w:bCs/>
                <w:sz w:val="20"/>
                <w:szCs w:val="20"/>
              </w:rPr>
              <w:t>области  подпрограммы</w:t>
            </w:r>
            <w:proofErr w:type="gramEnd"/>
            <w:r w:rsidRPr="008B6A75">
              <w:rPr>
                <w:bCs/>
                <w:sz w:val="20"/>
                <w:szCs w:val="20"/>
              </w:rPr>
              <w:t xml:space="preserve"> "Развитие дошкольного, общего и дополнительного образования детей" в рамках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850" w:type="dxa"/>
            <w:tcBorders>
              <w:top w:val="nil"/>
              <w:left w:val="single" w:sz="4" w:space="0" w:color="auto"/>
              <w:bottom w:val="nil"/>
              <w:right w:val="nil"/>
            </w:tcBorders>
            <w:shd w:val="clear" w:color="auto" w:fill="auto"/>
            <w:noWrap/>
            <w:vAlign w:val="center"/>
            <w:hideMark/>
          </w:tcPr>
          <w:p w14:paraId="08FBBFB4" w14:textId="77777777" w:rsidR="00387142" w:rsidRPr="008B6A75" w:rsidRDefault="00387142" w:rsidP="00387142">
            <w:pPr>
              <w:jc w:val="center"/>
              <w:rPr>
                <w:bCs/>
                <w:sz w:val="20"/>
                <w:szCs w:val="20"/>
              </w:rPr>
            </w:pPr>
            <w:r w:rsidRPr="008B6A75">
              <w:rPr>
                <w:bCs/>
                <w:sz w:val="20"/>
                <w:szCs w:val="20"/>
              </w:rPr>
              <w:t>444</w:t>
            </w:r>
          </w:p>
        </w:tc>
        <w:tc>
          <w:tcPr>
            <w:tcW w:w="709" w:type="dxa"/>
            <w:tcBorders>
              <w:top w:val="nil"/>
              <w:left w:val="single" w:sz="4" w:space="0" w:color="auto"/>
              <w:bottom w:val="nil"/>
              <w:right w:val="nil"/>
            </w:tcBorders>
            <w:shd w:val="clear" w:color="auto" w:fill="auto"/>
            <w:noWrap/>
            <w:vAlign w:val="center"/>
            <w:hideMark/>
          </w:tcPr>
          <w:p w14:paraId="3CF60F58" w14:textId="77777777" w:rsidR="00387142" w:rsidRPr="008B6A75" w:rsidRDefault="00387142" w:rsidP="00387142">
            <w:pPr>
              <w:jc w:val="center"/>
              <w:rPr>
                <w:bCs/>
                <w:sz w:val="20"/>
                <w:szCs w:val="20"/>
              </w:rPr>
            </w:pPr>
            <w:r w:rsidRPr="008B6A75">
              <w:rPr>
                <w:bCs/>
                <w:sz w:val="20"/>
                <w:szCs w:val="20"/>
              </w:rPr>
              <w:t>07</w:t>
            </w:r>
          </w:p>
        </w:tc>
        <w:tc>
          <w:tcPr>
            <w:tcW w:w="709" w:type="dxa"/>
            <w:tcBorders>
              <w:top w:val="nil"/>
              <w:left w:val="single" w:sz="4" w:space="0" w:color="auto"/>
              <w:bottom w:val="nil"/>
              <w:right w:val="single" w:sz="4" w:space="0" w:color="auto"/>
            </w:tcBorders>
            <w:shd w:val="clear" w:color="auto" w:fill="auto"/>
            <w:noWrap/>
            <w:vAlign w:val="center"/>
            <w:hideMark/>
          </w:tcPr>
          <w:p w14:paraId="46B76A3A" w14:textId="77777777" w:rsidR="00387142" w:rsidRPr="008B6A75" w:rsidRDefault="00387142" w:rsidP="00387142">
            <w:pPr>
              <w:jc w:val="center"/>
              <w:rPr>
                <w:bCs/>
                <w:sz w:val="20"/>
                <w:szCs w:val="20"/>
              </w:rPr>
            </w:pPr>
            <w:r w:rsidRPr="008B6A75">
              <w:rPr>
                <w:bCs/>
                <w:sz w:val="20"/>
                <w:szCs w:val="20"/>
              </w:rPr>
              <w:t>01</w:t>
            </w:r>
          </w:p>
        </w:tc>
        <w:tc>
          <w:tcPr>
            <w:tcW w:w="1411" w:type="dxa"/>
            <w:tcBorders>
              <w:top w:val="nil"/>
              <w:left w:val="single" w:sz="4" w:space="0" w:color="auto"/>
              <w:bottom w:val="nil"/>
              <w:right w:val="nil"/>
            </w:tcBorders>
            <w:shd w:val="clear" w:color="auto" w:fill="auto"/>
            <w:noWrap/>
            <w:vAlign w:val="center"/>
            <w:hideMark/>
          </w:tcPr>
          <w:p w14:paraId="057302F3" w14:textId="77777777" w:rsidR="00387142" w:rsidRPr="008B6A75" w:rsidRDefault="00387142" w:rsidP="00387142">
            <w:pPr>
              <w:jc w:val="center"/>
              <w:rPr>
                <w:bCs/>
                <w:sz w:val="20"/>
                <w:szCs w:val="20"/>
              </w:rPr>
            </w:pPr>
            <w:r w:rsidRPr="008B6A75">
              <w:rPr>
                <w:bCs/>
                <w:sz w:val="20"/>
                <w:szCs w:val="20"/>
              </w:rPr>
              <w:t>07.1.00.S3470</w:t>
            </w:r>
          </w:p>
        </w:tc>
        <w:tc>
          <w:tcPr>
            <w:tcW w:w="955" w:type="dxa"/>
            <w:tcBorders>
              <w:top w:val="nil"/>
              <w:left w:val="single" w:sz="4" w:space="0" w:color="auto"/>
              <w:bottom w:val="nil"/>
              <w:right w:val="single" w:sz="4" w:space="0" w:color="auto"/>
            </w:tcBorders>
            <w:shd w:val="clear" w:color="auto" w:fill="auto"/>
            <w:noWrap/>
            <w:vAlign w:val="center"/>
            <w:hideMark/>
          </w:tcPr>
          <w:p w14:paraId="2844C985"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nil"/>
              <w:right w:val="single" w:sz="4" w:space="0" w:color="auto"/>
            </w:tcBorders>
            <w:shd w:val="clear" w:color="auto" w:fill="auto"/>
            <w:noWrap/>
            <w:vAlign w:val="center"/>
            <w:hideMark/>
          </w:tcPr>
          <w:p w14:paraId="71F3B15B" w14:textId="77777777" w:rsidR="00387142" w:rsidRPr="008B6A75" w:rsidRDefault="00387142" w:rsidP="00387142">
            <w:pPr>
              <w:jc w:val="right"/>
              <w:rPr>
                <w:bCs/>
                <w:sz w:val="20"/>
                <w:szCs w:val="20"/>
              </w:rPr>
            </w:pPr>
            <w:r w:rsidRPr="008B6A75">
              <w:rPr>
                <w:bCs/>
                <w:sz w:val="20"/>
                <w:szCs w:val="20"/>
              </w:rPr>
              <w:t>27 500,00</w:t>
            </w:r>
          </w:p>
        </w:tc>
        <w:tc>
          <w:tcPr>
            <w:tcW w:w="992" w:type="dxa"/>
            <w:gridSpan w:val="2"/>
            <w:tcBorders>
              <w:top w:val="nil"/>
              <w:left w:val="single" w:sz="4" w:space="0" w:color="auto"/>
              <w:bottom w:val="nil"/>
              <w:right w:val="nil"/>
            </w:tcBorders>
            <w:shd w:val="clear" w:color="auto" w:fill="auto"/>
            <w:noWrap/>
            <w:vAlign w:val="center"/>
            <w:hideMark/>
          </w:tcPr>
          <w:p w14:paraId="2CE7D92F" w14:textId="77777777" w:rsidR="00387142" w:rsidRPr="008B6A75" w:rsidRDefault="00387142" w:rsidP="00387142">
            <w:pPr>
              <w:jc w:val="right"/>
              <w:rPr>
                <w:bCs/>
                <w:sz w:val="20"/>
                <w:szCs w:val="20"/>
              </w:rPr>
            </w:pPr>
            <w:r w:rsidRPr="008B6A75">
              <w:rPr>
                <w:bCs/>
                <w:sz w:val="20"/>
                <w:szCs w:val="20"/>
              </w:rPr>
              <w:t>0,00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5583B3EB" w14:textId="77777777" w:rsidR="00387142" w:rsidRPr="008B6A75" w:rsidRDefault="00387142" w:rsidP="00387142">
            <w:pPr>
              <w:jc w:val="right"/>
              <w:rPr>
                <w:bCs/>
                <w:sz w:val="20"/>
                <w:szCs w:val="20"/>
              </w:rPr>
            </w:pPr>
            <w:r w:rsidRPr="008B6A75">
              <w:rPr>
                <w:bCs/>
                <w:sz w:val="20"/>
                <w:szCs w:val="20"/>
              </w:rPr>
              <w:t>0,00</w:t>
            </w:r>
          </w:p>
        </w:tc>
        <w:tc>
          <w:tcPr>
            <w:tcW w:w="222" w:type="dxa"/>
            <w:vAlign w:val="center"/>
            <w:hideMark/>
          </w:tcPr>
          <w:p w14:paraId="389A2207" w14:textId="77777777" w:rsidR="00387142" w:rsidRPr="008B6A75" w:rsidRDefault="00387142" w:rsidP="00387142">
            <w:pPr>
              <w:rPr>
                <w:sz w:val="20"/>
                <w:szCs w:val="20"/>
              </w:rPr>
            </w:pPr>
          </w:p>
        </w:tc>
      </w:tr>
      <w:tr w:rsidR="00387142" w:rsidRPr="008B6A75" w14:paraId="497BD44C" w14:textId="77777777" w:rsidTr="00387142">
        <w:trPr>
          <w:trHeight w:val="585"/>
        </w:trPr>
        <w:tc>
          <w:tcPr>
            <w:tcW w:w="3021" w:type="dxa"/>
            <w:tcBorders>
              <w:top w:val="single" w:sz="4" w:space="0" w:color="auto"/>
              <w:left w:val="single" w:sz="4" w:space="0" w:color="auto"/>
              <w:bottom w:val="nil"/>
              <w:right w:val="nil"/>
            </w:tcBorders>
            <w:shd w:val="clear" w:color="auto" w:fill="auto"/>
            <w:vAlign w:val="center"/>
            <w:hideMark/>
          </w:tcPr>
          <w:p w14:paraId="17039CF4" w14:textId="77777777" w:rsidR="00387142" w:rsidRPr="008B6A75" w:rsidRDefault="00387142" w:rsidP="00387142">
            <w:pPr>
              <w:rPr>
                <w:sz w:val="20"/>
                <w:szCs w:val="20"/>
              </w:rPr>
            </w:pPr>
            <w:r w:rsidRPr="008B6A75">
              <w:rPr>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nil"/>
              <w:right w:val="nil"/>
            </w:tcBorders>
            <w:shd w:val="clear" w:color="auto" w:fill="auto"/>
            <w:noWrap/>
            <w:vAlign w:val="center"/>
            <w:hideMark/>
          </w:tcPr>
          <w:p w14:paraId="00A8EF39" w14:textId="77777777" w:rsidR="00387142" w:rsidRPr="008B6A75" w:rsidRDefault="00387142" w:rsidP="00387142">
            <w:pPr>
              <w:jc w:val="center"/>
              <w:rPr>
                <w:sz w:val="20"/>
                <w:szCs w:val="20"/>
              </w:rPr>
            </w:pPr>
            <w:r w:rsidRPr="008B6A75">
              <w:rPr>
                <w:sz w:val="20"/>
                <w:szCs w:val="20"/>
              </w:rPr>
              <w:t>444</w:t>
            </w:r>
          </w:p>
        </w:tc>
        <w:tc>
          <w:tcPr>
            <w:tcW w:w="709" w:type="dxa"/>
            <w:tcBorders>
              <w:top w:val="single" w:sz="4" w:space="0" w:color="auto"/>
              <w:left w:val="single" w:sz="4" w:space="0" w:color="auto"/>
              <w:bottom w:val="nil"/>
              <w:right w:val="nil"/>
            </w:tcBorders>
            <w:shd w:val="clear" w:color="auto" w:fill="auto"/>
            <w:noWrap/>
            <w:vAlign w:val="center"/>
            <w:hideMark/>
          </w:tcPr>
          <w:p w14:paraId="6BEE021F" w14:textId="77777777" w:rsidR="00387142" w:rsidRPr="008B6A75" w:rsidRDefault="00387142" w:rsidP="00387142">
            <w:pPr>
              <w:jc w:val="center"/>
              <w:rPr>
                <w:sz w:val="20"/>
                <w:szCs w:val="20"/>
              </w:rPr>
            </w:pPr>
            <w:r w:rsidRPr="008B6A75">
              <w:rPr>
                <w:sz w:val="20"/>
                <w:szCs w:val="20"/>
              </w:rPr>
              <w:t>07</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24D443BE" w14:textId="77777777" w:rsidR="00387142" w:rsidRPr="008B6A75" w:rsidRDefault="00387142" w:rsidP="00387142">
            <w:pPr>
              <w:jc w:val="center"/>
              <w:rPr>
                <w:sz w:val="20"/>
                <w:szCs w:val="20"/>
              </w:rPr>
            </w:pPr>
            <w:r w:rsidRPr="008B6A75">
              <w:rPr>
                <w:sz w:val="20"/>
                <w:szCs w:val="20"/>
              </w:rPr>
              <w:t>01</w:t>
            </w:r>
          </w:p>
        </w:tc>
        <w:tc>
          <w:tcPr>
            <w:tcW w:w="1411" w:type="dxa"/>
            <w:tcBorders>
              <w:top w:val="single" w:sz="4" w:space="0" w:color="auto"/>
              <w:left w:val="single" w:sz="4" w:space="0" w:color="auto"/>
              <w:bottom w:val="nil"/>
              <w:right w:val="nil"/>
            </w:tcBorders>
            <w:shd w:val="clear" w:color="auto" w:fill="auto"/>
            <w:noWrap/>
            <w:vAlign w:val="center"/>
            <w:hideMark/>
          </w:tcPr>
          <w:p w14:paraId="7E37A55D" w14:textId="77777777" w:rsidR="00387142" w:rsidRPr="008B6A75" w:rsidRDefault="00387142" w:rsidP="00387142">
            <w:pPr>
              <w:jc w:val="center"/>
              <w:rPr>
                <w:sz w:val="20"/>
                <w:szCs w:val="20"/>
              </w:rPr>
            </w:pPr>
            <w:r w:rsidRPr="008B6A75">
              <w:rPr>
                <w:sz w:val="20"/>
                <w:szCs w:val="20"/>
              </w:rPr>
              <w:t>07.1.00.S3470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37CFDCB8" w14:textId="77777777" w:rsidR="00387142" w:rsidRPr="008B6A75" w:rsidRDefault="00387142" w:rsidP="00387142">
            <w:pPr>
              <w:jc w:val="center"/>
              <w:rPr>
                <w:sz w:val="20"/>
                <w:szCs w:val="20"/>
              </w:rPr>
            </w:pPr>
            <w:r w:rsidRPr="008B6A75">
              <w:rPr>
                <w:sz w:val="20"/>
                <w:szCs w:val="20"/>
              </w:rPr>
              <w:t>200</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3C53431B" w14:textId="77777777" w:rsidR="00387142" w:rsidRPr="008B6A75" w:rsidRDefault="00387142" w:rsidP="00387142">
            <w:pPr>
              <w:jc w:val="right"/>
              <w:rPr>
                <w:sz w:val="20"/>
                <w:szCs w:val="20"/>
              </w:rPr>
            </w:pPr>
            <w:r w:rsidRPr="008B6A75">
              <w:rPr>
                <w:sz w:val="20"/>
                <w:szCs w:val="20"/>
              </w:rPr>
              <w:t>27 500,00</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6142287D" w14:textId="77777777" w:rsidR="00387142" w:rsidRPr="008B6A75" w:rsidRDefault="00387142" w:rsidP="00387142">
            <w:pPr>
              <w:jc w:val="right"/>
              <w:rPr>
                <w:sz w:val="20"/>
                <w:szCs w:val="20"/>
              </w:rPr>
            </w:pPr>
            <w:r w:rsidRPr="008B6A75">
              <w:rPr>
                <w:sz w:val="20"/>
                <w:szCs w:val="20"/>
              </w:rPr>
              <w:t>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421840C4" w14:textId="77777777" w:rsidR="00387142" w:rsidRPr="008B6A75" w:rsidRDefault="00387142" w:rsidP="00387142">
            <w:pPr>
              <w:jc w:val="right"/>
              <w:rPr>
                <w:sz w:val="20"/>
                <w:szCs w:val="20"/>
              </w:rPr>
            </w:pPr>
            <w:r w:rsidRPr="008B6A75">
              <w:rPr>
                <w:sz w:val="20"/>
                <w:szCs w:val="20"/>
              </w:rPr>
              <w:t>0,00</w:t>
            </w:r>
          </w:p>
        </w:tc>
        <w:tc>
          <w:tcPr>
            <w:tcW w:w="222" w:type="dxa"/>
            <w:vAlign w:val="center"/>
            <w:hideMark/>
          </w:tcPr>
          <w:p w14:paraId="3779749F" w14:textId="77777777" w:rsidR="00387142" w:rsidRPr="008B6A75" w:rsidRDefault="00387142" w:rsidP="00387142">
            <w:pPr>
              <w:rPr>
                <w:sz w:val="20"/>
                <w:szCs w:val="20"/>
              </w:rPr>
            </w:pPr>
          </w:p>
        </w:tc>
      </w:tr>
      <w:tr w:rsidR="00387142" w:rsidRPr="008B6A75" w14:paraId="35261C30" w14:textId="77777777" w:rsidTr="00387142">
        <w:trPr>
          <w:trHeight w:val="870"/>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2E8C4DF6" w14:textId="77777777" w:rsidR="00387142" w:rsidRPr="008B6A75" w:rsidRDefault="00387142" w:rsidP="00387142">
            <w:pPr>
              <w:rPr>
                <w:sz w:val="20"/>
                <w:szCs w:val="20"/>
              </w:rPr>
            </w:pPr>
            <w:r w:rsidRPr="008B6A75">
              <w:rPr>
                <w:sz w:val="20"/>
                <w:szCs w:val="20"/>
              </w:rPr>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5797B4DA" w14:textId="77777777" w:rsidR="00387142" w:rsidRPr="008B6A75" w:rsidRDefault="00387142" w:rsidP="00387142">
            <w:pPr>
              <w:jc w:val="center"/>
              <w:rPr>
                <w:sz w:val="20"/>
                <w:szCs w:val="20"/>
              </w:rPr>
            </w:pPr>
            <w:r w:rsidRPr="008B6A75">
              <w:rPr>
                <w:sz w:val="20"/>
                <w:szCs w:val="20"/>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7201EAE8" w14:textId="77777777" w:rsidR="00387142" w:rsidRPr="008B6A75" w:rsidRDefault="00387142" w:rsidP="00387142">
            <w:pPr>
              <w:jc w:val="center"/>
              <w:rPr>
                <w:sz w:val="20"/>
                <w:szCs w:val="20"/>
              </w:rPr>
            </w:pPr>
            <w:r w:rsidRPr="008B6A75">
              <w:rPr>
                <w:sz w:val="20"/>
                <w:szCs w:val="20"/>
              </w:rPr>
              <w:t>07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9DACB5" w14:textId="77777777" w:rsidR="00387142" w:rsidRPr="008B6A75" w:rsidRDefault="00387142" w:rsidP="00387142">
            <w:pPr>
              <w:jc w:val="center"/>
              <w:rPr>
                <w:sz w:val="20"/>
                <w:szCs w:val="20"/>
              </w:rPr>
            </w:pPr>
            <w:r w:rsidRPr="008B6A75">
              <w:rPr>
                <w:sz w:val="20"/>
                <w:szCs w:val="20"/>
              </w:rPr>
              <w:t>01</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11F78149" w14:textId="77777777" w:rsidR="00387142" w:rsidRPr="008B6A75" w:rsidRDefault="00387142" w:rsidP="00387142">
            <w:pPr>
              <w:jc w:val="center"/>
              <w:rPr>
                <w:sz w:val="20"/>
                <w:szCs w:val="20"/>
              </w:rPr>
            </w:pPr>
            <w:r w:rsidRPr="008B6A75">
              <w:rPr>
                <w:sz w:val="20"/>
                <w:szCs w:val="20"/>
              </w:rPr>
              <w:t>07.1.00.S3470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2785B7" w14:textId="77777777" w:rsidR="00387142" w:rsidRPr="008B6A75" w:rsidRDefault="00387142" w:rsidP="00387142">
            <w:pPr>
              <w:jc w:val="center"/>
              <w:rPr>
                <w:sz w:val="20"/>
                <w:szCs w:val="20"/>
              </w:rPr>
            </w:pPr>
            <w:r w:rsidRPr="008B6A75">
              <w:rPr>
                <w:sz w:val="20"/>
                <w:szCs w:val="20"/>
              </w:rPr>
              <w:t>240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41A02A" w14:textId="77777777" w:rsidR="00387142" w:rsidRPr="008B6A75" w:rsidRDefault="00387142" w:rsidP="00387142">
            <w:pPr>
              <w:jc w:val="right"/>
              <w:rPr>
                <w:sz w:val="20"/>
                <w:szCs w:val="20"/>
              </w:rPr>
            </w:pPr>
            <w:r w:rsidRPr="008B6A75">
              <w:rPr>
                <w:sz w:val="20"/>
                <w:szCs w:val="20"/>
              </w:rPr>
              <w:t>27 500,00</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12AA2734" w14:textId="77777777" w:rsidR="00387142" w:rsidRPr="008B6A75" w:rsidRDefault="00387142" w:rsidP="00387142">
            <w:pPr>
              <w:jc w:val="right"/>
              <w:rPr>
                <w:sz w:val="20"/>
                <w:szCs w:val="20"/>
              </w:rPr>
            </w:pPr>
            <w:r w:rsidRPr="008B6A75">
              <w:rPr>
                <w:sz w:val="20"/>
                <w:szCs w:val="20"/>
              </w:rPr>
              <w:t>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AEB55B" w14:textId="77777777" w:rsidR="00387142" w:rsidRPr="008B6A75" w:rsidRDefault="00387142" w:rsidP="00387142">
            <w:pPr>
              <w:jc w:val="right"/>
              <w:rPr>
                <w:sz w:val="20"/>
                <w:szCs w:val="20"/>
              </w:rPr>
            </w:pPr>
            <w:r w:rsidRPr="008B6A75">
              <w:rPr>
                <w:sz w:val="20"/>
                <w:szCs w:val="20"/>
              </w:rPr>
              <w:t>0,00</w:t>
            </w:r>
          </w:p>
        </w:tc>
        <w:tc>
          <w:tcPr>
            <w:tcW w:w="222" w:type="dxa"/>
            <w:vAlign w:val="center"/>
            <w:hideMark/>
          </w:tcPr>
          <w:p w14:paraId="5D703820" w14:textId="77777777" w:rsidR="00387142" w:rsidRPr="008B6A75" w:rsidRDefault="00387142" w:rsidP="00387142">
            <w:pPr>
              <w:rPr>
                <w:sz w:val="20"/>
                <w:szCs w:val="20"/>
              </w:rPr>
            </w:pPr>
          </w:p>
        </w:tc>
      </w:tr>
      <w:tr w:rsidR="00387142" w:rsidRPr="008B6A75" w14:paraId="6FD2E064" w14:textId="77777777" w:rsidTr="00387142">
        <w:trPr>
          <w:trHeight w:val="870"/>
        </w:trPr>
        <w:tc>
          <w:tcPr>
            <w:tcW w:w="3021" w:type="dxa"/>
            <w:tcBorders>
              <w:top w:val="nil"/>
              <w:left w:val="single" w:sz="4" w:space="0" w:color="auto"/>
              <w:bottom w:val="nil"/>
              <w:right w:val="nil"/>
            </w:tcBorders>
            <w:shd w:val="clear" w:color="auto" w:fill="auto"/>
            <w:vAlign w:val="center"/>
            <w:hideMark/>
          </w:tcPr>
          <w:p w14:paraId="12141AE2" w14:textId="77777777" w:rsidR="00387142" w:rsidRPr="008B6A75" w:rsidRDefault="00387142" w:rsidP="00387142">
            <w:pPr>
              <w:rPr>
                <w:bCs/>
                <w:sz w:val="20"/>
                <w:szCs w:val="20"/>
              </w:rPr>
            </w:pPr>
            <w:r w:rsidRPr="008B6A75">
              <w:rPr>
                <w:bCs/>
                <w:sz w:val="20"/>
                <w:szCs w:val="20"/>
              </w:rPr>
              <w:t>Подпрограмма "Выявление и поддержка одаренных детей и талантливой молодежи Куйбышевского района"</w:t>
            </w:r>
          </w:p>
        </w:tc>
        <w:tc>
          <w:tcPr>
            <w:tcW w:w="850" w:type="dxa"/>
            <w:tcBorders>
              <w:top w:val="nil"/>
              <w:left w:val="single" w:sz="4" w:space="0" w:color="auto"/>
              <w:bottom w:val="nil"/>
              <w:right w:val="nil"/>
            </w:tcBorders>
            <w:shd w:val="clear" w:color="auto" w:fill="auto"/>
            <w:noWrap/>
            <w:vAlign w:val="center"/>
            <w:hideMark/>
          </w:tcPr>
          <w:p w14:paraId="2858017B" w14:textId="77777777" w:rsidR="00387142" w:rsidRPr="008B6A75" w:rsidRDefault="00387142" w:rsidP="00387142">
            <w:pPr>
              <w:jc w:val="center"/>
              <w:rPr>
                <w:bCs/>
                <w:sz w:val="20"/>
                <w:szCs w:val="20"/>
              </w:rPr>
            </w:pPr>
            <w:r w:rsidRPr="008B6A75">
              <w:rPr>
                <w:bCs/>
                <w:sz w:val="20"/>
                <w:szCs w:val="20"/>
              </w:rPr>
              <w:t>444</w:t>
            </w:r>
          </w:p>
        </w:tc>
        <w:tc>
          <w:tcPr>
            <w:tcW w:w="709" w:type="dxa"/>
            <w:tcBorders>
              <w:top w:val="nil"/>
              <w:left w:val="single" w:sz="4" w:space="0" w:color="auto"/>
              <w:bottom w:val="nil"/>
              <w:right w:val="nil"/>
            </w:tcBorders>
            <w:shd w:val="clear" w:color="auto" w:fill="auto"/>
            <w:noWrap/>
            <w:vAlign w:val="center"/>
            <w:hideMark/>
          </w:tcPr>
          <w:p w14:paraId="533D9A0F" w14:textId="77777777" w:rsidR="00387142" w:rsidRPr="008B6A75" w:rsidRDefault="00387142" w:rsidP="00387142">
            <w:pPr>
              <w:jc w:val="center"/>
              <w:rPr>
                <w:bCs/>
                <w:sz w:val="20"/>
                <w:szCs w:val="20"/>
              </w:rPr>
            </w:pPr>
            <w:r w:rsidRPr="008B6A75">
              <w:rPr>
                <w:bCs/>
                <w:sz w:val="20"/>
                <w:szCs w:val="20"/>
              </w:rPr>
              <w:t>07</w:t>
            </w:r>
          </w:p>
        </w:tc>
        <w:tc>
          <w:tcPr>
            <w:tcW w:w="709" w:type="dxa"/>
            <w:tcBorders>
              <w:top w:val="nil"/>
              <w:left w:val="single" w:sz="4" w:space="0" w:color="auto"/>
              <w:bottom w:val="nil"/>
              <w:right w:val="single" w:sz="4" w:space="0" w:color="auto"/>
            </w:tcBorders>
            <w:shd w:val="clear" w:color="auto" w:fill="auto"/>
            <w:noWrap/>
            <w:vAlign w:val="center"/>
            <w:hideMark/>
          </w:tcPr>
          <w:p w14:paraId="7D4C0B23" w14:textId="77777777" w:rsidR="00387142" w:rsidRPr="008B6A75" w:rsidRDefault="00387142" w:rsidP="00387142">
            <w:pPr>
              <w:jc w:val="center"/>
              <w:rPr>
                <w:bCs/>
                <w:sz w:val="20"/>
                <w:szCs w:val="20"/>
              </w:rPr>
            </w:pPr>
            <w:r w:rsidRPr="008B6A75">
              <w:rPr>
                <w:bCs/>
                <w:sz w:val="20"/>
                <w:szCs w:val="20"/>
              </w:rPr>
              <w:t>01</w:t>
            </w:r>
          </w:p>
        </w:tc>
        <w:tc>
          <w:tcPr>
            <w:tcW w:w="1411" w:type="dxa"/>
            <w:tcBorders>
              <w:top w:val="nil"/>
              <w:left w:val="single" w:sz="4" w:space="0" w:color="auto"/>
              <w:bottom w:val="nil"/>
              <w:right w:val="nil"/>
            </w:tcBorders>
            <w:shd w:val="clear" w:color="auto" w:fill="auto"/>
            <w:noWrap/>
            <w:vAlign w:val="center"/>
            <w:hideMark/>
          </w:tcPr>
          <w:p w14:paraId="695427D0" w14:textId="77777777" w:rsidR="00387142" w:rsidRPr="008B6A75" w:rsidRDefault="00387142" w:rsidP="00387142">
            <w:pPr>
              <w:jc w:val="center"/>
              <w:rPr>
                <w:bCs/>
                <w:sz w:val="20"/>
                <w:szCs w:val="20"/>
              </w:rPr>
            </w:pPr>
            <w:r w:rsidRPr="008B6A75">
              <w:rPr>
                <w:bCs/>
                <w:sz w:val="20"/>
                <w:szCs w:val="20"/>
              </w:rPr>
              <w:t>07.2.00.00000</w:t>
            </w:r>
          </w:p>
        </w:tc>
        <w:tc>
          <w:tcPr>
            <w:tcW w:w="955" w:type="dxa"/>
            <w:tcBorders>
              <w:top w:val="nil"/>
              <w:left w:val="single" w:sz="4" w:space="0" w:color="auto"/>
              <w:bottom w:val="nil"/>
              <w:right w:val="single" w:sz="4" w:space="0" w:color="auto"/>
            </w:tcBorders>
            <w:shd w:val="clear" w:color="auto" w:fill="auto"/>
            <w:noWrap/>
            <w:vAlign w:val="center"/>
            <w:hideMark/>
          </w:tcPr>
          <w:p w14:paraId="5C883831"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nil"/>
              <w:right w:val="single" w:sz="4" w:space="0" w:color="auto"/>
            </w:tcBorders>
            <w:shd w:val="clear" w:color="auto" w:fill="auto"/>
            <w:noWrap/>
            <w:vAlign w:val="center"/>
            <w:hideMark/>
          </w:tcPr>
          <w:p w14:paraId="70E0A3A3" w14:textId="77777777" w:rsidR="00387142" w:rsidRPr="008B6A75" w:rsidRDefault="00387142" w:rsidP="00387142">
            <w:pPr>
              <w:jc w:val="right"/>
              <w:rPr>
                <w:bCs/>
                <w:sz w:val="20"/>
                <w:szCs w:val="20"/>
              </w:rPr>
            </w:pPr>
            <w:r w:rsidRPr="008B6A75">
              <w:rPr>
                <w:bCs/>
                <w:sz w:val="20"/>
                <w:szCs w:val="20"/>
              </w:rPr>
              <w:t>87 980,00</w:t>
            </w:r>
          </w:p>
        </w:tc>
        <w:tc>
          <w:tcPr>
            <w:tcW w:w="992" w:type="dxa"/>
            <w:gridSpan w:val="2"/>
            <w:tcBorders>
              <w:top w:val="nil"/>
              <w:left w:val="single" w:sz="4" w:space="0" w:color="auto"/>
              <w:bottom w:val="nil"/>
              <w:right w:val="nil"/>
            </w:tcBorders>
            <w:shd w:val="clear" w:color="auto" w:fill="auto"/>
            <w:noWrap/>
            <w:vAlign w:val="center"/>
            <w:hideMark/>
          </w:tcPr>
          <w:p w14:paraId="74F29D5F" w14:textId="77777777" w:rsidR="00387142" w:rsidRPr="008B6A75" w:rsidRDefault="00387142" w:rsidP="00387142">
            <w:pPr>
              <w:jc w:val="right"/>
              <w:rPr>
                <w:bCs/>
                <w:sz w:val="20"/>
                <w:szCs w:val="20"/>
              </w:rPr>
            </w:pPr>
            <w:r w:rsidRPr="008B6A75">
              <w:rPr>
                <w:bCs/>
                <w:sz w:val="20"/>
                <w:szCs w:val="20"/>
              </w:rPr>
              <w:t>0,00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1A8C3AC7" w14:textId="77777777" w:rsidR="00387142" w:rsidRPr="008B6A75" w:rsidRDefault="00387142" w:rsidP="00387142">
            <w:pPr>
              <w:jc w:val="right"/>
              <w:rPr>
                <w:bCs/>
                <w:sz w:val="20"/>
                <w:szCs w:val="20"/>
              </w:rPr>
            </w:pPr>
            <w:r w:rsidRPr="008B6A75">
              <w:rPr>
                <w:bCs/>
                <w:sz w:val="20"/>
                <w:szCs w:val="20"/>
              </w:rPr>
              <w:t>0,00</w:t>
            </w:r>
          </w:p>
        </w:tc>
        <w:tc>
          <w:tcPr>
            <w:tcW w:w="222" w:type="dxa"/>
            <w:vAlign w:val="center"/>
            <w:hideMark/>
          </w:tcPr>
          <w:p w14:paraId="10B7A21D" w14:textId="77777777" w:rsidR="00387142" w:rsidRPr="008B6A75" w:rsidRDefault="00387142" w:rsidP="00387142">
            <w:pPr>
              <w:rPr>
                <w:sz w:val="20"/>
                <w:szCs w:val="20"/>
              </w:rPr>
            </w:pPr>
          </w:p>
        </w:tc>
      </w:tr>
      <w:tr w:rsidR="00387142" w:rsidRPr="008B6A75" w14:paraId="30B05477" w14:textId="77777777" w:rsidTr="00387142">
        <w:trPr>
          <w:trHeight w:val="1155"/>
        </w:trPr>
        <w:tc>
          <w:tcPr>
            <w:tcW w:w="3021" w:type="dxa"/>
            <w:tcBorders>
              <w:top w:val="single" w:sz="4" w:space="0" w:color="auto"/>
              <w:left w:val="single" w:sz="4" w:space="0" w:color="auto"/>
              <w:bottom w:val="nil"/>
              <w:right w:val="nil"/>
            </w:tcBorders>
            <w:shd w:val="clear" w:color="auto" w:fill="auto"/>
            <w:vAlign w:val="center"/>
            <w:hideMark/>
          </w:tcPr>
          <w:p w14:paraId="07F73C77" w14:textId="77777777" w:rsidR="00387142" w:rsidRPr="008B6A75" w:rsidRDefault="00387142" w:rsidP="00387142">
            <w:pPr>
              <w:rPr>
                <w:bCs/>
                <w:sz w:val="20"/>
                <w:szCs w:val="20"/>
              </w:rPr>
            </w:pPr>
            <w:r w:rsidRPr="008B6A75">
              <w:rPr>
                <w:bCs/>
                <w:sz w:val="20"/>
                <w:szCs w:val="20"/>
              </w:rPr>
              <w:lastRenderedPageBreak/>
              <w:t>Реализация мероприятий подпрограммы "Выявление и поддержка одаренных детей и талантливой молодежи Куйбышевского района"</w:t>
            </w:r>
          </w:p>
        </w:tc>
        <w:tc>
          <w:tcPr>
            <w:tcW w:w="850" w:type="dxa"/>
            <w:tcBorders>
              <w:top w:val="single" w:sz="4" w:space="0" w:color="auto"/>
              <w:left w:val="single" w:sz="4" w:space="0" w:color="auto"/>
              <w:bottom w:val="nil"/>
              <w:right w:val="nil"/>
            </w:tcBorders>
            <w:shd w:val="clear" w:color="auto" w:fill="auto"/>
            <w:noWrap/>
            <w:vAlign w:val="center"/>
            <w:hideMark/>
          </w:tcPr>
          <w:p w14:paraId="32D75681" w14:textId="77777777" w:rsidR="00387142" w:rsidRPr="008B6A75" w:rsidRDefault="00387142" w:rsidP="00387142">
            <w:pPr>
              <w:jc w:val="center"/>
              <w:rPr>
                <w:bCs/>
                <w:sz w:val="20"/>
                <w:szCs w:val="20"/>
              </w:rPr>
            </w:pPr>
            <w:r w:rsidRPr="008B6A75">
              <w:rPr>
                <w:bCs/>
                <w:sz w:val="20"/>
                <w:szCs w:val="20"/>
              </w:rPr>
              <w:t>444</w:t>
            </w:r>
          </w:p>
        </w:tc>
        <w:tc>
          <w:tcPr>
            <w:tcW w:w="709" w:type="dxa"/>
            <w:tcBorders>
              <w:top w:val="single" w:sz="4" w:space="0" w:color="auto"/>
              <w:left w:val="single" w:sz="4" w:space="0" w:color="auto"/>
              <w:bottom w:val="nil"/>
              <w:right w:val="nil"/>
            </w:tcBorders>
            <w:shd w:val="clear" w:color="auto" w:fill="auto"/>
            <w:noWrap/>
            <w:vAlign w:val="center"/>
            <w:hideMark/>
          </w:tcPr>
          <w:p w14:paraId="0A1E7253" w14:textId="77777777" w:rsidR="00387142" w:rsidRPr="008B6A75" w:rsidRDefault="00387142" w:rsidP="00387142">
            <w:pPr>
              <w:jc w:val="center"/>
              <w:rPr>
                <w:bCs/>
                <w:sz w:val="20"/>
                <w:szCs w:val="20"/>
              </w:rPr>
            </w:pPr>
            <w:r w:rsidRPr="008B6A75">
              <w:rPr>
                <w:bCs/>
                <w:sz w:val="20"/>
                <w:szCs w:val="20"/>
              </w:rPr>
              <w:t>07</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4D149D5D" w14:textId="77777777" w:rsidR="00387142" w:rsidRPr="008B6A75" w:rsidRDefault="00387142" w:rsidP="00387142">
            <w:pPr>
              <w:jc w:val="center"/>
              <w:rPr>
                <w:bCs/>
                <w:sz w:val="20"/>
                <w:szCs w:val="20"/>
              </w:rPr>
            </w:pPr>
            <w:r w:rsidRPr="008B6A75">
              <w:rPr>
                <w:bCs/>
                <w:sz w:val="20"/>
                <w:szCs w:val="20"/>
              </w:rPr>
              <w:t>01</w:t>
            </w:r>
          </w:p>
        </w:tc>
        <w:tc>
          <w:tcPr>
            <w:tcW w:w="1411" w:type="dxa"/>
            <w:tcBorders>
              <w:top w:val="single" w:sz="4" w:space="0" w:color="auto"/>
              <w:left w:val="single" w:sz="4" w:space="0" w:color="auto"/>
              <w:bottom w:val="nil"/>
              <w:right w:val="nil"/>
            </w:tcBorders>
            <w:shd w:val="clear" w:color="auto" w:fill="auto"/>
            <w:noWrap/>
            <w:vAlign w:val="center"/>
            <w:hideMark/>
          </w:tcPr>
          <w:p w14:paraId="2AE5D001" w14:textId="77777777" w:rsidR="00387142" w:rsidRPr="008B6A75" w:rsidRDefault="00387142" w:rsidP="00387142">
            <w:pPr>
              <w:jc w:val="center"/>
              <w:rPr>
                <w:bCs/>
                <w:sz w:val="20"/>
                <w:szCs w:val="20"/>
              </w:rPr>
            </w:pPr>
            <w:r w:rsidRPr="008B6A75">
              <w:rPr>
                <w:bCs/>
                <w:sz w:val="20"/>
                <w:szCs w:val="20"/>
              </w:rPr>
              <w:t>07.2.00.79500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4D697A53" w14:textId="77777777" w:rsidR="00387142" w:rsidRPr="008B6A75" w:rsidRDefault="00387142" w:rsidP="00387142">
            <w:pPr>
              <w:jc w:val="center"/>
              <w:rPr>
                <w:bCs/>
                <w:sz w:val="20"/>
                <w:szCs w:val="20"/>
              </w:rPr>
            </w:pPr>
            <w:r w:rsidRPr="008B6A75">
              <w:rPr>
                <w:bCs/>
                <w:sz w:val="20"/>
                <w:szCs w:val="20"/>
              </w:rPr>
              <w:t> </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62869253" w14:textId="77777777" w:rsidR="00387142" w:rsidRPr="008B6A75" w:rsidRDefault="00387142" w:rsidP="00387142">
            <w:pPr>
              <w:jc w:val="right"/>
              <w:rPr>
                <w:bCs/>
                <w:sz w:val="20"/>
                <w:szCs w:val="20"/>
              </w:rPr>
            </w:pPr>
            <w:r w:rsidRPr="008B6A75">
              <w:rPr>
                <w:bCs/>
                <w:sz w:val="20"/>
                <w:szCs w:val="20"/>
              </w:rPr>
              <w:t>87 980,00</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5FA861A0" w14:textId="77777777" w:rsidR="00387142" w:rsidRPr="008B6A75" w:rsidRDefault="00387142" w:rsidP="00387142">
            <w:pPr>
              <w:jc w:val="right"/>
              <w:rPr>
                <w:bCs/>
                <w:sz w:val="20"/>
                <w:szCs w:val="20"/>
              </w:rPr>
            </w:pPr>
            <w:r w:rsidRPr="008B6A75">
              <w:rPr>
                <w:bCs/>
                <w:sz w:val="20"/>
                <w:szCs w:val="20"/>
              </w:rPr>
              <w:t>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59B63168" w14:textId="77777777" w:rsidR="00387142" w:rsidRPr="008B6A75" w:rsidRDefault="00387142" w:rsidP="00387142">
            <w:pPr>
              <w:jc w:val="right"/>
              <w:rPr>
                <w:bCs/>
                <w:sz w:val="20"/>
                <w:szCs w:val="20"/>
              </w:rPr>
            </w:pPr>
            <w:r w:rsidRPr="008B6A75">
              <w:rPr>
                <w:bCs/>
                <w:sz w:val="20"/>
                <w:szCs w:val="20"/>
              </w:rPr>
              <w:t>0,00</w:t>
            </w:r>
          </w:p>
        </w:tc>
        <w:tc>
          <w:tcPr>
            <w:tcW w:w="222" w:type="dxa"/>
            <w:vAlign w:val="center"/>
            <w:hideMark/>
          </w:tcPr>
          <w:p w14:paraId="3D924D68" w14:textId="77777777" w:rsidR="00387142" w:rsidRPr="008B6A75" w:rsidRDefault="00387142" w:rsidP="00387142">
            <w:pPr>
              <w:rPr>
                <w:sz w:val="20"/>
                <w:szCs w:val="20"/>
              </w:rPr>
            </w:pPr>
          </w:p>
        </w:tc>
      </w:tr>
      <w:tr w:rsidR="00387142" w:rsidRPr="008B6A75" w14:paraId="21422CEF" w14:textId="77777777" w:rsidTr="00387142">
        <w:trPr>
          <w:trHeight w:val="1440"/>
        </w:trPr>
        <w:tc>
          <w:tcPr>
            <w:tcW w:w="3021" w:type="dxa"/>
            <w:tcBorders>
              <w:top w:val="single" w:sz="4" w:space="0" w:color="auto"/>
              <w:left w:val="single" w:sz="4" w:space="0" w:color="auto"/>
              <w:bottom w:val="nil"/>
              <w:right w:val="nil"/>
            </w:tcBorders>
            <w:shd w:val="clear" w:color="auto" w:fill="auto"/>
            <w:vAlign w:val="center"/>
            <w:hideMark/>
          </w:tcPr>
          <w:p w14:paraId="77A53038" w14:textId="77777777" w:rsidR="00387142" w:rsidRPr="008B6A75" w:rsidRDefault="00387142" w:rsidP="00387142">
            <w:pPr>
              <w:rPr>
                <w:sz w:val="20"/>
                <w:szCs w:val="20"/>
              </w:rPr>
            </w:pPr>
            <w:r w:rsidRPr="008B6A7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nil"/>
              <w:right w:val="nil"/>
            </w:tcBorders>
            <w:shd w:val="clear" w:color="auto" w:fill="auto"/>
            <w:noWrap/>
            <w:vAlign w:val="center"/>
            <w:hideMark/>
          </w:tcPr>
          <w:p w14:paraId="1737D021" w14:textId="77777777" w:rsidR="00387142" w:rsidRPr="008B6A75" w:rsidRDefault="00387142" w:rsidP="00387142">
            <w:pPr>
              <w:jc w:val="center"/>
              <w:rPr>
                <w:sz w:val="20"/>
                <w:szCs w:val="20"/>
              </w:rPr>
            </w:pPr>
            <w:r w:rsidRPr="008B6A75">
              <w:rPr>
                <w:sz w:val="20"/>
                <w:szCs w:val="20"/>
              </w:rPr>
              <w:t>444</w:t>
            </w:r>
          </w:p>
        </w:tc>
        <w:tc>
          <w:tcPr>
            <w:tcW w:w="709" w:type="dxa"/>
            <w:tcBorders>
              <w:top w:val="single" w:sz="4" w:space="0" w:color="auto"/>
              <w:left w:val="single" w:sz="4" w:space="0" w:color="auto"/>
              <w:bottom w:val="nil"/>
              <w:right w:val="nil"/>
            </w:tcBorders>
            <w:shd w:val="clear" w:color="auto" w:fill="auto"/>
            <w:noWrap/>
            <w:vAlign w:val="center"/>
            <w:hideMark/>
          </w:tcPr>
          <w:p w14:paraId="53383829" w14:textId="77777777" w:rsidR="00387142" w:rsidRPr="008B6A75" w:rsidRDefault="00387142" w:rsidP="00387142">
            <w:pPr>
              <w:jc w:val="center"/>
              <w:rPr>
                <w:sz w:val="20"/>
                <w:szCs w:val="20"/>
              </w:rPr>
            </w:pPr>
            <w:r w:rsidRPr="008B6A75">
              <w:rPr>
                <w:sz w:val="20"/>
                <w:szCs w:val="20"/>
              </w:rPr>
              <w:t>07</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2ECF633F" w14:textId="77777777" w:rsidR="00387142" w:rsidRPr="008B6A75" w:rsidRDefault="00387142" w:rsidP="00387142">
            <w:pPr>
              <w:jc w:val="center"/>
              <w:rPr>
                <w:sz w:val="20"/>
                <w:szCs w:val="20"/>
              </w:rPr>
            </w:pPr>
            <w:r w:rsidRPr="008B6A75">
              <w:rPr>
                <w:sz w:val="20"/>
                <w:szCs w:val="20"/>
              </w:rPr>
              <w:t>01</w:t>
            </w:r>
          </w:p>
        </w:tc>
        <w:tc>
          <w:tcPr>
            <w:tcW w:w="1411" w:type="dxa"/>
            <w:tcBorders>
              <w:top w:val="single" w:sz="4" w:space="0" w:color="auto"/>
              <w:left w:val="single" w:sz="4" w:space="0" w:color="auto"/>
              <w:bottom w:val="nil"/>
              <w:right w:val="nil"/>
            </w:tcBorders>
            <w:shd w:val="clear" w:color="auto" w:fill="auto"/>
            <w:noWrap/>
            <w:vAlign w:val="center"/>
            <w:hideMark/>
          </w:tcPr>
          <w:p w14:paraId="651F465F" w14:textId="77777777" w:rsidR="00387142" w:rsidRPr="008B6A75" w:rsidRDefault="00387142" w:rsidP="00387142">
            <w:pPr>
              <w:jc w:val="center"/>
              <w:rPr>
                <w:sz w:val="20"/>
                <w:szCs w:val="20"/>
              </w:rPr>
            </w:pPr>
            <w:r w:rsidRPr="008B6A75">
              <w:rPr>
                <w:sz w:val="20"/>
                <w:szCs w:val="20"/>
              </w:rPr>
              <w:t>07.2.00.79500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7BDB8638" w14:textId="77777777" w:rsidR="00387142" w:rsidRPr="008B6A75" w:rsidRDefault="00387142" w:rsidP="00387142">
            <w:pPr>
              <w:jc w:val="center"/>
              <w:rPr>
                <w:sz w:val="20"/>
                <w:szCs w:val="20"/>
              </w:rPr>
            </w:pPr>
            <w:r w:rsidRPr="008B6A75">
              <w:rPr>
                <w:sz w:val="20"/>
                <w:szCs w:val="20"/>
              </w:rPr>
              <w:t>100</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2FB91F23" w14:textId="77777777" w:rsidR="00387142" w:rsidRPr="008B6A75" w:rsidRDefault="00387142" w:rsidP="00387142">
            <w:pPr>
              <w:jc w:val="right"/>
              <w:rPr>
                <w:sz w:val="20"/>
                <w:szCs w:val="20"/>
              </w:rPr>
            </w:pPr>
            <w:r w:rsidRPr="008B6A75">
              <w:rPr>
                <w:sz w:val="20"/>
                <w:szCs w:val="20"/>
              </w:rPr>
              <w:t>87 980,00</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6BEC40E1" w14:textId="77777777" w:rsidR="00387142" w:rsidRPr="008B6A75" w:rsidRDefault="00387142" w:rsidP="00387142">
            <w:pPr>
              <w:jc w:val="right"/>
              <w:rPr>
                <w:sz w:val="20"/>
                <w:szCs w:val="20"/>
              </w:rPr>
            </w:pPr>
            <w:r w:rsidRPr="008B6A75">
              <w:rPr>
                <w:sz w:val="20"/>
                <w:szCs w:val="20"/>
              </w:rPr>
              <w:t>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6181D64C" w14:textId="77777777" w:rsidR="00387142" w:rsidRPr="008B6A75" w:rsidRDefault="00387142" w:rsidP="00387142">
            <w:pPr>
              <w:jc w:val="right"/>
              <w:rPr>
                <w:sz w:val="20"/>
                <w:szCs w:val="20"/>
              </w:rPr>
            </w:pPr>
            <w:r w:rsidRPr="008B6A75">
              <w:rPr>
                <w:sz w:val="20"/>
                <w:szCs w:val="20"/>
              </w:rPr>
              <w:t>0,00</w:t>
            </w:r>
          </w:p>
        </w:tc>
        <w:tc>
          <w:tcPr>
            <w:tcW w:w="222" w:type="dxa"/>
            <w:vAlign w:val="center"/>
            <w:hideMark/>
          </w:tcPr>
          <w:p w14:paraId="4D070470" w14:textId="77777777" w:rsidR="00387142" w:rsidRPr="008B6A75" w:rsidRDefault="00387142" w:rsidP="00387142">
            <w:pPr>
              <w:rPr>
                <w:sz w:val="20"/>
                <w:szCs w:val="20"/>
              </w:rPr>
            </w:pPr>
          </w:p>
        </w:tc>
      </w:tr>
      <w:tr w:rsidR="00387142" w:rsidRPr="008B6A75" w14:paraId="71052D02" w14:textId="77777777" w:rsidTr="00387142">
        <w:trPr>
          <w:trHeight w:val="585"/>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02C2840D" w14:textId="77777777" w:rsidR="00387142" w:rsidRPr="008B6A75" w:rsidRDefault="00387142" w:rsidP="00387142">
            <w:pPr>
              <w:rPr>
                <w:sz w:val="20"/>
                <w:szCs w:val="20"/>
              </w:rPr>
            </w:pPr>
            <w:r w:rsidRPr="008B6A75">
              <w:rPr>
                <w:sz w:val="20"/>
                <w:szCs w:val="20"/>
              </w:rPr>
              <w:t>Расходы на выплаты персоналу казенных учреждений</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7B50952D" w14:textId="77777777" w:rsidR="00387142" w:rsidRPr="008B6A75" w:rsidRDefault="00387142" w:rsidP="00387142">
            <w:pPr>
              <w:jc w:val="center"/>
              <w:rPr>
                <w:sz w:val="20"/>
                <w:szCs w:val="20"/>
              </w:rPr>
            </w:pPr>
            <w:r w:rsidRPr="008B6A75">
              <w:rPr>
                <w:sz w:val="20"/>
                <w:szCs w:val="20"/>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5D77D0DD" w14:textId="77777777" w:rsidR="00387142" w:rsidRPr="008B6A75" w:rsidRDefault="00387142" w:rsidP="00387142">
            <w:pPr>
              <w:jc w:val="center"/>
              <w:rPr>
                <w:sz w:val="20"/>
                <w:szCs w:val="20"/>
              </w:rPr>
            </w:pPr>
            <w:r w:rsidRPr="008B6A75">
              <w:rPr>
                <w:sz w:val="20"/>
                <w:szCs w:val="20"/>
              </w:rPr>
              <w:t>07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94A63F" w14:textId="77777777" w:rsidR="00387142" w:rsidRPr="008B6A75" w:rsidRDefault="00387142" w:rsidP="00387142">
            <w:pPr>
              <w:jc w:val="center"/>
              <w:rPr>
                <w:sz w:val="20"/>
                <w:szCs w:val="20"/>
              </w:rPr>
            </w:pPr>
            <w:r w:rsidRPr="008B6A75">
              <w:rPr>
                <w:sz w:val="20"/>
                <w:szCs w:val="20"/>
              </w:rPr>
              <w:t>01</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59BA914E" w14:textId="77777777" w:rsidR="00387142" w:rsidRPr="008B6A75" w:rsidRDefault="00387142" w:rsidP="00387142">
            <w:pPr>
              <w:jc w:val="center"/>
              <w:rPr>
                <w:sz w:val="20"/>
                <w:szCs w:val="20"/>
              </w:rPr>
            </w:pPr>
            <w:r w:rsidRPr="008B6A75">
              <w:rPr>
                <w:sz w:val="20"/>
                <w:szCs w:val="20"/>
              </w:rPr>
              <w:t>07.2.00.79500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65560B" w14:textId="77777777" w:rsidR="00387142" w:rsidRPr="008B6A75" w:rsidRDefault="00387142" w:rsidP="00387142">
            <w:pPr>
              <w:jc w:val="center"/>
              <w:rPr>
                <w:sz w:val="20"/>
                <w:szCs w:val="20"/>
              </w:rPr>
            </w:pPr>
            <w:r w:rsidRPr="008B6A75">
              <w:rPr>
                <w:sz w:val="20"/>
                <w:szCs w:val="20"/>
              </w:rPr>
              <w:t>110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A2D5BC" w14:textId="77777777" w:rsidR="00387142" w:rsidRPr="008B6A75" w:rsidRDefault="00387142" w:rsidP="00387142">
            <w:pPr>
              <w:jc w:val="right"/>
              <w:rPr>
                <w:sz w:val="20"/>
                <w:szCs w:val="20"/>
              </w:rPr>
            </w:pPr>
            <w:r w:rsidRPr="008B6A75">
              <w:rPr>
                <w:sz w:val="20"/>
                <w:szCs w:val="20"/>
              </w:rPr>
              <w:t>87 980,00</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30EE8329" w14:textId="77777777" w:rsidR="00387142" w:rsidRPr="008B6A75" w:rsidRDefault="00387142" w:rsidP="00387142">
            <w:pPr>
              <w:jc w:val="right"/>
              <w:rPr>
                <w:sz w:val="20"/>
                <w:szCs w:val="20"/>
              </w:rPr>
            </w:pPr>
            <w:r w:rsidRPr="008B6A75">
              <w:rPr>
                <w:sz w:val="20"/>
                <w:szCs w:val="20"/>
              </w:rPr>
              <w:t>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2A8B18" w14:textId="77777777" w:rsidR="00387142" w:rsidRPr="008B6A75" w:rsidRDefault="00387142" w:rsidP="00387142">
            <w:pPr>
              <w:jc w:val="right"/>
              <w:rPr>
                <w:sz w:val="20"/>
                <w:szCs w:val="20"/>
              </w:rPr>
            </w:pPr>
            <w:r w:rsidRPr="008B6A75">
              <w:rPr>
                <w:sz w:val="20"/>
                <w:szCs w:val="20"/>
              </w:rPr>
              <w:t>0,00</w:t>
            </w:r>
          </w:p>
        </w:tc>
        <w:tc>
          <w:tcPr>
            <w:tcW w:w="222" w:type="dxa"/>
            <w:vAlign w:val="center"/>
            <w:hideMark/>
          </w:tcPr>
          <w:p w14:paraId="0026F156" w14:textId="77777777" w:rsidR="00387142" w:rsidRPr="008B6A75" w:rsidRDefault="00387142" w:rsidP="00387142">
            <w:pPr>
              <w:rPr>
                <w:sz w:val="20"/>
                <w:szCs w:val="20"/>
              </w:rPr>
            </w:pPr>
          </w:p>
        </w:tc>
      </w:tr>
      <w:tr w:rsidR="00387142" w:rsidRPr="008B6A75" w14:paraId="4B830C45" w14:textId="77777777" w:rsidTr="00387142">
        <w:trPr>
          <w:trHeight w:val="870"/>
        </w:trPr>
        <w:tc>
          <w:tcPr>
            <w:tcW w:w="3021" w:type="dxa"/>
            <w:tcBorders>
              <w:top w:val="nil"/>
              <w:left w:val="single" w:sz="4" w:space="0" w:color="auto"/>
              <w:bottom w:val="nil"/>
              <w:right w:val="nil"/>
            </w:tcBorders>
            <w:shd w:val="clear" w:color="auto" w:fill="auto"/>
            <w:vAlign w:val="center"/>
            <w:hideMark/>
          </w:tcPr>
          <w:p w14:paraId="6E9C8B7A" w14:textId="77777777" w:rsidR="00387142" w:rsidRPr="008B6A75" w:rsidRDefault="00387142" w:rsidP="00387142">
            <w:pPr>
              <w:rPr>
                <w:bCs/>
                <w:sz w:val="20"/>
                <w:szCs w:val="20"/>
              </w:rPr>
            </w:pPr>
            <w:proofErr w:type="spellStart"/>
            <w:r w:rsidRPr="008B6A75">
              <w:rPr>
                <w:bCs/>
                <w:sz w:val="20"/>
                <w:szCs w:val="20"/>
              </w:rPr>
              <w:t>Подпрограмма"Развитие</w:t>
            </w:r>
            <w:proofErr w:type="spellEnd"/>
            <w:r w:rsidRPr="008B6A75">
              <w:rPr>
                <w:bCs/>
                <w:sz w:val="20"/>
                <w:szCs w:val="20"/>
              </w:rPr>
              <w:t xml:space="preserve"> кадрового потенциала системы дошкольного, общего и дополнительного образования детей"</w:t>
            </w:r>
          </w:p>
        </w:tc>
        <w:tc>
          <w:tcPr>
            <w:tcW w:w="850" w:type="dxa"/>
            <w:tcBorders>
              <w:top w:val="nil"/>
              <w:left w:val="single" w:sz="4" w:space="0" w:color="auto"/>
              <w:bottom w:val="nil"/>
              <w:right w:val="nil"/>
            </w:tcBorders>
            <w:shd w:val="clear" w:color="auto" w:fill="auto"/>
            <w:noWrap/>
            <w:vAlign w:val="center"/>
            <w:hideMark/>
          </w:tcPr>
          <w:p w14:paraId="069FC92D" w14:textId="77777777" w:rsidR="00387142" w:rsidRPr="008B6A75" w:rsidRDefault="00387142" w:rsidP="00387142">
            <w:pPr>
              <w:jc w:val="center"/>
              <w:rPr>
                <w:bCs/>
                <w:sz w:val="20"/>
                <w:szCs w:val="20"/>
              </w:rPr>
            </w:pPr>
            <w:r w:rsidRPr="008B6A75">
              <w:rPr>
                <w:bCs/>
                <w:sz w:val="20"/>
                <w:szCs w:val="20"/>
              </w:rPr>
              <w:t>444</w:t>
            </w:r>
          </w:p>
        </w:tc>
        <w:tc>
          <w:tcPr>
            <w:tcW w:w="709" w:type="dxa"/>
            <w:tcBorders>
              <w:top w:val="nil"/>
              <w:left w:val="single" w:sz="4" w:space="0" w:color="auto"/>
              <w:bottom w:val="nil"/>
              <w:right w:val="nil"/>
            </w:tcBorders>
            <w:shd w:val="clear" w:color="auto" w:fill="auto"/>
            <w:noWrap/>
            <w:vAlign w:val="center"/>
            <w:hideMark/>
          </w:tcPr>
          <w:p w14:paraId="3AF56E95" w14:textId="77777777" w:rsidR="00387142" w:rsidRPr="008B6A75" w:rsidRDefault="00387142" w:rsidP="00387142">
            <w:pPr>
              <w:jc w:val="center"/>
              <w:rPr>
                <w:bCs/>
                <w:sz w:val="20"/>
                <w:szCs w:val="20"/>
              </w:rPr>
            </w:pPr>
            <w:r w:rsidRPr="008B6A75">
              <w:rPr>
                <w:bCs/>
                <w:sz w:val="20"/>
                <w:szCs w:val="20"/>
              </w:rPr>
              <w:t>07</w:t>
            </w:r>
          </w:p>
        </w:tc>
        <w:tc>
          <w:tcPr>
            <w:tcW w:w="709" w:type="dxa"/>
            <w:tcBorders>
              <w:top w:val="nil"/>
              <w:left w:val="single" w:sz="4" w:space="0" w:color="auto"/>
              <w:bottom w:val="nil"/>
              <w:right w:val="single" w:sz="4" w:space="0" w:color="auto"/>
            </w:tcBorders>
            <w:shd w:val="clear" w:color="auto" w:fill="auto"/>
            <w:noWrap/>
            <w:vAlign w:val="center"/>
            <w:hideMark/>
          </w:tcPr>
          <w:p w14:paraId="74A01C8C" w14:textId="77777777" w:rsidR="00387142" w:rsidRPr="008B6A75" w:rsidRDefault="00387142" w:rsidP="00387142">
            <w:pPr>
              <w:jc w:val="center"/>
              <w:rPr>
                <w:bCs/>
                <w:sz w:val="20"/>
                <w:szCs w:val="20"/>
              </w:rPr>
            </w:pPr>
            <w:r w:rsidRPr="008B6A75">
              <w:rPr>
                <w:bCs/>
                <w:sz w:val="20"/>
                <w:szCs w:val="20"/>
              </w:rPr>
              <w:t>01</w:t>
            </w:r>
          </w:p>
        </w:tc>
        <w:tc>
          <w:tcPr>
            <w:tcW w:w="1411" w:type="dxa"/>
            <w:tcBorders>
              <w:top w:val="nil"/>
              <w:left w:val="single" w:sz="4" w:space="0" w:color="auto"/>
              <w:bottom w:val="nil"/>
              <w:right w:val="nil"/>
            </w:tcBorders>
            <w:shd w:val="clear" w:color="auto" w:fill="auto"/>
            <w:noWrap/>
            <w:vAlign w:val="center"/>
            <w:hideMark/>
          </w:tcPr>
          <w:p w14:paraId="3D741F92" w14:textId="77777777" w:rsidR="00387142" w:rsidRPr="008B6A75" w:rsidRDefault="00387142" w:rsidP="00387142">
            <w:pPr>
              <w:jc w:val="center"/>
              <w:rPr>
                <w:bCs/>
                <w:sz w:val="20"/>
                <w:szCs w:val="20"/>
              </w:rPr>
            </w:pPr>
            <w:r w:rsidRPr="008B6A75">
              <w:rPr>
                <w:bCs/>
                <w:sz w:val="20"/>
                <w:szCs w:val="20"/>
              </w:rPr>
              <w:t>07.3.00.00000</w:t>
            </w:r>
          </w:p>
        </w:tc>
        <w:tc>
          <w:tcPr>
            <w:tcW w:w="955" w:type="dxa"/>
            <w:tcBorders>
              <w:top w:val="nil"/>
              <w:left w:val="single" w:sz="4" w:space="0" w:color="auto"/>
              <w:bottom w:val="nil"/>
              <w:right w:val="single" w:sz="4" w:space="0" w:color="auto"/>
            </w:tcBorders>
            <w:shd w:val="clear" w:color="auto" w:fill="auto"/>
            <w:noWrap/>
            <w:vAlign w:val="center"/>
            <w:hideMark/>
          </w:tcPr>
          <w:p w14:paraId="2AEBEF7E"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nil"/>
              <w:right w:val="single" w:sz="4" w:space="0" w:color="auto"/>
            </w:tcBorders>
            <w:shd w:val="clear" w:color="auto" w:fill="auto"/>
            <w:noWrap/>
            <w:vAlign w:val="center"/>
            <w:hideMark/>
          </w:tcPr>
          <w:p w14:paraId="384F8B3E" w14:textId="77777777" w:rsidR="00387142" w:rsidRPr="008B6A75" w:rsidRDefault="00387142" w:rsidP="00387142">
            <w:pPr>
              <w:jc w:val="right"/>
              <w:rPr>
                <w:bCs/>
                <w:sz w:val="20"/>
                <w:szCs w:val="20"/>
              </w:rPr>
            </w:pPr>
            <w:r w:rsidRPr="008B6A75">
              <w:rPr>
                <w:bCs/>
                <w:sz w:val="20"/>
                <w:szCs w:val="20"/>
              </w:rPr>
              <w:t>50 000,00</w:t>
            </w:r>
          </w:p>
        </w:tc>
        <w:tc>
          <w:tcPr>
            <w:tcW w:w="992" w:type="dxa"/>
            <w:gridSpan w:val="2"/>
            <w:tcBorders>
              <w:top w:val="nil"/>
              <w:left w:val="single" w:sz="4" w:space="0" w:color="auto"/>
              <w:bottom w:val="nil"/>
              <w:right w:val="nil"/>
            </w:tcBorders>
            <w:shd w:val="clear" w:color="auto" w:fill="auto"/>
            <w:noWrap/>
            <w:vAlign w:val="center"/>
            <w:hideMark/>
          </w:tcPr>
          <w:p w14:paraId="5E9D9486" w14:textId="77777777" w:rsidR="00387142" w:rsidRPr="008B6A75" w:rsidRDefault="00387142" w:rsidP="00387142">
            <w:pPr>
              <w:jc w:val="right"/>
              <w:rPr>
                <w:bCs/>
                <w:sz w:val="20"/>
                <w:szCs w:val="20"/>
              </w:rPr>
            </w:pPr>
            <w:r w:rsidRPr="008B6A75">
              <w:rPr>
                <w:bCs/>
                <w:sz w:val="20"/>
                <w:szCs w:val="20"/>
              </w:rPr>
              <w:t>0,00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5E57D210" w14:textId="77777777" w:rsidR="00387142" w:rsidRPr="008B6A75" w:rsidRDefault="00387142" w:rsidP="00387142">
            <w:pPr>
              <w:jc w:val="right"/>
              <w:rPr>
                <w:bCs/>
                <w:sz w:val="20"/>
                <w:szCs w:val="20"/>
              </w:rPr>
            </w:pPr>
            <w:r w:rsidRPr="008B6A75">
              <w:rPr>
                <w:bCs/>
                <w:sz w:val="20"/>
                <w:szCs w:val="20"/>
              </w:rPr>
              <w:t>0,00</w:t>
            </w:r>
          </w:p>
        </w:tc>
        <w:tc>
          <w:tcPr>
            <w:tcW w:w="222" w:type="dxa"/>
            <w:vAlign w:val="center"/>
            <w:hideMark/>
          </w:tcPr>
          <w:p w14:paraId="6A22938A" w14:textId="77777777" w:rsidR="00387142" w:rsidRPr="008B6A75" w:rsidRDefault="00387142" w:rsidP="00387142">
            <w:pPr>
              <w:rPr>
                <w:sz w:val="20"/>
                <w:szCs w:val="20"/>
              </w:rPr>
            </w:pPr>
          </w:p>
        </w:tc>
      </w:tr>
      <w:tr w:rsidR="00387142" w:rsidRPr="008B6A75" w14:paraId="1951F57D" w14:textId="77777777" w:rsidTr="00387142">
        <w:trPr>
          <w:trHeight w:val="1155"/>
        </w:trPr>
        <w:tc>
          <w:tcPr>
            <w:tcW w:w="3021" w:type="dxa"/>
            <w:tcBorders>
              <w:top w:val="single" w:sz="4" w:space="0" w:color="auto"/>
              <w:left w:val="single" w:sz="4" w:space="0" w:color="auto"/>
              <w:bottom w:val="nil"/>
              <w:right w:val="nil"/>
            </w:tcBorders>
            <w:shd w:val="clear" w:color="auto" w:fill="auto"/>
            <w:vAlign w:val="center"/>
            <w:hideMark/>
          </w:tcPr>
          <w:p w14:paraId="7D7A858F" w14:textId="77777777" w:rsidR="00387142" w:rsidRPr="008B6A75" w:rsidRDefault="00387142" w:rsidP="00387142">
            <w:pPr>
              <w:rPr>
                <w:bCs/>
                <w:sz w:val="20"/>
                <w:szCs w:val="20"/>
              </w:rPr>
            </w:pPr>
            <w:r w:rsidRPr="008B6A75">
              <w:rPr>
                <w:bCs/>
                <w:sz w:val="20"/>
                <w:szCs w:val="20"/>
              </w:rPr>
              <w:t>Реализация мероприятий подпрограммы "Развитие кадрового потенциала системы дошкольного, общего и дополнительного образования детей"</w:t>
            </w:r>
          </w:p>
        </w:tc>
        <w:tc>
          <w:tcPr>
            <w:tcW w:w="850" w:type="dxa"/>
            <w:tcBorders>
              <w:top w:val="single" w:sz="4" w:space="0" w:color="auto"/>
              <w:left w:val="single" w:sz="4" w:space="0" w:color="auto"/>
              <w:bottom w:val="nil"/>
              <w:right w:val="nil"/>
            </w:tcBorders>
            <w:shd w:val="clear" w:color="auto" w:fill="auto"/>
            <w:noWrap/>
            <w:vAlign w:val="center"/>
            <w:hideMark/>
          </w:tcPr>
          <w:p w14:paraId="6062BEA0" w14:textId="77777777" w:rsidR="00387142" w:rsidRPr="008B6A75" w:rsidRDefault="00387142" w:rsidP="00387142">
            <w:pPr>
              <w:jc w:val="center"/>
              <w:rPr>
                <w:bCs/>
                <w:sz w:val="20"/>
                <w:szCs w:val="20"/>
              </w:rPr>
            </w:pPr>
            <w:r w:rsidRPr="008B6A75">
              <w:rPr>
                <w:bCs/>
                <w:sz w:val="20"/>
                <w:szCs w:val="20"/>
              </w:rPr>
              <w:t>444</w:t>
            </w:r>
          </w:p>
        </w:tc>
        <w:tc>
          <w:tcPr>
            <w:tcW w:w="709" w:type="dxa"/>
            <w:tcBorders>
              <w:top w:val="single" w:sz="4" w:space="0" w:color="auto"/>
              <w:left w:val="single" w:sz="4" w:space="0" w:color="auto"/>
              <w:bottom w:val="nil"/>
              <w:right w:val="nil"/>
            </w:tcBorders>
            <w:shd w:val="clear" w:color="auto" w:fill="auto"/>
            <w:noWrap/>
            <w:vAlign w:val="center"/>
            <w:hideMark/>
          </w:tcPr>
          <w:p w14:paraId="4737EDBF" w14:textId="77777777" w:rsidR="00387142" w:rsidRPr="008B6A75" w:rsidRDefault="00387142" w:rsidP="00387142">
            <w:pPr>
              <w:jc w:val="center"/>
              <w:rPr>
                <w:bCs/>
                <w:sz w:val="20"/>
                <w:szCs w:val="20"/>
              </w:rPr>
            </w:pPr>
            <w:r w:rsidRPr="008B6A75">
              <w:rPr>
                <w:bCs/>
                <w:sz w:val="20"/>
                <w:szCs w:val="20"/>
              </w:rPr>
              <w:t>07</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47A88843" w14:textId="77777777" w:rsidR="00387142" w:rsidRPr="008B6A75" w:rsidRDefault="00387142" w:rsidP="00387142">
            <w:pPr>
              <w:jc w:val="center"/>
              <w:rPr>
                <w:bCs/>
                <w:sz w:val="20"/>
                <w:szCs w:val="20"/>
              </w:rPr>
            </w:pPr>
            <w:r w:rsidRPr="008B6A75">
              <w:rPr>
                <w:bCs/>
                <w:sz w:val="20"/>
                <w:szCs w:val="20"/>
              </w:rPr>
              <w:t>01</w:t>
            </w:r>
          </w:p>
        </w:tc>
        <w:tc>
          <w:tcPr>
            <w:tcW w:w="1411" w:type="dxa"/>
            <w:tcBorders>
              <w:top w:val="single" w:sz="4" w:space="0" w:color="auto"/>
              <w:left w:val="single" w:sz="4" w:space="0" w:color="auto"/>
              <w:bottom w:val="nil"/>
              <w:right w:val="nil"/>
            </w:tcBorders>
            <w:shd w:val="clear" w:color="auto" w:fill="auto"/>
            <w:noWrap/>
            <w:vAlign w:val="center"/>
            <w:hideMark/>
          </w:tcPr>
          <w:p w14:paraId="27803DF2" w14:textId="77777777" w:rsidR="00387142" w:rsidRPr="008B6A75" w:rsidRDefault="00387142" w:rsidP="00387142">
            <w:pPr>
              <w:jc w:val="center"/>
              <w:rPr>
                <w:bCs/>
                <w:sz w:val="20"/>
                <w:szCs w:val="20"/>
              </w:rPr>
            </w:pPr>
            <w:r w:rsidRPr="008B6A75">
              <w:rPr>
                <w:bCs/>
                <w:sz w:val="20"/>
                <w:szCs w:val="20"/>
              </w:rPr>
              <w:t>07.3.00.79500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7DD52AF4" w14:textId="77777777" w:rsidR="00387142" w:rsidRPr="008B6A75" w:rsidRDefault="00387142" w:rsidP="00387142">
            <w:pPr>
              <w:jc w:val="center"/>
              <w:rPr>
                <w:bCs/>
                <w:sz w:val="20"/>
                <w:szCs w:val="20"/>
              </w:rPr>
            </w:pPr>
            <w:r w:rsidRPr="008B6A75">
              <w:rPr>
                <w:bCs/>
                <w:sz w:val="20"/>
                <w:szCs w:val="20"/>
              </w:rPr>
              <w:t> </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75DDBBC3" w14:textId="77777777" w:rsidR="00387142" w:rsidRPr="008B6A75" w:rsidRDefault="00387142" w:rsidP="00387142">
            <w:pPr>
              <w:jc w:val="right"/>
              <w:rPr>
                <w:bCs/>
                <w:sz w:val="20"/>
                <w:szCs w:val="20"/>
              </w:rPr>
            </w:pPr>
            <w:r w:rsidRPr="008B6A75">
              <w:rPr>
                <w:bCs/>
                <w:sz w:val="20"/>
                <w:szCs w:val="20"/>
              </w:rPr>
              <w:t>50 000,00</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5679220C" w14:textId="77777777" w:rsidR="00387142" w:rsidRPr="008B6A75" w:rsidRDefault="00387142" w:rsidP="00387142">
            <w:pPr>
              <w:jc w:val="right"/>
              <w:rPr>
                <w:bCs/>
                <w:sz w:val="20"/>
                <w:szCs w:val="20"/>
              </w:rPr>
            </w:pPr>
            <w:r w:rsidRPr="008B6A75">
              <w:rPr>
                <w:bCs/>
                <w:sz w:val="20"/>
                <w:szCs w:val="20"/>
              </w:rPr>
              <w:t>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001C0A18" w14:textId="77777777" w:rsidR="00387142" w:rsidRPr="008B6A75" w:rsidRDefault="00387142" w:rsidP="00387142">
            <w:pPr>
              <w:jc w:val="right"/>
              <w:rPr>
                <w:bCs/>
                <w:sz w:val="20"/>
                <w:szCs w:val="20"/>
              </w:rPr>
            </w:pPr>
            <w:r w:rsidRPr="008B6A75">
              <w:rPr>
                <w:bCs/>
                <w:sz w:val="20"/>
                <w:szCs w:val="20"/>
              </w:rPr>
              <w:t>0,00</w:t>
            </w:r>
          </w:p>
        </w:tc>
        <w:tc>
          <w:tcPr>
            <w:tcW w:w="222" w:type="dxa"/>
            <w:vAlign w:val="center"/>
            <w:hideMark/>
          </w:tcPr>
          <w:p w14:paraId="4EBBE521" w14:textId="77777777" w:rsidR="00387142" w:rsidRPr="008B6A75" w:rsidRDefault="00387142" w:rsidP="00387142">
            <w:pPr>
              <w:rPr>
                <w:sz w:val="20"/>
                <w:szCs w:val="20"/>
              </w:rPr>
            </w:pPr>
          </w:p>
        </w:tc>
      </w:tr>
      <w:tr w:rsidR="00387142" w:rsidRPr="008B6A75" w14:paraId="53C0DFE0" w14:textId="77777777" w:rsidTr="00387142">
        <w:trPr>
          <w:trHeight w:val="585"/>
        </w:trPr>
        <w:tc>
          <w:tcPr>
            <w:tcW w:w="3021" w:type="dxa"/>
            <w:tcBorders>
              <w:top w:val="single" w:sz="4" w:space="0" w:color="auto"/>
              <w:left w:val="single" w:sz="4" w:space="0" w:color="auto"/>
              <w:bottom w:val="nil"/>
              <w:right w:val="nil"/>
            </w:tcBorders>
            <w:shd w:val="clear" w:color="auto" w:fill="auto"/>
            <w:vAlign w:val="center"/>
            <w:hideMark/>
          </w:tcPr>
          <w:p w14:paraId="78437DBF" w14:textId="77777777" w:rsidR="00387142" w:rsidRPr="008B6A75" w:rsidRDefault="00387142" w:rsidP="00387142">
            <w:pPr>
              <w:rPr>
                <w:sz w:val="20"/>
                <w:szCs w:val="20"/>
              </w:rPr>
            </w:pPr>
            <w:r w:rsidRPr="008B6A75">
              <w:rPr>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nil"/>
              <w:right w:val="nil"/>
            </w:tcBorders>
            <w:shd w:val="clear" w:color="auto" w:fill="auto"/>
            <w:noWrap/>
            <w:vAlign w:val="center"/>
            <w:hideMark/>
          </w:tcPr>
          <w:p w14:paraId="503BF136" w14:textId="77777777" w:rsidR="00387142" w:rsidRPr="008B6A75" w:rsidRDefault="00387142" w:rsidP="00387142">
            <w:pPr>
              <w:jc w:val="center"/>
              <w:rPr>
                <w:sz w:val="20"/>
                <w:szCs w:val="20"/>
              </w:rPr>
            </w:pPr>
            <w:r w:rsidRPr="008B6A75">
              <w:rPr>
                <w:sz w:val="20"/>
                <w:szCs w:val="20"/>
              </w:rPr>
              <w:t>444</w:t>
            </w:r>
          </w:p>
        </w:tc>
        <w:tc>
          <w:tcPr>
            <w:tcW w:w="709" w:type="dxa"/>
            <w:tcBorders>
              <w:top w:val="single" w:sz="4" w:space="0" w:color="auto"/>
              <w:left w:val="single" w:sz="4" w:space="0" w:color="auto"/>
              <w:bottom w:val="nil"/>
              <w:right w:val="nil"/>
            </w:tcBorders>
            <w:shd w:val="clear" w:color="auto" w:fill="auto"/>
            <w:noWrap/>
            <w:vAlign w:val="center"/>
            <w:hideMark/>
          </w:tcPr>
          <w:p w14:paraId="26A182F4" w14:textId="77777777" w:rsidR="00387142" w:rsidRPr="008B6A75" w:rsidRDefault="00387142" w:rsidP="00387142">
            <w:pPr>
              <w:jc w:val="center"/>
              <w:rPr>
                <w:sz w:val="20"/>
                <w:szCs w:val="20"/>
              </w:rPr>
            </w:pPr>
            <w:r w:rsidRPr="008B6A75">
              <w:rPr>
                <w:sz w:val="20"/>
                <w:szCs w:val="20"/>
              </w:rPr>
              <w:t>07</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1D29986B" w14:textId="77777777" w:rsidR="00387142" w:rsidRPr="008B6A75" w:rsidRDefault="00387142" w:rsidP="00387142">
            <w:pPr>
              <w:jc w:val="center"/>
              <w:rPr>
                <w:sz w:val="20"/>
                <w:szCs w:val="20"/>
              </w:rPr>
            </w:pPr>
            <w:r w:rsidRPr="008B6A75">
              <w:rPr>
                <w:sz w:val="20"/>
                <w:szCs w:val="20"/>
              </w:rPr>
              <w:t>01</w:t>
            </w:r>
          </w:p>
        </w:tc>
        <w:tc>
          <w:tcPr>
            <w:tcW w:w="1411" w:type="dxa"/>
            <w:tcBorders>
              <w:top w:val="single" w:sz="4" w:space="0" w:color="auto"/>
              <w:left w:val="single" w:sz="4" w:space="0" w:color="auto"/>
              <w:bottom w:val="nil"/>
              <w:right w:val="nil"/>
            </w:tcBorders>
            <w:shd w:val="clear" w:color="auto" w:fill="auto"/>
            <w:noWrap/>
            <w:vAlign w:val="center"/>
            <w:hideMark/>
          </w:tcPr>
          <w:p w14:paraId="5FC9092D" w14:textId="77777777" w:rsidR="00387142" w:rsidRPr="008B6A75" w:rsidRDefault="00387142" w:rsidP="00387142">
            <w:pPr>
              <w:jc w:val="center"/>
              <w:rPr>
                <w:sz w:val="20"/>
                <w:szCs w:val="20"/>
              </w:rPr>
            </w:pPr>
            <w:r w:rsidRPr="008B6A75">
              <w:rPr>
                <w:sz w:val="20"/>
                <w:szCs w:val="20"/>
              </w:rPr>
              <w:t>07.3.00.79500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3E71E80D" w14:textId="77777777" w:rsidR="00387142" w:rsidRPr="008B6A75" w:rsidRDefault="00387142" w:rsidP="00387142">
            <w:pPr>
              <w:jc w:val="center"/>
              <w:rPr>
                <w:sz w:val="20"/>
                <w:szCs w:val="20"/>
              </w:rPr>
            </w:pPr>
            <w:r w:rsidRPr="008B6A75">
              <w:rPr>
                <w:sz w:val="20"/>
                <w:szCs w:val="20"/>
              </w:rPr>
              <w:t>200</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32E0195C" w14:textId="77777777" w:rsidR="00387142" w:rsidRPr="008B6A75" w:rsidRDefault="00387142" w:rsidP="00387142">
            <w:pPr>
              <w:jc w:val="right"/>
              <w:rPr>
                <w:sz w:val="20"/>
                <w:szCs w:val="20"/>
              </w:rPr>
            </w:pPr>
            <w:r w:rsidRPr="008B6A75">
              <w:rPr>
                <w:sz w:val="20"/>
                <w:szCs w:val="20"/>
              </w:rPr>
              <w:t>50 000,00</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5A39A1B5" w14:textId="77777777" w:rsidR="00387142" w:rsidRPr="008B6A75" w:rsidRDefault="00387142" w:rsidP="00387142">
            <w:pPr>
              <w:jc w:val="right"/>
              <w:rPr>
                <w:sz w:val="20"/>
                <w:szCs w:val="20"/>
              </w:rPr>
            </w:pPr>
            <w:r w:rsidRPr="008B6A75">
              <w:rPr>
                <w:sz w:val="20"/>
                <w:szCs w:val="20"/>
              </w:rPr>
              <w:t>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6FFD7AF0" w14:textId="77777777" w:rsidR="00387142" w:rsidRPr="008B6A75" w:rsidRDefault="00387142" w:rsidP="00387142">
            <w:pPr>
              <w:jc w:val="right"/>
              <w:rPr>
                <w:sz w:val="20"/>
                <w:szCs w:val="20"/>
              </w:rPr>
            </w:pPr>
            <w:r w:rsidRPr="008B6A75">
              <w:rPr>
                <w:sz w:val="20"/>
                <w:szCs w:val="20"/>
              </w:rPr>
              <w:t>0,00</w:t>
            </w:r>
          </w:p>
        </w:tc>
        <w:tc>
          <w:tcPr>
            <w:tcW w:w="222" w:type="dxa"/>
            <w:vAlign w:val="center"/>
            <w:hideMark/>
          </w:tcPr>
          <w:p w14:paraId="6A622F63" w14:textId="77777777" w:rsidR="00387142" w:rsidRPr="008B6A75" w:rsidRDefault="00387142" w:rsidP="00387142">
            <w:pPr>
              <w:rPr>
                <w:sz w:val="20"/>
                <w:szCs w:val="20"/>
              </w:rPr>
            </w:pPr>
          </w:p>
        </w:tc>
      </w:tr>
      <w:tr w:rsidR="00387142" w:rsidRPr="008B6A75" w14:paraId="23ABA43A" w14:textId="77777777" w:rsidTr="00387142">
        <w:trPr>
          <w:trHeight w:val="870"/>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29597855" w14:textId="77777777" w:rsidR="00387142" w:rsidRPr="008B6A75" w:rsidRDefault="00387142" w:rsidP="00387142">
            <w:pPr>
              <w:rPr>
                <w:sz w:val="20"/>
                <w:szCs w:val="20"/>
              </w:rPr>
            </w:pPr>
            <w:r w:rsidRPr="008B6A75">
              <w:rPr>
                <w:sz w:val="20"/>
                <w:szCs w:val="20"/>
              </w:rPr>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686A1431" w14:textId="77777777" w:rsidR="00387142" w:rsidRPr="008B6A75" w:rsidRDefault="00387142" w:rsidP="00387142">
            <w:pPr>
              <w:jc w:val="center"/>
              <w:rPr>
                <w:sz w:val="20"/>
                <w:szCs w:val="20"/>
              </w:rPr>
            </w:pPr>
            <w:r w:rsidRPr="008B6A75">
              <w:rPr>
                <w:sz w:val="20"/>
                <w:szCs w:val="20"/>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4895884C" w14:textId="77777777" w:rsidR="00387142" w:rsidRPr="008B6A75" w:rsidRDefault="00387142" w:rsidP="00387142">
            <w:pPr>
              <w:jc w:val="center"/>
              <w:rPr>
                <w:sz w:val="20"/>
                <w:szCs w:val="20"/>
              </w:rPr>
            </w:pPr>
            <w:r w:rsidRPr="008B6A75">
              <w:rPr>
                <w:sz w:val="20"/>
                <w:szCs w:val="20"/>
              </w:rPr>
              <w:t>07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9AA60D" w14:textId="77777777" w:rsidR="00387142" w:rsidRPr="008B6A75" w:rsidRDefault="00387142" w:rsidP="00387142">
            <w:pPr>
              <w:jc w:val="center"/>
              <w:rPr>
                <w:sz w:val="20"/>
                <w:szCs w:val="20"/>
              </w:rPr>
            </w:pPr>
            <w:r w:rsidRPr="008B6A75">
              <w:rPr>
                <w:sz w:val="20"/>
                <w:szCs w:val="20"/>
              </w:rPr>
              <w:t>01</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66E0FD6A" w14:textId="77777777" w:rsidR="00387142" w:rsidRPr="008B6A75" w:rsidRDefault="00387142" w:rsidP="00387142">
            <w:pPr>
              <w:jc w:val="center"/>
              <w:rPr>
                <w:sz w:val="20"/>
                <w:szCs w:val="20"/>
              </w:rPr>
            </w:pPr>
            <w:r w:rsidRPr="008B6A75">
              <w:rPr>
                <w:sz w:val="20"/>
                <w:szCs w:val="20"/>
              </w:rPr>
              <w:t>07.3.00.79500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66AA4A" w14:textId="77777777" w:rsidR="00387142" w:rsidRPr="008B6A75" w:rsidRDefault="00387142" w:rsidP="00387142">
            <w:pPr>
              <w:jc w:val="center"/>
              <w:rPr>
                <w:sz w:val="20"/>
                <w:szCs w:val="20"/>
              </w:rPr>
            </w:pPr>
            <w:r w:rsidRPr="008B6A75">
              <w:rPr>
                <w:sz w:val="20"/>
                <w:szCs w:val="20"/>
              </w:rPr>
              <w:t>240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9FD078" w14:textId="77777777" w:rsidR="00387142" w:rsidRPr="008B6A75" w:rsidRDefault="00387142" w:rsidP="00387142">
            <w:pPr>
              <w:jc w:val="right"/>
              <w:rPr>
                <w:sz w:val="20"/>
                <w:szCs w:val="20"/>
              </w:rPr>
            </w:pPr>
            <w:r w:rsidRPr="008B6A75">
              <w:rPr>
                <w:sz w:val="20"/>
                <w:szCs w:val="20"/>
              </w:rPr>
              <w:t>50 000,00</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570D6189" w14:textId="77777777" w:rsidR="00387142" w:rsidRPr="008B6A75" w:rsidRDefault="00387142" w:rsidP="00387142">
            <w:pPr>
              <w:jc w:val="right"/>
              <w:rPr>
                <w:sz w:val="20"/>
                <w:szCs w:val="20"/>
              </w:rPr>
            </w:pPr>
            <w:r w:rsidRPr="008B6A75">
              <w:rPr>
                <w:sz w:val="20"/>
                <w:szCs w:val="20"/>
              </w:rPr>
              <w:t>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63ABB9" w14:textId="77777777" w:rsidR="00387142" w:rsidRPr="008B6A75" w:rsidRDefault="00387142" w:rsidP="00387142">
            <w:pPr>
              <w:jc w:val="right"/>
              <w:rPr>
                <w:sz w:val="20"/>
                <w:szCs w:val="20"/>
              </w:rPr>
            </w:pPr>
            <w:r w:rsidRPr="008B6A75">
              <w:rPr>
                <w:sz w:val="20"/>
                <w:szCs w:val="20"/>
              </w:rPr>
              <w:t>0,00</w:t>
            </w:r>
          </w:p>
        </w:tc>
        <w:tc>
          <w:tcPr>
            <w:tcW w:w="222" w:type="dxa"/>
            <w:vAlign w:val="center"/>
            <w:hideMark/>
          </w:tcPr>
          <w:p w14:paraId="05BFA1B7" w14:textId="77777777" w:rsidR="00387142" w:rsidRPr="008B6A75" w:rsidRDefault="00387142" w:rsidP="00387142">
            <w:pPr>
              <w:rPr>
                <w:sz w:val="20"/>
                <w:szCs w:val="20"/>
              </w:rPr>
            </w:pPr>
          </w:p>
        </w:tc>
      </w:tr>
      <w:tr w:rsidR="00387142" w:rsidRPr="008B6A75" w14:paraId="0282BAD0" w14:textId="77777777" w:rsidTr="00387142">
        <w:trPr>
          <w:trHeight w:val="300"/>
        </w:trPr>
        <w:tc>
          <w:tcPr>
            <w:tcW w:w="3021" w:type="dxa"/>
            <w:tcBorders>
              <w:top w:val="nil"/>
              <w:left w:val="single" w:sz="4" w:space="0" w:color="auto"/>
              <w:bottom w:val="nil"/>
              <w:right w:val="nil"/>
            </w:tcBorders>
            <w:shd w:val="clear" w:color="auto" w:fill="auto"/>
            <w:vAlign w:val="center"/>
            <w:hideMark/>
          </w:tcPr>
          <w:p w14:paraId="0AC80822" w14:textId="77777777" w:rsidR="00387142" w:rsidRPr="008B6A75" w:rsidRDefault="00387142" w:rsidP="00387142">
            <w:pPr>
              <w:rPr>
                <w:bCs/>
                <w:sz w:val="20"/>
                <w:szCs w:val="20"/>
              </w:rPr>
            </w:pPr>
            <w:r w:rsidRPr="008B6A75">
              <w:rPr>
                <w:bCs/>
                <w:sz w:val="20"/>
                <w:szCs w:val="20"/>
              </w:rPr>
              <w:t>Общее образование</w:t>
            </w:r>
          </w:p>
        </w:tc>
        <w:tc>
          <w:tcPr>
            <w:tcW w:w="850" w:type="dxa"/>
            <w:tcBorders>
              <w:top w:val="nil"/>
              <w:left w:val="single" w:sz="4" w:space="0" w:color="auto"/>
              <w:bottom w:val="nil"/>
              <w:right w:val="nil"/>
            </w:tcBorders>
            <w:shd w:val="clear" w:color="auto" w:fill="auto"/>
            <w:noWrap/>
            <w:vAlign w:val="center"/>
            <w:hideMark/>
          </w:tcPr>
          <w:p w14:paraId="36ECC9A2" w14:textId="77777777" w:rsidR="00387142" w:rsidRPr="008B6A75" w:rsidRDefault="00387142" w:rsidP="00387142">
            <w:pPr>
              <w:jc w:val="center"/>
              <w:rPr>
                <w:bCs/>
                <w:sz w:val="20"/>
                <w:szCs w:val="20"/>
              </w:rPr>
            </w:pPr>
            <w:r w:rsidRPr="008B6A75">
              <w:rPr>
                <w:bCs/>
                <w:sz w:val="20"/>
                <w:szCs w:val="20"/>
              </w:rPr>
              <w:t>444</w:t>
            </w:r>
          </w:p>
        </w:tc>
        <w:tc>
          <w:tcPr>
            <w:tcW w:w="709" w:type="dxa"/>
            <w:tcBorders>
              <w:top w:val="nil"/>
              <w:left w:val="single" w:sz="4" w:space="0" w:color="auto"/>
              <w:bottom w:val="nil"/>
              <w:right w:val="nil"/>
            </w:tcBorders>
            <w:shd w:val="clear" w:color="auto" w:fill="auto"/>
            <w:noWrap/>
            <w:vAlign w:val="center"/>
            <w:hideMark/>
          </w:tcPr>
          <w:p w14:paraId="3500180E" w14:textId="77777777" w:rsidR="00387142" w:rsidRPr="008B6A75" w:rsidRDefault="00387142" w:rsidP="00387142">
            <w:pPr>
              <w:jc w:val="center"/>
              <w:rPr>
                <w:bCs/>
                <w:sz w:val="20"/>
                <w:szCs w:val="20"/>
              </w:rPr>
            </w:pPr>
            <w:r w:rsidRPr="008B6A75">
              <w:rPr>
                <w:bCs/>
                <w:sz w:val="20"/>
                <w:szCs w:val="20"/>
              </w:rPr>
              <w:t>07</w:t>
            </w:r>
          </w:p>
        </w:tc>
        <w:tc>
          <w:tcPr>
            <w:tcW w:w="709" w:type="dxa"/>
            <w:tcBorders>
              <w:top w:val="nil"/>
              <w:left w:val="single" w:sz="4" w:space="0" w:color="auto"/>
              <w:bottom w:val="nil"/>
              <w:right w:val="single" w:sz="4" w:space="0" w:color="auto"/>
            </w:tcBorders>
            <w:shd w:val="clear" w:color="auto" w:fill="auto"/>
            <w:noWrap/>
            <w:vAlign w:val="center"/>
            <w:hideMark/>
          </w:tcPr>
          <w:p w14:paraId="5FA7A082" w14:textId="77777777" w:rsidR="00387142" w:rsidRPr="008B6A75" w:rsidRDefault="00387142" w:rsidP="00387142">
            <w:pPr>
              <w:jc w:val="center"/>
              <w:rPr>
                <w:bCs/>
                <w:sz w:val="20"/>
                <w:szCs w:val="20"/>
              </w:rPr>
            </w:pPr>
            <w:r w:rsidRPr="008B6A75">
              <w:rPr>
                <w:bCs/>
                <w:sz w:val="20"/>
                <w:szCs w:val="20"/>
              </w:rPr>
              <w:t>02</w:t>
            </w:r>
          </w:p>
        </w:tc>
        <w:tc>
          <w:tcPr>
            <w:tcW w:w="1411" w:type="dxa"/>
            <w:tcBorders>
              <w:top w:val="nil"/>
              <w:left w:val="single" w:sz="4" w:space="0" w:color="auto"/>
              <w:bottom w:val="nil"/>
              <w:right w:val="nil"/>
            </w:tcBorders>
            <w:shd w:val="clear" w:color="auto" w:fill="auto"/>
            <w:noWrap/>
            <w:vAlign w:val="center"/>
            <w:hideMark/>
          </w:tcPr>
          <w:p w14:paraId="3CC589BF" w14:textId="77777777" w:rsidR="00387142" w:rsidRPr="008B6A75" w:rsidRDefault="00387142" w:rsidP="00387142">
            <w:pPr>
              <w:jc w:val="center"/>
              <w:rPr>
                <w:bCs/>
                <w:sz w:val="20"/>
                <w:szCs w:val="20"/>
              </w:rPr>
            </w:pPr>
            <w:r w:rsidRPr="008B6A75">
              <w:rPr>
                <w:bCs/>
                <w:sz w:val="20"/>
                <w:szCs w:val="20"/>
              </w:rPr>
              <w:t> </w:t>
            </w:r>
          </w:p>
        </w:tc>
        <w:tc>
          <w:tcPr>
            <w:tcW w:w="955" w:type="dxa"/>
            <w:tcBorders>
              <w:top w:val="nil"/>
              <w:left w:val="single" w:sz="4" w:space="0" w:color="auto"/>
              <w:bottom w:val="nil"/>
              <w:right w:val="single" w:sz="4" w:space="0" w:color="auto"/>
            </w:tcBorders>
            <w:shd w:val="clear" w:color="auto" w:fill="auto"/>
            <w:noWrap/>
            <w:vAlign w:val="center"/>
            <w:hideMark/>
          </w:tcPr>
          <w:p w14:paraId="01423B28"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nil"/>
              <w:right w:val="single" w:sz="4" w:space="0" w:color="auto"/>
            </w:tcBorders>
            <w:shd w:val="clear" w:color="auto" w:fill="auto"/>
            <w:noWrap/>
            <w:vAlign w:val="center"/>
            <w:hideMark/>
          </w:tcPr>
          <w:p w14:paraId="64E42E0B" w14:textId="77777777" w:rsidR="00387142" w:rsidRPr="008B6A75" w:rsidRDefault="00387142" w:rsidP="00387142">
            <w:pPr>
              <w:jc w:val="right"/>
              <w:rPr>
                <w:bCs/>
                <w:sz w:val="20"/>
                <w:szCs w:val="20"/>
              </w:rPr>
            </w:pPr>
            <w:r w:rsidRPr="008B6A75">
              <w:rPr>
                <w:bCs/>
                <w:sz w:val="20"/>
                <w:szCs w:val="20"/>
              </w:rPr>
              <w:t>1 131 808 518,26</w:t>
            </w:r>
          </w:p>
        </w:tc>
        <w:tc>
          <w:tcPr>
            <w:tcW w:w="992" w:type="dxa"/>
            <w:gridSpan w:val="2"/>
            <w:tcBorders>
              <w:top w:val="nil"/>
              <w:left w:val="single" w:sz="4" w:space="0" w:color="auto"/>
              <w:bottom w:val="nil"/>
              <w:right w:val="nil"/>
            </w:tcBorders>
            <w:shd w:val="clear" w:color="auto" w:fill="auto"/>
            <w:noWrap/>
            <w:vAlign w:val="center"/>
            <w:hideMark/>
          </w:tcPr>
          <w:p w14:paraId="20C744E6" w14:textId="77777777" w:rsidR="00387142" w:rsidRPr="008B6A75" w:rsidRDefault="00387142" w:rsidP="00387142">
            <w:pPr>
              <w:jc w:val="right"/>
              <w:rPr>
                <w:bCs/>
                <w:sz w:val="20"/>
                <w:szCs w:val="20"/>
              </w:rPr>
            </w:pPr>
            <w:r w:rsidRPr="008B6A75">
              <w:rPr>
                <w:bCs/>
                <w:sz w:val="20"/>
                <w:szCs w:val="20"/>
              </w:rPr>
              <w:t>833 338 563,80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17AAF5E3" w14:textId="77777777" w:rsidR="00387142" w:rsidRPr="008B6A75" w:rsidRDefault="00387142" w:rsidP="00387142">
            <w:pPr>
              <w:jc w:val="right"/>
              <w:rPr>
                <w:bCs/>
                <w:sz w:val="20"/>
                <w:szCs w:val="20"/>
              </w:rPr>
            </w:pPr>
            <w:r w:rsidRPr="008B6A75">
              <w:rPr>
                <w:bCs/>
                <w:sz w:val="20"/>
                <w:szCs w:val="20"/>
              </w:rPr>
              <w:t>808 821 956,22</w:t>
            </w:r>
          </w:p>
        </w:tc>
        <w:tc>
          <w:tcPr>
            <w:tcW w:w="222" w:type="dxa"/>
            <w:vAlign w:val="center"/>
            <w:hideMark/>
          </w:tcPr>
          <w:p w14:paraId="14A7C023" w14:textId="77777777" w:rsidR="00387142" w:rsidRPr="008B6A75" w:rsidRDefault="00387142" w:rsidP="00387142">
            <w:pPr>
              <w:rPr>
                <w:sz w:val="20"/>
                <w:szCs w:val="20"/>
              </w:rPr>
            </w:pPr>
          </w:p>
        </w:tc>
      </w:tr>
      <w:tr w:rsidR="00387142" w:rsidRPr="008B6A75" w14:paraId="5B2038DA" w14:textId="77777777" w:rsidTr="00387142">
        <w:trPr>
          <w:trHeight w:val="870"/>
        </w:trPr>
        <w:tc>
          <w:tcPr>
            <w:tcW w:w="3021" w:type="dxa"/>
            <w:tcBorders>
              <w:top w:val="single" w:sz="4" w:space="0" w:color="auto"/>
              <w:left w:val="single" w:sz="4" w:space="0" w:color="auto"/>
              <w:bottom w:val="nil"/>
              <w:right w:val="nil"/>
            </w:tcBorders>
            <w:shd w:val="clear" w:color="auto" w:fill="auto"/>
            <w:vAlign w:val="center"/>
            <w:hideMark/>
          </w:tcPr>
          <w:p w14:paraId="6C456499" w14:textId="77777777" w:rsidR="00387142" w:rsidRPr="008B6A75" w:rsidRDefault="00387142" w:rsidP="00387142">
            <w:pPr>
              <w:rPr>
                <w:bCs/>
                <w:sz w:val="20"/>
                <w:szCs w:val="20"/>
              </w:rPr>
            </w:pPr>
            <w:r w:rsidRPr="008B6A75">
              <w:rPr>
                <w:bCs/>
                <w:sz w:val="20"/>
                <w:szCs w:val="20"/>
              </w:rPr>
              <w:t>Муниципальная программа "Комплексное развитие сельских территорий в Куйбышевском районе"</w:t>
            </w:r>
          </w:p>
        </w:tc>
        <w:tc>
          <w:tcPr>
            <w:tcW w:w="850" w:type="dxa"/>
            <w:tcBorders>
              <w:top w:val="single" w:sz="4" w:space="0" w:color="auto"/>
              <w:left w:val="single" w:sz="4" w:space="0" w:color="auto"/>
              <w:bottom w:val="nil"/>
              <w:right w:val="nil"/>
            </w:tcBorders>
            <w:shd w:val="clear" w:color="auto" w:fill="auto"/>
            <w:noWrap/>
            <w:vAlign w:val="center"/>
            <w:hideMark/>
          </w:tcPr>
          <w:p w14:paraId="3D3133C7" w14:textId="77777777" w:rsidR="00387142" w:rsidRPr="008B6A75" w:rsidRDefault="00387142" w:rsidP="00387142">
            <w:pPr>
              <w:jc w:val="center"/>
              <w:rPr>
                <w:bCs/>
                <w:sz w:val="20"/>
                <w:szCs w:val="20"/>
              </w:rPr>
            </w:pPr>
            <w:r w:rsidRPr="008B6A75">
              <w:rPr>
                <w:bCs/>
                <w:sz w:val="20"/>
                <w:szCs w:val="20"/>
              </w:rPr>
              <w:t>444</w:t>
            </w:r>
          </w:p>
        </w:tc>
        <w:tc>
          <w:tcPr>
            <w:tcW w:w="709" w:type="dxa"/>
            <w:tcBorders>
              <w:top w:val="single" w:sz="4" w:space="0" w:color="auto"/>
              <w:left w:val="single" w:sz="4" w:space="0" w:color="auto"/>
              <w:bottom w:val="nil"/>
              <w:right w:val="nil"/>
            </w:tcBorders>
            <w:shd w:val="clear" w:color="auto" w:fill="auto"/>
            <w:noWrap/>
            <w:vAlign w:val="center"/>
            <w:hideMark/>
          </w:tcPr>
          <w:p w14:paraId="239C1CF5" w14:textId="77777777" w:rsidR="00387142" w:rsidRPr="008B6A75" w:rsidRDefault="00387142" w:rsidP="00387142">
            <w:pPr>
              <w:jc w:val="center"/>
              <w:rPr>
                <w:bCs/>
                <w:sz w:val="20"/>
                <w:szCs w:val="20"/>
              </w:rPr>
            </w:pPr>
            <w:r w:rsidRPr="008B6A75">
              <w:rPr>
                <w:bCs/>
                <w:sz w:val="20"/>
                <w:szCs w:val="20"/>
              </w:rPr>
              <w:t>07</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370F974E" w14:textId="77777777" w:rsidR="00387142" w:rsidRPr="008B6A75" w:rsidRDefault="00387142" w:rsidP="00387142">
            <w:pPr>
              <w:jc w:val="center"/>
              <w:rPr>
                <w:bCs/>
                <w:sz w:val="20"/>
                <w:szCs w:val="20"/>
              </w:rPr>
            </w:pPr>
            <w:r w:rsidRPr="008B6A75">
              <w:rPr>
                <w:bCs/>
                <w:sz w:val="20"/>
                <w:szCs w:val="20"/>
              </w:rPr>
              <w:t>02</w:t>
            </w:r>
          </w:p>
        </w:tc>
        <w:tc>
          <w:tcPr>
            <w:tcW w:w="1411" w:type="dxa"/>
            <w:tcBorders>
              <w:top w:val="single" w:sz="4" w:space="0" w:color="auto"/>
              <w:left w:val="single" w:sz="4" w:space="0" w:color="auto"/>
              <w:bottom w:val="nil"/>
              <w:right w:val="nil"/>
            </w:tcBorders>
            <w:shd w:val="clear" w:color="auto" w:fill="auto"/>
            <w:noWrap/>
            <w:vAlign w:val="center"/>
            <w:hideMark/>
          </w:tcPr>
          <w:p w14:paraId="6C2C5CEE" w14:textId="77777777" w:rsidR="00387142" w:rsidRPr="008B6A75" w:rsidRDefault="00387142" w:rsidP="00387142">
            <w:pPr>
              <w:jc w:val="center"/>
              <w:rPr>
                <w:bCs/>
                <w:sz w:val="20"/>
                <w:szCs w:val="20"/>
              </w:rPr>
            </w:pPr>
            <w:r w:rsidRPr="008B6A75">
              <w:rPr>
                <w:bCs/>
                <w:sz w:val="20"/>
                <w:szCs w:val="20"/>
              </w:rPr>
              <w:t>06.0.00.00000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7CF60F3E" w14:textId="77777777" w:rsidR="00387142" w:rsidRPr="008B6A75" w:rsidRDefault="00387142" w:rsidP="00387142">
            <w:pPr>
              <w:jc w:val="center"/>
              <w:rPr>
                <w:bCs/>
                <w:sz w:val="20"/>
                <w:szCs w:val="20"/>
              </w:rPr>
            </w:pPr>
            <w:r w:rsidRPr="008B6A75">
              <w:rPr>
                <w:bCs/>
                <w:sz w:val="20"/>
                <w:szCs w:val="20"/>
              </w:rPr>
              <w:t> </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06B3B63D" w14:textId="77777777" w:rsidR="00387142" w:rsidRPr="008B6A75" w:rsidRDefault="00387142" w:rsidP="00387142">
            <w:pPr>
              <w:jc w:val="right"/>
              <w:rPr>
                <w:bCs/>
                <w:sz w:val="20"/>
                <w:szCs w:val="20"/>
              </w:rPr>
            </w:pPr>
            <w:r w:rsidRPr="008B6A75">
              <w:rPr>
                <w:bCs/>
                <w:sz w:val="20"/>
                <w:szCs w:val="20"/>
              </w:rPr>
              <w:t>31 958 072,35</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3762E740" w14:textId="77777777" w:rsidR="00387142" w:rsidRPr="008B6A75" w:rsidRDefault="00387142" w:rsidP="00387142">
            <w:pPr>
              <w:jc w:val="right"/>
              <w:rPr>
                <w:bCs/>
                <w:sz w:val="20"/>
                <w:szCs w:val="20"/>
              </w:rPr>
            </w:pPr>
            <w:r w:rsidRPr="008B6A75">
              <w:rPr>
                <w:bCs/>
                <w:sz w:val="20"/>
                <w:szCs w:val="20"/>
              </w:rPr>
              <w:t>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684E58B7" w14:textId="77777777" w:rsidR="00387142" w:rsidRPr="008B6A75" w:rsidRDefault="00387142" w:rsidP="00387142">
            <w:pPr>
              <w:jc w:val="right"/>
              <w:rPr>
                <w:bCs/>
                <w:sz w:val="20"/>
                <w:szCs w:val="20"/>
              </w:rPr>
            </w:pPr>
            <w:r w:rsidRPr="008B6A75">
              <w:rPr>
                <w:bCs/>
                <w:sz w:val="20"/>
                <w:szCs w:val="20"/>
              </w:rPr>
              <w:t>0,00</w:t>
            </w:r>
          </w:p>
        </w:tc>
        <w:tc>
          <w:tcPr>
            <w:tcW w:w="222" w:type="dxa"/>
            <w:vAlign w:val="center"/>
            <w:hideMark/>
          </w:tcPr>
          <w:p w14:paraId="20AE55D9" w14:textId="77777777" w:rsidR="00387142" w:rsidRPr="008B6A75" w:rsidRDefault="00387142" w:rsidP="00387142">
            <w:pPr>
              <w:rPr>
                <w:sz w:val="20"/>
                <w:szCs w:val="20"/>
              </w:rPr>
            </w:pPr>
          </w:p>
        </w:tc>
      </w:tr>
      <w:tr w:rsidR="00387142" w:rsidRPr="008B6A75" w14:paraId="07722EF0" w14:textId="77777777" w:rsidTr="00387142">
        <w:trPr>
          <w:trHeight w:val="870"/>
        </w:trPr>
        <w:tc>
          <w:tcPr>
            <w:tcW w:w="3021" w:type="dxa"/>
            <w:tcBorders>
              <w:top w:val="single" w:sz="4" w:space="0" w:color="auto"/>
              <w:left w:val="single" w:sz="4" w:space="0" w:color="auto"/>
              <w:bottom w:val="nil"/>
              <w:right w:val="nil"/>
            </w:tcBorders>
            <w:shd w:val="clear" w:color="auto" w:fill="auto"/>
            <w:vAlign w:val="center"/>
            <w:hideMark/>
          </w:tcPr>
          <w:p w14:paraId="7E31E6EC" w14:textId="77777777" w:rsidR="00387142" w:rsidRPr="008B6A75" w:rsidRDefault="00387142" w:rsidP="00387142">
            <w:pPr>
              <w:rPr>
                <w:bCs/>
                <w:sz w:val="20"/>
                <w:szCs w:val="20"/>
              </w:rPr>
            </w:pPr>
            <w:r w:rsidRPr="008B6A75">
              <w:rPr>
                <w:bCs/>
                <w:sz w:val="20"/>
                <w:szCs w:val="20"/>
              </w:rPr>
              <w:t>Реализация мероприятий муниципальной программы «Комплексное развитие сельских территорий в Куйбышевском районе»</w:t>
            </w:r>
          </w:p>
        </w:tc>
        <w:tc>
          <w:tcPr>
            <w:tcW w:w="850" w:type="dxa"/>
            <w:tcBorders>
              <w:top w:val="single" w:sz="4" w:space="0" w:color="auto"/>
              <w:left w:val="single" w:sz="4" w:space="0" w:color="auto"/>
              <w:bottom w:val="nil"/>
              <w:right w:val="nil"/>
            </w:tcBorders>
            <w:shd w:val="clear" w:color="auto" w:fill="auto"/>
            <w:noWrap/>
            <w:vAlign w:val="center"/>
            <w:hideMark/>
          </w:tcPr>
          <w:p w14:paraId="5B74E2DE" w14:textId="77777777" w:rsidR="00387142" w:rsidRPr="008B6A75" w:rsidRDefault="00387142" w:rsidP="00387142">
            <w:pPr>
              <w:jc w:val="center"/>
              <w:rPr>
                <w:bCs/>
                <w:sz w:val="20"/>
                <w:szCs w:val="20"/>
              </w:rPr>
            </w:pPr>
            <w:r w:rsidRPr="008B6A75">
              <w:rPr>
                <w:bCs/>
                <w:sz w:val="20"/>
                <w:szCs w:val="20"/>
              </w:rPr>
              <w:t>444</w:t>
            </w:r>
          </w:p>
        </w:tc>
        <w:tc>
          <w:tcPr>
            <w:tcW w:w="709" w:type="dxa"/>
            <w:tcBorders>
              <w:top w:val="single" w:sz="4" w:space="0" w:color="auto"/>
              <w:left w:val="single" w:sz="4" w:space="0" w:color="auto"/>
              <w:bottom w:val="nil"/>
              <w:right w:val="nil"/>
            </w:tcBorders>
            <w:shd w:val="clear" w:color="auto" w:fill="auto"/>
            <w:noWrap/>
            <w:vAlign w:val="center"/>
            <w:hideMark/>
          </w:tcPr>
          <w:p w14:paraId="2E3057A9" w14:textId="77777777" w:rsidR="00387142" w:rsidRPr="008B6A75" w:rsidRDefault="00387142" w:rsidP="00387142">
            <w:pPr>
              <w:jc w:val="center"/>
              <w:rPr>
                <w:bCs/>
                <w:sz w:val="20"/>
                <w:szCs w:val="20"/>
              </w:rPr>
            </w:pPr>
            <w:r w:rsidRPr="008B6A75">
              <w:rPr>
                <w:bCs/>
                <w:sz w:val="20"/>
                <w:szCs w:val="20"/>
              </w:rPr>
              <w:t>07</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0F9FAF49" w14:textId="77777777" w:rsidR="00387142" w:rsidRPr="008B6A75" w:rsidRDefault="00387142" w:rsidP="00387142">
            <w:pPr>
              <w:jc w:val="center"/>
              <w:rPr>
                <w:bCs/>
                <w:sz w:val="20"/>
                <w:szCs w:val="20"/>
              </w:rPr>
            </w:pPr>
            <w:r w:rsidRPr="008B6A75">
              <w:rPr>
                <w:bCs/>
                <w:sz w:val="20"/>
                <w:szCs w:val="20"/>
              </w:rPr>
              <w:t>02</w:t>
            </w:r>
          </w:p>
        </w:tc>
        <w:tc>
          <w:tcPr>
            <w:tcW w:w="1411" w:type="dxa"/>
            <w:tcBorders>
              <w:top w:val="single" w:sz="4" w:space="0" w:color="auto"/>
              <w:left w:val="single" w:sz="4" w:space="0" w:color="auto"/>
              <w:bottom w:val="nil"/>
              <w:right w:val="nil"/>
            </w:tcBorders>
            <w:shd w:val="clear" w:color="auto" w:fill="auto"/>
            <w:noWrap/>
            <w:vAlign w:val="center"/>
            <w:hideMark/>
          </w:tcPr>
          <w:p w14:paraId="7C144288" w14:textId="77777777" w:rsidR="00387142" w:rsidRPr="008B6A75" w:rsidRDefault="00387142" w:rsidP="00387142">
            <w:pPr>
              <w:jc w:val="center"/>
              <w:rPr>
                <w:bCs/>
                <w:sz w:val="20"/>
                <w:szCs w:val="20"/>
              </w:rPr>
            </w:pPr>
            <w:r w:rsidRPr="008B6A75">
              <w:rPr>
                <w:bCs/>
                <w:sz w:val="20"/>
                <w:szCs w:val="20"/>
              </w:rPr>
              <w:t>06.0.00.05956</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30495265" w14:textId="77777777" w:rsidR="00387142" w:rsidRPr="008B6A75" w:rsidRDefault="00387142" w:rsidP="00387142">
            <w:pPr>
              <w:jc w:val="center"/>
              <w:rPr>
                <w:bCs/>
                <w:sz w:val="20"/>
                <w:szCs w:val="20"/>
              </w:rPr>
            </w:pPr>
            <w:r w:rsidRPr="008B6A75">
              <w:rPr>
                <w:bCs/>
                <w:sz w:val="20"/>
                <w:szCs w:val="20"/>
              </w:rPr>
              <w:t> </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07EAB141" w14:textId="77777777" w:rsidR="00387142" w:rsidRPr="008B6A75" w:rsidRDefault="00387142" w:rsidP="00387142">
            <w:pPr>
              <w:jc w:val="right"/>
              <w:rPr>
                <w:bCs/>
                <w:sz w:val="20"/>
                <w:szCs w:val="20"/>
              </w:rPr>
            </w:pPr>
            <w:r w:rsidRPr="008B6A75">
              <w:rPr>
                <w:bCs/>
                <w:sz w:val="20"/>
                <w:szCs w:val="20"/>
              </w:rPr>
              <w:t>135 300,00</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519EC5CE" w14:textId="77777777" w:rsidR="00387142" w:rsidRPr="008B6A75" w:rsidRDefault="00387142" w:rsidP="00387142">
            <w:pPr>
              <w:jc w:val="right"/>
              <w:rPr>
                <w:bCs/>
                <w:sz w:val="20"/>
                <w:szCs w:val="20"/>
              </w:rPr>
            </w:pPr>
            <w:r w:rsidRPr="008B6A75">
              <w:rPr>
                <w:bCs/>
                <w:sz w:val="20"/>
                <w:szCs w:val="20"/>
              </w:rPr>
              <w:t>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53175CB5" w14:textId="77777777" w:rsidR="00387142" w:rsidRPr="008B6A75" w:rsidRDefault="00387142" w:rsidP="00387142">
            <w:pPr>
              <w:jc w:val="right"/>
              <w:rPr>
                <w:bCs/>
                <w:sz w:val="20"/>
                <w:szCs w:val="20"/>
              </w:rPr>
            </w:pPr>
            <w:r w:rsidRPr="008B6A75">
              <w:rPr>
                <w:bCs/>
                <w:sz w:val="20"/>
                <w:szCs w:val="20"/>
              </w:rPr>
              <w:t>0,00</w:t>
            </w:r>
          </w:p>
        </w:tc>
        <w:tc>
          <w:tcPr>
            <w:tcW w:w="222" w:type="dxa"/>
            <w:vAlign w:val="center"/>
            <w:hideMark/>
          </w:tcPr>
          <w:p w14:paraId="424C62AC" w14:textId="77777777" w:rsidR="00387142" w:rsidRPr="008B6A75" w:rsidRDefault="00387142" w:rsidP="00387142">
            <w:pPr>
              <w:rPr>
                <w:sz w:val="20"/>
                <w:szCs w:val="20"/>
              </w:rPr>
            </w:pPr>
          </w:p>
        </w:tc>
      </w:tr>
      <w:tr w:rsidR="00387142" w:rsidRPr="008B6A75" w14:paraId="76A077EF" w14:textId="77777777" w:rsidTr="00387142">
        <w:trPr>
          <w:trHeight w:val="585"/>
        </w:trPr>
        <w:tc>
          <w:tcPr>
            <w:tcW w:w="3021" w:type="dxa"/>
            <w:tcBorders>
              <w:top w:val="single" w:sz="4" w:space="0" w:color="auto"/>
              <w:left w:val="single" w:sz="4" w:space="0" w:color="auto"/>
              <w:bottom w:val="nil"/>
              <w:right w:val="nil"/>
            </w:tcBorders>
            <w:shd w:val="clear" w:color="auto" w:fill="auto"/>
            <w:vAlign w:val="center"/>
            <w:hideMark/>
          </w:tcPr>
          <w:p w14:paraId="427F677B" w14:textId="77777777" w:rsidR="00387142" w:rsidRPr="008B6A75" w:rsidRDefault="00387142" w:rsidP="00387142">
            <w:pPr>
              <w:rPr>
                <w:sz w:val="20"/>
                <w:szCs w:val="20"/>
              </w:rPr>
            </w:pPr>
            <w:r w:rsidRPr="008B6A75">
              <w:rPr>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nil"/>
              <w:right w:val="nil"/>
            </w:tcBorders>
            <w:shd w:val="clear" w:color="auto" w:fill="auto"/>
            <w:noWrap/>
            <w:vAlign w:val="center"/>
            <w:hideMark/>
          </w:tcPr>
          <w:p w14:paraId="2CB1BFAA" w14:textId="77777777" w:rsidR="00387142" w:rsidRPr="008B6A75" w:rsidRDefault="00387142" w:rsidP="00387142">
            <w:pPr>
              <w:jc w:val="center"/>
              <w:rPr>
                <w:sz w:val="20"/>
                <w:szCs w:val="20"/>
              </w:rPr>
            </w:pPr>
            <w:r w:rsidRPr="008B6A75">
              <w:rPr>
                <w:sz w:val="20"/>
                <w:szCs w:val="20"/>
              </w:rPr>
              <w:t>444</w:t>
            </w:r>
          </w:p>
        </w:tc>
        <w:tc>
          <w:tcPr>
            <w:tcW w:w="709" w:type="dxa"/>
            <w:tcBorders>
              <w:top w:val="single" w:sz="4" w:space="0" w:color="auto"/>
              <w:left w:val="single" w:sz="4" w:space="0" w:color="auto"/>
              <w:bottom w:val="nil"/>
              <w:right w:val="nil"/>
            </w:tcBorders>
            <w:shd w:val="clear" w:color="auto" w:fill="auto"/>
            <w:noWrap/>
            <w:vAlign w:val="center"/>
            <w:hideMark/>
          </w:tcPr>
          <w:p w14:paraId="3A129867" w14:textId="77777777" w:rsidR="00387142" w:rsidRPr="008B6A75" w:rsidRDefault="00387142" w:rsidP="00387142">
            <w:pPr>
              <w:jc w:val="center"/>
              <w:rPr>
                <w:sz w:val="20"/>
                <w:szCs w:val="20"/>
              </w:rPr>
            </w:pPr>
            <w:r w:rsidRPr="008B6A75">
              <w:rPr>
                <w:sz w:val="20"/>
                <w:szCs w:val="20"/>
              </w:rPr>
              <w:t>07</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766D715F" w14:textId="77777777" w:rsidR="00387142" w:rsidRPr="008B6A75" w:rsidRDefault="00387142" w:rsidP="00387142">
            <w:pPr>
              <w:jc w:val="center"/>
              <w:rPr>
                <w:sz w:val="20"/>
                <w:szCs w:val="20"/>
              </w:rPr>
            </w:pPr>
            <w:r w:rsidRPr="008B6A75">
              <w:rPr>
                <w:sz w:val="20"/>
                <w:szCs w:val="20"/>
              </w:rPr>
              <w:t>02</w:t>
            </w:r>
          </w:p>
        </w:tc>
        <w:tc>
          <w:tcPr>
            <w:tcW w:w="1411" w:type="dxa"/>
            <w:tcBorders>
              <w:top w:val="single" w:sz="4" w:space="0" w:color="auto"/>
              <w:left w:val="single" w:sz="4" w:space="0" w:color="auto"/>
              <w:bottom w:val="nil"/>
              <w:right w:val="nil"/>
            </w:tcBorders>
            <w:shd w:val="clear" w:color="auto" w:fill="auto"/>
            <w:noWrap/>
            <w:vAlign w:val="center"/>
            <w:hideMark/>
          </w:tcPr>
          <w:p w14:paraId="5FA32E10" w14:textId="77777777" w:rsidR="00387142" w:rsidRPr="008B6A75" w:rsidRDefault="00387142" w:rsidP="00387142">
            <w:pPr>
              <w:jc w:val="center"/>
              <w:rPr>
                <w:sz w:val="20"/>
                <w:szCs w:val="20"/>
              </w:rPr>
            </w:pPr>
            <w:r w:rsidRPr="008B6A75">
              <w:rPr>
                <w:sz w:val="20"/>
                <w:szCs w:val="20"/>
              </w:rPr>
              <w:t>06.0.00.05956</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122B1307" w14:textId="77777777" w:rsidR="00387142" w:rsidRPr="008B6A75" w:rsidRDefault="00387142" w:rsidP="00387142">
            <w:pPr>
              <w:jc w:val="center"/>
              <w:rPr>
                <w:sz w:val="20"/>
                <w:szCs w:val="20"/>
              </w:rPr>
            </w:pPr>
            <w:r w:rsidRPr="008B6A75">
              <w:rPr>
                <w:sz w:val="20"/>
                <w:szCs w:val="20"/>
              </w:rPr>
              <w:t>200</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1985A6A6" w14:textId="77777777" w:rsidR="00387142" w:rsidRPr="008B6A75" w:rsidRDefault="00387142" w:rsidP="00387142">
            <w:pPr>
              <w:jc w:val="right"/>
              <w:rPr>
                <w:sz w:val="20"/>
                <w:szCs w:val="20"/>
              </w:rPr>
            </w:pPr>
            <w:r w:rsidRPr="008B6A75">
              <w:rPr>
                <w:sz w:val="20"/>
                <w:szCs w:val="20"/>
              </w:rPr>
              <w:t>135 300,00</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3756DD23" w14:textId="77777777" w:rsidR="00387142" w:rsidRPr="008B6A75" w:rsidRDefault="00387142" w:rsidP="00387142">
            <w:pPr>
              <w:jc w:val="right"/>
              <w:rPr>
                <w:sz w:val="20"/>
                <w:szCs w:val="20"/>
              </w:rPr>
            </w:pPr>
            <w:r w:rsidRPr="008B6A75">
              <w:rPr>
                <w:sz w:val="20"/>
                <w:szCs w:val="20"/>
              </w:rPr>
              <w:t>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1A6E4F59" w14:textId="77777777" w:rsidR="00387142" w:rsidRPr="008B6A75" w:rsidRDefault="00387142" w:rsidP="00387142">
            <w:pPr>
              <w:jc w:val="right"/>
              <w:rPr>
                <w:sz w:val="20"/>
                <w:szCs w:val="20"/>
              </w:rPr>
            </w:pPr>
            <w:r w:rsidRPr="008B6A75">
              <w:rPr>
                <w:sz w:val="20"/>
                <w:szCs w:val="20"/>
              </w:rPr>
              <w:t>0,00</w:t>
            </w:r>
          </w:p>
        </w:tc>
        <w:tc>
          <w:tcPr>
            <w:tcW w:w="222" w:type="dxa"/>
            <w:vAlign w:val="center"/>
            <w:hideMark/>
          </w:tcPr>
          <w:p w14:paraId="14E6D5B0" w14:textId="77777777" w:rsidR="00387142" w:rsidRPr="008B6A75" w:rsidRDefault="00387142" w:rsidP="00387142">
            <w:pPr>
              <w:rPr>
                <w:sz w:val="20"/>
                <w:szCs w:val="20"/>
              </w:rPr>
            </w:pPr>
          </w:p>
        </w:tc>
      </w:tr>
      <w:tr w:rsidR="00387142" w:rsidRPr="008B6A75" w14:paraId="64465F0E" w14:textId="77777777" w:rsidTr="00387142">
        <w:trPr>
          <w:trHeight w:val="870"/>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0525F21B" w14:textId="77777777" w:rsidR="00387142" w:rsidRPr="008B6A75" w:rsidRDefault="00387142" w:rsidP="00387142">
            <w:pPr>
              <w:rPr>
                <w:sz w:val="20"/>
                <w:szCs w:val="20"/>
              </w:rPr>
            </w:pPr>
            <w:r w:rsidRPr="008B6A75">
              <w:rPr>
                <w:sz w:val="20"/>
                <w:szCs w:val="20"/>
              </w:rPr>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1BC5A70A" w14:textId="77777777" w:rsidR="00387142" w:rsidRPr="008B6A75" w:rsidRDefault="00387142" w:rsidP="00387142">
            <w:pPr>
              <w:jc w:val="center"/>
              <w:rPr>
                <w:sz w:val="20"/>
                <w:szCs w:val="20"/>
              </w:rPr>
            </w:pPr>
            <w:r w:rsidRPr="008B6A75">
              <w:rPr>
                <w:sz w:val="20"/>
                <w:szCs w:val="20"/>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08A5EB13" w14:textId="77777777" w:rsidR="00387142" w:rsidRPr="008B6A75" w:rsidRDefault="00387142" w:rsidP="00387142">
            <w:pPr>
              <w:jc w:val="center"/>
              <w:rPr>
                <w:sz w:val="20"/>
                <w:szCs w:val="20"/>
              </w:rPr>
            </w:pPr>
            <w:r w:rsidRPr="008B6A75">
              <w:rPr>
                <w:sz w:val="20"/>
                <w:szCs w:val="20"/>
              </w:rPr>
              <w:t>07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37F378" w14:textId="77777777" w:rsidR="00387142" w:rsidRPr="008B6A75" w:rsidRDefault="00387142" w:rsidP="00387142">
            <w:pPr>
              <w:jc w:val="center"/>
              <w:rPr>
                <w:sz w:val="20"/>
                <w:szCs w:val="20"/>
              </w:rPr>
            </w:pPr>
            <w:r w:rsidRPr="008B6A75">
              <w:rPr>
                <w:sz w:val="20"/>
                <w:szCs w:val="20"/>
              </w:rPr>
              <w:t>02</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5D842BF1" w14:textId="77777777" w:rsidR="00387142" w:rsidRPr="008B6A75" w:rsidRDefault="00387142" w:rsidP="00387142">
            <w:pPr>
              <w:jc w:val="center"/>
              <w:rPr>
                <w:sz w:val="20"/>
                <w:szCs w:val="20"/>
              </w:rPr>
            </w:pPr>
            <w:r w:rsidRPr="008B6A75">
              <w:rPr>
                <w:sz w:val="20"/>
                <w:szCs w:val="20"/>
              </w:rPr>
              <w:t>06.0.00.05956</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96A53A" w14:textId="77777777" w:rsidR="00387142" w:rsidRPr="008B6A75" w:rsidRDefault="00387142" w:rsidP="00387142">
            <w:pPr>
              <w:jc w:val="center"/>
              <w:rPr>
                <w:sz w:val="20"/>
                <w:szCs w:val="20"/>
              </w:rPr>
            </w:pPr>
            <w:r w:rsidRPr="008B6A75">
              <w:rPr>
                <w:sz w:val="20"/>
                <w:szCs w:val="20"/>
              </w:rPr>
              <w:t>240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4D7264" w14:textId="77777777" w:rsidR="00387142" w:rsidRPr="008B6A75" w:rsidRDefault="00387142" w:rsidP="00387142">
            <w:pPr>
              <w:jc w:val="right"/>
              <w:rPr>
                <w:sz w:val="20"/>
                <w:szCs w:val="20"/>
              </w:rPr>
            </w:pPr>
            <w:r w:rsidRPr="008B6A75">
              <w:rPr>
                <w:sz w:val="20"/>
                <w:szCs w:val="20"/>
              </w:rPr>
              <w:t>135 300,00</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2E2A5BBE" w14:textId="77777777" w:rsidR="00387142" w:rsidRPr="008B6A75" w:rsidRDefault="00387142" w:rsidP="00387142">
            <w:pPr>
              <w:jc w:val="right"/>
              <w:rPr>
                <w:sz w:val="20"/>
                <w:szCs w:val="20"/>
              </w:rPr>
            </w:pPr>
            <w:r w:rsidRPr="008B6A75">
              <w:rPr>
                <w:sz w:val="20"/>
                <w:szCs w:val="20"/>
              </w:rPr>
              <w:t>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0E53B4" w14:textId="77777777" w:rsidR="00387142" w:rsidRPr="008B6A75" w:rsidRDefault="00387142" w:rsidP="00387142">
            <w:pPr>
              <w:jc w:val="right"/>
              <w:rPr>
                <w:sz w:val="20"/>
                <w:szCs w:val="20"/>
              </w:rPr>
            </w:pPr>
            <w:r w:rsidRPr="008B6A75">
              <w:rPr>
                <w:sz w:val="20"/>
                <w:szCs w:val="20"/>
              </w:rPr>
              <w:t>0,00</w:t>
            </w:r>
          </w:p>
        </w:tc>
        <w:tc>
          <w:tcPr>
            <w:tcW w:w="222" w:type="dxa"/>
            <w:vAlign w:val="center"/>
            <w:hideMark/>
          </w:tcPr>
          <w:p w14:paraId="02ADE567" w14:textId="77777777" w:rsidR="00387142" w:rsidRPr="008B6A75" w:rsidRDefault="00387142" w:rsidP="00387142">
            <w:pPr>
              <w:rPr>
                <w:sz w:val="20"/>
                <w:szCs w:val="20"/>
              </w:rPr>
            </w:pPr>
          </w:p>
        </w:tc>
      </w:tr>
      <w:tr w:rsidR="00387142" w:rsidRPr="008B6A75" w14:paraId="09C35279" w14:textId="77777777" w:rsidTr="00387142">
        <w:trPr>
          <w:trHeight w:val="2295"/>
        </w:trPr>
        <w:tc>
          <w:tcPr>
            <w:tcW w:w="3021" w:type="dxa"/>
            <w:tcBorders>
              <w:top w:val="nil"/>
              <w:left w:val="single" w:sz="4" w:space="0" w:color="auto"/>
              <w:bottom w:val="nil"/>
              <w:right w:val="nil"/>
            </w:tcBorders>
            <w:shd w:val="clear" w:color="auto" w:fill="auto"/>
            <w:vAlign w:val="center"/>
            <w:hideMark/>
          </w:tcPr>
          <w:p w14:paraId="7AB99698" w14:textId="77777777" w:rsidR="00387142" w:rsidRPr="008B6A75" w:rsidRDefault="00387142" w:rsidP="00387142">
            <w:pPr>
              <w:rPr>
                <w:bCs/>
                <w:sz w:val="20"/>
                <w:szCs w:val="20"/>
              </w:rPr>
            </w:pPr>
            <w:r w:rsidRPr="008B6A75">
              <w:rPr>
                <w:bCs/>
                <w:sz w:val="20"/>
                <w:szCs w:val="20"/>
              </w:rPr>
              <w:lastRenderedPageBreak/>
              <w:t>Обеспечение комплексного развития сельских территорий (формирование современного облика сельских территорий, направленных на создание и развитие инфраструктуры в сельской местности), государственной программы Новосибирской области "Комплексное развитие сельских территорий в Новосибирской области"</w:t>
            </w:r>
          </w:p>
        </w:tc>
        <w:tc>
          <w:tcPr>
            <w:tcW w:w="850" w:type="dxa"/>
            <w:tcBorders>
              <w:top w:val="nil"/>
              <w:left w:val="single" w:sz="4" w:space="0" w:color="auto"/>
              <w:bottom w:val="nil"/>
              <w:right w:val="nil"/>
            </w:tcBorders>
            <w:shd w:val="clear" w:color="auto" w:fill="auto"/>
            <w:noWrap/>
            <w:vAlign w:val="center"/>
            <w:hideMark/>
          </w:tcPr>
          <w:p w14:paraId="3CD33563" w14:textId="77777777" w:rsidR="00387142" w:rsidRPr="008B6A75" w:rsidRDefault="00387142" w:rsidP="00387142">
            <w:pPr>
              <w:jc w:val="center"/>
              <w:rPr>
                <w:bCs/>
                <w:sz w:val="20"/>
                <w:szCs w:val="20"/>
              </w:rPr>
            </w:pPr>
            <w:r w:rsidRPr="008B6A75">
              <w:rPr>
                <w:bCs/>
                <w:sz w:val="20"/>
                <w:szCs w:val="20"/>
              </w:rPr>
              <w:t>444</w:t>
            </w:r>
          </w:p>
        </w:tc>
        <w:tc>
          <w:tcPr>
            <w:tcW w:w="709" w:type="dxa"/>
            <w:tcBorders>
              <w:top w:val="nil"/>
              <w:left w:val="single" w:sz="4" w:space="0" w:color="auto"/>
              <w:bottom w:val="nil"/>
              <w:right w:val="nil"/>
            </w:tcBorders>
            <w:shd w:val="clear" w:color="auto" w:fill="auto"/>
            <w:noWrap/>
            <w:vAlign w:val="center"/>
            <w:hideMark/>
          </w:tcPr>
          <w:p w14:paraId="0DB3EDA9" w14:textId="77777777" w:rsidR="00387142" w:rsidRPr="008B6A75" w:rsidRDefault="00387142" w:rsidP="00387142">
            <w:pPr>
              <w:jc w:val="center"/>
              <w:rPr>
                <w:bCs/>
                <w:sz w:val="20"/>
                <w:szCs w:val="20"/>
              </w:rPr>
            </w:pPr>
            <w:r w:rsidRPr="008B6A75">
              <w:rPr>
                <w:bCs/>
                <w:sz w:val="20"/>
                <w:szCs w:val="20"/>
              </w:rPr>
              <w:t>07</w:t>
            </w:r>
          </w:p>
        </w:tc>
        <w:tc>
          <w:tcPr>
            <w:tcW w:w="709" w:type="dxa"/>
            <w:tcBorders>
              <w:top w:val="nil"/>
              <w:left w:val="single" w:sz="4" w:space="0" w:color="auto"/>
              <w:bottom w:val="nil"/>
              <w:right w:val="single" w:sz="4" w:space="0" w:color="auto"/>
            </w:tcBorders>
            <w:shd w:val="clear" w:color="auto" w:fill="auto"/>
            <w:noWrap/>
            <w:vAlign w:val="center"/>
            <w:hideMark/>
          </w:tcPr>
          <w:p w14:paraId="4AB125F0" w14:textId="77777777" w:rsidR="00387142" w:rsidRPr="008B6A75" w:rsidRDefault="00387142" w:rsidP="00387142">
            <w:pPr>
              <w:jc w:val="center"/>
              <w:rPr>
                <w:bCs/>
                <w:sz w:val="20"/>
                <w:szCs w:val="20"/>
              </w:rPr>
            </w:pPr>
            <w:r w:rsidRPr="008B6A75">
              <w:rPr>
                <w:bCs/>
                <w:sz w:val="20"/>
                <w:szCs w:val="20"/>
              </w:rPr>
              <w:t>02</w:t>
            </w:r>
          </w:p>
        </w:tc>
        <w:tc>
          <w:tcPr>
            <w:tcW w:w="1411" w:type="dxa"/>
            <w:tcBorders>
              <w:top w:val="nil"/>
              <w:left w:val="single" w:sz="4" w:space="0" w:color="auto"/>
              <w:bottom w:val="nil"/>
              <w:right w:val="nil"/>
            </w:tcBorders>
            <w:shd w:val="clear" w:color="auto" w:fill="auto"/>
            <w:noWrap/>
            <w:vAlign w:val="center"/>
            <w:hideMark/>
          </w:tcPr>
          <w:p w14:paraId="09095536" w14:textId="77777777" w:rsidR="00387142" w:rsidRPr="008B6A75" w:rsidRDefault="00387142" w:rsidP="00387142">
            <w:pPr>
              <w:jc w:val="center"/>
              <w:rPr>
                <w:bCs/>
                <w:sz w:val="20"/>
                <w:szCs w:val="20"/>
              </w:rPr>
            </w:pPr>
            <w:r w:rsidRPr="008B6A75">
              <w:rPr>
                <w:bCs/>
                <w:sz w:val="20"/>
                <w:szCs w:val="20"/>
              </w:rPr>
              <w:t>06.0.00.L5766</w:t>
            </w:r>
          </w:p>
        </w:tc>
        <w:tc>
          <w:tcPr>
            <w:tcW w:w="955" w:type="dxa"/>
            <w:tcBorders>
              <w:top w:val="nil"/>
              <w:left w:val="single" w:sz="4" w:space="0" w:color="auto"/>
              <w:bottom w:val="nil"/>
              <w:right w:val="single" w:sz="4" w:space="0" w:color="auto"/>
            </w:tcBorders>
            <w:shd w:val="clear" w:color="auto" w:fill="auto"/>
            <w:noWrap/>
            <w:vAlign w:val="center"/>
            <w:hideMark/>
          </w:tcPr>
          <w:p w14:paraId="4616B71B"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nil"/>
              <w:right w:val="single" w:sz="4" w:space="0" w:color="auto"/>
            </w:tcBorders>
            <w:shd w:val="clear" w:color="auto" w:fill="auto"/>
            <w:noWrap/>
            <w:vAlign w:val="center"/>
            <w:hideMark/>
          </w:tcPr>
          <w:p w14:paraId="707B7361" w14:textId="77777777" w:rsidR="00387142" w:rsidRPr="008B6A75" w:rsidRDefault="00387142" w:rsidP="00387142">
            <w:pPr>
              <w:jc w:val="right"/>
              <w:rPr>
                <w:bCs/>
                <w:sz w:val="20"/>
                <w:szCs w:val="20"/>
              </w:rPr>
            </w:pPr>
            <w:r w:rsidRPr="008B6A75">
              <w:rPr>
                <w:bCs/>
                <w:sz w:val="20"/>
                <w:szCs w:val="20"/>
              </w:rPr>
              <w:t>26 917 672,35</w:t>
            </w:r>
          </w:p>
        </w:tc>
        <w:tc>
          <w:tcPr>
            <w:tcW w:w="992" w:type="dxa"/>
            <w:gridSpan w:val="2"/>
            <w:tcBorders>
              <w:top w:val="nil"/>
              <w:left w:val="single" w:sz="4" w:space="0" w:color="auto"/>
              <w:bottom w:val="nil"/>
              <w:right w:val="nil"/>
            </w:tcBorders>
            <w:shd w:val="clear" w:color="auto" w:fill="auto"/>
            <w:noWrap/>
            <w:vAlign w:val="center"/>
            <w:hideMark/>
          </w:tcPr>
          <w:p w14:paraId="4B0631A5" w14:textId="77777777" w:rsidR="00387142" w:rsidRPr="008B6A75" w:rsidRDefault="00387142" w:rsidP="00387142">
            <w:pPr>
              <w:jc w:val="right"/>
              <w:rPr>
                <w:bCs/>
                <w:sz w:val="20"/>
                <w:szCs w:val="20"/>
              </w:rPr>
            </w:pPr>
            <w:r w:rsidRPr="008B6A75">
              <w:rPr>
                <w:bCs/>
                <w:sz w:val="20"/>
                <w:szCs w:val="20"/>
              </w:rPr>
              <w:t>0,00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47AB65E0" w14:textId="77777777" w:rsidR="00387142" w:rsidRPr="008B6A75" w:rsidRDefault="00387142" w:rsidP="00387142">
            <w:pPr>
              <w:jc w:val="right"/>
              <w:rPr>
                <w:bCs/>
                <w:sz w:val="20"/>
                <w:szCs w:val="20"/>
              </w:rPr>
            </w:pPr>
            <w:r w:rsidRPr="008B6A75">
              <w:rPr>
                <w:bCs/>
                <w:sz w:val="20"/>
                <w:szCs w:val="20"/>
              </w:rPr>
              <w:t>0,00</w:t>
            </w:r>
          </w:p>
        </w:tc>
        <w:tc>
          <w:tcPr>
            <w:tcW w:w="222" w:type="dxa"/>
            <w:vAlign w:val="center"/>
            <w:hideMark/>
          </w:tcPr>
          <w:p w14:paraId="15702189" w14:textId="77777777" w:rsidR="00387142" w:rsidRPr="008B6A75" w:rsidRDefault="00387142" w:rsidP="00387142">
            <w:pPr>
              <w:rPr>
                <w:sz w:val="20"/>
                <w:szCs w:val="20"/>
              </w:rPr>
            </w:pPr>
          </w:p>
        </w:tc>
      </w:tr>
      <w:tr w:rsidR="00387142" w:rsidRPr="008B6A75" w14:paraId="69028625" w14:textId="77777777" w:rsidTr="00387142">
        <w:trPr>
          <w:trHeight w:val="585"/>
        </w:trPr>
        <w:tc>
          <w:tcPr>
            <w:tcW w:w="3021" w:type="dxa"/>
            <w:tcBorders>
              <w:top w:val="single" w:sz="4" w:space="0" w:color="auto"/>
              <w:left w:val="single" w:sz="4" w:space="0" w:color="auto"/>
              <w:bottom w:val="nil"/>
              <w:right w:val="nil"/>
            </w:tcBorders>
            <w:shd w:val="clear" w:color="auto" w:fill="auto"/>
            <w:vAlign w:val="center"/>
            <w:hideMark/>
          </w:tcPr>
          <w:p w14:paraId="253FAD4C" w14:textId="77777777" w:rsidR="00387142" w:rsidRPr="008B6A75" w:rsidRDefault="00387142" w:rsidP="00387142">
            <w:pPr>
              <w:rPr>
                <w:sz w:val="20"/>
                <w:szCs w:val="20"/>
              </w:rPr>
            </w:pPr>
            <w:r w:rsidRPr="008B6A75">
              <w:rPr>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nil"/>
              <w:right w:val="nil"/>
            </w:tcBorders>
            <w:shd w:val="clear" w:color="auto" w:fill="auto"/>
            <w:noWrap/>
            <w:vAlign w:val="center"/>
            <w:hideMark/>
          </w:tcPr>
          <w:p w14:paraId="16E7FF13" w14:textId="77777777" w:rsidR="00387142" w:rsidRPr="008B6A75" w:rsidRDefault="00387142" w:rsidP="00387142">
            <w:pPr>
              <w:jc w:val="center"/>
              <w:rPr>
                <w:sz w:val="20"/>
                <w:szCs w:val="20"/>
              </w:rPr>
            </w:pPr>
            <w:r w:rsidRPr="008B6A75">
              <w:rPr>
                <w:sz w:val="20"/>
                <w:szCs w:val="20"/>
              </w:rPr>
              <w:t>444</w:t>
            </w:r>
          </w:p>
        </w:tc>
        <w:tc>
          <w:tcPr>
            <w:tcW w:w="709" w:type="dxa"/>
            <w:tcBorders>
              <w:top w:val="single" w:sz="4" w:space="0" w:color="auto"/>
              <w:left w:val="single" w:sz="4" w:space="0" w:color="auto"/>
              <w:bottom w:val="nil"/>
              <w:right w:val="nil"/>
            </w:tcBorders>
            <w:shd w:val="clear" w:color="auto" w:fill="auto"/>
            <w:noWrap/>
            <w:vAlign w:val="center"/>
            <w:hideMark/>
          </w:tcPr>
          <w:p w14:paraId="5D3133CC" w14:textId="77777777" w:rsidR="00387142" w:rsidRPr="008B6A75" w:rsidRDefault="00387142" w:rsidP="00387142">
            <w:pPr>
              <w:jc w:val="center"/>
              <w:rPr>
                <w:sz w:val="20"/>
                <w:szCs w:val="20"/>
              </w:rPr>
            </w:pPr>
            <w:r w:rsidRPr="008B6A75">
              <w:rPr>
                <w:sz w:val="20"/>
                <w:szCs w:val="20"/>
              </w:rPr>
              <w:t>07</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439D0648" w14:textId="77777777" w:rsidR="00387142" w:rsidRPr="008B6A75" w:rsidRDefault="00387142" w:rsidP="00387142">
            <w:pPr>
              <w:jc w:val="center"/>
              <w:rPr>
                <w:sz w:val="20"/>
                <w:szCs w:val="20"/>
              </w:rPr>
            </w:pPr>
            <w:r w:rsidRPr="008B6A75">
              <w:rPr>
                <w:sz w:val="20"/>
                <w:szCs w:val="20"/>
              </w:rPr>
              <w:t>02</w:t>
            </w:r>
          </w:p>
        </w:tc>
        <w:tc>
          <w:tcPr>
            <w:tcW w:w="1411" w:type="dxa"/>
            <w:tcBorders>
              <w:top w:val="single" w:sz="4" w:space="0" w:color="auto"/>
              <w:left w:val="single" w:sz="4" w:space="0" w:color="auto"/>
              <w:bottom w:val="nil"/>
              <w:right w:val="nil"/>
            </w:tcBorders>
            <w:shd w:val="clear" w:color="auto" w:fill="auto"/>
            <w:noWrap/>
            <w:vAlign w:val="center"/>
            <w:hideMark/>
          </w:tcPr>
          <w:p w14:paraId="7A06C494" w14:textId="77777777" w:rsidR="00387142" w:rsidRPr="008B6A75" w:rsidRDefault="00387142" w:rsidP="00387142">
            <w:pPr>
              <w:jc w:val="center"/>
              <w:rPr>
                <w:sz w:val="20"/>
                <w:szCs w:val="20"/>
              </w:rPr>
            </w:pPr>
            <w:r w:rsidRPr="008B6A75">
              <w:rPr>
                <w:sz w:val="20"/>
                <w:szCs w:val="20"/>
              </w:rPr>
              <w:t>06.0.00.L5766</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70B06C75" w14:textId="77777777" w:rsidR="00387142" w:rsidRPr="008B6A75" w:rsidRDefault="00387142" w:rsidP="00387142">
            <w:pPr>
              <w:jc w:val="center"/>
              <w:rPr>
                <w:sz w:val="20"/>
                <w:szCs w:val="20"/>
              </w:rPr>
            </w:pPr>
            <w:r w:rsidRPr="008B6A75">
              <w:rPr>
                <w:sz w:val="20"/>
                <w:szCs w:val="20"/>
              </w:rPr>
              <w:t>200</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3B3DA6BC" w14:textId="77777777" w:rsidR="00387142" w:rsidRPr="008B6A75" w:rsidRDefault="00387142" w:rsidP="00387142">
            <w:pPr>
              <w:jc w:val="right"/>
              <w:rPr>
                <w:sz w:val="20"/>
                <w:szCs w:val="20"/>
              </w:rPr>
            </w:pPr>
            <w:r w:rsidRPr="008B6A75">
              <w:rPr>
                <w:sz w:val="20"/>
                <w:szCs w:val="20"/>
              </w:rPr>
              <w:t>26 917 672,35</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4732593B" w14:textId="77777777" w:rsidR="00387142" w:rsidRPr="008B6A75" w:rsidRDefault="00387142" w:rsidP="00387142">
            <w:pPr>
              <w:jc w:val="right"/>
              <w:rPr>
                <w:sz w:val="20"/>
                <w:szCs w:val="20"/>
              </w:rPr>
            </w:pPr>
            <w:r w:rsidRPr="008B6A75">
              <w:rPr>
                <w:sz w:val="20"/>
                <w:szCs w:val="20"/>
              </w:rPr>
              <w:t>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71960B97" w14:textId="77777777" w:rsidR="00387142" w:rsidRPr="008B6A75" w:rsidRDefault="00387142" w:rsidP="00387142">
            <w:pPr>
              <w:jc w:val="right"/>
              <w:rPr>
                <w:sz w:val="20"/>
                <w:szCs w:val="20"/>
              </w:rPr>
            </w:pPr>
            <w:r w:rsidRPr="008B6A75">
              <w:rPr>
                <w:sz w:val="20"/>
                <w:szCs w:val="20"/>
              </w:rPr>
              <w:t>0,00</w:t>
            </w:r>
          </w:p>
        </w:tc>
        <w:tc>
          <w:tcPr>
            <w:tcW w:w="222" w:type="dxa"/>
            <w:vAlign w:val="center"/>
            <w:hideMark/>
          </w:tcPr>
          <w:p w14:paraId="244793EC" w14:textId="77777777" w:rsidR="00387142" w:rsidRPr="008B6A75" w:rsidRDefault="00387142" w:rsidP="00387142">
            <w:pPr>
              <w:rPr>
                <w:sz w:val="20"/>
                <w:szCs w:val="20"/>
              </w:rPr>
            </w:pPr>
          </w:p>
        </w:tc>
      </w:tr>
      <w:tr w:rsidR="00387142" w:rsidRPr="008B6A75" w14:paraId="5CE5C403" w14:textId="77777777" w:rsidTr="00387142">
        <w:trPr>
          <w:trHeight w:val="870"/>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20E1293D" w14:textId="77777777" w:rsidR="00387142" w:rsidRPr="008B6A75" w:rsidRDefault="00387142" w:rsidP="00387142">
            <w:pPr>
              <w:rPr>
                <w:sz w:val="20"/>
                <w:szCs w:val="20"/>
              </w:rPr>
            </w:pPr>
            <w:r w:rsidRPr="008B6A75">
              <w:rPr>
                <w:sz w:val="20"/>
                <w:szCs w:val="20"/>
              </w:rPr>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78F7BCEF" w14:textId="77777777" w:rsidR="00387142" w:rsidRPr="008B6A75" w:rsidRDefault="00387142" w:rsidP="00387142">
            <w:pPr>
              <w:jc w:val="center"/>
              <w:rPr>
                <w:sz w:val="20"/>
                <w:szCs w:val="20"/>
              </w:rPr>
            </w:pPr>
            <w:r w:rsidRPr="008B6A75">
              <w:rPr>
                <w:sz w:val="20"/>
                <w:szCs w:val="20"/>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53180A5E" w14:textId="77777777" w:rsidR="00387142" w:rsidRPr="008B6A75" w:rsidRDefault="00387142" w:rsidP="00387142">
            <w:pPr>
              <w:jc w:val="center"/>
              <w:rPr>
                <w:sz w:val="20"/>
                <w:szCs w:val="20"/>
              </w:rPr>
            </w:pPr>
            <w:r w:rsidRPr="008B6A75">
              <w:rPr>
                <w:sz w:val="20"/>
                <w:szCs w:val="20"/>
              </w:rPr>
              <w:t>07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52A791" w14:textId="77777777" w:rsidR="00387142" w:rsidRPr="008B6A75" w:rsidRDefault="00387142" w:rsidP="00387142">
            <w:pPr>
              <w:jc w:val="center"/>
              <w:rPr>
                <w:sz w:val="20"/>
                <w:szCs w:val="20"/>
              </w:rPr>
            </w:pPr>
            <w:r w:rsidRPr="008B6A75">
              <w:rPr>
                <w:sz w:val="20"/>
                <w:szCs w:val="20"/>
              </w:rPr>
              <w:t>02</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69F34355" w14:textId="77777777" w:rsidR="00387142" w:rsidRPr="008B6A75" w:rsidRDefault="00387142" w:rsidP="00387142">
            <w:pPr>
              <w:jc w:val="center"/>
              <w:rPr>
                <w:sz w:val="20"/>
                <w:szCs w:val="20"/>
              </w:rPr>
            </w:pPr>
            <w:r w:rsidRPr="008B6A75">
              <w:rPr>
                <w:sz w:val="20"/>
                <w:szCs w:val="20"/>
              </w:rPr>
              <w:t>06.0.00.L5766</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6B1608" w14:textId="77777777" w:rsidR="00387142" w:rsidRPr="008B6A75" w:rsidRDefault="00387142" w:rsidP="00387142">
            <w:pPr>
              <w:jc w:val="center"/>
              <w:rPr>
                <w:sz w:val="20"/>
                <w:szCs w:val="20"/>
              </w:rPr>
            </w:pPr>
            <w:r w:rsidRPr="008B6A75">
              <w:rPr>
                <w:sz w:val="20"/>
                <w:szCs w:val="20"/>
              </w:rPr>
              <w:t>240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38F7F1" w14:textId="77777777" w:rsidR="00387142" w:rsidRPr="008B6A75" w:rsidRDefault="00387142" w:rsidP="00387142">
            <w:pPr>
              <w:jc w:val="right"/>
              <w:rPr>
                <w:sz w:val="20"/>
                <w:szCs w:val="20"/>
              </w:rPr>
            </w:pPr>
            <w:r w:rsidRPr="008B6A75">
              <w:rPr>
                <w:sz w:val="20"/>
                <w:szCs w:val="20"/>
              </w:rPr>
              <w:t>26 917 672,35</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238C9385" w14:textId="77777777" w:rsidR="00387142" w:rsidRPr="008B6A75" w:rsidRDefault="00387142" w:rsidP="00387142">
            <w:pPr>
              <w:jc w:val="right"/>
              <w:rPr>
                <w:sz w:val="20"/>
                <w:szCs w:val="20"/>
              </w:rPr>
            </w:pPr>
            <w:r w:rsidRPr="008B6A75">
              <w:rPr>
                <w:sz w:val="20"/>
                <w:szCs w:val="20"/>
              </w:rPr>
              <w:t>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042D48" w14:textId="77777777" w:rsidR="00387142" w:rsidRPr="008B6A75" w:rsidRDefault="00387142" w:rsidP="00387142">
            <w:pPr>
              <w:jc w:val="right"/>
              <w:rPr>
                <w:sz w:val="20"/>
                <w:szCs w:val="20"/>
              </w:rPr>
            </w:pPr>
            <w:r w:rsidRPr="008B6A75">
              <w:rPr>
                <w:sz w:val="20"/>
                <w:szCs w:val="20"/>
              </w:rPr>
              <w:t>0,00</w:t>
            </w:r>
          </w:p>
        </w:tc>
        <w:tc>
          <w:tcPr>
            <w:tcW w:w="222" w:type="dxa"/>
            <w:vAlign w:val="center"/>
            <w:hideMark/>
          </w:tcPr>
          <w:p w14:paraId="324A0670" w14:textId="77777777" w:rsidR="00387142" w:rsidRPr="008B6A75" w:rsidRDefault="00387142" w:rsidP="00387142">
            <w:pPr>
              <w:rPr>
                <w:sz w:val="20"/>
                <w:szCs w:val="20"/>
              </w:rPr>
            </w:pPr>
          </w:p>
        </w:tc>
      </w:tr>
      <w:tr w:rsidR="00387142" w:rsidRPr="008B6A75" w14:paraId="02318B7A" w14:textId="77777777" w:rsidTr="00387142">
        <w:trPr>
          <w:trHeight w:val="2295"/>
        </w:trPr>
        <w:tc>
          <w:tcPr>
            <w:tcW w:w="3021" w:type="dxa"/>
            <w:tcBorders>
              <w:top w:val="nil"/>
              <w:left w:val="single" w:sz="4" w:space="0" w:color="auto"/>
              <w:bottom w:val="nil"/>
              <w:right w:val="nil"/>
            </w:tcBorders>
            <w:shd w:val="clear" w:color="auto" w:fill="auto"/>
            <w:vAlign w:val="center"/>
            <w:hideMark/>
          </w:tcPr>
          <w:p w14:paraId="759D924F" w14:textId="77777777" w:rsidR="00387142" w:rsidRPr="008B6A75" w:rsidRDefault="00387142" w:rsidP="00387142">
            <w:pPr>
              <w:rPr>
                <w:bCs/>
                <w:sz w:val="20"/>
                <w:szCs w:val="20"/>
              </w:rPr>
            </w:pPr>
            <w:r w:rsidRPr="008B6A75">
              <w:rPr>
                <w:bCs/>
                <w:sz w:val="20"/>
                <w:szCs w:val="20"/>
              </w:rPr>
              <w:t xml:space="preserve">Реализация проектов комплексного развития сельских </w:t>
            </w:r>
            <w:proofErr w:type="spellStart"/>
            <w:r w:rsidRPr="008B6A75">
              <w:rPr>
                <w:bCs/>
                <w:sz w:val="20"/>
                <w:szCs w:val="20"/>
              </w:rPr>
              <w:t>територий</w:t>
            </w:r>
            <w:proofErr w:type="spellEnd"/>
            <w:r w:rsidRPr="008B6A75">
              <w:rPr>
                <w:bCs/>
                <w:sz w:val="20"/>
                <w:szCs w:val="20"/>
              </w:rPr>
              <w:t xml:space="preserve"> ведомственного проекта «Современный облик сельских территорий» за счет средств резервного фонда Правительства Российской Федерации государственной программы Новосибирской области «Комплексное развитие сельских территорий в Новосибирской области»</w:t>
            </w:r>
          </w:p>
        </w:tc>
        <w:tc>
          <w:tcPr>
            <w:tcW w:w="850" w:type="dxa"/>
            <w:tcBorders>
              <w:top w:val="nil"/>
              <w:left w:val="single" w:sz="4" w:space="0" w:color="auto"/>
              <w:bottom w:val="nil"/>
              <w:right w:val="nil"/>
            </w:tcBorders>
            <w:shd w:val="clear" w:color="auto" w:fill="auto"/>
            <w:noWrap/>
            <w:vAlign w:val="center"/>
            <w:hideMark/>
          </w:tcPr>
          <w:p w14:paraId="3902DE21" w14:textId="77777777" w:rsidR="00387142" w:rsidRPr="008B6A75" w:rsidRDefault="00387142" w:rsidP="00387142">
            <w:pPr>
              <w:jc w:val="center"/>
              <w:rPr>
                <w:bCs/>
                <w:sz w:val="20"/>
                <w:szCs w:val="20"/>
              </w:rPr>
            </w:pPr>
            <w:r w:rsidRPr="008B6A75">
              <w:rPr>
                <w:bCs/>
                <w:sz w:val="20"/>
                <w:szCs w:val="20"/>
              </w:rPr>
              <w:t>444</w:t>
            </w:r>
          </w:p>
        </w:tc>
        <w:tc>
          <w:tcPr>
            <w:tcW w:w="709" w:type="dxa"/>
            <w:tcBorders>
              <w:top w:val="nil"/>
              <w:left w:val="single" w:sz="4" w:space="0" w:color="auto"/>
              <w:bottom w:val="nil"/>
              <w:right w:val="nil"/>
            </w:tcBorders>
            <w:shd w:val="clear" w:color="auto" w:fill="auto"/>
            <w:noWrap/>
            <w:vAlign w:val="center"/>
            <w:hideMark/>
          </w:tcPr>
          <w:p w14:paraId="3E107486" w14:textId="77777777" w:rsidR="00387142" w:rsidRPr="008B6A75" w:rsidRDefault="00387142" w:rsidP="00387142">
            <w:pPr>
              <w:jc w:val="center"/>
              <w:rPr>
                <w:bCs/>
                <w:sz w:val="20"/>
                <w:szCs w:val="20"/>
              </w:rPr>
            </w:pPr>
            <w:r w:rsidRPr="008B6A75">
              <w:rPr>
                <w:bCs/>
                <w:sz w:val="20"/>
                <w:szCs w:val="20"/>
              </w:rPr>
              <w:t>07</w:t>
            </w:r>
          </w:p>
        </w:tc>
        <w:tc>
          <w:tcPr>
            <w:tcW w:w="709" w:type="dxa"/>
            <w:tcBorders>
              <w:top w:val="nil"/>
              <w:left w:val="single" w:sz="4" w:space="0" w:color="auto"/>
              <w:bottom w:val="nil"/>
              <w:right w:val="single" w:sz="4" w:space="0" w:color="auto"/>
            </w:tcBorders>
            <w:shd w:val="clear" w:color="auto" w:fill="auto"/>
            <w:noWrap/>
            <w:vAlign w:val="center"/>
            <w:hideMark/>
          </w:tcPr>
          <w:p w14:paraId="18531F09" w14:textId="77777777" w:rsidR="00387142" w:rsidRPr="008B6A75" w:rsidRDefault="00387142" w:rsidP="00387142">
            <w:pPr>
              <w:jc w:val="center"/>
              <w:rPr>
                <w:bCs/>
                <w:sz w:val="20"/>
                <w:szCs w:val="20"/>
              </w:rPr>
            </w:pPr>
            <w:r w:rsidRPr="008B6A75">
              <w:rPr>
                <w:bCs/>
                <w:sz w:val="20"/>
                <w:szCs w:val="20"/>
              </w:rPr>
              <w:t>02</w:t>
            </w:r>
          </w:p>
        </w:tc>
        <w:tc>
          <w:tcPr>
            <w:tcW w:w="1411" w:type="dxa"/>
            <w:tcBorders>
              <w:top w:val="nil"/>
              <w:left w:val="single" w:sz="4" w:space="0" w:color="auto"/>
              <w:bottom w:val="nil"/>
              <w:right w:val="nil"/>
            </w:tcBorders>
            <w:shd w:val="clear" w:color="auto" w:fill="auto"/>
            <w:noWrap/>
            <w:vAlign w:val="center"/>
            <w:hideMark/>
          </w:tcPr>
          <w:p w14:paraId="47DA5464" w14:textId="77777777" w:rsidR="00387142" w:rsidRPr="008B6A75" w:rsidRDefault="00387142" w:rsidP="00387142">
            <w:pPr>
              <w:jc w:val="center"/>
              <w:rPr>
                <w:bCs/>
                <w:sz w:val="20"/>
                <w:szCs w:val="20"/>
              </w:rPr>
            </w:pPr>
            <w:r w:rsidRPr="008B6A75">
              <w:rPr>
                <w:bCs/>
                <w:sz w:val="20"/>
                <w:szCs w:val="20"/>
              </w:rPr>
              <w:t>06.0.00.L6350</w:t>
            </w:r>
          </w:p>
        </w:tc>
        <w:tc>
          <w:tcPr>
            <w:tcW w:w="955" w:type="dxa"/>
            <w:tcBorders>
              <w:top w:val="nil"/>
              <w:left w:val="single" w:sz="4" w:space="0" w:color="auto"/>
              <w:bottom w:val="nil"/>
              <w:right w:val="single" w:sz="4" w:space="0" w:color="auto"/>
            </w:tcBorders>
            <w:shd w:val="clear" w:color="auto" w:fill="auto"/>
            <w:noWrap/>
            <w:vAlign w:val="center"/>
            <w:hideMark/>
          </w:tcPr>
          <w:p w14:paraId="1DE45C0B"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nil"/>
              <w:right w:val="single" w:sz="4" w:space="0" w:color="auto"/>
            </w:tcBorders>
            <w:shd w:val="clear" w:color="auto" w:fill="auto"/>
            <w:noWrap/>
            <w:vAlign w:val="center"/>
            <w:hideMark/>
          </w:tcPr>
          <w:p w14:paraId="5CABD20F" w14:textId="77777777" w:rsidR="00387142" w:rsidRPr="008B6A75" w:rsidRDefault="00387142" w:rsidP="00387142">
            <w:pPr>
              <w:jc w:val="right"/>
              <w:rPr>
                <w:bCs/>
                <w:sz w:val="20"/>
                <w:szCs w:val="20"/>
              </w:rPr>
            </w:pPr>
            <w:r w:rsidRPr="008B6A75">
              <w:rPr>
                <w:bCs/>
                <w:sz w:val="20"/>
                <w:szCs w:val="20"/>
              </w:rPr>
              <w:t>4 905 100,00</w:t>
            </w:r>
          </w:p>
        </w:tc>
        <w:tc>
          <w:tcPr>
            <w:tcW w:w="992" w:type="dxa"/>
            <w:gridSpan w:val="2"/>
            <w:tcBorders>
              <w:top w:val="nil"/>
              <w:left w:val="single" w:sz="4" w:space="0" w:color="auto"/>
              <w:bottom w:val="nil"/>
              <w:right w:val="nil"/>
            </w:tcBorders>
            <w:shd w:val="clear" w:color="auto" w:fill="auto"/>
            <w:noWrap/>
            <w:vAlign w:val="center"/>
            <w:hideMark/>
          </w:tcPr>
          <w:p w14:paraId="46A66EE7" w14:textId="77777777" w:rsidR="00387142" w:rsidRPr="008B6A75" w:rsidRDefault="00387142" w:rsidP="00387142">
            <w:pPr>
              <w:jc w:val="right"/>
              <w:rPr>
                <w:bCs/>
                <w:sz w:val="20"/>
                <w:szCs w:val="20"/>
              </w:rPr>
            </w:pPr>
            <w:r w:rsidRPr="008B6A75">
              <w:rPr>
                <w:bCs/>
                <w:sz w:val="20"/>
                <w:szCs w:val="20"/>
              </w:rPr>
              <w:t>0,00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79F96B82" w14:textId="77777777" w:rsidR="00387142" w:rsidRPr="008B6A75" w:rsidRDefault="00387142" w:rsidP="00387142">
            <w:pPr>
              <w:jc w:val="right"/>
              <w:rPr>
                <w:bCs/>
                <w:sz w:val="20"/>
                <w:szCs w:val="20"/>
              </w:rPr>
            </w:pPr>
            <w:r w:rsidRPr="008B6A75">
              <w:rPr>
                <w:bCs/>
                <w:sz w:val="20"/>
                <w:szCs w:val="20"/>
              </w:rPr>
              <w:t>0,00</w:t>
            </w:r>
          </w:p>
        </w:tc>
        <w:tc>
          <w:tcPr>
            <w:tcW w:w="222" w:type="dxa"/>
            <w:vAlign w:val="center"/>
            <w:hideMark/>
          </w:tcPr>
          <w:p w14:paraId="709E4107" w14:textId="77777777" w:rsidR="00387142" w:rsidRPr="008B6A75" w:rsidRDefault="00387142" w:rsidP="00387142">
            <w:pPr>
              <w:rPr>
                <w:sz w:val="20"/>
                <w:szCs w:val="20"/>
              </w:rPr>
            </w:pPr>
          </w:p>
        </w:tc>
      </w:tr>
      <w:tr w:rsidR="00387142" w:rsidRPr="008B6A75" w14:paraId="6831B788" w14:textId="77777777" w:rsidTr="00387142">
        <w:trPr>
          <w:trHeight w:val="585"/>
        </w:trPr>
        <w:tc>
          <w:tcPr>
            <w:tcW w:w="3021" w:type="dxa"/>
            <w:tcBorders>
              <w:top w:val="single" w:sz="4" w:space="0" w:color="auto"/>
              <w:left w:val="single" w:sz="4" w:space="0" w:color="auto"/>
              <w:bottom w:val="nil"/>
              <w:right w:val="nil"/>
            </w:tcBorders>
            <w:shd w:val="clear" w:color="auto" w:fill="auto"/>
            <w:vAlign w:val="center"/>
            <w:hideMark/>
          </w:tcPr>
          <w:p w14:paraId="41C08A62" w14:textId="77777777" w:rsidR="00387142" w:rsidRPr="008B6A75" w:rsidRDefault="00387142" w:rsidP="00387142">
            <w:pPr>
              <w:rPr>
                <w:sz w:val="20"/>
                <w:szCs w:val="20"/>
              </w:rPr>
            </w:pPr>
            <w:r w:rsidRPr="008B6A75">
              <w:rPr>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nil"/>
              <w:right w:val="nil"/>
            </w:tcBorders>
            <w:shd w:val="clear" w:color="auto" w:fill="auto"/>
            <w:noWrap/>
            <w:vAlign w:val="center"/>
            <w:hideMark/>
          </w:tcPr>
          <w:p w14:paraId="12899AE3" w14:textId="77777777" w:rsidR="00387142" w:rsidRPr="008B6A75" w:rsidRDefault="00387142" w:rsidP="00387142">
            <w:pPr>
              <w:jc w:val="center"/>
              <w:rPr>
                <w:sz w:val="20"/>
                <w:szCs w:val="20"/>
              </w:rPr>
            </w:pPr>
            <w:r w:rsidRPr="008B6A75">
              <w:rPr>
                <w:sz w:val="20"/>
                <w:szCs w:val="20"/>
              </w:rPr>
              <w:t>444</w:t>
            </w:r>
          </w:p>
        </w:tc>
        <w:tc>
          <w:tcPr>
            <w:tcW w:w="709" w:type="dxa"/>
            <w:tcBorders>
              <w:top w:val="single" w:sz="4" w:space="0" w:color="auto"/>
              <w:left w:val="single" w:sz="4" w:space="0" w:color="auto"/>
              <w:bottom w:val="nil"/>
              <w:right w:val="nil"/>
            </w:tcBorders>
            <w:shd w:val="clear" w:color="auto" w:fill="auto"/>
            <w:noWrap/>
            <w:vAlign w:val="center"/>
            <w:hideMark/>
          </w:tcPr>
          <w:p w14:paraId="4407B34F" w14:textId="77777777" w:rsidR="00387142" w:rsidRPr="008B6A75" w:rsidRDefault="00387142" w:rsidP="00387142">
            <w:pPr>
              <w:jc w:val="center"/>
              <w:rPr>
                <w:sz w:val="20"/>
                <w:szCs w:val="20"/>
              </w:rPr>
            </w:pPr>
            <w:r w:rsidRPr="008B6A75">
              <w:rPr>
                <w:sz w:val="20"/>
                <w:szCs w:val="20"/>
              </w:rPr>
              <w:t>07</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7676A40E" w14:textId="77777777" w:rsidR="00387142" w:rsidRPr="008B6A75" w:rsidRDefault="00387142" w:rsidP="00387142">
            <w:pPr>
              <w:jc w:val="center"/>
              <w:rPr>
                <w:sz w:val="20"/>
                <w:szCs w:val="20"/>
              </w:rPr>
            </w:pPr>
            <w:r w:rsidRPr="008B6A75">
              <w:rPr>
                <w:sz w:val="20"/>
                <w:szCs w:val="20"/>
              </w:rPr>
              <w:t>02</w:t>
            </w:r>
          </w:p>
        </w:tc>
        <w:tc>
          <w:tcPr>
            <w:tcW w:w="1411" w:type="dxa"/>
            <w:tcBorders>
              <w:top w:val="single" w:sz="4" w:space="0" w:color="auto"/>
              <w:left w:val="single" w:sz="4" w:space="0" w:color="auto"/>
              <w:bottom w:val="nil"/>
              <w:right w:val="nil"/>
            </w:tcBorders>
            <w:shd w:val="clear" w:color="auto" w:fill="auto"/>
            <w:noWrap/>
            <w:vAlign w:val="center"/>
            <w:hideMark/>
          </w:tcPr>
          <w:p w14:paraId="40809C6E" w14:textId="77777777" w:rsidR="00387142" w:rsidRPr="008B6A75" w:rsidRDefault="00387142" w:rsidP="00387142">
            <w:pPr>
              <w:jc w:val="center"/>
              <w:rPr>
                <w:sz w:val="20"/>
                <w:szCs w:val="20"/>
              </w:rPr>
            </w:pPr>
            <w:r w:rsidRPr="008B6A75">
              <w:rPr>
                <w:sz w:val="20"/>
                <w:szCs w:val="20"/>
              </w:rPr>
              <w:t>06.0.00.L6350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20FDFECE" w14:textId="77777777" w:rsidR="00387142" w:rsidRPr="008B6A75" w:rsidRDefault="00387142" w:rsidP="00387142">
            <w:pPr>
              <w:jc w:val="center"/>
              <w:rPr>
                <w:sz w:val="20"/>
                <w:szCs w:val="20"/>
              </w:rPr>
            </w:pPr>
            <w:r w:rsidRPr="008B6A75">
              <w:rPr>
                <w:sz w:val="20"/>
                <w:szCs w:val="20"/>
              </w:rPr>
              <w:t>200</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4B24EC51" w14:textId="77777777" w:rsidR="00387142" w:rsidRPr="008B6A75" w:rsidRDefault="00387142" w:rsidP="00387142">
            <w:pPr>
              <w:jc w:val="right"/>
              <w:rPr>
                <w:sz w:val="20"/>
                <w:szCs w:val="20"/>
              </w:rPr>
            </w:pPr>
            <w:r w:rsidRPr="008B6A75">
              <w:rPr>
                <w:sz w:val="20"/>
                <w:szCs w:val="20"/>
              </w:rPr>
              <w:t>4 905 100,00</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628AC434" w14:textId="77777777" w:rsidR="00387142" w:rsidRPr="008B6A75" w:rsidRDefault="00387142" w:rsidP="00387142">
            <w:pPr>
              <w:jc w:val="right"/>
              <w:rPr>
                <w:sz w:val="20"/>
                <w:szCs w:val="20"/>
              </w:rPr>
            </w:pPr>
            <w:r w:rsidRPr="008B6A75">
              <w:rPr>
                <w:sz w:val="20"/>
                <w:szCs w:val="20"/>
              </w:rPr>
              <w:t>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0095E47F" w14:textId="77777777" w:rsidR="00387142" w:rsidRPr="008B6A75" w:rsidRDefault="00387142" w:rsidP="00387142">
            <w:pPr>
              <w:jc w:val="right"/>
              <w:rPr>
                <w:sz w:val="20"/>
                <w:szCs w:val="20"/>
              </w:rPr>
            </w:pPr>
            <w:r w:rsidRPr="008B6A75">
              <w:rPr>
                <w:sz w:val="20"/>
                <w:szCs w:val="20"/>
              </w:rPr>
              <w:t>0,00</w:t>
            </w:r>
          </w:p>
        </w:tc>
        <w:tc>
          <w:tcPr>
            <w:tcW w:w="222" w:type="dxa"/>
            <w:vAlign w:val="center"/>
            <w:hideMark/>
          </w:tcPr>
          <w:p w14:paraId="116B9B4E" w14:textId="77777777" w:rsidR="00387142" w:rsidRPr="008B6A75" w:rsidRDefault="00387142" w:rsidP="00387142">
            <w:pPr>
              <w:rPr>
                <w:sz w:val="20"/>
                <w:szCs w:val="20"/>
              </w:rPr>
            </w:pPr>
          </w:p>
        </w:tc>
      </w:tr>
      <w:tr w:rsidR="00387142" w:rsidRPr="008B6A75" w14:paraId="51305001" w14:textId="77777777" w:rsidTr="00387142">
        <w:trPr>
          <w:trHeight w:val="870"/>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565ACA96" w14:textId="77777777" w:rsidR="00387142" w:rsidRPr="008B6A75" w:rsidRDefault="00387142" w:rsidP="00387142">
            <w:pPr>
              <w:rPr>
                <w:sz w:val="20"/>
                <w:szCs w:val="20"/>
              </w:rPr>
            </w:pPr>
            <w:r w:rsidRPr="008B6A75">
              <w:rPr>
                <w:sz w:val="20"/>
                <w:szCs w:val="20"/>
              </w:rPr>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741ACD7B" w14:textId="77777777" w:rsidR="00387142" w:rsidRPr="008B6A75" w:rsidRDefault="00387142" w:rsidP="00387142">
            <w:pPr>
              <w:jc w:val="center"/>
              <w:rPr>
                <w:sz w:val="20"/>
                <w:szCs w:val="20"/>
              </w:rPr>
            </w:pPr>
            <w:r w:rsidRPr="008B6A75">
              <w:rPr>
                <w:sz w:val="20"/>
                <w:szCs w:val="20"/>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4349E497" w14:textId="77777777" w:rsidR="00387142" w:rsidRPr="008B6A75" w:rsidRDefault="00387142" w:rsidP="00387142">
            <w:pPr>
              <w:jc w:val="center"/>
              <w:rPr>
                <w:sz w:val="20"/>
                <w:szCs w:val="20"/>
              </w:rPr>
            </w:pPr>
            <w:r w:rsidRPr="008B6A75">
              <w:rPr>
                <w:sz w:val="20"/>
                <w:szCs w:val="20"/>
              </w:rPr>
              <w:t>07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D346E8" w14:textId="77777777" w:rsidR="00387142" w:rsidRPr="008B6A75" w:rsidRDefault="00387142" w:rsidP="00387142">
            <w:pPr>
              <w:jc w:val="center"/>
              <w:rPr>
                <w:sz w:val="20"/>
                <w:szCs w:val="20"/>
              </w:rPr>
            </w:pPr>
            <w:r w:rsidRPr="008B6A75">
              <w:rPr>
                <w:sz w:val="20"/>
                <w:szCs w:val="20"/>
              </w:rPr>
              <w:t>02</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3853E1C9" w14:textId="77777777" w:rsidR="00387142" w:rsidRPr="008B6A75" w:rsidRDefault="00387142" w:rsidP="00387142">
            <w:pPr>
              <w:jc w:val="center"/>
              <w:rPr>
                <w:sz w:val="20"/>
                <w:szCs w:val="20"/>
              </w:rPr>
            </w:pPr>
            <w:r w:rsidRPr="008B6A75">
              <w:rPr>
                <w:sz w:val="20"/>
                <w:szCs w:val="20"/>
              </w:rPr>
              <w:t>06.0.00.L6350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09BC02" w14:textId="77777777" w:rsidR="00387142" w:rsidRPr="008B6A75" w:rsidRDefault="00387142" w:rsidP="00387142">
            <w:pPr>
              <w:jc w:val="center"/>
              <w:rPr>
                <w:sz w:val="20"/>
                <w:szCs w:val="20"/>
              </w:rPr>
            </w:pPr>
            <w:r w:rsidRPr="008B6A75">
              <w:rPr>
                <w:sz w:val="20"/>
                <w:szCs w:val="20"/>
              </w:rPr>
              <w:t>240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7E3FFD" w14:textId="77777777" w:rsidR="00387142" w:rsidRPr="008B6A75" w:rsidRDefault="00387142" w:rsidP="00387142">
            <w:pPr>
              <w:jc w:val="right"/>
              <w:rPr>
                <w:sz w:val="20"/>
                <w:szCs w:val="20"/>
              </w:rPr>
            </w:pPr>
            <w:r w:rsidRPr="008B6A75">
              <w:rPr>
                <w:sz w:val="20"/>
                <w:szCs w:val="20"/>
              </w:rPr>
              <w:t>4 905 100,00</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4369ADA5" w14:textId="77777777" w:rsidR="00387142" w:rsidRPr="008B6A75" w:rsidRDefault="00387142" w:rsidP="00387142">
            <w:pPr>
              <w:jc w:val="right"/>
              <w:rPr>
                <w:sz w:val="20"/>
                <w:szCs w:val="20"/>
              </w:rPr>
            </w:pPr>
            <w:r w:rsidRPr="008B6A75">
              <w:rPr>
                <w:sz w:val="20"/>
                <w:szCs w:val="20"/>
              </w:rPr>
              <w:t>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375986" w14:textId="77777777" w:rsidR="00387142" w:rsidRPr="008B6A75" w:rsidRDefault="00387142" w:rsidP="00387142">
            <w:pPr>
              <w:jc w:val="right"/>
              <w:rPr>
                <w:sz w:val="20"/>
                <w:szCs w:val="20"/>
              </w:rPr>
            </w:pPr>
            <w:r w:rsidRPr="008B6A75">
              <w:rPr>
                <w:sz w:val="20"/>
                <w:szCs w:val="20"/>
              </w:rPr>
              <w:t>0,00</w:t>
            </w:r>
          </w:p>
        </w:tc>
        <w:tc>
          <w:tcPr>
            <w:tcW w:w="222" w:type="dxa"/>
            <w:vAlign w:val="center"/>
            <w:hideMark/>
          </w:tcPr>
          <w:p w14:paraId="0E724791" w14:textId="77777777" w:rsidR="00387142" w:rsidRPr="008B6A75" w:rsidRDefault="00387142" w:rsidP="00387142">
            <w:pPr>
              <w:rPr>
                <w:sz w:val="20"/>
                <w:szCs w:val="20"/>
              </w:rPr>
            </w:pPr>
          </w:p>
        </w:tc>
      </w:tr>
      <w:tr w:rsidR="00387142" w:rsidRPr="008B6A75" w14:paraId="7D5B19D4" w14:textId="77777777" w:rsidTr="00387142">
        <w:trPr>
          <w:trHeight w:val="585"/>
        </w:trPr>
        <w:tc>
          <w:tcPr>
            <w:tcW w:w="3021" w:type="dxa"/>
            <w:tcBorders>
              <w:top w:val="nil"/>
              <w:left w:val="single" w:sz="4" w:space="0" w:color="auto"/>
              <w:bottom w:val="nil"/>
              <w:right w:val="nil"/>
            </w:tcBorders>
            <w:shd w:val="clear" w:color="auto" w:fill="auto"/>
            <w:vAlign w:val="center"/>
            <w:hideMark/>
          </w:tcPr>
          <w:p w14:paraId="457A1765" w14:textId="77777777" w:rsidR="00387142" w:rsidRPr="008B6A75" w:rsidRDefault="00387142" w:rsidP="00387142">
            <w:pPr>
              <w:rPr>
                <w:bCs/>
                <w:sz w:val="20"/>
                <w:szCs w:val="20"/>
              </w:rPr>
            </w:pPr>
            <w:r w:rsidRPr="008B6A75">
              <w:rPr>
                <w:bCs/>
                <w:sz w:val="20"/>
                <w:szCs w:val="20"/>
              </w:rPr>
              <w:t>Муниципальная программа "Развитие системы образования Куйбышевского района"</w:t>
            </w:r>
          </w:p>
        </w:tc>
        <w:tc>
          <w:tcPr>
            <w:tcW w:w="850" w:type="dxa"/>
            <w:tcBorders>
              <w:top w:val="nil"/>
              <w:left w:val="single" w:sz="4" w:space="0" w:color="auto"/>
              <w:bottom w:val="nil"/>
              <w:right w:val="nil"/>
            </w:tcBorders>
            <w:shd w:val="clear" w:color="auto" w:fill="auto"/>
            <w:noWrap/>
            <w:vAlign w:val="center"/>
            <w:hideMark/>
          </w:tcPr>
          <w:p w14:paraId="77E06025" w14:textId="77777777" w:rsidR="00387142" w:rsidRPr="008B6A75" w:rsidRDefault="00387142" w:rsidP="00387142">
            <w:pPr>
              <w:jc w:val="center"/>
              <w:rPr>
                <w:bCs/>
                <w:sz w:val="20"/>
                <w:szCs w:val="20"/>
              </w:rPr>
            </w:pPr>
            <w:r w:rsidRPr="008B6A75">
              <w:rPr>
                <w:bCs/>
                <w:sz w:val="20"/>
                <w:szCs w:val="20"/>
              </w:rPr>
              <w:t>444</w:t>
            </w:r>
          </w:p>
        </w:tc>
        <w:tc>
          <w:tcPr>
            <w:tcW w:w="709" w:type="dxa"/>
            <w:tcBorders>
              <w:top w:val="nil"/>
              <w:left w:val="single" w:sz="4" w:space="0" w:color="auto"/>
              <w:bottom w:val="nil"/>
              <w:right w:val="nil"/>
            </w:tcBorders>
            <w:shd w:val="clear" w:color="auto" w:fill="auto"/>
            <w:noWrap/>
            <w:vAlign w:val="center"/>
            <w:hideMark/>
          </w:tcPr>
          <w:p w14:paraId="75D55F34" w14:textId="77777777" w:rsidR="00387142" w:rsidRPr="008B6A75" w:rsidRDefault="00387142" w:rsidP="00387142">
            <w:pPr>
              <w:jc w:val="center"/>
              <w:rPr>
                <w:bCs/>
                <w:sz w:val="20"/>
                <w:szCs w:val="20"/>
              </w:rPr>
            </w:pPr>
            <w:r w:rsidRPr="008B6A75">
              <w:rPr>
                <w:bCs/>
                <w:sz w:val="20"/>
                <w:szCs w:val="20"/>
              </w:rPr>
              <w:t>07</w:t>
            </w:r>
          </w:p>
        </w:tc>
        <w:tc>
          <w:tcPr>
            <w:tcW w:w="709" w:type="dxa"/>
            <w:tcBorders>
              <w:top w:val="nil"/>
              <w:left w:val="single" w:sz="4" w:space="0" w:color="auto"/>
              <w:bottom w:val="nil"/>
              <w:right w:val="single" w:sz="4" w:space="0" w:color="auto"/>
            </w:tcBorders>
            <w:shd w:val="clear" w:color="auto" w:fill="auto"/>
            <w:noWrap/>
            <w:vAlign w:val="center"/>
            <w:hideMark/>
          </w:tcPr>
          <w:p w14:paraId="15B24029" w14:textId="77777777" w:rsidR="00387142" w:rsidRPr="008B6A75" w:rsidRDefault="00387142" w:rsidP="00387142">
            <w:pPr>
              <w:jc w:val="center"/>
              <w:rPr>
                <w:bCs/>
                <w:sz w:val="20"/>
                <w:szCs w:val="20"/>
              </w:rPr>
            </w:pPr>
            <w:r w:rsidRPr="008B6A75">
              <w:rPr>
                <w:bCs/>
                <w:sz w:val="20"/>
                <w:szCs w:val="20"/>
              </w:rPr>
              <w:t>02</w:t>
            </w:r>
          </w:p>
        </w:tc>
        <w:tc>
          <w:tcPr>
            <w:tcW w:w="1411" w:type="dxa"/>
            <w:tcBorders>
              <w:top w:val="nil"/>
              <w:left w:val="single" w:sz="4" w:space="0" w:color="auto"/>
              <w:bottom w:val="nil"/>
              <w:right w:val="nil"/>
            </w:tcBorders>
            <w:shd w:val="clear" w:color="auto" w:fill="auto"/>
            <w:noWrap/>
            <w:vAlign w:val="center"/>
            <w:hideMark/>
          </w:tcPr>
          <w:p w14:paraId="72541884" w14:textId="77777777" w:rsidR="00387142" w:rsidRPr="008B6A75" w:rsidRDefault="00387142" w:rsidP="00387142">
            <w:pPr>
              <w:jc w:val="center"/>
              <w:rPr>
                <w:bCs/>
                <w:sz w:val="20"/>
                <w:szCs w:val="20"/>
              </w:rPr>
            </w:pPr>
            <w:r w:rsidRPr="008B6A75">
              <w:rPr>
                <w:bCs/>
                <w:sz w:val="20"/>
                <w:szCs w:val="20"/>
              </w:rPr>
              <w:t>07.0.00.00000</w:t>
            </w:r>
          </w:p>
        </w:tc>
        <w:tc>
          <w:tcPr>
            <w:tcW w:w="955" w:type="dxa"/>
            <w:tcBorders>
              <w:top w:val="nil"/>
              <w:left w:val="single" w:sz="4" w:space="0" w:color="auto"/>
              <w:bottom w:val="nil"/>
              <w:right w:val="single" w:sz="4" w:space="0" w:color="auto"/>
            </w:tcBorders>
            <w:shd w:val="clear" w:color="auto" w:fill="auto"/>
            <w:noWrap/>
            <w:vAlign w:val="center"/>
            <w:hideMark/>
          </w:tcPr>
          <w:p w14:paraId="1F3D85ED"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nil"/>
              <w:right w:val="single" w:sz="4" w:space="0" w:color="auto"/>
            </w:tcBorders>
            <w:shd w:val="clear" w:color="auto" w:fill="auto"/>
            <w:noWrap/>
            <w:vAlign w:val="center"/>
            <w:hideMark/>
          </w:tcPr>
          <w:p w14:paraId="1647A63F" w14:textId="77777777" w:rsidR="00387142" w:rsidRPr="008B6A75" w:rsidRDefault="00387142" w:rsidP="00387142">
            <w:pPr>
              <w:jc w:val="right"/>
              <w:rPr>
                <w:bCs/>
                <w:sz w:val="20"/>
                <w:szCs w:val="20"/>
              </w:rPr>
            </w:pPr>
            <w:r w:rsidRPr="008B6A75">
              <w:rPr>
                <w:bCs/>
                <w:sz w:val="20"/>
                <w:szCs w:val="20"/>
              </w:rPr>
              <w:t>1 088 426 490,20</w:t>
            </w:r>
          </w:p>
        </w:tc>
        <w:tc>
          <w:tcPr>
            <w:tcW w:w="992" w:type="dxa"/>
            <w:gridSpan w:val="2"/>
            <w:tcBorders>
              <w:top w:val="nil"/>
              <w:left w:val="single" w:sz="4" w:space="0" w:color="auto"/>
              <w:bottom w:val="nil"/>
              <w:right w:val="nil"/>
            </w:tcBorders>
            <w:shd w:val="clear" w:color="auto" w:fill="auto"/>
            <w:noWrap/>
            <w:vAlign w:val="center"/>
            <w:hideMark/>
          </w:tcPr>
          <w:p w14:paraId="55C18DDC" w14:textId="77777777" w:rsidR="00387142" w:rsidRPr="008B6A75" w:rsidRDefault="00387142" w:rsidP="00387142">
            <w:pPr>
              <w:jc w:val="right"/>
              <w:rPr>
                <w:bCs/>
                <w:sz w:val="20"/>
                <w:szCs w:val="20"/>
              </w:rPr>
            </w:pPr>
            <w:r w:rsidRPr="008B6A75">
              <w:rPr>
                <w:bCs/>
                <w:sz w:val="20"/>
                <w:szCs w:val="20"/>
              </w:rPr>
              <w:t>827 158 163,80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7D6C1BFE" w14:textId="77777777" w:rsidR="00387142" w:rsidRPr="008B6A75" w:rsidRDefault="00387142" w:rsidP="00387142">
            <w:pPr>
              <w:jc w:val="right"/>
              <w:rPr>
                <w:bCs/>
                <w:sz w:val="20"/>
                <w:szCs w:val="20"/>
              </w:rPr>
            </w:pPr>
            <w:r w:rsidRPr="008B6A75">
              <w:rPr>
                <w:bCs/>
                <w:sz w:val="20"/>
                <w:szCs w:val="20"/>
              </w:rPr>
              <w:t>803 415 456,22</w:t>
            </w:r>
          </w:p>
        </w:tc>
        <w:tc>
          <w:tcPr>
            <w:tcW w:w="222" w:type="dxa"/>
            <w:vAlign w:val="center"/>
            <w:hideMark/>
          </w:tcPr>
          <w:p w14:paraId="377ACEC5" w14:textId="77777777" w:rsidR="00387142" w:rsidRPr="008B6A75" w:rsidRDefault="00387142" w:rsidP="00387142">
            <w:pPr>
              <w:rPr>
                <w:sz w:val="20"/>
                <w:szCs w:val="20"/>
              </w:rPr>
            </w:pPr>
          </w:p>
        </w:tc>
      </w:tr>
      <w:tr w:rsidR="00387142" w:rsidRPr="008B6A75" w14:paraId="20EFD16D" w14:textId="77777777" w:rsidTr="00387142">
        <w:trPr>
          <w:trHeight w:val="585"/>
        </w:trPr>
        <w:tc>
          <w:tcPr>
            <w:tcW w:w="3021" w:type="dxa"/>
            <w:tcBorders>
              <w:top w:val="single" w:sz="4" w:space="0" w:color="auto"/>
              <w:left w:val="single" w:sz="4" w:space="0" w:color="auto"/>
              <w:bottom w:val="nil"/>
              <w:right w:val="nil"/>
            </w:tcBorders>
            <w:shd w:val="clear" w:color="auto" w:fill="auto"/>
            <w:vAlign w:val="center"/>
            <w:hideMark/>
          </w:tcPr>
          <w:p w14:paraId="2AFAD80C" w14:textId="77777777" w:rsidR="00387142" w:rsidRPr="008B6A75" w:rsidRDefault="00387142" w:rsidP="00387142">
            <w:pPr>
              <w:rPr>
                <w:bCs/>
                <w:sz w:val="20"/>
                <w:szCs w:val="20"/>
              </w:rPr>
            </w:pPr>
            <w:r w:rsidRPr="008B6A75">
              <w:rPr>
                <w:bCs/>
                <w:sz w:val="20"/>
                <w:szCs w:val="20"/>
              </w:rPr>
              <w:t>Подпрограмма "Развитие дошкольного, общего и дополнительного образования детей"</w:t>
            </w:r>
          </w:p>
        </w:tc>
        <w:tc>
          <w:tcPr>
            <w:tcW w:w="850" w:type="dxa"/>
            <w:tcBorders>
              <w:top w:val="single" w:sz="4" w:space="0" w:color="auto"/>
              <w:left w:val="single" w:sz="4" w:space="0" w:color="auto"/>
              <w:bottom w:val="nil"/>
              <w:right w:val="nil"/>
            </w:tcBorders>
            <w:shd w:val="clear" w:color="auto" w:fill="auto"/>
            <w:noWrap/>
            <w:vAlign w:val="center"/>
            <w:hideMark/>
          </w:tcPr>
          <w:p w14:paraId="743F0BEA" w14:textId="77777777" w:rsidR="00387142" w:rsidRPr="008B6A75" w:rsidRDefault="00387142" w:rsidP="00387142">
            <w:pPr>
              <w:jc w:val="center"/>
              <w:rPr>
                <w:bCs/>
                <w:sz w:val="20"/>
                <w:szCs w:val="20"/>
              </w:rPr>
            </w:pPr>
            <w:r w:rsidRPr="008B6A75">
              <w:rPr>
                <w:bCs/>
                <w:sz w:val="20"/>
                <w:szCs w:val="20"/>
              </w:rPr>
              <w:t>444</w:t>
            </w:r>
          </w:p>
        </w:tc>
        <w:tc>
          <w:tcPr>
            <w:tcW w:w="709" w:type="dxa"/>
            <w:tcBorders>
              <w:top w:val="single" w:sz="4" w:space="0" w:color="auto"/>
              <w:left w:val="single" w:sz="4" w:space="0" w:color="auto"/>
              <w:bottom w:val="nil"/>
              <w:right w:val="nil"/>
            </w:tcBorders>
            <w:shd w:val="clear" w:color="auto" w:fill="auto"/>
            <w:noWrap/>
            <w:vAlign w:val="center"/>
            <w:hideMark/>
          </w:tcPr>
          <w:p w14:paraId="31B8FBC2" w14:textId="77777777" w:rsidR="00387142" w:rsidRPr="008B6A75" w:rsidRDefault="00387142" w:rsidP="00387142">
            <w:pPr>
              <w:jc w:val="center"/>
              <w:rPr>
                <w:bCs/>
                <w:sz w:val="20"/>
                <w:szCs w:val="20"/>
              </w:rPr>
            </w:pPr>
            <w:r w:rsidRPr="008B6A75">
              <w:rPr>
                <w:bCs/>
                <w:sz w:val="20"/>
                <w:szCs w:val="20"/>
              </w:rPr>
              <w:t>07</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209EFCBF" w14:textId="77777777" w:rsidR="00387142" w:rsidRPr="008B6A75" w:rsidRDefault="00387142" w:rsidP="00387142">
            <w:pPr>
              <w:jc w:val="center"/>
              <w:rPr>
                <w:bCs/>
                <w:sz w:val="20"/>
                <w:szCs w:val="20"/>
              </w:rPr>
            </w:pPr>
            <w:r w:rsidRPr="008B6A75">
              <w:rPr>
                <w:bCs/>
                <w:sz w:val="20"/>
                <w:szCs w:val="20"/>
              </w:rPr>
              <w:t>02</w:t>
            </w:r>
          </w:p>
        </w:tc>
        <w:tc>
          <w:tcPr>
            <w:tcW w:w="1411" w:type="dxa"/>
            <w:tcBorders>
              <w:top w:val="single" w:sz="4" w:space="0" w:color="auto"/>
              <w:left w:val="single" w:sz="4" w:space="0" w:color="auto"/>
              <w:bottom w:val="nil"/>
              <w:right w:val="nil"/>
            </w:tcBorders>
            <w:shd w:val="clear" w:color="auto" w:fill="auto"/>
            <w:noWrap/>
            <w:vAlign w:val="center"/>
            <w:hideMark/>
          </w:tcPr>
          <w:p w14:paraId="0E52F8DE" w14:textId="77777777" w:rsidR="00387142" w:rsidRPr="008B6A75" w:rsidRDefault="00387142" w:rsidP="00387142">
            <w:pPr>
              <w:jc w:val="center"/>
              <w:rPr>
                <w:bCs/>
                <w:sz w:val="20"/>
                <w:szCs w:val="20"/>
              </w:rPr>
            </w:pPr>
            <w:r w:rsidRPr="008B6A75">
              <w:rPr>
                <w:bCs/>
                <w:sz w:val="20"/>
                <w:szCs w:val="20"/>
              </w:rPr>
              <w:t>07.1.00.00000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20220915" w14:textId="77777777" w:rsidR="00387142" w:rsidRPr="008B6A75" w:rsidRDefault="00387142" w:rsidP="00387142">
            <w:pPr>
              <w:jc w:val="center"/>
              <w:rPr>
                <w:bCs/>
                <w:sz w:val="20"/>
                <w:szCs w:val="20"/>
              </w:rPr>
            </w:pPr>
            <w:r w:rsidRPr="008B6A75">
              <w:rPr>
                <w:bCs/>
                <w:sz w:val="20"/>
                <w:szCs w:val="20"/>
              </w:rPr>
              <w:t> </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54C33974" w14:textId="77777777" w:rsidR="00387142" w:rsidRPr="008B6A75" w:rsidRDefault="00387142" w:rsidP="00387142">
            <w:pPr>
              <w:jc w:val="right"/>
              <w:rPr>
                <w:bCs/>
                <w:sz w:val="20"/>
                <w:szCs w:val="20"/>
              </w:rPr>
            </w:pPr>
            <w:r w:rsidRPr="008B6A75">
              <w:rPr>
                <w:bCs/>
                <w:sz w:val="20"/>
                <w:szCs w:val="20"/>
              </w:rPr>
              <w:t>1 087 364 630,20</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607FF446" w14:textId="77777777" w:rsidR="00387142" w:rsidRPr="008B6A75" w:rsidRDefault="00387142" w:rsidP="00387142">
            <w:pPr>
              <w:jc w:val="right"/>
              <w:rPr>
                <w:bCs/>
                <w:sz w:val="20"/>
                <w:szCs w:val="20"/>
              </w:rPr>
            </w:pPr>
            <w:r w:rsidRPr="008B6A75">
              <w:rPr>
                <w:bCs/>
                <w:sz w:val="20"/>
                <w:szCs w:val="20"/>
              </w:rPr>
              <w:t>827 158 163,80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27CB192B" w14:textId="77777777" w:rsidR="00387142" w:rsidRPr="008B6A75" w:rsidRDefault="00387142" w:rsidP="00387142">
            <w:pPr>
              <w:jc w:val="right"/>
              <w:rPr>
                <w:bCs/>
                <w:sz w:val="20"/>
                <w:szCs w:val="20"/>
              </w:rPr>
            </w:pPr>
            <w:r w:rsidRPr="008B6A75">
              <w:rPr>
                <w:bCs/>
                <w:sz w:val="20"/>
                <w:szCs w:val="20"/>
              </w:rPr>
              <w:t>803 415 456,22</w:t>
            </w:r>
          </w:p>
        </w:tc>
        <w:tc>
          <w:tcPr>
            <w:tcW w:w="222" w:type="dxa"/>
            <w:vAlign w:val="center"/>
            <w:hideMark/>
          </w:tcPr>
          <w:p w14:paraId="35914423" w14:textId="77777777" w:rsidR="00387142" w:rsidRPr="008B6A75" w:rsidRDefault="00387142" w:rsidP="00387142">
            <w:pPr>
              <w:rPr>
                <w:sz w:val="20"/>
                <w:szCs w:val="20"/>
              </w:rPr>
            </w:pPr>
          </w:p>
        </w:tc>
      </w:tr>
      <w:tr w:rsidR="00387142" w:rsidRPr="008B6A75" w14:paraId="01CB822F" w14:textId="77777777" w:rsidTr="00387142">
        <w:trPr>
          <w:trHeight w:val="2295"/>
        </w:trPr>
        <w:tc>
          <w:tcPr>
            <w:tcW w:w="3021" w:type="dxa"/>
            <w:tcBorders>
              <w:top w:val="single" w:sz="4" w:space="0" w:color="auto"/>
              <w:left w:val="single" w:sz="4" w:space="0" w:color="auto"/>
              <w:bottom w:val="nil"/>
              <w:right w:val="nil"/>
            </w:tcBorders>
            <w:shd w:val="clear" w:color="auto" w:fill="auto"/>
            <w:vAlign w:val="center"/>
            <w:hideMark/>
          </w:tcPr>
          <w:p w14:paraId="2B420CDA" w14:textId="77777777" w:rsidR="00387142" w:rsidRPr="008B6A75" w:rsidRDefault="00387142" w:rsidP="00387142">
            <w:pPr>
              <w:rPr>
                <w:bCs/>
                <w:sz w:val="20"/>
                <w:szCs w:val="20"/>
              </w:rPr>
            </w:pPr>
            <w:r w:rsidRPr="008B6A75">
              <w:rPr>
                <w:bCs/>
                <w:sz w:val="20"/>
                <w:szCs w:val="20"/>
              </w:rPr>
              <w:t>Реализация мероприятий по установке и модернизации систем видеонаблюдения, автоматической пожарной сигнализации и пожарного мониторинга государственной программы Новосибирской области "Построение и развитие аппаратно-программного комплекса "Безопасный город" в Новосибирской области"</w:t>
            </w:r>
          </w:p>
        </w:tc>
        <w:tc>
          <w:tcPr>
            <w:tcW w:w="850" w:type="dxa"/>
            <w:tcBorders>
              <w:top w:val="single" w:sz="4" w:space="0" w:color="auto"/>
              <w:left w:val="single" w:sz="4" w:space="0" w:color="auto"/>
              <w:bottom w:val="nil"/>
              <w:right w:val="nil"/>
            </w:tcBorders>
            <w:shd w:val="clear" w:color="auto" w:fill="auto"/>
            <w:noWrap/>
            <w:vAlign w:val="center"/>
            <w:hideMark/>
          </w:tcPr>
          <w:p w14:paraId="1FF3E143" w14:textId="77777777" w:rsidR="00387142" w:rsidRPr="008B6A75" w:rsidRDefault="00387142" w:rsidP="00387142">
            <w:pPr>
              <w:jc w:val="center"/>
              <w:rPr>
                <w:bCs/>
                <w:sz w:val="20"/>
                <w:szCs w:val="20"/>
              </w:rPr>
            </w:pPr>
            <w:r w:rsidRPr="008B6A75">
              <w:rPr>
                <w:bCs/>
                <w:sz w:val="20"/>
                <w:szCs w:val="20"/>
              </w:rPr>
              <w:t>444</w:t>
            </w:r>
          </w:p>
        </w:tc>
        <w:tc>
          <w:tcPr>
            <w:tcW w:w="709" w:type="dxa"/>
            <w:tcBorders>
              <w:top w:val="single" w:sz="4" w:space="0" w:color="auto"/>
              <w:left w:val="single" w:sz="4" w:space="0" w:color="auto"/>
              <w:bottom w:val="nil"/>
              <w:right w:val="nil"/>
            </w:tcBorders>
            <w:shd w:val="clear" w:color="auto" w:fill="auto"/>
            <w:noWrap/>
            <w:vAlign w:val="center"/>
            <w:hideMark/>
          </w:tcPr>
          <w:p w14:paraId="6A15878D" w14:textId="77777777" w:rsidR="00387142" w:rsidRPr="008B6A75" w:rsidRDefault="00387142" w:rsidP="00387142">
            <w:pPr>
              <w:jc w:val="center"/>
              <w:rPr>
                <w:bCs/>
                <w:sz w:val="20"/>
                <w:szCs w:val="20"/>
              </w:rPr>
            </w:pPr>
            <w:r w:rsidRPr="008B6A75">
              <w:rPr>
                <w:bCs/>
                <w:sz w:val="20"/>
                <w:szCs w:val="20"/>
              </w:rPr>
              <w:t>07</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56FE1F9C" w14:textId="77777777" w:rsidR="00387142" w:rsidRPr="008B6A75" w:rsidRDefault="00387142" w:rsidP="00387142">
            <w:pPr>
              <w:jc w:val="center"/>
              <w:rPr>
                <w:bCs/>
                <w:sz w:val="20"/>
                <w:szCs w:val="20"/>
              </w:rPr>
            </w:pPr>
            <w:r w:rsidRPr="008B6A75">
              <w:rPr>
                <w:bCs/>
                <w:sz w:val="20"/>
                <w:szCs w:val="20"/>
              </w:rPr>
              <w:t>02</w:t>
            </w:r>
          </w:p>
        </w:tc>
        <w:tc>
          <w:tcPr>
            <w:tcW w:w="1411" w:type="dxa"/>
            <w:tcBorders>
              <w:top w:val="single" w:sz="4" w:space="0" w:color="auto"/>
              <w:left w:val="single" w:sz="4" w:space="0" w:color="auto"/>
              <w:bottom w:val="nil"/>
              <w:right w:val="nil"/>
            </w:tcBorders>
            <w:shd w:val="clear" w:color="auto" w:fill="auto"/>
            <w:noWrap/>
            <w:vAlign w:val="center"/>
            <w:hideMark/>
          </w:tcPr>
          <w:p w14:paraId="6E0F9962" w14:textId="77777777" w:rsidR="00387142" w:rsidRPr="008B6A75" w:rsidRDefault="00387142" w:rsidP="00387142">
            <w:pPr>
              <w:jc w:val="center"/>
              <w:rPr>
                <w:bCs/>
                <w:sz w:val="20"/>
                <w:szCs w:val="20"/>
              </w:rPr>
            </w:pPr>
            <w:r w:rsidRPr="008B6A75">
              <w:rPr>
                <w:bCs/>
                <w:sz w:val="20"/>
                <w:szCs w:val="20"/>
              </w:rPr>
              <w:t>07.1.00.02590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677C2C27" w14:textId="77777777" w:rsidR="00387142" w:rsidRPr="008B6A75" w:rsidRDefault="00387142" w:rsidP="00387142">
            <w:pPr>
              <w:jc w:val="center"/>
              <w:rPr>
                <w:bCs/>
                <w:sz w:val="20"/>
                <w:szCs w:val="20"/>
              </w:rPr>
            </w:pPr>
            <w:r w:rsidRPr="008B6A75">
              <w:rPr>
                <w:bCs/>
                <w:sz w:val="20"/>
                <w:szCs w:val="20"/>
              </w:rPr>
              <w:t> </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21B6AF35" w14:textId="77777777" w:rsidR="00387142" w:rsidRPr="008B6A75" w:rsidRDefault="00387142" w:rsidP="00387142">
            <w:pPr>
              <w:jc w:val="right"/>
              <w:rPr>
                <w:bCs/>
                <w:sz w:val="20"/>
                <w:szCs w:val="20"/>
              </w:rPr>
            </w:pPr>
            <w:r w:rsidRPr="008B6A75">
              <w:rPr>
                <w:bCs/>
                <w:sz w:val="20"/>
                <w:szCs w:val="20"/>
              </w:rPr>
              <w:t>936 472,48</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786C5253" w14:textId="77777777" w:rsidR="00387142" w:rsidRPr="008B6A75" w:rsidRDefault="00387142" w:rsidP="00387142">
            <w:pPr>
              <w:jc w:val="right"/>
              <w:rPr>
                <w:bCs/>
                <w:sz w:val="20"/>
                <w:szCs w:val="20"/>
              </w:rPr>
            </w:pPr>
            <w:r w:rsidRPr="008B6A75">
              <w:rPr>
                <w:bCs/>
                <w:sz w:val="20"/>
                <w:szCs w:val="20"/>
              </w:rPr>
              <w:t>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6E9F44B1" w14:textId="77777777" w:rsidR="00387142" w:rsidRPr="008B6A75" w:rsidRDefault="00387142" w:rsidP="00387142">
            <w:pPr>
              <w:jc w:val="right"/>
              <w:rPr>
                <w:bCs/>
                <w:sz w:val="20"/>
                <w:szCs w:val="20"/>
              </w:rPr>
            </w:pPr>
            <w:r w:rsidRPr="008B6A75">
              <w:rPr>
                <w:bCs/>
                <w:sz w:val="20"/>
                <w:szCs w:val="20"/>
              </w:rPr>
              <w:t>0,00</w:t>
            </w:r>
          </w:p>
        </w:tc>
        <w:tc>
          <w:tcPr>
            <w:tcW w:w="222" w:type="dxa"/>
            <w:vAlign w:val="center"/>
            <w:hideMark/>
          </w:tcPr>
          <w:p w14:paraId="6F1B34F5" w14:textId="77777777" w:rsidR="00387142" w:rsidRPr="008B6A75" w:rsidRDefault="00387142" w:rsidP="00387142">
            <w:pPr>
              <w:rPr>
                <w:sz w:val="20"/>
                <w:szCs w:val="20"/>
              </w:rPr>
            </w:pPr>
          </w:p>
        </w:tc>
      </w:tr>
      <w:tr w:rsidR="00387142" w:rsidRPr="008B6A75" w14:paraId="71A19C16" w14:textId="77777777" w:rsidTr="00387142">
        <w:trPr>
          <w:trHeight w:val="585"/>
        </w:trPr>
        <w:tc>
          <w:tcPr>
            <w:tcW w:w="3021" w:type="dxa"/>
            <w:tcBorders>
              <w:top w:val="single" w:sz="4" w:space="0" w:color="auto"/>
              <w:left w:val="single" w:sz="4" w:space="0" w:color="auto"/>
              <w:bottom w:val="nil"/>
              <w:right w:val="nil"/>
            </w:tcBorders>
            <w:shd w:val="clear" w:color="auto" w:fill="auto"/>
            <w:vAlign w:val="center"/>
            <w:hideMark/>
          </w:tcPr>
          <w:p w14:paraId="774DFD31" w14:textId="77777777" w:rsidR="00387142" w:rsidRPr="008B6A75" w:rsidRDefault="00387142" w:rsidP="00387142">
            <w:pPr>
              <w:rPr>
                <w:sz w:val="20"/>
                <w:szCs w:val="20"/>
              </w:rPr>
            </w:pPr>
            <w:r w:rsidRPr="008B6A75">
              <w:rPr>
                <w:sz w:val="20"/>
                <w:szCs w:val="20"/>
              </w:rPr>
              <w:t xml:space="preserve">Закупка товаров, работ и услуг для обеспечения государственных </w:t>
            </w:r>
            <w:r w:rsidRPr="008B6A75">
              <w:rPr>
                <w:sz w:val="20"/>
                <w:szCs w:val="20"/>
              </w:rPr>
              <w:lastRenderedPageBreak/>
              <w:t>(муниципальных) нужд</w:t>
            </w:r>
          </w:p>
        </w:tc>
        <w:tc>
          <w:tcPr>
            <w:tcW w:w="850" w:type="dxa"/>
            <w:tcBorders>
              <w:top w:val="single" w:sz="4" w:space="0" w:color="auto"/>
              <w:left w:val="single" w:sz="4" w:space="0" w:color="auto"/>
              <w:bottom w:val="nil"/>
              <w:right w:val="nil"/>
            </w:tcBorders>
            <w:shd w:val="clear" w:color="auto" w:fill="auto"/>
            <w:noWrap/>
            <w:vAlign w:val="center"/>
            <w:hideMark/>
          </w:tcPr>
          <w:p w14:paraId="05F742E2" w14:textId="77777777" w:rsidR="00387142" w:rsidRPr="008B6A75" w:rsidRDefault="00387142" w:rsidP="00387142">
            <w:pPr>
              <w:jc w:val="center"/>
              <w:rPr>
                <w:sz w:val="20"/>
                <w:szCs w:val="20"/>
              </w:rPr>
            </w:pPr>
            <w:r w:rsidRPr="008B6A75">
              <w:rPr>
                <w:sz w:val="20"/>
                <w:szCs w:val="20"/>
              </w:rPr>
              <w:lastRenderedPageBreak/>
              <w:t>444</w:t>
            </w:r>
          </w:p>
        </w:tc>
        <w:tc>
          <w:tcPr>
            <w:tcW w:w="709" w:type="dxa"/>
            <w:tcBorders>
              <w:top w:val="single" w:sz="4" w:space="0" w:color="auto"/>
              <w:left w:val="single" w:sz="4" w:space="0" w:color="auto"/>
              <w:bottom w:val="nil"/>
              <w:right w:val="nil"/>
            </w:tcBorders>
            <w:shd w:val="clear" w:color="auto" w:fill="auto"/>
            <w:noWrap/>
            <w:vAlign w:val="center"/>
            <w:hideMark/>
          </w:tcPr>
          <w:p w14:paraId="79CD88E0" w14:textId="77777777" w:rsidR="00387142" w:rsidRPr="008B6A75" w:rsidRDefault="00387142" w:rsidP="00387142">
            <w:pPr>
              <w:jc w:val="center"/>
              <w:rPr>
                <w:sz w:val="20"/>
                <w:szCs w:val="20"/>
              </w:rPr>
            </w:pPr>
            <w:r w:rsidRPr="008B6A75">
              <w:rPr>
                <w:sz w:val="20"/>
                <w:szCs w:val="20"/>
              </w:rPr>
              <w:t>07</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5D090317" w14:textId="77777777" w:rsidR="00387142" w:rsidRPr="008B6A75" w:rsidRDefault="00387142" w:rsidP="00387142">
            <w:pPr>
              <w:jc w:val="center"/>
              <w:rPr>
                <w:sz w:val="20"/>
                <w:szCs w:val="20"/>
              </w:rPr>
            </w:pPr>
            <w:r w:rsidRPr="008B6A75">
              <w:rPr>
                <w:sz w:val="20"/>
                <w:szCs w:val="20"/>
              </w:rPr>
              <w:t>02</w:t>
            </w:r>
          </w:p>
        </w:tc>
        <w:tc>
          <w:tcPr>
            <w:tcW w:w="1411" w:type="dxa"/>
            <w:tcBorders>
              <w:top w:val="single" w:sz="4" w:space="0" w:color="auto"/>
              <w:left w:val="single" w:sz="4" w:space="0" w:color="auto"/>
              <w:bottom w:val="nil"/>
              <w:right w:val="nil"/>
            </w:tcBorders>
            <w:shd w:val="clear" w:color="auto" w:fill="auto"/>
            <w:noWrap/>
            <w:vAlign w:val="center"/>
            <w:hideMark/>
          </w:tcPr>
          <w:p w14:paraId="3DC8842A" w14:textId="77777777" w:rsidR="00387142" w:rsidRPr="008B6A75" w:rsidRDefault="00387142" w:rsidP="00387142">
            <w:pPr>
              <w:jc w:val="center"/>
              <w:rPr>
                <w:sz w:val="20"/>
                <w:szCs w:val="20"/>
              </w:rPr>
            </w:pPr>
            <w:r w:rsidRPr="008B6A75">
              <w:rPr>
                <w:sz w:val="20"/>
                <w:szCs w:val="20"/>
              </w:rPr>
              <w:t>07.1.00.02590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50830DEF" w14:textId="77777777" w:rsidR="00387142" w:rsidRPr="008B6A75" w:rsidRDefault="00387142" w:rsidP="00387142">
            <w:pPr>
              <w:jc w:val="center"/>
              <w:rPr>
                <w:sz w:val="20"/>
                <w:szCs w:val="20"/>
              </w:rPr>
            </w:pPr>
            <w:r w:rsidRPr="008B6A75">
              <w:rPr>
                <w:sz w:val="20"/>
                <w:szCs w:val="20"/>
              </w:rPr>
              <w:t>200</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4EBA5906" w14:textId="77777777" w:rsidR="00387142" w:rsidRPr="008B6A75" w:rsidRDefault="00387142" w:rsidP="00387142">
            <w:pPr>
              <w:jc w:val="right"/>
              <w:rPr>
                <w:sz w:val="20"/>
                <w:szCs w:val="20"/>
              </w:rPr>
            </w:pPr>
            <w:r w:rsidRPr="008B6A75">
              <w:rPr>
                <w:sz w:val="20"/>
                <w:szCs w:val="20"/>
              </w:rPr>
              <w:t>555 307,36</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5DF614CB" w14:textId="77777777" w:rsidR="00387142" w:rsidRPr="008B6A75" w:rsidRDefault="00387142" w:rsidP="00387142">
            <w:pPr>
              <w:jc w:val="right"/>
              <w:rPr>
                <w:sz w:val="20"/>
                <w:szCs w:val="20"/>
              </w:rPr>
            </w:pPr>
            <w:r w:rsidRPr="008B6A75">
              <w:rPr>
                <w:sz w:val="20"/>
                <w:szCs w:val="20"/>
              </w:rPr>
              <w:t>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448892E0" w14:textId="77777777" w:rsidR="00387142" w:rsidRPr="008B6A75" w:rsidRDefault="00387142" w:rsidP="00387142">
            <w:pPr>
              <w:jc w:val="right"/>
              <w:rPr>
                <w:sz w:val="20"/>
                <w:szCs w:val="20"/>
              </w:rPr>
            </w:pPr>
            <w:r w:rsidRPr="008B6A75">
              <w:rPr>
                <w:sz w:val="20"/>
                <w:szCs w:val="20"/>
              </w:rPr>
              <w:t>0,00</w:t>
            </w:r>
          </w:p>
        </w:tc>
        <w:tc>
          <w:tcPr>
            <w:tcW w:w="222" w:type="dxa"/>
            <w:vAlign w:val="center"/>
            <w:hideMark/>
          </w:tcPr>
          <w:p w14:paraId="46778121" w14:textId="77777777" w:rsidR="00387142" w:rsidRPr="008B6A75" w:rsidRDefault="00387142" w:rsidP="00387142">
            <w:pPr>
              <w:rPr>
                <w:sz w:val="20"/>
                <w:szCs w:val="20"/>
              </w:rPr>
            </w:pPr>
          </w:p>
        </w:tc>
      </w:tr>
      <w:tr w:rsidR="00387142" w:rsidRPr="008B6A75" w14:paraId="0118360F" w14:textId="77777777" w:rsidTr="00387142">
        <w:trPr>
          <w:trHeight w:val="870"/>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5FEDF4AC" w14:textId="77777777" w:rsidR="00387142" w:rsidRPr="008B6A75" w:rsidRDefault="00387142" w:rsidP="00387142">
            <w:pPr>
              <w:rPr>
                <w:sz w:val="20"/>
                <w:szCs w:val="20"/>
              </w:rPr>
            </w:pPr>
            <w:r w:rsidRPr="008B6A75">
              <w:rPr>
                <w:sz w:val="20"/>
                <w:szCs w:val="20"/>
              </w:rPr>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46D04DEA" w14:textId="77777777" w:rsidR="00387142" w:rsidRPr="008B6A75" w:rsidRDefault="00387142" w:rsidP="00387142">
            <w:pPr>
              <w:jc w:val="center"/>
              <w:rPr>
                <w:sz w:val="20"/>
                <w:szCs w:val="20"/>
              </w:rPr>
            </w:pPr>
            <w:r w:rsidRPr="008B6A75">
              <w:rPr>
                <w:sz w:val="20"/>
                <w:szCs w:val="20"/>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4049E545" w14:textId="77777777" w:rsidR="00387142" w:rsidRPr="008B6A75" w:rsidRDefault="00387142" w:rsidP="00387142">
            <w:pPr>
              <w:jc w:val="center"/>
              <w:rPr>
                <w:sz w:val="20"/>
                <w:szCs w:val="20"/>
              </w:rPr>
            </w:pPr>
            <w:r w:rsidRPr="008B6A75">
              <w:rPr>
                <w:sz w:val="20"/>
                <w:szCs w:val="20"/>
              </w:rPr>
              <w:t>07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ED6B0B" w14:textId="77777777" w:rsidR="00387142" w:rsidRPr="008B6A75" w:rsidRDefault="00387142" w:rsidP="00387142">
            <w:pPr>
              <w:jc w:val="center"/>
              <w:rPr>
                <w:sz w:val="20"/>
                <w:szCs w:val="20"/>
              </w:rPr>
            </w:pPr>
            <w:r w:rsidRPr="008B6A75">
              <w:rPr>
                <w:sz w:val="20"/>
                <w:szCs w:val="20"/>
              </w:rPr>
              <w:t>02</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4830832D" w14:textId="77777777" w:rsidR="00387142" w:rsidRPr="008B6A75" w:rsidRDefault="00387142" w:rsidP="00387142">
            <w:pPr>
              <w:jc w:val="center"/>
              <w:rPr>
                <w:sz w:val="20"/>
                <w:szCs w:val="20"/>
              </w:rPr>
            </w:pPr>
            <w:r w:rsidRPr="008B6A75">
              <w:rPr>
                <w:sz w:val="20"/>
                <w:szCs w:val="20"/>
              </w:rPr>
              <w:t>07.1.00.02590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252AB2" w14:textId="77777777" w:rsidR="00387142" w:rsidRPr="008B6A75" w:rsidRDefault="00387142" w:rsidP="00387142">
            <w:pPr>
              <w:jc w:val="center"/>
              <w:rPr>
                <w:sz w:val="20"/>
                <w:szCs w:val="20"/>
              </w:rPr>
            </w:pPr>
            <w:r w:rsidRPr="008B6A75">
              <w:rPr>
                <w:sz w:val="20"/>
                <w:szCs w:val="20"/>
              </w:rPr>
              <w:t>240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E39DDF" w14:textId="77777777" w:rsidR="00387142" w:rsidRPr="008B6A75" w:rsidRDefault="00387142" w:rsidP="00387142">
            <w:pPr>
              <w:jc w:val="right"/>
              <w:rPr>
                <w:sz w:val="20"/>
                <w:szCs w:val="20"/>
              </w:rPr>
            </w:pPr>
            <w:r w:rsidRPr="008B6A75">
              <w:rPr>
                <w:sz w:val="20"/>
                <w:szCs w:val="20"/>
              </w:rPr>
              <w:t>555 307,36</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7B2C381E" w14:textId="77777777" w:rsidR="00387142" w:rsidRPr="008B6A75" w:rsidRDefault="00387142" w:rsidP="00387142">
            <w:pPr>
              <w:jc w:val="right"/>
              <w:rPr>
                <w:sz w:val="20"/>
                <w:szCs w:val="20"/>
              </w:rPr>
            </w:pPr>
            <w:r w:rsidRPr="008B6A75">
              <w:rPr>
                <w:sz w:val="20"/>
                <w:szCs w:val="20"/>
              </w:rPr>
              <w:t>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71DB5F" w14:textId="77777777" w:rsidR="00387142" w:rsidRPr="008B6A75" w:rsidRDefault="00387142" w:rsidP="00387142">
            <w:pPr>
              <w:jc w:val="right"/>
              <w:rPr>
                <w:sz w:val="20"/>
                <w:szCs w:val="20"/>
              </w:rPr>
            </w:pPr>
            <w:r w:rsidRPr="008B6A75">
              <w:rPr>
                <w:sz w:val="20"/>
                <w:szCs w:val="20"/>
              </w:rPr>
              <w:t>0,00</w:t>
            </w:r>
          </w:p>
        </w:tc>
        <w:tc>
          <w:tcPr>
            <w:tcW w:w="222" w:type="dxa"/>
            <w:vAlign w:val="center"/>
            <w:hideMark/>
          </w:tcPr>
          <w:p w14:paraId="2CF9AABF" w14:textId="77777777" w:rsidR="00387142" w:rsidRPr="008B6A75" w:rsidRDefault="00387142" w:rsidP="00387142">
            <w:pPr>
              <w:rPr>
                <w:sz w:val="20"/>
                <w:szCs w:val="20"/>
              </w:rPr>
            </w:pPr>
          </w:p>
        </w:tc>
      </w:tr>
      <w:tr w:rsidR="00387142" w:rsidRPr="008B6A75" w14:paraId="135E4F3B" w14:textId="77777777" w:rsidTr="00387142">
        <w:trPr>
          <w:trHeight w:val="870"/>
        </w:trPr>
        <w:tc>
          <w:tcPr>
            <w:tcW w:w="3021" w:type="dxa"/>
            <w:tcBorders>
              <w:top w:val="nil"/>
              <w:left w:val="single" w:sz="4" w:space="0" w:color="auto"/>
              <w:bottom w:val="nil"/>
              <w:right w:val="nil"/>
            </w:tcBorders>
            <w:shd w:val="clear" w:color="auto" w:fill="auto"/>
            <w:vAlign w:val="center"/>
            <w:hideMark/>
          </w:tcPr>
          <w:p w14:paraId="18DE9AAB" w14:textId="77777777" w:rsidR="00387142" w:rsidRPr="008B6A75" w:rsidRDefault="00387142" w:rsidP="00387142">
            <w:pPr>
              <w:rPr>
                <w:sz w:val="20"/>
                <w:szCs w:val="20"/>
              </w:rPr>
            </w:pPr>
            <w:r w:rsidRPr="008B6A75">
              <w:rPr>
                <w:sz w:val="20"/>
                <w:szCs w:val="20"/>
              </w:rPr>
              <w:t>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right w:val="nil"/>
            </w:tcBorders>
            <w:shd w:val="clear" w:color="auto" w:fill="auto"/>
            <w:noWrap/>
            <w:vAlign w:val="center"/>
            <w:hideMark/>
          </w:tcPr>
          <w:p w14:paraId="2EE054F6" w14:textId="77777777" w:rsidR="00387142" w:rsidRPr="008B6A75" w:rsidRDefault="00387142" w:rsidP="00387142">
            <w:pPr>
              <w:jc w:val="center"/>
              <w:rPr>
                <w:sz w:val="20"/>
                <w:szCs w:val="20"/>
              </w:rPr>
            </w:pPr>
            <w:r w:rsidRPr="008B6A75">
              <w:rPr>
                <w:sz w:val="20"/>
                <w:szCs w:val="20"/>
              </w:rPr>
              <w:t>444</w:t>
            </w:r>
          </w:p>
        </w:tc>
        <w:tc>
          <w:tcPr>
            <w:tcW w:w="709" w:type="dxa"/>
            <w:tcBorders>
              <w:top w:val="nil"/>
              <w:left w:val="single" w:sz="4" w:space="0" w:color="auto"/>
              <w:bottom w:val="nil"/>
              <w:right w:val="nil"/>
            </w:tcBorders>
            <w:shd w:val="clear" w:color="auto" w:fill="auto"/>
            <w:noWrap/>
            <w:vAlign w:val="center"/>
            <w:hideMark/>
          </w:tcPr>
          <w:p w14:paraId="6F28213E" w14:textId="77777777" w:rsidR="00387142" w:rsidRPr="008B6A75" w:rsidRDefault="00387142" w:rsidP="00387142">
            <w:pPr>
              <w:jc w:val="center"/>
              <w:rPr>
                <w:sz w:val="20"/>
                <w:szCs w:val="20"/>
              </w:rPr>
            </w:pPr>
            <w:r w:rsidRPr="008B6A75">
              <w:rPr>
                <w:sz w:val="20"/>
                <w:szCs w:val="20"/>
              </w:rPr>
              <w:t>07</w:t>
            </w:r>
          </w:p>
        </w:tc>
        <w:tc>
          <w:tcPr>
            <w:tcW w:w="709" w:type="dxa"/>
            <w:tcBorders>
              <w:top w:val="nil"/>
              <w:left w:val="single" w:sz="4" w:space="0" w:color="auto"/>
              <w:bottom w:val="nil"/>
              <w:right w:val="single" w:sz="4" w:space="0" w:color="auto"/>
            </w:tcBorders>
            <w:shd w:val="clear" w:color="auto" w:fill="auto"/>
            <w:noWrap/>
            <w:vAlign w:val="center"/>
            <w:hideMark/>
          </w:tcPr>
          <w:p w14:paraId="71902EBC" w14:textId="77777777" w:rsidR="00387142" w:rsidRPr="008B6A75" w:rsidRDefault="00387142" w:rsidP="00387142">
            <w:pPr>
              <w:jc w:val="center"/>
              <w:rPr>
                <w:sz w:val="20"/>
                <w:szCs w:val="20"/>
              </w:rPr>
            </w:pPr>
            <w:r w:rsidRPr="008B6A75">
              <w:rPr>
                <w:sz w:val="20"/>
                <w:szCs w:val="20"/>
              </w:rPr>
              <w:t>02</w:t>
            </w:r>
          </w:p>
        </w:tc>
        <w:tc>
          <w:tcPr>
            <w:tcW w:w="1411" w:type="dxa"/>
            <w:tcBorders>
              <w:top w:val="nil"/>
              <w:left w:val="single" w:sz="4" w:space="0" w:color="auto"/>
              <w:bottom w:val="nil"/>
              <w:right w:val="nil"/>
            </w:tcBorders>
            <w:shd w:val="clear" w:color="auto" w:fill="auto"/>
            <w:noWrap/>
            <w:vAlign w:val="center"/>
            <w:hideMark/>
          </w:tcPr>
          <w:p w14:paraId="435DD769" w14:textId="77777777" w:rsidR="00387142" w:rsidRPr="008B6A75" w:rsidRDefault="00387142" w:rsidP="00387142">
            <w:pPr>
              <w:jc w:val="center"/>
              <w:rPr>
                <w:sz w:val="20"/>
                <w:szCs w:val="20"/>
              </w:rPr>
            </w:pPr>
            <w:r w:rsidRPr="008B6A75">
              <w:rPr>
                <w:sz w:val="20"/>
                <w:szCs w:val="20"/>
              </w:rPr>
              <w:t>07.1.00.02590</w:t>
            </w:r>
          </w:p>
        </w:tc>
        <w:tc>
          <w:tcPr>
            <w:tcW w:w="955" w:type="dxa"/>
            <w:tcBorders>
              <w:top w:val="nil"/>
              <w:left w:val="single" w:sz="4" w:space="0" w:color="auto"/>
              <w:bottom w:val="nil"/>
              <w:right w:val="single" w:sz="4" w:space="0" w:color="auto"/>
            </w:tcBorders>
            <w:shd w:val="clear" w:color="auto" w:fill="auto"/>
            <w:noWrap/>
            <w:vAlign w:val="center"/>
            <w:hideMark/>
          </w:tcPr>
          <w:p w14:paraId="021DAD64" w14:textId="77777777" w:rsidR="00387142" w:rsidRPr="008B6A75" w:rsidRDefault="00387142" w:rsidP="00387142">
            <w:pPr>
              <w:jc w:val="center"/>
              <w:rPr>
                <w:sz w:val="20"/>
                <w:szCs w:val="20"/>
              </w:rPr>
            </w:pPr>
            <w:r w:rsidRPr="008B6A75">
              <w:rPr>
                <w:sz w:val="20"/>
                <w:szCs w:val="20"/>
              </w:rPr>
              <w:t>600</w:t>
            </w:r>
          </w:p>
        </w:tc>
        <w:tc>
          <w:tcPr>
            <w:tcW w:w="992" w:type="dxa"/>
            <w:tcBorders>
              <w:top w:val="nil"/>
              <w:left w:val="single" w:sz="4" w:space="0" w:color="auto"/>
              <w:bottom w:val="nil"/>
              <w:right w:val="single" w:sz="4" w:space="0" w:color="auto"/>
            </w:tcBorders>
            <w:shd w:val="clear" w:color="auto" w:fill="auto"/>
            <w:noWrap/>
            <w:vAlign w:val="center"/>
            <w:hideMark/>
          </w:tcPr>
          <w:p w14:paraId="47918B6D" w14:textId="77777777" w:rsidR="00387142" w:rsidRPr="008B6A75" w:rsidRDefault="00387142" w:rsidP="00387142">
            <w:pPr>
              <w:jc w:val="right"/>
              <w:rPr>
                <w:sz w:val="20"/>
                <w:szCs w:val="20"/>
              </w:rPr>
            </w:pPr>
            <w:r w:rsidRPr="008B6A75">
              <w:rPr>
                <w:sz w:val="20"/>
                <w:szCs w:val="20"/>
              </w:rPr>
              <w:t>381 165,12</w:t>
            </w:r>
          </w:p>
        </w:tc>
        <w:tc>
          <w:tcPr>
            <w:tcW w:w="992" w:type="dxa"/>
            <w:gridSpan w:val="2"/>
            <w:tcBorders>
              <w:top w:val="nil"/>
              <w:left w:val="single" w:sz="4" w:space="0" w:color="auto"/>
              <w:bottom w:val="nil"/>
              <w:right w:val="nil"/>
            </w:tcBorders>
            <w:shd w:val="clear" w:color="auto" w:fill="auto"/>
            <w:noWrap/>
            <w:vAlign w:val="center"/>
            <w:hideMark/>
          </w:tcPr>
          <w:p w14:paraId="359EB3FC" w14:textId="77777777" w:rsidR="00387142" w:rsidRPr="008B6A75" w:rsidRDefault="00387142" w:rsidP="00387142">
            <w:pPr>
              <w:jc w:val="right"/>
              <w:rPr>
                <w:sz w:val="20"/>
                <w:szCs w:val="20"/>
              </w:rPr>
            </w:pPr>
            <w:r w:rsidRPr="008B6A75">
              <w:rPr>
                <w:sz w:val="20"/>
                <w:szCs w:val="20"/>
              </w:rPr>
              <w:t>0,00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246B9DCB" w14:textId="77777777" w:rsidR="00387142" w:rsidRPr="008B6A75" w:rsidRDefault="00387142" w:rsidP="00387142">
            <w:pPr>
              <w:jc w:val="right"/>
              <w:rPr>
                <w:sz w:val="20"/>
                <w:szCs w:val="20"/>
              </w:rPr>
            </w:pPr>
            <w:r w:rsidRPr="008B6A75">
              <w:rPr>
                <w:sz w:val="20"/>
                <w:szCs w:val="20"/>
              </w:rPr>
              <w:t>0,00</w:t>
            </w:r>
          </w:p>
        </w:tc>
        <w:tc>
          <w:tcPr>
            <w:tcW w:w="222" w:type="dxa"/>
            <w:vAlign w:val="center"/>
            <w:hideMark/>
          </w:tcPr>
          <w:p w14:paraId="4F914704" w14:textId="77777777" w:rsidR="00387142" w:rsidRPr="008B6A75" w:rsidRDefault="00387142" w:rsidP="00387142">
            <w:pPr>
              <w:rPr>
                <w:sz w:val="20"/>
                <w:szCs w:val="20"/>
              </w:rPr>
            </w:pPr>
          </w:p>
        </w:tc>
      </w:tr>
      <w:tr w:rsidR="00387142" w:rsidRPr="008B6A75" w14:paraId="09740931" w14:textId="77777777" w:rsidTr="00387142">
        <w:trPr>
          <w:trHeight w:val="300"/>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241237B1" w14:textId="77777777" w:rsidR="00387142" w:rsidRPr="008B6A75" w:rsidRDefault="00387142" w:rsidP="00387142">
            <w:pPr>
              <w:rPr>
                <w:sz w:val="20"/>
                <w:szCs w:val="20"/>
              </w:rPr>
            </w:pPr>
            <w:r w:rsidRPr="008B6A75">
              <w:rPr>
                <w:sz w:val="20"/>
                <w:szCs w:val="20"/>
              </w:rPr>
              <w:t>Субсидии бюджетным учреждениям</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69EF500C" w14:textId="77777777" w:rsidR="00387142" w:rsidRPr="008B6A75" w:rsidRDefault="00387142" w:rsidP="00387142">
            <w:pPr>
              <w:jc w:val="center"/>
              <w:rPr>
                <w:sz w:val="20"/>
                <w:szCs w:val="20"/>
              </w:rPr>
            </w:pPr>
            <w:r w:rsidRPr="008B6A75">
              <w:rPr>
                <w:sz w:val="20"/>
                <w:szCs w:val="20"/>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1CDED8E5" w14:textId="77777777" w:rsidR="00387142" w:rsidRPr="008B6A75" w:rsidRDefault="00387142" w:rsidP="00387142">
            <w:pPr>
              <w:jc w:val="center"/>
              <w:rPr>
                <w:sz w:val="20"/>
                <w:szCs w:val="20"/>
              </w:rPr>
            </w:pPr>
            <w:r w:rsidRPr="008B6A75">
              <w:rPr>
                <w:sz w:val="20"/>
                <w:szCs w:val="20"/>
              </w:rPr>
              <w:t>07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337853" w14:textId="77777777" w:rsidR="00387142" w:rsidRPr="008B6A75" w:rsidRDefault="00387142" w:rsidP="00387142">
            <w:pPr>
              <w:jc w:val="center"/>
              <w:rPr>
                <w:sz w:val="20"/>
                <w:szCs w:val="20"/>
              </w:rPr>
            </w:pPr>
            <w:r w:rsidRPr="008B6A75">
              <w:rPr>
                <w:sz w:val="20"/>
                <w:szCs w:val="20"/>
              </w:rPr>
              <w:t>02</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4D9BC54B" w14:textId="77777777" w:rsidR="00387142" w:rsidRPr="008B6A75" w:rsidRDefault="00387142" w:rsidP="00387142">
            <w:pPr>
              <w:jc w:val="center"/>
              <w:rPr>
                <w:sz w:val="20"/>
                <w:szCs w:val="20"/>
              </w:rPr>
            </w:pPr>
            <w:r w:rsidRPr="008B6A75">
              <w:rPr>
                <w:sz w:val="20"/>
                <w:szCs w:val="20"/>
              </w:rPr>
              <w:t>07.1.00.02590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ECB07A" w14:textId="77777777" w:rsidR="00387142" w:rsidRPr="008B6A75" w:rsidRDefault="00387142" w:rsidP="00387142">
            <w:pPr>
              <w:jc w:val="center"/>
              <w:rPr>
                <w:sz w:val="20"/>
                <w:szCs w:val="20"/>
              </w:rPr>
            </w:pPr>
            <w:r w:rsidRPr="008B6A75">
              <w:rPr>
                <w:sz w:val="20"/>
                <w:szCs w:val="20"/>
              </w:rPr>
              <w:t>610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3B172D" w14:textId="77777777" w:rsidR="00387142" w:rsidRPr="008B6A75" w:rsidRDefault="00387142" w:rsidP="00387142">
            <w:pPr>
              <w:jc w:val="right"/>
              <w:rPr>
                <w:sz w:val="20"/>
                <w:szCs w:val="20"/>
              </w:rPr>
            </w:pPr>
            <w:r w:rsidRPr="008B6A75">
              <w:rPr>
                <w:sz w:val="20"/>
                <w:szCs w:val="20"/>
              </w:rPr>
              <w:t>381 165,12</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5FF5180D" w14:textId="77777777" w:rsidR="00387142" w:rsidRPr="008B6A75" w:rsidRDefault="00387142" w:rsidP="00387142">
            <w:pPr>
              <w:jc w:val="right"/>
              <w:rPr>
                <w:sz w:val="20"/>
                <w:szCs w:val="20"/>
              </w:rPr>
            </w:pPr>
            <w:r w:rsidRPr="008B6A75">
              <w:rPr>
                <w:sz w:val="20"/>
                <w:szCs w:val="20"/>
              </w:rPr>
              <w:t>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A88A8E" w14:textId="77777777" w:rsidR="00387142" w:rsidRPr="008B6A75" w:rsidRDefault="00387142" w:rsidP="00387142">
            <w:pPr>
              <w:jc w:val="right"/>
              <w:rPr>
                <w:sz w:val="20"/>
                <w:szCs w:val="20"/>
              </w:rPr>
            </w:pPr>
            <w:r w:rsidRPr="008B6A75">
              <w:rPr>
                <w:sz w:val="20"/>
                <w:szCs w:val="20"/>
              </w:rPr>
              <w:t>0,00</w:t>
            </w:r>
          </w:p>
        </w:tc>
        <w:tc>
          <w:tcPr>
            <w:tcW w:w="222" w:type="dxa"/>
            <w:vAlign w:val="center"/>
            <w:hideMark/>
          </w:tcPr>
          <w:p w14:paraId="54D84FA3" w14:textId="77777777" w:rsidR="00387142" w:rsidRPr="008B6A75" w:rsidRDefault="00387142" w:rsidP="00387142">
            <w:pPr>
              <w:rPr>
                <w:sz w:val="20"/>
                <w:szCs w:val="20"/>
              </w:rPr>
            </w:pPr>
          </w:p>
        </w:tc>
      </w:tr>
      <w:tr w:rsidR="00387142" w:rsidRPr="008B6A75" w14:paraId="2B42880D" w14:textId="77777777" w:rsidTr="00387142">
        <w:trPr>
          <w:trHeight w:val="870"/>
        </w:trPr>
        <w:tc>
          <w:tcPr>
            <w:tcW w:w="3021" w:type="dxa"/>
            <w:tcBorders>
              <w:top w:val="nil"/>
              <w:left w:val="single" w:sz="4" w:space="0" w:color="auto"/>
              <w:bottom w:val="nil"/>
              <w:right w:val="nil"/>
            </w:tcBorders>
            <w:shd w:val="clear" w:color="auto" w:fill="auto"/>
            <w:vAlign w:val="center"/>
            <w:hideMark/>
          </w:tcPr>
          <w:p w14:paraId="439162A2" w14:textId="77777777" w:rsidR="00387142" w:rsidRPr="008B6A75" w:rsidRDefault="00387142" w:rsidP="00387142">
            <w:pPr>
              <w:rPr>
                <w:bCs/>
                <w:sz w:val="20"/>
                <w:szCs w:val="20"/>
              </w:rPr>
            </w:pPr>
            <w:r w:rsidRPr="008B6A75">
              <w:rPr>
                <w:bCs/>
                <w:sz w:val="20"/>
                <w:szCs w:val="20"/>
              </w:rPr>
              <w:t>Реализация мероприятий на социальную поддержку отдельных категорий детей, обучающихся в образовательных организациях</w:t>
            </w:r>
          </w:p>
        </w:tc>
        <w:tc>
          <w:tcPr>
            <w:tcW w:w="850" w:type="dxa"/>
            <w:tcBorders>
              <w:top w:val="nil"/>
              <w:left w:val="single" w:sz="4" w:space="0" w:color="auto"/>
              <w:bottom w:val="nil"/>
              <w:right w:val="nil"/>
            </w:tcBorders>
            <w:shd w:val="clear" w:color="auto" w:fill="auto"/>
            <w:noWrap/>
            <w:vAlign w:val="center"/>
            <w:hideMark/>
          </w:tcPr>
          <w:p w14:paraId="3B81C5C8" w14:textId="77777777" w:rsidR="00387142" w:rsidRPr="008B6A75" w:rsidRDefault="00387142" w:rsidP="00387142">
            <w:pPr>
              <w:jc w:val="center"/>
              <w:rPr>
                <w:bCs/>
                <w:sz w:val="20"/>
                <w:szCs w:val="20"/>
              </w:rPr>
            </w:pPr>
            <w:r w:rsidRPr="008B6A75">
              <w:rPr>
                <w:bCs/>
                <w:sz w:val="20"/>
                <w:szCs w:val="20"/>
              </w:rPr>
              <w:t>444</w:t>
            </w:r>
          </w:p>
        </w:tc>
        <w:tc>
          <w:tcPr>
            <w:tcW w:w="709" w:type="dxa"/>
            <w:tcBorders>
              <w:top w:val="nil"/>
              <w:left w:val="single" w:sz="4" w:space="0" w:color="auto"/>
              <w:bottom w:val="nil"/>
              <w:right w:val="nil"/>
            </w:tcBorders>
            <w:shd w:val="clear" w:color="auto" w:fill="auto"/>
            <w:noWrap/>
            <w:vAlign w:val="center"/>
            <w:hideMark/>
          </w:tcPr>
          <w:p w14:paraId="7C8D56D4" w14:textId="77777777" w:rsidR="00387142" w:rsidRPr="008B6A75" w:rsidRDefault="00387142" w:rsidP="00387142">
            <w:pPr>
              <w:jc w:val="center"/>
              <w:rPr>
                <w:bCs/>
                <w:sz w:val="20"/>
                <w:szCs w:val="20"/>
              </w:rPr>
            </w:pPr>
            <w:r w:rsidRPr="008B6A75">
              <w:rPr>
                <w:bCs/>
                <w:sz w:val="20"/>
                <w:szCs w:val="20"/>
              </w:rPr>
              <w:t>07</w:t>
            </w:r>
          </w:p>
        </w:tc>
        <w:tc>
          <w:tcPr>
            <w:tcW w:w="709" w:type="dxa"/>
            <w:tcBorders>
              <w:top w:val="nil"/>
              <w:left w:val="single" w:sz="4" w:space="0" w:color="auto"/>
              <w:bottom w:val="nil"/>
              <w:right w:val="single" w:sz="4" w:space="0" w:color="auto"/>
            </w:tcBorders>
            <w:shd w:val="clear" w:color="auto" w:fill="auto"/>
            <w:noWrap/>
            <w:vAlign w:val="center"/>
            <w:hideMark/>
          </w:tcPr>
          <w:p w14:paraId="554906AA" w14:textId="77777777" w:rsidR="00387142" w:rsidRPr="008B6A75" w:rsidRDefault="00387142" w:rsidP="00387142">
            <w:pPr>
              <w:jc w:val="center"/>
              <w:rPr>
                <w:bCs/>
                <w:sz w:val="20"/>
                <w:szCs w:val="20"/>
              </w:rPr>
            </w:pPr>
            <w:r w:rsidRPr="008B6A75">
              <w:rPr>
                <w:bCs/>
                <w:sz w:val="20"/>
                <w:szCs w:val="20"/>
              </w:rPr>
              <w:t>02</w:t>
            </w:r>
          </w:p>
        </w:tc>
        <w:tc>
          <w:tcPr>
            <w:tcW w:w="1411" w:type="dxa"/>
            <w:tcBorders>
              <w:top w:val="nil"/>
              <w:left w:val="single" w:sz="4" w:space="0" w:color="auto"/>
              <w:bottom w:val="nil"/>
              <w:right w:val="nil"/>
            </w:tcBorders>
            <w:shd w:val="clear" w:color="auto" w:fill="auto"/>
            <w:noWrap/>
            <w:vAlign w:val="center"/>
            <w:hideMark/>
          </w:tcPr>
          <w:p w14:paraId="6D918724" w14:textId="77777777" w:rsidR="00387142" w:rsidRPr="008B6A75" w:rsidRDefault="00387142" w:rsidP="00387142">
            <w:pPr>
              <w:jc w:val="center"/>
              <w:rPr>
                <w:bCs/>
                <w:sz w:val="20"/>
                <w:szCs w:val="20"/>
              </w:rPr>
            </w:pPr>
            <w:r w:rsidRPr="008B6A75">
              <w:rPr>
                <w:bCs/>
                <w:sz w:val="20"/>
                <w:szCs w:val="20"/>
              </w:rPr>
              <w:t>07.1.00.03349</w:t>
            </w:r>
          </w:p>
        </w:tc>
        <w:tc>
          <w:tcPr>
            <w:tcW w:w="955" w:type="dxa"/>
            <w:tcBorders>
              <w:top w:val="nil"/>
              <w:left w:val="single" w:sz="4" w:space="0" w:color="auto"/>
              <w:bottom w:val="nil"/>
              <w:right w:val="single" w:sz="4" w:space="0" w:color="auto"/>
            </w:tcBorders>
            <w:shd w:val="clear" w:color="auto" w:fill="auto"/>
            <w:noWrap/>
            <w:vAlign w:val="center"/>
            <w:hideMark/>
          </w:tcPr>
          <w:p w14:paraId="02FA52B0"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nil"/>
              <w:right w:val="single" w:sz="4" w:space="0" w:color="auto"/>
            </w:tcBorders>
            <w:shd w:val="clear" w:color="auto" w:fill="auto"/>
            <w:noWrap/>
            <w:vAlign w:val="center"/>
            <w:hideMark/>
          </w:tcPr>
          <w:p w14:paraId="5842DEE9" w14:textId="77777777" w:rsidR="00387142" w:rsidRPr="008B6A75" w:rsidRDefault="00387142" w:rsidP="00387142">
            <w:pPr>
              <w:jc w:val="right"/>
              <w:rPr>
                <w:bCs/>
                <w:sz w:val="20"/>
                <w:szCs w:val="20"/>
              </w:rPr>
            </w:pPr>
            <w:r w:rsidRPr="008B6A75">
              <w:rPr>
                <w:bCs/>
                <w:sz w:val="20"/>
                <w:szCs w:val="20"/>
              </w:rPr>
              <w:t>23 216 620,92</w:t>
            </w:r>
          </w:p>
        </w:tc>
        <w:tc>
          <w:tcPr>
            <w:tcW w:w="992" w:type="dxa"/>
            <w:gridSpan w:val="2"/>
            <w:tcBorders>
              <w:top w:val="nil"/>
              <w:left w:val="single" w:sz="4" w:space="0" w:color="auto"/>
              <w:bottom w:val="nil"/>
              <w:right w:val="nil"/>
            </w:tcBorders>
            <w:shd w:val="clear" w:color="auto" w:fill="auto"/>
            <w:noWrap/>
            <w:vAlign w:val="center"/>
            <w:hideMark/>
          </w:tcPr>
          <w:p w14:paraId="186E7A99" w14:textId="77777777" w:rsidR="00387142" w:rsidRPr="008B6A75" w:rsidRDefault="00387142" w:rsidP="00387142">
            <w:pPr>
              <w:jc w:val="right"/>
              <w:rPr>
                <w:bCs/>
                <w:sz w:val="20"/>
                <w:szCs w:val="20"/>
              </w:rPr>
            </w:pPr>
            <w:r w:rsidRPr="008B6A75">
              <w:rPr>
                <w:bCs/>
                <w:sz w:val="20"/>
                <w:szCs w:val="20"/>
              </w:rPr>
              <w:t>19 010 900,00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616203EA" w14:textId="77777777" w:rsidR="00387142" w:rsidRPr="008B6A75" w:rsidRDefault="00387142" w:rsidP="00387142">
            <w:pPr>
              <w:jc w:val="right"/>
              <w:rPr>
                <w:bCs/>
                <w:sz w:val="20"/>
                <w:szCs w:val="20"/>
              </w:rPr>
            </w:pPr>
            <w:r w:rsidRPr="008B6A75">
              <w:rPr>
                <w:bCs/>
                <w:sz w:val="20"/>
                <w:szCs w:val="20"/>
              </w:rPr>
              <w:t>19 010 900,00</w:t>
            </w:r>
          </w:p>
        </w:tc>
        <w:tc>
          <w:tcPr>
            <w:tcW w:w="222" w:type="dxa"/>
            <w:vAlign w:val="center"/>
            <w:hideMark/>
          </w:tcPr>
          <w:p w14:paraId="083D1B07" w14:textId="77777777" w:rsidR="00387142" w:rsidRPr="008B6A75" w:rsidRDefault="00387142" w:rsidP="00387142">
            <w:pPr>
              <w:rPr>
                <w:sz w:val="20"/>
                <w:szCs w:val="20"/>
              </w:rPr>
            </w:pPr>
          </w:p>
        </w:tc>
      </w:tr>
      <w:tr w:rsidR="00387142" w:rsidRPr="008B6A75" w14:paraId="174F975A" w14:textId="77777777" w:rsidTr="00387142">
        <w:trPr>
          <w:trHeight w:val="585"/>
        </w:trPr>
        <w:tc>
          <w:tcPr>
            <w:tcW w:w="3021" w:type="dxa"/>
            <w:tcBorders>
              <w:top w:val="single" w:sz="4" w:space="0" w:color="auto"/>
              <w:left w:val="single" w:sz="4" w:space="0" w:color="auto"/>
              <w:bottom w:val="nil"/>
              <w:right w:val="nil"/>
            </w:tcBorders>
            <w:shd w:val="clear" w:color="auto" w:fill="auto"/>
            <w:vAlign w:val="center"/>
            <w:hideMark/>
          </w:tcPr>
          <w:p w14:paraId="326A3084" w14:textId="77777777" w:rsidR="00387142" w:rsidRPr="008B6A75" w:rsidRDefault="00387142" w:rsidP="00387142">
            <w:pPr>
              <w:rPr>
                <w:sz w:val="20"/>
                <w:szCs w:val="20"/>
              </w:rPr>
            </w:pPr>
            <w:r w:rsidRPr="008B6A75">
              <w:rPr>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nil"/>
              <w:right w:val="nil"/>
            </w:tcBorders>
            <w:shd w:val="clear" w:color="auto" w:fill="auto"/>
            <w:noWrap/>
            <w:vAlign w:val="center"/>
            <w:hideMark/>
          </w:tcPr>
          <w:p w14:paraId="2ED410F8" w14:textId="77777777" w:rsidR="00387142" w:rsidRPr="008B6A75" w:rsidRDefault="00387142" w:rsidP="00387142">
            <w:pPr>
              <w:jc w:val="center"/>
              <w:rPr>
                <w:sz w:val="20"/>
                <w:szCs w:val="20"/>
              </w:rPr>
            </w:pPr>
            <w:r w:rsidRPr="008B6A75">
              <w:rPr>
                <w:sz w:val="20"/>
                <w:szCs w:val="20"/>
              </w:rPr>
              <w:t>444</w:t>
            </w:r>
          </w:p>
        </w:tc>
        <w:tc>
          <w:tcPr>
            <w:tcW w:w="709" w:type="dxa"/>
            <w:tcBorders>
              <w:top w:val="single" w:sz="4" w:space="0" w:color="auto"/>
              <w:left w:val="single" w:sz="4" w:space="0" w:color="auto"/>
              <w:bottom w:val="nil"/>
              <w:right w:val="nil"/>
            </w:tcBorders>
            <w:shd w:val="clear" w:color="auto" w:fill="auto"/>
            <w:noWrap/>
            <w:vAlign w:val="center"/>
            <w:hideMark/>
          </w:tcPr>
          <w:p w14:paraId="189BCBD8" w14:textId="77777777" w:rsidR="00387142" w:rsidRPr="008B6A75" w:rsidRDefault="00387142" w:rsidP="00387142">
            <w:pPr>
              <w:jc w:val="center"/>
              <w:rPr>
                <w:sz w:val="20"/>
                <w:szCs w:val="20"/>
              </w:rPr>
            </w:pPr>
            <w:r w:rsidRPr="008B6A75">
              <w:rPr>
                <w:sz w:val="20"/>
                <w:szCs w:val="20"/>
              </w:rPr>
              <w:t>07</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2BE7D777" w14:textId="77777777" w:rsidR="00387142" w:rsidRPr="008B6A75" w:rsidRDefault="00387142" w:rsidP="00387142">
            <w:pPr>
              <w:jc w:val="center"/>
              <w:rPr>
                <w:sz w:val="20"/>
                <w:szCs w:val="20"/>
              </w:rPr>
            </w:pPr>
            <w:r w:rsidRPr="008B6A75">
              <w:rPr>
                <w:sz w:val="20"/>
                <w:szCs w:val="20"/>
              </w:rPr>
              <w:t>02</w:t>
            </w:r>
          </w:p>
        </w:tc>
        <w:tc>
          <w:tcPr>
            <w:tcW w:w="1411" w:type="dxa"/>
            <w:tcBorders>
              <w:top w:val="single" w:sz="4" w:space="0" w:color="auto"/>
              <w:left w:val="single" w:sz="4" w:space="0" w:color="auto"/>
              <w:bottom w:val="nil"/>
              <w:right w:val="nil"/>
            </w:tcBorders>
            <w:shd w:val="clear" w:color="auto" w:fill="auto"/>
            <w:noWrap/>
            <w:vAlign w:val="center"/>
            <w:hideMark/>
          </w:tcPr>
          <w:p w14:paraId="7841BA55" w14:textId="77777777" w:rsidR="00387142" w:rsidRPr="008B6A75" w:rsidRDefault="00387142" w:rsidP="00387142">
            <w:pPr>
              <w:jc w:val="center"/>
              <w:rPr>
                <w:sz w:val="20"/>
                <w:szCs w:val="20"/>
              </w:rPr>
            </w:pPr>
            <w:r w:rsidRPr="008B6A75">
              <w:rPr>
                <w:sz w:val="20"/>
                <w:szCs w:val="20"/>
              </w:rPr>
              <w:t>07.1.00.03349</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0C96415F" w14:textId="77777777" w:rsidR="00387142" w:rsidRPr="008B6A75" w:rsidRDefault="00387142" w:rsidP="00387142">
            <w:pPr>
              <w:jc w:val="center"/>
              <w:rPr>
                <w:sz w:val="20"/>
                <w:szCs w:val="20"/>
              </w:rPr>
            </w:pPr>
            <w:r w:rsidRPr="008B6A75">
              <w:rPr>
                <w:sz w:val="20"/>
                <w:szCs w:val="20"/>
              </w:rPr>
              <w:t>200</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7B56A1F7" w14:textId="77777777" w:rsidR="00387142" w:rsidRPr="008B6A75" w:rsidRDefault="00387142" w:rsidP="00387142">
            <w:pPr>
              <w:jc w:val="right"/>
              <w:rPr>
                <w:sz w:val="20"/>
                <w:szCs w:val="20"/>
              </w:rPr>
            </w:pPr>
            <w:r w:rsidRPr="008B6A75">
              <w:rPr>
                <w:sz w:val="20"/>
                <w:szCs w:val="20"/>
              </w:rPr>
              <w:t>13 932 054,92</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4590735F" w14:textId="77777777" w:rsidR="00387142" w:rsidRPr="008B6A75" w:rsidRDefault="00387142" w:rsidP="00387142">
            <w:pPr>
              <w:jc w:val="right"/>
              <w:rPr>
                <w:sz w:val="20"/>
                <w:szCs w:val="20"/>
              </w:rPr>
            </w:pPr>
            <w:r w:rsidRPr="008B6A75">
              <w:rPr>
                <w:sz w:val="20"/>
                <w:szCs w:val="20"/>
              </w:rPr>
              <w:t>12 180 700,00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51A6DA0E" w14:textId="77777777" w:rsidR="00387142" w:rsidRPr="008B6A75" w:rsidRDefault="00387142" w:rsidP="00387142">
            <w:pPr>
              <w:jc w:val="right"/>
              <w:rPr>
                <w:sz w:val="20"/>
                <w:szCs w:val="20"/>
              </w:rPr>
            </w:pPr>
            <w:r w:rsidRPr="008B6A75">
              <w:rPr>
                <w:sz w:val="20"/>
                <w:szCs w:val="20"/>
              </w:rPr>
              <w:t>12 180 700,00</w:t>
            </w:r>
          </w:p>
        </w:tc>
        <w:tc>
          <w:tcPr>
            <w:tcW w:w="222" w:type="dxa"/>
            <w:vAlign w:val="center"/>
            <w:hideMark/>
          </w:tcPr>
          <w:p w14:paraId="09081D10" w14:textId="77777777" w:rsidR="00387142" w:rsidRPr="008B6A75" w:rsidRDefault="00387142" w:rsidP="00387142">
            <w:pPr>
              <w:rPr>
                <w:sz w:val="20"/>
                <w:szCs w:val="20"/>
              </w:rPr>
            </w:pPr>
          </w:p>
        </w:tc>
      </w:tr>
      <w:tr w:rsidR="00387142" w:rsidRPr="008B6A75" w14:paraId="29FB45BA" w14:textId="77777777" w:rsidTr="00387142">
        <w:trPr>
          <w:trHeight w:val="870"/>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636E156F" w14:textId="77777777" w:rsidR="00387142" w:rsidRPr="008B6A75" w:rsidRDefault="00387142" w:rsidP="00387142">
            <w:pPr>
              <w:rPr>
                <w:sz w:val="20"/>
                <w:szCs w:val="20"/>
              </w:rPr>
            </w:pPr>
            <w:r w:rsidRPr="008B6A75">
              <w:rPr>
                <w:sz w:val="20"/>
                <w:szCs w:val="20"/>
              </w:rPr>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113936F1" w14:textId="77777777" w:rsidR="00387142" w:rsidRPr="008B6A75" w:rsidRDefault="00387142" w:rsidP="00387142">
            <w:pPr>
              <w:jc w:val="center"/>
              <w:rPr>
                <w:sz w:val="20"/>
                <w:szCs w:val="20"/>
              </w:rPr>
            </w:pPr>
            <w:r w:rsidRPr="008B6A75">
              <w:rPr>
                <w:sz w:val="20"/>
                <w:szCs w:val="20"/>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5AFD7971" w14:textId="77777777" w:rsidR="00387142" w:rsidRPr="008B6A75" w:rsidRDefault="00387142" w:rsidP="00387142">
            <w:pPr>
              <w:jc w:val="center"/>
              <w:rPr>
                <w:sz w:val="20"/>
                <w:szCs w:val="20"/>
              </w:rPr>
            </w:pPr>
            <w:r w:rsidRPr="008B6A75">
              <w:rPr>
                <w:sz w:val="20"/>
                <w:szCs w:val="20"/>
              </w:rPr>
              <w:t>07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28BF3D" w14:textId="77777777" w:rsidR="00387142" w:rsidRPr="008B6A75" w:rsidRDefault="00387142" w:rsidP="00387142">
            <w:pPr>
              <w:jc w:val="center"/>
              <w:rPr>
                <w:sz w:val="20"/>
                <w:szCs w:val="20"/>
              </w:rPr>
            </w:pPr>
            <w:r w:rsidRPr="008B6A75">
              <w:rPr>
                <w:sz w:val="20"/>
                <w:szCs w:val="20"/>
              </w:rPr>
              <w:t>02</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3B3D632C" w14:textId="77777777" w:rsidR="00387142" w:rsidRPr="008B6A75" w:rsidRDefault="00387142" w:rsidP="00387142">
            <w:pPr>
              <w:jc w:val="center"/>
              <w:rPr>
                <w:sz w:val="20"/>
                <w:szCs w:val="20"/>
              </w:rPr>
            </w:pPr>
            <w:r w:rsidRPr="008B6A75">
              <w:rPr>
                <w:sz w:val="20"/>
                <w:szCs w:val="20"/>
              </w:rPr>
              <w:t>07.1.00.03349</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126AEC" w14:textId="77777777" w:rsidR="00387142" w:rsidRPr="008B6A75" w:rsidRDefault="00387142" w:rsidP="00387142">
            <w:pPr>
              <w:jc w:val="center"/>
              <w:rPr>
                <w:sz w:val="20"/>
                <w:szCs w:val="20"/>
              </w:rPr>
            </w:pPr>
            <w:r w:rsidRPr="008B6A75">
              <w:rPr>
                <w:sz w:val="20"/>
                <w:szCs w:val="20"/>
              </w:rPr>
              <w:t>240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9CB4B5" w14:textId="77777777" w:rsidR="00387142" w:rsidRPr="008B6A75" w:rsidRDefault="00387142" w:rsidP="00387142">
            <w:pPr>
              <w:jc w:val="right"/>
              <w:rPr>
                <w:sz w:val="20"/>
                <w:szCs w:val="20"/>
              </w:rPr>
            </w:pPr>
            <w:r w:rsidRPr="008B6A75">
              <w:rPr>
                <w:sz w:val="20"/>
                <w:szCs w:val="20"/>
              </w:rPr>
              <w:t>13 932 054,92</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44CD367B" w14:textId="77777777" w:rsidR="00387142" w:rsidRPr="008B6A75" w:rsidRDefault="00387142" w:rsidP="00387142">
            <w:pPr>
              <w:jc w:val="right"/>
              <w:rPr>
                <w:sz w:val="20"/>
                <w:szCs w:val="20"/>
              </w:rPr>
            </w:pPr>
            <w:r w:rsidRPr="008B6A75">
              <w:rPr>
                <w:sz w:val="20"/>
                <w:szCs w:val="20"/>
              </w:rPr>
              <w:t>12 180 700,00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AFE567" w14:textId="77777777" w:rsidR="00387142" w:rsidRPr="008B6A75" w:rsidRDefault="00387142" w:rsidP="00387142">
            <w:pPr>
              <w:jc w:val="right"/>
              <w:rPr>
                <w:sz w:val="20"/>
                <w:szCs w:val="20"/>
              </w:rPr>
            </w:pPr>
            <w:r w:rsidRPr="008B6A75">
              <w:rPr>
                <w:sz w:val="20"/>
                <w:szCs w:val="20"/>
              </w:rPr>
              <w:t>12 180 700,00</w:t>
            </w:r>
          </w:p>
        </w:tc>
        <w:tc>
          <w:tcPr>
            <w:tcW w:w="222" w:type="dxa"/>
            <w:vAlign w:val="center"/>
            <w:hideMark/>
          </w:tcPr>
          <w:p w14:paraId="6A00564A" w14:textId="77777777" w:rsidR="00387142" w:rsidRPr="008B6A75" w:rsidRDefault="00387142" w:rsidP="00387142">
            <w:pPr>
              <w:rPr>
                <w:sz w:val="20"/>
                <w:szCs w:val="20"/>
              </w:rPr>
            </w:pPr>
          </w:p>
        </w:tc>
      </w:tr>
      <w:tr w:rsidR="00387142" w:rsidRPr="008B6A75" w14:paraId="6E883639" w14:textId="77777777" w:rsidTr="00387142">
        <w:trPr>
          <w:trHeight w:val="585"/>
        </w:trPr>
        <w:tc>
          <w:tcPr>
            <w:tcW w:w="3021" w:type="dxa"/>
            <w:tcBorders>
              <w:top w:val="nil"/>
              <w:left w:val="single" w:sz="4" w:space="0" w:color="auto"/>
              <w:bottom w:val="nil"/>
              <w:right w:val="nil"/>
            </w:tcBorders>
            <w:shd w:val="clear" w:color="auto" w:fill="auto"/>
            <w:vAlign w:val="center"/>
            <w:hideMark/>
          </w:tcPr>
          <w:p w14:paraId="27AEB92D" w14:textId="77777777" w:rsidR="00387142" w:rsidRPr="008B6A75" w:rsidRDefault="00387142" w:rsidP="00387142">
            <w:pPr>
              <w:rPr>
                <w:sz w:val="20"/>
                <w:szCs w:val="20"/>
              </w:rPr>
            </w:pPr>
            <w:r w:rsidRPr="008B6A75">
              <w:rPr>
                <w:sz w:val="20"/>
                <w:szCs w:val="20"/>
              </w:rPr>
              <w:t>Социальное обеспечение и иные выплаты населению</w:t>
            </w:r>
          </w:p>
        </w:tc>
        <w:tc>
          <w:tcPr>
            <w:tcW w:w="850" w:type="dxa"/>
            <w:tcBorders>
              <w:top w:val="nil"/>
              <w:left w:val="single" w:sz="4" w:space="0" w:color="auto"/>
              <w:bottom w:val="nil"/>
              <w:right w:val="nil"/>
            </w:tcBorders>
            <w:shd w:val="clear" w:color="auto" w:fill="auto"/>
            <w:noWrap/>
            <w:vAlign w:val="center"/>
            <w:hideMark/>
          </w:tcPr>
          <w:p w14:paraId="7502CD8F" w14:textId="77777777" w:rsidR="00387142" w:rsidRPr="008B6A75" w:rsidRDefault="00387142" w:rsidP="00387142">
            <w:pPr>
              <w:jc w:val="center"/>
              <w:rPr>
                <w:sz w:val="20"/>
                <w:szCs w:val="20"/>
              </w:rPr>
            </w:pPr>
            <w:r w:rsidRPr="008B6A75">
              <w:rPr>
                <w:sz w:val="20"/>
                <w:szCs w:val="20"/>
              </w:rPr>
              <w:t>444</w:t>
            </w:r>
          </w:p>
        </w:tc>
        <w:tc>
          <w:tcPr>
            <w:tcW w:w="709" w:type="dxa"/>
            <w:tcBorders>
              <w:top w:val="nil"/>
              <w:left w:val="single" w:sz="4" w:space="0" w:color="auto"/>
              <w:bottom w:val="nil"/>
              <w:right w:val="nil"/>
            </w:tcBorders>
            <w:shd w:val="clear" w:color="auto" w:fill="auto"/>
            <w:noWrap/>
            <w:vAlign w:val="center"/>
            <w:hideMark/>
          </w:tcPr>
          <w:p w14:paraId="0794DB77" w14:textId="77777777" w:rsidR="00387142" w:rsidRPr="008B6A75" w:rsidRDefault="00387142" w:rsidP="00387142">
            <w:pPr>
              <w:jc w:val="center"/>
              <w:rPr>
                <w:sz w:val="20"/>
                <w:szCs w:val="20"/>
              </w:rPr>
            </w:pPr>
            <w:r w:rsidRPr="008B6A75">
              <w:rPr>
                <w:sz w:val="20"/>
                <w:szCs w:val="20"/>
              </w:rPr>
              <w:t>07</w:t>
            </w:r>
          </w:p>
        </w:tc>
        <w:tc>
          <w:tcPr>
            <w:tcW w:w="709" w:type="dxa"/>
            <w:tcBorders>
              <w:top w:val="nil"/>
              <w:left w:val="single" w:sz="4" w:space="0" w:color="auto"/>
              <w:bottom w:val="nil"/>
              <w:right w:val="single" w:sz="4" w:space="0" w:color="auto"/>
            </w:tcBorders>
            <w:shd w:val="clear" w:color="auto" w:fill="auto"/>
            <w:noWrap/>
            <w:vAlign w:val="center"/>
            <w:hideMark/>
          </w:tcPr>
          <w:p w14:paraId="74B42916" w14:textId="77777777" w:rsidR="00387142" w:rsidRPr="008B6A75" w:rsidRDefault="00387142" w:rsidP="00387142">
            <w:pPr>
              <w:jc w:val="center"/>
              <w:rPr>
                <w:sz w:val="20"/>
                <w:szCs w:val="20"/>
              </w:rPr>
            </w:pPr>
            <w:r w:rsidRPr="008B6A75">
              <w:rPr>
                <w:sz w:val="20"/>
                <w:szCs w:val="20"/>
              </w:rPr>
              <w:t>02</w:t>
            </w:r>
          </w:p>
        </w:tc>
        <w:tc>
          <w:tcPr>
            <w:tcW w:w="1411" w:type="dxa"/>
            <w:tcBorders>
              <w:top w:val="nil"/>
              <w:left w:val="single" w:sz="4" w:space="0" w:color="auto"/>
              <w:bottom w:val="nil"/>
              <w:right w:val="nil"/>
            </w:tcBorders>
            <w:shd w:val="clear" w:color="auto" w:fill="auto"/>
            <w:noWrap/>
            <w:vAlign w:val="center"/>
            <w:hideMark/>
          </w:tcPr>
          <w:p w14:paraId="3E992E6C" w14:textId="77777777" w:rsidR="00387142" w:rsidRPr="008B6A75" w:rsidRDefault="00387142" w:rsidP="00387142">
            <w:pPr>
              <w:jc w:val="center"/>
              <w:rPr>
                <w:sz w:val="20"/>
                <w:szCs w:val="20"/>
              </w:rPr>
            </w:pPr>
            <w:r w:rsidRPr="008B6A75">
              <w:rPr>
                <w:sz w:val="20"/>
                <w:szCs w:val="20"/>
              </w:rPr>
              <w:t>07.1.00.03349</w:t>
            </w:r>
          </w:p>
        </w:tc>
        <w:tc>
          <w:tcPr>
            <w:tcW w:w="955" w:type="dxa"/>
            <w:tcBorders>
              <w:top w:val="nil"/>
              <w:left w:val="single" w:sz="4" w:space="0" w:color="auto"/>
              <w:bottom w:val="nil"/>
              <w:right w:val="single" w:sz="4" w:space="0" w:color="auto"/>
            </w:tcBorders>
            <w:shd w:val="clear" w:color="auto" w:fill="auto"/>
            <w:noWrap/>
            <w:vAlign w:val="center"/>
            <w:hideMark/>
          </w:tcPr>
          <w:p w14:paraId="1596C1C6" w14:textId="77777777" w:rsidR="00387142" w:rsidRPr="008B6A75" w:rsidRDefault="00387142" w:rsidP="00387142">
            <w:pPr>
              <w:jc w:val="center"/>
              <w:rPr>
                <w:sz w:val="20"/>
                <w:szCs w:val="20"/>
              </w:rPr>
            </w:pPr>
            <w:r w:rsidRPr="008B6A75">
              <w:rPr>
                <w:sz w:val="20"/>
                <w:szCs w:val="20"/>
              </w:rPr>
              <w:t>300</w:t>
            </w:r>
          </w:p>
        </w:tc>
        <w:tc>
          <w:tcPr>
            <w:tcW w:w="992" w:type="dxa"/>
            <w:tcBorders>
              <w:top w:val="nil"/>
              <w:left w:val="single" w:sz="4" w:space="0" w:color="auto"/>
              <w:bottom w:val="nil"/>
              <w:right w:val="single" w:sz="4" w:space="0" w:color="auto"/>
            </w:tcBorders>
            <w:shd w:val="clear" w:color="auto" w:fill="auto"/>
            <w:noWrap/>
            <w:vAlign w:val="center"/>
            <w:hideMark/>
          </w:tcPr>
          <w:p w14:paraId="539488EB" w14:textId="77777777" w:rsidR="00387142" w:rsidRPr="008B6A75" w:rsidRDefault="00387142" w:rsidP="00387142">
            <w:pPr>
              <w:jc w:val="right"/>
              <w:rPr>
                <w:sz w:val="20"/>
                <w:szCs w:val="20"/>
              </w:rPr>
            </w:pPr>
            <w:r w:rsidRPr="008B6A75">
              <w:rPr>
                <w:sz w:val="20"/>
                <w:szCs w:val="20"/>
              </w:rPr>
              <w:t>126 466,00</w:t>
            </w:r>
          </w:p>
        </w:tc>
        <w:tc>
          <w:tcPr>
            <w:tcW w:w="992" w:type="dxa"/>
            <w:gridSpan w:val="2"/>
            <w:tcBorders>
              <w:top w:val="nil"/>
              <w:left w:val="single" w:sz="4" w:space="0" w:color="auto"/>
              <w:bottom w:val="nil"/>
              <w:right w:val="nil"/>
            </w:tcBorders>
            <w:shd w:val="clear" w:color="auto" w:fill="auto"/>
            <w:noWrap/>
            <w:vAlign w:val="center"/>
            <w:hideMark/>
          </w:tcPr>
          <w:p w14:paraId="04557DDC" w14:textId="77777777" w:rsidR="00387142" w:rsidRPr="008B6A75" w:rsidRDefault="00387142" w:rsidP="00387142">
            <w:pPr>
              <w:jc w:val="right"/>
              <w:rPr>
                <w:sz w:val="20"/>
                <w:szCs w:val="20"/>
              </w:rPr>
            </w:pPr>
            <w:r w:rsidRPr="008B6A75">
              <w:rPr>
                <w:sz w:val="20"/>
                <w:szCs w:val="20"/>
              </w:rPr>
              <w:t>0,00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5ECA1645" w14:textId="77777777" w:rsidR="00387142" w:rsidRPr="008B6A75" w:rsidRDefault="00387142" w:rsidP="00387142">
            <w:pPr>
              <w:jc w:val="right"/>
              <w:rPr>
                <w:sz w:val="20"/>
                <w:szCs w:val="20"/>
              </w:rPr>
            </w:pPr>
            <w:r w:rsidRPr="008B6A75">
              <w:rPr>
                <w:sz w:val="20"/>
                <w:szCs w:val="20"/>
              </w:rPr>
              <w:t>0,00</w:t>
            </w:r>
          </w:p>
        </w:tc>
        <w:tc>
          <w:tcPr>
            <w:tcW w:w="222" w:type="dxa"/>
            <w:vAlign w:val="center"/>
            <w:hideMark/>
          </w:tcPr>
          <w:p w14:paraId="09C53B7F" w14:textId="77777777" w:rsidR="00387142" w:rsidRPr="008B6A75" w:rsidRDefault="00387142" w:rsidP="00387142">
            <w:pPr>
              <w:rPr>
                <w:sz w:val="20"/>
                <w:szCs w:val="20"/>
              </w:rPr>
            </w:pPr>
          </w:p>
        </w:tc>
      </w:tr>
      <w:tr w:rsidR="00387142" w:rsidRPr="008B6A75" w14:paraId="7F98C465" w14:textId="77777777" w:rsidTr="00387142">
        <w:trPr>
          <w:trHeight w:val="585"/>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7A9526A9" w14:textId="77777777" w:rsidR="00387142" w:rsidRPr="008B6A75" w:rsidRDefault="00387142" w:rsidP="00387142">
            <w:pPr>
              <w:rPr>
                <w:sz w:val="20"/>
                <w:szCs w:val="20"/>
              </w:rPr>
            </w:pPr>
            <w:r w:rsidRPr="008B6A75">
              <w:rPr>
                <w:sz w:val="20"/>
                <w:szCs w:val="20"/>
              </w:rPr>
              <w:t>Социальные выплаты гражданам, кроме публичных нормативных социальных выплат</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46F90845" w14:textId="77777777" w:rsidR="00387142" w:rsidRPr="008B6A75" w:rsidRDefault="00387142" w:rsidP="00387142">
            <w:pPr>
              <w:jc w:val="center"/>
              <w:rPr>
                <w:sz w:val="20"/>
                <w:szCs w:val="20"/>
              </w:rPr>
            </w:pPr>
            <w:r w:rsidRPr="008B6A75">
              <w:rPr>
                <w:sz w:val="20"/>
                <w:szCs w:val="20"/>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5ABF280A" w14:textId="77777777" w:rsidR="00387142" w:rsidRPr="008B6A75" w:rsidRDefault="00387142" w:rsidP="00387142">
            <w:pPr>
              <w:jc w:val="center"/>
              <w:rPr>
                <w:sz w:val="20"/>
                <w:szCs w:val="20"/>
              </w:rPr>
            </w:pPr>
            <w:r w:rsidRPr="008B6A75">
              <w:rPr>
                <w:sz w:val="20"/>
                <w:szCs w:val="20"/>
              </w:rPr>
              <w:t>07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6FF3D4" w14:textId="77777777" w:rsidR="00387142" w:rsidRPr="008B6A75" w:rsidRDefault="00387142" w:rsidP="00387142">
            <w:pPr>
              <w:jc w:val="center"/>
              <w:rPr>
                <w:sz w:val="20"/>
                <w:szCs w:val="20"/>
              </w:rPr>
            </w:pPr>
            <w:r w:rsidRPr="008B6A75">
              <w:rPr>
                <w:sz w:val="20"/>
                <w:szCs w:val="20"/>
              </w:rPr>
              <w:t>02</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4BE9F0F2" w14:textId="77777777" w:rsidR="00387142" w:rsidRPr="008B6A75" w:rsidRDefault="00387142" w:rsidP="00387142">
            <w:pPr>
              <w:jc w:val="center"/>
              <w:rPr>
                <w:sz w:val="20"/>
                <w:szCs w:val="20"/>
              </w:rPr>
            </w:pPr>
            <w:r w:rsidRPr="008B6A75">
              <w:rPr>
                <w:sz w:val="20"/>
                <w:szCs w:val="20"/>
              </w:rPr>
              <w:t>07.1.00.03349</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CD412A" w14:textId="77777777" w:rsidR="00387142" w:rsidRPr="008B6A75" w:rsidRDefault="00387142" w:rsidP="00387142">
            <w:pPr>
              <w:jc w:val="center"/>
              <w:rPr>
                <w:sz w:val="20"/>
                <w:szCs w:val="20"/>
              </w:rPr>
            </w:pPr>
            <w:r w:rsidRPr="008B6A75">
              <w:rPr>
                <w:sz w:val="20"/>
                <w:szCs w:val="20"/>
              </w:rPr>
              <w:t>320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49CC84" w14:textId="77777777" w:rsidR="00387142" w:rsidRPr="008B6A75" w:rsidRDefault="00387142" w:rsidP="00387142">
            <w:pPr>
              <w:jc w:val="right"/>
              <w:rPr>
                <w:sz w:val="20"/>
                <w:szCs w:val="20"/>
              </w:rPr>
            </w:pPr>
            <w:r w:rsidRPr="008B6A75">
              <w:rPr>
                <w:sz w:val="20"/>
                <w:szCs w:val="20"/>
              </w:rPr>
              <w:t>126 466,00</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1B3798C8" w14:textId="77777777" w:rsidR="00387142" w:rsidRPr="008B6A75" w:rsidRDefault="00387142" w:rsidP="00387142">
            <w:pPr>
              <w:jc w:val="right"/>
              <w:rPr>
                <w:sz w:val="20"/>
                <w:szCs w:val="20"/>
              </w:rPr>
            </w:pPr>
            <w:r w:rsidRPr="008B6A75">
              <w:rPr>
                <w:sz w:val="20"/>
                <w:szCs w:val="20"/>
              </w:rPr>
              <w:t>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ECE64E" w14:textId="77777777" w:rsidR="00387142" w:rsidRPr="008B6A75" w:rsidRDefault="00387142" w:rsidP="00387142">
            <w:pPr>
              <w:jc w:val="right"/>
              <w:rPr>
                <w:sz w:val="20"/>
                <w:szCs w:val="20"/>
              </w:rPr>
            </w:pPr>
            <w:r w:rsidRPr="008B6A75">
              <w:rPr>
                <w:sz w:val="20"/>
                <w:szCs w:val="20"/>
              </w:rPr>
              <w:t>0,00</w:t>
            </w:r>
          </w:p>
        </w:tc>
        <w:tc>
          <w:tcPr>
            <w:tcW w:w="222" w:type="dxa"/>
            <w:vAlign w:val="center"/>
            <w:hideMark/>
          </w:tcPr>
          <w:p w14:paraId="214C1A46" w14:textId="77777777" w:rsidR="00387142" w:rsidRPr="008B6A75" w:rsidRDefault="00387142" w:rsidP="00387142">
            <w:pPr>
              <w:rPr>
                <w:sz w:val="20"/>
                <w:szCs w:val="20"/>
              </w:rPr>
            </w:pPr>
          </w:p>
        </w:tc>
      </w:tr>
      <w:tr w:rsidR="00387142" w:rsidRPr="008B6A75" w14:paraId="35946055" w14:textId="77777777" w:rsidTr="00387142">
        <w:trPr>
          <w:trHeight w:val="870"/>
        </w:trPr>
        <w:tc>
          <w:tcPr>
            <w:tcW w:w="3021" w:type="dxa"/>
            <w:tcBorders>
              <w:top w:val="nil"/>
              <w:left w:val="single" w:sz="4" w:space="0" w:color="auto"/>
              <w:bottom w:val="nil"/>
              <w:right w:val="nil"/>
            </w:tcBorders>
            <w:shd w:val="clear" w:color="auto" w:fill="auto"/>
            <w:vAlign w:val="center"/>
            <w:hideMark/>
          </w:tcPr>
          <w:p w14:paraId="22B35626" w14:textId="77777777" w:rsidR="00387142" w:rsidRPr="008B6A75" w:rsidRDefault="00387142" w:rsidP="00387142">
            <w:pPr>
              <w:rPr>
                <w:sz w:val="20"/>
                <w:szCs w:val="20"/>
              </w:rPr>
            </w:pPr>
            <w:r w:rsidRPr="008B6A75">
              <w:rPr>
                <w:sz w:val="20"/>
                <w:szCs w:val="20"/>
              </w:rPr>
              <w:t>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right w:val="nil"/>
            </w:tcBorders>
            <w:shd w:val="clear" w:color="auto" w:fill="auto"/>
            <w:noWrap/>
            <w:vAlign w:val="center"/>
            <w:hideMark/>
          </w:tcPr>
          <w:p w14:paraId="54FCA23B" w14:textId="77777777" w:rsidR="00387142" w:rsidRPr="008B6A75" w:rsidRDefault="00387142" w:rsidP="00387142">
            <w:pPr>
              <w:jc w:val="center"/>
              <w:rPr>
                <w:sz w:val="20"/>
                <w:szCs w:val="20"/>
              </w:rPr>
            </w:pPr>
            <w:r w:rsidRPr="008B6A75">
              <w:rPr>
                <w:sz w:val="20"/>
                <w:szCs w:val="20"/>
              </w:rPr>
              <w:t>444</w:t>
            </w:r>
          </w:p>
        </w:tc>
        <w:tc>
          <w:tcPr>
            <w:tcW w:w="709" w:type="dxa"/>
            <w:tcBorders>
              <w:top w:val="nil"/>
              <w:left w:val="single" w:sz="4" w:space="0" w:color="auto"/>
              <w:bottom w:val="nil"/>
              <w:right w:val="nil"/>
            </w:tcBorders>
            <w:shd w:val="clear" w:color="auto" w:fill="auto"/>
            <w:noWrap/>
            <w:vAlign w:val="center"/>
            <w:hideMark/>
          </w:tcPr>
          <w:p w14:paraId="7AE894A3" w14:textId="77777777" w:rsidR="00387142" w:rsidRPr="008B6A75" w:rsidRDefault="00387142" w:rsidP="00387142">
            <w:pPr>
              <w:jc w:val="center"/>
              <w:rPr>
                <w:sz w:val="20"/>
                <w:szCs w:val="20"/>
              </w:rPr>
            </w:pPr>
            <w:r w:rsidRPr="008B6A75">
              <w:rPr>
                <w:sz w:val="20"/>
                <w:szCs w:val="20"/>
              </w:rPr>
              <w:t>07</w:t>
            </w:r>
          </w:p>
        </w:tc>
        <w:tc>
          <w:tcPr>
            <w:tcW w:w="709" w:type="dxa"/>
            <w:tcBorders>
              <w:top w:val="nil"/>
              <w:left w:val="single" w:sz="4" w:space="0" w:color="auto"/>
              <w:bottom w:val="nil"/>
              <w:right w:val="single" w:sz="4" w:space="0" w:color="auto"/>
            </w:tcBorders>
            <w:shd w:val="clear" w:color="auto" w:fill="auto"/>
            <w:noWrap/>
            <w:vAlign w:val="center"/>
            <w:hideMark/>
          </w:tcPr>
          <w:p w14:paraId="479B1DF0" w14:textId="77777777" w:rsidR="00387142" w:rsidRPr="008B6A75" w:rsidRDefault="00387142" w:rsidP="00387142">
            <w:pPr>
              <w:jc w:val="center"/>
              <w:rPr>
                <w:sz w:val="20"/>
                <w:szCs w:val="20"/>
              </w:rPr>
            </w:pPr>
            <w:r w:rsidRPr="008B6A75">
              <w:rPr>
                <w:sz w:val="20"/>
                <w:szCs w:val="20"/>
              </w:rPr>
              <w:t>02</w:t>
            </w:r>
          </w:p>
        </w:tc>
        <w:tc>
          <w:tcPr>
            <w:tcW w:w="1411" w:type="dxa"/>
            <w:tcBorders>
              <w:top w:val="nil"/>
              <w:left w:val="single" w:sz="4" w:space="0" w:color="auto"/>
              <w:bottom w:val="nil"/>
              <w:right w:val="nil"/>
            </w:tcBorders>
            <w:shd w:val="clear" w:color="auto" w:fill="auto"/>
            <w:noWrap/>
            <w:vAlign w:val="center"/>
            <w:hideMark/>
          </w:tcPr>
          <w:p w14:paraId="24D8493F" w14:textId="77777777" w:rsidR="00387142" w:rsidRPr="008B6A75" w:rsidRDefault="00387142" w:rsidP="00387142">
            <w:pPr>
              <w:jc w:val="center"/>
              <w:rPr>
                <w:sz w:val="20"/>
                <w:szCs w:val="20"/>
              </w:rPr>
            </w:pPr>
            <w:r w:rsidRPr="008B6A75">
              <w:rPr>
                <w:sz w:val="20"/>
                <w:szCs w:val="20"/>
              </w:rPr>
              <w:t>07.1.00.03349</w:t>
            </w:r>
          </w:p>
        </w:tc>
        <w:tc>
          <w:tcPr>
            <w:tcW w:w="955" w:type="dxa"/>
            <w:tcBorders>
              <w:top w:val="nil"/>
              <w:left w:val="single" w:sz="4" w:space="0" w:color="auto"/>
              <w:bottom w:val="nil"/>
              <w:right w:val="single" w:sz="4" w:space="0" w:color="auto"/>
            </w:tcBorders>
            <w:shd w:val="clear" w:color="auto" w:fill="auto"/>
            <w:noWrap/>
            <w:vAlign w:val="center"/>
            <w:hideMark/>
          </w:tcPr>
          <w:p w14:paraId="187EAD30" w14:textId="77777777" w:rsidR="00387142" w:rsidRPr="008B6A75" w:rsidRDefault="00387142" w:rsidP="00387142">
            <w:pPr>
              <w:jc w:val="center"/>
              <w:rPr>
                <w:sz w:val="20"/>
                <w:szCs w:val="20"/>
              </w:rPr>
            </w:pPr>
            <w:r w:rsidRPr="008B6A75">
              <w:rPr>
                <w:sz w:val="20"/>
                <w:szCs w:val="20"/>
              </w:rPr>
              <w:t>600</w:t>
            </w:r>
          </w:p>
        </w:tc>
        <w:tc>
          <w:tcPr>
            <w:tcW w:w="992" w:type="dxa"/>
            <w:tcBorders>
              <w:top w:val="nil"/>
              <w:left w:val="single" w:sz="4" w:space="0" w:color="auto"/>
              <w:bottom w:val="nil"/>
              <w:right w:val="single" w:sz="4" w:space="0" w:color="auto"/>
            </w:tcBorders>
            <w:shd w:val="clear" w:color="auto" w:fill="auto"/>
            <w:noWrap/>
            <w:vAlign w:val="center"/>
            <w:hideMark/>
          </w:tcPr>
          <w:p w14:paraId="4EC6BFDC" w14:textId="77777777" w:rsidR="00387142" w:rsidRPr="008B6A75" w:rsidRDefault="00387142" w:rsidP="00387142">
            <w:pPr>
              <w:jc w:val="right"/>
              <w:rPr>
                <w:sz w:val="20"/>
                <w:szCs w:val="20"/>
              </w:rPr>
            </w:pPr>
            <w:r w:rsidRPr="008B6A75">
              <w:rPr>
                <w:sz w:val="20"/>
                <w:szCs w:val="20"/>
              </w:rPr>
              <w:t>9 158 100,00</w:t>
            </w:r>
          </w:p>
        </w:tc>
        <w:tc>
          <w:tcPr>
            <w:tcW w:w="992" w:type="dxa"/>
            <w:gridSpan w:val="2"/>
            <w:tcBorders>
              <w:top w:val="nil"/>
              <w:left w:val="single" w:sz="4" w:space="0" w:color="auto"/>
              <w:bottom w:val="nil"/>
              <w:right w:val="nil"/>
            </w:tcBorders>
            <w:shd w:val="clear" w:color="auto" w:fill="auto"/>
            <w:noWrap/>
            <w:vAlign w:val="center"/>
            <w:hideMark/>
          </w:tcPr>
          <w:p w14:paraId="39BB4851" w14:textId="77777777" w:rsidR="00387142" w:rsidRPr="008B6A75" w:rsidRDefault="00387142" w:rsidP="00387142">
            <w:pPr>
              <w:jc w:val="right"/>
              <w:rPr>
                <w:sz w:val="20"/>
                <w:szCs w:val="20"/>
              </w:rPr>
            </w:pPr>
            <w:r w:rsidRPr="008B6A75">
              <w:rPr>
                <w:sz w:val="20"/>
                <w:szCs w:val="20"/>
              </w:rPr>
              <w:t>6 830 200,00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60D22CC2" w14:textId="77777777" w:rsidR="00387142" w:rsidRPr="008B6A75" w:rsidRDefault="00387142" w:rsidP="00387142">
            <w:pPr>
              <w:jc w:val="right"/>
              <w:rPr>
                <w:sz w:val="20"/>
                <w:szCs w:val="20"/>
              </w:rPr>
            </w:pPr>
            <w:r w:rsidRPr="008B6A75">
              <w:rPr>
                <w:sz w:val="20"/>
                <w:szCs w:val="20"/>
              </w:rPr>
              <w:t>6 830 200,00</w:t>
            </w:r>
          </w:p>
        </w:tc>
        <w:tc>
          <w:tcPr>
            <w:tcW w:w="222" w:type="dxa"/>
            <w:vAlign w:val="center"/>
            <w:hideMark/>
          </w:tcPr>
          <w:p w14:paraId="7A0BE670" w14:textId="77777777" w:rsidR="00387142" w:rsidRPr="008B6A75" w:rsidRDefault="00387142" w:rsidP="00387142">
            <w:pPr>
              <w:rPr>
                <w:sz w:val="20"/>
                <w:szCs w:val="20"/>
              </w:rPr>
            </w:pPr>
          </w:p>
        </w:tc>
      </w:tr>
      <w:tr w:rsidR="00387142" w:rsidRPr="008B6A75" w14:paraId="72E8DC90" w14:textId="77777777" w:rsidTr="00387142">
        <w:trPr>
          <w:trHeight w:val="300"/>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18406A48" w14:textId="77777777" w:rsidR="00387142" w:rsidRPr="008B6A75" w:rsidRDefault="00387142" w:rsidP="00387142">
            <w:pPr>
              <w:rPr>
                <w:sz w:val="20"/>
                <w:szCs w:val="20"/>
              </w:rPr>
            </w:pPr>
            <w:r w:rsidRPr="008B6A75">
              <w:rPr>
                <w:sz w:val="20"/>
                <w:szCs w:val="20"/>
              </w:rPr>
              <w:t>Субсидии бюджетным учреждениям</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7A3A17FB" w14:textId="77777777" w:rsidR="00387142" w:rsidRPr="008B6A75" w:rsidRDefault="00387142" w:rsidP="00387142">
            <w:pPr>
              <w:jc w:val="center"/>
              <w:rPr>
                <w:sz w:val="20"/>
                <w:szCs w:val="20"/>
              </w:rPr>
            </w:pPr>
            <w:r w:rsidRPr="008B6A75">
              <w:rPr>
                <w:sz w:val="20"/>
                <w:szCs w:val="20"/>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21B6F17F" w14:textId="77777777" w:rsidR="00387142" w:rsidRPr="008B6A75" w:rsidRDefault="00387142" w:rsidP="00387142">
            <w:pPr>
              <w:jc w:val="center"/>
              <w:rPr>
                <w:sz w:val="20"/>
                <w:szCs w:val="20"/>
              </w:rPr>
            </w:pPr>
            <w:r w:rsidRPr="008B6A75">
              <w:rPr>
                <w:sz w:val="20"/>
                <w:szCs w:val="20"/>
              </w:rPr>
              <w:t>07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5B4B9D" w14:textId="77777777" w:rsidR="00387142" w:rsidRPr="008B6A75" w:rsidRDefault="00387142" w:rsidP="00387142">
            <w:pPr>
              <w:jc w:val="center"/>
              <w:rPr>
                <w:sz w:val="20"/>
                <w:szCs w:val="20"/>
              </w:rPr>
            </w:pPr>
            <w:r w:rsidRPr="008B6A75">
              <w:rPr>
                <w:sz w:val="20"/>
                <w:szCs w:val="20"/>
              </w:rPr>
              <w:t>02</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03707B8A" w14:textId="77777777" w:rsidR="00387142" w:rsidRPr="008B6A75" w:rsidRDefault="00387142" w:rsidP="00387142">
            <w:pPr>
              <w:jc w:val="center"/>
              <w:rPr>
                <w:sz w:val="20"/>
                <w:szCs w:val="20"/>
              </w:rPr>
            </w:pPr>
            <w:r w:rsidRPr="008B6A75">
              <w:rPr>
                <w:sz w:val="20"/>
                <w:szCs w:val="20"/>
              </w:rPr>
              <w:t>07.1.00.03349</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4004C7" w14:textId="77777777" w:rsidR="00387142" w:rsidRPr="008B6A75" w:rsidRDefault="00387142" w:rsidP="00387142">
            <w:pPr>
              <w:jc w:val="center"/>
              <w:rPr>
                <w:sz w:val="20"/>
                <w:szCs w:val="20"/>
              </w:rPr>
            </w:pPr>
            <w:r w:rsidRPr="008B6A75">
              <w:rPr>
                <w:sz w:val="20"/>
                <w:szCs w:val="20"/>
              </w:rPr>
              <w:t>610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03EDC5" w14:textId="77777777" w:rsidR="00387142" w:rsidRPr="008B6A75" w:rsidRDefault="00387142" w:rsidP="00387142">
            <w:pPr>
              <w:jc w:val="right"/>
              <w:rPr>
                <w:sz w:val="20"/>
                <w:szCs w:val="20"/>
              </w:rPr>
            </w:pPr>
            <w:r w:rsidRPr="008B6A75">
              <w:rPr>
                <w:sz w:val="20"/>
                <w:szCs w:val="20"/>
              </w:rPr>
              <w:t>9 158 100,00</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6DC584F2" w14:textId="77777777" w:rsidR="00387142" w:rsidRPr="008B6A75" w:rsidRDefault="00387142" w:rsidP="00387142">
            <w:pPr>
              <w:jc w:val="right"/>
              <w:rPr>
                <w:sz w:val="20"/>
                <w:szCs w:val="20"/>
              </w:rPr>
            </w:pPr>
            <w:r w:rsidRPr="008B6A75">
              <w:rPr>
                <w:sz w:val="20"/>
                <w:szCs w:val="20"/>
              </w:rPr>
              <w:t>6 830 200,00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8A1DE4" w14:textId="77777777" w:rsidR="00387142" w:rsidRPr="008B6A75" w:rsidRDefault="00387142" w:rsidP="00387142">
            <w:pPr>
              <w:jc w:val="right"/>
              <w:rPr>
                <w:sz w:val="20"/>
                <w:szCs w:val="20"/>
              </w:rPr>
            </w:pPr>
            <w:r w:rsidRPr="008B6A75">
              <w:rPr>
                <w:sz w:val="20"/>
                <w:szCs w:val="20"/>
              </w:rPr>
              <w:t>6 830 200,00</w:t>
            </w:r>
          </w:p>
        </w:tc>
        <w:tc>
          <w:tcPr>
            <w:tcW w:w="222" w:type="dxa"/>
            <w:vAlign w:val="center"/>
            <w:hideMark/>
          </w:tcPr>
          <w:p w14:paraId="46A995E9" w14:textId="77777777" w:rsidR="00387142" w:rsidRPr="008B6A75" w:rsidRDefault="00387142" w:rsidP="00387142">
            <w:pPr>
              <w:rPr>
                <w:sz w:val="20"/>
                <w:szCs w:val="20"/>
              </w:rPr>
            </w:pPr>
          </w:p>
        </w:tc>
      </w:tr>
      <w:tr w:rsidR="00387142" w:rsidRPr="008B6A75" w14:paraId="454AC25A" w14:textId="77777777" w:rsidTr="00387142">
        <w:trPr>
          <w:trHeight w:val="2580"/>
        </w:trPr>
        <w:tc>
          <w:tcPr>
            <w:tcW w:w="3021" w:type="dxa"/>
            <w:tcBorders>
              <w:top w:val="nil"/>
              <w:left w:val="single" w:sz="4" w:space="0" w:color="auto"/>
              <w:bottom w:val="nil"/>
              <w:right w:val="nil"/>
            </w:tcBorders>
            <w:shd w:val="clear" w:color="auto" w:fill="auto"/>
            <w:vAlign w:val="center"/>
            <w:hideMark/>
          </w:tcPr>
          <w:p w14:paraId="6A62871B" w14:textId="77777777" w:rsidR="00387142" w:rsidRPr="008B6A75" w:rsidRDefault="00387142" w:rsidP="00387142">
            <w:pPr>
              <w:rPr>
                <w:bCs/>
                <w:sz w:val="20"/>
                <w:szCs w:val="20"/>
              </w:rPr>
            </w:pPr>
            <w:r w:rsidRPr="008B6A75">
              <w:rPr>
                <w:bCs/>
                <w:sz w:val="20"/>
                <w:szCs w:val="20"/>
              </w:rPr>
              <w:t>Ежемесячное денежное вознаграждение за классное руководство педагогическим работникам муниципальных общеобразовательных организаций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за счет средств ОБ</w:t>
            </w:r>
          </w:p>
        </w:tc>
        <w:tc>
          <w:tcPr>
            <w:tcW w:w="850" w:type="dxa"/>
            <w:tcBorders>
              <w:top w:val="nil"/>
              <w:left w:val="single" w:sz="4" w:space="0" w:color="auto"/>
              <w:bottom w:val="nil"/>
              <w:right w:val="nil"/>
            </w:tcBorders>
            <w:shd w:val="clear" w:color="auto" w:fill="auto"/>
            <w:noWrap/>
            <w:vAlign w:val="center"/>
            <w:hideMark/>
          </w:tcPr>
          <w:p w14:paraId="60E60E51" w14:textId="77777777" w:rsidR="00387142" w:rsidRPr="008B6A75" w:rsidRDefault="00387142" w:rsidP="00387142">
            <w:pPr>
              <w:jc w:val="center"/>
              <w:rPr>
                <w:bCs/>
                <w:sz w:val="20"/>
                <w:szCs w:val="20"/>
              </w:rPr>
            </w:pPr>
            <w:r w:rsidRPr="008B6A75">
              <w:rPr>
                <w:bCs/>
                <w:sz w:val="20"/>
                <w:szCs w:val="20"/>
              </w:rPr>
              <w:t>444</w:t>
            </w:r>
          </w:p>
        </w:tc>
        <w:tc>
          <w:tcPr>
            <w:tcW w:w="709" w:type="dxa"/>
            <w:tcBorders>
              <w:top w:val="nil"/>
              <w:left w:val="single" w:sz="4" w:space="0" w:color="auto"/>
              <w:bottom w:val="nil"/>
              <w:right w:val="nil"/>
            </w:tcBorders>
            <w:shd w:val="clear" w:color="auto" w:fill="auto"/>
            <w:noWrap/>
            <w:vAlign w:val="center"/>
            <w:hideMark/>
          </w:tcPr>
          <w:p w14:paraId="74C02EC3" w14:textId="77777777" w:rsidR="00387142" w:rsidRPr="008B6A75" w:rsidRDefault="00387142" w:rsidP="00387142">
            <w:pPr>
              <w:jc w:val="center"/>
              <w:rPr>
                <w:bCs/>
                <w:sz w:val="20"/>
                <w:szCs w:val="20"/>
              </w:rPr>
            </w:pPr>
            <w:r w:rsidRPr="008B6A75">
              <w:rPr>
                <w:bCs/>
                <w:sz w:val="20"/>
                <w:szCs w:val="20"/>
              </w:rPr>
              <w:t>07</w:t>
            </w:r>
          </w:p>
        </w:tc>
        <w:tc>
          <w:tcPr>
            <w:tcW w:w="709" w:type="dxa"/>
            <w:tcBorders>
              <w:top w:val="nil"/>
              <w:left w:val="single" w:sz="4" w:space="0" w:color="auto"/>
              <w:bottom w:val="nil"/>
              <w:right w:val="single" w:sz="4" w:space="0" w:color="auto"/>
            </w:tcBorders>
            <w:shd w:val="clear" w:color="auto" w:fill="auto"/>
            <w:noWrap/>
            <w:vAlign w:val="center"/>
            <w:hideMark/>
          </w:tcPr>
          <w:p w14:paraId="0BCED9EA" w14:textId="77777777" w:rsidR="00387142" w:rsidRPr="008B6A75" w:rsidRDefault="00387142" w:rsidP="00387142">
            <w:pPr>
              <w:jc w:val="center"/>
              <w:rPr>
                <w:bCs/>
                <w:sz w:val="20"/>
                <w:szCs w:val="20"/>
              </w:rPr>
            </w:pPr>
            <w:r w:rsidRPr="008B6A75">
              <w:rPr>
                <w:bCs/>
                <w:sz w:val="20"/>
                <w:szCs w:val="20"/>
              </w:rPr>
              <w:t>02</w:t>
            </w:r>
          </w:p>
        </w:tc>
        <w:tc>
          <w:tcPr>
            <w:tcW w:w="1411" w:type="dxa"/>
            <w:tcBorders>
              <w:top w:val="nil"/>
              <w:left w:val="single" w:sz="4" w:space="0" w:color="auto"/>
              <w:bottom w:val="nil"/>
              <w:right w:val="nil"/>
            </w:tcBorders>
            <w:shd w:val="clear" w:color="auto" w:fill="auto"/>
            <w:noWrap/>
            <w:vAlign w:val="center"/>
            <w:hideMark/>
          </w:tcPr>
          <w:p w14:paraId="198AAF37" w14:textId="77777777" w:rsidR="00387142" w:rsidRPr="008B6A75" w:rsidRDefault="00387142" w:rsidP="00387142">
            <w:pPr>
              <w:jc w:val="center"/>
              <w:rPr>
                <w:bCs/>
                <w:sz w:val="20"/>
                <w:szCs w:val="20"/>
              </w:rPr>
            </w:pPr>
            <w:r w:rsidRPr="008B6A75">
              <w:rPr>
                <w:bCs/>
                <w:sz w:val="20"/>
                <w:szCs w:val="20"/>
              </w:rPr>
              <w:t>07.1.00.03350</w:t>
            </w:r>
          </w:p>
        </w:tc>
        <w:tc>
          <w:tcPr>
            <w:tcW w:w="955" w:type="dxa"/>
            <w:tcBorders>
              <w:top w:val="nil"/>
              <w:left w:val="single" w:sz="4" w:space="0" w:color="auto"/>
              <w:bottom w:val="nil"/>
              <w:right w:val="single" w:sz="4" w:space="0" w:color="auto"/>
            </w:tcBorders>
            <w:shd w:val="clear" w:color="auto" w:fill="auto"/>
            <w:noWrap/>
            <w:vAlign w:val="center"/>
            <w:hideMark/>
          </w:tcPr>
          <w:p w14:paraId="78709636"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nil"/>
              <w:right w:val="single" w:sz="4" w:space="0" w:color="auto"/>
            </w:tcBorders>
            <w:shd w:val="clear" w:color="auto" w:fill="auto"/>
            <w:noWrap/>
            <w:vAlign w:val="center"/>
            <w:hideMark/>
          </w:tcPr>
          <w:p w14:paraId="123F8F87" w14:textId="77777777" w:rsidR="00387142" w:rsidRPr="008B6A75" w:rsidRDefault="00387142" w:rsidP="00387142">
            <w:pPr>
              <w:jc w:val="right"/>
              <w:rPr>
                <w:bCs/>
                <w:sz w:val="20"/>
                <w:szCs w:val="20"/>
              </w:rPr>
            </w:pPr>
            <w:r w:rsidRPr="008B6A75">
              <w:rPr>
                <w:bCs/>
                <w:sz w:val="20"/>
                <w:szCs w:val="20"/>
              </w:rPr>
              <w:t>1 484 300,00</w:t>
            </w:r>
          </w:p>
        </w:tc>
        <w:tc>
          <w:tcPr>
            <w:tcW w:w="992" w:type="dxa"/>
            <w:gridSpan w:val="2"/>
            <w:tcBorders>
              <w:top w:val="nil"/>
              <w:left w:val="single" w:sz="4" w:space="0" w:color="auto"/>
              <w:bottom w:val="nil"/>
              <w:right w:val="nil"/>
            </w:tcBorders>
            <w:shd w:val="clear" w:color="auto" w:fill="auto"/>
            <w:noWrap/>
            <w:vAlign w:val="center"/>
            <w:hideMark/>
          </w:tcPr>
          <w:p w14:paraId="2B71F5E7" w14:textId="77777777" w:rsidR="00387142" w:rsidRPr="008B6A75" w:rsidRDefault="00387142" w:rsidP="00387142">
            <w:pPr>
              <w:jc w:val="right"/>
              <w:rPr>
                <w:bCs/>
                <w:sz w:val="20"/>
                <w:szCs w:val="20"/>
              </w:rPr>
            </w:pPr>
            <w:r w:rsidRPr="008B6A75">
              <w:rPr>
                <w:bCs/>
                <w:sz w:val="20"/>
                <w:szCs w:val="20"/>
              </w:rPr>
              <w:t>1 484 300,00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4DF359D0" w14:textId="77777777" w:rsidR="00387142" w:rsidRPr="008B6A75" w:rsidRDefault="00387142" w:rsidP="00387142">
            <w:pPr>
              <w:jc w:val="right"/>
              <w:rPr>
                <w:bCs/>
                <w:sz w:val="20"/>
                <w:szCs w:val="20"/>
              </w:rPr>
            </w:pPr>
            <w:r w:rsidRPr="008B6A75">
              <w:rPr>
                <w:bCs/>
                <w:sz w:val="20"/>
                <w:szCs w:val="20"/>
              </w:rPr>
              <w:t>1 484 300,00</w:t>
            </w:r>
          </w:p>
        </w:tc>
        <w:tc>
          <w:tcPr>
            <w:tcW w:w="222" w:type="dxa"/>
            <w:vAlign w:val="center"/>
            <w:hideMark/>
          </w:tcPr>
          <w:p w14:paraId="0BC95190" w14:textId="77777777" w:rsidR="00387142" w:rsidRPr="008B6A75" w:rsidRDefault="00387142" w:rsidP="00387142">
            <w:pPr>
              <w:rPr>
                <w:sz w:val="20"/>
                <w:szCs w:val="20"/>
              </w:rPr>
            </w:pPr>
          </w:p>
        </w:tc>
      </w:tr>
      <w:tr w:rsidR="00387142" w:rsidRPr="008B6A75" w14:paraId="3C8110F9" w14:textId="77777777" w:rsidTr="00387142">
        <w:trPr>
          <w:trHeight w:val="1440"/>
        </w:trPr>
        <w:tc>
          <w:tcPr>
            <w:tcW w:w="3021" w:type="dxa"/>
            <w:tcBorders>
              <w:top w:val="single" w:sz="4" w:space="0" w:color="auto"/>
              <w:left w:val="single" w:sz="4" w:space="0" w:color="auto"/>
              <w:bottom w:val="nil"/>
              <w:right w:val="nil"/>
            </w:tcBorders>
            <w:shd w:val="clear" w:color="auto" w:fill="auto"/>
            <w:vAlign w:val="center"/>
            <w:hideMark/>
          </w:tcPr>
          <w:p w14:paraId="600EC3A5" w14:textId="77777777" w:rsidR="00387142" w:rsidRPr="008B6A75" w:rsidRDefault="00387142" w:rsidP="00387142">
            <w:pPr>
              <w:rPr>
                <w:sz w:val="20"/>
                <w:szCs w:val="20"/>
              </w:rPr>
            </w:pPr>
            <w:r w:rsidRPr="008B6A7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nil"/>
              <w:right w:val="nil"/>
            </w:tcBorders>
            <w:shd w:val="clear" w:color="auto" w:fill="auto"/>
            <w:noWrap/>
            <w:vAlign w:val="center"/>
            <w:hideMark/>
          </w:tcPr>
          <w:p w14:paraId="31747FB0" w14:textId="77777777" w:rsidR="00387142" w:rsidRPr="008B6A75" w:rsidRDefault="00387142" w:rsidP="00387142">
            <w:pPr>
              <w:jc w:val="center"/>
              <w:rPr>
                <w:sz w:val="20"/>
                <w:szCs w:val="20"/>
              </w:rPr>
            </w:pPr>
            <w:r w:rsidRPr="008B6A75">
              <w:rPr>
                <w:sz w:val="20"/>
                <w:szCs w:val="20"/>
              </w:rPr>
              <w:t>444</w:t>
            </w:r>
          </w:p>
        </w:tc>
        <w:tc>
          <w:tcPr>
            <w:tcW w:w="709" w:type="dxa"/>
            <w:tcBorders>
              <w:top w:val="single" w:sz="4" w:space="0" w:color="auto"/>
              <w:left w:val="single" w:sz="4" w:space="0" w:color="auto"/>
              <w:bottom w:val="nil"/>
              <w:right w:val="nil"/>
            </w:tcBorders>
            <w:shd w:val="clear" w:color="auto" w:fill="auto"/>
            <w:noWrap/>
            <w:vAlign w:val="center"/>
            <w:hideMark/>
          </w:tcPr>
          <w:p w14:paraId="5D53483F" w14:textId="77777777" w:rsidR="00387142" w:rsidRPr="008B6A75" w:rsidRDefault="00387142" w:rsidP="00387142">
            <w:pPr>
              <w:jc w:val="center"/>
              <w:rPr>
                <w:sz w:val="20"/>
                <w:szCs w:val="20"/>
              </w:rPr>
            </w:pPr>
            <w:r w:rsidRPr="008B6A75">
              <w:rPr>
                <w:sz w:val="20"/>
                <w:szCs w:val="20"/>
              </w:rPr>
              <w:t>07</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5F077366" w14:textId="77777777" w:rsidR="00387142" w:rsidRPr="008B6A75" w:rsidRDefault="00387142" w:rsidP="00387142">
            <w:pPr>
              <w:jc w:val="center"/>
              <w:rPr>
                <w:sz w:val="20"/>
                <w:szCs w:val="20"/>
              </w:rPr>
            </w:pPr>
            <w:r w:rsidRPr="008B6A75">
              <w:rPr>
                <w:sz w:val="20"/>
                <w:szCs w:val="20"/>
              </w:rPr>
              <w:t>02</w:t>
            </w:r>
          </w:p>
        </w:tc>
        <w:tc>
          <w:tcPr>
            <w:tcW w:w="1411" w:type="dxa"/>
            <w:tcBorders>
              <w:top w:val="single" w:sz="4" w:space="0" w:color="auto"/>
              <w:left w:val="single" w:sz="4" w:space="0" w:color="auto"/>
              <w:bottom w:val="nil"/>
              <w:right w:val="nil"/>
            </w:tcBorders>
            <w:shd w:val="clear" w:color="auto" w:fill="auto"/>
            <w:noWrap/>
            <w:vAlign w:val="center"/>
            <w:hideMark/>
          </w:tcPr>
          <w:p w14:paraId="3BE2FA14" w14:textId="77777777" w:rsidR="00387142" w:rsidRPr="008B6A75" w:rsidRDefault="00387142" w:rsidP="00387142">
            <w:pPr>
              <w:jc w:val="center"/>
              <w:rPr>
                <w:sz w:val="20"/>
                <w:szCs w:val="20"/>
              </w:rPr>
            </w:pPr>
            <w:r w:rsidRPr="008B6A75">
              <w:rPr>
                <w:sz w:val="20"/>
                <w:szCs w:val="20"/>
              </w:rPr>
              <w:t>07.1.00.03350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0DA0ABEF" w14:textId="77777777" w:rsidR="00387142" w:rsidRPr="008B6A75" w:rsidRDefault="00387142" w:rsidP="00387142">
            <w:pPr>
              <w:jc w:val="center"/>
              <w:rPr>
                <w:sz w:val="20"/>
                <w:szCs w:val="20"/>
              </w:rPr>
            </w:pPr>
            <w:r w:rsidRPr="008B6A75">
              <w:rPr>
                <w:sz w:val="20"/>
                <w:szCs w:val="20"/>
              </w:rPr>
              <w:t>100</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67F09B0E" w14:textId="77777777" w:rsidR="00387142" w:rsidRPr="008B6A75" w:rsidRDefault="00387142" w:rsidP="00387142">
            <w:pPr>
              <w:jc w:val="right"/>
              <w:rPr>
                <w:sz w:val="20"/>
                <w:szCs w:val="20"/>
              </w:rPr>
            </w:pPr>
            <w:r w:rsidRPr="008B6A75">
              <w:rPr>
                <w:sz w:val="20"/>
                <w:szCs w:val="20"/>
              </w:rPr>
              <w:t>765 596,00</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147960E0" w14:textId="77777777" w:rsidR="00387142" w:rsidRPr="008B6A75" w:rsidRDefault="00387142" w:rsidP="00387142">
            <w:pPr>
              <w:jc w:val="right"/>
              <w:rPr>
                <w:sz w:val="20"/>
                <w:szCs w:val="20"/>
              </w:rPr>
            </w:pPr>
            <w:r w:rsidRPr="008B6A75">
              <w:rPr>
                <w:sz w:val="20"/>
                <w:szCs w:val="20"/>
              </w:rPr>
              <w:t>765 600,00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0F861D5C" w14:textId="77777777" w:rsidR="00387142" w:rsidRPr="008B6A75" w:rsidRDefault="00387142" w:rsidP="00387142">
            <w:pPr>
              <w:jc w:val="right"/>
              <w:rPr>
                <w:sz w:val="20"/>
                <w:szCs w:val="20"/>
              </w:rPr>
            </w:pPr>
            <w:r w:rsidRPr="008B6A75">
              <w:rPr>
                <w:sz w:val="20"/>
                <w:szCs w:val="20"/>
              </w:rPr>
              <w:t>765 600,00</w:t>
            </w:r>
          </w:p>
        </w:tc>
        <w:tc>
          <w:tcPr>
            <w:tcW w:w="222" w:type="dxa"/>
            <w:vAlign w:val="center"/>
            <w:hideMark/>
          </w:tcPr>
          <w:p w14:paraId="27211DCD" w14:textId="77777777" w:rsidR="00387142" w:rsidRPr="008B6A75" w:rsidRDefault="00387142" w:rsidP="00387142">
            <w:pPr>
              <w:rPr>
                <w:sz w:val="20"/>
                <w:szCs w:val="20"/>
              </w:rPr>
            </w:pPr>
          </w:p>
        </w:tc>
      </w:tr>
      <w:tr w:rsidR="00387142" w:rsidRPr="008B6A75" w14:paraId="0FA56022" w14:textId="77777777" w:rsidTr="00387142">
        <w:trPr>
          <w:trHeight w:val="585"/>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3E74EF95" w14:textId="77777777" w:rsidR="00387142" w:rsidRPr="008B6A75" w:rsidRDefault="00387142" w:rsidP="00387142">
            <w:pPr>
              <w:rPr>
                <w:sz w:val="20"/>
                <w:szCs w:val="20"/>
              </w:rPr>
            </w:pPr>
            <w:r w:rsidRPr="008B6A75">
              <w:rPr>
                <w:sz w:val="20"/>
                <w:szCs w:val="20"/>
              </w:rPr>
              <w:t>Расходы на выплаты персоналу казенных учреждений</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2717F9C7" w14:textId="77777777" w:rsidR="00387142" w:rsidRPr="008B6A75" w:rsidRDefault="00387142" w:rsidP="00387142">
            <w:pPr>
              <w:jc w:val="center"/>
              <w:rPr>
                <w:sz w:val="20"/>
                <w:szCs w:val="20"/>
              </w:rPr>
            </w:pPr>
            <w:r w:rsidRPr="008B6A75">
              <w:rPr>
                <w:sz w:val="20"/>
                <w:szCs w:val="20"/>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5DD6082E" w14:textId="77777777" w:rsidR="00387142" w:rsidRPr="008B6A75" w:rsidRDefault="00387142" w:rsidP="00387142">
            <w:pPr>
              <w:jc w:val="center"/>
              <w:rPr>
                <w:sz w:val="20"/>
                <w:szCs w:val="20"/>
              </w:rPr>
            </w:pPr>
            <w:r w:rsidRPr="008B6A75">
              <w:rPr>
                <w:sz w:val="20"/>
                <w:szCs w:val="20"/>
              </w:rPr>
              <w:t>07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04B216" w14:textId="77777777" w:rsidR="00387142" w:rsidRPr="008B6A75" w:rsidRDefault="00387142" w:rsidP="00387142">
            <w:pPr>
              <w:jc w:val="center"/>
              <w:rPr>
                <w:sz w:val="20"/>
                <w:szCs w:val="20"/>
              </w:rPr>
            </w:pPr>
            <w:r w:rsidRPr="008B6A75">
              <w:rPr>
                <w:sz w:val="20"/>
                <w:szCs w:val="20"/>
              </w:rPr>
              <w:t>02</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0A30ECFB" w14:textId="77777777" w:rsidR="00387142" w:rsidRPr="008B6A75" w:rsidRDefault="00387142" w:rsidP="00387142">
            <w:pPr>
              <w:jc w:val="center"/>
              <w:rPr>
                <w:sz w:val="20"/>
                <w:szCs w:val="20"/>
              </w:rPr>
            </w:pPr>
            <w:r w:rsidRPr="008B6A75">
              <w:rPr>
                <w:sz w:val="20"/>
                <w:szCs w:val="20"/>
              </w:rPr>
              <w:t>07.1.00.03350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001DBF" w14:textId="77777777" w:rsidR="00387142" w:rsidRPr="008B6A75" w:rsidRDefault="00387142" w:rsidP="00387142">
            <w:pPr>
              <w:jc w:val="center"/>
              <w:rPr>
                <w:sz w:val="20"/>
                <w:szCs w:val="20"/>
              </w:rPr>
            </w:pPr>
            <w:r w:rsidRPr="008B6A75">
              <w:rPr>
                <w:sz w:val="20"/>
                <w:szCs w:val="20"/>
              </w:rPr>
              <w:t>110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81E395" w14:textId="77777777" w:rsidR="00387142" w:rsidRPr="008B6A75" w:rsidRDefault="00387142" w:rsidP="00387142">
            <w:pPr>
              <w:jc w:val="right"/>
              <w:rPr>
                <w:sz w:val="20"/>
                <w:szCs w:val="20"/>
              </w:rPr>
            </w:pPr>
            <w:r w:rsidRPr="008B6A75">
              <w:rPr>
                <w:sz w:val="20"/>
                <w:szCs w:val="20"/>
              </w:rPr>
              <w:t>765 596,00</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770491A2" w14:textId="77777777" w:rsidR="00387142" w:rsidRPr="008B6A75" w:rsidRDefault="00387142" w:rsidP="00387142">
            <w:pPr>
              <w:jc w:val="right"/>
              <w:rPr>
                <w:sz w:val="20"/>
                <w:szCs w:val="20"/>
              </w:rPr>
            </w:pPr>
            <w:r w:rsidRPr="008B6A75">
              <w:rPr>
                <w:sz w:val="20"/>
                <w:szCs w:val="20"/>
              </w:rPr>
              <w:t>765 600,00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53F123" w14:textId="77777777" w:rsidR="00387142" w:rsidRPr="008B6A75" w:rsidRDefault="00387142" w:rsidP="00387142">
            <w:pPr>
              <w:jc w:val="right"/>
              <w:rPr>
                <w:sz w:val="20"/>
                <w:szCs w:val="20"/>
              </w:rPr>
            </w:pPr>
            <w:r w:rsidRPr="008B6A75">
              <w:rPr>
                <w:sz w:val="20"/>
                <w:szCs w:val="20"/>
              </w:rPr>
              <w:t>765 600,00</w:t>
            </w:r>
          </w:p>
        </w:tc>
        <w:tc>
          <w:tcPr>
            <w:tcW w:w="222" w:type="dxa"/>
            <w:vAlign w:val="center"/>
            <w:hideMark/>
          </w:tcPr>
          <w:p w14:paraId="005673CE" w14:textId="77777777" w:rsidR="00387142" w:rsidRPr="008B6A75" w:rsidRDefault="00387142" w:rsidP="00387142">
            <w:pPr>
              <w:rPr>
                <w:sz w:val="20"/>
                <w:szCs w:val="20"/>
              </w:rPr>
            </w:pPr>
          </w:p>
        </w:tc>
      </w:tr>
      <w:tr w:rsidR="00387142" w:rsidRPr="008B6A75" w14:paraId="7769CCC3" w14:textId="77777777" w:rsidTr="00387142">
        <w:trPr>
          <w:trHeight w:val="870"/>
        </w:trPr>
        <w:tc>
          <w:tcPr>
            <w:tcW w:w="3021" w:type="dxa"/>
            <w:tcBorders>
              <w:top w:val="nil"/>
              <w:left w:val="single" w:sz="4" w:space="0" w:color="auto"/>
              <w:bottom w:val="nil"/>
              <w:right w:val="nil"/>
            </w:tcBorders>
            <w:shd w:val="clear" w:color="auto" w:fill="auto"/>
            <w:vAlign w:val="center"/>
            <w:hideMark/>
          </w:tcPr>
          <w:p w14:paraId="5665B7F7" w14:textId="77777777" w:rsidR="00387142" w:rsidRPr="008B6A75" w:rsidRDefault="00387142" w:rsidP="00387142">
            <w:pPr>
              <w:rPr>
                <w:sz w:val="20"/>
                <w:szCs w:val="20"/>
              </w:rPr>
            </w:pPr>
            <w:r w:rsidRPr="008B6A75">
              <w:rPr>
                <w:sz w:val="20"/>
                <w:szCs w:val="20"/>
              </w:rPr>
              <w:lastRenderedPageBreak/>
              <w:t>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right w:val="nil"/>
            </w:tcBorders>
            <w:shd w:val="clear" w:color="auto" w:fill="auto"/>
            <w:noWrap/>
            <w:vAlign w:val="center"/>
            <w:hideMark/>
          </w:tcPr>
          <w:p w14:paraId="174F6F1B" w14:textId="77777777" w:rsidR="00387142" w:rsidRPr="008B6A75" w:rsidRDefault="00387142" w:rsidP="00387142">
            <w:pPr>
              <w:jc w:val="center"/>
              <w:rPr>
                <w:sz w:val="20"/>
                <w:szCs w:val="20"/>
              </w:rPr>
            </w:pPr>
            <w:r w:rsidRPr="008B6A75">
              <w:rPr>
                <w:sz w:val="20"/>
                <w:szCs w:val="20"/>
              </w:rPr>
              <w:t>444</w:t>
            </w:r>
          </w:p>
        </w:tc>
        <w:tc>
          <w:tcPr>
            <w:tcW w:w="709" w:type="dxa"/>
            <w:tcBorders>
              <w:top w:val="nil"/>
              <w:left w:val="single" w:sz="4" w:space="0" w:color="auto"/>
              <w:bottom w:val="nil"/>
              <w:right w:val="nil"/>
            </w:tcBorders>
            <w:shd w:val="clear" w:color="auto" w:fill="auto"/>
            <w:noWrap/>
            <w:vAlign w:val="center"/>
            <w:hideMark/>
          </w:tcPr>
          <w:p w14:paraId="5D662BD5" w14:textId="77777777" w:rsidR="00387142" w:rsidRPr="008B6A75" w:rsidRDefault="00387142" w:rsidP="00387142">
            <w:pPr>
              <w:jc w:val="center"/>
              <w:rPr>
                <w:sz w:val="20"/>
                <w:szCs w:val="20"/>
              </w:rPr>
            </w:pPr>
            <w:r w:rsidRPr="008B6A75">
              <w:rPr>
                <w:sz w:val="20"/>
                <w:szCs w:val="20"/>
              </w:rPr>
              <w:t>07</w:t>
            </w:r>
          </w:p>
        </w:tc>
        <w:tc>
          <w:tcPr>
            <w:tcW w:w="709" w:type="dxa"/>
            <w:tcBorders>
              <w:top w:val="nil"/>
              <w:left w:val="single" w:sz="4" w:space="0" w:color="auto"/>
              <w:bottom w:val="nil"/>
              <w:right w:val="single" w:sz="4" w:space="0" w:color="auto"/>
            </w:tcBorders>
            <w:shd w:val="clear" w:color="auto" w:fill="auto"/>
            <w:noWrap/>
            <w:vAlign w:val="center"/>
            <w:hideMark/>
          </w:tcPr>
          <w:p w14:paraId="33AC8018" w14:textId="77777777" w:rsidR="00387142" w:rsidRPr="008B6A75" w:rsidRDefault="00387142" w:rsidP="00387142">
            <w:pPr>
              <w:jc w:val="center"/>
              <w:rPr>
                <w:sz w:val="20"/>
                <w:szCs w:val="20"/>
              </w:rPr>
            </w:pPr>
            <w:r w:rsidRPr="008B6A75">
              <w:rPr>
                <w:sz w:val="20"/>
                <w:szCs w:val="20"/>
              </w:rPr>
              <w:t>02</w:t>
            </w:r>
          </w:p>
        </w:tc>
        <w:tc>
          <w:tcPr>
            <w:tcW w:w="1411" w:type="dxa"/>
            <w:tcBorders>
              <w:top w:val="nil"/>
              <w:left w:val="single" w:sz="4" w:space="0" w:color="auto"/>
              <w:bottom w:val="nil"/>
              <w:right w:val="nil"/>
            </w:tcBorders>
            <w:shd w:val="clear" w:color="auto" w:fill="auto"/>
            <w:noWrap/>
            <w:vAlign w:val="center"/>
            <w:hideMark/>
          </w:tcPr>
          <w:p w14:paraId="7BBAD9E7" w14:textId="77777777" w:rsidR="00387142" w:rsidRPr="008B6A75" w:rsidRDefault="00387142" w:rsidP="00387142">
            <w:pPr>
              <w:jc w:val="center"/>
              <w:rPr>
                <w:sz w:val="20"/>
                <w:szCs w:val="20"/>
              </w:rPr>
            </w:pPr>
            <w:r w:rsidRPr="008B6A75">
              <w:rPr>
                <w:sz w:val="20"/>
                <w:szCs w:val="20"/>
              </w:rPr>
              <w:t>07.1.00.03350</w:t>
            </w:r>
          </w:p>
        </w:tc>
        <w:tc>
          <w:tcPr>
            <w:tcW w:w="955" w:type="dxa"/>
            <w:tcBorders>
              <w:top w:val="nil"/>
              <w:left w:val="single" w:sz="4" w:space="0" w:color="auto"/>
              <w:bottom w:val="nil"/>
              <w:right w:val="single" w:sz="4" w:space="0" w:color="auto"/>
            </w:tcBorders>
            <w:shd w:val="clear" w:color="auto" w:fill="auto"/>
            <w:noWrap/>
            <w:vAlign w:val="center"/>
            <w:hideMark/>
          </w:tcPr>
          <w:p w14:paraId="4A46742B" w14:textId="77777777" w:rsidR="00387142" w:rsidRPr="008B6A75" w:rsidRDefault="00387142" w:rsidP="00387142">
            <w:pPr>
              <w:jc w:val="center"/>
              <w:rPr>
                <w:sz w:val="20"/>
                <w:szCs w:val="20"/>
              </w:rPr>
            </w:pPr>
            <w:r w:rsidRPr="008B6A75">
              <w:rPr>
                <w:sz w:val="20"/>
                <w:szCs w:val="20"/>
              </w:rPr>
              <w:t>600</w:t>
            </w:r>
          </w:p>
        </w:tc>
        <w:tc>
          <w:tcPr>
            <w:tcW w:w="992" w:type="dxa"/>
            <w:tcBorders>
              <w:top w:val="nil"/>
              <w:left w:val="single" w:sz="4" w:space="0" w:color="auto"/>
              <w:bottom w:val="nil"/>
              <w:right w:val="single" w:sz="4" w:space="0" w:color="auto"/>
            </w:tcBorders>
            <w:shd w:val="clear" w:color="auto" w:fill="auto"/>
            <w:noWrap/>
            <w:vAlign w:val="center"/>
            <w:hideMark/>
          </w:tcPr>
          <w:p w14:paraId="0BE37C34" w14:textId="77777777" w:rsidR="00387142" w:rsidRPr="008B6A75" w:rsidRDefault="00387142" w:rsidP="00387142">
            <w:pPr>
              <w:jc w:val="right"/>
              <w:rPr>
                <w:sz w:val="20"/>
                <w:szCs w:val="20"/>
              </w:rPr>
            </w:pPr>
            <w:r w:rsidRPr="008B6A75">
              <w:rPr>
                <w:sz w:val="20"/>
                <w:szCs w:val="20"/>
              </w:rPr>
              <w:t>718 704,00</w:t>
            </w:r>
          </w:p>
        </w:tc>
        <w:tc>
          <w:tcPr>
            <w:tcW w:w="992" w:type="dxa"/>
            <w:gridSpan w:val="2"/>
            <w:tcBorders>
              <w:top w:val="nil"/>
              <w:left w:val="single" w:sz="4" w:space="0" w:color="auto"/>
              <w:bottom w:val="nil"/>
              <w:right w:val="nil"/>
            </w:tcBorders>
            <w:shd w:val="clear" w:color="auto" w:fill="auto"/>
            <w:noWrap/>
            <w:vAlign w:val="center"/>
            <w:hideMark/>
          </w:tcPr>
          <w:p w14:paraId="31207D8E" w14:textId="77777777" w:rsidR="00387142" w:rsidRPr="008B6A75" w:rsidRDefault="00387142" w:rsidP="00387142">
            <w:pPr>
              <w:jc w:val="right"/>
              <w:rPr>
                <w:sz w:val="20"/>
                <w:szCs w:val="20"/>
              </w:rPr>
            </w:pPr>
            <w:r w:rsidRPr="008B6A75">
              <w:rPr>
                <w:sz w:val="20"/>
                <w:szCs w:val="20"/>
              </w:rPr>
              <w:t>718 700,00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467D7FEF" w14:textId="77777777" w:rsidR="00387142" w:rsidRPr="008B6A75" w:rsidRDefault="00387142" w:rsidP="00387142">
            <w:pPr>
              <w:jc w:val="right"/>
              <w:rPr>
                <w:sz w:val="20"/>
                <w:szCs w:val="20"/>
              </w:rPr>
            </w:pPr>
            <w:r w:rsidRPr="008B6A75">
              <w:rPr>
                <w:sz w:val="20"/>
                <w:szCs w:val="20"/>
              </w:rPr>
              <w:t>718 700,00</w:t>
            </w:r>
          </w:p>
        </w:tc>
        <w:tc>
          <w:tcPr>
            <w:tcW w:w="222" w:type="dxa"/>
            <w:vAlign w:val="center"/>
            <w:hideMark/>
          </w:tcPr>
          <w:p w14:paraId="57A1DB60" w14:textId="77777777" w:rsidR="00387142" w:rsidRPr="008B6A75" w:rsidRDefault="00387142" w:rsidP="00387142">
            <w:pPr>
              <w:rPr>
                <w:sz w:val="20"/>
                <w:szCs w:val="20"/>
              </w:rPr>
            </w:pPr>
          </w:p>
        </w:tc>
      </w:tr>
      <w:tr w:rsidR="00387142" w:rsidRPr="008B6A75" w14:paraId="7A25F02D" w14:textId="77777777" w:rsidTr="00387142">
        <w:trPr>
          <w:trHeight w:val="300"/>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30E13B58" w14:textId="77777777" w:rsidR="00387142" w:rsidRPr="008B6A75" w:rsidRDefault="00387142" w:rsidP="00387142">
            <w:pPr>
              <w:rPr>
                <w:sz w:val="20"/>
                <w:szCs w:val="20"/>
              </w:rPr>
            </w:pPr>
            <w:r w:rsidRPr="008B6A75">
              <w:rPr>
                <w:sz w:val="20"/>
                <w:szCs w:val="20"/>
              </w:rPr>
              <w:t>Субсидии бюджетным учреждениям</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4BAE6507" w14:textId="77777777" w:rsidR="00387142" w:rsidRPr="008B6A75" w:rsidRDefault="00387142" w:rsidP="00387142">
            <w:pPr>
              <w:jc w:val="center"/>
              <w:rPr>
                <w:sz w:val="20"/>
                <w:szCs w:val="20"/>
              </w:rPr>
            </w:pPr>
            <w:r w:rsidRPr="008B6A75">
              <w:rPr>
                <w:sz w:val="20"/>
                <w:szCs w:val="20"/>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7C669102" w14:textId="77777777" w:rsidR="00387142" w:rsidRPr="008B6A75" w:rsidRDefault="00387142" w:rsidP="00387142">
            <w:pPr>
              <w:jc w:val="center"/>
              <w:rPr>
                <w:sz w:val="20"/>
                <w:szCs w:val="20"/>
              </w:rPr>
            </w:pPr>
            <w:r w:rsidRPr="008B6A75">
              <w:rPr>
                <w:sz w:val="20"/>
                <w:szCs w:val="20"/>
              </w:rPr>
              <w:t>07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D60745" w14:textId="77777777" w:rsidR="00387142" w:rsidRPr="008B6A75" w:rsidRDefault="00387142" w:rsidP="00387142">
            <w:pPr>
              <w:jc w:val="center"/>
              <w:rPr>
                <w:sz w:val="20"/>
                <w:szCs w:val="20"/>
              </w:rPr>
            </w:pPr>
            <w:r w:rsidRPr="008B6A75">
              <w:rPr>
                <w:sz w:val="20"/>
                <w:szCs w:val="20"/>
              </w:rPr>
              <w:t>02</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7EE19A2F" w14:textId="77777777" w:rsidR="00387142" w:rsidRPr="008B6A75" w:rsidRDefault="00387142" w:rsidP="00387142">
            <w:pPr>
              <w:jc w:val="center"/>
              <w:rPr>
                <w:sz w:val="20"/>
                <w:szCs w:val="20"/>
              </w:rPr>
            </w:pPr>
            <w:r w:rsidRPr="008B6A75">
              <w:rPr>
                <w:sz w:val="20"/>
                <w:szCs w:val="20"/>
              </w:rPr>
              <w:t>07.1.00.03350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E4FF27" w14:textId="77777777" w:rsidR="00387142" w:rsidRPr="008B6A75" w:rsidRDefault="00387142" w:rsidP="00387142">
            <w:pPr>
              <w:jc w:val="center"/>
              <w:rPr>
                <w:sz w:val="20"/>
                <w:szCs w:val="20"/>
              </w:rPr>
            </w:pPr>
            <w:r w:rsidRPr="008B6A75">
              <w:rPr>
                <w:sz w:val="20"/>
                <w:szCs w:val="20"/>
              </w:rPr>
              <w:t>610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1D3B3A" w14:textId="77777777" w:rsidR="00387142" w:rsidRPr="008B6A75" w:rsidRDefault="00387142" w:rsidP="00387142">
            <w:pPr>
              <w:jc w:val="right"/>
              <w:rPr>
                <w:sz w:val="20"/>
                <w:szCs w:val="20"/>
              </w:rPr>
            </w:pPr>
            <w:r w:rsidRPr="008B6A75">
              <w:rPr>
                <w:sz w:val="20"/>
                <w:szCs w:val="20"/>
              </w:rPr>
              <w:t>718 704,00</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1F762BE4" w14:textId="77777777" w:rsidR="00387142" w:rsidRPr="008B6A75" w:rsidRDefault="00387142" w:rsidP="00387142">
            <w:pPr>
              <w:jc w:val="right"/>
              <w:rPr>
                <w:sz w:val="20"/>
                <w:szCs w:val="20"/>
              </w:rPr>
            </w:pPr>
            <w:r w:rsidRPr="008B6A75">
              <w:rPr>
                <w:sz w:val="20"/>
                <w:szCs w:val="20"/>
              </w:rPr>
              <w:t>718 700,00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7E7B35" w14:textId="77777777" w:rsidR="00387142" w:rsidRPr="008B6A75" w:rsidRDefault="00387142" w:rsidP="00387142">
            <w:pPr>
              <w:jc w:val="right"/>
              <w:rPr>
                <w:sz w:val="20"/>
                <w:szCs w:val="20"/>
              </w:rPr>
            </w:pPr>
            <w:r w:rsidRPr="008B6A75">
              <w:rPr>
                <w:sz w:val="20"/>
                <w:szCs w:val="20"/>
              </w:rPr>
              <w:t>718 700,00</w:t>
            </w:r>
          </w:p>
        </w:tc>
        <w:tc>
          <w:tcPr>
            <w:tcW w:w="222" w:type="dxa"/>
            <w:vAlign w:val="center"/>
            <w:hideMark/>
          </w:tcPr>
          <w:p w14:paraId="76496EA0" w14:textId="77777777" w:rsidR="00387142" w:rsidRPr="008B6A75" w:rsidRDefault="00387142" w:rsidP="00387142">
            <w:pPr>
              <w:rPr>
                <w:sz w:val="20"/>
                <w:szCs w:val="20"/>
              </w:rPr>
            </w:pPr>
          </w:p>
        </w:tc>
      </w:tr>
      <w:tr w:rsidR="00387142" w:rsidRPr="008B6A75" w14:paraId="432465B5" w14:textId="77777777" w:rsidTr="00387142">
        <w:trPr>
          <w:trHeight w:val="870"/>
        </w:trPr>
        <w:tc>
          <w:tcPr>
            <w:tcW w:w="3021" w:type="dxa"/>
            <w:tcBorders>
              <w:top w:val="nil"/>
              <w:left w:val="single" w:sz="4" w:space="0" w:color="auto"/>
              <w:bottom w:val="nil"/>
              <w:right w:val="nil"/>
            </w:tcBorders>
            <w:shd w:val="clear" w:color="auto" w:fill="auto"/>
            <w:vAlign w:val="center"/>
            <w:hideMark/>
          </w:tcPr>
          <w:p w14:paraId="1C7BD886" w14:textId="77777777" w:rsidR="00387142" w:rsidRPr="008B6A75" w:rsidRDefault="00387142" w:rsidP="00387142">
            <w:pPr>
              <w:rPr>
                <w:bCs/>
                <w:sz w:val="20"/>
                <w:szCs w:val="20"/>
              </w:rPr>
            </w:pPr>
            <w:r w:rsidRPr="008B6A75">
              <w:rPr>
                <w:bCs/>
                <w:sz w:val="20"/>
                <w:szCs w:val="20"/>
              </w:rPr>
              <w:t>Расходы на обеспечение деятельности (оказание услуг) дошкольных групп при школах, школах-интернатах</w:t>
            </w:r>
          </w:p>
        </w:tc>
        <w:tc>
          <w:tcPr>
            <w:tcW w:w="850" w:type="dxa"/>
            <w:tcBorders>
              <w:top w:val="nil"/>
              <w:left w:val="single" w:sz="4" w:space="0" w:color="auto"/>
              <w:bottom w:val="nil"/>
              <w:right w:val="nil"/>
            </w:tcBorders>
            <w:shd w:val="clear" w:color="auto" w:fill="auto"/>
            <w:noWrap/>
            <w:vAlign w:val="center"/>
            <w:hideMark/>
          </w:tcPr>
          <w:p w14:paraId="562E4EFD" w14:textId="77777777" w:rsidR="00387142" w:rsidRPr="008B6A75" w:rsidRDefault="00387142" w:rsidP="00387142">
            <w:pPr>
              <w:jc w:val="center"/>
              <w:rPr>
                <w:bCs/>
                <w:sz w:val="20"/>
                <w:szCs w:val="20"/>
              </w:rPr>
            </w:pPr>
            <w:r w:rsidRPr="008B6A75">
              <w:rPr>
                <w:bCs/>
                <w:sz w:val="20"/>
                <w:szCs w:val="20"/>
              </w:rPr>
              <w:t>444</w:t>
            </w:r>
          </w:p>
        </w:tc>
        <w:tc>
          <w:tcPr>
            <w:tcW w:w="709" w:type="dxa"/>
            <w:tcBorders>
              <w:top w:val="nil"/>
              <w:left w:val="single" w:sz="4" w:space="0" w:color="auto"/>
              <w:bottom w:val="nil"/>
              <w:right w:val="nil"/>
            </w:tcBorders>
            <w:shd w:val="clear" w:color="auto" w:fill="auto"/>
            <w:noWrap/>
            <w:vAlign w:val="center"/>
            <w:hideMark/>
          </w:tcPr>
          <w:p w14:paraId="49993699" w14:textId="77777777" w:rsidR="00387142" w:rsidRPr="008B6A75" w:rsidRDefault="00387142" w:rsidP="00387142">
            <w:pPr>
              <w:jc w:val="center"/>
              <w:rPr>
                <w:bCs/>
                <w:sz w:val="20"/>
                <w:szCs w:val="20"/>
              </w:rPr>
            </w:pPr>
            <w:r w:rsidRPr="008B6A75">
              <w:rPr>
                <w:bCs/>
                <w:sz w:val="20"/>
                <w:szCs w:val="20"/>
              </w:rPr>
              <w:t>07</w:t>
            </w:r>
          </w:p>
        </w:tc>
        <w:tc>
          <w:tcPr>
            <w:tcW w:w="709" w:type="dxa"/>
            <w:tcBorders>
              <w:top w:val="nil"/>
              <w:left w:val="single" w:sz="4" w:space="0" w:color="auto"/>
              <w:bottom w:val="nil"/>
              <w:right w:val="single" w:sz="4" w:space="0" w:color="auto"/>
            </w:tcBorders>
            <w:shd w:val="clear" w:color="auto" w:fill="auto"/>
            <w:noWrap/>
            <w:vAlign w:val="center"/>
            <w:hideMark/>
          </w:tcPr>
          <w:p w14:paraId="15D05AA2" w14:textId="77777777" w:rsidR="00387142" w:rsidRPr="008B6A75" w:rsidRDefault="00387142" w:rsidP="00387142">
            <w:pPr>
              <w:jc w:val="center"/>
              <w:rPr>
                <w:bCs/>
                <w:sz w:val="20"/>
                <w:szCs w:val="20"/>
              </w:rPr>
            </w:pPr>
            <w:r w:rsidRPr="008B6A75">
              <w:rPr>
                <w:bCs/>
                <w:sz w:val="20"/>
                <w:szCs w:val="20"/>
              </w:rPr>
              <w:t>02</w:t>
            </w:r>
          </w:p>
        </w:tc>
        <w:tc>
          <w:tcPr>
            <w:tcW w:w="1411" w:type="dxa"/>
            <w:tcBorders>
              <w:top w:val="nil"/>
              <w:left w:val="single" w:sz="4" w:space="0" w:color="auto"/>
              <w:bottom w:val="nil"/>
              <w:right w:val="nil"/>
            </w:tcBorders>
            <w:shd w:val="clear" w:color="auto" w:fill="auto"/>
            <w:noWrap/>
            <w:vAlign w:val="center"/>
            <w:hideMark/>
          </w:tcPr>
          <w:p w14:paraId="7531C487" w14:textId="77777777" w:rsidR="00387142" w:rsidRPr="008B6A75" w:rsidRDefault="00387142" w:rsidP="00387142">
            <w:pPr>
              <w:jc w:val="center"/>
              <w:rPr>
                <w:bCs/>
                <w:sz w:val="20"/>
                <w:szCs w:val="20"/>
              </w:rPr>
            </w:pPr>
            <w:r w:rsidRPr="008B6A75">
              <w:rPr>
                <w:bCs/>
                <w:sz w:val="20"/>
                <w:szCs w:val="20"/>
              </w:rPr>
              <w:t>07.1.00.07210</w:t>
            </w:r>
          </w:p>
        </w:tc>
        <w:tc>
          <w:tcPr>
            <w:tcW w:w="955" w:type="dxa"/>
            <w:tcBorders>
              <w:top w:val="nil"/>
              <w:left w:val="single" w:sz="4" w:space="0" w:color="auto"/>
              <w:bottom w:val="nil"/>
              <w:right w:val="single" w:sz="4" w:space="0" w:color="auto"/>
            </w:tcBorders>
            <w:shd w:val="clear" w:color="auto" w:fill="auto"/>
            <w:noWrap/>
            <w:vAlign w:val="center"/>
            <w:hideMark/>
          </w:tcPr>
          <w:p w14:paraId="114D5A6B"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nil"/>
              <w:right w:val="single" w:sz="4" w:space="0" w:color="auto"/>
            </w:tcBorders>
            <w:shd w:val="clear" w:color="auto" w:fill="auto"/>
            <w:noWrap/>
            <w:vAlign w:val="center"/>
            <w:hideMark/>
          </w:tcPr>
          <w:p w14:paraId="5F927996" w14:textId="77777777" w:rsidR="00387142" w:rsidRPr="008B6A75" w:rsidRDefault="00387142" w:rsidP="00387142">
            <w:pPr>
              <w:jc w:val="right"/>
              <w:rPr>
                <w:bCs/>
                <w:sz w:val="20"/>
                <w:szCs w:val="20"/>
              </w:rPr>
            </w:pPr>
            <w:r w:rsidRPr="008B6A75">
              <w:rPr>
                <w:bCs/>
                <w:sz w:val="20"/>
                <w:szCs w:val="20"/>
              </w:rPr>
              <w:t>5 285 533,80</w:t>
            </w:r>
          </w:p>
        </w:tc>
        <w:tc>
          <w:tcPr>
            <w:tcW w:w="992" w:type="dxa"/>
            <w:gridSpan w:val="2"/>
            <w:tcBorders>
              <w:top w:val="nil"/>
              <w:left w:val="single" w:sz="4" w:space="0" w:color="auto"/>
              <w:bottom w:val="nil"/>
              <w:right w:val="nil"/>
            </w:tcBorders>
            <w:shd w:val="clear" w:color="auto" w:fill="auto"/>
            <w:noWrap/>
            <w:vAlign w:val="center"/>
            <w:hideMark/>
          </w:tcPr>
          <w:p w14:paraId="114F4A9C" w14:textId="77777777" w:rsidR="00387142" w:rsidRPr="008B6A75" w:rsidRDefault="00387142" w:rsidP="00387142">
            <w:pPr>
              <w:jc w:val="right"/>
              <w:rPr>
                <w:bCs/>
                <w:sz w:val="20"/>
                <w:szCs w:val="20"/>
              </w:rPr>
            </w:pPr>
            <w:r w:rsidRPr="008B6A75">
              <w:rPr>
                <w:bCs/>
                <w:sz w:val="20"/>
                <w:szCs w:val="20"/>
              </w:rPr>
              <w:t>4 946 319,00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29EDF15B" w14:textId="77777777" w:rsidR="00387142" w:rsidRPr="008B6A75" w:rsidRDefault="00387142" w:rsidP="00387142">
            <w:pPr>
              <w:jc w:val="right"/>
              <w:rPr>
                <w:bCs/>
                <w:sz w:val="20"/>
                <w:szCs w:val="20"/>
              </w:rPr>
            </w:pPr>
            <w:r w:rsidRPr="008B6A75">
              <w:rPr>
                <w:bCs/>
                <w:sz w:val="20"/>
                <w:szCs w:val="20"/>
              </w:rPr>
              <w:t>4 946 319,00</w:t>
            </w:r>
          </w:p>
        </w:tc>
        <w:tc>
          <w:tcPr>
            <w:tcW w:w="222" w:type="dxa"/>
            <w:vAlign w:val="center"/>
            <w:hideMark/>
          </w:tcPr>
          <w:p w14:paraId="2850E9C1" w14:textId="77777777" w:rsidR="00387142" w:rsidRPr="008B6A75" w:rsidRDefault="00387142" w:rsidP="00387142">
            <w:pPr>
              <w:rPr>
                <w:sz w:val="20"/>
                <w:szCs w:val="20"/>
              </w:rPr>
            </w:pPr>
          </w:p>
        </w:tc>
      </w:tr>
      <w:tr w:rsidR="00387142" w:rsidRPr="008B6A75" w14:paraId="4B83FB7C" w14:textId="77777777" w:rsidTr="00387142">
        <w:trPr>
          <w:trHeight w:val="585"/>
        </w:trPr>
        <w:tc>
          <w:tcPr>
            <w:tcW w:w="3021" w:type="dxa"/>
            <w:tcBorders>
              <w:top w:val="single" w:sz="4" w:space="0" w:color="auto"/>
              <w:left w:val="single" w:sz="4" w:space="0" w:color="auto"/>
              <w:bottom w:val="nil"/>
              <w:right w:val="nil"/>
            </w:tcBorders>
            <w:shd w:val="clear" w:color="auto" w:fill="auto"/>
            <w:vAlign w:val="center"/>
            <w:hideMark/>
          </w:tcPr>
          <w:p w14:paraId="665EAD5D" w14:textId="77777777" w:rsidR="00387142" w:rsidRPr="008B6A75" w:rsidRDefault="00387142" w:rsidP="00387142">
            <w:pPr>
              <w:rPr>
                <w:sz w:val="20"/>
                <w:szCs w:val="20"/>
              </w:rPr>
            </w:pPr>
            <w:r w:rsidRPr="008B6A75">
              <w:rPr>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nil"/>
              <w:right w:val="nil"/>
            </w:tcBorders>
            <w:shd w:val="clear" w:color="auto" w:fill="auto"/>
            <w:noWrap/>
            <w:vAlign w:val="center"/>
            <w:hideMark/>
          </w:tcPr>
          <w:p w14:paraId="592DB61B" w14:textId="77777777" w:rsidR="00387142" w:rsidRPr="008B6A75" w:rsidRDefault="00387142" w:rsidP="00387142">
            <w:pPr>
              <w:jc w:val="center"/>
              <w:rPr>
                <w:sz w:val="20"/>
                <w:szCs w:val="20"/>
              </w:rPr>
            </w:pPr>
            <w:r w:rsidRPr="008B6A75">
              <w:rPr>
                <w:sz w:val="20"/>
                <w:szCs w:val="20"/>
              </w:rPr>
              <w:t>444</w:t>
            </w:r>
          </w:p>
        </w:tc>
        <w:tc>
          <w:tcPr>
            <w:tcW w:w="709" w:type="dxa"/>
            <w:tcBorders>
              <w:top w:val="single" w:sz="4" w:space="0" w:color="auto"/>
              <w:left w:val="single" w:sz="4" w:space="0" w:color="auto"/>
              <w:bottom w:val="nil"/>
              <w:right w:val="nil"/>
            </w:tcBorders>
            <w:shd w:val="clear" w:color="auto" w:fill="auto"/>
            <w:noWrap/>
            <w:vAlign w:val="center"/>
            <w:hideMark/>
          </w:tcPr>
          <w:p w14:paraId="49B0042C" w14:textId="77777777" w:rsidR="00387142" w:rsidRPr="008B6A75" w:rsidRDefault="00387142" w:rsidP="00387142">
            <w:pPr>
              <w:jc w:val="center"/>
              <w:rPr>
                <w:sz w:val="20"/>
                <w:szCs w:val="20"/>
              </w:rPr>
            </w:pPr>
            <w:r w:rsidRPr="008B6A75">
              <w:rPr>
                <w:sz w:val="20"/>
                <w:szCs w:val="20"/>
              </w:rPr>
              <w:t>07</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009CE813" w14:textId="77777777" w:rsidR="00387142" w:rsidRPr="008B6A75" w:rsidRDefault="00387142" w:rsidP="00387142">
            <w:pPr>
              <w:jc w:val="center"/>
              <w:rPr>
                <w:sz w:val="20"/>
                <w:szCs w:val="20"/>
              </w:rPr>
            </w:pPr>
            <w:r w:rsidRPr="008B6A75">
              <w:rPr>
                <w:sz w:val="20"/>
                <w:szCs w:val="20"/>
              </w:rPr>
              <w:t>02</w:t>
            </w:r>
          </w:p>
        </w:tc>
        <w:tc>
          <w:tcPr>
            <w:tcW w:w="1411" w:type="dxa"/>
            <w:tcBorders>
              <w:top w:val="single" w:sz="4" w:space="0" w:color="auto"/>
              <w:left w:val="single" w:sz="4" w:space="0" w:color="auto"/>
              <w:bottom w:val="nil"/>
              <w:right w:val="nil"/>
            </w:tcBorders>
            <w:shd w:val="clear" w:color="auto" w:fill="auto"/>
            <w:noWrap/>
            <w:vAlign w:val="center"/>
            <w:hideMark/>
          </w:tcPr>
          <w:p w14:paraId="1E7FDD72" w14:textId="77777777" w:rsidR="00387142" w:rsidRPr="008B6A75" w:rsidRDefault="00387142" w:rsidP="00387142">
            <w:pPr>
              <w:jc w:val="center"/>
              <w:rPr>
                <w:sz w:val="20"/>
                <w:szCs w:val="20"/>
              </w:rPr>
            </w:pPr>
            <w:r w:rsidRPr="008B6A75">
              <w:rPr>
                <w:sz w:val="20"/>
                <w:szCs w:val="20"/>
              </w:rPr>
              <w:t>07.1.00.07210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2A5F2F44" w14:textId="77777777" w:rsidR="00387142" w:rsidRPr="008B6A75" w:rsidRDefault="00387142" w:rsidP="00387142">
            <w:pPr>
              <w:jc w:val="center"/>
              <w:rPr>
                <w:sz w:val="20"/>
                <w:szCs w:val="20"/>
              </w:rPr>
            </w:pPr>
            <w:r w:rsidRPr="008B6A75">
              <w:rPr>
                <w:sz w:val="20"/>
                <w:szCs w:val="20"/>
              </w:rPr>
              <w:t>200</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20A5024F" w14:textId="77777777" w:rsidR="00387142" w:rsidRPr="008B6A75" w:rsidRDefault="00387142" w:rsidP="00387142">
            <w:pPr>
              <w:jc w:val="right"/>
              <w:rPr>
                <w:sz w:val="20"/>
                <w:szCs w:val="20"/>
              </w:rPr>
            </w:pPr>
            <w:r w:rsidRPr="008B6A75">
              <w:rPr>
                <w:sz w:val="20"/>
                <w:szCs w:val="20"/>
              </w:rPr>
              <w:t>5 207 966,80</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75564E2D" w14:textId="77777777" w:rsidR="00387142" w:rsidRPr="008B6A75" w:rsidRDefault="00387142" w:rsidP="00387142">
            <w:pPr>
              <w:jc w:val="right"/>
              <w:rPr>
                <w:sz w:val="20"/>
                <w:szCs w:val="20"/>
              </w:rPr>
            </w:pPr>
            <w:r w:rsidRPr="008B6A75">
              <w:rPr>
                <w:sz w:val="20"/>
                <w:szCs w:val="20"/>
              </w:rPr>
              <w:t>4 946 319,00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0B0202C2" w14:textId="77777777" w:rsidR="00387142" w:rsidRPr="008B6A75" w:rsidRDefault="00387142" w:rsidP="00387142">
            <w:pPr>
              <w:jc w:val="right"/>
              <w:rPr>
                <w:sz w:val="20"/>
                <w:szCs w:val="20"/>
              </w:rPr>
            </w:pPr>
            <w:r w:rsidRPr="008B6A75">
              <w:rPr>
                <w:sz w:val="20"/>
                <w:szCs w:val="20"/>
              </w:rPr>
              <w:t>4 946 319,00</w:t>
            </w:r>
          </w:p>
        </w:tc>
        <w:tc>
          <w:tcPr>
            <w:tcW w:w="222" w:type="dxa"/>
            <w:vAlign w:val="center"/>
            <w:hideMark/>
          </w:tcPr>
          <w:p w14:paraId="673085A5" w14:textId="77777777" w:rsidR="00387142" w:rsidRPr="008B6A75" w:rsidRDefault="00387142" w:rsidP="00387142">
            <w:pPr>
              <w:rPr>
                <w:sz w:val="20"/>
                <w:szCs w:val="20"/>
              </w:rPr>
            </w:pPr>
          </w:p>
        </w:tc>
      </w:tr>
      <w:tr w:rsidR="00387142" w:rsidRPr="008B6A75" w14:paraId="6E60F697" w14:textId="77777777" w:rsidTr="00387142">
        <w:trPr>
          <w:trHeight w:val="870"/>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21539725" w14:textId="77777777" w:rsidR="00387142" w:rsidRPr="008B6A75" w:rsidRDefault="00387142" w:rsidP="00387142">
            <w:pPr>
              <w:rPr>
                <w:sz w:val="20"/>
                <w:szCs w:val="20"/>
              </w:rPr>
            </w:pPr>
            <w:r w:rsidRPr="008B6A75">
              <w:rPr>
                <w:sz w:val="20"/>
                <w:szCs w:val="20"/>
              </w:rPr>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1EDA2AC7" w14:textId="77777777" w:rsidR="00387142" w:rsidRPr="008B6A75" w:rsidRDefault="00387142" w:rsidP="00387142">
            <w:pPr>
              <w:jc w:val="center"/>
              <w:rPr>
                <w:sz w:val="20"/>
                <w:szCs w:val="20"/>
              </w:rPr>
            </w:pPr>
            <w:r w:rsidRPr="008B6A75">
              <w:rPr>
                <w:sz w:val="20"/>
                <w:szCs w:val="20"/>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32A7E0F2" w14:textId="77777777" w:rsidR="00387142" w:rsidRPr="008B6A75" w:rsidRDefault="00387142" w:rsidP="00387142">
            <w:pPr>
              <w:jc w:val="center"/>
              <w:rPr>
                <w:sz w:val="20"/>
                <w:szCs w:val="20"/>
              </w:rPr>
            </w:pPr>
            <w:r w:rsidRPr="008B6A75">
              <w:rPr>
                <w:sz w:val="20"/>
                <w:szCs w:val="20"/>
              </w:rPr>
              <w:t>07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6D76C8" w14:textId="77777777" w:rsidR="00387142" w:rsidRPr="008B6A75" w:rsidRDefault="00387142" w:rsidP="00387142">
            <w:pPr>
              <w:jc w:val="center"/>
              <w:rPr>
                <w:sz w:val="20"/>
                <w:szCs w:val="20"/>
              </w:rPr>
            </w:pPr>
            <w:r w:rsidRPr="008B6A75">
              <w:rPr>
                <w:sz w:val="20"/>
                <w:szCs w:val="20"/>
              </w:rPr>
              <w:t>02</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1B72D2D1" w14:textId="77777777" w:rsidR="00387142" w:rsidRPr="008B6A75" w:rsidRDefault="00387142" w:rsidP="00387142">
            <w:pPr>
              <w:jc w:val="center"/>
              <w:rPr>
                <w:sz w:val="20"/>
                <w:szCs w:val="20"/>
              </w:rPr>
            </w:pPr>
            <w:r w:rsidRPr="008B6A75">
              <w:rPr>
                <w:sz w:val="20"/>
                <w:szCs w:val="20"/>
              </w:rPr>
              <w:t>07.1.00.07210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0E4EA8" w14:textId="77777777" w:rsidR="00387142" w:rsidRPr="008B6A75" w:rsidRDefault="00387142" w:rsidP="00387142">
            <w:pPr>
              <w:jc w:val="center"/>
              <w:rPr>
                <w:sz w:val="20"/>
                <w:szCs w:val="20"/>
              </w:rPr>
            </w:pPr>
            <w:r w:rsidRPr="008B6A75">
              <w:rPr>
                <w:sz w:val="20"/>
                <w:szCs w:val="20"/>
              </w:rPr>
              <w:t>240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EC3563" w14:textId="77777777" w:rsidR="00387142" w:rsidRPr="008B6A75" w:rsidRDefault="00387142" w:rsidP="00387142">
            <w:pPr>
              <w:jc w:val="right"/>
              <w:rPr>
                <w:sz w:val="20"/>
                <w:szCs w:val="20"/>
              </w:rPr>
            </w:pPr>
            <w:r w:rsidRPr="008B6A75">
              <w:rPr>
                <w:sz w:val="20"/>
                <w:szCs w:val="20"/>
              </w:rPr>
              <w:t>5 207 966,80</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3AC8CCD7" w14:textId="77777777" w:rsidR="00387142" w:rsidRPr="008B6A75" w:rsidRDefault="00387142" w:rsidP="00387142">
            <w:pPr>
              <w:jc w:val="right"/>
              <w:rPr>
                <w:sz w:val="20"/>
                <w:szCs w:val="20"/>
              </w:rPr>
            </w:pPr>
            <w:r w:rsidRPr="008B6A75">
              <w:rPr>
                <w:sz w:val="20"/>
                <w:szCs w:val="20"/>
              </w:rPr>
              <w:t>4 946 319,00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671E96" w14:textId="77777777" w:rsidR="00387142" w:rsidRPr="008B6A75" w:rsidRDefault="00387142" w:rsidP="00387142">
            <w:pPr>
              <w:jc w:val="right"/>
              <w:rPr>
                <w:sz w:val="20"/>
                <w:szCs w:val="20"/>
              </w:rPr>
            </w:pPr>
            <w:r w:rsidRPr="008B6A75">
              <w:rPr>
                <w:sz w:val="20"/>
                <w:szCs w:val="20"/>
              </w:rPr>
              <w:t>4 946 319,00</w:t>
            </w:r>
          </w:p>
        </w:tc>
        <w:tc>
          <w:tcPr>
            <w:tcW w:w="222" w:type="dxa"/>
            <w:vAlign w:val="center"/>
            <w:hideMark/>
          </w:tcPr>
          <w:p w14:paraId="430D401A" w14:textId="77777777" w:rsidR="00387142" w:rsidRPr="008B6A75" w:rsidRDefault="00387142" w:rsidP="00387142">
            <w:pPr>
              <w:rPr>
                <w:sz w:val="20"/>
                <w:szCs w:val="20"/>
              </w:rPr>
            </w:pPr>
          </w:p>
        </w:tc>
      </w:tr>
      <w:tr w:rsidR="00387142" w:rsidRPr="008B6A75" w14:paraId="6091540C" w14:textId="77777777" w:rsidTr="00387142">
        <w:trPr>
          <w:trHeight w:val="870"/>
        </w:trPr>
        <w:tc>
          <w:tcPr>
            <w:tcW w:w="3021" w:type="dxa"/>
            <w:tcBorders>
              <w:top w:val="nil"/>
              <w:left w:val="single" w:sz="4" w:space="0" w:color="auto"/>
              <w:bottom w:val="nil"/>
              <w:right w:val="nil"/>
            </w:tcBorders>
            <w:shd w:val="clear" w:color="auto" w:fill="auto"/>
            <w:vAlign w:val="center"/>
            <w:hideMark/>
          </w:tcPr>
          <w:p w14:paraId="18E0F432" w14:textId="77777777" w:rsidR="00387142" w:rsidRPr="008B6A75" w:rsidRDefault="00387142" w:rsidP="00387142">
            <w:pPr>
              <w:rPr>
                <w:sz w:val="20"/>
                <w:szCs w:val="20"/>
              </w:rPr>
            </w:pPr>
            <w:r w:rsidRPr="008B6A75">
              <w:rPr>
                <w:sz w:val="20"/>
                <w:szCs w:val="20"/>
              </w:rPr>
              <w:t>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right w:val="nil"/>
            </w:tcBorders>
            <w:shd w:val="clear" w:color="auto" w:fill="auto"/>
            <w:noWrap/>
            <w:vAlign w:val="center"/>
            <w:hideMark/>
          </w:tcPr>
          <w:p w14:paraId="0904E707" w14:textId="77777777" w:rsidR="00387142" w:rsidRPr="008B6A75" w:rsidRDefault="00387142" w:rsidP="00387142">
            <w:pPr>
              <w:jc w:val="center"/>
              <w:rPr>
                <w:sz w:val="20"/>
                <w:szCs w:val="20"/>
              </w:rPr>
            </w:pPr>
            <w:r w:rsidRPr="008B6A75">
              <w:rPr>
                <w:sz w:val="20"/>
                <w:szCs w:val="20"/>
              </w:rPr>
              <w:t>444</w:t>
            </w:r>
          </w:p>
        </w:tc>
        <w:tc>
          <w:tcPr>
            <w:tcW w:w="709" w:type="dxa"/>
            <w:tcBorders>
              <w:top w:val="nil"/>
              <w:left w:val="single" w:sz="4" w:space="0" w:color="auto"/>
              <w:bottom w:val="nil"/>
              <w:right w:val="nil"/>
            </w:tcBorders>
            <w:shd w:val="clear" w:color="auto" w:fill="auto"/>
            <w:noWrap/>
            <w:vAlign w:val="center"/>
            <w:hideMark/>
          </w:tcPr>
          <w:p w14:paraId="1C1FA840" w14:textId="77777777" w:rsidR="00387142" w:rsidRPr="008B6A75" w:rsidRDefault="00387142" w:rsidP="00387142">
            <w:pPr>
              <w:jc w:val="center"/>
              <w:rPr>
                <w:sz w:val="20"/>
                <w:szCs w:val="20"/>
              </w:rPr>
            </w:pPr>
            <w:r w:rsidRPr="008B6A75">
              <w:rPr>
                <w:sz w:val="20"/>
                <w:szCs w:val="20"/>
              </w:rPr>
              <w:t>07</w:t>
            </w:r>
          </w:p>
        </w:tc>
        <w:tc>
          <w:tcPr>
            <w:tcW w:w="709" w:type="dxa"/>
            <w:tcBorders>
              <w:top w:val="nil"/>
              <w:left w:val="single" w:sz="4" w:space="0" w:color="auto"/>
              <w:bottom w:val="nil"/>
              <w:right w:val="single" w:sz="4" w:space="0" w:color="auto"/>
            </w:tcBorders>
            <w:shd w:val="clear" w:color="auto" w:fill="auto"/>
            <w:noWrap/>
            <w:vAlign w:val="center"/>
            <w:hideMark/>
          </w:tcPr>
          <w:p w14:paraId="05865547" w14:textId="77777777" w:rsidR="00387142" w:rsidRPr="008B6A75" w:rsidRDefault="00387142" w:rsidP="00387142">
            <w:pPr>
              <w:jc w:val="center"/>
              <w:rPr>
                <w:sz w:val="20"/>
                <w:szCs w:val="20"/>
              </w:rPr>
            </w:pPr>
            <w:r w:rsidRPr="008B6A75">
              <w:rPr>
                <w:sz w:val="20"/>
                <w:szCs w:val="20"/>
              </w:rPr>
              <w:t>02</w:t>
            </w:r>
          </w:p>
        </w:tc>
        <w:tc>
          <w:tcPr>
            <w:tcW w:w="1411" w:type="dxa"/>
            <w:tcBorders>
              <w:top w:val="nil"/>
              <w:left w:val="single" w:sz="4" w:space="0" w:color="auto"/>
              <w:bottom w:val="nil"/>
              <w:right w:val="nil"/>
            </w:tcBorders>
            <w:shd w:val="clear" w:color="auto" w:fill="auto"/>
            <w:noWrap/>
            <w:vAlign w:val="center"/>
            <w:hideMark/>
          </w:tcPr>
          <w:p w14:paraId="0D8236D9" w14:textId="77777777" w:rsidR="00387142" w:rsidRPr="008B6A75" w:rsidRDefault="00387142" w:rsidP="00387142">
            <w:pPr>
              <w:jc w:val="center"/>
              <w:rPr>
                <w:sz w:val="20"/>
                <w:szCs w:val="20"/>
              </w:rPr>
            </w:pPr>
            <w:r w:rsidRPr="008B6A75">
              <w:rPr>
                <w:sz w:val="20"/>
                <w:szCs w:val="20"/>
              </w:rPr>
              <w:t>07.1.00.07210</w:t>
            </w:r>
          </w:p>
        </w:tc>
        <w:tc>
          <w:tcPr>
            <w:tcW w:w="955" w:type="dxa"/>
            <w:tcBorders>
              <w:top w:val="nil"/>
              <w:left w:val="single" w:sz="4" w:space="0" w:color="auto"/>
              <w:bottom w:val="nil"/>
              <w:right w:val="single" w:sz="4" w:space="0" w:color="auto"/>
            </w:tcBorders>
            <w:shd w:val="clear" w:color="auto" w:fill="auto"/>
            <w:noWrap/>
            <w:vAlign w:val="center"/>
            <w:hideMark/>
          </w:tcPr>
          <w:p w14:paraId="577EE332" w14:textId="77777777" w:rsidR="00387142" w:rsidRPr="008B6A75" w:rsidRDefault="00387142" w:rsidP="00387142">
            <w:pPr>
              <w:jc w:val="center"/>
              <w:rPr>
                <w:sz w:val="20"/>
                <w:szCs w:val="20"/>
              </w:rPr>
            </w:pPr>
            <w:r w:rsidRPr="008B6A75">
              <w:rPr>
                <w:sz w:val="20"/>
                <w:szCs w:val="20"/>
              </w:rPr>
              <w:t>600</w:t>
            </w:r>
          </w:p>
        </w:tc>
        <w:tc>
          <w:tcPr>
            <w:tcW w:w="992" w:type="dxa"/>
            <w:tcBorders>
              <w:top w:val="nil"/>
              <w:left w:val="single" w:sz="4" w:space="0" w:color="auto"/>
              <w:bottom w:val="nil"/>
              <w:right w:val="single" w:sz="4" w:space="0" w:color="auto"/>
            </w:tcBorders>
            <w:shd w:val="clear" w:color="auto" w:fill="auto"/>
            <w:noWrap/>
            <w:vAlign w:val="center"/>
            <w:hideMark/>
          </w:tcPr>
          <w:p w14:paraId="39DED021" w14:textId="77777777" w:rsidR="00387142" w:rsidRPr="008B6A75" w:rsidRDefault="00387142" w:rsidP="00387142">
            <w:pPr>
              <w:jc w:val="right"/>
              <w:rPr>
                <w:sz w:val="20"/>
                <w:szCs w:val="20"/>
              </w:rPr>
            </w:pPr>
            <w:r w:rsidRPr="008B6A75">
              <w:rPr>
                <w:sz w:val="20"/>
                <w:szCs w:val="20"/>
              </w:rPr>
              <w:t>77 567,00</w:t>
            </w:r>
          </w:p>
        </w:tc>
        <w:tc>
          <w:tcPr>
            <w:tcW w:w="992" w:type="dxa"/>
            <w:gridSpan w:val="2"/>
            <w:tcBorders>
              <w:top w:val="nil"/>
              <w:left w:val="single" w:sz="4" w:space="0" w:color="auto"/>
              <w:bottom w:val="nil"/>
              <w:right w:val="nil"/>
            </w:tcBorders>
            <w:shd w:val="clear" w:color="auto" w:fill="auto"/>
            <w:noWrap/>
            <w:vAlign w:val="center"/>
            <w:hideMark/>
          </w:tcPr>
          <w:p w14:paraId="33E34919" w14:textId="77777777" w:rsidR="00387142" w:rsidRPr="008B6A75" w:rsidRDefault="00387142" w:rsidP="00387142">
            <w:pPr>
              <w:jc w:val="right"/>
              <w:rPr>
                <w:sz w:val="20"/>
                <w:szCs w:val="20"/>
              </w:rPr>
            </w:pPr>
            <w:r w:rsidRPr="008B6A75">
              <w:rPr>
                <w:sz w:val="20"/>
                <w:szCs w:val="20"/>
              </w:rPr>
              <w:t>0,00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31780605" w14:textId="77777777" w:rsidR="00387142" w:rsidRPr="008B6A75" w:rsidRDefault="00387142" w:rsidP="00387142">
            <w:pPr>
              <w:jc w:val="right"/>
              <w:rPr>
                <w:sz w:val="20"/>
                <w:szCs w:val="20"/>
              </w:rPr>
            </w:pPr>
            <w:r w:rsidRPr="008B6A75">
              <w:rPr>
                <w:sz w:val="20"/>
                <w:szCs w:val="20"/>
              </w:rPr>
              <w:t>0,00</w:t>
            </w:r>
          </w:p>
        </w:tc>
        <w:tc>
          <w:tcPr>
            <w:tcW w:w="222" w:type="dxa"/>
            <w:vAlign w:val="center"/>
            <w:hideMark/>
          </w:tcPr>
          <w:p w14:paraId="648BC1A9" w14:textId="77777777" w:rsidR="00387142" w:rsidRPr="008B6A75" w:rsidRDefault="00387142" w:rsidP="00387142">
            <w:pPr>
              <w:rPr>
                <w:sz w:val="20"/>
                <w:szCs w:val="20"/>
              </w:rPr>
            </w:pPr>
          </w:p>
        </w:tc>
      </w:tr>
      <w:tr w:rsidR="00387142" w:rsidRPr="008B6A75" w14:paraId="71E39B04" w14:textId="77777777" w:rsidTr="00387142">
        <w:trPr>
          <w:trHeight w:val="300"/>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42524087" w14:textId="77777777" w:rsidR="00387142" w:rsidRPr="008B6A75" w:rsidRDefault="00387142" w:rsidP="00387142">
            <w:pPr>
              <w:rPr>
                <w:sz w:val="20"/>
                <w:szCs w:val="20"/>
              </w:rPr>
            </w:pPr>
            <w:r w:rsidRPr="008B6A75">
              <w:rPr>
                <w:sz w:val="20"/>
                <w:szCs w:val="20"/>
              </w:rPr>
              <w:t>Субсидии бюджетным учреждениям</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688251A8" w14:textId="77777777" w:rsidR="00387142" w:rsidRPr="008B6A75" w:rsidRDefault="00387142" w:rsidP="00387142">
            <w:pPr>
              <w:jc w:val="center"/>
              <w:rPr>
                <w:sz w:val="20"/>
                <w:szCs w:val="20"/>
              </w:rPr>
            </w:pPr>
            <w:r w:rsidRPr="008B6A75">
              <w:rPr>
                <w:sz w:val="20"/>
                <w:szCs w:val="20"/>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6A839955" w14:textId="77777777" w:rsidR="00387142" w:rsidRPr="008B6A75" w:rsidRDefault="00387142" w:rsidP="00387142">
            <w:pPr>
              <w:jc w:val="center"/>
              <w:rPr>
                <w:sz w:val="20"/>
                <w:szCs w:val="20"/>
              </w:rPr>
            </w:pPr>
            <w:r w:rsidRPr="008B6A75">
              <w:rPr>
                <w:sz w:val="20"/>
                <w:szCs w:val="20"/>
              </w:rPr>
              <w:t>07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9E4305" w14:textId="77777777" w:rsidR="00387142" w:rsidRPr="008B6A75" w:rsidRDefault="00387142" w:rsidP="00387142">
            <w:pPr>
              <w:jc w:val="center"/>
              <w:rPr>
                <w:sz w:val="20"/>
                <w:szCs w:val="20"/>
              </w:rPr>
            </w:pPr>
            <w:r w:rsidRPr="008B6A75">
              <w:rPr>
                <w:sz w:val="20"/>
                <w:szCs w:val="20"/>
              </w:rPr>
              <w:t>02</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337DFB4C" w14:textId="77777777" w:rsidR="00387142" w:rsidRPr="008B6A75" w:rsidRDefault="00387142" w:rsidP="00387142">
            <w:pPr>
              <w:jc w:val="center"/>
              <w:rPr>
                <w:sz w:val="20"/>
                <w:szCs w:val="20"/>
              </w:rPr>
            </w:pPr>
            <w:r w:rsidRPr="008B6A75">
              <w:rPr>
                <w:sz w:val="20"/>
                <w:szCs w:val="20"/>
              </w:rPr>
              <w:t>07.1.00.07210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1E5C58" w14:textId="77777777" w:rsidR="00387142" w:rsidRPr="008B6A75" w:rsidRDefault="00387142" w:rsidP="00387142">
            <w:pPr>
              <w:jc w:val="center"/>
              <w:rPr>
                <w:sz w:val="20"/>
                <w:szCs w:val="20"/>
              </w:rPr>
            </w:pPr>
            <w:r w:rsidRPr="008B6A75">
              <w:rPr>
                <w:sz w:val="20"/>
                <w:szCs w:val="20"/>
              </w:rPr>
              <w:t>610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C94541" w14:textId="77777777" w:rsidR="00387142" w:rsidRPr="008B6A75" w:rsidRDefault="00387142" w:rsidP="00387142">
            <w:pPr>
              <w:jc w:val="right"/>
              <w:rPr>
                <w:sz w:val="20"/>
                <w:szCs w:val="20"/>
              </w:rPr>
            </w:pPr>
            <w:r w:rsidRPr="008B6A75">
              <w:rPr>
                <w:sz w:val="20"/>
                <w:szCs w:val="20"/>
              </w:rPr>
              <w:t>77 567,00</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4A72ABAD" w14:textId="77777777" w:rsidR="00387142" w:rsidRPr="008B6A75" w:rsidRDefault="00387142" w:rsidP="00387142">
            <w:pPr>
              <w:jc w:val="right"/>
              <w:rPr>
                <w:sz w:val="20"/>
                <w:szCs w:val="20"/>
              </w:rPr>
            </w:pPr>
            <w:r w:rsidRPr="008B6A75">
              <w:rPr>
                <w:sz w:val="20"/>
                <w:szCs w:val="20"/>
              </w:rPr>
              <w:t>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30ED42" w14:textId="77777777" w:rsidR="00387142" w:rsidRPr="008B6A75" w:rsidRDefault="00387142" w:rsidP="00387142">
            <w:pPr>
              <w:jc w:val="right"/>
              <w:rPr>
                <w:sz w:val="20"/>
                <w:szCs w:val="20"/>
              </w:rPr>
            </w:pPr>
            <w:r w:rsidRPr="008B6A75">
              <w:rPr>
                <w:sz w:val="20"/>
                <w:szCs w:val="20"/>
              </w:rPr>
              <w:t>0,00</w:t>
            </w:r>
          </w:p>
        </w:tc>
        <w:tc>
          <w:tcPr>
            <w:tcW w:w="222" w:type="dxa"/>
            <w:vAlign w:val="center"/>
            <w:hideMark/>
          </w:tcPr>
          <w:p w14:paraId="6C0AB58C" w14:textId="77777777" w:rsidR="00387142" w:rsidRPr="008B6A75" w:rsidRDefault="00387142" w:rsidP="00387142">
            <w:pPr>
              <w:rPr>
                <w:sz w:val="20"/>
                <w:szCs w:val="20"/>
              </w:rPr>
            </w:pPr>
          </w:p>
        </w:tc>
      </w:tr>
      <w:tr w:rsidR="00387142" w:rsidRPr="008B6A75" w14:paraId="3E05976C" w14:textId="77777777" w:rsidTr="00387142">
        <w:trPr>
          <w:trHeight w:val="870"/>
        </w:trPr>
        <w:tc>
          <w:tcPr>
            <w:tcW w:w="3021" w:type="dxa"/>
            <w:tcBorders>
              <w:top w:val="nil"/>
              <w:left w:val="single" w:sz="4" w:space="0" w:color="auto"/>
              <w:bottom w:val="nil"/>
              <w:right w:val="nil"/>
            </w:tcBorders>
            <w:shd w:val="clear" w:color="auto" w:fill="auto"/>
            <w:vAlign w:val="center"/>
            <w:hideMark/>
          </w:tcPr>
          <w:p w14:paraId="43BEDCAB" w14:textId="77777777" w:rsidR="00387142" w:rsidRPr="008B6A75" w:rsidRDefault="00387142" w:rsidP="00387142">
            <w:pPr>
              <w:rPr>
                <w:bCs/>
                <w:sz w:val="20"/>
                <w:szCs w:val="20"/>
              </w:rPr>
            </w:pPr>
            <w:r w:rsidRPr="008B6A75">
              <w:rPr>
                <w:bCs/>
                <w:sz w:val="20"/>
                <w:szCs w:val="20"/>
              </w:rPr>
              <w:t>Расходы на обеспечение деятельности (оказание услуг) начальных, неполных средних и средних школ, школ-детских садов</w:t>
            </w:r>
          </w:p>
        </w:tc>
        <w:tc>
          <w:tcPr>
            <w:tcW w:w="850" w:type="dxa"/>
            <w:tcBorders>
              <w:top w:val="nil"/>
              <w:left w:val="single" w:sz="4" w:space="0" w:color="auto"/>
              <w:bottom w:val="nil"/>
              <w:right w:val="nil"/>
            </w:tcBorders>
            <w:shd w:val="clear" w:color="auto" w:fill="auto"/>
            <w:noWrap/>
            <w:vAlign w:val="center"/>
            <w:hideMark/>
          </w:tcPr>
          <w:p w14:paraId="0C245B79" w14:textId="77777777" w:rsidR="00387142" w:rsidRPr="008B6A75" w:rsidRDefault="00387142" w:rsidP="00387142">
            <w:pPr>
              <w:jc w:val="center"/>
              <w:rPr>
                <w:bCs/>
                <w:sz w:val="20"/>
                <w:szCs w:val="20"/>
              </w:rPr>
            </w:pPr>
            <w:r w:rsidRPr="008B6A75">
              <w:rPr>
                <w:bCs/>
                <w:sz w:val="20"/>
                <w:szCs w:val="20"/>
              </w:rPr>
              <w:t>444</w:t>
            </w:r>
          </w:p>
        </w:tc>
        <w:tc>
          <w:tcPr>
            <w:tcW w:w="709" w:type="dxa"/>
            <w:tcBorders>
              <w:top w:val="nil"/>
              <w:left w:val="single" w:sz="4" w:space="0" w:color="auto"/>
              <w:bottom w:val="nil"/>
              <w:right w:val="nil"/>
            </w:tcBorders>
            <w:shd w:val="clear" w:color="auto" w:fill="auto"/>
            <w:noWrap/>
            <w:vAlign w:val="center"/>
            <w:hideMark/>
          </w:tcPr>
          <w:p w14:paraId="69D5F224" w14:textId="77777777" w:rsidR="00387142" w:rsidRPr="008B6A75" w:rsidRDefault="00387142" w:rsidP="00387142">
            <w:pPr>
              <w:jc w:val="center"/>
              <w:rPr>
                <w:bCs/>
                <w:sz w:val="20"/>
                <w:szCs w:val="20"/>
              </w:rPr>
            </w:pPr>
            <w:r w:rsidRPr="008B6A75">
              <w:rPr>
                <w:bCs/>
                <w:sz w:val="20"/>
                <w:szCs w:val="20"/>
              </w:rPr>
              <w:t>07</w:t>
            </w:r>
          </w:p>
        </w:tc>
        <w:tc>
          <w:tcPr>
            <w:tcW w:w="709" w:type="dxa"/>
            <w:tcBorders>
              <w:top w:val="nil"/>
              <w:left w:val="single" w:sz="4" w:space="0" w:color="auto"/>
              <w:bottom w:val="nil"/>
              <w:right w:val="single" w:sz="4" w:space="0" w:color="auto"/>
            </w:tcBorders>
            <w:shd w:val="clear" w:color="auto" w:fill="auto"/>
            <w:noWrap/>
            <w:vAlign w:val="center"/>
            <w:hideMark/>
          </w:tcPr>
          <w:p w14:paraId="4FB75054" w14:textId="77777777" w:rsidR="00387142" w:rsidRPr="008B6A75" w:rsidRDefault="00387142" w:rsidP="00387142">
            <w:pPr>
              <w:jc w:val="center"/>
              <w:rPr>
                <w:bCs/>
                <w:sz w:val="20"/>
                <w:szCs w:val="20"/>
              </w:rPr>
            </w:pPr>
            <w:r w:rsidRPr="008B6A75">
              <w:rPr>
                <w:bCs/>
                <w:sz w:val="20"/>
                <w:szCs w:val="20"/>
              </w:rPr>
              <w:t>02</w:t>
            </w:r>
          </w:p>
        </w:tc>
        <w:tc>
          <w:tcPr>
            <w:tcW w:w="1411" w:type="dxa"/>
            <w:tcBorders>
              <w:top w:val="nil"/>
              <w:left w:val="single" w:sz="4" w:space="0" w:color="auto"/>
              <w:bottom w:val="nil"/>
              <w:right w:val="nil"/>
            </w:tcBorders>
            <w:shd w:val="clear" w:color="auto" w:fill="auto"/>
            <w:noWrap/>
            <w:vAlign w:val="center"/>
            <w:hideMark/>
          </w:tcPr>
          <w:p w14:paraId="46918D04" w14:textId="77777777" w:rsidR="00387142" w:rsidRPr="008B6A75" w:rsidRDefault="00387142" w:rsidP="00387142">
            <w:pPr>
              <w:jc w:val="center"/>
              <w:rPr>
                <w:bCs/>
                <w:sz w:val="20"/>
                <w:szCs w:val="20"/>
              </w:rPr>
            </w:pPr>
            <w:r w:rsidRPr="008B6A75">
              <w:rPr>
                <w:bCs/>
                <w:sz w:val="20"/>
                <w:szCs w:val="20"/>
              </w:rPr>
              <w:t>07.1.00.07290</w:t>
            </w:r>
          </w:p>
        </w:tc>
        <w:tc>
          <w:tcPr>
            <w:tcW w:w="955" w:type="dxa"/>
            <w:tcBorders>
              <w:top w:val="nil"/>
              <w:left w:val="single" w:sz="4" w:space="0" w:color="auto"/>
              <w:bottom w:val="nil"/>
              <w:right w:val="single" w:sz="4" w:space="0" w:color="auto"/>
            </w:tcBorders>
            <w:shd w:val="clear" w:color="auto" w:fill="auto"/>
            <w:noWrap/>
            <w:vAlign w:val="center"/>
            <w:hideMark/>
          </w:tcPr>
          <w:p w14:paraId="58DBBEE0"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nil"/>
              <w:right w:val="single" w:sz="4" w:space="0" w:color="auto"/>
            </w:tcBorders>
            <w:shd w:val="clear" w:color="auto" w:fill="auto"/>
            <w:noWrap/>
            <w:vAlign w:val="center"/>
            <w:hideMark/>
          </w:tcPr>
          <w:p w14:paraId="01366AD9" w14:textId="77777777" w:rsidR="00387142" w:rsidRPr="008B6A75" w:rsidRDefault="00387142" w:rsidP="00387142">
            <w:pPr>
              <w:jc w:val="right"/>
              <w:rPr>
                <w:bCs/>
                <w:sz w:val="20"/>
                <w:szCs w:val="20"/>
              </w:rPr>
            </w:pPr>
            <w:r w:rsidRPr="008B6A75">
              <w:rPr>
                <w:bCs/>
                <w:sz w:val="20"/>
                <w:szCs w:val="20"/>
              </w:rPr>
              <w:t>122 031 819,99</w:t>
            </w:r>
          </w:p>
        </w:tc>
        <w:tc>
          <w:tcPr>
            <w:tcW w:w="992" w:type="dxa"/>
            <w:gridSpan w:val="2"/>
            <w:tcBorders>
              <w:top w:val="nil"/>
              <w:left w:val="single" w:sz="4" w:space="0" w:color="auto"/>
              <w:bottom w:val="nil"/>
              <w:right w:val="nil"/>
            </w:tcBorders>
            <w:shd w:val="clear" w:color="auto" w:fill="auto"/>
            <w:noWrap/>
            <w:vAlign w:val="center"/>
            <w:hideMark/>
          </w:tcPr>
          <w:p w14:paraId="1FADC7A6" w14:textId="77777777" w:rsidR="00387142" w:rsidRPr="008B6A75" w:rsidRDefault="00387142" w:rsidP="00387142">
            <w:pPr>
              <w:jc w:val="right"/>
              <w:rPr>
                <w:bCs/>
                <w:sz w:val="20"/>
                <w:szCs w:val="20"/>
              </w:rPr>
            </w:pPr>
            <w:r w:rsidRPr="008B6A75">
              <w:rPr>
                <w:bCs/>
                <w:sz w:val="20"/>
                <w:szCs w:val="20"/>
              </w:rPr>
              <w:t>104 249 280,00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68D0E35A" w14:textId="77777777" w:rsidR="00387142" w:rsidRPr="008B6A75" w:rsidRDefault="00387142" w:rsidP="00387142">
            <w:pPr>
              <w:jc w:val="right"/>
              <w:rPr>
                <w:bCs/>
                <w:sz w:val="20"/>
                <w:szCs w:val="20"/>
              </w:rPr>
            </w:pPr>
            <w:r w:rsidRPr="008B6A75">
              <w:rPr>
                <w:bCs/>
                <w:sz w:val="20"/>
                <w:szCs w:val="20"/>
              </w:rPr>
              <w:t>119 857 890,00</w:t>
            </w:r>
          </w:p>
        </w:tc>
        <w:tc>
          <w:tcPr>
            <w:tcW w:w="222" w:type="dxa"/>
            <w:vAlign w:val="center"/>
            <w:hideMark/>
          </w:tcPr>
          <w:p w14:paraId="30AED3F1" w14:textId="77777777" w:rsidR="00387142" w:rsidRPr="008B6A75" w:rsidRDefault="00387142" w:rsidP="00387142">
            <w:pPr>
              <w:rPr>
                <w:sz w:val="20"/>
                <w:szCs w:val="20"/>
              </w:rPr>
            </w:pPr>
          </w:p>
        </w:tc>
      </w:tr>
      <w:tr w:rsidR="00387142" w:rsidRPr="008B6A75" w14:paraId="71092646" w14:textId="77777777" w:rsidTr="00387142">
        <w:trPr>
          <w:trHeight w:val="1440"/>
        </w:trPr>
        <w:tc>
          <w:tcPr>
            <w:tcW w:w="3021" w:type="dxa"/>
            <w:tcBorders>
              <w:top w:val="single" w:sz="4" w:space="0" w:color="auto"/>
              <w:left w:val="single" w:sz="4" w:space="0" w:color="auto"/>
              <w:bottom w:val="nil"/>
              <w:right w:val="nil"/>
            </w:tcBorders>
            <w:shd w:val="clear" w:color="auto" w:fill="auto"/>
            <w:vAlign w:val="center"/>
            <w:hideMark/>
          </w:tcPr>
          <w:p w14:paraId="778EE006" w14:textId="77777777" w:rsidR="00387142" w:rsidRPr="008B6A75" w:rsidRDefault="00387142" w:rsidP="00387142">
            <w:pPr>
              <w:rPr>
                <w:sz w:val="20"/>
                <w:szCs w:val="20"/>
              </w:rPr>
            </w:pPr>
            <w:r w:rsidRPr="008B6A7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nil"/>
              <w:right w:val="nil"/>
            </w:tcBorders>
            <w:shd w:val="clear" w:color="auto" w:fill="auto"/>
            <w:noWrap/>
            <w:vAlign w:val="center"/>
            <w:hideMark/>
          </w:tcPr>
          <w:p w14:paraId="3F35458F" w14:textId="77777777" w:rsidR="00387142" w:rsidRPr="008B6A75" w:rsidRDefault="00387142" w:rsidP="00387142">
            <w:pPr>
              <w:jc w:val="center"/>
              <w:rPr>
                <w:sz w:val="20"/>
                <w:szCs w:val="20"/>
              </w:rPr>
            </w:pPr>
            <w:r w:rsidRPr="008B6A75">
              <w:rPr>
                <w:sz w:val="20"/>
                <w:szCs w:val="20"/>
              </w:rPr>
              <w:t>444</w:t>
            </w:r>
          </w:p>
        </w:tc>
        <w:tc>
          <w:tcPr>
            <w:tcW w:w="709" w:type="dxa"/>
            <w:tcBorders>
              <w:top w:val="single" w:sz="4" w:space="0" w:color="auto"/>
              <w:left w:val="single" w:sz="4" w:space="0" w:color="auto"/>
              <w:bottom w:val="nil"/>
              <w:right w:val="nil"/>
            </w:tcBorders>
            <w:shd w:val="clear" w:color="auto" w:fill="auto"/>
            <w:noWrap/>
            <w:vAlign w:val="center"/>
            <w:hideMark/>
          </w:tcPr>
          <w:p w14:paraId="79BA50B1" w14:textId="77777777" w:rsidR="00387142" w:rsidRPr="008B6A75" w:rsidRDefault="00387142" w:rsidP="00387142">
            <w:pPr>
              <w:jc w:val="center"/>
              <w:rPr>
                <w:sz w:val="20"/>
                <w:szCs w:val="20"/>
              </w:rPr>
            </w:pPr>
            <w:r w:rsidRPr="008B6A75">
              <w:rPr>
                <w:sz w:val="20"/>
                <w:szCs w:val="20"/>
              </w:rPr>
              <w:t>07</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7BB69D05" w14:textId="77777777" w:rsidR="00387142" w:rsidRPr="008B6A75" w:rsidRDefault="00387142" w:rsidP="00387142">
            <w:pPr>
              <w:jc w:val="center"/>
              <w:rPr>
                <w:sz w:val="20"/>
                <w:szCs w:val="20"/>
              </w:rPr>
            </w:pPr>
            <w:r w:rsidRPr="008B6A75">
              <w:rPr>
                <w:sz w:val="20"/>
                <w:szCs w:val="20"/>
              </w:rPr>
              <w:t>02</w:t>
            </w:r>
          </w:p>
        </w:tc>
        <w:tc>
          <w:tcPr>
            <w:tcW w:w="1411" w:type="dxa"/>
            <w:tcBorders>
              <w:top w:val="single" w:sz="4" w:space="0" w:color="auto"/>
              <w:left w:val="single" w:sz="4" w:space="0" w:color="auto"/>
              <w:bottom w:val="nil"/>
              <w:right w:val="nil"/>
            </w:tcBorders>
            <w:shd w:val="clear" w:color="auto" w:fill="auto"/>
            <w:noWrap/>
            <w:vAlign w:val="center"/>
            <w:hideMark/>
          </w:tcPr>
          <w:p w14:paraId="27B2B96F" w14:textId="77777777" w:rsidR="00387142" w:rsidRPr="008B6A75" w:rsidRDefault="00387142" w:rsidP="00387142">
            <w:pPr>
              <w:jc w:val="center"/>
              <w:rPr>
                <w:sz w:val="20"/>
                <w:szCs w:val="20"/>
              </w:rPr>
            </w:pPr>
            <w:r w:rsidRPr="008B6A75">
              <w:rPr>
                <w:sz w:val="20"/>
                <w:szCs w:val="20"/>
              </w:rPr>
              <w:t>07.1.00.07290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0E80B177" w14:textId="77777777" w:rsidR="00387142" w:rsidRPr="008B6A75" w:rsidRDefault="00387142" w:rsidP="00387142">
            <w:pPr>
              <w:jc w:val="center"/>
              <w:rPr>
                <w:sz w:val="20"/>
                <w:szCs w:val="20"/>
              </w:rPr>
            </w:pPr>
            <w:r w:rsidRPr="008B6A75">
              <w:rPr>
                <w:sz w:val="20"/>
                <w:szCs w:val="20"/>
              </w:rPr>
              <w:t>100</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7A24E969" w14:textId="77777777" w:rsidR="00387142" w:rsidRPr="008B6A75" w:rsidRDefault="00387142" w:rsidP="00387142">
            <w:pPr>
              <w:jc w:val="right"/>
              <w:rPr>
                <w:sz w:val="20"/>
                <w:szCs w:val="20"/>
              </w:rPr>
            </w:pPr>
            <w:r w:rsidRPr="008B6A75">
              <w:rPr>
                <w:sz w:val="20"/>
                <w:szCs w:val="20"/>
              </w:rPr>
              <w:t>1 300,00</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751B5069" w14:textId="77777777" w:rsidR="00387142" w:rsidRPr="008B6A75" w:rsidRDefault="00387142" w:rsidP="00387142">
            <w:pPr>
              <w:jc w:val="right"/>
              <w:rPr>
                <w:sz w:val="20"/>
                <w:szCs w:val="20"/>
              </w:rPr>
            </w:pPr>
            <w:r w:rsidRPr="008B6A75">
              <w:rPr>
                <w:sz w:val="20"/>
                <w:szCs w:val="20"/>
              </w:rPr>
              <w:t>1 722 500,00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33E8C24F" w14:textId="77777777" w:rsidR="00387142" w:rsidRPr="008B6A75" w:rsidRDefault="00387142" w:rsidP="00387142">
            <w:pPr>
              <w:jc w:val="right"/>
              <w:rPr>
                <w:sz w:val="20"/>
                <w:szCs w:val="20"/>
              </w:rPr>
            </w:pPr>
            <w:r w:rsidRPr="008B6A75">
              <w:rPr>
                <w:sz w:val="20"/>
                <w:szCs w:val="20"/>
              </w:rPr>
              <w:t>60 001 300,00</w:t>
            </w:r>
          </w:p>
        </w:tc>
        <w:tc>
          <w:tcPr>
            <w:tcW w:w="222" w:type="dxa"/>
            <w:vAlign w:val="center"/>
            <w:hideMark/>
          </w:tcPr>
          <w:p w14:paraId="0373156A" w14:textId="77777777" w:rsidR="00387142" w:rsidRPr="008B6A75" w:rsidRDefault="00387142" w:rsidP="00387142">
            <w:pPr>
              <w:rPr>
                <w:sz w:val="20"/>
                <w:szCs w:val="20"/>
              </w:rPr>
            </w:pPr>
          </w:p>
        </w:tc>
      </w:tr>
      <w:tr w:rsidR="00387142" w:rsidRPr="008B6A75" w14:paraId="18A4ED2F" w14:textId="77777777" w:rsidTr="00387142">
        <w:trPr>
          <w:trHeight w:val="585"/>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070E3010" w14:textId="77777777" w:rsidR="00387142" w:rsidRPr="008B6A75" w:rsidRDefault="00387142" w:rsidP="00387142">
            <w:pPr>
              <w:rPr>
                <w:sz w:val="20"/>
                <w:szCs w:val="20"/>
              </w:rPr>
            </w:pPr>
            <w:r w:rsidRPr="008B6A75">
              <w:rPr>
                <w:sz w:val="20"/>
                <w:szCs w:val="20"/>
              </w:rPr>
              <w:t>Расходы на выплаты персоналу казенных учреждений</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46568731" w14:textId="77777777" w:rsidR="00387142" w:rsidRPr="008B6A75" w:rsidRDefault="00387142" w:rsidP="00387142">
            <w:pPr>
              <w:jc w:val="center"/>
              <w:rPr>
                <w:sz w:val="20"/>
                <w:szCs w:val="20"/>
              </w:rPr>
            </w:pPr>
            <w:r w:rsidRPr="008B6A75">
              <w:rPr>
                <w:sz w:val="20"/>
                <w:szCs w:val="20"/>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008D312E" w14:textId="77777777" w:rsidR="00387142" w:rsidRPr="008B6A75" w:rsidRDefault="00387142" w:rsidP="00387142">
            <w:pPr>
              <w:jc w:val="center"/>
              <w:rPr>
                <w:sz w:val="20"/>
                <w:szCs w:val="20"/>
              </w:rPr>
            </w:pPr>
            <w:r w:rsidRPr="008B6A75">
              <w:rPr>
                <w:sz w:val="20"/>
                <w:szCs w:val="20"/>
              </w:rPr>
              <w:t>07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A46509" w14:textId="77777777" w:rsidR="00387142" w:rsidRPr="008B6A75" w:rsidRDefault="00387142" w:rsidP="00387142">
            <w:pPr>
              <w:jc w:val="center"/>
              <w:rPr>
                <w:sz w:val="20"/>
                <w:szCs w:val="20"/>
              </w:rPr>
            </w:pPr>
            <w:r w:rsidRPr="008B6A75">
              <w:rPr>
                <w:sz w:val="20"/>
                <w:szCs w:val="20"/>
              </w:rPr>
              <w:t>02</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14C4F45F" w14:textId="77777777" w:rsidR="00387142" w:rsidRPr="008B6A75" w:rsidRDefault="00387142" w:rsidP="00387142">
            <w:pPr>
              <w:jc w:val="center"/>
              <w:rPr>
                <w:sz w:val="20"/>
                <w:szCs w:val="20"/>
              </w:rPr>
            </w:pPr>
            <w:r w:rsidRPr="008B6A75">
              <w:rPr>
                <w:sz w:val="20"/>
                <w:szCs w:val="20"/>
              </w:rPr>
              <w:t>07.1.00.07290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DFA73E" w14:textId="77777777" w:rsidR="00387142" w:rsidRPr="008B6A75" w:rsidRDefault="00387142" w:rsidP="00387142">
            <w:pPr>
              <w:jc w:val="center"/>
              <w:rPr>
                <w:sz w:val="20"/>
                <w:szCs w:val="20"/>
              </w:rPr>
            </w:pPr>
            <w:r w:rsidRPr="008B6A75">
              <w:rPr>
                <w:sz w:val="20"/>
                <w:szCs w:val="20"/>
              </w:rPr>
              <w:t>110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1FE159" w14:textId="77777777" w:rsidR="00387142" w:rsidRPr="008B6A75" w:rsidRDefault="00387142" w:rsidP="00387142">
            <w:pPr>
              <w:jc w:val="right"/>
              <w:rPr>
                <w:sz w:val="20"/>
                <w:szCs w:val="20"/>
              </w:rPr>
            </w:pPr>
            <w:r w:rsidRPr="008B6A75">
              <w:rPr>
                <w:sz w:val="20"/>
                <w:szCs w:val="20"/>
              </w:rPr>
              <w:t>1 300,00</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1714D56C" w14:textId="77777777" w:rsidR="00387142" w:rsidRPr="008B6A75" w:rsidRDefault="00387142" w:rsidP="00387142">
            <w:pPr>
              <w:jc w:val="right"/>
              <w:rPr>
                <w:sz w:val="20"/>
                <w:szCs w:val="20"/>
              </w:rPr>
            </w:pPr>
            <w:r w:rsidRPr="008B6A75">
              <w:rPr>
                <w:sz w:val="20"/>
                <w:szCs w:val="20"/>
              </w:rPr>
              <w:t>1 722 500,00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4C4BA8" w14:textId="77777777" w:rsidR="00387142" w:rsidRPr="008B6A75" w:rsidRDefault="00387142" w:rsidP="00387142">
            <w:pPr>
              <w:jc w:val="right"/>
              <w:rPr>
                <w:sz w:val="20"/>
                <w:szCs w:val="20"/>
              </w:rPr>
            </w:pPr>
            <w:r w:rsidRPr="008B6A75">
              <w:rPr>
                <w:sz w:val="20"/>
                <w:szCs w:val="20"/>
              </w:rPr>
              <w:t>60 001 300,00</w:t>
            </w:r>
          </w:p>
        </w:tc>
        <w:tc>
          <w:tcPr>
            <w:tcW w:w="222" w:type="dxa"/>
            <w:vAlign w:val="center"/>
            <w:hideMark/>
          </w:tcPr>
          <w:p w14:paraId="2AFF2115" w14:textId="77777777" w:rsidR="00387142" w:rsidRPr="008B6A75" w:rsidRDefault="00387142" w:rsidP="00387142">
            <w:pPr>
              <w:rPr>
                <w:sz w:val="20"/>
                <w:szCs w:val="20"/>
              </w:rPr>
            </w:pPr>
          </w:p>
        </w:tc>
      </w:tr>
      <w:tr w:rsidR="00387142" w:rsidRPr="008B6A75" w14:paraId="476F55DD" w14:textId="77777777" w:rsidTr="00387142">
        <w:trPr>
          <w:trHeight w:val="585"/>
        </w:trPr>
        <w:tc>
          <w:tcPr>
            <w:tcW w:w="3021" w:type="dxa"/>
            <w:tcBorders>
              <w:top w:val="nil"/>
              <w:left w:val="single" w:sz="4" w:space="0" w:color="auto"/>
              <w:bottom w:val="nil"/>
              <w:right w:val="nil"/>
            </w:tcBorders>
            <w:shd w:val="clear" w:color="auto" w:fill="auto"/>
            <w:vAlign w:val="center"/>
            <w:hideMark/>
          </w:tcPr>
          <w:p w14:paraId="0A2BF3A7" w14:textId="77777777" w:rsidR="00387142" w:rsidRPr="008B6A75" w:rsidRDefault="00387142" w:rsidP="00387142">
            <w:pPr>
              <w:rPr>
                <w:sz w:val="20"/>
                <w:szCs w:val="20"/>
              </w:rPr>
            </w:pPr>
            <w:r w:rsidRPr="008B6A75">
              <w:rPr>
                <w:sz w:val="20"/>
                <w:szCs w:val="20"/>
              </w:rPr>
              <w:t>Закупка товаров, работ и услуг для обеспечения государственных (муниципальных) нужд</w:t>
            </w:r>
          </w:p>
        </w:tc>
        <w:tc>
          <w:tcPr>
            <w:tcW w:w="850" w:type="dxa"/>
            <w:tcBorders>
              <w:top w:val="nil"/>
              <w:left w:val="single" w:sz="4" w:space="0" w:color="auto"/>
              <w:bottom w:val="nil"/>
              <w:right w:val="nil"/>
            </w:tcBorders>
            <w:shd w:val="clear" w:color="auto" w:fill="auto"/>
            <w:noWrap/>
            <w:vAlign w:val="center"/>
            <w:hideMark/>
          </w:tcPr>
          <w:p w14:paraId="532EFD65" w14:textId="77777777" w:rsidR="00387142" w:rsidRPr="008B6A75" w:rsidRDefault="00387142" w:rsidP="00387142">
            <w:pPr>
              <w:jc w:val="center"/>
              <w:rPr>
                <w:sz w:val="20"/>
                <w:szCs w:val="20"/>
              </w:rPr>
            </w:pPr>
            <w:r w:rsidRPr="008B6A75">
              <w:rPr>
                <w:sz w:val="20"/>
                <w:szCs w:val="20"/>
              </w:rPr>
              <w:t>444</w:t>
            </w:r>
          </w:p>
        </w:tc>
        <w:tc>
          <w:tcPr>
            <w:tcW w:w="709" w:type="dxa"/>
            <w:tcBorders>
              <w:top w:val="nil"/>
              <w:left w:val="single" w:sz="4" w:space="0" w:color="auto"/>
              <w:bottom w:val="nil"/>
              <w:right w:val="nil"/>
            </w:tcBorders>
            <w:shd w:val="clear" w:color="auto" w:fill="auto"/>
            <w:noWrap/>
            <w:vAlign w:val="center"/>
            <w:hideMark/>
          </w:tcPr>
          <w:p w14:paraId="4CBC0094" w14:textId="77777777" w:rsidR="00387142" w:rsidRPr="008B6A75" w:rsidRDefault="00387142" w:rsidP="00387142">
            <w:pPr>
              <w:jc w:val="center"/>
              <w:rPr>
                <w:sz w:val="20"/>
                <w:szCs w:val="20"/>
              </w:rPr>
            </w:pPr>
            <w:r w:rsidRPr="008B6A75">
              <w:rPr>
                <w:sz w:val="20"/>
                <w:szCs w:val="20"/>
              </w:rPr>
              <w:t>07</w:t>
            </w:r>
          </w:p>
        </w:tc>
        <w:tc>
          <w:tcPr>
            <w:tcW w:w="709" w:type="dxa"/>
            <w:tcBorders>
              <w:top w:val="nil"/>
              <w:left w:val="single" w:sz="4" w:space="0" w:color="auto"/>
              <w:bottom w:val="nil"/>
              <w:right w:val="single" w:sz="4" w:space="0" w:color="auto"/>
            </w:tcBorders>
            <w:shd w:val="clear" w:color="auto" w:fill="auto"/>
            <w:noWrap/>
            <w:vAlign w:val="center"/>
            <w:hideMark/>
          </w:tcPr>
          <w:p w14:paraId="636F1564" w14:textId="77777777" w:rsidR="00387142" w:rsidRPr="008B6A75" w:rsidRDefault="00387142" w:rsidP="00387142">
            <w:pPr>
              <w:jc w:val="center"/>
              <w:rPr>
                <w:sz w:val="20"/>
                <w:szCs w:val="20"/>
              </w:rPr>
            </w:pPr>
            <w:r w:rsidRPr="008B6A75">
              <w:rPr>
                <w:sz w:val="20"/>
                <w:szCs w:val="20"/>
              </w:rPr>
              <w:t>02</w:t>
            </w:r>
          </w:p>
        </w:tc>
        <w:tc>
          <w:tcPr>
            <w:tcW w:w="1411" w:type="dxa"/>
            <w:tcBorders>
              <w:top w:val="nil"/>
              <w:left w:val="single" w:sz="4" w:space="0" w:color="auto"/>
              <w:bottom w:val="nil"/>
              <w:right w:val="nil"/>
            </w:tcBorders>
            <w:shd w:val="clear" w:color="auto" w:fill="auto"/>
            <w:noWrap/>
            <w:vAlign w:val="center"/>
            <w:hideMark/>
          </w:tcPr>
          <w:p w14:paraId="37947F2F" w14:textId="77777777" w:rsidR="00387142" w:rsidRPr="008B6A75" w:rsidRDefault="00387142" w:rsidP="00387142">
            <w:pPr>
              <w:jc w:val="center"/>
              <w:rPr>
                <w:sz w:val="20"/>
                <w:szCs w:val="20"/>
              </w:rPr>
            </w:pPr>
            <w:r w:rsidRPr="008B6A75">
              <w:rPr>
                <w:sz w:val="20"/>
                <w:szCs w:val="20"/>
              </w:rPr>
              <w:t>07.1.00.07290</w:t>
            </w:r>
          </w:p>
        </w:tc>
        <w:tc>
          <w:tcPr>
            <w:tcW w:w="955" w:type="dxa"/>
            <w:tcBorders>
              <w:top w:val="nil"/>
              <w:left w:val="single" w:sz="4" w:space="0" w:color="auto"/>
              <w:bottom w:val="nil"/>
              <w:right w:val="single" w:sz="4" w:space="0" w:color="auto"/>
            </w:tcBorders>
            <w:shd w:val="clear" w:color="auto" w:fill="auto"/>
            <w:noWrap/>
            <w:vAlign w:val="center"/>
            <w:hideMark/>
          </w:tcPr>
          <w:p w14:paraId="56E01074" w14:textId="77777777" w:rsidR="00387142" w:rsidRPr="008B6A75" w:rsidRDefault="00387142" w:rsidP="00387142">
            <w:pPr>
              <w:jc w:val="center"/>
              <w:rPr>
                <w:sz w:val="20"/>
                <w:szCs w:val="20"/>
              </w:rPr>
            </w:pPr>
            <w:r w:rsidRPr="008B6A75">
              <w:rPr>
                <w:sz w:val="20"/>
                <w:szCs w:val="20"/>
              </w:rPr>
              <w:t>200</w:t>
            </w:r>
          </w:p>
        </w:tc>
        <w:tc>
          <w:tcPr>
            <w:tcW w:w="992" w:type="dxa"/>
            <w:tcBorders>
              <w:top w:val="nil"/>
              <w:left w:val="single" w:sz="4" w:space="0" w:color="auto"/>
              <w:bottom w:val="nil"/>
              <w:right w:val="single" w:sz="4" w:space="0" w:color="auto"/>
            </w:tcBorders>
            <w:shd w:val="clear" w:color="auto" w:fill="auto"/>
            <w:noWrap/>
            <w:vAlign w:val="center"/>
            <w:hideMark/>
          </w:tcPr>
          <w:p w14:paraId="6CE41EEF" w14:textId="77777777" w:rsidR="00387142" w:rsidRPr="008B6A75" w:rsidRDefault="00387142" w:rsidP="00387142">
            <w:pPr>
              <w:jc w:val="right"/>
              <w:rPr>
                <w:sz w:val="20"/>
                <w:szCs w:val="20"/>
              </w:rPr>
            </w:pPr>
            <w:r w:rsidRPr="008B6A75">
              <w:rPr>
                <w:sz w:val="20"/>
                <w:szCs w:val="20"/>
              </w:rPr>
              <w:t>60 836 006,27</w:t>
            </w:r>
          </w:p>
        </w:tc>
        <w:tc>
          <w:tcPr>
            <w:tcW w:w="992" w:type="dxa"/>
            <w:gridSpan w:val="2"/>
            <w:tcBorders>
              <w:top w:val="nil"/>
              <w:left w:val="single" w:sz="4" w:space="0" w:color="auto"/>
              <w:bottom w:val="nil"/>
              <w:right w:val="nil"/>
            </w:tcBorders>
            <w:shd w:val="clear" w:color="auto" w:fill="auto"/>
            <w:noWrap/>
            <w:vAlign w:val="center"/>
            <w:hideMark/>
          </w:tcPr>
          <w:p w14:paraId="0683AD24" w14:textId="77777777" w:rsidR="00387142" w:rsidRPr="008B6A75" w:rsidRDefault="00387142" w:rsidP="00387142">
            <w:pPr>
              <w:jc w:val="right"/>
              <w:rPr>
                <w:sz w:val="20"/>
                <w:szCs w:val="20"/>
              </w:rPr>
            </w:pPr>
            <w:r w:rsidRPr="008B6A75">
              <w:rPr>
                <w:sz w:val="20"/>
                <w:szCs w:val="20"/>
              </w:rPr>
              <w:t>55 941 928,09</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0495EA5D" w14:textId="77777777" w:rsidR="00387142" w:rsidRPr="008B6A75" w:rsidRDefault="00387142" w:rsidP="00387142">
            <w:pPr>
              <w:jc w:val="right"/>
              <w:rPr>
                <w:sz w:val="20"/>
                <w:szCs w:val="20"/>
              </w:rPr>
            </w:pPr>
            <w:r w:rsidRPr="008B6A75">
              <w:rPr>
                <w:sz w:val="20"/>
                <w:szCs w:val="20"/>
              </w:rPr>
              <w:t>39 856 590,00</w:t>
            </w:r>
          </w:p>
        </w:tc>
        <w:tc>
          <w:tcPr>
            <w:tcW w:w="222" w:type="dxa"/>
            <w:vAlign w:val="center"/>
            <w:hideMark/>
          </w:tcPr>
          <w:p w14:paraId="064CB2AD" w14:textId="77777777" w:rsidR="00387142" w:rsidRPr="008B6A75" w:rsidRDefault="00387142" w:rsidP="00387142">
            <w:pPr>
              <w:rPr>
                <w:sz w:val="20"/>
                <w:szCs w:val="20"/>
              </w:rPr>
            </w:pPr>
          </w:p>
        </w:tc>
      </w:tr>
      <w:tr w:rsidR="00387142" w:rsidRPr="008B6A75" w14:paraId="645AD4DD" w14:textId="77777777" w:rsidTr="00387142">
        <w:trPr>
          <w:trHeight w:val="870"/>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153DCFE9" w14:textId="77777777" w:rsidR="00387142" w:rsidRPr="008B6A75" w:rsidRDefault="00387142" w:rsidP="00387142">
            <w:pPr>
              <w:rPr>
                <w:sz w:val="20"/>
                <w:szCs w:val="20"/>
              </w:rPr>
            </w:pPr>
            <w:r w:rsidRPr="008B6A75">
              <w:rPr>
                <w:sz w:val="20"/>
                <w:szCs w:val="20"/>
              </w:rPr>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7F5DE233" w14:textId="77777777" w:rsidR="00387142" w:rsidRPr="008B6A75" w:rsidRDefault="00387142" w:rsidP="00387142">
            <w:pPr>
              <w:jc w:val="center"/>
              <w:rPr>
                <w:sz w:val="20"/>
                <w:szCs w:val="20"/>
              </w:rPr>
            </w:pPr>
            <w:r w:rsidRPr="008B6A75">
              <w:rPr>
                <w:sz w:val="20"/>
                <w:szCs w:val="20"/>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4FBBC672" w14:textId="77777777" w:rsidR="00387142" w:rsidRPr="008B6A75" w:rsidRDefault="00387142" w:rsidP="00387142">
            <w:pPr>
              <w:jc w:val="center"/>
              <w:rPr>
                <w:sz w:val="20"/>
                <w:szCs w:val="20"/>
              </w:rPr>
            </w:pPr>
            <w:r w:rsidRPr="008B6A75">
              <w:rPr>
                <w:sz w:val="20"/>
                <w:szCs w:val="20"/>
              </w:rPr>
              <w:t>07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B8F06F" w14:textId="77777777" w:rsidR="00387142" w:rsidRPr="008B6A75" w:rsidRDefault="00387142" w:rsidP="00387142">
            <w:pPr>
              <w:jc w:val="center"/>
              <w:rPr>
                <w:sz w:val="20"/>
                <w:szCs w:val="20"/>
              </w:rPr>
            </w:pPr>
            <w:r w:rsidRPr="008B6A75">
              <w:rPr>
                <w:sz w:val="20"/>
                <w:szCs w:val="20"/>
              </w:rPr>
              <w:t>02</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5EECB72D" w14:textId="77777777" w:rsidR="00387142" w:rsidRPr="008B6A75" w:rsidRDefault="00387142" w:rsidP="00387142">
            <w:pPr>
              <w:jc w:val="center"/>
              <w:rPr>
                <w:sz w:val="20"/>
                <w:szCs w:val="20"/>
              </w:rPr>
            </w:pPr>
            <w:r w:rsidRPr="008B6A75">
              <w:rPr>
                <w:sz w:val="20"/>
                <w:szCs w:val="20"/>
              </w:rPr>
              <w:t>07.1.00.07290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3C2612" w14:textId="77777777" w:rsidR="00387142" w:rsidRPr="008B6A75" w:rsidRDefault="00387142" w:rsidP="00387142">
            <w:pPr>
              <w:jc w:val="center"/>
              <w:rPr>
                <w:sz w:val="20"/>
                <w:szCs w:val="20"/>
              </w:rPr>
            </w:pPr>
            <w:r w:rsidRPr="008B6A75">
              <w:rPr>
                <w:sz w:val="20"/>
                <w:szCs w:val="20"/>
              </w:rPr>
              <w:t>240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8D4985" w14:textId="77777777" w:rsidR="00387142" w:rsidRPr="008B6A75" w:rsidRDefault="00387142" w:rsidP="00387142">
            <w:pPr>
              <w:jc w:val="right"/>
              <w:rPr>
                <w:sz w:val="20"/>
                <w:szCs w:val="20"/>
              </w:rPr>
            </w:pPr>
            <w:r w:rsidRPr="008B6A75">
              <w:rPr>
                <w:sz w:val="20"/>
                <w:szCs w:val="20"/>
              </w:rPr>
              <w:t>60 836 006,27</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374A4A02" w14:textId="77777777" w:rsidR="00387142" w:rsidRPr="008B6A75" w:rsidRDefault="00387142" w:rsidP="00387142">
            <w:pPr>
              <w:jc w:val="right"/>
              <w:rPr>
                <w:sz w:val="20"/>
                <w:szCs w:val="20"/>
              </w:rPr>
            </w:pPr>
            <w:r w:rsidRPr="008B6A75">
              <w:rPr>
                <w:sz w:val="20"/>
                <w:szCs w:val="20"/>
              </w:rPr>
              <w:t>55 941 928,09</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060EA3" w14:textId="77777777" w:rsidR="00387142" w:rsidRPr="008B6A75" w:rsidRDefault="00387142" w:rsidP="00387142">
            <w:pPr>
              <w:jc w:val="right"/>
              <w:rPr>
                <w:sz w:val="20"/>
                <w:szCs w:val="20"/>
              </w:rPr>
            </w:pPr>
            <w:r w:rsidRPr="008B6A75">
              <w:rPr>
                <w:sz w:val="20"/>
                <w:szCs w:val="20"/>
              </w:rPr>
              <w:t>39 856 590,00</w:t>
            </w:r>
          </w:p>
        </w:tc>
        <w:tc>
          <w:tcPr>
            <w:tcW w:w="222" w:type="dxa"/>
            <w:vAlign w:val="center"/>
            <w:hideMark/>
          </w:tcPr>
          <w:p w14:paraId="5B6C49DF" w14:textId="77777777" w:rsidR="00387142" w:rsidRPr="008B6A75" w:rsidRDefault="00387142" w:rsidP="00387142">
            <w:pPr>
              <w:rPr>
                <w:sz w:val="20"/>
                <w:szCs w:val="20"/>
              </w:rPr>
            </w:pPr>
          </w:p>
        </w:tc>
      </w:tr>
      <w:tr w:rsidR="00387142" w:rsidRPr="008B6A75" w14:paraId="622C4267" w14:textId="77777777" w:rsidTr="00387142">
        <w:trPr>
          <w:trHeight w:val="870"/>
        </w:trPr>
        <w:tc>
          <w:tcPr>
            <w:tcW w:w="3021" w:type="dxa"/>
            <w:tcBorders>
              <w:top w:val="nil"/>
              <w:left w:val="single" w:sz="4" w:space="0" w:color="auto"/>
              <w:bottom w:val="nil"/>
              <w:right w:val="nil"/>
            </w:tcBorders>
            <w:shd w:val="clear" w:color="auto" w:fill="auto"/>
            <w:vAlign w:val="center"/>
            <w:hideMark/>
          </w:tcPr>
          <w:p w14:paraId="0BA50EDC" w14:textId="77777777" w:rsidR="00387142" w:rsidRPr="008B6A75" w:rsidRDefault="00387142" w:rsidP="00387142">
            <w:pPr>
              <w:rPr>
                <w:sz w:val="20"/>
                <w:szCs w:val="20"/>
              </w:rPr>
            </w:pPr>
            <w:r w:rsidRPr="008B6A75">
              <w:rPr>
                <w:sz w:val="20"/>
                <w:szCs w:val="20"/>
              </w:rPr>
              <w:t>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right w:val="nil"/>
            </w:tcBorders>
            <w:shd w:val="clear" w:color="auto" w:fill="auto"/>
            <w:noWrap/>
            <w:vAlign w:val="center"/>
            <w:hideMark/>
          </w:tcPr>
          <w:p w14:paraId="5637C8F7" w14:textId="77777777" w:rsidR="00387142" w:rsidRPr="008B6A75" w:rsidRDefault="00387142" w:rsidP="00387142">
            <w:pPr>
              <w:jc w:val="center"/>
              <w:rPr>
                <w:sz w:val="20"/>
                <w:szCs w:val="20"/>
              </w:rPr>
            </w:pPr>
            <w:r w:rsidRPr="008B6A75">
              <w:rPr>
                <w:sz w:val="20"/>
                <w:szCs w:val="20"/>
              </w:rPr>
              <w:t>444</w:t>
            </w:r>
          </w:p>
        </w:tc>
        <w:tc>
          <w:tcPr>
            <w:tcW w:w="709" w:type="dxa"/>
            <w:tcBorders>
              <w:top w:val="nil"/>
              <w:left w:val="single" w:sz="4" w:space="0" w:color="auto"/>
              <w:bottom w:val="nil"/>
              <w:right w:val="nil"/>
            </w:tcBorders>
            <w:shd w:val="clear" w:color="auto" w:fill="auto"/>
            <w:noWrap/>
            <w:vAlign w:val="center"/>
            <w:hideMark/>
          </w:tcPr>
          <w:p w14:paraId="35258AAA" w14:textId="77777777" w:rsidR="00387142" w:rsidRPr="008B6A75" w:rsidRDefault="00387142" w:rsidP="00387142">
            <w:pPr>
              <w:jc w:val="center"/>
              <w:rPr>
                <w:sz w:val="20"/>
                <w:szCs w:val="20"/>
              </w:rPr>
            </w:pPr>
            <w:r w:rsidRPr="008B6A75">
              <w:rPr>
                <w:sz w:val="20"/>
                <w:szCs w:val="20"/>
              </w:rPr>
              <w:t>07</w:t>
            </w:r>
          </w:p>
        </w:tc>
        <w:tc>
          <w:tcPr>
            <w:tcW w:w="709" w:type="dxa"/>
            <w:tcBorders>
              <w:top w:val="nil"/>
              <w:left w:val="single" w:sz="4" w:space="0" w:color="auto"/>
              <w:bottom w:val="nil"/>
              <w:right w:val="single" w:sz="4" w:space="0" w:color="auto"/>
            </w:tcBorders>
            <w:shd w:val="clear" w:color="auto" w:fill="auto"/>
            <w:noWrap/>
            <w:vAlign w:val="center"/>
            <w:hideMark/>
          </w:tcPr>
          <w:p w14:paraId="7C457AEA" w14:textId="77777777" w:rsidR="00387142" w:rsidRPr="008B6A75" w:rsidRDefault="00387142" w:rsidP="00387142">
            <w:pPr>
              <w:jc w:val="center"/>
              <w:rPr>
                <w:sz w:val="20"/>
                <w:szCs w:val="20"/>
              </w:rPr>
            </w:pPr>
            <w:r w:rsidRPr="008B6A75">
              <w:rPr>
                <w:sz w:val="20"/>
                <w:szCs w:val="20"/>
              </w:rPr>
              <w:t>02</w:t>
            </w:r>
          </w:p>
        </w:tc>
        <w:tc>
          <w:tcPr>
            <w:tcW w:w="1411" w:type="dxa"/>
            <w:tcBorders>
              <w:top w:val="nil"/>
              <w:left w:val="single" w:sz="4" w:space="0" w:color="auto"/>
              <w:bottom w:val="nil"/>
              <w:right w:val="nil"/>
            </w:tcBorders>
            <w:shd w:val="clear" w:color="auto" w:fill="auto"/>
            <w:noWrap/>
            <w:vAlign w:val="center"/>
            <w:hideMark/>
          </w:tcPr>
          <w:p w14:paraId="10895713" w14:textId="77777777" w:rsidR="00387142" w:rsidRPr="008B6A75" w:rsidRDefault="00387142" w:rsidP="00387142">
            <w:pPr>
              <w:jc w:val="center"/>
              <w:rPr>
                <w:sz w:val="20"/>
                <w:szCs w:val="20"/>
              </w:rPr>
            </w:pPr>
            <w:r w:rsidRPr="008B6A75">
              <w:rPr>
                <w:sz w:val="20"/>
                <w:szCs w:val="20"/>
              </w:rPr>
              <w:t>07.1.00.07290</w:t>
            </w:r>
          </w:p>
        </w:tc>
        <w:tc>
          <w:tcPr>
            <w:tcW w:w="955" w:type="dxa"/>
            <w:tcBorders>
              <w:top w:val="nil"/>
              <w:left w:val="single" w:sz="4" w:space="0" w:color="auto"/>
              <w:bottom w:val="nil"/>
              <w:right w:val="single" w:sz="4" w:space="0" w:color="auto"/>
            </w:tcBorders>
            <w:shd w:val="clear" w:color="auto" w:fill="auto"/>
            <w:noWrap/>
            <w:vAlign w:val="center"/>
            <w:hideMark/>
          </w:tcPr>
          <w:p w14:paraId="7FDE3550" w14:textId="77777777" w:rsidR="00387142" w:rsidRPr="008B6A75" w:rsidRDefault="00387142" w:rsidP="00387142">
            <w:pPr>
              <w:jc w:val="center"/>
              <w:rPr>
                <w:sz w:val="20"/>
                <w:szCs w:val="20"/>
              </w:rPr>
            </w:pPr>
            <w:r w:rsidRPr="008B6A75">
              <w:rPr>
                <w:sz w:val="20"/>
                <w:szCs w:val="20"/>
              </w:rPr>
              <w:t>600</w:t>
            </w:r>
          </w:p>
        </w:tc>
        <w:tc>
          <w:tcPr>
            <w:tcW w:w="992" w:type="dxa"/>
            <w:tcBorders>
              <w:top w:val="nil"/>
              <w:left w:val="single" w:sz="4" w:space="0" w:color="auto"/>
              <w:bottom w:val="nil"/>
              <w:right w:val="single" w:sz="4" w:space="0" w:color="auto"/>
            </w:tcBorders>
            <w:shd w:val="clear" w:color="auto" w:fill="auto"/>
            <w:noWrap/>
            <w:vAlign w:val="center"/>
            <w:hideMark/>
          </w:tcPr>
          <w:p w14:paraId="0AB02DDC" w14:textId="77777777" w:rsidR="00387142" w:rsidRPr="008B6A75" w:rsidRDefault="00387142" w:rsidP="00387142">
            <w:pPr>
              <w:jc w:val="right"/>
              <w:rPr>
                <w:sz w:val="20"/>
                <w:szCs w:val="20"/>
              </w:rPr>
            </w:pPr>
            <w:r w:rsidRPr="008B6A75">
              <w:rPr>
                <w:sz w:val="20"/>
                <w:szCs w:val="20"/>
              </w:rPr>
              <w:t>59 905 069,66</w:t>
            </w:r>
          </w:p>
        </w:tc>
        <w:tc>
          <w:tcPr>
            <w:tcW w:w="992" w:type="dxa"/>
            <w:gridSpan w:val="2"/>
            <w:tcBorders>
              <w:top w:val="nil"/>
              <w:left w:val="single" w:sz="4" w:space="0" w:color="auto"/>
              <w:bottom w:val="nil"/>
              <w:right w:val="nil"/>
            </w:tcBorders>
            <w:shd w:val="clear" w:color="auto" w:fill="auto"/>
            <w:noWrap/>
            <w:vAlign w:val="center"/>
            <w:hideMark/>
          </w:tcPr>
          <w:p w14:paraId="23DC04B3" w14:textId="77777777" w:rsidR="00387142" w:rsidRPr="008B6A75" w:rsidRDefault="00387142" w:rsidP="00387142">
            <w:pPr>
              <w:jc w:val="right"/>
              <w:rPr>
                <w:sz w:val="20"/>
                <w:szCs w:val="20"/>
              </w:rPr>
            </w:pPr>
            <w:r w:rsidRPr="008B6A75">
              <w:rPr>
                <w:sz w:val="20"/>
                <w:szCs w:val="20"/>
              </w:rPr>
              <w:t>46 584 851,91</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4AAD0E35" w14:textId="77777777" w:rsidR="00387142" w:rsidRPr="008B6A75" w:rsidRDefault="00387142" w:rsidP="00387142">
            <w:pPr>
              <w:jc w:val="right"/>
              <w:rPr>
                <w:sz w:val="20"/>
                <w:szCs w:val="20"/>
              </w:rPr>
            </w:pPr>
            <w:r w:rsidRPr="008B6A75">
              <w:rPr>
                <w:sz w:val="20"/>
                <w:szCs w:val="20"/>
              </w:rPr>
              <w:t>20 000 000,00</w:t>
            </w:r>
          </w:p>
        </w:tc>
        <w:tc>
          <w:tcPr>
            <w:tcW w:w="222" w:type="dxa"/>
            <w:vAlign w:val="center"/>
            <w:hideMark/>
          </w:tcPr>
          <w:p w14:paraId="6C06F685" w14:textId="77777777" w:rsidR="00387142" w:rsidRPr="008B6A75" w:rsidRDefault="00387142" w:rsidP="00387142">
            <w:pPr>
              <w:rPr>
                <w:sz w:val="20"/>
                <w:szCs w:val="20"/>
              </w:rPr>
            </w:pPr>
          </w:p>
        </w:tc>
      </w:tr>
      <w:tr w:rsidR="00387142" w:rsidRPr="008B6A75" w14:paraId="6E69CFBD" w14:textId="77777777" w:rsidTr="00387142">
        <w:trPr>
          <w:trHeight w:val="300"/>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56FC4D72" w14:textId="77777777" w:rsidR="00387142" w:rsidRPr="008B6A75" w:rsidRDefault="00387142" w:rsidP="00387142">
            <w:pPr>
              <w:rPr>
                <w:sz w:val="20"/>
                <w:szCs w:val="20"/>
              </w:rPr>
            </w:pPr>
            <w:r w:rsidRPr="008B6A75">
              <w:rPr>
                <w:sz w:val="20"/>
                <w:szCs w:val="20"/>
              </w:rPr>
              <w:t>Субсидии бюджетным учреждениям</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2833FB10" w14:textId="77777777" w:rsidR="00387142" w:rsidRPr="008B6A75" w:rsidRDefault="00387142" w:rsidP="00387142">
            <w:pPr>
              <w:jc w:val="center"/>
              <w:rPr>
                <w:sz w:val="20"/>
                <w:szCs w:val="20"/>
              </w:rPr>
            </w:pPr>
            <w:r w:rsidRPr="008B6A75">
              <w:rPr>
                <w:sz w:val="20"/>
                <w:szCs w:val="20"/>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6D3356D2" w14:textId="77777777" w:rsidR="00387142" w:rsidRPr="008B6A75" w:rsidRDefault="00387142" w:rsidP="00387142">
            <w:pPr>
              <w:jc w:val="center"/>
              <w:rPr>
                <w:sz w:val="20"/>
                <w:szCs w:val="20"/>
              </w:rPr>
            </w:pPr>
            <w:r w:rsidRPr="008B6A75">
              <w:rPr>
                <w:sz w:val="20"/>
                <w:szCs w:val="20"/>
              </w:rPr>
              <w:t>07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96B777" w14:textId="77777777" w:rsidR="00387142" w:rsidRPr="008B6A75" w:rsidRDefault="00387142" w:rsidP="00387142">
            <w:pPr>
              <w:jc w:val="center"/>
              <w:rPr>
                <w:sz w:val="20"/>
                <w:szCs w:val="20"/>
              </w:rPr>
            </w:pPr>
            <w:r w:rsidRPr="008B6A75">
              <w:rPr>
                <w:sz w:val="20"/>
                <w:szCs w:val="20"/>
              </w:rPr>
              <w:t>02</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62092FC3" w14:textId="77777777" w:rsidR="00387142" w:rsidRPr="008B6A75" w:rsidRDefault="00387142" w:rsidP="00387142">
            <w:pPr>
              <w:jc w:val="center"/>
              <w:rPr>
                <w:sz w:val="20"/>
                <w:szCs w:val="20"/>
              </w:rPr>
            </w:pPr>
            <w:r w:rsidRPr="008B6A75">
              <w:rPr>
                <w:sz w:val="20"/>
                <w:szCs w:val="20"/>
              </w:rPr>
              <w:t>07.1.00.07290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7A3C63" w14:textId="77777777" w:rsidR="00387142" w:rsidRPr="008B6A75" w:rsidRDefault="00387142" w:rsidP="00387142">
            <w:pPr>
              <w:jc w:val="center"/>
              <w:rPr>
                <w:sz w:val="20"/>
                <w:szCs w:val="20"/>
              </w:rPr>
            </w:pPr>
            <w:r w:rsidRPr="008B6A75">
              <w:rPr>
                <w:sz w:val="20"/>
                <w:szCs w:val="20"/>
              </w:rPr>
              <w:t>610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6B4EB3" w14:textId="77777777" w:rsidR="00387142" w:rsidRPr="008B6A75" w:rsidRDefault="00387142" w:rsidP="00387142">
            <w:pPr>
              <w:jc w:val="right"/>
              <w:rPr>
                <w:sz w:val="20"/>
                <w:szCs w:val="20"/>
              </w:rPr>
            </w:pPr>
            <w:r w:rsidRPr="008B6A75">
              <w:rPr>
                <w:sz w:val="20"/>
                <w:szCs w:val="20"/>
              </w:rPr>
              <w:t>59 905 069,66</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68B6ED5C" w14:textId="77777777" w:rsidR="00387142" w:rsidRPr="008B6A75" w:rsidRDefault="00387142" w:rsidP="00387142">
            <w:pPr>
              <w:jc w:val="right"/>
              <w:rPr>
                <w:sz w:val="20"/>
                <w:szCs w:val="20"/>
              </w:rPr>
            </w:pPr>
            <w:r w:rsidRPr="008B6A75">
              <w:rPr>
                <w:sz w:val="20"/>
                <w:szCs w:val="20"/>
              </w:rPr>
              <w:t>46 584 851,91</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BCD570" w14:textId="77777777" w:rsidR="00387142" w:rsidRPr="008B6A75" w:rsidRDefault="00387142" w:rsidP="00387142">
            <w:pPr>
              <w:jc w:val="right"/>
              <w:rPr>
                <w:sz w:val="20"/>
                <w:szCs w:val="20"/>
              </w:rPr>
            </w:pPr>
            <w:r w:rsidRPr="008B6A75">
              <w:rPr>
                <w:sz w:val="20"/>
                <w:szCs w:val="20"/>
              </w:rPr>
              <w:t>20 000 000,00</w:t>
            </w:r>
          </w:p>
        </w:tc>
        <w:tc>
          <w:tcPr>
            <w:tcW w:w="222" w:type="dxa"/>
            <w:vAlign w:val="center"/>
            <w:hideMark/>
          </w:tcPr>
          <w:p w14:paraId="0354FC90" w14:textId="77777777" w:rsidR="00387142" w:rsidRPr="008B6A75" w:rsidRDefault="00387142" w:rsidP="00387142">
            <w:pPr>
              <w:rPr>
                <w:sz w:val="20"/>
                <w:szCs w:val="20"/>
              </w:rPr>
            </w:pPr>
          </w:p>
        </w:tc>
      </w:tr>
      <w:tr w:rsidR="00387142" w:rsidRPr="008B6A75" w14:paraId="5F2E518B" w14:textId="77777777" w:rsidTr="00387142">
        <w:trPr>
          <w:trHeight w:val="300"/>
        </w:trPr>
        <w:tc>
          <w:tcPr>
            <w:tcW w:w="3021" w:type="dxa"/>
            <w:tcBorders>
              <w:top w:val="nil"/>
              <w:left w:val="single" w:sz="4" w:space="0" w:color="auto"/>
              <w:bottom w:val="nil"/>
              <w:right w:val="nil"/>
            </w:tcBorders>
            <w:shd w:val="clear" w:color="auto" w:fill="auto"/>
            <w:vAlign w:val="center"/>
            <w:hideMark/>
          </w:tcPr>
          <w:p w14:paraId="6C53850A" w14:textId="77777777" w:rsidR="00387142" w:rsidRPr="008B6A75" w:rsidRDefault="00387142" w:rsidP="00387142">
            <w:pPr>
              <w:rPr>
                <w:sz w:val="20"/>
                <w:szCs w:val="20"/>
              </w:rPr>
            </w:pPr>
            <w:r w:rsidRPr="008B6A75">
              <w:rPr>
                <w:sz w:val="20"/>
                <w:szCs w:val="20"/>
              </w:rPr>
              <w:t>Иные бюджетные ассигнования</w:t>
            </w:r>
          </w:p>
        </w:tc>
        <w:tc>
          <w:tcPr>
            <w:tcW w:w="850" w:type="dxa"/>
            <w:tcBorders>
              <w:top w:val="nil"/>
              <w:left w:val="single" w:sz="4" w:space="0" w:color="auto"/>
              <w:bottom w:val="nil"/>
              <w:right w:val="nil"/>
            </w:tcBorders>
            <w:shd w:val="clear" w:color="auto" w:fill="auto"/>
            <w:noWrap/>
            <w:vAlign w:val="center"/>
            <w:hideMark/>
          </w:tcPr>
          <w:p w14:paraId="5B23B975" w14:textId="77777777" w:rsidR="00387142" w:rsidRPr="008B6A75" w:rsidRDefault="00387142" w:rsidP="00387142">
            <w:pPr>
              <w:jc w:val="center"/>
              <w:rPr>
                <w:sz w:val="20"/>
                <w:szCs w:val="20"/>
              </w:rPr>
            </w:pPr>
            <w:r w:rsidRPr="008B6A75">
              <w:rPr>
                <w:sz w:val="20"/>
                <w:szCs w:val="20"/>
              </w:rPr>
              <w:t>444</w:t>
            </w:r>
          </w:p>
        </w:tc>
        <w:tc>
          <w:tcPr>
            <w:tcW w:w="709" w:type="dxa"/>
            <w:tcBorders>
              <w:top w:val="nil"/>
              <w:left w:val="single" w:sz="4" w:space="0" w:color="auto"/>
              <w:bottom w:val="nil"/>
              <w:right w:val="nil"/>
            </w:tcBorders>
            <w:shd w:val="clear" w:color="auto" w:fill="auto"/>
            <w:noWrap/>
            <w:vAlign w:val="center"/>
            <w:hideMark/>
          </w:tcPr>
          <w:p w14:paraId="048E9BD8" w14:textId="77777777" w:rsidR="00387142" w:rsidRPr="008B6A75" w:rsidRDefault="00387142" w:rsidP="00387142">
            <w:pPr>
              <w:jc w:val="center"/>
              <w:rPr>
                <w:sz w:val="20"/>
                <w:szCs w:val="20"/>
              </w:rPr>
            </w:pPr>
            <w:r w:rsidRPr="008B6A75">
              <w:rPr>
                <w:sz w:val="20"/>
                <w:szCs w:val="20"/>
              </w:rPr>
              <w:t>07</w:t>
            </w:r>
          </w:p>
        </w:tc>
        <w:tc>
          <w:tcPr>
            <w:tcW w:w="709" w:type="dxa"/>
            <w:tcBorders>
              <w:top w:val="nil"/>
              <w:left w:val="single" w:sz="4" w:space="0" w:color="auto"/>
              <w:bottom w:val="nil"/>
              <w:right w:val="single" w:sz="4" w:space="0" w:color="auto"/>
            </w:tcBorders>
            <w:shd w:val="clear" w:color="auto" w:fill="auto"/>
            <w:noWrap/>
            <w:vAlign w:val="center"/>
            <w:hideMark/>
          </w:tcPr>
          <w:p w14:paraId="6DFD54E1" w14:textId="77777777" w:rsidR="00387142" w:rsidRPr="008B6A75" w:rsidRDefault="00387142" w:rsidP="00387142">
            <w:pPr>
              <w:jc w:val="center"/>
              <w:rPr>
                <w:sz w:val="20"/>
                <w:szCs w:val="20"/>
              </w:rPr>
            </w:pPr>
            <w:r w:rsidRPr="008B6A75">
              <w:rPr>
                <w:sz w:val="20"/>
                <w:szCs w:val="20"/>
              </w:rPr>
              <w:t>02</w:t>
            </w:r>
          </w:p>
        </w:tc>
        <w:tc>
          <w:tcPr>
            <w:tcW w:w="1411" w:type="dxa"/>
            <w:tcBorders>
              <w:top w:val="nil"/>
              <w:left w:val="single" w:sz="4" w:space="0" w:color="auto"/>
              <w:bottom w:val="nil"/>
              <w:right w:val="nil"/>
            </w:tcBorders>
            <w:shd w:val="clear" w:color="auto" w:fill="auto"/>
            <w:noWrap/>
            <w:vAlign w:val="center"/>
            <w:hideMark/>
          </w:tcPr>
          <w:p w14:paraId="2AAE2A69" w14:textId="77777777" w:rsidR="00387142" w:rsidRPr="008B6A75" w:rsidRDefault="00387142" w:rsidP="00387142">
            <w:pPr>
              <w:jc w:val="center"/>
              <w:rPr>
                <w:sz w:val="20"/>
                <w:szCs w:val="20"/>
              </w:rPr>
            </w:pPr>
            <w:r w:rsidRPr="008B6A75">
              <w:rPr>
                <w:sz w:val="20"/>
                <w:szCs w:val="20"/>
              </w:rPr>
              <w:t>07.1.00.07290</w:t>
            </w:r>
          </w:p>
        </w:tc>
        <w:tc>
          <w:tcPr>
            <w:tcW w:w="955" w:type="dxa"/>
            <w:tcBorders>
              <w:top w:val="nil"/>
              <w:left w:val="single" w:sz="4" w:space="0" w:color="auto"/>
              <w:bottom w:val="nil"/>
              <w:right w:val="single" w:sz="4" w:space="0" w:color="auto"/>
            </w:tcBorders>
            <w:shd w:val="clear" w:color="auto" w:fill="auto"/>
            <w:noWrap/>
            <w:vAlign w:val="center"/>
            <w:hideMark/>
          </w:tcPr>
          <w:p w14:paraId="769DBC8F" w14:textId="77777777" w:rsidR="00387142" w:rsidRPr="008B6A75" w:rsidRDefault="00387142" w:rsidP="00387142">
            <w:pPr>
              <w:jc w:val="center"/>
              <w:rPr>
                <w:sz w:val="20"/>
                <w:szCs w:val="20"/>
              </w:rPr>
            </w:pPr>
            <w:r w:rsidRPr="008B6A75">
              <w:rPr>
                <w:sz w:val="20"/>
                <w:szCs w:val="20"/>
              </w:rPr>
              <w:t>800</w:t>
            </w:r>
          </w:p>
        </w:tc>
        <w:tc>
          <w:tcPr>
            <w:tcW w:w="992" w:type="dxa"/>
            <w:tcBorders>
              <w:top w:val="nil"/>
              <w:left w:val="single" w:sz="4" w:space="0" w:color="auto"/>
              <w:bottom w:val="nil"/>
              <w:right w:val="single" w:sz="4" w:space="0" w:color="auto"/>
            </w:tcBorders>
            <w:shd w:val="clear" w:color="auto" w:fill="auto"/>
            <w:noWrap/>
            <w:vAlign w:val="center"/>
            <w:hideMark/>
          </w:tcPr>
          <w:p w14:paraId="1C579F8E" w14:textId="77777777" w:rsidR="00387142" w:rsidRPr="008B6A75" w:rsidRDefault="00387142" w:rsidP="00387142">
            <w:pPr>
              <w:jc w:val="right"/>
              <w:rPr>
                <w:sz w:val="20"/>
                <w:szCs w:val="20"/>
              </w:rPr>
            </w:pPr>
            <w:r w:rsidRPr="008B6A75">
              <w:rPr>
                <w:sz w:val="20"/>
                <w:szCs w:val="20"/>
              </w:rPr>
              <w:t>1 289 444,06</w:t>
            </w:r>
          </w:p>
        </w:tc>
        <w:tc>
          <w:tcPr>
            <w:tcW w:w="992" w:type="dxa"/>
            <w:gridSpan w:val="2"/>
            <w:tcBorders>
              <w:top w:val="nil"/>
              <w:left w:val="single" w:sz="4" w:space="0" w:color="auto"/>
              <w:bottom w:val="nil"/>
              <w:right w:val="nil"/>
            </w:tcBorders>
            <w:shd w:val="clear" w:color="auto" w:fill="auto"/>
            <w:noWrap/>
            <w:vAlign w:val="center"/>
            <w:hideMark/>
          </w:tcPr>
          <w:p w14:paraId="6890C9C0" w14:textId="77777777" w:rsidR="00387142" w:rsidRPr="008B6A75" w:rsidRDefault="00387142" w:rsidP="00387142">
            <w:pPr>
              <w:jc w:val="right"/>
              <w:rPr>
                <w:sz w:val="20"/>
                <w:szCs w:val="20"/>
              </w:rPr>
            </w:pPr>
            <w:r w:rsidRPr="008B6A75">
              <w:rPr>
                <w:sz w:val="20"/>
                <w:szCs w:val="20"/>
              </w:rPr>
              <w:t>0,00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1598A950" w14:textId="77777777" w:rsidR="00387142" w:rsidRPr="008B6A75" w:rsidRDefault="00387142" w:rsidP="00387142">
            <w:pPr>
              <w:jc w:val="right"/>
              <w:rPr>
                <w:sz w:val="20"/>
                <w:szCs w:val="20"/>
              </w:rPr>
            </w:pPr>
            <w:r w:rsidRPr="008B6A75">
              <w:rPr>
                <w:sz w:val="20"/>
                <w:szCs w:val="20"/>
              </w:rPr>
              <w:t>0,00</w:t>
            </w:r>
          </w:p>
        </w:tc>
        <w:tc>
          <w:tcPr>
            <w:tcW w:w="222" w:type="dxa"/>
            <w:vAlign w:val="center"/>
            <w:hideMark/>
          </w:tcPr>
          <w:p w14:paraId="1CA41E62" w14:textId="77777777" w:rsidR="00387142" w:rsidRPr="008B6A75" w:rsidRDefault="00387142" w:rsidP="00387142">
            <w:pPr>
              <w:rPr>
                <w:sz w:val="20"/>
                <w:szCs w:val="20"/>
              </w:rPr>
            </w:pPr>
          </w:p>
        </w:tc>
      </w:tr>
      <w:tr w:rsidR="00387142" w:rsidRPr="008B6A75" w14:paraId="5A2206FF" w14:textId="77777777" w:rsidTr="00387142">
        <w:trPr>
          <w:trHeight w:val="300"/>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0EFB2754" w14:textId="77777777" w:rsidR="00387142" w:rsidRPr="008B6A75" w:rsidRDefault="00387142" w:rsidP="00387142">
            <w:pPr>
              <w:rPr>
                <w:sz w:val="20"/>
                <w:szCs w:val="20"/>
              </w:rPr>
            </w:pPr>
            <w:r w:rsidRPr="008B6A75">
              <w:rPr>
                <w:sz w:val="20"/>
                <w:szCs w:val="20"/>
              </w:rPr>
              <w:t>Уплата налогов, сборов и иных платежей</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54206F39" w14:textId="77777777" w:rsidR="00387142" w:rsidRPr="008B6A75" w:rsidRDefault="00387142" w:rsidP="00387142">
            <w:pPr>
              <w:jc w:val="center"/>
              <w:rPr>
                <w:sz w:val="20"/>
                <w:szCs w:val="20"/>
              </w:rPr>
            </w:pPr>
            <w:r w:rsidRPr="008B6A75">
              <w:rPr>
                <w:sz w:val="20"/>
                <w:szCs w:val="20"/>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7B57AFE6" w14:textId="77777777" w:rsidR="00387142" w:rsidRPr="008B6A75" w:rsidRDefault="00387142" w:rsidP="00387142">
            <w:pPr>
              <w:jc w:val="center"/>
              <w:rPr>
                <w:sz w:val="20"/>
                <w:szCs w:val="20"/>
              </w:rPr>
            </w:pPr>
            <w:r w:rsidRPr="008B6A75">
              <w:rPr>
                <w:sz w:val="20"/>
                <w:szCs w:val="20"/>
              </w:rPr>
              <w:t>07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0414B8" w14:textId="77777777" w:rsidR="00387142" w:rsidRPr="008B6A75" w:rsidRDefault="00387142" w:rsidP="00387142">
            <w:pPr>
              <w:jc w:val="center"/>
              <w:rPr>
                <w:sz w:val="20"/>
                <w:szCs w:val="20"/>
              </w:rPr>
            </w:pPr>
            <w:r w:rsidRPr="008B6A75">
              <w:rPr>
                <w:sz w:val="20"/>
                <w:szCs w:val="20"/>
              </w:rPr>
              <w:t>02</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2D9BD4F3" w14:textId="77777777" w:rsidR="00387142" w:rsidRPr="008B6A75" w:rsidRDefault="00387142" w:rsidP="00387142">
            <w:pPr>
              <w:jc w:val="center"/>
              <w:rPr>
                <w:sz w:val="20"/>
                <w:szCs w:val="20"/>
              </w:rPr>
            </w:pPr>
            <w:r w:rsidRPr="008B6A75">
              <w:rPr>
                <w:sz w:val="20"/>
                <w:szCs w:val="20"/>
              </w:rPr>
              <w:t>07.1.00.07290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453CBA" w14:textId="77777777" w:rsidR="00387142" w:rsidRPr="008B6A75" w:rsidRDefault="00387142" w:rsidP="00387142">
            <w:pPr>
              <w:jc w:val="center"/>
              <w:rPr>
                <w:sz w:val="20"/>
                <w:szCs w:val="20"/>
              </w:rPr>
            </w:pPr>
            <w:r w:rsidRPr="008B6A75">
              <w:rPr>
                <w:sz w:val="20"/>
                <w:szCs w:val="20"/>
              </w:rPr>
              <w:t>850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378C3A" w14:textId="77777777" w:rsidR="00387142" w:rsidRPr="008B6A75" w:rsidRDefault="00387142" w:rsidP="00387142">
            <w:pPr>
              <w:jc w:val="right"/>
              <w:rPr>
                <w:sz w:val="20"/>
                <w:szCs w:val="20"/>
              </w:rPr>
            </w:pPr>
            <w:r w:rsidRPr="008B6A75">
              <w:rPr>
                <w:sz w:val="20"/>
                <w:szCs w:val="20"/>
              </w:rPr>
              <w:t>1 289 444,06</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5B0B730C" w14:textId="77777777" w:rsidR="00387142" w:rsidRPr="008B6A75" w:rsidRDefault="00387142" w:rsidP="00387142">
            <w:pPr>
              <w:jc w:val="right"/>
              <w:rPr>
                <w:sz w:val="20"/>
                <w:szCs w:val="20"/>
              </w:rPr>
            </w:pPr>
            <w:r w:rsidRPr="008B6A75">
              <w:rPr>
                <w:sz w:val="20"/>
                <w:szCs w:val="20"/>
              </w:rPr>
              <w:t>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49755D" w14:textId="77777777" w:rsidR="00387142" w:rsidRPr="008B6A75" w:rsidRDefault="00387142" w:rsidP="00387142">
            <w:pPr>
              <w:jc w:val="right"/>
              <w:rPr>
                <w:sz w:val="20"/>
                <w:szCs w:val="20"/>
              </w:rPr>
            </w:pPr>
            <w:r w:rsidRPr="008B6A75">
              <w:rPr>
                <w:sz w:val="20"/>
                <w:szCs w:val="20"/>
              </w:rPr>
              <w:t>0,00</w:t>
            </w:r>
          </w:p>
        </w:tc>
        <w:tc>
          <w:tcPr>
            <w:tcW w:w="222" w:type="dxa"/>
            <w:vAlign w:val="center"/>
            <w:hideMark/>
          </w:tcPr>
          <w:p w14:paraId="5A28611A" w14:textId="77777777" w:rsidR="00387142" w:rsidRPr="008B6A75" w:rsidRDefault="00387142" w:rsidP="00387142">
            <w:pPr>
              <w:rPr>
                <w:sz w:val="20"/>
                <w:szCs w:val="20"/>
              </w:rPr>
            </w:pPr>
          </w:p>
        </w:tc>
      </w:tr>
      <w:tr w:rsidR="00387142" w:rsidRPr="008B6A75" w14:paraId="4F7DE9FB" w14:textId="77777777" w:rsidTr="00387142">
        <w:trPr>
          <w:trHeight w:val="585"/>
        </w:trPr>
        <w:tc>
          <w:tcPr>
            <w:tcW w:w="3021" w:type="dxa"/>
            <w:tcBorders>
              <w:top w:val="nil"/>
              <w:left w:val="single" w:sz="4" w:space="0" w:color="auto"/>
              <w:bottom w:val="nil"/>
              <w:right w:val="nil"/>
            </w:tcBorders>
            <w:shd w:val="clear" w:color="auto" w:fill="auto"/>
            <w:vAlign w:val="center"/>
            <w:hideMark/>
          </w:tcPr>
          <w:p w14:paraId="66735BB2" w14:textId="77777777" w:rsidR="00387142" w:rsidRPr="008B6A75" w:rsidRDefault="00387142" w:rsidP="00387142">
            <w:pPr>
              <w:rPr>
                <w:bCs/>
                <w:sz w:val="20"/>
                <w:szCs w:val="20"/>
              </w:rPr>
            </w:pPr>
            <w:r w:rsidRPr="008B6A75">
              <w:rPr>
                <w:bCs/>
                <w:sz w:val="20"/>
                <w:szCs w:val="20"/>
              </w:rPr>
              <w:t>Расходы на обеспечение деятельности (оказание услуг) школ-интернатов</w:t>
            </w:r>
          </w:p>
        </w:tc>
        <w:tc>
          <w:tcPr>
            <w:tcW w:w="850" w:type="dxa"/>
            <w:tcBorders>
              <w:top w:val="nil"/>
              <w:left w:val="single" w:sz="4" w:space="0" w:color="auto"/>
              <w:bottom w:val="nil"/>
              <w:right w:val="nil"/>
            </w:tcBorders>
            <w:shd w:val="clear" w:color="auto" w:fill="auto"/>
            <w:noWrap/>
            <w:vAlign w:val="center"/>
            <w:hideMark/>
          </w:tcPr>
          <w:p w14:paraId="7291AD8D" w14:textId="77777777" w:rsidR="00387142" w:rsidRPr="008B6A75" w:rsidRDefault="00387142" w:rsidP="00387142">
            <w:pPr>
              <w:jc w:val="center"/>
              <w:rPr>
                <w:bCs/>
                <w:sz w:val="20"/>
                <w:szCs w:val="20"/>
              </w:rPr>
            </w:pPr>
            <w:r w:rsidRPr="008B6A75">
              <w:rPr>
                <w:bCs/>
                <w:sz w:val="20"/>
                <w:szCs w:val="20"/>
              </w:rPr>
              <w:t>444</w:t>
            </w:r>
          </w:p>
        </w:tc>
        <w:tc>
          <w:tcPr>
            <w:tcW w:w="709" w:type="dxa"/>
            <w:tcBorders>
              <w:top w:val="nil"/>
              <w:left w:val="single" w:sz="4" w:space="0" w:color="auto"/>
              <w:bottom w:val="nil"/>
              <w:right w:val="nil"/>
            </w:tcBorders>
            <w:shd w:val="clear" w:color="auto" w:fill="auto"/>
            <w:noWrap/>
            <w:vAlign w:val="center"/>
            <w:hideMark/>
          </w:tcPr>
          <w:p w14:paraId="59BBFE05" w14:textId="77777777" w:rsidR="00387142" w:rsidRPr="008B6A75" w:rsidRDefault="00387142" w:rsidP="00387142">
            <w:pPr>
              <w:jc w:val="center"/>
              <w:rPr>
                <w:bCs/>
                <w:sz w:val="20"/>
                <w:szCs w:val="20"/>
              </w:rPr>
            </w:pPr>
            <w:r w:rsidRPr="008B6A75">
              <w:rPr>
                <w:bCs/>
                <w:sz w:val="20"/>
                <w:szCs w:val="20"/>
              </w:rPr>
              <w:t>07</w:t>
            </w:r>
          </w:p>
        </w:tc>
        <w:tc>
          <w:tcPr>
            <w:tcW w:w="709" w:type="dxa"/>
            <w:tcBorders>
              <w:top w:val="nil"/>
              <w:left w:val="single" w:sz="4" w:space="0" w:color="auto"/>
              <w:bottom w:val="nil"/>
              <w:right w:val="single" w:sz="4" w:space="0" w:color="auto"/>
            </w:tcBorders>
            <w:shd w:val="clear" w:color="auto" w:fill="auto"/>
            <w:noWrap/>
            <w:vAlign w:val="center"/>
            <w:hideMark/>
          </w:tcPr>
          <w:p w14:paraId="1C0CF324" w14:textId="77777777" w:rsidR="00387142" w:rsidRPr="008B6A75" w:rsidRDefault="00387142" w:rsidP="00387142">
            <w:pPr>
              <w:jc w:val="center"/>
              <w:rPr>
                <w:bCs/>
                <w:sz w:val="20"/>
                <w:szCs w:val="20"/>
              </w:rPr>
            </w:pPr>
            <w:r w:rsidRPr="008B6A75">
              <w:rPr>
                <w:bCs/>
                <w:sz w:val="20"/>
                <w:szCs w:val="20"/>
              </w:rPr>
              <w:t>02</w:t>
            </w:r>
          </w:p>
        </w:tc>
        <w:tc>
          <w:tcPr>
            <w:tcW w:w="1411" w:type="dxa"/>
            <w:tcBorders>
              <w:top w:val="nil"/>
              <w:left w:val="single" w:sz="4" w:space="0" w:color="auto"/>
              <w:bottom w:val="nil"/>
              <w:right w:val="nil"/>
            </w:tcBorders>
            <w:shd w:val="clear" w:color="auto" w:fill="auto"/>
            <w:noWrap/>
            <w:vAlign w:val="center"/>
            <w:hideMark/>
          </w:tcPr>
          <w:p w14:paraId="37D86014" w14:textId="77777777" w:rsidR="00387142" w:rsidRPr="008B6A75" w:rsidRDefault="00387142" w:rsidP="00387142">
            <w:pPr>
              <w:jc w:val="center"/>
              <w:rPr>
                <w:bCs/>
                <w:sz w:val="20"/>
                <w:szCs w:val="20"/>
              </w:rPr>
            </w:pPr>
            <w:r w:rsidRPr="008B6A75">
              <w:rPr>
                <w:bCs/>
                <w:sz w:val="20"/>
                <w:szCs w:val="20"/>
              </w:rPr>
              <w:t>07.1.00.07390</w:t>
            </w:r>
          </w:p>
        </w:tc>
        <w:tc>
          <w:tcPr>
            <w:tcW w:w="955" w:type="dxa"/>
            <w:tcBorders>
              <w:top w:val="nil"/>
              <w:left w:val="single" w:sz="4" w:space="0" w:color="auto"/>
              <w:bottom w:val="nil"/>
              <w:right w:val="single" w:sz="4" w:space="0" w:color="auto"/>
            </w:tcBorders>
            <w:shd w:val="clear" w:color="auto" w:fill="auto"/>
            <w:noWrap/>
            <w:vAlign w:val="center"/>
            <w:hideMark/>
          </w:tcPr>
          <w:p w14:paraId="02EABB5B"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nil"/>
              <w:right w:val="single" w:sz="4" w:space="0" w:color="auto"/>
            </w:tcBorders>
            <w:shd w:val="clear" w:color="auto" w:fill="auto"/>
            <w:noWrap/>
            <w:vAlign w:val="center"/>
            <w:hideMark/>
          </w:tcPr>
          <w:p w14:paraId="02224E9B" w14:textId="77777777" w:rsidR="00387142" w:rsidRPr="008B6A75" w:rsidRDefault="00387142" w:rsidP="00387142">
            <w:pPr>
              <w:jc w:val="right"/>
              <w:rPr>
                <w:bCs/>
                <w:sz w:val="20"/>
                <w:szCs w:val="20"/>
              </w:rPr>
            </w:pPr>
            <w:r w:rsidRPr="008B6A75">
              <w:rPr>
                <w:bCs/>
                <w:sz w:val="20"/>
                <w:szCs w:val="20"/>
              </w:rPr>
              <w:t>20 260 177,78</w:t>
            </w:r>
          </w:p>
        </w:tc>
        <w:tc>
          <w:tcPr>
            <w:tcW w:w="992" w:type="dxa"/>
            <w:gridSpan w:val="2"/>
            <w:tcBorders>
              <w:top w:val="nil"/>
              <w:left w:val="single" w:sz="4" w:space="0" w:color="auto"/>
              <w:bottom w:val="nil"/>
              <w:right w:val="nil"/>
            </w:tcBorders>
            <w:shd w:val="clear" w:color="auto" w:fill="auto"/>
            <w:noWrap/>
            <w:vAlign w:val="center"/>
            <w:hideMark/>
          </w:tcPr>
          <w:p w14:paraId="792E3ACB" w14:textId="77777777" w:rsidR="00387142" w:rsidRPr="008B6A75" w:rsidRDefault="00387142" w:rsidP="00387142">
            <w:pPr>
              <w:jc w:val="right"/>
              <w:rPr>
                <w:bCs/>
                <w:sz w:val="20"/>
                <w:szCs w:val="20"/>
              </w:rPr>
            </w:pPr>
            <w:r w:rsidRPr="008B6A75">
              <w:rPr>
                <w:bCs/>
                <w:sz w:val="20"/>
                <w:szCs w:val="20"/>
              </w:rPr>
              <w:t>12 533 500,00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7D926E35" w14:textId="77777777" w:rsidR="00387142" w:rsidRPr="008B6A75" w:rsidRDefault="00387142" w:rsidP="00387142">
            <w:pPr>
              <w:jc w:val="right"/>
              <w:rPr>
                <w:bCs/>
                <w:sz w:val="20"/>
                <w:szCs w:val="20"/>
              </w:rPr>
            </w:pPr>
            <w:r w:rsidRPr="008B6A75">
              <w:rPr>
                <w:bCs/>
                <w:sz w:val="20"/>
                <w:szCs w:val="20"/>
              </w:rPr>
              <w:t>12 533 500,00</w:t>
            </w:r>
          </w:p>
        </w:tc>
        <w:tc>
          <w:tcPr>
            <w:tcW w:w="222" w:type="dxa"/>
            <w:vAlign w:val="center"/>
            <w:hideMark/>
          </w:tcPr>
          <w:p w14:paraId="759AD22C" w14:textId="77777777" w:rsidR="00387142" w:rsidRPr="008B6A75" w:rsidRDefault="00387142" w:rsidP="00387142">
            <w:pPr>
              <w:rPr>
                <w:sz w:val="20"/>
                <w:szCs w:val="20"/>
              </w:rPr>
            </w:pPr>
          </w:p>
        </w:tc>
      </w:tr>
      <w:tr w:rsidR="00387142" w:rsidRPr="008B6A75" w14:paraId="3CE97671" w14:textId="77777777" w:rsidTr="00387142">
        <w:trPr>
          <w:trHeight w:val="1440"/>
        </w:trPr>
        <w:tc>
          <w:tcPr>
            <w:tcW w:w="3021" w:type="dxa"/>
            <w:tcBorders>
              <w:top w:val="single" w:sz="4" w:space="0" w:color="auto"/>
              <w:left w:val="single" w:sz="4" w:space="0" w:color="auto"/>
              <w:bottom w:val="nil"/>
              <w:right w:val="nil"/>
            </w:tcBorders>
            <w:shd w:val="clear" w:color="auto" w:fill="auto"/>
            <w:vAlign w:val="center"/>
            <w:hideMark/>
          </w:tcPr>
          <w:p w14:paraId="2C860FBC" w14:textId="77777777" w:rsidR="00387142" w:rsidRPr="008B6A75" w:rsidRDefault="00387142" w:rsidP="00387142">
            <w:pPr>
              <w:rPr>
                <w:sz w:val="20"/>
                <w:szCs w:val="20"/>
              </w:rPr>
            </w:pPr>
            <w:r w:rsidRPr="008B6A75">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nil"/>
              <w:right w:val="nil"/>
            </w:tcBorders>
            <w:shd w:val="clear" w:color="auto" w:fill="auto"/>
            <w:noWrap/>
            <w:vAlign w:val="center"/>
            <w:hideMark/>
          </w:tcPr>
          <w:p w14:paraId="2E167910" w14:textId="77777777" w:rsidR="00387142" w:rsidRPr="008B6A75" w:rsidRDefault="00387142" w:rsidP="00387142">
            <w:pPr>
              <w:jc w:val="center"/>
              <w:rPr>
                <w:sz w:val="20"/>
                <w:szCs w:val="20"/>
              </w:rPr>
            </w:pPr>
            <w:r w:rsidRPr="008B6A75">
              <w:rPr>
                <w:sz w:val="20"/>
                <w:szCs w:val="20"/>
              </w:rPr>
              <w:t>444</w:t>
            </w:r>
          </w:p>
        </w:tc>
        <w:tc>
          <w:tcPr>
            <w:tcW w:w="709" w:type="dxa"/>
            <w:tcBorders>
              <w:top w:val="single" w:sz="4" w:space="0" w:color="auto"/>
              <w:left w:val="single" w:sz="4" w:space="0" w:color="auto"/>
              <w:bottom w:val="nil"/>
              <w:right w:val="nil"/>
            </w:tcBorders>
            <w:shd w:val="clear" w:color="auto" w:fill="auto"/>
            <w:noWrap/>
            <w:vAlign w:val="center"/>
            <w:hideMark/>
          </w:tcPr>
          <w:p w14:paraId="2F2F2584" w14:textId="77777777" w:rsidR="00387142" w:rsidRPr="008B6A75" w:rsidRDefault="00387142" w:rsidP="00387142">
            <w:pPr>
              <w:jc w:val="center"/>
              <w:rPr>
                <w:sz w:val="20"/>
                <w:szCs w:val="20"/>
              </w:rPr>
            </w:pPr>
            <w:r w:rsidRPr="008B6A75">
              <w:rPr>
                <w:sz w:val="20"/>
                <w:szCs w:val="20"/>
              </w:rPr>
              <w:t>07</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3EBF1677" w14:textId="77777777" w:rsidR="00387142" w:rsidRPr="008B6A75" w:rsidRDefault="00387142" w:rsidP="00387142">
            <w:pPr>
              <w:jc w:val="center"/>
              <w:rPr>
                <w:sz w:val="20"/>
                <w:szCs w:val="20"/>
              </w:rPr>
            </w:pPr>
            <w:r w:rsidRPr="008B6A75">
              <w:rPr>
                <w:sz w:val="20"/>
                <w:szCs w:val="20"/>
              </w:rPr>
              <w:t>02</w:t>
            </w:r>
          </w:p>
        </w:tc>
        <w:tc>
          <w:tcPr>
            <w:tcW w:w="1411" w:type="dxa"/>
            <w:tcBorders>
              <w:top w:val="single" w:sz="4" w:space="0" w:color="auto"/>
              <w:left w:val="single" w:sz="4" w:space="0" w:color="auto"/>
              <w:bottom w:val="nil"/>
              <w:right w:val="nil"/>
            </w:tcBorders>
            <w:shd w:val="clear" w:color="auto" w:fill="auto"/>
            <w:noWrap/>
            <w:vAlign w:val="center"/>
            <w:hideMark/>
          </w:tcPr>
          <w:p w14:paraId="43CDA115" w14:textId="77777777" w:rsidR="00387142" w:rsidRPr="008B6A75" w:rsidRDefault="00387142" w:rsidP="00387142">
            <w:pPr>
              <w:jc w:val="center"/>
              <w:rPr>
                <w:sz w:val="20"/>
                <w:szCs w:val="20"/>
              </w:rPr>
            </w:pPr>
            <w:r w:rsidRPr="008B6A75">
              <w:rPr>
                <w:sz w:val="20"/>
                <w:szCs w:val="20"/>
              </w:rPr>
              <w:t>07.1.00.07390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42A971E7" w14:textId="77777777" w:rsidR="00387142" w:rsidRPr="008B6A75" w:rsidRDefault="00387142" w:rsidP="00387142">
            <w:pPr>
              <w:jc w:val="center"/>
              <w:rPr>
                <w:sz w:val="20"/>
                <w:szCs w:val="20"/>
              </w:rPr>
            </w:pPr>
            <w:r w:rsidRPr="008B6A75">
              <w:rPr>
                <w:sz w:val="20"/>
                <w:szCs w:val="20"/>
              </w:rPr>
              <w:t>100</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79838B7F" w14:textId="77777777" w:rsidR="00387142" w:rsidRPr="008B6A75" w:rsidRDefault="00387142" w:rsidP="00387142">
            <w:pPr>
              <w:jc w:val="right"/>
              <w:rPr>
                <w:sz w:val="20"/>
                <w:szCs w:val="20"/>
              </w:rPr>
            </w:pPr>
            <w:r w:rsidRPr="008B6A75">
              <w:rPr>
                <w:sz w:val="20"/>
                <w:szCs w:val="20"/>
              </w:rPr>
              <w:t>11 614 874,13</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468B8C82" w14:textId="77777777" w:rsidR="00387142" w:rsidRPr="008B6A75" w:rsidRDefault="00387142" w:rsidP="00387142">
            <w:pPr>
              <w:jc w:val="right"/>
              <w:rPr>
                <w:sz w:val="20"/>
                <w:szCs w:val="20"/>
              </w:rPr>
            </w:pPr>
            <w:r w:rsidRPr="008B6A75">
              <w:rPr>
                <w:sz w:val="20"/>
                <w:szCs w:val="20"/>
              </w:rPr>
              <w:t>7 002 350,00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729A3D5A" w14:textId="77777777" w:rsidR="00387142" w:rsidRPr="008B6A75" w:rsidRDefault="00387142" w:rsidP="00387142">
            <w:pPr>
              <w:jc w:val="right"/>
              <w:rPr>
                <w:sz w:val="20"/>
                <w:szCs w:val="20"/>
              </w:rPr>
            </w:pPr>
            <w:r w:rsidRPr="008B6A75">
              <w:rPr>
                <w:sz w:val="20"/>
                <w:szCs w:val="20"/>
              </w:rPr>
              <w:t>7 002 350,00</w:t>
            </w:r>
          </w:p>
        </w:tc>
        <w:tc>
          <w:tcPr>
            <w:tcW w:w="222" w:type="dxa"/>
            <w:vAlign w:val="center"/>
            <w:hideMark/>
          </w:tcPr>
          <w:p w14:paraId="223095A4" w14:textId="77777777" w:rsidR="00387142" w:rsidRPr="008B6A75" w:rsidRDefault="00387142" w:rsidP="00387142">
            <w:pPr>
              <w:rPr>
                <w:sz w:val="20"/>
                <w:szCs w:val="20"/>
              </w:rPr>
            </w:pPr>
          </w:p>
        </w:tc>
      </w:tr>
      <w:tr w:rsidR="00387142" w:rsidRPr="008B6A75" w14:paraId="0B9E6E2F" w14:textId="77777777" w:rsidTr="00387142">
        <w:trPr>
          <w:trHeight w:val="585"/>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637199ED" w14:textId="77777777" w:rsidR="00387142" w:rsidRPr="008B6A75" w:rsidRDefault="00387142" w:rsidP="00387142">
            <w:pPr>
              <w:rPr>
                <w:sz w:val="20"/>
                <w:szCs w:val="20"/>
              </w:rPr>
            </w:pPr>
            <w:r w:rsidRPr="008B6A75">
              <w:rPr>
                <w:sz w:val="20"/>
                <w:szCs w:val="20"/>
              </w:rPr>
              <w:t>Расходы на выплаты персоналу казенных учреждений</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182B00E0" w14:textId="77777777" w:rsidR="00387142" w:rsidRPr="008B6A75" w:rsidRDefault="00387142" w:rsidP="00387142">
            <w:pPr>
              <w:jc w:val="center"/>
              <w:rPr>
                <w:sz w:val="20"/>
                <w:szCs w:val="20"/>
              </w:rPr>
            </w:pPr>
            <w:r w:rsidRPr="008B6A75">
              <w:rPr>
                <w:sz w:val="20"/>
                <w:szCs w:val="20"/>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44CD5ACE" w14:textId="77777777" w:rsidR="00387142" w:rsidRPr="008B6A75" w:rsidRDefault="00387142" w:rsidP="00387142">
            <w:pPr>
              <w:jc w:val="center"/>
              <w:rPr>
                <w:sz w:val="20"/>
                <w:szCs w:val="20"/>
              </w:rPr>
            </w:pPr>
            <w:r w:rsidRPr="008B6A75">
              <w:rPr>
                <w:sz w:val="20"/>
                <w:szCs w:val="20"/>
              </w:rPr>
              <w:t>07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216AFA" w14:textId="77777777" w:rsidR="00387142" w:rsidRPr="008B6A75" w:rsidRDefault="00387142" w:rsidP="00387142">
            <w:pPr>
              <w:jc w:val="center"/>
              <w:rPr>
                <w:sz w:val="20"/>
                <w:szCs w:val="20"/>
              </w:rPr>
            </w:pPr>
            <w:r w:rsidRPr="008B6A75">
              <w:rPr>
                <w:sz w:val="20"/>
                <w:szCs w:val="20"/>
              </w:rPr>
              <w:t>02</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3E11C001" w14:textId="77777777" w:rsidR="00387142" w:rsidRPr="008B6A75" w:rsidRDefault="00387142" w:rsidP="00387142">
            <w:pPr>
              <w:jc w:val="center"/>
              <w:rPr>
                <w:sz w:val="20"/>
                <w:szCs w:val="20"/>
              </w:rPr>
            </w:pPr>
            <w:r w:rsidRPr="008B6A75">
              <w:rPr>
                <w:sz w:val="20"/>
                <w:szCs w:val="20"/>
              </w:rPr>
              <w:t>07.1.00.07390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FFAF45" w14:textId="77777777" w:rsidR="00387142" w:rsidRPr="008B6A75" w:rsidRDefault="00387142" w:rsidP="00387142">
            <w:pPr>
              <w:jc w:val="center"/>
              <w:rPr>
                <w:sz w:val="20"/>
                <w:szCs w:val="20"/>
              </w:rPr>
            </w:pPr>
            <w:r w:rsidRPr="008B6A75">
              <w:rPr>
                <w:sz w:val="20"/>
                <w:szCs w:val="20"/>
              </w:rPr>
              <w:t>110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F3B9CA" w14:textId="77777777" w:rsidR="00387142" w:rsidRPr="008B6A75" w:rsidRDefault="00387142" w:rsidP="00387142">
            <w:pPr>
              <w:jc w:val="right"/>
              <w:rPr>
                <w:sz w:val="20"/>
                <w:szCs w:val="20"/>
              </w:rPr>
            </w:pPr>
            <w:r w:rsidRPr="008B6A75">
              <w:rPr>
                <w:sz w:val="20"/>
                <w:szCs w:val="20"/>
              </w:rPr>
              <w:t>11 614 874,13</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512B5E69" w14:textId="77777777" w:rsidR="00387142" w:rsidRPr="008B6A75" w:rsidRDefault="00387142" w:rsidP="00387142">
            <w:pPr>
              <w:jc w:val="right"/>
              <w:rPr>
                <w:sz w:val="20"/>
                <w:szCs w:val="20"/>
              </w:rPr>
            </w:pPr>
            <w:r w:rsidRPr="008B6A75">
              <w:rPr>
                <w:sz w:val="20"/>
                <w:szCs w:val="20"/>
              </w:rPr>
              <w:t>7 002 350,00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D1CEDF" w14:textId="77777777" w:rsidR="00387142" w:rsidRPr="008B6A75" w:rsidRDefault="00387142" w:rsidP="00387142">
            <w:pPr>
              <w:jc w:val="right"/>
              <w:rPr>
                <w:sz w:val="20"/>
                <w:szCs w:val="20"/>
              </w:rPr>
            </w:pPr>
            <w:r w:rsidRPr="008B6A75">
              <w:rPr>
                <w:sz w:val="20"/>
                <w:szCs w:val="20"/>
              </w:rPr>
              <w:t>7 002 350,00</w:t>
            </w:r>
          </w:p>
        </w:tc>
        <w:tc>
          <w:tcPr>
            <w:tcW w:w="222" w:type="dxa"/>
            <w:vAlign w:val="center"/>
            <w:hideMark/>
          </w:tcPr>
          <w:p w14:paraId="16F9E3A2" w14:textId="77777777" w:rsidR="00387142" w:rsidRPr="008B6A75" w:rsidRDefault="00387142" w:rsidP="00387142">
            <w:pPr>
              <w:rPr>
                <w:sz w:val="20"/>
                <w:szCs w:val="20"/>
              </w:rPr>
            </w:pPr>
          </w:p>
        </w:tc>
      </w:tr>
      <w:tr w:rsidR="00387142" w:rsidRPr="008B6A75" w14:paraId="198EF794" w14:textId="77777777" w:rsidTr="00387142">
        <w:trPr>
          <w:trHeight w:val="585"/>
        </w:trPr>
        <w:tc>
          <w:tcPr>
            <w:tcW w:w="3021" w:type="dxa"/>
            <w:tcBorders>
              <w:top w:val="nil"/>
              <w:left w:val="single" w:sz="4" w:space="0" w:color="auto"/>
              <w:bottom w:val="nil"/>
              <w:right w:val="nil"/>
            </w:tcBorders>
            <w:shd w:val="clear" w:color="auto" w:fill="auto"/>
            <w:vAlign w:val="center"/>
            <w:hideMark/>
          </w:tcPr>
          <w:p w14:paraId="57F5BA9E" w14:textId="77777777" w:rsidR="00387142" w:rsidRPr="008B6A75" w:rsidRDefault="00387142" w:rsidP="00387142">
            <w:pPr>
              <w:rPr>
                <w:sz w:val="20"/>
                <w:szCs w:val="20"/>
              </w:rPr>
            </w:pPr>
            <w:r w:rsidRPr="008B6A75">
              <w:rPr>
                <w:sz w:val="20"/>
                <w:szCs w:val="20"/>
              </w:rPr>
              <w:t>Закупка товаров, работ и услуг для обеспечения государственных (муниципальных) нужд</w:t>
            </w:r>
          </w:p>
        </w:tc>
        <w:tc>
          <w:tcPr>
            <w:tcW w:w="850" w:type="dxa"/>
            <w:tcBorders>
              <w:top w:val="nil"/>
              <w:left w:val="single" w:sz="4" w:space="0" w:color="auto"/>
              <w:bottom w:val="nil"/>
              <w:right w:val="nil"/>
            </w:tcBorders>
            <w:shd w:val="clear" w:color="auto" w:fill="auto"/>
            <w:noWrap/>
            <w:vAlign w:val="center"/>
            <w:hideMark/>
          </w:tcPr>
          <w:p w14:paraId="09052C6C" w14:textId="77777777" w:rsidR="00387142" w:rsidRPr="008B6A75" w:rsidRDefault="00387142" w:rsidP="00387142">
            <w:pPr>
              <w:jc w:val="center"/>
              <w:rPr>
                <w:sz w:val="20"/>
                <w:szCs w:val="20"/>
              </w:rPr>
            </w:pPr>
            <w:r w:rsidRPr="008B6A75">
              <w:rPr>
                <w:sz w:val="20"/>
                <w:szCs w:val="20"/>
              </w:rPr>
              <w:t>444</w:t>
            </w:r>
          </w:p>
        </w:tc>
        <w:tc>
          <w:tcPr>
            <w:tcW w:w="709" w:type="dxa"/>
            <w:tcBorders>
              <w:top w:val="nil"/>
              <w:left w:val="single" w:sz="4" w:space="0" w:color="auto"/>
              <w:bottom w:val="nil"/>
              <w:right w:val="nil"/>
            </w:tcBorders>
            <w:shd w:val="clear" w:color="auto" w:fill="auto"/>
            <w:noWrap/>
            <w:vAlign w:val="center"/>
            <w:hideMark/>
          </w:tcPr>
          <w:p w14:paraId="2685E9BA" w14:textId="77777777" w:rsidR="00387142" w:rsidRPr="008B6A75" w:rsidRDefault="00387142" w:rsidP="00387142">
            <w:pPr>
              <w:jc w:val="center"/>
              <w:rPr>
                <w:sz w:val="20"/>
                <w:szCs w:val="20"/>
              </w:rPr>
            </w:pPr>
            <w:r w:rsidRPr="008B6A75">
              <w:rPr>
                <w:sz w:val="20"/>
                <w:szCs w:val="20"/>
              </w:rPr>
              <w:t>07</w:t>
            </w:r>
          </w:p>
        </w:tc>
        <w:tc>
          <w:tcPr>
            <w:tcW w:w="709" w:type="dxa"/>
            <w:tcBorders>
              <w:top w:val="nil"/>
              <w:left w:val="single" w:sz="4" w:space="0" w:color="auto"/>
              <w:bottom w:val="nil"/>
              <w:right w:val="single" w:sz="4" w:space="0" w:color="auto"/>
            </w:tcBorders>
            <w:shd w:val="clear" w:color="auto" w:fill="auto"/>
            <w:noWrap/>
            <w:vAlign w:val="center"/>
            <w:hideMark/>
          </w:tcPr>
          <w:p w14:paraId="7A644AC6" w14:textId="77777777" w:rsidR="00387142" w:rsidRPr="008B6A75" w:rsidRDefault="00387142" w:rsidP="00387142">
            <w:pPr>
              <w:jc w:val="center"/>
              <w:rPr>
                <w:sz w:val="20"/>
                <w:szCs w:val="20"/>
              </w:rPr>
            </w:pPr>
            <w:r w:rsidRPr="008B6A75">
              <w:rPr>
                <w:sz w:val="20"/>
                <w:szCs w:val="20"/>
              </w:rPr>
              <w:t>02</w:t>
            </w:r>
          </w:p>
        </w:tc>
        <w:tc>
          <w:tcPr>
            <w:tcW w:w="1411" w:type="dxa"/>
            <w:tcBorders>
              <w:top w:val="nil"/>
              <w:left w:val="single" w:sz="4" w:space="0" w:color="auto"/>
              <w:bottom w:val="nil"/>
              <w:right w:val="nil"/>
            </w:tcBorders>
            <w:shd w:val="clear" w:color="auto" w:fill="auto"/>
            <w:noWrap/>
            <w:vAlign w:val="center"/>
            <w:hideMark/>
          </w:tcPr>
          <w:p w14:paraId="749595B2" w14:textId="77777777" w:rsidR="00387142" w:rsidRPr="008B6A75" w:rsidRDefault="00387142" w:rsidP="00387142">
            <w:pPr>
              <w:jc w:val="center"/>
              <w:rPr>
                <w:sz w:val="20"/>
                <w:szCs w:val="20"/>
              </w:rPr>
            </w:pPr>
            <w:r w:rsidRPr="008B6A75">
              <w:rPr>
                <w:sz w:val="20"/>
                <w:szCs w:val="20"/>
              </w:rPr>
              <w:t>07.1.00.07390</w:t>
            </w:r>
          </w:p>
        </w:tc>
        <w:tc>
          <w:tcPr>
            <w:tcW w:w="955" w:type="dxa"/>
            <w:tcBorders>
              <w:top w:val="nil"/>
              <w:left w:val="single" w:sz="4" w:space="0" w:color="auto"/>
              <w:bottom w:val="nil"/>
              <w:right w:val="single" w:sz="4" w:space="0" w:color="auto"/>
            </w:tcBorders>
            <w:shd w:val="clear" w:color="auto" w:fill="auto"/>
            <w:noWrap/>
            <w:vAlign w:val="center"/>
            <w:hideMark/>
          </w:tcPr>
          <w:p w14:paraId="299CD2F7" w14:textId="77777777" w:rsidR="00387142" w:rsidRPr="008B6A75" w:rsidRDefault="00387142" w:rsidP="00387142">
            <w:pPr>
              <w:jc w:val="center"/>
              <w:rPr>
                <w:sz w:val="20"/>
                <w:szCs w:val="20"/>
              </w:rPr>
            </w:pPr>
            <w:r w:rsidRPr="008B6A75">
              <w:rPr>
                <w:sz w:val="20"/>
                <w:szCs w:val="20"/>
              </w:rPr>
              <w:t>200</w:t>
            </w:r>
          </w:p>
        </w:tc>
        <w:tc>
          <w:tcPr>
            <w:tcW w:w="992" w:type="dxa"/>
            <w:tcBorders>
              <w:top w:val="nil"/>
              <w:left w:val="single" w:sz="4" w:space="0" w:color="auto"/>
              <w:bottom w:val="nil"/>
              <w:right w:val="single" w:sz="4" w:space="0" w:color="auto"/>
            </w:tcBorders>
            <w:shd w:val="clear" w:color="auto" w:fill="auto"/>
            <w:noWrap/>
            <w:vAlign w:val="center"/>
            <w:hideMark/>
          </w:tcPr>
          <w:p w14:paraId="0056069B" w14:textId="77777777" w:rsidR="00387142" w:rsidRPr="008B6A75" w:rsidRDefault="00387142" w:rsidP="00387142">
            <w:pPr>
              <w:jc w:val="right"/>
              <w:rPr>
                <w:sz w:val="20"/>
                <w:szCs w:val="20"/>
              </w:rPr>
            </w:pPr>
            <w:r w:rsidRPr="008B6A75">
              <w:rPr>
                <w:sz w:val="20"/>
                <w:szCs w:val="20"/>
              </w:rPr>
              <w:t>7 820 184,61</w:t>
            </w:r>
          </w:p>
        </w:tc>
        <w:tc>
          <w:tcPr>
            <w:tcW w:w="992" w:type="dxa"/>
            <w:gridSpan w:val="2"/>
            <w:tcBorders>
              <w:top w:val="nil"/>
              <w:left w:val="single" w:sz="4" w:space="0" w:color="auto"/>
              <w:bottom w:val="nil"/>
              <w:right w:val="nil"/>
            </w:tcBorders>
            <w:shd w:val="clear" w:color="auto" w:fill="auto"/>
            <w:noWrap/>
            <w:vAlign w:val="center"/>
            <w:hideMark/>
          </w:tcPr>
          <w:p w14:paraId="7F48169C" w14:textId="77777777" w:rsidR="00387142" w:rsidRPr="008B6A75" w:rsidRDefault="00387142" w:rsidP="00387142">
            <w:pPr>
              <w:jc w:val="right"/>
              <w:rPr>
                <w:sz w:val="20"/>
                <w:szCs w:val="20"/>
              </w:rPr>
            </w:pPr>
            <w:r w:rsidRPr="008B6A75">
              <w:rPr>
                <w:sz w:val="20"/>
                <w:szCs w:val="20"/>
              </w:rPr>
              <w:t>5 531 150,00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0B98689F" w14:textId="77777777" w:rsidR="00387142" w:rsidRPr="008B6A75" w:rsidRDefault="00387142" w:rsidP="00387142">
            <w:pPr>
              <w:jc w:val="right"/>
              <w:rPr>
                <w:sz w:val="20"/>
                <w:szCs w:val="20"/>
              </w:rPr>
            </w:pPr>
            <w:r w:rsidRPr="008B6A75">
              <w:rPr>
                <w:sz w:val="20"/>
                <w:szCs w:val="20"/>
              </w:rPr>
              <w:t>5 531 150,00</w:t>
            </w:r>
          </w:p>
        </w:tc>
        <w:tc>
          <w:tcPr>
            <w:tcW w:w="222" w:type="dxa"/>
            <w:vAlign w:val="center"/>
            <w:hideMark/>
          </w:tcPr>
          <w:p w14:paraId="70F246B1" w14:textId="77777777" w:rsidR="00387142" w:rsidRPr="008B6A75" w:rsidRDefault="00387142" w:rsidP="00387142">
            <w:pPr>
              <w:rPr>
                <w:sz w:val="20"/>
                <w:szCs w:val="20"/>
              </w:rPr>
            </w:pPr>
          </w:p>
        </w:tc>
      </w:tr>
      <w:tr w:rsidR="00387142" w:rsidRPr="008B6A75" w14:paraId="5BDC9FCD" w14:textId="77777777" w:rsidTr="00387142">
        <w:trPr>
          <w:trHeight w:val="870"/>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1CBCA53C" w14:textId="77777777" w:rsidR="00387142" w:rsidRPr="008B6A75" w:rsidRDefault="00387142" w:rsidP="00387142">
            <w:pPr>
              <w:rPr>
                <w:sz w:val="20"/>
                <w:szCs w:val="20"/>
              </w:rPr>
            </w:pPr>
            <w:r w:rsidRPr="008B6A75">
              <w:rPr>
                <w:sz w:val="20"/>
                <w:szCs w:val="20"/>
              </w:rPr>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0C1BB8AE" w14:textId="77777777" w:rsidR="00387142" w:rsidRPr="008B6A75" w:rsidRDefault="00387142" w:rsidP="00387142">
            <w:pPr>
              <w:jc w:val="center"/>
              <w:rPr>
                <w:sz w:val="20"/>
                <w:szCs w:val="20"/>
              </w:rPr>
            </w:pPr>
            <w:r w:rsidRPr="008B6A75">
              <w:rPr>
                <w:sz w:val="20"/>
                <w:szCs w:val="20"/>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1E88A26F" w14:textId="77777777" w:rsidR="00387142" w:rsidRPr="008B6A75" w:rsidRDefault="00387142" w:rsidP="00387142">
            <w:pPr>
              <w:jc w:val="center"/>
              <w:rPr>
                <w:sz w:val="20"/>
                <w:szCs w:val="20"/>
              </w:rPr>
            </w:pPr>
            <w:r w:rsidRPr="008B6A75">
              <w:rPr>
                <w:sz w:val="20"/>
                <w:szCs w:val="20"/>
              </w:rPr>
              <w:t>07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CC5124" w14:textId="77777777" w:rsidR="00387142" w:rsidRPr="008B6A75" w:rsidRDefault="00387142" w:rsidP="00387142">
            <w:pPr>
              <w:jc w:val="center"/>
              <w:rPr>
                <w:sz w:val="20"/>
                <w:szCs w:val="20"/>
              </w:rPr>
            </w:pPr>
            <w:r w:rsidRPr="008B6A75">
              <w:rPr>
                <w:sz w:val="20"/>
                <w:szCs w:val="20"/>
              </w:rPr>
              <w:t>02</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0B51C399" w14:textId="77777777" w:rsidR="00387142" w:rsidRPr="008B6A75" w:rsidRDefault="00387142" w:rsidP="00387142">
            <w:pPr>
              <w:jc w:val="center"/>
              <w:rPr>
                <w:sz w:val="20"/>
                <w:szCs w:val="20"/>
              </w:rPr>
            </w:pPr>
            <w:r w:rsidRPr="008B6A75">
              <w:rPr>
                <w:sz w:val="20"/>
                <w:szCs w:val="20"/>
              </w:rPr>
              <w:t>07.1.00.07390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C97F40" w14:textId="77777777" w:rsidR="00387142" w:rsidRPr="008B6A75" w:rsidRDefault="00387142" w:rsidP="00387142">
            <w:pPr>
              <w:jc w:val="center"/>
              <w:rPr>
                <w:sz w:val="20"/>
                <w:szCs w:val="20"/>
              </w:rPr>
            </w:pPr>
            <w:r w:rsidRPr="008B6A75">
              <w:rPr>
                <w:sz w:val="20"/>
                <w:szCs w:val="20"/>
              </w:rPr>
              <w:t>240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239CB4" w14:textId="77777777" w:rsidR="00387142" w:rsidRPr="008B6A75" w:rsidRDefault="00387142" w:rsidP="00387142">
            <w:pPr>
              <w:jc w:val="right"/>
              <w:rPr>
                <w:sz w:val="20"/>
                <w:szCs w:val="20"/>
              </w:rPr>
            </w:pPr>
            <w:r w:rsidRPr="008B6A75">
              <w:rPr>
                <w:sz w:val="20"/>
                <w:szCs w:val="20"/>
              </w:rPr>
              <w:t>7 820 184,61</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143F9928" w14:textId="77777777" w:rsidR="00387142" w:rsidRPr="008B6A75" w:rsidRDefault="00387142" w:rsidP="00387142">
            <w:pPr>
              <w:jc w:val="right"/>
              <w:rPr>
                <w:sz w:val="20"/>
                <w:szCs w:val="20"/>
              </w:rPr>
            </w:pPr>
            <w:r w:rsidRPr="008B6A75">
              <w:rPr>
                <w:sz w:val="20"/>
                <w:szCs w:val="20"/>
              </w:rPr>
              <w:t>5 531 150,00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E35F6E" w14:textId="77777777" w:rsidR="00387142" w:rsidRPr="008B6A75" w:rsidRDefault="00387142" w:rsidP="00387142">
            <w:pPr>
              <w:jc w:val="right"/>
              <w:rPr>
                <w:sz w:val="20"/>
                <w:szCs w:val="20"/>
              </w:rPr>
            </w:pPr>
            <w:r w:rsidRPr="008B6A75">
              <w:rPr>
                <w:sz w:val="20"/>
                <w:szCs w:val="20"/>
              </w:rPr>
              <w:t>5 531 150,00</w:t>
            </w:r>
          </w:p>
        </w:tc>
        <w:tc>
          <w:tcPr>
            <w:tcW w:w="222" w:type="dxa"/>
            <w:vAlign w:val="center"/>
            <w:hideMark/>
          </w:tcPr>
          <w:p w14:paraId="3BD0FF3D" w14:textId="77777777" w:rsidR="00387142" w:rsidRPr="008B6A75" w:rsidRDefault="00387142" w:rsidP="00387142">
            <w:pPr>
              <w:rPr>
                <w:sz w:val="20"/>
                <w:szCs w:val="20"/>
              </w:rPr>
            </w:pPr>
          </w:p>
        </w:tc>
      </w:tr>
      <w:tr w:rsidR="00387142" w:rsidRPr="008B6A75" w14:paraId="7B7CC393" w14:textId="77777777" w:rsidTr="00387142">
        <w:trPr>
          <w:trHeight w:val="300"/>
        </w:trPr>
        <w:tc>
          <w:tcPr>
            <w:tcW w:w="3021" w:type="dxa"/>
            <w:tcBorders>
              <w:top w:val="nil"/>
              <w:left w:val="single" w:sz="4" w:space="0" w:color="auto"/>
              <w:bottom w:val="nil"/>
              <w:right w:val="nil"/>
            </w:tcBorders>
            <w:shd w:val="clear" w:color="auto" w:fill="auto"/>
            <w:vAlign w:val="center"/>
            <w:hideMark/>
          </w:tcPr>
          <w:p w14:paraId="39EB50BE" w14:textId="77777777" w:rsidR="00387142" w:rsidRPr="008B6A75" w:rsidRDefault="00387142" w:rsidP="00387142">
            <w:pPr>
              <w:rPr>
                <w:sz w:val="20"/>
                <w:szCs w:val="20"/>
              </w:rPr>
            </w:pPr>
            <w:r w:rsidRPr="008B6A75">
              <w:rPr>
                <w:sz w:val="20"/>
                <w:szCs w:val="20"/>
              </w:rPr>
              <w:t>Иные бюджетные ассигнования</w:t>
            </w:r>
          </w:p>
        </w:tc>
        <w:tc>
          <w:tcPr>
            <w:tcW w:w="850" w:type="dxa"/>
            <w:tcBorders>
              <w:top w:val="nil"/>
              <w:left w:val="single" w:sz="4" w:space="0" w:color="auto"/>
              <w:bottom w:val="nil"/>
              <w:right w:val="nil"/>
            </w:tcBorders>
            <w:shd w:val="clear" w:color="auto" w:fill="auto"/>
            <w:noWrap/>
            <w:vAlign w:val="center"/>
            <w:hideMark/>
          </w:tcPr>
          <w:p w14:paraId="138557A0" w14:textId="77777777" w:rsidR="00387142" w:rsidRPr="008B6A75" w:rsidRDefault="00387142" w:rsidP="00387142">
            <w:pPr>
              <w:jc w:val="center"/>
              <w:rPr>
                <w:sz w:val="20"/>
                <w:szCs w:val="20"/>
              </w:rPr>
            </w:pPr>
            <w:r w:rsidRPr="008B6A75">
              <w:rPr>
                <w:sz w:val="20"/>
                <w:szCs w:val="20"/>
              </w:rPr>
              <w:t>444</w:t>
            </w:r>
          </w:p>
        </w:tc>
        <w:tc>
          <w:tcPr>
            <w:tcW w:w="709" w:type="dxa"/>
            <w:tcBorders>
              <w:top w:val="nil"/>
              <w:left w:val="single" w:sz="4" w:space="0" w:color="auto"/>
              <w:bottom w:val="nil"/>
              <w:right w:val="nil"/>
            </w:tcBorders>
            <w:shd w:val="clear" w:color="auto" w:fill="auto"/>
            <w:noWrap/>
            <w:vAlign w:val="center"/>
            <w:hideMark/>
          </w:tcPr>
          <w:p w14:paraId="7D7F5D5A" w14:textId="77777777" w:rsidR="00387142" w:rsidRPr="008B6A75" w:rsidRDefault="00387142" w:rsidP="00387142">
            <w:pPr>
              <w:jc w:val="center"/>
              <w:rPr>
                <w:sz w:val="20"/>
                <w:szCs w:val="20"/>
              </w:rPr>
            </w:pPr>
            <w:r w:rsidRPr="008B6A75">
              <w:rPr>
                <w:sz w:val="20"/>
                <w:szCs w:val="20"/>
              </w:rPr>
              <w:t>07</w:t>
            </w:r>
          </w:p>
        </w:tc>
        <w:tc>
          <w:tcPr>
            <w:tcW w:w="709" w:type="dxa"/>
            <w:tcBorders>
              <w:top w:val="nil"/>
              <w:left w:val="single" w:sz="4" w:space="0" w:color="auto"/>
              <w:bottom w:val="nil"/>
              <w:right w:val="single" w:sz="4" w:space="0" w:color="auto"/>
            </w:tcBorders>
            <w:shd w:val="clear" w:color="auto" w:fill="auto"/>
            <w:noWrap/>
            <w:vAlign w:val="center"/>
            <w:hideMark/>
          </w:tcPr>
          <w:p w14:paraId="1A2D49CC" w14:textId="77777777" w:rsidR="00387142" w:rsidRPr="008B6A75" w:rsidRDefault="00387142" w:rsidP="00387142">
            <w:pPr>
              <w:jc w:val="center"/>
              <w:rPr>
                <w:sz w:val="20"/>
                <w:szCs w:val="20"/>
              </w:rPr>
            </w:pPr>
            <w:r w:rsidRPr="008B6A75">
              <w:rPr>
                <w:sz w:val="20"/>
                <w:szCs w:val="20"/>
              </w:rPr>
              <w:t>02</w:t>
            </w:r>
          </w:p>
        </w:tc>
        <w:tc>
          <w:tcPr>
            <w:tcW w:w="1411" w:type="dxa"/>
            <w:tcBorders>
              <w:top w:val="nil"/>
              <w:left w:val="single" w:sz="4" w:space="0" w:color="auto"/>
              <w:bottom w:val="nil"/>
              <w:right w:val="nil"/>
            </w:tcBorders>
            <w:shd w:val="clear" w:color="auto" w:fill="auto"/>
            <w:noWrap/>
            <w:vAlign w:val="center"/>
            <w:hideMark/>
          </w:tcPr>
          <w:p w14:paraId="5674D393" w14:textId="77777777" w:rsidR="00387142" w:rsidRPr="008B6A75" w:rsidRDefault="00387142" w:rsidP="00387142">
            <w:pPr>
              <w:jc w:val="center"/>
              <w:rPr>
                <w:sz w:val="20"/>
                <w:szCs w:val="20"/>
              </w:rPr>
            </w:pPr>
            <w:r w:rsidRPr="008B6A75">
              <w:rPr>
                <w:sz w:val="20"/>
                <w:szCs w:val="20"/>
              </w:rPr>
              <w:t>07.1.00.07390</w:t>
            </w:r>
          </w:p>
        </w:tc>
        <w:tc>
          <w:tcPr>
            <w:tcW w:w="955" w:type="dxa"/>
            <w:tcBorders>
              <w:top w:val="nil"/>
              <w:left w:val="single" w:sz="4" w:space="0" w:color="auto"/>
              <w:bottom w:val="nil"/>
              <w:right w:val="single" w:sz="4" w:space="0" w:color="auto"/>
            </w:tcBorders>
            <w:shd w:val="clear" w:color="auto" w:fill="auto"/>
            <w:noWrap/>
            <w:vAlign w:val="center"/>
            <w:hideMark/>
          </w:tcPr>
          <w:p w14:paraId="5AE59EA5" w14:textId="77777777" w:rsidR="00387142" w:rsidRPr="008B6A75" w:rsidRDefault="00387142" w:rsidP="00387142">
            <w:pPr>
              <w:jc w:val="center"/>
              <w:rPr>
                <w:sz w:val="20"/>
                <w:szCs w:val="20"/>
              </w:rPr>
            </w:pPr>
            <w:r w:rsidRPr="008B6A75">
              <w:rPr>
                <w:sz w:val="20"/>
                <w:szCs w:val="20"/>
              </w:rPr>
              <w:t>800</w:t>
            </w:r>
          </w:p>
        </w:tc>
        <w:tc>
          <w:tcPr>
            <w:tcW w:w="992" w:type="dxa"/>
            <w:tcBorders>
              <w:top w:val="nil"/>
              <w:left w:val="single" w:sz="4" w:space="0" w:color="auto"/>
              <w:bottom w:val="nil"/>
              <w:right w:val="single" w:sz="4" w:space="0" w:color="auto"/>
            </w:tcBorders>
            <w:shd w:val="clear" w:color="auto" w:fill="auto"/>
            <w:noWrap/>
            <w:vAlign w:val="center"/>
            <w:hideMark/>
          </w:tcPr>
          <w:p w14:paraId="3603FD87" w14:textId="77777777" w:rsidR="00387142" w:rsidRPr="008B6A75" w:rsidRDefault="00387142" w:rsidP="00387142">
            <w:pPr>
              <w:jc w:val="right"/>
              <w:rPr>
                <w:sz w:val="20"/>
                <w:szCs w:val="20"/>
              </w:rPr>
            </w:pPr>
            <w:r w:rsidRPr="008B6A75">
              <w:rPr>
                <w:sz w:val="20"/>
                <w:szCs w:val="20"/>
              </w:rPr>
              <w:t>825 119,04</w:t>
            </w:r>
          </w:p>
        </w:tc>
        <w:tc>
          <w:tcPr>
            <w:tcW w:w="992" w:type="dxa"/>
            <w:gridSpan w:val="2"/>
            <w:tcBorders>
              <w:top w:val="nil"/>
              <w:left w:val="single" w:sz="4" w:space="0" w:color="auto"/>
              <w:bottom w:val="nil"/>
              <w:right w:val="nil"/>
            </w:tcBorders>
            <w:shd w:val="clear" w:color="auto" w:fill="auto"/>
            <w:noWrap/>
            <w:vAlign w:val="center"/>
            <w:hideMark/>
          </w:tcPr>
          <w:p w14:paraId="5221F8DC" w14:textId="77777777" w:rsidR="00387142" w:rsidRPr="008B6A75" w:rsidRDefault="00387142" w:rsidP="00387142">
            <w:pPr>
              <w:jc w:val="right"/>
              <w:rPr>
                <w:sz w:val="20"/>
                <w:szCs w:val="20"/>
              </w:rPr>
            </w:pPr>
            <w:r w:rsidRPr="008B6A75">
              <w:rPr>
                <w:sz w:val="20"/>
                <w:szCs w:val="20"/>
              </w:rPr>
              <w:t>0,00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7C55016F" w14:textId="77777777" w:rsidR="00387142" w:rsidRPr="008B6A75" w:rsidRDefault="00387142" w:rsidP="00387142">
            <w:pPr>
              <w:jc w:val="right"/>
              <w:rPr>
                <w:sz w:val="20"/>
                <w:szCs w:val="20"/>
              </w:rPr>
            </w:pPr>
            <w:r w:rsidRPr="008B6A75">
              <w:rPr>
                <w:sz w:val="20"/>
                <w:szCs w:val="20"/>
              </w:rPr>
              <w:t>0,00</w:t>
            </w:r>
          </w:p>
        </w:tc>
        <w:tc>
          <w:tcPr>
            <w:tcW w:w="222" w:type="dxa"/>
            <w:vAlign w:val="center"/>
            <w:hideMark/>
          </w:tcPr>
          <w:p w14:paraId="642506A5" w14:textId="77777777" w:rsidR="00387142" w:rsidRPr="008B6A75" w:rsidRDefault="00387142" w:rsidP="00387142">
            <w:pPr>
              <w:rPr>
                <w:sz w:val="20"/>
                <w:szCs w:val="20"/>
              </w:rPr>
            </w:pPr>
          </w:p>
        </w:tc>
      </w:tr>
      <w:tr w:rsidR="00387142" w:rsidRPr="008B6A75" w14:paraId="19188E87" w14:textId="77777777" w:rsidTr="00387142">
        <w:trPr>
          <w:trHeight w:val="300"/>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7C67E439" w14:textId="77777777" w:rsidR="00387142" w:rsidRPr="008B6A75" w:rsidRDefault="00387142" w:rsidP="00387142">
            <w:pPr>
              <w:rPr>
                <w:sz w:val="20"/>
                <w:szCs w:val="20"/>
              </w:rPr>
            </w:pPr>
            <w:r w:rsidRPr="008B6A75">
              <w:rPr>
                <w:sz w:val="20"/>
                <w:szCs w:val="20"/>
              </w:rPr>
              <w:t>Уплата налогов, сборов и иных платежей</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38AB486E" w14:textId="77777777" w:rsidR="00387142" w:rsidRPr="008B6A75" w:rsidRDefault="00387142" w:rsidP="00387142">
            <w:pPr>
              <w:jc w:val="center"/>
              <w:rPr>
                <w:sz w:val="20"/>
                <w:szCs w:val="20"/>
              </w:rPr>
            </w:pPr>
            <w:r w:rsidRPr="008B6A75">
              <w:rPr>
                <w:sz w:val="20"/>
                <w:szCs w:val="20"/>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1E068931" w14:textId="77777777" w:rsidR="00387142" w:rsidRPr="008B6A75" w:rsidRDefault="00387142" w:rsidP="00387142">
            <w:pPr>
              <w:jc w:val="center"/>
              <w:rPr>
                <w:sz w:val="20"/>
                <w:szCs w:val="20"/>
              </w:rPr>
            </w:pPr>
            <w:r w:rsidRPr="008B6A75">
              <w:rPr>
                <w:sz w:val="20"/>
                <w:szCs w:val="20"/>
              </w:rPr>
              <w:t>07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C9DF7C" w14:textId="77777777" w:rsidR="00387142" w:rsidRPr="008B6A75" w:rsidRDefault="00387142" w:rsidP="00387142">
            <w:pPr>
              <w:jc w:val="center"/>
              <w:rPr>
                <w:sz w:val="20"/>
                <w:szCs w:val="20"/>
              </w:rPr>
            </w:pPr>
            <w:r w:rsidRPr="008B6A75">
              <w:rPr>
                <w:sz w:val="20"/>
                <w:szCs w:val="20"/>
              </w:rPr>
              <w:t>02</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0A8F8B37" w14:textId="77777777" w:rsidR="00387142" w:rsidRPr="008B6A75" w:rsidRDefault="00387142" w:rsidP="00387142">
            <w:pPr>
              <w:jc w:val="center"/>
              <w:rPr>
                <w:sz w:val="20"/>
                <w:szCs w:val="20"/>
              </w:rPr>
            </w:pPr>
            <w:r w:rsidRPr="008B6A75">
              <w:rPr>
                <w:sz w:val="20"/>
                <w:szCs w:val="20"/>
              </w:rPr>
              <w:t>07.1.00.07390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DC7780" w14:textId="77777777" w:rsidR="00387142" w:rsidRPr="008B6A75" w:rsidRDefault="00387142" w:rsidP="00387142">
            <w:pPr>
              <w:jc w:val="center"/>
              <w:rPr>
                <w:sz w:val="20"/>
                <w:szCs w:val="20"/>
              </w:rPr>
            </w:pPr>
            <w:r w:rsidRPr="008B6A75">
              <w:rPr>
                <w:sz w:val="20"/>
                <w:szCs w:val="20"/>
              </w:rPr>
              <w:t>850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E13E06" w14:textId="77777777" w:rsidR="00387142" w:rsidRPr="008B6A75" w:rsidRDefault="00387142" w:rsidP="00387142">
            <w:pPr>
              <w:jc w:val="right"/>
              <w:rPr>
                <w:sz w:val="20"/>
                <w:szCs w:val="20"/>
              </w:rPr>
            </w:pPr>
            <w:r w:rsidRPr="008B6A75">
              <w:rPr>
                <w:sz w:val="20"/>
                <w:szCs w:val="20"/>
              </w:rPr>
              <w:t>825 119,04</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67151B75" w14:textId="77777777" w:rsidR="00387142" w:rsidRPr="008B6A75" w:rsidRDefault="00387142" w:rsidP="00387142">
            <w:pPr>
              <w:jc w:val="right"/>
              <w:rPr>
                <w:sz w:val="20"/>
                <w:szCs w:val="20"/>
              </w:rPr>
            </w:pPr>
            <w:r w:rsidRPr="008B6A75">
              <w:rPr>
                <w:sz w:val="20"/>
                <w:szCs w:val="20"/>
              </w:rPr>
              <w:t>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CB48F2" w14:textId="77777777" w:rsidR="00387142" w:rsidRPr="008B6A75" w:rsidRDefault="00387142" w:rsidP="00387142">
            <w:pPr>
              <w:jc w:val="right"/>
              <w:rPr>
                <w:sz w:val="20"/>
                <w:szCs w:val="20"/>
              </w:rPr>
            </w:pPr>
            <w:r w:rsidRPr="008B6A75">
              <w:rPr>
                <w:sz w:val="20"/>
                <w:szCs w:val="20"/>
              </w:rPr>
              <w:t>0,00</w:t>
            </w:r>
          </w:p>
        </w:tc>
        <w:tc>
          <w:tcPr>
            <w:tcW w:w="222" w:type="dxa"/>
            <w:vAlign w:val="center"/>
            <w:hideMark/>
          </w:tcPr>
          <w:p w14:paraId="24BA45E8" w14:textId="77777777" w:rsidR="00387142" w:rsidRPr="008B6A75" w:rsidRDefault="00387142" w:rsidP="00387142">
            <w:pPr>
              <w:rPr>
                <w:sz w:val="20"/>
                <w:szCs w:val="20"/>
              </w:rPr>
            </w:pPr>
          </w:p>
        </w:tc>
      </w:tr>
      <w:tr w:rsidR="00387142" w:rsidRPr="008B6A75" w14:paraId="3E9C0B31" w14:textId="77777777" w:rsidTr="00387142">
        <w:trPr>
          <w:trHeight w:val="870"/>
        </w:trPr>
        <w:tc>
          <w:tcPr>
            <w:tcW w:w="3021" w:type="dxa"/>
            <w:tcBorders>
              <w:top w:val="nil"/>
              <w:left w:val="single" w:sz="4" w:space="0" w:color="auto"/>
              <w:bottom w:val="nil"/>
              <w:right w:val="nil"/>
            </w:tcBorders>
            <w:shd w:val="clear" w:color="auto" w:fill="auto"/>
            <w:vAlign w:val="center"/>
            <w:hideMark/>
          </w:tcPr>
          <w:p w14:paraId="5E20A230" w14:textId="77777777" w:rsidR="00387142" w:rsidRPr="008B6A75" w:rsidRDefault="00387142" w:rsidP="00387142">
            <w:pPr>
              <w:rPr>
                <w:bCs/>
                <w:sz w:val="20"/>
                <w:szCs w:val="20"/>
              </w:rPr>
            </w:pPr>
            <w:r w:rsidRPr="008B6A75">
              <w:rPr>
                <w:bCs/>
                <w:sz w:val="20"/>
                <w:szCs w:val="20"/>
              </w:rPr>
              <w:t>Расходы на обеспечение деятельности (оказание услуг) муниципальных учреждений дополнительного образования</w:t>
            </w:r>
          </w:p>
        </w:tc>
        <w:tc>
          <w:tcPr>
            <w:tcW w:w="850" w:type="dxa"/>
            <w:tcBorders>
              <w:top w:val="nil"/>
              <w:left w:val="single" w:sz="4" w:space="0" w:color="auto"/>
              <w:bottom w:val="nil"/>
              <w:right w:val="nil"/>
            </w:tcBorders>
            <w:shd w:val="clear" w:color="auto" w:fill="auto"/>
            <w:noWrap/>
            <w:vAlign w:val="center"/>
            <w:hideMark/>
          </w:tcPr>
          <w:p w14:paraId="24FB00C7" w14:textId="77777777" w:rsidR="00387142" w:rsidRPr="008B6A75" w:rsidRDefault="00387142" w:rsidP="00387142">
            <w:pPr>
              <w:jc w:val="center"/>
              <w:rPr>
                <w:bCs/>
                <w:sz w:val="20"/>
                <w:szCs w:val="20"/>
              </w:rPr>
            </w:pPr>
            <w:r w:rsidRPr="008B6A75">
              <w:rPr>
                <w:bCs/>
                <w:sz w:val="20"/>
                <w:szCs w:val="20"/>
              </w:rPr>
              <w:t>444</w:t>
            </w:r>
          </w:p>
        </w:tc>
        <w:tc>
          <w:tcPr>
            <w:tcW w:w="709" w:type="dxa"/>
            <w:tcBorders>
              <w:top w:val="nil"/>
              <w:left w:val="single" w:sz="4" w:space="0" w:color="auto"/>
              <w:bottom w:val="nil"/>
              <w:right w:val="nil"/>
            </w:tcBorders>
            <w:shd w:val="clear" w:color="auto" w:fill="auto"/>
            <w:noWrap/>
            <w:vAlign w:val="center"/>
            <w:hideMark/>
          </w:tcPr>
          <w:p w14:paraId="4C599700" w14:textId="77777777" w:rsidR="00387142" w:rsidRPr="008B6A75" w:rsidRDefault="00387142" w:rsidP="00387142">
            <w:pPr>
              <w:jc w:val="center"/>
              <w:rPr>
                <w:bCs/>
                <w:sz w:val="20"/>
                <w:szCs w:val="20"/>
              </w:rPr>
            </w:pPr>
            <w:r w:rsidRPr="008B6A75">
              <w:rPr>
                <w:bCs/>
                <w:sz w:val="20"/>
                <w:szCs w:val="20"/>
              </w:rPr>
              <w:t>07</w:t>
            </w:r>
          </w:p>
        </w:tc>
        <w:tc>
          <w:tcPr>
            <w:tcW w:w="709" w:type="dxa"/>
            <w:tcBorders>
              <w:top w:val="nil"/>
              <w:left w:val="single" w:sz="4" w:space="0" w:color="auto"/>
              <w:bottom w:val="nil"/>
              <w:right w:val="single" w:sz="4" w:space="0" w:color="auto"/>
            </w:tcBorders>
            <w:shd w:val="clear" w:color="auto" w:fill="auto"/>
            <w:noWrap/>
            <w:vAlign w:val="center"/>
            <w:hideMark/>
          </w:tcPr>
          <w:p w14:paraId="2402CA7F" w14:textId="77777777" w:rsidR="00387142" w:rsidRPr="008B6A75" w:rsidRDefault="00387142" w:rsidP="00387142">
            <w:pPr>
              <w:jc w:val="center"/>
              <w:rPr>
                <w:bCs/>
                <w:sz w:val="20"/>
                <w:szCs w:val="20"/>
              </w:rPr>
            </w:pPr>
            <w:r w:rsidRPr="008B6A75">
              <w:rPr>
                <w:bCs/>
                <w:sz w:val="20"/>
                <w:szCs w:val="20"/>
              </w:rPr>
              <w:t>02</w:t>
            </w:r>
          </w:p>
        </w:tc>
        <w:tc>
          <w:tcPr>
            <w:tcW w:w="1411" w:type="dxa"/>
            <w:tcBorders>
              <w:top w:val="nil"/>
              <w:left w:val="single" w:sz="4" w:space="0" w:color="auto"/>
              <w:bottom w:val="nil"/>
              <w:right w:val="nil"/>
            </w:tcBorders>
            <w:shd w:val="clear" w:color="auto" w:fill="auto"/>
            <w:noWrap/>
            <w:vAlign w:val="center"/>
            <w:hideMark/>
          </w:tcPr>
          <w:p w14:paraId="1A1F2868" w14:textId="77777777" w:rsidR="00387142" w:rsidRPr="008B6A75" w:rsidRDefault="00387142" w:rsidP="00387142">
            <w:pPr>
              <w:jc w:val="center"/>
              <w:rPr>
                <w:bCs/>
                <w:sz w:val="20"/>
                <w:szCs w:val="20"/>
              </w:rPr>
            </w:pPr>
            <w:r w:rsidRPr="008B6A75">
              <w:rPr>
                <w:bCs/>
                <w:sz w:val="20"/>
                <w:szCs w:val="20"/>
              </w:rPr>
              <w:t>07.1.00.07490</w:t>
            </w:r>
          </w:p>
        </w:tc>
        <w:tc>
          <w:tcPr>
            <w:tcW w:w="955" w:type="dxa"/>
            <w:tcBorders>
              <w:top w:val="nil"/>
              <w:left w:val="single" w:sz="4" w:space="0" w:color="auto"/>
              <w:bottom w:val="nil"/>
              <w:right w:val="single" w:sz="4" w:space="0" w:color="auto"/>
            </w:tcBorders>
            <w:shd w:val="clear" w:color="auto" w:fill="auto"/>
            <w:noWrap/>
            <w:vAlign w:val="center"/>
            <w:hideMark/>
          </w:tcPr>
          <w:p w14:paraId="385DCF16"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nil"/>
              <w:right w:val="single" w:sz="4" w:space="0" w:color="auto"/>
            </w:tcBorders>
            <w:shd w:val="clear" w:color="auto" w:fill="auto"/>
            <w:noWrap/>
            <w:vAlign w:val="center"/>
            <w:hideMark/>
          </w:tcPr>
          <w:p w14:paraId="01DE4667" w14:textId="77777777" w:rsidR="00387142" w:rsidRPr="008B6A75" w:rsidRDefault="00387142" w:rsidP="00387142">
            <w:pPr>
              <w:jc w:val="right"/>
              <w:rPr>
                <w:bCs/>
                <w:sz w:val="20"/>
                <w:szCs w:val="20"/>
              </w:rPr>
            </w:pPr>
            <w:r w:rsidRPr="008B6A75">
              <w:rPr>
                <w:bCs/>
                <w:sz w:val="20"/>
                <w:szCs w:val="20"/>
              </w:rPr>
              <w:t>3 800 208,18</w:t>
            </w:r>
          </w:p>
        </w:tc>
        <w:tc>
          <w:tcPr>
            <w:tcW w:w="992" w:type="dxa"/>
            <w:gridSpan w:val="2"/>
            <w:tcBorders>
              <w:top w:val="nil"/>
              <w:left w:val="single" w:sz="4" w:space="0" w:color="auto"/>
              <w:bottom w:val="nil"/>
              <w:right w:val="nil"/>
            </w:tcBorders>
            <w:shd w:val="clear" w:color="auto" w:fill="auto"/>
            <w:noWrap/>
            <w:vAlign w:val="center"/>
            <w:hideMark/>
          </w:tcPr>
          <w:p w14:paraId="473F94DD" w14:textId="77777777" w:rsidR="00387142" w:rsidRPr="008B6A75" w:rsidRDefault="00387142" w:rsidP="00387142">
            <w:pPr>
              <w:jc w:val="right"/>
              <w:rPr>
                <w:bCs/>
                <w:sz w:val="20"/>
                <w:szCs w:val="20"/>
              </w:rPr>
            </w:pPr>
            <w:r w:rsidRPr="008B6A75">
              <w:rPr>
                <w:bCs/>
                <w:sz w:val="20"/>
                <w:szCs w:val="20"/>
              </w:rPr>
              <w:t>0,00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6D3ECC02" w14:textId="77777777" w:rsidR="00387142" w:rsidRPr="008B6A75" w:rsidRDefault="00387142" w:rsidP="00387142">
            <w:pPr>
              <w:jc w:val="right"/>
              <w:rPr>
                <w:bCs/>
                <w:sz w:val="20"/>
                <w:szCs w:val="20"/>
              </w:rPr>
            </w:pPr>
            <w:r w:rsidRPr="008B6A75">
              <w:rPr>
                <w:bCs/>
                <w:sz w:val="20"/>
                <w:szCs w:val="20"/>
              </w:rPr>
              <w:t>0,00</w:t>
            </w:r>
          </w:p>
        </w:tc>
        <w:tc>
          <w:tcPr>
            <w:tcW w:w="222" w:type="dxa"/>
            <w:vAlign w:val="center"/>
            <w:hideMark/>
          </w:tcPr>
          <w:p w14:paraId="1D2564E3" w14:textId="77777777" w:rsidR="00387142" w:rsidRPr="008B6A75" w:rsidRDefault="00387142" w:rsidP="00387142">
            <w:pPr>
              <w:rPr>
                <w:sz w:val="20"/>
                <w:szCs w:val="20"/>
              </w:rPr>
            </w:pPr>
          </w:p>
        </w:tc>
      </w:tr>
      <w:tr w:rsidR="00387142" w:rsidRPr="008B6A75" w14:paraId="2CF9226E" w14:textId="77777777" w:rsidTr="00387142">
        <w:trPr>
          <w:trHeight w:val="1440"/>
        </w:trPr>
        <w:tc>
          <w:tcPr>
            <w:tcW w:w="3021" w:type="dxa"/>
            <w:tcBorders>
              <w:top w:val="single" w:sz="4" w:space="0" w:color="auto"/>
              <w:left w:val="single" w:sz="4" w:space="0" w:color="auto"/>
              <w:bottom w:val="nil"/>
              <w:right w:val="nil"/>
            </w:tcBorders>
            <w:shd w:val="clear" w:color="auto" w:fill="auto"/>
            <w:vAlign w:val="center"/>
            <w:hideMark/>
          </w:tcPr>
          <w:p w14:paraId="03662F85" w14:textId="77777777" w:rsidR="00387142" w:rsidRPr="008B6A75" w:rsidRDefault="00387142" w:rsidP="00387142">
            <w:pPr>
              <w:rPr>
                <w:sz w:val="20"/>
                <w:szCs w:val="20"/>
              </w:rPr>
            </w:pPr>
            <w:r w:rsidRPr="008B6A7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nil"/>
              <w:right w:val="nil"/>
            </w:tcBorders>
            <w:shd w:val="clear" w:color="auto" w:fill="auto"/>
            <w:noWrap/>
            <w:vAlign w:val="center"/>
            <w:hideMark/>
          </w:tcPr>
          <w:p w14:paraId="0239B732" w14:textId="77777777" w:rsidR="00387142" w:rsidRPr="008B6A75" w:rsidRDefault="00387142" w:rsidP="00387142">
            <w:pPr>
              <w:jc w:val="center"/>
              <w:rPr>
                <w:sz w:val="20"/>
                <w:szCs w:val="20"/>
              </w:rPr>
            </w:pPr>
            <w:r w:rsidRPr="008B6A75">
              <w:rPr>
                <w:sz w:val="20"/>
                <w:szCs w:val="20"/>
              </w:rPr>
              <w:t>444</w:t>
            </w:r>
          </w:p>
        </w:tc>
        <w:tc>
          <w:tcPr>
            <w:tcW w:w="709" w:type="dxa"/>
            <w:tcBorders>
              <w:top w:val="single" w:sz="4" w:space="0" w:color="auto"/>
              <w:left w:val="single" w:sz="4" w:space="0" w:color="auto"/>
              <w:bottom w:val="nil"/>
              <w:right w:val="nil"/>
            </w:tcBorders>
            <w:shd w:val="clear" w:color="auto" w:fill="auto"/>
            <w:noWrap/>
            <w:vAlign w:val="center"/>
            <w:hideMark/>
          </w:tcPr>
          <w:p w14:paraId="7B359D47" w14:textId="77777777" w:rsidR="00387142" w:rsidRPr="008B6A75" w:rsidRDefault="00387142" w:rsidP="00387142">
            <w:pPr>
              <w:jc w:val="center"/>
              <w:rPr>
                <w:sz w:val="20"/>
                <w:szCs w:val="20"/>
              </w:rPr>
            </w:pPr>
            <w:r w:rsidRPr="008B6A75">
              <w:rPr>
                <w:sz w:val="20"/>
                <w:szCs w:val="20"/>
              </w:rPr>
              <w:t>07</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52DF9BC3" w14:textId="77777777" w:rsidR="00387142" w:rsidRPr="008B6A75" w:rsidRDefault="00387142" w:rsidP="00387142">
            <w:pPr>
              <w:jc w:val="center"/>
              <w:rPr>
                <w:sz w:val="20"/>
                <w:szCs w:val="20"/>
              </w:rPr>
            </w:pPr>
            <w:r w:rsidRPr="008B6A75">
              <w:rPr>
                <w:sz w:val="20"/>
                <w:szCs w:val="20"/>
              </w:rPr>
              <w:t>02</w:t>
            </w:r>
          </w:p>
        </w:tc>
        <w:tc>
          <w:tcPr>
            <w:tcW w:w="1411" w:type="dxa"/>
            <w:tcBorders>
              <w:top w:val="single" w:sz="4" w:space="0" w:color="auto"/>
              <w:left w:val="single" w:sz="4" w:space="0" w:color="auto"/>
              <w:bottom w:val="nil"/>
              <w:right w:val="nil"/>
            </w:tcBorders>
            <w:shd w:val="clear" w:color="auto" w:fill="auto"/>
            <w:noWrap/>
            <w:vAlign w:val="center"/>
            <w:hideMark/>
          </w:tcPr>
          <w:p w14:paraId="6767790E" w14:textId="77777777" w:rsidR="00387142" w:rsidRPr="008B6A75" w:rsidRDefault="00387142" w:rsidP="00387142">
            <w:pPr>
              <w:jc w:val="center"/>
              <w:rPr>
                <w:sz w:val="20"/>
                <w:szCs w:val="20"/>
              </w:rPr>
            </w:pPr>
            <w:r w:rsidRPr="008B6A75">
              <w:rPr>
                <w:sz w:val="20"/>
                <w:szCs w:val="20"/>
              </w:rPr>
              <w:t>07.1.00.07490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079BF989" w14:textId="77777777" w:rsidR="00387142" w:rsidRPr="008B6A75" w:rsidRDefault="00387142" w:rsidP="00387142">
            <w:pPr>
              <w:jc w:val="center"/>
              <w:rPr>
                <w:sz w:val="20"/>
                <w:szCs w:val="20"/>
              </w:rPr>
            </w:pPr>
            <w:r w:rsidRPr="008B6A75">
              <w:rPr>
                <w:sz w:val="20"/>
                <w:szCs w:val="20"/>
              </w:rPr>
              <w:t>100</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05C0C262" w14:textId="77777777" w:rsidR="00387142" w:rsidRPr="008B6A75" w:rsidRDefault="00387142" w:rsidP="00387142">
            <w:pPr>
              <w:jc w:val="right"/>
              <w:rPr>
                <w:sz w:val="20"/>
                <w:szCs w:val="20"/>
              </w:rPr>
            </w:pPr>
            <w:r w:rsidRPr="008B6A75">
              <w:rPr>
                <w:sz w:val="20"/>
                <w:szCs w:val="20"/>
              </w:rPr>
              <w:t>1 494 392,35</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4EEDD343" w14:textId="77777777" w:rsidR="00387142" w:rsidRPr="008B6A75" w:rsidRDefault="00387142" w:rsidP="00387142">
            <w:pPr>
              <w:jc w:val="right"/>
              <w:rPr>
                <w:sz w:val="20"/>
                <w:szCs w:val="20"/>
              </w:rPr>
            </w:pPr>
            <w:r w:rsidRPr="008B6A75">
              <w:rPr>
                <w:sz w:val="20"/>
                <w:szCs w:val="20"/>
              </w:rPr>
              <w:t>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14CE8AE2" w14:textId="77777777" w:rsidR="00387142" w:rsidRPr="008B6A75" w:rsidRDefault="00387142" w:rsidP="00387142">
            <w:pPr>
              <w:jc w:val="right"/>
              <w:rPr>
                <w:sz w:val="20"/>
                <w:szCs w:val="20"/>
              </w:rPr>
            </w:pPr>
            <w:r w:rsidRPr="008B6A75">
              <w:rPr>
                <w:sz w:val="20"/>
                <w:szCs w:val="20"/>
              </w:rPr>
              <w:t>0,00</w:t>
            </w:r>
          </w:p>
        </w:tc>
        <w:tc>
          <w:tcPr>
            <w:tcW w:w="222" w:type="dxa"/>
            <w:vAlign w:val="center"/>
            <w:hideMark/>
          </w:tcPr>
          <w:p w14:paraId="52B2B5E6" w14:textId="77777777" w:rsidR="00387142" w:rsidRPr="008B6A75" w:rsidRDefault="00387142" w:rsidP="00387142">
            <w:pPr>
              <w:rPr>
                <w:sz w:val="20"/>
                <w:szCs w:val="20"/>
              </w:rPr>
            </w:pPr>
          </w:p>
        </w:tc>
      </w:tr>
      <w:tr w:rsidR="00387142" w:rsidRPr="008B6A75" w14:paraId="172DB934" w14:textId="77777777" w:rsidTr="00387142">
        <w:trPr>
          <w:trHeight w:val="585"/>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6CAAA2AF" w14:textId="77777777" w:rsidR="00387142" w:rsidRPr="008B6A75" w:rsidRDefault="00387142" w:rsidP="00387142">
            <w:pPr>
              <w:rPr>
                <w:sz w:val="20"/>
                <w:szCs w:val="20"/>
              </w:rPr>
            </w:pPr>
            <w:r w:rsidRPr="008B6A75">
              <w:rPr>
                <w:sz w:val="20"/>
                <w:szCs w:val="20"/>
              </w:rPr>
              <w:t>Расходы на выплаты персоналу казенных учреждений</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693013C6" w14:textId="77777777" w:rsidR="00387142" w:rsidRPr="008B6A75" w:rsidRDefault="00387142" w:rsidP="00387142">
            <w:pPr>
              <w:jc w:val="center"/>
              <w:rPr>
                <w:sz w:val="20"/>
                <w:szCs w:val="20"/>
              </w:rPr>
            </w:pPr>
            <w:r w:rsidRPr="008B6A75">
              <w:rPr>
                <w:sz w:val="20"/>
                <w:szCs w:val="20"/>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74738B09" w14:textId="77777777" w:rsidR="00387142" w:rsidRPr="008B6A75" w:rsidRDefault="00387142" w:rsidP="00387142">
            <w:pPr>
              <w:jc w:val="center"/>
              <w:rPr>
                <w:sz w:val="20"/>
                <w:szCs w:val="20"/>
              </w:rPr>
            </w:pPr>
            <w:r w:rsidRPr="008B6A75">
              <w:rPr>
                <w:sz w:val="20"/>
                <w:szCs w:val="20"/>
              </w:rPr>
              <w:t>07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A9DEFE" w14:textId="77777777" w:rsidR="00387142" w:rsidRPr="008B6A75" w:rsidRDefault="00387142" w:rsidP="00387142">
            <w:pPr>
              <w:jc w:val="center"/>
              <w:rPr>
                <w:sz w:val="20"/>
                <w:szCs w:val="20"/>
              </w:rPr>
            </w:pPr>
            <w:r w:rsidRPr="008B6A75">
              <w:rPr>
                <w:sz w:val="20"/>
                <w:szCs w:val="20"/>
              </w:rPr>
              <w:t>02</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02DC8088" w14:textId="77777777" w:rsidR="00387142" w:rsidRPr="008B6A75" w:rsidRDefault="00387142" w:rsidP="00387142">
            <w:pPr>
              <w:jc w:val="center"/>
              <w:rPr>
                <w:sz w:val="20"/>
                <w:szCs w:val="20"/>
              </w:rPr>
            </w:pPr>
            <w:r w:rsidRPr="008B6A75">
              <w:rPr>
                <w:sz w:val="20"/>
                <w:szCs w:val="20"/>
              </w:rPr>
              <w:t>07.1.00.07490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3B951B" w14:textId="77777777" w:rsidR="00387142" w:rsidRPr="008B6A75" w:rsidRDefault="00387142" w:rsidP="00387142">
            <w:pPr>
              <w:jc w:val="center"/>
              <w:rPr>
                <w:sz w:val="20"/>
                <w:szCs w:val="20"/>
              </w:rPr>
            </w:pPr>
            <w:r w:rsidRPr="008B6A75">
              <w:rPr>
                <w:sz w:val="20"/>
                <w:szCs w:val="20"/>
              </w:rPr>
              <w:t>110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D41363" w14:textId="77777777" w:rsidR="00387142" w:rsidRPr="008B6A75" w:rsidRDefault="00387142" w:rsidP="00387142">
            <w:pPr>
              <w:jc w:val="right"/>
              <w:rPr>
                <w:sz w:val="20"/>
                <w:szCs w:val="20"/>
              </w:rPr>
            </w:pPr>
            <w:r w:rsidRPr="008B6A75">
              <w:rPr>
                <w:sz w:val="20"/>
                <w:szCs w:val="20"/>
              </w:rPr>
              <w:t>1 494 392,35</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2AF8A0FF" w14:textId="77777777" w:rsidR="00387142" w:rsidRPr="008B6A75" w:rsidRDefault="00387142" w:rsidP="00387142">
            <w:pPr>
              <w:jc w:val="right"/>
              <w:rPr>
                <w:sz w:val="20"/>
                <w:szCs w:val="20"/>
              </w:rPr>
            </w:pPr>
            <w:r w:rsidRPr="008B6A75">
              <w:rPr>
                <w:sz w:val="20"/>
                <w:szCs w:val="20"/>
              </w:rPr>
              <w:t>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451CEC" w14:textId="77777777" w:rsidR="00387142" w:rsidRPr="008B6A75" w:rsidRDefault="00387142" w:rsidP="00387142">
            <w:pPr>
              <w:jc w:val="right"/>
              <w:rPr>
                <w:sz w:val="20"/>
                <w:szCs w:val="20"/>
              </w:rPr>
            </w:pPr>
            <w:r w:rsidRPr="008B6A75">
              <w:rPr>
                <w:sz w:val="20"/>
                <w:szCs w:val="20"/>
              </w:rPr>
              <w:t>0,00</w:t>
            </w:r>
          </w:p>
        </w:tc>
        <w:tc>
          <w:tcPr>
            <w:tcW w:w="222" w:type="dxa"/>
            <w:vAlign w:val="center"/>
            <w:hideMark/>
          </w:tcPr>
          <w:p w14:paraId="39734BBF" w14:textId="77777777" w:rsidR="00387142" w:rsidRPr="008B6A75" w:rsidRDefault="00387142" w:rsidP="00387142">
            <w:pPr>
              <w:rPr>
                <w:sz w:val="20"/>
                <w:szCs w:val="20"/>
              </w:rPr>
            </w:pPr>
          </w:p>
        </w:tc>
      </w:tr>
      <w:tr w:rsidR="00387142" w:rsidRPr="008B6A75" w14:paraId="18E32FC9" w14:textId="77777777" w:rsidTr="00387142">
        <w:trPr>
          <w:trHeight w:val="870"/>
        </w:trPr>
        <w:tc>
          <w:tcPr>
            <w:tcW w:w="3021" w:type="dxa"/>
            <w:tcBorders>
              <w:top w:val="nil"/>
              <w:left w:val="single" w:sz="4" w:space="0" w:color="auto"/>
              <w:bottom w:val="nil"/>
              <w:right w:val="nil"/>
            </w:tcBorders>
            <w:shd w:val="clear" w:color="auto" w:fill="auto"/>
            <w:vAlign w:val="center"/>
            <w:hideMark/>
          </w:tcPr>
          <w:p w14:paraId="5026B90F" w14:textId="77777777" w:rsidR="00387142" w:rsidRPr="008B6A75" w:rsidRDefault="00387142" w:rsidP="00387142">
            <w:pPr>
              <w:rPr>
                <w:sz w:val="20"/>
                <w:szCs w:val="20"/>
              </w:rPr>
            </w:pPr>
            <w:r w:rsidRPr="008B6A75">
              <w:rPr>
                <w:sz w:val="20"/>
                <w:szCs w:val="20"/>
              </w:rPr>
              <w:t>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right w:val="nil"/>
            </w:tcBorders>
            <w:shd w:val="clear" w:color="auto" w:fill="auto"/>
            <w:noWrap/>
            <w:vAlign w:val="center"/>
            <w:hideMark/>
          </w:tcPr>
          <w:p w14:paraId="789664FD" w14:textId="77777777" w:rsidR="00387142" w:rsidRPr="008B6A75" w:rsidRDefault="00387142" w:rsidP="00387142">
            <w:pPr>
              <w:jc w:val="center"/>
              <w:rPr>
                <w:sz w:val="20"/>
                <w:szCs w:val="20"/>
              </w:rPr>
            </w:pPr>
            <w:r w:rsidRPr="008B6A75">
              <w:rPr>
                <w:sz w:val="20"/>
                <w:szCs w:val="20"/>
              </w:rPr>
              <w:t>444</w:t>
            </w:r>
          </w:p>
        </w:tc>
        <w:tc>
          <w:tcPr>
            <w:tcW w:w="709" w:type="dxa"/>
            <w:tcBorders>
              <w:top w:val="nil"/>
              <w:left w:val="single" w:sz="4" w:space="0" w:color="auto"/>
              <w:bottom w:val="nil"/>
              <w:right w:val="nil"/>
            </w:tcBorders>
            <w:shd w:val="clear" w:color="auto" w:fill="auto"/>
            <w:noWrap/>
            <w:vAlign w:val="center"/>
            <w:hideMark/>
          </w:tcPr>
          <w:p w14:paraId="3CAD375F" w14:textId="77777777" w:rsidR="00387142" w:rsidRPr="008B6A75" w:rsidRDefault="00387142" w:rsidP="00387142">
            <w:pPr>
              <w:jc w:val="center"/>
              <w:rPr>
                <w:sz w:val="20"/>
                <w:szCs w:val="20"/>
              </w:rPr>
            </w:pPr>
            <w:r w:rsidRPr="008B6A75">
              <w:rPr>
                <w:sz w:val="20"/>
                <w:szCs w:val="20"/>
              </w:rPr>
              <w:t>07</w:t>
            </w:r>
          </w:p>
        </w:tc>
        <w:tc>
          <w:tcPr>
            <w:tcW w:w="709" w:type="dxa"/>
            <w:tcBorders>
              <w:top w:val="nil"/>
              <w:left w:val="single" w:sz="4" w:space="0" w:color="auto"/>
              <w:bottom w:val="nil"/>
              <w:right w:val="single" w:sz="4" w:space="0" w:color="auto"/>
            </w:tcBorders>
            <w:shd w:val="clear" w:color="auto" w:fill="auto"/>
            <w:noWrap/>
            <w:vAlign w:val="center"/>
            <w:hideMark/>
          </w:tcPr>
          <w:p w14:paraId="5C31FBEB" w14:textId="77777777" w:rsidR="00387142" w:rsidRPr="008B6A75" w:rsidRDefault="00387142" w:rsidP="00387142">
            <w:pPr>
              <w:jc w:val="center"/>
              <w:rPr>
                <w:sz w:val="20"/>
                <w:szCs w:val="20"/>
              </w:rPr>
            </w:pPr>
            <w:r w:rsidRPr="008B6A75">
              <w:rPr>
                <w:sz w:val="20"/>
                <w:szCs w:val="20"/>
              </w:rPr>
              <w:t>02</w:t>
            </w:r>
          </w:p>
        </w:tc>
        <w:tc>
          <w:tcPr>
            <w:tcW w:w="1411" w:type="dxa"/>
            <w:tcBorders>
              <w:top w:val="nil"/>
              <w:left w:val="single" w:sz="4" w:space="0" w:color="auto"/>
              <w:bottom w:val="nil"/>
              <w:right w:val="nil"/>
            </w:tcBorders>
            <w:shd w:val="clear" w:color="auto" w:fill="auto"/>
            <w:noWrap/>
            <w:vAlign w:val="center"/>
            <w:hideMark/>
          </w:tcPr>
          <w:p w14:paraId="049A605C" w14:textId="77777777" w:rsidR="00387142" w:rsidRPr="008B6A75" w:rsidRDefault="00387142" w:rsidP="00387142">
            <w:pPr>
              <w:jc w:val="center"/>
              <w:rPr>
                <w:sz w:val="20"/>
                <w:szCs w:val="20"/>
              </w:rPr>
            </w:pPr>
            <w:r w:rsidRPr="008B6A75">
              <w:rPr>
                <w:sz w:val="20"/>
                <w:szCs w:val="20"/>
              </w:rPr>
              <w:t>07.1.00.07490</w:t>
            </w:r>
          </w:p>
        </w:tc>
        <w:tc>
          <w:tcPr>
            <w:tcW w:w="955" w:type="dxa"/>
            <w:tcBorders>
              <w:top w:val="nil"/>
              <w:left w:val="single" w:sz="4" w:space="0" w:color="auto"/>
              <w:bottom w:val="nil"/>
              <w:right w:val="single" w:sz="4" w:space="0" w:color="auto"/>
            </w:tcBorders>
            <w:shd w:val="clear" w:color="auto" w:fill="auto"/>
            <w:noWrap/>
            <w:vAlign w:val="center"/>
            <w:hideMark/>
          </w:tcPr>
          <w:p w14:paraId="316F51CF" w14:textId="77777777" w:rsidR="00387142" w:rsidRPr="008B6A75" w:rsidRDefault="00387142" w:rsidP="00387142">
            <w:pPr>
              <w:jc w:val="center"/>
              <w:rPr>
                <w:sz w:val="20"/>
                <w:szCs w:val="20"/>
              </w:rPr>
            </w:pPr>
            <w:r w:rsidRPr="008B6A75">
              <w:rPr>
                <w:sz w:val="20"/>
                <w:szCs w:val="20"/>
              </w:rPr>
              <w:t>600</w:t>
            </w:r>
          </w:p>
        </w:tc>
        <w:tc>
          <w:tcPr>
            <w:tcW w:w="992" w:type="dxa"/>
            <w:tcBorders>
              <w:top w:val="nil"/>
              <w:left w:val="single" w:sz="4" w:space="0" w:color="auto"/>
              <w:bottom w:val="nil"/>
              <w:right w:val="single" w:sz="4" w:space="0" w:color="auto"/>
            </w:tcBorders>
            <w:shd w:val="clear" w:color="auto" w:fill="auto"/>
            <w:noWrap/>
            <w:vAlign w:val="center"/>
            <w:hideMark/>
          </w:tcPr>
          <w:p w14:paraId="16A2485F" w14:textId="77777777" w:rsidR="00387142" w:rsidRPr="008B6A75" w:rsidRDefault="00387142" w:rsidP="00387142">
            <w:pPr>
              <w:jc w:val="right"/>
              <w:rPr>
                <w:sz w:val="20"/>
                <w:szCs w:val="20"/>
              </w:rPr>
            </w:pPr>
            <w:r w:rsidRPr="008B6A75">
              <w:rPr>
                <w:sz w:val="20"/>
                <w:szCs w:val="20"/>
              </w:rPr>
              <w:t>2 305 815,83</w:t>
            </w:r>
          </w:p>
        </w:tc>
        <w:tc>
          <w:tcPr>
            <w:tcW w:w="992" w:type="dxa"/>
            <w:gridSpan w:val="2"/>
            <w:tcBorders>
              <w:top w:val="nil"/>
              <w:left w:val="single" w:sz="4" w:space="0" w:color="auto"/>
              <w:bottom w:val="nil"/>
              <w:right w:val="nil"/>
            </w:tcBorders>
            <w:shd w:val="clear" w:color="auto" w:fill="auto"/>
            <w:noWrap/>
            <w:vAlign w:val="center"/>
            <w:hideMark/>
          </w:tcPr>
          <w:p w14:paraId="6ABF13A4" w14:textId="77777777" w:rsidR="00387142" w:rsidRPr="008B6A75" w:rsidRDefault="00387142" w:rsidP="00387142">
            <w:pPr>
              <w:jc w:val="right"/>
              <w:rPr>
                <w:sz w:val="20"/>
                <w:szCs w:val="20"/>
              </w:rPr>
            </w:pPr>
            <w:r w:rsidRPr="008B6A75">
              <w:rPr>
                <w:sz w:val="20"/>
                <w:szCs w:val="20"/>
              </w:rPr>
              <w:t>0,00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3F615E15" w14:textId="77777777" w:rsidR="00387142" w:rsidRPr="008B6A75" w:rsidRDefault="00387142" w:rsidP="00387142">
            <w:pPr>
              <w:jc w:val="right"/>
              <w:rPr>
                <w:sz w:val="20"/>
                <w:szCs w:val="20"/>
              </w:rPr>
            </w:pPr>
            <w:r w:rsidRPr="008B6A75">
              <w:rPr>
                <w:sz w:val="20"/>
                <w:szCs w:val="20"/>
              </w:rPr>
              <w:t>0,00</w:t>
            </w:r>
          </w:p>
        </w:tc>
        <w:tc>
          <w:tcPr>
            <w:tcW w:w="222" w:type="dxa"/>
            <w:vAlign w:val="center"/>
            <w:hideMark/>
          </w:tcPr>
          <w:p w14:paraId="15632DDD" w14:textId="77777777" w:rsidR="00387142" w:rsidRPr="008B6A75" w:rsidRDefault="00387142" w:rsidP="00387142">
            <w:pPr>
              <w:rPr>
                <w:sz w:val="20"/>
                <w:szCs w:val="20"/>
              </w:rPr>
            </w:pPr>
          </w:p>
        </w:tc>
      </w:tr>
      <w:tr w:rsidR="00387142" w:rsidRPr="008B6A75" w14:paraId="00AFA313" w14:textId="77777777" w:rsidTr="00387142">
        <w:trPr>
          <w:trHeight w:val="300"/>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5EACE3D8" w14:textId="77777777" w:rsidR="00387142" w:rsidRPr="008B6A75" w:rsidRDefault="00387142" w:rsidP="00387142">
            <w:pPr>
              <w:rPr>
                <w:sz w:val="20"/>
                <w:szCs w:val="20"/>
              </w:rPr>
            </w:pPr>
            <w:r w:rsidRPr="008B6A75">
              <w:rPr>
                <w:sz w:val="20"/>
                <w:szCs w:val="20"/>
              </w:rPr>
              <w:t>Субсидии бюджетным учреждениям</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29ADCDA8" w14:textId="77777777" w:rsidR="00387142" w:rsidRPr="008B6A75" w:rsidRDefault="00387142" w:rsidP="00387142">
            <w:pPr>
              <w:jc w:val="center"/>
              <w:rPr>
                <w:sz w:val="20"/>
                <w:szCs w:val="20"/>
              </w:rPr>
            </w:pPr>
            <w:r w:rsidRPr="008B6A75">
              <w:rPr>
                <w:sz w:val="20"/>
                <w:szCs w:val="20"/>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0BB766FF" w14:textId="77777777" w:rsidR="00387142" w:rsidRPr="008B6A75" w:rsidRDefault="00387142" w:rsidP="00387142">
            <w:pPr>
              <w:jc w:val="center"/>
              <w:rPr>
                <w:sz w:val="20"/>
                <w:szCs w:val="20"/>
              </w:rPr>
            </w:pPr>
            <w:r w:rsidRPr="008B6A75">
              <w:rPr>
                <w:sz w:val="20"/>
                <w:szCs w:val="20"/>
              </w:rPr>
              <w:t>07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F70A9F" w14:textId="77777777" w:rsidR="00387142" w:rsidRPr="008B6A75" w:rsidRDefault="00387142" w:rsidP="00387142">
            <w:pPr>
              <w:jc w:val="center"/>
              <w:rPr>
                <w:sz w:val="20"/>
                <w:szCs w:val="20"/>
              </w:rPr>
            </w:pPr>
            <w:r w:rsidRPr="008B6A75">
              <w:rPr>
                <w:sz w:val="20"/>
                <w:szCs w:val="20"/>
              </w:rPr>
              <w:t>02</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415F4244" w14:textId="77777777" w:rsidR="00387142" w:rsidRPr="008B6A75" w:rsidRDefault="00387142" w:rsidP="00387142">
            <w:pPr>
              <w:jc w:val="center"/>
              <w:rPr>
                <w:sz w:val="20"/>
                <w:szCs w:val="20"/>
              </w:rPr>
            </w:pPr>
            <w:r w:rsidRPr="008B6A75">
              <w:rPr>
                <w:sz w:val="20"/>
                <w:szCs w:val="20"/>
              </w:rPr>
              <w:t>07.1.00.07490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7DEFA2" w14:textId="77777777" w:rsidR="00387142" w:rsidRPr="008B6A75" w:rsidRDefault="00387142" w:rsidP="00387142">
            <w:pPr>
              <w:jc w:val="center"/>
              <w:rPr>
                <w:sz w:val="20"/>
                <w:szCs w:val="20"/>
              </w:rPr>
            </w:pPr>
            <w:r w:rsidRPr="008B6A75">
              <w:rPr>
                <w:sz w:val="20"/>
                <w:szCs w:val="20"/>
              </w:rPr>
              <w:t>610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5F1E40" w14:textId="77777777" w:rsidR="00387142" w:rsidRPr="008B6A75" w:rsidRDefault="00387142" w:rsidP="00387142">
            <w:pPr>
              <w:jc w:val="right"/>
              <w:rPr>
                <w:sz w:val="20"/>
                <w:szCs w:val="20"/>
              </w:rPr>
            </w:pPr>
            <w:r w:rsidRPr="008B6A75">
              <w:rPr>
                <w:sz w:val="20"/>
                <w:szCs w:val="20"/>
              </w:rPr>
              <w:t>2 305 815,83</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1C185598" w14:textId="77777777" w:rsidR="00387142" w:rsidRPr="008B6A75" w:rsidRDefault="00387142" w:rsidP="00387142">
            <w:pPr>
              <w:jc w:val="right"/>
              <w:rPr>
                <w:sz w:val="20"/>
                <w:szCs w:val="20"/>
              </w:rPr>
            </w:pPr>
            <w:r w:rsidRPr="008B6A75">
              <w:rPr>
                <w:sz w:val="20"/>
                <w:szCs w:val="20"/>
              </w:rPr>
              <w:t>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98619D" w14:textId="77777777" w:rsidR="00387142" w:rsidRPr="008B6A75" w:rsidRDefault="00387142" w:rsidP="00387142">
            <w:pPr>
              <w:jc w:val="right"/>
              <w:rPr>
                <w:sz w:val="20"/>
                <w:szCs w:val="20"/>
              </w:rPr>
            </w:pPr>
            <w:r w:rsidRPr="008B6A75">
              <w:rPr>
                <w:sz w:val="20"/>
                <w:szCs w:val="20"/>
              </w:rPr>
              <w:t>0,00</w:t>
            </w:r>
          </w:p>
        </w:tc>
        <w:tc>
          <w:tcPr>
            <w:tcW w:w="222" w:type="dxa"/>
            <w:vAlign w:val="center"/>
            <w:hideMark/>
          </w:tcPr>
          <w:p w14:paraId="2CE5A31F" w14:textId="77777777" w:rsidR="00387142" w:rsidRPr="008B6A75" w:rsidRDefault="00387142" w:rsidP="00387142">
            <w:pPr>
              <w:rPr>
                <w:sz w:val="20"/>
                <w:szCs w:val="20"/>
              </w:rPr>
            </w:pPr>
          </w:p>
        </w:tc>
      </w:tr>
      <w:tr w:rsidR="00387142" w:rsidRPr="008B6A75" w14:paraId="3E7F6756" w14:textId="77777777" w:rsidTr="00387142">
        <w:trPr>
          <w:trHeight w:val="2295"/>
        </w:trPr>
        <w:tc>
          <w:tcPr>
            <w:tcW w:w="3021" w:type="dxa"/>
            <w:tcBorders>
              <w:top w:val="nil"/>
              <w:left w:val="single" w:sz="4" w:space="0" w:color="auto"/>
              <w:bottom w:val="nil"/>
              <w:right w:val="nil"/>
            </w:tcBorders>
            <w:shd w:val="clear" w:color="auto" w:fill="auto"/>
            <w:vAlign w:val="center"/>
            <w:hideMark/>
          </w:tcPr>
          <w:p w14:paraId="6D0FB5F7" w14:textId="77777777" w:rsidR="00387142" w:rsidRPr="008B6A75" w:rsidRDefault="00387142" w:rsidP="00387142">
            <w:pPr>
              <w:rPr>
                <w:bCs/>
                <w:sz w:val="20"/>
                <w:szCs w:val="20"/>
              </w:rPr>
            </w:pPr>
            <w:r w:rsidRPr="008B6A75">
              <w:rPr>
                <w:bCs/>
                <w:sz w:val="20"/>
                <w:szCs w:val="20"/>
              </w:rPr>
              <w:t xml:space="preserve">Ежемесячное денежное вознаграждение за классное руководство педагогическим работникам муниципальных общеобразовательных организаций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w:t>
            </w:r>
          </w:p>
        </w:tc>
        <w:tc>
          <w:tcPr>
            <w:tcW w:w="850" w:type="dxa"/>
            <w:tcBorders>
              <w:top w:val="nil"/>
              <w:left w:val="single" w:sz="4" w:space="0" w:color="auto"/>
              <w:bottom w:val="nil"/>
              <w:right w:val="nil"/>
            </w:tcBorders>
            <w:shd w:val="clear" w:color="auto" w:fill="auto"/>
            <w:noWrap/>
            <w:vAlign w:val="center"/>
            <w:hideMark/>
          </w:tcPr>
          <w:p w14:paraId="0EC4A910" w14:textId="77777777" w:rsidR="00387142" w:rsidRPr="008B6A75" w:rsidRDefault="00387142" w:rsidP="00387142">
            <w:pPr>
              <w:jc w:val="center"/>
              <w:rPr>
                <w:bCs/>
                <w:sz w:val="20"/>
                <w:szCs w:val="20"/>
              </w:rPr>
            </w:pPr>
            <w:r w:rsidRPr="008B6A75">
              <w:rPr>
                <w:bCs/>
                <w:sz w:val="20"/>
                <w:szCs w:val="20"/>
              </w:rPr>
              <w:t>444</w:t>
            </w:r>
          </w:p>
        </w:tc>
        <w:tc>
          <w:tcPr>
            <w:tcW w:w="709" w:type="dxa"/>
            <w:tcBorders>
              <w:top w:val="nil"/>
              <w:left w:val="single" w:sz="4" w:space="0" w:color="auto"/>
              <w:bottom w:val="nil"/>
              <w:right w:val="nil"/>
            </w:tcBorders>
            <w:shd w:val="clear" w:color="auto" w:fill="auto"/>
            <w:noWrap/>
            <w:vAlign w:val="center"/>
            <w:hideMark/>
          </w:tcPr>
          <w:p w14:paraId="29969239" w14:textId="77777777" w:rsidR="00387142" w:rsidRPr="008B6A75" w:rsidRDefault="00387142" w:rsidP="00387142">
            <w:pPr>
              <w:jc w:val="center"/>
              <w:rPr>
                <w:bCs/>
                <w:sz w:val="20"/>
                <w:szCs w:val="20"/>
              </w:rPr>
            </w:pPr>
            <w:r w:rsidRPr="008B6A75">
              <w:rPr>
                <w:bCs/>
                <w:sz w:val="20"/>
                <w:szCs w:val="20"/>
              </w:rPr>
              <w:t>07</w:t>
            </w:r>
          </w:p>
        </w:tc>
        <w:tc>
          <w:tcPr>
            <w:tcW w:w="709" w:type="dxa"/>
            <w:tcBorders>
              <w:top w:val="nil"/>
              <w:left w:val="single" w:sz="4" w:space="0" w:color="auto"/>
              <w:bottom w:val="nil"/>
              <w:right w:val="single" w:sz="4" w:space="0" w:color="auto"/>
            </w:tcBorders>
            <w:shd w:val="clear" w:color="auto" w:fill="auto"/>
            <w:noWrap/>
            <w:vAlign w:val="center"/>
            <w:hideMark/>
          </w:tcPr>
          <w:p w14:paraId="10744C28" w14:textId="77777777" w:rsidR="00387142" w:rsidRPr="008B6A75" w:rsidRDefault="00387142" w:rsidP="00387142">
            <w:pPr>
              <w:jc w:val="center"/>
              <w:rPr>
                <w:bCs/>
                <w:sz w:val="20"/>
                <w:szCs w:val="20"/>
              </w:rPr>
            </w:pPr>
            <w:r w:rsidRPr="008B6A75">
              <w:rPr>
                <w:bCs/>
                <w:sz w:val="20"/>
                <w:szCs w:val="20"/>
              </w:rPr>
              <w:t>02</w:t>
            </w:r>
          </w:p>
        </w:tc>
        <w:tc>
          <w:tcPr>
            <w:tcW w:w="1411" w:type="dxa"/>
            <w:tcBorders>
              <w:top w:val="nil"/>
              <w:left w:val="single" w:sz="4" w:space="0" w:color="auto"/>
              <w:bottom w:val="nil"/>
              <w:right w:val="nil"/>
            </w:tcBorders>
            <w:shd w:val="clear" w:color="auto" w:fill="auto"/>
            <w:noWrap/>
            <w:vAlign w:val="center"/>
            <w:hideMark/>
          </w:tcPr>
          <w:p w14:paraId="589A5DE4" w14:textId="77777777" w:rsidR="00387142" w:rsidRPr="008B6A75" w:rsidRDefault="00387142" w:rsidP="00387142">
            <w:pPr>
              <w:jc w:val="center"/>
              <w:rPr>
                <w:bCs/>
                <w:sz w:val="20"/>
                <w:szCs w:val="20"/>
              </w:rPr>
            </w:pPr>
            <w:r w:rsidRPr="008B6A75">
              <w:rPr>
                <w:bCs/>
                <w:sz w:val="20"/>
                <w:szCs w:val="20"/>
              </w:rPr>
              <w:t>07.1.00.53030</w:t>
            </w:r>
          </w:p>
        </w:tc>
        <w:tc>
          <w:tcPr>
            <w:tcW w:w="955" w:type="dxa"/>
            <w:tcBorders>
              <w:top w:val="nil"/>
              <w:left w:val="single" w:sz="4" w:space="0" w:color="auto"/>
              <w:bottom w:val="nil"/>
              <w:right w:val="single" w:sz="4" w:space="0" w:color="auto"/>
            </w:tcBorders>
            <w:shd w:val="clear" w:color="auto" w:fill="auto"/>
            <w:noWrap/>
            <w:vAlign w:val="center"/>
            <w:hideMark/>
          </w:tcPr>
          <w:p w14:paraId="3510D8FB"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nil"/>
              <w:right w:val="single" w:sz="4" w:space="0" w:color="auto"/>
            </w:tcBorders>
            <w:shd w:val="clear" w:color="auto" w:fill="auto"/>
            <w:noWrap/>
            <w:vAlign w:val="center"/>
            <w:hideMark/>
          </w:tcPr>
          <w:p w14:paraId="6260F743" w14:textId="77777777" w:rsidR="00387142" w:rsidRPr="008B6A75" w:rsidRDefault="00387142" w:rsidP="00387142">
            <w:pPr>
              <w:jc w:val="right"/>
              <w:rPr>
                <w:bCs/>
                <w:sz w:val="20"/>
                <w:szCs w:val="20"/>
              </w:rPr>
            </w:pPr>
            <w:r w:rsidRPr="008B6A75">
              <w:rPr>
                <w:bCs/>
                <w:sz w:val="20"/>
                <w:szCs w:val="20"/>
              </w:rPr>
              <w:t>33 810 400,00</w:t>
            </w:r>
          </w:p>
        </w:tc>
        <w:tc>
          <w:tcPr>
            <w:tcW w:w="992" w:type="dxa"/>
            <w:gridSpan w:val="2"/>
            <w:tcBorders>
              <w:top w:val="nil"/>
              <w:left w:val="single" w:sz="4" w:space="0" w:color="auto"/>
              <w:bottom w:val="nil"/>
              <w:right w:val="nil"/>
            </w:tcBorders>
            <w:shd w:val="clear" w:color="auto" w:fill="auto"/>
            <w:noWrap/>
            <w:vAlign w:val="center"/>
            <w:hideMark/>
          </w:tcPr>
          <w:p w14:paraId="3CFABCA0" w14:textId="77777777" w:rsidR="00387142" w:rsidRPr="008B6A75" w:rsidRDefault="00387142" w:rsidP="00387142">
            <w:pPr>
              <w:jc w:val="right"/>
              <w:rPr>
                <w:bCs/>
                <w:sz w:val="20"/>
                <w:szCs w:val="20"/>
              </w:rPr>
            </w:pPr>
            <w:r w:rsidRPr="008B6A75">
              <w:rPr>
                <w:bCs/>
                <w:sz w:val="20"/>
                <w:szCs w:val="20"/>
              </w:rPr>
              <w:t>33 747 800,00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7A23268E" w14:textId="77777777" w:rsidR="00387142" w:rsidRPr="008B6A75" w:rsidRDefault="00387142" w:rsidP="00387142">
            <w:pPr>
              <w:jc w:val="right"/>
              <w:rPr>
                <w:bCs/>
                <w:sz w:val="20"/>
                <w:szCs w:val="20"/>
              </w:rPr>
            </w:pPr>
            <w:r w:rsidRPr="008B6A75">
              <w:rPr>
                <w:bCs/>
                <w:sz w:val="20"/>
                <w:szCs w:val="20"/>
              </w:rPr>
              <w:t>33 747 800,00</w:t>
            </w:r>
          </w:p>
        </w:tc>
        <w:tc>
          <w:tcPr>
            <w:tcW w:w="222" w:type="dxa"/>
            <w:vAlign w:val="center"/>
            <w:hideMark/>
          </w:tcPr>
          <w:p w14:paraId="318B0D06" w14:textId="77777777" w:rsidR="00387142" w:rsidRPr="008B6A75" w:rsidRDefault="00387142" w:rsidP="00387142">
            <w:pPr>
              <w:rPr>
                <w:sz w:val="20"/>
                <w:szCs w:val="20"/>
              </w:rPr>
            </w:pPr>
          </w:p>
        </w:tc>
      </w:tr>
      <w:tr w:rsidR="00387142" w:rsidRPr="008B6A75" w14:paraId="0C9D58E8" w14:textId="77777777" w:rsidTr="00387142">
        <w:trPr>
          <w:trHeight w:val="1440"/>
        </w:trPr>
        <w:tc>
          <w:tcPr>
            <w:tcW w:w="3021" w:type="dxa"/>
            <w:tcBorders>
              <w:top w:val="single" w:sz="4" w:space="0" w:color="auto"/>
              <w:left w:val="single" w:sz="4" w:space="0" w:color="auto"/>
              <w:bottom w:val="nil"/>
              <w:right w:val="nil"/>
            </w:tcBorders>
            <w:shd w:val="clear" w:color="auto" w:fill="auto"/>
            <w:vAlign w:val="center"/>
            <w:hideMark/>
          </w:tcPr>
          <w:p w14:paraId="38AC2503" w14:textId="77777777" w:rsidR="00387142" w:rsidRPr="008B6A75" w:rsidRDefault="00387142" w:rsidP="00387142">
            <w:pPr>
              <w:rPr>
                <w:sz w:val="20"/>
                <w:szCs w:val="20"/>
              </w:rPr>
            </w:pPr>
            <w:r w:rsidRPr="008B6A75">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nil"/>
              <w:right w:val="nil"/>
            </w:tcBorders>
            <w:shd w:val="clear" w:color="auto" w:fill="auto"/>
            <w:noWrap/>
            <w:vAlign w:val="center"/>
            <w:hideMark/>
          </w:tcPr>
          <w:p w14:paraId="3F14A49A" w14:textId="77777777" w:rsidR="00387142" w:rsidRPr="008B6A75" w:rsidRDefault="00387142" w:rsidP="00387142">
            <w:pPr>
              <w:jc w:val="center"/>
              <w:rPr>
                <w:sz w:val="20"/>
                <w:szCs w:val="20"/>
              </w:rPr>
            </w:pPr>
            <w:r w:rsidRPr="008B6A75">
              <w:rPr>
                <w:sz w:val="20"/>
                <w:szCs w:val="20"/>
              </w:rPr>
              <w:t>444</w:t>
            </w:r>
          </w:p>
        </w:tc>
        <w:tc>
          <w:tcPr>
            <w:tcW w:w="709" w:type="dxa"/>
            <w:tcBorders>
              <w:top w:val="single" w:sz="4" w:space="0" w:color="auto"/>
              <w:left w:val="single" w:sz="4" w:space="0" w:color="auto"/>
              <w:bottom w:val="nil"/>
              <w:right w:val="nil"/>
            </w:tcBorders>
            <w:shd w:val="clear" w:color="auto" w:fill="auto"/>
            <w:noWrap/>
            <w:vAlign w:val="center"/>
            <w:hideMark/>
          </w:tcPr>
          <w:p w14:paraId="15FB90D9" w14:textId="77777777" w:rsidR="00387142" w:rsidRPr="008B6A75" w:rsidRDefault="00387142" w:rsidP="00387142">
            <w:pPr>
              <w:jc w:val="center"/>
              <w:rPr>
                <w:sz w:val="20"/>
                <w:szCs w:val="20"/>
              </w:rPr>
            </w:pPr>
            <w:r w:rsidRPr="008B6A75">
              <w:rPr>
                <w:sz w:val="20"/>
                <w:szCs w:val="20"/>
              </w:rPr>
              <w:t>07</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6EF093B2" w14:textId="77777777" w:rsidR="00387142" w:rsidRPr="008B6A75" w:rsidRDefault="00387142" w:rsidP="00387142">
            <w:pPr>
              <w:jc w:val="center"/>
              <w:rPr>
                <w:sz w:val="20"/>
                <w:szCs w:val="20"/>
              </w:rPr>
            </w:pPr>
            <w:r w:rsidRPr="008B6A75">
              <w:rPr>
                <w:sz w:val="20"/>
                <w:szCs w:val="20"/>
              </w:rPr>
              <w:t>02</w:t>
            </w:r>
          </w:p>
        </w:tc>
        <w:tc>
          <w:tcPr>
            <w:tcW w:w="1411" w:type="dxa"/>
            <w:tcBorders>
              <w:top w:val="single" w:sz="4" w:space="0" w:color="auto"/>
              <w:left w:val="single" w:sz="4" w:space="0" w:color="auto"/>
              <w:bottom w:val="nil"/>
              <w:right w:val="nil"/>
            </w:tcBorders>
            <w:shd w:val="clear" w:color="auto" w:fill="auto"/>
            <w:noWrap/>
            <w:vAlign w:val="center"/>
            <w:hideMark/>
          </w:tcPr>
          <w:p w14:paraId="1E5EFCB7" w14:textId="77777777" w:rsidR="00387142" w:rsidRPr="008B6A75" w:rsidRDefault="00387142" w:rsidP="00387142">
            <w:pPr>
              <w:jc w:val="center"/>
              <w:rPr>
                <w:sz w:val="20"/>
                <w:szCs w:val="20"/>
              </w:rPr>
            </w:pPr>
            <w:r w:rsidRPr="008B6A75">
              <w:rPr>
                <w:sz w:val="20"/>
                <w:szCs w:val="20"/>
              </w:rPr>
              <w:t>07.1.00.53030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3D11C56F" w14:textId="77777777" w:rsidR="00387142" w:rsidRPr="008B6A75" w:rsidRDefault="00387142" w:rsidP="00387142">
            <w:pPr>
              <w:jc w:val="center"/>
              <w:rPr>
                <w:sz w:val="20"/>
                <w:szCs w:val="20"/>
              </w:rPr>
            </w:pPr>
            <w:r w:rsidRPr="008B6A75">
              <w:rPr>
                <w:sz w:val="20"/>
                <w:szCs w:val="20"/>
              </w:rPr>
              <w:t>100</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6DCFFBB4" w14:textId="77777777" w:rsidR="00387142" w:rsidRPr="008B6A75" w:rsidRDefault="00387142" w:rsidP="00387142">
            <w:pPr>
              <w:jc w:val="right"/>
              <w:rPr>
                <w:sz w:val="20"/>
                <w:szCs w:val="20"/>
              </w:rPr>
            </w:pPr>
            <w:r w:rsidRPr="008B6A75">
              <w:rPr>
                <w:sz w:val="20"/>
                <w:szCs w:val="20"/>
              </w:rPr>
              <w:t>16 561 504,00</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5EF81410" w14:textId="77777777" w:rsidR="00387142" w:rsidRPr="008B6A75" w:rsidRDefault="00387142" w:rsidP="00387142">
            <w:pPr>
              <w:jc w:val="right"/>
              <w:rPr>
                <w:sz w:val="20"/>
                <w:szCs w:val="20"/>
              </w:rPr>
            </w:pPr>
            <w:r w:rsidRPr="008B6A75">
              <w:rPr>
                <w:sz w:val="20"/>
                <w:szCs w:val="20"/>
              </w:rPr>
              <w:t>16 561 500,00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6E268466" w14:textId="77777777" w:rsidR="00387142" w:rsidRPr="008B6A75" w:rsidRDefault="00387142" w:rsidP="00387142">
            <w:pPr>
              <w:jc w:val="right"/>
              <w:rPr>
                <w:sz w:val="20"/>
                <w:szCs w:val="20"/>
              </w:rPr>
            </w:pPr>
            <w:r w:rsidRPr="008B6A75">
              <w:rPr>
                <w:sz w:val="20"/>
                <w:szCs w:val="20"/>
              </w:rPr>
              <w:t>16 561 500,00</w:t>
            </w:r>
          </w:p>
        </w:tc>
        <w:tc>
          <w:tcPr>
            <w:tcW w:w="222" w:type="dxa"/>
            <w:vAlign w:val="center"/>
            <w:hideMark/>
          </w:tcPr>
          <w:p w14:paraId="56B22E0C" w14:textId="77777777" w:rsidR="00387142" w:rsidRPr="008B6A75" w:rsidRDefault="00387142" w:rsidP="00387142">
            <w:pPr>
              <w:rPr>
                <w:sz w:val="20"/>
                <w:szCs w:val="20"/>
              </w:rPr>
            </w:pPr>
          </w:p>
        </w:tc>
      </w:tr>
      <w:tr w:rsidR="00387142" w:rsidRPr="008B6A75" w14:paraId="17CF7D5F" w14:textId="77777777" w:rsidTr="00387142">
        <w:trPr>
          <w:trHeight w:val="585"/>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0B6867E5" w14:textId="77777777" w:rsidR="00387142" w:rsidRPr="008B6A75" w:rsidRDefault="00387142" w:rsidP="00387142">
            <w:pPr>
              <w:rPr>
                <w:sz w:val="20"/>
                <w:szCs w:val="20"/>
              </w:rPr>
            </w:pPr>
            <w:r w:rsidRPr="008B6A75">
              <w:rPr>
                <w:sz w:val="20"/>
                <w:szCs w:val="20"/>
              </w:rPr>
              <w:t>Расходы на выплаты персоналу казенных учреждений</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3F6664BA" w14:textId="77777777" w:rsidR="00387142" w:rsidRPr="008B6A75" w:rsidRDefault="00387142" w:rsidP="00387142">
            <w:pPr>
              <w:jc w:val="center"/>
              <w:rPr>
                <w:sz w:val="20"/>
                <w:szCs w:val="20"/>
              </w:rPr>
            </w:pPr>
            <w:r w:rsidRPr="008B6A75">
              <w:rPr>
                <w:sz w:val="20"/>
                <w:szCs w:val="20"/>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563317AC" w14:textId="77777777" w:rsidR="00387142" w:rsidRPr="008B6A75" w:rsidRDefault="00387142" w:rsidP="00387142">
            <w:pPr>
              <w:jc w:val="center"/>
              <w:rPr>
                <w:sz w:val="20"/>
                <w:szCs w:val="20"/>
              </w:rPr>
            </w:pPr>
            <w:r w:rsidRPr="008B6A75">
              <w:rPr>
                <w:sz w:val="20"/>
                <w:szCs w:val="20"/>
              </w:rPr>
              <w:t>07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20151A" w14:textId="77777777" w:rsidR="00387142" w:rsidRPr="008B6A75" w:rsidRDefault="00387142" w:rsidP="00387142">
            <w:pPr>
              <w:jc w:val="center"/>
              <w:rPr>
                <w:sz w:val="20"/>
                <w:szCs w:val="20"/>
              </w:rPr>
            </w:pPr>
            <w:r w:rsidRPr="008B6A75">
              <w:rPr>
                <w:sz w:val="20"/>
                <w:szCs w:val="20"/>
              </w:rPr>
              <w:t>02</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46D64456" w14:textId="77777777" w:rsidR="00387142" w:rsidRPr="008B6A75" w:rsidRDefault="00387142" w:rsidP="00387142">
            <w:pPr>
              <w:jc w:val="center"/>
              <w:rPr>
                <w:sz w:val="20"/>
                <w:szCs w:val="20"/>
              </w:rPr>
            </w:pPr>
            <w:r w:rsidRPr="008B6A75">
              <w:rPr>
                <w:sz w:val="20"/>
                <w:szCs w:val="20"/>
              </w:rPr>
              <w:t>07.1.00.53030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08726F" w14:textId="77777777" w:rsidR="00387142" w:rsidRPr="008B6A75" w:rsidRDefault="00387142" w:rsidP="00387142">
            <w:pPr>
              <w:jc w:val="center"/>
              <w:rPr>
                <w:sz w:val="20"/>
                <w:szCs w:val="20"/>
              </w:rPr>
            </w:pPr>
            <w:r w:rsidRPr="008B6A75">
              <w:rPr>
                <w:sz w:val="20"/>
                <w:szCs w:val="20"/>
              </w:rPr>
              <w:t>110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1ACD70" w14:textId="77777777" w:rsidR="00387142" w:rsidRPr="008B6A75" w:rsidRDefault="00387142" w:rsidP="00387142">
            <w:pPr>
              <w:jc w:val="right"/>
              <w:rPr>
                <w:sz w:val="20"/>
                <w:szCs w:val="20"/>
              </w:rPr>
            </w:pPr>
            <w:r w:rsidRPr="008B6A75">
              <w:rPr>
                <w:sz w:val="20"/>
                <w:szCs w:val="20"/>
              </w:rPr>
              <w:t>16 561 504,00</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2F48159C" w14:textId="77777777" w:rsidR="00387142" w:rsidRPr="008B6A75" w:rsidRDefault="00387142" w:rsidP="00387142">
            <w:pPr>
              <w:jc w:val="right"/>
              <w:rPr>
                <w:sz w:val="20"/>
                <w:szCs w:val="20"/>
              </w:rPr>
            </w:pPr>
            <w:r w:rsidRPr="008B6A75">
              <w:rPr>
                <w:sz w:val="20"/>
                <w:szCs w:val="20"/>
              </w:rPr>
              <w:t>16 561 500,00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71C5EE" w14:textId="77777777" w:rsidR="00387142" w:rsidRPr="008B6A75" w:rsidRDefault="00387142" w:rsidP="00387142">
            <w:pPr>
              <w:jc w:val="right"/>
              <w:rPr>
                <w:sz w:val="20"/>
                <w:szCs w:val="20"/>
              </w:rPr>
            </w:pPr>
            <w:r w:rsidRPr="008B6A75">
              <w:rPr>
                <w:sz w:val="20"/>
                <w:szCs w:val="20"/>
              </w:rPr>
              <w:t>16 561 500,00</w:t>
            </w:r>
          </w:p>
        </w:tc>
        <w:tc>
          <w:tcPr>
            <w:tcW w:w="222" w:type="dxa"/>
            <w:vAlign w:val="center"/>
            <w:hideMark/>
          </w:tcPr>
          <w:p w14:paraId="56C32782" w14:textId="77777777" w:rsidR="00387142" w:rsidRPr="008B6A75" w:rsidRDefault="00387142" w:rsidP="00387142">
            <w:pPr>
              <w:rPr>
                <w:sz w:val="20"/>
                <w:szCs w:val="20"/>
              </w:rPr>
            </w:pPr>
          </w:p>
        </w:tc>
      </w:tr>
      <w:tr w:rsidR="00387142" w:rsidRPr="008B6A75" w14:paraId="2842F0C2" w14:textId="77777777" w:rsidTr="00387142">
        <w:trPr>
          <w:trHeight w:val="870"/>
        </w:trPr>
        <w:tc>
          <w:tcPr>
            <w:tcW w:w="3021" w:type="dxa"/>
            <w:tcBorders>
              <w:top w:val="nil"/>
              <w:left w:val="single" w:sz="4" w:space="0" w:color="auto"/>
              <w:bottom w:val="nil"/>
              <w:right w:val="nil"/>
            </w:tcBorders>
            <w:shd w:val="clear" w:color="auto" w:fill="auto"/>
            <w:vAlign w:val="center"/>
            <w:hideMark/>
          </w:tcPr>
          <w:p w14:paraId="0E096282" w14:textId="77777777" w:rsidR="00387142" w:rsidRPr="008B6A75" w:rsidRDefault="00387142" w:rsidP="00387142">
            <w:pPr>
              <w:rPr>
                <w:sz w:val="20"/>
                <w:szCs w:val="20"/>
              </w:rPr>
            </w:pPr>
            <w:r w:rsidRPr="008B6A75">
              <w:rPr>
                <w:sz w:val="20"/>
                <w:szCs w:val="20"/>
              </w:rPr>
              <w:t>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right w:val="nil"/>
            </w:tcBorders>
            <w:shd w:val="clear" w:color="auto" w:fill="auto"/>
            <w:noWrap/>
            <w:vAlign w:val="center"/>
            <w:hideMark/>
          </w:tcPr>
          <w:p w14:paraId="1914C329" w14:textId="77777777" w:rsidR="00387142" w:rsidRPr="008B6A75" w:rsidRDefault="00387142" w:rsidP="00387142">
            <w:pPr>
              <w:jc w:val="center"/>
              <w:rPr>
                <w:sz w:val="20"/>
                <w:szCs w:val="20"/>
              </w:rPr>
            </w:pPr>
            <w:r w:rsidRPr="008B6A75">
              <w:rPr>
                <w:sz w:val="20"/>
                <w:szCs w:val="20"/>
              </w:rPr>
              <w:t>444</w:t>
            </w:r>
          </w:p>
        </w:tc>
        <w:tc>
          <w:tcPr>
            <w:tcW w:w="709" w:type="dxa"/>
            <w:tcBorders>
              <w:top w:val="nil"/>
              <w:left w:val="single" w:sz="4" w:space="0" w:color="auto"/>
              <w:bottom w:val="nil"/>
              <w:right w:val="nil"/>
            </w:tcBorders>
            <w:shd w:val="clear" w:color="auto" w:fill="auto"/>
            <w:noWrap/>
            <w:vAlign w:val="center"/>
            <w:hideMark/>
          </w:tcPr>
          <w:p w14:paraId="4C8FBCA2" w14:textId="77777777" w:rsidR="00387142" w:rsidRPr="008B6A75" w:rsidRDefault="00387142" w:rsidP="00387142">
            <w:pPr>
              <w:jc w:val="center"/>
              <w:rPr>
                <w:sz w:val="20"/>
                <w:szCs w:val="20"/>
              </w:rPr>
            </w:pPr>
            <w:r w:rsidRPr="008B6A75">
              <w:rPr>
                <w:sz w:val="20"/>
                <w:szCs w:val="20"/>
              </w:rPr>
              <w:t>07</w:t>
            </w:r>
          </w:p>
        </w:tc>
        <w:tc>
          <w:tcPr>
            <w:tcW w:w="709" w:type="dxa"/>
            <w:tcBorders>
              <w:top w:val="nil"/>
              <w:left w:val="single" w:sz="4" w:space="0" w:color="auto"/>
              <w:bottom w:val="nil"/>
              <w:right w:val="single" w:sz="4" w:space="0" w:color="auto"/>
            </w:tcBorders>
            <w:shd w:val="clear" w:color="auto" w:fill="auto"/>
            <w:noWrap/>
            <w:vAlign w:val="center"/>
            <w:hideMark/>
          </w:tcPr>
          <w:p w14:paraId="41446A4B" w14:textId="77777777" w:rsidR="00387142" w:rsidRPr="008B6A75" w:rsidRDefault="00387142" w:rsidP="00387142">
            <w:pPr>
              <w:jc w:val="center"/>
              <w:rPr>
                <w:sz w:val="20"/>
                <w:szCs w:val="20"/>
              </w:rPr>
            </w:pPr>
            <w:r w:rsidRPr="008B6A75">
              <w:rPr>
                <w:sz w:val="20"/>
                <w:szCs w:val="20"/>
              </w:rPr>
              <w:t>02</w:t>
            </w:r>
          </w:p>
        </w:tc>
        <w:tc>
          <w:tcPr>
            <w:tcW w:w="1411" w:type="dxa"/>
            <w:tcBorders>
              <w:top w:val="nil"/>
              <w:left w:val="single" w:sz="4" w:space="0" w:color="auto"/>
              <w:bottom w:val="nil"/>
              <w:right w:val="nil"/>
            </w:tcBorders>
            <w:shd w:val="clear" w:color="auto" w:fill="auto"/>
            <w:noWrap/>
            <w:vAlign w:val="center"/>
            <w:hideMark/>
          </w:tcPr>
          <w:p w14:paraId="78AE981C" w14:textId="77777777" w:rsidR="00387142" w:rsidRPr="008B6A75" w:rsidRDefault="00387142" w:rsidP="00387142">
            <w:pPr>
              <w:jc w:val="center"/>
              <w:rPr>
                <w:sz w:val="20"/>
                <w:szCs w:val="20"/>
              </w:rPr>
            </w:pPr>
            <w:r w:rsidRPr="008B6A75">
              <w:rPr>
                <w:sz w:val="20"/>
                <w:szCs w:val="20"/>
              </w:rPr>
              <w:t>07.1.00.53030</w:t>
            </w:r>
          </w:p>
        </w:tc>
        <w:tc>
          <w:tcPr>
            <w:tcW w:w="955" w:type="dxa"/>
            <w:tcBorders>
              <w:top w:val="nil"/>
              <w:left w:val="single" w:sz="4" w:space="0" w:color="auto"/>
              <w:bottom w:val="nil"/>
              <w:right w:val="single" w:sz="4" w:space="0" w:color="auto"/>
            </w:tcBorders>
            <w:shd w:val="clear" w:color="auto" w:fill="auto"/>
            <w:noWrap/>
            <w:vAlign w:val="center"/>
            <w:hideMark/>
          </w:tcPr>
          <w:p w14:paraId="5D0E5458" w14:textId="77777777" w:rsidR="00387142" w:rsidRPr="008B6A75" w:rsidRDefault="00387142" w:rsidP="00387142">
            <w:pPr>
              <w:jc w:val="center"/>
              <w:rPr>
                <w:sz w:val="20"/>
                <w:szCs w:val="20"/>
              </w:rPr>
            </w:pPr>
            <w:r w:rsidRPr="008B6A75">
              <w:rPr>
                <w:sz w:val="20"/>
                <w:szCs w:val="20"/>
              </w:rPr>
              <w:t>600</w:t>
            </w:r>
          </w:p>
        </w:tc>
        <w:tc>
          <w:tcPr>
            <w:tcW w:w="992" w:type="dxa"/>
            <w:tcBorders>
              <w:top w:val="nil"/>
              <w:left w:val="single" w:sz="4" w:space="0" w:color="auto"/>
              <w:bottom w:val="nil"/>
              <w:right w:val="single" w:sz="4" w:space="0" w:color="auto"/>
            </w:tcBorders>
            <w:shd w:val="clear" w:color="auto" w:fill="auto"/>
            <w:noWrap/>
            <w:vAlign w:val="center"/>
            <w:hideMark/>
          </w:tcPr>
          <w:p w14:paraId="09C69CA6" w14:textId="77777777" w:rsidR="00387142" w:rsidRPr="008B6A75" w:rsidRDefault="00387142" w:rsidP="00387142">
            <w:pPr>
              <w:jc w:val="right"/>
              <w:rPr>
                <w:sz w:val="20"/>
                <w:szCs w:val="20"/>
              </w:rPr>
            </w:pPr>
            <w:r w:rsidRPr="008B6A75">
              <w:rPr>
                <w:sz w:val="20"/>
                <w:szCs w:val="20"/>
              </w:rPr>
              <w:t>17 248 896,00</w:t>
            </w:r>
          </w:p>
        </w:tc>
        <w:tc>
          <w:tcPr>
            <w:tcW w:w="992" w:type="dxa"/>
            <w:gridSpan w:val="2"/>
            <w:tcBorders>
              <w:top w:val="nil"/>
              <w:left w:val="single" w:sz="4" w:space="0" w:color="auto"/>
              <w:bottom w:val="nil"/>
              <w:right w:val="nil"/>
            </w:tcBorders>
            <w:shd w:val="clear" w:color="auto" w:fill="auto"/>
            <w:noWrap/>
            <w:vAlign w:val="center"/>
            <w:hideMark/>
          </w:tcPr>
          <w:p w14:paraId="23743644" w14:textId="77777777" w:rsidR="00387142" w:rsidRPr="008B6A75" w:rsidRDefault="00387142" w:rsidP="00387142">
            <w:pPr>
              <w:jc w:val="right"/>
              <w:rPr>
                <w:sz w:val="20"/>
                <w:szCs w:val="20"/>
              </w:rPr>
            </w:pPr>
            <w:r w:rsidRPr="008B6A75">
              <w:rPr>
                <w:sz w:val="20"/>
                <w:szCs w:val="20"/>
              </w:rPr>
              <w:t>17 186 300,00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3C529DC1" w14:textId="77777777" w:rsidR="00387142" w:rsidRPr="008B6A75" w:rsidRDefault="00387142" w:rsidP="00387142">
            <w:pPr>
              <w:jc w:val="right"/>
              <w:rPr>
                <w:sz w:val="20"/>
                <w:szCs w:val="20"/>
              </w:rPr>
            </w:pPr>
            <w:r w:rsidRPr="008B6A75">
              <w:rPr>
                <w:sz w:val="20"/>
                <w:szCs w:val="20"/>
              </w:rPr>
              <w:t>17 186 300,00</w:t>
            </w:r>
          </w:p>
        </w:tc>
        <w:tc>
          <w:tcPr>
            <w:tcW w:w="222" w:type="dxa"/>
            <w:vAlign w:val="center"/>
            <w:hideMark/>
          </w:tcPr>
          <w:p w14:paraId="487AC0CA" w14:textId="77777777" w:rsidR="00387142" w:rsidRPr="008B6A75" w:rsidRDefault="00387142" w:rsidP="00387142">
            <w:pPr>
              <w:rPr>
                <w:sz w:val="20"/>
                <w:szCs w:val="20"/>
              </w:rPr>
            </w:pPr>
          </w:p>
        </w:tc>
      </w:tr>
      <w:tr w:rsidR="00387142" w:rsidRPr="008B6A75" w14:paraId="67EB95D4" w14:textId="77777777" w:rsidTr="00387142">
        <w:trPr>
          <w:trHeight w:val="300"/>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2B1B011E" w14:textId="77777777" w:rsidR="00387142" w:rsidRPr="008B6A75" w:rsidRDefault="00387142" w:rsidP="00387142">
            <w:pPr>
              <w:rPr>
                <w:sz w:val="20"/>
                <w:szCs w:val="20"/>
              </w:rPr>
            </w:pPr>
            <w:r w:rsidRPr="008B6A75">
              <w:rPr>
                <w:sz w:val="20"/>
                <w:szCs w:val="20"/>
              </w:rPr>
              <w:t>Субсидии бюджетным учреждениям</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4606B00B" w14:textId="77777777" w:rsidR="00387142" w:rsidRPr="008B6A75" w:rsidRDefault="00387142" w:rsidP="00387142">
            <w:pPr>
              <w:jc w:val="center"/>
              <w:rPr>
                <w:sz w:val="20"/>
                <w:szCs w:val="20"/>
              </w:rPr>
            </w:pPr>
            <w:r w:rsidRPr="008B6A75">
              <w:rPr>
                <w:sz w:val="20"/>
                <w:szCs w:val="20"/>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099C6F2A" w14:textId="77777777" w:rsidR="00387142" w:rsidRPr="008B6A75" w:rsidRDefault="00387142" w:rsidP="00387142">
            <w:pPr>
              <w:jc w:val="center"/>
              <w:rPr>
                <w:sz w:val="20"/>
                <w:szCs w:val="20"/>
              </w:rPr>
            </w:pPr>
            <w:r w:rsidRPr="008B6A75">
              <w:rPr>
                <w:sz w:val="20"/>
                <w:szCs w:val="20"/>
              </w:rPr>
              <w:t>07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615794" w14:textId="77777777" w:rsidR="00387142" w:rsidRPr="008B6A75" w:rsidRDefault="00387142" w:rsidP="00387142">
            <w:pPr>
              <w:jc w:val="center"/>
              <w:rPr>
                <w:sz w:val="20"/>
                <w:szCs w:val="20"/>
              </w:rPr>
            </w:pPr>
            <w:r w:rsidRPr="008B6A75">
              <w:rPr>
                <w:sz w:val="20"/>
                <w:szCs w:val="20"/>
              </w:rPr>
              <w:t>02</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1E69A0E2" w14:textId="77777777" w:rsidR="00387142" w:rsidRPr="008B6A75" w:rsidRDefault="00387142" w:rsidP="00387142">
            <w:pPr>
              <w:jc w:val="center"/>
              <w:rPr>
                <w:sz w:val="20"/>
                <w:szCs w:val="20"/>
              </w:rPr>
            </w:pPr>
            <w:r w:rsidRPr="008B6A75">
              <w:rPr>
                <w:sz w:val="20"/>
                <w:szCs w:val="20"/>
              </w:rPr>
              <w:t>07.1.00.53030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4DC8F4" w14:textId="77777777" w:rsidR="00387142" w:rsidRPr="008B6A75" w:rsidRDefault="00387142" w:rsidP="00387142">
            <w:pPr>
              <w:jc w:val="center"/>
              <w:rPr>
                <w:sz w:val="20"/>
                <w:szCs w:val="20"/>
              </w:rPr>
            </w:pPr>
            <w:r w:rsidRPr="008B6A75">
              <w:rPr>
                <w:sz w:val="20"/>
                <w:szCs w:val="20"/>
              </w:rPr>
              <w:t>610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232417" w14:textId="77777777" w:rsidR="00387142" w:rsidRPr="008B6A75" w:rsidRDefault="00387142" w:rsidP="00387142">
            <w:pPr>
              <w:jc w:val="right"/>
              <w:rPr>
                <w:sz w:val="20"/>
                <w:szCs w:val="20"/>
              </w:rPr>
            </w:pPr>
            <w:r w:rsidRPr="008B6A75">
              <w:rPr>
                <w:sz w:val="20"/>
                <w:szCs w:val="20"/>
              </w:rPr>
              <w:t>17 248 896,00</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732C4BF6" w14:textId="77777777" w:rsidR="00387142" w:rsidRPr="008B6A75" w:rsidRDefault="00387142" w:rsidP="00387142">
            <w:pPr>
              <w:jc w:val="right"/>
              <w:rPr>
                <w:sz w:val="20"/>
                <w:szCs w:val="20"/>
              </w:rPr>
            </w:pPr>
            <w:r w:rsidRPr="008B6A75">
              <w:rPr>
                <w:sz w:val="20"/>
                <w:szCs w:val="20"/>
              </w:rPr>
              <w:t>17 186 300,00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6B12C2" w14:textId="77777777" w:rsidR="00387142" w:rsidRPr="008B6A75" w:rsidRDefault="00387142" w:rsidP="00387142">
            <w:pPr>
              <w:jc w:val="right"/>
              <w:rPr>
                <w:sz w:val="20"/>
                <w:szCs w:val="20"/>
              </w:rPr>
            </w:pPr>
            <w:r w:rsidRPr="008B6A75">
              <w:rPr>
                <w:sz w:val="20"/>
                <w:szCs w:val="20"/>
              </w:rPr>
              <w:t>17 186 300,00</w:t>
            </w:r>
          </w:p>
        </w:tc>
        <w:tc>
          <w:tcPr>
            <w:tcW w:w="222" w:type="dxa"/>
            <w:vAlign w:val="center"/>
            <w:hideMark/>
          </w:tcPr>
          <w:p w14:paraId="77BB4FA6" w14:textId="77777777" w:rsidR="00387142" w:rsidRPr="008B6A75" w:rsidRDefault="00387142" w:rsidP="00387142">
            <w:pPr>
              <w:rPr>
                <w:sz w:val="20"/>
                <w:szCs w:val="20"/>
              </w:rPr>
            </w:pPr>
          </w:p>
        </w:tc>
      </w:tr>
      <w:tr w:rsidR="00387142" w:rsidRPr="008B6A75" w14:paraId="7FDFD94C" w14:textId="77777777" w:rsidTr="00387142">
        <w:trPr>
          <w:trHeight w:val="1155"/>
        </w:trPr>
        <w:tc>
          <w:tcPr>
            <w:tcW w:w="3021" w:type="dxa"/>
            <w:tcBorders>
              <w:top w:val="nil"/>
              <w:left w:val="single" w:sz="4" w:space="0" w:color="auto"/>
              <w:bottom w:val="nil"/>
              <w:right w:val="nil"/>
            </w:tcBorders>
            <w:shd w:val="clear" w:color="auto" w:fill="auto"/>
            <w:vAlign w:val="center"/>
            <w:hideMark/>
          </w:tcPr>
          <w:p w14:paraId="53DFD00A" w14:textId="77777777" w:rsidR="00387142" w:rsidRPr="008B6A75" w:rsidRDefault="00387142" w:rsidP="00387142">
            <w:pPr>
              <w:rPr>
                <w:bCs/>
                <w:sz w:val="20"/>
                <w:szCs w:val="20"/>
              </w:rPr>
            </w:pPr>
            <w:r w:rsidRPr="008B6A75">
              <w:rPr>
                <w:bCs/>
                <w:sz w:val="20"/>
                <w:szCs w:val="20"/>
              </w:rPr>
              <w:t>Реализация основных общеобразовательных программ дошкольного образования в муниципальных образовательных организациях</w:t>
            </w:r>
          </w:p>
        </w:tc>
        <w:tc>
          <w:tcPr>
            <w:tcW w:w="850" w:type="dxa"/>
            <w:tcBorders>
              <w:top w:val="nil"/>
              <w:left w:val="single" w:sz="4" w:space="0" w:color="auto"/>
              <w:bottom w:val="nil"/>
              <w:right w:val="nil"/>
            </w:tcBorders>
            <w:shd w:val="clear" w:color="auto" w:fill="auto"/>
            <w:noWrap/>
            <w:vAlign w:val="center"/>
            <w:hideMark/>
          </w:tcPr>
          <w:p w14:paraId="4C3CEA4C" w14:textId="77777777" w:rsidR="00387142" w:rsidRPr="008B6A75" w:rsidRDefault="00387142" w:rsidP="00387142">
            <w:pPr>
              <w:jc w:val="center"/>
              <w:rPr>
                <w:bCs/>
                <w:sz w:val="20"/>
                <w:szCs w:val="20"/>
              </w:rPr>
            </w:pPr>
            <w:r w:rsidRPr="008B6A75">
              <w:rPr>
                <w:bCs/>
                <w:sz w:val="20"/>
                <w:szCs w:val="20"/>
              </w:rPr>
              <w:t>444</w:t>
            </w:r>
          </w:p>
        </w:tc>
        <w:tc>
          <w:tcPr>
            <w:tcW w:w="709" w:type="dxa"/>
            <w:tcBorders>
              <w:top w:val="nil"/>
              <w:left w:val="single" w:sz="4" w:space="0" w:color="auto"/>
              <w:bottom w:val="nil"/>
              <w:right w:val="nil"/>
            </w:tcBorders>
            <w:shd w:val="clear" w:color="auto" w:fill="auto"/>
            <w:noWrap/>
            <w:vAlign w:val="center"/>
            <w:hideMark/>
          </w:tcPr>
          <w:p w14:paraId="57F53735" w14:textId="77777777" w:rsidR="00387142" w:rsidRPr="008B6A75" w:rsidRDefault="00387142" w:rsidP="00387142">
            <w:pPr>
              <w:jc w:val="center"/>
              <w:rPr>
                <w:bCs/>
                <w:sz w:val="20"/>
                <w:szCs w:val="20"/>
              </w:rPr>
            </w:pPr>
            <w:r w:rsidRPr="008B6A75">
              <w:rPr>
                <w:bCs/>
                <w:sz w:val="20"/>
                <w:szCs w:val="20"/>
              </w:rPr>
              <w:t>07</w:t>
            </w:r>
          </w:p>
        </w:tc>
        <w:tc>
          <w:tcPr>
            <w:tcW w:w="709" w:type="dxa"/>
            <w:tcBorders>
              <w:top w:val="nil"/>
              <w:left w:val="single" w:sz="4" w:space="0" w:color="auto"/>
              <w:bottom w:val="nil"/>
              <w:right w:val="single" w:sz="4" w:space="0" w:color="auto"/>
            </w:tcBorders>
            <w:shd w:val="clear" w:color="auto" w:fill="auto"/>
            <w:noWrap/>
            <w:vAlign w:val="center"/>
            <w:hideMark/>
          </w:tcPr>
          <w:p w14:paraId="7553BEAC" w14:textId="77777777" w:rsidR="00387142" w:rsidRPr="008B6A75" w:rsidRDefault="00387142" w:rsidP="00387142">
            <w:pPr>
              <w:jc w:val="center"/>
              <w:rPr>
                <w:bCs/>
                <w:sz w:val="20"/>
                <w:szCs w:val="20"/>
              </w:rPr>
            </w:pPr>
            <w:r w:rsidRPr="008B6A75">
              <w:rPr>
                <w:bCs/>
                <w:sz w:val="20"/>
                <w:szCs w:val="20"/>
              </w:rPr>
              <w:t>02</w:t>
            </w:r>
          </w:p>
        </w:tc>
        <w:tc>
          <w:tcPr>
            <w:tcW w:w="1411" w:type="dxa"/>
            <w:tcBorders>
              <w:top w:val="nil"/>
              <w:left w:val="single" w:sz="4" w:space="0" w:color="auto"/>
              <w:bottom w:val="nil"/>
              <w:right w:val="nil"/>
            </w:tcBorders>
            <w:shd w:val="clear" w:color="auto" w:fill="auto"/>
            <w:noWrap/>
            <w:vAlign w:val="center"/>
            <w:hideMark/>
          </w:tcPr>
          <w:p w14:paraId="28C6C532" w14:textId="77777777" w:rsidR="00387142" w:rsidRPr="008B6A75" w:rsidRDefault="00387142" w:rsidP="00387142">
            <w:pPr>
              <w:jc w:val="center"/>
              <w:rPr>
                <w:bCs/>
                <w:sz w:val="20"/>
                <w:szCs w:val="20"/>
              </w:rPr>
            </w:pPr>
            <w:r w:rsidRPr="008B6A75">
              <w:rPr>
                <w:bCs/>
                <w:sz w:val="20"/>
                <w:szCs w:val="20"/>
              </w:rPr>
              <w:t>07.1.00.70110</w:t>
            </w:r>
          </w:p>
        </w:tc>
        <w:tc>
          <w:tcPr>
            <w:tcW w:w="955" w:type="dxa"/>
            <w:tcBorders>
              <w:top w:val="nil"/>
              <w:left w:val="single" w:sz="4" w:space="0" w:color="auto"/>
              <w:bottom w:val="nil"/>
              <w:right w:val="single" w:sz="4" w:space="0" w:color="auto"/>
            </w:tcBorders>
            <w:shd w:val="clear" w:color="auto" w:fill="auto"/>
            <w:noWrap/>
            <w:vAlign w:val="center"/>
            <w:hideMark/>
          </w:tcPr>
          <w:p w14:paraId="6C87DA9D"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nil"/>
              <w:right w:val="single" w:sz="4" w:space="0" w:color="auto"/>
            </w:tcBorders>
            <w:shd w:val="clear" w:color="auto" w:fill="auto"/>
            <w:noWrap/>
            <w:vAlign w:val="center"/>
            <w:hideMark/>
          </w:tcPr>
          <w:p w14:paraId="32DAB5DE" w14:textId="77777777" w:rsidR="00387142" w:rsidRPr="008B6A75" w:rsidRDefault="00387142" w:rsidP="00387142">
            <w:pPr>
              <w:jc w:val="right"/>
              <w:rPr>
                <w:bCs/>
                <w:sz w:val="20"/>
                <w:szCs w:val="20"/>
              </w:rPr>
            </w:pPr>
            <w:r w:rsidRPr="008B6A75">
              <w:rPr>
                <w:bCs/>
                <w:sz w:val="20"/>
                <w:szCs w:val="20"/>
              </w:rPr>
              <w:t>31 308 000,00</w:t>
            </w:r>
          </w:p>
        </w:tc>
        <w:tc>
          <w:tcPr>
            <w:tcW w:w="992" w:type="dxa"/>
            <w:gridSpan w:val="2"/>
            <w:tcBorders>
              <w:top w:val="nil"/>
              <w:left w:val="single" w:sz="4" w:space="0" w:color="auto"/>
              <w:bottom w:val="nil"/>
              <w:right w:val="nil"/>
            </w:tcBorders>
            <w:shd w:val="clear" w:color="auto" w:fill="auto"/>
            <w:noWrap/>
            <w:vAlign w:val="center"/>
            <w:hideMark/>
          </w:tcPr>
          <w:p w14:paraId="0B7FD0CE" w14:textId="77777777" w:rsidR="00387142" w:rsidRPr="008B6A75" w:rsidRDefault="00387142" w:rsidP="00387142">
            <w:pPr>
              <w:jc w:val="right"/>
              <w:rPr>
                <w:bCs/>
                <w:sz w:val="20"/>
                <w:szCs w:val="20"/>
              </w:rPr>
            </w:pPr>
            <w:r w:rsidRPr="008B6A75">
              <w:rPr>
                <w:bCs/>
                <w:sz w:val="20"/>
                <w:szCs w:val="20"/>
              </w:rPr>
              <w:t>29 979 094,80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417A296E" w14:textId="77777777" w:rsidR="00387142" w:rsidRPr="008B6A75" w:rsidRDefault="00387142" w:rsidP="00387142">
            <w:pPr>
              <w:jc w:val="right"/>
              <w:rPr>
                <w:bCs/>
                <w:sz w:val="20"/>
                <w:szCs w:val="20"/>
              </w:rPr>
            </w:pPr>
            <w:r w:rsidRPr="008B6A75">
              <w:rPr>
                <w:bCs/>
                <w:sz w:val="20"/>
                <w:szCs w:val="20"/>
              </w:rPr>
              <w:t>31 846 297,22</w:t>
            </w:r>
          </w:p>
        </w:tc>
        <w:tc>
          <w:tcPr>
            <w:tcW w:w="222" w:type="dxa"/>
            <w:vAlign w:val="center"/>
            <w:hideMark/>
          </w:tcPr>
          <w:p w14:paraId="06943C74" w14:textId="77777777" w:rsidR="00387142" w:rsidRPr="008B6A75" w:rsidRDefault="00387142" w:rsidP="00387142">
            <w:pPr>
              <w:rPr>
                <w:sz w:val="20"/>
                <w:szCs w:val="20"/>
              </w:rPr>
            </w:pPr>
          </w:p>
        </w:tc>
      </w:tr>
      <w:tr w:rsidR="00387142" w:rsidRPr="008B6A75" w14:paraId="4E211372" w14:textId="77777777" w:rsidTr="00387142">
        <w:trPr>
          <w:trHeight w:val="1440"/>
        </w:trPr>
        <w:tc>
          <w:tcPr>
            <w:tcW w:w="3021" w:type="dxa"/>
            <w:tcBorders>
              <w:top w:val="single" w:sz="4" w:space="0" w:color="auto"/>
              <w:left w:val="single" w:sz="4" w:space="0" w:color="auto"/>
              <w:bottom w:val="nil"/>
              <w:right w:val="nil"/>
            </w:tcBorders>
            <w:shd w:val="clear" w:color="auto" w:fill="auto"/>
            <w:vAlign w:val="center"/>
            <w:hideMark/>
          </w:tcPr>
          <w:p w14:paraId="49A02A6D" w14:textId="77777777" w:rsidR="00387142" w:rsidRPr="008B6A75" w:rsidRDefault="00387142" w:rsidP="00387142">
            <w:pPr>
              <w:rPr>
                <w:sz w:val="20"/>
                <w:szCs w:val="20"/>
              </w:rPr>
            </w:pPr>
            <w:r w:rsidRPr="008B6A7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nil"/>
              <w:right w:val="nil"/>
            </w:tcBorders>
            <w:shd w:val="clear" w:color="auto" w:fill="auto"/>
            <w:noWrap/>
            <w:vAlign w:val="center"/>
            <w:hideMark/>
          </w:tcPr>
          <w:p w14:paraId="20886E24" w14:textId="77777777" w:rsidR="00387142" w:rsidRPr="008B6A75" w:rsidRDefault="00387142" w:rsidP="00387142">
            <w:pPr>
              <w:jc w:val="center"/>
              <w:rPr>
                <w:sz w:val="20"/>
                <w:szCs w:val="20"/>
              </w:rPr>
            </w:pPr>
            <w:r w:rsidRPr="008B6A75">
              <w:rPr>
                <w:sz w:val="20"/>
                <w:szCs w:val="20"/>
              </w:rPr>
              <w:t>444</w:t>
            </w:r>
          </w:p>
        </w:tc>
        <w:tc>
          <w:tcPr>
            <w:tcW w:w="709" w:type="dxa"/>
            <w:tcBorders>
              <w:top w:val="single" w:sz="4" w:space="0" w:color="auto"/>
              <w:left w:val="single" w:sz="4" w:space="0" w:color="auto"/>
              <w:bottom w:val="nil"/>
              <w:right w:val="nil"/>
            </w:tcBorders>
            <w:shd w:val="clear" w:color="auto" w:fill="auto"/>
            <w:noWrap/>
            <w:vAlign w:val="center"/>
            <w:hideMark/>
          </w:tcPr>
          <w:p w14:paraId="2CF62D0D" w14:textId="77777777" w:rsidR="00387142" w:rsidRPr="008B6A75" w:rsidRDefault="00387142" w:rsidP="00387142">
            <w:pPr>
              <w:jc w:val="center"/>
              <w:rPr>
                <w:sz w:val="20"/>
                <w:szCs w:val="20"/>
              </w:rPr>
            </w:pPr>
            <w:r w:rsidRPr="008B6A75">
              <w:rPr>
                <w:sz w:val="20"/>
                <w:szCs w:val="20"/>
              </w:rPr>
              <w:t>07</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7B2B1A9E" w14:textId="77777777" w:rsidR="00387142" w:rsidRPr="008B6A75" w:rsidRDefault="00387142" w:rsidP="00387142">
            <w:pPr>
              <w:jc w:val="center"/>
              <w:rPr>
                <w:sz w:val="20"/>
                <w:szCs w:val="20"/>
              </w:rPr>
            </w:pPr>
            <w:r w:rsidRPr="008B6A75">
              <w:rPr>
                <w:sz w:val="20"/>
                <w:szCs w:val="20"/>
              </w:rPr>
              <w:t>02</w:t>
            </w:r>
          </w:p>
        </w:tc>
        <w:tc>
          <w:tcPr>
            <w:tcW w:w="1411" w:type="dxa"/>
            <w:tcBorders>
              <w:top w:val="single" w:sz="4" w:space="0" w:color="auto"/>
              <w:left w:val="single" w:sz="4" w:space="0" w:color="auto"/>
              <w:bottom w:val="nil"/>
              <w:right w:val="nil"/>
            </w:tcBorders>
            <w:shd w:val="clear" w:color="auto" w:fill="auto"/>
            <w:noWrap/>
            <w:vAlign w:val="center"/>
            <w:hideMark/>
          </w:tcPr>
          <w:p w14:paraId="3FA929DE" w14:textId="77777777" w:rsidR="00387142" w:rsidRPr="008B6A75" w:rsidRDefault="00387142" w:rsidP="00387142">
            <w:pPr>
              <w:jc w:val="center"/>
              <w:rPr>
                <w:sz w:val="20"/>
                <w:szCs w:val="20"/>
              </w:rPr>
            </w:pPr>
            <w:r w:rsidRPr="008B6A75">
              <w:rPr>
                <w:sz w:val="20"/>
                <w:szCs w:val="20"/>
              </w:rPr>
              <w:t>07.1.00.70110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57B7F6E6" w14:textId="77777777" w:rsidR="00387142" w:rsidRPr="008B6A75" w:rsidRDefault="00387142" w:rsidP="00387142">
            <w:pPr>
              <w:jc w:val="center"/>
              <w:rPr>
                <w:sz w:val="20"/>
                <w:szCs w:val="20"/>
              </w:rPr>
            </w:pPr>
            <w:r w:rsidRPr="008B6A75">
              <w:rPr>
                <w:sz w:val="20"/>
                <w:szCs w:val="20"/>
              </w:rPr>
              <w:t>100</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4787B9CF" w14:textId="77777777" w:rsidR="00387142" w:rsidRPr="008B6A75" w:rsidRDefault="00387142" w:rsidP="00387142">
            <w:pPr>
              <w:jc w:val="right"/>
              <w:rPr>
                <w:sz w:val="20"/>
                <w:szCs w:val="20"/>
              </w:rPr>
            </w:pPr>
            <w:r w:rsidRPr="008B6A75">
              <w:rPr>
                <w:sz w:val="20"/>
                <w:szCs w:val="20"/>
              </w:rPr>
              <w:t>28 449 400,00</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3CF01563" w14:textId="77777777" w:rsidR="00387142" w:rsidRPr="008B6A75" w:rsidRDefault="00387142" w:rsidP="00387142">
            <w:pPr>
              <w:jc w:val="right"/>
              <w:rPr>
                <w:sz w:val="20"/>
                <w:szCs w:val="20"/>
              </w:rPr>
            </w:pPr>
            <w:r w:rsidRPr="008B6A75">
              <w:rPr>
                <w:sz w:val="20"/>
                <w:szCs w:val="20"/>
              </w:rPr>
              <w:t>27 517 702,40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617152FA" w14:textId="77777777" w:rsidR="00387142" w:rsidRPr="008B6A75" w:rsidRDefault="00387142" w:rsidP="00387142">
            <w:pPr>
              <w:jc w:val="right"/>
              <w:rPr>
                <w:sz w:val="20"/>
                <w:szCs w:val="20"/>
              </w:rPr>
            </w:pPr>
            <w:r w:rsidRPr="008B6A75">
              <w:rPr>
                <w:sz w:val="20"/>
                <w:szCs w:val="20"/>
              </w:rPr>
              <w:t>29 247 486,60</w:t>
            </w:r>
          </w:p>
        </w:tc>
        <w:tc>
          <w:tcPr>
            <w:tcW w:w="222" w:type="dxa"/>
            <w:vAlign w:val="center"/>
            <w:hideMark/>
          </w:tcPr>
          <w:p w14:paraId="53891CC2" w14:textId="77777777" w:rsidR="00387142" w:rsidRPr="008B6A75" w:rsidRDefault="00387142" w:rsidP="00387142">
            <w:pPr>
              <w:rPr>
                <w:sz w:val="20"/>
                <w:szCs w:val="20"/>
              </w:rPr>
            </w:pPr>
          </w:p>
        </w:tc>
      </w:tr>
      <w:tr w:rsidR="00387142" w:rsidRPr="008B6A75" w14:paraId="479C646F" w14:textId="77777777" w:rsidTr="00387142">
        <w:trPr>
          <w:trHeight w:val="585"/>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65F3D580" w14:textId="77777777" w:rsidR="00387142" w:rsidRPr="008B6A75" w:rsidRDefault="00387142" w:rsidP="00387142">
            <w:pPr>
              <w:rPr>
                <w:sz w:val="20"/>
                <w:szCs w:val="20"/>
              </w:rPr>
            </w:pPr>
            <w:r w:rsidRPr="008B6A75">
              <w:rPr>
                <w:sz w:val="20"/>
                <w:szCs w:val="20"/>
              </w:rPr>
              <w:t>Расходы на выплаты персоналу казенных учреждений</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56528E94" w14:textId="77777777" w:rsidR="00387142" w:rsidRPr="008B6A75" w:rsidRDefault="00387142" w:rsidP="00387142">
            <w:pPr>
              <w:jc w:val="center"/>
              <w:rPr>
                <w:sz w:val="20"/>
                <w:szCs w:val="20"/>
              </w:rPr>
            </w:pPr>
            <w:r w:rsidRPr="008B6A75">
              <w:rPr>
                <w:sz w:val="20"/>
                <w:szCs w:val="20"/>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3834A001" w14:textId="77777777" w:rsidR="00387142" w:rsidRPr="008B6A75" w:rsidRDefault="00387142" w:rsidP="00387142">
            <w:pPr>
              <w:jc w:val="center"/>
              <w:rPr>
                <w:sz w:val="20"/>
                <w:szCs w:val="20"/>
              </w:rPr>
            </w:pPr>
            <w:r w:rsidRPr="008B6A75">
              <w:rPr>
                <w:sz w:val="20"/>
                <w:szCs w:val="20"/>
              </w:rPr>
              <w:t>07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EB10D7" w14:textId="77777777" w:rsidR="00387142" w:rsidRPr="008B6A75" w:rsidRDefault="00387142" w:rsidP="00387142">
            <w:pPr>
              <w:jc w:val="center"/>
              <w:rPr>
                <w:sz w:val="20"/>
                <w:szCs w:val="20"/>
              </w:rPr>
            </w:pPr>
            <w:r w:rsidRPr="008B6A75">
              <w:rPr>
                <w:sz w:val="20"/>
                <w:szCs w:val="20"/>
              </w:rPr>
              <w:t>02</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35F1F713" w14:textId="77777777" w:rsidR="00387142" w:rsidRPr="008B6A75" w:rsidRDefault="00387142" w:rsidP="00387142">
            <w:pPr>
              <w:jc w:val="center"/>
              <w:rPr>
                <w:sz w:val="20"/>
                <w:szCs w:val="20"/>
              </w:rPr>
            </w:pPr>
            <w:r w:rsidRPr="008B6A75">
              <w:rPr>
                <w:sz w:val="20"/>
                <w:szCs w:val="20"/>
              </w:rPr>
              <w:t>07.1.00.70110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A06E1E" w14:textId="77777777" w:rsidR="00387142" w:rsidRPr="008B6A75" w:rsidRDefault="00387142" w:rsidP="00387142">
            <w:pPr>
              <w:jc w:val="center"/>
              <w:rPr>
                <w:sz w:val="20"/>
                <w:szCs w:val="20"/>
              </w:rPr>
            </w:pPr>
            <w:r w:rsidRPr="008B6A75">
              <w:rPr>
                <w:sz w:val="20"/>
                <w:szCs w:val="20"/>
              </w:rPr>
              <w:t>110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AD430D" w14:textId="77777777" w:rsidR="00387142" w:rsidRPr="008B6A75" w:rsidRDefault="00387142" w:rsidP="00387142">
            <w:pPr>
              <w:jc w:val="right"/>
              <w:rPr>
                <w:sz w:val="20"/>
                <w:szCs w:val="20"/>
              </w:rPr>
            </w:pPr>
            <w:r w:rsidRPr="008B6A75">
              <w:rPr>
                <w:sz w:val="20"/>
                <w:szCs w:val="20"/>
              </w:rPr>
              <w:t>28 449 400,00</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10F20E83" w14:textId="77777777" w:rsidR="00387142" w:rsidRPr="008B6A75" w:rsidRDefault="00387142" w:rsidP="00387142">
            <w:pPr>
              <w:jc w:val="right"/>
              <w:rPr>
                <w:sz w:val="20"/>
                <w:szCs w:val="20"/>
              </w:rPr>
            </w:pPr>
            <w:r w:rsidRPr="008B6A75">
              <w:rPr>
                <w:sz w:val="20"/>
                <w:szCs w:val="20"/>
              </w:rPr>
              <w:t>27 517 702,40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236153" w14:textId="77777777" w:rsidR="00387142" w:rsidRPr="008B6A75" w:rsidRDefault="00387142" w:rsidP="00387142">
            <w:pPr>
              <w:jc w:val="right"/>
              <w:rPr>
                <w:sz w:val="20"/>
                <w:szCs w:val="20"/>
              </w:rPr>
            </w:pPr>
            <w:r w:rsidRPr="008B6A75">
              <w:rPr>
                <w:sz w:val="20"/>
                <w:szCs w:val="20"/>
              </w:rPr>
              <w:t>29 247 486,60</w:t>
            </w:r>
          </w:p>
        </w:tc>
        <w:tc>
          <w:tcPr>
            <w:tcW w:w="222" w:type="dxa"/>
            <w:vAlign w:val="center"/>
            <w:hideMark/>
          </w:tcPr>
          <w:p w14:paraId="35598DA9" w14:textId="77777777" w:rsidR="00387142" w:rsidRPr="008B6A75" w:rsidRDefault="00387142" w:rsidP="00387142">
            <w:pPr>
              <w:rPr>
                <w:sz w:val="20"/>
                <w:szCs w:val="20"/>
              </w:rPr>
            </w:pPr>
          </w:p>
        </w:tc>
      </w:tr>
      <w:tr w:rsidR="00387142" w:rsidRPr="008B6A75" w14:paraId="7DDE65A5" w14:textId="77777777" w:rsidTr="00387142">
        <w:trPr>
          <w:trHeight w:val="585"/>
        </w:trPr>
        <w:tc>
          <w:tcPr>
            <w:tcW w:w="3021" w:type="dxa"/>
            <w:tcBorders>
              <w:top w:val="nil"/>
              <w:left w:val="single" w:sz="4" w:space="0" w:color="auto"/>
              <w:bottom w:val="nil"/>
              <w:right w:val="nil"/>
            </w:tcBorders>
            <w:shd w:val="clear" w:color="auto" w:fill="auto"/>
            <w:vAlign w:val="center"/>
            <w:hideMark/>
          </w:tcPr>
          <w:p w14:paraId="55C5E092" w14:textId="77777777" w:rsidR="00387142" w:rsidRPr="008B6A75" w:rsidRDefault="00387142" w:rsidP="00387142">
            <w:pPr>
              <w:rPr>
                <w:sz w:val="20"/>
                <w:szCs w:val="20"/>
              </w:rPr>
            </w:pPr>
            <w:r w:rsidRPr="008B6A75">
              <w:rPr>
                <w:sz w:val="20"/>
                <w:szCs w:val="20"/>
              </w:rPr>
              <w:t>Закупка товаров, работ и услуг для обеспечения государственных (муниципальных) нужд</w:t>
            </w:r>
          </w:p>
        </w:tc>
        <w:tc>
          <w:tcPr>
            <w:tcW w:w="850" w:type="dxa"/>
            <w:tcBorders>
              <w:top w:val="nil"/>
              <w:left w:val="single" w:sz="4" w:space="0" w:color="auto"/>
              <w:bottom w:val="nil"/>
              <w:right w:val="nil"/>
            </w:tcBorders>
            <w:shd w:val="clear" w:color="auto" w:fill="auto"/>
            <w:noWrap/>
            <w:vAlign w:val="center"/>
            <w:hideMark/>
          </w:tcPr>
          <w:p w14:paraId="2345309C" w14:textId="77777777" w:rsidR="00387142" w:rsidRPr="008B6A75" w:rsidRDefault="00387142" w:rsidP="00387142">
            <w:pPr>
              <w:jc w:val="center"/>
              <w:rPr>
                <w:sz w:val="20"/>
                <w:szCs w:val="20"/>
              </w:rPr>
            </w:pPr>
            <w:r w:rsidRPr="008B6A75">
              <w:rPr>
                <w:sz w:val="20"/>
                <w:szCs w:val="20"/>
              </w:rPr>
              <w:t>444</w:t>
            </w:r>
          </w:p>
        </w:tc>
        <w:tc>
          <w:tcPr>
            <w:tcW w:w="709" w:type="dxa"/>
            <w:tcBorders>
              <w:top w:val="nil"/>
              <w:left w:val="single" w:sz="4" w:space="0" w:color="auto"/>
              <w:bottom w:val="nil"/>
              <w:right w:val="nil"/>
            </w:tcBorders>
            <w:shd w:val="clear" w:color="auto" w:fill="auto"/>
            <w:noWrap/>
            <w:vAlign w:val="center"/>
            <w:hideMark/>
          </w:tcPr>
          <w:p w14:paraId="306695E8" w14:textId="77777777" w:rsidR="00387142" w:rsidRPr="008B6A75" w:rsidRDefault="00387142" w:rsidP="00387142">
            <w:pPr>
              <w:jc w:val="center"/>
              <w:rPr>
                <w:sz w:val="20"/>
                <w:szCs w:val="20"/>
              </w:rPr>
            </w:pPr>
            <w:r w:rsidRPr="008B6A75">
              <w:rPr>
                <w:sz w:val="20"/>
                <w:szCs w:val="20"/>
              </w:rPr>
              <w:t>07</w:t>
            </w:r>
          </w:p>
        </w:tc>
        <w:tc>
          <w:tcPr>
            <w:tcW w:w="709" w:type="dxa"/>
            <w:tcBorders>
              <w:top w:val="nil"/>
              <w:left w:val="single" w:sz="4" w:space="0" w:color="auto"/>
              <w:bottom w:val="nil"/>
              <w:right w:val="single" w:sz="4" w:space="0" w:color="auto"/>
            </w:tcBorders>
            <w:shd w:val="clear" w:color="auto" w:fill="auto"/>
            <w:noWrap/>
            <w:vAlign w:val="center"/>
            <w:hideMark/>
          </w:tcPr>
          <w:p w14:paraId="6A91B8D3" w14:textId="77777777" w:rsidR="00387142" w:rsidRPr="008B6A75" w:rsidRDefault="00387142" w:rsidP="00387142">
            <w:pPr>
              <w:jc w:val="center"/>
              <w:rPr>
                <w:sz w:val="20"/>
                <w:szCs w:val="20"/>
              </w:rPr>
            </w:pPr>
            <w:r w:rsidRPr="008B6A75">
              <w:rPr>
                <w:sz w:val="20"/>
                <w:szCs w:val="20"/>
              </w:rPr>
              <w:t>02</w:t>
            </w:r>
          </w:p>
        </w:tc>
        <w:tc>
          <w:tcPr>
            <w:tcW w:w="1411" w:type="dxa"/>
            <w:tcBorders>
              <w:top w:val="nil"/>
              <w:left w:val="single" w:sz="4" w:space="0" w:color="auto"/>
              <w:bottom w:val="nil"/>
              <w:right w:val="nil"/>
            </w:tcBorders>
            <w:shd w:val="clear" w:color="auto" w:fill="auto"/>
            <w:noWrap/>
            <w:vAlign w:val="center"/>
            <w:hideMark/>
          </w:tcPr>
          <w:p w14:paraId="736C64CB" w14:textId="77777777" w:rsidR="00387142" w:rsidRPr="008B6A75" w:rsidRDefault="00387142" w:rsidP="00387142">
            <w:pPr>
              <w:jc w:val="center"/>
              <w:rPr>
                <w:sz w:val="20"/>
                <w:szCs w:val="20"/>
              </w:rPr>
            </w:pPr>
            <w:r w:rsidRPr="008B6A75">
              <w:rPr>
                <w:sz w:val="20"/>
                <w:szCs w:val="20"/>
              </w:rPr>
              <w:t>07.1.00.70110</w:t>
            </w:r>
          </w:p>
        </w:tc>
        <w:tc>
          <w:tcPr>
            <w:tcW w:w="955" w:type="dxa"/>
            <w:tcBorders>
              <w:top w:val="nil"/>
              <w:left w:val="single" w:sz="4" w:space="0" w:color="auto"/>
              <w:bottom w:val="nil"/>
              <w:right w:val="single" w:sz="4" w:space="0" w:color="auto"/>
            </w:tcBorders>
            <w:shd w:val="clear" w:color="auto" w:fill="auto"/>
            <w:noWrap/>
            <w:vAlign w:val="center"/>
            <w:hideMark/>
          </w:tcPr>
          <w:p w14:paraId="2063C066" w14:textId="77777777" w:rsidR="00387142" w:rsidRPr="008B6A75" w:rsidRDefault="00387142" w:rsidP="00387142">
            <w:pPr>
              <w:jc w:val="center"/>
              <w:rPr>
                <w:sz w:val="20"/>
                <w:szCs w:val="20"/>
              </w:rPr>
            </w:pPr>
            <w:r w:rsidRPr="008B6A75">
              <w:rPr>
                <w:sz w:val="20"/>
                <w:szCs w:val="20"/>
              </w:rPr>
              <w:t>200</w:t>
            </w:r>
          </w:p>
        </w:tc>
        <w:tc>
          <w:tcPr>
            <w:tcW w:w="992" w:type="dxa"/>
            <w:tcBorders>
              <w:top w:val="nil"/>
              <w:left w:val="single" w:sz="4" w:space="0" w:color="auto"/>
              <w:bottom w:val="nil"/>
              <w:right w:val="single" w:sz="4" w:space="0" w:color="auto"/>
            </w:tcBorders>
            <w:shd w:val="clear" w:color="auto" w:fill="auto"/>
            <w:noWrap/>
            <w:vAlign w:val="center"/>
            <w:hideMark/>
          </w:tcPr>
          <w:p w14:paraId="2DD8DE40" w14:textId="77777777" w:rsidR="00387142" w:rsidRPr="008B6A75" w:rsidRDefault="00387142" w:rsidP="00387142">
            <w:pPr>
              <w:jc w:val="right"/>
              <w:rPr>
                <w:sz w:val="20"/>
                <w:szCs w:val="20"/>
              </w:rPr>
            </w:pPr>
            <w:r w:rsidRPr="008B6A75">
              <w:rPr>
                <w:sz w:val="20"/>
                <w:szCs w:val="20"/>
              </w:rPr>
              <w:t>242 700,00</w:t>
            </w:r>
          </w:p>
        </w:tc>
        <w:tc>
          <w:tcPr>
            <w:tcW w:w="992" w:type="dxa"/>
            <w:gridSpan w:val="2"/>
            <w:tcBorders>
              <w:top w:val="nil"/>
              <w:left w:val="single" w:sz="4" w:space="0" w:color="auto"/>
              <w:bottom w:val="nil"/>
              <w:right w:val="nil"/>
            </w:tcBorders>
            <w:shd w:val="clear" w:color="auto" w:fill="auto"/>
            <w:noWrap/>
            <w:vAlign w:val="center"/>
            <w:hideMark/>
          </w:tcPr>
          <w:p w14:paraId="73D304E1" w14:textId="77777777" w:rsidR="00387142" w:rsidRPr="008B6A75" w:rsidRDefault="00387142" w:rsidP="00387142">
            <w:pPr>
              <w:jc w:val="right"/>
              <w:rPr>
                <w:sz w:val="20"/>
                <w:szCs w:val="20"/>
              </w:rPr>
            </w:pPr>
            <w:r w:rsidRPr="008B6A75">
              <w:rPr>
                <w:sz w:val="20"/>
                <w:szCs w:val="20"/>
              </w:rPr>
              <w:t>251 700,00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016F1E75" w14:textId="77777777" w:rsidR="00387142" w:rsidRPr="008B6A75" w:rsidRDefault="00387142" w:rsidP="00387142">
            <w:pPr>
              <w:jc w:val="right"/>
              <w:rPr>
                <w:sz w:val="20"/>
                <w:szCs w:val="20"/>
              </w:rPr>
            </w:pPr>
            <w:r w:rsidRPr="008B6A75">
              <w:rPr>
                <w:sz w:val="20"/>
                <w:szCs w:val="20"/>
              </w:rPr>
              <w:t>251 700,00</w:t>
            </w:r>
          </w:p>
        </w:tc>
        <w:tc>
          <w:tcPr>
            <w:tcW w:w="222" w:type="dxa"/>
            <w:vAlign w:val="center"/>
            <w:hideMark/>
          </w:tcPr>
          <w:p w14:paraId="1EF02594" w14:textId="77777777" w:rsidR="00387142" w:rsidRPr="008B6A75" w:rsidRDefault="00387142" w:rsidP="00387142">
            <w:pPr>
              <w:rPr>
                <w:sz w:val="20"/>
                <w:szCs w:val="20"/>
              </w:rPr>
            </w:pPr>
          </w:p>
        </w:tc>
      </w:tr>
      <w:tr w:rsidR="00387142" w:rsidRPr="008B6A75" w14:paraId="08337089" w14:textId="77777777" w:rsidTr="00387142">
        <w:trPr>
          <w:trHeight w:val="870"/>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57EE7033" w14:textId="77777777" w:rsidR="00387142" w:rsidRPr="008B6A75" w:rsidRDefault="00387142" w:rsidP="00387142">
            <w:pPr>
              <w:rPr>
                <w:sz w:val="20"/>
                <w:szCs w:val="20"/>
              </w:rPr>
            </w:pPr>
            <w:r w:rsidRPr="008B6A75">
              <w:rPr>
                <w:sz w:val="20"/>
                <w:szCs w:val="20"/>
              </w:rPr>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7153437E" w14:textId="77777777" w:rsidR="00387142" w:rsidRPr="008B6A75" w:rsidRDefault="00387142" w:rsidP="00387142">
            <w:pPr>
              <w:jc w:val="center"/>
              <w:rPr>
                <w:sz w:val="20"/>
                <w:szCs w:val="20"/>
              </w:rPr>
            </w:pPr>
            <w:r w:rsidRPr="008B6A75">
              <w:rPr>
                <w:sz w:val="20"/>
                <w:szCs w:val="20"/>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2251395A" w14:textId="77777777" w:rsidR="00387142" w:rsidRPr="008B6A75" w:rsidRDefault="00387142" w:rsidP="00387142">
            <w:pPr>
              <w:jc w:val="center"/>
              <w:rPr>
                <w:sz w:val="20"/>
                <w:szCs w:val="20"/>
              </w:rPr>
            </w:pPr>
            <w:r w:rsidRPr="008B6A75">
              <w:rPr>
                <w:sz w:val="20"/>
                <w:szCs w:val="20"/>
              </w:rPr>
              <w:t>07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11FFD9" w14:textId="77777777" w:rsidR="00387142" w:rsidRPr="008B6A75" w:rsidRDefault="00387142" w:rsidP="00387142">
            <w:pPr>
              <w:jc w:val="center"/>
              <w:rPr>
                <w:sz w:val="20"/>
                <w:szCs w:val="20"/>
              </w:rPr>
            </w:pPr>
            <w:r w:rsidRPr="008B6A75">
              <w:rPr>
                <w:sz w:val="20"/>
                <w:szCs w:val="20"/>
              </w:rPr>
              <w:t>02</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4A90EC9E" w14:textId="77777777" w:rsidR="00387142" w:rsidRPr="008B6A75" w:rsidRDefault="00387142" w:rsidP="00387142">
            <w:pPr>
              <w:jc w:val="center"/>
              <w:rPr>
                <w:sz w:val="20"/>
                <w:szCs w:val="20"/>
              </w:rPr>
            </w:pPr>
            <w:r w:rsidRPr="008B6A75">
              <w:rPr>
                <w:sz w:val="20"/>
                <w:szCs w:val="20"/>
              </w:rPr>
              <w:t>07.1.00.70110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D2397F" w14:textId="77777777" w:rsidR="00387142" w:rsidRPr="008B6A75" w:rsidRDefault="00387142" w:rsidP="00387142">
            <w:pPr>
              <w:jc w:val="center"/>
              <w:rPr>
                <w:sz w:val="20"/>
                <w:szCs w:val="20"/>
              </w:rPr>
            </w:pPr>
            <w:r w:rsidRPr="008B6A75">
              <w:rPr>
                <w:sz w:val="20"/>
                <w:szCs w:val="20"/>
              </w:rPr>
              <w:t>240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F49DA4" w14:textId="77777777" w:rsidR="00387142" w:rsidRPr="008B6A75" w:rsidRDefault="00387142" w:rsidP="00387142">
            <w:pPr>
              <w:jc w:val="right"/>
              <w:rPr>
                <w:sz w:val="20"/>
                <w:szCs w:val="20"/>
              </w:rPr>
            </w:pPr>
            <w:r w:rsidRPr="008B6A75">
              <w:rPr>
                <w:sz w:val="20"/>
                <w:szCs w:val="20"/>
              </w:rPr>
              <w:t>242 700,00</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66509AFB" w14:textId="77777777" w:rsidR="00387142" w:rsidRPr="008B6A75" w:rsidRDefault="00387142" w:rsidP="00387142">
            <w:pPr>
              <w:jc w:val="right"/>
              <w:rPr>
                <w:sz w:val="20"/>
                <w:szCs w:val="20"/>
              </w:rPr>
            </w:pPr>
            <w:r w:rsidRPr="008B6A75">
              <w:rPr>
                <w:sz w:val="20"/>
                <w:szCs w:val="20"/>
              </w:rPr>
              <w:t>251 700,00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567982" w14:textId="77777777" w:rsidR="00387142" w:rsidRPr="008B6A75" w:rsidRDefault="00387142" w:rsidP="00387142">
            <w:pPr>
              <w:jc w:val="right"/>
              <w:rPr>
                <w:sz w:val="20"/>
                <w:szCs w:val="20"/>
              </w:rPr>
            </w:pPr>
            <w:r w:rsidRPr="008B6A75">
              <w:rPr>
                <w:sz w:val="20"/>
                <w:szCs w:val="20"/>
              </w:rPr>
              <w:t>251 700,00</w:t>
            </w:r>
          </w:p>
        </w:tc>
        <w:tc>
          <w:tcPr>
            <w:tcW w:w="222" w:type="dxa"/>
            <w:vAlign w:val="center"/>
            <w:hideMark/>
          </w:tcPr>
          <w:p w14:paraId="39804067" w14:textId="77777777" w:rsidR="00387142" w:rsidRPr="008B6A75" w:rsidRDefault="00387142" w:rsidP="00387142">
            <w:pPr>
              <w:rPr>
                <w:sz w:val="20"/>
                <w:szCs w:val="20"/>
              </w:rPr>
            </w:pPr>
          </w:p>
        </w:tc>
      </w:tr>
      <w:tr w:rsidR="00387142" w:rsidRPr="008B6A75" w14:paraId="4FD01D31" w14:textId="77777777" w:rsidTr="00387142">
        <w:trPr>
          <w:trHeight w:val="870"/>
        </w:trPr>
        <w:tc>
          <w:tcPr>
            <w:tcW w:w="3021" w:type="dxa"/>
            <w:tcBorders>
              <w:top w:val="nil"/>
              <w:left w:val="single" w:sz="4" w:space="0" w:color="auto"/>
              <w:bottom w:val="nil"/>
              <w:right w:val="nil"/>
            </w:tcBorders>
            <w:shd w:val="clear" w:color="auto" w:fill="auto"/>
            <w:vAlign w:val="center"/>
            <w:hideMark/>
          </w:tcPr>
          <w:p w14:paraId="3870E554" w14:textId="77777777" w:rsidR="00387142" w:rsidRPr="008B6A75" w:rsidRDefault="00387142" w:rsidP="00387142">
            <w:pPr>
              <w:rPr>
                <w:sz w:val="20"/>
                <w:szCs w:val="20"/>
              </w:rPr>
            </w:pPr>
            <w:r w:rsidRPr="008B6A75">
              <w:rPr>
                <w:sz w:val="20"/>
                <w:szCs w:val="20"/>
              </w:rPr>
              <w:t>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right w:val="nil"/>
            </w:tcBorders>
            <w:shd w:val="clear" w:color="auto" w:fill="auto"/>
            <w:noWrap/>
            <w:vAlign w:val="center"/>
            <w:hideMark/>
          </w:tcPr>
          <w:p w14:paraId="5E1A8BC6" w14:textId="77777777" w:rsidR="00387142" w:rsidRPr="008B6A75" w:rsidRDefault="00387142" w:rsidP="00387142">
            <w:pPr>
              <w:jc w:val="center"/>
              <w:rPr>
                <w:sz w:val="20"/>
                <w:szCs w:val="20"/>
              </w:rPr>
            </w:pPr>
            <w:r w:rsidRPr="008B6A75">
              <w:rPr>
                <w:sz w:val="20"/>
                <w:szCs w:val="20"/>
              </w:rPr>
              <w:t>444</w:t>
            </w:r>
          </w:p>
        </w:tc>
        <w:tc>
          <w:tcPr>
            <w:tcW w:w="709" w:type="dxa"/>
            <w:tcBorders>
              <w:top w:val="nil"/>
              <w:left w:val="single" w:sz="4" w:space="0" w:color="auto"/>
              <w:bottom w:val="nil"/>
              <w:right w:val="nil"/>
            </w:tcBorders>
            <w:shd w:val="clear" w:color="auto" w:fill="auto"/>
            <w:noWrap/>
            <w:vAlign w:val="center"/>
            <w:hideMark/>
          </w:tcPr>
          <w:p w14:paraId="3B7116FA" w14:textId="77777777" w:rsidR="00387142" w:rsidRPr="008B6A75" w:rsidRDefault="00387142" w:rsidP="00387142">
            <w:pPr>
              <w:jc w:val="center"/>
              <w:rPr>
                <w:sz w:val="20"/>
                <w:szCs w:val="20"/>
              </w:rPr>
            </w:pPr>
            <w:r w:rsidRPr="008B6A75">
              <w:rPr>
                <w:sz w:val="20"/>
                <w:szCs w:val="20"/>
              </w:rPr>
              <w:t>07</w:t>
            </w:r>
          </w:p>
        </w:tc>
        <w:tc>
          <w:tcPr>
            <w:tcW w:w="709" w:type="dxa"/>
            <w:tcBorders>
              <w:top w:val="nil"/>
              <w:left w:val="single" w:sz="4" w:space="0" w:color="auto"/>
              <w:bottom w:val="nil"/>
              <w:right w:val="single" w:sz="4" w:space="0" w:color="auto"/>
            </w:tcBorders>
            <w:shd w:val="clear" w:color="auto" w:fill="auto"/>
            <w:noWrap/>
            <w:vAlign w:val="center"/>
            <w:hideMark/>
          </w:tcPr>
          <w:p w14:paraId="7C8B4BCF" w14:textId="77777777" w:rsidR="00387142" w:rsidRPr="008B6A75" w:rsidRDefault="00387142" w:rsidP="00387142">
            <w:pPr>
              <w:jc w:val="center"/>
              <w:rPr>
                <w:sz w:val="20"/>
                <w:szCs w:val="20"/>
              </w:rPr>
            </w:pPr>
            <w:r w:rsidRPr="008B6A75">
              <w:rPr>
                <w:sz w:val="20"/>
                <w:szCs w:val="20"/>
              </w:rPr>
              <w:t>02</w:t>
            </w:r>
          </w:p>
        </w:tc>
        <w:tc>
          <w:tcPr>
            <w:tcW w:w="1411" w:type="dxa"/>
            <w:tcBorders>
              <w:top w:val="nil"/>
              <w:left w:val="single" w:sz="4" w:space="0" w:color="auto"/>
              <w:bottom w:val="nil"/>
              <w:right w:val="nil"/>
            </w:tcBorders>
            <w:shd w:val="clear" w:color="auto" w:fill="auto"/>
            <w:noWrap/>
            <w:vAlign w:val="center"/>
            <w:hideMark/>
          </w:tcPr>
          <w:p w14:paraId="06E83FFC" w14:textId="77777777" w:rsidR="00387142" w:rsidRPr="008B6A75" w:rsidRDefault="00387142" w:rsidP="00387142">
            <w:pPr>
              <w:jc w:val="center"/>
              <w:rPr>
                <w:sz w:val="20"/>
                <w:szCs w:val="20"/>
              </w:rPr>
            </w:pPr>
            <w:r w:rsidRPr="008B6A75">
              <w:rPr>
                <w:sz w:val="20"/>
                <w:szCs w:val="20"/>
              </w:rPr>
              <w:t>07.1.00.70110</w:t>
            </w:r>
          </w:p>
        </w:tc>
        <w:tc>
          <w:tcPr>
            <w:tcW w:w="955" w:type="dxa"/>
            <w:tcBorders>
              <w:top w:val="nil"/>
              <w:left w:val="single" w:sz="4" w:space="0" w:color="auto"/>
              <w:bottom w:val="nil"/>
              <w:right w:val="single" w:sz="4" w:space="0" w:color="auto"/>
            </w:tcBorders>
            <w:shd w:val="clear" w:color="auto" w:fill="auto"/>
            <w:noWrap/>
            <w:vAlign w:val="center"/>
            <w:hideMark/>
          </w:tcPr>
          <w:p w14:paraId="16EB5CB9" w14:textId="77777777" w:rsidR="00387142" w:rsidRPr="008B6A75" w:rsidRDefault="00387142" w:rsidP="00387142">
            <w:pPr>
              <w:jc w:val="center"/>
              <w:rPr>
                <w:sz w:val="20"/>
                <w:szCs w:val="20"/>
              </w:rPr>
            </w:pPr>
            <w:r w:rsidRPr="008B6A75">
              <w:rPr>
                <w:sz w:val="20"/>
                <w:szCs w:val="20"/>
              </w:rPr>
              <w:t>600</w:t>
            </w:r>
          </w:p>
        </w:tc>
        <w:tc>
          <w:tcPr>
            <w:tcW w:w="992" w:type="dxa"/>
            <w:tcBorders>
              <w:top w:val="nil"/>
              <w:left w:val="single" w:sz="4" w:space="0" w:color="auto"/>
              <w:bottom w:val="nil"/>
              <w:right w:val="single" w:sz="4" w:space="0" w:color="auto"/>
            </w:tcBorders>
            <w:shd w:val="clear" w:color="auto" w:fill="auto"/>
            <w:noWrap/>
            <w:vAlign w:val="center"/>
            <w:hideMark/>
          </w:tcPr>
          <w:p w14:paraId="5E50E532" w14:textId="77777777" w:rsidR="00387142" w:rsidRPr="008B6A75" w:rsidRDefault="00387142" w:rsidP="00387142">
            <w:pPr>
              <w:jc w:val="right"/>
              <w:rPr>
                <w:sz w:val="20"/>
                <w:szCs w:val="20"/>
              </w:rPr>
            </w:pPr>
            <w:r w:rsidRPr="008B6A75">
              <w:rPr>
                <w:sz w:val="20"/>
                <w:szCs w:val="20"/>
              </w:rPr>
              <w:t>2 615 900,00</w:t>
            </w:r>
          </w:p>
        </w:tc>
        <w:tc>
          <w:tcPr>
            <w:tcW w:w="992" w:type="dxa"/>
            <w:gridSpan w:val="2"/>
            <w:tcBorders>
              <w:top w:val="nil"/>
              <w:left w:val="single" w:sz="4" w:space="0" w:color="auto"/>
              <w:bottom w:val="nil"/>
              <w:right w:val="nil"/>
            </w:tcBorders>
            <w:shd w:val="clear" w:color="auto" w:fill="auto"/>
            <w:noWrap/>
            <w:vAlign w:val="center"/>
            <w:hideMark/>
          </w:tcPr>
          <w:p w14:paraId="60758DA6" w14:textId="77777777" w:rsidR="00387142" w:rsidRPr="008B6A75" w:rsidRDefault="00387142" w:rsidP="00387142">
            <w:pPr>
              <w:jc w:val="right"/>
              <w:rPr>
                <w:sz w:val="20"/>
                <w:szCs w:val="20"/>
              </w:rPr>
            </w:pPr>
            <w:r w:rsidRPr="008B6A75">
              <w:rPr>
                <w:sz w:val="20"/>
                <w:szCs w:val="20"/>
              </w:rPr>
              <w:t>2 209 692,40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18C7F505" w14:textId="77777777" w:rsidR="00387142" w:rsidRPr="008B6A75" w:rsidRDefault="00387142" w:rsidP="00387142">
            <w:pPr>
              <w:jc w:val="right"/>
              <w:rPr>
                <w:sz w:val="20"/>
                <w:szCs w:val="20"/>
              </w:rPr>
            </w:pPr>
            <w:r w:rsidRPr="008B6A75">
              <w:rPr>
                <w:sz w:val="20"/>
                <w:szCs w:val="20"/>
              </w:rPr>
              <w:t>2 347 110,62</w:t>
            </w:r>
          </w:p>
        </w:tc>
        <w:tc>
          <w:tcPr>
            <w:tcW w:w="222" w:type="dxa"/>
            <w:vAlign w:val="center"/>
            <w:hideMark/>
          </w:tcPr>
          <w:p w14:paraId="4A0F80E1" w14:textId="77777777" w:rsidR="00387142" w:rsidRPr="008B6A75" w:rsidRDefault="00387142" w:rsidP="00387142">
            <w:pPr>
              <w:rPr>
                <w:sz w:val="20"/>
                <w:szCs w:val="20"/>
              </w:rPr>
            </w:pPr>
          </w:p>
        </w:tc>
      </w:tr>
      <w:tr w:rsidR="00387142" w:rsidRPr="008B6A75" w14:paraId="63D3F5C9" w14:textId="77777777" w:rsidTr="00387142">
        <w:trPr>
          <w:trHeight w:val="300"/>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7DFCB863" w14:textId="77777777" w:rsidR="00387142" w:rsidRPr="008B6A75" w:rsidRDefault="00387142" w:rsidP="00387142">
            <w:pPr>
              <w:rPr>
                <w:sz w:val="20"/>
                <w:szCs w:val="20"/>
              </w:rPr>
            </w:pPr>
            <w:r w:rsidRPr="008B6A75">
              <w:rPr>
                <w:sz w:val="20"/>
                <w:szCs w:val="20"/>
              </w:rPr>
              <w:t>Субсидии бюджетным учреждениям</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633ABB21" w14:textId="77777777" w:rsidR="00387142" w:rsidRPr="008B6A75" w:rsidRDefault="00387142" w:rsidP="00387142">
            <w:pPr>
              <w:jc w:val="center"/>
              <w:rPr>
                <w:sz w:val="20"/>
                <w:szCs w:val="20"/>
              </w:rPr>
            </w:pPr>
            <w:r w:rsidRPr="008B6A75">
              <w:rPr>
                <w:sz w:val="20"/>
                <w:szCs w:val="20"/>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5F29C2EB" w14:textId="77777777" w:rsidR="00387142" w:rsidRPr="008B6A75" w:rsidRDefault="00387142" w:rsidP="00387142">
            <w:pPr>
              <w:jc w:val="center"/>
              <w:rPr>
                <w:sz w:val="20"/>
                <w:szCs w:val="20"/>
              </w:rPr>
            </w:pPr>
            <w:r w:rsidRPr="008B6A75">
              <w:rPr>
                <w:sz w:val="20"/>
                <w:szCs w:val="20"/>
              </w:rPr>
              <w:t>07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279AB8" w14:textId="77777777" w:rsidR="00387142" w:rsidRPr="008B6A75" w:rsidRDefault="00387142" w:rsidP="00387142">
            <w:pPr>
              <w:jc w:val="center"/>
              <w:rPr>
                <w:sz w:val="20"/>
                <w:szCs w:val="20"/>
              </w:rPr>
            </w:pPr>
            <w:r w:rsidRPr="008B6A75">
              <w:rPr>
                <w:sz w:val="20"/>
                <w:szCs w:val="20"/>
              </w:rPr>
              <w:t>02</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6A676D84" w14:textId="77777777" w:rsidR="00387142" w:rsidRPr="008B6A75" w:rsidRDefault="00387142" w:rsidP="00387142">
            <w:pPr>
              <w:jc w:val="center"/>
              <w:rPr>
                <w:sz w:val="20"/>
                <w:szCs w:val="20"/>
              </w:rPr>
            </w:pPr>
            <w:r w:rsidRPr="008B6A75">
              <w:rPr>
                <w:sz w:val="20"/>
                <w:szCs w:val="20"/>
              </w:rPr>
              <w:t>07.1.00.70110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E157A4" w14:textId="77777777" w:rsidR="00387142" w:rsidRPr="008B6A75" w:rsidRDefault="00387142" w:rsidP="00387142">
            <w:pPr>
              <w:jc w:val="center"/>
              <w:rPr>
                <w:sz w:val="20"/>
                <w:szCs w:val="20"/>
              </w:rPr>
            </w:pPr>
            <w:r w:rsidRPr="008B6A75">
              <w:rPr>
                <w:sz w:val="20"/>
                <w:szCs w:val="20"/>
              </w:rPr>
              <w:t>610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EBFDA2" w14:textId="77777777" w:rsidR="00387142" w:rsidRPr="008B6A75" w:rsidRDefault="00387142" w:rsidP="00387142">
            <w:pPr>
              <w:jc w:val="right"/>
              <w:rPr>
                <w:sz w:val="20"/>
                <w:szCs w:val="20"/>
              </w:rPr>
            </w:pPr>
            <w:r w:rsidRPr="008B6A75">
              <w:rPr>
                <w:sz w:val="20"/>
                <w:szCs w:val="20"/>
              </w:rPr>
              <w:t>2 615 900,00</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776DD52A" w14:textId="77777777" w:rsidR="00387142" w:rsidRPr="008B6A75" w:rsidRDefault="00387142" w:rsidP="00387142">
            <w:pPr>
              <w:jc w:val="right"/>
              <w:rPr>
                <w:sz w:val="20"/>
                <w:szCs w:val="20"/>
              </w:rPr>
            </w:pPr>
            <w:r w:rsidRPr="008B6A75">
              <w:rPr>
                <w:sz w:val="20"/>
                <w:szCs w:val="20"/>
              </w:rPr>
              <w:t>2 209 692,40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9797A1" w14:textId="77777777" w:rsidR="00387142" w:rsidRPr="008B6A75" w:rsidRDefault="00387142" w:rsidP="00387142">
            <w:pPr>
              <w:jc w:val="right"/>
              <w:rPr>
                <w:sz w:val="20"/>
                <w:szCs w:val="20"/>
              </w:rPr>
            </w:pPr>
            <w:r w:rsidRPr="008B6A75">
              <w:rPr>
                <w:sz w:val="20"/>
                <w:szCs w:val="20"/>
              </w:rPr>
              <w:t>2 347 110,62</w:t>
            </w:r>
          </w:p>
        </w:tc>
        <w:tc>
          <w:tcPr>
            <w:tcW w:w="222" w:type="dxa"/>
            <w:vAlign w:val="center"/>
            <w:hideMark/>
          </w:tcPr>
          <w:p w14:paraId="11A0E092" w14:textId="77777777" w:rsidR="00387142" w:rsidRPr="008B6A75" w:rsidRDefault="00387142" w:rsidP="00387142">
            <w:pPr>
              <w:rPr>
                <w:sz w:val="20"/>
                <w:szCs w:val="20"/>
              </w:rPr>
            </w:pPr>
          </w:p>
        </w:tc>
      </w:tr>
      <w:tr w:rsidR="00387142" w:rsidRPr="008B6A75" w14:paraId="3CBB0B90" w14:textId="77777777" w:rsidTr="00387142">
        <w:trPr>
          <w:trHeight w:val="870"/>
        </w:trPr>
        <w:tc>
          <w:tcPr>
            <w:tcW w:w="3021" w:type="dxa"/>
            <w:tcBorders>
              <w:top w:val="nil"/>
              <w:left w:val="single" w:sz="4" w:space="0" w:color="auto"/>
              <w:bottom w:val="nil"/>
              <w:right w:val="nil"/>
            </w:tcBorders>
            <w:shd w:val="clear" w:color="auto" w:fill="auto"/>
            <w:vAlign w:val="center"/>
            <w:hideMark/>
          </w:tcPr>
          <w:p w14:paraId="55891B6D" w14:textId="77777777" w:rsidR="00387142" w:rsidRPr="008B6A75" w:rsidRDefault="00387142" w:rsidP="00387142">
            <w:pPr>
              <w:rPr>
                <w:bCs/>
                <w:sz w:val="20"/>
                <w:szCs w:val="20"/>
              </w:rPr>
            </w:pPr>
            <w:r w:rsidRPr="008B6A75">
              <w:rPr>
                <w:bCs/>
                <w:sz w:val="20"/>
                <w:szCs w:val="20"/>
              </w:rPr>
              <w:t>Реализация основных общеобразовательных программ в муниципальных общеобразовательных организациях</w:t>
            </w:r>
          </w:p>
        </w:tc>
        <w:tc>
          <w:tcPr>
            <w:tcW w:w="850" w:type="dxa"/>
            <w:tcBorders>
              <w:top w:val="nil"/>
              <w:left w:val="single" w:sz="4" w:space="0" w:color="auto"/>
              <w:bottom w:val="nil"/>
              <w:right w:val="nil"/>
            </w:tcBorders>
            <w:shd w:val="clear" w:color="auto" w:fill="auto"/>
            <w:noWrap/>
            <w:vAlign w:val="center"/>
            <w:hideMark/>
          </w:tcPr>
          <w:p w14:paraId="07EE04A9" w14:textId="77777777" w:rsidR="00387142" w:rsidRPr="008B6A75" w:rsidRDefault="00387142" w:rsidP="00387142">
            <w:pPr>
              <w:jc w:val="center"/>
              <w:rPr>
                <w:bCs/>
                <w:sz w:val="20"/>
                <w:szCs w:val="20"/>
              </w:rPr>
            </w:pPr>
            <w:r w:rsidRPr="008B6A75">
              <w:rPr>
                <w:bCs/>
                <w:sz w:val="20"/>
                <w:szCs w:val="20"/>
              </w:rPr>
              <w:t>444</w:t>
            </w:r>
          </w:p>
        </w:tc>
        <w:tc>
          <w:tcPr>
            <w:tcW w:w="709" w:type="dxa"/>
            <w:tcBorders>
              <w:top w:val="nil"/>
              <w:left w:val="single" w:sz="4" w:space="0" w:color="auto"/>
              <w:bottom w:val="nil"/>
              <w:right w:val="nil"/>
            </w:tcBorders>
            <w:shd w:val="clear" w:color="auto" w:fill="auto"/>
            <w:noWrap/>
            <w:vAlign w:val="center"/>
            <w:hideMark/>
          </w:tcPr>
          <w:p w14:paraId="513575A0" w14:textId="77777777" w:rsidR="00387142" w:rsidRPr="008B6A75" w:rsidRDefault="00387142" w:rsidP="00387142">
            <w:pPr>
              <w:jc w:val="center"/>
              <w:rPr>
                <w:bCs/>
                <w:sz w:val="20"/>
                <w:szCs w:val="20"/>
              </w:rPr>
            </w:pPr>
            <w:r w:rsidRPr="008B6A75">
              <w:rPr>
                <w:bCs/>
                <w:sz w:val="20"/>
                <w:szCs w:val="20"/>
              </w:rPr>
              <w:t>07</w:t>
            </w:r>
          </w:p>
        </w:tc>
        <w:tc>
          <w:tcPr>
            <w:tcW w:w="709" w:type="dxa"/>
            <w:tcBorders>
              <w:top w:val="nil"/>
              <w:left w:val="single" w:sz="4" w:space="0" w:color="auto"/>
              <w:bottom w:val="nil"/>
              <w:right w:val="single" w:sz="4" w:space="0" w:color="auto"/>
            </w:tcBorders>
            <w:shd w:val="clear" w:color="auto" w:fill="auto"/>
            <w:noWrap/>
            <w:vAlign w:val="center"/>
            <w:hideMark/>
          </w:tcPr>
          <w:p w14:paraId="0AEE57BD" w14:textId="77777777" w:rsidR="00387142" w:rsidRPr="008B6A75" w:rsidRDefault="00387142" w:rsidP="00387142">
            <w:pPr>
              <w:jc w:val="center"/>
              <w:rPr>
                <w:bCs/>
                <w:sz w:val="20"/>
                <w:szCs w:val="20"/>
              </w:rPr>
            </w:pPr>
            <w:r w:rsidRPr="008B6A75">
              <w:rPr>
                <w:bCs/>
                <w:sz w:val="20"/>
                <w:szCs w:val="20"/>
              </w:rPr>
              <w:t>02</w:t>
            </w:r>
          </w:p>
        </w:tc>
        <w:tc>
          <w:tcPr>
            <w:tcW w:w="1411" w:type="dxa"/>
            <w:tcBorders>
              <w:top w:val="nil"/>
              <w:left w:val="single" w:sz="4" w:space="0" w:color="auto"/>
              <w:bottom w:val="nil"/>
              <w:right w:val="nil"/>
            </w:tcBorders>
            <w:shd w:val="clear" w:color="auto" w:fill="auto"/>
            <w:noWrap/>
            <w:vAlign w:val="center"/>
            <w:hideMark/>
          </w:tcPr>
          <w:p w14:paraId="74A8B49D" w14:textId="77777777" w:rsidR="00387142" w:rsidRPr="008B6A75" w:rsidRDefault="00387142" w:rsidP="00387142">
            <w:pPr>
              <w:jc w:val="center"/>
              <w:rPr>
                <w:bCs/>
                <w:sz w:val="20"/>
                <w:szCs w:val="20"/>
              </w:rPr>
            </w:pPr>
            <w:r w:rsidRPr="008B6A75">
              <w:rPr>
                <w:bCs/>
                <w:sz w:val="20"/>
                <w:szCs w:val="20"/>
              </w:rPr>
              <w:t>07.1.00.70120</w:t>
            </w:r>
          </w:p>
        </w:tc>
        <w:tc>
          <w:tcPr>
            <w:tcW w:w="955" w:type="dxa"/>
            <w:tcBorders>
              <w:top w:val="nil"/>
              <w:left w:val="single" w:sz="4" w:space="0" w:color="auto"/>
              <w:bottom w:val="nil"/>
              <w:right w:val="single" w:sz="4" w:space="0" w:color="auto"/>
            </w:tcBorders>
            <w:shd w:val="clear" w:color="auto" w:fill="auto"/>
            <w:noWrap/>
            <w:vAlign w:val="center"/>
            <w:hideMark/>
          </w:tcPr>
          <w:p w14:paraId="0725EBC4"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nil"/>
              <w:right w:val="single" w:sz="4" w:space="0" w:color="auto"/>
            </w:tcBorders>
            <w:shd w:val="clear" w:color="auto" w:fill="auto"/>
            <w:noWrap/>
            <w:vAlign w:val="center"/>
            <w:hideMark/>
          </w:tcPr>
          <w:p w14:paraId="54D27413" w14:textId="77777777" w:rsidR="00387142" w:rsidRPr="008B6A75" w:rsidRDefault="00387142" w:rsidP="00387142">
            <w:pPr>
              <w:jc w:val="right"/>
              <w:rPr>
                <w:bCs/>
                <w:sz w:val="20"/>
                <w:szCs w:val="20"/>
              </w:rPr>
            </w:pPr>
            <w:r w:rsidRPr="008B6A75">
              <w:rPr>
                <w:bCs/>
                <w:sz w:val="20"/>
                <w:szCs w:val="20"/>
              </w:rPr>
              <w:t>425 963 700,00</w:t>
            </w:r>
          </w:p>
        </w:tc>
        <w:tc>
          <w:tcPr>
            <w:tcW w:w="992" w:type="dxa"/>
            <w:gridSpan w:val="2"/>
            <w:tcBorders>
              <w:top w:val="nil"/>
              <w:left w:val="single" w:sz="4" w:space="0" w:color="auto"/>
              <w:bottom w:val="nil"/>
              <w:right w:val="nil"/>
            </w:tcBorders>
            <w:shd w:val="clear" w:color="auto" w:fill="auto"/>
            <w:noWrap/>
            <w:vAlign w:val="center"/>
            <w:hideMark/>
          </w:tcPr>
          <w:p w14:paraId="28BBEDBF" w14:textId="77777777" w:rsidR="00387142" w:rsidRPr="008B6A75" w:rsidRDefault="00387142" w:rsidP="00387142">
            <w:pPr>
              <w:jc w:val="right"/>
              <w:rPr>
                <w:bCs/>
                <w:sz w:val="20"/>
                <w:szCs w:val="20"/>
              </w:rPr>
            </w:pPr>
            <w:r w:rsidRPr="008B6A75">
              <w:rPr>
                <w:bCs/>
                <w:sz w:val="20"/>
                <w:szCs w:val="20"/>
              </w:rPr>
              <w:t>439 421 700,00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4C9C80FE" w14:textId="77777777" w:rsidR="00387142" w:rsidRPr="008B6A75" w:rsidRDefault="00387142" w:rsidP="00387142">
            <w:pPr>
              <w:jc w:val="right"/>
              <w:rPr>
                <w:bCs/>
                <w:sz w:val="20"/>
                <w:szCs w:val="20"/>
              </w:rPr>
            </w:pPr>
            <w:r w:rsidRPr="008B6A75">
              <w:rPr>
                <w:bCs/>
                <w:sz w:val="20"/>
                <w:szCs w:val="20"/>
              </w:rPr>
              <w:t>468 810 800,00</w:t>
            </w:r>
          </w:p>
        </w:tc>
        <w:tc>
          <w:tcPr>
            <w:tcW w:w="222" w:type="dxa"/>
            <w:vAlign w:val="center"/>
            <w:hideMark/>
          </w:tcPr>
          <w:p w14:paraId="2B0D6A7D" w14:textId="77777777" w:rsidR="00387142" w:rsidRPr="008B6A75" w:rsidRDefault="00387142" w:rsidP="00387142">
            <w:pPr>
              <w:rPr>
                <w:sz w:val="20"/>
                <w:szCs w:val="20"/>
              </w:rPr>
            </w:pPr>
          </w:p>
        </w:tc>
      </w:tr>
      <w:tr w:rsidR="00387142" w:rsidRPr="008B6A75" w14:paraId="6C098ACF" w14:textId="77777777" w:rsidTr="00387142">
        <w:trPr>
          <w:trHeight w:val="1440"/>
        </w:trPr>
        <w:tc>
          <w:tcPr>
            <w:tcW w:w="3021" w:type="dxa"/>
            <w:tcBorders>
              <w:top w:val="single" w:sz="4" w:space="0" w:color="auto"/>
              <w:left w:val="single" w:sz="4" w:space="0" w:color="auto"/>
              <w:bottom w:val="nil"/>
              <w:right w:val="nil"/>
            </w:tcBorders>
            <w:shd w:val="clear" w:color="auto" w:fill="auto"/>
            <w:vAlign w:val="center"/>
            <w:hideMark/>
          </w:tcPr>
          <w:p w14:paraId="6EB75818" w14:textId="77777777" w:rsidR="00387142" w:rsidRPr="008B6A75" w:rsidRDefault="00387142" w:rsidP="00387142">
            <w:pPr>
              <w:rPr>
                <w:sz w:val="20"/>
                <w:szCs w:val="20"/>
              </w:rPr>
            </w:pPr>
            <w:r w:rsidRPr="008B6A7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nil"/>
              <w:right w:val="nil"/>
            </w:tcBorders>
            <w:shd w:val="clear" w:color="auto" w:fill="auto"/>
            <w:noWrap/>
            <w:vAlign w:val="center"/>
            <w:hideMark/>
          </w:tcPr>
          <w:p w14:paraId="0ABB872F" w14:textId="77777777" w:rsidR="00387142" w:rsidRPr="008B6A75" w:rsidRDefault="00387142" w:rsidP="00387142">
            <w:pPr>
              <w:jc w:val="center"/>
              <w:rPr>
                <w:sz w:val="20"/>
                <w:szCs w:val="20"/>
              </w:rPr>
            </w:pPr>
            <w:r w:rsidRPr="008B6A75">
              <w:rPr>
                <w:sz w:val="20"/>
                <w:szCs w:val="20"/>
              </w:rPr>
              <w:t>444</w:t>
            </w:r>
          </w:p>
        </w:tc>
        <w:tc>
          <w:tcPr>
            <w:tcW w:w="709" w:type="dxa"/>
            <w:tcBorders>
              <w:top w:val="single" w:sz="4" w:space="0" w:color="auto"/>
              <w:left w:val="single" w:sz="4" w:space="0" w:color="auto"/>
              <w:bottom w:val="nil"/>
              <w:right w:val="nil"/>
            </w:tcBorders>
            <w:shd w:val="clear" w:color="auto" w:fill="auto"/>
            <w:noWrap/>
            <w:vAlign w:val="center"/>
            <w:hideMark/>
          </w:tcPr>
          <w:p w14:paraId="573DD04B" w14:textId="77777777" w:rsidR="00387142" w:rsidRPr="008B6A75" w:rsidRDefault="00387142" w:rsidP="00387142">
            <w:pPr>
              <w:jc w:val="center"/>
              <w:rPr>
                <w:sz w:val="20"/>
                <w:szCs w:val="20"/>
              </w:rPr>
            </w:pPr>
            <w:r w:rsidRPr="008B6A75">
              <w:rPr>
                <w:sz w:val="20"/>
                <w:szCs w:val="20"/>
              </w:rPr>
              <w:t>07</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796CAC41" w14:textId="77777777" w:rsidR="00387142" w:rsidRPr="008B6A75" w:rsidRDefault="00387142" w:rsidP="00387142">
            <w:pPr>
              <w:jc w:val="center"/>
              <w:rPr>
                <w:sz w:val="20"/>
                <w:szCs w:val="20"/>
              </w:rPr>
            </w:pPr>
            <w:r w:rsidRPr="008B6A75">
              <w:rPr>
                <w:sz w:val="20"/>
                <w:szCs w:val="20"/>
              </w:rPr>
              <w:t>02</w:t>
            </w:r>
          </w:p>
        </w:tc>
        <w:tc>
          <w:tcPr>
            <w:tcW w:w="1411" w:type="dxa"/>
            <w:tcBorders>
              <w:top w:val="single" w:sz="4" w:space="0" w:color="auto"/>
              <w:left w:val="single" w:sz="4" w:space="0" w:color="auto"/>
              <w:bottom w:val="nil"/>
              <w:right w:val="nil"/>
            </w:tcBorders>
            <w:shd w:val="clear" w:color="auto" w:fill="auto"/>
            <w:noWrap/>
            <w:vAlign w:val="center"/>
            <w:hideMark/>
          </w:tcPr>
          <w:p w14:paraId="59191FBD" w14:textId="77777777" w:rsidR="00387142" w:rsidRPr="008B6A75" w:rsidRDefault="00387142" w:rsidP="00387142">
            <w:pPr>
              <w:jc w:val="center"/>
              <w:rPr>
                <w:sz w:val="20"/>
                <w:szCs w:val="20"/>
              </w:rPr>
            </w:pPr>
            <w:r w:rsidRPr="008B6A75">
              <w:rPr>
                <w:sz w:val="20"/>
                <w:szCs w:val="20"/>
              </w:rPr>
              <w:t>07.1.00.70120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33E385AE" w14:textId="77777777" w:rsidR="00387142" w:rsidRPr="008B6A75" w:rsidRDefault="00387142" w:rsidP="00387142">
            <w:pPr>
              <w:jc w:val="center"/>
              <w:rPr>
                <w:sz w:val="20"/>
                <w:szCs w:val="20"/>
              </w:rPr>
            </w:pPr>
            <w:r w:rsidRPr="008B6A75">
              <w:rPr>
                <w:sz w:val="20"/>
                <w:szCs w:val="20"/>
              </w:rPr>
              <w:t>100</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3A8C2CE4" w14:textId="77777777" w:rsidR="00387142" w:rsidRPr="008B6A75" w:rsidRDefault="00387142" w:rsidP="00387142">
            <w:pPr>
              <w:jc w:val="right"/>
              <w:rPr>
                <w:sz w:val="20"/>
                <w:szCs w:val="20"/>
              </w:rPr>
            </w:pPr>
            <w:r w:rsidRPr="008B6A75">
              <w:rPr>
                <w:sz w:val="20"/>
                <w:szCs w:val="20"/>
              </w:rPr>
              <w:t>200 204 137,60</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2EA30803" w14:textId="77777777" w:rsidR="00387142" w:rsidRPr="008B6A75" w:rsidRDefault="00387142" w:rsidP="00387142">
            <w:pPr>
              <w:jc w:val="right"/>
              <w:rPr>
                <w:sz w:val="20"/>
                <w:szCs w:val="20"/>
              </w:rPr>
            </w:pPr>
            <w:r w:rsidRPr="008B6A75">
              <w:rPr>
                <w:sz w:val="20"/>
                <w:szCs w:val="20"/>
              </w:rPr>
              <w:t>227 544 521,03</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3F77251F" w14:textId="77777777" w:rsidR="00387142" w:rsidRPr="008B6A75" w:rsidRDefault="00387142" w:rsidP="00387142">
            <w:pPr>
              <w:jc w:val="right"/>
              <w:rPr>
                <w:sz w:val="20"/>
                <w:szCs w:val="20"/>
              </w:rPr>
            </w:pPr>
            <w:r w:rsidRPr="008B6A75">
              <w:rPr>
                <w:sz w:val="20"/>
                <w:szCs w:val="20"/>
              </w:rPr>
              <w:t>256 933 620,03</w:t>
            </w:r>
          </w:p>
        </w:tc>
        <w:tc>
          <w:tcPr>
            <w:tcW w:w="222" w:type="dxa"/>
            <w:vAlign w:val="center"/>
            <w:hideMark/>
          </w:tcPr>
          <w:p w14:paraId="58D7DB6B" w14:textId="77777777" w:rsidR="00387142" w:rsidRPr="008B6A75" w:rsidRDefault="00387142" w:rsidP="00387142">
            <w:pPr>
              <w:rPr>
                <w:sz w:val="20"/>
                <w:szCs w:val="20"/>
              </w:rPr>
            </w:pPr>
          </w:p>
        </w:tc>
      </w:tr>
      <w:tr w:rsidR="00387142" w:rsidRPr="008B6A75" w14:paraId="77865A7D" w14:textId="77777777" w:rsidTr="00387142">
        <w:trPr>
          <w:trHeight w:val="585"/>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451F1977" w14:textId="77777777" w:rsidR="00387142" w:rsidRPr="008B6A75" w:rsidRDefault="00387142" w:rsidP="00387142">
            <w:pPr>
              <w:rPr>
                <w:sz w:val="20"/>
                <w:szCs w:val="20"/>
              </w:rPr>
            </w:pPr>
            <w:r w:rsidRPr="008B6A75">
              <w:rPr>
                <w:sz w:val="20"/>
                <w:szCs w:val="20"/>
              </w:rPr>
              <w:lastRenderedPageBreak/>
              <w:t>Расходы на выплаты персоналу казенных учреждений</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5520C438" w14:textId="77777777" w:rsidR="00387142" w:rsidRPr="008B6A75" w:rsidRDefault="00387142" w:rsidP="00387142">
            <w:pPr>
              <w:jc w:val="center"/>
              <w:rPr>
                <w:sz w:val="20"/>
                <w:szCs w:val="20"/>
              </w:rPr>
            </w:pPr>
            <w:r w:rsidRPr="008B6A75">
              <w:rPr>
                <w:sz w:val="20"/>
                <w:szCs w:val="20"/>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651477F3" w14:textId="77777777" w:rsidR="00387142" w:rsidRPr="008B6A75" w:rsidRDefault="00387142" w:rsidP="00387142">
            <w:pPr>
              <w:jc w:val="center"/>
              <w:rPr>
                <w:sz w:val="20"/>
                <w:szCs w:val="20"/>
              </w:rPr>
            </w:pPr>
            <w:r w:rsidRPr="008B6A75">
              <w:rPr>
                <w:sz w:val="20"/>
                <w:szCs w:val="20"/>
              </w:rPr>
              <w:t>07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4A9CC9" w14:textId="77777777" w:rsidR="00387142" w:rsidRPr="008B6A75" w:rsidRDefault="00387142" w:rsidP="00387142">
            <w:pPr>
              <w:jc w:val="center"/>
              <w:rPr>
                <w:sz w:val="20"/>
                <w:szCs w:val="20"/>
              </w:rPr>
            </w:pPr>
            <w:r w:rsidRPr="008B6A75">
              <w:rPr>
                <w:sz w:val="20"/>
                <w:szCs w:val="20"/>
              </w:rPr>
              <w:t>02</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126DC05C" w14:textId="77777777" w:rsidR="00387142" w:rsidRPr="008B6A75" w:rsidRDefault="00387142" w:rsidP="00387142">
            <w:pPr>
              <w:jc w:val="center"/>
              <w:rPr>
                <w:sz w:val="20"/>
                <w:szCs w:val="20"/>
              </w:rPr>
            </w:pPr>
            <w:r w:rsidRPr="008B6A75">
              <w:rPr>
                <w:sz w:val="20"/>
                <w:szCs w:val="20"/>
              </w:rPr>
              <w:t>07.1.00.70120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794E22" w14:textId="77777777" w:rsidR="00387142" w:rsidRPr="008B6A75" w:rsidRDefault="00387142" w:rsidP="00387142">
            <w:pPr>
              <w:jc w:val="center"/>
              <w:rPr>
                <w:sz w:val="20"/>
                <w:szCs w:val="20"/>
              </w:rPr>
            </w:pPr>
            <w:r w:rsidRPr="008B6A75">
              <w:rPr>
                <w:sz w:val="20"/>
                <w:szCs w:val="20"/>
              </w:rPr>
              <w:t>110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B7377C" w14:textId="77777777" w:rsidR="00387142" w:rsidRPr="008B6A75" w:rsidRDefault="00387142" w:rsidP="00387142">
            <w:pPr>
              <w:jc w:val="right"/>
              <w:rPr>
                <w:sz w:val="20"/>
                <w:szCs w:val="20"/>
              </w:rPr>
            </w:pPr>
            <w:r w:rsidRPr="008B6A75">
              <w:rPr>
                <w:sz w:val="20"/>
                <w:szCs w:val="20"/>
              </w:rPr>
              <w:t>200 204 137,60</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46D84E50" w14:textId="77777777" w:rsidR="00387142" w:rsidRPr="008B6A75" w:rsidRDefault="00387142" w:rsidP="00387142">
            <w:pPr>
              <w:jc w:val="right"/>
              <w:rPr>
                <w:sz w:val="20"/>
                <w:szCs w:val="20"/>
              </w:rPr>
            </w:pPr>
            <w:r w:rsidRPr="008B6A75">
              <w:rPr>
                <w:sz w:val="20"/>
                <w:szCs w:val="20"/>
              </w:rPr>
              <w:t>227 544 521,03</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412ABA" w14:textId="77777777" w:rsidR="00387142" w:rsidRPr="008B6A75" w:rsidRDefault="00387142" w:rsidP="00387142">
            <w:pPr>
              <w:jc w:val="right"/>
              <w:rPr>
                <w:sz w:val="20"/>
                <w:szCs w:val="20"/>
              </w:rPr>
            </w:pPr>
            <w:r w:rsidRPr="008B6A75">
              <w:rPr>
                <w:sz w:val="20"/>
                <w:szCs w:val="20"/>
              </w:rPr>
              <w:t>256 933 620,03</w:t>
            </w:r>
          </w:p>
        </w:tc>
        <w:tc>
          <w:tcPr>
            <w:tcW w:w="222" w:type="dxa"/>
            <w:vAlign w:val="center"/>
            <w:hideMark/>
          </w:tcPr>
          <w:p w14:paraId="26110F58" w14:textId="77777777" w:rsidR="00387142" w:rsidRPr="008B6A75" w:rsidRDefault="00387142" w:rsidP="00387142">
            <w:pPr>
              <w:rPr>
                <w:sz w:val="20"/>
                <w:szCs w:val="20"/>
              </w:rPr>
            </w:pPr>
          </w:p>
        </w:tc>
      </w:tr>
      <w:tr w:rsidR="00387142" w:rsidRPr="008B6A75" w14:paraId="6BD30889" w14:textId="77777777" w:rsidTr="00387142">
        <w:trPr>
          <w:trHeight w:val="585"/>
        </w:trPr>
        <w:tc>
          <w:tcPr>
            <w:tcW w:w="3021" w:type="dxa"/>
            <w:tcBorders>
              <w:top w:val="nil"/>
              <w:left w:val="single" w:sz="4" w:space="0" w:color="auto"/>
              <w:bottom w:val="nil"/>
              <w:right w:val="nil"/>
            </w:tcBorders>
            <w:shd w:val="clear" w:color="auto" w:fill="auto"/>
            <w:vAlign w:val="center"/>
            <w:hideMark/>
          </w:tcPr>
          <w:p w14:paraId="784A5E19" w14:textId="77777777" w:rsidR="00387142" w:rsidRPr="008B6A75" w:rsidRDefault="00387142" w:rsidP="00387142">
            <w:pPr>
              <w:rPr>
                <w:sz w:val="20"/>
                <w:szCs w:val="20"/>
              </w:rPr>
            </w:pPr>
            <w:r w:rsidRPr="008B6A75">
              <w:rPr>
                <w:sz w:val="20"/>
                <w:szCs w:val="20"/>
              </w:rPr>
              <w:t>Закупка товаров, работ и услуг для обеспечения государственных (муниципальных) нужд</w:t>
            </w:r>
          </w:p>
        </w:tc>
        <w:tc>
          <w:tcPr>
            <w:tcW w:w="850" w:type="dxa"/>
            <w:tcBorders>
              <w:top w:val="nil"/>
              <w:left w:val="single" w:sz="4" w:space="0" w:color="auto"/>
              <w:bottom w:val="nil"/>
              <w:right w:val="nil"/>
            </w:tcBorders>
            <w:shd w:val="clear" w:color="auto" w:fill="auto"/>
            <w:noWrap/>
            <w:vAlign w:val="center"/>
            <w:hideMark/>
          </w:tcPr>
          <w:p w14:paraId="5808EC7A" w14:textId="77777777" w:rsidR="00387142" w:rsidRPr="008B6A75" w:rsidRDefault="00387142" w:rsidP="00387142">
            <w:pPr>
              <w:jc w:val="center"/>
              <w:rPr>
                <w:sz w:val="20"/>
                <w:szCs w:val="20"/>
              </w:rPr>
            </w:pPr>
            <w:r w:rsidRPr="008B6A75">
              <w:rPr>
                <w:sz w:val="20"/>
                <w:szCs w:val="20"/>
              </w:rPr>
              <w:t>444</w:t>
            </w:r>
          </w:p>
        </w:tc>
        <w:tc>
          <w:tcPr>
            <w:tcW w:w="709" w:type="dxa"/>
            <w:tcBorders>
              <w:top w:val="nil"/>
              <w:left w:val="single" w:sz="4" w:space="0" w:color="auto"/>
              <w:bottom w:val="nil"/>
              <w:right w:val="nil"/>
            </w:tcBorders>
            <w:shd w:val="clear" w:color="auto" w:fill="auto"/>
            <w:noWrap/>
            <w:vAlign w:val="center"/>
            <w:hideMark/>
          </w:tcPr>
          <w:p w14:paraId="6964E6D9" w14:textId="77777777" w:rsidR="00387142" w:rsidRPr="008B6A75" w:rsidRDefault="00387142" w:rsidP="00387142">
            <w:pPr>
              <w:jc w:val="center"/>
              <w:rPr>
                <w:sz w:val="20"/>
                <w:szCs w:val="20"/>
              </w:rPr>
            </w:pPr>
            <w:r w:rsidRPr="008B6A75">
              <w:rPr>
                <w:sz w:val="20"/>
                <w:szCs w:val="20"/>
              </w:rPr>
              <w:t>07</w:t>
            </w:r>
          </w:p>
        </w:tc>
        <w:tc>
          <w:tcPr>
            <w:tcW w:w="709" w:type="dxa"/>
            <w:tcBorders>
              <w:top w:val="nil"/>
              <w:left w:val="single" w:sz="4" w:space="0" w:color="auto"/>
              <w:bottom w:val="nil"/>
              <w:right w:val="single" w:sz="4" w:space="0" w:color="auto"/>
            </w:tcBorders>
            <w:shd w:val="clear" w:color="auto" w:fill="auto"/>
            <w:noWrap/>
            <w:vAlign w:val="center"/>
            <w:hideMark/>
          </w:tcPr>
          <w:p w14:paraId="5EF90D90" w14:textId="77777777" w:rsidR="00387142" w:rsidRPr="008B6A75" w:rsidRDefault="00387142" w:rsidP="00387142">
            <w:pPr>
              <w:jc w:val="center"/>
              <w:rPr>
                <w:sz w:val="20"/>
                <w:szCs w:val="20"/>
              </w:rPr>
            </w:pPr>
            <w:r w:rsidRPr="008B6A75">
              <w:rPr>
                <w:sz w:val="20"/>
                <w:szCs w:val="20"/>
              </w:rPr>
              <w:t>02</w:t>
            </w:r>
          </w:p>
        </w:tc>
        <w:tc>
          <w:tcPr>
            <w:tcW w:w="1411" w:type="dxa"/>
            <w:tcBorders>
              <w:top w:val="nil"/>
              <w:left w:val="single" w:sz="4" w:space="0" w:color="auto"/>
              <w:bottom w:val="nil"/>
              <w:right w:val="nil"/>
            </w:tcBorders>
            <w:shd w:val="clear" w:color="auto" w:fill="auto"/>
            <w:noWrap/>
            <w:vAlign w:val="center"/>
            <w:hideMark/>
          </w:tcPr>
          <w:p w14:paraId="138A3B63" w14:textId="77777777" w:rsidR="00387142" w:rsidRPr="008B6A75" w:rsidRDefault="00387142" w:rsidP="00387142">
            <w:pPr>
              <w:jc w:val="center"/>
              <w:rPr>
                <w:sz w:val="20"/>
                <w:szCs w:val="20"/>
              </w:rPr>
            </w:pPr>
            <w:r w:rsidRPr="008B6A75">
              <w:rPr>
                <w:sz w:val="20"/>
                <w:szCs w:val="20"/>
              </w:rPr>
              <w:t>07.1.00.70120</w:t>
            </w:r>
          </w:p>
        </w:tc>
        <w:tc>
          <w:tcPr>
            <w:tcW w:w="955" w:type="dxa"/>
            <w:tcBorders>
              <w:top w:val="nil"/>
              <w:left w:val="single" w:sz="4" w:space="0" w:color="auto"/>
              <w:bottom w:val="nil"/>
              <w:right w:val="single" w:sz="4" w:space="0" w:color="auto"/>
            </w:tcBorders>
            <w:shd w:val="clear" w:color="auto" w:fill="auto"/>
            <w:noWrap/>
            <w:vAlign w:val="center"/>
            <w:hideMark/>
          </w:tcPr>
          <w:p w14:paraId="3914F1EC" w14:textId="77777777" w:rsidR="00387142" w:rsidRPr="008B6A75" w:rsidRDefault="00387142" w:rsidP="00387142">
            <w:pPr>
              <w:jc w:val="center"/>
              <w:rPr>
                <w:sz w:val="20"/>
                <w:szCs w:val="20"/>
              </w:rPr>
            </w:pPr>
            <w:r w:rsidRPr="008B6A75">
              <w:rPr>
                <w:sz w:val="20"/>
                <w:szCs w:val="20"/>
              </w:rPr>
              <w:t>200</w:t>
            </w:r>
          </w:p>
        </w:tc>
        <w:tc>
          <w:tcPr>
            <w:tcW w:w="992" w:type="dxa"/>
            <w:tcBorders>
              <w:top w:val="nil"/>
              <w:left w:val="single" w:sz="4" w:space="0" w:color="auto"/>
              <w:bottom w:val="nil"/>
              <w:right w:val="single" w:sz="4" w:space="0" w:color="auto"/>
            </w:tcBorders>
            <w:shd w:val="clear" w:color="auto" w:fill="auto"/>
            <w:noWrap/>
            <w:vAlign w:val="center"/>
            <w:hideMark/>
          </w:tcPr>
          <w:p w14:paraId="7391C3F9" w14:textId="77777777" w:rsidR="00387142" w:rsidRPr="008B6A75" w:rsidRDefault="00387142" w:rsidP="00387142">
            <w:pPr>
              <w:jc w:val="right"/>
              <w:rPr>
                <w:sz w:val="20"/>
                <w:szCs w:val="20"/>
              </w:rPr>
            </w:pPr>
            <w:r w:rsidRPr="008B6A75">
              <w:rPr>
                <w:sz w:val="20"/>
                <w:szCs w:val="20"/>
              </w:rPr>
              <w:t>3 367 362,32</w:t>
            </w:r>
          </w:p>
        </w:tc>
        <w:tc>
          <w:tcPr>
            <w:tcW w:w="992" w:type="dxa"/>
            <w:gridSpan w:val="2"/>
            <w:tcBorders>
              <w:top w:val="nil"/>
              <w:left w:val="single" w:sz="4" w:space="0" w:color="auto"/>
              <w:bottom w:val="nil"/>
              <w:right w:val="nil"/>
            </w:tcBorders>
            <w:shd w:val="clear" w:color="auto" w:fill="auto"/>
            <w:noWrap/>
            <w:vAlign w:val="center"/>
            <w:hideMark/>
          </w:tcPr>
          <w:p w14:paraId="3A180E1C" w14:textId="77777777" w:rsidR="00387142" w:rsidRPr="008B6A75" w:rsidRDefault="00387142" w:rsidP="00387142">
            <w:pPr>
              <w:jc w:val="right"/>
              <w:rPr>
                <w:sz w:val="20"/>
                <w:szCs w:val="20"/>
              </w:rPr>
            </w:pPr>
            <w:r w:rsidRPr="008B6A75">
              <w:rPr>
                <w:sz w:val="20"/>
                <w:szCs w:val="20"/>
              </w:rPr>
              <w:t>3 425 600,00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47E21C51" w14:textId="77777777" w:rsidR="00387142" w:rsidRPr="008B6A75" w:rsidRDefault="00387142" w:rsidP="00387142">
            <w:pPr>
              <w:jc w:val="right"/>
              <w:rPr>
                <w:sz w:val="20"/>
                <w:szCs w:val="20"/>
              </w:rPr>
            </w:pPr>
            <w:r w:rsidRPr="008B6A75">
              <w:rPr>
                <w:sz w:val="20"/>
                <w:szCs w:val="20"/>
              </w:rPr>
              <w:t>3 425 600,00</w:t>
            </w:r>
          </w:p>
        </w:tc>
        <w:tc>
          <w:tcPr>
            <w:tcW w:w="222" w:type="dxa"/>
            <w:vAlign w:val="center"/>
            <w:hideMark/>
          </w:tcPr>
          <w:p w14:paraId="48652897" w14:textId="77777777" w:rsidR="00387142" w:rsidRPr="008B6A75" w:rsidRDefault="00387142" w:rsidP="00387142">
            <w:pPr>
              <w:rPr>
                <w:sz w:val="20"/>
                <w:szCs w:val="20"/>
              </w:rPr>
            </w:pPr>
          </w:p>
        </w:tc>
      </w:tr>
      <w:tr w:rsidR="00387142" w:rsidRPr="008B6A75" w14:paraId="254893D3" w14:textId="77777777" w:rsidTr="00387142">
        <w:trPr>
          <w:trHeight w:val="870"/>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19FB6E40" w14:textId="77777777" w:rsidR="00387142" w:rsidRPr="008B6A75" w:rsidRDefault="00387142" w:rsidP="00387142">
            <w:pPr>
              <w:rPr>
                <w:sz w:val="20"/>
                <w:szCs w:val="20"/>
              </w:rPr>
            </w:pPr>
            <w:r w:rsidRPr="008B6A75">
              <w:rPr>
                <w:sz w:val="20"/>
                <w:szCs w:val="20"/>
              </w:rPr>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5DC1581A" w14:textId="77777777" w:rsidR="00387142" w:rsidRPr="008B6A75" w:rsidRDefault="00387142" w:rsidP="00387142">
            <w:pPr>
              <w:jc w:val="center"/>
              <w:rPr>
                <w:sz w:val="20"/>
                <w:szCs w:val="20"/>
              </w:rPr>
            </w:pPr>
            <w:r w:rsidRPr="008B6A75">
              <w:rPr>
                <w:sz w:val="20"/>
                <w:szCs w:val="20"/>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5D5DC8E4" w14:textId="77777777" w:rsidR="00387142" w:rsidRPr="008B6A75" w:rsidRDefault="00387142" w:rsidP="00387142">
            <w:pPr>
              <w:jc w:val="center"/>
              <w:rPr>
                <w:sz w:val="20"/>
                <w:szCs w:val="20"/>
              </w:rPr>
            </w:pPr>
            <w:r w:rsidRPr="008B6A75">
              <w:rPr>
                <w:sz w:val="20"/>
                <w:szCs w:val="20"/>
              </w:rPr>
              <w:t>07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F0BECC" w14:textId="77777777" w:rsidR="00387142" w:rsidRPr="008B6A75" w:rsidRDefault="00387142" w:rsidP="00387142">
            <w:pPr>
              <w:jc w:val="center"/>
              <w:rPr>
                <w:sz w:val="20"/>
                <w:szCs w:val="20"/>
              </w:rPr>
            </w:pPr>
            <w:r w:rsidRPr="008B6A75">
              <w:rPr>
                <w:sz w:val="20"/>
                <w:szCs w:val="20"/>
              </w:rPr>
              <w:t>02</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3BD48E7F" w14:textId="77777777" w:rsidR="00387142" w:rsidRPr="008B6A75" w:rsidRDefault="00387142" w:rsidP="00387142">
            <w:pPr>
              <w:jc w:val="center"/>
              <w:rPr>
                <w:sz w:val="20"/>
                <w:szCs w:val="20"/>
              </w:rPr>
            </w:pPr>
            <w:r w:rsidRPr="008B6A75">
              <w:rPr>
                <w:sz w:val="20"/>
                <w:szCs w:val="20"/>
              </w:rPr>
              <w:t>07.1.00.70120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6B77AD" w14:textId="77777777" w:rsidR="00387142" w:rsidRPr="008B6A75" w:rsidRDefault="00387142" w:rsidP="00387142">
            <w:pPr>
              <w:jc w:val="center"/>
              <w:rPr>
                <w:sz w:val="20"/>
                <w:szCs w:val="20"/>
              </w:rPr>
            </w:pPr>
            <w:r w:rsidRPr="008B6A75">
              <w:rPr>
                <w:sz w:val="20"/>
                <w:szCs w:val="20"/>
              </w:rPr>
              <w:t>240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DB0403" w14:textId="77777777" w:rsidR="00387142" w:rsidRPr="008B6A75" w:rsidRDefault="00387142" w:rsidP="00387142">
            <w:pPr>
              <w:jc w:val="right"/>
              <w:rPr>
                <w:sz w:val="20"/>
                <w:szCs w:val="20"/>
              </w:rPr>
            </w:pPr>
            <w:r w:rsidRPr="008B6A75">
              <w:rPr>
                <w:sz w:val="20"/>
                <w:szCs w:val="20"/>
              </w:rPr>
              <w:t>3 367 362,32</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3235AA9A" w14:textId="77777777" w:rsidR="00387142" w:rsidRPr="008B6A75" w:rsidRDefault="00387142" w:rsidP="00387142">
            <w:pPr>
              <w:jc w:val="right"/>
              <w:rPr>
                <w:sz w:val="20"/>
                <w:szCs w:val="20"/>
              </w:rPr>
            </w:pPr>
            <w:r w:rsidRPr="008B6A75">
              <w:rPr>
                <w:sz w:val="20"/>
                <w:szCs w:val="20"/>
              </w:rPr>
              <w:t>3 425 600,00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DEA2AC" w14:textId="77777777" w:rsidR="00387142" w:rsidRPr="008B6A75" w:rsidRDefault="00387142" w:rsidP="00387142">
            <w:pPr>
              <w:jc w:val="right"/>
              <w:rPr>
                <w:sz w:val="20"/>
                <w:szCs w:val="20"/>
              </w:rPr>
            </w:pPr>
            <w:r w:rsidRPr="008B6A75">
              <w:rPr>
                <w:sz w:val="20"/>
                <w:szCs w:val="20"/>
              </w:rPr>
              <w:t>3 425 600,00</w:t>
            </w:r>
          </w:p>
        </w:tc>
        <w:tc>
          <w:tcPr>
            <w:tcW w:w="222" w:type="dxa"/>
            <w:vAlign w:val="center"/>
            <w:hideMark/>
          </w:tcPr>
          <w:p w14:paraId="2B137A53" w14:textId="77777777" w:rsidR="00387142" w:rsidRPr="008B6A75" w:rsidRDefault="00387142" w:rsidP="00387142">
            <w:pPr>
              <w:rPr>
                <w:sz w:val="20"/>
                <w:szCs w:val="20"/>
              </w:rPr>
            </w:pPr>
          </w:p>
        </w:tc>
      </w:tr>
      <w:tr w:rsidR="00387142" w:rsidRPr="008B6A75" w14:paraId="5D12797A" w14:textId="77777777" w:rsidTr="00387142">
        <w:trPr>
          <w:trHeight w:val="870"/>
        </w:trPr>
        <w:tc>
          <w:tcPr>
            <w:tcW w:w="3021" w:type="dxa"/>
            <w:tcBorders>
              <w:top w:val="nil"/>
              <w:left w:val="single" w:sz="4" w:space="0" w:color="auto"/>
              <w:bottom w:val="nil"/>
              <w:right w:val="nil"/>
            </w:tcBorders>
            <w:shd w:val="clear" w:color="auto" w:fill="auto"/>
            <w:vAlign w:val="center"/>
            <w:hideMark/>
          </w:tcPr>
          <w:p w14:paraId="6C5BDF0A" w14:textId="77777777" w:rsidR="00387142" w:rsidRPr="008B6A75" w:rsidRDefault="00387142" w:rsidP="00387142">
            <w:pPr>
              <w:rPr>
                <w:sz w:val="20"/>
                <w:szCs w:val="20"/>
              </w:rPr>
            </w:pPr>
            <w:r w:rsidRPr="008B6A75">
              <w:rPr>
                <w:sz w:val="20"/>
                <w:szCs w:val="20"/>
              </w:rPr>
              <w:t>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right w:val="nil"/>
            </w:tcBorders>
            <w:shd w:val="clear" w:color="auto" w:fill="auto"/>
            <w:noWrap/>
            <w:vAlign w:val="center"/>
            <w:hideMark/>
          </w:tcPr>
          <w:p w14:paraId="1B887739" w14:textId="77777777" w:rsidR="00387142" w:rsidRPr="008B6A75" w:rsidRDefault="00387142" w:rsidP="00387142">
            <w:pPr>
              <w:jc w:val="center"/>
              <w:rPr>
                <w:sz w:val="20"/>
                <w:szCs w:val="20"/>
              </w:rPr>
            </w:pPr>
            <w:r w:rsidRPr="008B6A75">
              <w:rPr>
                <w:sz w:val="20"/>
                <w:szCs w:val="20"/>
              </w:rPr>
              <w:t>444</w:t>
            </w:r>
          </w:p>
        </w:tc>
        <w:tc>
          <w:tcPr>
            <w:tcW w:w="709" w:type="dxa"/>
            <w:tcBorders>
              <w:top w:val="nil"/>
              <w:left w:val="single" w:sz="4" w:space="0" w:color="auto"/>
              <w:bottom w:val="nil"/>
              <w:right w:val="nil"/>
            </w:tcBorders>
            <w:shd w:val="clear" w:color="auto" w:fill="auto"/>
            <w:noWrap/>
            <w:vAlign w:val="center"/>
            <w:hideMark/>
          </w:tcPr>
          <w:p w14:paraId="5D529175" w14:textId="77777777" w:rsidR="00387142" w:rsidRPr="008B6A75" w:rsidRDefault="00387142" w:rsidP="00387142">
            <w:pPr>
              <w:jc w:val="center"/>
              <w:rPr>
                <w:sz w:val="20"/>
                <w:szCs w:val="20"/>
              </w:rPr>
            </w:pPr>
            <w:r w:rsidRPr="008B6A75">
              <w:rPr>
                <w:sz w:val="20"/>
                <w:szCs w:val="20"/>
              </w:rPr>
              <w:t>07</w:t>
            </w:r>
          </w:p>
        </w:tc>
        <w:tc>
          <w:tcPr>
            <w:tcW w:w="709" w:type="dxa"/>
            <w:tcBorders>
              <w:top w:val="nil"/>
              <w:left w:val="single" w:sz="4" w:space="0" w:color="auto"/>
              <w:bottom w:val="nil"/>
              <w:right w:val="single" w:sz="4" w:space="0" w:color="auto"/>
            </w:tcBorders>
            <w:shd w:val="clear" w:color="auto" w:fill="auto"/>
            <w:noWrap/>
            <w:vAlign w:val="center"/>
            <w:hideMark/>
          </w:tcPr>
          <w:p w14:paraId="43A327D8" w14:textId="77777777" w:rsidR="00387142" w:rsidRPr="008B6A75" w:rsidRDefault="00387142" w:rsidP="00387142">
            <w:pPr>
              <w:jc w:val="center"/>
              <w:rPr>
                <w:sz w:val="20"/>
                <w:szCs w:val="20"/>
              </w:rPr>
            </w:pPr>
            <w:r w:rsidRPr="008B6A75">
              <w:rPr>
                <w:sz w:val="20"/>
                <w:szCs w:val="20"/>
              </w:rPr>
              <w:t>02</w:t>
            </w:r>
          </w:p>
        </w:tc>
        <w:tc>
          <w:tcPr>
            <w:tcW w:w="1411" w:type="dxa"/>
            <w:tcBorders>
              <w:top w:val="nil"/>
              <w:left w:val="single" w:sz="4" w:space="0" w:color="auto"/>
              <w:bottom w:val="nil"/>
              <w:right w:val="nil"/>
            </w:tcBorders>
            <w:shd w:val="clear" w:color="auto" w:fill="auto"/>
            <w:noWrap/>
            <w:vAlign w:val="center"/>
            <w:hideMark/>
          </w:tcPr>
          <w:p w14:paraId="653C6A59" w14:textId="77777777" w:rsidR="00387142" w:rsidRPr="008B6A75" w:rsidRDefault="00387142" w:rsidP="00387142">
            <w:pPr>
              <w:jc w:val="center"/>
              <w:rPr>
                <w:sz w:val="20"/>
                <w:szCs w:val="20"/>
              </w:rPr>
            </w:pPr>
            <w:r w:rsidRPr="008B6A75">
              <w:rPr>
                <w:sz w:val="20"/>
                <w:szCs w:val="20"/>
              </w:rPr>
              <w:t>07.1.00.70120</w:t>
            </w:r>
          </w:p>
        </w:tc>
        <w:tc>
          <w:tcPr>
            <w:tcW w:w="955" w:type="dxa"/>
            <w:tcBorders>
              <w:top w:val="nil"/>
              <w:left w:val="single" w:sz="4" w:space="0" w:color="auto"/>
              <w:bottom w:val="nil"/>
              <w:right w:val="single" w:sz="4" w:space="0" w:color="auto"/>
            </w:tcBorders>
            <w:shd w:val="clear" w:color="auto" w:fill="auto"/>
            <w:noWrap/>
            <w:vAlign w:val="center"/>
            <w:hideMark/>
          </w:tcPr>
          <w:p w14:paraId="59C8D337" w14:textId="77777777" w:rsidR="00387142" w:rsidRPr="008B6A75" w:rsidRDefault="00387142" w:rsidP="00387142">
            <w:pPr>
              <w:jc w:val="center"/>
              <w:rPr>
                <w:sz w:val="20"/>
                <w:szCs w:val="20"/>
              </w:rPr>
            </w:pPr>
            <w:r w:rsidRPr="008B6A75">
              <w:rPr>
                <w:sz w:val="20"/>
                <w:szCs w:val="20"/>
              </w:rPr>
              <w:t>600</w:t>
            </w:r>
          </w:p>
        </w:tc>
        <w:tc>
          <w:tcPr>
            <w:tcW w:w="992" w:type="dxa"/>
            <w:tcBorders>
              <w:top w:val="nil"/>
              <w:left w:val="single" w:sz="4" w:space="0" w:color="auto"/>
              <w:bottom w:val="nil"/>
              <w:right w:val="single" w:sz="4" w:space="0" w:color="auto"/>
            </w:tcBorders>
            <w:shd w:val="clear" w:color="auto" w:fill="auto"/>
            <w:noWrap/>
            <w:vAlign w:val="center"/>
            <w:hideMark/>
          </w:tcPr>
          <w:p w14:paraId="085BBAA1" w14:textId="77777777" w:rsidR="00387142" w:rsidRPr="008B6A75" w:rsidRDefault="00387142" w:rsidP="00387142">
            <w:pPr>
              <w:jc w:val="right"/>
              <w:rPr>
                <w:sz w:val="20"/>
                <w:szCs w:val="20"/>
              </w:rPr>
            </w:pPr>
            <w:r w:rsidRPr="008B6A75">
              <w:rPr>
                <w:sz w:val="20"/>
                <w:szCs w:val="20"/>
              </w:rPr>
              <w:t>222 392 200,08</w:t>
            </w:r>
          </w:p>
        </w:tc>
        <w:tc>
          <w:tcPr>
            <w:tcW w:w="992" w:type="dxa"/>
            <w:gridSpan w:val="2"/>
            <w:tcBorders>
              <w:top w:val="nil"/>
              <w:left w:val="single" w:sz="4" w:space="0" w:color="auto"/>
              <w:bottom w:val="nil"/>
              <w:right w:val="nil"/>
            </w:tcBorders>
            <w:shd w:val="clear" w:color="auto" w:fill="auto"/>
            <w:noWrap/>
            <w:vAlign w:val="center"/>
            <w:hideMark/>
          </w:tcPr>
          <w:p w14:paraId="42135734" w14:textId="77777777" w:rsidR="00387142" w:rsidRPr="008B6A75" w:rsidRDefault="00387142" w:rsidP="00387142">
            <w:pPr>
              <w:jc w:val="right"/>
              <w:rPr>
                <w:sz w:val="20"/>
                <w:szCs w:val="20"/>
              </w:rPr>
            </w:pPr>
            <w:r w:rsidRPr="008B6A75">
              <w:rPr>
                <w:sz w:val="20"/>
                <w:szCs w:val="20"/>
              </w:rPr>
              <w:t>208 451 578,97</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7B053FE0" w14:textId="77777777" w:rsidR="00387142" w:rsidRPr="008B6A75" w:rsidRDefault="00387142" w:rsidP="00387142">
            <w:pPr>
              <w:jc w:val="right"/>
              <w:rPr>
                <w:sz w:val="20"/>
                <w:szCs w:val="20"/>
              </w:rPr>
            </w:pPr>
            <w:r w:rsidRPr="008B6A75">
              <w:rPr>
                <w:sz w:val="20"/>
                <w:szCs w:val="20"/>
              </w:rPr>
              <w:t>208 451 579,97</w:t>
            </w:r>
          </w:p>
        </w:tc>
        <w:tc>
          <w:tcPr>
            <w:tcW w:w="222" w:type="dxa"/>
            <w:vAlign w:val="center"/>
            <w:hideMark/>
          </w:tcPr>
          <w:p w14:paraId="13707A5A" w14:textId="77777777" w:rsidR="00387142" w:rsidRPr="008B6A75" w:rsidRDefault="00387142" w:rsidP="00387142">
            <w:pPr>
              <w:rPr>
                <w:sz w:val="20"/>
                <w:szCs w:val="20"/>
              </w:rPr>
            </w:pPr>
          </w:p>
        </w:tc>
      </w:tr>
      <w:tr w:rsidR="00387142" w:rsidRPr="008B6A75" w14:paraId="2936BDCD" w14:textId="77777777" w:rsidTr="00387142">
        <w:trPr>
          <w:trHeight w:val="300"/>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28CB32A9" w14:textId="77777777" w:rsidR="00387142" w:rsidRPr="008B6A75" w:rsidRDefault="00387142" w:rsidP="00387142">
            <w:pPr>
              <w:rPr>
                <w:sz w:val="20"/>
                <w:szCs w:val="20"/>
              </w:rPr>
            </w:pPr>
            <w:r w:rsidRPr="008B6A75">
              <w:rPr>
                <w:sz w:val="20"/>
                <w:szCs w:val="20"/>
              </w:rPr>
              <w:t>Субсидии бюджетным учреждениям</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1663421B" w14:textId="77777777" w:rsidR="00387142" w:rsidRPr="008B6A75" w:rsidRDefault="00387142" w:rsidP="00387142">
            <w:pPr>
              <w:jc w:val="center"/>
              <w:rPr>
                <w:sz w:val="20"/>
                <w:szCs w:val="20"/>
              </w:rPr>
            </w:pPr>
            <w:r w:rsidRPr="008B6A75">
              <w:rPr>
                <w:sz w:val="20"/>
                <w:szCs w:val="20"/>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78EBCEEF" w14:textId="77777777" w:rsidR="00387142" w:rsidRPr="008B6A75" w:rsidRDefault="00387142" w:rsidP="00387142">
            <w:pPr>
              <w:jc w:val="center"/>
              <w:rPr>
                <w:sz w:val="20"/>
                <w:szCs w:val="20"/>
              </w:rPr>
            </w:pPr>
            <w:r w:rsidRPr="008B6A75">
              <w:rPr>
                <w:sz w:val="20"/>
                <w:szCs w:val="20"/>
              </w:rPr>
              <w:t>07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6EB1D2" w14:textId="77777777" w:rsidR="00387142" w:rsidRPr="008B6A75" w:rsidRDefault="00387142" w:rsidP="00387142">
            <w:pPr>
              <w:jc w:val="center"/>
              <w:rPr>
                <w:sz w:val="20"/>
                <w:szCs w:val="20"/>
              </w:rPr>
            </w:pPr>
            <w:r w:rsidRPr="008B6A75">
              <w:rPr>
                <w:sz w:val="20"/>
                <w:szCs w:val="20"/>
              </w:rPr>
              <w:t>02</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76A876AA" w14:textId="77777777" w:rsidR="00387142" w:rsidRPr="008B6A75" w:rsidRDefault="00387142" w:rsidP="00387142">
            <w:pPr>
              <w:jc w:val="center"/>
              <w:rPr>
                <w:sz w:val="20"/>
                <w:szCs w:val="20"/>
              </w:rPr>
            </w:pPr>
            <w:r w:rsidRPr="008B6A75">
              <w:rPr>
                <w:sz w:val="20"/>
                <w:szCs w:val="20"/>
              </w:rPr>
              <w:t>07.1.00.70120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DD4C7F" w14:textId="77777777" w:rsidR="00387142" w:rsidRPr="008B6A75" w:rsidRDefault="00387142" w:rsidP="00387142">
            <w:pPr>
              <w:jc w:val="center"/>
              <w:rPr>
                <w:sz w:val="20"/>
                <w:szCs w:val="20"/>
              </w:rPr>
            </w:pPr>
            <w:r w:rsidRPr="008B6A75">
              <w:rPr>
                <w:sz w:val="20"/>
                <w:szCs w:val="20"/>
              </w:rPr>
              <w:t>610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CC7DFA" w14:textId="77777777" w:rsidR="00387142" w:rsidRPr="008B6A75" w:rsidRDefault="00387142" w:rsidP="00387142">
            <w:pPr>
              <w:jc w:val="right"/>
              <w:rPr>
                <w:sz w:val="20"/>
                <w:szCs w:val="20"/>
              </w:rPr>
            </w:pPr>
            <w:r w:rsidRPr="008B6A75">
              <w:rPr>
                <w:sz w:val="20"/>
                <w:szCs w:val="20"/>
              </w:rPr>
              <w:t>222 392 200,08</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2309B17F" w14:textId="77777777" w:rsidR="00387142" w:rsidRPr="008B6A75" w:rsidRDefault="00387142" w:rsidP="00387142">
            <w:pPr>
              <w:jc w:val="right"/>
              <w:rPr>
                <w:sz w:val="20"/>
                <w:szCs w:val="20"/>
              </w:rPr>
            </w:pPr>
            <w:r w:rsidRPr="008B6A75">
              <w:rPr>
                <w:sz w:val="20"/>
                <w:szCs w:val="20"/>
              </w:rPr>
              <w:t>208 451 578,97</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EB082A" w14:textId="77777777" w:rsidR="00387142" w:rsidRPr="008B6A75" w:rsidRDefault="00387142" w:rsidP="00387142">
            <w:pPr>
              <w:jc w:val="right"/>
              <w:rPr>
                <w:sz w:val="20"/>
                <w:szCs w:val="20"/>
              </w:rPr>
            </w:pPr>
            <w:r w:rsidRPr="008B6A75">
              <w:rPr>
                <w:sz w:val="20"/>
                <w:szCs w:val="20"/>
              </w:rPr>
              <w:t>208 451 579,97</w:t>
            </w:r>
          </w:p>
        </w:tc>
        <w:tc>
          <w:tcPr>
            <w:tcW w:w="222" w:type="dxa"/>
            <w:vAlign w:val="center"/>
            <w:hideMark/>
          </w:tcPr>
          <w:p w14:paraId="64A5017B" w14:textId="77777777" w:rsidR="00387142" w:rsidRPr="008B6A75" w:rsidRDefault="00387142" w:rsidP="00387142">
            <w:pPr>
              <w:rPr>
                <w:sz w:val="20"/>
                <w:szCs w:val="20"/>
              </w:rPr>
            </w:pPr>
          </w:p>
        </w:tc>
      </w:tr>
      <w:tr w:rsidR="00387142" w:rsidRPr="008B6A75" w14:paraId="1BE93C84" w14:textId="77777777" w:rsidTr="00387142">
        <w:trPr>
          <w:trHeight w:val="2580"/>
        </w:trPr>
        <w:tc>
          <w:tcPr>
            <w:tcW w:w="3021" w:type="dxa"/>
            <w:tcBorders>
              <w:top w:val="nil"/>
              <w:left w:val="single" w:sz="4" w:space="0" w:color="auto"/>
              <w:bottom w:val="nil"/>
              <w:right w:val="nil"/>
            </w:tcBorders>
            <w:shd w:val="clear" w:color="auto" w:fill="auto"/>
            <w:vAlign w:val="center"/>
            <w:hideMark/>
          </w:tcPr>
          <w:p w14:paraId="341C2D73" w14:textId="77777777" w:rsidR="00387142" w:rsidRPr="008B6A75" w:rsidRDefault="00387142" w:rsidP="00387142">
            <w:pPr>
              <w:rPr>
                <w:bCs/>
                <w:sz w:val="20"/>
                <w:szCs w:val="20"/>
              </w:rPr>
            </w:pPr>
            <w:r w:rsidRPr="008B6A75">
              <w:rPr>
                <w:bCs/>
                <w:sz w:val="20"/>
                <w:szCs w:val="20"/>
              </w:rPr>
              <w:t>Организация получения образования обучающимися с ограниченными возможностями здоровья в отдельных общеобразовательных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w:t>
            </w:r>
          </w:p>
        </w:tc>
        <w:tc>
          <w:tcPr>
            <w:tcW w:w="850" w:type="dxa"/>
            <w:tcBorders>
              <w:top w:val="nil"/>
              <w:left w:val="single" w:sz="4" w:space="0" w:color="auto"/>
              <w:bottom w:val="nil"/>
              <w:right w:val="nil"/>
            </w:tcBorders>
            <w:shd w:val="clear" w:color="auto" w:fill="auto"/>
            <w:noWrap/>
            <w:vAlign w:val="center"/>
            <w:hideMark/>
          </w:tcPr>
          <w:p w14:paraId="380875A9" w14:textId="77777777" w:rsidR="00387142" w:rsidRPr="008B6A75" w:rsidRDefault="00387142" w:rsidP="00387142">
            <w:pPr>
              <w:jc w:val="center"/>
              <w:rPr>
                <w:bCs/>
                <w:sz w:val="20"/>
                <w:szCs w:val="20"/>
              </w:rPr>
            </w:pPr>
            <w:r w:rsidRPr="008B6A75">
              <w:rPr>
                <w:bCs/>
                <w:sz w:val="20"/>
                <w:szCs w:val="20"/>
              </w:rPr>
              <w:t>444</w:t>
            </w:r>
          </w:p>
        </w:tc>
        <w:tc>
          <w:tcPr>
            <w:tcW w:w="709" w:type="dxa"/>
            <w:tcBorders>
              <w:top w:val="nil"/>
              <w:left w:val="single" w:sz="4" w:space="0" w:color="auto"/>
              <w:bottom w:val="nil"/>
              <w:right w:val="nil"/>
            </w:tcBorders>
            <w:shd w:val="clear" w:color="auto" w:fill="auto"/>
            <w:noWrap/>
            <w:vAlign w:val="center"/>
            <w:hideMark/>
          </w:tcPr>
          <w:p w14:paraId="3796A8EA" w14:textId="77777777" w:rsidR="00387142" w:rsidRPr="008B6A75" w:rsidRDefault="00387142" w:rsidP="00387142">
            <w:pPr>
              <w:jc w:val="center"/>
              <w:rPr>
                <w:bCs/>
                <w:sz w:val="20"/>
                <w:szCs w:val="20"/>
              </w:rPr>
            </w:pPr>
            <w:r w:rsidRPr="008B6A75">
              <w:rPr>
                <w:bCs/>
                <w:sz w:val="20"/>
                <w:szCs w:val="20"/>
              </w:rPr>
              <w:t>07</w:t>
            </w:r>
          </w:p>
        </w:tc>
        <w:tc>
          <w:tcPr>
            <w:tcW w:w="709" w:type="dxa"/>
            <w:tcBorders>
              <w:top w:val="nil"/>
              <w:left w:val="single" w:sz="4" w:space="0" w:color="auto"/>
              <w:bottom w:val="nil"/>
              <w:right w:val="single" w:sz="4" w:space="0" w:color="auto"/>
            </w:tcBorders>
            <w:shd w:val="clear" w:color="auto" w:fill="auto"/>
            <w:noWrap/>
            <w:vAlign w:val="center"/>
            <w:hideMark/>
          </w:tcPr>
          <w:p w14:paraId="29DAEEA7" w14:textId="77777777" w:rsidR="00387142" w:rsidRPr="008B6A75" w:rsidRDefault="00387142" w:rsidP="00387142">
            <w:pPr>
              <w:jc w:val="center"/>
              <w:rPr>
                <w:bCs/>
                <w:sz w:val="20"/>
                <w:szCs w:val="20"/>
              </w:rPr>
            </w:pPr>
            <w:r w:rsidRPr="008B6A75">
              <w:rPr>
                <w:bCs/>
                <w:sz w:val="20"/>
                <w:szCs w:val="20"/>
              </w:rPr>
              <w:t>02</w:t>
            </w:r>
          </w:p>
        </w:tc>
        <w:tc>
          <w:tcPr>
            <w:tcW w:w="1411" w:type="dxa"/>
            <w:tcBorders>
              <w:top w:val="nil"/>
              <w:left w:val="single" w:sz="4" w:space="0" w:color="auto"/>
              <w:bottom w:val="nil"/>
              <w:right w:val="nil"/>
            </w:tcBorders>
            <w:shd w:val="clear" w:color="auto" w:fill="auto"/>
            <w:noWrap/>
            <w:vAlign w:val="center"/>
            <w:hideMark/>
          </w:tcPr>
          <w:p w14:paraId="4F0247BF" w14:textId="77777777" w:rsidR="00387142" w:rsidRPr="008B6A75" w:rsidRDefault="00387142" w:rsidP="00387142">
            <w:pPr>
              <w:jc w:val="center"/>
              <w:rPr>
                <w:bCs/>
                <w:sz w:val="20"/>
                <w:szCs w:val="20"/>
              </w:rPr>
            </w:pPr>
            <w:r w:rsidRPr="008B6A75">
              <w:rPr>
                <w:bCs/>
                <w:sz w:val="20"/>
                <w:szCs w:val="20"/>
              </w:rPr>
              <w:t>07.1.00.70140</w:t>
            </w:r>
          </w:p>
        </w:tc>
        <w:tc>
          <w:tcPr>
            <w:tcW w:w="955" w:type="dxa"/>
            <w:tcBorders>
              <w:top w:val="nil"/>
              <w:left w:val="single" w:sz="4" w:space="0" w:color="auto"/>
              <w:bottom w:val="nil"/>
              <w:right w:val="single" w:sz="4" w:space="0" w:color="auto"/>
            </w:tcBorders>
            <w:shd w:val="clear" w:color="auto" w:fill="auto"/>
            <w:noWrap/>
            <w:vAlign w:val="center"/>
            <w:hideMark/>
          </w:tcPr>
          <w:p w14:paraId="25874461"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nil"/>
              <w:right w:val="single" w:sz="4" w:space="0" w:color="auto"/>
            </w:tcBorders>
            <w:shd w:val="clear" w:color="auto" w:fill="auto"/>
            <w:noWrap/>
            <w:vAlign w:val="center"/>
            <w:hideMark/>
          </w:tcPr>
          <w:p w14:paraId="5156F67C" w14:textId="77777777" w:rsidR="00387142" w:rsidRPr="008B6A75" w:rsidRDefault="00387142" w:rsidP="00387142">
            <w:pPr>
              <w:jc w:val="right"/>
              <w:rPr>
                <w:bCs/>
                <w:sz w:val="20"/>
                <w:szCs w:val="20"/>
              </w:rPr>
            </w:pPr>
            <w:r w:rsidRPr="008B6A75">
              <w:rPr>
                <w:bCs/>
                <w:sz w:val="20"/>
                <w:szCs w:val="20"/>
              </w:rPr>
              <w:t>62 636 900,00</w:t>
            </w:r>
          </w:p>
        </w:tc>
        <w:tc>
          <w:tcPr>
            <w:tcW w:w="992" w:type="dxa"/>
            <w:gridSpan w:val="2"/>
            <w:tcBorders>
              <w:top w:val="nil"/>
              <w:left w:val="single" w:sz="4" w:space="0" w:color="auto"/>
              <w:bottom w:val="nil"/>
              <w:right w:val="nil"/>
            </w:tcBorders>
            <w:shd w:val="clear" w:color="auto" w:fill="auto"/>
            <w:noWrap/>
            <w:vAlign w:val="center"/>
            <w:hideMark/>
          </w:tcPr>
          <w:p w14:paraId="103AC433" w14:textId="77777777" w:rsidR="00387142" w:rsidRPr="008B6A75" w:rsidRDefault="00387142" w:rsidP="00387142">
            <w:pPr>
              <w:jc w:val="right"/>
              <w:rPr>
                <w:bCs/>
                <w:sz w:val="20"/>
                <w:szCs w:val="20"/>
              </w:rPr>
            </w:pPr>
            <w:r w:rsidRPr="008B6A75">
              <w:rPr>
                <w:bCs/>
                <w:sz w:val="20"/>
                <w:szCs w:val="20"/>
              </w:rPr>
              <w:t>63 337 500,00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39858124" w14:textId="77777777" w:rsidR="00387142" w:rsidRPr="008B6A75" w:rsidRDefault="00387142" w:rsidP="00387142">
            <w:pPr>
              <w:jc w:val="right"/>
              <w:rPr>
                <w:bCs/>
                <w:sz w:val="20"/>
                <w:szCs w:val="20"/>
              </w:rPr>
            </w:pPr>
            <w:r w:rsidRPr="008B6A75">
              <w:rPr>
                <w:bCs/>
                <w:sz w:val="20"/>
                <w:szCs w:val="20"/>
              </w:rPr>
              <w:t>64 871 000,00</w:t>
            </w:r>
          </w:p>
        </w:tc>
        <w:tc>
          <w:tcPr>
            <w:tcW w:w="222" w:type="dxa"/>
            <w:vAlign w:val="center"/>
            <w:hideMark/>
          </w:tcPr>
          <w:p w14:paraId="51B806C9" w14:textId="77777777" w:rsidR="00387142" w:rsidRPr="008B6A75" w:rsidRDefault="00387142" w:rsidP="00387142">
            <w:pPr>
              <w:rPr>
                <w:sz w:val="20"/>
                <w:szCs w:val="20"/>
              </w:rPr>
            </w:pPr>
          </w:p>
        </w:tc>
      </w:tr>
      <w:tr w:rsidR="00387142" w:rsidRPr="008B6A75" w14:paraId="3089945C" w14:textId="77777777" w:rsidTr="00387142">
        <w:trPr>
          <w:trHeight w:val="1440"/>
        </w:trPr>
        <w:tc>
          <w:tcPr>
            <w:tcW w:w="3021" w:type="dxa"/>
            <w:tcBorders>
              <w:top w:val="single" w:sz="4" w:space="0" w:color="auto"/>
              <w:left w:val="single" w:sz="4" w:space="0" w:color="auto"/>
              <w:bottom w:val="nil"/>
              <w:right w:val="nil"/>
            </w:tcBorders>
            <w:shd w:val="clear" w:color="auto" w:fill="auto"/>
            <w:vAlign w:val="center"/>
            <w:hideMark/>
          </w:tcPr>
          <w:p w14:paraId="5DC35238" w14:textId="77777777" w:rsidR="00387142" w:rsidRPr="008B6A75" w:rsidRDefault="00387142" w:rsidP="00387142">
            <w:pPr>
              <w:rPr>
                <w:sz w:val="20"/>
                <w:szCs w:val="20"/>
              </w:rPr>
            </w:pPr>
            <w:r w:rsidRPr="008B6A7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nil"/>
              <w:right w:val="nil"/>
            </w:tcBorders>
            <w:shd w:val="clear" w:color="auto" w:fill="auto"/>
            <w:noWrap/>
            <w:vAlign w:val="center"/>
            <w:hideMark/>
          </w:tcPr>
          <w:p w14:paraId="29360603" w14:textId="77777777" w:rsidR="00387142" w:rsidRPr="008B6A75" w:rsidRDefault="00387142" w:rsidP="00387142">
            <w:pPr>
              <w:jc w:val="center"/>
              <w:rPr>
                <w:sz w:val="20"/>
                <w:szCs w:val="20"/>
              </w:rPr>
            </w:pPr>
            <w:r w:rsidRPr="008B6A75">
              <w:rPr>
                <w:sz w:val="20"/>
                <w:szCs w:val="20"/>
              </w:rPr>
              <w:t>444</w:t>
            </w:r>
          </w:p>
        </w:tc>
        <w:tc>
          <w:tcPr>
            <w:tcW w:w="709" w:type="dxa"/>
            <w:tcBorders>
              <w:top w:val="single" w:sz="4" w:space="0" w:color="auto"/>
              <w:left w:val="single" w:sz="4" w:space="0" w:color="auto"/>
              <w:bottom w:val="nil"/>
              <w:right w:val="nil"/>
            </w:tcBorders>
            <w:shd w:val="clear" w:color="auto" w:fill="auto"/>
            <w:noWrap/>
            <w:vAlign w:val="center"/>
            <w:hideMark/>
          </w:tcPr>
          <w:p w14:paraId="18916880" w14:textId="77777777" w:rsidR="00387142" w:rsidRPr="008B6A75" w:rsidRDefault="00387142" w:rsidP="00387142">
            <w:pPr>
              <w:jc w:val="center"/>
              <w:rPr>
                <w:sz w:val="20"/>
                <w:szCs w:val="20"/>
              </w:rPr>
            </w:pPr>
            <w:r w:rsidRPr="008B6A75">
              <w:rPr>
                <w:sz w:val="20"/>
                <w:szCs w:val="20"/>
              </w:rPr>
              <w:t>07</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1D62ADF3" w14:textId="77777777" w:rsidR="00387142" w:rsidRPr="008B6A75" w:rsidRDefault="00387142" w:rsidP="00387142">
            <w:pPr>
              <w:jc w:val="center"/>
              <w:rPr>
                <w:sz w:val="20"/>
                <w:szCs w:val="20"/>
              </w:rPr>
            </w:pPr>
            <w:r w:rsidRPr="008B6A75">
              <w:rPr>
                <w:sz w:val="20"/>
                <w:szCs w:val="20"/>
              </w:rPr>
              <w:t>02</w:t>
            </w:r>
          </w:p>
        </w:tc>
        <w:tc>
          <w:tcPr>
            <w:tcW w:w="1411" w:type="dxa"/>
            <w:tcBorders>
              <w:top w:val="single" w:sz="4" w:space="0" w:color="auto"/>
              <w:left w:val="single" w:sz="4" w:space="0" w:color="auto"/>
              <w:bottom w:val="nil"/>
              <w:right w:val="nil"/>
            </w:tcBorders>
            <w:shd w:val="clear" w:color="auto" w:fill="auto"/>
            <w:noWrap/>
            <w:vAlign w:val="center"/>
            <w:hideMark/>
          </w:tcPr>
          <w:p w14:paraId="6DB806A3" w14:textId="77777777" w:rsidR="00387142" w:rsidRPr="008B6A75" w:rsidRDefault="00387142" w:rsidP="00387142">
            <w:pPr>
              <w:jc w:val="center"/>
              <w:rPr>
                <w:sz w:val="20"/>
                <w:szCs w:val="20"/>
              </w:rPr>
            </w:pPr>
            <w:r w:rsidRPr="008B6A75">
              <w:rPr>
                <w:sz w:val="20"/>
                <w:szCs w:val="20"/>
              </w:rPr>
              <w:t>07.1.00.70140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47E3805E" w14:textId="77777777" w:rsidR="00387142" w:rsidRPr="008B6A75" w:rsidRDefault="00387142" w:rsidP="00387142">
            <w:pPr>
              <w:jc w:val="center"/>
              <w:rPr>
                <w:sz w:val="20"/>
                <w:szCs w:val="20"/>
              </w:rPr>
            </w:pPr>
            <w:r w:rsidRPr="008B6A75">
              <w:rPr>
                <w:sz w:val="20"/>
                <w:szCs w:val="20"/>
              </w:rPr>
              <w:t>100</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7DC07860" w14:textId="77777777" w:rsidR="00387142" w:rsidRPr="008B6A75" w:rsidRDefault="00387142" w:rsidP="00387142">
            <w:pPr>
              <w:jc w:val="right"/>
              <w:rPr>
                <w:sz w:val="20"/>
                <w:szCs w:val="20"/>
              </w:rPr>
            </w:pPr>
            <w:r w:rsidRPr="008B6A75">
              <w:rPr>
                <w:sz w:val="20"/>
                <w:szCs w:val="20"/>
              </w:rPr>
              <w:t>48 592 682,32</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5BD70019" w14:textId="77777777" w:rsidR="00387142" w:rsidRPr="008B6A75" w:rsidRDefault="00387142" w:rsidP="00387142">
            <w:pPr>
              <w:jc w:val="right"/>
              <w:rPr>
                <w:sz w:val="20"/>
                <w:szCs w:val="20"/>
              </w:rPr>
            </w:pPr>
            <w:r w:rsidRPr="008B6A75">
              <w:rPr>
                <w:sz w:val="20"/>
                <w:szCs w:val="20"/>
              </w:rPr>
              <w:t>51 797 500,00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622B976C" w14:textId="77777777" w:rsidR="00387142" w:rsidRPr="008B6A75" w:rsidRDefault="00387142" w:rsidP="00387142">
            <w:pPr>
              <w:jc w:val="right"/>
              <w:rPr>
                <w:sz w:val="20"/>
                <w:szCs w:val="20"/>
              </w:rPr>
            </w:pPr>
            <w:r w:rsidRPr="008B6A75">
              <w:rPr>
                <w:sz w:val="20"/>
                <w:szCs w:val="20"/>
              </w:rPr>
              <w:t>52 771 000,00</w:t>
            </w:r>
          </w:p>
        </w:tc>
        <w:tc>
          <w:tcPr>
            <w:tcW w:w="222" w:type="dxa"/>
            <w:vAlign w:val="center"/>
            <w:hideMark/>
          </w:tcPr>
          <w:p w14:paraId="3D5CE9FE" w14:textId="77777777" w:rsidR="00387142" w:rsidRPr="008B6A75" w:rsidRDefault="00387142" w:rsidP="00387142">
            <w:pPr>
              <w:rPr>
                <w:sz w:val="20"/>
                <w:szCs w:val="20"/>
              </w:rPr>
            </w:pPr>
          </w:p>
        </w:tc>
      </w:tr>
      <w:tr w:rsidR="00387142" w:rsidRPr="008B6A75" w14:paraId="25FDAFC1" w14:textId="77777777" w:rsidTr="00387142">
        <w:trPr>
          <w:trHeight w:val="585"/>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290D5428" w14:textId="77777777" w:rsidR="00387142" w:rsidRPr="008B6A75" w:rsidRDefault="00387142" w:rsidP="00387142">
            <w:pPr>
              <w:rPr>
                <w:sz w:val="20"/>
                <w:szCs w:val="20"/>
              </w:rPr>
            </w:pPr>
            <w:r w:rsidRPr="008B6A75">
              <w:rPr>
                <w:sz w:val="20"/>
                <w:szCs w:val="20"/>
              </w:rPr>
              <w:t>Расходы на выплаты персоналу казенных учреждений</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7F6247FC" w14:textId="77777777" w:rsidR="00387142" w:rsidRPr="008B6A75" w:rsidRDefault="00387142" w:rsidP="00387142">
            <w:pPr>
              <w:jc w:val="center"/>
              <w:rPr>
                <w:sz w:val="20"/>
                <w:szCs w:val="20"/>
              </w:rPr>
            </w:pPr>
            <w:r w:rsidRPr="008B6A75">
              <w:rPr>
                <w:sz w:val="20"/>
                <w:szCs w:val="20"/>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78709D5B" w14:textId="77777777" w:rsidR="00387142" w:rsidRPr="008B6A75" w:rsidRDefault="00387142" w:rsidP="00387142">
            <w:pPr>
              <w:jc w:val="center"/>
              <w:rPr>
                <w:sz w:val="20"/>
                <w:szCs w:val="20"/>
              </w:rPr>
            </w:pPr>
            <w:r w:rsidRPr="008B6A75">
              <w:rPr>
                <w:sz w:val="20"/>
                <w:szCs w:val="20"/>
              </w:rPr>
              <w:t>07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51B45B" w14:textId="77777777" w:rsidR="00387142" w:rsidRPr="008B6A75" w:rsidRDefault="00387142" w:rsidP="00387142">
            <w:pPr>
              <w:jc w:val="center"/>
              <w:rPr>
                <w:sz w:val="20"/>
                <w:szCs w:val="20"/>
              </w:rPr>
            </w:pPr>
            <w:r w:rsidRPr="008B6A75">
              <w:rPr>
                <w:sz w:val="20"/>
                <w:szCs w:val="20"/>
              </w:rPr>
              <w:t>02</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4080CA1F" w14:textId="77777777" w:rsidR="00387142" w:rsidRPr="008B6A75" w:rsidRDefault="00387142" w:rsidP="00387142">
            <w:pPr>
              <w:jc w:val="center"/>
              <w:rPr>
                <w:sz w:val="20"/>
                <w:szCs w:val="20"/>
              </w:rPr>
            </w:pPr>
            <w:r w:rsidRPr="008B6A75">
              <w:rPr>
                <w:sz w:val="20"/>
                <w:szCs w:val="20"/>
              </w:rPr>
              <w:t>07.1.00.70140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D6D08B" w14:textId="77777777" w:rsidR="00387142" w:rsidRPr="008B6A75" w:rsidRDefault="00387142" w:rsidP="00387142">
            <w:pPr>
              <w:jc w:val="center"/>
              <w:rPr>
                <w:sz w:val="20"/>
                <w:szCs w:val="20"/>
              </w:rPr>
            </w:pPr>
            <w:r w:rsidRPr="008B6A75">
              <w:rPr>
                <w:sz w:val="20"/>
                <w:szCs w:val="20"/>
              </w:rPr>
              <w:t>110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0B30B2" w14:textId="77777777" w:rsidR="00387142" w:rsidRPr="008B6A75" w:rsidRDefault="00387142" w:rsidP="00387142">
            <w:pPr>
              <w:jc w:val="right"/>
              <w:rPr>
                <w:sz w:val="20"/>
                <w:szCs w:val="20"/>
              </w:rPr>
            </w:pPr>
            <w:r w:rsidRPr="008B6A75">
              <w:rPr>
                <w:sz w:val="20"/>
                <w:szCs w:val="20"/>
              </w:rPr>
              <w:t>48 592 682,32</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03581275" w14:textId="77777777" w:rsidR="00387142" w:rsidRPr="008B6A75" w:rsidRDefault="00387142" w:rsidP="00387142">
            <w:pPr>
              <w:jc w:val="right"/>
              <w:rPr>
                <w:sz w:val="20"/>
                <w:szCs w:val="20"/>
              </w:rPr>
            </w:pPr>
            <w:r w:rsidRPr="008B6A75">
              <w:rPr>
                <w:sz w:val="20"/>
                <w:szCs w:val="20"/>
              </w:rPr>
              <w:t>51 797 500,00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C8B44B" w14:textId="77777777" w:rsidR="00387142" w:rsidRPr="008B6A75" w:rsidRDefault="00387142" w:rsidP="00387142">
            <w:pPr>
              <w:jc w:val="right"/>
              <w:rPr>
                <w:sz w:val="20"/>
                <w:szCs w:val="20"/>
              </w:rPr>
            </w:pPr>
            <w:r w:rsidRPr="008B6A75">
              <w:rPr>
                <w:sz w:val="20"/>
                <w:szCs w:val="20"/>
              </w:rPr>
              <w:t>52 771 000,00</w:t>
            </w:r>
          </w:p>
        </w:tc>
        <w:tc>
          <w:tcPr>
            <w:tcW w:w="222" w:type="dxa"/>
            <w:vAlign w:val="center"/>
            <w:hideMark/>
          </w:tcPr>
          <w:p w14:paraId="02B99E61" w14:textId="77777777" w:rsidR="00387142" w:rsidRPr="008B6A75" w:rsidRDefault="00387142" w:rsidP="00387142">
            <w:pPr>
              <w:rPr>
                <w:sz w:val="20"/>
                <w:szCs w:val="20"/>
              </w:rPr>
            </w:pPr>
          </w:p>
        </w:tc>
      </w:tr>
      <w:tr w:rsidR="00387142" w:rsidRPr="008B6A75" w14:paraId="25C4C83C" w14:textId="77777777" w:rsidTr="00387142">
        <w:trPr>
          <w:trHeight w:val="585"/>
        </w:trPr>
        <w:tc>
          <w:tcPr>
            <w:tcW w:w="3021" w:type="dxa"/>
            <w:tcBorders>
              <w:top w:val="nil"/>
              <w:left w:val="single" w:sz="4" w:space="0" w:color="auto"/>
              <w:bottom w:val="nil"/>
              <w:right w:val="nil"/>
            </w:tcBorders>
            <w:shd w:val="clear" w:color="auto" w:fill="auto"/>
            <w:vAlign w:val="center"/>
            <w:hideMark/>
          </w:tcPr>
          <w:p w14:paraId="104C41A8" w14:textId="77777777" w:rsidR="00387142" w:rsidRPr="008B6A75" w:rsidRDefault="00387142" w:rsidP="00387142">
            <w:pPr>
              <w:rPr>
                <w:sz w:val="20"/>
                <w:szCs w:val="20"/>
              </w:rPr>
            </w:pPr>
            <w:r w:rsidRPr="008B6A75">
              <w:rPr>
                <w:sz w:val="20"/>
                <w:szCs w:val="20"/>
              </w:rPr>
              <w:t>Закупка товаров, работ и услуг для обеспечения государственных (муниципальных) нужд</w:t>
            </w:r>
          </w:p>
        </w:tc>
        <w:tc>
          <w:tcPr>
            <w:tcW w:w="850" w:type="dxa"/>
            <w:tcBorders>
              <w:top w:val="nil"/>
              <w:left w:val="single" w:sz="4" w:space="0" w:color="auto"/>
              <w:bottom w:val="nil"/>
              <w:right w:val="nil"/>
            </w:tcBorders>
            <w:shd w:val="clear" w:color="auto" w:fill="auto"/>
            <w:noWrap/>
            <w:vAlign w:val="center"/>
            <w:hideMark/>
          </w:tcPr>
          <w:p w14:paraId="587F7989" w14:textId="77777777" w:rsidR="00387142" w:rsidRPr="008B6A75" w:rsidRDefault="00387142" w:rsidP="00387142">
            <w:pPr>
              <w:jc w:val="center"/>
              <w:rPr>
                <w:sz w:val="20"/>
                <w:szCs w:val="20"/>
              </w:rPr>
            </w:pPr>
            <w:r w:rsidRPr="008B6A75">
              <w:rPr>
                <w:sz w:val="20"/>
                <w:szCs w:val="20"/>
              </w:rPr>
              <w:t>444</w:t>
            </w:r>
          </w:p>
        </w:tc>
        <w:tc>
          <w:tcPr>
            <w:tcW w:w="709" w:type="dxa"/>
            <w:tcBorders>
              <w:top w:val="nil"/>
              <w:left w:val="single" w:sz="4" w:space="0" w:color="auto"/>
              <w:bottom w:val="nil"/>
              <w:right w:val="nil"/>
            </w:tcBorders>
            <w:shd w:val="clear" w:color="auto" w:fill="auto"/>
            <w:noWrap/>
            <w:vAlign w:val="center"/>
            <w:hideMark/>
          </w:tcPr>
          <w:p w14:paraId="2D665CC1" w14:textId="77777777" w:rsidR="00387142" w:rsidRPr="008B6A75" w:rsidRDefault="00387142" w:rsidP="00387142">
            <w:pPr>
              <w:jc w:val="center"/>
              <w:rPr>
                <w:sz w:val="20"/>
                <w:szCs w:val="20"/>
              </w:rPr>
            </w:pPr>
            <w:r w:rsidRPr="008B6A75">
              <w:rPr>
                <w:sz w:val="20"/>
                <w:szCs w:val="20"/>
              </w:rPr>
              <w:t>07</w:t>
            </w:r>
          </w:p>
        </w:tc>
        <w:tc>
          <w:tcPr>
            <w:tcW w:w="709" w:type="dxa"/>
            <w:tcBorders>
              <w:top w:val="nil"/>
              <w:left w:val="single" w:sz="4" w:space="0" w:color="auto"/>
              <w:bottom w:val="nil"/>
              <w:right w:val="single" w:sz="4" w:space="0" w:color="auto"/>
            </w:tcBorders>
            <w:shd w:val="clear" w:color="auto" w:fill="auto"/>
            <w:noWrap/>
            <w:vAlign w:val="center"/>
            <w:hideMark/>
          </w:tcPr>
          <w:p w14:paraId="4B0125BD" w14:textId="77777777" w:rsidR="00387142" w:rsidRPr="008B6A75" w:rsidRDefault="00387142" w:rsidP="00387142">
            <w:pPr>
              <w:jc w:val="center"/>
              <w:rPr>
                <w:sz w:val="20"/>
                <w:szCs w:val="20"/>
              </w:rPr>
            </w:pPr>
            <w:r w:rsidRPr="008B6A75">
              <w:rPr>
                <w:sz w:val="20"/>
                <w:szCs w:val="20"/>
              </w:rPr>
              <w:t>02</w:t>
            </w:r>
          </w:p>
        </w:tc>
        <w:tc>
          <w:tcPr>
            <w:tcW w:w="1411" w:type="dxa"/>
            <w:tcBorders>
              <w:top w:val="nil"/>
              <w:left w:val="single" w:sz="4" w:space="0" w:color="auto"/>
              <w:bottom w:val="nil"/>
              <w:right w:val="nil"/>
            </w:tcBorders>
            <w:shd w:val="clear" w:color="auto" w:fill="auto"/>
            <w:noWrap/>
            <w:vAlign w:val="center"/>
            <w:hideMark/>
          </w:tcPr>
          <w:p w14:paraId="0611A465" w14:textId="77777777" w:rsidR="00387142" w:rsidRPr="008B6A75" w:rsidRDefault="00387142" w:rsidP="00387142">
            <w:pPr>
              <w:jc w:val="center"/>
              <w:rPr>
                <w:sz w:val="20"/>
                <w:szCs w:val="20"/>
              </w:rPr>
            </w:pPr>
            <w:r w:rsidRPr="008B6A75">
              <w:rPr>
                <w:sz w:val="20"/>
                <w:szCs w:val="20"/>
              </w:rPr>
              <w:t>07.1.00.70140</w:t>
            </w:r>
          </w:p>
        </w:tc>
        <w:tc>
          <w:tcPr>
            <w:tcW w:w="955" w:type="dxa"/>
            <w:tcBorders>
              <w:top w:val="nil"/>
              <w:left w:val="single" w:sz="4" w:space="0" w:color="auto"/>
              <w:bottom w:val="nil"/>
              <w:right w:val="single" w:sz="4" w:space="0" w:color="auto"/>
            </w:tcBorders>
            <w:shd w:val="clear" w:color="auto" w:fill="auto"/>
            <w:noWrap/>
            <w:vAlign w:val="center"/>
            <w:hideMark/>
          </w:tcPr>
          <w:p w14:paraId="6DDC7D45" w14:textId="77777777" w:rsidR="00387142" w:rsidRPr="008B6A75" w:rsidRDefault="00387142" w:rsidP="00387142">
            <w:pPr>
              <w:jc w:val="center"/>
              <w:rPr>
                <w:sz w:val="20"/>
                <w:szCs w:val="20"/>
              </w:rPr>
            </w:pPr>
            <w:r w:rsidRPr="008B6A75">
              <w:rPr>
                <w:sz w:val="20"/>
                <w:szCs w:val="20"/>
              </w:rPr>
              <w:t>200</w:t>
            </w:r>
          </w:p>
        </w:tc>
        <w:tc>
          <w:tcPr>
            <w:tcW w:w="992" w:type="dxa"/>
            <w:tcBorders>
              <w:top w:val="nil"/>
              <w:left w:val="single" w:sz="4" w:space="0" w:color="auto"/>
              <w:bottom w:val="nil"/>
              <w:right w:val="single" w:sz="4" w:space="0" w:color="auto"/>
            </w:tcBorders>
            <w:shd w:val="clear" w:color="auto" w:fill="auto"/>
            <w:noWrap/>
            <w:vAlign w:val="center"/>
            <w:hideMark/>
          </w:tcPr>
          <w:p w14:paraId="3EBEC451" w14:textId="77777777" w:rsidR="00387142" w:rsidRPr="008B6A75" w:rsidRDefault="00387142" w:rsidP="00387142">
            <w:pPr>
              <w:jc w:val="right"/>
              <w:rPr>
                <w:sz w:val="20"/>
                <w:szCs w:val="20"/>
              </w:rPr>
            </w:pPr>
            <w:r w:rsidRPr="008B6A75">
              <w:rPr>
                <w:sz w:val="20"/>
                <w:szCs w:val="20"/>
              </w:rPr>
              <w:t>12 284 217,68</w:t>
            </w:r>
          </w:p>
        </w:tc>
        <w:tc>
          <w:tcPr>
            <w:tcW w:w="992" w:type="dxa"/>
            <w:gridSpan w:val="2"/>
            <w:tcBorders>
              <w:top w:val="nil"/>
              <w:left w:val="single" w:sz="4" w:space="0" w:color="auto"/>
              <w:bottom w:val="nil"/>
              <w:right w:val="nil"/>
            </w:tcBorders>
            <w:shd w:val="clear" w:color="auto" w:fill="auto"/>
            <w:noWrap/>
            <w:vAlign w:val="center"/>
            <w:hideMark/>
          </w:tcPr>
          <w:p w14:paraId="377E21D5" w14:textId="77777777" w:rsidR="00387142" w:rsidRPr="008B6A75" w:rsidRDefault="00387142" w:rsidP="00387142">
            <w:pPr>
              <w:jc w:val="right"/>
              <w:rPr>
                <w:sz w:val="20"/>
                <w:szCs w:val="20"/>
              </w:rPr>
            </w:pPr>
            <w:r w:rsidRPr="008B6A75">
              <w:rPr>
                <w:sz w:val="20"/>
                <w:szCs w:val="20"/>
              </w:rPr>
              <w:t>9 780 000,00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7CE4AA03" w14:textId="77777777" w:rsidR="00387142" w:rsidRPr="008B6A75" w:rsidRDefault="00387142" w:rsidP="00387142">
            <w:pPr>
              <w:jc w:val="right"/>
              <w:rPr>
                <w:sz w:val="20"/>
                <w:szCs w:val="20"/>
              </w:rPr>
            </w:pPr>
            <w:r w:rsidRPr="008B6A75">
              <w:rPr>
                <w:sz w:val="20"/>
                <w:szCs w:val="20"/>
              </w:rPr>
              <w:t>10 340 000,00</w:t>
            </w:r>
          </w:p>
        </w:tc>
        <w:tc>
          <w:tcPr>
            <w:tcW w:w="222" w:type="dxa"/>
            <w:vAlign w:val="center"/>
            <w:hideMark/>
          </w:tcPr>
          <w:p w14:paraId="6B5B39C9" w14:textId="77777777" w:rsidR="00387142" w:rsidRPr="008B6A75" w:rsidRDefault="00387142" w:rsidP="00387142">
            <w:pPr>
              <w:rPr>
                <w:sz w:val="20"/>
                <w:szCs w:val="20"/>
              </w:rPr>
            </w:pPr>
          </w:p>
        </w:tc>
      </w:tr>
      <w:tr w:rsidR="00387142" w:rsidRPr="008B6A75" w14:paraId="06ED6102" w14:textId="77777777" w:rsidTr="00387142">
        <w:trPr>
          <w:trHeight w:val="870"/>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09427526" w14:textId="77777777" w:rsidR="00387142" w:rsidRPr="008B6A75" w:rsidRDefault="00387142" w:rsidP="00387142">
            <w:pPr>
              <w:rPr>
                <w:sz w:val="20"/>
                <w:szCs w:val="20"/>
              </w:rPr>
            </w:pPr>
            <w:r w:rsidRPr="008B6A75">
              <w:rPr>
                <w:sz w:val="20"/>
                <w:szCs w:val="20"/>
              </w:rPr>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5594F3FE" w14:textId="77777777" w:rsidR="00387142" w:rsidRPr="008B6A75" w:rsidRDefault="00387142" w:rsidP="00387142">
            <w:pPr>
              <w:jc w:val="center"/>
              <w:rPr>
                <w:sz w:val="20"/>
                <w:szCs w:val="20"/>
              </w:rPr>
            </w:pPr>
            <w:r w:rsidRPr="008B6A75">
              <w:rPr>
                <w:sz w:val="20"/>
                <w:szCs w:val="20"/>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4E613229" w14:textId="77777777" w:rsidR="00387142" w:rsidRPr="008B6A75" w:rsidRDefault="00387142" w:rsidP="00387142">
            <w:pPr>
              <w:jc w:val="center"/>
              <w:rPr>
                <w:sz w:val="20"/>
                <w:szCs w:val="20"/>
              </w:rPr>
            </w:pPr>
            <w:r w:rsidRPr="008B6A75">
              <w:rPr>
                <w:sz w:val="20"/>
                <w:szCs w:val="20"/>
              </w:rPr>
              <w:t>07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CE3567" w14:textId="77777777" w:rsidR="00387142" w:rsidRPr="008B6A75" w:rsidRDefault="00387142" w:rsidP="00387142">
            <w:pPr>
              <w:jc w:val="center"/>
              <w:rPr>
                <w:sz w:val="20"/>
                <w:szCs w:val="20"/>
              </w:rPr>
            </w:pPr>
            <w:r w:rsidRPr="008B6A75">
              <w:rPr>
                <w:sz w:val="20"/>
                <w:szCs w:val="20"/>
              </w:rPr>
              <w:t>02</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5EE3501C" w14:textId="77777777" w:rsidR="00387142" w:rsidRPr="008B6A75" w:rsidRDefault="00387142" w:rsidP="00387142">
            <w:pPr>
              <w:jc w:val="center"/>
              <w:rPr>
                <w:sz w:val="20"/>
                <w:szCs w:val="20"/>
              </w:rPr>
            </w:pPr>
            <w:r w:rsidRPr="008B6A75">
              <w:rPr>
                <w:sz w:val="20"/>
                <w:szCs w:val="20"/>
              </w:rPr>
              <w:t>07.1.00.70140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853C02" w14:textId="77777777" w:rsidR="00387142" w:rsidRPr="008B6A75" w:rsidRDefault="00387142" w:rsidP="00387142">
            <w:pPr>
              <w:jc w:val="center"/>
              <w:rPr>
                <w:sz w:val="20"/>
                <w:szCs w:val="20"/>
              </w:rPr>
            </w:pPr>
            <w:r w:rsidRPr="008B6A75">
              <w:rPr>
                <w:sz w:val="20"/>
                <w:szCs w:val="20"/>
              </w:rPr>
              <w:t>240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5BF08A" w14:textId="77777777" w:rsidR="00387142" w:rsidRPr="008B6A75" w:rsidRDefault="00387142" w:rsidP="00387142">
            <w:pPr>
              <w:jc w:val="right"/>
              <w:rPr>
                <w:sz w:val="20"/>
                <w:szCs w:val="20"/>
              </w:rPr>
            </w:pPr>
            <w:r w:rsidRPr="008B6A75">
              <w:rPr>
                <w:sz w:val="20"/>
                <w:szCs w:val="20"/>
              </w:rPr>
              <w:t>12 284 217,68</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0527D9D8" w14:textId="77777777" w:rsidR="00387142" w:rsidRPr="008B6A75" w:rsidRDefault="00387142" w:rsidP="00387142">
            <w:pPr>
              <w:jc w:val="right"/>
              <w:rPr>
                <w:sz w:val="20"/>
                <w:szCs w:val="20"/>
              </w:rPr>
            </w:pPr>
            <w:r w:rsidRPr="008B6A75">
              <w:rPr>
                <w:sz w:val="20"/>
                <w:szCs w:val="20"/>
              </w:rPr>
              <w:t>9 780 000,00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DCE2BF" w14:textId="77777777" w:rsidR="00387142" w:rsidRPr="008B6A75" w:rsidRDefault="00387142" w:rsidP="00387142">
            <w:pPr>
              <w:jc w:val="right"/>
              <w:rPr>
                <w:sz w:val="20"/>
                <w:szCs w:val="20"/>
              </w:rPr>
            </w:pPr>
            <w:r w:rsidRPr="008B6A75">
              <w:rPr>
                <w:sz w:val="20"/>
                <w:szCs w:val="20"/>
              </w:rPr>
              <w:t>10 340 000,00</w:t>
            </w:r>
          </w:p>
        </w:tc>
        <w:tc>
          <w:tcPr>
            <w:tcW w:w="222" w:type="dxa"/>
            <w:vAlign w:val="center"/>
            <w:hideMark/>
          </w:tcPr>
          <w:p w14:paraId="08F3AAD5" w14:textId="77777777" w:rsidR="00387142" w:rsidRPr="008B6A75" w:rsidRDefault="00387142" w:rsidP="00387142">
            <w:pPr>
              <w:rPr>
                <w:sz w:val="20"/>
                <w:szCs w:val="20"/>
              </w:rPr>
            </w:pPr>
          </w:p>
        </w:tc>
      </w:tr>
      <w:tr w:rsidR="00387142" w:rsidRPr="008B6A75" w14:paraId="320CF77D" w14:textId="77777777" w:rsidTr="00387142">
        <w:trPr>
          <w:trHeight w:val="300"/>
        </w:trPr>
        <w:tc>
          <w:tcPr>
            <w:tcW w:w="3021" w:type="dxa"/>
            <w:tcBorders>
              <w:top w:val="nil"/>
              <w:left w:val="single" w:sz="4" w:space="0" w:color="auto"/>
              <w:bottom w:val="nil"/>
              <w:right w:val="nil"/>
            </w:tcBorders>
            <w:shd w:val="clear" w:color="auto" w:fill="auto"/>
            <w:vAlign w:val="center"/>
            <w:hideMark/>
          </w:tcPr>
          <w:p w14:paraId="5BAF42F8" w14:textId="77777777" w:rsidR="00387142" w:rsidRPr="008B6A75" w:rsidRDefault="00387142" w:rsidP="00387142">
            <w:pPr>
              <w:rPr>
                <w:sz w:val="20"/>
                <w:szCs w:val="20"/>
              </w:rPr>
            </w:pPr>
            <w:r w:rsidRPr="008B6A75">
              <w:rPr>
                <w:sz w:val="20"/>
                <w:szCs w:val="20"/>
              </w:rPr>
              <w:t>Иные бюджетные ассигнования</w:t>
            </w:r>
          </w:p>
        </w:tc>
        <w:tc>
          <w:tcPr>
            <w:tcW w:w="850" w:type="dxa"/>
            <w:tcBorders>
              <w:top w:val="nil"/>
              <w:left w:val="single" w:sz="4" w:space="0" w:color="auto"/>
              <w:bottom w:val="nil"/>
              <w:right w:val="nil"/>
            </w:tcBorders>
            <w:shd w:val="clear" w:color="auto" w:fill="auto"/>
            <w:noWrap/>
            <w:vAlign w:val="center"/>
            <w:hideMark/>
          </w:tcPr>
          <w:p w14:paraId="6DA91B9A" w14:textId="77777777" w:rsidR="00387142" w:rsidRPr="008B6A75" w:rsidRDefault="00387142" w:rsidP="00387142">
            <w:pPr>
              <w:jc w:val="center"/>
              <w:rPr>
                <w:sz w:val="20"/>
                <w:szCs w:val="20"/>
              </w:rPr>
            </w:pPr>
            <w:r w:rsidRPr="008B6A75">
              <w:rPr>
                <w:sz w:val="20"/>
                <w:szCs w:val="20"/>
              </w:rPr>
              <w:t>444</w:t>
            </w:r>
          </w:p>
        </w:tc>
        <w:tc>
          <w:tcPr>
            <w:tcW w:w="709" w:type="dxa"/>
            <w:tcBorders>
              <w:top w:val="nil"/>
              <w:left w:val="single" w:sz="4" w:space="0" w:color="auto"/>
              <w:bottom w:val="nil"/>
              <w:right w:val="nil"/>
            </w:tcBorders>
            <w:shd w:val="clear" w:color="auto" w:fill="auto"/>
            <w:noWrap/>
            <w:vAlign w:val="center"/>
            <w:hideMark/>
          </w:tcPr>
          <w:p w14:paraId="0B94D849" w14:textId="77777777" w:rsidR="00387142" w:rsidRPr="008B6A75" w:rsidRDefault="00387142" w:rsidP="00387142">
            <w:pPr>
              <w:jc w:val="center"/>
              <w:rPr>
                <w:sz w:val="20"/>
                <w:szCs w:val="20"/>
              </w:rPr>
            </w:pPr>
            <w:r w:rsidRPr="008B6A75">
              <w:rPr>
                <w:sz w:val="20"/>
                <w:szCs w:val="20"/>
              </w:rPr>
              <w:t>07</w:t>
            </w:r>
          </w:p>
        </w:tc>
        <w:tc>
          <w:tcPr>
            <w:tcW w:w="709" w:type="dxa"/>
            <w:tcBorders>
              <w:top w:val="nil"/>
              <w:left w:val="single" w:sz="4" w:space="0" w:color="auto"/>
              <w:bottom w:val="nil"/>
              <w:right w:val="single" w:sz="4" w:space="0" w:color="auto"/>
            </w:tcBorders>
            <w:shd w:val="clear" w:color="auto" w:fill="auto"/>
            <w:noWrap/>
            <w:vAlign w:val="center"/>
            <w:hideMark/>
          </w:tcPr>
          <w:p w14:paraId="683A2D60" w14:textId="77777777" w:rsidR="00387142" w:rsidRPr="008B6A75" w:rsidRDefault="00387142" w:rsidP="00387142">
            <w:pPr>
              <w:jc w:val="center"/>
              <w:rPr>
                <w:sz w:val="20"/>
                <w:szCs w:val="20"/>
              </w:rPr>
            </w:pPr>
            <w:r w:rsidRPr="008B6A75">
              <w:rPr>
                <w:sz w:val="20"/>
                <w:szCs w:val="20"/>
              </w:rPr>
              <w:t>02</w:t>
            </w:r>
          </w:p>
        </w:tc>
        <w:tc>
          <w:tcPr>
            <w:tcW w:w="1411" w:type="dxa"/>
            <w:tcBorders>
              <w:top w:val="nil"/>
              <w:left w:val="single" w:sz="4" w:space="0" w:color="auto"/>
              <w:bottom w:val="nil"/>
              <w:right w:val="nil"/>
            </w:tcBorders>
            <w:shd w:val="clear" w:color="auto" w:fill="auto"/>
            <w:noWrap/>
            <w:vAlign w:val="center"/>
            <w:hideMark/>
          </w:tcPr>
          <w:p w14:paraId="1AEBB94F" w14:textId="77777777" w:rsidR="00387142" w:rsidRPr="008B6A75" w:rsidRDefault="00387142" w:rsidP="00387142">
            <w:pPr>
              <w:jc w:val="center"/>
              <w:rPr>
                <w:sz w:val="20"/>
                <w:szCs w:val="20"/>
              </w:rPr>
            </w:pPr>
            <w:r w:rsidRPr="008B6A75">
              <w:rPr>
                <w:sz w:val="20"/>
                <w:szCs w:val="20"/>
              </w:rPr>
              <w:t>07.1.00.70140</w:t>
            </w:r>
          </w:p>
        </w:tc>
        <w:tc>
          <w:tcPr>
            <w:tcW w:w="955" w:type="dxa"/>
            <w:tcBorders>
              <w:top w:val="nil"/>
              <w:left w:val="single" w:sz="4" w:space="0" w:color="auto"/>
              <w:bottom w:val="nil"/>
              <w:right w:val="single" w:sz="4" w:space="0" w:color="auto"/>
            </w:tcBorders>
            <w:shd w:val="clear" w:color="auto" w:fill="auto"/>
            <w:noWrap/>
            <w:vAlign w:val="center"/>
            <w:hideMark/>
          </w:tcPr>
          <w:p w14:paraId="6030C1B9" w14:textId="77777777" w:rsidR="00387142" w:rsidRPr="008B6A75" w:rsidRDefault="00387142" w:rsidP="00387142">
            <w:pPr>
              <w:jc w:val="center"/>
              <w:rPr>
                <w:sz w:val="20"/>
                <w:szCs w:val="20"/>
              </w:rPr>
            </w:pPr>
            <w:r w:rsidRPr="008B6A75">
              <w:rPr>
                <w:sz w:val="20"/>
                <w:szCs w:val="20"/>
              </w:rPr>
              <w:t>800</w:t>
            </w:r>
          </w:p>
        </w:tc>
        <w:tc>
          <w:tcPr>
            <w:tcW w:w="992" w:type="dxa"/>
            <w:tcBorders>
              <w:top w:val="nil"/>
              <w:left w:val="single" w:sz="4" w:space="0" w:color="auto"/>
              <w:bottom w:val="nil"/>
              <w:right w:val="single" w:sz="4" w:space="0" w:color="auto"/>
            </w:tcBorders>
            <w:shd w:val="clear" w:color="auto" w:fill="auto"/>
            <w:noWrap/>
            <w:vAlign w:val="center"/>
            <w:hideMark/>
          </w:tcPr>
          <w:p w14:paraId="4984AE9F" w14:textId="77777777" w:rsidR="00387142" w:rsidRPr="008B6A75" w:rsidRDefault="00387142" w:rsidP="00387142">
            <w:pPr>
              <w:jc w:val="right"/>
              <w:rPr>
                <w:sz w:val="20"/>
                <w:szCs w:val="20"/>
              </w:rPr>
            </w:pPr>
            <w:r w:rsidRPr="008B6A75">
              <w:rPr>
                <w:sz w:val="20"/>
                <w:szCs w:val="20"/>
              </w:rPr>
              <w:t>1 760 000,00</w:t>
            </w:r>
          </w:p>
        </w:tc>
        <w:tc>
          <w:tcPr>
            <w:tcW w:w="992" w:type="dxa"/>
            <w:gridSpan w:val="2"/>
            <w:tcBorders>
              <w:top w:val="nil"/>
              <w:left w:val="single" w:sz="4" w:space="0" w:color="auto"/>
              <w:bottom w:val="nil"/>
              <w:right w:val="nil"/>
            </w:tcBorders>
            <w:shd w:val="clear" w:color="auto" w:fill="auto"/>
            <w:noWrap/>
            <w:vAlign w:val="center"/>
            <w:hideMark/>
          </w:tcPr>
          <w:p w14:paraId="022BF07E" w14:textId="77777777" w:rsidR="00387142" w:rsidRPr="008B6A75" w:rsidRDefault="00387142" w:rsidP="00387142">
            <w:pPr>
              <w:jc w:val="right"/>
              <w:rPr>
                <w:sz w:val="20"/>
                <w:szCs w:val="20"/>
              </w:rPr>
            </w:pPr>
            <w:r w:rsidRPr="008B6A75">
              <w:rPr>
                <w:sz w:val="20"/>
                <w:szCs w:val="20"/>
              </w:rPr>
              <w:t>1 760 000,00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6AB5C65F" w14:textId="77777777" w:rsidR="00387142" w:rsidRPr="008B6A75" w:rsidRDefault="00387142" w:rsidP="00387142">
            <w:pPr>
              <w:jc w:val="right"/>
              <w:rPr>
                <w:sz w:val="20"/>
                <w:szCs w:val="20"/>
              </w:rPr>
            </w:pPr>
            <w:r w:rsidRPr="008B6A75">
              <w:rPr>
                <w:sz w:val="20"/>
                <w:szCs w:val="20"/>
              </w:rPr>
              <w:t>1 760 000,00</w:t>
            </w:r>
          </w:p>
        </w:tc>
        <w:tc>
          <w:tcPr>
            <w:tcW w:w="222" w:type="dxa"/>
            <w:vAlign w:val="center"/>
            <w:hideMark/>
          </w:tcPr>
          <w:p w14:paraId="5A8817FC" w14:textId="77777777" w:rsidR="00387142" w:rsidRPr="008B6A75" w:rsidRDefault="00387142" w:rsidP="00387142">
            <w:pPr>
              <w:rPr>
                <w:sz w:val="20"/>
                <w:szCs w:val="20"/>
              </w:rPr>
            </w:pPr>
          </w:p>
        </w:tc>
      </w:tr>
      <w:tr w:rsidR="00387142" w:rsidRPr="008B6A75" w14:paraId="2DCA028F" w14:textId="77777777" w:rsidTr="00387142">
        <w:trPr>
          <w:trHeight w:val="300"/>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367F4131" w14:textId="77777777" w:rsidR="00387142" w:rsidRPr="008B6A75" w:rsidRDefault="00387142" w:rsidP="00387142">
            <w:pPr>
              <w:rPr>
                <w:sz w:val="20"/>
                <w:szCs w:val="20"/>
              </w:rPr>
            </w:pPr>
            <w:r w:rsidRPr="008B6A75">
              <w:rPr>
                <w:sz w:val="20"/>
                <w:szCs w:val="20"/>
              </w:rPr>
              <w:t>Уплата налогов, сборов и иных платежей</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4AF4B2EA" w14:textId="77777777" w:rsidR="00387142" w:rsidRPr="008B6A75" w:rsidRDefault="00387142" w:rsidP="00387142">
            <w:pPr>
              <w:jc w:val="center"/>
              <w:rPr>
                <w:sz w:val="20"/>
                <w:szCs w:val="20"/>
              </w:rPr>
            </w:pPr>
            <w:r w:rsidRPr="008B6A75">
              <w:rPr>
                <w:sz w:val="20"/>
                <w:szCs w:val="20"/>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2880AB1A" w14:textId="77777777" w:rsidR="00387142" w:rsidRPr="008B6A75" w:rsidRDefault="00387142" w:rsidP="00387142">
            <w:pPr>
              <w:jc w:val="center"/>
              <w:rPr>
                <w:sz w:val="20"/>
                <w:szCs w:val="20"/>
              </w:rPr>
            </w:pPr>
            <w:r w:rsidRPr="008B6A75">
              <w:rPr>
                <w:sz w:val="20"/>
                <w:szCs w:val="20"/>
              </w:rPr>
              <w:t>07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30D417" w14:textId="77777777" w:rsidR="00387142" w:rsidRPr="008B6A75" w:rsidRDefault="00387142" w:rsidP="00387142">
            <w:pPr>
              <w:jc w:val="center"/>
              <w:rPr>
                <w:sz w:val="20"/>
                <w:szCs w:val="20"/>
              </w:rPr>
            </w:pPr>
            <w:r w:rsidRPr="008B6A75">
              <w:rPr>
                <w:sz w:val="20"/>
                <w:szCs w:val="20"/>
              </w:rPr>
              <w:t>02</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4B4579C8" w14:textId="77777777" w:rsidR="00387142" w:rsidRPr="008B6A75" w:rsidRDefault="00387142" w:rsidP="00387142">
            <w:pPr>
              <w:jc w:val="center"/>
              <w:rPr>
                <w:sz w:val="20"/>
                <w:szCs w:val="20"/>
              </w:rPr>
            </w:pPr>
            <w:r w:rsidRPr="008B6A75">
              <w:rPr>
                <w:sz w:val="20"/>
                <w:szCs w:val="20"/>
              </w:rPr>
              <w:t>07.1.00.70140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5DB836" w14:textId="77777777" w:rsidR="00387142" w:rsidRPr="008B6A75" w:rsidRDefault="00387142" w:rsidP="00387142">
            <w:pPr>
              <w:jc w:val="center"/>
              <w:rPr>
                <w:sz w:val="20"/>
                <w:szCs w:val="20"/>
              </w:rPr>
            </w:pPr>
            <w:r w:rsidRPr="008B6A75">
              <w:rPr>
                <w:sz w:val="20"/>
                <w:szCs w:val="20"/>
              </w:rPr>
              <w:t>850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70BF30" w14:textId="77777777" w:rsidR="00387142" w:rsidRPr="008B6A75" w:rsidRDefault="00387142" w:rsidP="00387142">
            <w:pPr>
              <w:jc w:val="right"/>
              <w:rPr>
                <w:sz w:val="20"/>
                <w:szCs w:val="20"/>
              </w:rPr>
            </w:pPr>
            <w:r w:rsidRPr="008B6A75">
              <w:rPr>
                <w:sz w:val="20"/>
                <w:szCs w:val="20"/>
              </w:rPr>
              <w:t>1 760 000,00</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696390E4" w14:textId="77777777" w:rsidR="00387142" w:rsidRPr="008B6A75" w:rsidRDefault="00387142" w:rsidP="00387142">
            <w:pPr>
              <w:jc w:val="right"/>
              <w:rPr>
                <w:sz w:val="20"/>
                <w:szCs w:val="20"/>
              </w:rPr>
            </w:pPr>
            <w:r w:rsidRPr="008B6A75">
              <w:rPr>
                <w:sz w:val="20"/>
                <w:szCs w:val="20"/>
              </w:rPr>
              <w:t>1 760 000,00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BA6FCB" w14:textId="77777777" w:rsidR="00387142" w:rsidRPr="008B6A75" w:rsidRDefault="00387142" w:rsidP="00387142">
            <w:pPr>
              <w:jc w:val="right"/>
              <w:rPr>
                <w:sz w:val="20"/>
                <w:szCs w:val="20"/>
              </w:rPr>
            </w:pPr>
            <w:r w:rsidRPr="008B6A75">
              <w:rPr>
                <w:sz w:val="20"/>
                <w:szCs w:val="20"/>
              </w:rPr>
              <w:t>1 760 000,00</w:t>
            </w:r>
          </w:p>
        </w:tc>
        <w:tc>
          <w:tcPr>
            <w:tcW w:w="222" w:type="dxa"/>
            <w:vAlign w:val="center"/>
            <w:hideMark/>
          </w:tcPr>
          <w:p w14:paraId="2A5F86FB" w14:textId="77777777" w:rsidR="00387142" w:rsidRPr="008B6A75" w:rsidRDefault="00387142" w:rsidP="00387142">
            <w:pPr>
              <w:rPr>
                <w:sz w:val="20"/>
                <w:szCs w:val="20"/>
              </w:rPr>
            </w:pPr>
          </w:p>
        </w:tc>
      </w:tr>
      <w:tr w:rsidR="00387142" w:rsidRPr="008B6A75" w14:paraId="402C2146" w14:textId="77777777" w:rsidTr="00387142">
        <w:trPr>
          <w:trHeight w:val="1440"/>
        </w:trPr>
        <w:tc>
          <w:tcPr>
            <w:tcW w:w="3021" w:type="dxa"/>
            <w:tcBorders>
              <w:top w:val="nil"/>
              <w:left w:val="single" w:sz="4" w:space="0" w:color="auto"/>
              <w:bottom w:val="nil"/>
              <w:right w:val="nil"/>
            </w:tcBorders>
            <w:shd w:val="clear" w:color="auto" w:fill="auto"/>
            <w:vAlign w:val="center"/>
            <w:hideMark/>
          </w:tcPr>
          <w:p w14:paraId="39D0E458" w14:textId="77777777" w:rsidR="00387142" w:rsidRPr="008B6A75" w:rsidRDefault="00387142" w:rsidP="00387142">
            <w:pPr>
              <w:rPr>
                <w:bCs/>
                <w:sz w:val="20"/>
                <w:szCs w:val="20"/>
              </w:rPr>
            </w:pPr>
            <w:r w:rsidRPr="008B6A75">
              <w:rPr>
                <w:bCs/>
                <w:sz w:val="20"/>
                <w:szCs w:val="20"/>
              </w:rPr>
              <w:t xml:space="preserve">Реализация мероприятий по обеспечению сбалансированности местных </w:t>
            </w:r>
            <w:proofErr w:type="gramStart"/>
            <w:r w:rsidRPr="008B6A75">
              <w:rPr>
                <w:bCs/>
                <w:sz w:val="20"/>
                <w:szCs w:val="20"/>
              </w:rPr>
              <w:t>бюджетов  государственной</w:t>
            </w:r>
            <w:proofErr w:type="gramEnd"/>
            <w:r w:rsidRPr="008B6A75">
              <w:rPr>
                <w:bCs/>
                <w:sz w:val="20"/>
                <w:szCs w:val="20"/>
              </w:rPr>
              <w:t xml:space="preserve"> программы Новосибирской области "Управление  финансами в Новосибирской области"</w:t>
            </w:r>
          </w:p>
        </w:tc>
        <w:tc>
          <w:tcPr>
            <w:tcW w:w="850" w:type="dxa"/>
            <w:tcBorders>
              <w:top w:val="nil"/>
              <w:left w:val="single" w:sz="4" w:space="0" w:color="auto"/>
              <w:bottom w:val="nil"/>
              <w:right w:val="nil"/>
            </w:tcBorders>
            <w:shd w:val="clear" w:color="auto" w:fill="auto"/>
            <w:noWrap/>
            <w:vAlign w:val="center"/>
            <w:hideMark/>
          </w:tcPr>
          <w:p w14:paraId="1DD4C6E2" w14:textId="77777777" w:rsidR="00387142" w:rsidRPr="008B6A75" w:rsidRDefault="00387142" w:rsidP="00387142">
            <w:pPr>
              <w:jc w:val="center"/>
              <w:rPr>
                <w:bCs/>
                <w:sz w:val="20"/>
                <w:szCs w:val="20"/>
              </w:rPr>
            </w:pPr>
            <w:r w:rsidRPr="008B6A75">
              <w:rPr>
                <w:bCs/>
                <w:sz w:val="20"/>
                <w:szCs w:val="20"/>
              </w:rPr>
              <w:t>444</w:t>
            </w:r>
          </w:p>
        </w:tc>
        <w:tc>
          <w:tcPr>
            <w:tcW w:w="709" w:type="dxa"/>
            <w:tcBorders>
              <w:top w:val="nil"/>
              <w:left w:val="single" w:sz="4" w:space="0" w:color="auto"/>
              <w:bottom w:val="nil"/>
              <w:right w:val="nil"/>
            </w:tcBorders>
            <w:shd w:val="clear" w:color="auto" w:fill="auto"/>
            <w:noWrap/>
            <w:vAlign w:val="center"/>
            <w:hideMark/>
          </w:tcPr>
          <w:p w14:paraId="06DE8773" w14:textId="77777777" w:rsidR="00387142" w:rsidRPr="008B6A75" w:rsidRDefault="00387142" w:rsidP="00387142">
            <w:pPr>
              <w:jc w:val="center"/>
              <w:rPr>
                <w:bCs/>
                <w:sz w:val="20"/>
                <w:szCs w:val="20"/>
              </w:rPr>
            </w:pPr>
            <w:r w:rsidRPr="008B6A75">
              <w:rPr>
                <w:bCs/>
                <w:sz w:val="20"/>
                <w:szCs w:val="20"/>
              </w:rPr>
              <w:t>07</w:t>
            </w:r>
          </w:p>
        </w:tc>
        <w:tc>
          <w:tcPr>
            <w:tcW w:w="709" w:type="dxa"/>
            <w:tcBorders>
              <w:top w:val="nil"/>
              <w:left w:val="single" w:sz="4" w:space="0" w:color="auto"/>
              <w:bottom w:val="nil"/>
              <w:right w:val="single" w:sz="4" w:space="0" w:color="auto"/>
            </w:tcBorders>
            <w:shd w:val="clear" w:color="auto" w:fill="auto"/>
            <w:noWrap/>
            <w:vAlign w:val="center"/>
            <w:hideMark/>
          </w:tcPr>
          <w:p w14:paraId="21FEF4DC" w14:textId="77777777" w:rsidR="00387142" w:rsidRPr="008B6A75" w:rsidRDefault="00387142" w:rsidP="00387142">
            <w:pPr>
              <w:jc w:val="center"/>
              <w:rPr>
                <w:bCs/>
                <w:sz w:val="20"/>
                <w:szCs w:val="20"/>
              </w:rPr>
            </w:pPr>
            <w:r w:rsidRPr="008B6A75">
              <w:rPr>
                <w:bCs/>
                <w:sz w:val="20"/>
                <w:szCs w:val="20"/>
              </w:rPr>
              <w:t>02</w:t>
            </w:r>
          </w:p>
        </w:tc>
        <w:tc>
          <w:tcPr>
            <w:tcW w:w="1411" w:type="dxa"/>
            <w:tcBorders>
              <w:top w:val="nil"/>
              <w:left w:val="single" w:sz="4" w:space="0" w:color="auto"/>
              <w:bottom w:val="nil"/>
              <w:right w:val="nil"/>
            </w:tcBorders>
            <w:shd w:val="clear" w:color="auto" w:fill="auto"/>
            <w:noWrap/>
            <w:vAlign w:val="center"/>
            <w:hideMark/>
          </w:tcPr>
          <w:p w14:paraId="4D046A99" w14:textId="77777777" w:rsidR="00387142" w:rsidRPr="008B6A75" w:rsidRDefault="00387142" w:rsidP="00387142">
            <w:pPr>
              <w:jc w:val="center"/>
              <w:rPr>
                <w:bCs/>
                <w:sz w:val="20"/>
                <w:szCs w:val="20"/>
              </w:rPr>
            </w:pPr>
            <w:r w:rsidRPr="008B6A75">
              <w:rPr>
                <w:bCs/>
                <w:sz w:val="20"/>
                <w:szCs w:val="20"/>
              </w:rPr>
              <w:t>07.1.00.70510</w:t>
            </w:r>
          </w:p>
        </w:tc>
        <w:tc>
          <w:tcPr>
            <w:tcW w:w="955" w:type="dxa"/>
            <w:tcBorders>
              <w:top w:val="nil"/>
              <w:left w:val="single" w:sz="4" w:space="0" w:color="auto"/>
              <w:bottom w:val="nil"/>
              <w:right w:val="single" w:sz="4" w:space="0" w:color="auto"/>
            </w:tcBorders>
            <w:shd w:val="clear" w:color="auto" w:fill="auto"/>
            <w:noWrap/>
            <w:vAlign w:val="center"/>
            <w:hideMark/>
          </w:tcPr>
          <w:p w14:paraId="3D7A3EC8"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nil"/>
              <w:right w:val="single" w:sz="4" w:space="0" w:color="auto"/>
            </w:tcBorders>
            <w:shd w:val="clear" w:color="auto" w:fill="auto"/>
            <w:noWrap/>
            <w:vAlign w:val="center"/>
            <w:hideMark/>
          </w:tcPr>
          <w:p w14:paraId="15C75846" w14:textId="77777777" w:rsidR="00387142" w:rsidRPr="008B6A75" w:rsidRDefault="00387142" w:rsidP="00387142">
            <w:pPr>
              <w:jc w:val="right"/>
              <w:rPr>
                <w:bCs/>
                <w:sz w:val="20"/>
                <w:szCs w:val="20"/>
              </w:rPr>
            </w:pPr>
            <w:r w:rsidRPr="008B6A75">
              <w:rPr>
                <w:bCs/>
                <w:sz w:val="20"/>
                <w:szCs w:val="20"/>
              </w:rPr>
              <w:t>151 715 539,72</w:t>
            </w:r>
          </w:p>
        </w:tc>
        <w:tc>
          <w:tcPr>
            <w:tcW w:w="992" w:type="dxa"/>
            <w:gridSpan w:val="2"/>
            <w:tcBorders>
              <w:top w:val="nil"/>
              <w:left w:val="single" w:sz="4" w:space="0" w:color="auto"/>
              <w:bottom w:val="nil"/>
              <w:right w:val="nil"/>
            </w:tcBorders>
            <w:shd w:val="clear" w:color="auto" w:fill="auto"/>
            <w:noWrap/>
            <w:vAlign w:val="center"/>
            <w:hideMark/>
          </w:tcPr>
          <w:p w14:paraId="1B923233" w14:textId="77777777" w:rsidR="00387142" w:rsidRPr="008B6A75" w:rsidRDefault="00387142" w:rsidP="00387142">
            <w:pPr>
              <w:jc w:val="right"/>
              <w:rPr>
                <w:bCs/>
                <w:sz w:val="20"/>
                <w:szCs w:val="20"/>
              </w:rPr>
            </w:pPr>
            <w:r w:rsidRPr="008B6A75">
              <w:rPr>
                <w:bCs/>
                <w:sz w:val="20"/>
                <w:szCs w:val="20"/>
              </w:rPr>
              <w:t>0,00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529C8DEA" w14:textId="77777777" w:rsidR="00387142" w:rsidRPr="008B6A75" w:rsidRDefault="00387142" w:rsidP="00387142">
            <w:pPr>
              <w:jc w:val="right"/>
              <w:rPr>
                <w:bCs/>
                <w:sz w:val="20"/>
                <w:szCs w:val="20"/>
              </w:rPr>
            </w:pPr>
            <w:r w:rsidRPr="008B6A75">
              <w:rPr>
                <w:bCs/>
                <w:sz w:val="20"/>
                <w:szCs w:val="20"/>
              </w:rPr>
              <w:t>0,00</w:t>
            </w:r>
          </w:p>
        </w:tc>
        <w:tc>
          <w:tcPr>
            <w:tcW w:w="222" w:type="dxa"/>
            <w:vAlign w:val="center"/>
            <w:hideMark/>
          </w:tcPr>
          <w:p w14:paraId="5AFD3D79" w14:textId="77777777" w:rsidR="00387142" w:rsidRPr="008B6A75" w:rsidRDefault="00387142" w:rsidP="00387142">
            <w:pPr>
              <w:rPr>
                <w:sz w:val="20"/>
                <w:szCs w:val="20"/>
              </w:rPr>
            </w:pPr>
          </w:p>
        </w:tc>
      </w:tr>
      <w:tr w:rsidR="00387142" w:rsidRPr="008B6A75" w14:paraId="49DBE80B" w14:textId="77777777" w:rsidTr="00387142">
        <w:trPr>
          <w:trHeight w:val="1440"/>
        </w:trPr>
        <w:tc>
          <w:tcPr>
            <w:tcW w:w="3021" w:type="dxa"/>
            <w:tcBorders>
              <w:top w:val="single" w:sz="4" w:space="0" w:color="auto"/>
              <w:left w:val="single" w:sz="4" w:space="0" w:color="auto"/>
              <w:bottom w:val="nil"/>
              <w:right w:val="nil"/>
            </w:tcBorders>
            <w:shd w:val="clear" w:color="auto" w:fill="auto"/>
            <w:vAlign w:val="center"/>
            <w:hideMark/>
          </w:tcPr>
          <w:p w14:paraId="78055DDB" w14:textId="77777777" w:rsidR="00387142" w:rsidRPr="008B6A75" w:rsidRDefault="00387142" w:rsidP="00387142">
            <w:pPr>
              <w:rPr>
                <w:sz w:val="20"/>
                <w:szCs w:val="20"/>
              </w:rPr>
            </w:pPr>
            <w:r w:rsidRPr="008B6A75">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nil"/>
              <w:right w:val="nil"/>
            </w:tcBorders>
            <w:shd w:val="clear" w:color="auto" w:fill="auto"/>
            <w:noWrap/>
            <w:vAlign w:val="center"/>
            <w:hideMark/>
          </w:tcPr>
          <w:p w14:paraId="00EE9C30" w14:textId="77777777" w:rsidR="00387142" w:rsidRPr="008B6A75" w:rsidRDefault="00387142" w:rsidP="00387142">
            <w:pPr>
              <w:jc w:val="center"/>
              <w:rPr>
                <w:sz w:val="20"/>
                <w:szCs w:val="20"/>
              </w:rPr>
            </w:pPr>
            <w:r w:rsidRPr="008B6A75">
              <w:rPr>
                <w:sz w:val="20"/>
                <w:szCs w:val="20"/>
              </w:rPr>
              <w:t>444</w:t>
            </w:r>
          </w:p>
        </w:tc>
        <w:tc>
          <w:tcPr>
            <w:tcW w:w="709" w:type="dxa"/>
            <w:tcBorders>
              <w:top w:val="single" w:sz="4" w:space="0" w:color="auto"/>
              <w:left w:val="single" w:sz="4" w:space="0" w:color="auto"/>
              <w:bottom w:val="nil"/>
              <w:right w:val="nil"/>
            </w:tcBorders>
            <w:shd w:val="clear" w:color="auto" w:fill="auto"/>
            <w:noWrap/>
            <w:vAlign w:val="center"/>
            <w:hideMark/>
          </w:tcPr>
          <w:p w14:paraId="5CEA9A34" w14:textId="77777777" w:rsidR="00387142" w:rsidRPr="008B6A75" w:rsidRDefault="00387142" w:rsidP="00387142">
            <w:pPr>
              <w:jc w:val="center"/>
              <w:rPr>
                <w:sz w:val="20"/>
                <w:szCs w:val="20"/>
              </w:rPr>
            </w:pPr>
            <w:r w:rsidRPr="008B6A75">
              <w:rPr>
                <w:sz w:val="20"/>
                <w:szCs w:val="20"/>
              </w:rPr>
              <w:t>07</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2F2AA2A5" w14:textId="77777777" w:rsidR="00387142" w:rsidRPr="008B6A75" w:rsidRDefault="00387142" w:rsidP="00387142">
            <w:pPr>
              <w:jc w:val="center"/>
              <w:rPr>
                <w:sz w:val="20"/>
                <w:szCs w:val="20"/>
              </w:rPr>
            </w:pPr>
            <w:r w:rsidRPr="008B6A75">
              <w:rPr>
                <w:sz w:val="20"/>
                <w:szCs w:val="20"/>
              </w:rPr>
              <w:t>02</w:t>
            </w:r>
          </w:p>
        </w:tc>
        <w:tc>
          <w:tcPr>
            <w:tcW w:w="1411" w:type="dxa"/>
            <w:tcBorders>
              <w:top w:val="single" w:sz="4" w:space="0" w:color="auto"/>
              <w:left w:val="single" w:sz="4" w:space="0" w:color="auto"/>
              <w:bottom w:val="nil"/>
              <w:right w:val="nil"/>
            </w:tcBorders>
            <w:shd w:val="clear" w:color="auto" w:fill="auto"/>
            <w:noWrap/>
            <w:vAlign w:val="center"/>
            <w:hideMark/>
          </w:tcPr>
          <w:p w14:paraId="11AE6C83" w14:textId="77777777" w:rsidR="00387142" w:rsidRPr="008B6A75" w:rsidRDefault="00387142" w:rsidP="00387142">
            <w:pPr>
              <w:jc w:val="center"/>
              <w:rPr>
                <w:sz w:val="20"/>
                <w:szCs w:val="20"/>
              </w:rPr>
            </w:pPr>
            <w:r w:rsidRPr="008B6A75">
              <w:rPr>
                <w:sz w:val="20"/>
                <w:szCs w:val="20"/>
              </w:rPr>
              <w:t>07.1.00.70510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6B858586" w14:textId="77777777" w:rsidR="00387142" w:rsidRPr="008B6A75" w:rsidRDefault="00387142" w:rsidP="00387142">
            <w:pPr>
              <w:jc w:val="center"/>
              <w:rPr>
                <w:sz w:val="20"/>
                <w:szCs w:val="20"/>
              </w:rPr>
            </w:pPr>
            <w:r w:rsidRPr="008B6A75">
              <w:rPr>
                <w:sz w:val="20"/>
                <w:szCs w:val="20"/>
              </w:rPr>
              <w:t>100</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7C605EC3" w14:textId="77777777" w:rsidR="00387142" w:rsidRPr="008B6A75" w:rsidRDefault="00387142" w:rsidP="00387142">
            <w:pPr>
              <w:jc w:val="right"/>
              <w:rPr>
                <w:sz w:val="20"/>
                <w:szCs w:val="20"/>
              </w:rPr>
            </w:pPr>
            <w:r w:rsidRPr="008B6A75">
              <w:rPr>
                <w:sz w:val="20"/>
                <w:szCs w:val="20"/>
              </w:rPr>
              <w:t>85 537 034,83</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18204D10" w14:textId="77777777" w:rsidR="00387142" w:rsidRPr="008B6A75" w:rsidRDefault="00387142" w:rsidP="00387142">
            <w:pPr>
              <w:jc w:val="right"/>
              <w:rPr>
                <w:sz w:val="20"/>
                <w:szCs w:val="20"/>
              </w:rPr>
            </w:pPr>
            <w:r w:rsidRPr="008B6A75">
              <w:rPr>
                <w:sz w:val="20"/>
                <w:szCs w:val="20"/>
              </w:rPr>
              <w:t>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2A3919C8" w14:textId="77777777" w:rsidR="00387142" w:rsidRPr="008B6A75" w:rsidRDefault="00387142" w:rsidP="00387142">
            <w:pPr>
              <w:jc w:val="right"/>
              <w:rPr>
                <w:sz w:val="20"/>
                <w:szCs w:val="20"/>
              </w:rPr>
            </w:pPr>
            <w:r w:rsidRPr="008B6A75">
              <w:rPr>
                <w:sz w:val="20"/>
                <w:szCs w:val="20"/>
              </w:rPr>
              <w:t>0,00</w:t>
            </w:r>
          </w:p>
        </w:tc>
        <w:tc>
          <w:tcPr>
            <w:tcW w:w="222" w:type="dxa"/>
            <w:vAlign w:val="center"/>
            <w:hideMark/>
          </w:tcPr>
          <w:p w14:paraId="6B9EE59F" w14:textId="77777777" w:rsidR="00387142" w:rsidRPr="008B6A75" w:rsidRDefault="00387142" w:rsidP="00387142">
            <w:pPr>
              <w:rPr>
                <w:sz w:val="20"/>
                <w:szCs w:val="20"/>
              </w:rPr>
            </w:pPr>
          </w:p>
        </w:tc>
      </w:tr>
      <w:tr w:rsidR="00387142" w:rsidRPr="008B6A75" w14:paraId="3F32AC97" w14:textId="77777777" w:rsidTr="00387142">
        <w:trPr>
          <w:trHeight w:val="585"/>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1461BB66" w14:textId="77777777" w:rsidR="00387142" w:rsidRPr="008B6A75" w:rsidRDefault="00387142" w:rsidP="00387142">
            <w:pPr>
              <w:rPr>
                <w:sz w:val="20"/>
                <w:szCs w:val="20"/>
              </w:rPr>
            </w:pPr>
            <w:r w:rsidRPr="008B6A75">
              <w:rPr>
                <w:sz w:val="20"/>
                <w:szCs w:val="20"/>
              </w:rPr>
              <w:t>Расходы на выплаты персоналу казенных учреждений</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045F03E3" w14:textId="77777777" w:rsidR="00387142" w:rsidRPr="008B6A75" w:rsidRDefault="00387142" w:rsidP="00387142">
            <w:pPr>
              <w:jc w:val="center"/>
              <w:rPr>
                <w:sz w:val="20"/>
                <w:szCs w:val="20"/>
              </w:rPr>
            </w:pPr>
            <w:r w:rsidRPr="008B6A75">
              <w:rPr>
                <w:sz w:val="20"/>
                <w:szCs w:val="20"/>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4C24C80C" w14:textId="77777777" w:rsidR="00387142" w:rsidRPr="008B6A75" w:rsidRDefault="00387142" w:rsidP="00387142">
            <w:pPr>
              <w:jc w:val="center"/>
              <w:rPr>
                <w:sz w:val="20"/>
                <w:szCs w:val="20"/>
              </w:rPr>
            </w:pPr>
            <w:r w:rsidRPr="008B6A75">
              <w:rPr>
                <w:sz w:val="20"/>
                <w:szCs w:val="20"/>
              </w:rPr>
              <w:t>07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1B511F" w14:textId="77777777" w:rsidR="00387142" w:rsidRPr="008B6A75" w:rsidRDefault="00387142" w:rsidP="00387142">
            <w:pPr>
              <w:jc w:val="center"/>
              <w:rPr>
                <w:sz w:val="20"/>
                <w:szCs w:val="20"/>
              </w:rPr>
            </w:pPr>
            <w:r w:rsidRPr="008B6A75">
              <w:rPr>
                <w:sz w:val="20"/>
                <w:szCs w:val="20"/>
              </w:rPr>
              <w:t>02</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4503E728" w14:textId="77777777" w:rsidR="00387142" w:rsidRPr="008B6A75" w:rsidRDefault="00387142" w:rsidP="00387142">
            <w:pPr>
              <w:jc w:val="center"/>
              <w:rPr>
                <w:sz w:val="20"/>
                <w:szCs w:val="20"/>
              </w:rPr>
            </w:pPr>
            <w:r w:rsidRPr="008B6A75">
              <w:rPr>
                <w:sz w:val="20"/>
                <w:szCs w:val="20"/>
              </w:rPr>
              <w:t>07.1.00.70510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C7BBA7" w14:textId="77777777" w:rsidR="00387142" w:rsidRPr="008B6A75" w:rsidRDefault="00387142" w:rsidP="00387142">
            <w:pPr>
              <w:jc w:val="center"/>
              <w:rPr>
                <w:sz w:val="20"/>
                <w:szCs w:val="20"/>
              </w:rPr>
            </w:pPr>
            <w:r w:rsidRPr="008B6A75">
              <w:rPr>
                <w:sz w:val="20"/>
                <w:szCs w:val="20"/>
              </w:rPr>
              <w:t>110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76D282" w14:textId="77777777" w:rsidR="00387142" w:rsidRPr="008B6A75" w:rsidRDefault="00387142" w:rsidP="00387142">
            <w:pPr>
              <w:jc w:val="right"/>
              <w:rPr>
                <w:sz w:val="20"/>
                <w:szCs w:val="20"/>
              </w:rPr>
            </w:pPr>
            <w:r w:rsidRPr="008B6A75">
              <w:rPr>
                <w:sz w:val="20"/>
                <w:szCs w:val="20"/>
              </w:rPr>
              <w:t>85 537 034,83</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37767ABA" w14:textId="77777777" w:rsidR="00387142" w:rsidRPr="008B6A75" w:rsidRDefault="00387142" w:rsidP="00387142">
            <w:pPr>
              <w:jc w:val="right"/>
              <w:rPr>
                <w:sz w:val="20"/>
                <w:szCs w:val="20"/>
              </w:rPr>
            </w:pPr>
            <w:r w:rsidRPr="008B6A75">
              <w:rPr>
                <w:sz w:val="20"/>
                <w:szCs w:val="20"/>
              </w:rPr>
              <w:t>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4EFF92" w14:textId="77777777" w:rsidR="00387142" w:rsidRPr="008B6A75" w:rsidRDefault="00387142" w:rsidP="00387142">
            <w:pPr>
              <w:jc w:val="right"/>
              <w:rPr>
                <w:sz w:val="20"/>
                <w:szCs w:val="20"/>
              </w:rPr>
            </w:pPr>
            <w:r w:rsidRPr="008B6A75">
              <w:rPr>
                <w:sz w:val="20"/>
                <w:szCs w:val="20"/>
              </w:rPr>
              <w:t>0,00</w:t>
            </w:r>
          </w:p>
        </w:tc>
        <w:tc>
          <w:tcPr>
            <w:tcW w:w="222" w:type="dxa"/>
            <w:vAlign w:val="center"/>
            <w:hideMark/>
          </w:tcPr>
          <w:p w14:paraId="0CAF6141" w14:textId="77777777" w:rsidR="00387142" w:rsidRPr="008B6A75" w:rsidRDefault="00387142" w:rsidP="00387142">
            <w:pPr>
              <w:rPr>
                <w:sz w:val="20"/>
                <w:szCs w:val="20"/>
              </w:rPr>
            </w:pPr>
          </w:p>
        </w:tc>
      </w:tr>
      <w:tr w:rsidR="00387142" w:rsidRPr="008B6A75" w14:paraId="299BA77C" w14:textId="77777777" w:rsidTr="00387142">
        <w:trPr>
          <w:trHeight w:val="870"/>
        </w:trPr>
        <w:tc>
          <w:tcPr>
            <w:tcW w:w="3021" w:type="dxa"/>
            <w:tcBorders>
              <w:top w:val="nil"/>
              <w:left w:val="single" w:sz="4" w:space="0" w:color="auto"/>
              <w:bottom w:val="nil"/>
              <w:right w:val="nil"/>
            </w:tcBorders>
            <w:shd w:val="clear" w:color="auto" w:fill="auto"/>
            <w:vAlign w:val="center"/>
            <w:hideMark/>
          </w:tcPr>
          <w:p w14:paraId="1613FC9E" w14:textId="77777777" w:rsidR="00387142" w:rsidRPr="008B6A75" w:rsidRDefault="00387142" w:rsidP="00387142">
            <w:pPr>
              <w:rPr>
                <w:sz w:val="20"/>
                <w:szCs w:val="20"/>
              </w:rPr>
            </w:pPr>
            <w:r w:rsidRPr="008B6A75">
              <w:rPr>
                <w:sz w:val="20"/>
                <w:szCs w:val="20"/>
              </w:rPr>
              <w:t>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right w:val="nil"/>
            </w:tcBorders>
            <w:shd w:val="clear" w:color="auto" w:fill="auto"/>
            <w:noWrap/>
            <w:vAlign w:val="center"/>
            <w:hideMark/>
          </w:tcPr>
          <w:p w14:paraId="17CEF21F" w14:textId="77777777" w:rsidR="00387142" w:rsidRPr="008B6A75" w:rsidRDefault="00387142" w:rsidP="00387142">
            <w:pPr>
              <w:jc w:val="center"/>
              <w:rPr>
                <w:sz w:val="20"/>
                <w:szCs w:val="20"/>
              </w:rPr>
            </w:pPr>
            <w:r w:rsidRPr="008B6A75">
              <w:rPr>
                <w:sz w:val="20"/>
                <w:szCs w:val="20"/>
              </w:rPr>
              <w:t>444</w:t>
            </w:r>
          </w:p>
        </w:tc>
        <w:tc>
          <w:tcPr>
            <w:tcW w:w="709" w:type="dxa"/>
            <w:tcBorders>
              <w:top w:val="nil"/>
              <w:left w:val="single" w:sz="4" w:space="0" w:color="auto"/>
              <w:bottom w:val="nil"/>
              <w:right w:val="nil"/>
            </w:tcBorders>
            <w:shd w:val="clear" w:color="auto" w:fill="auto"/>
            <w:noWrap/>
            <w:vAlign w:val="center"/>
            <w:hideMark/>
          </w:tcPr>
          <w:p w14:paraId="792B55FE" w14:textId="77777777" w:rsidR="00387142" w:rsidRPr="008B6A75" w:rsidRDefault="00387142" w:rsidP="00387142">
            <w:pPr>
              <w:jc w:val="center"/>
              <w:rPr>
                <w:sz w:val="20"/>
                <w:szCs w:val="20"/>
              </w:rPr>
            </w:pPr>
            <w:r w:rsidRPr="008B6A75">
              <w:rPr>
                <w:sz w:val="20"/>
                <w:szCs w:val="20"/>
              </w:rPr>
              <w:t>07</w:t>
            </w:r>
          </w:p>
        </w:tc>
        <w:tc>
          <w:tcPr>
            <w:tcW w:w="709" w:type="dxa"/>
            <w:tcBorders>
              <w:top w:val="nil"/>
              <w:left w:val="single" w:sz="4" w:space="0" w:color="auto"/>
              <w:bottom w:val="nil"/>
              <w:right w:val="single" w:sz="4" w:space="0" w:color="auto"/>
            </w:tcBorders>
            <w:shd w:val="clear" w:color="auto" w:fill="auto"/>
            <w:noWrap/>
            <w:vAlign w:val="center"/>
            <w:hideMark/>
          </w:tcPr>
          <w:p w14:paraId="0E8EDD19" w14:textId="77777777" w:rsidR="00387142" w:rsidRPr="008B6A75" w:rsidRDefault="00387142" w:rsidP="00387142">
            <w:pPr>
              <w:jc w:val="center"/>
              <w:rPr>
                <w:sz w:val="20"/>
                <w:szCs w:val="20"/>
              </w:rPr>
            </w:pPr>
            <w:r w:rsidRPr="008B6A75">
              <w:rPr>
                <w:sz w:val="20"/>
                <w:szCs w:val="20"/>
              </w:rPr>
              <w:t>02</w:t>
            </w:r>
          </w:p>
        </w:tc>
        <w:tc>
          <w:tcPr>
            <w:tcW w:w="1411" w:type="dxa"/>
            <w:tcBorders>
              <w:top w:val="nil"/>
              <w:left w:val="single" w:sz="4" w:space="0" w:color="auto"/>
              <w:bottom w:val="nil"/>
              <w:right w:val="nil"/>
            </w:tcBorders>
            <w:shd w:val="clear" w:color="auto" w:fill="auto"/>
            <w:noWrap/>
            <w:vAlign w:val="center"/>
            <w:hideMark/>
          </w:tcPr>
          <w:p w14:paraId="19C4CA3F" w14:textId="77777777" w:rsidR="00387142" w:rsidRPr="008B6A75" w:rsidRDefault="00387142" w:rsidP="00387142">
            <w:pPr>
              <w:jc w:val="center"/>
              <w:rPr>
                <w:sz w:val="20"/>
                <w:szCs w:val="20"/>
              </w:rPr>
            </w:pPr>
            <w:r w:rsidRPr="008B6A75">
              <w:rPr>
                <w:sz w:val="20"/>
                <w:szCs w:val="20"/>
              </w:rPr>
              <w:t>07.1.00.70510</w:t>
            </w:r>
          </w:p>
        </w:tc>
        <w:tc>
          <w:tcPr>
            <w:tcW w:w="955" w:type="dxa"/>
            <w:tcBorders>
              <w:top w:val="nil"/>
              <w:left w:val="single" w:sz="4" w:space="0" w:color="auto"/>
              <w:bottom w:val="nil"/>
              <w:right w:val="single" w:sz="4" w:space="0" w:color="auto"/>
            </w:tcBorders>
            <w:shd w:val="clear" w:color="auto" w:fill="auto"/>
            <w:noWrap/>
            <w:vAlign w:val="center"/>
            <w:hideMark/>
          </w:tcPr>
          <w:p w14:paraId="2D8F9546" w14:textId="77777777" w:rsidR="00387142" w:rsidRPr="008B6A75" w:rsidRDefault="00387142" w:rsidP="00387142">
            <w:pPr>
              <w:jc w:val="center"/>
              <w:rPr>
                <w:sz w:val="20"/>
                <w:szCs w:val="20"/>
              </w:rPr>
            </w:pPr>
            <w:r w:rsidRPr="008B6A75">
              <w:rPr>
                <w:sz w:val="20"/>
                <w:szCs w:val="20"/>
              </w:rPr>
              <w:t>600</w:t>
            </w:r>
          </w:p>
        </w:tc>
        <w:tc>
          <w:tcPr>
            <w:tcW w:w="992" w:type="dxa"/>
            <w:tcBorders>
              <w:top w:val="nil"/>
              <w:left w:val="single" w:sz="4" w:space="0" w:color="auto"/>
              <w:bottom w:val="nil"/>
              <w:right w:val="single" w:sz="4" w:space="0" w:color="auto"/>
            </w:tcBorders>
            <w:shd w:val="clear" w:color="auto" w:fill="auto"/>
            <w:noWrap/>
            <w:vAlign w:val="center"/>
            <w:hideMark/>
          </w:tcPr>
          <w:p w14:paraId="785E75B8" w14:textId="77777777" w:rsidR="00387142" w:rsidRPr="008B6A75" w:rsidRDefault="00387142" w:rsidP="00387142">
            <w:pPr>
              <w:jc w:val="right"/>
              <w:rPr>
                <w:sz w:val="20"/>
                <w:szCs w:val="20"/>
              </w:rPr>
            </w:pPr>
            <w:r w:rsidRPr="008B6A75">
              <w:rPr>
                <w:sz w:val="20"/>
                <w:szCs w:val="20"/>
              </w:rPr>
              <w:t>66 178 504,89</w:t>
            </w:r>
          </w:p>
        </w:tc>
        <w:tc>
          <w:tcPr>
            <w:tcW w:w="992" w:type="dxa"/>
            <w:gridSpan w:val="2"/>
            <w:tcBorders>
              <w:top w:val="nil"/>
              <w:left w:val="single" w:sz="4" w:space="0" w:color="auto"/>
              <w:bottom w:val="nil"/>
              <w:right w:val="nil"/>
            </w:tcBorders>
            <w:shd w:val="clear" w:color="auto" w:fill="auto"/>
            <w:noWrap/>
            <w:vAlign w:val="center"/>
            <w:hideMark/>
          </w:tcPr>
          <w:p w14:paraId="5AD70522" w14:textId="77777777" w:rsidR="00387142" w:rsidRPr="008B6A75" w:rsidRDefault="00387142" w:rsidP="00387142">
            <w:pPr>
              <w:jc w:val="right"/>
              <w:rPr>
                <w:sz w:val="20"/>
                <w:szCs w:val="20"/>
              </w:rPr>
            </w:pPr>
            <w:r w:rsidRPr="008B6A75">
              <w:rPr>
                <w:sz w:val="20"/>
                <w:szCs w:val="20"/>
              </w:rPr>
              <w:t>0,00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05ECDBC5" w14:textId="77777777" w:rsidR="00387142" w:rsidRPr="008B6A75" w:rsidRDefault="00387142" w:rsidP="00387142">
            <w:pPr>
              <w:jc w:val="right"/>
              <w:rPr>
                <w:sz w:val="20"/>
                <w:szCs w:val="20"/>
              </w:rPr>
            </w:pPr>
            <w:r w:rsidRPr="008B6A75">
              <w:rPr>
                <w:sz w:val="20"/>
                <w:szCs w:val="20"/>
              </w:rPr>
              <w:t>0,00</w:t>
            </w:r>
          </w:p>
        </w:tc>
        <w:tc>
          <w:tcPr>
            <w:tcW w:w="222" w:type="dxa"/>
            <w:vAlign w:val="center"/>
            <w:hideMark/>
          </w:tcPr>
          <w:p w14:paraId="6AB7D60D" w14:textId="77777777" w:rsidR="00387142" w:rsidRPr="008B6A75" w:rsidRDefault="00387142" w:rsidP="00387142">
            <w:pPr>
              <w:rPr>
                <w:sz w:val="20"/>
                <w:szCs w:val="20"/>
              </w:rPr>
            </w:pPr>
          </w:p>
        </w:tc>
      </w:tr>
      <w:tr w:rsidR="00387142" w:rsidRPr="008B6A75" w14:paraId="1A634709" w14:textId="77777777" w:rsidTr="00387142">
        <w:trPr>
          <w:trHeight w:val="300"/>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53751610" w14:textId="77777777" w:rsidR="00387142" w:rsidRPr="008B6A75" w:rsidRDefault="00387142" w:rsidP="00387142">
            <w:pPr>
              <w:rPr>
                <w:sz w:val="20"/>
                <w:szCs w:val="20"/>
              </w:rPr>
            </w:pPr>
            <w:r w:rsidRPr="008B6A75">
              <w:rPr>
                <w:sz w:val="20"/>
                <w:szCs w:val="20"/>
              </w:rPr>
              <w:t>Субсидии бюджетным учреждениям</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4DDC51BB" w14:textId="77777777" w:rsidR="00387142" w:rsidRPr="008B6A75" w:rsidRDefault="00387142" w:rsidP="00387142">
            <w:pPr>
              <w:jc w:val="center"/>
              <w:rPr>
                <w:sz w:val="20"/>
                <w:szCs w:val="20"/>
              </w:rPr>
            </w:pPr>
            <w:r w:rsidRPr="008B6A75">
              <w:rPr>
                <w:sz w:val="20"/>
                <w:szCs w:val="20"/>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18385EAF" w14:textId="77777777" w:rsidR="00387142" w:rsidRPr="008B6A75" w:rsidRDefault="00387142" w:rsidP="00387142">
            <w:pPr>
              <w:jc w:val="center"/>
              <w:rPr>
                <w:sz w:val="20"/>
                <w:szCs w:val="20"/>
              </w:rPr>
            </w:pPr>
            <w:r w:rsidRPr="008B6A75">
              <w:rPr>
                <w:sz w:val="20"/>
                <w:szCs w:val="20"/>
              </w:rPr>
              <w:t>07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951AB1" w14:textId="77777777" w:rsidR="00387142" w:rsidRPr="008B6A75" w:rsidRDefault="00387142" w:rsidP="00387142">
            <w:pPr>
              <w:jc w:val="center"/>
              <w:rPr>
                <w:sz w:val="20"/>
                <w:szCs w:val="20"/>
              </w:rPr>
            </w:pPr>
            <w:r w:rsidRPr="008B6A75">
              <w:rPr>
                <w:sz w:val="20"/>
                <w:szCs w:val="20"/>
              </w:rPr>
              <w:t>02</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042DDE35" w14:textId="77777777" w:rsidR="00387142" w:rsidRPr="008B6A75" w:rsidRDefault="00387142" w:rsidP="00387142">
            <w:pPr>
              <w:jc w:val="center"/>
              <w:rPr>
                <w:sz w:val="20"/>
                <w:szCs w:val="20"/>
              </w:rPr>
            </w:pPr>
            <w:r w:rsidRPr="008B6A75">
              <w:rPr>
                <w:sz w:val="20"/>
                <w:szCs w:val="20"/>
              </w:rPr>
              <w:t>07.1.00.70510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B24BED" w14:textId="77777777" w:rsidR="00387142" w:rsidRPr="008B6A75" w:rsidRDefault="00387142" w:rsidP="00387142">
            <w:pPr>
              <w:jc w:val="center"/>
              <w:rPr>
                <w:sz w:val="20"/>
                <w:szCs w:val="20"/>
              </w:rPr>
            </w:pPr>
            <w:r w:rsidRPr="008B6A75">
              <w:rPr>
                <w:sz w:val="20"/>
                <w:szCs w:val="20"/>
              </w:rPr>
              <w:t>610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17B789" w14:textId="77777777" w:rsidR="00387142" w:rsidRPr="008B6A75" w:rsidRDefault="00387142" w:rsidP="00387142">
            <w:pPr>
              <w:jc w:val="right"/>
              <w:rPr>
                <w:sz w:val="20"/>
                <w:szCs w:val="20"/>
              </w:rPr>
            </w:pPr>
            <w:r w:rsidRPr="008B6A75">
              <w:rPr>
                <w:sz w:val="20"/>
                <w:szCs w:val="20"/>
              </w:rPr>
              <w:t>66 178 504,89</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2DE8E71A" w14:textId="77777777" w:rsidR="00387142" w:rsidRPr="008B6A75" w:rsidRDefault="00387142" w:rsidP="00387142">
            <w:pPr>
              <w:jc w:val="right"/>
              <w:rPr>
                <w:sz w:val="20"/>
                <w:szCs w:val="20"/>
              </w:rPr>
            </w:pPr>
            <w:r w:rsidRPr="008B6A75">
              <w:rPr>
                <w:sz w:val="20"/>
                <w:szCs w:val="20"/>
              </w:rPr>
              <w:t>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F68C3D" w14:textId="77777777" w:rsidR="00387142" w:rsidRPr="008B6A75" w:rsidRDefault="00387142" w:rsidP="00387142">
            <w:pPr>
              <w:jc w:val="right"/>
              <w:rPr>
                <w:sz w:val="20"/>
                <w:szCs w:val="20"/>
              </w:rPr>
            </w:pPr>
            <w:r w:rsidRPr="008B6A75">
              <w:rPr>
                <w:sz w:val="20"/>
                <w:szCs w:val="20"/>
              </w:rPr>
              <w:t>0,00</w:t>
            </w:r>
          </w:p>
        </w:tc>
        <w:tc>
          <w:tcPr>
            <w:tcW w:w="222" w:type="dxa"/>
            <w:vAlign w:val="center"/>
            <w:hideMark/>
          </w:tcPr>
          <w:p w14:paraId="3F6ED80D" w14:textId="77777777" w:rsidR="00387142" w:rsidRPr="008B6A75" w:rsidRDefault="00387142" w:rsidP="00387142">
            <w:pPr>
              <w:rPr>
                <w:sz w:val="20"/>
                <w:szCs w:val="20"/>
              </w:rPr>
            </w:pPr>
          </w:p>
        </w:tc>
      </w:tr>
      <w:tr w:rsidR="00387142" w:rsidRPr="008B6A75" w14:paraId="2F0AF33B" w14:textId="77777777" w:rsidTr="00387142">
        <w:trPr>
          <w:trHeight w:val="870"/>
        </w:trPr>
        <w:tc>
          <w:tcPr>
            <w:tcW w:w="3021" w:type="dxa"/>
            <w:tcBorders>
              <w:top w:val="nil"/>
              <w:left w:val="single" w:sz="4" w:space="0" w:color="auto"/>
              <w:bottom w:val="nil"/>
              <w:right w:val="nil"/>
            </w:tcBorders>
            <w:shd w:val="clear" w:color="auto" w:fill="auto"/>
            <w:vAlign w:val="center"/>
            <w:hideMark/>
          </w:tcPr>
          <w:p w14:paraId="6DA8F5B7" w14:textId="77777777" w:rsidR="00387142" w:rsidRPr="008B6A75" w:rsidRDefault="00387142" w:rsidP="00387142">
            <w:pPr>
              <w:rPr>
                <w:bCs/>
                <w:sz w:val="20"/>
                <w:szCs w:val="20"/>
              </w:rPr>
            </w:pPr>
            <w:r w:rsidRPr="008B6A75">
              <w:rPr>
                <w:bCs/>
                <w:sz w:val="20"/>
                <w:szCs w:val="20"/>
              </w:rPr>
              <w:t xml:space="preserve">Реализация мероприятий в рамках </w:t>
            </w:r>
            <w:proofErr w:type="spellStart"/>
            <w:r w:rsidRPr="008B6A75">
              <w:rPr>
                <w:bCs/>
                <w:sz w:val="20"/>
                <w:szCs w:val="20"/>
              </w:rPr>
              <w:t>подпрограммы"Развитие</w:t>
            </w:r>
            <w:proofErr w:type="spellEnd"/>
            <w:r w:rsidRPr="008B6A75">
              <w:rPr>
                <w:bCs/>
                <w:sz w:val="20"/>
                <w:szCs w:val="20"/>
              </w:rPr>
              <w:t xml:space="preserve"> дошкольного, общего и дополнительного образования детей "</w:t>
            </w:r>
          </w:p>
        </w:tc>
        <w:tc>
          <w:tcPr>
            <w:tcW w:w="850" w:type="dxa"/>
            <w:tcBorders>
              <w:top w:val="nil"/>
              <w:left w:val="single" w:sz="4" w:space="0" w:color="auto"/>
              <w:bottom w:val="nil"/>
              <w:right w:val="nil"/>
            </w:tcBorders>
            <w:shd w:val="clear" w:color="auto" w:fill="auto"/>
            <w:noWrap/>
            <w:vAlign w:val="center"/>
            <w:hideMark/>
          </w:tcPr>
          <w:p w14:paraId="05E75855" w14:textId="77777777" w:rsidR="00387142" w:rsidRPr="008B6A75" w:rsidRDefault="00387142" w:rsidP="00387142">
            <w:pPr>
              <w:jc w:val="center"/>
              <w:rPr>
                <w:bCs/>
                <w:sz w:val="20"/>
                <w:szCs w:val="20"/>
              </w:rPr>
            </w:pPr>
            <w:r w:rsidRPr="008B6A75">
              <w:rPr>
                <w:bCs/>
                <w:sz w:val="20"/>
                <w:szCs w:val="20"/>
              </w:rPr>
              <w:t>444</w:t>
            </w:r>
          </w:p>
        </w:tc>
        <w:tc>
          <w:tcPr>
            <w:tcW w:w="709" w:type="dxa"/>
            <w:tcBorders>
              <w:top w:val="nil"/>
              <w:left w:val="single" w:sz="4" w:space="0" w:color="auto"/>
              <w:bottom w:val="nil"/>
              <w:right w:val="nil"/>
            </w:tcBorders>
            <w:shd w:val="clear" w:color="auto" w:fill="auto"/>
            <w:noWrap/>
            <w:vAlign w:val="center"/>
            <w:hideMark/>
          </w:tcPr>
          <w:p w14:paraId="17346942" w14:textId="77777777" w:rsidR="00387142" w:rsidRPr="008B6A75" w:rsidRDefault="00387142" w:rsidP="00387142">
            <w:pPr>
              <w:jc w:val="center"/>
              <w:rPr>
                <w:bCs/>
                <w:sz w:val="20"/>
                <w:szCs w:val="20"/>
              </w:rPr>
            </w:pPr>
            <w:r w:rsidRPr="008B6A75">
              <w:rPr>
                <w:bCs/>
                <w:sz w:val="20"/>
                <w:szCs w:val="20"/>
              </w:rPr>
              <w:t>07</w:t>
            </w:r>
          </w:p>
        </w:tc>
        <w:tc>
          <w:tcPr>
            <w:tcW w:w="709" w:type="dxa"/>
            <w:tcBorders>
              <w:top w:val="nil"/>
              <w:left w:val="single" w:sz="4" w:space="0" w:color="auto"/>
              <w:bottom w:val="nil"/>
              <w:right w:val="single" w:sz="4" w:space="0" w:color="auto"/>
            </w:tcBorders>
            <w:shd w:val="clear" w:color="auto" w:fill="auto"/>
            <w:noWrap/>
            <w:vAlign w:val="center"/>
            <w:hideMark/>
          </w:tcPr>
          <w:p w14:paraId="50B6BB2E" w14:textId="77777777" w:rsidR="00387142" w:rsidRPr="008B6A75" w:rsidRDefault="00387142" w:rsidP="00387142">
            <w:pPr>
              <w:jc w:val="center"/>
              <w:rPr>
                <w:bCs/>
                <w:sz w:val="20"/>
                <w:szCs w:val="20"/>
              </w:rPr>
            </w:pPr>
            <w:r w:rsidRPr="008B6A75">
              <w:rPr>
                <w:bCs/>
                <w:sz w:val="20"/>
                <w:szCs w:val="20"/>
              </w:rPr>
              <w:t>02</w:t>
            </w:r>
          </w:p>
        </w:tc>
        <w:tc>
          <w:tcPr>
            <w:tcW w:w="1411" w:type="dxa"/>
            <w:tcBorders>
              <w:top w:val="nil"/>
              <w:left w:val="single" w:sz="4" w:space="0" w:color="auto"/>
              <w:bottom w:val="nil"/>
              <w:right w:val="nil"/>
            </w:tcBorders>
            <w:shd w:val="clear" w:color="auto" w:fill="auto"/>
            <w:noWrap/>
            <w:vAlign w:val="center"/>
            <w:hideMark/>
          </w:tcPr>
          <w:p w14:paraId="0D37A204" w14:textId="77777777" w:rsidR="00387142" w:rsidRPr="008B6A75" w:rsidRDefault="00387142" w:rsidP="00387142">
            <w:pPr>
              <w:jc w:val="center"/>
              <w:rPr>
                <w:bCs/>
                <w:sz w:val="20"/>
                <w:szCs w:val="20"/>
              </w:rPr>
            </w:pPr>
            <w:r w:rsidRPr="008B6A75">
              <w:rPr>
                <w:bCs/>
                <w:sz w:val="20"/>
                <w:szCs w:val="20"/>
              </w:rPr>
              <w:t>07.1.00.79500</w:t>
            </w:r>
          </w:p>
        </w:tc>
        <w:tc>
          <w:tcPr>
            <w:tcW w:w="955" w:type="dxa"/>
            <w:tcBorders>
              <w:top w:val="nil"/>
              <w:left w:val="single" w:sz="4" w:space="0" w:color="auto"/>
              <w:bottom w:val="nil"/>
              <w:right w:val="single" w:sz="4" w:space="0" w:color="auto"/>
            </w:tcBorders>
            <w:shd w:val="clear" w:color="auto" w:fill="auto"/>
            <w:noWrap/>
            <w:vAlign w:val="center"/>
            <w:hideMark/>
          </w:tcPr>
          <w:p w14:paraId="2A4F1FD0"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nil"/>
              <w:right w:val="single" w:sz="4" w:space="0" w:color="auto"/>
            </w:tcBorders>
            <w:shd w:val="clear" w:color="auto" w:fill="auto"/>
            <w:noWrap/>
            <w:vAlign w:val="center"/>
            <w:hideMark/>
          </w:tcPr>
          <w:p w14:paraId="3884366B" w14:textId="77777777" w:rsidR="00387142" w:rsidRPr="008B6A75" w:rsidRDefault="00387142" w:rsidP="00387142">
            <w:pPr>
              <w:jc w:val="right"/>
              <w:rPr>
                <w:bCs/>
                <w:sz w:val="20"/>
                <w:szCs w:val="20"/>
              </w:rPr>
            </w:pPr>
            <w:r w:rsidRPr="008B6A75">
              <w:rPr>
                <w:bCs/>
                <w:sz w:val="20"/>
                <w:szCs w:val="20"/>
              </w:rPr>
              <w:t>725 240,00</w:t>
            </w:r>
          </w:p>
        </w:tc>
        <w:tc>
          <w:tcPr>
            <w:tcW w:w="992" w:type="dxa"/>
            <w:gridSpan w:val="2"/>
            <w:tcBorders>
              <w:top w:val="nil"/>
              <w:left w:val="single" w:sz="4" w:space="0" w:color="auto"/>
              <w:bottom w:val="nil"/>
              <w:right w:val="nil"/>
            </w:tcBorders>
            <w:shd w:val="clear" w:color="auto" w:fill="auto"/>
            <w:noWrap/>
            <w:vAlign w:val="center"/>
            <w:hideMark/>
          </w:tcPr>
          <w:p w14:paraId="43288821" w14:textId="77777777" w:rsidR="00387142" w:rsidRPr="008B6A75" w:rsidRDefault="00387142" w:rsidP="00387142">
            <w:pPr>
              <w:jc w:val="right"/>
              <w:rPr>
                <w:bCs/>
                <w:sz w:val="20"/>
                <w:szCs w:val="20"/>
              </w:rPr>
            </w:pPr>
            <w:r w:rsidRPr="008B6A75">
              <w:rPr>
                <w:bCs/>
                <w:sz w:val="20"/>
                <w:szCs w:val="20"/>
              </w:rPr>
              <w:t>0,00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04FB2AFD" w14:textId="77777777" w:rsidR="00387142" w:rsidRPr="008B6A75" w:rsidRDefault="00387142" w:rsidP="00387142">
            <w:pPr>
              <w:jc w:val="right"/>
              <w:rPr>
                <w:bCs/>
                <w:sz w:val="20"/>
                <w:szCs w:val="20"/>
              </w:rPr>
            </w:pPr>
            <w:r w:rsidRPr="008B6A75">
              <w:rPr>
                <w:bCs/>
                <w:sz w:val="20"/>
                <w:szCs w:val="20"/>
              </w:rPr>
              <w:t>0,00</w:t>
            </w:r>
          </w:p>
        </w:tc>
        <w:tc>
          <w:tcPr>
            <w:tcW w:w="222" w:type="dxa"/>
            <w:vAlign w:val="center"/>
            <w:hideMark/>
          </w:tcPr>
          <w:p w14:paraId="32ACECF3" w14:textId="77777777" w:rsidR="00387142" w:rsidRPr="008B6A75" w:rsidRDefault="00387142" w:rsidP="00387142">
            <w:pPr>
              <w:rPr>
                <w:sz w:val="20"/>
                <w:szCs w:val="20"/>
              </w:rPr>
            </w:pPr>
          </w:p>
        </w:tc>
      </w:tr>
      <w:tr w:rsidR="00387142" w:rsidRPr="008B6A75" w14:paraId="11108F1F" w14:textId="77777777" w:rsidTr="00387142">
        <w:trPr>
          <w:trHeight w:val="870"/>
        </w:trPr>
        <w:tc>
          <w:tcPr>
            <w:tcW w:w="3021" w:type="dxa"/>
            <w:tcBorders>
              <w:top w:val="single" w:sz="4" w:space="0" w:color="auto"/>
              <w:left w:val="single" w:sz="4" w:space="0" w:color="auto"/>
              <w:bottom w:val="nil"/>
              <w:right w:val="nil"/>
            </w:tcBorders>
            <w:shd w:val="clear" w:color="auto" w:fill="auto"/>
            <w:vAlign w:val="center"/>
            <w:hideMark/>
          </w:tcPr>
          <w:p w14:paraId="5221E6D0" w14:textId="77777777" w:rsidR="00387142" w:rsidRPr="008B6A75" w:rsidRDefault="00387142" w:rsidP="00387142">
            <w:pPr>
              <w:rPr>
                <w:sz w:val="20"/>
                <w:szCs w:val="20"/>
              </w:rPr>
            </w:pPr>
            <w:r w:rsidRPr="008B6A75">
              <w:rPr>
                <w:sz w:val="20"/>
                <w:szCs w:val="20"/>
              </w:rPr>
              <w:t>Предоставление субсидий бюджетным, автономным учреждениям и иным некоммерческим организациям</w:t>
            </w:r>
          </w:p>
        </w:tc>
        <w:tc>
          <w:tcPr>
            <w:tcW w:w="850" w:type="dxa"/>
            <w:tcBorders>
              <w:top w:val="single" w:sz="4" w:space="0" w:color="auto"/>
              <w:left w:val="single" w:sz="4" w:space="0" w:color="auto"/>
              <w:bottom w:val="nil"/>
              <w:right w:val="nil"/>
            </w:tcBorders>
            <w:shd w:val="clear" w:color="auto" w:fill="auto"/>
            <w:noWrap/>
            <w:vAlign w:val="center"/>
            <w:hideMark/>
          </w:tcPr>
          <w:p w14:paraId="79A0A53B" w14:textId="77777777" w:rsidR="00387142" w:rsidRPr="008B6A75" w:rsidRDefault="00387142" w:rsidP="00387142">
            <w:pPr>
              <w:jc w:val="center"/>
              <w:rPr>
                <w:sz w:val="20"/>
                <w:szCs w:val="20"/>
              </w:rPr>
            </w:pPr>
            <w:r w:rsidRPr="008B6A75">
              <w:rPr>
                <w:sz w:val="20"/>
                <w:szCs w:val="20"/>
              </w:rPr>
              <w:t>444</w:t>
            </w:r>
          </w:p>
        </w:tc>
        <w:tc>
          <w:tcPr>
            <w:tcW w:w="709" w:type="dxa"/>
            <w:tcBorders>
              <w:top w:val="single" w:sz="4" w:space="0" w:color="auto"/>
              <w:left w:val="single" w:sz="4" w:space="0" w:color="auto"/>
              <w:bottom w:val="nil"/>
              <w:right w:val="nil"/>
            </w:tcBorders>
            <w:shd w:val="clear" w:color="auto" w:fill="auto"/>
            <w:noWrap/>
            <w:vAlign w:val="center"/>
            <w:hideMark/>
          </w:tcPr>
          <w:p w14:paraId="22EFC950" w14:textId="77777777" w:rsidR="00387142" w:rsidRPr="008B6A75" w:rsidRDefault="00387142" w:rsidP="00387142">
            <w:pPr>
              <w:jc w:val="center"/>
              <w:rPr>
                <w:sz w:val="20"/>
                <w:szCs w:val="20"/>
              </w:rPr>
            </w:pPr>
            <w:r w:rsidRPr="008B6A75">
              <w:rPr>
                <w:sz w:val="20"/>
                <w:szCs w:val="20"/>
              </w:rPr>
              <w:t>07</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640AC5B9" w14:textId="77777777" w:rsidR="00387142" w:rsidRPr="008B6A75" w:rsidRDefault="00387142" w:rsidP="00387142">
            <w:pPr>
              <w:jc w:val="center"/>
              <w:rPr>
                <w:sz w:val="20"/>
                <w:szCs w:val="20"/>
              </w:rPr>
            </w:pPr>
            <w:r w:rsidRPr="008B6A75">
              <w:rPr>
                <w:sz w:val="20"/>
                <w:szCs w:val="20"/>
              </w:rPr>
              <w:t>02</w:t>
            </w:r>
          </w:p>
        </w:tc>
        <w:tc>
          <w:tcPr>
            <w:tcW w:w="1411" w:type="dxa"/>
            <w:tcBorders>
              <w:top w:val="single" w:sz="4" w:space="0" w:color="auto"/>
              <w:left w:val="single" w:sz="4" w:space="0" w:color="auto"/>
              <w:bottom w:val="nil"/>
              <w:right w:val="nil"/>
            </w:tcBorders>
            <w:shd w:val="clear" w:color="auto" w:fill="auto"/>
            <w:noWrap/>
            <w:vAlign w:val="center"/>
            <w:hideMark/>
          </w:tcPr>
          <w:p w14:paraId="0C5024E0" w14:textId="77777777" w:rsidR="00387142" w:rsidRPr="008B6A75" w:rsidRDefault="00387142" w:rsidP="00387142">
            <w:pPr>
              <w:jc w:val="center"/>
              <w:rPr>
                <w:sz w:val="20"/>
                <w:szCs w:val="20"/>
              </w:rPr>
            </w:pPr>
            <w:r w:rsidRPr="008B6A75">
              <w:rPr>
                <w:sz w:val="20"/>
                <w:szCs w:val="20"/>
              </w:rPr>
              <w:t>07.1.00.79500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79A3509B" w14:textId="77777777" w:rsidR="00387142" w:rsidRPr="008B6A75" w:rsidRDefault="00387142" w:rsidP="00387142">
            <w:pPr>
              <w:jc w:val="center"/>
              <w:rPr>
                <w:sz w:val="20"/>
                <w:szCs w:val="20"/>
              </w:rPr>
            </w:pPr>
            <w:r w:rsidRPr="008B6A75">
              <w:rPr>
                <w:sz w:val="20"/>
                <w:szCs w:val="20"/>
              </w:rPr>
              <w:t>600</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09584319" w14:textId="77777777" w:rsidR="00387142" w:rsidRPr="008B6A75" w:rsidRDefault="00387142" w:rsidP="00387142">
            <w:pPr>
              <w:jc w:val="right"/>
              <w:rPr>
                <w:sz w:val="20"/>
                <w:szCs w:val="20"/>
              </w:rPr>
            </w:pPr>
            <w:r w:rsidRPr="008B6A75">
              <w:rPr>
                <w:sz w:val="20"/>
                <w:szCs w:val="20"/>
              </w:rPr>
              <w:t>725 240,00</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1A12C211" w14:textId="77777777" w:rsidR="00387142" w:rsidRPr="008B6A75" w:rsidRDefault="00387142" w:rsidP="00387142">
            <w:pPr>
              <w:jc w:val="right"/>
              <w:rPr>
                <w:sz w:val="20"/>
                <w:szCs w:val="20"/>
              </w:rPr>
            </w:pPr>
            <w:r w:rsidRPr="008B6A75">
              <w:rPr>
                <w:sz w:val="20"/>
                <w:szCs w:val="20"/>
              </w:rPr>
              <w:t>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5CABD18D" w14:textId="77777777" w:rsidR="00387142" w:rsidRPr="008B6A75" w:rsidRDefault="00387142" w:rsidP="00387142">
            <w:pPr>
              <w:jc w:val="right"/>
              <w:rPr>
                <w:sz w:val="20"/>
                <w:szCs w:val="20"/>
              </w:rPr>
            </w:pPr>
            <w:r w:rsidRPr="008B6A75">
              <w:rPr>
                <w:sz w:val="20"/>
                <w:szCs w:val="20"/>
              </w:rPr>
              <w:t>0,00</w:t>
            </w:r>
          </w:p>
        </w:tc>
        <w:tc>
          <w:tcPr>
            <w:tcW w:w="222" w:type="dxa"/>
            <w:vAlign w:val="center"/>
            <w:hideMark/>
          </w:tcPr>
          <w:p w14:paraId="46930416" w14:textId="77777777" w:rsidR="00387142" w:rsidRPr="008B6A75" w:rsidRDefault="00387142" w:rsidP="00387142">
            <w:pPr>
              <w:rPr>
                <w:sz w:val="20"/>
                <w:szCs w:val="20"/>
              </w:rPr>
            </w:pPr>
          </w:p>
        </w:tc>
      </w:tr>
      <w:tr w:rsidR="00387142" w:rsidRPr="008B6A75" w14:paraId="1D0461C5" w14:textId="77777777" w:rsidTr="00387142">
        <w:trPr>
          <w:trHeight w:val="300"/>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434F448B" w14:textId="77777777" w:rsidR="00387142" w:rsidRPr="008B6A75" w:rsidRDefault="00387142" w:rsidP="00387142">
            <w:pPr>
              <w:rPr>
                <w:sz w:val="20"/>
                <w:szCs w:val="20"/>
              </w:rPr>
            </w:pPr>
            <w:r w:rsidRPr="008B6A75">
              <w:rPr>
                <w:sz w:val="20"/>
                <w:szCs w:val="20"/>
              </w:rPr>
              <w:t>Субсидии бюджетным учреждениям</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53056FBF" w14:textId="77777777" w:rsidR="00387142" w:rsidRPr="008B6A75" w:rsidRDefault="00387142" w:rsidP="00387142">
            <w:pPr>
              <w:jc w:val="center"/>
              <w:rPr>
                <w:sz w:val="20"/>
                <w:szCs w:val="20"/>
              </w:rPr>
            </w:pPr>
            <w:r w:rsidRPr="008B6A75">
              <w:rPr>
                <w:sz w:val="20"/>
                <w:szCs w:val="20"/>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129CD7C5" w14:textId="77777777" w:rsidR="00387142" w:rsidRPr="008B6A75" w:rsidRDefault="00387142" w:rsidP="00387142">
            <w:pPr>
              <w:jc w:val="center"/>
              <w:rPr>
                <w:sz w:val="20"/>
                <w:szCs w:val="20"/>
              </w:rPr>
            </w:pPr>
            <w:r w:rsidRPr="008B6A75">
              <w:rPr>
                <w:sz w:val="20"/>
                <w:szCs w:val="20"/>
              </w:rPr>
              <w:t>07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0E4AD4" w14:textId="77777777" w:rsidR="00387142" w:rsidRPr="008B6A75" w:rsidRDefault="00387142" w:rsidP="00387142">
            <w:pPr>
              <w:jc w:val="center"/>
              <w:rPr>
                <w:sz w:val="20"/>
                <w:szCs w:val="20"/>
              </w:rPr>
            </w:pPr>
            <w:r w:rsidRPr="008B6A75">
              <w:rPr>
                <w:sz w:val="20"/>
                <w:szCs w:val="20"/>
              </w:rPr>
              <w:t>02</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0D596B94" w14:textId="77777777" w:rsidR="00387142" w:rsidRPr="008B6A75" w:rsidRDefault="00387142" w:rsidP="00387142">
            <w:pPr>
              <w:jc w:val="center"/>
              <w:rPr>
                <w:sz w:val="20"/>
                <w:szCs w:val="20"/>
              </w:rPr>
            </w:pPr>
            <w:r w:rsidRPr="008B6A75">
              <w:rPr>
                <w:sz w:val="20"/>
                <w:szCs w:val="20"/>
              </w:rPr>
              <w:t>07.1.00.79500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80C7F6" w14:textId="77777777" w:rsidR="00387142" w:rsidRPr="008B6A75" w:rsidRDefault="00387142" w:rsidP="00387142">
            <w:pPr>
              <w:jc w:val="center"/>
              <w:rPr>
                <w:sz w:val="20"/>
                <w:szCs w:val="20"/>
              </w:rPr>
            </w:pPr>
            <w:r w:rsidRPr="008B6A75">
              <w:rPr>
                <w:sz w:val="20"/>
                <w:szCs w:val="20"/>
              </w:rPr>
              <w:t>610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83EEDF" w14:textId="77777777" w:rsidR="00387142" w:rsidRPr="008B6A75" w:rsidRDefault="00387142" w:rsidP="00387142">
            <w:pPr>
              <w:jc w:val="right"/>
              <w:rPr>
                <w:sz w:val="20"/>
                <w:szCs w:val="20"/>
              </w:rPr>
            </w:pPr>
            <w:r w:rsidRPr="008B6A75">
              <w:rPr>
                <w:sz w:val="20"/>
                <w:szCs w:val="20"/>
              </w:rPr>
              <w:t>725 240,00</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556FDE4A" w14:textId="77777777" w:rsidR="00387142" w:rsidRPr="008B6A75" w:rsidRDefault="00387142" w:rsidP="00387142">
            <w:pPr>
              <w:jc w:val="right"/>
              <w:rPr>
                <w:sz w:val="20"/>
                <w:szCs w:val="20"/>
              </w:rPr>
            </w:pPr>
            <w:r w:rsidRPr="008B6A75">
              <w:rPr>
                <w:sz w:val="20"/>
                <w:szCs w:val="20"/>
              </w:rPr>
              <w:t>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AFB1B2" w14:textId="77777777" w:rsidR="00387142" w:rsidRPr="008B6A75" w:rsidRDefault="00387142" w:rsidP="00387142">
            <w:pPr>
              <w:jc w:val="right"/>
              <w:rPr>
                <w:sz w:val="20"/>
                <w:szCs w:val="20"/>
              </w:rPr>
            </w:pPr>
            <w:r w:rsidRPr="008B6A75">
              <w:rPr>
                <w:sz w:val="20"/>
                <w:szCs w:val="20"/>
              </w:rPr>
              <w:t>0,00</w:t>
            </w:r>
          </w:p>
        </w:tc>
        <w:tc>
          <w:tcPr>
            <w:tcW w:w="222" w:type="dxa"/>
            <w:vAlign w:val="center"/>
            <w:hideMark/>
          </w:tcPr>
          <w:p w14:paraId="5240DA52" w14:textId="77777777" w:rsidR="00387142" w:rsidRPr="008B6A75" w:rsidRDefault="00387142" w:rsidP="00387142">
            <w:pPr>
              <w:rPr>
                <w:sz w:val="20"/>
                <w:szCs w:val="20"/>
              </w:rPr>
            </w:pPr>
          </w:p>
        </w:tc>
      </w:tr>
      <w:tr w:rsidR="00387142" w:rsidRPr="008B6A75" w14:paraId="7EF63A0D" w14:textId="77777777" w:rsidTr="00387142">
        <w:trPr>
          <w:trHeight w:val="2295"/>
        </w:trPr>
        <w:tc>
          <w:tcPr>
            <w:tcW w:w="3021" w:type="dxa"/>
            <w:tcBorders>
              <w:top w:val="nil"/>
              <w:left w:val="single" w:sz="4" w:space="0" w:color="auto"/>
              <w:bottom w:val="nil"/>
              <w:right w:val="nil"/>
            </w:tcBorders>
            <w:shd w:val="clear" w:color="auto" w:fill="auto"/>
            <w:vAlign w:val="center"/>
            <w:hideMark/>
          </w:tcPr>
          <w:p w14:paraId="4C277E35" w14:textId="77777777" w:rsidR="00387142" w:rsidRPr="008B6A75" w:rsidRDefault="00387142" w:rsidP="00387142">
            <w:pPr>
              <w:rPr>
                <w:bCs/>
                <w:sz w:val="20"/>
                <w:szCs w:val="20"/>
              </w:rPr>
            </w:pPr>
            <w:r w:rsidRPr="008B6A75">
              <w:rPr>
                <w:bCs/>
                <w:sz w:val="20"/>
                <w:szCs w:val="20"/>
              </w:rPr>
              <w:t>Организация бесплатного горячего питания обучающихся, получающих начальное общее образование в муниципальных образовательных организациях,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850" w:type="dxa"/>
            <w:tcBorders>
              <w:top w:val="nil"/>
              <w:left w:val="single" w:sz="4" w:space="0" w:color="auto"/>
              <w:bottom w:val="nil"/>
              <w:right w:val="nil"/>
            </w:tcBorders>
            <w:shd w:val="clear" w:color="auto" w:fill="auto"/>
            <w:noWrap/>
            <w:vAlign w:val="center"/>
            <w:hideMark/>
          </w:tcPr>
          <w:p w14:paraId="2221A793" w14:textId="77777777" w:rsidR="00387142" w:rsidRPr="008B6A75" w:rsidRDefault="00387142" w:rsidP="00387142">
            <w:pPr>
              <w:jc w:val="center"/>
              <w:rPr>
                <w:bCs/>
                <w:sz w:val="20"/>
                <w:szCs w:val="20"/>
              </w:rPr>
            </w:pPr>
            <w:r w:rsidRPr="008B6A75">
              <w:rPr>
                <w:bCs/>
                <w:sz w:val="20"/>
                <w:szCs w:val="20"/>
              </w:rPr>
              <w:t>444</w:t>
            </w:r>
          </w:p>
        </w:tc>
        <w:tc>
          <w:tcPr>
            <w:tcW w:w="709" w:type="dxa"/>
            <w:tcBorders>
              <w:top w:val="nil"/>
              <w:left w:val="single" w:sz="4" w:space="0" w:color="auto"/>
              <w:bottom w:val="nil"/>
              <w:right w:val="nil"/>
            </w:tcBorders>
            <w:shd w:val="clear" w:color="auto" w:fill="auto"/>
            <w:noWrap/>
            <w:vAlign w:val="center"/>
            <w:hideMark/>
          </w:tcPr>
          <w:p w14:paraId="00267099" w14:textId="77777777" w:rsidR="00387142" w:rsidRPr="008B6A75" w:rsidRDefault="00387142" w:rsidP="00387142">
            <w:pPr>
              <w:jc w:val="center"/>
              <w:rPr>
                <w:bCs/>
                <w:sz w:val="20"/>
                <w:szCs w:val="20"/>
              </w:rPr>
            </w:pPr>
            <w:r w:rsidRPr="008B6A75">
              <w:rPr>
                <w:bCs/>
                <w:sz w:val="20"/>
                <w:szCs w:val="20"/>
              </w:rPr>
              <w:t>07</w:t>
            </w:r>
          </w:p>
        </w:tc>
        <w:tc>
          <w:tcPr>
            <w:tcW w:w="709" w:type="dxa"/>
            <w:tcBorders>
              <w:top w:val="nil"/>
              <w:left w:val="single" w:sz="4" w:space="0" w:color="auto"/>
              <w:bottom w:val="nil"/>
              <w:right w:val="single" w:sz="4" w:space="0" w:color="auto"/>
            </w:tcBorders>
            <w:shd w:val="clear" w:color="auto" w:fill="auto"/>
            <w:noWrap/>
            <w:vAlign w:val="center"/>
            <w:hideMark/>
          </w:tcPr>
          <w:p w14:paraId="5DBA47EA" w14:textId="77777777" w:rsidR="00387142" w:rsidRPr="008B6A75" w:rsidRDefault="00387142" w:rsidP="00387142">
            <w:pPr>
              <w:jc w:val="center"/>
              <w:rPr>
                <w:bCs/>
                <w:sz w:val="20"/>
                <w:szCs w:val="20"/>
              </w:rPr>
            </w:pPr>
            <w:r w:rsidRPr="008B6A75">
              <w:rPr>
                <w:bCs/>
                <w:sz w:val="20"/>
                <w:szCs w:val="20"/>
              </w:rPr>
              <w:t>02</w:t>
            </w:r>
          </w:p>
        </w:tc>
        <w:tc>
          <w:tcPr>
            <w:tcW w:w="1411" w:type="dxa"/>
            <w:tcBorders>
              <w:top w:val="nil"/>
              <w:left w:val="single" w:sz="4" w:space="0" w:color="auto"/>
              <w:bottom w:val="nil"/>
              <w:right w:val="nil"/>
            </w:tcBorders>
            <w:shd w:val="clear" w:color="auto" w:fill="auto"/>
            <w:noWrap/>
            <w:vAlign w:val="center"/>
            <w:hideMark/>
          </w:tcPr>
          <w:p w14:paraId="4E65CDE6" w14:textId="77777777" w:rsidR="00387142" w:rsidRPr="008B6A75" w:rsidRDefault="00387142" w:rsidP="00387142">
            <w:pPr>
              <w:jc w:val="center"/>
              <w:rPr>
                <w:bCs/>
                <w:sz w:val="20"/>
                <w:szCs w:val="20"/>
              </w:rPr>
            </w:pPr>
            <w:r w:rsidRPr="008B6A75">
              <w:rPr>
                <w:bCs/>
                <w:sz w:val="20"/>
                <w:szCs w:val="20"/>
              </w:rPr>
              <w:t>07.1.00.L3040</w:t>
            </w:r>
          </w:p>
        </w:tc>
        <w:tc>
          <w:tcPr>
            <w:tcW w:w="955" w:type="dxa"/>
            <w:tcBorders>
              <w:top w:val="nil"/>
              <w:left w:val="single" w:sz="4" w:space="0" w:color="auto"/>
              <w:bottom w:val="nil"/>
              <w:right w:val="single" w:sz="4" w:space="0" w:color="auto"/>
            </w:tcBorders>
            <w:shd w:val="clear" w:color="auto" w:fill="auto"/>
            <w:noWrap/>
            <w:vAlign w:val="center"/>
            <w:hideMark/>
          </w:tcPr>
          <w:p w14:paraId="3298DC61"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nil"/>
              <w:right w:val="single" w:sz="4" w:space="0" w:color="auto"/>
            </w:tcBorders>
            <w:shd w:val="clear" w:color="auto" w:fill="auto"/>
            <w:noWrap/>
            <w:vAlign w:val="center"/>
            <w:hideMark/>
          </w:tcPr>
          <w:p w14:paraId="2D4B3754" w14:textId="77777777" w:rsidR="00387142" w:rsidRPr="008B6A75" w:rsidRDefault="00387142" w:rsidP="00387142">
            <w:pPr>
              <w:jc w:val="right"/>
              <w:rPr>
                <w:bCs/>
                <w:sz w:val="20"/>
                <w:szCs w:val="20"/>
              </w:rPr>
            </w:pPr>
            <w:r w:rsidRPr="008B6A75">
              <w:rPr>
                <w:bCs/>
                <w:sz w:val="20"/>
                <w:szCs w:val="20"/>
              </w:rPr>
              <w:t>37 574 500,00</w:t>
            </w:r>
          </w:p>
        </w:tc>
        <w:tc>
          <w:tcPr>
            <w:tcW w:w="992" w:type="dxa"/>
            <w:gridSpan w:val="2"/>
            <w:tcBorders>
              <w:top w:val="nil"/>
              <w:left w:val="single" w:sz="4" w:space="0" w:color="auto"/>
              <w:bottom w:val="nil"/>
              <w:right w:val="nil"/>
            </w:tcBorders>
            <w:shd w:val="clear" w:color="auto" w:fill="auto"/>
            <w:noWrap/>
            <w:vAlign w:val="center"/>
            <w:hideMark/>
          </w:tcPr>
          <w:p w14:paraId="39964CEF" w14:textId="77777777" w:rsidR="00387142" w:rsidRPr="008B6A75" w:rsidRDefault="00387142" w:rsidP="00387142">
            <w:pPr>
              <w:jc w:val="right"/>
              <w:rPr>
                <w:bCs/>
                <w:sz w:val="20"/>
                <w:szCs w:val="20"/>
              </w:rPr>
            </w:pPr>
            <w:r w:rsidRPr="008B6A75">
              <w:rPr>
                <w:bCs/>
                <w:sz w:val="20"/>
                <w:szCs w:val="20"/>
              </w:rPr>
              <w:t>37 574 500,00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5612483C" w14:textId="77777777" w:rsidR="00387142" w:rsidRPr="008B6A75" w:rsidRDefault="00387142" w:rsidP="00387142">
            <w:pPr>
              <w:jc w:val="right"/>
              <w:rPr>
                <w:bCs/>
                <w:sz w:val="20"/>
                <w:szCs w:val="20"/>
              </w:rPr>
            </w:pPr>
            <w:r w:rsidRPr="008B6A75">
              <w:rPr>
                <w:bCs/>
                <w:sz w:val="20"/>
                <w:szCs w:val="20"/>
              </w:rPr>
              <w:t>38 464 000,00</w:t>
            </w:r>
          </w:p>
        </w:tc>
        <w:tc>
          <w:tcPr>
            <w:tcW w:w="222" w:type="dxa"/>
            <w:vAlign w:val="center"/>
            <w:hideMark/>
          </w:tcPr>
          <w:p w14:paraId="166A16B7" w14:textId="77777777" w:rsidR="00387142" w:rsidRPr="008B6A75" w:rsidRDefault="00387142" w:rsidP="00387142">
            <w:pPr>
              <w:rPr>
                <w:sz w:val="20"/>
                <w:szCs w:val="20"/>
              </w:rPr>
            </w:pPr>
          </w:p>
        </w:tc>
      </w:tr>
      <w:tr w:rsidR="00387142" w:rsidRPr="008B6A75" w14:paraId="5A2CB149" w14:textId="77777777" w:rsidTr="00387142">
        <w:trPr>
          <w:trHeight w:val="585"/>
        </w:trPr>
        <w:tc>
          <w:tcPr>
            <w:tcW w:w="3021" w:type="dxa"/>
            <w:tcBorders>
              <w:top w:val="single" w:sz="4" w:space="0" w:color="auto"/>
              <w:left w:val="single" w:sz="4" w:space="0" w:color="auto"/>
              <w:bottom w:val="nil"/>
              <w:right w:val="nil"/>
            </w:tcBorders>
            <w:shd w:val="clear" w:color="auto" w:fill="auto"/>
            <w:vAlign w:val="center"/>
            <w:hideMark/>
          </w:tcPr>
          <w:p w14:paraId="471E012E" w14:textId="77777777" w:rsidR="00387142" w:rsidRPr="008B6A75" w:rsidRDefault="00387142" w:rsidP="00387142">
            <w:pPr>
              <w:rPr>
                <w:sz w:val="20"/>
                <w:szCs w:val="20"/>
              </w:rPr>
            </w:pPr>
            <w:r w:rsidRPr="008B6A75">
              <w:rPr>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nil"/>
              <w:right w:val="nil"/>
            </w:tcBorders>
            <w:shd w:val="clear" w:color="auto" w:fill="auto"/>
            <w:noWrap/>
            <w:vAlign w:val="center"/>
            <w:hideMark/>
          </w:tcPr>
          <w:p w14:paraId="6520104F" w14:textId="77777777" w:rsidR="00387142" w:rsidRPr="008B6A75" w:rsidRDefault="00387142" w:rsidP="00387142">
            <w:pPr>
              <w:jc w:val="center"/>
              <w:rPr>
                <w:sz w:val="20"/>
                <w:szCs w:val="20"/>
              </w:rPr>
            </w:pPr>
            <w:r w:rsidRPr="008B6A75">
              <w:rPr>
                <w:sz w:val="20"/>
                <w:szCs w:val="20"/>
              </w:rPr>
              <w:t>444</w:t>
            </w:r>
          </w:p>
        </w:tc>
        <w:tc>
          <w:tcPr>
            <w:tcW w:w="709" w:type="dxa"/>
            <w:tcBorders>
              <w:top w:val="single" w:sz="4" w:space="0" w:color="auto"/>
              <w:left w:val="single" w:sz="4" w:space="0" w:color="auto"/>
              <w:bottom w:val="nil"/>
              <w:right w:val="nil"/>
            </w:tcBorders>
            <w:shd w:val="clear" w:color="auto" w:fill="auto"/>
            <w:noWrap/>
            <w:vAlign w:val="center"/>
            <w:hideMark/>
          </w:tcPr>
          <w:p w14:paraId="1A1E954C" w14:textId="77777777" w:rsidR="00387142" w:rsidRPr="008B6A75" w:rsidRDefault="00387142" w:rsidP="00387142">
            <w:pPr>
              <w:jc w:val="center"/>
              <w:rPr>
                <w:sz w:val="20"/>
                <w:szCs w:val="20"/>
              </w:rPr>
            </w:pPr>
            <w:r w:rsidRPr="008B6A75">
              <w:rPr>
                <w:sz w:val="20"/>
                <w:szCs w:val="20"/>
              </w:rPr>
              <w:t>07</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22523BFC" w14:textId="77777777" w:rsidR="00387142" w:rsidRPr="008B6A75" w:rsidRDefault="00387142" w:rsidP="00387142">
            <w:pPr>
              <w:jc w:val="center"/>
              <w:rPr>
                <w:sz w:val="20"/>
                <w:szCs w:val="20"/>
              </w:rPr>
            </w:pPr>
            <w:r w:rsidRPr="008B6A75">
              <w:rPr>
                <w:sz w:val="20"/>
                <w:szCs w:val="20"/>
              </w:rPr>
              <w:t>02</w:t>
            </w:r>
          </w:p>
        </w:tc>
        <w:tc>
          <w:tcPr>
            <w:tcW w:w="1411" w:type="dxa"/>
            <w:tcBorders>
              <w:top w:val="single" w:sz="4" w:space="0" w:color="auto"/>
              <w:left w:val="single" w:sz="4" w:space="0" w:color="auto"/>
              <w:bottom w:val="nil"/>
              <w:right w:val="nil"/>
            </w:tcBorders>
            <w:shd w:val="clear" w:color="auto" w:fill="auto"/>
            <w:noWrap/>
            <w:vAlign w:val="center"/>
            <w:hideMark/>
          </w:tcPr>
          <w:p w14:paraId="47D3EEF0" w14:textId="77777777" w:rsidR="00387142" w:rsidRPr="008B6A75" w:rsidRDefault="00387142" w:rsidP="00387142">
            <w:pPr>
              <w:jc w:val="center"/>
              <w:rPr>
                <w:sz w:val="20"/>
                <w:szCs w:val="20"/>
              </w:rPr>
            </w:pPr>
            <w:r w:rsidRPr="008B6A75">
              <w:rPr>
                <w:sz w:val="20"/>
                <w:szCs w:val="20"/>
              </w:rPr>
              <w:t>07.1.00.L3040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28825677" w14:textId="77777777" w:rsidR="00387142" w:rsidRPr="008B6A75" w:rsidRDefault="00387142" w:rsidP="00387142">
            <w:pPr>
              <w:jc w:val="center"/>
              <w:rPr>
                <w:sz w:val="20"/>
                <w:szCs w:val="20"/>
              </w:rPr>
            </w:pPr>
            <w:r w:rsidRPr="008B6A75">
              <w:rPr>
                <w:sz w:val="20"/>
                <w:szCs w:val="20"/>
              </w:rPr>
              <w:t>200</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2B3BCE93" w14:textId="77777777" w:rsidR="00387142" w:rsidRPr="008B6A75" w:rsidRDefault="00387142" w:rsidP="00387142">
            <w:pPr>
              <w:jc w:val="right"/>
              <w:rPr>
                <w:sz w:val="20"/>
                <w:szCs w:val="20"/>
              </w:rPr>
            </w:pPr>
            <w:r w:rsidRPr="008B6A75">
              <w:rPr>
                <w:sz w:val="20"/>
                <w:szCs w:val="20"/>
              </w:rPr>
              <w:t>10 158 004,84</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3070B1D9" w14:textId="77777777" w:rsidR="00387142" w:rsidRPr="008B6A75" w:rsidRDefault="00387142" w:rsidP="00387142">
            <w:pPr>
              <w:jc w:val="right"/>
              <w:rPr>
                <w:sz w:val="20"/>
                <w:szCs w:val="20"/>
              </w:rPr>
            </w:pPr>
            <w:r w:rsidRPr="008B6A75">
              <w:rPr>
                <w:sz w:val="20"/>
                <w:szCs w:val="20"/>
              </w:rPr>
              <w:t>10 499 622,36</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6E63A081" w14:textId="77777777" w:rsidR="00387142" w:rsidRPr="008B6A75" w:rsidRDefault="00387142" w:rsidP="00387142">
            <w:pPr>
              <w:jc w:val="right"/>
              <w:rPr>
                <w:sz w:val="20"/>
                <w:szCs w:val="20"/>
              </w:rPr>
            </w:pPr>
            <w:r w:rsidRPr="008B6A75">
              <w:rPr>
                <w:sz w:val="20"/>
                <w:szCs w:val="20"/>
              </w:rPr>
              <w:t>10 743 300,00</w:t>
            </w:r>
          </w:p>
        </w:tc>
        <w:tc>
          <w:tcPr>
            <w:tcW w:w="222" w:type="dxa"/>
            <w:vAlign w:val="center"/>
            <w:hideMark/>
          </w:tcPr>
          <w:p w14:paraId="7F116A6C" w14:textId="77777777" w:rsidR="00387142" w:rsidRPr="008B6A75" w:rsidRDefault="00387142" w:rsidP="00387142">
            <w:pPr>
              <w:rPr>
                <w:sz w:val="20"/>
                <w:szCs w:val="20"/>
              </w:rPr>
            </w:pPr>
          </w:p>
        </w:tc>
      </w:tr>
      <w:tr w:rsidR="00387142" w:rsidRPr="008B6A75" w14:paraId="7B5CFEE8" w14:textId="77777777" w:rsidTr="00387142">
        <w:trPr>
          <w:trHeight w:val="870"/>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7F9A27B0" w14:textId="77777777" w:rsidR="00387142" w:rsidRPr="008B6A75" w:rsidRDefault="00387142" w:rsidP="00387142">
            <w:pPr>
              <w:rPr>
                <w:sz w:val="20"/>
                <w:szCs w:val="20"/>
              </w:rPr>
            </w:pPr>
            <w:r w:rsidRPr="008B6A75">
              <w:rPr>
                <w:sz w:val="20"/>
                <w:szCs w:val="20"/>
              </w:rPr>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57F199E6" w14:textId="77777777" w:rsidR="00387142" w:rsidRPr="008B6A75" w:rsidRDefault="00387142" w:rsidP="00387142">
            <w:pPr>
              <w:jc w:val="center"/>
              <w:rPr>
                <w:sz w:val="20"/>
                <w:szCs w:val="20"/>
              </w:rPr>
            </w:pPr>
            <w:r w:rsidRPr="008B6A75">
              <w:rPr>
                <w:sz w:val="20"/>
                <w:szCs w:val="20"/>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6AA9FC45" w14:textId="77777777" w:rsidR="00387142" w:rsidRPr="008B6A75" w:rsidRDefault="00387142" w:rsidP="00387142">
            <w:pPr>
              <w:jc w:val="center"/>
              <w:rPr>
                <w:sz w:val="20"/>
                <w:szCs w:val="20"/>
              </w:rPr>
            </w:pPr>
            <w:r w:rsidRPr="008B6A75">
              <w:rPr>
                <w:sz w:val="20"/>
                <w:szCs w:val="20"/>
              </w:rPr>
              <w:t>07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3FDC9A" w14:textId="77777777" w:rsidR="00387142" w:rsidRPr="008B6A75" w:rsidRDefault="00387142" w:rsidP="00387142">
            <w:pPr>
              <w:jc w:val="center"/>
              <w:rPr>
                <w:sz w:val="20"/>
                <w:szCs w:val="20"/>
              </w:rPr>
            </w:pPr>
            <w:r w:rsidRPr="008B6A75">
              <w:rPr>
                <w:sz w:val="20"/>
                <w:szCs w:val="20"/>
              </w:rPr>
              <w:t>02</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2AFECB40" w14:textId="77777777" w:rsidR="00387142" w:rsidRPr="008B6A75" w:rsidRDefault="00387142" w:rsidP="00387142">
            <w:pPr>
              <w:jc w:val="center"/>
              <w:rPr>
                <w:sz w:val="20"/>
                <w:szCs w:val="20"/>
              </w:rPr>
            </w:pPr>
            <w:r w:rsidRPr="008B6A75">
              <w:rPr>
                <w:sz w:val="20"/>
                <w:szCs w:val="20"/>
              </w:rPr>
              <w:t>07.1.00.L3040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C81EC9" w14:textId="77777777" w:rsidR="00387142" w:rsidRPr="008B6A75" w:rsidRDefault="00387142" w:rsidP="00387142">
            <w:pPr>
              <w:jc w:val="center"/>
              <w:rPr>
                <w:sz w:val="20"/>
                <w:szCs w:val="20"/>
              </w:rPr>
            </w:pPr>
            <w:r w:rsidRPr="008B6A75">
              <w:rPr>
                <w:sz w:val="20"/>
                <w:szCs w:val="20"/>
              </w:rPr>
              <w:t>240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51B1E8" w14:textId="77777777" w:rsidR="00387142" w:rsidRPr="008B6A75" w:rsidRDefault="00387142" w:rsidP="00387142">
            <w:pPr>
              <w:jc w:val="right"/>
              <w:rPr>
                <w:sz w:val="20"/>
                <w:szCs w:val="20"/>
              </w:rPr>
            </w:pPr>
            <w:r w:rsidRPr="008B6A75">
              <w:rPr>
                <w:sz w:val="20"/>
                <w:szCs w:val="20"/>
              </w:rPr>
              <w:t>10 158 004,84</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3422BD31" w14:textId="77777777" w:rsidR="00387142" w:rsidRPr="008B6A75" w:rsidRDefault="00387142" w:rsidP="00387142">
            <w:pPr>
              <w:jc w:val="right"/>
              <w:rPr>
                <w:sz w:val="20"/>
                <w:szCs w:val="20"/>
              </w:rPr>
            </w:pPr>
            <w:r w:rsidRPr="008B6A75">
              <w:rPr>
                <w:sz w:val="20"/>
                <w:szCs w:val="20"/>
              </w:rPr>
              <w:t>10 499 622,36</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C0C536" w14:textId="77777777" w:rsidR="00387142" w:rsidRPr="008B6A75" w:rsidRDefault="00387142" w:rsidP="00387142">
            <w:pPr>
              <w:jc w:val="right"/>
              <w:rPr>
                <w:sz w:val="20"/>
                <w:szCs w:val="20"/>
              </w:rPr>
            </w:pPr>
            <w:r w:rsidRPr="008B6A75">
              <w:rPr>
                <w:sz w:val="20"/>
                <w:szCs w:val="20"/>
              </w:rPr>
              <w:t>10 743 300,00</w:t>
            </w:r>
          </w:p>
        </w:tc>
        <w:tc>
          <w:tcPr>
            <w:tcW w:w="222" w:type="dxa"/>
            <w:vAlign w:val="center"/>
            <w:hideMark/>
          </w:tcPr>
          <w:p w14:paraId="055A7C3E" w14:textId="77777777" w:rsidR="00387142" w:rsidRPr="008B6A75" w:rsidRDefault="00387142" w:rsidP="00387142">
            <w:pPr>
              <w:rPr>
                <w:sz w:val="20"/>
                <w:szCs w:val="20"/>
              </w:rPr>
            </w:pPr>
          </w:p>
        </w:tc>
      </w:tr>
      <w:tr w:rsidR="00387142" w:rsidRPr="008B6A75" w14:paraId="76AADB6B" w14:textId="77777777" w:rsidTr="00387142">
        <w:trPr>
          <w:trHeight w:val="870"/>
        </w:trPr>
        <w:tc>
          <w:tcPr>
            <w:tcW w:w="3021" w:type="dxa"/>
            <w:tcBorders>
              <w:top w:val="nil"/>
              <w:left w:val="single" w:sz="4" w:space="0" w:color="auto"/>
              <w:bottom w:val="nil"/>
              <w:right w:val="nil"/>
            </w:tcBorders>
            <w:shd w:val="clear" w:color="auto" w:fill="auto"/>
            <w:vAlign w:val="center"/>
            <w:hideMark/>
          </w:tcPr>
          <w:p w14:paraId="39AC06D0" w14:textId="77777777" w:rsidR="00387142" w:rsidRPr="008B6A75" w:rsidRDefault="00387142" w:rsidP="00387142">
            <w:pPr>
              <w:rPr>
                <w:sz w:val="20"/>
                <w:szCs w:val="20"/>
              </w:rPr>
            </w:pPr>
            <w:r w:rsidRPr="008B6A75">
              <w:rPr>
                <w:sz w:val="20"/>
                <w:szCs w:val="20"/>
              </w:rPr>
              <w:t>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right w:val="nil"/>
            </w:tcBorders>
            <w:shd w:val="clear" w:color="auto" w:fill="auto"/>
            <w:noWrap/>
            <w:vAlign w:val="center"/>
            <w:hideMark/>
          </w:tcPr>
          <w:p w14:paraId="178E2F35" w14:textId="77777777" w:rsidR="00387142" w:rsidRPr="008B6A75" w:rsidRDefault="00387142" w:rsidP="00387142">
            <w:pPr>
              <w:jc w:val="center"/>
              <w:rPr>
                <w:sz w:val="20"/>
                <w:szCs w:val="20"/>
              </w:rPr>
            </w:pPr>
            <w:r w:rsidRPr="008B6A75">
              <w:rPr>
                <w:sz w:val="20"/>
                <w:szCs w:val="20"/>
              </w:rPr>
              <w:t>444</w:t>
            </w:r>
          </w:p>
        </w:tc>
        <w:tc>
          <w:tcPr>
            <w:tcW w:w="709" w:type="dxa"/>
            <w:tcBorders>
              <w:top w:val="nil"/>
              <w:left w:val="single" w:sz="4" w:space="0" w:color="auto"/>
              <w:bottom w:val="nil"/>
              <w:right w:val="nil"/>
            </w:tcBorders>
            <w:shd w:val="clear" w:color="auto" w:fill="auto"/>
            <w:noWrap/>
            <w:vAlign w:val="center"/>
            <w:hideMark/>
          </w:tcPr>
          <w:p w14:paraId="44B5CF55" w14:textId="77777777" w:rsidR="00387142" w:rsidRPr="008B6A75" w:rsidRDefault="00387142" w:rsidP="00387142">
            <w:pPr>
              <w:jc w:val="center"/>
              <w:rPr>
                <w:sz w:val="20"/>
                <w:szCs w:val="20"/>
              </w:rPr>
            </w:pPr>
            <w:r w:rsidRPr="008B6A75">
              <w:rPr>
                <w:sz w:val="20"/>
                <w:szCs w:val="20"/>
              </w:rPr>
              <w:t>07</w:t>
            </w:r>
          </w:p>
        </w:tc>
        <w:tc>
          <w:tcPr>
            <w:tcW w:w="709" w:type="dxa"/>
            <w:tcBorders>
              <w:top w:val="nil"/>
              <w:left w:val="single" w:sz="4" w:space="0" w:color="auto"/>
              <w:bottom w:val="nil"/>
              <w:right w:val="single" w:sz="4" w:space="0" w:color="auto"/>
            </w:tcBorders>
            <w:shd w:val="clear" w:color="auto" w:fill="auto"/>
            <w:noWrap/>
            <w:vAlign w:val="center"/>
            <w:hideMark/>
          </w:tcPr>
          <w:p w14:paraId="0DDFC9DF" w14:textId="77777777" w:rsidR="00387142" w:rsidRPr="008B6A75" w:rsidRDefault="00387142" w:rsidP="00387142">
            <w:pPr>
              <w:jc w:val="center"/>
              <w:rPr>
                <w:sz w:val="20"/>
                <w:szCs w:val="20"/>
              </w:rPr>
            </w:pPr>
            <w:r w:rsidRPr="008B6A75">
              <w:rPr>
                <w:sz w:val="20"/>
                <w:szCs w:val="20"/>
              </w:rPr>
              <w:t>02</w:t>
            </w:r>
          </w:p>
        </w:tc>
        <w:tc>
          <w:tcPr>
            <w:tcW w:w="1411" w:type="dxa"/>
            <w:tcBorders>
              <w:top w:val="nil"/>
              <w:left w:val="single" w:sz="4" w:space="0" w:color="auto"/>
              <w:bottom w:val="nil"/>
              <w:right w:val="nil"/>
            </w:tcBorders>
            <w:shd w:val="clear" w:color="auto" w:fill="auto"/>
            <w:noWrap/>
            <w:vAlign w:val="center"/>
            <w:hideMark/>
          </w:tcPr>
          <w:p w14:paraId="5D502941" w14:textId="77777777" w:rsidR="00387142" w:rsidRPr="008B6A75" w:rsidRDefault="00387142" w:rsidP="00387142">
            <w:pPr>
              <w:jc w:val="center"/>
              <w:rPr>
                <w:sz w:val="20"/>
                <w:szCs w:val="20"/>
              </w:rPr>
            </w:pPr>
            <w:r w:rsidRPr="008B6A75">
              <w:rPr>
                <w:sz w:val="20"/>
                <w:szCs w:val="20"/>
              </w:rPr>
              <w:t>07.1.00.L3040</w:t>
            </w:r>
          </w:p>
        </w:tc>
        <w:tc>
          <w:tcPr>
            <w:tcW w:w="955" w:type="dxa"/>
            <w:tcBorders>
              <w:top w:val="nil"/>
              <w:left w:val="single" w:sz="4" w:space="0" w:color="auto"/>
              <w:bottom w:val="nil"/>
              <w:right w:val="single" w:sz="4" w:space="0" w:color="auto"/>
            </w:tcBorders>
            <w:shd w:val="clear" w:color="auto" w:fill="auto"/>
            <w:noWrap/>
            <w:vAlign w:val="center"/>
            <w:hideMark/>
          </w:tcPr>
          <w:p w14:paraId="674B9A1F" w14:textId="77777777" w:rsidR="00387142" w:rsidRPr="008B6A75" w:rsidRDefault="00387142" w:rsidP="00387142">
            <w:pPr>
              <w:jc w:val="center"/>
              <w:rPr>
                <w:sz w:val="20"/>
                <w:szCs w:val="20"/>
              </w:rPr>
            </w:pPr>
            <w:r w:rsidRPr="008B6A75">
              <w:rPr>
                <w:sz w:val="20"/>
                <w:szCs w:val="20"/>
              </w:rPr>
              <w:t>600</w:t>
            </w:r>
          </w:p>
        </w:tc>
        <w:tc>
          <w:tcPr>
            <w:tcW w:w="992" w:type="dxa"/>
            <w:tcBorders>
              <w:top w:val="nil"/>
              <w:left w:val="single" w:sz="4" w:space="0" w:color="auto"/>
              <w:bottom w:val="nil"/>
              <w:right w:val="single" w:sz="4" w:space="0" w:color="auto"/>
            </w:tcBorders>
            <w:shd w:val="clear" w:color="auto" w:fill="auto"/>
            <w:noWrap/>
            <w:vAlign w:val="center"/>
            <w:hideMark/>
          </w:tcPr>
          <w:p w14:paraId="5A648C99" w14:textId="77777777" w:rsidR="00387142" w:rsidRPr="008B6A75" w:rsidRDefault="00387142" w:rsidP="00387142">
            <w:pPr>
              <w:jc w:val="right"/>
              <w:rPr>
                <w:sz w:val="20"/>
                <w:szCs w:val="20"/>
              </w:rPr>
            </w:pPr>
            <w:r w:rsidRPr="008B6A75">
              <w:rPr>
                <w:sz w:val="20"/>
                <w:szCs w:val="20"/>
              </w:rPr>
              <w:t>27 416 495,16</w:t>
            </w:r>
          </w:p>
        </w:tc>
        <w:tc>
          <w:tcPr>
            <w:tcW w:w="992" w:type="dxa"/>
            <w:gridSpan w:val="2"/>
            <w:tcBorders>
              <w:top w:val="nil"/>
              <w:left w:val="single" w:sz="4" w:space="0" w:color="auto"/>
              <w:bottom w:val="nil"/>
              <w:right w:val="nil"/>
            </w:tcBorders>
            <w:shd w:val="clear" w:color="auto" w:fill="auto"/>
            <w:noWrap/>
            <w:vAlign w:val="center"/>
            <w:hideMark/>
          </w:tcPr>
          <w:p w14:paraId="5E72B4A7" w14:textId="77777777" w:rsidR="00387142" w:rsidRPr="008B6A75" w:rsidRDefault="00387142" w:rsidP="00387142">
            <w:pPr>
              <w:jc w:val="right"/>
              <w:rPr>
                <w:sz w:val="20"/>
                <w:szCs w:val="20"/>
              </w:rPr>
            </w:pPr>
            <w:r w:rsidRPr="008B6A75">
              <w:rPr>
                <w:sz w:val="20"/>
                <w:szCs w:val="20"/>
              </w:rPr>
              <w:t>27 074 877,64</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71895A29" w14:textId="77777777" w:rsidR="00387142" w:rsidRPr="008B6A75" w:rsidRDefault="00387142" w:rsidP="00387142">
            <w:pPr>
              <w:jc w:val="right"/>
              <w:rPr>
                <w:sz w:val="20"/>
                <w:szCs w:val="20"/>
              </w:rPr>
            </w:pPr>
            <w:r w:rsidRPr="008B6A75">
              <w:rPr>
                <w:sz w:val="20"/>
                <w:szCs w:val="20"/>
              </w:rPr>
              <w:t>27 720 700,00</w:t>
            </w:r>
          </w:p>
        </w:tc>
        <w:tc>
          <w:tcPr>
            <w:tcW w:w="222" w:type="dxa"/>
            <w:vAlign w:val="center"/>
            <w:hideMark/>
          </w:tcPr>
          <w:p w14:paraId="3D54BB86" w14:textId="77777777" w:rsidR="00387142" w:rsidRPr="008B6A75" w:rsidRDefault="00387142" w:rsidP="00387142">
            <w:pPr>
              <w:rPr>
                <w:sz w:val="20"/>
                <w:szCs w:val="20"/>
              </w:rPr>
            </w:pPr>
          </w:p>
        </w:tc>
      </w:tr>
      <w:tr w:rsidR="00387142" w:rsidRPr="008B6A75" w14:paraId="60DA747C" w14:textId="77777777" w:rsidTr="00387142">
        <w:trPr>
          <w:trHeight w:val="300"/>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13B08C9D" w14:textId="77777777" w:rsidR="00387142" w:rsidRPr="008B6A75" w:rsidRDefault="00387142" w:rsidP="00387142">
            <w:pPr>
              <w:rPr>
                <w:sz w:val="20"/>
                <w:szCs w:val="20"/>
              </w:rPr>
            </w:pPr>
            <w:r w:rsidRPr="008B6A75">
              <w:rPr>
                <w:sz w:val="20"/>
                <w:szCs w:val="20"/>
              </w:rPr>
              <w:t>Субсидии бюджетным учреждениям</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770F1682" w14:textId="77777777" w:rsidR="00387142" w:rsidRPr="008B6A75" w:rsidRDefault="00387142" w:rsidP="00387142">
            <w:pPr>
              <w:jc w:val="center"/>
              <w:rPr>
                <w:sz w:val="20"/>
                <w:szCs w:val="20"/>
              </w:rPr>
            </w:pPr>
            <w:r w:rsidRPr="008B6A75">
              <w:rPr>
                <w:sz w:val="20"/>
                <w:szCs w:val="20"/>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18DF7144" w14:textId="77777777" w:rsidR="00387142" w:rsidRPr="008B6A75" w:rsidRDefault="00387142" w:rsidP="00387142">
            <w:pPr>
              <w:jc w:val="center"/>
              <w:rPr>
                <w:sz w:val="20"/>
                <w:szCs w:val="20"/>
              </w:rPr>
            </w:pPr>
            <w:r w:rsidRPr="008B6A75">
              <w:rPr>
                <w:sz w:val="20"/>
                <w:szCs w:val="20"/>
              </w:rPr>
              <w:t>07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08F0E1" w14:textId="77777777" w:rsidR="00387142" w:rsidRPr="008B6A75" w:rsidRDefault="00387142" w:rsidP="00387142">
            <w:pPr>
              <w:jc w:val="center"/>
              <w:rPr>
                <w:sz w:val="20"/>
                <w:szCs w:val="20"/>
              </w:rPr>
            </w:pPr>
            <w:r w:rsidRPr="008B6A75">
              <w:rPr>
                <w:sz w:val="20"/>
                <w:szCs w:val="20"/>
              </w:rPr>
              <w:t>02</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250DC3E7" w14:textId="77777777" w:rsidR="00387142" w:rsidRPr="008B6A75" w:rsidRDefault="00387142" w:rsidP="00387142">
            <w:pPr>
              <w:jc w:val="center"/>
              <w:rPr>
                <w:sz w:val="20"/>
                <w:szCs w:val="20"/>
              </w:rPr>
            </w:pPr>
            <w:r w:rsidRPr="008B6A75">
              <w:rPr>
                <w:sz w:val="20"/>
                <w:szCs w:val="20"/>
              </w:rPr>
              <w:t>07.1.00.L3040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21386E" w14:textId="77777777" w:rsidR="00387142" w:rsidRPr="008B6A75" w:rsidRDefault="00387142" w:rsidP="00387142">
            <w:pPr>
              <w:jc w:val="center"/>
              <w:rPr>
                <w:sz w:val="20"/>
                <w:szCs w:val="20"/>
              </w:rPr>
            </w:pPr>
            <w:r w:rsidRPr="008B6A75">
              <w:rPr>
                <w:sz w:val="20"/>
                <w:szCs w:val="20"/>
              </w:rPr>
              <w:t>610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7EA0B0" w14:textId="77777777" w:rsidR="00387142" w:rsidRPr="008B6A75" w:rsidRDefault="00387142" w:rsidP="00387142">
            <w:pPr>
              <w:jc w:val="right"/>
              <w:rPr>
                <w:sz w:val="20"/>
                <w:szCs w:val="20"/>
              </w:rPr>
            </w:pPr>
            <w:r w:rsidRPr="008B6A75">
              <w:rPr>
                <w:sz w:val="20"/>
                <w:szCs w:val="20"/>
              </w:rPr>
              <w:t>27 416 495,16</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31E759C7" w14:textId="77777777" w:rsidR="00387142" w:rsidRPr="008B6A75" w:rsidRDefault="00387142" w:rsidP="00387142">
            <w:pPr>
              <w:jc w:val="right"/>
              <w:rPr>
                <w:sz w:val="20"/>
                <w:szCs w:val="20"/>
              </w:rPr>
            </w:pPr>
            <w:r w:rsidRPr="008B6A75">
              <w:rPr>
                <w:sz w:val="20"/>
                <w:szCs w:val="20"/>
              </w:rPr>
              <w:t>27 074 877,64</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6BF8F8" w14:textId="77777777" w:rsidR="00387142" w:rsidRPr="008B6A75" w:rsidRDefault="00387142" w:rsidP="00387142">
            <w:pPr>
              <w:jc w:val="right"/>
              <w:rPr>
                <w:sz w:val="20"/>
                <w:szCs w:val="20"/>
              </w:rPr>
            </w:pPr>
            <w:r w:rsidRPr="008B6A75">
              <w:rPr>
                <w:sz w:val="20"/>
                <w:szCs w:val="20"/>
              </w:rPr>
              <w:t>27 720 700,00</w:t>
            </w:r>
          </w:p>
        </w:tc>
        <w:tc>
          <w:tcPr>
            <w:tcW w:w="222" w:type="dxa"/>
            <w:vAlign w:val="center"/>
            <w:hideMark/>
          </w:tcPr>
          <w:p w14:paraId="303AF51F" w14:textId="77777777" w:rsidR="00387142" w:rsidRPr="008B6A75" w:rsidRDefault="00387142" w:rsidP="00387142">
            <w:pPr>
              <w:rPr>
                <w:sz w:val="20"/>
                <w:szCs w:val="20"/>
              </w:rPr>
            </w:pPr>
          </w:p>
        </w:tc>
      </w:tr>
      <w:tr w:rsidR="00387142" w:rsidRPr="008B6A75" w14:paraId="5C5F1859" w14:textId="77777777" w:rsidTr="00387142">
        <w:trPr>
          <w:trHeight w:val="1725"/>
        </w:trPr>
        <w:tc>
          <w:tcPr>
            <w:tcW w:w="3021" w:type="dxa"/>
            <w:tcBorders>
              <w:top w:val="nil"/>
              <w:left w:val="single" w:sz="4" w:space="0" w:color="auto"/>
              <w:bottom w:val="nil"/>
              <w:right w:val="nil"/>
            </w:tcBorders>
            <w:shd w:val="clear" w:color="auto" w:fill="auto"/>
            <w:vAlign w:val="center"/>
            <w:hideMark/>
          </w:tcPr>
          <w:p w14:paraId="37B3AB2A" w14:textId="77777777" w:rsidR="00387142" w:rsidRPr="008B6A75" w:rsidRDefault="00387142" w:rsidP="00387142">
            <w:pPr>
              <w:rPr>
                <w:bCs/>
                <w:sz w:val="20"/>
                <w:szCs w:val="20"/>
              </w:rPr>
            </w:pPr>
            <w:r w:rsidRPr="008B6A75">
              <w:rPr>
                <w:bCs/>
                <w:sz w:val="20"/>
                <w:szCs w:val="20"/>
              </w:rPr>
              <w:t xml:space="preserve">Реализация мероприятий по модернизации школьных систем образования государственной программы Новосибирской области "Развитие образования, создание условий для социализации детей и учащейся молодежи в Новосибирской </w:t>
            </w:r>
            <w:r w:rsidRPr="008B6A75">
              <w:rPr>
                <w:bCs/>
                <w:sz w:val="20"/>
                <w:szCs w:val="20"/>
              </w:rPr>
              <w:lastRenderedPageBreak/>
              <w:t>области"</w:t>
            </w:r>
          </w:p>
        </w:tc>
        <w:tc>
          <w:tcPr>
            <w:tcW w:w="850" w:type="dxa"/>
            <w:tcBorders>
              <w:top w:val="nil"/>
              <w:left w:val="single" w:sz="4" w:space="0" w:color="auto"/>
              <w:bottom w:val="nil"/>
              <w:right w:val="nil"/>
            </w:tcBorders>
            <w:shd w:val="clear" w:color="auto" w:fill="auto"/>
            <w:noWrap/>
            <w:vAlign w:val="center"/>
            <w:hideMark/>
          </w:tcPr>
          <w:p w14:paraId="02BA363D" w14:textId="77777777" w:rsidR="00387142" w:rsidRPr="008B6A75" w:rsidRDefault="00387142" w:rsidP="00387142">
            <w:pPr>
              <w:jc w:val="center"/>
              <w:rPr>
                <w:bCs/>
                <w:sz w:val="20"/>
                <w:szCs w:val="20"/>
              </w:rPr>
            </w:pPr>
            <w:r w:rsidRPr="008B6A75">
              <w:rPr>
                <w:bCs/>
                <w:sz w:val="20"/>
                <w:szCs w:val="20"/>
              </w:rPr>
              <w:lastRenderedPageBreak/>
              <w:t>444</w:t>
            </w:r>
          </w:p>
        </w:tc>
        <w:tc>
          <w:tcPr>
            <w:tcW w:w="709" w:type="dxa"/>
            <w:tcBorders>
              <w:top w:val="nil"/>
              <w:left w:val="single" w:sz="4" w:space="0" w:color="auto"/>
              <w:bottom w:val="nil"/>
              <w:right w:val="nil"/>
            </w:tcBorders>
            <w:shd w:val="clear" w:color="auto" w:fill="auto"/>
            <w:noWrap/>
            <w:vAlign w:val="center"/>
            <w:hideMark/>
          </w:tcPr>
          <w:p w14:paraId="3CBF7CAE" w14:textId="77777777" w:rsidR="00387142" w:rsidRPr="008B6A75" w:rsidRDefault="00387142" w:rsidP="00387142">
            <w:pPr>
              <w:jc w:val="center"/>
              <w:rPr>
                <w:bCs/>
                <w:sz w:val="20"/>
                <w:szCs w:val="20"/>
              </w:rPr>
            </w:pPr>
            <w:r w:rsidRPr="008B6A75">
              <w:rPr>
                <w:bCs/>
                <w:sz w:val="20"/>
                <w:szCs w:val="20"/>
              </w:rPr>
              <w:t>07</w:t>
            </w:r>
          </w:p>
        </w:tc>
        <w:tc>
          <w:tcPr>
            <w:tcW w:w="709" w:type="dxa"/>
            <w:tcBorders>
              <w:top w:val="nil"/>
              <w:left w:val="single" w:sz="4" w:space="0" w:color="auto"/>
              <w:bottom w:val="nil"/>
              <w:right w:val="single" w:sz="4" w:space="0" w:color="auto"/>
            </w:tcBorders>
            <w:shd w:val="clear" w:color="auto" w:fill="auto"/>
            <w:noWrap/>
            <w:vAlign w:val="center"/>
            <w:hideMark/>
          </w:tcPr>
          <w:p w14:paraId="191EF3BC" w14:textId="77777777" w:rsidR="00387142" w:rsidRPr="008B6A75" w:rsidRDefault="00387142" w:rsidP="00387142">
            <w:pPr>
              <w:jc w:val="center"/>
              <w:rPr>
                <w:bCs/>
                <w:sz w:val="20"/>
                <w:szCs w:val="20"/>
              </w:rPr>
            </w:pPr>
            <w:r w:rsidRPr="008B6A75">
              <w:rPr>
                <w:bCs/>
                <w:sz w:val="20"/>
                <w:szCs w:val="20"/>
              </w:rPr>
              <w:t>02</w:t>
            </w:r>
          </w:p>
        </w:tc>
        <w:tc>
          <w:tcPr>
            <w:tcW w:w="1411" w:type="dxa"/>
            <w:tcBorders>
              <w:top w:val="nil"/>
              <w:left w:val="single" w:sz="4" w:space="0" w:color="auto"/>
              <w:bottom w:val="nil"/>
              <w:right w:val="nil"/>
            </w:tcBorders>
            <w:shd w:val="clear" w:color="auto" w:fill="auto"/>
            <w:noWrap/>
            <w:vAlign w:val="center"/>
            <w:hideMark/>
          </w:tcPr>
          <w:p w14:paraId="53793994" w14:textId="77777777" w:rsidR="00387142" w:rsidRPr="008B6A75" w:rsidRDefault="00387142" w:rsidP="00387142">
            <w:pPr>
              <w:jc w:val="center"/>
              <w:rPr>
                <w:bCs/>
                <w:sz w:val="20"/>
                <w:szCs w:val="20"/>
              </w:rPr>
            </w:pPr>
            <w:r w:rsidRPr="008B6A75">
              <w:rPr>
                <w:bCs/>
                <w:sz w:val="20"/>
                <w:szCs w:val="20"/>
              </w:rPr>
              <w:t>07.1.00.L7500</w:t>
            </w:r>
          </w:p>
        </w:tc>
        <w:tc>
          <w:tcPr>
            <w:tcW w:w="955" w:type="dxa"/>
            <w:tcBorders>
              <w:top w:val="nil"/>
              <w:left w:val="single" w:sz="4" w:space="0" w:color="auto"/>
              <w:bottom w:val="nil"/>
              <w:right w:val="single" w:sz="4" w:space="0" w:color="auto"/>
            </w:tcBorders>
            <w:shd w:val="clear" w:color="auto" w:fill="auto"/>
            <w:noWrap/>
            <w:vAlign w:val="center"/>
            <w:hideMark/>
          </w:tcPr>
          <w:p w14:paraId="6CA2CB23"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nil"/>
              <w:right w:val="single" w:sz="4" w:space="0" w:color="auto"/>
            </w:tcBorders>
            <w:shd w:val="clear" w:color="auto" w:fill="auto"/>
            <w:noWrap/>
            <w:vAlign w:val="center"/>
            <w:hideMark/>
          </w:tcPr>
          <w:p w14:paraId="3C57FEE4" w14:textId="77777777" w:rsidR="00387142" w:rsidRPr="008B6A75" w:rsidRDefault="00387142" w:rsidP="00387142">
            <w:pPr>
              <w:jc w:val="right"/>
              <w:rPr>
                <w:bCs/>
                <w:sz w:val="20"/>
                <w:szCs w:val="20"/>
              </w:rPr>
            </w:pPr>
            <w:r w:rsidRPr="008B6A75">
              <w:rPr>
                <w:bCs/>
                <w:sz w:val="20"/>
                <w:szCs w:val="20"/>
              </w:rPr>
              <w:t>144 858 828,40</w:t>
            </w:r>
          </w:p>
        </w:tc>
        <w:tc>
          <w:tcPr>
            <w:tcW w:w="992" w:type="dxa"/>
            <w:gridSpan w:val="2"/>
            <w:tcBorders>
              <w:top w:val="nil"/>
              <w:left w:val="single" w:sz="4" w:space="0" w:color="auto"/>
              <w:bottom w:val="nil"/>
              <w:right w:val="nil"/>
            </w:tcBorders>
            <w:shd w:val="clear" w:color="auto" w:fill="auto"/>
            <w:noWrap/>
            <w:vAlign w:val="center"/>
            <w:hideMark/>
          </w:tcPr>
          <w:p w14:paraId="16DA505D" w14:textId="77777777" w:rsidR="00387142" w:rsidRPr="008B6A75" w:rsidRDefault="00387142" w:rsidP="00387142">
            <w:pPr>
              <w:jc w:val="right"/>
              <w:rPr>
                <w:bCs/>
                <w:sz w:val="20"/>
                <w:szCs w:val="20"/>
              </w:rPr>
            </w:pPr>
            <w:r w:rsidRPr="008B6A75">
              <w:rPr>
                <w:bCs/>
                <w:sz w:val="20"/>
                <w:szCs w:val="20"/>
              </w:rPr>
              <w:t>72 709 970,00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5049C9F7" w14:textId="77777777" w:rsidR="00387142" w:rsidRPr="008B6A75" w:rsidRDefault="00387142" w:rsidP="00387142">
            <w:pPr>
              <w:jc w:val="right"/>
              <w:rPr>
                <w:bCs/>
                <w:sz w:val="20"/>
                <w:szCs w:val="20"/>
              </w:rPr>
            </w:pPr>
            <w:r w:rsidRPr="008B6A75">
              <w:rPr>
                <w:bCs/>
                <w:sz w:val="20"/>
                <w:szCs w:val="20"/>
              </w:rPr>
              <w:t>0,00</w:t>
            </w:r>
          </w:p>
        </w:tc>
        <w:tc>
          <w:tcPr>
            <w:tcW w:w="222" w:type="dxa"/>
            <w:vAlign w:val="center"/>
            <w:hideMark/>
          </w:tcPr>
          <w:p w14:paraId="39D5DBD4" w14:textId="77777777" w:rsidR="00387142" w:rsidRPr="008B6A75" w:rsidRDefault="00387142" w:rsidP="00387142">
            <w:pPr>
              <w:rPr>
                <w:sz w:val="20"/>
                <w:szCs w:val="20"/>
              </w:rPr>
            </w:pPr>
          </w:p>
        </w:tc>
      </w:tr>
      <w:tr w:rsidR="00387142" w:rsidRPr="008B6A75" w14:paraId="49B5D35E" w14:textId="77777777" w:rsidTr="00387142">
        <w:trPr>
          <w:trHeight w:val="870"/>
        </w:trPr>
        <w:tc>
          <w:tcPr>
            <w:tcW w:w="3021" w:type="dxa"/>
            <w:tcBorders>
              <w:top w:val="single" w:sz="4" w:space="0" w:color="auto"/>
              <w:left w:val="single" w:sz="4" w:space="0" w:color="auto"/>
              <w:bottom w:val="nil"/>
              <w:right w:val="nil"/>
            </w:tcBorders>
            <w:shd w:val="clear" w:color="auto" w:fill="auto"/>
            <w:vAlign w:val="center"/>
            <w:hideMark/>
          </w:tcPr>
          <w:p w14:paraId="47360159" w14:textId="77777777" w:rsidR="00387142" w:rsidRPr="008B6A75" w:rsidRDefault="00387142" w:rsidP="00387142">
            <w:pPr>
              <w:rPr>
                <w:sz w:val="20"/>
                <w:szCs w:val="20"/>
              </w:rPr>
            </w:pPr>
            <w:r w:rsidRPr="008B6A75">
              <w:rPr>
                <w:sz w:val="20"/>
                <w:szCs w:val="20"/>
              </w:rPr>
              <w:t>Предоставление субсидий бюджетным, автономным учреждениям и иным некоммерческим организациям</w:t>
            </w:r>
          </w:p>
        </w:tc>
        <w:tc>
          <w:tcPr>
            <w:tcW w:w="850" w:type="dxa"/>
            <w:tcBorders>
              <w:top w:val="single" w:sz="4" w:space="0" w:color="auto"/>
              <w:left w:val="single" w:sz="4" w:space="0" w:color="auto"/>
              <w:bottom w:val="nil"/>
              <w:right w:val="nil"/>
            </w:tcBorders>
            <w:shd w:val="clear" w:color="auto" w:fill="auto"/>
            <w:noWrap/>
            <w:vAlign w:val="center"/>
            <w:hideMark/>
          </w:tcPr>
          <w:p w14:paraId="7DDE8633" w14:textId="77777777" w:rsidR="00387142" w:rsidRPr="008B6A75" w:rsidRDefault="00387142" w:rsidP="00387142">
            <w:pPr>
              <w:jc w:val="center"/>
              <w:rPr>
                <w:sz w:val="20"/>
                <w:szCs w:val="20"/>
              </w:rPr>
            </w:pPr>
            <w:r w:rsidRPr="008B6A75">
              <w:rPr>
                <w:sz w:val="20"/>
                <w:szCs w:val="20"/>
              </w:rPr>
              <w:t>444</w:t>
            </w:r>
          </w:p>
        </w:tc>
        <w:tc>
          <w:tcPr>
            <w:tcW w:w="709" w:type="dxa"/>
            <w:tcBorders>
              <w:top w:val="single" w:sz="4" w:space="0" w:color="auto"/>
              <w:left w:val="single" w:sz="4" w:space="0" w:color="auto"/>
              <w:bottom w:val="nil"/>
              <w:right w:val="nil"/>
            </w:tcBorders>
            <w:shd w:val="clear" w:color="auto" w:fill="auto"/>
            <w:noWrap/>
            <w:vAlign w:val="center"/>
            <w:hideMark/>
          </w:tcPr>
          <w:p w14:paraId="5CCF4EAF" w14:textId="77777777" w:rsidR="00387142" w:rsidRPr="008B6A75" w:rsidRDefault="00387142" w:rsidP="00387142">
            <w:pPr>
              <w:jc w:val="center"/>
              <w:rPr>
                <w:sz w:val="20"/>
                <w:szCs w:val="20"/>
              </w:rPr>
            </w:pPr>
            <w:r w:rsidRPr="008B6A75">
              <w:rPr>
                <w:sz w:val="20"/>
                <w:szCs w:val="20"/>
              </w:rPr>
              <w:t>07</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180A68AB" w14:textId="77777777" w:rsidR="00387142" w:rsidRPr="008B6A75" w:rsidRDefault="00387142" w:rsidP="00387142">
            <w:pPr>
              <w:jc w:val="center"/>
              <w:rPr>
                <w:sz w:val="20"/>
                <w:szCs w:val="20"/>
              </w:rPr>
            </w:pPr>
            <w:r w:rsidRPr="008B6A75">
              <w:rPr>
                <w:sz w:val="20"/>
                <w:szCs w:val="20"/>
              </w:rPr>
              <w:t>02</w:t>
            </w:r>
          </w:p>
        </w:tc>
        <w:tc>
          <w:tcPr>
            <w:tcW w:w="1411" w:type="dxa"/>
            <w:tcBorders>
              <w:top w:val="single" w:sz="4" w:space="0" w:color="auto"/>
              <w:left w:val="single" w:sz="4" w:space="0" w:color="auto"/>
              <w:bottom w:val="nil"/>
              <w:right w:val="nil"/>
            </w:tcBorders>
            <w:shd w:val="clear" w:color="auto" w:fill="auto"/>
            <w:noWrap/>
            <w:vAlign w:val="center"/>
            <w:hideMark/>
          </w:tcPr>
          <w:p w14:paraId="625E1A79" w14:textId="77777777" w:rsidR="00387142" w:rsidRPr="008B6A75" w:rsidRDefault="00387142" w:rsidP="00387142">
            <w:pPr>
              <w:jc w:val="center"/>
              <w:rPr>
                <w:sz w:val="20"/>
                <w:szCs w:val="20"/>
              </w:rPr>
            </w:pPr>
            <w:r w:rsidRPr="008B6A75">
              <w:rPr>
                <w:sz w:val="20"/>
                <w:szCs w:val="20"/>
              </w:rPr>
              <w:t>07.1.00.L7500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4F2A7031" w14:textId="77777777" w:rsidR="00387142" w:rsidRPr="008B6A75" w:rsidRDefault="00387142" w:rsidP="00387142">
            <w:pPr>
              <w:jc w:val="center"/>
              <w:rPr>
                <w:sz w:val="20"/>
                <w:szCs w:val="20"/>
              </w:rPr>
            </w:pPr>
            <w:r w:rsidRPr="008B6A75">
              <w:rPr>
                <w:sz w:val="20"/>
                <w:szCs w:val="20"/>
              </w:rPr>
              <w:t>600</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2A1EF8A5" w14:textId="77777777" w:rsidR="00387142" w:rsidRPr="008B6A75" w:rsidRDefault="00387142" w:rsidP="00387142">
            <w:pPr>
              <w:jc w:val="right"/>
              <w:rPr>
                <w:sz w:val="20"/>
                <w:szCs w:val="20"/>
              </w:rPr>
            </w:pPr>
            <w:r w:rsidRPr="008B6A75">
              <w:rPr>
                <w:sz w:val="20"/>
                <w:szCs w:val="20"/>
              </w:rPr>
              <w:t>144 858 828,40</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01359A8D" w14:textId="77777777" w:rsidR="00387142" w:rsidRPr="008B6A75" w:rsidRDefault="00387142" w:rsidP="00387142">
            <w:pPr>
              <w:jc w:val="right"/>
              <w:rPr>
                <w:sz w:val="20"/>
                <w:szCs w:val="20"/>
              </w:rPr>
            </w:pPr>
            <w:r w:rsidRPr="008B6A75">
              <w:rPr>
                <w:sz w:val="20"/>
                <w:szCs w:val="20"/>
              </w:rPr>
              <w:t>72 709 970,00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0076C714" w14:textId="77777777" w:rsidR="00387142" w:rsidRPr="008B6A75" w:rsidRDefault="00387142" w:rsidP="00387142">
            <w:pPr>
              <w:jc w:val="right"/>
              <w:rPr>
                <w:sz w:val="20"/>
                <w:szCs w:val="20"/>
              </w:rPr>
            </w:pPr>
            <w:r w:rsidRPr="008B6A75">
              <w:rPr>
                <w:sz w:val="20"/>
                <w:szCs w:val="20"/>
              </w:rPr>
              <w:t>0,00</w:t>
            </w:r>
          </w:p>
        </w:tc>
        <w:tc>
          <w:tcPr>
            <w:tcW w:w="222" w:type="dxa"/>
            <w:vAlign w:val="center"/>
            <w:hideMark/>
          </w:tcPr>
          <w:p w14:paraId="67BFF20D" w14:textId="77777777" w:rsidR="00387142" w:rsidRPr="008B6A75" w:rsidRDefault="00387142" w:rsidP="00387142">
            <w:pPr>
              <w:rPr>
                <w:sz w:val="20"/>
                <w:szCs w:val="20"/>
              </w:rPr>
            </w:pPr>
          </w:p>
        </w:tc>
      </w:tr>
      <w:tr w:rsidR="00387142" w:rsidRPr="008B6A75" w14:paraId="5D2D2367" w14:textId="77777777" w:rsidTr="00387142">
        <w:trPr>
          <w:trHeight w:val="300"/>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5F7AAB4B" w14:textId="77777777" w:rsidR="00387142" w:rsidRPr="008B6A75" w:rsidRDefault="00387142" w:rsidP="00387142">
            <w:pPr>
              <w:rPr>
                <w:sz w:val="20"/>
                <w:szCs w:val="20"/>
              </w:rPr>
            </w:pPr>
            <w:r w:rsidRPr="008B6A75">
              <w:rPr>
                <w:sz w:val="20"/>
                <w:szCs w:val="20"/>
              </w:rPr>
              <w:t>Субсидии бюджетным учреждениям</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000A368A" w14:textId="77777777" w:rsidR="00387142" w:rsidRPr="008B6A75" w:rsidRDefault="00387142" w:rsidP="00387142">
            <w:pPr>
              <w:jc w:val="center"/>
              <w:rPr>
                <w:sz w:val="20"/>
                <w:szCs w:val="20"/>
              </w:rPr>
            </w:pPr>
            <w:r w:rsidRPr="008B6A75">
              <w:rPr>
                <w:sz w:val="20"/>
                <w:szCs w:val="20"/>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22DAFAE4" w14:textId="77777777" w:rsidR="00387142" w:rsidRPr="008B6A75" w:rsidRDefault="00387142" w:rsidP="00387142">
            <w:pPr>
              <w:jc w:val="center"/>
              <w:rPr>
                <w:sz w:val="20"/>
                <w:szCs w:val="20"/>
              </w:rPr>
            </w:pPr>
            <w:r w:rsidRPr="008B6A75">
              <w:rPr>
                <w:sz w:val="20"/>
                <w:szCs w:val="20"/>
              </w:rPr>
              <w:t>07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D7BD7E" w14:textId="77777777" w:rsidR="00387142" w:rsidRPr="008B6A75" w:rsidRDefault="00387142" w:rsidP="00387142">
            <w:pPr>
              <w:jc w:val="center"/>
              <w:rPr>
                <w:sz w:val="20"/>
                <w:szCs w:val="20"/>
              </w:rPr>
            </w:pPr>
            <w:r w:rsidRPr="008B6A75">
              <w:rPr>
                <w:sz w:val="20"/>
                <w:szCs w:val="20"/>
              </w:rPr>
              <w:t>02</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008D68E3" w14:textId="77777777" w:rsidR="00387142" w:rsidRPr="008B6A75" w:rsidRDefault="00387142" w:rsidP="00387142">
            <w:pPr>
              <w:jc w:val="center"/>
              <w:rPr>
                <w:sz w:val="20"/>
                <w:szCs w:val="20"/>
              </w:rPr>
            </w:pPr>
            <w:r w:rsidRPr="008B6A75">
              <w:rPr>
                <w:sz w:val="20"/>
                <w:szCs w:val="20"/>
              </w:rPr>
              <w:t>07.1.00.L7500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FD8556" w14:textId="77777777" w:rsidR="00387142" w:rsidRPr="008B6A75" w:rsidRDefault="00387142" w:rsidP="00387142">
            <w:pPr>
              <w:jc w:val="center"/>
              <w:rPr>
                <w:sz w:val="20"/>
                <w:szCs w:val="20"/>
              </w:rPr>
            </w:pPr>
            <w:r w:rsidRPr="008B6A75">
              <w:rPr>
                <w:sz w:val="20"/>
                <w:szCs w:val="20"/>
              </w:rPr>
              <w:t>610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F108E9" w14:textId="77777777" w:rsidR="00387142" w:rsidRPr="008B6A75" w:rsidRDefault="00387142" w:rsidP="00387142">
            <w:pPr>
              <w:jc w:val="right"/>
              <w:rPr>
                <w:sz w:val="20"/>
                <w:szCs w:val="20"/>
              </w:rPr>
            </w:pPr>
            <w:r w:rsidRPr="008B6A75">
              <w:rPr>
                <w:sz w:val="20"/>
                <w:szCs w:val="20"/>
              </w:rPr>
              <w:t>144 858 828,40</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54EFC1B0" w14:textId="77777777" w:rsidR="00387142" w:rsidRPr="008B6A75" w:rsidRDefault="00387142" w:rsidP="00387142">
            <w:pPr>
              <w:jc w:val="right"/>
              <w:rPr>
                <w:sz w:val="20"/>
                <w:szCs w:val="20"/>
              </w:rPr>
            </w:pPr>
            <w:r w:rsidRPr="008B6A75">
              <w:rPr>
                <w:sz w:val="20"/>
                <w:szCs w:val="20"/>
              </w:rPr>
              <w:t>72 709 970,00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E65E1F" w14:textId="77777777" w:rsidR="00387142" w:rsidRPr="008B6A75" w:rsidRDefault="00387142" w:rsidP="00387142">
            <w:pPr>
              <w:jc w:val="right"/>
              <w:rPr>
                <w:sz w:val="20"/>
                <w:szCs w:val="20"/>
              </w:rPr>
            </w:pPr>
            <w:r w:rsidRPr="008B6A75">
              <w:rPr>
                <w:sz w:val="20"/>
                <w:szCs w:val="20"/>
              </w:rPr>
              <w:t>0,00</w:t>
            </w:r>
          </w:p>
        </w:tc>
        <w:tc>
          <w:tcPr>
            <w:tcW w:w="222" w:type="dxa"/>
            <w:vAlign w:val="center"/>
            <w:hideMark/>
          </w:tcPr>
          <w:p w14:paraId="7CB5954A" w14:textId="77777777" w:rsidR="00387142" w:rsidRPr="008B6A75" w:rsidRDefault="00387142" w:rsidP="00387142">
            <w:pPr>
              <w:rPr>
                <w:sz w:val="20"/>
                <w:szCs w:val="20"/>
              </w:rPr>
            </w:pPr>
          </w:p>
        </w:tc>
      </w:tr>
      <w:tr w:rsidR="00387142" w:rsidRPr="008B6A75" w14:paraId="3ECF0C38" w14:textId="77777777" w:rsidTr="00387142">
        <w:trPr>
          <w:trHeight w:val="2580"/>
        </w:trPr>
        <w:tc>
          <w:tcPr>
            <w:tcW w:w="3021" w:type="dxa"/>
            <w:tcBorders>
              <w:top w:val="nil"/>
              <w:left w:val="single" w:sz="4" w:space="0" w:color="auto"/>
              <w:bottom w:val="nil"/>
              <w:right w:val="nil"/>
            </w:tcBorders>
            <w:shd w:val="clear" w:color="auto" w:fill="auto"/>
            <w:vAlign w:val="center"/>
            <w:hideMark/>
          </w:tcPr>
          <w:p w14:paraId="27B4196F" w14:textId="77777777" w:rsidR="00387142" w:rsidRPr="008B6A75" w:rsidRDefault="00387142" w:rsidP="00387142">
            <w:pPr>
              <w:rPr>
                <w:bCs/>
                <w:sz w:val="20"/>
                <w:szCs w:val="20"/>
              </w:rPr>
            </w:pPr>
            <w:proofErr w:type="spellStart"/>
            <w:r w:rsidRPr="008B6A75">
              <w:rPr>
                <w:bCs/>
                <w:sz w:val="20"/>
                <w:szCs w:val="20"/>
              </w:rPr>
              <w:t>Софинансирование</w:t>
            </w:r>
            <w:proofErr w:type="spellEnd"/>
            <w:r w:rsidRPr="008B6A75">
              <w:rPr>
                <w:bCs/>
                <w:sz w:val="20"/>
                <w:szCs w:val="20"/>
              </w:rPr>
              <w:t xml:space="preserve"> местного бюджета на реализацию мероприятий по установке и модернизации систем видеонаблюдения, автоматической пожарной сигнализации и пожарного мониторинга государственной программы Новосибирской области "Построение и развитие аппаратно-программного комплекса "Безопасный город" в Новосибирской области"</w:t>
            </w:r>
          </w:p>
        </w:tc>
        <w:tc>
          <w:tcPr>
            <w:tcW w:w="850" w:type="dxa"/>
            <w:tcBorders>
              <w:top w:val="nil"/>
              <w:left w:val="single" w:sz="4" w:space="0" w:color="auto"/>
              <w:bottom w:val="nil"/>
              <w:right w:val="nil"/>
            </w:tcBorders>
            <w:shd w:val="clear" w:color="auto" w:fill="auto"/>
            <w:noWrap/>
            <w:vAlign w:val="center"/>
            <w:hideMark/>
          </w:tcPr>
          <w:p w14:paraId="43408A32" w14:textId="77777777" w:rsidR="00387142" w:rsidRPr="008B6A75" w:rsidRDefault="00387142" w:rsidP="00387142">
            <w:pPr>
              <w:jc w:val="center"/>
              <w:rPr>
                <w:bCs/>
                <w:sz w:val="20"/>
                <w:szCs w:val="20"/>
              </w:rPr>
            </w:pPr>
            <w:r w:rsidRPr="008B6A75">
              <w:rPr>
                <w:bCs/>
                <w:sz w:val="20"/>
                <w:szCs w:val="20"/>
              </w:rPr>
              <w:t>444</w:t>
            </w:r>
          </w:p>
        </w:tc>
        <w:tc>
          <w:tcPr>
            <w:tcW w:w="709" w:type="dxa"/>
            <w:tcBorders>
              <w:top w:val="nil"/>
              <w:left w:val="single" w:sz="4" w:space="0" w:color="auto"/>
              <w:bottom w:val="nil"/>
              <w:right w:val="nil"/>
            </w:tcBorders>
            <w:shd w:val="clear" w:color="auto" w:fill="auto"/>
            <w:noWrap/>
            <w:vAlign w:val="center"/>
            <w:hideMark/>
          </w:tcPr>
          <w:p w14:paraId="1E0275F6" w14:textId="77777777" w:rsidR="00387142" w:rsidRPr="008B6A75" w:rsidRDefault="00387142" w:rsidP="00387142">
            <w:pPr>
              <w:jc w:val="center"/>
              <w:rPr>
                <w:bCs/>
                <w:sz w:val="20"/>
                <w:szCs w:val="20"/>
              </w:rPr>
            </w:pPr>
            <w:r w:rsidRPr="008B6A75">
              <w:rPr>
                <w:bCs/>
                <w:sz w:val="20"/>
                <w:szCs w:val="20"/>
              </w:rPr>
              <w:t>07</w:t>
            </w:r>
          </w:p>
        </w:tc>
        <w:tc>
          <w:tcPr>
            <w:tcW w:w="709" w:type="dxa"/>
            <w:tcBorders>
              <w:top w:val="nil"/>
              <w:left w:val="single" w:sz="4" w:space="0" w:color="auto"/>
              <w:bottom w:val="nil"/>
              <w:right w:val="single" w:sz="4" w:space="0" w:color="auto"/>
            </w:tcBorders>
            <w:shd w:val="clear" w:color="auto" w:fill="auto"/>
            <w:noWrap/>
            <w:vAlign w:val="center"/>
            <w:hideMark/>
          </w:tcPr>
          <w:p w14:paraId="5F741104" w14:textId="77777777" w:rsidR="00387142" w:rsidRPr="008B6A75" w:rsidRDefault="00387142" w:rsidP="00387142">
            <w:pPr>
              <w:jc w:val="center"/>
              <w:rPr>
                <w:bCs/>
                <w:sz w:val="20"/>
                <w:szCs w:val="20"/>
              </w:rPr>
            </w:pPr>
            <w:r w:rsidRPr="008B6A75">
              <w:rPr>
                <w:bCs/>
                <w:sz w:val="20"/>
                <w:szCs w:val="20"/>
              </w:rPr>
              <w:t>02</w:t>
            </w:r>
          </w:p>
        </w:tc>
        <w:tc>
          <w:tcPr>
            <w:tcW w:w="1411" w:type="dxa"/>
            <w:tcBorders>
              <w:top w:val="nil"/>
              <w:left w:val="single" w:sz="4" w:space="0" w:color="auto"/>
              <w:bottom w:val="nil"/>
              <w:right w:val="nil"/>
            </w:tcBorders>
            <w:shd w:val="clear" w:color="auto" w:fill="auto"/>
            <w:noWrap/>
            <w:vAlign w:val="center"/>
            <w:hideMark/>
          </w:tcPr>
          <w:p w14:paraId="02BDBE91" w14:textId="77777777" w:rsidR="00387142" w:rsidRPr="008B6A75" w:rsidRDefault="00387142" w:rsidP="00387142">
            <w:pPr>
              <w:jc w:val="center"/>
              <w:rPr>
                <w:bCs/>
                <w:sz w:val="20"/>
                <w:szCs w:val="20"/>
              </w:rPr>
            </w:pPr>
            <w:r w:rsidRPr="008B6A75">
              <w:rPr>
                <w:bCs/>
                <w:sz w:val="20"/>
                <w:szCs w:val="20"/>
              </w:rPr>
              <w:t>07.1.00.S2590</w:t>
            </w:r>
          </w:p>
        </w:tc>
        <w:tc>
          <w:tcPr>
            <w:tcW w:w="955" w:type="dxa"/>
            <w:tcBorders>
              <w:top w:val="nil"/>
              <w:left w:val="single" w:sz="4" w:space="0" w:color="auto"/>
              <w:bottom w:val="nil"/>
              <w:right w:val="single" w:sz="4" w:space="0" w:color="auto"/>
            </w:tcBorders>
            <w:shd w:val="clear" w:color="auto" w:fill="auto"/>
            <w:noWrap/>
            <w:vAlign w:val="center"/>
            <w:hideMark/>
          </w:tcPr>
          <w:p w14:paraId="44447AAC"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nil"/>
              <w:right w:val="single" w:sz="4" w:space="0" w:color="auto"/>
            </w:tcBorders>
            <w:shd w:val="clear" w:color="auto" w:fill="auto"/>
            <w:noWrap/>
            <w:vAlign w:val="center"/>
            <w:hideMark/>
          </w:tcPr>
          <w:p w14:paraId="1222E298" w14:textId="77777777" w:rsidR="00387142" w:rsidRPr="008B6A75" w:rsidRDefault="00387142" w:rsidP="00387142">
            <w:pPr>
              <w:jc w:val="right"/>
              <w:rPr>
                <w:bCs/>
                <w:sz w:val="20"/>
                <w:szCs w:val="20"/>
              </w:rPr>
            </w:pPr>
            <w:r w:rsidRPr="008B6A75">
              <w:rPr>
                <w:bCs/>
                <w:sz w:val="20"/>
                <w:szCs w:val="20"/>
              </w:rPr>
              <w:t>19 113,52</w:t>
            </w:r>
          </w:p>
        </w:tc>
        <w:tc>
          <w:tcPr>
            <w:tcW w:w="992" w:type="dxa"/>
            <w:gridSpan w:val="2"/>
            <w:tcBorders>
              <w:top w:val="nil"/>
              <w:left w:val="single" w:sz="4" w:space="0" w:color="auto"/>
              <w:bottom w:val="nil"/>
              <w:right w:val="nil"/>
            </w:tcBorders>
            <w:shd w:val="clear" w:color="auto" w:fill="auto"/>
            <w:noWrap/>
            <w:vAlign w:val="center"/>
            <w:hideMark/>
          </w:tcPr>
          <w:p w14:paraId="5F5B9DFC" w14:textId="77777777" w:rsidR="00387142" w:rsidRPr="008B6A75" w:rsidRDefault="00387142" w:rsidP="00387142">
            <w:pPr>
              <w:jc w:val="right"/>
              <w:rPr>
                <w:bCs/>
                <w:sz w:val="20"/>
                <w:szCs w:val="20"/>
              </w:rPr>
            </w:pPr>
            <w:r w:rsidRPr="008B6A75">
              <w:rPr>
                <w:bCs/>
                <w:sz w:val="20"/>
                <w:szCs w:val="20"/>
              </w:rPr>
              <w:t>0,00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58C8B24C" w14:textId="77777777" w:rsidR="00387142" w:rsidRPr="008B6A75" w:rsidRDefault="00387142" w:rsidP="00387142">
            <w:pPr>
              <w:jc w:val="right"/>
              <w:rPr>
                <w:bCs/>
                <w:sz w:val="20"/>
                <w:szCs w:val="20"/>
              </w:rPr>
            </w:pPr>
            <w:r w:rsidRPr="008B6A75">
              <w:rPr>
                <w:bCs/>
                <w:sz w:val="20"/>
                <w:szCs w:val="20"/>
              </w:rPr>
              <w:t>0,00</w:t>
            </w:r>
          </w:p>
        </w:tc>
        <w:tc>
          <w:tcPr>
            <w:tcW w:w="222" w:type="dxa"/>
            <w:vAlign w:val="center"/>
            <w:hideMark/>
          </w:tcPr>
          <w:p w14:paraId="266D0113" w14:textId="77777777" w:rsidR="00387142" w:rsidRPr="008B6A75" w:rsidRDefault="00387142" w:rsidP="00387142">
            <w:pPr>
              <w:rPr>
                <w:sz w:val="20"/>
                <w:szCs w:val="20"/>
              </w:rPr>
            </w:pPr>
          </w:p>
        </w:tc>
      </w:tr>
      <w:tr w:rsidR="00387142" w:rsidRPr="008B6A75" w14:paraId="1A05A60D" w14:textId="77777777" w:rsidTr="00387142">
        <w:trPr>
          <w:trHeight w:val="585"/>
        </w:trPr>
        <w:tc>
          <w:tcPr>
            <w:tcW w:w="3021" w:type="dxa"/>
            <w:tcBorders>
              <w:top w:val="single" w:sz="4" w:space="0" w:color="auto"/>
              <w:left w:val="single" w:sz="4" w:space="0" w:color="auto"/>
              <w:bottom w:val="nil"/>
              <w:right w:val="nil"/>
            </w:tcBorders>
            <w:shd w:val="clear" w:color="auto" w:fill="auto"/>
            <w:vAlign w:val="center"/>
            <w:hideMark/>
          </w:tcPr>
          <w:p w14:paraId="2814A3C6" w14:textId="77777777" w:rsidR="00387142" w:rsidRPr="008B6A75" w:rsidRDefault="00387142" w:rsidP="00387142">
            <w:pPr>
              <w:rPr>
                <w:sz w:val="20"/>
                <w:szCs w:val="20"/>
              </w:rPr>
            </w:pPr>
            <w:r w:rsidRPr="008B6A75">
              <w:rPr>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nil"/>
              <w:right w:val="nil"/>
            </w:tcBorders>
            <w:shd w:val="clear" w:color="auto" w:fill="auto"/>
            <w:noWrap/>
            <w:vAlign w:val="center"/>
            <w:hideMark/>
          </w:tcPr>
          <w:p w14:paraId="3ADBBE31" w14:textId="77777777" w:rsidR="00387142" w:rsidRPr="008B6A75" w:rsidRDefault="00387142" w:rsidP="00387142">
            <w:pPr>
              <w:jc w:val="center"/>
              <w:rPr>
                <w:sz w:val="20"/>
                <w:szCs w:val="20"/>
              </w:rPr>
            </w:pPr>
            <w:r w:rsidRPr="008B6A75">
              <w:rPr>
                <w:sz w:val="20"/>
                <w:szCs w:val="20"/>
              </w:rPr>
              <w:t>444</w:t>
            </w:r>
          </w:p>
        </w:tc>
        <w:tc>
          <w:tcPr>
            <w:tcW w:w="709" w:type="dxa"/>
            <w:tcBorders>
              <w:top w:val="single" w:sz="4" w:space="0" w:color="auto"/>
              <w:left w:val="single" w:sz="4" w:space="0" w:color="auto"/>
              <w:bottom w:val="nil"/>
              <w:right w:val="nil"/>
            </w:tcBorders>
            <w:shd w:val="clear" w:color="auto" w:fill="auto"/>
            <w:noWrap/>
            <w:vAlign w:val="center"/>
            <w:hideMark/>
          </w:tcPr>
          <w:p w14:paraId="1B1C40C9" w14:textId="77777777" w:rsidR="00387142" w:rsidRPr="008B6A75" w:rsidRDefault="00387142" w:rsidP="00387142">
            <w:pPr>
              <w:jc w:val="center"/>
              <w:rPr>
                <w:sz w:val="20"/>
                <w:szCs w:val="20"/>
              </w:rPr>
            </w:pPr>
            <w:r w:rsidRPr="008B6A75">
              <w:rPr>
                <w:sz w:val="20"/>
                <w:szCs w:val="20"/>
              </w:rPr>
              <w:t>07</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25EE1079" w14:textId="77777777" w:rsidR="00387142" w:rsidRPr="008B6A75" w:rsidRDefault="00387142" w:rsidP="00387142">
            <w:pPr>
              <w:jc w:val="center"/>
              <w:rPr>
                <w:sz w:val="20"/>
                <w:szCs w:val="20"/>
              </w:rPr>
            </w:pPr>
            <w:r w:rsidRPr="008B6A75">
              <w:rPr>
                <w:sz w:val="20"/>
                <w:szCs w:val="20"/>
              </w:rPr>
              <w:t>02</w:t>
            </w:r>
          </w:p>
        </w:tc>
        <w:tc>
          <w:tcPr>
            <w:tcW w:w="1411" w:type="dxa"/>
            <w:tcBorders>
              <w:top w:val="single" w:sz="4" w:space="0" w:color="auto"/>
              <w:left w:val="single" w:sz="4" w:space="0" w:color="auto"/>
              <w:bottom w:val="nil"/>
              <w:right w:val="nil"/>
            </w:tcBorders>
            <w:shd w:val="clear" w:color="auto" w:fill="auto"/>
            <w:noWrap/>
            <w:vAlign w:val="center"/>
            <w:hideMark/>
          </w:tcPr>
          <w:p w14:paraId="38FAC74D" w14:textId="77777777" w:rsidR="00387142" w:rsidRPr="008B6A75" w:rsidRDefault="00387142" w:rsidP="00387142">
            <w:pPr>
              <w:jc w:val="center"/>
              <w:rPr>
                <w:sz w:val="20"/>
                <w:szCs w:val="20"/>
              </w:rPr>
            </w:pPr>
            <w:r w:rsidRPr="008B6A75">
              <w:rPr>
                <w:sz w:val="20"/>
                <w:szCs w:val="20"/>
              </w:rPr>
              <w:t>07.1.00.S2590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07BCAA8B" w14:textId="77777777" w:rsidR="00387142" w:rsidRPr="008B6A75" w:rsidRDefault="00387142" w:rsidP="00387142">
            <w:pPr>
              <w:jc w:val="center"/>
              <w:rPr>
                <w:sz w:val="20"/>
                <w:szCs w:val="20"/>
              </w:rPr>
            </w:pPr>
            <w:r w:rsidRPr="008B6A75">
              <w:rPr>
                <w:sz w:val="20"/>
                <w:szCs w:val="20"/>
              </w:rPr>
              <w:t>200</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6BE75A9B" w14:textId="77777777" w:rsidR="00387142" w:rsidRPr="008B6A75" w:rsidRDefault="00387142" w:rsidP="00387142">
            <w:pPr>
              <w:jc w:val="right"/>
              <w:rPr>
                <w:sz w:val="20"/>
                <w:szCs w:val="20"/>
              </w:rPr>
            </w:pPr>
            <w:r w:rsidRPr="008B6A75">
              <w:rPr>
                <w:sz w:val="20"/>
                <w:szCs w:val="20"/>
              </w:rPr>
              <w:t>11 334,64</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258BCA6C" w14:textId="77777777" w:rsidR="00387142" w:rsidRPr="008B6A75" w:rsidRDefault="00387142" w:rsidP="00387142">
            <w:pPr>
              <w:jc w:val="right"/>
              <w:rPr>
                <w:sz w:val="20"/>
                <w:szCs w:val="20"/>
              </w:rPr>
            </w:pPr>
            <w:r w:rsidRPr="008B6A75">
              <w:rPr>
                <w:sz w:val="20"/>
                <w:szCs w:val="20"/>
              </w:rPr>
              <w:t>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7EE14A1A" w14:textId="77777777" w:rsidR="00387142" w:rsidRPr="008B6A75" w:rsidRDefault="00387142" w:rsidP="00387142">
            <w:pPr>
              <w:jc w:val="right"/>
              <w:rPr>
                <w:sz w:val="20"/>
                <w:szCs w:val="20"/>
              </w:rPr>
            </w:pPr>
            <w:r w:rsidRPr="008B6A75">
              <w:rPr>
                <w:sz w:val="20"/>
                <w:szCs w:val="20"/>
              </w:rPr>
              <w:t>0,00</w:t>
            </w:r>
          </w:p>
        </w:tc>
        <w:tc>
          <w:tcPr>
            <w:tcW w:w="222" w:type="dxa"/>
            <w:vAlign w:val="center"/>
            <w:hideMark/>
          </w:tcPr>
          <w:p w14:paraId="23E4C27B" w14:textId="77777777" w:rsidR="00387142" w:rsidRPr="008B6A75" w:rsidRDefault="00387142" w:rsidP="00387142">
            <w:pPr>
              <w:rPr>
                <w:sz w:val="20"/>
                <w:szCs w:val="20"/>
              </w:rPr>
            </w:pPr>
          </w:p>
        </w:tc>
      </w:tr>
      <w:tr w:rsidR="00387142" w:rsidRPr="008B6A75" w14:paraId="374D2B57" w14:textId="77777777" w:rsidTr="00387142">
        <w:trPr>
          <w:trHeight w:val="870"/>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65C0117E" w14:textId="77777777" w:rsidR="00387142" w:rsidRPr="008B6A75" w:rsidRDefault="00387142" w:rsidP="00387142">
            <w:pPr>
              <w:rPr>
                <w:sz w:val="20"/>
                <w:szCs w:val="20"/>
              </w:rPr>
            </w:pPr>
            <w:r w:rsidRPr="008B6A75">
              <w:rPr>
                <w:sz w:val="20"/>
                <w:szCs w:val="20"/>
              </w:rPr>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146C07A3" w14:textId="77777777" w:rsidR="00387142" w:rsidRPr="008B6A75" w:rsidRDefault="00387142" w:rsidP="00387142">
            <w:pPr>
              <w:jc w:val="center"/>
              <w:rPr>
                <w:sz w:val="20"/>
                <w:szCs w:val="20"/>
              </w:rPr>
            </w:pPr>
            <w:r w:rsidRPr="008B6A75">
              <w:rPr>
                <w:sz w:val="20"/>
                <w:szCs w:val="20"/>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0F6DAB2B" w14:textId="77777777" w:rsidR="00387142" w:rsidRPr="008B6A75" w:rsidRDefault="00387142" w:rsidP="00387142">
            <w:pPr>
              <w:jc w:val="center"/>
              <w:rPr>
                <w:sz w:val="20"/>
                <w:szCs w:val="20"/>
              </w:rPr>
            </w:pPr>
            <w:r w:rsidRPr="008B6A75">
              <w:rPr>
                <w:sz w:val="20"/>
                <w:szCs w:val="20"/>
              </w:rPr>
              <w:t>07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4C57E0" w14:textId="77777777" w:rsidR="00387142" w:rsidRPr="008B6A75" w:rsidRDefault="00387142" w:rsidP="00387142">
            <w:pPr>
              <w:jc w:val="center"/>
              <w:rPr>
                <w:sz w:val="20"/>
                <w:szCs w:val="20"/>
              </w:rPr>
            </w:pPr>
            <w:r w:rsidRPr="008B6A75">
              <w:rPr>
                <w:sz w:val="20"/>
                <w:szCs w:val="20"/>
              </w:rPr>
              <w:t>02</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74D4229C" w14:textId="77777777" w:rsidR="00387142" w:rsidRPr="008B6A75" w:rsidRDefault="00387142" w:rsidP="00387142">
            <w:pPr>
              <w:jc w:val="center"/>
              <w:rPr>
                <w:sz w:val="20"/>
                <w:szCs w:val="20"/>
              </w:rPr>
            </w:pPr>
            <w:r w:rsidRPr="008B6A75">
              <w:rPr>
                <w:sz w:val="20"/>
                <w:szCs w:val="20"/>
              </w:rPr>
              <w:t>07.1.00.S2590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40ACCB" w14:textId="77777777" w:rsidR="00387142" w:rsidRPr="008B6A75" w:rsidRDefault="00387142" w:rsidP="00387142">
            <w:pPr>
              <w:jc w:val="center"/>
              <w:rPr>
                <w:sz w:val="20"/>
                <w:szCs w:val="20"/>
              </w:rPr>
            </w:pPr>
            <w:r w:rsidRPr="008B6A75">
              <w:rPr>
                <w:sz w:val="20"/>
                <w:szCs w:val="20"/>
              </w:rPr>
              <w:t>240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318D70" w14:textId="77777777" w:rsidR="00387142" w:rsidRPr="008B6A75" w:rsidRDefault="00387142" w:rsidP="00387142">
            <w:pPr>
              <w:jc w:val="right"/>
              <w:rPr>
                <w:sz w:val="20"/>
                <w:szCs w:val="20"/>
              </w:rPr>
            </w:pPr>
            <w:r w:rsidRPr="008B6A75">
              <w:rPr>
                <w:sz w:val="20"/>
                <w:szCs w:val="20"/>
              </w:rPr>
              <w:t>11 334,64</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350BC32D" w14:textId="77777777" w:rsidR="00387142" w:rsidRPr="008B6A75" w:rsidRDefault="00387142" w:rsidP="00387142">
            <w:pPr>
              <w:jc w:val="right"/>
              <w:rPr>
                <w:sz w:val="20"/>
                <w:szCs w:val="20"/>
              </w:rPr>
            </w:pPr>
            <w:r w:rsidRPr="008B6A75">
              <w:rPr>
                <w:sz w:val="20"/>
                <w:szCs w:val="20"/>
              </w:rPr>
              <w:t>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4B65BF" w14:textId="77777777" w:rsidR="00387142" w:rsidRPr="008B6A75" w:rsidRDefault="00387142" w:rsidP="00387142">
            <w:pPr>
              <w:jc w:val="right"/>
              <w:rPr>
                <w:sz w:val="20"/>
                <w:szCs w:val="20"/>
              </w:rPr>
            </w:pPr>
            <w:r w:rsidRPr="008B6A75">
              <w:rPr>
                <w:sz w:val="20"/>
                <w:szCs w:val="20"/>
              </w:rPr>
              <w:t>0,00</w:t>
            </w:r>
          </w:p>
        </w:tc>
        <w:tc>
          <w:tcPr>
            <w:tcW w:w="222" w:type="dxa"/>
            <w:vAlign w:val="center"/>
            <w:hideMark/>
          </w:tcPr>
          <w:p w14:paraId="2A8B2668" w14:textId="77777777" w:rsidR="00387142" w:rsidRPr="008B6A75" w:rsidRDefault="00387142" w:rsidP="00387142">
            <w:pPr>
              <w:rPr>
                <w:sz w:val="20"/>
                <w:szCs w:val="20"/>
              </w:rPr>
            </w:pPr>
          </w:p>
        </w:tc>
      </w:tr>
      <w:tr w:rsidR="00387142" w:rsidRPr="008B6A75" w14:paraId="13D006A0" w14:textId="77777777" w:rsidTr="00387142">
        <w:trPr>
          <w:trHeight w:val="870"/>
        </w:trPr>
        <w:tc>
          <w:tcPr>
            <w:tcW w:w="3021" w:type="dxa"/>
            <w:tcBorders>
              <w:top w:val="nil"/>
              <w:left w:val="single" w:sz="4" w:space="0" w:color="auto"/>
              <w:bottom w:val="nil"/>
              <w:right w:val="nil"/>
            </w:tcBorders>
            <w:shd w:val="clear" w:color="auto" w:fill="auto"/>
            <w:vAlign w:val="center"/>
            <w:hideMark/>
          </w:tcPr>
          <w:p w14:paraId="26846DFE" w14:textId="77777777" w:rsidR="00387142" w:rsidRPr="008B6A75" w:rsidRDefault="00387142" w:rsidP="00387142">
            <w:pPr>
              <w:rPr>
                <w:sz w:val="20"/>
                <w:szCs w:val="20"/>
              </w:rPr>
            </w:pPr>
            <w:r w:rsidRPr="008B6A75">
              <w:rPr>
                <w:sz w:val="20"/>
                <w:szCs w:val="20"/>
              </w:rPr>
              <w:t>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right w:val="nil"/>
            </w:tcBorders>
            <w:shd w:val="clear" w:color="auto" w:fill="auto"/>
            <w:noWrap/>
            <w:vAlign w:val="center"/>
            <w:hideMark/>
          </w:tcPr>
          <w:p w14:paraId="417C6464" w14:textId="77777777" w:rsidR="00387142" w:rsidRPr="008B6A75" w:rsidRDefault="00387142" w:rsidP="00387142">
            <w:pPr>
              <w:jc w:val="center"/>
              <w:rPr>
                <w:sz w:val="20"/>
                <w:szCs w:val="20"/>
              </w:rPr>
            </w:pPr>
            <w:r w:rsidRPr="008B6A75">
              <w:rPr>
                <w:sz w:val="20"/>
                <w:szCs w:val="20"/>
              </w:rPr>
              <w:t>444</w:t>
            </w:r>
          </w:p>
        </w:tc>
        <w:tc>
          <w:tcPr>
            <w:tcW w:w="709" w:type="dxa"/>
            <w:tcBorders>
              <w:top w:val="nil"/>
              <w:left w:val="single" w:sz="4" w:space="0" w:color="auto"/>
              <w:bottom w:val="nil"/>
              <w:right w:val="nil"/>
            </w:tcBorders>
            <w:shd w:val="clear" w:color="auto" w:fill="auto"/>
            <w:noWrap/>
            <w:vAlign w:val="center"/>
            <w:hideMark/>
          </w:tcPr>
          <w:p w14:paraId="5C24363B" w14:textId="77777777" w:rsidR="00387142" w:rsidRPr="008B6A75" w:rsidRDefault="00387142" w:rsidP="00387142">
            <w:pPr>
              <w:jc w:val="center"/>
              <w:rPr>
                <w:sz w:val="20"/>
                <w:szCs w:val="20"/>
              </w:rPr>
            </w:pPr>
            <w:r w:rsidRPr="008B6A75">
              <w:rPr>
                <w:sz w:val="20"/>
                <w:szCs w:val="20"/>
              </w:rPr>
              <w:t>07</w:t>
            </w:r>
          </w:p>
        </w:tc>
        <w:tc>
          <w:tcPr>
            <w:tcW w:w="709" w:type="dxa"/>
            <w:tcBorders>
              <w:top w:val="nil"/>
              <w:left w:val="single" w:sz="4" w:space="0" w:color="auto"/>
              <w:bottom w:val="nil"/>
              <w:right w:val="single" w:sz="4" w:space="0" w:color="auto"/>
            </w:tcBorders>
            <w:shd w:val="clear" w:color="auto" w:fill="auto"/>
            <w:noWrap/>
            <w:vAlign w:val="center"/>
            <w:hideMark/>
          </w:tcPr>
          <w:p w14:paraId="74415078" w14:textId="77777777" w:rsidR="00387142" w:rsidRPr="008B6A75" w:rsidRDefault="00387142" w:rsidP="00387142">
            <w:pPr>
              <w:jc w:val="center"/>
              <w:rPr>
                <w:sz w:val="20"/>
                <w:szCs w:val="20"/>
              </w:rPr>
            </w:pPr>
            <w:r w:rsidRPr="008B6A75">
              <w:rPr>
                <w:sz w:val="20"/>
                <w:szCs w:val="20"/>
              </w:rPr>
              <w:t>02</w:t>
            </w:r>
          </w:p>
        </w:tc>
        <w:tc>
          <w:tcPr>
            <w:tcW w:w="1411" w:type="dxa"/>
            <w:tcBorders>
              <w:top w:val="nil"/>
              <w:left w:val="single" w:sz="4" w:space="0" w:color="auto"/>
              <w:bottom w:val="nil"/>
              <w:right w:val="nil"/>
            </w:tcBorders>
            <w:shd w:val="clear" w:color="auto" w:fill="auto"/>
            <w:noWrap/>
            <w:vAlign w:val="center"/>
            <w:hideMark/>
          </w:tcPr>
          <w:p w14:paraId="08B90009" w14:textId="77777777" w:rsidR="00387142" w:rsidRPr="008B6A75" w:rsidRDefault="00387142" w:rsidP="00387142">
            <w:pPr>
              <w:jc w:val="center"/>
              <w:rPr>
                <w:sz w:val="20"/>
                <w:szCs w:val="20"/>
              </w:rPr>
            </w:pPr>
            <w:r w:rsidRPr="008B6A75">
              <w:rPr>
                <w:sz w:val="20"/>
                <w:szCs w:val="20"/>
              </w:rPr>
              <w:t>07.1.00.S2590</w:t>
            </w:r>
          </w:p>
        </w:tc>
        <w:tc>
          <w:tcPr>
            <w:tcW w:w="955" w:type="dxa"/>
            <w:tcBorders>
              <w:top w:val="nil"/>
              <w:left w:val="single" w:sz="4" w:space="0" w:color="auto"/>
              <w:bottom w:val="nil"/>
              <w:right w:val="single" w:sz="4" w:space="0" w:color="auto"/>
            </w:tcBorders>
            <w:shd w:val="clear" w:color="auto" w:fill="auto"/>
            <w:noWrap/>
            <w:vAlign w:val="center"/>
            <w:hideMark/>
          </w:tcPr>
          <w:p w14:paraId="3C43173C" w14:textId="77777777" w:rsidR="00387142" w:rsidRPr="008B6A75" w:rsidRDefault="00387142" w:rsidP="00387142">
            <w:pPr>
              <w:jc w:val="center"/>
              <w:rPr>
                <w:sz w:val="20"/>
                <w:szCs w:val="20"/>
              </w:rPr>
            </w:pPr>
            <w:r w:rsidRPr="008B6A75">
              <w:rPr>
                <w:sz w:val="20"/>
                <w:szCs w:val="20"/>
              </w:rPr>
              <w:t>600</w:t>
            </w:r>
          </w:p>
        </w:tc>
        <w:tc>
          <w:tcPr>
            <w:tcW w:w="992" w:type="dxa"/>
            <w:tcBorders>
              <w:top w:val="nil"/>
              <w:left w:val="single" w:sz="4" w:space="0" w:color="auto"/>
              <w:bottom w:val="nil"/>
              <w:right w:val="single" w:sz="4" w:space="0" w:color="auto"/>
            </w:tcBorders>
            <w:shd w:val="clear" w:color="auto" w:fill="auto"/>
            <w:noWrap/>
            <w:vAlign w:val="center"/>
            <w:hideMark/>
          </w:tcPr>
          <w:p w14:paraId="74DF3AF3" w14:textId="77777777" w:rsidR="00387142" w:rsidRPr="008B6A75" w:rsidRDefault="00387142" w:rsidP="00387142">
            <w:pPr>
              <w:jc w:val="right"/>
              <w:rPr>
                <w:sz w:val="20"/>
                <w:szCs w:val="20"/>
              </w:rPr>
            </w:pPr>
            <w:r w:rsidRPr="008B6A75">
              <w:rPr>
                <w:sz w:val="20"/>
                <w:szCs w:val="20"/>
              </w:rPr>
              <w:t>7 778,88</w:t>
            </w:r>
          </w:p>
        </w:tc>
        <w:tc>
          <w:tcPr>
            <w:tcW w:w="992" w:type="dxa"/>
            <w:gridSpan w:val="2"/>
            <w:tcBorders>
              <w:top w:val="nil"/>
              <w:left w:val="single" w:sz="4" w:space="0" w:color="auto"/>
              <w:bottom w:val="nil"/>
              <w:right w:val="nil"/>
            </w:tcBorders>
            <w:shd w:val="clear" w:color="auto" w:fill="auto"/>
            <w:noWrap/>
            <w:vAlign w:val="center"/>
            <w:hideMark/>
          </w:tcPr>
          <w:p w14:paraId="32E57A88" w14:textId="77777777" w:rsidR="00387142" w:rsidRPr="008B6A75" w:rsidRDefault="00387142" w:rsidP="00387142">
            <w:pPr>
              <w:jc w:val="right"/>
              <w:rPr>
                <w:sz w:val="20"/>
                <w:szCs w:val="20"/>
              </w:rPr>
            </w:pPr>
            <w:r w:rsidRPr="008B6A75">
              <w:rPr>
                <w:sz w:val="20"/>
                <w:szCs w:val="20"/>
              </w:rPr>
              <w:t>0,00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289A8FCB" w14:textId="77777777" w:rsidR="00387142" w:rsidRPr="008B6A75" w:rsidRDefault="00387142" w:rsidP="00387142">
            <w:pPr>
              <w:jc w:val="right"/>
              <w:rPr>
                <w:sz w:val="20"/>
                <w:szCs w:val="20"/>
              </w:rPr>
            </w:pPr>
            <w:r w:rsidRPr="008B6A75">
              <w:rPr>
                <w:sz w:val="20"/>
                <w:szCs w:val="20"/>
              </w:rPr>
              <w:t>0,00</w:t>
            </w:r>
          </w:p>
        </w:tc>
        <w:tc>
          <w:tcPr>
            <w:tcW w:w="222" w:type="dxa"/>
            <w:vAlign w:val="center"/>
            <w:hideMark/>
          </w:tcPr>
          <w:p w14:paraId="4C8B3729" w14:textId="77777777" w:rsidR="00387142" w:rsidRPr="008B6A75" w:rsidRDefault="00387142" w:rsidP="00387142">
            <w:pPr>
              <w:rPr>
                <w:sz w:val="20"/>
                <w:szCs w:val="20"/>
              </w:rPr>
            </w:pPr>
          </w:p>
        </w:tc>
      </w:tr>
      <w:tr w:rsidR="00387142" w:rsidRPr="008B6A75" w14:paraId="3E0CC218" w14:textId="77777777" w:rsidTr="00387142">
        <w:trPr>
          <w:trHeight w:val="300"/>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2E9ADCBA" w14:textId="77777777" w:rsidR="00387142" w:rsidRPr="008B6A75" w:rsidRDefault="00387142" w:rsidP="00387142">
            <w:pPr>
              <w:rPr>
                <w:sz w:val="20"/>
                <w:szCs w:val="20"/>
              </w:rPr>
            </w:pPr>
            <w:r w:rsidRPr="008B6A75">
              <w:rPr>
                <w:sz w:val="20"/>
                <w:szCs w:val="20"/>
              </w:rPr>
              <w:t>Субсидии бюджетным учреждениям</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061292AE" w14:textId="77777777" w:rsidR="00387142" w:rsidRPr="008B6A75" w:rsidRDefault="00387142" w:rsidP="00387142">
            <w:pPr>
              <w:jc w:val="center"/>
              <w:rPr>
                <w:sz w:val="20"/>
                <w:szCs w:val="20"/>
              </w:rPr>
            </w:pPr>
            <w:r w:rsidRPr="008B6A75">
              <w:rPr>
                <w:sz w:val="20"/>
                <w:szCs w:val="20"/>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1191DF27" w14:textId="77777777" w:rsidR="00387142" w:rsidRPr="008B6A75" w:rsidRDefault="00387142" w:rsidP="00387142">
            <w:pPr>
              <w:jc w:val="center"/>
              <w:rPr>
                <w:sz w:val="20"/>
                <w:szCs w:val="20"/>
              </w:rPr>
            </w:pPr>
            <w:r w:rsidRPr="008B6A75">
              <w:rPr>
                <w:sz w:val="20"/>
                <w:szCs w:val="20"/>
              </w:rPr>
              <w:t>07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2A88A7" w14:textId="77777777" w:rsidR="00387142" w:rsidRPr="008B6A75" w:rsidRDefault="00387142" w:rsidP="00387142">
            <w:pPr>
              <w:jc w:val="center"/>
              <w:rPr>
                <w:sz w:val="20"/>
                <w:szCs w:val="20"/>
              </w:rPr>
            </w:pPr>
            <w:r w:rsidRPr="008B6A75">
              <w:rPr>
                <w:sz w:val="20"/>
                <w:szCs w:val="20"/>
              </w:rPr>
              <w:t>02</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0EC92BF6" w14:textId="77777777" w:rsidR="00387142" w:rsidRPr="008B6A75" w:rsidRDefault="00387142" w:rsidP="00387142">
            <w:pPr>
              <w:jc w:val="center"/>
              <w:rPr>
                <w:sz w:val="20"/>
                <w:szCs w:val="20"/>
              </w:rPr>
            </w:pPr>
            <w:r w:rsidRPr="008B6A75">
              <w:rPr>
                <w:sz w:val="20"/>
                <w:szCs w:val="20"/>
              </w:rPr>
              <w:t>07.1.00.S2590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A8462C" w14:textId="77777777" w:rsidR="00387142" w:rsidRPr="008B6A75" w:rsidRDefault="00387142" w:rsidP="00387142">
            <w:pPr>
              <w:jc w:val="center"/>
              <w:rPr>
                <w:sz w:val="20"/>
                <w:szCs w:val="20"/>
              </w:rPr>
            </w:pPr>
            <w:r w:rsidRPr="008B6A75">
              <w:rPr>
                <w:sz w:val="20"/>
                <w:szCs w:val="20"/>
              </w:rPr>
              <w:t>610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98DC9B" w14:textId="77777777" w:rsidR="00387142" w:rsidRPr="008B6A75" w:rsidRDefault="00387142" w:rsidP="00387142">
            <w:pPr>
              <w:jc w:val="right"/>
              <w:rPr>
                <w:sz w:val="20"/>
                <w:szCs w:val="20"/>
              </w:rPr>
            </w:pPr>
            <w:r w:rsidRPr="008B6A75">
              <w:rPr>
                <w:sz w:val="20"/>
                <w:szCs w:val="20"/>
              </w:rPr>
              <w:t>7 778,88</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5353D8E2" w14:textId="77777777" w:rsidR="00387142" w:rsidRPr="008B6A75" w:rsidRDefault="00387142" w:rsidP="00387142">
            <w:pPr>
              <w:jc w:val="right"/>
              <w:rPr>
                <w:sz w:val="20"/>
                <w:szCs w:val="20"/>
              </w:rPr>
            </w:pPr>
            <w:r w:rsidRPr="008B6A75">
              <w:rPr>
                <w:sz w:val="20"/>
                <w:szCs w:val="20"/>
              </w:rPr>
              <w:t>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B4473E" w14:textId="77777777" w:rsidR="00387142" w:rsidRPr="008B6A75" w:rsidRDefault="00387142" w:rsidP="00387142">
            <w:pPr>
              <w:jc w:val="right"/>
              <w:rPr>
                <w:sz w:val="20"/>
                <w:szCs w:val="20"/>
              </w:rPr>
            </w:pPr>
            <w:r w:rsidRPr="008B6A75">
              <w:rPr>
                <w:sz w:val="20"/>
                <w:szCs w:val="20"/>
              </w:rPr>
              <w:t>0,00</w:t>
            </w:r>
          </w:p>
        </w:tc>
        <w:tc>
          <w:tcPr>
            <w:tcW w:w="222" w:type="dxa"/>
            <w:vAlign w:val="center"/>
            <w:hideMark/>
          </w:tcPr>
          <w:p w14:paraId="691DFA00" w14:textId="77777777" w:rsidR="00387142" w:rsidRPr="008B6A75" w:rsidRDefault="00387142" w:rsidP="00387142">
            <w:pPr>
              <w:rPr>
                <w:sz w:val="20"/>
                <w:szCs w:val="20"/>
              </w:rPr>
            </w:pPr>
          </w:p>
        </w:tc>
      </w:tr>
      <w:tr w:rsidR="00387142" w:rsidRPr="008B6A75" w14:paraId="106CC499" w14:textId="77777777" w:rsidTr="00387142">
        <w:trPr>
          <w:trHeight w:val="300"/>
        </w:trPr>
        <w:tc>
          <w:tcPr>
            <w:tcW w:w="3021" w:type="dxa"/>
            <w:tcBorders>
              <w:top w:val="nil"/>
              <w:left w:val="single" w:sz="4" w:space="0" w:color="auto"/>
              <w:bottom w:val="nil"/>
              <w:right w:val="nil"/>
            </w:tcBorders>
            <w:shd w:val="clear" w:color="auto" w:fill="auto"/>
            <w:vAlign w:val="center"/>
            <w:hideMark/>
          </w:tcPr>
          <w:p w14:paraId="0A7EE25F" w14:textId="77777777" w:rsidR="00387142" w:rsidRPr="008B6A75" w:rsidRDefault="00387142" w:rsidP="00387142">
            <w:pPr>
              <w:rPr>
                <w:bCs/>
                <w:sz w:val="20"/>
                <w:szCs w:val="20"/>
              </w:rPr>
            </w:pPr>
            <w:r w:rsidRPr="008B6A75">
              <w:rPr>
                <w:bCs/>
                <w:sz w:val="20"/>
                <w:szCs w:val="20"/>
              </w:rPr>
              <w:t>Региональный проект "Современная школа"</w:t>
            </w:r>
          </w:p>
        </w:tc>
        <w:tc>
          <w:tcPr>
            <w:tcW w:w="850" w:type="dxa"/>
            <w:tcBorders>
              <w:top w:val="nil"/>
              <w:left w:val="single" w:sz="4" w:space="0" w:color="auto"/>
              <w:bottom w:val="nil"/>
              <w:right w:val="nil"/>
            </w:tcBorders>
            <w:shd w:val="clear" w:color="auto" w:fill="auto"/>
            <w:noWrap/>
            <w:vAlign w:val="center"/>
            <w:hideMark/>
          </w:tcPr>
          <w:p w14:paraId="40BF0D36" w14:textId="77777777" w:rsidR="00387142" w:rsidRPr="008B6A75" w:rsidRDefault="00387142" w:rsidP="00387142">
            <w:pPr>
              <w:jc w:val="center"/>
              <w:rPr>
                <w:bCs/>
                <w:sz w:val="20"/>
                <w:szCs w:val="20"/>
              </w:rPr>
            </w:pPr>
            <w:r w:rsidRPr="008B6A75">
              <w:rPr>
                <w:bCs/>
                <w:sz w:val="20"/>
                <w:szCs w:val="20"/>
              </w:rPr>
              <w:t>444</w:t>
            </w:r>
          </w:p>
        </w:tc>
        <w:tc>
          <w:tcPr>
            <w:tcW w:w="709" w:type="dxa"/>
            <w:tcBorders>
              <w:top w:val="nil"/>
              <w:left w:val="single" w:sz="4" w:space="0" w:color="auto"/>
              <w:bottom w:val="nil"/>
              <w:right w:val="nil"/>
            </w:tcBorders>
            <w:shd w:val="clear" w:color="auto" w:fill="auto"/>
            <w:noWrap/>
            <w:vAlign w:val="center"/>
            <w:hideMark/>
          </w:tcPr>
          <w:p w14:paraId="7C6A9B05" w14:textId="77777777" w:rsidR="00387142" w:rsidRPr="008B6A75" w:rsidRDefault="00387142" w:rsidP="00387142">
            <w:pPr>
              <w:jc w:val="center"/>
              <w:rPr>
                <w:bCs/>
                <w:sz w:val="20"/>
                <w:szCs w:val="20"/>
              </w:rPr>
            </w:pPr>
            <w:r w:rsidRPr="008B6A75">
              <w:rPr>
                <w:bCs/>
                <w:sz w:val="20"/>
                <w:szCs w:val="20"/>
              </w:rPr>
              <w:t>07</w:t>
            </w:r>
          </w:p>
        </w:tc>
        <w:tc>
          <w:tcPr>
            <w:tcW w:w="709" w:type="dxa"/>
            <w:tcBorders>
              <w:top w:val="nil"/>
              <w:left w:val="single" w:sz="4" w:space="0" w:color="auto"/>
              <w:bottom w:val="nil"/>
              <w:right w:val="single" w:sz="4" w:space="0" w:color="auto"/>
            </w:tcBorders>
            <w:shd w:val="clear" w:color="auto" w:fill="auto"/>
            <w:noWrap/>
            <w:vAlign w:val="center"/>
            <w:hideMark/>
          </w:tcPr>
          <w:p w14:paraId="20C9F6D2" w14:textId="77777777" w:rsidR="00387142" w:rsidRPr="008B6A75" w:rsidRDefault="00387142" w:rsidP="00387142">
            <w:pPr>
              <w:jc w:val="center"/>
              <w:rPr>
                <w:bCs/>
                <w:sz w:val="20"/>
                <w:szCs w:val="20"/>
              </w:rPr>
            </w:pPr>
            <w:r w:rsidRPr="008B6A75">
              <w:rPr>
                <w:bCs/>
                <w:sz w:val="20"/>
                <w:szCs w:val="20"/>
              </w:rPr>
              <w:t>02</w:t>
            </w:r>
          </w:p>
        </w:tc>
        <w:tc>
          <w:tcPr>
            <w:tcW w:w="1411" w:type="dxa"/>
            <w:tcBorders>
              <w:top w:val="nil"/>
              <w:left w:val="single" w:sz="4" w:space="0" w:color="auto"/>
              <w:bottom w:val="nil"/>
              <w:right w:val="nil"/>
            </w:tcBorders>
            <w:shd w:val="clear" w:color="auto" w:fill="auto"/>
            <w:noWrap/>
            <w:vAlign w:val="center"/>
            <w:hideMark/>
          </w:tcPr>
          <w:p w14:paraId="7F0E8E42" w14:textId="77777777" w:rsidR="00387142" w:rsidRPr="008B6A75" w:rsidRDefault="00387142" w:rsidP="00387142">
            <w:pPr>
              <w:jc w:val="center"/>
              <w:rPr>
                <w:bCs/>
                <w:sz w:val="20"/>
                <w:szCs w:val="20"/>
              </w:rPr>
            </w:pPr>
            <w:r w:rsidRPr="008B6A75">
              <w:rPr>
                <w:bCs/>
                <w:sz w:val="20"/>
                <w:szCs w:val="20"/>
              </w:rPr>
              <w:t>07.1.E1.00000</w:t>
            </w:r>
          </w:p>
        </w:tc>
        <w:tc>
          <w:tcPr>
            <w:tcW w:w="955" w:type="dxa"/>
            <w:tcBorders>
              <w:top w:val="nil"/>
              <w:left w:val="single" w:sz="4" w:space="0" w:color="auto"/>
              <w:bottom w:val="nil"/>
              <w:right w:val="single" w:sz="4" w:space="0" w:color="auto"/>
            </w:tcBorders>
            <w:shd w:val="clear" w:color="auto" w:fill="auto"/>
            <w:noWrap/>
            <w:vAlign w:val="center"/>
            <w:hideMark/>
          </w:tcPr>
          <w:p w14:paraId="6C746E1D"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nil"/>
              <w:right w:val="single" w:sz="4" w:space="0" w:color="auto"/>
            </w:tcBorders>
            <w:shd w:val="clear" w:color="auto" w:fill="auto"/>
            <w:noWrap/>
            <w:vAlign w:val="center"/>
            <w:hideMark/>
          </w:tcPr>
          <w:p w14:paraId="49B13D5B" w14:textId="77777777" w:rsidR="00387142" w:rsidRPr="008B6A75" w:rsidRDefault="00387142" w:rsidP="00387142">
            <w:pPr>
              <w:jc w:val="right"/>
              <w:rPr>
                <w:bCs/>
                <w:sz w:val="20"/>
                <w:szCs w:val="20"/>
              </w:rPr>
            </w:pPr>
            <w:r w:rsidRPr="008B6A75">
              <w:rPr>
                <w:bCs/>
                <w:sz w:val="20"/>
                <w:szCs w:val="20"/>
              </w:rPr>
              <w:t>21 737 275,41</w:t>
            </w:r>
          </w:p>
        </w:tc>
        <w:tc>
          <w:tcPr>
            <w:tcW w:w="992" w:type="dxa"/>
            <w:gridSpan w:val="2"/>
            <w:tcBorders>
              <w:top w:val="nil"/>
              <w:left w:val="single" w:sz="4" w:space="0" w:color="auto"/>
              <w:bottom w:val="nil"/>
              <w:right w:val="nil"/>
            </w:tcBorders>
            <w:shd w:val="clear" w:color="auto" w:fill="auto"/>
            <w:noWrap/>
            <w:vAlign w:val="center"/>
            <w:hideMark/>
          </w:tcPr>
          <w:p w14:paraId="2F8B9869" w14:textId="77777777" w:rsidR="00387142" w:rsidRPr="008B6A75" w:rsidRDefault="00387142" w:rsidP="00387142">
            <w:pPr>
              <w:jc w:val="right"/>
              <w:rPr>
                <w:bCs/>
                <w:sz w:val="20"/>
                <w:szCs w:val="20"/>
              </w:rPr>
            </w:pPr>
            <w:r w:rsidRPr="008B6A75">
              <w:rPr>
                <w:bCs/>
                <w:sz w:val="20"/>
                <w:szCs w:val="20"/>
              </w:rPr>
              <w:t>8 163 300,00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1962D182" w14:textId="77777777" w:rsidR="00387142" w:rsidRPr="008B6A75" w:rsidRDefault="00387142" w:rsidP="00387142">
            <w:pPr>
              <w:jc w:val="right"/>
              <w:rPr>
                <w:bCs/>
                <w:sz w:val="20"/>
                <w:szCs w:val="20"/>
              </w:rPr>
            </w:pPr>
            <w:r w:rsidRPr="008B6A75">
              <w:rPr>
                <w:bCs/>
                <w:sz w:val="20"/>
                <w:szCs w:val="20"/>
              </w:rPr>
              <w:t>2 040 850,00</w:t>
            </w:r>
          </w:p>
        </w:tc>
        <w:tc>
          <w:tcPr>
            <w:tcW w:w="222" w:type="dxa"/>
            <w:vAlign w:val="center"/>
            <w:hideMark/>
          </w:tcPr>
          <w:p w14:paraId="7F0C2823" w14:textId="77777777" w:rsidR="00387142" w:rsidRPr="008B6A75" w:rsidRDefault="00387142" w:rsidP="00387142">
            <w:pPr>
              <w:rPr>
                <w:sz w:val="20"/>
                <w:szCs w:val="20"/>
              </w:rPr>
            </w:pPr>
          </w:p>
        </w:tc>
      </w:tr>
      <w:tr w:rsidR="00387142" w:rsidRPr="008B6A75" w14:paraId="5819BB7B" w14:textId="77777777" w:rsidTr="00387142">
        <w:trPr>
          <w:trHeight w:val="2580"/>
        </w:trPr>
        <w:tc>
          <w:tcPr>
            <w:tcW w:w="3021" w:type="dxa"/>
            <w:tcBorders>
              <w:top w:val="single" w:sz="4" w:space="0" w:color="auto"/>
              <w:left w:val="single" w:sz="4" w:space="0" w:color="auto"/>
              <w:bottom w:val="nil"/>
              <w:right w:val="nil"/>
            </w:tcBorders>
            <w:shd w:val="clear" w:color="auto" w:fill="auto"/>
            <w:vAlign w:val="center"/>
            <w:hideMark/>
          </w:tcPr>
          <w:p w14:paraId="37BEDB0E" w14:textId="77777777" w:rsidR="00387142" w:rsidRPr="008B6A75" w:rsidRDefault="00387142" w:rsidP="00387142">
            <w:pPr>
              <w:rPr>
                <w:bCs/>
                <w:sz w:val="20"/>
                <w:szCs w:val="20"/>
              </w:rPr>
            </w:pPr>
            <w:r w:rsidRPr="008B6A75">
              <w:rPr>
                <w:bCs/>
                <w:sz w:val="20"/>
                <w:szCs w:val="20"/>
              </w:rPr>
              <w:t>Реализация мероприятий по обновлению материально-технической базы для формирования у обучающихся современных технологических и гуманитарных навыков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w:t>
            </w:r>
            <w:proofErr w:type="spellStart"/>
            <w:r w:rsidRPr="008B6A75">
              <w:rPr>
                <w:bCs/>
                <w:sz w:val="20"/>
                <w:szCs w:val="20"/>
              </w:rPr>
              <w:t>брендирование</w:t>
            </w:r>
            <w:proofErr w:type="spellEnd"/>
            <w:r w:rsidRPr="008B6A75">
              <w:rPr>
                <w:bCs/>
                <w:sz w:val="20"/>
                <w:szCs w:val="20"/>
              </w:rPr>
              <w:t xml:space="preserve"> центров "Точка роста")</w:t>
            </w:r>
          </w:p>
        </w:tc>
        <w:tc>
          <w:tcPr>
            <w:tcW w:w="850" w:type="dxa"/>
            <w:tcBorders>
              <w:top w:val="single" w:sz="4" w:space="0" w:color="auto"/>
              <w:left w:val="single" w:sz="4" w:space="0" w:color="auto"/>
              <w:bottom w:val="nil"/>
              <w:right w:val="nil"/>
            </w:tcBorders>
            <w:shd w:val="clear" w:color="auto" w:fill="auto"/>
            <w:noWrap/>
            <w:vAlign w:val="center"/>
            <w:hideMark/>
          </w:tcPr>
          <w:p w14:paraId="2FE667C7" w14:textId="77777777" w:rsidR="00387142" w:rsidRPr="008B6A75" w:rsidRDefault="00387142" w:rsidP="00387142">
            <w:pPr>
              <w:jc w:val="center"/>
              <w:rPr>
                <w:bCs/>
                <w:sz w:val="20"/>
                <w:szCs w:val="20"/>
              </w:rPr>
            </w:pPr>
            <w:r w:rsidRPr="008B6A75">
              <w:rPr>
                <w:bCs/>
                <w:sz w:val="20"/>
                <w:szCs w:val="20"/>
              </w:rPr>
              <w:t>444</w:t>
            </w:r>
          </w:p>
        </w:tc>
        <w:tc>
          <w:tcPr>
            <w:tcW w:w="709" w:type="dxa"/>
            <w:tcBorders>
              <w:top w:val="single" w:sz="4" w:space="0" w:color="auto"/>
              <w:left w:val="single" w:sz="4" w:space="0" w:color="auto"/>
              <w:bottom w:val="nil"/>
              <w:right w:val="nil"/>
            </w:tcBorders>
            <w:shd w:val="clear" w:color="auto" w:fill="auto"/>
            <w:noWrap/>
            <w:vAlign w:val="center"/>
            <w:hideMark/>
          </w:tcPr>
          <w:p w14:paraId="3527FFE8" w14:textId="77777777" w:rsidR="00387142" w:rsidRPr="008B6A75" w:rsidRDefault="00387142" w:rsidP="00387142">
            <w:pPr>
              <w:jc w:val="center"/>
              <w:rPr>
                <w:bCs/>
                <w:sz w:val="20"/>
                <w:szCs w:val="20"/>
              </w:rPr>
            </w:pPr>
            <w:r w:rsidRPr="008B6A75">
              <w:rPr>
                <w:bCs/>
                <w:sz w:val="20"/>
                <w:szCs w:val="20"/>
              </w:rPr>
              <w:t>07</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5A912D1D" w14:textId="77777777" w:rsidR="00387142" w:rsidRPr="008B6A75" w:rsidRDefault="00387142" w:rsidP="00387142">
            <w:pPr>
              <w:jc w:val="center"/>
              <w:rPr>
                <w:bCs/>
                <w:sz w:val="20"/>
                <w:szCs w:val="20"/>
              </w:rPr>
            </w:pPr>
            <w:r w:rsidRPr="008B6A75">
              <w:rPr>
                <w:bCs/>
                <w:sz w:val="20"/>
                <w:szCs w:val="20"/>
              </w:rPr>
              <w:t>02</w:t>
            </w:r>
          </w:p>
        </w:tc>
        <w:tc>
          <w:tcPr>
            <w:tcW w:w="1411" w:type="dxa"/>
            <w:tcBorders>
              <w:top w:val="single" w:sz="4" w:space="0" w:color="auto"/>
              <w:left w:val="single" w:sz="4" w:space="0" w:color="auto"/>
              <w:bottom w:val="nil"/>
              <w:right w:val="nil"/>
            </w:tcBorders>
            <w:shd w:val="clear" w:color="auto" w:fill="auto"/>
            <w:noWrap/>
            <w:vAlign w:val="center"/>
            <w:hideMark/>
          </w:tcPr>
          <w:p w14:paraId="0E7C9678" w14:textId="77777777" w:rsidR="00387142" w:rsidRPr="008B6A75" w:rsidRDefault="00387142" w:rsidP="00387142">
            <w:pPr>
              <w:jc w:val="center"/>
              <w:rPr>
                <w:bCs/>
                <w:sz w:val="20"/>
                <w:szCs w:val="20"/>
              </w:rPr>
            </w:pPr>
            <w:r w:rsidRPr="008B6A75">
              <w:rPr>
                <w:bCs/>
                <w:sz w:val="20"/>
                <w:szCs w:val="20"/>
              </w:rPr>
              <w:t>07.1.E1.51692</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5CA52068" w14:textId="77777777" w:rsidR="00387142" w:rsidRPr="008B6A75" w:rsidRDefault="00387142" w:rsidP="00387142">
            <w:pPr>
              <w:jc w:val="center"/>
              <w:rPr>
                <w:bCs/>
                <w:sz w:val="20"/>
                <w:szCs w:val="20"/>
              </w:rPr>
            </w:pPr>
            <w:r w:rsidRPr="008B6A75">
              <w:rPr>
                <w:bCs/>
                <w:sz w:val="20"/>
                <w:szCs w:val="20"/>
              </w:rPr>
              <w:t> </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45D91311" w14:textId="77777777" w:rsidR="00387142" w:rsidRPr="008B6A75" w:rsidRDefault="00387142" w:rsidP="00387142">
            <w:pPr>
              <w:jc w:val="right"/>
              <w:rPr>
                <w:bCs/>
                <w:sz w:val="20"/>
                <w:szCs w:val="20"/>
              </w:rPr>
            </w:pPr>
            <w:r w:rsidRPr="008B6A75">
              <w:rPr>
                <w:bCs/>
                <w:sz w:val="20"/>
                <w:szCs w:val="20"/>
              </w:rPr>
              <w:t>21 737 275,41</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33BD527C" w14:textId="77777777" w:rsidR="00387142" w:rsidRPr="008B6A75" w:rsidRDefault="00387142" w:rsidP="00387142">
            <w:pPr>
              <w:jc w:val="right"/>
              <w:rPr>
                <w:bCs/>
                <w:sz w:val="20"/>
                <w:szCs w:val="20"/>
              </w:rPr>
            </w:pPr>
            <w:r w:rsidRPr="008B6A75">
              <w:rPr>
                <w:bCs/>
                <w:sz w:val="20"/>
                <w:szCs w:val="20"/>
              </w:rPr>
              <w:t>8 163 300,00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01123AB0" w14:textId="77777777" w:rsidR="00387142" w:rsidRPr="008B6A75" w:rsidRDefault="00387142" w:rsidP="00387142">
            <w:pPr>
              <w:jc w:val="right"/>
              <w:rPr>
                <w:bCs/>
                <w:sz w:val="20"/>
                <w:szCs w:val="20"/>
              </w:rPr>
            </w:pPr>
            <w:r w:rsidRPr="008B6A75">
              <w:rPr>
                <w:bCs/>
                <w:sz w:val="20"/>
                <w:szCs w:val="20"/>
              </w:rPr>
              <w:t>2 040 850,00</w:t>
            </w:r>
          </w:p>
        </w:tc>
        <w:tc>
          <w:tcPr>
            <w:tcW w:w="222" w:type="dxa"/>
            <w:vAlign w:val="center"/>
            <w:hideMark/>
          </w:tcPr>
          <w:p w14:paraId="33622B09" w14:textId="77777777" w:rsidR="00387142" w:rsidRPr="008B6A75" w:rsidRDefault="00387142" w:rsidP="00387142">
            <w:pPr>
              <w:rPr>
                <w:sz w:val="20"/>
                <w:szCs w:val="20"/>
              </w:rPr>
            </w:pPr>
          </w:p>
        </w:tc>
      </w:tr>
      <w:tr w:rsidR="00387142" w:rsidRPr="008B6A75" w14:paraId="21961A60" w14:textId="77777777" w:rsidTr="00387142">
        <w:trPr>
          <w:trHeight w:val="585"/>
        </w:trPr>
        <w:tc>
          <w:tcPr>
            <w:tcW w:w="3021" w:type="dxa"/>
            <w:tcBorders>
              <w:top w:val="single" w:sz="4" w:space="0" w:color="auto"/>
              <w:left w:val="single" w:sz="4" w:space="0" w:color="auto"/>
              <w:bottom w:val="nil"/>
              <w:right w:val="nil"/>
            </w:tcBorders>
            <w:shd w:val="clear" w:color="auto" w:fill="auto"/>
            <w:vAlign w:val="center"/>
            <w:hideMark/>
          </w:tcPr>
          <w:p w14:paraId="6E3A4066" w14:textId="77777777" w:rsidR="00387142" w:rsidRPr="008B6A75" w:rsidRDefault="00387142" w:rsidP="00387142">
            <w:pPr>
              <w:rPr>
                <w:sz w:val="20"/>
                <w:szCs w:val="20"/>
              </w:rPr>
            </w:pPr>
            <w:r w:rsidRPr="008B6A75">
              <w:rPr>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nil"/>
              <w:right w:val="nil"/>
            </w:tcBorders>
            <w:shd w:val="clear" w:color="auto" w:fill="auto"/>
            <w:noWrap/>
            <w:vAlign w:val="center"/>
            <w:hideMark/>
          </w:tcPr>
          <w:p w14:paraId="4BC581FD" w14:textId="77777777" w:rsidR="00387142" w:rsidRPr="008B6A75" w:rsidRDefault="00387142" w:rsidP="00387142">
            <w:pPr>
              <w:jc w:val="center"/>
              <w:rPr>
                <w:sz w:val="20"/>
                <w:szCs w:val="20"/>
              </w:rPr>
            </w:pPr>
            <w:r w:rsidRPr="008B6A75">
              <w:rPr>
                <w:sz w:val="20"/>
                <w:szCs w:val="20"/>
              </w:rPr>
              <w:t>444</w:t>
            </w:r>
          </w:p>
        </w:tc>
        <w:tc>
          <w:tcPr>
            <w:tcW w:w="709" w:type="dxa"/>
            <w:tcBorders>
              <w:top w:val="single" w:sz="4" w:space="0" w:color="auto"/>
              <w:left w:val="single" w:sz="4" w:space="0" w:color="auto"/>
              <w:bottom w:val="nil"/>
              <w:right w:val="nil"/>
            </w:tcBorders>
            <w:shd w:val="clear" w:color="auto" w:fill="auto"/>
            <w:noWrap/>
            <w:vAlign w:val="center"/>
            <w:hideMark/>
          </w:tcPr>
          <w:p w14:paraId="7318A757" w14:textId="77777777" w:rsidR="00387142" w:rsidRPr="008B6A75" w:rsidRDefault="00387142" w:rsidP="00387142">
            <w:pPr>
              <w:jc w:val="center"/>
              <w:rPr>
                <w:sz w:val="20"/>
                <w:szCs w:val="20"/>
              </w:rPr>
            </w:pPr>
            <w:r w:rsidRPr="008B6A75">
              <w:rPr>
                <w:sz w:val="20"/>
                <w:szCs w:val="20"/>
              </w:rPr>
              <w:t>07</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13D8AC0B" w14:textId="77777777" w:rsidR="00387142" w:rsidRPr="008B6A75" w:rsidRDefault="00387142" w:rsidP="00387142">
            <w:pPr>
              <w:jc w:val="center"/>
              <w:rPr>
                <w:sz w:val="20"/>
                <w:szCs w:val="20"/>
              </w:rPr>
            </w:pPr>
            <w:r w:rsidRPr="008B6A75">
              <w:rPr>
                <w:sz w:val="20"/>
                <w:szCs w:val="20"/>
              </w:rPr>
              <w:t>02</w:t>
            </w:r>
          </w:p>
        </w:tc>
        <w:tc>
          <w:tcPr>
            <w:tcW w:w="1411" w:type="dxa"/>
            <w:tcBorders>
              <w:top w:val="single" w:sz="4" w:space="0" w:color="auto"/>
              <w:left w:val="single" w:sz="4" w:space="0" w:color="auto"/>
              <w:bottom w:val="nil"/>
              <w:right w:val="nil"/>
            </w:tcBorders>
            <w:shd w:val="clear" w:color="auto" w:fill="auto"/>
            <w:noWrap/>
            <w:vAlign w:val="center"/>
            <w:hideMark/>
          </w:tcPr>
          <w:p w14:paraId="7A4CEA26" w14:textId="77777777" w:rsidR="00387142" w:rsidRPr="008B6A75" w:rsidRDefault="00387142" w:rsidP="00387142">
            <w:pPr>
              <w:jc w:val="center"/>
              <w:rPr>
                <w:sz w:val="20"/>
                <w:szCs w:val="20"/>
              </w:rPr>
            </w:pPr>
            <w:r w:rsidRPr="008B6A75">
              <w:rPr>
                <w:sz w:val="20"/>
                <w:szCs w:val="20"/>
              </w:rPr>
              <w:t>07.1.E1.51692</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73BFB0EF" w14:textId="77777777" w:rsidR="00387142" w:rsidRPr="008B6A75" w:rsidRDefault="00387142" w:rsidP="00387142">
            <w:pPr>
              <w:jc w:val="center"/>
              <w:rPr>
                <w:sz w:val="20"/>
                <w:szCs w:val="20"/>
              </w:rPr>
            </w:pPr>
            <w:r w:rsidRPr="008B6A75">
              <w:rPr>
                <w:sz w:val="20"/>
                <w:szCs w:val="20"/>
              </w:rPr>
              <w:t>200</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1BF3A7DA" w14:textId="77777777" w:rsidR="00387142" w:rsidRPr="008B6A75" w:rsidRDefault="00387142" w:rsidP="00387142">
            <w:pPr>
              <w:jc w:val="right"/>
              <w:rPr>
                <w:sz w:val="20"/>
                <w:szCs w:val="20"/>
              </w:rPr>
            </w:pPr>
            <w:r w:rsidRPr="008B6A75">
              <w:rPr>
                <w:sz w:val="20"/>
                <w:szCs w:val="20"/>
              </w:rPr>
              <w:t>10 823 996,69</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6D7B26BE" w14:textId="77777777" w:rsidR="00387142" w:rsidRPr="008B6A75" w:rsidRDefault="00387142" w:rsidP="00387142">
            <w:pPr>
              <w:jc w:val="right"/>
              <w:rPr>
                <w:sz w:val="20"/>
                <w:szCs w:val="20"/>
              </w:rPr>
            </w:pPr>
            <w:r w:rsidRPr="008B6A75">
              <w:rPr>
                <w:sz w:val="20"/>
                <w:szCs w:val="20"/>
              </w:rPr>
              <w:t>8 163 300,00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288A2AFB" w14:textId="77777777" w:rsidR="00387142" w:rsidRPr="008B6A75" w:rsidRDefault="00387142" w:rsidP="00387142">
            <w:pPr>
              <w:jc w:val="right"/>
              <w:rPr>
                <w:sz w:val="20"/>
                <w:szCs w:val="20"/>
              </w:rPr>
            </w:pPr>
            <w:r w:rsidRPr="008B6A75">
              <w:rPr>
                <w:sz w:val="20"/>
                <w:szCs w:val="20"/>
              </w:rPr>
              <w:t>2 040 850,00</w:t>
            </w:r>
          </w:p>
        </w:tc>
        <w:tc>
          <w:tcPr>
            <w:tcW w:w="222" w:type="dxa"/>
            <w:vAlign w:val="center"/>
            <w:hideMark/>
          </w:tcPr>
          <w:p w14:paraId="579F9EA6" w14:textId="77777777" w:rsidR="00387142" w:rsidRPr="008B6A75" w:rsidRDefault="00387142" w:rsidP="00387142">
            <w:pPr>
              <w:rPr>
                <w:sz w:val="20"/>
                <w:szCs w:val="20"/>
              </w:rPr>
            </w:pPr>
          </w:p>
        </w:tc>
      </w:tr>
      <w:tr w:rsidR="00387142" w:rsidRPr="008B6A75" w14:paraId="45A33245" w14:textId="77777777" w:rsidTr="00387142">
        <w:trPr>
          <w:trHeight w:val="870"/>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167EA713" w14:textId="77777777" w:rsidR="00387142" w:rsidRPr="008B6A75" w:rsidRDefault="00387142" w:rsidP="00387142">
            <w:pPr>
              <w:rPr>
                <w:sz w:val="20"/>
                <w:szCs w:val="20"/>
              </w:rPr>
            </w:pPr>
            <w:r w:rsidRPr="008B6A75">
              <w:rPr>
                <w:sz w:val="20"/>
                <w:szCs w:val="20"/>
              </w:rPr>
              <w:lastRenderedPageBreak/>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13DC4159" w14:textId="77777777" w:rsidR="00387142" w:rsidRPr="008B6A75" w:rsidRDefault="00387142" w:rsidP="00387142">
            <w:pPr>
              <w:jc w:val="center"/>
              <w:rPr>
                <w:sz w:val="20"/>
                <w:szCs w:val="20"/>
              </w:rPr>
            </w:pPr>
            <w:r w:rsidRPr="008B6A75">
              <w:rPr>
                <w:sz w:val="20"/>
                <w:szCs w:val="20"/>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03C3A4B7" w14:textId="77777777" w:rsidR="00387142" w:rsidRPr="008B6A75" w:rsidRDefault="00387142" w:rsidP="00387142">
            <w:pPr>
              <w:jc w:val="center"/>
              <w:rPr>
                <w:sz w:val="20"/>
                <w:szCs w:val="20"/>
              </w:rPr>
            </w:pPr>
            <w:r w:rsidRPr="008B6A75">
              <w:rPr>
                <w:sz w:val="20"/>
                <w:szCs w:val="20"/>
              </w:rPr>
              <w:t>07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92A87F" w14:textId="77777777" w:rsidR="00387142" w:rsidRPr="008B6A75" w:rsidRDefault="00387142" w:rsidP="00387142">
            <w:pPr>
              <w:jc w:val="center"/>
              <w:rPr>
                <w:sz w:val="20"/>
                <w:szCs w:val="20"/>
              </w:rPr>
            </w:pPr>
            <w:r w:rsidRPr="008B6A75">
              <w:rPr>
                <w:sz w:val="20"/>
                <w:szCs w:val="20"/>
              </w:rPr>
              <w:t>02</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2C56C377" w14:textId="77777777" w:rsidR="00387142" w:rsidRPr="008B6A75" w:rsidRDefault="00387142" w:rsidP="00387142">
            <w:pPr>
              <w:jc w:val="center"/>
              <w:rPr>
                <w:sz w:val="20"/>
                <w:szCs w:val="20"/>
              </w:rPr>
            </w:pPr>
            <w:r w:rsidRPr="008B6A75">
              <w:rPr>
                <w:sz w:val="20"/>
                <w:szCs w:val="20"/>
              </w:rPr>
              <w:t>07.1.E1.51692</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956FF8" w14:textId="77777777" w:rsidR="00387142" w:rsidRPr="008B6A75" w:rsidRDefault="00387142" w:rsidP="00387142">
            <w:pPr>
              <w:jc w:val="center"/>
              <w:rPr>
                <w:sz w:val="20"/>
                <w:szCs w:val="20"/>
              </w:rPr>
            </w:pPr>
            <w:r w:rsidRPr="008B6A75">
              <w:rPr>
                <w:sz w:val="20"/>
                <w:szCs w:val="20"/>
              </w:rPr>
              <w:t>240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F5385C" w14:textId="77777777" w:rsidR="00387142" w:rsidRPr="008B6A75" w:rsidRDefault="00387142" w:rsidP="00387142">
            <w:pPr>
              <w:jc w:val="right"/>
              <w:rPr>
                <w:sz w:val="20"/>
                <w:szCs w:val="20"/>
              </w:rPr>
            </w:pPr>
            <w:r w:rsidRPr="008B6A75">
              <w:rPr>
                <w:sz w:val="20"/>
                <w:szCs w:val="20"/>
              </w:rPr>
              <w:t>10 823 996,69</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0C801544" w14:textId="77777777" w:rsidR="00387142" w:rsidRPr="008B6A75" w:rsidRDefault="00387142" w:rsidP="00387142">
            <w:pPr>
              <w:jc w:val="right"/>
              <w:rPr>
                <w:sz w:val="20"/>
                <w:szCs w:val="20"/>
              </w:rPr>
            </w:pPr>
            <w:r w:rsidRPr="008B6A75">
              <w:rPr>
                <w:sz w:val="20"/>
                <w:szCs w:val="20"/>
              </w:rPr>
              <w:t>8 163 300,00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BC7E23" w14:textId="77777777" w:rsidR="00387142" w:rsidRPr="008B6A75" w:rsidRDefault="00387142" w:rsidP="00387142">
            <w:pPr>
              <w:jc w:val="right"/>
              <w:rPr>
                <w:sz w:val="20"/>
                <w:szCs w:val="20"/>
              </w:rPr>
            </w:pPr>
            <w:r w:rsidRPr="008B6A75">
              <w:rPr>
                <w:sz w:val="20"/>
                <w:szCs w:val="20"/>
              </w:rPr>
              <w:t>2 040 850,00</w:t>
            </w:r>
          </w:p>
        </w:tc>
        <w:tc>
          <w:tcPr>
            <w:tcW w:w="222" w:type="dxa"/>
            <w:vAlign w:val="center"/>
            <w:hideMark/>
          </w:tcPr>
          <w:p w14:paraId="623FD38A" w14:textId="77777777" w:rsidR="00387142" w:rsidRPr="008B6A75" w:rsidRDefault="00387142" w:rsidP="00387142">
            <w:pPr>
              <w:rPr>
                <w:sz w:val="20"/>
                <w:szCs w:val="20"/>
              </w:rPr>
            </w:pPr>
          </w:p>
        </w:tc>
      </w:tr>
      <w:tr w:rsidR="00387142" w:rsidRPr="008B6A75" w14:paraId="5FA1082F" w14:textId="77777777" w:rsidTr="00387142">
        <w:trPr>
          <w:trHeight w:val="870"/>
        </w:trPr>
        <w:tc>
          <w:tcPr>
            <w:tcW w:w="3021" w:type="dxa"/>
            <w:tcBorders>
              <w:top w:val="nil"/>
              <w:left w:val="single" w:sz="4" w:space="0" w:color="auto"/>
              <w:bottom w:val="nil"/>
              <w:right w:val="nil"/>
            </w:tcBorders>
            <w:shd w:val="clear" w:color="auto" w:fill="auto"/>
            <w:vAlign w:val="center"/>
            <w:hideMark/>
          </w:tcPr>
          <w:p w14:paraId="20CC5271" w14:textId="77777777" w:rsidR="00387142" w:rsidRPr="008B6A75" w:rsidRDefault="00387142" w:rsidP="00387142">
            <w:pPr>
              <w:rPr>
                <w:sz w:val="20"/>
                <w:szCs w:val="20"/>
              </w:rPr>
            </w:pPr>
            <w:r w:rsidRPr="008B6A75">
              <w:rPr>
                <w:sz w:val="20"/>
                <w:szCs w:val="20"/>
              </w:rPr>
              <w:t>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right w:val="nil"/>
            </w:tcBorders>
            <w:shd w:val="clear" w:color="auto" w:fill="auto"/>
            <w:noWrap/>
            <w:vAlign w:val="center"/>
            <w:hideMark/>
          </w:tcPr>
          <w:p w14:paraId="59837691" w14:textId="77777777" w:rsidR="00387142" w:rsidRPr="008B6A75" w:rsidRDefault="00387142" w:rsidP="00387142">
            <w:pPr>
              <w:jc w:val="center"/>
              <w:rPr>
                <w:sz w:val="20"/>
                <w:szCs w:val="20"/>
              </w:rPr>
            </w:pPr>
            <w:r w:rsidRPr="008B6A75">
              <w:rPr>
                <w:sz w:val="20"/>
                <w:szCs w:val="20"/>
              </w:rPr>
              <w:t>444</w:t>
            </w:r>
          </w:p>
        </w:tc>
        <w:tc>
          <w:tcPr>
            <w:tcW w:w="709" w:type="dxa"/>
            <w:tcBorders>
              <w:top w:val="nil"/>
              <w:left w:val="single" w:sz="4" w:space="0" w:color="auto"/>
              <w:bottom w:val="nil"/>
              <w:right w:val="nil"/>
            </w:tcBorders>
            <w:shd w:val="clear" w:color="auto" w:fill="auto"/>
            <w:noWrap/>
            <w:vAlign w:val="center"/>
            <w:hideMark/>
          </w:tcPr>
          <w:p w14:paraId="23687763" w14:textId="77777777" w:rsidR="00387142" w:rsidRPr="008B6A75" w:rsidRDefault="00387142" w:rsidP="00387142">
            <w:pPr>
              <w:jc w:val="center"/>
              <w:rPr>
                <w:sz w:val="20"/>
                <w:szCs w:val="20"/>
              </w:rPr>
            </w:pPr>
            <w:r w:rsidRPr="008B6A75">
              <w:rPr>
                <w:sz w:val="20"/>
                <w:szCs w:val="20"/>
              </w:rPr>
              <w:t>07</w:t>
            </w:r>
          </w:p>
        </w:tc>
        <w:tc>
          <w:tcPr>
            <w:tcW w:w="709" w:type="dxa"/>
            <w:tcBorders>
              <w:top w:val="nil"/>
              <w:left w:val="single" w:sz="4" w:space="0" w:color="auto"/>
              <w:bottom w:val="nil"/>
              <w:right w:val="single" w:sz="4" w:space="0" w:color="auto"/>
            </w:tcBorders>
            <w:shd w:val="clear" w:color="auto" w:fill="auto"/>
            <w:noWrap/>
            <w:vAlign w:val="center"/>
            <w:hideMark/>
          </w:tcPr>
          <w:p w14:paraId="79B8DB37" w14:textId="77777777" w:rsidR="00387142" w:rsidRPr="008B6A75" w:rsidRDefault="00387142" w:rsidP="00387142">
            <w:pPr>
              <w:jc w:val="center"/>
              <w:rPr>
                <w:sz w:val="20"/>
                <w:szCs w:val="20"/>
              </w:rPr>
            </w:pPr>
            <w:r w:rsidRPr="008B6A75">
              <w:rPr>
                <w:sz w:val="20"/>
                <w:szCs w:val="20"/>
              </w:rPr>
              <w:t>02</w:t>
            </w:r>
          </w:p>
        </w:tc>
        <w:tc>
          <w:tcPr>
            <w:tcW w:w="1411" w:type="dxa"/>
            <w:tcBorders>
              <w:top w:val="nil"/>
              <w:left w:val="single" w:sz="4" w:space="0" w:color="auto"/>
              <w:bottom w:val="nil"/>
              <w:right w:val="nil"/>
            </w:tcBorders>
            <w:shd w:val="clear" w:color="auto" w:fill="auto"/>
            <w:noWrap/>
            <w:vAlign w:val="center"/>
            <w:hideMark/>
          </w:tcPr>
          <w:p w14:paraId="43BECD68" w14:textId="77777777" w:rsidR="00387142" w:rsidRPr="008B6A75" w:rsidRDefault="00387142" w:rsidP="00387142">
            <w:pPr>
              <w:jc w:val="center"/>
              <w:rPr>
                <w:sz w:val="20"/>
                <w:szCs w:val="20"/>
              </w:rPr>
            </w:pPr>
            <w:r w:rsidRPr="008B6A75">
              <w:rPr>
                <w:sz w:val="20"/>
                <w:szCs w:val="20"/>
              </w:rPr>
              <w:t>07.1.E1.51692</w:t>
            </w:r>
          </w:p>
        </w:tc>
        <w:tc>
          <w:tcPr>
            <w:tcW w:w="955" w:type="dxa"/>
            <w:tcBorders>
              <w:top w:val="nil"/>
              <w:left w:val="single" w:sz="4" w:space="0" w:color="auto"/>
              <w:bottom w:val="nil"/>
              <w:right w:val="single" w:sz="4" w:space="0" w:color="auto"/>
            </w:tcBorders>
            <w:shd w:val="clear" w:color="auto" w:fill="auto"/>
            <w:noWrap/>
            <w:vAlign w:val="center"/>
            <w:hideMark/>
          </w:tcPr>
          <w:p w14:paraId="09DAF583" w14:textId="77777777" w:rsidR="00387142" w:rsidRPr="008B6A75" w:rsidRDefault="00387142" w:rsidP="00387142">
            <w:pPr>
              <w:jc w:val="center"/>
              <w:rPr>
                <w:sz w:val="20"/>
                <w:szCs w:val="20"/>
              </w:rPr>
            </w:pPr>
            <w:r w:rsidRPr="008B6A75">
              <w:rPr>
                <w:sz w:val="20"/>
                <w:szCs w:val="20"/>
              </w:rPr>
              <w:t>600</w:t>
            </w:r>
          </w:p>
        </w:tc>
        <w:tc>
          <w:tcPr>
            <w:tcW w:w="992" w:type="dxa"/>
            <w:tcBorders>
              <w:top w:val="nil"/>
              <w:left w:val="single" w:sz="4" w:space="0" w:color="auto"/>
              <w:bottom w:val="nil"/>
              <w:right w:val="single" w:sz="4" w:space="0" w:color="auto"/>
            </w:tcBorders>
            <w:shd w:val="clear" w:color="auto" w:fill="auto"/>
            <w:noWrap/>
            <w:vAlign w:val="center"/>
            <w:hideMark/>
          </w:tcPr>
          <w:p w14:paraId="30095731" w14:textId="77777777" w:rsidR="00387142" w:rsidRPr="008B6A75" w:rsidRDefault="00387142" w:rsidP="00387142">
            <w:pPr>
              <w:jc w:val="right"/>
              <w:rPr>
                <w:sz w:val="20"/>
                <w:szCs w:val="20"/>
              </w:rPr>
            </w:pPr>
            <w:r w:rsidRPr="008B6A75">
              <w:rPr>
                <w:sz w:val="20"/>
                <w:szCs w:val="20"/>
              </w:rPr>
              <w:t>10 913 278,72</w:t>
            </w:r>
          </w:p>
        </w:tc>
        <w:tc>
          <w:tcPr>
            <w:tcW w:w="992" w:type="dxa"/>
            <w:gridSpan w:val="2"/>
            <w:tcBorders>
              <w:top w:val="nil"/>
              <w:left w:val="single" w:sz="4" w:space="0" w:color="auto"/>
              <w:bottom w:val="nil"/>
              <w:right w:val="nil"/>
            </w:tcBorders>
            <w:shd w:val="clear" w:color="auto" w:fill="auto"/>
            <w:noWrap/>
            <w:vAlign w:val="center"/>
            <w:hideMark/>
          </w:tcPr>
          <w:p w14:paraId="7162B9E8" w14:textId="77777777" w:rsidR="00387142" w:rsidRPr="008B6A75" w:rsidRDefault="00387142" w:rsidP="00387142">
            <w:pPr>
              <w:jc w:val="right"/>
              <w:rPr>
                <w:sz w:val="20"/>
                <w:szCs w:val="20"/>
              </w:rPr>
            </w:pPr>
            <w:r w:rsidRPr="008B6A75">
              <w:rPr>
                <w:sz w:val="20"/>
                <w:szCs w:val="20"/>
              </w:rPr>
              <w:t>0,00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7382E194" w14:textId="77777777" w:rsidR="00387142" w:rsidRPr="008B6A75" w:rsidRDefault="00387142" w:rsidP="00387142">
            <w:pPr>
              <w:jc w:val="right"/>
              <w:rPr>
                <w:sz w:val="20"/>
                <w:szCs w:val="20"/>
              </w:rPr>
            </w:pPr>
            <w:r w:rsidRPr="008B6A75">
              <w:rPr>
                <w:sz w:val="20"/>
                <w:szCs w:val="20"/>
              </w:rPr>
              <w:t>0,00</w:t>
            </w:r>
          </w:p>
        </w:tc>
        <w:tc>
          <w:tcPr>
            <w:tcW w:w="222" w:type="dxa"/>
            <w:vAlign w:val="center"/>
            <w:hideMark/>
          </w:tcPr>
          <w:p w14:paraId="7F14E4F8" w14:textId="77777777" w:rsidR="00387142" w:rsidRPr="008B6A75" w:rsidRDefault="00387142" w:rsidP="00387142">
            <w:pPr>
              <w:rPr>
                <w:sz w:val="20"/>
                <w:szCs w:val="20"/>
              </w:rPr>
            </w:pPr>
          </w:p>
        </w:tc>
      </w:tr>
      <w:tr w:rsidR="00387142" w:rsidRPr="008B6A75" w14:paraId="1F6B0221" w14:textId="77777777" w:rsidTr="00387142">
        <w:trPr>
          <w:trHeight w:val="300"/>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3FC3EA49" w14:textId="77777777" w:rsidR="00387142" w:rsidRPr="008B6A75" w:rsidRDefault="00387142" w:rsidP="00387142">
            <w:pPr>
              <w:rPr>
                <w:sz w:val="20"/>
                <w:szCs w:val="20"/>
              </w:rPr>
            </w:pPr>
            <w:r w:rsidRPr="008B6A75">
              <w:rPr>
                <w:sz w:val="20"/>
                <w:szCs w:val="20"/>
              </w:rPr>
              <w:t>Субсидии бюджетным учреждениям</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59FFCBFC" w14:textId="77777777" w:rsidR="00387142" w:rsidRPr="008B6A75" w:rsidRDefault="00387142" w:rsidP="00387142">
            <w:pPr>
              <w:jc w:val="center"/>
              <w:rPr>
                <w:sz w:val="20"/>
                <w:szCs w:val="20"/>
              </w:rPr>
            </w:pPr>
            <w:r w:rsidRPr="008B6A75">
              <w:rPr>
                <w:sz w:val="20"/>
                <w:szCs w:val="20"/>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454157BE" w14:textId="77777777" w:rsidR="00387142" w:rsidRPr="008B6A75" w:rsidRDefault="00387142" w:rsidP="00387142">
            <w:pPr>
              <w:jc w:val="center"/>
              <w:rPr>
                <w:sz w:val="20"/>
                <w:szCs w:val="20"/>
              </w:rPr>
            </w:pPr>
            <w:r w:rsidRPr="008B6A75">
              <w:rPr>
                <w:sz w:val="20"/>
                <w:szCs w:val="20"/>
              </w:rPr>
              <w:t>07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CFDBA7" w14:textId="77777777" w:rsidR="00387142" w:rsidRPr="008B6A75" w:rsidRDefault="00387142" w:rsidP="00387142">
            <w:pPr>
              <w:jc w:val="center"/>
              <w:rPr>
                <w:sz w:val="20"/>
                <w:szCs w:val="20"/>
              </w:rPr>
            </w:pPr>
            <w:r w:rsidRPr="008B6A75">
              <w:rPr>
                <w:sz w:val="20"/>
                <w:szCs w:val="20"/>
              </w:rPr>
              <w:t>02</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1F2A8863" w14:textId="77777777" w:rsidR="00387142" w:rsidRPr="008B6A75" w:rsidRDefault="00387142" w:rsidP="00387142">
            <w:pPr>
              <w:jc w:val="center"/>
              <w:rPr>
                <w:sz w:val="20"/>
                <w:szCs w:val="20"/>
              </w:rPr>
            </w:pPr>
            <w:r w:rsidRPr="008B6A75">
              <w:rPr>
                <w:sz w:val="20"/>
                <w:szCs w:val="20"/>
              </w:rPr>
              <w:t>07.1.E1.51692</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BEF50A" w14:textId="77777777" w:rsidR="00387142" w:rsidRPr="008B6A75" w:rsidRDefault="00387142" w:rsidP="00387142">
            <w:pPr>
              <w:jc w:val="center"/>
              <w:rPr>
                <w:sz w:val="20"/>
                <w:szCs w:val="20"/>
              </w:rPr>
            </w:pPr>
            <w:r w:rsidRPr="008B6A75">
              <w:rPr>
                <w:sz w:val="20"/>
                <w:szCs w:val="20"/>
              </w:rPr>
              <w:t>610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CB4783" w14:textId="77777777" w:rsidR="00387142" w:rsidRPr="008B6A75" w:rsidRDefault="00387142" w:rsidP="00387142">
            <w:pPr>
              <w:jc w:val="right"/>
              <w:rPr>
                <w:sz w:val="20"/>
                <w:szCs w:val="20"/>
              </w:rPr>
            </w:pPr>
            <w:r w:rsidRPr="008B6A75">
              <w:rPr>
                <w:sz w:val="20"/>
                <w:szCs w:val="20"/>
              </w:rPr>
              <w:t>10 913 278,72</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4E836659" w14:textId="77777777" w:rsidR="00387142" w:rsidRPr="008B6A75" w:rsidRDefault="00387142" w:rsidP="00387142">
            <w:pPr>
              <w:jc w:val="right"/>
              <w:rPr>
                <w:sz w:val="20"/>
                <w:szCs w:val="20"/>
              </w:rPr>
            </w:pPr>
            <w:r w:rsidRPr="008B6A75">
              <w:rPr>
                <w:sz w:val="20"/>
                <w:szCs w:val="20"/>
              </w:rPr>
              <w:t>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FA448B" w14:textId="77777777" w:rsidR="00387142" w:rsidRPr="008B6A75" w:rsidRDefault="00387142" w:rsidP="00387142">
            <w:pPr>
              <w:jc w:val="right"/>
              <w:rPr>
                <w:sz w:val="20"/>
                <w:szCs w:val="20"/>
              </w:rPr>
            </w:pPr>
            <w:r w:rsidRPr="008B6A75">
              <w:rPr>
                <w:sz w:val="20"/>
                <w:szCs w:val="20"/>
              </w:rPr>
              <w:t>0,00</w:t>
            </w:r>
          </w:p>
        </w:tc>
        <w:tc>
          <w:tcPr>
            <w:tcW w:w="222" w:type="dxa"/>
            <w:vAlign w:val="center"/>
            <w:hideMark/>
          </w:tcPr>
          <w:p w14:paraId="192444AB" w14:textId="77777777" w:rsidR="00387142" w:rsidRPr="008B6A75" w:rsidRDefault="00387142" w:rsidP="00387142">
            <w:pPr>
              <w:rPr>
                <w:sz w:val="20"/>
                <w:szCs w:val="20"/>
              </w:rPr>
            </w:pPr>
          </w:p>
        </w:tc>
      </w:tr>
      <w:tr w:rsidR="00387142" w:rsidRPr="008B6A75" w14:paraId="11899796" w14:textId="77777777" w:rsidTr="00387142">
        <w:trPr>
          <w:trHeight w:val="2010"/>
        </w:trPr>
        <w:tc>
          <w:tcPr>
            <w:tcW w:w="3021" w:type="dxa"/>
            <w:tcBorders>
              <w:top w:val="nil"/>
              <w:left w:val="single" w:sz="4" w:space="0" w:color="auto"/>
              <w:bottom w:val="nil"/>
              <w:right w:val="nil"/>
            </w:tcBorders>
            <w:shd w:val="clear" w:color="auto" w:fill="auto"/>
            <w:vAlign w:val="center"/>
            <w:hideMark/>
          </w:tcPr>
          <w:p w14:paraId="673D73B1" w14:textId="77777777" w:rsidR="00387142" w:rsidRPr="008B6A75" w:rsidRDefault="00387142" w:rsidP="00387142">
            <w:pPr>
              <w:rPr>
                <w:bCs/>
                <w:sz w:val="20"/>
                <w:szCs w:val="20"/>
              </w:rPr>
            </w:pPr>
            <w:r w:rsidRPr="008B6A75">
              <w:rPr>
                <w:bCs/>
                <w:sz w:val="20"/>
                <w:szCs w:val="20"/>
              </w:rPr>
              <w:t>Создание центров цифрового образования детей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(оснащение центров IT-куб)</w:t>
            </w:r>
          </w:p>
        </w:tc>
        <w:tc>
          <w:tcPr>
            <w:tcW w:w="850" w:type="dxa"/>
            <w:tcBorders>
              <w:top w:val="nil"/>
              <w:left w:val="single" w:sz="4" w:space="0" w:color="auto"/>
              <w:bottom w:val="nil"/>
              <w:right w:val="nil"/>
            </w:tcBorders>
            <w:shd w:val="clear" w:color="auto" w:fill="auto"/>
            <w:noWrap/>
            <w:vAlign w:val="center"/>
            <w:hideMark/>
          </w:tcPr>
          <w:p w14:paraId="3B8C46FC" w14:textId="77777777" w:rsidR="00387142" w:rsidRPr="008B6A75" w:rsidRDefault="00387142" w:rsidP="00387142">
            <w:pPr>
              <w:jc w:val="center"/>
              <w:rPr>
                <w:bCs/>
                <w:sz w:val="20"/>
                <w:szCs w:val="20"/>
              </w:rPr>
            </w:pPr>
            <w:r w:rsidRPr="008B6A75">
              <w:rPr>
                <w:bCs/>
                <w:sz w:val="20"/>
                <w:szCs w:val="20"/>
              </w:rPr>
              <w:t>444</w:t>
            </w:r>
          </w:p>
        </w:tc>
        <w:tc>
          <w:tcPr>
            <w:tcW w:w="709" w:type="dxa"/>
            <w:tcBorders>
              <w:top w:val="nil"/>
              <w:left w:val="single" w:sz="4" w:space="0" w:color="auto"/>
              <w:bottom w:val="nil"/>
              <w:right w:val="nil"/>
            </w:tcBorders>
            <w:shd w:val="clear" w:color="auto" w:fill="auto"/>
            <w:noWrap/>
            <w:vAlign w:val="center"/>
            <w:hideMark/>
          </w:tcPr>
          <w:p w14:paraId="0F8C0ACA" w14:textId="77777777" w:rsidR="00387142" w:rsidRPr="008B6A75" w:rsidRDefault="00387142" w:rsidP="00387142">
            <w:pPr>
              <w:jc w:val="center"/>
              <w:rPr>
                <w:bCs/>
                <w:sz w:val="20"/>
                <w:szCs w:val="20"/>
              </w:rPr>
            </w:pPr>
            <w:r w:rsidRPr="008B6A75">
              <w:rPr>
                <w:bCs/>
                <w:sz w:val="20"/>
                <w:szCs w:val="20"/>
              </w:rPr>
              <w:t>07</w:t>
            </w:r>
          </w:p>
        </w:tc>
        <w:tc>
          <w:tcPr>
            <w:tcW w:w="709" w:type="dxa"/>
            <w:tcBorders>
              <w:top w:val="nil"/>
              <w:left w:val="single" w:sz="4" w:space="0" w:color="auto"/>
              <w:bottom w:val="nil"/>
              <w:right w:val="single" w:sz="4" w:space="0" w:color="auto"/>
            </w:tcBorders>
            <w:shd w:val="clear" w:color="auto" w:fill="auto"/>
            <w:noWrap/>
            <w:vAlign w:val="center"/>
            <w:hideMark/>
          </w:tcPr>
          <w:p w14:paraId="0A86A7AD" w14:textId="77777777" w:rsidR="00387142" w:rsidRPr="008B6A75" w:rsidRDefault="00387142" w:rsidP="00387142">
            <w:pPr>
              <w:jc w:val="center"/>
              <w:rPr>
                <w:bCs/>
                <w:sz w:val="20"/>
                <w:szCs w:val="20"/>
              </w:rPr>
            </w:pPr>
            <w:r w:rsidRPr="008B6A75">
              <w:rPr>
                <w:bCs/>
                <w:sz w:val="20"/>
                <w:szCs w:val="20"/>
              </w:rPr>
              <w:t>02</w:t>
            </w:r>
          </w:p>
        </w:tc>
        <w:tc>
          <w:tcPr>
            <w:tcW w:w="1411" w:type="dxa"/>
            <w:tcBorders>
              <w:top w:val="nil"/>
              <w:left w:val="single" w:sz="4" w:space="0" w:color="auto"/>
              <w:bottom w:val="nil"/>
              <w:right w:val="nil"/>
            </w:tcBorders>
            <w:shd w:val="clear" w:color="auto" w:fill="auto"/>
            <w:noWrap/>
            <w:vAlign w:val="center"/>
            <w:hideMark/>
          </w:tcPr>
          <w:p w14:paraId="6ADB457A" w14:textId="77777777" w:rsidR="00387142" w:rsidRPr="008B6A75" w:rsidRDefault="00387142" w:rsidP="00387142">
            <w:pPr>
              <w:jc w:val="center"/>
              <w:rPr>
                <w:bCs/>
                <w:sz w:val="20"/>
                <w:szCs w:val="20"/>
              </w:rPr>
            </w:pPr>
            <w:r w:rsidRPr="008B6A75">
              <w:rPr>
                <w:bCs/>
                <w:sz w:val="20"/>
                <w:szCs w:val="20"/>
              </w:rPr>
              <w:t>07.1.E4.00000</w:t>
            </w:r>
          </w:p>
        </w:tc>
        <w:tc>
          <w:tcPr>
            <w:tcW w:w="955" w:type="dxa"/>
            <w:tcBorders>
              <w:top w:val="nil"/>
              <w:left w:val="single" w:sz="4" w:space="0" w:color="auto"/>
              <w:bottom w:val="nil"/>
              <w:right w:val="single" w:sz="4" w:space="0" w:color="auto"/>
            </w:tcBorders>
            <w:shd w:val="clear" w:color="auto" w:fill="auto"/>
            <w:noWrap/>
            <w:vAlign w:val="center"/>
            <w:hideMark/>
          </w:tcPr>
          <w:p w14:paraId="79054AE9"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nil"/>
              <w:right w:val="single" w:sz="4" w:space="0" w:color="auto"/>
            </w:tcBorders>
            <w:shd w:val="clear" w:color="auto" w:fill="auto"/>
            <w:noWrap/>
            <w:vAlign w:val="center"/>
            <w:hideMark/>
          </w:tcPr>
          <w:p w14:paraId="5B17B492" w14:textId="77777777" w:rsidR="00387142" w:rsidRPr="008B6A75" w:rsidRDefault="00387142" w:rsidP="00387142">
            <w:pPr>
              <w:jc w:val="right"/>
              <w:rPr>
                <w:bCs/>
                <w:sz w:val="20"/>
                <w:szCs w:val="20"/>
              </w:rPr>
            </w:pPr>
            <w:r w:rsidRPr="008B6A75">
              <w:rPr>
                <w:bCs/>
                <w:sz w:val="20"/>
                <w:szCs w:val="20"/>
              </w:rPr>
              <w:t>0,00</w:t>
            </w:r>
          </w:p>
        </w:tc>
        <w:tc>
          <w:tcPr>
            <w:tcW w:w="992" w:type="dxa"/>
            <w:gridSpan w:val="2"/>
            <w:tcBorders>
              <w:top w:val="nil"/>
              <w:left w:val="single" w:sz="4" w:space="0" w:color="auto"/>
              <w:bottom w:val="nil"/>
              <w:right w:val="nil"/>
            </w:tcBorders>
            <w:shd w:val="clear" w:color="auto" w:fill="auto"/>
            <w:noWrap/>
            <w:vAlign w:val="center"/>
            <w:hideMark/>
          </w:tcPr>
          <w:p w14:paraId="37771C7B" w14:textId="77777777" w:rsidR="00387142" w:rsidRPr="008B6A75" w:rsidRDefault="00387142" w:rsidP="00387142">
            <w:pPr>
              <w:jc w:val="right"/>
              <w:rPr>
                <w:bCs/>
                <w:sz w:val="20"/>
                <w:szCs w:val="20"/>
              </w:rPr>
            </w:pPr>
            <w:r w:rsidRPr="008B6A75">
              <w:rPr>
                <w:bCs/>
                <w:sz w:val="20"/>
                <w:szCs w:val="20"/>
              </w:rPr>
              <w:t>0,00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6F8C738C" w14:textId="77777777" w:rsidR="00387142" w:rsidRPr="008B6A75" w:rsidRDefault="00387142" w:rsidP="00387142">
            <w:pPr>
              <w:jc w:val="right"/>
              <w:rPr>
                <w:bCs/>
                <w:sz w:val="20"/>
                <w:szCs w:val="20"/>
              </w:rPr>
            </w:pPr>
            <w:r w:rsidRPr="008B6A75">
              <w:rPr>
                <w:bCs/>
                <w:sz w:val="20"/>
                <w:szCs w:val="20"/>
              </w:rPr>
              <w:t>5 801 800,00</w:t>
            </w:r>
          </w:p>
        </w:tc>
        <w:tc>
          <w:tcPr>
            <w:tcW w:w="222" w:type="dxa"/>
            <w:vAlign w:val="center"/>
            <w:hideMark/>
          </w:tcPr>
          <w:p w14:paraId="7A39AC08" w14:textId="77777777" w:rsidR="00387142" w:rsidRPr="008B6A75" w:rsidRDefault="00387142" w:rsidP="00387142">
            <w:pPr>
              <w:rPr>
                <w:sz w:val="20"/>
                <w:szCs w:val="20"/>
              </w:rPr>
            </w:pPr>
          </w:p>
        </w:tc>
      </w:tr>
      <w:tr w:rsidR="00387142" w:rsidRPr="008B6A75" w14:paraId="4E5591C8" w14:textId="77777777" w:rsidTr="00387142">
        <w:trPr>
          <w:trHeight w:val="1725"/>
        </w:trPr>
        <w:tc>
          <w:tcPr>
            <w:tcW w:w="3021" w:type="dxa"/>
            <w:tcBorders>
              <w:top w:val="single" w:sz="4" w:space="0" w:color="auto"/>
              <w:left w:val="single" w:sz="4" w:space="0" w:color="auto"/>
              <w:bottom w:val="nil"/>
              <w:right w:val="nil"/>
            </w:tcBorders>
            <w:shd w:val="clear" w:color="auto" w:fill="auto"/>
            <w:vAlign w:val="center"/>
            <w:hideMark/>
          </w:tcPr>
          <w:p w14:paraId="6688FF86" w14:textId="77777777" w:rsidR="00387142" w:rsidRPr="008B6A75" w:rsidRDefault="00387142" w:rsidP="00387142">
            <w:pPr>
              <w:rPr>
                <w:bCs/>
                <w:sz w:val="20"/>
                <w:szCs w:val="20"/>
              </w:rPr>
            </w:pPr>
            <w:r w:rsidRPr="008B6A75">
              <w:rPr>
                <w:bCs/>
                <w:sz w:val="20"/>
                <w:szCs w:val="20"/>
              </w:rPr>
              <w:t>Создание центров цифрового образования детей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850" w:type="dxa"/>
            <w:tcBorders>
              <w:top w:val="single" w:sz="4" w:space="0" w:color="auto"/>
              <w:left w:val="single" w:sz="4" w:space="0" w:color="auto"/>
              <w:bottom w:val="nil"/>
              <w:right w:val="nil"/>
            </w:tcBorders>
            <w:shd w:val="clear" w:color="auto" w:fill="auto"/>
            <w:noWrap/>
            <w:vAlign w:val="center"/>
            <w:hideMark/>
          </w:tcPr>
          <w:p w14:paraId="30BFB410" w14:textId="77777777" w:rsidR="00387142" w:rsidRPr="008B6A75" w:rsidRDefault="00387142" w:rsidP="00387142">
            <w:pPr>
              <w:jc w:val="center"/>
              <w:rPr>
                <w:bCs/>
                <w:sz w:val="20"/>
                <w:szCs w:val="20"/>
              </w:rPr>
            </w:pPr>
            <w:r w:rsidRPr="008B6A75">
              <w:rPr>
                <w:bCs/>
                <w:sz w:val="20"/>
                <w:szCs w:val="20"/>
              </w:rPr>
              <w:t>444</w:t>
            </w:r>
          </w:p>
        </w:tc>
        <w:tc>
          <w:tcPr>
            <w:tcW w:w="709" w:type="dxa"/>
            <w:tcBorders>
              <w:top w:val="single" w:sz="4" w:space="0" w:color="auto"/>
              <w:left w:val="single" w:sz="4" w:space="0" w:color="auto"/>
              <w:bottom w:val="nil"/>
              <w:right w:val="nil"/>
            </w:tcBorders>
            <w:shd w:val="clear" w:color="auto" w:fill="auto"/>
            <w:noWrap/>
            <w:vAlign w:val="center"/>
            <w:hideMark/>
          </w:tcPr>
          <w:p w14:paraId="456B915E" w14:textId="77777777" w:rsidR="00387142" w:rsidRPr="008B6A75" w:rsidRDefault="00387142" w:rsidP="00387142">
            <w:pPr>
              <w:jc w:val="center"/>
              <w:rPr>
                <w:bCs/>
                <w:sz w:val="20"/>
                <w:szCs w:val="20"/>
              </w:rPr>
            </w:pPr>
            <w:r w:rsidRPr="008B6A75">
              <w:rPr>
                <w:bCs/>
                <w:sz w:val="20"/>
                <w:szCs w:val="20"/>
              </w:rPr>
              <w:t>07</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4AB4AEE5" w14:textId="77777777" w:rsidR="00387142" w:rsidRPr="008B6A75" w:rsidRDefault="00387142" w:rsidP="00387142">
            <w:pPr>
              <w:jc w:val="center"/>
              <w:rPr>
                <w:bCs/>
                <w:sz w:val="20"/>
                <w:szCs w:val="20"/>
              </w:rPr>
            </w:pPr>
            <w:r w:rsidRPr="008B6A75">
              <w:rPr>
                <w:bCs/>
                <w:sz w:val="20"/>
                <w:szCs w:val="20"/>
              </w:rPr>
              <w:t>02</w:t>
            </w:r>
          </w:p>
        </w:tc>
        <w:tc>
          <w:tcPr>
            <w:tcW w:w="1411" w:type="dxa"/>
            <w:tcBorders>
              <w:top w:val="single" w:sz="4" w:space="0" w:color="auto"/>
              <w:left w:val="single" w:sz="4" w:space="0" w:color="auto"/>
              <w:bottom w:val="nil"/>
              <w:right w:val="nil"/>
            </w:tcBorders>
            <w:shd w:val="clear" w:color="auto" w:fill="auto"/>
            <w:noWrap/>
            <w:vAlign w:val="center"/>
            <w:hideMark/>
          </w:tcPr>
          <w:p w14:paraId="10A668AD" w14:textId="77777777" w:rsidR="00387142" w:rsidRPr="008B6A75" w:rsidRDefault="00387142" w:rsidP="00387142">
            <w:pPr>
              <w:jc w:val="center"/>
              <w:rPr>
                <w:bCs/>
                <w:sz w:val="20"/>
                <w:szCs w:val="20"/>
              </w:rPr>
            </w:pPr>
            <w:r w:rsidRPr="008B6A75">
              <w:rPr>
                <w:bCs/>
                <w:sz w:val="20"/>
                <w:szCs w:val="20"/>
              </w:rPr>
              <w:t>07.1.E4.52193</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5B0A7463" w14:textId="77777777" w:rsidR="00387142" w:rsidRPr="008B6A75" w:rsidRDefault="00387142" w:rsidP="00387142">
            <w:pPr>
              <w:jc w:val="center"/>
              <w:rPr>
                <w:bCs/>
                <w:sz w:val="20"/>
                <w:szCs w:val="20"/>
              </w:rPr>
            </w:pPr>
            <w:r w:rsidRPr="008B6A75">
              <w:rPr>
                <w:bCs/>
                <w:sz w:val="20"/>
                <w:szCs w:val="20"/>
              </w:rPr>
              <w:t> </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3B1FD501" w14:textId="77777777" w:rsidR="00387142" w:rsidRPr="008B6A75" w:rsidRDefault="00387142" w:rsidP="00387142">
            <w:pPr>
              <w:jc w:val="right"/>
              <w:rPr>
                <w:bCs/>
                <w:sz w:val="20"/>
                <w:szCs w:val="20"/>
              </w:rPr>
            </w:pPr>
            <w:r w:rsidRPr="008B6A75">
              <w:rPr>
                <w:bCs/>
                <w:sz w:val="20"/>
                <w:szCs w:val="20"/>
              </w:rPr>
              <w:t>0,00</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4F3B5570" w14:textId="77777777" w:rsidR="00387142" w:rsidRPr="008B6A75" w:rsidRDefault="00387142" w:rsidP="00387142">
            <w:pPr>
              <w:jc w:val="right"/>
              <w:rPr>
                <w:bCs/>
                <w:sz w:val="20"/>
                <w:szCs w:val="20"/>
              </w:rPr>
            </w:pPr>
            <w:r w:rsidRPr="008B6A75">
              <w:rPr>
                <w:bCs/>
                <w:sz w:val="20"/>
                <w:szCs w:val="20"/>
              </w:rPr>
              <w:t>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32498DDE" w14:textId="77777777" w:rsidR="00387142" w:rsidRPr="008B6A75" w:rsidRDefault="00387142" w:rsidP="00387142">
            <w:pPr>
              <w:jc w:val="right"/>
              <w:rPr>
                <w:bCs/>
                <w:sz w:val="20"/>
                <w:szCs w:val="20"/>
              </w:rPr>
            </w:pPr>
            <w:r w:rsidRPr="008B6A75">
              <w:rPr>
                <w:bCs/>
                <w:sz w:val="20"/>
                <w:szCs w:val="20"/>
              </w:rPr>
              <w:t>5 801 800,00</w:t>
            </w:r>
          </w:p>
        </w:tc>
        <w:tc>
          <w:tcPr>
            <w:tcW w:w="222" w:type="dxa"/>
            <w:vAlign w:val="center"/>
            <w:hideMark/>
          </w:tcPr>
          <w:p w14:paraId="4AD451DE" w14:textId="77777777" w:rsidR="00387142" w:rsidRPr="008B6A75" w:rsidRDefault="00387142" w:rsidP="00387142">
            <w:pPr>
              <w:rPr>
                <w:sz w:val="20"/>
                <w:szCs w:val="20"/>
              </w:rPr>
            </w:pPr>
          </w:p>
        </w:tc>
      </w:tr>
      <w:tr w:rsidR="00387142" w:rsidRPr="008B6A75" w14:paraId="0A9F3044" w14:textId="77777777" w:rsidTr="00387142">
        <w:trPr>
          <w:trHeight w:val="585"/>
        </w:trPr>
        <w:tc>
          <w:tcPr>
            <w:tcW w:w="3021" w:type="dxa"/>
            <w:tcBorders>
              <w:top w:val="single" w:sz="4" w:space="0" w:color="auto"/>
              <w:left w:val="single" w:sz="4" w:space="0" w:color="auto"/>
              <w:bottom w:val="nil"/>
              <w:right w:val="nil"/>
            </w:tcBorders>
            <w:shd w:val="clear" w:color="auto" w:fill="auto"/>
            <w:vAlign w:val="center"/>
            <w:hideMark/>
          </w:tcPr>
          <w:p w14:paraId="43C68138" w14:textId="77777777" w:rsidR="00387142" w:rsidRPr="008B6A75" w:rsidRDefault="00387142" w:rsidP="00387142">
            <w:pPr>
              <w:rPr>
                <w:sz w:val="20"/>
                <w:szCs w:val="20"/>
              </w:rPr>
            </w:pPr>
            <w:r w:rsidRPr="008B6A75">
              <w:rPr>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nil"/>
              <w:right w:val="nil"/>
            </w:tcBorders>
            <w:shd w:val="clear" w:color="auto" w:fill="auto"/>
            <w:noWrap/>
            <w:vAlign w:val="center"/>
            <w:hideMark/>
          </w:tcPr>
          <w:p w14:paraId="315819D6" w14:textId="77777777" w:rsidR="00387142" w:rsidRPr="008B6A75" w:rsidRDefault="00387142" w:rsidP="00387142">
            <w:pPr>
              <w:jc w:val="center"/>
              <w:rPr>
                <w:sz w:val="20"/>
                <w:szCs w:val="20"/>
              </w:rPr>
            </w:pPr>
            <w:r w:rsidRPr="008B6A75">
              <w:rPr>
                <w:sz w:val="20"/>
                <w:szCs w:val="20"/>
              </w:rPr>
              <w:t>444</w:t>
            </w:r>
          </w:p>
        </w:tc>
        <w:tc>
          <w:tcPr>
            <w:tcW w:w="709" w:type="dxa"/>
            <w:tcBorders>
              <w:top w:val="single" w:sz="4" w:space="0" w:color="auto"/>
              <w:left w:val="single" w:sz="4" w:space="0" w:color="auto"/>
              <w:bottom w:val="nil"/>
              <w:right w:val="nil"/>
            </w:tcBorders>
            <w:shd w:val="clear" w:color="auto" w:fill="auto"/>
            <w:noWrap/>
            <w:vAlign w:val="center"/>
            <w:hideMark/>
          </w:tcPr>
          <w:p w14:paraId="1BE3EE14" w14:textId="77777777" w:rsidR="00387142" w:rsidRPr="008B6A75" w:rsidRDefault="00387142" w:rsidP="00387142">
            <w:pPr>
              <w:jc w:val="center"/>
              <w:rPr>
                <w:sz w:val="20"/>
                <w:szCs w:val="20"/>
              </w:rPr>
            </w:pPr>
            <w:r w:rsidRPr="008B6A75">
              <w:rPr>
                <w:sz w:val="20"/>
                <w:szCs w:val="20"/>
              </w:rPr>
              <w:t>07</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123125BF" w14:textId="77777777" w:rsidR="00387142" w:rsidRPr="008B6A75" w:rsidRDefault="00387142" w:rsidP="00387142">
            <w:pPr>
              <w:jc w:val="center"/>
              <w:rPr>
                <w:sz w:val="20"/>
                <w:szCs w:val="20"/>
              </w:rPr>
            </w:pPr>
            <w:r w:rsidRPr="008B6A75">
              <w:rPr>
                <w:sz w:val="20"/>
                <w:szCs w:val="20"/>
              </w:rPr>
              <w:t>02</w:t>
            </w:r>
          </w:p>
        </w:tc>
        <w:tc>
          <w:tcPr>
            <w:tcW w:w="1411" w:type="dxa"/>
            <w:tcBorders>
              <w:top w:val="single" w:sz="4" w:space="0" w:color="auto"/>
              <w:left w:val="single" w:sz="4" w:space="0" w:color="auto"/>
              <w:bottom w:val="nil"/>
              <w:right w:val="nil"/>
            </w:tcBorders>
            <w:shd w:val="clear" w:color="auto" w:fill="auto"/>
            <w:noWrap/>
            <w:vAlign w:val="center"/>
            <w:hideMark/>
          </w:tcPr>
          <w:p w14:paraId="0281D7DF" w14:textId="77777777" w:rsidR="00387142" w:rsidRPr="008B6A75" w:rsidRDefault="00387142" w:rsidP="00387142">
            <w:pPr>
              <w:jc w:val="center"/>
              <w:rPr>
                <w:sz w:val="20"/>
                <w:szCs w:val="20"/>
              </w:rPr>
            </w:pPr>
            <w:r w:rsidRPr="008B6A75">
              <w:rPr>
                <w:sz w:val="20"/>
                <w:szCs w:val="20"/>
              </w:rPr>
              <w:t>07.1.E4.52193</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4A43446D" w14:textId="77777777" w:rsidR="00387142" w:rsidRPr="008B6A75" w:rsidRDefault="00387142" w:rsidP="00387142">
            <w:pPr>
              <w:jc w:val="center"/>
              <w:rPr>
                <w:sz w:val="20"/>
                <w:szCs w:val="20"/>
              </w:rPr>
            </w:pPr>
            <w:r w:rsidRPr="008B6A75">
              <w:rPr>
                <w:sz w:val="20"/>
                <w:szCs w:val="20"/>
              </w:rPr>
              <w:t>200</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11A4EF35" w14:textId="77777777" w:rsidR="00387142" w:rsidRPr="008B6A75" w:rsidRDefault="00387142" w:rsidP="00387142">
            <w:pPr>
              <w:jc w:val="right"/>
              <w:rPr>
                <w:sz w:val="20"/>
                <w:szCs w:val="20"/>
              </w:rPr>
            </w:pPr>
            <w:r w:rsidRPr="008B6A75">
              <w:rPr>
                <w:sz w:val="20"/>
                <w:szCs w:val="20"/>
              </w:rPr>
              <w:t>0,00</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7F79740E" w14:textId="77777777" w:rsidR="00387142" w:rsidRPr="008B6A75" w:rsidRDefault="00387142" w:rsidP="00387142">
            <w:pPr>
              <w:jc w:val="right"/>
              <w:rPr>
                <w:sz w:val="20"/>
                <w:szCs w:val="20"/>
              </w:rPr>
            </w:pPr>
            <w:r w:rsidRPr="008B6A75">
              <w:rPr>
                <w:sz w:val="20"/>
                <w:szCs w:val="20"/>
              </w:rPr>
              <w:t>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716638F1" w14:textId="77777777" w:rsidR="00387142" w:rsidRPr="008B6A75" w:rsidRDefault="00387142" w:rsidP="00387142">
            <w:pPr>
              <w:jc w:val="right"/>
              <w:rPr>
                <w:sz w:val="20"/>
                <w:szCs w:val="20"/>
              </w:rPr>
            </w:pPr>
            <w:r w:rsidRPr="008B6A75">
              <w:rPr>
                <w:sz w:val="20"/>
                <w:szCs w:val="20"/>
              </w:rPr>
              <w:t>5 801 800,00</w:t>
            </w:r>
          </w:p>
        </w:tc>
        <w:tc>
          <w:tcPr>
            <w:tcW w:w="222" w:type="dxa"/>
            <w:vAlign w:val="center"/>
            <w:hideMark/>
          </w:tcPr>
          <w:p w14:paraId="79A35921" w14:textId="77777777" w:rsidR="00387142" w:rsidRPr="008B6A75" w:rsidRDefault="00387142" w:rsidP="00387142">
            <w:pPr>
              <w:rPr>
                <w:sz w:val="20"/>
                <w:szCs w:val="20"/>
              </w:rPr>
            </w:pPr>
          </w:p>
        </w:tc>
      </w:tr>
      <w:tr w:rsidR="00387142" w:rsidRPr="008B6A75" w14:paraId="72BB5954" w14:textId="77777777" w:rsidTr="00387142">
        <w:trPr>
          <w:trHeight w:val="870"/>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180B5C20" w14:textId="77777777" w:rsidR="00387142" w:rsidRPr="008B6A75" w:rsidRDefault="00387142" w:rsidP="00387142">
            <w:pPr>
              <w:rPr>
                <w:sz w:val="20"/>
                <w:szCs w:val="20"/>
              </w:rPr>
            </w:pPr>
            <w:r w:rsidRPr="008B6A75">
              <w:rPr>
                <w:sz w:val="20"/>
                <w:szCs w:val="20"/>
              </w:rPr>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06D9ECAE" w14:textId="77777777" w:rsidR="00387142" w:rsidRPr="008B6A75" w:rsidRDefault="00387142" w:rsidP="00387142">
            <w:pPr>
              <w:jc w:val="center"/>
              <w:rPr>
                <w:sz w:val="20"/>
                <w:szCs w:val="20"/>
              </w:rPr>
            </w:pPr>
            <w:r w:rsidRPr="008B6A75">
              <w:rPr>
                <w:sz w:val="20"/>
                <w:szCs w:val="20"/>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71597366" w14:textId="77777777" w:rsidR="00387142" w:rsidRPr="008B6A75" w:rsidRDefault="00387142" w:rsidP="00387142">
            <w:pPr>
              <w:jc w:val="center"/>
              <w:rPr>
                <w:sz w:val="20"/>
                <w:szCs w:val="20"/>
              </w:rPr>
            </w:pPr>
            <w:r w:rsidRPr="008B6A75">
              <w:rPr>
                <w:sz w:val="20"/>
                <w:szCs w:val="20"/>
              </w:rPr>
              <w:t>07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AD05FF" w14:textId="77777777" w:rsidR="00387142" w:rsidRPr="008B6A75" w:rsidRDefault="00387142" w:rsidP="00387142">
            <w:pPr>
              <w:jc w:val="center"/>
              <w:rPr>
                <w:sz w:val="20"/>
                <w:szCs w:val="20"/>
              </w:rPr>
            </w:pPr>
            <w:r w:rsidRPr="008B6A75">
              <w:rPr>
                <w:sz w:val="20"/>
                <w:szCs w:val="20"/>
              </w:rPr>
              <w:t>02</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7BCBB783" w14:textId="77777777" w:rsidR="00387142" w:rsidRPr="008B6A75" w:rsidRDefault="00387142" w:rsidP="00387142">
            <w:pPr>
              <w:jc w:val="center"/>
              <w:rPr>
                <w:sz w:val="20"/>
                <w:szCs w:val="20"/>
              </w:rPr>
            </w:pPr>
            <w:r w:rsidRPr="008B6A75">
              <w:rPr>
                <w:sz w:val="20"/>
                <w:szCs w:val="20"/>
              </w:rPr>
              <w:t>07.1.E4.52193</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4C1F6A" w14:textId="77777777" w:rsidR="00387142" w:rsidRPr="008B6A75" w:rsidRDefault="00387142" w:rsidP="00387142">
            <w:pPr>
              <w:jc w:val="center"/>
              <w:rPr>
                <w:sz w:val="20"/>
                <w:szCs w:val="20"/>
              </w:rPr>
            </w:pPr>
            <w:r w:rsidRPr="008B6A75">
              <w:rPr>
                <w:sz w:val="20"/>
                <w:szCs w:val="20"/>
              </w:rPr>
              <w:t>240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5E050A" w14:textId="77777777" w:rsidR="00387142" w:rsidRPr="008B6A75" w:rsidRDefault="00387142" w:rsidP="00387142">
            <w:pPr>
              <w:jc w:val="right"/>
              <w:rPr>
                <w:sz w:val="20"/>
                <w:szCs w:val="20"/>
              </w:rPr>
            </w:pPr>
            <w:r w:rsidRPr="008B6A75">
              <w:rPr>
                <w:sz w:val="20"/>
                <w:szCs w:val="20"/>
              </w:rPr>
              <w:t>0,00</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61F4412C" w14:textId="77777777" w:rsidR="00387142" w:rsidRPr="008B6A75" w:rsidRDefault="00387142" w:rsidP="00387142">
            <w:pPr>
              <w:jc w:val="right"/>
              <w:rPr>
                <w:sz w:val="20"/>
                <w:szCs w:val="20"/>
              </w:rPr>
            </w:pPr>
            <w:r w:rsidRPr="008B6A75">
              <w:rPr>
                <w:sz w:val="20"/>
                <w:szCs w:val="20"/>
              </w:rPr>
              <w:t>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752E97" w14:textId="77777777" w:rsidR="00387142" w:rsidRPr="008B6A75" w:rsidRDefault="00387142" w:rsidP="00387142">
            <w:pPr>
              <w:jc w:val="right"/>
              <w:rPr>
                <w:sz w:val="20"/>
                <w:szCs w:val="20"/>
              </w:rPr>
            </w:pPr>
            <w:r w:rsidRPr="008B6A75">
              <w:rPr>
                <w:sz w:val="20"/>
                <w:szCs w:val="20"/>
              </w:rPr>
              <w:t>5 801 800,00</w:t>
            </w:r>
          </w:p>
        </w:tc>
        <w:tc>
          <w:tcPr>
            <w:tcW w:w="222" w:type="dxa"/>
            <w:vAlign w:val="center"/>
            <w:hideMark/>
          </w:tcPr>
          <w:p w14:paraId="14894F7E" w14:textId="77777777" w:rsidR="00387142" w:rsidRPr="008B6A75" w:rsidRDefault="00387142" w:rsidP="00387142">
            <w:pPr>
              <w:rPr>
                <w:sz w:val="20"/>
                <w:szCs w:val="20"/>
              </w:rPr>
            </w:pPr>
          </w:p>
        </w:tc>
      </w:tr>
      <w:tr w:rsidR="00387142" w:rsidRPr="008B6A75" w14:paraId="0692E143" w14:textId="77777777" w:rsidTr="00387142">
        <w:trPr>
          <w:trHeight w:val="870"/>
        </w:trPr>
        <w:tc>
          <w:tcPr>
            <w:tcW w:w="3021" w:type="dxa"/>
            <w:tcBorders>
              <w:top w:val="nil"/>
              <w:left w:val="single" w:sz="4" w:space="0" w:color="auto"/>
              <w:bottom w:val="nil"/>
              <w:right w:val="nil"/>
            </w:tcBorders>
            <w:shd w:val="clear" w:color="auto" w:fill="auto"/>
            <w:vAlign w:val="center"/>
            <w:hideMark/>
          </w:tcPr>
          <w:p w14:paraId="185EF370" w14:textId="77777777" w:rsidR="00387142" w:rsidRPr="008B6A75" w:rsidRDefault="00387142" w:rsidP="00387142">
            <w:pPr>
              <w:rPr>
                <w:bCs/>
                <w:sz w:val="20"/>
                <w:szCs w:val="20"/>
              </w:rPr>
            </w:pPr>
            <w:r w:rsidRPr="008B6A75">
              <w:rPr>
                <w:bCs/>
                <w:sz w:val="20"/>
                <w:szCs w:val="20"/>
              </w:rPr>
              <w:t>Подпрограмма "Выявление и поддержка одаренных детей и талантливой молодежи Куйбышевского района"</w:t>
            </w:r>
          </w:p>
        </w:tc>
        <w:tc>
          <w:tcPr>
            <w:tcW w:w="850" w:type="dxa"/>
            <w:tcBorders>
              <w:top w:val="nil"/>
              <w:left w:val="single" w:sz="4" w:space="0" w:color="auto"/>
              <w:bottom w:val="nil"/>
              <w:right w:val="nil"/>
            </w:tcBorders>
            <w:shd w:val="clear" w:color="auto" w:fill="auto"/>
            <w:noWrap/>
            <w:vAlign w:val="center"/>
            <w:hideMark/>
          </w:tcPr>
          <w:p w14:paraId="0DADD659" w14:textId="77777777" w:rsidR="00387142" w:rsidRPr="008B6A75" w:rsidRDefault="00387142" w:rsidP="00387142">
            <w:pPr>
              <w:jc w:val="center"/>
              <w:rPr>
                <w:bCs/>
                <w:sz w:val="20"/>
                <w:szCs w:val="20"/>
              </w:rPr>
            </w:pPr>
            <w:r w:rsidRPr="008B6A75">
              <w:rPr>
                <w:bCs/>
                <w:sz w:val="20"/>
                <w:szCs w:val="20"/>
              </w:rPr>
              <w:t>444</w:t>
            </w:r>
          </w:p>
        </w:tc>
        <w:tc>
          <w:tcPr>
            <w:tcW w:w="709" w:type="dxa"/>
            <w:tcBorders>
              <w:top w:val="nil"/>
              <w:left w:val="single" w:sz="4" w:space="0" w:color="auto"/>
              <w:bottom w:val="nil"/>
              <w:right w:val="nil"/>
            </w:tcBorders>
            <w:shd w:val="clear" w:color="auto" w:fill="auto"/>
            <w:noWrap/>
            <w:vAlign w:val="center"/>
            <w:hideMark/>
          </w:tcPr>
          <w:p w14:paraId="6104D2D2" w14:textId="77777777" w:rsidR="00387142" w:rsidRPr="008B6A75" w:rsidRDefault="00387142" w:rsidP="00387142">
            <w:pPr>
              <w:jc w:val="center"/>
              <w:rPr>
                <w:bCs/>
                <w:sz w:val="20"/>
                <w:szCs w:val="20"/>
              </w:rPr>
            </w:pPr>
            <w:r w:rsidRPr="008B6A75">
              <w:rPr>
                <w:bCs/>
                <w:sz w:val="20"/>
                <w:szCs w:val="20"/>
              </w:rPr>
              <w:t>07</w:t>
            </w:r>
          </w:p>
        </w:tc>
        <w:tc>
          <w:tcPr>
            <w:tcW w:w="709" w:type="dxa"/>
            <w:tcBorders>
              <w:top w:val="nil"/>
              <w:left w:val="single" w:sz="4" w:space="0" w:color="auto"/>
              <w:bottom w:val="nil"/>
              <w:right w:val="single" w:sz="4" w:space="0" w:color="auto"/>
            </w:tcBorders>
            <w:shd w:val="clear" w:color="auto" w:fill="auto"/>
            <w:noWrap/>
            <w:vAlign w:val="center"/>
            <w:hideMark/>
          </w:tcPr>
          <w:p w14:paraId="1118AEDD" w14:textId="77777777" w:rsidR="00387142" w:rsidRPr="008B6A75" w:rsidRDefault="00387142" w:rsidP="00387142">
            <w:pPr>
              <w:jc w:val="center"/>
              <w:rPr>
                <w:bCs/>
                <w:sz w:val="20"/>
                <w:szCs w:val="20"/>
              </w:rPr>
            </w:pPr>
            <w:r w:rsidRPr="008B6A75">
              <w:rPr>
                <w:bCs/>
                <w:sz w:val="20"/>
                <w:szCs w:val="20"/>
              </w:rPr>
              <w:t>02</w:t>
            </w:r>
          </w:p>
        </w:tc>
        <w:tc>
          <w:tcPr>
            <w:tcW w:w="1411" w:type="dxa"/>
            <w:tcBorders>
              <w:top w:val="nil"/>
              <w:left w:val="single" w:sz="4" w:space="0" w:color="auto"/>
              <w:bottom w:val="nil"/>
              <w:right w:val="nil"/>
            </w:tcBorders>
            <w:shd w:val="clear" w:color="auto" w:fill="auto"/>
            <w:noWrap/>
            <w:vAlign w:val="center"/>
            <w:hideMark/>
          </w:tcPr>
          <w:p w14:paraId="7AF90F53" w14:textId="77777777" w:rsidR="00387142" w:rsidRPr="008B6A75" w:rsidRDefault="00387142" w:rsidP="00387142">
            <w:pPr>
              <w:jc w:val="center"/>
              <w:rPr>
                <w:bCs/>
                <w:sz w:val="20"/>
                <w:szCs w:val="20"/>
              </w:rPr>
            </w:pPr>
            <w:r w:rsidRPr="008B6A75">
              <w:rPr>
                <w:bCs/>
                <w:sz w:val="20"/>
                <w:szCs w:val="20"/>
              </w:rPr>
              <w:t>07.2.00.00000</w:t>
            </w:r>
          </w:p>
        </w:tc>
        <w:tc>
          <w:tcPr>
            <w:tcW w:w="955" w:type="dxa"/>
            <w:tcBorders>
              <w:top w:val="nil"/>
              <w:left w:val="single" w:sz="4" w:space="0" w:color="auto"/>
              <w:bottom w:val="nil"/>
              <w:right w:val="single" w:sz="4" w:space="0" w:color="auto"/>
            </w:tcBorders>
            <w:shd w:val="clear" w:color="auto" w:fill="auto"/>
            <w:noWrap/>
            <w:vAlign w:val="center"/>
            <w:hideMark/>
          </w:tcPr>
          <w:p w14:paraId="3FCDE873"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nil"/>
              <w:right w:val="single" w:sz="4" w:space="0" w:color="auto"/>
            </w:tcBorders>
            <w:shd w:val="clear" w:color="auto" w:fill="auto"/>
            <w:noWrap/>
            <w:vAlign w:val="center"/>
            <w:hideMark/>
          </w:tcPr>
          <w:p w14:paraId="595B6303" w14:textId="77777777" w:rsidR="00387142" w:rsidRPr="008B6A75" w:rsidRDefault="00387142" w:rsidP="00387142">
            <w:pPr>
              <w:jc w:val="right"/>
              <w:rPr>
                <w:bCs/>
                <w:sz w:val="20"/>
                <w:szCs w:val="20"/>
              </w:rPr>
            </w:pPr>
            <w:r w:rsidRPr="008B6A75">
              <w:rPr>
                <w:bCs/>
                <w:sz w:val="20"/>
                <w:szCs w:val="20"/>
              </w:rPr>
              <w:t>110 000,00</w:t>
            </w:r>
          </w:p>
        </w:tc>
        <w:tc>
          <w:tcPr>
            <w:tcW w:w="992" w:type="dxa"/>
            <w:gridSpan w:val="2"/>
            <w:tcBorders>
              <w:top w:val="nil"/>
              <w:left w:val="single" w:sz="4" w:space="0" w:color="auto"/>
              <w:bottom w:val="nil"/>
              <w:right w:val="nil"/>
            </w:tcBorders>
            <w:shd w:val="clear" w:color="auto" w:fill="auto"/>
            <w:noWrap/>
            <w:vAlign w:val="center"/>
            <w:hideMark/>
          </w:tcPr>
          <w:p w14:paraId="21F23EC3" w14:textId="77777777" w:rsidR="00387142" w:rsidRPr="008B6A75" w:rsidRDefault="00387142" w:rsidP="00387142">
            <w:pPr>
              <w:jc w:val="right"/>
              <w:rPr>
                <w:bCs/>
                <w:sz w:val="20"/>
                <w:szCs w:val="20"/>
              </w:rPr>
            </w:pPr>
            <w:r w:rsidRPr="008B6A75">
              <w:rPr>
                <w:bCs/>
                <w:sz w:val="20"/>
                <w:szCs w:val="20"/>
              </w:rPr>
              <w:t>0,00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655E7C0E" w14:textId="77777777" w:rsidR="00387142" w:rsidRPr="008B6A75" w:rsidRDefault="00387142" w:rsidP="00387142">
            <w:pPr>
              <w:jc w:val="right"/>
              <w:rPr>
                <w:bCs/>
                <w:sz w:val="20"/>
                <w:szCs w:val="20"/>
              </w:rPr>
            </w:pPr>
            <w:r w:rsidRPr="008B6A75">
              <w:rPr>
                <w:bCs/>
                <w:sz w:val="20"/>
                <w:szCs w:val="20"/>
              </w:rPr>
              <w:t>0,00</w:t>
            </w:r>
          </w:p>
        </w:tc>
        <w:tc>
          <w:tcPr>
            <w:tcW w:w="222" w:type="dxa"/>
            <w:vAlign w:val="center"/>
            <w:hideMark/>
          </w:tcPr>
          <w:p w14:paraId="74CA0E48" w14:textId="77777777" w:rsidR="00387142" w:rsidRPr="008B6A75" w:rsidRDefault="00387142" w:rsidP="00387142">
            <w:pPr>
              <w:rPr>
                <w:sz w:val="20"/>
                <w:szCs w:val="20"/>
              </w:rPr>
            </w:pPr>
          </w:p>
        </w:tc>
      </w:tr>
      <w:tr w:rsidR="00387142" w:rsidRPr="008B6A75" w14:paraId="54E47D76" w14:textId="77777777" w:rsidTr="00387142">
        <w:trPr>
          <w:trHeight w:val="1155"/>
        </w:trPr>
        <w:tc>
          <w:tcPr>
            <w:tcW w:w="3021" w:type="dxa"/>
            <w:tcBorders>
              <w:top w:val="single" w:sz="4" w:space="0" w:color="auto"/>
              <w:left w:val="single" w:sz="4" w:space="0" w:color="auto"/>
              <w:bottom w:val="nil"/>
              <w:right w:val="nil"/>
            </w:tcBorders>
            <w:shd w:val="clear" w:color="auto" w:fill="auto"/>
            <w:vAlign w:val="center"/>
            <w:hideMark/>
          </w:tcPr>
          <w:p w14:paraId="4BD8799E" w14:textId="77777777" w:rsidR="00387142" w:rsidRPr="008B6A75" w:rsidRDefault="00387142" w:rsidP="00387142">
            <w:pPr>
              <w:rPr>
                <w:bCs/>
                <w:sz w:val="20"/>
                <w:szCs w:val="20"/>
              </w:rPr>
            </w:pPr>
            <w:r w:rsidRPr="008B6A75">
              <w:rPr>
                <w:bCs/>
                <w:sz w:val="20"/>
                <w:szCs w:val="20"/>
              </w:rPr>
              <w:t>Реализация мероприятий подпрограммы "Выявление и поддержка одаренных детей и талантливой молодежи Куйбышевского района"</w:t>
            </w:r>
          </w:p>
        </w:tc>
        <w:tc>
          <w:tcPr>
            <w:tcW w:w="850" w:type="dxa"/>
            <w:tcBorders>
              <w:top w:val="single" w:sz="4" w:space="0" w:color="auto"/>
              <w:left w:val="single" w:sz="4" w:space="0" w:color="auto"/>
              <w:bottom w:val="nil"/>
              <w:right w:val="nil"/>
            </w:tcBorders>
            <w:shd w:val="clear" w:color="auto" w:fill="auto"/>
            <w:noWrap/>
            <w:vAlign w:val="center"/>
            <w:hideMark/>
          </w:tcPr>
          <w:p w14:paraId="4ABE77AB" w14:textId="77777777" w:rsidR="00387142" w:rsidRPr="008B6A75" w:rsidRDefault="00387142" w:rsidP="00387142">
            <w:pPr>
              <w:jc w:val="center"/>
              <w:rPr>
                <w:bCs/>
                <w:sz w:val="20"/>
                <w:szCs w:val="20"/>
              </w:rPr>
            </w:pPr>
            <w:r w:rsidRPr="008B6A75">
              <w:rPr>
                <w:bCs/>
                <w:sz w:val="20"/>
                <w:szCs w:val="20"/>
              </w:rPr>
              <w:t>444</w:t>
            </w:r>
          </w:p>
        </w:tc>
        <w:tc>
          <w:tcPr>
            <w:tcW w:w="709" w:type="dxa"/>
            <w:tcBorders>
              <w:top w:val="single" w:sz="4" w:space="0" w:color="auto"/>
              <w:left w:val="single" w:sz="4" w:space="0" w:color="auto"/>
              <w:bottom w:val="nil"/>
              <w:right w:val="nil"/>
            </w:tcBorders>
            <w:shd w:val="clear" w:color="auto" w:fill="auto"/>
            <w:noWrap/>
            <w:vAlign w:val="center"/>
            <w:hideMark/>
          </w:tcPr>
          <w:p w14:paraId="0801A9BA" w14:textId="77777777" w:rsidR="00387142" w:rsidRPr="008B6A75" w:rsidRDefault="00387142" w:rsidP="00387142">
            <w:pPr>
              <w:jc w:val="center"/>
              <w:rPr>
                <w:bCs/>
                <w:sz w:val="20"/>
                <w:szCs w:val="20"/>
              </w:rPr>
            </w:pPr>
            <w:r w:rsidRPr="008B6A75">
              <w:rPr>
                <w:bCs/>
                <w:sz w:val="20"/>
                <w:szCs w:val="20"/>
              </w:rPr>
              <w:t>07</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42D8E670" w14:textId="77777777" w:rsidR="00387142" w:rsidRPr="008B6A75" w:rsidRDefault="00387142" w:rsidP="00387142">
            <w:pPr>
              <w:jc w:val="center"/>
              <w:rPr>
                <w:bCs/>
                <w:sz w:val="20"/>
                <w:szCs w:val="20"/>
              </w:rPr>
            </w:pPr>
            <w:r w:rsidRPr="008B6A75">
              <w:rPr>
                <w:bCs/>
                <w:sz w:val="20"/>
                <w:szCs w:val="20"/>
              </w:rPr>
              <w:t>02</w:t>
            </w:r>
          </w:p>
        </w:tc>
        <w:tc>
          <w:tcPr>
            <w:tcW w:w="1411" w:type="dxa"/>
            <w:tcBorders>
              <w:top w:val="single" w:sz="4" w:space="0" w:color="auto"/>
              <w:left w:val="single" w:sz="4" w:space="0" w:color="auto"/>
              <w:bottom w:val="nil"/>
              <w:right w:val="nil"/>
            </w:tcBorders>
            <w:shd w:val="clear" w:color="auto" w:fill="auto"/>
            <w:noWrap/>
            <w:vAlign w:val="center"/>
            <w:hideMark/>
          </w:tcPr>
          <w:p w14:paraId="160D346D" w14:textId="77777777" w:rsidR="00387142" w:rsidRPr="008B6A75" w:rsidRDefault="00387142" w:rsidP="00387142">
            <w:pPr>
              <w:jc w:val="center"/>
              <w:rPr>
                <w:bCs/>
                <w:sz w:val="20"/>
                <w:szCs w:val="20"/>
              </w:rPr>
            </w:pPr>
            <w:r w:rsidRPr="008B6A75">
              <w:rPr>
                <w:bCs/>
                <w:sz w:val="20"/>
                <w:szCs w:val="20"/>
              </w:rPr>
              <w:t>07.2.00.79500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13A0F5FE" w14:textId="77777777" w:rsidR="00387142" w:rsidRPr="008B6A75" w:rsidRDefault="00387142" w:rsidP="00387142">
            <w:pPr>
              <w:jc w:val="center"/>
              <w:rPr>
                <w:bCs/>
                <w:sz w:val="20"/>
                <w:szCs w:val="20"/>
              </w:rPr>
            </w:pPr>
            <w:r w:rsidRPr="008B6A75">
              <w:rPr>
                <w:bCs/>
                <w:sz w:val="20"/>
                <w:szCs w:val="20"/>
              </w:rPr>
              <w:t> </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2109D430" w14:textId="77777777" w:rsidR="00387142" w:rsidRPr="008B6A75" w:rsidRDefault="00387142" w:rsidP="00387142">
            <w:pPr>
              <w:jc w:val="right"/>
              <w:rPr>
                <w:bCs/>
                <w:sz w:val="20"/>
                <w:szCs w:val="20"/>
              </w:rPr>
            </w:pPr>
            <w:r w:rsidRPr="008B6A75">
              <w:rPr>
                <w:bCs/>
                <w:sz w:val="20"/>
                <w:szCs w:val="20"/>
              </w:rPr>
              <w:t>110 000,00</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111DF0C9" w14:textId="77777777" w:rsidR="00387142" w:rsidRPr="008B6A75" w:rsidRDefault="00387142" w:rsidP="00387142">
            <w:pPr>
              <w:jc w:val="right"/>
              <w:rPr>
                <w:bCs/>
                <w:sz w:val="20"/>
                <w:szCs w:val="20"/>
              </w:rPr>
            </w:pPr>
            <w:r w:rsidRPr="008B6A75">
              <w:rPr>
                <w:bCs/>
                <w:sz w:val="20"/>
                <w:szCs w:val="20"/>
              </w:rPr>
              <w:t>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44AAFD1A" w14:textId="77777777" w:rsidR="00387142" w:rsidRPr="008B6A75" w:rsidRDefault="00387142" w:rsidP="00387142">
            <w:pPr>
              <w:jc w:val="right"/>
              <w:rPr>
                <w:bCs/>
                <w:sz w:val="20"/>
                <w:szCs w:val="20"/>
              </w:rPr>
            </w:pPr>
            <w:r w:rsidRPr="008B6A75">
              <w:rPr>
                <w:bCs/>
                <w:sz w:val="20"/>
                <w:szCs w:val="20"/>
              </w:rPr>
              <w:t>0,00</w:t>
            </w:r>
          </w:p>
        </w:tc>
        <w:tc>
          <w:tcPr>
            <w:tcW w:w="222" w:type="dxa"/>
            <w:vAlign w:val="center"/>
            <w:hideMark/>
          </w:tcPr>
          <w:p w14:paraId="6EBC9D1E" w14:textId="77777777" w:rsidR="00387142" w:rsidRPr="008B6A75" w:rsidRDefault="00387142" w:rsidP="00387142">
            <w:pPr>
              <w:rPr>
                <w:sz w:val="20"/>
                <w:szCs w:val="20"/>
              </w:rPr>
            </w:pPr>
          </w:p>
        </w:tc>
      </w:tr>
      <w:tr w:rsidR="00387142" w:rsidRPr="008B6A75" w14:paraId="147B8B11" w14:textId="77777777" w:rsidTr="00387142">
        <w:trPr>
          <w:trHeight w:val="870"/>
        </w:trPr>
        <w:tc>
          <w:tcPr>
            <w:tcW w:w="3021" w:type="dxa"/>
            <w:tcBorders>
              <w:top w:val="single" w:sz="4" w:space="0" w:color="auto"/>
              <w:left w:val="single" w:sz="4" w:space="0" w:color="auto"/>
              <w:bottom w:val="nil"/>
              <w:right w:val="nil"/>
            </w:tcBorders>
            <w:shd w:val="clear" w:color="auto" w:fill="auto"/>
            <w:vAlign w:val="center"/>
            <w:hideMark/>
          </w:tcPr>
          <w:p w14:paraId="5CADF18E" w14:textId="77777777" w:rsidR="00387142" w:rsidRPr="008B6A75" w:rsidRDefault="00387142" w:rsidP="00387142">
            <w:pPr>
              <w:rPr>
                <w:sz w:val="20"/>
                <w:szCs w:val="20"/>
              </w:rPr>
            </w:pPr>
            <w:r w:rsidRPr="008B6A75">
              <w:rPr>
                <w:sz w:val="20"/>
                <w:szCs w:val="20"/>
              </w:rPr>
              <w:t>Предоставление субсидий бюджетным, автономным учреждениям и иным некоммерческим организациям</w:t>
            </w:r>
          </w:p>
        </w:tc>
        <w:tc>
          <w:tcPr>
            <w:tcW w:w="850" w:type="dxa"/>
            <w:tcBorders>
              <w:top w:val="single" w:sz="4" w:space="0" w:color="auto"/>
              <w:left w:val="single" w:sz="4" w:space="0" w:color="auto"/>
              <w:bottom w:val="nil"/>
              <w:right w:val="nil"/>
            </w:tcBorders>
            <w:shd w:val="clear" w:color="auto" w:fill="auto"/>
            <w:noWrap/>
            <w:vAlign w:val="center"/>
            <w:hideMark/>
          </w:tcPr>
          <w:p w14:paraId="1818BEB0" w14:textId="77777777" w:rsidR="00387142" w:rsidRPr="008B6A75" w:rsidRDefault="00387142" w:rsidP="00387142">
            <w:pPr>
              <w:jc w:val="center"/>
              <w:rPr>
                <w:sz w:val="20"/>
                <w:szCs w:val="20"/>
              </w:rPr>
            </w:pPr>
            <w:r w:rsidRPr="008B6A75">
              <w:rPr>
                <w:sz w:val="20"/>
                <w:szCs w:val="20"/>
              </w:rPr>
              <w:t>444</w:t>
            </w:r>
          </w:p>
        </w:tc>
        <w:tc>
          <w:tcPr>
            <w:tcW w:w="709" w:type="dxa"/>
            <w:tcBorders>
              <w:top w:val="single" w:sz="4" w:space="0" w:color="auto"/>
              <w:left w:val="single" w:sz="4" w:space="0" w:color="auto"/>
              <w:bottom w:val="nil"/>
              <w:right w:val="nil"/>
            </w:tcBorders>
            <w:shd w:val="clear" w:color="auto" w:fill="auto"/>
            <w:noWrap/>
            <w:vAlign w:val="center"/>
            <w:hideMark/>
          </w:tcPr>
          <w:p w14:paraId="08582136" w14:textId="77777777" w:rsidR="00387142" w:rsidRPr="008B6A75" w:rsidRDefault="00387142" w:rsidP="00387142">
            <w:pPr>
              <w:jc w:val="center"/>
              <w:rPr>
                <w:sz w:val="20"/>
                <w:szCs w:val="20"/>
              </w:rPr>
            </w:pPr>
            <w:r w:rsidRPr="008B6A75">
              <w:rPr>
                <w:sz w:val="20"/>
                <w:szCs w:val="20"/>
              </w:rPr>
              <w:t>07</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37FEBBBB" w14:textId="77777777" w:rsidR="00387142" w:rsidRPr="008B6A75" w:rsidRDefault="00387142" w:rsidP="00387142">
            <w:pPr>
              <w:jc w:val="center"/>
              <w:rPr>
                <w:sz w:val="20"/>
                <w:szCs w:val="20"/>
              </w:rPr>
            </w:pPr>
            <w:r w:rsidRPr="008B6A75">
              <w:rPr>
                <w:sz w:val="20"/>
                <w:szCs w:val="20"/>
              </w:rPr>
              <w:t>02</w:t>
            </w:r>
          </w:p>
        </w:tc>
        <w:tc>
          <w:tcPr>
            <w:tcW w:w="1411" w:type="dxa"/>
            <w:tcBorders>
              <w:top w:val="single" w:sz="4" w:space="0" w:color="auto"/>
              <w:left w:val="single" w:sz="4" w:space="0" w:color="auto"/>
              <w:bottom w:val="nil"/>
              <w:right w:val="nil"/>
            </w:tcBorders>
            <w:shd w:val="clear" w:color="auto" w:fill="auto"/>
            <w:noWrap/>
            <w:vAlign w:val="center"/>
            <w:hideMark/>
          </w:tcPr>
          <w:p w14:paraId="4274C7BB" w14:textId="77777777" w:rsidR="00387142" w:rsidRPr="008B6A75" w:rsidRDefault="00387142" w:rsidP="00387142">
            <w:pPr>
              <w:jc w:val="center"/>
              <w:rPr>
                <w:sz w:val="20"/>
                <w:szCs w:val="20"/>
              </w:rPr>
            </w:pPr>
            <w:r w:rsidRPr="008B6A75">
              <w:rPr>
                <w:sz w:val="20"/>
                <w:szCs w:val="20"/>
              </w:rPr>
              <w:t>07.2.00.79500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151F1FC3" w14:textId="77777777" w:rsidR="00387142" w:rsidRPr="008B6A75" w:rsidRDefault="00387142" w:rsidP="00387142">
            <w:pPr>
              <w:jc w:val="center"/>
              <w:rPr>
                <w:sz w:val="20"/>
                <w:szCs w:val="20"/>
              </w:rPr>
            </w:pPr>
            <w:r w:rsidRPr="008B6A75">
              <w:rPr>
                <w:sz w:val="20"/>
                <w:szCs w:val="20"/>
              </w:rPr>
              <w:t>600</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6612329C" w14:textId="77777777" w:rsidR="00387142" w:rsidRPr="008B6A75" w:rsidRDefault="00387142" w:rsidP="00387142">
            <w:pPr>
              <w:jc w:val="right"/>
              <w:rPr>
                <w:sz w:val="20"/>
                <w:szCs w:val="20"/>
              </w:rPr>
            </w:pPr>
            <w:r w:rsidRPr="008B6A75">
              <w:rPr>
                <w:sz w:val="20"/>
                <w:szCs w:val="20"/>
              </w:rPr>
              <w:t>110 000,00</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632C8268" w14:textId="77777777" w:rsidR="00387142" w:rsidRPr="008B6A75" w:rsidRDefault="00387142" w:rsidP="00387142">
            <w:pPr>
              <w:jc w:val="right"/>
              <w:rPr>
                <w:sz w:val="20"/>
                <w:szCs w:val="20"/>
              </w:rPr>
            </w:pPr>
            <w:r w:rsidRPr="008B6A75">
              <w:rPr>
                <w:sz w:val="20"/>
                <w:szCs w:val="20"/>
              </w:rPr>
              <w:t>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3D93B3A9" w14:textId="77777777" w:rsidR="00387142" w:rsidRPr="008B6A75" w:rsidRDefault="00387142" w:rsidP="00387142">
            <w:pPr>
              <w:jc w:val="right"/>
              <w:rPr>
                <w:sz w:val="20"/>
                <w:szCs w:val="20"/>
              </w:rPr>
            </w:pPr>
            <w:r w:rsidRPr="008B6A75">
              <w:rPr>
                <w:sz w:val="20"/>
                <w:szCs w:val="20"/>
              </w:rPr>
              <w:t>0,00</w:t>
            </w:r>
          </w:p>
        </w:tc>
        <w:tc>
          <w:tcPr>
            <w:tcW w:w="222" w:type="dxa"/>
            <w:vAlign w:val="center"/>
            <w:hideMark/>
          </w:tcPr>
          <w:p w14:paraId="6660391A" w14:textId="77777777" w:rsidR="00387142" w:rsidRPr="008B6A75" w:rsidRDefault="00387142" w:rsidP="00387142">
            <w:pPr>
              <w:rPr>
                <w:sz w:val="20"/>
                <w:szCs w:val="20"/>
              </w:rPr>
            </w:pPr>
          </w:p>
        </w:tc>
      </w:tr>
      <w:tr w:rsidR="00387142" w:rsidRPr="008B6A75" w14:paraId="1F8E0D5A" w14:textId="77777777" w:rsidTr="00387142">
        <w:trPr>
          <w:trHeight w:val="300"/>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6292BEE0" w14:textId="77777777" w:rsidR="00387142" w:rsidRPr="008B6A75" w:rsidRDefault="00387142" w:rsidP="00387142">
            <w:pPr>
              <w:rPr>
                <w:sz w:val="20"/>
                <w:szCs w:val="20"/>
              </w:rPr>
            </w:pPr>
            <w:r w:rsidRPr="008B6A75">
              <w:rPr>
                <w:sz w:val="20"/>
                <w:szCs w:val="20"/>
              </w:rPr>
              <w:t>Субсидии бюджетным учреждениям</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32B17DF4" w14:textId="77777777" w:rsidR="00387142" w:rsidRPr="008B6A75" w:rsidRDefault="00387142" w:rsidP="00387142">
            <w:pPr>
              <w:jc w:val="center"/>
              <w:rPr>
                <w:sz w:val="20"/>
                <w:szCs w:val="20"/>
              </w:rPr>
            </w:pPr>
            <w:r w:rsidRPr="008B6A75">
              <w:rPr>
                <w:sz w:val="20"/>
                <w:szCs w:val="20"/>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5E39C6AA" w14:textId="77777777" w:rsidR="00387142" w:rsidRPr="008B6A75" w:rsidRDefault="00387142" w:rsidP="00387142">
            <w:pPr>
              <w:jc w:val="center"/>
              <w:rPr>
                <w:sz w:val="20"/>
                <w:szCs w:val="20"/>
              </w:rPr>
            </w:pPr>
            <w:r w:rsidRPr="008B6A75">
              <w:rPr>
                <w:sz w:val="20"/>
                <w:szCs w:val="20"/>
              </w:rPr>
              <w:t>07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875D78" w14:textId="77777777" w:rsidR="00387142" w:rsidRPr="008B6A75" w:rsidRDefault="00387142" w:rsidP="00387142">
            <w:pPr>
              <w:jc w:val="center"/>
              <w:rPr>
                <w:sz w:val="20"/>
                <w:szCs w:val="20"/>
              </w:rPr>
            </w:pPr>
            <w:r w:rsidRPr="008B6A75">
              <w:rPr>
                <w:sz w:val="20"/>
                <w:szCs w:val="20"/>
              </w:rPr>
              <w:t>02</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0919AC26" w14:textId="77777777" w:rsidR="00387142" w:rsidRPr="008B6A75" w:rsidRDefault="00387142" w:rsidP="00387142">
            <w:pPr>
              <w:jc w:val="center"/>
              <w:rPr>
                <w:sz w:val="20"/>
                <w:szCs w:val="20"/>
              </w:rPr>
            </w:pPr>
            <w:r w:rsidRPr="008B6A75">
              <w:rPr>
                <w:sz w:val="20"/>
                <w:szCs w:val="20"/>
              </w:rPr>
              <w:t>07.2.00.79500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EDE255" w14:textId="77777777" w:rsidR="00387142" w:rsidRPr="008B6A75" w:rsidRDefault="00387142" w:rsidP="00387142">
            <w:pPr>
              <w:jc w:val="center"/>
              <w:rPr>
                <w:sz w:val="20"/>
                <w:szCs w:val="20"/>
              </w:rPr>
            </w:pPr>
            <w:r w:rsidRPr="008B6A75">
              <w:rPr>
                <w:sz w:val="20"/>
                <w:szCs w:val="20"/>
              </w:rPr>
              <w:t>610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109705" w14:textId="77777777" w:rsidR="00387142" w:rsidRPr="008B6A75" w:rsidRDefault="00387142" w:rsidP="00387142">
            <w:pPr>
              <w:jc w:val="right"/>
              <w:rPr>
                <w:sz w:val="20"/>
                <w:szCs w:val="20"/>
              </w:rPr>
            </w:pPr>
            <w:r w:rsidRPr="008B6A75">
              <w:rPr>
                <w:sz w:val="20"/>
                <w:szCs w:val="20"/>
              </w:rPr>
              <w:t>110 000,00</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2C7E60E0" w14:textId="77777777" w:rsidR="00387142" w:rsidRPr="008B6A75" w:rsidRDefault="00387142" w:rsidP="00387142">
            <w:pPr>
              <w:jc w:val="right"/>
              <w:rPr>
                <w:sz w:val="20"/>
                <w:szCs w:val="20"/>
              </w:rPr>
            </w:pPr>
            <w:r w:rsidRPr="008B6A75">
              <w:rPr>
                <w:sz w:val="20"/>
                <w:szCs w:val="20"/>
              </w:rPr>
              <w:t>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5744D9" w14:textId="77777777" w:rsidR="00387142" w:rsidRPr="008B6A75" w:rsidRDefault="00387142" w:rsidP="00387142">
            <w:pPr>
              <w:jc w:val="right"/>
              <w:rPr>
                <w:sz w:val="20"/>
                <w:szCs w:val="20"/>
              </w:rPr>
            </w:pPr>
            <w:r w:rsidRPr="008B6A75">
              <w:rPr>
                <w:sz w:val="20"/>
                <w:szCs w:val="20"/>
              </w:rPr>
              <w:t>0,00</w:t>
            </w:r>
          </w:p>
        </w:tc>
        <w:tc>
          <w:tcPr>
            <w:tcW w:w="222" w:type="dxa"/>
            <w:vAlign w:val="center"/>
            <w:hideMark/>
          </w:tcPr>
          <w:p w14:paraId="39F8F9A5" w14:textId="77777777" w:rsidR="00387142" w:rsidRPr="008B6A75" w:rsidRDefault="00387142" w:rsidP="00387142">
            <w:pPr>
              <w:rPr>
                <w:sz w:val="20"/>
                <w:szCs w:val="20"/>
              </w:rPr>
            </w:pPr>
          </w:p>
        </w:tc>
      </w:tr>
      <w:tr w:rsidR="00387142" w:rsidRPr="008B6A75" w14:paraId="284460E4" w14:textId="77777777" w:rsidTr="00387142">
        <w:trPr>
          <w:trHeight w:val="870"/>
        </w:trPr>
        <w:tc>
          <w:tcPr>
            <w:tcW w:w="3021" w:type="dxa"/>
            <w:tcBorders>
              <w:top w:val="nil"/>
              <w:left w:val="single" w:sz="4" w:space="0" w:color="auto"/>
              <w:bottom w:val="nil"/>
              <w:right w:val="nil"/>
            </w:tcBorders>
            <w:shd w:val="clear" w:color="auto" w:fill="auto"/>
            <w:vAlign w:val="center"/>
            <w:hideMark/>
          </w:tcPr>
          <w:p w14:paraId="27A30A71" w14:textId="77777777" w:rsidR="00387142" w:rsidRPr="008B6A75" w:rsidRDefault="00387142" w:rsidP="00387142">
            <w:pPr>
              <w:rPr>
                <w:bCs/>
                <w:sz w:val="20"/>
                <w:szCs w:val="20"/>
              </w:rPr>
            </w:pPr>
            <w:proofErr w:type="spellStart"/>
            <w:r w:rsidRPr="008B6A75">
              <w:rPr>
                <w:bCs/>
                <w:sz w:val="20"/>
                <w:szCs w:val="20"/>
              </w:rPr>
              <w:t>Подпрограмма"Развитие</w:t>
            </w:r>
            <w:proofErr w:type="spellEnd"/>
            <w:r w:rsidRPr="008B6A75">
              <w:rPr>
                <w:bCs/>
                <w:sz w:val="20"/>
                <w:szCs w:val="20"/>
              </w:rPr>
              <w:t xml:space="preserve"> кадрового потенциала системы дошкольного, общего и дополнительного образования детей"</w:t>
            </w:r>
          </w:p>
        </w:tc>
        <w:tc>
          <w:tcPr>
            <w:tcW w:w="850" w:type="dxa"/>
            <w:tcBorders>
              <w:top w:val="nil"/>
              <w:left w:val="single" w:sz="4" w:space="0" w:color="auto"/>
              <w:bottom w:val="nil"/>
              <w:right w:val="nil"/>
            </w:tcBorders>
            <w:shd w:val="clear" w:color="auto" w:fill="auto"/>
            <w:noWrap/>
            <w:vAlign w:val="center"/>
            <w:hideMark/>
          </w:tcPr>
          <w:p w14:paraId="34D4553D" w14:textId="77777777" w:rsidR="00387142" w:rsidRPr="008B6A75" w:rsidRDefault="00387142" w:rsidP="00387142">
            <w:pPr>
              <w:jc w:val="center"/>
              <w:rPr>
                <w:bCs/>
                <w:sz w:val="20"/>
                <w:szCs w:val="20"/>
              </w:rPr>
            </w:pPr>
            <w:r w:rsidRPr="008B6A75">
              <w:rPr>
                <w:bCs/>
                <w:sz w:val="20"/>
                <w:szCs w:val="20"/>
              </w:rPr>
              <w:t>444</w:t>
            </w:r>
          </w:p>
        </w:tc>
        <w:tc>
          <w:tcPr>
            <w:tcW w:w="709" w:type="dxa"/>
            <w:tcBorders>
              <w:top w:val="nil"/>
              <w:left w:val="single" w:sz="4" w:space="0" w:color="auto"/>
              <w:bottom w:val="nil"/>
              <w:right w:val="nil"/>
            </w:tcBorders>
            <w:shd w:val="clear" w:color="auto" w:fill="auto"/>
            <w:noWrap/>
            <w:vAlign w:val="center"/>
            <w:hideMark/>
          </w:tcPr>
          <w:p w14:paraId="50D6C3E0" w14:textId="77777777" w:rsidR="00387142" w:rsidRPr="008B6A75" w:rsidRDefault="00387142" w:rsidP="00387142">
            <w:pPr>
              <w:jc w:val="center"/>
              <w:rPr>
                <w:bCs/>
                <w:sz w:val="20"/>
                <w:szCs w:val="20"/>
              </w:rPr>
            </w:pPr>
            <w:r w:rsidRPr="008B6A75">
              <w:rPr>
                <w:bCs/>
                <w:sz w:val="20"/>
                <w:szCs w:val="20"/>
              </w:rPr>
              <w:t>07</w:t>
            </w:r>
          </w:p>
        </w:tc>
        <w:tc>
          <w:tcPr>
            <w:tcW w:w="709" w:type="dxa"/>
            <w:tcBorders>
              <w:top w:val="nil"/>
              <w:left w:val="single" w:sz="4" w:space="0" w:color="auto"/>
              <w:bottom w:val="nil"/>
              <w:right w:val="single" w:sz="4" w:space="0" w:color="auto"/>
            </w:tcBorders>
            <w:shd w:val="clear" w:color="auto" w:fill="auto"/>
            <w:noWrap/>
            <w:vAlign w:val="center"/>
            <w:hideMark/>
          </w:tcPr>
          <w:p w14:paraId="5A25437D" w14:textId="77777777" w:rsidR="00387142" w:rsidRPr="008B6A75" w:rsidRDefault="00387142" w:rsidP="00387142">
            <w:pPr>
              <w:jc w:val="center"/>
              <w:rPr>
                <w:bCs/>
                <w:sz w:val="20"/>
                <w:szCs w:val="20"/>
              </w:rPr>
            </w:pPr>
            <w:r w:rsidRPr="008B6A75">
              <w:rPr>
                <w:bCs/>
                <w:sz w:val="20"/>
                <w:szCs w:val="20"/>
              </w:rPr>
              <w:t>02</w:t>
            </w:r>
          </w:p>
        </w:tc>
        <w:tc>
          <w:tcPr>
            <w:tcW w:w="1411" w:type="dxa"/>
            <w:tcBorders>
              <w:top w:val="nil"/>
              <w:left w:val="single" w:sz="4" w:space="0" w:color="auto"/>
              <w:bottom w:val="nil"/>
              <w:right w:val="nil"/>
            </w:tcBorders>
            <w:shd w:val="clear" w:color="auto" w:fill="auto"/>
            <w:noWrap/>
            <w:vAlign w:val="center"/>
            <w:hideMark/>
          </w:tcPr>
          <w:p w14:paraId="629AE774" w14:textId="77777777" w:rsidR="00387142" w:rsidRPr="008B6A75" w:rsidRDefault="00387142" w:rsidP="00387142">
            <w:pPr>
              <w:jc w:val="center"/>
              <w:rPr>
                <w:bCs/>
                <w:sz w:val="20"/>
                <w:szCs w:val="20"/>
              </w:rPr>
            </w:pPr>
            <w:r w:rsidRPr="008B6A75">
              <w:rPr>
                <w:bCs/>
                <w:sz w:val="20"/>
                <w:szCs w:val="20"/>
              </w:rPr>
              <w:t>07.3.00.00000</w:t>
            </w:r>
          </w:p>
        </w:tc>
        <w:tc>
          <w:tcPr>
            <w:tcW w:w="955" w:type="dxa"/>
            <w:tcBorders>
              <w:top w:val="nil"/>
              <w:left w:val="single" w:sz="4" w:space="0" w:color="auto"/>
              <w:bottom w:val="nil"/>
              <w:right w:val="single" w:sz="4" w:space="0" w:color="auto"/>
            </w:tcBorders>
            <w:shd w:val="clear" w:color="auto" w:fill="auto"/>
            <w:noWrap/>
            <w:vAlign w:val="center"/>
            <w:hideMark/>
          </w:tcPr>
          <w:p w14:paraId="6BAE2D32"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nil"/>
              <w:right w:val="single" w:sz="4" w:space="0" w:color="auto"/>
            </w:tcBorders>
            <w:shd w:val="clear" w:color="auto" w:fill="auto"/>
            <w:noWrap/>
            <w:vAlign w:val="center"/>
            <w:hideMark/>
          </w:tcPr>
          <w:p w14:paraId="1408D220" w14:textId="77777777" w:rsidR="00387142" w:rsidRPr="008B6A75" w:rsidRDefault="00387142" w:rsidP="00387142">
            <w:pPr>
              <w:jc w:val="right"/>
              <w:rPr>
                <w:bCs/>
                <w:sz w:val="20"/>
                <w:szCs w:val="20"/>
              </w:rPr>
            </w:pPr>
            <w:r w:rsidRPr="008B6A75">
              <w:rPr>
                <w:bCs/>
                <w:sz w:val="20"/>
                <w:szCs w:val="20"/>
              </w:rPr>
              <w:t>475 000,00</w:t>
            </w:r>
          </w:p>
        </w:tc>
        <w:tc>
          <w:tcPr>
            <w:tcW w:w="992" w:type="dxa"/>
            <w:gridSpan w:val="2"/>
            <w:tcBorders>
              <w:top w:val="nil"/>
              <w:left w:val="single" w:sz="4" w:space="0" w:color="auto"/>
              <w:bottom w:val="nil"/>
              <w:right w:val="nil"/>
            </w:tcBorders>
            <w:shd w:val="clear" w:color="auto" w:fill="auto"/>
            <w:noWrap/>
            <w:vAlign w:val="center"/>
            <w:hideMark/>
          </w:tcPr>
          <w:p w14:paraId="3171CBF3" w14:textId="77777777" w:rsidR="00387142" w:rsidRPr="008B6A75" w:rsidRDefault="00387142" w:rsidP="00387142">
            <w:pPr>
              <w:jc w:val="right"/>
              <w:rPr>
                <w:bCs/>
                <w:sz w:val="20"/>
                <w:szCs w:val="20"/>
              </w:rPr>
            </w:pPr>
            <w:r w:rsidRPr="008B6A75">
              <w:rPr>
                <w:bCs/>
                <w:sz w:val="20"/>
                <w:szCs w:val="20"/>
              </w:rPr>
              <w:t>0,00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75A9F733" w14:textId="77777777" w:rsidR="00387142" w:rsidRPr="008B6A75" w:rsidRDefault="00387142" w:rsidP="00387142">
            <w:pPr>
              <w:jc w:val="right"/>
              <w:rPr>
                <w:bCs/>
                <w:sz w:val="20"/>
                <w:szCs w:val="20"/>
              </w:rPr>
            </w:pPr>
            <w:r w:rsidRPr="008B6A75">
              <w:rPr>
                <w:bCs/>
                <w:sz w:val="20"/>
                <w:szCs w:val="20"/>
              </w:rPr>
              <w:t>0,00</w:t>
            </w:r>
          </w:p>
        </w:tc>
        <w:tc>
          <w:tcPr>
            <w:tcW w:w="222" w:type="dxa"/>
            <w:vAlign w:val="center"/>
            <w:hideMark/>
          </w:tcPr>
          <w:p w14:paraId="147D5C23" w14:textId="77777777" w:rsidR="00387142" w:rsidRPr="008B6A75" w:rsidRDefault="00387142" w:rsidP="00387142">
            <w:pPr>
              <w:rPr>
                <w:sz w:val="20"/>
                <w:szCs w:val="20"/>
              </w:rPr>
            </w:pPr>
          </w:p>
        </w:tc>
      </w:tr>
      <w:tr w:rsidR="00387142" w:rsidRPr="008B6A75" w14:paraId="3D543206" w14:textId="77777777" w:rsidTr="00387142">
        <w:trPr>
          <w:trHeight w:val="1155"/>
        </w:trPr>
        <w:tc>
          <w:tcPr>
            <w:tcW w:w="3021" w:type="dxa"/>
            <w:tcBorders>
              <w:top w:val="single" w:sz="4" w:space="0" w:color="auto"/>
              <w:left w:val="single" w:sz="4" w:space="0" w:color="auto"/>
              <w:bottom w:val="nil"/>
              <w:right w:val="nil"/>
            </w:tcBorders>
            <w:shd w:val="clear" w:color="auto" w:fill="auto"/>
            <w:vAlign w:val="center"/>
            <w:hideMark/>
          </w:tcPr>
          <w:p w14:paraId="6245CAD1" w14:textId="77777777" w:rsidR="00387142" w:rsidRPr="008B6A75" w:rsidRDefault="00387142" w:rsidP="00387142">
            <w:pPr>
              <w:rPr>
                <w:bCs/>
                <w:sz w:val="20"/>
                <w:szCs w:val="20"/>
              </w:rPr>
            </w:pPr>
            <w:r w:rsidRPr="008B6A75">
              <w:rPr>
                <w:bCs/>
                <w:sz w:val="20"/>
                <w:szCs w:val="20"/>
              </w:rPr>
              <w:t xml:space="preserve">Реализация мероприятий подпрограммы "Развитие кадрового потенциала системы дошкольного, общего и дополнительного образования </w:t>
            </w:r>
            <w:r w:rsidRPr="008B6A75">
              <w:rPr>
                <w:bCs/>
                <w:sz w:val="20"/>
                <w:szCs w:val="20"/>
              </w:rPr>
              <w:lastRenderedPageBreak/>
              <w:t>детей"</w:t>
            </w:r>
          </w:p>
        </w:tc>
        <w:tc>
          <w:tcPr>
            <w:tcW w:w="850" w:type="dxa"/>
            <w:tcBorders>
              <w:top w:val="single" w:sz="4" w:space="0" w:color="auto"/>
              <w:left w:val="single" w:sz="4" w:space="0" w:color="auto"/>
              <w:bottom w:val="nil"/>
              <w:right w:val="nil"/>
            </w:tcBorders>
            <w:shd w:val="clear" w:color="auto" w:fill="auto"/>
            <w:noWrap/>
            <w:vAlign w:val="center"/>
            <w:hideMark/>
          </w:tcPr>
          <w:p w14:paraId="2A829269" w14:textId="77777777" w:rsidR="00387142" w:rsidRPr="008B6A75" w:rsidRDefault="00387142" w:rsidP="00387142">
            <w:pPr>
              <w:jc w:val="center"/>
              <w:rPr>
                <w:bCs/>
                <w:sz w:val="20"/>
                <w:szCs w:val="20"/>
              </w:rPr>
            </w:pPr>
            <w:r w:rsidRPr="008B6A75">
              <w:rPr>
                <w:bCs/>
                <w:sz w:val="20"/>
                <w:szCs w:val="20"/>
              </w:rPr>
              <w:lastRenderedPageBreak/>
              <w:t>444</w:t>
            </w:r>
          </w:p>
        </w:tc>
        <w:tc>
          <w:tcPr>
            <w:tcW w:w="709" w:type="dxa"/>
            <w:tcBorders>
              <w:top w:val="single" w:sz="4" w:space="0" w:color="auto"/>
              <w:left w:val="single" w:sz="4" w:space="0" w:color="auto"/>
              <w:bottom w:val="nil"/>
              <w:right w:val="nil"/>
            </w:tcBorders>
            <w:shd w:val="clear" w:color="auto" w:fill="auto"/>
            <w:noWrap/>
            <w:vAlign w:val="center"/>
            <w:hideMark/>
          </w:tcPr>
          <w:p w14:paraId="6E37A1DB" w14:textId="77777777" w:rsidR="00387142" w:rsidRPr="008B6A75" w:rsidRDefault="00387142" w:rsidP="00387142">
            <w:pPr>
              <w:jc w:val="center"/>
              <w:rPr>
                <w:bCs/>
                <w:sz w:val="20"/>
                <w:szCs w:val="20"/>
              </w:rPr>
            </w:pPr>
            <w:r w:rsidRPr="008B6A75">
              <w:rPr>
                <w:bCs/>
                <w:sz w:val="20"/>
                <w:szCs w:val="20"/>
              </w:rPr>
              <w:t>07</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674934FC" w14:textId="77777777" w:rsidR="00387142" w:rsidRPr="008B6A75" w:rsidRDefault="00387142" w:rsidP="00387142">
            <w:pPr>
              <w:jc w:val="center"/>
              <w:rPr>
                <w:bCs/>
                <w:sz w:val="20"/>
                <w:szCs w:val="20"/>
              </w:rPr>
            </w:pPr>
            <w:r w:rsidRPr="008B6A75">
              <w:rPr>
                <w:bCs/>
                <w:sz w:val="20"/>
                <w:szCs w:val="20"/>
              </w:rPr>
              <w:t>02</w:t>
            </w:r>
          </w:p>
        </w:tc>
        <w:tc>
          <w:tcPr>
            <w:tcW w:w="1411" w:type="dxa"/>
            <w:tcBorders>
              <w:top w:val="single" w:sz="4" w:space="0" w:color="auto"/>
              <w:left w:val="single" w:sz="4" w:space="0" w:color="auto"/>
              <w:bottom w:val="nil"/>
              <w:right w:val="nil"/>
            </w:tcBorders>
            <w:shd w:val="clear" w:color="auto" w:fill="auto"/>
            <w:noWrap/>
            <w:vAlign w:val="center"/>
            <w:hideMark/>
          </w:tcPr>
          <w:p w14:paraId="7E828D12" w14:textId="77777777" w:rsidR="00387142" w:rsidRPr="008B6A75" w:rsidRDefault="00387142" w:rsidP="00387142">
            <w:pPr>
              <w:jc w:val="center"/>
              <w:rPr>
                <w:bCs/>
                <w:sz w:val="20"/>
                <w:szCs w:val="20"/>
              </w:rPr>
            </w:pPr>
            <w:r w:rsidRPr="008B6A75">
              <w:rPr>
                <w:bCs/>
                <w:sz w:val="20"/>
                <w:szCs w:val="20"/>
              </w:rPr>
              <w:t>07.3.00.79500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716AF076" w14:textId="77777777" w:rsidR="00387142" w:rsidRPr="008B6A75" w:rsidRDefault="00387142" w:rsidP="00387142">
            <w:pPr>
              <w:jc w:val="center"/>
              <w:rPr>
                <w:bCs/>
                <w:sz w:val="20"/>
                <w:szCs w:val="20"/>
              </w:rPr>
            </w:pPr>
            <w:r w:rsidRPr="008B6A75">
              <w:rPr>
                <w:bCs/>
                <w:sz w:val="20"/>
                <w:szCs w:val="20"/>
              </w:rPr>
              <w:t> </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2E97C1B3" w14:textId="77777777" w:rsidR="00387142" w:rsidRPr="008B6A75" w:rsidRDefault="00387142" w:rsidP="00387142">
            <w:pPr>
              <w:jc w:val="right"/>
              <w:rPr>
                <w:bCs/>
                <w:sz w:val="20"/>
                <w:szCs w:val="20"/>
              </w:rPr>
            </w:pPr>
            <w:r w:rsidRPr="008B6A75">
              <w:rPr>
                <w:bCs/>
                <w:sz w:val="20"/>
                <w:szCs w:val="20"/>
              </w:rPr>
              <w:t>475 000,00</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0EEEB9FC" w14:textId="77777777" w:rsidR="00387142" w:rsidRPr="008B6A75" w:rsidRDefault="00387142" w:rsidP="00387142">
            <w:pPr>
              <w:jc w:val="right"/>
              <w:rPr>
                <w:bCs/>
                <w:sz w:val="20"/>
                <w:szCs w:val="20"/>
              </w:rPr>
            </w:pPr>
            <w:r w:rsidRPr="008B6A75">
              <w:rPr>
                <w:bCs/>
                <w:sz w:val="20"/>
                <w:szCs w:val="20"/>
              </w:rPr>
              <w:t>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7761B6BC" w14:textId="77777777" w:rsidR="00387142" w:rsidRPr="008B6A75" w:rsidRDefault="00387142" w:rsidP="00387142">
            <w:pPr>
              <w:jc w:val="right"/>
              <w:rPr>
                <w:bCs/>
                <w:sz w:val="20"/>
                <w:szCs w:val="20"/>
              </w:rPr>
            </w:pPr>
            <w:r w:rsidRPr="008B6A75">
              <w:rPr>
                <w:bCs/>
                <w:sz w:val="20"/>
                <w:szCs w:val="20"/>
              </w:rPr>
              <w:t>0,00</w:t>
            </w:r>
          </w:p>
        </w:tc>
        <w:tc>
          <w:tcPr>
            <w:tcW w:w="222" w:type="dxa"/>
            <w:vAlign w:val="center"/>
            <w:hideMark/>
          </w:tcPr>
          <w:p w14:paraId="7AAC415B" w14:textId="77777777" w:rsidR="00387142" w:rsidRPr="008B6A75" w:rsidRDefault="00387142" w:rsidP="00387142">
            <w:pPr>
              <w:rPr>
                <w:sz w:val="20"/>
                <w:szCs w:val="20"/>
              </w:rPr>
            </w:pPr>
          </w:p>
        </w:tc>
      </w:tr>
      <w:tr w:rsidR="00387142" w:rsidRPr="008B6A75" w14:paraId="782B93CE" w14:textId="77777777" w:rsidTr="00387142">
        <w:trPr>
          <w:trHeight w:val="1440"/>
        </w:trPr>
        <w:tc>
          <w:tcPr>
            <w:tcW w:w="3021" w:type="dxa"/>
            <w:tcBorders>
              <w:top w:val="single" w:sz="4" w:space="0" w:color="auto"/>
              <w:left w:val="single" w:sz="4" w:space="0" w:color="auto"/>
              <w:bottom w:val="nil"/>
              <w:right w:val="nil"/>
            </w:tcBorders>
            <w:shd w:val="clear" w:color="auto" w:fill="auto"/>
            <w:vAlign w:val="center"/>
            <w:hideMark/>
          </w:tcPr>
          <w:p w14:paraId="620FF4A8" w14:textId="77777777" w:rsidR="00387142" w:rsidRPr="008B6A75" w:rsidRDefault="00387142" w:rsidP="00387142">
            <w:pPr>
              <w:rPr>
                <w:sz w:val="20"/>
                <w:szCs w:val="20"/>
              </w:rPr>
            </w:pPr>
            <w:r w:rsidRPr="008B6A7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nil"/>
              <w:right w:val="nil"/>
            </w:tcBorders>
            <w:shd w:val="clear" w:color="auto" w:fill="auto"/>
            <w:noWrap/>
            <w:vAlign w:val="center"/>
            <w:hideMark/>
          </w:tcPr>
          <w:p w14:paraId="1929C120" w14:textId="77777777" w:rsidR="00387142" w:rsidRPr="008B6A75" w:rsidRDefault="00387142" w:rsidP="00387142">
            <w:pPr>
              <w:jc w:val="center"/>
              <w:rPr>
                <w:sz w:val="20"/>
                <w:szCs w:val="20"/>
              </w:rPr>
            </w:pPr>
            <w:r w:rsidRPr="008B6A75">
              <w:rPr>
                <w:sz w:val="20"/>
                <w:szCs w:val="20"/>
              </w:rPr>
              <w:t>444</w:t>
            </w:r>
          </w:p>
        </w:tc>
        <w:tc>
          <w:tcPr>
            <w:tcW w:w="709" w:type="dxa"/>
            <w:tcBorders>
              <w:top w:val="single" w:sz="4" w:space="0" w:color="auto"/>
              <w:left w:val="single" w:sz="4" w:space="0" w:color="auto"/>
              <w:bottom w:val="nil"/>
              <w:right w:val="nil"/>
            </w:tcBorders>
            <w:shd w:val="clear" w:color="auto" w:fill="auto"/>
            <w:noWrap/>
            <w:vAlign w:val="center"/>
            <w:hideMark/>
          </w:tcPr>
          <w:p w14:paraId="71E2B845" w14:textId="77777777" w:rsidR="00387142" w:rsidRPr="008B6A75" w:rsidRDefault="00387142" w:rsidP="00387142">
            <w:pPr>
              <w:jc w:val="center"/>
              <w:rPr>
                <w:sz w:val="20"/>
                <w:szCs w:val="20"/>
              </w:rPr>
            </w:pPr>
            <w:r w:rsidRPr="008B6A75">
              <w:rPr>
                <w:sz w:val="20"/>
                <w:szCs w:val="20"/>
              </w:rPr>
              <w:t>07</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21C4327E" w14:textId="77777777" w:rsidR="00387142" w:rsidRPr="008B6A75" w:rsidRDefault="00387142" w:rsidP="00387142">
            <w:pPr>
              <w:jc w:val="center"/>
              <w:rPr>
                <w:sz w:val="20"/>
                <w:szCs w:val="20"/>
              </w:rPr>
            </w:pPr>
            <w:r w:rsidRPr="008B6A75">
              <w:rPr>
                <w:sz w:val="20"/>
                <w:szCs w:val="20"/>
              </w:rPr>
              <w:t>02</w:t>
            </w:r>
          </w:p>
        </w:tc>
        <w:tc>
          <w:tcPr>
            <w:tcW w:w="1411" w:type="dxa"/>
            <w:tcBorders>
              <w:top w:val="single" w:sz="4" w:space="0" w:color="auto"/>
              <w:left w:val="single" w:sz="4" w:space="0" w:color="auto"/>
              <w:bottom w:val="nil"/>
              <w:right w:val="nil"/>
            </w:tcBorders>
            <w:shd w:val="clear" w:color="auto" w:fill="auto"/>
            <w:noWrap/>
            <w:vAlign w:val="center"/>
            <w:hideMark/>
          </w:tcPr>
          <w:p w14:paraId="7ED1D653" w14:textId="77777777" w:rsidR="00387142" w:rsidRPr="008B6A75" w:rsidRDefault="00387142" w:rsidP="00387142">
            <w:pPr>
              <w:jc w:val="center"/>
              <w:rPr>
                <w:sz w:val="20"/>
                <w:szCs w:val="20"/>
              </w:rPr>
            </w:pPr>
            <w:r w:rsidRPr="008B6A75">
              <w:rPr>
                <w:sz w:val="20"/>
                <w:szCs w:val="20"/>
              </w:rPr>
              <w:t>07.3.00.79500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53182417" w14:textId="77777777" w:rsidR="00387142" w:rsidRPr="008B6A75" w:rsidRDefault="00387142" w:rsidP="00387142">
            <w:pPr>
              <w:jc w:val="center"/>
              <w:rPr>
                <w:sz w:val="20"/>
                <w:szCs w:val="20"/>
              </w:rPr>
            </w:pPr>
            <w:r w:rsidRPr="008B6A75">
              <w:rPr>
                <w:sz w:val="20"/>
                <w:szCs w:val="20"/>
              </w:rPr>
              <w:t>100</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602D5C99" w14:textId="77777777" w:rsidR="00387142" w:rsidRPr="008B6A75" w:rsidRDefault="00387142" w:rsidP="00387142">
            <w:pPr>
              <w:jc w:val="right"/>
              <w:rPr>
                <w:sz w:val="20"/>
                <w:szCs w:val="20"/>
              </w:rPr>
            </w:pPr>
            <w:r w:rsidRPr="008B6A75">
              <w:rPr>
                <w:sz w:val="20"/>
                <w:szCs w:val="20"/>
              </w:rPr>
              <w:t>23 912,00</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4746360B" w14:textId="77777777" w:rsidR="00387142" w:rsidRPr="008B6A75" w:rsidRDefault="00387142" w:rsidP="00387142">
            <w:pPr>
              <w:jc w:val="right"/>
              <w:rPr>
                <w:sz w:val="20"/>
                <w:szCs w:val="20"/>
              </w:rPr>
            </w:pPr>
            <w:r w:rsidRPr="008B6A75">
              <w:rPr>
                <w:sz w:val="20"/>
                <w:szCs w:val="20"/>
              </w:rPr>
              <w:t>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6B942361" w14:textId="77777777" w:rsidR="00387142" w:rsidRPr="008B6A75" w:rsidRDefault="00387142" w:rsidP="00387142">
            <w:pPr>
              <w:jc w:val="right"/>
              <w:rPr>
                <w:sz w:val="20"/>
                <w:szCs w:val="20"/>
              </w:rPr>
            </w:pPr>
            <w:r w:rsidRPr="008B6A75">
              <w:rPr>
                <w:sz w:val="20"/>
                <w:szCs w:val="20"/>
              </w:rPr>
              <w:t>0,00</w:t>
            </w:r>
          </w:p>
        </w:tc>
        <w:tc>
          <w:tcPr>
            <w:tcW w:w="222" w:type="dxa"/>
            <w:vAlign w:val="center"/>
            <w:hideMark/>
          </w:tcPr>
          <w:p w14:paraId="2D1E22D8" w14:textId="77777777" w:rsidR="00387142" w:rsidRPr="008B6A75" w:rsidRDefault="00387142" w:rsidP="00387142">
            <w:pPr>
              <w:rPr>
                <w:sz w:val="20"/>
                <w:szCs w:val="20"/>
              </w:rPr>
            </w:pPr>
          </w:p>
        </w:tc>
      </w:tr>
      <w:tr w:rsidR="00387142" w:rsidRPr="008B6A75" w14:paraId="250B7979" w14:textId="77777777" w:rsidTr="00387142">
        <w:trPr>
          <w:trHeight w:val="585"/>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3AD22FC9" w14:textId="77777777" w:rsidR="00387142" w:rsidRPr="008B6A75" w:rsidRDefault="00387142" w:rsidP="00387142">
            <w:pPr>
              <w:rPr>
                <w:sz w:val="20"/>
                <w:szCs w:val="20"/>
              </w:rPr>
            </w:pPr>
            <w:r w:rsidRPr="008B6A75">
              <w:rPr>
                <w:sz w:val="20"/>
                <w:szCs w:val="20"/>
              </w:rPr>
              <w:t>Расходы на выплаты персоналу казенных учреждений</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2C8005DE" w14:textId="77777777" w:rsidR="00387142" w:rsidRPr="008B6A75" w:rsidRDefault="00387142" w:rsidP="00387142">
            <w:pPr>
              <w:jc w:val="center"/>
              <w:rPr>
                <w:sz w:val="20"/>
                <w:szCs w:val="20"/>
              </w:rPr>
            </w:pPr>
            <w:r w:rsidRPr="008B6A75">
              <w:rPr>
                <w:sz w:val="20"/>
                <w:szCs w:val="20"/>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466DD2F1" w14:textId="77777777" w:rsidR="00387142" w:rsidRPr="008B6A75" w:rsidRDefault="00387142" w:rsidP="00387142">
            <w:pPr>
              <w:jc w:val="center"/>
              <w:rPr>
                <w:sz w:val="20"/>
                <w:szCs w:val="20"/>
              </w:rPr>
            </w:pPr>
            <w:r w:rsidRPr="008B6A75">
              <w:rPr>
                <w:sz w:val="20"/>
                <w:szCs w:val="20"/>
              </w:rPr>
              <w:t>07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42315A" w14:textId="77777777" w:rsidR="00387142" w:rsidRPr="008B6A75" w:rsidRDefault="00387142" w:rsidP="00387142">
            <w:pPr>
              <w:jc w:val="center"/>
              <w:rPr>
                <w:sz w:val="20"/>
                <w:szCs w:val="20"/>
              </w:rPr>
            </w:pPr>
            <w:r w:rsidRPr="008B6A75">
              <w:rPr>
                <w:sz w:val="20"/>
                <w:szCs w:val="20"/>
              </w:rPr>
              <w:t>02</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4C6C46AD" w14:textId="77777777" w:rsidR="00387142" w:rsidRPr="008B6A75" w:rsidRDefault="00387142" w:rsidP="00387142">
            <w:pPr>
              <w:jc w:val="center"/>
              <w:rPr>
                <w:sz w:val="20"/>
                <w:szCs w:val="20"/>
              </w:rPr>
            </w:pPr>
            <w:r w:rsidRPr="008B6A75">
              <w:rPr>
                <w:sz w:val="20"/>
                <w:szCs w:val="20"/>
              </w:rPr>
              <w:t>07.3.00.79500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E033C9" w14:textId="77777777" w:rsidR="00387142" w:rsidRPr="008B6A75" w:rsidRDefault="00387142" w:rsidP="00387142">
            <w:pPr>
              <w:jc w:val="center"/>
              <w:rPr>
                <w:sz w:val="20"/>
                <w:szCs w:val="20"/>
              </w:rPr>
            </w:pPr>
            <w:r w:rsidRPr="008B6A75">
              <w:rPr>
                <w:sz w:val="20"/>
                <w:szCs w:val="20"/>
              </w:rPr>
              <w:t>110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2F9729" w14:textId="77777777" w:rsidR="00387142" w:rsidRPr="008B6A75" w:rsidRDefault="00387142" w:rsidP="00387142">
            <w:pPr>
              <w:jc w:val="right"/>
              <w:rPr>
                <w:sz w:val="20"/>
                <w:szCs w:val="20"/>
              </w:rPr>
            </w:pPr>
            <w:r w:rsidRPr="008B6A75">
              <w:rPr>
                <w:sz w:val="20"/>
                <w:szCs w:val="20"/>
              </w:rPr>
              <w:t>23 912,00</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10C6E487" w14:textId="77777777" w:rsidR="00387142" w:rsidRPr="008B6A75" w:rsidRDefault="00387142" w:rsidP="00387142">
            <w:pPr>
              <w:jc w:val="right"/>
              <w:rPr>
                <w:sz w:val="20"/>
                <w:szCs w:val="20"/>
              </w:rPr>
            </w:pPr>
            <w:r w:rsidRPr="008B6A75">
              <w:rPr>
                <w:sz w:val="20"/>
                <w:szCs w:val="20"/>
              </w:rPr>
              <w:t>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39C059" w14:textId="77777777" w:rsidR="00387142" w:rsidRPr="008B6A75" w:rsidRDefault="00387142" w:rsidP="00387142">
            <w:pPr>
              <w:jc w:val="right"/>
              <w:rPr>
                <w:sz w:val="20"/>
                <w:szCs w:val="20"/>
              </w:rPr>
            </w:pPr>
            <w:r w:rsidRPr="008B6A75">
              <w:rPr>
                <w:sz w:val="20"/>
                <w:szCs w:val="20"/>
              </w:rPr>
              <w:t>0,00</w:t>
            </w:r>
          </w:p>
        </w:tc>
        <w:tc>
          <w:tcPr>
            <w:tcW w:w="222" w:type="dxa"/>
            <w:vAlign w:val="center"/>
            <w:hideMark/>
          </w:tcPr>
          <w:p w14:paraId="7794DDBC" w14:textId="77777777" w:rsidR="00387142" w:rsidRPr="008B6A75" w:rsidRDefault="00387142" w:rsidP="00387142">
            <w:pPr>
              <w:rPr>
                <w:sz w:val="20"/>
                <w:szCs w:val="20"/>
              </w:rPr>
            </w:pPr>
          </w:p>
        </w:tc>
      </w:tr>
      <w:tr w:rsidR="00387142" w:rsidRPr="008B6A75" w14:paraId="76A41367" w14:textId="77777777" w:rsidTr="00387142">
        <w:trPr>
          <w:trHeight w:val="585"/>
        </w:trPr>
        <w:tc>
          <w:tcPr>
            <w:tcW w:w="3021" w:type="dxa"/>
            <w:tcBorders>
              <w:top w:val="nil"/>
              <w:left w:val="single" w:sz="4" w:space="0" w:color="auto"/>
              <w:bottom w:val="nil"/>
              <w:right w:val="nil"/>
            </w:tcBorders>
            <w:shd w:val="clear" w:color="auto" w:fill="auto"/>
            <w:vAlign w:val="center"/>
            <w:hideMark/>
          </w:tcPr>
          <w:p w14:paraId="443FDA51" w14:textId="77777777" w:rsidR="00387142" w:rsidRPr="008B6A75" w:rsidRDefault="00387142" w:rsidP="00387142">
            <w:pPr>
              <w:rPr>
                <w:sz w:val="20"/>
                <w:szCs w:val="20"/>
              </w:rPr>
            </w:pPr>
            <w:r w:rsidRPr="008B6A75">
              <w:rPr>
                <w:sz w:val="20"/>
                <w:szCs w:val="20"/>
              </w:rPr>
              <w:t>Закупка товаров, работ и услуг для обеспечения государственных (муниципальных) нужд</w:t>
            </w:r>
          </w:p>
        </w:tc>
        <w:tc>
          <w:tcPr>
            <w:tcW w:w="850" w:type="dxa"/>
            <w:tcBorders>
              <w:top w:val="nil"/>
              <w:left w:val="single" w:sz="4" w:space="0" w:color="auto"/>
              <w:bottom w:val="nil"/>
              <w:right w:val="nil"/>
            </w:tcBorders>
            <w:shd w:val="clear" w:color="auto" w:fill="auto"/>
            <w:noWrap/>
            <w:vAlign w:val="center"/>
            <w:hideMark/>
          </w:tcPr>
          <w:p w14:paraId="60A73A94" w14:textId="77777777" w:rsidR="00387142" w:rsidRPr="008B6A75" w:rsidRDefault="00387142" w:rsidP="00387142">
            <w:pPr>
              <w:jc w:val="center"/>
              <w:rPr>
                <w:sz w:val="20"/>
                <w:szCs w:val="20"/>
              </w:rPr>
            </w:pPr>
            <w:r w:rsidRPr="008B6A75">
              <w:rPr>
                <w:sz w:val="20"/>
                <w:szCs w:val="20"/>
              </w:rPr>
              <w:t>444</w:t>
            </w:r>
          </w:p>
        </w:tc>
        <w:tc>
          <w:tcPr>
            <w:tcW w:w="709" w:type="dxa"/>
            <w:tcBorders>
              <w:top w:val="nil"/>
              <w:left w:val="single" w:sz="4" w:space="0" w:color="auto"/>
              <w:bottom w:val="nil"/>
              <w:right w:val="nil"/>
            </w:tcBorders>
            <w:shd w:val="clear" w:color="auto" w:fill="auto"/>
            <w:noWrap/>
            <w:vAlign w:val="center"/>
            <w:hideMark/>
          </w:tcPr>
          <w:p w14:paraId="0A7F21DA" w14:textId="77777777" w:rsidR="00387142" w:rsidRPr="008B6A75" w:rsidRDefault="00387142" w:rsidP="00387142">
            <w:pPr>
              <w:jc w:val="center"/>
              <w:rPr>
                <w:sz w:val="20"/>
                <w:szCs w:val="20"/>
              </w:rPr>
            </w:pPr>
            <w:r w:rsidRPr="008B6A75">
              <w:rPr>
                <w:sz w:val="20"/>
                <w:szCs w:val="20"/>
              </w:rPr>
              <w:t>07</w:t>
            </w:r>
          </w:p>
        </w:tc>
        <w:tc>
          <w:tcPr>
            <w:tcW w:w="709" w:type="dxa"/>
            <w:tcBorders>
              <w:top w:val="nil"/>
              <w:left w:val="single" w:sz="4" w:space="0" w:color="auto"/>
              <w:bottom w:val="nil"/>
              <w:right w:val="single" w:sz="4" w:space="0" w:color="auto"/>
            </w:tcBorders>
            <w:shd w:val="clear" w:color="auto" w:fill="auto"/>
            <w:noWrap/>
            <w:vAlign w:val="center"/>
            <w:hideMark/>
          </w:tcPr>
          <w:p w14:paraId="4A4252C1" w14:textId="77777777" w:rsidR="00387142" w:rsidRPr="008B6A75" w:rsidRDefault="00387142" w:rsidP="00387142">
            <w:pPr>
              <w:jc w:val="center"/>
              <w:rPr>
                <w:sz w:val="20"/>
                <w:szCs w:val="20"/>
              </w:rPr>
            </w:pPr>
            <w:r w:rsidRPr="008B6A75">
              <w:rPr>
                <w:sz w:val="20"/>
                <w:szCs w:val="20"/>
              </w:rPr>
              <w:t>02</w:t>
            </w:r>
          </w:p>
        </w:tc>
        <w:tc>
          <w:tcPr>
            <w:tcW w:w="1411" w:type="dxa"/>
            <w:tcBorders>
              <w:top w:val="nil"/>
              <w:left w:val="single" w:sz="4" w:space="0" w:color="auto"/>
              <w:bottom w:val="nil"/>
              <w:right w:val="nil"/>
            </w:tcBorders>
            <w:shd w:val="clear" w:color="auto" w:fill="auto"/>
            <w:noWrap/>
            <w:vAlign w:val="center"/>
            <w:hideMark/>
          </w:tcPr>
          <w:p w14:paraId="6D6D968B" w14:textId="77777777" w:rsidR="00387142" w:rsidRPr="008B6A75" w:rsidRDefault="00387142" w:rsidP="00387142">
            <w:pPr>
              <w:jc w:val="center"/>
              <w:rPr>
                <w:sz w:val="20"/>
                <w:szCs w:val="20"/>
              </w:rPr>
            </w:pPr>
            <w:r w:rsidRPr="008B6A75">
              <w:rPr>
                <w:sz w:val="20"/>
                <w:szCs w:val="20"/>
              </w:rPr>
              <w:t>07.3.00.79500</w:t>
            </w:r>
          </w:p>
        </w:tc>
        <w:tc>
          <w:tcPr>
            <w:tcW w:w="955" w:type="dxa"/>
            <w:tcBorders>
              <w:top w:val="nil"/>
              <w:left w:val="single" w:sz="4" w:space="0" w:color="auto"/>
              <w:bottom w:val="nil"/>
              <w:right w:val="single" w:sz="4" w:space="0" w:color="auto"/>
            </w:tcBorders>
            <w:shd w:val="clear" w:color="auto" w:fill="auto"/>
            <w:noWrap/>
            <w:vAlign w:val="center"/>
            <w:hideMark/>
          </w:tcPr>
          <w:p w14:paraId="203549EF" w14:textId="77777777" w:rsidR="00387142" w:rsidRPr="008B6A75" w:rsidRDefault="00387142" w:rsidP="00387142">
            <w:pPr>
              <w:jc w:val="center"/>
              <w:rPr>
                <w:sz w:val="20"/>
                <w:szCs w:val="20"/>
              </w:rPr>
            </w:pPr>
            <w:r w:rsidRPr="008B6A75">
              <w:rPr>
                <w:sz w:val="20"/>
                <w:szCs w:val="20"/>
              </w:rPr>
              <w:t>200</w:t>
            </w:r>
          </w:p>
        </w:tc>
        <w:tc>
          <w:tcPr>
            <w:tcW w:w="992" w:type="dxa"/>
            <w:tcBorders>
              <w:top w:val="nil"/>
              <w:left w:val="single" w:sz="4" w:space="0" w:color="auto"/>
              <w:bottom w:val="nil"/>
              <w:right w:val="single" w:sz="4" w:space="0" w:color="auto"/>
            </w:tcBorders>
            <w:shd w:val="clear" w:color="auto" w:fill="auto"/>
            <w:noWrap/>
            <w:vAlign w:val="center"/>
            <w:hideMark/>
          </w:tcPr>
          <w:p w14:paraId="37621DFB" w14:textId="77777777" w:rsidR="00387142" w:rsidRPr="008B6A75" w:rsidRDefault="00387142" w:rsidP="00387142">
            <w:pPr>
              <w:jc w:val="right"/>
              <w:rPr>
                <w:sz w:val="20"/>
                <w:szCs w:val="20"/>
              </w:rPr>
            </w:pPr>
            <w:r w:rsidRPr="008B6A75">
              <w:rPr>
                <w:sz w:val="20"/>
                <w:szCs w:val="20"/>
              </w:rPr>
              <w:t>336 488,00</w:t>
            </w:r>
          </w:p>
        </w:tc>
        <w:tc>
          <w:tcPr>
            <w:tcW w:w="992" w:type="dxa"/>
            <w:gridSpan w:val="2"/>
            <w:tcBorders>
              <w:top w:val="nil"/>
              <w:left w:val="single" w:sz="4" w:space="0" w:color="auto"/>
              <w:bottom w:val="nil"/>
              <w:right w:val="nil"/>
            </w:tcBorders>
            <w:shd w:val="clear" w:color="auto" w:fill="auto"/>
            <w:noWrap/>
            <w:vAlign w:val="center"/>
            <w:hideMark/>
          </w:tcPr>
          <w:p w14:paraId="4A24FCF3" w14:textId="77777777" w:rsidR="00387142" w:rsidRPr="008B6A75" w:rsidRDefault="00387142" w:rsidP="00387142">
            <w:pPr>
              <w:jc w:val="right"/>
              <w:rPr>
                <w:sz w:val="20"/>
                <w:szCs w:val="20"/>
              </w:rPr>
            </w:pPr>
            <w:r w:rsidRPr="008B6A75">
              <w:rPr>
                <w:sz w:val="20"/>
                <w:szCs w:val="20"/>
              </w:rPr>
              <w:t>0,00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0808DD28" w14:textId="77777777" w:rsidR="00387142" w:rsidRPr="008B6A75" w:rsidRDefault="00387142" w:rsidP="00387142">
            <w:pPr>
              <w:jc w:val="right"/>
              <w:rPr>
                <w:sz w:val="20"/>
                <w:szCs w:val="20"/>
              </w:rPr>
            </w:pPr>
            <w:r w:rsidRPr="008B6A75">
              <w:rPr>
                <w:sz w:val="20"/>
                <w:szCs w:val="20"/>
              </w:rPr>
              <w:t>0,00</w:t>
            </w:r>
          </w:p>
        </w:tc>
        <w:tc>
          <w:tcPr>
            <w:tcW w:w="222" w:type="dxa"/>
            <w:vAlign w:val="center"/>
            <w:hideMark/>
          </w:tcPr>
          <w:p w14:paraId="57190A11" w14:textId="77777777" w:rsidR="00387142" w:rsidRPr="008B6A75" w:rsidRDefault="00387142" w:rsidP="00387142">
            <w:pPr>
              <w:rPr>
                <w:sz w:val="20"/>
                <w:szCs w:val="20"/>
              </w:rPr>
            </w:pPr>
          </w:p>
        </w:tc>
      </w:tr>
      <w:tr w:rsidR="00387142" w:rsidRPr="008B6A75" w14:paraId="159C52FF" w14:textId="77777777" w:rsidTr="00387142">
        <w:trPr>
          <w:trHeight w:val="870"/>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0F893F79" w14:textId="77777777" w:rsidR="00387142" w:rsidRPr="008B6A75" w:rsidRDefault="00387142" w:rsidP="00387142">
            <w:pPr>
              <w:rPr>
                <w:sz w:val="20"/>
                <w:szCs w:val="20"/>
              </w:rPr>
            </w:pPr>
            <w:r w:rsidRPr="008B6A75">
              <w:rPr>
                <w:sz w:val="20"/>
                <w:szCs w:val="20"/>
              </w:rPr>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1F54AB8C" w14:textId="77777777" w:rsidR="00387142" w:rsidRPr="008B6A75" w:rsidRDefault="00387142" w:rsidP="00387142">
            <w:pPr>
              <w:jc w:val="center"/>
              <w:rPr>
                <w:sz w:val="20"/>
                <w:szCs w:val="20"/>
              </w:rPr>
            </w:pPr>
            <w:r w:rsidRPr="008B6A75">
              <w:rPr>
                <w:sz w:val="20"/>
                <w:szCs w:val="20"/>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0E45E23E" w14:textId="77777777" w:rsidR="00387142" w:rsidRPr="008B6A75" w:rsidRDefault="00387142" w:rsidP="00387142">
            <w:pPr>
              <w:jc w:val="center"/>
              <w:rPr>
                <w:sz w:val="20"/>
                <w:szCs w:val="20"/>
              </w:rPr>
            </w:pPr>
            <w:r w:rsidRPr="008B6A75">
              <w:rPr>
                <w:sz w:val="20"/>
                <w:szCs w:val="20"/>
              </w:rPr>
              <w:t>07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0529D5" w14:textId="77777777" w:rsidR="00387142" w:rsidRPr="008B6A75" w:rsidRDefault="00387142" w:rsidP="00387142">
            <w:pPr>
              <w:jc w:val="center"/>
              <w:rPr>
                <w:sz w:val="20"/>
                <w:szCs w:val="20"/>
              </w:rPr>
            </w:pPr>
            <w:r w:rsidRPr="008B6A75">
              <w:rPr>
                <w:sz w:val="20"/>
                <w:szCs w:val="20"/>
              </w:rPr>
              <w:t>02</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2322AAE5" w14:textId="77777777" w:rsidR="00387142" w:rsidRPr="008B6A75" w:rsidRDefault="00387142" w:rsidP="00387142">
            <w:pPr>
              <w:jc w:val="center"/>
              <w:rPr>
                <w:sz w:val="20"/>
                <w:szCs w:val="20"/>
              </w:rPr>
            </w:pPr>
            <w:r w:rsidRPr="008B6A75">
              <w:rPr>
                <w:sz w:val="20"/>
                <w:szCs w:val="20"/>
              </w:rPr>
              <w:t>07.3.00.79500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02D6DB" w14:textId="77777777" w:rsidR="00387142" w:rsidRPr="008B6A75" w:rsidRDefault="00387142" w:rsidP="00387142">
            <w:pPr>
              <w:jc w:val="center"/>
              <w:rPr>
                <w:sz w:val="20"/>
                <w:szCs w:val="20"/>
              </w:rPr>
            </w:pPr>
            <w:r w:rsidRPr="008B6A75">
              <w:rPr>
                <w:sz w:val="20"/>
                <w:szCs w:val="20"/>
              </w:rPr>
              <w:t>240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F943DB" w14:textId="77777777" w:rsidR="00387142" w:rsidRPr="008B6A75" w:rsidRDefault="00387142" w:rsidP="00387142">
            <w:pPr>
              <w:jc w:val="right"/>
              <w:rPr>
                <w:sz w:val="20"/>
                <w:szCs w:val="20"/>
              </w:rPr>
            </w:pPr>
            <w:r w:rsidRPr="008B6A75">
              <w:rPr>
                <w:sz w:val="20"/>
                <w:szCs w:val="20"/>
              </w:rPr>
              <w:t>336 488,00</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24AD2085" w14:textId="77777777" w:rsidR="00387142" w:rsidRPr="008B6A75" w:rsidRDefault="00387142" w:rsidP="00387142">
            <w:pPr>
              <w:jc w:val="right"/>
              <w:rPr>
                <w:sz w:val="20"/>
                <w:szCs w:val="20"/>
              </w:rPr>
            </w:pPr>
            <w:r w:rsidRPr="008B6A75">
              <w:rPr>
                <w:sz w:val="20"/>
                <w:szCs w:val="20"/>
              </w:rPr>
              <w:t>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C560D1" w14:textId="77777777" w:rsidR="00387142" w:rsidRPr="008B6A75" w:rsidRDefault="00387142" w:rsidP="00387142">
            <w:pPr>
              <w:jc w:val="right"/>
              <w:rPr>
                <w:sz w:val="20"/>
                <w:szCs w:val="20"/>
              </w:rPr>
            </w:pPr>
            <w:r w:rsidRPr="008B6A75">
              <w:rPr>
                <w:sz w:val="20"/>
                <w:szCs w:val="20"/>
              </w:rPr>
              <w:t>0,00</w:t>
            </w:r>
          </w:p>
        </w:tc>
        <w:tc>
          <w:tcPr>
            <w:tcW w:w="222" w:type="dxa"/>
            <w:vAlign w:val="center"/>
            <w:hideMark/>
          </w:tcPr>
          <w:p w14:paraId="4F1FE4E0" w14:textId="77777777" w:rsidR="00387142" w:rsidRPr="008B6A75" w:rsidRDefault="00387142" w:rsidP="00387142">
            <w:pPr>
              <w:rPr>
                <w:sz w:val="20"/>
                <w:szCs w:val="20"/>
              </w:rPr>
            </w:pPr>
          </w:p>
        </w:tc>
      </w:tr>
      <w:tr w:rsidR="00387142" w:rsidRPr="008B6A75" w14:paraId="16897710" w14:textId="77777777" w:rsidTr="00387142">
        <w:trPr>
          <w:trHeight w:val="870"/>
        </w:trPr>
        <w:tc>
          <w:tcPr>
            <w:tcW w:w="3021" w:type="dxa"/>
            <w:tcBorders>
              <w:top w:val="nil"/>
              <w:left w:val="single" w:sz="4" w:space="0" w:color="auto"/>
              <w:bottom w:val="nil"/>
              <w:right w:val="nil"/>
            </w:tcBorders>
            <w:shd w:val="clear" w:color="auto" w:fill="auto"/>
            <w:vAlign w:val="center"/>
            <w:hideMark/>
          </w:tcPr>
          <w:p w14:paraId="2928D083" w14:textId="77777777" w:rsidR="00387142" w:rsidRPr="008B6A75" w:rsidRDefault="00387142" w:rsidP="00387142">
            <w:pPr>
              <w:rPr>
                <w:sz w:val="20"/>
                <w:szCs w:val="20"/>
              </w:rPr>
            </w:pPr>
            <w:r w:rsidRPr="008B6A75">
              <w:rPr>
                <w:sz w:val="20"/>
                <w:szCs w:val="20"/>
              </w:rPr>
              <w:t>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right w:val="nil"/>
            </w:tcBorders>
            <w:shd w:val="clear" w:color="auto" w:fill="auto"/>
            <w:noWrap/>
            <w:vAlign w:val="center"/>
            <w:hideMark/>
          </w:tcPr>
          <w:p w14:paraId="1DD3FD32" w14:textId="77777777" w:rsidR="00387142" w:rsidRPr="008B6A75" w:rsidRDefault="00387142" w:rsidP="00387142">
            <w:pPr>
              <w:jc w:val="center"/>
              <w:rPr>
                <w:sz w:val="20"/>
                <w:szCs w:val="20"/>
              </w:rPr>
            </w:pPr>
            <w:r w:rsidRPr="008B6A75">
              <w:rPr>
                <w:sz w:val="20"/>
                <w:szCs w:val="20"/>
              </w:rPr>
              <w:t>444</w:t>
            </w:r>
          </w:p>
        </w:tc>
        <w:tc>
          <w:tcPr>
            <w:tcW w:w="709" w:type="dxa"/>
            <w:tcBorders>
              <w:top w:val="nil"/>
              <w:left w:val="single" w:sz="4" w:space="0" w:color="auto"/>
              <w:bottom w:val="nil"/>
              <w:right w:val="nil"/>
            </w:tcBorders>
            <w:shd w:val="clear" w:color="auto" w:fill="auto"/>
            <w:noWrap/>
            <w:vAlign w:val="center"/>
            <w:hideMark/>
          </w:tcPr>
          <w:p w14:paraId="68A52534" w14:textId="77777777" w:rsidR="00387142" w:rsidRPr="008B6A75" w:rsidRDefault="00387142" w:rsidP="00387142">
            <w:pPr>
              <w:jc w:val="center"/>
              <w:rPr>
                <w:sz w:val="20"/>
                <w:szCs w:val="20"/>
              </w:rPr>
            </w:pPr>
            <w:r w:rsidRPr="008B6A75">
              <w:rPr>
                <w:sz w:val="20"/>
                <w:szCs w:val="20"/>
              </w:rPr>
              <w:t>07</w:t>
            </w:r>
          </w:p>
        </w:tc>
        <w:tc>
          <w:tcPr>
            <w:tcW w:w="709" w:type="dxa"/>
            <w:tcBorders>
              <w:top w:val="nil"/>
              <w:left w:val="single" w:sz="4" w:space="0" w:color="auto"/>
              <w:bottom w:val="nil"/>
              <w:right w:val="single" w:sz="4" w:space="0" w:color="auto"/>
            </w:tcBorders>
            <w:shd w:val="clear" w:color="auto" w:fill="auto"/>
            <w:noWrap/>
            <w:vAlign w:val="center"/>
            <w:hideMark/>
          </w:tcPr>
          <w:p w14:paraId="22912504" w14:textId="77777777" w:rsidR="00387142" w:rsidRPr="008B6A75" w:rsidRDefault="00387142" w:rsidP="00387142">
            <w:pPr>
              <w:jc w:val="center"/>
              <w:rPr>
                <w:sz w:val="20"/>
                <w:szCs w:val="20"/>
              </w:rPr>
            </w:pPr>
            <w:r w:rsidRPr="008B6A75">
              <w:rPr>
                <w:sz w:val="20"/>
                <w:szCs w:val="20"/>
              </w:rPr>
              <w:t>02</w:t>
            </w:r>
          </w:p>
        </w:tc>
        <w:tc>
          <w:tcPr>
            <w:tcW w:w="1411" w:type="dxa"/>
            <w:tcBorders>
              <w:top w:val="nil"/>
              <w:left w:val="single" w:sz="4" w:space="0" w:color="auto"/>
              <w:bottom w:val="nil"/>
              <w:right w:val="nil"/>
            </w:tcBorders>
            <w:shd w:val="clear" w:color="auto" w:fill="auto"/>
            <w:noWrap/>
            <w:vAlign w:val="center"/>
            <w:hideMark/>
          </w:tcPr>
          <w:p w14:paraId="3545DE39" w14:textId="77777777" w:rsidR="00387142" w:rsidRPr="008B6A75" w:rsidRDefault="00387142" w:rsidP="00387142">
            <w:pPr>
              <w:jc w:val="center"/>
              <w:rPr>
                <w:sz w:val="20"/>
                <w:szCs w:val="20"/>
              </w:rPr>
            </w:pPr>
            <w:r w:rsidRPr="008B6A75">
              <w:rPr>
                <w:sz w:val="20"/>
                <w:szCs w:val="20"/>
              </w:rPr>
              <w:t>07.3.00.79500</w:t>
            </w:r>
          </w:p>
        </w:tc>
        <w:tc>
          <w:tcPr>
            <w:tcW w:w="955" w:type="dxa"/>
            <w:tcBorders>
              <w:top w:val="nil"/>
              <w:left w:val="single" w:sz="4" w:space="0" w:color="auto"/>
              <w:bottom w:val="nil"/>
              <w:right w:val="single" w:sz="4" w:space="0" w:color="auto"/>
            </w:tcBorders>
            <w:shd w:val="clear" w:color="auto" w:fill="auto"/>
            <w:noWrap/>
            <w:vAlign w:val="center"/>
            <w:hideMark/>
          </w:tcPr>
          <w:p w14:paraId="546B0D64" w14:textId="77777777" w:rsidR="00387142" w:rsidRPr="008B6A75" w:rsidRDefault="00387142" w:rsidP="00387142">
            <w:pPr>
              <w:jc w:val="center"/>
              <w:rPr>
                <w:sz w:val="20"/>
                <w:szCs w:val="20"/>
              </w:rPr>
            </w:pPr>
            <w:r w:rsidRPr="008B6A75">
              <w:rPr>
                <w:sz w:val="20"/>
                <w:szCs w:val="20"/>
              </w:rPr>
              <w:t>600</w:t>
            </w:r>
          </w:p>
        </w:tc>
        <w:tc>
          <w:tcPr>
            <w:tcW w:w="992" w:type="dxa"/>
            <w:tcBorders>
              <w:top w:val="nil"/>
              <w:left w:val="single" w:sz="4" w:space="0" w:color="auto"/>
              <w:bottom w:val="nil"/>
              <w:right w:val="single" w:sz="4" w:space="0" w:color="auto"/>
            </w:tcBorders>
            <w:shd w:val="clear" w:color="auto" w:fill="auto"/>
            <w:noWrap/>
            <w:vAlign w:val="center"/>
            <w:hideMark/>
          </w:tcPr>
          <w:p w14:paraId="29EDA99E" w14:textId="77777777" w:rsidR="00387142" w:rsidRPr="008B6A75" w:rsidRDefault="00387142" w:rsidP="00387142">
            <w:pPr>
              <w:jc w:val="right"/>
              <w:rPr>
                <w:sz w:val="20"/>
                <w:szCs w:val="20"/>
              </w:rPr>
            </w:pPr>
            <w:r w:rsidRPr="008B6A75">
              <w:rPr>
                <w:sz w:val="20"/>
                <w:szCs w:val="20"/>
              </w:rPr>
              <w:t>114 600,00</w:t>
            </w:r>
          </w:p>
        </w:tc>
        <w:tc>
          <w:tcPr>
            <w:tcW w:w="992" w:type="dxa"/>
            <w:gridSpan w:val="2"/>
            <w:tcBorders>
              <w:top w:val="nil"/>
              <w:left w:val="single" w:sz="4" w:space="0" w:color="auto"/>
              <w:bottom w:val="nil"/>
              <w:right w:val="nil"/>
            </w:tcBorders>
            <w:shd w:val="clear" w:color="auto" w:fill="auto"/>
            <w:noWrap/>
            <w:vAlign w:val="center"/>
            <w:hideMark/>
          </w:tcPr>
          <w:p w14:paraId="1D90E8A5" w14:textId="77777777" w:rsidR="00387142" w:rsidRPr="008B6A75" w:rsidRDefault="00387142" w:rsidP="00387142">
            <w:pPr>
              <w:jc w:val="right"/>
              <w:rPr>
                <w:sz w:val="20"/>
                <w:szCs w:val="20"/>
              </w:rPr>
            </w:pPr>
            <w:r w:rsidRPr="008B6A75">
              <w:rPr>
                <w:sz w:val="20"/>
                <w:szCs w:val="20"/>
              </w:rPr>
              <w:t>0,00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5B39B80A" w14:textId="77777777" w:rsidR="00387142" w:rsidRPr="008B6A75" w:rsidRDefault="00387142" w:rsidP="00387142">
            <w:pPr>
              <w:jc w:val="right"/>
              <w:rPr>
                <w:sz w:val="20"/>
                <w:szCs w:val="20"/>
              </w:rPr>
            </w:pPr>
            <w:r w:rsidRPr="008B6A75">
              <w:rPr>
                <w:sz w:val="20"/>
                <w:szCs w:val="20"/>
              </w:rPr>
              <w:t>0,00</w:t>
            </w:r>
          </w:p>
        </w:tc>
        <w:tc>
          <w:tcPr>
            <w:tcW w:w="222" w:type="dxa"/>
            <w:vAlign w:val="center"/>
            <w:hideMark/>
          </w:tcPr>
          <w:p w14:paraId="50563704" w14:textId="77777777" w:rsidR="00387142" w:rsidRPr="008B6A75" w:rsidRDefault="00387142" w:rsidP="00387142">
            <w:pPr>
              <w:rPr>
                <w:sz w:val="20"/>
                <w:szCs w:val="20"/>
              </w:rPr>
            </w:pPr>
          </w:p>
        </w:tc>
      </w:tr>
      <w:tr w:rsidR="00387142" w:rsidRPr="008B6A75" w14:paraId="610C0F4F" w14:textId="77777777" w:rsidTr="00387142">
        <w:trPr>
          <w:trHeight w:val="300"/>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32A955CA" w14:textId="77777777" w:rsidR="00387142" w:rsidRPr="008B6A75" w:rsidRDefault="00387142" w:rsidP="00387142">
            <w:pPr>
              <w:rPr>
                <w:sz w:val="20"/>
                <w:szCs w:val="20"/>
              </w:rPr>
            </w:pPr>
            <w:r w:rsidRPr="008B6A75">
              <w:rPr>
                <w:sz w:val="20"/>
                <w:szCs w:val="20"/>
              </w:rPr>
              <w:t>Субсидии бюджетным учреждениям</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254CE9F8" w14:textId="77777777" w:rsidR="00387142" w:rsidRPr="008B6A75" w:rsidRDefault="00387142" w:rsidP="00387142">
            <w:pPr>
              <w:jc w:val="center"/>
              <w:rPr>
                <w:sz w:val="20"/>
                <w:szCs w:val="20"/>
              </w:rPr>
            </w:pPr>
            <w:r w:rsidRPr="008B6A75">
              <w:rPr>
                <w:sz w:val="20"/>
                <w:szCs w:val="20"/>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12B8A2CB" w14:textId="77777777" w:rsidR="00387142" w:rsidRPr="008B6A75" w:rsidRDefault="00387142" w:rsidP="00387142">
            <w:pPr>
              <w:jc w:val="center"/>
              <w:rPr>
                <w:sz w:val="20"/>
                <w:szCs w:val="20"/>
              </w:rPr>
            </w:pPr>
            <w:r w:rsidRPr="008B6A75">
              <w:rPr>
                <w:sz w:val="20"/>
                <w:szCs w:val="20"/>
              </w:rPr>
              <w:t>07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49F51A" w14:textId="77777777" w:rsidR="00387142" w:rsidRPr="008B6A75" w:rsidRDefault="00387142" w:rsidP="00387142">
            <w:pPr>
              <w:jc w:val="center"/>
              <w:rPr>
                <w:sz w:val="20"/>
                <w:szCs w:val="20"/>
              </w:rPr>
            </w:pPr>
            <w:r w:rsidRPr="008B6A75">
              <w:rPr>
                <w:sz w:val="20"/>
                <w:szCs w:val="20"/>
              </w:rPr>
              <w:t>02</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404CB87E" w14:textId="77777777" w:rsidR="00387142" w:rsidRPr="008B6A75" w:rsidRDefault="00387142" w:rsidP="00387142">
            <w:pPr>
              <w:jc w:val="center"/>
              <w:rPr>
                <w:sz w:val="20"/>
                <w:szCs w:val="20"/>
              </w:rPr>
            </w:pPr>
            <w:r w:rsidRPr="008B6A75">
              <w:rPr>
                <w:sz w:val="20"/>
                <w:szCs w:val="20"/>
              </w:rPr>
              <w:t>07.3.00.79500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4E8FA4" w14:textId="77777777" w:rsidR="00387142" w:rsidRPr="008B6A75" w:rsidRDefault="00387142" w:rsidP="00387142">
            <w:pPr>
              <w:jc w:val="center"/>
              <w:rPr>
                <w:sz w:val="20"/>
                <w:szCs w:val="20"/>
              </w:rPr>
            </w:pPr>
            <w:r w:rsidRPr="008B6A75">
              <w:rPr>
                <w:sz w:val="20"/>
                <w:szCs w:val="20"/>
              </w:rPr>
              <w:t>610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E96690" w14:textId="77777777" w:rsidR="00387142" w:rsidRPr="008B6A75" w:rsidRDefault="00387142" w:rsidP="00387142">
            <w:pPr>
              <w:jc w:val="right"/>
              <w:rPr>
                <w:sz w:val="20"/>
                <w:szCs w:val="20"/>
              </w:rPr>
            </w:pPr>
            <w:r w:rsidRPr="008B6A75">
              <w:rPr>
                <w:sz w:val="20"/>
                <w:szCs w:val="20"/>
              </w:rPr>
              <w:t>114 600,00</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1F106FF1" w14:textId="77777777" w:rsidR="00387142" w:rsidRPr="008B6A75" w:rsidRDefault="00387142" w:rsidP="00387142">
            <w:pPr>
              <w:jc w:val="right"/>
              <w:rPr>
                <w:sz w:val="20"/>
                <w:szCs w:val="20"/>
              </w:rPr>
            </w:pPr>
            <w:r w:rsidRPr="008B6A75">
              <w:rPr>
                <w:sz w:val="20"/>
                <w:szCs w:val="20"/>
              </w:rPr>
              <w:t>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A32AEB" w14:textId="77777777" w:rsidR="00387142" w:rsidRPr="008B6A75" w:rsidRDefault="00387142" w:rsidP="00387142">
            <w:pPr>
              <w:jc w:val="right"/>
              <w:rPr>
                <w:sz w:val="20"/>
                <w:szCs w:val="20"/>
              </w:rPr>
            </w:pPr>
            <w:r w:rsidRPr="008B6A75">
              <w:rPr>
                <w:sz w:val="20"/>
                <w:szCs w:val="20"/>
              </w:rPr>
              <w:t>0,00</w:t>
            </w:r>
          </w:p>
        </w:tc>
        <w:tc>
          <w:tcPr>
            <w:tcW w:w="222" w:type="dxa"/>
            <w:vAlign w:val="center"/>
            <w:hideMark/>
          </w:tcPr>
          <w:p w14:paraId="12B26652" w14:textId="77777777" w:rsidR="00387142" w:rsidRPr="008B6A75" w:rsidRDefault="00387142" w:rsidP="00387142">
            <w:pPr>
              <w:rPr>
                <w:sz w:val="20"/>
                <w:szCs w:val="20"/>
              </w:rPr>
            </w:pPr>
          </w:p>
        </w:tc>
      </w:tr>
      <w:tr w:rsidR="00387142" w:rsidRPr="008B6A75" w14:paraId="448400F9" w14:textId="77777777" w:rsidTr="00387142">
        <w:trPr>
          <w:trHeight w:val="585"/>
        </w:trPr>
        <w:tc>
          <w:tcPr>
            <w:tcW w:w="3021" w:type="dxa"/>
            <w:tcBorders>
              <w:top w:val="nil"/>
              <w:left w:val="single" w:sz="4" w:space="0" w:color="auto"/>
              <w:bottom w:val="nil"/>
              <w:right w:val="nil"/>
            </w:tcBorders>
            <w:shd w:val="clear" w:color="auto" w:fill="auto"/>
            <w:vAlign w:val="center"/>
            <w:hideMark/>
          </w:tcPr>
          <w:p w14:paraId="26B43A65" w14:textId="77777777" w:rsidR="00387142" w:rsidRPr="008B6A75" w:rsidRDefault="00387142" w:rsidP="00387142">
            <w:pPr>
              <w:rPr>
                <w:bCs/>
                <w:sz w:val="20"/>
                <w:szCs w:val="20"/>
              </w:rPr>
            </w:pPr>
            <w:r w:rsidRPr="008B6A75">
              <w:rPr>
                <w:bCs/>
                <w:sz w:val="20"/>
                <w:szCs w:val="20"/>
              </w:rPr>
              <w:t>Подпрограмма "Организация отдыха и оздоровления детей и подростков"</w:t>
            </w:r>
          </w:p>
        </w:tc>
        <w:tc>
          <w:tcPr>
            <w:tcW w:w="850" w:type="dxa"/>
            <w:tcBorders>
              <w:top w:val="nil"/>
              <w:left w:val="single" w:sz="4" w:space="0" w:color="auto"/>
              <w:bottom w:val="nil"/>
              <w:right w:val="nil"/>
            </w:tcBorders>
            <w:shd w:val="clear" w:color="auto" w:fill="auto"/>
            <w:noWrap/>
            <w:vAlign w:val="center"/>
            <w:hideMark/>
          </w:tcPr>
          <w:p w14:paraId="6B30EF5C" w14:textId="77777777" w:rsidR="00387142" w:rsidRPr="008B6A75" w:rsidRDefault="00387142" w:rsidP="00387142">
            <w:pPr>
              <w:jc w:val="center"/>
              <w:rPr>
                <w:bCs/>
                <w:sz w:val="20"/>
                <w:szCs w:val="20"/>
              </w:rPr>
            </w:pPr>
            <w:r w:rsidRPr="008B6A75">
              <w:rPr>
                <w:bCs/>
                <w:sz w:val="20"/>
                <w:szCs w:val="20"/>
              </w:rPr>
              <w:t>444</w:t>
            </w:r>
          </w:p>
        </w:tc>
        <w:tc>
          <w:tcPr>
            <w:tcW w:w="709" w:type="dxa"/>
            <w:tcBorders>
              <w:top w:val="nil"/>
              <w:left w:val="single" w:sz="4" w:space="0" w:color="auto"/>
              <w:bottom w:val="nil"/>
              <w:right w:val="nil"/>
            </w:tcBorders>
            <w:shd w:val="clear" w:color="auto" w:fill="auto"/>
            <w:noWrap/>
            <w:vAlign w:val="center"/>
            <w:hideMark/>
          </w:tcPr>
          <w:p w14:paraId="4F5B7EE1" w14:textId="77777777" w:rsidR="00387142" w:rsidRPr="008B6A75" w:rsidRDefault="00387142" w:rsidP="00387142">
            <w:pPr>
              <w:jc w:val="center"/>
              <w:rPr>
                <w:bCs/>
                <w:sz w:val="20"/>
                <w:szCs w:val="20"/>
              </w:rPr>
            </w:pPr>
            <w:r w:rsidRPr="008B6A75">
              <w:rPr>
                <w:bCs/>
                <w:sz w:val="20"/>
                <w:szCs w:val="20"/>
              </w:rPr>
              <w:t>07</w:t>
            </w:r>
          </w:p>
        </w:tc>
        <w:tc>
          <w:tcPr>
            <w:tcW w:w="709" w:type="dxa"/>
            <w:tcBorders>
              <w:top w:val="nil"/>
              <w:left w:val="single" w:sz="4" w:space="0" w:color="auto"/>
              <w:bottom w:val="nil"/>
              <w:right w:val="single" w:sz="4" w:space="0" w:color="auto"/>
            </w:tcBorders>
            <w:shd w:val="clear" w:color="auto" w:fill="auto"/>
            <w:noWrap/>
            <w:vAlign w:val="center"/>
            <w:hideMark/>
          </w:tcPr>
          <w:p w14:paraId="041F4B4B" w14:textId="77777777" w:rsidR="00387142" w:rsidRPr="008B6A75" w:rsidRDefault="00387142" w:rsidP="00387142">
            <w:pPr>
              <w:jc w:val="center"/>
              <w:rPr>
                <w:bCs/>
                <w:sz w:val="20"/>
                <w:szCs w:val="20"/>
              </w:rPr>
            </w:pPr>
            <w:r w:rsidRPr="008B6A75">
              <w:rPr>
                <w:bCs/>
                <w:sz w:val="20"/>
                <w:szCs w:val="20"/>
              </w:rPr>
              <w:t>02</w:t>
            </w:r>
          </w:p>
        </w:tc>
        <w:tc>
          <w:tcPr>
            <w:tcW w:w="1411" w:type="dxa"/>
            <w:tcBorders>
              <w:top w:val="nil"/>
              <w:left w:val="single" w:sz="4" w:space="0" w:color="auto"/>
              <w:bottom w:val="nil"/>
              <w:right w:val="nil"/>
            </w:tcBorders>
            <w:shd w:val="clear" w:color="auto" w:fill="auto"/>
            <w:noWrap/>
            <w:vAlign w:val="center"/>
            <w:hideMark/>
          </w:tcPr>
          <w:p w14:paraId="3F982FA6" w14:textId="77777777" w:rsidR="00387142" w:rsidRPr="008B6A75" w:rsidRDefault="00387142" w:rsidP="00387142">
            <w:pPr>
              <w:jc w:val="center"/>
              <w:rPr>
                <w:bCs/>
                <w:sz w:val="20"/>
                <w:szCs w:val="20"/>
              </w:rPr>
            </w:pPr>
            <w:r w:rsidRPr="008B6A75">
              <w:rPr>
                <w:bCs/>
                <w:sz w:val="20"/>
                <w:szCs w:val="20"/>
              </w:rPr>
              <w:t>07.4.00.00000</w:t>
            </w:r>
          </w:p>
        </w:tc>
        <w:tc>
          <w:tcPr>
            <w:tcW w:w="955" w:type="dxa"/>
            <w:tcBorders>
              <w:top w:val="nil"/>
              <w:left w:val="single" w:sz="4" w:space="0" w:color="auto"/>
              <w:bottom w:val="nil"/>
              <w:right w:val="single" w:sz="4" w:space="0" w:color="auto"/>
            </w:tcBorders>
            <w:shd w:val="clear" w:color="auto" w:fill="auto"/>
            <w:noWrap/>
            <w:vAlign w:val="center"/>
            <w:hideMark/>
          </w:tcPr>
          <w:p w14:paraId="4C68BE02"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nil"/>
              <w:right w:val="single" w:sz="4" w:space="0" w:color="auto"/>
            </w:tcBorders>
            <w:shd w:val="clear" w:color="auto" w:fill="auto"/>
            <w:noWrap/>
            <w:vAlign w:val="center"/>
            <w:hideMark/>
          </w:tcPr>
          <w:p w14:paraId="694E303C" w14:textId="77777777" w:rsidR="00387142" w:rsidRPr="008B6A75" w:rsidRDefault="00387142" w:rsidP="00387142">
            <w:pPr>
              <w:jc w:val="right"/>
              <w:rPr>
                <w:bCs/>
                <w:sz w:val="20"/>
                <w:szCs w:val="20"/>
              </w:rPr>
            </w:pPr>
            <w:r w:rsidRPr="008B6A75">
              <w:rPr>
                <w:bCs/>
                <w:sz w:val="20"/>
                <w:szCs w:val="20"/>
              </w:rPr>
              <w:t>476 860,00</w:t>
            </w:r>
          </w:p>
        </w:tc>
        <w:tc>
          <w:tcPr>
            <w:tcW w:w="992" w:type="dxa"/>
            <w:gridSpan w:val="2"/>
            <w:tcBorders>
              <w:top w:val="nil"/>
              <w:left w:val="single" w:sz="4" w:space="0" w:color="auto"/>
              <w:bottom w:val="nil"/>
              <w:right w:val="nil"/>
            </w:tcBorders>
            <w:shd w:val="clear" w:color="auto" w:fill="auto"/>
            <w:noWrap/>
            <w:vAlign w:val="center"/>
            <w:hideMark/>
          </w:tcPr>
          <w:p w14:paraId="779D6202" w14:textId="77777777" w:rsidR="00387142" w:rsidRPr="008B6A75" w:rsidRDefault="00387142" w:rsidP="00387142">
            <w:pPr>
              <w:jc w:val="right"/>
              <w:rPr>
                <w:bCs/>
                <w:sz w:val="20"/>
                <w:szCs w:val="20"/>
              </w:rPr>
            </w:pPr>
            <w:r w:rsidRPr="008B6A75">
              <w:rPr>
                <w:bCs/>
                <w:sz w:val="20"/>
                <w:szCs w:val="20"/>
              </w:rPr>
              <w:t>0,00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6BC5DC5D" w14:textId="77777777" w:rsidR="00387142" w:rsidRPr="008B6A75" w:rsidRDefault="00387142" w:rsidP="00387142">
            <w:pPr>
              <w:jc w:val="right"/>
              <w:rPr>
                <w:bCs/>
                <w:sz w:val="20"/>
                <w:szCs w:val="20"/>
              </w:rPr>
            </w:pPr>
            <w:r w:rsidRPr="008B6A75">
              <w:rPr>
                <w:bCs/>
                <w:sz w:val="20"/>
                <w:szCs w:val="20"/>
              </w:rPr>
              <w:t>0,00</w:t>
            </w:r>
          </w:p>
        </w:tc>
        <w:tc>
          <w:tcPr>
            <w:tcW w:w="222" w:type="dxa"/>
            <w:vAlign w:val="center"/>
            <w:hideMark/>
          </w:tcPr>
          <w:p w14:paraId="20A3BC85" w14:textId="77777777" w:rsidR="00387142" w:rsidRPr="008B6A75" w:rsidRDefault="00387142" w:rsidP="00387142">
            <w:pPr>
              <w:rPr>
                <w:sz w:val="20"/>
                <w:szCs w:val="20"/>
              </w:rPr>
            </w:pPr>
          </w:p>
        </w:tc>
      </w:tr>
      <w:tr w:rsidR="00387142" w:rsidRPr="008B6A75" w14:paraId="20720A22" w14:textId="77777777" w:rsidTr="00387142">
        <w:trPr>
          <w:trHeight w:val="870"/>
        </w:trPr>
        <w:tc>
          <w:tcPr>
            <w:tcW w:w="3021" w:type="dxa"/>
            <w:tcBorders>
              <w:top w:val="single" w:sz="4" w:space="0" w:color="auto"/>
              <w:left w:val="single" w:sz="4" w:space="0" w:color="auto"/>
              <w:bottom w:val="nil"/>
              <w:right w:val="nil"/>
            </w:tcBorders>
            <w:shd w:val="clear" w:color="auto" w:fill="auto"/>
            <w:vAlign w:val="center"/>
            <w:hideMark/>
          </w:tcPr>
          <w:p w14:paraId="17263550" w14:textId="77777777" w:rsidR="00387142" w:rsidRPr="008B6A75" w:rsidRDefault="00387142" w:rsidP="00387142">
            <w:pPr>
              <w:rPr>
                <w:bCs/>
                <w:sz w:val="20"/>
                <w:szCs w:val="20"/>
              </w:rPr>
            </w:pPr>
            <w:r w:rsidRPr="008B6A75">
              <w:rPr>
                <w:bCs/>
                <w:sz w:val="20"/>
                <w:szCs w:val="20"/>
              </w:rPr>
              <w:t>Реализация мероприятий подпрограммы "Организация отдыха и оздоровления детей и подростков"</w:t>
            </w:r>
          </w:p>
        </w:tc>
        <w:tc>
          <w:tcPr>
            <w:tcW w:w="850" w:type="dxa"/>
            <w:tcBorders>
              <w:top w:val="single" w:sz="4" w:space="0" w:color="auto"/>
              <w:left w:val="single" w:sz="4" w:space="0" w:color="auto"/>
              <w:bottom w:val="nil"/>
              <w:right w:val="nil"/>
            </w:tcBorders>
            <w:shd w:val="clear" w:color="auto" w:fill="auto"/>
            <w:noWrap/>
            <w:vAlign w:val="center"/>
            <w:hideMark/>
          </w:tcPr>
          <w:p w14:paraId="2FD80446" w14:textId="77777777" w:rsidR="00387142" w:rsidRPr="008B6A75" w:rsidRDefault="00387142" w:rsidP="00387142">
            <w:pPr>
              <w:jc w:val="center"/>
              <w:rPr>
                <w:bCs/>
                <w:sz w:val="20"/>
                <w:szCs w:val="20"/>
              </w:rPr>
            </w:pPr>
            <w:r w:rsidRPr="008B6A75">
              <w:rPr>
                <w:bCs/>
                <w:sz w:val="20"/>
                <w:szCs w:val="20"/>
              </w:rPr>
              <w:t>444</w:t>
            </w:r>
          </w:p>
        </w:tc>
        <w:tc>
          <w:tcPr>
            <w:tcW w:w="709" w:type="dxa"/>
            <w:tcBorders>
              <w:top w:val="single" w:sz="4" w:space="0" w:color="auto"/>
              <w:left w:val="single" w:sz="4" w:space="0" w:color="auto"/>
              <w:bottom w:val="nil"/>
              <w:right w:val="nil"/>
            </w:tcBorders>
            <w:shd w:val="clear" w:color="auto" w:fill="auto"/>
            <w:noWrap/>
            <w:vAlign w:val="center"/>
            <w:hideMark/>
          </w:tcPr>
          <w:p w14:paraId="0D28AC7A" w14:textId="77777777" w:rsidR="00387142" w:rsidRPr="008B6A75" w:rsidRDefault="00387142" w:rsidP="00387142">
            <w:pPr>
              <w:jc w:val="center"/>
              <w:rPr>
                <w:bCs/>
                <w:sz w:val="20"/>
                <w:szCs w:val="20"/>
              </w:rPr>
            </w:pPr>
            <w:r w:rsidRPr="008B6A75">
              <w:rPr>
                <w:bCs/>
                <w:sz w:val="20"/>
                <w:szCs w:val="20"/>
              </w:rPr>
              <w:t>07</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6C6D7CE4" w14:textId="77777777" w:rsidR="00387142" w:rsidRPr="008B6A75" w:rsidRDefault="00387142" w:rsidP="00387142">
            <w:pPr>
              <w:jc w:val="center"/>
              <w:rPr>
                <w:bCs/>
                <w:sz w:val="20"/>
                <w:szCs w:val="20"/>
              </w:rPr>
            </w:pPr>
            <w:r w:rsidRPr="008B6A75">
              <w:rPr>
                <w:bCs/>
                <w:sz w:val="20"/>
                <w:szCs w:val="20"/>
              </w:rPr>
              <w:t>02</w:t>
            </w:r>
          </w:p>
        </w:tc>
        <w:tc>
          <w:tcPr>
            <w:tcW w:w="1411" w:type="dxa"/>
            <w:tcBorders>
              <w:top w:val="single" w:sz="4" w:space="0" w:color="auto"/>
              <w:left w:val="single" w:sz="4" w:space="0" w:color="auto"/>
              <w:bottom w:val="nil"/>
              <w:right w:val="nil"/>
            </w:tcBorders>
            <w:shd w:val="clear" w:color="auto" w:fill="auto"/>
            <w:noWrap/>
            <w:vAlign w:val="center"/>
            <w:hideMark/>
          </w:tcPr>
          <w:p w14:paraId="3F5D15FD" w14:textId="77777777" w:rsidR="00387142" w:rsidRPr="008B6A75" w:rsidRDefault="00387142" w:rsidP="00387142">
            <w:pPr>
              <w:jc w:val="center"/>
              <w:rPr>
                <w:bCs/>
                <w:sz w:val="20"/>
                <w:szCs w:val="20"/>
              </w:rPr>
            </w:pPr>
            <w:r w:rsidRPr="008B6A75">
              <w:rPr>
                <w:bCs/>
                <w:sz w:val="20"/>
                <w:szCs w:val="20"/>
              </w:rPr>
              <w:t>07.4.00.79500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712158C2" w14:textId="77777777" w:rsidR="00387142" w:rsidRPr="008B6A75" w:rsidRDefault="00387142" w:rsidP="00387142">
            <w:pPr>
              <w:jc w:val="center"/>
              <w:rPr>
                <w:bCs/>
                <w:sz w:val="20"/>
                <w:szCs w:val="20"/>
              </w:rPr>
            </w:pPr>
            <w:r w:rsidRPr="008B6A75">
              <w:rPr>
                <w:bCs/>
                <w:sz w:val="20"/>
                <w:szCs w:val="20"/>
              </w:rPr>
              <w:t> </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2757001E" w14:textId="77777777" w:rsidR="00387142" w:rsidRPr="008B6A75" w:rsidRDefault="00387142" w:rsidP="00387142">
            <w:pPr>
              <w:jc w:val="right"/>
              <w:rPr>
                <w:bCs/>
                <w:sz w:val="20"/>
                <w:szCs w:val="20"/>
              </w:rPr>
            </w:pPr>
            <w:r w:rsidRPr="008B6A75">
              <w:rPr>
                <w:bCs/>
                <w:sz w:val="20"/>
                <w:szCs w:val="20"/>
              </w:rPr>
              <w:t>476 860,00</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4FAC3944" w14:textId="77777777" w:rsidR="00387142" w:rsidRPr="008B6A75" w:rsidRDefault="00387142" w:rsidP="00387142">
            <w:pPr>
              <w:jc w:val="right"/>
              <w:rPr>
                <w:bCs/>
                <w:sz w:val="20"/>
                <w:szCs w:val="20"/>
              </w:rPr>
            </w:pPr>
            <w:r w:rsidRPr="008B6A75">
              <w:rPr>
                <w:bCs/>
                <w:sz w:val="20"/>
                <w:szCs w:val="20"/>
              </w:rPr>
              <w:t>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1D1DD2A7" w14:textId="77777777" w:rsidR="00387142" w:rsidRPr="008B6A75" w:rsidRDefault="00387142" w:rsidP="00387142">
            <w:pPr>
              <w:jc w:val="right"/>
              <w:rPr>
                <w:bCs/>
                <w:sz w:val="20"/>
                <w:szCs w:val="20"/>
              </w:rPr>
            </w:pPr>
            <w:r w:rsidRPr="008B6A75">
              <w:rPr>
                <w:bCs/>
                <w:sz w:val="20"/>
                <w:szCs w:val="20"/>
              </w:rPr>
              <w:t>0,00</w:t>
            </w:r>
          </w:p>
        </w:tc>
        <w:tc>
          <w:tcPr>
            <w:tcW w:w="222" w:type="dxa"/>
            <w:vAlign w:val="center"/>
            <w:hideMark/>
          </w:tcPr>
          <w:p w14:paraId="1C270831" w14:textId="77777777" w:rsidR="00387142" w:rsidRPr="008B6A75" w:rsidRDefault="00387142" w:rsidP="00387142">
            <w:pPr>
              <w:rPr>
                <w:sz w:val="20"/>
                <w:szCs w:val="20"/>
              </w:rPr>
            </w:pPr>
          </w:p>
        </w:tc>
      </w:tr>
      <w:tr w:rsidR="00387142" w:rsidRPr="008B6A75" w14:paraId="1B24F362" w14:textId="77777777" w:rsidTr="00387142">
        <w:trPr>
          <w:trHeight w:val="585"/>
        </w:trPr>
        <w:tc>
          <w:tcPr>
            <w:tcW w:w="3021" w:type="dxa"/>
            <w:tcBorders>
              <w:top w:val="single" w:sz="4" w:space="0" w:color="auto"/>
              <w:left w:val="single" w:sz="4" w:space="0" w:color="auto"/>
              <w:bottom w:val="nil"/>
              <w:right w:val="nil"/>
            </w:tcBorders>
            <w:shd w:val="clear" w:color="auto" w:fill="auto"/>
            <w:vAlign w:val="center"/>
            <w:hideMark/>
          </w:tcPr>
          <w:p w14:paraId="51FB7505" w14:textId="77777777" w:rsidR="00387142" w:rsidRPr="008B6A75" w:rsidRDefault="00387142" w:rsidP="00387142">
            <w:pPr>
              <w:rPr>
                <w:sz w:val="20"/>
                <w:szCs w:val="20"/>
              </w:rPr>
            </w:pPr>
            <w:r w:rsidRPr="008B6A75">
              <w:rPr>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nil"/>
              <w:right w:val="nil"/>
            </w:tcBorders>
            <w:shd w:val="clear" w:color="auto" w:fill="auto"/>
            <w:noWrap/>
            <w:vAlign w:val="center"/>
            <w:hideMark/>
          </w:tcPr>
          <w:p w14:paraId="36C52346" w14:textId="77777777" w:rsidR="00387142" w:rsidRPr="008B6A75" w:rsidRDefault="00387142" w:rsidP="00387142">
            <w:pPr>
              <w:jc w:val="center"/>
              <w:rPr>
                <w:sz w:val="20"/>
                <w:szCs w:val="20"/>
              </w:rPr>
            </w:pPr>
            <w:r w:rsidRPr="008B6A75">
              <w:rPr>
                <w:sz w:val="20"/>
                <w:szCs w:val="20"/>
              </w:rPr>
              <w:t>444</w:t>
            </w:r>
          </w:p>
        </w:tc>
        <w:tc>
          <w:tcPr>
            <w:tcW w:w="709" w:type="dxa"/>
            <w:tcBorders>
              <w:top w:val="single" w:sz="4" w:space="0" w:color="auto"/>
              <w:left w:val="single" w:sz="4" w:space="0" w:color="auto"/>
              <w:bottom w:val="nil"/>
              <w:right w:val="nil"/>
            </w:tcBorders>
            <w:shd w:val="clear" w:color="auto" w:fill="auto"/>
            <w:noWrap/>
            <w:vAlign w:val="center"/>
            <w:hideMark/>
          </w:tcPr>
          <w:p w14:paraId="43E701D5" w14:textId="77777777" w:rsidR="00387142" w:rsidRPr="008B6A75" w:rsidRDefault="00387142" w:rsidP="00387142">
            <w:pPr>
              <w:jc w:val="center"/>
              <w:rPr>
                <w:sz w:val="20"/>
                <w:szCs w:val="20"/>
              </w:rPr>
            </w:pPr>
            <w:r w:rsidRPr="008B6A75">
              <w:rPr>
                <w:sz w:val="20"/>
                <w:szCs w:val="20"/>
              </w:rPr>
              <w:t>07</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103E1436" w14:textId="77777777" w:rsidR="00387142" w:rsidRPr="008B6A75" w:rsidRDefault="00387142" w:rsidP="00387142">
            <w:pPr>
              <w:jc w:val="center"/>
              <w:rPr>
                <w:sz w:val="20"/>
                <w:szCs w:val="20"/>
              </w:rPr>
            </w:pPr>
            <w:r w:rsidRPr="008B6A75">
              <w:rPr>
                <w:sz w:val="20"/>
                <w:szCs w:val="20"/>
              </w:rPr>
              <w:t>02</w:t>
            </w:r>
          </w:p>
        </w:tc>
        <w:tc>
          <w:tcPr>
            <w:tcW w:w="1411" w:type="dxa"/>
            <w:tcBorders>
              <w:top w:val="single" w:sz="4" w:space="0" w:color="auto"/>
              <w:left w:val="single" w:sz="4" w:space="0" w:color="auto"/>
              <w:bottom w:val="nil"/>
              <w:right w:val="nil"/>
            </w:tcBorders>
            <w:shd w:val="clear" w:color="auto" w:fill="auto"/>
            <w:noWrap/>
            <w:vAlign w:val="center"/>
            <w:hideMark/>
          </w:tcPr>
          <w:p w14:paraId="389A0833" w14:textId="77777777" w:rsidR="00387142" w:rsidRPr="008B6A75" w:rsidRDefault="00387142" w:rsidP="00387142">
            <w:pPr>
              <w:jc w:val="center"/>
              <w:rPr>
                <w:sz w:val="20"/>
                <w:szCs w:val="20"/>
              </w:rPr>
            </w:pPr>
            <w:r w:rsidRPr="008B6A75">
              <w:rPr>
                <w:sz w:val="20"/>
                <w:szCs w:val="20"/>
              </w:rPr>
              <w:t>07.4.00.79500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0839694B" w14:textId="77777777" w:rsidR="00387142" w:rsidRPr="008B6A75" w:rsidRDefault="00387142" w:rsidP="00387142">
            <w:pPr>
              <w:jc w:val="center"/>
              <w:rPr>
                <w:sz w:val="20"/>
                <w:szCs w:val="20"/>
              </w:rPr>
            </w:pPr>
            <w:r w:rsidRPr="008B6A75">
              <w:rPr>
                <w:sz w:val="20"/>
                <w:szCs w:val="20"/>
              </w:rPr>
              <w:t>200</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1D8910C7" w14:textId="77777777" w:rsidR="00387142" w:rsidRPr="008B6A75" w:rsidRDefault="00387142" w:rsidP="00387142">
            <w:pPr>
              <w:jc w:val="right"/>
              <w:rPr>
                <w:sz w:val="20"/>
                <w:szCs w:val="20"/>
              </w:rPr>
            </w:pPr>
            <w:r w:rsidRPr="008B6A75">
              <w:rPr>
                <w:sz w:val="20"/>
                <w:szCs w:val="20"/>
              </w:rPr>
              <w:t>421 980,00</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2E55746A" w14:textId="77777777" w:rsidR="00387142" w:rsidRPr="008B6A75" w:rsidRDefault="00387142" w:rsidP="00387142">
            <w:pPr>
              <w:jc w:val="right"/>
              <w:rPr>
                <w:sz w:val="20"/>
                <w:szCs w:val="20"/>
              </w:rPr>
            </w:pPr>
            <w:r w:rsidRPr="008B6A75">
              <w:rPr>
                <w:sz w:val="20"/>
                <w:szCs w:val="20"/>
              </w:rPr>
              <w:t>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1F5FE359" w14:textId="77777777" w:rsidR="00387142" w:rsidRPr="008B6A75" w:rsidRDefault="00387142" w:rsidP="00387142">
            <w:pPr>
              <w:jc w:val="right"/>
              <w:rPr>
                <w:sz w:val="20"/>
                <w:szCs w:val="20"/>
              </w:rPr>
            </w:pPr>
            <w:r w:rsidRPr="008B6A75">
              <w:rPr>
                <w:sz w:val="20"/>
                <w:szCs w:val="20"/>
              </w:rPr>
              <w:t>0,00</w:t>
            </w:r>
          </w:p>
        </w:tc>
        <w:tc>
          <w:tcPr>
            <w:tcW w:w="222" w:type="dxa"/>
            <w:vAlign w:val="center"/>
            <w:hideMark/>
          </w:tcPr>
          <w:p w14:paraId="3CA182D5" w14:textId="77777777" w:rsidR="00387142" w:rsidRPr="008B6A75" w:rsidRDefault="00387142" w:rsidP="00387142">
            <w:pPr>
              <w:rPr>
                <w:sz w:val="20"/>
                <w:szCs w:val="20"/>
              </w:rPr>
            </w:pPr>
          </w:p>
        </w:tc>
      </w:tr>
      <w:tr w:rsidR="00387142" w:rsidRPr="008B6A75" w14:paraId="676173FC" w14:textId="77777777" w:rsidTr="00387142">
        <w:trPr>
          <w:trHeight w:val="870"/>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7399AD72" w14:textId="77777777" w:rsidR="00387142" w:rsidRPr="008B6A75" w:rsidRDefault="00387142" w:rsidP="00387142">
            <w:pPr>
              <w:rPr>
                <w:sz w:val="20"/>
                <w:szCs w:val="20"/>
              </w:rPr>
            </w:pPr>
            <w:r w:rsidRPr="008B6A75">
              <w:rPr>
                <w:sz w:val="20"/>
                <w:szCs w:val="20"/>
              </w:rPr>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699FED1E" w14:textId="77777777" w:rsidR="00387142" w:rsidRPr="008B6A75" w:rsidRDefault="00387142" w:rsidP="00387142">
            <w:pPr>
              <w:jc w:val="center"/>
              <w:rPr>
                <w:sz w:val="20"/>
                <w:szCs w:val="20"/>
              </w:rPr>
            </w:pPr>
            <w:r w:rsidRPr="008B6A75">
              <w:rPr>
                <w:sz w:val="20"/>
                <w:szCs w:val="20"/>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375877BC" w14:textId="77777777" w:rsidR="00387142" w:rsidRPr="008B6A75" w:rsidRDefault="00387142" w:rsidP="00387142">
            <w:pPr>
              <w:jc w:val="center"/>
              <w:rPr>
                <w:sz w:val="20"/>
                <w:szCs w:val="20"/>
              </w:rPr>
            </w:pPr>
            <w:r w:rsidRPr="008B6A75">
              <w:rPr>
                <w:sz w:val="20"/>
                <w:szCs w:val="20"/>
              </w:rPr>
              <w:t>07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F626FC" w14:textId="77777777" w:rsidR="00387142" w:rsidRPr="008B6A75" w:rsidRDefault="00387142" w:rsidP="00387142">
            <w:pPr>
              <w:jc w:val="center"/>
              <w:rPr>
                <w:sz w:val="20"/>
                <w:szCs w:val="20"/>
              </w:rPr>
            </w:pPr>
            <w:r w:rsidRPr="008B6A75">
              <w:rPr>
                <w:sz w:val="20"/>
                <w:szCs w:val="20"/>
              </w:rPr>
              <w:t>02</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19427A86" w14:textId="77777777" w:rsidR="00387142" w:rsidRPr="008B6A75" w:rsidRDefault="00387142" w:rsidP="00387142">
            <w:pPr>
              <w:jc w:val="center"/>
              <w:rPr>
                <w:sz w:val="20"/>
                <w:szCs w:val="20"/>
              </w:rPr>
            </w:pPr>
            <w:r w:rsidRPr="008B6A75">
              <w:rPr>
                <w:sz w:val="20"/>
                <w:szCs w:val="20"/>
              </w:rPr>
              <w:t>07.4.00.79500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632C84" w14:textId="77777777" w:rsidR="00387142" w:rsidRPr="008B6A75" w:rsidRDefault="00387142" w:rsidP="00387142">
            <w:pPr>
              <w:jc w:val="center"/>
              <w:rPr>
                <w:sz w:val="20"/>
                <w:szCs w:val="20"/>
              </w:rPr>
            </w:pPr>
            <w:r w:rsidRPr="008B6A75">
              <w:rPr>
                <w:sz w:val="20"/>
                <w:szCs w:val="20"/>
              </w:rPr>
              <w:t>240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AF8285" w14:textId="77777777" w:rsidR="00387142" w:rsidRPr="008B6A75" w:rsidRDefault="00387142" w:rsidP="00387142">
            <w:pPr>
              <w:jc w:val="right"/>
              <w:rPr>
                <w:sz w:val="20"/>
                <w:szCs w:val="20"/>
              </w:rPr>
            </w:pPr>
            <w:r w:rsidRPr="008B6A75">
              <w:rPr>
                <w:sz w:val="20"/>
                <w:szCs w:val="20"/>
              </w:rPr>
              <w:t>421 980,00</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792EF57D" w14:textId="77777777" w:rsidR="00387142" w:rsidRPr="008B6A75" w:rsidRDefault="00387142" w:rsidP="00387142">
            <w:pPr>
              <w:jc w:val="right"/>
              <w:rPr>
                <w:sz w:val="20"/>
                <w:szCs w:val="20"/>
              </w:rPr>
            </w:pPr>
            <w:r w:rsidRPr="008B6A75">
              <w:rPr>
                <w:sz w:val="20"/>
                <w:szCs w:val="20"/>
              </w:rPr>
              <w:t>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8CC010" w14:textId="77777777" w:rsidR="00387142" w:rsidRPr="008B6A75" w:rsidRDefault="00387142" w:rsidP="00387142">
            <w:pPr>
              <w:jc w:val="right"/>
              <w:rPr>
                <w:sz w:val="20"/>
                <w:szCs w:val="20"/>
              </w:rPr>
            </w:pPr>
            <w:r w:rsidRPr="008B6A75">
              <w:rPr>
                <w:sz w:val="20"/>
                <w:szCs w:val="20"/>
              </w:rPr>
              <w:t>0,00</w:t>
            </w:r>
          </w:p>
        </w:tc>
        <w:tc>
          <w:tcPr>
            <w:tcW w:w="222" w:type="dxa"/>
            <w:vAlign w:val="center"/>
            <w:hideMark/>
          </w:tcPr>
          <w:p w14:paraId="47B0DED5" w14:textId="77777777" w:rsidR="00387142" w:rsidRPr="008B6A75" w:rsidRDefault="00387142" w:rsidP="00387142">
            <w:pPr>
              <w:rPr>
                <w:sz w:val="20"/>
                <w:szCs w:val="20"/>
              </w:rPr>
            </w:pPr>
          </w:p>
        </w:tc>
      </w:tr>
      <w:tr w:rsidR="00387142" w:rsidRPr="008B6A75" w14:paraId="4913ACAA" w14:textId="77777777" w:rsidTr="00387142">
        <w:trPr>
          <w:trHeight w:val="870"/>
        </w:trPr>
        <w:tc>
          <w:tcPr>
            <w:tcW w:w="3021" w:type="dxa"/>
            <w:tcBorders>
              <w:top w:val="nil"/>
              <w:left w:val="single" w:sz="4" w:space="0" w:color="auto"/>
              <w:bottom w:val="nil"/>
              <w:right w:val="nil"/>
            </w:tcBorders>
            <w:shd w:val="clear" w:color="auto" w:fill="auto"/>
            <w:vAlign w:val="center"/>
            <w:hideMark/>
          </w:tcPr>
          <w:p w14:paraId="20AB65E3" w14:textId="77777777" w:rsidR="00387142" w:rsidRPr="008B6A75" w:rsidRDefault="00387142" w:rsidP="00387142">
            <w:pPr>
              <w:rPr>
                <w:sz w:val="20"/>
                <w:szCs w:val="20"/>
              </w:rPr>
            </w:pPr>
            <w:r w:rsidRPr="008B6A75">
              <w:rPr>
                <w:sz w:val="20"/>
                <w:szCs w:val="20"/>
              </w:rPr>
              <w:t>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right w:val="nil"/>
            </w:tcBorders>
            <w:shd w:val="clear" w:color="auto" w:fill="auto"/>
            <w:noWrap/>
            <w:vAlign w:val="center"/>
            <w:hideMark/>
          </w:tcPr>
          <w:p w14:paraId="6A70790C" w14:textId="77777777" w:rsidR="00387142" w:rsidRPr="008B6A75" w:rsidRDefault="00387142" w:rsidP="00387142">
            <w:pPr>
              <w:jc w:val="center"/>
              <w:rPr>
                <w:sz w:val="20"/>
                <w:szCs w:val="20"/>
              </w:rPr>
            </w:pPr>
            <w:r w:rsidRPr="008B6A75">
              <w:rPr>
                <w:sz w:val="20"/>
                <w:szCs w:val="20"/>
              </w:rPr>
              <w:t>444</w:t>
            </w:r>
          </w:p>
        </w:tc>
        <w:tc>
          <w:tcPr>
            <w:tcW w:w="709" w:type="dxa"/>
            <w:tcBorders>
              <w:top w:val="nil"/>
              <w:left w:val="single" w:sz="4" w:space="0" w:color="auto"/>
              <w:bottom w:val="nil"/>
              <w:right w:val="nil"/>
            </w:tcBorders>
            <w:shd w:val="clear" w:color="auto" w:fill="auto"/>
            <w:noWrap/>
            <w:vAlign w:val="center"/>
            <w:hideMark/>
          </w:tcPr>
          <w:p w14:paraId="77E0BB6A" w14:textId="77777777" w:rsidR="00387142" w:rsidRPr="008B6A75" w:rsidRDefault="00387142" w:rsidP="00387142">
            <w:pPr>
              <w:jc w:val="center"/>
              <w:rPr>
                <w:sz w:val="20"/>
                <w:szCs w:val="20"/>
              </w:rPr>
            </w:pPr>
            <w:r w:rsidRPr="008B6A75">
              <w:rPr>
                <w:sz w:val="20"/>
                <w:szCs w:val="20"/>
              </w:rPr>
              <w:t>07</w:t>
            </w:r>
          </w:p>
        </w:tc>
        <w:tc>
          <w:tcPr>
            <w:tcW w:w="709" w:type="dxa"/>
            <w:tcBorders>
              <w:top w:val="nil"/>
              <w:left w:val="single" w:sz="4" w:space="0" w:color="auto"/>
              <w:bottom w:val="nil"/>
              <w:right w:val="single" w:sz="4" w:space="0" w:color="auto"/>
            </w:tcBorders>
            <w:shd w:val="clear" w:color="auto" w:fill="auto"/>
            <w:noWrap/>
            <w:vAlign w:val="center"/>
            <w:hideMark/>
          </w:tcPr>
          <w:p w14:paraId="0382CD98" w14:textId="77777777" w:rsidR="00387142" w:rsidRPr="008B6A75" w:rsidRDefault="00387142" w:rsidP="00387142">
            <w:pPr>
              <w:jc w:val="center"/>
              <w:rPr>
                <w:sz w:val="20"/>
                <w:szCs w:val="20"/>
              </w:rPr>
            </w:pPr>
            <w:r w:rsidRPr="008B6A75">
              <w:rPr>
                <w:sz w:val="20"/>
                <w:szCs w:val="20"/>
              </w:rPr>
              <w:t>02</w:t>
            </w:r>
          </w:p>
        </w:tc>
        <w:tc>
          <w:tcPr>
            <w:tcW w:w="1411" w:type="dxa"/>
            <w:tcBorders>
              <w:top w:val="nil"/>
              <w:left w:val="single" w:sz="4" w:space="0" w:color="auto"/>
              <w:bottom w:val="nil"/>
              <w:right w:val="nil"/>
            </w:tcBorders>
            <w:shd w:val="clear" w:color="auto" w:fill="auto"/>
            <w:noWrap/>
            <w:vAlign w:val="center"/>
            <w:hideMark/>
          </w:tcPr>
          <w:p w14:paraId="4C15EBE7" w14:textId="77777777" w:rsidR="00387142" w:rsidRPr="008B6A75" w:rsidRDefault="00387142" w:rsidP="00387142">
            <w:pPr>
              <w:jc w:val="center"/>
              <w:rPr>
                <w:sz w:val="20"/>
                <w:szCs w:val="20"/>
              </w:rPr>
            </w:pPr>
            <w:r w:rsidRPr="008B6A75">
              <w:rPr>
                <w:sz w:val="20"/>
                <w:szCs w:val="20"/>
              </w:rPr>
              <w:t>07.4.00.79500</w:t>
            </w:r>
          </w:p>
        </w:tc>
        <w:tc>
          <w:tcPr>
            <w:tcW w:w="955" w:type="dxa"/>
            <w:tcBorders>
              <w:top w:val="nil"/>
              <w:left w:val="single" w:sz="4" w:space="0" w:color="auto"/>
              <w:bottom w:val="nil"/>
              <w:right w:val="single" w:sz="4" w:space="0" w:color="auto"/>
            </w:tcBorders>
            <w:shd w:val="clear" w:color="auto" w:fill="auto"/>
            <w:noWrap/>
            <w:vAlign w:val="center"/>
            <w:hideMark/>
          </w:tcPr>
          <w:p w14:paraId="0007D2CA" w14:textId="77777777" w:rsidR="00387142" w:rsidRPr="008B6A75" w:rsidRDefault="00387142" w:rsidP="00387142">
            <w:pPr>
              <w:jc w:val="center"/>
              <w:rPr>
                <w:sz w:val="20"/>
                <w:szCs w:val="20"/>
              </w:rPr>
            </w:pPr>
            <w:r w:rsidRPr="008B6A75">
              <w:rPr>
                <w:sz w:val="20"/>
                <w:szCs w:val="20"/>
              </w:rPr>
              <w:t>600</w:t>
            </w:r>
          </w:p>
        </w:tc>
        <w:tc>
          <w:tcPr>
            <w:tcW w:w="992" w:type="dxa"/>
            <w:tcBorders>
              <w:top w:val="nil"/>
              <w:left w:val="single" w:sz="4" w:space="0" w:color="auto"/>
              <w:bottom w:val="nil"/>
              <w:right w:val="single" w:sz="4" w:space="0" w:color="auto"/>
            </w:tcBorders>
            <w:shd w:val="clear" w:color="auto" w:fill="auto"/>
            <w:noWrap/>
            <w:vAlign w:val="center"/>
            <w:hideMark/>
          </w:tcPr>
          <w:p w14:paraId="472E4901" w14:textId="77777777" w:rsidR="00387142" w:rsidRPr="008B6A75" w:rsidRDefault="00387142" w:rsidP="00387142">
            <w:pPr>
              <w:jc w:val="right"/>
              <w:rPr>
                <w:sz w:val="20"/>
                <w:szCs w:val="20"/>
              </w:rPr>
            </w:pPr>
            <w:r w:rsidRPr="008B6A75">
              <w:rPr>
                <w:sz w:val="20"/>
                <w:szCs w:val="20"/>
              </w:rPr>
              <w:t>54 880,00</w:t>
            </w:r>
          </w:p>
        </w:tc>
        <w:tc>
          <w:tcPr>
            <w:tcW w:w="992" w:type="dxa"/>
            <w:gridSpan w:val="2"/>
            <w:tcBorders>
              <w:top w:val="nil"/>
              <w:left w:val="single" w:sz="4" w:space="0" w:color="auto"/>
              <w:bottom w:val="nil"/>
              <w:right w:val="nil"/>
            </w:tcBorders>
            <w:shd w:val="clear" w:color="auto" w:fill="auto"/>
            <w:noWrap/>
            <w:vAlign w:val="center"/>
            <w:hideMark/>
          </w:tcPr>
          <w:p w14:paraId="55B378FD" w14:textId="77777777" w:rsidR="00387142" w:rsidRPr="008B6A75" w:rsidRDefault="00387142" w:rsidP="00387142">
            <w:pPr>
              <w:jc w:val="right"/>
              <w:rPr>
                <w:sz w:val="20"/>
                <w:szCs w:val="20"/>
              </w:rPr>
            </w:pPr>
            <w:r w:rsidRPr="008B6A75">
              <w:rPr>
                <w:sz w:val="20"/>
                <w:szCs w:val="20"/>
              </w:rPr>
              <w:t>0,00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61357047" w14:textId="77777777" w:rsidR="00387142" w:rsidRPr="008B6A75" w:rsidRDefault="00387142" w:rsidP="00387142">
            <w:pPr>
              <w:jc w:val="right"/>
              <w:rPr>
                <w:sz w:val="20"/>
                <w:szCs w:val="20"/>
              </w:rPr>
            </w:pPr>
            <w:r w:rsidRPr="008B6A75">
              <w:rPr>
                <w:sz w:val="20"/>
                <w:szCs w:val="20"/>
              </w:rPr>
              <w:t>0,00</w:t>
            </w:r>
          </w:p>
        </w:tc>
        <w:tc>
          <w:tcPr>
            <w:tcW w:w="222" w:type="dxa"/>
            <w:vAlign w:val="center"/>
            <w:hideMark/>
          </w:tcPr>
          <w:p w14:paraId="5A2142FC" w14:textId="77777777" w:rsidR="00387142" w:rsidRPr="008B6A75" w:rsidRDefault="00387142" w:rsidP="00387142">
            <w:pPr>
              <w:rPr>
                <w:sz w:val="20"/>
                <w:szCs w:val="20"/>
              </w:rPr>
            </w:pPr>
          </w:p>
        </w:tc>
      </w:tr>
      <w:tr w:rsidR="00387142" w:rsidRPr="008B6A75" w14:paraId="15859994" w14:textId="77777777" w:rsidTr="00387142">
        <w:trPr>
          <w:trHeight w:val="300"/>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12D3DDE9" w14:textId="77777777" w:rsidR="00387142" w:rsidRPr="008B6A75" w:rsidRDefault="00387142" w:rsidP="00387142">
            <w:pPr>
              <w:rPr>
                <w:sz w:val="20"/>
                <w:szCs w:val="20"/>
              </w:rPr>
            </w:pPr>
            <w:r w:rsidRPr="008B6A75">
              <w:rPr>
                <w:sz w:val="20"/>
                <w:szCs w:val="20"/>
              </w:rPr>
              <w:t>Субсидии бюджетным учреждениям</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64F4F98D" w14:textId="77777777" w:rsidR="00387142" w:rsidRPr="008B6A75" w:rsidRDefault="00387142" w:rsidP="00387142">
            <w:pPr>
              <w:jc w:val="center"/>
              <w:rPr>
                <w:sz w:val="20"/>
                <w:szCs w:val="20"/>
              </w:rPr>
            </w:pPr>
            <w:r w:rsidRPr="008B6A75">
              <w:rPr>
                <w:sz w:val="20"/>
                <w:szCs w:val="20"/>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2516821F" w14:textId="77777777" w:rsidR="00387142" w:rsidRPr="008B6A75" w:rsidRDefault="00387142" w:rsidP="00387142">
            <w:pPr>
              <w:jc w:val="center"/>
              <w:rPr>
                <w:sz w:val="20"/>
                <w:szCs w:val="20"/>
              </w:rPr>
            </w:pPr>
            <w:r w:rsidRPr="008B6A75">
              <w:rPr>
                <w:sz w:val="20"/>
                <w:szCs w:val="20"/>
              </w:rPr>
              <w:t>07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8AA851" w14:textId="77777777" w:rsidR="00387142" w:rsidRPr="008B6A75" w:rsidRDefault="00387142" w:rsidP="00387142">
            <w:pPr>
              <w:jc w:val="center"/>
              <w:rPr>
                <w:sz w:val="20"/>
                <w:szCs w:val="20"/>
              </w:rPr>
            </w:pPr>
            <w:r w:rsidRPr="008B6A75">
              <w:rPr>
                <w:sz w:val="20"/>
                <w:szCs w:val="20"/>
              </w:rPr>
              <w:t>02</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41680916" w14:textId="77777777" w:rsidR="00387142" w:rsidRPr="008B6A75" w:rsidRDefault="00387142" w:rsidP="00387142">
            <w:pPr>
              <w:jc w:val="center"/>
              <w:rPr>
                <w:sz w:val="20"/>
                <w:szCs w:val="20"/>
              </w:rPr>
            </w:pPr>
            <w:r w:rsidRPr="008B6A75">
              <w:rPr>
                <w:sz w:val="20"/>
                <w:szCs w:val="20"/>
              </w:rPr>
              <w:t>07.4.00.79500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316CEE" w14:textId="77777777" w:rsidR="00387142" w:rsidRPr="008B6A75" w:rsidRDefault="00387142" w:rsidP="00387142">
            <w:pPr>
              <w:jc w:val="center"/>
              <w:rPr>
                <w:sz w:val="20"/>
                <w:szCs w:val="20"/>
              </w:rPr>
            </w:pPr>
            <w:r w:rsidRPr="008B6A75">
              <w:rPr>
                <w:sz w:val="20"/>
                <w:szCs w:val="20"/>
              </w:rPr>
              <w:t>610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2CBB6E" w14:textId="77777777" w:rsidR="00387142" w:rsidRPr="008B6A75" w:rsidRDefault="00387142" w:rsidP="00387142">
            <w:pPr>
              <w:jc w:val="right"/>
              <w:rPr>
                <w:sz w:val="20"/>
                <w:szCs w:val="20"/>
              </w:rPr>
            </w:pPr>
            <w:r w:rsidRPr="008B6A75">
              <w:rPr>
                <w:sz w:val="20"/>
                <w:szCs w:val="20"/>
              </w:rPr>
              <w:t>54 880,00</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6D1F440C" w14:textId="77777777" w:rsidR="00387142" w:rsidRPr="008B6A75" w:rsidRDefault="00387142" w:rsidP="00387142">
            <w:pPr>
              <w:jc w:val="right"/>
              <w:rPr>
                <w:sz w:val="20"/>
                <w:szCs w:val="20"/>
              </w:rPr>
            </w:pPr>
            <w:r w:rsidRPr="008B6A75">
              <w:rPr>
                <w:sz w:val="20"/>
                <w:szCs w:val="20"/>
              </w:rPr>
              <w:t>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827F70" w14:textId="77777777" w:rsidR="00387142" w:rsidRPr="008B6A75" w:rsidRDefault="00387142" w:rsidP="00387142">
            <w:pPr>
              <w:jc w:val="right"/>
              <w:rPr>
                <w:sz w:val="20"/>
                <w:szCs w:val="20"/>
              </w:rPr>
            </w:pPr>
            <w:r w:rsidRPr="008B6A75">
              <w:rPr>
                <w:sz w:val="20"/>
                <w:szCs w:val="20"/>
              </w:rPr>
              <w:t>0,00</w:t>
            </w:r>
          </w:p>
        </w:tc>
        <w:tc>
          <w:tcPr>
            <w:tcW w:w="222" w:type="dxa"/>
            <w:vAlign w:val="center"/>
            <w:hideMark/>
          </w:tcPr>
          <w:p w14:paraId="205FC7ED" w14:textId="77777777" w:rsidR="00387142" w:rsidRPr="008B6A75" w:rsidRDefault="00387142" w:rsidP="00387142">
            <w:pPr>
              <w:rPr>
                <w:sz w:val="20"/>
                <w:szCs w:val="20"/>
              </w:rPr>
            </w:pPr>
          </w:p>
        </w:tc>
      </w:tr>
      <w:tr w:rsidR="00387142" w:rsidRPr="008B6A75" w14:paraId="6639AFFF" w14:textId="77777777" w:rsidTr="00387142">
        <w:trPr>
          <w:trHeight w:val="870"/>
        </w:trPr>
        <w:tc>
          <w:tcPr>
            <w:tcW w:w="3021" w:type="dxa"/>
            <w:tcBorders>
              <w:top w:val="nil"/>
              <w:left w:val="single" w:sz="4" w:space="0" w:color="auto"/>
              <w:bottom w:val="nil"/>
              <w:right w:val="nil"/>
            </w:tcBorders>
            <w:shd w:val="clear" w:color="auto" w:fill="auto"/>
            <w:vAlign w:val="center"/>
            <w:hideMark/>
          </w:tcPr>
          <w:p w14:paraId="41618B5F" w14:textId="77777777" w:rsidR="00387142" w:rsidRPr="008B6A75" w:rsidRDefault="00387142" w:rsidP="00387142">
            <w:pPr>
              <w:rPr>
                <w:bCs/>
                <w:sz w:val="20"/>
                <w:szCs w:val="20"/>
              </w:rPr>
            </w:pPr>
            <w:r w:rsidRPr="008B6A75">
              <w:rPr>
                <w:bCs/>
                <w:sz w:val="20"/>
                <w:szCs w:val="20"/>
              </w:rPr>
              <w:t>Муниципальная программа "Профилактика правонарушений, терроризма и экстремизма на территории Куйбышевского района"</w:t>
            </w:r>
          </w:p>
        </w:tc>
        <w:tc>
          <w:tcPr>
            <w:tcW w:w="850" w:type="dxa"/>
            <w:tcBorders>
              <w:top w:val="nil"/>
              <w:left w:val="single" w:sz="4" w:space="0" w:color="auto"/>
              <w:bottom w:val="nil"/>
              <w:right w:val="nil"/>
            </w:tcBorders>
            <w:shd w:val="clear" w:color="auto" w:fill="auto"/>
            <w:noWrap/>
            <w:vAlign w:val="center"/>
            <w:hideMark/>
          </w:tcPr>
          <w:p w14:paraId="562C95B9" w14:textId="77777777" w:rsidR="00387142" w:rsidRPr="008B6A75" w:rsidRDefault="00387142" w:rsidP="00387142">
            <w:pPr>
              <w:jc w:val="center"/>
              <w:rPr>
                <w:bCs/>
                <w:sz w:val="20"/>
                <w:szCs w:val="20"/>
              </w:rPr>
            </w:pPr>
            <w:r w:rsidRPr="008B6A75">
              <w:rPr>
                <w:bCs/>
                <w:sz w:val="20"/>
                <w:szCs w:val="20"/>
              </w:rPr>
              <w:t>444</w:t>
            </w:r>
          </w:p>
        </w:tc>
        <w:tc>
          <w:tcPr>
            <w:tcW w:w="709" w:type="dxa"/>
            <w:tcBorders>
              <w:top w:val="nil"/>
              <w:left w:val="single" w:sz="4" w:space="0" w:color="auto"/>
              <w:bottom w:val="nil"/>
              <w:right w:val="nil"/>
            </w:tcBorders>
            <w:shd w:val="clear" w:color="auto" w:fill="auto"/>
            <w:noWrap/>
            <w:vAlign w:val="center"/>
            <w:hideMark/>
          </w:tcPr>
          <w:p w14:paraId="0778CEB9" w14:textId="77777777" w:rsidR="00387142" w:rsidRPr="008B6A75" w:rsidRDefault="00387142" w:rsidP="00387142">
            <w:pPr>
              <w:jc w:val="center"/>
              <w:rPr>
                <w:bCs/>
                <w:sz w:val="20"/>
                <w:szCs w:val="20"/>
              </w:rPr>
            </w:pPr>
            <w:r w:rsidRPr="008B6A75">
              <w:rPr>
                <w:bCs/>
                <w:sz w:val="20"/>
                <w:szCs w:val="20"/>
              </w:rPr>
              <w:t>07</w:t>
            </w:r>
          </w:p>
        </w:tc>
        <w:tc>
          <w:tcPr>
            <w:tcW w:w="709" w:type="dxa"/>
            <w:tcBorders>
              <w:top w:val="nil"/>
              <w:left w:val="single" w:sz="4" w:space="0" w:color="auto"/>
              <w:bottom w:val="nil"/>
              <w:right w:val="single" w:sz="4" w:space="0" w:color="auto"/>
            </w:tcBorders>
            <w:shd w:val="clear" w:color="auto" w:fill="auto"/>
            <w:noWrap/>
            <w:vAlign w:val="center"/>
            <w:hideMark/>
          </w:tcPr>
          <w:p w14:paraId="409F53FE" w14:textId="77777777" w:rsidR="00387142" w:rsidRPr="008B6A75" w:rsidRDefault="00387142" w:rsidP="00387142">
            <w:pPr>
              <w:jc w:val="center"/>
              <w:rPr>
                <w:bCs/>
                <w:sz w:val="20"/>
                <w:szCs w:val="20"/>
              </w:rPr>
            </w:pPr>
            <w:r w:rsidRPr="008B6A75">
              <w:rPr>
                <w:bCs/>
                <w:sz w:val="20"/>
                <w:szCs w:val="20"/>
              </w:rPr>
              <w:t>02</w:t>
            </w:r>
          </w:p>
        </w:tc>
        <w:tc>
          <w:tcPr>
            <w:tcW w:w="1411" w:type="dxa"/>
            <w:tcBorders>
              <w:top w:val="nil"/>
              <w:left w:val="single" w:sz="4" w:space="0" w:color="auto"/>
              <w:bottom w:val="nil"/>
              <w:right w:val="nil"/>
            </w:tcBorders>
            <w:shd w:val="clear" w:color="auto" w:fill="auto"/>
            <w:noWrap/>
            <w:vAlign w:val="center"/>
            <w:hideMark/>
          </w:tcPr>
          <w:p w14:paraId="3B66075F" w14:textId="77777777" w:rsidR="00387142" w:rsidRPr="008B6A75" w:rsidRDefault="00387142" w:rsidP="00387142">
            <w:pPr>
              <w:jc w:val="center"/>
              <w:rPr>
                <w:bCs/>
                <w:sz w:val="20"/>
                <w:szCs w:val="20"/>
              </w:rPr>
            </w:pPr>
            <w:r w:rsidRPr="008B6A75">
              <w:rPr>
                <w:bCs/>
                <w:sz w:val="20"/>
                <w:szCs w:val="20"/>
              </w:rPr>
              <w:t>16.0.00.00000</w:t>
            </w:r>
          </w:p>
        </w:tc>
        <w:tc>
          <w:tcPr>
            <w:tcW w:w="955" w:type="dxa"/>
            <w:tcBorders>
              <w:top w:val="nil"/>
              <w:left w:val="single" w:sz="4" w:space="0" w:color="auto"/>
              <w:bottom w:val="nil"/>
              <w:right w:val="single" w:sz="4" w:space="0" w:color="auto"/>
            </w:tcBorders>
            <w:shd w:val="clear" w:color="auto" w:fill="auto"/>
            <w:noWrap/>
            <w:vAlign w:val="center"/>
            <w:hideMark/>
          </w:tcPr>
          <w:p w14:paraId="5435A805"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nil"/>
              <w:right w:val="single" w:sz="4" w:space="0" w:color="auto"/>
            </w:tcBorders>
            <w:shd w:val="clear" w:color="auto" w:fill="auto"/>
            <w:noWrap/>
            <w:vAlign w:val="center"/>
            <w:hideMark/>
          </w:tcPr>
          <w:p w14:paraId="297B9FDC" w14:textId="77777777" w:rsidR="00387142" w:rsidRPr="008B6A75" w:rsidRDefault="00387142" w:rsidP="00387142">
            <w:pPr>
              <w:jc w:val="right"/>
              <w:rPr>
                <w:bCs/>
                <w:sz w:val="20"/>
                <w:szCs w:val="20"/>
              </w:rPr>
            </w:pPr>
            <w:r w:rsidRPr="008B6A75">
              <w:rPr>
                <w:bCs/>
                <w:sz w:val="20"/>
                <w:szCs w:val="20"/>
              </w:rPr>
              <w:t>59 990,00</w:t>
            </w:r>
          </w:p>
        </w:tc>
        <w:tc>
          <w:tcPr>
            <w:tcW w:w="992" w:type="dxa"/>
            <w:gridSpan w:val="2"/>
            <w:tcBorders>
              <w:top w:val="nil"/>
              <w:left w:val="single" w:sz="4" w:space="0" w:color="auto"/>
              <w:bottom w:val="nil"/>
              <w:right w:val="nil"/>
            </w:tcBorders>
            <w:shd w:val="clear" w:color="auto" w:fill="auto"/>
            <w:noWrap/>
            <w:vAlign w:val="center"/>
            <w:hideMark/>
          </w:tcPr>
          <w:p w14:paraId="06B07ED0" w14:textId="77777777" w:rsidR="00387142" w:rsidRPr="008B6A75" w:rsidRDefault="00387142" w:rsidP="00387142">
            <w:pPr>
              <w:jc w:val="right"/>
              <w:rPr>
                <w:bCs/>
                <w:sz w:val="20"/>
                <w:szCs w:val="20"/>
              </w:rPr>
            </w:pPr>
            <w:r w:rsidRPr="008B6A75">
              <w:rPr>
                <w:bCs/>
                <w:sz w:val="20"/>
                <w:szCs w:val="20"/>
              </w:rPr>
              <w:t>0,00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3BFD9468" w14:textId="77777777" w:rsidR="00387142" w:rsidRPr="008B6A75" w:rsidRDefault="00387142" w:rsidP="00387142">
            <w:pPr>
              <w:jc w:val="right"/>
              <w:rPr>
                <w:bCs/>
                <w:sz w:val="20"/>
                <w:szCs w:val="20"/>
              </w:rPr>
            </w:pPr>
            <w:r w:rsidRPr="008B6A75">
              <w:rPr>
                <w:bCs/>
                <w:sz w:val="20"/>
                <w:szCs w:val="20"/>
              </w:rPr>
              <w:t>0,00</w:t>
            </w:r>
          </w:p>
        </w:tc>
        <w:tc>
          <w:tcPr>
            <w:tcW w:w="222" w:type="dxa"/>
            <w:vAlign w:val="center"/>
            <w:hideMark/>
          </w:tcPr>
          <w:p w14:paraId="0A331F05" w14:textId="77777777" w:rsidR="00387142" w:rsidRPr="008B6A75" w:rsidRDefault="00387142" w:rsidP="00387142">
            <w:pPr>
              <w:rPr>
                <w:sz w:val="20"/>
                <w:szCs w:val="20"/>
              </w:rPr>
            </w:pPr>
          </w:p>
        </w:tc>
      </w:tr>
      <w:tr w:rsidR="00387142" w:rsidRPr="008B6A75" w14:paraId="1C675E8B" w14:textId="77777777" w:rsidTr="00387142">
        <w:trPr>
          <w:trHeight w:val="1155"/>
        </w:trPr>
        <w:tc>
          <w:tcPr>
            <w:tcW w:w="3021" w:type="dxa"/>
            <w:tcBorders>
              <w:top w:val="single" w:sz="4" w:space="0" w:color="auto"/>
              <w:left w:val="single" w:sz="4" w:space="0" w:color="auto"/>
              <w:bottom w:val="nil"/>
              <w:right w:val="nil"/>
            </w:tcBorders>
            <w:shd w:val="clear" w:color="auto" w:fill="auto"/>
            <w:vAlign w:val="center"/>
            <w:hideMark/>
          </w:tcPr>
          <w:p w14:paraId="4E21B7C8" w14:textId="77777777" w:rsidR="00387142" w:rsidRPr="008B6A75" w:rsidRDefault="00387142" w:rsidP="00387142">
            <w:pPr>
              <w:rPr>
                <w:bCs/>
                <w:sz w:val="20"/>
                <w:szCs w:val="20"/>
              </w:rPr>
            </w:pPr>
            <w:r w:rsidRPr="008B6A75">
              <w:rPr>
                <w:bCs/>
                <w:sz w:val="20"/>
                <w:szCs w:val="20"/>
              </w:rPr>
              <w:t>Реализация мероприятий муниципальной программы "Профилактика правонарушений, терроризма и экстремизма на территории Куйбышевского района"</w:t>
            </w:r>
          </w:p>
        </w:tc>
        <w:tc>
          <w:tcPr>
            <w:tcW w:w="850" w:type="dxa"/>
            <w:tcBorders>
              <w:top w:val="single" w:sz="4" w:space="0" w:color="auto"/>
              <w:left w:val="single" w:sz="4" w:space="0" w:color="auto"/>
              <w:bottom w:val="nil"/>
              <w:right w:val="nil"/>
            </w:tcBorders>
            <w:shd w:val="clear" w:color="auto" w:fill="auto"/>
            <w:noWrap/>
            <w:vAlign w:val="center"/>
            <w:hideMark/>
          </w:tcPr>
          <w:p w14:paraId="7E944DF1" w14:textId="77777777" w:rsidR="00387142" w:rsidRPr="008B6A75" w:rsidRDefault="00387142" w:rsidP="00387142">
            <w:pPr>
              <w:jc w:val="center"/>
              <w:rPr>
                <w:bCs/>
                <w:sz w:val="20"/>
                <w:szCs w:val="20"/>
              </w:rPr>
            </w:pPr>
            <w:r w:rsidRPr="008B6A75">
              <w:rPr>
                <w:bCs/>
                <w:sz w:val="20"/>
                <w:szCs w:val="20"/>
              </w:rPr>
              <w:t>444</w:t>
            </w:r>
          </w:p>
        </w:tc>
        <w:tc>
          <w:tcPr>
            <w:tcW w:w="709" w:type="dxa"/>
            <w:tcBorders>
              <w:top w:val="single" w:sz="4" w:space="0" w:color="auto"/>
              <w:left w:val="single" w:sz="4" w:space="0" w:color="auto"/>
              <w:bottom w:val="nil"/>
              <w:right w:val="nil"/>
            </w:tcBorders>
            <w:shd w:val="clear" w:color="auto" w:fill="auto"/>
            <w:noWrap/>
            <w:vAlign w:val="center"/>
            <w:hideMark/>
          </w:tcPr>
          <w:p w14:paraId="1A7F1209" w14:textId="77777777" w:rsidR="00387142" w:rsidRPr="008B6A75" w:rsidRDefault="00387142" w:rsidP="00387142">
            <w:pPr>
              <w:jc w:val="center"/>
              <w:rPr>
                <w:bCs/>
                <w:sz w:val="20"/>
                <w:szCs w:val="20"/>
              </w:rPr>
            </w:pPr>
            <w:r w:rsidRPr="008B6A75">
              <w:rPr>
                <w:bCs/>
                <w:sz w:val="20"/>
                <w:szCs w:val="20"/>
              </w:rPr>
              <w:t>07</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17E3A3EF" w14:textId="77777777" w:rsidR="00387142" w:rsidRPr="008B6A75" w:rsidRDefault="00387142" w:rsidP="00387142">
            <w:pPr>
              <w:jc w:val="center"/>
              <w:rPr>
                <w:bCs/>
                <w:sz w:val="20"/>
                <w:szCs w:val="20"/>
              </w:rPr>
            </w:pPr>
            <w:r w:rsidRPr="008B6A75">
              <w:rPr>
                <w:bCs/>
                <w:sz w:val="20"/>
                <w:szCs w:val="20"/>
              </w:rPr>
              <w:t>02</w:t>
            </w:r>
          </w:p>
        </w:tc>
        <w:tc>
          <w:tcPr>
            <w:tcW w:w="1411" w:type="dxa"/>
            <w:tcBorders>
              <w:top w:val="single" w:sz="4" w:space="0" w:color="auto"/>
              <w:left w:val="single" w:sz="4" w:space="0" w:color="auto"/>
              <w:bottom w:val="nil"/>
              <w:right w:val="nil"/>
            </w:tcBorders>
            <w:shd w:val="clear" w:color="auto" w:fill="auto"/>
            <w:noWrap/>
            <w:vAlign w:val="center"/>
            <w:hideMark/>
          </w:tcPr>
          <w:p w14:paraId="1314D84D" w14:textId="77777777" w:rsidR="00387142" w:rsidRPr="008B6A75" w:rsidRDefault="00387142" w:rsidP="00387142">
            <w:pPr>
              <w:jc w:val="center"/>
              <w:rPr>
                <w:bCs/>
                <w:sz w:val="20"/>
                <w:szCs w:val="20"/>
              </w:rPr>
            </w:pPr>
            <w:r w:rsidRPr="008B6A75">
              <w:rPr>
                <w:bCs/>
                <w:sz w:val="20"/>
                <w:szCs w:val="20"/>
              </w:rPr>
              <w:t>16.0.00.79500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21BAB899" w14:textId="77777777" w:rsidR="00387142" w:rsidRPr="008B6A75" w:rsidRDefault="00387142" w:rsidP="00387142">
            <w:pPr>
              <w:jc w:val="center"/>
              <w:rPr>
                <w:bCs/>
                <w:sz w:val="20"/>
                <w:szCs w:val="20"/>
              </w:rPr>
            </w:pPr>
            <w:r w:rsidRPr="008B6A75">
              <w:rPr>
                <w:bCs/>
                <w:sz w:val="20"/>
                <w:szCs w:val="20"/>
              </w:rPr>
              <w:t> </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13488905" w14:textId="77777777" w:rsidR="00387142" w:rsidRPr="008B6A75" w:rsidRDefault="00387142" w:rsidP="00387142">
            <w:pPr>
              <w:jc w:val="right"/>
              <w:rPr>
                <w:bCs/>
                <w:sz w:val="20"/>
                <w:szCs w:val="20"/>
              </w:rPr>
            </w:pPr>
            <w:r w:rsidRPr="008B6A75">
              <w:rPr>
                <w:bCs/>
                <w:sz w:val="20"/>
                <w:szCs w:val="20"/>
              </w:rPr>
              <w:t>59 990,00</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60BD4A93" w14:textId="77777777" w:rsidR="00387142" w:rsidRPr="008B6A75" w:rsidRDefault="00387142" w:rsidP="00387142">
            <w:pPr>
              <w:jc w:val="right"/>
              <w:rPr>
                <w:bCs/>
                <w:sz w:val="20"/>
                <w:szCs w:val="20"/>
              </w:rPr>
            </w:pPr>
            <w:r w:rsidRPr="008B6A75">
              <w:rPr>
                <w:bCs/>
                <w:sz w:val="20"/>
                <w:szCs w:val="20"/>
              </w:rPr>
              <w:t>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58E2C75C" w14:textId="77777777" w:rsidR="00387142" w:rsidRPr="008B6A75" w:rsidRDefault="00387142" w:rsidP="00387142">
            <w:pPr>
              <w:jc w:val="right"/>
              <w:rPr>
                <w:bCs/>
                <w:sz w:val="20"/>
                <w:szCs w:val="20"/>
              </w:rPr>
            </w:pPr>
            <w:r w:rsidRPr="008B6A75">
              <w:rPr>
                <w:bCs/>
                <w:sz w:val="20"/>
                <w:szCs w:val="20"/>
              </w:rPr>
              <w:t>0,00</w:t>
            </w:r>
          </w:p>
        </w:tc>
        <w:tc>
          <w:tcPr>
            <w:tcW w:w="222" w:type="dxa"/>
            <w:vAlign w:val="center"/>
            <w:hideMark/>
          </w:tcPr>
          <w:p w14:paraId="0F070C16" w14:textId="77777777" w:rsidR="00387142" w:rsidRPr="008B6A75" w:rsidRDefault="00387142" w:rsidP="00387142">
            <w:pPr>
              <w:rPr>
                <w:sz w:val="20"/>
                <w:szCs w:val="20"/>
              </w:rPr>
            </w:pPr>
          </w:p>
        </w:tc>
      </w:tr>
      <w:tr w:rsidR="00387142" w:rsidRPr="008B6A75" w14:paraId="1969B9B5" w14:textId="77777777" w:rsidTr="00387142">
        <w:trPr>
          <w:trHeight w:val="585"/>
        </w:trPr>
        <w:tc>
          <w:tcPr>
            <w:tcW w:w="3021" w:type="dxa"/>
            <w:tcBorders>
              <w:top w:val="single" w:sz="4" w:space="0" w:color="auto"/>
              <w:left w:val="single" w:sz="4" w:space="0" w:color="auto"/>
              <w:bottom w:val="nil"/>
              <w:right w:val="nil"/>
            </w:tcBorders>
            <w:shd w:val="clear" w:color="auto" w:fill="auto"/>
            <w:vAlign w:val="center"/>
            <w:hideMark/>
          </w:tcPr>
          <w:p w14:paraId="44A2B6F7" w14:textId="77777777" w:rsidR="00387142" w:rsidRPr="008B6A75" w:rsidRDefault="00387142" w:rsidP="00387142">
            <w:pPr>
              <w:rPr>
                <w:sz w:val="20"/>
                <w:szCs w:val="20"/>
              </w:rPr>
            </w:pPr>
            <w:r w:rsidRPr="008B6A75">
              <w:rPr>
                <w:sz w:val="20"/>
                <w:szCs w:val="20"/>
              </w:rPr>
              <w:lastRenderedPageBreak/>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nil"/>
              <w:right w:val="nil"/>
            </w:tcBorders>
            <w:shd w:val="clear" w:color="auto" w:fill="auto"/>
            <w:noWrap/>
            <w:vAlign w:val="center"/>
            <w:hideMark/>
          </w:tcPr>
          <w:p w14:paraId="3151EB9C" w14:textId="77777777" w:rsidR="00387142" w:rsidRPr="008B6A75" w:rsidRDefault="00387142" w:rsidP="00387142">
            <w:pPr>
              <w:jc w:val="center"/>
              <w:rPr>
                <w:sz w:val="20"/>
                <w:szCs w:val="20"/>
              </w:rPr>
            </w:pPr>
            <w:r w:rsidRPr="008B6A75">
              <w:rPr>
                <w:sz w:val="20"/>
                <w:szCs w:val="20"/>
              </w:rPr>
              <w:t>444</w:t>
            </w:r>
          </w:p>
        </w:tc>
        <w:tc>
          <w:tcPr>
            <w:tcW w:w="709" w:type="dxa"/>
            <w:tcBorders>
              <w:top w:val="single" w:sz="4" w:space="0" w:color="auto"/>
              <w:left w:val="single" w:sz="4" w:space="0" w:color="auto"/>
              <w:bottom w:val="nil"/>
              <w:right w:val="nil"/>
            </w:tcBorders>
            <w:shd w:val="clear" w:color="auto" w:fill="auto"/>
            <w:noWrap/>
            <w:vAlign w:val="center"/>
            <w:hideMark/>
          </w:tcPr>
          <w:p w14:paraId="2EC89D42" w14:textId="77777777" w:rsidR="00387142" w:rsidRPr="008B6A75" w:rsidRDefault="00387142" w:rsidP="00387142">
            <w:pPr>
              <w:jc w:val="center"/>
              <w:rPr>
                <w:sz w:val="20"/>
                <w:szCs w:val="20"/>
              </w:rPr>
            </w:pPr>
            <w:r w:rsidRPr="008B6A75">
              <w:rPr>
                <w:sz w:val="20"/>
                <w:szCs w:val="20"/>
              </w:rPr>
              <w:t>07</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6145C1CB" w14:textId="77777777" w:rsidR="00387142" w:rsidRPr="008B6A75" w:rsidRDefault="00387142" w:rsidP="00387142">
            <w:pPr>
              <w:jc w:val="center"/>
              <w:rPr>
                <w:sz w:val="20"/>
                <w:szCs w:val="20"/>
              </w:rPr>
            </w:pPr>
            <w:r w:rsidRPr="008B6A75">
              <w:rPr>
                <w:sz w:val="20"/>
                <w:szCs w:val="20"/>
              </w:rPr>
              <w:t>02</w:t>
            </w:r>
          </w:p>
        </w:tc>
        <w:tc>
          <w:tcPr>
            <w:tcW w:w="1411" w:type="dxa"/>
            <w:tcBorders>
              <w:top w:val="single" w:sz="4" w:space="0" w:color="auto"/>
              <w:left w:val="single" w:sz="4" w:space="0" w:color="auto"/>
              <w:bottom w:val="nil"/>
              <w:right w:val="nil"/>
            </w:tcBorders>
            <w:shd w:val="clear" w:color="auto" w:fill="auto"/>
            <w:noWrap/>
            <w:vAlign w:val="center"/>
            <w:hideMark/>
          </w:tcPr>
          <w:p w14:paraId="4C287A43" w14:textId="77777777" w:rsidR="00387142" w:rsidRPr="008B6A75" w:rsidRDefault="00387142" w:rsidP="00387142">
            <w:pPr>
              <w:jc w:val="center"/>
              <w:rPr>
                <w:sz w:val="20"/>
                <w:szCs w:val="20"/>
              </w:rPr>
            </w:pPr>
            <w:r w:rsidRPr="008B6A75">
              <w:rPr>
                <w:sz w:val="20"/>
                <w:szCs w:val="20"/>
              </w:rPr>
              <w:t>16.0.00.79500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47E73D4C" w14:textId="77777777" w:rsidR="00387142" w:rsidRPr="008B6A75" w:rsidRDefault="00387142" w:rsidP="00387142">
            <w:pPr>
              <w:jc w:val="center"/>
              <w:rPr>
                <w:sz w:val="20"/>
                <w:szCs w:val="20"/>
              </w:rPr>
            </w:pPr>
            <w:r w:rsidRPr="008B6A75">
              <w:rPr>
                <w:sz w:val="20"/>
                <w:szCs w:val="20"/>
              </w:rPr>
              <w:t>200</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0D27681A" w14:textId="77777777" w:rsidR="00387142" w:rsidRPr="008B6A75" w:rsidRDefault="00387142" w:rsidP="00387142">
            <w:pPr>
              <w:jc w:val="right"/>
              <w:rPr>
                <w:sz w:val="20"/>
                <w:szCs w:val="20"/>
              </w:rPr>
            </w:pPr>
            <w:r w:rsidRPr="008B6A75">
              <w:rPr>
                <w:sz w:val="20"/>
                <w:szCs w:val="20"/>
              </w:rPr>
              <w:t>55 705,00</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3BD1589B" w14:textId="77777777" w:rsidR="00387142" w:rsidRPr="008B6A75" w:rsidRDefault="00387142" w:rsidP="00387142">
            <w:pPr>
              <w:jc w:val="right"/>
              <w:rPr>
                <w:sz w:val="20"/>
                <w:szCs w:val="20"/>
              </w:rPr>
            </w:pPr>
            <w:r w:rsidRPr="008B6A75">
              <w:rPr>
                <w:sz w:val="20"/>
                <w:szCs w:val="20"/>
              </w:rPr>
              <w:t>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6940FDC2" w14:textId="77777777" w:rsidR="00387142" w:rsidRPr="008B6A75" w:rsidRDefault="00387142" w:rsidP="00387142">
            <w:pPr>
              <w:jc w:val="right"/>
              <w:rPr>
                <w:sz w:val="20"/>
                <w:szCs w:val="20"/>
              </w:rPr>
            </w:pPr>
            <w:r w:rsidRPr="008B6A75">
              <w:rPr>
                <w:sz w:val="20"/>
                <w:szCs w:val="20"/>
              </w:rPr>
              <w:t>0,00</w:t>
            </w:r>
          </w:p>
        </w:tc>
        <w:tc>
          <w:tcPr>
            <w:tcW w:w="222" w:type="dxa"/>
            <w:vAlign w:val="center"/>
            <w:hideMark/>
          </w:tcPr>
          <w:p w14:paraId="7D53F84E" w14:textId="77777777" w:rsidR="00387142" w:rsidRPr="008B6A75" w:rsidRDefault="00387142" w:rsidP="00387142">
            <w:pPr>
              <w:rPr>
                <w:sz w:val="20"/>
                <w:szCs w:val="20"/>
              </w:rPr>
            </w:pPr>
          </w:p>
        </w:tc>
      </w:tr>
      <w:tr w:rsidR="00387142" w:rsidRPr="008B6A75" w14:paraId="28E7617C" w14:textId="77777777" w:rsidTr="00387142">
        <w:trPr>
          <w:trHeight w:val="870"/>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0806017D" w14:textId="77777777" w:rsidR="00387142" w:rsidRPr="008B6A75" w:rsidRDefault="00387142" w:rsidP="00387142">
            <w:pPr>
              <w:rPr>
                <w:sz w:val="20"/>
                <w:szCs w:val="20"/>
              </w:rPr>
            </w:pPr>
            <w:r w:rsidRPr="008B6A75">
              <w:rPr>
                <w:sz w:val="20"/>
                <w:szCs w:val="20"/>
              </w:rPr>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6973DCBE" w14:textId="77777777" w:rsidR="00387142" w:rsidRPr="008B6A75" w:rsidRDefault="00387142" w:rsidP="00387142">
            <w:pPr>
              <w:jc w:val="center"/>
              <w:rPr>
                <w:sz w:val="20"/>
                <w:szCs w:val="20"/>
              </w:rPr>
            </w:pPr>
            <w:r w:rsidRPr="008B6A75">
              <w:rPr>
                <w:sz w:val="20"/>
                <w:szCs w:val="20"/>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1CE8580A" w14:textId="77777777" w:rsidR="00387142" w:rsidRPr="008B6A75" w:rsidRDefault="00387142" w:rsidP="00387142">
            <w:pPr>
              <w:jc w:val="center"/>
              <w:rPr>
                <w:sz w:val="20"/>
                <w:szCs w:val="20"/>
              </w:rPr>
            </w:pPr>
            <w:r w:rsidRPr="008B6A75">
              <w:rPr>
                <w:sz w:val="20"/>
                <w:szCs w:val="20"/>
              </w:rPr>
              <w:t>07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864A82" w14:textId="77777777" w:rsidR="00387142" w:rsidRPr="008B6A75" w:rsidRDefault="00387142" w:rsidP="00387142">
            <w:pPr>
              <w:jc w:val="center"/>
              <w:rPr>
                <w:sz w:val="20"/>
                <w:szCs w:val="20"/>
              </w:rPr>
            </w:pPr>
            <w:r w:rsidRPr="008B6A75">
              <w:rPr>
                <w:sz w:val="20"/>
                <w:szCs w:val="20"/>
              </w:rPr>
              <w:t>02</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72E50CA7" w14:textId="77777777" w:rsidR="00387142" w:rsidRPr="008B6A75" w:rsidRDefault="00387142" w:rsidP="00387142">
            <w:pPr>
              <w:jc w:val="center"/>
              <w:rPr>
                <w:sz w:val="20"/>
                <w:szCs w:val="20"/>
              </w:rPr>
            </w:pPr>
            <w:r w:rsidRPr="008B6A75">
              <w:rPr>
                <w:sz w:val="20"/>
                <w:szCs w:val="20"/>
              </w:rPr>
              <w:t>16.0.00.79500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23620B" w14:textId="77777777" w:rsidR="00387142" w:rsidRPr="008B6A75" w:rsidRDefault="00387142" w:rsidP="00387142">
            <w:pPr>
              <w:jc w:val="center"/>
              <w:rPr>
                <w:sz w:val="20"/>
                <w:szCs w:val="20"/>
              </w:rPr>
            </w:pPr>
            <w:r w:rsidRPr="008B6A75">
              <w:rPr>
                <w:sz w:val="20"/>
                <w:szCs w:val="20"/>
              </w:rPr>
              <w:t>240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75381B" w14:textId="77777777" w:rsidR="00387142" w:rsidRPr="008B6A75" w:rsidRDefault="00387142" w:rsidP="00387142">
            <w:pPr>
              <w:jc w:val="right"/>
              <w:rPr>
                <w:sz w:val="20"/>
                <w:szCs w:val="20"/>
              </w:rPr>
            </w:pPr>
            <w:r w:rsidRPr="008B6A75">
              <w:rPr>
                <w:sz w:val="20"/>
                <w:szCs w:val="20"/>
              </w:rPr>
              <w:t>55 705,00</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0BF6442B" w14:textId="77777777" w:rsidR="00387142" w:rsidRPr="008B6A75" w:rsidRDefault="00387142" w:rsidP="00387142">
            <w:pPr>
              <w:jc w:val="right"/>
              <w:rPr>
                <w:sz w:val="20"/>
                <w:szCs w:val="20"/>
              </w:rPr>
            </w:pPr>
            <w:r w:rsidRPr="008B6A75">
              <w:rPr>
                <w:sz w:val="20"/>
                <w:szCs w:val="20"/>
              </w:rPr>
              <w:t>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A1EFBB" w14:textId="77777777" w:rsidR="00387142" w:rsidRPr="008B6A75" w:rsidRDefault="00387142" w:rsidP="00387142">
            <w:pPr>
              <w:jc w:val="right"/>
              <w:rPr>
                <w:sz w:val="20"/>
                <w:szCs w:val="20"/>
              </w:rPr>
            </w:pPr>
            <w:r w:rsidRPr="008B6A75">
              <w:rPr>
                <w:sz w:val="20"/>
                <w:szCs w:val="20"/>
              </w:rPr>
              <w:t>0,00</w:t>
            </w:r>
          </w:p>
        </w:tc>
        <w:tc>
          <w:tcPr>
            <w:tcW w:w="222" w:type="dxa"/>
            <w:vAlign w:val="center"/>
            <w:hideMark/>
          </w:tcPr>
          <w:p w14:paraId="3C767EB3" w14:textId="77777777" w:rsidR="00387142" w:rsidRPr="008B6A75" w:rsidRDefault="00387142" w:rsidP="00387142">
            <w:pPr>
              <w:rPr>
                <w:sz w:val="20"/>
                <w:szCs w:val="20"/>
              </w:rPr>
            </w:pPr>
          </w:p>
        </w:tc>
      </w:tr>
      <w:tr w:rsidR="00387142" w:rsidRPr="008B6A75" w14:paraId="7FF8451F" w14:textId="77777777" w:rsidTr="00387142">
        <w:trPr>
          <w:trHeight w:val="870"/>
        </w:trPr>
        <w:tc>
          <w:tcPr>
            <w:tcW w:w="3021" w:type="dxa"/>
            <w:tcBorders>
              <w:top w:val="nil"/>
              <w:left w:val="single" w:sz="4" w:space="0" w:color="auto"/>
              <w:bottom w:val="nil"/>
              <w:right w:val="nil"/>
            </w:tcBorders>
            <w:shd w:val="clear" w:color="auto" w:fill="auto"/>
            <w:vAlign w:val="center"/>
            <w:hideMark/>
          </w:tcPr>
          <w:p w14:paraId="4F93A9CA" w14:textId="77777777" w:rsidR="00387142" w:rsidRPr="008B6A75" w:rsidRDefault="00387142" w:rsidP="00387142">
            <w:pPr>
              <w:rPr>
                <w:sz w:val="20"/>
                <w:szCs w:val="20"/>
              </w:rPr>
            </w:pPr>
            <w:r w:rsidRPr="008B6A75">
              <w:rPr>
                <w:sz w:val="20"/>
                <w:szCs w:val="20"/>
              </w:rPr>
              <w:t>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right w:val="nil"/>
            </w:tcBorders>
            <w:shd w:val="clear" w:color="auto" w:fill="auto"/>
            <w:noWrap/>
            <w:vAlign w:val="center"/>
            <w:hideMark/>
          </w:tcPr>
          <w:p w14:paraId="6EE578C1" w14:textId="77777777" w:rsidR="00387142" w:rsidRPr="008B6A75" w:rsidRDefault="00387142" w:rsidP="00387142">
            <w:pPr>
              <w:jc w:val="center"/>
              <w:rPr>
                <w:sz w:val="20"/>
                <w:szCs w:val="20"/>
              </w:rPr>
            </w:pPr>
            <w:r w:rsidRPr="008B6A75">
              <w:rPr>
                <w:sz w:val="20"/>
                <w:szCs w:val="20"/>
              </w:rPr>
              <w:t>444</w:t>
            </w:r>
          </w:p>
        </w:tc>
        <w:tc>
          <w:tcPr>
            <w:tcW w:w="709" w:type="dxa"/>
            <w:tcBorders>
              <w:top w:val="nil"/>
              <w:left w:val="single" w:sz="4" w:space="0" w:color="auto"/>
              <w:bottom w:val="nil"/>
              <w:right w:val="nil"/>
            </w:tcBorders>
            <w:shd w:val="clear" w:color="auto" w:fill="auto"/>
            <w:noWrap/>
            <w:vAlign w:val="center"/>
            <w:hideMark/>
          </w:tcPr>
          <w:p w14:paraId="7456842A" w14:textId="77777777" w:rsidR="00387142" w:rsidRPr="008B6A75" w:rsidRDefault="00387142" w:rsidP="00387142">
            <w:pPr>
              <w:jc w:val="center"/>
              <w:rPr>
                <w:sz w:val="20"/>
                <w:szCs w:val="20"/>
              </w:rPr>
            </w:pPr>
            <w:r w:rsidRPr="008B6A75">
              <w:rPr>
                <w:sz w:val="20"/>
                <w:szCs w:val="20"/>
              </w:rPr>
              <w:t>07</w:t>
            </w:r>
          </w:p>
        </w:tc>
        <w:tc>
          <w:tcPr>
            <w:tcW w:w="709" w:type="dxa"/>
            <w:tcBorders>
              <w:top w:val="nil"/>
              <w:left w:val="single" w:sz="4" w:space="0" w:color="auto"/>
              <w:bottom w:val="nil"/>
              <w:right w:val="single" w:sz="4" w:space="0" w:color="auto"/>
            </w:tcBorders>
            <w:shd w:val="clear" w:color="auto" w:fill="auto"/>
            <w:noWrap/>
            <w:vAlign w:val="center"/>
            <w:hideMark/>
          </w:tcPr>
          <w:p w14:paraId="3619296F" w14:textId="77777777" w:rsidR="00387142" w:rsidRPr="008B6A75" w:rsidRDefault="00387142" w:rsidP="00387142">
            <w:pPr>
              <w:jc w:val="center"/>
              <w:rPr>
                <w:sz w:val="20"/>
                <w:szCs w:val="20"/>
              </w:rPr>
            </w:pPr>
            <w:r w:rsidRPr="008B6A75">
              <w:rPr>
                <w:sz w:val="20"/>
                <w:szCs w:val="20"/>
              </w:rPr>
              <w:t>02</w:t>
            </w:r>
          </w:p>
        </w:tc>
        <w:tc>
          <w:tcPr>
            <w:tcW w:w="1411" w:type="dxa"/>
            <w:tcBorders>
              <w:top w:val="nil"/>
              <w:left w:val="single" w:sz="4" w:space="0" w:color="auto"/>
              <w:bottom w:val="nil"/>
              <w:right w:val="nil"/>
            </w:tcBorders>
            <w:shd w:val="clear" w:color="auto" w:fill="auto"/>
            <w:noWrap/>
            <w:vAlign w:val="center"/>
            <w:hideMark/>
          </w:tcPr>
          <w:p w14:paraId="7E5749A2" w14:textId="77777777" w:rsidR="00387142" w:rsidRPr="008B6A75" w:rsidRDefault="00387142" w:rsidP="00387142">
            <w:pPr>
              <w:jc w:val="center"/>
              <w:rPr>
                <w:sz w:val="20"/>
                <w:szCs w:val="20"/>
              </w:rPr>
            </w:pPr>
            <w:r w:rsidRPr="008B6A75">
              <w:rPr>
                <w:sz w:val="20"/>
                <w:szCs w:val="20"/>
              </w:rPr>
              <w:t>16.0.00.79500</w:t>
            </w:r>
          </w:p>
        </w:tc>
        <w:tc>
          <w:tcPr>
            <w:tcW w:w="955" w:type="dxa"/>
            <w:tcBorders>
              <w:top w:val="nil"/>
              <w:left w:val="single" w:sz="4" w:space="0" w:color="auto"/>
              <w:bottom w:val="nil"/>
              <w:right w:val="single" w:sz="4" w:space="0" w:color="auto"/>
            </w:tcBorders>
            <w:shd w:val="clear" w:color="auto" w:fill="auto"/>
            <w:noWrap/>
            <w:vAlign w:val="center"/>
            <w:hideMark/>
          </w:tcPr>
          <w:p w14:paraId="75B0C289" w14:textId="77777777" w:rsidR="00387142" w:rsidRPr="008B6A75" w:rsidRDefault="00387142" w:rsidP="00387142">
            <w:pPr>
              <w:jc w:val="center"/>
              <w:rPr>
                <w:sz w:val="20"/>
                <w:szCs w:val="20"/>
              </w:rPr>
            </w:pPr>
            <w:r w:rsidRPr="008B6A75">
              <w:rPr>
                <w:sz w:val="20"/>
                <w:szCs w:val="20"/>
              </w:rPr>
              <w:t>600</w:t>
            </w:r>
          </w:p>
        </w:tc>
        <w:tc>
          <w:tcPr>
            <w:tcW w:w="992" w:type="dxa"/>
            <w:tcBorders>
              <w:top w:val="nil"/>
              <w:left w:val="single" w:sz="4" w:space="0" w:color="auto"/>
              <w:bottom w:val="nil"/>
              <w:right w:val="single" w:sz="4" w:space="0" w:color="auto"/>
            </w:tcBorders>
            <w:shd w:val="clear" w:color="auto" w:fill="auto"/>
            <w:noWrap/>
            <w:vAlign w:val="center"/>
            <w:hideMark/>
          </w:tcPr>
          <w:p w14:paraId="1923F72F" w14:textId="77777777" w:rsidR="00387142" w:rsidRPr="008B6A75" w:rsidRDefault="00387142" w:rsidP="00387142">
            <w:pPr>
              <w:jc w:val="right"/>
              <w:rPr>
                <w:sz w:val="20"/>
                <w:szCs w:val="20"/>
              </w:rPr>
            </w:pPr>
            <w:r w:rsidRPr="008B6A75">
              <w:rPr>
                <w:sz w:val="20"/>
                <w:szCs w:val="20"/>
              </w:rPr>
              <w:t>4 285,00</w:t>
            </w:r>
          </w:p>
        </w:tc>
        <w:tc>
          <w:tcPr>
            <w:tcW w:w="992" w:type="dxa"/>
            <w:gridSpan w:val="2"/>
            <w:tcBorders>
              <w:top w:val="nil"/>
              <w:left w:val="single" w:sz="4" w:space="0" w:color="auto"/>
              <w:bottom w:val="nil"/>
              <w:right w:val="nil"/>
            </w:tcBorders>
            <w:shd w:val="clear" w:color="auto" w:fill="auto"/>
            <w:noWrap/>
            <w:vAlign w:val="center"/>
            <w:hideMark/>
          </w:tcPr>
          <w:p w14:paraId="13CE91D4" w14:textId="77777777" w:rsidR="00387142" w:rsidRPr="008B6A75" w:rsidRDefault="00387142" w:rsidP="00387142">
            <w:pPr>
              <w:jc w:val="right"/>
              <w:rPr>
                <w:sz w:val="20"/>
                <w:szCs w:val="20"/>
              </w:rPr>
            </w:pPr>
            <w:r w:rsidRPr="008B6A75">
              <w:rPr>
                <w:sz w:val="20"/>
                <w:szCs w:val="20"/>
              </w:rPr>
              <w:t>0,00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76BD3DFD" w14:textId="77777777" w:rsidR="00387142" w:rsidRPr="008B6A75" w:rsidRDefault="00387142" w:rsidP="00387142">
            <w:pPr>
              <w:jc w:val="right"/>
              <w:rPr>
                <w:sz w:val="20"/>
                <w:szCs w:val="20"/>
              </w:rPr>
            </w:pPr>
            <w:r w:rsidRPr="008B6A75">
              <w:rPr>
                <w:sz w:val="20"/>
                <w:szCs w:val="20"/>
              </w:rPr>
              <w:t>0,00</w:t>
            </w:r>
          </w:p>
        </w:tc>
        <w:tc>
          <w:tcPr>
            <w:tcW w:w="222" w:type="dxa"/>
            <w:vAlign w:val="center"/>
            <w:hideMark/>
          </w:tcPr>
          <w:p w14:paraId="55001A28" w14:textId="77777777" w:rsidR="00387142" w:rsidRPr="008B6A75" w:rsidRDefault="00387142" w:rsidP="00387142">
            <w:pPr>
              <w:rPr>
                <w:sz w:val="20"/>
                <w:szCs w:val="20"/>
              </w:rPr>
            </w:pPr>
          </w:p>
        </w:tc>
      </w:tr>
      <w:tr w:rsidR="00387142" w:rsidRPr="008B6A75" w14:paraId="2B11D9AC" w14:textId="77777777" w:rsidTr="00387142">
        <w:trPr>
          <w:trHeight w:val="300"/>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7280B93C" w14:textId="77777777" w:rsidR="00387142" w:rsidRPr="008B6A75" w:rsidRDefault="00387142" w:rsidP="00387142">
            <w:pPr>
              <w:rPr>
                <w:sz w:val="20"/>
                <w:szCs w:val="20"/>
              </w:rPr>
            </w:pPr>
            <w:r w:rsidRPr="008B6A75">
              <w:rPr>
                <w:sz w:val="20"/>
                <w:szCs w:val="20"/>
              </w:rPr>
              <w:t>Субсидии бюджетным учреждениям</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4F4F201E" w14:textId="77777777" w:rsidR="00387142" w:rsidRPr="008B6A75" w:rsidRDefault="00387142" w:rsidP="00387142">
            <w:pPr>
              <w:jc w:val="center"/>
              <w:rPr>
                <w:sz w:val="20"/>
                <w:szCs w:val="20"/>
              </w:rPr>
            </w:pPr>
            <w:r w:rsidRPr="008B6A75">
              <w:rPr>
                <w:sz w:val="20"/>
                <w:szCs w:val="20"/>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298FF957" w14:textId="77777777" w:rsidR="00387142" w:rsidRPr="008B6A75" w:rsidRDefault="00387142" w:rsidP="00387142">
            <w:pPr>
              <w:jc w:val="center"/>
              <w:rPr>
                <w:sz w:val="20"/>
                <w:szCs w:val="20"/>
              </w:rPr>
            </w:pPr>
            <w:r w:rsidRPr="008B6A75">
              <w:rPr>
                <w:sz w:val="20"/>
                <w:szCs w:val="20"/>
              </w:rPr>
              <w:t>07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5D3B4D" w14:textId="77777777" w:rsidR="00387142" w:rsidRPr="008B6A75" w:rsidRDefault="00387142" w:rsidP="00387142">
            <w:pPr>
              <w:jc w:val="center"/>
              <w:rPr>
                <w:sz w:val="20"/>
                <w:szCs w:val="20"/>
              </w:rPr>
            </w:pPr>
            <w:r w:rsidRPr="008B6A75">
              <w:rPr>
                <w:sz w:val="20"/>
                <w:szCs w:val="20"/>
              </w:rPr>
              <w:t>02</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7AB8B164" w14:textId="77777777" w:rsidR="00387142" w:rsidRPr="008B6A75" w:rsidRDefault="00387142" w:rsidP="00387142">
            <w:pPr>
              <w:jc w:val="center"/>
              <w:rPr>
                <w:sz w:val="20"/>
                <w:szCs w:val="20"/>
              </w:rPr>
            </w:pPr>
            <w:r w:rsidRPr="008B6A75">
              <w:rPr>
                <w:sz w:val="20"/>
                <w:szCs w:val="20"/>
              </w:rPr>
              <w:t>16.0.00.79500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7A40EB" w14:textId="77777777" w:rsidR="00387142" w:rsidRPr="008B6A75" w:rsidRDefault="00387142" w:rsidP="00387142">
            <w:pPr>
              <w:jc w:val="center"/>
              <w:rPr>
                <w:sz w:val="20"/>
                <w:szCs w:val="20"/>
              </w:rPr>
            </w:pPr>
            <w:r w:rsidRPr="008B6A75">
              <w:rPr>
                <w:sz w:val="20"/>
                <w:szCs w:val="20"/>
              </w:rPr>
              <w:t>610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1926F3" w14:textId="77777777" w:rsidR="00387142" w:rsidRPr="008B6A75" w:rsidRDefault="00387142" w:rsidP="00387142">
            <w:pPr>
              <w:jc w:val="right"/>
              <w:rPr>
                <w:sz w:val="20"/>
                <w:szCs w:val="20"/>
              </w:rPr>
            </w:pPr>
            <w:r w:rsidRPr="008B6A75">
              <w:rPr>
                <w:sz w:val="20"/>
                <w:szCs w:val="20"/>
              </w:rPr>
              <w:t>4 285,00</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62F81F3A" w14:textId="77777777" w:rsidR="00387142" w:rsidRPr="008B6A75" w:rsidRDefault="00387142" w:rsidP="00387142">
            <w:pPr>
              <w:jc w:val="right"/>
              <w:rPr>
                <w:sz w:val="20"/>
                <w:szCs w:val="20"/>
              </w:rPr>
            </w:pPr>
            <w:r w:rsidRPr="008B6A75">
              <w:rPr>
                <w:sz w:val="20"/>
                <w:szCs w:val="20"/>
              </w:rPr>
              <w:t>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D2E3F0" w14:textId="77777777" w:rsidR="00387142" w:rsidRPr="008B6A75" w:rsidRDefault="00387142" w:rsidP="00387142">
            <w:pPr>
              <w:jc w:val="right"/>
              <w:rPr>
                <w:sz w:val="20"/>
                <w:szCs w:val="20"/>
              </w:rPr>
            </w:pPr>
            <w:r w:rsidRPr="008B6A75">
              <w:rPr>
                <w:sz w:val="20"/>
                <w:szCs w:val="20"/>
              </w:rPr>
              <w:t>0,00</w:t>
            </w:r>
          </w:p>
        </w:tc>
        <w:tc>
          <w:tcPr>
            <w:tcW w:w="222" w:type="dxa"/>
            <w:vAlign w:val="center"/>
            <w:hideMark/>
          </w:tcPr>
          <w:p w14:paraId="2C7F4F4C" w14:textId="77777777" w:rsidR="00387142" w:rsidRPr="008B6A75" w:rsidRDefault="00387142" w:rsidP="00387142">
            <w:pPr>
              <w:rPr>
                <w:sz w:val="20"/>
                <w:szCs w:val="20"/>
              </w:rPr>
            </w:pPr>
          </w:p>
        </w:tc>
      </w:tr>
      <w:tr w:rsidR="00387142" w:rsidRPr="008B6A75" w14:paraId="1803C66A" w14:textId="77777777" w:rsidTr="00387142">
        <w:trPr>
          <w:trHeight w:val="300"/>
        </w:trPr>
        <w:tc>
          <w:tcPr>
            <w:tcW w:w="3021" w:type="dxa"/>
            <w:tcBorders>
              <w:top w:val="nil"/>
              <w:left w:val="single" w:sz="4" w:space="0" w:color="auto"/>
              <w:bottom w:val="nil"/>
              <w:right w:val="nil"/>
            </w:tcBorders>
            <w:shd w:val="clear" w:color="auto" w:fill="auto"/>
            <w:vAlign w:val="center"/>
            <w:hideMark/>
          </w:tcPr>
          <w:p w14:paraId="66D864C3" w14:textId="77777777" w:rsidR="00387142" w:rsidRPr="008B6A75" w:rsidRDefault="00387142" w:rsidP="00387142">
            <w:pPr>
              <w:rPr>
                <w:bCs/>
                <w:sz w:val="20"/>
                <w:szCs w:val="20"/>
              </w:rPr>
            </w:pPr>
            <w:r w:rsidRPr="008B6A75">
              <w:rPr>
                <w:bCs/>
                <w:sz w:val="20"/>
                <w:szCs w:val="20"/>
              </w:rPr>
              <w:t>Непрограммные направления бюджета</w:t>
            </w:r>
          </w:p>
        </w:tc>
        <w:tc>
          <w:tcPr>
            <w:tcW w:w="850" w:type="dxa"/>
            <w:tcBorders>
              <w:top w:val="nil"/>
              <w:left w:val="single" w:sz="4" w:space="0" w:color="auto"/>
              <w:bottom w:val="nil"/>
              <w:right w:val="nil"/>
            </w:tcBorders>
            <w:shd w:val="clear" w:color="auto" w:fill="auto"/>
            <w:noWrap/>
            <w:vAlign w:val="center"/>
            <w:hideMark/>
          </w:tcPr>
          <w:p w14:paraId="169E7F68" w14:textId="77777777" w:rsidR="00387142" w:rsidRPr="008B6A75" w:rsidRDefault="00387142" w:rsidP="00387142">
            <w:pPr>
              <w:jc w:val="center"/>
              <w:rPr>
                <w:bCs/>
                <w:sz w:val="20"/>
                <w:szCs w:val="20"/>
              </w:rPr>
            </w:pPr>
            <w:r w:rsidRPr="008B6A75">
              <w:rPr>
                <w:bCs/>
                <w:sz w:val="20"/>
                <w:szCs w:val="20"/>
              </w:rPr>
              <w:t>444</w:t>
            </w:r>
          </w:p>
        </w:tc>
        <w:tc>
          <w:tcPr>
            <w:tcW w:w="709" w:type="dxa"/>
            <w:tcBorders>
              <w:top w:val="nil"/>
              <w:left w:val="single" w:sz="4" w:space="0" w:color="auto"/>
              <w:bottom w:val="nil"/>
              <w:right w:val="nil"/>
            </w:tcBorders>
            <w:shd w:val="clear" w:color="auto" w:fill="auto"/>
            <w:noWrap/>
            <w:vAlign w:val="center"/>
            <w:hideMark/>
          </w:tcPr>
          <w:p w14:paraId="598A8834" w14:textId="77777777" w:rsidR="00387142" w:rsidRPr="008B6A75" w:rsidRDefault="00387142" w:rsidP="00387142">
            <w:pPr>
              <w:jc w:val="center"/>
              <w:rPr>
                <w:bCs/>
                <w:sz w:val="20"/>
                <w:szCs w:val="20"/>
              </w:rPr>
            </w:pPr>
            <w:r w:rsidRPr="008B6A75">
              <w:rPr>
                <w:bCs/>
                <w:sz w:val="20"/>
                <w:szCs w:val="20"/>
              </w:rPr>
              <w:t>07</w:t>
            </w:r>
          </w:p>
        </w:tc>
        <w:tc>
          <w:tcPr>
            <w:tcW w:w="709" w:type="dxa"/>
            <w:tcBorders>
              <w:top w:val="nil"/>
              <w:left w:val="single" w:sz="4" w:space="0" w:color="auto"/>
              <w:bottom w:val="nil"/>
              <w:right w:val="single" w:sz="4" w:space="0" w:color="auto"/>
            </w:tcBorders>
            <w:shd w:val="clear" w:color="auto" w:fill="auto"/>
            <w:noWrap/>
            <w:vAlign w:val="center"/>
            <w:hideMark/>
          </w:tcPr>
          <w:p w14:paraId="32982169" w14:textId="77777777" w:rsidR="00387142" w:rsidRPr="008B6A75" w:rsidRDefault="00387142" w:rsidP="00387142">
            <w:pPr>
              <w:jc w:val="center"/>
              <w:rPr>
                <w:bCs/>
                <w:sz w:val="20"/>
                <w:szCs w:val="20"/>
              </w:rPr>
            </w:pPr>
            <w:r w:rsidRPr="008B6A75">
              <w:rPr>
                <w:bCs/>
                <w:sz w:val="20"/>
                <w:szCs w:val="20"/>
              </w:rPr>
              <w:t>02</w:t>
            </w:r>
          </w:p>
        </w:tc>
        <w:tc>
          <w:tcPr>
            <w:tcW w:w="1411" w:type="dxa"/>
            <w:tcBorders>
              <w:top w:val="nil"/>
              <w:left w:val="single" w:sz="4" w:space="0" w:color="auto"/>
              <w:bottom w:val="nil"/>
              <w:right w:val="nil"/>
            </w:tcBorders>
            <w:shd w:val="clear" w:color="auto" w:fill="auto"/>
            <w:noWrap/>
            <w:vAlign w:val="center"/>
            <w:hideMark/>
          </w:tcPr>
          <w:p w14:paraId="11468FEA" w14:textId="77777777" w:rsidR="00387142" w:rsidRPr="008B6A75" w:rsidRDefault="00387142" w:rsidP="00387142">
            <w:pPr>
              <w:jc w:val="center"/>
              <w:rPr>
                <w:bCs/>
                <w:sz w:val="20"/>
                <w:szCs w:val="20"/>
              </w:rPr>
            </w:pPr>
            <w:r w:rsidRPr="008B6A75">
              <w:rPr>
                <w:bCs/>
                <w:sz w:val="20"/>
                <w:szCs w:val="20"/>
              </w:rPr>
              <w:t>99.0.00.00000</w:t>
            </w:r>
          </w:p>
        </w:tc>
        <w:tc>
          <w:tcPr>
            <w:tcW w:w="955" w:type="dxa"/>
            <w:tcBorders>
              <w:top w:val="nil"/>
              <w:left w:val="single" w:sz="4" w:space="0" w:color="auto"/>
              <w:bottom w:val="nil"/>
              <w:right w:val="single" w:sz="4" w:space="0" w:color="auto"/>
            </w:tcBorders>
            <w:shd w:val="clear" w:color="auto" w:fill="auto"/>
            <w:noWrap/>
            <w:vAlign w:val="center"/>
            <w:hideMark/>
          </w:tcPr>
          <w:p w14:paraId="5B0BC485"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nil"/>
              <w:right w:val="single" w:sz="4" w:space="0" w:color="auto"/>
            </w:tcBorders>
            <w:shd w:val="clear" w:color="auto" w:fill="auto"/>
            <w:noWrap/>
            <w:vAlign w:val="center"/>
            <w:hideMark/>
          </w:tcPr>
          <w:p w14:paraId="6D7F0B37" w14:textId="77777777" w:rsidR="00387142" w:rsidRPr="008B6A75" w:rsidRDefault="00387142" w:rsidP="00387142">
            <w:pPr>
              <w:jc w:val="right"/>
              <w:rPr>
                <w:bCs/>
                <w:sz w:val="20"/>
                <w:szCs w:val="20"/>
              </w:rPr>
            </w:pPr>
            <w:r w:rsidRPr="008B6A75">
              <w:rPr>
                <w:bCs/>
                <w:sz w:val="20"/>
                <w:szCs w:val="20"/>
              </w:rPr>
              <w:t>11 363 965,71</w:t>
            </w:r>
          </w:p>
        </w:tc>
        <w:tc>
          <w:tcPr>
            <w:tcW w:w="992" w:type="dxa"/>
            <w:gridSpan w:val="2"/>
            <w:tcBorders>
              <w:top w:val="nil"/>
              <w:left w:val="single" w:sz="4" w:space="0" w:color="auto"/>
              <w:bottom w:val="nil"/>
              <w:right w:val="nil"/>
            </w:tcBorders>
            <w:shd w:val="clear" w:color="auto" w:fill="auto"/>
            <w:noWrap/>
            <w:vAlign w:val="center"/>
            <w:hideMark/>
          </w:tcPr>
          <w:p w14:paraId="3DDE2236" w14:textId="77777777" w:rsidR="00387142" w:rsidRPr="008B6A75" w:rsidRDefault="00387142" w:rsidP="00387142">
            <w:pPr>
              <w:jc w:val="right"/>
              <w:rPr>
                <w:bCs/>
                <w:sz w:val="20"/>
                <w:szCs w:val="20"/>
              </w:rPr>
            </w:pPr>
            <w:r w:rsidRPr="008B6A75">
              <w:rPr>
                <w:bCs/>
                <w:sz w:val="20"/>
                <w:szCs w:val="20"/>
              </w:rPr>
              <w:t>6 180 400,00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0DD33462" w14:textId="77777777" w:rsidR="00387142" w:rsidRPr="008B6A75" w:rsidRDefault="00387142" w:rsidP="00387142">
            <w:pPr>
              <w:jc w:val="right"/>
              <w:rPr>
                <w:bCs/>
                <w:sz w:val="20"/>
                <w:szCs w:val="20"/>
              </w:rPr>
            </w:pPr>
            <w:r w:rsidRPr="008B6A75">
              <w:rPr>
                <w:bCs/>
                <w:sz w:val="20"/>
                <w:szCs w:val="20"/>
              </w:rPr>
              <w:t>5 406 500,00</w:t>
            </w:r>
          </w:p>
        </w:tc>
        <w:tc>
          <w:tcPr>
            <w:tcW w:w="222" w:type="dxa"/>
            <w:vAlign w:val="center"/>
            <w:hideMark/>
          </w:tcPr>
          <w:p w14:paraId="7A8D4101" w14:textId="77777777" w:rsidR="00387142" w:rsidRPr="008B6A75" w:rsidRDefault="00387142" w:rsidP="00387142">
            <w:pPr>
              <w:rPr>
                <w:sz w:val="20"/>
                <w:szCs w:val="20"/>
              </w:rPr>
            </w:pPr>
          </w:p>
        </w:tc>
      </w:tr>
      <w:tr w:rsidR="00387142" w:rsidRPr="008B6A75" w14:paraId="3439B55F" w14:textId="77777777" w:rsidTr="00387142">
        <w:trPr>
          <w:trHeight w:val="300"/>
        </w:trPr>
        <w:tc>
          <w:tcPr>
            <w:tcW w:w="3021" w:type="dxa"/>
            <w:tcBorders>
              <w:top w:val="single" w:sz="4" w:space="0" w:color="auto"/>
              <w:left w:val="single" w:sz="4" w:space="0" w:color="auto"/>
              <w:bottom w:val="nil"/>
              <w:right w:val="nil"/>
            </w:tcBorders>
            <w:shd w:val="clear" w:color="auto" w:fill="auto"/>
            <w:vAlign w:val="center"/>
            <w:hideMark/>
          </w:tcPr>
          <w:p w14:paraId="63DF9E82" w14:textId="77777777" w:rsidR="00387142" w:rsidRPr="008B6A75" w:rsidRDefault="00387142" w:rsidP="00387142">
            <w:pPr>
              <w:rPr>
                <w:bCs/>
                <w:sz w:val="20"/>
                <w:szCs w:val="20"/>
              </w:rPr>
            </w:pPr>
            <w:r w:rsidRPr="008B6A75">
              <w:rPr>
                <w:bCs/>
                <w:sz w:val="20"/>
                <w:szCs w:val="20"/>
              </w:rPr>
              <w:t>Резервные фонды местного бюджета</w:t>
            </w:r>
          </w:p>
        </w:tc>
        <w:tc>
          <w:tcPr>
            <w:tcW w:w="850" w:type="dxa"/>
            <w:tcBorders>
              <w:top w:val="single" w:sz="4" w:space="0" w:color="auto"/>
              <w:left w:val="single" w:sz="4" w:space="0" w:color="auto"/>
              <w:bottom w:val="nil"/>
              <w:right w:val="nil"/>
            </w:tcBorders>
            <w:shd w:val="clear" w:color="auto" w:fill="auto"/>
            <w:noWrap/>
            <w:vAlign w:val="center"/>
            <w:hideMark/>
          </w:tcPr>
          <w:p w14:paraId="14D0BE71" w14:textId="77777777" w:rsidR="00387142" w:rsidRPr="008B6A75" w:rsidRDefault="00387142" w:rsidP="00387142">
            <w:pPr>
              <w:jc w:val="center"/>
              <w:rPr>
                <w:bCs/>
                <w:sz w:val="20"/>
                <w:szCs w:val="20"/>
              </w:rPr>
            </w:pPr>
            <w:r w:rsidRPr="008B6A75">
              <w:rPr>
                <w:bCs/>
                <w:sz w:val="20"/>
                <w:szCs w:val="20"/>
              </w:rPr>
              <w:t>444</w:t>
            </w:r>
          </w:p>
        </w:tc>
        <w:tc>
          <w:tcPr>
            <w:tcW w:w="709" w:type="dxa"/>
            <w:tcBorders>
              <w:top w:val="single" w:sz="4" w:space="0" w:color="auto"/>
              <w:left w:val="single" w:sz="4" w:space="0" w:color="auto"/>
              <w:bottom w:val="nil"/>
              <w:right w:val="nil"/>
            </w:tcBorders>
            <w:shd w:val="clear" w:color="auto" w:fill="auto"/>
            <w:noWrap/>
            <w:vAlign w:val="center"/>
            <w:hideMark/>
          </w:tcPr>
          <w:p w14:paraId="2726A708" w14:textId="77777777" w:rsidR="00387142" w:rsidRPr="008B6A75" w:rsidRDefault="00387142" w:rsidP="00387142">
            <w:pPr>
              <w:jc w:val="center"/>
              <w:rPr>
                <w:bCs/>
                <w:sz w:val="20"/>
                <w:szCs w:val="20"/>
              </w:rPr>
            </w:pPr>
            <w:r w:rsidRPr="008B6A75">
              <w:rPr>
                <w:bCs/>
                <w:sz w:val="20"/>
                <w:szCs w:val="20"/>
              </w:rPr>
              <w:t>07</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10E2974E" w14:textId="77777777" w:rsidR="00387142" w:rsidRPr="008B6A75" w:rsidRDefault="00387142" w:rsidP="00387142">
            <w:pPr>
              <w:jc w:val="center"/>
              <w:rPr>
                <w:bCs/>
                <w:sz w:val="20"/>
                <w:szCs w:val="20"/>
              </w:rPr>
            </w:pPr>
            <w:r w:rsidRPr="008B6A75">
              <w:rPr>
                <w:bCs/>
                <w:sz w:val="20"/>
                <w:szCs w:val="20"/>
              </w:rPr>
              <w:t>02</w:t>
            </w:r>
          </w:p>
        </w:tc>
        <w:tc>
          <w:tcPr>
            <w:tcW w:w="1411" w:type="dxa"/>
            <w:tcBorders>
              <w:top w:val="single" w:sz="4" w:space="0" w:color="auto"/>
              <w:left w:val="single" w:sz="4" w:space="0" w:color="auto"/>
              <w:bottom w:val="nil"/>
              <w:right w:val="nil"/>
            </w:tcBorders>
            <w:shd w:val="clear" w:color="auto" w:fill="auto"/>
            <w:noWrap/>
            <w:vAlign w:val="center"/>
            <w:hideMark/>
          </w:tcPr>
          <w:p w14:paraId="5FD3440E" w14:textId="77777777" w:rsidR="00387142" w:rsidRPr="008B6A75" w:rsidRDefault="00387142" w:rsidP="00387142">
            <w:pPr>
              <w:jc w:val="center"/>
              <w:rPr>
                <w:bCs/>
                <w:sz w:val="20"/>
                <w:szCs w:val="20"/>
              </w:rPr>
            </w:pPr>
            <w:r w:rsidRPr="008B6A75">
              <w:rPr>
                <w:bCs/>
                <w:sz w:val="20"/>
                <w:szCs w:val="20"/>
              </w:rPr>
              <w:t>99.0.00.01700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46E6BA2E" w14:textId="77777777" w:rsidR="00387142" w:rsidRPr="008B6A75" w:rsidRDefault="00387142" w:rsidP="00387142">
            <w:pPr>
              <w:jc w:val="center"/>
              <w:rPr>
                <w:bCs/>
                <w:sz w:val="20"/>
                <w:szCs w:val="20"/>
              </w:rPr>
            </w:pPr>
            <w:r w:rsidRPr="008B6A75">
              <w:rPr>
                <w:bCs/>
                <w:sz w:val="20"/>
                <w:szCs w:val="20"/>
              </w:rPr>
              <w:t> </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1C816289" w14:textId="77777777" w:rsidR="00387142" w:rsidRPr="008B6A75" w:rsidRDefault="00387142" w:rsidP="00387142">
            <w:pPr>
              <w:jc w:val="right"/>
              <w:rPr>
                <w:bCs/>
                <w:sz w:val="20"/>
                <w:szCs w:val="20"/>
              </w:rPr>
            </w:pPr>
            <w:r w:rsidRPr="008B6A75">
              <w:rPr>
                <w:bCs/>
                <w:sz w:val="20"/>
                <w:szCs w:val="20"/>
              </w:rPr>
              <w:t>3 481 596,93</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2AADE3DC" w14:textId="77777777" w:rsidR="00387142" w:rsidRPr="008B6A75" w:rsidRDefault="00387142" w:rsidP="00387142">
            <w:pPr>
              <w:jc w:val="right"/>
              <w:rPr>
                <w:bCs/>
                <w:sz w:val="20"/>
                <w:szCs w:val="20"/>
              </w:rPr>
            </w:pPr>
            <w:r w:rsidRPr="008B6A75">
              <w:rPr>
                <w:bCs/>
                <w:sz w:val="20"/>
                <w:szCs w:val="20"/>
              </w:rPr>
              <w:t>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6C0B2A56" w14:textId="77777777" w:rsidR="00387142" w:rsidRPr="008B6A75" w:rsidRDefault="00387142" w:rsidP="00387142">
            <w:pPr>
              <w:jc w:val="right"/>
              <w:rPr>
                <w:bCs/>
                <w:sz w:val="20"/>
                <w:szCs w:val="20"/>
              </w:rPr>
            </w:pPr>
            <w:r w:rsidRPr="008B6A75">
              <w:rPr>
                <w:bCs/>
                <w:sz w:val="20"/>
                <w:szCs w:val="20"/>
              </w:rPr>
              <w:t>0,00</w:t>
            </w:r>
          </w:p>
        </w:tc>
        <w:tc>
          <w:tcPr>
            <w:tcW w:w="222" w:type="dxa"/>
            <w:vAlign w:val="center"/>
            <w:hideMark/>
          </w:tcPr>
          <w:p w14:paraId="03642706" w14:textId="77777777" w:rsidR="00387142" w:rsidRPr="008B6A75" w:rsidRDefault="00387142" w:rsidP="00387142">
            <w:pPr>
              <w:rPr>
                <w:sz w:val="20"/>
                <w:szCs w:val="20"/>
              </w:rPr>
            </w:pPr>
          </w:p>
        </w:tc>
      </w:tr>
      <w:tr w:rsidR="00387142" w:rsidRPr="008B6A75" w14:paraId="65626AE8" w14:textId="77777777" w:rsidTr="00387142">
        <w:trPr>
          <w:trHeight w:val="585"/>
        </w:trPr>
        <w:tc>
          <w:tcPr>
            <w:tcW w:w="3021" w:type="dxa"/>
            <w:tcBorders>
              <w:top w:val="single" w:sz="4" w:space="0" w:color="auto"/>
              <w:left w:val="single" w:sz="4" w:space="0" w:color="auto"/>
              <w:bottom w:val="nil"/>
              <w:right w:val="nil"/>
            </w:tcBorders>
            <w:shd w:val="clear" w:color="auto" w:fill="auto"/>
            <w:vAlign w:val="center"/>
            <w:hideMark/>
          </w:tcPr>
          <w:p w14:paraId="24EFCD16" w14:textId="77777777" w:rsidR="00387142" w:rsidRPr="008B6A75" w:rsidRDefault="00387142" w:rsidP="00387142">
            <w:pPr>
              <w:rPr>
                <w:sz w:val="20"/>
                <w:szCs w:val="20"/>
              </w:rPr>
            </w:pPr>
            <w:r w:rsidRPr="008B6A75">
              <w:rPr>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nil"/>
              <w:right w:val="nil"/>
            </w:tcBorders>
            <w:shd w:val="clear" w:color="auto" w:fill="auto"/>
            <w:noWrap/>
            <w:vAlign w:val="center"/>
            <w:hideMark/>
          </w:tcPr>
          <w:p w14:paraId="1E9B9B16" w14:textId="77777777" w:rsidR="00387142" w:rsidRPr="008B6A75" w:rsidRDefault="00387142" w:rsidP="00387142">
            <w:pPr>
              <w:jc w:val="center"/>
              <w:rPr>
                <w:sz w:val="20"/>
                <w:szCs w:val="20"/>
              </w:rPr>
            </w:pPr>
            <w:r w:rsidRPr="008B6A75">
              <w:rPr>
                <w:sz w:val="20"/>
                <w:szCs w:val="20"/>
              </w:rPr>
              <w:t>444</w:t>
            </w:r>
          </w:p>
        </w:tc>
        <w:tc>
          <w:tcPr>
            <w:tcW w:w="709" w:type="dxa"/>
            <w:tcBorders>
              <w:top w:val="single" w:sz="4" w:space="0" w:color="auto"/>
              <w:left w:val="single" w:sz="4" w:space="0" w:color="auto"/>
              <w:bottom w:val="nil"/>
              <w:right w:val="nil"/>
            </w:tcBorders>
            <w:shd w:val="clear" w:color="auto" w:fill="auto"/>
            <w:noWrap/>
            <w:vAlign w:val="center"/>
            <w:hideMark/>
          </w:tcPr>
          <w:p w14:paraId="52996984" w14:textId="77777777" w:rsidR="00387142" w:rsidRPr="008B6A75" w:rsidRDefault="00387142" w:rsidP="00387142">
            <w:pPr>
              <w:jc w:val="center"/>
              <w:rPr>
                <w:sz w:val="20"/>
                <w:szCs w:val="20"/>
              </w:rPr>
            </w:pPr>
            <w:r w:rsidRPr="008B6A75">
              <w:rPr>
                <w:sz w:val="20"/>
                <w:szCs w:val="20"/>
              </w:rPr>
              <w:t>07</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6271D494" w14:textId="77777777" w:rsidR="00387142" w:rsidRPr="008B6A75" w:rsidRDefault="00387142" w:rsidP="00387142">
            <w:pPr>
              <w:jc w:val="center"/>
              <w:rPr>
                <w:sz w:val="20"/>
                <w:szCs w:val="20"/>
              </w:rPr>
            </w:pPr>
            <w:r w:rsidRPr="008B6A75">
              <w:rPr>
                <w:sz w:val="20"/>
                <w:szCs w:val="20"/>
              </w:rPr>
              <w:t>02</w:t>
            </w:r>
          </w:p>
        </w:tc>
        <w:tc>
          <w:tcPr>
            <w:tcW w:w="1411" w:type="dxa"/>
            <w:tcBorders>
              <w:top w:val="single" w:sz="4" w:space="0" w:color="auto"/>
              <w:left w:val="single" w:sz="4" w:space="0" w:color="auto"/>
              <w:bottom w:val="nil"/>
              <w:right w:val="nil"/>
            </w:tcBorders>
            <w:shd w:val="clear" w:color="auto" w:fill="auto"/>
            <w:noWrap/>
            <w:vAlign w:val="center"/>
            <w:hideMark/>
          </w:tcPr>
          <w:p w14:paraId="43F5139F" w14:textId="77777777" w:rsidR="00387142" w:rsidRPr="008B6A75" w:rsidRDefault="00387142" w:rsidP="00387142">
            <w:pPr>
              <w:jc w:val="center"/>
              <w:rPr>
                <w:sz w:val="20"/>
                <w:szCs w:val="20"/>
              </w:rPr>
            </w:pPr>
            <w:r w:rsidRPr="008B6A75">
              <w:rPr>
                <w:sz w:val="20"/>
                <w:szCs w:val="20"/>
              </w:rPr>
              <w:t>99.0.00.01700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2BFE9D25" w14:textId="77777777" w:rsidR="00387142" w:rsidRPr="008B6A75" w:rsidRDefault="00387142" w:rsidP="00387142">
            <w:pPr>
              <w:jc w:val="center"/>
              <w:rPr>
                <w:sz w:val="20"/>
                <w:szCs w:val="20"/>
              </w:rPr>
            </w:pPr>
            <w:r w:rsidRPr="008B6A75">
              <w:rPr>
                <w:sz w:val="20"/>
                <w:szCs w:val="20"/>
              </w:rPr>
              <w:t>200</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61DF5ADF" w14:textId="77777777" w:rsidR="00387142" w:rsidRPr="008B6A75" w:rsidRDefault="00387142" w:rsidP="00387142">
            <w:pPr>
              <w:jc w:val="right"/>
              <w:rPr>
                <w:sz w:val="20"/>
                <w:szCs w:val="20"/>
              </w:rPr>
            </w:pPr>
            <w:r w:rsidRPr="008B6A75">
              <w:rPr>
                <w:sz w:val="20"/>
                <w:szCs w:val="20"/>
              </w:rPr>
              <w:t>3 121 596,93</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50AE1353" w14:textId="77777777" w:rsidR="00387142" w:rsidRPr="008B6A75" w:rsidRDefault="00387142" w:rsidP="00387142">
            <w:pPr>
              <w:jc w:val="right"/>
              <w:rPr>
                <w:sz w:val="20"/>
                <w:szCs w:val="20"/>
              </w:rPr>
            </w:pPr>
            <w:r w:rsidRPr="008B6A75">
              <w:rPr>
                <w:sz w:val="20"/>
                <w:szCs w:val="20"/>
              </w:rPr>
              <w:t>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412829B9" w14:textId="77777777" w:rsidR="00387142" w:rsidRPr="008B6A75" w:rsidRDefault="00387142" w:rsidP="00387142">
            <w:pPr>
              <w:jc w:val="right"/>
              <w:rPr>
                <w:sz w:val="20"/>
                <w:szCs w:val="20"/>
              </w:rPr>
            </w:pPr>
            <w:r w:rsidRPr="008B6A75">
              <w:rPr>
                <w:sz w:val="20"/>
                <w:szCs w:val="20"/>
              </w:rPr>
              <w:t>0,00</w:t>
            </w:r>
          </w:p>
        </w:tc>
        <w:tc>
          <w:tcPr>
            <w:tcW w:w="222" w:type="dxa"/>
            <w:vAlign w:val="center"/>
            <w:hideMark/>
          </w:tcPr>
          <w:p w14:paraId="3CD57E7E" w14:textId="77777777" w:rsidR="00387142" w:rsidRPr="008B6A75" w:rsidRDefault="00387142" w:rsidP="00387142">
            <w:pPr>
              <w:rPr>
                <w:sz w:val="20"/>
                <w:szCs w:val="20"/>
              </w:rPr>
            </w:pPr>
          </w:p>
        </w:tc>
      </w:tr>
      <w:tr w:rsidR="00387142" w:rsidRPr="008B6A75" w14:paraId="11276710" w14:textId="77777777" w:rsidTr="00387142">
        <w:trPr>
          <w:trHeight w:val="870"/>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0BAC3CE5" w14:textId="77777777" w:rsidR="00387142" w:rsidRPr="008B6A75" w:rsidRDefault="00387142" w:rsidP="00387142">
            <w:pPr>
              <w:rPr>
                <w:sz w:val="20"/>
                <w:szCs w:val="20"/>
              </w:rPr>
            </w:pPr>
            <w:r w:rsidRPr="008B6A75">
              <w:rPr>
                <w:sz w:val="20"/>
                <w:szCs w:val="20"/>
              </w:rPr>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69A8E545" w14:textId="77777777" w:rsidR="00387142" w:rsidRPr="008B6A75" w:rsidRDefault="00387142" w:rsidP="00387142">
            <w:pPr>
              <w:jc w:val="center"/>
              <w:rPr>
                <w:sz w:val="20"/>
                <w:szCs w:val="20"/>
              </w:rPr>
            </w:pPr>
            <w:r w:rsidRPr="008B6A75">
              <w:rPr>
                <w:sz w:val="20"/>
                <w:szCs w:val="20"/>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0F707E3B" w14:textId="77777777" w:rsidR="00387142" w:rsidRPr="008B6A75" w:rsidRDefault="00387142" w:rsidP="00387142">
            <w:pPr>
              <w:jc w:val="center"/>
              <w:rPr>
                <w:sz w:val="20"/>
                <w:szCs w:val="20"/>
              </w:rPr>
            </w:pPr>
            <w:r w:rsidRPr="008B6A75">
              <w:rPr>
                <w:sz w:val="20"/>
                <w:szCs w:val="20"/>
              </w:rPr>
              <w:t>07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A76211" w14:textId="77777777" w:rsidR="00387142" w:rsidRPr="008B6A75" w:rsidRDefault="00387142" w:rsidP="00387142">
            <w:pPr>
              <w:jc w:val="center"/>
              <w:rPr>
                <w:sz w:val="20"/>
                <w:szCs w:val="20"/>
              </w:rPr>
            </w:pPr>
            <w:r w:rsidRPr="008B6A75">
              <w:rPr>
                <w:sz w:val="20"/>
                <w:szCs w:val="20"/>
              </w:rPr>
              <w:t>02</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556A0EB3" w14:textId="77777777" w:rsidR="00387142" w:rsidRPr="008B6A75" w:rsidRDefault="00387142" w:rsidP="00387142">
            <w:pPr>
              <w:jc w:val="center"/>
              <w:rPr>
                <w:sz w:val="20"/>
                <w:szCs w:val="20"/>
              </w:rPr>
            </w:pPr>
            <w:r w:rsidRPr="008B6A75">
              <w:rPr>
                <w:sz w:val="20"/>
                <w:szCs w:val="20"/>
              </w:rPr>
              <w:t>99.0.00.01700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C2D1C7" w14:textId="77777777" w:rsidR="00387142" w:rsidRPr="008B6A75" w:rsidRDefault="00387142" w:rsidP="00387142">
            <w:pPr>
              <w:jc w:val="center"/>
              <w:rPr>
                <w:sz w:val="20"/>
                <w:szCs w:val="20"/>
              </w:rPr>
            </w:pPr>
            <w:r w:rsidRPr="008B6A75">
              <w:rPr>
                <w:sz w:val="20"/>
                <w:szCs w:val="20"/>
              </w:rPr>
              <w:t>240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F69696" w14:textId="77777777" w:rsidR="00387142" w:rsidRPr="008B6A75" w:rsidRDefault="00387142" w:rsidP="00387142">
            <w:pPr>
              <w:jc w:val="right"/>
              <w:rPr>
                <w:sz w:val="20"/>
                <w:szCs w:val="20"/>
              </w:rPr>
            </w:pPr>
            <w:r w:rsidRPr="008B6A75">
              <w:rPr>
                <w:sz w:val="20"/>
                <w:szCs w:val="20"/>
              </w:rPr>
              <w:t>3 121 596,93</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0AFBC36D" w14:textId="77777777" w:rsidR="00387142" w:rsidRPr="008B6A75" w:rsidRDefault="00387142" w:rsidP="00387142">
            <w:pPr>
              <w:jc w:val="right"/>
              <w:rPr>
                <w:sz w:val="20"/>
                <w:szCs w:val="20"/>
              </w:rPr>
            </w:pPr>
            <w:r w:rsidRPr="008B6A75">
              <w:rPr>
                <w:sz w:val="20"/>
                <w:szCs w:val="20"/>
              </w:rPr>
              <w:t>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84D249" w14:textId="77777777" w:rsidR="00387142" w:rsidRPr="008B6A75" w:rsidRDefault="00387142" w:rsidP="00387142">
            <w:pPr>
              <w:jc w:val="right"/>
              <w:rPr>
                <w:sz w:val="20"/>
                <w:szCs w:val="20"/>
              </w:rPr>
            </w:pPr>
            <w:r w:rsidRPr="008B6A75">
              <w:rPr>
                <w:sz w:val="20"/>
                <w:szCs w:val="20"/>
              </w:rPr>
              <w:t>0,00</w:t>
            </w:r>
          </w:p>
        </w:tc>
        <w:tc>
          <w:tcPr>
            <w:tcW w:w="222" w:type="dxa"/>
            <w:vAlign w:val="center"/>
            <w:hideMark/>
          </w:tcPr>
          <w:p w14:paraId="3D84225F" w14:textId="77777777" w:rsidR="00387142" w:rsidRPr="008B6A75" w:rsidRDefault="00387142" w:rsidP="00387142">
            <w:pPr>
              <w:rPr>
                <w:sz w:val="20"/>
                <w:szCs w:val="20"/>
              </w:rPr>
            </w:pPr>
          </w:p>
        </w:tc>
      </w:tr>
      <w:tr w:rsidR="00387142" w:rsidRPr="008B6A75" w14:paraId="008D40D6" w14:textId="77777777" w:rsidTr="00387142">
        <w:trPr>
          <w:trHeight w:val="870"/>
        </w:trPr>
        <w:tc>
          <w:tcPr>
            <w:tcW w:w="3021" w:type="dxa"/>
            <w:tcBorders>
              <w:top w:val="nil"/>
              <w:left w:val="single" w:sz="4" w:space="0" w:color="auto"/>
              <w:bottom w:val="nil"/>
              <w:right w:val="nil"/>
            </w:tcBorders>
            <w:shd w:val="clear" w:color="auto" w:fill="auto"/>
            <w:vAlign w:val="center"/>
            <w:hideMark/>
          </w:tcPr>
          <w:p w14:paraId="2FA98E68" w14:textId="77777777" w:rsidR="00387142" w:rsidRPr="008B6A75" w:rsidRDefault="00387142" w:rsidP="00387142">
            <w:pPr>
              <w:rPr>
                <w:sz w:val="20"/>
                <w:szCs w:val="20"/>
              </w:rPr>
            </w:pPr>
            <w:r w:rsidRPr="008B6A75">
              <w:rPr>
                <w:sz w:val="20"/>
                <w:szCs w:val="20"/>
              </w:rPr>
              <w:t>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right w:val="nil"/>
            </w:tcBorders>
            <w:shd w:val="clear" w:color="auto" w:fill="auto"/>
            <w:noWrap/>
            <w:vAlign w:val="center"/>
            <w:hideMark/>
          </w:tcPr>
          <w:p w14:paraId="16C8EB19" w14:textId="77777777" w:rsidR="00387142" w:rsidRPr="008B6A75" w:rsidRDefault="00387142" w:rsidP="00387142">
            <w:pPr>
              <w:jc w:val="center"/>
              <w:rPr>
                <w:sz w:val="20"/>
                <w:szCs w:val="20"/>
              </w:rPr>
            </w:pPr>
            <w:r w:rsidRPr="008B6A75">
              <w:rPr>
                <w:sz w:val="20"/>
                <w:szCs w:val="20"/>
              </w:rPr>
              <w:t>444</w:t>
            </w:r>
          </w:p>
        </w:tc>
        <w:tc>
          <w:tcPr>
            <w:tcW w:w="709" w:type="dxa"/>
            <w:tcBorders>
              <w:top w:val="nil"/>
              <w:left w:val="single" w:sz="4" w:space="0" w:color="auto"/>
              <w:bottom w:val="nil"/>
              <w:right w:val="nil"/>
            </w:tcBorders>
            <w:shd w:val="clear" w:color="auto" w:fill="auto"/>
            <w:noWrap/>
            <w:vAlign w:val="center"/>
            <w:hideMark/>
          </w:tcPr>
          <w:p w14:paraId="34EFE437" w14:textId="77777777" w:rsidR="00387142" w:rsidRPr="008B6A75" w:rsidRDefault="00387142" w:rsidP="00387142">
            <w:pPr>
              <w:jc w:val="center"/>
              <w:rPr>
                <w:sz w:val="20"/>
                <w:szCs w:val="20"/>
              </w:rPr>
            </w:pPr>
            <w:r w:rsidRPr="008B6A75">
              <w:rPr>
                <w:sz w:val="20"/>
                <w:szCs w:val="20"/>
              </w:rPr>
              <w:t>07</w:t>
            </w:r>
          </w:p>
        </w:tc>
        <w:tc>
          <w:tcPr>
            <w:tcW w:w="709" w:type="dxa"/>
            <w:tcBorders>
              <w:top w:val="nil"/>
              <w:left w:val="single" w:sz="4" w:space="0" w:color="auto"/>
              <w:bottom w:val="nil"/>
              <w:right w:val="single" w:sz="4" w:space="0" w:color="auto"/>
            </w:tcBorders>
            <w:shd w:val="clear" w:color="auto" w:fill="auto"/>
            <w:noWrap/>
            <w:vAlign w:val="center"/>
            <w:hideMark/>
          </w:tcPr>
          <w:p w14:paraId="7212EC6B" w14:textId="77777777" w:rsidR="00387142" w:rsidRPr="008B6A75" w:rsidRDefault="00387142" w:rsidP="00387142">
            <w:pPr>
              <w:jc w:val="center"/>
              <w:rPr>
                <w:sz w:val="20"/>
                <w:szCs w:val="20"/>
              </w:rPr>
            </w:pPr>
            <w:r w:rsidRPr="008B6A75">
              <w:rPr>
                <w:sz w:val="20"/>
                <w:szCs w:val="20"/>
              </w:rPr>
              <w:t>02</w:t>
            </w:r>
          </w:p>
        </w:tc>
        <w:tc>
          <w:tcPr>
            <w:tcW w:w="1411" w:type="dxa"/>
            <w:tcBorders>
              <w:top w:val="nil"/>
              <w:left w:val="single" w:sz="4" w:space="0" w:color="auto"/>
              <w:bottom w:val="nil"/>
              <w:right w:val="nil"/>
            </w:tcBorders>
            <w:shd w:val="clear" w:color="auto" w:fill="auto"/>
            <w:noWrap/>
            <w:vAlign w:val="center"/>
            <w:hideMark/>
          </w:tcPr>
          <w:p w14:paraId="5B04A7ED" w14:textId="77777777" w:rsidR="00387142" w:rsidRPr="008B6A75" w:rsidRDefault="00387142" w:rsidP="00387142">
            <w:pPr>
              <w:jc w:val="center"/>
              <w:rPr>
                <w:sz w:val="20"/>
                <w:szCs w:val="20"/>
              </w:rPr>
            </w:pPr>
            <w:r w:rsidRPr="008B6A75">
              <w:rPr>
                <w:sz w:val="20"/>
                <w:szCs w:val="20"/>
              </w:rPr>
              <w:t>99.0.00.01700</w:t>
            </w:r>
          </w:p>
        </w:tc>
        <w:tc>
          <w:tcPr>
            <w:tcW w:w="955" w:type="dxa"/>
            <w:tcBorders>
              <w:top w:val="nil"/>
              <w:left w:val="single" w:sz="4" w:space="0" w:color="auto"/>
              <w:bottom w:val="nil"/>
              <w:right w:val="single" w:sz="4" w:space="0" w:color="auto"/>
            </w:tcBorders>
            <w:shd w:val="clear" w:color="auto" w:fill="auto"/>
            <w:noWrap/>
            <w:vAlign w:val="center"/>
            <w:hideMark/>
          </w:tcPr>
          <w:p w14:paraId="5CAB0E08" w14:textId="77777777" w:rsidR="00387142" w:rsidRPr="008B6A75" w:rsidRDefault="00387142" w:rsidP="00387142">
            <w:pPr>
              <w:jc w:val="center"/>
              <w:rPr>
                <w:sz w:val="20"/>
                <w:szCs w:val="20"/>
              </w:rPr>
            </w:pPr>
            <w:r w:rsidRPr="008B6A75">
              <w:rPr>
                <w:sz w:val="20"/>
                <w:szCs w:val="20"/>
              </w:rPr>
              <w:t>600</w:t>
            </w:r>
          </w:p>
        </w:tc>
        <w:tc>
          <w:tcPr>
            <w:tcW w:w="992" w:type="dxa"/>
            <w:tcBorders>
              <w:top w:val="nil"/>
              <w:left w:val="single" w:sz="4" w:space="0" w:color="auto"/>
              <w:bottom w:val="nil"/>
              <w:right w:val="single" w:sz="4" w:space="0" w:color="auto"/>
            </w:tcBorders>
            <w:shd w:val="clear" w:color="auto" w:fill="auto"/>
            <w:noWrap/>
            <w:vAlign w:val="center"/>
            <w:hideMark/>
          </w:tcPr>
          <w:p w14:paraId="29462811" w14:textId="77777777" w:rsidR="00387142" w:rsidRPr="008B6A75" w:rsidRDefault="00387142" w:rsidP="00387142">
            <w:pPr>
              <w:jc w:val="right"/>
              <w:rPr>
                <w:sz w:val="20"/>
                <w:szCs w:val="20"/>
              </w:rPr>
            </w:pPr>
            <w:r w:rsidRPr="008B6A75">
              <w:rPr>
                <w:sz w:val="20"/>
                <w:szCs w:val="20"/>
              </w:rPr>
              <w:t>360 000,00</w:t>
            </w:r>
          </w:p>
        </w:tc>
        <w:tc>
          <w:tcPr>
            <w:tcW w:w="992" w:type="dxa"/>
            <w:gridSpan w:val="2"/>
            <w:tcBorders>
              <w:top w:val="nil"/>
              <w:left w:val="single" w:sz="4" w:space="0" w:color="auto"/>
              <w:bottom w:val="nil"/>
              <w:right w:val="nil"/>
            </w:tcBorders>
            <w:shd w:val="clear" w:color="auto" w:fill="auto"/>
            <w:noWrap/>
            <w:vAlign w:val="center"/>
            <w:hideMark/>
          </w:tcPr>
          <w:p w14:paraId="037BE1E1" w14:textId="77777777" w:rsidR="00387142" w:rsidRPr="008B6A75" w:rsidRDefault="00387142" w:rsidP="00387142">
            <w:pPr>
              <w:jc w:val="right"/>
              <w:rPr>
                <w:sz w:val="20"/>
                <w:szCs w:val="20"/>
              </w:rPr>
            </w:pPr>
            <w:r w:rsidRPr="008B6A75">
              <w:rPr>
                <w:sz w:val="20"/>
                <w:szCs w:val="20"/>
              </w:rPr>
              <w:t>0,00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42953613" w14:textId="77777777" w:rsidR="00387142" w:rsidRPr="008B6A75" w:rsidRDefault="00387142" w:rsidP="00387142">
            <w:pPr>
              <w:jc w:val="right"/>
              <w:rPr>
                <w:sz w:val="20"/>
                <w:szCs w:val="20"/>
              </w:rPr>
            </w:pPr>
            <w:r w:rsidRPr="008B6A75">
              <w:rPr>
                <w:sz w:val="20"/>
                <w:szCs w:val="20"/>
              </w:rPr>
              <w:t>0,00</w:t>
            </w:r>
          </w:p>
        </w:tc>
        <w:tc>
          <w:tcPr>
            <w:tcW w:w="222" w:type="dxa"/>
            <w:vAlign w:val="center"/>
            <w:hideMark/>
          </w:tcPr>
          <w:p w14:paraId="71485FB9" w14:textId="77777777" w:rsidR="00387142" w:rsidRPr="008B6A75" w:rsidRDefault="00387142" w:rsidP="00387142">
            <w:pPr>
              <w:rPr>
                <w:sz w:val="20"/>
                <w:szCs w:val="20"/>
              </w:rPr>
            </w:pPr>
          </w:p>
        </w:tc>
      </w:tr>
      <w:tr w:rsidR="00387142" w:rsidRPr="008B6A75" w14:paraId="618577E5" w14:textId="77777777" w:rsidTr="00387142">
        <w:trPr>
          <w:trHeight w:val="300"/>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45FCF256" w14:textId="77777777" w:rsidR="00387142" w:rsidRPr="008B6A75" w:rsidRDefault="00387142" w:rsidP="00387142">
            <w:pPr>
              <w:rPr>
                <w:sz w:val="20"/>
                <w:szCs w:val="20"/>
              </w:rPr>
            </w:pPr>
            <w:r w:rsidRPr="008B6A75">
              <w:rPr>
                <w:sz w:val="20"/>
                <w:szCs w:val="20"/>
              </w:rPr>
              <w:t>Субсидии бюджетным учреждениям</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13E9A79C" w14:textId="77777777" w:rsidR="00387142" w:rsidRPr="008B6A75" w:rsidRDefault="00387142" w:rsidP="00387142">
            <w:pPr>
              <w:jc w:val="center"/>
              <w:rPr>
                <w:sz w:val="20"/>
                <w:szCs w:val="20"/>
              </w:rPr>
            </w:pPr>
            <w:r w:rsidRPr="008B6A75">
              <w:rPr>
                <w:sz w:val="20"/>
                <w:szCs w:val="20"/>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05CFCCDD" w14:textId="77777777" w:rsidR="00387142" w:rsidRPr="008B6A75" w:rsidRDefault="00387142" w:rsidP="00387142">
            <w:pPr>
              <w:jc w:val="center"/>
              <w:rPr>
                <w:sz w:val="20"/>
                <w:szCs w:val="20"/>
              </w:rPr>
            </w:pPr>
            <w:r w:rsidRPr="008B6A75">
              <w:rPr>
                <w:sz w:val="20"/>
                <w:szCs w:val="20"/>
              </w:rPr>
              <w:t>07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F2EED0" w14:textId="77777777" w:rsidR="00387142" w:rsidRPr="008B6A75" w:rsidRDefault="00387142" w:rsidP="00387142">
            <w:pPr>
              <w:jc w:val="center"/>
              <w:rPr>
                <w:sz w:val="20"/>
                <w:szCs w:val="20"/>
              </w:rPr>
            </w:pPr>
            <w:r w:rsidRPr="008B6A75">
              <w:rPr>
                <w:sz w:val="20"/>
                <w:szCs w:val="20"/>
              </w:rPr>
              <w:t>02</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75C061B3" w14:textId="77777777" w:rsidR="00387142" w:rsidRPr="008B6A75" w:rsidRDefault="00387142" w:rsidP="00387142">
            <w:pPr>
              <w:jc w:val="center"/>
              <w:rPr>
                <w:sz w:val="20"/>
                <w:szCs w:val="20"/>
              </w:rPr>
            </w:pPr>
            <w:r w:rsidRPr="008B6A75">
              <w:rPr>
                <w:sz w:val="20"/>
                <w:szCs w:val="20"/>
              </w:rPr>
              <w:t>99.0.00.01700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70FC72" w14:textId="77777777" w:rsidR="00387142" w:rsidRPr="008B6A75" w:rsidRDefault="00387142" w:rsidP="00387142">
            <w:pPr>
              <w:jc w:val="center"/>
              <w:rPr>
                <w:sz w:val="20"/>
                <w:szCs w:val="20"/>
              </w:rPr>
            </w:pPr>
            <w:r w:rsidRPr="008B6A75">
              <w:rPr>
                <w:sz w:val="20"/>
                <w:szCs w:val="20"/>
              </w:rPr>
              <w:t>610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919B53" w14:textId="77777777" w:rsidR="00387142" w:rsidRPr="008B6A75" w:rsidRDefault="00387142" w:rsidP="00387142">
            <w:pPr>
              <w:jc w:val="right"/>
              <w:rPr>
                <w:sz w:val="20"/>
                <w:szCs w:val="20"/>
              </w:rPr>
            </w:pPr>
            <w:r w:rsidRPr="008B6A75">
              <w:rPr>
                <w:sz w:val="20"/>
                <w:szCs w:val="20"/>
              </w:rPr>
              <w:t>360 000,00</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22008703" w14:textId="77777777" w:rsidR="00387142" w:rsidRPr="008B6A75" w:rsidRDefault="00387142" w:rsidP="00387142">
            <w:pPr>
              <w:jc w:val="right"/>
              <w:rPr>
                <w:sz w:val="20"/>
                <w:szCs w:val="20"/>
              </w:rPr>
            </w:pPr>
            <w:r w:rsidRPr="008B6A75">
              <w:rPr>
                <w:sz w:val="20"/>
                <w:szCs w:val="20"/>
              </w:rPr>
              <w:t>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4838FD" w14:textId="77777777" w:rsidR="00387142" w:rsidRPr="008B6A75" w:rsidRDefault="00387142" w:rsidP="00387142">
            <w:pPr>
              <w:jc w:val="right"/>
              <w:rPr>
                <w:sz w:val="20"/>
                <w:szCs w:val="20"/>
              </w:rPr>
            </w:pPr>
            <w:r w:rsidRPr="008B6A75">
              <w:rPr>
                <w:sz w:val="20"/>
                <w:szCs w:val="20"/>
              </w:rPr>
              <w:t>0,00</w:t>
            </w:r>
          </w:p>
        </w:tc>
        <w:tc>
          <w:tcPr>
            <w:tcW w:w="222" w:type="dxa"/>
            <w:vAlign w:val="center"/>
            <w:hideMark/>
          </w:tcPr>
          <w:p w14:paraId="32BEEC8C" w14:textId="77777777" w:rsidR="00387142" w:rsidRPr="008B6A75" w:rsidRDefault="00387142" w:rsidP="00387142">
            <w:pPr>
              <w:rPr>
                <w:sz w:val="20"/>
                <w:szCs w:val="20"/>
              </w:rPr>
            </w:pPr>
          </w:p>
        </w:tc>
      </w:tr>
      <w:tr w:rsidR="00387142" w:rsidRPr="008B6A75" w14:paraId="11BA80D1" w14:textId="77777777" w:rsidTr="00387142">
        <w:trPr>
          <w:trHeight w:val="870"/>
        </w:trPr>
        <w:tc>
          <w:tcPr>
            <w:tcW w:w="3021" w:type="dxa"/>
            <w:tcBorders>
              <w:top w:val="nil"/>
              <w:left w:val="single" w:sz="4" w:space="0" w:color="auto"/>
              <w:bottom w:val="nil"/>
              <w:right w:val="nil"/>
            </w:tcBorders>
            <w:shd w:val="clear" w:color="auto" w:fill="auto"/>
            <w:vAlign w:val="center"/>
            <w:hideMark/>
          </w:tcPr>
          <w:p w14:paraId="58557F81" w14:textId="77777777" w:rsidR="00387142" w:rsidRPr="008B6A75" w:rsidRDefault="00387142" w:rsidP="00387142">
            <w:pPr>
              <w:rPr>
                <w:bCs/>
                <w:sz w:val="20"/>
                <w:szCs w:val="20"/>
              </w:rPr>
            </w:pPr>
            <w:r w:rsidRPr="008B6A75">
              <w:rPr>
                <w:bCs/>
                <w:sz w:val="20"/>
                <w:szCs w:val="20"/>
              </w:rPr>
              <w:t>Расходы на обеспечение деятельности (оказание услуг) начальных, неполных средних и средних школ, школ-детских садов</w:t>
            </w:r>
          </w:p>
        </w:tc>
        <w:tc>
          <w:tcPr>
            <w:tcW w:w="850" w:type="dxa"/>
            <w:tcBorders>
              <w:top w:val="nil"/>
              <w:left w:val="single" w:sz="4" w:space="0" w:color="auto"/>
              <w:bottom w:val="nil"/>
              <w:right w:val="nil"/>
            </w:tcBorders>
            <w:shd w:val="clear" w:color="auto" w:fill="auto"/>
            <w:noWrap/>
            <w:vAlign w:val="center"/>
            <w:hideMark/>
          </w:tcPr>
          <w:p w14:paraId="6309669B" w14:textId="77777777" w:rsidR="00387142" w:rsidRPr="008B6A75" w:rsidRDefault="00387142" w:rsidP="00387142">
            <w:pPr>
              <w:jc w:val="center"/>
              <w:rPr>
                <w:bCs/>
                <w:sz w:val="20"/>
                <w:szCs w:val="20"/>
              </w:rPr>
            </w:pPr>
            <w:r w:rsidRPr="008B6A75">
              <w:rPr>
                <w:bCs/>
                <w:sz w:val="20"/>
                <w:szCs w:val="20"/>
              </w:rPr>
              <w:t>444</w:t>
            </w:r>
          </w:p>
        </w:tc>
        <w:tc>
          <w:tcPr>
            <w:tcW w:w="709" w:type="dxa"/>
            <w:tcBorders>
              <w:top w:val="nil"/>
              <w:left w:val="single" w:sz="4" w:space="0" w:color="auto"/>
              <w:bottom w:val="nil"/>
              <w:right w:val="nil"/>
            </w:tcBorders>
            <w:shd w:val="clear" w:color="auto" w:fill="auto"/>
            <w:noWrap/>
            <w:vAlign w:val="center"/>
            <w:hideMark/>
          </w:tcPr>
          <w:p w14:paraId="7AB233FA" w14:textId="77777777" w:rsidR="00387142" w:rsidRPr="008B6A75" w:rsidRDefault="00387142" w:rsidP="00387142">
            <w:pPr>
              <w:jc w:val="center"/>
              <w:rPr>
                <w:bCs/>
                <w:sz w:val="20"/>
                <w:szCs w:val="20"/>
              </w:rPr>
            </w:pPr>
            <w:r w:rsidRPr="008B6A75">
              <w:rPr>
                <w:bCs/>
                <w:sz w:val="20"/>
                <w:szCs w:val="20"/>
              </w:rPr>
              <w:t>07</w:t>
            </w:r>
          </w:p>
        </w:tc>
        <w:tc>
          <w:tcPr>
            <w:tcW w:w="709" w:type="dxa"/>
            <w:tcBorders>
              <w:top w:val="nil"/>
              <w:left w:val="single" w:sz="4" w:space="0" w:color="auto"/>
              <w:bottom w:val="nil"/>
              <w:right w:val="single" w:sz="4" w:space="0" w:color="auto"/>
            </w:tcBorders>
            <w:shd w:val="clear" w:color="auto" w:fill="auto"/>
            <w:noWrap/>
            <w:vAlign w:val="center"/>
            <w:hideMark/>
          </w:tcPr>
          <w:p w14:paraId="2180FEB3" w14:textId="77777777" w:rsidR="00387142" w:rsidRPr="008B6A75" w:rsidRDefault="00387142" w:rsidP="00387142">
            <w:pPr>
              <w:jc w:val="center"/>
              <w:rPr>
                <w:bCs/>
                <w:sz w:val="20"/>
                <w:szCs w:val="20"/>
              </w:rPr>
            </w:pPr>
            <w:r w:rsidRPr="008B6A75">
              <w:rPr>
                <w:bCs/>
                <w:sz w:val="20"/>
                <w:szCs w:val="20"/>
              </w:rPr>
              <w:t>02</w:t>
            </w:r>
          </w:p>
        </w:tc>
        <w:tc>
          <w:tcPr>
            <w:tcW w:w="1411" w:type="dxa"/>
            <w:tcBorders>
              <w:top w:val="nil"/>
              <w:left w:val="single" w:sz="4" w:space="0" w:color="auto"/>
              <w:bottom w:val="nil"/>
              <w:right w:val="nil"/>
            </w:tcBorders>
            <w:shd w:val="clear" w:color="auto" w:fill="auto"/>
            <w:noWrap/>
            <w:vAlign w:val="center"/>
            <w:hideMark/>
          </w:tcPr>
          <w:p w14:paraId="6CB7DCAF" w14:textId="77777777" w:rsidR="00387142" w:rsidRPr="008B6A75" w:rsidRDefault="00387142" w:rsidP="00387142">
            <w:pPr>
              <w:jc w:val="center"/>
              <w:rPr>
                <w:bCs/>
                <w:sz w:val="20"/>
                <w:szCs w:val="20"/>
              </w:rPr>
            </w:pPr>
            <w:r w:rsidRPr="008B6A75">
              <w:rPr>
                <w:bCs/>
                <w:sz w:val="20"/>
                <w:szCs w:val="20"/>
              </w:rPr>
              <w:t>99.0.00.07290</w:t>
            </w:r>
          </w:p>
        </w:tc>
        <w:tc>
          <w:tcPr>
            <w:tcW w:w="955" w:type="dxa"/>
            <w:tcBorders>
              <w:top w:val="nil"/>
              <w:left w:val="single" w:sz="4" w:space="0" w:color="auto"/>
              <w:bottom w:val="nil"/>
              <w:right w:val="single" w:sz="4" w:space="0" w:color="auto"/>
            </w:tcBorders>
            <w:shd w:val="clear" w:color="auto" w:fill="auto"/>
            <w:noWrap/>
            <w:vAlign w:val="center"/>
            <w:hideMark/>
          </w:tcPr>
          <w:p w14:paraId="649A2699"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nil"/>
              <w:right w:val="single" w:sz="4" w:space="0" w:color="auto"/>
            </w:tcBorders>
            <w:shd w:val="clear" w:color="auto" w:fill="auto"/>
            <w:noWrap/>
            <w:vAlign w:val="center"/>
            <w:hideMark/>
          </w:tcPr>
          <w:p w14:paraId="08C7B3B2" w14:textId="77777777" w:rsidR="00387142" w:rsidRPr="008B6A75" w:rsidRDefault="00387142" w:rsidP="00387142">
            <w:pPr>
              <w:jc w:val="right"/>
              <w:rPr>
                <w:bCs/>
                <w:sz w:val="20"/>
                <w:szCs w:val="20"/>
              </w:rPr>
            </w:pPr>
            <w:r w:rsidRPr="008B6A75">
              <w:rPr>
                <w:bCs/>
                <w:sz w:val="20"/>
                <w:szCs w:val="20"/>
              </w:rPr>
              <w:t>78 108,78</w:t>
            </w:r>
          </w:p>
        </w:tc>
        <w:tc>
          <w:tcPr>
            <w:tcW w:w="992" w:type="dxa"/>
            <w:gridSpan w:val="2"/>
            <w:tcBorders>
              <w:top w:val="nil"/>
              <w:left w:val="single" w:sz="4" w:space="0" w:color="auto"/>
              <w:bottom w:val="nil"/>
              <w:right w:val="nil"/>
            </w:tcBorders>
            <w:shd w:val="clear" w:color="auto" w:fill="auto"/>
            <w:noWrap/>
            <w:vAlign w:val="center"/>
            <w:hideMark/>
          </w:tcPr>
          <w:p w14:paraId="70456DA8" w14:textId="77777777" w:rsidR="00387142" w:rsidRPr="008B6A75" w:rsidRDefault="00387142" w:rsidP="00387142">
            <w:pPr>
              <w:jc w:val="right"/>
              <w:rPr>
                <w:bCs/>
                <w:sz w:val="20"/>
                <w:szCs w:val="20"/>
              </w:rPr>
            </w:pPr>
            <w:r w:rsidRPr="008B6A75">
              <w:rPr>
                <w:bCs/>
                <w:sz w:val="20"/>
                <w:szCs w:val="20"/>
              </w:rPr>
              <w:t>0,00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328CB680" w14:textId="77777777" w:rsidR="00387142" w:rsidRPr="008B6A75" w:rsidRDefault="00387142" w:rsidP="00387142">
            <w:pPr>
              <w:jc w:val="right"/>
              <w:rPr>
                <w:bCs/>
                <w:sz w:val="20"/>
                <w:szCs w:val="20"/>
              </w:rPr>
            </w:pPr>
            <w:r w:rsidRPr="008B6A75">
              <w:rPr>
                <w:bCs/>
                <w:sz w:val="20"/>
                <w:szCs w:val="20"/>
              </w:rPr>
              <w:t>0,00</w:t>
            </w:r>
          </w:p>
        </w:tc>
        <w:tc>
          <w:tcPr>
            <w:tcW w:w="222" w:type="dxa"/>
            <w:vAlign w:val="center"/>
            <w:hideMark/>
          </w:tcPr>
          <w:p w14:paraId="5B4218B3" w14:textId="77777777" w:rsidR="00387142" w:rsidRPr="008B6A75" w:rsidRDefault="00387142" w:rsidP="00387142">
            <w:pPr>
              <w:rPr>
                <w:sz w:val="20"/>
                <w:szCs w:val="20"/>
              </w:rPr>
            </w:pPr>
          </w:p>
        </w:tc>
      </w:tr>
      <w:tr w:rsidR="00387142" w:rsidRPr="008B6A75" w14:paraId="27170CFB" w14:textId="77777777" w:rsidTr="00387142">
        <w:trPr>
          <w:trHeight w:val="585"/>
        </w:trPr>
        <w:tc>
          <w:tcPr>
            <w:tcW w:w="3021" w:type="dxa"/>
            <w:tcBorders>
              <w:top w:val="single" w:sz="4" w:space="0" w:color="auto"/>
              <w:left w:val="single" w:sz="4" w:space="0" w:color="auto"/>
              <w:bottom w:val="nil"/>
              <w:right w:val="nil"/>
            </w:tcBorders>
            <w:shd w:val="clear" w:color="auto" w:fill="auto"/>
            <w:vAlign w:val="center"/>
            <w:hideMark/>
          </w:tcPr>
          <w:p w14:paraId="3AEC9A15" w14:textId="77777777" w:rsidR="00387142" w:rsidRPr="008B6A75" w:rsidRDefault="00387142" w:rsidP="00387142">
            <w:pPr>
              <w:rPr>
                <w:sz w:val="20"/>
                <w:szCs w:val="20"/>
              </w:rPr>
            </w:pPr>
            <w:r w:rsidRPr="008B6A75">
              <w:rPr>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nil"/>
              <w:right w:val="nil"/>
            </w:tcBorders>
            <w:shd w:val="clear" w:color="auto" w:fill="auto"/>
            <w:noWrap/>
            <w:vAlign w:val="center"/>
            <w:hideMark/>
          </w:tcPr>
          <w:p w14:paraId="21DFEE66" w14:textId="77777777" w:rsidR="00387142" w:rsidRPr="008B6A75" w:rsidRDefault="00387142" w:rsidP="00387142">
            <w:pPr>
              <w:jc w:val="center"/>
              <w:rPr>
                <w:sz w:val="20"/>
                <w:szCs w:val="20"/>
              </w:rPr>
            </w:pPr>
            <w:r w:rsidRPr="008B6A75">
              <w:rPr>
                <w:sz w:val="20"/>
                <w:szCs w:val="20"/>
              </w:rPr>
              <w:t>444</w:t>
            </w:r>
          </w:p>
        </w:tc>
        <w:tc>
          <w:tcPr>
            <w:tcW w:w="709" w:type="dxa"/>
            <w:tcBorders>
              <w:top w:val="single" w:sz="4" w:space="0" w:color="auto"/>
              <w:left w:val="single" w:sz="4" w:space="0" w:color="auto"/>
              <w:bottom w:val="nil"/>
              <w:right w:val="nil"/>
            </w:tcBorders>
            <w:shd w:val="clear" w:color="auto" w:fill="auto"/>
            <w:noWrap/>
            <w:vAlign w:val="center"/>
            <w:hideMark/>
          </w:tcPr>
          <w:p w14:paraId="26C97F92" w14:textId="77777777" w:rsidR="00387142" w:rsidRPr="008B6A75" w:rsidRDefault="00387142" w:rsidP="00387142">
            <w:pPr>
              <w:jc w:val="center"/>
              <w:rPr>
                <w:sz w:val="20"/>
                <w:szCs w:val="20"/>
              </w:rPr>
            </w:pPr>
            <w:r w:rsidRPr="008B6A75">
              <w:rPr>
                <w:sz w:val="20"/>
                <w:szCs w:val="20"/>
              </w:rPr>
              <w:t>07</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1B2FC694" w14:textId="77777777" w:rsidR="00387142" w:rsidRPr="008B6A75" w:rsidRDefault="00387142" w:rsidP="00387142">
            <w:pPr>
              <w:jc w:val="center"/>
              <w:rPr>
                <w:sz w:val="20"/>
                <w:szCs w:val="20"/>
              </w:rPr>
            </w:pPr>
            <w:r w:rsidRPr="008B6A75">
              <w:rPr>
                <w:sz w:val="20"/>
                <w:szCs w:val="20"/>
              </w:rPr>
              <w:t>02</w:t>
            </w:r>
          </w:p>
        </w:tc>
        <w:tc>
          <w:tcPr>
            <w:tcW w:w="1411" w:type="dxa"/>
            <w:tcBorders>
              <w:top w:val="single" w:sz="4" w:space="0" w:color="auto"/>
              <w:left w:val="single" w:sz="4" w:space="0" w:color="auto"/>
              <w:bottom w:val="nil"/>
              <w:right w:val="nil"/>
            </w:tcBorders>
            <w:shd w:val="clear" w:color="auto" w:fill="auto"/>
            <w:noWrap/>
            <w:vAlign w:val="center"/>
            <w:hideMark/>
          </w:tcPr>
          <w:p w14:paraId="12E1DAA2" w14:textId="77777777" w:rsidR="00387142" w:rsidRPr="008B6A75" w:rsidRDefault="00387142" w:rsidP="00387142">
            <w:pPr>
              <w:jc w:val="center"/>
              <w:rPr>
                <w:sz w:val="20"/>
                <w:szCs w:val="20"/>
              </w:rPr>
            </w:pPr>
            <w:r w:rsidRPr="008B6A75">
              <w:rPr>
                <w:sz w:val="20"/>
                <w:szCs w:val="20"/>
              </w:rPr>
              <w:t>99.0.00.07290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7D8D3B89" w14:textId="77777777" w:rsidR="00387142" w:rsidRPr="008B6A75" w:rsidRDefault="00387142" w:rsidP="00387142">
            <w:pPr>
              <w:jc w:val="center"/>
              <w:rPr>
                <w:sz w:val="20"/>
                <w:szCs w:val="20"/>
              </w:rPr>
            </w:pPr>
            <w:r w:rsidRPr="008B6A75">
              <w:rPr>
                <w:sz w:val="20"/>
                <w:szCs w:val="20"/>
              </w:rPr>
              <w:t>200</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2E31E9F0" w14:textId="77777777" w:rsidR="00387142" w:rsidRPr="008B6A75" w:rsidRDefault="00387142" w:rsidP="00387142">
            <w:pPr>
              <w:jc w:val="right"/>
              <w:rPr>
                <w:sz w:val="20"/>
                <w:szCs w:val="20"/>
              </w:rPr>
            </w:pPr>
            <w:r w:rsidRPr="008B6A75">
              <w:rPr>
                <w:sz w:val="20"/>
                <w:szCs w:val="20"/>
              </w:rPr>
              <w:t>78 108,78</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4BE856B5" w14:textId="77777777" w:rsidR="00387142" w:rsidRPr="008B6A75" w:rsidRDefault="00387142" w:rsidP="00387142">
            <w:pPr>
              <w:jc w:val="right"/>
              <w:rPr>
                <w:sz w:val="20"/>
                <w:szCs w:val="20"/>
              </w:rPr>
            </w:pPr>
            <w:r w:rsidRPr="008B6A75">
              <w:rPr>
                <w:sz w:val="20"/>
                <w:szCs w:val="20"/>
              </w:rPr>
              <w:t>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2B533246" w14:textId="77777777" w:rsidR="00387142" w:rsidRPr="008B6A75" w:rsidRDefault="00387142" w:rsidP="00387142">
            <w:pPr>
              <w:jc w:val="right"/>
              <w:rPr>
                <w:sz w:val="20"/>
                <w:szCs w:val="20"/>
              </w:rPr>
            </w:pPr>
            <w:r w:rsidRPr="008B6A75">
              <w:rPr>
                <w:sz w:val="20"/>
                <w:szCs w:val="20"/>
              </w:rPr>
              <w:t>0,00</w:t>
            </w:r>
          </w:p>
        </w:tc>
        <w:tc>
          <w:tcPr>
            <w:tcW w:w="222" w:type="dxa"/>
            <w:vAlign w:val="center"/>
            <w:hideMark/>
          </w:tcPr>
          <w:p w14:paraId="31BC7D13" w14:textId="77777777" w:rsidR="00387142" w:rsidRPr="008B6A75" w:rsidRDefault="00387142" w:rsidP="00387142">
            <w:pPr>
              <w:rPr>
                <w:sz w:val="20"/>
                <w:szCs w:val="20"/>
              </w:rPr>
            </w:pPr>
          </w:p>
        </w:tc>
      </w:tr>
      <w:tr w:rsidR="00387142" w:rsidRPr="008B6A75" w14:paraId="72C03C4F" w14:textId="77777777" w:rsidTr="00387142">
        <w:trPr>
          <w:trHeight w:val="870"/>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3A59D32C" w14:textId="77777777" w:rsidR="00387142" w:rsidRPr="008B6A75" w:rsidRDefault="00387142" w:rsidP="00387142">
            <w:pPr>
              <w:rPr>
                <w:sz w:val="20"/>
                <w:szCs w:val="20"/>
              </w:rPr>
            </w:pPr>
            <w:r w:rsidRPr="008B6A75">
              <w:rPr>
                <w:sz w:val="20"/>
                <w:szCs w:val="20"/>
              </w:rPr>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23071E98" w14:textId="77777777" w:rsidR="00387142" w:rsidRPr="008B6A75" w:rsidRDefault="00387142" w:rsidP="00387142">
            <w:pPr>
              <w:jc w:val="center"/>
              <w:rPr>
                <w:sz w:val="20"/>
                <w:szCs w:val="20"/>
              </w:rPr>
            </w:pPr>
            <w:r w:rsidRPr="008B6A75">
              <w:rPr>
                <w:sz w:val="20"/>
                <w:szCs w:val="20"/>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632D7E5D" w14:textId="77777777" w:rsidR="00387142" w:rsidRPr="008B6A75" w:rsidRDefault="00387142" w:rsidP="00387142">
            <w:pPr>
              <w:jc w:val="center"/>
              <w:rPr>
                <w:sz w:val="20"/>
                <w:szCs w:val="20"/>
              </w:rPr>
            </w:pPr>
            <w:r w:rsidRPr="008B6A75">
              <w:rPr>
                <w:sz w:val="20"/>
                <w:szCs w:val="20"/>
              </w:rPr>
              <w:t>07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55AB1F" w14:textId="77777777" w:rsidR="00387142" w:rsidRPr="008B6A75" w:rsidRDefault="00387142" w:rsidP="00387142">
            <w:pPr>
              <w:jc w:val="center"/>
              <w:rPr>
                <w:sz w:val="20"/>
                <w:szCs w:val="20"/>
              </w:rPr>
            </w:pPr>
            <w:r w:rsidRPr="008B6A75">
              <w:rPr>
                <w:sz w:val="20"/>
                <w:szCs w:val="20"/>
              </w:rPr>
              <w:t>02</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6892AF55" w14:textId="77777777" w:rsidR="00387142" w:rsidRPr="008B6A75" w:rsidRDefault="00387142" w:rsidP="00387142">
            <w:pPr>
              <w:jc w:val="center"/>
              <w:rPr>
                <w:sz w:val="20"/>
                <w:szCs w:val="20"/>
              </w:rPr>
            </w:pPr>
            <w:r w:rsidRPr="008B6A75">
              <w:rPr>
                <w:sz w:val="20"/>
                <w:szCs w:val="20"/>
              </w:rPr>
              <w:t>99.0.00.07290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5D3F5F" w14:textId="77777777" w:rsidR="00387142" w:rsidRPr="008B6A75" w:rsidRDefault="00387142" w:rsidP="00387142">
            <w:pPr>
              <w:jc w:val="center"/>
              <w:rPr>
                <w:sz w:val="20"/>
                <w:szCs w:val="20"/>
              </w:rPr>
            </w:pPr>
            <w:r w:rsidRPr="008B6A75">
              <w:rPr>
                <w:sz w:val="20"/>
                <w:szCs w:val="20"/>
              </w:rPr>
              <w:t>240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550424" w14:textId="77777777" w:rsidR="00387142" w:rsidRPr="008B6A75" w:rsidRDefault="00387142" w:rsidP="00387142">
            <w:pPr>
              <w:jc w:val="right"/>
              <w:rPr>
                <w:sz w:val="20"/>
                <w:szCs w:val="20"/>
              </w:rPr>
            </w:pPr>
            <w:r w:rsidRPr="008B6A75">
              <w:rPr>
                <w:sz w:val="20"/>
                <w:szCs w:val="20"/>
              </w:rPr>
              <w:t>78 108,78</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6A8CB0BE" w14:textId="77777777" w:rsidR="00387142" w:rsidRPr="008B6A75" w:rsidRDefault="00387142" w:rsidP="00387142">
            <w:pPr>
              <w:jc w:val="right"/>
              <w:rPr>
                <w:sz w:val="20"/>
                <w:szCs w:val="20"/>
              </w:rPr>
            </w:pPr>
            <w:r w:rsidRPr="008B6A75">
              <w:rPr>
                <w:sz w:val="20"/>
                <w:szCs w:val="20"/>
              </w:rPr>
              <w:t>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6556CB" w14:textId="77777777" w:rsidR="00387142" w:rsidRPr="008B6A75" w:rsidRDefault="00387142" w:rsidP="00387142">
            <w:pPr>
              <w:jc w:val="right"/>
              <w:rPr>
                <w:sz w:val="20"/>
                <w:szCs w:val="20"/>
              </w:rPr>
            </w:pPr>
            <w:r w:rsidRPr="008B6A75">
              <w:rPr>
                <w:sz w:val="20"/>
                <w:szCs w:val="20"/>
              </w:rPr>
              <w:t>0,00</w:t>
            </w:r>
          </w:p>
        </w:tc>
        <w:tc>
          <w:tcPr>
            <w:tcW w:w="222" w:type="dxa"/>
            <w:vAlign w:val="center"/>
            <w:hideMark/>
          </w:tcPr>
          <w:p w14:paraId="74BF878E" w14:textId="77777777" w:rsidR="00387142" w:rsidRPr="008B6A75" w:rsidRDefault="00387142" w:rsidP="00387142">
            <w:pPr>
              <w:rPr>
                <w:sz w:val="20"/>
                <w:szCs w:val="20"/>
              </w:rPr>
            </w:pPr>
          </w:p>
        </w:tc>
      </w:tr>
      <w:tr w:rsidR="00387142" w:rsidRPr="008B6A75" w14:paraId="5A1C02D9" w14:textId="77777777" w:rsidTr="00387142">
        <w:trPr>
          <w:trHeight w:val="1155"/>
        </w:trPr>
        <w:tc>
          <w:tcPr>
            <w:tcW w:w="3021" w:type="dxa"/>
            <w:tcBorders>
              <w:top w:val="nil"/>
              <w:left w:val="single" w:sz="4" w:space="0" w:color="auto"/>
              <w:bottom w:val="nil"/>
              <w:right w:val="nil"/>
            </w:tcBorders>
            <w:shd w:val="clear" w:color="auto" w:fill="auto"/>
            <w:vAlign w:val="center"/>
            <w:hideMark/>
          </w:tcPr>
          <w:p w14:paraId="53D687ED" w14:textId="77777777" w:rsidR="00387142" w:rsidRPr="008B6A75" w:rsidRDefault="00387142" w:rsidP="00387142">
            <w:pPr>
              <w:rPr>
                <w:bCs/>
                <w:sz w:val="20"/>
                <w:szCs w:val="20"/>
              </w:rPr>
            </w:pPr>
            <w:r w:rsidRPr="008B6A75">
              <w:rPr>
                <w:bCs/>
                <w:sz w:val="20"/>
                <w:szCs w:val="20"/>
              </w:rPr>
              <w:t>Организация и осуществление деятельности по опеке и попечительству, социальной поддержке детей-сирот и детей, оставшихся без попечения родителей</w:t>
            </w:r>
          </w:p>
        </w:tc>
        <w:tc>
          <w:tcPr>
            <w:tcW w:w="850" w:type="dxa"/>
            <w:tcBorders>
              <w:top w:val="nil"/>
              <w:left w:val="single" w:sz="4" w:space="0" w:color="auto"/>
              <w:bottom w:val="nil"/>
              <w:right w:val="nil"/>
            </w:tcBorders>
            <w:shd w:val="clear" w:color="auto" w:fill="auto"/>
            <w:noWrap/>
            <w:vAlign w:val="center"/>
            <w:hideMark/>
          </w:tcPr>
          <w:p w14:paraId="68297838" w14:textId="77777777" w:rsidR="00387142" w:rsidRPr="008B6A75" w:rsidRDefault="00387142" w:rsidP="00387142">
            <w:pPr>
              <w:jc w:val="center"/>
              <w:rPr>
                <w:bCs/>
                <w:sz w:val="20"/>
                <w:szCs w:val="20"/>
              </w:rPr>
            </w:pPr>
            <w:r w:rsidRPr="008B6A75">
              <w:rPr>
                <w:bCs/>
                <w:sz w:val="20"/>
                <w:szCs w:val="20"/>
              </w:rPr>
              <w:t>444</w:t>
            </w:r>
          </w:p>
        </w:tc>
        <w:tc>
          <w:tcPr>
            <w:tcW w:w="709" w:type="dxa"/>
            <w:tcBorders>
              <w:top w:val="nil"/>
              <w:left w:val="single" w:sz="4" w:space="0" w:color="auto"/>
              <w:bottom w:val="nil"/>
              <w:right w:val="nil"/>
            </w:tcBorders>
            <w:shd w:val="clear" w:color="auto" w:fill="auto"/>
            <w:noWrap/>
            <w:vAlign w:val="center"/>
            <w:hideMark/>
          </w:tcPr>
          <w:p w14:paraId="19F5F67B" w14:textId="77777777" w:rsidR="00387142" w:rsidRPr="008B6A75" w:rsidRDefault="00387142" w:rsidP="00387142">
            <w:pPr>
              <w:jc w:val="center"/>
              <w:rPr>
                <w:bCs/>
                <w:sz w:val="20"/>
                <w:szCs w:val="20"/>
              </w:rPr>
            </w:pPr>
            <w:r w:rsidRPr="008B6A75">
              <w:rPr>
                <w:bCs/>
                <w:sz w:val="20"/>
                <w:szCs w:val="20"/>
              </w:rPr>
              <w:t>07</w:t>
            </w:r>
          </w:p>
        </w:tc>
        <w:tc>
          <w:tcPr>
            <w:tcW w:w="709" w:type="dxa"/>
            <w:tcBorders>
              <w:top w:val="nil"/>
              <w:left w:val="single" w:sz="4" w:space="0" w:color="auto"/>
              <w:bottom w:val="nil"/>
              <w:right w:val="single" w:sz="4" w:space="0" w:color="auto"/>
            </w:tcBorders>
            <w:shd w:val="clear" w:color="auto" w:fill="auto"/>
            <w:noWrap/>
            <w:vAlign w:val="center"/>
            <w:hideMark/>
          </w:tcPr>
          <w:p w14:paraId="0BFD8303" w14:textId="77777777" w:rsidR="00387142" w:rsidRPr="008B6A75" w:rsidRDefault="00387142" w:rsidP="00387142">
            <w:pPr>
              <w:jc w:val="center"/>
              <w:rPr>
                <w:bCs/>
                <w:sz w:val="20"/>
                <w:szCs w:val="20"/>
              </w:rPr>
            </w:pPr>
            <w:r w:rsidRPr="008B6A75">
              <w:rPr>
                <w:bCs/>
                <w:sz w:val="20"/>
                <w:szCs w:val="20"/>
              </w:rPr>
              <w:t>02</w:t>
            </w:r>
          </w:p>
        </w:tc>
        <w:tc>
          <w:tcPr>
            <w:tcW w:w="1411" w:type="dxa"/>
            <w:tcBorders>
              <w:top w:val="nil"/>
              <w:left w:val="single" w:sz="4" w:space="0" w:color="auto"/>
              <w:bottom w:val="nil"/>
              <w:right w:val="nil"/>
            </w:tcBorders>
            <w:shd w:val="clear" w:color="auto" w:fill="auto"/>
            <w:noWrap/>
            <w:vAlign w:val="center"/>
            <w:hideMark/>
          </w:tcPr>
          <w:p w14:paraId="1797B1A8" w14:textId="77777777" w:rsidR="00387142" w:rsidRPr="008B6A75" w:rsidRDefault="00387142" w:rsidP="00387142">
            <w:pPr>
              <w:jc w:val="center"/>
              <w:rPr>
                <w:bCs/>
                <w:sz w:val="20"/>
                <w:szCs w:val="20"/>
              </w:rPr>
            </w:pPr>
            <w:r w:rsidRPr="008B6A75">
              <w:rPr>
                <w:bCs/>
                <w:sz w:val="20"/>
                <w:szCs w:val="20"/>
              </w:rPr>
              <w:t>99.0.00.70289</w:t>
            </w:r>
          </w:p>
        </w:tc>
        <w:tc>
          <w:tcPr>
            <w:tcW w:w="955" w:type="dxa"/>
            <w:tcBorders>
              <w:top w:val="nil"/>
              <w:left w:val="single" w:sz="4" w:space="0" w:color="auto"/>
              <w:bottom w:val="nil"/>
              <w:right w:val="single" w:sz="4" w:space="0" w:color="auto"/>
            </w:tcBorders>
            <w:shd w:val="clear" w:color="auto" w:fill="auto"/>
            <w:noWrap/>
            <w:vAlign w:val="center"/>
            <w:hideMark/>
          </w:tcPr>
          <w:p w14:paraId="318729E9"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nil"/>
              <w:right w:val="single" w:sz="4" w:space="0" w:color="auto"/>
            </w:tcBorders>
            <w:shd w:val="clear" w:color="auto" w:fill="auto"/>
            <w:noWrap/>
            <w:vAlign w:val="center"/>
            <w:hideMark/>
          </w:tcPr>
          <w:p w14:paraId="295FAC1C" w14:textId="77777777" w:rsidR="00387142" w:rsidRPr="008B6A75" w:rsidRDefault="00387142" w:rsidP="00387142">
            <w:pPr>
              <w:jc w:val="right"/>
              <w:rPr>
                <w:bCs/>
                <w:sz w:val="20"/>
                <w:szCs w:val="20"/>
              </w:rPr>
            </w:pPr>
            <w:r w:rsidRPr="008B6A75">
              <w:rPr>
                <w:bCs/>
                <w:sz w:val="20"/>
                <w:szCs w:val="20"/>
              </w:rPr>
              <w:t>7 504 260,00</w:t>
            </w:r>
          </w:p>
        </w:tc>
        <w:tc>
          <w:tcPr>
            <w:tcW w:w="992" w:type="dxa"/>
            <w:gridSpan w:val="2"/>
            <w:tcBorders>
              <w:top w:val="nil"/>
              <w:left w:val="single" w:sz="4" w:space="0" w:color="auto"/>
              <w:bottom w:val="nil"/>
              <w:right w:val="nil"/>
            </w:tcBorders>
            <w:shd w:val="clear" w:color="auto" w:fill="auto"/>
            <w:noWrap/>
            <w:vAlign w:val="center"/>
            <w:hideMark/>
          </w:tcPr>
          <w:p w14:paraId="565A6731" w14:textId="77777777" w:rsidR="00387142" w:rsidRPr="008B6A75" w:rsidRDefault="00387142" w:rsidP="00387142">
            <w:pPr>
              <w:jc w:val="right"/>
              <w:rPr>
                <w:bCs/>
                <w:sz w:val="20"/>
                <w:szCs w:val="20"/>
              </w:rPr>
            </w:pPr>
            <w:r w:rsidRPr="008B6A75">
              <w:rPr>
                <w:bCs/>
                <w:sz w:val="20"/>
                <w:szCs w:val="20"/>
              </w:rPr>
              <w:t>6 180 400,00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6535A568" w14:textId="77777777" w:rsidR="00387142" w:rsidRPr="008B6A75" w:rsidRDefault="00387142" w:rsidP="00387142">
            <w:pPr>
              <w:jc w:val="right"/>
              <w:rPr>
                <w:bCs/>
                <w:sz w:val="20"/>
                <w:szCs w:val="20"/>
              </w:rPr>
            </w:pPr>
            <w:r w:rsidRPr="008B6A75">
              <w:rPr>
                <w:bCs/>
                <w:sz w:val="20"/>
                <w:szCs w:val="20"/>
              </w:rPr>
              <w:t>5 406 500,00</w:t>
            </w:r>
          </w:p>
        </w:tc>
        <w:tc>
          <w:tcPr>
            <w:tcW w:w="222" w:type="dxa"/>
            <w:vAlign w:val="center"/>
            <w:hideMark/>
          </w:tcPr>
          <w:p w14:paraId="5617621E" w14:textId="77777777" w:rsidR="00387142" w:rsidRPr="008B6A75" w:rsidRDefault="00387142" w:rsidP="00387142">
            <w:pPr>
              <w:rPr>
                <w:sz w:val="20"/>
                <w:szCs w:val="20"/>
              </w:rPr>
            </w:pPr>
          </w:p>
        </w:tc>
      </w:tr>
      <w:tr w:rsidR="00387142" w:rsidRPr="008B6A75" w14:paraId="35426DDD" w14:textId="77777777" w:rsidTr="00387142">
        <w:trPr>
          <w:trHeight w:val="1440"/>
        </w:trPr>
        <w:tc>
          <w:tcPr>
            <w:tcW w:w="3021" w:type="dxa"/>
            <w:tcBorders>
              <w:top w:val="single" w:sz="4" w:space="0" w:color="auto"/>
              <w:left w:val="single" w:sz="4" w:space="0" w:color="auto"/>
              <w:bottom w:val="nil"/>
              <w:right w:val="nil"/>
            </w:tcBorders>
            <w:shd w:val="clear" w:color="auto" w:fill="auto"/>
            <w:vAlign w:val="center"/>
            <w:hideMark/>
          </w:tcPr>
          <w:p w14:paraId="7FA61286" w14:textId="77777777" w:rsidR="00387142" w:rsidRPr="008B6A75" w:rsidRDefault="00387142" w:rsidP="00387142">
            <w:pPr>
              <w:rPr>
                <w:sz w:val="20"/>
                <w:szCs w:val="20"/>
              </w:rPr>
            </w:pPr>
            <w:r w:rsidRPr="008B6A7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nil"/>
              <w:right w:val="nil"/>
            </w:tcBorders>
            <w:shd w:val="clear" w:color="auto" w:fill="auto"/>
            <w:noWrap/>
            <w:vAlign w:val="center"/>
            <w:hideMark/>
          </w:tcPr>
          <w:p w14:paraId="21219AC3" w14:textId="77777777" w:rsidR="00387142" w:rsidRPr="008B6A75" w:rsidRDefault="00387142" w:rsidP="00387142">
            <w:pPr>
              <w:jc w:val="center"/>
              <w:rPr>
                <w:sz w:val="20"/>
                <w:szCs w:val="20"/>
              </w:rPr>
            </w:pPr>
            <w:r w:rsidRPr="008B6A75">
              <w:rPr>
                <w:sz w:val="20"/>
                <w:szCs w:val="20"/>
              </w:rPr>
              <w:t>444</w:t>
            </w:r>
          </w:p>
        </w:tc>
        <w:tc>
          <w:tcPr>
            <w:tcW w:w="709" w:type="dxa"/>
            <w:tcBorders>
              <w:top w:val="single" w:sz="4" w:space="0" w:color="auto"/>
              <w:left w:val="single" w:sz="4" w:space="0" w:color="auto"/>
              <w:bottom w:val="nil"/>
              <w:right w:val="nil"/>
            </w:tcBorders>
            <w:shd w:val="clear" w:color="auto" w:fill="auto"/>
            <w:noWrap/>
            <w:vAlign w:val="center"/>
            <w:hideMark/>
          </w:tcPr>
          <w:p w14:paraId="213AFCE3" w14:textId="77777777" w:rsidR="00387142" w:rsidRPr="008B6A75" w:rsidRDefault="00387142" w:rsidP="00387142">
            <w:pPr>
              <w:jc w:val="center"/>
              <w:rPr>
                <w:sz w:val="20"/>
                <w:szCs w:val="20"/>
              </w:rPr>
            </w:pPr>
            <w:r w:rsidRPr="008B6A75">
              <w:rPr>
                <w:sz w:val="20"/>
                <w:szCs w:val="20"/>
              </w:rPr>
              <w:t>07</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6F046655" w14:textId="77777777" w:rsidR="00387142" w:rsidRPr="008B6A75" w:rsidRDefault="00387142" w:rsidP="00387142">
            <w:pPr>
              <w:jc w:val="center"/>
              <w:rPr>
                <w:sz w:val="20"/>
                <w:szCs w:val="20"/>
              </w:rPr>
            </w:pPr>
            <w:r w:rsidRPr="008B6A75">
              <w:rPr>
                <w:sz w:val="20"/>
                <w:szCs w:val="20"/>
              </w:rPr>
              <w:t>02</w:t>
            </w:r>
          </w:p>
        </w:tc>
        <w:tc>
          <w:tcPr>
            <w:tcW w:w="1411" w:type="dxa"/>
            <w:tcBorders>
              <w:top w:val="single" w:sz="4" w:space="0" w:color="auto"/>
              <w:left w:val="single" w:sz="4" w:space="0" w:color="auto"/>
              <w:bottom w:val="nil"/>
              <w:right w:val="nil"/>
            </w:tcBorders>
            <w:shd w:val="clear" w:color="auto" w:fill="auto"/>
            <w:noWrap/>
            <w:vAlign w:val="center"/>
            <w:hideMark/>
          </w:tcPr>
          <w:p w14:paraId="16D6AADD" w14:textId="77777777" w:rsidR="00387142" w:rsidRPr="008B6A75" w:rsidRDefault="00387142" w:rsidP="00387142">
            <w:pPr>
              <w:jc w:val="center"/>
              <w:rPr>
                <w:sz w:val="20"/>
                <w:szCs w:val="20"/>
              </w:rPr>
            </w:pPr>
            <w:r w:rsidRPr="008B6A75">
              <w:rPr>
                <w:sz w:val="20"/>
                <w:szCs w:val="20"/>
              </w:rPr>
              <w:t>99.0.00.70289</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4465ADFC" w14:textId="77777777" w:rsidR="00387142" w:rsidRPr="008B6A75" w:rsidRDefault="00387142" w:rsidP="00387142">
            <w:pPr>
              <w:jc w:val="center"/>
              <w:rPr>
                <w:sz w:val="20"/>
                <w:szCs w:val="20"/>
              </w:rPr>
            </w:pPr>
            <w:r w:rsidRPr="008B6A75">
              <w:rPr>
                <w:sz w:val="20"/>
                <w:szCs w:val="20"/>
              </w:rPr>
              <w:t>100</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0BD08440" w14:textId="77777777" w:rsidR="00387142" w:rsidRPr="008B6A75" w:rsidRDefault="00387142" w:rsidP="00387142">
            <w:pPr>
              <w:jc w:val="right"/>
              <w:rPr>
                <w:sz w:val="20"/>
                <w:szCs w:val="20"/>
              </w:rPr>
            </w:pPr>
            <w:r w:rsidRPr="008B6A75">
              <w:rPr>
                <w:sz w:val="20"/>
                <w:szCs w:val="20"/>
              </w:rPr>
              <w:t>160 000,00</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596E4DB6" w14:textId="77777777" w:rsidR="00387142" w:rsidRPr="008B6A75" w:rsidRDefault="00387142" w:rsidP="00387142">
            <w:pPr>
              <w:jc w:val="right"/>
              <w:rPr>
                <w:sz w:val="20"/>
                <w:szCs w:val="20"/>
              </w:rPr>
            </w:pPr>
            <w:r w:rsidRPr="008B6A75">
              <w:rPr>
                <w:sz w:val="20"/>
                <w:szCs w:val="20"/>
              </w:rPr>
              <w:t>300 000,00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77A81D60" w14:textId="77777777" w:rsidR="00387142" w:rsidRPr="008B6A75" w:rsidRDefault="00387142" w:rsidP="00387142">
            <w:pPr>
              <w:jc w:val="right"/>
              <w:rPr>
                <w:sz w:val="20"/>
                <w:szCs w:val="20"/>
              </w:rPr>
            </w:pPr>
            <w:r w:rsidRPr="008B6A75">
              <w:rPr>
                <w:sz w:val="20"/>
                <w:szCs w:val="20"/>
              </w:rPr>
              <w:t>300 000,00</w:t>
            </w:r>
          </w:p>
        </w:tc>
        <w:tc>
          <w:tcPr>
            <w:tcW w:w="222" w:type="dxa"/>
            <w:vAlign w:val="center"/>
            <w:hideMark/>
          </w:tcPr>
          <w:p w14:paraId="077BD90D" w14:textId="77777777" w:rsidR="00387142" w:rsidRPr="008B6A75" w:rsidRDefault="00387142" w:rsidP="00387142">
            <w:pPr>
              <w:rPr>
                <w:sz w:val="20"/>
                <w:szCs w:val="20"/>
              </w:rPr>
            </w:pPr>
          </w:p>
        </w:tc>
      </w:tr>
      <w:tr w:rsidR="00387142" w:rsidRPr="008B6A75" w14:paraId="74234A3F" w14:textId="77777777" w:rsidTr="00387142">
        <w:trPr>
          <w:trHeight w:val="585"/>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507D7C38" w14:textId="77777777" w:rsidR="00387142" w:rsidRPr="008B6A75" w:rsidRDefault="00387142" w:rsidP="00387142">
            <w:pPr>
              <w:rPr>
                <w:sz w:val="20"/>
                <w:szCs w:val="20"/>
              </w:rPr>
            </w:pPr>
            <w:r w:rsidRPr="008B6A75">
              <w:rPr>
                <w:sz w:val="20"/>
                <w:szCs w:val="20"/>
              </w:rPr>
              <w:t>Расходы на выплаты персоналу казенных учреждений</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79134E60" w14:textId="77777777" w:rsidR="00387142" w:rsidRPr="008B6A75" w:rsidRDefault="00387142" w:rsidP="00387142">
            <w:pPr>
              <w:jc w:val="center"/>
              <w:rPr>
                <w:sz w:val="20"/>
                <w:szCs w:val="20"/>
              </w:rPr>
            </w:pPr>
            <w:r w:rsidRPr="008B6A75">
              <w:rPr>
                <w:sz w:val="20"/>
                <w:szCs w:val="20"/>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74B2B780" w14:textId="77777777" w:rsidR="00387142" w:rsidRPr="008B6A75" w:rsidRDefault="00387142" w:rsidP="00387142">
            <w:pPr>
              <w:jc w:val="center"/>
              <w:rPr>
                <w:sz w:val="20"/>
                <w:szCs w:val="20"/>
              </w:rPr>
            </w:pPr>
            <w:r w:rsidRPr="008B6A75">
              <w:rPr>
                <w:sz w:val="20"/>
                <w:szCs w:val="20"/>
              </w:rPr>
              <w:t>07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36A8CF" w14:textId="77777777" w:rsidR="00387142" w:rsidRPr="008B6A75" w:rsidRDefault="00387142" w:rsidP="00387142">
            <w:pPr>
              <w:jc w:val="center"/>
              <w:rPr>
                <w:sz w:val="20"/>
                <w:szCs w:val="20"/>
              </w:rPr>
            </w:pPr>
            <w:r w:rsidRPr="008B6A75">
              <w:rPr>
                <w:sz w:val="20"/>
                <w:szCs w:val="20"/>
              </w:rPr>
              <w:t>02</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56F6B1B0" w14:textId="77777777" w:rsidR="00387142" w:rsidRPr="008B6A75" w:rsidRDefault="00387142" w:rsidP="00387142">
            <w:pPr>
              <w:jc w:val="center"/>
              <w:rPr>
                <w:sz w:val="20"/>
                <w:szCs w:val="20"/>
              </w:rPr>
            </w:pPr>
            <w:r w:rsidRPr="008B6A75">
              <w:rPr>
                <w:sz w:val="20"/>
                <w:szCs w:val="20"/>
              </w:rPr>
              <w:t>99.0.00.70289</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0B9862" w14:textId="77777777" w:rsidR="00387142" w:rsidRPr="008B6A75" w:rsidRDefault="00387142" w:rsidP="00387142">
            <w:pPr>
              <w:jc w:val="center"/>
              <w:rPr>
                <w:sz w:val="20"/>
                <w:szCs w:val="20"/>
              </w:rPr>
            </w:pPr>
            <w:r w:rsidRPr="008B6A75">
              <w:rPr>
                <w:sz w:val="20"/>
                <w:szCs w:val="20"/>
              </w:rPr>
              <w:t>110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E1D393" w14:textId="77777777" w:rsidR="00387142" w:rsidRPr="008B6A75" w:rsidRDefault="00387142" w:rsidP="00387142">
            <w:pPr>
              <w:jc w:val="right"/>
              <w:rPr>
                <w:sz w:val="20"/>
                <w:szCs w:val="20"/>
              </w:rPr>
            </w:pPr>
            <w:r w:rsidRPr="008B6A75">
              <w:rPr>
                <w:sz w:val="20"/>
                <w:szCs w:val="20"/>
              </w:rPr>
              <w:t>160 000,00</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267E7E6D" w14:textId="77777777" w:rsidR="00387142" w:rsidRPr="008B6A75" w:rsidRDefault="00387142" w:rsidP="00387142">
            <w:pPr>
              <w:jc w:val="right"/>
              <w:rPr>
                <w:sz w:val="20"/>
                <w:szCs w:val="20"/>
              </w:rPr>
            </w:pPr>
            <w:r w:rsidRPr="008B6A75">
              <w:rPr>
                <w:sz w:val="20"/>
                <w:szCs w:val="20"/>
              </w:rPr>
              <w:t>300 000,00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C4F523" w14:textId="77777777" w:rsidR="00387142" w:rsidRPr="008B6A75" w:rsidRDefault="00387142" w:rsidP="00387142">
            <w:pPr>
              <w:jc w:val="right"/>
              <w:rPr>
                <w:sz w:val="20"/>
                <w:szCs w:val="20"/>
              </w:rPr>
            </w:pPr>
            <w:r w:rsidRPr="008B6A75">
              <w:rPr>
                <w:sz w:val="20"/>
                <w:szCs w:val="20"/>
              </w:rPr>
              <w:t>300 000,00</w:t>
            </w:r>
          </w:p>
        </w:tc>
        <w:tc>
          <w:tcPr>
            <w:tcW w:w="222" w:type="dxa"/>
            <w:vAlign w:val="center"/>
            <w:hideMark/>
          </w:tcPr>
          <w:p w14:paraId="67FD1BE0" w14:textId="77777777" w:rsidR="00387142" w:rsidRPr="008B6A75" w:rsidRDefault="00387142" w:rsidP="00387142">
            <w:pPr>
              <w:rPr>
                <w:sz w:val="20"/>
                <w:szCs w:val="20"/>
              </w:rPr>
            </w:pPr>
          </w:p>
        </w:tc>
      </w:tr>
      <w:tr w:rsidR="00387142" w:rsidRPr="008B6A75" w14:paraId="32CDFC39" w14:textId="77777777" w:rsidTr="00387142">
        <w:trPr>
          <w:trHeight w:val="585"/>
        </w:trPr>
        <w:tc>
          <w:tcPr>
            <w:tcW w:w="3021" w:type="dxa"/>
            <w:tcBorders>
              <w:top w:val="nil"/>
              <w:left w:val="single" w:sz="4" w:space="0" w:color="auto"/>
              <w:bottom w:val="nil"/>
              <w:right w:val="nil"/>
            </w:tcBorders>
            <w:shd w:val="clear" w:color="auto" w:fill="auto"/>
            <w:vAlign w:val="center"/>
            <w:hideMark/>
          </w:tcPr>
          <w:p w14:paraId="08E445FB" w14:textId="77777777" w:rsidR="00387142" w:rsidRPr="008B6A75" w:rsidRDefault="00387142" w:rsidP="00387142">
            <w:pPr>
              <w:rPr>
                <w:sz w:val="20"/>
                <w:szCs w:val="20"/>
              </w:rPr>
            </w:pPr>
            <w:r w:rsidRPr="008B6A75">
              <w:rPr>
                <w:sz w:val="20"/>
                <w:szCs w:val="20"/>
              </w:rPr>
              <w:lastRenderedPageBreak/>
              <w:t>Закупка товаров, работ и услуг для обеспечения государственных (муниципальных) нужд</w:t>
            </w:r>
          </w:p>
        </w:tc>
        <w:tc>
          <w:tcPr>
            <w:tcW w:w="850" w:type="dxa"/>
            <w:tcBorders>
              <w:top w:val="nil"/>
              <w:left w:val="single" w:sz="4" w:space="0" w:color="auto"/>
              <w:bottom w:val="nil"/>
              <w:right w:val="nil"/>
            </w:tcBorders>
            <w:shd w:val="clear" w:color="auto" w:fill="auto"/>
            <w:noWrap/>
            <w:vAlign w:val="center"/>
            <w:hideMark/>
          </w:tcPr>
          <w:p w14:paraId="385D61A9" w14:textId="77777777" w:rsidR="00387142" w:rsidRPr="008B6A75" w:rsidRDefault="00387142" w:rsidP="00387142">
            <w:pPr>
              <w:jc w:val="center"/>
              <w:rPr>
                <w:sz w:val="20"/>
                <w:szCs w:val="20"/>
              </w:rPr>
            </w:pPr>
            <w:r w:rsidRPr="008B6A75">
              <w:rPr>
                <w:sz w:val="20"/>
                <w:szCs w:val="20"/>
              </w:rPr>
              <w:t>444</w:t>
            </w:r>
          </w:p>
        </w:tc>
        <w:tc>
          <w:tcPr>
            <w:tcW w:w="709" w:type="dxa"/>
            <w:tcBorders>
              <w:top w:val="nil"/>
              <w:left w:val="single" w:sz="4" w:space="0" w:color="auto"/>
              <w:bottom w:val="nil"/>
              <w:right w:val="nil"/>
            </w:tcBorders>
            <w:shd w:val="clear" w:color="auto" w:fill="auto"/>
            <w:noWrap/>
            <w:vAlign w:val="center"/>
            <w:hideMark/>
          </w:tcPr>
          <w:p w14:paraId="71786210" w14:textId="77777777" w:rsidR="00387142" w:rsidRPr="008B6A75" w:rsidRDefault="00387142" w:rsidP="00387142">
            <w:pPr>
              <w:jc w:val="center"/>
              <w:rPr>
                <w:sz w:val="20"/>
                <w:szCs w:val="20"/>
              </w:rPr>
            </w:pPr>
            <w:r w:rsidRPr="008B6A75">
              <w:rPr>
                <w:sz w:val="20"/>
                <w:szCs w:val="20"/>
              </w:rPr>
              <w:t>07</w:t>
            </w:r>
          </w:p>
        </w:tc>
        <w:tc>
          <w:tcPr>
            <w:tcW w:w="709" w:type="dxa"/>
            <w:tcBorders>
              <w:top w:val="nil"/>
              <w:left w:val="single" w:sz="4" w:space="0" w:color="auto"/>
              <w:bottom w:val="nil"/>
              <w:right w:val="single" w:sz="4" w:space="0" w:color="auto"/>
            </w:tcBorders>
            <w:shd w:val="clear" w:color="auto" w:fill="auto"/>
            <w:noWrap/>
            <w:vAlign w:val="center"/>
            <w:hideMark/>
          </w:tcPr>
          <w:p w14:paraId="3256FF91" w14:textId="77777777" w:rsidR="00387142" w:rsidRPr="008B6A75" w:rsidRDefault="00387142" w:rsidP="00387142">
            <w:pPr>
              <w:jc w:val="center"/>
              <w:rPr>
                <w:sz w:val="20"/>
                <w:szCs w:val="20"/>
              </w:rPr>
            </w:pPr>
            <w:r w:rsidRPr="008B6A75">
              <w:rPr>
                <w:sz w:val="20"/>
                <w:szCs w:val="20"/>
              </w:rPr>
              <w:t>02</w:t>
            </w:r>
          </w:p>
        </w:tc>
        <w:tc>
          <w:tcPr>
            <w:tcW w:w="1411" w:type="dxa"/>
            <w:tcBorders>
              <w:top w:val="nil"/>
              <w:left w:val="single" w:sz="4" w:space="0" w:color="auto"/>
              <w:bottom w:val="nil"/>
              <w:right w:val="nil"/>
            </w:tcBorders>
            <w:shd w:val="clear" w:color="auto" w:fill="auto"/>
            <w:noWrap/>
            <w:vAlign w:val="center"/>
            <w:hideMark/>
          </w:tcPr>
          <w:p w14:paraId="4E972BFA" w14:textId="77777777" w:rsidR="00387142" w:rsidRPr="008B6A75" w:rsidRDefault="00387142" w:rsidP="00387142">
            <w:pPr>
              <w:jc w:val="center"/>
              <w:rPr>
                <w:sz w:val="20"/>
                <w:szCs w:val="20"/>
              </w:rPr>
            </w:pPr>
            <w:r w:rsidRPr="008B6A75">
              <w:rPr>
                <w:sz w:val="20"/>
                <w:szCs w:val="20"/>
              </w:rPr>
              <w:t>99.0.00.70289</w:t>
            </w:r>
          </w:p>
        </w:tc>
        <w:tc>
          <w:tcPr>
            <w:tcW w:w="955" w:type="dxa"/>
            <w:tcBorders>
              <w:top w:val="nil"/>
              <w:left w:val="single" w:sz="4" w:space="0" w:color="auto"/>
              <w:bottom w:val="nil"/>
              <w:right w:val="single" w:sz="4" w:space="0" w:color="auto"/>
            </w:tcBorders>
            <w:shd w:val="clear" w:color="auto" w:fill="auto"/>
            <w:noWrap/>
            <w:vAlign w:val="center"/>
            <w:hideMark/>
          </w:tcPr>
          <w:p w14:paraId="187EE88B" w14:textId="77777777" w:rsidR="00387142" w:rsidRPr="008B6A75" w:rsidRDefault="00387142" w:rsidP="00387142">
            <w:pPr>
              <w:jc w:val="center"/>
              <w:rPr>
                <w:sz w:val="20"/>
                <w:szCs w:val="20"/>
              </w:rPr>
            </w:pPr>
            <w:r w:rsidRPr="008B6A75">
              <w:rPr>
                <w:sz w:val="20"/>
                <w:szCs w:val="20"/>
              </w:rPr>
              <w:t>200</w:t>
            </w:r>
          </w:p>
        </w:tc>
        <w:tc>
          <w:tcPr>
            <w:tcW w:w="992" w:type="dxa"/>
            <w:tcBorders>
              <w:top w:val="nil"/>
              <w:left w:val="single" w:sz="4" w:space="0" w:color="auto"/>
              <w:bottom w:val="nil"/>
              <w:right w:val="single" w:sz="4" w:space="0" w:color="auto"/>
            </w:tcBorders>
            <w:shd w:val="clear" w:color="auto" w:fill="auto"/>
            <w:noWrap/>
            <w:vAlign w:val="center"/>
            <w:hideMark/>
          </w:tcPr>
          <w:p w14:paraId="57ABE45A" w14:textId="77777777" w:rsidR="00387142" w:rsidRPr="008B6A75" w:rsidRDefault="00387142" w:rsidP="00387142">
            <w:pPr>
              <w:jc w:val="right"/>
              <w:rPr>
                <w:sz w:val="20"/>
                <w:szCs w:val="20"/>
              </w:rPr>
            </w:pPr>
            <w:r w:rsidRPr="008B6A75">
              <w:rPr>
                <w:sz w:val="20"/>
                <w:szCs w:val="20"/>
              </w:rPr>
              <w:t>7 096 108,80</w:t>
            </w:r>
          </w:p>
        </w:tc>
        <w:tc>
          <w:tcPr>
            <w:tcW w:w="992" w:type="dxa"/>
            <w:gridSpan w:val="2"/>
            <w:tcBorders>
              <w:top w:val="nil"/>
              <w:left w:val="single" w:sz="4" w:space="0" w:color="auto"/>
              <w:bottom w:val="nil"/>
              <w:right w:val="nil"/>
            </w:tcBorders>
            <w:shd w:val="clear" w:color="auto" w:fill="auto"/>
            <w:noWrap/>
            <w:vAlign w:val="center"/>
            <w:hideMark/>
          </w:tcPr>
          <w:p w14:paraId="786431F3" w14:textId="77777777" w:rsidR="00387142" w:rsidRPr="008B6A75" w:rsidRDefault="00387142" w:rsidP="00387142">
            <w:pPr>
              <w:jc w:val="right"/>
              <w:rPr>
                <w:sz w:val="20"/>
                <w:szCs w:val="20"/>
              </w:rPr>
            </w:pPr>
            <w:r w:rsidRPr="008B6A75">
              <w:rPr>
                <w:sz w:val="20"/>
                <w:szCs w:val="20"/>
              </w:rPr>
              <w:t>5 580 400,00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36DD2EA4" w14:textId="77777777" w:rsidR="00387142" w:rsidRPr="008B6A75" w:rsidRDefault="00387142" w:rsidP="00387142">
            <w:pPr>
              <w:jc w:val="right"/>
              <w:rPr>
                <w:sz w:val="20"/>
                <w:szCs w:val="20"/>
              </w:rPr>
            </w:pPr>
            <w:r w:rsidRPr="008B6A75">
              <w:rPr>
                <w:sz w:val="20"/>
                <w:szCs w:val="20"/>
              </w:rPr>
              <w:t>4 806 500,00</w:t>
            </w:r>
          </w:p>
        </w:tc>
        <w:tc>
          <w:tcPr>
            <w:tcW w:w="222" w:type="dxa"/>
            <w:vAlign w:val="center"/>
            <w:hideMark/>
          </w:tcPr>
          <w:p w14:paraId="5E530AB0" w14:textId="77777777" w:rsidR="00387142" w:rsidRPr="008B6A75" w:rsidRDefault="00387142" w:rsidP="00387142">
            <w:pPr>
              <w:rPr>
                <w:sz w:val="20"/>
                <w:szCs w:val="20"/>
              </w:rPr>
            </w:pPr>
          </w:p>
        </w:tc>
      </w:tr>
      <w:tr w:rsidR="00387142" w:rsidRPr="008B6A75" w14:paraId="7B316539" w14:textId="77777777" w:rsidTr="00387142">
        <w:trPr>
          <w:trHeight w:val="870"/>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2351DAF8" w14:textId="77777777" w:rsidR="00387142" w:rsidRPr="008B6A75" w:rsidRDefault="00387142" w:rsidP="00387142">
            <w:pPr>
              <w:rPr>
                <w:sz w:val="20"/>
                <w:szCs w:val="20"/>
              </w:rPr>
            </w:pPr>
            <w:r w:rsidRPr="008B6A75">
              <w:rPr>
                <w:sz w:val="20"/>
                <w:szCs w:val="20"/>
              </w:rPr>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164A21C8" w14:textId="77777777" w:rsidR="00387142" w:rsidRPr="008B6A75" w:rsidRDefault="00387142" w:rsidP="00387142">
            <w:pPr>
              <w:jc w:val="center"/>
              <w:rPr>
                <w:sz w:val="20"/>
                <w:szCs w:val="20"/>
              </w:rPr>
            </w:pPr>
            <w:r w:rsidRPr="008B6A75">
              <w:rPr>
                <w:sz w:val="20"/>
                <w:szCs w:val="20"/>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34FEA649" w14:textId="77777777" w:rsidR="00387142" w:rsidRPr="008B6A75" w:rsidRDefault="00387142" w:rsidP="00387142">
            <w:pPr>
              <w:jc w:val="center"/>
              <w:rPr>
                <w:sz w:val="20"/>
                <w:szCs w:val="20"/>
              </w:rPr>
            </w:pPr>
            <w:r w:rsidRPr="008B6A75">
              <w:rPr>
                <w:sz w:val="20"/>
                <w:szCs w:val="20"/>
              </w:rPr>
              <w:t>07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3E13F1" w14:textId="77777777" w:rsidR="00387142" w:rsidRPr="008B6A75" w:rsidRDefault="00387142" w:rsidP="00387142">
            <w:pPr>
              <w:jc w:val="center"/>
              <w:rPr>
                <w:sz w:val="20"/>
                <w:szCs w:val="20"/>
              </w:rPr>
            </w:pPr>
            <w:r w:rsidRPr="008B6A75">
              <w:rPr>
                <w:sz w:val="20"/>
                <w:szCs w:val="20"/>
              </w:rPr>
              <w:t>02</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708FBAB9" w14:textId="77777777" w:rsidR="00387142" w:rsidRPr="008B6A75" w:rsidRDefault="00387142" w:rsidP="00387142">
            <w:pPr>
              <w:jc w:val="center"/>
              <w:rPr>
                <w:sz w:val="20"/>
                <w:szCs w:val="20"/>
              </w:rPr>
            </w:pPr>
            <w:r w:rsidRPr="008B6A75">
              <w:rPr>
                <w:sz w:val="20"/>
                <w:szCs w:val="20"/>
              </w:rPr>
              <w:t>99.0.00.70289</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FB318F" w14:textId="77777777" w:rsidR="00387142" w:rsidRPr="008B6A75" w:rsidRDefault="00387142" w:rsidP="00387142">
            <w:pPr>
              <w:jc w:val="center"/>
              <w:rPr>
                <w:sz w:val="20"/>
                <w:szCs w:val="20"/>
              </w:rPr>
            </w:pPr>
            <w:r w:rsidRPr="008B6A75">
              <w:rPr>
                <w:sz w:val="20"/>
                <w:szCs w:val="20"/>
              </w:rPr>
              <w:t>240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A91995" w14:textId="77777777" w:rsidR="00387142" w:rsidRPr="008B6A75" w:rsidRDefault="00387142" w:rsidP="00387142">
            <w:pPr>
              <w:jc w:val="right"/>
              <w:rPr>
                <w:sz w:val="20"/>
                <w:szCs w:val="20"/>
              </w:rPr>
            </w:pPr>
            <w:r w:rsidRPr="008B6A75">
              <w:rPr>
                <w:sz w:val="20"/>
                <w:szCs w:val="20"/>
              </w:rPr>
              <w:t>7 096 108,80</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494752C7" w14:textId="77777777" w:rsidR="00387142" w:rsidRPr="008B6A75" w:rsidRDefault="00387142" w:rsidP="00387142">
            <w:pPr>
              <w:jc w:val="right"/>
              <w:rPr>
                <w:sz w:val="20"/>
                <w:szCs w:val="20"/>
              </w:rPr>
            </w:pPr>
            <w:r w:rsidRPr="008B6A75">
              <w:rPr>
                <w:sz w:val="20"/>
                <w:szCs w:val="20"/>
              </w:rPr>
              <w:t>5 580 400,00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3F7A7A" w14:textId="77777777" w:rsidR="00387142" w:rsidRPr="008B6A75" w:rsidRDefault="00387142" w:rsidP="00387142">
            <w:pPr>
              <w:jc w:val="right"/>
              <w:rPr>
                <w:sz w:val="20"/>
                <w:szCs w:val="20"/>
              </w:rPr>
            </w:pPr>
            <w:r w:rsidRPr="008B6A75">
              <w:rPr>
                <w:sz w:val="20"/>
                <w:szCs w:val="20"/>
              </w:rPr>
              <w:t>4 806 500,00</w:t>
            </w:r>
          </w:p>
        </w:tc>
        <w:tc>
          <w:tcPr>
            <w:tcW w:w="222" w:type="dxa"/>
            <w:vAlign w:val="center"/>
            <w:hideMark/>
          </w:tcPr>
          <w:p w14:paraId="2E4A8086" w14:textId="77777777" w:rsidR="00387142" w:rsidRPr="008B6A75" w:rsidRDefault="00387142" w:rsidP="00387142">
            <w:pPr>
              <w:rPr>
                <w:sz w:val="20"/>
                <w:szCs w:val="20"/>
              </w:rPr>
            </w:pPr>
          </w:p>
        </w:tc>
      </w:tr>
      <w:tr w:rsidR="00387142" w:rsidRPr="008B6A75" w14:paraId="7310FB12" w14:textId="77777777" w:rsidTr="00387142">
        <w:trPr>
          <w:trHeight w:val="585"/>
        </w:trPr>
        <w:tc>
          <w:tcPr>
            <w:tcW w:w="3021" w:type="dxa"/>
            <w:tcBorders>
              <w:top w:val="nil"/>
              <w:left w:val="single" w:sz="4" w:space="0" w:color="auto"/>
              <w:bottom w:val="nil"/>
              <w:right w:val="nil"/>
            </w:tcBorders>
            <w:shd w:val="clear" w:color="auto" w:fill="auto"/>
            <w:vAlign w:val="center"/>
            <w:hideMark/>
          </w:tcPr>
          <w:p w14:paraId="31054607" w14:textId="77777777" w:rsidR="00387142" w:rsidRPr="008B6A75" w:rsidRDefault="00387142" w:rsidP="00387142">
            <w:pPr>
              <w:rPr>
                <w:sz w:val="20"/>
                <w:szCs w:val="20"/>
              </w:rPr>
            </w:pPr>
            <w:r w:rsidRPr="008B6A75">
              <w:rPr>
                <w:sz w:val="20"/>
                <w:szCs w:val="20"/>
              </w:rPr>
              <w:t>Социальное обеспечение и иные выплаты населению</w:t>
            </w:r>
          </w:p>
        </w:tc>
        <w:tc>
          <w:tcPr>
            <w:tcW w:w="850" w:type="dxa"/>
            <w:tcBorders>
              <w:top w:val="nil"/>
              <w:left w:val="single" w:sz="4" w:space="0" w:color="auto"/>
              <w:bottom w:val="nil"/>
              <w:right w:val="nil"/>
            </w:tcBorders>
            <w:shd w:val="clear" w:color="auto" w:fill="auto"/>
            <w:noWrap/>
            <w:vAlign w:val="center"/>
            <w:hideMark/>
          </w:tcPr>
          <w:p w14:paraId="325C3A02" w14:textId="77777777" w:rsidR="00387142" w:rsidRPr="008B6A75" w:rsidRDefault="00387142" w:rsidP="00387142">
            <w:pPr>
              <w:jc w:val="center"/>
              <w:rPr>
                <w:sz w:val="20"/>
                <w:szCs w:val="20"/>
              </w:rPr>
            </w:pPr>
            <w:r w:rsidRPr="008B6A75">
              <w:rPr>
                <w:sz w:val="20"/>
                <w:szCs w:val="20"/>
              </w:rPr>
              <w:t>444</w:t>
            </w:r>
          </w:p>
        </w:tc>
        <w:tc>
          <w:tcPr>
            <w:tcW w:w="709" w:type="dxa"/>
            <w:tcBorders>
              <w:top w:val="nil"/>
              <w:left w:val="single" w:sz="4" w:space="0" w:color="auto"/>
              <w:bottom w:val="nil"/>
              <w:right w:val="nil"/>
            </w:tcBorders>
            <w:shd w:val="clear" w:color="auto" w:fill="auto"/>
            <w:noWrap/>
            <w:vAlign w:val="center"/>
            <w:hideMark/>
          </w:tcPr>
          <w:p w14:paraId="172A32CD" w14:textId="77777777" w:rsidR="00387142" w:rsidRPr="008B6A75" w:rsidRDefault="00387142" w:rsidP="00387142">
            <w:pPr>
              <w:jc w:val="center"/>
              <w:rPr>
                <w:sz w:val="20"/>
                <w:szCs w:val="20"/>
              </w:rPr>
            </w:pPr>
            <w:r w:rsidRPr="008B6A75">
              <w:rPr>
                <w:sz w:val="20"/>
                <w:szCs w:val="20"/>
              </w:rPr>
              <w:t>07</w:t>
            </w:r>
          </w:p>
        </w:tc>
        <w:tc>
          <w:tcPr>
            <w:tcW w:w="709" w:type="dxa"/>
            <w:tcBorders>
              <w:top w:val="nil"/>
              <w:left w:val="single" w:sz="4" w:space="0" w:color="auto"/>
              <w:bottom w:val="nil"/>
              <w:right w:val="single" w:sz="4" w:space="0" w:color="auto"/>
            </w:tcBorders>
            <w:shd w:val="clear" w:color="auto" w:fill="auto"/>
            <w:noWrap/>
            <w:vAlign w:val="center"/>
            <w:hideMark/>
          </w:tcPr>
          <w:p w14:paraId="48EB8E4E" w14:textId="77777777" w:rsidR="00387142" w:rsidRPr="008B6A75" w:rsidRDefault="00387142" w:rsidP="00387142">
            <w:pPr>
              <w:jc w:val="center"/>
              <w:rPr>
                <w:sz w:val="20"/>
                <w:szCs w:val="20"/>
              </w:rPr>
            </w:pPr>
            <w:r w:rsidRPr="008B6A75">
              <w:rPr>
                <w:sz w:val="20"/>
                <w:szCs w:val="20"/>
              </w:rPr>
              <w:t>02</w:t>
            </w:r>
          </w:p>
        </w:tc>
        <w:tc>
          <w:tcPr>
            <w:tcW w:w="1411" w:type="dxa"/>
            <w:tcBorders>
              <w:top w:val="nil"/>
              <w:left w:val="single" w:sz="4" w:space="0" w:color="auto"/>
              <w:bottom w:val="nil"/>
              <w:right w:val="nil"/>
            </w:tcBorders>
            <w:shd w:val="clear" w:color="auto" w:fill="auto"/>
            <w:noWrap/>
            <w:vAlign w:val="center"/>
            <w:hideMark/>
          </w:tcPr>
          <w:p w14:paraId="0FBF2A25" w14:textId="77777777" w:rsidR="00387142" w:rsidRPr="008B6A75" w:rsidRDefault="00387142" w:rsidP="00387142">
            <w:pPr>
              <w:jc w:val="center"/>
              <w:rPr>
                <w:sz w:val="20"/>
                <w:szCs w:val="20"/>
              </w:rPr>
            </w:pPr>
            <w:r w:rsidRPr="008B6A75">
              <w:rPr>
                <w:sz w:val="20"/>
                <w:szCs w:val="20"/>
              </w:rPr>
              <w:t>99.0.00.70289</w:t>
            </w:r>
          </w:p>
        </w:tc>
        <w:tc>
          <w:tcPr>
            <w:tcW w:w="955" w:type="dxa"/>
            <w:tcBorders>
              <w:top w:val="nil"/>
              <w:left w:val="single" w:sz="4" w:space="0" w:color="auto"/>
              <w:bottom w:val="nil"/>
              <w:right w:val="single" w:sz="4" w:space="0" w:color="auto"/>
            </w:tcBorders>
            <w:shd w:val="clear" w:color="auto" w:fill="auto"/>
            <w:noWrap/>
            <w:vAlign w:val="center"/>
            <w:hideMark/>
          </w:tcPr>
          <w:p w14:paraId="33C07ED2" w14:textId="77777777" w:rsidR="00387142" w:rsidRPr="008B6A75" w:rsidRDefault="00387142" w:rsidP="00387142">
            <w:pPr>
              <w:jc w:val="center"/>
              <w:rPr>
                <w:sz w:val="20"/>
                <w:szCs w:val="20"/>
              </w:rPr>
            </w:pPr>
            <w:r w:rsidRPr="008B6A75">
              <w:rPr>
                <w:sz w:val="20"/>
                <w:szCs w:val="20"/>
              </w:rPr>
              <w:t>300</w:t>
            </w:r>
          </w:p>
        </w:tc>
        <w:tc>
          <w:tcPr>
            <w:tcW w:w="992" w:type="dxa"/>
            <w:tcBorders>
              <w:top w:val="nil"/>
              <w:left w:val="single" w:sz="4" w:space="0" w:color="auto"/>
              <w:bottom w:val="nil"/>
              <w:right w:val="single" w:sz="4" w:space="0" w:color="auto"/>
            </w:tcBorders>
            <w:shd w:val="clear" w:color="auto" w:fill="auto"/>
            <w:noWrap/>
            <w:vAlign w:val="center"/>
            <w:hideMark/>
          </w:tcPr>
          <w:p w14:paraId="7ACE0CA9" w14:textId="77777777" w:rsidR="00387142" w:rsidRPr="008B6A75" w:rsidRDefault="00387142" w:rsidP="00387142">
            <w:pPr>
              <w:jc w:val="right"/>
              <w:rPr>
                <w:sz w:val="20"/>
                <w:szCs w:val="20"/>
              </w:rPr>
            </w:pPr>
            <w:r w:rsidRPr="008B6A75">
              <w:rPr>
                <w:sz w:val="20"/>
                <w:szCs w:val="20"/>
              </w:rPr>
              <w:t>248 151,20</w:t>
            </w:r>
          </w:p>
        </w:tc>
        <w:tc>
          <w:tcPr>
            <w:tcW w:w="992" w:type="dxa"/>
            <w:gridSpan w:val="2"/>
            <w:tcBorders>
              <w:top w:val="nil"/>
              <w:left w:val="single" w:sz="4" w:space="0" w:color="auto"/>
              <w:bottom w:val="nil"/>
              <w:right w:val="nil"/>
            </w:tcBorders>
            <w:shd w:val="clear" w:color="auto" w:fill="auto"/>
            <w:noWrap/>
            <w:vAlign w:val="center"/>
            <w:hideMark/>
          </w:tcPr>
          <w:p w14:paraId="4DC8AF72" w14:textId="77777777" w:rsidR="00387142" w:rsidRPr="008B6A75" w:rsidRDefault="00387142" w:rsidP="00387142">
            <w:pPr>
              <w:jc w:val="right"/>
              <w:rPr>
                <w:sz w:val="20"/>
                <w:szCs w:val="20"/>
              </w:rPr>
            </w:pPr>
            <w:r w:rsidRPr="008B6A75">
              <w:rPr>
                <w:sz w:val="20"/>
                <w:szCs w:val="20"/>
              </w:rPr>
              <w:t>300 000,00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26FF9297" w14:textId="77777777" w:rsidR="00387142" w:rsidRPr="008B6A75" w:rsidRDefault="00387142" w:rsidP="00387142">
            <w:pPr>
              <w:jc w:val="right"/>
              <w:rPr>
                <w:sz w:val="20"/>
                <w:szCs w:val="20"/>
              </w:rPr>
            </w:pPr>
            <w:r w:rsidRPr="008B6A75">
              <w:rPr>
                <w:sz w:val="20"/>
                <w:szCs w:val="20"/>
              </w:rPr>
              <w:t>300 000,00</w:t>
            </w:r>
          </w:p>
        </w:tc>
        <w:tc>
          <w:tcPr>
            <w:tcW w:w="222" w:type="dxa"/>
            <w:vAlign w:val="center"/>
            <w:hideMark/>
          </w:tcPr>
          <w:p w14:paraId="35A76D18" w14:textId="77777777" w:rsidR="00387142" w:rsidRPr="008B6A75" w:rsidRDefault="00387142" w:rsidP="00387142">
            <w:pPr>
              <w:rPr>
                <w:sz w:val="20"/>
                <w:szCs w:val="20"/>
              </w:rPr>
            </w:pPr>
          </w:p>
        </w:tc>
      </w:tr>
      <w:tr w:rsidR="00387142" w:rsidRPr="008B6A75" w14:paraId="279EC567" w14:textId="77777777" w:rsidTr="00387142">
        <w:trPr>
          <w:trHeight w:val="585"/>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6D7CDB12" w14:textId="77777777" w:rsidR="00387142" w:rsidRPr="008B6A75" w:rsidRDefault="00387142" w:rsidP="00387142">
            <w:pPr>
              <w:rPr>
                <w:sz w:val="20"/>
                <w:szCs w:val="20"/>
              </w:rPr>
            </w:pPr>
            <w:r w:rsidRPr="008B6A75">
              <w:rPr>
                <w:sz w:val="20"/>
                <w:szCs w:val="20"/>
              </w:rPr>
              <w:t>Социальные выплаты гражданам, кроме публичных нормативных социальных выплат</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69ED335A" w14:textId="77777777" w:rsidR="00387142" w:rsidRPr="008B6A75" w:rsidRDefault="00387142" w:rsidP="00387142">
            <w:pPr>
              <w:jc w:val="center"/>
              <w:rPr>
                <w:sz w:val="20"/>
                <w:szCs w:val="20"/>
              </w:rPr>
            </w:pPr>
            <w:r w:rsidRPr="008B6A75">
              <w:rPr>
                <w:sz w:val="20"/>
                <w:szCs w:val="20"/>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4BD8009A" w14:textId="77777777" w:rsidR="00387142" w:rsidRPr="008B6A75" w:rsidRDefault="00387142" w:rsidP="00387142">
            <w:pPr>
              <w:jc w:val="center"/>
              <w:rPr>
                <w:sz w:val="20"/>
                <w:szCs w:val="20"/>
              </w:rPr>
            </w:pPr>
            <w:r w:rsidRPr="008B6A75">
              <w:rPr>
                <w:sz w:val="20"/>
                <w:szCs w:val="20"/>
              </w:rPr>
              <w:t>07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9BE5EB" w14:textId="77777777" w:rsidR="00387142" w:rsidRPr="008B6A75" w:rsidRDefault="00387142" w:rsidP="00387142">
            <w:pPr>
              <w:jc w:val="center"/>
              <w:rPr>
                <w:sz w:val="20"/>
                <w:szCs w:val="20"/>
              </w:rPr>
            </w:pPr>
            <w:r w:rsidRPr="008B6A75">
              <w:rPr>
                <w:sz w:val="20"/>
                <w:szCs w:val="20"/>
              </w:rPr>
              <w:t>02</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4FD03745" w14:textId="77777777" w:rsidR="00387142" w:rsidRPr="008B6A75" w:rsidRDefault="00387142" w:rsidP="00387142">
            <w:pPr>
              <w:jc w:val="center"/>
              <w:rPr>
                <w:sz w:val="20"/>
                <w:szCs w:val="20"/>
              </w:rPr>
            </w:pPr>
            <w:r w:rsidRPr="008B6A75">
              <w:rPr>
                <w:sz w:val="20"/>
                <w:szCs w:val="20"/>
              </w:rPr>
              <w:t>99.0.00.70289</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E5362D" w14:textId="77777777" w:rsidR="00387142" w:rsidRPr="008B6A75" w:rsidRDefault="00387142" w:rsidP="00387142">
            <w:pPr>
              <w:jc w:val="center"/>
              <w:rPr>
                <w:sz w:val="20"/>
                <w:szCs w:val="20"/>
              </w:rPr>
            </w:pPr>
            <w:r w:rsidRPr="008B6A75">
              <w:rPr>
                <w:sz w:val="20"/>
                <w:szCs w:val="20"/>
              </w:rPr>
              <w:t>320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5C033C" w14:textId="77777777" w:rsidR="00387142" w:rsidRPr="008B6A75" w:rsidRDefault="00387142" w:rsidP="00387142">
            <w:pPr>
              <w:jc w:val="right"/>
              <w:rPr>
                <w:sz w:val="20"/>
                <w:szCs w:val="20"/>
              </w:rPr>
            </w:pPr>
            <w:r w:rsidRPr="008B6A75">
              <w:rPr>
                <w:sz w:val="20"/>
                <w:szCs w:val="20"/>
              </w:rPr>
              <w:t>248 151,20</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51F4F90D" w14:textId="77777777" w:rsidR="00387142" w:rsidRPr="008B6A75" w:rsidRDefault="00387142" w:rsidP="00387142">
            <w:pPr>
              <w:jc w:val="right"/>
              <w:rPr>
                <w:sz w:val="20"/>
                <w:szCs w:val="20"/>
              </w:rPr>
            </w:pPr>
            <w:r w:rsidRPr="008B6A75">
              <w:rPr>
                <w:sz w:val="20"/>
                <w:szCs w:val="20"/>
              </w:rPr>
              <w:t>300 000,00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0359EA" w14:textId="77777777" w:rsidR="00387142" w:rsidRPr="008B6A75" w:rsidRDefault="00387142" w:rsidP="00387142">
            <w:pPr>
              <w:jc w:val="right"/>
              <w:rPr>
                <w:sz w:val="20"/>
                <w:szCs w:val="20"/>
              </w:rPr>
            </w:pPr>
            <w:r w:rsidRPr="008B6A75">
              <w:rPr>
                <w:sz w:val="20"/>
                <w:szCs w:val="20"/>
              </w:rPr>
              <w:t>300 000,00</w:t>
            </w:r>
          </w:p>
        </w:tc>
        <w:tc>
          <w:tcPr>
            <w:tcW w:w="222" w:type="dxa"/>
            <w:vAlign w:val="center"/>
            <w:hideMark/>
          </w:tcPr>
          <w:p w14:paraId="219D38F5" w14:textId="77777777" w:rsidR="00387142" w:rsidRPr="008B6A75" w:rsidRDefault="00387142" w:rsidP="00387142">
            <w:pPr>
              <w:rPr>
                <w:sz w:val="20"/>
                <w:szCs w:val="20"/>
              </w:rPr>
            </w:pPr>
          </w:p>
        </w:tc>
      </w:tr>
      <w:tr w:rsidR="00387142" w:rsidRPr="008B6A75" w14:paraId="411E2021" w14:textId="77777777" w:rsidTr="00387142">
        <w:trPr>
          <w:trHeight w:val="1440"/>
        </w:trPr>
        <w:tc>
          <w:tcPr>
            <w:tcW w:w="3021" w:type="dxa"/>
            <w:tcBorders>
              <w:top w:val="nil"/>
              <w:left w:val="single" w:sz="4" w:space="0" w:color="auto"/>
              <w:bottom w:val="nil"/>
              <w:right w:val="nil"/>
            </w:tcBorders>
            <w:shd w:val="clear" w:color="auto" w:fill="auto"/>
            <w:vAlign w:val="center"/>
            <w:hideMark/>
          </w:tcPr>
          <w:p w14:paraId="1107D551" w14:textId="77777777" w:rsidR="00387142" w:rsidRPr="008B6A75" w:rsidRDefault="00387142" w:rsidP="00387142">
            <w:pPr>
              <w:rPr>
                <w:bCs/>
                <w:sz w:val="20"/>
                <w:szCs w:val="20"/>
              </w:rPr>
            </w:pPr>
            <w:r w:rsidRPr="008B6A75">
              <w:rPr>
                <w:bCs/>
                <w:sz w:val="20"/>
                <w:szCs w:val="20"/>
              </w:rPr>
              <w:t xml:space="preserve">Реализация мероприятий по обеспечению сбалансированности местных </w:t>
            </w:r>
            <w:proofErr w:type="gramStart"/>
            <w:r w:rsidRPr="008B6A75">
              <w:rPr>
                <w:bCs/>
                <w:sz w:val="20"/>
                <w:szCs w:val="20"/>
              </w:rPr>
              <w:t>бюджетов  государственной</w:t>
            </w:r>
            <w:proofErr w:type="gramEnd"/>
            <w:r w:rsidRPr="008B6A75">
              <w:rPr>
                <w:bCs/>
                <w:sz w:val="20"/>
                <w:szCs w:val="20"/>
              </w:rPr>
              <w:t xml:space="preserve"> программы Новосибирской области "Управление  финансами в Новосибирской области"</w:t>
            </w:r>
          </w:p>
        </w:tc>
        <w:tc>
          <w:tcPr>
            <w:tcW w:w="850" w:type="dxa"/>
            <w:tcBorders>
              <w:top w:val="nil"/>
              <w:left w:val="single" w:sz="4" w:space="0" w:color="auto"/>
              <w:bottom w:val="nil"/>
              <w:right w:val="nil"/>
            </w:tcBorders>
            <w:shd w:val="clear" w:color="auto" w:fill="auto"/>
            <w:noWrap/>
            <w:vAlign w:val="center"/>
            <w:hideMark/>
          </w:tcPr>
          <w:p w14:paraId="748F302E" w14:textId="77777777" w:rsidR="00387142" w:rsidRPr="008B6A75" w:rsidRDefault="00387142" w:rsidP="00387142">
            <w:pPr>
              <w:jc w:val="center"/>
              <w:rPr>
                <w:bCs/>
                <w:sz w:val="20"/>
                <w:szCs w:val="20"/>
              </w:rPr>
            </w:pPr>
            <w:r w:rsidRPr="008B6A75">
              <w:rPr>
                <w:bCs/>
                <w:sz w:val="20"/>
                <w:szCs w:val="20"/>
              </w:rPr>
              <w:t>444</w:t>
            </w:r>
          </w:p>
        </w:tc>
        <w:tc>
          <w:tcPr>
            <w:tcW w:w="709" w:type="dxa"/>
            <w:tcBorders>
              <w:top w:val="nil"/>
              <w:left w:val="single" w:sz="4" w:space="0" w:color="auto"/>
              <w:bottom w:val="nil"/>
              <w:right w:val="nil"/>
            </w:tcBorders>
            <w:shd w:val="clear" w:color="auto" w:fill="auto"/>
            <w:noWrap/>
            <w:vAlign w:val="center"/>
            <w:hideMark/>
          </w:tcPr>
          <w:p w14:paraId="343857E9" w14:textId="77777777" w:rsidR="00387142" w:rsidRPr="008B6A75" w:rsidRDefault="00387142" w:rsidP="00387142">
            <w:pPr>
              <w:jc w:val="center"/>
              <w:rPr>
                <w:bCs/>
                <w:sz w:val="20"/>
                <w:szCs w:val="20"/>
              </w:rPr>
            </w:pPr>
            <w:r w:rsidRPr="008B6A75">
              <w:rPr>
                <w:bCs/>
                <w:sz w:val="20"/>
                <w:szCs w:val="20"/>
              </w:rPr>
              <w:t>07</w:t>
            </w:r>
          </w:p>
        </w:tc>
        <w:tc>
          <w:tcPr>
            <w:tcW w:w="709" w:type="dxa"/>
            <w:tcBorders>
              <w:top w:val="nil"/>
              <w:left w:val="single" w:sz="4" w:space="0" w:color="auto"/>
              <w:bottom w:val="nil"/>
              <w:right w:val="single" w:sz="4" w:space="0" w:color="auto"/>
            </w:tcBorders>
            <w:shd w:val="clear" w:color="auto" w:fill="auto"/>
            <w:noWrap/>
            <w:vAlign w:val="center"/>
            <w:hideMark/>
          </w:tcPr>
          <w:p w14:paraId="70916194" w14:textId="77777777" w:rsidR="00387142" w:rsidRPr="008B6A75" w:rsidRDefault="00387142" w:rsidP="00387142">
            <w:pPr>
              <w:jc w:val="center"/>
              <w:rPr>
                <w:bCs/>
                <w:sz w:val="20"/>
                <w:szCs w:val="20"/>
              </w:rPr>
            </w:pPr>
            <w:r w:rsidRPr="008B6A75">
              <w:rPr>
                <w:bCs/>
                <w:sz w:val="20"/>
                <w:szCs w:val="20"/>
              </w:rPr>
              <w:t>02</w:t>
            </w:r>
          </w:p>
        </w:tc>
        <w:tc>
          <w:tcPr>
            <w:tcW w:w="1411" w:type="dxa"/>
            <w:tcBorders>
              <w:top w:val="nil"/>
              <w:left w:val="single" w:sz="4" w:space="0" w:color="auto"/>
              <w:bottom w:val="nil"/>
              <w:right w:val="nil"/>
            </w:tcBorders>
            <w:shd w:val="clear" w:color="auto" w:fill="auto"/>
            <w:noWrap/>
            <w:vAlign w:val="center"/>
            <w:hideMark/>
          </w:tcPr>
          <w:p w14:paraId="1459661A" w14:textId="77777777" w:rsidR="00387142" w:rsidRPr="008B6A75" w:rsidRDefault="00387142" w:rsidP="00387142">
            <w:pPr>
              <w:jc w:val="center"/>
              <w:rPr>
                <w:bCs/>
                <w:sz w:val="20"/>
                <w:szCs w:val="20"/>
              </w:rPr>
            </w:pPr>
            <w:r w:rsidRPr="008B6A75">
              <w:rPr>
                <w:bCs/>
                <w:sz w:val="20"/>
                <w:szCs w:val="20"/>
              </w:rPr>
              <w:t>99.0.00.70510</w:t>
            </w:r>
          </w:p>
        </w:tc>
        <w:tc>
          <w:tcPr>
            <w:tcW w:w="955" w:type="dxa"/>
            <w:tcBorders>
              <w:top w:val="nil"/>
              <w:left w:val="single" w:sz="4" w:space="0" w:color="auto"/>
              <w:bottom w:val="nil"/>
              <w:right w:val="single" w:sz="4" w:space="0" w:color="auto"/>
            </w:tcBorders>
            <w:shd w:val="clear" w:color="auto" w:fill="auto"/>
            <w:noWrap/>
            <w:vAlign w:val="center"/>
            <w:hideMark/>
          </w:tcPr>
          <w:p w14:paraId="44AEA652"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nil"/>
              <w:right w:val="single" w:sz="4" w:space="0" w:color="auto"/>
            </w:tcBorders>
            <w:shd w:val="clear" w:color="auto" w:fill="auto"/>
            <w:noWrap/>
            <w:vAlign w:val="center"/>
            <w:hideMark/>
          </w:tcPr>
          <w:p w14:paraId="7B2F7E70" w14:textId="77777777" w:rsidR="00387142" w:rsidRPr="008B6A75" w:rsidRDefault="00387142" w:rsidP="00387142">
            <w:pPr>
              <w:jc w:val="right"/>
              <w:rPr>
                <w:bCs/>
                <w:sz w:val="20"/>
                <w:szCs w:val="20"/>
              </w:rPr>
            </w:pPr>
            <w:r w:rsidRPr="008B6A75">
              <w:rPr>
                <w:bCs/>
                <w:sz w:val="20"/>
                <w:szCs w:val="20"/>
              </w:rPr>
              <w:t>300 000,00</w:t>
            </w:r>
          </w:p>
        </w:tc>
        <w:tc>
          <w:tcPr>
            <w:tcW w:w="992" w:type="dxa"/>
            <w:gridSpan w:val="2"/>
            <w:tcBorders>
              <w:top w:val="nil"/>
              <w:left w:val="single" w:sz="4" w:space="0" w:color="auto"/>
              <w:bottom w:val="nil"/>
              <w:right w:val="nil"/>
            </w:tcBorders>
            <w:shd w:val="clear" w:color="auto" w:fill="auto"/>
            <w:noWrap/>
            <w:vAlign w:val="center"/>
            <w:hideMark/>
          </w:tcPr>
          <w:p w14:paraId="6812890B" w14:textId="77777777" w:rsidR="00387142" w:rsidRPr="008B6A75" w:rsidRDefault="00387142" w:rsidP="00387142">
            <w:pPr>
              <w:jc w:val="right"/>
              <w:rPr>
                <w:bCs/>
                <w:sz w:val="20"/>
                <w:szCs w:val="20"/>
              </w:rPr>
            </w:pPr>
            <w:r w:rsidRPr="008B6A75">
              <w:rPr>
                <w:bCs/>
                <w:sz w:val="20"/>
                <w:szCs w:val="20"/>
              </w:rPr>
              <w:t>0,00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2A205CAA" w14:textId="77777777" w:rsidR="00387142" w:rsidRPr="008B6A75" w:rsidRDefault="00387142" w:rsidP="00387142">
            <w:pPr>
              <w:jc w:val="right"/>
              <w:rPr>
                <w:bCs/>
                <w:sz w:val="20"/>
                <w:szCs w:val="20"/>
              </w:rPr>
            </w:pPr>
            <w:r w:rsidRPr="008B6A75">
              <w:rPr>
                <w:bCs/>
                <w:sz w:val="20"/>
                <w:szCs w:val="20"/>
              </w:rPr>
              <w:t>0,00</w:t>
            </w:r>
          </w:p>
        </w:tc>
        <w:tc>
          <w:tcPr>
            <w:tcW w:w="222" w:type="dxa"/>
            <w:vAlign w:val="center"/>
            <w:hideMark/>
          </w:tcPr>
          <w:p w14:paraId="368FAE4A" w14:textId="77777777" w:rsidR="00387142" w:rsidRPr="008B6A75" w:rsidRDefault="00387142" w:rsidP="00387142">
            <w:pPr>
              <w:rPr>
                <w:sz w:val="20"/>
                <w:szCs w:val="20"/>
              </w:rPr>
            </w:pPr>
          </w:p>
        </w:tc>
      </w:tr>
      <w:tr w:rsidR="00387142" w:rsidRPr="008B6A75" w14:paraId="79C2A33E" w14:textId="77777777" w:rsidTr="00387142">
        <w:trPr>
          <w:trHeight w:val="870"/>
        </w:trPr>
        <w:tc>
          <w:tcPr>
            <w:tcW w:w="3021" w:type="dxa"/>
            <w:tcBorders>
              <w:top w:val="single" w:sz="4" w:space="0" w:color="auto"/>
              <w:left w:val="single" w:sz="4" w:space="0" w:color="auto"/>
              <w:bottom w:val="nil"/>
              <w:right w:val="nil"/>
            </w:tcBorders>
            <w:shd w:val="clear" w:color="auto" w:fill="auto"/>
            <w:vAlign w:val="center"/>
            <w:hideMark/>
          </w:tcPr>
          <w:p w14:paraId="3BC36443" w14:textId="77777777" w:rsidR="00387142" w:rsidRPr="008B6A75" w:rsidRDefault="00387142" w:rsidP="00387142">
            <w:pPr>
              <w:rPr>
                <w:sz w:val="20"/>
                <w:szCs w:val="20"/>
              </w:rPr>
            </w:pPr>
            <w:r w:rsidRPr="008B6A75">
              <w:rPr>
                <w:sz w:val="20"/>
                <w:szCs w:val="20"/>
              </w:rPr>
              <w:t>Предоставление субсидий бюджетным, автономным учреждениям и иным некоммерческим организациям</w:t>
            </w:r>
          </w:p>
        </w:tc>
        <w:tc>
          <w:tcPr>
            <w:tcW w:w="850" w:type="dxa"/>
            <w:tcBorders>
              <w:top w:val="single" w:sz="4" w:space="0" w:color="auto"/>
              <w:left w:val="single" w:sz="4" w:space="0" w:color="auto"/>
              <w:bottom w:val="nil"/>
              <w:right w:val="nil"/>
            </w:tcBorders>
            <w:shd w:val="clear" w:color="auto" w:fill="auto"/>
            <w:noWrap/>
            <w:vAlign w:val="center"/>
            <w:hideMark/>
          </w:tcPr>
          <w:p w14:paraId="51EA22C0" w14:textId="77777777" w:rsidR="00387142" w:rsidRPr="008B6A75" w:rsidRDefault="00387142" w:rsidP="00387142">
            <w:pPr>
              <w:jc w:val="center"/>
              <w:rPr>
                <w:sz w:val="20"/>
                <w:szCs w:val="20"/>
              </w:rPr>
            </w:pPr>
            <w:r w:rsidRPr="008B6A75">
              <w:rPr>
                <w:sz w:val="20"/>
                <w:szCs w:val="20"/>
              </w:rPr>
              <w:t>444</w:t>
            </w:r>
          </w:p>
        </w:tc>
        <w:tc>
          <w:tcPr>
            <w:tcW w:w="709" w:type="dxa"/>
            <w:tcBorders>
              <w:top w:val="single" w:sz="4" w:space="0" w:color="auto"/>
              <w:left w:val="single" w:sz="4" w:space="0" w:color="auto"/>
              <w:bottom w:val="nil"/>
              <w:right w:val="nil"/>
            </w:tcBorders>
            <w:shd w:val="clear" w:color="auto" w:fill="auto"/>
            <w:noWrap/>
            <w:vAlign w:val="center"/>
            <w:hideMark/>
          </w:tcPr>
          <w:p w14:paraId="1E43F35F" w14:textId="77777777" w:rsidR="00387142" w:rsidRPr="008B6A75" w:rsidRDefault="00387142" w:rsidP="00387142">
            <w:pPr>
              <w:jc w:val="center"/>
              <w:rPr>
                <w:sz w:val="20"/>
                <w:szCs w:val="20"/>
              </w:rPr>
            </w:pPr>
            <w:r w:rsidRPr="008B6A75">
              <w:rPr>
                <w:sz w:val="20"/>
                <w:szCs w:val="20"/>
              </w:rPr>
              <w:t>07</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2FDC5243" w14:textId="77777777" w:rsidR="00387142" w:rsidRPr="008B6A75" w:rsidRDefault="00387142" w:rsidP="00387142">
            <w:pPr>
              <w:jc w:val="center"/>
              <w:rPr>
                <w:sz w:val="20"/>
                <w:szCs w:val="20"/>
              </w:rPr>
            </w:pPr>
            <w:r w:rsidRPr="008B6A75">
              <w:rPr>
                <w:sz w:val="20"/>
                <w:szCs w:val="20"/>
              </w:rPr>
              <w:t>02</w:t>
            </w:r>
          </w:p>
        </w:tc>
        <w:tc>
          <w:tcPr>
            <w:tcW w:w="1411" w:type="dxa"/>
            <w:tcBorders>
              <w:top w:val="single" w:sz="4" w:space="0" w:color="auto"/>
              <w:left w:val="single" w:sz="4" w:space="0" w:color="auto"/>
              <w:bottom w:val="nil"/>
              <w:right w:val="nil"/>
            </w:tcBorders>
            <w:shd w:val="clear" w:color="auto" w:fill="auto"/>
            <w:noWrap/>
            <w:vAlign w:val="center"/>
            <w:hideMark/>
          </w:tcPr>
          <w:p w14:paraId="324CAA82" w14:textId="77777777" w:rsidR="00387142" w:rsidRPr="008B6A75" w:rsidRDefault="00387142" w:rsidP="00387142">
            <w:pPr>
              <w:jc w:val="center"/>
              <w:rPr>
                <w:sz w:val="20"/>
                <w:szCs w:val="20"/>
              </w:rPr>
            </w:pPr>
            <w:r w:rsidRPr="008B6A75">
              <w:rPr>
                <w:sz w:val="20"/>
                <w:szCs w:val="20"/>
              </w:rPr>
              <w:t>99.0.00.70510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423612B8" w14:textId="77777777" w:rsidR="00387142" w:rsidRPr="008B6A75" w:rsidRDefault="00387142" w:rsidP="00387142">
            <w:pPr>
              <w:jc w:val="center"/>
              <w:rPr>
                <w:sz w:val="20"/>
                <w:szCs w:val="20"/>
              </w:rPr>
            </w:pPr>
            <w:r w:rsidRPr="008B6A75">
              <w:rPr>
                <w:sz w:val="20"/>
                <w:szCs w:val="20"/>
              </w:rPr>
              <w:t>600</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2F79005A" w14:textId="77777777" w:rsidR="00387142" w:rsidRPr="008B6A75" w:rsidRDefault="00387142" w:rsidP="00387142">
            <w:pPr>
              <w:jc w:val="right"/>
              <w:rPr>
                <w:sz w:val="20"/>
                <w:szCs w:val="20"/>
              </w:rPr>
            </w:pPr>
            <w:r w:rsidRPr="008B6A75">
              <w:rPr>
                <w:sz w:val="20"/>
                <w:szCs w:val="20"/>
              </w:rPr>
              <w:t>300 000,00</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500F3890" w14:textId="77777777" w:rsidR="00387142" w:rsidRPr="008B6A75" w:rsidRDefault="00387142" w:rsidP="00387142">
            <w:pPr>
              <w:jc w:val="right"/>
              <w:rPr>
                <w:sz w:val="20"/>
                <w:szCs w:val="20"/>
              </w:rPr>
            </w:pPr>
            <w:r w:rsidRPr="008B6A75">
              <w:rPr>
                <w:sz w:val="20"/>
                <w:szCs w:val="20"/>
              </w:rPr>
              <w:t>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72F9CB2B" w14:textId="77777777" w:rsidR="00387142" w:rsidRPr="008B6A75" w:rsidRDefault="00387142" w:rsidP="00387142">
            <w:pPr>
              <w:jc w:val="right"/>
              <w:rPr>
                <w:sz w:val="20"/>
                <w:szCs w:val="20"/>
              </w:rPr>
            </w:pPr>
            <w:r w:rsidRPr="008B6A75">
              <w:rPr>
                <w:sz w:val="20"/>
                <w:szCs w:val="20"/>
              </w:rPr>
              <w:t>0,00</w:t>
            </w:r>
          </w:p>
        </w:tc>
        <w:tc>
          <w:tcPr>
            <w:tcW w:w="222" w:type="dxa"/>
            <w:vAlign w:val="center"/>
            <w:hideMark/>
          </w:tcPr>
          <w:p w14:paraId="73F42F2C" w14:textId="77777777" w:rsidR="00387142" w:rsidRPr="008B6A75" w:rsidRDefault="00387142" w:rsidP="00387142">
            <w:pPr>
              <w:rPr>
                <w:sz w:val="20"/>
                <w:szCs w:val="20"/>
              </w:rPr>
            </w:pPr>
          </w:p>
        </w:tc>
      </w:tr>
      <w:tr w:rsidR="00387142" w:rsidRPr="008B6A75" w14:paraId="5F501B23" w14:textId="77777777" w:rsidTr="00387142">
        <w:trPr>
          <w:trHeight w:val="300"/>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3AFD6FE5" w14:textId="77777777" w:rsidR="00387142" w:rsidRPr="008B6A75" w:rsidRDefault="00387142" w:rsidP="00387142">
            <w:pPr>
              <w:rPr>
                <w:sz w:val="20"/>
                <w:szCs w:val="20"/>
              </w:rPr>
            </w:pPr>
            <w:r w:rsidRPr="008B6A75">
              <w:rPr>
                <w:sz w:val="20"/>
                <w:szCs w:val="20"/>
              </w:rPr>
              <w:t>Субсидии бюджетным учреждениям</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27BA6D19" w14:textId="77777777" w:rsidR="00387142" w:rsidRPr="008B6A75" w:rsidRDefault="00387142" w:rsidP="00387142">
            <w:pPr>
              <w:jc w:val="center"/>
              <w:rPr>
                <w:sz w:val="20"/>
                <w:szCs w:val="20"/>
              </w:rPr>
            </w:pPr>
            <w:r w:rsidRPr="008B6A75">
              <w:rPr>
                <w:sz w:val="20"/>
                <w:szCs w:val="20"/>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35F827CF" w14:textId="77777777" w:rsidR="00387142" w:rsidRPr="008B6A75" w:rsidRDefault="00387142" w:rsidP="00387142">
            <w:pPr>
              <w:jc w:val="center"/>
              <w:rPr>
                <w:sz w:val="20"/>
                <w:szCs w:val="20"/>
              </w:rPr>
            </w:pPr>
            <w:r w:rsidRPr="008B6A75">
              <w:rPr>
                <w:sz w:val="20"/>
                <w:szCs w:val="20"/>
              </w:rPr>
              <w:t>07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1BEDDE" w14:textId="77777777" w:rsidR="00387142" w:rsidRPr="008B6A75" w:rsidRDefault="00387142" w:rsidP="00387142">
            <w:pPr>
              <w:jc w:val="center"/>
              <w:rPr>
                <w:sz w:val="20"/>
                <w:szCs w:val="20"/>
              </w:rPr>
            </w:pPr>
            <w:r w:rsidRPr="008B6A75">
              <w:rPr>
                <w:sz w:val="20"/>
                <w:szCs w:val="20"/>
              </w:rPr>
              <w:t>02</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268123EF" w14:textId="77777777" w:rsidR="00387142" w:rsidRPr="008B6A75" w:rsidRDefault="00387142" w:rsidP="00387142">
            <w:pPr>
              <w:jc w:val="center"/>
              <w:rPr>
                <w:sz w:val="20"/>
                <w:szCs w:val="20"/>
              </w:rPr>
            </w:pPr>
            <w:r w:rsidRPr="008B6A75">
              <w:rPr>
                <w:sz w:val="20"/>
                <w:szCs w:val="20"/>
              </w:rPr>
              <w:t>99.0.00.70510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4C49D6" w14:textId="77777777" w:rsidR="00387142" w:rsidRPr="008B6A75" w:rsidRDefault="00387142" w:rsidP="00387142">
            <w:pPr>
              <w:jc w:val="center"/>
              <w:rPr>
                <w:sz w:val="20"/>
                <w:szCs w:val="20"/>
              </w:rPr>
            </w:pPr>
            <w:r w:rsidRPr="008B6A75">
              <w:rPr>
                <w:sz w:val="20"/>
                <w:szCs w:val="20"/>
              </w:rPr>
              <w:t>610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B9718E" w14:textId="77777777" w:rsidR="00387142" w:rsidRPr="008B6A75" w:rsidRDefault="00387142" w:rsidP="00387142">
            <w:pPr>
              <w:jc w:val="right"/>
              <w:rPr>
                <w:sz w:val="20"/>
                <w:szCs w:val="20"/>
              </w:rPr>
            </w:pPr>
            <w:r w:rsidRPr="008B6A75">
              <w:rPr>
                <w:sz w:val="20"/>
                <w:szCs w:val="20"/>
              </w:rPr>
              <w:t>300 000,00</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4546341F" w14:textId="77777777" w:rsidR="00387142" w:rsidRPr="008B6A75" w:rsidRDefault="00387142" w:rsidP="00387142">
            <w:pPr>
              <w:jc w:val="right"/>
              <w:rPr>
                <w:sz w:val="20"/>
                <w:szCs w:val="20"/>
              </w:rPr>
            </w:pPr>
            <w:r w:rsidRPr="008B6A75">
              <w:rPr>
                <w:sz w:val="20"/>
                <w:szCs w:val="20"/>
              </w:rPr>
              <w:t>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4A5371" w14:textId="77777777" w:rsidR="00387142" w:rsidRPr="008B6A75" w:rsidRDefault="00387142" w:rsidP="00387142">
            <w:pPr>
              <w:jc w:val="right"/>
              <w:rPr>
                <w:sz w:val="20"/>
                <w:szCs w:val="20"/>
              </w:rPr>
            </w:pPr>
            <w:r w:rsidRPr="008B6A75">
              <w:rPr>
                <w:sz w:val="20"/>
                <w:szCs w:val="20"/>
              </w:rPr>
              <w:t>0,00</w:t>
            </w:r>
          </w:p>
        </w:tc>
        <w:tc>
          <w:tcPr>
            <w:tcW w:w="222" w:type="dxa"/>
            <w:vAlign w:val="center"/>
            <w:hideMark/>
          </w:tcPr>
          <w:p w14:paraId="0B6FE926" w14:textId="77777777" w:rsidR="00387142" w:rsidRPr="008B6A75" w:rsidRDefault="00387142" w:rsidP="00387142">
            <w:pPr>
              <w:rPr>
                <w:sz w:val="20"/>
                <w:szCs w:val="20"/>
              </w:rPr>
            </w:pPr>
          </w:p>
        </w:tc>
      </w:tr>
      <w:tr w:rsidR="00387142" w:rsidRPr="008B6A75" w14:paraId="2AF7E04B" w14:textId="77777777" w:rsidTr="00387142">
        <w:trPr>
          <w:trHeight w:val="300"/>
        </w:trPr>
        <w:tc>
          <w:tcPr>
            <w:tcW w:w="3021" w:type="dxa"/>
            <w:tcBorders>
              <w:top w:val="nil"/>
              <w:left w:val="single" w:sz="4" w:space="0" w:color="auto"/>
              <w:bottom w:val="nil"/>
              <w:right w:val="nil"/>
            </w:tcBorders>
            <w:shd w:val="clear" w:color="auto" w:fill="auto"/>
            <w:vAlign w:val="center"/>
            <w:hideMark/>
          </w:tcPr>
          <w:p w14:paraId="1F2E00BB" w14:textId="77777777" w:rsidR="00387142" w:rsidRPr="008B6A75" w:rsidRDefault="00387142" w:rsidP="00387142">
            <w:pPr>
              <w:rPr>
                <w:bCs/>
                <w:sz w:val="20"/>
                <w:szCs w:val="20"/>
              </w:rPr>
            </w:pPr>
            <w:r w:rsidRPr="008B6A75">
              <w:rPr>
                <w:bCs/>
                <w:sz w:val="20"/>
                <w:szCs w:val="20"/>
              </w:rPr>
              <w:t>Дополнительное образование детей</w:t>
            </w:r>
          </w:p>
        </w:tc>
        <w:tc>
          <w:tcPr>
            <w:tcW w:w="850" w:type="dxa"/>
            <w:tcBorders>
              <w:top w:val="nil"/>
              <w:left w:val="single" w:sz="4" w:space="0" w:color="auto"/>
              <w:bottom w:val="nil"/>
              <w:right w:val="nil"/>
            </w:tcBorders>
            <w:shd w:val="clear" w:color="auto" w:fill="auto"/>
            <w:noWrap/>
            <w:vAlign w:val="center"/>
            <w:hideMark/>
          </w:tcPr>
          <w:p w14:paraId="42DED8CE" w14:textId="77777777" w:rsidR="00387142" w:rsidRPr="008B6A75" w:rsidRDefault="00387142" w:rsidP="00387142">
            <w:pPr>
              <w:jc w:val="center"/>
              <w:rPr>
                <w:bCs/>
                <w:sz w:val="20"/>
                <w:szCs w:val="20"/>
              </w:rPr>
            </w:pPr>
            <w:r w:rsidRPr="008B6A75">
              <w:rPr>
                <w:bCs/>
                <w:sz w:val="20"/>
                <w:szCs w:val="20"/>
              </w:rPr>
              <w:t>444</w:t>
            </w:r>
          </w:p>
        </w:tc>
        <w:tc>
          <w:tcPr>
            <w:tcW w:w="709" w:type="dxa"/>
            <w:tcBorders>
              <w:top w:val="nil"/>
              <w:left w:val="single" w:sz="4" w:space="0" w:color="auto"/>
              <w:bottom w:val="nil"/>
              <w:right w:val="nil"/>
            </w:tcBorders>
            <w:shd w:val="clear" w:color="auto" w:fill="auto"/>
            <w:noWrap/>
            <w:vAlign w:val="center"/>
            <w:hideMark/>
          </w:tcPr>
          <w:p w14:paraId="7A302CA0" w14:textId="77777777" w:rsidR="00387142" w:rsidRPr="008B6A75" w:rsidRDefault="00387142" w:rsidP="00387142">
            <w:pPr>
              <w:jc w:val="center"/>
              <w:rPr>
                <w:bCs/>
                <w:sz w:val="20"/>
                <w:szCs w:val="20"/>
              </w:rPr>
            </w:pPr>
            <w:r w:rsidRPr="008B6A75">
              <w:rPr>
                <w:bCs/>
                <w:sz w:val="20"/>
                <w:szCs w:val="20"/>
              </w:rPr>
              <w:t>07</w:t>
            </w:r>
          </w:p>
        </w:tc>
        <w:tc>
          <w:tcPr>
            <w:tcW w:w="709" w:type="dxa"/>
            <w:tcBorders>
              <w:top w:val="nil"/>
              <w:left w:val="single" w:sz="4" w:space="0" w:color="auto"/>
              <w:bottom w:val="nil"/>
              <w:right w:val="single" w:sz="4" w:space="0" w:color="auto"/>
            </w:tcBorders>
            <w:shd w:val="clear" w:color="auto" w:fill="auto"/>
            <w:noWrap/>
            <w:vAlign w:val="center"/>
            <w:hideMark/>
          </w:tcPr>
          <w:p w14:paraId="252CF581" w14:textId="77777777" w:rsidR="00387142" w:rsidRPr="008B6A75" w:rsidRDefault="00387142" w:rsidP="00387142">
            <w:pPr>
              <w:jc w:val="center"/>
              <w:rPr>
                <w:bCs/>
                <w:sz w:val="20"/>
                <w:szCs w:val="20"/>
              </w:rPr>
            </w:pPr>
            <w:r w:rsidRPr="008B6A75">
              <w:rPr>
                <w:bCs/>
                <w:sz w:val="20"/>
                <w:szCs w:val="20"/>
              </w:rPr>
              <w:t>03</w:t>
            </w:r>
          </w:p>
        </w:tc>
        <w:tc>
          <w:tcPr>
            <w:tcW w:w="1411" w:type="dxa"/>
            <w:tcBorders>
              <w:top w:val="nil"/>
              <w:left w:val="single" w:sz="4" w:space="0" w:color="auto"/>
              <w:bottom w:val="nil"/>
              <w:right w:val="nil"/>
            </w:tcBorders>
            <w:shd w:val="clear" w:color="auto" w:fill="auto"/>
            <w:noWrap/>
            <w:vAlign w:val="center"/>
            <w:hideMark/>
          </w:tcPr>
          <w:p w14:paraId="48D3279C" w14:textId="77777777" w:rsidR="00387142" w:rsidRPr="008B6A75" w:rsidRDefault="00387142" w:rsidP="00387142">
            <w:pPr>
              <w:jc w:val="center"/>
              <w:rPr>
                <w:bCs/>
                <w:sz w:val="20"/>
                <w:szCs w:val="20"/>
              </w:rPr>
            </w:pPr>
            <w:r w:rsidRPr="008B6A75">
              <w:rPr>
                <w:bCs/>
                <w:sz w:val="20"/>
                <w:szCs w:val="20"/>
              </w:rPr>
              <w:t> </w:t>
            </w:r>
          </w:p>
        </w:tc>
        <w:tc>
          <w:tcPr>
            <w:tcW w:w="955" w:type="dxa"/>
            <w:tcBorders>
              <w:top w:val="nil"/>
              <w:left w:val="single" w:sz="4" w:space="0" w:color="auto"/>
              <w:bottom w:val="nil"/>
              <w:right w:val="single" w:sz="4" w:space="0" w:color="auto"/>
            </w:tcBorders>
            <w:shd w:val="clear" w:color="auto" w:fill="auto"/>
            <w:noWrap/>
            <w:vAlign w:val="center"/>
            <w:hideMark/>
          </w:tcPr>
          <w:p w14:paraId="67A36C07"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nil"/>
              <w:right w:val="single" w:sz="4" w:space="0" w:color="auto"/>
            </w:tcBorders>
            <w:shd w:val="clear" w:color="auto" w:fill="auto"/>
            <w:noWrap/>
            <w:vAlign w:val="center"/>
            <w:hideMark/>
          </w:tcPr>
          <w:p w14:paraId="03743904" w14:textId="77777777" w:rsidR="00387142" w:rsidRPr="008B6A75" w:rsidRDefault="00387142" w:rsidP="00387142">
            <w:pPr>
              <w:jc w:val="right"/>
              <w:rPr>
                <w:bCs/>
                <w:sz w:val="20"/>
                <w:szCs w:val="20"/>
              </w:rPr>
            </w:pPr>
            <w:r w:rsidRPr="008B6A75">
              <w:rPr>
                <w:bCs/>
                <w:sz w:val="20"/>
                <w:szCs w:val="20"/>
              </w:rPr>
              <w:t>133 032 730,60</w:t>
            </w:r>
          </w:p>
        </w:tc>
        <w:tc>
          <w:tcPr>
            <w:tcW w:w="992" w:type="dxa"/>
            <w:gridSpan w:val="2"/>
            <w:tcBorders>
              <w:top w:val="nil"/>
              <w:left w:val="single" w:sz="4" w:space="0" w:color="auto"/>
              <w:bottom w:val="nil"/>
              <w:right w:val="nil"/>
            </w:tcBorders>
            <w:shd w:val="clear" w:color="auto" w:fill="auto"/>
            <w:noWrap/>
            <w:vAlign w:val="center"/>
            <w:hideMark/>
          </w:tcPr>
          <w:p w14:paraId="1CBBF438" w14:textId="77777777" w:rsidR="00387142" w:rsidRPr="008B6A75" w:rsidRDefault="00387142" w:rsidP="00387142">
            <w:pPr>
              <w:jc w:val="right"/>
              <w:rPr>
                <w:bCs/>
                <w:sz w:val="20"/>
                <w:szCs w:val="20"/>
              </w:rPr>
            </w:pPr>
            <w:r w:rsidRPr="008B6A75">
              <w:rPr>
                <w:bCs/>
                <w:sz w:val="20"/>
                <w:szCs w:val="20"/>
              </w:rPr>
              <w:t>50 473 391,00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7194D0CC" w14:textId="77777777" w:rsidR="00387142" w:rsidRPr="008B6A75" w:rsidRDefault="00387142" w:rsidP="00387142">
            <w:pPr>
              <w:jc w:val="right"/>
              <w:rPr>
                <w:bCs/>
                <w:sz w:val="20"/>
                <w:szCs w:val="20"/>
              </w:rPr>
            </w:pPr>
            <w:r w:rsidRPr="008B6A75">
              <w:rPr>
                <w:bCs/>
                <w:sz w:val="20"/>
                <w:szCs w:val="20"/>
              </w:rPr>
              <w:t>89 142 900,00</w:t>
            </w:r>
          </w:p>
        </w:tc>
        <w:tc>
          <w:tcPr>
            <w:tcW w:w="222" w:type="dxa"/>
            <w:vAlign w:val="center"/>
            <w:hideMark/>
          </w:tcPr>
          <w:p w14:paraId="751B14BF" w14:textId="77777777" w:rsidR="00387142" w:rsidRPr="008B6A75" w:rsidRDefault="00387142" w:rsidP="00387142">
            <w:pPr>
              <w:rPr>
                <w:sz w:val="20"/>
                <w:szCs w:val="20"/>
              </w:rPr>
            </w:pPr>
          </w:p>
        </w:tc>
      </w:tr>
      <w:tr w:rsidR="00387142" w:rsidRPr="008B6A75" w14:paraId="3AE23B9D" w14:textId="77777777" w:rsidTr="00387142">
        <w:trPr>
          <w:trHeight w:val="870"/>
        </w:trPr>
        <w:tc>
          <w:tcPr>
            <w:tcW w:w="3021" w:type="dxa"/>
            <w:tcBorders>
              <w:top w:val="single" w:sz="4" w:space="0" w:color="auto"/>
              <w:left w:val="single" w:sz="4" w:space="0" w:color="auto"/>
              <w:bottom w:val="nil"/>
              <w:right w:val="nil"/>
            </w:tcBorders>
            <w:shd w:val="clear" w:color="auto" w:fill="auto"/>
            <w:vAlign w:val="center"/>
            <w:hideMark/>
          </w:tcPr>
          <w:p w14:paraId="02646F4C" w14:textId="77777777" w:rsidR="00387142" w:rsidRPr="008B6A75" w:rsidRDefault="00387142" w:rsidP="00387142">
            <w:pPr>
              <w:rPr>
                <w:bCs/>
                <w:sz w:val="20"/>
                <w:szCs w:val="20"/>
              </w:rPr>
            </w:pPr>
            <w:r w:rsidRPr="008B6A75">
              <w:rPr>
                <w:bCs/>
                <w:sz w:val="20"/>
                <w:szCs w:val="20"/>
              </w:rPr>
              <w:t>Муниципальная программа "Комплексное развитие сельских территорий в Куйбышевском районе"</w:t>
            </w:r>
          </w:p>
        </w:tc>
        <w:tc>
          <w:tcPr>
            <w:tcW w:w="850" w:type="dxa"/>
            <w:tcBorders>
              <w:top w:val="single" w:sz="4" w:space="0" w:color="auto"/>
              <w:left w:val="single" w:sz="4" w:space="0" w:color="auto"/>
              <w:bottom w:val="nil"/>
              <w:right w:val="nil"/>
            </w:tcBorders>
            <w:shd w:val="clear" w:color="auto" w:fill="auto"/>
            <w:noWrap/>
            <w:vAlign w:val="center"/>
            <w:hideMark/>
          </w:tcPr>
          <w:p w14:paraId="620E661D" w14:textId="77777777" w:rsidR="00387142" w:rsidRPr="008B6A75" w:rsidRDefault="00387142" w:rsidP="00387142">
            <w:pPr>
              <w:jc w:val="center"/>
              <w:rPr>
                <w:bCs/>
                <w:sz w:val="20"/>
                <w:szCs w:val="20"/>
              </w:rPr>
            </w:pPr>
            <w:r w:rsidRPr="008B6A75">
              <w:rPr>
                <w:bCs/>
                <w:sz w:val="20"/>
                <w:szCs w:val="20"/>
              </w:rPr>
              <w:t>444</w:t>
            </w:r>
          </w:p>
        </w:tc>
        <w:tc>
          <w:tcPr>
            <w:tcW w:w="709" w:type="dxa"/>
            <w:tcBorders>
              <w:top w:val="single" w:sz="4" w:space="0" w:color="auto"/>
              <w:left w:val="single" w:sz="4" w:space="0" w:color="auto"/>
              <w:bottom w:val="nil"/>
              <w:right w:val="nil"/>
            </w:tcBorders>
            <w:shd w:val="clear" w:color="auto" w:fill="auto"/>
            <w:noWrap/>
            <w:vAlign w:val="center"/>
            <w:hideMark/>
          </w:tcPr>
          <w:p w14:paraId="5D704685" w14:textId="77777777" w:rsidR="00387142" w:rsidRPr="008B6A75" w:rsidRDefault="00387142" w:rsidP="00387142">
            <w:pPr>
              <w:jc w:val="center"/>
              <w:rPr>
                <w:bCs/>
                <w:sz w:val="20"/>
                <w:szCs w:val="20"/>
              </w:rPr>
            </w:pPr>
            <w:r w:rsidRPr="008B6A75">
              <w:rPr>
                <w:bCs/>
                <w:sz w:val="20"/>
                <w:szCs w:val="20"/>
              </w:rPr>
              <w:t>07</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374E40F2" w14:textId="77777777" w:rsidR="00387142" w:rsidRPr="008B6A75" w:rsidRDefault="00387142" w:rsidP="00387142">
            <w:pPr>
              <w:jc w:val="center"/>
              <w:rPr>
                <w:bCs/>
                <w:sz w:val="20"/>
                <w:szCs w:val="20"/>
              </w:rPr>
            </w:pPr>
            <w:r w:rsidRPr="008B6A75">
              <w:rPr>
                <w:bCs/>
                <w:sz w:val="20"/>
                <w:szCs w:val="20"/>
              </w:rPr>
              <w:t>03</w:t>
            </w:r>
          </w:p>
        </w:tc>
        <w:tc>
          <w:tcPr>
            <w:tcW w:w="1411" w:type="dxa"/>
            <w:tcBorders>
              <w:top w:val="single" w:sz="4" w:space="0" w:color="auto"/>
              <w:left w:val="single" w:sz="4" w:space="0" w:color="auto"/>
              <w:bottom w:val="nil"/>
              <w:right w:val="nil"/>
            </w:tcBorders>
            <w:shd w:val="clear" w:color="auto" w:fill="auto"/>
            <w:noWrap/>
            <w:vAlign w:val="center"/>
            <w:hideMark/>
          </w:tcPr>
          <w:p w14:paraId="501E5B94" w14:textId="77777777" w:rsidR="00387142" w:rsidRPr="008B6A75" w:rsidRDefault="00387142" w:rsidP="00387142">
            <w:pPr>
              <w:jc w:val="center"/>
              <w:rPr>
                <w:bCs/>
                <w:sz w:val="20"/>
                <w:szCs w:val="20"/>
              </w:rPr>
            </w:pPr>
            <w:r w:rsidRPr="008B6A75">
              <w:rPr>
                <w:bCs/>
                <w:sz w:val="20"/>
                <w:szCs w:val="20"/>
              </w:rPr>
              <w:t>06.0.00.00000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37AC2A89" w14:textId="77777777" w:rsidR="00387142" w:rsidRPr="008B6A75" w:rsidRDefault="00387142" w:rsidP="00387142">
            <w:pPr>
              <w:jc w:val="center"/>
              <w:rPr>
                <w:bCs/>
                <w:sz w:val="20"/>
                <w:szCs w:val="20"/>
              </w:rPr>
            </w:pPr>
            <w:r w:rsidRPr="008B6A75">
              <w:rPr>
                <w:bCs/>
                <w:sz w:val="20"/>
                <w:szCs w:val="20"/>
              </w:rPr>
              <w:t> </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62E8A794" w14:textId="77777777" w:rsidR="00387142" w:rsidRPr="008B6A75" w:rsidRDefault="00387142" w:rsidP="00387142">
            <w:pPr>
              <w:jc w:val="right"/>
              <w:rPr>
                <w:bCs/>
                <w:sz w:val="20"/>
                <w:szCs w:val="20"/>
              </w:rPr>
            </w:pPr>
            <w:r w:rsidRPr="008B6A75">
              <w:rPr>
                <w:bCs/>
                <w:sz w:val="20"/>
                <w:szCs w:val="20"/>
              </w:rPr>
              <w:t>75 000,00</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1271C27E" w14:textId="77777777" w:rsidR="00387142" w:rsidRPr="008B6A75" w:rsidRDefault="00387142" w:rsidP="00387142">
            <w:pPr>
              <w:jc w:val="right"/>
              <w:rPr>
                <w:bCs/>
                <w:sz w:val="20"/>
                <w:szCs w:val="20"/>
              </w:rPr>
            </w:pPr>
            <w:r w:rsidRPr="008B6A75">
              <w:rPr>
                <w:bCs/>
                <w:sz w:val="20"/>
                <w:szCs w:val="20"/>
              </w:rPr>
              <w:t>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313F1A91" w14:textId="77777777" w:rsidR="00387142" w:rsidRPr="008B6A75" w:rsidRDefault="00387142" w:rsidP="00387142">
            <w:pPr>
              <w:jc w:val="right"/>
              <w:rPr>
                <w:bCs/>
                <w:sz w:val="20"/>
                <w:szCs w:val="20"/>
              </w:rPr>
            </w:pPr>
            <w:r w:rsidRPr="008B6A75">
              <w:rPr>
                <w:bCs/>
                <w:sz w:val="20"/>
                <w:szCs w:val="20"/>
              </w:rPr>
              <w:t>0,00</w:t>
            </w:r>
          </w:p>
        </w:tc>
        <w:tc>
          <w:tcPr>
            <w:tcW w:w="222" w:type="dxa"/>
            <w:vAlign w:val="center"/>
            <w:hideMark/>
          </w:tcPr>
          <w:p w14:paraId="5CEAE864" w14:textId="77777777" w:rsidR="00387142" w:rsidRPr="008B6A75" w:rsidRDefault="00387142" w:rsidP="00387142">
            <w:pPr>
              <w:rPr>
                <w:sz w:val="20"/>
                <w:szCs w:val="20"/>
              </w:rPr>
            </w:pPr>
          </w:p>
        </w:tc>
      </w:tr>
      <w:tr w:rsidR="00387142" w:rsidRPr="008B6A75" w14:paraId="321044BC" w14:textId="77777777" w:rsidTr="00387142">
        <w:trPr>
          <w:trHeight w:val="870"/>
        </w:trPr>
        <w:tc>
          <w:tcPr>
            <w:tcW w:w="3021" w:type="dxa"/>
            <w:tcBorders>
              <w:top w:val="single" w:sz="4" w:space="0" w:color="auto"/>
              <w:left w:val="single" w:sz="4" w:space="0" w:color="auto"/>
              <w:bottom w:val="nil"/>
              <w:right w:val="nil"/>
            </w:tcBorders>
            <w:shd w:val="clear" w:color="auto" w:fill="auto"/>
            <w:vAlign w:val="center"/>
            <w:hideMark/>
          </w:tcPr>
          <w:p w14:paraId="1415D679" w14:textId="77777777" w:rsidR="00387142" w:rsidRPr="008B6A75" w:rsidRDefault="00387142" w:rsidP="00387142">
            <w:pPr>
              <w:rPr>
                <w:bCs/>
                <w:sz w:val="20"/>
                <w:szCs w:val="20"/>
              </w:rPr>
            </w:pPr>
            <w:r w:rsidRPr="008B6A75">
              <w:rPr>
                <w:bCs/>
                <w:sz w:val="20"/>
                <w:szCs w:val="20"/>
              </w:rPr>
              <w:t>Реализация мероприятий муниципальной программы «Комплексное развитие сельских территорий в Куйбышевском районе»</w:t>
            </w:r>
          </w:p>
        </w:tc>
        <w:tc>
          <w:tcPr>
            <w:tcW w:w="850" w:type="dxa"/>
            <w:tcBorders>
              <w:top w:val="single" w:sz="4" w:space="0" w:color="auto"/>
              <w:left w:val="single" w:sz="4" w:space="0" w:color="auto"/>
              <w:bottom w:val="nil"/>
              <w:right w:val="nil"/>
            </w:tcBorders>
            <w:shd w:val="clear" w:color="auto" w:fill="auto"/>
            <w:noWrap/>
            <w:vAlign w:val="center"/>
            <w:hideMark/>
          </w:tcPr>
          <w:p w14:paraId="24D18AAB" w14:textId="77777777" w:rsidR="00387142" w:rsidRPr="008B6A75" w:rsidRDefault="00387142" w:rsidP="00387142">
            <w:pPr>
              <w:jc w:val="center"/>
              <w:rPr>
                <w:bCs/>
                <w:sz w:val="20"/>
                <w:szCs w:val="20"/>
              </w:rPr>
            </w:pPr>
            <w:r w:rsidRPr="008B6A75">
              <w:rPr>
                <w:bCs/>
                <w:sz w:val="20"/>
                <w:szCs w:val="20"/>
              </w:rPr>
              <w:t>444</w:t>
            </w:r>
          </w:p>
        </w:tc>
        <w:tc>
          <w:tcPr>
            <w:tcW w:w="709" w:type="dxa"/>
            <w:tcBorders>
              <w:top w:val="single" w:sz="4" w:space="0" w:color="auto"/>
              <w:left w:val="single" w:sz="4" w:space="0" w:color="auto"/>
              <w:bottom w:val="nil"/>
              <w:right w:val="nil"/>
            </w:tcBorders>
            <w:shd w:val="clear" w:color="auto" w:fill="auto"/>
            <w:noWrap/>
            <w:vAlign w:val="center"/>
            <w:hideMark/>
          </w:tcPr>
          <w:p w14:paraId="15C18A21" w14:textId="77777777" w:rsidR="00387142" w:rsidRPr="008B6A75" w:rsidRDefault="00387142" w:rsidP="00387142">
            <w:pPr>
              <w:jc w:val="center"/>
              <w:rPr>
                <w:bCs/>
                <w:sz w:val="20"/>
                <w:szCs w:val="20"/>
              </w:rPr>
            </w:pPr>
            <w:r w:rsidRPr="008B6A75">
              <w:rPr>
                <w:bCs/>
                <w:sz w:val="20"/>
                <w:szCs w:val="20"/>
              </w:rPr>
              <w:t>07</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3CDCDCD2" w14:textId="77777777" w:rsidR="00387142" w:rsidRPr="008B6A75" w:rsidRDefault="00387142" w:rsidP="00387142">
            <w:pPr>
              <w:jc w:val="center"/>
              <w:rPr>
                <w:bCs/>
                <w:sz w:val="20"/>
                <w:szCs w:val="20"/>
              </w:rPr>
            </w:pPr>
            <w:r w:rsidRPr="008B6A75">
              <w:rPr>
                <w:bCs/>
                <w:sz w:val="20"/>
                <w:szCs w:val="20"/>
              </w:rPr>
              <w:t>03</w:t>
            </w:r>
          </w:p>
        </w:tc>
        <w:tc>
          <w:tcPr>
            <w:tcW w:w="1411" w:type="dxa"/>
            <w:tcBorders>
              <w:top w:val="single" w:sz="4" w:space="0" w:color="auto"/>
              <w:left w:val="single" w:sz="4" w:space="0" w:color="auto"/>
              <w:bottom w:val="nil"/>
              <w:right w:val="nil"/>
            </w:tcBorders>
            <w:shd w:val="clear" w:color="auto" w:fill="auto"/>
            <w:noWrap/>
            <w:vAlign w:val="center"/>
            <w:hideMark/>
          </w:tcPr>
          <w:p w14:paraId="00102D0C" w14:textId="77777777" w:rsidR="00387142" w:rsidRPr="008B6A75" w:rsidRDefault="00387142" w:rsidP="00387142">
            <w:pPr>
              <w:jc w:val="center"/>
              <w:rPr>
                <w:bCs/>
                <w:sz w:val="20"/>
                <w:szCs w:val="20"/>
              </w:rPr>
            </w:pPr>
            <w:r w:rsidRPr="008B6A75">
              <w:rPr>
                <w:bCs/>
                <w:sz w:val="20"/>
                <w:szCs w:val="20"/>
              </w:rPr>
              <w:t>06.0.00.05956</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079CE726" w14:textId="77777777" w:rsidR="00387142" w:rsidRPr="008B6A75" w:rsidRDefault="00387142" w:rsidP="00387142">
            <w:pPr>
              <w:jc w:val="center"/>
              <w:rPr>
                <w:bCs/>
                <w:sz w:val="20"/>
                <w:szCs w:val="20"/>
              </w:rPr>
            </w:pPr>
            <w:r w:rsidRPr="008B6A75">
              <w:rPr>
                <w:bCs/>
                <w:sz w:val="20"/>
                <w:szCs w:val="20"/>
              </w:rPr>
              <w:t> </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295C62B7" w14:textId="77777777" w:rsidR="00387142" w:rsidRPr="008B6A75" w:rsidRDefault="00387142" w:rsidP="00387142">
            <w:pPr>
              <w:jc w:val="right"/>
              <w:rPr>
                <w:bCs/>
                <w:sz w:val="20"/>
                <w:szCs w:val="20"/>
              </w:rPr>
            </w:pPr>
            <w:r w:rsidRPr="008B6A75">
              <w:rPr>
                <w:bCs/>
                <w:sz w:val="20"/>
                <w:szCs w:val="20"/>
              </w:rPr>
              <w:t>75 000,00</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5843D9AB" w14:textId="77777777" w:rsidR="00387142" w:rsidRPr="008B6A75" w:rsidRDefault="00387142" w:rsidP="00387142">
            <w:pPr>
              <w:jc w:val="right"/>
              <w:rPr>
                <w:bCs/>
                <w:sz w:val="20"/>
                <w:szCs w:val="20"/>
              </w:rPr>
            </w:pPr>
            <w:r w:rsidRPr="008B6A75">
              <w:rPr>
                <w:bCs/>
                <w:sz w:val="20"/>
                <w:szCs w:val="20"/>
              </w:rPr>
              <w:t>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3E025EEC" w14:textId="77777777" w:rsidR="00387142" w:rsidRPr="008B6A75" w:rsidRDefault="00387142" w:rsidP="00387142">
            <w:pPr>
              <w:jc w:val="right"/>
              <w:rPr>
                <w:bCs/>
                <w:sz w:val="20"/>
                <w:szCs w:val="20"/>
              </w:rPr>
            </w:pPr>
            <w:r w:rsidRPr="008B6A75">
              <w:rPr>
                <w:bCs/>
                <w:sz w:val="20"/>
                <w:szCs w:val="20"/>
              </w:rPr>
              <w:t>0,00</w:t>
            </w:r>
          </w:p>
        </w:tc>
        <w:tc>
          <w:tcPr>
            <w:tcW w:w="222" w:type="dxa"/>
            <w:vAlign w:val="center"/>
            <w:hideMark/>
          </w:tcPr>
          <w:p w14:paraId="7C00497D" w14:textId="77777777" w:rsidR="00387142" w:rsidRPr="008B6A75" w:rsidRDefault="00387142" w:rsidP="00387142">
            <w:pPr>
              <w:rPr>
                <w:sz w:val="20"/>
                <w:szCs w:val="20"/>
              </w:rPr>
            </w:pPr>
          </w:p>
        </w:tc>
      </w:tr>
      <w:tr w:rsidR="00387142" w:rsidRPr="008B6A75" w14:paraId="308293E0" w14:textId="77777777" w:rsidTr="00387142">
        <w:trPr>
          <w:trHeight w:val="870"/>
        </w:trPr>
        <w:tc>
          <w:tcPr>
            <w:tcW w:w="3021" w:type="dxa"/>
            <w:tcBorders>
              <w:top w:val="single" w:sz="4" w:space="0" w:color="auto"/>
              <w:left w:val="single" w:sz="4" w:space="0" w:color="auto"/>
              <w:bottom w:val="nil"/>
              <w:right w:val="nil"/>
            </w:tcBorders>
            <w:shd w:val="clear" w:color="auto" w:fill="auto"/>
            <w:vAlign w:val="center"/>
            <w:hideMark/>
          </w:tcPr>
          <w:p w14:paraId="3529B1BF" w14:textId="77777777" w:rsidR="00387142" w:rsidRPr="008B6A75" w:rsidRDefault="00387142" w:rsidP="00387142">
            <w:pPr>
              <w:rPr>
                <w:sz w:val="20"/>
                <w:szCs w:val="20"/>
              </w:rPr>
            </w:pPr>
            <w:r w:rsidRPr="008B6A75">
              <w:rPr>
                <w:sz w:val="20"/>
                <w:szCs w:val="20"/>
              </w:rPr>
              <w:t>Предоставление субсидий бюджетным, автономным учреждениям и иным некоммерческим организациям</w:t>
            </w:r>
          </w:p>
        </w:tc>
        <w:tc>
          <w:tcPr>
            <w:tcW w:w="850" w:type="dxa"/>
            <w:tcBorders>
              <w:top w:val="single" w:sz="4" w:space="0" w:color="auto"/>
              <w:left w:val="single" w:sz="4" w:space="0" w:color="auto"/>
              <w:bottom w:val="nil"/>
              <w:right w:val="nil"/>
            </w:tcBorders>
            <w:shd w:val="clear" w:color="auto" w:fill="auto"/>
            <w:noWrap/>
            <w:vAlign w:val="center"/>
            <w:hideMark/>
          </w:tcPr>
          <w:p w14:paraId="1B94B0E0" w14:textId="77777777" w:rsidR="00387142" w:rsidRPr="008B6A75" w:rsidRDefault="00387142" w:rsidP="00387142">
            <w:pPr>
              <w:jc w:val="center"/>
              <w:rPr>
                <w:sz w:val="20"/>
                <w:szCs w:val="20"/>
              </w:rPr>
            </w:pPr>
            <w:r w:rsidRPr="008B6A75">
              <w:rPr>
                <w:sz w:val="20"/>
                <w:szCs w:val="20"/>
              </w:rPr>
              <w:t>444</w:t>
            </w:r>
          </w:p>
        </w:tc>
        <w:tc>
          <w:tcPr>
            <w:tcW w:w="709" w:type="dxa"/>
            <w:tcBorders>
              <w:top w:val="single" w:sz="4" w:space="0" w:color="auto"/>
              <w:left w:val="single" w:sz="4" w:space="0" w:color="auto"/>
              <w:bottom w:val="nil"/>
              <w:right w:val="nil"/>
            </w:tcBorders>
            <w:shd w:val="clear" w:color="auto" w:fill="auto"/>
            <w:noWrap/>
            <w:vAlign w:val="center"/>
            <w:hideMark/>
          </w:tcPr>
          <w:p w14:paraId="3252359A" w14:textId="77777777" w:rsidR="00387142" w:rsidRPr="008B6A75" w:rsidRDefault="00387142" w:rsidP="00387142">
            <w:pPr>
              <w:jc w:val="center"/>
              <w:rPr>
                <w:sz w:val="20"/>
                <w:szCs w:val="20"/>
              </w:rPr>
            </w:pPr>
            <w:r w:rsidRPr="008B6A75">
              <w:rPr>
                <w:sz w:val="20"/>
                <w:szCs w:val="20"/>
              </w:rPr>
              <w:t>07</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16DF1F94" w14:textId="77777777" w:rsidR="00387142" w:rsidRPr="008B6A75" w:rsidRDefault="00387142" w:rsidP="00387142">
            <w:pPr>
              <w:jc w:val="center"/>
              <w:rPr>
                <w:sz w:val="20"/>
                <w:szCs w:val="20"/>
              </w:rPr>
            </w:pPr>
            <w:r w:rsidRPr="008B6A75">
              <w:rPr>
                <w:sz w:val="20"/>
                <w:szCs w:val="20"/>
              </w:rPr>
              <w:t>03</w:t>
            </w:r>
          </w:p>
        </w:tc>
        <w:tc>
          <w:tcPr>
            <w:tcW w:w="1411" w:type="dxa"/>
            <w:tcBorders>
              <w:top w:val="single" w:sz="4" w:space="0" w:color="auto"/>
              <w:left w:val="single" w:sz="4" w:space="0" w:color="auto"/>
              <w:bottom w:val="nil"/>
              <w:right w:val="nil"/>
            </w:tcBorders>
            <w:shd w:val="clear" w:color="auto" w:fill="auto"/>
            <w:noWrap/>
            <w:vAlign w:val="center"/>
            <w:hideMark/>
          </w:tcPr>
          <w:p w14:paraId="08CB20F3" w14:textId="77777777" w:rsidR="00387142" w:rsidRPr="008B6A75" w:rsidRDefault="00387142" w:rsidP="00387142">
            <w:pPr>
              <w:jc w:val="center"/>
              <w:rPr>
                <w:sz w:val="20"/>
                <w:szCs w:val="20"/>
              </w:rPr>
            </w:pPr>
            <w:r w:rsidRPr="008B6A75">
              <w:rPr>
                <w:sz w:val="20"/>
                <w:szCs w:val="20"/>
              </w:rPr>
              <w:t>06.0.00.05956</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73BBB5E2" w14:textId="77777777" w:rsidR="00387142" w:rsidRPr="008B6A75" w:rsidRDefault="00387142" w:rsidP="00387142">
            <w:pPr>
              <w:jc w:val="center"/>
              <w:rPr>
                <w:sz w:val="20"/>
                <w:szCs w:val="20"/>
              </w:rPr>
            </w:pPr>
            <w:r w:rsidRPr="008B6A75">
              <w:rPr>
                <w:sz w:val="20"/>
                <w:szCs w:val="20"/>
              </w:rPr>
              <w:t>600</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033D945E" w14:textId="77777777" w:rsidR="00387142" w:rsidRPr="008B6A75" w:rsidRDefault="00387142" w:rsidP="00387142">
            <w:pPr>
              <w:jc w:val="right"/>
              <w:rPr>
                <w:sz w:val="20"/>
                <w:szCs w:val="20"/>
              </w:rPr>
            </w:pPr>
            <w:r w:rsidRPr="008B6A75">
              <w:rPr>
                <w:sz w:val="20"/>
                <w:szCs w:val="20"/>
              </w:rPr>
              <w:t>75 000,00</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6C7197F6" w14:textId="77777777" w:rsidR="00387142" w:rsidRPr="008B6A75" w:rsidRDefault="00387142" w:rsidP="00387142">
            <w:pPr>
              <w:jc w:val="right"/>
              <w:rPr>
                <w:sz w:val="20"/>
                <w:szCs w:val="20"/>
              </w:rPr>
            </w:pPr>
            <w:r w:rsidRPr="008B6A75">
              <w:rPr>
                <w:sz w:val="20"/>
                <w:szCs w:val="20"/>
              </w:rPr>
              <w:t>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5CDFB2F3" w14:textId="77777777" w:rsidR="00387142" w:rsidRPr="008B6A75" w:rsidRDefault="00387142" w:rsidP="00387142">
            <w:pPr>
              <w:jc w:val="right"/>
              <w:rPr>
                <w:sz w:val="20"/>
                <w:szCs w:val="20"/>
              </w:rPr>
            </w:pPr>
            <w:r w:rsidRPr="008B6A75">
              <w:rPr>
                <w:sz w:val="20"/>
                <w:szCs w:val="20"/>
              </w:rPr>
              <w:t>0,00</w:t>
            </w:r>
          </w:p>
        </w:tc>
        <w:tc>
          <w:tcPr>
            <w:tcW w:w="222" w:type="dxa"/>
            <w:vAlign w:val="center"/>
            <w:hideMark/>
          </w:tcPr>
          <w:p w14:paraId="0CE10B7E" w14:textId="77777777" w:rsidR="00387142" w:rsidRPr="008B6A75" w:rsidRDefault="00387142" w:rsidP="00387142">
            <w:pPr>
              <w:rPr>
                <w:sz w:val="20"/>
                <w:szCs w:val="20"/>
              </w:rPr>
            </w:pPr>
          </w:p>
        </w:tc>
      </w:tr>
      <w:tr w:rsidR="00387142" w:rsidRPr="008B6A75" w14:paraId="446F8A32" w14:textId="77777777" w:rsidTr="00387142">
        <w:trPr>
          <w:trHeight w:val="300"/>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1C6FCD92" w14:textId="77777777" w:rsidR="00387142" w:rsidRPr="008B6A75" w:rsidRDefault="00387142" w:rsidP="00387142">
            <w:pPr>
              <w:rPr>
                <w:sz w:val="20"/>
                <w:szCs w:val="20"/>
              </w:rPr>
            </w:pPr>
            <w:r w:rsidRPr="008B6A75">
              <w:rPr>
                <w:sz w:val="20"/>
                <w:szCs w:val="20"/>
              </w:rPr>
              <w:t>Субсидии бюджетным учреждениям</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082E21AD" w14:textId="77777777" w:rsidR="00387142" w:rsidRPr="008B6A75" w:rsidRDefault="00387142" w:rsidP="00387142">
            <w:pPr>
              <w:jc w:val="center"/>
              <w:rPr>
                <w:sz w:val="20"/>
                <w:szCs w:val="20"/>
              </w:rPr>
            </w:pPr>
            <w:r w:rsidRPr="008B6A75">
              <w:rPr>
                <w:sz w:val="20"/>
                <w:szCs w:val="20"/>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6CCE8FD5" w14:textId="77777777" w:rsidR="00387142" w:rsidRPr="008B6A75" w:rsidRDefault="00387142" w:rsidP="00387142">
            <w:pPr>
              <w:jc w:val="center"/>
              <w:rPr>
                <w:sz w:val="20"/>
                <w:szCs w:val="20"/>
              </w:rPr>
            </w:pPr>
            <w:r w:rsidRPr="008B6A75">
              <w:rPr>
                <w:sz w:val="20"/>
                <w:szCs w:val="20"/>
              </w:rPr>
              <w:t>07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70E21A" w14:textId="77777777" w:rsidR="00387142" w:rsidRPr="008B6A75" w:rsidRDefault="00387142" w:rsidP="00387142">
            <w:pPr>
              <w:jc w:val="center"/>
              <w:rPr>
                <w:sz w:val="20"/>
                <w:szCs w:val="20"/>
              </w:rPr>
            </w:pPr>
            <w:r w:rsidRPr="008B6A75">
              <w:rPr>
                <w:sz w:val="20"/>
                <w:szCs w:val="20"/>
              </w:rPr>
              <w:t>03</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449EE5DF" w14:textId="77777777" w:rsidR="00387142" w:rsidRPr="008B6A75" w:rsidRDefault="00387142" w:rsidP="00387142">
            <w:pPr>
              <w:jc w:val="center"/>
              <w:rPr>
                <w:sz w:val="20"/>
                <w:szCs w:val="20"/>
              </w:rPr>
            </w:pPr>
            <w:r w:rsidRPr="008B6A75">
              <w:rPr>
                <w:sz w:val="20"/>
                <w:szCs w:val="20"/>
              </w:rPr>
              <w:t>06.0.00.05956</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E58178" w14:textId="77777777" w:rsidR="00387142" w:rsidRPr="008B6A75" w:rsidRDefault="00387142" w:rsidP="00387142">
            <w:pPr>
              <w:jc w:val="center"/>
              <w:rPr>
                <w:sz w:val="20"/>
                <w:szCs w:val="20"/>
              </w:rPr>
            </w:pPr>
            <w:r w:rsidRPr="008B6A75">
              <w:rPr>
                <w:sz w:val="20"/>
                <w:szCs w:val="20"/>
              </w:rPr>
              <w:t>610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A489D2" w14:textId="77777777" w:rsidR="00387142" w:rsidRPr="008B6A75" w:rsidRDefault="00387142" w:rsidP="00387142">
            <w:pPr>
              <w:jc w:val="right"/>
              <w:rPr>
                <w:sz w:val="20"/>
                <w:szCs w:val="20"/>
              </w:rPr>
            </w:pPr>
            <w:r w:rsidRPr="008B6A75">
              <w:rPr>
                <w:sz w:val="20"/>
                <w:szCs w:val="20"/>
              </w:rPr>
              <w:t>75 000,00</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74482416" w14:textId="77777777" w:rsidR="00387142" w:rsidRPr="008B6A75" w:rsidRDefault="00387142" w:rsidP="00387142">
            <w:pPr>
              <w:jc w:val="right"/>
              <w:rPr>
                <w:sz w:val="20"/>
                <w:szCs w:val="20"/>
              </w:rPr>
            </w:pPr>
            <w:r w:rsidRPr="008B6A75">
              <w:rPr>
                <w:sz w:val="20"/>
                <w:szCs w:val="20"/>
              </w:rPr>
              <w:t>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9D684A" w14:textId="77777777" w:rsidR="00387142" w:rsidRPr="008B6A75" w:rsidRDefault="00387142" w:rsidP="00387142">
            <w:pPr>
              <w:jc w:val="right"/>
              <w:rPr>
                <w:sz w:val="20"/>
                <w:szCs w:val="20"/>
              </w:rPr>
            </w:pPr>
            <w:r w:rsidRPr="008B6A75">
              <w:rPr>
                <w:sz w:val="20"/>
                <w:szCs w:val="20"/>
              </w:rPr>
              <w:t>0,00</w:t>
            </w:r>
          </w:p>
        </w:tc>
        <w:tc>
          <w:tcPr>
            <w:tcW w:w="222" w:type="dxa"/>
            <w:vAlign w:val="center"/>
            <w:hideMark/>
          </w:tcPr>
          <w:p w14:paraId="47B6A1F2" w14:textId="77777777" w:rsidR="00387142" w:rsidRPr="008B6A75" w:rsidRDefault="00387142" w:rsidP="00387142">
            <w:pPr>
              <w:rPr>
                <w:sz w:val="20"/>
                <w:szCs w:val="20"/>
              </w:rPr>
            </w:pPr>
          </w:p>
        </w:tc>
      </w:tr>
      <w:tr w:rsidR="00387142" w:rsidRPr="008B6A75" w14:paraId="633433DD" w14:textId="77777777" w:rsidTr="00387142">
        <w:trPr>
          <w:trHeight w:val="585"/>
        </w:trPr>
        <w:tc>
          <w:tcPr>
            <w:tcW w:w="3021" w:type="dxa"/>
            <w:tcBorders>
              <w:top w:val="nil"/>
              <w:left w:val="single" w:sz="4" w:space="0" w:color="auto"/>
              <w:bottom w:val="nil"/>
              <w:right w:val="nil"/>
            </w:tcBorders>
            <w:shd w:val="clear" w:color="auto" w:fill="auto"/>
            <w:vAlign w:val="center"/>
            <w:hideMark/>
          </w:tcPr>
          <w:p w14:paraId="06156C5F" w14:textId="77777777" w:rsidR="00387142" w:rsidRPr="008B6A75" w:rsidRDefault="00387142" w:rsidP="00387142">
            <w:pPr>
              <w:rPr>
                <w:bCs/>
                <w:sz w:val="20"/>
                <w:szCs w:val="20"/>
              </w:rPr>
            </w:pPr>
            <w:r w:rsidRPr="008B6A75">
              <w:rPr>
                <w:bCs/>
                <w:sz w:val="20"/>
                <w:szCs w:val="20"/>
              </w:rPr>
              <w:t>Муниципальная программа "Развитие системы образования Куйбышевского района"</w:t>
            </w:r>
          </w:p>
        </w:tc>
        <w:tc>
          <w:tcPr>
            <w:tcW w:w="850" w:type="dxa"/>
            <w:tcBorders>
              <w:top w:val="nil"/>
              <w:left w:val="single" w:sz="4" w:space="0" w:color="auto"/>
              <w:bottom w:val="nil"/>
              <w:right w:val="nil"/>
            </w:tcBorders>
            <w:shd w:val="clear" w:color="auto" w:fill="auto"/>
            <w:noWrap/>
            <w:vAlign w:val="center"/>
            <w:hideMark/>
          </w:tcPr>
          <w:p w14:paraId="7EEB2192" w14:textId="77777777" w:rsidR="00387142" w:rsidRPr="008B6A75" w:rsidRDefault="00387142" w:rsidP="00387142">
            <w:pPr>
              <w:jc w:val="center"/>
              <w:rPr>
                <w:bCs/>
                <w:sz w:val="20"/>
                <w:szCs w:val="20"/>
              </w:rPr>
            </w:pPr>
            <w:r w:rsidRPr="008B6A75">
              <w:rPr>
                <w:bCs/>
                <w:sz w:val="20"/>
                <w:szCs w:val="20"/>
              </w:rPr>
              <w:t>444</w:t>
            </w:r>
          </w:p>
        </w:tc>
        <w:tc>
          <w:tcPr>
            <w:tcW w:w="709" w:type="dxa"/>
            <w:tcBorders>
              <w:top w:val="nil"/>
              <w:left w:val="single" w:sz="4" w:space="0" w:color="auto"/>
              <w:bottom w:val="nil"/>
              <w:right w:val="nil"/>
            </w:tcBorders>
            <w:shd w:val="clear" w:color="auto" w:fill="auto"/>
            <w:noWrap/>
            <w:vAlign w:val="center"/>
            <w:hideMark/>
          </w:tcPr>
          <w:p w14:paraId="1D73CC90" w14:textId="77777777" w:rsidR="00387142" w:rsidRPr="008B6A75" w:rsidRDefault="00387142" w:rsidP="00387142">
            <w:pPr>
              <w:jc w:val="center"/>
              <w:rPr>
                <w:bCs/>
                <w:sz w:val="20"/>
                <w:szCs w:val="20"/>
              </w:rPr>
            </w:pPr>
            <w:r w:rsidRPr="008B6A75">
              <w:rPr>
                <w:bCs/>
                <w:sz w:val="20"/>
                <w:szCs w:val="20"/>
              </w:rPr>
              <w:t>07</w:t>
            </w:r>
          </w:p>
        </w:tc>
        <w:tc>
          <w:tcPr>
            <w:tcW w:w="709" w:type="dxa"/>
            <w:tcBorders>
              <w:top w:val="nil"/>
              <w:left w:val="single" w:sz="4" w:space="0" w:color="auto"/>
              <w:bottom w:val="nil"/>
              <w:right w:val="single" w:sz="4" w:space="0" w:color="auto"/>
            </w:tcBorders>
            <w:shd w:val="clear" w:color="auto" w:fill="auto"/>
            <w:noWrap/>
            <w:vAlign w:val="center"/>
            <w:hideMark/>
          </w:tcPr>
          <w:p w14:paraId="7E7B60CA" w14:textId="77777777" w:rsidR="00387142" w:rsidRPr="008B6A75" w:rsidRDefault="00387142" w:rsidP="00387142">
            <w:pPr>
              <w:jc w:val="center"/>
              <w:rPr>
                <w:bCs/>
                <w:sz w:val="20"/>
                <w:szCs w:val="20"/>
              </w:rPr>
            </w:pPr>
            <w:r w:rsidRPr="008B6A75">
              <w:rPr>
                <w:bCs/>
                <w:sz w:val="20"/>
                <w:szCs w:val="20"/>
              </w:rPr>
              <w:t>03</w:t>
            </w:r>
          </w:p>
        </w:tc>
        <w:tc>
          <w:tcPr>
            <w:tcW w:w="1411" w:type="dxa"/>
            <w:tcBorders>
              <w:top w:val="nil"/>
              <w:left w:val="single" w:sz="4" w:space="0" w:color="auto"/>
              <w:bottom w:val="nil"/>
              <w:right w:val="nil"/>
            </w:tcBorders>
            <w:shd w:val="clear" w:color="auto" w:fill="auto"/>
            <w:noWrap/>
            <w:vAlign w:val="center"/>
            <w:hideMark/>
          </w:tcPr>
          <w:p w14:paraId="5E3D133A" w14:textId="77777777" w:rsidR="00387142" w:rsidRPr="008B6A75" w:rsidRDefault="00387142" w:rsidP="00387142">
            <w:pPr>
              <w:jc w:val="center"/>
              <w:rPr>
                <w:bCs/>
                <w:sz w:val="20"/>
                <w:szCs w:val="20"/>
              </w:rPr>
            </w:pPr>
            <w:r w:rsidRPr="008B6A75">
              <w:rPr>
                <w:bCs/>
                <w:sz w:val="20"/>
                <w:szCs w:val="20"/>
              </w:rPr>
              <w:t>07.0.00.00000</w:t>
            </w:r>
          </w:p>
        </w:tc>
        <w:tc>
          <w:tcPr>
            <w:tcW w:w="955" w:type="dxa"/>
            <w:tcBorders>
              <w:top w:val="nil"/>
              <w:left w:val="single" w:sz="4" w:space="0" w:color="auto"/>
              <w:bottom w:val="nil"/>
              <w:right w:val="single" w:sz="4" w:space="0" w:color="auto"/>
            </w:tcBorders>
            <w:shd w:val="clear" w:color="auto" w:fill="auto"/>
            <w:noWrap/>
            <w:vAlign w:val="center"/>
            <w:hideMark/>
          </w:tcPr>
          <w:p w14:paraId="68177CFF"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nil"/>
              <w:right w:val="single" w:sz="4" w:space="0" w:color="auto"/>
            </w:tcBorders>
            <w:shd w:val="clear" w:color="auto" w:fill="auto"/>
            <w:noWrap/>
            <w:vAlign w:val="center"/>
            <w:hideMark/>
          </w:tcPr>
          <w:p w14:paraId="6823362D" w14:textId="77777777" w:rsidR="00387142" w:rsidRPr="008B6A75" w:rsidRDefault="00387142" w:rsidP="00387142">
            <w:pPr>
              <w:jc w:val="right"/>
              <w:rPr>
                <w:bCs/>
                <w:sz w:val="20"/>
                <w:szCs w:val="20"/>
              </w:rPr>
            </w:pPr>
            <w:r w:rsidRPr="008B6A75">
              <w:rPr>
                <w:bCs/>
                <w:sz w:val="20"/>
                <w:szCs w:val="20"/>
              </w:rPr>
              <w:t>128 128 730,60</w:t>
            </w:r>
          </w:p>
        </w:tc>
        <w:tc>
          <w:tcPr>
            <w:tcW w:w="992" w:type="dxa"/>
            <w:gridSpan w:val="2"/>
            <w:tcBorders>
              <w:top w:val="nil"/>
              <w:left w:val="single" w:sz="4" w:space="0" w:color="auto"/>
              <w:bottom w:val="nil"/>
              <w:right w:val="nil"/>
            </w:tcBorders>
            <w:shd w:val="clear" w:color="auto" w:fill="auto"/>
            <w:noWrap/>
            <w:vAlign w:val="center"/>
            <w:hideMark/>
          </w:tcPr>
          <w:p w14:paraId="29E239A3" w14:textId="77777777" w:rsidR="00387142" w:rsidRPr="008B6A75" w:rsidRDefault="00387142" w:rsidP="00387142">
            <w:pPr>
              <w:jc w:val="right"/>
              <w:rPr>
                <w:bCs/>
                <w:sz w:val="20"/>
                <w:szCs w:val="20"/>
              </w:rPr>
            </w:pPr>
            <w:r w:rsidRPr="008B6A75">
              <w:rPr>
                <w:bCs/>
                <w:sz w:val="20"/>
                <w:szCs w:val="20"/>
              </w:rPr>
              <w:t>50 473 391,00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66C9DB29" w14:textId="77777777" w:rsidR="00387142" w:rsidRPr="008B6A75" w:rsidRDefault="00387142" w:rsidP="00387142">
            <w:pPr>
              <w:jc w:val="right"/>
              <w:rPr>
                <w:bCs/>
                <w:sz w:val="20"/>
                <w:szCs w:val="20"/>
              </w:rPr>
            </w:pPr>
            <w:r w:rsidRPr="008B6A75">
              <w:rPr>
                <w:bCs/>
                <w:sz w:val="20"/>
                <w:szCs w:val="20"/>
              </w:rPr>
              <w:t>89 142 900,00</w:t>
            </w:r>
          </w:p>
        </w:tc>
        <w:tc>
          <w:tcPr>
            <w:tcW w:w="222" w:type="dxa"/>
            <w:vAlign w:val="center"/>
            <w:hideMark/>
          </w:tcPr>
          <w:p w14:paraId="68E98F88" w14:textId="77777777" w:rsidR="00387142" w:rsidRPr="008B6A75" w:rsidRDefault="00387142" w:rsidP="00387142">
            <w:pPr>
              <w:rPr>
                <w:sz w:val="20"/>
                <w:szCs w:val="20"/>
              </w:rPr>
            </w:pPr>
          </w:p>
        </w:tc>
      </w:tr>
      <w:tr w:rsidR="00387142" w:rsidRPr="008B6A75" w14:paraId="6947D240" w14:textId="77777777" w:rsidTr="00387142">
        <w:trPr>
          <w:trHeight w:val="585"/>
        </w:trPr>
        <w:tc>
          <w:tcPr>
            <w:tcW w:w="3021" w:type="dxa"/>
            <w:tcBorders>
              <w:top w:val="single" w:sz="4" w:space="0" w:color="auto"/>
              <w:left w:val="single" w:sz="4" w:space="0" w:color="auto"/>
              <w:bottom w:val="nil"/>
              <w:right w:val="nil"/>
            </w:tcBorders>
            <w:shd w:val="clear" w:color="auto" w:fill="auto"/>
            <w:vAlign w:val="center"/>
            <w:hideMark/>
          </w:tcPr>
          <w:p w14:paraId="64B68EDB" w14:textId="77777777" w:rsidR="00387142" w:rsidRPr="008B6A75" w:rsidRDefault="00387142" w:rsidP="00387142">
            <w:pPr>
              <w:rPr>
                <w:bCs/>
                <w:sz w:val="20"/>
                <w:szCs w:val="20"/>
              </w:rPr>
            </w:pPr>
            <w:r w:rsidRPr="008B6A75">
              <w:rPr>
                <w:bCs/>
                <w:sz w:val="20"/>
                <w:szCs w:val="20"/>
              </w:rPr>
              <w:t>Подпрограмма "Развитие дошкольного, общего и дополнительного образования детей"</w:t>
            </w:r>
          </w:p>
        </w:tc>
        <w:tc>
          <w:tcPr>
            <w:tcW w:w="850" w:type="dxa"/>
            <w:tcBorders>
              <w:top w:val="single" w:sz="4" w:space="0" w:color="auto"/>
              <w:left w:val="single" w:sz="4" w:space="0" w:color="auto"/>
              <w:bottom w:val="nil"/>
              <w:right w:val="nil"/>
            </w:tcBorders>
            <w:shd w:val="clear" w:color="auto" w:fill="auto"/>
            <w:noWrap/>
            <w:vAlign w:val="center"/>
            <w:hideMark/>
          </w:tcPr>
          <w:p w14:paraId="4A936523" w14:textId="77777777" w:rsidR="00387142" w:rsidRPr="008B6A75" w:rsidRDefault="00387142" w:rsidP="00387142">
            <w:pPr>
              <w:jc w:val="center"/>
              <w:rPr>
                <w:bCs/>
                <w:sz w:val="20"/>
                <w:szCs w:val="20"/>
              </w:rPr>
            </w:pPr>
            <w:r w:rsidRPr="008B6A75">
              <w:rPr>
                <w:bCs/>
                <w:sz w:val="20"/>
                <w:szCs w:val="20"/>
              </w:rPr>
              <w:t>444</w:t>
            </w:r>
          </w:p>
        </w:tc>
        <w:tc>
          <w:tcPr>
            <w:tcW w:w="709" w:type="dxa"/>
            <w:tcBorders>
              <w:top w:val="single" w:sz="4" w:space="0" w:color="auto"/>
              <w:left w:val="single" w:sz="4" w:space="0" w:color="auto"/>
              <w:bottom w:val="nil"/>
              <w:right w:val="nil"/>
            </w:tcBorders>
            <w:shd w:val="clear" w:color="auto" w:fill="auto"/>
            <w:noWrap/>
            <w:vAlign w:val="center"/>
            <w:hideMark/>
          </w:tcPr>
          <w:p w14:paraId="139BDA0B" w14:textId="77777777" w:rsidR="00387142" w:rsidRPr="008B6A75" w:rsidRDefault="00387142" w:rsidP="00387142">
            <w:pPr>
              <w:jc w:val="center"/>
              <w:rPr>
                <w:bCs/>
                <w:sz w:val="20"/>
                <w:szCs w:val="20"/>
              </w:rPr>
            </w:pPr>
            <w:r w:rsidRPr="008B6A75">
              <w:rPr>
                <w:bCs/>
                <w:sz w:val="20"/>
                <w:szCs w:val="20"/>
              </w:rPr>
              <w:t>07</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5D0881CE" w14:textId="77777777" w:rsidR="00387142" w:rsidRPr="008B6A75" w:rsidRDefault="00387142" w:rsidP="00387142">
            <w:pPr>
              <w:jc w:val="center"/>
              <w:rPr>
                <w:bCs/>
                <w:sz w:val="20"/>
                <w:szCs w:val="20"/>
              </w:rPr>
            </w:pPr>
            <w:r w:rsidRPr="008B6A75">
              <w:rPr>
                <w:bCs/>
                <w:sz w:val="20"/>
                <w:szCs w:val="20"/>
              </w:rPr>
              <w:t>03</w:t>
            </w:r>
          </w:p>
        </w:tc>
        <w:tc>
          <w:tcPr>
            <w:tcW w:w="1411" w:type="dxa"/>
            <w:tcBorders>
              <w:top w:val="single" w:sz="4" w:space="0" w:color="auto"/>
              <w:left w:val="single" w:sz="4" w:space="0" w:color="auto"/>
              <w:bottom w:val="nil"/>
              <w:right w:val="nil"/>
            </w:tcBorders>
            <w:shd w:val="clear" w:color="auto" w:fill="auto"/>
            <w:noWrap/>
            <w:vAlign w:val="center"/>
            <w:hideMark/>
          </w:tcPr>
          <w:p w14:paraId="2A68A350" w14:textId="77777777" w:rsidR="00387142" w:rsidRPr="008B6A75" w:rsidRDefault="00387142" w:rsidP="00387142">
            <w:pPr>
              <w:jc w:val="center"/>
              <w:rPr>
                <w:bCs/>
                <w:sz w:val="20"/>
                <w:szCs w:val="20"/>
              </w:rPr>
            </w:pPr>
            <w:r w:rsidRPr="008B6A75">
              <w:rPr>
                <w:bCs/>
                <w:sz w:val="20"/>
                <w:szCs w:val="20"/>
              </w:rPr>
              <w:t>07.1.00.00000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0B4E07FC" w14:textId="77777777" w:rsidR="00387142" w:rsidRPr="008B6A75" w:rsidRDefault="00387142" w:rsidP="00387142">
            <w:pPr>
              <w:jc w:val="center"/>
              <w:rPr>
                <w:bCs/>
                <w:sz w:val="20"/>
                <w:szCs w:val="20"/>
              </w:rPr>
            </w:pPr>
            <w:r w:rsidRPr="008B6A75">
              <w:rPr>
                <w:bCs/>
                <w:sz w:val="20"/>
                <w:szCs w:val="20"/>
              </w:rPr>
              <w:t> </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4B9512CE" w14:textId="77777777" w:rsidR="00387142" w:rsidRPr="008B6A75" w:rsidRDefault="00387142" w:rsidP="00387142">
            <w:pPr>
              <w:jc w:val="right"/>
              <w:rPr>
                <w:bCs/>
                <w:sz w:val="20"/>
                <w:szCs w:val="20"/>
              </w:rPr>
            </w:pPr>
            <w:r w:rsidRPr="008B6A75">
              <w:rPr>
                <w:bCs/>
                <w:sz w:val="20"/>
                <w:szCs w:val="20"/>
              </w:rPr>
              <w:t>127 390 130,60</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30FF54E2" w14:textId="77777777" w:rsidR="00387142" w:rsidRPr="008B6A75" w:rsidRDefault="00387142" w:rsidP="00387142">
            <w:pPr>
              <w:jc w:val="right"/>
              <w:rPr>
                <w:bCs/>
                <w:sz w:val="20"/>
                <w:szCs w:val="20"/>
              </w:rPr>
            </w:pPr>
            <w:r w:rsidRPr="008B6A75">
              <w:rPr>
                <w:bCs/>
                <w:sz w:val="20"/>
                <w:szCs w:val="20"/>
              </w:rPr>
              <w:t>50 473 391,00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4E683918" w14:textId="77777777" w:rsidR="00387142" w:rsidRPr="008B6A75" w:rsidRDefault="00387142" w:rsidP="00387142">
            <w:pPr>
              <w:jc w:val="right"/>
              <w:rPr>
                <w:bCs/>
                <w:sz w:val="20"/>
                <w:szCs w:val="20"/>
              </w:rPr>
            </w:pPr>
            <w:r w:rsidRPr="008B6A75">
              <w:rPr>
                <w:bCs/>
                <w:sz w:val="20"/>
                <w:szCs w:val="20"/>
              </w:rPr>
              <w:t>89 142 900,00</w:t>
            </w:r>
          </w:p>
        </w:tc>
        <w:tc>
          <w:tcPr>
            <w:tcW w:w="222" w:type="dxa"/>
            <w:vAlign w:val="center"/>
            <w:hideMark/>
          </w:tcPr>
          <w:p w14:paraId="0F632324" w14:textId="77777777" w:rsidR="00387142" w:rsidRPr="008B6A75" w:rsidRDefault="00387142" w:rsidP="00387142">
            <w:pPr>
              <w:rPr>
                <w:sz w:val="20"/>
                <w:szCs w:val="20"/>
              </w:rPr>
            </w:pPr>
          </w:p>
        </w:tc>
      </w:tr>
      <w:tr w:rsidR="00387142" w:rsidRPr="008B6A75" w14:paraId="12FB7230" w14:textId="77777777" w:rsidTr="00387142">
        <w:trPr>
          <w:trHeight w:val="870"/>
        </w:trPr>
        <w:tc>
          <w:tcPr>
            <w:tcW w:w="3021" w:type="dxa"/>
            <w:tcBorders>
              <w:top w:val="single" w:sz="4" w:space="0" w:color="auto"/>
              <w:left w:val="single" w:sz="4" w:space="0" w:color="auto"/>
              <w:bottom w:val="nil"/>
              <w:right w:val="nil"/>
            </w:tcBorders>
            <w:shd w:val="clear" w:color="auto" w:fill="auto"/>
            <w:vAlign w:val="center"/>
            <w:hideMark/>
          </w:tcPr>
          <w:p w14:paraId="0359C79B" w14:textId="77777777" w:rsidR="00387142" w:rsidRPr="008B6A75" w:rsidRDefault="00387142" w:rsidP="00387142">
            <w:pPr>
              <w:rPr>
                <w:bCs/>
                <w:sz w:val="20"/>
                <w:szCs w:val="20"/>
              </w:rPr>
            </w:pPr>
            <w:r w:rsidRPr="008B6A75">
              <w:rPr>
                <w:bCs/>
                <w:sz w:val="20"/>
                <w:szCs w:val="20"/>
              </w:rPr>
              <w:t>Расходы на обеспечение деятельности (оказание услуг) муниципальных учреждений дополнительного образования</w:t>
            </w:r>
          </w:p>
        </w:tc>
        <w:tc>
          <w:tcPr>
            <w:tcW w:w="850" w:type="dxa"/>
            <w:tcBorders>
              <w:top w:val="single" w:sz="4" w:space="0" w:color="auto"/>
              <w:left w:val="single" w:sz="4" w:space="0" w:color="auto"/>
              <w:bottom w:val="nil"/>
              <w:right w:val="nil"/>
            </w:tcBorders>
            <w:shd w:val="clear" w:color="auto" w:fill="auto"/>
            <w:noWrap/>
            <w:vAlign w:val="center"/>
            <w:hideMark/>
          </w:tcPr>
          <w:p w14:paraId="264B3D6F" w14:textId="77777777" w:rsidR="00387142" w:rsidRPr="008B6A75" w:rsidRDefault="00387142" w:rsidP="00387142">
            <w:pPr>
              <w:jc w:val="center"/>
              <w:rPr>
                <w:bCs/>
                <w:sz w:val="20"/>
                <w:szCs w:val="20"/>
              </w:rPr>
            </w:pPr>
            <w:r w:rsidRPr="008B6A75">
              <w:rPr>
                <w:bCs/>
                <w:sz w:val="20"/>
                <w:szCs w:val="20"/>
              </w:rPr>
              <w:t>444</w:t>
            </w:r>
          </w:p>
        </w:tc>
        <w:tc>
          <w:tcPr>
            <w:tcW w:w="709" w:type="dxa"/>
            <w:tcBorders>
              <w:top w:val="single" w:sz="4" w:space="0" w:color="auto"/>
              <w:left w:val="single" w:sz="4" w:space="0" w:color="auto"/>
              <w:bottom w:val="nil"/>
              <w:right w:val="nil"/>
            </w:tcBorders>
            <w:shd w:val="clear" w:color="auto" w:fill="auto"/>
            <w:noWrap/>
            <w:vAlign w:val="center"/>
            <w:hideMark/>
          </w:tcPr>
          <w:p w14:paraId="2F8080AD" w14:textId="77777777" w:rsidR="00387142" w:rsidRPr="008B6A75" w:rsidRDefault="00387142" w:rsidP="00387142">
            <w:pPr>
              <w:jc w:val="center"/>
              <w:rPr>
                <w:bCs/>
                <w:sz w:val="20"/>
                <w:szCs w:val="20"/>
              </w:rPr>
            </w:pPr>
            <w:r w:rsidRPr="008B6A75">
              <w:rPr>
                <w:bCs/>
                <w:sz w:val="20"/>
                <w:szCs w:val="20"/>
              </w:rPr>
              <w:t>07</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6FD52CE9" w14:textId="77777777" w:rsidR="00387142" w:rsidRPr="008B6A75" w:rsidRDefault="00387142" w:rsidP="00387142">
            <w:pPr>
              <w:jc w:val="center"/>
              <w:rPr>
                <w:bCs/>
                <w:sz w:val="20"/>
                <w:szCs w:val="20"/>
              </w:rPr>
            </w:pPr>
            <w:r w:rsidRPr="008B6A75">
              <w:rPr>
                <w:bCs/>
                <w:sz w:val="20"/>
                <w:szCs w:val="20"/>
              </w:rPr>
              <w:t>03</w:t>
            </w:r>
          </w:p>
        </w:tc>
        <w:tc>
          <w:tcPr>
            <w:tcW w:w="1411" w:type="dxa"/>
            <w:tcBorders>
              <w:top w:val="single" w:sz="4" w:space="0" w:color="auto"/>
              <w:left w:val="single" w:sz="4" w:space="0" w:color="auto"/>
              <w:bottom w:val="nil"/>
              <w:right w:val="nil"/>
            </w:tcBorders>
            <w:shd w:val="clear" w:color="auto" w:fill="auto"/>
            <w:noWrap/>
            <w:vAlign w:val="center"/>
            <w:hideMark/>
          </w:tcPr>
          <w:p w14:paraId="6028CC19" w14:textId="77777777" w:rsidR="00387142" w:rsidRPr="008B6A75" w:rsidRDefault="00387142" w:rsidP="00387142">
            <w:pPr>
              <w:jc w:val="center"/>
              <w:rPr>
                <w:bCs/>
                <w:sz w:val="20"/>
                <w:szCs w:val="20"/>
              </w:rPr>
            </w:pPr>
            <w:r w:rsidRPr="008B6A75">
              <w:rPr>
                <w:bCs/>
                <w:sz w:val="20"/>
                <w:szCs w:val="20"/>
              </w:rPr>
              <w:t>07.1.00.07490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182AB2D3" w14:textId="77777777" w:rsidR="00387142" w:rsidRPr="008B6A75" w:rsidRDefault="00387142" w:rsidP="00387142">
            <w:pPr>
              <w:jc w:val="center"/>
              <w:rPr>
                <w:bCs/>
                <w:sz w:val="20"/>
                <w:szCs w:val="20"/>
              </w:rPr>
            </w:pPr>
            <w:r w:rsidRPr="008B6A75">
              <w:rPr>
                <w:bCs/>
                <w:sz w:val="20"/>
                <w:szCs w:val="20"/>
              </w:rPr>
              <w:t> </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391B1707" w14:textId="77777777" w:rsidR="00387142" w:rsidRPr="008B6A75" w:rsidRDefault="00387142" w:rsidP="00387142">
            <w:pPr>
              <w:jc w:val="right"/>
              <w:rPr>
                <w:bCs/>
                <w:sz w:val="20"/>
                <w:szCs w:val="20"/>
              </w:rPr>
            </w:pPr>
            <w:r w:rsidRPr="008B6A75">
              <w:rPr>
                <w:bCs/>
                <w:sz w:val="20"/>
                <w:szCs w:val="20"/>
              </w:rPr>
              <w:t>36 720 467,30</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5F4F413B" w14:textId="77777777" w:rsidR="00387142" w:rsidRPr="008B6A75" w:rsidRDefault="00387142" w:rsidP="00387142">
            <w:pPr>
              <w:jc w:val="right"/>
              <w:rPr>
                <w:bCs/>
                <w:sz w:val="20"/>
                <w:szCs w:val="20"/>
              </w:rPr>
            </w:pPr>
            <w:r w:rsidRPr="008B6A75">
              <w:rPr>
                <w:bCs/>
                <w:sz w:val="20"/>
                <w:szCs w:val="20"/>
              </w:rPr>
              <w:t>50 473 391,00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7E865E87" w14:textId="77777777" w:rsidR="00387142" w:rsidRPr="008B6A75" w:rsidRDefault="00387142" w:rsidP="00387142">
            <w:pPr>
              <w:jc w:val="right"/>
              <w:rPr>
                <w:bCs/>
                <w:sz w:val="20"/>
                <w:szCs w:val="20"/>
              </w:rPr>
            </w:pPr>
            <w:r w:rsidRPr="008B6A75">
              <w:rPr>
                <w:bCs/>
                <w:sz w:val="20"/>
                <w:szCs w:val="20"/>
              </w:rPr>
              <w:t>49 830 500,00</w:t>
            </w:r>
          </w:p>
        </w:tc>
        <w:tc>
          <w:tcPr>
            <w:tcW w:w="222" w:type="dxa"/>
            <w:vAlign w:val="center"/>
            <w:hideMark/>
          </w:tcPr>
          <w:p w14:paraId="03E5690B" w14:textId="77777777" w:rsidR="00387142" w:rsidRPr="008B6A75" w:rsidRDefault="00387142" w:rsidP="00387142">
            <w:pPr>
              <w:rPr>
                <w:sz w:val="20"/>
                <w:szCs w:val="20"/>
              </w:rPr>
            </w:pPr>
          </w:p>
        </w:tc>
      </w:tr>
      <w:tr w:rsidR="00387142" w:rsidRPr="008B6A75" w14:paraId="7F291C04" w14:textId="77777777" w:rsidTr="00387142">
        <w:trPr>
          <w:trHeight w:val="1440"/>
        </w:trPr>
        <w:tc>
          <w:tcPr>
            <w:tcW w:w="3021" w:type="dxa"/>
            <w:tcBorders>
              <w:top w:val="single" w:sz="4" w:space="0" w:color="auto"/>
              <w:left w:val="single" w:sz="4" w:space="0" w:color="auto"/>
              <w:bottom w:val="nil"/>
              <w:right w:val="nil"/>
            </w:tcBorders>
            <w:shd w:val="clear" w:color="auto" w:fill="auto"/>
            <w:vAlign w:val="center"/>
            <w:hideMark/>
          </w:tcPr>
          <w:p w14:paraId="53584ED6" w14:textId="77777777" w:rsidR="00387142" w:rsidRPr="008B6A75" w:rsidRDefault="00387142" w:rsidP="00387142">
            <w:pPr>
              <w:rPr>
                <w:sz w:val="20"/>
                <w:szCs w:val="20"/>
              </w:rPr>
            </w:pPr>
            <w:r w:rsidRPr="008B6A75">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nil"/>
              <w:right w:val="nil"/>
            </w:tcBorders>
            <w:shd w:val="clear" w:color="auto" w:fill="auto"/>
            <w:noWrap/>
            <w:vAlign w:val="center"/>
            <w:hideMark/>
          </w:tcPr>
          <w:p w14:paraId="7DD558CE" w14:textId="77777777" w:rsidR="00387142" w:rsidRPr="008B6A75" w:rsidRDefault="00387142" w:rsidP="00387142">
            <w:pPr>
              <w:jc w:val="center"/>
              <w:rPr>
                <w:sz w:val="20"/>
                <w:szCs w:val="20"/>
              </w:rPr>
            </w:pPr>
            <w:r w:rsidRPr="008B6A75">
              <w:rPr>
                <w:sz w:val="20"/>
                <w:szCs w:val="20"/>
              </w:rPr>
              <w:t>444</w:t>
            </w:r>
          </w:p>
        </w:tc>
        <w:tc>
          <w:tcPr>
            <w:tcW w:w="709" w:type="dxa"/>
            <w:tcBorders>
              <w:top w:val="single" w:sz="4" w:space="0" w:color="auto"/>
              <w:left w:val="single" w:sz="4" w:space="0" w:color="auto"/>
              <w:bottom w:val="nil"/>
              <w:right w:val="nil"/>
            </w:tcBorders>
            <w:shd w:val="clear" w:color="auto" w:fill="auto"/>
            <w:noWrap/>
            <w:vAlign w:val="center"/>
            <w:hideMark/>
          </w:tcPr>
          <w:p w14:paraId="7CBCDAB5" w14:textId="77777777" w:rsidR="00387142" w:rsidRPr="008B6A75" w:rsidRDefault="00387142" w:rsidP="00387142">
            <w:pPr>
              <w:jc w:val="center"/>
              <w:rPr>
                <w:sz w:val="20"/>
                <w:szCs w:val="20"/>
              </w:rPr>
            </w:pPr>
            <w:r w:rsidRPr="008B6A75">
              <w:rPr>
                <w:sz w:val="20"/>
                <w:szCs w:val="20"/>
              </w:rPr>
              <w:t>07</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741F45F7" w14:textId="77777777" w:rsidR="00387142" w:rsidRPr="008B6A75" w:rsidRDefault="00387142" w:rsidP="00387142">
            <w:pPr>
              <w:jc w:val="center"/>
              <w:rPr>
                <w:sz w:val="20"/>
                <w:szCs w:val="20"/>
              </w:rPr>
            </w:pPr>
            <w:r w:rsidRPr="008B6A75">
              <w:rPr>
                <w:sz w:val="20"/>
                <w:szCs w:val="20"/>
              </w:rPr>
              <w:t>03</w:t>
            </w:r>
          </w:p>
        </w:tc>
        <w:tc>
          <w:tcPr>
            <w:tcW w:w="1411" w:type="dxa"/>
            <w:tcBorders>
              <w:top w:val="single" w:sz="4" w:space="0" w:color="auto"/>
              <w:left w:val="single" w:sz="4" w:space="0" w:color="auto"/>
              <w:bottom w:val="nil"/>
              <w:right w:val="nil"/>
            </w:tcBorders>
            <w:shd w:val="clear" w:color="auto" w:fill="auto"/>
            <w:noWrap/>
            <w:vAlign w:val="center"/>
            <w:hideMark/>
          </w:tcPr>
          <w:p w14:paraId="6ECC0A71" w14:textId="77777777" w:rsidR="00387142" w:rsidRPr="008B6A75" w:rsidRDefault="00387142" w:rsidP="00387142">
            <w:pPr>
              <w:jc w:val="center"/>
              <w:rPr>
                <w:sz w:val="20"/>
                <w:szCs w:val="20"/>
              </w:rPr>
            </w:pPr>
            <w:r w:rsidRPr="008B6A75">
              <w:rPr>
                <w:sz w:val="20"/>
                <w:szCs w:val="20"/>
              </w:rPr>
              <w:t>07.1.00.07490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24B978AE" w14:textId="77777777" w:rsidR="00387142" w:rsidRPr="008B6A75" w:rsidRDefault="00387142" w:rsidP="00387142">
            <w:pPr>
              <w:jc w:val="center"/>
              <w:rPr>
                <w:sz w:val="20"/>
                <w:szCs w:val="20"/>
              </w:rPr>
            </w:pPr>
            <w:r w:rsidRPr="008B6A75">
              <w:rPr>
                <w:sz w:val="20"/>
                <w:szCs w:val="20"/>
              </w:rPr>
              <w:t>100</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7A5766C7" w14:textId="77777777" w:rsidR="00387142" w:rsidRPr="008B6A75" w:rsidRDefault="00387142" w:rsidP="00387142">
            <w:pPr>
              <w:jc w:val="right"/>
              <w:rPr>
                <w:sz w:val="20"/>
                <w:szCs w:val="20"/>
              </w:rPr>
            </w:pPr>
            <w:r w:rsidRPr="008B6A75">
              <w:rPr>
                <w:sz w:val="20"/>
                <w:szCs w:val="20"/>
              </w:rPr>
              <w:t>0,00</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060EC9A5" w14:textId="77777777" w:rsidR="00387142" w:rsidRPr="008B6A75" w:rsidRDefault="00387142" w:rsidP="00387142">
            <w:pPr>
              <w:jc w:val="right"/>
              <w:rPr>
                <w:sz w:val="20"/>
                <w:szCs w:val="20"/>
              </w:rPr>
            </w:pPr>
            <w:r w:rsidRPr="008B6A75">
              <w:rPr>
                <w:sz w:val="20"/>
                <w:szCs w:val="20"/>
              </w:rPr>
              <w:t>25 000 000,00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005A8168" w14:textId="77777777" w:rsidR="00387142" w:rsidRPr="008B6A75" w:rsidRDefault="00387142" w:rsidP="00387142">
            <w:pPr>
              <w:jc w:val="right"/>
              <w:rPr>
                <w:sz w:val="20"/>
                <w:szCs w:val="20"/>
              </w:rPr>
            </w:pPr>
            <w:r w:rsidRPr="008B6A75">
              <w:rPr>
                <w:sz w:val="20"/>
                <w:szCs w:val="20"/>
              </w:rPr>
              <w:t>24 230 500,00</w:t>
            </w:r>
          </w:p>
        </w:tc>
        <w:tc>
          <w:tcPr>
            <w:tcW w:w="222" w:type="dxa"/>
            <w:vAlign w:val="center"/>
            <w:hideMark/>
          </w:tcPr>
          <w:p w14:paraId="2B232AAE" w14:textId="77777777" w:rsidR="00387142" w:rsidRPr="008B6A75" w:rsidRDefault="00387142" w:rsidP="00387142">
            <w:pPr>
              <w:rPr>
                <w:sz w:val="20"/>
                <w:szCs w:val="20"/>
              </w:rPr>
            </w:pPr>
          </w:p>
        </w:tc>
      </w:tr>
      <w:tr w:rsidR="00387142" w:rsidRPr="008B6A75" w14:paraId="71F8C3B6" w14:textId="77777777" w:rsidTr="00387142">
        <w:trPr>
          <w:trHeight w:val="585"/>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6724C6A1" w14:textId="77777777" w:rsidR="00387142" w:rsidRPr="008B6A75" w:rsidRDefault="00387142" w:rsidP="00387142">
            <w:pPr>
              <w:rPr>
                <w:sz w:val="20"/>
                <w:szCs w:val="20"/>
              </w:rPr>
            </w:pPr>
            <w:r w:rsidRPr="008B6A75">
              <w:rPr>
                <w:sz w:val="20"/>
                <w:szCs w:val="20"/>
              </w:rPr>
              <w:t>Расходы на выплаты персоналу казенных учреждений</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08E4EE07" w14:textId="77777777" w:rsidR="00387142" w:rsidRPr="008B6A75" w:rsidRDefault="00387142" w:rsidP="00387142">
            <w:pPr>
              <w:jc w:val="center"/>
              <w:rPr>
                <w:sz w:val="20"/>
                <w:szCs w:val="20"/>
              </w:rPr>
            </w:pPr>
            <w:r w:rsidRPr="008B6A75">
              <w:rPr>
                <w:sz w:val="20"/>
                <w:szCs w:val="20"/>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518C265C" w14:textId="77777777" w:rsidR="00387142" w:rsidRPr="008B6A75" w:rsidRDefault="00387142" w:rsidP="00387142">
            <w:pPr>
              <w:jc w:val="center"/>
              <w:rPr>
                <w:sz w:val="20"/>
                <w:szCs w:val="20"/>
              </w:rPr>
            </w:pPr>
            <w:r w:rsidRPr="008B6A75">
              <w:rPr>
                <w:sz w:val="20"/>
                <w:szCs w:val="20"/>
              </w:rPr>
              <w:t>07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A86A85" w14:textId="77777777" w:rsidR="00387142" w:rsidRPr="008B6A75" w:rsidRDefault="00387142" w:rsidP="00387142">
            <w:pPr>
              <w:jc w:val="center"/>
              <w:rPr>
                <w:sz w:val="20"/>
                <w:szCs w:val="20"/>
              </w:rPr>
            </w:pPr>
            <w:r w:rsidRPr="008B6A75">
              <w:rPr>
                <w:sz w:val="20"/>
                <w:szCs w:val="20"/>
              </w:rPr>
              <w:t>03</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400B34A7" w14:textId="77777777" w:rsidR="00387142" w:rsidRPr="008B6A75" w:rsidRDefault="00387142" w:rsidP="00387142">
            <w:pPr>
              <w:jc w:val="center"/>
              <w:rPr>
                <w:sz w:val="20"/>
                <w:szCs w:val="20"/>
              </w:rPr>
            </w:pPr>
            <w:r w:rsidRPr="008B6A75">
              <w:rPr>
                <w:sz w:val="20"/>
                <w:szCs w:val="20"/>
              </w:rPr>
              <w:t>07.1.00.07490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EFB753" w14:textId="77777777" w:rsidR="00387142" w:rsidRPr="008B6A75" w:rsidRDefault="00387142" w:rsidP="00387142">
            <w:pPr>
              <w:jc w:val="center"/>
              <w:rPr>
                <w:sz w:val="20"/>
                <w:szCs w:val="20"/>
              </w:rPr>
            </w:pPr>
            <w:r w:rsidRPr="008B6A75">
              <w:rPr>
                <w:sz w:val="20"/>
                <w:szCs w:val="20"/>
              </w:rPr>
              <w:t>110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5897A8" w14:textId="77777777" w:rsidR="00387142" w:rsidRPr="008B6A75" w:rsidRDefault="00387142" w:rsidP="00387142">
            <w:pPr>
              <w:jc w:val="right"/>
              <w:rPr>
                <w:sz w:val="20"/>
                <w:szCs w:val="20"/>
              </w:rPr>
            </w:pPr>
            <w:r w:rsidRPr="008B6A75">
              <w:rPr>
                <w:sz w:val="20"/>
                <w:szCs w:val="20"/>
              </w:rPr>
              <w:t>0,00</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34BF0430" w14:textId="77777777" w:rsidR="00387142" w:rsidRPr="008B6A75" w:rsidRDefault="00387142" w:rsidP="00387142">
            <w:pPr>
              <w:jc w:val="right"/>
              <w:rPr>
                <w:sz w:val="20"/>
                <w:szCs w:val="20"/>
              </w:rPr>
            </w:pPr>
            <w:r w:rsidRPr="008B6A75">
              <w:rPr>
                <w:sz w:val="20"/>
                <w:szCs w:val="20"/>
              </w:rPr>
              <w:t>25 000 000,00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107E88" w14:textId="77777777" w:rsidR="00387142" w:rsidRPr="008B6A75" w:rsidRDefault="00387142" w:rsidP="00387142">
            <w:pPr>
              <w:jc w:val="right"/>
              <w:rPr>
                <w:sz w:val="20"/>
                <w:szCs w:val="20"/>
              </w:rPr>
            </w:pPr>
            <w:r w:rsidRPr="008B6A75">
              <w:rPr>
                <w:sz w:val="20"/>
                <w:szCs w:val="20"/>
              </w:rPr>
              <w:t>24 230 500,00</w:t>
            </w:r>
          </w:p>
        </w:tc>
        <w:tc>
          <w:tcPr>
            <w:tcW w:w="222" w:type="dxa"/>
            <w:vAlign w:val="center"/>
            <w:hideMark/>
          </w:tcPr>
          <w:p w14:paraId="56D2D9C2" w14:textId="77777777" w:rsidR="00387142" w:rsidRPr="008B6A75" w:rsidRDefault="00387142" w:rsidP="00387142">
            <w:pPr>
              <w:rPr>
                <w:sz w:val="20"/>
                <w:szCs w:val="20"/>
              </w:rPr>
            </w:pPr>
          </w:p>
        </w:tc>
      </w:tr>
      <w:tr w:rsidR="00387142" w:rsidRPr="008B6A75" w14:paraId="04F4E06C" w14:textId="77777777" w:rsidTr="00387142">
        <w:trPr>
          <w:trHeight w:val="585"/>
        </w:trPr>
        <w:tc>
          <w:tcPr>
            <w:tcW w:w="3021" w:type="dxa"/>
            <w:tcBorders>
              <w:top w:val="nil"/>
              <w:left w:val="single" w:sz="4" w:space="0" w:color="auto"/>
              <w:bottom w:val="nil"/>
              <w:right w:val="nil"/>
            </w:tcBorders>
            <w:shd w:val="clear" w:color="auto" w:fill="auto"/>
            <w:vAlign w:val="center"/>
            <w:hideMark/>
          </w:tcPr>
          <w:p w14:paraId="6F790DF5" w14:textId="77777777" w:rsidR="00387142" w:rsidRPr="008B6A75" w:rsidRDefault="00387142" w:rsidP="00387142">
            <w:pPr>
              <w:rPr>
                <w:sz w:val="20"/>
                <w:szCs w:val="20"/>
              </w:rPr>
            </w:pPr>
            <w:r w:rsidRPr="008B6A75">
              <w:rPr>
                <w:sz w:val="20"/>
                <w:szCs w:val="20"/>
              </w:rPr>
              <w:t>Закупка товаров, работ и услуг для обеспечения государственных (муниципальных) нужд</w:t>
            </w:r>
          </w:p>
        </w:tc>
        <w:tc>
          <w:tcPr>
            <w:tcW w:w="850" w:type="dxa"/>
            <w:tcBorders>
              <w:top w:val="nil"/>
              <w:left w:val="single" w:sz="4" w:space="0" w:color="auto"/>
              <w:bottom w:val="nil"/>
              <w:right w:val="nil"/>
            </w:tcBorders>
            <w:shd w:val="clear" w:color="auto" w:fill="auto"/>
            <w:noWrap/>
            <w:vAlign w:val="center"/>
            <w:hideMark/>
          </w:tcPr>
          <w:p w14:paraId="12195F20" w14:textId="77777777" w:rsidR="00387142" w:rsidRPr="008B6A75" w:rsidRDefault="00387142" w:rsidP="00387142">
            <w:pPr>
              <w:jc w:val="center"/>
              <w:rPr>
                <w:sz w:val="20"/>
                <w:szCs w:val="20"/>
              </w:rPr>
            </w:pPr>
            <w:r w:rsidRPr="008B6A75">
              <w:rPr>
                <w:sz w:val="20"/>
                <w:szCs w:val="20"/>
              </w:rPr>
              <w:t>444</w:t>
            </w:r>
          </w:p>
        </w:tc>
        <w:tc>
          <w:tcPr>
            <w:tcW w:w="709" w:type="dxa"/>
            <w:tcBorders>
              <w:top w:val="nil"/>
              <w:left w:val="single" w:sz="4" w:space="0" w:color="auto"/>
              <w:bottom w:val="nil"/>
              <w:right w:val="nil"/>
            </w:tcBorders>
            <w:shd w:val="clear" w:color="auto" w:fill="auto"/>
            <w:noWrap/>
            <w:vAlign w:val="center"/>
            <w:hideMark/>
          </w:tcPr>
          <w:p w14:paraId="7263107C" w14:textId="77777777" w:rsidR="00387142" w:rsidRPr="008B6A75" w:rsidRDefault="00387142" w:rsidP="00387142">
            <w:pPr>
              <w:jc w:val="center"/>
              <w:rPr>
                <w:sz w:val="20"/>
                <w:szCs w:val="20"/>
              </w:rPr>
            </w:pPr>
            <w:r w:rsidRPr="008B6A75">
              <w:rPr>
                <w:sz w:val="20"/>
                <w:szCs w:val="20"/>
              </w:rPr>
              <w:t>07</w:t>
            </w:r>
          </w:p>
        </w:tc>
        <w:tc>
          <w:tcPr>
            <w:tcW w:w="709" w:type="dxa"/>
            <w:tcBorders>
              <w:top w:val="nil"/>
              <w:left w:val="single" w:sz="4" w:space="0" w:color="auto"/>
              <w:bottom w:val="nil"/>
              <w:right w:val="single" w:sz="4" w:space="0" w:color="auto"/>
            </w:tcBorders>
            <w:shd w:val="clear" w:color="auto" w:fill="auto"/>
            <w:noWrap/>
            <w:vAlign w:val="center"/>
            <w:hideMark/>
          </w:tcPr>
          <w:p w14:paraId="5D7C5849" w14:textId="77777777" w:rsidR="00387142" w:rsidRPr="008B6A75" w:rsidRDefault="00387142" w:rsidP="00387142">
            <w:pPr>
              <w:jc w:val="center"/>
              <w:rPr>
                <w:sz w:val="20"/>
                <w:szCs w:val="20"/>
              </w:rPr>
            </w:pPr>
            <w:r w:rsidRPr="008B6A75">
              <w:rPr>
                <w:sz w:val="20"/>
                <w:szCs w:val="20"/>
              </w:rPr>
              <w:t>03</w:t>
            </w:r>
          </w:p>
        </w:tc>
        <w:tc>
          <w:tcPr>
            <w:tcW w:w="1411" w:type="dxa"/>
            <w:tcBorders>
              <w:top w:val="nil"/>
              <w:left w:val="single" w:sz="4" w:space="0" w:color="auto"/>
              <w:bottom w:val="nil"/>
              <w:right w:val="nil"/>
            </w:tcBorders>
            <w:shd w:val="clear" w:color="auto" w:fill="auto"/>
            <w:noWrap/>
            <w:vAlign w:val="center"/>
            <w:hideMark/>
          </w:tcPr>
          <w:p w14:paraId="0653D073" w14:textId="77777777" w:rsidR="00387142" w:rsidRPr="008B6A75" w:rsidRDefault="00387142" w:rsidP="00387142">
            <w:pPr>
              <w:jc w:val="center"/>
              <w:rPr>
                <w:sz w:val="20"/>
                <w:szCs w:val="20"/>
              </w:rPr>
            </w:pPr>
            <w:r w:rsidRPr="008B6A75">
              <w:rPr>
                <w:sz w:val="20"/>
                <w:szCs w:val="20"/>
              </w:rPr>
              <w:t>07.1.00.07490</w:t>
            </w:r>
          </w:p>
        </w:tc>
        <w:tc>
          <w:tcPr>
            <w:tcW w:w="955" w:type="dxa"/>
            <w:tcBorders>
              <w:top w:val="nil"/>
              <w:left w:val="single" w:sz="4" w:space="0" w:color="auto"/>
              <w:bottom w:val="nil"/>
              <w:right w:val="single" w:sz="4" w:space="0" w:color="auto"/>
            </w:tcBorders>
            <w:shd w:val="clear" w:color="auto" w:fill="auto"/>
            <w:noWrap/>
            <w:vAlign w:val="center"/>
            <w:hideMark/>
          </w:tcPr>
          <w:p w14:paraId="58707CC7" w14:textId="77777777" w:rsidR="00387142" w:rsidRPr="008B6A75" w:rsidRDefault="00387142" w:rsidP="00387142">
            <w:pPr>
              <w:jc w:val="center"/>
              <w:rPr>
                <w:sz w:val="20"/>
                <w:szCs w:val="20"/>
              </w:rPr>
            </w:pPr>
            <w:r w:rsidRPr="008B6A75">
              <w:rPr>
                <w:sz w:val="20"/>
                <w:szCs w:val="20"/>
              </w:rPr>
              <w:t>200</w:t>
            </w:r>
          </w:p>
        </w:tc>
        <w:tc>
          <w:tcPr>
            <w:tcW w:w="992" w:type="dxa"/>
            <w:tcBorders>
              <w:top w:val="nil"/>
              <w:left w:val="single" w:sz="4" w:space="0" w:color="auto"/>
              <w:bottom w:val="nil"/>
              <w:right w:val="single" w:sz="4" w:space="0" w:color="auto"/>
            </w:tcBorders>
            <w:shd w:val="clear" w:color="auto" w:fill="auto"/>
            <w:noWrap/>
            <w:vAlign w:val="center"/>
            <w:hideMark/>
          </w:tcPr>
          <w:p w14:paraId="6E6FD68D" w14:textId="77777777" w:rsidR="00387142" w:rsidRPr="008B6A75" w:rsidRDefault="00387142" w:rsidP="00387142">
            <w:pPr>
              <w:jc w:val="right"/>
              <w:rPr>
                <w:sz w:val="20"/>
                <w:szCs w:val="20"/>
              </w:rPr>
            </w:pPr>
            <w:r w:rsidRPr="008B6A75">
              <w:rPr>
                <w:sz w:val="20"/>
                <w:szCs w:val="20"/>
              </w:rPr>
              <w:t>0,00</w:t>
            </w:r>
          </w:p>
        </w:tc>
        <w:tc>
          <w:tcPr>
            <w:tcW w:w="992" w:type="dxa"/>
            <w:gridSpan w:val="2"/>
            <w:tcBorders>
              <w:top w:val="nil"/>
              <w:left w:val="single" w:sz="4" w:space="0" w:color="auto"/>
              <w:bottom w:val="nil"/>
              <w:right w:val="nil"/>
            </w:tcBorders>
            <w:shd w:val="clear" w:color="auto" w:fill="auto"/>
            <w:noWrap/>
            <w:vAlign w:val="center"/>
            <w:hideMark/>
          </w:tcPr>
          <w:p w14:paraId="5386CD84" w14:textId="77777777" w:rsidR="00387142" w:rsidRPr="008B6A75" w:rsidRDefault="00387142" w:rsidP="00387142">
            <w:pPr>
              <w:jc w:val="right"/>
              <w:rPr>
                <w:sz w:val="20"/>
                <w:szCs w:val="20"/>
              </w:rPr>
            </w:pPr>
            <w:r w:rsidRPr="008B6A75">
              <w:rPr>
                <w:sz w:val="20"/>
                <w:szCs w:val="20"/>
              </w:rPr>
              <w:t>764 954,80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7587292D" w14:textId="77777777" w:rsidR="00387142" w:rsidRPr="008B6A75" w:rsidRDefault="00387142" w:rsidP="00387142">
            <w:pPr>
              <w:jc w:val="right"/>
              <w:rPr>
                <w:sz w:val="20"/>
                <w:szCs w:val="20"/>
              </w:rPr>
            </w:pPr>
            <w:r w:rsidRPr="008B6A75">
              <w:rPr>
                <w:sz w:val="20"/>
                <w:szCs w:val="20"/>
              </w:rPr>
              <w:t>2 600 000,00</w:t>
            </w:r>
          </w:p>
        </w:tc>
        <w:tc>
          <w:tcPr>
            <w:tcW w:w="222" w:type="dxa"/>
            <w:vAlign w:val="center"/>
            <w:hideMark/>
          </w:tcPr>
          <w:p w14:paraId="5D439696" w14:textId="77777777" w:rsidR="00387142" w:rsidRPr="008B6A75" w:rsidRDefault="00387142" w:rsidP="00387142">
            <w:pPr>
              <w:rPr>
                <w:sz w:val="20"/>
                <w:szCs w:val="20"/>
              </w:rPr>
            </w:pPr>
          </w:p>
        </w:tc>
      </w:tr>
      <w:tr w:rsidR="00387142" w:rsidRPr="008B6A75" w14:paraId="328D1AFE" w14:textId="77777777" w:rsidTr="00387142">
        <w:trPr>
          <w:trHeight w:val="870"/>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4152403D" w14:textId="77777777" w:rsidR="00387142" w:rsidRPr="008B6A75" w:rsidRDefault="00387142" w:rsidP="00387142">
            <w:pPr>
              <w:rPr>
                <w:sz w:val="20"/>
                <w:szCs w:val="20"/>
              </w:rPr>
            </w:pPr>
            <w:r w:rsidRPr="008B6A75">
              <w:rPr>
                <w:sz w:val="20"/>
                <w:szCs w:val="20"/>
              </w:rPr>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0B77360F" w14:textId="77777777" w:rsidR="00387142" w:rsidRPr="008B6A75" w:rsidRDefault="00387142" w:rsidP="00387142">
            <w:pPr>
              <w:jc w:val="center"/>
              <w:rPr>
                <w:sz w:val="20"/>
                <w:szCs w:val="20"/>
              </w:rPr>
            </w:pPr>
            <w:r w:rsidRPr="008B6A75">
              <w:rPr>
                <w:sz w:val="20"/>
                <w:szCs w:val="20"/>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7761A561" w14:textId="77777777" w:rsidR="00387142" w:rsidRPr="008B6A75" w:rsidRDefault="00387142" w:rsidP="00387142">
            <w:pPr>
              <w:jc w:val="center"/>
              <w:rPr>
                <w:sz w:val="20"/>
                <w:szCs w:val="20"/>
              </w:rPr>
            </w:pPr>
            <w:r w:rsidRPr="008B6A75">
              <w:rPr>
                <w:sz w:val="20"/>
                <w:szCs w:val="20"/>
              </w:rPr>
              <w:t>07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126276" w14:textId="77777777" w:rsidR="00387142" w:rsidRPr="008B6A75" w:rsidRDefault="00387142" w:rsidP="00387142">
            <w:pPr>
              <w:jc w:val="center"/>
              <w:rPr>
                <w:sz w:val="20"/>
                <w:szCs w:val="20"/>
              </w:rPr>
            </w:pPr>
            <w:r w:rsidRPr="008B6A75">
              <w:rPr>
                <w:sz w:val="20"/>
                <w:szCs w:val="20"/>
              </w:rPr>
              <w:t>03</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74583C2E" w14:textId="77777777" w:rsidR="00387142" w:rsidRPr="008B6A75" w:rsidRDefault="00387142" w:rsidP="00387142">
            <w:pPr>
              <w:jc w:val="center"/>
              <w:rPr>
                <w:sz w:val="20"/>
                <w:szCs w:val="20"/>
              </w:rPr>
            </w:pPr>
            <w:r w:rsidRPr="008B6A75">
              <w:rPr>
                <w:sz w:val="20"/>
                <w:szCs w:val="20"/>
              </w:rPr>
              <w:t>07.1.00.07490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099F87" w14:textId="77777777" w:rsidR="00387142" w:rsidRPr="008B6A75" w:rsidRDefault="00387142" w:rsidP="00387142">
            <w:pPr>
              <w:jc w:val="center"/>
              <w:rPr>
                <w:sz w:val="20"/>
                <w:szCs w:val="20"/>
              </w:rPr>
            </w:pPr>
            <w:r w:rsidRPr="008B6A75">
              <w:rPr>
                <w:sz w:val="20"/>
                <w:szCs w:val="20"/>
              </w:rPr>
              <w:t>240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39F0C3" w14:textId="77777777" w:rsidR="00387142" w:rsidRPr="008B6A75" w:rsidRDefault="00387142" w:rsidP="00387142">
            <w:pPr>
              <w:jc w:val="right"/>
              <w:rPr>
                <w:sz w:val="20"/>
                <w:szCs w:val="20"/>
              </w:rPr>
            </w:pPr>
            <w:r w:rsidRPr="008B6A75">
              <w:rPr>
                <w:sz w:val="20"/>
                <w:szCs w:val="20"/>
              </w:rPr>
              <w:t>0,00</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5DD61FE9" w14:textId="77777777" w:rsidR="00387142" w:rsidRPr="008B6A75" w:rsidRDefault="00387142" w:rsidP="00387142">
            <w:pPr>
              <w:jc w:val="right"/>
              <w:rPr>
                <w:sz w:val="20"/>
                <w:szCs w:val="20"/>
              </w:rPr>
            </w:pPr>
            <w:r w:rsidRPr="008B6A75">
              <w:rPr>
                <w:sz w:val="20"/>
                <w:szCs w:val="20"/>
              </w:rPr>
              <w:t>764 954,80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931AE3" w14:textId="77777777" w:rsidR="00387142" w:rsidRPr="008B6A75" w:rsidRDefault="00387142" w:rsidP="00387142">
            <w:pPr>
              <w:jc w:val="right"/>
              <w:rPr>
                <w:sz w:val="20"/>
                <w:szCs w:val="20"/>
              </w:rPr>
            </w:pPr>
            <w:r w:rsidRPr="008B6A75">
              <w:rPr>
                <w:sz w:val="20"/>
                <w:szCs w:val="20"/>
              </w:rPr>
              <w:t>2 600 000,00</w:t>
            </w:r>
          </w:p>
        </w:tc>
        <w:tc>
          <w:tcPr>
            <w:tcW w:w="222" w:type="dxa"/>
            <w:vAlign w:val="center"/>
            <w:hideMark/>
          </w:tcPr>
          <w:p w14:paraId="787B7038" w14:textId="77777777" w:rsidR="00387142" w:rsidRPr="008B6A75" w:rsidRDefault="00387142" w:rsidP="00387142">
            <w:pPr>
              <w:rPr>
                <w:sz w:val="20"/>
                <w:szCs w:val="20"/>
              </w:rPr>
            </w:pPr>
          </w:p>
        </w:tc>
      </w:tr>
      <w:tr w:rsidR="00387142" w:rsidRPr="008B6A75" w14:paraId="3CA36DA8" w14:textId="77777777" w:rsidTr="00387142">
        <w:trPr>
          <w:trHeight w:val="870"/>
        </w:trPr>
        <w:tc>
          <w:tcPr>
            <w:tcW w:w="3021" w:type="dxa"/>
            <w:tcBorders>
              <w:top w:val="nil"/>
              <w:left w:val="single" w:sz="4" w:space="0" w:color="auto"/>
              <w:bottom w:val="nil"/>
              <w:right w:val="nil"/>
            </w:tcBorders>
            <w:shd w:val="clear" w:color="auto" w:fill="auto"/>
            <w:vAlign w:val="center"/>
            <w:hideMark/>
          </w:tcPr>
          <w:p w14:paraId="6A51457B" w14:textId="77777777" w:rsidR="00387142" w:rsidRPr="008B6A75" w:rsidRDefault="00387142" w:rsidP="00387142">
            <w:pPr>
              <w:rPr>
                <w:sz w:val="20"/>
                <w:szCs w:val="20"/>
              </w:rPr>
            </w:pPr>
            <w:r w:rsidRPr="008B6A75">
              <w:rPr>
                <w:sz w:val="20"/>
                <w:szCs w:val="20"/>
              </w:rPr>
              <w:t>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right w:val="nil"/>
            </w:tcBorders>
            <w:shd w:val="clear" w:color="auto" w:fill="auto"/>
            <w:noWrap/>
            <w:vAlign w:val="center"/>
            <w:hideMark/>
          </w:tcPr>
          <w:p w14:paraId="4AE37D43" w14:textId="77777777" w:rsidR="00387142" w:rsidRPr="008B6A75" w:rsidRDefault="00387142" w:rsidP="00387142">
            <w:pPr>
              <w:jc w:val="center"/>
              <w:rPr>
                <w:sz w:val="20"/>
                <w:szCs w:val="20"/>
              </w:rPr>
            </w:pPr>
            <w:r w:rsidRPr="008B6A75">
              <w:rPr>
                <w:sz w:val="20"/>
                <w:szCs w:val="20"/>
              </w:rPr>
              <w:t>444</w:t>
            </w:r>
          </w:p>
        </w:tc>
        <w:tc>
          <w:tcPr>
            <w:tcW w:w="709" w:type="dxa"/>
            <w:tcBorders>
              <w:top w:val="nil"/>
              <w:left w:val="single" w:sz="4" w:space="0" w:color="auto"/>
              <w:bottom w:val="nil"/>
              <w:right w:val="nil"/>
            </w:tcBorders>
            <w:shd w:val="clear" w:color="auto" w:fill="auto"/>
            <w:noWrap/>
            <w:vAlign w:val="center"/>
            <w:hideMark/>
          </w:tcPr>
          <w:p w14:paraId="14495DAB" w14:textId="77777777" w:rsidR="00387142" w:rsidRPr="008B6A75" w:rsidRDefault="00387142" w:rsidP="00387142">
            <w:pPr>
              <w:jc w:val="center"/>
              <w:rPr>
                <w:sz w:val="20"/>
                <w:szCs w:val="20"/>
              </w:rPr>
            </w:pPr>
            <w:r w:rsidRPr="008B6A75">
              <w:rPr>
                <w:sz w:val="20"/>
                <w:szCs w:val="20"/>
              </w:rPr>
              <w:t>07</w:t>
            </w:r>
          </w:p>
        </w:tc>
        <w:tc>
          <w:tcPr>
            <w:tcW w:w="709" w:type="dxa"/>
            <w:tcBorders>
              <w:top w:val="nil"/>
              <w:left w:val="single" w:sz="4" w:space="0" w:color="auto"/>
              <w:bottom w:val="nil"/>
              <w:right w:val="single" w:sz="4" w:space="0" w:color="auto"/>
            </w:tcBorders>
            <w:shd w:val="clear" w:color="auto" w:fill="auto"/>
            <w:noWrap/>
            <w:vAlign w:val="center"/>
            <w:hideMark/>
          </w:tcPr>
          <w:p w14:paraId="5D9B12EE" w14:textId="77777777" w:rsidR="00387142" w:rsidRPr="008B6A75" w:rsidRDefault="00387142" w:rsidP="00387142">
            <w:pPr>
              <w:jc w:val="center"/>
              <w:rPr>
                <w:sz w:val="20"/>
                <w:szCs w:val="20"/>
              </w:rPr>
            </w:pPr>
            <w:r w:rsidRPr="008B6A75">
              <w:rPr>
                <w:sz w:val="20"/>
                <w:szCs w:val="20"/>
              </w:rPr>
              <w:t>03</w:t>
            </w:r>
          </w:p>
        </w:tc>
        <w:tc>
          <w:tcPr>
            <w:tcW w:w="1411" w:type="dxa"/>
            <w:tcBorders>
              <w:top w:val="nil"/>
              <w:left w:val="single" w:sz="4" w:space="0" w:color="auto"/>
              <w:bottom w:val="nil"/>
              <w:right w:val="nil"/>
            </w:tcBorders>
            <w:shd w:val="clear" w:color="auto" w:fill="auto"/>
            <w:noWrap/>
            <w:vAlign w:val="center"/>
            <w:hideMark/>
          </w:tcPr>
          <w:p w14:paraId="21321BF0" w14:textId="77777777" w:rsidR="00387142" w:rsidRPr="008B6A75" w:rsidRDefault="00387142" w:rsidP="00387142">
            <w:pPr>
              <w:jc w:val="center"/>
              <w:rPr>
                <w:sz w:val="20"/>
                <w:szCs w:val="20"/>
              </w:rPr>
            </w:pPr>
            <w:r w:rsidRPr="008B6A75">
              <w:rPr>
                <w:sz w:val="20"/>
                <w:szCs w:val="20"/>
              </w:rPr>
              <w:t>07.1.00.07490</w:t>
            </w:r>
          </w:p>
        </w:tc>
        <w:tc>
          <w:tcPr>
            <w:tcW w:w="955" w:type="dxa"/>
            <w:tcBorders>
              <w:top w:val="nil"/>
              <w:left w:val="single" w:sz="4" w:space="0" w:color="auto"/>
              <w:bottom w:val="nil"/>
              <w:right w:val="single" w:sz="4" w:space="0" w:color="auto"/>
            </w:tcBorders>
            <w:shd w:val="clear" w:color="auto" w:fill="auto"/>
            <w:noWrap/>
            <w:vAlign w:val="center"/>
            <w:hideMark/>
          </w:tcPr>
          <w:p w14:paraId="1A669A1C" w14:textId="77777777" w:rsidR="00387142" w:rsidRPr="008B6A75" w:rsidRDefault="00387142" w:rsidP="00387142">
            <w:pPr>
              <w:jc w:val="center"/>
              <w:rPr>
                <w:sz w:val="20"/>
                <w:szCs w:val="20"/>
              </w:rPr>
            </w:pPr>
            <w:r w:rsidRPr="008B6A75">
              <w:rPr>
                <w:sz w:val="20"/>
                <w:szCs w:val="20"/>
              </w:rPr>
              <w:t>600</w:t>
            </w:r>
          </w:p>
        </w:tc>
        <w:tc>
          <w:tcPr>
            <w:tcW w:w="992" w:type="dxa"/>
            <w:tcBorders>
              <w:top w:val="nil"/>
              <w:left w:val="single" w:sz="4" w:space="0" w:color="auto"/>
              <w:bottom w:val="nil"/>
              <w:right w:val="single" w:sz="4" w:space="0" w:color="auto"/>
            </w:tcBorders>
            <w:shd w:val="clear" w:color="auto" w:fill="auto"/>
            <w:noWrap/>
            <w:vAlign w:val="center"/>
            <w:hideMark/>
          </w:tcPr>
          <w:p w14:paraId="6D32E86E" w14:textId="77777777" w:rsidR="00387142" w:rsidRPr="008B6A75" w:rsidRDefault="00387142" w:rsidP="00387142">
            <w:pPr>
              <w:jc w:val="right"/>
              <w:rPr>
                <w:sz w:val="20"/>
                <w:szCs w:val="20"/>
              </w:rPr>
            </w:pPr>
            <w:r w:rsidRPr="008B6A75">
              <w:rPr>
                <w:sz w:val="20"/>
                <w:szCs w:val="20"/>
              </w:rPr>
              <w:t>36 720 467,30</w:t>
            </w:r>
          </w:p>
        </w:tc>
        <w:tc>
          <w:tcPr>
            <w:tcW w:w="992" w:type="dxa"/>
            <w:gridSpan w:val="2"/>
            <w:tcBorders>
              <w:top w:val="nil"/>
              <w:left w:val="single" w:sz="4" w:space="0" w:color="auto"/>
              <w:bottom w:val="nil"/>
              <w:right w:val="nil"/>
            </w:tcBorders>
            <w:shd w:val="clear" w:color="auto" w:fill="auto"/>
            <w:noWrap/>
            <w:vAlign w:val="center"/>
            <w:hideMark/>
          </w:tcPr>
          <w:p w14:paraId="550BB002" w14:textId="77777777" w:rsidR="00387142" w:rsidRPr="008B6A75" w:rsidRDefault="00387142" w:rsidP="00387142">
            <w:pPr>
              <w:jc w:val="right"/>
              <w:rPr>
                <w:sz w:val="20"/>
                <w:szCs w:val="20"/>
              </w:rPr>
            </w:pPr>
            <w:r w:rsidRPr="008B6A75">
              <w:rPr>
                <w:sz w:val="20"/>
                <w:szCs w:val="20"/>
              </w:rPr>
              <w:t>24 708 436,20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3C6C13DE" w14:textId="77777777" w:rsidR="00387142" w:rsidRPr="008B6A75" w:rsidRDefault="00387142" w:rsidP="00387142">
            <w:pPr>
              <w:jc w:val="right"/>
              <w:rPr>
                <w:sz w:val="20"/>
                <w:szCs w:val="20"/>
              </w:rPr>
            </w:pPr>
            <w:r w:rsidRPr="008B6A75">
              <w:rPr>
                <w:sz w:val="20"/>
                <w:szCs w:val="20"/>
              </w:rPr>
              <w:t>23 000 000,00</w:t>
            </w:r>
          </w:p>
        </w:tc>
        <w:tc>
          <w:tcPr>
            <w:tcW w:w="222" w:type="dxa"/>
            <w:vAlign w:val="center"/>
            <w:hideMark/>
          </w:tcPr>
          <w:p w14:paraId="19430F02" w14:textId="77777777" w:rsidR="00387142" w:rsidRPr="008B6A75" w:rsidRDefault="00387142" w:rsidP="00387142">
            <w:pPr>
              <w:rPr>
                <w:sz w:val="20"/>
                <w:szCs w:val="20"/>
              </w:rPr>
            </w:pPr>
          </w:p>
        </w:tc>
      </w:tr>
      <w:tr w:rsidR="00387142" w:rsidRPr="008B6A75" w14:paraId="15D67E48" w14:textId="77777777" w:rsidTr="00387142">
        <w:trPr>
          <w:trHeight w:val="300"/>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64B2AD21" w14:textId="77777777" w:rsidR="00387142" w:rsidRPr="008B6A75" w:rsidRDefault="00387142" w:rsidP="00387142">
            <w:pPr>
              <w:rPr>
                <w:sz w:val="20"/>
                <w:szCs w:val="20"/>
              </w:rPr>
            </w:pPr>
            <w:r w:rsidRPr="008B6A75">
              <w:rPr>
                <w:sz w:val="20"/>
                <w:szCs w:val="20"/>
              </w:rPr>
              <w:t>Субсидии бюджетным учреждениям</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35A8C8CB" w14:textId="77777777" w:rsidR="00387142" w:rsidRPr="008B6A75" w:rsidRDefault="00387142" w:rsidP="00387142">
            <w:pPr>
              <w:jc w:val="center"/>
              <w:rPr>
                <w:sz w:val="20"/>
                <w:szCs w:val="20"/>
              </w:rPr>
            </w:pPr>
            <w:r w:rsidRPr="008B6A75">
              <w:rPr>
                <w:sz w:val="20"/>
                <w:szCs w:val="20"/>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272BEC9D" w14:textId="77777777" w:rsidR="00387142" w:rsidRPr="008B6A75" w:rsidRDefault="00387142" w:rsidP="00387142">
            <w:pPr>
              <w:jc w:val="center"/>
              <w:rPr>
                <w:sz w:val="20"/>
                <w:szCs w:val="20"/>
              </w:rPr>
            </w:pPr>
            <w:r w:rsidRPr="008B6A75">
              <w:rPr>
                <w:sz w:val="20"/>
                <w:szCs w:val="20"/>
              </w:rPr>
              <w:t>07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2106D8" w14:textId="77777777" w:rsidR="00387142" w:rsidRPr="008B6A75" w:rsidRDefault="00387142" w:rsidP="00387142">
            <w:pPr>
              <w:jc w:val="center"/>
              <w:rPr>
                <w:sz w:val="20"/>
                <w:szCs w:val="20"/>
              </w:rPr>
            </w:pPr>
            <w:r w:rsidRPr="008B6A75">
              <w:rPr>
                <w:sz w:val="20"/>
                <w:szCs w:val="20"/>
              </w:rPr>
              <w:t>03</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1D107512" w14:textId="77777777" w:rsidR="00387142" w:rsidRPr="008B6A75" w:rsidRDefault="00387142" w:rsidP="00387142">
            <w:pPr>
              <w:jc w:val="center"/>
              <w:rPr>
                <w:sz w:val="20"/>
                <w:szCs w:val="20"/>
              </w:rPr>
            </w:pPr>
            <w:r w:rsidRPr="008B6A75">
              <w:rPr>
                <w:sz w:val="20"/>
                <w:szCs w:val="20"/>
              </w:rPr>
              <w:t>07.1.00.07490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67FCE5" w14:textId="77777777" w:rsidR="00387142" w:rsidRPr="008B6A75" w:rsidRDefault="00387142" w:rsidP="00387142">
            <w:pPr>
              <w:jc w:val="center"/>
              <w:rPr>
                <w:sz w:val="20"/>
                <w:szCs w:val="20"/>
              </w:rPr>
            </w:pPr>
            <w:r w:rsidRPr="008B6A75">
              <w:rPr>
                <w:sz w:val="20"/>
                <w:szCs w:val="20"/>
              </w:rPr>
              <w:t>610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5DB05C" w14:textId="77777777" w:rsidR="00387142" w:rsidRPr="008B6A75" w:rsidRDefault="00387142" w:rsidP="00387142">
            <w:pPr>
              <w:jc w:val="right"/>
              <w:rPr>
                <w:sz w:val="20"/>
                <w:szCs w:val="20"/>
              </w:rPr>
            </w:pPr>
            <w:r w:rsidRPr="008B6A75">
              <w:rPr>
                <w:sz w:val="20"/>
                <w:szCs w:val="20"/>
              </w:rPr>
              <w:t>36 720 467,30</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4843AB17" w14:textId="77777777" w:rsidR="00387142" w:rsidRPr="008B6A75" w:rsidRDefault="00387142" w:rsidP="00387142">
            <w:pPr>
              <w:jc w:val="right"/>
              <w:rPr>
                <w:sz w:val="20"/>
                <w:szCs w:val="20"/>
              </w:rPr>
            </w:pPr>
            <w:r w:rsidRPr="008B6A75">
              <w:rPr>
                <w:sz w:val="20"/>
                <w:szCs w:val="20"/>
              </w:rPr>
              <w:t>24 708 436,20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0759F5" w14:textId="77777777" w:rsidR="00387142" w:rsidRPr="008B6A75" w:rsidRDefault="00387142" w:rsidP="00387142">
            <w:pPr>
              <w:jc w:val="right"/>
              <w:rPr>
                <w:sz w:val="20"/>
                <w:szCs w:val="20"/>
              </w:rPr>
            </w:pPr>
            <w:r w:rsidRPr="008B6A75">
              <w:rPr>
                <w:sz w:val="20"/>
                <w:szCs w:val="20"/>
              </w:rPr>
              <w:t>23 000 000,00</w:t>
            </w:r>
          </w:p>
        </w:tc>
        <w:tc>
          <w:tcPr>
            <w:tcW w:w="222" w:type="dxa"/>
            <w:vAlign w:val="center"/>
            <w:hideMark/>
          </w:tcPr>
          <w:p w14:paraId="20130C95" w14:textId="77777777" w:rsidR="00387142" w:rsidRPr="008B6A75" w:rsidRDefault="00387142" w:rsidP="00387142">
            <w:pPr>
              <w:rPr>
                <w:sz w:val="20"/>
                <w:szCs w:val="20"/>
              </w:rPr>
            </w:pPr>
          </w:p>
        </w:tc>
      </w:tr>
      <w:tr w:rsidR="00387142" w:rsidRPr="008B6A75" w14:paraId="52861EC6" w14:textId="77777777" w:rsidTr="00387142">
        <w:trPr>
          <w:trHeight w:val="1155"/>
        </w:trPr>
        <w:tc>
          <w:tcPr>
            <w:tcW w:w="3021" w:type="dxa"/>
            <w:tcBorders>
              <w:top w:val="nil"/>
              <w:left w:val="single" w:sz="4" w:space="0" w:color="auto"/>
              <w:bottom w:val="nil"/>
              <w:right w:val="nil"/>
            </w:tcBorders>
            <w:shd w:val="clear" w:color="auto" w:fill="auto"/>
            <w:vAlign w:val="center"/>
            <w:hideMark/>
          </w:tcPr>
          <w:p w14:paraId="60B754F0" w14:textId="77777777" w:rsidR="00387142" w:rsidRPr="008B6A75" w:rsidRDefault="00387142" w:rsidP="00387142">
            <w:pPr>
              <w:rPr>
                <w:bCs/>
                <w:sz w:val="20"/>
                <w:szCs w:val="20"/>
              </w:rPr>
            </w:pPr>
            <w:r w:rsidRPr="008B6A75">
              <w:rPr>
                <w:bCs/>
                <w:sz w:val="20"/>
                <w:szCs w:val="20"/>
              </w:rPr>
              <w:t>Реализация мероприятий по формированию системы персонифицированного финансирования учреждений дополнительного образования детей</w:t>
            </w:r>
          </w:p>
        </w:tc>
        <w:tc>
          <w:tcPr>
            <w:tcW w:w="850" w:type="dxa"/>
            <w:tcBorders>
              <w:top w:val="nil"/>
              <w:left w:val="single" w:sz="4" w:space="0" w:color="auto"/>
              <w:bottom w:val="nil"/>
              <w:right w:val="nil"/>
            </w:tcBorders>
            <w:shd w:val="clear" w:color="auto" w:fill="auto"/>
            <w:noWrap/>
            <w:vAlign w:val="center"/>
            <w:hideMark/>
          </w:tcPr>
          <w:p w14:paraId="744271A5" w14:textId="77777777" w:rsidR="00387142" w:rsidRPr="008B6A75" w:rsidRDefault="00387142" w:rsidP="00387142">
            <w:pPr>
              <w:jc w:val="center"/>
              <w:rPr>
                <w:bCs/>
                <w:sz w:val="20"/>
                <w:szCs w:val="20"/>
              </w:rPr>
            </w:pPr>
            <w:r w:rsidRPr="008B6A75">
              <w:rPr>
                <w:bCs/>
                <w:sz w:val="20"/>
                <w:szCs w:val="20"/>
              </w:rPr>
              <w:t>444</w:t>
            </w:r>
          </w:p>
        </w:tc>
        <w:tc>
          <w:tcPr>
            <w:tcW w:w="709" w:type="dxa"/>
            <w:tcBorders>
              <w:top w:val="nil"/>
              <w:left w:val="single" w:sz="4" w:space="0" w:color="auto"/>
              <w:bottom w:val="nil"/>
              <w:right w:val="nil"/>
            </w:tcBorders>
            <w:shd w:val="clear" w:color="auto" w:fill="auto"/>
            <w:noWrap/>
            <w:vAlign w:val="center"/>
            <w:hideMark/>
          </w:tcPr>
          <w:p w14:paraId="340ECDD0" w14:textId="77777777" w:rsidR="00387142" w:rsidRPr="008B6A75" w:rsidRDefault="00387142" w:rsidP="00387142">
            <w:pPr>
              <w:jc w:val="center"/>
              <w:rPr>
                <w:bCs/>
                <w:sz w:val="20"/>
                <w:szCs w:val="20"/>
              </w:rPr>
            </w:pPr>
            <w:r w:rsidRPr="008B6A75">
              <w:rPr>
                <w:bCs/>
                <w:sz w:val="20"/>
                <w:szCs w:val="20"/>
              </w:rPr>
              <w:t>07</w:t>
            </w:r>
          </w:p>
        </w:tc>
        <w:tc>
          <w:tcPr>
            <w:tcW w:w="709" w:type="dxa"/>
            <w:tcBorders>
              <w:top w:val="nil"/>
              <w:left w:val="single" w:sz="4" w:space="0" w:color="auto"/>
              <w:bottom w:val="nil"/>
              <w:right w:val="single" w:sz="4" w:space="0" w:color="auto"/>
            </w:tcBorders>
            <w:shd w:val="clear" w:color="auto" w:fill="auto"/>
            <w:noWrap/>
            <w:vAlign w:val="center"/>
            <w:hideMark/>
          </w:tcPr>
          <w:p w14:paraId="36FA7C9B" w14:textId="77777777" w:rsidR="00387142" w:rsidRPr="008B6A75" w:rsidRDefault="00387142" w:rsidP="00387142">
            <w:pPr>
              <w:jc w:val="center"/>
              <w:rPr>
                <w:bCs/>
                <w:sz w:val="20"/>
                <w:szCs w:val="20"/>
              </w:rPr>
            </w:pPr>
            <w:r w:rsidRPr="008B6A75">
              <w:rPr>
                <w:bCs/>
                <w:sz w:val="20"/>
                <w:szCs w:val="20"/>
              </w:rPr>
              <w:t>03</w:t>
            </w:r>
          </w:p>
        </w:tc>
        <w:tc>
          <w:tcPr>
            <w:tcW w:w="1411" w:type="dxa"/>
            <w:tcBorders>
              <w:top w:val="nil"/>
              <w:left w:val="single" w:sz="4" w:space="0" w:color="auto"/>
              <w:bottom w:val="nil"/>
              <w:right w:val="nil"/>
            </w:tcBorders>
            <w:shd w:val="clear" w:color="auto" w:fill="auto"/>
            <w:noWrap/>
            <w:vAlign w:val="center"/>
            <w:hideMark/>
          </w:tcPr>
          <w:p w14:paraId="428B0A32" w14:textId="77777777" w:rsidR="00387142" w:rsidRPr="008B6A75" w:rsidRDefault="00387142" w:rsidP="00387142">
            <w:pPr>
              <w:jc w:val="center"/>
              <w:rPr>
                <w:bCs/>
                <w:sz w:val="20"/>
                <w:szCs w:val="20"/>
              </w:rPr>
            </w:pPr>
            <w:r w:rsidRPr="008B6A75">
              <w:rPr>
                <w:bCs/>
                <w:sz w:val="20"/>
                <w:szCs w:val="20"/>
              </w:rPr>
              <w:t>07.1.00.07491</w:t>
            </w:r>
          </w:p>
        </w:tc>
        <w:tc>
          <w:tcPr>
            <w:tcW w:w="955" w:type="dxa"/>
            <w:tcBorders>
              <w:top w:val="nil"/>
              <w:left w:val="single" w:sz="4" w:space="0" w:color="auto"/>
              <w:bottom w:val="nil"/>
              <w:right w:val="single" w:sz="4" w:space="0" w:color="auto"/>
            </w:tcBorders>
            <w:shd w:val="clear" w:color="auto" w:fill="auto"/>
            <w:noWrap/>
            <w:vAlign w:val="center"/>
            <w:hideMark/>
          </w:tcPr>
          <w:p w14:paraId="6B12E95E"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nil"/>
              <w:right w:val="single" w:sz="4" w:space="0" w:color="auto"/>
            </w:tcBorders>
            <w:shd w:val="clear" w:color="auto" w:fill="auto"/>
            <w:noWrap/>
            <w:vAlign w:val="center"/>
            <w:hideMark/>
          </w:tcPr>
          <w:p w14:paraId="4F8FA6BF" w14:textId="77777777" w:rsidR="00387142" w:rsidRPr="008B6A75" w:rsidRDefault="00387142" w:rsidP="00387142">
            <w:pPr>
              <w:jc w:val="right"/>
              <w:rPr>
                <w:bCs/>
                <w:sz w:val="20"/>
                <w:szCs w:val="20"/>
              </w:rPr>
            </w:pPr>
            <w:r w:rsidRPr="008B6A75">
              <w:rPr>
                <w:bCs/>
                <w:sz w:val="20"/>
                <w:szCs w:val="20"/>
              </w:rPr>
              <w:t>2 843 167,66</w:t>
            </w:r>
          </w:p>
        </w:tc>
        <w:tc>
          <w:tcPr>
            <w:tcW w:w="992" w:type="dxa"/>
            <w:gridSpan w:val="2"/>
            <w:tcBorders>
              <w:top w:val="nil"/>
              <w:left w:val="single" w:sz="4" w:space="0" w:color="auto"/>
              <w:bottom w:val="nil"/>
              <w:right w:val="nil"/>
            </w:tcBorders>
            <w:shd w:val="clear" w:color="auto" w:fill="auto"/>
            <w:noWrap/>
            <w:vAlign w:val="center"/>
            <w:hideMark/>
          </w:tcPr>
          <w:p w14:paraId="54FCC0EE" w14:textId="77777777" w:rsidR="00387142" w:rsidRPr="008B6A75" w:rsidRDefault="00387142" w:rsidP="00387142">
            <w:pPr>
              <w:jc w:val="right"/>
              <w:rPr>
                <w:bCs/>
                <w:sz w:val="20"/>
                <w:szCs w:val="20"/>
              </w:rPr>
            </w:pPr>
            <w:r w:rsidRPr="008B6A75">
              <w:rPr>
                <w:bCs/>
                <w:sz w:val="20"/>
                <w:szCs w:val="20"/>
              </w:rPr>
              <w:t>0,00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7F82589A" w14:textId="77777777" w:rsidR="00387142" w:rsidRPr="008B6A75" w:rsidRDefault="00387142" w:rsidP="00387142">
            <w:pPr>
              <w:jc w:val="right"/>
              <w:rPr>
                <w:bCs/>
                <w:sz w:val="20"/>
                <w:szCs w:val="20"/>
              </w:rPr>
            </w:pPr>
            <w:r w:rsidRPr="008B6A75">
              <w:rPr>
                <w:bCs/>
                <w:sz w:val="20"/>
                <w:szCs w:val="20"/>
              </w:rPr>
              <w:t>0,00</w:t>
            </w:r>
          </w:p>
        </w:tc>
        <w:tc>
          <w:tcPr>
            <w:tcW w:w="222" w:type="dxa"/>
            <w:vAlign w:val="center"/>
            <w:hideMark/>
          </w:tcPr>
          <w:p w14:paraId="468E0C99" w14:textId="77777777" w:rsidR="00387142" w:rsidRPr="008B6A75" w:rsidRDefault="00387142" w:rsidP="00387142">
            <w:pPr>
              <w:rPr>
                <w:sz w:val="20"/>
                <w:szCs w:val="20"/>
              </w:rPr>
            </w:pPr>
          </w:p>
        </w:tc>
      </w:tr>
      <w:tr w:rsidR="00387142" w:rsidRPr="008B6A75" w14:paraId="0E239704" w14:textId="77777777" w:rsidTr="00387142">
        <w:trPr>
          <w:trHeight w:val="870"/>
        </w:trPr>
        <w:tc>
          <w:tcPr>
            <w:tcW w:w="3021" w:type="dxa"/>
            <w:tcBorders>
              <w:top w:val="single" w:sz="4" w:space="0" w:color="auto"/>
              <w:left w:val="single" w:sz="4" w:space="0" w:color="auto"/>
              <w:bottom w:val="nil"/>
              <w:right w:val="nil"/>
            </w:tcBorders>
            <w:shd w:val="clear" w:color="auto" w:fill="auto"/>
            <w:vAlign w:val="center"/>
            <w:hideMark/>
          </w:tcPr>
          <w:p w14:paraId="7E577FEC" w14:textId="77777777" w:rsidR="00387142" w:rsidRPr="008B6A75" w:rsidRDefault="00387142" w:rsidP="00387142">
            <w:pPr>
              <w:rPr>
                <w:sz w:val="20"/>
                <w:szCs w:val="20"/>
              </w:rPr>
            </w:pPr>
            <w:r w:rsidRPr="008B6A75">
              <w:rPr>
                <w:sz w:val="20"/>
                <w:szCs w:val="20"/>
              </w:rPr>
              <w:t>Предоставление субсидий бюджетным, автономным учреждениям и иным некоммерческим организациям</w:t>
            </w:r>
          </w:p>
        </w:tc>
        <w:tc>
          <w:tcPr>
            <w:tcW w:w="850" w:type="dxa"/>
            <w:tcBorders>
              <w:top w:val="single" w:sz="4" w:space="0" w:color="auto"/>
              <w:left w:val="single" w:sz="4" w:space="0" w:color="auto"/>
              <w:bottom w:val="nil"/>
              <w:right w:val="nil"/>
            </w:tcBorders>
            <w:shd w:val="clear" w:color="auto" w:fill="auto"/>
            <w:noWrap/>
            <w:vAlign w:val="center"/>
            <w:hideMark/>
          </w:tcPr>
          <w:p w14:paraId="7DD37372" w14:textId="77777777" w:rsidR="00387142" w:rsidRPr="008B6A75" w:rsidRDefault="00387142" w:rsidP="00387142">
            <w:pPr>
              <w:jc w:val="center"/>
              <w:rPr>
                <w:sz w:val="20"/>
                <w:szCs w:val="20"/>
              </w:rPr>
            </w:pPr>
            <w:r w:rsidRPr="008B6A75">
              <w:rPr>
                <w:sz w:val="20"/>
                <w:szCs w:val="20"/>
              </w:rPr>
              <w:t>444</w:t>
            </w:r>
          </w:p>
        </w:tc>
        <w:tc>
          <w:tcPr>
            <w:tcW w:w="709" w:type="dxa"/>
            <w:tcBorders>
              <w:top w:val="single" w:sz="4" w:space="0" w:color="auto"/>
              <w:left w:val="single" w:sz="4" w:space="0" w:color="auto"/>
              <w:bottom w:val="nil"/>
              <w:right w:val="nil"/>
            </w:tcBorders>
            <w:shd w:val="clear" w:color="auto" w:fill="auto"/>
            <w:noWrap/>
            <w:vAlign w:val="center"/>
            <w:hideMark/>
          </w:tcPr>
          <w:p w14:paraId="3400E037" w14:textId="77777777" w:rsidR="00387142" w:rsidRPr="008B6A75" w:rsidRDefault="00387142" w:rsidP="00387142">
            <w:pPr>
              <w:jc w:val="center"/>
              <w:rPr>
                <w:sz w:val="20"/>
                <w:szCs w:val="20"/>
              </w:rPr>
            </w:pPr>
            <w:r w:rsidRPr="008B6A75">
              <w:rPr>
                <w:sz w:val="20"/>
                <w:szCs w:val="20"/>
              </w:rPr>
              <w:t>07</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20A664F1" w14:textId="77777777" w:rsidR="00387142" w:rsidRPr="008B6A75" w:rsidRDefault="00387142" w:rsidP="00387142">
            <w:pPr>
              <w:jc w:val="center"/>
              <w:rPr>
                <w:sz w:val="20"/>
                <w:szCs w:val="20"/>
              </w:rPr>
            </w:pPr>
            <w:r w:rsidRPr="008B6A75">
              <w:rPr>
                <w:sz w:val="20"/>
                <w:szCs w:val="20"/>
              </w:rPr>
              <w:t>03</w:t>
            </w:r>
          </w:p>
        </w:tc>
        <w:tc>
          <w:tcPr>
            <w:tcW w:w="1411" w:type="dxa"/>
            <w:tcBorders>
              <w:top w:val="single" w:sz="4" w:space="0" w:color="auto"/>
              <w:left w:val="single" w:sz="4" w:space="0" w:color="auto"/>
              <w:bottom w:val="nil"/>
              <w:right w:val="nil"/>
            </w:tcBorders>
            <w:shd w:val="clear" w:color="auto" w:fill="auto"/>
            <w:noWrap/>
            <w:vAlign w:val="center"/>
            <w:hideMark/>
          </w:tcPr>
          <w:p w14:paraId="2A7B258D" w14:textId="77777777" w:rsidR="00387142" w:rsidRPr="008B6A75" w:rsidRDefault="00387142" w:rsidP="00387142">
            <w:pPr>
              <w:jc w:val="center"/>
              <w:rPr>
                <w:sz w:val="20"/>
                <w:szCs w:val="20"/>
              </w:rPr>
            </w:pPr>
            <w:r w:rsidRPr="008B6A75">
              <w:rPr>
                <w:sz w:val="20"/>
                <w:szCs w:val="20"/>
              </w:rPr>
              <w:t>07.1.00.07491</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515C6E4F" w14:textId="77777777" w:rsidR="00387142" w:rsidRPr="008B6A75" w:rsidRDefault="00387142" w:rsidP="00387142">
            <w:pPr>
              <w:jc w:val="center"/>
              <w:rPr>
                <w:sz w:val="20"/>
                <w:szCs w:val="20"/>
              </w:rPr>
            </w:pPr>
            <w:r w:rsidRPr="008B6A75">
              <w:rPr>
                <w:sz w:val="20"/>
                <w:szCs w:val="20"/>
              </w:rPr>
              <w:t>600</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6200AF9A" w14:textId="77777777" w:rsidR="00387142" w:rsidRPr="008B6A75" w:rsidRDefault="00387142" w:rsidP="00387142">
            <w:pPr>
              <w:jc w:val="right"/>
              <w:rPr>
                <w:sz w:val="20"/>
                <w:szCs w:val="20"/>
              </w:rPr>
            </w:pPr>
            <w:r w:rsidRPr="008B6A75">
              <w:rPr>
                <w:sz w:val="20"/>
                <w:szCs w:val="20"/>
              </w:rPr>
              <w:t>2 793 167,66</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4F5D9E28" w14:textId="77777777" w:rsidR="00387142" w:rsidRPr="008B6A75" w:rsidRDefault="00387142" w:rsidP="00387142">
            <w:pPr>
              <w:jc w:val="right"/>
              <w:rPr>
                <w:sz w:val="20"/>
                <w:szCs w:val="20"/>
              </w:rPr>
            </w:pPr>
            <w:r w:rsidRPr="008B6A75">
              <w:rPr>
                <w:sz w:val="20"/>
                <w:szCs w:val="20"/>
              </w:rPr>
              <w:t>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55893DFF" w14:textId="77777777" w:rsidR="00387142" w:rsidRPr="008B6A75" w:rsidRDefault="00387142" w:rsidP="00387142">
            <w:pPr>
              <w:jc w:val="right"/>
              <w:rPr>
                <w:sz w:val="20"/>
                <w:szCs w:val="20"/>
              </w:rPr>
            </w:pPr>
            <w:r w:rsidRPr="008B6A75">
              <w:rPr>
                <w:sz w:val="20"/>
                <w:szCs w:val="20"/>
              </w:rPr>
              <w:t>0,00</w:t>
            </w:r>
          </w:p>
        </w:tc>
        <w:tc>
          <w:tcPr>
            <w:tcW w:w="222" w:type="dxa"/>
            <w:vAlign w:val="center"/>
            <w:hideMark/>
          </w:tcPr>
          <w:p w14:paraId="0D1C34D5" w14:textId="77777777" w:rsidR="00387142" w:rsidRPr="008B6A75" w:rsidRDefault="00387142" w:rsidP="00387142">
            <w:pPr>
              <w:rPr>
                <w:sz w:val="20"/>
                <w:szCs w:val="20"/>
              </w:rPr>
            </w:pPr>
          </w:p>
        </w:tc>
      </w:tr>
      <w:tr w:rsidR="00387142" w:rsidRPr="008B6A75" w14:paraId="0E644D4D" w14:textId="77777777" w:rsidTr="00387142">
        <w:trPr>
          <w:trHeight w:val="300"/>
        </w:trPr>
        <w:tc>
          <w:tcPr>
            <w:tcW w:w="3021" w:type="dxa"/>
            <w:tcBorders>
              <w:top w:val="single" w:sz="4" w:space="0" w:color="auto"/>
              <w:left w:val="single" w:sz="4" w:space="0" w:color="auto"/>
              <w:bottom w:val="nil"/>
              <w:right w:val="nil"/>
            </w:tcBorders>
            <w:shd w:val="clear" w:color="auto" w:fill="auto"/>
            <w:vAlign w:val="center"/>
            <w:hideMark/>
          </w:tcPr>
          <w:p w14:paraId="06651A72" w14:textId="77777777" w:rsidR="00387142" w:rsidRPr="008B6A75" w:rsidRDefault="00387142" w:rsidP="00387142">
            <w:pPr>
              <w:rPr>
                <w:sz w:val="20"/>
                <w:szCs w:val="20"/>
              </w:rPr>
            </w:pPr>
            <w:r w:rsidRPr="008B6A75">
              <w:rPr>
                <w:sz w:val="20"/>
                <w:szCs w:val="20"/>
              </w:rPr>
              <w:t>Субсидии бюджетным учреждениям</w:t>
            </w:r>
          </w:p>
        </w:tc>
        <w:tc>
          <w:tcPr>
            <w:tcW w:w="850" w:type="dxa"/>
            <w:tcBorders>
              <w:top w:val="single" w:sz="4" w:space="0" w:color="auto"/>
              <w:left w:val="single" w:sz="4" w:space="0" w:color="auto"/>
              <w:bottom w:val="nil"/>
              <w:right w:val="nil"/>
            </w:tcBorders>
            <w:shd w:val="clear" w:color="auto" w:fill="auto"/>
            <w:noWrap/>
            <w:vAlign w:val="center"/>
            <w:hideMark/>
          </w:tcPr>
          <w:p w14:paraId="6FB43E69" w14:textId="77777777" w:rsidR="00387142" w:rsidRPr="008B6A75" w:rsidRDefault="00387142" w:rsidP="00387142">
            <w:pPr>
              <w:jc w:val="center"/>
              <w:rPr>
                <w:sz w:val="20"/>
                <w:szCs w:val="20"/>
              </w:rPr>
            </w:pPr>
            <w:r w:rsidRPr="008B6A75">
              <w:rPr>
                <w:sz w:val="20"/>
                <w:szCs w:val="20"/>
              </w:rPr>
              <w:t>444</w:t>
            </w:r>
          </w:p>
        </w:tc>
        <w:tc>
          <w:tcPr>
            <w:tcW w:w="709" w:type="dxa"/>
            <w:tcBorders>
              <w:top w:val="single" w:sz="4" w:space="0" w:color="auto"/>
              <w:left w:val="single" w:sz="4" w:space="0" w:color="auto"/>
              <w:bottom w:val="nil"/>
              <w:right w:val="nil"/>
            </w:tcBorders>
            <w:shd w:val="clear" w:color="auto" w:fill="auto"/>
            <w:noWrap/>
            <w:vAlign w:val="center"/>
            <w:hideMark/>
          </w:tcPr>
          <w:p w14:paraId="70CB286B" w14:textId="77777777" w:rsidR="00387142" w:rsidRPr="008B6A75" w:rsidRDefault="00387142" w:rsidP="00387142">
            <w:pPr>
              <w:jc w:val="center"/>
              <w:rPr>
                <w:sz w:val="20"/>
                <w:szCs w:val="20"/>
              </w:rPr>
            </w:pPr>
            <w:r w:rsidRPr="008B6A75">
              <w:rPr>
                <w:sz w:val="20"/>
                <w:szCs w:val="20"/>
              </w:rPr>
              <w:t>07</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3CDA8ED3" w14:textId="77777777" w:rsidR="00387142" w:rsidRPr="008B6A75" w:rsidRDefault="00387142" w:rsidP="00387142">
            <w:pPr>
              <w:jc w:val="center"/>
              <w:rPr>
                <w:sz w:val="20"/>
                <w:szCs w:val="20"/>
              </w:rPr>
            </w:pPr>
            <w:r w:rsidRPr="008B6A75">
              <w:rPr>
                <w:sz w:val="20"/>
                <w:szCs w:val="20"/>
              </w:rPr>
              <w:t>03</w:t>
            </w:r>
          </w:p>
        </w:tc>
        <w:tc>
          <w:tcPr>
            <w:tcW w:w="1411" w:type="dxa"/>
            <w:tcBorders>
              <w:top w:val="single" w:sz="4" w:space="0" w:color="auto"/>
              <w:left w:val="single" w:sz="4" w:space="0" w:color="auto"/>
              <w:bottom w:val="nil"/>
              <w:right w:val="nil"/>
            </w:tcBorders>
            <w:shd w:val="clear" w:color="auto" w:fill="auto"/>
            <w:noWrap/>
            <w:vAlign w:val="center"/>
            <w:hideMark/>
          </w:tcPr>
          <w:p w14:paraId="27A61B88" w14:textId="77777777" w:rsidR="00387142" w:rsidRPr="008B6A75" w:rsidRDefault="00387142" w:rsidP="00387142">
            <w:pPr>
              <w:jc w:val="center"/>
              <w:rPr>
                <w:sz w:val="20"/>
                <w:szCs w:val="20"/>
              </w:rPr>
            </w:pPr>
            <w:r w:rsidRPr="008B6A75">
              <w:rPr>
                <w:sz w:val="20"/>
                <w:szCs w:val="20"/>
              </w:rPr>
              <w:t>07.1.00.07491</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2A7AF2F2" w14:textId="77777777" w:rsidR="00387142" w:rsidRPr="008B6A75" w:rsidRDefault="00387142" w:rsidP="00387142">
            <w:pPr>
              <w:jc w:val="center"/>
              <w:rPr>
                <w:sz w:val="20"/>
                <w:szCs w:val="20"/>
              </w:rPr>
            </w:pPr>
            <w:r w:rsidRPr="008B6A75">
              <w:rPr>
                <w:sz w:val="20"/>
                <w:szCs w:val="20"/>
              </w:rPr>
              <w:t>610</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49C6ECC7" w14:textId="77777777" w:rsidR="00387142" w:rsidRPr="008B6A75" w:rsidRDefault="00387142" w:rsidP="00387142">
            <w:pPr>
              <w:jc w:val="right"/>
              <w:rPr>
                <w:sz w:val="20"/>
                <w:szCs w:val="20"/>
              </w:rPr>
            </w:pPr>
            <w:r w:rsidRPr="008B6A75">
              <w:rPr>
                <w:sz w:val="20"/>
                <w:szCs w:val="20"/>
              </w:rPr>
              <w:t>2 743 167,66</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6F767757" w14:textId="77777777" w:rsidR="00387142" w:rsidRPr="008B6A75" w:rsidRDefault="00387142" w:rsidP="00387142">
            <w:pPr>
              <w:jc w:val="right"/>
              <w:rPr>
                <w:sz w:val="20"/>
                <w:szCs w:val="20"/>
              </w:rPr>
            </w:pPr>
            <w:r w:rsidRPr="008B6A75">
              <w:rPr>
                <w:sz w:val="20"/>
                <w:szCs w:val="20"/>
              </w:rPr>
              <w:t>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2ECD37C6" w14:textId="77777777" w:rsidR="00387142" w:rsidRPr="008B6A75" w:rsidRDefault="00387142" w:rsidP="00387142">
            <w:pPr>
              <w:jc w:val="right"/>
              <w:rPr>
                <w:sz w:val="20"/>
                <w:szCs w:val="20"/>
              </w:rPr>
            </w:pPr>
            <w:r w:rsidRPr="008B6A75">
              <w:rPr>
                <w:sz w:val="20"/>
                <w:szCs w:val="20"/>
              </w:rPr>
              <w:t>0,00</w:t>
            </w:r>
          </w:p>
        </w:tc>
        <w:tc>
          <w:tcPr>
            <w:tcW w:w="222" w:type="dxa"/>
            <w:vAlign w:val="center"/>
            <w:hideMark/>
          </w:tcPr>
          <w:p w14:paraId="11E16174" w14:textId="77777777" w:rsidR="00387142" w:rsidRPr="008B6A75" w:rsidRDefault="00387142" w:rsidP="00387142">
            <w:pPr>
              <w:rPr>
                <w:sz w:val="20"/>
                <w:szCs w:val="20"/>
              </w:rPr>
            </w:pPr>
          </w:p>
        </w:tc>
      </w:tr>
      <w:tr w:rsidR="00387142" w:rsidRPr="008B6A75" w14:paraId="655B50A9" w14:textId="77777777" w:rsidTr="00387142">
        <w:trPr>
          <w:trHeight w:val="300"/>
        </w:trPr>
        <w:tc>
          <w:tcPr>
            <w:tcW w:w="3021" w:type="dxa"/>
            <w:tcBorders>
              <w:top w:val="single" w:sz="4" w:space="0" w:color="auto"/>
              <w:left w:val="single" w:sz="4" w:space="0" w:color="auto"/>
              <w:bottom w:val="nil"/>
              <w:right w:val="nil"/>
            </w:tcBorders>
            <w:shd w:val="clear" w:color="auto" w:fill="auto"/>
            <w:vAlign w:val="center"/>
            <w:hideMark/>
          </w:tcPr>
          <w:p w14:paraId="38F63241" w14:textId="77777777" w:rsidR="00387142" w:rsidRPr="008B6A75" w:rsidRDefault="00387142" w:rsidP="00387142">
            <w:pPr>
              <w:rPr>
                <w:sz w:val="20"/>
                <w:szCs w:val="20"/>
              </w:rPr>
            </w:pPr>
            <w:r w:rsidRPr="008B6A75">
              <w:rPr>
                <w:sz w:val="20"/>
                <w:szCs w:val="20"/>
              </w:rPr>
              <w:t>Субсидии автономным учреждениям</w:t>
            </w:r>
          </w:p>
        </w:tc>
        <w:tc>
          <w:tcPr>
            <w:tcW w:w="850" w:type="dxa"/>
            <w:tcBorders>
              <w:top w:val="single" w:sz="4" w:space="0" w:color="auto"/>
              <w:left w:val="single" w:sz="4" w:space="0" w:color="auto"/>
              <w:bottom w:val="nil"/>
              <w:right w:val="nil"/>
            </w:tcBorders>
            <w:shd w:val="clear" w:color="auto" w:fill="auto"/>
            <w:noWrap/>
            <w:vAlign w:val="center"/>
            <w:hideMark/>
          </w:tcPr>
          <w:p w14:paraId="57F2B2B1" w14:textId="77777777" w:rsidR="00387142" w:rsidRPr="008B6A75" w:rsidRDefault="00387142" w:rsidP="00387142">
            <w:pPr>
              <w:jc w:val="center"/>
              <w:rPr>
                <w:sz w:val="20"/>
                <w:szCs w:val="20"/>
              </w:rPr>
            </w:pPr>
            <w:r w:rsidRPr="008B6A75">
              <w:rPr>
                <w:sz w:val="20"/>
                <w:szCs w:val="20"/>
              </w:rPr>
              <w:t>444</w:t>
            </w:r>
          </w:p>
        </w:tc>
        <w:tc>
          <w:tcPr>
            <w:tcW w:w="709" w:type="dxa"/>
            <w:tcBorders>
              <w:top w:val="single" w:sz="4" w:space="0" w:color="auto"/>
              <w:left w:val="single" w:sz="4" w:space="0" w:color="auto"/>
              <w:bottom w:val="nil"/>
              <w:right w:val="nil"/>
            </w:tcBorders>
            <w:shd w:val="clear" w:color="auto" w:fill="auto"/>
            <w:noWrap/>
            <w:vAlign w:val="center"/>
            <w:hideMark/>
          </w:tcPr>
          <w:p w14:paraId="14BE0A4B" w14:textId="77777777" w:rsidR="00387142" w:rsidRPr="008B6A75" w:rsidRDefault="00387142" w:rsidP="00387142">
            <w:pPr>
              <w:jc w:val="center"/>
              <w:rPr>
                <w:sz w:val="20"/>
                <w:szCs w:val="20"/>
              </w:rPr>
            </w:pPr>
            <w:r w:rsidRPr="008B6A75">
              <w:rPr>
                <w:sz w:val="20"/>
                <w:szCs w:val="20"/>
              </w:rPr>
              <w:t>07</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599D987D" w14:textId="77777777" w:rsidR="00387142" w:rsidRPr="008B6A75" w:rsidRDefault="00387142" w:rsidP="00387142">
            <w:pPr>
              <w:jc w:val="center"/>
              <w:rPr>
                <w:sz w:val="20"/>
                <w:szCs w:val="20"/>
              </w:rPr>
            </w:pPr>
            <w:r w:rsidRPr="008B6A75">
              <w:rPr>
                <w:sz w:val="20"/>
                <w:szCs w:val="20"/>
              </w:rPr>
              <w:t>03</w:t>
            </w:r>
          </w:p>
        </w:tc>
        <w:tc>
          <w:tcPr>
            <w:tcW w:w="1411" w:type="dxa"/>
            <w:tcBorders>
              <w:top w:val="single" w:sz="4" w:space="0" w:color="auto"/>
              <w:left w:val="single" w:sz="4" w:space="0" w:color="auto"/>
              <w:bottom w:val="nil"/>
              <w:right w:val="nil"/>
            </w:tcBorders>
            <w:shd w:val="clear" w:color="auto" w:fill="auto"/>
            <w:noWrap/>
            <w:vAlign w:val="center"/>
            <w:hideMark/>
          </w:tcPr>
          <w:p w14:paraId="0DEFEAED" w14:textId="77777777" w:rsidR="00387142" w:rsidRPr="008B6A75" w:rsidRDefault="00387142" w:rsidP="00387142">
            <w:pPr>
              <w:jc w:val="center"/>
              <w:rPr>
                <w:sz w:val="20"/>
                <w:szCs w:val="20"/>
              </w:rPr>
            </w:pPr>
            <w:r w:rsidRPr="008B6A75">
              <w:rPr>
                <w:sz w:val="20"/>
                <w:szCs w:val="20"/>
              </w:rPr>
              <w:t>07.1.00.07491</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48142EB5" w14:textId="77777777" w:rsidR="00387142" w:rsidRPr="008B6A75" w:rsidRDefault="00387142" w:rsidP="00387142">
            <w:pPr>
              <w:jc w:val="center"/>
              <w:rPr>
                <w:sz w:val="20"/>
                <w:szCs w:val="20"/>
              </w:rPr>
            </w:pPr>
            <w:r w:rsidRPr="008B6A75">
              <w:rPr>
                <w:sz w:val="20"/>
                <w:szCs w:val="20"/>
              </w:rPr>
              <w:t>620</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4950C0D4" w14:textId="77777777" w:rsidR="00387142" w:rsidRPr="008B6A75" w:rsidRDefault="00387142" w:rsidP="00387142">
            <w:pPr>
              <w:jc w:val="right"/>
              <w:rPr>
                <w:sz w:val="20"/>
                <w:szCs w:val="20"/>
              </w:rPr>
            </w:pPr>
            <w:r w:rsidRPr="008B6A75">
              <w:rPr>
                <w:sz w:val="20"/>
                <w:szCs w:val="20"/>
              </w:rPr>
              <w:t>30 000,00</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3A024E25" w14:textId="77777777" w:rsidR="00387142" w:rsidRPr="008B6A75" w:rsidRDefault="00387142" w:rsidP="00387142">
            <w:pPr>
              <w:jc w:val="right"/>
              <w:rPr>
                <w:sz w:val="20"/>
                <w:szCs w:val="20"/>
              </w:rPr>
            </w:pPr>
            <w:r w:rsidRPr="008B6A75">
              <w:rPr>
                <w:sz w:val="20"/>
                <w:szCs w:val="20"/>
              </w:rPr>
              <w:t>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057CC613" w14:textId="77777777" w:rsidR="00387142" w:rsidRPr="008B6A75" w:rsidRDefault="00387142" w:rsidP="00387142">
            <w:pPr>
              <w:jc w:val="right"/>
              <w:rPr>
                <w:sz w:val="20"/>
                <w:szCs w:val="20"/>
              </w:rPr>
            </w:pPr>
            <w:r w:rsidRPr="008B6A75">
              <w:rPr>
                <w:sz w:val="20"/>
                <w:szCs w:val="20"/>
              </w:rPr>
              <w:t>0,00</w:t>
            </w:r>
          </w:p>
        </w:tc>
        <w:tc>
          <w:tcPr>
            <w:tcW w:w="222" w:type="dxa"/>
            <w:vAlign w:val="center"/>
            <w:hideMark/>
          </w:tcPr>
          <w:p w14:paraId="1EC77835" w14:textId="77777777" w:rsidR="00387142" w:rsidRPr="008B6A75" w:rsidRDefault="00387142" w:rsidP="00387142">
            <w:pPr>
              <w:rPr>
                <w:sz w:val="20"/>
                <w:szCs w:val="20"/>
              </w:rPr>
            </w:pPr>
          </w:p>
        </w:tc>
      </w:tr>
      <w:tr w:rsidR="00387142" w:rsidRPr="008B6A75" w14:paraId="5268B237" w14:textId="77777777" w:rsidTr="00387142">
        <w:trPr>
          <w:trHeight w:val="870"/>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7B324134" w14:textId="77777777" w:rsidR="00387142" w:rsidRPr="008B6A75" w:rsidRDefault="00387142" w:rsidP="00387142">
            <w:pPr>
              <w:rPr>
                <w:sz w:val="20"/>
                <w:szCs w:val="20"/>
              </w:rPr>
            </w:pPr>
            <w:r w:rsidRPr="008B6A75">
              <w:rPr>
                <w:sz w:val="20"/>
                <w:szCs w:val="20"/>
              </w:rPr>
              <w:t>Субсидии некоммерческим организациям (за исключением государственных (муниципальных) учреждений)</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51FC519D" w14:textId="77777777" w:rsidR="00387142" w:rsidRPr="008B6A75" w:rsidRDefault="00387142" w:rsidP="00387142">
            <w:pPr>
              <w:jc w:val="center"/>
              <w:rPr>
                <w:sz w:val="20"/>
                <w:szCs w:val="20"/>
              </w:rPr>
            </w:pPr>
            <w:r w:rsidRPr="008B6A75">
              <w:rPr>
                <w:sz w:val="20"/>
                <w:szCs w:val="20"/>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57D3D943" w14:textId="77777777" w:rsidR="00387142" w:rsidRPr="008B6A75" w:rsidRDefault="00387142" w:rsidP="00387142">
            <w:pPr>
              <w:jc w:val="center"/>
              <w:rPr>
                <w:sz w:val="20"/>
                <w:szCs w:val="20"/>
              </w:rPr>
            </w:pPr>
            <w:r w:rsidRPr="008B6A75">
              <w:rPr>
                <w:sz w:val="20"/>
                <w:szCs w:val="20"/>
              </w:rPr>
              <w:t>07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42C863" w14:textId="77777777" w:rsidR="00387142" w:rsidRPr="008B6A75" w:rsidRDefault="00387142" w:rsidP="00387142">
            <w:pPr>
              <w:jc w:val="center"/>
              <w:rPr>
                <w:sz w:val="20"/>
                <w:szCs w:val="20"/>
              </w:rPr>
            </w:pPr>
            <w:r w:rsidRPr="008B6A75">
              <w:rPr>
                <w:sz w:val="20"/>
                <w:szCs w:val="20"/>
              </w:rPr>
              <w:t>03</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1E0E7122" w14:textId="77777777" w:rsidR="00387142" w:rsidRPr="008B6A75" w:rsidRDefault="00387142" w:rsidP="00387142">
            <w:pPr>
              <w:jc w:val="center"/>
              <w:rPr>
                <w:sz w:val="20"/>
                <w:szCs w:val="20"/>
              </w:rPr>
            </w:pPr>
            <w:r w:rsidRPr="008B6A75">
              <w:rPr>
                <w:sz w:val="20"/>
                <w:szCs w:val="20"/>
              </w:rPr>
              <w:t>07.1.00.07491</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16DFDF" w14:textId="77777777" w:rsidR="00387142" w:rsidRPr="008B6A75" w:rsidRDefault="00387142" w:rsidP="00387142">
            <w:pPr>
              <w:jc w:val="center"/>
              <w:rPr>
                <w:sz w:val="20"/>
                <w:szCs w:val="20"/>
              </w:rPr>
            </w:pPr>
            <w:r w:rsidRPr="008B6A75">
              <w:rPr>
                <w:sz w:val="20"/>
                <w:szCs w:val="20"/>
              </w:rPr>
              <w:t>630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974288" w14:textId="77777777" w:rsidR="00387142" w:rsidRPr="008B6A75" w:rsidRDefault="00387142" w:rsidP="00387142">
            <w:pPr>
              <w:jc w:val="right"/>
              <w:rPr>
                <w:sz w:val="20"/>
                <w:szCs w:val="20"/>
              </w:rPr>
            </w:pPr>
            <w:r w:rsidRPr="008B6A75">
              <w:rPr>
                <w:sz w:val="20"/>
                <w:szCs w:val="20"/>
              </w:rPr>
              <w:t>20 000,00</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70E0310C" w14:textId="77777777" w:rsidR="00387142" w:rsidRPr="008B6A75" w:rsidRDefault="00387142" w:rsidP="00387142">
            <w:pPr>
              <w:jc w:val="right"/>
              <w:rPr>
                <w:sz w:val="20"/>
                <w:szCs w:val="20"/>
              </w:rPr>
            </w:pPr>
            <w:r w:rsidRPr="008B6A75">
              <w:rPr>
                <w:sz w:val="20"/>
                <w:szCs w:val="20"/>
              </w:rPr>
              <w:t>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C68ACD" w14:textId="77777777" w:rsidR="00387142" w:rsidRPr="008B6A75" w:rsidRDefault="00387142" w:rsidP="00387142">
            <w:pPr>
              <w:jc w:val="right"/>
              <w:rPr>
                <w:sz w:val="20"/>
                <w:szCs w:val="20"/>
              </w:rPr>
            </w:pPr>
            <w:r w:rsidRPr="008B6A75">
              <w:rPr>
                <w:sz w:val="20"/>
                <w:szCs w:val="20"/>
              </w:rPr>
              <w:t>0,00</w:t>
            </w:r>
          </w:p>
        </w:tc>
        <w:tc>
          <w:tcPr>
            <w:tcW w:w="222" w:type="dxa"/>
            <w:vAlign w:val="center"/>
            <w:hideMark/>
          </w:tcPr>
          <w:p w14:paraId="52C7B49C" w14:textId="77777777" w:rsidR="00387142" w:rsidRPr="008B6A75" w:rsidRDefault="00387142" w:rsidP="00387142">
            <w:pPr>
              <w:rPr>
                <w:sz w:val="20"/>
                <w:szCs w:val="20"/>
              </w:rPr>
            </w:pPr>
          </w:p>
        </w:tc>
      </w:tr>
      <w:tr w:rsidR="00387142" w:rsidRPr="008B6A75" w14:paraId="732B8FB9" w14:textId="77777777" w:rsidTr="00387142">
        <w:trPr>
          <w:trHeight w:val="300"/>
        </w:trPr>
        <w:tc>
          <w:tcPr>
            <w:tcW w:w="3021" w:type="dxa"/>
            <w:tcBorders>
              <w:top w:val="nil"/>
              <w:left w:val="single" w:sz="4" w:space="0" w:color="auto"/>
              <w:bottom w:val="nil"/>
              <w:right w:val="nil"/>
            </w:tcBorders>
            <w:shd w:val="clear" w:color="auto" w:fill="auto"/>
            <w:vAlign w:val="center"/>
            <w:hideMark/>
          </w:tcPr>
          <w:p w14:paraId="1589D740" w14:textId="77777777" w:rsidR="00387142" w:rsidRPr="008B6A75" w:rsidRDefault="00387142" w:rsidP="00387142">
            <w:pPr>
              <w:rPr>
                <w:sz w:val="20"/>
                <w:szCs w:val="20"/>
              </w:rPr>
            </w:pPr>
            <w:r w:rsidRPr="008B6A75">
              <w:rPr>
                <w:sz w:val="20"/>
                <w:szCs w:val="20"/>
              </w:rPr>
              <w:t>Иные бюджетные ассигнования</w:t>
            </w:r>
          </w:p>
        </w:tc>
        <w:tc>
          <w:tcPr>
            <w:tcW w:w="850" w:type="dxa"/>
            <w:tcBorders>
              <w:top w:val="nil"/>
              <w:left w:val="single" w:sz="4" w:space="0" w:color="auto"/>
              <w:bottom w:val="nil"/>
              <w:right w:val="nil"/>
            </w:tcBorders>
            <w:shd w:val="clear" w:color="auto" w:fill="auto"/>
            <w:noWrap/>
            <w:vAlign w:val="center"/>
            <w:hideMark/>
          </w:tcPr>
          <w:p w14:paraId="641381F9" w14:textId="77777777" w:rsidR="00387142" w:rsidRPr="008B6A75" w:rsidRDefault="00387142" w:rsidP="00387142">
            <w:pPr>
              <w:jc w:val="center"/>
              <w:rPr>
                <w:sz w:val="20"/>
                <w:szCs w:val="20"/>
              </w:rPr>
            </w:pPr>
            <w:r w:rsidRPr="008B6A75">
              <w:rPr>
                <w:sz w:val="20"/>
                <w:szCs w:val="20"/>
              </w:rPr>
              <w:t>444</w:t>
            </w:r>
          </w:p>
        </w:tc>
        <w:tc>
          <w:tcPr>
            <w:tcW w:w="709" w:type="dxa"/>
            <w:tcBorders>
              <w:top w:val="nil"/>
              <w:left w:val="single" w:sz="4" w:space="0" w:color="auto"/>
              <w:bottom w:val="nil"/>
              <w:right w:val="nil"/>
            </w:tcBorders>
            <w:shd w:val="clear" w:color="auto" w:fill="auto"/>
            <w:noWrap/>
            <w:vAlign w:val="center"/>
            <w:hideMark/>
          </w:tcPr>
          <w:p w14:paraId="5B6E117C" w14:textId="77777777" w:rsidR="00387142" w:rsidRPr="008B6A75" w:rsidRDefault="00387142" w:rsidP="00387142">
            <w:pPr>
              <w:jc w:val="center"/>
              <w:rPr>
                <w:sz w:val="20"/>
                <w:szCs w:val="20"/>
              </w:rPr>
            </w:pPr>
            <w:r w:rsidRPr="008B6A75">
              <w:rPr>
                <w:sz w:val="20"/>
                <w:szCs w:val="20"/>
              </w:rPr>
              <w:t>07</w:t>
            </w:r>
          </w:p>
        </w:tc>
        <w:tc>
          <w:tcPr>
            <w:tcW w:w="709" w:type="dxa"/>
            <w:tcBorders>
              <w:top w:val="nil"/>
              <w:left w:val="single" w:sz="4" w:space="0" w:color="auto"/>
              <w:bottom w:val="nil"/>
              <w:right w:val="single" w:sz="4" w:space="0" w:color="auto"/>
            </w:tcBorders>
            <w:shd w:val="clear" w:color="auto" w:fill="auto"/>
            <w:noWrap/>
            <w:vAlign w:val="center"/>
            <w:hideMark/>
          </w:tcPr>
          <w:p w14:paraId="28A1AEB2" w14:textId="77777777" w:rsidR="00387142" w:rsidRPr="008B6A75" w:rsidRDefault="00387142" w:rsidP="00387142">
            <w:pPr>
              <w:jc w:val="center"/>
              <w:rPr>
                <w:sz w:val="20"/>
                <w:szCs w:val="20"/>
              </w:rPr>
            </w:pPr>
            <w:r w:rsidRPr="008B6A75">
              <w:rPr>
                <w:sz w:val="20"/>
                <w:szCs w:val="20"/>
              </w:rPr>
              <w:t>03</w:t>
            </w:r>
          </w:p>
        </w:tc>
        <w:tc>
          <w:tcPr>
            <w:tcW w:w="1411" w:type="dxa"/>
            <w:tcBorders>
              <w:top w:val="nil"/>
              <w:left w:val="single" w:sz="4" w:space="0" w:color="auto"/>
              <w:bottom w:val="nil"/>
              <w:right w:val="nil"/>
            </w:tcBorders>
            <w:shd w:val="clear" w:color="auto" w:fill="auto"/>
            <w:noWrap/>
            <w:vAlign w:val="center"/>
            <w:hideMark/>
          </w:tcPr>
          <w:p w14:paraId="5DB7A4AD" w14:textId="77777777" w:rsidR="00387142" w:rsidRPr="008B6A75" w:rsidRDefault="00387142" w:rsidP="00387142">
            <w:pPr>
              <w:jc w:val="center"/>
              <w:rPr>
                <w:sz w:val="20"/>
                <w:szCs w:val="20"/>
              </w:rPr>
            </w:pPr>
            <w:r w:rsidRPr="008B6A75">
              <w:rPr>
                <w:sz w:val="20"/>
                <w:szCs w:val="20"/>
              </w:rPr>
              <w:t>07.1.00.07491</w:t>
            </w:r>
          </w:p>
        </w:tc>
        <w:tc>
          <w:tcPr>
            <w:tcW w:w="955" w:type="dxa"/>
            <w:tcBorders>
              <w:top w:val="nil"/>
              <w:left w:val="single" w:sz="4" w:space="0" w:color="auto"/>
              <w:bottom w:val="nil"/>
              <w:right w:val="single" w:sz="4" w:space="0" w:color="auto"/>
            </w:tcBorders>
            <w:shd w:val="clear" w:color="auto" w:fill="auto"/>
            <w:noWrap/>
            <w:vAlign w:val="center"/>
            <w:hideMark/>
          </w:tcPr>
          <w:p w14:paraId="69355BA9" w14:textId="77777777" w:rsidR="00387142" w:rsidRPr="008B6A75" w:rsidRDefault="00387142" w:rsidP="00387142">
            <w:pPr>
              <w:jc w:val="center"/>
              <w:rPr>
                <w:sz w:val="20"/>
                <w:szCs w:val="20"/>
              </w:rPr>
            </w:pPr>
            <w:r w:rsidRPr="008B6A75">
              <w:rPr>
                <w:sz w:val="20"/>
                <w:szCs w:val="20"/>
              </w:rPr>
              <w:t>800</w:t>
            </w:r>
          </w:p>
        </w:tc>
        <w:tc>
          <w:tcPr>
            <w:tcW w:w="992" w:type="dxa"/>
            <w:tcBorders>
              <w:top w:val="nil"/>
              <w:left w:val="single" w:sz="4" w:space="0" w:color="auto"/>
              <w:bottom w:val="nil"/>
              <w:right w:val="single" w:sz="4" w:space="0" w:color="auto"/>
            </w:tcBorders>
            <w:shd w:val="clear" w:color="auto" w:fill="auto"/>
            <w:noWrap/>
            <w:vAlign w:val="center"/>
            <w:hideMark/>
          </w:tcPr>
          <w:p w14:paraId="3F0A41EE" w14:textId="77777777" w:rsidR="00387142" w:rsidRPr="008B6A75" w:rsidRDefault="00387142" w:rsidP="00387142">
            <w:pPr>
              <w:jc w:val="right"/>
              <w:rPr>
                <w:sz w:val="20"/>
                <w:szCs w:val="20"/>
              </w:rPr>
            </w:pPr>
            <w:r w:rsidRPr="008B6A75">
              <w:rPr>
                <w:sz w:val="20"/>
                <w:szCs w:val="20"/>
              </w:rPr>
              <w:t>50 000,00</w:t>
            </w:r>
          </w:p>
        </w:tc>
        <w:tc>
          <w:tcPr>
            <w:tcW w:w="992" w:type="dxa"/>
            <w:gridSpan w:val="2"/>
            <w:tcBorders>
              <w:top w:val="nil"/>
              <w:left w:val="single" w:sz="4" w:space="0" w:color="auto"/>
              <w:bottom w:val="nil"/>
              <w:right w:val="nil"/>
            </w:tcBorders>
            <w:shd w:val="clear" w:color="auto" w:fill="auto"/>
            <w:noWrap/>
            <w:vAlign w:val="center"/>
            <w:hideMark/>
          </w:tcPr>
          <w:p w14:paraId="079011A5" w14:textId="77777777" w:rsidR="00387142" w:rsidRPr="008B6A75" w:rsidRDefault="00387142" w:rsidP="00387142">
            <w:pPr>
              <w:jc w:val="right"/>
              <w:rPr>
                <w:sz w:val="20"/>
                <w:szCs w:val="20"/>
              </w:rPr>
            </w:pPr>
            <w:r w:rsidRPr="008B6A75">
              <w:rPr>
                <w:sz w:val="20"/>
                <w:szCs w:val="20"/>
              </w:rPr>
              <w:t>0,00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3D0193AD" w14:textId="77777777" w:rsidR="00387142" w:rsidRPr="008B6A75" w:rsidRDefault="00387142" w:rsidP="00387142">
            <w:pPr>
              <w:jc w:val="right"/>
              <w:rPr>
                <w:sz w:val="20"/>
                <w:szCs w:val="20"/>
              </w:rPr>
            </w:pPr>
            <w:r w:rsidRPr="008B6A75">
              <w:rPr>
                <w:sz w:val="20"/>
                <w:szCs w:val="20"/>
              </w:rPr>
              <w:t>0,00</w:t>
            </w:r>
          </w:p>
        </w:tc>
        <w:tc>
          <w:tcPr>
            <w:tcW w:w="222" w:type="dxa"/>
            <w:vAlign w:val="center"/>
            <w:hideMark/>
          </w:tcPr>
          <w:p w14:paraId="008B1830" w14:textId="77777777" w:rsidR="00387142" w:rsidRPr="008B6A75" w:rsidRDefault="00387142" w:rsidP="00387142">
            <w:pPr>
              <w:rPr>
                <w:sz w:val="20"/>
                <w:szCs w:val="20"/>
              </w:rPr>
            </w:pPr>
          </w:p>
        </w:tc>
      </w:tr>
      <w:tr w:rsidR="00387142" w:rsidRPr="008B6A75" w14:paraId="3838588C" w14:textId="77777777" w:rsidTr="00387142">
        <w:trPr>
          <w:trHeight w:val="1155"/>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6935A571" w14:textId="77777777" w:rsidR="00387142" w:rsidRPr="008B6A75" w:rsidRDefault="00387142" w:rsidP="00387142">
            <w:pPr>
              <w:rPr>
                <w:sz w:val="20"/>
                <w:szCs w:val="20"/>
              </w:rPr>
            </w:pPr>
            <w:r w:rsidRPr="008B6A75">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4A18C162" w14:textId="77777777" w:rsidR="00387142" w:rsidRPr="008B6A75" w:rsidRDefault="00387142" w:rsidP="00387142">
            <w:pPr>
              <w:jc w:val="center"/>
              <w:rPr>
                <w:sz w:val="20"/>
                <w:szCs w:val="20"/>
              </w:rPr>
            </w:pPr>
            <w:r w:rsidRPr="008B6A75">
              <w:rPr>
                <w:sz w:val="20"/>
                <w:szCs w:val="20"/>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32BFA492" w14:textId="77777777" w:rsidR="00387142" w:rsidRPr="008B6A75" w:rsidRDefault="00387142" w:rsidP="00387142">
            <w:pPr>
              <w:jc w:val="center"/>
              <w:rPr>
                <w:sz w:val="20"/>
                <w:szCs w:val="20"/>
              </w:rPr>
            </w:pPr>
            <w:r w:rsidRPr="008B6A75">
              <w:rPr>
                <w:sz w:val="20"/>
                <w:szCs w:val="20"/>
              </w:rPr>
              <w:t>07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1931F4" w14:textId="77777777" w:rsidR="00387142" w:rsidRPr="008B6A75" w:rsidRDefault="00387142" w:rsidP="00387142">
            <w:pPr>
              <w:jc w:val="center"/>
              <w:rPr>
                <w:sz w:val="20"/>
                <w:szCs w:val="20"/>
              </w:rPr>
            </w:pPr>
            <w:r w:rsidRPr="008B6A75">
              <w:rPr>
                <w:sz w:val="20"/>
                <w:szCs w:val="20"/>
              </w:rPr>
              <w:t>03</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4A9E5154" w14:textId="77777777" w:rsidR="00387142" w:rsidRPr="008B6A75" w:rsidRDefault="00387142" w:rsidP="00387142">
            <w:pPr>
              <w:jc w:val="center"/>
              <w:rPr>
                <w:sz w:val="20"/>
                <w:szCs w:val="20"/>
              </w:rPr>
            </w:pPr>
            <w:r w:rsidRPr="008B6A75">
              <w:rPr>
                <w:sz w:val="20"/>
                <w:szCs w:val="20"/>
              </w:rPr>
              <w:t>07.1.00.07491</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A2EEBD" w14:textId="77777777" w:rsidR="00387142" w:rsidRPr="008B6A75" w:rsidRDefault="00387142" w:rsidP="00387142">
            <w:pPr>
              <w:jc w:val="center"/>
              <w:rPr>
                <w:sz w:val="20"/>
                <w:szCs w:val="20"/>
              </w:rPr>
            </w:pPr>
            <w:r w:rsidRPr="008B6A75">
              <w:rPr>
                <w:sz w:val="20"/>
                <w:szCs w:val="20"/>
              </w:rPr>
              <w:t>810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AD9FBB" w14:textId="77777777" w:rsidR="00387142" w:rsidRPr="008B6A75" w:rsidRDefault="00387142" w:rsidP="00387142">
            <w:pPr>
              <w:jc w:val="right"/>
              <w:rPr>
                <w:sz w:val="20"/>
                <w:szCs w:val="20"/>
              </w:rPr>
            </w:pPr>
            <w:r w:rsidRPr="008B6A75">
              <w:rPr>
                <w:sz w:val="20"/>
                <w:szCs w:val="20"/>
              </w:rPr>
              <w:t>50 000,00</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56D57EF5" w14:textId="77777777" w:rsidR="00387142" w:rsidRPr="008B6A75" w:rsidRDefault="00387142" w:rsidP="00387142">
            <w:pPr>
              <w:jc w:val="right"/>
              <w:rPr>
                <w:sz w:val="20"/>
                <w:szCs w:val="20"/>
              </w:rPr>
            </w:pPr>
            <w:r w:rsidRPr="008B6A75">
              <w:rPr>
                <w:sz w:val="20"/>
                <w:szCs w:val="20"/>
              </w:rPr>
              <w:t>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74556B" w14:textId="77777777" w:rsidR="00387142" w:rsidRPr="008B6A75" w:rsidRDefault="00387142" w:rsidP="00387142">
            <w:pPr>
              <w:jc w:val="right"/>
              <w:rPr>
                <w:sz w:val="20"/>
                <w:szCs w:val="20"/>
              </w:rPr>
            </w:pPr>
            <w:r w:rsidRPr="008B6A75">
              <w:rPr>
                <w:sz w:val="20"/>
                <w:szCs w:val="20"/>
              </w:rPr>
              <w:t>0,00</w:t>
            </w:r>
          </w:p>
        </w:tc>
        <w:tc>
          <w:tcPr>
            <w:tcW w:w="222" w:type="dxa"/>
            <w:vAlign w:val="center"/>
            <w:hideMark/>
          </w:tcPr>
          <w:p w14:paraId="24FDD09A" w14:textId="77777777" w:rsidR="00387142" w:rsidRPr="008B6A75" w:rsidRDefault="00387142" w:rsidP="00387142">
            <w:pPr>
              <w:rPr>
                <w:sz w:val="20"/>
                <w:szCs w:val="20"/>
              </w:rPr>
            </w:pPr>
          </w:p>
        </w:tc>
      </w:tr>
      <w:tr w:rsidR="00387142" w:rsidRPr="008B6A75" w14:paraId="0AB93DB9" w14:textId="77777777" w:rsidTr="00387142">
        <w:trPr>
          <w:trHeight w:val="1440"/>
        </w:trPr>
        <w:tc>
          <w:tcPr>
            <w:tcW w:w="3021" w:type="dxa"/>
            <w:tcBorders>
              <w:top w:val="nil"/>
              <w:left w:val="single" w:sz="4" w:space="0" w:color="auto"/>
              <w:bottom w:val="nil"/>
              <w:right w:val="nil"/>
            </w:tcBorders>
            <w:shd w:val="clear" w:color="auto" w:fill="auto"/>
            <w:vAlign w:val="center"/>
            <w:hideMark/>
          </w:tcPr>
          <w:p w14:paraId="64A9B9F7" w14:textId="77777777" w:rsidR="00387142" w:rsidRPr="008B6A75" w:rsidRDefault="00387142" w:rsidP="00387142">
            <w:pPr>
              <w:rPr>
                <w:bCs/>
                <w:sz w:val="20"/>
                <w:szCs w:val="20"/>
              </w:rPr>
            </w:pPr>
            <w:r w:rsidRPr="008B6A75">
              <w:rPr>
                <w:bCs/>
                <w:sz w:val="20"/>
                <w:szCs w:val="20"/>
              </w:rPr>
              <w:t xml:space="preserve">Реализация мероприятий по обеспечению сбалансированности местных </w:t>
            </w:r>
            <w:proofErr w:type="gramStart"/>
            <w:r w:rsidRPr="008B6A75">
              <w:rPr>
                <w:bCs/>
                <w:sz w:val="20"/>
                <w:szCs w:val="20"/>
              </w:rPr>
              <w:t>бюджетов  государственной</w:t>
            </w:r>
            <w:proofErr w:type="gramEnd"/>
            <w:r w:rsidRPr="008B6A75">
              <w:rPr>
                <w:bCs/>
                <w:sz w:val="20"/>
                <w:szCs w:val="20"/>
              </w:rPr>
              <w:t xml:space="preserve"> программы Новосибирской области "Управление  финансами в Новосибирской области"</w:t>
            </w:r>
          </w:p>
        </w:tc>
        <w:tc>
          <w:tcPr>
            <w:tcW w:w="850" w:type="dxa"/>
            <w:tcBorders>
              <w:top w:val="nil"/>
              <w:left w:val="single" w:sz="4" w:space="0" w:color="auto"/>
              <w:bottom w:val="nil"/>
              <w:right w:val="nil"/>
            </w:tcBorders>
            <w:shd w:val="clear" w:color="auto" w:fill="auto"/>
            <w:noWrap/>
            <w:vAlign w:val="center"/>
            <w:hideMark/>
          </w:tcPr>
          <w:p w14:paraId="5E502107" w14:textId="77777777" w:rsidR="00387142" w:rsidRPr="008B6A75" w:rsidRDefault="00387142" w:rsidP="00387142">
            <w:pPr>
              <w:jc w:val="center"/>
              <w:rPr>
                <w:bCs/>
                <w:sz w:val="20"/>
                <w:szCs w:val="20"/>
              </w:rPr>
            </w:pPr>
            <w:r w:rsidRPr="008B6A75">
              <w:rPr>
                <w:bCs/>
                <w:sz w:val="20"/>
                <w:szCs w:val="20"/>
              </w:rPr>
              <w:t>444</w:t>
            </w:r>
          </w:p>
        </w:tc>
        <w:tc>
          <w:tcPr>
            <w:tcW w:w="709" w:type="dxa"/>
            <w:tcBorders>
              <w:top w:val="nil"/>
              <w:left w:val="single" w:sz="4" w:space="0" w:color="auto"/>
              <w:bottom w:val="nil"/>
              <w:right w:val="nil"/>
            </w:tcBorders>
            <w:shd w:val="clear" w:color="auto" w:fill="auto"/>
            <w:noWrap/>
            <w:vAlign w:val="center"/>
            <w:hideMark/>
          </w:tcPr>
          <w:p w14:paraId="431003C0" w14:textId="77777777" w:rsidR="00387142" w:rsidRPr="008B6A75" w:rsidRDefault="00387142" w:rsidP="00387142">
            <w:pPr>
              <w:jc w:val="center"/>
              <w:rPr>
                <w:bCs/>
                <w:sz w:val="20"/>
                <w:szCs w:val="20"/>
              </w:rPr>
            </w:pPr>
            <w:r w:rsidRPr="008B6A75">
              <w:rPr>
                <w:bCs/>
                <w:sz w:val="20"/>
                <w:szCs w:val="20"/>
              </w:rPr>
              <w:t>07</w:t>
            </w:r>
          </w:p>
        </w:tc>
        <w:tc>
          <w:tcPr>
            <w:tcW w:w="709" w:type="dxa"/>
            <w:tcBorders>
              <w:top w:val="nil"/>
              <w:left w:val="single" w:sz="4" w:space="0" w:color="auto"/>
              <w:bottom w:val="nil"/>
              <w:right w:val="single" w:sz="4" w:space="0" w:color="auto"/>
            </w:tcBorders>
            <w:shd w:val="clear" w:color="auto" w:fill="auto"/>
            <w:noWrap/>
            <w:vAlign w:val="center"/>
            <w:hideMark/>
          </w:tcPr>
          <w:p w14:paraId="586CC067" w14:textId="77777777" w:rsidR="00387142" w:rsidRPr="008B6A75" w:rsidRDefault="00387142" w:rsidP="00387142">
            <w:pPr>
              <w:jc w:val="center"/>
              <w:rPr>
                <w:bCs/>
                <w:sz w:val="20"/>
                <w:szCs w:val="20"/>
              </w:rPr>
            </w:pPr>
            <w:r w:rsidRPr="008B6A75">
              <w:rPr>
                <w:bCs/>
                <w:sz w:val="20"/>
                <w:szCs w:val="20"/>
              </w:rPr>
              <w:t>03</w:t>
            </w:r>
          </w:p>
        </w:tc>
        <w:tc>
          <w:tcPr>
            <w:tcW w:w="1411" w:type="dxa"/>
            <w:tcBorders>
              <w:top w:val="nil"/>
              <w:left w:val="single" w:sz="4" w:space="0" w:color="auto"/>
              <w:bottom w:val="nil"/>
              <w:right w:val="nil"/>
            </w:tcBorders>
            <w:shd w:val="clear" w:color="auto" w:fill="auto"/>
            <w:noWrap/>
            <w:vAlign w:val="center"/>
            <w:hideMark/>
          </w:tcPr>
          <w:p w14:paraId="5F1E1F96" w14:textId="77777777" w:rsidR="00387142" w:rsidRPr="008B6A75" w:rsidRDefault="00387142" w:rsidP="00387142">
            <w:pPr>
              <w:jc w:val="center"/>
              <w:rPr>
                <w:bCs/>
                <w:sz w:val="20"/>
                <w:szCs w:val="20"/>
              </w:rPr>
            </w:pPr>
            <w:r w:rsidRPr="008B6A75">
              <w:rPr>
                <w:bCs/>
                <w:sz w:val="20"/>
                <w:szCs w:val="20"/>
              </w:rPr>
              <w:t>07.1.00.70510</w:t>
            </w:r>
          </w:p>
        </w:tc>
        <w:tc>
          <w:tcPr>
            <w:tcW w:w="955" w:type="dxa"/>
            <w:tcBorders>
              <w:top w:val="nil"/>
              <w:left w:val="single" w:sz="4" w:space="0" w:color="auto"/>
              <w:bottom w:val="nil"/>
              <w:right w:val="single" w:sz="4" w:space="0" w:color="auto"/>
            </w:tcBorders>
            <w:shd w:val="clear" w:color="auto" w:fill="auto"/>
            <w:noWrap/>
            <w:vAlign w:val="center"/>
            <w:hideMark/>
          </w:tcPr>
          <w:p w14:paraId="21AE941D"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nil"/>
              <w:right w:val="single" w:sz="4" w:space="0" w:color="auto"/>
            </w:tcBorders>
            <w:shd w:val="clear" w:color="auto" w:fill="auto"/>
            <w:noWrap/>
            <w:vAlign w:val="center"/>
            <w:hideMark/>
          </w:tcPr>
          <w:p w14:paraId="4174CF1D" w14:textId="77777777" w:rsidR="00387142" w:rsidRPr="008B6A75" w:rsidRDefault="00387142" w:rsidP="00387142">
            <w:pPr>
              <w:jc w:val="right"/>
              <w:rPr>
                <w:bCs/>
                <w:sz w:val="20"/>
                <w:szCs w:val="20"/>
              </w:rPr>
            </w:pPr>
            <w:r w:rsidRPr="008B6A75">
              <w:rPr>
                <w:bCs/>
                <w:sz w:val="20"/>
                <w:szCs w:val="20"/>
              </w:rPr>
              <w:t>86 941 215,64</w:t>
            </w:r>
          </w:p>
        </w:tc>
        <w:tc>
          <w:tcPr>
            <w:tcW w:w="992" w:type="dxa"/>
            <w:gridSpan w:val="2"/>
            <w:tcBorders>
              <w:top w:val="nil"/>
              <w:left w:val="single" w:sz="4" w:space="0" w:color="auto"/>
              <w:bottom w:val="nil"/>
              <w:right w:val="nil"/>
            </w:tcBorders>
            <w:shd w:val="clear" w:color="auto" w:fill="auto"/>
            <w:noWrap/>
            <w:vAlign w:val="center"/>
            <w:hideMark/>
          </w:tcPr>
          <w:p w14:paraId="393A5650" w14:textId="77777777" w:rsidR="00387142" w:rsidRPr="008B6A75" w:rsidRDefault="00387142" w:rsidP="00387142">
            <w:pPr>
              <w:jc w:val="right"/>
              <w:rPr>
                <w:bCs/>
                <w:sz w:val="20"/>
                <w:szCs w:val="20"/>
              </w:rPr>
            </w:pPr>
            <w:r w:rsidRPr="008B6A75">
              <w:rPr>
                <w:bCs/>
                <w:sz w:val="20"/>
                <w:szCs w:val="20"/>
              </w:rPr>
              <w:t>0,00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0E0E1F8B" w14:textId="77777777" w:rsidR="00387142" w:rsidRPr="008B6A75" w:rsidRDefault="00387142" w:rsidP="00387142">
            <w:pPr>
              <w:jc w:val="right"/>
              <w:rPr>
                <w:bCs/>
                <w:sz w:val="20"/>
                <w:szCs w:val="20"/>
              </w:rPr>
            </w:pPr>
            <w:r w:rsidRPr="008B6A75">
              <w:rPr>
                <w:bCs/>
                <w:sz w:val="20"/>
                <w:szCs w:val="20"/>
              </w:rPr>
              <w:t>0,00</w:t>
            </w:r>
          </w:p>
        </w:tc>
        <w:tc>
          <w:tcPr>
            <w:tcW w:w="222" w:type="dxa"/>
            <w:vAlign w:val="center"/>
            <w:hideMark/>
          </w:tcPr>
          <w:p w14:paraId="4EDCE13A" w14:textId="77777777" w:rsidR="00387142" w:rsidRPr="008B6A75" w:rsidRDefault="00387142" w:rsidP="00387142">
            <w:pPr>
              <w:rPr>
                <w:sz w:val="20"/>
                <w:szCs w:val="20"/>
              </w:rPr>
            </w:pPr>
          </w:p>
        </w:tc>
      </w:tr>
      <w:tr w:rsidR="00387142" w:rsidRPr="008B6A75" w14:paraId="50C3A5AD" w14:textId="77777777" w:rsidTr="00387142">
        <w:trPr>
          <w:trHeight w:val="1440"/>
        </w:trPr>
        <w:tc>
          <w:tcPr>
            <w:tcW w:w="3021" w:type="dxa"/>
            <w:tcBorders>
              <w:top w:val="single" w:sz="4" w:space="0" w:color="auto"/>
              <w:left w:val="single" w:sz="4" w:space="0" w:color="auto"/>
              <w:bottom w:val="nil"/>
              <w:right w:val="nil"/>
            </w:tcBorders>
            <w:shd w:val="clear" w:color="auto" w:fill="auto"/>
            <w:vAlign w:val="center"/>
            <w:hideMark/>
          </w:tcPr>
          <w:p w14:paraId="7F8198E7" w14:textId="77777777" w:rsidR="00387142" w:rsidRPr="008B6A75" w:rsidRDefault="00387142" w:rsidP="00387142">
            <w:pPr>
              <w:rPr>
                <w:sz w:val="20"/>
                <w:szCs w:val="20"/>
              </w:rPr>
            </w:pPr>
            <w:r w:rsidRPr="008B6A75">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nil"/>
              <w:right w:val="nil"/>
            </w:tcBorders>
            <w:shd w:val="clear" w:color="auto" w:fill="auto"/>
            <w:noWrap/>
            <w:vAlign w:val="center"/>
            <w:hideMark/>
          </w:tcPr>
          <w:p w14:paraId="29D3C6B0" w14:textId="77777777" w:rsidR="00387142" w:rsidRPr="008B6A75" w:rsidRDefault="00387142" w:rsidP="00387142">
            <w:pPr>
              <w:jc w:val="center"/>
              <w:rPr>
                <w:sz w:val="20"/>
                <w:szCs w:val="20"/>
              </w:rPr>
            </w:pPr>
            <w:r w:rsidRPr="008B6A75">
              <w:rPr>
                <w:sz w:val="20"/>
                <w:szCs w:val="20"/>
              </w:rPr>
              <w:t>444</w:t>
            </w:r>
          </w:p>
        </w:tc>
        <w:tc>
          <w:tcPr>
            <w:tcW w:w="709" w:type="dxa"/>
            <w:tcBorders>
              <w:top w:val="single" w:sz="4" w:space="0" w:color="auto"/>
              <w:left w:val="single" w:sz="4" w:space="0" w:color="auto"/>
              <w:bottom w:val="nil"/>
              <w:right w:val="nil"/>
            </w:tcBorders>
            <w:shd w:val="clear" w:color="auto" w:fill="auto"/>
            <w:noWrap/>
            <w:vAlign w:val="center"/>
            <w:hideMark/>
          </w:tcPr>
          <w:p w14:paraId="3C7A0FA6" w14:textId="77777777" w:rsidR="00387142" w:rsidRPr="008B6A75" w:rsidRDefault="00387142" w:rsidP="00387142">
            <w:pPr>
              <w:jc w:val="center"/>
              <w:rPr>
                <w:sz w:val="20"/>
                <w:szCs w:val="20"/>
              </w:rPr>
            </w:pPr>
            <w:r w:rsidRPr="008B6A75">
              <w:rPr>
                <w:sz w:val="20"/>
                <w:szCs w:val="20"/>
              </w:rPr>
              <w:t>07</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31B7389C" w14:textId="77777777" w:rsidR="00387142" w:rsidRPr="008B6A75" w:rsidRDefault="00387142" w:rsidP="00387142">
            <w:pPr>
              <w:jc w:val="center"/>
              <w:rPr>
                <w:sz w:val="20"/>
                <w:szCs w:val="20"/>
              </w:rPr>
            </w:pPr>
            <w:r w:rsidRPr="008B6A75">
              <w:rPr>
                <w:sz w:val="20"/>
                <w:szCs w:val="20"/>
              </w:rPr>
              <w:t>03</w:t>
            </w:r>
          </w:p>
        </w:tc>
        <w:tc>
          <w:tcPr>
            <w:tcW w:w="1411" w:type="dxa"/>
            <w:tcBorders>
              <w:top w:val="single" w:sz="4" w:space="0" w:color="auto"/>
              <w:left w:val="single" w:sz="4" w:space="0" w:color="auto"/>
              <w:bottom w:val="nil"/>
              <w:right w:val="nil"/>
            </w:tcBorders>
            <w:shd w:val="clear" w:color="auto" w:fill="auto"/>
            <w:noWrap/>
            <w:vAlign w:val="center"/>
            <w:hideMark/>
          </w:tcPr>
          <w:p w14:paraId="5D038253" w14:textId="77777777" w:rsidR="00387142" w:rsidRPr="008B6A75" w:rsidRDefault="00387142" w:rsidP="00387142">
            <w:pPr>
              <w:jc w:val="center"/>
              <w:rPr>
                <w:sz w:val="20"/>
                <w:szCs w:val="20"/>
              </w:rPr>
            </w:pPr>
            <w:r w:rsidRPr="008B6A75">
              <w:rPr>
                <w:sz w:val="20"/>
                <w:szCs w:val="20"/>
              </w:rPr>
              <w:t>07.1.00.70510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6AAB9932" w14:textId="77777777" w:rsidR="00387142" w:rsidRPr="008B6A75" w:rsidRDefault="00387142" w:rsidP="00387142">
            <w:pPr>
              <w:jc w:val="center"/>
              <w:rPr>
                <w:sz w:val="20"/>
                <w:szCs w:val="20"/>
              </w:rPr>
            </w:pPr>
            <w:r w:rsidRPr="008B6A75">
              <w:rPr>
                <w:sz w:val="20"/>
                <w:szCs w:val="20"/>
              </w:rPr>
              <w:t>100</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5420F458" w14:textId="77777777" w:rsidR="00387142" w:rsidRPr="008B6A75" w:rsidRDefault="00387142" w:rsidP="00387142">
            <w:pPr>
              <w:jc w:val="right"/>
              <w:rPr>
                <w:sz w:val="20"/>
                <w:szCs w:val="20"/>
              </w:rPr>
            </w:pPr>
            <w:r w:rsidRPr="008B6A75">
              <w:rPr>
                <w:sz w:val="20"/>
                <w:szCs w:val="20"/>
              </w:rPr>
              <w:t>2 192 937,63</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0F4AC45D" w14:textId="77777777" w:rsidR="00387142" w:rsidRPr="008B6A75" w:rsidRDefault="00387142" w:rsidP="00387142">
            <w:pPr>
              <w:jc w:val="right"/>
              <w:rPr>
                <w:sz w:val="20"/>
                <w:szCs w:val="20"/>
              </w:rPr>
            </w:pPr>
            <w:r w:rsidRPr="008B6A75">
              <w:rPr>
                <w:sz w:val="20"/>
                <w:szCs w:val="20"/>
              </w:rPr>
              <w:t>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425BE8F2" w14:textId="77777777" w:rsidR="00387142" w:rsidRPr="008B6A75" w:rsidRDefault="00387142" w:rsidP="00387142">
            <w:pPr>
              <w:jc w:val="right"/>
              <w:rPr>
                <w:sz w:val="20"/>
                <w:szCs w:val="20"/>
              </w:rPr>
            </w:pPr>
            <w:r w:rsidRPr="008B6A75">
              <w:rPr>
                <w:sz w:val="20"/>
                <w:szCs w:val="20"/>
              </w:rPr>
              <w:t>0,00</w:t>
            </w:r>
          </w:p>
        </w:tc>
        <w:tc>
          <w:tcPr>
            <w:tcW w:w="222" w:type="dxa"/>
            <w:vAlign w:val="center"/>
            <w:hideMark/>
          </w:tcPr>
          <w:p w14:paraId="5B04587D" w14:textId="77777777" w:rsidR="00387142" w:rsidRPr="008B6A75" w:rsidRDefault="00387142" w:rsidP="00387142">
            <w:pPr>
              <w:rPr>
                <w:sz w:val="20"/>
                <w:szCs w:val="20"/>
              </w:rPr>
            </w:pPr>
          </w:p>
        </w:tc>
      </w:tr>
      <w:tr w:rsidR="00387142" w:rsidRPr="008B6A75" w14:paraId="4FD033BC" w14:textId="77777777" w:rsidTr="00387142">
        <w:trPr>
          <w:trHeight w:val="585"/>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7CB7B7C2" w14:textId="77777777" w:rsidR="00387142" w:rsidRPr="008B6A75" w:rsidRDefault="00387142" w:rsidP="00387142">
            <w:pPr>
              <w:rPr>
                <w:sz w:val="20"/>
                <w:szCs w:val="20"/>
              </w:rPr>
            </w:pPr>
            <w:r w:rsidRPr="008B6A75">
              <w:rPr>
                <w:sz w:val="20"/>
                <w:szCs w:val="20"/>
              </w:rPr>
              <w:t>Расходы на выплаты персоналу казенных учреждений</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2F118C7B" w14:textId="77777777" w:rsidR="00387142" w:rsidRPr="008B6A75" w:rsidRDefault="00387142" w:rsidP="00387142">
            <w:pPr>
              <w:jc w:val="center"/>
              <w:rPr>
                <w:sz w:val="20"/>
                <w:szCs w:val="20"/>
              </w:rPr>
            </w:pPr>
            <w:r w:rsidRPr="008B6A75">
              <w:rPr>
                <w:sz w:val="20"/>
                <w:szCs w:val="20"/>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4F472007" w14:textId="77777777" w:rsidR="00387142" w:rsidRPr="008B6A75" w:rsidRDefault="00387142" w:rsidP="00387142">
            <w:pPr>
              <w:jc w:val="center"/>
              <w:rPr>
                <w:sz w:val="20"/>
                <w:szCs w:val="20"/>
              </w:rPr>
            </w:pPr>
            <w:r w:rsidRPr="008B6A75">
              <w:rPr>
                <w:sz w:val="20"/>
                <w:szCs w:val="20"/>
              </w:rPr>
              <w:t>07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A4821C" w14:textId="77777777" w:rsidR="00387142" w:rsidRPr="008B6A75" w:rsidRDefault="00387142" w:rsidP="00387142">
            <w:pPr>
              <w:jc w:val="center"/>
              <w:rPr>
                <w:sz w:val="20"/>
                <w:szCs w:val="20"/>
              </w:rPr>
            </w:pPr>
            <w:r w:rsidRPr="008B6A75">
              <w:rPr>
                <w:sz w:val="20"/>
                <w:szCs w:val="20"/>
              </w:rPr>
              <w:t>03</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202056A6" w14:textId="77777777" w:rsidR="00387142" w:rsidRPr="008B6A75" w:rsidRDefault="00387142" w:rsidP="00387142">
            <w:pPr>
              <w:jc w:val="center"/>
              <w:rPr>
                <w:sz w:val="20"/>
                <w:szCs w:val="20"/>
              </w:rPr>
            </w:pPr>
            <w:r w:rsidRPr="008B6A75">
              <w:rPr>
                <w:sz w:val="20"/>
                <w:szCs w:val="20"/>
              </w:rPr>
              <w:t>07.1.00.70510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A8D621" w14:textId="77777777" w:rsidR="00387142" w:rsidRPr="008B6A75" w:rsidRDefault="00387142" w:rsidP="00387142">
            <w:pPr>
              <w:jc w:val="center"/>
              <w:rPr>
                <w:sz w:val="20"/>
                <w:szCs w:val="20"/>
              </w:rPr>
            </w:pPr>
            <w:r w:rsidRPr="008B6A75">
              <w:rPr>
                <w:sz w:val="20"/>
                <w:szCs w:val="20"/>
              </w:rPr>
              <w:t>110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2B6FD4" w14:textId="77777777" w:rsidR="00387142" w:rsidRPr="008B6A75" w:rsidRDefault="00387142" w:rsidP="00387142">
            <w:pPr>
              <w:jc w:val="right"/>
              <w:rPr>
                <w:sz w:val="20"/>
                <w:szCs w:val="20"/>
              </w:rPr>
            </w:pPr>
            <w:r w:rsidRPr="008B6A75">
              <w:rPr>
                <w:sz w:val="20"/>
                <w:szCs w:val="20"/>
              </w:rPr>
              <w:t>2 192 937,63</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506DE890" w14:textId="77777777" w:rsidR="00387142" w:rsidRPr="008B6A75" w:rsidRDefault="00387142" w:rsidP="00387142">
            <w:pPr>
              <w:jc w:val="right"/>
              <w:rPr>
                <w:sz w:val="20"/>
                <w:szCs w:val="20"/>
              </w:rPr>
            </w:pPr>
            <w:r w:rsidRPr="008B6A75">
              <w:rPr>
                <w:sz w:val="20"/>
                <w:szCs w:val="20"/>
              </w:rPr>
              <w:t>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7FC045" w14:textId="77777777" w:rsidR="00387142" w:rsidRPr="008B6A75" w:rsidRDefault="00387142" w:rsidP="00387142">
            <w:pPr>
              <w:jc w:val="right"/>
              <w:rPr>
                <w:sz w:val="20"/>
                <w:szCs w:val="20"/>
              </w:rPr>
            </w:pPr>
            <w:r w:rsidRPr="008B6A75">
              <w:rPr>
                <w:sz w:val="20"/>
                <w:szCs w:val="20"/>
              </w:rPr>
              <w:t>0,00</w:t>
            </w:r>
          </w:p>
        </w:tc>
        <w:tc>
          <w:tcPr>
            <w:tcW w:w="222" w:type="dxa"/>
            <w:vAlign w:val="center"/>
            <w:hideMark/>
          </w:tcPr>
          <w:p w14:paraId="76FFD661" w14:textId="77777777" w:rsidR="00387142" w:rsidRPr="008B6A75" w:rsidRDefault="00387142" w:rsidP="00387142">
            <w:pPr>
              <w:rPr>
                <w:sz w:val="20"/>
                <w:szCs w:val="20"/>
              </w:rPr>
            </w:pPr>
          </w:p>
        </w:tc>
      </w:tr>
      <w:tr w:rsidR="00387142" w:rsidRPr="008B6A75" w14:paraId="36DAE253" w14:textId="77777777" w:rsidTr="00387142">
        <w:trPr>
          <w:trHeight w:val="870"/>
        </w:trPr>
        <w:tc>
          <w:tcPr>
            <w:tcW w:w="3021" w:type="dxa"/>
            <w:tcBorders>
              <w:top w:val="nil"/>
              <w:left w:val="single" w:sz="4" w:space="0" w:color="auto"/>
              <w:bottom w:val="nil"/>
              <w:right w:val="nil"/>
            </w:tcBorders>
            <w:shd w:val="clear" w:color="auto" w:fill="auto"/>
            <w:vAlign w:val="center"/>
            <w:hideMark/>
          </w:tcPr>
          <w:p w14:paraId="015D8DBD" w14:textId="77777777" w:rsidR="00387142" w:rsidRPr="008B6A75" w:rsidRDefault="00387142" w:rsidP="00387142">
            <w:pPr>
              <w:rPr>
                <w:sz w:val="20"/>
                <w:szCs w:val="20"/>
              </w:rPr>
            </w:pPr>
            <w:r w:rsidRPr="008B6A75">
              <w:rPr>
                <w:sz w:val="20"/>
                <w:szCs w:val="20"/>
              </w:rPr>
              <w:t>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right w:val="nil"/>
            </w:tcBorders>
            <w:shd w:val="clear" w:color="auto" w:fill="auto"/>
            <w:noWrap/>
            <w:vAlign w:val="center"/>
            <w:hideMark/>
          </w:tcPr>
          <w:p w14:paraId="7D134859" w14:textId="77777777" w:rsidR="00387142" w:rsidRPr="008B6A75" w:rsidRDefault="00387142" w:rsidP="00387142">
            <w:pPr>
              <w:jc w:val="center"/>
              <w:rPr>
                <w:sz w:val="20"/>
                <w:szCs w:val="20"/>
              </w:rPr>
            </w:pPr>
            <w:r w:rsidRPr="008B6A75">
              <w:rPr>
                <w:sz w:val="20"/>
                <w:szCs w:val="20"/>
              </w:rPr>
              <w:t>444</w:t>
            </w:r>
          </w:p>
        </w:tc>
        <w:tc>
          <w:tcPr>
            <w:tcW w:w="709" w:type="dxa"/>
            <w:tcBorders>
              <w:top w:val="nil"/>
              <w:left w:val="single" w:sz="4" w:space="0" w:color="auto"/>
              <w:bottom w:val="nil"/>
              <w:right w:val="nil"/>
            </w:tcBorders>
            <w:shd w:val="clear" w:color="auto" w:fill="auto"/>
            <w:noWrap/>
            <w:vAlign w:val="center"/>
            <w:hideMark/>
          </w:tcPr>
          <w:p w14:paraId="67CB837B" w14:textId="77777777" w:rsidR="00387142" w:rsidRPr="008B6A75" w:rsidRDefault="00387142" w:rsidP="00387142">
            <w:pPr>
              <w:jc w:val="center"/>
              <w:rPr>
                <w:sz w:val="20"/>
                <w:szCs w:val="20"/>
              </w:rPr>
            </w:pPr>
            <w:r w:rsidRPr="008B6A75">
              <w:rPr>
                <w:sz w:val="20"/>
                <w:szCs w:val="20"/>
              </w:rPr>
              <w:t>07</w:t>
            </w:r>
          </w:p>
        </w:tc>
        <w:tc>
          <w:tcPr>
            <w:tcW w:w="709" w:type="dxa"/>
            <w:tcBorders>
              <w:top w:val="nil"/>
              <w:left w:val="single" w:sz="4" w:space="0" w:color="auto"/>
              <w:bottom w:val="nil"/>
              <w:right w:val="single" w:sz="4" w:space="0" w:color="auto"/>
            </w:tcBorders>
            <w:shd w:val="clear" w:color="auto" w:fill="auto"/>
            <w:noWrap/>
            <w:vAlign w:val="center"/>
            <w:hideMark/>
          </w:tcPr>
          <w:p w14:paraId="057FE286" w14:textId="77777777" w:rsidR="00387142" w:rsidRPr="008B6A75" w:rsidRDefault="00387142" w:rsidP="00387142">
            <w:pPr>
              <w:jc w:val="center"/>
              <w:rPr>
                <w:sz w:val="20"/>
                <w:szCs w:val="20"/>
              </w:rPr>
            </w:pPr>
            <w:r w:rsidRPr="008B6A75">
              <w:rPr>
                <w:sz w:val="20"/>
                <w:szCs w:val="20"/>
              </w:rPr>
              <w:t>03</w:t>
            </w:r>
          </w:p>
        </w:tc>
        <w:tc>
          <w:tcPr>
            <w:tcW w:w="1411" w:type="dxa"/>
            <w:tcBorders>
              <w:top w:val="nil"/>
              <w:left w:val="single" w:sz="4" w:space="0" w:color="auto"/>
              <w:bottom w:val="nil"/>
              <w:right w:val="nil"/>
            </w:tcBorders>
            <w:shd w:val="clear" w:color="auto" w:fill="auto"/>
            <w:noWrap/>
            <w:vAlign w:val="center"/>
            <w:hideMark/>
          </w:tcPr>
          <w:p w14:paraId="1621E42E" w14:textId="77777777" w:rsidR="00387142" w:rsidRPr="008B6A75" w:rsidRDefault="00387142" w:rsidP="00387142">
            <w:pPr>
              <w:jc w:val="center"/>
              <w:rPr>
                <w:sz w:val="20"/>
                <w:szCs w:val="20"/>
              </w:rPr>
            </w:pPr>
            <w:r w:rsidRPr="008B6A75">
              <w:rPr>
                <w:sz w:val="20"/>
                <w:szCs w:val="20"/>
              </w:rPr>
              <w:t>07.1.00.70510</w:t>
            </w:r>
          </w:p>
        </w:tc>
        <w:tc>
          <w:tcPr>
            <w:tcW w:w="955" w:type="dxa"/>
            <w:tcBorders>
              <w:top w:val="nil"/>
              <w:left w:val="single" w:sz="4" w:space="0" w:color="auto"/>
              <w:bottom w:val="nil"/>
              <w:right w:val="single" w:sz="4" w:space="0" w:color="auto"/>
            </w:tcBorders>
            <w:shd w:val="clear" w:color="auto" w:fill="auto"/>
            <w:noWrap/>
            <w:vAlign w:val="center"/>
            <w:hideMark/>
          </w:tcPr>
          <w:p w14:paraId="2D3B86B6" w14:textId="77777777" w:rsidR="00387142" w:rsidRPr="008B6A75" w:rsidRDefault="00387142" w:rsidP="00387142">
            <w:pPr>
              <w:jc w:val="center"/>
              <w:rPr>
                <w:sz w:val="20"/>
                <w:szCs w:val="20"/>
              </w:rPr>
            </w:pPr>
            <w:r w:rsidRPr="008B6A75">
              <w:rPr>
                <w:sz w:val="20"/>
                <w:szCs w:val="20"/>
              </w:rPr>
              <w:t>600</w:t>
            </w:r>
          </w:p>
        </w:tc>
        <w:tc>
          <w:tcPr>
            <w:tcW w:w="992" w:type="dxa"/>
            <w:tcBorders>
              <w:top w:val="nil"/>
              <w:left w:val="single" w:sz="4" w:space="0" w:color="auto"/>
              <w:bottom w:val="nil"/>
              <w:right w:val="single" w:sz="4" w:space="0" w:color="auto"/>
            </w:tcBorders>
            <w:shd w:val="clear" w:color="auto" w:fill="auto"/>
            <w:noWrap/>
            <w:vAlign w:val="center"/>
            <w:hideMark/>
          </w:tcPr>
          <w:p w14:paraId="5FABD154" w14:textId="77777777" w:rsidR="00387142" w:rsidRPr="008B6A75" w:rsidRDefault="00387142" w:rsidP="00387142">
            <w:pPr>
              <w:jc w:val="right"/>
              <w:rPr>
                <w:sz w:val="20"/>
                <w:szCs w:val="20"/>
              </w:rPr>
            </w:pPr>
            <w:r w:rsidRPr="008B6A75">
              <w:rPr>
                <w:sz w:val="20"/>
                <w:szCs w:val="20"/>
              </w:rPr>
              <w:t>84 748 278,01</w:t>
            </w:r>
          </w:p>
        </w:tc>
        <w:tc>
          <w:tcPr>
            <w:tcW w:w="992" w:type="dxa"/>
            <w:gridSpan w:val="2"/>
            <w:tcBorders>
              <w:top w:val="nil"/>
              <w:left w:val="single" w:sz="4" w:space="0" w:color="auto"/>
              <w:bottom w:val="nil"/>
              <w:right w:val="nil"/>
            </w:tcBorders>
            <w:shd w:val="clear" w:color="auto" w:fill="auto"/>
            <w:noWrap/>
            <w:vAlign w:val="center"/>
            <w:hideMark/>
          </w:tcPr>
          <w:p w14:paraId="5D8A5BDB" w14:textId="77777777" w:rsidR="00387142" w:rsidRPr="008B6A75" w:rsidRDefault="00387142" w:rsidP="00387142">
            <w:pPr>
              <w:jc w:val="right"/>
              <w:rPr>
                <w:sz w:val="20"/>
                <w:szCs w:val="20"/>
              </w:rPr>
            </w:pPr>
            <w:r w:rsidRPr="008B6A75">
              <w:rPr>
                <w:sz w:val="20"/>
                <w:szCs w:val="20"/>
              </w:rPr>
              <w:t>0,00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1FF2C052" w14:textId="77777777" w:rsidR="00387142" w:rsidRPr="008B6A75" w:rsidRDefault="00387142" w:rsidP="00387142">
            <w:pPr>
              <w:jc w:val="right"/>
              <w:rPr>
                <w:sz w:val="20"/>
                <w:szCs w:val="20"/>
              </w:rPr>
            </w:pPr>
            <w:r w:rsidRPr="008B6A75">
              <w:rPr>
                <w:sz w:val="20"/>
                <w:szCs w:val="20"/>
              </w:rPr>
              <w:t>0,00</w:t>
            </w:r>
          </w:p>
        </w:tc>
        <w:tc>
          <w:tcPr>
            <w:tcW w:w="222" w:type="dxa"/>
            <w:vAlign w:val="center"/>
            <w:hideMark/>
          </w:tcPr>
          <w:p w14:paraId="3EC8C283" w14:textId="77777777" w:rsidR="00387142" w:rsidRPr="008B6A75" w:rsidRDefault="00387142" w:rsidP="00387142">
            <w:pPr>
              <w:rPr>
                <w:sz w:val="20"/>
                <w:szCs w:val="20"/>
              </w:rPr>
            </w:pPr>
          </w:p>
        </w:tc>
      </w:tr>
      <w:tr w:rsidR="00387142" w:rsidRPr="008B6A75" w14:paraId="37B78D91" w14:textId="77777777" w:rsidTr="00387142">
        <w:trPr>
          <w:trHeight w:val="300"/>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06294F9D" w14:textId="77777777" w:rsidR="00387142" w:rsidRPr="008B6A75" w:rsidRDefault="00387142" w:rsidP="00387142">
            <w:pPr>
              <w:rPr>
                <w:sz w:val="20"/>
                <w:szCs w:val="20"/>
              </w:rPr>
            </w:pPr>
            <w:r w:rsidRPr="008B6A75">
              <w:rPr>
                <w:sz w:val="20"/>
                <w:szCs w:val="20"/>
              </w:rPr>
              <w:t>Субсидии бюджетным учреждениям</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79DFFC1E" w14:textId="77777777" w:rsidR="00387142" w:rsidRPr="008B6A75" w:rsidRDefault="00387142" w:rsidP="00387142">
            <w:pPr>
              <w:jc w:val="center"/>
              <w:rPr>
                <w:sz w:val="20"/>
                <w:szCs w:val="20"/>
              </w:rPr>
            </w:pPr>
            <w:r w:rsidRPr="008B6A75">
              <w:rPr>
                <w:sz w:val="20"/>
                <w:szCs w:val="20"/>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20D8130C" w14:textId="77777777" w:rsidR="00387142" w:rsidRPr="008B6A75" w:rsidRDefault="00387142" w:rsidP="00387142">
            <w:pPr>
              <w:jc w:val="center"/>
              <w:rPr>
                <w:sz w:val="20"/>
                <w:szCs w:val="20"/>
              </w:rPr>
            </w:pPr>
            <w:r w:rsidRPr="008B6A75">
              <w:rPr>
                <w:sz w:val="20"/>
                <w:szCs w:val="20"/>
              </w:rPr>
              <w:t>07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5F687C" w14:textId="77777777" w:rsidR="00387142" w:rsidRPr="008B6A75" w:rsidRDefault="00387142" w:rsidP="00387142">
            <w:pPr>
              <w:jc w:val="center"/>
              <w:rPr>
                <w:sz w:val="20"/>
                <w:szCs w:val="20"/>
              </w:rPr>
            </w:pPr>
            <w:r w:rsidRPr="008B6A75">
              <w:rPr>
                <w:sz w:val="20"/>
                <w:szCs w:val="20"/>
              </w:rPr>
              <w:t>03</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13382E92" w14:textId="77777777" w:rsidR="00387142" w:rsidRPr="008B6A75" w:rsidRDefault="00387142" w:rsidP="00387142">
            <w:pPr>
              <w:jc w:val="center"/>
              <w:rPr>
                <w:sz w:val="20"/>
                <w:szCs w:val="20"/>
              </w:rPr>
            </w:pPr>
            <w:r w:rsidRPr="008B6A75">
              <w:rPr>
                <w:sz w:val="20"/>
                <w:szCs w:val="20"/>
              </w:rPr>
              <w:t>07.1.00.70510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5F627D" w14:textId="77777777" w:rsidR="00387142" w:rsidRPr="008B6A75" w:rsidRDefault="00387142" w:rsidP="00387142">
            <w:pPr>
              <w:jc w:val="center"/>
              <w:rPr>
                <w:sz w:val="20"/>
                <w:szCs w:val="20"/>
              </w:rPr>
            </w:pPr>
            <w:r w:rsidRPr="008B6A75">
              <w:rPr>
                <w:sz w:val="20"/>
                <w:szCs w:val="20"/>
              </w:rPr>
              <w:t>610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52523D" w14:textId="77777777" w:rsidR="00387142" w:rsidRPr="008B6A75" w:rsidRDefault="00387142" w:rsidP="00387142">
            <w:pPr>
              <w:jc w:val="right"/>
              <w:rPr>
                <w:sz w:val="20"/>
                <w:szCs w:val="20"/>
              </w:rPr>
            </w:pPr>
            <w:r w:rsidRPr="008B6A75">
              <w:rPr>
                <w:sz w:val="20"/>
                <w:szCs w:val="20"/>
              </w:rPr>
              <w:t>84 748 278,01</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1429DFAE" w14:textId="77777777" w:rsidR="00387142" w:rsidRPr="008B6A75" w:rsidRDefault="00387142" w:rsidP="00387142">
            <w:pPr>
              <w:jc w:val="right"/>
              <w:rPr>
                <w:sz w:val="20"/>
                <w:szCs w:val="20"/>
              </w:rPr>
            </w:pPr>
            <w:r w:rsidRPr="008B6A75">
              <w:rPr>
                <w:sz w:val="20"/>
                <w:szCs w:val="20"/>
              </w:rPr>
              <w:t>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76D0E2" w14:textId="77777777" w:rsidR="00387142" w:rsidRPr="008B6A75" w:rsidRDefault="00387142" w:rsidP="00387142">
            <w:pPr>
              <w:jc w:val="right"/>
              <w:rPr>
                <w:sz w:val="20"/>
                <w:szCs w:val="20"/>
              </w:rPr>
            </w:pPr>
            <w:r w:rsidRPr="008B6A75">
              <w:rPr>
                <w:sz w:val="20"/>
                <w:szCs w:val="20"/>
              </w:rPr>
              <w:t>0,00</w:t>
            </w:r>
          </w:p>
        </w:tc>
        <w:tc>
          <w:tcPr>
            <w:tcW w:w="222" w:type="dxa"/>
            <w:vAlign w:val="center"/>
            <w:hideMark/>
          </w:tcPr>
          <w:p w14:paraId="5A382A31" w14:textId="77777777" w:rsidR="00387142" w:rsidRPr="008B6A75" w:rsidRDefault="00387142" w:rsidP="00387142">
            <w:pPr>
              <w:rPr>
                <w:sz w:val="20"/>
                <w:szCs w:val="20"/>
              </w:rPr>
            </w:pPr>
          </w:p>
        </w:tc>
      </w:tr>
      <w:tr w:rsidR="00387142" w:rsidRPr="008B6A75" w14:paraId="76D7DDE7" w14:textId="77777777" w:rsidTr="00387142">
        <w:trPr>
          <w:trHeight w:val="870"/>
        </w:trPr>
        <w:tc>
          <w:tcPr>
            <w:tcW w:w="3021" w:type="dxa"/>
            <w:tcBorders>
              <w:top w:val="nil"/>
              <w:left w:val="single" w:sz="4" w:space="0" w:color="auto"/>
              <w:bottom w:val="nil"/>
              <w:right w:val="nil"/>
            </w:tcBorders>
            <w:shd w:val="clear" w:color="auto" w:fill="auto"/>
            <w:vAlign w:val="center"/>
            <w:hideMark/>
          </w:tcPr>
          <w:p w14:paraId="17BEBF82" w14:textId="77777777" w:rsidR="00387142" w:rsidRPr="008B6A75" w:rsidRDefault="00387142" w:rsidP="00387142">
            <w:pPr>
              <w:rPr>
                <w:bCs/>
                <w:sz w:val="20"/>
                <w:szCs w:val="20"/>
              </w:rPr>
            </w:pPr>
            <w:r w:rsidRPr="008B6A75">
              <w:rPr>
                <w:bCs/>
                <w:sz w:val="20"/>
                <w:szCs w:val="20"/>
              </w:rPr>
              <w:t xml:space="preserve">Реализация мероприятий в рамках </w:t>
            </w:r>
            <w:proofErr w:type="spellStart"/>
            <w:r w:rsidRPr="008B6A75">
              <w:rPr>
                <w:bCs/>
                <w:sz w:val="20"/>
                <w:szCs w:val="20"/>
              </w:rPr>
              <w:t>подпрограммы"Развитие</w:t>
            </w:r>
            <w:proofErr w:type="spellEnd"/>
            <w:r w:rsidRPr="008B6A75">
              <w:rPr>
                <w:bCs/>
                <w:sz w:val="20"/>
                <w:szCs w:val="20"/>
              </w:rPr>
              <w:t xml:space="preserve"> дошкольного, общего и дополнительного образования детей "</w:t>
            </w:r>
          </w:p>
        </w:tc>
        <w:tc>
          <w:tcPr>
            <w:tcW w:w="850" w:type="dxa"/>
            <w:tcBorders>
              <w:top w:val="nil"/>
              <w:left w:val="single" w:sz="4" w:space="0" w:color="auto"/>
              <w:bottom w:val="nil"/>
              <w:right w:val="nil"/>
            </w:tcBorders>
            <w:shd w:val="clear" w:color="auto" w:fill="auto"/>
            <w:noWrap/>
            <w:vAlign w:val="center"/>
            <w:hideMark/>
          </w:tcPr>
          <w:p w14:paraId="0BC58AD0" w14:textId="77777777" w:rsidR="00387142" w:rsidRPr="008B6A75" w:rsidRDefault="00387142" w:rsidP="00387142">
            <w:pPr>
              <w:jc w:val="center"/>
              <w:rPr>
                <w:bCs/>
                <w:sz w:val="20"/>
                <w:szCs w:val="20"/>
              </w:rPr>
            </w:pPr>
            <w:r w:rsidRPr="008B6A75">
              <w:rPr>
                <w:bCs/>
                <w:sz w:val="20"/>
                <w:szCs w:val="20"/>
              </w:rPr>
              <w:t>444</w:t>
            </w:r>
          </w:p>
        </w:tc>
        <w:tc>
          <w:tcPr>
            <w:tcW w:w="709" w:type="dxa"/>
            <w:tcBorders>
              <w:top w:val="nil"/>
              <w:left w:val="single" w:sz="4" w:space="0" w:color="auto"/>
              <w:bottom w:val="nil"/>
              <w:right w:val="nil"/>
            </w:tcBorders>
            <w:shd w:val="clear" w:color="auto" w:fill="auto"/>
            <w:noWrap/>
            <w:vAlign w:val="center"/>
            <w:hideMark/>
          </w:tcPr>
          <w:p w14:paraId="346B03F6" w14:textId="77777777" w:rsidR="00387142" w:rsidRPr="008B6A75" w:rsidRDefault="00387142" w:rsidP="00387142">
            <w:pPr>
              <w:jc w:val="center"/>
              <w:rPr>
                <w:bCs/>
                <w:sz w:val="20"/>
                <w:szCs w:val="20"/>
              </w:rPr>
            </w:pPr>
            <w:r w:rsidRPr="008B6A75">
              <w:rPr>
                <w:bCs/>
                <w:sz w:val="20"/>
                <w:szCs w:val="20"/>
              </w:rPr>
              <w:t>07</w:t>
            </w:r>
          </w:p>
        </w:tc>
        <w:tc>
          <w:tcPr>
            <w:tcW w:w="709" w:type="dxa"/>
            <w:tcBorders>
              <w:top w:val="nil"/>
              <w:left w:val="single" w:sz="4" w:space="0" w:color="auto"/>
              <w:bottom w:val="nil"/>
              <w:right w:val="single" w:sz="4" w:space="0" w:color="auto"/>
            </w:tcBorders>
            <w:shd w:val="clear" w:color="auto" w:fill="auto"/>
            <w:noWrap/>
            <w:vAlign w:val="center"/>
            <w:hideMark/>
          </w:tcPr>
          <w:p w14:paraId="0883C944" w14:textId="77777777" w:rsidR="00387142" w:rsidRPr="008B6A75" w:rsidRDefault="00387142" w:rsidP="00387142">
            <w:pPr>
              <w:jc w:val="center"/>
              <w:rPr>
                <w:bCs/>
                <w:sz w:val="20"/>
                <w:szCs w:val="20"/>
              </w:rPr>
            </w:pPr>
            <w:r w:rsidRPr="008B6A75">
              <w:rPr>
                <w:bCs/>
                <w:sz w:val="20"/>
                <w:szCs w:val="20"/>
              </w:rPr>
              <w:t>03</w:t>
            </w:r>
          </w:p>
        </w:tc>
        <w:tc>
          <w:tcPr>
            <w:tcW w:w="1411" w:type="dxa"/>
            <w:tcBorders>
              <w:top w:val="nil"/>
              <w:left w:val="single" w:sz="4" w:space="0" w:color="auto"/>
              <w:bottom w:val="nil"/>
              <w:right w:val="nil"/>
            </w:tcBorders>
            <w:shd w:val="clear" w:color="auto" w:fill="auto"/>
            <w:noWrap/>
            <w:vAlign w:val="center"/>
            <w:hideMark/>
          </w:tcPr>
          <w:p w14:paraId="42CCE176" w14:textId="77777777" w:rsidR="00387142" w:rsidRPr="008B6A75" w:rsidRDefault="00387142" w:rsidP="00387142">
            <w:pPr>
              <w:jc w:val="center"/>
              <w:rPr>
                <w:bCs/>
                <w:sz w:val="20"/>
                <w:szCs w:val="20"/>
              </w:rPr>
            </w:pPr>
            <w:r w:rsidRPr="008B6A75">
              <w:rPr>
                <w:bCs/>
                <w:sz w:val="20"/>
                <w:szCs w:val="20"/>
              </w:rPr>
              <w:t>07.1.00.79500</w:t>
            </w:r>
          </w:p>
        </w:tc>
        <w:tc>
          <w:tcPr>
            <w:tcW w:w="955" w:type="dxa"/>
            <w:tcBorders>
              <w:top w:val="nil"/>
              <w:left w:val="single" w:sz="4" w:space="0" w:color="auto"/>
              <w:bottom w:val="nil"/>
              <w:right w:val="single" w:sz="4" w:space="0" w:color="auto"/>
            </w:tcBorders>
            <w:shd w:val="clear" w:color="auto" w:fill="auto"/>
            <w:noWrap/>
            <w:vAlign w:val="center"/>
            <w:hideMark/>
          </w:tcPr>
          <w:p w14:paraId="48F248B4"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nil"/>
              <w:right w:val="single" w:sz="4" w:space="0" w:color="auto"/>
            </w:tcBorders>
            <w:shd w:val="clear" w:color="auto" w:fill="auto"/>
            <w:noWrap/>
            <w:vAlign w:val="center"/>
            <w:hideMark/>
          </w:tcPr>
          <w:p w14:paraId="11DBFD41" w14:textId="77777777" w:rsidR="00387142" w:rsidRPr="008B6A75" w:rsidRDefault="00387142" w:rsidP="00387142">
            <w:pPr>
              <w:jc w:val="right"/>
              <w:rPr>
                <w:bCs/>
                <w:sz w:val="20"/>
                <w:szCs w:val="20"/>
              </w:rPr>
            </w:pPr>
            <w:r w:rsidRPr="008B6A75">
              <w:rPr>
                <w:bCs/>
                <w:sz w:val="20"/>
                <w:szCs w:val="20"/>
              </w:rPr>
              <w:t>885 280,00</w:t>
            </w:r>
          </w:p>
        </w:tc>
        <w:tc>
          <w:tcPr>
            <w:tcW w:w="992" w:type="dxa"/>
            <w:gridSpan w:val="2"/>
            <w:tcBorders>
              <w:top w:val="nil"/>
              <w:left w:val="single" w:sz="4" w:space="0" w:color="auto"/>
              <w:bottom w:val="nil"/>
              <w:right w:val="nil"/>
            </w:tcBorders>
            <w:shd w:val="clear" w:color="auto" w:fill="auto"/>
            <w:noWrap/>
            <w:vAlign w:val="center"/>
            <w:hideMark/>
          </w:tcPr>
          <w:p w14:paraId="3F8F749D" w14:textId="77777777" w:rsidR="00387142" w:rsidRPr="008B6A75" w:rsidRDefault="00387142" w:rsidP="00387142">
            <w:pPr>
              <w:jc w:val="right"/>
              <w:rPr>
                <w:bCs/>
                <w:sz w:val="20"/>
                <w:szCs w:val="20"/>
              </w:rPr>
            </w:pPr>
            <w:r w:rsidRPr="008B6A75">
              <w:rPr>
                <w:bCs/>
                <w:sz w:val="20"/>
                <w:szCs w:val="20"/>
              </w:rPr>
              <w:t>0,00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7D79883E" w14:textId="77777777" w:rsidR="00387142" w:rsidRPr="008B6A75" w:rsidRDefault="00387142" w:rsidP="00387142">
            <w:pPr>
              <w:jc w:val="right"/>
              <w:rPr>
                <w:bCs/>
                <w:sz w:val="20"/>
                <w:szCs w:val="20"/>
              </w:rPr>
            </w:pPr>
            <w:r w:rsidRPr="008B6A75">
              <w:rPr>
                <w:bCs/>
                <w:sz w:val="20"/>
                <w:szCs w:val="20"/>
              </w:rPr>
              <w:t>0,00</w:t>
            </w:r>
          </w:p>
        </w:tc>
        <w:tc>
          <w:tcPr>
            <w:tcW w:w="222" w:type="dxa"/>
            <w:vAlign w:val="center"/>
            <w:hideMark/>
          </w:tcPr>
          <w:p w14:paraId="3A6CB13A" w14:textId="77777777" w:rsidR="00387142" w:rsidRPr="008B6A75" w:rsidRDefault="00387142" w:rsidP="00387142">
            <w:pPr>
              <w:rPr>
                <w:sz w:val="20"/>
                <w:szCs w:val="20"/>
              </w:rPr>
            </w:pPr>
          </w:p>
        </w:tc>
      </w:tr>
      <w:tr w:rsidR="00387142" w:rsidRPr="008B6A75" w14:paraId="339F6C6C" w14:textId="77777777" w:rsidTr="00387142">
        <w:trPr>
          <w:trHeight w:val="870"/>
        </w:trPr>
        <w:tc>
          <w:tcPr>
            <w:tcW w:w="3021" w:type="dxa"/>
            <w:tcBorders>
              <w:top w:val="single" w:sz="4" w:space="0" w:color="auto"/>
              <w:left w:val="single" w:sz="4" w:space="0" w:color="auto"/>
              <w:bottom w:val="nil"/>
              <w:right w:val="nil"/>
            </w:tcBorders>
            <w:shd w:val="clear" w:color="auto" w:fill="auto"/>
            <w:vAlign w:val="center"/>
            <w:hideMark/>
          </w:tcPr>
          <w:p w14:paraId="5268CCF8" w14:textId="77777777" w:rsidR="00387142" w:rsidRPr="008B6A75" w:rsidRDefault="00387142" w:rsidP="00387142">
            <w:pPr>
              <w:rPr>
                <w:sz w:val="20"/>
                <w:szCs w:val="20"/>
              </w:rPr>
            </w:pPr>
            <w:r w:rsidRPr="008B6A75">
              <w:rPr>
                <w:sz w:val="20"/>
                <w:szCs w:val="20"/>
              </w:rPr>
              <w:t>Предоставление субсидий бюджетным, автономным учреждениям и иным некоммерческим организациям</w:t>
            </w:r>
          </w:p>
        </w:tc>
        <w:tc>
          <w:tcPr>
            <w:tcW w:w="850" w:type="dxa"/>
            <w:tcBorders>
              <w:top w:val="single" w:sz="4" w:space="0" w:color="auto"/>
              <w:left w:val="single" w:sz="4" w:space="0" w:color="auto"/>
              <w:bottom w:val="nil"/>
              <w:right w:val="nil"/>
            </w:tcBorders>
            <w:shd w:val="clear" w:color="auto" w:fill="auto"/>
            <w:noWrap/>
            <w:vAlign w:val="center"/>
            <w:hideMark/>
          </w:tcPr>
          <w:p w14:paraId="198C2F39" w14:textId="77777777" w:rsidR="00387142" w:rsidRPr="008B6A75" w:rsidRDefault="00387142" w:rsidP="00387142">
            <w:pPr>
              <w:jc w:val="center"/>
              <w:rPr>
                <w:sz w:val="20"/>
                <w:szCs w:val="20"/>
              </w:rPr>
            </w:pPr>
            <w:r w:rsidRPr="008B6A75">
              <w:rPr>
                <w:sz w:val="20"/>
                <w:szCs w:val="20"/>
              </w:rPr>
              <w:t>444</w:t>
            </w:r>
          </w:p>
        </w:tc>
        <w:tc>
          <w:tcPr>
            <w:tcW w:w="709" w:type="dxa"/>
            <w:tcBorders>
              <w:top w:val="single" w:sz="4" w:space="0" w:color="auto"/>
              <w:left w:val="single" w:sz="4" w:space="0" w:color="auto"/>
              <w:bottom w:val="nil"/>
              <w:right w:val="nil"/>
            </w:tcBorders>
            <w:shd w:val="clear" w:color="auto" w:fill="auto"/>
            <w:noWrap/>
            <w:vAlign w:val="center"/>
            <w:hideMark/>
          </w:tcPr>
          <w:p w14:paraId="31FC4B1D" w14:textId="77777777" w:rsidR="00387142" w:rsidRPr="008B6A75" w:rsidRDefault="00387142" w:rsidP="00387142">
            <w:pPr>
              <w:jc w:val="center"/>
              <w:rPr>
                <w:sz w:val="20"/>
                <w:szCs w:val="20"/>
              </w:rPr>
            </w:pPr>
            <w:r w:rsidRPr="008B6A75">
              <w:rPr>
                <w:sz w:val="20"/>
                <w:szCs w:val="20"/>
              </w:rPr>
              <w:t>07</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36DA7439" w14:textId="77777777" w:rsidR="00387142" w:rsidRPr="008B6A75" w:rsidRDefault="00387142" w:rsidP="00387142">
            <w:pPr>
              <w:jc w:val="center"/>
              <w:rPr>
                <w:sz w:val="20"/>
                <w:szCs w:val="20"/>
              </w:rPr>
            </w:pPr>
            <w:r w:rsidRPr="008B6A75">
              <w:rPr>
                <w:sz w:val="20"/>
                <w:szCs w:val="20"/>
              </w:rPr>
              <w:t>03</w:t>
            </w:r>
          </w:p>
        </w:tc>
        <w:tc>
          <w:tcPr>
            <w:tcW w:w="1411" w:type="dxa"/>
            <w:tcBorders>
              <w:top w:val="single" w:sz="4" w:space="0" w:color="auto"/>
              <w:left w:val="single" w:sz="4" w:space="0" w:color="auto"/>
              <w:bottom w:val="nil"/>
              <w:right w:val="nil"/>
            </w:tcBorders>
            <w:shd w:val="clear" w:color="auto" w:fill="auto"/>
            <w:noWrap/>
            <w:vAlign w:val="center"/>
            <w:hideMark/>
          </w:tcPr>
          <w:p w14:paraId="75A97CA1" w14:textId="77777777" w:rsidR="00387142" w:rsidRPr="008B6A75" w:rsidRDefault="00387142" w:rsidP="00387142">
            <w:pPr>
              <w:jc w:val="center"/>
              <w:rPr>
                <w:sz w:val="20"/>
                <w:szCs w:val="20"/>
              </w:rPr>
            </w:pPr>
            <w:r w:rsidRPr="008B6A75">
              <w:rPr>
                <w:sz w:val="20"/>
                <w:szCs w:val="20"/>
              </w:rPr>
              <w:t>07.1.00.79500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021F2919" w14:textId="77777777" w:rsidR="00387142" w:rsidRPr="008B6A75" w:rsidRDefault="00387142" w:rsidP="00387142">
            <w:pPr>
              <w:jc w:val="center"/>
              <w:rPr>
                <w:sz w:val="20"/>
                <w:szCs w:val="20"/>
              </w:rPr>
            </w:pPr>
            <w:r w:rsidRPr="008B6A75">
              <w:rPr>
                <w:sz w:val="20"/>
                <w:szCs w:val="20"/>
              </w:rPr>
              <w:t>600</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00785A42" w14:textId="77777777" w:rsidR="00387142" w:rsidRPr="008B6A75" w:rsidRDefault="00387142" w:rsidP="00387142">
            <w:pPr>
              <w:jc w:val="right"/>
              <w:rPr>
                <w:sz w:val="20"/>
                <w:szCs w:val="20"/>
              </w:rPr>
            </w:pPr>
            <w:r w:rsidRPr="008B6A75">
              <w:rPr>
                <w:sz w:val="20"/>
                <w:szCs w:val="20"/>
              </w:rPr>
              <w:t>885 280,00</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242B55F8" w14:textId="77777777" w:rsidR="00387142" w:rsidRPr="008B6A75" w:rsidRDefault="00387142" w:rsidP="00387142">
            <w:pPr>
              <w:jc w:val="right"/>
              <w:rPr>
                <w:sz w:val="20"/>
                <w:szCs w:val="20"/>
              </w:rPr>
            </w:pPr>
            <w:r w:rsidRPr="008B6A75">
              <w:rPr>
                <w:sz w:val="20"/>
                <w:szCs w:val="20"/>
              </w:rPr>
              <w:t>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2D8DDA37" w14:textId="77777777" w:rsidR="00387142" w:rsidRPr="008B6A75" w:rsidRDefault="00387142" w:rsidP="00387142">
            <w:pPr>
              <w:jc w:val="right"/>
              <w:rPr>
                <w:sz w:val="20"/>
                <w:szCs w:val="20"/>
              </w:rPr>
            </w:pPr>
            <w:r w:rsidRPr="008B6A75">
              <w:rPr>
                <w:sz w:val="20"/>
                <w:szCs w:val="20"/>
              </w:rPr>
              <w:t>0,00</w:t>
            </w:r>
          </w:p>
        </w:tc>
        <w:tc>
          <w:tcPr>
            <w:tcW w:w="222" w:type="dxa"/>
            <w:vAlign w:val="center"/>
            <w:hideMark/>
          </w:tcPr>
          <w:p w14:paraId="35F92F7C" w14:textId="77777777" w:rsidR="00387142" w:rsidRPr="008B6A75" w:rsidRDefault="00387142" w:rsidP="00387142">
            <w:pPr>
              <w:rPr>
                <w:sz w:val="20"/>
                <w:szCs w:val="20"/>
              </w:rPr>
            </w:pPr>
          </w:p>
        </w:tc>
      </w:tr>
      <w:tr w:rsidR="00387142" w:rsidRPr="008B6A75" w14:paraId="769B8D6B" w14:textId="77777777" w:rsidTr="00387142">
        <w:trPr>
          <w:trHeight w:val="300"/>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060F283B" w14:textId="77777777" w:rsidR="00387142" w:rsidRPr="008B6A75" w:rsidRDefault="00387142" w:rsidP="00387142">
            <w:pPr>
              <w:rPr>
                <w:sz w:val="20"/>
                <w:szCs w:val="20"/>
              </w:rPr>
            </w:pPr>
            <w:r w:rsidRPr="008B6A75">
              <w:rPr>
                <w:sz w:val="20"/>
                <w:szCs w:val="20"/>
              </w:rPr>
              <w:t>Субсидии бюджетным учреждениям</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0E870D5E" w14:textId="77777777" w:rsidR="00387142" w:rsidRPr="008B6A75" w:rsidRDefault="00387142" w:rsidP="00387142">
            <w:pPr>
              <w:jc w:val="center"/>
              <w:rPr>
                <w:sz w:val="20"/>
                <w:szCs w:val="20"/>
              </w:rPr>
            </w:pPr>
            <w:r w:rsidRPr="008B6A75">
              <w:rPr>
                <w:sz w:val="20"/>
                <w:szCs w:val="20"/>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6E188FE2" w14:textId="77777777" w:rsidR="00387142" w:rsidRPr="008B6A75" w:rsidRDefault="00387142" w:rsidP="00387142">
            <w:pPr>
              <w:jc w:val="center"/>
              <w:rPr>
                <w:sz w:val="20"/>
                <w:szCs w:val="20"/>
              </w:rPr>
            </w:pPr>
            <w:r w:rsidRPr="008B6A75">
              <w:rPr>
                <w:sz w:val="20"/>
                <w:szCs w:val="20"/>
              </w:rPr>
              <w:t>07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54CEE8" w14:textId="77777777" w:rsidR="00387142" w:rsidRPr="008B6A75" w:rsidRDefault="00387142" w:rsidP="00387142">
            <w:pPr>
              <w:jc w:val="center"/>
              <w:rPr>
                <w:sz w:val="20"/>
                <w:szCs w:val="20"/>
              </w:rPr>
            </w:pPr>
            <w:r w:rsidRPr="008B6A75">
              <w:rPr>
                <w:sz w:val="20"/>
                <w:szCs w:val="20"/>
              </w:rPr>
              <w:t>03</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33927339" w14:textId="77777777" w:rsidR="00387142" w:rsidRPr="008B6A75" w:rsidRDefault="00387142" w:rsidP="00387142">
            <w:pPr>
              <w:jc w:val="center"/>
              <w:rPr>
                <w:sz w:val="20"/>
                <w:szCs w:val="20"/>
              </w:rPr>
            </w:pPr>
            <w:r w:rsidRPr="008B6A75">
              <w:rPr>
                <w:sz w:val="20"/>
                <w:szCs w:val="20"/>
              </w:rPr>
              <w:t>07.1.00.79500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5B1C7D" w14:textId="77777777" w:rsidR="00387142" w:rsidRPr="008B6A75" w:rsidRDefault="00387142" w:rsidP="00387142">
            <w:pPr>
              <w:jc w:val="center"/>
              <w:rPr>
                <w:sz w:val="20"/>
                <w:szCs w:val="20"/>
              </w:rPr>
            </w:pPr>
            <w:r w:rsidRPr="008B6A75">
              <w:rPr>
                <w:sz w:val="20"/>
                <w:szCs w:val="20"/>
              </w:rPr>
              <w:t>610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60A588" w14:textId="77777777" w:rsidR="00387142" w:rsidRPr="008B6A75" w:rsidRDefault="00387142" w:rsidP="00387142">
            <w:pPr>
              <w:jc w:val="right"/>
              <w:rPr>
                <w:sz w:val="20"/>
                <w:szCs w:val="20"/>
              </w:rPr>
            </w:pPr>
            <w:r w:rsidRPr="008B6A75">
              <w:rPr>
                <w:sz w:val="20"/>
                <w:szCs w:val="20"/>
              </w:rPr>
              <w:t>885 280,00</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44BAF5C6" w14:textId="77777777" w:rsidR="00387142" w:rsidRPr="008B6A75" w:rsidRDefault="00387142" w:rsidP="00387142">
            <w:pPr>
              <w:jc w:val="right"/>
              <w:rPr>
                <w:sz w:val="20"/>
                <w:szCs w:val="20"/>
              </w:rPr>
            </w:pPr>
            <w:r w:rsidRPr="008B6A75">
              <w:rPr>
                <w:sz w:val="20"/>
                <w:szCs w:val="20"/>
              </w:rPr>
              <w:t>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737C94" w14:textId="77777777" w:rsidR="00387142" w:rsidRPr="008B6A75" w:rsidRDefault="00387142" w:rsidP="00387142">
            <w:pPr>
              <w:jc w:val="right"/>
              <w:rPr>
                <w:sz w:val="20"/>
                <w:szCs w:val="20"/>
              </w:rPr>
            </w:pPr>
            <w:r w:rsidRPr="008B6A75">
              <w:rPr>
                <w:sz w:val="20"/>
                <w:szCs w:val="20"/>
              </w:rPr>
              <w:t>0,00</w:t>
            </w:r>
          </w:p>
        </w:tc>
        <w:tc>
          <w:tcPr>
            <w:tcW w:w="222" w:type="dxa"/>
            <w:vAlign w:val="center"/>
            <w:hideMark/>
          </w:tcPr>
          <w:p w14:paraId="107F16D4" w14:textId="77777777" w:rsidR="00387142" w:rsidRPr="008B6A75" w:rsidRDefault="00387142" w:rsidP="00387142">
            <w:pPr>
              <w:rPr>
                <w:sz w:val="20"/>
                <w:szCs w:val="20"/>
              </w:rPr>
            </w:pPr>
          </w:p>
        </w:tc>
      </w:tr>
      <w:tr w:rsidR="00387142" w:rsidRPr="008B6A75" w14:paraId="0ECA20A6" w14:textId="77777777" w:rsidTr="00387142">
        <w:trPr>
          <w:trHeight w:val="2010"/>
        </w:trPr>
        <w:tc>
          <w:tcPr>
            <w:tcW w:w="3021" w:type="dxa"/>
            <w:tcBorders>
              <w:top w:val="nil"/>
              <w:left w:val="single" w:sz="4" w:space="0" w:color="auto"/>
              <w:bottom w:val="nil"/>
              <w:right w:val="nil"/>
            </w:tcBorders>
            <w:shd w:val="clear" w:color="auto" w:fill="auto"/>
            <w:vAlign w:val="center"/>
            <w:hideMark/>
          </w:tcPr>
          <w:p w14:paraId="488D29DF" w14:textId="77777777" w:rsidR="00387142" w:rsidRPr="008B6A75" w:rsidRDefault="00387142" w:rsidP="00387142">
            <w:pPr>
              <w:rPr>
                <w:bCs/>
                <w:sz w:val="20"/>
                <w:szCs w:val="20"/>
              </w:rPr>
            </w:pPr>
            <w:r w:rsidRPr="008B6A75">
              <w:rPr>
                <w:bCs/>
                <w:sz w:val="20"/>
                <w:szCs w:val="20"/>
              </w:rPr>
              <w:t>Создание центров цифрового образования детей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(оснащение центров IT-куб)</w:t>
            </w:r>
          </w:p>
        </w:tc>
        <w:tc>
          <w:tcPr>
            <w:tcW w:w="850" w:type="dxa"/>
            <w:tcBorders>
              <w:top w:val="nil"/>
              <w:left w:val="single" w:sz="4" w:space="0" w:color="auto"/>
              <w:bottom w:val="nil"/>
              <w:right w:val="nil"/>
            </w:tcBorders>
            <w:shd w:val="clear" w:color="auto" w:fill="auto"/>
            <w:noWrap/>
            <w:vAlign w:val="center"/>
            <w:hideMark/>
          </w:tcPr>
          <w:p w14:paraId="6A8C2E58" w14:textId="77777777" w:rsidR="00387142" w:rsidRPr="008B6A75" w:rsidRDefault="00387142" w:rsidP="00387142">
            <w:pPr>
              <w:jc w:val="center"/>
              <w:rPr>
                <w:bCs/>
                <w:sz w:val="20"/>
                <w:szCs w:val="20"/>
              </w:rPr>
            </w:pPr>
            <w:r w:rsidRPr="008B6A75">
              <w:rPr>
                <w:bCs/>
                <w:sz w:val="20"/>
                <w:szCs w:val="20"/>
              </w:rPr>
              <w:t>444</w:t>
            </w:r>
          </w:p>
        </w:tc>
        <w:tc>
          <w:tcPr>
            <w:tcW w:w="709" w:type="dxa"/>
            <w:tcBorders>
              <w:top w:val="nil"/>
              <w:left w:val="single" w:sz="4" w:space="0" w:color="auto"/>
              <w:bottom w:val="nil"/>
              <w:right w:val="nil"/>
            </w:tcBorders>
            <w:shd w:val="clear" w:color="auto" w:fill="auto"/>
            <w:noWrap/>
            <w:vAlign w:val="center"/>
            <w:hideMark/>
          </w:tcPr>
          <w:p w14:paraId="1EDADA1C" w14:textId="77777777" w:rsidR="00387142" w:rsidRPr="008B6A75" w:rsidRDefault="00387142" w:rsidP="00387142">
            <w:pPr>
              <w:jc w:val="center"/>
              <w:rPr>
                <w:bCs/>
                <w:sz w:val="20"/>
                <w:szCs w:val="20"/>
              </w:rPr>
            </w:pPr>
            <w:r w:rsidRPr="008B6A75">
              <w:rPr>
                <w:bCs/>
                <w:sz w:val="20"/>
                <w:szCs w:val="20"/>
              </w:rPr>
              <w:t>07</w:t>
            </w:r>
          </w:p>
        </w:tc>
        <w:tc>
          <w:tcPr>
            <w:tcW w:w="709" w:type="dxa"/>
            <w:tcBorders>
              <w:top w:val="nil"/>
              <w:left w:val="single" w:sz="4" w:space="0" w:color="auto"/>
              <w:bottom w:val="nil"/>
              <w:right w:val="single" w:sz="4" w:space="0" w:color="auto"/>
            </w:tcBorders>
            <w:shd w:val="clear" w:color="auto" w:fill="auto"/>
            <w:noWrap/>
            <w:vAlign w:val="center"/>
            <w:hideMark/>
          </w:tcPr>
          <w:p w14:paraId="4CEE2C7A" w14:textId="77777777" w:rsidR="00387142" w:rsidRPr="008B6A75" w:rsidRDefault="00387142" w:rsidP="00387142">
            <w:pPr>
              <w:jc w:val="center"/>
              <w:rPr>
                <w:bCs/>
                <w:sz w:val="20"/>
                <w:szCs w:val="20"/>
              </w:rPr>
            </w:pPr>
            <w:r w:rsidRPr="008B6A75">
              <w:rPr>
                <w:bCs/>
                <w:sz w:val="20"/>
                <w:szCs w:val="20"/>
              </w:rPr>
              <w:t>03</w:t>
            </w:r>
          </w:p>
        </w:tc>
        <w:tc>
          <w:tcPr>
            <w:tcW w:w="1411" w:type="dxa"/>
            <w:tcBorders>
              <w:top w:val="nil"/>
              <w:left w:val="single" w:sz="4" w:space="0" w:color="auto"/>
              <w:bottom w:val="nil"/>
              <w:right w:val="nil"/>
            </w:tcBorders>
            <w:shd w:val="clear" w:color="auto" w:fill="auto"/>
            <w:noWrap/>
            <w:vAlign w:val="center"/>
            <w:hideMark/>
          </w:tcPr>
          <w:p w14:paraId="682D2906" w14:textId="77777777" w:rsidR="00387142" w:rsidRPr="008B6A75" w:rsidRDefault="00387142" w:rsidP="00387142">
            <w:pPr>
              <w:jc w:val="center"/>
              <w:rPr>
                <w:bCs/>
                <w:sz w:val="20"/>
                <w:szCs w:val="20"/>
              </w:rPr>
            </w:pPr>
            <w:r w:rsidRPr="008B6A75">
              <w:rPr>
                <w:bCs/>
                <w:sz w:val="20"/>
                <w:szCs w:val="20"/>
              </w:rPr>
              <w:t>07.1.E4.00000</w:t>
            </w:r>
          </w:p>
        </w:tc>
        <w:tc>
          <w:tcPr>
            <w:tcW w:w="955" w:type="dxa"/>
            <w:tcBorders>
              <w:top w:val="nil"/>
              <w:left w:val="single" w:sz="4" w:space="0" w:color="auto"/>
              <w:bottom w:val="nil"/>
              <w:right w:val="single" w:sz="4" w:space="0" w:color="auto"/>
            </w:tcBorders>
            <w:shd w:val="clear" w:color="auto" w:fill="auto"/>
            <w:noWrap/>
            <w:vAlign w:val="center"/>
            <w:hideMark/>
          </w:tcPr>
          <w:p w14:paraId="278BA9D1"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nil"/>
              <w:right w:val="single" w:sz="4" w:space="0" w:color="auto"/>
            </w:tcBorders>
            <w:shd w:val="clear" w:color="auto" w:fill="auto"/>
            <w:noWrap/>
            <w:vAlign w:val="center"/>
            <w:hideMark/>
          </w:tcPr>
          <w:p w14:paraId="33FE7A36" w14:textId="77777777" w:rsidR="00387142" w:rsidRPr="008B6A75" w:rsidRDefault="00387142" w:rsidP="00387142">
            <w:pPr>
              <w:jc w:val="right"/>
              <w:rPr>
                <w:bCs/>
                <w:sz w:val="20"/>
                <w:szCs w:val="20"/>
              </w:rPr>
            </w:pPr>
            <w:r w:rsidRPr="008B6A75">
              <w:rPr>
                <w:bCs/>
                <w:sz w:val="20"/>
                <w:szCs w:val="20"/>
              </w:rPr>
              <w:t>0,00</w:t>
            </w:r>
          </w:p>
        </w:tc>
        <w:tc>
          <w:tcPr>
            <w:tcW w:w="992" w:type="dxa"/>
            <w:gridSpan w:val="2"/>
            <w:tcBorders>
              <w:top w:val="nil"/>
              <w:left w:val="single" w:sz="4" w:space="0" w:color="auto"/>
              <w:bottom w:val="nil"/>
              <w:right w:val="nil"/>
            </w:tcBorders>
            <w:shd w:val="clear" w:color="auto" w:fill="auto"/>
            <w:noWrap/>
            <w:vAlign w:val="center"/>
            <w:hideMark/>
          </w:tcPr>
          <w:p w14:paraId="44A347CD" w14:textId="77777777" w:rsidR="00387142" w:rsidRPr="008B6A75" w:rsidRDefault="00387142" w:rsidP="00387142">
            <w:pPr>
              <w:jc w:val="right"/>
              <w:rPr>
                <w:bCs/>
                <w:sz w:val="20"/>
                <w:szCs w:val="20"/>
              </w:rPr>
            </w:pPr>
            <w:r w:rsidRPr="008B6A75">
              <w:rPr>
                <w:bCs/>
                <w:sz w:val="20"/>
                <w:szCs w:val="20"/>
              </w:rPr>
              <w:t>0,00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470669AD" w14:textId="77777777" w:rsidR="00387142" w:rsidRPr="008B6A75" w:rsidRDefault="00387142" w:rsidP="00387142">
            <w:pPr>
              <w:jc w:val="right"/>
              <w:rPr>
                <w:bCs/>
                <w:sz w:val="20"/>
                <w:szCs w:val="20"/>
              </w:rPr>
            </w:pPr>
            <w:r w:rsidRPr="008B6A75">
              <w:rPr>
                <w:bCs/>
                <w:sz w:val="20"/>
                <w:szCs w:val="20"/>
              </w:rPr>
              <w:t>39 312 400,00</w:t>
            </w:r>
          </w:p>
        </w:tc>
        <w:tc>
          <w:tcPr>
            <w:tcW w:w="222" w:type="dxa"/>
            <w:vAlign w:val="center"/>
            <w:hideMark/>
          </w:tcPr>
          <w:p w14:paraId="5C10E265" w14:textId="77777777" w:rsidR="00387142" w:rsidRPr="008B6A75" w:rsidRDefault="00387142" w:rsidP="00387142">
            <w:pPr>
              <w:rPr>
                <w:sz w:val="20"/>
                <w:szCs w:val="20"/>
              </w:rPr>
            </w:pPr>
          </w:p>
        </w:tc>
      </w:tr>
      <w:tr w:rsidR="00387142" w:rsidRPr="008B6A75" w14:paraId="545B4ED6" w14:textId="77777777" w:rsidTr="00387142">
        <w:trPr>
          <w:trHeight w:val="2010"/>
        </w:trPr>
        <w:tc>
          <w:tcPr>
            <w:tcW w:w="3021" w:type="dxa"/>
            <w:tcBorders>
              <w:top w:val="single" w:sz="4" w:space="0" w:color="auto"/>
              <w:left w:val="single" w:sz="4" w:space="0" w:color="auto"/>
              <w:bottom w:val="nil"/>
              <w:right w:val="nil"/>
            </w:tcBorders>
            <w:shd w:val="clear" w:color="auto" w:fill="auto"/>
            <w:vAlign w:val="center"/>
            <w:hideMark/>
          </w:tcPr>
          <w:p w14:paraId="7B533F9E" w14:textId="77777777" w:rsidR="00387142" w:rsidRPr="008B6A75" w:rsidRDefault="00387142" w:rsidP="00387142">
            <w:pPr>
              <w:rPr>
                <w:bCs/>
                <w:sz w:val="20"/>
                <w:szCs w:val="20"/>
              </w:rPr>
            </w:pPr>
            <w:r w:rsidRPr="008B6A75">
              <w:rPr>
                <w:bCs/>
                <w:sz w:val="20"/>
                <w:szCs w:val="20"/>
              </w:rPr>
              <w:t>Создание центров цифрового образования детей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(оснащение центров IT-куб)</w:t>
            </w:r>
          </w:p>
        </w:tc>
        <w:tc>
          <w:tcPr>
            <w:tcW w:w="850" w:type="dxa"/>
            <w:tcBorders>
              <w:top w:val="single" w:sz="4" w:space="0" w:color="auto"/>
              <w:left w:val="single" w:sz="4" w:space="0" w:color="auto"/>
              <w:bottom w:val="nil"/>
              <w:right w:val="nil"/>
            </w:tcBorders>
            <w:shd w:val="clear" w:color="auto" w:fill="auto"/>
            <w:noWrap/>
            <w:vAlign w:val="center"/>
            <w:hideMark/>
          </w:tcPr>
          <w:p w14:paraId="43BC7CE5" w14:textId="77777777" w:rsidR="00387142" w:rsidRPr="008B6A75" w:rsidRDefault="00387142" w:rsidP="00387142">
            <w:pPr>
              <w:jc w:val="center"/>
              <w:rPr>
                <w:bCs/>
                <w:sz w:val="20"/>
                <w:szCs w:val="20"/>
              </w:rPr>
            </w:pPr>
            <w:r w:rsidRPr="008B6A75">
              <w:rPr>
                <w:bCs/>
                <w:sz w:val="20"/>
                <w:szCs w:val="20"/>
              </w:rPr>
              <w:t>444</w:t>
            </w:r>
          </w:p>
        </w:tc>
        <w:tc>
          <w:tcPr>
            <w:tcW w:w="709" w:type="dxa"/>
            <w:tcBorders>
              <w:top w:val="single" w:sz="4" w:space="0" w:color="auto"/>
              <w:left w:val="single" w:sz="4" w:space="0" w:color="auto"/>
              <w:bottom w:val="nil"/>
              <w:right w:val="nil"/>
            </w:tcBorders>
            <w:shd w:val="clear" w:color="auto" w:fill="auto"/>
            <w:noWrap/>
            <w:vAlign w:val="center"/>
            <w:hideMark/>
          </w:tcPr>
          <w:p w14:paraId="311037A2" w14:textId="77777777" w:rsidR="00387142" w:rsidRPr="008B6A75" w:rsidRDefault="00387142" w:rsidP="00387142">
            <w:pPr>
              <w:jc w:val="center"/>
              <w:rPr>
                <w:bCs/>
                <w:sz w:val="20"/>
                <w:szCs w:val="20"/>
              </w:rPr>
            </w:pPr>
            <w:r w:rsidRPr="008B6A75">
              <w:rPr>
                <w:bCs/>
                <w:sz w:val="20"/>
                <w:szCs w:val="20"/>
              </w:rPr>
              <w:t>07</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5632FE8B" w14:textId="77777777" w:rsidR="00387142" w:rsidRPr="008B6A75" w:rsidRDefault="00387142" w:rsidP="00387142">
            <w:pPr>
              <w:jc w:val="center"/>
              <w:rPr>
                <w:bCs/>
                <w:sz w:val="20"/>
                <w:szCs w:val="20"/>
              </w:rPr>
            </w:pPr>
            <w:r w:rsidRPr="008B6A75">
              <w:rPr>
                <w:bCs/>
                <w:sz w:val="20"/>
                <w:szCs w:val="20"/>
              </w:rPr>
              <w:t>03</w:t>
            </w:r>
          </w:p>
        </w:tc>
        <w:tc>
          <w:tcPr>
            <w:tcW w:w="1411" w:type="dxa"/>
            <w:tcBorders>
              <w:top w:val="single" w:sz="4" w:space="0" w:color="auto"/>
              <w:left w:val="single" w:sz="4" w:space="0" w:color="auto"/>
              <w:bottom w:val="nil"/>
              <w:right w:val="nil"/>
            </w:tcBorders>
            <w:shd w:val="clear" w:color="auto" w:fill="auto"/>
            <w:noWrap/>
            <w:vAlign w:val="center"/>
            <w:hideMark/>
          </w:tcPr>
          <w:p w14:paraId="7D5BF947" w14:textId="77777777" w:rsidR="00387142" w:rsidRPr="008B6A75" w:rsidRDefault="00387142" w:rsidP="00387142">
            <w:pPr>
              <w:jc w:val="center"/>
              <w:rPr>
                <w:bCs/>
                <w:sz w:val="20"/>
                <w:szCs w:val="20"/>
              </w:rPr>
            </w:pPr>
            <w:r w:rsidRPr="008B6A75">
              <w:rPr>
                <w:bCs/>
                <w:sz w:val="20"/>
                <w:szCs w:val="20"/>
              </w:rPr>
              <w:t>07.1.E4.52191</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4C771061" w14:textId="77777777" w:rsidR="00387142" w:rsidRPr="008B6A75" w:rsidRDefault="00387142" w:rsidP="00387142">
            <w:pPr>
              <w:jc w:val="center"/>
              <w:rPr>
                <w:bCs/>
                <w:sz w:val="20"/>
                <w:szCs w:val="20"/>
              </w:rPr>
            </w:pPr>
            <w:r w:rsidRPr="008B6A75">
              <w:rPr>
                <w:bCs/>
                <w:sz w:val="20"/>
                <w:szCs w:val="20"/>
              </w:rPr>
              <w:t> </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0EBC2F2F" w14:textId="77777777" w:rsidR="00387142" w:rsidRPr="008B6A75" w:rsidRDefault="00387142" w:rsidP="00387142">
            <w:pPr>
              <w:jc w:val="right"/>
              <w:rPr>
                <w:bCs/>
                <w:sz w:val="20"/>
                <w:szCs w:val="20"/>
              </w:rPr>
            </w:pPr>
            <w:r w:rsidRPr="008B6A75">
              <w:rPr>
                <w:bCs/>
                <w:sz w:val="20"/>
                <w:szCs w:val="20"/>
              </w:rPr>
              <w:t>0,00</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646ADEA9" w14:textId="77777777" w:rsidR="00387142" w:rsidRPr="008B6A75" w:rsidRDefault="00387142" w:rsidP="00387142">
            <w:pPr>
              <w:jc w:val="right"/>
              <w:rPr>
                <w:bCs/>
                <w:sz w:val="20"/>
                <w:szCs w:val="20"/>
              </w:rPr>
            </w:pPr>
            <w:r w:rsidRPr="008B6A75">
              <w:rPr>
                <w:bCs/>
                <w:sz w:val="20"/>
                <w:szCs w:val="20"/>
              </w:rPr>
              <w:t>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72ECE942" w14:textId="77777777" w:rsidR="00387142" w:rsidRPr="008B6A75" w:rsidRDefault="00387142" w:rsidP="00387142">
            <w:pPr>
              <w:jc w:val="right"/>
              <w:rPr>
                <w:bCs/>
                <w:sz w:val="20"/>
                <w:szCs w:val="20"/>
              </w:rPr>
            </w:pPr>
            <w:r w:rsidRPr="008B6A75">
              <w:rPr>
                <w:bCs/>
                <w:sz w:val="20"/>
                <w:szCs w:val="20"/>
              </w:rPr>
              <w:t>21 412 900,00</w:t>
            </w:r>
          </w:p>
        </w:tc>
        <w:tc>
          <w:tcPr>
            <w:tcW w:w="222" w:type="dxa"/>
            <w:vAlign w:val="center"/>
            <w:hideMark/>
          </w:tcPr>
          <w:p w14:paraId="05BD9073" w14:textId="77777777" w:rsidR="00387142" w:rsidRPr="008B6A75" w:rsidRDefault="00387142" w:rsidP="00387142">
            <w:pPr>
              <w:rPr>
                <w:sz w:val="20"/>
                <w:szCs w:val="20"/>
              </w:rPr>
            </w:pPr>
          </w:p>
        </w:tc>
      </w:tr>
      <w:tr w:rsidR="00387142" w:rsidRPr="008B6A75" w14:paraId="05E736A2" w14:textId="77777777" w:rsidTr="00387142">
        <w:trPr>
          <w:trHeight w:val="870"/>
        </w:trPr>
        <w:tc>
          <w:tcPr>
            <w:tcW w:w="3021" w:type="dxa"/>
            <w:tcBorders>
              <w:top w:val="single" w:sz="4" w:space="0" w:color="auto"/>
              <w:left w:val="single" w:sz="4" w:space="0" w:color="auto"/>
              <w:bottom w:val="nil"/>
              <w:right w:val="nil"/>
            </w:tcBorders>
            <w:shd w:val="clear" w:color="auto" w:fill="auto"/>
            <w:vAlign w:val="center"/>
            <w:hideMark/>
          </w:tcPr>
          <w:p w14:paraId="4DEC5763" w14:textId="77777777" w:rsidR="00387142" w:rsidRPr="008B6A75" w:rsidRDefault="00387142" w:rsidP="00387142">
            <w:pPr>
              <w:rPr>
                <w:sz w:val="20"/>
                <w:szCs w:val="20"/>
              </w:rPr>
            </w:pPr>
            <w:r w:rsidRPr="008B6A75">
              <w:rPr>
                <w:sz w:val="20"/>
                <w:szCs w:val="20"/>
              </w:rPr>
              <w:t>Предоставление субсидий бюджетным, автономным учреждениям и иным некоммерческим организациям</w:t>
            </w:r>
          </w:p>
        </w:tc>
        <w:tc>
          <w:tcPr>
            <w:tcW w:w="850" w:type="dxa"/>
            <w:tcBorders>
              <w:top w:val="single" w:sz="4" w:space="0" w:color="auto"/>
              <w:left w:val="single" w:sz="4" w:space="0" w:color="auto"/>
              <w:bottom w:val="nil"/>
              <w:right w:val="nil"/>
            </w:tcBorders>
            <w:shd w:val="clear" w:color="auto" w:fill="auto"/>
            <w:noWrap/>
            <w:vAlign w:val="center"/>
            <w:hideMark/>
          </w:tcPr>
          <w:p w14:paraId="7EE13D2A" w14:textId="77777777" w:rsidR="00387142" w:rsidRPr="008B6A75" w:rsidRDefault="00387142" w:rsidP="00387142">
            <w:pPr>
              <w:jc w:val="center"/>
              <w:rPr>
                <w:sz w:val="20"/>
                <w:szCs w:val="20"/>
              </w:rPr>
            </w:pPr>
            <w:r w:rsidRPr="008B6A75">
              <w:rPr>
                <w:sz w:val="20"/>
                <w:szCs w:val="20"/>
              </w:rPr>
              <w:t>444</w:t>
            </w:r>
          </w:p>
        </w:tc>
        <w:tc>
          <w:tcPr>
            <w:tcW w:w="709" w:type="dxa"/>
            <w:tcBorders>
              <w:top w:val="single" w:sz="4" w:space="0" w:color="auto"/>
              <w:left w:val="single" w:sz="4" w:space="0" w:color="auto"/>
              <w:bottom w:val="nil"/>
              <w:right w:val="nil"/>
            </w:tcBorders>
            <w:shd w:val="clear" w:color="auto" w:fill="auto"/>
            <w:noWrap/>
            <w:vAlign w:val="center"/>
            <w:hideMark/>
          </w:tcPr>
          <w:p w14:paraId="21F46A0C" w14:textId="77777777" w:rsidR="00387142" w:rsidRPr="008B6A75" w:rsidRDefault="00387142" w:rsidP="00387142">
            <w:pPr>
              <w:jc w:val="center"/>
              <w:rPr>
                <w:sz w:val="20"/>
                <w:szCs w:val="20"/>
              </w:rPr>
            </w:pPr>
            <w:r w:rsidRPr="008B6A75">
              <w:rPr>
                <w:sz w:val="20"/>
                <w:szCs w:val="20"/>
              </w:rPr>
              <w:t>07</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38951684" w14:textId="77777777" w:rsidR="00387142" w:rsidRPr="008B6A75" w:rsidRDefault="00387142" w:rsidP="00387142">
            <w:pPr>
              <w:jc w:val="center"/>
              <w:rPr>
                <w:sz w:val="20"/>
                <w:szCs w:val="20"/>
              </w:rPr>
            </w:pPr>
            <w:r w:rsidRPr="008B6A75">
              <w:rPr>
                <w:sz w:val="20"/>
                <w:szCs w:val="20"/>
              </w:rPr>
              <w:t>03</w:t>
            </w:r>
          </w:p>
        </w:tc>
        <w:tc>
          <w:tcPr>
            <w:tcW w:w="1411" w:type="dxa"/>
            <w:tcBorders>
              <w:top w:val="single" w:sz="4" w:space="0" w:color="auto"/>
              <w:left w:val="single" w:sz="4" w:space="0" w:color="auto"/>
              <w:bottom w:val="nil"/>
              <w:right w:val="nil"/>
            </w:tcBorders>
            <w:shd w:val="clear" w:color="auto" w:fill="auto"/>
            <w:noWrap/>
            <w:vAlign w:val="center"/>
            <w:hideMark/>
          </w:tcPr>
          <w:p w14:paraId="4A8D9CB8" w14:textId="77777777" w:rsidR="00387142" w:rsidRPr="008B6A75" w:rsidRDefault="00387142" w:rsidP="00387142">
            <w:pPr>
              <w:jc w:val="center"/>
              <w:rPr>
                <w:sz w:val="20"/>
                <w:szCs w:val="20"/>
              </w:rPr>
            </w:pPr>
            <w:r w:rsidRPr="008B6A75">
              <w:rPr>
                <w:sz w:val="20"/>
                <w:szCs w:val="20"/>
              </w:rPr>
              <w:t>07.1.E4.52191</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35C225B9" w14:textId="77777777" w:rsidR="00387142" w:rsidRPr="008B6A75" w:rsidRDefault="00387142" w:rsidP="00387142">
            <w:pPr>
              <w:jc w:val="center"/>
              <w:rPr>
                <w:sz w:val="20"/>
                <w:szCs w:val="20"/>
              </w:rPr>
            </w:pPr>
            <w:r w:rsidRPr="008B6A75">
              <w:rPr>
                <w:sz w:val="20"/>
                <w:szCs w:val="20"/>
              </w:rPr>
              <w:t>600</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742DECBE" w14:textId="77777777" w:rsidR="00387142" w:rsidRPr="008B6A75" w:rsidRDefault="00387142" w:rsidP="00387142">
            <w:pPr>
              <w:jc w:val="right"/>
              <w:rPr>
                <w:sz w:val="20"/>
                <w:szCs w:val="20"/>
              </w:rPr>
            </w:pPr>
            <w:r w:rsidRPr="008B6A75">
              <w:rPr>
                <w:sz w:val="20"/>
                <w:szCs w:val="20"/>
              </w:rPr>
              <w:t>0,00</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20E01A41" w14:textId="77777777" w:rsidR="00387142" w:rsidRPr="008B6A75" w:rsidRDefault="00387142" w:rsidP="00387142">
            <w:pPr>
              <w:jc w:val="right"/>
              <w:rPr>
                <w:sz w:val="20"/>
                <w:szCs w:val="20"/>
              </w:rPr>
            </w:pPr>
            <w:r w:rsidRPr="008B6A75">
              <w:rPr>
                <w:sz w:val="20"/>
                <w:szCs w:val="20"/>
              </w:rPr>
              <w:t>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505BF260" w14:textId="77777777" w:rsidR="00387142" w:rsidRPr="008B6A75" w:rsidRDefault="00387142" w:rsidP="00387142">
            <w:pPr>
              <w:jc w:val="right"/>
              <w:rPr>
                <w:sz w:val="20"/>
                <w:szCs w:val="20"/>
              </w:rPr>
            </w:pPr>
            <w:r w:rsidRPr="008B6A75">
              <w:rPr>
                <w:sz w:val="20"/>
                <w:szCs w:val="20"/>
              </w:rPr>
              <w:t>21 412 900,00</w:t>
            </w:r>
          </w:p>
        </w:tc>
        <w:tc>
          <w:tcPr>
            <w:tcW w:w="222" w:type="dxa"/>
            <w:vAlign w:val="center"/>
            <w:hideMark/>
          </w:tcPr>
          <w:p w14:paraId="726E20A4" w14:textId="77777777" w:rsidR="00387142" w:rsidRPr="008B6A75" w:rsidRDefault="00387142" w:rsidP="00387142">
            <w:pPr>
              <w:rPr>
                <w:sz w:val="20"/>
                <w:szCs w:val="20"/>
              </w:rPr>
            </w:pPr>
          </w:p>
        </w:tc>
      </w:tr>
      <w:tr w:rsidR="00387142" w:rsidRPr="008B6A75" w14:paraId="33F3E286" w14:textId="77777777" w:rsidTr="00387142">
        <w:trPr>
          <w:trHeight w:val="300"/>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12278C7E" w14:textId="77777777" w:rsidR="00387142" w:rsidRPr="008B6A75" w:rsidRDefault="00387142" w:rsidP="00387142">
            <w:pPr>
              <w:rPr>
                <w:sz w:val="20"/>
                <w:szCs w:val="20"/>
              </w:rPr>
            </w:pPr>
            <w:r w:rsidRPr="008B6A75">
              <w:rPr>
                <w:sz w:val="20"/>
                <w:szCs w:val="20"/>
              </w:rPr>
              <w:t>Субсидии бюджетным учреждениям</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124574A0" w14:textId="77777777" w:rsidR="00387142" w:rsidRPr="008B6A75" w:rsidRDefault="00387142" w:rsidP="00387142">
            <w:pPr>
              <w:jc w:val="center"/>
              <w:rPr>
                <w:sz w:val="20"/>
                <w:szCs w:val="20"/>
              </w:rPr>
            </w:pPr>
            <w:r w:rsidRPr="008B6A75">
              <w:rPr>
                <w:sz w:val="20"/>
                <w:szCs w:val="20"/>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0D97D01B" w14:textId="77777777" w:rsidR="00387142" w:rsidRPr="008B6A75" w:rsidRDefault="00387142" w:rsidP="00387142">
            <w:pPr>
              <w:jc w:val="center"/>
              <w:rPr>
                <w:sz w:val="20"/>
                <w:szCs w:val="20"/>
              </w:rPr>
            </w:pPr>
            <w:r w:rsidRPr="008B6A75">
              <w:rPr>
                <w:sz w:val="20"/>
                <w:szCs w:val="20"/>
              </w:rPr>
              <w:t>07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175535" w14:textId="77777777" w:rsidR="00387142" w:rsidRPr="008B6A75" w:rsidRDefault="00387142" w:rsidP="00387142">
            <w:pPr>
              <w:jc w:val="center"/>
              <w:rPr>
                <w:sz w:val="20"/>
                <w:szCs w:val="20"/>
              </w:rPr>
            </w:pPr>
            <w:r w:rsidRPr="008B6A75">
              <w:rPr>
                <w:sz w:val="20"/>
                <w:szCs w:val="20"/>
              </w:rPr>
              <w:t>03</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5E2C8AF9" w14:textId="77777777" w:rsidR="00387142" w:rsidRPr="008B6A75" w:rsidRDefault="00387142" w:rsidP="00387142">
            <w:pPr>
              <w:jc w:val="center"/>
              <w:rPr>
                <w:sz w:val="20"/>
                <w:szCs w:val="20"/>
              </w:rPr>
            </w:pPr>
            <w:r w:rsidRPr="008B6A75">
              <w:rPr>
                <w:sz w:val="20"/>
                <w:szCs w:val="20"/>
              </w:rPr>
              <w:t>07.1.E4.52191</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DC5F8D" w14:textId="77777777" w:rsidR="00387142" w:rsidRPr="008B6A75" w:rsidRDefault="00387142" w:rsidP="00387142">
            <w:pPr>
              <w:jc w:val="center"/>
              <w:rPr>
                <w:sz w:val="20"/>
                <w:szCs w:val="20"/>
              </w:rPr>
            </w:pPr>
            <w:r w:rsidRPr="008B6A75">
              <w:rPr>
                <w:sz w:val="20"/>
                <w:szCs w:val="20"/>
              </w:rPr>
              <w:t>610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4A900C" w14:textId="77777777" w:rsidR="00387142" w:rsidRPr="008B6A75" w:rsidRDefault="00387142" w:rsidP="00387142">
            <w:pPr>
              <w:jc w:val="right"/>
              <w:rPr>
                <w:sz w:val="20"/>
                <w:szCs w:val="20"/>
              </w:rPr>
            </w:pPr>
            <w:r w:rsidRPr="008B6A75">
              <w:rPr>
                <w:sz w:val="20"/>
                <w:szCs w:val="20"/>
              </w:rPr>
              <w:t>0,00</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5984DE85" w14:textId="77777777" w:rsidR="00387142" w:rsidRPr="008B6A75" w:rsidRDefault="00387142" w:rsidP="00387142">
            <w:pPr>
              <w:jc w:val="right"/>
              <w:rPr>
                <w:sz w:val="20"/>
                <w:szCs w:val="20"/>
              </w:rPr>
            </w:pPr>
            <w:r w:rsidRPr="008B6A75">
              <w:rPr>
                <w:sz w:val="20"/>
                <w:szCs w:val="20"/>
              </w:rPr>
              <w:t>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597D11" w14:textId="77777777" w:rsidR="00387142" w:rsidRPr="008B6A75" w:rsidRDefault="00387142" w:rsidP="00387142">
            <w:pPr>
              <w:jc w:val="right"/>
              <w:rPr>
                <w:sz w:val="20"/>
                <w:szCs w:val="20"/>
              </w:rPr>
            </w:pPr>
            <w:r w:rsidRPr="008B6A75">
              <w:rPr>
                <w:sz w:val="20"/>
                <w:szCs w:val="20"/>
              </w:rPr>
              <w:t>21 412 900,00</w:t>
            </w:r>
          </w:p>
        </w:tc>
        <w:tc>
          <w:tcPr>
            <w:tcW w:w="222" w:type="dxa"/>
            <w:vAlign w:val="center"/>
            <w:hideMark/>
          </w:tcPr>
          <w:p w14:paraId="591FCC77" w14:textId="77777777" w:rsidR="00387142" w:rsidRPr="008B6A75" w:rsidRDefault="00387142" w:rsidP="00387142">
            <w:pPr>
              <w:rPr>
                <w:sz w:val="20"/>
                <w:szCs w:val="20"/>
              </w:rPr>
            </w:pPr>
          </w:p>
        </w:tc>
      </w:tr>
      <w:tr w:rsidR="00387142" w:rsidRPr="008B6A75" w14:paraId="46830F42" w14:textId="77777777" w:rsidTr="00387142">
        <w:trPr>
          <w:trHeight w:val="2010"/>
        </w:trPr>
        <w:tc>
          <w:tcPr>
            <w:tcW w:w="3021" w:type="dxa"/>
            <w:tcBorders>
              <w:top w:val="nil"/>
              <w:left w:val="single" w:sz="4" w:space="0" w:color="auto"/>
              <w:bottom w:val="nil"/>
              <w:right w:val="nil"/>
            </w:tcBorders>
            <w:shd w:val="clear" w:color="auto" w:fill="auto"/>
            <w:vAlign w:val="center"/>
            <w:hideMark/>
          </w:tcPr>
          <w:p w14:paraId="2E45FABC" w14:textId="77777777" w:rsidR="00387142" w:rsidRPr="008B6A75" w:rsidRDefault="00387142" w:rsidP="00387142">
            <w:pPr>
              <w:rPr>
                <w:bCs/>
                <w:sz w:val="20"/>
                <w:szCs w:val="20"/>
              </w:rPr>
            </w:pPr>
            <w:r w:rsidRPr="008B6A75">
              <w:rPr>
                <w:bCs/>
                <w:sz w:val="20"/>
                <w:szCs w:val="20"/>
              </w:rPr>
              <w:lastRenderedPageBreak/>
              <w:t>Создание центров цифрового образования детей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w:t>
            </w:r>
            <w:proofErr w:type="spellStart"/>
            <w:r w:rsidRPr="008B6A75">
              <w:rPr>
                <w:bCs/>
                <w:sz w:val="20"/>
                <w:szCs w:val="20"/>
              </w:rPr>
              <w:t>брендирование</w:t>
            </w:r>
            <w:proofErr w:type="spellEnd"/>
            <w:r w:rsidRPr="008B6A75">
              <w:rPr>
                <w:bCs/>
                <w:sz w:val="20"/>
                <w:szCs w:val="20"/>
              </w:rPr>
              <w:t xml:space="preserve"> центров IT-куб)</w:t>
            </w:r>
          </w:p>
        </w:tc>
        <w:tc>
          <w:tcPr>
            <w:tcW w:w="850" w:type="dxa"/>
            <w:tcBorders>
              <w:top w:val="nil"/>
              <w:left w:val="single" w:sz="4" w:space="0" w:color="auto"/>
              <w:bottom w:val="nil"/>
              <w:right w:val="nil"/>
            </w:tcBorders>
            <w:shd w:val="clear" w:color="auto" w:fill="auto"/>
            <w:noWrap/>
            <w:vAlign w:val="center"/>
            <w:hideMark/>
          </w:tcPr>
          <w:p w14:paraId="4DB0BFC9" w14:textId="77777777" w:rsidR="00387142" w:rsidRPr="008B6A75" w:rsidRDefault="00387142" w:rsidP="00387142">
            <w:pPr>
              <w:jc w:val="center"/>
              <w:rPr>
                <w:bCs/>
                <w:sz w:val="20"/>
                <w:szCs w:val="20"/>
              </w:rPr>
            </w:pPr>
            <w:r w:rsidRPr="008B6A75">
              <w:rPr>
                <w:bCs/>
                <w:sz w:val="20"/>
                <w:szCs w:val="20"/>
              </w:rPr>
              <w:t>444</w:t>
            </w:r>
          </w:p>
        </w:tc>
        <w:tc>
          <w:tcPr>
            <w:tcW w:w="709" w:type="dxa"/>
            <w:tcBorders>
              <w:top w:val="nil"/>
              <w:left w:val="single" w:sz="4" w:space="0" w:color="auto"/>
              <w:bottom w:val="nil"/>
              <w:right w:val="nil"/>
            </w:tcBorders>
            <w:shd w:val="clear" w:color="auto" w:fill="auto"/>
            <w:noWrap/>
            <w:vAlign w:val="center"/>
            <w:hideMark/>
          </w:tcPr>
          <w:p w14:paraId="10BA526C" w14:textId="77777777" w:rsidR="00387142" w:rsidRPr="008B6A75" w:rsidRDefault="00387142" w:rsidP="00387142">
            <w:pPr>
              <w:jc w:val="center"/>
              <w:rPr>
                <w:bCs/>
                <w:sz w:val="20"/>
                <w:szCs w:val="20"/>
              </w:rPr>
            </w:pPr>
            <w:r w:rsidRPr="008B6A75">
              <w:rPr>
                <w:bCs/>
                <w:sz w:val="20"/>
                <w:szCs w:val="20"/>
              </w:rPr>
              <w:t>07</w:t>
            </w:r>
          </w:p>
        </w:tc>
        <w:tc>
          <w:tcPr>
            <w:tcW w:w="709" w:type="dxa"/>
            <w:tcBorders>
              <w:top w:val="nil"/>
              <w:left w:val="single" w:sz="4" w:space="0" w:color="auto"/>
              <w:bottom w:val="nil"/>
              <w:right w:val="single" w:sz="4" w:space="0" w:color="auto"/>
            </w:tcBorders>
            <w:shd w:val="clear" w:color="auto" w:fill="auto"/>
            <w:noWrap/>
            <w:vAlign w:val="center"/>
            <w:hideMark/>
          </w:tcPr>
          <w:p w14:paraId="56F8A8E3" w14:textId="77777777" w:rsidR="00387142" w:rsidRPr="008B6A75" w:rsidRDefault="00387142" w:rsidP="00387142">
            <w:pPr>
              <w:jc w:val="center"/>
              <w:rPr>
                <w:bCs/>
                <w:sz w:val="20"/>
                <w:szCs w:val="20"/>
              </w:rPr>
            </w:pPr>
            <w:r w:rsidRPr="008B6A75">
              <w:rPr>
                <w:bCs/>
                <w:sz w:val="20"/>
                <w:szCs w:val="20"/>
              </w:rPr>
              <w:t>03</w:t>
            </w:r>
          </w:p>
        </w:tc>
        <w:tc>
          <w:tcPr>
            <w:tcW w:w="1411" w:type="dxa"/>
            <w:tcBorders>
              <w:top w:val="nil"/>
              <w:left w:val="single" w:sz="4" w:space="0" w:color="auto"/>
              <w:bottom w:val="nil"/>
              <w:right w:val="nil"/>
            </w:tcBorders>
            <w:shd w:val="clear" w:color="auto" w:fill="auto"/>
            <w:noWrap/>
            <w:vAlign w:val="center"/>
            <w:hideMark/>
          </w:tcPr>
          <w:p w14:paraId="1C73FA63" w14:textId="77777777" w:rsidR="00387142" w:rsidRPr="008B6A75" w:rsidRDefault="00387142" w:rsidP="00387142">
            <w:pPr>
              <w:jc w:val="center"/>
              <w:rPr>
                <w:bCs/>
                <w:sz w:val="20"/>
                <w:szCs w:val="20"/>
              </w:rPr>
            </w:pPr>
            <w:r w:rsidRPr="008B6A75">
              <w:rPr>
                <w:bCs/>
                <w:sz w:val="20"/>
                <w:szCs w:val="20"/>
              </w:rPr>
              <w:t>07.1.E4.52192</w:t>
            </w:r>
          </w:p>
        </w:tc>
        <w:tc>
          <w:tcPr>
            <w:tcW w:w="955" w:type="dxa"/>
            <w:tcBorders>
              <w:top w:val="nil"/>
              <w:left w:val="single" w:sz="4" w:space="0" w:color="auto"/>
              <w:bottom w:val="nil"/>
              <w:right w:val="single" w:sz="4" w:space="0" w:color="auto"/>
            </w:tcBorders>
            <w:shd w:val="clear" w:color="auto" w:fill="auto"/>
            <w:noWrap/>
            <w:vAlign w:val="center"/>
            <w:hideMark/>
          </w:tcPr>
          <w:p w14:paraId="28596D5A"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nil"/>
              <w:right w:val="single" w:sz="4" w:space="0" w:color="auto"/>
            </w:tcBorders>
            <w:shd w:val="clear" w:color="auto" w:fill="auto"/>
            <w:noWrap/>
            <w:vAlign w:val="center"/>
            <w:hideMark/>
          </w:tcPr>
          <w:p w14:paraId="09C4D0D1" w14:textId="77777777" w:rsidR="00387142" w:rsidRPr="008B6A75" w:rsidRDefault="00387142" w:rsidP="00387142">
            <w:pPr>
              <w:jc w:val="right"/>
              <w:rPr>
                <w:bCs/>
                <w:sz w:val="20"/>
                <w:szCs w:val="20"/>
              </w:rPr>
            </w:pPr>
            <w:r w:rsidRPr="008B6A75">
              <w:rPr>
                <w:bCs/>
                <w:sz w:val="20"/>
                <w:szCs w:val="20"/>
              </w:rPr>
              <w:t>0,00</w:t>
            </w:r>
          </w:p>
        </w:tc>
        <w:tc>
          <w:tcPr>
            <w:tcW w:w="992" w:type="dxa"/>
            <w:gridSpan w:val="2"/>
            <w:tcBorders>
              <w:top w:val="nil"/>
              <w:left w:val="single" w:sz="4" w:space="0" w:color="auto"/>
              <w:bottom w:val="nil"/>
              <w:right w:val="nil"/>
            </w:tcBorders>
            <w:shd w:val="clear" w:color="auto" w:fill="auto"/>
            <w:noWrap/>
            <w:vAlign w:val="center"/>
            <w:hideMark/>
          </w:tcPr>
          <w:p w14:paraId="5E8BA177" w14:textId="77777777" w:rsidR="00387142" w:rsidRPr="008B6A75" w:rsidRDefault="00387142" w:rsidP="00387142">
            <w:pPr>
              <w:jc w:val="right"/>
              <w:rPr>
                <w:bCs/>
                <w:sz w:val="20"/>
                <w:szCs w:val="20"/>
              </w:rPr>
            </w:pPr>
            <w:r w:rsidRPr="008B6A75">
              <w:rPr>
                <w:bCs/>
                <w:sz w:val="20"/>
                <w:szCs w:val="20"/>
              </w:rPr>
              <w:t>0,00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2DBE2D45" w14:textId="77777777" w:rsidR="00387142" w:rsidRPr="008B6A75" w:rsidRDefault="00387142" w:rsidP="00387142">
            <w:pPr>
              <w:jc w:val="right"/>
              <w:rPr>
                <w:bCs/>
                <w:sz w:val="20"/>
                <w:szCs w:val="20"/>
              </w:rPr>
            </w:pPr>
            <w:r w:rsidRPr="008B6A75">
              <w:rPr>
                <w:bCs/>
                <w:sz w:val="20"/>
                <w:szCs w:val="20"/>
              </w:rPr>
              <w:t>17 899 500,00</w:t>
            </w:r>
          </w:p>
        </w:tc>
        <w:tc>
          <w:tcPr>
            <w:tcW w:w="222" w:type="dxa"/>
            <w:vAlign w:val="center"/>
            <w:hideMark/>
          </w:tcPr>
          <w:p w14:paraId="73DB7E24" w14:textId="77777777" w:rsidR="00387142" w:rsidRPr="008B6A75" w:rsidRDefault="00387142" w:rsidP="00387142">
            <w:pPr>
              <w:rPr>
                <w:sz w:val="20"/>
                <w:szCs w:val="20"/>
              </w:rPr>
            </w:pPr>
          </w:p>
        </w:tc>
      </w:tr>
      <w:tr w:rsidR="00387142" w:rsidRPr="008B6A75" w14:paraId="00CF4950" w14:textId="77777777" w:rsidTr="00387142">
        <w:trPr>
          <w:trHeight w:val="870"/>
        </w:trPr>
        <w:tc>
          <w:tcPr>
            <w:tcW w:w="3021" w:type="dxa"/>
            <w:tcBorders>
              <w:top w:val="single" w:sz="4" w:space="0" w:color="auto"/>
              <w:left w:val="single" w:sz="4" w:space="0" w:color="auto"/>
              <w:bottom w:val="nil"/>
              <w:right w:val="nil"/>
            </w:tcBorders>
            <w:shd w:val="clear" w:color="auto" w:fill="auto"/>
            <w:vAlign w:val="center"/>
            <w:hideMark/>
          </w:tcPr>
          <w:p w14:paraId="2CED2B46" w14:textId="77777777" w:rsidR="00387142" w:rsidRPr="008B6A75" w:rsidRDefault="00387142" w:rsidP="00387142">
            <w:pPr>
              <w:rPr>
                <w:sz w:val="20"/>
                <w:szCs w:val="20"/>
              </w:rPr>
            </w:pPr>
            <w:r w:rsidRPr="008B6A75">
              <w:rPr>
                <w:sz w:val="20"/>
                <w:szCs w:val="20"/>
              </w:rPr>
              <w:t>Предоставление субсидий бюджетным, автономным учреждениям и иным некоммерческим организациям</w:t>
            </w:r>
          </w:p>
        </w:tc>
        <w:tc>
          <w:tcPr>
            <w:tcW w:w="850" w:type="dxa"/>
            <w:tcBorders>
              <w:top w:val="single" w:sz="4" w:space="0" w:color="auto"/>
              <w:left w:val="single" w:sz="4" w:space="0" w:color="auto"/>
              <w:bottom w:val="nil"/>
              <w:right w:val="nil"/>
            </w:tcBorders>
            <w:shd w:val="clear" w:color="auto" w:fill="auto"/>
            <w:noWrap/>
            <w:vAlign w:val="center"/>
            <w:hideMark/>
          </w:tcPr>
          <w:p w14:paraId="21A1DD2B" w14:textId="77777777" w:rsidR="00387142" w:rsidRPr="008B6A75" w:rsidRDefault="00387142" w:rsidP="00387142">
            <w:pPr>
              <w:jc w:val="center"/>
              <w:rPr>
                <w:sz w:val="20"/>
                <w:szCs w:val="20"/>
              </w:rPr>
            </w:pPr>
            <w:r w:rsidRPr="008B6A75">
              <w:rPr>
                <w:sz w:val="20"/>
                <w:szCs w:val="20"/>
              </w:rPr>
              <w:t>444</w:t>
            </w:r>
          </w:p>
        </w:tc>
        <w:tc>
          <w:tcPr>
            <w:tcW w:w="709" w:type="dxa"/>
            <w:tcBorders>
              <w:top w:val="single" w:sz="4" w:space="0" w:color="auto"/>
              <w:left w:val="single" w:sz="4" w:space="0" w:color="auto"/>
              <w:bottom w:val="nil"/>
              <w:right w:val="nil"/>
            </w:tcBorders>
            <w:shd w:val="clear" w:color="auto" w:fill="auto"/>
            <w:noWrap/>
            <w:vAlign w:val="center"/>
            <w:hideMark/>
          </w:tcPr>
          <w:p w14:paraId="59AE9210" w14:textId="77777777" w:rsidR="00387142" w:rsidRPr="008B6A75" w:rsidRDefault="00387142" w:rsidP="00387142">
            <w:pPr>
              <w:jc w:val="center"/>
              <w:rPr>
                <w:sz w:val="20"/>
                <w:szCs w:val="20"/>
              </w:rPr>
            </w:pPr>
            <w:r w:rsidRPr="008B6A75">
              <w:rPr>
                <w:sz w:val="20"/>
                <w:szCs w:val="20"/>
              </w:rPr>
              <w:t>07</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192648AE" w14:textId="77777777" w:rsidR="00387142" w:rsidRPr="008B6A75" w:rsidRDefault="00387142" w:rsidP="00387142">
            <w:pPr>
              <w:jc w:val="center"/>
              <w:rPr>
                <w:sz w:val="20"/>
                <w:szCs w:val="20"/>
              </w:rPr>
            </w:pPr>
            <w:r w:rsidRPr="008B6A75">
              <w:rPr>
                <w:sz w:val="20"/>
                <w:szCs w:val="20"/>
              </w:rPr>
              <w:t>03</w:t>
            </w:r>
          </w:p>
        </w:tc>
        <w:tc>
          <w:tcPr>
            <w:tcW w:w="1411" w:type="dxa"/>
            <w:tcBorders>
              <w:top w:val="single" w:sz="4" w:space="0" w:color="auto"/>
              <w:left w:val="single" w:sz="4" w:space="0" w:color="auto"/>
              <w:bottom w:val="nil"/>
              <w:right w:val="nil"/>
            </w:tcBorders>
            <w:shd w:val="clear" w:color="auto" w:fill="auto"/>
            <w:noWrap/>
            <w:vAlign w:val="center"/>
            <w:hideMark/>
          </w:tcPr>
          <w:p w14:paraId="6CBEFF05" w14:textId="77777777" w:rsidR="00387142" w:rsidRPr="008B6A75" w:rsidRDefault="00387142" w:rsidP="00387142">
            <w:pPr>
              <w:jc w:val="center"/>
              <w:rPr>
                <w:sz w:val="20"/>
                <w:szCs w:val="20"/>
              </w:rPr>
            </w:pPr>
            <w:r w:rsidRPr="008B6A75">
              <w:rPr>
                <w:sz w:val="20"/>
                <w:szCs w:val="20"/>
              </w:rPr>
              <w:t>07.1.E4.52192</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764A4B6A" w14:textId="77777777" w:rsidR="00387142" w:rsidRPr="008B6A75" w:rsidRDefault="00387142" w:rsidP="00387142">
            <w:pPr>
              <w:jc w:val="center"/>
              <w:rPr>
                <w:sz w:val="20"/>
                <w:szCs w:val="20"/>
              </w:rPr>
            </w:pPr>
            <w:r w:rsidRPr="008B6A75">
              <w:rPr>
                <w:sz w:val="20"/>
                <w:szCs w:val="20"/>
              </w:rPr>
              <w:t>600</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1B3C113A" w14:textId="77777777" w:rsidR="00387142" w:rsidRPr="008B6A75" w:rsidRDefault="00387142" w:rsidP="00387142">
            <w:pPr>
              <w:jc w:val="right"/>
              <w:rPr>
                <w:sz w:val="20"/>
                <w:szCs w:val="20"/>
              </w:rPr>
            </w:pPr>
            <w:r w:rsidRPr="008B6A75">
              <w:rPr>
                <w:sz w:val="20"/>
                <w:szCs w:val="20"/>
              </w:rPr>
              <w:t>0,00</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6A6DB150" w14:textId="77777777" w:rsidR="00387142" w:rsidRPr="008B6A75" w:rsidRDefault="00387142" w:rsidP="00387142">
            <w:pPr>
              <w:jc w:val="right"/>
              <w:rPr>
                <w:sz w:val="20"/>
                <w:szCs w:val="20"/>
              </w:rPr>
            </w:pPr>
            <w:r w:rsidRPr="008B6A75">
              <w:rPr>
                <w:sz w:val="20"/>
                <w:szCs w:val="20"/>
              </w:rPr>
              <w:t>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0D3842B3" w14:textId="77777777" w:rsidR="00387142" w:rsidRPr="008B6A75" w:rsidRDefault="00387142" w:rsidP="00387142">
            <w:pPr>
              <w:jc w:val="right"/>
              <w:rPr>
                <w:sz w:val="20"/>
                <w:szCs w:val="20"/>
              </w:rPr>
            </w:pPr>
            <w:r w:rsidRPr="008B6A75">
              <w:rPr>
                <w:sz w:val="20"/>
                <w:szCs w:val="20"/>
              </w:rPr>
              <w:t>17 899 500,00</w:t>
            </w:r>
          </w:p>
        </w:tc>
        <w:tc>
          <w:tcPr>
            <w:tcW w:w="222" w:type="dxa"/>
            <w:vAlign w:val="center"/>
            <w:hideMark/>
          </w:tcPr>
          <w:p w14:paraId="42639170" w14:textId="77777777" w:rsidR="00387142" w:rsidRPr="008B6A75" w:rsidRDefault="00387142" w:rsidP="00387142">
            <w:pPr>
              <w:rPr>
                <w:sz w:val="20"/>
                <w:szCs w:val="20"/>
              </w:rPr>
            </w:pPr>
          </w:p>
        </w:tc>
      </w:tr>
      <w:tr w:rsidR="00387142" w:rsidRPr="008B6A75" w14:paraId="06A369F6" w14:textId="77777777" w:rsidTr="00387142">
        <w:trPr>
          <w:trHeight w:val="300"/>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2B3C2A73" w14:textId="77777777" w:rsidR="00387142" w:rsidRPr="008B6A75" w:rsidRDefault="00387142" w:rsidP="00387142">
            <w:pPr>
              <w:rPr>
                <w:sz w:val="20"/>
                <w:szCs w:val="20"/>
              </w:rPr>
            </w:pPr>
            <w:r w:rsidRPr="008B6A75">
              <w:rPr>
                <w:sz w:val="20"/>
                <w:szCs w:val="20"/>
              </w:rPr>
              <w:t>Субсидии бюджетным учреждениям</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3E3553F2" w14:textId="77777777" w:rsidR="00387142" w:rsidRPr="008B6A75" w:rsidRDefault="00387142" w:rsidP="00387142">
            <w:pPr>
              <w:jc w:val="center"/>
              <w:rPr>
                <w:sz w:val="20"/>
                <w:szCs w:val="20"/>
              </w:rPr>
            </w:pPr>
            <w:r w:rsidRPr="008B6A75">
              <w:rPr>
                <w:sz w:val="20"/>
                <w:szCs w:val="20"/>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1EE24BE9" w14:textId="77777777" w:rsidR="00387142" w:rsidRPr="008B6A75" w:rsidRDefault="00387142" w:rsidP="00387142">
            <w:pPr>
              <w:jc w:val="center"/>
              <w:rPr>
                <w:sz w:val="20"/>
                <w:szCs w:val="20"/>
              </w:rPr>
            </w:pPr>
            <w:r w:rsidRPr="008B6A75">
              <w:rPr>
                <w:sz w:val="20"/>
                <w:szCs w:val="20"/>
              </w:rPr>
              <w:t>07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86F578" w14:textId="77777777" w:rsidR="00387142" w:rsidRPr="008B6A75" w:rsidRDefault="00387142" w:rsidP="00387142">
            <w:pPr>
              <w:jc w:val="center"/>
              <w:rPr>
                <w:sz w:val="20"/>
                <w:szCs w:val="20"/>
              </w:rPr>
            </w:pPr>
            <w:r w:rsidRPr="008B6A75">
              <w:rPr>
                <w:sz w:val="20"/>
                <w:szCs w:val="20"/>
              </w:rPr>
              <w:t>03</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5683F5E7" w14:textId="77777777" w:rsidR="00387142" w:rsidRPr="008B6A75" w:rsidRDefault="00387142" w:rsidP="00387142">
            <w:pPr>
              <w:jc w:val="center"/>
              <w:rPr>
                <w:sz w:val="20"/>
                <w:szCs w:val="20"/>
              </w:rPr>
            </w:pPr>
            <w:r w:rsidRPr="008B6A75">
              <w:rPr>
                <w:sz w:val="20"/>
                <w:szCs w:val="20"/>
              </w:rPr>
              <w:t>07.1.E4.52192</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7D7BAE" w14:textId="77777777" w:rsidR="00387142" w:rsidRPr="008B6A75" w:rsidRDefault="00387142" w:rsidP="00387142">
            <w:pPr>
              <w:jc w:val="center"/>
              <w:rPr>
                <w:sz w:val="20"/>
                <w:szCs w:val="20"/>
              </w:rPr>
            </w:pPr>
            <w:r w:rsidRPr="008B6A75">
              <w:rPr>
                <w:sz w:val="20"/>
                <w:szCs w:val="20"/>
              </w:rPr>
              <w:t>610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FE971B" w14:textId="77777777" w:rsidR="00387142" w:rsidRPr="008B6A75" w:rsidRDefault="00387142" w:rsidP="00387142">
            <w:pPr>
              <w:jc w:val="right"/>
              <w:rPr>
                <w:sz w:val="20"/>
                <w:szCs w:val="20"/>
              </w:rPr>
            </w:pPr>
            <w:r w:rsidRPr="008B6A75">
              <w:rPr>
                <w:sz w:val="20"/>
                <w:szCs w:val="20"/>
              </w:rPr>
              <w:t>0,00</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60F7B8EE" w14:textId="77777777" w:rsidR="00387142" w:rsidRPr="008B6A75" w:rsidRDefault="00387142" w:rsidP="00387142">
            <w:pPr>
              <w:jc w:val="right"/>
              <w:rPr>
                <w:sz w:val="20"/>
                <w:szCs w:val="20"/>
              </w:rPr>
            </w:pPr>
            <w:r w:rsidRPr="008B6A75">
              <w:rPr>
                <w:sz w:val="20"/>
                <w:szCs w:val="20"/>
              </w:rPr>
              <w:t>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7E5F4D" w14:textId="77777777" w:rsidR="00387142" w:rsidRPr="008B6A75" w:rsidRDefault="00387142" w:rsidP="00387142">
            <w:pPr>
              <w:jc w:val="right"/>
              <w:rPr>
                <w:sz w:val="20"/>
                <w:szCs w:val="20"/>
              </w:rPr>
            </w:pPr>
            <w:r w:rsidRPr="008B6A75">
              <w:rPr>
                <w:sz w:val="20"/>
                <w:szCs w:val="20"/>
              </w:rPr>
              <w:t>17 899 500,00</w:t>
            </w:r>
          </w:p>
        </w:tc>
        <w:tc>
          <w:tcPr>
            <w:tcW w:w="222" w:type="dxa"/>
            <w:vAlign w:val="center"/>
            <w:hideMark/>
          </w:tcPr>
          <w:p w14:paraId="7D1AC278" w14:textId="77777777" w:rsidR="00387142" w:rsidRPr="008B6A75" w:rsidRDefault="00387142" w:rsidP="00387142">
            <w:pPr>
              <w:rPr>
                <w:sz w:val="20"/>
                <w:szCs w:val="20"/>
              </w:rPr>
            </w:pPr>
          </w:p>
        </w:tc>
      </w:tr>
      <w:tr w:rsidR="00387142" w:rsidRPr="008B6A75" w14:paraId="2E2E299F" w14:textId="77777777" w:rsidTr="00387142">
        <w:trPr>
          <w:trHeight w:val="870"/>
        </w:trPr>
        <w:tc>
          <w:tcPr>
            <w:tcW w:w="3021" w:type="dxa"/>
            <w:tcBorders>
              <w:top w:val="nil"/>
              <w:left w:val="single" w:sz="4" w:space="0" w:color="auto"/>
              <w:bottom w:val="nil"/>
              <w:right w:val="nil"/>
            </w:tcBorders>
            <w:shd w:val="clear" w:color="auto" w:fill="auto"/>
            <w:vAlign w:val="center"/>
            <w:hideMark/>
          </w:tcPr>
          <w:p w14:paraId="4624B94A" w14:textId="77777777" w:rsidR="00387142" w:rsidRPr="008B6A75" w:rsidRDefault="00387142" w:rsidP="00387142">
            <w:pPr>
              <w:rPr>
                <w:bCs/>
                <w:sz w:val="20"/>
                <w:szCs w:val="20"/>
              </w:rPr>
            </w:pPr>
            <w:r w:rsidRPr="008B6A75">
              <w:rPr>
                <w:bCs/>
                <w:sz w:val="20"/>
                <w:szCs w:val="20"/>
              </w:rPr>
              <w:t>Подпрограмма "Выявление и поддержка одаренных детей и талантливой молодежи Куйбышевского района"</w:t>
            </w:r>
          </w:p>
        </w:tc>
        <w:tc>
          <w:tcPr>
            <w:tcW w:w="850" w:type="dxa"/>
            <w:tcBorders>
              <w:top w:val="nil"/>
              <w:left w:val="single" w:sz="4" w:space="0" w:color="auto"/>
              <w:bottom w:val="nil"/>
              <w:right w:val="nil"/>
            </w:tcBorders>
            <w:shd w:val="clear" w:color="auto" w:fill="auto"/>
            <w:noWrap/>
            <w:vAlign w:val="center"/>
            <w:hideMark/>
          </w:tcPr>
          <w:p w14:paraId="09E52B32" w14:textId="77777777" w:rsidR="00387142" w:rsidRPr="008B6A75" w:rsidRDefault="00387142" w:rsidP="00387142">
            <w:pPr>
              <w:jc w:val="center"/>
              <w:rPr>
                <w:bCs/>
                <w:sz w:val="20"/>
                <w:szCs w:val="20"/>
              </w:rPr>
            </w:pPr>
            <w:r w:rsidRPr="008B6A75">
              <w:rPr>
                <w:bCs/>
                <w:sz w:val="20"/>
                <w:szCs w:val="20"/>
              </w:rPr>
              <w:t>444</w:t>
            </w:r>
          </w:p>
        </w:tc>
        <w:tc>
          <w:tcPr>
            <w:tcW w:w="709" w:type="dxa"/>
            <w:tcBorders>
              <w:top w:val="nil"/>
              <w:left w:val="single" w:sz="4" w:space="0" w:color="auto"/>
              <w:bottom w:val="nil"/>
              <w:right w:val="nil"/>
            </w:tcBorders>
            <w:shd w:val="clear" w:color="auto" w:fill="auto"/>
            <w:noWrap/>
            <w:vAlign w:val="center"/>
            <w:hideMark/>
          </w:tcPr>
          <w:p w14:paraId="37B6D270" w14:textId="77777777" w:rsidR="00387142" w:rsidRPr="008B6A75" w:rsidRDefault="00387142" w:rsidP="00387142">
            <w:pPr>
              <w:jc w:val="center"/>
              <w:rPr>
                <w:bCs/>
                <w:sz w:val="20"/>
                <w:szCs w:val="20"/>
              </w:rPr>
            </w:pPr>
            <w:r w:rsidRPr="008B6A75">
              <w:rPr>
                <w:bCs/>
                <w:sz w:val="20"/>
                <w:szCs w:val="20"/>
              </w:rPr>
              <w:t>07</w:t>
            </w:r>
          </w:p>
        </w:tc>
        <w:tc>
          <w:tcPr>
            <w:tcW w:w="709" w:type="dxa"/>
            <w:tcBorders>
              <w:top w:val="nil"/>
              <w:left w:val="single" w:sz="4" w:space="0" w:color="auto"/>
              <w:bottom w:val="nil"/>
              <w:right w:val="single" w:sz="4" w:space="0" w:color="auto"/>
            </w:tcBorders>
            <w:shd w:val="clear" w:color="auto" w:fill="auto"/>
            <w:noWrap/>
            <w:vAlign w:val="center"/>
            <w:hideMark/>
          </w:tcPr>
          <w:p w14:paraId="7BB3F225" w14:textId="77777777" w:rsidR="00387142" w:rsidRPr="008B6A75" w:rsidRDefault="00387142" w:rsidP="00387142">
            <w:pPr>
              <w:jc w:val="center"/>
              <w:rPr>
                <w:bCs/>
                <w:sz w:val="20"/>
                <w:szCs w:val="20"/>
              </w:rPr>
            </w:pPr>
            <w:r w:rsidRPr="008B6A75">
              <w:rPr>
                <w:bCs/>
                <w:sz w:val="20"/>
                <w:szCs w:val="20"/>
              </w:rPr>
              <w:t>03</w:t>
            </w:r>
          </w:p>
        </w:tc>
        <w:tc>
          <w:tcPr>
            <w:tcW w:w="1411" w:type="dxa"/>
            <w:tcBorders>
              <w:top w:val="nil"/>
              <w:left w:val="single" w:sz="4" w:space="0" w:color="auto"/>
              <w:bottom w:val="nil"/>
              <w:right w:val="nil"/>
            </w:tcBorders>
            <w:shd w:val="clear" w:color="auto" w:fill="auto"/>
            <w:noWrap/>
            <w:vAlign w:val="center"/>
            <w:hideMark/>
          </w:tcPr>
          <w:p w14:paraId="415D5F04" w14:textId="77777777" w:rsidR="00387142" w:rsidRPr="008B6A75" w:rsidRDefault="00387142" w:rsidP="00387142">
            <w:pPr>
              <w:jc w:val="center"/>
              <w:rPr>
                <w:bCs/>
                <w:sz w:val="20"/>
                <w:szCs w:val="20"/>
              </w:rPr>
            </w:pPr>
            <w:r w:rsidRPr="008B6A75">
              <w:rPr>
                <w:bCs/>
                <w:sz w:val="20"/>
                <w:szCs w:val="20"/>
              </w:rPr>
              <w:t>07.2.00.00000</w:t>
            </w:r>
          </w:p>
        </w:tc>
        <w:tc>
          <w:tcPr>
            <w:tcW w:w="955" w:type="dxa"/>
            <w:tcBorders>
              <w:top w:val="nil"/>
              <w:left w:val="single" w:sz="4" w:space="0" w:color="auto"/>
              <w:bottom w:val="nil"/>
              <w:right w:val="single" w:sz="4" w:space="0" w:color="auto"/>
            </w:tcBorders>
            <w:shd w:val="clear" w:color="auto" w:fill="auto"/>
            <w:noWrap/>
            <w:vAlign w:val="center"/>
            <w:hideMark/>
          </w:tcPr>
          <w:p w14:paraId="3612F3BF"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nil"/>
              <w:right w:val="single" w:sz="4" w:space="0" w:color="auto"/>
            </w:tcBorders>
            <w:shd w:val="clear" w:color="auto" w:fill="auto"/>
            <w:noWrap/>
            <w:vAlign w:val="center"/>
            <w:hideMark/>
          </w:tcPr>
          <w:p w14:paraId="101DB151" w14:textId="77777777" w:rsidR="00387142" w:rsidRPr="008B6A75" w:rsidRDefault="00387142" w:rsidP="00387142">
            <w:pPr>
              <w:jc w:val="right"/>
              <w:rPr>
                <w:bCs/>
                <w:sz w:val="20"/>
                <w:szCs w:val="20"/>
              </w:rPr>
            </w:pPr>
            <w:r w:rsidRPr="008B6A75">
              <w:rPr>
                <w:bCs/>
                <w:sz w:val="20"/>
                <w:szCs w:val="20"/>
              </w:rPr>
              <w:t>716 983,80</w:t>
            </w:r>
          </w:p>
        </w:tc>
        <w:tc>
          <w:tcPr>
            <w:tcW w:w="992" w:type="dxa"/>
            <w:gridSpan w:val="2"/>
            <w:tcBorders>
              <w:top w:val="nil"/>
              <w:left w:val="single" w:sz="4" w:space="0" w:color="auto"/>
              <w:bottom w:val="nil"/>
              <w:right w:val="nil"/>
            </w:tcBorders>
            <w:shd w:val="clear" w:color="auto" w:fill="auto"/>
            <w:noWrap/>
            <w:vAlign w:val="center"/>
            <w:hideMark/>
          </w:tcPr>
          <w:p w14:paraId="5E283C7A" w14:textId="77777777" w:rsidR="00387142" w:rsidRPr="008B6A75" w:rsidRDefault="00387142" w:rsidP="00387142">
            <w:pPr>
              <w:jc w:val="right"/>
              <w:rPr>
                <w:bCs/>
                <w:sz w:val="20"/>
                <w:szCs w:val="20"/>
              </w:rPr>
            </w:pPr>
            <w:r w:rsidRPr="008B6A75">
              <w:rPr>
                <w:bCs/>
                <w:sz w:val="20"/>
                <w:szCs w:val="20"/>
              </w:rPr>
              <w:t>0,00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48A4FC2C" w14:textId="77777777" w:rsidR="00387142" w:rsidRPr="008B6A75" w:rsidRDefault="00387142" w:rsidP="00387142">
            <w:pPr>
              <w:jc w:val="right"/>
              <w:rPr>
                <w:bCs/>
                <w:sz w:val="20"/>
                <w:szCs w:val="20"/>
              </w:rPr>
            </w:pPr>
            <w:r w:rsidRPr="008B6A75">
              <w:rPr>
                <w:bCs/>
                <w:sz w:val="20"/>
                <w:szCs w:val="20"/>
              </w:rPr>
              <w:t>0,00</w:t>
            </w:r>
          </w:p>
        </w:tc>
        <w:tc>
          <w:tcPr>
            <w:tcW w:w="222" w:type="dxa"/>
            <w:vAlign w:val="center"/>
            <w:hideMark/>
          </w:tcPr>
          <w:p w14:paraId="7C6AF461" w14:textId="77777777" w:rsidR="00387142" w:rsidRPr="008B6A75" w:rsidRDefault="00387142" w:rsidP="00387142">
            <w:pPr>
              <w:rPr>
                <w:sz w:val="20"/>
                <w:szCs w:val="20"/>
              </w:rPr>
            </w:pPr>
          </w:p>
        </w:tc>
      </w:tr>
      <w:tr w:rsidR="00387142" w:rsidRPr="008B6A75" w14:paraId="551DC480" w14:textId="77777777" w:rsidTr="00387142">
        <w:trPr>
          <w:trHeight w:val="1155"/>
        </w:trPr>
        <w:tc>
          <w:tcPr>
            <w:tcW w:w="3021" w:type="dxa"/>
            <w:tcBorders>
              <w:top w:val="single" w:sz="4" w:space="0" w:color="auto"/>
              <w:left w:val="single" w:sz="4" w:space="0" w:color="auto"/>
              <w:bottom w:val="nil"/>
              <w:right w:val="nil"/>
            </w:tcBorders>
            <w:shd w:val="clear" w:color="auto" w:fill="auto"/>
            <w:vAlign w:val="center"/>
            <w:hideMark/>
          </w:tcPr>
          <w:p w14:paraId="3BFF8052" w14:textId="77777777" w:rsidR="00387142" w:rsidRPr="008B6A75" w:rsidRDefault="00387142" w:rsidP="00387142">
            <w:pPr>
              <w:rPr>
                <w:bCs/>
                <w:sz w:val="20"/>
                <w:szCs w:val="20"/>
              </w:rPr>
            </w:pPr>
            <w:r w:rsidRPr="008B6A75">
              <w:rPr>
                <w:bCs/>
                <w:sz w:val="20"/>
                <w:szCs w:val="20"/>
              </w:rPr>
              <w:t>Реализация мероприятий подпрограммы "Выявление и поддержка одаренных детей и талантливой молодежи Куйбышевского района"</w:t>
            </w:r>
          </w:p>
        </w:tc>
        <w:tc>
          <w:tcPr>
            <w:tcW w:w="850" w:type="dxa"/>
            <w:tcBorders>
              <w:top w:val="single" w:sz="4" w:space="0" w:color="auto"/>
              <w:left w:val="single" w:sz="4" w:space="0" w:color="auto"/>
              <w:bottom w:val="nil"/>
              <w:right w:val="nil"/>
            </w:tcBorders>
            <w:shd w:val="clear" w:color="auto" w:fill="auto"/>
            <w:noWrap/>
            <w:vAlign w:val="center"/>
            <w:hideMark/>
          </w:tcPr>
          <w:p w14:paraId="53EA8F2C" w14:textId="77777777" w:rsidR="00387142" w:rsidRPr="008B6A75" w:rsidRDefault="00387142" w:rsidP="00387142">
            <w:pPr>
              <w:jc w:val="center"/>
              <w:rPr>
                <w:bCs/>
                <w:sz w:val="20"/>
                <w:szCs w:val="20"/>
              </w:rPr>
            </w:pPr>
            <w:r w:rsidRPr="008B6A75">
              <w:rPr>
                <w:bCs/>
                <w:sz w:val="20"/>
                <w:szCs w:val="20"/>
              </w:rPr>
              <w:t>444</w:t>
            </w:r>
          </w:p>
        </w:tc>
        <w:tc>
          <w:tcPr>
            <w:tcW w:w="709" w:type="dxa"/>
            <w:tcBorders>
              <w:top w:val="single" w:sz="4" w:space="0" w:color="auto"/>
              <w:left w:val="single" w:sz="4" w:space="0" w:color="auto"/>
              <w:bottom w:val="nil"/>
              <w:right w:val="nil"/>
            </w:tcBorders>
            <w:shd w:val="clear" w:color="auto" w:fill="auto"/>
            <w:noWrap/>
            <w:vAlign w:val="center"/>
            <w:hideMark/>
          </w:tcPr>
          <w:p w14:paraId="68836C77" w14:textId="77777777" w:rsidR="00387142" w:rsidRPr="008B6A75" w:rsidRDefault="00387142" w:rsidP="00387142">
            <w:pPr>
              <w:jc w:val="center"/>
              <w:rPr>
                <w:bCs/>
                <w:sz w:val="20"/>
                <w:szCs w:val="20"/>
              </w:rPr>
            </w:pPr>
            <w:r w:rsidRPr="008B6A75">
              <w:rPr>
                <w:bCs/>
                <w:sz w:val="20"/>
                <w:szCs w:val="20"/>
              </w:rPr>
              <w:t>07</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14E4F723" w14:textId="77777777" w:rsidR="00387142" w:rsidRPr="008B6A75" w:rsidRDefault="00387142" w:rsidP="00387142">
            <w:pPr>
              <w:jc w:val="center"/>
              <w:rPr>
                <w:bCs/>
                <w:sz w:val="20"/>
                <w:szCs w:val="20"/>
              </w:rPr>
            </w:pPr>
            <w:r w:rsidRPr="008B6A75">
              <w:rPr>
                <w:bCs/>
                <w:sz w:val="20"/>
                <w:szCs w:val="20"/>
              </w:rPr>
              <w:t>03</w:t>
            </w:r>
          </w:p>
        </w:tc>
        <w:tc>
          <w:tcPr>
            <w:tcW w:w="1411" w:type="dxa"/>
            <w:tcBorders>
              <w:top w:val="single" w:sz="4" w:space="0" w:color="auto"/>
              <w:left w:val="single" w:sz="4" w:space="0" w:color="auto"/>
              <w:bottom w:val="nil"/>
              <w:right w:val="nil"/>
            </w:tcBorders>
            <w:shd w:val="clear" w:color="auto" w:fill="auto"/>
            <w:noWrap/>
            <w:vAlign w:val="center"/>
            <w:hideMark/>
          </w:tcPr>
          <w:p w14:paraId="2EE9AE64" w14:textId="77777777" w:rsidR="00387142" w:rsidRPr="008B6A75" w:rsidRDefault="00387142" w:rsidP="00387142">
            <w:pPr>
              <w:jc w:val="center"/>
              <w:rPr>
                <w:bCs/>
                <w:sz w:val="20"/>
                <w:szCs w:val="20"/>
              </w:rPr>
            </w:pPr>
            <w:r w:rsidRPr="008B6A75">
              <w:rPr>
                <w:bCs/>
                <w:sz w:val="20"/>
                <w:szCs w:val="20"/>
              </w:rPr>
              <w:t>07.2.00.79500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55D40067" w14:textId="77777777" w:rsidR="00387142" w:rsidRPr="008B6A75" w:rsidRDefault="00387142" w:rsidP="00387142">
            <w:pPr>
              <w:jc w:val="center"/>
              <w:rPr>
                <w:bCs/>
                <w:sz w:val="20"/>
                <w:szCs w:val="20"/>
              </w:rPr>
            </w:pPr>
            <w:r w:rsidRPr="008B6A75">
              <w:rPr>
                <w:bCs/>
                <w:sz w:val="20"/>
                <w:szCs w:val="20"/>
              </w:rPr>
              <w:t> </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41205399" w14:textId="77777777" w:rsidR="00387142" w:rsidRPr="008B6A75" w:rsidRDefault="00387142" w:rsidP="00387142">
            <w:pPr>
              <w:jc w:val="right"/>
              <w:rPr>
                <w:bCs/>
                <w:sz w:val="20"/>
                <w:szCs w:val="20"/>
              </w:rPr>
            </w:pPr>
            <w:r w:rsidRPr="008B6A75">
              <w:rPr>
                <w:bCs/>
                <w:sz w:val="20"/>
                <w:szCs w:val="20"/>
              </w:rPr>
              <w:t>716 983,80</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1033E8CE" w14:textId="77777777" w:rsidR="00387142" w:rsidRPr="008B6A75" w:rsidRDefault="00387142" w:rsidP="00387142">
            <w:pPr>
              <w:jc w:val="right"/>
              <w:rPr>
                <w:bCs/>
                <w:sz w:val="20"/>
                <w:szCs w:val="20"/>
              </w:rPr>
            </w:pPr>
            <w:r w:rsidRPr="008B6A75">
              <w:rPr>
                <w:bCs/>
                <w:sz w:val="20"/>
                <w:szCs w:val="20"/>
              </w:rPr>
              <w:t>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3276E09B" w14:textId="77777777" w:rsidR="00387142" w:rsidRPr="008B6A75" w:rsidRDefault="00387142" w:rsidP="00387142">
            <w:pPr>
              <w:jc w:val="right"/>
              <w:rPr>
                <w:bCs/>
                <w:sz w:val="20"/>
                <w:szCs w:val="20"/>
              </w:rPr>
            </w:pPr>
            <w:r w:rsidRPr="008B6A75">
              <w:rPr>
                <w:bCs/>
                <w:sz w:val="20"/>
                <w:szCs w:val="20"/>
              </w:rPr>
              <w:t>0,00</w:t>
            </w:r>
          </w:p>
        </w:tc>
        <w:tc>
          <w:tcPr>
            <w:tcW w:w="222" w:type="dxa"/>
            <w:vAlign w:val="center"/>
            <w:hideMark/>
          </w:tcPr>
          <w:p w14:paraId="159375E0" w14:textId="77777777" w:rsidR="00387142" w:rsidRPr="008B6A75" w:rsidRDefault="00387142" w:rsidP="00387142">
            <w:pPr>
              <w:rPr>
                <w:sz w:val="20"/>
                <w:szCs w:val="20"/>
              </w:rPr>
            </w:pPr>
          </w:p>
        </w:tc>
      </w:tr>
      <w:tr w:rsidR="00387142" w:rsidRPr="008B6A75" w14:paraId="2476A7F3" w14:textId="77777777" w:rsidTr="00387142">
        <w:trPr>
          <w:trHeight w:val="870"/>
        </w:trPr>
        <w:tc>
          <w:tcPr>
            <w:tcW w:w="3021" w:type="dxa"/>
            <w:tcBorders>
              <w:top w:val="single" w:sz="4" w:space="0" w:color="auto"/>
              <w:left w:val="single" w:sz="4" w:space="0" w:color="auto"/>
              <w:bottom w:val="nil"/>
              <w:right w:val="nil"/>
            </w:tcBorders>
            <w:shd w:val="clear" w:color="auto" w:fill="auto"/>
            <w:vAlign w:val="center"/>
            <w:hideMark/>
          </w:tcPr>
          <w:p w14:paraId="72085031" w14:textId="77777777" w:rsidR="00387142" w:rsidRPr="008B6A75" w:rsidRDefault="00387142" w:rsidP="00387142">
            <w:pPr>
              <w:rPr>
                <w:sz w:val="20"/>
                <w:szCs w:val="20"/>
              </w:rPr>
            </w:pPr>
            <w:r w:rsidRPr="008B6A75">
              <w:rPr>
                <w:sz w:val="20"/>
                <w:szCs w:val="20"/>
              </w:rPr>
              <w:t>Предоставление субсидий бюджетным, автономным учреждениям и иным некоммерческим организациям</w:t>
            </w:r>
          </w:p>
        </w:tc>
        <w:tc>
          <w:tcPr>
            <w:tcW w:w="850" w:type="dxa"/>
            <w:tcBorders>
              <w:top w:val="single" w:sz="4" w:space="0" w:color="auto"/>
              <w:left w:val="single" w:sz="4" w:space="0" w:color="auto"/>
              <w:bottom w:val="nil"/>
              <w:right w:val="nil"/>
            </w:tcBorders>
            <w:shd w:val="clear" w:color="auto" w:fill="auto"/>
            <w:noWrap/>
            <w:vAlign w:val="center"/>
            <w:hideMark/>
          </w:tcPr>
          <w:p w14:paraId="43F96502" w14:textId="77777777" w:rsidR="00387142" w:rsidRPr="008B6A75" w:rsidRDefault="00387142" w:rsidP="00387142">
            <w:pPr>
              <w:jc w:val="center"/>
              <w:rPr>
                <w:sz w:val="20"/>
                <w:szCs w:val="20"/>
              </w:rPr>
            </w:pPr>
            <w:r w:rsidRPr="008B6A75">
              <w:rPr>
                <w:sz w:val="20"/>
                <w:szCs w:val="20"/>
              </w:rPr>
              <w:t>444</w:t>
            </w:r>
          </w:p>
        </w:tc>
        <w:tc>
          <w:tcPr>
            <w:tcW w:w="709" w:type="dxa"/>
            <w:tcBorders>
              <w:top w:val="single" w:sz="4" w:space="0" w:color="auto"/>
              <w:left w:val="single" w:sz="4" w:space="0" w:color="auto"/>
              <w:bottom w:val="nil"/>
              <w:right w:val="nil"/>
            </w:tcBorders>
            <w:shd w:val="clear" w:color="auto" w:fill="auto"/>
            <w:noWrap/>
            <w:vAlign w:val="center"/>
            <w:hideMark/>
          </w:tcPr>
          <w:p w14:paraId="51A4C548" w14:textId="77777777" w:rsidR="00387142" w:rsidRPr="008B6A75" w:rsidRDefault="00387142" w:rsidP="00387142">
            <w:pPr>
              <w:jc w:val="center"/>
              <w:rPr>
                <w:sz w:val="20"/>
                <w:szCs w:val="20"/>
              </w:rPr>
            </w:pPr>
            <w:r w:rsidRPr="008B6A75">
              <w:rPr>
                <w:sz w:val="20"/>
                <w:szCs w:val="20"/>
              </w:rPr>
              <w:t>07</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393146E7" w14:textId="77777777" w:rsidR="00387142" w:rsidRPr="008B6A75" w:rsidRDefault="00387142" w:rsidP="00387142">
            <w:pPr>
              <w:jc w:val="center"/>
              <w:rPr>
                <w:sz w:val="20"/>
                <w:szCs w:val="20"/>
              </w:rPr>
            </w:pPr>
            <w:r w:rsidRPr="008B6A75">
              <w:rPr>
                <w:sz w:val="20"/>
                <w:szCs w:val="20"/>
              </w:rPr>
              <w:t>03</w:t>
            </w:r>
          </w:p>
        </w:tc>
        <w:tc>
          <w:tcPr>
            <w:tcW w:w="1411" w:type="dxa"/>
            <w:tcBorders>
              <w:top w:val="single" w:sz="4" w:space="0" w:color="auto"/>
              <w:left w:val="single" w:sz="4" w:space="0" w:color="auto"/>
              <w:bottom w:val="nil"/>
              <w:right w:val="nil"/>
            </w:tcBorders>
            <w:shd w:val="clear" w:color="auto" w:fill="auto"/>
            <w:noWrap/>
            <w:vAlign w:val="center"/>
            <w:hideMark/>
          </w:tcPr>
          <w:p w14:paraId="3279ED67" w14:textId="77777777" w:rsidR="00387142" w:rsidRPr="008B6A75" w:rsidRDefault="00387142" w:rsidP="00387142">
            <w:pPr>
              <w:jc w:val="center"/>
              <w:rPr>
                <w:sz w:val="20"/>
                <w:szCs w:val="20"/>
              </w:rPr>
            </w:pPr>
            <w:r w:rsidRPr="008B6A75">
              <w:rPr>
                <w:sz w:val="20"/>
                <w:szCs w:val="20"/>
              </w:rPr>
              <w:t>07.2.00.79500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0A9547F6" w14:textId="77777777" w:rsidR="00387142" w:rsidRPr="008B6A75" w:rsidRDefault="00387142" w:rsidP="00387142">
            <w:pPr>
              <w:jc w:val="center"/>
              <w:rPr>
                <w:sz w:val="20"/>
                <w:szCs w:val="20"/>
              </w:rPr>
            </w:pPr>
            <w:r w:rsidRPr="008B6A75">
              <w:rPr>
                <w:sz w:val="20"/>
                <w:szCs w:val="20"/>
              </w:rPr>
              <w:t>600</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1BF65D0B" w14:textId="77777777" w:rsidR="00387142" w:rsidRPr="008B6A75" w:rsidRDefault="00387142" w:rsidP="00387142">
            <w:pPr>
              <w:jc w:val="right"/>
              <w:rPr>
                <w:sz w:val="20"/>
                <w:szCs w:val="20"/>
              </w:rPr>
            </w:pPr>
            <w:r w:rsidRPr="008B6A75">
              <w:rPr>
                <w:sz w:val="20"/>
                <w:szCs w:val="20"/>
              </w:rPr>
              <w:t>716 983,80</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555C3D12" w14:textId="77777777" w:rsidR="00387142" w:rsidRPr="008B6A75" w:rsidRDefault="00387142" w:rsidP="00387142">
            <w:pPr>
              <w:jc w:val="right"/>
              <w:rPr>
                <w:sz w:val="20"/>
                <w:szCs w:val="20"/>
              </w:rPr>
            </w:pPr>
            <w:r w:rsidRPr="008B6A75">
              <w:rPr>
                <w:sz w:val="20"/>
                <w:szCs w:val="20"/>
              </w:rPr>
              <w:t>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4E9FBFB8" w14:textId="77777777" w:rsidR="00387142" w:rsidRPr="008B6A75" w:rsidRDefault="00387142" w:rsidP="00387142">
            <w:pPr>
              <w:jc w:val="right"/>
              <w:rPr>
                <w:sz w:val="20"/>
                <w:szCs w:val="20"/>
              </w:rPr>
            </w:pPr>
            <w:r w:rsidRPr="008B6A75">
              <w:rPr>
                <w:sz w:val="20"/>
                <w:szCs w:val="20"/>
              </w:rPr>
              <w:t>0,00</w:t>
            </w:r>
          </w:p>
        </w:tc>
        <w:tc>
          <w:tcPr>
            <w:tcW w:w="222" w:type="dxa"/>
            <w:vAlign w:val="center"/>
            <w:hideMark/>
          </w:tcPr>
          <w:p w14:paraId="618ACA10" w14:textId="77777777" w:rsidR="00387142" w:rsidRPr="008B6A75" w:rsidRDefault="00387142" w:rsidP="00387142">
            <w:pPr>
              <w:rPr>
                <w:sz w:val="20"/>
                <w:szCs w:val="20"/>
              </w:rPr>
            </w:pPr>
          </w:p>
        </w:tc>
      </w:tr>
      <w:tr w:rsidR="00387142" w:rsidRPr="008B6A75" w14:paraId="7219FCD7" w14:textId="77777777" w:rsidTr="00387142">
        <w:trPr>
          <w:trHeight w:val="300"/>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7715CA79" w14:textId="77777777" w:rsidR="00387142" w:rsidRPr="008B6A75" w:rsidRDefault="00387142" w:rsidP="00387142">
            <w:pPr>
              <w:rPr>
                <w:sz w:val="20"/>
                <w:szCs w:val="20"/>
              </w:rPr>
            </w:pPr>
            <w:r w:rsidRPr="008B6A75">
              <w:rPr>
                <w:sz w:val="20"/>
                <w:szCs w:val="20"/>
              </w:rPr>
              <w:t>Субсидии бюджетным учреждениям</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1A0582D0" w14:textId="77777777" w:rsidR="00387142" w:rsidRPr="008B6A75" w:rsidRDefault="00387142" w:rsidP="00387142">
            <w:pPr>
              <w:jc w:val="center"/>
              <w:rPr>
                <w:sz w:val="20"/>
                <w:szCs w:val="20"/>
              </w:rPr>
            </w:pPr>
            <w:r w:rsidRPr="008B6A75">
              <w:rPr>
                <w:sz w:val="20"/>
                <w:szCs w:val="20"/>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60782CF8" w14:textId="77777777" w:rsidR="00387142" w:rsidRPr="008B6A75" w:rsidRDefault="00387142" w:rsidP="00387142">
            <w:pPr>
              <w:jc w:val="center"/>
              <w:rPr>
                <w:sz w:val="20"/>
                <w:szCs w:val="20"/>
              </w:rPr>
            </w:pPr>
            <w:r w:rsidRPr="008B6A75">
              <w:rPr>
                <w:sz w:val="20"/>
                <w:szCs w:val="20"/>
              </w:rPr>
              <w:t>07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6203E7" w14:textId="77777777" w:rsidR="00387142" w:rsidRPr="008B6A75" w:rsidRDefault="00387142" w:rsidP="00387142">
            <w:pPr>
              <w:jc w:val="center"/>
              <w:rPr>
                <w:sz w:val="20"/>
                <w:szCs w:val="20"/>
              </w:rPr>
            </w:pPr>
            <w:r w:rsidRPr="008B6A75">
              <w:rPr>
                <w:sz w:val="20"/>
                <w:szCs w:val="20"/>
              </w:rPr>
              <w:t>03</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343C9EA5" w14:textId="77777777" w:rsidR="00387142" w:rsidRPr="008B6A75" w:rsidRDefault="00387142" w:rsidP="00387142">
            <w:pPr>
              <w:jc w:val="center"/>
              <w:rPr>
                <w:sz w:val="20"/>
                <w:szCs w:val="20"/>
              </w:rPr>
            </w:pPr>
            <w:r w:rsidRPr="008B6A75">
              <w:rPr>
                <w:sz w:val="20"/>
                <w:szCs w:val="20"/>
              </w:rPr>
              <w:t>07.2.00.79500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9EDECF" w14:textId="77777777" w:rsidR="00387142" w:rsidRPr="008B6A75" w:rsidRDefault="00387142" w:rsidP="00387142">
            <w:pPr>
              <w:jc w:val="center"/>
              <w:rPr>
                <w:sz w:val="20"/>
                <w:szCs w:val="20"/>
              </w:rPr>
            </w:pPr>
            <w:r w:rsidRPr="008B6A75">
              <w:rPr>
                <w:sz w:val="20"/>
                <w:szCs w:val="20"/>
              </w:rPr>
              <w:t>610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D66DE3" w14:textId="77777777" w:rsidR="00387142" w:rsidRPr="008B6A75" w:rsidRDefault="00387142" w:rsidP="00387142">
            <w:pPr>
              <w:jc w:val="right"/>
              <w:rPr>
                <w:sz w:val="20"/>
                <w:szCs w:val="20"/>
              </w:rPr>
            </w:pPr>
            <w:r w:rsidRPr="008B6A75">
              <w:rPr>
                <w:sz w:val="20"/>
                <w:szCs w:val="20"/>
              </w:rPr>
              <w:t>716 983,80</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16426A45" w14:textId="77777777" w:rsidR="00387142" w:rsidRPr="008B6A75" w:rsidRDefault="00387142" w:rsidP="00387142">
            <w:pPr>
              <w:jc w:val="right"/>
              <w:rPr>
                <w:sz w:val="20"/>
                <w:szCs w:val="20"/>
              </w:rPr>
            </w:pPr>
            <w:r w:rsidRPr="008B6A75">
              <w:rPr>
                <w:sz w:val="20"/>
                <w:szCs w:val="20"/>
              </w:rPr>
              <w:t>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F39384" w14:textId="77777777" w:rsidR="00387142" w:rsidRPr="008B6A75" w:rsidRDefault="00387142" w:rsidP="00387142">
            <w:pPr>
              <w:jc w:val="right"/>
              <w:rPr>
                <w:sz w:val="20"/>
                <w:szCs w:val="20"/>
              </w:rPr>
            </w:pPr>
            <w:r w:rsidRPr="008B6A75">
              <w:rPr>
                <w:sz w:val="20"/>
                <w:szCs w:val="20"/>
              </w:rPr>
              <w:t>0,00</w:t>
            </w:r>
          </w:p>
        </w:tc>
        <w:tc>
          <w:tcPr>
            <w:tcW w:w="222" w:type="dxa"/>
            <w:vAlign w:val="center"/>
            <w:hideMark/>
          </w:tcPr>
          <w:p w14:paraId="776ED623" w14:textId="77777777" w:rsidR="00387142" w:rsidRPr="008B6A75" w:rsidRDefault="00387142" w:rsidP="00387142">
            <w:pPr>
              <w:rPr>
                <w:sz w:val="20"/>
                <w:szCs w:val="20"/>
              </w:rPr>
            </w:pPr>
          </w:p>
        </w:tc>
      </w:tr>
      <w:tr w:rsidR="00387142" w:rsidRPr="008B6A75" w14:paraId="7ABE40B3" w14:textId="77777777" w:rsidTr="00387142">
        <w:trPr>
          <w:trHeight w:val="870"/>
        </w:trPr>
        <w:tc>
          <w:tcPr>
            <w:tcW w:w="3021" w:type="dxa"/>
            <w:tcBorders>
              <w:top w:val="nil"/>
              <w:left w:val="single" w:sz="4" w:space="0" w:color="auto"/>
              <w:bottom w:val="nil"/>
              <w:right w:val="nil"/>
            </w:tcBorders>
            <w:shd w:val="clear" w:color="auto" w:fill="auto"/>
            <w:vAlign w:val="center"/>
            <w:hideMark/>
          </w:tcPr>
          <w:p w14:paraId="6A05B552" w14:textId="77777777" w:rsidR="00387142" w:rsidRPr="008B6A75" w:rsidRDefault="00387142" w:rsidP="00387142">
            <w:pPr>
              <w:rPr>
                <w:bCs/>
                <w:sz w:val="20"/>
                <w:szCs w:val="20"/>
              </w:rPr>
            </w:pPr>
            <w:proofErr w:type="spellStart"/>
            <w:r w:rsidRPr="008B6A75">
              <w:rPr>
                <w:bCs/>
                <w:sz w:val="20"/>
                <w:szCs w:val="20"/>
              </w:rPr>
              <w:t>Подпрограмма"Развитие</w:t>
            </w:r>
            <w:proofErr w:type="spellEnd"/>
            <w:r w:rsidRPr="008B6A75">
              <w:rPr>
                <w:bCs/>
                <w:sz w:val="20"/>
                <w:szCs w:val="20"/>
              </w:rPr>
              <w:t xml:space="preserve"> кадрового потенциала системы дошкольного, общего и дополнительного образования детей"</w:t>
            </w:r>
          </w:p>
        </w:tc>
        <w:tc>
          <w:tcPr>
            <w:tcW w:w="850" w:type="dxa"/>
            <w:tcBorders>
              <w:top w:val="nil"/>
              <w:left w:val="single" w:sz="4" w:space="0" w:color="auto"/>
              <w:bottom w:val="nil"/>
              <w:right w:val="nil"/>
            </w:tcBorders>
            <w:shd w:val="clear" w:color="auto" w:fill="auto"/>
            <w:noWrap/>
            <w:vAlign w:val="center"/>
            <w:hideMark/>
          </w:tcPr>
          <w:p w14:paraId="7809F64F" w14:textId="77777777" w:rsidR="00387142" w:rsidRPr="008B6A75" w:rsidRDefault="00387142" w:rsidP="00387142">
            <w:pPr>
              <w:jc w:val="center"/>
              <w:rPr>
                <w:bCs/>
                <w:sz w:val="20"/>
                <w:szCs w:val="20"/>
              </w:rPr>
            </w:pPr>
            <w:r w:rsidRPr="008B6A75">
              <w:rPr>
                <w:bCs/>
                <w:sz w:val="20"/>
                <w:szCs w:val="20"/>
              </w:rPr>
              <w:t>444</w:t>
            </w:r>
          </w:p>
        </w:tc>
        <w:tc>
          <w:tcPr>
            <w:tcW w:w="709" w:type="dxa"/>
            <w:tcBorders>
              <w:top w:val="nil"/>
              <w:left w:val="single" w:sz="4" w:space="0" w:color="auto"/>
              <w:bottom w:val="nil"/>
              <w:right w:val="nil"/>
            </w:tcBorders>
            <w:shd w:val="clear" w:color="auto" w:fill="auto"/>
            <w:noWrap/>
            <w:vAlign w:val="center"/>
            <w:hideMark/>
          </w:tcPr>
          <w:p w14:paraId="313B27A4" w14:textId="77777777" w:rsidR="00387142" w:rsidRPr="008B6A75" w:rsidRDefault="00387142" w:rsidP="00387142">
            <w:pPr>
              <w:jc w:val="center"/>
              <w:rPr>
                <w:bCs/>
                <w:sz w:val="20"/>
                <w:szCs w:val="20"/>
              </w:rPr>
            </w:pPr>
            <w:r w:rsidRPr="008B6A75">
              <w:rPr>
                <w:bCs/>
                <w:sz w:val="20"/>
                <w:szCs w:val="20"/>
              </w:rPr>
              <w:t>07</w:t>
            </w:r>
          </w:p>
        </w:tc>
        <w:tc>
          <w:tcPr>
            <w:tcW w:w="709" w:type="dxa"/>
            <w:tcBorders>
              <w:top w:val="nil"/>
              <w:left w:val="single" w:sz="4" w:space="0" w:color="auto"/>
              <w:bottom w:val="nil"/>
              <w:right w:val="single" w:sz="4" w:space="0" w:color="auto"/>
            </w:tcBorders>
            <w:shd w:val="clear" w:color="auto" w:fill="auto"/>
            <w:noWrap/>
            <w:vAlign w:val="center"/>
            <w:hideMark/>
          </w:tcPr>
          <w:p w14:paraId="456C8AA1" w14:textId="77777777" w:rsidR="00387142" w:rsidRPr="008B6A75" w:rsidRDefault="00387142" w:rsidP="00387142">
            <w:pPr>
              <w:jc w:val="center"/>
              <w:rPr>
                <w:bCs/>
                <w:sz w:val="20"/>
                <w:szCs w:val="20"/>
              </w:rPr>
            </w:pPr>
            <w:r w:rsidRPr="008B6A75">
              <w:rPr>
                <w:bCs/>
                <w:sz w:val="20"/>
                <w:szCs w:val="20"/>
              </w:rPr>
              <w:t>03</w:t>
            </w:r>
          </w:p>
        </w:tc>
        <w:tc>
          <w:tcPr>
            <w:tcW w:w="1411" w:type="dxa"/>
            <w:tcBorders>
              <w:top w:val="nil"/>
              <w:left w:val="single" w:sz="4" w:space="0" w:color="auto"/>
              <w:bottom w:val="nil"/>
              <w:right w:val="nil"/>
            </w:tcBorders>
            <w:shd w:val="clear" w:color="auto" w:fill="auto"/>
            <w:noWrap/>
            <w:vAlign w:val="center"/>
            <w:hideMark/>
          </w:tcPr>
          <w:p w14:paraId="700F2A56" w14:textId="77777777" w:rsidR="00387142" w:rsidRPr="008B6A75" w:rsidRDefault="00387142" w:rsidP="00387142">
            <w:pPr>
              <w:jc w:val="center"/>
              <w:rPr>
                <w:bCs/>
                <w:sz w:val="20"/>
                <w:szCs w:val="20"/>
              </w:rPr>
            </w:pPr>
            <w:r w:rsidRPr="008B6A75">
              <w:rPr>
                <w:bCs/>
                <w:sz w:val="20"/>
                <w:szCs w:val="20"/>
              </w:rPr>
              <w:t>07.3.00.00000</w:t>
            </w:r>
          </w:p>
        </w:tc>
        <w:tc>
          <w:tcPr>
            <w:tcW w:w="955" w:type="dxa"/>
            <w:tcBorders>
              <w:top w:val="nil"/>
              <w:left w:val="single" w:sz="4" w:space="0" w:color="auto"/>
              <w:bottom w:val="nil"/>
              <w:right w:val="single" w:sz="4" w:space="0" w:color="auto"/>
            </w:tcBorders>
            <w:shd w:val="clear" w:color="auto" w:fill="auto"/>
            <w:noWrap/>
            <w:vAlign w:val="center"/>
            <w:hideMark/>
          </w:tcPr>
          <w:p w14:paraId="10D81C02"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nil"/>
              <w:right w:val="single" w:sz="4" w:space="0" w:color="auto"/>
            </w:tcBorders>
            <w:shd w:val="clear" w:color="auto" w:fill="auto"/>
            <w:noWrap/>
            <w:vAlign w:val="center"/>
            <w:hideMark/>
          </w:tcPr>
          <w:p w14:paraId="4DB72875" w14:textId="77777777" w:rsidR="00387142" w:rsidRPr="008B6A75" w:rsidRDefault="00387142" w:rsidP="00387142">
            <w:pPr>
              <w:jc w:val="right"/>
              <w:rPr>
                <w:bCs/>
                <w:sz w:val="20"/>
                <w:szCs w:val="20"/>
              </w:rPr>
            </w:pPr>
            <w:r w:rsidRPr="008B6A75">
              <w:rPr>
                <w:bCs/>
                <w:sz w:val="20"/>
                <w:szCs w:val="20"/>
              </w:rPr>
              <w:t>21 616,20</w:t>
            </w:r>
          </w:p>
        </w:tc>
        <w:tc>
          <w:tcPr>
            <w:tcW w:w="992" w:type="dxa"/>
            <w:gridSpan w:val="2"/>
            <w:tcBorders>
              <w:top w:val="nil"/>
              <w:left w:val="single" w:sz="4" w:space="0" w:color="auto"/>
              <w:bottom w:val="nil"/>
              <w:right w:val="nil"/>
            </w:tcBorders>
            <w:shd w:val="clear" w:color="auto" w:fill="auto"/>
            <w:noWrap/>
            <w:vAlign w:val="center"/>
            <w:hideMark/>
          </w:tcPr>
          <w:p w14:paraId="0697DF08" w14:textId="77777777" w:rsidR="00387142" w:rsidRPr="008B6A75" w:rsidRDefault="00387142" w:rsidP="00387142">
            <w:pPr>
              <w:jc w:val="right"/>
              <w:rPr>
                <w:bCs/>
                <w:sz w:val="20"/>
                <w:szCs w:val="20"/>
              </w:rPr>
            </w:pPr>
            <w:r w:rsidRPr="008B6A75">
              <w:rPr>
                <w:bCs/>
                <w:sz w:val="20"/>
                <w:szCs w:val="20"/>
              </w:rPr>
              <w:t>0,00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0B53F72C" w14:textId="77777777" w:rsidR="00387142" w:rsidRPr="008B6A75" w:rsidRDefault="00387142" w:rsidP="00387142">
            <w:pPr>
              <w:jc w:val="right"/>
              <w:rPr>
                <w:bCs/>
                <w:sz w:val="20"/>
                <w:szCs w:val="20"/>
              </w:rPr>
            </w:pPr>
            <w:r w:rsidRPr="008B6A75">
              <w:rPr>
                <w:bCs/>
                <w:sz w:val="20"/>
                <w:szCs w:val="20"/>
              </w:rPr>
              <w:t>0,00</w:t>
            </w:r>
          </w:p>
        </w:tc>
        <w:tc>
          <w:tcPr>
            <w:tcW w:w="222" w:type="dxa"/>
            <w:vAlign w:val="center"/>
            <w:hideMark/>
          </w:tcPr>
          <w:p w14:paraId="2F3E0E7B" w14:textId="77777777" w:rsidR="00387142" w:rsidRPr="008B6A75" w:rsidRDefault="00387142" w:rsidP="00387142">
            <w:pPr>
              <w:rPr>
                <w:sz w:val="20"/>
                <w:szCs w:val="20"/>
              </w:rPr>
            </w:pPr>
          </w:p>
        </w:tc>
      </w:tr>
      <w:tr w:rsidR="00387142" w:rsidRPr="008B6A75" w14:paraId="1EDB8C8A" w14:textId="77777777" w:rsidTr="00387142">
        <w:trPr>
          <w:trHeight w:val="1155"/>
        </w:trPr>
        <w:tc>
          <w:tcPr>
            <w:tcW w:w="3021" w:type="dxa"/>
            <w:tcBorders>
              <w:top w:val="single" w:sz="4" w:space="0" w:color="auto"/>
              <w:left w:val="single" w:sz="4" w:space="0" w:color="auto"/>
              <w:bottom w:val="nil"/>
              <w:right w:val="nil"/>
            </w:tcBorders>
            <w:shd w:val="clear" w:color="auto" w:fill="auto"/>
            <w:vAlign w:val="center"/>
            <w:hideMark/>
          </w:tcPr>
          <w:p w14:paraId="6FC4FFD2" w14:textId="77777777" w:rsidR="00387142" w:rsidRPr="008B6A75" w:rsidRDefault="00387142" w:rsidP="00387142">
            <w:pPr>
              <w:rPr>
                <w:bCs/>
                <w:sz w:val="20"/>
                <w:szCs w:val="20"/>
              </w:rPr>
            </w:pPr>
            <w:r w:rsidRPr="008B6A75">
              <w:rPr>
                <w:bCs/>
                <w:sz w:val="20"/>
                <w:szCs w:val="20"/>
              </w:rPr>
              <w:t>Реализация мероприятий подпрограммы "Развитие кадрового потенциала системы дошкольного, общего и дополнительного образования детей"</w:t>
            </w:r>
          </w:p>
        </w:tc>
        <w:tc>
          <w:tcPr>
            <w:tcW w:w="850" w:type="dxa"/>
            <w:tcBorders>
              <w:top w:val="single" w:sz="4" w:space="0" w:color="auto"/>
              <w:left w:val="single" w:sz="4" w:space="0" w:color="auto"/>
              <w:bottom w:val="nil"/>
              <w:right w:val="nil"/>
            </w:tcBorders>
            <w:shd w:val="clear" w:color="auto" w:fill="auto"/>
            <w:noWrap/>
            <w:vAlign w:val="center"/>
            <w:hideMark/>
          </w:tcPr>
          <w:p w14:paraId="73971199" w14:textId="77777777" w:rsidR="00387142" w:rsidRPr="008B6A75" w:rsidRDefault="00387142" w:rsidP="00387142">
            <w:pPr>
              <w:jc w:val="center"/>
              <w:rPr>
                <w:bCs/>
                <w:sz w:val="20"/>
                <w:szCs w:val="20"/>
              </w:rPr>
            </w:pPr>
            <w:r w:rsidRPr="008B6A75">
              <w:rPr>
                <w:bCs/>
                <w:sz w:val="20"/>
                <w:szCs w:val="20"/>
              </w:rPr>
              <w:t>444</w:t>
            </w:r>
          </w:p>
        </w:tc>
        <w:tc>
          <w:tcPr>
            <w:tcW w:w="709" w:type="dxa"/>
            <w:tcBorders>
              <w:top w:val="single" w:sz="4" w:space="0" w:color="auto"/>
              <w:left w:val="single" w:sz="4" w:space="0" w:color="auto"/>
              <w:bottom w:val="nil"/>
              <w:right w:val="nil"/>
            </w:tcBorders>
            <w:shd w:val="clear" w:color="auto" w:fill="auto"/>
            <w:noWrap/>
            <w:vAlign w:val="center"/>
            <w:hideMark/>
          </w:tcPr>
          <w:p w14:paraId="058B1398" w14:textId="77777777" w:rsidR="00387142" w:rsidRPr="008B6A75" w:rsidRDefault="00387142" w:rsidP="00387142">
            <w:pPr>
              <w:jc w:val="center"/>
              <w:rPr>
                <w:bCs/>
                <w:sz w:val="20"/>
                <w:szCs w:val="20"/>
              </w:rPr>
            </w:pPr>
            <w:r w:rsidRPr="008B6A75">
              <w:rPr>
                <w:bCs/>
                <w:sz w:val="20"/>
                <w:szCs w:val="20"/>
              </w:rPr>
              <w:t>07</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437B6F2F" w14:textId="77777777" w:rsidR="00387142" w:rsidRPr="008B6A75" w:rsidRDefault="00387142" w:rsidP="00387142">
            <w:pPr>
              <w:jc w:val="center"/>
              <w:rPr>
                <w:bCs/>
                <w:sz w:val="20"/>
                <w:szCs w:val="20"/>
              </w:rPr>
            </w:pPr>
            <w:r w:rsidRPr="008B6A75">
              <w:rPr>
                <w:bCs/>
                <w:sz w:val="20"/>
                <w:szCs w:val="20"/>
              </w:rPr>
              <w:t>03</w:t>
            </w:r>
          </w:p>
        </w:tc>
        <w:tc>
          <w:tcPr>
            <w:tcW w:w="1411" w:type="dxa"/>
            <w:tcBorders>
              <w:top w:val="single" w:sz="4" w:space="0" w:color="auto"/>
              <w:left w:val="single" w:sz="4" w:space="0" w:color="auto"/>
              <w:bottom w:val="nil"/>
              <w:right w:val="nil"/>
            </w:tcBorders>
            <w:shd w:val="clear" w:color="auto" w:fill="auto"/>
            <w:noWrap/>
            <w:vAlign w:val="center"/>
            <w:hideMark/>
          </w:tcPr>
          <w:p w14:paraId="7165240E" w14:textId="77777777" w:rsidR="00387142" w:rsidRPr="008B6A75" w:rsidRDefault="00387142" w:rsidP="00387142">
            <w:pPr>
              <w:jc w:val="center"/>
              <w:rPr>
                <w:bCs/>
                <w:sz w:val="20"/>
                <w:szCs w:val="20"/>
              </w:rPr>
            </w:pPr>
            <w:r w:rsidRPr="008B6A75">
              <w:rPr>
                <w:bCs/>
                <w:sz w:val="20"/>
                <w:szCs w:val="20"/>
              </w:rPr>
              <w:t>07.3.00.79500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50251FF3" w14:textId="77777777" w:rsidR="00387142" w:rsidRPr="008B6A75" w:rsidRDefault="00387142" w:rsidP="00387142">
            <w:pPr>
              <w:jc w:val="center"/>
              <w:rPr>
                <w:bCs/>
                <w:sz w:val="20"/>
                <w:szCs w:val="20"/>
              </w:rPr>
            </w:pPr>
            <w:r w:rsidRPr="008B6A75">
              <w:rPr>
                <w:bCs/>
                <w:sz w:val="20"/>
                <w:szCs w:val="20"/>
              </w:rPr>
              <w:t> </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3B4798A6" w14:textId="77777777" w:rsidR="00387142" w:rsidRPr="008B6A75" w:rsidRDefault="00387142" w:rsidP="00387142">
            <w:pPr>
              <w:jc w:val="right"/>
              <w:rPr>
                <w:bCs/>
                <w:sz w:val="20"/>
                <w:szCs w:val="20"/>
              </w:rPr>
            </w:pPr>
            <w:r w:rsidRPr="008B6A75">
              <w:rPr>
                <w:bCs/>
                <w:sz w:val="20"/>
                <w:szCs w:val="20"/>
              </w:rPr>
              <w:t>21 616,20</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44B7FD4F" w14:textId="77777777" w:rsidR="00387142" w:rsidRPr="008B6A75" w:rsidRDefault="00387142" w:rsidP="00387142">
            <w:pPr>
              <w:jc w:val="right"/>
              <w:rPr>
                <w:bCs/>
                <w:sz w:val="20"/>
                <w:szCs w:val="20"/>
              </w:rPr>
            </w:pPr>
            <w:r w:rsidRPr="008B6A75">
              <w:rPr>
                <w:bCs/>
                <w:sz w:val="20"/>
                <w:szCs w:val="20"/>
              </w:rPr>
              <w:t>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617D93D8" w14:textId="77777777" w:rsidR="00387142" w:rsidRPr="008B6A75" w:rsidRDefault="00387142" w:rsidP="00387142">
            <w:pPr>
              <w:jc w:val="right"/>
              <w:rPr>
                <w:bCs/>
                <w:sz w:val="20"/>
                <w:szCs w:val="20"/>
              </w:rPr>
            </w:pPr>
            <w:r w:rsidRPr="008B6A75">
              <w:rPr>
                <w:bCs/>
                <w:sz w:val="20"/>
                <w:szCs w:val="20"/>
              </w:rPr>
              <w:t>0,00</w:t>
            </w:r>
          </w:p>
        </w:tc>
        <w:tc>
          <w:tcPr>
            <w:tcW w:w="222" w:type="dxa"/>
            <w:vAlign w:val="center"/>
            <w:hideMark/>
          </w:tcPr>
          <w:p w14:paraId="299D9EA3" w14:textId="77777777" w:rsidR="00387142" w:rsidRPr="008B6A75" w:rsidRDefault="00387142" w:rsidP="00387142">
            <w:pPr>
              <w:rPr>
                <w:sz w:val="20"/>
                <w:szCs w:val="20"/>
              </w:rPr>
            </w:pPr>
          </w:p>
        </w:tc>
      </w:tr>
      <w:tr w:rsidR="00387142" w:rsidRPr="008B6A75" w14:paraId="005DA4AF" w14:textId="77777777" w:rsidTr="00387142">
        <w:trPr>
          <w:trHeight w:val="870"/>
        </w:trPr>
        <w:tc>
          <w:tcPr>
            <w:tcW w:w="3021" w:type="dxa"/>
            <w:tcBorders>
              <w:top w:val="single" w:sz="4" w:space="0" w:color="auto"/>
              <w:left w:val="single" w:sz="4" w:space="0" w:color="auto"/>
              <w:bottom w:val="nil"/>
              <w:right w:val="nil"/>
            </w:tcBorders>
            <w:shd w:val="clear" w:color="auto" w:fill="auto"/>
            <w:vAlign w:val="center"/>
            <w:hideMark/>
          </w:tcPr>
          <w:p w14:paraId="67AB3BE2" w14:textId="77777777" w:rsidR="00387142" w:rsidRPr="008B6A75" w:rsidRDefault="00387142" w:rsidP="00387142">
            <w:pPr>
              <w:rPr>
                <w:sz w:val="20"/>
                <w:szCs w:val="20"/>
              </w:rPr>
            </w:pPr>
            <w:r w:rsidRPr="008B6A75">
              <w:rPr>
                <w:sz w:val="20"/>
                <w:szCs w:val="20"/>
              </w:rPr>
              <w:t>Предоставление субсидий бюджетным, автономным учреждениям и иным некоммерческим организациям</w:t>
            </w:r>
          </w:p>
        </w:tc>
        <w:tc>
          <w:tcPr>
            <w:tcW w:w="850" w:type="dxa"/>
            <w:tcBorders>
              <w:top w:val="single" w:sz="4" w:space="0" w:color="auto"/>
              <w:left w:val="single" w:sz="4" w:space="0" w:color="auto"/>
              <w:bottom w:val="nil"/>
              <w:right w:val="nil"/>
            </w:tcBorders>
            <w:shd w:val="clear" w:color="auto" w:fill="auto"/>
            <w:noWrap/>
            <w:vAlign w:val="center"/>
            <w:hideMark/>
          </w:tcPr>
          <w:p w14:paraId="2F253E52" w14:textId="77777777" w:rsidR="00387142" w:rsidRPr="008B6A75" w:rsidRDefault="00387142" w:rsidP="00387142">
            <w:pPr>
              <w:jc w:val="center"/>
              <w:rPr>
                <w:sz w:val="20"/>
                <w:szCs w:val="20"/>
              </w:rPr>
            </w:pPr>
            <w:r w:rsidRPr="008B6A75">
              <w:rPr>
                <w:sz w:val="20"/>
                <w:szCs w:val="20"/>
              </w:rPr>
              <w:t>444</w:t>
            </w:r>
          </w:p>
        </w:tc>
        <w:tc>
          <w:tcPr>
            <w:tcW w:w="709" w:type="dxa"/>
            <w:tcBorders>
              <w:top w:val="single" w:sz="4" w:space="0" w:color="auto"/>
              <w:left w:val="single" w:sz="4" w:space="0" w:color="auto"/>
              <w:bottom w:val="nil"/>
              <w:right w:val="nil"/>
            </w:tcBorders>
            <w:shd w:val="clear" w:color="auto" w:fill="auto"/>
            <w:noWrap/>
            <w:vAlign w:val="center"/>
            <w:hideMark/>
          </w:tcPr>
          <w:p w14:paraId="42D494E0" w14:textId="77777777" w:rsidR="00387142" w:rsidRPr="008B6A75" w:rsidRDefault="00387142" w:rsidP="00387142">
            <w:pPr>
              <w:jc w:val="center"/>
              <w:rPr>
                <w:sz w:val="20"/>
                <w:szCs w:val="20"/>
              </w:rPr>
            </w:pPr>
            <w:r w:rsidRPr="008B6A75">
              <w:rPr>
                <w:sz w:val="20"/>
                <w:szCs w:val="20"/>
              </w:rPr>
              <w:t>07</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70601AFB" w14:textId="77777777" w:rsidR="00387142" w:rsidRPr="008B6A75" w:rsidRDefault="00387142" w:rsidP="00387142">
            <w:pPr>
              <w:jc w:val="center"/>
              <w:rPr>
                <w:sz w:val="20"/>
                <w:szCs w:val="20"/>
              </w:rPr>
            </w:pPr>
            <w:r w:rsidRPr="008B6A75">
              <w:rPr>
                <w:sz w:val="20"/>
                <w:szCs w:val="20"/>
              </w:rPr>
              <w:t>03</w:t>
            </w:r>
          </w:p>
        </w:tc>
        <w:tc>
          <w:tcPr>
            <w:tcW w:w="1411" w:type="dxa"/>
            <w:tcBorders>
              <w:top w:val="single" w:sz="4" w:space="0" w:color="auto"/>
              <w:left w:val="single" w:sz="4" w:space="0" w:color="auto"/>
              <w:bottom w:val="nil"/>
              <w:right w:val="nil"/>
            </w:tcBorders>
            <w:shd w:val="clear" w:color="auto" w:fill="auto"/>
            <w:noWrap/>
            <w:vAlign w:val="center"/>
            <w:hideMark/>
          </w:tcPr>
          <w:p w14:paraId="31F80592" w14:textId="77777777" w:rsidR="00387142" w:rsidRPr="008B6A75" w:rsidRDefault="00387142" w:rsidP="00387142">
            <w:pPr>
              <w:jc w:val="center"/>
              <w:rPr>
                <w:sz w:val="20"/>
                <w:szCs w:val="20"/>
              </w:rPr>
            </w:pPr>
            <w:r w:rsidRPr="008B6A75">
              <w:rPr>
                <w:sz w:val="20"/>
                <w:szCs w:val="20"/>
              </w:rPr>
              <w:t>07.3.00.79500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12FA8B95" w14:textId="77777777" w:rsidR="00387142" w:rsidRPr="008B6A75" w:rsidRDefault="00387142" w:rsidP="00387142">
            <w:pPr>
              <w:jc w:val="center"/>
              <w:rPr>
                <w:sz w:val="20"/>
                <w:szCs w:val="20"/>
              </w:rPr>
            </w:pPr>
            <w:r w:rsidRPr="008B6A75">
              <w:rPr>
                <w:sz w:val="20"/>
                <w:szCs w:val="20"/>
              </w:rPr>
              <w:t>600</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30C988EE" w14:textId="77777777" w:rsidR="00387142" w:rsidRPr="008B6A75" w:rsidRDefault="00387142" w:rsidP="00387142">
            <w:pPr>
              <w:jc w:val="right"/>
              <w:rPr>
                <w:sz w:val="20"/>
                <w:szCs w:val="20"/>
              </w:rPr>
            </w:pPr>
            <w:r w:rsidRPr="008B6A75">
              <w:rPr>
                <w:sz w:val="20"/>
                <w:szCs w:val="20"/>
              </w:rPr>
              <w:t>21 616,20</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3E96D5F9" w14:textId="77777777" w:rsidR="00387142" w:rsidRPr="008B6A75" w:rsidRDefault="00387142" w:rsidP="00387142">
            <w:pPr>
              <w:jc w:val="right"/>
              <w:rPr>
                <w:sz w:val="20"/>
                <w:szCs w:val="20"/>
              </w:rPr>
            </w:pPr>
            <w:r w:rsidRPr="008B6A75">
              <w:rPr>
                <w:sz w:val="20"/>
                <w:szCs w:val="20"/>
              </w:rPr>
              <w:t>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3B9B7E2F" w14:textId="77777777" w:rsidR="00387142" w:rsidRPr="008B6A75" w:rsidRDefault="00387142" w:rsidP="00387142">
            <w:pPr>
              <w:jc w:val="right"/>
              <w:rPr>
                <w:sz w:val="20"/>
                <w:szCs w:val="20"/>
              </w:rPr>
            </w:pPr>
            <w:r w:rsidRPr="008B6A75">
              <w:rPr>
                <w:sz w:val="20"/>
                <w:szCs w:val="20"/>
              </w:rPr>
              <w:t>0,00</w:t>
            </w:r>
          </w:p>
        </w:tc>
        <w:tc>
          <w:tcPr>
            <w:tcW w:w="222" w:type="dxa"/>
            <w:vAlign w:val="center"/>
            <w:hideMark/>
          </w:tcPr>
          <w:p w14:paraId="5744AAEA" w14:textId="77777777" w:rsidR="00387142" w:rsidRPr="008B6A75" w:rsidRDefault="00387142" w:rsidP="00387142">
            <w:pPr>
              <w:rPr>
                <w:sz w:val="20"/>
                <w:szCs w:val="20"/>
              </w:rPr>
            </w:pPr>
          </w:p>
        </w:tc>
      </w:tr>
      <w:tr w:rsidR="00387142" w:rsidRPr="008B6A75" w14:paraId="62D286F7" w14:textId="77777777" w:rsidTr="00387142">
        <w:trPr>
          <w:trHeight w:val="300"/>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2383809A" w14:textId="77777777" w:rsidR="00387142" w:rsidRPr="008B6A75" w:rsidRDefault="00387142" w:rsidP="00387142">
            <w:pPr>
              <w:rPr>
                <w:sz w:val="20"/>
                <w:szCs w:val="20"/>
              </w:rPr>
            </w:pPr>
            <w:r w:rsidRPr="008B6A75">
              <w:rPr>
                <w:sz w:val="20"/>
                <w:szCs w:val="20"/>
              </w:rPr>
              <w:t>Субсидии бюджетным учреждениям</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06E9622D" w14:textId="77777777" w:rsidR="00387142" w:rsidRPr="008B6A75" w:rsidRDefault="00387142" w:rsidP="00387142">
            <w:pPr>
              <w:jc w:val="center"/>
              <w:rPr>
                <w:sz w:val="20"/>
                <w:szCs w:val="20"/>
              </w:rPr>
            </w:pPr>
            <w:r w:rsidRPr="008B6A75">
              <w:rPr>
                <w:sz w:val="20"/>
                <w:szCs w:val="20"/>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42680C20" w14:textId="77777777" w:rsidR="00387142" w:rsidRPr="008B6A75" w:rsidRDefault="00387142" w:rsidP="00387142">
            <w:pPr>
              <w:jc w:val="center"/>
              <w:rPr>
                <w:sz w:val="20"/>
                <w:szCs w:val="20"/>
              </w:rPr>
            </w:pPr>
            <w:r w:rsidRPr="008B6A75">
              <w:rPr>
                <w:sz w:val="20"/>
                <w:szCs w:val="20"/>
              </w:rPr>
              <w:t>07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A5EECF" w14:textId="77777777" w:rsidR="00387142" w:rsidRPr="008B6A75" w:rsidRDefault="00387142" w:rsidP="00387142">
            <w:pPr>
              <w:jc w:val="center"/>
              <w:rPr>
                <w:sz w:val="20"/>
                <w:szCs w:val="20"/>
              </w:rPr>
            </w:pPr>
            <w:r w:rsidRPr="008B6A75">
              <w:rPr>
                <w:sz w:val="20"/>
                <w:szCs w:val="20"/>
              </w:rPr>
              <w:t>03</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74C7441A" w14:textId="77777777" w:rsidR="00387142" w:rsidRPr="008B6A75" w:rsidRDefault="00387142" w:rsidP="00387142">
            <w:pPr>
              <w:jc w:val="center"/>
              <w:rPr>
                <w:sz w:val="20"/>
                <w:szCs w:val="20"/>
              </w:rPr>
            </w:pPr>
            <w:r w:rsidRPr="008B6A75">
              <w:rPr>
                <w:sz w:val="20"/>
                <w:szCs w:val="20"/>
              </w:rPr>
              <w:t>07.3.00.79500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8C8F89" w14:textId="77777777" w:rsidR="00387142" w:rsidRPr="008B6A75" w:rsidRDefault="00387142" w:rsidP="00387142">
            <w:pPr>
              <w:jc w:val="center"/>
              <w:rPr>
                <w:sz w:val="20"/>
                <w:szCs w:val="20"/>
              </w:rPr>
            </w:pPr>
            <w:r w:rsidRPr="008B6A75">
              <w:rPr>
                <w:sz w:val="20"/>
                <w:szCs w:val="20"/>
              </w:rPr>
              <w:t>610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6B386F" w14:textId="77777777" w:rsidR="00387142" w:rsidRPr="008B6A75" w:rsidRDefault="00387142" w:rsidP="00387142">
            <w:pPr>
              <w:jc w:val="right"/>
              <w:rPr>
                <w:sz w:val="20"/>
                <w:szCs w:val="20"/>
              </w:rPr>
            </w:pPr>
            <w:r w:rsidRPr="008B6A75">
              <w:rPr>
                <w:sz w:val="20"/>
                <w:szCs w:val="20"/>
              </w:rPr>
              <w:t>21 616,20</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7E60E6F7" w14:textId="77777777" w:rsidR="00387142" w:rsidRPr="008B6A75" w:rsidRDefault="00387142" w:rsidP="00387142">
            <w:pPr>
              <w:jc w:val="right"/>
              <w:rPr>
                <w:sz w:val="20"/>
                <w:szCs w:val="20"/>
              </w:rPr>
            </w:pPr>
            <w:r w:rsidRPr="008B6A75">
              <w:rPr>
                <w:sz w:val="20"/>
                <w:szCs w:val="20"/>
              </w:rPr>
              <w:t>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89A09E" w14:textId="77777777" w:rsidR="00387142" w:rsidRPr="008B6A75" w:rsidRDefault="00387142" w:rsidP="00387142">
            <w:pPr>
              <w:jc w:val="right"/>
              <w:rPr>
                <w:sz w:val="20"/>
                <w:szCs w:val="20"/>
              </w:rPr>
            </w:pPr>
            <w:r w:rsidRPr="008B6A75">
              <w:rPr>
                <w:sz w:val="20"/>
                <w:szCs w:val="20"/>
              </w:rPr>
              <w:t>0,00</w:t>
            </w:r>
          </w:p>
        </w:tc>
        <w:tc>
          <w:tcPr>
            <w:tcW w:w="222" w:type="dxa"/>
            <w:vAlign w:val="center"/>
            <w:hideMark/>
          </w:tcPr>
          <w:p w14:paraId="48E3B639" w14:textId="77777777" w:rsidR="00387142" w:rsidRPr="008B6A75" w:rsidRDefault="00387142" w:rsidP="00387142">
            <w:pPr>
              <w:rPr>
                <w:sz w:val="20"/>
                <w:szCs w:val="20"/>
              </w:rPr>
            </w:pPr>
          </w:p>
        </w:tc>
      </w:tr>
      <w:tr w:rsidR="00387142" w:rsidRPr="008B6A75" w14:paraId="33D7D34E" w14:textId="77777777" w:rsidTr="00387142">
        <w:trPr>
          <w:trHeight w:val="300"/>
        </w:trPr>
        <w:tc>
          <w:tcPr>
            <w:tcW w:w="3021" w:type="dxa"/>
            <w:tcBorders>
              <w:top w:val="nil"/>
              <w:left w:val="single" w:sz="4" w:space="0" w:color="auto"/>
              <w:bottom w:val="nil"/>
              <w:right w:val="nil"/>
            </w:tcBorders>
            <w:shd w:val="clear" w:color="auto" w:fill="auto"/>
            <w:vAlign w:val="center"/>
            <w:hideMark/>
          </w:tcPr>
          <w:p w14:paraId="41909EE7" w14:textId="77777777" w:rsidR="00387142" w:rsidRPr="008B6A75" w:rsidRDefault="00387142" w:rsidP="00387142">
            <w:pPr>
              <w:rPr>
                <w:bCs/>
                <w:sz w:val="20"/>
                <w:szCs w:val="20"/>
              </w:rPr>
            </w:pPr>
            <w:r w:rsidRPr="008B6A75">
              <w:rPr>
                <w:bCs/>
                <w:sz w:val="20"/>
                <w:szCs w:val="20"/>
              </w:rPr>
              <w:t>Непрограммные направления бюджета</w:t>
            </w:r>
          </w:p>
        </w:tc>
        <w:tc>
          <w:tcPr>
            <w:tcW w:w="850" w:type="dxa"/>
            <w:tcBorders>
              <w:top w:val="nil"/>
              <w:left w:val="single" w:sz="4" w:space="0" w:color="auto"/>
              <w:bottom w:val="nil"/>
              <w:right w:val="nil"/>
            </w:tcBorders>
            <w:shd w:val="clear" w:color="auto" w:fill="auto"/>
            <w:noWrap/>
            <w:vAlign w:val="center"/>
            <w:hideMark/>
          </w:tcPr>
          <w:p w14:paraId="642CD058" w14:textId="77777777" w:rsidR="00387142" w:rsidRPr="008B6A75" w:rsidRDefault="00387142" w:rsidP="00387142">
            <w:pPr>
              <w:jc w:val="center"/>
              <w:rPr>
                <w:bCs/>
                <w:sz w:val="20"/>
                <w:szCs w:val="20"/>
              </w:rPr>
            </w:pPr>
            <w:r w:rsidRPr="008B6A75">
              <w:rPr>
                <w:bCs/>
                <w:sz w:val="20"/>
                <w:szCs w:val="20"/>
              </w:rPr>
              <w:t>444</w:t>
            </w:r>
          </w:p>
        </w:tc>
        <w:tc>
          <w:tcPr>
            <w:tcW w:w="709" w:type="dxa"/>
            <w:tcBorders>
              <w:top w:val="nil"/>
              <w:left w:val="single" w:sz="4" w:space="0" w:color="auto"/>
              <w:bottom w:val="nil"/>
              <w:right w:val="nil"/>
            </w:tcBorders>
            <w:shd w:val="clear" w:color="auto" w:fill="auto"/>
            <w:noWrap/>
            <w:vAlign w:val="center"/>
            <w:hideMark/>
          </w:tcPr>
          <w:p w14:paraId="2641A44D" w14:textId="77777777" w:rsidR="00387142" w:rsidRPr="008B6A75" w:rsidRDefault="00387142" w:rsidP="00387142">
            <w:pPr>
              <w:jc w:val="center"/>
              <w:rPr>
                <w:bCs/>
                <w:sz w:val="20"/>
                <w:szCs w:val="20"/>
              </w:rPr>
            </w:pPr>
            <w:r w:rsidRPr="008B6A75">
              <w:rPr>
                <w:bCs/>
                <w:sz w:val="20"/>
                <w:szCs w:val="20"/>
              </w:rPr>
              <w:t>07</w:t>
            </w:r>
          </w:p>
        </w:tc>
        <w:tc>
          <w:tcPr>
            <w:tcW w:w="709" w:type="dxa"/>
            <w:tcBorders>
              <w:top w:val="nil"/>
              <w:left w:val="single" w:sz="4" w:space="0" w:color="auto"/>
              <w:bottom w:val="nil"/>
              <w:right w:val="single" w:sz="4" w:space="0" w:color="auto"/>
            </w:tcBorders>
            <w:shd w:val="clear" w:color="auto" w:fill="auto"/>
            <w:noWrap/>
            <w:vAlign w:val="center"/>
            <w:hideMark/>
          </w:tcPr>
          <w:p w14:paraId="3F48D9C4" w14:textId="77777777" w:rsidR="00387142" w:rsidRPr="008B6A75" w:rsidRDefault="00387142" w:rsidP="00387142">
            <w:pPr>
              <w:jc w:val="center"/>
              <w:rPr>
                <w:bCs/>
                <w:sz w:val="20"/>
                <w:szCs w:val="20"/>
              </w:rPr>
            </w:pPr>
            <w:r w:rsidRPr="008B6A75">
              <w:rPr>
                <w:bCs/>
                <w:sz w:val="20"/>
                <w:szCs w:val="20"/>
              </w:rPr>
              <w:t>03</w:t>
            </w:r>
          </w:p>
        </w:tc>
        <w:tc>
          <w:tcPr>
            <w:tcW w:w="1411" w:type="dxa"/>
            <w:tcBorders>
              <w:top w:val="nil"/>
              <w:left w:val="single" w:sz="4" w:space="0" w:color="auto"/>
              <w:bottom w:val="nil"/>
              <w:right w:val="nil"/>
            </w:tcBorders>
            <w:shd w:val="clear" w:color="auto" w:fill="auto"/>
            <w:noWrap/>
            <w:vAlign w:val="center"/>
            <w:hideMark/>
          </w:tcPr>
          <w:p w14:paraId="68D70C18" w14:textId="77777777" w:rsidR="00387142" w:rsidRPr="008B6A75" w:rsidRDefault="00387142" w:rsidP="00387142">
            <w:pPr>
              <w:jc w:val="center"/>
              <w:rPr>
                <w:bCs/>
                <w:sz w:val="20"/>
                <w:szCs w:val="20"/>
              </w:rPr>
            </w:pPr>
            <w:r w:rsidRPr="008B6A75">
              <w:rPr>
                <w:bCs/>
                <w:sz w:val="20"/>
                <w:szCs w:val="20"/>
              </w:rPr>
              <w:t>99.0.00.00000</w:t>
            </w:r>
          </w:p>
        </w:tc>
        <w:tc>
          <w:tcPr>
            <w:tcW w:w="955" w:type="dxa"/>
            <w:tcBorders>
              <w:top w:val="nil"/>
              <w:left w:val="single" w:sz="4" w:space="0" w:color="auto"/>
              <w:bottom w:val="nil"/>
              <w:right w:val="single" w:sz="4" w:space="0" w:color="auto"/>
            </w:tcBorders>
            <w:shd w:val="clear" w:color="auto" w:fill="auto"/>
            <w:noWrap/>
            <w:vAlign w:val="center"/>
            <w:hideMark/>
          </w:tcPr>
          <w:p w14:paraId="1CF7D108"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nil"/>
              <w:right w:val="single" w:sz="4" w:space="0" w:color="auto"/>
            </w:tcBorders>
            <w:shd w:val="clear" w:color="auto" w:fill="auto"/>
            <w:noWrap/>
            <w:vAlign w:val="center"/>
            <w:hideMark/>
          </w:tcPr>
          <w:p w14:paraId="6A1AF15A" w14:textId="77777777" w:rsidR="00387142" w:rsidRPr="008B6A75" w:rsidRDefault="00387142" w:rsidP="00387142">
            <w:pPr>
              <w:jc w:val="right"/>
              <w:rPr>
                <w:bCs/>
                <w:sz w:val="20"/>
                <w:szCs w:val="20"/>
              </w:rPr>
            </w:pPr>
            <w:r w:rsidRPr="008B6A75">
              <w:rPr>
                <w:bCs/>
                <w:sz w:val="20"/>
                <w:szCs w:val="20"/>
              </w:rPr>
              <w:t>4 829 000,00</w:t>
            </w:r>
          </w:p>
        </w:tc>
        <w:tc>
          <w:tcPr>
            <w:tcW w:w="992" w:type="dxa"/>
            <w:gridSpan w:val="2"/>
            <w:tcBorders>
              <w:top w:val="nil"/>
              <w:left w:val="single" w:sz="4" w:space="0" w:color="auto"/>
              <w:bottom w:val="nil"/>
              <w:right w:val="nil"/>
            </w:tcBorders>
            <w:shd w:val="clear" w:color="auto" w:fill="auto"/>
            <w:noWrap/>
            <w:vAlign w:val="center"/>
            <w:hideMark/>
          </w:tcPr>
          <w:p w14:paraId="26A9F48C" w14:textId="77777777" w:rsidR="00387142" w:rsidRPr="008B6A75" w:rsidRDefault="00387142" w:rsidP="00387142">
            <w:pPr>
              <w:jc w:val="right"/>
              <w:rPr>
                <w:bCs/>
                <w:sz w:val="20"/>
                <w:szCs w:val="20"/>
              </w:rPr>
            </w:pPr>
            <w:r w:rsidRPr="008B6A75">
              <w:rPr>
                <w:bCs/>
                <w:sz w:val="20"/>
                <w:szCs w:val="20"/>
              </w:rPr>
              <w:t>0,00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61175315" w14:textId="77777777" w:rsidR="00387142" w:rsidRPr="008B6A75" w:rsidRDefault="00387142" w:rsidP="00387142">
            <w:pPr>
              <w:jc w:val="right"/>
              <w:rPr>
                <w:bCs/>
                <w:sz w:val="20"/>
                <w:szCs w:val="20"/>
              </w:rPr>
            </w:pPr>
            <w:r w:rsidRPr="008B6A75">
              <w:rPr>
                <w:bCs/>
                <w:sz w:val="20"/>
                <w:szCs w:val="20"/>
              </w:rPr>
              <w:t>0,00</w:t>
            </w:r>
          </w:p>
        </w:tc>
        <w:tc>
          <w:tcPr>
            <w:tcW w:w="222" w:type="dxa"/>
            <w:vAlign w:val="center"/>
            <w:hideMark/>
          </w:tcPr>
          <w:p w14:paraId="56DB3D9F" w14:textId="77777777" w:rsidR="00387142" w:rsidRPr="008B6A75" w:rsidRDefault="00387142" w:rsidP="00387142">
            <w:pPr>
              <w:rPr>
                <w:sz w:val="20"/>
                <w:szCs w:val="20"/>
              </w:rPr>
            </w:pPr>
          </w:p>
        </w:tc>
      </w:tr>
      <w:tr w:rsidR="00387142" w:rsidRPr="008B6A75" w14:paraId="7FAA8E21" w14:textId="77777777" w:rsidTr="00387142">
        <w:trPr>
          <w:trHeight w:val="1440"/>
        </w:trPr>
        <w:tc>
          <w:tcPr>
            <w:tcW w:w="3021" w:type="dxa"/>
            <w:tcBorders>
              <w:top w:val="single" w:sz="4" w:space="0" w:color="auto"/>
              <w:left w:val="single" w:sz="4" w:space="0" w:color="auto"/>
              <w:bottom w:val="nil"/>
              <w:right w:val="nil"/>
            </w:tcBorders>
            <w:shd w:val="clear" w:color="auto" w:fill="auto"/>
            <w:vAlign w:val="center"/>
            <w:hideMark/>
          </w:tcPr>
          <w:p w14:paraId="79D2294E" w14:textId="77777777" w:rsidR="00387142" w:rsidRPr="008B6A75" w:rsidRDefault="00387142" w:rsidP="00387142">
            <w:pPr>
              <w:rPr>
                <w:bCs/>
                <w:sz w:val="20"/>
                <w:szCs w:val="20"/>
              </w:rPr>
            </w:pPr>
            <w:r w:rsidRPr="008B6A75">
              <w:rPr>
                <w:bCs/>
                <w:sz w:val="20"/>
                <w:szCs w:val="20"/>
              </w:rPr>
              <w:t xml:space="preserve">Реализация мероприятий по обеспечению сбалансированности местных </w:t>
            </w:r>
            <w:proofErr w:type="gramStart"/>
            <w:r w:rsidRPr="008B6A75">
              <w:rPr>
                <w:bCs/>
                <w:sz w:val="20"/>
                <w:szCs w:val="20"/>
              </w:rPr>
              <w:t>бюджетов  государственной</w:t>
            </w:r>
            <w:proofErr w:type="gramEnd"/>
            <w:r w:rsidRPr="008B6A75">
              <w:rPr>
                <w:bCs/>
                <w:sz w:val="20"/>
                <w:szCs w:val="20"/>
              </w:rPr>
              <w:t xml:space="preserve"> программы Новосибирской области "Управление  финансами в Новосибирской области"</w:t>
            </w:r>
          </w:p>
        </w:tc>
        <w:tc>
          <w:tcPr>
            <w:tcW w:w="850" w:type="dxa"/>
            <w:tcBorders>
              <w:top w:val="single" w:sz="4" w:space="0" w:color="auto"/>
              <w:left w:val="single" w:sz="4" w:space="0" w:color="auto"/>
              <w:bottom w:val="nil"/>
              <w:right w:val="nil"/>
            </w:tcBorders>
            <w:shd w:val="clear" w:color="auto" w:fill="auto"/>
            <w:noWrap/>
            <w:vAlign w:val="center"/>
            <w:hideMark/>
          </w:tcPr>
          <w:p w14:paraId="0E878A9A" w14:textId="77777777" w:rsidR="00387142" w:rsidRPr="008B6A75" w:rsidRDefault="00387142" w:rsidP="00387142">
            <w:pPr>
              <w:jc w:val="center"/>
              <w:rPr>
                <w:bCs/>
                <w:sz w:val="20"/>
                <w:szCs w:val="20"/>
              </w:rPr>
            </w:pPr>
            <w:r w:rsidRPr="008B6A75">
              <w:rPr>
                <w:bCs/>
                <w:sz w:val="20"/>
                <w:szCs w:val="20"/>
              </w:rPr>
              <w:t>444</w:t>
            </w:r>
          </w:p>
        </w:tc>
        <w:tc>
          <w:tcPr>
            <w:tcW w:w="709" w:type="dxa"/>
            <w:tcBorders>
              <w:top w:val="single" w:sz="4" w:space="0" w:color="auto"/>
              <w:left w:val="single" w:sz="4" w:space="0" w:color="auto"/>
              <w:bottom w:val="nil"/>
              <w:right w:val="nil"/>
            </w:tcBorders>
            <w:shd w:val="clear" w:color="auto" w:fill="auto"/>
            <w:noWrap/>
            <w:vAlign w:val="center"/>
            <w:hideMark/>
          </w:tcPr>
          <w:p w14:paraId="00DCF3C4" w14:textId="77777777" w:rsidR="00387142" w:rsidRPr="008B6A75" w:rsidRDefault="00387142" w:rsidP="00387142">
            <w:pPr>
              <w:jc w:val="center"/>
              <w:rPr>
                <w:bCs/>
                <w:sz w:val="20"/>
                <w:szCs w:val="20"/>
              </w:rPr>
            </w:pPr>
            <w:r w:rsidRPr="008B6A75">
              <w:rPr>
                <w:bCs/>
                <w:sz w:val="20"/>
                <w:szCs w:val="20"/>
              </w:rPr>
              <w:t>07</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3780540F" w14:textId="77777777" w:rsidR="00387142" w:rsidRPr="008B6A75" w:rsidRDefault="00387142" w:rsidP="00387142">
            <w:pPr>
              <w:jc w:val="center"/>
              <w:rPr>
                <w:bCs/>
                <w:sz w:val="20"/>
                <w:szCs w:val="20"/>
              </w:rPr>
            </w:pPr>
            <w:r w:rsidRPr="008B6A75">
              <w:rPr>
                <w:bCs/>
                <w:sz w:val="20"/>
                <w:szCs w:val="20"/>
              </w:rPr>
              <w:t>03</w:t>
            </w:r>
          </w:p>
        </w:tc>
        <w:tc>
          <w:tcPr>
            <w:tcW w:w="1411" w:type="dxa"/>
            <w:tcBorders>
              <w:top w:val="single" w:sz="4" w:space="0" w:color="auto"/>
              <w:left w:val="single" w:sz="4" w:space="0" w:color="auto"/>
              <w:bottom w:val="nil"/>
              <w:right w:val="nil"/>
            </w:tcBorders>
            <w:shd w:val="clear" w:color="auto" w:fill="auto"/>
            <w:noWrap/>
            <w:vAlign w:val="center"/>
            <w:hideMark/>
          </w:tcPr>
          <w:p w14:paraId="5125A395" w14:textId="77777777" w:rsidR="00387142" w:rsidRPr="008B6A75" w:rsidRDefault="00387142" w:rsidP="00387142">
            <w:pPr>
              <w:jc w:val="center"/>
              <w:rPr>
                <w:bCs/>
                <w:sz w:val="20"/>
                <w:szCs w:val="20"/>
              </w:rPr>
            </w:pPr>
            <w:r w:rsidRPr="008B6A75">
              <w:rPr>
                <w:bCs/>
                <w:sz w:val="20"/>
                <w:szCs w:val="20"/>
              </w:rPr>
              <w:t>99.0.00.70510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2C017228" w14:textId="77777777" w:rsidR="00387142" w:rsidRPr="008B6A75" w:rsidRDefault="00387142" w:rsidP="00387142">
            <w:pPr>
              <w:jc w:val="center"/>
              <w:rPr>
                <w:bCs/>
                <w:sz w:val="20"/>
                <w:szCs w:val="20"/>
              </w:rPr>
            </w:pPr>
            <w:r w:rsidRPr="008B6A75">
              <w:rPr>
                <w:bCs/>
                <w:sz w:val="20"/>
                <w:szCs w:val="20"/>
              </w:rPr>
              <w:t> </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4E853901" w14:textId="77777777" w:rsidR="00387142" w:rsidRPr="008B6A75" w:rsidRDefault="00387142" w:rsidP="00387142">
            <w:pPr>
              <w:jc w:val="right"/>
              <w:rPr>
                <w:bCs/>
                <w:sz w:val="20"/>
                <w:szCs w:val="20"/>
              </w:rPr>
            </w:pPr>
            <w:r w:rsidRPr="008B6A75">
              <w:rPr>
                <w:bCs/>
                <w:sz w:val="20"/>
                <w:szCs w:val="20"/>
              </w:rPr>
              <w:t>4 829 000,00</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67E8B859" w14:textId="77777777" w:rsidR="00387142" w:rsidRPr="008B6A75" w:rsidRDefault="00387142" w:rsidP="00387142">
            <w:pPr>
              <w:jc w:val="right"/>
              <w:rPr>
                <w:bCs/>
                <w:sz w:val="20"/>
                <w:szCs w:val="20"/>
              </w:rPr>
            </w:pPr>
            <w:r w:rsidRPr="008B6A75">
              <w:rPr>
                <w:bCs/>
                <w:sz w:val="20"/>
                <w:szCs w:val="20"/>
              </w:rPr>
              <w:t>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65F51821" w14:textId="77777777" w:rsidR="00387142" w:rsidRPr="008B6A75" w:rsidRDefault="00387142" w:rsidP="00387142">
            <w:pPr>
              <w:jc w:val="right"/>
              <w:rPr>
                <w:bCs/>
                <w:sz w:val="20"/>
                <w:szCs w:val="20"/>
              </w:rPr>
            </w:pPr>
            <w:r w:rsidRPr="008B6A75">
              <w:rPr>
                <w:bCs/>
                <w:sz w:val="20"/>
                <w:szCs w:val="20"/>
              </w:rPr>
              <w:t>0,00</w:t>
            </w:r>
          </w:p>
        </w:tc>
        <w:tc>
          <w:tcPr>
            <w:tcW w:w="222" w:type="dxa"/>
            <w:vAlign w:val="center"/>
            <w:hideMark/>
          </w:tcPr>
          <w:p w14:paraId="06AB961D" w14:textId="77777777" w:rsidR="00387142" w:rsidRPr="008B6A75" w:rsidRDefault="00387142" w:rsidP="00387142">
            <w:pPr>
              <w:rPr>
                <w:sz w:val="20"/>
                <w:szCs w:val="20"/>
              </w:rPr>
            </w:pPr>
          </w:p>
        </w:tc>
      </w:tr>
      <w:tr w:rsidR="00387142" w:rsidRPr="008B6A75" w14:paraId="38EBAB14" w14:textId="77777777" w:rsidTr="00387142">
        <w:trPr>
          <w:trHeight w:val="1440"/>
        </w:trPr>
        <w:tc>
          <w:tcPr>
            <w:tcW w:w="3021" w:type="dxa"/>
            <w:tcBorders>
              <w:top w:val="single" w:sz="4" w:space="0" w:color="auto"/>
              <w:left w:val="single" w:sz="4" w:space="0" w:color="auto"/>
              <w:bottom w:val="nil"/>
              <w:right w:val="nil"/>
            </w:tcBorders>
            <w:shd w:val="clear" w:color="auto" w:fill="auto"/>
            <w:vAlign w:val="center"/>
            <w:hideMark/>
          </w:tcPr>
          <w:p w14:paraId="4D1B7FA6" w14:textId="77777777" w:rsidR="00387142" w:rsidRPr="008B6A75" w:rsidRDefault="00387142" w:rsidP="00387142">
            <w:pPr>
              <w:rPr>
                <w:sz w:val="20"/>
                <w:szCs w:val="20"/>
              </w:rPr>
            </w:pPr>
            <w:r w:rsidRPr="008B6A75">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nil"/>
              <w:right w:val="nil"/>
            </w:tcBorders>
            <w:shd w:val="clear" w:color="auto" w:fill="auto"/>
            <w:noWrap/>
            <w:vAlign w:val="center"/>
            <w:hideMark/>
          </w:tcPr>
          <w:p w14:paraId="32FCE04B" w14:textId="77777777" w:rsidR="00387142" w:rsidRPr="008B6A75" w:rsidRDefault="00387142" w:rsidP="00387142">
            <w:pPr>
              <w:jc w:val="center"/>
              <w:rPr>
                <w:sz w:val="20"/>
                <w:szCs w:val="20"/>
              </w:rPr>
            </w:pPr>
            <w:r w:rsidRPr="008B6A75">
              <w:rPr>
                <w:sz w:val="20"/>
                <w:szCs w:val="20"/>
              </w:rPr>
              <w:t>444</w:t>
            </w:r>
          </w:p>
        </w:tc>
        <w:tc>
          <w:tcPr>
            <w:tcW w:w="709" w:type="dxa"/>
            <w:tcBorders>
              <w:top w:val="single" w:sz="4" w:space="0" w:color="auto"/>
              <w:left w:val="single" w:sz="4" w:space="0" w:color="auto"/>
              <w:bottom w:val="nil"/>
              <w:right w:val="nil"/>
            </w:tcBorders>
            <w:shd w:val="clear" w:color="auto" w:fill="auto"/>
            <w:noWrap/>
            <w:vAlign w:val="center"/>
            <w:hideMark/>
          </w:tcPr>
          <w:p w14:paraId="2A3560AF" w14:textId="77777777" w:rsidR="00387142" w:rsidRPr="008B6A75" w:rsidRDefault="00387142" w:rsidP="00387142">
            <w:pPr>
              <w:jc w:val="center"/>
              <w:rPr>
                <w:sz w:val="20"/>
                <w:szCs w:val="20"/>
              </w:rPr>
            </w:pPr>
            <w:r w:rsidRPr="008B6A75">
              <w:rPr>
                <w:sz w:val="20"/>
                <w:szCs w:val="20"/>
              </w:rPr>
              <w:t>07</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5CCADF55" w14:textId="77777777" w:rsidR="00387142" w:rsidRPr="008B6A75" w:rsidRDefault="00387142" w:rsidP="00387142">
            <w:pPr>
              <w:jc w:val="center"/>
              <w:rPr>
                <w:sz w:val="20"/>
                <w:szCs w:val="20"/>
              </w:rPr>
            </w:pPr>
            <w:r w:rsidRPr="008B6A75">
              <w:rPr>
                <w:sz w:val="20"/>
                <w:szCs w:val="20"/>
              </w:rPr>
              <w:t>03</w:t>
            </w:r>
          </w:p>
        </w:tc>
        <w:tc>
          <w:tcPr>
            <w:tcW w:w="1411" w:type="dxa"/>
            <w:tcBorders>
              <w:top w:val="single" w:sz="4" w:space="0" w:color="auto"/>
              <w:left w:val="single" w:sz="4" w:space="0" w:color="auto"/>
              <w:bottom w:val="nil"/>
              <w:right w:val="nil"/>
            </w:tcBorders>
            <w:shd w:val="clear" w:color="auto" w:fill="auto"/>
            <w:noWrap/>
            <w:vAlign w:val="center"/>
            <w:hideMark/>
          </w:tcPr>
          <w:p w14:paraId="6DE69DD6" w14:textId="77777777" w:rsidR="00387142" w:rsidRPr="008B6A75" w:rsidRDefault="00387142" w:rsidP="00387142">
            <w:pPr>
              <w:jc w:val="center"/>
              <w:rPr>
                <w:sz w:val="20"/>
                <w:szCs w:val="20"/>
              </w:rPr>
            </w:pPr>
            <w:r w:rsidRPr="008B6A75">
              <w:rPr>
                <w:sz w:val="20"/>
                <w:szCs w:val="20"/>
              </w:rPr>
              <w:t>99.0.00.70510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43421267" w14:textId="77777777" w:rsidR="00387142" w:rsidRPr="008B6A75" w:rsidRDefault="00387142" w:rsidP="00387142">
            <w:pPr>
              <w:jc w:val="center"/>
              <w:rPr>
                <w:sz w:val="20"/>
                <w:szCs w:val="20"/>
              </w:rPr>
            </w:pPr>
            <w:r w:rsidRPr="008B6A75">
              <w:rPr>
                <w:sz w:val="20"/>
                <w:szCs w:val="20"/>
              </w:rPr>
              <w:t>100</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58C8D667" w14:textId="77777777" w:rsidR="00387142" w:rsidRPr="008B6A75" w:rsidRDefault="00387142" w:rsidP="00387142">
            <w:pPr>
              <w:jc w:val="right"/>
              <w:rPr>
                <w:sz w:val="20"/>
                <w:szCs w:val="20"/>
              </w:rPr>
            </w:pPr>
            <w:r w:rsidRPr="008B6A75">
              <w:rPr>
                <w:sz w:val="20"/>
                <w:szCs w:val="20"/>
              </w:rPr>
              <w:t>4 829 000,00</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2BD61738" w14:textId="77777777" w:rsidR="00387142" w:rsidRPr="008B6A75" w:rsidRDefault="00387142" w:rsidP="00387142">
            <w:pPr>
              <w:jc w:val="right"/>
              <w:rPr>
                <w:sz w:val="20"/>
                <w:szCs w:val="20"/>
              </w:rPr>
            </w:pPr>
            <w:r w:rsidRPr="008B6A75">
              <w:rPr>
                <w:sz w:val="20"/>
                <w:szCs w:val="20"/>
              </w:rPr>
              <w:t>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4F45851A" w14:textId="77777777" w:rsidR="00387142" w:rsidRPr="008B6A75" w:rsidRDefault="00387142" w:rsidP="00387142">
            <w:pPr>
              <w:jc w:val="right"/>
              <w:rPr>
                <w:sz w:val="20"/>
                <w:szCs w:val="20"/>
              </w:rPr>
            </w:pPr>
            <w:r w:rsidRPr="008B6A75">
              <w:rPr>
                <w:sz w:val="20"/>
                <w:szCs w:val="20"/>
              </w:rPr>
              <w:t>0,00</w:t>
            </w:r>
          </w:p>
        </w:tc>
        <w:tc>
          <w:tcPr>
            <w:tcW w:w="222" w:type="dxa"/>
            <w:vAlign w:val="center"/>
            <w:hideMark/>
          </w:tcPr>
          <w:p w14:paraId="39101468" w14:textId="77777777" w:rsidR="00387142" w:rsidRPr="008B6A75" w:rsidRDefault="00387142" w:rsidP="00387142">
            <w:pPr>
              <w:rPr>
                <w:sz w:val="20"/>
                <w:szCs w:val="20"/>
              </w:rPr>
            </w:pPr>
          </w:p>
        </w:tc>
      </w:tr>
      <w:tr w:rsidR="00387142" w:rsidRPr="008B6A75" w14:paraId="6728504F" w14:textId="77777777" w:rsidTr="00387142">
        <w:trPr>
          <w:trHeight w:val="585"/>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440EFB2D" w14:textId="77777777" w:rsidR="00387142" w:rsidRPr="008B6A75" w:rsidRDefault="00387142" w:rsidP="00387142">
            <w:pPr>
              <w:rPr>
                <w:sz w:val="20"/>
                <w:szCs w:val="20"/>
              </w:rPr>
            </w:pPr>
            <w:r w:rsidRPr="008B6A75">
              <w:rPr>
                <w:sz w:val="20"/>
                <w:szCs w:val="20"/>
              </w:rPr>
              <w:t>Расходы на выплаты персоналу казенных учреждений</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0DC6D02E" w14:textId="77777777" w:rsidR="00387142" w:rsidRPr="008B6A75" w:rsidRDefault="00387142" w:rsidP="00387142">
            <w:pPr>
              <w:jc w:val="center"/>
              <w:rPr>
                <w:sz w:val="20"/>
                <w:szCs w:val="20"/>
              </w:rPr>
            </w:pPr>
            <w:r w:rsidRPr="008B6A75">
              <w:rPr>
                <w:sz w:val="20"/>
                <w:szCs w:val="20"/>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1F2D3E98" w14:textId="77777777" w:rsidR="00387142" w:rsidRPr="008B6A75" w:rsidRDefault="00387142" w:rsidP="00387142">
            <w:pPr>
              <w:jc w:val="center"/>
              <w:rPr>
                <w:sz w:val="20"/>
                <w:szCs w:val="20"/>
              </w:rPr>
            </w:pPr>
            <w:r w:rsidRPr="008B6A75">
              <w:rPr>
                <w:sz w:val="20"/>
                <w:szCs w:val="20"/>
              </w:rPr>
              <w:t>07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C70471" w14:textId="77777777" w:rsidR="00387142" w:rsidRPr="008B6A75" w:rsidRDefault="00387142" w:rsidP="00387142">
            <w:pPr>
              <w:jc w:val="center"/>
              <w:rPr>
                <w:sz w:val="20"/>
                <w:szCs w:val="20"/>
              </w:rPr>
            </w:pPr>
            <w:r w:rsidRPr="008B6A75">
              <w:rPr>
                <w:sz w:val="20"/>
                <w:szCs w:val="20"/>
              </w:rPr>
              <w:t>03</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5F0237DE" w14:textId="77777777" w:rsidR="00387142" w:rsidRPr="008B6A75" w:rsidRDefault="00387142" w:rsidP="00387142">
            <w:pPr>
              <w:jc w:val="center"/>
              <w:rPr>
                <w:sz w:val="20"/>
                <w:szCs w:val="20"/>
              </w:rPr>
            </w:pPr>
            <w:r w:rsidRPr="008B6A75">
              <w:rPr>
                <w:sz w:val="20"/>
                <w:szCs w:val="20"/>
              </w:rPr>
              <w:t>99.0.00.70510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263129" w14:textId="77777777" w:rsidR="00387142" w:rsidRPr="008B6A75" w:rsidRDefault="00387142" w:rsidP="00387142">
            <w:pPr>
              <w:jc w:val="center"/>
              <w:rPr>
                <w:sz w:val="20"/>
                <w:szCs w:val="20"/>
              </w:rPr>
            </w:pPr>
            <w:r w:rsidRPr="008B6A75">
              <w:rPr>
                <w:sz w:val="20"/>
                <w:szCs w:val="20"/>
              </w:rPr>
              <w:t>110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38F938" w14:textId="77777777" w:rsidR="00387142" w:rsidRPr="008B6A75" w:rsidRDefault="00387142" w:rsidP="00387142">
            <w:pPr>
              <w:jc w:val="right"/>
              <w:rPr>
                <w:sz w:val="20"/>
                <w:szCs w:val="20"/>
              </w:rPr>
            </w:pPr>
            <w:r w:rsidRPr="008B6A75">
              <w:rPr>
                <w:sz w:val="20"/>
                <w:szCs w:val="20"/>
              </w:rPr>
              <w:t>4 829 000,00</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73BD8E9D" w14:textId="77777777" w:rsidR="00387142" w:rsidRPr="008B6A75" w:rsidRDefault="00387142" w:rsidP="00387142">
            <w:pPr>
              <w:jc w:val="right"/>
              <w:rPr>
                <w:sz w:val="20"/>
                <w:szCs w:val="20"/>
              </w:rPr>
            </w:pPr>
            <w:r w:rsidRPr="008B6A75">
              <w:rPr>
                <w:sz w:val="20"/>
                <w:szCs w:val="20"/>
              </w:rPr>
              <w:t>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1522DB" w14:textId="77777777" w:rsidR="00387142" w:rsidRPr="008B6A75" w:rsidRDefault="00387142" w:rsidP="00387142">
            <w:pPr>
              <w:jc w:val="right"/>
              <w:rPr>
                <w:sz w:val="20"/>
                <w:szCs w:val="20"/>
              </w:rPr>
            </w:pPr>
            <w:r w:rsidRPr="008B6A75">
              <w:rPr>
                <w:sz w:val="20"/>
                <w:szCs w:val="20"/>
              </w:rPr>
              <w:t>0,00</w:t>
            </w:r>
          </w:p>
        </w:tc>
        <w:tc>
          <w:tcPr>
            <w:tcW w:w="222" w:type="dxa"/>
            <w:vAlign w:val="center"/>
            <w:hideMark/>
          </w:tcPr>
          <w:p w14:paraId="27E71549" w14:textId="77777777" w:rsidR="00387142" w:rsidRPr="008B6A75" w:rsidRDefault="00387142" w:rsidP="00387142">
            <w:pPr>
              <w:rPr>
                <w:sz w:val="20"/>
                <w:szCs w:val="20"/>
              </w:rPr>
            </w:pPr>
          </w:p>
        </w:tc>
      </w:tr>
      <w:tr w:rsidR="00387142" w:rsidRPr="008B6A75" w14:paraId="038682C4" w14:textId="77777777" w:rsidTr="00387142">
        <w:trPr>
          <w:trHeight w:val="585"/>
        </w:trPr>
        <w:tc>
          <w:tcPr>
            <w:tcW w:w="3021" w:type="dxa"/>
            <w:tcBorders>
              <w:top w:val="nil"/>
              <w:left w:val="single" w:sz="4" w:space="0" w:color="auto"/>
              <w:bottom w:val="nil"/>
              <w:right w:val="nil"/>
            </w:tcBorders>
            <w:shd w:val="clear" w:color="auto" w:fill="auto"/>
            <w:vAlign w:val="center"/>
            <w:hideMark/>
          </w:tcPr>
          <w:p w14:paraId="109DC8C9" w14:textId="77777777" w:rsidR="00387142" w:rsidRPr="008B6A75" w:rsidRDefault="00387142" w:rsidP="00387142">
            <w:pPr>
              <w:rPr>
                <w:bCs/>
                <w:sz w:val="20"/>
                <w:szCs w:val="20"/>
              </w:rPr>
            </w:pPr>
            <w:r w:rsidRPr="008B6A75">
              <w:rPr>
                <w:bCs/>
                <w:sz w:val="20"/>
                <w:szCs w:val="20"/>
              </w:rPr>
              <w:t>Профессиональная подготовка, переподготовка и повышение квалификации</w:t>
            </w:r>
          </w:p>
        </w:tc>
        <w:tc>
          <w:tcPr>
            <w:tcW w:w="850" w:type="dxa"/>
            <w:tcBorders>
              <w:top w:val="nil"/>
              <w:left w:val="single" w:sz="4" w:space="0" w:color="auto"/>
              <w:bottom w:val="nil"/>
              <w:right w:val="nil"/>
            </w:tcBorders>
            <w:shd w:val="clear" w:color="auto" w:fill="auto"/>
            <w:noWrap/>
            <w:vAlign w:val="center"/>
            <w:hideMark/>
          </w:tcPr>
          <w:p w14:paraId="102C7195" w14:textId="77777777" w:rsidR="00387142" w:rsidRPr="008B6A75" w:rsidRDefault="00387142" w:rsidP="00387142">
            <w:pPr>
              <w:jc w:val="center"/>
              <w:rPr>
                <w:bCs/>
                <w:sz w:val="20"/>
                <w:szCs w:val="20"/>
              </w:rPr>
            </w:pPr>
            <w:r w:rsidRPr="008B6A75">
              <w:rPr>
                <w:bCs/>
                <w:sz w:val="20"/>
                <w:szCs w:val="20"/>
              </w:rPr>
              <w:t>444</w:t>
            </w:r>
          </w:p>
        </w:tc>
        <w:tc>
          <w:tcPr>
            <w:tcW w:w="709" w:type="dxa"/>
            <w:tcBorders>
              <w:top w:val="nil"/>
              <w:left w:val="single" w:sz="4" w:space="0" w:color="auto"/>
              <w:bottom w:val="nil"/>
              <w:right w:val="nil"/>
            </w:tcBorders>
            <w:shd w:val="clear" w:color="auto" w:fill="auto"/>
            <w:noWrap/>
            <w:vAlign w:val="center"/>
            <w:hideMark/>
          </w:tcPr>
          <w:p w14:paraId="140E1B34" w14:textId="77777777" w:rsidR="00387142" w:rsidRPr="008B6A75" w:rsidRDefault="00387142" w:rsidP="00387142">
            <w:pPr>
              <w:jc w:val="center"/>
              <w:rPr>
                <w:bCs/>
                <w:sz w:val="20"/>
                <w:szCs w:val="20"/>
              </w:rPr>
            </w:pPr>
            <w:r w:rsidRPr="008B6A75">
              <w:rPr>
                <w:bCs/>
                <w:sz w:val="20"/>
                <w:szCs w:val="20"/>
              </w:rPr>
              <w:t>07</w:t>
            </w:r>
          </w:p>
        </w:tc>
        <w:tc>
          <w:tcPr>
            <w:tcW w:w="709" w:type="dxa"/>
            <w:tcBorders>
              <w:top w:val="nil"/>
              <w:left w:val="single" w:sz="4" w:space="0" w:color="auto"/>
              <w:bottom w:val="nil"/>
              <w:right w:val="single" w:sz="4" w:space="0" w:color="auto"/>
            </w:tcBorders>
            <w:shd w:val="clear" w:color="auto" w:fill="auto"/>
            <w:noWrap/>
            <w:vAlign w:val="center"/>
            <w:hideMark/>
          </w:tcPr>
          <w:p w14:paraId="7C364499" w14:textId="77777777" w:rsidR="00387142" w:rsidRPr="008B6A75" w:rsidRDefault="00387142" w:rsidP="00387142">
            <w:pPr>
              <w:jc w:val="center"/>
              <w:rPr>
                <w:bCs/>
                <w:sz w:val="20"/>
                <w:szCs w:val="20"/>
              </w:rPr>
            </w:pPr>
            <w:r w:rsidRPr="008B6A75">
              <w:rPr>
                <w:bCs/>
                <w:sz w:val="20"/>
                <w:szCs w:val="20"/>
              </w:rPr>
              <w:t>05</w:t>
            </w:r>
          </w:p>
        </w:tc>
        <w:tc>
          <w:tcPr>
            <w:tcW w:w="1411" w:type="dxa"/>
            <w:tcBorders>
              <w:top w:val="nil"/>
              <w:left w:val="single" w:sz="4" w:space="0" w:color="auto"/>
              <w:bottom w:val="nil"/>
              <w:right w:val="nil"/>
            </w:tcBorders>
            <w:shd w:val="clear" w:color="auto" w:fill="auto"/>
            <w:noWrap/>
            <w:vAlign w:val="center"/>
            <w:hideMark/>
          </w:tcPr>
          <w:p w14:paraId="48F28FF4" w14:textId="77777777" w:rsidR="00387142" w:rsidRPr="008B6A75" w:rsidRDefault="00387142" w:rsidP="00387142">
            <w:pPr>
              <w:jc w:val="center"/>
              <w:rPr>
                <w:bCs/>
                <w:sz w:val="20"/>
                <w:szCs w:val="20"/>
              </w:rPr>
            </w:pPr>
            <w:r w:rsidRPr="008B6A75">
              <w:rPr>
                <w:bCs/>
                <w:sz w:val="20"/>
                <w:szCs w:val="20"/>
              </w:rPr>
              <w:t> </w:t>
            </w:r>
          </w:p>
        </w:tc>
        <w:tc>
          <w:tcPr>
            <w:tcW w:w="955" w:type="dxa"/>
            <w:tcBorders>
              <w:top w:val="nil"/>
              <w:left w:val="single" w:sz="4" w:space="0" w:color="auto"/>
              <w:bottom w:val="nil"/>
              <w:right w:val="single" w:sz="4" w:space="0" w:color="auto"/>
            </w:tcBorders>
            <w:shd w:val="clear" w:color="auto" w:fill="auto"/>
            <w:noWrap/>
            <w:vAlign w:val="center"/>
            <w:hideMark/>
          </w:tcPr>
          <w:p w14:paraId="1C894C8C"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nil"/>
              <w:right w:val="single" w:sz="4" w:space="0" w:color="auto"/>
            </w:tcBorders>
            <w:shd w:val="clear" w:color="auto" w:fill="auto"/>
            <w:noWrap/>
            <w:vAlign w:val="center"/>
            <w:hideMark/>
          </w:tcPr>
          <w:p w14:paraId="5A4A6695" w14:textId="77777777" w:rsidR="00387142" w:rsidRPr="008B6A75" w:rsidRDefault="00387142" w:rsidP="00387142">
            <w:pPr>
              <w:jc w:val="right"/>
              <w:rPr>
                <w:bCs/>
                <w:sz w:val="20"/>
                <w:szCs w:val="20"/>
              </w:rPr>
            </w:pPr>
            <w:r w:rsidRPr="008B6A75">
              <w:rPr>
                <w:bCs/>
                <w:sz w:val="20"/>
                <w:szCs w:val="20"/>
              </w:rPr>
              <w:t>6 917 340,08</w:t>
            </w:r>
          </w:p>
        </w:tc>
        <w:tc>
          <w:tcPr>
            <w:tcW w:w="992" w:type="dxa"/>
            <w:gridSpan w:val="2"/>
            <w:tcBorders>
              <w:top w:val="nil"/>
              <w:left w:val="single" w:sz="4" w:space="0" w:color="auto"/>
              <w:bottom w:val="nil"/>
              <w:right w:val="nil"/>
            </w:tcBorders>
            <w:shd w:val="clear" w:color="auto" w:fill="auto"/>
            <w:noWrap/>
            <w:vAlign w:val="center"/>
            <w:hideMark/>
          </w:tcPr>
          <w:p w14:paraId="734E4628" w14:textId="77777777" w:rsidR="00387142" w:rsidRPr="008B6A75" w:rsidRDefault="00387142" w:rsidP="00387142">
            <w:pPr>
              <w:jc w:val="right"/>
              <w:rPr>
                <w:bCs/>
                <w:sz w:val="20"/>
                <w:szCs w:val="20"/>
              </w:rPr>
            </w:pPr>
            <w:r w:rsidRPr="008B6A75">
              <w:rPr>
                <w:bCs/>
                <w:sz w:val="20"/>
                <w:szCs w:val="20"/>
              </w:rPr>
              <w:t>5 240 000,00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1CE6592E" w14:textId="77777777" w:rsidR="00387142" w:rsidRPr="008B6A75" w:rsidRDefault="00387142" w:rsidP="00387142">
            <w:pPr>
              <w:jc w:val="right"/>
              <w:rPr>
                <w:bCs/>
                <w:sz w:val="20"/>
                <w:szCs w:val="20"/>
              </w:rPr>
            </w:pPr>
            <w:r w:rsidRPr="008B6A75">
              <w:rPr>
                <w:bCs/>
                <w:sz w:val="20"/>
                <w:szCs w:val="20"/>
              </w:rPr>
              <w:t>5 240 000,00</w:t>
            </w:r>
          </w:p>
        </w:tc>
        <w:tc>
          <w:tcPr>
            <w:tcW w:w="222" w:type="dxa"/>
            <w:vAlign w:val="center"/>
            <w:hideMark/>
          </w:tcPr>
          <w:p w14:paraId="4BF7FBDF" w14:textId="77777777" w:rsidR="00387142" w:rsidRPr="008B6A75" w:rsidRDefault="00387142" w:rsidP="00387142">
            <w:pPr>
              <w:rPr>
                <w:sz w:val="20"/>
                <w:szCs w:val="20"/>
              </w:rPr>
            </w:pPr>
          </w:p>
        </w:tc>
      </w:tr>
      <w:tr w:rsidR="00387142" w:rsidRPr="008B6A75" w14:paraId="2F151600" w14:textId="77777777" w:rsidTr="00387142">
        <w:trPr>
          <w:trHeight w:val="585"/>
        </w:trPr>
        <w:tc>
          <w:tcPr>
            <w:tcW w:w="3021" w:type="dxa"/>
            <w:tcBorders>
              <w:top w:val="single" w:sz="4" w:space="0" w:color="auto"/>
              <w:left w:val="single" w:sz="4" w:space="0" w:color="auto"/>
              <w:bottom w:val="nil"/>
              <w:right w:val="nil"/>
            </w:tcBorders>
            <w:shd w:val="clear" w:color="auto" w:fill="auto"/>
            <w:vAlign w:val="center"/>
            <w:hideMark/>
          </w:tcPr>
          <w:p w14:paraId="5A534A21" w14:textId="77777777" w:rsidR="00387142" w:rsidRPr="008B6A75" w:rsidRDefault="00387142" w:rsidP="00387142">
            <w:pPr>
              <w:rPr>
                <w:bCs/>
                <w:sz w:val="20"/>
                <w:szCs w:val="20"/>
              </w:rPr>
            </w:pPr>
            <w:r w:rsidRPr="008B6A75">
              <w:rPr>
                <w:bCs/>
                <w:sz w:val="20"/>
                <w:szCs w:val="20"/>
              </w:rPr>
              <w:t>Муниципальная программа "Развитие системы образования Куйбышевского района"</w:t>
            </w:r>
          </w:p>
        </w:tc>
        <w:tc>
          <w:tcPr>
            <w:tcW w:w="850" w:type="dxa"/>
            <w:tcBorders>
              <w:top w:val="single" w:sz="4" w:space="0" w:color="auto"/>
              <w:left w:val="single" w:sz="4" w:space="0" w:color="auto"/>
              <w:bottom w:val="nil"/>
              <w:right w:val="nil"/>
            </w:tcBorders>
            <w:shd w:val="clear" w:color="auto" w:fill="auto"/>
            <w:noWrap/>
            <w:vAlign w:val="center"/>
            <w:hideMark/>
          </w:tcPr>
          <w:p w14:paraId="484FC548" w14:textId="77777777" w:rsidR="00387142" w:rsidRPr="008B6A75" w:rsidRDefault="00387142" w:rsidP="00387142">
            <w:pPr>
              <w:jc w:val="center"/>
              <w:rPr>
                <w:bCs/>
                <w:sz w:val="20"/>
                <w:szCs w:val="20"/>
              </w:rPr>
            </w:pPr>
            <w:r w:rsidRPr="008B6A75">
              <w:rPr>
                <w:bCs/>
                <w:sz w:val="20"/>
                <w:szCs w:val="20"/>
              </w:rPr>
              <w:t>444</w:t>
            </w:r>
          </w:p>
        </w:tc>
        <w:tc>
          <w:tcPr>
            <w:tcW w:w="709" w:type="dxa"/>
            <w:tcBorders>
              <w:top w:val="single" w:sz="4" w:space="0" w:color="auto"/>
              <w:left w:val="single" w:sz="4" w:space="0" w:color="auto"/>
              <w:bottom w:val="nil"/>
              <w:right w:val="nil"/>
            </w:tcBorders>
            <w:shd w:val="clear" w:color="auto" w:fill="auto"/>
            <w:noWrap/>
            <w:vAlign w:val="center"/>
            <w:hideMark/>
          </w:tcPr>
          <w:p w14:paraId="37502736" w14:textId="77777777" w:rsidR="00387142" w:rsidRPr="008B6A75" w:rsidRDefault="00387142" w:rsidP="00387142">
            <w:pPr>
              <w:jc w:val="center"/>
              <w:rPr>
                <w:bCs/>
                <w:sz w:val="20"/>
                <w:szCs w:val="20"/>
              </w:rPr>
            </w:pPr>
            <w:r w:rsidRPr="008B6A75">
              <w:rPr>
                <w:bCs/>
                <w:sz w:val="20"/>
                <w:szCs w:val="20"/>
              </w:rPr>
              <w:t>07</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18FD041B" w14:textId="77777777" w:rsidR="00387142" w:rsidRPr="008B6A75" w:rsidRDefault="00387142" w:rsidP="00387142">
            <w:pPr>
              <w:jc w:val="center"/>
              <w:rPr>
                <w:bCs/>
                <w:sz w:val="20"/>
                <w:szCs w:val="20"/>
              </w:rPr>
            </w:pPr>
            <w:r w:rsidRPr="008B6A75">
              <w:rPr>
                <w:bCs/>
                <w:sz w:val="20"/>
                <w:szCs w:val="20"/>
              </w:rPr>
              <w:t>05</w:t>
            </w:r>
          </w:p>
        </w:tc>
        <w:tc>
          <w:tcPr>
            <w:tcW w:w="1411" w:type="dxa"/>
            <w:tcBorders>
              <w:top w:val="single" w:sz="4" w:space="0" w:color="auto"/>
              <w:left w:val="single" w:sz="4" w:space="0" w:color="auto"/>
              <w:bottom w:val="nil"/>
              <w:right w:val="nil"/>
            </w:tcBorders>
            <w:shd w:val="clear" w:color="auto" w:fill="auto"/>
            <w:noWrap/>
            <w:vAlign w:val="center"/>
            <w:hideMark/>
          </w:tcPr>
          <w:p w14:paraId="3D935035" w14:textId="77777777" w:rsidR="00387142" w:rsidRPr="008B6A75" w:rsidRDefault="00387142" w:rsidP="00387142">
            <w:pPr>
              <w:jc w:val="center"/>
              <w:rPr>
                <w:bCs/>
                <w:sz w:val="20"/>
                <w:szCs w:val="20"/>
              </w:rPr>
            </w:pPr>
            <w:r w:rsidRPr="008B6A75">
              <w:rPr>
                <w:bCs/>
                <w:sz w:val="20"/>
                <w:szCs w:val="20"/>
              </w:rPr>
              <w:t>07.0.00.00000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5778D745" w14:textId="77777777" w:rsidR="00387142" w:rsidRPr="008B6A75" w:rsidRDefault="00387142" w:rsidP="00387142">
            <w:pPr>
              <w:jc w:val="center"/>
              <w:rPr>
                <w:bCs/>
                <w:sz w:val="20"/>
                <w:szCs w:val="20"/>
              </w:rPr>
            </w:pPr>
            <w:r w:rsidRPr="008B6A75">
              <w:rPr>
                <w:bCs/>
                <w:sz w:val="20"/>
                <w:szCs w:val="20"/>
              </w:rPr>
              <w:t> </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51E75FFC" w14:textId="77777777" w:rsidR="00387142" w:rsidRPr="008B6A75" w:rsidRDefault="00387142" w:rsidP="00387142">
            <w:pPr>
              <w:jc w:val="right"/>
              <w:rPr>
                <w:bCs/>
                <w:sz w:val="20"/>
                <w:szCs w:val="20"/>
              </w:rPr>
            </w:pPr>
            <w:r w:rsidRPr="008B6A75">
              <w:rPr>
                <w:bCs/>
                <w:sz w:val="20"/>
                <w:szCs w:val="20"/>
              </w:rPr>
              <w:t>6 917 340,08</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345A324B" w14:textId="77777777" w:rsidR="00387142" w:rsidRPr="008B6A75" w:rsidRDefault="00387142" w:rsidP="00387142">
            <w:pPr>
              <w:jc w:val="right"/>
              <w:rPr>
                <w:bCs/>
                <w:sz w:val="20"/>
                <w:szCs w:val="20"/>
              </w:rPr>
            </w:pPr>
            <w:r w:rsidRPr="008B6A75">
              <w:rPr>
                <w:bCs/>
                <w:sz w:val="20"/>
                <w:szCs w:val="20"/>
              </w:rPr>
              <w:t>5 240 000,00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034848BB" w14:textId="77777777" w:rsidR="00387142" w:rsidRPr="008B6A75" w:rsidRDefault="00387142" w:rsidP="00387142">
            <w:pPr>
              <w:jc w:val="right"/>
              <w:rPr>
                <w:bCs/>
                <w:sz w:val="20"/>
                <w:szCs w:val="20"/>
              </w:rPr>
            </w:pPr>
            <w:r w:rsidRPr="008B6A75">
              <w:rPr>
                <w:bCs/>
                <w:sz w:val="20"/>
                <w:szCs w:val="20"/>
              </w:rPr>
              <w:t>5 240 000,00</w:t>
            </w:r>
          </w:p>
        </w:tc>
        <w:tc>
          <w:tcPr>
            <w:tcW w:w="222" w:type="dxa"/>
            <w:vAlign w:val="center"/>
            <w:hideMark/>
          </w:tcPr>
          <w:p w14:paraId="071AED7A" w14:textId="77777777" w:rsidR="00387142" w:rsidRPr="008B6A75" w:rsidRDefault="00387142" w:rsidP="00387142">
            <w:pPr>
              <w:rPr>
                <w:sz w:val="20"/>
                <w:szCs w:val="20"/>
              </w:rPr>
            </w:pPr>
          </w:p>
        </w:tc>
      </w:tr>
      <w:tr w:rsidR="00387142" w:rsidRPr="008B6A75" w14:paraId="59FB3747" w14:textId="77777777" w:rsidTr="00387142">
        <w:trPr>
          <w:trHeight w:val="585"/>
        </w:trPr>
        <w:tc>
          <w:tcPr>
            <w:tcW w:w="3021" w:type="dxa"/>
            <w:tcBorders>
              <w:top w:val="single" w:sz="4" w:space="0" w:color="auto"/>
              <w:left w:val="single" w:sz="4" w:space="0" w:color="auto"/>
              <w:bottom w:val="nil"/>
              <w:right w:val="nil"/>
            </w:tcBorders>
            <w:shd w:val="clear" w:color="auto" w:fill="auto"/>
            <w:vAlign w:val="center"/>
            <w:hideMark/>
          </w:tcPr>
          <w:p w14:paraId="56F9BCB4" w14:textId="77777777" w:rsidR="00387142" w:rsidRPr="008B6A75" w:rsidRDefault="00387142" w:rsidP="00387142">
            <w:pPr>
              <w:rPr>
                <w:bCs/>
                <w:sz w:val="20"/>
                <w:szCs w:val="20"/>
              </w:rPr>
            </w:pPr>
            <w:r w:rsidRPr="008B6A75">
              <w:rPr>
                <w:bCs/>
                <w:sz w:val="20"/>
                <w:szCs w:val="20"/>
              </w:rPr>
              <w:t>Подпрограмма "Развитие дошкольного, общего и дополнительного образования детей"</w:t>
            </w:r>
          </w:p>
        </w:tc>
        <w:tc>
          <w:tcPr>
            <w:tcW w:w="850" w:type="dxa"/>
            <w:tcBorders>
              <w:top w:val="single" w:sz="4" w:space="0" w:color="auto"/>
              <w:left w:val="single" w:sz="4" w:space="0" w:color="auto"/>
              <w:bottom w:val="nil"/>
              <w:right w:val="nil"/>
            </w:tcBorders>
            <w:shd w:val="clear" w:color="auto" w:fill="auto"/>
            <w:noWrap/>
            <w:vAlign w:val="center"/>
            <w:hideMark/>
          </w:tcPr>
          <w:p w14:paraId="45C9379E" w14:textId="77777777" w:rsidR="00387142" w:rsidRPr="008B6A75" w:rsidRDefault="00387142" w:rsidP="00387142">
            <w:pPr>
              <w:jc w:val="center"/>
              <w:rPr>
                <w:bCs/>
                <w:sz w:val="20"/>
                <w:szCs w:val="20"/>
              </w:rPr>
            </w:pPr>
            <w:r w:rsidRPr="008B6A75">
              <w:rPr>
                <w:bCs/>
                <w:sz w:val="20"/>
                <w:szCs w:val="20"/>
              </w:rPr>
              <w:t>444</w:t>
            </w:r>
          </w:p>
        </w:tc>
        <w:tc>
          <w:tcPr>
            <w:tcW w:w="709" w:type="dxa"/>
            <w:tcBorders>
              <w:top w:val="single" w:sz="4" w:space="0" w:color="auto"/>
              <w:left w:val="single" w:sz="4" w:space="0" w:color="auto"/>
              <w:bottom w:val="nil"/>
              <w:right w:val="nil"/>
            </w:tcBorders>
            <w:shd w:val="clear" w:color="auto" w:fill="auto"/>
            <w:noWrap/>
            <w:vAlign w:val="center"/>
            <w:hideMark/>
          </w:tcPr>
          <w:p w14:paraId="5367920C" w14:textId="77777777" w:rsidR="00387142" w:rsidRPr="008B6A75" w:rsidRDefault="00387142" w:rsidP="00387142">
            <w:pPr>
              <w:jc w:val="center"/>
              <w:rPr>
                <w:bCs/>
                <w:sz w:val="20"/>
                <w:szCs w:val="20"/>
              </w:rPr>
            </w:pPr>
            <w:r w:rsidRPr="008B6A75">
              <w:rPr>
                <w:bCs/>
                <w:sz w:val="20"/>
                <w:szCs w:val="20"/>
              </w:rPr>
              <w:t>07</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475AB48B" w14:textId="77777777" w:rsidR="00387142" w:rsidRPr="008B6A75" w:rsidRDefault="00387142" w:rsidP="00387142">
            <w:pPr>
              <w:jc w:val="center"/>
              <w:rPr>
                <w:bCs/>
                <w:sz w:val="20"/>
                <w:szCs w:val="20"/>
              </w:rPr>
            </w:pPr>
            <w:r w:rsidRPr="008B6A75">
              <w:rPr>
                <w:bCs/>
                <w:sz w:val="20"/>
                <w:szCs w:val="20"/>
              </w:rPr>
              <w:t>05</w:t>
            </w:r>
          </w:p>
        </w:tc>
        <w:tc>
          <w:tcPr>
            <w:tcW w:w="1411" w:type="dxa"/>
            <w:tcBorders>
              <w:top w:val="single" w:sz="4" w:space="0" w:color="auto"/>
              <w:left w:val="single" w:sz="4" w:space="0" w:color="auto"/>
              <w:bottom w:val="nil"/>
              <w:right w:val="nil"/>
            </w:tcBorders>
            <w:shd w:val="clear" w:color="auto" w:fill="auto"/>
            <w:noWrap/>
            <w:vAlign w:val="center"/>
            <w:hideMark/>
          </w:tcPr>
          <w:p w14:paraId="7DCD1EB2" w14:textId="77777777" w:rsidR="00387142" w:rsidRPr="008B6A75" w:rsidRDefault="00387142" w:rsidP="00387142">
            <w:pPr>
              <w:jc w:val="center"/>
              <w:rPr>
                <w:bCs/>
                <w:sz w:val="20"/>
                <w:szCs w:val="20"/>
              </w:rPr>
            </w:pPr>
            <w:r w:rsidRPr="008B6A75">
              <w:rPr>
                <w:bCs/>
                <w:sz w:val="20"/>
                <w:szCs w:val="20"/>
              </w:rPr>
              <w:t>07.1.00.00000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411F8993" w14:textId="77777777" w:rsidR="00387142" w:rsidRPr="008B6A75" w:rsidRDefault="00387142" w:rsidP="00387142">
            <w:pPr>
              <w:jc w:val="center"/>
              <w:rPr>
                <w:bCs/>
                <w:sz w:val="20"/>
                <w:szCs w:val="20"/>
              </w:rPr>
            </w:pPr>
            <w:r w:rsidRPr="008B6A75">
              <w:rPr>
                <w:bCs/>
                <w:sz w:val="20"/>
                <w:szCs w:val="20"/>
              </w:rPr>
              <w:t> </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71EDB06E" w14:textId="77777777" w:rsidR="00387142" w:rsidRPr="008B6A75" w:rsidRDefault="00387142" w:rsidP="00387142">
            <w:pPr>
              <w:jc w:val="right"/>
              <w:rPr>
                <w:bCs/>
                <w:sz w:val="20"/>
                <w:szCs w:val="20"/>
              </w:rPr>
            </w:pPr>
            <w:r w:rsidRPr="008B6A75">
              <w:rPr>
                <w:bCs/>
                <w:sz w:val="20"/>
                <w:szCs w:val="20"/>
              </w:rPr>
              <w:t>6 196 360,08</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4696589B" w14:textId="77777777" w:rsidR="00387142" w:rsidRPr="008B6A75" w:rsidRDefault="00387142" w:rsidP="00387142">
            <w:pPr>
              <w:jc w:val="right"/>
              <w:rPr>
                <w:bCs/>
                <w:sz w:val="20"/>
                <w:szCs w:val="20"/>
              </w:rPr>
            </w:pPr>
            <w:r w:rsidRPr="008B6A75">
              <w:rPr>
                <w:bCs/>
                <w:sz w:val="20"/>
                <w:szCs w:val="20"/>
              </w:rPr>
              <w:t>5 240 000,00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10D21AD6" w14:textId="77777777" w:rsidR="00387142" w:rsidRPr="008B6A75" w:rsidRDefault="00387142" w:rsidP="00387142">
            <w:pPr>
              <w:jc w:val="right"/>
              <w:rPr>
                <w:bCs/>
                <w:sz w:val="20"/>
                <w:szCs w:val="20"/>
              </w:rPr>
            </w:pPr>
            <w:r w:rsidRPr="008B6A75">
              <w:rPr>
                <w:bCs/>
                <w:sz w:val="20"/>
                <w:szCs w:val="20"/>
              </w:rPr>
              <w:t>5 240 000,00</w:t>
            </w:r>
          </w:p>
        </w:tc>
        <w:tc>
          <w:tcPr>
            <w:tcW w:w="222" w:type="dxa"/>
            <w:vAlign w:val="center"/>
            <w:hideMark/>
          </w:tcPr>
          <w:p w14:paraId="675C4620" w14:textId="77777777" w:rsidR="00387142" w:rsidRPr="008B6A75" w:rsidRDefault="00387142" w:rsidP="00387142">
            <w:pPr>
              <w:rPr>
                <w:sz w:val="20"/>
                <w:szCs w:val="20"/>
              </w:rPr>
            </w:pPr>
          </w:p>
        </w:tc>
      </w:tr>
      <w:tr w:rsidR="00387142" w:rsidRPr="008B6A75" w14:paraId="4A725E34" w14:textId="77777777" w:rsidTr="00387142">
        <w:trPr>
          <w:trHeight w:val="1155"/>
        </w:trPr>
        <w:tc>
          <w:tcPr>
            <w:tcW w:w="3021" w:type="dxa"/>
            <w:tcBorders>
              <w:top w:val="single" w:sz="4" w:space="0" w:color="auto"/>
              <w:left w:val="single" w:sz="4" w:space="0" w:color="auto"/>
              <w:bottom w:val="nil"/>
              <w:right w:val="nil"/>
            </w:tcBorders>
            <w:shd w:val="clear" w:color="auto" w:fill="auto"/>
            <w:vAlign w:val="center"/>
            <w:hideMark/>
          </w:tcPr>
          <w:p w14:paraId="15849016" w14:textId="77777777" w:rsidR="00387142" w:rsidRPr="008B6A75" w:rsidRDefault="00387142" w:rsidP="00387142">
            <w:pPr>
              <w:rPr>
                <w:bCs/>
                <w:sz w:val="20"/>
                <w:szCs w:val="20"/>
              </w:rPr>
            </w:pPr>
            <w:r w:rsidRPr="008B6A75">
              <w:rPr>
                <w:bCs/>
                <w:sz w:val="20"/>
                <w:szCs w:val="20"/>
              </w:rPr>
              <w:t>Расходы на обеспечение деятельности (оказание услуг) муниципальных учреждений, обеспечивающие предоставление услуг в сфере образования</w:t>
            </w:r>
          </w:p>
        </w:tc>
        <w:tc>
          <w:tcPr>
            <w:tcW w:w="850" w:type="dxa"/>
            <w:tcBorders>
              <w:top w:val="single" w:sz="4" w:space="0" w:color="auto"/>
              <w:left w:val="single" w:sz="4" w:space="0" w:color="auto"/>
              <w:bottom w:val="nil"/>
              <w:right w:val="nil"/>
            </w:tcBorders>
            <w:shd w:val="clear" w:color="auto" w:fill="auto"/>
            <w:noWrap/>
            <w:vAlign w:val="center"/>
            <w:hideMark/>
          </w:tcPr>
          <w:p w14:paraId="1998680C" w14:textId="77777777" w:rsidR="00387142" w:rsidRPr="008B6A75" w:rsidRDefault="00387142" w:rsidP="00387142">
            <w:pPr>
              <w:jc w:val="center"/>
              <w:rPr>
                <w:bCs/>
                <w:sz w:val="20"/>
                <w:szCs w:val="20"/>
              </w:rPr>
            </w:pPr>
            <w:r w:rsidRPr="008B6A75">
              <w:rPr>
                <w:bCs/>
                <w:sz w:val="20"/>
                <w:szCs w:val="20"/>
              </w:rPr>
              <w:t>444</w:t>
            </w:r>
          </w:p>
        </w:tc>
        <w:tc>
          <w:tcPr>
            <w:tcW w:w="709" w:type="dxa"/>
            <w:tcBorders>
              <w:top w:val="single" w:sz="4" w:space="0" w:color="auto"/>
              <w:left w:val="single" w:sz="4" w:space="0" w:color="auto"/>
              <w:bottom w:val="nil"/>
              <w:right w:val="nil"/>
            </w:tcBorders>
            <w:shd w:val="clear" w:color="auto" w:fill="auto"/>
            <w:noWrap/>
            <w:vAlign w:val="center"/>
            <w:hideMark/>
          </w:tcPr>
          <w:p w14:paraId="06DC55DA" w14:textId="77777777" w:rsidR="00387142" w:rsidRPr="008B6A75" w:rsidRDefault="00387142" w:rsidP="00387142">
            <w:pPr>
              <w:jc w:val="center"/>
              <w:rPr>
                <w:bCs/>
                <w:sz w:val="20"/>
                <w:szCs w:val="20"/>
              </w:rPr>
            </w:pPr>
            <w:r w:rsidRPr="008B6A75">
              <w:rPr>
                <w:bCs/>
                <w:sz w:val="20"/>
                <w:szCs w:val="20"/>
              </w:rPr>
              <w:t>07</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4DD6363B" w14:textId="77777777" w:rsidR="00387142" w:rsidRPr="008B6A75" w:rsidRDefault="00387142" w:rsidP="00387142">
            <w:pPr>
              <w:jc w:val="center"/>
              <w:rPr>
                <w:bCs/>
                <w:sz w:val="20"/>
                <w:szCs w:val="20"/>
              </w:rPr>
            </w:pPr>
            <w:r w:rsidRPr="008B6A75">
              <w:rPr>
                <w:bCs/>
                <w:sz w:val="20"/>
                <w:szCs w:val="20"/>
              </w:rPr>
              <w:t>05</w:t>
            </w:r>
          </w:p>
        </w:tc>
        <w:tc>
          <w:tcPr>
            <w:tcW w:w="1411" w:type="dxa"/>
            <w:tcBorders>
              <w:top w:val="single" w:sz="4" w:space="0" w:color="auto"/>
              <w:left w:val="single" w:sz="4" w:space="0" w:color="auto"/>
              <w:bottom w:val="nil"/>
              <w:right w:val="nil"/>
            </w:tcBorders>
            <w:shd w:val="clear" w:color="auto" w:fill="auto"/>
            <w:noWrap/>
            <w:vAlign w:val="center"/>
            <w:hideMark/>
          </w:tcPr>
          <w:p w14:paraId="2DEB4B74" w14:textId="77777777" w:rsidR="00387142" w:rsidRPr="008B6A75" w:rsidRDefault="00387142" w:rsidP="00387142">
            <w:pPr>
              <w:jc w:val="center"/>
              <w:rPr>
                <w:bCs/>
                <w:sz w:val="20"/>
                <w:szCs w:val="20"/>
              </w:rPr>
            </w:pPr>
            <w:r w:rsidRPr="008B6A75">
              <w:rPr>
                <w:bCs/>
                <w:sz w:val="20"/>
                <w:szCs w:val="20"/>
              </w:rPr>
              <w:t>07.1.00.07790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36BA68B3" w14:textId="77777777" w:rsidR="00387142" w:rsidRPr="008B6A75" w:rsidRDefault="00387142" w:rsidP="00387142">
            <w:pPr>
              <w:jc w:val="center"/>
              <w:rPr>
                <w:bCs/>
                <w:sz w:val="20"/>
                <w:szCs w:val="20"/>
              </w:rPr>
            </w:pPr>
            <w:r w:rsidRPr="008B6A75">
              <w:rPr>
                <w:bCs/>
                <w:sz w:val="20"/>
                <w:szCs w:val="20"/>
              </w:rPr>
              <w:t> </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284F606A" w14:textId="77777777" w:rsidR="00387142" w:rsidRPr="008B6A75" w:rsidRDefault="00387142" w:rsidP="00387142">
            <w:pPr>
              <w:jc w:val="right"/>
              <w:rPr>
                <w:bCs/>
                <w:sz w:val="20"/>
                <w:szCs w:val="20"/>
              </w:rPr>
            </w:pPr>
            <w:r w:rsidRPr="008B6A75">
              <w:rPr>
                <w:bCs/>
                <w:sz w:val="20"/>
                <w:szCs w:val="20"/>
              </w:rPr>
              <w:t>5 238 311,08</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08327DA1" w14:textId="77777777" w:rsidR="00387142" w:rsidRPr="008B6A75" w:rsidRDefault="00387142" w:rsidP="00387142">
            <w:pPr>
              <w:jc w:val="right"/>
              <w:rPr>
                <w:bCs/>
                <w:sz w:val="20"/>
                <w:szCs w:val="20"/>
              </w:rPr>
            </w:pPr>
            <w:r w:rsidRPr="008B6A75">
              <w:rPr>
                <w:bCs/>
                <w:sz w:val="20"/>
                <w:szCs w:val="20"/>
              </w:rPr>
              <w:t>5 240 000,00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140A4908" w14:textId="77777777" w:rsidR="00387142" w:rsidRPr="008B6A75" w:rsidRDefault="00387142" w:rsidP="00387142">
            <w:pPr>
              <w:jc w:val="right"/>
              <w:rPr>
                <w:bCs/>
                <w:sz w:val="20"/>
                <w:szCs w:val="20"/>
              </w:rPr>
            </w:pPr>
            <w:r w:rsidRPr="008B6A75">
              <w:rPr>
                <w:bCs/>
                <w:sz w:val="20"/>
                <w:szCs w:val="20"/>
              </w:rPr>
              <w:t>5 240 000,00</w:t>
            </w:r>
          </w:p>
        </w:tc>
        <w:tc>
          <w:tcPr>
            <w:tcW w:w="222" w:type="dxa"/>
            <w:vAlign w:val="center"/>
            <w:hideMark/>
          </w:tcPr>
          <w:p w14:paraId="69A06C94" w14:textId="77777777" w:rsidR="00387142" w:rsidRPr="008B6A75" w:rsidRDefault="00387142" w:rsidP="00387142">
            <w:pPr>
              <w:rPr>
                <w:sz w:val="20"/>
                <w:szCs w:val="20"/>
              </w:rPr>
            </w:pPr>
          </w:p>
        </w:tc>
      </w:tr>
      <w:tr w:rsidR="00387142" w:rsidRPr="008B6A75" w14:paraId="005CC12B" w14:textId="77777777" w:rsidTr="00387142">
        <w:trPr>
          <w:trHeight w:val="1440"/>
        </w:trPr>
        <w:tc>
          <w:tcPr>
            <w:tcW w:w="3021" w:type="dxa"/>
            <w:tcBorders>
              <w:top w:val="single" w:sz="4" w:space="0" w:color="auto"/>
              <w:left w:val="single" w:sz="4" w:space="0" w:color="auto"/>
              <w:bottom w:val="nil"/>
              <w:right w:val="nil"/>
            </w:tcBorders>
            <w:shd w:val="clear" w:color="auto" w:fill="auto"/>
            <w:vAlign w:val="center"/>
            <w:hideMark/>
          </w:tcPr>
          <w:p w14:paraId="2094D512" w14:textId="77777777" w:rsidR="00387142" w:rsidRPr="008B6A75" w:rsidRDefault="00387142" w:rsidP="00387142">
            <w:pPr>
              <w:rPr>
                <w:sz w:val="20"/>
                <w:szCs w:val="20"/>
              </w:rPr>
            </w:pPr>
            <w:r w:rsidRPr="008B6A7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nil"/>
              <w:right w:val="nil"/>
            </w:tcBorders>
            <w:shd w:val="clear" w:color="auto" w:fill="auto"/>
            <w:noWrap/>
            <w:vAlign w:val="center"/>
            <w:hideMark/>
          </w:tcPr>
          <w:p w14:paraId="08BEE7C3" w14:textId="77777777" w:rsidR="00387142" w:rsidRPr="008B6A75" w:rsidRDefault="00387142" w:rsidP="00387142">
            <w:pPr>
              <w:jc w:val="center"/>
              <w:rPr>
                <w:sz w:val="20"/>
                <w:szCs w:val="20"/>
              </w:rPr>
            </w:pPr>
            <w:r w:rsidRPr="008B6A75">
              <w:rPr>
                <w:sz w:val="20"/>
                <w:szCs w:val="20"/>
              </w:rPr>
              <w:t>444</w:t>
            </w:r>
          </w:p>
        </w:tc>
        <w:tc>
          <w:tcPr>
            <w:tcW w:w="709" w:type="dxa"/>
            <w:tcBorders>
              <w:top w:val="single" w:sz="4" w:space="0" w:color="auto"/>
              <w:left w:val="single" w:sz="4" w:space="0" w:color="auto"/>
              <w:bottom w:val="nil"/>
              <w:right w:val="nil"/>
            </w:tcBorders>
            <w:shd w:val="clear" w:color="auto" w:fill="auto"/>
            <w:noWrap/>
            <w:vAlign w:val="center"/>
            <w:hideMark/>
          </w:tcPr>
          <w:p w14:paraId="1ECDDD9D" w14:textId="77777777" w:rsidR="00387142" w:rsidRPr="008B6A75" w:rsidRDefault="00387142" w:rsidP="00387142">
            <w:pPr>
              <w:jc w:val="center"/>
              <w:rPr>
                <w:sz w:val="20"/>
                <w:szCs w:val="20"/>
              </w:rPr>
            </w:pPr>
            <w:r w:rsidRPr="008B6A75">
              <w:rPr>
                <w:sz w:val="20"/>
                <w:szCs w:val="20"/>
              </w:rPr>
              <w:t>07</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5ABB853C" w14:textId="77777777" w:rsidR="00387142" w:rsidRPr="008B6A75" w:rsidRDefault="00387142" w:rsidP="00387142">
            <w:pPr>
              <w:jc w:val="center"/>
              <w:rPr>
                <w:sz w:val="20"/>
                <w:szCs w:val="20"/>
              </w:rPr>
            </w:pPr>
            <w:r w:rsidRPr="008B6A75">
              <w:rPr>
                <w:sz w:val="20"/>
                <w:szCs w:val="20"/>
              </w:rPr>
              <w:t>05</w:t>
            </w:r>
          </w:p>
        </w:tc>
        <w:tc>
          <w:tcPr>
            <w:tcW w:w="1411" w:type="dxa"/>
            <w:tcBorders>
              <w:top w:val="single" w:sz="4" w:space="0" w:color="auto"/>
              <w:left w:val="single" w:sz="4" w:space="0" w:color="auto"/>
              <w:bottom w:val="nil"/>
              <w:right w:val="nil"/>
            </w:tcBorders>
            <w:shd w:val="clear" w:color="auto" w:fill="auto"/>
            <w:noWrap/>
            <w:vAlign w:val="center"/>
            <w:hideMark/>
          </w:tcPr>
          <w:p w14:paraId="66F32749" w14:textId="77777777" w:rsidR="00387142" w:rsidRPr="008B6A75" w:rsidRDefault="00387142" w:rsidP="00387142">
            <w:pPr>
              <w:jc w:val="center"/>
              <w:rPr>
                <w:sz w:val="20"/>
                <w:szCs w:val="20"/>
              </w:rPr>
            </w:pPr>
            <w:r w:rsidRPr="008B6A75">
              <w:rPr>
                <w:sz w:val="20"/>
                <w:szCs w:val="20"/>
              </w:rPr>
              <w:t>07.1.00.07790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19370938" w14:textId="77777777" w:rsidR="00387142" w:rsidRPr="008B6A75" w:rsidRDefault="00387142" w:rsidP="00387142">
            <w:pPr>
              <w:jc w:val="center"/>
              <w:rPr>
                <w:sz w:val="20"/>
                <w:szCs w:val="20"/>
              </w:rPr>
            </w:pPr>
            <w:r w:rsidRPr="008B6A75">
              <w:rPr>
                <w:sz w:val="20"/>
                <w:szCs w:val="20"/>
              </w:rPr>
              <w:t>100</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6F6959D2" w14:textId="77777777" w:rsidR="00387142" w:rsidRPr="008B6A75" w:rsidRDefault="00387142" w:rsidP="00387142">
            <w:pPr>
              <w:jc w:val="right"/>
              <w:rPr>
                <w:sz w:val="20"/>
                <w:szCs w:val="20"/>
              </w:rPr>
            </w:pPr>
            <w:r w:rsidRPr="008B6A75">
              <w:rPr>
                <w:sz w:val="20"/>
                <w:szCs w:val="20"/>
              </w:rPr>
              <w:t>4 730 869,08</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37A7BB23" w14:textId="77777777" w:rsidR="00387142" w:rsidRPr="008B6A75" w:rsidRDefault="00387142" w:rsidP="00387142">
            <w:pPr>
              <w:jc w:val="right"/>
              <w:rPr>
                <w:sz w:val="20"/>
                <w:szCs w:val="20"/>
              </w:rPr>
            </w:pPr>
            <w:r w:rsidRPr="008B6A75">
              <w:rPr>
                <w:sz w:val="20"/>
                <w:szCs w:val="20"/>
              </w:rPr>
              <w:t>5 000 000,00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38C2EC48" w14:textId="77777777" w:rsidR="00387142" w:rsidRPr="008B6A75" w:rsidRDefault="00387142" w:rsidP="00387142">
            <w:pPr>
              <w:jc w:val="right"/>
              <w:rPr>
                <w:sz w:val="20"/>
                <w:szCs w:val="20"/>
              </w:rPr>
            </w:pPr>
            <w:r w:rsidRPr="008B6A75">
              <w:rPr>
                <w:sz w:val="20"/>
                <w:szCs w:val="20"/>
              </w:rPr>
              <w:t>5 000 000,00</w:t>
            </w:r>
          </w:p>
        </w:tc>
        <w:tc>
          <w:tcPr>
            <w:tcW w:w="222" w:type="dxa"/>
            <w:vAlign w:val="center"/>
            <w:hideMark/>
          </w:tcPr>
          <w:p w14:paraId="28EF5356" w14:textId="77777777" w:rsidR="00387142" w:rsidRPr="008B6A75" w:rsidRDefault="00387142" w:rsidP="00387142">
            <w:pPr>
              <w:rPr>
                <w:sz w:val="20"/>
                <w:szCs w:val="20"/>
              </w:rPr>
            </w:pPr>
          </w:p>
        </w:tc>
      </w:tr>
      <w:tr w:rsidR="00387142" w:rsidRPr="008B6A75" w14:paraId="632BA686" w14:textId="77777777" w:rsidTr="00387142">
        <w:trPr>
          <w:trHeight w:val="585"/>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016B4792" w14:textId="77777777" w:rsidR="00387142" w:rsidRPr="008B6A75" w:rsidRDefault="00387142" w:rsidP="00387142">
            <w:pPr>
              <w:rPr>
                <w:sz w:val="20"/>
                <w:szCs w:val="20"/>
              </w:rPr>
            </w:pPr>
            <w:r w:rsidRPr="008B6A75">
              <w:rPr>
                <w:sz w:val="20"/>
                <w:szCs w:val="20"/>
              </w:rPr>
              <w:t>Расходы на выплаты персоналу казенных учреждений</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0BA56151" w14:textId="77777777" w:rsidR="00387142" w:rsidRPr="008B6A75" w:rsidRDefault="00387142" w:rsidP="00387142">
            <w:pPr>
              <w:jc w:val="center"/>
              <w:rPr>
                <w:sz w:val="20"/>
                <w:szCs w:val="20"/>
              </w:rPr>
            </w:pPr>
            <w:r w:rsidRPr="008B6A75">
              <w:rPr>
                <w:sz w:val="20"/>
                <w:szCs w:val="20"/>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629327E5" w14:textId="77777777" w:rsidR="00387142" w:rsidRPr="008B6A75" w:rsidRDefault="00387142" w:rsidP="00387142">
            <w:pPr>
              <w:jc w:val="center"/>
              <w:rPr>
                <w:sz w:val="20"/>
                <w:szCs w:val="20"/>
              </w:rPr>
            </w:pPr>
            <w:r w:rsidRPr="008B6A75">
              <w:rPr>
                <w:sz w:val="20"/>
                <w:szCs w:val="20"/>
              </w:rPr>
              <w:t>07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6E5595" w14:textId="77777777" w:rsidR="00387142" w:rsidRPr="008B6A75" w:rsidRDefault="00387142" w:rsidP="00387142">
            <w:pPr>
              <w:jc w:val="center"/>
              <w:rPr>
                <w:sz w:val="20"/>
                <w:szCs w:val="20"/>
              </w:rPr>
            </w:pPr>
            <w:r w:rsidRPr="008B6A75">
              <w:rPr>
                <w:sz w:val="20"/>
                <w:szCs w:val="20"/>
              </w:rPr>
              <w:t>05</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1DD6035B" w14:textId="77777777" w:rsidR="00387142" w:rsidRPr="008B6A75" w:rsidRDefault="00387142" w:rsidP="00387142">
            <w:pPr>
              <w:jc w:val="center"/>
              <w:rPr>
                <w:sz w:val="20"/>
                <w:szCs w:val="20"/>
              </w:rPr>
            </w:pPr>
            <w:r w:rsidRPr="008B6A75">
              <w:rPr>
                <w:sz w:val="20"/>
                <w:szCs w:val="20"/>
              </w:rPr>
              <w:t>07.1.00.07790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4B85D0" w14:textId="77777777" w:rsidR="00387142" w:rsidRPr="008B6A75" w:rsidRDefault="00387142" w:rsidP="00387142">
            <w:pPr>
              <w:jc w:val="center"/>
              <w:rPr>
                <w:sz w:val="20"/>
                <w:szCs w:val="20"/>
              </w:rPr>
            </w:pPr>
            <w:r w:rsidRPr="008B6A75">
              <w:rPr>
                <w:sz w:val="20"/>
                <w:szCs w:val="20"/>
              </w:rPr>
              <w:t>110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59488B" w14:textId="77777777" w:rsidR="00387142" w:rsidRPr="008B6A75" w:rsidRDefault="00387142" w:rsidP="00387142">
            <w:pPr>
              <w:jc w:val="right"/>
              <w:rPr>
                <w:sz w:val="20"/>
                <w:szCs w:val="20"/>
              </w:rPr>
            </w:pPr>
            <w:r w:rsidRPr="008B6A75">
              <w:rPr>
                <w:sz w:val="20"/>
                <w:szCs w:val="20"/>
              </w:rPr>
              <w:t>4 730 869,08</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1E40B704" w14:textId="77777777" w:rsidR="00387142" w:rsidRPr="008B6A75" w:rsidRDefault="00387142" w:rsidP="00387142">
            <w:pPr>
              <w:jc w:val="right"/>
              <w:rPr>
                <w:sz w:val="20"/>
                <w:szCs w:val="20"/>
              </w:rPr>
            </w:pPr>
            <w:r w:rsidRPr="008B6A75">
              <w:rPr>
                <w:sz w:val="20"/>
                <w:szCs w:val="20"/>
              </w:rPr>
              <w:t>5 000 000,00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B9E8F9" w14:textId="77777777" w:rsidR="00387142" w:rsidRPr="008B6A75" w:rsidRDefault="00387142" w:rsidP="00387142">
            <w:pPr>
              <w:jc w:val="right"/>
              <w:rPr>
                <w:sz w:val="20"/>
                <w:szCs w:val="20"/>
              </w:rPr>
            </w:pPr>
            <w:r w:rsidRPr="008B6A75">
              <w:rPr>
                <w:sz w:val="20"/>
                <w:szCs w:val="20"/>
              </w:rPr>
              <w:t>5 000 000,00</w:t>
            </w:r>
          </w:p>
        </w:tc>
        <w:tc>
          <w:tcPr>
            <w:tcW w:w="222" w:type="dxa"/>
            <w:vAlign w:val="center"/>
            <w:hideMark/>
          </w:tcPr>
          <w:p w14:paraId="7E2B6E19" w14:textId="77777777" w:rsidR="00387142" w:rsidRPr="008B6A75" w:rsidRDefault="00387142" w:rsidP="00387142">
            <w:pPr>
              <w:rPr>
                <w:sz w:val="20"/>
                <w:szCs w:val="20"/>
              </w:rPr>
            </w:pPr>
          </w:p>
        </w:tc>
      </w:tr>
      <w:tr w:rsidR="00387142" w:rsidRPr="008B6A75" w14:paraId="560638B5" w14:textId="77777777" w:rsidTr="00387142">
        <w:trPr>
          <w:trHeight w:val="585"/>
        </w:trPr>
        <w:tc>
          <w:tcPr>
            <w:tcW w:w="3021" w:type="dxa"/>
            <w:tcBorders>
              <w:top w:val="nil"/>
              <w:left w:val="single" w:sz="4" w:space="0" w:color="auto"/>
              <w:bottom w:val="nil"/>
              <w:right w:val="nil"/>
            </w:tcBorders>
            <w:shd w:val="clear" w:color="auto" w:fill="auto"/>
            <w:vAlign w:val="center"/>
            <w:hideMark/>
          </w:tcPr>
          <w:p w14:paraId="1CA03CD2" w14:textId="77777777" w:rsidR="00387142" w:rsidRPr="008B6A75" w:rsidRDefault="00387142" w:rsidP="00387142">
            <w:pPr>
              <w:rPr>
                <w:sz w:val="20"/>
                <w:szCs w:val="20"/>
              </w:rPr>
            </w:pPr>
            <w:r w:rsidRPr="008B6A75">
              <w:rPr>
                <w:sz w:val="20"/>
                <w:szCs w:val="20"/>
              </w:rPr>
              <w:t>Закупка товаров, работ и услуг для обеспечения государственных (муниципальных) нужд</w:t>
            </w:r>
          </w:p>
        </w:tc>
        <w:tc>
          <w:tcPr>
            <w:tcW w:w="850" w:type="dxa"/>
            <w:tcBorders>
              <w:top w:val="nil"/>
              <w:left w:val="single" w:sz="4" w:space="0" w:color="auto"/>
              <w:bottom w:val="nil"/>
              <w:right w:val="nil"/>
            </w:tcBorders>
            <w:shd w:val="clear" w:color="auto" w:fill="auto"/>
            <w:noWrap/>
            <w:vAlign w:val="center"/>
            <w:hideMark/>
          </w:tcPr>
          <w:p w14:paraId="4A4A0B78" w14:textId="77777777" w:rsidR="00387142" w:rsidRPr="008B6A75" w:rsidRDefault="00387142" w:rsidP="00387142">
            <w:pPr>
              <w:jc w:val="center"/>
              <w:rPr>
                <w:sz w:val="20"/>
                <w:szCs w:val="20"/>
              </w:rPr>
            </w:pPr>
            <w:r w:rsidRPr="008B6A75">
              <w:rPr>
                <w:sz w:val="20"/>
                <w:szCs w:val="20"/>
              </w:rPr>
              <w:t>444</w:t>
            </w:r>
          </w:p>
        </w:tc>
        <w:tc>
          <w:tcPr>
            <w:tcW w:w="709" w:type="dxa"/>
            <w:tcBorders>
              <w:top w:val="nil"/>
              <w:left w:val="single" w:sz="4" w:space="0" w:color="auto"/>
              <w:bottom w:val="nil"/>
              <w:right w:val="nil"/>
            </w:tcBorders>
            <w:shd w:val="clear" w:color="auto" w:fill="auto"/>
            <w:noWrap/>
            <w:vAlign w:val="center"/>
            <w:hideMark/>
          </w:tcPr>
          <w:p w14:paraId="15A6E9DD" w14:textId="77777777" w:rsidR="00387142" w:rsidRPr="008B6A75" w:rsidRDefault="00387142" w:rsidP="00387142">
            <w:pPr>
              <w:jc w:val="center"/>
              <w:rPr>
                <w:sz w:val="20"/>
                <w:szCs w:val="20"/>
              </w:rPr>
            </w:pPr>
            <w:r w:rsidRPr="008B6A75">
              <w:rPr>
                <w:sz w:val="20"/>
                <w:szCs w:val="20"/>
              </w:rPr>
              <w:t>07</w:t>
            </w:r>
          </w:p>
        </w:tc>
        <w:tc>
          <w:tcPr>
            <w:tcW w:w="709" w:type="dxa"/>
            <w:tcBorders>
              <w:top w:val="nil"/>
              <w:left w:val="single" w:sz="4" w:space="0" w:color="auto"/>
              <w:bottom w:val="nil"/>
              <w:right w:val="single" w:sz="4" w:space="0" w:color="auto"/>
            </w:tcBorders>
            <w:shd w:val="clear" w:color="auto" w:fill="auto"/>
            <w:noWrap/>
            <w:vAlign w:val="center"/>
            <w:hideMark/>
          </w:tcPr>
          <w:p w14:paraId="3F669302" w14:textId="77777777" w:rsidR="00387142" w:rsidRPr="008B6A75" w:rsidRDefault="00387142" w:rsidP="00387142">
            <w:pPr>
              <w:jc w:val="center"/>
              <w:rPr>
                <w:sz w:val="20"/>
                <w:szCs w:val="20"/>
              </w:rPr>
            </w:pPr>
            <w:r w:rsidRPr="008B6A75">
              <w:rPr>
                <w:sz w:val="20"/>
                <w:szCs w:val="20"/>
              </w:rPr>
              <w:t>05</w:t>
            </w:r>
          </w:p>
        </w:tc>
        <w:tc>
          <w:tcPr>
            <w:tcW w:w="1411" w:type="dxa"/>
            <w:tcBorders>
              <w:top w:val="nil"/>
              <w:left w:val="single" w:sz="4" w:space="0" w:color="auto"/>
              <w:bottom w:val="nil"/>
              <w:right w:val="nil"/>
            </w:tcBorders>
            <w:shd w:val="clear" w:color="auto" w:fill="auto"/>
            <w:noWrap/>
            <w:vAlign w:val="center"/>
            <w:hideMark/>
          </w:tcPr>
          <w:p w14:paraId="5D2297C1" w14:textId="77777777" w:rsidR="00387142" w:rsidRPr="008B6A75" w:rsidRDefault="00387142" w:rsidP="00387142">
            <w:pPr>
              <w:jc w:val="center"/>
              <w:rPr>
                <w:sz w:val="20"/>
                <w:szCs w:val="20"/>
              </w:rPr>
            </w:pPr>
            <w:r w:rsidRPr="008B6A75">
              <w:rPr>
                <w:sz w:val="20"/>
                <w:szCs w:val="20"/>
              </w:rPr>
              <w:t>07.1.00.07790</w:t>
            </w:r>
          </w:p>
        </w:tc>
        <w:tc>
          <w:tcPr>
            <w:tcW w:w="955" w:type="dxa"/>
            <w:tcBorders>
              <w:top w:val="nil"/>
              <w:left w:val="single" w:sz="4" w:space="0" w:color="auto"/>
              <w:bottom w:val="nil"/>
              <w:right w:val="single" w:sz="4" w:space="0" w:color="auto"/>
            </w:tcBorders>
            <w:shd w:val="clear" w:color="auto" w:fill="auto"/>
            <w:noWrap/>
            <w:vAlign w:val="center"/>
            <w:hideMark/>
          </w:tcPr>
          <w:p w14:paraId="1324B3C3" w14:textId="77777777" w:rsidR="00387142" w:rsidRPr="008B6A75" w:rsidRDefault="00387142" w:rsidP="00387142">
            <w:pPr>
              <w:jc w:val="center"/>
              <w:rPr>
                <w:sz w:val="20"/>
                <w:szCs w:val="20"/>
              </w:rPr>
            </w:pPr>
            <w:r w:rsidRPr="008B6A75">
              <w:rPr>
                <w:sz w:val="20"/>
                <w:szCs w:val="20"/>
              </w:rPr>
              <w:t>200</w:t>
            </w:r>
          </w:p>
        </w:tc>
        <w:tc>
          <w:tcPr>
            <w:tcW w:w="992" w:type="dxa"/>
            <w:tcBorders>
              <w:top w:val="nil"/>
              <w:left w:val="single" w:sz="4" w:space="0" w:color="auto"/>
              <w:bottom w:val="nil"/>
              <w:right w:val="single" w:sz="4" w:space="0" w:color="auto"/>
            </w:tcBorders>
            <w:shd w:val="clear" w:color="auto" w:fill="auto"/>
            <w:noWrap/>
            <w:vAlign w:val="center"/>
            <w:hideMark/>
          </w:tcPr>
          <w:p w14:paraId="021101DB" w14:textId="77777777" w:rsidR="00387142" w:rsidRPr="008B6A75" w:rsidRDefault="00387142" w:rsidP="00387142">
            <w:pPr>
              <w:jc w:val="right"/>
              <w:rPr>
                <w:sz w:val="20"/>
                <w:szCs w:val="20"/>
              </w:rPr>
            </w:pPr>
            <w:r w:rsidRPr="008B6A75">
              <w:rPr>
                <w:sz w:val="20"/>
                <w:szCs w:val="20"/>
              </w:rPr>
              <w:t>504 442,00</w:t>
            </w:r>
          </w:p>
        </w:tc>
        <w:tc>
          <w:tcPr>
            <w:tcW w:w="992" w:type="dxa"/>
            <w:gridSpan w:val="2"/>
            <w:tcBorders>
              <w:top w:val="nil"/>
              <w:left w:val="single" w:sz="4" w:space="0" w:color="auto"/>
              <w:bottom w:val="nil"/>
              <w:right w:val="nil"/>
            </w:tcBorders>
            <w:shd w:val="clear" w:color="auto" w:fill="auto"/>
            <w:noWrap/>
            <w:vAlign w:val="center"/>
            <w:hideMark/>
          </w:tcPr>
          <w:p w14:paraId="6180E302" w14:textId="77777777" w:rsidR="00387142" w:rsidRPr="008B6A75" w:rsidRDefault="00387142" w:rsidP="00387142">
            <w:pPr>
              <w:jc w:val="right"/>
              <w:rPr>
                <w:sz w:val="20"/>
                <w:szCs w:val="20"/>
              </w:rPr>
            </w:pPr>
            <w:r w:rsidRPr="008B6A75">
              <w:rPr>
                <w:sz w:val="20"/>
                <w:szCs w:val="20"/>
              </w:rPr>
              <w:t>240 000,00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2891A344" w14:textId="77777777" w:rsidR="00387142" w:rsidRPr="008B6A75" w:rsidRDefault="00387142" w:rsidP="00387142">
            <w:pPr>
              <w:jc w:val="right"/>
              <w:rPr>
                <w:sz w:val="20"/>
                <w:szCs w:val="20"/>
              </w:rPr>
            </w:pPr>
            <w:r w:rsidRPr="008B6A75">
              <w:rPr>
                <w:sz w:val="20"/>
                <w:szCs w:val="20"/>
              </w:rPr>
              <w:t>240 000,00</w:t>
            </w:r>
          </w:p>
        </w:tc>
        <w:tc>
          <w:tcPr>
            <w:tcW w:w="222" w:type="dxa"/>
            <w:vAlign w:val="center"/>
            <w:hideMark/>
          </w:tcPr>
          <w:p w14:paraId="76312285" w14:textId="77777777" w:rsidR="00387142" w:rsidRPr="008B6A75" w:rsidRDefault="00387142" w:rsidP="00387142">
            <w:pPr>
              <w:rPr>
                <w:sz w:val="20"/>
                <w:szCs w:val="20"/>
              </w:rPr>
            </w:pPr>
          </w:p>
        </w:tc>
      </w:tr>
      <w:tr w:rsidR="00387142" w:rsidRPr="008B6A75" w14:paraId="59B406BA" w14:textId="77777777" w:rsidTr="00387142">
        <w:trPr>
          <w:trHeight w:val="870"/>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47BA6347" w14:textId="77777777" w:rsidR="00387142" w:rsidRPr="008B6A75" w:rsidRDefault="00387142" w:rsidP="00387142">
            <w:pPr>
              <w:rPr>
                <w:sz w:val="20"/>
                <w:szCs w:val="20"/>
              </w:rPr>
            </w:pPr>
            <w:r w:rsidRPr="008B6A75">
              <w:rPr>
                <w:sz w:val="20"/>
                <w:szCs w:val="20"/>
              </w:rPr>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547F675E" w14:textId="77777777" w:rsidR="00387142" w:rsidRPr="008B6A75" w:rsidRDefault="00387142" w:rsidP="00387142">
            <w:pPr>
              <w:jc w:val="center"/>
              <w:rPr>
                <w:sz w:val="20"/>
                <w:szCs w:val="20"/>
              </w:rPr>
            </w:pPr>
            <w:r w:rsidRPr="008B6A75">
              <w:rPr>
                <w:sz w:val="20"/>
                <w:szCs w:val="20"/>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36AD736A" w14:textId="77777777" w:rsidR="00387142" w:rsidRPr="008B6A75" w:rsidRDefault="00387142" w:rsidP="00387142">
            <w:pPr>
              <w:jc w:val="center"/>
              <w:rPr>
                <w:sz w:val="20"/>
                <w:szCs w:val="20"/>
              </w:rPr>
            </w:pPr>
            <w:r w:rsidRPr="008B6A75">
              <w:rPr>
                <w:sz w:val="20"/>
                <w:szCs w:val="20"/>
              </w:rPr>
              <w:t>07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31836C" w14:textId="77777777" w:rsidR="00387142" w:rsidRPr="008B6A75" w:rsidRDefault="00387142" w:rsidP="00387142">
            <w:pPr>
              <w:jc w:val="center"/>
              <w:rPr>
                <w:sz w:val="20"/>
                <w:szCs w:val="20"/>
              </w:rPr>
            </w:pPr>
            <w:r w:rsidRPr="008B6A75">
              <w:rPr>
                <w:sz w:val="20"/>
                <w:szCs w:val="20"/>
              </w:rPr>
              <w:t>05</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018B9EE1" w14:textId="77777777" w:rsidR="00387142" w:rsidRPr="008B6A75" w:rsidRDefault="00387142" w:rsidP="00387142">
            <w:pPr>
              <w:jc w:val="center"/>
              <w:rPr>
                <w:sz w:val="20"/>
                <w:szCs w:val="20"/>
              </w:rPr>
            </w:pPr>
            <w:r w:rsidRPr="008B6A75">
              <w:rPr>
                <w:sz w:val="20"/>
                <w:szCs w:val="20"/>
              </w:rPr>
              <w:t>07.1.00.07790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5ACCA4" w14:textId="77777777" w:rsidR="00387142" w:rsidRPr="008B6A75" w:rsidRDefault="00387142" w:rsidP="00387142">
            <w:pPr>
              <w:jc w:val="center"/>
              <w:rPr>
                <w:sz w:val="20"/>
                <w:szCs w:val="20"/>
              </w:rPr>
            </w:pPr>
            <w:r w:rsidRPr="008B6A75">
              <w:rPr>
                <w:sz w:val="20"/>
                <w:szCs w:val="20"/>
              </w:rPr>
              <w:t>240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69A48C" w14:textId="77777777" w:rsidR="00387142" w:rsidRPr="008B6A75" w:rsidRDefault="00387142" w:rsidP="00387142">
            <w:pPr>
              <w:jc w:val="right"/>
              <w:rPr>
                <w:sz w:val="20"/>
                <w:szCs w:val="20"/>
              </w:rPr>
            </w:pPr>
            <w:r w:rsidRPr="008B6A75">
              <w:rPr>
                <w:sz w:val="20"/>
                <w:szCs w:val="20"/>
              </w:rPr>
              <w:t>504 442,00</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11DA3C32" w14:textId="77777777" w:rsidR="00387142" w:rsidRPr="008B6A75" w:rsidRDefault="00387142" w:rsidP="00387142">
            <w:pPr>
              <w:jc w:val="right"/>
              <w:rPr>
                <w:sz w:val="20"/>
                <w:szCs w:val="20"/>
              </w:rPr>
            </w:pPr>
            <w:r w:rsidRPr="008B6A75">
              <w:rPr>
                <w:sz w:val="20"/>
                <w:szCs w:val="20"/>
              </w:rPr>
              <w:t>240 000,00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43F984" w14:textId="77777777" w:rsidR="00387142" w:rsidRPr="008B6A75" w:rsidRDefault="00387142" w:rsidP="00387142">
            <w:pPr>
              <w:jc w:val="right"/>
              <w:rPr>
                <w:sz w:val="20"/>
                <w:szCs w:val="20"/>
              </w:rPr>
            </w:pPr>
            <w:r w:rsidRPr="008B6A75">
              <w:rPr>
                <w:sz w:val="20"/>
                <w:szCs w:val="20"/>
              </w:rPr>
              <w:t>240 000,00</w:t>
            </w:r>
          </w:p>
        </w:tc>
        <w:tc>
          <w:tcPr>
            <w:tcW w:w="222" w:type="dxa"/>
            <w:vAlign w:val="center"/>
            <w:hideMark/>
          </w:tcPr>
          <w:p w14:paraId="56C8355D" w14:textId="77777777" w:rsidR="00387142" w:rsidRPr="008B6A75" w:rsidRDefault="00387142" w:rsidP="00387142">
            <w:pPr>
              <w:rPr>
                <w:sz w:val="20"/>
                <w:szCs w:val="20"/>
              </w:rPr>
            </w:pPr>
          </w:p>
        </w:tc>
      </w:tr>
      <w:tr w:rsidR="00387142" w:rsidRPr="008B6A75" w14:paraId="472521DE" w14:textId="77777777" w:rsidTr="00387142">
        <w:trPr>
          <w:trHeight w:val="300"/>
        </w:trPr>
        <w:tc>
          <w:tcPr>
            <w:tcW w:w="3021" w:type="dxa"/>
            <w:tcBorders>
              <w:top w:val="nil"/>
              <w:left w:val="single" w:sz="4" w:space="0" w:color="auto"/>
              <w:bottom w:val="nil"/>
              <w:right w:val="nil"/>
            </w:tcBorders>
            <w:shd w:val="clear" w:color="auto" w:fill="auto"/>
            <w:vAlign w:val="center"/>
            <w:hideMark/>
          </w:tcPr>
          <w:p w14:paraId="6A72F485" w14:textId="77777777" w:rsidR="00387142" w:rsidRPr="008B6A75" w:rsidRDefault="00387142" w:rsidP="00387142">
            <w:pPr>
              <w:rPr>
                <w:sz w:val="20"/>
                <w:szCs w:val="20"/>
              </w:rPr>
            </w:pPr>
            <w:r w:rsidRPr="008B6A75">
              <w:rPr>
                <w:sz w:val="20"/>
                <w:szCs w:val="20"/>
              </w:rPr>
              <w:t>Иные бюджетные ассигнования</w:t>
            </w:r>
          </w:p>
        </w:tc>
        <w:tc>
          <w:tcPr>
            <w:tcW w:w="850" w:type="dxa"/>
            <w:tcBorders>
              <w:top w:val="nil"/>
              <w:left w:val="single" w:sz="4" w:space="0" w:color="auto"/>
              <w:bottom w:val="nil"/>
              <w:right w:val="nil"/>
            </w:tcBorders>
            <w:shd w:val="clear" w:color="auto" w:fill="auto"/>
            <w:noWrap/>
            <w:vAlign w:val="center"/>
            <w:hideMark/>
          </w:tcPr>
          <w:p w14:paraId="571B822F" w14:textId="77777777" w:rsidR="00387142" w:rsidRPr="008B6A75" w:rsidRDefault="00387142" w:rsidP="00387142">
            <w:pPr>
              <w:jc w:val="center"/>
              <w:rPr>
                <w:sz w:val="20"/>
                <w:szCs w:val="20"/>
              </w:rPr>
            </w:pPr>
            <w:r w:rsidRPr="008B6A75">
              <w:rPr>
                <w:sz w:val="20"/>
                <w:szCs w:val="20"/>
              </w:rPr>
              <w:t>444</w:t>
            </w:r>
          </w:p>
        </w:tc>
        <w:tc>
          <w:tcPr>
            <w:tcW w:w="709" w:type="dxa"/>
            <w:tcBorders>
              <w:top w:val="nil"/>
              <w:left w:val="single" w:sz="4" w:space="0" w:color="auto"/>
              <w:bottom w:val="nil"/>
              <w:right w:val="nil"/>
            </w:tcBorders>
            <w:shd w:val="clear" w:color="auto" w:fill="auto"/>
            <w:noWrap/>
            <w:vAlign w:val="center"/>
            <w:hideMark/>
          </w:tcPr>
          <w:p w14:paraId="555E262E" w14:textId="77777777" w:rsidR="00387142" w:rsidRPr="008B6A75" w:rsidRDefault="00387142" w:rsidP="00387142">
            <w:pPr>
              <w:jc w:val="center"/>
              <w:rPr>
                <w:sz w:val="20"/>
                <w:szCs w:val="20"/>
              </w:rPr>
            </w:pPr>
            <w:r w:rsidRPr="008B6A75">
              <w:rPr>
                <w:sz w:val="20"/>
                <w:szCs w:val="20"/>
              </w:rPr>
              <w:t>07</w:t>
            </w:r>
          </w:p>
        </w:tc>
        <w:tc>
          <w:tcPr>
            <w:tcW w:w="709" w:type="dxa"/>
            <w:tcBorders>
              <w:top w:val="nil"/>
              <w:left w:val="single" w:sz="4" w:space="0" w:color="auto"/>
              <w:bottom w:val="nil"/>
              <w:right w:val="single" w:sz="4" w:space="0" w:color="auto"/>
            </w:tcBorders>
            <w:shd w:val="clear" w:color="auto" w:fill="auto"/>
            <w:noWrap/>
            <w:vAlign w:val="center"/>
            <w:hideMark/>
          </w:tcPr>
          <w:p w14:paraId="17EB9C23" w14:textId="77777777" w:rsidR="00387142" w:rsidRPr="008B6A75" w:rsidRDefault="00387142" w:rsidP="00387142">
            <w:pPr>
              <w:jc w:val="center"/>
              <w:rPr>
                <w:sz w:val="20"/>
                <w:szCs w:val="20"/>
              </w:rPr>
            </w:pPr>
            <w:r w:rsidRPr="008B6A75">
              <w:rPr>
                <w:sz w:val="20"/>
                <w:szCs w:val="20"/>
              </w:rPr>
              <w:t>05</w:t>
            </w:r>
          </w:p>
        </w:tc>
        <w:tc>
          <w:tcPr>
            <w:tcW w:w="1411" w:type="dxa"/>
            <w:tcBorders>
              <w:top w:val="nil"/>
              <w:left w:val="single" w:sz="4" w:space="0" w:color="auto"/>
              <w:bottom w:val="nil"/>
              <w:right w:val="nil"/>
            </w:tcBorders>
            <w:shd w:val="clear" w:color="auto" w:fill="auto"/>
            <w:noWrap/>
            <w:vAlign w:val="center"/>
            <w:hideMark/>
          </w:tcPr>
          <w:p w14:paraId="44D1B3FF" w14:textId="77777777" w:rsidR="00387142" w:rsidRPr="008B6A75" w:rsidRDefault="00387142" w:rsidP="00387142">
            <w:pPr>
              <w:jc w:val="center"/>
              <w:rPr>
                <w:sz w:val="20"/>
                <w:szCs w:val="20"/>
              </w:rPr>
            </w:pPr>
            <w:r w:rsidRPr="008B6A75">
              <w:rPr>
                <w:sz w:val="20"/>
                <w:szCs w:val="20"/>
              </w:rPr>
              <w:t>07.1.00.07790</w:t>
            </w:r>
          </w:p>
        </w:tc>
        <w:tc>
          <w:tcPr>
            <w:tcW w:w="955" w:type="dxa"/>
            <w:tcBorders>
              <w:top w:val="nil"/>
              <w:left w:val="single" w:sz="4" w:space="0" w:color="auto"/>
              <w:bottom w:val="nil"/>
              <w:right w:val="single" w:sz="4" w:space="0" w:color="auto"/>
            </w:tcBorders>
            <w:shd w:val="clear" w:color="auto" w:fill="auto"/>
            <w:noWrap/>
            <w:vAlign w:val="center"/>
            <w:hideMark/>
          </w:tcPr>
          <w:p w14:paraId="3BF309D7" w14:textId="77777777" w:rsidR="00387142" w:rsidRPr="008B6A75" w:rsidRDefault="00387142" w:rsidP="00387142">
            <w:pPr>
              <w:jc w:val="center"/>
              <w:rPr>
                <w:sz w:val="20"/>
                <w:szCs w:val="20"/>
              </w:rPr>
            </w:pPr>
            <w:r w:rsidRPr="008B6A75">
              <w:rPr>
                <w:sz w:val="20"/>
                <w:szCs w:val="20"/>
              </w:rPr>
              <w:t>800</w:t>
            </w:r>
          </w:p>
        </w:tc>
        <w:tc>
          <w:tcPr>
            <w:tcW w:w="992" w:type="dxa"/>
            <w:tcBorders>
              <w:top w:val="nil"/>
              <w:left w:val="single" w:sz="4" w:space="0" w:color="auto"/>
              <w:bottom w:val="nil"/>
              <w:right w:val="single" w:sz="4" w:space="0" w:color="auto"/>
            </w:tcBorders>
            <w:shd w:val="clear" w:color="auto" w:fill="auto"/>
            <w:noWrap/>
            <w:vAlign w:val="center"/>
            <w:hideMark/>
          </w:tcPr>
          <w:p w14:paraId="75CD4C87" w14:textId="77777777" w:rsidR="00387142" w:rsidRPr="008B6A75" w:rsidRDefault="00387142" w:rsidP="00387142">
            <w:pPr>
              <w:jc w:val="right"/>
              <w:rPr>
                <w:sz w:val="20"/>
                <w:szCs w:val="20"/>
              </w:rPr>
            </w:pPr>
            <w:r w:rsidRPr="008B6A75">
              <w:rPr>
                <w:sz w:val="20"/>
                <w:szCs w:val="20"/>
              </w:rPr>
              <w:t>3 000,00</w:t>
            </w:r>
          </w:p>
        </w:tc>
        <w:tc>
          <w:tcPr>
            <w:tcW w:w="992" w:type="dxa"/>
            <w:gridSpan w:val="2"/>
            <w:tcBorders>
              <w:top w:val="nil"/>
              <w:left w:val="single" w:sz="4" w:space="0" w:color="auto"/>
              <w:bottom w:val="nil"/>
              <w:right w:val="nil"/>
            </w:tcBorders>
            <w:shd w:val="clear" w:color="auto" w:fill="auto"/>
            <w:noWrap/>
            <w:vAlign w:val="center"/>
            <w:hideMark/>
          </w:tcPr>
          <w:p w14:paraId="5FFDC590" w14:textId="77777777" w:rsidR="00387142" w:rsidRPr="008B6A75" w:rsidRDefault="00387142" w:rsidP="00387142">
            <w:pPr>
              <w:jc w:val="right"/>
              <w:rPr>
                <w:sz w:val="20"/>
                <w:szCs w:val="20"/>
              </w:rPr>
            </w:pPr>
            <w:r w:rsidRPr="008B6A75">
              <w:rPr>
                <w:sz w:val="20"/>
                <w:szCs w:val="20"/>
              </w:rPr>
              <w:t>0,00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2590FC28" w14:textId="77777777" w:rsidR="00387142" w:rsidRPr="008B6A75" w:rsidRDefault="00387142" w:rsidP="00387142">
            <w:pPr>
              <w:jc w:val="right"/>
              <w:rPr>
                <w:sz w:val="20"/>
                <w:szCs w:val="20"/>
              </w:rPr>
            </w:pPr>
            <w:r w:rsidRPr="008B6A75">
              <w:rPr>
                <w:sz w:val="20"/>
                <w:szCs w:val="20"/>
              </w:rPr>
              <w:t>0,00</w:t>
            </w:r>
          </w:p>
        </w:tc>
        <w:tc>
          <w:tcPr>
            <w:tcW w:w="222" w:type="dxa"/>
            <w:vAlign w:val="center"/>
            <w:hideMark/>
          </w:tcPr>
          <w:p w14:paraId="46265203" w14:textId="77777777" w:rsidR="00387142" w:rsidRPr="008B6A75" w:rsidRDefault="00387142" w:rsidP="00387142">
            <w:pPr>
              <w:rPr>
                <w:sz w:val="20"/>
                <w:szCs w:val="20"/>
              </w:rPr>
            </w:pPr>
          </w:p>
        </w:tc>
      </w:tr>
      <w:tr w:rsidR="00387142" w:rsidRPr="008B6A75" w14:paraId="0B5493BE" w14:textId="77777777" w:rsidTr="00387142">
        <w:trPr>
          <w:trHeight w:val="300"/>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76912740" w14:textId="77777777" w:rsidR="00387142" w:rsidRPr="008B6A75" w:rsidRDefault="00387142" w:rsidP="00387142">
            <w:pPr>
              <w:rPr>
                <w:sz w:val="20"/>
                <w:szCs w:val="20"/>
              </w:rPr>
            </w:pPr>
            <w:r w:rsidRPr="008B6A75">
              <w:rPr>
                <w:sz w:val="20"/>
                <w:szCs w:val="20"/>
              </w:rPr>
              <w:t>Уплата налогов, сборов и иных платежей</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399BA7C7" w14:textId="77777777" w:rsidR="00387142" w:rsidRPr="008B6A75" w:rsidRDefault="00387142" w:rsidP="00387142">
            <w:pPr>
              <w:jc w:val="center"/>
              <w:rPr>
                <w:sz w:val="20"/>
                <w:szCs w:val="20"/>
              </w:rPr>
            </w:pPr>
            <w:r w:rsidRPr="008B6A75">
              <w:rPr>
                <w:sz w:val="20"/>
                <w:szCs w:val="20"/>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23805BEE" w14:textId="77777777" w:rsidR="00387142" w:rsidRPr="008B6A75" w:rsidRDefault="00387142" w:rsidP="00387142">
            <w:pPr>
              <w:jc w:val="center"/>
              <w:rPr>
                <w:sz w:val="20"/>
                <w:szCs w:val="20"/>
              </w:rPr>
            </w:pPr>
            <w:r w:rsidRPr="008B6A75">
              <w:rPr>
                <w:sz w:val="20"/>
                <w:szCs w:val="20"/>
              </w:rPr>
              <w:t>07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537CC0" w14:textId="77777777" w:rsidR="00387142" w:rsidRPr="008B6A75" w:rsidRDefault="00387142" w:rsidP="00387142">
            <w:pPr>
              <w:jc w:val="center"/>
              <w:rPr>
                <w:sz w:val="20"/>
                <w:szCs w:val="20"/>
              </w:rPr>
            </w:pPr>
            <w:r w:rsidRPr="008B6A75">
              <w:rPr>
                <w:sz w:val="20"/>
                <w:szCs w:val="20"/>
              </w:rPr>
              <w:t>05</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33E58993" w14:textId="77777777" w:rsidR="00387142" w:rsidRPr="008B6A75" w:rsidRDefault="00387142" w:rsidP="00387142">
            <w:pPr>
              <w:jc w:val="center"/>
              <w:rPr>
                <w:sz w:val="20"/>
                <w:szCs w:val="20"/>
              </w:rPr>
            </w:pPr>
            <w:r w:rsidRPr="008B6A75">
              <w:rPr>
                <w:sz w:val="20"/>
                <w:szCs w:val="20"/>
              </w:rPr>
              <w:t>07.1.00.07790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DB8C3F" w14:textId="77777777" w:rsidR="00387142" w:rsidRPr="008B6A75" w:rsidRDefault="00387142" w:rsidP="00387142">
            <w:pPr>
              <w:jc w:val="center"/>
              <w:rPr>
                <w:sz w:val="20"/>
                <w:szCs w:val="20"/>
              </w:rPr>
            </w:pPr>
            <w:r w:rsidRPr="008B6A75">
              <w:rPr>
                <w:sz w:val="20"/>
                <w:szCs w:val="20"/>
              </w:rPr>
              <w:t>850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9FF713" w14:textId="77777777" w:rsidR="00387142" w:rsidRPr="008B6A75" w:rsidRDefault="00387142" w:rsidP="00387142">
            <w:pPr>
              <w:jc w:val="right"/>
              <w:rPr>
                <w:sz w:val="20"/>
                <w:szCs w:val="20"/>
              </w:rPr>
            </w:pPr>
            <w:r w:rsidRPr="008B6A75">
              <w:rPr>
                <w:sz w:val="20"/>
                <w:szCs w:val="20"/>
              </w:rPr>
              <w:t>3 000,00</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6FD6517E" w14:textId="77777777" w:rsidR="00387142" w:rsidRPr="008B6A75" w:rsidRDefault="00387142" w:rsidP="00387142">
            <w:pPr>
              <w:jc w:val="right"/>
              <w:rPr>
                <w:sz w:val="20"/>
                <w:szCs w:val="20"/>
              </w:rPr>
            </w:pPr>
            <w:r w:rsidRPr="008B6A75">
              <w:rPr>
                <w:sz w:val="20"/>
                <w:szCs w:val="20"/>
              </w:rPr>
              <w:t>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013474" w14:textId="77777777" w:rsidR="00387142" w:rsidRPr="008B6A75" w:rsidRDefault="00387142" w:rsidP="00387142">
            <w:pPr>
              <w:jc w:val="right"/>
              <w:rPr>
                <w:sz w:val="20"/>
                <w:szCs w:val="20"/>
              </w:rPr>
            </w:pPr>
            <w:r w:rsidRPr="008B6A75">
              <w:rPr>
                <w:sz w:val="20"/>
                <w:szCs w:val="20"/>
              </w:rPr>
              <w:t>0,00</w:t>
            </w:r>
          </w:p>
        </w:tc>
        <w:tc>
          <w:tcPr>
            <w:tcW w:w="222" w:type="dxa"/>
            <w:vAlign w:val="center"/>
            <w:hideMark/>
          </w:tcPr>
          <w:p w14:paraId="25460C5A" w14:textId="77777777" w:rsidR="00387142" w:rsidRPr="008B6A75" w:rsidRDefault="00387142" w:rsidP="00387142">
            <w:pPr>
              <w:rPr>
                <w:sz w:val="20"/>
                <w:szCs w:val="20"/>
              </w:rPr>
            </w:pPr>
          </w:p>
        </w:tc>
      </w:tr>
      <w:tr w:rsidR="00387142" w:rsidRPr="008B6A75" w14:paraId="1EE9529B" w14:textId="77777777" w:rsidTr="00387142">
        <w:trPr>
          <w:trHeight w:val="1440"/>
        </w:trPr>
        <w:tc>
          <w:tcPr>
            <w:tcW w:w="3021" w:type="dxa"/>
            <w:tcBorders>
              <w:top w:val="nil"/>
              <w:left w:val="single" w:sz="4" w:space="0" w:color="auto"/>
              <w:bottom w:val="nil"/>
              <w:right w:val="nil"/>
            </w:tcBorders>
            <w:shd w:val="clear" w:color="auto" w:fill="auto"/>
            <w:vAlign w:val="center"/>
            <w:hideMark/>
          </w:tcPr>
          <w:p w14:paraId="46B49898" w14:textId="77777777" w:rsidR="00387142" w:rsidRPr="008B6A75" w:rsidRDefault="00387142" w:rsidP="00387142">
            <w:pPr>
              <w:rPr>
                <w:bCs/>
                <w:sz w:val="20"/>
                <w:szCs w:val="20"/>
              </w:rPr>
            </w:pPr>
            <w:r w:rsidRPr="008B6A75">
              <w:rPr>
                <w:bCs/>
                <w:sz w:val="20"/>
                <w:szCs w:val="20"/>
              </w:rPr>
              <w:t xml:space="preserve">Реализация мероприятий по обеспечению сбалансированности местных </w:t>
            </w:r>
            <w:proofErr w:type="gramStart"/>
            <w:r w:rsidRPr="008B6A75">
              <w:rPr>
                <w:bCs/>
                <w:sz w:val="20"/>
                <w:szCs w:val="20"/>
              </w:rPr>
              <w:t>бюджетов  государственной</w:t>
            </w:r>
            <w:proofErr w:type="gramEnd"/>
            <w:r w:rsidRPr="008B6A75">
              <w:rPr>
                <w:bCs/>
                <w:sz w:val="20"/>
                <w:szCs w:val="20"/>
              </w:rPr>
              <w:t xml:space="preserve"> программы Новосибирской области "Управление  финансами в Новосибирской области"</w:t>
            </w:r>
          </w:p>
        </w:tc>
        <w:tc>
          <w:tcPr>
            <w:tcW w:w="850" w:type="dxa"/>
            <w:tcBorders>
              <w:top w:val="nil"/>
              <w:left w:val="single" w:sz="4" w:space="0" w:color="auto"/>
              <w:bottom w:val="nil"/>
              <w:right w:val="nil"/>
            </w:tcBorders>
            <w:shd w:val="clear" w:color="auto" w:fill="auto"/>
            <w:noWrap/>
            <w:vAlign w:val="center"/>
            <w:hideMark/>
          </w:tcPr>
          <w:p w14:paraId="194EDE61" w14:textId="77777777" w:rsidR="00387142" w:rsidRPr="008B6A75" w:rsidRDefault="00387142" w:rsidP="00387142">
            <w:pPr>
              <w:jc w:val="center"/>
              <w:rPr>
                <w:bCs/>
                <w:sz w:val="20"/>
                <w:szCs w:val="20"/>
              </w:rPr>
            </w:pPr>
            <w:r w:rsidRPr="008B6A75">
              <w:rPr>
                <w:bCs/>
                <w:sz w:val="20"/>
                <w:szCs w:val="20"/>
              </w:rPr>
              <w:t>444</w:t>
            </w:r>
          </w:p>
        </w:tc>
        <w:tc>
          <w:tcPr>
            <w:tcW w:w="709" w:type="dxa"/>
            <w:tcBorders>
              <w:top w:val="nil"/>
              <w:left w:val="single" w:sz="4" w:space="0" w:color="auto"/>
              <w:bottom w:val="nil"/>
              <w:right w:val="nil"/>
            </w:tcBorders>
            <w:shd w:val="clear" w:color="auto" w:fill="auto"/>
            <w:noWrap/>
            <w:vAlign w:val="center"/>
            <w:hideMark/>
          </w:tcPr>
          <w:p w14:paraId="01B5FCF1" w14:textId="77777777" w:rsidR="00387142" w:rsidRPr="008B6A75" w:rsidRDefault="00387142" w:rsidP="00387142">
            <w:pPr>
              <w:jc w:val="center"/>
              <w:rPr>
                <w:bCs/>
                <w:sz w:val="20"/>
                <w:szCs w:val="20"/>
              </w:rPr>
            </w:pPr>
            <w:r w:rsidRPr="008B6A75">
              <w:rPr>
                <w:bCs/>
                <w:sz w:val="20"/>
                <w:szCs w:val="20"/>
              </w:rPr>
              <w:t>07</w:t>
            </w:r>
          </w:p>
        </w:tc>
        <w:tc>
          <w:tcPr>
            <w:tcW w:w="709" w:type="dxa"/>
            <w:tcBorders>
              <w:top w:val="nil"/>
              <w:left w:val="single" w:sz="4" w:space="0" w:color="auto"/>
              <w:bottom w:val="nil"/>
              <w:right w:val="single" w:sz="4" w:space="0" w:color="auto"/>
            </w:tcBorders>
            <w:shd w:val="clear" w:color="auto" w:fill="auto"/>
            <w:noWrap/>
            <w:vAlign w:val="center"/>
            <w:hideMark/>
          </w:tcPr>
          <w:p w14:paraId="3DB56AE4" w14:textId="77777777" w:rsidR="00387142" w:rsidRPr="008B6A75" w:rsidRDefault="00387142" w:rsidP="00387142">
            <w:pPr>
              <w:jc w:val="center"/>
              <w:rPr>
                <w:bCs/>
                <w:sz w:val="20"/>
                <w:szCs w:val="20"/>
              </w:rPr>
            </w:pPr>
            <w:r w:rsidRPr="008B6A75">
              <w:rPr>
                <w:bCs/>
                <w:sz w:val="20"/>
                <w:szCs w:val="20"/>
              </w:rPr>
              <w:t>05</w:t>
            </w:r>
          </w:p>
        </w:tc>
        <w:tc>
          <w:tcPr>
            <w:tcW w:w="1411" w:type="dxa"/>
            <w:tcBorders>
              <w:top w:val="nil"/>
              <w:left w:val="single" w:sz="4" w:space="0" w:color="auto"/>
              <w:bottom w:val="nil"/>
              <w:right w:val="nil"/>
            </w:tcBorders>
            <w:shd w:val="clear" w:color="auto" w:fill="auto"/>
            <w:noWrap/>
            <w:vAlign w:val="center"/>
            <w:hideMark/>
          </w:tcPr>
          <w:p w14:paraId="73D26F4A" w14:textId="77777777" w:rsidR="00387142" w:rsidRPr="008B6A75" w:rsidRDefault="00387142" w:rsidP="00387142">
            <w:pPr>
              <w:jc w:val="center"/>
              <w:rPr>
                <w:bCs/>
                <w:sz w:val="20"/>
                <w:szCs w:val="20"/>
              </w:rPr>
            </w:pPr>
            <w:r w:rsidRPr="008B6A75">
              <w:rPr>
                <w:bCs/>
                <w:sz w:val="20"/>
                <w:szCs w:val="20"/>
              </w:rPr>
              <w:t>07.1.00.70510</w:t>
            </w:r>
          </w:p>
        </w:tc>
        <w:tc>
          <w:tcPr>
            <w:tcW w:w="955" w:type="dxa"/>
            <w:tcBorders>
              <w:top w:val="nil"/>
              <w:left w:val="single" w:sz="4" w:space="0" w:color="auto"/>
              <w:bottom w:val="nil"/>
              <w:right w:val="single" w:sz="4" w:space="0" w:color="auto"/>
            </w:tcBorders>
            <w:shd w:val="clear" w:color="auto" w:fill="auto"/>
            <w:noWrap/>
            <w:vAlign w:val="center"/>
            <w:hideMark/>
          </w:tcPr>
          <w:p w14:paraId="6B045F25"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nil"/>
              <w:right w:val="single" w:sz="4" w:space="0" w:color="auto"/>
            </w:tcBorders>
            <w:shd w:val="clear" w:color="auto" w:fill="auto"/>
            <w:noWrap/>
            <w:vAlign w:val="center"/>
            <w:hideMark/>
          </w:tcPr>
          <w:p w14:paraId="21C2F29F" w14:textId="77777777" w:rsidR="00387142" w:rsidRPr="008B6A75" w:rsidRDefault="00387142" w:rsidP="00387142">
            <w:pPr>
              <w:jc w:val="right"/>
              <w:rPr>
                <w:bCs/>
                <w:sz w:val="20"/>
                <w:szCs w:val="20"/>
              </w:rPr>
            </w:pPr>
            <w:r w:rsidRPr="008B6A75">
              <w:rPr>
                <w:bCs/>
                <w:sz w:val="20"/>
                <w:szCs w:val="20"/>
              </w:rPr>
              <w:t>958 049,00</w:t>
            </w:r>
          </w:p>
        </w:tc>
        <w:tc>
          <w:tcPr>
            <w:tcW w:w="992" w:type="dxa"/>
            <w:gridSpan w:val="2"/>
            <w:tcBorders>
              <w:top w:val="nil"/>
              <w:left w:val="single" w:sz="4" w:space="0" w:color="auto"/>
              <w:bottom w:val="nil"/>
              <w:right w:val="nil"/>
            </w:tcBorders>
            <w:shd w:val="clear" w:color="auto" w:fill="auto"/>
            <w:noWrap/>
            <w:vAlign w:val="center"/>
            <w:hideMark/>
          </w:tcPr>
          <w:p w14:paraId="4EE2920E" w14:textId="77777777" w:rsidR="00387142" w:rsidRPr="008B6A75" w:rsidRDefault="00387142" w:rsidP="00387142">
            <w:pPr>
              <w:jc w:val="right"/>
              <w:rPr>
                <w:bCs/>
                <w:sz w:val="20"/>
                <w:szCs w:val="20"/>
              </w:rPr>
            </w:pPr>
            <w:r w:rsidRPr="008B6A75">
              <w:rPr>
                <w:bCs/>
                <w:sz w:val="20"/>
                <w:szCs w:val="20"/>
              </w:rPr>
              <w:t>0,00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650A0A2F" w14:textId="77777777" w:rsidR="00387142" w:rsidRPr="008B6A75" w:rsidRDefault="00387142" w:rsidP="00387142">
            <w:pPr>
              <w:jc w:val="right"/>
              <w:rPr>
                <w:bCs/>
                <w:sz w:val="20"/>
                <w:szCs w:val="20"/>
              </w:rPr>
            </w:pPr>
            <w:r w:rsidRPr="008B6A75">
              <w:rPr>
                <w:bCs/>
                <w:sz w:val="20"/>
                <w:szCs w:val="20"/>
              </w:rPr>
              <w:t>0,00</w:t>
            </w:r>
          </w:p>
        </w:tc>
        <w:tc>
          <w:tcPr>
            <w:tcW w:w="222" w:type="dxa"/>
            <w:vAlign w:val="center"/>
            <w:hideMark/>
          </w:tcPr>
          <w:p w14:paraId="4D35AAE1" w14:textId="77777777" w:rsidR="00387142" w:rsidRPr="008B6A75" w:rsidRDefault="00387142" w:rsidP="00387142">
            <w:pPr>
              <w:rPr>
                <w:sz w:val="20"/>
                <w:szCs w:val="20"/>
              </w:rPr>
            </w:pPr>
          </w:p>
        </w:tc>
      </w:tr>
      <w:tr w:rsidR="00387142" w:rsidRPr="008B6A75" w14:paraId="10D9227E" w14:textId="77777777" w:rsidTr="00387142">
        <w:trPr>
          <w:trHeight w:val="1440"/>
        </w:trPr>
        <w:tc>
          <w:tcPr>
            <w:tcW w:w="3021" w:type="dxa"/>
            <w:tcBorders>
              <w:top w:val="single" w:sz="4" w:space="0" w:color="auto"/>
              <w:left w:val="single" w:sz="4" w:space="0" w:color="auto"/>
              <w:bottom w:val="nil"/>
              <w:right w:val="nil"/>
            </w:tcBorders>
            <w:shd w:val="clear" w:color="auto" w:fill="auto"/>
            <w:vAlign w:val="center"/>
            <w:hideMark/>
          </w:tcPr>
          <w:p w14:paraId="7812C81E" w14:textId="77777777" w:rsidR="00387142" w:rsidRPr="008B6A75" w:rsidRDefault="00387142" w:rsidP="00387142">
            <w:pPr>
              <w:rPr>
                <w:sz w:val="20"/>
                <w:szCs w:val="20"/>
              </w:rPr>
            </w:pPr>
            <w:r w:rsidRPr="008B6A75">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nil"/>
              <w:right w:val="nil"/>
            </w:tcBorders>
            <w:shd w:val="clear" w:color="auto" w:fill="auto"/>
            <w:noWrap/>
            <w:vAlign w:val="center"/>
            <w:hideMark/>
          </w:tcPr>
          <w:p w14:paraId="03940F81" w14:textId="77777777" w:rsidR="00387142" w:rsidRPr="008B6A75" w:rsidRDefault="00387142" w:rsidP="00387142">
            <w:pPr>
              <w:jc w:val="center"/>
              <w:rPr>
                <w:sz w:val="20"/>
                <w:szCs w:val="20"/>
              </w:rPr>
            </w:pPr>
            <w:r w:rsidRPr="008B6A75">
              <w:rPr>
                <w:sz w:val="20"/>
                <w:szCs w:val="20"/>
              </w:rPr>
              <w:t>444</w:t>
            </w:r>
          </w:p>
        </w:tc>
        <w:tc>
          <w:tcPr>
            <w:tcW w:w="709" w:type="dxa"/>
            <w:tcBorders>
              <w:top w:val="single" w:sz="4" w:space="0" w:color="auto"/>
              <w:left w:val="single" w:sz="4" w:space="0" w:color="auto"/>
              <w:bottom w:val="nil"/>
              <w:right w:val="nil"/>
            </w:tcBorders>
            <w:shd w:val="clear" w:color="auto" w:fill="auto"/>
            <w:noWrap/>
            <w:vAlign w:val="center"/>
            <w:hideMark/>
          </w:tcPr>
          <w:p w14:paraId="62236ADA" w14:textId="77777777" w:rsidR="00387142" w:rsidRPr="008B6A75" w:rsidRDefault="00387142" w:rsidP="00387142">
            <w:pPr>
              <w:jc w:val="center"/>
              <w:rPr>
                <w:sz w:val="20"/>
                <w:szCs w:val="20"/>
              </w:rPr>
            </w:pPr>
            <w:r w:rsidRPr="008B6A75">
              <w:rPr>
                <w:sz w:val="20"/>
                <w:szCs w:val="20"/>
              </w:rPr>
              <w:t>07</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03C726BC" w14:textId="77777777" w:rsidR="00387142" w:rsidRPr="008B6A75" w:rsidRDefault="00387142" w:rsidP="00387142">
            <w:pPr>
              <w:jc w:val="center"/>
              <w:rPr>
                <w:sz w:val="20"/>
                <w:szCs w:val="20"/>
              </w:rPr>
            </w:pPr>
            <w:r w:rsidRPr="008B6A75">
              <w:rPr>
                <w:sz w:val="20"/>
                <w:szCs w:val="20"/>
              </w:rPr>
              <w:t>05</w:t>
            </w:r>
          </w:p>
        </w:tc>
        <w:tc>
          <w:tcPr>
            <w:tcW w:w="1411" w:type="dxa"/>
            <w:tcBorders>
              <w:top w:val="single" w:sz="4" w:space="0" w:color="auto"/>
              <w:left w:val="single" w:sz="4" w:space="0" w:color="auto"/>
              <w:bottom w:val="nil"/>
              <w:right w:val="nil"/>
            </w:tcBorders>
            <w:shd w:val="clear" w:color="auto" w:fill="auto"/>
            <w:noWrap/>
            <w:vAlign w:val="center"/>
            <w:hideMark/>
          </w:tcPr>
          <w:p w14:paraId="0A259F3D" w14:textId="77777777" w:rsidR="00387142" w:rsidRPr="008B6A75" w:rsidRDefault="00387142" w:rsidP="00387142">
            <w:pPr>
              <w:jc w:val="center"/>
              <w:rPr>
                <w:sz w:val="20"/>
                <w:szCs w:val="20"/>
              </w:rPr>
            </w:pPr>
            <w:r w:rsidRPr="008B6A75">
              <w:rPr>
                <w:sz w:val="20"/>
                <w:szCs w:val="20"/>
              </w:rPr>
              <w:t>07.1.00.70510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605AAFB0" w14:textId="77777777" w:rsidR="00387142" w:rsidRPr="008B6A75" w:rsidRDefault="00387142" w:rsidP="00387142">
            <w:pPr>
              <w:jc w:val="center"/>
              <w:rPr>
                <w:sz w:val="20"/>
                <w:szCs w:val="20"/>
              </w:rPr>
            </w:pPr>
            <w:r w:rsidRPr="008B6A75">
              <w:rPr>
                <w:sz w:val="20"/>
                <w:szCs w:val="20"/>
              </w:rPr>
              <w:t>100</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1212EC8D" w14:textId="77777777" w:rsidR="00387142" w:rsidRPr="008B6A75" w:rsidRDefault="00387142" w:rsidP="00387142">
            <w:pPr>
              <w:jc w:val="right"/>
              <w:rPr>
                <w:sz w:val="20"/>
                <w:szCs w:val="20"/>
              </w:rPr>
            </w:pPr>
            <w:r w:rsidRPr="008B6A75">
              <w:rPr>
                <w:sz w:val="20"/>
                <w:szCs w:val="20"/>
              </w:rPr>
              <w:t>958 049,00</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7B098921" w14:textId="77777777" w:rsidR="00387142" w:rsidRPr="008B6A75" w:rsidRDefault="00387142" w:rsidP="00387142">
            <w:pPr>
              <w:jc w:val="right"/>
              <w:rPr>
                <w:sz w:val="20"/>
                <w:szCs w:val="20"/>
              </w:rPr>
            </w:pPr>
            <w:r w:rsidRPr="008B6A75">
              <w:rPr>
                <w:sz w:val="20"/>
                <w:szCs w:val="20"/>
              </w:rPr>
              <w:t>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37DEA1C3" w14:textId="77777777" w:rsidR="00387142" w:rsidRPr="008B6A75" w:rsidRDefault="00387142" w:rsidP="00387142">
            <w:pPr>
              <w:jc w:val="right"/>
              <w:rPr>
                <w:sz w:val="20"/>
                <w:szCs w:val="20"/>
              </w:rPr>
            </w:pPr>
            <w:r w:rsidRPr="008B6A75">
              <w:rPr>
                <w:sz w:val="20"/>
                <w:szCs w:val="20"/>
              </w:rPr>
              <w:t>0,00</w:t>
            </w:r>
          </w:p>
        </w:tc>
        <w:tc>
          <w:tcPr>
            <w:tcW w:w="222" w:type="dxa"/>
            <w:vAlign w:val="center"/>
            <w:hideMark/>
          </w:tcPr>
          <w:p w14:paraId="72F08988" w14:textId="77777777" w:rsidR="00387142" w:rsidRPr="008B6A75" w:rsidRDefault="00387142" w:rsidP="00387142">
            <w:pPr>
              <w:rPr>
                <w:sz w:val="20"/>
                <w:szCs w:val="20"/>
              </w:rPr>
            </w:pPr>
          </w:p>
        </w:tc>
      </w:tr>
      <w:tr w:rsidR="00387142" w:rsidRPr="008B6A75" w14:paraId="1475A2FA" w14:textId="77777777" w:rsidTr="00387142">
        <w:trPr>
          <w:trHeight w:val="585"/>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750CE774" w14:textId="77777777" w:rsidR="00387142" w:rsidRPr="008B6A75" w:rsidRDefault="00387142" w:rsidP="00387142">
            <w:pPr>
              <w:rPr>
                <w:sz w:val="20"/>
                <w:szCs w:val="20"/>
              </w:rPr>
            </w:pPr>
            <w:r w:rsidRPr="008B6A75">
              <w:rPr>
                <w:sz w:val="20"/>
                <w:szCs w:val="20"/>
              </w:rPr>
              <w:t>Расходы на выплаты персоналу казенных учреждений</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0B184960" w14:textId="77777777" w:rsidR="00387142" w:rsidRPr="008B6A75" w:rsidRDefault="00387142" w:rsidP="00387142">
            <w:pPr>
              <w:jc w:val="center"/>
              <w:rPr>
                <w:sz w:val="20"/>
                <w:szCs w:val="20"/>
              </w:rPr>
            </w:pPr>
            <w:r w:rsidRPr="008B6A75">
              <w:rPr>
                <w:sz w:val="20"/>
                <w:szCs w:val="20"/>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3DC3A1A5" w14:textId="77777777" w:rsidR="00387142" w:rsidRPr="008B6A75" w:rsidRDefault="00387142" w:rsidP="00387142">
            <w:pPr>
              <w:jc w:val="center"/>
              <w:rPr>
                <w:sz w:val="20"/>
                <w:szCs w:val="20"/>
              </w:rPr>
            </w:pPr>
            <w:r w:rsidRPr="008B6A75">
              <w:rPr>
                <w:sz w:val="20"/>
                <w:szCs w:val="20"/>
              </w:rPr>
              <w:t>07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1D1282" w14:textId="77777777" w:rsidR="00387142" w:rsidRPr="008B6A75" w:rsidRDefault="00387142" w:rsidP="00387142">
            <w:pPr>
              <w:jc w:val="center"/>
              <w:rPr>
                <w:sz w:val="20"/>
                <w:szCs w:val="20"/>
              </w:rPr>
            </w:pPr>
            <w:r w:rsidRPr="008B6A75">
              <w:rPr>
                <w:sz w:val="20"/>
                <w:szCs w:val="20"/>
              </w:rPr>
              <w:t>05</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175BB75B" w14:textId="77777777" w:rsidR="00387142" w:rsidRPr="008B6A75" w:rsidRDefault="00387142" w:rsidP="00387142">
            <w:pPr>
              <w:jc w:val="center"/>
              <w:rPr>
                <w:sz w:val="20"/>
                <w:szCs w:val="20"/>
              </w:rPr>
            </w:pPr>
            <w:r w:rsidRPr="008B6A75">
              <w:rPr>
                <w:sz w:val="20"/>
                <w:szCs w:val="20"/>
              </w:rPr>
              <w:t>07.1.00.70510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95E564" w14:textId="77777777" w:rsidR="00387142" w:rsidRPr="008B6A75" w:rsidRDefault="00387142" w:rsidP="00387142">
            <w:pPr>
              <w:jc w:val="center"/>
              <w:rPr>
                <w:sz w:val="20"/>
                <w:szCs w:val="20"/>
              </w:rPr>
            </w:pPr>
            <w:r w:rsidRPr="008B6A75">
              <w:rPr>
                <w:sz w:val="20"/>
                <w:szCs w:val="20"/>
              </w:rPr>
              <w:t>110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8E042B" w14:textId="77777777" w:rsidR="00387142" w:rsidRPr="008B6A75" w:rsidRDefault="00387142" w:rsidP="00387142">
            <w:pPr>
              <w:jc w:val="right"/>
              <w:rPr>
                <w:sz w:val="20"/>
                <w:szCs w:val="20"/>
              </w:rPr>
            </w:pPr>
            <w:r w:rsidRPr="008B6A75">
              <w:rPr>
                <w:sz w:val="20"/>
                <w:szCs w:val="20"/>
              </w:rPr>
              <w:t>958 049,00</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6442D377" w14:textId="77777777" w:rsidR="00387142" w:rsidRPr="008B6A75" w:rsidRDefault="00387142" w:rsidP="00387142">
            <w:pPr>
              <w:jc w:val="right"/>
              <w:rPr>
                <w:sz w:val="20"/>
                <w:szCs w:val="20"/>
              </w:rPr>
            </w:pPr>
            <w:r w:rsidRPr="008B6A75">
              <w:rPr>
                <w:sz w:val="20"/>
                <w:szCs w:val="20"/>
              </w:rPr>
              <w:t>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B76128" w14:textId="77777777" w:rsidR="00387142" w:rsidRPr="008B6A75" w:rsidRDefault="00387142" w:rsidP="00387142">
            <w:pPr>
              <w:jc w:val="right"/>
              <w:rPr>
                <w:sz w:val="20"/>
                <w:szCs w:val="20"/>
              </w:rPr>
            </w:pPr>
            <w:r w:rsidRPr="008B6A75">
              <w:rPr>
                <w:sz w:val="20"/>
                <w:szCs w:val="20"/>
              </w:rPr>
              <w:t>0,00</w:t>
            </w:r>
          </w:p>
        </w:tc>
        <w:tc>
          <w:tcPr>
            <w:tcW w:w="222" w:type="dxa"/>
            <w:vAlign w:val="center"/>
            <w:hideMark/>
          </w:tcPr>
          <w:p w14:paraId="00172F13" w14:textId="77777777" w:rsidR="00387142" w:rsidRPr="008B6A75" w:rsidRDefault="00387142" w:rsidP="00387142">
            <w:pPr>
              <w:rPr>
                <w:sz w:val="20"/>
                <w:szCs w:val="20"/>
              </w:rPr>
            </w:pPr>
          </w:p>
        </w:tc>
      </w:tr>
      <w:tr w:rsidR="00387142" w:rsidRPr="008B6A75" w14:paraId="08332265" w14:textId="77777777" w:rsidTr="00387142">
        <w:trPr>
          <w:trHeight w:val="870"/>
        </w:trPr>
        <w:tc>
          <w:tcPr>
            <w:tcW w:w="3021" w:type="dxa"/>
            <w:tcBorders>
              <w:top w:val="nil"/>
              <w:left w:val="single" w:sz="4" w:space="0" w:color="auto"/>
              <w:bottom w:val="nil"/>
              <w:right w:val="nil"/>
            </w:tcBorders>
            <w:shd w:val="clear" w:color="auto" w:fill="auto"/>
            <w:vAlign w:val="center"/>
            <w:hideMark/>
          </w:tcPr>
          <w:p w14:paraId="7FFA17B3" w14:textId="77777777" w:rsidR="00387142" w:rsidRPr="008B6A75" w:rsidRDefault="00387142" w:rsidP="00387142">
            <w:pPr>
              <w:rPr>
                <w:bCs/>
                <w:sz w:val="20"/>
                <w:szCs w:val="20"/>
              </w:rPr>
            </w:pPr>
            <w:r w:rsidRPr="008B6A75">
              <w:rPr>
                <w:bCs/>
                <w:sz w:val="20"/>
                <w:szCs w:val="20"/>
              </w:rPr>
              <w:t>Подпрограмма "Выявление и поддержка одаренных детей и талантливой молодежи Куйбышевского района"</w:t>
            </w:r>
          </w:p>
        </w:tc>
        <w:tc>
          <w:tcPr>
            <w:tcW w:w="850" w:type="dxa"/>
            <w:tcBorders>
              <w:top w:val="nil"/>
              <w:left w:val="single" w:sz="4" w:space="0" w:color="auto"/>
              <w:bottom w:val="nil"/>
              <w:right w:val="nil"/>
            </w:tcBorders>
            <w:shd w:val="clear" w:color="auto" w:fill="auto"/>
            <w:noWrap/>
            <w:vAlign w:val="center"/>
            <w:hideMark/>
          </w:tcPr>
          <w:p w14:paraId="386C3571" w14:textId="77777777" w:rsidR="00387142" w:rsidRPr="008B6A75" w:rsidRDefault="00387142" w:rsidP="00387142">
            <w:pPr>
              <w:jc w:val="center"/>
              <w:rPr>
                <w:bCs/>
                <w:sz w:val="20"/>
                <w:szCs w:val="20"/>
              </w:rPr>
            </w:pPr>
            <w:r w:rsidRPr="008B6A75">
              <w:rPr>
                <w:bCs/>
                <w:sz w:val="20"/>
                <w:szCs w:val="20"/>
              </w:rPr>
              <w:t>444</w:t>
            </w:r>
          </w:p>
        </w:tc>
        <w:tc>
          <w:tcPr>
            <w:tcW w:w="709" w:type="dxa"/>
            <w:tcBorders>
              <w:top w:val="nil"/>
              <w:left w:val="single" w:sz="4" w:space="0" w:color="auto"/>
              <w:bottom w:val="nil"/>
              <w:right w:val="nil"/>
            </w:tcBorders>
            <w:shd w:val="clear" w:color="auto" w:fill="auto"/>
            <w:noWrap/>
            <w:vAlign w:val="center"/>
            <w:hideMark/>
          </w:tcPr>
          <w:p w14:paraId="2A4B0ACA" w14:textId="77777777" w:rsidR="00387142" w:rsidRPr="008B6A75" w:rsidRDefault="00387142" w:rsidP="00387142">
            <w:pPr>
              <w:jc w:val="center"/>
              <w:rPr>
                <w:bCs/>
                <w:sz w:val="20"/>
                <w:szCs w:val="20"/>
              </w:rPr>
            </w:pPr>
            <w:r w:rsidRPr="008B6A75">
              <w:rPr>
                <w:bCs/>
                <w:sz w:val="20"/>
                <w:szCs w:val="20"/>
              </w:rPr>
              <w:t>07</w:t>
            </w:r>
          </w:p>
        </w:tc>
        <w:tc>
          <w:tcPr>
            <w:tcW w:w="709" w:type="dxa"/>
            <w:tcBorders>
              <w:top w:val="nil"/>
              <w:left w:val="single" w:sz="4" w:space="0" w:color="auto"/>
              <w:bottom w:val="nil"/>
              <w:right w:val="single" w:sz="4" w:space="0" w:color="auto"/>
            </w:tcBorders>
            <w:shd w:val="clear" w:color="auto" w:fill="auto"/>
            <w:noWrap/>
            <w:vAlign w:val="center"/>
            <w:hideMark/>
          </w:tcPr>
          <w:p w14:paraId="1BE9BFF3" w14:textId="77777777" w:rsidR="00387142" w:rsidRPr="008B6A75" w:rsidRDefault="00387142" w:rsidP="00387142">
            <w:pPr>
              <w:jc w:val="center"/>
              <w:rPr>
                <w:bCs/>
                <w:sz w:val="20"/>
                <w:szCs w:val="20"/>
              </w:rPr>
            </w:pPr>
            <w:r w:rsidRPr="008B6A75">
              <w:rPr>
                <w:bCs/>
                <w:sz w:val="20"/>
                <w:szCs w:val="20"/>
              </w:rPr>
              <w:t>05</w:t>
            </w:r>
          </w:p>
        </w:tc>
        <w:tc>
          <w:tcPr>
            <w:tcW w:w="1411" w:type="dxa"/>
            <w:tcBorders>
              <w:top w:val="nil"/>
              <w:left w:val="single" w:sz="4" w:space="0" w:color="auto"/>
              <w:bottom w:val="nil"/>
              <w:right w:val="nil"/>
            </w:tcBorders>
            <w:shd w:val="clear" w:color="auto" w:fill="auto"/>
            <w:noWrap/>
            <w:vAlign w:val="center"/>
            <w:hideMark/>
          </w:tcPr>
          <w:p w14:paraId="71759B93" w14:textId="77777777" w:rsidR="00387142" w:rsidRPr="008B6A75" w:rsidRDefault="00387142" w:rsidP="00387142">
            <w:pPr>
              <w:jc w:val="center"/>
              <w:rPr>
                <w:bCs/>
                <w:sz w:val="20"/>
                <w:szCs w:val="20"/>
              </w:rPr>
            </w:pPr>
            <w:r w:rsidRPr="008B6A75">
              <w:rPr>
                <w:bCs/>
                <w:sz w:val="20"/>
                <w:szCs w:val="20"/>
              </w:rPr>
              <w:t>07.2.00.00000</w:t>
            </w:r>
          </w:p>
        </w:tc>
        <w:tc>
          <w:tcPr>
            <w:tcW w:w="955" w:type="dxa"/>
            <w:tcBorders>
              <w:top w:val="nil"/>
              <w:left w:val="single" w:sz="4" w:space="0" w:color="auto"/>
              <w:bottom w:val="nil"/>
              <w:right w:val="single" w:sz="4" w:space="0" w:color="auto"/>
            </w:tcBorders>
            <w:shd w:val="clear" w:color="auto" w:fill="auto"/>
            <w:noWrap/>
            <w:vAlign w:val="center"/>
            <w:hideMark/>
          </w:tcPr>
          <w:p w14:paraId="47DE4F7C"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nil"/>
              <w:right w:val="single" w:sz="4" w:space="0" w:color="auto"/>
            </w:tcBorders>
            <w:shd w:val="clear" w:color="auto" w:fill="auto"/>
            <w:noWrap/>
            <w:vAlign w:val="center"/>
            <w:hideMark/>
          </w:tcPr>
          <w:p w14:paraId="369C3644" w14:textId="77777777" w:rsidR="00387142" w:rsidRPr="008B6A75" w:rsidRDefault="00387142" w:rsidP="00387142">
            <w:pPr>
              <w:jc w:val="right"/>
              <w:rPr>
                <w:bCs/>
                <w:sz w:val="20"/>
                <w:szCs w:val="20"/>
              </w:rPr>
            </w:pPr>
            <w:r w:rsidRPr="008B6A75">
              <w:rPr>
                <w:bCs/>
                <w:sz w:val="20"/>
                <w:szCs w:val="20"/>
              </w:rPr>
              <w:t>275 980,00</w:t>
            </w:r>
          </w:p>
        </w:tc>
        <w:tc>
          <w:tcPr>
            <w:tcW w:w="992" w:type="dxa"/>
            <w:gridSpan w:val="2"/>
            <w:tcBorders>
              <w:top w:val="nil"/>
              <w:left w:val="single" w:sz="4" w:space="0" w:color="auto"/>
              <w:bottom w:val="nil"/>
              <w:right w:val="nil"/>
            </w:tcBorders>
            <w:shd w:val="clear" w:color="auto" w:fill="auto"/>
            <w:noWrap/>
            <w:vAlign w:val="center"/>
            <w:hideMark/>
          </w:tcPr>
          <w:p w14:paraId="21DAAFF6" w14:textId="77777777" w:rsidR="00387142" w:rsidRPr="008B6A75" w:rsidRDefault="00387142" w:rsidP="00387142">
            <w:pPr>
              <w:jc w:val="right"/>
              <w:rPr>
                <w:bCs/>
                <w:sz w:val="20"/>
                <w:szCs w:val="20"/>
              </w:rPr>
            </w:pPr>
            <w:r w:rsidRPr="008B6A75">
              <w:rPr>
                <w:bCs/>
                <w:sz w:val="20"/>
                <w:szCs w:val="20"/>
              </w:rPr>
              <w:t>0,00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5D9D415D" w14:textId="77777777" w:rsidR="00387142" w:rsidRPr="008B6A75" w:rsidRDefault="00387142" w:rsidP="00387142">
            <w:pPr>
              <w:jc w:val="right"/>
              <w:rPr>
                <w:bCs/>
                <w:sz w:val="20"/>
                <w:szCs w:val="20"/>
              </w:rPr>
            </w:pPr>
            <w:r w:rsidRPr="008B6A75">
              <w:rPr>
                <w:bCs/>
                <w:sz w:val="20"/>
                <w:szCs w:val="20"/>
              </w:rPr>
              <w:t>0,00</w:t>
            </w:r>
          </w:p>
        </w:tc>
        <w:tc>
          <w:tcPr>
            <w:tcW w:w="222" w:type="dxa"/>
            <w:vAlign w:val="center"/>
            <w:hideMark/>
          </w:tcPr>
          <w:p w14:paraId="74E1742F" w14:textId="77777777" w:rsidR="00387142" w:rsidRPr="008B6A75" w:rsidRDefault="00387142" w:rsidP="00387142">
            <w:pPr>
              <w:rPr>
                <w:sz w:val="20"/>
                <w:szCs w:val="20"/>
              </w:rPr>
            </w:pPr>
          </w:p>
        </w:tc>
      </w:tr>
      <w:tr w:rsidR="00387142" w:rsidRPr="008B6A75" w14:paraId="3422340D" w14:textId="77777777" w:rsidTr="00387142">
        <w:trPr>
          <w:trHeight w:val="1155"/>
        </w:trPr>
        <w:tc>
          <w:tcPr>
            <w:tcW w:w="3021" w:type="dxa"/>
            <w:tcBorders>
              <w:top w:val="single" w:sz="4" w:space="0" w:color="auto"/>
              <w:left w:val="single" w:sz="4" w:space="0" w:color="auto"/>
              <w:bottom w:val="nil"/>
              <w:right w:val="nil"/>
            </w:tcBorders>
            <w:shd w:val="clear" w:color="auto" w:fill="auto"/>
            <w:vAlign w:val="center"/>
            <w:hideMark/>
          </w:tcPr>
          <w:p w14:paraId="2CBB1EC9" w14:textId="77777777" w:rsidR="00387142" w:rsidRPr="008B6A75" w:rsidRDefault="00387142" w:rsidP="00387142">
            <w:pPr>
              <w:rPr>
                <w:bCs/>
                <w:sz w:val="20"/>
                <w:szCs w:val="20"/>
              </w:rPr>
            </w:pPr>
            <w:r w:rsidRPr="008B6A75">
              <w:rPr>
                <w:bCs/>
                <w:sz w:val="20"/>
                <w:szCs w:val="20"/>
              </w:rPr>
              <w:t>Реализация мероприятий подпрограммы "Выявление и поддержка одаренных детей и талантливой молодежи Куйбышевского района"</w:t>
            </w:r>
          </w:p>
        </w:tc>
        <w:tc>
          <w:tcPr>
            <w:tcW w:w="850" w:type="dxa"/>
            <w:tcBorders>
              <w:top w:val="single" w:sz="4" w:space="0" w:color="auto"/>
              <w:left w:val="single" w:sz="4" w:space="0" w:color="auto"/>
              <w:bottom w:val="nil"/>
              <w:right w:val="nil"/>
            </w:tcBorders>
            <w:shd w:val="clear" w:color="auto" w:fill="auto"/>
            <w:noWrap/>
            <w:vAlign w:val="center"/>
            <w:hideMark/>
          </w:tcPr>
          <w:p w14:paraId="2198D14C" w14:textId="77777777" w:rsidR="00387142" w:rsidRPr="008B6A75" w:rsidRDefault="00387142" w:rsidP="00387142">
            <w:pPr>
              <w:jc w:val="center"/>
              <w:rPr>
                <w:bCs/>
                <w:sz w:val="20"/>
                <w:szCs w:val="20"/>
              </w:rPr>
            </w:pPr>
            <w:r w:rsidRPr="008B6A75">
              <w:rPr>
                <w:bCs/>
                <w:sz w:val="20"/>
                <w:szCs w:val="20"/>
              </w:rPr>
              <w:t>444</w:t>
            </w:r>
          </w:p>
        </w:tc>
        <w:tc>
          <w:tcPr>
            <w:tcW w:w="709" w:type="dxa"/>
            <w:tcBorders>
              <w:top w:val="single" w:sz="4" w:space="0" w:color="auto"/>
              <w:left w:val="single" w:sz="4" w:space="0" w:color="auto"/>
              <w:bottom w:val="nil"/>
              <w:right w:val="nil"/>
            </w:tcBorders>
            <w:shd w:val="clear" w:color="auto" w:fill="auto"/>
            <w:noWrap/>
            <w:vAlign w:val="center"/>
            <w:hideMark/>
          </w:tcPr>
          <w:p w14:paraId="7EA22700" w14:textId="77777777" w:rsidR="00387142" w:rsidRPr="008B6A75" w:rsidRDefault="00387142" w:rsidP="00387142">
            <w:pPr>
              <w:jc w:val="center"/>
              <w:rPr>
                <w:bCs/>
                <w:sz w:val="20"/>
                <w:szCs w:val="20"/>
              </w:rPr>
            </w:pPr>
            <w:r w:rsidRPr="008B6A75">
              <w:rPr>
                <w:bCs/>
                <w:sz w:val="20"/>
                <w:szCs w:val="20"/>
              </w:rPr>
              <w:t>07</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2DBF1566" w14:textId="77777777" w:rsidR="00387142" w:rsidRPr="008B6A75" w:rsidRDefault="00387142" w:rsidP="00387142">
            <w:pPr>
              <w:jc w:val="center"/>
              <w:rPr>
                <w:bCs/>
                <w:sz w:val="20"/>
                <w:szCs w:val="20"/>
              </w:rPr>
            </w:pPr>
            <w:r w:rsidRPr="008B6A75">
              <w:rPr>
                <w:bCs/>
                <w:sz w:val="20"/>
                <w:szCs w:val="20"/>
              </w:rPr>
              <w:t>05</w:t>
            </w:r>
          </w:p>
        </w:tc>
        <w:tc>
          <w:tcPr>
            <w:tcW w:w="1411" w:type="dxa"/>
            <w:tcBorders>
              <w:top w:val="single" w:sz="4" w:space="0" w:color="auto"/>
              <w:left w:val="single" w:sz="4" w:space="0" w:color="auto"/>
              <w:bottom w:val="nil"/>
              <w:right w:val="nil"/>
            </w:tcBorders>
            <w:shd w:val="clear" w:color="auto" w:fill="auto"/>
            <w:noWrap/>
            <w:vAlign w:val="center"/>
            <w:hideMark/>
          </w:tcPr>
          <w:p w14:paraId="16A4C133" w14:textId="77777777" w:rsidR="00387142" w:rsidRPr="008B6A75" w:rsidRDefault="00387142" w:rsidP="00387142">
            <w:pPr>
              <w:jc w:val="center"/>
              <w:rPr>
                <w:bCs/>
                <w:sz w:val="20"/>
                <w:szCs w:val="20"/>
              </w:rPr>
            </w:pPr>
            <w:r w:rsidRPr="008B6A75">
              <w:rPr>
                <w:bCs/>
                <w:sz w:val="20"/>
                <w:szCs w:val="20"/>
              </w:rPr>
              <w:t>07.2.00.79500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49947E85" w14:textId="77777777" w:rsidR="00387142" w:rsidRPr="008B6A75" w:rsidRDefault="00387142" w:rsidP="00387142">
            <w:pPr>
              <w:jc w:val="center"/>
              <w:rPr>
                <w:bCs/>
                <w:sz w:val="20"/>
                <w:szCs w:val="20"/>
              </w:rPr>
            </w:pPr>
            <w:r w:rsidRPr="008B6A75">
              <w:rPr>
                <w:bCs/>
                <w:sz w:val="20"/>
                <w:szCs w:val="20"/>
              </w:rPr>
              <w:t> </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60C6889C" w14:textId="77777777" w:rsidR="00387142" w:rsidRPr="008B6A75" w:rsidRDefault="00387142" w:rsidP="00387142">
            <w:pPr>
              <w:jc w:val="right"/>
              <w:rPr>
                <w:bCs/>
                <w:sz w:val="20"/>
                <w:szCs w:val="20"/>
              </w:rPr>
            </w:pPr>
            <w:r w:rsidRPr="008B6A75">
              <w:rPr>
                <w:bCs/>
                <w:sz w:val="20"/>
                <w:szCs w:val="20"/>
              </w:rPr>
              <w:t>275 980,00</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3B73AFC6" w14:textId="77777777" w:rsidR="00387142" w:rsidRPr="008B6A75" w:rsidRDefault="00387142" w:rsidP="00387142">
            <w:pPr>
              <w:jc w:val="right"/>
              <w:rPr>
                <w:bCs/>
                <w:sz w:val="20"/>
                <w:szCs w:val="20"/>
              </w:rPr>
            </w:pPr>
            <w:r w:rsidRPr="008B6A75">
              <w:rPr>
                <w:bCs/>
                <w:sz w:val="20"/>
                <w:szCs w:val="20"/>
              </w:rPr>
              <w:t>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602B165F" w14:textId="77777777" w:rsidR="00387142" w:rsidRPr="008B6A75" w:rsidRDefault="00387142" w:rsidP="00387142">
            <w:pPr>
              <w:jc w:val="right"/>
              <w:rPr>
                <w:bCs/>
                <w:sz w:val="20"/>
                <w:szCs w:val="20"/>
              </w:rPr>
            </w:pPr>
            <w:r w:rsidRPr="008B6A75">
              <w:rPr>
                <w:bCs/>
                <w:sz w:val="20"/>
                <w:szCs w:val="20"/>
              </w:rPr>
              <w:t>0,00</w:t>
            </w:r>
          </w:p>
        </w:tc>
        <w:tc>
          <w:tcPr>
            <w:tcW w:w="222" w:type="dxa"/>
            <w:vAlign w:val="center"/>
            <w:hideMark/>
          </w:tcPr>
          <w:p w14:paraId="70061360" w14:textId="77777777" w:rsidR="00387142" w:rsidRPr="008B6A75" w:rsidRDefault="00387142" w:rsidP="00387142">
            <w:pPr>
              <w:rPr>
                <w:sz w:val="20"/>
                <w:szCs w:val="20"/>
              </w:rPr>
            </w:pPr>
          </w:p>
        </w:tc>
      </w:tr>
      <w:tr w:rsidR="00387142" w:rsidRPr="008B6A75" w14:paraId="6D408A2C" w14:textId="77777777" w:rsidTr="00387142">
        <w:trPr>
          <w:trHeight w:val="1440"/>
        </w:trPr>
        <w:tc>
          <w:tcPr>
            <w:tcW w:w="3021" w:type="dxa"/>
            <w:tcBorders>
              <w:top w:val="single" w:sz="4" w:space="0" w:color="auto"/>
              <w:left w:val="single" w:sz="4" w:space="0" w:color="auto"/>
              <w:bottom w:val="nil"/>
              <w:right w:val="nil"/>
            </w:tcBorders>
            <w:shd w:val="clear" w:color="auto" w:fill="auto"/>
            <w:vAlign w:val="center"/>
            <w:hideMark/>
          </w:tcPr>
          <w:p w14:paraId="1F339909" w14:textId="77777777" w:rsidR="00387142" w:rsidRPr="008B6A75" w:rsidRDefault="00387142" w:rsidP="00387142">
            <w:pPr>
              <w:rPr>
                <w:sz w:val="20"/>
                <w:szCs w:val="20"/>
              </w:rPr>
            </w:pPr>
            <w:r w:rsidRPr="008B6A7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nil"/>
              <w:right w:val="nil"/>
            </w:tcBorders>
            <w:shd w:val="clear" w:color="auto" w:fill="auto"/>
            <w:noWrap/>
            <w:vAlign w:val="center"/>
            <w:hideMark/>
          </w:tcPr>
          <w:p w14:paraId="1982BE98" w14:textId="77777777" w:rsidR="00387142" w:rsidRPr="008B6A75" w:rsidRDefault="00387142" w:rsidP="00387142">
            <w:pPr>
              <w:jc w:val="center"/>
              <w:rPr>
                <w:sz w:val="20"/>
                <w:szCs w:val="20"/>
              </w:rPr>
            </w:pPr>
            <w:r w:rsidRPr="008B6A75">
              <w:rPr>
                <w:sz w:val="20"/>
                <w:szCs w:val="20"/>
              </w:rPr>
              <w:t>444</w:t>
            </w:r>
          </w:p>
        </w:tc>
        <w:tc>
          <w:tcPr>
            <w:tcW w:w="709" w:type="dxa"/>
            <w:tcBorders>
              <w:top w:val="single" w:sz="4" w:space="0" w:color="auto"/>
              <w:left w:val="single" w:sz="4" w:space="0" w:color="auto"/>
              <w:bottom w:val="nil"/>
              <w:right w:val="nil"/>
            </w:tcBorders>
            <w:shd w:val="clear" w:color="auto" w:fill="auto"/>
            <w:noWrap/>
            <w:vAlign w:val="center"/>
            <w:hideMark/>
          </w:tcPr>
          <w:p w14:paraId="47D69C45" w14:textId="77777777" w:rsidR="00387142" w:rsidRPr="008B6A75" w:rsidRDefault="00387142" w:rsidP="00387142">
            <w:pPr>
              <w:jc w:val="center"/>
              <w:rPr>
                <w:sz w:val="20"/>
                <w:szCs w:val="20"/>
              </w:rPr>
            </w:pPr>
            <w:r w:rsidRPr="008B6A75">
              <w:rPr>
                <w:sz w:val="20"/>
                <w:szCs w:val="20"/>
              </w:rPr>
              <w:t>07</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0F35CEBF" w14:textId="77777777" w:rsidR="00387142" w:rsidRPr="008B6A75" w:rsidRDefault="00387142" w:rsidP="00387142">
            <w:pPr>
              <w:jc w:val="center"/>
              <w:rPr>
                <w:sz w:val="20"/>
                <w:szCs w:val="20"/>
              </w:rPr>
            </w:pPr>
            <w:r w:rsidRPr="008B6A75">
              <w:rPr>
                <w:sz w:val="20"/>
                <w:szCs w:val="20"/>
              </w:rPr>
              <w:t>05</w:t>
            </w:r>
          </w:p>
        </w:tc>
        <w:tc>
          <w:tcPr>
            <w:tcW w:w="1411" w:type="dxa"/>
            <w:tcBorders>
              <w:top w:val="single" w:sz="4" w:space="0" w:color="auto"/>
              <w:left w:val="single" w:sz="4" w:space="0" w:color="auto"/>
              <w:bottom w:val="nil"/>
              <w:right w:val="nil"/>
            </w:tcBorders>
            <w:shd w:val="clear" w:color="auto" w:fill="auto"/>
            <w:noWrap/>
            <w:vAlign w:val="center"/>
            <w:hideMark/>
          </w:tcPr>
          <w:p w14:paraId="1E493A66" w14:textId="77777777" w:rsidR="00387142" w:rsidRPr="008B6A75" w:rsidRDefault="00387142" w:rsidP="00387142">
            <w:pPr>
              <w:jc w:val="center"/>
              <w:rPr>
                <w:sz w:val="20"/>
                <w:szCs w:val="20"/>
              </w:rPr>
            </w:pPr>
            <w:r w:rsidRPr="008B6A75">
              <w:rPr>
                <w:sz w:val="20"/>
                <w:szCs w:val="20"/>
              </w:rPr>
              <w:t>07.2.00.79500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7A5219B1" w14:textId="77777777" w:rsidR="00387142" w:rsidRPr="008B6A75" w:rsidRDefault="00387142" w:rsidP="00387142">
            <w:pPr>
              <w:jc w:val="center"/>
              <w:rPr>
                <w:sz w:val="20"/>
                <w:szCs w:val="20"/>
              </w:rPr>
            </w:pPr>
            <w:r w:rsidRPr="008B6A75">
              <w:rPr>
                <w:sz w:val="20"/>
                <w:szCs w:val="20"/>
              </w:rPr>
              <w:t>100</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3AB095CF" w14:textId="77777777" w:rsidR="00387142" w:rsidRPr="008B6A75" w:rsidRDefault="00387142" w:rsidP="00387142">
            <w:pPr>
              <w:jc w:val="right"/>
              <w:rPr>
                <w:sz w:val="20"/>
                <w:szCs w:val="20"/>
              </w:rPr>
            </w:pPr>
            <w:r w:rsidRPr="008B6A75">
              <w:rPr>
                <w:sz w:val="20"/>
                <w:szCs w:val="20"/>
              </w:rPr>
              <w:t>44 310,00</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236FFF71" w14:textId="77777777" w:rsidR="00387142" w:rsidRPr="008B6A75" w:rsidRDefault="00387142" w:rsidP="00387142">
            <w:pPr>
              <w:jc w:val="right"/>
              <w:rPr>
                <w:sz w:val="20"/>
                <w:szCs w:val="20"/>
              </w:rPr>
            </w:pPr>
            <w:r w:rsidRPr="008B6A75">
              <w:rPr>
                <w:sz w:val="20"/>
                <w:szCs w:val="20"/>
              </w:rPr>
              <w:t>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1AA75258" w14:textId="77777777" w:rsidR="00387142" w:rsidRPr="008B6A75" w:rsidRDefault="00387142" w:rsidP="00387142">
            <w:pPr>
              <w:jc w:val="right"/>
              <w:rPr>
                <w:sz w:val="20"/>
                <w:szCs w:val="20"/>
              </w:rPr>
            </w:pPr>
            <w:r w:rsidRPr="008B6A75">
              <w:rPr>
                <w:sz w:val="20"/>
                <w:szCs w:val="20"/>
              </w:rPr>
              <w:t>0,00</w:t>
            </w:r>
          </w:p>
        </w:tc>
        <w:tc>
          <w:tcPr>
            <w:tcW w:w="222" w:type="dxa"/>
            <w:vAlign w:val="center"/>
            <w:hideMark/>
          </w:tcPr>
          <w:p w14:paraId="200EA79A" w14:textId="77777777" w:rsidR="00387142" w:rsidRPr="008B6A75" w:rsidRDefault="00387142" w:rsidP="00387142">
            <w:pPr>
              <w:rPr>
                <w:sz w:val="20"/>
                <w:szCs w:val="20"/>
              </w:rPr>
            </w:pPr>
          </w:p>
        </w:tc>
      </w:tr>
      <w:tr w:rsidR="00387142" w:rsidRPr="008B6A75" w14:paraId="32B9C8E7" w14:textId="77777777" w:rsidTr="00387142">
        <w:trPr>
          <w:trHeight w:val="585"/>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6001A1E9" w14:textId="77777777" w:rsidR="00387142" w:rsidRPr="008B6A75" w:rsidRDefault="00387142" w:rsidP="00387142">
            <w:pPr>
              <w:rPr>
                <w:sz w:val="20"/>
                <w:szCs w:val="20"/>
              </w:rPr>
            </w:pPr>
            <w:r w:rsidRPr="008B6A75">
              <w:rPr>
                <w:sz w:val="20"/>
                <w:szCs w:val="20"/>
              </w:rPr>
              <w:t>Расходы на выплаты персоналу казенных учреждений</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39AD3F16" w14:textId="77777777" w:rsidR="00387142" w:rsidRPr="008B6A75" w:rsidRDefault="00387142" w:rsidP="00387142">
            <w:pPr>
              <w:jc w:val="center"/>
              <w:rPr>
                <w:sz w:val="20"/>
                <w:szCs w:val="20"/>
              </w:rPr>
            </w:pPr>
            <w:r w:rsidRPr="008B6A75">
              <w:rPr>
                <w:sz w:val="20"/>
                <w:szCs w:val="20"/>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465A07DB" w14:textId="77777777" w:rsidR="00387142" w:rsidRPr="008B6A75" w:rsidRDefault="00387142" w:rsidP="00387142">
            <w:pPr>
              <w:jc w:val="center"/>
              <w:rPr>
                <w:sz w:val="20"/>
                <w:szCs w:val="20"/>
              </w:rPr>
            </w:pPr>
            <w:r w:rsidRPr="008B6A75">
              <w:rPr>
                <w:sz w:val="20"/>
                <w:szCs w:val="20"/>
              </w:rPr>
              <w:t>07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EC46BC" w14:textId="77777777" w:rsidR="00387142" w:rsidRPr="008B6A75" w:rsidRDefault="00387142" w:rsidP="00387142">
            <w:pPr>
              <w:jc w:val="center"/>
              <w:rPr>
                <w:sz w:val="20"/>
                <w:szCs w:val="20"/>
              </w:rPr>
            </w:pPr>
            <w:r w:rsidRPr="008B6A75">
              <w:rPr>
                <w:sz w:val="20"/>
                <w:szCs w:val="20"/>
              </w:rPr>
              <w:t>05</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31625C89" w14:textId="77777777" w:rsidR="00387142" w:rsidRPr="008B6A75" w:rsidRDefault="00387142" w:rsidP="00387142">
            <w:pPr>
              <w:jc w:val="center"/>
              <w:rPr>
                <w:sz w:val="20"/>
                <w:szCs w:val="20"/>
              </w:rPr>
            </w:pPr>
            <w:r w:rsidRPr="008B6A75">
              <w:rPr>
                <w:sz w:val="20"/>
                <w:szCs w:val="20"/>
              </w:rPr>
              <w:t>07.2.00.79500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84BD20" w14:textId="77777777" w:rsidR="00387142" w:rsidRPr="008B6A75" w:rsidRDefault="00387142" w:rsidP="00387142">
            <w:pPr>
              <w:jc w:val="center"/>
              <w:rPr>
                <w:sz w:val="20"/>
                <w:szCs w:val="20"/>
              </w:rPr>
            </w:pPr>
            <w:r w:rsidRPr="008B6A75">
              <w:rPr>
                <w:sz w:val="20"/>
                <w:szCs w:val="20"/>
              </w:rPr>
              <w:t>110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5847CB" w14:textId="77777777" w:rsidR="00387142" w:rsidRPr="008B6A75" w:rsidRDefault="00387142" w:rsidP="00387142">
            <w:pPr>
              <w:jc w:val="right"/>
              <w:rPr>
                <w:sz w:val="20"/>
                <w:szCs w:val="20"/>
              </w:rPr>
            </w:pPr>
            <w:r w:rsidRPr="008B6A75">
              <w:rPr>
                <w:sz w:val="20"/>
                <w:szCs w:val="20"/>
              </w:rPr>
              <w:t>44 310,00</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05C7286B" w14:textId="77777777" w:rsidR="00387142" w:rsidRPr="008B6A75" w:rsidRDefault="00387142" w:rsidP="00387142">
            <w:pPr>
              <w:jc w:val="right"/>
              <w:rPr>
                <w:sz w:val="20"/>
                <w:szCs w:val="20"/>
              </w:rPr>
            </w:pPr>
            <w:r w:rsidRPr="008B6A75">
              <w:rPr>
                <w:sz w:val="20"/>
                <w:szCs w:val="20"/>
              </w:rPr>
              <w:t>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66331D" w14:textId="77777777" w:rsidR="00387142" w:rsidRPr="008B6A75" w:rsidRDefault="00387142" w:rsidP="00387142">
            <w:pPr>
              <w:jc w:val="right"/>
              <w:rPr>
                <w:sz w:val="20"/>
                <w:szCs w:val="20"/>
              </w:rPr>
            </w:pPr>
            <w:r w:rsidRPr="008B6A75">
              <w:rPr>
                <w:sz w:val="20"/>
                <w:szCs w:val="20"/>
              </w:rPr>
              <w:t>0,00</w:t>
            </w:r>
          </w:p>
        </w:tc>
        <w:tc>
          <w:tcPr>
            <w:tcW w:w="222" w:type="dxa"/>
            <w:vAlign w:val="center"/>
            <w:hideMark/>
          </w:tcPr>
          <w:p w14:paraId="1FC3B9C0" w14:textId="77777777" w:rsidR="00387142" w:rsidRPr="008B6A75" w:rsidRDefault="00387142" w:rsidP="00387142">
            <w:pPr>
              <w:rPr>
                <w:sz w:val="20"/>
                <w:szCs w:val="20"/>
              </w:rPr>
            </w:pPr>
          </w:p>
        </w:tc>
      </w:tr>
      <w:tr w:rsidR="00387142" w:rsidRPr="008B6A75" w14:paraId="5A54D2CD" w14:textId="77777777" w:rsidTr="00387142">
        <w:trPr>
          <w:trHeight w:val="585"/>
        </w:trPr>
        <w:tc>
          <w:tcPr>
            <w:tcW w:w="3021" w:type="dxa"/>
            <w:tcBorders>
              <w:top w:val="nil"/>
              <w:left w:val="single" w:sz="4" w:space="0" w:color="auto"/>
              <w:bottom w:val="nil"/>
              <w:right w:val="nil"/>
            </w:tcBorders>
            <w:shd w:val="clear" w:color="auto" w:fill="auto"/>
            <w:vAlign w:val="center"/>
            <w:hideMark/>
          </w:tcPr>
          <w:p w14:paraId="1C5D0AB4" w14:textId="77777777" w:rsidR="00387142" w:rsidRPr="008B6A75" w:rsidRDefault="00387142" w:rsidP="00387142">
            <w:pPr>
              <w:rPr>
                <w:sz w:val="20"/>
                <w:szCs w:val="20"/>
              </w:rPr>
            </w:pPr>
            <w:r w:rsidRPr="008B6A75">
              <w:rPr>
                <w:sz w:val="20"/>
                <w:szCs w:val="20"/>
              </w:rPr>
              <w:t>Закупка товаров, работ и услуг для обеспечения государственных (муниципальных) нужд</w:t>
            </w:r>
          </w:p>
        </w:tc>
        <w:tc>
          <w:tcPr>
            <w:tcW w:w="850" w:type="dxa"/>
            <w:tcBorders>
              <w:top w:val="nil"/>
              <w:left w:val="single" w:sz="4" w:space="0" w:color="auto"/>
              <w:bottom w:val="nil"/>
              <w:right w:val="nil"/>
            </w:tcBorders>
            <w:shd w:val="clear" w:color="auto" w:fill="auto"/>
            <w:noWrap/>
            <w:vAlign w:val="center"/>
            <w:hideMark/>
          </w:tcPr>
          <w:p w14:paraId="38706B7D" w14:textId="77777777" w:rsidR="00387142" w:rsidRPr="008B6A75" w:rsidRDefault="00387142" w:rsidP="00387142">
            <w:pPr>
              <w:jc w:val="center"/>
              <w:rPr>
                <w:sz w:val="20"/>
                <w:szCs w:val="20"/>
              </w:rPr>
            </w:pPr>
            <w:r w:rsidRPr="008B6A75">
              <w:rPr>
                <w:sz w:val="20"/>
                <w:szCs w:val="20"/>
              </w:rPr>
              <w:t>444</w:t>
            </w:r>
          </w:p>
        </w:tc>
        <w:tc>
          <w:tcPr>
            <w:tcW w:w="709" w:type="dxa"/>
            <w:tcBorders>
              <w:top w:val="nil"/>
              <w:left w:val="single" w:sz="4" w:space="0" w:color="auto"/>
              <w:bottom w:val="nil"/>
              <w:right w:val="nil"/>
            </w:tcBorders>
            <w:shd w:val="clear" w:color="auto" w:fill="auto"/>
            <w:noWrap/>
            <w:vAlign w:val="center"/>
            <w:hideMark/>
          </w:tcPr>
          <w:p w14:paraId="4BD87AEB" w14:textId="77777777" w:rsidR="00387142" w:rsidRPr="008B6A75" w:rsidRDefault="00387142" w:rsidP="00387142">
            <w:pPr>
              <w:jc w:val="center"/>
              <w:rPr>
                <w:sz w:val="20"/>
                <w:szCs w:val="20"/>
              </w:rPr>
            </w:pPr>
            <w:r w:rsidRPr="008B6A75">
              <w:rPr>
                <w:sz w:val="20"/>
                <w:szCs w:val="20"/>
              </w:rPr>
              <w:t>07</w:t>
            </w:r>
          </w:p>
        </w:tc>
        <w:tc>
          <w:tcPr>
            <w:tcW w:w="709" w:type="dxa"/>
            <w:tcBorders>
              <w:top w:val="nil"/>
              <w:left w:val="single" w:sz="4" w:space="0" w:color="auto"/>
              <w:bottom w:val="nil"/>
              <w:right w:val="single" w:sz="4" w:space="0" w:color="auto"/>
            </w:tcBorders>
            <w:shd w:val="clear" w:color="auto" w:fill="auto"/>
            <w:noWrap/>
            <w:vAlign w:val="center"/>
            <w:hideMark/>
          </w:tcPr>
          <w:p w14:paraId="4AF06169" w14:textId="77777777" w:rsidR="00387142" w:rsidRPr="008B6A75" w:rsidRDefault="00387142" w:rsidP="00387142">
            <w:pPr>
              <w:jc w:val="center"/>
              <w:rPr>
                <w:sz w:val="20"/>
                <w:szCs w:val="20"/>
              </w:rPr>
            </w:pPr>
            <w:r w:rsidRPr="008B6A75">
              <w:rPr>
                <w:sz w:val="20"/>
                <w:szCs w:val="20"/>
              </w:rPr>
              <w:t>05</w:t>
            </w:r>
          </w:p>
        </w:tc>
        <w:tc>
          <w:tcPr>
            <w:tcW w:w="1411" w:type="dxa"/>
            <w:tcBorders>
              <w:top w:val="nil"/>
              <w:left w:val="single" w:sz="4" w:space="0" w:color="auto"/>
              <w:bottom w:val="nil"/>
              <w:right w:val="nil"/>
            </w:tcBorders>
            <w:shd w:val="clear" w:color="auto" w:fill="auto"/>
            <w:noWrap/>
            <w:vAlign w:val="center"/>
            <w:hideMark/>
          </w:tcPr>
          <w:p w14:paraId="02D5E366" w14:textId="77777777" w:rsidR="00387142" w:rsidRPr="008B6A75" w:rsidRDefault="00387142" w:rsidP="00387142">
            <w:pPr>
              <w:jc w:val="center"/>
              <w:rPr>
                <w:sz w:val="20"/>
                <w:szCs w:val="20"/>
              </w:rPr>
            </w:pPr>
            <w:r w:rsidRPr="008B6A75">
              <w:rPr>
                <w:sz w:val="20"/>
                <w:szCs w:val="20"/>
              </w:rPr>
              <w:t>07.2.00.79500</w:t>
            </w:r>
          </w:p>
        </w:tc>
        <w:tc>
          <w:tcPr>
            <w:tcW w:w="955" w:type="dxa"/>
            <w:tcBorders>
              <w:top w:val="nil"/>
              <w:left w:val="single" w:sz="4" w:space="0" w:color="auto"/>
              <w:bottom w:val="nil"/>
              <w:right w:val="single" w:sz="4" w:space="0" w:color="auto"/>
            </w:tcBorders>
            <w:shd w:val="clear" w:color="auto" w:fill="auto"/>
            <w:noWrap/>
            <w:vAlign w:val="center"/>
            <w:hideMark/>
          </w:tcPr>
          <w:p w14:paraId="628162E5" w14:textId="77777777" w:rsidR="00387142" w:rsidRPr="008B6A75" w:rsidRDefault="00387142" w:rsidP="00387142">
            <w:pPr>
              <w:jc w:val="center"/>
              <w:rPr>
                <w:sz w:val="20"/>
                <w:szCs w:val="20"/>
              </w:rPr>
            </w:pPr>
            <w:r w:rsidRPr="008B6A75">
              <w:rPr>
                <w:sz w:val="20"/>
                <w:szCs w:val="20"/>
              </w:rPr>
              <w:t>200</w:t>
            </w:r>
          </w:p>
        </w:tc>
        <w:tc>
          <w:tcPr>
            <w:tcW w:w="992" w:type="dxa"/>
            <w:tcBorders>
              <w:top w:val="nil"/>
              <w:left w:val="single" w:sz="4" w:space="0" w:color="auto"/>
              <w:bottom w:val="nil"/>
              <w:right w:val="single" w:sz="4" w:space="0" w:color="auto"/>
            </w:tcBorders>
            <w:shd w:val="clear" w:color="auto" w:fill="auto"/>
            <w:noWrap/>
            <w:vAlign w:val="center"/>
            <w:hideMark/>
          </w:tcPr>
          <w:p w14:paraId="18BBD6CB" w14:textId="77777777" w:rsidR="00387142" w:rsidRPr="008B6A75" w:rsidRDefault="00387142" w:rsidP="00387142">
            <w:pPr>
              <w:jc w:val="right"/>
              <w:rPr>
                <w:sz w:val="20"/>
                <w:szCs w:val="20"/>
              </w:rPr>
            </w:pPr>
            <w:r w:rsidRPr="008B6A75">
              <w:rPr>
                <w:sz w:val="20"/>
                <w:szCs w:val="20"/>
              </w:rPr>
              <w:t>231 670,00</w:t>
            </w:r>
          </w:p>
        </w:tc>
        <w:tc>
          <w:tcPr>
            <w:tcW w:w="992" w:type="dxa"/>
            <w:gridSpan w:val="2"/>
            <w:tcBorders>
              <w:top w:val="nil"/>
              <w:left w:val="single" w:sz="4" w:space="0" w:color="auto"/>
              <w:bottom w:val="nil"/>
              <w:right w:val="nil"/>
            </w:tcBorders>
            <w:shd w:val="clear" w:color="auto" w:fill="auto"/>
            <w:noWrap/>
            <w:vAlign w:val="center"/>
            <w:hideMark/>
          </w:tcPr>
          <w:p w14:paraId="792BEDED" w14:textId="77777777" w:rsidR="00387142" w:rsidRPr="008B6A75" w:rsidRDefault="00387142" w:rsidP="00387142">
            <w:pPr>
              <w:jc w:val="right"/>
              <w:rPr>
                <w:sz w:val="20"/>
                <w:szCs w:val="20"/>
              </w:rPr>
            </w:pPr>
            <w:r w:rsidRPr="008B6A75">
              <w:rPr>
                <w:sz w:val="20"/>
                <w:szCs w:val="20"/>
              </w:rPr>
              <w:t>0,00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2553A88B" w14:textId="77777777" w:rsidR="00387142" w:rsidRPr="008B6A75" w:rsidRDefault="00387142" w:rsidP="00387142">
            <w:pPr>
              <w:jc w:val="right"/>
              <w:rPr>
                <w:sz w:val="20"/>
                <w:szCs w:val="20"/>
              </w:rPr>
            </w:pPr>
            <w:r w:rsidRPr="008B6A75">
              <w:rPr>
                <w:sz w:val="20"/>
                <w:szCs w:val="20"/>
              </w:rPr>
              <w:t>0,00</w:t>
            </w:r>
          </w:p>
        </w:tc>
        <w:tc>
          <w:tcPr>
            <w:tcW w:w="222" w:type="dxa"/>
            <w:vAlign w:val="center"/>
            <w:hideMark/>
          </w:tcPr>
          <w:p w14:paraId="15759153" w14:textId="77777777" w:rsidR="00387142" w:rsidRPr="008B6A75" w:rsidRDefault="00387142" w:rsidP="00387142">
            <w:pPr>
              <w:rPr>
                <w:sz w:val="20"/>
                <w:szCs w:val="20"/>
              </w:rPr>
            </w:pPr>
          </w:p>
        </w:tc>
      </w:tr>
      <w:tr w:rsidR="00387142" w:rsidRPr="008B6A75" w14:paraId="394D1D1B" w14:textId="77777777" w:rsidTr="00387142">
        <w:trPr>
          <w:trHeight w:val="870"/>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0327DE6A" w14:textId="77777777" w:rsidR="00387142" w:rsidRPr="008B6A75" w:rsidRDefault="00387142" w:rsidP="00387142">
            <w:pPr>
              <w:rPr>
                <w:sz w:val="20"/>
                <w:szCs w:val="20"/>
              </w:rPr>
            </w:pPr>
            <w:r w:rsidRPr="008B6A75">
              <w:rPr>
                <w:sz w:val="20"/>
                <w:szCs w:val="20"/>
              </w:rPr>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2B8C371D" w14:textId="77777777" w:rsidR="00387142" w:rsidRPr="008B6A75" w:rsidRDefault="00387142" w:rsidP="00387142">
            <w:pPr>
              <w:jc w:val="center"/>
              <w:rPr>
                <w:sz w:val="20"/>
                <w:szCs w:val="20"/>
              </w:rPr>
            </w:pPr>
            <w:r w:rsidRPr="008B6A75">
              <w:rPr>
                <w:sz w:val="20"/>
                <w:szCs w:val="20"/>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3D2B2CA1" w14:textId="77777777" w:rsidR="00387142" w:rsidRPr="008B6A75" w:rsidRDefault="00387142" w:rsidP="00387142">
            <w:pPr>
              <w:jc w:val="center"/>
              <w:rPr>
                <w:sz w:val="20"/>
                <w:szCs w:val="20"/>
              </w:rPr>
            </w:pPr>
            <w:r w:rsidRPr="008B6A75">
              <w:rPr>
                <w:sz w:val="20"/>
                <w:szCs w:val="20"/>
              </w:rPr>
              <w:t>07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5BE5D8" w14:textId="77777777" w:rsidR="00387142" w:rsidRPr="008B6A75" w:rsidRDefault="00387142" w:rsidP="00387142">
            <w:pPr>
              <w:jc w:val="center"/>
              <w:rPr>
                <w:sz w:val="20"/>
                <w:szCs w:val="20"/>
              </w:rPr>
            </w:pPr>
            <w:r w:rsidRPr="008B6A75">
              <w:rPr>
                <w:sz w:val="20"/>
                <w:szCs w:val="20"/>
              </w:rPr>
              <w:t>05</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2C8D62A4" w14:textId="77777777" w:rsidR="00387142" w:rsidRPr="008B6A75" w:rsidRDefault="00387142" w:rsidP="00387142">
            <w:pPr>
              <w:jc w:val="center"/>
              <w:rPr>
                <w:sz w:val="20"/>
                <w:szCs w:val="20"/>
              </w:rPr>
            </w:pPr>
            <w:r w:rsidRPr="008B6A75">
              <w:rPr>
                <w:sz w:val="20"/>
                <w:szCs w:val="20"/>
              </w:rPr>
              <w:t>07.2.00.79500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0DF8E2" w14:textId="77777777" w:rsidR="00387142" w:rsidRPr="008B6A75" w:rsidRDefault="00387142" w:rsidP="00387142">
            <w:pPr>
              <w:jc w:val="center"/>
              <w:rPr>
                <w:sz w:val="20"/>
                <w:szCs w:val="20"/>
              </w:rPr>
            </w:pPr>
            <w:r w:rsidRPr="008B6A75">
              <w:rPr>
                <w:sz w:val="20"/>
                <w:szCs w:val="20"/>
              </w:rPr>
              <w:t>240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11BEA1" w14:textId="77777777" w:rsidR="00387142" w:rsidRPr="008B6A75" w:rsidRDefault="00387142" w:rsidP="00387142">
            <w:pPr>
              <w:jc w:val="right"/>
              <w:rPr>
                <w:sz w:val="20"/>
                <w:szCs w:val="20"/>
              </w:rPr>
            </w:pPr>
            <w:r w:rsidRPr="008B6A75">
              <w:rPr>
                <w:sz w:val="20"/>
                <w:szCs w:val="20"/>
              </w:rPr>
              <w:t>231 670,00</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09CB201A" w14:textId="77777777" w:rsidR="00387142" w:rsidRPr="008B6A75" w:rsidRDefault="00387142" w:rsidP="00387142">
            <w:pPr>
              <w:jc w:val="right"/>
              <w:rPr>
                <w:sz w:val="20"/>
                <w:szCs w:val="20"/>
              </w:rPr>
            </w:pPr>
            <w:r w:rsidRPr="008B6A75">
              <w:rPr>
                <w:sz w:val="20"/>
                <w:szCs w:val="20"/>
              </w:rPr>
              <w:t>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9B316D" w14:textId="77777777" w:rsidR="00387142" w:rsidRPr="008B6A75" w:rsidRDefault="00387142" w:rsidP="00387142">
            <w:pPr>
              <w:jc w:val="right"/>
              <w:rPr>
                <w:sz w:val="20"/>
                <w:szCs w:val="20"/>
              </w:rPr>
            </w:pPr>
            <w:r w:rsidRPr="008B6A75">
              <w:rPr>
                <w:sz w:val="20"/>
                <w:szCs w:val="20"/>
              </w:rPr>
              <w:t>0,00</w:t>
            </w:r>
          </w:p>
        </w:tc>
        <w:tc>
          <w:tcPr>
            <w:tcW w:w="222" w:type="dxa"/>
            <w:vAlign w:val="center"/>
            <w:hideMark/>
          </w:tcPr>
          <w:p w14:paraId="6CC41456" w14:textId="77777777" w:rsidR="00387142" w:rsidRPr="008B6A75" w:rsidRDefault="00387142" w:rsidP="00387142">
            <w:pPr>
              <w:rPr>
                <w:sz w:val="20"/>
                <w:szCs w:val="20"/>
              </w:rPr>
            </w:pPr>
          </w:p>
        </w:tc>
      </w:tr>
      <w:tr w:rsidR="00387142" w:rsidRPr="008B6A75" w14:paraId="6B2E8CF9" w14:textId="77777777" w:rsidTr="00387142">
        <w:trPr>
          <w:trHeight w:val="870"/>
        </w:trPr>
        <w:tc>
          <w:tcPr>
            <w:tcW w:w="3021" w:type="dxa"/>
            <w:tcBorders>
              <w:top w:val="nil"/>
              <w:left w:val="single" w:sz="4" w:space="0" w:color="auto"/>
              <w:bottom w:val="nil"/>
              <w:right w:val="nil"/>
            </w:tcBorders>
            <w:shd w:val="clear" w:color="auto" w:fill="auto"/>
            <w:vAlign w:val="center"/>
            <w:hideMark/>
          </w:tcPr>
          <w:p w14:paraId="5E626402" w14:textId="77777777" w:rsidR="00387142" w:rsidRPr="008B6A75" w:rsidRDefault="00387142" w:rsidP="00387142">
            <w:pPr>
              <w:rPr>
                <w:bCs/>
                <w:sz w:val="20"/>
                <w:szCs w:val="20"/>
              </w:rPr>
            </w:pPr>
            <w:proofErr w:type="spellStart"/>
            <w:r w:rsidRPr="008B6A75">
              <w:rPr>
                <w:bCs/>
                <w:sz w:val="20"/>
                <w:szCs w:val="20"/>
              </w:rPr>
              <w:t>Подпрограмма"Развитие</w:t>
            </w:r>
            <w:proofErr w:type="spellEnd"/>
            <w:r w:rsidRPr="008B6A75">
              <w:rPr>
                <w:bCs/>
                <w:sz w:val="20"/>
                <w:szCs w:val="20"/>
              </w:rPr>
              <w:t xml:space="preserve"> кадрового потенциала системы дошкольного, общего и дополнительного образования детей"</w:t>
            </w:r>
          </w:p>
        </w:tc>
        <w:tc>
          <w:tcPr>
            <w:tcW w:w="850" w:type="dxa"/>
            <w:tcBorders>
              <w:top w:val="nil"/>
              <w:left w:val="single" w:sz="4" w:space="0" w:color="auto"/>
              <w:bottom w:val="nil"/>
              <w:right w:val="nil"/>
            </w:tcBorders>
            <w:shd w:val="clear" w:color="auto" w:fill="auto"/>
            <w:noWrap/>
            <w:vAlign w:val="center"/>
            <w:hideMark/>
          </w:tcPr>
          <w:p w14:paraId="7FA37A56" w14:textId="77777777" w:rsidR="00387142" w:rsidRPr="008B6A75" w:rsidRDefault="00387142" w:rsidP="00387142">
            <w:pPr>
              <w:jc w:val="center"/>
              <w:rPr>
                <w:bCs/>
                <w:sz w:val="20"/>
                <w:szCs w:val="20"/>
              </w:rPr>
            </w:pPr>
            <w:r w:rsidRPr="008B6A75">
              <w:rPr>
                <w:bCs/>
                <w:sz w:val="20"/>
                <w:szCs w:val="20"/>
              </w:rPr>
              <w:t>444</w:t>
            </w:r>
          </w:p>
        </w:tc>
        <w:tc>
          <w:tcPr>
            <w:tcW w:w="709" w:type="dxa"/>
            <w:tcBorders>
              <w:top w:val="nil"/>
              <w:left w:val="single" w:sz="4" w:space="0" w:color="auto"/>
              <w:bottom w:val="nil"/>
              <w:right w:val="nil"/>
            </w:tcBorders>
            <w:shd w:val="clear" w:color="auto" w:fill="auto"/>
            <w:noWrap/>
            <w:vAlign w:val="center"/>
            <w:hideMark/>
          </w:tcPr>
          <w:p w14:paraId="3D993EBC" w14:textId="77777777" w:rsidR="00387142" w:rsidRPr="008B6A75" w:rsidRDefault="00387142" w:rsidP="00387142">
            <w:pPr>
              <w:jc w:val="center"/>
              <w:rPr>
                <w:bCs/>
                <w:sz w:val="20"/>
                <w:szCs w:val="20"/>
              </w:rPr>
            </w:pPr>
            <w:r w:rsidRPr="008B6A75">
              <w:rPr>
                <w:bCs/>
                <w:sz w:val="20"/>
                <w:szCs w:val="20"/>
              </w:rPr>
              <w:t>07</w:t>
            </w:r>
          </w:p>
        </w:tc>
        <w:tc>
          <w:tcPr>
            <w:tcW w:w="709" w:type="dxa"/>
            <w:tcBorders>
              <w:top w:val="nil"/>
              <w:left w:val="single" w:sz="4" w:space="0" w:color="auto"/>
              <w:bottom w:val="nil"/>
              <w:right w:val="single" w:sz="4" w:space="0" w:color="auto"/>
            </w:tcBorders>
            <w:shd w:val="clear" w:color="auto" w:fill="auto"/>
            <w:noWrap/>
            <w:vAlign w:val="center"/>
            <w:hideMark/>
          </w:tcPr>
          <w:p w14:paraId="3B089820" w14:textId="77777777" w:rsidR="00387142" w:rsidRPr="008B6A75" w:rsidRDefault="00387142" w:rsidP="00387142">
            <w:pPr>
              <w:jc w:val="center"/>
              <w:rPr>
                <w:bCs/>
                <w:sz w:val="20"/>
                <w:szCs w:val="20"/>
              </w:rPr>
            </w:pPr>
            <w:r w:rsidRPr="008B6A75">
              <w:rPr>
                <w:bCs/>
                <w:sz w:val="20"/>
                <w:szCs w:val="20"/>
              </w:rPr>
              <w:t>05</w:t>
            </w:r>
          </w:p>
        </w:tc>
        <w:tc>
          <w:tcPr>
            <w:tcW w:w="1411" w:type="dxa"/>
            <w:tcBorders>
              <w:top w:val="nil"/>
              <w:left w:val="single" w:sz="4" w:space="0" w:color="auto"/>
              <w:bottom w:val="nil"/>
              <w:right w:val="nil"/>
            </w:tcBorders>
            <w:shd w:val="clear" w:color="auto" w:fill="auto"/>
            <w:noWrap/>
            <w:vAlign w:val="center"/>
            <w:hideMark/>
          </w:tcPr>
          <w:p w14:paraId="53C0D7B2" w14:textId="77777777" w:rsidR="00387142" w:rsidRPr="008B6A75" w:rsidRDefault="00387142" w:rsidP="00387142">
            <w:pPr>
              <w:jc w:val="center"/>
              <w:rPr>
                <w:bCs/>
                <w:sz w:val="20"/>
                <w:szCs w:val="20"/>
              </w:rPr>
            </w:pPr>
            <w:r w:rsidRPr="008B6A75">
              <w:rPr>
                <w:bCs/>
                <w:sz w:val="20"/>
                <w:szCs w:val="20"/>
              </w:rPr>
              <w:t>07.3.00.00000</w:t>
            </w:r>
          </w:p>
        </w:tc>
        <w:tc>
          <w:tcPr>
            <w:tcW w:w="955" w:type="dxa"/>
            <w:tcBorders>
              <w:top w:val="nil"/>
              <w:left w:val="single" w:sz="4" w:space="0" w:color="auto"/>
              <w:bottom w:val="nil"/>
              <w:right w:val="single" w:sz="4" w:space="0" w:color="auto"/>
            </w:tcBorders>
            <w:shd w:val="clear" w:color="auto" w:fill="auto"/>
            <w:noWrap/>
            <w:vAlign w:val="center"/>
            <w:hideMark/>
          </w:tcPr>
          <w:p w14:paraId="281F99DD"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nil"/>
              <w:right w:val="single" w:sz="4" w:space="0" w:color="auto"/>
            </w:tcBorders>
            <w:shd w:val="clear" w:color="auto" w:fill="auto"/>
            <w:noWrap/>
            <w:vAlign w:val="center"/>
            <w:hideMark/>
          </w:tcPr>
          <w:p w14:paraId="5F5E70BA" w14:textId="77777777" w:rsidR="00387142" w:rsidRPr="008B6A75" w:rsidRDefault="00387142" w:rsidP="00387142">
            <w:pPr>
              <w:jc w:val="right"/>
              <w:rPr>
                <w:bCs/>
                <w:sz w:val="20"/>
                <w:szCs w:val="20"/>
              </w:rPr>
            </w:pPr>
            <w:r w:rsidRPr="008B6A75">
              <w:rPr>
                <w:bCs/>
                <w:sz w:val="20"/>
                <w:szCs w:val="20"/>
              </w:rPr>
              <w:t>445 000,00</w:t>
            </w:r>
          </w:p>
        </w:tc>
        <w:tc>
          <w:tcPr>
            <w:tcW w:w="992" w:type="dxa"/>
            <w:gridSpan w:val="2"/>
            <w:tcBorders>
              <w:top w:val="nil"/>
              <w:left w:val="single" w:sz="4" w:space="0" w:color="auto"/>
              <w:bottom w:val="nil"/>
              <w:right w:val="nil"/>
            </w:tcBorders>
            <w:shd w:val="clear" w:color="auto" w:fill="auto"/>
            <w:noWrap/>
            <w:vAlign w:val="center"/>
            <w:hideMark/>
          </w:tcPr>
          <w:p w14:paraId="45176750" w14:textId="77777777" w:rsidR="00387142" w:rsidRPr="008B6A75" w:rsidRDefault="00387142" w:rsidP="00387142">
            <w:pPr>
              <w:jc w:val="right"/>
              <w:rPr>
                <w:bCs/>
                <w:sz w:val="20"/>
                <w:szCs w:val="20"/>
              </w:rPr>
            </w:pPr>
            <w:r w:rsidRPr="008B6A75">
              <w:rPr>
                <w:bCs/>
                <w:sz w:val="20"/>
                <w:szCs w:val="20"/>
              </w:rPr>
              <w:t>0,00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2DE33670" w14:textId="77777777" w:rsidR="00387142" w:rsidRPr="008B6A75" w:rsidRDefault="00387142" w:rsidP="00387142">
            <w:pPr>
              <w:jc w:val="right"/>
              <w:rPr>
                <w:bCs/>
                <w:sz w:val="20"/>
                <w:szCs w:val="20"/>
              </w:rPr>
            </w:pPr>
            <w:r w:rsidRPr="008B6A75">
              <w:rPr>
                <w:bCs/>
                <w:sz w:val="20"/>
                <w:szCs w:val="20"/>
              </w:rPr>
              <w:t>0,00</w:t>
            </w:r>
          </w:p>
        </w:tc>
        <w:tc>
          <w:tcPr>
            <w:tcW w:w="222" w:type="dxa"/>
            <w:vAlign w:val="center"/>
            <w:hideMark/>
          </w:tcPr>
          <w:p w14:paraId="00AC4061" w14:textId="77777777" w:rsidR="00387142" w:rsidRPr="008B6A75" w:rsidRDefault="00387142" w:rsidP="00387142">
            <w:pPr>
              <w:rPr>
                <w:sz w:val="20"/>
                <w:szCs w:val="20"/>
              </w:rPr>
            </w:pPr>
          </w:p>
        </w:tc>
      </w:tr>
      <w:tr w:rsidR="00387142" w:rsidRPr="008B6A75" w14:paraId="3028E023" w14:textId="77777777" w:rsidTr="00387142">
        <w:trPr>
          <w:trHeight w:val="1155"/>
        </w:trPr>
        <w:tc>
          <w:tcPr>
            <w:tcW w:w="3021" w:type="dxa"/>
            <w:tcBorders>
              <w:top w:val="single" w:sz="4" w:space="0" w:color="auto"/>
              <w:left w:val="single" w:sz="4" w:space="0" w:color="auto"/>
              <w:bottom w:val="nil"/>
              <w:right w:val="nil"/>
            </w:tcBorders>
            <w:shd w:val="clear" w:color="auto" w:fill="auto"/>
            <w:vAlign w:val="center"/>
            <w:hideMark/>
          </w:tcPr>
          <w:p w14:paraId="73E30E16" w14:textId="77777777" w:rsidR="00387142" w:rsidRPr="008B6A75" w:rsidRDefault="00387142" w:rsidP="00387142">
            <w:pPr>
              <w:rPr>
                <w:bCs/>
                <w:sz w:val="20"/>
                <w:szCs w:val="20"/>
              </w:rPr>
            </w:pPr>
            <w:r w:rsidRPr="008B6A75">
              <w:rPr>
                <w:bCs/>
                <w:sz w:val="20"/>
                <w:szCs w:val="20"/>
              </w:rPr>
              <w:t>Реализация мероприятий подпрограммы "Развитие кадрового потенциала системы дошкольного, общего и дополнительного образования детей"</w:t>
            </w:r>
          </w:p>
        </w:tc>
        <w:tc>
          <w:tcPr>
            <w:tcW w:w="850" w:type="dxa"/>
            <w:tcBorders>
              <w:top w:val="single" w:sz="4" w:space="0" w:color="auto"/>
              <w:left w:val="single" w:sz="4" w:space="0" w:color="auto"/>
              <w:bottom w:val="nil"/>
              <w:right w:val="nil"/>
            </w:tcBorders>
            <w:shd w:val="clear" w:color="auto" w:fill="auto"/>
            <w:noWrap/>
            <w:vAlign w:val="center"/>
            <w:hideMark/>
          </w:tcPr>
          <w:p w14:paraId="68A06171" w14:textId="77777777" w:rsidR="00387142" w:rsidRPr="008B6A75" w:rsidRDefault="00387142" w:rsidP="00387142">
            <w:pPr>
              <w:jc w:val="center"/>
              <w:rPr>
                <w:bCs/>
                <w:sz w:val="20"/>
                <w:szCs w:val="20"/>
              </w:rPr>
            </w:pPr>
            <w:r w:rsidRPr="008B6A75">
              <w:rPr>
                <w:bCs/>
                <w:sz w:val="20"/>
                <w:szCs w:val="20"/>
              </w:rPr>
              <w:t>444</w:t>
            </w:r>
          </w:p>
        </w:tc>
        <w:tc>
          <w:tcPr>
            <w:tcW w:w="709" w:type="dxa"/>
            <w:tcBorders>
              <w:top w:val="single" w:sz="4" w:space="0" w:color="auto"/>
              <w:left w:val="single" w:sz="4" w:space="0" w:color="auto"/>
              <w:bottom w:val="nil"/>
              <w:right w:val="nil"/>
            </w:tcBorders>
            <w:shd w:val="clear" w:color="auto" w:fill="auto"/>
            <w:noWrap/>
            <w:vAlign w:val="center"/>
            <w:hideMark/>
          </w:tcPr>
          <w:p w14:paraId="6BC72B34" w14:textId="77777777" w:rsidR="00387142" w:rsidRPr="008B6A75" w:rsidRDefault="00387142" w:rsidP="00387142">
            <w:pPr>
              <w:jc w:val="center"/>
              <w:rPr>
                <w:bCs/>
                <w:sz w:val="20"/>
                <w:szCs w:val="20"/>
              </w:rPr>
            </w:pPr>
            <w:r w:rsidRPr="008B6A75">
              <w:rPr>
                <w:bCs/>
                <w:sz w:val="20"/>
                <w:szCs w:val="20"/>
              </w:rPr>
              <w:t>07</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52D14D18" w14:textId="77777777" w:rsidR="00387142" w:rsidRPr="008B6A75" w:rsidRDefault="00387142" w:rsidP="00387142">
            <w:pPr>
              <w:jc w:val="center"/>
              <w:rPr>
                <w:bCs/>
                <w:sz w:val="20"/>
                <w:szCs w:val="20"/>
              </w:rPr>
            </w:pPr>
            <w:r w:rsidRPr="008B6A75">
              <w:rPr>
                <w:bCs/>
                <w:sz w:val="20"/>
                <w:szCs w:val="20"/>
              </w:rPr>
              <w:t>05</w:t>
            </w:r>
          </w:p>
        </w:tc>
        <w:tc>
          <w:tcPr>
            <w:tcW w:w="1411" w:type="dxa"/>
            <w:tcBorders>
              <w:top w:val="single" w:sz="4" w:space="0" w:color="auto"/>
              <w:left w:val="single" w:sz="4" w:space="0" w:color="auto"/>
              <w:bottom w:val="nil"/>
              <w:right w:val="nil"/>
            </w:tcBorders>
            <w:shd w:val="clear" w:color="auto" w:fill="auto"/>
            <w:noWrap/>
            <w:vAlign w:val="center"/>
            <w:hideMark/>
          </w:tcPr>
          <w:p w14:paraId="42877E71" w14:textId="77777777" w:rsidR="00387142" w:rsidRPr="008B6A75" w:rsidRDefault="00387142" w:rsidP="00387142">
            <w:pPr>
              <w:jc w:val="center"/>
              <w:rPr>
                <w:bCs/>
                <w:sz w:val="20"/>
                <w:szCs w:val="20"/>
              </w:rPr>
            </w:pPr>
            <w:r w:rsidRPr="008B6A75">
              <w:rPr>
                <w:bCs/>
                <w:sz w:val="20"/>
                <w:szCs w:val="20"/>
              </w:rPr>
              <w:t>07.3.00.79500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630A7E07" w14:textId="77777777" w:rsidR="00387142" w:rsidRPr="008B6A75" w:rsidRDefault="00387142" w:rsidP="00387142">
            <w:pPr>
              <w:jc w:val="center"/>
              <w:rPr>
                <w:bCs/>
                <w:sz w:val="20"/>
                <w:szCs w:val="20"/>
              </w:rPr>
            </w:pPr>
            <w:r w:rsidRPr="008B6A75">
              <w:rPr>
                <w:bCs/>
                <w:sz w:val="20"/>
                <w:szCs w:val="20"/>
              </w:rPr>
              <w:t> </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2491CF9A" w14:textId="77777777" w:rsidR="00387142" w:rsidRPr="008B6A75" w:rsidRDefault="00387142" w:rsidP="00387142">
            <w:pPr>
              <w:jc w:val="right"/>
              <w:rPr>
                <w:bCs/>
                <w:sz w:val="20"/>
                <w:szCs w:val="20"/>
              </w:rPr>
            </w:pPr>
            <w:r w:rsidRPr="008B6A75">
              <w:rPr>
                <w:bCs/>
                <w:sz w:val="20"/>
                <w:szCs w:val="20"/>
              </w:rPr>
              <w:t>445 000,00</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08D6007E" w14:textId="77777777" w:rsidR="00387142" w:rsidRPr="008B6A75" w:rsidRDefault="00387142" w:rsidP="00387142">
            <w:pPr>
              <w:jc w:val="right"/>
              <w:rPr>
                <w:bCs/>
                <w:sz w:val="20"/>
                <w:szCs w:val="20"/>
              </w:rPr>
            </w:pPr>
            <w:r w:rsidRPr="008B6A75">
              <w:rPr>
                <w:bCs/>
                <w:sz w:val="20"/>
                <w:szCs w:val="20"/>
              </w:rPr>
              <w:t>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14DDA86F" w14:textId="77777777" w:rsidR="00387142" w:rsidRPr="008B6A75" w:rsidRDefault="00387142" w:rsidP="00387142">
            <w:pPr>
              <w:jc w:val="right"/>
              <w:rPr>
                <w:bCs/>
                <w:sz w:val="20"/>
                <w:szCs w:val="20"/>
              </w:rPr>
            </w:pPr>
            <w:r w:rsidRPr="008B6A75">
              <w:rPr>
                <w:bCs/>
                <w:sz w:val="20"/>
                <w:szCs w:val="20"/>
              </w:rPr>
              <w:t>0,00</w:t>
            </w:r>
          </w:p>
        </w:tc>
        <w:tc>
          <w:tcPr>
            <w:tcW w:w="222" w:type="dxa"/>
            <w:vAlign w:val="center"/>
            <w:hideMark/>
          </w:tcPr>
          <w:p w14:paraId="169368D1" w14:textId="77777777" w:rsidR="00387142" w:rsidRPr="008B6A75" w:rsidRDefault="00387142" w:rsidP="00387142">
            <w:pPr>
              <w:rPr>
                <w:sz w:val="20"/>
                <w:szCs w:val="20"/>
              </w:rPr>
            </w:pPr>
          </w:p>
        </w:tc>
      </w:tr>
      <w:tr w:rsidR="00387142" w:rsidRPr="008B6A75" w14:paraId="76DB61B5" w14:textId="77777777" w:rsidTr="00387142">
        <w:trPr>
          <w:trHeight w:val="1440"/>
        </w:trPr>
        <w:tc>
          <w:tcPr>
            <w:tcW w:w="3021" w:type="dxa"/>
            <w:tcBorders>
              <w:top w:val="single" w:sz="4" w:space="0" w:color="auto"/>
              <w:left w:val="single" w:sz="4" w:space="0" w:color="auto"/>
              <w:bottom w:val="nil"/>
              <w:right w:val="nil"/>
            </w:tcBorders>
            <w:shd w:val="clear" w:color="auto" w:fill="auto"/>
            <w:vAlign w:val="center"/>
            <w:hideMark/>
          </w:tcPr>
          <w:p w14:paraId="2B2B59C3" w14:textId="77777777" w:rsidR="00387142" w:rsidRPr="008B6A75" w:rsidRDefault="00387142" w:rsidP="00387142">
            <w:pPr>
              <w:rPr>
                <w:sz w:val="20"/>
                <w:szCs w:val="20"/>
              </w:rPr>
            </w:pPr>
            <w:r w:rsidRPr="008B6A7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nil"/>
              <w:right w:val="nil"/>
            </w:tcBorders>
            <w:shd w:val="clear" w:color="auto" w:fill="auto"/>
            <w:noWrap/>
            <w:vAlign w:val="center"/>
            <w:hideMark/>
          </w:tcPr>
          <w:p w14:paraId="391F4669" w14:textId="77777777" w:rsidR="00387142" w:rsidRPr="008B6A75" w:rsidRDefault="00387142" w:rsidP="00387142">
            <w:pPr>
              <w:jc w:val="center"/>
              <w:rPr>
                <w:sz w:val="20"/>
                <w:szCs w:val="20"/>
              </w:rPr>
            </w:pPr>
            <w:r w:rsidRPr="008B6A75">
              <w:rPr>
                <w:sz w:val="20"/>
                <w:szCs w:val="20"/>
              </w:rPr>
              <w:t>444</w:t>
            </w:r>
          </w:p>
        </w:tc>
        <w:tc>
          <w:tcPr>
            <w:tcW w:w="709" w:type="dxa"/>
            <w:tcBorders>
              <w:top w:val="single" w:sz="4" w:space="0" w:color="auto"/>
              <w:left w:val="single" w:sz="4" w:space="0" w:color="auto"/>
              <w:bottom w:val="nil"/>
              <w:right w:val="nil"/>
            </w:tcBorders>
            <w:shd w:val="clear" w:color="auto" w:fill="auto"/>
            <w:noWrap/>
            <w:vAlign w:val="center"/>
            <w:hideMark/>
          </w:tcPr>
          <w:p w14:paraId="7FDD094D" w14:textId="77777777" w:rsidR="00387142" w:rsidRPr="008B6A75" w:rsidRDefault="00387142" w:rsidP="00387142">
            <w:pPr>
              <w:jc w:val="center"/>
              <w:rPr>
                <w:sz w:val="20"/>
                <w:szCs w:val="20"/>
              </w:rPr>
            </w:pPr>
            <w:r w:rsidRPr="008B6A75">
              <w:rPr>
                <w:sz w:val="20"/>
                <w:szCs w:val="20"/>
              </w:rPr>
              <w:t>07</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5DBAC309" w14:textId="77777777" w:rsidR="00387142" w:rsidRPr="008B6A75" w:rsidRDefault="00387142" w:rsidP="00387142">
            <w:pPr>
              <w:jc w:val="center"/>
              <w:rPr>
                <w:sz w:val="20"/>
                <w:szCs w:val="20"/>
              </w:rPr>
            </w:pPr>
            <w:r w:rsidRPr="008B6A75">
              <w:rPr>
                <w:sz w:val="20"/>
                <w:szCs w:val="20"/>
              </w:rPr>
              <w:t>05</w:t>
            </w:r>
          </w:p>
        </w:tc>
        <w:tc>
          <w:tcPr>
            <w:tcW w:w="1411" w:type="dxa"/>
            <w:tcBorders>
              <w:top w:val="single" w:sz="4" w:space="0" w:color="auto"/>
              <w:left w:val="single" w:sz="4" w:space="0" w:color="auto"/>
              <w:bottom w:val="nil"/>
              <w:right w:val="nil"/>
            </w:tcBorders>
            <w:shd w:val="clear" w:color="auto" w:fill="auto"/>
            <w:noWrap/>
            <w:vAlign w:val="center"/>
            <w:hideMark/>
          </w:tcPr>
          <w:p w14:paraId="60D9180B" w14:textId="77777777" w:rsidR="00387142" w:rsidRPr="008B6A75" w:rsidRDefault="00387142" w:rsidP="00387142">
            <w:pPr>
              <w:jc w:val="center"/>
              <w:rPr>
                <w:sz w:val="20"/>
                <w:szCs w:val="20"/>
              </w:rPr>
            </w:pPr>
            <w:r w:rsidRPr="008B6A75">
              <w:rPr>
                <w:sz w:val="20"/>
                <w:szCs w:val="20"/>
              </w:rPr>
              <w:t>07.3.00.79500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037C4DCB" w14:textId="77777777" w:rsidR="00387142" w:rsidRPr="008B6A75" w:rsidRDefault="00387142" w:rsidP="00387142">
            <w:pPr>
              <w:jc w:val="center"/>
              <w:rPr>
                <w:sz w:val="20"/>
                <w:szCs w:val="20"/>
              </w:rPr>
            </w:pPr>
            <w:r w:rsidRPr="008B6A75">
              <w:rPr>
                <w:sz w:val="20"/>
                <w:szCs w:val="20"/>
              </w:rPr>
              <w:t>100</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52C11885" w14:textId="77777777" w:rsidR="00387142" w:rsidRPr="008B6A75" w:rsidRDefault="00387142" w:rsidP="00387142">
            <w:pPr>
              <w:jc w:val="right"/>
              <w:rPr>
                <w:sz w:val="20"/>
                <w:szCs w:val="20"/>
              </w:rPr>
            </w:pPr>
            <w:r w:rsidRPr="008B6A75">
              <w:rPr>
                <w:sz w:val="20"/>
                <w:szCs w:val="20"/>
              </w:rPr>
              <w:t>72 318,30</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54D693DC" w14:textId="77777777" w:rsidR="00387142" w:rsidRPr="008B6A75" w:rsidRDefault="00387142" w:rsidP="00387142">
            <w:pPr>
              <w:jc w:val="right"/>
              <w:rPr>
                <w:sz w:val="20"/>
                <w:szCs w:val="20"/>
              </w:rPr>
            </w:pPr>
            <w:r w:rsidRPr="008B6A75">
              <w:rPr>
                <w:sz w:val="20"/>
                <w:szCs w:val="20"/>
              </w:rPr>
              <w:t>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46F34E31" w14:textId="77777777" w:rsidR="00387142" w:rsidRPr="008B6A75" w:rsidRDefault="00387142" w:rsidP="00387142">
            <w:pPr>
              <w:jc w:val="right"/>
              <w:rPr>
                <w:sz w:val="20"/>
                <w:szCs w:val="20"/>
              </w:rPr>
            </w:pPr>
            <w:r w:rsidRPr="008B6A75">
              <w:rPr>
                <w:sz w:val="20"/>
                <w:szCs w:val="20"/>
              </w:rPr>
              <w:t>0,00</w:t>
            </w:r>
          </w:p>
        </w:tc>
        <w:tc>
          <w:tcPr>
            <w:tcW w:w="222" w:type="dxa"/>
            <w:vAlign w:val="center"/>
            <w:hideMark/>
          </w:tcPr>
          <w:p w14:paraId="7F0B7D85" w14:textId="77777777" w:rsidR="00387142" w:rsidRPr="008B6A75" w:rsidRDefault="00387142" w:rsidP="00387142">
            <w:pPr>
              <w:rPr>
                <w:sz w:val="20"/>
                <w:szCs w:val="20"/>
              </w:rPr>
            </w:pPr>
          </w:p>
        </w:tc>
      </w:tr>
      <w:tr w:rsidR="00387142" w:rsidRPr="008B6A75" w14:paraId="26BCAAF7" w14:textId="77777777" w:rsidTr="00387142">
        <w:trPr>
          <w:trHeight w:val="585"/>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59404979" w14:textId="77777777" w:rsidR="00387142" w:rsidRPr="008B6A75" w:rsidRDefault="00387142" w:rsidP="00387142">
            <w:pPr>
              <w:rPr>
                <w:sz w:val="20"/>
                <w:szCs w:val="20"/>
              </w:rPr>
            </w:pPr>
            <w:r w:rsidRPr="008B6A75">
              <w:rPr>
                <w:sz w:val="20"/>
                <w:szCs w:val="20"/>
              </w:rPr>
              <w:t>Расходы на выплаты персоналу казенных учреждений</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124F9661" w14:textId="77777777" w:rsidR="00387142" w:rsidRPr="008B6A75" w:rsidRDefault="00387142" w:rsidP="00387142">
            <w:pPr>
              <w:jc w:val="center"/>
              <w:rPr>
                <w:sz w:val="20"/>
                <w:szCs w:val="20"/>
              </w:rPr>
            </w:pPr>
            <w:r w:rsidRPr="008B6A75">
              <w:rPr>
                <w:sz w:val="20"/>
                <w:szCs w:val="20"/>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1248BE8A" w14:textId="77777777" w:rsidR="00387142" w:rsidRPr="008B6A75" w:rsidRDefault="00387142" w:rsidP="00387142">
            <w:pPr>
              <w:jc w:val="center"/>
              <w:rPr>
                <w:sz w:val="20"/>
                <w:szCs w:val="20"/>
              </w:rPr>
            </w:pPr>
            <w:r w:rsidRPr="008B6A75">
              <w:rPr>
                <w:sz w:val="20"/>
                <w:szCs w:val="20"/>
              </w:rPr>
              <w:t>07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C2698F" w14:textId="77777777" w:rsidR="00387142" w:rsidRPr="008B6A75" w:rsidRDefault="00387142" w:rsidP="00387142">
            <w:pPr>
              <w:jc w:val="center"/>
              <w:rPr>
                <w:sz w:val="20"/>
                <w:szCs w:val="20"/>
              </w:rPr>
            </w:pPr>
            <w:r w:rsidRPr="008B6A75">
              <w:rPr>
                <w:sz w:val="20"/>
                <w:szCs w:val="20"/>
              </w:rPr>
              <w:t>05</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3C5859FB" w14:textId="77777777" w:rsidR="00387142" w:rsidRPr="008B6A75" w:rsidRDefault="00387142" w:rsidP="00387142">
            <w:pPr>
              <w:jc w:val="center"/>
              <w:rPr>
                <w:sz w:val="20"/>
                <w:szCs w:val="20"/>
              </w:rPr>
            </w:pPr>
            <w:r w:rsidRPr="008B6A75">
              <w:rPr>
                <w:sz w:val="20"/>
                <w:szCs w:val="20"/>
              </w:rPr>
              <w:t>07.3.00.79500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80D384" w14:textId="77777777" w:rsidR="00387142" w:rsidRPr="008B6A75" w:rsidRDefault="00387142" w:rsidP="00387142">
            <w:pPr>
              <w:jc w:val="center"/>
              <w:rPr>
                <w:sz w:val="20"/>
                <w:szCs w:val="20"/>
              </w:rPr>
            </w:pPr>
            <w:r w:rsidRPr="008B6A75">
              <w:rPr>
                <w:sz w:val="20"/>
                <w:szCs w:val="20"/>
              </w:rPr>
              <w:t>110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3F46EA" w14:textId="77777777" w:rsidR="00387142" w:rsidRPr="008B6A75" w:rsidRDefault="00387142" w:rsidP="00387142">
            <w:pPr>
              <w:jc w:val="right"/>
              <w:rPr>
                <w:sz w:val="20"/>
                <w:szCs w:val="20"/>
              </w:rPr>
            </w:pPr>
            <w:r w:rsidRPr="008B6A75">
              <w:rPr>
                <w:sz w:val="20"/>
                <w:szCs w:val="20"/>
              </w:rPr>
              <w:t>72 318,30</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7F9088A6" w14:textId="77777777" w:rsidR="00387142" w:rsidRPr="008B6A75" w:rsidRDefault="00387142" w:rsidP="00387142">
            <w:pPr>
              <w:jc w:val="right"/>
              <w:rPr>
                <w:sz w:val="20"/>
                <w:szCs w:val="20"/>
              </w:rPr>
            </w:pPr>
            <w:r w:rsidRPr="008B6A75">
              <w:rPr>
                <w:sz w:val="20"/>
                <w:szCs w:val="20"/>
              </w:rPr>
              <w:t>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D73C11" w14:textId="77777777" w:rsidR="00387142" w:rsidRPr="008B6A75" w:rsidRDefault="00387142" w:rsidP="00387142">
            <w:pPr>
              <w:jc w:val="right"/>
              <w:rPr>
                <w:sz w:val="20"/>
                <w:szCs w:val="20"/>
              </w:rPr>
            </w:pPr>
            <w:r w:rsidRPr="008B6A75">
              <w:rPr>
                <w:sz w:val="20"/>
                <w:szCs w:val="20"/>
              </w:rPr>
              <w:t>0,00</w:t>
            </w:r>
          </w:p>
        </w:tc>
        <w:tc>
          <w:tcPr>
            <w:tcW w:w="222" w:type="dxa"/>
            <w:vAlign w:val="center"/>
            <w:hideMark/>
          </w:tcPr>
          <w:p w14:paraId="6A284A70" w14:textId="77777777" w:rsidR="00387142" w:rsidRPr="008B6A75" w:rsidRDefault="00387142" w:rsidP="00387142">
            <w:pPr>
              <w:rPr>
                <w:sz w:val="20"/>
                <w:szCs w:val="20"/>
              </w:rPr>
            </w:pPr>
          </w:p>
        </w:tc>
      </w:tr>
      <w:tr w:rsidR="00387142" w:rsidRPr="008B6A75" w14:paraId="2135708C" w14:textId="77777777" w:rsidTr="00387142">
        <w:trPr>
          <w:trHeight w:val="585"/>
        </w:trPr>
        <w:tc>
          <w:tcPr>
            <w:tcW w:w="3021" w:type="dxa"/>
            <w:tcBorders>
              <w:top w:val="nil"/>
              <w:left w:val="single" w:sz="4" w:space="0" w:color="auto"/>
              <w:bottom w:val="nil"/>
              <w:right w:val="nil"/>
            </w:tcBorders>
            <w:shd w:val="clear" w:color="auto" w:fill="auto"/>
            <w:vAlign w:val="center"/>
            <w:hideMark/>
          </w:tcPr>
          <w:p w14:paraId="2EF79E5F" w14:textId="77777777" w:rsidR="00387142" w:rsidRPr="008B6A75" w:rsidRDefault="00387142" w:rsidP="00387142">
            <w:pPr>
              <w:rPr>
                <w:sz w:val="20"/>
                <w:szCs w:val="20"/>
              </w:rPr>
            </w:pPr>
            <w:r w:rsidRPr="008B6A75">
              <w:rPr>
                <w:sz w:val="20"/>
                <w:szCs w:val="20"/>
              </w:rPr>
              <w:lastRenderedPageBreak/>
              <w:t>Закупка товаров, работ и услуг для обеспечения государственных (муниципальных) нужд</w:t>
            </w:r>
          </w:p>
        </w:tc>
        <w:tc>
          <w:tcPr>
            <w:tcW w:w="850" w:type="dxa"/>
            <w:tcBorders>
              <w:top w:val="nil"/>
              <w:left w:val="single" w:sz="4" w:space="0" w:color="auto"/>
              <w:bottom w:val="nil"/>
              <w:right w:val="nil"/>
            </w:tcBorders>
            <w:shd w:val="clear" w:color="auto" w:fill="auto"/>
            <w:noWrap/>
            <w:vAlign w:val="center"/>
            <w:hideMark/>
          </w:tcPr>
          <w:p w14:paraId="6C8377C7" w14:textId="77777777" w:rsidR="00387142" w:rsidRPr="008B6A75" w:rsidRDefault="00387142" w:rsidP="00387142">
            <w:pPr>
              <w:jc w:val="center"/>
              <w:rPr>
                <w:sz w:val="20"/>
                <w:szCs w:val="20"/>
              </w:rPr>
            </w:pPr>
            <w:r w:rsidRPr="008B6A75">
              <w:rPr>
                <w:sz w:val="20"/>
                <w:szCs w:val="20"/>
              </w:rPr>
              <w:t>444</w:t>
            </w:r>
          </w:p>
        </w:tc>
        <w:tc>
          <w:tcPr>
            <w:tcW w:w="709" w:type="dxa"/>
            <w:tcBorders>
              <w:top w:val="nil"/>
              <w:left w:val="single" w:sz="4" w:space="0" w:color="auto"/>
              <w:bottom w:val="nil"/>
              <w:right w:val="nil"/>
            </w:tcBorders>
            <w:shd w:val="clear" w:color="auto" w:fill="auto"/>
            <w:noWrap/>
            <w:vAlign w:val="center"/>
            <w:hideMark/>
          </w:tcPr>
          <w:p w14:paraId="0A970242" w14:textId="77777777" w:rsidR="00387142" w:rsidRPr="008B6A75" w:rsidRDefault="00387142" w:rsidP="00387142">
            <w:pPr>
              <w:jc w:val="center"/>
              <w:rPr>
                <w:sz w:val="20"/>
                <w:szCs w:val="20"/>
              </w:rPr>
            </w:pPr>
            <w:r w:rsidRPr="008B6A75">
              <w:rPr>
                <w:sz w:val="20"/>
                <w:szCs w:val="20"/>
              </w:rPr>
              <w:t>07</w:t>
            </w:r>
          </w:p>
        </w:tc>
        <w:tc>
          <w:tcPr>
            <w:tcW w:w="709" w:type="dxa"/>
            <w:tcBorders>
              <w:top w:val="nil"/>
              <w:left w:val="single" w:sz="4" w:space="0" w:color="auto"/>
              <w:bottom w:val="nil"/>
              <w:right w:val="single" w:sz="4" w:space="0" w:color="auto"/>
            </w:tcBorders>
            <w:shd w:val="clear" w:color="auto" w:fill="auto"/>
            <w:noWrap/>
            <w:vAlign w:val="center"/>
            <w:hideMark/>
          </w:tcPr>
          <w:p w14:paraId="5E3E6648" w14:textId="77777777" w:rsidR="00387142" w:rsidRPr="008B6A75" w:rsidRDefault="00387142" w:rsidP="00387142">
            <w:pPr>
              <w:jc w:val="center"/>
              <w:rPr>
                <w:sz w:val="20"/>
                <w:szCs w:val="20"/>
              </w:rPr>
            </w:pPr>
            <w:r w:rsidRPr="008B6A75">
              <w:rPr>
                <w:sz w:val="20"/>
                <w:szCs w:val="20"/>
              </w:rPr>
              <w:t>05</w:t>
            </w:r>
          </w:p>
        </w:tc>
        <w:tc>
          <w:tcPr>
            <w:tcW w:w="1411" w:type="dxa"/>
            <w:tcBorders>
              <w:top w:val="nil"/>
              <w:left w:val="single" w:sz="4" w:space="0" w:color="auto"/>
              <w:bottom w:val="nil"/>
              <w:right w:val="nil"/>
            </w:tcBorders>
            <w:shd w:val="clear" w:color="auto" w:fill="auto"/>
            <w:noWrap/>
            <w:vAlign w:val="center"/>
            <w:hideMark/>
          </w:tcPr>
          <w:p w14:paraId="1AE6BCDD" w14:textId="77777777" w:rsidR="00387142" w:rsidRPr="008B6A75" w:rsidRDefault="00387142" w:rsidP="00387142">
            <w:pPr>
              <w:jc w:val="center"/>
              <w:rPr>
                <w:sz w:val="20"/>
                <w:szCs w:val="20"/>
              </w:rPr>
            </w:pPr>
            <w:r w:rsidRPr="008B6A75">
              <w:rPr>
                <w:sz w:val="20"/>
                <w:szCs w:val="20"/>
              </w:rPr>
              <w:t>07.3.00.79500</w:t>
            </w:r>
          </w:p>
        </w:tc>
        <w:tc>
          <w:tcPr>
            <w:tcW w:w="955" w:type="dxa"/>
            <w:tcBorders>
              <w:top w:val="nil"/>
              <w:left w:val="single" w:sz="4" w:space="0" w:color="auto"/>
              <w:bottom w:val="nil"/>
              <w:right w:val="single" w:sz="4" w:space="0" w:color="auto"/>
            </w:tcBorders>
            <w:shd w:val="clear" w:color="auto" w:fill="auto"/>
            <w:noWrap/>
            <w:vAlign w:val="center"/>
            <w:hideMark/>
          </w:tcPr>
          <w:p w14:paraId="20E8228F" w14:textId="77777777" w:rsidR="00387142" w:rsidRPr="008B6A75" w:rsidRDefault="00387142" w:rsidP="00387142">
            <w:pPr>
              <w:jc w:val="center"/>
              <w:rPr>
                <w:sz w:val="20"/>
                <w:szCs w:val="20"/>
              </w:rPr>
            </w:pPr>
            <w:r w:rsidRPr="008B6A75">
              <w:rPr>
                <w:sz w:val="20"/>
                <w:szCs w:val="20"/>
              </w:rPr>
              <w:t>200</w:t>
            </w:r>
          </w:p>
        </w:tc>
        <w:tc>
          <w:tcPr>
            <w:tcW w:w="992" w:type="dxa"/>
            <w:tcBorders>
              <w:top w:val="nil"/>
              <w:left w:val="single" w:sz="4" w:space="0" w:color="auto"/>
              <w:bottom w:val="nil"/>
              <w:right w:val="single" w:sz="4" w:space="0" w:color="auto"/>
            </w:tcBorders>
            <w:shd w:val="clear" w:color="auto" w:fill="auto"/>
            <w:noWrap/>
            <w:vAlign w:val="center"/>
            <w:hideMark/>
          </w:tcPr>
          <w:p w14:paraId="04828B3D" w14:textId="77777777" w:rsidR="00387142" w:rsidRPr="008B6A75" w:rsidRDefault="00387142" w:rsidP="00387142">
            <w:pPr>
              <w:jc w:val="right"/>
              <w:rPr>
                <w:sz w:val="20"/>
                <w:szCs w:val="20"/>
              </w:rPr>
            </w:pPr>
            <w:r w:rsidRPr="008B6A75">
              <w:rPr>
                <w:sz w:val="20"/>
                <w:szCs w:val="20"/>
              </w:rPr>
              <w:t>322 681,70</w:t>
            </w:r>
          </w:p>
        </w:tc>
        <w:tc>
          <w:tcPr>
            <w:tcW w:w="992" w:type="dxa"/>
            <w:gridSpan w:val="2"/>
            <w:tcBorders>
              <w:top w:val="nil"/>
              <w:left w:val="single" w:sz="4" w:space="0" w:color="auto"/>
              <w:bottom w:val="nil"/>
              <w:right w:val="nil"/>
            </w:tcBorders>
            <w:shd w:val="clear" w:color="auto" w:fill="auto"/>
            <w:noWrap/>
            <w:vAlign w:val="center"/>
            <w:hideMark/>
          </w:tcPr>
          <w:p w14:paraId="1F245AFC" w14:textId="77777777" w:rsidR="00387142" w:rsidRPr="008B6A75" w:rsidRDefault="00387142" w:rsidP="00387142">
            <w:pPr>
              <w:jc w:val="right"/>
              <w:rPr>
                <w:sz w:val="20"/>
                <w:szCs w:val="20"/>
              </w:rPr>
            </w:pPr>
            <w:r w:rsidRPr="008B6A75">
              <w:rPr>
                <w:sz w:val="20"/>
                <w:szCs w:val="20"/>
              </w:rPr>
              <w:t>0,00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50C33563" w14:textId="77777777" w:rsidR="00387142" w:rsidRPr="008B6A75" w:rsidRDefault="00387142" w:rsidP="00387142">
            <w:pPr>
              <w:jc w:val="right"/>
              <w:rPr>
                <w:sz w:val="20"/>
                <w:szCs w:val="20"/>
              </w:rPr>
            </w:pPr>
            <w:r w:rsidRPr="008B6A75">
              <w:rPr>
                <w:sz w:val="20"/>
                <w:szCs w:val="20"/>
              </w:rPr>
              <w:t>0,00</w:t>
            </w:r>
          </w:p>
        </w:tc>
        <w:tc>
          <w:tcPr>
            <w:tcW w:w="222" w:type="dxa"/>
            <w:vAlign w:val="center"/>
            <w:hideMark/>
          </w:tcPr>
          <w:p w14:paraId="6BE3E783" w14:textId="77777777" w:rsidR="00387142" w:rsidRPr="008B6A75" w:rsidRDefault="00387142" w:rsidP="00387142">
            <w:pPr>
              <w:rPr>
                <w:sz w:val="20"/>
                <w:szCs w:val="20"/>
              </w:rPr>
            </w:pPr>
          </w:p>
        </w:tc>
      </w:tr>
      <w:tr w:rsidR="00387142" w:rsidRPr="008B6A75" w14:paraId="40203F3E" w14:textId="77777777" w:rsidTr="00387142">
        <w:trPr>
          <w:trHeight w:val="870"/>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1A2B6A54" w14:textId="77777777" w:rsidR="00387142" w:rsidRPr="008B6A75" w:rsidRDefault="00387142" w:rsidP="00387142">
            <w:pPr>
              <w:rPr>
                <w:sz w:val="20"/>
                <w:szCs w:val="20"/>
              </w:rPr>
            </w:pPr>
            <w:r w:rsidRPr="008B6A75">
              <w:rPr>
                <w:sz w:val="20"/>
                <w:szCs w:val="20"/>
              </w:rPr>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0E9AC63A" w14:textId="77777777" w:rsidR="00387142" w:rsidRPr="008B6A75" w:rsidRDefault="00387142" w:rsidP="00387142">
            <w:pPr>
              <w:jc w:val="center"/>
              <w:rPr>
                <w:sz w:val="20"/>
                <w:szCs w:val="20"/>
              </w:rPr>
            </w:pPr>
            <w:r w:rsidRPr="008B6A75">
              <w:rPr>
                <w:sz w:val="20"/>
                <w:szCs w:val="20"/>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62B34AE7" w14:textId="77777777" w:rsidR="00387142" w:rsidRPr="008B6A75" w:rsidRDefault="00387142" w:rsidP="00387142">
            <w:pPr>
              <w:jc w:val="center"/>
              <w:rPr>
                <w:sz w:val="20"/>
                <w:szCs w:val="20"/>
              </w:rPr>
            </w:pPr>
            <w:r w:rsidRPr="008B6A75">
              <w:rPr>
                <w:sz w:val="20"/>
                <w:szCs w:val="20"/>
              </w:rPr>
              <w:t>07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4D63BA" w14:textId="77777777" w:rsidR="00387142" w:rsidRPr="008B6A75" w:rsidRDefault="00387142" w:rsidP="00387142">
            <w:pPr>
              <w:jc w:val="center"/>
              <w:rPr>
                <w:sz w:val="20"/>
                <w:szCs w:val="20"/>
              </w:rPr>
            </w:pPr>
            <w:r w:rsidRPr="008B6A75">
              <w:rPr>
                <w:sz w:val="20"/>
                <w:szCs w:val="20"/>
              </w:rPr>
              <w:t>05</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1AF787F3" w14:textId="77777777" w:rsidR="00387142" w:rsidRPr="008B6A75" w:rsidRDefault="00387142" w:rsidP="00387142">
            <w:pPr>
              <w:jc w:val="center"/>
              <w:rPr>
                <w:sz w:val="20"/>
                <w:szCs w:val="20"/>
              </w:rPr>
            </w:pPr>
            <w:r w:rsidRPr="008B6A75">
              <w:rPr>
                <w:sz w:val="20"/>
                <w:szCs w:val="20"/>
              </w:rPr>
              <w:t>07.3.00.79500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2743A8" w14:textId="77777777" w:rsidR="00387142" w:rsidRPr="008B6A75" w:rsidRDefault="00387142" w:rsidP="00387142">
            <w:pPr>
              <w:jc w:val="center"/>
              <w:rPr>
                <w:sz w:val="20"/>
                <w:szCs w:val="20"/>
              </w:rPr>
            </w:pPr>
            <w:r w:rsidRPr="008B6A75">
              <w:rPr>
                <w:sz w:val="20"/>
                <w:szCs w:val="20"/>
              </w:rPr>
              <w:t>240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5B375B" w14:textId="77777777" w:rsidR="00387142" w:rsidRPr="008B6A75" w:rsidRDefault="00387142" w:rsidP="00387142">
            <w:pPr>
              <w:jc w:val="right"/>
              <w:rPr>
                <w:sz w:val="20"/>
                <w:szCs w:val="20"/>
              </w:rPr>
            </w:pPr>
            <w:r w:rsidRPr="008B6A75">
              <w:rPr>
                <w:sz w:val="20"/>
                <w:szCs w:val="20"/>
              </w:rPr>
              <w:t>322 681,70</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3C678828" w14:textId="77777777" w:rsidR="00387142" w:rsidRPr="008B6A75" w:rsidRDefault="00387142" w:rsidP="00387142">
            <w:pPr>
              <w:jc w:val="right"/>
              <w:rPr>
                <w:sz w:val="20"/>
                <w:szCs w:val="20"/>
              </w:rPr>
            </w:pPr>
            <w:r w:rsidRPr="008B6A75">
              <w:rPr>
                <w:sz w:val="20"/>
                <w:szCs w:val="20"/>
              </w:rPr>
              <w:t>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DF4829" w14:textId="77777777" w:rsidR="00387142" w:rsidRPr="008B6A75" w:rsidRDefault="00387142" w:rsidP="00387142">
            <w:pPr>
              <w:jc w:val="right"/>
              <w:rPr>
                <w:sz w:val="20"/>
                <w:szCs w:val="20"/>
              </w:rPr>
            </w:pPr>
            <w:r w:rsidRPr="008B6A75">
              <w:rPr>
                <w:sz w:val="20"/>
                <w:szCs w:val="20"/>
              </w:rPr>
              <w:t>0,00</w:t>
            </w:r>
          </w:p>
        </w:tc>
        <w:tc>
          <w:tcPr>
            <w:tcW w:w="222" w:type="dxa"/>
            <w:vAlign w:val="center"/>
            <w:hideMark/>
          </w:tcPr>
          <w:p w14:paraId="12E040BD" w14:textId="77777777" w:rsidR="00387142" w:rsidRPr="008B6A75" w:rsidRDefault="00387142" w:rsidP="00387142">
            <w:pPr>
              <w:rPr>
                <w:sz w:val="20"/>
                <w:szCs w:val="20"/>
              </w:rPr>
            </w:pPr>
          </w:p>
        </w:tc>
      </w:tr>
      <w:tr w:rsidR="00387142" w:rsidRPr="008B6A75" w14:paraId="024DFD98" w14:textId="77777777" w:rsidTr="00387142">
        <w:trPr>
          <w:trHeight w:val="585"/>
        </w:trPr>
        <w:tc>
          <w:tcPr>
            <w:tcW w:w="3021" w:type="dxa"/>
            <w:tcBorders>
              <w:top w:val="nil"/>
              <w:left w:val="single" w:sz="4" w:space="0" w:color="auto"/>
              <w:bottom w:val="nil"/>
              <w:right w:val="nil"/>
            </w:tcBorders>
            <w:shd w:val="clear" w:color="auto" w:fill="auto"/>
            <w:vAlign w:val="center"/>
            <w:hideMark/>
          </w:tcPr>
          <w:p w14:paraId="30270A49" w14:textId="77777777" w:rsidR="00387142" w:rsidRPr="008B6A75" w:rsidRDefault="00387142" w:rsidP="00387142">
            <w:pPr>
              <w:rPr>
                <w:sz w:val="20"/>
                <w:szCs w:val="20"/>
              </w:rPr>
            </w:pPr>
            <w:r w:rsidRPr="008B6A75">
              <w:rPr>
                <w:sz w:val="20"/>
                <w:szCs w:val="20"/>
              </w:rPr>
              <w:t>Социальное обеспечение и иные выплаты населению</w:t>
            </w:r>
          </w:p>
        </w:tc>
        <w:tc>
          <w:tcPr>
            <w:tcW w:w="850" w:type="dxa"/>
            <w:tcBorders>
              <w:top w:val="nil"/>
              <w:left w:val="single" w:sz="4" w:space="0" w:color="auto"/>
              <w:bottom w:val="nil"/>
              <w:right w:val="nil"/>
            </w:tcBorders>
            <w:shd w:val="clear" w:color="auto" w:fill="auto"/>
            <w:noWrap/>
            <w:vAlign w:val="center"/>
            <w:hideMark/>
          </w:tcPr>
          <w:p w14:paraId="64C26769" w14:textId="77777777" w:rsidR="00387142" w:rsidRPr="008B6A75" w:rsidRDefault="00387142" w:rsidP="00387142">
            <w:pPr>
              <w:jc w:val="center"/>
              <w:rPr>
                <w:sz w:val="20"/>
                <w:szCs w:val="20"/>
              </w:rPr>
            </w:pPr>
            <w:r w:rsidRPr="008B6A75">
              <w:rPr>
                <w:sz w:val="20"/>
                <w:szCs w:val="20"/>
              </w:rPr>
              <w:t>444</w:t>
            </w:r>
          </w:p>
        </w:tc>
        <w:tc>
          <w:tcPr>
            <w:tcW w:w="709" w:type="dxa"/>
            <w:tcBorders>
              <w:top w:val="nil"/>
              <w:left w:val="single" w:sz="4" w:space="0" w:color="auto"/>
              <w:bottom w:val="nil"/>
              <w:right w:val="nil"/>
            </w:tcBorders>
            <w:shd w:val="clear" w:color="auto" w:fill="auto"/>
            <w:noWrap/>
            <w:vAlign w:val="center"/>
            <w:hideMark/>
          </w:tcPr>
          <w:p w14:paraId="11061FA2" w14:textId="77777777" w:rsidR="00387142" w:rsidRPr="008B6A75" w:rsidRDefault="00387142" w:rsidP="00387142">
            <w:pPr>
              <w:jc w:val="center"/>
              <w:rPr>
                <w:sz w:val="20"/>
                <w:szCs w:val="20"/>
              </w:rPr>
            </w:pPr>
            <w:r w:rsidRPr="008B6A75">
              <w:rPr>
                <w:sz w:val="20"/>
                <w:szCs w:val="20"/>
              </w:rPr>
              <w:t>07</w:t>
            </w:r>
          </w:p>
        </w:tc>
        <w:tc>
          <w:tcPr>
            <w:tcW w:w="709" w:type="dxa"/>
            <w:tcBorders>
              <w:top w:val="nil"/>
              <w:left w:val="single" w:sz="4" w:space="0" w:color="auto"/>
              <w:bottom w:val="nil"/>
              <w:right w:val="single" w:sz="4" w:space="0" w:color="auto"/>
            </w:tcBorders>
            <w:shd w:val="clear" w:color="auto" w:fill="auto"/>
            <w:noWrap/>
            <w:vAlign w:val="center"/>
            <w:hideMark/>
          </w:tcPr>
          <w:p w14:paraId="32F84053" w14:textId="77777777" w:rsidR="00387142" w:rsidRPr="008B6A75" w:rsidRDefault="00387142" w:rsidP="00387142">
            <w:pPr>
              <w:jc w:val="center"/>
              <w:rPr>
                <w:sz w:val="20"/>
                <w:szCs w:val="20"/>
              </w:rPr>
            </w:pPr>
            <w:r w:rsidRPr="008B6A75">
              <w:rPr>
                <w:sz w:val="20"/>
                <w:szCs w:val="20"/>
              </w:rPr>
              <w:t>05</w:t>
            </w:r>
          </w:p>
        </w:tc>
        <w:tc>
          <w:tcPr>
            <w:tcW w:w="1411" w:type="dxa"/>
            <w:tcBorders>
              <w:top w:val="nil"/>
              <w:left w:val="single" w:sz="4" w:space="0" w:color="auto"/>
              <w:bottom w:val="nil"/>
              <w:right w:val="nil"/>
            </w:tcBorders>
            <w:shd w:val="clear" w:color="auto" w:fill="auto"/>
            <w:noWrap/>
            <w:vAlign w:val="center"/>
            <w:hideMark/>
          </w:tcPr>
          <w:p w14:paraId="78C88C03" w14:textId="77777777" w:rsidR="00387142" w:rsidRPr="008B6A75" w:rsidRDefault="00387142" w:rsidP="00387142">
            <w:pPr>
              <w:jc w:val="center"/>
              <w:rPr>
                <w:sz w:val="20"/>
                <w:szCs w:val="20"/>
              </w:rPr>
            </w:pPr>
            <w:r w:rsidRPr="008B6A75">
              <w:rPr>
                <w:sz w:val="20"/>
                <w:szCs w:val="20"/>
              </w:rPr>
              <w:t>07.3.00.79500</w:t>
            </w:r>
          </w:p>
        </w:tc>
        <w:tc>
          <w:tcPr>
            <w:tcW w:w="955" w:type="dxa"/>
            <w:tcBorders>
              <w:top w:val="nil"/>
              <w:left w:val="single" w:sz="4" w:space="0" w:color="auto"/>
              <w:bottom w:val="nil"/>
              <w:right w:val="single" w:sz="4" w:space="0" w:color="auto"/>
            </w:tcBorders>
            <w:shd w:val="clear" w:color="auto" w:fill="auto"/>
            <w:noWrap/>
            <w:vAlign w:val="center"/>
            <w:hideMark/>
          </w:tcPr>
          <w:p w14:paraId="40B04374" w14:textId="77777777" w:rsidR="00387142" w:rsidRPr="008B6A75" w:rsidRDefault="00387142" w:rsidP="00387142">
            <w:pPr>
              <w:jc w:val="center"/>
              <w:rPr>
                <w:sz w:val="20"/>
                <w:szCs w:val="20"/>
              </w:rPr>
            </w:pPr>
            <w:r w:rsidRPr="008B6A75">
              <w:rPr>
                <w:sz w:val="20"/>
                <w:szCs w:val="20"/>
              </w:rPr>
              <w:t>300</w:t>
            </w:r>
          </w:p>
        </w:tc>
        <w:tc>
          <w:tcPr>
            <w:tcW w:w="992" w:type="dxa"/>
            <w:tcBorders>
              <w:top w:val="nil"/>
              <w:left w:val="single" w:sz="4" w:space="0" w:color="auto"/>
              <w:bottom w:val="nil"/>
              <w:right w:val="single" w:sz="4" w:space="0" w:color="auto"/>
            </w:tcBorders>
            <w:shd w:val="clear" w:color="auto" w:fill="auto"/>
            <w:noWrap/>
            <w:vAlign w:val="center"/>
            <w:hideMark/>
          </w:tcPr>
          <w:p w14:paraId="4518966D" w14:textId="77777777" w:rsidR="00387142" w:rsidRPr="008B6A75" w:rsidRDefault="00387142" w:rsidP="00387142">
            <w:pPr>
              <w:jc w:val="right"/>
              <w:rPr>
                <w:sz w:val="20"/>
                <w:szCs w:val="20"/>
              </w:rPr>
            </w:pPr>
            <w:r w:rsidRPr="008B6A75">
              <w:rPr>
                <w:sz w:val="20"/>
                <w:szCs w:val="20"/>
              </w:rPr>
              <w:t>50 000,00</w:t>
            </w:r>
          </w:p>
        </w:tc>
        <w:tc>
          <w:tcPr>
            <w:tcW w:w="992" w:type="dxa"/>
            <w:gridSpan w:val="2"/>
            <w:tcBorders>
              <w:top w:val="nil"/>
              <w:left w:val="single" w:sz="4" w:space="0" w:color="auto"/>
              <w:bottom w:val="nil"/>
              <w:right w:val="nil"/>
            </w:tcBorders>
            <w:shd w:val="clear" w:color="auto" w:fill="auto"/>
            <w:noWrap/>
            <w:vAlign w:val="center"/>
            <w:hideMark/>
          </w:tcPr>
          <w:p w14:paraId="5B4FB2E8" w14:textId="77777777" w:rsidR="00387142" w:rsidRPr="008B6A75" w:rsidRDefault="00387142" w:rsidP="00387142">
            <w:pPr>
              <w:jc w:val="right"/>
              <w:rPr>
                <w:sz w:val="20"/>
                <w:szCs w:val="20"/>
              </w:rPr>
            </w:pPr>
            <w:r w:rsidRPr="008B6A75">
              <w:rPr>
                <w:sz w:val="20"/>
                <w:szCs w:val="20"/>
              </w:rPr>
              <w:t>0,00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1B8F49EC" w14:textId="77777777" w:rsidR="00387142" w:rsidRPr="008B6A75" w:rsidRDefault="00387142" w:rsidP="00387142">
            <w:pPr>
              <w:jc w:val="right"/>
              <w:rPr>
                <w:sz w:val="20"/>
                <w:szCs w:val="20"/>
              </w:rPr>
            </w:pPr>
            <w:r w:rsidRPr="008B6A75">
              <w:rPr>
                <w:sz w:val="20"/>
                <w:szCs w:val="20"/>
              </w:rPr>
              <w:t>0,00</w:t>
            </w:r>
          </w:p>
        </w:tc>
        <w:tc>
          <w:tcPr>
            <w:tcW w:w="222" w:type="dxa"/>
            <w:vAlign w:val="center"/>
            <w:hideMark/>
          </w:tcPr>
          <w:p w14:paraId="63139BD4" w14:textId="77777777" w:rsidR="00387142" w:rsidRPr="008B6A75" w:rsidRDefault="00387142" w:rsidP="00387142">
            <w:pPr>
              <w:rPr>
                <w:sz w:val="20"/>
                <w:szCs w:val="20"/>
              </w:rPr>
            </w:pPr>
          </w:p>
        </w:tc>
      </w:tr>
      <w:tr w:rsidR="00387142" w:rsidRPr="008B6A75" w14:paraId="73DC5B3B" w14:textId="77777777" w:rsidTr="00387142">
        <w:trPr>
          <w:trHeight w:val="300"/>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05066113" w14:textId="77777777" w:rsidR="00387142" w:rsidRPr="008B6A75" w:rsidRDefault="00387142" w:rsidP="00387142">
            <w:pPr>
              <w:rPr>
                <w:sz w:val="20"/>
                <w:szCs w:val="20"/>
              </w:rPr>
            </w:pPr>
            <w:r w:rsidRPr="008B6A75">
              <w:rPr>
                <w:sz w:val="20"/>
                <w:szCs w:val="20"/>
              </w:rPr>
              <w:t>Премии и гранты</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60C6D9DD" w14:textId="77777777" w:rsidR="00387142" w:rsidRPr="008B6A75" w:rsidRDefault="00387142" w:rsidP="00387142">
            <w:pPr>
              <w:jc w:val="center"/>
              <w:rPr>
                <w:sz w:val="20"/>
                <w:szCs w:val="20"/>
              </w:rPr>
            </w:pPr>
            <w:r w:rsidRPr="008B6A75">
              <w:rPr>
                <w:sz w:val="20"/>
                <w:szCs w:val="20"/>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47A0DA74" w14:textId="77777777" w:rsidR="00387142" w:rsidRPr="008B6A75" w:rsidRDefault="00387142" w:rsidP="00387142">
            <w:pPr>
              <w:jc w:val="center"/>
              <w:rPr>
                <w:sz w:val="20"/>
                <w:szCs w:val="20"/>
              </w:rPr>
            </w:pPr>
            <w:r w:rsidRPr="008B6A75">
              <w:rPr>
                <w:sz w:val="20"/>
                <w:szCs w:val="20"/>
              </w:rPr>
              <w:t>07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E96345" w14:textId="77777777" w:rsidR="00387142" w:rsidRPr="008B6A75" w:rsidRDefault="00387142" w:rsidP="00387142">
            <w:pPr>
              <w:jc w:val="center"/>
              <w:rPr>
                <w:sz w:val="20"/>
                <w:szCs w:val="20"/>
              </w:rPr>
            </w:pPr>
            <w:r w:rsidRPr="008B6A75">
              <w:rPr>
                <w:sz w:val="20"/>
                <w:szCs w:val="20"/>
              </w:rPr>
              <w:t>05</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1491FA5A" w14:textId="77777777" w:rsidR="00387142" w:rsidRPr="008B6A75" w:rsidRDefault="00387142" w:rsidP="00387142">
            <w:pPr>
              <w:jc w:val="center"/>
              <w:rPr>
                <w:sz w:val="20"/>
                <w:szCs w:val="20"/>
              </w:rPr>
            </w:pPr>
            <w:r w:rsidRPr="008B6A75">
              <w:rPr>
                <w:sz w:val="20"/>
                <w:szCs w:val="20"/>
              </w:rPr>
              <w:t>07.3.00.79500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3E0F96" w14:textId="77777777" w:rsidR="00387142" w:rsidRPr="008B6A75" w:rsidRDefault="00387142" w:rsidP="00387142">
            <w:pPr>
              <w:jc w:val="center"/>
              <w:rPr>
                <w:sz w:val="20"/>
                <w:szCs w:val="20"/>
              </w:rPr>
            </w:pPr>
            <w:r w:rsidRPr="008B6A75">
              <w:rPr>
                <w:sz w:val="20"/>
                <w:szCs w:val="20"/>
              </w:rPr>
              <w:t>350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E8B802" w14:textId="77777777" w:rsidR="00387142" w:rsidRPr="008B6A75" w:rsidRDefault="00387142" w:rsidP="00387142">
            <w:pPr>
              <w:jc w:val="right"/>
              <w:rPr>
                <w:sz w:val="20"/>
                <w:szCs w:val="20"/>
              </w:rPr>
            </w:pPr>
            <w:r w:rsidRPr="008B6A75">
              <w:rPr>
                <w:sz w:val="20"/>
                <w:szCs w:val="20"/>
              </w:rPr>
              <w:t>50 000,00</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5CE80409" w14:textId="77777777" w:rsidR="00387142" w:rsidRPr="008B6A75" w:rsidRDefault="00387142" w:rsidP="00387142">
            <w:pPr>
              <w:jc w:val="right"/>
              <w:rPr>
                <w:sz w:val="20"/>
                <w:szCs w:val="20"/>
              </w:rPr>
            </w:pPr>
            <w:r w:rsidRPr="008B6A75">
              <w:rPr>
                <w:sz w:val="20"/>
                <w:szCs w:val="20"/>
              </w:rPr>
              <w:t>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EFA8E8" w14:textId="77777777" w:rsidR="00387142" w:rsidRPr="008B6A75" w:rsidRDefault="00387142" w:rsidP="00387142">
            <w:pPr>
              <w:jc w:val="right"/>
              <w:rPr>
                <w:sz w:val="20"/>
                <w:szCs w:val="20"/>
              </w:rPr>
            </w:pPr>
            <w:r w:rsidRPr="008B6A75">
              <w:rPr>
                <w:sz w:val="20"/>
                <w:szCs w:val="20"/>
              </w:rPr>
              <w:t>0,00</w:t>
            </w:r>
          </w:p>
        </w:tc>
        <w:tc>
          <w:tcPr>
            <w:tcW w:w="222" w:type="dxa"/>
            <w:vAlign w:val="center"/>
            <w:hideMark/>
          </w:tcPr>
          <w:p w14:paraId="442FABBD" w14:textId="77777777" w:rsidR="00387142" w:rsidRPr="008B6A75" w:rsidRDefault="00387142" w:rsidP="00387142">
            <w:pPr>
              <w:rPr>
                <w:sz w:val="20"/>
                <w:szCs w:val="20"/>
              </w:rPr>
            </w:pPr>
          </w:p>
        </w:tc>
      </w:tr>
      <w:tr w:rsidR="00387142" w:rsidRPr="008B6A75" w14:paraId="7FF57179" w14:textId="77777777" w:rsidTr="00387142">
        <w:trPr>
          <w:trHeight w:val="300"/>
        </w:trPr>
        <w:tc>
          <w:tcPr>
            <w:tcW w:w="3021" w:type="dxa"/>
            <w:tcBorders>
              <w:top w:val="nil"/>
              <w:left w:val="single" w:sz="4" w:space="0" w:color="auto"/>
              <w:bottom w:val="nil"/>
              <w:right w:val="nil"/>
            </w:tcBorders>
            <w:shd w:val="clear" w:color="auto" w:fill="auto"/>
            <w:vAlign w:val="center"/>
            <w:hideMark/>
          </w:tcPr>
          <w:p w14:paraId="67A4E403" w14:textId="77777777" w:rsidR="00387142" w:rsidRPr="008B6A75" w:rsidRDefault="00387142" w:rsidP="00387142">
            <w:pPr>
              <w:rPr>
                <w:bCs/>
                <w:sz w:val="20"/>
                <w:szCs w:val="20"/>
              </w:rPr>
            </w:pPr>
            <w:r w:rsidRPr="008B6A75">
              <w:rPr>
                <w:bCs/>
                <w:sz w:val="20"/>
                <w:szCs w:val="20"/>
              </w:rPr>
              <w:t>Молодежная политика</w:t>
            </w:r>
          </w:p>
        </w:tc>
        <w:tc>
          <w:tcPr>
            <w:tcW w:w="850" w:type="dxa"/>
            <w:tcBorders>
              <w:top w:val="nil"/>
              <w:left w:val="single" w:sz="4" w:space="0" w:color="auto"/>
              <w:bottom w:val="nil"/>
              <w:right w:val="nil"/>
            </w:tcBorders>
            <w:shd w:val="clear" w:color="auto" w:fill="auto"/>
            <w:noWrap/>
            <w:vAlign w:val="center"/>
            <w:hideMark/>
          </w:tcPr>
          <w:p w14:paraId="3BCC316A" w14:textId="77777777" w:rsidR="00387142" w:rsidRPr="008B6A75" w:rsidRDefault="00387142" w:rsidP="00387142">
            <w:pPr>
              <w:jc w:val="center"/>
              <w:rPr>
                <w:bCs/>
                <w:sz w:val="20"/>
                <w:szCs w:val="20"/>
              </w:rPr>
            </w:pPr>
            <w:r w:rsidRPr="008B6A75">
              <w:rPr>
                <w:bCs/>
                <w:sz w:val="20"/>
                <w:szCs w:val="20"/>
              </w:rPr>
              <w:t>444</w:t>
            </w:r>
          </w:p>
        </w:tc>
        <w:tc>
          <w:tcPr>
            <w:tcW w:w="709" w:type="dxa"/>
            <w:tcBorders>
              <w:top w:val="nil"/>
              <w:left w:val="single" w:sz="4" w:space="0" w:color="auto"/>
              <w:bottom w:val="nil"/>
              <w:right w:val="nil"/>
            </w:tcBorders>
            <w:shd w:val="clear" w:color="auto" w:fill="auto"/>
            <w:noWrap/>
            <w:vAlign w:val="center"/>
            <w:hideMark/>
          </w:tcPr>
          <w:p w14:paraId="23907FAF" w14:textId="77777777" w:rsidR="00387142" w:rsidRPr="008B6A75" w:rsidRDefault="00387142" w:rsidP="00387142">
            <w:pPr>
              <w:jc w:val="center"/>
              <w:rPr>
                <w:bCs/>
                <w:sz w:val="20"/>
                <w:szCs w:val="20"/>
              </w:rPr>
            </w:pPr>
            <w:r w:rsidRPr="008B6A75">
              <w:rPr>
                <w:bCs/>
                <w:sz w:val="20"/>
                <w:szCs w:val="20"/>
              </w:rPr>
              <w:t>07</w:t>
            </w:r>
          </w:p>
        </w:tc>
        <w:tc>
          <w:tcPr>
            <w:tcW w:w="709" w:type="dxa"/>
            <w:tcBorders>
              <w:top w:val="nil"/>
              <w:left w:val="single" w:sz="4" w:space="0" w:color="auto"/>
              <w:bottom w:val="nil"/>
              <w:right w:val="single" w:sz="4" w:space="0" w:color="auto"/>
            </w:tcBorders>
            <w:shd w:val="clear" w:color="auto" w:fill="auto"/>
            <w:noWrap/>
            <w:vAlign w:val="center"/>
            <w:hideMark/>
          </w:tcPr>
          <w:p w14:paraId="797F1DAF" w14:textId="77777777" w:rsidR="00387142" w:rsidRPr="008B6A75" w:rsidRDefault="00387142" w:rsidP="00387142">
            <w:pPr>
              <w:jc w:val="center"/>
              <w:rPr>
                <w:bCs/>
                <w:sz w:val="20"/>
                <w:szCs w:val="20"/>
              </w:rPr>
            </w:pPr>
            <w:r w:rsidRPr="008B6A75">
              <w:rPr>
                <w:bCs/>
                <w:sz w:val="20"/>
                <w:szCs w:val="20"/>
              </w:rPr>
              <w:t>07</w:t>
            </w:r>
          </w:p>
        </w:tc>
        <w:tc>
          <w:tcPr>
            <w:tcW w:w="1411" w:type="dxa"/>
            <w:tcBorders>
              <w:top w:val="nil"/>
              <w:left w:val="single" w:sz="4" w:space="0" w:color="auto"/>
              <w:bottom w:val="nil"/>
              <w:right w:val="nil"/>
            </w:tcBorders>
            <w:shd w:val="clear" w:color="auto" w:fill="auto"/>
            <w:noWrap/>
            <w:vAlign w:val="center"/>
            <w:hideMark/>
          </w:tcPr>
          <w:p w14:paraId="1CA2BCDC" w14:textId="77777777" w:rsidR="00387142" w:rsidRPr="008B6A75" w:rsidRDefault="00387142" w:rsidP="00387142">
            <w:pPr>
              <w:jc w:val="center"/>
              <w:rPr>
                <w:bCs/>
                <w:sz w:val="20"/>
                <w:szCs w:val="20"/>
              </w:rPr>
            </w:pPr>
            <w:r w:rsidRPr="008B6A75">
              <w:rPr>
                <w:bCs/>
                <w:sz w:val="20"/>
                <w:szCs w:val="20"/>
              </w:rPr>
              <w:t> </w:t>
            </w:r>
          </w:p>
        </w:tc>
        <w:tc>
          <w:tcPr>
            <w:tcW w:w="955" w:type="dxa"/>
            <w:tcBorders>
              <w:top w:val="nil"/>
              <w:left w:val="single" w:sz="4" w:space="0" w:color="auto"/>
              <w:bottom w:val="nil"/>
              <w:right w:val="single" w:sz="4" w:space="0" w:color="auto"/>
            </w:tcBorders>
            <w:shd w:val="clear" w:color="auto" w:fill="auto"/>
            <w:noWrap/>
            <w:vAlign w:val="center"/>
            <w:hideMark/>
          </w:tcPr>
          <w:p w14:paraId="2A34082F"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nil"/>
              <w:right w:val="single" w:sz="4" w:space="0" w:color="auto"/>
            </w:tcBorders>
            <w:shd w:val="clear" w:color="auto" w:fill="auto"/>
            <w:noWrap/>
            <w:vAlign w:val="center"/>
            <w:hideMark/>
          </w:tcPr>
          <w:p w14:paraId="292AB8C2" w14:textId="77777777" w:rsidR="00387142" w:rsidRPr="008B6A75" w:rsidRDefault="00387142" w:rsidP="00387142">
            <w:pPr>
              <w:jc w:val="right"/>
              <w:rPr>
                <w:bCs/>
                <w:sz w:val="20"/>
                <w:szCs w:val="20"/>
              </w:rPr>
            </w:pPr>
            <w:r w:rsidRPr="008B6A75">
              <w:rPr>
                <w:bCs/>
                <w:sz w:val="20"/>
                <w:szCs w:val="20"/>
              </w:rPr>
              <w:t>40 510 543,79</w:t>
            </w:r>
          </w:p>
        </w:tc>
        <w:tc>
          <w:tcPr>
            <w:tcW w:w="992" w:type="dxa"/>
            <w:gridSpan w:val="2"/>
            <w:tcBorders>
              <w:top w:val="nil"/>
              <w:left w:val="single" w:sz="4" w:space="0" w:color="auto"/>
              <w:bottom w:val="nil"/>
              <w:right w:val="nil"/>
            </w:tcBorders>
            <w:shd w:val="clear" w:color="auto" w:fill="auto"/>
            <w:noWrap/>
            <w:vAlign w:val="center"/>
            <w:hideMark/>
          </w:tcPr>
          <w:p w14:paraId="66FEC177" w14:textId="77777777" w:rsidR="00387142" w:rsidRPr="008B6A75" w:rsidRDefault="00387142" w:rsidP="00387142">
            <w:pPr>
              <w:jc w:val="right"/>
              <w:rPr>
                <w:bCs/>
                <w:sz w:val="20"/>
                <w:szCs w:val="20"/>
              </w:rPr>
            </w:pPr>
            <w:r w:rsidRPr="008B6A75">
              <w:rPr>
                <w:bCs/>
                <w:sz w:val="20"/>
                <w:szCs w:val="20"/>
              </w:rPr>
              <w:t>19 849 809,00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5650EE03" w14:textId="77777777" w:rsidR="00387142" w:rsidRPr="008B6A75" w:rsidRDefault="00387142" w:rsidP="00387142">
            <w:pPr>
              <w:jc w:val="right"/>
              <w:rPr>
                <w:bCs/>
                <w:sz w:val="20"/>
                <w:szCs w:val="20"/>
              </w:rPr>
            </w:pPr>
            <w:r w:rsidRPr="008B6A75">
              <w:rPr>
                <w:bCs/>
                <w:sz w:val="20"/>
                <w:szCs w:val="20"/>
              </w:rPr>
              <w:t>19 723 200,00</w:t>
            </w:r>
          </w:p>
        </w:tc>
        <w:tc>
          <w:tcPr>
            <w:tcW w:w="222" w:type="dxa"/>
            <w:vAlign w:val="center"/>
            <w:hideMark/>
          </w:tcPr>
          <w:p w14:paraId="79C7C5A0" w14:textId="77777777" w:rsidR="00387142" w:rsidRPr="008B6A75" w:rsidRDefault="00387142" w:rsidP="00387142">
            <w:pPr>
              <w:rPr>
                <w:sz w:val="20"/>
                <w:szCs w:val="20"/>
              </w:rPr>
            </w:pPr>
          </w:p>
        </w:tc>
      </w:tr>
      <w:tr w:rsidR="00387142" w:rsidRPr="008B6A75" w14:paraId="02AB9A87" w14:textId="77777777" w:rsidTr="00387142">
        <w:trPr>
          <w:trHeight w:val="585"/>
        </w:trPr>
        <w:tc>
          <w:tcPr>
            <w:tcW w:w="3021" w:type="dxa"/>
            <w:tcBorders>
              <w:top w:val="single" w:sz="4" w:space="0" w:color="auto"/>
              <w:left w:val="single" w:sz="4" w:space="0" w:color="auto"/>
              <w:bottom w:val="nil"/>
              <w:right w:val="nil"/>
            </w:tcBorders>
            <w:shd w:val="clear" w:color="auto" w:fill="auto"/>
            <w:vAlign w:val="center"/>
            <w:hideMark/>
          </w:tcPr>
          <w:p w14:paraId="060F33F5" w14:textId="77777777" w:rsidR="00387142" w:rsidRPr="008B6A75" w:rsidRDefault="00387142" w:rsidP="00387142">
            <w:pPr>
              <w:rPr>
                <w:bCs/>
                <w:sz w:val="20"/>
                <w:szCs w:val="20"/>
              </w:rPr>
            </w:pPr>
            <w:r w:rsidRPr="008B6A75">
              <w:rPr>
                <w:bCs/>
                <w:sz w:val="20"/>
                <w:szCs w:val="20"/>
              </w:rPr>
              <w:t>Муниципальная программа "Содействие занятости населения Куйбышевского района"</w:t>
            </w:r>
          </w:p>
        </w:tc>
        <w:tc>
          <w:tcPr>
            <w:tcW w:w="850" w:type="dxa"/>
            <w:tcBorders>
              <w:top w:val="single" w:sz="4" w:space="0" w:color="auto"/>
              <w:left w:val="single" w:sz="4" w:space="0" w:color="auto"/>
              <w:bottom w:val="nil"/>
              <w:right w:val="nil"/>
            </w:tcBorders>
            <w:shd w:val="clear" w:color="auto" w:fill="auto"/>
            <w:noWrap/>
            <w:vAlign w:val="center"/>
            <w:hideMark/>
          </w:tcPr>
          <w:p w14:paraId="1049015E" w14:textId="77777777" w:rsidR="00387142" w:rsidRPr="008B6A75" w:rsidRDefault="00387142" w:rsidP="00387142">
            <w:pPr>
              <w:jc w:val="center"/>
              <w:rPr>
                <w:bCs/>
                <w:sz w:val="20"/>
                <w:szCs w:val="20"/>
              </w:rPr>
            </w:pPr>
            <w:r w:rsidRPr="008B6A75">
              <w:rPr>
                <w:bCs/>
                <w:sz w:val="20"/>
                <w:szCs w:val="20"/>
              </w:rPr>
              <w:t>444</w:t>
            </w:r>
          </w:p>
        </w:tc>
        <w:tc>
          <w:tcPr>
            <w:tcW w:w="709" w:type="dxa"/>
            <w:tcBorders>
              <w:top w:val="single" w:sz="4" w:space="0" w:color="auto"/>
              <w:left w:val="single" w:sz="4" w:space="0" w:color="auto"/>
              <w:bottom w:val="nil"/>
              <w:right w:val="nil"/>
            </w:tcBorders>
            <w:shd w:val="clear" w:color="auto" w:fill="auto"/>
            <w:noWrap/>
            <w:vAlign w:val="center"/>
            <w:hideMark/>
          </w:tcPr>
          <w:p w14:paraId="5BC631F0" w14:textId="77777777" w:rsidR="00387142" w:rsidRPr="008B6A75" w:rsidRDefault="00387142" w:rsidP="00387142">
            <w:pPr>
              <w:jc w:val="center"/>
              <w:rPr>
                <w:bCs/>
                <w:sz w:val="20"/>
                <w:szCs w:val="20"/>
              </w:rPr>
            </w:pPr>
            <w:r w:rsidRPr="008B6A75">
              <w:rPr>
                <w:bCs/>
                <w:sz w:val="20"/>
                <w:szCs w:val="20"/>
              </w:rPr>
              <w:t>07</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5D76A644" w14:textId="77777777" w:rsidR="00387142" w:rsidRPr="008B6A75" w:rsidRDefault="00387142" w:rsidP="00387142">
            <w:pPr>
              <w:jc w:val="center"/>
              <w:rPr>
                <w:bCs/>
                <w:sz w:val="20"/>
                <w:szCs w:val="20"/>
              </w:rPr>
            </w:pPr>
            <w:r w:rsidRPr="008B6A75">
              <w:rPr>
                <w:bCs/>
                <w:sz w:val="20"/>
                <w:szCs w:val="20"/>
              </w:rPr>
              <w:t>07</w:t>
            </w:r>
          </w:p>
        </w:tc>
        <w:tc>
          <w:tcPr>
            <w:tcW w:w="1411" w:type="dxa"/>
            <w:tcBorders>
              <w:top w:val="single" w:sz="4" w:space="0" w:color="auto"/>
              <w:left w:val="single" w:sz="4" w:space="0" w:color="auto"/>
              <w:bottom w:val="nil"/>
              <w:right w:val="nil"/>
            </w:tcBorders>
            <w:shd w:val="clear" w:color="auto" w:fill="auto"/>
            <w:noWrap/>
            <w:vAlign w:val="center"/>
            <w:hideMark/>
          </w:tcPr>
          <w:p w14:paraId="2BD575FE" w14:textId="77777777" w:rsidR="00387142" w:rsidRPr="008B6A75" w:rsidRDefault="00387142" w:rsidP="00387142">
            <w:pPr>
              <w:jc w:val="center"/>
              <w:rPr>
                <w:bCs/>
                <w:sz w:val="20"/>
                <w:szCs w:val="20"/>
              </w:rPr>
            </w:pPr>
            <w:r w:rsidRPr="008B6A75">
              <w:rPr>
                <w:bCs/>
                <w:sz w:val="20"/>
                <w:szCs w:val="20"/>
              </w:rPr>
              <w:t>01.0.00.00000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371C4B58" w14:textId="77777777" w:rsidR="00387142" w:rsidRPr="008B6A75" w:rsidRDefault="00387142" w:rsidP="00387142">
            <w:pPr>
              <w:jc w:val="center"/>
              <w:rPr>
                <w:bCs/>
                <w:sz w:val="20"/>
                <w:szCs w:val="20"/>
              </w:rPr>
            </w:pPr>
            <w:r w:rsidRPr="008B6A75">
              <w:rPr>
                <w:bCs/>
                <w:sz w:val="20"/>
                <w:szCs w:val="20"/>
              </w:rPr>
              <w:t> </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5383400A" w14:textId="77777777" w:rsidR="00387142" w:rsidRPr="008B6A75" w:rsidRDefault="00387142" w:rsidP="00387142">
            <w:pPr>
              <w:jc w:val="right"/>
              <w:rPr>
                <w:bCs/>
                <w:sz w:val="20"/>
                <w:szCs w:val="20"/>
              </w:rPr>
            </w:pPr>
            <w:r w:rsidRPr="008B6A75">
              <w:rPr>
                <w:bCs/>
                <w:sz w:val="20"/>
                <w:szCs w:val="20"/>
              </w:rPr>
              <w:t>4 645 456,01</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6D3CAE00" w14:textId="77777777" w:rsidR="00387142" w:rsidRPr="008B6A75" w:rsidRDefault="00387142" w:rsidP="00387142">
            <w:pPr>
              <w:jc w:val="right"/>
              <w:rPr>
                <w:bCs/>
                <w:sz w:val="20"/>
                <w:szCs w:val="20"/>
              </w:rPr>
            </w:pPr>
            <w:r w:rsidRPr="008B6A75">
              <w:rPr>
                <w:bCs/>
                <w:sz w:val="20"/>
                <w:szCs w:val="20"/>
              </w:rPr>
              <w:t>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4BEC2531" w14:textId="77777777" w:rsidR="00387142" w:rsidRPr="008B6A75" w:rsidRDefault="00387142" w:rsidP="00387142">
            <w:pPr>
              <w:jc w:val="right"/>
              <w:rPr>
                <w:bCs/>
                <w:sz w:val="20"/>
                <w:szCs w:val="20"/>
              </w:rPr>
            </w:pPr>
            <w:r w:rsidRPr="008B6A75">
              <w:rPr>
                <w:bCs/>
                <w:sz w:val="20"/>
                <w:szCs w:val="20"/>
              </w:rPr>
              <w:t>0,00</w:t>
            </w:r>
          </w:p>
        </w:tc>
        <w:tc>
          <w:tcPr>
            <w:tcW w:w="222" w:type="dxa"/>
            <w:vAlign w:val="center"/>
            <w:hideMark/>
          </w:tcPr>
          <w:p w14:paraId="3D5BB7EC" w14:textId="77777777" w:rsidR="00387142" w:rsidRPr="008B6A75" w:rsidRDefault="00387142" w:rsidP="00387142">
            <w:pPr>
              <w:rPr>
                <w:sz w:val="20"/>
                <w:szCs w:val="20"/>
              </w:rPr>
            </w:pPr>
          </w:p>
        </w:tc>
      </w:tr>
      <w:tr w:rsidR="00387142" w:rsidRPr="008B6A75" w14:paraId="5BEAF6F6" w14:textId="77777777" w:rsidTr="00387142">
        <w:trPr>
          <w:trHeight w:val="870"/>
        </w:trPr>
        <w:tc>
          <w:tcPr>
            <w:tcW w:w="3021" w:type="dxa"/>
            <w:tcBorders>
              <w:top w:val="single" w:sz="4" w:space="0" w:color="auto"/>
              <w:left w:val="single" w:sz="4" w:space="0" w:color="auto"/>
              <w:bottom w:val="nil"/>
              <w:right w:val="nil"/>
            </w:tcBorders>
            <w:shd w:val="clear" w:color="auto" w:fill="auto"/>
            <w:vAlign w:val="center"/>
            <w:hideMark/>
          </w:tcPr>
          <w:p w14:paraId="0C53CC97" w14:textId="77777777" w:rsidR="00387142" w:rsidRPr="008B6A75" w:rsidRDefault="00387142" w:rsidP="00387142">
            <w:pPr>
              <w:rPr>
                <w:bCs/>
                <w:sz w:val="20"/>
                <w:szCs w:val="20"/>
              </w:rPr>
            </w:pPr>
            <w:r w:rsidRPr="008B6A75">
              <w:rPr>
                <w:bCs/>
                <w:sz w:val="20"/>
                <w:szCs w:val="20"/>
              </w:rPr>
              <w:t>Реализация мероприятий в рамках МП "Содействие занятости населения Куйбышевского района"</w:t>
            </w:r>
          </w:p>
        </w:tc>
        <w:tc>
          <w:tcPr>
            <w:tcW w:w="850" w:type="dxa"/>
            <w:tcBorders>
              <w:top w:val="single" w:sz="4" w:space="0" w:color="auto"/>
              <w:left w:val="single" w:sz="4" w:space="0" w:color="auto"/>
              <w:bottom w:val="nil"/>
              <w:right w:val="nil"/>
            </w:tcBorders>
            <w:shd w:val="clear" w:color="auto" w:fill="auto"/>
            <w:noWrap/>
            <w:vAlign w:val="center"/>
            <w:hideMark/>
          </w:tcPr>
          <w:p w14:paraId="05DC8265" w14:textId="77777777" w:rsidR="00387142" w:rsidRPr="008B6A75" w:rsidRDefault="00387142" w:rsidP="00387142">
            <w:pPr>
              <w:jc w:val="center"/>
              <w:rPr>
                <w:bCs/>
                <w:sz w:val="20"/>
                <w:szCs w:val="20"/>
              </w:rPr>
            </w:pPr>
            <w:r w:rsidRPr="008B6A75">
              <w:rPr>
                <w:bCs/>
                <w:sz w:val="20"/>
                <w:szCs w:val="20"/>
              </w:rPr>
              <w:t>444</w:t>
            </w:r>
          </w:p>
        </w:tc>
        <w:tc>
          <w:tcPr>
            <w:tcW w:w="709" w:type="dxa"/>
            <w:tcBorders>
              <w:top w:val="single" w:sz="4" w:space="0" w:color="auto"/>
              <w:left w:val="single" w:sz="4" w:space="0" w:color="auto"/>
              <w:bottom w:val="nil"/>
              <w:right w:val="nil"/>
            </w:tcBorders>
            <w:shd w:val="clear" w:color="auto" w:fill="auto"/>
            <w:noWrap/>
            <w:vAlign w:val="center"/>
            <w:hideMark/>
          </w:tcPr>
          <w:p w14:paraId="77831660" w14:textId="77777777" w:rsidR="00387142" w:rsidRPr="008B6A75" w:rsidRDefault="00387142" w:rsidP="00387142">
            <w:pPr>
              <w:jc w:val="center"/>
              <w:rPr>
                <w:bCs/>
                <w:sz w:val="20"/>
                <w:szCs w:val="20"/>
              </w:rPr>
            </w:pPr>
            <w:r w:rsidRPr="008B6A75">
              <w:rPr>
                <w:bCs/>
                <w:sz w:val="20"/>
                <w:szCs w:val="20"/>
              </w:rPr>
              <w:t>07</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7AFE4C92" w14:textId="77777777" w:rsidR="00387142" w:rsidRPr="008B6A75" w:rsidRDefault="00387142" w:rsidP="00387142">
            <w:pPr>
              <w:jc w:val="center"/>
              <w:rPr>
                <w:bCs/>
                <w:sz w:val="20"/>
                <w:szCs w:val="20"/>
              </w:rPr>
            </w:pPr>
            <w:r w:rsidRPr="008B6A75">
              <w:rPr>
                <w:bCs/>
                <w:sz w:val="20"/>
                <w:szCs w:val="20"/>
              </w:rPr>
              <w:t>07</w:t>
            </w:r>
          </w:p>
        </w:tc>
        <w:tc>
          <w:tcPr>
            <w:tcW w:w="1411" w:type="dxa"/>
            <w:tcBorders>
              <w:top w:val="single" w:sz="4" w:space="0" w:color="auto"/>
              <w:left w:val="single" w:sz="4" w:space="0" w:color="auto"/>
              <w:bottom w:val="nil"/>
              <w:right w:val="nil"/>
            </w:tcBorders>
            <w:shd w:val="clear" w:color="auto" w:fill="auto"/>
            <w:noWrap/>
            <w:vAlign w:val="center"/>
            <w:hideMark/>
          </w:tcPr>
          <w:p w14:paraId="08CC8556" w14:textId="77777777" w:rsidR="00387142" w:rsidRPr="008B6A75" w:rsidRDefault="00387142" w:rsidP="00387142">
            <w:pPr>
              <w:jc w:val="center"/>
              <w:rPr>
                <w:bCs/>
                <w:sz w:val="20"/>
                <w:szCs w:val="20"/>
              </w:rPr>
            </w:pPr>
            <w:r w:rsidRPr="008B6A75">
              <w:rPr>
                <w:bCs/>
                <w:sz w:val="20"/>
                <w:szCs w:val="20"/>
              </w:rPr>
              <w:t>01.0.00.79500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2923F74E" w14:textId="77777777" w:rsidR="00387142" w:rsidRPr="008B6A75" w:rsidRDefault="00387142" w:rsidP="00387142">
            <w:pPr>
              <w:jc w:val="center"/>
              <w:rPr>
                <w:bCs/>
                <w:sz w:val="20"/>
                <w:szCs w:val="20"/>
              </w:rPr>
            </w:pPr>
            <w:r w:rsidRPr="008B6A75">
              <w:rPr>
                <w:bCs/>
                <w:sz w:val="20"/>
                <w:szCs w:val="20"/>
              </w:rPr>
              <w:t> </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63D3349D" w14:textId="77777777" w:rsidR="00387142" w:rsidRPr="008B6A75" w:rsidRDefault="00387142" w:rsidP="00387142">
            <w:pPr>
              <w:jc w:val="right"/>
              <w:rPr>
                <w:bCs/>
                <w:sz w:val="20"/>
                <w:szCs w:val="20"/>
              </w:rPr>
            </w:pPr>
            <w:r w:rsidRPr="008B6A75">
              <w:rPr>
                <w:bCs/>
                <w:sz w:val="20"/>
                <w:szCs w:val="20"/>
              </w:rPr>
              <w:t>4 645 456,01</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38965D9A" w14:textId="77777777" w:rsidR="00387142" w:rsidRPr="008B6A75" w:rsidRDefault="00387142" w:rsidP="00387142">
            <w:pPr>
              <w:jc w:val="right"/>
              <w:rPr>
                <w:bCs/>
                <w:sz w:val="20"/>
                <w:szCs w:val="20"/>
              </w:rPr>
            </w:pPr>
            <w:r w:rsidRPr="008B6A75">
              <w:rPr>
                <w:bCs/>
                <w:sz w:val="20"/>
                <w:szCs w:val="20"/>
              </w:rPr>
              <w:t>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7B91AC5E" w14:textId="77777777" w:rsidR="00387142" w:rsidRPr="008B6A75" w:rsidRDefault="00387142" w:rsidP="00387142">
            <w:pPr>
              <w:jc w:val="right"/>
              <w:rPr>
                <w:bCs/>
                <w:sz w:val="20"/>
                <w:szCs w:val="20"/>
              </w:rPr>
            </w:pPr>
            <w:r w:rsidRPr="008B6A75">
              <w:rPr>
                <w:bCs/>
                <w:sz w:val="20"/>
                <w:szCs w:val="20"/>
              </w:rPr>
              <w:t>0,00</w:t>
            </w:r>
          </w:p>
        </w:tc>
        <w:tc>
          <w:tcPr>
            <w:tcW w:w="222" w:type="dxa"/>
            <w:vAlign w:val="center"/>
            <w:hideMark/>
          </w:tcPr>
          <w:p w14:paraId="1E8E80AC" w14:textId="77777777" w:rsidR="00387142" w:rsidRPr="008B6A75" w:rsidRDefault="00387142" w:rsidP="00387142">
            <w:pPr>
              <w:rPr>
                <w:sz w:val="20"/>
                <w:szCs w:val="20"/>
              </w:rPr>
            </w:pPr>
          </w:p>
        </w:tc>
      </w:tr>
      <w:tr w:rsidR="00387142" w:rsidRPr="008B6A75" w14:paraId="6898A71A" w14:textId="77777777" w:rsidTr="00387142">
        <w:trPr>
          <w:trHeight w:val="870"/>
        </w:trPr>
        <w:tc>
          <w:tcPr>
            <w:tcW w:w="3021" w:type="dxa"/>
            <w:tcBorders>
              <w:top w:val="single" w:sz="4" w:space="0" w:color="auto"/>
              <w:left w:val="single" w:sz="4" w:space="0" w:color="auto"/>
              <w:bottom w:val="nil"/>
              <w:right w:val="nil"/>
            </w:tcBorders>
            <w:shd w:val="clear" w:color="auto" w:fill="auto"/>
            <w:vAlign w:val="center"/>
            <w:hideMark/>
          </w:tcPr>
          <w:p w14:paraId="60112936" w14:textId="77777777" w:rsidR="00387142" w:rsidRPr="008B6A75" w:rsidRDefault="00387142" w:rsidP="00387142">
            <w:pPr>
              <w:rPr>
                <w:sz w:val="20"/>
                <w:szCs w:val="20"/>
              </w:rPr>
            </w:pPr>
            <w:r w:rsidRPr="008B6A75">
              <w:rPr>
                <w:sz w:val="20"/>
                <w:szCs w:val="20"/>
              </w:rPr>
              <w:t>Предоставление субсидий бюджетным, автономным учреждениям и иным некоммерческим организациям</w:t>
            </w:r>
          </w:p>
        </w:tc>
        <w:tc>
          <w:tcPr>
            <w:tcW w:w="850" w:type="dxa"/>
            <w:tcBorders>
              <w:top w:val="single" w:sz="4" w:space="0" w:color="auto"/>
              <w:left w:val="single" w:sz="4" w:space="0" w:color="auto"/>
              <w:bottom w:val="nil"/>
              <w:right w:val="nil"/>
            </w:tcBorders>
            <w:shd w:val="clear" w:color="auto" w:fill="auto"/>
            <w:noWrap/>
            <w:vAlign w:val="center"/>
            <w:hideMark/>
          </w:tcPr>
          <w:p w14:paraId="0D66E166" w14:textId="77777777" w:rsidR="00387142" w:rsidRPr="008B6A75" w:rsidRDefault="00387142" w:rsidP="00387142">
            <w:pPr>
              <w:jc w:val="center"/>
              <w:rPr>
                <w:sz w:val="20"/>
                <w:szCs w:val="20"/>
              </w:rPr>
            </w:pPr>
            <w:r w:rsidRPr="008B6A75">
              <w:rPr>
                <w:sz w:val="20"/>
                <w:szCs w:val="20"/>
              </w:rPr>
              <w:t>444</w:t>
            </w:r>
          </w:p>
        </w:tc>
        <w:tc>
          <w:tcPr>
            <w:tcW w:w="709" w:type="dxa"/>
            <w:tcBorders>
              <w:top w:val="single" w:sz="4" w:space="0" w:color="auto"/>
              <w:left w:val="single" w:sz="4" w:space="0" w:color="auto"/>
              <w:bottom w:val="nil"/>
              <w:right w:val="nil"/>
            </w:tcBorders>
            <w:shd w:val="clear" w:color="auto" w:fill="auto"/>
            <w:noWrap/>
            <w:vAlign w:val="center"/>
            <w:hideMark/>
          </w:tcPr>
          <w:p w14:paraId="3EE1C54B" w14:textId="77777777" w:rsidR="00387142" w:rsidRPr="008B6A75" w:rsidRDefault="00387142" w:rsidP="00387142">
            <w:pPr>
              <w:jc w:val="center"/>
              <w:rPr>
                <w:sz w:val="20"/>
                <w:szCs w:val="20"/>
              </w:rPr>
            </w:pPr>
            <w:r w:rsidRPr="008B6A75">
              <w:rPr>
                <w:sz w:val="20"/>
                <w:szCs w:val="20"/>
              </w:rPr>
              <w:t>07</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765AB3C5" w14:textId="77777777" w:rsidR="00387142" w:rsidRPr="008B6A75" w:rsidRDefault="00387142" w:rsidP="00387142">
            <w:pPr>
              <w:jc w:val="center"/>
              <w:rPr>
                <w:sz w:val="20"/>
                <w:szCs w:val="20"/>
              </w:rPr>
            </w:pPr>
            <w:r w:rsidRPr="008B6A75">
              <w:rPr>
                <w:sz w:val="20"/>
                <w:szCs w:val="20"/>
              </w:rPr>
              <w:t>07</w:t>
            </w:r>
          </w:p>
        </w:tc>
        <w:tc>
          <w:tcPr>
            <w:tcW w:w="1411" w:type="dxa"/>
            <w:tcBorders>
              <w:top w:val="single" w:sz="4" w:space="0" w:color="auto"/>
              <w:left w:val="single" w:sz="4" w:space="0" w:color="auto"/>
              <w:bottom w:val="nil"/>
              <w:right w:val="nil"/>
            </w:tcBorders>
            <w:shd w:val="clear" w:color="auto" w:fill="auto"/>
            <w:noWrap/>
            <w:vAlign w:val="center"/>
            <w:hideMark/>
          </w:tcPr>
          <w:p w14:paraId="10AF917E" w14:textId="77777777" w:rsidR="00387142" w:rsidRPr="008B6A75" w:rsidRDefault="00387142" w:rsidP="00387142">
            <w:pPr>
              <w:jc w:val="center"/>
              <w:rPr>
                <w:sz w:val="20"/>
                <w:szCs w:val="20"/>
              </w:rPr>
            </w:pPr>
            <w:r w:rsidRPr="008B6A75">
              <w:rPr>
                <w:sz w:val="20"/>
                <w:szCs w:val="20"/>
              </w:rPr>
              <w:t>01.0.00.79500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3A6D4B3E" w14:textId="77777777" w:rsidR="00387142" w:rsidRPr="008B6A75" w:rsidRDefault="00387142" w:rsidP="00387142">
            <w:pPr>
              <w:jc w:val="center"/>
              <w:rPr>
                <w:sz w:val="20"/>
                <w:szCs w:val="20"/>
              </w:rPr>
            </w:pPr>
            <w:r w:rsidRPr="008B6A75">
              <w:rPr>
                <w:sz w:val="20"/>
                <w:szCs w:val="20"/>
              </w:rPr>
              <w:t>600</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0DEC5368" w14:textId="77777777" w:rsidR="00387142" w:rsidRPr="008B6A75" w:rsidRDefault="00387142" w:rsidP="00387142">
            <w:pPr>
              <w:jc w:val="right"/>
              <w:rPr>
                <w:sz w:val="20"/>
                <w:szCs w:val="20"/>
              </w:rPr>
            </w:pPr>
            <w:r w:rsidRPr="008B6A75">
              <w:rPr>
                <w:sz w:val="20"/>
                <w:szCs w:val="20"/>
              </w:rPr>
              <w:t>4 645 456,01</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3E487401" w14:textId="77777777" w:rsidR="00387142" w:rsidRPr="008B6A75" w:rsidRDefault="00387142" w:rsidP="00387142">
            <w:pPr>
              <w:jc w:val="right"/>
              <w:rPr>
                <w:sz w:val="20"/>
                <w:szCs w:val="20"/>
              </w:rPr>
            </w:pPr>
            <w:r w:rsidRPr="008B6A75">
              <w:rPr>
                <w:sz w:val="20"/>
                <w:szCs w:val="20"/>
              </w:rPr>
              <w:t>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7C971F2E" w14:textId="77777777" w:rsidR="00387142" w:rsidRPr="008B6A75" w:rsidRDefault="00387142" w:rsidP="00387142">
            <w:pPr>
              <w:jc w:val="right"/>
              <w:rPr>
                <w:sz w:val="20"/>
                <w:szCs w:val="20"/>
              </w:rPr>
            </w:pPr>
            <w:r w:rsidRPr="008B6A75">
              <w:rPr>
                <w:sz w:val="20"/>
                <w:szCs w:val="20"/>
              </w:rPr>
              <w:t>0,00</w:t>
            </w:r>
          </w:p>
        </w:tc>
        <w:tc>
          <w:tcPr>
            <w:tcW w:w="222" w:type="dxa"/>
            <w:vAlign w:val="center"/>
            <w:hideMark/>
          </w:tcPr>
          <w:p w14:paraId="4C94193A" w14:textId="77777777" w:rsidR="00387142" w:rsidRPr="008B6A75" w:rsidRDefault="00387142" w:rsidP="00387142">
            <w:pPr>
              <w:rPr>
                <w:sz w:val="20"/>
                <w:szCs w:val="20"/>
              </w:rPr>
            </w:pPr>
          </w:p>
        </w:tc>
      </w:tr>
      <w:tr w:rsidR="00387142" w:rsidRPr="008B6A75" w14:paraId="2ECB7340" w14:textId="77777777" w:rsidTr="00387142">
        <w:trPr>
          <w:trHeight w:val="300"/>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434F72E7" w14:textId="77777777" w:rsidR="00387142" w:rsidRPr="008B6A75" w:rsidRDefault="00387142" w:rsidP="00387142">
            <w:pPr>
              <w:rPr>
                <w:sz w:val="20"/>
                <w:szCs w:val="20"/>
              </w:rPr>
            </w:pPr>
            <w:r w:rsidRPr="008B6A75">
              <w:rPr>
                <w:sz w:val="20"/>
                <w:szCs w:val="20"/>
              </w:rPr>
              <w:t>Субсидии бюджетным учреждениям</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59F7D551" w14:textId="77777777" w:rsidR="00387142" w:rsidRPr="008B6A75" w:rsidRDefault="00387142" w:rsidP="00387142">
            <w:pPr>
              <w:jc w:val="center"/>
              <w:rPr>
                <w:sz w:val="20"/>
                <w:szCs w:val="20"/>
              </w:rPr>
            </w:pPr>
            <w:r w:rsidRPr="008B6A75">
              <w:rPr>
                <w:sz w:val="20"/>
                <w:szCs w:val="20"/>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13BF769F" w14:textId="77777777" w:rsidR="00387142" w:rsidRPr="008B6A75" w:rsidRDefault="00387142" w:rsidP="00387142">
            <w:pPr>
              <w:jc w:val="center"/>
              <w:rPr>
                <w:sz w:val="20"/>
                <w:szCs w:val="20"/>
              </w:rPr>
            </w:pPr>
            <w:r w:rsidRPr="008B6A75">
              <w:rPr>
                <w:sz w:val="20"/>
                <w:szCs w:val="20"/>
              </w:rPr>
              <w:t>07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365E58" w14:textId="77777777" w:rsidR="00387142" w:rsidRPr="008B6A75" w:rsidRDefault="00387142" w:rsidP="00387142">
            <w:pPr>
              <w:jc w:val="center"/>
              <w:rPr>
                <w:sz w:val="20"/>
                <w:szCs w:val="20"/>
              </w:rPr>
            </w:pPr>
            <w:r w:rsidRPr="008B6A75">
              <w:rPr>
                <w:sz w:val="20"/>
                <w:szCs w:val="20"/>
              </w:rPr>
              <w:t>07</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47CE32BB" w14:textId="77777777" w:rsidR="00387142" w:rsidRPr="008B6A75" w:rsidRDefault="00387142" w:rsidP="00387142">
            <w:pPr>
              <w:jc w:val="center"/>
              <w:rPr>
                <w:sz w:val="20"/>
                <w:szCs w:val="20"/>
              </w:rPr>
            </w:pPr>
            <w:r w:rsidRPr="008B6A75">
              <w:rPr>
                <w:sz w:val="20"/>
                <w:szCs w:val="20"/>
              </w:rPr>
              <w:t>01.0.00.79500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7D04D4" w14:textId="77777777" w:rsidR="00387142" w:rsidRPr="008B6A75" w:rsidRDefault="00387142" w:rsidP="00387142">
            <w:pPr>
              <w:jc w:val="center"/>
              <w:rPr>
                <w:sz w:val="20"/>
                <w:szCs w:val="20"/>
              </w:rPr>
            </w:pPr>
            <w:r w:rsidRPr="008B6A75">
              <w:rPr>
                <w:sz w:val="20"/>
                <w:szCs w:val="20"/>
              </w:rPr>
              <w:t>610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2F0B22" w14:textId="77777777" w:rsidR="00387142" w:rsidRPr="008B6A75" w:rsidRDefault="00387142" w:rsidP="00387142">
            <w:pPr>
              <w:jc w:val="right"/>
              <w:rPr>
                <w:sz w:val="20"/>
                <w:szCs w:val="20"/>
              </w:rPr>
            </w:pPr>
            <w:r w:rsidRPr="008B6A75">
              <w:rPr>
                <w:sz w:val="20"/>
                <w:szCs w:val="20"/>
              </w:rPr>
              <w:t>4 645 456,01</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6ECB1A8C" w14:textId="77777777" w:rsidR="00387142" w:rsidRPr="008B6A75" w:rsidRDefault="00387142" w:rsidP="00387142">
            <w:pPr>
              <w:jc w:val="right"/>
              <w:rPr>
                <w:sz w:val="20"/>
                <w:szCs w:val="20"/>
              </w:rPr>
            </w:pPr>
            <w:r w:rsidRPr="008B6A75">
              <w:rPr>
                <w:sz w:val="20"/>
                <w:szCs w:val="20"/>
              </w:rPr>
              <w:t>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C66F2A" w14:textId="77777777" w:rsidR="00387142" w:rsidRPr="008B6A75" w:rsidRDefault="00387142" w:rsidP="00387142">
            <w:pPr>
              <w:jc w:val="right"/>
              <w:rPr>
                <w:sz w:val="20"/>
                <w:szCs w:val="20"/>
              </w:rPr>
            </w:pPr>
            <w:r w:rsidRPr="008B6A75">
              <w:rPr>
                <w:sz w:val="20"/>
                <w:szCs w:val="20"/>
              </w:rPr>
              <w:t>0,00</w:t>
            </w:r>
          </w:p>
        </w:tc>
        <w:tc>
          <w:tcPr>
            <w:tcW w:w="222" w:type="dxa"/>
            <w:vAlign w:val="center"/>
            <w:hideMark/>
          </w:tcPr>
          <w:p w14:paraId="57A34CF0" w14:textId="77777777" w:rsidR="00387142" w:rsidRPr="008B6A75" w:rsidRDefault="00387142" w:rsidP="00387142">
            <w:pPr>
              <w:rPr>
                <w:sz w:val="20"/>
                <w:szCs w:val="20"/>
              </w:rPr>
            </w:pPr>
          </w:p>
        </w:tc>
      </w:tr>
      <w:tr w:rsidR="00387142" w:rsidRPr="008B6A75" w14:paraId="5A40218B" w14:textId="77777777" w:rsidTr="00387142">
        <w:trPr>
          <w:trHeight w:val="585"/>
        </w:trPr>
        <w:tc>
          <w:tcPr>
            <w:tcW w:w="3021" w:type="dxa"/>
            <w:tcBorders>
              <w:top w:val="nil"/>
              <w:left w:val="single" w:sz="4" w:space="0" w:color="auto"/>
              <w:bottom w:val="nil"/>
              <w:right w:val="nil"/>
            </w:tcBorders>
            <w:shd w:val="clear" w:color="auto" w:fill="auto"/>
            <w:vAlign w:val="center"/>
            <w:hideMark/>
          </w:tcPr>
          <w:p w14:paraId="4E1117F2" w14:textId="77777777" w:rsidR="00387142" w:rsidRPr="008B6A75" w:rsidRDefault="00387142" w:rsidP="00387142">
            <w:pPr>
              <w:rPr>
                <w:bCs/>
                <w:sz w:val="20"/>
                <w:szCs w:val="20"/>
              </w:rPr>
            </w:pPr>
            <w:r w:rsidRPr="008B6A75">
              <w:rPr>
                <w:bCs/>
                <w:sz w:val="20"/>
                <w:szCs w:val="20"/>
              </w:rPr>
              <w:t>Муниципальная программа "Патриотическое воспитание граждан Куйбышевского района"</w:t>
            </w:r>
          </w:p>
        </w:tc>
        <w:tc>
          <w:tcPr>
            <w:tcW w:w="850" w:type="dxa"/>
            <w:tcBorders>
              <w:top w:val="nil"/>
              <w:left w:val="single" w:sz="4" w:space="0" w:color="auto"/>
              <w:bottom w:val="nil"/>
              <w:right w:val="nil"/>
            </w:tcBorders>
            <w:shd w:val="clear" w:color="auto" w:fill="auto"/>
            <w:noWrap/>
            <w:vAlign w:val="center"/>
            <w:hideMark/>
          </w:tcPr>
          <w:p w14:paraId="00D07383" w14:textId="77777777" w:rsidR="00387142" w:rsidRPr="008B6A75" w:rsidRDefault="00387142" w:rsidP="00387142">
            <w:pPr>
              <w:jc w:val="center"/>
              <w:rPr>
                <w:bCs/>
                <w:sz w:val="20"/>
                <w:szCs w:val="20"/>
              </w:rPr>
            </w:pPr>
            <w:r w:rsidRPr="008B6A75">
              <w:rPr>
                <w:bCs/>
                <w:sz w:val="20"/>
                <w:szCs w:val="20"/>
              </w:rPr>
              <w:t>444</w:t>
            </w:r>
          </w:p>
        </w:tc>
        <w:tc>
          <w:tcPr>
            <w:tcW w:w="709" w:type="dxa"/>
            <w:tcBorders>
              <w:top w:val="nil"/>
              <w:left w:val="single" w:sz="4" w:space="0" w:color="auto"/>
              <w:bottom w:val="nil"/>
              <w:right w:val="nil"/>
            </w:tcBorders>
            <w:shd w:val="clear" w:color="auto" w:fill="auto"/>
            <w:noWrap/>
            <w:vAlign w:val="center"/>
            <w:hideMark/>
          </w:tcPr>
          <w:p w14:paraId="57EC1ED6" w14:textId="77777777" w:rsidR="00387142" w:rsidRPr="008B6A75" w:rsidRDefault="00387142" w:rsidP="00387142">
            <w:pPr>
              <w:jc w:val="center"/>
              <w:rPr>
                <w:bCs/>
                <w:sz w:val="20"/>
                <w:szCs w:val="20"/>
              </w:rPr>
            </w:pPr>
            <w:r w:rsidRPr="008B6A75">
              <w:rPr>
                <w:bCs/>
                <w:sz w:val="20"/>
                <w:szCs w:val="20"/>
              </w:rPr>
              <w:t>07</w:t>
            </w:r>
          </w:p>
        </w:tc>
        <w:tc>
          <w:tcPr>
            <w:tcW w:w="709" w:type="dxa"/>
            <w:tcBorders>
              <w:top w:val="nil"/>
              <w:left w:val="single" w:sz="4" w:space="0" w:color="auto"/>
              <w:bottom w:val="nil"/>
              <w:right w:val="single" w:sz="4" w:space="0" w:color="auto"/>
            </w:tcBorders>
            <w:shd w:val="clear" w:color="auto" w:fill="auto"/>
            <w:noWrap/>
            <w:vAlign w:val="center"/>
            <w:hideMark/>
          </w:tcPr>
          <w:p w14:paraId="1867E511" w14:textId="77777777" w:rsidR="00387142" w:rsidRPr="008B6A75" w:rsidRDefault="00387142" w:rsidP="00387142">
            <w:pPr>
              <w:jc w:val="center"/>
              <w:rPr>
                <w:bCs/>
                <w:sz w:val="20"/>
                <w:szCs w:val="20"/>
              </w:rPr>
            </w:pPr>
            <w:r w:rsidRPr="008B6A75">
              <w:rPr>
                <w:bCs/>
                <w:sz w:val="20"/>
                <w:szCs w:val="20"/>
              </w:rPr>
              <w:t>07</w:t>
            </w:r>
          </w:p>
        </w:tc>
        <w:tc>
          <w:tcPr>
            <w:tcW w:w="1411" w:type="dxa"/>
            <w:tcBorders>
              <w:top w:val="nil"/>
              <w:left w:val="single" w:sz="4" w:space="0" w:color="auto"/>
              <w:bottom w:val="nil"/>
              <w:right w:val="nil"/>
            </w:tcBorders>
            <w:shd w:val="clear" w:color="auto" w:fill="auto"/>
            <w:noWrap/>
            <w:vAlign w:val="center"/>
            <w:hideMark/>
          </w:tcPr>
          <w:p w14:paraId="64CB7CA3" w14:textId="77777777" w:rsidR="00387142" w:rsidRPr="008B6A75" w:rsidRDefault="00387142" w:rsidP="00387142">
            <w:pPr>
              <w:jc w:val="center"/>
              <w:rPr>
                <w:bCs/>
                <w:sz w:val="20"/>
                <w:szCs w:val="20"/>
              </w:rPr>
            </w:pPr>
            <w:r w:rsidRPr="008B6A75">
              <w:rPr>
                <w:bCs/>
                <w:sz w:val="20"/>
                <w:szCs w:val="20"/>
              </w:rPr>
              <w:t>03.0.00.00000</w:t>
            </w:r>
          </w:p>
        </w:tc>
        <w:tc>
          <w:tcPr>
            <w:tcW w:w="955" w:type="dxa"/>
            <w:tcBorders>
              <w:top w:val="nil"/>
              <w:left w:val="single" w:sz="4" w:space="0" w:color="auto"/>
              <w:bottom w:val="nil"/>
              <w:right w:val="single" w:sz="4" w:space="0" w:color="auto"/>
            </w:tcBorders>
            <w:shd w:val="clear" w:color="auto" w:fill="auto"/>
            <w:noWrap/>
            <w:vAlign w:val="center"/>
            <w:hideMark/>
          </w:tcPr>
          <w:p w14:paraId="6D7973A5"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nil"/>
              <w:right w:val="single" w:sz="4" w:space="0" w:color="auto"/>
            </w:tcBorders>
            <w:shd w:val="clear" w:color="auto" w:fill="auto"/>
            <w:noWrap/>
            <w:vAlign w:val="center"/>
            <w:hideMark/>
          </w:tcPr>
          <w:p w14:paraId="67567980" w14:textId="77777777" w:rsidR="00387142" w:rsidRPr="008B6A75" w:rsidRDefault="00387142" w:rsidP="00387142">
            <w:pPr>
              <w:jc w:val="right"/>
              <w:rPr>
                <w:bCs/>
                <w:sz w:val="20"/>
                <w:szCs w:val="20"/>
              </w:rPr>
            </w:pPr>
            <w:r w:rsidRPr="008B6A75">
              <w:rPr>
                <w:bCs/>
                <w:sz w:val="20"/>
                <w:szCs w:val="20"/>
              </w:rPr>
              <w:t>1 000 000,00</w:t>
            </w:r>
          </w:p>
        </w:tc>
        <w:tc>
          <w:tcPr>
            <w:tcW w:w="992" w:type="dxa"/>
            <w:gridSpan w:val="2"/>
            <w:tcBorders>
              <w:top w:val="nil"/>
              <w:left w:val="single" w:sz="4" w:space="0" w:color="auto"/>
              <w:bottom w:val="nil"/>
              <w:right w:val="nil"/>
            </w:tcBorders>
            <w:shd w:val="clear" w:color="auto" w:fill="auto"/>
            <w:noWrap/>
            <w:vAlign w:val="center"/>
            <w:hideMark/>
          </w:tcPr>
          <w:p w14:paraId="7B800760" w14:textId="77777777" w:rsidR="00387142" w:rsidRPr="008B6A75" w:rsidRDefault="00387142" w:rsidP="00387142">
            <w:pPr>
              <w:jc w:val="right"/>
              <w:rPr>
                <w:bCs/>
                <w:sz w:val="20"/>
                <w:szCs w:val="20"/>
              </w:rPr>
            </w:pPr>
            <w:r w:rsidRPr="008B6A75">
              <w:rPr>
                <w:bCs/>
                <w:sz w:val="20"/>
                <w:szCs w:val="20"/>
              </w:rPr>
              <w:t>0,00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79A7F2F2" w14:textId="77777777" w:rsidR="00387142" w:rsidRPr="008B6A75" w:rsidRDefault="00387142" w:rsidP="00387142">
            <w:pPr>
              <w:jc w:val="right"/>
              <w:rPr>
                <w:bCs/>
                <w:sz w:val="20"/>
                <w:szCs w:val="20"/>
              </w:rPr>
            </w:pPr>
            <w:r w:rsidRPr="008B6A75">
              <w:rPr>
                <w:bCs/>
                <w:sz w:val="20"/>
                <w:szCs w:val="20"/>
              </w:rPr>
              <w:t>0,00</w:t>
            </w:r>
          </w:p>
        </w:tc>
        <w:tc>
          <w:tcPr>
            <w:tcW w:w="222" w:type="dxa"/>
            <w:vAlign w:val="center"/>
            <w:hideMark/>
          </w:tcPr>
          <w:p w14:paraId="3B201E88" w14:textId="77777777" w:rsidR="00387142" w:rsidRPr="008B6A75" w:rsidRDefault="00387142" w:rsidP="00387142">
            <w:pPr>
              <w:rPr>
                <w:sz w:val="20"/>
                <w:szCs w:val="20"/>
              </w:rPr>
            </w:pPr>
          </w:p>
        </w:tc>
      </w:tr>
      <w:tr w:rsidR="00387142" w:rsidRPr="008B6A75" w14:paraId="64AE0D9D" w14:textId="77777777" w:rsidTr="00387142">
        <w:trPr>
          <w:trHeight w:val="870"/>
        </w:trPr>
        <w:tc>
          <w:tcPr>
            <w:tcW w:w="3021" w:type="dxa"/>
            <w:tcBorders>
              <w:top w:val="single" w:sz="4" w:space="0" w:color="auto"/>
              <w:left w:val="single" w:sz="4" w:space="0" w:color="auto"/>
              <w:bottom w:val="nil"/>
              <w:right w:val="nil"/>
            </w:tcBorders>
            <w:shd w:val="clear" w:color="auto" w:fill="auto"/>
            <w:vAlign w:val="center"/>
            <w:hideMark/>
          </w:tcPr>
          <w:p w14:paraId="6953BF0A" w14:textId="77777777" w:rsidR="00387142" w:rsidRPr="008B6A75" w:rsidRDefault="00387142" w:rsidP="00387142">
            <w:pPr>
              <w:rPr>
                <w:bCs/>
                <w:sz w:val="20"/>
                <w:szCs w:val="20"/>
              </w:rPr>
            </w:pPr>
            <w:r w:rsidRPr="008B6A75">
              <w:rPr>
                <w:bCs/>
                <w:sz w:val="20"/>
                <w:szCs w:val="20"/>
              </w:rPr>
              <w:t>Реализация мероприятий в рамках МП "Патриотическое воспитание граждан Куйбышевского района"</w:t>
            </w:r>
          </w:p>
        </w:tc>
        <w:tc>
          <w:tcPr>
            <w:tcW w:w="850" w:type="dxa"/>
            <w:tcBorders>
              <w:top w:val="single" w:sz="4" w:space="0" w:color="auto"/>
              <w:left w:val="single" w:sz="4" w:space="0" w:color="auto"/>
              <w:bottom w:val="nil"/>
              <w:right w:val="nil"/>
            </w:tcBorders>
            <w:shd w:val="clear" w:color="auto" w:fill="auto"/>
            <w:noWrap/>
            <w:vAlign w:val="center"/>
            <w:hideMark/>
          </w:tcPr>
          <w:p w14:paraId="4CD4D1E7" w14:textId="77777777" w:rsidR="00387142" w:rsidRPr="008B6A75" w:rsidRDefault="00387142" w:rsidP="00387142">
            <w:pPr>
              <w:jc w:val="center"/>
              <w:rPr>
                <w:bCs/>
                <w:sz w:val="20"/>
                <w:szCs w:val="20"/>
              </w:rPr>
            </w:pPr>
            <w:r w:rsidRPr="008B6A75">
              <w:rPr>
                <w:bCs/>
                <w:sz w:val="20"/>
                <w:szCs w:val="20"/>
              </w:rPr>
              <w:t>444</w:t>
            </w:r>
          </w:p>
        </w:tc>
        <w:tc>
          <w:tcPr>
            <w:tcW w:w="709" w:type="dxa"/>
            <w:tcBorders>
              <w:top w:val="single" w:sz="4" w:space="0" w:color="auto"/>
              <w:left w:val="single" w:sz="4" w:space="0" w:color="auto"/>
              <w:bottom w:val="nil"/>
              <w:right w:val="nil"/>
            </w:tcBorders>
            <w:shd w:val="clear" w:color="auto" w:fill="auto"/>
            <w:noWrap/>
            <w:vAlign w:val="center"/>
            <w:hideMark/>
          </w:tcPr>
          <w:p w14:paraId="1B855AA5" w14:textId="77777777" w:rsidR="00387142" w:rsidRPr="008B6A75" w:rsidRDefault="00387142" w:rsidP="00387142">
            <w:pPr>
              <w:jc w:val="center"/>
              <w:rPr>
                <w:bCs/>
                <w:sz w:val="20"/>
                <w:szCs w:val="20"/>
              </w:rPr>
            </w:pPr>
            <w:r w:rsidRPr="008B6A75">
              <w:rPr>
                <w:bCs/>
                <w:sz w:val="20"/>
                <w:szCs w:val="20"/>
              </w:rPr>
              <w:t>07</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65F3299B" w14:textId="77777777" w:rsidR="00387142" w:rsidRPr="008B6A75" w:rsidRDefault="00387142" w:rsidP="00387142">
            <w:pPr>
              <w:jc w:val="center"/>
              <w:rPr>
                <w:bCs/>
                <w:sz w:val="20"/>
                <w:szCs w:val="20"/>
              </w:rPr>
            </w:pPr>
            <w:r w:rsidRPr="008B6A75">
              <w:rPr>
                <w:bCs/>
                <w:sz w:val="20"/>
                <w:szCs w:val="20"/>
              </w:rPr>
              <w:t>07</w:t>
            </w:r>
          </w:p>
        </w:tc>
        <w:tc>
          <w:tcPr>
            <w:tcW w:w="1411" w:type="dxa"/>
            <w:tcBorders>
              <w:top w:val="single" w:sz="4" w:space="0" w:color="auto"/>
              <w:left w:val="single" w:sz="4" w:space="0" w:color="auto"/>
              <w:bottom w:val="nil"/>
              <w:right w:val="nil"/>
            </w:tcBorders>
            <w:shd w:val="clear" w:color="auto" w:fill="auto"/>
            <w:noWrap/>
            <w:vAlign w:val="center"/>
            <w:hideMark/>
          </w:tcPr>
          <w:p w14:paraId="3C900BF5" w14:textId="77777777" w:rsidR="00387142" w:rsidRPr="008B6A75" w:rsidRDefault="00387142" w:rsidP="00387142">
            <w:pPr>
              <w:jc w:val="center"/>
              <w:rPr>
                <w:bCs/>
                <w:sz w:val="20"/>
                <w:szCs w:val="20"/>
              </w:rPr>
            </w:pPr>
            <w:r w:rsidRPr="008B6A75">
              <w:rPr>
                <w:bCs/>
                <w:sz w:val="20"/>
                <w:szCs w:val="20"/>
              </w:rPr>
              <w:t>03.0.00.79500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7D277803" w14:textId="77777777" w:rsidR="00387142" w:rsidRPr="008B6A75" w:rsidRDefault="00387142" w:rsidP="00387142">
            <w:pPr>
              <w:jc w:val="center"/>
              <w:rPr>
                <w:bCs/>
                <w:sz w:val="20"/>
                <w:szCs w:val="20"/>
              </w:rPr>
            </w:pPr>
            <w:r w:rsidRPr="008B6A75">
              <w:rPr>
                <w:bCs/>
                <w:sz w:val="20"/>
                <w:szCs w:val="20"/>
              </w:rPr>
              <w:t> </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6E340C44" w14:textId="77777777" w:rsidR="00387142" w:rsidRPr="008B6A75" w:rsidRDefault="00387142" w:rsidP="00387142">
            <w:pPr>
              <w:jc w:val="right"/>
              <w:rPr>
                <w:bCs/>
                <w:sz w:val="20"/>
                <w:szCs w:val="20"/>
              </w:rPr>
            </w:pPr>
            <w:r w:rsidRPr="008B6A75">
              <w:rPr>
                <w:bCs/>
                <w:sz w:val="20"/>
                <w:szCs w:val="20"/>
              </w:rPr>
              <w:t>1 000 000,00</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5DC76C3C" w14:textId="77777777" w:rsidR="00387142" w:rsidRPr="008B6A75" w:rsidRDefault="00387142" w:rsidP="00387142">
            <w:pPr>
              <w:jc w:val="right"/>
              <w:rPr>
                <w:bCs/>
                <w:sz w:val="20"/>
                <w:szCs w:val="20"/>
              </w:rPr>
            </w:pPr>
            <w:r w:rsidRPr="008B6A75">
              <w:rPr>
                <w:bCs/>
                <w:sz w:val="20"/>
                <w:szCs w:val="20"/>
              </w:rPr>
              <w:t>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46902A6A" w14:textId="77777777" w:rsidR="00387142" w:rsidRPr="008B6A75" w:rsidRDefault="00387142" w:rsidP="00387142">
            <w:pPr>
              <w:jc w:val="right"/>
              <w:rPr>
                <w:bCs/>
                <w:sz w:val="20"/>
                <w:szCs w:val="20"/>
              </w:rPr>
            </w:pPr>
            <w:r w:rsidRPr="008B6A75">
              <w:rPr>
                <w:bCs/>
                <w:sz w:val="20"/>
                <w:szCs w:val="20"/>
              </w:rPr>
              <w:t>0,00</w:t>
            </w:r>
          </w:p>
        </w:tc>
        <w:tc>
          <w:tcPr>
            <w:tcW w:w="222" w:type="dxa"/>
            <w:vAlign w:val="center"/>
            <w:hideMark/>
          </w:tcPr>
          <w:p w14:paraId="23B7FE93" w14:textId="77777777" w:rsidR="00387142" w:rsidRPr="008B6A75" w:rsidRDefault="00387142" w:rsidP="00387142">
            <w:pPr>
              <w:rPr>
                <w:sz w:val="20"/>
                <w:szCs w:val="20"/>
              </w:rPr>
            </w:pPr>
          </w:p>
        </w:tc>
      </w:tr>
      <w:tr w:rsidR="00387142" w:rsidRPr="008B6A75" w14:paraId="043816CF" w14:textId="77777777" w:rsidTr="00387142">
        <w:trPr>
          <w:trHeight w:val="300"/>
        </w:trPr>
        <w:tc>
          <w:tcPr>
            <w:tcW w:w="3021" w:type="dxa"/>
            <w:tcBorders>
              <w:top w:val="single" w:sz="4" w:space="0" w:color="auto"/>
              <w:left w:val="single" w:sz="4" w:space="0" w:color="auto"/>
              <w:bottom w:val="nil"/>
              <w:right w:val="nil"/>
            </w:tcBorders>
            <w:shd w:val="clear" w:color="auto" w:fill="auto"/>
            <w:vAlign w:val="center"/>
            <w:hideMark/>
          </w:tcPr>
          <w:p w14:paraId="044D336E" w14:textId="77777777" w:rsidR="00387142" w:rsidRPr="008B6A75" w:rsidRDefault="00387142" w:rsidP="00387142">
            <w:pPr>
              <w:rPr>
                <w:sz w:val="20"/>
                <w:szCs w:val="20"/>
              </w:rPr>
            </w:pPr>
            <w:r w:rsidRPr="008B6A75">
              <w:rPr>
                <w:sz w:val="20"/>
                <w:szCs w:val="20"/>
              </w:rPr>
              <w:t>Межбюджетные трансферты</w:t>
            </w:r>
          </w:p>
        </w:tc>
        <w:tc>
          <w:tcPr>
            <w:tcW w:w="850" w:type="dxa"/>
            <w:tcBorders>
              <w:top w:val="single" w:sz="4" w:space="0" w:color="auto"/>
              <w:left w:val="single" w:sz="4" w:space="0" w:color="auto"/>
              <w:bottom w:val="nil"/>
              <w:right w:val="nil"/>
            </w:tcBorders>
            <w:shd w:val="clear" w:color="auto" w:fill="auto"/>
            <w:noWrap/>
            <w:vAlign w:val="center"/>
            <w:hideMark/>
          </w:tcPr>
          <w:p w14:paraId="20BAABF3" w14:textId="77777777" w:rsidR="00387142" w:rsidRPr="008B6A75" w:rsidRDefault="00387142" w:rsidP="00387142">
            <w:pPr>
              <w:jc w:val="center"/>
              <w:rPr>
                <w:sz w:val="20"/>
                <w:szCs w:val="20"/>
              </w:rPr>
            </w:pPr>
            <w:r w:rsidRPr="008B6A75">
              <w:rPr>
                <w:sz w:val="20"/>
                <w:szCs w:val="20"/>
              </w:rPr>
              <w:t>444</w:t>
            </w:r>
          </w:p>
        </w:tc>
        <w:tc>
          <w:tcPr>
            <w:tcW w:w="709" w:type="dxa"/>
            <w:tcBorders>
              <w:top w:val="single" w:sz="4" w:space="0" w:color="auto"/>
              <w:left w:val="single" w:sz="4" w:space="0" w:color="auto"/>
              <w:bottom w:val="nil"/>
              <w:right w:val="nil"/>
            </w:tcBorders>
            <w:shd w:val="clear" w:color="auto" w:fill="auto"/>
            <w:noWrap/>
            <w:vAlign w:val="center"/>
            <w:hideMark/>
          </w:tcPr>
          <w:p w14:paraId="34634A77" w14:textId="77777777" w:rsidR="00387142" w:rsidRPr="008B6A75" w:rsidRDefault="00387142" w:rsidP="00387142">
            <w:pPr>
              <w:jc w:val="center"/>
              <w:rPr>
                <w:sz w:val="20"/>
                <w:szCs w:val="20"/>
              </w:rPr>
            </w:pPr>
            <w:r w:rsidRPr="008B6A75">
              <w:rPr>
                <w:sz w:val="20"/>
                <w:szCs w:val="20"/>
              </w:rPr>
              <w:t>07</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602C921E" w14:textId="77777777" w:rsidR="00387142" w:rsidRPr="008B6A75" w:rsidRDefault="00387142" w:rsidP="00387142">
            <w:pPr>
              <w:jc w:val="center"/>
              <w:rPr>
                <w:sz w:val="20"/>
                <w:szCs w:val="20"/>
              </w:rPr>
            </w:pPr>
            <w:r w:rsidRPr="008B6A75">
              <w:rPr>
                <w:sz w:val="20"/>
                <w:szCs w:val="20"/>
              </w:rPr>
              <w:t>07</w:t>
            </w:r>
          </w:p>
        </w:tc>
        <w:tc>
          <w:tcPr>
            <w:tcW w:w="1411" w:type="dxa"/>
            <w:tcBorders>
              <w:top w:val="single" w:sz="4" w:space="0" w:color="auto"/>
              <w:left w:val="single" w:sz="4" w:space="0" w:color="auto"/>
              <w:bottom w:val="nil"/>
              <w:right w:val="nil"/>
            </w:tcBorders>
            <w:shd w:val="clear" w:color="auto" w:fill="auto"/>
            <w:noWrap/>
            <w:vAlign w:val="center"/>
            <w:hideMark/>
          </w:tcPr>
          <w:p w14:paraId="28EE6F67" w14:textId="77777777" w:rsidR="00387142" w:rsidRPr="008B6A75" w:rsidRDefault="00387142" w:rsidP="00387142">
            <w:pPr>
              <w:jc w:val="center"/>
              <w:rPr>
                <w:sz w:val="20"/>
                <w:szCs w:val="20"/>
              </w:rPr>
            </w:pPr>
            <w:r w:rsidRPr="008B6A75">
              <w:rPr>
                <w:sz w:val="20"/>
                <w:szCs w:val="20"/>
              </w:rPr>
              <w:t>03.0.00.79500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5E348879" w14:textId="77777777" w:rsidR="00387142" w:rsidRPr="008B6A75" w:rsidRDefault="00387142" w:rsidP="00387142">
            <w:pPr>
              <w:jc w:val="center"/>
              <w:rPr>
                <w:sz w:val="20"/>
                <w:szCs w:val="20"/>
              </w:rPr>
            </w:pPr>
            <w:r w:rsidRPr="008B6A75">
              <w:rPr>
                <w:sz w:val="20"/>
                <w:szCs w:val="20"/>
              </w:rPr>
              <w:t>500</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206483CB" w14:textId="77777777" w:rsidR="00387142" w:rsidRPr="008B6A75" w:rsidRDefault="00387142" w:rsidP="00387142">
            <w:pPr>
              <w:jc w:val="right"/>
              <w:rPr>
                <w:sz w:val="20"/>
                <w:szCs w:val="20"/>
              </w:rPr>
            </w:pPr>
            <w:r w:rsidRPr="008B6A75">
              <w:rPr>
                <w:sz w:val="20"/>
                <w:szCs w:val="20"/>
              </w:rPr>
              <w:t>100 000,00</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4B20C38F" w14:textId="77777777" w:rsidR="00387142" w:rsidRPr="008B6A75" w:rsidRDefault="00387142" w:rsidP="00387142">
            <w:pPr>
              <w:jc w:val="right"/>
              <w:rPr>
                <w:sz w:val="20"/>
                <w:szCs w:val="20"/>
              </w:rPr>
            </w:pPr>
            <w:r w:rsidRPr="008B6A75">
              <w:rPr>
                <w:sz w:val="20"/>
                <w:szCs w:val="20"/>
              </w:rPr>
              <w:t>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42FB235C" w14:textId="77777777" w:rsidR="00387142" w:rsidRPr="008B6A75" w:rsidRDefault="00387142" w:rsidP="00387142">
            <w:pPr>
              <w:jc w:val="right"/>
              <w:rPr>
                <w:sz w:val="20"/>
                <w:szCs w:val="20"/>
              </w:rPr>
            </w:pPr>
            <w:r w:rsidRPr="008B6A75">
              <w:rPr>
                <w:sz w:val="20"/>
                <w:szCs w:val="20"/>
              </w:rPr>
              <w:t>0,00</w:t>
            </w:r>
          </w:p>
        </w:tc>
        <w:tc>
          <w:tcPr>
            <w:tcW w:w="222" w:type="dxa"/>
            <w:vAlign w:val="center"/>
            <w:hideMark/>
          </w:tcPr>
          <w:p w14:paraId="3788552B" w14:textId="77777777" w:rsidR="00387142" w:rsidRPr="008B6A75" w:rsidRDefault="00387142" w:rsidP="00387142">
            <w:pPr>
              <w:rPr>
                <w:sz w:val="20"/>
                <w:szCs w:val="20"/>
              </w:rPr>
            </w:pPr>
          </w:p>
        </w:tc>
      </w:tr>
      <w:tr w:rsidR="00387142" w:rsidRPr="008B6A75" w14:paraId="3896697F" w14:textId="77777777" w:rsidTr="00387142">
        <w:trPr>
          <w:trHeight w:val="300"/>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76CFC1E9" w14:textId="77777777" w:rsidR="00387142" w:rsidRPr="008B6A75" w:rsidRDefault="00387142" w:rsidP="00387142">
            <w:pPr>
              <w:rPr>
                <w:sz w:val="20"/>
                <w:szCs w:val="20"/>
              </w:rPr>
            </w:pPr>
            <w:r w:rsidRPr="008B6A75">
              <w:rPr>
                <w:sz w:val="20"/>
                <w:szCs w:val="20"/>
              </w:rPr>
              <w:t>Иные межбюджетные трансферты</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1B4F0920" w14:textId="77777777" w:rsidR="00387142" w:rsidRPr="008B6A75" w:rsidRDefault="00387142" w:rsidP="00387142">
            <w:pPr>
              <w:jc w:val="center"/>
              <w:rPr>
                <w:sz w:val="20"/>
                <w:szCs w:val="20"/>
              </w:rPr>
            </w:pPr>
            <w:r w:rsidRPr="008B6A75">
              <w:rPr>
                <w:sz w:val="20"/>
                <w:szCs w:val="20"/>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421DBF4E" w14:textId="77777777" w:rsidR="00387142" w:rsidRPr="008B6A75" w:rsidRDefault="00387142" w:rsidP="00387142">
            <w:pPr>
              <w:jc w:val="center"/>
              <w:rPr>
                <w:sz w:val="20"/>
                <w:szCs w:val="20"/>
              </w:rPr>
            </w:pPr>
            <w:r w:rsidRPr="008B6A75">
              <w:rPr>
                <w:sz w:val="20"/>
                <w:szCs w:val="20"/>
              </w:rPr>
              <w:t>07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40F366" w14:textId="77777777" w:rsidR="00387142" w:rsidRPr="008B6A75" w:rsidRDefault="00387142" w:rsidP="00387142">
            <w:pPr>
              <w:jc w:val="center"/>
              <w:rPr>
                <w:sz w:val="20"/>
                <w:szCs w:val="20"/>
              </w:rPr>
            </w:pPr>
            <w:r w:rsidRPr="008B6A75">
              <w:rPr>
                <w:sz w:val="20"/>
                <w:szCs w:val="20"/>
              </w:rPr>
              <w:t>07</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78C63E48" w14:textId="77777777" w:rsidR="00387142" w:rsidRPr="008B6A75" w:rsidRDefault="00387142" w:rsidP="00387142">
            <w:pPr>
              <w:jc w:val="center"/>
              <w:rPr>
                <w:sz w:val="20"/>
                <w:szCs w:val="20"/>
              </w:rPr>
            </w:pPr>
            <w:r w:rsidRPr="008B6A75">
              <w:rPr>
                <w:sz w:val="20"/>
                <w:szCs w:val="20"/>
              </w:rPr>
              <w:t>03.0.00.79500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505321" w14:textId="77777777" w:rsidR="00387142" w:rsidRPr="008B6A75" w:rsidRDefault="00387142" w:rsidP="00387142">
            <w:pPr>
              <w:jc w:val="center"/>
              <w:rPr>
                <w:sz w:val="20"/>
                <w:szCs w:val="20"/>
              </w:rPr>
            </w:pPr>
            <w:r w:rsidRPr="008B6A75">
              <w:rPr>
                <w:sz w:val="20"/>
                <w:szCs w:val="20"/>
              </w:rPr>
              <w:t>540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92064E" w14:textId="77777777" w:rsidR="00387142" w:rsidRPr="008B6A75" w:rsidRDefault="00387142" w:rsidP="00387142">
            <w:pPr>
              <w:jc w:val="right"/>
              <w:rPr>
                <w:sz w:val="20"/>
                <w:szCs w:val="20"/>
              </w:rPr>
            </w:pPr>
            <w:r w:rsidRPr="008B6A75">
              <w:rPr>
                <w:sz w:val="20"/>
                <w:szCs w:val="20"/>
              </w:rPr>
              <w:t>100 000,00</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3908DF10" w14:textId="77777777" w:rsidR="00387142" w:rsidRPr="008B6A75" w:rsidRDefault="00387142" w:rsidP="00387142">
            <w:pPr>
              <w:jc w:val="right"/>
              <w:rPr>
                <w:sz w:val="20"/>
                <w:szCs w:val="20"/>
              </w:rPr>
            </w:pPr>
            <w:r w:rsidRPr="008B6A75">
              <w:rPr>
                <w:sz w:val="20"/>
                <w:szCs w:val="20"/>
              </w:rPr>
              <w:t>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62450D" w14:textId="77777777" w:rsidR="00387142" w:rsidRPr="008B6A75" w:rsidRDefault="00387142" w:rsidP="00387142">
            <w:pPr>
              <w:jc w:val="right"/>
              <w:rPr>
                <w:sz w:val="20"/>
                <w:szCs w:val="20"/>
              </w:rPr>
            </w:pPr>
            <w:r w:rsidRPr="008B6A75">
              <w:rPr>
                <w:sz w:val="20"/>
                <w:szCs w:val="20"/>
              </w:rPr>
              <w:t>0,00</w:t>
            </w:r>
          </w:p>
        </w:tc>
        <w:tc>
          <w:tcPr>
            <w:tcW w:w="222" w:type="dxa"/>
            <w:vAlign w:val="center"/>
            <w:hideMark/>
          </w:tcPr>
          <w:p w14:paraId="68FFCE33" w14:textId="77777777" w:rsidR="00387142" w:rsidRPr="008B6A75" w:rsidRDefault="00387142" w:rsidP="00387142">
            <w:pPr>
              <w:rPr>
                <w:sz w:val="20"/>
                <w:szCs w:val="20"/>
              </w:rPr>
            </w:pPr>
          </w:p>
        </w:tc>
      </w:tr>
      <w:tr w:rsidR="00387142" w:rsidRPr="008B6A75" w14:paraId="0A66C014" w14:textId="77777777" w:rsidTr="00387142">
        <w:trPr>
          <w:trHeight w:val="870"/>
        </w:trPr>
        <w:tc>
          <w:tcPr>
            <w:tcW w:w="3021" w:type="dxa"/>
            <w:tcBorders>
              <w:top w:val="nil"/>
              <w:left w:val="single" w:sz="4" w:space="0" w:color="auto"/>
              <w:bottom w:val="nil"/>
              <w:right w:val="nil"/>
            </w:tcBorders>
            <w:shd w:val="clear" w:color="auto" w:fill="auto"/>
            <w:vAlign w:val="center"/>
            <w:hideMark/>
          </w:tcPr>
          <w:p w14:paraId="7D5A0759" w14:textId="77777777" w:rsidR="00387142" w:rsidRPr="008B6A75" w:rsidRDefault="00387142" w:rsidP="00387142">
            <w:pPr>
              <w:rPr>
                <w:sz w:val="20"/>
                <w:szCs w:val="20"/>
              </w:rPr>
            </w:pPr>
            <w:r w:rsidRPr="008B6A75">
              <w:rPr>
                <w:sz w:val="20"/>
                <w:szCs w:val="20"/>
              </w:rPr>
              <w:t>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right w:val="nil"/>
            </w:tcBorders>
            <w:shd w:val="clear" w:color="auto" w:fill="auto"/>
            <w:noWrap/>
            <w:vAlign w:val="center"/>
            <w:hideMark/>
          </w:tcPr>
          <w:p w14:paraId="01D8D5DA" w14:textId="77777777" w:rsidR="00387142" w:rsidRPr="008B6A75" w:rsidRDefault="00387142" w:rsidP="00387142">
            <w:pPr>
              <w:jc w:val="center"/>
              <w:rPr>
                <w:sz w:val="20"/>
                <w:szCs w:val="20"/>
              </w:rPr>
            </w:pPr>
            <w:r w:rsidRPr="008B6A75">
              <w:rPr>
                <w:sz w:val="20"/>
                <w:szCs w:val="20"/>
              </w:rPr>
              <w:t>444</w:t>
            </w:r>
          </w:p>
        </w:tc>
        <w:tc>
          <w:tcPr>
            <w:tcW w:w="709" w:type="dxa"/>
            <w:tcBorders>
              <w:top w:val="nil"/>
              <w:left w:val="single" w:sz="4" w:space="0" w:color="auto"/>
              <w:bottom w:val="nil"/>
              <w:right w:val="nil"/>
            </w:tcBorders>
            <w:shd w:val="clear" w:color="auto" w:fill="auto"/>
            <w:noWrap/>
            <w:vAlign w:val="center"/>
            <w:hideMark/>
          </w:tcPr>
          <w:p w14:paraId="7690AAB0" w14:textId="77777777" w:rsidR="00387142" w:rsidRPr="008B6A75" w:rsidRDefault="00387142" w:rsidP="00387142">
            <w:pPr>
              <w:jc w:val="center"/>
              <w:rPr>
                <w:sz w:val="20"/>
                <w:szCs w:val="20"/>
              </w:rPr>
            </w:pPr>
            <w:r w:rsidRPr="008B6A75">
              <w:rPr>
                <w:sz w:val="20"/>
                <w:szCs w:val="20"/>
              </w:rPr>
              <w:t>07</w:t>
            </w:r>
          </w:p>
        </w:tc>
        <w:tc>
          <w:tcPr>
            <w:tcW w:w="709" w:type="dxa"/>
            <w:tcBorders>
              <w:top w:val="nil"/>
              <w:left w:val="single" w:sz="4" w:space="0" w:color="auto"/>
              <w:bottom w:val="nil"/>
              <w:right w:val="single" w:sz="4" w:space="0" w:color="auto"/>
            </w:tcBorders>
            <w:shd w:val="clear" w:color="auto" w:fill="auto"/>
            <w:noWrap/>
            <w:vAlign w:val="center"/>
            <w:hideMark/>
          </w:tcPr>
          <w:p w14:paraId="26F11F5F" w14:textId="77777777" w:rsidR="00387142" w:rsidRPr="008B6A75" w:rsidRDefault="00387142" w:rsidP="00387142">
            <w:pPr>
              <w:jc w:val="center"/>
              <w:rPr>
                <w:sz w:val="20"/>
                <w:szCs w:val="20"/>
              </w:rPr>
            </w:pPr>
            <w:r w:rsidRPr="008B6A75">
              <w:rPr>
                <w:sz w:val="20"/>
                <w:szCs w:val="20"/>
              </w:rPr>
              <w:t>07</w:t>
            </w:r>
          </w:p>
        </w:tc>
        <w:tc>
          <w:tcPr>
            <w:tcW w:w="1411" w:type="dxa"/>
            <w:tcBorders>
              <w:top w:val="nil"/>
              <w:left w:val="single" w:sz="4" w:space="0" w:color="auto"/>
              <w:bottom w:val="nil"/>
              <w:right w:val="nil"/>
            </w:tcBorders>
            <w:shd w:val="clear" w:color="auto" w:fill="auto"/>
            <w:noWrap/>
            <w:vAlign w:val="center"/>
            <w:hideMark/>
          </w:tcPr>
          <w:p w14:paraId="0B4D4C9E" w14:textId="77777777" w:rsidR="00387142" w:rsidRPr="008B6A75" w:rsidRDefault="00387142" w:rsidP="00387142">
            <w:pPr>
              <w:jc w:val="center"/>
              <w:rPr>
                <w:sz w:val="20"/>
                <w:szCs w:val="20"/>
              </w:rPr>
            </w:pPr>
            <w:r w:rsidRPr="008B6A75">
              <w:rPr>
                <w:sz w:val="20"/>
                <w:szCs w:val="20"/>
              </w:rPr>
              <w:t>03.0.00.79500</w:t>
            </w:r>
          </w:p>
        </w:tc>
        <w:tc>
          <w:tcPr>
            <w:tcW w:w="955" w:type="dxa"/>
            <w:tcBorders>
              <w:top w:val="nil"/>
              <w:left w:val="single" w:sz="4" w:space="0" w:color="auto"/>
              <w:bottom w:val="nil"/>
              <w:right w:val="single" w:sz="4" w:space="0" w:color="auto"/>
            </w:tcBorders>
            <w:shd w:val="clear" w:color="auto" w:fill="auto"/>
            <w:noWrap/>
            <w:vAlign w:val="center"/>
            <w:hideMark/>
          </w:tcPr>
          <w:p w14:paraId="2F80F95B" w14:textId="77777777" w:rsidR="00387142" w:rsidRPr="008B6A75" w:rsidRDefault="00387142" w:rsidP="00387142">
            <w:pPr>
              <w:jc w:val="center"/>
              <w:rPr>
                <w:sz w:val="20"/>
                <w:szCs w:val="20"/>
              </w:rPr>
            </w:pPr>
            <w:r w:rsidRPr="008B6A75">
              <w:rPr>
                <w:sz w:val="20"/>
                <w:szCs w:val="20"/>
              </w:rPr>
              <w:t>600</w:t>
            </w:r>
          </w:p>
        </w:tc>
        <w:tc>
          <w:tcPr>
            <w:tcW w:w="992" w:type="dxa"/>
            <w:tcBorders>
              <w:top w:val="nil"/>
              <w:left w:val="single" w:sz="4" w:space="0" w:color="auto"/>
              <w:bottom w:val="nil"/>
              <w:right w:val="single" w:sz="4" w:space="0" w:color="auto"/>
            </w:tcBorders>
            <w:shd w:val="clear" w:color="auto" w:fill="auto"/>
            <w:noWrap/>
            <w:vAlign w:val="center"/>
            <w:hideMark/>
          </w:tcPr>
          <w:p w14:paraId="01EAD521" w14:textId="77777777" w:rsidR="00387142" w:rsidRPr="008B6A75" w:rsidRDefault="00387142" w:rsidP="00387142">
            <w:pPr>
              <w:jc w:val="right"/>
              <w:rPr>
                <w:sz w:val="20"/>
                <w:szCs w:val="20"/>
              </w:rPr>
            </w:pPr>
            <w:r w:rsidRPr="008B6A75">
              <w:rPr>
                <w:sz w:val="20"/>
                <w:szCs w:val="20"/>
              </w:rPr>
              <w:t>900 000,00</w:t>
            </w:r>
          </w:p>
        </w:tc>
        <w:tc>
          <w:tcPr>
            <w:tcW w:w="992" w:type="dxa"/>
            <w:gridSpan w:val="2"/>
            <w:tcBorders>
              <w:top w:val="nil"/>
              <w:left w:val="single" w:sz="4" w:space="0" w:color="auto"/>
              <w:bottom w:val="nil"/>
              <w:right w:val="nil"/>
            </w:tcBorders>
            <w:shd w:val="clear" w:color="auto" w:fill="auto"/>
            <w:noWrap/>
            <w:vAlign w:val="center"/>
            <w:hideMark/>
          </w:tcPr>
          <w:p w14:paraId="28FF07E4" w14:textId="77777777" w:rsidR="00387142" w:rsidRPr="008B6A75" w:rsidRDefault="00387142" w:rsidP="00387142">
            <w:pPr>
              <w:jc w:val="right"/>
              <w:rPr>
                <w:sz w:val="20"/>
                <w:szCs w:val="20"/>
              </w:rPr>
            </w:pPr>
            <w:r w:rsidRPr="008B6A75">
              <w:rPr>
                <w:sz w:val="20"/>
                <w:szCs w:val="20"/>
              </w:rPr>
              <w:t>0,00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5ADE7272" w14:textId="77777777" w:rsidR="00387142" w:rsidRPr="008B6A75" w:rsidRDefault="00387142" w:rsidP="00387142">
            <w:pPr>
              <w:jc w:val="right"/>
              <w:rPr>
                <w:sz w:val="20"/>
                <w:szCs w:val="20"/>
              </w:rPr>
            </w:pPr>
            <w:r w:rsidRPr="008B6A75">
              <w:rPr>
                <w:sz w:val="20"/>
                <w:szCs w:val="20"/>
              </w:rPr>
              <w:t>0,00</w:t>
            </w:r>
          </w:p>
        </w:tc>
        <w:tc>
          <w:tcPr>
            <w:tcW w:w="222" w:type="dxa"/>
            <w:vAlign w:val="center"/>
            <w:hideMark/>
          </w:tcPr>
          <w:p w14:paraId="22D96E3C" w14:textId="77777777" w:rsidR="00387142" w:rsidRPr="008B6A75" w:rsidRDefault="00387142" w:rsidP="00387142">
            <w:pPr>
              <w:rPr>
                <w:sz w:val="20"/>
                <w:szCs w:val="20"/>
              </w:rPr>
            </w:pPr>
          </w:p>
        </w:tc>
      </w:tr>
      <w:tr w:rsidR="00387142" w:rsidRPr="008B6A75" w14:paraId="7CBA06AF" w14:textId="77777777" w:rsidTr="00387142">
        <w:trPr>
          <w:trHeight w:val="300"/>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22E36F4C" w14:textId="77777777" w:rsidR="00387142" w:rsidRPr="008B6A75" w:rsidRDefault="00387142" w:rsidP="00387142">
            <w:pPr>
              <w:rPr>
                <w:sz w:val="20"/>
                <w:szCs w:val="20"/>
              </w:rPr>
            </w:pPr>
            <w:r w:rsidRPr="008B6A75">
              <w:rPr>
                <w:sz w:val="20"/>
                <w:szCs w:val="20"/>
              </w:rPr>
              <w:t>Субсидии бюджетным учреждениям</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0A317AA6" w14:textId="77777777" w:rsidR="00387142" w:rsidRPr="008B6A75" w:rsidRDefault="00387142" w:rsidP="00387142">
            <w:pPr>
              <w:jc w:val="center"/>
              <w:rPr>
                <w:sz w:val="20"/>
                <w:szCs w:val="20"/>
              </w:rPr>
            </w:pPr>
            <w:r w:rsidRPr="008B6A75">
              <w:rPr>
                <w:sz w:val="20"/>
                <w:szCs w:val="20"/>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273AE316" w14:textId="77777777" w:rsidR="00387142" w:rsidRPr="008B6A75" w:rsidRDefault="00387142" w:rsidP="00387142">
            <w:pPr>
              <w:jc w:val="center"/>
              <w:rPr>
                <w:sz w:val="20"/>
                <w:szCs w:val="20"/>
              </w:rPr>
            </w:pPr>
            <w:r w:rsidRPr="008B6A75">
              <w:rPr>
                <w:sz w:val="20"/>
                <w:szCs w:val="20"/>
              </w:rPr>
              <w:t>07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267FFD" w14:textId="77777777" w:rsidR="00387142" w:rsidRPr="008B6A75" w:rsidRDefault="00387142" w:rsidP="00387142">
            <w:pPr>
              <w:jc w:val="center"/>
              <w:rPr>
                <w:sz w:val="20"/>
                <w:szCs w:val="20"/>
              </w:rPr>
            </w:pPr>
            <w:r w:rsidRPr="008B6A75">
              <w:rPr>
                <w:sz w:val="20"/>
                <w:szCs w:val="20"/>
              </w:rPr>
              <w:t>07</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7508BAD7" w14:textId="77777777" w:rsidR="00387142" w:rsidRPr="008B6A75" w:rsidRDefault="00387142" w:rsidP="00387142">
            <w:pPr>
              <w:jc w:val="center"/>
              <w:rPr>
                <w:sz w:val="20"/>
                <w:szCs w:val="20"/>
              </w:rPr>
            </w:pPr>
            <w:r w:rsidRPr="008B6A75">
              <w:rPr>
                <w:sz w:val="20"/>
                <w:szCs w:val="20"/>
              </w:rPr>
              <w:t>03.0.00.79500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F4B134" w14:textId="77777777" w:rsidR="00387142" w:rsidRPr="008B6A75" w:rsidRDefault="00387142" w:rsidP="00387142">
            <w:pPr>
              <w:jc w:val="center"/>
              <w:rPr>
                <w:sz w:val="20"/>
                <w:szCs w:val="20"/>
              </w:rPr>
            </w:pPr>
            <w:r w:rsidRPr="008B6A75">
              <w:rPr>
                <w:sz w:val="20"/>
                <w:szCs w:val="20"/>
              </w:rPr>
              <w:t>610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3F15B2" w14:textId="77777777" w:rsidR="00387142" w:rsidRPr="008B6A75" w:rsidRDefault="00387142" w:rsidP="00387142">
            <w:pPr>
              <w:jc w:val="right"/>
              <w:rPr>
                <w:sz w:val="20"/>
                <w:szCs w:val="20"/>
              </w:rPr>
            </w:pPr>
            <w:r w:rsidRPr="008B6A75">
              <w:rPr>
                <w:sz w:val="20"/>
                <w:szCs w:val="20"/>
              </w:rPr>
              <w:t>900 000,00</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3730269B" w14:textId="77777777" w:rsidR="00387142" w:rsidRPr="008B6A75" w:rsidRDefault="00387142" w:rsidP="00387142">
            <w:pPr>
              <w:jc w:val="right"/>
              <w:rPr>
                <w:sz w:val="20"/>
                <w:szCs w:val="20"/>
              </w:rPr>
            </w:pPr>
            <w:r w:rsidRPr="008B6A75">
              <w:rPr>
                <w:sz w:val="20"/>
                <w:szCs w:val="20"/>
              </w:rPr>
              <w:t>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45D316" w14:textId="77777777" w:rsidR="00387142" w:rsidRPr="008B6A75" w:rsidRDefault="00387142" w:rsidP="00387142">
            <w:pPr>
              <w:jc w:val="right"/>
              <w:rPr>
                <w:sz w:val="20"/>
                <w:szCs w:val="20"/>
              </w:rPr>
            </w:pPr>
            <w:r w:rsidRPr="008B6A75">
              <w:rPr>
                <w:sz w:val="20"/>
                <w:szCs w:val="20"/>
              </w:rPr>
              <w:t>0,00</w:t>
            </w:r>
          </w:p>
        </w:tc>
        <w:tc>
          <w:tcPr>
            <w:tcW w:w="222" w:type="dxa"/>
            <w:vAlign w:val="center"/>
            <w:hideMark/>
          </w:tcPr>
          <w:p w14:paraId="0ABFD779" w14:textId="77777777" w:rsidR="00387142" w:rsidRPr="008B6A75" w:rsidRDefault="00387142" w:rsidP="00387142">
            <w:pPr>
              <w:rPr>
                <w:sz w:val="20"/>
                <w:szCs w:val="20"/>
              </w:rPr>
            </w:pPr>
          </w:p>
        </w:tc>
      </w:tr>
      <w:tr w:rsidR="00387142" w:rsidRPr="008B6A75" w14:paraId="02E41B79" w14:textId="77777777" w:rsidTr="00387142">
        <w:trPr>
          <w:trHeight w:val="870"/>
        </w:trPr>
        <w:tc>
          <w:tcPr>
            <w:tcW w:w="3021" w:type="dxa"/>
            <w:tcBorders>
              <w:top w:val="nil"/>
              <w:left w:val="single" w:sz="4" w:space="0" w:color="auto"/>
              <w:bottom w:val="nil"/>
              <w:right w:val="nil"/>
            </w:tcBorders>
            <w:shd w:val="clear" w:color="auto" w:fill="auto"/>
            <w:vAlign w:val="center"/>
            <w:hideMark/>
          </w:tcPr>
          <w:p w14:paraId="079F5D97" w14:textId="77777777" w:rsidR="00387142" w:rsidRPr="008B6A75" w:rsidRDefault="00387142" w:rsidP="00387142">
            <w:pPr>
              <w:rPr>
                <w:bCs/>
                <w:sz w:val="20"/>
                <w:szCs w:val="20"/>
              </w:rPr>
            </w:pPr>
            <w:r w:rsidRPr="008B6A75">
              <w:rPr>
                <w:bCs/>
                <w:sz w:val="20"/>
                <w:szCs w:val="20"/>
              </w:rPr>
              <w:t>Муниципальная программа "Развитие молодёжной политики в Куйбышевском районе Новосибирской области"</w:t>
            </w:r>
          </w:p>
        </w:tc>
        <w:tc>
          <w:tcPr>
            <w:tcW w:w="850" w:type="dxa"/>
            <w:tcBorders>
              <w:top w:val="nil"/>
              <w:left w:val="single" w:sz="4" w:space="0" w:color="auto"/>
              <w:bottom w:val="nil"/>
              <w:right w:val="nil"/>
            </w:tcBorders>
            <w:shd w:val="clear" w:color="auto" w:fill="auto"/>
            <w:noWrap/>
            <w:vAlign w:val="center"/>
            <w:hideMark/>
          </w:tcPr>
          <w:p w14:paraId="07D620A2" w14:textId="77777777" w:rsidR="00387142" w:rsidRPr="008B6A75" w:rsidRDefault="00387142" w:rsidP="00387142">
            <w:pPr>
              <w:jc w:val="center"/>
              <w:rPr>
                <w:bCs/>
                <w:sz w:val="20"/>
                <w:szCs w:val="20"/>
              </w:rPr>
            </w:pPr>
            <w:r w:rsidRPr="008B6A75">
              <w:rPr>
                <w:bCs/>
                <w:sz w:val="20"/>
                <w:szCs w:val="20"/>
              </w:rPr>
              <w:t>444</w:t>
            </w:r>
          </w:p>
        </w:tc>
        <w:tc>
          <w:tcPr>
            <w:tcW w:w="709" w:type="dxa"/>
            <w:tcBorders>
              <w:top w:val="nil"/>
              <w:left w:val="single" w:sz="4" w:space="0" w:color="auto"/>
              <w:bottom w:val="nil"/>
              <w:right w:val="nil"/>
            </w:tcBorders>
            <w:shd w:val="clear" w:color="auto" w:fill="auto"/>
            <w:noWrap/>
            <w:vAlign w:val="center"/>
            <w:hideMark/>
          </w:tcPr>
          <w:p w14:paraId="3CAE91DC" w14:textId="77777777" w:rsidR="00387142" w:rsidRPr="008B6A75" w:rsidRDefault="00387142" w:rsidP="00387142">
            <w:pPr>
              <w:jc w:val="center"/>
              <w:rPr>
                <w:bCs/>
                <w:sz w:val="20"/>
                <w:szCs w:val="20"/>
              </w:rPr>
            </w:pPr>
            <w:r w:rsidRPr="008B6A75">
              <w:rPr>
                <w:bCs/>
                <w:sz w:val="20"/>
                <w:szCs w:val="20"/>
              </w:rPr>
              <w:t>07</w:t>
            </w:r>
          </w:p>
        </w:tc>
        <w:tc>
          <w:tcPr>
            <w:tcW w:w="709" w:type="dxa"/>
            <w:tcBorders>
              <w:top w:val="nil"/>
              <w:left w:val="single" w:sz="4" w:space="0" w:color="auto"/>
              <w:bottom w:val="nil"/>
              <w:right w:val="single" w:sz="4" w:space="0" w:color="auto"/>
            </w:tcBorders>
            <w:shd w:val="clear" w:color="auto" w:fill="auto"/>
            <w:noWrap/>
            <w:vAlign w:val="center"/>
            <w:hideMark/>
          </w:tcPr>
          <w:p w14:paraId="101E88CE" w14:textId="77777777" w:rsidR="00387142" w:rsidRPr="008B6A75" w:rsidRDefault="00387142" w:rsidP="00387142">
            <w:pPr>
              <w:jc w:val="center"/>
              <w:rPr>
                <w:bCs/>
                <w:sz w:val="20"/>
                <w:szCs w:val="20"/>
              </w:rPr>
            </w:pPr>
            <w:r w:rsidRPr="008B6A75">
              <w:rPr>
                <w:bCs/>
                <w:sz w:val="20"/>
                <w:szCs w:val="20"/>
              </w:rPr>
              <w:t>07</w:t>
            </w:r>
          </w:p>
        </w:tc>
        <w:tc>
          <w:tcPr>
            <w:tcW w:w="1411" w:type="dxa"/>
            <w:tcBorders>
              <w:top w:val="nil"/>
              <w:left w:val="single" w:sz="4" w:space="0" w:color="auto"/>
              <w:bottom w:val="nil"/>
              <w:right w:val="nil"/>
            </w:tcBorders>
            <w:shd w:val="clear" w:color="auto" w:fill="auto"/>
            <w:noWrap/>
            <w:vAlign w:val="center"/>
            <w:hideMark/>
          </w:tcPr>
          <w:p w14:paraId="7E72FF2E" w14:textId="77777777" w:rsidR="00387142" w:rsidRPr="008B6A75" w:rsidRDefault="00387142" w:rsidP="00387142">
            <w:pPr>
              <w:jc w:val="center"/>
              <w:rPr>
                <w:bCs/>
                <w:sz w:val="20"/>
                <w:szCs w:val="20"/>
              </w:rPr>
            </w:pPr>
            <w:r w:rsidRPr="008B6A75">
              <w:rPr>
                <w:bCs/>
                <w:sz w:val="20"/>
                <w:szCs w:val="20"/>
              </w:rPr>
              <w:t>04.0.00.00000</w:t>
            </w:r>
          </w:p>
        </w:tc>
        <w:tc>
          <w:tcPr>
            <w:tcW w:w="955" w:type="dxa"/>
            <w:tcBorders>
              <w:top w:val="nil"/>
              <w:left w:val="single" w:sz="4" w:space="0" w:color="auto"/>
              <w:bottom w:val="nil"/>
              <w:right w:val="single" w:sz="4" w:space="0" w:color="auto"/>
            </w:tcBorders>
            <w:shd w:val="clear" w:color="auto" w:fill="auto"/>
            <w:noWrap/>
            <w:vAlign w:val="center"/>
            <w:hideMark/>
          </w:tcPr>
          <w:p w14:paraId="1CB47855"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nil"/>
              <w:right w:val="single" w:sz="4" w:space="0" w:color="auto"/>
            </w:tcBorders>
            <w:shd w:val="clear" w:color="auto" w:fill="auto"/>
            <w:noWrap/>
            <w:vAlign w:val="center"/>
            <w:hideMark/>
          </w:tcPr>
          <w:p w14:paraId="527908A7" w14:textId="77777777" w:rsidR="00387142" w:rsidRPr="008B6A75" w:rsidRDefault="00387142" w:rsidP="00387142">
            <w:pPr>
              <w:jc w:val="right"/>
              <w:rPr>
                <w:bCs/>
                <w:sz w:val="20"/>
                <w:szCs w:val="20"/>
              </w:rPr>
            </w:pPr>
            <w:r w:rsidRPr="008B6A75">
              <w:rPr>
                <w:bCs/>
                <w:sz w:val="20"/>
                <w:szCs w:val="20"/>
              </w:rPr>
              <w:t>25 774 110,12</w:t>
            </w:r>
          </w:p>
        </w:tc>
        <w:tc>
          <w:tcPr>
            <w:tcW w:w="992" w:type="dxa"/>
            <w:gridSpan w:val="2"/>
            <w:tcBorders>
              <w:top w:val="nil"/>
              <w:left w:val="single" w:sz="4" w:space="0" w:color="auto"/>
              <w:bottom w:val="nil"/>
              <w:right w:val="nil"/>
            </w:tcBorders>
            <w:shd w:val="clear" w:color="auto" w:fill="auto"/>
            <w:noWrap/>
            <w:vAlign w:val="center"/>
            <w:hideMark/>
          </w:tcPr>
          <w:p w14:paraId="084DDC38" w14:textId="77777777" w:rsidR="00387142" w:rsidRPr="008B6A75" w:rsidRDefault="00387142" w:rsidP="00387142">
            <w:pPr>
              <w:jc w:val="right"/>
              <w:rPr>
                <w:bCs/>
                <w:sz w:val="20"/>
                <w:szCs w:val="20"/>
              </w:rPr>
            </w:pPr>
            <w:r w:rsidRPr="008B6A75">
              <w:rPr>
                <w:bCs/>
                <w:sz w:val="20"/>
                <w:szCs w:val="20"/>
              </w:rPr>
              <w:t>17 000 000,00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2E05F2E3" w14:textId="77777777" w:rsidR="00387142" w:rsidRPr="008B6A75" w:rsidRDefault="00387142" w:rsidP="00387142">
            <w:pPr>
              <w:jc w:val="right"/>
              <w:rPr>
                <w:bCs/>
                <w:sz w:val="20"/>
                <w:szCs w:val="20"/>
              </w:rPr>
            </w:pPr>
            <w:r w:rsidRPr="008B6A75">
              <w:rPr>
                <w:bCs/>
                <w:sz w:val="20"/>
                <w:szCs w:val="20"/>
              </w:rPr>
              <w:t>17 000 000,00</w:t>
            </w:r>
          </w:p>
        </w:tc>
        <w:tc>
          <w:tcPr>
            <w:tcW w:w="222" w:type="dxa"/>
            <w:vAlign w:val="center"/>
            <w:hideMark/>
          </w:tcPr>
          <w:p w14:paraId="3543BE31" w14:textId="77777777" w:rsidR="00387142" w:rsidRPr="008B6A75" w:rsidRDefault="00387142" w:rsidP="00387142">
            <w:pPr>
              <w:rPr>
                <w:sz w:val="20"/>
                <w:szCs w:val="20"/>
              </w:rPr>
            </w:pPr>
          </w:p>
        </w:tc>
      </w:tr>
      <w:tr w:rsidR="00387142" w:rsidRPr="008B6A75" w14:paraId="3E7B44E8" w14:textId="77777777" w:rsidTr="00387142">
        <w:trPr>
          <w:trHeight w:val="1155"/>
        </w:trPr>
        <w:tc>
          <w:tcPr>
            <w:tcW w:w="3021" w:type="dxa"/>
            <w:tcBorders>
              <w:top w:val="single" w:sz="4" w:space="0" w:color="auto"/>
              <w:left w:val="single" w:sz="4" w:space="0" w:color="auto"/>
              <w:bottom w:val="nil"/>
              <w:right w:val="nil"/>
            </w:tcBorders>
            <w:shd w:val="clear" w:color="auto" w:fill="auto"/>
            <w:vAlign w:val="center"/>
            <w:hideMark/>
          </w:tcPr>
          <w:p w14:paraId="03FE90E1" w14:textId="77777777" w:rsidR="00387142" w:rsidRPr="008B6A75" w:rsidRDefault="00387142" w:rsidP="00387142">
            <w:pPr>
              <w:rPr>
                <w:bCs/>
                <w:sz w:val="20"/>
                <w:szCs w:val="20"/>
              </w:rPr>
            </w:pPr>
            <w:r w:rsidRPr="008B6A75">
              <w:rPr>
                <w:bCs/>
                <w:sz w:val="20"/>
                <w:szCs w:val="20"/>
              </w:rPr>
              <w:t>Расходы на обеспечение деятельности (оказание услуг) муниципальных учреждений по организационно-воспитательной работе с молодежью</w:t>
            </w:r>
          </w:p>
        </w:tc>
        <w:tc>
          <w:tcPr>
            <w:tcW w:w="850" w:type="dxa"/>
            <w:tcBorders>
              <w:top w:val="single" w:sz="4" w:space="0" w:color="auto"/>
              <w:left w:val="single" w:sz="4" w:space="0" w:color="auto"/>
              <w:bottom w:val="nil"/>
              <w:right w:val="nil"/>
            </w:tcBorders>
            <w:shd w:val="clear" w:color="auto" w:fill="auto"/>
            <w:noWrap/>
            <w:vAlign w:val="center"/>
            <w:hideMark/>
          </w:tcPr>
          <w:p w14:paraId="5808C9C0" w14:textId="77777777" w:rsidR="00387142" w:rsidRPr="008B6A75" w:rsidRDefault="00387142" w:rsidP="00387142">
            <w:pPr>
              <w:jc w:val="center"/>
              <w:rPr>
                <w:bCs/>
                <w:sz w:val="20"/>
                <w:szCs w:val="20"/>
              </w:rPr>
            </w:pPr>
            <w:r w:rsidRPr="008B6A75">
              <w:rPr>
                <w:bCs/>
                <w:sz w:val="20"/>
                <w:szCs w:val="20"/>
              </w:rPr>
              <w:t>444</w:t>
            </w:r>
          </w:p>
        </w:tc>
        <w:tc>
          <w:tcPr>
            <w:tcW w:w="709" w:type="dxa"/>
            <w:tcBorders>
              <w:top w:val="single" w:sz="4" w:space="0" w:color="auto"/>
              <w:left w:val="single" w:sz="4" w:space="0" w:color="auto"/>
              <w:bottom w:val="nil"/>
              <w:right w:val="nil"/>
            </w:tcBorders>
            <w:shd w:val="clear" w:color="auto" w:fill="auto"/>
            <w:noWrap/>
            <w:vAlign w:val="center"/>
            <w:hideMark/>
          </w:tcPr>
          <w:p w14:paraId="6430BC8E" w14:textId="77777777" w:rsidR="00387142" w:rsidRPr="008B6A75" w:rsidRDefault="00387142" w:rsidP="00387142">
            <w:pPr>
              <w:jc w:val="center"/>
              <w:rPr>
                <w:bCs/>
                <w:sz w:val="20"/>
                <w:szCs w:val="20"/>
              </w:rPr>
            </w:pPr>
            <w:r w:rsidRPr="008B6A75">
              <w:rPr>
                <w:bCs/>
                <w:sz w:val="20"/>
                <w:szCs w:val="20"/>
              </w:rPr>
              <w:t>07</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3CBE8122" w14:textId="77777777" w:rsidR="00387142" w:rsidRPr="008B6A75" w:rsidRDefault="00387142" w:rsidP="00387142">
            <w:pPr>
              <w:jc w:val="center"/>
              <w:rPr>
                <w:bCs/>
                <w:sz w:val="20"/>
                <w:szCs w:val="20"/>
              </w:rPr>
            </w:pPr>
            <w:r w:rsidRPr="008B6A75">
              <w:rPr>
                <w:bCs/>
                <w:sz w:val="20"/>
                <w:szCs w:val="20"/>
              </w:rPr>
              <w:t>07</w:t>
            </w:r>
          </w:p>
        </w:tc>
        <w:tc>
          <w:tcPr>
            <w:tcW w:w="1411" w:type="dxa"/>
            <w:tcBorders>
              <w:top w:val="single" w:sz="4" w:space="0" w:color="auto"/>
              <w:left w:val="single" w:sz="4" w:space="0" w:color="auto"/>
              <w:bottom w:val="nil"/>
              <w:right w:val="nil"/>
            </w:tcBorders>
            <w:shd w:val="clear" w:color="auto" w:fill="auto"/>
            <w:noWrap/>
            <w:vAlign w:val="center"/>
            <w:hideMark/>
          </w:tcPr>
          <w:p w14:paraId="736CBE41" w14:textId="77777777" w:rsidR="00387142" w:rsidRPr="008B6A75" w:rsidRDefault="00387142" w:rsidP="00387142">
            <w:pPr>
              <w:jc w:val="center"/>
              <w:rPr>
                <w:bCs/>
                <w:sz w:val="20"/>
                <w:szCs w:val="20"/>
              </w:rPr>
            </w:pPr>
            <w:r w:rsidRPr="008B6A75">
              <w:rPr>
                <w:bCs/>
                <w:sz w:val="20"/>
                <w:szCs w:val="20"/>
              </w:rPr>
              <w:t>04.0.00.07590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2DCBB9B4" w14:textId="77777777" w:rsidR="00387142" w:rsidRPr="008B6A75" w:rsidRDefault="00387142" w:rsidP="00387142">
            <w:pPr>
              <w:jc w:val="center"/>
              <w:rPr>
                <w:bCs/>
                <w:sz w:val="20"/>
                <w:szCs w:val="20"/>
              </w:rPr>
            </w:pPr>
            <w:r w:rsidRPr="008B6A75">
              <w:rPr>
                <w:bCs/>
                <w:sz w:val="20"/>
                <w:szCs w:val="20"/>
              </w:rPr>
              <w:t> </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7B9FEC0E" w14:textId="77777777" w:rsidR="00387142" w:rsidRPr="008B6A75" w:rsidRDefault="00387142" w:rsidP="00387142">
            <w:pPr>
              <w:jc w:val="right"/>
              <w:rPr>
                <w:bCs/>
                <w:sz w:val="20"/>
                <w:szCs w:val="20"/>
              </w:rPr>
            </w:pPr>
            <w:r w:rsidRPr="008B6A75">
              <w:rPr>
                <w:bCs/>
                <w:sz w:val="20"/>
                <w:szCs w:val="20"/>
              </w:rPr>
              <w:t>20 864 910,12</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412FC1BB" w14:textId="77777777" w:rsidR="00387142" w:rsidRPr="008B6A75" w:rsidRDefault="00387142" w:rsidP="00387142">
            <w:pPr>
              <w:jc w:val="right"/>
              <w:rPr>
                <w:bCs/>
                <w:sz w:val="20"/>
                <w:szCs w:val="20"/>
              </w:rPr>
            </w:pPr>
            <w:r w:rsidRPr="008B6A75">
              <w:rPr>
                <w:bCs/>
                <w:sz w:val="20"/>
                <w:szCs w:val="20"/>
              </w:rPr>
              <w:t>17 000 000,00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60280B75" w14:textId="77777777" w:rsidR="00387142" w:rsidRPr="008B6A75" w:rsidRDefault="00387142" w:rsidP="00387142">
            <w:pPr>
              <w:jc w:val="right"/>
              <w:rPr>
                <w:bCs/>
                <w:sz w:val="20"/>
                <w:szCs w:val="20"/>
              </w:rPr>
            </w:pPr>
            <w:r w:rsidRPr="008B6A75">
              <w:rPr>
                <w:bCs/>
                <w:sz w:val="20"/>
                <w:szCs w:val="20"/>
              </w:rPr>
              <w:t>17 000 000,00</w:t>
            </w:r>
          </w:p>
        </w:tc>
        <w:tc>
          <w:tcPr>
            <w:tcW w:w="222" w:type="dxa"/>
            <w:vAlign w:val="center"/>
            <w:hideMark/>
          </w:tcPr>
          <w:p w14:paraId="7B4C7040" w14:textId="77777777" w:rsidR="00387142" w:rsidRPr="008B6A75" w:rsidRDefault="00387142" w:rsidP="00387142">
            <w:pPr>
              <w:rPr>
                <w:sz w:val="20"/>
                <w:szCs w:val="20"/>
              </w:rPr>
            </w:pPr>
          </w:p>
        </w:tc>
      </w:tr>
      <w:tr w:rsidR="00387142" w:rsidRPr="008B6A75" w14:paraId="34DCDF8A" w14:textId="77777777" w:rsidTr="00387142">
        <w:trPr>
          <w:trHeight w:val="1440"/>
        </w:trPr>
        <w:tc>
          <w:tcPr>
            <w:tcW w:w="3021" w:type="dxa"/>
            <w:tcBorders>
              <w:top w:val="single" w:sz="4" w:space="0" w:color="auto"/>
              <w:left w:val="single" w:sz="4" w:space="0" w:color="auto"/>
              <w:bottom w:val="nil"/>
              <w:right w:val="nil"/>
            </w:tcBorders>
            <w:shd w:val="clear" w:color="auto" w:fill="auto"/>
            <w:vAlign w:val="center"/>
            <w:hideMark/>
          </w:tcPr>
          <w:p w14:paraId="1A0F434A" w14:textId="77777777" w:rsidR="00387142" w:rsidRPr="008B6A75" w:rsidRDefault="00387142" w:rsidP="00387142">
            <w:pPr>
              <w:rPr>
                <w:sz w:val="20"/>
                <w:szCs w:val="20"/>
              </w:rPr>
            </w:pPr>
            <w:r w:rsidRPr="008B6A75">
              <w:rPr>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8B6A75">
              <w:rPr>
                <w:sz w:val="20"/>
                <w:szCs w:val="20"/>
              </w:rPr>
              <w:lastRenderedPageBreak/>
              <w:t>государственными внебюджетными фондами</w:t>
            </w:r>
          </w:p>
        </w:tc>
        <w:tc>
          <w:tcPr>
            <w:tcW w:w="850" w:type="dxa"/>
            <w:tcBorders>
              <w:top w:val="single" w:sz="4" w:space="0" w:color="auto"/>
              <w:left w:val="single" w:sz="4" w:space="0" w:color="auto"/>
              <w:bottom w:val="nil"/>
              <w:right w:val="nil"/>
            </w:tcBorders>
            <w:shd w:val="clear" w:color="auto" w:fill="auto"/>
            <w:noWrap/>
            <w:vAlign w:val="center"/>
            <w:hideMark/>
          </w:tcPr>
          <w:p w14:paraId="56951A8A" w14:textId="77777777" w:rsidR="00387142" w:rsidRPr="008B6A75" w:rsidRDefault="00387142" w:rsidP="00387142">
            <w:pPr>
              <w:jc w:val="center"/>
              <w:rPr>
                <w:sz w:val="20"/>
                <w:szCs w:val="20"/>
              </w:rPr>
            </w:pPr>
            <w:r w:rsidRPr="008B6A75">
              <w:rPr>
                <w:sz w:val="20"/>
                <w:szCs w:val="20"/>
              </w:rPr>
              <w:lastRenderedPageBreak/>
              <w:t>444</w:t>
            </w:r>
          </w:p>
        </w:tc>
        <w:tc>
          <w:tcPr>
            <w:tcW w:w="709" w:type="dxa"/>
            <w:tcBorders>
              <w:top w:val="single" w:sz="4" w:space="0" w:color="auto"/>
              <w:left w:val="single" w:sz="4" w:space="0" w:color="auto"/>
              <w:bottom w:val="nil"/>
              <w:right w:val="nil"/>
            </w:tcBorders>
            <w:shd w:val="clear" w:color="auto" w:fill="auto"/>
            <w:noWrap/>
            <w:vAlign w:val="center"/>
            <w:hideMark/>
          </w:tcPr>
          <w:p w14:paraId="312803DD" w14:textId="77777777" w:rsidR="00387142" w:rsidRPr="008B6A75" w:rsidRDefault="00387142" w:rsidP="00387142">
            <w:pPr>
              <w:jc w:val="center"/>
              <w:rPr>
                <w:sz w:val="20"/>
                <w:szCs w:val="20"/>
              </w:rPr>
            </w:pPr>
            <w:r w:rsidRPr="008B6A75">
              <w:rPr>
                <w:sz w:val="20"/>
                <w:szCs w:val="20"/>
              </w:rPr>
              <w:t>07</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6729060E" w14:textId="77777777" w:rsidR="00387142" w:rsidRPr="008B6A75" w:rsidRDefault="00387142" w:rsidP="00387142">
            <w:pPr>
              <w:jc w:val="center"/>
              <w:rPr>
                <w:sz w:val="20"/>
                <w:szCs w:val="20"/>
              </w:rPr>
            </w:pPr>
            <w:r w:rsidRPr="008B6A75">
              <w:rPr>
                <w:sz w:val="20"/>
                <w:szCs w:val="20"/>
              </w:rPr>
              <w:t>07</w:t>
            </w:r>
          </w:p>
        </w:tc>
        <w:tc>
          <w:tcPr>
            <w:tcW w:w="1411" w:type="dxa"/>
            <w:tcBorders>
              <w:top w:val="single" w:sz="4" w:space="0" w:color="auto"/>
              <w:left w:val="single" w:sz="4" w:space="0" w:color="auto"/>
              <w:bottom w:val="nil"/>
              <w:right w:val="nil"/>
            </w:tcBorders>
            <w:shd w:val="clear" w:color="auto" w:fill="auto"/>
            <w:noWrap/>
            <w:vAlign w:val="center"/>
            <w:hideMark/>
          </w:tcPr>
          <w:p w14:paraId="2BDA3FF2" w14:textId="77777777" w:rsidR="00387142" w:rsidRPr="008B6A75" w:rsidRDefault="00387142" w:rsidP="00387142">
            <w:pPr>
              <w:jc w:val="center"/>
              <w:rPr>
                <w:sz w:val="20"/>
                <w:szCs w:val="20"/>
              </w:rPr>
            </w:pPr>
            <w:r w:rsidRPr="008B6A75">
              <w:rPr>
                <w:sz w:val="20"/>
                <w:szCs w:val="20"/>
              </w:rPr>
              <w:t>04.0.00.07590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6ED4003A" w14:textId="77777777" w:rsidR="00387142" w:rsidRPr="008B6A75" w:rsidRDefault="00387142" w:rsidP="00387142">
            <w:pPr>
              <w:jc w:val="center"/>
              <w:rPr>
                <w:sz w:val="20"/>
                <w:szCs w:val="20"/>
              </w:rPr>
            </w:pPr>
            <w:r w:rsidRPr="008B6A75">
              <w:rPr>
                <w:sz w:val="20"/>
                <w:szCs w:val="20"/>
              </w:rPr>
              <w:t>100</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56199EB0" w14:textId="77777777" w:rsidR="00387142" w:rsidRPr="008B6A75" w:rsidRDefault="00387142" w:rsidP="00387142">
            <w:pPr>
              <w:jc w:val="right"/>
              <w:rPr>
                <w:sz w:val="20"/>
                <w:szCs w:val="20"/>
              </w:rPr>
            </w:pPr>
            <w:r w:rsidRPr="008B6A75">
              <w:rPr>
                <w:sz w:val="20"/>
                <w:szCs w:val="20"/>
              </w:rPr>
              <w:t>0,00</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2FE9BC40" w14:textId="77777777" w:rsidR="00387142" w:rsidRPr="008B6A75" w:rsidRDefault="00387142" w:rsidP="00387142">
            <w:pPr>
              <w:jc w:val="right"/>
              <w:rPr>
                <w:sz w:val="20"/>
                <w:szCs w:val="20"/>
              </w:rPr>
            </w:pPr>
            <w:r w:rsidRPr="008B6A75">
              <w:rPr>
                <w:sz w:val="20"/>
                <w:szCs w:val="20"/>
              </w:rPr>
              <w:t>10 000 000,00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34E7B5D2" w14:textId="77777777" w:rsidR="00387142" w:rsidRPr="008B6A75" w:rsidRDefault="00387142" w:rsidP="00387142">
            <w:pPr>
              <w:jc w:val="right"/>
              <w:rPr>
                <w:sz w:val="20"/>
                <w:szCs w:val="20"/>
              </w:rPr>
            </w:pPr>
            <w:r w:rsidRPr="008B6A75">
              <w:rPr>
                <w:sz w:val="20"/>
                <w:szCs w:val="20"/>
              </w:rPr>
              <w:t>10 000 000,00</w:t>
            </w:r>
          </w:p>
        </w:tc>
        <w:tc>
          <w:tcPr>
            <w:tcW w:w="222" w:type="dxa"/>
            <w:vAlign w:val="center"/>
            <w:hideMark/>
          </w:tcPr>
          <w:p w14:paraId="38371993" w14:textId="77777777" w:rsidR="00387142" w:rsidRPr="008B6A75" w:rsidRDefault="00387142" w:rsidP="00387142">
            <w:pPr>
              <w:rPr>
                <w:sz w:val="20"/>
                <w:szCs w:val="20"/>
              </w:rPr>
            </w:pPr>
          </w:p>
        </w:tc>
      </w:tr>
      <w:tr w:rsidR="00387142" w:rsidRPr="008B6A75" w14:paraId="486BD3EB" w14:textId="77777777" w:rsidTr="00387142">
        <w:trPr>
          <w:trHeight w:val="585"/>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18788162" w14:textId="77777777" w:rsidR="00387142" w:rsidRPr="008B6A75" w:rsidRDefault="00387142" w:rsidP="00387142">
            <w:pPr>
              <w:rPr>
                <w:sz w:val="20"/>
                <w:szCs w:val="20"/>
              </w:rPr>
            </w:pPr>
            <w:r w:rsidRPr="008B6A75">
              <w:rPr>
                <w:sz w:val="20"/>
                <w:szCs w:val="20"/>
              </w:rPr>
              <w:t>Расходы на выплаты персоналу казенных учреждений</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620854AE" w14:textId="77777777" w:rsidR="00387142" w:rsidRPr="008B6A75" w:rsidRDefault="00387142" w:rsidP="00387142">
            <w:pPr>
              <w:jc w:val="center"/>
              <w:rPr>
                <w:sz w:val="20"/>
                <w:szCs w:val="20"/>
              </w:rPr>
            </w:pPr>
            <w:r w:rsidRPr="008B6A75">
              <w:rPr>
                <w:sz w:val="20"/>
                <w:szCs w:val="20"/>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74A58D5F" w14:textId="77777777" w:rsidR="00387142" w:rsidRPr="008B6A75" w:rsidRDefault="00387142" w:rsidP="00387142">
            <w:pPr>
              <w:jc w:val="center"/>
              <w:rPr>
                <w:sz w:val="20"/>
                <w:szCs w:val="20"/>
              </w:rPr>
            </w:pPr>
            <w:r w:rsidRPr="008B6A75">
              <w:rPr>
                <w:sz w:val="20"/>
                <w:szCs w:val="20"/>
              </w:rPr>
              <w:t>07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2D6083" w14:textId="77777777" w:rsidR="00387142" w:rsidRPr="008B6A75" w:rsidRDefault="00387142" w:rsidP="00387142">
            <w:pPr>
              <w:jc w:val="center"/>
              <w:rPr>
                <w:sz w:val="20"/>
                <w:szCs w:val="20"/>
              </w:rPr>
            </w:pPr>
            <w:r w:rsidRPr="008B6A75">
              <w:rPr>
                <w:sz w:val="20"/>
                <w:szCs w:val="20"/>
              </w:rPr>
              <w:t>07</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7DDC43C0" w14:textId="77777777" w:rsidR="00387142" w:rsidRPr="008B6A75" w:rsidRDefault="00387142" w:rsidP="00387142">
            <w:pPr>
              <w:jc w:val="center"/>
              <w:rPr>
                <w:sz w:val="20"/>
                <w:szCs w:val="20"/>
              </w:rPr>
            </w:pPr>
            <w:r w:rsidRPr="008B6A75">
              <w:rPr>
                <w:sz w:val="20"/>
                <w:szCs w:val="20"/>
              </w:rPr>
              <w:t>04.0.00.07590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200581" w14:textId="77777777" w:rsidR="00387142" w:rsidRPr="008B6A75" w:rsidRDefault="00387142" w:rsidP="00387142">
            <w:pPr>
              <w:jc w:val="center"/>
              <w:rPr>
                <w:sz w:val="20"/>
                <w:szCs w:val="20"/>
              </w:rPr>
            </w:pPr>
            <w:r w:rsidRPr="008B6A75">
              <w:rPr>
                <w:sz w:val="20"/>
                <w:szCs w:val="20"/>
              </w:rPr>
              <w:t>110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7FD6F2" w14:textId="77777777" w:rsidR="00387142" w:rsidRPr="008B6A75" w:rsidRDefault="00387142" w:rsidP="00387142">
            <w:pPr>
              <w:jc w:val="right"/>
              <w:rPr>
                <w:sz w:val="20"/>
                <w:szCs w:val="20"/>
              </w:rPr>
            </w:pPr>
            <w:r w:rsidRPr="008B6A75">
              <w:rPr>
                <w:sz w:val="20"/>
                <w:szCs w:val="20"/>
              </w:rPr>
              <w:t>0,00</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6465B46A" w14:textId="77777777" w:rsidR="00387142" w:rsidRPr="008B6A75" w:rsidRDefault="00387142" w:rsidP="00387142">
            <w:pPr>
              <w:jc w:val="right"/>
              <w:rPr>
                <w:sz w:val="20"/>
                <w:szCs w:val="20"/>
              </w:rPr>
            </w:pPr>
            <w:r w:rsidRPr="008B6A75">
              <w:rPr>
                <w:sz w:val="20"/>
                <w:szCs w:val="20"/>
              </w:rPr>
              <w:t>10 000 000,00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C730AF" w14:textId="77777777" w:rsidR="00387142" w:rsidRPr="008B6A75" w:rsidRDefault="00387142" w:rsidP="00387142">
            <w:pPr>
              <w:jc w:val="right"/>
              <w:rPr>
                <w:sz w:val="20"/>
                <w:szCs w:val="20"/>
              </w:rPr>
            </w:pPr>
            <w:r w:rsidRPr="008B6A75">
              <w:rPr>
                <w:sz w:val="20"/>
                <w:szCs w:val="20"/>
              </w:rPr>
              <w:t>10 000 000,00</w:t>
            </w:r>
          </w:p>
        </w:tc>
        <w:tc>
          <w:tcPr>
            <w:tcW w:w="222" w:type="dxa"/>
            <w:vAlign w:val="center"/>
            <w:hideMark/>
          </w:tcPr>
          <w:p w14:paraId="70A36BCF" w14:textId="77777777" w:rsidR="00387142" w:rsidRPr="008B6A75" w:rsidRDefault="00387142" w:rsidP="00387142">
            <w:pPr>
              <w:rPr>
                <w:sz w:val="20"/>
                <w:szCs w:val="20"/>
              </w:rPr>
            </w:pPr>
          </w:p>
        </w:tc>
      </w:tr>
      <w:tr w:rsidR="00387142" w:rsidRPr="008B6A75" w14:paraId="2D4925AC" w14:textId="77777777" w:rsidTr="00387142">
        <w:trPr>
          <w:trHeight w:val="585"/>
        </w:trPr>
        <w:tc>
          <w:tcPr>
            <w:tcW w:w="3021" w:type="dxa"/>
            <w:tcBorders>
              <w:top w:val="nil"/>
              <w:left w:val="single" w:sz="4" w:space="0" w:color="auto"/>
              <w:bottom w:val="nil"/>
              <w:right w:val="nil"/>
            </w:tcBorders>
            <w:shd w:val="clear" w:color="auto" w:fill="auto"/>
            <w:vAlign w:val="center"/>
            <w:hideMark/>
          </w:tcPr>
          <w:p w14:paraId="6BADB19D" w14:textId="77777777" w:rsidR="00387142" w:rsidRPr="008B6A75" w:rsidRDefault="00387142" w:rsidP="00387142">
            <w:pPr>
              <w:rPr>
                <w:sz w:val="20"/>
                <w:szCs w:val="20"/>
              </w:rPr>
            </w:pPr>
            <w:r w:rsidRPr="008B6A75">
              <w:rPr>
                <w:sz w:val="20"/>
                <w:szCs w:val="20"/>
              </w:rPr>
              <w:t>Закупка товаров, работ и услуг для обеспечения государственных (муниципальных) нужд</w:t>
            </w:r>
          </w:p>
        </w:tc>
        <w:tc>
          <w:tcPr>
            <w:tcW w:w="850" w:type="dxa"/>
            <w:tcBorders>
              <w:top w:val="nil"/>
              <w:left w:val="single" w:sz="4" w:space="0" w:color="auto"/>
              <w:bottom w:val="nil"/>
              <w:right w:val="nil"/>
            </w:tcBorders>
            <w:shd w:val="clear" w:color="auto" w:fill="auto"/>
            <w:noWrap/>
            <w:vAlign w:val="center"/>
            <w:hideMark/>
          </w:tcPr>
          <w:p w14:paraId="0183CCAD" w14:textId="77777777" w:rsidR="00387142" w:rsidRPr="008B6A75" w:rsidRDefault="00387142" w:rsidP="00387142">
            <w:pPr>
              <w:jc w:val="center"/>
              <w:rPr>
                <w:sz w:val="20"/>
                <w:szCs w:val="20"/>
              </w:rPr>
            </w:pPr>
            <w:r w:rsidRPr="008B6A75">
              <w:rPr>
                <w:sz w:val="20"/>
                <w:szCs w:val="20"/>
              </w:rPr>
              <w:t>444</w:t>
            </w:r>
          </w:p>
        </w:tc>
        <w:tc>
          <w:tcPr>
            <w:tcW w:w="709" w:type="dxa"/>
            <w:tcBorders>
              <w:top w:val="nil"/>
              <w:left w:val="single" w:sz="4" w:space="0" w:color="auto"/>
              <w:bottom w:val="nil"/>
              <w:right w:val="nil"/>
            </w:tcBorders>
            <w:shd w:val="clear" w:color="auto" w:fill="auto"/>
            <w:noWrap/>
            <w:vAlign w:val="center"/>
            <w:hideMark/>
          </w:tcPr>
          <w:p w14:paraId="384FA70B" w14:textId="77777777" w:rsidR="00387142" w:rsidRPr="008B6A75" w:rsidRDefault="00387142" w:rsidP="00387142">
            <w:pPr>
              <w:jc w:val="center"/>
              <w:rPr>
                <w:sz w:val="20"/>
                <w:szCs w:val="20"/>
              </w:rPr>
            </w:pPr>
            <w:r w:rsidRPr="008B6A75">
              <w:rPr>
                <w:sz w:val="20"/>
                <w:szCs w:val="20"/>
              </w:rPr>
              <w:t>07</w:t>
            </w:r>
          </w:p>
        </w:tc>
        <w:tc>
          <w:tcPr>
            <w:tcW w:w="709" w:type="dxa"/>
            <w:tcBorders>
              <w:top w:val="nil"/>
              <w:left w:val="single" w:sz="4" w:space="0" w:color="auto"/>
              <w:bottom w:val="nil"/>
              <w:right w:val="single" w:sz="4" w:space="0" w:color="auto"/>
            </w:tcBorders>
            <w:shd w:val="clear" w:color="auto" w:fill="auto"/>
            <w:noWrap/>
            <w:vAlign w:val="center"/>
            <w:hideMark/>
          </w:tcPr>
          <w:p w14:paraId="62C8328D" w14:textId="77777777" w:rsidR="00387142" w:rsidRPr="008B6A75" w:rsidRDefault="00387142" w:rsidP="00387142">
            <w:pPr>
              <w:jc w:val="center"/>
              <w:rPr>
                <w:sz w:val="20"/>
                <w:szCs w:val="20"/>
              </w:rPr>
            </w:pPr>
            <w:r w:rsidRPr="008B6A75">
              <w:rPr>
                <w:sz w:val="20"/>
                <w:szCs w:val="20"/>
              </w:rPr>
              <w:t>07</w:t>
            </w:r>
          </w:p>
        </w:tc>
        <w:tc>
          <w:tcPr>
            <w:tcW w:w="1411" w:type="dxa"/>
            <w:tcBorders>
              <w:top w:val="nil"/>
              <w:left w:val="single" w:sz="4" w:space="0" w:color="auto"/>
              <w:bottom w:val="nil"/>
              <w:right w:val="nil"/>
            </w:tcBorders>
            <w:shd w:val="clear" w:color="auto" w:fill="auto"/>
            <w:noWrap/>
            <w:vAlign w:val="center"/>
            <w:hideMark/>
          </w:tcPr>
          <w:p w14:paraId="3548438F" w14:textId="77777777" w:rsidR="00387142" w:rsidRPr="008B6A75" w:rsidRDefault="00387142" w:rsidP="00387142">
            <w:pPr>
              <w:jc w:val="center"/>
              <w:rPr>
                <w:sz w:val="20"/>
                <w:szCs w:val="20"/>
              </w:rPr>
            </w:pPr>
            <w:r w:rsidRPr="008B6A75">
              <w:rPr>
                <w:sz w:val="20"/>
                <w:szCs w:val="20"/>
              </w:rPr>
              <w:t>04.0.00.07590</w:t>
            </w:r>
          </w:p>
        </w:tc>
        <w:tc>
          <w:tcPr>
            <w:tcW w:w="955" w:type="dxa"/>
            <w:tcBorders>
              <w:top w:val="nil"/>
              <w:left w:val="single" w:sz="4" w:space="0" w:color="auto"/>
              <w:bottom w:val="nil"/>
              <w:right w:val="single" w:sz="4" w:space="0" w:color="auto"/>
            </w:tcBorders>
            <w:shd w:val="clear" w:color="auto" w:fill="auto"/>
            <w:noWrap/>
            <w:vAlign w:val="center"/>
            <w:hideMark/>
          </w:tcPr>
          <w:p w14:paraId="305493DA" w14:textId="77777777" w:rsidR="00387142" w:rsidRPr="008B6A75" w:rsidRDefault="00387142" w:rsidP="00387142">
            <w:pPr>
              <w:jc w:val="center"/>
              <w:rPr>
                <w:sz w:val="20"/>
                <w:szCs w:val="20"/>
              </w:rPr>
            </w:pPr>
            <w:r w:rsidRPr="008B6A75">
              <w:rPr>
                <w:sz w:val="20"/>
                <w:szCs w:val="20"/>
              </w:rPr>
              <w:t>200</w:t>
            </w:r>
          </w:p>
        </w:tc>
        <w:tc>
          <w:tcPr>
            <w:tcW w:w="992" w:type="dxa"/>
            <w:tcBorders>
              <w:top w:val="nil"/>
              <w:left w:val="single" w:sz="4" w:space="0" w:color="auto"/>
              <w:bottom w:val="nil"/>
              <w:right w:val="single" w:sz="4" w:space="0" w:color="auto"/>
            </w:tcBorders>
            <w:shd w:val="clear" w:color="auto" w:fill="auto"/>
            <w:noWrap/>
            <w:vAlign w:val="center"/>
            <w:hideMark/>
          </w:tcPr>
          <w:p w14:paraId="37B8CFF0" w14:textId="77777777" w:rsidR="00387142" w:rsidRPr="008B6A75" w:rsidRDefault="00387142" w:rsidP="00387142">
            <w:pPr>
              <w:jc w:val="right"/>
              <w:rPr>
                <w:sz w:val="20"/>
                <w:szCs w:val="20"/>
              </w:rPr>
            </w:pPr>
            <w:r w:rsidRPr="008B6A75">
              <w:rPr>
                <w:sz w:val="20"/>
                <w:szCs w:val="20"/>
              </w:rPr>
              <w:t>0,00</w:t>
            </w:r>
          </w:p>
        </w:tc>
        <w:tc>
          <w:tcPr>
            <w:tcW w:w="992" w:type="dxa"/>
            <w:gridSpan w:val="2"/>
            <w:tcBorders>
              <w:top w:val="nil"/>
              <w:left w:val="single" w:sz="4" w:space="0" w:color="auto"/>
              <w:bottom w:val="nil"/>
              <w:right w:val="nil"/>
            </w:tcBorders>
            <w:shd w:val="clear" w:color="auto" w:fill="auto"/>
            <w:noWrap/>
            <w:vAlign w:val="center"/>
            <w:hideMark/>
          </w:tcPr>
          <w:p w14:paraId="480DF770" w14:textId="77777777" w:rsidR="00387142" w:rsidRPr="008B6A75" w:rsidRDefault="00387142" w:rsidP="00387142">
            <w:pPr>
              <w:jc w:val="right"/>
              <w:rPr>
                <w:sz w:val="20"/>
                <w:szCs w:val="20"/>
              </w:rPr>
            </w:pPr>
            <w:r w:rsidRPr="008B6A75">
              <w:rPr>
                <w:sz w:val="20"/>
                <w:szCs w:val="20"/>
              </w:rPr>
              <w:t>2 000 000,00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5ADA67F1" w14:textId="77777777" w:rsidR="00387142" w:rsidRPr="008B6A75" w:rsidRDefault="00387142" w:rsidP="00387142">
            <w:pPr>
              <w:jc w:val="right"/>
              <w:rPr>
                <w:sz w:val="20"/>
                <w:szCs w:val="20"/>
              </w:rPr>
            </w:pPr>
            <w:r w:rsidRPr="008B6A75">
              <w:rPr>
                <w:sz w:val="20"/>
                <w:szCs w:val="20"/>
              </w:rPr>
              <w:t>2 000 000,00</w:t>
            </w:r>
          </w:p>
        </w:tc>
        <w:tc>
          <w:tcPr>
            <w:tcW w:w="222" w:type="dxa"/>
            <w:vAlign w:val="center"/>
            <w:hideMark/>
          </w:tcPr>
          <w:p w14:paraId="07D263BE" w14:textId="77777777" w:rsidR="00387142" w:rsidRPr="008B6A75" w:rsidRDefault="00387142" w:rsidP="00387142">
            <w:pPr>
              <w:rPr>
                <w:sz w:val="20"/>
                <w:szCs w:val="20"/>
              </w:rPr>
            </w:pPr>
          </w:p>
        </w:tc>
      </w:tr>
      <w:tr w:rsidR="00387142" w:rsidRPr="008B6A75" w14:paraId="62F72E08" w14:textId="77777777" w:rsidTr="00387142">
        <w:trPr>
          <w:trHeight w:val="870"/>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6A37136B" w14:textId="77777777" w:rsidR="00387142" w:rsidRPr="008B6A75" w:rsidRDefault="00387142" w:rsidP="00387142">
            <w:pPr>
              <w:rPr>
                <w:sz w:val="20"/>
                <w:szCs w:val="20"/>
              </w:rPr>
            </w:pPr>
            <w:r w:rsidRPr="008B6A75">
              <w:rPr>
                <w:sz w:val="20"/>
                <w:szCs w:val="20"/>
              </w:rPr>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5DF0EB34" w14:textId="77777777" w:rsidR="00387142" w:rsidRPr="008B6A75" w:rsidRDefault="00387142" w:rsidP="00387142">
            <w:pPr>
              <w:jc w:val="center"/>
              <w:rPr>
                <w:sz w:val="20"/>
                <w:szCs w:val="20"/>
              </w:rPr>
            </w:pPr>
            <w:r w:rsidRPr="008B6A75">
              <w:rPr>
                <w:sz w:val="20"/>
                <w:szCs w:val="20"/>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7E7C02FA" w14:textId="77777777" w:rsidR="00387142" w:rsidRPr="008B6A75" w:rsidRDefault="00387142" w:rsidP="00387142">
            <w:pPr>
              <w:jc w:val="center"/>
              <w:rPr>
                <w:sz w:val="20"/>
                <w:szCs w:val="20"/>
              </w:rPr>
            </w:pPr>
            <w:r w:rsidRPr="008B6A75">
              <w:rPr>
                <w:sz w:val="20"/>
                <w:szCs w:val="20"/>
              </w:rPr>
              <w:t>07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8B2FE5" w14:textId="77777777" w:rsidR="00387142" w:rsidRPr="008B6A75" w:rsidRDefault="00387142" w:rsidP="00387142">
            <w:pPr>
              <w:jc w:val="center"/>
              <w:rPr>
                <w:sz w:val="20"/>
                <w:szCs w:val="20"/>
              </w:rPr>
            </w:pPr>
            <w:r w:rsidRPr="008B6A75">
              <w:rPr>
                <w:sz w:val="20"/>
                <w:szCs w:val="20"/>
              </w:rPr>
              <w:t>07</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54B966CA" w14:textId="77777777" w:rsidR="00387142" w:rsidRPr="008B6A75" w:rsidRDefault="00387142" w:rsidP="00387142">
            <w:pPr>
              <w:jc w:val="center"/>
              <w:rPr>
                <w:sz w:val="20"/>
                <w:szCs w:val="20"/>
              </w:rPr>
            </w:pPr>
            <w:r w:rsidRPr="008B6A75">
              <w:rPr>
                <w:sz w:val="20"/>
                <w:szCs w:val="20"/>
              </w:rPr>
              <w:t>04.0.00.07590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A9444C" w14:textId="77777777" w:rsidR="00387142" w:rsidRPr="008B6A75" w:rsidRDefault="00387142" w:rsidP="00387142">
            <w:pPr>
              <w:jc w:val="center"/>
              <w:rPr>
                <w:sz w:val="20"/>
                <w:szCs w:val="20"/>
              </w:rPr>
            </w:pPr>
            <w:r w:rsidRPr="008B6A75">
              <w:rPr>
                <w:sz w:val="20"/>
                <w:szCs w:val="20"/>
              </w:rPr>
              <w:t>240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AE0D8B" w14:textId="77777777" w:rsidR="00387142" w:rsidRPr="008B6A75" w:rsidRDefault="00387142" w:rsidP="00387142">
            <w:pPr>
              <w:jc w:val="right"/>
              <w:rPr>
                <w:sz w:val="20"/>
                <w:szCs w:val="20"/>
              </w:rPr>
            </w:pPr>
            <w:r w:rsidRPr="008B6A75">
              <w:rPr>
                <w:sz w:val="20"/>
                <w:szCs w:val="20"/>
              </w:rPr>
              <w:t>0,00</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274A89F4" w14:textId="77777777" w:rsidR="00387142" w:rsidRPr="008B6A75" w:rsidRDefault="00387142" w:rsidP="00387142">
            <w:pPr>
              <w:jc w:val="right"/>
              <w:rPr>
                <w:sz w:val="20"/>
                <w:szCs w:val="20"/>
              </w:rPr>
            </w:pPr>
            <w:r w:rsidRPr="008B6A75">
              <w:rPr>
                <w:sz w:val="20"/>
                <w:szCs w:val="20"/>
              </w:rPr>
              <w:t>2 000 000,00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9B242A" w14:textId="77777777" w:rsidR="00387142" w:rsidRPr="008B6A75" w:rsidRDefault="00387142" w:rsidP="00387142">
            <w:pPr>
              <w:jc w:val="right"/>
              <w:rPr>
                <w:sz w:val="20"/>
                <w:szCs w:val="20"/>
              </w:rPr>
            </w:pPr>
            <w:r w:rsidRPr="008B6A75">
              <w:rPr>
                <w:sz w:val="20"/>
                <w:szCs w:val="20"/>
              </w:rPr>
              <w:t>2 000 000,00</w:t>
            </w:r>
          </w:p>
        </w:tc>
        <w:tc>
          <w:tcPr>
            <w:tcW w:w="222" w:type="dxa"/>
            <w:vAlign w:val="center"/>
            <w:hideMark/>
          </w:tcPr>
          <w:p w14:paraId="67C746E2" w14:textId="77777777" w:rsidR="00387142" w:rsidRPr="008B6A75" w:rsidRDefault="00387142" w:rsidP="00387142">
            <w:pPr>
              <w:rPr>
                <w:sz w:val="20"/>
                <w:szCs w:val="20"/>
              </w:rPr>
            </w:pPr>
          </w:p>
        </w:tc>
      </w:tr>
      <w:tr w:rsidR="00387142" w:rsidRPr="008B6A75" w14:paraId="4D012482" w14:textId="77777777" w:rsidTr="00387142">
        <w:trPr>
          <w:trHeight w:val="870"/>
        </w:trPr>
        <w:tc>
          <w:tcPr>
            <w:tcW w:w="3021" w:type="dxa"/>
            <w:tcBorders>
              <w:top w:val="nil"/>
              <w:left w:val="single" w:sz="4" w:space="0" w:color="auto"/>
              <w:bottom w:val="nil"/>
              <w:right w:val="nil"/>
            </w:tcBorders>
            <w:shd w:val="clear" w:color="auto" w:fill="auto"/>
            <w:vAlign w:val="center"/>
            <w:hideMark/>
          </w:tcPr>
          <w:p w14:paraId="3FADD241" w14:textId="77777777" w:rsidR="00387142" w:rsidRPr="008B6A75" w:rsidRDefault="00387142" w:rsidP="00387142">
            <w:pPr>
              <w:rPr>
                <w:sz w:val="20"/>
                <w:szCs w:val="20"/>
              </w:rPr>
            </w:pPr>
            <w:r w:rsidRPr="008B6A75">
              <w:rPr>
                <w:sz w:val="20"/>
                <w:szCs w:val="20"/>
              </w:rPr>
              <w:t>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right w:val="nil"/>
            </w:tcBorders>
            <w:shd w:val="clear" w:color="auto" w:fill="auto"/>
            <w:noWrap/>
            <w:vAlign w:val="center"/>
            <w:hideMark/>
          </w:tcPr>
          <w:p w14:paraId="0A67F04B" w14:textId="77777777" w:rsidR="00387142" w:rsidRPr="008B6A75" w:rsidRDefault="00387142" w:rsidP="00387142">
            <w:pPr>
              <w:jc w:val="center"/>
              <w:rPr>
                <w:sz w:val="20"/>
                <w:szCs w:val="20"/>
              </w:rPr>
            </w:pPr>
            <w:r w:rsidRPr="008B6A75">
              <w:rPr>
                <w:sz w:val="20"/>
                <w:szCs w:val="20"/>
              </w:rPr>
              <w:t>444</w:t>
            </w:r>
          </w:p>
        </w:tc>
        <w:tc>
          <w:tcPr>
            <w:tcW w:w="709" w:type="dxa"/>
            <w:tcBorders>
              <w:top w:val="nil"/>
              <w:left w:val="single" w:sz="4" w:space="0" w:color="auto"/>
              <w:bottom w:val="nil"/>
              <w:right w:val="nil"/>
            </w:tcBorders>
            <w:shd w:val="clear" w:color="auto" w:fill="auto"/>
            <w:noWrap/>
            <w:vAlign w:val="center"/>
            <w:hideMark/>
          </w:tcPr>
          <w:p w14:paraId="507A1735" w14:textId="77777777" w:rsidR="00387142" w:rsidRPr="008B6A75" w:rsidRDefault="00387142" w:rsidP="00387142">
            <w:pPr>
              <w:jc w:val="center"/>
              <w:rPr>
                <w:sz w:val="20"/>
                <w:szCs w:val="20"/>
              </w:rPr>
            </w:pPr>
            <w:r w:rsidRPr="008B6A75">
              <w:rPr>
                <w:sz w:val="20"/>
                <w:szCs w:val="20"/>
              </w:rPr>
              <w:t>07</w:t>
            </w:r>
          </w:p>
        </w:tc>
        <w:tc>
          <w:tcPr>
            <w:tcW w:w="709" w:type="dxa"/>
            <w:tcBorders>
              <w:top w:val="nil"/>
              <w:left w:val="single" w:sz="4" w:space="0" w:color="auto"/>
              <w:bottom w:val="nil"/>
              <w:right w:val="single" w:sz="4" w:space="0" w:color="auto"/>
            </w:tcBorders>
            <w:shd w:val="clear" w:color="auto" w:fill="auto"/>
            <w:noWrap/>
            <w:vAlign w:val="center"/>
            <w:hideMark/>
          </w:tcPr>
          <w:p w14:paraId="76D91B4D" w14:textId="77777777" w:rsidR="00387142" w:rsidRPr="008B6A75" w:rsidRDefault="00387142" w:rsidP="00387142">
            <w:pPr>
              <w:jc w:val="center"/>
              <w:rPr>
                <w:sz w:val="20"/>
                <w:szCs w:val="20"/>
              </w:rPr>
            </w:pPr>
            <w:r w:rsidRPr="008B6A75">
              <w:rPr>
                <w:sz w:val="20"/>
                <w:szCs w:val="20"/>
              </w:rPr>
              <w:t>07</w:t>
            </w:r>
          </w:p>
        </w:tc>
        <w:tc>
          <w:tcPr>
            <w:tcW w:w="1411" w:type="dxa"/>
            <w:tcBorders>
              <w:top w:val="nil"/>
              <w:left w:val="single" w:sz="4" w:space="0" w:color="auto"/>
              <w:bottom w:val="nil"/>
              <w:right w:val="nil"/>
            </w:tcBorders>
            <w:shd w:val="clear" w:color="auto" w:fill="auto"/>
            <w:noWrap/>
            <w:vAlign w:val="center"/>
            <w:hideMark/>
          </w:tcPr>
          <w:p w14:paraId="01F94B05" w14:textId="77777777" w:rsidR="00387142" w:rsidRPr="008B6A75" w:rsidRDefault="00387142" w:rsidP="00387142">
            <w:pPr>
              <w:jc w:val="center"/>
              <w:rPr>
                <w:sz w:val="20"/>
                <w:szCs w:val="20"/>
              </w:rPr>
            </w:pPr>
            <w:r w:rsidRPr="008B6A75">
              <w:rPr>
                <w:sz w:val="20"/>
                <w:szCs w:val="20"/>
              </w:rPr>
              <w:t>04.0.00.07590</w:t>
            </w:r>
          </w:p>
        </w:tc>
        <w:tc>
          <w:tcPr>
            <w:tcW w:w="955" w:type="dxa"/>
            <w:tcBorders>
              <w:top w:val="nil"/>
              <w:left w:val="single" w:sz="4" w:space="0" w:color="auto"/>
              <w:bottom w:val="nil"/>
              <w:right w:val="single" w:sz="4" w:space="0" w:color="auto"/>
            </w:tcBorders>
            <w:shd w:val="clear" w:color="auto" w:fill="auto"/>
            <w:noWrap/>
            <w:vAlign w:val="center"/>
            <w:hideMark/>
          </w:tcPr>
          <w:p w14:paraId="53BF9D9C" w14:textId="77777777" w:rsidR="00387142" w:rsidRPr="008B6A75" w:rsidRDefault="00387142" w:rsidP="00387142">
            <w:pPr>
              <w:jc w:val="center"/>
              <w:rPr>
                <w:sz w:val="20"/>
                <w:szCs w:val="20"/>
              </w:rPr>
            </w:pPr>
            <w:r w:rsidRPr="008B6A75">
              <w:rPr>
                <w:sz w:val="20"/>
                <w:szCs w:val="20"/>
              </w:rPr>
              <w:t>600</w:t>
            </w:r>
          </w:p>
        </w:tc>
        <w:tc>
          <w:tcPr>
            <w:tcW w:w="992" w:type="dxa"/>
            <w:tcBorders>
              <w:top w:val="nil"/>
              <w:left w:val="single" w:sz="4" w:space="0" w:color="auto"/>
              <w:bottom w:val="nil"/>
              <w:right w:val="single" w:sz="4" w:space="0" w:color="auto"/>
            </w:tcBorders>
            <w:shd w:val="clear" w:color="auto" w:fill="auto"/>
            <w:noWrap/>
            <w:vAlign w:val="center"/>
            <w:hideMark/>
          </w:tcPr>
          <w:p w14:paraId="790E5C9C" w14:textId="77777777" w:rsidR="00387142" w:rsidRPr="008B6A75" w:rsidRDefault="00387142" w:rsidP="00387142">
            <w:pPr>
              <w:jc w:val="right"/>
              <w:rPr>
                <w:sz w:val="20"/>
                <w:szCs w:val="20"/>
              </w:rPr>
            </w:pPr>
            <w:r w:rsidRPr="008B6A75">
              <w:rPr>
                <w:sz w:val="20"/>
                <w:szCs w:val="20"/>
              </w:rPr>
              <w:t>20 864 910,12</w:t>
            </w:r>
          </w:p>
        </w:tc>
        <w:tc>
          <w:tcPr>
            <w:tcW w:w="992" w:type="dxa"/>
            <w:gridSpan w:val="2"/>
            <w:tcBorders>
              <w:top w:val="nil"/>
              <w:left w:val="single" w:sz="4" w:space="0" w:color="auto"/>
              <w:bottom w:val="nil"/>
              <w:right w:val="nil"/>
            </w:tcBorders>
            <w:shd w:val="clear" w:color="auto" w:fill="auto"/>
            <w:noWrap/>
            <w:vAlign w:val="center"/>
            <w:hideMark/>
          </w:tcPr>
          <w:p w14:paraId="3703D5F1" w14:textId="77777777" w:rsidR="00387142" w:rsidRPr="008B6A75" w:rsidRDefault="00387142" w:rsidP="00387142">
            <w:pPr>
              <w:jc w:val="right"/>
              <w:rPr>
                <w:sz w:val="20"/>
                <w:szCs w:val="20"/>
              </w:rPr>
            </w:pPr>
            <w:r w:rsidRPr="008B6A75">
              <w:rPr>
                <w:sz w:val="20"/>
                <w:szCs w:val="20"/>
              </w:rPr>
              <w:t>5 000 000,00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29334F66" w14:textId="77777777" w:rsidR="00387142" w:rsidRPr="008B6A75" w:rsidRDefault="00387142" w:rsidP="00387142">
            <w:pPr>
              <w:jc w:val="right"/>
              <w:rPr>
                <w:sz w:val="20"/>
                <w:szCs w:val="20"/>
              </w:rPr>
            </w:pPr>
            <w:r w:rsidRPr="008B6A75">
              <w:rPr>
                <w:sz w:val="20"/>
                <w:szCs w:val="20"/>
              </w:rPr>
              <w:t>5 000 000,00</w:t>
            </w:r>
          </w:p>
        </w:tc>
        <w:tc>
          <w:tcPr>
            <w:tcW w:w="222" w:type="dxa"/>
            <w:vAlign w:val="center"/>
            <w:hideMark/>
          </w:tcPr>
          <w:p w14:paraId="3079D585" w14:textId="77777777" w:rsidR="00387142" w:rsidRPr="008B6A75" w:rsidRDefault="00387142" w:rsidP="00387142">
            <w:pPr>
              <w:rPr>
                <w:sz w:val="20"/>
                <w:szCs w:val="20"/>
              </w:rPr>
            </w:pPr>
          </w:p>
        </w:tc>
      </w:tr>
      <w:tr w:rsidR="00387142" w:rsidRPr="008B6A75" w14:paraId="4A67664F" w14:textId="77777777" w:rsidTr="00387142">
        <w:trPr>
          <w:trHeight w:val="300"/>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3FE27D39" w14:textId="77777777" w:rsidR="00387142" w:rsidRPr="008B6A75" w:rsidRDefault="00387142" w:rsidP="00387142">
            <w:pPr>
              <w:rPr>
                <w:sz w:val="20"/>
                <w:szCs w:val="20"/>
              </w:rPr>
            </w:pPr>
            <w:r w:rsidRPr="008B6A75">
              <w:rPr>
                <w:sz w:val="20"/>
                <w:szCs w:val="20"/>
              </w:rPr>
              <w:t>Субсидии бюджетным учреждениям</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6EEAC00E" w14:textId="77777777" w:rsidR="00387142" w:rsidRPr="008B6A75" w:rsidRDefault="00387142" w:rsidP="00387142">
            <w:pPr>
              <w:jc w:val="center"/>
              <w:rPr>
                <w:sz w:val="20"/>
                <w:szCs w:val="20"/>
              </w:rPr>
            </w:pPr>
            <w:r w:rsidRPr="008B6A75">
              <w:rPr>
                <w:sz w:val="20"/>
                <w:szCs w:val="20"/>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3ED6DCCF" w14:textId="77777777" w:rsidR="00387142" w:rsidRPr="008B6A75" w:rsidRDefault="00387142" w:rsidP="00387142">
            <w:pPr>
              <w:jc w:val="center"/>
              <w:rPr>
                <w:sz w:val="20"/>
                <w:szCs w:val="20"/>
              </w:rPr>
            </w:pPr>
            <w:r w:rsidRPr="008B6A75">
              <w:rPr>
                <w:sz w:val="20"/>
                <w:szCs w:val="20"/>
              </w:rPr>
              <w:t>07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E1D7A0" w14:textId="77777777" w:rsidR="00387142" w:rsidRPr="008B6A75" w:rsidRDefault="00387142" w:rsidP="00387142">
            <w:pPr>
              <w:jc w:val="center"/>
              <w:rPr>
                <w:sz w:val="20"/>
                <w:szCs w:val="20"/>
              </w:rPr>
            </w:pPr>
            <w:r w:rsidRPr="008B6A75">
              <w:rPr>
                <w:sz w:val="20"/>
                <w:szCs w:val="20"/>
              </w:rPr>
              <w:t>07</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1A19FA95" w14:textId="77777777" w:rsidR="00387142" w:rsidRPr="008B6A75" w:rsidRDefault="00387142" w:rsidP="00387142">
            <w:pPr>
              <w:jc w:val="center"/>
              <w:rPr>
                <w:sz w:val="20"/>
                <w:szCs w:val="20"/>
              </w:rPr>
            </w:pPr>
            <w:r w:rsidRPr="008B6A75">
              <w:rPr>
                <w:sz w:val="20"/>
                <w:szCs w:val="20"/>
              </w:rPr>
              <w:t>04.0.00.07590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AED75B" w14:textId="77777777" w:rsidR="00387142" w:rsidRPr="008B6A75" w:rsidRDefault="00387142" w:rsidP="00387142">
            <w:pPr>
              <w:jc w:val="center"/>
              <w:rPr>
                <w:sz w:val="20"/>
                <w:szCs w:val="20"/>
              </w:rPr>
            </w:pPr>
            <w:r w:rsidRPr="008B6A75">
              <w:rPr>
                <w:sz w:val="20"/>
                <w:szCs w:val="20"/>
              </w:rPr>
              <w:t>610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88A4DC" w14:textId="77777777" w:rsidR="00387142" w:rsidRPr="008B6A75" w:rsidRDefault="00387142" w:rsidP="00387142">
            <w:pPr>
              <w:jc w:val="right"/>
              <w:rPr>
                <w:sz w:val="20"/>
                <w:szCs w:val="20"/>
              </w:rPr>
            </w:pPr>
            <w:r w:rsidRPr="008B6A75">
              <w:rPr>
                <w:sz w:val="20"/>
                <w:szCs w:val="20"/>
              </w:rPr>
              <w:t>20 864 910,12</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24296DDB" w14:textId="77777777" w:rsidR="00387142" w:rsidRPr="008B6A75" w:rsidRDefault="00387142" w:rsidP="00387142">
            <w:pPr>
              <w:jc w:val="right"/>
              <w:rPr>
                <w:sz w:val="20"/>
                <w:szCs w:val="20"/>
              </w:rPr>
            </w:pPr>
            <w:r w:rsidRPr="008B6A75">
              <w:rPr>
                <w:sz w:val="20"/>
                <w:szCs w:val="20"/>
              </w:rPr>
              <w:t>5 000 000,00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682D8B" w14:textId="77777777" w:rsidR="00387142" w:rsidRPr="008B6A75" w:rsidRDefault="00387142" w:rsidP="00387142">
            <w:pPr>
              <w:jc w:val="right"/>
              <w:rPr>
                <w:sz w:val="20"/>
                <w:szCs w:val="20"/>
              </w:rPr>
            </w:pPr>
            <w:r w:rsidRPr="008B6A75">
              <w:rPr>
                <w:sz w:val="20"/>
                <w:szCs w:val="20"/>
              </w:rPr>
              <w:t>5 000 000,00</w:t>
            </w:r>
          </w:p>
        </w:tc>
        <w:tc>
          <w:tcPr>
            <w:tcW w:w="222" w:type="dxa"/>
            <w:vAlign w:val="center"/>
            <w:hideMark/>
          </w:tcPr>
          <w:p w14:paraId="0BA8162D" w14:textId="77777777" w:rsidR="00387142" w:rsidRPr="008B6A75" w:rsidRDefault="00387142" w:rsidP="00387142">
            <w:pPr>
              <w:rPr>
                <w:sz w:val="20"/>
                <w:szCs w:val="20"/>
              </w:rPr>
            </w:pPr>
          </w:p>
        </w:tc>
      </w:tr>
      <w:tr w:rsidR="00387142" w:rsidRPr="008B6A75" w14:paraId="335796D1" w14:textId="77777777" w:rsidTr="00387142">
        <w:trPr>
          <w:trHeight w:val="1440"/>
        </w:trPr>
        <w:tc>
          <w:tcPr>
            <w:tcW w:w="3021" w:type="dxa"/>
            <w:tcBorders>
              <w:top w:val="nil"/>
              <w:left w:val="single" w:sz="4" w:space="0" w:color="auto"/>
              <w:bottom w:val="nil"/>
              <w:right w:val="nil"/>
            </w:tcBorders>
            <w:shd w:val="clear" w:color="auto" w:fill="auto"/>
            <w:vAlign w:val="center"/>
            <w:hideMark/>
          </w:tcPr>
          <w:p w14:paraId="7BCCB3BF" w14:textId="77777777" w:rsidR="00387142" w:rsidRPr="008B6A75" w:rsidRDefault="00387142" w:rsidP="00387142">
            <w:pPr>
              <w:rPr>
                <w:bCs/>
                <w:sz w:val="20"/>
                <w:szCs w:val="20"/>
              </w:rPr>
            </w:pPr>
            <w:r w:rsidRPr="008B6A75">
              <w:rPr>
                <w:bCs/>
                <w:sz w:val="20"/>
                <w:szCs w:val="20"/>
              </w:rPr>
              <w:t xml:space="preserve">Реализация мероприятий по обеспечению сбалансированности местных </w:t>
            </w:r>
            <w:proofErr w:type="gramStart"/>
            <w:r w:rsidRPr="008B6A75">
              <w:rPr>
                <w:bCs/>
                <w:sz w:val="20"/>
                <w:szCs w:val="20"/>
              </w:rPr>
              <w:t>бюджетов  государственной</w:t>
            </w:r>
            <w:proofErr w:type="gramEnd"/>
            <w:r w:rsidRPr="008B6A75">
              <w:rPr>
                <w:bCs/>
                <w:sz w:val="20"/>
                <w:szCs w:val="20"/>
              </w:rPr>
              <w:t xml:space="preserve"> программы Новосибирской области "Управление  финансами в Новосибирской области"</w:t>
            </w:r>
          </w:p>
        </w:tc>
        <w:tc>
          <w:tcPr>
            <w:tcW w:w="850" w:type="dxa"/>
            <w:tcBorders>
              <w:top w:val="nil"/>
              <w:left w:val="single" w:sz="4" w:space="0" w:color="auto"/>
              <w:bottom w:val="nil"/>
              <w:right w:val="nil"/>
            </w:tcBorders>
            <w:shd w:val="clear" w:color="auto" w:fill="auto"/>
            <w:noWrap/>
            <w:vAlign w:val="center"/>
            <w:hideMark/>
          </w:tcPr>
          <w:p w14:paraId="7718986D" w14:textId="77777777" w:rsidR="00387142" w:rsidRPr="008B6A75" w:rsidRDefault="00387142" w:rsidP="00387142">
            <w:pPr>
              <w:jc w:val="center"/>
              <w:rPr>
                <w:bCs/>
                <w:sz w:val="20"/>
                <w:szCs w:val="20"/>
              </w:rPr>
            </w:pPr>
            <w:r w:rsidRPr="008B6A75">
              <w:rPr>
                <w:bCs/>
                <w:sz w:val="20"/>
                <w:szCs w:val="20"/>
              </w:rPr>
              <w:t>444</w:t>
            </w:r>
          </w:p>
        </w:tc>
        <w:tc>
          <w:tcPr>
            <w:tcW w:w="709" w:type="dxa"/>
            <w:tcBorders>
              <w:top w:val="nil"/>
              <w:left w:val="single" w:sz="4" w:space="0" w:color="auto"/>
              <w:bottom w:val="nil"/>
              <w:right w:val="nil"/>
            </w:tcBorders>
            <w:shd w:val="clear" w:color="auto" w:fill="auto"/>
            <w:noWrap/>
            <w:vAlign w:val="center"/>
            <w:hideMark/>
          </w:tcPr>
          <w:p w14:paraId="059C7920" w14:textId="77777777" w:rsidR="00387142" w:rsidRPr="008B6A75" w:rsidRDefault="00387142" w:rsidP="00387142">
            <w:pPr>
              <w:jc w:val="center"/>
              <w:rPr>
                <w:bCs/>
                <w:sz w:val="20"/>
                <w:szCs w:val="20"/>
              </w:rPr>
            </w:pPr>
            <w:r w:rsidRPr="008B6A75">
              <w:rPr>
                <w:bCs/>
                <w:sz w:val="20"/>
                <w:szCs w:val="20"/>
              </w:rPr>
              <w:t>07</w:t>
            </w:r>
          </w:p>
        </w:tc>
        <w:tc>
          <w:tcPr>
            <w:tcW w:w="709" w:type="dxa"/>
            <w:tcBorders>
              <w:top w:val="nil"/>
              <w:left w:val="single" w:sz="4" w:space="0" w:color="auto"/>
              <w:bottom w:val="nil"/>
              <w:right w:val="single" w:sz="4" w:space="0" w:color="auto"/>
            </w:tcBorders>
            <w:shd w:val="clear" w:color="auto" w:fill="auto"/>
            <w:noWrap/>
            <w:vAlign w:val="center"/>
            <w:hideMark/>
          </w:tcPr>
          <w:p w14:paraId="5EDF66E9" w14:textId="77777777" w:rsidR="00387142" w:rsidRPr="008B6A75" w:rsidRDefault="00387142" w:rsidP="00387142">
            <w:pPr>
              <w:jc w:val="center"/>
              <w:rPr>
                <w:bCs/>
                <w:sz w:val="20"/>
                <w:szCs w:val="20"/>
              </w:rPr>
            </w:pPr>
            <w:r w:rsidRPr="008B6A75">
              <w:rPr>
                <w:bCs/>
                <w:sz w:val="20"/>
                <w:szCs w:val="20"/>
              </w:rPr>
              <w:t>07</w:t>
            </w:r>
          </w:p>
        </w:tc>
        <w:tc>
          <w:tcPr>
            <w:tcW w:w="1411" w:type="dxa"/>
            <w:tcBorders>
              <w:top w:val="nil"/>
              <w:left w:val="single" w:sz="4" w:space="0" w:color="auto"/>
              <w:bottom w:val="nil"/>
              <w:right w:val="nil"/>
            </w:tcBorders>
            <w:shd w:val="clear" w:color="auto" w:fill="auto"/>
            <w:noWrap/>
            <w:vAlign w:val="center"/>
            <w:hideMark/>
          </w:tcPr>
          <w:p w14:paraId="3B7BF1E1" w14:textId="77777777" w:rsidR="00387142" w:rsidRPr="008B6A75" w:rsidRDefault="00387142" w:rsidP="00387142">
            <w:pPr>
              <w:jc w:val="center"/>
              <w:rPr>
                <w:bCs/>
                <w:sz w:val="20"/>
                <w:szCs w:val="20"/>
              </w:rPr>
            </w:pPr>
            <w:r w:rsidRPr="008B6A75">
              <w:rPr>
                <w:bCs/>
                <w:sz w:val="20"/>
                <w:szCs w:val="20"/>
              </w:rPr>
              <w:t>04.0.00.70510</w:t>
            </w:r>
          </w:p>
        </w:tc>
        <w:tc>
          <w:tcPr>
            <w:tcW w:w="955" w:type="dxa"/>
            <w:tcBorders>
              <w:top w:val="nil"/>
              <w:left w:val="single" w:sz="4" w:space="0" w:color="auto"/>
              <w:bottom w:val="nil"/>
              <w:right w:val="single" w:sz="4" w:space="0" w:color="auto"/>
            </w:tcBorders>
            <w:shd w:val="clear" w:color="auto" w:fill="auto"/>
            <w:noWrap/>
            <w:vAlign w:val="center"/>
            <w:hideMark/>
          </w:tcPr>
          <w:p w14:paraId="1CFB1A89"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nil"/>
              <w:right w:val="single" w:sz="4" w:space="0" w:color="auto"/>
            </w:tcBorders>
            <w:shd w:val="clear" w:color="auto" w:fill="auto"/>
            <w:noWrap/>
            <w:vAlign w:val="center"/>
            <w:hideMark/>
          </w:tcPr>
          <w:p w14:paraId="6835AC6B" w14:textId="77777777" w:rsidR="00387142" w:rsidRPr="008B6A75" w:rsidRDefault="00387142" w:rsidP="00387142">
            <w:pPr>
              <w:jc w:val="right"/>
              <w:rPr>
                <w:bCs/>
                <w:sz w:val="20"/>
                <w:szCs w:val="20"/>
              </w:rPr>
            </w:pPr>
            <w:r w:rsidRPr="008B6A75">
              <w:rPr>
                <w:bCs/>
                <w:sz w:val="20"/>
                <w:szCs w:val="20"/>
              </w:rPr>
              <w:t>2 909 200,00</w:t>
            </w:r>
          </w:p>
        </w:tc>
        <w:tc>
          <w:tcPr>
            <w:tcW w:w="992" w:type="dxa"/>
            <w:gridSpan w:val="2"/>
            <w:tcBorders>
              <w:top w:val="nil"/>
              <w:left w:val="single" w:sz="4" w:space="0" w:color="auto"/>
              <w:bottom w:val="nil"/>
              <w:right w:val="nil"/>
            </w:tcBorders>
            <w:shd w:val="clear" w:color="auto" w:fill="auto"/>
            <w:noWrap/>
            <w:vAlign w:val="center"/>
            <w:hideMark/>
          </w:tcPr>
          <w:p w14:paraId="6E247CFB" w14:textId="77777777" w:rsidR="00387142" w:rsidRPr="008B6A75" w:rsidRDefault="00387142" w:rsidP="00387142">
            <w:pPr>
              <w:jc w:val="right"/>
              <w:rPr>
                <w:bCs/>
                <w:sz w:val="20"/>
                <w:szCs w:val="20"/>
              </w:rPr>
            </w:pPr>
            <w:r w:rsidRPr="008B6A75">
              <w:rPr>
                <w:bCs/>
                <w:sz w:val="20"/>
                <w:szCs w:val="20"/>
              </w:rPr>
              <w:t>0,00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08DB898C" w14:textId="77777777" w:rsidR="00387142" w:rsidRPr="008B6A75" w:rsidRDefault="00387142" w:rsidP="00387142">
            <w:pPr>
              <w:jc w:val="right"/>
              <w:rPr>
                <w:bCs/>
                <w:sz w:val="20"/>
                <w:szCs w:val="20"/>
              </w:rPr>
            </w:pPr>
            <w:r w:rsidRPr="008B6A75">
              <w:rPr>
                <w:bCs/>
                <w:sz w:val="20"/>
                <w:szCs w:val="20"/>
              </w:rPr>
              <w:t>0,00</w:t>
            </w:r>
          </w:p>
        </w:tc>
        <w:tc>
          <w:tcPr>
            <w:tcW w:w="222" w:type="dxa"/>
            <w:vAlign w:val="center"/>
            <w:hideMark/>
          </w:tcPr>
          <w:p w14:paraId="693863BF" w14:textId="77777777" w:rsidR="00387142" w:rsidRPr="008B6A75" w:rsidRDefault="00387142" w:rsidP="00387142">
            <w:pPr>
              <w:rPr>
                <w:sz w:val="20"/>
                <w:szCs w:val="20"/>
              </w:rPr>
            </w:pPr>
          </w:p>
        </w:tc>
      </w:tr>
      <w:tr w:rsidR="00387142" w:rsidRPr="008B6A75" w14:paraId="3BC52C79" w14:textId="77777777" w:rsidTr="00387142">
        <w:trPr>
          <w:trHeight w:val="870"/>
        </w:trPr>
        <w:tc>
          <w:tcPr>
            <w:tcW w:w="3021" w:type="dxa"/>
            <w:tcBorders>
              <w:top w:val="single" w:sz="4" w:space="0" w:color="auto"/>
              <w:left w:val="single" w:sz="4" w:space="0" w:color="auto"/>
              <w:bottom w:val="nil"/>
              <w:right w:val="nil"/>
            </w:tcBorders>
            <w:shd w:val="clear" w:color="auto" w:fill="auto"/>
            <w:vAlign w:val="center"/>
            <w:hideMark/>
          </w:tcPr>
          <w:p w14:paraId="42419024" w14:textId="77777777" w:rsidR="00387142" w:rsidRPr="008B6A75" w:rsidRDefault="00387142" w:rsidP="00387142">
            <w:pPr>
              <w:rPr>
                <w:sz w:val="20"/>
                <w:szCs w:val="20"/>
              </w:rPr>
            </w:pPr>
            <w:r w:rsidRPr="008B6A75">
              <w:rPr>
                <w:sz w:val="20"/>
                <w:szCs w:val="20"/>
              </w:rPr>
              <w:t>Предоставление субсидий бюджетным, автономным учреждениям и иным некоммерческим организациям</w:t>
            </w:r>
          </w:p>
        </w:tc>
        <w:tc>
          <w:tcPr>
            <w:tcW w:w="850" w:type="dxa"/>
            <w:tcBorders>
              <w:top w:val="single" w:sz="4" w:space="0" w:color="auto"/>
              <w:left w:val="single" w:sz="4" w:space="0" w:color="auto"/>
              <w:bottom w:val="nil"/>
              <w:right w:val="nil"/>
            </w:tcBorders>
            <w:shd w:val="clear" w:color="auto" w:fill="auto"/>
            <w:noWrap/>
            <w:vAlign w:val="center"/>
            <w:hideMark/>
          </w:tcPr>
          <w:p w14:paraId="6843821A" w14:textId="77777777" w:rsidR="00387142" w:rsidRPr="008B6A75" w:rsidRDefault="00387142" w:rsidP="00387142">
            <w:pPr>
              <w:jc w:val="center"/>
              <w:rPr>
                <w:sz w:val="20"/>
                <w:szCs w:val="20"/>
              </w:rPr>
            </w:pPr>
            <w:r w:rsidRPr="008B6A75">
              <w:rPr>
                <w:sz w:val="20"/>
                <w:szCs w:val="20"/>
              </w:rPr>
              <w:t>444</w:t>
            </w:r>
          </w:p>
        </w:tc>
        <w:tc>
          <w:tcPr>
            <w:tcW w:w="709" w:type="dxa"/>
            <w:tcBorders>
              <w:top w:val="single" w:sz="4" w:space="0" w:color="auto"/>
              <w:left w:val="single" w:sz="4" w:space="0" w:color="auto"/>
              <w:bottom w:val="nil"/>
              <w:right w:val="nil"/>
            </w:tcBorders>
            <w:shd w:val="clear" w:color="auto" w:fill="auto"/>
            <w:noWrap/>
            <w:vAlign w:val="center"/>
            <w:hideMark/>
          </w:tcPr>
          <w:p w14:paraId="00E31529" w14:textId="77777777" w:rsidR="00387142" w:rsidRPr="008B6A75" w:rsidRDefault="00387142" w:rsidP="00387142">
            <w:pPr>
              <w:jc w:val="center"/>
              <w:rPr>
                <w:sz w:val="20"/>
                <w:szCs w:val="20"/>
              </w:rPr>
            </w:pPr>
            <w:r w:rsidRPr="008B6A75">
              <w:rPr>
                <w:sz w:val="20"/>
                <w:szCs w:val="20"/>
              </w:rPr>
              <w:t>07</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22AF8716" w14:textId="77777777" w:rsidR="00387142" w:rsidRPr="008B6A75" w:rsidRDefault="00387142" w:rsidP="00387142">
            <w:pPr>
              <w:jc w:val="center"/>
              <w:rPr>
                <w:sz w:val="20"/>
                <w:szCs w:val="20"/>
              </w:rPr>
            </w:pPr>
            <w:r w:rsidRPr="008B6A75">
              <w:rPr>
                <w:sz w:val="20"/>
                <w:szCs w:val="20"/>
              </w:rPr>
              <w:t>07</w:t>
            </w:r>
          </w:p>
        </w:tc>
        <w:tc>
          <w:tcPr>
            <w:tcW w:w="1411" w:type="dxa"/>
            <w:tcBorders>
              <w:top w:val="single" w:sz="4" w:space="0" w:color="auto"/>
              <w:left w:val="single" w:sz="4" w:space="0" w:color="auto"/>
              <w:bottom w:val="nil"/>
              <w:right w:val="nil"/>
            </w:tcBorders>
            <w:shd w:val="clear" w:color="auto" w:fill="auto"/>
            <w:noWrap/>
            <w:vAlign w:val="center"/>
            <w:hideMark/>
          </w:tcPr>
          <w:p w14:paraId="42DE0B85" w14:textId="77777777" w:rsidR="00387142" w:rsidRPr="008B6A75" w:rsidRDefault="00387142" w:rsidP="00387142">
            <w:pPr>
              <w:jc w:val="center"/>
              <w:rPr>
                <w:sz w:val="20"/>
                <w:szCs w:val="20"/>
              </w:rPr>
            </w:pPr>
            <w:r w:rsidRPr="008B6A75">
              <w:rPr>
                <w:sz w:val="20"/>
                <w:szCs w:val="20"/>
              </w:rPr>
              <w:t>04.0.00.70510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5B6CB8F5" w14:textId="77777777" w:rsidR="00387142" w:rsidRPr="008B6A75" w:rsidRDefault="00387142" w:rsidP="00387142">
            <w:pPr>
              <w:jc w:val="center"/>
              <w:rPr>
                <w:sz w:val="20"/>
                <w:szCs w:val="20"/>
              </w:rPr>
            </w:pPr>
            <w:r w:rsidRPr="008B6A75">
              <w:rPr>
                <w:sz w:val="20"/>
                <w:szCs w:val="20"/>
              </w:rPr>
              <w:t>600</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750063AC" w14:textId="77777777" w:rsidR="00387142" w:rsidRPr="008B6A75" w:rsidRDefault="00387142" w:rsidP="00387142">
            <w:pPr>
              <w:jc w:val="right"/>
              <w:rPr>
                <w:sz w:val="20"/>
                <w:szCs w:val="20"/>
              </w:rPr>
            </w:pPr>
            <w:r w:rsidRPr="008B6A75">
              <w:rPr>
                <w:sz w:val="20"/>
                <w:szCs w:val="20"/>
              </w:rPr>
              <w:t>2 909 200,00</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2AFCA111" w14:textId="77777777" w:rsidR="00387142" w:rsidRPr="008B6A75" w:rsidRDefault="00387142" w:rsidP="00387142">
            <w:pPr>
              <w:jc w:val="right"/>
              <w:rPr>
                <w:sz w:val="20"/>
                <w:szCs w:val="20"/>
              </w:rPr>
            </w:pPr>
            <w:r w:rsidRPr="008B6A75">
              <w:rPr>
                <w:sz w:val="20"/>
                <w:szCs w:val="20"/>
              </w:rPr>
              <w:t>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38BBCC16" w14:textId="77777777" w:rsidR="00387142" w:rsidRPr="008B6A75" w:rsidRDefault="00387142" w:rsidP="00387142">
            <w:pPr>
              <w:jc w:val="right"/>
              <w:rPr>
                <w:sz w:val="20"/>
                <w:szCs w:val="20"/>
              </w:rPr>
            </w:pPr>
            <w:r w:rsidRPr="008B6A75">
              <w:rPr>
                <w:sz w:val="20"/>
                <w:szCs w:val="20"/>
              </w:rPr>
              <w:t>0,00</w:t>
            </w:r>
          </w:p>
        </w:tc>
        <w:tc>
          <w:tcPr>
            <w:tcW w:w="222" w:type="dxa"/>
            <w:vAlign w:val="center"/>
            <w:hideMark/>
          </w:tcPr>
          <w:p w14:paraId="179149B4" w14:textId="77777777" w:rsidR="00387142" w:rsidRPr="008B6A75" w:rsidRDefault="00387142" w:rsidP="00387142">
            <w:pPr>
              <w:rPr>
                <w:sz w:val="20"/>
                <w:szCs w:val="20"/>
              </w:rPr>
            </w:pPr>
          </w:p>
        </w:tc>
      </w:tr>
      <w:tr w:rsidR="00387142" w:rsidRPr="008B6A75" w14:paraId="62E22D7B" w14:textId="77777777" w:rsidTr="00387142">
        <w:trPr>
          <w:trHeight w:val="300"/>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1647ECA2" w14:textId="77777777" w:rsidR="00387142" w:rsidRPr="008B6A75" w:rsidRDefault="00387142" w:rsidP="00387142">
            <w:pPr>
              <w:rPr>
                <w:sz w:val="20"/>
                <w:szCs w:val="20"/>
              </w:rPr>
            </w:pPr>
            <w:r w:rsidRPr="008B6A75">
              <w:rPr>
                <w:sz w:val="20"/>
                <w:szCs w:val="20"/>
              </w:rPr>
              <w:t>Субсидии бюджетным учреждениям</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604DD20D" w14:textId="77777777" w:rsidR="00387142" w:rsidRPr="008B6A75" w:rsidRDefault="00387142" w:rsidP="00387142">
            <w:pPr>
              <w:jc w:val="center"/>
              <w:rPr>
                <w:sz w:val="20"/>
                <w:szCs w:val="20"/>
              </w:rPr>
            </w:pPr>
            <w:r w:rsidRPr="008B6A75">
              <w:rPr>
                <w:sz w:val="20"/>
                <w:szCs w:val="20"/>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24801657" w14:textId="77777777" w:rsidR="00387142" w:rsidRPr="008B6A75" w:rsidRDefault="00387142" w:rsidP="00387142">
            <w:pPr>
              <w:jc w:val="center"/>
              <w:rPr>
                <w:sz w:val="20"/>
                <w:szCs w:val="20"/>
              </w:rPr>
            </w:pPr>
            <w:r w:rsidRPr="008B6A75">
              <w:rPr>
                <w:sz w:val="20"/>
                <w:szCs w:val="20"/>
              </w:rPr>
              <w:t>07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E5C45F" w14:textId="77777777" w:rsidR="00387142" w:rsidRPr="008B6A75" w:rsidRDefault="00387142" w:rsidP="00387142">
            <w:pPr>
              <w:jc w:val="center"/>
              <w:rPr>
                <w:sz w:val="20"/>
                <w:szCs w:val="20"/>
              </w:rPr>
            </w:pPr>
            <w:r w:rsidRPr="008B6A75">
              <w:rPr>
                <w:sz w:val="20"/>
                <w:szCs w:val="20"/>
              </w:rPr>
              <w:t>07</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69AB5643" w14:textId="77777777" w:rsidR="00387142" w:rsidRPr="008B6A75" w:rsidRDefault="00387142" w:rsidP="00387142">
            <w:pPr>
              <w:jc w:val="center"/>
              <w:rPr>
                <w:sz w:val="20"/>
                <w:szCs w:val="20"/>
              </w:rPr>
            </w:pPr>
            <w:r w:rsidRPr="008B6A75">
              <w:rPr>
                <w:sz w:val="20"/>
                <w:szCs w:val="20"/>
              </w:rPr>
              <w:t>04.0.00.70510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193BCD" w14:textId="77777777" w:rsidR="00387142" w:rsidRPr="008B6A75" w:rsidRDefault="00387142" w:rsidP="00387142">
            <w:pPr>
              <w:jc w:val="center"/>
              <w:rPr>
                <w:sz w:val="20"/>
                <w:szCs w:val="20"/>
              </w:rPr>
            </w:pPr>
            <w:r w:rsidRPr="008B6A75">
              <w:rPr>
                <w:sz w:val="20"/>
                <w:szCs w:val="20"/>
              </w:rPr>
              <w:t>610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182426" w14:textId="77777777" w:rsidR="00387142" w:rsidRPr="008B6A75" w:rsidRDefault="00387142" w:rsidP="00387142">
            <w:pPr>
              <w:jc w:val="right"/>
              <w:rPr>
                <w:sz w:val="20"/>
                <w:szCs w:val="20"/>
              </w:rPr>
            </w:pPr>
            <w:r w:rsidRPr="008B6A75">
              <w:rPr>
                <w:sz w:val="20"/>
                <w:szCs w:val="20"/>
              </w:rPr>
              <w:t>2 909 200,00</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452FCF99" w14:textId="77777777" w:rsidR="00387142" w:rsidRPr="008B6A75" w:rsidRDefault="00387142" w:rsidP="00387142">
            <w:pPr>
              <w:jc w:val="right"/>
              <w:rPr>
                <w:sz w:val="20"/>
                <w:szCs w:val="20"/>
              </w:rPr>
            </w:pPr>
            <w:r w:rsidRPr="008B6A75">
              <w:rPr>
                <w:sz w:val="20"/>
                <w:szCs w:val="20"/>
              </w:rPr>
              <w:t>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3BFBEB" w14:textId="77777777" w:rsidR="00387142" w:rsidRPr="008B6A75" w:rsidRDefault="00387142" w:rsidP="00387142">
            <w:pPr>
              <w:jc w:val="right"/>
              <w:rPr>
                <w:sz w:val="20"/>
                <w:szCs w:val="20"/>
              </w:rPr>
            </w:pPr>
            <w:r w:rsidRPr="008B6A75">
              <w:rPr>
                <w:sz w:val="20"/>
                <w:szCs w:val="20"/>
              </w:rPr>
              <w:t>0,00</w:t>
            </w:r>
          </w:p>
        </w:tc>
        <w:tc>
          <w:tcPr>
            <w:tcW w:w="222" w:type="dxa"/>
            <w:vAlign w:val="center"/>
            <w:hideMark/>
          </w:tcPr>
          <w:p w14:paraId="563C5052" w14:textId="77777777" w:rsidR="00387142" w:rsidRPr="008B6A75" w:rsidRDefault="00387142" w:rsidP="00387142">
            <w:pPr>
              <w:rPr>
                <w:sz w:val="20"/>
                <w:szCs w:val="20"/>
              </w:rPr>
            </w:pPr>
          </w:p>
        </w:tc>
      </w:tr>
      <w:tr w:rsidR="00387142" w:rsidRPr="008B6A75" w14:paraId="3DC0A09B" w14:textId="77777777" w:rsidTr="00387142">
        <w:trPr>
          <w:trHeight w:val="1155"/>
        </w:trPr>
        <w:tc>
          <w:tcPr>
            <w:tcW w:w="3021" w:type="dxa"/>
            <w:tcBorders>
              <w:top w:val="nil"/>
              <w:left w:val="single" w:sz="4" w:space="0" w:color="auto"/>
              <w:bottom w:val="nil"/>
              <w:right w:val="nil"/>
            </w:tcBorders>
            <w:shd w:val="clear" w:color="auto" w:fill="auto"/>
            <w:vAlign w:val="center"/>
            <w:hideMark/>
          </w:tcPr>
          <w:p w14:paraId="19F7C3C4" w14:textId="77777777" w:rsidR="00387142" w:rsidRPr="008B6A75" w:rsidRDefault="00387142" w:rsidP="00387142">
            <w:pPr>
              <w:rPr>
                <w:bCs/>
                <w:sz w:val="20"/>
                <w:szCs w:val="20"/>
              </w:rPr>
            </w:pPr>
            <w:r w:rsidRPr="008B6A75">
              <w:rPr>
                <w:bCs/>
                <w:sz w:val="20"/>
                <w:szCs w:val="20"/>
              </w:rPr>
              <w:t>Реализация мероприятий муниципальной программы "Развитие молодёжной политики в Куйбышевском районе Новосибирской области"</w:t>
            </w:r>
          </w:p>
        </w:tc>
        <w:tc>
          <w:tcPr>
            <w:tcW w:w="850" w:type="dxa"/>
            <w:tcBorders>
              <w:top w:val="nil"/>
              <w:left w:val="single" w:sz="4" w:space="0" w:color="auto"/>
              <w:bottom w:val="nil"/>
              <w:right w:val="nil"/>
            </w:tcBorders>
            <w:shd w:val="clear" w:color="auto" w:fill="auto"/>
            <w:noWrap/>
            <w:vAlign w:val="center"/>
            <w:hideMark/>
          </w:tcPr>
          <w:p w14:paraId="511E0840" w14:textId="77777777" w:rsidR="00387142" w:rsidRPr="008B6A75" w:rsidRDefault="00387142" w:rsidP="00387142">
            <w:pPr>
              <w:jc w:val="center"/>
              <w:rPr>
                <w:bCs/>
                <w:sz w:val="20"/>
                <w:szCs w:val="20"/>
              </w:rPr>
            </w:pPr>
            <w:r w:rsidRPr="008B6A75">
              <w:rPr>
                <w:bCs/>
                <w:sz w:val="20"/>
                <w:szCs w:val="20"/>
              </w:rPr>
              <w:t>444</w:t>
            </w:r>
          </w:p>
        </w:tc>
        <w:tc>
          <w:tcPr>
            <w:tcW w:w="709" w:type="dxa"/>
            <w:tcBorders>
              <w:top w:val="nil"/>
              <w:left w:val="single" w:sz="4" w:space="0" w:color="auto"/>
              <w:bottom w:val="nil"/>
              <w:right w:val="nil"/>
            </w:tcBorders>
            <w:shd w:val="clear" w:color="auto" w:fill="auto"/>
            <w:noWrap/>
            <w:vAlign w:val="center"/>
            <w:hideMark/>
          </w:tcPr>
          <w:p w14:paraId="082F551F" w14:textId="77777777" w:rsidR="00387142" w:rsidRPr="008B6A75" w:rsidRDefault="00387142" w:rsidP="00387142">
            <w:pPr>
              <w:jc w:val="center"/>
              <w:rPr>
                <w:bCs/>
                <w:sz w:val="20"/>
                <w:szCs w:val="20"/>
              </w:rPr>
            </w:pPr>
            <w:r w:rsidRPr="008B6A75">
              <w:rPr>
                <w:bCs/>
                <w:sz w:val="20"/>
                <w:szCs w:val="20"/>
              </w:rPr>
              <w:t>07</w:t>
            </w:r>
          </w:p>
        </w:tc>
        <w:tc>
          <w:tcPr>
            <w:tcW w:w="709" w:type="dxa"/>
            <w:tcBorders>
              <w:top w:val="nil"/>
              <w:left w:val="single" w:sz="4" w:space="0" w:color="auto"/>
              <w:bottom w:val="nil"/>
              <w:right w:val="single" w:sz="4" w:space="0" w:color="auto"/>
            </w:tcBorders>
            <w:shd w:val="clear" w:color="auto" w:fill="auto"/>
            <w:noWrap/>
            <w:vAlign w:val="center"/>
            <w:hideMark/>
          </w:tcPr>
          <w:p w14:paraId="1AE13FE2" w14:textId="77777777" w:rsidR="00387142" w:rsidRPr="008B6A75" w:rsidRDefault="00387142" w:rsidP="00387142">
            <w:pPr>
              <w:jc w:val="center"/>
              <w:rPr>
                <w:bCs/>
                <w:sz w:val="20"/>
                <w:szCs w:val="20"/>
              </w:rPr>
            </w:pPr>
            <w:r w:rsidRPr="008B6A75">
              <w:rPr>
                <w:bCs/>
                <w:sz w:val="20"/>
                <w:szCs w:val="20"/>
              </w:rPr>
              <w:t>07</w:t>
            </w:r>
          </w:p>
        </w:tc>
        <w:tc>
          <w:tcPr>
            <w:tcW w:w="1411" w:type="dxa"/>
            <w:tcBorders>
              <w:top w:val="nil"/>
              <w:left w:val="single" w:sz="4" w:space="0" w:color="auto"/>
              <w:bottom w:val="nil"/>
              <w:right w:val="nil"/>
            </w:tcBorders>
            <w:shd w:val="clear" w:color="auto" w:fill="auto"/>
            <w:noWrap/>
            <w:vAlign w:val="center"/>
            <w:hideMark/>
          </w:tcPr>
          <w:p w14:paraId="4E5C8EBA" w14:textId="77777777" w:rsidR="00387142" w:rsidRPr="008B6A75" w:rsidRDefault="00387142" w:rsidP="00387142">
            <w:pPr>
              <w:jc w:val="center"/>
              <w:rPr>
                <w:bCs/>
                <w:sz w:val="20"/>
                <w:szCs w:val="20"/>
              </w:rPr>
            </w:pPr>
            <w:r w:rsidRPr="008B6A75">
              <w:rPr>
                <w:bCs/>
                <w:sz w:val="20"/>
                <w:szCs w:val="20"/>
              </w:rPr>
              <w:t>04.0.00.79500</w:t>
            </w:r>
          </w:p>
        </w:tc>
        <w:tc>
          <w:tcPr>
            <w:tcW w:w="955" w:type="dxa"/>
            <w:tcBorders>
              <w:top w:val="nil"/>
              <w:left w:val="single" w:sz="4" w:space="0" w:color="auto"/>
              <w:bottom w:val="nil"/>
              <w:right w:val="single" w:sz="4" w:space="0" w:color="auto"/>
            </w:tcBorders>
            <w:shd w:val="clear" w:color="auto" w:fill="auto"/>
            <w:noWrap/>
            <w:vAlign w:val="center"/>
            <w:hideMark/>
          </w:tcPr>
          <w:p w14:paraId="4FDC564D"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nil"/>
              <w:right w:val="single" w:sz="4" w:space="0" w:color="auto"/>
            </w:tcBorders>
            <w:shd w:val="clear" w:color="auto" w:fill="auto"/>
            <w:noWrap/>
            <w:vAlign w:val="center"/>
            <w:hideMark/>
          </w:tcPr>
          <w:p w14:paraId="52E7B4EB" w14:textId="77777777" w:rsidR="00387142" w:rsidRPr="008B6A75" w:rsidRDefault="00387142" w:rsidP="00387142">
            <w:pPr>
              <w:jc w:val="right"/>
              <w:rPr>
                <w:bCs/>
                <w:sz w:val="20"/>
                <w:szCs w:val="20"/>
              </w:rPr>
            </w:pPr>
            <w:r w:rsidRPr="008B6A75">
              <w:rPr>
                <w:bCs/>
                <w:sz w:val="20"/>
                <w:szCs w:val="20"/>
              </w:rPr>
              <w:t>2 000 000,00</w:t>
            </w:r>
          </w:p>
        </w:tc>
        <w:tc>
          <w:tcPr>
            <w:tcW w:w="992" w:type="dxa"/>
            <w:gridSpan w:val="2"/>
            <w:tcBorders>
              <w:top w:val="nil"/>
              <w:left w:val="single" w:sz="4" w:space="0" w:color="auto"/>
              <w:bottom w:val="nil"/>
              <w:right w:val="nil"/>
            </w:tcBorders>
            <w:shd w:val="clear" w:color="auto" w:fill="auto"/>
            <w:noWrap/>
            <w:vAlign w:val="center"/>
            <w:hideMark/>
          </w:tcPr>
          <w:p w14:paraId="1E147942" w14:textId="77777777" w:rsidR="00387142" w:rsidRPr="008B6A75" w:rsidRDefault="00387142" w:rsidP="00387142">
            <w:pPr>
              <w:jc w:val="right"/>
              <w:rPr>
                <w:bCs/>
                <w:sz w:val="20"/>
                <w:szCs w:val="20"/>
              </w:rPr>
            </w:pPr>
            <w:r w:rsidRPr="008B6A75">
              <w:rPr>
                <w:bCs/>
                <w:sz w:val="20"/>
                <w:szCs w:val="20"/>
              </w:rPr>
              <w:t>0,00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127CA34F" w14:textId="77777777" w:rsidR="00387142" w:rsidRPr="008B6A75" w:rsidRDefault="00387142" w:rsidP="00387142">
            <w:pPr>
              <w:jc w:val="right"/>
              <w:rPr>
                <w:bCs/>
                <w:sz w:val="20"/>
                <w:szCs w:val="20"/>
              </w:rPr>
            </w:pPr>
            <w:r w:rsidRPr="008B6A75">
              <w:rPr>
                <w:bCs/>
                <w:sz w:val="20"/>
                <w:szCs w:val="20"/>
              </w:rPr>
              <w:t>0,00</w:t>
            </w:r>
          </w:p>
        </w:tc>
        <w:tc>
          <w:tcPr>
            <w:tcW w:w="222" w:type="dxa"/>
            <w:vAlign w:val="center"/>
            <w:hideMark/>
          </w:tcPr>
          <w:p w14:paraId="5291C85E" w14:textId="77777777" w:rsidR="00387142" w:rsidRPr="008B6A75" w:rsidRDefault="00387142" w:rsidP="00387142">
            <w:pPr>
              <w:rPr>
                <w:sz w:val="20"/>
                <w:szCs w:val="20"/>
              </w:rPr>
            </w:pPr>
          </w:p>
        </w:tc>
      </w:tr>
      <w:tr w:rsidR="00387142" w:rsidRPr="008B6A75" w14:paraId="618B0967" w14:textId="77777777" w:rsidTr="00387142">
        <w:trPr>
          <w:trHeight w:val="585"/>
        </w:trPr>
        <w:tc>
          <w:tcPr>
            <w:tcW w:w="3021" w:type="dxa"/>
            <w:tcBorders>
              <w:top w:val="single" w:sz="4" w:space="0" w:color="auto"/>
              <w:left w:val="single" w:sz="4" w:space="0" w:color="auto"/>
              <w:bottom w:val="nil"/>
              <w:right w:val="nil"/>
            </w:tcBorders>
            <w:shd w:val="clear" w:color="auto" w:fill="auto"/>
            <w:vAlign w:val="center"/>
            <w:hideMark/>
          </w:tcPr>
          <w:p w14:paraId="21DE27B6" w14:textId="77777777" w:rsidR="00387142" w:rsidRPr="008B6A75" w:rsidRDefault="00387142" w:rsidP="00387142">
            <w:pPr>
              <w:rPr>
                <w:sz w:val="20"/>
                <w:szCs w:val="20"/>
              </w:rPr>
            </w:pPr>
            <w:r w:rsidRPr="008B6A75">
              <w:rPr>
                <w:sz w:val="20"/>
                <w:szCs w:val="20"/>
              </w:rPr>
              <w:t>Социальное обеспечение и иные выплаты населению</w:t>
            </w:r>
          </w:p>
        </w:tc>
        <w:tc>
          <w:tcPr>
            <w:tcW w:w="850" w:type="dxa"/>
            <w:tcBorders>
              <w:top w:val="single" w:sz="4" w:space="0" w:color="auto"/>
              <w:left w:val="single" w:sz="4" w:space="0" w:color="auto"/>
              <w:bottom w:val="nil"/>
              <w:right w:val="nil"/>
            </w:tcBorders>
            <w:shd w:val="clear" w:color="auto" w:fill="auto"/>
            <w:noWrap/>
            <w:vAlign w:val="center"/>
            <w:hideMark/>
          </w:tcPr>
          <w:p w14:paraId="62A63CF1" w14:textId="77777777" w:rsidR="00387142" w:rsidRPr="008B6A75" w:rsidRDefault="00387142" w:rsidP="00387142">
            <w:pPr>
              <w:jc w:val="center"/>
              <w:rPr>
                <w:sz w:val="20"/>
                <w:szCs w:val="20"/>
              </w:rPr>
            </w:pPr>
            <w:r w:rsidRPr="008B6A75">
              <w:rPr>
                <w:sz w:val="20"/>
                <w:szCs w:val="20"/>
              </w:rPr>
              <w:t>444</w:t>
            </w:r>
          </w:p>
        </w:tc>
        <w:tc>
          <w:tcPr>
            <w:tcW w:w="709" w:type="dxa"/>
            <w:tcBorders>
              <w:top w:val="single" w:sz="4" w:space="0" w:color="auto"/>
              <w:left w:val="single" w:sz="4" w:space="0" w:color="auto"/>
              <w:bottom w:val="nil"/>
              <w:right w:val="nil"/>
            </w:tcBorders>
            <w:shd w:val="clear" w:color="auto" w:fill="auto"/>
            <w:noWrap/>
            <w:vAlign w:val="center"/>
            <w:hideMark/>
          </w:tcPr>
          <w:p w14:paraId="1E7CE2DD" w14:textId="77777777" w:rsidR="00387142" w:rsidRPr="008B6A75" w:rsidRDefault="00387142" w:rsidP="00387142">
            <w:pPr>
              <w:jc w:val="center"/>
              <w:rPr>
                <w:sz w:val="20"/>
                <w:szCs w:val="20"/>
              </w:rPr>
            </w:pPr>
            <w:r w:rsidRPr="008B6A75">
              <w:rPr>
                <w:sz w:val="20"/>
                <w:szCs w:val="20"/>
              </w:rPr>
              <w:t>07</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3817EEAF" w14:textId="77777777" w:rsidR="00387142" w:rsidRPr="008B6A75" w:rsidRDefault="00387142" w:rsidP="00387142">
            <w:pPr>
              <w:jc w:val="center"/>
              <w:rPr>
                <w:sz w:val="20"/>
                <w:szCs w:val="20"/>
              </w:rPr>
            </w:pPr>
            <w:r w:rsidRPr="008B6A75">
              <w:rPr>
                <w:sz w:val="20"/>
                <w:szCs w:val="20"/>
              </w:rPr>
              <w:t>07</w:t>
            </w:r>
          </w:p>
        </w:tc>
        <w:tc>
          <w:tcPr>
            <w:tcW w:w="1411" w:type="dxa"/>
            <w:tcBorders>
              <w:top w:val="single" w:sz="4" w:space="0" w:color="auto"/>
              <w:left w:val="single" w:sz="4" w:space="0" w:color="auto"/>
              <w:bottom w:val="nil"/>
              <w:right w:val="nil"/>
            </w:tcBorders>
            <w:shd w:val="clear" w:color="auto" w:fill="auto"/>
            <w:noWrap/>
            <w:vAlign w:val="center"/>
            <w:hideMark/>
          </w:tcPr>
          <w:p w14:paraId="092C8479" w14:textId="77777777" w:rsidR="00387142" w:rsidRPr="008B6A75" w:rsidRDefault="00387142" w:rsidP="00387142">
            <w:pPr>
              <w:jc w:val="center"/>
              <w:rPr>
                <w:sz w:val="20"/>
                <w:szCs w:val="20"/>
              </w:rPr>
            </w:pPr>
            <w:r w:rsidRPr="008B6A75">
              <w:rPr>
                <w:sz w:val="20"/>
                <w:szCs w:val="20"/>
              </w:rPr>
              <w:t>04.0.00.79500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0BE2C1B8" w14:textId="77777777" w:rsidR="00387142" w:rsidRPr="008B6A75" w:rsidRDefault="00387142" w:rsidP="00387142">
            <w:pPr>
              <w:jc w:val="center"/>
              <w:rPr>
                <w:sz w:val="20"/>
                <w:szCs w:val="20"/>
              </w:rPr>
            </w:pPr>
            <w:r w:rsidRPr="008B6A75">
              <w:rPr>
                <w:sz w:val="20"/>
                <w:szCs w:val="20"/>
              </w:rPr>
              <w:t>300</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152E6652" w14:textId="77777777" w:rsidR="00387142" w:rsidRPr="008B6A75" w:rsidRDefault="00387142" w:rsidP="00387142">
            <w:pPr>
              <w:jc w:val="right"/>
              <w:rPr>
                <w:sz w:val="20"/>
                <w:szCs w:val="20"/>
              </w:rPr>
            </w:pPr>
            <w:r w:rsidRPr="008B6A75">
              <w:rPr>
                <w:sz w:val="20"/>
                <w:szCs w:val="20"/>
              </w:rPr>
              <w:t>1 153 579,08</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30180D4A" w14:textId="77777777" w:rsidR="00387142" w:rsidRPr="008B6A75" w:rsidRDefault="00387142" w:rsidP="00387142">
            <w:pPr>
              <w:jc w:val="right"/>
              <w:rPr>
                <w:sz w:val="20"/>
                <w:szCs w:val="20"/>
              </w:rPr>
            </w:pPr>
            <w:r w:rsidRPr="008B6A75">
              <w:rPr>
                <w:sz w:val="20"/>
                <w:szCs w:val="20"/>
              </w:rPr>
              <w:t>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25C29DE3" w14:textId="77777777" w:rsidR="00387142" w:rsidRPr="008B6A75" w:rsidRDefault="00387142" w:rsidP="00387142">
            <w:pPr>
              <w:jc w:val="right"/>
              <w:rPr>
                <w:sz w:val="20"/>
                <w:szCs w:val="20"/>
              </w:rPr>
            </w:pPr>
            <w:r w:rsidRPr="008B6A75">
              <w:rPr>
                <w:sz w:val="20"/>
                <w:szCs w:val="20"/>
              </w:rPr>
              <w:t>0,00</w:t>
            </w:r>
          </w:p>
        </w:tc>
        <w:tc>
          <w:tcPr>
            <w:tcW w:w="222" w:type="dxa"/>
            <w:vAlign w:val="center"/>
            <w:hideMark/>
          </w:tcPr>
          <w:p w14:paraId="362FC450" w14:textId="77777777" w:rsidR="00387142" w:rsidRPr="008B6A75" w:rsidRDefault="00387142" w:rsidP="00387142">
            <w:pPr>
              <w:rPr>
                <w:sz w:val="20"/>
                <w:szCs w:val="20"/>
              </w:rPr>
            </w:pPr>
          </w:p>
        </w:tc>
      </w:tr>
      <w:tr w:rsidR="00387142" w:rsidRPr="008B6A75" w14:paraId="121A616C" w14:textId="77777777" w:rsidTr="00387142">
        <w:trPr>
          <w:trHeight w:val="300"/>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2DF4942E" w14:textId="77777777" w:rsidR="00387142" w:rsidRPr="008B6A75" w:rsidRDefault="00387142" w:rsidP="00387142">
            <w:pPr>
              <w:rPr>
                <w:sz w:val="20"/>
                <w:szCs w:val="20"/>
              </w:rPr>
            </w:pPr>
            <w:r w:rsidRPr="008B6A75">
              <w:rPr>
                <w:sz w:val="20"/>
                <w:szCs w:val="20"/>
              </w:rPr>
              <w:t>Стипендии</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1AE5616F" w14:textId="77777777" w:rsidR="00387142" w:rsidRPr="008B6A75" w:rsidRDefault="00387142" w:rsidP="00387142">
            <w:pPr>
              <w:jc w:val="center"/>
              <w:rPr>
                <w:sz w:val="20"/>
                <w:szCs w:val="20"/>
              </w:rPr>
            </w:pPr>
            <w:r w:rsidRPr="008B6A75">
              <w:rPr>
                <w:sz w:val="20"/>
                <w:szCs w:val="20"/>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6CD7A60E" w14:textId="77777777" w:rsidR="00387142" w:rsidRPr="008B6A75" w:rsidRDefault="00387142" w:rsidP="00387142">
            <w:pPr>
              <w:jc w:val="center"/>
              <w:rPr>
                <w:sz w:val="20"/>
                <w:szCs w:val="20"/>
              </w:rPr>
            </w:pPr>
            <w:r w:rsidRPr="008B6A75">
              <w:rPr>
                <w:sz w:val="20"/>
                <w:szCs w:val="20"/>
              </w:rPr>
              <w:t>07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0A52E9" w14:textId="77777777" w:rsidR="00387142" w:rsidRPr="008B6A75" w:rsidRDefault="00387142" w:rsidP="00387142">
            <w:pPr>
              <w:jc w:val="center"/>
              <w:rPr>
                <w:sz w:val="20"/>
                <w:szCs w:val="20"/>
              </w:rPr>
            </w:pPr>
            <w:r w:rsidRPr="008B6A75">
              <w:rPr>
                <w:sz w:val="20"/>
                <w:szCs w:val="20"/>
              </w:rPr>
              <w:t>07</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2F1B76CF" w14:textId="77777777" w:rsidR="00387142" w:rsidRPr="008B6A75" w:rsidRDefault="00387142" w:rsidP="00387142">
            <w:pPr>
              <w:jc w:val="center"/>
              <w:rPr>
                <w:sz w:val="20"/>
                <w:szCs w:val="20"/>
              </w:rPr>
            </w:pPr>
            <w:r w:rsidRPr="008B6A75">
              <w:rPr>
                <w:sz w:val="20"/>
                <w:szCs w:val="20"/>
              </w:rPr>
              <w:t>04.0.00.79500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A9A596" w14:textId="77777777" w:rsidR="00387142" w:rsidRPr="008B6A75" w:rsidRDefault="00387142" w:rsidP="00387142">
            <w:pPr>
              <w:jc w:val="center"/>
              <w:rPr>
                <w:sz w:val="20"/>
                <w:szCs w:val="20"/>
              </w:rPr>
            </w:pPr>
            <w:r w:rsidRPr="008B6A75">
              <w:rPr>
                <w:sz w:val="20"/>
                <w:szCs w:val="20"/>
              </w:rPr>
              <w:t>340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4242C9" w14:textId="77777777" w:rsidR="00387142" w:rsidRPr="008B6A75" w:rsidRDefault="00387142" w:rsidP="00387142">
            <w:pPr>
              <w:jc w:val="right"/>
              <w:rPr>
                <w:sz w:val="20"/>
                <w:szCs w:val="20"/>
              </w:rPr>
            </w:pPr>
            <w:r w:rsidRPr="008B6A75">
              <w:rPr>
                <w:sz w:val="20"/>
                <w:szCs w:val="20"/>
              </w:rPr>
              <w:t>1 153 579,08</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7708E3F2" w14:textId="77777777" w:rsidR="00387142" w:rsidRPr="008B6A75" w:rsidRDefault="00387142" w:rsidP="00387142">
            <w:pPr>
              <w:jc w:val="right"/>
              <w:rPr>
                <w:sz w:val="20"/>
                <w:szCs w:val="20"/>
              </w:rPr>
            </w:pPr>
            <w:r w:rsidRPr="008B6A75">
              <w:rPr>
                <w:sz w:val="20"/>
                <w:szCs w:val="20"/>
              </w:rPr>
              <w:t>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1DAD55" w14:textId="77777777" w:rsidR="00387142" w:rsidRPr="008B6A75" w:rsidRDefault="00387142" w:rsidP="00387142">
            <w:pPr>
              <w:jc w:val="right"/>
              <w:rPr>
                <w:sz w:val="20"/>
                <w:szCs w:val="20"/>
              </w:rPr>
            </w:pPr>
            <w:r w:rsidRPr="008B6A75">
              <w:rPr>
                <w:sz w:val="20"/>
                <w:szCs w:val="20"/>
              </w:rPr>
              <w:t>0,00</w:t>
            </w:r>
          </w:p>
        </w:tc>
        <w:tc>
          <w:tcPr>
            <w:tcW w:w="222" w:type="dxa"/>
            <w:vAlign w:val="center"/>
            <w:hideMark/>
          </w:tcPr>
          <w:p w14:paraId="2C8F5771" w14:textId="77777777" w:rsidR="00387142" w:rsidRPr="008B6A75" w:rsidRDefault="00387142" w:rsidP="00387142">
            <w:pPr>
              <w:rPr>
                <w:sz w:val="20"/>
                <w:szCs w:val="20"/>
              </w:rPr>
            </w:pPr>
          </w:p>
        </w:tc>
      </w:tr>
      <w:tr w:rsidR="00387142" w:rsidRPr="008B6A75" w14:paraId="0F764E43" w14:textId="77777777" w:rsidTr="00387142">
        <w:trPr>
          <w:trHeight w:val="300"/>
        </w:trPr>
        <w:tc>
          <w:tcPr>
            <w:tcW w:w="3021" w:type="dxa"/>
            <w:tcBorders>
              <w:top w:val="nil"/>
              <w:left w:val="single" w:sz="4" w:space="0" w:color="auto"/>
              <w:bottom w:val="nil"/>
              <w:right w:val="nil"/>
            </w:tcBorders>
            <w:shd w:val="clear" w:color="auto" w:fill="auto"/>
            <w:vAlign w:val="center"/>
            <w:hideMark/>
          </w:tcPr>
          <w:p w14:paraId="191817C5" w14:textId="77777777" w:rsidR="00387142" w:rsidRPr="008B6A75" w:rsidRDefault="00387142" w:rsidP="00387142">
            <w:pPr>
              <w:rPr>
                <w:sz w:val="20"/>
                <w:szCs w:val="20"/>
              </w:rPr>
            </w:pPr>
            <w:r w:rsidRPr="008B6A75">
              <w:rPr>
                <w:sz w:val="20"/>
                <w:szCs w:val="20"/>
              </w:rPr>
              <w:t>Межбюджетные трансферты</w:t>
            </w:r>
          </w:p>
        </w:tc>
        <w:tc>
          <w:tcPr>
            <w:tcW w:w="850" w:type="dxa"/>
            <w:tcBorders>
              <w:top w:val="nil"/>
              <w:left w:val="single" w:sz="4" w:space="0" w:color="auto"/>
              <w:bottom w:val="nil"/>
              <w:right w:val="nil"/>
            </w:tcBorders>
            <w:shd w:val="clear" w:color="auto" w:fill="auto"/>
            <w:noWrap/>
            <w:vAlign w:val="center"/>
            <w:hideMark/>
          </w:tcPr>
          <w:p w14:paraId="4C54A87F" w14:textId="77777777" w:rsidR="00387142" w:rsidRPr="008B6A75" w:rsidRDefault="00387142" w:rsidP="00387142">
            <w:pPr>
              <w:jc w:val="center"/>
              <w:rPr>
                <w:sz w:val="20"/>
                <w:szCs w:val="20"/>
              </w:rPr>
            </w:pPr>
            <w:r w:rsidRPr="008B6A75">
              <w:rPr>
                <w:sz w:val="20"/>
                <w:szCs w:val="20"/>
              </w:rPr>
              <w:t>444</w:t>
            </w:r>
          </w:p>
        </w:tc>
        <w:tc>
          <w:tcPr>
            <w:tcW w:w="709" w:type="dxa"/>
            <w:tcBorders>
              <w:top w:val="nil"/>
              <w:left w:val="single" w:sz="4" w:space="0" w:color="auto"/>
              <w:bottom w:val="nil"/>
              <w:right w:val="nil"/>
            </w:tcBorders>
            <w:shd w:val="clear" w:color="auto" w:fill="auto"/>
            <w:noWrap/>
            <w:vAlign w:val="center"/>
            <w:hideMark/>
          </w:tcPr>
          <w:p w14:paraId="66D0F85C" w14:textId="77777777" w:rsidR="00387142" w:rsidRPr="008B6A75" w:rsidRDefault="00387142" w:rsidP="00387142">
            <w:pPr>
              <w:jc w:val="center"/>
              <w:rPr>
                <w:sz w:val="20"/>
                <w:szCs w:val="20"/>
              </w:rPr>
            </w:pPr>
            <w:r w:rsidRPr="008B6A75">
              <w:rPr>
                <w:sz w:val="20"/>
                <w:szCs w:val="20"/>
              </w:rPr>
              <w:t>07</w:t>
            </w:r>
          </w:p>
        </w:tc>
        <w:tc>
          <w:tcPr>
            <w:tcW w:w="709" w:type="dxa"/>
            <w:tcBorders>
              <w:top w:val="nil"/>
              <w:left w:val="single" w:sz="4" w:space="0" w:color="auto"/>
              <w:bottom w:val="nil"/>
              <w:right w:val="single" w:sz="4" w:space="0" w:color="auto"/>
            </w:tcBorders>
            <w:shd w:val="clear" w:color="auto" w:fill="auto"/>
            <w:noWrap/>
            <w:vAlign w:val="center"/>
            <w:hideMark/>
          </w:tcPr>
          <w:p w14:paraId="79D4D4A9" w14:textId="77777777" w:rsidR="00387142" w:rsidRPr="008B6A75" w:rsidRDefault="00387142" w:rsidP="00387142">
            <w:pPr>
              <w:jc w:val="center"/>
              <w:rPr>
                <w:sz w:val="20"/>
                <w:szCs w:val="20"/>
              </w:rPr>
            </w:pPr>
            <w:r w:rsidRPr="008B6A75">
              <w:rPr>
                <w:sz w:val="20"/>
                <w:szCs w:val="20"/>
              </w:rPr>
              <w:t>07</w:t>
            </w:r>
          </w:p>
        </w:tc>
        <w:tc>
          <w:tcPr>
            <w:tcW w:w="1411" w:type="dxa"/>
            <w:tcBorders>
              <w:top w:val="nil"/>
              <w:left w:val="single" w:sz="4" w:space="0" w:color="auto"/>
              <w:bottom w:val="nil"/>
              <w:right w:val="nil"/>
            </w:tcBorders>
            <w:shd w:val="clear" w:color="auto" w:fill="auto"/>
            <w:noWrap/>
            <w:vAlign w:val="center"/>
            <w:hideMark/>
          </w:tcPr>
          <w:p w14:paraId="74EF3F2B" w14:textId="77777777" w:rsidR="00387142" w:rsidRPr="008B6A75" w:rsidRDefault="00387142" w:rsidP="00387142">
            <w:pPr>
              <w:jc w:val="center"/>
              <w:rPr>
                <w:sz w:val="20"/>
                <w:szCs w:val="20"/>
              </w:rPr>
            </w:pPr>
            <w:r w:rsidRPr="008B6A75">
              <w:rPr>
                <w:sz w:val="20"/>
                <w:szCs w:val="20"/>
              </w:rPr>
              <w:t>04.0.00.79500</w:t>
            </w:r>
          </w:p>
        </w:tc>
        <w:tc>
          <w:tcPr>
            <w:tcW w:w="955" w:type="dxa"/>
            <w:tcBorders>
              <w:top w:val="nil"/>
              <w:left w:val="single" w:sz="4" w:space="0" w:color="auto"/>
              <w:bottom w:val="nil"/>
              <w:right w:val="single" w:sz="4" w:space="0" w:color="auto"/>
            </w:tcBorders>
            <w:shd w:val="clear" w:color="auto" w:fill="auto"/>
            <w:noWrap/>
            <w:vAlign w:val="center"/>
            <w:hideMark/>
          </w:tcPr>
          <w:p w14:paraId="1957447E" w14:textId="77777777" w:rsidR="00387142" w:rsidRPr="008B6A75" w:rsidRDefault="00387142" w:rsidP="00387142">
            <w:pPr>
              <w:jc w:val="center"/>
              <w:rPr>
                <w:sz w:val="20"/>
                <w:szCs w:val="20"/>
              </w:rPr>
            </w:pPr>
            <w:r w:rsidRPr="008B6A75">
              <w:rPr>
                <w:sz w:val="20"/>
                <w:szCs w:val="20"/>
              </w:rPr>
              <w:t>500</w:t>
            </w:r>
          </w:p>
        </w:tc>
        <w:tc>
          <w:tcPr>
            <w:tcW w:w="992" w:type="dxa"/>
            <w:tcBorders>
              <w:top w:val="nil"/>
              <w:left w:val="single" w:sz="4" w:space="0" w:color="auto"/>
              <w:bottom w:val="nil"/>
              <w:right w:val="single" w:sz="4" w:space="0" w:color="auto"/>
            </w:tcBorders>
            <w:shd w:val="clear" w:color="auto" w:fill="auto"/>
            <w:noWrap/>
            <w:vAlign w:val="center"/>
            <w:hideMark/>
          </w:tcPr>
          <w:p w14:paraId="43EB5098" w14:textId="77777777" w:rsidR="00387142" w:rsidRPr="008B6A75" w:rsidRDefault="00387142" w:rsidP="00387142">
            <w:pPr>
              <w:jc w:val="right"/>
              <w:rPr>
                <w:sz w:val="20"/>
                <w:szCs w:val="20"/>
              </w:rPr>
            </w:pPr>
            <w:r w:rsidRPr="008B6A75">
              <w:rPr>
                <w:sz w:val="20"/>
                <w:szCs w:val="20"/>
              </w:rPr>
              <w:t>30 000,00</w:t>
            </w:r>
          </w:p>
        </w:tc>
        <w:tc>
          <w:tcPr>
            <w:tcW w:w="992" w:type="dxa"/>
            <w:gridSpan w:val="2"/>
            <w:tcBorders>
              <w:top w:val="nil"/>
              <w:left w:val="single" w:sz="4" w:space="0" w:color="auto"/>
              <w:bottom w:val="nil"/>
              <w:right w:val="nil"/>
            </w:tcBorders>
            <w:shd w:val="clear" w:color="auto" w:fill="auto"/>
            <w:noWrap/>
            <w:vAlign w:val="center"/>
            <w:hideMark/>
          </w:tcPr>
          <w:p w14:paraId="357FA140" w14:textId="77777777" w:rsidR="00387142" w:rsidRPr="008B6A75" w:rsidRDefault="00387142" w:rsidP="00387142">
            <w:pPr>
              <w:jc w:val="right"/>
              <w:rPr>
                <w:sz w:val="20"/>
                <w:szCs w:val="20"/>
              </w:rPr>
            </w:pPr>
            <w:r w:rsidRPr="008B6A75">
              <w:rPr>
                <w:sz w:val="20"/>
                <w:szCs w:val="20"/>
              </w:rPr>
              <w:t>0,00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7C59D968" w14:textId="77777777" w:rsidR="00387142" w:rsidRPr="008B6A75" w:rsidRDefault="00387142" w:rsidP="00387142">
            <w:pPr>
              <w:jc w:val="right"/>
              <w:rPr>
                <w:sz w:val="20"/>
                <w:szCs w:val="20"/>
              </w:rPr>
            </w:pPr>
            <w:r w:rsidRPr="008B6A75">
              <w:rPr>
                <w:sz w:val="20"/>
                <w:szCs w:val="20"/>
              </w:rPr>
              <w:t>0,00</w:t>
            </w:r>
          </w:p>
        </w:tc>
        <w:tc>
          <w:tcPr>
            <w:tcW w:w="222" w:type="dxa"/>
            <w:vAlign w:val="center"/>
            <w:hideMark/>
          </w:tcPr>
          <w:p w14:paraId="1DF65DB9" w14:textId="77777777" w:rsidR="00387142" w:rsidRPr="008B6A75" w:rsidRDefault="00387142" w:rsidP="00387142">
            <w:pPr>
              <w:rPr>
                <w:sz w:val="20"/>
                <w:szCs w:val="20"/>
              </w:rPr>
            </w:pPr>
          </w:p>
        </w:tc>
      </w:tr>
      <w:tr w:rsidR="00387142" w:rsidRPr="008B6A75" w14:paraId="41A721FF" w14:textId="77777777" w:rsidTr="00387142">
        <w:trPr>
          <w:trHeight w:val="300"/>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48A521D4" w14:textId="77777777" w:rsidR="00387142" w:rsidRPr="008B6A75" w:rsidRDefault="00387142" w:rsidP="00387142">
            <w:pPr>
              <w:rPr>
                <w:sz w:val="20"/>
                <w:szCs w:val="20"/>
              </w:rPr>
            </w:pPr>
            <w:r w:rsidRPr="008B6A75">
              <w:rPr>
                <w:sz w:val="20"/>
                <w:szCs w:val="20"/>
              </w:rPr>
              <w:t>Иные межбюджетные трансферты</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020F926B" w14:textId="77777777" w:rsidR="00387142" w:rsidRPr="008B6A75" w:rsidRDefault="00387142" w:rsidP="00387142">
            <w:pPr>
              <w:jc w:val="center"/>
              <w:rPr>
                <w:sz w:val="20"/>
                <w:szCs w:val="20"/>
              </w:rPr>
            </w:pPr>
            <w:r w:rsidRPr="008B6A75">
              <w:rPr>
                <w:sz w:val="20"/>
                <w:szCs w:val="20"/>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2A70C287" w14:textId="77777777" w:rsidR="00387142" w:rsidRPr="008B6A75" w:rsidRDefault="00387142" w:rsidP="00387142">
            <w:pPr>
              <w:jc w:val="center"/>
              <w:rPr>
                <w:sz w:val="20"/>
                <w:szCs w:val="20"/>
              </w:rPr>
            </w:pPr>
            <w:r w:rsidRPr="008B6A75">
              <w:rPr>
                <w:sz w:val="20"/>
                <w:szCs w:val="20"/>
              </w:rPr>
              <w:t>07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E37C9A" w14:textId="77777777" w:rsidR="00387142" w:rsidRPr="008B6A75" w:rsidRDefault="00387142" w:rsidP="00387142">
            <w:pPr>
              <w:jc w:val="center"/>
              <w:rPr>
                <w:sz w:val="20"/>
                <w:szCs w:val="20"/>
              </w:rPr>
            </w:pPr>
            <w:r w:rsidRPr="008B6A75">
              <w:rPr>
                <w:sz w:val="20"/>
                <w:szCs w:val="20"/>
              </w:rPr>
              <w:t>07</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2C2FFC55" w14:textId="77777777" w:rsidR="00387142" w:rsidRPr="008B6A75" w:rsidRDefault="00387142" w:rsidP="00387142">
            <w:pPr>
              <w:jc w:val="center"/>
              <w:rPr>
                <w:sz w:val="20"/>
                <w:szCs w:val="20"/>
              </w:rPr>
            </w:pPr>
            <w:r w:rsidRPr="008B6A75">
              <w:rPr>
                <w:sz w:val="20"/>
                <w:szCs w:val="20"/>
              </w:rPr>
              <w:t>04.0.00.79500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F0214B" w14:textId="77777777" w:rsidR="00387142" w:rsidRPr="008B6A75" w:rsidRDefault="00387142" w:rsidP="00387142">
            <w:pPr>
              <w:jc w:val="center"/>
              <w:rPr>
                <w:sz w:val="20"/>
                <w:szCs w:val="20"/>
              </w:rPr>
            </w:pPr>
            <w:r w:rsidRPr="008B6A75">
              <w:rPr>
                <w:sz w:val="20"/>
                <w:szCs w:val="20"/>
              </w:rPr>
              <w:t>540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3A20F9" w14:textId="77777777" w:rsidR="00387142" w:rsidRPr="008B6A75" w:rsidRDefault="00387142" w:rsidP="00387142">
            <w:pPr>
              <w:jc w:val="right"/>
              <w:rPr>
                <w:sz w:val="20"/>
                <w:szCs w:val="20"/>
              </w:rPr>
            </w:pPr>
            <w:r w:rsidRPr="008B6A75">
              <w:rPr>
                <w:sz w:val="20"/>
                <w:szCs w:val="20"/>
              </w:rPr>
              <w:t>30 000,00</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6B0FCB6B" w14:textId="77777777" w:rsidR="00387142" w:rsidRPr="008B6A75" w:rsidRDefault="00387142" w:rsidP="00387142">
            <w:pPr>
              <w:jc w:val="right"/>
              <w:rPr>
                <w:sz w:val="20"/>
                <w:szCs w:val="20"/>
              </w:rPr>
            </w:pPr>
            <w:r w:rsidRPr="008B6A75">
              <w:rPr>
                <w:sz w:val="20"/>
                <w:szCs w:val="20"/>
              </w:rPr>
              <w:t>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FBB557" w14:textId="77777777" w:rsidR="00387142" w:rsidRPr="008B6A75" w:rsidRDefault="00387142" w:rsidP="00387142">
            <w:pPr>
              <w:jc w:val="right"/>
              <w:rPr>
                <w:sz w:val="20"/>
                <w:szCs w:val="20"/>
              </w:rPr>
            </w:pPr>
            <w:r w:rsidRPr="008B6A75">
              <w:rPr>
                <w:sz w:val="20"/>
                <w:szCs w:val="20"/>
              </w:rPr>
              <w:t>0,00</w:t>
            </w:r>
          </w:p>
        </w:tc>
        <w:tc>
          <w:tcPr>
            <w:tcW w:w="222" w:type="dxa"/>
            <w:vAlign w:val="center"/>
            <w:hideMark/>
          </w:tcPr>
          <w:p w14:paraId="6E68B2FA" w14:textId="77777777" w:rsidR="00387142" w:rsidRPr="008B6A75" w:rsidRDefault="00387142" w:rsidP="00387142">
            <w:pPr>
              <w:rPr>
                <w:sz w:val="20"/>
                <w:szCs w:val="20"/>
              </w:rPr>
            </w:pPr>
          </w:p>
        </w:tc>
      </w:tr>
      <w:tr w:rsidR="00387142" w:rsidRPr="008B6A75" w14:paraId="65E9C1BA" w14:textId="77777777" w:rsidTr="00387142">
        <w:trPr>
          <w:trHeight w:val="870"/>
        </w:trPr>
        <w:tc>
          <w:tcPr>
            <w:tcW w:w="3021" w:type="dxa"/>
            <w:tcBorders>
              <w:top w:val="nil"/>
              <w:left w:val="single" w:sz="4" w:space="0" w:color="auto"/>
              <w:bottom w:val="nil"/>
              <w:right w:val="nil"/>
            </w:tcBorders>
            <w:shd w:val="clear" w:color="auto" w:fill="auto"/>
            <w:vAlign w:val="center"/>
            <w:hideMark/>
          </w:tcPr>
          <w:p w14:paraId="43D0132C" w14:textId="77777777" w:rsidR="00387142" w:rsidRPr="008B6A75" w:rsidRDefault="00387142" w:rsidP="00387142">
            <w:pPr>
              <w:rPr>
                <w:sz w:val="20"/>
                <w:szCs w:val="20"/>
              </w:rPr>
            </w:pPr>
            <w:r w:rsidRPr="008B6A75">
              <w:rPr>
                <w:sz w:val="20"/>
                <w:szCs w:val="20"/>
              </w:rPr>
              <w:t>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right w:val="nil"/>
            </w:tcBorders>
            <w:shd w:val="clear" w:color="auto" w:fill="auto"/>
            <w:noWrap/>
            <w:vAlign w:val="center"/>
            <w:hideMark/>
          </w:tcPr>
          <w:p w14:paraId="207C492A" w14:textId="77777777" w:rsidR="00387142" w:rsidRPr="008B6A75" w:rsidRDefault="00387142" w:rsidP="00387142">
            <w:pPr>
              <w:jc w:val="center"/>
              <w:rPr>
                <w:sz w:val="20"/>
                <w:szCs w:val="20"/>
              </w:rPr>
            </w:pPr>
            <w:r w:rsidRPr="008B6A75">
              <w:rPr>
                <w:sz w:val="20"/>
                <w:szCs w:val="20"/>
              </w:rPr>
              <w:t>444</w:t>
            </w:r>
          </w:p>
        </w:tc>
        <w:tc>
          <w:tcPr>
            <w:tcW w:w="709" w:type="dxa"/>
            <w:tcBorders>
              <w:top w:val="nil"/>
              <w:left w:val="single" w:sz="4" w:space="0" w:color="auto"/>
              <w:bottom w:val="nil"/>
              <w:right w:val="nil"/>
            </w:tcBorders>
            <w:shd w:val="clear" w:color="auto" w:fill="auto"/>
            <w:noWrap/>
            <w:vAlign w:val="center"/>
            <w:hideMark/>
          </w:tcPr>
          <w:p w14:paraId="5B0FA35A" w14:textId="77777777" w:rsidR="00387142" w:rsidRPr="008B6A75" w:rsidRDefault="00387142" w:rsidP="00387142">
            <w:pPr>
              <w:jc w:val="center"/>
              <w:rPr>
                <w:sz w:val="20"/>
                <w:szCs w:val="20"/>
              </w:rPr>
            </w:pPr>
            <w:r w:rsidRPr="008B6A75">
              <w:rPr>
                <w:sz w:val="20"/>
                <w:szCs w:val="20"/>
              </w:rPr>
              <w:t>07</w:t>
            </w:r>
          </w:p>
        </w:tc>
        <w:tc>
          <w:tcPr>
            <w:tcW w:w="709" w:type="dxa"/>
            <w:tcBorders>
              <w:top w:val="nil"/>
              <w:left w:val="single" w:sz="4" w:space="0" w:color="auto"/>
              <w:bottom w:val="nil"/>
              <w:right w:val="single" w:sz="4" w:space="0" w:color="auto"/>
            </w:tcBorders>
            <w:shd w:val="clear" w:color="auto" w:fill="auto"/>
            <w:noWrap/>
            <w:vAlign w:val="center"/>
            <w:hideMark/>
          </w:tcPr>
          <w:p w14:paraId="01FA9E66" w14:textId="77777777" w:rsidR="00387142" w:rsidRPr="008B6A75" w:rsidRDefault="00387142" w:rsidP="00387142">
            <w:pPr>
              <w:jc w:val="center"/>
              <w:rPr>
                <w:sz w:val="20"/>
                <w:szCs w:val="20"/>
              </w:rPr>
            </w:pPr>
            <w:r w:rsidRPr="008B6A75">
              <w:rPr>
                <w:sz w:val="20"/>
                <w:szCs w:val="20"/>
              </w:rPr>
              <w:t>07</w:t>
            </w:r>
          </w:p>
        </w:tc>
        <w:tc>
          <w:tcPr>
            <w:tcW w:w="1411" w:type="dxa"/>
            <w:tcBorders>
              <w:top w:val="nil"/>
              <w:left w:val="single" w:sz="4" w:space="0" w:color="auto"/>
              <w:bottom w:val="nil"/>
              <w:right w:val="nil"/>
            </w:tcBorders>
            <w:shd w:val="clear" w:color="auto" w:fill="auto"/>
            <w:noWrap/>
            <w:vAlign w:val="center"/>
            <w:hideMark/>
          </w:tcPr>
          <w:p w14:paraId="069B5559" w14:textId="77777777" w:rsidR="00387142" w:rsidRPr="008B6A75" w:rsidRDefault="00387142" w:rsidP="00387142">
            <w:pPr>
              <w:jc w:val="center"/>
              <w:rPr>
                <w:sz w:val="20"/>
                <w:szCs w:val="20"/>
              </w:rPr>
            </w:pPr>
            <w:r w:rsidRPr="008B6A75">
              <w:rPr>
                <w:sz w:val="20"/>
                <w:szCs w:val="20"/>
              </w:rPr>
              <w:t>04.0.00.79500</w:t>
            </w:r>
          </w:p>
        </w:tc>
        <w:tc>
          <w:tcPr>
            <w:tcW w:w="955" w:type="dxa"/>
            <w:tcBorders>
              <w:top w:val="nil"/>
              <w:left w:val="single" w:sz="4" w:space="0" w:color="auto"/>
              <w:bottom w:val="nil"/>
              <w:right w:val="single" w:sz="4" w:space="0" w:color="auto"/>
            </w:tcBorders>
            <w:shd w:val="clear" w:color="auto" w:fill="auto"/>
            <w:noWrap/>
            <w:vAlign w:val="center"/>
            <w:hideMark/>
          </w:tcPr>
          <w:p w14:paraId="1025E3D8" w14:textId="77777777" w:rsidR="00387142" w:rsidRPr="008B6A75" w:rsidRDefault="00387142" w:rsidP="00387142">
            <w:pPr>
              <w:jc w:val="center"/>
              <w:rPr>
                <w:sz w:val="20"/>
                <w:szCs w:val="20"/>
              </w:rPr>
            </w:pPr>
            <w:r w:rsidRPr="008B6A75">
              <w:rPr>
                <w:sz w:val="20"/>
                <w:szCs w:val="20"/>
              </w:rPr>
              <w:t>600</w:t>
            </w:r>
          </w:p>
        </w:tc>
        <w:tc>
          <w:tcPr>
            <w:tcW w:w="992" w:type="dxa"/>
            <w:tcBorders>
              <w:top w:val="nil"/>
              <w:left w:val="single" w:sz="4" w:space="0" w:color="auto"/>
              <w:bottom w:val="nil"/>
              <w:right w:val="single" w:sz="4" w:space="0" w:color="auto"/>
            </w:tcBorders>
            <w:shd w:val="clear" w:color="auto" w:fill="auto"/>
            <w:noWrap/>
            <w:vAlign w:val="center"/>
            <w:hideMark/>
          </w:tcPr>
          <w:p w14:paraId="18A29BE5" w14:textId="77777777" w:rsidR="00387142" w:rsidRPr="008B6A75" w:rsidRDefault="00387142" w:rsidP="00387142">
            <w:pPr>
              <w:jc w:val="right"/>
              <w:rPr>
                <w:sz w:val="20"/>
                <w:szCs w:val="20"/>
              </w:rPr>
            </w:pPr>
            <w:r w:rsidRPr="008B6A75">
              <w:rPr>
                <w:sz w:val="20"/>
                <w:szCs w:val="20"/>
              </w:rPr>
              <w:t>816 420,92</w:t>
            </w:r>
          </w:p>
        </w:tc>
        <w:tc>
          <w:tcPr>
            <w:tcW w:w="992" w:type="dxa"/>
            <w:gridSpan w:val="2"/>
            <w:tcBorders>
              <w:top w:val="nil"/>
              <w:left w:val="single" w:sz="4" w:space="0" w:color="auto"/>
              <w:bottom w:val="nil"/>
              <w:right w:val="nil"/>
            </w:tcBorders>
            <w:shd w:val="clear" w:color="auto" w:fill="auto"/>
            <w:noWrap/>
            <w:vAlign w:val="center"/>
            <w:hideMark/>
          </w:tcPr>
          <w:p w14:paraId="314360E5" w14:textId="77777777" w:rsidR="00387142" w:rsidRPr="008B6A75" w:rsidRDefault="00387142" w:rsidP="00387142">
            <w:pPr>
              <w:jc w:val="right"/>
              <w:rPr>
                <w:sz w:val="20"/>
                <w:szCs w:val="20"/>
              </w:rPr>
            </w:pPr>
            <w:r w:rsidRPr="008B6A75">
              <w:rPr>
                <w:sz w:val="20"/>
                <w:szCs w:val="20"/>
              </w:rPr>
              <w:t>0,00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00E8F1F9" w14:textId="77777777" w:rsidR="00387142" w:rsidRPr="008B6A75" w:rsidRDefault="00387142" w:rsidP="00387142">
            <w:pPr>
              <w:jc w:val="right"/>
              <w:rPr>
                <w:sz w:val="20"/>
                <w:szCs w:val="20"/>
              </w:rPr>
            </w:pPr>
            <w:r w:rsidRPr="008B6A75">
              <w:rPr>
                <w:sz w:val="20"/>
                <w:szCs w:val="20"/>
              </w:rPr>
              <w:t>0,00</w:t>
            </w:r>
          </w:p>
        </w:tc>
        <w:tc>
          <w:tcPr>
            <w:tcW w:w="222" w:type="dxa"/>
            <w:vAlign w:val="center"/>
            <w:hideMark/>
          </w:tcPr>
          <w:p w14:paraId="03977ED7" w14:textId="77777777" w:rsidR="00387142" w:rsidRPr="008B6A75" w:rsidRDefault="00387142" w:rsidP="00387142">
            <w:pPr>
              <w:rPr>
                <w:sz w:val="20"/>
                <w:szCs w:val="20"/>
              </w:rPr>
            </w:pPr>
          </w:p>
        </w:tc>
      </w:tr>
      <w:tr w:rsidR="00387142" w:rsidRPr="008B6A75" w14:paraId="3B91834C" w14:textId="77777777" w:rsidTr="00387142">
        <w:trPr>
          <w:trHeight w:val="300"/>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53B9F26D" w14:textId="77777777" w:rsidR="00387142" w:rsidRPr="008B6A75" w:rsidRDefault="00387142" w:rsidP="00387142">
            <w:pPr>
              <w:rPr>
                <w:sz w:val="20"/>
                <w:szCs w:val="20"/>
              </w:rPr>
            </w:pPr>
            <w:r w:rsidRPr="008B6A75">
              <w:rPr>
                <w:sz w:val="20"/>
                <w:szCs w:val="20"/>
              </w:rPr>
              <w:t>Субсидии бюджетным учреждениям</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1F962D72" w14:textId="77777777" w:rsidR="00387142" w:rsidRPr="008B6A75" w:rsidRDefault="00387142" w:rsidP="00387142">
            <w:pPr>
              <w:jc w:val="center"/>
              <w:rPr>
                <w:sz w:val="20"/>
                <w:szCs w:val="20"/>
              </w:rPr>
            </w:pPr>
            <w:r w:rsidRPr="008B6A75">
              <w:rPr>
                <w:sz w:val="20"/>
                <w:szCs w:val="20"/>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5F5A2CD4" w14:textId="77777777" w:rsidR="00387142" w:rsidRPr="008B6A75" w:rsidRDefault="00387142" w:rsidP="00387142">
            <w:pPr>
              <w:jc w:val="center"/>
              <w:rPr>
                <w:sz w:val="20"/>
                <w:szCs w:val="20"/>
              </w:rPr>
            </w:pPr>
            <w:r w:rsidRPr="008B6A75">
              <w:rPr>
                <w:sz w:val="20"/>
                <w:szCs w:val="20"/>
              </w:rPr>
              <w:t>07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76A69F" w14:textId="77777777" w:rsidR="00387142" w:rsidRPr="008B6A75" w:rsidRDefault="00387142" w:rsidP="00387142">
            <w:pPr>
              <w:jc w:val="center"/>
              <w:rPr>
                <w:sz w:val="20"/>
                <w:szCs w:val="20"/>
              </w:rPr>
            </w:pPr>
            <w:r w:rsidRPr="008B6A75">
              <w:rPr>
                <w:sz w:val="20"/>
                <w:szCs w:val="20"/>
              </w:rPr>
              <w:t>07</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5FE2E0ED" w14:textId="77777777" w:rsidR="00387142" w:rsidRPr="008B6A75" w:rsidRDefault="00387142" w:rsidP="00387142">
            <w:pPr>
              <w:jc w:val="center"/>
              <w:rPr>
                <w:sz w:val="20"/>
                <w:szCs w:val="20"/>
              </w:rPr>
            </w:pPr>
            <w:r w:rsidRPr="008B6A75">
              <w:rPr>
                <w:sz w:val="20"/>
                <w:szCs w:val="20"/>
              </w:rPr>
              <w:t>04.0.00.79500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DBC2A9" w14:textId="77777777" w:rsidR="00387142" w:rsidRPr="008B6A75" w:rsidRDefault="00387142" w:rsidP="00387142">
            <w:pPr>
              <w:jc w:val="center"/>
              <w:rPr>
                <w:sz w:val="20"/>
                <w:szCs w:val="20"/>
              </w:rPr>
            </w:pPr>
            <w:r w:rsidRPr="008B6A75">
              <w:rPr>
                <w:sz w:val="20"/>
                <w:szCs w:val="20"/>
              </w:rPr>
              <w:t>610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C789B7" w14:textId="77777777" w:rsidR="00387142" w:rsidRPr="008B6A75" w:rsidRDefault="00387142" w:rsidP="00387142">
            <w:pPr>
              <w:jc w:val="right"/>
              <w:rPr>
                <w:sz w:val="20"/>
                <w:szCs w:val="20"/>
              </w:rPr>
            </w:pPr>
            <w:r w:rsidRPr="008B6A75">
              <w:rPr>
                <w:sz w:val="20"/>
                <w:szCs w:val="20"/>
              </w:rPr>
              <w:t>816 420,92</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0BFAED6D" w14:textId="77777777" w:rsidR="00387142" w:rsidRPr="008B6A75" w:rsidRDefault="00387142" w:rsidP="00387142">
            <w:pPr>
              <w:jc w:val="right"/>
              <w:rPr>
                <w:sz w:val="20"/>
                <w:szCs w:val="20"/>
              </w:rPr>
            </w:pPr>
            <w:r w:rsidRPr="008B6A75">
              <w:rPr>
                <w:sz w:val="20"/>
                <w:szCs w:val="20"/>
              </w:rPr>
              <w:t>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732E10" w14:textId="77777777" w:rsidR="00387142" w:rsidRPr="008B6A75" w:rsidRDefault="00387142" w:rsidP="00387142">
            <w:pPr>
              <w:jc w:val="right"/>
              <w:rPr>
                <w:sz w:val="20"/>
                <w:szCs w:val="20"/>
              </w:rPr>
            </w:pPr>
            <w:r w:rsidRPr="008B6A75">
              <w:rPr>
                <w:sz w:val="20"/>
                <w:szCs w:val="20"/>
              </w:rPr>
              <w:t>0,00</w:t>
            </w:r>
          </w:p>
        </w:tc>
        <w:tc>
          <w:tcPr>
            <w:tcW w:w="222" w:type="dxa"/>
            <w:vAlign w:val="center"/>
            <w:hideMark/>
          </w:tcPr>
          <w:p w14:paraId="41BAEFE2" w14:textId="77777777" w:rsidR="00387142" w:rsidRPr="008B6A75" w:rsidRDefault="00387142" w:rsidP="00387142">
            <w:pPr>
              <w:rPr>
                <w:sz w:val="20"/>
                <w:szCs w:val="20"/>
              </w:rPr>
            </w:pPr>
          </w:p>
        </w:tc>
      </w:tr>
      <w:tr w:rsidR="00387142" w:rsidRPr="008B6A75" w14:paraId="078E2EAC" w14:textId="77777777" w:rsidTr="00387142">
        <w:trPr>
          <w:trHeight w:val="585"/>
        </w:trPr>
        <w:tc>
          <w:tcPr>
            <w:tcW w:w="3021" w:type="dxa"/>
            <w:tcBorders>
              <w:top w:val="nil"/>
              <w:left w:val="single" w:sz="4" w:space="0" w:color="auto"/>
              <w:bottom w:val="nil"/>
              <w:right w:val="nil"/>
            </w:tcBorders>
            <w:shd w:val="clear" w:color="auto" w:fill="auto"/>
            <w:vAlign w:val="center"/>
            <w:hideMark/>
          </w:tcPr>
          <w:p w14:paraId="5866DE6A" w14:textId="77777777" w:rsidR="00387142" w:rsidRPr="008B6A75" w:rsidRDefault="00387142" w:rsidP="00387142">
            <w:pPr>
              <w:rPr>
                <w:bCs/>
                <w:sz w:val="20"/>
                <w:szCs w:val="20"/>
              </w:rPr>
            </w:pPr>
            <w:r w:rsidRPr="008B6A75">
              <w:rPr>
                <w:bCs/>
                <w:sz w:val="20"/>
                <w:szCs w:val="20"/>
              </w:rPr>
              <w:t>Муниципальная программа "Развитие системы образования Куйбышевского района"</w:t>
            </w:r>
          </w:p>
        </w:tc>
        <w:tc>
          <w:tcPr>
            <w:tcW w:w="850" w:type="dxa"/>
            <w:tcBorders>
              <w:top w:val="nil"/>
              <w:left w:val="single" w:sz="4" w:space="0" w:color="auto"/>
              <w:bottom w:val="nil"/>
              <w:right w:val="nil"/>
            </w:tcBorders>
            <w:shd w:val="clear" w:color="auto" w:fill="auto"/>
            <w:noWrap/>
            <w:vAlign w:val="center"/>
            <w:hideMark/>
          </w:tcPr>
          <w:p w14:paraId="7D6F603F" w14:textId="77777777" w:rsidR="00387142" w:rsidRPr="008B6A75" w:rsidRDefault="00387142" w:rsidP="00387142">
            <w:pPr>
              <w:jc w:val="center"/>
              <w:rPr>
                <w:bCs/>
                <w:sz w:val="20"/>
                <w:szCs w:val="20"/>
              </w:rPr>
            </w:pPr>
            <w:r w:rsidRPr="008B6A75">
              <w:rPr>
                <w:bCs/>
                <w:sz w:val="20"/>
                <w:szCs w:val="20"/>
              </w:rPr>
              <w:t>444</w:t>
            </w:r>
          </w:p>
        </w:tc>
        <w:tc>
          <w:tcPr>
            <w:tcW w:w="709" w:type="dxa"/>
            <w:tcBorders>
              <w:top w:val="nil"/>
              <w:left w:val="single" w:sz="4" w:space="0" w:color="auto"/>
              <w:bottom w:val="nil"/>
              <w:right w:val="nil"/>
            </w:tcBorders>
            <w:shd w:val="clear" w:color="auto" w:fill="auto"/>
            <w:noWrap/>
            <w:vAlign w:val="center"/>
            <w:hideMark/>
          </w:tcPr>
          <w:p w14:paraId="34CC45A0" w14:textId="77777777" w:rsidR="00387142" w:rsidRPr="008B6A75" w:rsidRDefault="00387142" w:rsidP="00387142">
            <w:pPr>
              <w:jc w:val="center"/>
              <w:rPr>
                <w:bCs/>
                <w:sz w:val="20"/>
                <w:szCs w:val="20"/>
              </w:rPr>
            </w:pPr>
            <w:r w:rsidRPr="008B6A75">
              <w:rPr>
                <w:bCs/>
                <w:sz w:val="20"/>
                <w:szCs w:val="20"/>
              </w:rPr>
              <w:t>07</w:t>
            </w:r>
          </w:p>
        </w:tc>
        <w:tc>
          <w:tcPr>
            <w:tcW w:w="709" w:type="dxa"/>
            <w:tcBorders>
              <w:top w:val="nil"/>
              <w:left w:val="single" w:sz="4" w:space="0" w:color="auto"/>
              <w:bottom w:val="nil"/>
              <w:right w:val="single" w:sz="4" w:space="0" w:color="auto"/>
            </w:tcBorders>
            <w:shd w:val="clear" w:color="auto" w:fill="auto"/>
            <w:noWrap/>
            <w:vAlign w:val="center"/>
            <w:hideMark/>
          </w:tcPr>
          <w:p w14:paraId="1B97E4F7" w14:textId="77777777" w:rsidR="00387142" w:rsidRPr="008B6A75" w:rsidRDefault="00387142" w:rsidP="00387142">
            <w:pPr>
              <w:jc w:val="center"/>
              <w:rPr>
                <w:bCs/>
                <w:sz w:val="20"/>
                <w:szCs w:val="20"/>
              </w:rPr>
            </w:pPr>
            <w:r w:rsidRPr="008B6A75">
              <w:rPr>
                <w:bCs/>
                <w:sz w:val="20"/>
                <w:szCs w:val="20"/>
              </w:rPr>
              <w:t>07</w:t>
            </w:r>
          </w:p>
        </w:tc>
        <w:tc>
          <w:tcPr>
            <w:tcW w:w="1411" w:type="dxa"/>
            <w:tcBorders>
              <w:top w:val="nil"/>
              <w:left w:val="single" w:sz="4" w:space="0" w:color="auto"/>
              <w:bottom w:val="nil"/>
              <w:right w:val="nil"/>
            </w:tcBorders>
            <w:shd w:val="clear" w:color="auto" w:fill="auto"/>
            <w:noWrap/>
            <w:vAlign w:val="center"/>
            <w:hideMark/>
          </w:tcPr>
          <w:p w14:paraId="2D37A967" w14:textId="77777777" w:rsidR="00387142" w:rsidRPr="008B6A75" w:rsidRDefault="00387142" w:rsidP="00387142">
            <w:pPr>
              <w:jc w:val="center"/>
              <w:rPr>
                <w:bCs/>
                <w:sz w:val="20"/>
                <w:szCs w:val="20"/>
              </w:rPr>
            </w:pPr>
            <w:r w:rsidRPr="008B6A75">
              <w:rPr>
                <w:bCs/>
                <w:sz w:val="20"/>
                <w:szCs w:val="20"/>
              </w:rPr>
              <w:t>07.0.00.00000</w:t>
            </w:r>
          </w:p>
        </w:tc>
        <w:tc>
          <w:tcPr>
            <w:tcW w:w="955" w:type="dxa"/>
            <w:tcBorders>
              <w:top w:val="nil"/>
              <w:left w:val="single" w:sz="4" w:space="0" w:color="auto"/>
              <w:bottom w:val="nil"/>
              <w:right w:val="single" w:sz="4" w:space="0" w:color="auto"/>
            </w:tcBorders>
            <w:shd w:val="clear" w:color="auto" w:fill="auto"/>
            <w:noWrap/>
            <w:vAlign w:val="center"/>
            <w:hideMark/>
          </w:tcPr>
          <w:p w14:paraId="4B6AADCF"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nil"/>
              <w:right w:val="single" w:sz="4" w:space="0" w:color="auto"/>
            </w:tcBorders>
            <w:shd w:val="clear" w:color="auto" w:fill="auto"/>
            <w:noWrap/>
            <w:vAlign w:val="center"/>
            <w:hideMark/>
          </w:tcPr>
          <w:p w14:paraId="569AAC6C" w14:textId="77777777" w:rsidR="00387142" w:rsidRPr="008B6A75" w:rsidRDefault="00387142" w:rsidP="00387142">
            <w:pPr>
              <w:jc w:val="right"/>
              <w:rPr>
                <w:bCs/>
                <w:sz w:val="20"/>
                <w:szCs w:val="20"/>
              </w:rPr>
            </w:pPr>
            <w:r w:rsidRPr="008B6A75">
              <w:rPr>
                <w:bCs/>
                <w:sz w:val="20"/>
                <w:szCs w:val="20"/>
              </w:rPr>
              <w:t>8 661 503,66</w:t>
            </w:r>
          </w:p>
        </w:tc>
        <w:tc>
          <w:tcPr>
            <w:tcW w:w="992" w:type="dxa"/>
            <w:gridSpan w:val="2"/>
            <w:tcBorders>
              <w:top w:val="nil"/>
              <w:left w:val="single" w:sz="4" w:space="0" w:color="auto"/>
              <w:bottom w:val="nil"/>
              <w:right w:val="nil"/>
            </w:tcBorders>
            <w:shd w:val="clear" w:color="auto" w:fill="auto"/>
            <w:noWrap/>
            <w:vAlign w:val="center"/>
            <w:hideMark/>
          </w:tcPr>
          <w:p w14:paraId="06D59D5B" w14:textId="77777777" w:rsidR="00387142" w:rsidRPr="008B6A75" w:rsidRDefault="00387142" w:rsidP="00387142">
            <w:pPr>
              <w:jc w:val="right"/>
              <w:rPr>
                <w:bCs/>
                <w:sz w:val="20"/>
                <w:szCs w:val="20"/>
              </w:rPr>
            </w:pPr>
            <w:r w:rsidRPr="008B6A75">
              <w:rPr>
                <w:bCs/>
                <w:sz w:val="20"/>
                <w:szCs w:val="20"/>
              </w:rPr>
              <w:t>2 839 609,00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4C0251AC" w14:textId="77777777" w:rsidR="00387142" w:rsidRPr="008B6A75" w:rsidRDefault="00387142" w:rsidP="00387142">
            <w:pPr>
              <w:jc w:val="right"/>
              <w:rPr>
                <w:bCs/>
                <w:sz w:val="20"/>
                <w:szCs w:val="20"/>
              </w:rPr>
            </w:pPr>
            <w:r w:rsidRPr="008B6A75">
              <w:rPr>
                <w:bCs/>
                <w:sz w:val="20"/>
                <w:szCs w:val="20"/>
              </w:rPr>
              <w:t>2 713 000,00</w:t>
            </w:r>
          </w:p>
        </w:tc>
        <w:tc>
          <w:tcPr>
            <w:tcW w:w="222" w:type="dxa"/>
            <w:vAlign w:val="center"/>
            <w:hideMark/>
          </w:tcPr>
          <w:p w14:paraId="1004145F" w14:textId="77777777" w:rsidR="00387142" w:rsidRPr="008B6A75" w:rsidRDefault="00387142" w:rsidP="00387142">
            <w:pPr>
              <w:rPr>
                <w:sz w:val="20"/>
                <w:szCs w:val="20"/>
              </w:rPr>
            </w:pPr>
          </w:p>
        </w:tc>
      </w:tr>
      <w:tr w:rsidR="00387142" w:rsidRPr="008B6A75" w14:paraId="28211C31" w14:textId="77777777" w:rsidTr="00387142">
        <w:trPr>
          <w:trHeight w:val="585"/>
        </w:trPr>
        <w:tc>
          <w:tcPr>
            <w:tcW w:w="3021" w:type="dxa"/>
            <w:tcBorders>
              <w:top w:val="single" w:sz="4" w:space="0" w:color="auto"/>
              <w:left w:val="single" w:sz="4" w:space="0" w:color="auto"/>
              <w:bottom w:val="nil"/>
              <w:right w:val="nil"/>
            </w:tcBorders>
            <w:shd w:val="clear" w:color="auto" w:fill="auto"/>
            <w:vAlign w:val="center"/>
            <w:hideMark/>
          </w:tcPr>
          <w:p w14:paraId="74A12BC3" w14:textId="77777777" w:rsidR="00387142" w:rsidRPr="008B6A75" w:rsidRDefault="00387142" w:rsidP="00387142">
            <w:pPr>
              <w:rPr>
                <w:bCs/>
                <w:sz w:val="20"/>
                <w:szCs w:val="20"/>
              </w:rPr>
            </w:pPr>
            <w:r w:rsidRPr="008B6A75">
              <w:rPr>
                <w:bCs/>
                <w:sz w:val="20"/>
                <w:szCs w:val="20"/>
              </w:rPr>
              <w:t>Подпрограмма "Организация отдыха и оздоровления детей и подростков"</w:t>
            </w:r>
          </w:p>
        </w:tc>
        <w:tc>
          <w:tcPr>
            <w:tcW w:w="850" w:type="dxa"/>
            <w:tcBorders>
              <w:top w:val="single" w:sz="4" w:space="0" w:color="auto"/>
              <w:left w:val="single" w:sz="4" w:space="0" w:color="auto"/>
              <w:bottom w:val="nil"/>
              <w:right w:val="nil"/>
            </w:tcBorders>
            <w:shd w:val="clear" w:color="auto" w:fill="auto"/>
            <w:noWrap/>
            <w:vAlign w:val="center"/>
            <w:hideMark/>
          </w:tcPr>
          <w:p w14:paraId="6618C947" w14:textId="77777777" w:rsidR="00387142" w:rsidRPr="008B6A75" w:rsidRDefault="00387142" w:rsidP="00387142">
            <w:pPr>
              <w:jc w:val="center"/>
              <w:rPr>
                <w:bCs/>
                <w:sz w:val="20"/>
                <w:szCs w:val="20"/>
              </w:rPr>
            </w:pPr>
            <w:r w:rsidRPr="008B6A75">
              <w:rPr>
                <w:bCs/>
                <w:sz w:val="20"/>
                <w:szCs w:val="20"/>
              </w:rPr>
              <w:t>444</w:t>
            </w:r>
          </w:p>
        </w:tc>
        <w:tc>
          <w:tcPr>
            <w:tcW w:w="709" w:type="dxa"/>
            <w:tcBorders>
              <w:top w:val="single" w:sz="4" w:space="0" w:color="auto"/>
              <w:left w:val="single" w:sz="4" w:space="0" w:color="auto"/>
              <w:bottom w:val="nil"/>
              <w:right w:val="nil"/>
            </w:tcBorders>
            <w:shd w:val="clear" w:color="auto" w:fill="auto"/>
            <w:noWrap/>
            <w:vAlign w:val="center"/>
            <w:hideMark/>
          </w:tcPr>
          <w:p w14:paraId="5FEEA94B" w14:textId="77777777" w:rsidR="00387142" w:rsidRPr="008B6A75" w:rsidRDefault="00387142" w:rsidP="00387142">
            <w:pPr>
              <w:jc w:val="center"/>
              <w:rPr>
                <w:bCs/>
                <w:sz w:val="20"/>
                <w:szCs w:val="20"/>
              </w:rPr>
            </w:pPr>
            <w:r w:rsidRPr="008B6A75">
              <w:rPr>
                <w:bCs/>
                <w:sz w:val="20"/>
                <w:szCs w:val="20"/>
              </w:rPr>
              <w:t>07</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61E18FCA" w14:textId="77777777" w:rsidR="00387142" w:rsidRPr="008B6A75" w:rsidRDefault="00387142" w:rsidP="00387142">
            <w:pPr>
              <w:jc w:val="center"/>
              <w:rPr>
                <w:bCs/>
                <w:sz w:val="20"/>
                <w:szCs w:val="20"/>
              </w:rPr>
            </w:pPr>
            <w:r w:rsidRPr="008B6A75">
              <w:rPr>
                <w:bCs/>
                <w:sz w:val="20"/>
                <w:szCs w:val="20"/>
              </w:rPr>
              <w:t>07</w:t>
            </w:r>
          </w:p>
        </w:tc>
        <w:tc>
          <w:tcPr>
            <w:tcW w:w="1411" w:type="dxa"/>
            <w:tcBorders>
              <w:top w:val="single" w:sz="4" w:space="0" w:color="auto"/>
              <w:left w:val="single" w:sz="4" w:space="0" w:color="auto"/>
              <w:bottom w:val="nil"/>
              <w:right w:val="nil"/>
            </w:tcBorders>
            <w:shd w:val="clear" w:color="auto" w:fill="auto"/>
            <w:noWrap/>
            <w:vAlign w:val="center"/>
            <w:hideMark/>
          </w:tcPr>
          <w:p w14:paraId="255627A7" w14:textId="77777777" w:rsidR="00387142" w:rsidRPr="008B6A75" w:rsidRDefault="00387142" w:rsidP="00387142">
            <w:pPr>
              <w:jc w:val="center"/>
              <w:rPr>
                <w:bCs/>
                <w:sz w:val="20"/>
                <w:szCs w:val="20"/>
              </w:rPr>
            </w:pPr>
            <w:r w:rsidRPr="008B6A75">
              <w:rPr>
                <w:bCs/>
                <w:sz w:val="20"/>
                <w:szCs w:val="20"/>
              </w:rPr>
              <w:t>07.4.00.00000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753C0164" w14:textId="77777777" w:rsidR="00387142" w:rsidRPr="008B6A75" w:rsidRDefault="00387142" w:rsidP="00387142">
            <w:pPr>
              <w:jc w:val="center"/>
              <w:rPr>
                <w:bCs/>
                <w:sz w:val="20"/>
                <w:szCs w:val="20"/>
              </w:rPr>
            </w:pPr>
            <w:r w:rsidRPr="008B6A75">
              <w:rPr>
                <w:bCs/>
                <w:sz w:val="20"/>
                <w:szCs w:val="20"/>
              </w:rPr>
              <w:t> </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1A0E3D5C" w14:textId="77777777" w:rsidR="00387142" w:rsidRPr="008B6A75" w:rsidRDefault="00387142" w:rsidP="00387142">
            <w:pPr>
              <w:jc w:val="right"/>
              <w:rPr>
                <w:bCs/>
                <w:sz w:val="20"/>
                <w:szCs w:val="20"/>
              </w:rPr>
            </w:pPr>
            <w:r w:rsidRPr="008B6A75">
              <w:rPr>
                <w:bCs/>
                <w:sz w:val="20"/>
                <w:szCs w:val="20"/>
              </w:rPr>
              <w:t>8 661 503,66</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2F54B8C8" w14:textId="77777777" w:rsidR="00387142" w:rsidRPr="008B6A75" w:rsidRDefault="00387142" w:rsidP="00387142">
            <w:pPr>
              <w:jc w:val="right"/>
              <w:rPr>
                <w:bCs/>
                <w:sz w:val="20"/>
                <w:szCs w:val="20"/>
              </w:rPr>
            </w:pPr>
            <w:r w:rsidRPr="008B6A75">
              <w:rPr>
                <w:bCs/>
                <w:sz w:val="20"/>
                <w:szCs w:val="20"/>
              </w:rPr>
              <w:t>2 839 609,00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604199A2" w14:textId="77777777" w:rsidR="00387142" w:rsidRPr="008B6A75" w:rsidRDefault="00387142" w:rsidP="00387142">
            <w:pPr>
              <w:jc w:val="right"/>
              <w:rPr>
                <w:bCs/>
                <w:sz w:val="20"/>
                <w:szCs w:val="20"/>
              </w:rPr>
            </w:pPr>
            <w:r w:rsidRPr="008B6A75">
              <w:rPr>
                <w:bCs/>
                <w:sz w:val="20"/>
                <w:szCs w:val="20"/>
              </w:rPr>
              <w:t>2 713 000,00</w:t>
            </w:r>
          </w:p>
        </w:tc>
        <w:tc>
          <w:tcPr>
            <w:tcW w:w="222" w:type="dxa"/>
            <w:vAlign w:val="center"/>
            <w:hideMark/>
          </w:tcPr>
          <w:p w14:paraId="4FAFD8E8" w14:textId="77777777" w:rsidR="00387142" w:rsidRPr="008B6A75" w:rsidRDefault="00387142" w:rsidP="00387142">
            <w:pPr>
              <w:rPr>
                <w:sz w:val="20"/>
                <w:szCs w:val="20"/>
              </w:rPr>
            </w:pPr>
          </w:p>
        </w:tc>
      </w:tr>
      <w:tr w:rsidR="00387142" w:rsidRPr="008B6A75" w14:paraId="4D2E5D88" w14:textId="77777777" w:rsidTr="00387142">
        <w:trPr>
          <w:trHeight w:val="1155"/>
        </w:trPr>
        <w:tc>
          <w:tcPr>
            <w:tcW w:w="3021" w:type="dxa"/>
            <w:tcBorders>
              <w:top w:val="single" w:sz="4" w:space="0" w:color="auto"/>
              <w:left w:val="single" w:sz="4" w:space="0" w:color="auto"/>
              <w:bottom w:val="nil"/>
              <w:right w:val="nil"/>
            </w:tcBorders>
            <w:shd w:val="clear" w:color="auto" w:fill="auto"/>
            <w:vAlign w:val="center"/>
            <w:hideMark/>
          </w:tcPr>
          <w:p w14:paraId="19434A76" w14:textId="77777777" w:rsidR="00387142" w:rsidRPr="008B6A75" w:rsidRDefault="00387142" w:rsidP="00387142">
            <w:pPr>
              <w:rPr>
                <w:bCs/>
                <w:sz w:val="20"/>
                <w:szCs w:val="20"/>
              </w:rPr>
            </w:pPr>
            <w:r w:rsidRPr="008B6A75">
              <w:rPr>
                <w:bCs/>
                <w:sz w:val="20"/>
                <w:szCs w:val="20"/>
              </w:rPr>
              <w:lastRenderedPageBreak/>
              <w:t>Расходы на обеспечение деятельности (оказание услуг) муниципальных учреждений по проведению оздоровительной кампании детей</w:t>
            </w:r>
          </w:p>
        </w:tc>
        <w:tc>
          <w:tcPr>
            <w:tcW w:w="850" w:type="dxa"/>
            <w:tcBorders>
              <w:top w:val="single" w:sz="4" w:space="0" w:color="auto"/>
              <w:left w:val="single" w:sz="4" w:space="0" w:color="auto"/>
              <w:bottom w:val="nil"/>
              <w:right w:val="nil"/>
            </w:tcBorders>
            <w:shd w:val="clear" w:color="auto" w:fill="auto"/>
            <w:noWrap/>
            <w:vAlign w:val="center"/>
            <w:hideMark/>
          </w:tcPr>
          <w:p w14:paraId="458C4F5B" w14:textId="77777777" w:rsidR="00387142" w:rsidRPr="008B6A75" w:rsidRDefault="00387142" w:rsidP="00387142">
            <w:pPr>
              <w:jc w:val="center"/>
              <w:rPr>
                <w:bCs/>
                <w:sz w:val="20"/>
                <w:szCs w:val="20"/>
              </w:rPr>
            </w:pPr>
            <w:r w:rsidRPr="008B6A75">
              <w:rPr>
                <w:bCs/>
                <w:sz w:val="20"/>
                <w:szCs w:val="20"/>
              </w:rPr>
              <w:t>444</w:t>
            </w:r>
          </w:p>
        </w:tc>
        <w:tc>
          <w:tcPr>
            <w:tcW w:w="709" w:type="dxa"/>
            <w:tcBorders>
              <w:top w:val="single" w:sz="4" w:space="0" w:color="auto"/>
              <w:left w:val="single" w:sz="4" w:space="0" w:color="auto"/>
              <w:bottom w:val="nil"/>
              <w:right w:val="nil"/>
            </w:tcBorders>
            <w:shd w:val="clear" w:color="auto" w:fill="auto"/>
            <w:noWrap/>
            <w:vAlign w:val="center"/>
            <w:hideMark/>
          </w:tcPr>
          <w:p w14:paraId="32CD42A1" w14:textId="77777777" w:rsidR="00387142" w:rsidRPr="008B6A75" w:rsidRDefault="00387142" w:rsidP="00387142">
            <w:pPr>
              <w:jc w:val="center"/>
              <w:rPr>
                <w:bCs/>
                <w:sz w:val="20"/>
                <w:szCs w:val="20"/>
              </w:rPr>
            </w:pPr>
            <w:r w:rsidRPr="008B6A75">
              <w:rPr>
                <w:bCs/>
                <w:sz w:val="20"/>
                <w:szCs w:val="20"/>
              </w:rPr>
              <w:t>07</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0781FBE6" w14:textId="77777777" w:rsidR="00387142" w:rsidRPr="008B6A75" w:rsidRDefault="00387142" w:rsidP="00387142">
            <w:pPr>
              <w:jc w:val="center"/>
              <w:rPr>
                <w:bCs/>
                <w:sz w:val="20"/>
                <w:szCs w:val="20"/>
              </w:rPr>
            </w:pPr>
            <w:r w:rsidRPr="008B6A75">
              <w:rPr>
                <w:bCs/>
                <w:sz w:val="20"/>
                <w:szCs w:val="20"/>
              </w:rPr>
              <w:t>07</w:t>
            </w:r>
          </w:p>
        </w:tc>
        <w:tc>
          <w:tcPr>
            <w:tcW w:w="1411" w:type="dxa"/>
            <w:tcBorders>
              <w:top w:val="single" w:sz="4" w:space="0" w:color="auto"/>
              <w:left w:val="single" w:sz="4" w:space="0" w:color="auto"/>
              <w:bottom w:val="nil"/>
              <w:right w:val="nil"/>
            </w:tcBorders>
            <w:shd w:val="clear" w:color="auto" w:fill="auto"/>
            <w:noWrap/>
            <w:vAlign w:val="center"/>
            <w:hideMark/>
          </w:tcPr>
          <w:p w14:paraId="20A95F21" w14:textId="77777777" w:rsidR="00387142" w:rsidRPr="008B6A75" w:rsidRDefault="00387142" w:rsidP="00387142">
            <w:pPr>
              <w:jc w:val="center"/>
              <w:rPr>
                <w:bCs/>
                <w:sz w:val="20"/>
                <w:szCs w:val="20"/>
              </w:rPr>
            </w:pPr>
            <w:r w:rsidRPr="008B6A75">
              <w:rPr>
                <w:bCs/>
                <w:sz w:val="20"/>
                <w:szCs w:val="20"/>
              </w:rPr>
              <w:t>07.4.00.07690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1CB32DC9" w14:textId="77777777" w:rsidR="00387142" w:rsidRPr="008B6A75" w:rsidRDefault="00387142" w:rsidP="00387142">
            <w:pPr>
              <w:jc w:val="center"/>
              <w:rPr>
                <w:bCs/>
                <w:sz w:val="20"/>
                <w:szCs w:val="20"/>
              </w:rPr>
            </w:pPr>
            <w:r w:rsidRPr="008B6A75">
              <w:rPr>
                <w:bCs/>
                <w:sz w:val="20"/>
                <w:szCs w:val="20"/>
              </w:rPr>
              <w:t> </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20F045B9" w14:textId="77777777" w:rsidR="00387142" w:rsidRPr="008B6A75" w:rsidRDefault="00387142" w:rsidP="00387142">
            <w:pPr>
              <w:jc w:val="right"/>
              <w:rPr>
                <w:bCs/>
                <w:sz w:val="20"/>
                <w:szCs w:val="20"/>
              </w:rPr>
            </w:pPr>
            <w:r w:rsidRPr="008B6A75">
              <w:rPr>
                <w:bCs/>
                <w:sz w:val="20"/>
                <w:szCs w:val="20"/>
              </w:rPr>
              <w:t>1 371 607,80</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3CAF8B8C" w14:textId="77777777" w:rsidR="00387142" w:rsidRPr="008B6A75" w:rsidRDefault="00387142" w:rsidP="00387142">
            <w:pPr>
              <w:jc w:val="right"/>
              <w:rPr>
                <w:bCs/>
                <w:sz w:val="20"/>
                <w:szCs w:val="20"/>
              </w:rPr>
            </w:pPr>
            <w:r w:rsidRPr="008B6A75">
              <w:rPr>
                <w:bCs/>
                <w:sz w:val="20"/>
                <w:szCs w:val="20"/>
              </w:rPr>
              <w:t>126 609,00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35893C52" w14:textId="77777777" w:rsidR="00387142" w:rsidRPr="008B6A75" w:rsidRDefault="00387142" w:rsidP="00387142">
            <w:pPr>
              <w:jc w:val="right"/>
              <w:rPr>
                <w:bCs/>
                <w:sz w:val="20"/>
                <w:szCs w:val="20"/>
              </w:rPr>
            </w:pPr>
            <w:r w:rsidRPr="008B6A75">
              <w:rPr>
                <w:bCs/>
                <w:sz w:val="20"/>
                <w:szCs w:val="20"/>
              </w:rPr>
              <w:t>0,00</w:t>
            </w:r>
          </w:p>
        </w:tc>
        <w:tc>
          <w:tcPr>
            <w:tcW w:w="222" w:type="dxa"/>
            <w:vAlign w:val="center"/>
            <w:hideMark/>
          </w:tcPr>
          <w:p w14:paraId="6CDBF40C" w14:textId="77777777" w:rsidR="00387142" w:rsidRPr="008B6A75" w:rsidRDefault="00387142" w:rsidP="00387142">
            <w:pPr>
              <w:rPr>
                <w:sz w:val="20"/>
                <w:szCs w:val="20"/>
              </w:rPr>
            </w:pPr>
          </w:p>
        </w:tc>
      </w:tr>
      <w:tr w:rsidR="00387142" w:rsidRPr="008B6A75" w14:paraId="59FFF295" w14:textId="77777777" w:rsidTr="00387142">
        <w:trPr>
          <w:trHeight w:val="870"/>
        </w:trPr>
        <w:tc>
          <w:tcPr>
            <w:tcW w:w="3021" w:type="dxa"/>
            <w:tcBorders>
              <w:top w:val="single" w:sz="4" w:space="0" w:color="auto"/>
              <w:left w:val="single" w:sz="4" w:space="0" w:color="auto"/>
              <w:bottom w:val="nil"/>
              <w:right w:val="nil"/>
            </w:tcBorders>
            <w:shd w:val="clear" w:color="auto" w:fill="auto"/>
            <w:vAlign w:val="center"/>
            <w:hideMark/>
          </w:tcPr>
          <w:p w14:paraId="06C6F6E9" w14:textId="77777777" w:rsidR="00387142" w:rsidRPr="008B6A75" w:rsidRDefault="00387142" w:rsidP="00387142">
            <w:pPr>
              <w:rPr>
                <w:sz w:val="20"/>
                <w:szCs w:val="20"/>
              </w:rPr>
            </w:pPr>
            <w:r w:rsidRPr="008B6A75">
              <w:rPr>
                <w:sz w:val="20"/>
                <w:szCs w:val="20"/>
              </w:rPr>
              <w:t>Предоставление субсидий бюджетным, автономным учреждениям и иным некоммерческим организациям</w:t>
            </w:r>
          </w:p>
        </w:tc>
        <w:tc>
          <w:tcPr>
            <w:tcW w:w="850" w:type="dxa"/>
            <w:tcBorders>
              <w:top w:val="single" w:sz="4" w:space="0" w:color="auto"/>
              <w:left w:val="single" w:sz="4" w:space="0" w:color="auto"/>
              <w:bottom w:val="nil"/>
              <w:right w:val="nil"/>
            </w:tcBorders>
            <w:shd w:val="clear" w:color="auto" w:fill="auto"/>
            <w:noWrap/>
            <w:vAlign w:val="center"/>
            <w:hideMark/>
          </w:tcPr>
          <w:p w14:paraId="19FB0D95" w14:textId="77777777" w:rsidR="00387142" w:rsidRPr="008B6A75" w:rsidRDefault="00387142" w:rsidP="00387142">
            <w:pPr>
              <w:jc w:val="center"/>
              <w:rPr>
                <w:sz w:val="20"/>
                <w:szCs w:val="20"/>
              </w:rPr>
            </w:pPr>
            <w:r w:rsidRPr="008B6A75">
              <w:rPr>
                <w:sz w:val="20"/>
                <w:szCs w:val="20"/>
              </w:rPr>
              <w:t>444</w:t>
            </w:r>
          </w:p>
        </w:tc>
        <w:tc>
          <w:tcPr>
            <w:tcW w:w="709" w:type="dxa"/>
            <w:tcBorders>
              <w:top w:val="single" w:sz="4" w:space="0" w:color="auto"/>
              <w:left w:val="single" w:sz="4" w:space="0" w:color="auto"/>
              <w:bottom w:val="nil"/>
              <w:right w:val="nil"/>
            </w:tcBorders>
            <w:shd w:val="clear" w:color="auto" w:fill="auto"/>
            <w:noWrap/>
            <w:vAlign w:val="center"/>
            <w:hideMark/>
          </w:tcPr>
          <w:p w14:paraId="4F44C4CD" w14:textId="77777777" w:rsidR="00387142" w:rsidRPr="008B6A75" w:rsidRDefault="00387142" w:rsidP="00387142">
            <w:pPr>
              <w:jc w:val="center"/>
              <w:rPr>
                <w:sz w:val="20"/>
                <w:szCs w:val="20"/>
              </w:rPr>
            </w:pPr>
            <w:r w:rsidRPr="008B6A75">
              <w:rPr>
                <w:sz w:val="20"/>
                <w:szCs w:val="20"/>
              </w:rPr>
              <w:t>07</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1C3EC4BE" w14:textId="77777777" w:rsidR="00387142" w:rsidRPr="008B6A75" w:rsidRDefault="00387142" w:rsidP="00387142">
            <w:pPr>
              <w:jc w:val="center"/>
              <w:rPr>
                <w:sz w:val="20"/>
                <w:szCs w:val="20"/>
              </w:rPr>
            </w:pPr>
            <w:r w:rsidRPr="008B6A75">
              <w:rPr>
                <w:sz w:val="20"/>
                <w:szCs w:val="20"/>
              </w:rPr>
              <w:t>07</w:t>
            </w:r>
          </w:p>
        </w:tc>
        <w:tc>
          <w:tcPr>
            <w:tcW w:w="1411" w:type="dxa"/>
            <w:tcBorders>
              <w:top w:val="single" w:sz="4" w:space="0" w:color="auto"/>
              <w:left w:val="single" w:sz="4" w:space="0" w:color="auto"/>
              <w:bottom w:val="nil"/>
              <w:right w:val="nil"/>
            </w:tcBorders>
            <w:shd w:val="clear" w:color="auto" w:fill="auto"/>
            <w:noWrap/>
            <w:vAlign w:val="center"/>
            <w:hideMark/>
          </w:tcPr>
          <w:p w14:paraId="2F0E5F74" w14:textId="77777777" w:rsidR="00387142" w:rsidRPr="008B6A75" w:rsidRDefault="00387142" w:rsidP="00387142">
            <w:pPr>
              <w:jc w:val="center"/>
              <w:rPr>
                <w:sz w:val="20"/>
                <w:szCs w:val="20"/>
              </w:rPr>
            </w:pPr>
            <w:r w:rsidRPr="008B6A75">
              <w:rPr>
                <w:sz w:val="20"/>
                <w:szCs w:val="20"/>
              </w:rPr>
              <w:t>07.4.00.07690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5570A1FB" w14:textId="77777777" w:rsidR="00387142" w:rsidRPr="008B6A75" w:rsidRDefault="00387142" w:rsidP="00387142">
            <w:pPr>
              <w:jc w:val="center"/>
              <w:rPr>
                <w:sz w:val="20"/>
                <w:szCs w:val="20"/>
              </w:rPr>
            </w:pPr>
            <w:r w:rsidRPr="008B6A75">
              <w:rPr>
                <w:sz w:val="20"/>
                <w:szCs w:val="20"/>
              </w:rPr>
              <w:t>600</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5D0306E7" w14:textId="77777777" w:rsidR="00387142" w:rsidRPr="008B6A75" w:rsidRDefault="00387142" w:rsidP="00387142">
            <w:pPr>
              <w:jc w:val="right"/>
              <w:rPr>
                <w:sz w:val="20"/>
                <w:szCs w:val="20"/>
              </w:rPr>
            </w:pPr>
            <w:r w:rsidRPr="008B6A75">
              <w:rPr>
                <w:sz w:val="20"/>
                <w:szCs w:val="20"/>
              </w:rPr>
              <w:t>1 371 607,80</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582CBB43" w14:textId="77777777" w:rsidR="00387142" w:rsidRPr="008B6A75" w:rsidRDefault="00387142" w:rsidP="00387142">
            <w:pPr>
              <w:jc w:val="right"/>
              <w:rPr>
                <w:sz w:val="20"/>
                <w:szCs w:val="20"/>
              </w:rPr>
            </w:pPr>
            <w:r w:rsidRPr="008B6A75">
              <w:rPr>
                <w:sz w:val="20"/>
                <w:szCs w:val="20"/>
              </w:rPr>
              <w:t>126 609,00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4718D008" w14:textId="77777777" w:rsidR="00387142" w:rsidRPr="008B6A75" w:rsidRDefault="00387142" w:rsidP="00387142">
            <w:pPr>
              <w:jc w:val="right"/>
              <w:rPr>
                <w:sz w:val="20"/>
                <w:szCs w:val="20"/>
              </w:rPr>
            </w:pPr>
            <w:r w:rsidRPr="008B6A75">
              <w:rPr>
                <w:sz w:val="20"/>
                <w:szCs w:val="20"/>
              </w:rPr>
              <w:t>0,00</w:t>
            </w:r>
          </w:p>
        </w:tc>
        <w:tc>
          <w:tcPr>
            <w:tcW w:w="222" w:type="dxa"/>
            <w:vAlign w:val="center"/>
            <w:hideMark/>
          </w:tcPr>
          <w:p w14:paraId="1DF1A2D1" w14:textId="77777777" w:rsidR="00387142" w:rsidRPr="008B6A75" w:rsidRDefault="00387142" w:rsidP="00387142">
            <w:pPr>
              <w:rPr>
                <w:sz w:val="20"/>
                <w:szCs w:val="20"/>
              </w:rPr>
            </w:pPr>
          </w:p>
        </w:tc>
      </w:tr>
      <w:tr w:rsidR="00387142" w:rsidRPr="008B6A75" w14:paraId="323DD493" w14:textId="77777777" w:rsidTr="00387142">
        <w:trPr>
          <w:trHeight w:val="300"/>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4B0A22FB" w14:textId="77777777" w:rsidR="00387142" w:rsidRPr="008B6A75" w:rsidRDefault="00387142" w:rsidP="00387142">
            <w:pPr>
              <w:rPr>
                <w:sz w:val="20"/>
                <w:szCs w:val="20"/>
              </w:rPr>
            </w:pPr>
            <w:r w:rsidRPr="008B6A75">
              <w:rPr>
                <w:sz w:val="20"/>
                <w:szCs w:val="20"/>
              </w:rPr>
              <w:t>Субсидии бюджетным учреждениям</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5EECE3C1" w14:textId="77777777" w:rsidR="00387142" w:rsidRPr="008B6A75" w:rsidRDefault="00387142" w:rsidP="00387142">
            <w:pPr>
              <w:jc w:val="center"/>
              <w:rPr>
                <w:sz w:val="20"/>
                <w:szCs w:val="20"/>
              </w:rPr>
            </w:pPr>
            <w:r w:rsidRPr="008B6A75">
              <w:rPr>
                <w:sz w:val="20"/>
                <w:szCs w:val="20"/>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40EA4485" w14:textId="77777777" w:rsidR="00387142" w:rsidRPr="008B6A75" w:rsidRDefault="00387142" w:rsidP="00387142">
            <w:pPr>
              <w:jc w:val="center"/>
              <w:rPr>
                <w:sz w:val="20"/>
                <w:szCs w:val="20"/>
              </w:rPr>
            </w:pPr>
            <w:r w:rsidRPr="008B6A75">
              <w:rPr>
                <w:sz w:val="20"/>
                <w:szCs w:val="20"/>
              </w:rPr>
              <w:t>07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53813F" w14:textId="77777777" w:rsidR="00387142" w:rsidRPr="008B6A75" w:rsidRDefault="00387142" w:rsidP="00387142">
            <w:pPr>
              <w:jc w:val="center"/>
              <w:rPr>
                <w:sz w:val="20"/>
                <w:szCs w:val="20"/>
              </w:rPr>
            </w:pPr>
            <w:r w:rsidRPr="008B6A75">
              <w:rPr>
                <w:sz w:val="20"/>
                <w:szCs w:val="20"/>
              </w:rPr>
              <w:t>07</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7C925368" w14:textId="77777777" w:rsidR="00387142" w:rsidRPr="008B6A75" w:rsidRDefault="00387142" w:rsidP="00387142">
            <w:pPr>
              <w:jc w:val="center"/>
              <w:rPr>
                <w:sz w:val="20"/>
                <w:szCs w:val="20"/>
              </w:rPr>
            </w:pPr>
            <w:r w:rsidRPr="008B6A75">
              <w:rPr>
                <w:sz w:val="20"/>
                <w:szCs w:val="20"/>
              </w:rPr>
              <w:t>07.4.00.07690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96B0FF" w14:textId="77777777" w:rsidR="00387142" w:rsidRPr="008B6A75" w:rsidRDefault="00387142" w:rsidP="00387142">
            <w:pPr>
              <w:jc w:val="center"/>
              <w:rPr>
                <w:sz w:val="20"/>
                <w:szCs w:val="20"/>
              </w:rPr>
            </w:pPr>
            <w:r w:rsidRPr="008B6A75">
              <w:rPr>
                <w:sz w:val="20"/>
                <w:szCs w:val="20"/>
              </w:rPr>
              <w:t>610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10F5FC" w14:textId="77777777" w:rsidR="00387142" w:rsidRPr="008B6A75" w:rsidRDefault="00387142" w:rsidP="00387142">
            <w:pPr>
              <w:jc w:val="right"/>
              <w:rPr>
                <w:sz w:val="20"/>
                <w:szCs w:val="20"/>
              </w:rPr>
            </w:pPr>
            <w:r w:rsidRPr="008B6A75">
              <w:rPr>
                <w:sz w:val="20"/>
                <w:szCs w:val="20"/>
              </w:rPr>
              <w:t>1 371 607,80</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49B9AC19" w14:textId="77777777" w:rsidR="00387142" w:rsidRPr="008B6A75" w:rsidRDefault="00387142" w:rsidP="00387142">
            <w:pPr>
              <w:jc w:val="right"/>
              <w:rPr>
                <w:sz w:val="20"/>
                <w:szCs w:val="20"/>
              </w:rPr>
            </w:pPr>
            <w:r w:rsidRPr="008B6A75">
              <w:rPr>
                <w:sz w:val="20"/>
                <w:szCs w:val="20"/>
              </w:rPr>
              <w:t>126 609,00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0C161E" w14:textId="77777777" w:rsidR="00387142" w:rsidRPr="008B6A75" w:rsidRDefault="00387142" w:rsidP="00387142">
            <w:pPr>
              <w:jc w:val="right"/>
              <w:rPr>
                <w:sz w:val="20"/>
                <w:szCs w:val="20"/>
              </w:rPr>
            </w:pPr>
            <w:r w:rsidRPr="008B6A75">
              <w:rPr>
                <w:sz w:val="20"/>
                <w:szCs w:val="20"/>
              </w:rPr>
              <w:t>0,00</w:t>
            </w:r>
          </w:p>
        </w:tc>
        <w:tc>
          <w:tcPr>
            <w:tcW w:w="222" w:type="dxa"/>
            <w:vAlign w:val="center"/>
            <w:hideMark/>
          </w:tcPr>
          <w:p w14:paraId="31B97157" w14:textId="77777777" w:rsidR="00387142" w:rsidRPr="008B6A75" w:rsidRDefault="00387142" w:rsidP="00387142">
            <w:pPr>
              <w:rPr>
                <w:sz w:val="20"/>
                <w:szCs w:val="20"/>
              </w:rPr>
            </w:pPr>
          </w:p>
        </w:tc>
      </w:tr>
      <w:tr w:rsidR="00387142" w:rsidRPr="008B6A75" w14:paraId="20A1801C" w14:textId="77777777" w:rsidTr="00387142">
        <w:trPr>
          <w:trHeight w:val="1155"/>
        </w:trPr>
        <w:tc>
          <w:tcPr>
            <w:tcW w:w="3021" w:type="dxa"/>
            <w:tcBorders>
              <w:top w:val="nil"/>
              <w:left w:val="single" w:sz="4" w:space="0" w:color="auto"/>
              <w:bottom w:val="nil"/>
              <w:right w:val="nil"/>
            </w:tcBorders>
            <w:shd w:val="clear" w:color="auto" w:fill="auto"/>
            <w:vAlign w:val="center"/>
            <w:hideMark/>
          </w:tcPr>
          <w:p w14:paraId="0910C733" w14:textId="77777777" w:rsidR="00387142" w:rsidRPr="008B6A75" w:rsidRDefault="00387142" w:rsidP="00387142">
            <w:pPr>
              <w:rPr>
                <w:bCs/>
                <w:sz w:val="20"/>
                <w:szCs w:val="20"/>
              </w:rPr>
            </w:pPr>
            <w:r w:rsidRPr="008B6A75">
              <w:rPr>
                <w:bCs/>
                <w:sz w:val="20"/>
                <w:szCs w:val="20"/>
              </w:rPr>
              <w:t>Реализация мероприятий по оздоровлению детей государственной программы Новосибирской области "Социальная поддержка в Новосибирской области"</w:t>
            </w:r>
          </w:p>
        </w:tc>
        <w:tc>
          <w:tcPr>
            <w:tcW w:w="850" w:type="dxa"/>
            <w:tcBorders>
              <w:top w:val="nil"/>
              <w:left w:val="single" w:sz="4" w:space="0" w:color="auto"/>
              <w:bottom w:val="nil"/>
              <w:right w:val="nil"/>
            </w:tcBorders>
            <w:shd w:val="clear" w:color="auto" w:fill="auto"/>
            <w:noWrap/>
            <w:vAlign w:val="center"/>
            <w:hideMark/>
          </w:tcPr>
          <w:p w14:paraId="63B6A10E" w14:textId="77777777" w:rsidR="00387142" w:rsidRPr="008B6A75" w:rsidRDefault="00387142" w:rsidP="00387142">
            <w:pPr>
              <w:jc w:val="center"/>
              <w:rPr>
                <w:bCs/>
                <w:sz w:val="20"/>
                <w:szCs w:val="20"/>
              </w:rPr>
            </w:pPr>
            <w:r w:rsidRPr="008B6A75">
              <w:rPr>
                <w:bCs/>
                <w:sz w:val="20"/>
                <w:szCs w:val="20"/>
              </w:rPr>
              <w:t>444</w:t>
            </w:r>
          </w:p>
        </w:tc>
        <w:tc>
          <w:tcPr>
            <w:tcW w:w="709" w:type="dxa"/>
            <w:tcBorders>
              <w:top w:val="nil"/>
              <w:left w:val="single" w:sz="4" w:space="0" w:color="auto"/>
              <w:bottom w:val="nil"/>
              <w:right w:val="nil"/>
            </w:tcBorders>
            <w:shd w:val="clear" w:color="auto" w:fill="auto"/>
            <w:noWrap/>
            <w:vAlign w:val="center"/>
            <w:hideMark/>
          </w:tcPr>
          <w:p w14:paraId="704D7265" w14:textId="77777777" w:rsidR="00387142" w:rsidRPr="008B6A75" w:rsidRDefault="00387142" w:rsidP="00387142">
            <w:pPr>
              <w:jc w:val="center"/>
              <w:rPr>
                <w:bCs/>
                <w:sz w:val="20"/>
                <w:szCs w:val="20"/>
              </w:rPr>
            </w:pPr>
            <w:r w:rsidRPr="008B6A75">
              <w:rPr>
                <w:bCs/>
                <w:sz w:val="20"/>
                <w:szCs w:val="20"/>
              </w:rPr>
              <w:t>07</w:t>
            </w:r>
          </w:p>
        </w:tc>
        <w:tc>
          <w:tcPr>
            <w:tcW w:w="709" w:type="dxa"/>
            <w:tcBorders>
              <w:top w:val="nil"/>
              <w:left w:val="single" w:sz="4" w:space="0" w:color="auto"/>
              <w:bottom w:val="nil"/>
              <w:right w:val="single" w:sz="4" w:space="0" w:color="auto"/>
            </w:tcBorders>
            <w:shd w:val="clear" w:color="auto" w:fill="auto"/>
            <w:noWrap/>
            <w:vAlign w:val="center"/>
            <w:hideMark/>
          </w:tcPr>
          <w:p w14:paraId="662A8480" w14:textId="77777777" w:rsidR="00387142" w:rsidRPr="008B6A75" w:rsidRDefault="00387142" w:rsidP="00387142">
            <w:pPr>
              <w:jc w:val="center"/>
              <w:rPr>
                <w:bCs/>
                <w:sz w:val="20"/>
                <w:szCs w:val="20"/>
              </w:rPr>
            </w:pPr>
            <w:r w:rsidRPr="008B6A75">
              <w:rPr>
                <w:bCs/>
                <w:sz w:val="20"/>
                <w:szCs w:val="20"/>
              </w:rPr>
              <w:t>07</w:t>
            </w:r>
          </w:p>
        </w:tc>
        <w:tc>
          <w:tcPr>
            <w:tcW w:w="1411" w:type="dxa"/>
            <w:tcBorders>
              <w:top w:val="nil"/>
              <w:left w:val="single" w:sz="4" w:space="0" w:color="auto"/>
              <w:bottom w:val="nil"/>
              <w:right w:val="nil"/>
            </w:tcBorders>
            <w:shd w:val="clear" w:color="auto" w:fill="auto"/>
            <w:noWrap/>
            <w:vAlign w:val="center"/>
            <w:hideMark/>
          </w:tcPr>
          <w:p w14:paraId="082A0D6D" w14:textId="77777777" w:rsidR="00387142" w:rsidRPr="008B6A75" w:rsidRDefault="00387142" w:rsidP="00387142">
            <w:pPr>
              <w:jc w:val="center"/>
              <w:rPr>
                <w:bCs/>
                <w:sz w:val="20"/>
                <w:szCs w:val="20"/>
              </w:rPr>
            </w:pPr>
            <w:r w:rsidRPr="008B6A75">
              <w:rPr>
                <w:bCs/>
                <w:sz w:val="20"/>
                <w:szCs w:val="20"/>
              </w:rPr>
              <w:t>07.4.00.70359</w:t>
            </w:r>
          </w:p>
        </w:tc>
        <w:tc>
          <w:tcPr>
            <w:tcW w:w="955" w:type="dxa"/>
            <w:tcBorders>
              <w:top w:val="nil"/>
              <w:left w:val="single" w:sz="4" w:space="0" w:color="auto"/>
              <w:bottom w:val="nil"/>
              <w:right w:val="single" w:sz="4" w:space="0" w:color="auto"/>
            </w:tcBorders>
            <w:shd w:val="clear" w:color="auto" w:fill="auto"/>
            <w:noWrap/>
            <w:vAlign w:val="center"/>
            <w:hideMark/>
          </w:tcPr>
          <w:p w14:paraId="5051C9CA"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nil"/>
              <w:right w:val="single" w:sz="4" w:space="0" w:color="auto"/>
            </w:tcBorders>
            <w:shd w:val="clear" w:color="auto" w:fill="auto"/>
            <w:noWrap/>
            <w:vAlign w:val="center"/>
            <w:hideMark/>
          </w:tcPr>
          <w:p w14:paraId="6CB73740" w14:textId="77777777" w:rsidR="00387142" w:rsidRPr="008B6A75" w:rsidRDefault="00387142" w:rsidP="00387142">
            <w:pPr>
              <w:jc w:val="right"/>
              <w:rPr>
                <w:bCs/>
                <w:sz w:val="20"/>
                <w:szCs w:val="20"/>
              </w:rPr>
            </w:pPr>
            <w:r w:rsidRPr="008B6A75">
              <w:rPr>
                <w:bCs/>
                <w:sz w:val="20"/>
                <w:szCs w:val="20"/>
              </w:rPr>
              <w:t>2 658 700,00</w:t>
            </w:r>
          </w:p>
        </w:tc>
        <w:tc>
          <w:tcPr>
            <w:tcW w:w="992" w:type="dxa"/>
            <w:gridSpan w:val="2"/>
            <w:tcBorders>
              <w:top w:val="nil"/>
              <w:left w:val="single" w:sz="4" w:space="0" w:color="auto"/>
              <w:bottom w:val="nil"/>
              <w:right w:val="nil"/>
            </w:tcBorders>
            <w:shd w:val="clear" w:color="auto" w:fill="auto"/>
            <w:noWrap/>
            <w:vAlign w:val="center"/>
            <w:hideMark/>
          </w:tcPr>
          <w:p w14:paraId="4BCF8F88" w14:textId="77777777" w:rsidR="00387142" w:rsidRPr="008B6A75" w:rsidRDefault="00387142" w:rsidP="00387142">
            <w:pPr>
              <w:jc w:val="right"/>
              <w:rPr>
                <w:bCs/>
                <w:sz w:val="20"/>
                <w:szCs w:val="20"/>
              </w:rPr>
            </w:pPr>
            <w:r w:rsidRPr="008B6A75">
              <w:rPr>
                <w:bCs/>
                <w:sz w:val="20"/>
                <w:szCs w:val="20"/>
              </w:rPr>
              <w:t>2 658 700,00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74C222DA" w14:textId="77777777" w:rsidR="00387142" w:rsidRPr="008B6A75" w:rsidRDefault="00387142" w:rsidP="00387142">
            <w:pPr>
              <w:jc w:val="right"/>
              <w:rPr>
                <w:bCs/>
                <w:sz w:val="20"/>
                <w:szCs w:val="20"/>
              </w:rPr>
            </w:pPr>
            <w:r w:rsidRPr="008B6A75">
              <w:rPr>
                <w:bCs/>
                <w:sz w:val="20"/>
                <w:szCs w:val="20"/>
              </w:rPr>
              <w:t>2 658 700,00</w:t>
            </w:r>
          </w:p>
        </w:tc>
        <w:tc>
          <w:tcPr>
            <w:tcW w:w="222" w:type="dxa"/>
            <w:vAlign w:val="center"/>
            <w:hideMark/>
          </w:tcPr>
          <w:p w14:paraId="56C00C37" w14:textId="77777777" w:rsidR="00387142" w:rsidRPr="008B6A75" w:rsidRDefault="00387142" w:rsidP="00387142">
            <w:pPr>
              <w:rPr>
                <w:sz w:val="20"/>
                <w:szCs w:val="20"/>
              </w:rPr>
            </w:pPr>
          </w:p>
        </w:tc>
      </w:tr>
      <w:tr w:rsidR="00387142" w:rsidRPr="008B6A75" w14:paraId="74777F7B" w14:textId="77777777" w:rsidTr="00387142">
        <w:trPr>
          <w:trHeight w:val="585"/>
        </w:trPr>
        <w:tc>
          <w:tcPr>
            <w:tcW w:w="3021" w:type="dxa"/>
            <w:tcBorders>
              <w:top w:val="single" w:sz="4" w:space="0" w:color="auto"/>
              <w:left w:val="single" w:sz="4" w:space="0" w:color="auto"/>
              <w:bottom w:val="nil"/>
              <w:right w:val="nil"/>
            </w:tcBorders>
            <w:shd w:val="clear" w:color="auto" w:fill="auto"/>
            <w:vAlign w:val="center"/>
            <w:hideMark/>
          </w:tcPr>
          <w:p w14:paraId="6EBC7BC0" w14:textId="77777777" w:rsidR="00387142" w:rsidRPr="008B6A75" w:rsidRDefault="00387142" w:rsidP="00387142">
            <w:pPr>
              <w:rPr>
                <w:sz w:val="20"/>
                <w:szCs w:val="20"/>
              </w:rPr>
            </w:pPr>
            <w:r w:rsidRPr="008B6A75">
              <w:rPr>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nil"/>
              <w:right w:val="nil"/>
            </w:tcBorders>
            <w:shd w:val="clear" w:color="auto" w:fill="auto"/>
            <w:noWrap/>
            <w:vAlign w:val="center"/>
            <w:hideMark/>
          </w:tcPr>
          <w:p w14:paraId="4FE45CD3" w14:textId="77777777" w:rsidR="00387142" w:rsidRPr="008B6A75" w:rsidRDefault="00387142" w:rsidP="00387142">
            <w:pPr>
              <w:jc w:val="center"/>
              <w:rPr>
                <w:sz w:val="20"/>
                <w:szCs w:val="20"/>
              </w:rPr>
            </w:pPr>
            <w:r w:rsidRPr="008B6A75">
              <w:rPr>
                <w:sz w:val="20"/>
                <w:szCs w:val="20"/>
              </w:rPr>
              <w:t>444</w:t>
            </w:r>
          </w:p>
        </w:tc>
        <w:tc>
          <w:tcPr>
            <w:tcW w:w="709" w:type="dxa"/>
            <w:tcBorders>
              <w:top w:val="single" w:sz="4" w:space="0" w:color="auto"/>
              <w:left w:val="single" w:sz="4" w:space="0" w:color="auto"/>
              <w:bottom w:val="nil"/>
              <w:right w:val="nil"/>
            </w:tcBorders>
            <w:shd w:val="clear" w:color="auto" w:fill="auto"/>
            <w:noWrap/>
            <w:vAlign w:val="center"/>
            <w:hideMark/>
          </w:tcPr>
          <w:p w14:paraId="06C9F009" w14:textId="77777777" w:rsidR="00387142" w:rsidRPr="008B6A75" w:rsidRDefault="00387142" w:rsidP="00387142">
            <w:pPr>
              <w:jc w:val="center"/>
              <w:rPr>
                <w:sz w:val="20"/>
                <w:szCs w:val="20"/>
              </w:rPr>
            </w:pPr>
            <w:r w:rsidRPr="008B6A75">
              <w:rPr>
                <w:sz w:val="20"/>
                <w:szCs w:val="20"/>
              </w:rPr>
              <w:t>07</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0C0A3388" w14:textId="77777777" w:rsidR="00387142" w:rsidRPr="008B6A75" w:rsidRDefault="00387142" w:rsidP="00387142">
            <w:pPr>
              <w:jc w:val="center"/>
              <w:rPr>
                <w:sz w:val="20"/>
                <w:szCs w:val="20"/>
              </w:rPr>
            </w:pPr>
            <w:r w:rsidRPr="008B6A75">
              <w:rPr>
                <w:sz w:val="20"/>
                <w:szCs w:val="20"/>
              </w:rPr>
              <w:t>07</w:t>
            </w:r>
          </w:p>
        </w:tc>
        <w:tc>
          <w:tcPr>
            <w:tcW w:w="1411" w:type="dxa"/>
            <w:tcBorders>
              <w:top w:val="single" w:sz="4" w:space="0" w:color="auto"/>
              <w:left w:val="single" w:sz="4" w:space="0" w:color="auto"/>
              <w:bottom w:val="nil"/>
              <w:right w:val="nil"/>
            </w:tcBorders>
            <w:shd w:val="clear" w:color="auto" w:fill="auto"/>
            <w:noWrap/>
            <w:vAlign w:val="center"/>
            <w:hideMark/>
          </w:tcPr>
          <w:p w14:paraId="7E67ACF6" w14:textId="77777777" w:rsidR="00387142" w:rsidRPr="008B6A75" w:rsidRDefault="00387142" w:rsidP="00387142">
            <w:pPr>
              <w:jc w:val="center"/>
              <w:rPr>
                <w:sz w:val="20"/>
                <w:szCs w:val="20"/>
              </w:rPr>
            </w:pPr>
            <w:r w:rsidRPr="008B6A75">
              <w:rPr>
                <w:sz w:val="20"/>
                <w:szCs w:val="20"/>
              </w:rPr>
              <w:t>07.4.00.70359</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6A636149" w14:textId="77777777" w:rsidR="00387142" w:rsidRPr="008B6A75" w:rsidRDefault="00387142" w:rsidP="00387142">
            <w:pPr>
              <w:jc w:val="center"/>
              <w:rPr>
                <w:sz w:val="20"/>
                <w:szCs w:val="20"/>
              </w:rPr>
            </w:pPr>
            <w:r w:rsidRPr="008B6A75">
              <w:rPr>
                <w:sz w:val="20"/>
                <w:szCs w:val="20"/>
              </w:rPr>
              <w:t>200</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01981A8B" w14:textId="77777777" w:rsidR="00387142" w:rsidRPr="008B6A75" w:rsidRDefault="00387142" w:rsidP="00387142">
            <w:pPr>
              <w:jc w:val="right"/>
              <w:rPr>
                <w:sz w:val="20"/>
                <w:szCs w:val="20"/>
              </w:rPr>
            </w:pPr>
            <w:r w:rsidRPr="008B6A75">
              <w:rPr>
                <w:sz w:val="20"/>
                <w:szCs w:val="20"/>
              </w:rPr>
              <w:t>1 355 400,00</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433F04FD" w14:textId="77777777" w:rsidR="00387142" w:rsidRPr="008B6A75" w:rsidRDefault="00387142" w:rsidP="00387142">
            <w:pPr>
              <w:jc w:val="right"/>
              <w:rPr>
                <w:sz w:val="20"/>
                <w:szCs w:val="20"/>
              </w:rPr>
            </w:pPr>
            <w:r w:rsidRPr="008B6A75">
              <w:rPr>
                <w:sz w:val="20"/>
                <w:szCs w:val="20"/>
              </w:rPr>
              <w:t>2 000 000,00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63AF241E" w14:textId="77777777" w:rsidR="00387142" w:rsidRPr="008B6A75" w:rsidRDefault="00387142" w:rsidP="00387142">
            <w:pPr>
              <w:jc w:val="right"/>
              <w:rPr>
                <w:sz w:val="20"/>
                <w:szCs w:val="20"/>
              </w:rPr>
            </w:pPr>
            <w:r w:rsidRPr="008B6A75">
              <w:rPr>
                <w:sz w:val="20"/>
                <w:szCs w:val="20"/>
              </w:rPr>
              <w:t>2 000 000,00</w:t>
            </w:r>
          </w:p>
        </w:tc>
        <w:tc>
          <w:tcPr>
            <w:tcW w:w="222" w:type="dxa"/>
            <w:vAlign w:val="center"/>
            <w:hideMark/>
          </w:tcPr>
          <w:p w14:paraId="51097FC5" w14:textId="77777777" w:rsidR="00387142" w:rsidRPr="008B6A75" w:rsidRDefault="00387142" w:rsidP="00387142">
            <w:pPr>
              <w:rPr>
                <w:sz w:val="20"/>
                <w:szCs w:val="20"/>
              </w:rPr>
            </w:pPr>
          </w:p>
        </w:tc>
      </w:tr>
      <w:tr w:rsidR="00387142" w:rsidRPr="008B6A75" w14:paraId="38E038A3" w14:textId="77777777" w:rsidTr="00387142">
        <w:trPr>
          <w:trHeight w:val="870"/>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27628680" w14:textId="77777777" w:rsidR="00387142" w:rsidRPr="008B6A75" w:rsidRDefault="00387142" w:rsidP="00387142">
            <w:pPr>
              <w:rPr>
                <w:sz w:val="20"/>
                <w:szCs w:val="20"/>
              </w:rPr>
            </w:pPr>
            <w:r w:rsidRPr="008B6A75">
              <w:rPr>
                <w:sz w:val="20"/>
                <w:szCs w:val="20"/>
              </w:rPr>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09CE96DF" w14:textId="77777777" w:rsidR="00387142" w:rsidRPr="008B6A75" w:rsidRDefault="00387142" w:rsidP="00387142">
            <w:pPr>
              <w:jc w:val="center"/>
              <w:rPr>
                <w:sz w:val="20"/>
                <w:szCs w:val="20"/>
              </w:rPr>
            </w:pPr>
            <w:r w:rsidRPr="008B6A75">
              <w:rPr>
                <w:sz w:val="20"/>
                <w:szCs w:val="20"/>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557EAF98" w14:textId="77777777" w:rsidR="00387142" w:rsidRPr="008B6A75" w:rsidRDefault="00387142" w:rsidP="00387142">
            <w:pPr>
              <w:jc w:val="center"/>
              <w:rPr>
                <w:sz w:val="20"/>
                <w:szCs w:val="20"/>
              </w:rPr>
            </w:pPr>
            <w:r w:rsidRPr="008B6A75">
              <w:rPr>
                <w:sz w:val="20"/>
                <w:szCs w:val="20"/>
              </w:rPr>
              <w:t>07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23381A" w14:textId="77777777" w:rsidR="00387142" w:rsidRPr="008B6A75" w:rsidRDefault="00387142" w:rsidP="00387142">
            <w:pPr>
              <w:jc w:val="center"/>
              <w:rPr>
                <w:sz w:val="20"/>
                <w:szCs w:val="20"/>
              </w:rPr>
            </w:pPr>
            <w:r w:rsidRPr="008B6A75">
              <w:rPr>
                <w:sz w:val="20"/>
                <w:szCs w:val="20"/>
              </w:rPr>
              <w:t>07</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7A2C2E22" w14:textId="77777777" w:rsidR="00387142" w:rsidRPr="008B6A75" w:rsidRDefault="00387142" w:rsidP="00387142">
            <w:pPr>
              <w:jc w:val="center"/>
              <w:rPr>
                <w:sz w:val="20"/>
                <w:szCs w:val="20"/>
              </w:rPr>
            </w:pPr>
            <w:r w:rsidRPr="008B6A75">
              <w:rPr>
                <w:sz w:val="20"/>
                <w:szCs w:val="20"/>
              </w:rPr>
              <w:t>07.4.00.70359</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F2D5C0" w14:textId="77777777" w:rsidR="00387142" w:rsidRPr="008B6A75" w:rsidRDefault="00387142" w:rsidP="00387142">
            <w:pPr>
              <w:jc w:val="center"/>
              <w:rPr>
                <w:sz w:val="20"/>
                <w:szCs w:val="20"/>
              </w:rPr>
            </w:pPr>
            <w:r w:rsidRPr="008B6A75">
              <w:rPr>
                <w:sz w:val="20"/>
                <w:szCs w:val="20"/>
              </w:rPr>
              <w:t>240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FEE2EA" w14:textId="77777777" w:rsidR="00387142" w:rsidRPr="008B6A75" w:rsidRDefault="00387142" w:rsidP="00387142">
            <w:pPr>
              <w:jc w:val="right"/>
              <w:rPr>
                <w:sz w:val="20"/>
                <w:szCs w:val="20"/>
              </w:rPr>
            </w:pPr>
            <w:r w:rsidRPr="008B6A75">
              <w:rPr>
                <w:sz w:val="20"/>
                <w:szCs w:val="20"/>
              </w:rPr>
              <w:t>1 355 400,00</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365425BE" w14:textId="77777777" w:rsidR="00387142" w:rsidRPr="008B6A75" w:rsidRDefault="00387142" w:rsidP="00387142">
            <w:pPr>
              <w:jc w:val="right"/>
              <w:rPr>
                <w:sz w:val="20"/>
                <w:szCs w:val="20"/>
              </w:rPr>
            </w:pPr>
            <w:r w:rsidRPr="008B6A75">
              <w:rPr>
                <w:sz w:val="20"/>
                <w:szCs w:val="20"/>
              </w:rPr>
              <w:t>2 000 000,00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38B1E1" w14:textId="77777777" w:rsidR="00387142" w:rsidRPr="008B6A75" w:rsidRDefault="00387142" w:rsidP="00387142">
            <w:pPr>
              <w:jc w:val="right"/>
              <w:rPr>
                <w:sz w:val="20"/>
                <w:szCs w:val="20"/>
              </w:rPr>
            </w:pPr>
            <w:r w:rsidRPr="008B6A75">
              <w:rPr>
                <w:sz w:val="20"/>
                <w:szCs w:val="20"/>
              </w:rPr>
              <w:t>2 000 000,00</w:t>
            </w:r>
          </w:p>
        </w:tc>
        <w:tc>
          <w:tcPr>
            <w:tcW w:w="222" w:type="dxa"/>
            <w:vAlign w:val="center"/>
            <w:hideMark/>
          </w:tcPr>
          <w:p w14:paraId="7B0CE5FE" w14:textId="77777777" w:rsidR="00387142" w:rsidRPr="008B6A75" w:rsidRDefault="00387142" w:rsidP="00387142">
            <w:pPr>
              <w:rPr>
                <w:sz w:val="20"/>
                <w:szCs w:val="20"/>
              </w:rPr>
            </w:pPr>
          </w:p>
        </w:tc>
      </w:tr>
      <w:tr w:rsidR="00387142" w:rsidRPr="008B6A75" w14:paraId="1F9EC27A" w14:textId="77777777" w:rsidTr="00387142">
        <w:trPr>
          <w:trHeight w:val="585"/>
        </w:trPr>
        <w:tc>
          <w:tcPr>
            <w:tcW w:w="3021" w:type="dxa"/>
            <w:tcBorders>
              <w:top w:val="nil"/>
              <w:left w:val="single" w:sz="4" w:space="0" w:color="auto"/>
              <w:bottom w:val="nil"/>
              <w:right w:val="nil"/>
            </w:tcBorders>
            <w:shd w:val="clear" w:color="auto" w:fill="auto"/>
            <w:vAlign w:val="center"/>
            <w:hideMark/>
          </w:tcPr>
          <w:p w14:paraId="0CE98655" w14:textId="77777777" w:rsidR="00387142" w:rsidRPr="008B6A75" w:rsidRDefault="00387142" w:rsidP="00387142">
            <w:pPr>
              <w:rPr>
                <w:sz w:val="20"/>
                <w:szCs w:val="20"/>
              </w:rPr>
            </w:pPr>
            <w:r w:rsidRPr="008B6A75">
              <w:rPr>
                <w:sz w:val="20"/>
                <w:szCs w:val="20"/>
              </w:rPr>
              <w:t>Социальное обеспечение и иные выплаты населению</w:t>
            </w:r>
          </w:p>
        </w:tc>
        <w:tc>
          <w:tcPr>
            <w:tcW w:w="850" w:type="dxa"/>
            <w:tcBorders>
              <w:top w:val="nil"/>
              <w:left w:val="single" w:sz="4" w:space="0" w:color="auto"/>
              <w:bottom w:val="nil"/>
              <w:right w:val="nil"/>
            </w:tcBorders>
            <w:shd w:val="clear" w:color="auto" w:fill="auto"/>
            <w:noWrap/>
            <w:vAlign w:val="center"/>
            <w:hideMark/>
          </w:tcPr>
          <w:p w14:paraId="75D3186F" w14:textId="77777777" w:rsidR="00387142" w:rsidRPr="008B6A75" w:rsidRDefault="00387142" w:rsidP="00387142">
            <w:pPr>
              <w:jc w:val="center"/>
              <w:rPr>
                <w:sz w:val="20"/>
                <w:szCs w:val="20"/>
              </w:rPr>
            </w:pPr>
            <w:r w:rsidRPr="008B6A75">
              <w:rPr>
                <w:sz w:val="20"/>
                <w:szCs w:val="20"/>
              </w:rPr>
              <w:t>444</w:t>
            </w:r>
          </w:p>
        </w:tc>
        <w:tc>
          <w:tcPr>
            <w:tcW w:w="709" w:type="dxa"/>
            <w:tcBorders>
              <w:top w:val="nil"/>
              <w:left w:val="single" w:sz="4" w:space="0" w:color="auto"/>
              <w:bottom w:val="nil"/>
              <w:right w:val="nil"/>
            </w:tcBorders>
            <w:shd w:val="clear" w:color="auto" w:fill="auto"/>
            <w:noWrap/>
            <w:vAlign w:val="center"/>
            <w:hideMark/>
          </w:tcPr>
          <w:p w14:paraId="3E5D44F3" w14:textId="77777777" w:rsidR="00387142" w:rsidRPr="008B6A75" w:rsidRDefault="00387142" w:rsidP="00387142">
            <w:pPr>
              <w:jc w:val="center"/>
              <w:rPr>
                <w:sz w:val="20"/>
                <w:szCs w:val="20"/>
              </w:rPr>
            </w:pPr>
            <w:r w:rsidRPr="008B6A75">
              <w:rPr>
                <w:sz w:val="20"/>
                <w:szCs w:val="20"/>
              </w:rPr>
              <w:t>07</w:t>
            </w:r>
          </w:p>
        </w:tc>
        <w:tc>
          <w:tcPr>
            <w:tcW w:w="709" w:type="dxa"/>
            <w:tcBorders>
              <w:top w:val="nil"/>
              <w:left w:val="single" w:sz="4" w:space="0" w:color="auto"/>
              <w:bottom w:val="nil"/>
              <w:right w:val="single" w:sz="4" w:space="0" w:color="auto"/>
            </w:tcBorders>
            <w:shd w:val="clear" w:color="auto" w:fill="auto"/>
            <w:noWrap/>
            <w:vAlign w:val="center"/>
            <w:hideMark/>
          </w:tcPr>
          <w:p w14:paraId="1B2AE40A" w14:textId="77777777" w:rsidR="00387142" w:rsidRPr="008B6A75" w:rsidRDefault="00387142" w:rsidP="00387142">
            <w:pPr>
              <w:jc w:val="center"/>
              <w:rPr>
                <w:sz w:val="20"/>
                <w:szCs w:val="20"/>
              </w:rPr>
            </w:pPr>
            <w:r w:rsidRPr="008B6A75">
              <w:rPr>
                <w:sz w:val="20"/>
                <w:szCs w:val="20"/>
              </w:rPr>
              <w:t>07</w:t>
            </w:r>
          </w:p>
        </w:tc>
        <w:tc>
          <w:tcPr>
            <w:tcW w:w="1411" w:type="dxa"/>
            <w:tcBorders>
              <w:top w:val="nil"/>
              <w:left w:val="single" w:sz="4" w:space="0" w:color="auto"/>
              <w:bottom w:val="nil"/>
              <w:right w:val="nil"/>
            </w:tcBorders>
            <w:shd w:val="clear" w:color="auto" w:fill="auto"/>
            <w:noWrap/>
            <w:vAlign w:val="center"/>
            <w:hideMark/>
          </w:tcPr>
          <w:p w14:paraId="577B0B3A" w14:textId="77777777" w:rsidR="00387142" w:rsidRPr="008B6A75" w:rsidRDefault="00387142" w:rsidP="00387142">
            <w:pPr>
              <w:jc w:val="center"/>
              <w:rPr>
                <w:sz w:val="20"/>
                <w:szCs w:val="20"/>
              </w:rPr>
            </w:pPr>
            <w:r w:rsidRPr="008B6A75">
              <w:rPr>
                <w:sz w:val="20"/>
                <w:szCs w:val="20"/>
              </w:rPr>
              <w:t>07.4.00.70359</w:t>
            </w:r>
          </w:p>
        </w:tc>
        <w:tc>
          <w:tcPr>
            <w:tcW w:w="955" w:type="dxa"/>
            <w:tcBorders>
              <w:top w:val="nil"/>
              <w:left w:val="single" w:sz="4" w:space="0" w:color="auto"/>
              <w:bottom w:val="nil"/>
              <w:right w:val="single" w:sz="4" w:space="0" w:color="auto"/>
            </w:tcBorders>
            <w:shd w:val="clear" w:color="auto" w:fill="auto"/>
            <w:noWrap/>
            <w:vAlign w:val="center"/>
            <w:hideMark/>
          </w:tcPr>
          <w:p w14:paraId="266AA7BC" w14:textId="77777777" w:rsidR="00387142" w:rsidRPr="008B6A75" w:rsidRDefault="00387142" w:rsidP="00387142">
            <w:pPr>
              <w:jc w:val="center"/>
              <w:rPr>
                <w:sz w:val="20"/>
                <w:szCs w:val="20"/>
              </w:rPr>
            </w:pPr>
            <w:r w:rsidRPr="008B6A75">
              <w:rPr>
                <w:sz w:val="20"/>
                <w:szCs w:val="20"/>
              </w:rPr>
              <w:t>300</w:t>
            </w:r>
          </w:p>
        </w:tc>
        <w:tc>
          <w:tcPr>
            <w:tcW w:w="992" w:type="dxa"/>
            <w:tcBorders>
              <w:top w:val="nil"/>
              <w:left w:val="single" w:sz="4" w:space="0" w:color="auto"/>
              <w:bottom w:val="nil"/>
              <w:right w:val="single" w:sz="4" w:space="0" w:color="auto"/>
            </w:tcBorders>
            <w:shd w:val="clear" w:color="auto" w:fill="auto"/>
            <w:noWrap/>
            <w:vAlign w:val="center"/>
            <w:hideMark/>
          </w:tcPr>
          <w:p w14:paraId="64B18DD8" w14:textId="77777777" w:rsidR="00387142" w:rsidRPr="008B6A75" w:rsidRDefault="00387142" w:rsidP="00387142">
            <w:pPr>
              <w:jc w:val="right"/>
              <w:rPr>
                <w:sz w:val="20"/>
                <w:szCs w:val="20"/>
              </w:rPr>
            </w:pPr>
            <w:r w:rsidRPr="008B6A75">
              <w:rPr>
                <w:sz w:val="20"/>
                <w:szCs w:val="20"/>
              </w:rPr>
              <w:t>1 900,00</w:t>
            </w:r>
          </w:p>
        </w:tc>
        <w:tc>
          <w:tcPr>
            <w:tcW w:w="992" w:type="dxa"/>
            <w:gridSpan w:val="2"/>
            <w:tcBorders>
              <w:top w:val="nil"/>
              <w:left w:val="single" w:sz="4" w:space="0" w:color="auto"/>
              <w:bottom w:val="nil"/>
              <w:right w:val="nil"/>
            </w:tcBorders>
            <w:shd w:val="clear" w:color="auto" w:fill="auto"/>
            <w:noWrap/>
            <w:vAlign w:val="center"/>
            <w:hideMark/>
          </w:tcPr>
          <w:p w14:paraId="0A9B7A4E" w14:textId="77777777" w:rsidR="00387142" w:rsidRPr="008B6A75" w:rsidRDefault="00387142" w:rsidP="00387142">
            <w:pPr>
              <w:jc w:val="right"/>
              <w:rPr>
                <w:sz w:val="20"/>
                <w:szCs w:val="20"/>
              </w:rPr>
            </w:pPr>
            <w:r w:rsidRPr="008B6A75">
              <w:rPr>
                <w:sz w:val="20"/>
                <w:szCs w:val="20"/>
              </w:rPr>
              <w:t>658 700,00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09AFA5DB" w14:textId="77777777" w:rsidR="00387142" w:rsidRPr="008B6A75" w:rsidRDefault="00387142" w:rsidP="00387142">
            <w:pPr>
              <w:jc w:val="right"/>
              <w:rPr>
                <w:sz w:val="20"/>
                <w:szCs w:val="20"/>
              </w:rPr>
            </w:pPr>
            <w:r w:rsidRPr="008B6A75">
              <w:rPr>
                <w:sz w:val="20"/>
                <w:szCs w:val="20"/>
              </w:rPr>
              <w:t>658 700,00</w:t>
            </w:r>
          </w:p>
        </w:tc>
        <w:tc>
          <w:tcPr>
            <w:tcW w:w="222" w:type="dxa"/>
            <w:vAlign w:val="center"/>
            <w:hideMark/>
          </w:tcPr>
          <w:p w14:paraId="327A79C8" w14:textId="77777777" w:rsidR="00387142" w:rsidRPr="008B6A75" w:rsidRDefault="00387142" w:rsidP="00387142">
            <w:pPr>
              <w:rPr>
                <w:sz w:val="20"/>
                <w:szCs w:val="20"/>
              </w:rPr>
            </w:pPr>
          </w:p>
        </w:tc>
      </w:tr>
      <w:tr w:rsidR="00387142" w:rsidRPr="008B6A75" w14:paraId="70151D99" w14:textId="77777777" w:rsidTr="00387142">
        <w:trPr>
          <w:trHeight w:val="585"/>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28978D7A" w14:textId="77777777" w:rsidR="00387142" w:rsidRPr="008B6A75" w:rsidRDefault="00387142" w:rsidP="00387142">
            <w:pPr>
              <w:rPr>
                <w:sz w:val="20"/>
                <w:szCs w:val="20"/>
              </w:rPr>
            </w:pPr>
            <w:r w:rsidRPr="008B6A75">
              <w:rPr>
                <w:sz w:val="20"/>
                <w:szCs w:val="20"/>
              </w:rPr>
              <w:t>Социальные выплаты гражданам, кроме публичных нормативных социальных выплат</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591B3BEA" w14:textId="77777777" w:rsidR="00387142" w:rsidRPr="008B6A75" w:rsidRDefault="00387142" w:rsidP="00387142">
            <w:pPr>
              <w:jc w:val="center"/>
              <w:rPr>
                <w:sz w:val="20"/>
                <w:szCs w:val="20"/>
              </w:rPr>
            </w:pPr>
            <w:r w:rsidRPr="008B6A75">
              <w:rPr>
                <w:sz w:val="20"/>
                <w:szCs w:val="20"/>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04D65B80" w14:textId="77777777" w:rsidR="00387142" w:rsidRPr="008B6A75" w:rsidRDefault="00387142" w:rsidP="00387142">
            <w:pPr>
              <w:jc w:val="center"/>
              <w:rPr>
                <w:sz w:val="20"/>
                <w:szCs w:val="20"/>
              </w:rPr>
            </w:pPr>
            <w:r w:rsidRPr="008B6A75">
              <w:rPr>
                <w:sz w:val="20"/>
                <w:szCs w:val="20"/>
              </w:rPr>
              <w:t>07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80E8A9" w14:textId="77777777" w:rsidR="00387142" w:rsidRPr="008B6A75" w:rsidRDefault="00387142" w:rsidP="00387142">
            <w:pPr>
              <w:jc w:val="center"/>
              <w:rPr>
                <w:sz w:val="20"/>
                <w:szCs w:val="20"/>
              </w:rPr>
            </w:pPr>
            <w:r w:rsidRPr="008B6A75">
              <w:rPr>
                <w:sz w:val="20"/>
                <w:szCs w:val="20"/>
              </w:rPr>
              <w:t>07</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226A66D9" w14:textId="77777777" w:rsidR="00387142" w:rsidRPr="008B6A75" w:rsidRDefault="00387142" w:rsidP="00387142">
            <w:pPr>
              <w:jc w:val="center"/>
              <w:rPr>
                <w:sz w:val="20"/>
                <w:szCs w:val="20"/>
              </w:rPr>
            </w:pPr>
            <w:r w:rsidRPr="008B6A75">
              <w:rPr>
                <w:sz w:val="20"/>
                <w:szCs w:val="20"/>
              </w:rPr>
              <w:t>07.4.00.70359</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F8694C" w14:textId="77777777" w:rsidR="00387142" w:rsidRPr="008B6A75" w:rsidRDefault="00387142" w:rsidP="00387142">
            <w:pPr>
              <w:jc w:val="center"/>
              <w:rPr>
                <w:sz w:val="20"/>
                <w:szCs w:val="20"/>
              </w:rPr>
            </w:pPr>
            <w:r w:rsidRPr="008B6A75">
              <w:rPr>
                <w:sz w:val="20"/>
                <w:szCs w:val="20"/>
              </w:rPr>
              <w:t>320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EC79F9" w14:textId="77777777" w:rsidR="00387142" w:rsidRPr="008B6A75" w:rsidRDefault="00387142" w:rsidP="00387142">
            <w:pPr>
              <w:jc w:val="right"/>
              <w:rPr>
                <w:sz w:val="20"/>
                <w:szCs w:val="20"/>
              </w:rPr>
            </w:pPr>
            <w:r w:rsidRPr="008B6A75">
              <w:rPr>
                <w:sz w:val="20"/>
                <w:szCs w:val="20"/>
              </w:rPr>
              <w:t>1 900,00</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25103ED8" w14:textId="77777777" w:rsidR="00387142" w:rsidRPr="008B6A75" w:rsidRDefault="00387142" w:rsidP="00387142">
            <w:pPr>
              <w:jc w:val="right"/>
              <w:rPr>
                <w:sz w:val="20"/>
                <w:szCs w:val="20"/>
              </w:rPr>
            </w:pPr>
            <w:r w:rsidRPr="008B6A75">
              <w:rPr>
                <w:sz w:val="20"/>
                <w:szCs w:val="20"/>
              </w:rPr>
              <w:t>658 700,00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47A1D5" w14:textId="77777777" w:rsidR="00387142" w:rsidRPr="008B6A75" w:rsidRDefault="00387142" w:rsidP="00387142">
            <w:pPr>
              <w:jc w:val="right"/>
              <w:rPr>
                <w:sz w:val="20"/>
                <w:szCs w:val="20"/>
              </w:rPr>
            </w:pPr>
            <w:r w:rsidRPr="008B6A75">
              <w:rPr>
                <w:sz w:val="20"/>
                <w:szCs w:val="20"/>
              </w:rPr>
              <w:t>658 700,00</w:t>
            </w:r>
          </w:p>
        </w:tc>
        <w:tc>
          <w:tcPr>
            <w:tcW w:w="222" w:type="dxa"/>
            <w:vAlign w:val="center"/>
            <w:hideMark/>
          </w:tcPr>
          <w:p w14:paraId="06185F85" w14:textId="77777777" w:rsidR="00387142" w:rsidRPr="008B6A75" w:rsidRDefault="00387142" w:rsidP="00387142">
            <w:pPr>
              <w:rPr>
                <w:sz w:val="20"/>
                <w:szCs w:val="20"/>
              </w:rPr>
            </w:pPr>
          </w:p>
        </w:tc>
      </w:tr>
      <w:tr w:rsidR="00387142" w:rsidRPr="008B6A75" w14:paraId="0FFDF567" w14:textId="77777777" w:rsidTr="00387142">
        <w:trPr>
          <w:trHeight w:val="870"/>
        </w:trPr>
        <w:tc>
          <w:tcPr>
            <w:tcW w:w="3021" w:type="dxa"/>
            <w:tcBorders>
              <w:top w:val="nil"/>
              <w:left w:val="single" w:sz="4" w:space="0" w:color="auto"/>
              <w:bottom w:val="nil"/>
              <w:right w:val="nil"/>
            </w:tcBorders>
            <w:shd w:val="clear" w:color="auto" w:fill="auto"/>
            <w:vAlign w:val="center"/>
            <w:hideMark/>
          </w:tcPr>
          <w:p w14:paraId="751D5DD5" w14:textId="77777777" w:rsidR="00387142" w:rsidRPr="008B6A75" w:rsidRDefault="00387142" w:rsidP="00387142">
            <w:pPr>
              <w:rPr>
                <w:sz w:val="20"/>
                <w:szCs w:val="20"/>
              </w:rPr>
            </w:pPr>
            <w:r w:rsidRPr="008B6A75">
              <w:rPr>
                <w:sz w:val="20"/>
                <w:szCs w:val="20"/>
              </w:rPr>
              <w:t>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right w:val="nil"/>
            </w:tcBorders>
            <w:shd w:val="clear" w:color="auto" w:fill="auto"/>
            <w:noWrap/>
            <w:vAlign w:val="center"/>
            <w:hideMark/>
          </w:tcPr>
          <w:p w14:paraId="02A599E9" w14:textId="77777777" w:rsidR="00387142" w:rsidRPr="008B6A75" w:rsidRDefault="00387142" w:rsidP="00387142">
            <w:pPr>
              <w:jc w:val="center"/>
              <w:rPr>
                <w:sz w:val="20"/>
                <w:szCs w:val="20"/>
              </w:rPr>
            </w:pPr>
            <w:r w:rsidRPr="008B6A75">
              <w:rPr>
                <w:sz w:val="20"/>
                <w:szCs w:val="20"/>
              </w:rPr>
              <w:t>444</w:t>
            </w:r>
          </w:p>
        </w:tc>
        <w:tc>
          <w:tcPr>
            <w:tcW w:w="709" w:type="dxa"/>
            <w:tcBorders>
              <w:top w:val="nil"/>
              <w:left w:val="single" w:sz="4" w:space="0" w:color="auto"/>
              <w:bottom w:val="nil"/>
              <w:right w:val="nil"/>
            </w:tcBorders>
            <w:shd w:val="clear" w:color="auto" w:fill="auto"/>
            <w:noWrap/>
            <w:vAlign w:val="center"/>
            <w:hideMark/>
          </w:tcPr>
          <w:p w14:paraId="260E37EB" w14:textId="77777777" w:rsidR="00387142" w:rsidRPr="008B6A75" w:rsidRDefault="00387142" w:rsidP="00387142">
            <w:pPr>
              <w:jc w:val="center"/>
              <w:rPr>
                <w:sz w:val="20"/>
                <w:szCs w:val="20"/>
              </w:rPr>
            </w:pPr>
            <w:r w:rsidRPr="008B6A75">
              <w:rPr>
                <w:sz w:val="20"/>
                <w:szCs w:val="20"/>
              </w:rPr>
              <w:t>07</w:t>
            </w:r>
          </w:p>
        </w:tc>
        <w:tc>
          <w:tcPr>
            <w:tcW w:w="709" w:type="dxa"/>
            <w:tcBorders>
              <w:top w:val="nil"/>
              <w:left w:val="single" w:sz="4" w:space="0" w:color="auto"/>
              <w:bottom w:val="nil"/>
              <w:right w:val="single" w:sz="4" w:space="0" w:color="auto"/>
            </w:tcBorders>
            <w:shd w:val="clear" w:color="auto" w:fill="auto"/>
            <w:noWrap/>
            <w:vAlign w:val="center"/>
            <w:hideMark/>
          </w:tcPr>
          <w:p w14:paraId="0A83F5AA" w14:textId="77777777" w:rsidR="00387142" w:rsidRPr="008B6A75" w:rsidRDefault="00387142" w:rsidP="00387142">
            <w:pPr>
              <w:jc w:val="center"/>
              <w:rPr>
                <w:sz w:val="20"/>
                <w:szCs w:val="20"/>
              </w:rPr>
            </w:pPr>
            <w:r w:rsidRPr="008B6A75">
              <w:rPr>
                <w:sz w:val="20"/>
                <w:szCs w:val="20"/>
              </w:rPr>
              <w:t>07</w:t>
            </w:r>
          </w:p>
        </w:tc>
        <w:tc>
          <w:tcPr>
            <w:tcW w:w="1411" w:type="dxa"/>
            <w:tcBorders>
              <w:top w:val="nil"/>
              <w:left w:val="single" w:sz="4" w:space="0" w:color="auto"/>
              <w:bottom w:val="nil"/>
              <w:right w:val="nil"/>
            </w:tcBorders>
            <w:shd w:val="clear" w:color="auto" w:fill="auto"/>
            <w:noWrap/>
            <w:vAlign w:val="center"/>
            <w:hideMark/>
          </w:tcPr>
          <w:p w14:paraId="03742339" w14:textId="77777777" w:rsidR="00387142" w:rsidRPr="008B6A75" w:rsidRDefault="00387142" w:rsidP="00387142">
            <w:pPr>
              <w:jc w:val="center"/>
              <w:rPr>
                <w:sz w:val="20"/>
                <w:szCs w:val="20"/>
              </w:rPr>
            </w:pPr>
            <w:r w:rsidRPr="008B6A75">
              <w:rPr>
                <w:sz w:val="20"/>
                <w:szCs w:val="20"/>
              </w:rPr>
              <w:t>07.4.00.70359</w:t>
            </w:r>
          </w:p>
        </w:tc>
        <w:tc>
          <w:tcPr>
            <w:tcW w:w="955" w:type="dxa"/>
            <w:tcBorders>
              <w:top w:val="nil"/>
              <w:left w:val="single" w:sz="4" w:space="0" w:color="auto"/>
              <w:bottom w:val="nil"/>
              <w:right w:val="single" w:sz="4" w:space="0" w:color="auto"/>
            </w:tcBorders>
            <w:shd w:val="clear" w:color="auto" w:fill="auto"/>
            <w:noWrap/>
            <w:vAlign w:val="center"/>
            <w:hideMark/>
          </w:tcPr>
          <w:p w14:paraId="1977F87B" w14:textId="77777777" w:rsidR="00387142" w:rsidRPr="008B6A75" w:rsidRDefault="00387142" w:rsidP="00387142">
            <w:pPr>
              <w:jc w:val="center"/>
              <w:rPr>
                <w:sz w:val="20"/>
                <w:szCs w:val="20"/>
              </w:rPr>
            </w:pPr>
            <w:r w:rsidRPr="008B6A75">
              <w:rPr>
                <w:sz w:val="20"/>
                <w:szCs w:val="20"/>
              </w:rPr>
              <w:t>600</w:t>
            </w:r>
          </w:p>
        </w:tc>
        <w:tc>
          <w:tcPr>
            <w:tcW w:w="992" w:type="dxa"/>
            <w:tcBorders>
              <w:top w:val="nil"/>
              <w:left w:val="single" w:sz="4" w:space="0" w:color="auto"/>
              <w:bottom w:val="nil"/>
              <w:right w:val="single" w:sz="4" w:space="0" w:color="auto"/>
            </w:tcBorders>
            <w:shd w:val="clear" w:color="auto" w:fill="auto"/>
            <w:noWrap/>
            <w:vAlign w:val="center"/>
            <w:hideMark/>
          </w:tcPr>
          <w:p w14:paraId="2A84580F" w14:textId="77777777" w:rsidR="00387142" w:rsidRPr="008B6A75" w:rsidRDefault="00387142" w:rsidP="00387142">
            <w:pPr>
              <w:jc w:val="right"/>
              <w:rPr>
                <w:sz w:val="20"/>
                <w:szCs w:val="20"/>
              </w:rPr>
            </w:pPr>
            <w:r w:rsidRPr="008B6A75">
              <w:rPr>
                <w:sz w:val="20"/>
                <w:szCs w:val="20"/>
              </w:rPr>
              <w:t>1 301 400,00</w:t>
            </w:r>
          </w:p>
        </w:tc>
        <w:tc>
          <w:tcPr>
            <w:tcW w:w="992" w:type="dxa"/>
            <w:gridSpan w:val="2"/>
            <w:tcBorders>
              <w:top w:val="nil"/>
              <w:left w:val="single" w:sz="4" w:space="0" w:color="auto"/>
              <w:bottom w:val="nil"/>
              <w:right w:val="nil"/>
            </w:tcBorders>
            <w:shd w:val="clear" w:color="auto" w:fill="auto"/>
            <w:noWrap/>
            <w:vAlign w:val="center"/>
            <w:hideMark/>
          </w:tcPr>
          <w:p w14:paraId="3232F4F7" w14:textId="77777777" w:rsidR="00387142" w:rsidRPr="008B6A75" w:rsidRDefault="00387142" w:rsidP="00387142">
            <w:pPr>
              <w:jc w:val="right"/>
              <w:rPr>
                <w:sz w:val="20"/>
                <w:szCs w:val="20"/>
              </w:rPr>
            </w:pPr>
            <w:r w:rsidRPr="008B6A75">
              <w:rPr>
                <w:sz w:val="20"/>
                <w:szCs w:val="20"/>
              </w:rPr>
              <w:t>0,00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67EC8670" w14:textId="77777777" w:rsidR="00387142" w:rsidRPr="008B6A75" w:rsidRDefault="00387142" w:rsidP="00387142">
            <w:pPr>
              <w:jc w:val="right"/>
              <w:rPr>
                <w:sz w:val="20"/>
                <w:szCs w:val="20"/>
              </w:rPr>
            </w:pPr>
            <w:r w:rsidRPr="008B6A75">
              <w:rPr>
                <w:sz w:val="20"/>
                <w:szCs w:val="20"/>
              </w:rPr>
              <w:t>0,00</w:t>
            </w:r>
          </w:p>
        </w:tc>
        <w:tc>
          <w:tcPr>
            <w:tcW w:w="222" w:type="dxa"/>
            <w:vAlign w:val="center"/>
            <w:hideMark/>
          </w:tcPr>
          <w:p w14:paraId="77EE674D" w14:textId="77777777" w:rsidR="00387142" w:rsidRPr="008B6A75" w:rsidRDefault="00387142" w:rsidP="00387142">
            <w:pPr>
              <w:rPr>
                <w:sz w:val="20"/>
                <w:szCs w:val="20"/>
              </w:rPr>
            </w:pPr>
          </w:p>
        </w:tc>
      </w:tr>
      <w:tr w:rsidR="00387142" w:rsidRPr="008B6A75" w14:paraId="6067DCBD" w14:textId="77777777" w:rsidTr="00387142">
        <w:trPr>
          <w:trHeight w:val="300"/>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1CBC30C9" w14:textId="77777777" w:rsidR="00387142" w:rsidRPr="008B6A75" w:rsidRDefault="00387142" w:rsidP="00387142">
            <w:pPr>
              <w:rPr>
                <w:sz w:val="20"/>
                <w:szCs w:val="20"/>
              </w:rPr>
            </w:pPr>
            <w:r w:rsidRPr="008B6A75">
              <w:rPr>
                <w:sz w:val="20"/>
                <w:szCs w:val="20"/>
              </w:rPr>
              <w:t>Субсидии бюджетным учреждениям</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7AA8439E" w14:textId="77777777" w:rsidR="00387142" w:rsidRPr="008B6A75" w:rsidRDefault="00387142" w:rsidP="00387142">
            <w:pPr>
              <w:jc w:val="center"/>
              <w:rPr>
                <w:sz w:val="20"/>
                <w:szCs w:val="20"/>
              </w:rPr>
            </w:pPr>
            <w:r w:rsidRPr="008B6A75">
              <w:rPr>
                <w:sz w:val="20"/>
                <w:szCs w:val="20"/>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2436F1DF" w14:textId="77777777" w:rsidR="00387142" w:rsidRPr="008B6A75" w:rsidRDefault="00387142" w:rsidP="00387142">
            <w:pPr>
              <w:jc w:val="center"/>
              <w:rPr>
                <w:sz w:val="20"/>
                <w:szCs w:val="20"/>
              </w:rPr>
            </w:pPr>
            <w:r w:rsidRPr="008B6A75">
              <w:rPr>
                <w:sz w:val="20"/>
                <w:szCs w:val="20"/>
              </w:rPr>
              <w:t>07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E9BA05" w14:textId="77777777" w:rsidR="00387142" w:rsidRPr="008B6A75" w:rsidRDefault="00387142" w:rsidP="00387142">
            <w:pPr>
              <w:jc w:val="center"/>
              <w:rPr>
                <w:sz w:val="20"/>
                <w:szCs w:val="20"/>
              </w:rPr>
            </w:pPr>
            <w:r w:rsidRPr="008B6A75">
              <w:rPr>
                <w:sz w:val="20"/>
                <w:szCs w:val="20"/>
              </w:rPr>
              <w:t>07</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239252FF" w14:textId="77777777" w:rsidR="00387142" w:rsidRPr="008B6A75" w:rsidRDefault="00387142" w:rsidP="00387142">
            <w:pPr>
              <w:jc w:val="center"/>
              <w:rPr>
                <w:sz w:val="20"/>
                <w:szCs w:val="20"/>
              </w:rPr>
            </w:pPr>
            <w:r w:rsidRPr="008B6A75">
              <w:rPr>
                <w:sz w:val="20"/>
                <w:szCs w:val="20"/>
              </w:rPr>
              <w:t>07.4.00.70359</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86B9CF" w14:textId="77777777" w:rsidR="00387142" w:rsidRPr="008B6A75" w:rsidRDefault="00387142" w:rsidP="00387142">
            <w:pPr>
              <w:jc w:val="center"/>
              <w:rPr>
                <w:sz w:val="20"/>
                <w:szCs w:val="20"/>
              </w:rPr>
            </w:pPr>
            <w:r w:rsidRPr="008B6A75">
              <w:rPr>
                <w:sz w:val="20"/>
                <w:szCs w:val="20"/>
              </w:rPr>
              <w:t>610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930461" w14:textId="77777777" w:rsidR="00387142" w:rsidRPr="008B6A75" w:rsidRDefault="00387142" w:rsidP="00387142">
            <w:pPr>
              <w:jc w:val="right"/>
              <w:rPr>
                <w:sz w:val="20"/>
                <w:szCs w:val="20"/>
              </w:rPr>
            </w:pPr>
            <w:r w:rsidRPr="008B6A75">
              <w:rPr>
                <w:sz w:val="20"/>
                <w:szCs w:val="20"/>
              </w:rPr>
              <w:t>1 301 400,00</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591BD055" w14:textId="77777777" w:rsidR="00387142" w:rsidRPr="008B6A75" w:rsidRDefault="00387142" w:rsidP="00387142">
            <w:pPr>
              <w:jc w:val="right"/>
              <w:rPr>
                <w:sz w:val="20"/>
                <w:szCs w:val="20"/>
              </w:rPr>
            </w:pPr>
            <w:r w:rsidRPr="008B6A75">
              <w:rPr>
                <w:sz w:val="20"/>
                <w:szCs w:val="20"/>
              </w:rPr>
              <w:t>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143794" w14:textId="77777777" w:rsidR="00387142" w:rsidRPr="008B6A75" w:rsidRDefault="00387142" w:rsidP="00387142">
            <w:pPr>
              <w:jc w:val="right"/>
              <w:rPr>
                <w:sz w:val="20"/>
                <w:szCs w:val="20"/>
              </w:rPr>
            </w:pPr>
            <w:r w:rsidRPr="008B6A75">
              <w:rPr>
                <w:sz w:val="20"/>
                <w:szCs w:val="20"/>
              </w:rPr>
              <w:t>0,00</w:t>
            </w:r>
          </w:p>
        </w:tc>
        <w:tc>
          <w:tcPr>
            <w:tcW w:w="222" w:type="dxa"/>
            <w:vAlign w:val="center"/>
            <w:hideMark/>
          </w:tcPr>
          <w:p w14:paraId="71A4F56A" w14:textId="77777777" w:rsidR="00387142" w:rsidRPr="008B6A75" w:rsidRDefault="00387142" w:rsidP="00387142">
            <w:pPr>
              <w:rPr>
                <w:sz w:val="20"/>
                <w:szCs w:val="20"/>
              </w:rPr>
            </w:pPr>
          </w:p>
        </w:tc>
      </w:tr>
      <w:tr w:rsidR="00387142" w:rsidRPr="008B6A75" w14:paraId="109EC62A" w14:textId="77777777" w:rsidTr="00387142">
        <w:trPr>
          <w:trHeight w:val="1440"/>
        </w:trPr>
        <w:tc>
          <w:tcPr>
            <w:tcW w:w="3021" w:type="dxa"/>
            <w:tcBorders>
              <w:top w:val="nil"/>
              <w:left w:val="single" w:sz="4" w:space="0" w:color="auto"/>
              <w:bottom w:val="nil"/>
              <w:right w:val="nil"/>
            </w:tcBorders>
            <w:shd w:val="clear" w:color="auto" w:fill="auto"/>
            <w:vAlign w:val="center"/>
            <w:hideMark/>
          </w:tcPr>
          <w:p w14:paraId="0B8C3AF8" w14:textId="77777777" w:rsidR="00387142" w:rsidRPr="008B6A75" w:rsidRDefault="00387142" w:rsidP="00387142">
            <w:pPr>
              <w:rPr>
                <w:bCs/>
                <w:sz w:val="20"/>
                <w:szCs w:val="20"/>
              </w:rPr>
            </w:pPr>
            <w:r w:rsidRPr="008B6A75">
              <w:rPr>
                <w:bCs/>
                <w:sz w:val="20"/>
                <w:szCs w:val="20"/>
              </w:rPr>
              <w:t xml:space="preserve">Реализация мероприятий по обеспечению сбалансированности местных </w:t>
            </w:r>
            <w:proofErr w:type="gramStart"/>
            <w:r w:rsidRPr="008B6A75">
              <w:rPr>
                <w:bCs/>
                <w:sz w:val="20"/>
                <w:szCs w:val="20"/>
              </w:rPr>
              <w:t>бюджетов  государственной</w:t>
            </w:r>
            <w:proofErr w:type="gramEnd"/>
            <w:r w:rsidRPr="008B6A75">
              <w:rPr>
                <w:bCs/>
                <w:sz w:val="20"/>
                <w:szCs w:val="20"/>
              </w:rPr>
              <w:t xml:space="preserve"> программы Новосибирской области "Управление  финансами в Новосибирской области"</w:t>
            </w:r>
          </w:p>
        </w:tc>
        <w:tc>
          <w:tcPr>
            <w:tcW w:w="850" w:type="dxa"/>
            <w:tcBorders>
              <w:top w:val="nil"/>
              <w:left w:val="single" w:sz="4" w:space="0" w:color="auto"/>
              <w:bottom w:val="nil"/>
              <w:right w:val="nil"/>
            </w:tcBorders>
            <w:shd w:val="clear" w:color="auto" w:fill="auto"/>
            <w:noWrap/>
            <w:vAlign w:val="center"/>
            <w:hideMark/>
          </w:tcPr>
          <w:p w14:paraId="1DBEFCAF" w14:textId="77777777" w:rsidR="00387142" w:rsidRPr="008B6A75" w:rsidRDefault="00387142" w:rsidP="00387142">
            <w:pPr>
              <w:jc w:val="center"/>
              <w:rPr>
                <w:bCs/>
                <w:sz w:val="20"/>
                <w:szCs w:val="20"/>
              </w:rPr>
            </w:pPr>
            <w:r w:rsidRPr="008B6A75">
              <w:rPr>
                <w:bCs/>
                <w:sz w:val="20"/>
                <w:szCs w:val="20"/>
              </w:rPr>
              <w:t>444</w:t>
            </w:r>
          </w:p>
        </w:tc>
        <w:tc>
          <w:tcPr>
            <w:tcW w:w="709" w:type="dxa"/>
            <w:tcBorders>
              <w:top w:val="nil"/>
              <w:left w:val="single" w:sz="4" w:space="0" w:color="auto"/>
              <w:bottom w:val="nil"/>
              <w:right w:val="nil"/>
            </w:tcBorders>
            <w:shd w:val="clear" w:color="auto" w:fill="auto"/>
            <w:noWrap/>
            <w:vAlign w:val="center"/>
            <w:hideMark/>
          </w:tcPr>
          <w:p w14:paraId="42F08F14" w14:textId="77777777" w:rsidR="00387142" w:rsidRPr="008B6A75" w:rsidRDefault="00387142" w:rsidP="00387142">
            <w:pPr>
              <w:jc w:val="center"/>
              <w:rPr>
                <w:bCs/>
                <w:sz w:val="20"/>
                <w:szCs w:val="20"/>
              </w:rPr>
            </w:pPr>
            <w:r w:rsidRPr="008B6A75">
              <w:rPr>
                <w:bCs/>
                <w:sz w:val="20"/>
                <w:szCs w:val="20"/>
              </w:rPr>
              <w:t>07</w:t>
            </w:r>
          </w:p>
        </w:tc>
        <w:tc>
          <w:tcPr>
            <w:tcW w:w="709" w:type="dxa"/>
            <w:tcBorders>
              <w:top w:val="nil"/>
              <w:left w:val="single" w:sz="4" w:space="0" w:color="auto"/>
              <w:bottom w:val="nil"/>
              <w:right w:val="single" w:sz="4" w:space="0" w:color="auto"/>
            </w:tcBorders>
            <w:shd w:val="clear" w:color="auto" w:fill="auto"/>
            <w:noWrap/>
            <w:vAlign w:val="center"/>
            <w:hideMark/>
          </w:tcPr>
          <w:p w14:paraId="21ADD360" w14:textId="77777777" w:rsidR="00387142" w:rsidRPr="008B6A75" w:rsidRDefault="00387142" w:rsidP="00387142">
            <w:pPr>
              <w:jc w:val="center"/>
              <w:rPr>
                <w:bCs/>
                <w:sz w:val="20"/>
                <w:szCs w:val="20"/>
              </w:rPr>
            </w:pPr>
            <w:r w:rsidRPr="008B6A75">
              <w:rPr>
                <w:bCs/>
                <w:sz w:val="20"/>
                <w:szCs w:val="20"/>
              </w:rPr>
              <w:t>07</w:t>
            </w:r>
          </w:p>
        </w:tc>
        <w:tc>
          <w:tcPr>
            <w:tcW w:w="1411" w:type="dxa"/>
            <w:tcBorders>
              <w:top w:val="nil"/>
              <w:left w:val="single" w:sz="4" w:space="0" w:color="auto"/>
              <w:bottom w:val="nil"/>
              <w:right w:val="nil"/>
            </w:tcBorders>
            <w:shd w:val="clear" w:color="auto" w:fill="auto"/>
            <w:noWrap/>
            <w:vAlign w:val="center"/>
            <w:hideMark/>
          </w:tcPr>
          <w:p w14:paraId="2492CCF0" w14:textId="77777777" w:rsidR="00387142" w:rsidRPr="008B6A75" w:rsidRDefault="00387142" w:rsidP="00387142">
            <w:pPr>
              <w:jc w:val="center"/>
              <w:rPr>
                <w:bCs/>
                <w:sz w:val="20"/>
                <w:szCs w:val="20"/>
              </w:rPr>
            </w:pPr>
            <w:r w:rsidRPr="008B6A75">
              <w:rPr>
                <w:bCs/>
                <w:sz w:val="20"/>
                <w:szCs w:val="20"/>
              </w:rPr>
              <w:t>07.4.00.70510</w:t>
            </w:r>
          </w:p>
        </w:tc>
        <w:tc>
          <w:tcPr>
            <w:tcW w:w="955" w:type="dxa"/>
            <w:tcBorders>
              <w:top w:val="nil"/>
              <w:left w:val="single" w:sz="4" w:space="0" w:color="auto"/>
              <w:bottom w:val="nil"/>
              <w:right w:val="single" w:sz="4" w:space="0" w:color="auto"/>
            </w:tcBorders>
            <w:shd w:val="clear" w:color="auto" w:fill="auto"/>
            <w:noWrap/>
            <w:vAlign w:val="center"/>
            <w:hideMark/>
          </w:tcPr>
          <w:p w14:paraId="2ECCDC78"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nil"/>
              <w:right w:val="single" w:sz="4" w:space="0" w:color="auto"/>
            </w:tcBorders>
            <w:shd w:val="clear" w:color="auto" w:fill="auto"/>
            <w:noWrap/>
            <w:vAlign w:val="center"/>
            <w:hideMark/>
          </w:tcPr>
          <w:p w14:paraId="0432B3CD" w14:textId="77777777" w:rsidR="00387142" w:rsidRPr="008B6A75" w:rsidRDefault="00387142" w:rsidP="00387142">
            <w:pPr>
              <w:jc w:val="right"/>
              <w:rPr>
                <w:bCs/>
                <w:sz w:val="20"/>
                <w:szCs w:val="20"/>
              </w:rPr>
            </w:pPr>
            <w:r w:rsidRPr="008B6A75">
              <w:rPr>
                <w:bCs/>
                <w:sz w:val="20"/>
                <w:szCs w:val="20"/>
              </w:rPr>
              <w:t>216 451,06</w:t>
            </w:r>
          </w:p>
        </w:tc>
        <w:tc>
          <w:tcPr>
            <w:tcW w:w="992" w:type="dxa"/>
            <w:gridSpan w:val="2"/>
            <w:tcBorders>
              <w:top w:val="nil"/>
              <w:left w:val="single" w:sz="4" w:space="0" w:color="auto"/>
              <w:bottom w:val="nil"/>
              <w:right w:val="nil"/>
            </w:tcBorders>
            <w:shd w:val="clear" w:color="auto" w:fill="auto"/>
            <w:noWrap/>
            <w:vAlign w:val="center"/>
            <w:hideMark/>
          </w:tcPr>
          <w:p w14:paraId="28286889" w14:textId="77777777" w:rsidR="00387142" w:rsidRPr="008B6A75" w:rsidRDefault="00387142" w:rsidP="00387142">
            <w:pPr>
              <w:jc w:val="right"/>
              <w:rPr>
                <w:bCs/>
                <w:sz w:val="20"/>
                <w:szCs w:val="20"/>
              </w:rPr>
            </w:pPr>
            <w:r w:rsidRPr="008B6A75">
              <w:rPr>
                <w:bCs/>
                <w:sz w:val="20"/>
                <w:szCs w:val="20"/>
              </w:rPr>
              <w:t>0,00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313F17ED" w14:textId="77777777" w:rsidR="00387142" w:rsidRPr="008B6A75" w:rsidRDefault="00387142" w:rsidP="00387142">
            <w:pPr>
              <w:jc w:val="right"/>
              <w:rPr>
                <w:bCs/>
                <w:sz w:val="20"/>
                <w:szCs w:val="20"/>
              </w:rPr>
            </w:pPr>
            <w:r w:rsidRPr="008B6A75">
              <w:rPr>
                <w:bCs/>
                <w:sz w:val="20"/>
                <w:szCs w:val="20"/>
              </w:rPr>
              <w:t>0,00</w:t>
            </w:r>
          </w:p>
        </w:tc>
        <w:tc>
          <w:tcPr>
            <w:tcW w:w="222" w:type="dxa"/>
            <w:vAlign w:val="center"/>
            <w:hideMark/>
          </w:tcPr>
          <w:p w14:paraId="5C85B5DD" w14:textId="77777777" w:rsidR="00387142" w:rsidRPr="008B6A75" w:rsidRDefault="00387142" w:rsidP="00387142">
            <w:pPr>
              <w:rPr>
                <w:sz w:val="20"/>
                <w:szCs w:val="20"/>
              </w:rPr>
            </w:pPr>
          </w:p>
        </w:tc>
      </w:tr>
      <w:tr w:rsidR="00387142" w:rsidRPr="008B6A75" w14:paraId="54847A55" w14:textId="77777777" w:rsidTr="00387142">
        <w:trPr>
          <w:trHeight w:val="870"/>
        </w:trPr>
        <w:tc>
          <w:tcPr>
            <w:tcW w:w="3021" w:type="dxa"/>
            <w:tcBorders>
              <w:top w:val="single" w:sz="4" w:space="0" w:color="auto"/>
              <w:left w:val="single" w:sz="4" w:space="0" w:color="auto"/>
              <w:bottom w:val="nil"/>
              <w:right w:val="nil"/>
            </w:tcBorders>
            <w:shd w:val="clear" w:color="auto" w:fill="auto"/>
            <w:vAlign w:val="center"/>
            <w:hideMark/>
          </w:tcPr>
          <w:p w14:paraId="3624FBCC" w14:textId="77777777" w:rsidR="00387142" w:rsidRPr="008B6A75" w:rsidRDefault="00387142" w:rsidP="00387142">
            <w:pPr>
              <w:rPr>
                <w:sz w:val="20"/>
                <w:szCs w:val="20"/>
              </w:rPr>
            </w:pPr>
            <w:r w:rsidRPr="008B6A75">
              <w:rPr>
                <w:sz w:val="20"/>
                <w:szCs w:val="20"/>
              </w:rPr>
              <w:t>Предоставление субсидий бюджетным, автономным учреждениям и иным некоммерческим организациям</w:t>
            </w:r>
          </w:p>
        </w:tc>
        <w:tc>
          <w:tcPr>
            <w:tcW w:w="850" w:type="dxa"/>
            <w:tcBorders>
              <w:top w:val="single" w:sz="4" w:space="0" w:color="auto"/>
              <w:left w:val="single" w:sz="4" w:space="0" w:color="auto"/>
              <w:bottom w:val="nil"/>
              <w:right w:val="nil"/>
            </w:tcBorders>
            <w:shd w:val="clear" w:color="auto" w:fill="auto"/>
            <w:noWrap/>
            <w:vAlign w:val="center"/>
            <w:hideMark/>
          </w:tcPr>
          <w:p w14:paraId="43DC7FF9" w14:textId="77777777" w:rsidR="00387142" w:rsidRPr="008B6A75" w:rsidRDefault="00387142" w:rsidP="00387142">
            <w:pPr>
              <w:jc w:val="center"/>
              <w:rPr>
                <w:sz w:val="20"/>
                <w:szCs w:val="20"/>
              </w:rPr>
            </w:pPr>
            <w:r w:rsidRPr="008B6A75">
              <w:rPr>
                <w:sz w:val="20"/>
                <w:szCs w:val="20"/>
              </w:rPr>
              <w:t>444</w:t>
            </w:r>
          </w:p>
        </w:tc>
        <w:tc>
          <w:tcPr>
            <w:tcW w:w="709" w:type="dxa"/>
            <w:tcBorders>
              <w:top w:val="single" w:sz="4" w:space="0" w:color="auto"/>
              <w:left w:val="single" w:sz="4" w:space="0" w:color="auto"/>
              <w:bottom w:val="nil"/>
              <w:right w:val="nil"/>
            </w:tcBorders>
            <w:shd w:val="clear" w:color="auto" w:fill="auto"/>
            <w:noWrap/>
            <w:vAlign w:val="center"/>
            <w:hideMark/>
          </w:tcPr>
          <w:p w14:paraId="7D265C81" w14:textId="77777777" w:rsidR="00387142" w:rsidRPr="008B6A75" w:rsidRDefault="00387142" w:rsidP="00387142">
            <w:pPr>
              <w:jc w:val="center"/>
              <w:rPr>
                <w:sz w:val="20"/>
                <w:szCs w:val="20"/>
              </w:rPr>
            </w:pPr>
            <w:r w:rsidRPr="008B6A75">
              <w:rPr>
                <w:sz w:val="20"/>
                <w:szCs w:val="20"/>
              </w:rPr>
              <w:t>07</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43B7B407" w14:textId="77777777" w:rsidR="00387142" w:rsidRPr="008B6A75" w:rsidRDefault="00387142" w:rsidP="00387142">
            <w:pPr>
              <w:jc w:val="center"/>
              <w:rPr>
                <w:sz w:val="20"/>
                <w:szCs w:val="20"/>
              </w:rPr>
            </w:pPr>
            <w:r w:rsidRPr="008B6A75">
              <w:rPr>
                <w:sz w:val="20"/>
                <w:szCs w:val="20"/>
              </w:rPr>
              <w:t>07</w:t>
            </w:r>
          </w:p>
        </w:tc>
        <w:tc>
          <w:tcPr>
            <w:tcW w:w="1411" w:type="dxa"/>
            <w:tcBorders>
              <w:top w:val="single" w:sz="4" w:space="0" w:color="auto"/>
              <w:left w:val="single" w:sz="4" w:space="0" w:color="auto"/>
              <w:bottom w:val="nil"/>
              <w:right w:val="nil"/>
            </w:tcBorders>
            <w:shd w:val="clear" w:color="auto" w:fill="auto"/>
            <w:noWrap/>
            <w:vAlign w:val="center"/>
            <w:hideMark/>
          </w:tcPr>
          <w:p w14:paraId="7982516C" w14:textId="77777777" w:rsidR="00387142" w:rsidRPr="008B6A75" w:rsidRDefault="00387142" w:rsidP="00387142">
            <w:pPr>
              <w:jc w:val="center"/>
              <w:rPr>
                <w:sz w:val="20"/>
                <w:szCs w:val="20"/>
              </w:rPr>
            </w:pPr>
            <w:r w:rsidRPr="008B6A75">
              <w:rPr>
                <w:sz w:val="20"/>
                <w:szCs w:val="20"/>
              </w:rPr>
              <w:t>07.4.00.70510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177A971F" w14:textId="77777777" w:rsidR="00387142" w:rsidRPr="008B6A75" w:rsidRDefault="00387142" w:rsidP="00387142">
            <w:pPr>
              <w:jc w:val="center"/>
              <w:rPr>
                <w:sz w:val="20"/>
                <w:szCs w:val="20"/>
              </w:rPr>
            </w:pPr>
            <w:r w:rsidRPr="008B6A75">
              <w:rPr>
                <w:sz w:val="20"/>
                <w:szCs w:val="20"/>
              </w:rPr>
              <w:t>600</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55042F8A" w14:textId="77777777" w:rsidR="00387142" w:rsidRPr="008B6A75" w:rsidRDefault="00387142" w:rsidP="00387142">
            <w:pPr>
              <w:jc w:val="right"/>
              <w:rPr>
                <w:sz w:val="20"/>
                <w:szCs w:val="20"/>
              </w:rPr>
            </w:pPr>
            <w:r w:rsidRPr="008B6A75">
              <w:rPr>
                <w:sz w:val="20"/>
                <w:szCs w:val="20"/>
              </w:rPr>
              <w:t>216 451,06</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1CA0B294" w14:textId="77777777" w:rsidR="00387142" w:rsidRPr="008B6A75" w:rsidRDefault="00387142" w:rsidP="00387142">
            <w:pPr>
              <w:jc w:val="right"/>
              <w:rPr>
                <w:sz w:val="20"/>
                <w:szCs w:val="20"/>
              </w:rPr>
            </w:pPr>
            <w:r w:rsidRPr="008B6A75">
              <w:rPr>
                <w:sz w:val="20"/>
                <w:szCs w:val="20"/>
              </w:rPr>
              <w:t>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5BEF8B64" w14:textId="77777777" w:rsidR="00387142" w:rsidRPr="008B6A75" w:rsidRDefault="00387142" w:rsidP="00387142">
            <w:pPr>
              <w:jc w:val="right"/>
              <w:rPr>
                <w:sz w:val="20"/>
                <w:szCs w:val="20"/>
              </w:rPr>
            </w:pPr>
            <w:r w:rsidRPr="008B6A75">
              <w:rPr>
                <w:sz w:val="20"/>
                <w:szCs w:val="20"/>
              </w:rPr>
              <w:t>0,00</w:t>
            </w:r>
          </w:p>
        </w:tc>
        <w:tc>
          <w:tcPr>
            <w:tcW w:w="222" w:type="dxa"/>
            <w:vAlign w:val="center"/>
            <w:hideMark/>
          </w:tcPr>
          <w:p w14:paraId="0FC35AF1" w14:textId="77777777" w:rsidR="00387142" w:rsidRPr="008B6A75" w:rsidRDefault="00387142" w:rsidP="00387142">
            <w:pPr>
              <w:rPr>
                <w:sz w:val="20"/>
                <w:szCs w:val="20"/>
              </w:rPr>
            </w:pPr>
          </w:p>
        </w:tc>
      </w:tr>
      <w:tr w:rsidR="00387142" w:rsidRPr="008B6A75" w14:paraId="780F9247" w14:textId="77777777" w:rsidTr="00387142">
        <w:trPr>
          <w:trHeight w:val="300"/>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79560437" w14:textId="77777777" w:rsidR="00387142" w:rsidRPr="008B6A75" w:rsidRDefault="00387142" w:rsidP="00387142">
            <w:pPr>
              <w:rPr>
                <w:sz w:val="20"/>
                <w:szCs w:val="20"/>
              </w:rPr>
            </w:pPr>
            <w:r w:rsidRPr="008B6A75">
              <w:rPr>
                <w:sz w:val="20"/>
                <w:szCs w:val="20"/>
              </w:rPr>
              <w:t>Субсидии бюджетным учреждениям</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73EC9D0D" w14:textId="77777777" w:rsidR="00387142" w:rsidRPr="008B6A75" w:rsidRDefault="00387142" w:rsidP="00387142">
            <w:pPr>
              <w:jc w:val="center"/>
              <w:rPr>
                <w:sz w:val="20"/>
                <w:szCs w:val="20"/>
              </w:rPr>
            </w:pPr>
            <w:r w:rsidRPr="008B6A75">
              <w:rPr>
                <w:sz w:val="20"/>
                <w:szCs w:val="20"/>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5751EB4A" w14:textId="77777777" w:rsidR="00387142" w:rsidRPr="008B6A75" w:rsidRDefault="00387142" w:rsidP="00387142">
            <w:pPr>
              <w:jc w:val="center"/>
              <w:rPr>
                <w:sz w:val="20"/>
                <w:szCs w:val="20"/>
              </w:rPr>
            </w:pPr>
            <w:r w:rsidRPr="008B6A75">
              <w:rPr>
                <w:sz w:val="20"/>
                <w:szCs w:val="20"/>
              </w:rPr>
              <w:t>07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BC618D" w14:textId="77777777" w:rsidR="00387142" w:rsidRPr="008B6A75" w:rsidRDefault="00387142" w:rsidP="00387142">
            <w:pPr>
              <w:jc w:val="center"/>
              <w:rPr>
                <w:sz w:val="20"/>
                <w:szCs w:val="20"/>
              </w:rPr>
            </w:pPr>
            <w:r w:rsidRPr="008B6A75">
              <w:rPr>
                <w:sz w:val="20"/>
                <w:szCs w:val="20"/>
              </w:rPr>
              <w:t>07</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61F75F19" w14:textId="77777777" w:rsidR="00387142" w:rsidRPr="008B6A75" w:rsidRDefault="00387142" w:rsidP="00387142">
            <w:pPr>
              <w:jc w:val="center"/>
              <w:rPr>
                <w:sz w:val="20"/>
                <w:szCs w:val="20"/>
              </w:rPr>
            </w:pPr>
            <w:r w:rsidRPr="008B6A75">
              <w:rPr>
                <w:sz w:val="20"/>
                <w:szCs w:val="20"/>
              </w:rPr>
              <w:t>07.4.00.70510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082C1A" w14:textId="77777777" w:rsidR="00387142" w:rsidRPr="008B6A75" w:rsidRDefault="00387142" w:rsidP="00387142">
            <w:pPr>
              <w:jc w:val="center"/>
              <w:rPr>
                <w:sz w:val="20"/>
                <w:szCs w:val="20"/>
              </w:rPr>
            </w:pPr>
            <w:r w:rsidRPr="008B6A75">
              <w:rPr>
                <w:sz w:val="20"/>
                <w:szCs w:val="20"/>
              </w:rPr>
              <w:t>610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90E279" w14:textId="77777777" w:rsidR="00387142" w:rsidRPr="008B6A75" w:rsidRDefault="00387142" w:rsidP="00387142">
            <w:pPr>
              <w:jc w:val="right"/>
              <w:rPr>
                <w:sz w:val="20"/>
                <w:szCs w:val="20"/>
              </w:rPr>
            </w:pPr>
            <w:r w:rsidRPr="008B6A75">
              <w:rPr>
                <w:sz w:val="20"/>
                <w:szCs w:val="20"/>
              </w:rPr>
              <w:t>216 451,06</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0F4D0D8F" w14:textId="77777777" w:rsidR="00387142" w:rsidRPr="008B6A75" w:rsidRDefault="00387142" w:rsidP="00387142">
            <w:pPr>
              <w:jc w:val="right"/>
              <w:rPr>
                <w:sz w:val="20"/>
                <w:szCs w:val="20"/>
              </w:rPr>
            </w:pPr>
            <w:r w:rsidRPr="008B6A75">
              <w:rPr>
                <w:sz w:val="20"/>
                <w:szCs w:val="20"/>
              </w:rPr>
              <w:t>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0DD302" w14:textId="77777777" w:rsidR="00387142" w:rsidRPr="008B6A75" w:rsidRDefault="00387142" w:rsidP="00387142">
            <w:pPr>
              <w:jc w:val="right"/>
              <w:rPr>
                <w:sz w:val="20"/>
                <w:szCs w:val="20"/>
              </w:rPr>
            </w:pPr>
            <w:r w:rsidRPr="008B6A75">
              <w:rPr>
                <w:sz w:val="20"/>
                <w:szCs w:val="20"/>
              </w:rPr>
              <w:t>0,00</w:t>
            </w:r>
          </w:p>
        </w:tc>
        <w:tc>
          <w:tcPr>
            <w:tcW w:w="222" w:type="dxa"/>
            <w:vAlign w:val="center"/>
            <w:hideMark/>
          </w:tcPr>
          <w:p w14:paraId="1F64C613" w14:textId="77777777" w:rsidR="00387142" w:rsidRPr="008B6A75" w:rsidRDefault="00387142" w:rsidP="00387142">
            <w:pPr>
              <w:rPr>
                <w:sz w:val="20"/>
                <w:szCs w:val="20"/>
              </w:rPr>
            </w:pPr>
          </w:p>
        </w:tc>
      </w:tr>
      <w:tr w:rsidR="00387142" w:rsidRPr="008B6A75" w14:paraId="282D5E6D" w14:textId="77777777" w:rsidTr="00387142">
        <w:trPr>
          <w:trHeight w:val="870"/>
        </w:trPr>
        <w:tc>
          <w:tcPr>
            <w:tcW w:w="3021" w:type="dxa"/>
            <w:tcBorders>
              <w:top w:val="nil"/>
              <w:left w:val="single" w:sz="4" w:space="0" w:color="auto"/>
              <w:bottom w:val="nil"/>
              <w:right w:val="nil"/>
            </w:tcBorders>
            <w:shd w:val="clear" w:color="auto" w:fill="auto"/>
            <w:vAlign w:val="center"/>
            <w:hideMark/>
          </w:tcPr>
          <w:p w14:paraId="086BA3A9" w14:textId="77777777" w:rsidR="00387142" w:rsidRPr="008B6A75" w:rsidRDefault="00387142" w:rsidP="00387142">
            <w:pPr>
              <w:rPr>
                <w:bCs/>
                <w:sz w:val="20"/>
                <w:szCs w:val="20"/>
              </w:rPr>
            </w:pPr>
            <w:r w:rsidRPr="008B6A75">
              <w:rPr>
                <w:bCs/>
                <w:sz w:val="20"/>
                <w:szCs w:val="20"/>
              </w:rPr>
              <w:t>Реализация мероприятий подпрограммы "Организация отдыха и оздоровления детей и подростков"</w:t>
            </w:r>
          </w:p>
        </w:tc>
        <w:tc>
          <w:tcPr>
            <w:tcW w:w="850" w:type="dxa"/>
            <w:tcBorders>
              <w:top w:val="nil"/>
              <w:left w:val="single" w:sz="4" w:space="0" w:color="auto"/>
              <w:bottom w:val="nil"/>
              <w:right w:val="nil"/>
            </w:tcBorders>
            <w:shd w:val="clear" w:color="auto" w:fill="auto"/>
            <w:noWrap/>
            <w:vAlign w:val="center"/>
            <w:hideMark/>
          </w:tcPr>
          <w:p w14:paraId="2472333C" w14:textId="77777777" w:rsidR="00387142" w:rsidRPr="008B6A75" w:rsidRDefault="00387142" w:rsidP="00387142">
            <w:pPr>
              <w:jc w:val="center"/>
              <w:rPr>
                <w:bCs/>
                <w:sz w:val="20"/>
                <w:szCs w:val="20"/>
              </w:rPr>
            </w:pPr>
            <w:r w:rsidRPr="008B6A75">
              <w:rPr>
                <w:bCs/>
                <w:sz w:val="20"/>
                <w:szCs w:val="20"/>
              </w:rPr>
              <w:t>444</w:t>
            </w:r>
          </w:p>
        </w:tc>
        <w:tc>
          <w:tcPr>
            <w:tcW w:w="709" w:type="dxa"/>
            <w:tcBorders>
              <w:top w:val="nil"/>
              <w:left w:val="single" w:sz="4" w:space="0" w:color="auto"/>
              <w:bottom w:val="nil"/>
              <w:right w:val="nil"/>
            </w:tcBorders>
            <w:shd w:val="clear" w:color="auto" w:fill="auto"/>
            <w:noWrap/>
            <w:vAlign w:val="center"/>
            <w:hideMark/>
          </w:tcPr>
          <w:p w14:paraId="4C24380C" w14:textId="77777777" w:rsidR="00387142" w:rsidRPr="008B6A75" w:rsidRDefault="00387142" w:rsidP="00387142">
            <w:pPr>
              <w:jc w:val="center"/>
              <w:rPr>
                <w:bCs/>
                <w:sz w:val="20"/>
                <w:szCs w:val="20"/>
              </w:rPr>
            </w:pPr>
            <w:r w:rsidRPr="008B6A75">
              <w:rPr>
                <w:bCs/>
                <w:sz w:val="20"/>
                <w:szCs w:val="20"/>
              </w:rPr>
              <w:t>07</w:t>
            </w:r>
          </w:p>
        </w:tc>
        <w:tc>
          <w:tcPr>
            <w:tcW w:w="709" w:type="dxa"/>
            <w:tcBorders>
              <w:top w:val="nil"/>
              <w:left w:val="single" w:sz="4" w:space="0" w:color="auto"/>
              <w:bottom w:val="nil"/>
              <w:right w:val="single" w:sz="4" w:space="0" w:color="auto"/>
            </w:tcBorders>
            <w:shd w:val="clear" w:color="auto" w:fill="auto"/>
            <w:noWrap/>
            <w:vAlign w:val="center"/>
            <w:hideMark/>
          </w:tcPr>
          <w:p w14:paraId="2487077E" w14:textId="77777777" w:rsidR="00387142" w:rsidRPr="008B6A75" w:rsidRDefault="00387142" w:rsidP="00387142">
            <w:pPr>
              <w:jc w:val="center"/>
              <w:rPr>
                <w:bCs/>
                <w:sz w:val="20"/>
                <w:szCs w:val="20"/>
              </w:rPr>
            </w:pPr>
            <w:r w:rsidRPr="008B6A75">
              <w:rPr>
                <w:bCs/>
                <w:sz w:val="20"/>
                <w:szCs w:val="20"/>
              </w:rPr>
              <w:t>07</w:t>
            </w:r>
          </w:p>
        </w:tc>
        <w:tc>
          <w:tcPr>
            <w:tcW w:w="1411" w:type="dxa"/>
            <w:tcBorders>
              <w:top w:val="nil"/>
              <w:left w:val="single" w:sz="4" w:space="0" w:color="auto"/>
              <w:bottom w:val="nil"/>
              <w:right w:val="nil"/>
            </w:tcBorders>
            <w:shd w:val="clear" w:color="auto" w:fill="auto"/>
            <w:noWrap/>
            <w:vAlign w:val="center"/>
            <w:hideMark/>
          </w:tcPr>
          <w:p w14:paraId="6B372C29" w14:textId="77777777" w:rsidR="00387142" w:rsidRPr="008B6A75" w:rsidRDefault="00387142" w:rsidP="00387142">
            <w:pPr>
              <w:jc w:val="center"/>
              <w:rPr>
                <w:bCs/>
                <w:sz w:val="20"/>
                <w:szCs w:val="20"/>
              </w:rPr>
            </w:pPr>
            <w:r w:rsidRPr="008B6A75">
              <w:rPr>
                <w:bCs/>
                <w:sz w:val="20"/>
                <w:szCs w:val="20"/>
              </w:rPr>
              <w:t>07.4.00.79500</w:t>
            </w:r>
          </w:p>
        </w:tc>
        <w:tc>
          <w:tcPr>
            <w:tcW w:w="955" w:type="dxa"/>
            <w:tcBorders>
              <w:top w:val="nil"/>
              <w:left w:val="single" w:sz="4" w:space="0" w:color="auto"/>
              <w:bottom w:val="nil"/>
              <w:right w:val="single" w:sz="4" w:space="0" w:color="auto"/>
            </w:tcBorders>
            <w:shd w:val="clear" w:color="auto" w:fill="auto"/>
            <w:noWrap/>
            <w:vAlign w:val="center"/>
            <w:hideMark/>
          </w:tcPr>
          <w:p w14:paraId="3EA6145C"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nil"/>
              <w:right w:val="single" w:sz="4" w:space="0" w:color="auto"/>
            </w:tcBorders>
            <w:shd w:val="clear" w:color="auto" w:fill="auto"/>
            <w:noWrap/>
            <w:vAlign w:val="center"/>
            <w:hideMark/>
          </w:tcPr>
          <w:p w14:paraId="0467E3D1" w14:textId="77777777" w:rsidR="00387142" w:rsidRPr="008B6A75" w:rsidRDefault="00387142" w:rsidP="00387142">
            <w:pPr>
              <w:jc w:val="right"/>
              <w:rPr>
                <w:bCs/>
                <w:sz w:val="20"/>
                <w:szCs w:val="20"/>
              </w:rPr>
            </w:pPr>
            <w:r w:rsidRPr="008B6A75">
              <w:rPr>
                <w:bCs/>
                <w:sz w:val="20"/>
                <w:szCs w:val="20"/>
              </w:rPr>
              <w:t>1 832 642,80</w:t>
            </w:r>
          </w:p>
        </w:tc>
        <w:tc>
          <w:tcPr>
            <w:tcW w:w="992" w:type="dxa"/>
            <w:gridSpan w:val="2"/>
            <w:tcBorders>
              <w:top w:val="nil"/>
              <w:left w:val="single" w:sz="4" w:space="0" w:color="auto"/>
              <w:bottom w:val="nil"/>
              <w:right w:val="nil"/>
            </w:tcBorders>
            <w:shd w:val="clear" w:color="auto" w:fill="auto"/>
            <w:noWrap/>
            <w:vAlign w:val="center"/>
            <w:hideMark/>
          </w:tcPr>
          <w:p w14:paraId="209B8CF7" w14:textId="77777777" w:rsidR="00387142" w:rsidRPr="008B6A75" w:rsidRDefault="00387142" w:rsidP="00387142">
            <w:pPr>
              <w:jc w:val="right"/>
              <w:rPr>
                <w:bCs/>
                <w:sz w:val="20"/>
                <w:szCs w:val="20"/>
              </w:rPr>
            </w:pPr>
            <w:r w:rsidRPr="008B6A75">
              <w:rPr>
                <w:bCs/>
                <w:sz w:val="20"/>
                <w:szCs w:val="20"/>
              </w:rPr>
              <w:t>0,00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0A7B9083" w14:textId="77777777" w:rsidR="00387142" w:rsidRPr="008B6A75" w:rsidRDefault="00387142" w:rsidP="00387142">
            <w:pPr>
              <w:jc w:val="right"/>
              <w:rPr>
                <w:bCs/>
                <w:sz w:val="20"/>
                <w:szCs w:val="20"/>
              </w:rPr>
            </w:pPr>
            <w:r w:rsidRPr="008B6A75">
              <w:rPr>
                <w:bCs/>
                <w:sz w:val="20"/>
                <w:szCs w:val="20"/>
              </w:rPr>
              <w:t>0,00</w:t>
            </w:r>
          </w:p>
        </w:tc>
        <w:tc>
          <w:tcPr>
            <w:tcW w:w="222" w:type="dxa"/>
            <w:vAlign w:val="center"/>
            <w:hideMark/>
          </w:tcPr>
          <w:p w14:paraId="4163AE95" w14:textId="77777777" w:rsidR="00387142" w:rsidRPr="008B6A75" w:rsidRDefault="00387142" w:rsidP="00387142">
            <w:pPr>
              <w:rPr>
                <w:sz w:val="20"/>
                <w:szCs w:val="20"/>
              </w:rPr>
            </w:pPr>
          </w:p>
        </w:tc>
      </w:tr>
      <w:tr w:rsidR="00387142" w:rsidRPr="008B6A75" w14:paraId="2A2776E5" w14:textId="77777777" w:rsidTr="00387142">
        <w:trPr>
          <w:trHeight w:val="870"/>
        </w:trPr>
        <w:tc>
          <w:tcPr>
            <w:tcW w:w="3021" w:type="dxa"/>
            <w:tcBorders>
              <w:top w:val="single" w:sz="4" w:space="0" w:color="auto"/>
              <w:left w:val="single" w:sz="4" w:space="0" w:color="auto"/>
              <w:bottom w:val="nil"/>
              <w:right w:val="nil"/>
            </w:tcBorders>
            <w:shd w:val="clear" w:color="auto" w:fill="auto"/>
            <w:vAlign w:val="center"/>
            <w:hideMark/>
          </w:tcPr>
          <w:p w14:paraId="6F8C3C55" w14:textId="77777777" w:rsidR="00387142" w:rsidRPr="008B6A75" w:rsidRDefault="00387142" w:rsidP="00387142">
            <w:pPr>
              <w:rPr>
                <w:sz w:val="20"/>
                <w:szCs w:val="20"/>
              </w:rPr>
            </w:pPr>
            <w:r w:rsidRPr="008B6A75">
              <w:rPr>
                <w:sz w:val="20"/>
                <w:szCs w:val="20"/>
              </w:rPr>
              <w:t>Предоставление субсидий бюджетным, автономным учреждениям и иным некоммерческим организациям</w:t>
            </w:r>
          </w:p>
        </w:tc>
        <w:tc>
          <w:tcPr>
            <w:tcW w:w="850" w:type="dxa"/>
            <w:tcBorders>
              <w:top w:val="single" w:sz="4" w:space="0" w:color="auto"/>
              <w:left w:val="single" w:sz="4" w:space="0" w:color="auto"/>
              <w:bottom w:val="nil"/>
              <w:right w:val="nil"/>
            </w:tcBorders>
            <w:shd w:val="clear" w:color="auto" w:fill="auto"/>
            <w:noWrap/>
            <w:vAlign w:val="center"/>
            <w:hideMark/>
          </w:tcPr>
          <w:p w14:paraId="71F386AE" w14:textId="77777777" w:rsidR="00387142" w:rsidRPr="008B6A75" w:rsidRDefault="00387142" w:rsidP="00387142">
            <w:pPr>
              <w:jc w:val="center"/>
              <w:rPr>
                <w:sz w:val="20"/>
                <w:szCs w:val="20"/>
              </w:rPr>
            </w:pPr>
            <w:r w:rsidRPr="008B6A75">
              <w:rPr>
                <w:sz w:val="20"/>
                <w:szCs w:val="20"/>
              </w:rPr>
              <w:t>444</w:t>
            </w:r>
          </w:p>
        </w:tc>
        <w:tc>
          <w:tcPr>
            <w:tcW w:w="709" w:type="dxa"/>
            <w:tcBorders>
              <w:top w:val="single" w:sz="4" w:space="0" w:color="auto"/>
              <w:left w:val="single" w:sz="4" w:space="0" w:color="auto"/>
              <w:bottom w:val="nil"/>
              <w:right w:val="nil"/>
            </w:tcBorders>
            <w:shd w:val="clear" w:color="auto" w:fill="auto"/>
            <w:noWrap/>
            <w:vAlign w:val="center"/>
            <w:hideMark/>
          </w:tcPr>
          <w:p w14:paraId="2682C084" w14:textId="77777777" w:rsidR="00387142" w:rsidRPr="008B6A75" w:rsidRDefault="00387142" w:rsidP="00387142">
            <w:pPr>
              <w:jc w:val="center"/>
              <w:rPr>
                <w:sz w:val="20"/>
                <w:szCs w:val="20"/>
              </w:rPr>
            </w:pPr>
            <w:r w:rsidRPr="008B6A75">
              <w:rPr>
                <w:sz w:val="20"/>
                <w:szCs w:val="20"/>
              </w:rPr>
              <w:t>07</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012052D0" w14:textId="77777777" w:rsidR="00387142" w:rsidRPr="008B6A75" w:rsidRDefault="00387142" w:rsidP="00387142">
            <w:pPr>
              <w:jc w:val="center"/>
              <w:rPr>
                <w:sz w:val="20"/>
                <w:szCs w:val="20"/>
              </w:rPr>
            </w:pPr>
            <w:r w:rsidRPr="008B6A75">
              <w:rPr>
                <w:sz w:val="20"/>
                <w:szCs w:val="20"/>
              </w:rPr>
              <w:t>07</w:t>
            </w:r>
          </w:p>
        </w:tc>
        <w:tc>
          <w:tcPr>
            <w:tcW w:w="1411" w:type="dxa"/>
            <w:tcBorders>
              <w:top w:val="single" w:sz="4" w:space="0" w:color="auto"/>
              <w:left w:val="single" w:sz="4" w:space="0" w:color="auto"/>
              <w:bottom w:val="nil"/>
              <w:right w:val="nil"/>
            </w:tcBorders>
            <w:shd w:val="clear" w:color="auto" w:fill="auto"/>
            <w:noWrap/>
            <w:vAlign w:val="center"/>
            <w:hideMark/>
          </w:tcPr>
          <w:p w14:paraId="50159448" w14:textId="77777777" w:rsidR="00387142" w:rsidRPr="008B6A75" w:rsidRDefault="00387142" w:rsidP="00387142">
            <w:pPr>
              <w:jc w:val="center"/>
              <w:rPr>
                <w:sz w:val="20"/>
                <w:szCs w:val="20"/>
              </w:rPr>
            </w:pPr>
            <w:r w:rsidRPr="008B6A75">
              <w:rPr>
                <w:sz w:val="20"/>
                <w:szCs w:val="20"/>
              </w:rPr>
              <w:t>07.4.00.79500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66E67A21" w14:textId="77777777" w:rsidR="00387142" w:rsidRPr="008B6A75" w:rsidRDefault="00387142" w:rsidP="00387142">
            <w:pPr>
              <w:jc w:val="center"/>
              <w:rPr>
                <w:sz w:val="20"/>
                <w:szCs w:val="20"/>
              </w:rPr>
            </w:pPr>
            <w:r w:rsidRPr="008B6A75">
              <w:rPr>
                <w:sz w:val="20"/>
                <w:szCs w:val="20"/>
              </w:rPr>
              <w:t>600</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32E81F7A" w14:textId="77777777" w:rsidR="00387142" w:rsidRPr="008B6A75" w:rsidRDefault="00387142" w:rsidP="00387142">
            <w:pPr>
              <w:jc w:val="right"/>
              <w:rPr>
                <w:sz w:val="20"/>
                <w:szCs w:val="20"/>
              </w:rPr>
            </w:pPr>
            <w:r w:rsidRPr="008B6A75">
              <w:rPr>
                <w:sz w:val="20"/>
                <w:szCs w:val="20"/>
              </w:rPr>
              <w:t>1 832 642,80</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0E0C5CD8" w14:textId="77777777" w:rsidR="00387142" w:rsidRPr="008B6A75" w:rsidRDefault="00387142" w:rsidP="00387142">
            <w:pPr>
              <w:jc w:val="right"/>
              <w:rPr>
                <w:sz w:val="20"/>
                <w:szCs w:val="20"/>
              </w:rPr>
            </w:pPr>
            <w:r w:rsidRPr="008B6A75">
              <w:rPr>
                <w:sz w:val="20"/>
                <w:szCs w:val="20"/>
              </w:rPr>
              <w:t>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0B5295ED" w14:textId="77777777" w:rsidR="00387142" w:rsidRPr="008B6A75" w:rsidRDefault="00387142" w:rsidP="00387142">
            <w:pPr>
              <w:jc w:val="right"/>
              <w:rPr>
                <w:sz w:val="20"/>
                <w:szCs w:val="20"/>
              </w:rPr>
            </w:pPr>
            <w:r w:rsidRPr="008B6A75">
              <w:rPr>
                <w:sz w:val="20"/>
                <w:szCs w:val="20"/>
              </w:rPr>
              <w:t>0,00</w:t>
            </w:r>
          </w:p>
        </w:tc>
        <w:tc>
          <w:tcPr>
            <w:tcW w:w="222" w:type="dxa"/>
            <w:vAlign w:val="center"/>
            <w:hideMark/>
          </w:tcPr>
          <w:p w14:paraId="7A4E5533" w14:textId="77777777" w:rsidR="00387142" w:rsidRPr="008B6A75" w:rsidRDefault="00387142" w:rsidP="00387142">
            <w:pPr>
              <w:rPr>
                <w:sz w:val="20"/>
                <w:szCs w:val="20"/>
              </w:rPr>
            </w:pPr>
          </w:p>
        </w:tc>
      </w:tr>
      <w:tr w:rsidR="00387142" w:rsidRPr="008B6A75" w14:paraId="28038F79" w14:textId="77777777" w:rsidTr="00387142">
        <w:trPr>
          <w:trHeight w:val="300"/>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47090249" w14:textId="77777777" w:rsidR="00387142" w:rsidRPr="008B6A75" w:rsidRDefault="00387142" w:rsidP="00387142">
            <w:pPr>
              <w:rPr>
                <w:sz w:val="20"/>
                <w:szCs w:val="20"/>
              </w:rPr>
            </w:pPr>
            <w:r w:rsidRPr="008B6A75">
              <w:rPr>
                <w:sz w:val="20"/>
                <w:szCs w:val="20"/>
              </w:rPr>
              <w:t>Субсидии бюджетным учреждениям</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3FA99538" w14:textId="77777777" w:rsidR="00387142" w:rsidRPr="008B6A75" w:rsidRDefault="00387142" w:rsidP="00387142">
            <w:pPr>
              <w:jc w:val="center"/>
              <w:rPr>
                <w:sz w:val="20"/>
                <w:szCs w:val="20"/>
              </w:rPr>
            </w:pPr>
            <w:r w:rsidRPr="008B6A75">
              <w:rPr>
                <w:sz w:val="20"/>
                <w:szCs w:val="20"/>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67CE51FE" w14:textId="77777777" w:rsidR="00387142" w:rsidRPr="008B6A75" w:rsidRDefault="00387142" w:rsidP="00387142">
            <w:pPr>
              <w:jc w:val="center"/>
              <w:rPr>
                <w:sz w:val="20"/>
                <w:szCs w:val="20"/>
              </w:rPr>
            </w:pPr>
            <w:r w:rsidRPr="008B6A75">
              <w:rPr>
                <w:sz w:val="20"/>
                <w:szCs w:val="20"/>
              </w:rPr>
              <w:t>07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2C7681" w14:textId="77777777" w:rsidR="00387142" w:rsidRPr="008B6A75" w:rsidRDefault="00387142" w:rsidP="00387142">
            <w:pPr>
              <w:jc w:val="center"/>
              <w:rPr>
                <w:sz w:val="20"/>
                <w:szCs w:val="20"/>
              </w:rPr>
            </w:pPr>
            <w:r w:rsidRPr="008B6A75">
              <w:rPr>
                <w:sz w:val="20"/>
                <w:szCs w:val="20"/>
              </w:rPr>
              <w:t>07</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51CB2F05" w14:textId="77777777" w:rsidR="00387142" w:rsidRPr="008B6A75" w:rsidRDefault="00387142" w:rsidP="00387142">
            <w:pPr>
              <w:jc w:val="center"/>
              <w:rPr>
                <w:sz w:val="20"/>
                <w:szCs w:val="20"/>
              </w:rPr>
            </w:pPr>
            <w:r w:rsidRPr="008B6A75">
              <w:rPr>
                <w:sz w:val="20"/>
                <w:szCs w:val="20"/>
              </w:rPr>
              <w:t>07.4.00.79500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D7ABE7" w14:textId="77777777" w:rsidR="00387142" w:rsidRPr="008B6A75" w:rsidRDefault="00387142" w:rsidP="00387142">
            <w:pPr>
              <w:jc w:val="center"/>
              <w:rPr>
                <w:sz w:val="20"/>
                <w:szCs w:val="20"/>
              </w:rPr>
            </w:pPr>
            <w:r w:rsidRPr="008B6A75">
              <w:rPr>
                <w:sz w:val="20"/>
                <w:szCs w:val="20"/>
              </w:rPr>
              <w:t>610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EABBFF" w14:textId="77777777" w:rsidR="00387142" w:rsidRPr="008B6A75" w:rsidRDefault="00387142" w:rsidP="00387142">
            <w:pPr>
              <w:jc w:val="right"/>
              <w:rPr>
                <w:sz w:val="20"/>
                <w:szCs w:val="20"/>
              </w:rPr>
            </w:pPr>
            <w:r w:rsidRPr="008B6A75">
              <w:rPr>
                <w:sz w:val="20"/>
                <w:szCs w:val="20"/>
              </w:rPr>
              <w:t>1 832 642,80</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4E3B01DF" w14:textId="77777777" w:rsidR="00387142" w:rsidRPr="008B6A75" w:rsidRDefault="00387142" w:rsidP="00387142">
            <w:pPr>
              <w:jc w:val="right"/>
              <w:rPr>
                <w:sz w:val="20"/>
                <w:szCs w:val="20"/>
              </w:rPr>
            </w:pPr>
            <w:r w:rsidRPr="008B6A75">
              <w:rPr>
                <w:sz w:val="20"/>
                <w:szCs w:val="20"/>
              </w:rPr>
              <w:t>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C3B8DA" w14:textId="77777777" w:rsidR="00387142" w:rsidRPr="008B6A75" w:rsidRDefault="00387142" w:rsidP="00387142">
            <w:pPr>
              <w:jc w:val="right"/>
              <w:rPr>
                <w:sz w:val="20"/>
                <w:szCs w:val="20"/>
              </w:rPr>
            </w:pPr>
            <w:r w:rsidRPr="008B6A75">
              <w:rPr>
                <w:sz w:val="20"/>
                <w:szCs w:val="20"/>
              </w:rPr>
              <w:t>0,00</w:t>
            </w:r>
          </w:p>
        </w:tc>
        <w:tc>
          <w:tcPr>
            <w:tcW w:w="222" w:type="dxa"/>
            <w:vAlign w:val="center"/>
            <w:hideMark/>
          </w:tcPr>
          <w:p w14:paraId="1797722B" w14:textId="77777777" w:rsidR="00387142" w:rsidRPr="008B6A75" w:rsidRDefault="00387142" w:rsidP="00387142">
            <w:pPr>
              <w:rPr>
                <w:sz w:val="20"/>
                <w:szCs w:val="20"/>
              </w:rPr>
            </w:pPr>
          </w:p>
        </w:tc>
      </w:tr>
      <w:tr w:rsidR="00387142" w:rsidRPr="008B6A75" w14:paraId="1861A38E" w14:textId="77777777" w:rsidTr="00387142">
        <w:trPr>
          <w:trHeight w:val="1440"/>
        </w:trPr>
        <w:tc>
          <w:tcPr>
            <w:tcW w:w="3021" w:type="dxa"/>
            <w:tcBorders>
              <w:top w:val="nil"/>
              <w:left w:val="single" w:sz="4" w:space="0" w:color="auto"/>
              <w:bottom w:val="nil"/>
              <w:right w:val="nil"/>
            </w:tcBorders>
            <w:shd w:val="clear" w:color="auto" w:fill="auto"/>
            <w:vAlign w:val="center"/>
            <w:hideMark/>
          </w:tcPr>
          <w:p w14:paraId="2BA3E31C" w14:textId="77777777" w:rsidR="00387142" w:rsidRPr="008B6A75" w:rsidRDefault="00387142" w:rsidP="00387142">
            <w:pPr>
              <w:rPr>
                <w:bCs/>
                <w:sz w:val="20"/>
                <w:szCs w:val="20"/>
              </w:rPr>
            </w:pPr>
            <w:proofErr w:type="spellStart"/>
            <w:r w:rsidRPr="008B6A75">
              <w:rPr>
                <w:bCs/>
                <w:sz w:val="20"/>
                <w:szCs w:val="20"/>
              </w:rPr>
              <w:lastRenderedPageBreak/>
              <w:t>Софинансирование</w:t>
            </w:r>
            <w:proofErr w:type="spellEnd"/>
            <w:r w:rsidRPr="008B6A75">
              <w:rPr>
                <w:bCs/>
                <w:sz w:val="20"/>
                <w:szCs w:val="20"/>
              </w:rPr>
              <w:t xml:space="preserve"> местного бюджета на реализацию мероприятий по оздоровлению детей государственной программы Новосибирской области "Социальная поддержка в Новосибирской области"</w:t>
            </w:r>
          </w:p>
        </w:tc>
        <w:tc>
          <w:tcPr>
            <w:tcW w:w="850" w:type="dxa"/>
            <w:tcBorders>
              <w:top w:val="nil"/>
              <w:left w:val="single" w:sz="4" w:space="0" w:color="auto"/>
              <w:bottom w:val="nil"/>
              <w:right w:val="nil"/>
            </w:tcBorders>
            <w:shd w:val="clear" w:color="auto" w:fill="auto"/>
            <w:noWrap/>
            <w:vAlign w:val="center"/>
            <w:hideMark/>
          </w:tcPr>
          <w:p w14:paraId="494C6DF5" w14:textId="77777777" w:rsidR="00387142" w:rsidRPr="008B6A75" w:rsidRDefault="00387142" w:rsidP="00387142">
            <w:pPr>
              <w:jc w:val="center"/>
              <w:rPr>
                <w:bCs/>
                <w:sz w:val="20"/>
                <w:szCs w:val="20"/>
              </w:rPr>
            </w:pPr>
            <w:r w:rsidRPr="008B6A75">
              <w:rPr>
                <w:bCs/>
                <w:sz w:val="20"/>
                <w:szCs w:val="20"/>
              </w:rPr>
              <w:t>444</w:t>
            </w:r>
          </w:p>
        </w:tc>
        <w:tc>
          <w:tcPr>
            <w:tcW w:w="709" w:type="dxa"/>
            <w:tcBorders>
              <w:top w:val="nil"/>
              <w:left w:val="single" w:sz="4" w:space="0" w:color="auto"/>
              <w:bottom w:val="nil"/>
              <w:right w:val="nil"/>
            </w:tcBorders>
            <w:shd w:val="clear" w:color="auto" w:fill="auto"/>
            <w:noWrap/>
            <w:vAlign w:val="center"/>
            <w:hideMark/>
          </w:tcPr>
          <w:p w14:paraId="1423201B" w14:textId="77777777" w:rsidR="00387142" w:rsidRPr="008B6A75" w:rsidRDefault="00387142" w:rsidP="00387142">
            <w:pPr>
              <w:jc w:val="center"/>
              <w:rPr>
                <w:bCs/>
                <w:sz w:val="20"/>
                <w:szCs w:val="20"/>
              </w:rPr>
            </w:pPr>
            <w:r w:rsidRPr="008B6A75">
              <w:rPr>
                <w:bCs/>
                <w:sz w:val="20"/>
                <w:szCs w:val="20"/>
              </w:rPr>
              <w:t>07</w:t>
            </w:r>
          </w:p>
        </w:tc>
        <w:tc>
          <w:tcPr>
            <w:tcW w:w="709" w:type="dxa"/>
            <w:tcBorders>
              <w:top w:val="nil"/>
              <w:left w:val="single" w:sz="4" w:space="0" w:color="auto"/>
              <w:bottom w:val="nil"/>
              <w:right w:val="single" w:sz="4" w:space="0" w:color="auto"/>
            </w:tcBorders>
            <w:shd w:val="clear" w:color="auto" w:fill="auto"/>
            <w:noWrap/>
            <w:vAlign w:val="center"/>
            <w:hideMark/>
          </w:tcPr>
          <w:p w14:paraId="229365F4" w14:textId="77777777" w:rsidR="00387142" w:rsidRPr="008B6A75" w:rsidRDefault="00387142" w:rsidP="00387142">
            <w:pPr>
              <w:jc w:val="center"/>
              <w:rPr>
                <w:bCs/>
                <w:sz w:val="20"/>
                <w:szCs w:val="20"/>
              </w:rPr>
            </w:pPr>
            <w:r w:rsidRPr="008B6A75">
              <w:rPr>
                <w:bCs/>
                <w:sz w:val="20"/>
                <w:szCs w:val="20"/>
              </w:rPr>
              <w:t>07</w:t>
            </w:r>
          </w:p>
        </w:tc>
        <w:tc>
          <w:tcPr>
            <w:tcW w:w="1411" w:type="dxa"/>
            <w:tcBorders>
              <w:top w:val="nil"/>
              <w:left w:val="single" w:sz="4" w:space="0" w:color="auto"/>
              <w:bottom w:val="nil"/>
              <w:right w:val="nil"/>
            </w:tcBorders>
            <w:shd w:val="clear" w:color="auto" w:fill="auto"/>
            <w:noWrap/>
            <w:vAlign w:val="center"/>
            <w:hideMark/>
          </w:tcPr>
          <w:p w14:paraId="0BBB19AF" w14:textId="77777777" w:rsidR="00387142" w:rsidRPr="008B6A75" w:rsidRDefault="00387142" w:rsidP="00387142">
            <w:pPr>
              <w:jc w:val="center"/>
              <w:rPr>
                <w:bCs/>
                <w:sz w:val="20"/>
                <w:szCs w:val="20"/>
              </w:rPr>
            </w:pPr>
            <w:r w:rsidRPr="008B6A75">
              <w:rPr>
                <w:bCs/>
                <w:sz w:val="20"/>
                <w:szCs w:val="20"/>
              </w:rPr>
              <w:t>07.4.00.S0359</w:t>
            </w:r>
          </w:p>
        </w:tc>
        <w:tc>
          <w:tcPr>
            <w:tcW w:w="955" w:type="dxa"/>
            <w:tcBorders>
              <w:top w:val="nil"/>
              <w:left w:val="single" w:sz="4" w:space="0" w:color="auto"/>
              <w:bottom w:val="nil"/>
              <w:right w:val="single" w:sz="4" w:space="0" w:color="auto"/>
            </w:tcBorders>
            <w:shd w:val="clear" w:color="auto" w:fill="auto"/>
            <w:noWrap/>
            <w:vAlign w:val="center"/>
            <w:hideMark/>
          </w:tcPr>
          <w:p w14:paraId="23D51276"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nil"/>
              <w:right w:val="single" w:sz="4" w:space="0" w:color="auto"/>
            </w:tcBorders>
            <w:shd w:val="clear" w:color="auto" w:fill="auto"/>
            <w:noWrap/>
            <w:vAlign w:val="center"/>
            <w:hideMark/>
          </w:tcPr>
          <w:p w14:paraId="40320213" w14:textId="77777777" w:rsidR="00387142" w:rsidRPr="008B6A75" w:rsidRDefault="00387142" w:rsidP="00387142">
            <w:pPr>
              <w:jc w:val="right"/>
              <w:rPr>
                <w:bCs/>
                <w:sz w:val="20"/>
                <w:szCs w:val="20"/>
              </w:rPr>
            </w:pPr>
            <w:r w:rsidRPr="008B6A75">
              <w:rPr>
                <w:bCs/>
                <w:sz w:val="20"/>
                <w:szCs w:val="20"/>
              </w:rPr>
              <w:t>2 582 102,00</w:t>
            </w:r>
          </w:p>
        </w:tc>
        <w:tc>
          <w:tcPr>
            <w:tcW w:w="992" w:type="dxa"/>
            <w:gridSpan w:val="2"/>
            <w:tcBorders>
              <w:top w:val="nil"/>
              <w:left w:val="single" w:sz="4" w:space="0" w:color="auto"/>
              <w:bottom w:val="nil"/>
              <w:right w:val="nil"/>
            </w:tcBorders>
            <w:shd w:val="clear" w:color="auto" w:fill="auto"/>
            <w:noWrap/>
            <w:vAlign w:val="center"/>
            <w:hideMark/>
          </w:tcPr>
          <w:p w14:paraId="59865823" w14:textId="77777777" w:rsidR="00387142" w:rsidRPr="008B6A75" w:rsidRDefault="00387142" w:rsidP="00387142">
            <w:pPr>
              <w:jc w:val="right"/>
              <w:rPr>
                <w:bCs/>
                <w:sz w:val="20"/>
                <w:szCs w:val="20"/>
              </w:rPr>
            </w:pPr>
            <w:r w:rsidRPr="008B6A75">
              <w:rPr>
                <w:bCs/>
                <w:sz w:val="20"/>
                <w:szCs w:val="20"/>
              </w:rPr>
              <w:t>54 300,00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11F00A43" w14:textId="77777777" w:rsidR="00387142" w:rsidRPr="008B6A75" w:rsidRDefault="00387142" w:rsidP="00387142">
            <w:pPr>
              <w:jc w:val="right"/>
              <w:rPr>
                <w:bCs/>
                <w:sz w:val="20"/>
                <w:szCs w:val="20"/>
              </w:rPr>
            </w:pPr>
            <w:r w:rsidRPr="008B6A75">
              <w:rPr>
                <w:bCs/>
                <w:sz w:val="20"/>
                <w:szCs w:val="20"/>
              </w:rPr>
              <w:t>54 300,00</w:t>
            </w:r>
          </w:p>
        </w:tc>
        <w:tc>
          <w:tcPr>
            <w:tcW w:w="222" w:type="dxa"/>
            <w:vAlign w:val="center"/>
            <w:hideMark/>
          </w:tcPr>
          <w:p w14:paraId="40C6741F" w14:textId="77777777" w:rsidR="00387142" w:rsidRPr="008B6A75" w:rsidRDefault="00387142" w:rsidP="00387142">
            <w:pPr>
              <w:rPr>
                <w:sz w:val="20"/>
                <w:szCs w:val="20"/>
              </w:rPr>
            </w:pPr>
          </w:p>
        </w:tc>
      </w:tr>
      <w:tr w:rsidR="00387142" w:rsidRPr="008B6A75" w14:paraId="10AFD598" w14:textId="77777777" w:rsidTr="00387142">
        <w:trPr>
          <w:trHeight w:val="585"/>
        </w:trPr>
        <w:tc>
          <w:tcPr>
            <w:tcW w:w="3021" w:type="dxa"/>
            <w:tcBorders>
              <w:top w:val="single" w:sz="4" w:space="0" w:color="auto"/>
              <w:left w:val="single" w:sz="4" w:space="0" w:color="auto"/>
              <w:bottom w:val="nil"/>
              <w:right w:val="nil"/>
            </w:tcBorders>
            <w:shd w:val="clear" w:color="auto" w:fill="auto"/>
            <w:vAlign w:val="center"/>
            <w:hideMark/>
          </w:tcPr>
          <w:p w14:paraId="74CC2D57" w14:textId="77777777" w:rsidR="00387142" w:rsidRPr="008B6A75" w:rsidRDefault="00387142" w:rsidP="00387142">
            <w:pPr>
              <w:rPr>
                <w:sz w:val="20"/>
                <w:szCs w:val="20"/>
              </w:rPr>
            </w:pPr>
            <w:r w:rsidRPr="008B6A75">
              <w:rPr>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nil"/>
              <w:right w:val="nil"/>
            </w:tcBorders>
            <w:shd w:val="clear" w:color="auto" w:fill="auto"/>
            <w:noWrap/>
            <w:vAlign w:val="center"/>
            <w:hideMark/>
          </w:tcPr>
          <w:p w14:paraId="57F449A1" w14:textId="77777777" w:rsidR="00387142" w:rsidRPr="008B6A75" w:rsidRDefault="00387142" w:rsidP="00387142">
            <w:pPr>
              <w:jc w:val="center"/>
              <w:rPr>
                <w:sz w:val="20"/>
                <w:szCs w:val="20"/>
              </w:rPr>
            </w:pPr>
            <w:r w:rsidRPr="008B6A75">
              <w:rPr>
                <w:sz w:val="20"/>
                <w:szCs w:val="20"/>
              </w:rPr>
              <w:t>444</w:t>
            </w:r>
          </w:p>
        </w:tc>
        <w:tc>
          <w:tcPr>
            <w:tcW w:w="709" w:type="dxa"/>
            <w:tcBorders>
              <w:top w:val="single" w:sz="4" w:space="0" w:color="auto"/>
              <w:left w:val="single" w:sz="4" w:space="0" w:color="auto"/>
              <w:bottom w:val="nil"/>
              <w:right w:val="nil"/>
            </w:tcBorders>
            <w:shd w:val="clear" w:color="auto" w:fill="auto"/>
            <w:noWrap/>
            <w:vAlign w:val="center"/>
            <w:hideMark/>
          </w:tcPr>
          <w:p w14:paraId="51B99C66" w14:textId="77777777" w:rsidR="00387142" w:rsidRPr="008B6A75" w:rsidRDefault="00387142" w:rsidP="00387142">
            <w:pPr>
              <w:jc w:val="center"/>
              <w:rPr>
                <w:sz w:val="20"/>
                <w:szCs w:val="20"/>
              </w:rPr>
            </w:pPr>
            <w:r w:rsidRPr="008B6A75">
              <w:rPr>
                <w:sz w:val="20"/>
                <w:szCs w:val="20"/>
              </w:rPr>
              <w:t>07</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58B1D902" w14:textId="77777777" w:rsidR="00387142" w:rsidRPr="008B6A75" w:rsidRDefault="00387142" w:rsidP="00387142">
            <w:pPr>
              <w:jc w:val="center"/>
              <w:rPr>
                <w:sz w:val="20"/>
                <w:szCs w:val="20"/>
              </w:rPr>
            </w:pPr>
            <w:r w:rsidRPr="008B6A75">
              <w:rPr>
                <w:sz w:val="20"/>
                <w:szCs w:val="20"/>
              </w:rPr>
              <w:t>07</w:t>
            </w:r>
          </w:p>
        </w:tc>
        <w:tc>
          <w:tcPr>
            <w:tcW w:w="1411" w:type="dxa"/>
            <w:tcBorders>
              <w:top w:val="single" w:sz="4" w:space="0" w:color="auto"/>
              <w:left w:val="single" w:sz="4" w:space="0" w:color="auto"/>
              <w:bottom w:val="nil"/>
              <w:right w:val="nil"/>
            </w:tcBorders>
            <w:shd w:val="clear" w:color="auto" w:fill="auto"/>
            <w:noWrap/>
            <w:vAlign w:val="center"/>
            <w:hideMark/>
          </w:tcPr>
          <w:p w14:paraId="39DF0768" w14:textId="77777777" w:rsidR="00387142" w:rsidRPr="008B6A75" w:rsidRDefault="00387142" w:rsidP="00387142">
            <w:pPr>
              <w:jc w:val="center"/>
              <w:rPr>
                <w:sz w:val="20"/>
                <w:szCs w:val="20"/>
              </w:rPr>
            </w:pPr>
            <w:r w:rsidRPr="008B6A75">
              <w:rPr>
                <w:sz w:val="20"/>
                <w:szCs w:val="20"/>
              </w:rPr>
              <w:t>07.4.00.S0359</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3C2BE6EA" w14:textId="77777777" w:rsidR="00387142" w:rsidRPr="008B6A75" w:rsidRDefault="00387142" w:rsidP="00387142">
            <w:pPr>
              <w:jc w:val="center"/>
              <w:rPr>
                <w:sz w:val="20"/>
                <w:szCs w:val="20"/>
              </w:rPr>
            </w:pPr>
            <w:r w:rsidRPr="008B6A75">
              <w:rPr>
                <w:sz w:val="20"/>
                <w:szCs w:val="20"/>
              </w:rPr>
              <w:t>200</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7B467971" w14:textId="77777777" w:rsidR="00387142" w:rsidRPr="008B6A75" w:rsidRDefault="00387142" w:rsidP="00387142">
            <w:pPr>
              <w:jc w:val="right"/>
              <w:rPr>
                <w:sz w:val="20"/>
                <w:szCs w:val="20"/>
              </w:rPr>
            </w:pPr>
            <w:r w:rsidRPr="008B6A75">
              <w:rPr>
                <w:sz w:val="20"/>
                <w:szCs w:val="20"/>
              </w:rPr>
              <w:t>580 500,00</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59ADED78" w14:textId="77777777" w:rsidR="00387142" w:rsidRPr="008B6A75" w:rsidRDefault="00387142" w:rsidP="00387142">
            <w:pPr>
              <w:jc w:val="right"/>
              <w:rPr>
                <w:sz w:val="20"/>
                <w:szCs w:val="20"/>
              </w:rPr>
            </w:pPr>
            <w:r w:rsidRPr="008B6A75">
              <w:rPr>
                <w:sz w:val="20"/>
                <w:szCs w:val="20"/>
              </w:rPr>
              <w:t>54 300,00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007BF388" w14:textId="77777777" w:rsidR="00387142" w:rsidRPr="008B6A75" w:rsidRDefault="00387142" w:rsidP="00387142">
            <w:pPr>
              <w:jc w:val="right"/>
              <w:rPr>
                <w:sz w:val="20"/>
                <w:szCs w:val="20"/>
              </w:rPr>
            </w:pPr>
            <w:r w:rsidRPr="008B6A75">
              <w:rPr>
                <w:sz w:val="20"/>
                <w:szCs w:val="20"/>
              </w:rPr>
              <w:t>54 300,00</w:t>
            </w:r>
          </w:p>
        </w:tc>
        <w:tc>
          <w:tcPr>
            <w:tcW w:w="222" w:type="dxa"/>
            <w:vAlign w:val="center"/>
            <w:hideMark/>
          </w:tcPr>
          <w:p w14:paraId="2E3A6134" w14:textId="77777777" w:rsidR="00387142" w:rsidRPr="008B6A75" w:rsidRDefault="00387142" w:rsidP="00387142">
            <w:pPr>
              <w:rPr>
                <w:sz w:val="20"/>
                <w:szCs w:val="20"/>
              </w:rPr>
            </w:pPr>
          </w:p>
        </w:tc>
      </w:tr>
      <w:tr w:rsidR="00387142" w:rsidRPr="008B6A75" w14:paraId="32EBA059" w14:textId="77777777" w:rsidTr="00387142">
        <w:trPr>
          <w:trHeight w:val="870"/>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44A1F50F" w14:textId="77777777" w:rsidR="00387142" w:rsidRPr="008B6A75" w:rsidRDefault="00387142" w:rsidP="00387142">
            <w:pPr>
              <w:rPr>
                <w:sz w:val="20"/>
                <w:szCs w:val="20"/>
              </w:rPr>
            </w:pPr>
            <w:r w:rsidRPr="008B6A75">
              <w:rPr>
                <w:sz w:val="20"/>
                <w:szCs w:val="20"/>
              </w:rPr>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14431190" w14:textId="77777777" w:rsidR="00387142" w:rsidRPr="008B6A75" w:rsidRDefault="00387142" w:rsidP="00387142">
            <w:pPr>
              <w:jc w:val="center"/>
              <w:rPr>
                <w:sz w:val="20"/>
                <w:szCs w:val="20"/>
              </w:rPr>
            </w:pPr>
            <w:r w:rsidRPr="008B6A75">
              <w:rPr>
                <w:sz w:val="20"/>
                <w:szCs w:val="20"/>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6C0579A8" w14:textId="77777777" w:rsidR="00387142" w:rsidRPr="008B6A75" w:rsidRDefault="00387142" w:rsidP="00387142">
            <w:pPr>
              <w:jc w:val="center"/>
              <w:rPr>
                <w:sz w:val="20"/>
                <w:szCs w:val="20"/>
              </w:rPr>
            </w:pPr>
            <w:r w:rsidRPr="008B6A75">
              <w:rPr>
                <w:sz w:val="20"/>
                <w:szCs w:val="20"/>
              </w:rPr>
              <w:t>07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1912A6" w14:textId="77777777" w:rsidR="00387142" w:rsidRPr="008B6A75" w:rsidRDefault="00387142" w:rsidP="00387142">
            <w:pPr>
              <w:jc w:val="center"/>
              <w:rPr>
                <w:sz w:val="20"/>
                <w:szCs w:val="20"/>
              </w:rPr>
            </w:pPr>
            <w:r w:rsidRPr="008B6A75">
              <w:rPr>
                <w:sz w:val="20"/>
                <w:szCs w:val="20"/>
              </w:rPr>
              <w:t>07</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41ED4472" w14:textId="77777777" w:rsidR="00387142" w:rsidRPr="008B6A75" w:rsidRDefault="00387142" w:rsidP="00387142">
            <w:pPr>
              <w:jc w:val="center"/>
              <w:rPr>
                <w:sz w:val="20"/>
                <w:szCs w:val="20"/>
              </w:rPr>
            </w:pPr>
            <w:r w:rsidRPr="008B6A75">
              <w:rPr>
                <w:sz w:val="20"/>
                <w:szCs w:val="20"/>
              </w:rPr>
              <w:t>07.4.00.S0359</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679099" w14:textId="77777777" w:rsidR="00387142" w:rsidRPr="008B6A75" w:rsidRDefault="00387142" w:rsidP="00387142">
            <w:pPr>
              <w:jc w:val="center"/>
              <w:rPr>
                <w:sz w:val="20"/>
                <w:szCs w:val="20"/>
              </w:rPr>
            </w:pPr>
            <w:r w:rsidRPr="008B6A75">
              <w:rPr>
                <w:sz w:val="20"/>
                <w:szCs w:val="20"/>
              </w:rPr>
              <w:t>240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23067E" w14:textId="77777777" w:rsidR="00387142" w:rsidRPr="008B6A75" w:rsidRDefault="00387142" w:rsidP="00387142">
            <w:pPr>
              <w:jc w:val="right"/>
              <w:rPr>
                <w:sz w:val="20"/>
                <w:szCs w:val="20"/>
              </w:rPr>
            </w:pPr>
            <w:r w:rsidRPr="008B6A75">
              <w:rPr>
                <w:sz w:val="20"/>
                <w:szCs w:val="20"/>
              </w:rPr>
              <w:t>580 500,00</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70BCB922" w14:textId="77777777" w:rsidR="00387142" w:rsidRPr="008B6A75" w:rsidRDefault="00387142" w:rsidP="00387142">
            <w:pPr>
              <w:jc w:val="right"/>
              <w:rPr>
                <w:sz w:val="20"/>
                <w:szCs w:val="20"/>
              </w:rPr>
            </w:pPr>
            <w:r w:rsidRPr="008B6A75">
              <w:rPr>
                <w:sz w:val="20"/>
                <w:szCs w:val="20"/>
              </w:rPr>
              <w:t>54 300,00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173162" w14:textId="77777777" w:rsidR="00387142" w:rsidRPr="008B6A75" w:rsidRDefault="00387142" w:rsidP="00387142">
            <w:pPr>
              <w:jc w:val="right"/>
              <w:rPr>
                <w:sz w:val="20"/>
                <w:szCs w:val="20"/>
              </w:rPr>
            </w:pPr>
            <w:r w:rsidRPr="008B6A75">
              <w:rPr>
                <w:sz w:val="20"/>
                <w:szCs w:val="20"/>
              </w:rPr>
              <w:t>54 300,00</w:t>
            </w:r>
          </w:p>
        </w:tc>
        <w:tc>
          <w:tcPr>
            <w:tcW w:w="222" w:type="dxa"/>
            <w:vAlign w:val="center"/>
            <w:hideMark/>
          </w:tcPr>
          <w:p w14:paraId="7BCE42F5" w14:textId="77777777" w:rsidR="00387142" w:rsidRPr="008B6A75" w:rsidRDefault="00387142" w:rsidP="00387142">
            <w:pPr>
              <w:rPr>
                <w:sz w:val="20"/>
                <w:szCs w:val="20"/>
              </w:rPr>
            </w:pPr>
          </w:p>
        </w:tc>
      </w:tr>
      <w:tr w:rsidR="00387142" w:rsidRPr="008B6A75" w14:paraId="6B894B9E" w14:textId="77777777" w:rsidTr="00387142">
        <w:trPr>
          <w:trHeight w:val="585"/>
        </w:trPr>
        <w:tc>
          <w:tcPr>
            <w:tcW w:w="3021" w:type="dxa"/>
            <w:tcBorders>
              <w:top w:val="nil"/>
              <w:left w:val="single" w:sz="4" w:space="0" w:color="auto"/>
              <w:bottom w:val="nil"/>
              <w:right w:val="nil"/>
            </w:tcBorders>
            <w:shd w:val="clear" w:color="auto" w:fill="auto"/>
            <w:vAlign w:val="center"/>
            <w:hideMark/>
          </w:tcPr>
          <w:p w14:paraId="14734D2D" w14:textId="77777777" w:rsidR="00387142" w:rsidRPr="008B6A75" w:rsidRDefault="00387142" w:rsidP="00387142">
            <w:pPr>
              <w:rPr>
                <w:sz w:val="20"/>
                <w:szCs w:val="20"/>
              </w:rPr>
            </w:pPr>
            <w:r w:rsidRPr="008B6A75">
              <w:rPr>
                <w:sz w:val="20"/>
                <w:szCs w:val="20"/>
              </w:rPr>
              <w:t>Социальное обеспечение и иные выплаты населению</w:t>
            </w:r>
          </w:p>
        </w:tc>
        <w:tc>
          <w:tcPr>
            <w:tcW w:w="850" w:type="dxa"/>
            <w:tcBorders>
              <w:top w:val="nil"/>
              <w:left w:val="single" w:sz="4" w:space="0" w:color="auto"/>
              <w:bottom w:val="nil"/>
              <w:right w:val="nil"/>
            </w:tcBorders>
            <w:shd w:val="clear" w:color="auto" w:fill="auto"/>
            <w:noWrap/>
            <w:vAlign w:val="center"/>
            <w:hideMark/>
          </w:tcPr>
          <w:p w14:paraId="26647ED5" w14:textId="77777777" w:rsidR="00387142" w:rsidRPr="008B6A75" w:rsidRDefault="00387142" w:rsidP="00387142">
            <w:pPr>
              <w:jc w:val="center"/>
              <w:rPr>
                <w:sz w:val="20"/>
                <w:szCs w:val="20"/>
              </w:rPr>
            </w:pPr>
            <w:r w:rsidRPr="008B6A75">
              <w:rPr>
                <w:sz w:val="20"/>
                <w:szCs w:val="20"/>
              </w:rPr>
              <w:t>444</w:t>
            </w:r>
          </w:p>
        </w:tc>
        <w:tc>
          <w:tcPr>
            <w:tcW w:w="709" w:type="dxa"/>
            <w:tcBorders>
              <w:top w:val="nil"/>
              <w:left w:val="single" w:sz="4" w:space="0" w:color="auto"/>
              <w:bottom w:val="nil"/>
              <w:right w:val="nil"/>
            </w:tcBorders>
            <w:shd w:val="clear" w:color="auto" w:fill="auto"/>
            <w:noWrap/>
            <w:vAlign w:val="center"/>
            <w:hideMark/>
          </w:tcPr>
          <w:p w14:paraId="78626FCB" w14:textId="77777777" w:rsidR="00387142" w:rsidRPr="008B6A75" w:rsidRDefault="00387142" w:rsidP="00387142">
            <w:pPr>
              <w:jc w:val="center"/>
              <w:rPr>
                <w:sz w:val="20"/>
                <w:szCs w:val="20"/>
              </w:rPr>
            </w:pPr>
            <w:r w:rsidRPr="008B6A75">
              <w:rPr>
                <w:sz w:val="20"/>
                <w:szCs w:val="20"/>
              </w:rPr>
              <w:t>07</w:t>
            </w:r>
          </w:p>
        </w:tc>
        <w:tc>
          <w:tcPr>
            <w:tcW w:w="709" w:type="dxa"/>
            <w:tcBorders>
              <w:top w:val="nil"/>
              <w:left w:val="single" w:sz="4" w:space="0" w:color="auto"/>
              <w:bottom w:val="nil"/>
              <w:right w:val="single" w:sz="4" w:space="0" w:color="auto"/>
            </w:tcBorders>
            <w:shd w:val="clear" w:color="auto" w:fill="auto"/>
            <w:noWrap/>
            <w:vAlign w:val="center"/>
            <w:hideMark/>
          </w:tcPr>
          <w:p w14:paraId="7367A459" w14:textId="77777777" w:rsidR="00387142" w:rsidRPr="008B6A75" w:rsidRDefault="00387142" w:rsidP="00387142">
            <w:pPr>
              <w:jc w:val="center"/>
              <w:rPr>
                <w:sz w:val="20"/>
                <w:szCs w:val="20"/>
              </w:rPr>
            </w:pPr>
            <w:r w:rsidRPr="008B6A75">
              <w:rPr>
                <w:sz w:val="20"/>
                <w:szCs w:val="20"/>
              </w:rPr>
              <w:t>07</w:t>
            </w:r>
          </w:p>
        </w:tc>
        <w:tc>
          <w:tcPr>
            <w:tcW w:w="1411" w:type="dxa"/>
            <w:tcBorders>
              <w:top w:val="nil"/>
              <w:left w:val="single" w:sz="4" w:space="0" w:color="auto"/>
              <w:bottom w:val="nil"/>
              <w:right w:val="nil"/>
            </w:tcBorders>
            <w:shd w:val="clear" w:color="auto" w:fill="auto"/>
            <w:noWrap/>
            <w:vAlign w:val="center"/>
            <w:hideMark/>
          </w:tcPr>
          <w:p w14:paraId="6A18CFDC" w14:textId="77777777" w:rsidR="00387142" w:rsidRPr="008B6A75" w:rsidRDefault="00387142" w:rsidP="00387142">
            <w:pPr>
              <w:jc w:val="center"/>
              <w:rPr>
                <w:sz w:val="20"/>
                <w:szCs w:val="20"/>
              </w:rPr>
            </w:pPr>
            <w:r w:rsidRPr="008B6A75">
              <w:rPr>
                <w:sz w:val="20"/>
                <w:szCs w:val="20"/>
              </w:rPr>
              <w:t>07.4.00.S0359</w:t>
            </w:r>
          </w:p>
        </w:tc>
        <w:tc>
          <w:tcPr>
            <w:tcW w:w="955" w:type="dxa"/>
            <w:tcBorders>
              <w:top w:val="nil"/>
              <w:left w:val="single" w:sz="4" w:space="0" w:color="auto"/>
              <w:bottom w:val="nil"/>
              <w:right w:val="single" w:sz="4" w:space="0" w:color="auto"/>
            </w:tcBorders>
            <w:shd w:val="clear" w:color="auto" w:fill="auto"/>
            <w:noWrap/>
            <w:vAlign w:val="center"/>
            <w:hideMark/>
          </w:tcPr>
          <w:p w14:paraId="54EB098E" w14:textId="77777777" w:rsidR="00387142" w:rsidRPr="008B6A75" w:rsidRDefault="00387142" w:rsidP="00387142">
            <w:pPr>
              <w:jc w:val="center"/>
              <w:rPr>
                <w:sz w:val="20"/>
                <w:szCs w:val="20"/>
              </w:rPr>
            </w:pPr>
            <w:r w:rsidRPr="008B6A75">
              <w:rPr>
                <w:sz w:val="20"/>
                <w:szCs w:val="20"/>
              </w:rPr>
              <w:t>300</w:t>
            </w:r>
          </w:p>
        </w:tc>
        <w:tc>
          <w:tcPr>
            <w:tcW w:w="992" w:type="dxa"/>
            <w:tcBorders>
              <w:top w:val="nil"/>
              <w:left w:val="single" w:sz="4" w:space="0" w:color="auto"/>
              <w:bottom w:val="nil"/>
              <w:right w:val="single" w:sz="4" w:space="0" w:color="auto"/>
            </w:tcBorders>
            <w:shd w:val="clear" w:color="auto" w:fill="auto"/>
            <w:noWrap/>
            <w:vAlign w:val="center"/>
            <w:hideMark/>
          </w:tcPr>
          <w:p w14:paraId="57DA763C" w14:textId="77777777" w:rsidR="00387142" w:rsidRPr="008B6A75" w:rsidRDefault="00387142" w:rsidP="00387142">
            <w:pPr>
              <w:jc w:val="right"/>
              <w:rPr>
                <w:sz w:val="20"/>
                <w:szCs w:val="20"/>
              </w:rPr>
            </w:pPr>
            <w:r w:rsidRPr="008B6A75">
              <w:rPr>
                <w:sz w:val="20"/>
                <w:szCs w:val="20"/>
              </w:rPr>
              <w:t>281 250,00</w:t>
            </w:r>
          </w:p>
        </w:tc>
        <w:tc>
          <w:tcPr>
            <w:tcW w:w="992" w:type="dxa"/>
            <w:gridSpan w:val="2"/>
            <w:tcBorders>
              <w:top w:val="nil"/>
              <w:left w:val="single" w:sz="4" w:space="0" w:color="auto"/>
              <w:bottom w:val="nil"/>
              <w:right w:val="nil"/>
            </w:tcBorders>
            <w:shd w:val="clear" w:color="auto" w:fill="auto"/>
            <w:noWrap/>
            <w:vAlign w:val="center"/>
            <w:hideMark/>
          </w:tcPr>
          <w:p w14:paraId="72F6B9FB" w14:textId="77777777" w:rsidR="00387142" w:rsidRPr="008B6A75" w:rsidRDefault="00387142" w:rsidP="00387142">
            <w:pPr>
              <w:jc w:val="right"/>
              <w:rPr>
                <w:sz w:val="20"/>
                <w:szCs w:val="20"/>
              </w:rPr>
            </w:pPr>
            <w:r w:rsidRPr="008B6A75">
              <w:rPr>
                <w:sz w:val="20"/>
                <w:szCs w:val="20"/>
              </w:rPr>
              <w:t>0,00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7E49B862" w14:textId="77777777" w:rsidR="00387142" w:rsidRPr="008B6A75" w:rsidRDefault="00387142" w:rsidP="00387142">
            <w:pPr>
              <w:jc w:val="right"/>
              <w:rPr>
                <w:sz w:val="20"/>
                <w:szCs w:val="20"/>
              </w:rPr>
            </w:pPr>
            <w:r w:rsidRPr="008B6A75">
              <w:rPr>
                <w:sz w:val="20"/>
                <w:szCs w:val="20"/>
              </w:rPr>
              <w:t>0,00</w:t>
            </w:r>
          </w:p>
        </w:tc>
        <w:tc>
          <w:tcPr>
            <w:tcW w:w="222" w:type="dxa"/>
            <w:vAlign w:val="center"/>
            <w:hideMark/>
          </w:tcPr>
          <w:p w14:paraId="6D337E83" w14:textId="77777777" w:rsidR="00387142" w:rsidRPr="008B6A75" w:rsidRDefault="00387142" w:rsidP="00387142">
            <w:pPr>
              <w:rPr>
                <w:sz w:val="20"/>
                <w:szCs w:val="20"/>
              </w:rPr>
            </w:pPr>
          </w:p>
        </w:tc>
      </w:tr>
      <w:tr w:rsidR="00387142" w:rsidRPr="008B6A75" w14:paraId="70F77ED0" w14:textId="77777777" w:rsidTr="00387142">
        <w:trPr>
          <w:trHeight w:val="585"/>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0D26D91F" w14:textId="77777777" w:rsidR="00387142" w:rsidRPr="008B6A75" w:rsidRDefault="00387142" w:rsidP="00387142">
            <w:pPr>
              <w:rPr>
                <w:sz w:val="20"/>
                <w:szCs w:val="20"/>
              </w:rPr>
            </w:pPr>
            <w:r w:rsidRPr="008B6A75">
              <w:rPr>
                <w:sz w:val="20"/>
                <w:szCs w:val="20"/>
              </w:rPr>
              <w:t>Социальные выплаты гражданам, кроме публичных нормативных социальных выплат</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26644352" w14:textId="77777777" w:rsidR="00387142" w:rsidRPr="008B6A75" w:rsidRDefault="00387142" w:rsidP="00387142">
            <w:pPr>
              <w:jc w:val="center"/>
              <w:rPr>
                <w:sz w:val="20"/>
                <w:szCs w:val="20"/>
              </w:rPr>
            </w:pPr>
            <w:r w:rsidRPr="008B6A75">
              <w:rPr>
                <w:sz w:val="20"/>
                <w:szCs w:val="20"/>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6F775815" w14:textId="77777777" w:rsidR="00387142" w:rsidRPr="008B6A75" w:rsidRDefault="00387142" w:rsidP="00387142">
            <w:pPr>
              <w:jc w:val="center"/>
              <w:rPr>
                <w:sz w:val="20"/>
                <w:szCs w:val="20"/>
              </w:rPr>
            </w:pPr>
            <w:r w:rsidRPr="008B6A75">
              <w:rPr>
                <w:sz w:val="20"/>
                <w:szCs w:val="20"/>
              </w:rPr>
              <w:t>07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7B1FC7" w14:textId="77777777" w:rsidR="00387142" w:rsidRPr="008B6A75" w:rsidRDefault="00387142" w:rsidP="00387142">
            <w:pPr>
              <w:jc w:val="center"/>
              <w:rPr>
                <w:sz w:val="20"/>
                <w:szCs w:val="20"/>
              </w:rPr>
            </w:pPr>
            <w:r w:rsidRPr="008B6A75">
              <w:rPr>
                <w:sz w:val="20"/>
                <w:szCs w:val="20"/>
              </w:rPr>
              <w:t>07</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1E7F02C4" w14:textId="77777777" w:rsidR="00387142" w:rsidRPr="008B6A75" w:rsidRDefault="00387142" w:rsidP="00387142">
            <w:pPr>
              <w:jc w:val="center"/>
              <w:rPr>
                <w:sz w:val="20"/>
                <w:szCs w:val="20"/>
              </w:rPr>
            </w:pPr>
            <w:r w:rsidRPr="008B6A75">
              <w:rPr>
                <w:sz w:val="20"/>
                <w:szCs w:val="20"/>
              </w:rPr>
              <w:t>07.4.00.S0359</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99DB25" w14:textId="77777777" w:rsidR="00387142" w:rsidRPr="008B6A75" w:rsidRDefault="00387142" w:rsidP="00387142">
            <w:pPr>
              <w:jc w:val="center"/>
              <w:rPr>
                <w:sz w:val="20"/>
                <w:szCs w:val="20"/>
              </w:rPr>
            </w:pPr>
            <w:r w:rsidRPr="008B6A75">
              <w:rPr>
                <w:sz w:val="20"/>
                <w:szCs w:val="20"/>
              </w:rPr>
              <w:t>320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78C7EC" w14:textId="77777777" w:rsidR="00387142" w:rsidRPr="008B6A75" w:rsidRDefault="00387142" w:rsidP="00387142">
            <w:pPr>
              <w:jc w:val="right"/>
              <w:rPr>
                <w:sz w:val="20"/>
                <w:szCs w:val="20"/>
              </w:rPr>
            </w:pPr>
            <w:r w:rsidRPr="008B6A75">
              <w:rPr>
                <w:sz w:val="20"/>
                <w:szCs w:val="20"/>
              </w:rPr>
              <w:t>281 250,00</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2A9A8C64" w14:textId="77777777" w:rsidR="00387142" w:rsidRPr="008B6A75" w:rsidRDefault="00387142" w:rsidP="00387142">
            <w:pPr>
              <w:jc w:val="right"/>
              <w:rPr>
                <w:sz w:val="20"/>
                <w:szCs w:val="20"/>
              </w:rPr>
            </w:pPr>
            <w:r w:rsidRPr="008B6A75">
              <w:rPr>
                <w:sz w:val="20"/>
                <w:szCs w:val="20"/>
              </w:rPr>
              <w:t>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08A249" w14:textId="77777777" w:rsidR="00387142" w:rsidRPr="008B6A75" w:rsidRDefault="00387142" w:rsidP="00387142">
            <w:pPr>
              <w:jc w:val="right"/>
              <w:rPr>
                <w:sz w:val="20"/>
                <w:szCs w:val="20"/>
              </w:rPr>
            </w:pPr>
            <w:r w:rsidRPr="008B6A75">
              <w:rPr>
                <w:sz w:val="20"/>
                <w:szCs w:val="20"/>
              </w:rPr>
              <w:t>0,00</w:t>
            </w:r>
          </w:p>
        </w:tc>
        <w:tc>
          <w:tcPr>
            <w:tcW w:w="222" w:type="dxa"/>
            <w:vAlign w:val="center"/>
            <w:hideMark/>
          </w:tcPr>
          <w:p w14:paraId="144688B7" w14:textId="77777777" w:rsidR="00387142" w:rsidRPr="008B6A75" w:rsidRDefault="00387142" w:rsidP="00387142">
            <w:pPr>
              <w:rPr>
                <w:sz w:val="20"/>
                <w:szCs w:val="20"/>
              </w:rPr>
            </w:pPr>
          </w:p>
        </w:tc>
      </w:tr>
      <w:tr w:rsidR="00387142" w:rsidRPr="008B6A75" w14:paraId="2301DBCB" w14:textId="77777777" w:rsidTr="00387142">
        <w:trPr>
          <w:trHeight w:val="870"/>
        </w:trPr>
        <w:tc>
          <w:tcPr>
            <w:tcW w:w="3021" w:type="dxa"/>
            <w:tcBorders>
              <w:top w:val="nil"/>
              <w:left w:val="single" w:sz="4" w:space="0" w:color="auto"/>
              <w:bottom w:val="nil"/>
              <w:right w:val="nil"/>
            </w:tcBorders>
            <w:shd w:val="clear" w:color="auto" w:fill="auto"/>
            <w:vAlign w:val="center"/>
            <w:hideMark/>
          </w:tcPr>
          <w:p w14:paraId="61C8E374" w14:textId="77777777" w:rsidR="00387142" w:rsidRPr="008B6A75" w:rsidRDefault="00387142" w:rsidP="00387142">
            <w:pPr>
              <w:rPr>
                <w:sz w:val="20"/>
                <w:szCs w:val="20"/>
              </w:rPr>
            </w:pPr>
            <w:r w:rsidRPr="008B6A75">
              <w:rPr>
                <w:sz w:val="20"/>
                <w:szCs w:val="20"/>
              </w:rPr>
              <w:t>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right w:val="nil"/>
            </w:tcBorders>
            <w:shd w:val="clear" w:color="auto" w:fill="auto"/>
            <w:noWrap/>
            <w:vAlign w:val="center"/>
            <w:hideMark/>
          </w:tcPr>
          <w:p w14:paraId="72CAB693" w14:textId="77777777" w:rsidR="00387142" w:rsidRPr="008B6A75" w:rsidRDefault="00387142" w:rsidP="00387142">
            <w:pPr>
              <w:jc w:val="center"/>
              <w:rPr>
                <w:sz w:val="20"/>
                <w:szCs w:val="20"/>
              </w:rPr>
            </w:pPr>
            <w:r w:rsidRPr="008B6A75">
              <w:rPr>
                <w:sz w:val="20"/>
                <w:szCs w:val="20"/>
              </w:rPr>
              <w:t>444</w:t>
            </w:r>
          </w:p>
        </w:tc>
        <w:tc>
          <w:tcPr>
            <w:tcW w:w="709" w:type="dxa"/>
            <w:tcBorders>
              <w:top w:val="nil"/>
              <w:left w:val="single" w:sz="4" w:space="0" w:color="auto"/>
              <w:bottom w:val="nil"/>
              <w:right w:val="nil"/>
            </w:tcBorders>
            <w:shd w:val="clear" w:color="auto" w:fill="auto"/>
            <w:noWrap/>
            <w:vAlign w:val="center"/>
            <w:hideMark/>
          </w:tcPr>
          <w:p w14:paraId="65CB12A5" w14:textId="77777777" w:rsidR="00387142" w:rsidRPr="008B6A75" w:rsidRDefault="00387142" w:rsidP="00387142">
            <w:pPr>
              <w:jc w:val="center"/>
              <w:rPr>
                <w:sz w:val="20"/>
                <w:szCs w:val="20"/>
              </w:rPr>
            </w:pPr>
            <w:r w:rsidRPr="008B6A75">
              <w:rPr>
                <w:sz w:val="20"/>
                <w:szCs w:val="20"/>
              </w:rPr>
              <w:t>07</w:t>
            </w:r>
          </w:p>
        </w:tc>
        <w:tc>
          <w:tcPr>
            <w:tcW w:w="709" w:type="dxa"/>
            <w:tcBorders>
              <w:top w:val="nil"/>
              <w:left w:val="single" w:sz="4" w:space="0" w:color="auto"/>
              <w:bottom w:val="nil"/>
              <w:right w:val="single" w:sz="4" w:space="0" w:color="auto"/>
            </w:tcBorders>
            <w:shd w:val="clear" w:color="auto" w:fill="auto"/>
            <w:noWrap/>
            <w:vAlign w:val="center"/>
            <w:hideMark/>
          </w:tcPr>
          <w:p w14:paraId="3A973DDA" w14:textId="77777777" w:rsidR="00387142" w:rsidRPr="008B6A75" w:rsidRDefault="00387142" w:rsidP="00387142">
            <w:pPr>
              <w:jc w:val="center"/>
              <w:rPr>
                <w:sz w:val="20"/>
                <w:szCs w:val="20"/>
              </w:rPr>
            </w:pPr>
            <w:r w:rsidRPr="008B6A75">
              <w:rPr>
                <w:sz w:val="20"/>
                <w:szCs w:val="20"/>
              </w:rPr>
              <w:t>07</w:t>
            </w:r>
          </w:p>
        </w:tc>
        <w:tc>
          <w:tcPr>
            <w:tcW w:w="1411" w:type="dxa"/>
            <w:tcBorders>
              <w:top w:val="nil"/>
              <w:left w:val="single" w:sz="4" w:space="0" w:color="auto"/>
              <w:bottom w:val="nil"/>
              <w:right w:val="nil"/>
            </w:tcBorders>
            <w:shd w:val="clear" w:color="auto" w:fill="auto"/>
            <w:noWrap/>
            <w:vAlign w:val="center"/>
            <w:hideMark/>
          </w:tcPr>
          <w:p w14:paraId="572C9BFA" w14:textId="77777777" w:rsidR="00387142" w:rsidRPr="008B6A75" w:rsidRDefault="00387142" w:rsidP="00387142">
            <w:pPr>
              <w:jc w:val="center"/>
              <w:rPr>
                <w:sz w:val="20"/>
                <w:szCs w:val="20"/>
              </w:rPr>
            </w:pPr>
            <w:r w:rsidRPr="008B6A75">
              <w:rPr>
                <w:sz w:val="20"/>
                <w:szCs w:val="20"/>
              </w:rPr>
              <w:t>07.4.00.S0359</w:t>
            </w:r>
          </w:p>
        </w:tc>
        <w:tc>
          <w:tcPr>
            <w:tcW w:w="955" w:type="dxa"/>
            <w:tcBorders>
              <w:top w:val="nil"/>
              <w:left w:val="single" w:sz="4" w:space="0" w:color="auto"/>
              <w:bottom w:val="nil"/>
              <w:right w:val="single" w:sz="4" w:space="0" w:color="auto"/>
            </w:tcBorders>
            <w:shd w:val="clear" w:color="auto" w:fill="auto"/>
            <w:noWrap/>
            <w:vAlign w:val="center"/>
            <w:hideMark/>
          </w:tcPr>
          <w:p w14:paraId="6568A01B" w14:textId="77777777" w:rsidR="00387142" w:rsidRPr="008B6A75" w:rsidRDefault="00387142" w:rsidP="00387142">
            <w:pPr>
              <w:jc w:val="center"/>
              <w:rPr>
                <w:sz w:val="20"/>
                <w:szCs w:val="20"/>
              </w:rPr>
            </w:pPr>
            <w:r w:rsidRPr="008B6A75">
              <w:rPr>
                <w:sz w:val="20"/>
                <w:szCs w:val="20"/>
              </w:rPr>
              <w:t>600</w:t>
            </w:r>
          </w:p>
        </w:tc>
        <w:tc>
          <w:tcPr>
            <w:tcW w:w="992" w:type="dxa"/>
            <w:tcBorders>
              <w:top w:val="nil"/>
              <w:left w:val="single" w:sz="4" w:space="0" w:color="auto"/>
              <w:bottom w:val="nil"/>
              <w:right w:val="single" w:sz="4" w:space="0" w:color="auto"/>
            </w:tcBorders>
            <w:shd w:val="clear" w:color="auto" w:fill="auto"/>
            <w:noWrap/>
            <w:vAlign w:val="center"/>
            <w:hideMark/>
          </w:tcPr>
          <w:p w14:paraId="79D3274A" w14:textId="77777777" w:rsidR="00387142" w:rsidRPr="008B6A75" w:rsidRDefault="00387142" w:rsidP="00387142">
            <w:pPr>
              <w:jc w:val="right"/>
              <w:rPr>
                <w:sz w:val="20"/>
                <w:szCs w:val="20"/>
              </w:rPr>
            </w:pPr>
            <w:r w:rsidRPr="008B6A75">
              <w:rPr>
                <w:sz w:val="20"/>
                <w:szCs w:val="20"/>
              </w:rPr>
              <w:t>1 720 352,00</w:t>
            </w:r>
          </w:p>
        </w:tc>
        <w:tc>
          <w:tcPr>
            <w:tcW w:w="992" w:type="dxa"/>
            <w:gridSpan w:val="2"/>
            <w:tcBorders>
              <w:top w:val="nil"/>
              <w:left w:val="single" w:sz="4" w:space="0" w:color="auto"/>
              <w:bottom w:val="nil"/>
              <w:right w:val="nil"/>
            </w:tcBorders>
            <w:shd w:val="clear" w:color="auto" w:fill="auto"/>
            <w:noWrap/>
            <w:vAlign w:val="center"/>
            <w:hideMark/>
          </w:tcPr>
          <w:p w14:paraId="349728E9" w14:textId="77777777" w:rsidR="00387142" w:rsidRPr="008B6A75" w:rsidRDefault="00387142" w:rsidP="00387142">
            <w:pPr>
              <w:jc w:val="right"/>
              <w:rPr>
                <w:sz w:val="20"/>
                <w:szCs w:val="20"/>
              </w:rPr>
            </w:pPr>
            <w:r w:rsidRPr="008B6A75">
              <w:rPr>
                <w:sz w:val="20"/>
                <w:szCs w:val="20"/>
              </w:rPr>
              <w:t>0,00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26094332" w14:textId="77777777" w:rsidR="00387142" w:rsidRPr="008B6A75" w:rsidRDefault="00387142" w:rsidP="00387142">
            <w:pPr>
              <w:jc w:val="right"/>
              <w:rPr>
                <w:sz w:val="20"/>
                <w:szCs w:val="20"/>
              </w:rPr>
            </w:pPr>
            <w:r w:rsidRPr="008B6A75">
              <w:rPr>
                <w:sz w:val="20"/>
                <w:szCs w:val="20"/>
              </w:rPr>
              <w:t>0,00</w:t>
            </w:r>
          </w:p>
        </w:tc>
        <w:tc>
          <w:tcPr>
            <w:tcW w:w="222" w:type="dxa"/>
            <w:vAlign w:val="center"/>
            <w:hideMark/>
          </w:tcPr>
          <w:p w14:paraId="4C6392C1" w14:textId="77777777" w:rsidR="00387142" w:rsidRPr="008B6A75" w:rsidRDefault="00387142" w:rsidP="00387142">
            <w:pPr>
              <w:rPr>
                <w:sz w:val="20"/>
                <w:szCs w:val="20"/>
              </w:rPr>
            </w:pPr>
          </w:p>
        </w:tc>
      </w:tr>
      <w:tr w:rsidR="00387142" w:rsidRPr="008B6A75" w14:paraId="53CC7C06" w14:textId="77777777" w:rsidTr="00387142">
        <w:trPr>
          <w:trHeight w:val="300"/>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1959C0E2" w14:textId="77777777" w:rsidR="00387142" w:rsidRPr="008B6A75" w:rsidRDefault="00387142" w:rsidP="00387142">
            <w:pPr>
              <w:rPr>
                <w:sz w:val="20"/>
                <w:szCs w:val="20"/>
              </w:rPr>
            </w:pPr>
            <w:r w:rsidRPr="008B6A75">
              <w:rPr>
                <w:sz w:val="20"/>
                <w:szCs w:val="20"/>
              </w:rPr>
              <w:t>Субсидии бюджетным учреждениям</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2349522E" w14:textId="77777777" w:rsidR="00387142" w:rsidRPr="008B6A75" w:rsidRDefault="00387142" w:rsidP="00387142">
            <w:pPr>
              <w:jc w:val="center"/>
              <w:rPr>
                <w:sz w:val="20"/>
                <w:szCs w:val="20"/>
              </w:rPr>
            </w:pPr>
            <w:r w:rsidRPr="008B6A75">
              <w:rPr>
                <w:sz w:val="20"/>
                <w:szCs w:val="20"/>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4EE26B67" w14:textId="77777777" w:rsidR="00387142" w:rsidRPr="008B6A75" w:rsidRDefault="00387142" w:rsidP="00387142">
            <w:pPr>
              <w:jc w:val="center"/>
              <w:rPr>
                <w:sz w:val="20"/>
                <w:szCs w:val="20"/>
              </w:rPr>
            </w:pPr>
            <w:r w:rsidRPr="008B6A75">
              <w:rPr>
                <w:sz w:val="20"/>
                <w:szCs w:val="20"/>
              </w:rPr>
              <w:t>07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3F2D33" w14:textId="77777777" w:rsidR="00387142" w:rsidRPr="008B6A75" w:rsidRDefault="00387142" w:rsidP="00387142">
            <w:pPr>
              <w:jc w:val="center"/>
              <w:rPr>
                <w:sz w:val="20"/>
                <w:szCs w:val="20"/>
              </w:rPr>
            </w:pPr>
            <w:r w:rsidRPr="008B6A75">
              <w:rPr>
                <w:sz w:val="20"/>
                <w:szCs w:val="20"/>
              </w:rPr>
              <w:t>07</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15B5F51E" w14:textId="77777777" w:rsidR="00387142" w:rsidRPr="008B6A75" w:rsidRDefault="00387142" w:rsidP="00387142">
            <w:pPr>
              <w:jc w:val="center"/>
              <w:rPr>
                <w:sz w:val="20"/>
                <w:szCs w:val="20"/>
              </w:rPr>
            </w:pPr>
            <w:r w:rsidRPr="008B6A75">
              <w:rPr>
                <w:sz w:val="20"/>
                <w:szCs w:val="20"/>
              </w:rPr>
              <w:t>07.4.00.S0359</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892F7B" w14:textId="77777777" w:rsidR="00387142" w:rsidRPr="008B6A75" w:rsidRDefault="00387142" w:rsidP="00387142">
            <w:pPr>
              <w:jc w:val="center"/>
              <w:rPr>
                <w:sz w:val="20"/>
                <w:szCs w:val="20"/>
              </w:rPr>
            </w:pPr>
            <w:r w:rsidRPr="008B6A75">
              <w:rPr>
                <w:sz w:val="20"/>
                <w:szCs w:val="20"/>
              </w:rPr>
              <w:t>610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EF4246" w14:textId="77777777" w:rsidR="00387142" w:rsidRPr="008B6A75" w:rsidRDefault="00387142" w:rsidP="00387142">
            <w:pPr>
              <w:jc w:val="right"/>
              <w:rPr>
                <w:sz w:val="20"/>
                <w:szCs w:val="20"/>
              </w:rPr>
            </w:pPr>
            <w:r w:rsidRPr="008B6A75">
              <w:rPr>
                <w:sz w:val="20"/>
                <w:szCs w:val="20"/>
              </w:rPr>
              <w:t>1 720 352,00</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5ACE40EF" w14:textId="77777777" w:rsidR="00387142" w:rsidRPr="008B6A75" w:rsidRDefault="00387142" w:rsidP="00387142">
            <w:pPr>
              <w:jc w:val="right"/>
              <w:rPr>
                <w:sz w:val="20"/>
                <w:szCs w:val="20"/>
              </w:rPr>
            </w:pPr>
            <w:r w:rsidRPr="008B6A75">
              <w:rPr>
                <w:sz w:val="20"/>
                <w:szCs w:val="20"/>
              </w:rPr>
              <w:t>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9DFD6F" w14:textId="77777777" w:rsidR="00387142" w:rsidRPr="008B6A75" w:rsidRDefault="00387142" w:rsidP="00387142">
            <w:pPr>
              <w:jc w:val="right"/>
              <w:rPr>
                <w:sz w:val="20"/>
                <w:szCs w:val="20"/>
              </w:rPr>
            </w:pPr>
            <w:r w:rsidRPr="008B6A75">
              <w:rPr>
                <w:sz w:val="20"/>
                <w:szCs w:val="20"/>
              </w:rPr>
              <w:t>0,00</w:t>
            </w:r>
          </w:p>
        </w:tc>
        <w:tc>
          <w:tcPr>
            <w:tcW w:w="222" w:type="dxa"/>
            <w:vAlign w:val="center"/>
            <w:hideMark/>
          </w:tcPr>
          <w:p w14:paraId="09105D00" w14:textId="77777777" w:rsidR="00387142" w:rsidRPr="008B6A75" w:rsidRDefault="00387142" w:rsidP="00387142">
            <w:pPr>
              <w:rPr>
                <w:sz w:val="20"/>
                <w:szCs w:val="20"/>
              </w:rPr>
            </w:pPr>
          </w:p>
        </w:tc>
      </w:tr>
      <w:tr w:rsidR="00387142" w:rsidRPr="008B6A75" w14:paraId="604AE081" w14:textId="77777777" w:rsidTr="00387142">
        <w:trPr>
          <w:trHeight w:val="870"/>
        </w:trPr>
        <w:tc>
          <w:tcPr>
            <w:tcW w:w="3021" w:type="dxa"/>
            <w:tcBorders>
              <w:top w:val="nil"/>
              <w:left w:val="single" w:sz="4" w:space="0" w:color="auto"/>
              <w:bottom w:val="nil"/>
              <w:right w:val="nil"/>
            </w:tcBorders>
            <w:shd w:val="clear" w:color="auto" w:fill="auto"/>
            <w:vAlign w:val="center"/>
            <w:hideMark/>
          </w:tcPr>
          <w:p w14:paraId="66BEE6C4" w14:textId="77777777" w:rsidR="00387142" w:rsidRPr="008B6A75" w:rsidRDefault="00387142" w:rsidP="00387142">
            <w:pPr>
              <w:rPr>
                <w:bCs/>
                <w:sz w:val="20"/>
                <w:szCs w:val="20"/>
              </w:rPr>
            </w:pPr>
            <w:r w:rsidRPr="008B6A75">
              <w:rPr>
                <w:bCs/>
                <w:sz w:val="20"/>
                <w:szCs w:val="20"/>
              </w:rPr>
              <w:t>Муниципальная программа "Комплексные меры профилактики наркомании в Куйбышевском районе"</w:t>
            </w:r>
          </w:p>
        </w:tc>
        <w:tc>
          <w:tcPr>
            <w:tcW w:w="850" w:type="dxa"/>
            <w:tcBorders>
              <w:top w:val="nil"/>
              <w:left w:val="single" w:sz="4" w:space="0" w:color="auto"/>
              <w:bottom w:val="nil"/>
              <w:right w:val="nil"/>
            </w:tcBorders>
            <w:shd w:val="clear" w:color="auto" w:fill="auto"/>
            <w:noWrap/>
            <w:vAlign w:val="center"/>
            <w:hideMark/>
          </w:tcPr>
          <w:p w14:paraId="44A7DF52" w14:textId="77777777" w:rsidR="00387142" w:rsidRPr="008B6A75" w:rsidRDefault="00387142" w:rsidP="00387142">
            <w:pPr>
              <w:jc w:val="center"/>
              <w:rPr>
                <w:bCs/>
                <w:sz w:val="20"/>
                <w:szCs w:val="20"/>
              </w:rPr>
            </w:pPr>
            <w:r w:rsidRPr="008B6A75">
              <w:rPr>
                <w:bCs/>
                <w:sz w:val="20"/>
                <w:szCs w:val="20"/>
              </w:rPr>
              <w:t>444</w:t>
            </w:r>
          </w:p>
        </w:tc>
        <w:tc>
          <w:tcPr>
            <w:tcW w:w="709" w:type="dxa"/>
            <w:tcBorders>
              <w:top w:val="nil"/>
              <w:left w:val="single" w:sz="4" w:space="0" w:color="auto"/>
              <w:bottom w:val="nil"/>
              <w:right w:val="nil"/>
            </w:tcBorders>
            <w:shd w:val="clear" w:color="auto" w:fill="auto"/>
            <w:noWrap/>
            <w:vAlign w:val="center"/>
            <w:hideMark/>
          </w:tcPr>
          <w:p w14:paraId="772F18C3" w14:textId="77777777" w:rsidR="00387142" w:rsidRPr="008B6A75" w:rsidRDefault="00387142" w:rsidP="00387142">
            <w:pPr>
              <w:jc w:val="center"/>
              <w:rPr>
                <w:bCs/>
                <w:sz w:val="20"/>
                <w:szCs w:val="20"/>
              </w:rPr>
            </w:pPr>
            <w:r w:rsidRPr="008B6A75">
              <w:rPr>
                <w:bCs/>
                <w:sz w:val="20"/>
                <w:szCs w:val="20"/>
              </w:rPr>
              <w:t>07</w:t>
            </w:r>
          </w:p>
        </w:tc>
        <w:tc>
          <w:tcPr>
            <w:tcW w:w="709" w:type="dxa"/>
            <w:tcBorders>
              <w:top w:val="nil"/>
              <w:left w:val="single" w:sz="4" w:space="0" w:color="auto"/>
              <w:bottom w:val="nil"/>
              <w:right w:val="single" w:sz="4" w:space="0" w:color="auto"/>
            </w:tcBorders>
            <w:shd w:val="clear" w:color="auto" w:fill="auto"/>
            <w:noWrap/>
            <w:vAlign w:val="center"/>
            <w:hideMark/>
          </w:tcPr>
          <w:p w14:paraId="64D5F815" w14:textId="77777777" w:rsidR="00387142" w:rsidRPr="008B6A75" w:rsidRDefault="00387142" w:rsidP="00387142">
            <w:pPr>
              <w:jc w:val="center"/>
              <w:rPr>
                <w:bCs/>
                <w:sz w:val="20"/>
                <w:szCs w:val="20"/>
              </w:rPr>
            </w:pPr>
            <w:r w:rsidRPr="008B6A75">
              <w:rPr>
                <w:bCs/>
                <w:sz w:val="20"/>
                <w:szCs w:val="20"/>
              </w:rPr>
              <w:t>07</w:t>
            </w:r>
          </w:p>
        </w:tc>
        <w:tc>
          <w:tcPr>
            <w:tcW w:w="1411" w:type="dxa"/>
            <w:tcBorders>
              <w:top w:val="nil"/>
              <w:left w:val="single" w:sz="4" w:space="0" w:color="auto"/>
              <w:bottom w:val="nil"/>
              <w:right w:val="nil"/>
            </w:tcBorders>
            <w:shd w:val="clear" w:color="auto" w:fill="auto"/>
            <w:noWrap/>
            <w:vAlign w:val="center"/>
            <w:hideMark/>
          </w:tcPr>
          <w:p w14:paraId="7F9B3895" w14:textId="77777777" w:rsidR="00387142" w:rsidRPr="008B6A75" w:rsidRDefault="00387142" w:rsidP="00387142">
            <w:pPr>
              <w:jc w:val="center"/>
              <w:rPr>
                <w:bCs/>
                <w:sz w:val="20"/>
                <w:szCs w:val="20"/>
              </w:rPr>
            </w:pPr>
            <w:r w:rsidRPr="008B6A75">
              <w:rPr>
                <w:bCs/>
                <w:sz w:val="20"/>
                <w:szCs w:val="20"/>
              </w:rPr>
              <w:t>14.0.00.00000</w:t>
            </w:r>
          </w:p>
        </w:tc>
        <w:tc>
          <w:tcPr>
            <w:tcW w:w="955" w:type="dxa"/>
            <w:tcBorders>
              <w:top w:val="nil"/>
              <w:left w:val="single" w:sz="4" w:space="0" w:color="auto"/>
              <w:bottom w:val="nil"/>
              <w:right w:val="single" w:sz="4" w:space="0" w:color="auto"/>
            </w:tcBorders>
            <w:shd w:val="clear" w:color="auto" w:fill="auto"/>
            <w:noWrap/>
            <w:vAlign w:val="center"/>
            <w:hideMark/>
          </w:tcPr>
          <w:p w14:paraId="00D6AF1C"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nil"/>
              <w:right w:val="single" w:sz="4" w:space="0" w:color="auto"/>
            </w:tcBorders>
            <w:shd w:val="clear" w:color="auto" w:fill="auto"/>
            <w:noWrap/>
            <w:vAlign w:val="center"/>
            <w:hideMark/>
          </w:tcPr>
          <w:p w14:paraId="470865C4" w14:textId="77777777" w:rsidR="00387142" w:rsidRPr="008B6A75" w:rsidRDefault="00387142" w:rsidP="00387142">
            <w:pPr>
              <w:jc w:val="right"/>
              <w:rPr>
                <w:bCs/>
                <w:sz w:val="20"/>
                <w:szCs w:val="20"/>
              </w:rPr>
            </w:pPr>
            <w:r w:rsidRPr="008B6A75">
              <w:rPr>
                <w:bCs/>
                <w:sz w:val="20"/>
                <w:szCs w:val="20"/>
              </w:rPr>
              <w:t>253 274,00</w:t>
            </w:r>
          </w:p>
        </w:tc>
        <w:tc>
          <w:tcPr>
            <w:tcW w:w="992" w:type="dxa"/>
            <w:gridSpan w:val="2"/>
            <w:tcBorders>
              <w:top w:val="nil"/>
              <w:left w:val="single" w:sz="4" w:space="0" w:color="auto"/>
              <w:bottom w:val="nil"/>
              <w:right w:val="nil"/>
            </w:tcBorders>
            <w:shd w:val="clear" w:color="auto" w:fill="auto"/>
            <w:noWrap/>
            <w:vAlign w:val="center"/>
            <w:hideMark/>
          </w:tcPr>
          <w:p w14:paraId="2834EA92" w14:textId="77777777" w:rsidR="00387142" w:rsidRPr="008B6A75" w:rsidRDefault="00387142" w:rsidP="00387142">
            <w:pPr>
              <w:jc w:val="right"/>
              <w:rPr>
                <w:bCs/>
                <w:sz w:val="20"/>
                <w:szCs w:val="20"/>
              </w:rPr>
            </w:pPr>
            <w:r w:rsidRPr="008B6A75">
              <w:rPr>
                <w:bCs/>
                <w:sz w:val="20"/>
                <w:szCs w:val="20"/>
              </w:rPr>
              <w:t>0,00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1117A43B" w14:textId="77777777" w:rsidR="00387142" w:rsidRPr="008B6A75" w:rsidRDefault="00387142" w:rsidP="00387142">
            <w:pPr>
              <w:jc w:val="right"/>
              <w:rPr>
                <w:bCs/>
                <w:sz w:val="20"/>
                <w:szCs w:val="20"/>
              </w:rPr>
            </w:pPr>
            <w:r w:rsidRPr="008B6A75">
              <w:rPr>
                <w:bCs/>
                <w:sz w:val="20"/>
                <w:szCs w:val="20"/>
              </w:rPr>
              <w:t>0,00</w:t>
            </w:r>
          </w:p>
        </w:tc>
        <w:tc>
          <w:tcPr>
            <w:tcW w:w="222" w:type="dxa"/>
            <w:vAlign w:val="center"/>
            <w:hideMark/>
          </w:tcPr>
          <w:p w14:paraId="53041FF5" w14:textId="77777777" w:rsidR="00387142" w:rsidRPr="008B6A75" w:rsidRDefault="00387142" w:rsidP="00387142">
            <w:pPr>
              <w:rPr>
                <w:sz w:val="20"/>
                <w:szCs w:val="20"/>
              </w:rPr>
            </w:pPr>
          </w:p>
        </w:tc>
      </w:tr>
      <w:tr w:rsidR="00387142" w:rsidRPr="008B6A75" w14:paraId="753BFF30" w14:textId="77777777" w:rsidTr="00387142">
        <w:trPr>
          <w:trHeight w:val="870"/>
        </w:trPr>
        <w:tc>
          <w:tcPr>
            <w:tcW w:w="3021" w:type="dxa"/>
            <w:tcBorders>
              <w:top w:val="single" w:sz="4" w:space="0" w:color="auto"/>
              <w:left w:val="single" w:sz="4" w:space="0" w:color="auto"/>
              <w:bottom w:val="nil"/>
              <w:right w:val="nil"/>
            </w:tcBorders>
            <w:shd w:val="clear" w:color="auto" w:fill="auto"/>
            <w:vAlign w:val="center"/>
            <w:hideMark/>
          </w:tcPr>
          <w:p w14:paraId="3393A149" w14:textId="77777777" w:rsidR="00387142" w:rsidRPr="008B6A75" w:rsidRDefault="00387142" w:rsidP="00387142">
            <w:pPr>
              <w:rPr>
                <w:bCs/>
                <w:sz w:val="20"/>
                <w:szCs w:val="20"/>
              </w:rPr>
            </w:pPr>
            <w:r w:rsidRPr="008B6A75">
              <w:rPr>
                <w:bCs/>
                <w:sz w:val="20"/>
                <w:szCs w:val="20"/>
              </w:rPr>
              <w:t>Реализация мероприятий в рамках МП "Комплексные меры профилактики наркомании в Куйбышевском районе"</w:t>
            </w:r>
          </w:p>
        </w:tc>
        <w:tc>
          <w:tcPr>
            <w:tcW w:w="850" w:type="dxa"/>
            <w:tcBorders>
              <w:top w:val="single" w:sz="4" w:space="0" w:color="auto"/>
              <w:left w:val="single" w:sz="4" w:space="0" w:color="auto"/>
              <w:bottom w:val="nil"/>
              <w:right w:val="nil"/>
            </w:tcBorders>
            <w:shd w:val="clear" w:color="auto" w:fill="auto"/>
            <w:noWrap/>
            <w:vAlign w:val="center"/>
            <w:hideMark/>
          </w:tcPr>
          <w:p w14:paraId="419F40FD" w14:textId="77777777" w:rsidR="00387142" w:rsidRPr="008B6A75" w:rsidRDefault="00387142" w:rsidP="00387142">
            <w:pPr>
              <w:jc w:val="center"/>
              <w:rPr>
                <w:bCs/>
                <w:sz w:val="20"/>
                <w:szCs w:val="20"/>
              </w:rPr>
            </w:pPr>
            <w:r w:rsidRPr="008B6A75">
              <w:rPr>
                <w:bCs/>
                <w:sz w:val="20"/>
                <w:szCs w:val="20"/>
              </w:rPr>
              <w:t>444</w:t>
            </w:r>
          </w:p>
        </w:tc>
        <w:tc>
          <w:tcPr>
            <w:tcW w:w="709" w:type="dxa"/>
            <w:tcBorders>
              <w:top w:val="single" w:sz="4" w:space="0" w:color="auto"/>
              <w:left w:val="single" w:sz="4" w:space="0" w:color="auto"/>
              <w:bottom w:val="nil"/>
              <w:right w:val="nil"/>
            </w:tcBorders>
            <w:shd w:val="clear" w:color="auto" w:fill="auto"/>
            <w:noWrap/>
            <w:vAlign w:val="center"/>
            <w:hideMark/>
          </w:tcPr>
          <w:p w14:paraId="158D1117" w14:textId="77777777" w:rsidR="00387142" w:rsidRPr="008B6A75" w:rsidRDefault="00387142" w:rsidP="00387142">
            <w:pPr>
              <w:jc w:val="center"/>
              <w:rPr>
                <w:bCs/>
                <w:sz w:val="20"/>
                <w:szCs w:val="20"/>
              </w:rPr>
            </w:pPr>
            <w:r w:rsidRPr="008B6A75">
              <w:rPr>
                <w:bCs/>
                <w:sz w:val="20"/>
                <w:szCs w:val="20"/>
              </w:rPr>
              <w:t>07</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5FD55766" w14:textId="77777777" w:rsidR="00387142" w:rsidRPr="008B6A75" w:rsidRDefault="00387142" w:rsidP="00387142">
            <w:pPr>
              <w:jc w:val="center"/>
              <w:rPr>
                <w:bCs/>
                <w:sz w:val="20"/>
                <w:szCs w:val="20"/>
              </w:rPr>
            </w:pPr>
            <w:r w:rsidRPr="008B6A75">
              <w:rPr>
                <w:bCs/>
                <w:sz w:val="20"/>
                <w:szCs w:val="20"/>
              </w:rPr>
              <w:t>07</w:t>
            </w:r>
          </w:p>
        </w:tc>
        <w:tc>
          <w:tcPr>
            <w:tcW w:w="1411" w:type="dxa"/>
            <w:tcBorders>
              <w:top w:val="single" w:sz="4" w:space="0" w:color="auto"/>
              <w:left w:val="single" w:sz="4" w:space="0" w:color="auto"/>
              <w:bottom w:val="nil"/>
              <w:right w:val="nil"/>
            </w:tcBorders>
            <w:shd w:val="clear" w:color="auto" w:fill="auto"/>
            <w:noWrap/>
            <w:vAlign w:val="center"/>
            <w:hideMark/>
          </w:tcPr>
          <w:p w14:paraId="1686DF2A" w14:textId="77777777" w:rsidR="00387142" w:rsidRPr="008B6A75" w:rsidRDefault="00387142" w:rsidP="00387142">
            <w:pPr>
              <w:jc w:val="center"/>
              <w:rPr>
                <w:bCs/>
                <w:sz w:val="20"/>
                <w:szCs w:val="20"/>
              </w:rPr>
            </w:pPr>
            <w:r w:rsidRPr="008B6A75">
              <w:rPr>
                <w:bCs/>
                <w:sz w:val="20"/>
                <w:szCs w:val="20"/>
              </w:rPr>
              <w:t>14.0.00.79570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4F2C1271" w14:textId="77777777" w:rsidR="00387142" w:rsidRPr="008B6A75" w:rsidRDefault="00387142" w:rsidP="00387142">
            <w:pPr>
              <w:jc w:val="center"/>
              <w:rPr>
                <w:bCs/>
                <w:sz w:val="20"/>
                <w:szCs w:val="20"/>
              </w:rPr>
            </w:pPr>
            <w:r w:rsidRPr="008B6A75">
              <w:rPr>
                <w:bCs/>
                <w:sz w:val="20"/>
                <w:szCs w:val="20"/>
              </w:rPr>
              <w:t> </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68CC5E20" w14:textId="77777777" w:rsidR="00387142" w:rsidRPr="008B6A75" w:rsidRDefault="00387142" w:rsidP="00387142">
            <w:pPr>
              <w:jc w:val="right"/>
              <w:rPr>
                <w:bCs/>
                <w:sz w:val="20"/>
                <w:szCs w:val="20"/>
              </w:rPr>
            </w:pPr>
            <w:r w:rsidRPr="008B6A75">
              <w:rPr>
                <w:bCs/>
                <w:sz w:val="20"/>
                <w:szCs w:val="20"/>
              </w:rPr>
              <w:t>253 274,00</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0343F31B" w14:textId="77777777" w:rsidR="00387142" w:rsidRPr="008B6A75" w:rsidRDefault="00387142" w:rsidP="00387142">
            <w:pPr>
              <w:jc w:val="right"/>
              <w:rPr>
                <w:bCs/>
                <w:sz w:val="20"/>
                <w:szCs w:val="20"/>
              </w:rPr>
            </w:pPr>
            <w:r w:rsidRPr="008B6A75">
              <w:rPr>
                <w:bCs/>
                <w:sz w:val="20"/>
                <w:szCs w:val="20"/>
              </w:rPr>
              <w:t>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60D2017D" w14:textId="77777777" w:rsidR="00387142" w:rsidRPr="008B6A75" w:rsidRDefault="00387142" w:rsidP="00387142">
            <w:pPr>
              <w:jc w:val="right"/>
              <w:rPr>
                <w:bCs/>
                <w:sz w:val="20"/>
                <w:szCs w:val="20"/>
              </w:rPr>
            </w:pPr>
            <w:r w:rsidRPr="008B6A75">
              <w:rPr>
                <w:bCs/>
                <w:sz w:val="20"/>
                <w:szCs w:val="20"/>
              </w:rPr>
              <w:t>0,00</w:t>
            </w:r>
          </w:p>
        </w:tc>
        <w:tc>
          <w:tcPr>
            <w:tcW w:w="222" w:type="dxa"/>
            <w:vAlign w:val="center"/>
            <w:hideMark/>
          </w:tcPr>
          <w:p w14:paraId="738FF878" w14:textId="77777777" w:rsidR="00387142" w:rsidRPr="008B6A75" w:rsidRDefault="00387142" w:rsidP="00387142">
            <w:pPr>
              <w:rPr>
                <w:sz w:val="20"/>
                <w:szCs w:val="20"/>
              </w:rPr>
            </w:pPr>
          </w:p>
        </w:tc>
      </w:tr>
      <w:tr w:rsidR="00387142" w:rsidRPr="008B6A75" w14:paraId="0799F451" w14:textId="77777777" w:rsidTr="00387142">
        <w:trPr>
          <w:trHeight w:val="300"/>
        </w:trPr>
        <w:tc>
          <w:tcPr>
            <w:tcW w:w="3021" w:type="dxa"/>
            <w:tcBorders>
              <w:top w:val="single" w:sz="4" w:space="0" w:color="auto"/>
              <w:left w:val="single" w:sz="4" w:space="0" w:color="auto"/>
              <w:bottom w:val="nil"/>
              <w:right w:val="nil"/>
            </w:tcBorders>
            <w:shd w:val="clear" w:color="auto" w:fill="auto"/>
            <w:vAlign w:val="center"/>
            <w:hideMark/>
          </w:tcPr>
          <w:p w14:paraId="19B9CE59" w14:textId="77777777" w:rsidR="00387142" w:rsidRPr="008B6A75" w:rsidRDefault="00387142" w:rsidP="00387142">
            <w:pPr>
              <w:rPr>
                <w:sz w:val="20"/>
                <w:szCs w:val="20"/>
              </w:rPr>
            </w:pPr>
            <w:r w:rsidRPr="008B6A75">
              <w:rPr>
                <w:sz w:val="20"/>
                <w:szCs w:val="20"/>
              </w:rPr>
              <w:t>Межбюджетные трансферты</w:t>
            </w:r>
          </w:p>
        </w:tc>
        <w:tc>
          <w:tcPr>
            <w:tcW w:w="850" w:type="dxa"/>
            <w:tcBorders>
              <w:top w:val="single" w:sz="4" w:space="0" w:color="auto"/>
              <w:left w:val="single" w:sz="4" w:space="0" w:color="auto"/>
              <w:bottom w:val="nil"/>
              <w:right w:val="nil"/>
            </w:tcBorders>
            <w:shd w:val="clear" w:color="auto" w:fill="auto"/>
            <w:noWrap/>
            <w:vAlign w:val="center"/>
            <w:hideMark/>
          </w:tcPr>
          <w:p w14:paraId="082DF431" w14:textId="77777777" w:rsidR="00387142" w:rsidRPr="008B6A75" w:rsidRDefault="00387142" w:rsidP="00387142">
            <w:pPr>
              <w:jc w:val="center"/>
              <w:rPr>
                <w:sz w:val="20"/>
                <w:szCs w:val="20"/>
              </w:rPr>
            </w:pPr>
            <w:r w:rsidRPr="008B6A75">
              <w:rPr>
                <w:sz w:val="20"/>
                <w:szCs w:val="20"/>
              </w:rPr>
              <w:t>444</w:t>
            </w:r>
          </w:p>
        </w:tc>
        <w:tc>
          <w:tcPr>
            <w:tcW w:w="709" w:type="dxa"/>
            <w:tcBorders>
              <w:top w:val="single" w:sz="4" w:space="0" w:color="auto"/>
              <w:left w:val="single" w:sz="4" w:space="0" w:color="auto"/>
              <w:bottom w:val="nil"/>
              <w:right w:val="nil"/>
            </w:tcBorders>
            <w:shd w:val="clear" w:color="auto" w:fill="auto"/>
            <w:noWrap/>
            <w:vAlign w:val="center"/>
            <w:hideMark/>
          </w:tcPr>
          <w:p w14:paraId="65FDB6B1" w14:textId="77777777" w:rsidR="00387142" w:rsidRPr="008B6A75" w:rsidRDefault="00387142" w:rsidP="00387142">
            <w:pPr>
              <w:jc w:val="center"/>
              <w:rPr>
                <w:sz w:val="20"/>
                <w:szCs w:val="20"/>
              </w:rPr>
            </w:pPr>
            <w:r w:rsidRPr="008B6A75">
              <w:rPr>
                <w:sz w:val="20"/>
                <w:szCs w:val="20"/>
              </w:rPr>
              <w:t>07</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51569BA9" w14:textId="77777777" w:rsidR="00387142" w:rsidRPr="008B6A75" w:rsidRDefault="00387142" w:rsidP="00387142">
            <w:pPr>
              <w:jc w:val="center"/>
              <w:rPr>
                <w:sz w:val="20"/>
                <w:szCs w:val="20"/>
              </w:rPr>
            </w:pPr>
            <w:r w:rsidRPr="008B6A75">
              <w:rPr>
                <w:sz w:val="20"/>
                <w:szCs w:val="20"/>
              </w:rPr>
              <w:t>07</w:t>
            </w:r>
          </w:p>
        </w:tc>
        <w:tc>
          <w:tcPr>
            <w:tcW w:w="1411" w:type="dxa"/>
            <w:tcBorders>
              <w:top w:val="single" w:sz="4" w:space="0" w:color="auto"/>
              <w:left w:val="single" w:sz="4" w:space="0" w:color="auto"/>
              <w:bottom w:val="nil"/>
              <w:right w:val="nil"/>
            </w:tcBorders>
            <w:shd w:val="clear" w:color="auto" w:fill="auto"/>
            <w:noWrap/>
            <w:vAlign w:val="center"/>
            <w:hideMark/>
          </w:tcPr>
          <w:p w14:paraId="029E89CD" w14:textId="77777777" w:rsidR="00387142" w:rsidRPr="008B6A75" w:rsidRDefault="00387142" w:rsidP="00387142">
            <w:pPr>
              <w:jc w:val="center"/>
              <w:rPr>
                <w:sz w:val="20"/>
                <w:szCs w:val="20"/>
              </w:rPr>
            </w:pPr>
            <w:r w:rsidRPr="008B6A75">
              <w:rPr>
                <w:sz w:val="20"/>
                <w:szCs w:val="20"/>
              </w:rPr>
              <w:t>14.0.00.79570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17192410" w14:textId="77777777" w:rsidR="00387142" w:rsidRPr="008B6A75" w:rsidRDefault="00387142" w:rsidP="00387142">
            <w:pPr>
              <w:jc w:val="center"/>
              <w:rPr>
                <w:sz w:val="20"/>
                <w:szCs w:val="20"/>
              </w:rPr>
            </w:pPr>
            <w:r w:rsidRPr="008B6A75">
              <w:rPr>
                <w:sz w:val="20"/>
                <w:szCs w:val="20"/>
              </w:rPr>
              <w:t>500</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3A894232" w14:textId="77777777" w:rsidR="00387142" w:rsidRPr="008B6A75" w:rsidRDefault="00387142" w:rsidP="00387142">
            <w:pPr>
              <w:jc w:val="right"/>
              <w:rPr>
                <w:sz w:val="20"/>
                <w:szCs w:val="20"/>
              </w:rPr>
            </w:pPr>
            <w:r w:rsidRPr="008B6A75">
              <w:rPr>
                <w:sz w:val="20"/>
                <w:szCs w:val="20"/>
              </w:rPr>
              <w:t>25 000,00</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3EBD547A" w14:textId="77777777" w:rsidR="00387142" w:rsidRPr="008B6A75" w:rsidRDefault="00387142" w:rsidP="00387142">
            <w:pPr>
              <w:jc w:val="right"/>
              <w:rPr>
                <w:sz w:val="20"/>
                <w:szCs w:val="20"/>
              </w:rPr>
            </w:pPr>
            <w:r w:rsidRPr="008B6A75">
              <w:rPr>
                <w:sz w:val="20"/>
                <w:szCs w:val="20"/>
              </w:rPr>
              <w:t>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005E9DC6" w14:textId="77777777" w:rsidR="00387142" w:rsidRPr="008B6A75" w:rsidRDefault="00387142" w:rsidP="00387142">
            <w:pPr>
              <w:jc w:val="right"/>
              <w:rPr>
                <w:sz w:val="20"/>
                <w:szCs w:val="20"/>
              </w:rPr>
            </w:pPr>
            <w:r w:rsidRPr="008B6A75">
              <w:rPr>
                <w:sz w:val="20"/>
                <w:szCs w:val="20"/>
              </w:rPr>
              <w:t>0,00</w:t>
            </w:r>
          </w:p>
        </w:tc>
        <w:tc>
          <w:tcPr>
            <w:tcW w:w="222" w:type="dxa"/>
            <w:vAlign w:val="center"/>
            <w:hideMark/>
          </w:tcPr>
          <w:p w14:paraId="48D7530D" w14:textId="77777777" w:rsidR="00387142" w:rsidRPr="008B6A75" w:rsidRDefault="00387142" w:rsidP="00387142">
            <w:pPr>
              <w:rPr>
                <w:sz w:val="20"/>
                <w:szCs w:val="20"/>
              </w:rPr>
            </w:pPr>
          </w:p>
        </w:tc>
      </w:tr>
      <w:tr w:rsidR="00387142" w:rsidRPr="008B6A75" w14:paraId="27E02584" w14:textId="77777777" w:rsidTr="00387142">
        <w:trPr>
          <w:trHeight w:val="300"/>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383E7A14" w14:textId="77777777" w:rsidR="00387142" w:rsidRPr="008B6A75" w:rsidRDefault="00387142" w:rsidP="00387142">
            <w:pPr>
              <w:rPr>
                <w:sz w:val="20"/>
                <w:szCs w:val="20"/>
              </w:rPr>
            </w:pPr>
            <w:r w:rsidRPr="008B6A75">
              <w:rPr>
                <w:sz w:val="20"/>
                <w:szCs w:val="20"/>
              </w:rPr>
              <w:t>Иные межбюджетные трансферты</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4FDE2303" w14:textId="77777777" w:rsidR="00387142" w:rsidRPr="008B6A75" w:rsidRDefault="00387142" w:rsidP="00387142">
            <w:pPr>
              <w:jc w:val="center"/>
              <w:rPr>
                <w:sz w:val="20"/>
                <w:szCs w:val="20"/>
              </w:rPr>
            </w:pPr>
            <w:r w:rsidRPr="008B6A75">
              <w:rPr>
                <w:sz w:val="20"/>
                <w:szCs w:val="20"/>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17F20A73" w14:textId="77777777" w:rsidR="00387142" w:rsidRPr="008B6A75" w:rsidRDefault="00387142" w:rsidP="00387142">
            <w:pPr>
              <w:jc w:val="center"/>
              <w:rPr>
                <w:sz w:val="20"/>
                <w:szCs w:val="20"/>
              </w:rPr>
            </w:pPr>
            <w:r w:rsidRPr="008B6A75">
              <w:rPr>
                <w:sz w:val="20"/>
                <w:szCs w:val="20"/>
              </w:rPr>
              <w:t>07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87A7E2" w14:textId="77777777" w:rsidR="00387142" w:rsidRPr="008B6A75" w:rsidRDefault="00387142" w:rsidP="00387142">
            <w:pPr>
              <w:jc w:val="center"/>
              <w:rPr>
                <w:sz w:val="20"/>
                <w:szCs w:val="20"/>
              </w:rPr>
            </w:pPr>
            <w:r w:rsidRPr="008B6A75">
              <w:rPr>
                <w:sz w:val="20"/>
                <w:szCs w:val="20"/>
              </w:rPr>
              <w:t>07</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5E40553A" w14:textId="77777777" w:rsidR="00387142" w:rsidRPr="008B6A75" w:rsidRDefault="00387142" w:rsidP="00387142">
            <w:pPr>
              <w:jc w:val="center"/>
              <w:rPr>
                <w:sz w:val="20"/>
                <w:szCs w:val="20"/>
              </w:rPr>
            </w:pPr>
            <w:r w:rsidRPr="008B6A75">
              <w:rPr>
                <w:sz w:val="20"/>
                <w:szCs w:val="20"/>
              </w:rPr>
              <w:t>14.0.00.79570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1280E3" w14:textId="77777777" w:rsidR="00387142" w:rsidRPr="008B6A75" w:rsidRDefault="00387142" w:rsidP="00387142">
            <w:pPr>
              <w:jc w:val="center"/>
              <w:rPr>
                <w:sz w:val="20"/>
                <w:szCs w:val="20"/>
              </w:rPr>
            </w:pPr>
            <w:r w:rsidRPr="008B6A75">
              <w:rPr>
                <w:sz w:val="20"/>
                <w:szCs w:val="20"/>
              </w:rPr>
              <w:t>540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E7771C" w14:textId="77777777" w:rsidR="00387142" w:rsidRPr="008B6A75" w:rsidRDefault="00387142" w:rsidP="00387142">
            <w:pPr>
              <w:jc w:val="right"/>
              <w:rPr>
                <w:sz w:val="20"/>
                <w:szCs w:val="20"/>
              </w:rPr>
            </w:pPr>
            <w:r w:rsidRPr="008B6A75">
              <w:rPr>
                <w:sz w:val="20"/>
                <w:szCs w:val="20"/>
              </w:rPr>
              <w:t>25 000,00</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77D11D33" w14:textId="77777777" w:rsidR="00387142" w:rsidRPr="008B6A75" w:rsidRDefault="00387142" w:rsidP="00387142">
            <w:pPr>
              <w:jc w:val="right"/>
              <w:rPr>
                <w:sz w:val="20"/>
                <w:szCs w:val="20"/>
              </w:rPr>
            </w:pPr>
            <w:r w:rsidRPr="008B6A75">
              <w:rPr>
                <w:sz w:val="20"/>
                <w:szCs w:val="20"/>
              </w:rPr>
              <w:t>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5A17ED" w14:textId="77777777" w:rsidR="00387142" w:rsidRPr="008B6A75" w:rsidRDefault="00387142" w:rsidP="00387142">
            <w:pPr>
              <w:jc w:val="right"/>
              <w:rPr>
                <w:sz w:val="20"/>
                <w:szCs w:val="20"/>
              </w:rPr>
            </w:pPr>
            <w:r w:rsidRPr="008B6A75">
              <w:rPr>
                <w:sz w:val="20"/>
                <w:szCs w:val="20"/>
              </w:rPr>
              <w:t>0,00</w:t>
            </w:r>
          </w:p>
        </w:tc>
        <w:tc>
          <w:tcPr>
            <w:tcW w:w="222" w:type="dxa"/>
            <w:vAlign w:val="center"/>
            <w:hideMark/>
          </w:tcPr>
          <w:p w14:paraId="1754B63E" w14:textId="77777777" w:rsidR="00387142" w:rsidRPr="008B6A75" w:rsidRDefault="00387142" w:rsidP="00387142">
            <w:pPr>
              <w:rPr>
                <w:sz w:val="20"/>
                <w:szCs w:val="20"/>
              </w:rPr>
            </w:pPr>
          </w:p>
        </w:tc>
      </w:tr>
      <w:tr w:rsidR="00387142" w:rsidRPr="008B6A75" w14:paraId="6D20D683" w14:textId="77777777" w:rsidTr="00387142">
        <w:trPr>
          <w:trHeight w:val="870"/>
        </w:trPr>
        <w:tc>
          <w:tcPr>
            <w:tcW w:w="3021" w:type="dxa"/>
            <w:tcBorders>
              <w:top w:val="nil"/>
              <w:left w:val="single" w:sz="4" w:space="0" w:color="auto"/>
              <w:bottom w:val="nil"/>
              <w:right w:val="nil"/>
            </w:tcBorders>
            <w:shd w:val="clear" w:color="auto" w:fill="auto"/>
            <w:vAlign w:val="center"/>
            <w:hideMark/>
          </w:tcPr>
          <w:p w14:paraId="5D0C0D3F" w14:textId="77777777" w:rsidR="00387142" w:rsidRPr="008B6A75" w:rsidRDefault="00387142" w:rsidP="00387142">
            <w:pPr>
              <w:rPr>
                <w:sz w:val="20"/>
                <w:szCs w:val="20"/>
              </w:rPr>
            </w:pPr>
            <w:r w:rsidRPr="008B6A75">
              <w:rPr>
                <w:sz w:val="20"/>
                <w:szCs w:val="20"/>
              </w:rPr>
              <w:t>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right w:val="nil"/>
            </w:tcBorders>
            <w:shd w:val="clear" w:color="auto" w:fill="auto"/>
            <w:noWrap/>
            <w:vAlign w:val="center"/>
            <w:hideMark/>
          </w:tcPr>
          <w:p w14:paraId="326510FD" w14:textId="77777777" w:rsidR="00387142" w:rsidRPr="008B6A75" w:rsidRDefault="00387142" w:rsidP="00387142">
            <w:pPr>
              <w:jc w:val="center"/>
              <w:rPr>
                <w:sz w:val="20"/>
                <w:szCs w:val="20"/>
              </w:rPr>
            </w:pPr>
            <w:r w:rsidRPr="008B6A75">
              <w:rPr>
                <w:sz w:val="20"/>
                <w:szCs w:val="20"/>
              </w:rPr>
              <w:t>444</w:t>
            </w:r>
          </w:p>
        </w:tc>
        <w:tc>
          <w:tcPr>
            <w:tcW w:w="709" w:type="dxa"/>
            <w:tcBorders>
              <w:top w:val="nil"/>
              <w:left w:val="single" w:sz="4" w:space="0" w:color="auto"/>
              <w:bottom w:val="nil"/>
              <w:right w:val="nil"/>
            </w:tcBorders>
            <w:shd w:val="clear" w:color="auto" w:fill="auto"/>
            <w:noWrap/>
            <w:vAlign w:val="center"/>
            <w:hideMark/>
          </w:tcPr>
          <w:p w14:paraId="6A499159" w14:textId="77777777" w:rsidR="00387142" w:rsidRPr="008B6A75" w:rsidRDefault="00387142" w:rsidP="00387142">
            <w:pPr>
              <w:jc w:val="center"/>
              <w:rPr>
                <w:sz w:val="20"/>
                <w:szCs w:val="20"/>
              </w:rPr>
            </w:pPr>
            <w:r w:rsidRPr="008B6A75">
              <w:rPr>
                <w:sz w:val="20"/>
                <w:szCs w:val="20"/>
              </w:rPr>
              <w:t>07</w:t>
            </w:r>
          </w:p>
        </w:tc>
        <w:tc>
          <w:tcPr>
            <w:tcW w:w="709" w:type="dxa"/>
            <w:tcBorders>
              <w:top w:val="nil"/>
              <w:left w:val="single" w:sz="4" w:space="0" w:color="auto"/>
              <w:bottom w:val="nil"/>
              <w:right w:val="single" w:sz="4" w:space="0" w:color="auto"/>
            </w:tcBorders>
            <w:shd w:val="clear" w:color="auto" w:fill="auto"/>
            <w:noWrap/>
            <w:vAlign w:val="center"/>
            <w:hideMark/>
          </w:tcPr>
          <w:p w14:paraId="235A0290" w14:textId="77777777" w:rsidR="00387142" w:rsidRPr="008B6A75" w:rsidRDefault="00387142" w:rsidP="00387142">
            <w:pPr>
              <w:jc w:val="center"/>
              <w:rPr>
                <w:sz w:val="20"/>
                <w:szCs w:val="20"/>
              </w:rPr>
            </w:pPr>
            <w:r w:rsidRPr="008B6A75">
              <w:rPr>
                <w:sz w:val="20"/>
                <w:szCs w:val="20"/>
              </w:rPr>
              <w:t>07</w:t>
            </w:r>
          </w:p>
        </w:tc>
        <w:tc>
          <w:tcPr>
            <w:tcW w:w="1411" w:type="dxa"/>
            <w:tcBorders>
              <w:top w:val="nil"/>
              <w:left w:val="single" w:sz="4" w:space="0" w:color="auto"/>
              <w:bottom w:val="nil"/>
              <w:right w:val="nil"/>
            </w:tcBorders>
            <w:shd w:val="clear" w:color="auto" w:fill="auto"/>
            <w:noWrap/>
            <w:vAlign w:val="center"/>
            <w:hideMark/>
          </w:tcPr>
          <w:p w14:paraId="4F21121F" w14:textId="77777777" w:rsidR="00387142" w:rsidRPr="008B6A75" w:rsidRDefault="00387142" w:rsidP="00387142">
            <w:pPr>
              <w:jc w:val="center"/>
              <w:rPr>
                <w:sz w:val="20"/>
                <w:szCs w:val="20"/>
              </w:rPr>
            </w:pPr>
            <w:r w:rsidRPr="008B6A75">
              <w:rPr>
                <w:sz w:val="20"/>
                <w:szCs w:val="20"/>
              </w:rPr>
              <w:t>14.0.00.79570</w:t>
            </w:r>
          </w:p>
        </w:tc>
        <w:tc>
          <w:tcPr>
            <w:tcW w:w="955" w:type="dxa"/>
            <w:tcBorders>
              <w:top w:val="nil"/>
              <w:left w:val="single" w:sz="4" w:space="0" w:color="auto"/>
              <w:bottom w:val="nil"/>
              <w:right w:val="single" w:sz="4" w:space="0" w:color="auto"/>
            </w:tcBorders>
            <w:shd w:val="clear" w:color="auto" w:fill="auto"/>
            <w:noWrap/>
            <w:vAlign w:val="center"/>
            <w:hideMark/>
          </w:tcPr>
          <w:p w14:paraId="42C117DD" w14:textId="77777777" w:rsidR="00387142" w:rsidRPr="008B6A75" w:rsidRDefault="00387142" w:rsidP="00387142">
            <w:pPr>
              <w:jc w:val="center"/>
              <w:rPr>
                <w:sz w:val="20"/>
                <w:szCs w:val="20"/>
              </w:rPr>
            </w:pPr>
            <w:r w:rsidRPr="008B6A75">
              <w:rPr>
                <w:sz w:val="20"/>
                <w:szCs w:val="20"/>
              </w:rPr>
              <w:t>600</w:t>
            </w:r>
          </w:p>
        </w:tc>
        <w:tc>
          <w:tcPr>
            <w:tcW w:w="992" w:type="dxa"/>
            <w:tcBorders>
              <w:top w:val="nil"/>
              <w:left w:val="single" w:sz="4" w:space="0" w:color="auto"/>
              <w:bottom w:val="nil"/>
              <w:right w:val="single" w:sz="4" w:space="0" w:color="auto"/>
            </w:tcBorders>
            <w:shd w:val="clear" w:color="auto" w:fill="auto"/>
            <w:noWrap/>
            <w:vAlign w:val="center"/>
            <w:hideMark/>
          </w:tcPr>
          <w:p w14:paraId="04BD42A5" w14:textId="77777777" w:rsidR="00387142" w:rsidRPr="008B6A75" w:rsidRDefault="00387142" w:rsidP="00387142">
            <w:pPr>
              <w:jc w:val="right"/>
              <w:rPr>
                <w:sz w:val="20"/>
                <w:szCs w:val="20"/>
              </w:rPr>
            </w:pPr>
            <w:r w:rsidRPr="008B6A75">
              <w:rPr>
                <w:sz w:val="20"/>
                <w:szCs w:val="20"/>
              </w:rPr>
              <w:t>228 274,00</w:t>
            </w:r>
          </w:p>
        </w:tc>
        <w:tc>
          <w:tcPr>
            <w:tcW w:w="992" w:type="dxa"/>
            <w:gridSpan w:val="2"/>
            <w:tcBorders>
              <w:top w:val="nil"/>
              <w:left w:val="single" w:sz="4" w:space="0" w:color="auto"/>
              <w:bottom w:val="nil"/>
              <w:right w:val="nil"/>
            </w:tcBorders>
            <w:shd w:val="clear" w:color="auto" w:fill="auto"/>
            <w:noWrap/>
            <w:vAlign w:val="center"/>
            <w:hideMark/>
          </w:tcPr>
          <w:p w14:paraId="6BB260BF" w14:textId="77777777" w:rsidR="00387142" w:rsidRPr="008B6A75" w:rsidRDefault="00387142" w:rsidP="00387142">
            <w:pPr>
              <w:jc w:val="right"/>
              <w:rPr>
                <w:sz w:val="20"/>
                <w:szCs w:val="20"/>
              </w:rPr>
            </w:pPr>
            <w:r w:rsidRPr="008B6A75">
              <w:rPr>
                <w:sz w:val="20"/>
                <w:szCs w:val="20"/>
              </w:rPr>
              <w:t>0,00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3536710E" w14:textId="77777777" w:rsidR="00387142" w:rsidRPr="008B6A75" w:rsidRDefault="00387142" w:rsidP="00387142">
            <w:pPr>
              <w:jc w:val="right"/>
              <w:rPr>
                <w:sz w:val="20"/>
                <w:szCs w:val="20"/>
              </w:rPr>
            </w:pPr>
            <w:r w:rsidRPr="008B6A75">
              <w:rPr>
                <w:sz w:val="20"/>
                <w:szCs w:val="20"/>
              </w:rPr>
              <w:t>0,00</w:t>
            </w:r>
          </w:p>
        </w:tc>
        <w:tc>
          <w:tcPr>
            <w:tcW w:w="222" w:type="dxa"/>
            <w:vAlign w:val="center"/>
            <w:hideMark/>
          </w:tcPr>
          <w:p w14:paraId="049BEEB2" w14:textId="77777777" w:rsidR="00387142" w:rsidRPr="008B6A75" w:rsidRDefault="00387142" w:rsidP="00387142">
            <w:pPr>
              <w:rPr>
                <w:sz w:val="20"/>
                <w:szCs w:val="20"/>
              </w:rPr>
            </w:pPr>
          </w:p>
        </w:tc>
      </w:tr>
      <w:tr w:rsidR="00387142" w:rsidRPr="008B6A75" w14:paraId="58F3D59D" w14:textId="77777777" w:rsidTr="00387142">
        <w:trPr>
          <w:trHeight w:val="300"/>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1FD2541B" w14:textId="77777777" w:rsidR="00387142" w:rsidRPr="008B6A75" w:rsidRDefault="00387142" w:rsidP="00387142">
            <w:pPr>
              <w:rPr>
                <w:sz w:val="20"/>
                <w:szCs w:val="20"/>
              </w:rPr>
            </w:pPr>
            <w:r w:rsidRPr="008B6A75">
              <w:rPr>
                <w:sz w:val="20"/>
                <w:szCs w:val="20"/>
              </w:rPr>
              <w:t>Субсидии бюджетным учреждениям</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62F154AA" w14:textId="77777777" w:rsidR="00387142" w:rsidRPr="008B6A75" w:rsidRDefault="00387142" w:rsidP="00387142">
            <w:pPr>
              <w:jc w:val="center"/>
              <w:rPr>
                <w:sz w:val="20"/>
                <w:szCs w:val="20"/>
              </w:rPr>
            </w:pPr>
            <w:r w:rsidRPr="008B6A75">
              <w:rPr>
                <w:sz w:val="20"/>
                <w:szCs w:val="20"/>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5F49FB30" w14:textId="77777777" w:rsidR="00387142" w:rsidRPr="008B6A75" w:rsidRDefault="00387142" w:rsidP="00387142">
            <w:pPr>
              <w:jc w:val="center"/>
              <w:rPr>
                <w:sz w:val="20"/>
                <w:szCs w:val="20"/>
              </w:rPr>
            </w:pPr>
            <w:r w:rsidRPr="008B6A75">
              <w:rPr>
                <w:sz w:val="20"/>
                <w:szCs w:val="20"/>
              </w:rPr>
              <w:t>07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363CD3" w14:textId="77777777" w:rsidR="00387142" w:rsidRPr="008B6A75" w:rsidRDefault="00387142" w:rsidP="00387142">
            <w:pPr>
              <w:jc w:val="center"/>
              <w:rPr>
                <w:sz w:val="20"/>
                <w:szCs w:val="20"/>
              </w:rPr>
            </w:pPr>
            <w:r w:rsidRPr="008B6A75">
              <w:rPr>
                <w:sz w:val="20"/>
                <w:szCs w:val="20"/>
              </w:rPr>
              <w:t>07</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1FC84312" w14:textId="77777777" w:rsidR="00387142" w:rsidRPr="008B6A75" w:rsidRDefault="00387142" w:rsidP="00387142">
            <w:pPr>
              <w:jc w:val="center"/>
              <w:rPr>
                <w:sz w:val="20"/>
                <w:szCs w:val="20"/>
              </w:rPr>
            </w:pPr>
            <w:r w:rsidRPr="008B6A75">
              <w:rPr>
                <w:sz w:val="20"/>
                <w:szCs w:val="20"/>
              </w:rPr>
              <w:t>14.0.00.79570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C1C9E7" w14:textId="77777777" w:rsidR="00387142" w:rsidRPr="008B6A75" w:rsidRDefault="00387142" w:rsidP="00387142">
            <w:pPr>
              <w:jc w:val="center"/>
              <w:rPr>
                <w:sz w:val="20"/>
                <w:szCs w:val="20"/>
              </w:rPr>
            </w:pPr>
            <w:r w:rsidRPr="008B6A75">
              <w:rPr>
                <w:sz w:val="20"/>
                <w:szCs w:val="20"/>
              </w:rPr>
              <w:t>610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6B7DE3" w14:textId="77777777" w:rsidR="00387142" w:rsidRPr="008B6A75" w:rsidRDefault="00387142" w:rsidP="00387142">
            <w:pPr>
              <w:jc w:val="right"/>
              <w:rPr>
                <w:sz w:val="20"/>
                <w:szCs w:val="20"/>
              </w:rPr>
            </w:pPr>
            <w:r w:rsidRPr="008B6A75">
              <w:rPr>
                <w:sz w:val="20"/>
                <w:szCs w:val="20"/>
              </w:rPr>
              <w:t>228 274,00</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07C90E36" w14:textId="77777777" w:rsidR="00387142" w:rsidRPr="008B6A75" w:rsidRDefault="00387142" w:rsidP="00387142">
            <w:pPr>
              <w:jc w:val="right"/>
              <w:rPr>
                <w:sz w:val="20"/>
                <w:szCs w:val="20"/>
              </w:rPr>
            </w:pPr>
            <w:r w:rsidRPr="008B6A75">
              <w:rPr>
                <w:sz w:val="20"/>
                <w:szCs w:val="20"/>
              </w:rPr>
              <w:t>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32EF8E" w14:textId="77777777" w:rsidR="00387142" w:rsidRPr="008B6A75" w:rsidRDefault="00387142" w:rsidP="00387142">
            <w:pPr>
              <w:jc w:val="right"/>
              <w:rPr>
                <w:sz w:val="20"/>
                <w:szCs w:val="20"/>
              </w:rPr>
            </w:pPr>
            <w:r w:rsidRPr="008B6A75">
              <w:rPr>
                <w:sz w:val="20"/>
                <w:szCs w:val="20"/>
              </w:rPr>
              <w:t>0,00</w:t>
            </w:r>
          </w:p>
        </w:tc>
        <w:tc>
          <w:tcPr>
            <w:tcW w:w="222" w:type="dxa"/>
            <w:vAlign w:val="center"/>
            <w:hideMark/>
          </w:tcPr>
          <w:p w14:paraId="081CEE6F" w14:textId="77777777" w:rsidR="00387142" w:rsidRPr="008B6A75" w:rsidRDefault="00387142" w:rsidP="00387142">
            <w:pPr>
              <w:rPr>
                <w:sz w:val="20"/>
                <w:szCs w:val="20"/>
              </w:rPr>
            </w:pPr>
          </w:p>
        </w:tc>
      </w:tr>
      <w:tr w:rsidR="00387142" w:rsidRPr="008B6A75" w14:paraId="1E060B8B" w14:textId="77777777" w:rsidTr="00387142">
        <w:trPr>
          <w:trHeight w:val="870"/>
        </w:trPr>
        <w:tc>
          <w:tcPr>
            <w:tcW w:w="3021" w:type="dxa"/>
            <w:tcBorders>
              <w:top w:val="nil"/>
              <w:left w:val="single" w:sz="4" w:space="0" w:color="auto"/>
              <w:bottom w:val="nil"/>
              <w:right w:val="nil"/>
            </w:tcBorders>
            <w:shd w:val="clear" w:color="auto" w:fill="auto"/>
            <w:vAlign w:val="center"/>
            <w:hideMark/>
          </w:tcPr>
          <w:p w14:paraId="1D56D835" w14:textId="77777777" w:rsidR="00387142" w:rsidRPr="008B6A75" w:rsidRDefault="00387142" w:rsidP="00387142">
            <w:pPr>
              <w:rPr>
                <w:bCs/>
                <w:sz w:val="20"/>
                <w:szCs w:val="20"/>
              </w:rPr>
            </w:pPr>
            <w:r w:rsidRPr="008B6A75">
              <w:rPr>
                <w:bCs/>
                <w:sz w:val="20"/>
                <w:szCs w:val="20"/>
              </w:rPr>
              <w:t>Муниципальная программа "Профилактика правонарушений, терроризма и экстремизма на территории Куйбышевского района"</w:t>
            </w:r>
          </w:p>
        </w:tc>
        <w:tc>
          <w:tcPr>
            <w:tcW w:w="850" w:type="dxa"/>
            <w:tcBorders>
              <w:top w:val="nil"/>
              <w:left w:val="single" w:sz="4" w:space="0" w:color="auto"/>
              <w:bottom w:val="nil"/>
              <w:right w:val="nil"/>
            </w:tcBorders>
            <w:shd w:val="clear" w:color="auto" w:fill="auto"/>
            <w:noWrap/>
            <w:vAlign w:val="center"/>
            <w:hideMark/>
          </w:tcPr>
          <w:p w14:paraId="27B11982" w14:textId="77777777" w:rsidR="00387142" w:rsidRPr="008B6A75" w:rsidRDefault="00387142" w:rsidP="00387142">
            <w:pPr>
              <w:jc w:val="center"/>
              <w:rPr>
                <w:bCs/>
                <w:sz w:val="20"/>
                <w:szCs w:val="20"/>
              </w:rPr>
            </w:pPr>
            <w:r w:rsidRPr="008B6A75">
              <w:rPr>
                <w:bCs/>
                <w:sz w:val="20"/>
                <w:szCs w:val="20"/>
              </w:rPr>
              <w:t>444</w:t>
            </w:r>
          </w:p>
        </w:tc>
        <w:tc>
          <w:tcPr>
            <w:tcW w:w="709" w:type="dxa"/>
            <w:tcBorders>
              <w:top w:val="nil"/>
              <w:left w:val="single" w:sz="4" w:space="0" w:color="auto"/>
              <w:bottom w:val="nil"/>
              <w:right w:val="nil"/>
            </w:tcBorders>
            <w:shd w:val="clear" w:color="auto" w:fill="auto"/>
            <w:noWrap/>
            <w:vAlign w:val="center"/>
            <w:hideMark/>
          </w:tcPr>
          <w:p w14:paraId="502C692A" w14:textId="77777777" w:rsidR="00387142" w:rsidRPr="008B6A75" w:rsidRDefault="00387142" w:rsidP="00387142">
            <w:pPr>
              <w:jc w:val="center"/>
              <w:rPr>
                <w:bCs/>
                <w:sz w:val="20"/>
                <w:szCs w:val="20"/>
              </w:rPr>
            </w:pPr>
            <w:r w:rsidRPr="008B6A75">
              <w:rPr>
                <w:bCs/>
                <w:sz w:val="20"/>
                <w:szCs w:val="20"/>
              </w:rPr>
              <w:t>07</w:t>
            </w:r>
          </w:p>
        </w:tc>
        <w:tc>
          <w:tcPr>
            <w:tcW w:w="709" w:type="dxa"/>
            <w:tcBorders>
              <w:top w:val="nil"/>
              <w:left w:val="single" w:sz="4" w:space="0" w:color="auto"/>
              <w:bottom w:val="nil"/>
              <w:right w:val="single" w:sz="4" w:space="0" w:color="auto"/>
            </w:tcBorders>
            <w:shd w:val="clear" w:color="auto" w:fill="auto"/>
            <w:noWrap/>
            <w:vAlign w:val="center"/>
            <w:hideMark/>
          </w:tcPr>
          <w:p w14:paraId="52CB6166" w14:textId="77777777" w:rsidR="00387142" w:rsidRPr="008B6A75" w:rsidRDefault="00387142" w:rsidP="00387142">
            <w:pPr>
              <w:jc w:val="center"/>
              <w:rPr>
                <w:bCs/>
                <w:sz w:val="20"/>
                <w:szCs w:val="20"/>
              </w:rPr>
            </w:pPr>
            <w:r w:rsidRPr="008B6A75">
              <w:rPr>
                <w:bCs/>
                <w:sz w:val="20"/>
                <w:szCs w:val="20"/>
              </w:rPr>
              <w:t>07</w:t>
            </w:r>
          </w:p>
        </w:tc>
        <w:tc>
          <w:tcPr>
            <w:tcW w:w="1411" w:type="dxa"/>
            <w:tcBorders>
              <w:top w:val="nil"/>
              <w:left w:val="single" w:sz="4" w:space="0" w:color="auto"/>
              <w:bottom w:val="nil"/>
              <w:right w:val="nil"/>
            </w:tcBorders>
            <w:shd w:val="clear" w:color="auto" w:fill="auto"/>
            <w:noWrap/>
            <w:vAlign w:val="center"/>
            <w:hideMark/>
          </w:tcPr>
          <w:p w14:paraId="5F646A88" w14:textId="77777777" w:rsidR="00387142" w:rsidRPr="008B6A75" w:rsidRDefault="00387142" w:rsidP="00387142">
            <w:pPr>
              <w:jc w:val="center"/>
              <w:rPr>
                <w:bCs/>
                <w:sz w:val="20"/>
                <w:szCs w:val="20"/>
              </w:rPr>
            </w:pPr>
            <w:r w:rsidRPr="008B6A75">
              <w:rPr>
                <w:bCs/>
                <w:sz w:val="20"/>
                <w:szCs w:val="20"/>
              </w:rPr>
              <w:t>16.0.00.00000</w:t>
            </w:r>
          </w:p>
        </w:tc>
        <w:tc>
          <w:tcPr>
            <w:tcW w:w="955" w:type="dxa"/>
            <w:tcBorders>
              <w:top w:val="nil"/>
              <w:left w:val="single" w:sz="4" w:space="0" w:color="auto"/>
              <w:bottom w:val="nil"/>
              <w:right w:val="single" w:sz="4" w:space="0" w:color="auto"/>
            </w:tcBorders>
            <w:shd w:val="clear" w:color="auto" w:fill="auto"/>
            <w:noWrap/>
            <w:vAlign w:val="center"/>
            <w:hideMark/>
          </w:tcPr>
          <w:p w14:paraId="2A57D380"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nil"/>
              <w:right w:val="single" w:sz="4" w:space="0" w:color="auto"/>
            </w:tcBorders>
            <w:shd w:val="clear" w:color="auto" w:fill="auto"/>
            <w:noWrap/>
            <w:vAlign w:val="center"/>
            <w:hideMark/>
          </w:tcPr>
          <w:p w14:paraId="0659A527" w14:textId="77777777" w:rsidR="00387142" w:rsidRPr="008B6A75" w:rsidRDefault="00387142" w:rsidP="00387142">
            <w:pPr>
              <w:jc w:val="right"/>
              <w:rPr>
                <w:bCs/>
                <w:sz w:val="20"/>
                <w:szCs w:val="20"/>
              </w:rPr>
            </w:pPr>
            <w:r w:rsidRPr="008B6A75">
              <w:rPr>
                <w:bCs/>
                <w:sz w:val="20"/>
                <w:szCs w:val="20"/>
              </w:rPr>
              <w:t>166 000,00</w:t>
            </w:r>
          </w:p>
        </w:tc>
        <w:tc>
          <w:tcPr>
            <w:tcW w:w="992" w:type="dxa"/>
            <w:gridSpan w:val="2"/>
            <w:tcBorders>
              <w:top w:val="nil"/>
              <w:left w:val="single" w:sz="4" w:space="0" w:color="auto"/>
              <w:bottom w:val="nil"/>
              <w:right w:val="nil"/>
            </w:tcBorders>
            <w:shd w:val="clear" w:color="auto" w:fill="auto"/>
            <w:noWrap/>
            <w:vAlign w:val="center"/>
            <w:hideMark/>
          </w:tcPr>
          <w:p w14:paraId="38217FDE" w14:textId="77777777" w:rsidR="00387142" w:rsidRPr="008B6A75" w:rsidRDefault="00387142" w:rsidP="00387142">
            <w:pPr>
              <w:jc w:val="right"/>
              <w:rPr>
                <w:bCs/>
                <w:sz w:val="20"/>
                <w:szCs w:val="20"/>
              </w:rPr>
            </w:pPr>
            <w:r w:rsidRPr="008B6A75">
              <w:rPr>
                <w:bCs/>
                <w:sz w:val="20"/>
                <w:szCs w:val="20"/>
              </w:rPr>
              <w:t>0,00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7833320D" w14:textId="77777777" w:rsidR="00387142" w:rsidRPr="008B6A75" w:rsidRDefault="00387142" w:rsidP="00387142">
            <w:pPr>
              <w:jc w:val="right"/>
              <w:rPr>
                <w:bCs/>
                <w:sz w:val="20"/>
                <w:szCs w:val="20"/>
              </w:rPr>
            </w:pPr>
            <w:r w:rsidRPr="008B6A75">
              <w:rPr>
                <w:bCs/>
                <w:sz w:val="20"/>
                <w:szCs w:val="20"/>
              </w:rPr>
              <w:t>0,00</w:t>
            </w:r>
          </w:p>
        </w:tc>
        <w:tc>
          <w:tcPr>
            <w:tcW w:w="222" w:type="dxa"/>
            <w:vAlign w:val="center"/>
            <w:hideMark/>
          </w:tcPr>
          <w:p w14:paraId="5F1404B9" w14:textId="77777777" w:rsidR="00387142" w:rsidRPr="008B6A75" w:rsidRDefault="00387142" w:rsidP="00387142">
            <w:pPr>
              <w:rPr>
                <w:sz w:val="20"/>
                <w:szCs w:val="20"/>
              </w:rPr>
            </w:pPr>
          </w:p>
        </w:tc>
      </w:tr>
      <w:tr w:rsidR="00387142" w:rsidRPr="008B6A75" w14:paraId="5AB5221F" w14:textId="77777777" w:rsidTr="00387142">
        <w:trPr>
          <w:trHeight w:val="1155"/>
        </w:trPr>
        <w:tc>
          <w:tcPr>
            <w:tcW w:w="3021" w:type="dxa"/>
            <w:tcBorders>
              <w:top w:val="single" w:sz="4" w:space="0" w:color="auto"/>
              <w:left w:val="single" w:sz="4" w:space="0" w:color="auto"/>
              <w:bottom w:val="nil"/>
              <w:right w:val="nil"/>
            </w:tcBorders>
            <w:shd w:val="clear" w:color="auto" w:fill="auto"/>
            <w:vAlign w:val="center"/>
            <w:hideMark/>
          </w:tcPr>
          <w:p w14:paraId="68F5A145" w14:textId="77777777" w:rsidR="00387142" w:rsidRPr="008B6A75" w:rsidRDefault="00387142" w:rsidP="00387142">
            <w:pPr>
              <w:rPr>
                <w:bCs/>
                <w:sz w:val="20"/>
                <w:szCs w:val="20"/>
              </w:rPr>
            </w:pPr>
            <w:r w:rsidRPr="008B6A75">
              <w:rPr>
                <w:bCs/>
                <w:sz w:val="20"/>
                <w:szCs w:val="20"/>
              </w:rPr>
              <w:t>Реализация мероприятий муниципальной программы "Профилактика правонарушений, терроризма и экстремизма на территории Куйбышевского района"</w:t>
            </w:r>
          </w:p>
        </w:tc>
        <w:tc>
          <w:tcPr>
            <w:tcW w:w="850" w:type="dxa"/>
            <w:tcBorders>
              <w:top w:val="single" w:sz="4" w:space="0" w:color="auto"/>
              <w:left w:val="single" w:sz="4" w:space="0" w:color="auto"/>
              <w:bottom w:val="nil"/>
              <w:right w:val="nil"/>
            </w:tcBorders>
            <w:shd w:val="clear" w:color="auto" w:fill="auto"/>
            <w:noWrap/>
            <w:vAlign w:val="center"/>
            <w:hideMark/>
          </w:tcPr>
          <w:p w14:paraId="3238C2BD" w14:textId="77777777" w:rsidR="00387142" w:rsidRPr="008B6A75" w:rsidRDefault="00387142" w:rsidP="00387142">
            <w:pPr>
              <w:jc w:val="center"/>
              <w:rPr>
                <w:bCs/>
                <w:sz w:val="20"/>
                <w:szCs w:val="20"/>
              </w:rPr>
            </w:pPr>
            <w:r w:rsidRPr="008B6A75">
              <w:rPr>
                <w:bCs/>
                <w:sz w:val="20"/>
                <w:szCs w:val="20"/>
              </w:rPr>
              <w:t>444</w:t>
            </w:r>
          </w:p>
        </w:tc>
        <w:tc>
          <w:tcPr>
            <w:tcW w:w="709" w:type="dxa"/>
            <w:tcBorders>
              <w:top w:val="single" w:sz="4" w:space="0" w:color="auto"/>
              <w:left w:val="single" w:sz="4" w:space="0" w:color="auto"/>
              <w:bottom w:val="nil"/>
              <w:right w:val="nil"/>
            </w:tcBorders>
            <w:shd w:val="clear" w:color="auto" w:fill="auto"/>
            <w:noWrap/>
            <w:vAlign w:val="center"/>
            <w:hideMark/>
          </w:tcPr>
          <w:p w14:paraId="46938B00" w14:textId="77777777" w:rsidR="00387142" w:rsidRPr="008B6A75" w:rsidRDefault="00387142" w:rsidP="00387142">
            <w:pPr>
              <w:jc w:val="center"/>
              <w:rPr>
                <w:bCs/>
                <w:sz w:val="20"/>
                <w:szCs w:val="20"/>
              </w:rPr>
            </w:pPr>
            <w:r w:rsidRPr="008B6A75">
              <w:rPr>
                <w:bCs/>
                <w:sz w:val="20"/>
                <w:szCs w:val="20"/>
              </w:rPr>
              <w:t>07</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25485DA3" w14:textId="77777777" w:rsidR="00387142" w:rsidRPr="008B6A75" w:rsidRDefault="00387142" w:rsidP="00387142">
            <w:pPr>
              <w:jc w:val="center"/>
              <w:rPr>
                <w:bCs/>
                <w:sz w:val="20"/>
                <w:szCs w:val="20"/>
              </w:rPr>
            </w:pPr>
            <w:r w:rsidRPr="008B6A75">
              <w:rPr>
                <w:bCs/>
                <w:sz w:val="20"/>
                <w:szCs w:val="20"/>
              </w:rPr>
              <w:t>07</w:t>
            </w:r>
          </w:p>
        </w:tc>
        <w:tc>
          <w:tcPr>
            <w:tcW w:w="1411" w:type="dxa"/>
            <w:tcBorders>
              <w:top w:val="single" w:sz="4" w:space="0" w:color="auto"/>
              <w:left w:val="single" w:sz="4" w:space="0" w:color="auto"/>
              <w:bottom w:val="nil"/>
              <w:right w:val="nil"/>
            </w:tcBorders>
            <w:shd w:val="clear" w:color="auto" w:fill="auto"/>
            <w:noWrap/>
            <w:vAlign w:val="center"/>
            <w:hideMark/>
          </w:tcPr>
          <w:p w14:paraId="643CF980" w14:textId="77777777" w:rsidR="00387142" w:rsidRPr="008B6A75" w:rsidRDefault="00387142" w:rsidP="00387142">
            <w:pPr>
              <w:jc w:val="center"/>
              <w:rPr>
                <w:bCs/>
                <w:sz w:val="20"/>
                <w:szCs w:val="20"/>
              </w:rPr>
            </w:pPr>
            <w:r w:rsidRPr="008B6A75">
              <w:rPr>
                <w:bCs/>
                <w:sz w:val="20"/>
                <w:szCs w:val="20"/>
              </w:rPr>
              <w:t>16.0.00.79500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123C81B0" w14:textId="77777777" w:rsidR="00387142" w:rsidRPr="008B6A75" w:rsidRDefault="00387142" w:rsidP="00387142">
            <w:pPr>
              <w:jc w:val="center"/>
              <w:rPr>
                <w:bCs/>
                <w:sz w:val="20"/>
                <w:szCs w:val="20"/>
              </w:rPr>
            </w:pPr>
            <w:r w:rsidRPr="008B6A75">
              <w:rPr>
                <w:bCs/>
                <w:sz w:val="20"/>
                <w:szCs w:val="20"/>
              </w:rPr>
              <w:t> </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3647FCC7" w14:textId="77777777" w:rsidR="00387142" w:rsidRPr="008B6A75" w:rsidRDefault="00387142" w:rsidP="00387142">
            <w:pPr>
              <w:jc w:val="right"/>
              <w:rPr>
                <w:bCs/>
                <w:sz w:val="20"/>
                <w:szCs w:val="20"/>
              </w:rPr>
            </w:pPr>
            <w:r w:rsidRPr="008B6A75">
              <w:rPr>
                <w:bCs/>
                <w:sz w:val="20"/>
                <w:szCs w:val="20"/>
              </w:rPr>
              <w:t>166 000,00</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02B92ED8" w14:textId="77777777" w:rsidR="00387142" w:rsidRPr="008B6A75" w:rsidRDefault="00387142" w:rsidP="00387142">
            <w:pPr>
              <w:jc w:val="right"/>
              <w:rPr>
                <w:bCs/>
                <w:sz w:val="20"/>
                <w:szCs w:val="20"/>
              </w:rPr>
            </w:pPr>
            <w:r w:rsidRPr="008B6A75">
              <w:rPr>
                <w:bCs/>
                <w:sz w:val="20"/>
                <w:szCs w:val="20"/>
              </w:rPr>
              <w:t>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1546D210" w14:textId="77777777" w:rsidR="00387142" w:rsidRPr="008B6A75" w:rsidRDefault="00387142" w:rsidP="00387142">
            <w:pPr>
              <w:jc w:val="right"/>
              <w:rPr>
                <w:bCs/>
                <w:sz w:val="20"/>
                <w:szCs w:val="20"/>
              </w:rPr>
            </w:pPr>
            <w:r w:rsidRPr="008B6A75">
              <w:rPr>
                <w:bCs/>
                <w:sz w:val="20"/>
                <w:szCs w:val="20"/>
              </w:rPr>
              <w:t>0,00</w:t>
            </w:r>
          </w:p>
        </w:tc>
        <w:tc>
          <w:tcPr>
            <w:tcW w:w="222" w:type="dxa"/>
            <w:vAlign w:val="center"/>
            <w:hideMark/>
          </w:tcPr>
          <w:p w14:paraId="58F56F21" w14:textId="77777777" w:rsidR="00387142" w:rsidRPr="008B6A75" w:rsidRDefault="00387142" w:rsidP="00387142">
            <w:pPr>
              <w:rPr>
                <w:sz w:val="20"/>
                <w:szCs w:val="20"/>
              </w:rPr>
            </w:pPr>
          </w:p>
        </w:tc>
      </w:tr>
      <w:tr w:rsidR="00387142" w:rsidRPr="008B6A75" w14:paraId="17C0FCAA" w14:textId="77777777" w:rsidTr="00387142">
        <w:trPr>
          <w:trHeight w:val="300"/>
        </w:trPr>
        <w:tc>
          <w:tcPr>
            <w:tcW w:w="3021" w:type="dxa"/>
            <w:tcBorders>
              <w:top w:val="single" w:sz="4" w:space="0" w:color="auto"/>
              <w:left w:val="single" w:sz="4" w:space="0" w:color="auto"/>
              <w:bottom w:val="nil"/>
              <w:right w:val="nil"/>
            </w:tcBorders>
            <w:shd w:val="clear" w:color="auto" w:fill="auto"/>
            <w:vAlign w:val="center"/>
            <w:hideMark/>
          </w:tcPr>
          <w:p w14:paraId="71EAF6FF" w14:textId="77777777" w:rsidR="00387142" w:rsidRPr="008B6A75" w:rsidRDefault="00387142" w:rsidP="00387142">
            <w:pPr>
              <w:rPr>
                <w:sz w:val="20"/>
                <w:szCs w:val="20"/>
              </w:rPr>
            </w:pPr>
            <w:r w:rsidRPr="008B6A75">
              <w:rPr>
                <w:sz w:val="20"/>
                <w:szCs w:val="20"/>
              </w:rPr>
              <w:t>Межбюджетные трансферты</w:t>
            </w:r>
          </w:p>
        </w:tc>
        <w:tc>
          <w:tcPr>
            <w:tcW w:w="850" w:type="dxa"/>
            <w:tcBorders>
              <w:top w:val="single" w:sz="4" w:space="0" w:color="auto"/>
              <w:left w:val="single" w:sz="4" w:space="0" w:color="auto"/>
              <w:bottom w:val="nil"/>
              <w:right w:val="nil"/>
            </w:tcBorders>
            <w:shd w:val="clear" w:color="auto" w:fill="auto"/>
            <w:noWrap/>
            <w:vAlign w:val="center"/>
            <w:hideMark/>
          </w:tcPr>
          <w:p w14:paraId="5E127884" w14:textId="77777777" w:rsidR="00387142" w:rsidRPr="008B6A75" w:rsidRDefault="00387142" w:rsidP="00387142">
            <w:pPr>
              <w:jc w:val="center"/>
              <w:rPr>
                <w:sz w:val="20"/>
                <w:szCs w:val="20"/>
              </w:rPr>
            </w:pPr>
            <w:r w:rsidRPr="008B6A75">
              <w:rPr>
                <w:sz w:val="20"/>
                <w:szCs w:val="20"/>
              </w:rPr>
              <w:t>444</w:t>
            </w:r>
          </w:p>
        </w:tc>
        <w:tc>
          <w:tcPr>
            <w:tcW w:w="709" w:type="dxa"/>
            <w:tcBorders>
              <w:top w:val="single" w:sz="4" w:space="0" w:color="auto"/>
              <w:left w:val="single" w:sz="4" w:space="0" w:color="auto"/>
              <w:bottom w:val="nil"/>
              <w:right w:val="nil"/>
            </w:tcBorders>
            <w:shd w:val="clear" w:color="auto" w:fill="auto"/>
            <w:noWrap/>
            <w:vAlign w:val="center"/>
            <w:hideMark/>
          </w:tcPr>
          <w:p w14:paraId="05A63EBE" w14:textId="77777777" w:rsidR="00387142" w:rsidRPr="008B6A75" w:rsidRDefault="00387142" w:rsidP="00387142">
            <w:pPr>
              <w:jc w:val="center"/>
              <w:rPr>
                <w:sz w:val="20"/>
                <w:szCs w:val="20"/>
              </w:rPr>
            </w:pPr>
            <w:r w:rsidRPr="008B6A75">
              <w:rPr>
                <w:sz w:val="20"/>
                <w:szCs w:val="20"/>
              </w:rPr>
              <w:t>07</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55C1A9E2" w14:textId="77777777" w:rsidR="00387142" w:rsidRPr="008B6A75" w:rsidRDefault="00387142" w:rsidP="00387142">
            <w:pPr>
              <w:jc w:val="center"/>
              <w:rPr>
                <w:sz w:val="20"/>
                <w:szCs w:val="20"/>
              </w:rPr>
            </w:pPr>
            <w:r w:rsidRPr="008B6A75">
              <w:rPr>
                <w:sz w:val="20"/>
                <w:szCs w:val="20"/>
              </w:rPr>
              <w:t>07</w:t>
            </w:r>
          </w:p>
        </w:tc>
        <w:tc>
          <w:tcPr>
            <w:tcW w:w="1411" w:type="dxa"/>
            <w:tcBorders>
              <w:top w:val="single" w:sz="4" w:space="0" w:color="auto"/>
              <w:left w:val="single" w:sz="4" w:space="0" w:color="auto"/>
              <w:bottom w:val="nil"/>
              <w:right w:val="nil"/>
            </w:tcBorders>
            <w:shd w:val="clear" w:color="auto" w:fill="auto"/>
            <w:noWrap/>
            <w:vAlign w:val="center"/>
            <w:hideMark/>
          </w:tcPr>
          <w:p w14:paraId="019F190C" w14:textId="77777777" w:rsidR="00387142" w:rsidRPr="008B6A75" w:rsidRDefault="00387142" w:rsidP="00387142">
            <w:pPr>
              <w:jc w:val="center"/>
              <w:rPr>
                <w:sz w:val="20"/>
                <w:szCs w:val="20"/>
              </w:rPr>
            </w:pPr>
            <w:r w:rsidRPr="008B6A75">
              <w:rPr>
                <w:sz w:val="20"/>
                <w:szCs w:val="20"/>
              </w:rPr>
              <w:t>16.0.00.79500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4F90A1F2" w14:textId="77777777" w:rsidR="00387142" w:rsidRPr="008B6A75" w:rsidRDefault="00387142" w:rsidP="00387142">
            <w:pPr>
              <w:jc w:val="center"/>
              <w:rPr>
                <w:sz w:val="20"/>
                <w:szCs w:val="20"/>
              </w:rPr>
            </w:pPr>
            <w:r w:rsidRPr="008B6A75">
              <w:rPr>
                <w:sz w:val="20"/>
                <w:szCs w:val="20"/>
              </w:rPr>
              <w:t>500</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7AA1B0C8" w14:textId="77777777" w:rsidR="00387142" w:rsidRPr="008B6A75" w:rsidRDefault="00387142" w:rsidP="00387142">
            <w:pPr>
              <w:jc w:val="right"/>
              <w:rPr>
                <w:sz w:val="20"/>
                <w:szCs w:val="20"/>
              </w:rPr>
            </w:pPr>
            <w:r w:rsidRPr="008B6A75">
              <w:rPr>
                <w:sz w:val="20"/>
                <w:szCs w:val="20"/>
              </w:rPr>
              <w:t>6 000,00</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2807D53B" w14:textId="77777777" w:rsidR="00387142" w:rsidRPr="008B6A75" w:rsidRDefault="00387142" w:rsidP="00387142">
            <w:pPr>
              <w:jc w:val="right"/>
              <w:rPr>
                <w:sz w:val="20"/>
                <w:szCs w:val="20"/>
              </w:rPr>
            </w:pPr>
            <w:r w:rsidRPr="008B6A75">
              <w:rPr>
                <w:sz w:val="20"/>
                <w:szCs w:val="20"/>
              </w:rPr>
              <w:t>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4F8BF38D" w14:textId="77777777" w:rsidR="00387142" w:rsidRPr="008B6A75" w:rsidRDefault="00387142" w:rsidP="00387142">
            <w:pPr>
              <w:jc w:val="right"/>
              <w:rPr>
                <w:sz w:val="20"/>
                <w:szCs w:val="20"/>
              </w:rPr>
            </w:pPr>
            <w:r w:rsidRPr="008B6A75">
              <w:rPr>
                <w:sz w:val="20"/>
                <w:szCs w:val="20"/>
              </w:rPr>
              <w:t>0,00</w:t>
            </w:r>
          </w:p>
        </w:tc>
        <w:tc>
          <w:tcPr>
            <w:tcW w:w="222" w:type="dxa"/>
            <w:vAlign w:val="center"/>
            <w:hideMark/>
          </w:tcPr>
          <w:p w14:paraId="470B4E20" w14:textId="77777777" w:rsidR="00387142" w:rsidRPr="008B6A75" w:rsidRDefault="00387142" w:rsidP="00387142">
            <w:pPr>
              <w:rPr>
                <w:sz w:val="20"/>
                <w:szCs w:val="20"/>
              </w:rPr>
            </w:pPr>
          </w:p>
        </w:tc>
      </w:tr>
      <w:tr w:rsidR="00387142" w:rsidRPr="008B6A75" w14:paraId="41E8A5A1" w14:textId="77777777" w:rsidTr="00387142">
        <w:trPr>
          <w:trHeight w:val="300"/>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61A9D3D5" w14:textId="77777777" w:rsidR="00387142" w:rsidRPr="008B6A75" w:rsidRDefault="00387142" w:rsidP="00387142">
            <w:pPr>
              <w:rPr>
                <w:sz w:val="20"/>
                <w:szCs w:val="20"/>
              </w:rPr>
            </w:pPr>
            <w:r w:rsidRPr="008B6A75">
              <w:rPr>
                <w:sz w:val="20"/>
                <w:szCs w:val="20"/>
              </w:rPr>
              <w:t>Иные межбюджетные трансферты</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4B30768F" w14:textId="77777777" w:rsidR="00387142" w:rsidRPr="008B6A75" w:rsidRDefault="00387142" w:rsidP="00387142">
            <w:pPr>
              <w:jc w:val="center"/>
              <w:rPr>
                <w:sz w:val="20"/>
                <w:szCs w:val="20"/>
              </w:rPr>
            </w:pPr>
            <w:r w:rsidRPr="008B6A75">
              <w:rPr>
                <w:sz w:val="20"/>
                <w:szCs w:val="20"/>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1D41202C" w14:textId="77777777" w:rsidR="00387142" w:rsidRPr="008B6A75" w:rsidRDefault="00387142" w:rsidP="00387142">
            <w:pPr>
              <w:jc w:val="center"/>
              <w:rPr>
                <w:sz w:val="20"/>
                <w:szCs w:val="20"/>
              </w:rPr>
            </w:pPr>
            <w:r w:rsidRPr="008B6A75">
              <w:rPr>
                <w:sz w:val="20"/>
                <w:szCs w:val="20"/>
              </w:rPr>
              <w:t>07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7BF1C1" w14:textId="77777777" w:rsidR="00387142" w:rsidRPr="008B6A75" w:rsidRDefault="00387142" w:rsidP="00387142">
            <w:pPr>
              <w:jc w:val="center"/>
              <w:rPr>
                <w:sz w:val="20"/>
                <w:szCs w:val="20"/>
              </w:rPr>
            </w:pPr>
            <w:r w:rsidRPr="008B6A75">
              <w:rPr>
                <w:sz w:val="20"/>
                <w:szCs w:val="20"/>
              </w:rPr>
              <w:t>07</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3BF654AD" w14:textId="77777777" w:rsidR="00387142" w:rsidRPr="008B6A75" w:rsidRDefault="00387142" w:rsidP="00387142">
            <w:pPr>
              <w:jc w:val="center"/>
              <w:rPr>
                <w:sz w:val="20"/>
                <w:szCs w:val="20"/>
              </w:rPr>
            </w:pPr>
            <w:r w:rsidRPr="008B6A75">
              <w:rPr>
                <w:sz w:val="20"/>
                <w:szCs w:val="20"/>
              </w:rPr>
              <w:t>16.0.00.79500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1B4956" w14:textId="77777777" w:rsidR="00387142" w:rsidRPr="008B6A75" w:rsidRDefault="00387142" w:rsidP="00387142">
            <w:pPr>
              <w:jc w:val="center"/>
              <w:rPr>
                <w:sz w:val="20"/>
                <w:szCs w:val="20"/>
              </w:rPr>
            </w:pPr>
            <w:r w:rsidRPr="008B6A75">
              <w:rPr>
                <w:sz w:val="20"/>
                <w:szCs w:val="20"/>
              </w:rPr>
              <w:t>540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D955F0" w14:textId="77777777" w:rsidR="00387142" w:rsidRPr="008B6A75" w:rsidRDefault="00387142" w:rsidP="00387142">
            <w:pPr>
              <w:jc w:val="right"/>
              <w:rPr>
                <w:sz w:val="20"/>
                <w:szCs w:val="20"/>
              </w:rPr>
            </w:pPr>
            <w:r w:rsidRPr="008B6A75">
              <w:rPr>
                <w:sz w:val="20"/>
                <w:szCs w:val="20"/>
              </w:rPr>
              <w:t>6 000,00</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0DC2AF08" w14:textId="77777777" w:rsidR="00387142" w:rsidRPr="008B6A75" w:rsidRDefault="00387142" w:rsidP="00387142">
            <w:pPr>
              <w:jc w:val="right"/>
              <w:rPr>
                <w:sz w:val="20"/>
                <w:szCs w:val="20"/>
              </w:rPr>
            </w:pPr>
            <w:r w:rsidRPr="008B6A75">
              <w:rPr>
                <w:sz w:val="20"/>
                <w:szCs w:val="20"/>
              </w:rPr>
              <w:t>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C18D64" w14:textId="77777777" w:rsidR="00387142" w:rsidRPr="008B6A75" w:rsidRDefault="00387142" w:rsidP="00387142">
            <w:pPr>
              <w:jc w:val="right"/>
              <w:rPr>
                <w:sz w:val="20"/>
                <w:szCs w:val="20"/>
              </w:rPr>
            </w:pPr>
            <w:r w:rsidRPr="008B6A75">
              <w:rPr>
                <w:sz w:val="20"/>
                <w:szCs w:val="20"/>
              </w:rPr>
              <w:t>0,00</w:t>
            </w:r>
          </w:p>
        </w:tc>
        <w:tc>
          <w:tcPr>
            <w:tcW w:w="222" w:type="dxa"/>
            <w:vAlign w:val="center"/>
            <w:hideMark/>
          </w:tcPr>
          <w:p w14:paraId="1C59F3BF" w14:textId="77777777" w:rsidR="00387142" w:rsidRPr="008B6A75" w:rsidRDefault="00387142" w:rsidP="00387142">
            <w:pPr>
              <w:rPr>
                <w:sz w:val="20"/>
                <w:szCs w:val="20"/>
              </w:rPr>
            </w:pPr>
          </w:p>
        </w:tc>
      </w:tr>
      <w:tr w:rsidR="00387142" w:rsidRPr="008B6A75" w14:paraId="10AA8AC9" w14:textId="77777777" w:rsidTr="00387142">
        <w:trPr>
          <w:trHeight w:val="870"/>
        </w:trPr>
        <w:tc>
          <w:tcPr>
            <w:tcW w:w="3021" w:type="dxa"/>
            <w:tcBorders>
              <w:top w:val="nil"/>
              <w:left w:val="single" w:sz="4" w:space="0" w:color="auto"/>
              <w:bottom w:val="nil"/>
              <w:right w:val="nil"/>
            </w:tcBorders>
            <w:shd w:val="clear" w:color="auto" w:fill="auto"/>
            <w:vAlign w:val="center"/>
            <w:hideMark/>
          </w:tcPr>
          <w:p w14:paraId="1526DC28" w14:textId="77777777" w:rsidR="00387142" w:rsidRPr="008B6A75" w:rsidRDefault="00387142" w:rsidP="00387142">
            <w:pPr>
              <w:rPr>
                <w:sz w:val="20"/>
                <w:szCs w:val="20"/>
              </w:rPr>
            </w:pPr>
            <w:r w:rsidRPr="008B6A75">
              <w:rPr>
                <w:sz w:val="20"/>
                <w:szCs w:val="20"/>
              </w:rPr>
              <w:lastRenderedPageBreak/>
              <w:t>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right w:val="nil"/>
            </w:tcBorders>
            <w:shd w:val="clear" w:color="auto" w:fill="auto"/>
            <w:noWrap/>
            <w:vAlign w:val="center"/>
            <w:hideMark/>
          </w:tcPr>
          <w:p w14:paraId="0ED8B16B" w14:textId="77777777" w:rsidR="00387142" w:rsidRPr="008B6A75" w:rsidRDefault="00387142" w:rsidP="00387142">
            <w:pPr>
              <w:jc w:val="center"/>
              <w:rPr>
                <w:sz w:val="20"/>
                <w:szCs w:val="20"/>
              </w:rPr>
            </w:pPr>
            <w:r w:rsidRPr="008B6A75">
              <w:rPr>
                <w:sz w:val="20"/>
                <w:szCs w:val="20"/>
              </w:rPr>
              <w:t>444</w:t>
            </w:r>
          </w:p>
        </w:tc>
        <w:tc>
          <w:tcPr>
            <w:tcW w:w="709" w:type="dxa"/>
            <w:tcBorders>
              <w:top w:val="nil"/>
              <w:left w:val="single" w:sz="4" w:space="0" w:color="auto"/>
              <w:bottom w:val="nil"/>
              <w:right w:val="nil"/>
            </w:tcBorders>
            <w:shd w:val="clear" w:color="auto" w:fill="auto"/>
            <w:noWrap/>
            <w:vAlign w:val="center"/>
            <w:hideMark/>
          </w:tcPr>
          <w:p w14:paraId="2A1B02E8" w14:textId="77777777" w:rsidR="00387142" w:rsidRPr="008B6A75" w:rsidRDefault="00387142" w:rsidP="00387142">
            <w:pPr>
              <w:jc w:val="center"/>
              <w:rPr>
                <w:sz w:val="20"/>
                <w:szCs w:val="20"/>
              </w:rPr>
            </w:pPr>
            <w:r w:rsidRPr="008B6A75">
              <w:rPr>
                <w:sz w:val="20"/>
                <w:szCs w:val="20"/>
              </w:rPr>
              <w:t>07</w:t>
            </w:r>
          </w:p>
        </w:tc>
        <w:tc>
          <w:tcPr>
            <w:tcW w:w="709" w:type="dxa"/>
            <w:tcBorders>
              <w:top w:val="nil"/>
              <w:left w:val="single" w:sz="4" w:space="0" w:color="auto"/>
              <w:bottom w:val="nil"/>
              <w:right w:val="single" w:sz="4" w:space="0" w:color="auto"/>
            </w:tcBorders>
            <w:shd w:val="clear" w:color="auto" w:fill="auto"/>
            <w:noWrap/>
            <w:vAlign w:val="center"/>
            <w:hideMark/>
          </w:tcPr>
          <w:p w14:paraId="694B3820" w14:textId="77777777" w:rsidR="00387142" w:rsidRPr="008B6A75" w:rsidRDefault="00387142" w:rsidP="00387142">
            <w:pPr>
              <w:jc w:val="center"/>
              <w:rPr>
                <w:sz w:val="20"/>
                <w:szCs w:val="20"/>
              </w:rPr>
            </w:pPr>
            <w:r w:rsidRPr="008B6A75">
              <w:rPr>
                <w:sz w:val="20"/>
                <w:szCs w:val="20"/>
              </w:rPr>
              <w:t>07</w:t>
            </w:r>
          </w:p>
        </w:tc>
        <w:tc>
          <w:tcPr>
            <w:tcW w:w="1411" w:type="dxa"/>
            <w:tcBorders>
              <w:top w:val="nil"/>
              <w:left w:val="single" w:sz="4" w:space="0" w:color="auto"/>
              <w:bottom w:val="nil"/>
              <w:right w:val="nil"/>
            </w:tcBorders>
            <w:shd w:val="clear" w:color="auto" w:fill="auto"/>
            <w:noWrap/>
            <w:vAlign w:val="center"/>
            <w:hideMark/>
          </w:tcPr>
          <w:p w14:paraId="05B50629" w14:textId="77777777" w:rsidR="00387142" w:rsidRPr="008B6A75" w:rsidRDefault="00387142" w:rsidP="00387142">
            <w:pPr>
              <w:jc w:val="center"/>
              <w:rPr>
                <w:sz w:val="20"/>
                <w:szCs w:val="20"/>
              </w:rPr>
            </w:pPr>
            <w:r w:rsidRPr="008B6A75">
              <w:rPr>
                <w:sz w:val="20"/>
                <w:szCs w:val="20"/>
              </w:rPr>
              <w:t>16.0.00.79500</w:t>
            </w:r>
          </w:p>
        </w:tc>
        <w:tc>
          <w:tcPr>
            <w:tcW w:w="955" w:type="dxa"/>
            <w:tcBorders>
              <w:top w:val="nil"/>
              <w:left w:val="single" w:sz="4" w:space="0" w:color="auto"/>
              <w:bottom w:val="nil"/>
              <w:right w:val="single" w:sz="4" w:space="0" w:color="auto"/>
            </w:tcBorders>
            <w:shd w:val="clear" w:color="auto" w:fill="auto"/>
            <w:noWrap/>
            <w:vAlign w:val="center"/>
            <w:hideMark/>
          </w:tcPr>
          <w:p w14:paraId="0CBA00E7" w14:textId="77777777" w:rsidR="00387142" w:rsidRPr="008B6A75" w:rsidRDefault="00387142" w:rsidP="00387142">
            <w:pPr>
              <w:jc w:val="center"/>
              <w:rPr>
                <w:sz w:val="20"/>
                <w:szCs w:val="20"/>
              </w:rPr>
            </w:pPr>
            <w:r w:rsidRPr="008B6A75">
              <w:rPr>
                <w:sz w:val="20"/>
                <w:szCs w:val="20"/>
              </w:rPr>
              <w:t>600</w:t>
            </w:r>
          </w:p>
        </w:tc>
        <w:tc>
          <w:tcPr>
            <w:tcW w:w="992" w:type="dxa"/>
            <w:tcBorders>
              <w:top w:val="nil"/>
              <w:left w:val="single" w:sz="4" w:space="0" w:color="auto"/>
              <w:bottom w:val="nil"/>
              <w:right w:val="single" w:sz="4" w:space="0" w:color="auto"/>
            </w:tcBorders>
            <w:shd w:val="clear" w:color="auto" w:fill="auto"/>
            <w:noWrap/>
            <w:vAlign w:val="center"/>
            <w:hideMark/>
          </w:tcPr>
          <w:p w14:paraId="56C165A0" w14:textId="77777777" w:rsidR="00387142" w:rsidRPr="008B6A75" w:rsidRDefault="00387142" w:rsidP="00387142">
            <w:pPr>
              <w:jc w:val="right"/>
              <w:rPr>
                <w:sz w:val="20"/>
                <w:szCs w:val="20"/>
              </w:rPr>
            </w:pPr>
            <w:r w:rsidRPr="008B6A75">
              <w:rPr>
                <w:sz w:val="20"/>
                <w:szCs w:val="20"/>
              </w:rPr>
              <w:t>160 000,00</w:t>
            </w:r>
          </w:p>
        </w:tc>
        <w:tc>
          <w:tcPr>
            <w:tcW w:w="992" w:type="dxa"/>
            <w:gridSpan w:val="2"/>
            <w:tcBorders>
              <w:top w:val="nil"/>
              <w:left w:val="single" w:sz="4" w:space="0" w:color="auto"/>
              <w:bottom w:val="nil"/>
              <w:right w:val="nil"/>
            </w:tcBorders>
            <w:shd w:val="clear" w:color="auto" w:fill="auto"/>
            <w:noWrap/>
            <w:vAlign w:val="center"/>
            <w:hideMark/>
          </w:tcPr>
          <w:p w14:paraId="54647E72" w14:textId="77777777" w:rsidR="00387142" w:rsidRPr="008B6A75" w:rsidRDefault="00387142" w:rsidP="00387142">
            <w:pPr>
              <w:jc w:val="right"/>
              <w:rPr>
                <w:sz w:val="20"/>
                <w:szCs w:val="20"/>
              </w:rPr>
            </w:pPr>
            <w:r w:rsidRPr="008B6A75">
              <w:rPr>
                <w:sz w:val="20"/>
                <w:szCs w:val="20"/>
              </w:rPr>
              <w:t>0,00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2E53B4A8" w14:textId="77777777" w:rsidR="00387142" w:rsidRPr="008B6A75" w:rsidRDefault="00387142" w:rsidP="00387142">
            <w:pPr>
              <w:jc w:val="right"/>
              <w:rPr>
                <w:sz w:val="20"/>
                <w:szCs w:val="20"/>
              </w:rPr>
            </w:pPr>
            <w:r w:rsidRPr="008B6A75">
              <w:rPr>
                <w:sz w:val="20"/>
                <w:szCs w:val="20"/>
              </w:rPr>
              <w:t>0,00</w:t>
            </w:r>
          </w:p>
        </w:tc>
        <w:tc>
          <w:tcPr>
            <w:tcW w:w="222" w:type="dxa"/>
            <w:vAlign w:val="center"/>
            <w:hideMark/>
          </w:tcPr>
          <w:p w14:paraId="5C465151" w14:textId="77777777" w:rsidR="00387142" w:rsidRPr="008B6A75" w:rsidRDefault="00387142" w:rsidP="00387142">
            <w:pPr>
              <w:rPr>
                <w:sz w:val="20"/>
                <w:szCs w:val="20"/>
              </w:rPr>
            </w:pPr>
          </w:p>
        </w:tc>
      </w:tr>
      <w:tr w:rsidR="00387142" w:rsidRPr="008B6A75" w14:paraId="6AA31C8A" w14:textId="77777777" w:rsidTr="00387142">
        <w:trPr>
          <w:trHeight w:val="300"/>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799B0C3F" w14:textId="77777777" w:rsidR="00387142" w:rsidRPr="008B6A75" w:rsidRDefault="00387142" w:rsidP="00387142">
            <w:pPr>
              <w:rPr>
                <w:sz w:val="20"/>
                <w:szCs w:val="20"/>
              </w:rPr>
            </w:pPr>
            <w:r w:rsidRPr="008B6A75">
              <w:rPr>
                <w:sz w:val="20"/>
                <w:szCs w:val="20"/>
              </w:rPr>
              <w:t>Субсидии бюджетным учреждениям</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4C31B4D0" w14:textId="77777777" w:rsidR="00387142" w:rsidRPr="008B6A75" w:rsidRDefault="00387142" w:rsidP="00387142">
            <w:pPr>
              <w:jc w:val="center"/>
              <w:rPr>
                <w:sz w:val="20"/>
                <w:szCs w:val="20"/>
              </w:rPr>
            </w:pPr>
            <w:r w:rsidRPr="008B6A75">
              <w:rPr>
                <w:sz w:val="20"/>
                <w:szCs w:val="20"/>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29F26701" w14:textId="77777777" w:rsidR="00387142" w:rsidRPr="008B6A75" w:rsidRDefault="00387142" w:rsidP="00387142">
            <w:pPr>
              <w:jc w:val="center"/>
              <w:rPr>
                <w:sz w:val="20"/>
                <w:szCs w:val="20"/>
              </w:rPr>
            </w:pPr>
            <w:r w:rsidRPr="008B6A75">
              <w:rPr>
                <w:sz w:val="20"/>
                <w:szCs w:val="20"/>
              </w:rPr>
              <w:t>07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666A3A" w14:textId="77777777" w:rsidR="00387142" w:rsidRPr="008B6A75" w:rsidRDefault="00387142" w:rsidP="00387142">
            <w:pPr>
              <w:jc w:val="center"/>
              <w:rPr>
                <w:sz w:val="20"/>
                <w:szCs w:val="20"/>
              </w:rPr>
            </w:pPr>
            <w:r w:rsidRPr="008B6A75">
              <w:rPr>
                <w:sz w:val="20"/>
                <w:szCs w:val="20"/>
              </w:rPr>
              <w:t>07</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1B061D3F" w14:textId="77777777" w:rsidR="00387142" w:rsidRPr="008B6A75" w:rsidRDefault="00387142" w:rsidP="00387142">
            <w:pPr>
              <w:jc w:val="center"/>
              <w:rPr>
                <w:sz w:val="20"/>
                <w:szCs w:val="20"/>
              </w:rPr>
            </w:pPr>
            <w:r w:rsidRPr="008B6A75">
              <w:rPr>
                <w:sz w:val="20"/>
                <w:szCs w:val="20"/>
              </w:rPr>
              <w:t>16.0.00.79500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9CBC1F" w14:textId="77777777" w:rsidR="00387142" w:rsidRPr="008B6A75" w:rsidRDefault="00387142" w:rsidP="00387142">
            <w:pPr>
              <w:jc w:val="center"/>
              <w:rPr>
                <w:sz w:val="20"/>
                <w:szCs w:val="20"/>
              </w:rPr>
            </w:pPr>
            <w:r w:rsidRPr="008B6A75">
              <w:rPr>
                <w:sz w:val="20"/>
                <w:szCs w:val="20"/>
              </w:rPr>
              <w:t>610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E9E0FB" w14:textId="77777777" w:rsidR="00387142" w:rsidRPr="008B6A75" w:rsidRDefault="00387142" w:rsidP="00387142">
            <w:pPr>
              <w:jc w:val="right"/>
              <w:rPr>
                <w:sz w:val="20"/>
                <w:szCs w:val="20"/>
              </w:rPr>
            </w:pPr>
            <w:r w:rsidRPr="008B6A75">
              <w:rPr>
                <w:sz w:val="20"/>
                <w:szCs w:val="20"/>
              </w:rPr>
              <w:t>160 000,00</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7668D05A" w14:textId="77777777" w:rsidR="00387142" w:rsidRPr="008B6A75" w:rsidRDefault="00387142" w:rsidP="00387142">
            <w:pPr>
              <w:jc w:val="right"/>
              <w:rPr>
                <w:sz w:val="20"/>
                <w:szCs w:val="20"/>
              </w:rPr>
            </w:pPr>
            <w:r w:rsidRPr="008B6A75">
              <w:rPr>
                <w:sz w:val="20"/>
                <w:szCs w:val="20"/>
              </w:rPr>
              <w:t>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0DFE5D" w14:textId="77777777" w:rsidR="00387142" w:rsidRPr="008B6A75" w:rsidRDefault="00387142" w:rsidP="00387142">
            <w:pPr>
              <w:jc w:val="right"/>
              <w:rPr>
                <w:sz w:val="20"/>
                <w:szCs w:val="20"/>
              </w:rPr>
            </w:pPr>
            <w:r w:rsidRPr="008B6A75">
              <w:rPr>
                <w:sz w:val="20"/>
                <w:szCs w:val="20"/>
              </w:rPr>
              <w:t>0,00</w:t>
            </w:r>
          </w:p>
        </w:tc>
        <w:tc>
          <w:tcPr>
            <w:tcW w:w="222" w:type="dxa"/>
            <w:vAlign w:val="center"/>
            <w:hideMark/>
          </w:tcPr>
          <w:p w14:paraId="69E3FE63" w14:textId="77777777" w:rsidR="00387142" w:rsidRPr="008B6A75" w:rsidRDefault="00387142" w:rsidP="00387142">
            <w:pPr>
              <w:rPr>
                <w:sz w:val="20"/>
                <w:szCs w:val="20"/>
              </w:rPr>
            </w:pPr>
          </w:p>
        </w:tc>
      </w:tr>
      <w:tr w:rsidR="00387142" w:rsidRPr="008B6A75" w14:paraId="25ABEA27" w14:textId="77777777" w:rsidTr="00387142">
        <w:trPr>
          <w:trHeight w:val="300"/>
        </w:trPr>
        <w:tc>
          <w:tcPr>
            <w:tcW w:w="3021" w:type="dxa"/>
            <w:tcBorders>
              <w:top w:val="nil"/>
              <w:left w:val="single" w:sz="4" w:space="0" w:color="auto"/>
              <w:bottom w:val="nil"/>
              <w:right w:val="nil"/>
            </w:tcBorders>
            <w:shd w:val="clear" w:color="auto" w:fill="auto"/>
            <w:vAlign w:val="center"/>
            <w:hideMark/>
          </w:tcPr>
          <w:p w14:paraId="0E8ACEA6" w14:textId="77777777" w:rsidR="00387142" w:rsidRPr="008B6A75" w:rsidRDefault="00387142" w:rsidP="00387142">
            <w:pPr>
              <w:rPr>
                <w:bCs/>
                <w:sz w:val="20"/>
                <w:szCs w:val="20"/>
              </w:rPr>
            </w:pPr>
            <w:r w:rsidRPr="008B6A75">
              <w:rPr>
                <w:bCs/>
                <w:sz w:val="20"/>
                <w:szCs w:val="20"/>
              </w:rPr>
              <w:t>Непрограммные направления бюджета</w:t>
            </w:r>
          </w:p>
        </w:tc>
        <w:tc>
          <w:tcPr>
            <w:tcW w:w="850" w:type="dxa"/>
            <w:tcBorders>
              <w:top w:val="nil"/>
              <w:left w:val="single" w:sz="4" w:space="0" w:color="auto"/>
              <w:bottom w:val="nil"/>
              <w:right w:val="nil"/>
            </w:tcBorders>
            <w:shd w:val="clear" w:color="auto" w:fill="auto"/>
            <w:noWrap/>
            <w:vAlign w:val="center"/>
            <w:hideMark/>
          </w:tcPr>
          <w:p w14:paraId="7E267B16" w14:textId="77777777" w:rsidR="00387142" w:rsidRPr="008B6A75" w:rsidRDefault="00387142" w:rsidP="00387142">
            <w:pPr>
              <w:jc w:val="center"/>
              <w:rPr>
                <w:bCs/>
                <w:sz w:val="20"/>
                <w:szCs w:val="20"/>
              </w:rPr>
            </w:pPr>
            <w:r w:rsidRPr="008B6A75">
              <w:rPr>
                <w:bCs/>
                <w:sz w:val="20"/>
                <w:szCs w:val="20"/>
              </w:rPr>
              <w:t>444</w:t>
            </w:r>
          </w:p>
        </w:tc>
        <w:tc>
          <w:tcPr>
            <w:tcW w:w="709" w:type="dxa"/>
            <w:tcBorders>
              <w:top w:val="nil"/>
              <w:left w:val="single" w:sz="4" w:space="0" w:color="auto"/>
              <w:bottom w:val="nil"/>
              <w:right w:val="nil"/>
            </w:tcBorders>
            <w:shd w:val="clear" w:color="auto" w:fill="auto"/>
            <w:noWrap/>
            <w:vAlign w:val="center"/>
            <w:hideMark/>
          </w:tcPr>
          <w:p w14:paraId="254CF175" w14:textId="77777777" w:rsidR="00387142" w:rsidRPr="008B6A75" w:rsidRDefault="00387142" w:rsidP="00387142">
            <w:pPr>
              <w:jc w:val="center"/>
              <w:rPr>
                <w:bCs/>
                <w:sz w:val="20"/>
                <w:szCs w:val="20"/>
              </w:rPr>
            </w:pPr>
            <w:r w:rsidRPr="008B6A75">
              <w:rPr>
                <w:bCs/>
                <w:sz w:val="20"/>
                <w:szCs w:val="20"/>
              </w:rPr>
              <w:t>07</w:t>
            </w:r>
          </w:p>
        </w:tc>
        <w:tc>
          <w:tcPr>
            <w:tcW w:w="709" w:type="dxa"/>
            <w:tcBorders>
              <w:top w:val="nil"/>
              <w:left w:val="single" w:sz="4" w:space="0" w:color="auto"/>
              <w:bottom w:val="nil"/>
              <w:right w:val="single" w:sz="4" w:space="0" w:color="auto"/>
            </w:tcBorders>
            <w:shd w:val="clear" w:color="auto" w:fill="auto"/>
            <w:noWrap/>
            <w:vAlign w:val="center"/>
            <w:hideMark/>
          </w:tcPr>
          <w:p w14:paraId="13D7CFBA" w14:textId="77777777" w:rsidR="00387142" w:rsidRPr="008B6A75" w:rsidRDefault="00387142" w:rsidP="00387142">
            <w:pPr>
              <w:jc w:val="center"/>
              <w:rPr>
                <w:bCs/>
                <w:sz w:val="20"/>
                <w:szCs w:val="20"/>
              </w:rPr>
            </w:pPr>
            <w:r w:rsidRPr="008B6A75">
              <w:rPr>
                <w:bCs/>
                <w:sz w:val="20"/>
                <w:szCs w:val="20"/>
              </w:rPr>
              <w:t>07</w:t>
            </w:r>
          </w:p>
        </w:tc>
        <w:tc>
          <w:tcPr>
            <w:tcW w:w="1411" w:type="dxa"/>
            <w:tcBorders>
              <w:top w:val="nil"/>
              <w:left w:val="single" w:sz="4" w:space="0" w:color="auto"/>
              <w:bottom w:val="nil"/>
              <w:right w:val="nil"/>
            </w:tcBorders>
            <w:shd w:val="clear" w:color="auto" w:fill="auto"/>
            <w:noWrap/>
            <w:vAlign w:val="center"/>
            <w:hideMark/>
          </w:tcPr>
          <w:p w14:paraId="5948CB37" w14:textId="77777777" w:rsidR="00387142" w:rsidRPr="008B6A75" w:rsidRDefault="00387142" w:rsidP="00387142">
            <w:pPr>
              <w:jc w:val="center"/>
              <w:rPr>
                <w:bCs/>
                <w:sz w:val="20"/>
                <w:szCs w:val="20"/>
              </w:rPr>
            </w:pPr>
            <w:r w:rsidRPr="008B6A75">
              <w:rPr>
                <w:bCs/>
                <w:sz w:val="20"/>
                <w:szCs w:val="20"/>
              </w:rPr>
              <w:t>99.0.00.00000</w:t>
            </w:r>
          </w:p>
        </w:tc>
        <w:tc>
          <w:tcPr>
            <w:tcW w:w="955" w:type="dxa"/>
            <w:tcBorders>
              <w:top w:val="nil"/>
              <w:left w:val="single" w:sz="4" w:space="0" w:color="auto"/>
              <w:bottom w:val="nil"/>
              <w:right w:val="single" w:sz="4" w:space="0" w:color="auto"/>
            </w:tcBorders>
            <w:shd w:val="clear" w:color="auto" w:fill="auto"/>
            <w:noWrap/>
            <w:vAlign w:val="center"/>
            <w:hideMark/>
          </w:tcPr>
          <w:p w14:paraId="58A8E31B"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nil"/>
              <w:right w:val="single" w:sz="4" w:space="0" w:color="auto"/>
            </w:tcBorders>
            <w:shd w:val="clear" w:color="auto" w:fill="auto"/>
            <w:noWrap/>
            <w:vAlign w:val="center"/>
            <w:hideMark/>
          </w:tcPr>
          <w:p w14:paraId="621D72C0" w14:textId="77777777" w:rsidR="00387142" w:rsidRPr="008B6A75" w:rsidRDefault="00387142" w:rsidP="00387142">
            <w:pPr>
              <w:jc w:val="right"/>
              <w:rPr>
                <w:bCs/>
                <w:sz w:val="20"/>
                <w:szCs w:val="20"/>
              </w:rPr>
            </w:pPr>
            <w:r w:rsidRPr="008B6A75">
              <w:rPr>
                <w:bCs/>
                <w:sz w:val="20"/>
                <w:szCs w:val="20"/>
              </w:rPr>
              <w:t>10 200,00</w:t>
            </w:r>
          </w:p>
        </w:tc>
        <w:tc>
          <w:tcPr>
            <w:tcW w:w="992" w:type="dxa"/>
            <w:gridSpan w:val="2"/>
            <w:tcBorders>
              <w:top w:val="nil"/>
              <w:left w:val="single" w:sz="4" w:space="0" w:color="auto"/>
              <w:bottom w:val="nil"/>
              <w:right w:val="nil"/>
            </w:tcBorders>
            <w:shd w:val="clear" w:color="auto" w:fill="auto"/>
            <w:noWrap/>
            <w:vAlign w:val="center"/>
            <w:hideMark/>
          </w:tcPr>
          <w:p w14:paraId="1EC817D4" w14:textId="77777777" w:rsidR="00387142" w:rsidRPr="008B6A75" w:rsidRDefault="00387142" w:rsidP="00387142">
            <w:pPr>
              <w:jc w:val="right"/>
              <w:rPr>
                <w:bCs/>
                <w:sz w:val="20"/>
                <w:szCs w:val="20"/>
              </w:rPr>
            </w:pPr>
            <w:r w:rsidRPr="008B6A75">
              <w:rPr>
                <w:bCs/>
                <w:sz w:val="20"/>
                <w:szCs w:val="20"/>
              </w:rPr>
              <w:t>10 200,00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7D46DEF4" w14:textId="77777777" w:rsidR="00387142" w:rsidRPr="008B6A75" w:rsidRDefault="00387142" w:rsidP="00387142">
            <w:pPr>
              <w:jc w:val="right"/>
              <w:rPr>
                <w:bCs/>
                <w:sz w:val="20"/>
                <w:szCs w:val="20"/>
              </w:rPr>
            </w:pPr>
            <w:r w:rsidRPr="008B6A75">
              <w:rPr>
                <w:bCs/>
                <w:sz w:val="20"/>
                <w:szCs w:val="20"/>
              </w:rPr>
              <w:t>10 200,00</w:t>
            </w:r>
          </w:p>
        </w:tc>
        <w:tc>
          <w:tcPr>
            <w:tcW w:w="222" w:type="dxa"/>
            <w:vAlign w:val="center"/>
            <w:hideMark/>
          </w:tcPr>
          <w:p w14:paraId="22E426A9" w14:textId="77777777" w:rsidR="00387142" w:rsidRPr="008B6A75" w:rsidRDefault="00387142" w:rsidP="00387142">
            <w:pPr>
              <w:rPr>
                <w:sz w:val="20"/>
                <w:szCs w:val="20"/>
              </w:rPr>
            </w:pPr>
          </w:p>
        </w:tc>
      </w:tr>
      <w:tr w:rsidR="00387142" w:rsidRPr="008B6A75" w14:paraId="57AA6AAF" w14:textId="77777777" w:rsidTr="00387142">
        <w:trPr>
          <w:trHeight w:val="2295"/>
        </w:trPr>
        <w:tc>
          <w:tcPr>
            <w:tcW w:w="3021" w:type="dxa"/>
            <w:tcBorders>
              <w:top w:val="single" w:sz="4" w:space="0" w:color="auto"/>
              <w:left w:val="single" w:sz="4" w:space="0" w:color="auto"/>
              <w:bottom w:val="nil"/>
              <w:right w:val="nil"/>
            </w:tcBorders>
            <w:shd w:val="clear" w:color="auto" w:fill="auto"/>
            <w:vAlign w:val="center"/>
            <w:hideMark/>
          </w:tcPr>
          <w:p w14:paraId="4F429BF4" w14:textId="77777777" w:rsidR="00387142" w:rsidRPr="008B6A75" w:rsidRDefault="00387142" w:rsidP="00387142">
            <w:pPr>
              <w:rPr>
                <w:bCs/>
                <w:sz w:val="20"/>
                <w:szCs w:val="20"/>
              </w:rPr>
            </w:pPr>
            <w:r w:rsidRPr="008B6A75">
              <w:rPr>
                <w:bCs/>
                <w:sz w:val="20"/>
                <w:szCs w:val="20"/>
              </w:rPr>
              <w:t>Реализация мероприятий по улучшению социального положения семей с детьми, обеспечение дружественных семье и детству общественных отношений и инфраструктуры жизнедеятельности государственной программы Новосибирской области "Социальная поддержка в Новосибирской области"</w:t>
            </w:r>
          </w:p>
        </w:tc>
        <w:tc>
          <w:tcPr>
            <w:tcW w:w="850" w:type="dxa"/>
            <w:tcBorders>
              <w:top w:val="single" w:sz="4" w:space="0" w:color="auto"/>
              <w:left w:val="single" w:sz="4" w:space="0" w:color="auto"/>
              <w:bottom w:val="nil"/>
              <w:right w:val="nil"/>
            </w:tcBorders>
            <w:shd w:val="clear" w:color="auto" w:fill="auto"/>
            <w:noWrap/>
            <w:vAlign w:val="center"/>
            <w:hideMark/>
          </w:tcPr>
          <w:p w14:paraId="4965CBE9" w14:textId="77777777" w:rsidR="00387142" w:rsidRPr="008B6A75" w:rsidRDefault="00387142" w:rsidP="00387142">
            <w:pPr>
              <w:jc w:val="center"/>
              <w:rPr>
                <w:bCs/>
                <w:sz w:val="20"/>
                <w:szCs w:val="20"/>
              </w:rPr>
            </w:pPr>
            <w:r w:rsidRPr="008B6A75">
              <w:rPr>
                <w:bCs/>
                <w:sz w:val="20"/>
                <w:szCs w:val="20"/>
              </w:rPr>
              <w:t>444</w:t>
            </w:r>
          </w:p>
        </w:tc>
        <w:tc>
          <w:tcPr>
            <w:tcW w:w="709" w:type="dxa"/>
            <w:tcBorders>
              <w:top w:val="single" w:sz="4" w:space="0" w:color="auto"/>
              <w:left w:val="single" w:sz="4" w:space="0" w:color="auto"/>
              <w:bottom w:val="nil"/>
              <w:right w:val="nil"/>
            </w:tcBorders>
            <w:shd w:val="clear" w:color="auto" w:fill="auto"/>
            <w:noWrap/>
            <w:vAlign w:val="center"/>
            <w:hideMark/>
          </w:tcPr>
          <w:p w14:paraId="614C958A" w14:textId="77777777" w:rsidR="00387142" w:rsidRPr="008B6A75" w:rsidRDefault="00387142" w:rsidP="00387142">
            <w:pPr>
              <w:jc w:val="center"/>
              <w:rPr>
                <w:bCs/>
                <w:sz w:val="20"/>
                <w:szCs w:val="20"/>
              </w:rPr>
            </w:pPr>
            <w:r w:rsidRPr="008B6A75">
              <w:rPr>
                <w:bCs/>
                <w:sz w:val="20"/>
                <w:szCs w:val="20"/>
              </w:rPr>
              <w:t>07</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5211BE8D" w14:textId="77777777" w:rsidR="00387142" w:rsidRPr="008B6A75" w:rsidRDefault="00387142" w:rsidP="00387142">
            <w:pPr>
              <w:jc w:val="center"/>
              <w:rPr>
                <w:bCs/>
                <w:sz w:val="20"/>
                <w:szCs w:val="20"/>
              </w:rPr>
            </w:pPr>
            <w:r w:rsidRPr="008B6A75">
              <w:rPr>
                <w:bCs/>
                <w:sz w:val="20"/>
                <w:szCs w:val="20"/>
              </w:rPr>
              <w:t>07</w:t>
            </w:r>
          </w:p>
        </w:tc>
        <w:tc>
          <w:tcPr>
            <w:tcW w:w="1411" w:type="dxa"/>
            <w:tcBorders>
              <w:top w:val="single" w:sz="4" w:space="0" w:color="auto"/>
              <w:left w:val="single" w:sz="4" w:space="0" w:color="auto"/>
              <w:bottom w:val="nil"/>
              <w:right w:val="nil"/>
            </w:tcBorders>
            <w:shd w:val="clear" w:color="auto" w:fill="auto"/>
            <w:noWrap/>
            <w:vAlign w:val="center"/>
            <w:hideMark/>
          </w:tcPr>
          <w:p w14:paraId="0DC804E3" w14:textId="77777777" w:rsidR="00387142" w:rsidRPr="008B6A75" w:rsidRDefault="00387142" w:rsidP="00387142">
            <w:pPr>
              <w:jc w:val="center"/>
              <w:rPr>
                <w:bCs/>
                <w:sz w:val="20"/>
                <w:szCs w:val="20"/>
              </w:rPr>
            </w:pPr>
            <w:r w:rsidRPr="008B6A75">
              <w:rPr>
                <w:bCs/>
                <w:sz w:val="20"/>
                <w:szCs w:val="20"/>
              </w:rPr>
              <w:t>99.0.00.70179</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4D702DE3" w14:textId="77777777" w:rsidR="00387142" w:rsidRPr="008B6A75" w:rsidRDefault="00387142" w:rsidP="00387142">
            <w:pPr>
              <w:jc w:val="center"/>
              <w:rPr>
                <w:bCs/>
                <w:sz w:val="20"/>
                <w:szCs w:val="20"/>
              </w:rPr>
            </w:pPr>
            <w:r w:rsidRPr="008B6A75">
              <w:rPr>
                <w:bCs/>
                <w:sz w:val="20"/>
                <w:szCs w:val="20"/>
              </w:rPr>
              <w:t> </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639D4ADC" w14:textId="77777777" w:rsidR="00387142" w:rsidRPr="008B6A75" w:rsidRDefault="00387142" w:rsidP="00387142">
            <w:pPr>
              <w:jc w:val="right"/>
              <w:rPr>
                <w:bCs/>
                <w:sz w:val="20"/>
                <w:szCs w:val="20"/>
              </w:rPr>
            </w:pPr>
            <w:r w:rsidRPr="008B6A75">
              <w:rPr>
                <w:bCs/>
                <w:sz w:val="20"/>
                <w:szCs w:val="20"/>
              </w:rPr>
              <w:t>10 200,00</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244DBB41" w14:textId="77777777" w:rsidR="00387142" w:rsidRPr="008B6A75" w:rsidRDefault="00387142" w:rsidP="00387142">
            <w:pPr>
              <w:jc w:val="right"/>
              <w:rPr>
                <w:bCs/>
                <w:sz w:val="20"/>
                <w:szCs w:val="20"/>
              </w:rPr>
            </w:pPr>
            <w:r w:rsidRPr="008B6A75">
              <w:rPr>
                <w:bCs/>
                <w:sz w:val="20"/>
                <w:szCs w:val="20"/>
              </w:rPr>
              <w:t>10 200,00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55158494" w14:textId="77777777" w:rsidR="00387142" w:rsidRPr="008B6A75" w:rsidRDefault="00387142" w:rsidP="00387142">
            <w:pPr>
              <w:jc w:val="right"/>
              <w:rPr>
                <w:bCs/>
                <w:sz w:val="20"/>
                <w:szCs w:val="20"/>
              </w:rPr>
            </w:pPr>
            <w:r w:rsidRPr="008B6A75">
              <w:rPr>
                <w:bCs/>
                <w:sz w:val="20"/>
                <w:szCs w:val="20"/>
              </w:rPr>
              <w:t>10 200,00</w:t>
            </w:r>
          </w:p>
        </w:tc>
        <w:tc>
          <w:tcPr>
            <w:tcW w:w="222" w:type="dxa"/>
            <w:vAlign w:val="center"/>
            <w:hideMark/>
          </w:tcPr>
          <w:p w14:paraId="358C050C" w14:textId="77777777" w:rsidR="00387142" w:rsidRPr="008B6A75" w:rsidRDefault="00387142" w:rsidP="00387142">
            <w:pPr>
              <w:rPr>
                <w:sz w:val="20"/>
                <w:szCs w:val="20"/>
              </w:rPr>
            </w:pPr>
          </w:p>
        </w:tc>
      </w:tr>
      <w:tr w:rsidR="00387142" w:rsidRPr="008B6A75" w14:paraId="69F32186" w14:textId="77777777" w:rsidTr="00387142">
        <w:trPr>
          <w:trHeight w:val="585"/>
        </w:trPr>
        <w:tc>
          <w:tcPr>
            <w:tcW w:w="3021" w:type="dxa"/>
            <w:tcBorders>
              <w:top w:val="single" w:sz="4" w:space="0" w:color="auto"/>
              <w:left w:val="single" w:sz="4" w:space="0" w:color="auto"/>
              <w:bottom w:val="nil"/>
              <w:right w:val="nil"/>
            </w:tcBorders>
            <w:shd w:val="clear" w:color="auto" w:fill="auto"/>
            <w:vAlign w:val="center"/>
            <w:hideMark/>
          </w:tcPr>
          <w:p w14:paraId="3FCBA6CC" w14:textId="77777777" w:rsidR="00387142" w:rsidRPr="008B6A75" w:rsidRDefault="00387142" w:rsidP="00387142">
            <w:pPr>
              <w:rPr>
                <w:sz w:val="20"/>
                <w:szCs w:val="20"/>
              </w:rPr>
            </w:pPr>
            <w:r w:rsidRPr="008B6A75">
              <w:rPr>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nil"/>
              <w:right w:val="nil"/>
            </w:tcBorders>
            <w:shd w:val="clear" w:color="auto" w:fill="auto"/>
            <w:noWrap/>
            <w:vAlign w:val="center"/>
            <w:hideMark/>
          </w:tcPr>
          <w:p w14:paraId="02CAB72E" w14:textId="77777777" w:rsidR="00387142" w:rsidRPr="008B6A75" w:rsidRDefault="00387142" w:rsidP="00387142">
            <w:pPr>
              <w:jc w:val="center"/>
              <w:rPr>
                <w:sz w:val="20"/>
                <w:szCs w:val="20"/>
              </w:rPr>
            </w:pPr>
            <w:r w:rsidRPr="008B6A75">
              <w:rPr>
                <w:sz w:val="20"/>
                <w:szCs w:val="20"/>
              </w:rPr>
              <w:t>444</w:t>
            </w:r>
          </w:p>
        </w:tc>
        <w:tc>
          <w:tcPr>
            <w:tcW w:w="709" w:type="dxa"/>
            <w:tcBorders>
              <w:top w:val="single" w:sz="4" w:space="0" w:color="auto"/>
              <w:left w:val="single" w:sz="4" w:space="0" w:color="auto"/>
              <w:bottom w:val="nil"/>
              <w:right w:val="nil"/>
            </w:tcBorders>
            <w:shd w:val="clear" w:color="auto" w:fill="auto"/>
            <w:noWrap/>
            <w:vAlign w:val="center"/>
            <w:hideMark/>
          </w:tcPr>
          <w:p w14:paraId="35E215BC" w14:textId="77777777" w:rsidR="00387142" w:rsidRPr="008B6A75" w:rsidRDefault="00387142" w:rsidP="00387142">
            <w:pPr>
              <w:jc w:val="center"/>
              <w:rPr>
                <w:sz w:val="20"/>
                <w:szCs w:val="20"/>
              </w:rPr>
            </w:pPr>
            <w:r w:rsidRPr="008B6A75">
              <w:rPr>
                <w:sz w:val="20"/>
                <w:szCs w:val="20"/>
              </w:rPr>
              <w:t>07</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3D68A5B7" w14:textId="77777777" w:rsidR="00387142" w:rsidRPr="008B6A75" w:rsidRDefault="00387142" w:rsidP="00387142">
            <w:pPr>
              <w:jc w:val="center"/>
              <w:rPr>
                <w:sz w:val="20"/>
                <w:szCs w:val="20"/>
              </w:rPr>
            </w:pPr>
            <w:r w:rsidRPr="008B6A75">
              <w:rPr>
                <w:sz w:val="20"/>
                <w:szCs w:val="20"/>
              </w:rPr>
              <w:t>07</w:t>
            </w:r>
          </w:p>
        </w:tc>
        <w:tc>
          <w:tcPr>
            <w:tcW w:w="1411" w:type="dxa"/>
            <w:tcBorders>
              <w:top w:val="single" w:sz="4" w:space="0" w:color="auto"/>
              <w:left w:val="single" w:sz="4" w:space="0" w:color="auto"/>
              <w:bottom w:val="nil"/>
              <w:right w:val="nil"/>
            </w:tcBorders>
            <w:shd w:val="clear" w:color="auto" w:fill="auto"/>
            <w:noWrap/>
            <w:vAlign w:val="center"/>
            <w:hideMark/>
          </w:tcPr>
          <w:p w14:paraId="72AA34D8" w14:textId="77777777" w:rsidR="00387142" w:rsidRPr="008B6A75" w:rsidRDefault="00387142" w:rsidP="00387142">
            <w:pPr>
              <w:jc w:val="center"/>
              <w:rPr>
                <w:sz w:val="20"/>
                <w:szCs w:val="20"/>
              </w:rPr>
            </w:pPr>
            <w:r w:rsidRPr="008B6A75">
              <w:rPr>
                <w:sz w:val="20"/>
                <w:szCs w:val="20"/>
              </w:rPr>
              <w:t>99.0.00.70179</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06BA3ABC" w14:textId="77777777" w:rsidR="00387142" w:rsidRPr="008B6A75" w:rsidRDefault="00387142" w:rsidP="00387142">
            <w:pPr>
              <w:jc w:val="center"/>
              <w:rPr>
                <w:sz w:val="20"/>
                <w:szCs w:val="20"/>
              </w:rPr>
            </w:pPr>
            <w:r w:rsidRPr="008B6A75">
              <w:rPr>
                <w:sz w:val="20"/>
                <w:szCs w:val="20"/>
              </w:rPr>
              <w:t>200</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316BDFF1" w14:textId="77777777" w:rsidR="00387142" w:rsidRPr="008B6A75" w:rsidRDefault="00387142" w:rsidP="00387142">
            <w:pPr>
              <w:jc w:val="right"/>
              <w:rPr>
                <w:sz w:val="20"/>
                <w:szCs w:val="20"/>
              </w:rPr>
            </w:pPr>
            <w:r w:rsidRPr="008B6A75">
              <w:rPr>
                <w:sz w:val="20"/>
                <w:szCs w:val="20"/>
              </w:rPr>
              <w:t>0,00</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127AE962" w14:textId="77777777" w:rsidR="00387142" w:rsidRPr="008B6A75" w:rsidRDefault="00387142" w:rsidP="00387142">
            <w:pPr>
              <w:jc w:val="right"/>
              <w:rPr>
                <w:sz w:val="20"/>
                <w:szCs w:val="20"/>
              </w:rPr>
            </w:pPr>
            <w:r w:rsidRPr="008B6A75">
              <w:rPr>
                <w:sz w:val="20"/>
                <w:szCs w:val="20"/>
              </w:rPr>
              <w:t>10 200,00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10581D5C" w14:textId="77777777" w:rsidR="00387142" w:rsidRPr="008B6A75" w:rsidRDefault="00387142" w:rsidP="00387142">
            <w:pPr>
              <w:jc w:val="right"/>
              <w:rPr>
                <w:sz w:val="20"/>
                <w:szCs w:val="20"/>
              </w:rPr>
            </w:pPr>
            <w:r w:rsidRPr="008B6A75">
              <w:rPr>
                <w:sz w:val="20"/>
                <w:szCs w:val="20"/>
              </w:rPr>
              <w:t>10 200,00</w:t>
            </w:r>
          </w:p>
        </w:tc>
        <w:tc>
          <w:tcPr>
            <w:tcW w:w="222" w:type="dxa"/>
            <w:vAlign w:val="center"/>
            <w:hideMark/>
          </w:tcPr>
          <w:p w14:paraId="1F6B1436" w14:textId="77777777" w:rsidR="00387142" w:rsidRPr="008B6A75" w:rsidRDefault="00387142" w:rsidP="00387142">
            <w:pPr>
              <w:rPr>
                <w:sz w:val="20"/>
                <w:szCs w:val="20"/>
              </w:rPr>
            </w:pPr>
          </w:p>
        </w:tc>
      </w:tr>
      <w:tr w:rsidR="00387142" w:rsidRPr="008B6A75" w14:paraId="7462EDDE" w14:textId="77777777" w:rsidTr="00387142">
        <w:trPr>
          <w:trHeight w:val="870"/>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2F59FD94" w14:textId="77777777" w:rsidR="00387142" w:rsidRPr="008B6A75" w:rsidRDefault="00387142" w:rsidP="00387142">
            <w:pPr>
              <w:rPr>
                <w:sz w:val="20"/>
                <w:szCs w:val="20"/>
              </w:rPr>
            </w:pPr>
            <w:r w:rsidRPr="008B6A75">
              <w:rPr>
                <w:sz w:val="20"/>
                <w:szCs w:val="20"/>
              </w:rPr>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2A61DFD3" w14:textId="77777777" w:rsidR="00387142" w:rsidRPr="008B6A75" w:rsidRDefault="00387142" w:rsidP="00387142">
            <w:pPr>
              <w:jc w:val="center"/>
              <w:rPr>
                <w:sz w:val="20"/>
                <w:szCs w:val="20"/>
              </w:rPr>
            </w:pPr>
            <w:r w:rsidRPr="008B6A75">
              <w:rPr>
                <w:sz w:val="20"/>
                <w:szCs w:val="20"/>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07D458F4" w14:textId="77777777" w:rsidR="00387142" w:rsidRPr="008B6A75" w:rsidRDefault="00387142" w:rsidP="00387142">
            <w:pPr>
              <w:jc w:val="center"/>
              <w:rPr>
                <w:sz w:val="20"/>
                <w:szCs w:val="20"/>
              </w:rPr>
            </w:pPr>
            <w:r w:rsidRPr="008B6A75">
              <w:rPr>
                <w:sz w:val="20"/>
                <w:szCs w:val="20"/>
              </w:rPr>
              <w:t>07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653E10" w14:textId="77777777" w:rsidR="00387142" w:rsidRPr="008B6A75" w:rsidRDefault="00387142" w:rsidP="00387142">
            <w:pPr>
              <w:jc w:val="center"/>
              <w:rPr>
                <w:sz w:val="20"/>
                <w:szCs w:val="20"/>
              </w:rPr>
            </w:pPr>
            <w:r w:rsidRPr="008B6A75">
              <w:rPr>
                <w:sz w:val="20"/>
                <w:szCs w:val="20"/>
              </w:rPr>
              <w:t>07</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5F0AD935" w14:textId="77777777" w:rsidR="00387142" w:rsidRPr="008B6A75" w:rsidRDefault="00387142" w:rsidP="00387142">
            <w:pPr>
              <w:jc w:val="center"/>
              <w:rPr>
                <w:sz w:val="20"/>
                <w:szCs w:val="20"/>
              </w:rPr>
            </w:pPr>
            <w:r w:rsidRPr="008B6A75">
              <w:rPr>
                <w:sz w:val="20"/>
                <w:szCs w:val="20"/>
              </w:rPr>
              <w:t>99.0.00.70179</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3BA796" w14:textId="77777777" w:rsidR="00387142" w:rsidRPr="008B6A75" w:rsidRDefault="00387142" w:rsidP="00387142">
            <w:pPr>
              <w:jc w:val="center"/>
              <w:rPr>
                <w:sz w:val="20"/>
                <w:szCs w:val="20"/>
              </w:rPr>
            </w:pPr>
            <w:r w:rsidRPr="008B6A75">
              <w:rPr>
                <w:sz w:val="20"/>
                <w:szCs w:val="20"/>
              </w:rPr>
              <w:t>240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98FD76" w14:textId="77777777" w:rsidR="00387142" w:rsidRPr="008B6A75" w:rsidRDefault="00387142" w:rsidP="00387142">
            <w:pPr>
              <w:jc w:val="right"/>
              <w:rPr>
                <w:sz w:val="20"/>
                <w:szCs w:val="20"/>
              </w:rPr>
            </w:pPr>
            <w:r w:rsidRPr="008B6A75">
              <w:rPr>
                <w:sz w:val="20"/>
                <w:szCs w:val="20"/>
              </w:rPr>
              <w:t>0,00</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354054C9" w14:textId="77777777" w:rsidR="00387142" w:rsidRPr="008B6A75" w:rsidRDefault="00387142" w:rsidP="00387142">
            <w:pPr>
              <w:jc w:val="right"/>
              <w:rPr>
                <w:sz w:val="20"/>
                <w:szCs w:val="20"/>
              </w:rPr>
            </w:pPr>
            <w:r w:rsidRPr="008B6A75">
              <w:rPr>
                <w:sz w:val="20"/>
                <w:szCs w:val="20"/>
              </w:rPr>
              <w:t>10 200,00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01705A" w14:textId="77777777" w:rsidR="00387142" w:rsidRPr="008B6A75" w:rsidRDefault="00387142" w:rsidP="00387142">
            <w:pPr>
              <w:jc w:val="right"/>
              <w:rPr>
                <w:sz w:val="20"/>
                <w:szCs w:val="20"/>
              </w:rPr>
            </w:pPr>
            <w:r w:rsidRPr="008B6A75">
              <w:rPr>
                <w:sz w:val="20"/>
                <w:szCs w:val="20"/>
              </w:rPr>
              <w:t>10 200,00</w:t>
            </w:r>
          </w:p>
        </w:tc>
        <w:tc>
          <w:tcPr>
            <w:tcW w:w="222" w:type="dxa"/>
            <w:vAlign w:val="center"/>
            <w:hideMark/>
          </w:tcPr>
          <w:p w14:paraId="523FCB31" w14:textId="77777777" w:rsidR="00387142" w:rsidRPr="008B6A75" w:rsidRDefault="00387142" w:rsidP="00387142">
            <w:pPr>
              <w:rPr>
                <w:sz w:val="20"/>
                <w:szCs w:val="20"/>
              </w:rPr>
            </w:pPr>
          </w:p>
        </w:tc>
      </w:tr>
      <w:tr w:rsidR="00387142" w:rsidRPr="008B6A75" w14:paraId="546E7167" w14:textId="77777777" w:rsidTr="00387142">
        <w:trPr>
          <w:trHeight w:val="870"/>
        </w:trPr>
        <w:tc>
          <w:tcPr>
            <w:tcW w:w="3021" w:type="dxa"/>
            <w:tcBorders>
              <w:top w:val="nil"/>
              <w:left w:val="single" w:sz="4" w:space="0" w:color="auto"/>
              <w:bottom w:val="nil"/>
              <w:right w:val="nil"/>
            </w:tcBorders>
            <w:shd w:val="clear" w:color="auto" w:fill="auto"/>
            <w:vAlign w:val="center"/>
            <w:hideMark/>
          </w:tcPr>
          <w:p w14:paraId="124C47E6" w14:textId="77777777" w:rsidR="00387142" w:rsidRPr="008B6A75" w:rsidRDefault="00387142" w:rsidP="00387142">
            <w:pPr>
              <w:rPr>
                <w:sz w:val="20"/>
                <w:szCs w:val="20"/>
              </w:rPr>
            </w:pPr>
            <w:r w:rsidRPr="008B6A75">
              <w:rPr>
                <w:sz w:val="20"/>
                <w:szCs w:val="20"/>
              </w:rPr>
              <w:t>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right w:val="nil"/>
            </w:tcBorders>
            <w:shd w:val="clear" w:color="auto" w:fill="auto"/>
            <w:noWrap/>
            <w:vAlign w:val="center"/>
            <w:hideMark/>
          </w:tcPr>
          <w:p w14:paraId="136F0BEA" w14:textId="77777777" w:rsidR="00387142" w:rsidRPr="008B6A75" w:rsidRDefault="00387142" w:rsidP="00387142">
            <w:pPr>
              <w:jc w:val="center"/>
              <w:rPr>
                <w:sz w:val="20"/>
                <w:szCs w:val="20"/>
              </w:rPr>
            </w:pPr>
            <w:r w:rsidRPr="008B6A75">
              <w:rPr>
                <w:sz w:val="20"/>
                <w:szCs w:val="20"/>
              </w:rPr>
              <w:t>444</w:t>
            </w:r>
          </w:p>
        </w:tc>
        <w:tc>
          <w:tcPr>
            <w:tcW w:w="709" w:type="dxa"/>
            <w:tcBorders>
              <w:top w:val="nil"/>
              <w:left w:val="single" w:sz="4" w:space="0" w:color="auto"/>
              <w:bottom w:val="nil"/>
              <w:right w:val="nil"/>
            </w:tcBorders>
            <w:shd w:val="clear" w:color="auto" w:fill="auto"/>
            <w:noWrap/>
            <w:vAlign w:val="center"/>
            <w:hideMark/>
          </w:tcPr>
          <w:p w14:paraId="2628BCD1" w14:textId="77777777" w:rsidR="00387142" w:rsidRPr="008B6A75" w:rsidRDefault="00387142" w:rsidP="00387142">
            <w:pPr>
              <w:jc w:val="center"/>
              <w:rPr>
                <w:sz w:val="20"/>
                <w:szCs w:val="20"/>
              </w:rPr>
            </w:pPr>
            <w:r w:rsidRPr="008B6A75">
              <w:rPr>
                <w:sz w:val="20"/>
                <w:szCs w:val="20"/>
              </w:rPr>
              <w:t>07</w:t>
            </w:r>
          </w:p>
        </w:tc>
        <w:tc>
          <w:tcPr>
            <w:tcW w:w="709" w:type="dxa"/>
            <w:tcBorders>
              <w:top w:val="nil"/>
              <w:left w:val="single" w:sz="4" w:space="0" w:color="auto"/>
              <w:bottom w:val="nil"/>
              <w:right w:val="single" w:sz="4" w:space="0" w:color="auto"/>
            </w:tcBorders>
            <w:shd w:val="clear" w:color="auto" w:fill="auto"/>
            <w:noWrap/>
            <w:vAlign w:val="center"/>
            <w:hideMark/>
          </w:tcPr>
          <w:p w14:paraId="03E0693C" w14:textId="77777777" w:rsidR="00387142" w:rsidRPr="008B6A75" w:rsidRDefault="00387142" w:rsidP="00387142">
            <w:pPr>
              <w:jc w:val="center"/>
              <w:rPr>
                <w:sz w:val="20"/>
                <w:szCs w:val="20"/>
              </w:rPr>
            </w:pPr>
            <w:r w:rsidRPr="008B6A75">
              <w:rPr>
                <w:sz w:val="20"/>
                <w:szCs w:val="20"/>
              </w:rPr>
              <w:t>07</w:t>
            </w:r>
          </w:p>
        </w:tc>
        <w:tc>
          <w:tcPr>
            <w:tcW w:w="1411" w:type="dxa"/>
            <w:tcBorders>
              <w:top w:val="nil"/>
              <w:left w:val="single" w:sz="4" w:space="0" w:color="auto"/>
              <w:bottom w:val="nil"/>
              <w:right w:val="nil"/>
            </w:tcBorders>
            <w:shd w:val="clear" w:color="auto" w:fill="auto"/>
            <w:noWrap/>
            <w:vAlign w:val="center"/>
            <w:hideMark/>
          </w:tcPr>
          <w:p w14:paraId="5331C4F7" w14:textId="77777777" w:rsidR="00387142" w:rsidRPr="008B6A75" w:rsidRDefault="00387142" w:rsidP="00387142">
            <w:pPr>
              <w:jc w:val="center"/>
              <w:rPr>
                <w:sz w:val="20"/>
                <w:szCs w:val="20"/>
              </w:rPr>
            </w:pPr>
            <w:r w:rsidRPr="008B6A75">
              <w:rPr>
                <w:sz w:val="20"/>
                <w:szCs w:val="20"/>
              </w:rPr>
              <w:t>99.0.00.70179</w:t>
            </w:r>
          </w:p>
        </w:tc>
        <w:tc>
          <w:tcPr>
            <w:tcW w:w="955" w:type="dxa"/>
            <w:tcBorders>
              <w:top w:val="nil"/>
              <w:left w:val="single" w:sz="4" w:space="0" w:color="auto"/>
              <w:bottom w:val="nil"/>
              <w:right w:val="single" w:sz="4" w:space="0" w:color="auto"/>
            </w:tcBorders>
            <w:shd w:val="clear" w:color="auto" w:fill="auto"/>
            <w:noWrap/>
            <w:vAlign w:val="center"/>
            <w:hideMark/>
          </w:tcPr>
          <w:p w14:paraId="375E0AFA" w14:textId="77777777" w:rsidR="00387142" w:rsidRPr="008B6A75" w:rsidRDefault="00387142" w:rsidP="00387142">
            <w:pPr>
              <w:jc w:val="center"/>
              <w:rPr>
                <w:sz w:val="20"/>
                <w:szCs w:val="20"/>
              </w:rPr>
            </w:pPr>
            <w:r w:rsidRPr="008B6A75">
              <w:rPr>
                <w:sz w:val="20"/>
                <w:szCs w:val="20"/>
              </w:rPr>
              <w:t>600</w:t>
            </w:r>
          </w:p>
        </w:tc>
        <w:tc>
          <w:tcPr>
            <w:tcW w:w="992" w:type="dxa"/>
            <w:tcBorders>
              <w:top w:val="nil"/>
              <w:left w:val="single" w:sz="4" w:space="0" w:color="auto"/>
              <w:bottom w:val="nil"/>
              <w:right w:val="single" w:sz="4" w:space="0" w:color="auto"/>
            </w:tcBorders>
            <w:shd w:val="clear" w:color="auto" w:fill="auto"/>
            <w:noWrap/>
            <w:vAlign w:val="center"/>
            <w:hideMark/>
          </w:tcPr>
          <w:p w14:paraId="2DD7EB18" w14:textId="77777777" w:rsidR="00387142" w:rsidRPr="008B6A75" w:rsidRDefault="00387142" w:rsidP="00387142">
            <w:pPr>
              <w:jc w:val="right"/>
              <w:rPr>
                <w:sz w:val="20"/>
                <w:szCs w:val="20"/>
              </w:rPr>
            </w:pPr>
            <w:r w:rsidRPr="008B6A75">
              <w:rPr>
                <w:sz w:val="20"/>
                <w:szCs w:val="20"/>
              </w:rPr>
              <w:t>10 200,00</w:t>
            </w:r>
          </w:p>
        </w:tc>
        <w:tc>
          <w:tcPr>
            <w:tcW w:w="992" w:type="dxa"/>
            <w:gridSpan w:val="2"/>
            <w:tcBorders>
              <w:top w:val="nil"/>
              <w:left w:val="single" w:sz="4" w:space="0" w:color="auto"/>
              <w:bottom w:val="nil"/>
              <w:right w:val="nil"/>
            </w:tcBorders>
            <w:shd w:val="clear" w:color="auto" w:fill="auto"/>
            <w:noWrap/>
            <w:vAlign w:val="center"/>
            <w:hideMark/>
          </w:tcPr>
          <w:p w14:paraId="4F62BC21" w14:textId="77777777" w:rsidR="00387142" w:rsidRPr="008B6A75" w:rsidRDefault="00387142" w:rsidP="00387142">
            <w:pPr>
              <w:jc w:val="right"/>
              <w:rPr>
                <w:sz w:val="20"/>
                <w:szCs w:val="20"/>
              </w:rPr>
            </w:pPr>
            <w:r w:rsidRPr="008B6A75">
              <w:rPr>
                <w:sz w:val="20"/>
                <w:szCs w:val="20"/>
              </w:rPr>
              <w:t>0,00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19D8119C" w14:textId="77777777" w:rsidR="00387142" w:rsidRPr="008B6A75" w:rsidRDefault="00387142" w:rsidP="00387142">
            <w:pPr>
              <w:jc w:val="right"/>
              <w:rPr>
                <w:sz w:val="20"/>
                <w:szCs w:val="20"/>
              </w:rPr>
            </w:pPr>
            <w:r w:rsidRPr="008B6A75">
              <w:rPr>
                <w:sz w:val="20"/>
                <w:szCs w:val="20"/>
              </w:rPr>
              <w:t>0,00</w:t>
            </w:r>
          </w:p>
        </w:tc>
        <w:tc>
          <w:tcPr>
            <w:tcW w:w="222" w:type="dxa"/>
            <w:vAlign w:val="center"/>
            <w:hideMark/>
          </w:tcPr>
          <w:p w14:paraId="11285C6D" w14:textId="77777777" w:rsidR="00387142" w:rsidRPr="008B6A75" w:rsidRDefault="00387142" w:rsidP="00387142">
            <w:pPr>
              <w:rPr>
                <w:sz w:val="20"/>
                <w:szCs w:val="20"/>
              </w:rPr>
            </w:pPr>
          </w:p>
        </w:tc>
      </w:tr>
      <w:tr w:rsidR="00387142" w:rsidRPr="008B6A75" w14:paraId="319E278D" w14:textId="77777777" w:rsidTr="00387142">
        <w:trPr>
          <w:trHeight w:val="300"/>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2C0151EA" w14:textId="77777777" w:rsidR="00387142" w:rsidRPr="008B6A75" w:rsidRDefault="00387142" w:rsidP="00387142">
            <w:pPr>
              <w:rPr>
                <w:sz w:val="20"/>
                <w:szCs w:val="20"/>
              </w:rPr>
            </w:pPr>
            <w:r w:rsidRPr="008B6A75">
              <w:rPr>
                <w:sz w:val="20"/>
                <w:szCs w:val="20"/>
              </w:rPr>
              <w:t>Субсидии бюджетным учреждениям</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49B03B26" w14:textId="77777777" w:rsidR="00387142" w:rsidRPr="008B6A75" w:rsidRDefault="00387142" w:rsidP="00387142">
            <w:pPr>
              <w:jc w:val="center"/>
              <w:rPr>
                <w:sz w:val="20"/>
                <w:szCs w:val="20"/>
              </w:rPr>
            </w:pPr>
            <w:r w:rsidRPr="008B6A75">
              <w:rPr>
                <w:sz w:val="20"/>
                <w:szCs w:val="20"/>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08DA030A" w14:textId="77777777" w:rsidR="00387142" w:rsidRPr="008B6A75" w:rsidRDefault="00387142" w:rsidP="00387142">
            <w:pPr>
              <w:jc w:val="center"/>
              <w:rPr>
                <w:sz w:val="20"/>
                <w:szCs w:val="20"/>
              </w:rPr>
            </w:pPr>
            <w:r w:rsidRPr="008B6A75">
              <w:rPr>
                <w:sz w:val="20"/>
                <w:szCs w:val="20"/>
              </w:rPr>
              <w:t>07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B34F21" w14:textId="77777777" w:rsidR="00387142" w:rsidRPr="008B6A75" w:rsidRDefault="00387142" w:rsidP="00387142">
            <w:pPr>
              <w:jc w:val="center"/>
              <w:rPr>
                <w:sz w:val="20"/>
                <w:szCs w:val="20"/>
              </w:rPr>
            </w:pPr>
            <w:r w:rsidRPr="008B6A75">
              <w:rPr>
                <w:sz w:val="20"/>
                <w:szCs w:val="20"/>
              </w:rPr>
              <w:t>07</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2FEF7D2E" w14:textId="77777777" w:rsidR="00387142" w:rsidRPr="008B6A75" w:rsidRDefault="00387142" w:rsidP="00387142">
            <w:pPr>
              <w:jc w:val="center"/>
              <w:rPr>
                <w:sz w:val="20"/>
                <w:szCs w:val="20"/>
              </w:rPr>
            </w:pPr>
            <w:r w:rsidRPr="008B6A75">
              <w:rPr>
                <w:sz w:val="20"/>
                <w:szCs w:val="20"/>
              </w:rPr>
              <w:t>99.0.00.70179</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A21F89" w14:textId="77777777" w:rsidR="00387142" w:rsidRPr="008B6A75" w:rsidRDefault="00387142" w:rsidP="00387142">
            <w:pPr>
              <w:jc w:val="center"/>
              <w:rPr>
                <w:sz w:val="20"/>
                <w:szCs w:val="20"/>
              </w:rPr>
            </w:pPr>
            <w:r w:rsidRPr="008B6A75">
              <w:rPr>
                <w:sz w:val="20"/>
                <w:szCs w:val="20"/>
              </w:rPr>
              <w:t>610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A08BBC" w14:textId="77777777" w:rsidR="00387142" w:rsidRPr="008B6A75" w:rsidRDefault="00387142" w:rsidP="00387142">
            <w:pPr>
              <w:jc w:val="right"/>
              <w:rPr>
                <w:sz w:val="20"/>
                <w:szCs w:val="20"/>
              </w:rPr>
            </w:pPr>
            <w:r w:rsidRPr="008B6A75">
              <w:rPr>
                <w:sz w:val="20"/>
                <w:szCs w:val="20"/>
              </w:rPr>
              <w:t>10 200,00</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111D7148" w14:textId="77777777" w:rsidR="00387142" w:rsidRPr="008B6A75" w:rsidRDefault="00387142" w:rsidP="00387142">
            <w:pPr>
              <w:jc w:val="right"/>
              <w:rPr>
                <w:sz w:val="20"/>
                <w:szCs w:val="20"/>
              </w:rPr>
            </w:pPr>
            <w:r w:rsidRPr="008B6A75">
              <w:rPr>
                <w:sz w:val="20"/>
                <w:szCs w:val="20"/>
              </w:rPr>
              <w:t>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8FA3A9" w14:textId="77777777" w:rsidR="00387142" w:rsidRPr="008B6A75" w:rsidRDefault="00387142" w:rsidP="00387142">
            <w:pPr>
              <w:jc w:val="right"/>
              <w:rPr>
                <w:sz w:val="20"/>
                <w:szCs w:val="20"/>
              </w:rPr>
            </w:pPr>
            <w:r w:rsidRPr="008B6A75">
              <w:rPr>
                <w:sz w:val="20"/>
                <w:szCs w:val="20"/>
              </w:rPr>
              <w:t>0,00</w:t>
            </w:r>
          </w:p>
        </w:tc>
        <w:tc>
          <w:tcPr>
            <w:tcW w:w="222" w:type="dxa"/>
            <w:vAlign w:val="center"/>
            <w:hideMark/>
          </w:tcPr>
          <w:p w14:paraId="6E864F53" w14:textId="77777777" w:rsidR="00387142" w:rsidRPr="008B6A75" w:rsidRDefault="00387142" w:rsidP="00387142">
            <w:pPr>
              <w:rPr>
                <w:sz w:val="20"/>
                <w:szCs w:val="20"/>
              </w:rPr>
            </w:pPr>
          </w:p>
        </w:tc>
      </w:tr>
      <w:tr w:rsidR="00387142" w:rsidRPr="008B6A75" w14:paraId="61F5B1E2" w14:textId="77777777" w:rsidTr="00387142">
        <w:trPr>
          <w:trHeight w:val="300"/>
        </w:trPr>
        <w:tc>
          <w:tcPr>
            <w:tcW w:w="3021" w:type="dxa"/>
            <w:tcBorders>
              <w:top w:val="nil"/>
              <w:left w:val="single" w:sz="4" w:space="0" w:color="auto"/>
              <w:bottom w:val="nil"/>
              <w:right w:val="nil"/>
            </w:tcBorders>
            <w:shd w:val="clear" w:color="auto" w:fill="auto"/>
            <w:vAlign w:val="center"/>
            <w:hideMark/>
          </w:tcPr>
          <w:p w14:paraId="1B602491" w14:textId="77777777" w:rsidR="00387142" w:rsidRPr="008B6A75" w:rsidRDefault="00387142" w:rsidP="00387142">
            <w:pPr>
              <w:rPr>
                <w:bCs/>
                <w:sz w:val="20"/>
                <w:szCs w:val="20"/>
              </w:rPr>
            </w:pPr>
            <w:r w:rsidRPr="008B6A75">
              <w:rPr>
                <w:bCs/>
                <w:sz w:val="20"/>
                <w:szCs w:val="20"/>
              </w:rPr>
              <w:t>Другие вопросы в области образования</w:t>
            </w:r>
          </w:p>
        </w:tc>
        <w:tc>
          <w:tcPr>
            <w:tcW w:w="850" w:type="dxa"/>
            <w:tcBorders>
              <w:top w:val="nil"/>
              <w:left w:val="single" w:sz="4" w:space="0" w:color="auto"/>
              <w:bottom w:val="nil"/>
              <w:right w:val="nil"/>
            </w:tcBorders>
            <w:shd w:val="clear" w:color="auto" w:fill="auto"/>
            <w:noWrap/>
            <w:vAlign w:val="center"/>
            <w:hideMark/>
          </w:tcPr>
          <w:p w14:paraId="52678812" w14:textId="77777777" w:rsidR="00387142" w:rsidRPr="008B6A75" w:rsidRDefault="00387142" w:rsidP="00387142">
            <w:pPr>
              <w:jc w:val="center"/>
              <w:rPr>
                <w:bCs/>
                <w:sz w:val="20"/>
                <w:szCs w:val="20"/>
              </w:rPr>
            </w:pPr>
            <w:r w:rsidRPr="008B6A75">
              <w:rPr>
                <w:bCs/>
                <w:sz w:val="20"/>
                <w:szCs w:val="20"/>
              </w:rPr>
              <w:t>444</w:t>
            </w:r>
          </w:p>
        </w:tc>
        <w:tc>
          <w:tcPr>
            <w:tcW w:w="709" w:type="dxa"/>
            <w:tcBorders>
              <w:top w:val="nil"/>
              <w:left w:val="single" w:sz="4" w:space="0" w:color="auto"/>
              <w:bottom w:val="nil"/>
              <w:right w:val="nil"/>
            </w:tcBorders>
            <w:shd w:val="clear" w:color="auto" w:fill="auto"/>
            <w:noWrap/>
            <w:vAlign w:val="center"/>
            <w:hideMark/>
          </w:tcPr>
          <w:p w14:paraId="68DBF99F" w14:textId="77777777" w:rsidR="00387142" w:rsidRPr="008B6A75" w:rsidRDefault="00387142" w:rsidP="00387142">
            <w:pPr>
              <w:jc w:val="center"/>
              <w:rPr>
                <w:bCs/>
                <w:sz w:val="20"/>
                <w:szCs w:val="20"/>
              </w:rPr>
            </w:pPr>
            <w:r w:rsidRPr="008B6A75">
              <w:rPr>
                <w:bCs/>
                <w:sz w:val="20"/>
                <w:szCs w:val="20"/>
              </w:rPr>
              <w:t>07</w:t>
            </w:r>
          </w:p>
        </w:tc>
        <w:tc>
          <w:tcPr>
            <w:tcW w:w="709" w:type="dxa"/>
            <w:tcBorders>
              <w:top w:val="nil"/>
              <w:left w:val="single" w:sz="4" w:space="0" w:color="auto"/>
              <w:bottom w:val="nil"/>
              <w:right w:val="single" w:sz="4" w:space="0" w:color="auto"/>
            </w:tcBorders>
            <w:shd w:val="clear" w:color="auto" w:fill="auto"/>
            <w:noWrap/>
            <w:vAlign w:val="center"/>
            <w:hideMark/>
          </w:tcPr>
          <w:p w14:paraId="5A0435DB" w14:textId="77777777" w:rsidR="00387142" w:rsidRPr="008B6A75" w:rsidRDefault="00387142" w:rsidP="00387142">
            <w:pPr>
              <w:jc w:val="center"/>
              <w:rPr>
                <w:bCs/>
                <w:sz w:val="20"/>
                <w:szCs w:val="20"/>
              </w:rPr>
            </w:pPr>
            <w:r w:rsidRPr="008B6A75">
              <w:rPr>
                <w:bCs/>
                <w:sz w:val="20"/>
                <w:szCs w:val="20"/>
              </w:rPr>
              <w:t>09</w:t>
            </w:r>
          </w:p>
        </w:tc>
        <w:tc>
          <w:tcPr>
            <w:tcW w:w="1411" w:type="dxa"/>
            <w:tcBorders>
              <w:top w:val="nil"/>
              <w:left w:val="single" w:sz="4" w:space="0" w:color="auto"/>
              <w:bottom w:val="nil"/>
              <w:right w:val="nil"/>
            </w:tcBorders>
            <w:shd w:val="clear" w:color="auto" w:fill="auto"/>
            <w:noWrap/>
            <w:vAlign w:val="center"/>
            <w:hideMark/>
          </w:tcPr>
          <w:p w14:paraId="6E92FE61" w14:textId="77777777" w:rsidR="00387142" w:rsidRPr="008B6A75" w:rsidRDefault="00387142" w:rsidP="00387142">
            <w:pPr>
              <w:jc w:val="center"/>
              <w:rPr>
                <w:bCs/>
                <w:sz w:val="20"/>
                <w:szCs w:val="20"/>
              </w:rPr>
            </w:pPr>
            <w:r w:rsidRPr="008B6A75">
              <w:rPr>
                <w:bCs/>
                <w:sz w:val="20"/>
                <w:szCs w:val="20"/>
              </w:rPr>
              <w:t> </w:t>
            </w:r>
          </w:p>
        </w:tc>
        <w:tc>
          <w:tcPr>
            <w:tcW w:w="955" w:type="dxa"/>
            <w:tcBorders>
              <w:top w:val="nil"/>
              <w:left w:val="single" w:sz="4" w:space="0" w:color="auto"/>
              <w:bottom w:val="nil"/>
              <w:right w:val="single" w:sz="4" w:space="0" w:color="auto"/>
            </w:tcBorders>
            <w:shd w:val="clear" w:color="auto" w:fill="auto"/>
            <w:noWrap/>
            <w:vAlign w:val="center"/>
            <w:hideMark/>
          </w:tcPr>
          <w:p w14:paraId="1835B7B1"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nil"/>
              <w:right w:val="single" w:sz="4" w:space="0" w:color="auto"/>
            </w:tcBorders>
            <w:shd w:val="clear" w:color="auto" w:fill="auto"/>
            <w:noWrap/>
            <w:vAlign w:val="center"/>
            <w:hideMark/>
          </w:tcPr>
          <w:p w14:paraId="5FD4BCDE" w14:textId="77777777" w:rsidR="00387142" w:rsidRPr="008B6A75" w:rsidRDefault="00387142" w:rsidP="00387142">
            <w:pPr>
              <w:jc w:val="right"/>
              <w:rPr>
                <w:bCs/>
                <w:sz w:val="20"/>
                <w:szCs w:val="20"/>
              </w:rPr>
            </w:pPr>
            <w:r w:rsidRPr="008B6A75">
              <w:rPr>
                <w:bCs/>
                <w:sz w:val="20"/>
                <w:szCs w:val="20"/>
              </w:rPr>
              <w:t>85 579 124,37</w:t>
            </w:r>
          </w:p>
        </w:tc>
        <w:tc>
          <w:tcPr>
            <w:tcW w:w="992" w:type="dxa"/>
            <w:gridSpan w:val="2"/>
            <w:tcBorders>
              <w:top w:val="nil"/>
              <w:left w:val="single" w:sz="4" w:space="0" w:color="auto"/>
              <w:bottom w:val="nil"/>
              <w:right w:val="nil"/>
            </w:tcBorders>
            <w:shd w:val="clear" w:color="auto" w:fill="auto"/>
            <w:noWrap/>
            <w:vAlign w:val="center"/>
            <w:hideMark/>
          </w:tcPr>
          <w:p w14:paraId="7F5E79FE" w14:textId="77777777" w:rsidR="00387142" w:rsidRPr="008B6A75" w:rsidRDefault="00387142" w:rsidP="00387142">
            <w:pPr>
              <w:jc w:val="right"/>
              <w:rPr>
                <w:bCs/>
                <w:sz w:val="20"/>
                <w:szCs w:val="20"/>
              </w:rPr>
            </w:pPr>
            <w:r w:rsidRPr="008B6A75">
              <w:rPr>
                <w:bCs/>
                <w:sz w:val="20"/>
                <w:szCs w:val="20"/>
              </w:rPr>
              <w:t>43 656 950,00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667B144F" w14:textId="77777777" w:rsidR="00387142" w:rsidRPr="008B6A75" w:rsidRDefault="00387142" w:rsidP="00387142">
            <w:pPr>
              <w:jc w:val="right"/>
              <w:rPr>
                <w:bCs/>
                <w:sz w:val="20"/>
                <w:szCs w:val="20"/>
              </w:rPr>
            </w:pPr>
            <w:r w:rsidRPr="008B6A75">
              <w:rPr>
                <w:bCs/>
                <w:sz w:val="20"/>
                <w:szCs w:val="20"/>
              </w:rPr>
              <w:t>29 190 660,00</w:t>
            </w:r>
          </w:p>
        </w:tc>
        <w:tc>
          <w:tcPr>
            <w:tcW w:w="222" w:type="dxa"/>
            <w:vAlign w:val="center"/>
            <w:hideMark/>
          </w:tcPr>
          <w:p w14:paraId="1AC71177" w14:textId="77777777" w:rsidR="00387142" w:rsidRPr="008B6A75" w:rsidRDefault="00387142" w:rsidP="00387142">
            <w:pPr>
              <w:rPr>
                <w:sz w:val="20"/>
                <w:szCs w:val="20"/>
              </w:rPr>
            </w:pPr>
          </w:p>
        </w:tc>
      </w:tr>
      <w:tr w:rsidR="00387142" w:rsidRPr="008B6A75" w14:paraId="02219289" w14:textId="77777777" w:rsidTr="00387142">
        <w:trPr>
          <w:trHeight w:val="585"/>
        </w:trPr>
        <w:tc>
          <w:tcPr>
            <w:tcW w:w="3021" w:type="dxa"/>
            <w:tcBorders>
              <w:top w:val="single" w:sz="4" w:space="0" w:color="auto"/>
              <w:left w:val="single" w:sz="4" w:space="0" w:color="auto"/>
              <w:bottom w:val="nil"/>
              <w:right w:val="nil"/>
            </w:tcBorders>
            <w:shd w:val="clear" w:color="auto" w:fill="auto"/>
            <w:vAlign w:val="center"/>
            <w:hideMark/>
          </w:tcPr>
          <w:p w14:paraId="29B61906" w14:textId="77777777" w:rsidR="00387142" w:rsidRPr="008B6A75" w:rsidRDefault="00387142" w:rsidP="00387142">
            <w:pPr>
              <w:rPr>
                <w:bCs/>
                <w:sz w:val="20"/>
                <w:szCs w:val="20"/>
              </w:rPr>
            </w:pPr>
            <w:r w:rsidRPr="008B6A75">
              <w:rPr>
                <w:bCs/>
                <w:sz w:val="20"/>
                <w:szCs w:val="20"/>
              </w:rPr>
              <w:t>Муниципальная программа "Развитие системы образования Куйбышевского района"</w:t>
            </w:r>
          </w:p>
        </w:tc>
        <w:tc>
          <w:tcPr>
            <w:tcW w:w="850" w:type="dxa"/>
            <w:tcBorders>
              <w:top w:val="single" w:sz="4" w:space="0" w:color="auto"/>
              <w:left w:val="single" w:sz="4" w:space="0" w:color="auto"/>
              <w:bottom w:val="nil"/>
              <w:right w:val="nil"/>
            </w:tcBorders>
            <w:shd w:val="clear" w:color="auto" w:fill="auto"/>
            <w:noWrap/>
            <w:vAlign w:val="center"/>
            <w:hideMark/>
          </w:tcPr>
          <w:p w14:paraId="49EAC090" w14:textId="77777777" w:rsidR="00387142" w:rsidRPr="008B6A75" w:rsidRDefault="00387142" w:rsidP="00387142">
            <w:pPr>
              <w:jc w:val="center"/>
              <w:rPr>
                <w:bCs/>
                <w:sz w:val="20"/>
                <w:szCs w:val="20"/>
              </w:rPr>
            </w:pPr>
            <w:r w:rsidRPr="008B6A75">
              <w:rPr>
                <w:bCs/>
                <w:sz w:val="20"/>
                <w:szCs w:val="20"/>
              </w:rPr>
              <w:t>444</w:t>
            </w:r>
          </w:p>
        </w:tc>
        <w:tc>
          <w:tcPr>
            <w:tcW w:w="709" w:type="dxa"/>
            <w:tcBorders>
              <w:top w:val="single" w:sz="4" w:space="0" w:color="auto"/>
              <w:left w:val="single" w:sz="4" w:space="0" w:color="auto"/>
              <w:bottom w:val="nil"/>
              <w:right w:val="nil"/>
            </w:tcBorders>
            <w:shd w:val="clear" w:color="auto" w:fill="auto"/>
            <w:noWrap/>
            <w:vAlign w:val="center"/>
            <w:hideMark/>
          </w:tcPr>
          <w:p w14:paraId="4DEA35CB" w14:textId="77777777" w:rsidR="00387142" w:rsidRPr="008B6A75" w:rsidRDefault="00387142" w:rsidP="00387142">
            <w:pPr>
              <w:jc w:val="center"/>
              <w:rPr>
                <w:bCs/>
                <w:sz w:val="20"/>
                <w:szCs w:val="20"/>
              </w:rPr>
            </w:pPr>
            <w:r w:rsidRPr="008B6A75">
              <w:rPr>
                <w:bCs/>
                <w:sz w:val="20"/>
                <w:szCs w:val="20"/>
              </w:rPr>
              <w:t>07</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2D1E92A6" w14:textId="77777777" w:rsidR="00387142" w:rsidRPr="008B6A75" w:rsidRDefault="00387142" w:rsidP="00387142">
            <w:pPr>
              <w:jc w:val="center"/>
              <w:rPr>
                <w:bCs/>
                <w:sz w:val="20"/>
                <w:szCs w:val="20"/>
              </w:rPr>
            </w:pPr>
            <w:r w:rsidRPr="008B6A75">
              <w:rPr>
                <w:bCs/>
                <w:sz w:val="20"/>
                <w:szCs w:val="20"/>
              </w:rPr>
              <w:t>09</w:t>
            </w:r>
          </w:p>
        </w:tc>
        <w:tc>
          <w:tcPr>
            <w:tcW w:w="1411" w:type="dxa"/>
            <w:tcBorders>
              <w:top w:val="single" w:sz="4" w:space="0" w:color="auto"/>
              <w:left w:val="single" w:sz="4" w:space="0" w:color="auto"/>
              <w:bottom w:val="nil"/>
              <w:right w:val="nil"/>
            </w:tcBorders>
            <w:shd w:val="clear" w:color="auto" w:fill="auto"/>
            <w:noWrap/>
            <w:vAlign w:val="center"/>
            <w:hideMark/>
          </w:tcPr>
          <w:p w14:paraId="08ECC559" w14:textId="77777777" w:rsidR="00387142" w:rsidRPr="008B6A75" w:rsidRDefault="00387142" w:rsidP="00387142">
            <w:pPr>
              <w:jc w:val="center"/>
              <w:rPr>
                <w:bCs/>
                <w:sz w:val="20"/>
                <w:szCs w:val="20"/>
              </w:rPr>
            </w:pPr>
            <w:r w:rsidRPr="008B6A75">
              <w:rPr>
                <w:bCs/>
                <w:sz w:val="20"/>
                <w:szCs w:val="20"/>
              </w:rPr>
              <w:t>07.0.00.00000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7E5B8F0A" w14:textId="77777777" w:rsidR="00387142" w:rsidRPr="008B6A75" w:rsidRDefault="00387142" w:rsidP="00387142">
            <w:pPr>
              <w:jc w:val="center"/>
              <w:rPr>
                <w:bCs/>
                <w:sz w:val="20"/>
                <w:szCs w:val="20"/>
              </w:rPr>
            </w:pPr>
            <w:r w:rsidRPr="008B6A75">
              <w:rPr>
                <w:bCs/>
                <w:sz w:val="20"/>
                <w:szCs w:val="20"/>
              </w:rPr>
              <w:t> </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198B7D2E" w14:textId="77777777" w:rsidR="00387142" w:rsidRPr="008B6A75" w:rsidRDefault="00387142" w:rsidP="00387142">
            <w:pPr>
              <w:jc w:val="right"/>
              <w:rPr>
                <w:bCs/>
                <w:sz w:val="20"/>
                <w:szCs w:val="20"/>
              </w:rPr>
            </w:pPr>
            <w:r w:rsidRPr="008B6A75">
              <w:rPr>
                <w:bCs/>
                <w:sz w:val="20"/>
                <w:szCs w:val="20"/>
              </w:rPr>
              <w:t>82 579 124,37</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174DFBA5" w14:textId="77777777" w:rsidR="00387142" w:rsidRPr="008B6A75" w:rsidRDefault="00387142" w:rsidP="00387142">
            <w:pPr>
              <w:jc w:val="right"/>
              <w:rPr>
                <w:bCs/>
                <w:sz w:val="20"/>
                <w:szCs w:val="20"/>
              </w:rPr>
            </w:pPr>
            <w:r w:rsidRPr="008B6A75">
              <w:rPr>
                <w:bCs/>
                <w:sz w:val="20"/>
                <w:szCs w:val="20"/>
              </w:rPr>
              <w:t>41 928 450,00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25BBA9AE" w14:textId="77777777" w:rsidR="00387142" w:rsidRPr="008B6A75" w:rsidRDefault="00387142" w:rsidP="00387142">
            <w:pPr>
              <w:jc w:val="right"/>
              <w:rPr>
                <w:bCs/>
                <w:sz w:val="20"/>
                <w:szCs w:val="20"/>
              </w:rPr>
            </w:pPr>
            <w:r w:rsidRPr="008B6A75">
              <w:rPr>
                <w:bCs/>
                <w:sz w:val="20"/>
                <w:szCs w:val="20"/>
              </w:rPr>
              <w:t>29 190 660,00</w:t>
            </w:r>
          </w:p>
        </w:tc>
        <w:tc>
          <w:tcPr>
            <w:tcW w:w="222" w:type="dxa"/>
            <w:vAlign w:val="center"/>
            <w:hideMark/>
          </w:tcPr>
          <w:p w14:paraId="2B694FA7" w14:textId="77777777" w:rsidR="00387142" w:rsidRPr="008B6A75" w:rsidRDefault="00387142" w:rsidP="00387142">
            <w:pPr>
              <w:rPr>
                <w:sz w:val="20"/>
                <w:szCs w:val="20"/>
              </w:rPr>
            </w:pPr>
          </w:p>
        </w:tc>
      </w:tr>
      <w:tr w:rsidR="00387142" w:rsidRPr="008B6A75" w14:paraId="0F9ADDF4" w14:textId="77777777" w:rsidTr="00387142">
        <w:trPr>
          <w:trHeight w:val="585"/>
        </w:trPr>
        <w:tc>
          <w:tcPr>
            <w:tcW w:w="3021" w:type="dxa"/>
            <w:tcBorders>
              <w:top w:val="single" w:sz="4" w:space="0" w:color="auto"/>
              <w:left w:val="single" w:sz="4" w:space="0" w:color="auto"/>
              <w:bottom w:val="nil"/>
              <w:right w:val="nil"/>
            </w:tcBorders>
            <w:shd w:val="clear" w:color="auto" w:fill="auto"/>
            <w:vAlign w:val="center"/>
            <w:hideMark/>
          </w:tcPr>
          <w:p w14:paraId="5CFF5594" w14:textId="77777777" w:rsidR="00387142" w:rsidRPr="008B6A75" w:rsidRDefault="00387142" w:rsidP="00387142">
            <w:pPr>
              <w:rPr>
                <w:bCs/>
                <w:sz w:val="20"/>
                <w:szCs w:val="20"/>
              </w:rPr>
            </w:pPr>
            <w:r w:rsidRPr="008B6A75">
              <w:rPr>
                <w:bCs/>
                <w:sz w:val="20"/>
                <w:szCs w:val="20"/>
              </w:rPr>
              <w:t>Подпрограмма "Развитие дошкольного, общего и дополнительного образования детей"</w:t>
            </w:r>
          </w:p>
        </w:tc>
        <w:tc>
          <w:tcPr>
            <w:tcW w:w="850" w:type="dxa"/>
            <w:tcBorders>
              <w:top w:val="single" w:sz="4" w:space="0" w:color="auto"/>
              <w:left w:val="single" w:sz="4" w:space="0" w:color="auto"/>
              <w:bottom w:val="nil"/>
              <w:right w:val="nil"/>
            </w:tcBorders>
            <w:shd w:val="clear" w:color="auto" w:fill="auto"/>
            <w:noWrap/>
            <w:vAlign w:val="center"/>
            <w:hideMark/>
          </w:tcPr>
          <w:p w14:paraId="4A82F75E" w14:textId="77777777" w:rsidR="00387142" w:rsidRPr="008B6A75" w:rsidRDefault="00387142" w:rsidP="00387142">
            <w:pPr>
              <w:jc w:val="center"/>
              <w:rPr>
                <w:bCs/>
                <w:sz w:val="20"/>
                <w:szCs w:val="20"/>
              </w:rPr>
            </w:pPr>
            <w:r w:rsidRPr="008B6A75">
              <w:rPr>
                <w:bCs/>
                <w:sz w:val="20"/>
                <w:szCs w:val="20"/>
              </w:rPr>
              <w:t>444</w:t>
            </w:r>
          </w:p>
        </w:tc>
        <w:tc>
          <w:tcPr>
            <w:tcW w:w="709" w:type="dxa"/>
            <w:tcBorders>
              <w:top w:val="single" w:sz="4" w:space="0" w:color="auto"/>
              <w:left w:val="single" w:sz="4" w:space="0" w:color="auto"/>
              <w:bottom w:val="nil"/>
              <w:right w:val="nil"/>
            </w:tcBorders>
            <w:shd w:val="clear" w:color="auto" w:fill="auto"/>
            <w:noWrap/>
            <w:vAlign w:val="center"/>
            <w:hideMark/>
          </w:tcPr>
          <w:p w14:paraId="1D58B182" w14:textId="77777777" w:rsidR="00387142" w:rsidRPr="008B6A75" w:rsidRDefault="00387142" w:rsidP="00387142">
            <w:pPr>
              <w:jc w:val="center"/>
              <w:rPr>
                <w:bCs/>
                <w:sz w:val="20"/>
                <w:szCs w:val="20"/>
              </w:rPr>
            </w:pPr>
            <w:r w:rsidRPr="008B6A75">
              <w:rPr>
                <w:bCs/>
                <w:sz w:val="20"/>
                <w:szCs w:val="20"/>
              </w:rPr>
              <w:t>07</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6E9E9254" w14:textId="77777777" w:rsidR="00387142" w:rsidRPr="008B6A75" w:rsidRDefault="00387142" w:rsidP="00387142">
            <w:pPr>
              <w:jc w:val="center"/>
              <w:rPr>
                <w:bCs/>
                <w:sz w:val="20"/>
                <w:szCs w:val="20"/>
              </w:rPr>
            </w:pPr>
            <w:r w:rsidRPr="008B6A75">
              <w:rPr>
                <w:bCs/>
                <w:sz w:val="20"/>
                <w:szCs w:val="20"/>
              </w:rPr>
              <w:t>09</w:t>
            </w:r>
          </w:p>
        </w:tc>
        <w:tc>
          <w:tcPr>
            <w:tcW w:w="1411" w:type="dxa"/>
            <w:tcBorders>
              <w:top w:val="single" w:sz="4" w:space="0" w:color="auto"/>
              <w:left w:val="single" w:sz="4" w:space="0" w:color="auto"/>
              <w:bottom w:val="nil"/>
              <w:right w:val="nil"/>
            </w:tcBorders>
            <w:shd w:val="clear" w:color="auto" w:fill="auto"/>
            <w:noWrap/>
            <w:vAlign w:val="center"/>
            <w:hideMark/>
          </w:tcPr>
          <w:p w14:paraId="54609301" w14:textId="77777777" w:rsidR="00387142" w:rsidRPr="008B6A75" w:rsidRDefault="00387142" w:rsidP="00387142">
            <w:pPr>
              <w:jc w:val="center"/>
              <w:rPr>
                <w:bCs/>
                <w:sz w:val="20"/>
                <w:szCs w:val="20"/>
              </w:rPr>
            </w:pPr>
            <w:r w:rsidRPr="008B6A75">
              <w:rPr>
                <w:bCs/>
                <w:sz w:val="20"/>
                <w:szCs w:val="20"/>
              </w:rPr>
              <w:t>07.1.00.00000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17F47C2F" w14:textId="77777777" w:rsidR="00387142" w:rsidRPr="008B6A75" w:rsidRDefault="00387142" w:rsidP="00387142">
            <w:pPr>
              <w:jc w:val="center"/>
              <w:rPr>
                <w:bCs/>
                <w:sz w:val="20"/>
                <w:szCs w:val="20"/>
              </w:rPr>
            </w:pPr>
            <w:r w:rsidRPr="008B6A75">
              <w:rPr>
                <w:bCs/>
                <w:sz w:val="20"/>
                <w:szCs w:val="20"/>
              </w:rPr>
              <w:t> </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194CE35B" w14:textId="77777777" w:rsidR="00387142" w:rsidRPr="008B6A75" w:rsidRDefault="00387142" w:rsidP="00387142">
            <w:pPr>
              <w:jc w:val="right"/>
              <w:rPr>
                <w:bCs/>
                <w:sz w:val="20"/>
                <w:szCs w:val="20"/>
              </w:rPr>
            </w:pPr>
            <w:r w:rsidRPr="008B6A75">
              <w:rPr>
                <w:bCs/>
                <w:sz w:val="20"/>
                <w:szCs w:val="20"/>
              </w:rPr>
              <w:t>82 579 124,37</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35BACA17" w14:textId="77777777" w:rsidR="00387142" w:rsidRPr="008B6A75" w:rsidRDefault="00387142" w:rsidP="00387142">
            <w:pPr>
              <w:jc w:val="right"/>
              <w:rPr>
                <w:bCs/>
                <w:sz w:val="20"/>
                <w:szCs w:val="20"/>
              </w:rPr>
            </w:pPr>
            <w:r w:rsidRPr="008B6A75">
              <w:rPr>
                <w:bCs/>
                <w:sz w:val="20"/>
                <w:szCs w:val="20"/>
              </w:rPr>
              <w:t>41 928 450,00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59E79864" w14:textId="77777777" w:rsidR="00387142" w:rsidRPr="008B6A75" w:rsidRDefault="00387142" w:rsidP="00387142">
            <w:pPr>
              <w:jc w:val="right"/>
              <w:rPr>
                <w:bCs/>
                <w:sz w:val="20"/>
                <w:szCs w:val="20"/>
              </w:rPr>
            </w:pPr>
            <w:r w:rsidRPr="008B6A75">
              <w:rPr>
                <w:bCs/>
                <w:sz w:val="20"/>
                <w:szCs w:val="20"/>
              </w:rPr>
              <w:t>29 190 660,00</w:t>
            </w:r>
          </w:p>
        </w:tc>
        <w:tc>
          <w:tcPr>
            <w:tcW w:w="222" w:type="dxa"/>
            <w:vAlign w:val="center"/>
            <w:hideMark/>
          </w:tcPr>
          <w:p w14:paraId="24CE0B79" w14:textId="77777777" w:rsidR="00387142" w:rsidRPr="008B6A75" w:rsidRDefault="00387142" w:rsidP="00387142">
            <w:pPr>
              <w:rPr>
                <w:sz w:val="20"/>
                <w:szCs w:val="20"/>
              </w:rPr>
            </w:pPr>
          </w:p>
        </w:tc>
      </w:tr>
      <w:tr w:rsidR="00387142" w:rsidRPr="008B6A75" w14:paraId="0B0DDAB7" w14:textId="77777777" w:rsidTr="00387142">
        <w:trPr>
          <w:trHeight w:val="2295"/>
        </w:trPr>
        <w:tc>
          <w:tcPr>
            <w:tcW w:w="3021" w:type="dxa"/>
            <w:tcBorders>
              <w:top w:val="single" w:sz="4" w:space="0" w:color="auto"/>
              <w:left w:val="single" w:sz="4" w:space="0" w:color="auto"/>
              <w:bottom w:val="nil"/>
              <w:right w:val="nil"/>
            </w:tcBorders>
            <w:shd w:val="clear" w:color="auto" w:fill="auto"/>
            <w:vAlign w:val="center"/>
            <w:hideMark/>
          </w:tcPr>
          <w:p w14:paraId="43418792" w14:textId="77777777" w:rsidR="00387142" w:rsidRPr="008B6A75" w:rsidRDefault="00387142" w:rsidP="00387142">
            <w:pPr>
              <w:rPr>
                <w:bCs/>
                <w:sz w:val="20"/>
                <w:szCs w:val="20"/>
              </w:rPr>
            </w:pPr>
            <w:r w:rsidRPr="008B6A75">
              <w:rPr>
                <w:bCs/>
                <w:sz w:val="20"/>
                <w:szCs w:val="20"/>
              </w:rPr>
              <w:t>Реализация мероприятий по установке и модернизации систем видеонаблюдения, автоматической пожарной сигнализации и пожарного мониторинга государственной программы Новосибирской области "Построение и развитие аппаратно-программного комплекса "Безопасный город" в Новосибирской области"</w:t>
            </w:r>
          </w:p>
        </w:tc>
        <w:tc>
          <w:tcPr>
            <w:tcW w:w="850" w:type="dxa"/>
            <w:tcBorders>
              <w:top w:val="single" w:sz="4" w:space="0" w:color="auto"/>
              <w:left w:val="single" w:sz="4" w:space="0" w:color="auto"/>
              <w:bottom w:val="nil"/>
              <w:right w:val="nil"/>
            </w:tcBorders>
            <w:shd w:val="clear" w:color="auto" w:fill="auto"/>
            <w:noWrap/>
            <w:vAlign w:val="center"/>
            <w:hideMark/>
          </w:tcPr>
          <w:p w14:paraId="43FAD324" w14:textId="77777777" w:rsidR="00387142" w:rsidRPr="008B6A75" w:rsidRDefault="00387142" w:rsidP="00387142">
            <w:pPr>
              <w:jc w:val="center"/>
              <w:rPr>
                <w:bCs/>
                <w:sz w:val="20"/>
                <w:szCs w:val="20"/>
              </w:rPr>
            </w:pPr>
            <w:r w:rsidRPr="008B6A75">
              <w:rPr>
                <w:bCs/>
                <w:sz w:val="20"/>
                <w:szCs w:val="20"/>
              </w:rPr>
              <w:t>444</w:t>
            </w:r>
          </w:p>
        </w:tc>
        <w:tc>
          <w:tcPr>
            <w:tcW w:w="709" w:type="dxa"/>
            <w:tcBorders>
              <w:top w:val="single" w:sz="4" w:space="0" w:color="auto"/>
              <w:left w:val="single" w:sz="4" w:space="0" w:color="auto"/>
              <w:bottom w:val="nil"/>
              <w:right w:val="nil"/>
            </w:tcBorders>
            <w:shd w:val="clear" w:color="auto" w:fill="auto"/>
            <w:noWrap/>
            <w:vAlign w:val="center"/>
            <w:hideMark/>
          </w:tcPr>
          <w:p w14:paraId="0882E386" w14:textId="77777777" w:rsidR="00387142" w:rsidRPr="008B6A75" w:rsidRDefault="00387142" w:rsidP="00387142">
            <w:pPr>
              <w:jc w:val="center"/>
              <w:rPr>
                <w:bCs/>
                <w:sz w:val="20"/>
                <w:szCs w:val="20"/>
              </w:rPr>
            </w:pPr>
            <w:r w:rsidRPr="008B6A75">
              <w:rPr>
                <w:bCs/>
                <w:sz w:val="20"/>
                <w:szCs w:val="20"/>
              </w:rPr>
              <w:t>07</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205F3E2F" w14:textId="77777777" w:rsidR="00387142" w:rsidRPr="008B6A75" w:rsidRDefault="00387142" w:rsidP="00387142">
            <w:pPr>
              <w:jc w:val="center"/>
              <w:rPr>
                <w:bCs/>
                <w:sz w:val="20"/>
                <w:szCs w:val="20"/>
              </w:rPr>
            </w:pPr>
            <w:r w:rsidRPr="008B6A75">
              <w:rPr>
                <w:bCs/>
                <w:sz w:val="20"/>
                <w:szCs w:val="20"/>
              </w:rPr>
              <w:t>09</w:t>
            </w:r>
          </w:p>
        </w:tc>
        <w:tc>
          <w:tcPr>
            <w:tcW w:w="1411" w:type="dxa"/>
            <w:tcBorders>
              <w:top w:val="single" w:sz="4" w:space="0" w:color="auto"/>
              <w:left w:val="single" w:sz="4" w:space="0" w:color="auto"/>
              <w:bottom w:val="nil"/>
              <w:right w:val="nil"/>
            </w:tcBorders>
            <w:shd w:val="clear" w:color="auto" w:fill="auto"/>
            <w:noWrap/>
            <w:vAlign w:val="center"/>
            <w:hideMark/>
          </w:tcPr>
          <w:p w14:paraId="00E154E3" w14:textId="77777777" w:rsidR="00387142" w:rsidRPr="008B6A75" w:rsidRDefault="00387142" w:rsidP="00387142">
            <w:pPr>
              <w:jc w:val="center"/>
              <w:rPr>
                <w:bCs/>
                <w:sz w:val="20"/>
                <w:szCs w:val="20"/>
              </w:rPr>
            </w:pPr>
            <w:r w:rsidRPr="008B6A75">
              <w:rPr>
                <w:bCs/>
                <w:sz w:val="20"/>
                <w:szCs w:val="20"/>
              </w:rPr>
              <w:t>07.1.00.02590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5F824AB3" w14:textId="77777777" w:rsidR="00387142" w:rsidRPr="008B6A75" w:rsidRDefault="00387142" w:rsidP="00387142">
            <w:pPr>
              <w:jc w:val="center"/>
              <w:rPr>
                <w:bCs/>
                <w:sz w:val="20"/>
                <w:szCs w:val="20"/>
              </w:rPr>
            </w:pPr>
            <w:r w:rsidRPr="008B6A75">
              <w:rPr>
                <w:bCs/>
                <w:sz w:val="20"/>
                <w:szCs w:val="20"/>
              </w:rPr>
              <w:t> </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2478A4C0" w14:textId="77777777" w:rsidR="00387142" w:rsidRPr="008B6A75" w:rsidRDefault="00387142" w:rsidP="00387142">
            <w:pPr>
              <w:jc w:val="right"/>
              <w:rPr>
                <w:bCs/>
                <w:sz w:val="20"/>
                <w:szCs w:val="20"/>
              </w:rPr>
            </w:pPr>
            <w:r w:rsidRPr="008B6A75">
              <w:rPr>
                <w:bCs/>
                <w:sz w:val="20"/>
                <w:szCs w:val="20"/>
              </w:rPr>
              <w:t>0,00</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43551205" w14:textId="77777777" w:rsidR="00387142" w:rsidRPr="008B6A75" w:rsidRDefault="00387142" w:rsidP="00387142">
            <w:pPr>
              <w:jc w:val="right"/>
              <w:rPr>
                <w:bCs/>
                <w:sz w:val="20"/>
                <w:szCs w:val="20"/>
              </w:rPr>
            </w:pPr>
            <w:r w:rsidRPr="008B6A75">
              <w:rPr>
                <w:bCs/>
                <w:sz w:val="20"/>
                <w:szCs w:val="20"/>
              </w:rPr>
              <w:t>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31A13377" w14:textId="77777777" w:rsidR="00387142" w:rsidRPr="008B6A75" w:rsidRDefault="00387142" w:rsidP="00387142">
            <w:pPr>
              <w:jc w:val="right"/>
              <w:rPr>
                <w:bCs/>
                <w:sz w:val="20"/>
                <w:szCs w:val="20"/>
              </w:rPr>
            </w:pPr>
            <w:r w:rsidRPr="008B6A75">
              <w:rPr>
                <w:bCs/>
                <w:sz w:val="20"/>
                <w:szCs w:val="20"/>
              </w:rPr>
              <w:t>1 000 000,00</w:t>
            </w:r>
          </w:p>
        </w:tc>
        <w:tc>
          <w:tcPr>
            <w:tcW w:w="222" w:type="dxa"/>
            <w:vAlign w:val="center"/>
            <w:hideMark/>
          </w:tcPr>
          <w:p w14:paraId="10403A6B" w14:textId="77777777" w:rsidR="00387142" w:rsidRPr="008B6A75" w:rsidRDefault="00387142" w:rsidP="00387142">
            <w:pPr>
              <w:rPr>
                <w:sz w:val="20"/>
                <w:szCs w:val="20"/>
              </w:rPr>
            </w:pPr>
          </w:p>
        </w:tc>
      </w:tr>
      <w:tr w:rsidR="00387142" w:rsidRPr="008B6A75" w14:paraId="57A5077C" w14:textId="77777777" w:rsidTr="00387142">
        <w:trPr>
          <w:trHeight w:val="585"/>
        </w:trPr>
        <w:tc>
          <w:tcPr>
            <w:tcW w:w="3021" w:type="dxa"/>
            <w:tcBorders>
              <w:top w:val="single" w:sz="4" w:space="0" w:color="auto"/>
              <w:left w:val="single" w:sz="4" w:space="0" w:color="auto"/>
              <w:bottom w:val="nil"/>
              <w:right w:val="nil"/>
            </w:tcBorders>
            <w:shd w:val="clear" w:color="auto" w:fill="auto"/>
            <w:vAlign w:val="center"/>
            <w:hideMark/>
          </w:tcPr>
          <w:p w14:paraId="2D8C48AB" w14:textId="77777777" w:rsidR="00387142" w:rsidRPr="008B6A75" w:rsidRDefault="00387142" w:rsidP="00387142">
            <w:pPr>
              <w:rPr>
                <w:sz w:val="20"/>
                <w:szCs w:val="20"/>
              </w:rPr>
            </w:pPr>
            <w:r w:rsidRPr="008B6A75">
              <w:rPr>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nil"/>
              <w:right w:val="nil"/>
            </w:tcBorders>
            <w:shd w:val="clear" w:color="auto" w:fill="auto"/>
            <w:noWrap/>
            <w:vAlign w:val="center"/>
            <w:hideMark/>
          </w:tcPr>
          <w:p w14:paraId="79CC85B5" w14:textId="77777777" w:rsidR="00387142" w:rsidRPr="008B6A75" w:rsidRDefault="00387142" w:rsidP="00387142">
            <w:pPr>
              <w:jc w:val="center"/>
              <w:rPr>
                <w:sz w:val="20"/>
                <w:szCs w:val="20"/>
              </w:rPr>
            </w:pPr>
            <w:r w:rsidRPr="008B6A75">
              <w:rPr>
                <w:sz w:val="20"/>
                <w:szCs w:val="20"/>
              </w:rPr>
              <w:t>444</w:t>
            </w:r>
          </w:p>
        </w:tc>
        <w:tc>
          <w:tcPr>
            <w:tcW w:w="709" w:type="dxa"/>
            <w:tcBorders>
              <w:top w:val="single" w:sz="4" w:space="0" w:color="auto"/>
              <w:left w:val="single" w:sz="4" w:space="0" w:color="auto"/>
              <w:bottom w:val="nil"/>
              <w:right w:val="nil"/>
            </w:tcBorders>
            <w:shd w:val="clear" w:color="auto" w:fill="auto"/>
            <w:noWrap/>
            <w:vAlign w:val="center"/>
            <w:hideMark/>
          </w:tcPr>
          <w:p w14:paraId="36327CCC" w14:textId="77777777" w:rsidR="00387142" w:rsidRPr="008B6A75" w:rsidRDefault="00387142" w:rsidP="00387142">
            <w:pPr>
              <w:jc w:val="center"/>
              <w:rPr>
                <w:sz w:val="20"/>
                <w:szCs w:val="20"/>
              </w:rPr>
            </w:pPr>
            <w:r w:rsidRPr="008B6A75">
              <w:rPr>
                <w:sz w:val="20"/>
                <w:szCs w:val="20"/>
              </w:rPr>
              <w:t>07</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49EA6451" w14:textId="77777777" w:rsidR="00387142" w:rsidRPr="008B6A75" w:rsidRDefault="00387142" w:rsidP="00387142">
            <w:pPr>
              <w:jc w:val="center"/>
              <w:rPr>
                <w:sz w:val="20"/>
                <w:szCs w:val="20"/>
              </w:rPr>
            </w:pPr>
            <w:r w:rsidRPr="008B6A75">
              <w:rPr>
                <w:sz w:val="20"/>
                <w:szCs w:val="20"/>
              </w:rPr>
              <w:t>09</w:t>
            </w:r>
          </w:p>
        </w:tc>
        <w:tc>
          <w:tcPr>
            <w:tcW w:w="1411" w:type="dxa"/>
            <w:tcBorders>
              <w:top w:val="single" w:sz="4" w:space="0" w:color="auto"/>
              <w:left w:val="single" w:sz="4" w:space="0" w:color="auto"/>
              <w:bottom w:val="nil"/>
              <w:right w:val="nil"/>
            </w:tcBorders>
            <w:shd w:val="clear" w:color="auto" w:fill="auto"/>
            <w:noWrap/>
            <w:vAlign w:val="center"/>
            <w:hideMark/>
          </w:tcPr>
          <w:p w14:paraId="401758D5" w14:textId="77777777" w:rsidR="00387142" w:rsidRPr="008B6A75" w:rsidRDefault="00387142" w:rsidP="00387142">
            <w:pPr>
              <w:jc w:val="center"/>
              <w:rPr>
                <w:sz w:val="20"/>
                <w:szCs w:val="20"/>
              </w:rPr>
            </w:pPr>
            <w:r w:rsidRPr="008B6A75">
              <w:rPr>
                <w:sz w:val="20"/>
                <w:szCs w:val="20"/>
              </w:rPr>
              <w:t>07.1.00.02590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5AB7C250" w14:textId="77777777" w:rsidR="00387142" w:rsidRPr="008B6A75" w:rsidRDefault="00387142" w:rsidP="00387142">
            <w:pPr>
              <w:jc w:val="center"/>
              <w:rPr>
                <w:sz w:val="20"/>
                <w:szCs w:val="20"/>
              </w:rPr>
            </w:pPr>
            <w:r w:rsidRPr="008B6A75">
              <w:rPr>
                <w:sz w:val="20"/>
                <w:szCs w:val="20"/>
              </w:rPr>
              <w:t>200</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56A65638" w14:textId="77777777" w:rsidR="00387142" w:rsidRPr="008B6A75" w:rsidRDefault="00387142" w:rsidP="00387142">
            <w:pPr>
              <w:jc w:val="right"/>
              <w:rPr>
                <w:sz w:val="20"/>
                <w:szCs w:val="20"/>
              </w:rPr>
            </w:pPr>
            <w:r w:rsidRPr="008B6A75">
              <w:rPr>
                <w:sz w:val="20"/>
                <w:szCs w:val="20"/>
              </w:rPr>
              <w:t>0,00</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46469668" w14:textId="77777777" w:rsidR="00387142" w:rsidRPr="008B6A75" w:rsidRDefault="00387142" w:rsidP="00387142">
            <w:pPr>
              <w:jc w:val="right"/>
              <w:rPr>
                <w:sz w:val="20"/>
                <w:szCs w:val="20"/>
              </w:rPr>
            </w:pPr>
            <w:r w:rsidRPr="008B6A75">
              <w:rPr>
                <w:sz w:val="20"/>
                <w:szCs w:val="20"/>
              </w:rPr>
              <w:t>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1D04FB7C" w14:textId="77777777" w:rsidR="00387142" w:rsidRPr="008B6A75" w:rsidRDefault="00387142" w:rsidP="00387142">
            <w:pPr>
              <w:jc w:val="right"/>
              <w:rPr>
                <w:sz w:val="20"/>
                <w:szCs w:val="20"/>
              </w:rPr>
            </w:pPr>
            <w:r w:rsidRPr="008B6A75">
              <w:rPr>
                <w:sz w:val="20"/>
                <w:szCs w:val="20"/>
              </w:rPr>
              <w:t>1 000 000,00</w:t>
            </w:r>
          </w:p>
        </w:tc>
        <w:tc>
          <w:tcPr>
            <w:tcW w:w="222" w:type="dxa"/>
            <w:vAlign w:val="center"/>
            <w:hideMark/>
          </w:tcPr>
          <w:p w14:paraId="63308682" w14:textId="77777777" w:rsidR="00387142" w:rsidRPr="008B6A75" w:rsidRDefault="00387142" w:rsidP="00387142">
            <w:pPr>
              <w:rPr>
                <w:sz w:val="20"/>
                <w:szCs w:val="20"/>
              </w:rPr>
            </w:pPr>
          </w:p>
        </w:tc>
      </w:tr>
      <w:tr w:rsidR="00387142" w:rsidRPr="008B6A75" w14:paraId="587C299A" w14:textId="77777777" w:rsidTr="00387142">
        <w:trPr>
          <w:trHeight w:val="870"/>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711D0D37" w14:textId="77777777" w:rsidR="00387142" w:rsidRPr="008B6A75" w:rsidRDefault="00387142" w:rsidP="00387142">
            <w:pPr>
              <w:rPr>
                <w:sz w:val="20"/>
                <w:szCs w:val="20"/>
              </w:rPr>
            </w:pPr>
            <w:r w:rsidRPr="008B6A75">
              <w:rPr>
                <w:sz w:val="20"/>
                <w:szCs w:val="20"/>
              </w:rPr>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0290E9C6" w14:textId="77777777" w:rsidR="00387142" w:rsidRPr="008B6A75" w:rsidRDefault="00387142" w:rsidP="00387142">
            <w:pPr>
              <w:jc w:val="center"/>
              <w:rPr>
                <w:sz w:val="20"/>
                <w:szCs w:val="20"/>
              </w:rPr>
            </w:pPr>
            <w:r w:rsidRPr="008B6A75">
              <w:rPr>
                <w:sz w:val="20"/>
                <w:szCs w:val="20"/>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0C650EE6" w14:textId="77777777" w:rsidR="00387142" w:rsidRPr="008B6A75" w:rsidRDefault="00387142" w:rsidP="00387142">
            <w:pPr>
              <w:jc w:val="center"/>
              <w:rPr>
                <w:sz w:val="20"/>
                <w:szCs w:val="20"/>
              </w:rPr>
            </w:pPr>
            <w:r w:rsidRPr="008B6A75">
              <w:rPr>
                <w:sz w:val="20"/>
                <w:szCs w:val="20"/>
              </w:rPr>
              <w:t>07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F9495A" w14:textId="77777777" w:rsidR="00387142" w:rsidRPr="008B6A75" w:rsidRDefault="00387142" w:rsidP="00387142">
            <w:pPr>
              <w:jc w:val="center"/>
              <w:rPr>
                <w:sz w:val="20"/>
                <w:szCs w:val="20"/>
              </w:rPr>
            </w:pPr>
            <w:r w:rsidRPr="008B6A75">
              <w:rPr>
                <w:sz w:val="20"/>
                <w:szCs w:val="20"/>
              </w:rPr>
              <w:t>09</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457FCA37" w14:textId="77777777" w:rsidR="00387142" w:rsidRPr="008B6A75" w:rsidRDefault="00387142" w:rsidP="00387142">
            <w:pPr>
              <w:jc w:val="center"/>
              <w:rPr>
                <w:sz w:val="20"/>
                <w:szCs w:val="20"/>
              </w:rPr>
            </w:pPr>
            <w:r w:rsidRPr="008B6A75">
              <w:rPr>
                <w:sz w:val="20"/>
                <w:szCs w:val="20"/>
              </w:rPr>
              <w:t>07.1.00.02590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7D8A57" w14:textId="77777777" w:rsidR="00387142" w:rsidRPr="008B6A75" w:rsidRDefault="00387142" w:rsidP="00387142">
            <w:pPr>
              <w:jc w:val="center"/>
              <w:rPr>
                <w:sz w:val="20"/>
                <w:szCs w:val="20"/>
              </w:rPr>
            </w:pPr>
            <w:r w:rsidRPr="008B6A75">
              <w:rPr>
                <w:sz w:val="20"/>
                <w:szCs w:val="20"/>
              </w:rPr>
              <w:t>240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311268" w14:textId="77777777" w:rsidR="00387142" w:rsidRPr="008B6A75" w:rsidRDefault="00387142" w:rsidP="00387142">
            <w:pPr>
              <w:jc w:val="right"/>
              <w:rPr>
                <w:sz w:val="20"/>
                <w:szCs w:val="20"/>
              </w:rPr>
            </w:pPr>
            <w:r w:rsidRPr="008B6A75">
              <w:rPr>
                <w:sz w:val="20"/>
                <w:szCs w:val="20"/>
              </w:rPr>
              <w:t>0,00</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369C01B7" w14:textId="77777777" w:rsidR="00387142" w:rsidRPr="008B6A75" w:rsidRDefault="00387142" w:rsidP="00387142">
            <w:pPr>
              <w:jc w:val="right"/>
              <w:rPr>
                <w:sz w:val="20"/>
                <w:szCs w:val="20"/>
              </w:rPr>
            </w:pPr>
            <w:r w:rsidRPr="008B6A75">
              <w:rPr>
                <w:sz w:val="20"/>
                <w:szCs w:val="20"/>
              </w:rPr>
              <w:t>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FA8C78" w14:textId="77777777" w:rsidR="00387142" w:rsidRPr="008B6A75" w:rsidRDefault="00387142" w:rsidP="00387142">
            <w:pPr>
              <w:jc w:val="right"/>
              <w:rPr>
                <w:sz w:val="20"/>
                <w:szCs w:val="20"/>
              </w:rPr>
            </w:pPr>
            <w:r w:rsidRPr="008B6A75">
              <w:rPr>
                <w:sz w:val="20"/>
                <w:szCs w:val="20"/>
              </w:rPr>
              <w:t>1 000 000,00</w:t>
            </w:r>
          </w:p>
        </w:tc>
        <w:tc>
          <w:tcPr>
            <w:tcW w:w="222" w:type="dxa"/>
            <w:vAlign w:val="center"/>
            <w:hideMark/>
          </w:tcPr>
          <w:p w14:paraId="3BEB99E8" w14:textId="77777777" w:rsidR="00387142" w:rsidRPr="008B6A75" w:rsidRDefault="00387142" w:rsidP="00387142">
            <w:pPr>
              <w:rPr>
                <w:sz w:val="20"/>
                <w:szCs w:val="20"/>
              </w:rPr>
            </w:pPr>
          </w:p>
        </w:tc>
      </w:tr>
      <w:tr w:rsidR="00387142" w:rsidRPr="008B6A75" w14:paraId="14F6CCBE" w14:textId="77777777" w:rsidTr="00387142">
        <w:trPr>
          <w:trHeight w:val="2580"/>
        </w:trPr>
        <w:tc>
          <w:tcPr>
            <w:tcW w:w="3021" w:type="dxa"/>
            <w:tcBorders>
              <w:top w:val="nil"/>
              <w:left w:val="single" w:sz="4" w:space="0" w:color="auto"/>
              <w:bottom w:val="nil"/>
              <w:right w:val="nil"/>
            </w:tcBorders>
            <w:shd w:val="clear" w:color="auto" w:fill="auto"/>
            <w:vAlign w:val="center"/>
            <w:hideMark/>
          </w:tcPr>
          <w:p w14:paraId="2E54EE5C" w14:textId="77777777" w:rsidR="00387142" w:rsidRPr="008B6A75" w:rsidRDefault="00387142" w:rsidP="00387142">
            <w:pPr>
              <w:rPr>
                <w:bCs/>
                <w:sz w:val="20"/>
                <w:szCs w:val="20"/>
              </w:rPr>
            </w:pPr>
            <w:r w:rsidRPr="008B6A75">
              <w:rPr>
                <w:bCs/>
                <w:sz w:val="20"/>
                <w:szCs w:val="20"/>
              </w:rPr>
              <w:lastRenderedPageBreak/>
              <w:t xml:space="preserve">Реализация мероприятий по модернизации образования Новосибирской </w:t>
            </w:r>
            <w:proofErr w:type="gramStart"/>
            <w:r w:rsidRPr="008B6A75">
              <w:rPr>
                <w:bCs/>
                <w:sz w:val="20"/>
                <w:szCs w:val="20"/>
              </w:rPr>
              <w:t>области  подпрограммы</w:t>
            </w:r>
            <w:proofErr w:type="gramEnd"/>
            <w:r w:rsidRPr="008B6A75">
              <w:rPr>
                <w:bCs/>
                <w:sz w:val="20"/>
                <w:szCs w:val="20"/>
              </w:rPr>
              <w:t xml:space="preserve"> "Развитие дошкольного, общего и дополнительного образования детей" в рамках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850" w:type="dxa"/>
            <w:tcBorders>
              <w:top w:val="nil"/>
              <w:left w:val="single" w:sz="4" w:space="0" w:color="auto"/>
              <w:bottom w:val="nil"/>
              <w:right w:val="nil"/>
            </w:tcBorders>
            <w:shd w:val="clear" w:color="auto" w:fill="auto"/>
            <w:noWrap/>
            <w:vAlign w:val="center"/>
            <w:hideMark/>
          </w:tcPr>
          <w:p w14:paraId="0B490B1A" w14:textId="77777777" w:rsidR="00387142" w:rsidRPr="008B6A75" w:rsidRDefault="00387142" w:rsidP="00387142">
            <w:pPr>
              <w:jc w:val="center"/>
              <w:rPr>
                <w:bCs/>
                <w:sz w:val="20"/>
                <w:szCs w:val="20"/>
              </w:rPr>
            </w:pPr>
            <w:r w:rsidRPr="008B6A75">
              <w:rPr>
                <w:bCs/>
                <w:sz w:val="20"/>
                <w:szCs w:val="20"/>
              </w:rPr>
              <w:t>444</w:t>
            </w:r>
          </w:p>
        </w:tc>
        <w:tc>
          <w:tcPr>
            <w:tcW w:w="709" w:type="dxa"/>
            <w:tcBorders>
              <w:top w:val="nil"/>
              <w:left w:val="single" w:sz="4" w:space="0" w:color="auto"/>
              <w:bottom w:val="nil"/>
              <w:right w:val="nil"/>
            </w:tcBorders>
            <w:shd w:val="clear" w:color="auto" w:fill="auto"/>
            <w:noWrap/>
            <w:vAlign w:val="center"/>
            <w:hideMark/>
          </w:tcPr>
          <w:p w14:paraId="0C3BA975" w14:textId="77777777" w:rsidR="00387142" w:rsidRPr="008B6A75" w:rsidRDefault="00387142" w:rsidP="00387142">
            <w:pPr>
              <w:jc w:val="center"/>
              <w:rPr>
                <w:bCs/>
                <w:sz w:val="20"/>
                <w:szCs w:val="20"/>
              </w:rPr>
            </w:pPr>
            <w:r w:rsidRPr="008B6A75">
              <w:rPr>
                <w:bCs/>
                <w:sz w:val="20"/>
                <w:szCs w:val="20"/>
              </w:rPr>
              <w:t>07</w:t>
            </w:r>
          </w:p>
        </w:tc>
        <w:tc>
          <w:tcPr>
            <w:tcW w:w="709" w:type="dxa"/>
            <w:tcBorders>
              <w:top w:val="nil"/>
              <w:left w:val="single" w:sz="4" w:space="0" w:color="auto"/>
              <w:bottom w:val="nil"/>
              <w:right w:val="single" w:sz="4" w:space="0" w:color="auto"/>
            </w:tcBorders>
            <w:shd w:val="clear" w:color="auto" w:fill="auto"/>
            <w:noWrap/>
            <w:vAlign w:val="center"/>
            <w:hideMark/>
          </w:tcPr>
          <w:p w14:paraId="67E0AC24" w14:textId="77777777" w:rsidR="00387142" w:rsidRPr="008B6A75" w:rsidRDefault="00387142" w:rsidP="00387142">
            <w:pPr>
              <w:jc w:val="center"/>
              <w:rPr>
                <w:bCs/>
                <w:sz w:val="20"/>
                <w:szCs w:val="20"/>
              </w:rPr>
            </w:pPr>
            <w:r w:rsidRPr="008B6A75">
              <w:rPr>
                <w:bCs/>
                <w:sz w:val="20"/>
                <w:szCs w:val="20"/>
              </w:rPr>
              <w:t>09</w:t>
            </w:r>
          </w:p>
        </w:tc>
        <w:tc>
          <w:tcPr>
            <w:tcW w:w="1411" w:type="dxa"/>
            <w:tcBorders>
              <w:top w:val="nil"/>
              <w:left w:val="single" w:sz="4" w:space="0" w:color="auto"/>
              <w:bottom w:val="nil"/>
              <w:right w:val="nil"/>
            </w:tcBorders>
            <w:shd w:val="clear" w:color="auto" w:fill="auto"/>
            <w:noWrap/>
            <w:vAlign w:val="center"/>
            <w:hideMark/>
          </w:tcPr>
          <w:p w14:paraId="3138DB96" w14:textId="77777777" w:rsidR="00387142" w:rsidRPr="008B6A75" w:rsidRDefault="00387142" w:rsidP="00387142">
            <w:pPr>
              <w:jc w:val="center"/>
              <w:rPr>
                <w:bCs/>
                <w:sz w:val="20"/>
                <w:szCs w:val="20"/>
              </w:rPr>
            </w:pPr>
            <w:r w:rsidRPr="008B6A75">
              <w:rPr>
                <w:bCs/>
                <w:sz w:val="20"/>
                <w:szCs w:val="20"/>
              </w:rPr>
              <w:t>07.1.00.03470</w:t>
            </w:r>
          </w:p>
        </w:tc>
        <w:tc>
          <w:tcPr>
            <w:tcW w:w="955" w:type="dxa"/>
            <w:tcBorders>
              <w:top w:val="nil"/>
              <w:left w:val="single" w:sz="4" w:space="0" w:color="auto"/>
              <w:bottom w:val="nil"/>
              <w:right w:val="single" w:sz="4" w:space="0" w:color="auto"/>
            </w:tcBorders>
            <w:shd w:val="clear" w:color="auto" w:fill="auto"/>
            <w:noWrap/>
            <w:vAlign w:val="center"/>
            <w:hideMark/>
          </w:tcPr>
          <w:p w14:paraId="6D4CE2A8"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nil"/>
              <w:right w:val="single" w:sz="4" w:space="0" w:color="auto"/>
            </w:tcBorders>
            <w:shd w:val="clear" w:color="auto" w:fill="auto"/>
            <w:noWrap/>
            <w:vAlign w:val="center"/>
            <w:hideMark/>
          </w:tcPr>
          <w:p w14:paraId="39A026B7" w14:textId="77777777" w:rsidR="00387142" w:rsidRPr="008B6A75" w:rsidRDefault="00387142" w:rsidP="00387142">
            <w:pPr>
              <w:jc w:val="right"/>
              <w:rPr>
                <w:bCs/>
                <w:sz w:val="20"/>
                <w:szCs w:val="20"/>
              </w:rPr>
            </w:pPr>
            <w:r w:rsidRPr="008B6A75">
              <w:rPr>
                <w:bCs/>
                <w:sz w:val="20"/>
                <w:szCs w:val="20"/>
              </w:rPr>
              <w:t>200 000,00</w:t>
            </w:r>
          </w:p>
        </w:tc>
        <w:tc>
          <w:tcPr>
            <w:tcW w:w="992" w:type="dxa"/>
            <w:gridSpan w:val="2"/>
            <w:tcBorders>
              <w:top w:val="nil"/>
              <w:left w:val="single" w:sz="4" w:space="0" w:color="auto"/>
              <w:bottom w:val="nil"/>
              <w:right w:val="nil"/>
            </w:tcBorders>
            <w:shd w:val="clear" w:color="auto" w:fill="auto"/>
            <w:noWrap/>
            <w:vAlign w:val="center"/>
            <w:hideMark/>
          </w:tcPr>
          <w:p w14:paraId="4FFA12AC" w14:textId="77777777" w:rsidR="00387142" w:rsidRPr="008B6A75" w:rsidRDefault="00387142" w:rsidP="00387142">
            <w:pPr>
              <w:jc w:val="right"/>
              <w:rPr>
                <w:bCs/>
                <w:sz w:val="20"/>
                <w:szCs w:val="20"/>
              </w:rPr>
            </w:pPr>
            <w:r w:rsidRPr="008B6A75">
              <w:rPr>
                <w:bCs/>
                <w:sz w:val="20"/>
                <w:szCs w:val="20"/>
              </w:rPr>
              <w:t>1 112 900,00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47AB224E" w14:textId="77777777" w:rsidR="00387142" w:rsidRPr="008B6A75" w:rsidRDefault="00387142" w:rsidP="00387142">
            <w:pPr>
              <w:jc w:val="right"/>
              <w:rPr>
                <w:bCs/>
                <w:sz w:val="20"/>
                <w:szCs w:val="20"/>
              </w:rPr>
            </w:pPr>
            <w:r w:rsidRPr="008B6A75">
              <w:rPr>
                <w:bCs/>
                <w:sz w:val="20"/>
                <w:szCs w:val="20"/>
              </w:rPr>
              <w:t>1 112 900,00</w:t>
            </w:r>
          </w:p>
        </w:tc>
        <w:tc>
          <w:tcPr>
            <w:tcW w:w="222" w:type="dxa"/>
            <w:vAlign w:val="center"/>
            <w:hideMark/>
          </w:tcPr>
          <w:p w14:paraId="0B4FF1AA" w14:textId="77777777" w:rsidR="00387142" w:rsidRPr="008B6A75" w:rsidRDefault="00387142" w:rsidP="00387142">
            <w:pPr>
              <w:rPr>
                <w:sz w:val="20"/>
                <w:szCs w:val="20"/>
              </w:rPr>
            </w:pPr>
          </w:p>
        </w:tc>
      </w:tr>
      <w:tr w:rsidR="00387142" w:rsidRPr="008B6A75" w14:paraId="7FF4F7C6" w14:textId="77777777" w:rsidTr="00387142">
        <w:trPr>
          <w:trHeight w:val="585"/>
        </w:trPr>
        <w:tc>
          <w:tcPr>
            <w:tcW w:w="3021" w:type="dxa"/>
            <w:tcBorders>
              <w:top w:val="single" w:sz="4" w:space="0" w:color="auto"/>
              <w:left w:val="single" w:sz="4" w:space="0" w:color="auto"/>
              <w:bottom w:val="nil"/>
              <w:right w:val="nil"/>
            </w:tcBorders>
            <w:shd w:val="clear" w:color="auto" w:fill="auto"/>
            <w:vAlign w:val="center"/>
            <w:hideMark/>
          </w:tcPr>
          <w:p w14:paraId="5B196186" w14:textId="77777777" w:rsidR="00387142" w:rsidRPr="008B6A75" w:rsidRDefault="00387142" w:rsidP="00387142">
            <w:pPr>
              <w:rPr>
                <w:sz w:val="20"/>
                <w:szCs w:val="20"/>
              </w:rPr>
            </w:pPr>
            <w:r w:rsidRPr="008B6A75">
              <w:rPr>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nil"/>
              <w:right w:val="nil"/>
            </w:tcBorders>
            <w:shd w:val="clear" w:color="auto" w:fill="auto"/>
            <w:noWrap/>
            <w:vAlign w:val="center"/>
            <w:hideMark/>
          </w:tcPr>
          <w:p w14:paraId="77BF3CF9" w14:textId="77777777" w:rsidR="00387142" w:rsidRPr="008B6A75" w:rsidRDefault="00387142" w:rsidP="00387142">
            <w:pPr>
              <w:jc w:val="center"/>
              <w:rPr>
                <w:sz w:val="20"/>
                <w:szCs w:val="20"/>
              </w:rPr>
            </w:pPr>
            <w:r w:rsidRPr="008B6A75">
              <w:rPr>
                <w:sz w:val="20"/>
                <w:szCs w:val="20"/>
              </w:rPr>
              <w:t>444</w:t>
            </w:r>
          </w:p>
        </w:tc>
        <w:tc>
          <w:tcPr>
            <w:tcW w:w="709" w:type="dxa"/>
            <w:tcBorders>
              <w:top w:val="single" w:sz="4" w:space="0" w:color="auto"/>
              <w:left w:val="single" w:sz="4" w:space="0" w:color="auto"/>
              <w:bottom w:val="nil"/>
              <w:right w:val="nil"/>
            </w:tcBorders>
            <w:shd w:val="clear" w:color="auto" w:fill="auto"/>
            <w:noWrap/>
            <w:vAlign w:val="center"/>
            <w:hideMark/>
          </w:tcPr>
          <w:p w14:paraId="7E9320DA" w14:textId="77777777" w:rsidR="00387142" w:rsidRPr="008B6A75" w:rsidRDefault="00387142" w:rsidP="00387142">
            <w:pPr>
              <w:jc w:val="center"/>
              <w:rPr>
                <w:sz w:val="20"/>
                <w:szCs w:val="20"/>
              </w:rPr>
            </w:pPr>
            <w:r w:rsidRPr="008B6A75">
              <w:rPr>
                <w:sz w:val="20"/>
                <w:szCs w:val="20"/>
              </w:rPr>
              <w:t>07</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6D6049E6" w14:textId="77777777" w:rsidR="00387142" w:rsidRPr="008B6A75" w:rsidRDefault="00387142" w:rsidP="00387142">
            <w:pPr>
              <w:jc w:val="center"/>
              <w:rPr>
                <w:sz w:val="20"/>
                <w:szCs w:val="20"/>
              </w:rPr>
            </w:pPr>
            <w:r w:rsidRPr="008B6A75">
              <w:rPr>
                <w:sz w:val="20"/>
                <w:szCs w:val="20"/>
              </w:rPr>
              <w:t>09</w:t>
            </w:r>
          </w:p>
        </w:tc>
        <w:tc>
          <w:tcPr>
            <w:tcW w:w="1411" w:type="dxa"/>
            <w:tcBorders>
              <w:top w:val="single" w:sz="4" w:space="0" w:color="auto"/>
              <w:left w:val="single" w:sz="4" w:space="0" w:color="auto"/>
              <w:bottom w:val="nil"/>
              <w:right w:val="nil"/>
            </w:tcBorders>
            <w:shd w:val="clear" w:color="auto" w:fill="auto"/>
            <w:noWrap/>
            <w:vAlign w:val="center"/>
            <w:hideMark/>
          </w:tcPr>
          <w:p w14:paraId="21FFDC64" w14:textId="77777777" w:rsidR="00387142" w:rsidRPr="008B6A75" w:rsidRDefault="00387142" w:rsidP="00387142">
            <w:pPr>
              <w:jc w:val="center"/>
              <w:rPr>
                <w:sz w:val="20"/>
                <w:szCs w:val="20"/>
              </w:rPr>
            </w:pPr>
            <w:r w:rsidRPr="008B6A75">
              <w:rPr>
                <w:sz w:val="20"/>
                <w:szCs w:val="20"/>
              </w:rPr>
              <w:t>07.1.00.03470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6FB6A817" w14:textId="77777777" w:rsidR="00387142" w:rsidRPr="008B6A75" w:rsidRDefault="00387142" w:rsidP="00387142">
            <w:pPr>
              <w:jc w:val="center"/>
              <w:rPr>
                <w:sz w:val="20"/>
                <w:szCs w:val="20"/>
              </w:rPr>
            </w:pPr>
            <w:r w:rsidRPr="008B6A75">
              <w:rPr>
                <w:sz w:val="20"/>
                <w:szCs w:val="20"/>
              </w:rPr>
              <w:t>200</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4D5B6A4C" w14:textId="77777777" w:rsidR="00387142" w:rsidRPr="008B6A75" w:rsidRDefault="00387142" w:rsidP="00387142">
            <w:pPr>
              <w:jc w:val="right"/>
              <w:rPr>
                <w:sz w:val="20"/>
                <w:szCs w:val="20"/>
              </w:rPr>
            </w:pPr>
            <w:r w:rsidRPr="008B6A75">
              <w:rPr>
                <w:sz w:val="20"/>
                <w:szCs w:val="20"/>
              </w:rPr>
              <w:t>200 000,00</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4709CDD6" w14:textId="77777777" w:rsidR="00387142" w:rsidRPr="008B6A75" w:rsidRDefault="00387142" w:rsidP="00387142">
            <w:pPr>
              <w:jc w:val="right"/>
              <w:rPr>
                <w:sz w:val="20"/>
                <w:szCs w:val="20"/>
              </w:rPr>
            </w:pPr>
            <w:r w:rsidRPr="008B6A75">
              <w:rPr>
                <w:sz w:val="20"/>
                <w:szCs w:val="20"/>
              </w:rPr>
              <w:t>1 112 900,00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5E2A579E" w14:textId="77777777" w:rsidR="00387142" w:rsidRPr="008B6A75" w:rsidRDefault="00387142" w:rsidP="00387142">
            <w:pPr>
              <w:jc w:val="right"/>
              <w:rPr>
                <w:sz w:val="20"/>
                <w:szCs w:val="20"/>
              </w:rPr>
            </w:pPr>
            <w:r w:rsidRPr="008B6A75">
              <w:rPr>
                <w:sz w:val="20"/>
                <w:szCs w:val="20"/>
              </w:rPr>
              <w:t>1 112 900,00</w:t>
            </w:r>
          </w:p>
        </w:tc>
        <w:tc>
          <w:tcPr>
            <w:tcW w:w="222" w:type="dxa"/>
            <w:vAlign w:val="center"/>
            <w:hideMark/>
          </w:tcPr>
          <w:p w14:paraId="1970302D" w14:textId="77777777" w:rsidR="00387142" w:rsidRPr="008B6A75" w:rsidRDefault="00387142" w:rsidP="00387142">
            <w:pPr>
              <w:rPr>
                <w:sz w:val="20"/>
                <w:szCs w:val="20"/>
              </w:rPr>
            </w:pPr>
          </w:p>
        </w:tc>
      </w:tr>
      <w:tr w:rsidR="00387142" w:rsidRPr="008B6A75" w14:paraId="0E6E62B2" w14:textId="77777777" w:rsidTr="00387142">
        <w:trPr>
          <w:trHeight w:val="870"/>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73D2676E" w14:textId="77777777" w:rsidR="00387142" w:rsidRPr="008B6A75" w:rsidRDefault="00387142" w:rsidP="00387142">
            <w:pPr>
              <w:rPr>
                <w:sz w:val="20"/>
                <w:szCs w:val="20"/>
              </w:rPr>
            </w:pPr>
            <w:r w:rsidRPr="008B6A75">
              <w:rPr>
                <w:sz w:val="20"/>
                <w:szCs w:val="20"/>
              </w:rPr>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69D6D494" w14:textId="77777777" w:rsidR="00387142" w:rsidRPr="008B6A75" w:rsidRDefault="00387142" w:rsidP="00387142">
            <w:pPr>
              <w:jc w:val="center"/>
              <w:rPr>
                <w:sz w:val="20"/>
                <w:szCs w:val="20"/>
              </w:rPr>
            </w:pPr>
            <w:r w:rsidRPr="008B6A75">
              <w:rPr>
                <w:sz w:val="20"/>
                <w:szCs w:val="20"/>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71A62813" w14:textId="77777777" w:rsidR="00387142" w:rsidRPr="008B6A75" w:rsidRDefault="00387142" w:rsidP="00387142">
            <w:pPr>
              <w:jc w:val="center"/>
              <w:rPr>
                <w:sz w:val="20"/>
                <w:szCs w:val="20"/>
              </w:rPr>
            </w:pPr>
            <w:r w:rsidRPr="008B6A75">
              <w:rPr>
                <w:sz w:val="20"/>
                <w:szCs w:val="20"/>
              </w:rPr>
              <w:t>07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5C59D7" w14:textId="77777777" w:rsidR="00387142" w:rsidRPr="008B6A75" w:rsidRDefault="00387142" w:rsidP="00387142">
            <w:pPr>
              <w:jc w:val="center"/>
              <w:rPr>
                <w:sz w:val="20"/>
                <w:szCs w:val="20"/>
              </w:rPr>
            </w:pPr>
            <w:r w:rsidRPr="008B6A75">
              <w:rPr>
                <w:sz w:val="20"/>
                <w:szCs w:val="20"/>
              </w:rPr>
              <w:t>09</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07EF472E" w14:textId="77777777" w:rsidR="00387142" w:rsidRPr="008B6A75" w:rsidRDefault="00387142" w:rsidP="00387142">
            <w:pPr>
              <w:jc w:val="center"/>
              <w:rPr>
                <w:sz w:val="20"/>
                <w:szCs w:val="20"/>
              </w:rPr>
            </w:pPr>
            <w:r w:rsidRPr="008B6A75">
              <w:rPr>
                <w:sz w:val="20"/>
                <w:szCs w:val="20"/>
              </w:rPr>
              <w:t>07.1.00.03470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8A5A6D" w14:textId="77777777" w:rsidR="00387142" w:rsidRPr="008B6A75" w:rsidRDefault="00387142" w:rsidP="00387142">
            <w:pPr>
              <w:jc w:val="center"/>
              <w:rPr>
                <w:sz w:val="20"/>
                <w:szCs w:val="20"/>
              </w:rPr>
            </w:pPr>
            <w:r w:rsidRPr="008B6A75">
              <w:rPr>
                <w:sz w:val="20"/>
                <w:szCs w:val="20"/>
              </w:rPr>
              <w:t>240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BBA93E" w14:textId="77777777" w:rsidR="00387142" w:rsidRPr="008B6A75" w:rsidRDefault="00387142" w:rsidP="00387142">
            <w:pPr>
              <w:jc w:val="right"/>
              <w:rPr>
                <w:sz w:val="20"/>
                <w:szCs w:val="20"/>
              </w:rPr>
            </w:pPr>
            <w:r w:rsidRPr="008B6A75">
              <w:rPr>
                <w:sz w:val="20"/>
                <w:szCs w:val="20"/>
              </w:rPr>
              <w:t>200 000,00</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4158785B" w14:textId="77777777" w:rsidR="00387142" w:rsidRPr="008B6A75" w:rsidRDefault="00387142" w:rsidP="00387142">
            <w:pPr>
              <w:jc w:val="right"/>
              <w:rPr>
                <w:sz w:val="20"/>
                <w:szCs w:val="20"/>
              </w:rPr>
            </w:pPr>
            <w:r w:rsidRPr="008B6A75">
              <w:rPr>
                <w:sz w:val="20"/>
                <w:szCs w:val="20"/>
              </w:rPr>
              <w:t>1 112 900,00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0E0F50" w14:textId="77777777" w:rsidR="00387142" w:rsidRPr="008B6A75" w:rsidRDefault="00387142" w:rsidP="00387142">
            <w:pPr>
              <w:jc w:val="right"/>
              <w:rPr>
                <w:sz w:val="20"/>
                <w:szCs w:val="20"/>
              </w:rPr>
            </w:pPr>
            <w:r w:rsidRPr="008B6A75">
              <w:rPr>
                <w:sz w:val="20"/>
                <w:szCs w:val="20"/>
              </w:rPr>
              <w:t>1 112 900,00</w:t>
            </w:r>
          </w:p>
        </w:tc>
        <w:tc>
          <w:tcPr>
            <w:tcW w:w="222" w:type="dxa"/>
            <w:vAlign w:val="center"/>
            <w:hideMark/>
          </w:tcPr>
          <w:p w14:paraId="086E66E7" w14:textId="77777777" w:rsidR="00387142" w:rsidRPr="008B6A75" w:rsidRDefault="00387142" w:rsidP="00387142">
            <w:pPr>
              <w:rPr>
                <w:sz w:val="20"/>
                <w:szCs w:val="20"/>
              </w:rPr>
            </w:pPr>
          </w:p>
        </w:tc>
      </w:tr>
      <w:tr w:rsidR="00387142" w:rsidRPr="008B6A75" w14:paraId="68DBC5E8" w14:textId="77777777" w:rsidTr="00387142">
        <w:trPr>
          <w:trHeight w:val="870"/>
        </w:trPr>
        <w:tc>
          <w:tcPr>
            <w:tcW w:w="3021" w:type="dxa"/>
            <w:tcBorders>
              <w:top w:val="nil"/>
              <w:left w:val="single" w:sz="4" w:space="0" w:color="auto"/>
              <w:bottom w:val="nil"/>
              <w:right w:val="nil"/>
            </w:tcBorders>
            <w:shd w:val="clear" w:color="auto" w:fill="auto"/>
            <w:vAlign w:val="center"/>
            <w:hideMark/>
          </w:tcPr>
          <w:p w14:paraId="3BCCF1AC" w14:textId="77777777" w:rsidR="00387142" w:rsidRPr="008B6A75" w:rsidRDefault="00387142" w:rsidP="00387142">
            <w:pPr>
              <w:rPr>
                <w:bCs/>
                <w:sz w:val="20"/>
                <w:szCs w:val="20"/>
              </w:rPr>
            </w:pPr>
            <w:r w:rsidRPr="008B6A75">
              <w:rPr>
                <w:bCs/>
                <w:sz w:val="20"/>
                <w:szCs w:val="20"/>
              </w:rPr>
              <w:t>Расходы на обеспечение деятельности (оказание услуг) центра бухгалтерского, материально-технического обеспечения</w:t>
            </w:r>
          </w:p>
        </w:tc>
        <w:tc>
          <w:tcPr>
            <w:tcW w:w="850" w:type="dxa"/>
            <w:tcBorders>
              <w:top w:val="nil"/>
              <w:left w:val="single" w:sz="4" w:space="0" w:color="auto"/>
              <w:bottom w:val="nil"/>
              <w:right w:val="nil"/>
            </w:tcBorders>
            <w:shd w:val="clear" w:color="auto" w:fill="auto"/>
            <w:noWrap/>
            <w:vAlign w:val="center"/>
            <w:hideMark/>
          </w:tcPr>
          <w:p w14:paraId="4060375D" w14:textId="77777777" w:rsidR="00387142" w:rsidRPr="008B6A75" w:rsidRDefault="00387142" w:rsidP="00387142">
            <w:pPr>
              <w:jc w:val="center"/>
              <w:rPr>
                <w:bCs/>
                <w:sz w:val="20"/>
                <w:szCs w:val="20"/>
              </w:rPr>
            </w:pPr>
            <w:r w:rsidRPr="008B6A75">
              <w:rPr>
                <w:bCs/>
                <w:sz w:val="20"/>
                <w:szCs w:val="20"/>
              </w:rPr>
              <w:t>444</w:t>
            </w:r>
          </w:p>
        </w:tc>
        <w:tc>
          <w:tcPr>
            <w:tcW w:w="709" w:type="dxa"/>
            <w:tcBorders>
              <w:top w:val="nil"/>
              <w:left w:val="single" w:sz="4" w:space="0" w:color="auto"/>
              <w:bottom w:val="nil"/>
              <w:right w:val="nil"/>
            </w:tcBorders>
            <w:shd w:val="clear" w:color="auto" w:fill="auto"/>
            <w:noWrap/>
            <w:vAlign w:val="center"/>
            <w:hideMark/>
          </w:tcPr>
          <w:p w14:paraId="4638C97F" w14:textId="77777777" w:rsidR="00387142" w:rsidRPr="008B6A75" w:rsidRDefault="00387142" w:rsidP="00387142">
            <w:pPr>
              <w:jc w:val="center"/>
              <w:rPr>
                <w:bCs/>
                <w:sz w:val="20"/>
                <w:szCs w:val="20"/>
              </w:rPr>
            </w:pPr>
            <w:r w:rsidRPr="008B6A75">
              <w:rPr>
                <w:bCs/>
                <w:sz w:val="20"/>
                <w:szCs w:val="20"/>
              </w:rPr>
              <w:t>07</w:t>
            </w:r>
          </w:p>
        </w:tc>
        <w:tc>
          <w:tcPr>
            <w:tcW w:w="709" w:type="dxa"/>
            <w:tcBorders>
              <w:top w:val="nil"/>
              <w:left w:val="single" w:sz="4" w:space="0" w:color="auto"/>
              <w:bottom w:val="nil"/>
              <w:right w:val="single" w:sz="4" w:space="0" w:color="auto"/>
            </w:tcBorders>
            <w:shd w:val="clear" w:color="auto" w:fill="auto"/>
            <w:noWrap/>
            <w:vAlign w:val="center"/>
            <w:hideMark/>
          </w:tcPr>
          <w:p w14:paraId="0B96D765" w14:textId="77777777" w:rsidR="00387142" w:rsidRPr="008B6A75" w:rsidRDefault="00387142" w:rsidP="00387142">
            <w:pPr>
              <w:jc w:val="center"/>
              <w:rPr>
                <w:bCs/>
                <w:sz w:val="20"/>
                <w:szCs w:val="20"/>
              </w:rPr>
            </w:pPr>
            <w:r w:rsidRPr="008B6A75">
              <w:rPr>
                <w:bCs/>
                <w:sz w:val="20"/>
                <w:szCs w:val="20"/>
              </w:rPr>
              <w:t>09</w:t>
            </w:r>
          </w:p>
        </w:tc>
        <w:tc>
          <w:tcPr>
            <w:tcW w:w="1411" w:type="dxa"/>
            <w:tcBorders>
              <w:top w:val="nil"/>
              <w:left w:val="single" w:sz="4" w:space="0" w:color="auto"/>
              <w:bottom w:val="nil"/>
              <w:right w:val="nil"/>
            </w:tcBorders>
            <w:shd w:val="clear" w:color="auto" w:fill="auto"/>
            <w:noWrap/>
            <w:vAlign w:val="center"/>
            <w:hideMark/>
          </w:tcPr>
          <w:p w14:paraId="34D1F165" w14:textId="77777777" w:rsidR="00387142" w:rsidRPr="008B6A75" w:rsidRDefault="00387142" w:rsidP="00387142">
            <w:pPr>
              <w:jc w:val="center"/>
              <w:rPr>
                <w:bCs/>
                <w:sz w:val="20"/>
                <w:szCs w:val="20"/>
              </w:rPr>
            </w:pPr>
            <w:r w:rsidRPr="008B6A75">
              <w:rPr>
                <w:bCs/>
                <w:sz w:val="20"/>
                <w:szCs w:val="20"/>
              </w:rPr>
              <w:t>07.1.00.07890</w:t>
            </w:r>
          </w:p>
        </w:tc>
        <w:tc>
          <w:tcPr>
            <w:tcW w:w="955" w:type="dxa"/>
            <w:tcBorders>
              <w:top w:val="nil"/>
              <w:left w:val="single" w:sz="4" w:space="0" w:color="auto"/>
              <w:bottom w:val="nil"/>
              <w:right w:val="single" w:sz="4" w:space="0" w:color="auto"/>
            </w:tcBorders>
            <w:shd w:val="clear" w:color="auto" w:fill="auto"/>
            <w:noWrap/>
            <w:vAlign w:val="center"/>
            <w:hideMark/>
          </w:tcPr>
          <w:p w14:paraId="75266FE7"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nil"/>
              <w:right w:val="single" w:sz="4" w:space="0" w:color="auto"/>
            </w:tcBorders>
            <w:shd w:val="clear" w:color="auto" w:fill="auto"/>
            <w:noWrap/>
            <w:vAlign w:val="center"/>
            <w:hideMark/>
          </w:tcPr>
          <w:p w14:paraId="5E9FE44E" w14:textId="77777777" w:rsidR="00387142" w:rsidRPr="008B6A75" w:rsidRDefault="00387142" w:rsidP="00387142">
            <w:pPr>
              <w:jc w:val="right"/>
              <w:rPr>
                <w:bCs/>
                <w:sz w:val="20"/>
                <w:szCs w:val="20"/>
              </w:rPr>
            </w:pPr>
            <w:r w:rsidRPr="008B6A75">
              <w:rPr>
                <w:bCs/>
                <w:sz w:val="20"/>
                <w:szCs w:val="20"/>
              </w:rPr>
              <w:t>73 001 526,93</w:t>
            </w:r>
          </w:p>
        </w:tc>
        <w:tc>
          <w:tcPr>
            <w:tcW w:w="992" w:type="dxa"/>
            <w:gridSpan w:val="2"/>
            <w:tcBorders>
              <w:top w:val="nil"/>
              <w:left w:val="single" w:sz="4" w:space="0" w:color="auto"/>
              <w:bottom w:val="nil"/>
              <w:right w:val="nil"/>
            </w:tcBorders>
            <w:shd w:val="clear" w:color="auto" w:fill="auto"/>
            <w:noWrap/>
            <w:vAlign w:val="center"/>
            <w:hideMark/>
          </w:tcPr>
          <w:p w14:paraId="37067A0D" w14:textId="77777777" w:rsidR="00387142" w:rsidRPr="008B6A75" w:rsidRDefault="00387142" w:rsidP="00387142">
            <w:pPr>
              <w:jc w:val="right"/>
              <w:rPr>
                <w:bCs/>
                <w:sz w:val="20"/>
                <w:szCs w:val="20"/>
              </w:rPr>
            </w:pPr>
            <w:r w:rsidRPr="008B6A75">
              <w:rPr>
                <w:bCs/>
                <w:sz w:val="20"/>
                <w:szCs w:val="20"/>
              </w:rPr>
              <w:t>40 796 900,00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0E8505EA" w14:textId="77777777" w:rsidR="00387142" w:rsidRPr="008B6A75" w:rsidRDefault="00387142" w:rsidP="00387142">
            <w:pPr>
              <w:jc w:val="right"/>
              <w:rPr>
                <w:bCs/>
                <w:sz w:val="20"/>
                <w:szCs w:val="20"/>
              </w:rPr>
            </w:pPr>
            <w:r w:rsidRPr="008B6A75">
              <w:rPr>
                <w:bCs/>
                <w:sz w:val="20"/>
                <w:szCs w:val="20"/>
              </w:rPr>
              <w:t>27 038 700,00</w:t>
            </w:r>
          </w:p>
        </w:tc>
        <w:tc>
          <w:tcPr>
            <w:tcW w:w="222" w:type="dxa"/>
            <w:vAlign w:val="center"/>
            <w:hideMark/>
          </w:tcPr>
          <w:p w14:paraId="20409689" w14:textId="77777777" w:rsidR="00387142" w:rsidRPr="008B6A75" w:rsidRDefault="00387142" w:rsidP="00387142">
            <w:pPr>
              <w:rPr>
                <w:sz w:val="20"/>
                <w:szCs w:val="20"/>
              </w:rPr>
            </w:pPr>
          </w:p>
        </w:tc>
      </w:tr>
      <w:tr w:rsidR="00387142" w:rsidRPr="008B6A75" w14:paraId="69B76C27" w14:textId="77777777" w:rsidTr="00387142">
        <w:trPr>
          <w:trHeight w:val="1440"/>
        </w:trPr>
        <w:tc>
          <w:tcPr>
            <w:tcW w:w="3021" w:type="dxa"/>
            <w:tcBorders>
              <w:top w:val="single" w:sz="4" w:space="0" w:color="auto"/>
              <w:left w:val="single" w:sz="4" w:space="0" w:color="auto"/>
              <w:bottom w:val="nil"/>
              <w:right w:val="nil"/>
            </w:tcBorders>
            <w:shd w:val="clear" w:color="auto" w:fill="auto"/>
            <w:vAlign w:val="center"/>
            <w:hideMark/>
          </w:tcPr>
          <w:p w14:paraId="524441B4" w14:textId="77777777" w:rsidR="00387142" w:rsidRPr="008B6A75" w:rsidRDefault="00387142" w:rsidP="00387142">
            <w:pPr>
              <w:rPr>
                <w:sz w:val="20"/>
                <w:szCs w:val="20"/>
              </w:rPr>
            </w:pPr>
            <w:r w:rsidRPr="008B6A7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nil"/>
              <w:right w:val="nil"/>
            </w:tcBorders>
            <w:shd w:val="clear" w:color="auto" w:fill="auto"/>
            <w:noWrap/>
            <w:vAlign w:val="center"/>
            <w:hideMark/>
          </w:tcPr>
          <w:p w14:paraId="1F9969DD" w14:textId="77777777" w:rsidR="00387142" w:rsidRPr="008B6A75" w:rsidRDefault="00387142" w:rsidP="00387142">
            <w:pPr>
              <w:jc w:val="center"/>
              <w:rPr>
                <w:sz w:val="20"/>
                <w:szCs w:val="20"/>
              </w:rPr>
            </w:pPr>
            <w:r w:rsidRPr="008B6A75">
              <w:rPr>
                <w:sz w:val="20"/>
                <w:szCs w:val="20"/>
              </w:rPr>
              <w:t>444</w:t>
            </w:r>
          </w:p>
        </w:tc>
        <w:tc>
          <w:tcPr>
            <w:tcW w:w="709" w:type="dxa"/>
            <w:tcBorders>
              <w:top w:val="single" w:sz="4" w:space="0" w:color="auto"/>
              <w:left w:val="single" w:sz="4" w:space="0" w:color="auto"/>
              <w:bottom w:val="nil"/>
              <w:right w:val="nil"/>
            </w:tcBorders>
            <w:shd w:val="clear" w:color="auto" w:fill="auto"/>
            <w:noWrap/>
            <w:vAlign w:val="center"/>
            <w:hideMark/>
          </w:tcPr>
          <w:p w14:paraId="5B7F0419" w14:textId="77777777" w:rsidR="00387142" w:rsidRPr="008B6A75" w:rsidRDefault="00387142" w:rsidP="00387142">
            <w:pPr>
              <w:jc w:val="center"/>
              <w:rPr>
                <w:sz w:val="20"/>
                <w:szCs w:val="20"/>
              </w:rPr>
            </w:pPr>
            <w:r w:rsidRPr="008B6A75">
              <w:rPr>
                <w:sz w:val="20"/>
                <w:szCs w:val="20"/>
              </w:rPr>
              <w:t>07</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32CD117E" w14:textId="77777777" w:rsidR="00387142" w:rsidRPr="008B6A75" w:rsidRDefault="00387142" w:rsidP="00387142">
            <w:pPr>
              <w:jc w:val="center"/>
              <w:rPr>
                <w:sz w:val="20"/>
                <w:szCs w:val="20"/>
              </w:rPr>
            </w:pPr>
            <w:r w:rsidRPr="008B6A75">
              <w:rPr>
                <w:sz w:val="20"/>
                <w:szCs w:val="20"/>
              </w:rPr>
              <w:t>09</w:t>
            </w:r>
          </w:p>
        </w:tc>
        <w:tc>
          <w:tcPr>
            <w:tcW w:w="1411" w:type="dxa"/>
            <w:tcBorders>
              <w:top w:val="single" w:sz="4" w:space="0" w:color="auto"/>
              <w:left w:val="single" w:sz="4" w:space="0" w:color="auto"/>
              <w:bottom w:val="nil"/>
              <w:right w:val="nil"/>
            </w:tcBorders>
            <w:shd w:val="clear" w:color="auto" w:fill="auto"/>
            <w:noWrap/>
            <w:vAlign w:val="center"/>
            <w:hideMark/>
          </w:tcPr>
          <w:p w14:paraId="0024E386" w14:textId="77777777" w:rsidR="00387142" w:rsidRPr="008B6A75" w:rsidRDefault="00387142" w:rsidP="00387142">
            <w:pPr>
              <w:jc w:val="center"/>
              <w:rPr>
                <w:sz w:val="20"/>
                <w:szCs w:val="20"/>
              </w:rPr>
            </w:pPr>
            <w:r w:rsidRPr="008B6A75">
              <w:rPr>
                <w:sz w:val="20"/>
                <w:szCs w:val="20"/>
              </w:rPr>
              <w:t>07.1.00.07890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22392981" w14:textId="77777777" w:rsidR="00387142" w:rsidRPr="008B6A75" w:rsidRDefault="00387142" w:rsidP="00387142">
            <w:pPr>
              <w:jc w:val="center"/>
              <w:rPr>
                <w:sz w:val="20"/>
                <w:szCs w:val="20"/>
              </w:rPr>
            </w:pPr>
            <w:r w:rsidRPr="008B6A75">
              <w:rPr>
                <w:sz w:val="20"/>
                <w:szCs w:val="20"/>
              </w:rPr>
              <w:t>100</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05F9F895" w14:textId="77777777" w:rsidR="00387142" w:rsidRPr="008B6A75" w:rsidRDefault="00387142" w:rsidP="00387142">
            <w:pPr>
              <w:jc w:val="right"/>
              <w:rPr>
                <w:sz w:val="20"/>
                <w:szCs w:val="20"/>
              </w:rPr>
            </w:pPr>
            <w:r w:rsidRPr="008B6A75">
              <w:rPr>
                <w:sz w:val="20"/>
                <w:szCs w:val="20"/>
              </w:rPr>
              <w:t>60 211 562,74</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61C22F43" w14:textId="77777777" w:rsidR="00387142" w:rsidRPr="008B6A75" w:rsidRDefault="00387142" w:rsidP="00387142">
            <w:pPr>
              <w:jc w:val="right"/>
              <w:rPr>
                <w:sz w:val="20"/>
                <w:szCs w:val="20"/>
              </w:rPr>
            </w:pPr>
            <w:r w:rsidRPr="008B6A75">
              <w:rPr>
                <w:sz w:val="20"/>
                <w:szCs w:val="20"/>
              </w:rPr>
              <w:t>33 596 900,00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719C13F3" w14:textId="77777777" w:rsidR="00387142" w:rsidRPr="008B6A75" w:rsidRDefault="00387142" w:rsidP="00387142">
            <w:pPr>
              <w:jc w:val="right"/>
              <w:rPr>
                <w:sz w:val="20"/>
                <w:szCs w:val="20"/>
              </w:rPr>
            </w:pPr>
            <w:r w:rsidRPr="008B6A75">
              <w:rPr>
                <w:sz w:val="20"/>
                <w:szCs w:val="20"/>
              </w:rPr>
              <w:t>24 938 700,00</w:t>
            </w:r>
          </w:p>
        </w:tc>
        <w:tc>
          <w:tcPr>
            <w:tcW w:w="222" w:type="dxa"/>
            <w:vAlign w:val="center"/>
            <w:hideMark/>
          </w:tcPr>
          <w:p w14:paraId="0BB63FBA" w14:textId="77777777" w:rsidR="00387142" w:rsidRPr="008B6A75" w:rsidRDefault="00387142" w:rsidP="00387142">
            <w:pPr>
              <w:rPr>
                <w:sz w:val="20"/>
                <w:szCs w:val="20"/>
              </w:rPr>
            </w:pPr>
          </w:p>
        </w:tc>
      </w:tr>
      <w:tr w:rsidR="00387142" w:rsidRPr="008B6A75" w14:paraId="677A1934" w14:textId="77777777" w:rsidTr="00387142">
        <w:trPr>
          <w:trHeight w:val="585"/>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3CBD0D1A" w14:textId="77777777" w:rsidR="00387142" w:rsidRPr="008B6A75" w:rsidRDefault="00387142" w:rsidP="00387142">
            <w:pPr>
              <w:rPr>
                <w:sz w:val="20"/>
                <w:szCs w:val="20"/>
              </w:rPr>
            </w:pPr>
            <w:r w:rsidRPr="008B6A75">
              <w:rPr>
                <w:sz w:val="20"/>
                <w:szCs w:val="20"/>
              </w:rPr>
              <w:t>Расходы на выплаты персоналу казенных учреждений</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3BAC7EBB" w14:textId="77777777" w:rsidR="00387142" w:rsidRPr="008B6A75" w:rsidRDefault="00387142" w:rsidP="00387142">
            <w:pPr>
              <w:jc w:val="center"/>
              <w:rPr>
                <w:sz w:val="20"/>
                <w:szCs w:val="20"/>
              </w:rPr>
            </w:pPr>
            <w:r w:rsidRPr="008B6A75">
              <w:rPr>
                <w:sz w:val="20"/>
                <w:szCs w:val="20"/>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63868F11" w14:textId="77777777" w:rsidR="00387142" w:rsidRPr="008B6A75" w:rsidRDefault="00387142" w:rsidP="00387142">
            <w:pPr>
              <w:jc w:val="center"/>
              <w:rPr>
                <w:sz w:val="20"/>
                <w:szCs w:val="20"/>
              </w:rPr>
            </w:pPr>
            <w:r w:rsidRPr="008B6A75">
              <w:rPr>
                <w:sz w:val="20"/>
                <w:szCs w:val="20"/>
              </w:rPr>
              <w:t>07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2B75CA" w14:textId="77777777" w:rsidR="00387142" w:rsidRPr="008B6A75" w:rsidRDefault="00387142" w:rsidP="00387142">
            <w:pPr>
              <w:jc w:val="center"/>
              <w:rPr>
                <w:sz w:val="20"/>
                <w:szCs w:val="20"/>
              </w:rPr>
            </w:pPr>
            <w:r w:rsidRPr="008B6A75">
              <w:rPr>
                <w:sz w:val="20"/>
                <w:szCs w:val="20"/>
              </w:rPr>
              <w:t>09</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6A528E76" w14:textId="77777777" w:rsidR="00387142" w:rsidRPr="008B6A75" w:rsidRDefault="00387142" w:rsidP="00387142">
            <w:pPr>
              <w:jc w:val="center"/>
              <w:rPr>
                <w:sz w:val="20"/>
                <w:szCs w:val="20"/>
              </w:rPr>
            </w:pPr>
            <w:r w:rsidRPr="008B6A75">
              <w:rPr>
                <w:sz w:val="20"/>
                <w:szCs w:val="20"/>
              </w:rPr>
              <w:t>07.1.00.07890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303B07" w14:textId="77777777" w:rsidR="00387142" w:rsidRPr="008B6A75" w:rsidRDefault="00387142" w:rsidP="00387142">
            <w:pPr>
              <w:jc w:val="center"/>
              <w:rPr>
                <w:sz w:val="20"/>
                <w:szCs w:val="20"/>
              </w:rPr>
            </w:pPr>
            <w:r w:rsidRPr="008B6A75">
              <w:rPr>
                <w:sz w:val="20"/>
                <w:szCs w:val="20"/>
              </w:rPr>
              <w:t>110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55668A" w14:textId="77777777" w:rsidR="00387142" w:rsidRPr="008B6A75" w:rsidRDefault="00387142" w:rsidP="00387142">
            <w:pPr>
              <w:jc w:val="right"/>
              <w:rPr>
                <w:sz w:val="20"/>
                <w:szCs w:val="20"/>
              </w:rPr>
            </w:pPr>
            <w:r w:rsidRPr="008B6A75">
              <w:rPr>
                <w:sz w:val="20"/>
                <w:szCs w:val="20"/>
              </w:rPr>
              <w:t>60 211 562,74</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244BA4A9" w14:textId="77777777" w:rsidR="00387142" w:rsidRPr="008B6A75" w:rsidRDefault="00387142" w:rsidP="00387142">
            <w:pPr>
              <w:jc w:val="right"/>
              <w:rPr>
                <w:sz w:val="20"/>
                <w:szCs w:val="20"/>
              </w:rPr>
            </w:pPr>
            <w:r w:rsidRPr="008B6A75">
              <w:rPr>
                <w:sz w:val="20"/>
                <w:szCs w:val="20"/>
              </w:rPr>
              <w:t>33 596 900,00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F8A9C9" w14:textId="77777777" w:rsidR="00387142" w:rsidRPr="008B6A75" w:rsidRDefault="00387142" w:rsidP="00387142">
            <w:pPr>
              <w:jc w:val="right"/>
              <w:rPr>
                <w:sz w:val="20"/>
                <w:szCs w:val="20"/>
              </w:rPr>
            </w:pPr>
            <w:r w:rsidRPr="008B6A75">
              <w:rPr>
                <w:sz w:val="20"/>
                <w:szCs w:val="20"/>
              </w:rPr>
              <w:t>24 938 700,00</w:t>
            </w:r>
          </w:p>
        </w:tc>
        <w:tc>
          <w:tcPr>
            <w:tcW w:w="222" w:type="dxa"/>
            <w:vAlign w:val="center"/>
            <w:hideMark/>
          </w:tcPr>
          <w:p w14:paraId="529634F2" w14:textId="77777777" w:rsidR="00387142" w:rsidRPr="008B6A75" w:rsidRDefault="00387142" w:rsidP="00387142">
            <w:pPr>
              <w:rPr>
                <w:sz w:val="20"/>
                <w:szCs w:val="20"/>
              </w:rPr>
            </w:pPr>
          </w:p>
        </w:tc>
      </w:tr>
      <w:tr w:rsidR="00387142" w:rsidRPr="008B6A75" w14:paraId="5A421DD3" w14:textId="77777777" w:rsidTr="00387142">
        <w:trPr>
          <w:trHeight w:val="585"/>
        </w:trPr>
        <w:tc>
          <w:tcPr>
            <w:tcW w:w="3021" w:type="dxa"/>
            <w:tcBorders>
              <w:top w:val="nil"/>
              <w:left w:val="single" w:sz="4" w:space="0" w:color="auto"/>
              <w:bottom w:val="nil"/>
              <w:right w:val="nil"/>
            </w:tcBorders>
            <w:shd w:val="clear" w:color="auto" w:fill="auto"/>
            <w:vAlign w:val="center"/>
            <w:hideMark/>
          </w:tcPr>
          <w:p w14:paraId="5225D24E" w14:textId="77777777" w:rsidR="00387142" w:rsidRPr="008B6A75" w:rsidRDefault="00387142" w:rsidP="00387142">
            <w:pPr>
              <w:rPr>
                <w:sz w:val="20"/>
                <w:szCs w:val="20"/>
              </w:rPr>
            </w:pPr>
            <w:r w:rsidRPr="008B6A75">
              <w:rPr>
                <w:sz w:val="20"/>
                <w:szCs w:val="20"/>
              </w:rPr>
              <w:t>Закупка товаров, работ и услуг для обеспечения государственных (муниципальных) нужд</w:t>
            </w:r>
          </w:p>
        </w:tc>
        <w:tc>
          <w:tcPr>
            <w:tcW w:w="850" w:type="dxa"/>
            <w:tcBorders>
              <w:top w:val="nil"/>
              <w:left w:val="single" w:sz="4" w:space="0" w:color="auto"/>
              <w:bottom w:val="nil"/>
              <w:right w:val="nil"/>
            </w:tcBorders>
            <w:shd w:val="clear" w:color="auto" w:fill="auto"/>
            <w:noWrap/>
            <w:vAlign w:val="center"/>
            <w:hideMark/>
          </w:tcPr>
          <w:p w14:paraId="1001E231" w14:textId="77777777" w:rsidR="00387142" w:rsidRPr="008B6A75" w:rsidRDefault="00387142" w:rsidP="00387142">
            <w:pPr>
              <w:jc w:val="center"/>
              <w:rPr>
                <w:sz w:val="20"/>
                <w:szCs w:val="20"/>
              </w:rPr>
            </w:pPr>
            <w:r w:rsidRPr="008B6A75">
              <w:rPr>
                <w:sz w:val="20"/>
                <w:szCs w:val="20"/>
              </w:rPr>
              <w:t>444</w:t>
            </w:r>
          </w:p>
        </w:tc>
        <w:tc>
          <w:tcPr>
            <w:tcW w:w="709" w:type="dxa"/>
            <w:tcBorders>
              <w:top w:val="nil"/>
              <w:left w:val="single" w:sz="4" w:space="0" w:color="auto"/>
              <w:bottom w:val="nil"/>
              <w:right w:val="nil"/>
            </w:tcBorders>
            <w:shd w:val="clear" w:color="auto" w:fill="auto"/>
            <w:noWrap/>
            <w:vAlign w:val="center"/>
            <w:hideMark/>
          </w:tcPr>
          <w:p w14:paraId="334F1BD6" w14:textId="77777777" w:rsidR="00387142" w:rsidRPr="008B6A75" w:rsidRDefault="00387142" w:rsidP="00387142">
            <w:pPr>
              <w:jc w:val="center"/>
              <w:rPr>
                <w:sz w:val="20"/>
                <w:szCs w:val="20"/>
              </w:rPr>
            </w:pPr>
            <w:r w:rsidRPr="008B6A75">
              <w:rPr>
                <w:sz w:val="20"/>
                <w:szCs w:val="20"/>
              </w:rPr>
              <w:t>07</w:t>
            </w:r>
          </w:p>
        </w:tc>
        <w:tc>
          <w:tcPr>
            <w:tcW w:w="709" w:type="dxa"/>
            <w:tcBorders>
              <w:top w:val="nil"/>
              <w:left w:val="single" w:sz="4" w:space="0" w:color="auto"/>
              <w:bottom w:val="nil"/>
              <w:right w:val="single" w:sz="4" w:space="0" w:color="auto"/>
            </w:tcBorders>
            <w:shd w:val="clear" w:color="auto" w:fill="auto"/>
            <w:noWrap/>
            <w:vAlign w:val="center"/>
            <w:hideMark/>
          </w:tcPr>
          <w:p w14:paraId="7CEBB6C2" w14:textId="77777777" w:rsidR="00387142" w:rsidRPr="008B6A75" w:rsidRDefault="00387142" w:rsidP="00387142">
            <w:pPr>
              <w:jc w:val="center"/>
              <w:rPr>
                <w:sz w:val="20"/>
                <w:szCs w:val="20"/>
              </w:rPr>
            </w:pPr>
            <w:r w:rsidRPr="008B6A75">
              <w:rPr>
                <w:sz w:val="20"/>
                <w:szCs w:val="20"/>
              </w:rPr>
              <w:t>09</w:t>
            </w:r>
          </w:p>
        </w:tc>
        <w:tc>
          <w:tcPr>
            <w:tcW w:w="1411" w:type="dxa"/>
            <w:tcBorders>
              <w:top w:val="nil"/>
              <w:left w:val="single" w:sz="4" w:space="0" w:color="auto"/>
              <w:bottom w:val="nil"/>
              <w:right w:val="nil"/>
            </w:tcBorders>
            <w:shd w:val="clear" w:color="auto" w:fill="auto"/>
            <w:noWrap/>
            <w:vAlign w:val="center"/>
            <w:hideMark/>
          </w:tcPr>
          <w:p w14:paraId="79CF1E65" w14:textId="77777777" w:rsidR="00387142" w:rsidRPr="008B6A75" w:rsidRDefault="00387142" w:rsidP="00387142">
            <w:pPr>
              <w:jc w:val="center"/>
              <w:rPr>
                <w:sz w:val="20"/>
                <w:szCs w:val="20"/>
              </w:rPr>
            </w:pPr>
            <w:r w:rsidRPr="008B6A75">
              <w:rPr>
                <w:sz w:val="20"/>
                <w:szCs w:val="20"/>
              </w:rPr>
              <w:t>07.1.00.07890</w:t>
            </w:r>
          </w:p>
        </w:tc>
        <w:tc>
          <w:tcPr>
            <w:tcW w:w="955" w:type="dxa"/>
            <w:tcBorders>
              <w:top w:val="nil"/>
              <w:left w:val="single" w:sz="4" w:space="0" w:color="auto"/>
              <w:bottom w:val="nil"/>
              <w:right w:val="single" w:sz="4" w:space="0" w:color="auto"/>
            </w:tcBorders>
            <w:shd w:val="clear" w:color="auto" w:fill="auto"/>
            <w:noWrap/>
            <w:vAlign w:val="center"/>
            <w:hideMark/>
          </w:tcPr>
          <w:p w14:paraId="19CDF484" w14:textId="77777777" w:rsidR="00387142" w:rsidRPr="008B6A75" w:rsidRDefault="00387142" w:rsidP="00387142">
            <w:pPr>
              <w:jc w:val="center"/>
              <w:rPr>
                <w:sz w:val="20"/>
                <w:szCs w:val="20"/>
              </w:rPr>
            </w:pPr>
            <w:r w:rsidRPr="008B6A75">
              <w:rPr>
                <w:sz w:val="20"/>
                <w:szCs w:val="20"/>
              </w:rPr>
              <w:t>200</w:t>
            </w:r>
          </w:p>
        </w:tc>
        <w:tc>
          <w:tcPr>
            <w:tcW w:w="992" w:type="dxa"/>
            <w:tcBorders>
              <w:top w:val="nil"/>
              <w:left w:val="single" w:sz="4" w:space="0" w:color="auto"/>
              <w:bottom w:val="nil"/>
              <w:right w:val="single" w:sz="4" w:space="0" w:color="auto"/>
            </w:tcBorders>
            <w:shd w:val="clear" w:color="auto" w:fill="auto"/>
            <w:noWrap/>
            <w:vAlign w:val="center"/>
            <w:hideMark/>
          </w:tcPr>
          <w:p w14:paraId="0D2A2E1E" w14:textId="77777777" w:rsidR="00387142" w:rsidRPr="008B6A75" w:rsidRDefault="00387142" w:rsidP="00387142">
            <w:pPr>
              <w:jc w:val="right"/>
              <w:rPr>
                <w:sz w:val="20"/>
                <w:szCs w:val="20"/>
              </w:rPr>
            </w:pPr>
            <w:r w:rsidRPr="008B6A75">
              <w:rPr>
                <w:sz w:val="20"/>
                <w:szCs w:val="20"/>
              </w:rPr>
              <w:t>12 592 951,11</w:t>
            </w:r>
          </w:p>
        </w:tc>
        <w:tc>
          <w:tcPr>
            <w:tcW w:w="992" w:type="dxa"/>
            <w:gridSpan w:val="2"/>
            <w:tcBorders>
              <w:top w:val="nil"/>
              <w:left w:val="single" w:sz="4" w:space="0" w:color="auto"/>
              <w:bottom w:val="nil"/>
              <w:right w:val="nil"/>
            </w:tcBorders>
            <w:shd w:val="clear" w:color="auto" w:fill="auto"/>
            <w:noWrap/>
            <w:vAlign w:val="center"/>
            <w:hideMark/>
          </w:tcPr>
          <w:p w14:paraId="2637F749" w14:textId="77777777" w:rsidR="00387142" w:rsidRPr="008B6A75" w:rsidRDefault="00387142" w:rsidP="00387142">
            <w:pPr>
              <w:jc w:val="right"/>
              <w:rPr>
                <w:sz w:val="20"/>
                <w:szCs w:val="20"/>
              </w:rPr>
            </w:pPr>
            <w:r w:rsidRPr="008B6A75">
              <w:rPr>
                <w:sz w:val="20"/>
                <w:szCs w:val="20"/>
              </w:rPr>
              <w:t>7 200 000,00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4C1682D0" w14:textId="77777777" w:rsidR="00387142" w:rsidRPr="008B6A75" w:rsidRDefault="00387142" w:rsidP="00387142">
            <w:pPr>
              <w:jc w:val="right"/>
              <w:rPr>
                <w:sz w:val="20"/>
                <w:szCs w:val="20"/>
              </w:rPr>
            </w:pPr>
            <w:r w:rsidRPr="008B6A75">
              <w:rPr>
                <w:sz w:val="20"/>
                <w:szCs w:val="20"/>
              </w:rPr>
              <w:t>2 100 000,00</w:t>
            </w:r>
          </w:p>
        </w:tc>
        <w:tc>
          <w:tcPr>
            <w:tcW w:w="222" w:type="dxa"/>
            <w:vAlign w:val="center"/>
            <w:hideMark/>
          </w:tcPr>
          <w:p w14:paraId="16A5307E" w14:textId="77777777" w:rsidR="00387142" w:rsidRPr="008B6A75" w:rsidRDefault="00387142" w:rsidP="00387142">
            <w:pPr>
              <w:rPr>
                <w:sz w:val="20"/>
                <w:szCs w:val="20"/>
              </w:rPr>
            </w:pPr>
          </w:p>
        </w:tc>
      </w:tr>
      <w:tr w:rsidR="00387142" w:rsidRPr="008B6A75" w14:paraId="7A185D08" w14:textId="77777777" w:rsidTr="00387142">
        <w:trPr>
          <w:trHeight w:val="870"/>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357F0F81" w14:textId="77777777" w:rsidR="00387142" w:rsidRPr="008B6A75" w:rsidRDefault="00387142" w:rsidP="00387142">
            <w:pPr>
              <w:rPr>
                <w:sz w:val="20"/>
                <w:szCs w:val="20"/>
              </w:rPr>
            </w:pPr>
            <w:r w:rsidRPr="008B6A75">
              <w:rPr>
                <w:sz w:val="20"/>
                <w:szCs w:val="20"/>
              </w:rPr>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66829842" w14:textId="77777777" w:rsidR="00387142" w:rsidRPr="008B6A75" w:rsidRDefault="00387142" w:rsidP="00387142">
            <w:pPr>
              <w:jc w:val="center"/>
              <w:rPr>
                <w:sz w:val="20"/>
                <w:szCs w:val="20"/>
              </w:rPr>
            </w:pPr>
            <w:r w:rsidRPr="008B6A75">
              <w:rPr>
                <w:sz w:val="20"/>
                <w:szCs w:val="20"/>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3B18185C" w14:textId="77777777" w:rsidR="00387142" w:rsidRPr="008B6A75" w:rsidRDefault="00387142" w:rsidP="00387142">
            <w:pPr>
              <w:jc w:val="center"/>
              <w:rPr>
                <w:sz w:val="20"/>
                <w:szCs w:val="20"/>
              </w:rPr>
            </w:pPr>
            <w:r w:rsidRPr="008B6A75">
              <w:rPr>
                <w:sz w:val="20"/>
                <w:szCs w:val="20"/>
              </w:rPr>
              <w:t>07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6B48FB" w14:textId="77777777" w:rsidR="00387142" w:rsidRPr="008B6A75" w:rsidRDefault="00387142" w:rsidP="00387142">
            <w:pPr>
              <w:jc w:val="center"/>
              <w:rPr>
                <w:sz w:val="20"/>
                <w:szCs w:val="20"/>
              </w:rPr>
            </w:pPr>
            <w:r w:rsidRPr="008B6A75">
              <w:rPr>
                <w:sz w:val="20"/>
                <w:szCs w:val="20"/>
              </w:rPr>
              <w:t>09</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7CDB8A90" w14:textId="77777777" w:rsidR="00387142" w:rsidRPr="008B6A75" w:rsidRDefault="00387142" w:rsidP="00387142">
            <w:pPr>
              <w:jc w:val="center"/>
              <w:rPr>
                <w:sz w:val="20"/>
                <w:szCs w:val="20"/>
              </w:rPr>
            </w:pPr>
            <w:r w:rsidRPr="008B6A75">
              <w:rPr>
                <w:sz w:val="20"/>
                <w:szCs w:val="20"/>
              </w:rPr>
              <w:t>07.1.00.07890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5FBE29" w14:textId="77777777" w:rsidR="00387142" w:rsidRPr="008B6A75" w:rsidRDefault="00387142" w:rsidP="00387142">
            <w:pPr>
              <w:jc w:val="center"/>
              <w:rPr>
                <w:sz w:val="20"/>
                <w:szCs w:val="20"/>
              </w:rPr>
            </w:pPr>
            <w:r w:rsidRPr="008B6A75">
              <w:rPr>
                <w:sz w:val="20"/>
                <w:szCs w:val="20"/>
              </w:rPr>
              <w:t>240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0EEA83" w14:textId="77777777" w:rsidR="00387142" w:rsidRPr="008B6A75" w:rsidRDefault="00387142" w:rsidP="00387142">
            <w:pPr>
              <w:jc w:val="right"/>
              <w:rPr>
                <w:sz w:val="20"/>
                <w:szCs w:val="20"/>
              </w:rPr>
            </w:pPr>
            <w:r w:rsidRPr="008B6A75">
              <w:rPr>
                <w:sz w:val="20"/>
                <w:szCs w:val="20"/>
              </w:rPr>
              <w:t>12 592 951,11</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30475F3C" w14:textId="77777777" w:rsidR="00387142" w:rsidRPr="008B6A75" w:rsidRDefault="00387142" w:rsidP="00387142">
            <w:pPr>
              <w:jc w:val="right"/>
              <w:rPr>
                <w:sz w:val="20"/>
                <w:szCs w:val="20"/>
              </w:rPr>
            </w:pPr>
            <w:r w:rsidRPr="008B6A75">
              <w:rPr>
                <w:sz w:val="20"/>
                <w:szCs w:val="20"/>
              </w:rPr>
              <w:t>7 200 000,00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1D4AC0" w14:textId="77777777" w:rsidR="00387142" w:rsidRPr="008B6A75" w:rsidRDefault="00387142" w:rsidP="00387142">
            <w:pPr>
              <w:jc w:val="right"/>
              <w:rPr>
                <w:sz w:val="20"/>
                <w:szCs w:val="20"/>
              </w:rPr>
            </w:pPr>
            <w:r w:rsidRPr="008B6A75">
              <w:rPr>
                <w:sz w:val="20"/>
                <w:szCs w:val="20"/>
              </w:rPr>
              <w:t>2 100 000,00</w:t>
            </w:r>
          </w:p>
        </w:tc>
        <w:tc>
          <w:tcPr>
            <w:tcW w:w="222" w:type="dxa"/>
            <w:vAlign w:val="center"/>
            <w:hideMark/>
          </w:tcPr>
          <w:p w14:paraId="27C98C4E" w14:textId="77777777" w:rsidR="00387142" w:rsidRPr="008B6A75" w:rsidRDefault="00387142" w:rsidP="00387142">
            <w:pPr>
              <w:rPr>
                <w:sz w:val="20"/>
                <w:szCs w:val="20"/>
              </w:rPr>
            </w:pPr>
          </w:p>
        </w:tc>
      </w:tr>
      <w:tr w:rsidR="00387142" w:rsidRPr="008B6A75" w14:paraId="142D480B" w14:textId="77777777" w:rsidTr="00387142">
        <w:trPr>
          <w:trHeight w:val="300"/>
        </w:trPr>
        <w:tc>
          <w:tcPr>
            <w:tcW w:w="3021" w:type="dxa"/>
            <w:tcBorders>
              <w:top w:val="nil"/>
              <w:left w:val="single" w:sz="4" w:space="0" w:color="auto"/>
              <w:bottom w:val="nil"/>
              <w:right w:val="nil"/>
            </w:tcBorders>
            <w:shd w:val="clear" w:color="auto" w:fill="auto"/>
            <w:vAlign w:val="center"/>
            <w:hideMark/>
          </w:tcPr>
          <w:p w14:paraId="13B5EDCD" w14:textId="77777777" w:rsidR="00387142" w:rsidRPr="008B6A75" w:rsidRDefault="00387142" w:rsidP="00387142">
            <w:pPr>
              <w:rPr>
                <w:sz w:val="20"/>
                <w:szCs w:val="20"/>
              </w:rPr>
            </w:pPr>
            <w:r w:rsidRPr="008B6A75">
              <w:rPr>
                <w:sz w:val="20"/>
                <w:szCs w:val="20"/>
              </w:rPr>
              <w:t>Иные бюджетные ассигнования</w:t>
            </w:r>
          </w:p>
        </w:tc>
        <w:tc>
          <w:tcPr>
            <w:tcW w:w="850" w:type="dxa"/>
            <w:tcBorders>
              <w:top w:val="nil"/>
              <w:left w:val="single" w:sz="4" w:space="0" w:color="auto"/>
              <w:bottom w:val="nil"/>
              <w:right w:val="nil"/>
            </w:tcBorders>
            <w:shd w:val="clear" w:color="auto" w:fill="auto"/>
            <w:noWrap/>
            <w:vAlign w:val="center"/>
            <w:hideMark/>
          </w:tcPr>
          <w:p w14:paraId="4570888C" w14:textId="77777777" w:rsidR="00387142" w:rsidRPr="008B6A75" w:rsidRDefault="00387142" w:rsidP="00387142">
            <w:pPr>
              <w:jc w:val="center"/>
              <w:rPr>
                <w:sz w:val="20"/>
                <w:szCs w:val="20"/>
              </w:rPr>
            </w:pPr>
            <w:r w:rsidRPr="008B6A75">
              <w:rPr>
                <w:sz w:val="20"/>
                <w:szCs w:val="20"/>
              </w:rPr>
              <w:t>444</w:t>
            </w:r>
          </w:p>
        </w:tc>
        <w:tc>
          <w:tcPr>
            <w:tcW w:w="709" w:type="dxa"/>
            <w:tcBorders>
              <w:top w:val="nil"/>
              <w:left w:val="single" w:sz="4" w:space="0" w:color="auto"/>
              <w:bottom w:val="nil"/>
              <w:right w:val="nil"/>
            </w:tcBorders>
            <w:shd w:val="clear" w:color="auto" w:fill="auto"/>
            <w:noWrap/>
            <w:vAlign w:val="center"/>
            <w:hideMark/>
          </w:tcPr>
          <w:p w14:paraId="093329BF" w14:textId="77777777" w:rsidR="00387142" w:rsidRPr="008B6A75" w:rsidRDefault="00387142" w:rsidP="00387142">
            <w:pPr>
              <w:jc w:val="center"/>
              <w:rPr>
                <w:sz w:val="20"/>
                <w:szCs w:val="20"/>
              </w:rPr>
            </w:pPr>
            <w:r w:rsidRPr="008B6A75">
              <w:rPr>
                <w:sz w:val="20"/>
                <w:szCs w:val="20"/>
              </w:rPr>
              <w:t>07</w:t>
            </w:r>
          </w:p>
        </w:tc>
        <w:tc>
          <w:tcPr>
            <w:tcW w:w="709" w:type="dxa"/>
            <w:tcBorders>
              <w:top w:val="nil"/>
              <w:left w:val="single" w:sz="4" w:space="0" w:color="auto"/>
              <w:bottom w:val="nil"/>
              <w:right w:val="single" w:sz="4" w:space="0" w:color="auto"/>
            </w:tcBorders>
            <w:shd w:val="clear" w:color="auto" w:fill="auto"/>
            <w:noWrap/>
            <w:vAlign w:val="center"/>
            <w:hideMark/>
          </w:tcPr>
          <w:p w14:paraId="0AD5316C" w14:textId="77777777" w:rsidR="00387142" w:rsidRPr="008B6A75" w:rsidRDefault="00387142" w:rsidP="00387142">
            <w:pPr>
              <w:jc w:val="center"/>
              <w:rPr>
                <w:sz w:val="20"/>
                <w:szCs w:val="20"/>
              </w:rPr>
            </w:pPr>
            <w:r w:rsidRPr="008B6A75">
              <w:rPr>
                <w:sz w:val="20"/>
                <w:szCs w:val="20"/>
              </w:rPr>
              <w:t>09</w:t>
            </w:r>
          </w:p>
        </w:tc>
        <w:tc>
          <w:tcPr>
            <w:tcW w:w="1411" w:type="dxa"/>
            <w:tcBorders>
              <w:top w:val="nil"/>
              <w:left w:val="single" w:sz="4" w:space="0" w:color="auto"/>
              <w:bottom w:val="nil"/>
              <w:right w:val="nil"/>
            </w:tcBorders>
            <w:shd w:val="clear" w:color="auto" w:fill="auto"/>
            <w:noWrap/>
            <w:vAlign w:val="center"/>
            <w:hideMark/>
          </w:tcPr>
          <w:p w14:paraId="2FD5B615" w14:textId="77777777" w:rsidR="00387142" w:rsidRPr="008B6A75" w:rsidRDefault="00387142" w:rsidP="00387142">
            <w:pPr>
              <w:jc w:val="center"/>
              <w:rPr>
                <w:sz w:val="20"/>
                <w:szCs w:val="20"/>
              </w:rPr>
            </w:pPr>
            <w:r w:rsidRPr="008B6A75">
              <w:rPr>
                <w:sz w:val="20"/>
                <w:szCs w:val="20"/>
              </w:rPr>
              <w:t>07.1.00.07890</w:t>
            </w:r>
          </w:p>
        </w:tc>
        <w:tc>
          <w:tcPr>
            <w:tcW w:w="955" w:type="dxa"/>
            <w:tcBorders>
              <w:top w:val="nil"/>
              <w:left w:val="single" w:sz="4" w:space="0" w:color="auto"/>
              <w:bottom w:val="nil"/>
              <w:right w:val="single" w:sz="4" w:space="0" w:color="auto"/>
            </w:tcBorders>
            <w:shd w:val="clear" w:color="auto" w:fill="auto"/>
            <w:noWrap/>
            <w:vAlign w:val="center"/>
            <w:hideMark/>
          </w:tcPr>
          <w:p w14:paraId="34B6FFCC" w14:textId="77777777" w:rsidR="00387142" w:rsidRPr="008B6A75" w:rsidRDefault="00387142" w:rsidP="00387142">
            <w:pPr>
              <w:jc w:val="center"/>
              <w:rPr>
                <w:sz w:val="20"/>
                <w:szCs w:val="20"/>
              </w:rPr>
            </w:pPr>
            <w:r w:rsidRPr="008B6A75">
              <w:rPr>
                <w:sz w:val="20"/>
                <w:szCs w:val="20"/>
              </w:rPr>
              <w:t>800</w:t>
            </w:r>
          </w:p>
        </w:tc>
        <w:tc>
          <w:tcPr>
            <w:tcW w:w="992" w:type="dxa"/>
            <w:tcBorders>
              <w:top w:val="nil"/>
              <w:left w:val="single" w:sz="4" w:space="0" w:color="auto"/>
              <w:bottom w:val="nil"/>
              <w:right w:val="single" w:sz="4" w:space="0" w:color="auto"/>
            </w:tcBorders>
            <w:shd w:val="clear" w:color="auto" w:fill="auto"/>
            <w:noWrap/>
            <w:vAlign w:val="center"/>
            <w:hideMark/>
          </w:tcPr>
          <w:p w14:paraId="6B80097A" w14:textId="77777777" w:rsidR="00387142" w:rsidRPr="008B6A75" w:rsidRDefault="00387142" w:rsidP="00387142">
            <w:pPr>
              <w:jc w:val="right"/>
              <w:rPr>
                <w:sz w:val="20"/>
                <w:szCs w:val="20"/>
              </w:rPr>
            </w:pPr>
            <w:r w:rsidRPr="008B6A75">
              <w:rPr>
                <w:sz w:val="20"/>
                <w:szCs w:val="20"/>
              </w:rPr>
              <w:t>197 013,08</w:t>
            </w:r>
          </w:p>
        </w:tc>
        <w:tc>
          <w:tcPr>
            <w:tcW w:w="992" w:type="dxa"/>
            <w:gridSpan w:val="2"/>
            <w:tcBorders>
              <w:top w:val="nil"/>
              <w:left w:val="single" w:sz="4" w:space="0" w:color="auto"/>
              <w:bottom w:val="nil"/>
              <w:right w:val="nil"/>
            </w:tcBorders>
            <w:shd w:val="clear" w:color="auto" w:fill="auto"/>
            <w:noWrap/>
            <w:vAlign w:val="center"/>
            <w:hideMark/>
          </w:tcPr>
          <w:p w14:paraId="29F87B64" w14:textId="77777777" w:rsidR="00387142" w:rsidRPr="008B6A75" w:rsidRDefault="00387142" w:rsidP="00387142">
            <w:pPr>
              <w:jc w:val="right"/>
              <w:rPr>
                <w:sz w:val="20"/>
                <w:szCs w:val="20"/>
              </w:rPr>
            </w:pPr>
            <w:r w:rsidRPr="008B6A75">
              <w:rPr>
                <w:sz w:val="20"/>
                <w:szCs w:val="20"/>
              </w:rPr>
              <w:t>0,00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3CA27EB9" w14:textId="77777777" w:rsidR="00387142" w:rsidRPr="008B6A75" w:rsidRDefault="00387142" w:rsidP="00387142">
            <w:pPr>
              <w:jc w:val="right"/>
              <w:rPr>
                <w:sz w:val="20"/>
                <w:szCs w:val="20"/>
              </w:rPr>
            </w:pPr>
            <w:r w:rsidRPr="008B6A75">
              <w:rPr>
                <w:sz w:val="20"/>
                <w:szCs w:val="20"/>
              </w:rPr>
              <w:t>0,00</w:t>
            </w:r>
          </w:p>
        </w:tc>
        <w:tc>
          <w:tcPr>
            <w:tcW w:w="222" w:type="dxa"/>
            <w:vAlign w:val="center"/>
            <w:hideMark/>
          </w:tcPr>
          <w:p w14:paraId="40E45F6A" w14:textId="77777777" w:rsidR="00387142" w:rsidRPr="008B6A75" w:rsidRDefault="00387142" w:rsidP="00387142">
            <w:pPr>
              <w:rPr>
                <w:sz w:val="20"/>
                <w:szCs w:val="20"/>
              </w:rPr>
            </w:pPr>
          </w:p>
        </w:tc>
      </w:tr>
      <w:tr w:rsidR="00387142" w:rsidRPr="008B6A75" w14:paraId="41909B9B" w14:textId="77777777" w:rsidTr="00387142">
        <w:trPr>
          <w:trHeight w:val="300"/>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28317C01" w14:textId="77777777" w:rsidR="00387142" w:rsidRPr="008B6A75" w:rsidRDefault="00387142" w:rsidP="00387142">
            <w:pPr>
              <w:rPr>
                <w:sz w:val="20"/>
                <w:szCs w:val="20"/>
              </w:rPr>
            </w:pPr>
            <w:r w:rsidRPr="008B6A75">
              <w:rPr>
                <w:sz w:val="20"/>
                <w:szCs w:val="20"/>
              </w:rPr>
              <w:t>Уплата налогов, сборов и иных платежей</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0D6EFA13" w14:textId="77777777" w:rsidR="00387142" w:rsidRPr="008B6A75" w:rsidRDefault="00387142" w:rsidP="00387142">
            <w:pPr>
              <w:jc w:val="center"/>
              <w:rPr>
                <w:sz w:val="20"/>
                <w:szCs w:val="20"/>
              </w:rPr>
            </w:pPr>
            <w:r w:rsidRPr="008B6A75">
              <w:rPr>
                <w:sz w:val="20"/>
                <w:szCs w:val="20"/>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757C57DB" w14:textId="77777777" w:rsidR="00387142" w:rsidRPr="008B6A75" w:rsidRDefault="00387142" w:rsidP="00387142">
            <w:pPr>
              <w:jc w:val="center"/>
              <w:rPr>
                <w:sz w:val="20"/>
                <w:szCs w:val="20"/>
              </w:rPr>
            </w:pPr>
            <w:r w:rsidRPr="008B6A75">
              <w:rPr>
                <w:sz w:val="20"/>
                <w:szCs w:val="20"/>
              </w:rPr>
              <w:t>07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436C29" w14:textId="77777777" w:rsidR="00387142" w:rsidRPr="008B6A75" w:rsidRDefault="00387142" w:rsidP="00387142">
            <w:pPr>
              <w:jc w:val="center"/>
              <w:rPr>
                <w:sz w:val="20"/>
                <w:szCs w:val="20"/>
              </w:rPr>
            </w:pPr>
            <w:r w:rsidRPr="008B6A75">
              <w:rPr>
                <w:sz w:val="20"/>
                <w:szCs w:val="20"/>
              </w:rPr>
              <w:t>09</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3B99479F" w14:textId="77777777" w:rsidR="00387142" w:rsidRPr="008B6A75" w:rsidRDefault="00387142" w:rsidP="00387142">
            <w:pPr>
              <w:jc w:val="center"/>
              <w:rPr>
                <w:sz w:val="20"/>
                <w:szCs w:val="20"/>
              </w:rPr>
            </w:pPr>
            <w:r w:rsidRPr="008B6A75">
              <w:rPr>
                <w:sz w:val="20"/>
                <w:szCs w:val="20"/>
              </w:rPr>
              <w:t>07.1.00.07890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5D79BB" w14:textId="77777777" w:rsidR="00387142" w:rsidRPr="008B6A75" w:rsidRDefault="00387142" w:rsidP="00387142">
            <w:pPr>
              <w:jc w:val="center"/>
              <w:rPr>
                <w:sz w:val="20"/>
                <w:szCs w:val="20"/>
              </w:rPr>
            </w:pPr>
            <w:r w:rsidRPr="008B6A75">
              <w:rPr>
                <w:sz w:val="20"/>
                <w:szCs w:val="20"/>
              </w:rPr>
              <w:t>850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139BAD" w14:textId="77777777" w:rsidR="00387142" w:rsidRPr="008B6A75" w:rsidRDefault="00387142" w:rsidP="00387142">
            <w:pPr>
              <w:jc w:val="right"/>
              <w:rPr>
                <w:sz w:val="20"/>
                <w:szCs w:val="20"/>
              </w:rPr>
            </w:pPr>
            <w:r w:rsidRPr="008B6A75">
              <w:rPr>
                <w:sz w:val="20"/>
                <w:szCs w:val="20"/>
              </w:rPr>
              <w:t>197 013,08</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26482427" w14:textId="77777777" w:rsidR="00387142" w:rsidRPr="008B6A75" w:rsidRDefault="00387142" w:rsidP="00387142">
            <w:pPr>
              <w:jc w:val="right"/>
              <w:rPr>
                <w:sz w:val="20"/>
                <w:szCs w:val="20"/>
              </w:rPr>
            </w:pPr>
            <w:r w:rsidRPr="008B6A75">
              <w:rPr>
                <w:sz w:val="20"/>
                <w:szCs w:val="20"/>
              </w:rPr>
              <w:t>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9FB0A7" w14:textId="77777777" w:rsidR="00387142" w:rsidRPr="008B6A75" w:rsidRDefault="00387142" w:rsidP="00387142">
            <w:pPr>
              <w:jc w:val="right"/>
              <w:rPr>
                <w:sz w:val="20"/>
                <w:szCs w:val="20"/>
              </w:rPr>
            </w:pPr>
            <w:r w:rsidRPr="008B6A75">
              <w:rPr>
                <w:sz w:val="20"/>
                <w:szCs w:val="20"/>
              </w:rPr>
              <w:t>0,00</w:t>
            </w:r>
          </w:p>
        </w:tc>
        <w:tc>
          <w:tcPr>
            <w:tcW w:w="222" w:type="dxa"/>
            <w:vAlign w:val="center"/>
            <w:hideMark/>
          </w:tcPr>
          <w:p w14:paraId="6148D141" w14:textId="77777777" w:rsidR="00387142" w:rsidRPr="008B6A75" w:rsidRDefault="00387142" w:rsidP="00387142">
            <w:pPr>
              <w:rPr>
                <w:sz w:val="20"/>
                <w:szCs w:val="20"/>
              </w:rPr>
            </w:pPr>
          </w:p>
        </w:tc>
      </w:tr>
      <w:tr w:rsidR="00387142" w:rsidRPr="008B6A75" w14:paraId="5B69FE0F" w14:textId="77777777" w:rsidTr="00387142">
        <w:trPr>
          <w:trHeight w:val="1440"/>
        </w:trPr>
        <w:tc>
          <w:tcPr>
            <w:tcW w:w="3021" w:type="dxa"/>
            <w:tcBorders>
              <w:top w:val="nil"/>
              <w:left w:val="single" w:sz="4" w:space="0" w:color="auto"/>
              <w:bottom w:val="nil"/>
              <w:right w:val="nil"/>
            </w:tcBorders>
            <w:shd w:val="clear" w:color="auto" w:fill="auto"/>
            <w:vAlign w:val="center"/>
            <w:hideMark/>
          </w:tcPr>
          <w:p w14:paraId="63AE5FD9" w14:textId="77777777" w:rsidR="00387142" w:rsidRPr="008B6A75" w:rsidRDefault="00387142" w:rsidP="00387142">
            <w:pPr>
              <w:rPr>
                <w:bCs/>
                <w:sz w:val="20"/>
                <w:szCs w:val="20"/>
              </w:rPr>
            </w:pPr>
            <w:r w:rsidRPr="008B6A75">
              <w:rPr>
                <w:bCs/>
                <w:sz w:val="20"/>
                <w:szCs w:val="20"/>
              </w:rPr>
              <w:t xml:space="preserve">Реализация мероприятий по обеспечению сбалансированности местных </w:t>
            </w:r>
            <w:proofErr w:type="gramStart"/>
            <w:r w:rsidRPr="008B6A75">
              <w:rPr>
                <w:bCs/>
                <w:sz w:val="20"/>
                <w:szCs w:val="20"/>
              </w:rPr>
              <w:t>бюджетов  государственной</w:t>
            </w:r>
            <w:proofErr w:type="gramEnd"/>
            <w:r w:rsidRPr="008B6A75">
              <w:rPr>
                <w:bCs/>
                <w:sz w:val="20"/>
                <w:szCs w:val="20"/>
              </w:rPr>
              <w:t xml:space="preserve"> программы Новосибирской области "Управление  финансами в Новосибирской области"</w:t>
            </w:r>
          </w:p>
        </w:tc>
        <w:tc>
          <w:tcPr>
            <w:tcW w:w="850" w:type="dxa"/>
            <w:tcBorders>
              <w:top w:val="nil"/>
              <w:left w:val="single" w:sz="4" w:space="0" w:color="auto"/>
              <w:bottom w:val="nil"/>
              <w:right w:val="nil"/>
            </w:tcBorders>
            <w:shd w:val="clear" w:color="auto" w:fill="auto"/>
            <w:noWrap/>
            <w:vAlign w:val="center"/>
            <w:hideMark/>
          </w:tcPr>
          <w:p w14:paraId="33A0002B" w14:textId="77777777" w:rsidR="00387142" w:rsidRPr="008B6A75" w:rsidRDefault="00387142" w:rsidP="00387142">
            <w:pPr>
              <w:jc w:val="center"/>
              <w:rPr>
                <w:bCs/>
                <w:sz w:val="20"/>
                <w:szCs w:val="20"/>
              </w:rPr>
            </w:pPr>
            <w:r w:rsidRPr="008B6A75">
              <w:rPr>
                <w:bCs/>
                <w:sz w:val="20"/>
                <w:szCs w:val="20"/>
              </w:rPr>
              <w:t>444</w:t>
            </w:r>
          </w:p>
        </w:tc>
        <w:tc>
          <w:tcPr>
            <w:tcW w:w="709" w:type="dxa"/>
            <w:tcBorders>
              <w:top w:val="nil"/>
              <w:left w:val="single" w:sz="4" w:space="0" w:color="auto"/>
              <w:bottom w:val="nil"/>
              <w:right w:val="nil"/>
            </w:tcBorders>
            <w:shd w:val="clear" w:color="auto" w:fill="auto"/>
            <w:noWrap/>
            <w:vAlign w:val="center"/>
            <w:hideMark/>
          </w:tcPr>
          <w:p w14:paraId="1C334086" w14:textId="77777777" w:rsidR="00387142" w:rsidRPr="008B6A75" w:rsidRDefault="00387142" w:rsidP="00387142">
            <w:pPr>
              <w:jc w:val="center"/>
              <w:rPr>
                <w:bCs/>
                <w:sz w:val="20"/>
                <w:szCs w:val="20"/>
              </w:rPr>
            </w:pPr>
            <w:r w:rsidRPr="008B6A75">
              <w:rPr>
                <w:bCs/>
                <w:sz w:val="20"/>
                <w:szCs w:val="20"/>
              </w:rPr>
              <w:t>07</w:t>
            </w:r>
          </w:p>
        </w:tc>
        <w:tc>
          <w:tcPr>
            <w:tcW w:w="709" w:type="dxa"/>
            <w:tcBorders>
              <w:top w:val="nil"/>
              <w:left w:val="single" w:sz="4" w:space="0" w:color="auto"/>
              <w:bottom w:val="nil"/>
              <w:right w:val="single" w:sz="4" w:space="0" w:color="auto"/>
            </w:tcBorders>
            <w:shd w:val="clear" w:color="auto" w:fill="auto"/>
            <w:noWrap/>
            <w:vAlign w:val="center"/>
            <w:hideMark/>
          </w:tcPr>
          <w:p w14:paraId="753F126B" w14:textId="77777777" w:rsidR="00387142" w:rsidRPr="008B6A75" w:rsidRDefault="00387142" w:rsidP="00387142">
            <w:pPr>
              <w:jc w:val="center"/>
              <w:rPr>
                <w:bCs/>
                <w:sz w:val="20"/>
                <w:szCs w:val="20"/>
              </w:rPr>
            </w:pPr>
            <w:r w:rsidRPr="008B6A75">
              <w:rPr>
                <w:bCs/>
                <w:sz w:val="20"/>
                <w:szCs w:val="20"/>
              </w:rPr>
              <w:t>09</w:t>
            </w:r>
          </w:p>
        </w:tc>
        <w:tc>
          <w:tcPr>
            <w:tcW w:w="1411" w:type="dxa"/>
            <w:tcBorders>
              <w:top w:val="nil"/>
              <w:left w:val="single" w:sz="4" w:space="0" w:color="auto"/>
              <w:bottom w:val="nil"/>
              <w:right w:val="nil"/>
            </w:tcBorders>
            <w:shd w:val="clear" w:color="auto" w:fill="auto"/>
            <w:noWrap/>
            <w:vAlign w:val="center"/>
            <w:hideMark/>
          </w:tcPr>
          <w:p w14:paraId="0FB2867D" w14:textId="77777777" w:rsidR="00387142" w:rsidRPr="008B6A75" w:rsidRDefault="00387142" w:rsidP="00387142">
            <w:pPr>
              <w:jc w:val="center"/>
              <w:rPr>
                <w:bCs/>
                <w:sz w:val="20"/>
                <w:szCs w:val="20"/>
              </w:rPr>
            </w:pPr>
            <w:r w:rsidRPr="008B6A75">
              <w:rPr>
                <w:bCs/>
                <w:sz w:val="20"/>
                <w:szCs w:val="20"/>
              </w:rPr>
              <w:t>07.1.00.70510</w:t>
            </w:r>
          </w:p>
        </w:tc>
        <w:tc>
          <w:tcPr>
            <w:tcW w:w="955" w:type="dxa"/>
            <w:tcBorders>
              <w:top w:val="nil"/>
              <w:left w:val="single" w:sz="4" w:space="0" w:color="auto"/>
              <w:bottom w:val="nil"/>
              <w:right w:val="single" w:sz="4" w:space="0" w:color="auto"/>
            </w:tcBorders>
            <w:shd w:val="clear" w:color="auto" w:fill="auto"/>
            <w:noWrap/>
            <w:vAlign w:val="center"/>
            <w:hideMark/>
          </w:tcPr>
          <w:p w14:paraId="4EDE2760"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nil"/>
              <w:right w:val="single" w:sz="4" w:space="0" w:color="auto"/>
            </w:tcBorders>
            <w:shd w:val="clear" w:color="auto" w:fill="auto"/>
            <w:noWrap/>
            <w:vAlign w:val="center"/>
            <w:hideMark/>
          </w:tcPr>
          <w:p w14:paraId="3B997008" w14:textId="77777777" w:rsidR="00387142" w:rsidRPr="008B6A75" w:rsidRDefault="00387142" w:rsidP="00387142">
            <w:pPr>
              <w:jc w:val="right"/>
              <w:rPr>
                <w:bCs/>
                <w:sz w:val="20"/>
                <w:szCs w:val="20"/>
              </w:rPr>
            </w:pPr>
            <w:r w:rsidRPr="008B6A75">
              <w:rPr>
                <w:bCs/>
                <w:sz w:val="20"/>
                <w:szCs w:val="20"/>
              </w:rPr>
              <w:t>9 377 597,44</w:t>
            </w:r>
          </w:p>
        </w:tc>
        <w:tc>
          <w:tcPr>
            <w:tcW w:w="992" w:type="dxa"/>
            <w:gridSpan w:val="2"/>
            <w:tcBorders>
              <w:top w:val="nil"/>
              <w:left w:val="single" w:sz="4" w:space="0" w:color="auto"/>
              <w:bottom w:val="nil"/>
              <w:right w:val="nil"/>
            </w:tcBorders>
            <w:shd w:val="clear" w:color="auto" w:fill="auto"/>
            <w:noWrap/>
            <w:vAlign w:val="center"/>
            <w:hideMark/>
          </w:tcPr>
          <w:p w14:paraId="086BBACD" w14:textId="77777777" w:rsidR="00387142" w:rsidRPr="008B6A75" w:rsidRDefault="00387142" w:rsidP="00387142">
            <w:pPr>
              <w:jc w:val="right"/>
              <w:rPr>
                <w:bCs/>
                <w:sz w:val="20"/>
                <w:szCs w:val="20"/>
              </w:rPr>
            </w:pPr>
            <w:r w:rsidRPr="008B6A75">
              <w:rPr>
                <w:bCs/>
                <w:sz w:val="20"/>
                <w:szCs w:val="20"/>
              </w:rPr>
              <w:t>0,00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27EA006C" w14:textId="77777777" w:rsidR="00387142" w:rsidRPr="008B6A75" w:rsidRDefault="00387142" w:rsidP="00387142">
            <w:pPr>
              <w:jc w:val="right"/>
              <w:rPr>
                <w:bCs/>
                <w:sz w:val="20"/>
                <w:szCs w:val="20"/>
              </w:rPr>
            </w:pPr>
            <w:r w:rsidRPr="008B6A75">
              <w:rPr>
                <w:bCs/>
                <w:sz w:val="20"/>
                <w:szCs w:val="20"/>
              </w:rPr>
              <w:t>0,00</w:t>
            </w:r>
          </w:p>
        </w:tc>
        <w:tc>
          <w:tcPr>
            <w:tcW w:w="222" w:type="dxa"/>
            <w:vAlign w:val="center"/>
            <w:hideMark/>
          </w:tcPr>
          <w:p w14:paraId="571F00AE" w14:textId="77777777" w:rsidR="00387142" w:rsidRPr="008B6A75" w:rsidRDefault="00387142" w:rsidP="00387142">
            <w:pPr>
              <w:rPr>
                <w:sz w:val="20"/>
                <w:szCs w:val="20"/>
              </w:rPr>
            </w:pPr>
          </w:p>
        </w:tc>
      </w:tr>
      <w:tr w:rsidR="00387142" w:rsidRPr="008B6A75" w14:paraId="4D131840" w14:textId="77777777" w:rsidTr="00387142">
        <w:trPr>
          <w:trHeight w:val="1440"/>
        </w:trPr>
        <w:tc>
          <w:tcPr>
            <w:tcW w:w="3021" w:type="dxa"/>
            <w:tcBorders>
              <w:top w:val="single" w:sz="4" w:space="0" w:color="auto"/>
              <w:left w:val="single" w:sz="4" w:space="0" w:color="auto"/>
              <w:bottom w:val="nil"/>
              <w:right w:val="nil"/>
            </w:tcBorders>
            <w:shd w:val="clear" w:color="auto" w:fill="auto"/>
            <w:vAlign w:val="center"/>
            <w:hideMark/>
          </w:tcPr>
          <w:p w14:paraId="0C44600A" w14:textId="77777777" w:rsidR="00387142" w:rsidRPr="008B6A75" w:rsidRDefault="00387142" w:rsidP="00387142">
            <w:pPr>
              <w:rPr>
                <w:sz w:val="20"/>
                <w:szCs w:val="20"/>
              </w:rPr>
            </w:pPr>
            <w:r w:rsidRPr="008B6A75">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nil"/>
              <w:right w:val="nil"/>
            </w:tcBorders>
            <w:shd w:val="clear" w:color="auto" w:fill="auto"/>
            <w:noWrap/>
            <w:vAlign w:val="center"/>
            <w:hideMark/>
          </w:tcPr>
          <w:p w14:paraId="36252A43" w14:textId="77777777" w:rsidR="00387142" w:rsidRPr="008B6A75" w:rsidRDefault="00387142" w:rsidP="00387142">
            <w:pPr>
              <w:jc w:val="center"/>
              <w:rPr>
                <w:sz w:val="20"/>
                <w:szCs w:val="20"/>
              </w:rPr>
            </w:pPr>
            <w:r w:rsidRPr="008B6A75">
              <w:rPr>
                <w:sz w:val="20"/>
                <w:szCs w:val="20"/>
              </w:rPr>
              <w:t>444</w:t>
            </w:r>
          </w:p>
        </w:tc>
        <w:tc>
          <w:tcPr>
            <w:tcW w:w="709" w:type="dxa"/>
            <w:tcBorders>
              <w:top w:val="single" w:sz="4" w:space="0" w:color="auto"/>
              <w:left w:val="single" w:sz="4" w:space="0" w:color="auto"/>
              <w:bottom w:val="nil"/>
              <w:right w:val="nil"/>
            </w:tcBorders>
            <w:shd w:val="clear" w:color="auto" w:fill="auto"/>
            <w:noWrap/>
            <w:vAlign w:val="center"/>
            <w:hideMark/>
          </w:tcPr>
          <w:p w14:paraId="4AD322E2" w14:textId="77777777" w:rsidR="00387142" w:rsidRPr="008B6A75" w:rsidRDefault="00387142" w:rsidP="00387142">
            <w:pPr>
              <w:jc w:val="center"/>
              <w:rPr>
                <w:sz w:val="20"/>
                <w:szCs w:val="20"/>
              </w:rPr>
            </w:pPr>
            <w:r w:rsidRPr="008B6A75">
              <w:rPr>
                <w:sz w:val="20"/>
                <w:szCs w:val="20"/>
              </w:rPr>
              <w:t>07</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20EE0A13" w14:textId="77777777" w:rsidR="00387142" w:rsidRPr="008B6A75" w:rsidRDefault="00387142" w:rsidP="00387142">
            <w:pPr>
              <w:jc w:val="center"/>
              <w:rPr>
                <w:sz w:val="20"/>
                <w:szCs w:val="20"/>
              </w:rPr>
            </w:pPr>
            <w:r w:rsidRPr="008B6A75">
              <w:rPr>
                <w:sz w:val="20"/>
                <w:szCs w:val="20"/>
              </w:rPr>
              <w:t>09</w:t>
            </w:r>
          </w:p>
        </w:tc>
        <w:tc>
          <w:tcPr>
            <w:tcW w:w="1411" w:type="dxa"/>
            <w:tcBorders>
              <w:top w:val="single" w:sz="4" w:space="0" w:color="auto"/>
              <w:left w:val="single" w:sz="4" w:space="0" w:color="auto"/>
              <w:bottom w:val="nil"/>
              <w:right w:val="nil"/>
            </w:tcBorders>
            <w:shd w:val="clear" w:color="auto" w:fill="auto"/>
            <w:noWrap/>
            <w:vAlign w:val="center"/>
            <w:hideMark/>
          </w:tcPr>
          <w:p w14:paraId="670549CD" w14:textId="77777777" w:rsidR="00387142" w:rsidRPr="008B6A75" w:rsidRDefault="00387142" w:rsidP="00387142">
            <w:pPr>
              <w:jc w:val="center"/>
              <w:rPr>
                <w:sz w:val="20"/>
                <w:szCs w:val="20"/>
              </w:rPr>
            </w:pPr>
            <w:r w:rsidRPr="008B6A75">
              <w:rPr>
                <w:sz w:val="20"/>
                <w:szCs w:val="20"/>
              </w:rPr>
              <w:t>07.1.00.70510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50ED2193" w14:textId="77777777" w:rsidR="00387142" w:rsidRPr="008B6A75" w:rsidRDefault="00387142" w:rsidP="00387142">
            <w:pPr>
              <w:jc w:val="center"/>
              <w:rPr>
                <w:sz w:val="20"/>
                <w:szCs w:val="20"/>
              </w:rPr>
            </w:pPr>
            <w:r w:rsidRPr="008B6A75">
              <w:rPr>
                <w:sz w:val="20"/>
                <w:szCs w:val="20"/>
              </w:rPr>
              <w:t>100</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342DF805" w14:textId="77777777" w:rsidR="00387142" w:rsidRPr="008B6A75" w:rsidRDefault="00387142" w:rsidP="00387142">
            <w:pPr>
              <w:jc w:val="right"/>
              <w:rPr>
                <w:sz w:val="20"/>
                <w:szCs w:val="20"/>
              </w:rPr>
            </w:pPr>
            <w:r w:rsidRPr="008B6A75">
              <w:rPr>
                <w:sz w:val="20"/>
                <w:szCs w:val="20"/>
              </w:rPr>
              <w:t>9 377 597,44</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629095B5" w14:textId="77777777" w:rsidR="00387142" w:rsidRPr="008B6A75" w:rsidRDefault="00387142" w:rsidP="00387142">
            <w:pPr>
              <w:jc w:val="right"/>
              <w:rPr>
                <w:sz w:val="20"/>
                <w:szCs w:val="20"/>
              </w:rPr>
            </w:pPr>
            <w:r w:rsidRPr="008B6A75">
              <w:rPr>
                <w:sz w:val="20"/>
                <w:szCs w:val="20"/>
              </w:rPr>
              <w:t>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5FCC1BF1" w14:textId="77777777" w:rsidR="00387142" w:rsidRPr="008B6A75" w:rsidRDefault="00387142" w:rsidP="00387142">
            <w:pPr>
              <w:jc w:val="right"/>
              <w:rPr>
                <w:sz w:val="20"/>
                <w:szCs w:val="20"/>
              </w:rPr>
            </w:pPr>
            <w:r w:rsidRPr="008B6A75">
              <w:rPr>
                <w:sz w:val="20"/>
                <w:szCs w:val="20"/>
              </w:rPr>
              <w:t>0,00</w:t>
            </w:r>
          </w:p>
        </w:tc>
        <w:tc>
          <w:tcPr>
            <w:tcW w:w="222" w:type="dxa"/>
            <w:vAlign w:val="center"/>
            <w:hideMark/>
          </w:tcPr>
          <w:p w14:paraId="3458C890" w14:textId="77777777" w:rsidR="00387142" w:rsidRPr="008B6A75" w:rsidRDefault="00387142" w:rsidP="00387142">
            <w:pPr>
              <w:rPr>
                <w:sz w:val="20"/>
                <w:szCs w:val="20"/>
              </w:rPr>
            </w:pPr>
          </w:p>
        </w:tc>
      </w:tr>
      <w:tr w:rsidR="00387142" w:rsidRPr="008B6A75" w14:paraId="569C8993" w14:textId="77777777" w:rsidTr="00387142">
        <w:trPr>
          <w:trHeight w:val="585"/>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70962437" w14:textId="77777777" w:rsidR="00387142" w:rsidRPr="008B6A75" w:rsidRDefault="00387142" w:rsidP="00387142">
            <w:pPr>
              <w:rPr>
                <w:sz w:val="20"/>
                <w:szCs w:val="20"/>
              </w:rPr>
            </w:pPr>
            <w:r w:rsidRPr="008B6A75">
              <w:rPr>
                <w:sz w:val="20"/>
                <w:szCs w:val="20"/>
              </w:rPr>
              <w:t>Расходы на выплаты персоналу казенных учреждений</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4AF8516F" w14:textId="77777777" w:rsidR="00387142" w:rsidRPr="008B6A75" w:rsidRDefault="00387142" w:rsidP="00387142">
            <w:pPr>
              <w:jc w:val="center"/>
              <w:rPr>
                <w:sz w:val="20"/>
                <w:szCs w:val="20"/>
              </w:rPr>
            </w:pPr>
            <w:r w:rsidRPr="008B6A75">
              <w:rPr>
                <w:sz w:val="20"/>
                <w:szCs w:val="20"/>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3358E81E" w14:textId="77777777" w:rsidR="00387142" w:rsidRPr="008B6A75" w:rsidRDefault="00387142" w:rsidP="00387142">
            <w:pPr>
              <w:jc w:val="center"/>
              <w:rPr>
                <w:sz w:val="20"/>
                <w:szCs w:val="20"/>
              </w:rPr>
            </w:pPr>
            <w:r w:rsidRPr="008B6A75">
              <w:rPr>
                <w:sz w:val="20"/>
                <w:szCs w:val="20"/>
              </w:rPr>
              <w:t>07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CD83BD" w14:textId="77777777" w:rsidR="00387142" w:rsidRPr="008B6A75" w:rsidRDefault="00387142" w:rsidP="00387142">
            <w:pPr>
              <w:jc w:val="center"/>
              <w:rPr>
                <w:sz w:val="20"/>
                <w:szCs w:val="20"/>
              </w:rPr>
            </w:pPr>
            <w:r w:rsidRPr="008B6A75">
              <w:rPr>
                <w:sz w:val="20"/>
                <w:szCs w:val="20"/>
              </w:rPr>
              <w:t>09</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0B43D662" w14:textId="77777777" w:rsidR="00387142" w:rsidRPr="008B6A75" w:rsidRDefault="00387142" w:rsidP="00387142">
            <w:pPr>
              <w:jc w:val="center"/>
              <w:rPr>
                <w:sz w:val="20"/>
                <w:szCs w:val="20"/>
              </w:rPr>
            </w:pPr>
            <w:r w:rsidRPr="008B6A75">
              <w:rPr>
                <w:sz w:val="20"/>
                <w:szCs w:val="20"/>
              </w:rPr>
              <w:t>07.1.00.70510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8436A8" w14:textId="77777777" w:rsidR="00387142" w:rsidRPr="008B6A75" w:rsidRDefault="00387142" w:rsidP="00387142">
            <w:pPr>
              <w:jc w:val="center"/>
              <w:rPr>
                <w:sz w:val="20"/>
                <w:szCs w:val="20"/>
              </w:rPr>
            </w:pPr>
            <w:r w:rsidRPr="008B6A75">
              <w:rPr>
                <w:sz w:val="20"/>
                <w:szCs w:val="20"/>
              </w:rPr>
              <w:t>110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31A8B2" w14:textId="77777777" w:rsidR="00387142" w:rsidRPr="008B6A75" w:rsidRDefault="00387142" w:rsidP="00387142">
            <w:pPr>
              <w:jc w:val="right"/>
              <w:rPr>
                <w:sz w:val="20"/>
                <w:szCs w:val="20"/>
              </w:rPr>
            </w:pPr>
            <w:r w:rsidRPr="008B6A75">
              <w:rPr>
                <w:sz w:val="20"/>
                <w:szCs w:val="20"/>
              </w:rPr>
              <w:t>9 377 597,44</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4F216A16" w14:textId="77777777" w:rsidR="00387142" w:rsidRPr="008B6A75" w:rsidRDefault="00387142" w:rsidP="00387142">
            <w:pPr>
              <w:jc w:val="right"/>
              <w:rPr>
                <w:sz w:val="20"/>
                <w:szCs w:val="20"/>
              </w:rPr>
            </w:pPr>
            <w:r w:rsidRPr="008B6A75">
              <w:rPr>
                <w:sz w:val="20"/>
                <w:szCs w:val="20"/>
              </w:rPr>
              <w:t>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EFBB63" w14:textId="77777777" w:rsidR="00387142" w:rsidRPr="008B6A75" w:rsidRDefault="00387142" w:rsidP="00387142">
            <w:pPr>
              <w:jc w:val="right"/>
              <w:rPr>
                <w:sz w:val="20"/>
                <w:szCs w:val="20"/>
              </w:rPr>
            </w:pPr>
            <w:r w:rsidRPr="008B6A75">
              <w:rPr>
                <w:sz w:val="20"/>
                <w:szCs w:val="20"/>
              </w:rPr>
              <w:t>0,00</w:t>
            </w:r>
          </w:p>
        </w:tc>
        <w:tc>
          <w:tcPr>
            <w:tcW w:w="222" w:type="dxa"/>
            <w:vAlign w:val="center"/>
            <w:hideMark/>
          </w:tcPr>
          <w:p w14:paraId="3AF4A64C" w14:textId="77777777" w:rsidR="00387142" w:rsidRPr="008B6A75" w:rsidRDefault="00387142" w:rsidP="00387142">
            <w:pPr>
              <w:rPr>
                <w:sz w:val="20"/>
                <w:szCs w:val="20"/>
              </w:rPr>
            </w:pPr>
          </w:p>
        </w:tc>
      </w:tr>
      <w:tr w:rsidR="00387142" w:rsidRPr="008B6A75" w14:paraId="61C0A755" w14:textId="77777777" w:rsidTr="00387142">
        <w:trPr>
          <w:trHeight w:val="2580"/>
        </w:trPr>
        <w:tc>
          <w:tcPr>
            <w:tcW w:w="3021" w:type="dxa"/>
            <w:tcBorders>
              <w:top w:val="nil"/>
              <w:left w:val="single" w:sz="4" w:space="0" w:color="auto"/>
              <w:bottom w:val="nil"/>
              <w:right w:val="nil"/>
            </w:tcBorders>
            <w:shd w:val="clear" w:color="auto" w:fill="auto"/>
            <w:vAlign w:val="center"/>
            <w:hideMark/>
          </w:tcPr>
          <w:p w14:paraId="4E56AFAF" w14:textId="77777777" w:rsidR="00387142" w:rsidRPr="008B6A75" w:rsidRDefault="00387142" w:rsidP="00387142">
            <w:pPr>
              <w:rPr>
                <w:bCs/>
                <w:sz w:val="20"/>
                <w:szCs w:val="20"/>
              </w:rPr>
            </w:pPr>
            <w:proofErr w:type="spellStart"/>
            <w:r w:rsidRPr="008B6A75">
              <w:rPr>
                <w:bCs/>
                <w:sz w:val="20"/>
                <w:szCs w:val="20"/>
              </w:rPr>
              <w:t>Софинансирование</w:t>
            </w:r>
            <w:proofErr w:type="spellEnd"/>
            <w:r w:rsidRPr="008B6A75">
              <w:rPr>
                <w:bCs/>
                <w:sz w:val="20"/>
                <w:szCs w:val="20"/>
              </w:rPr>
              <w:t xml:space="preserve"> местного бюджета на реализацию мероприятий по установке и модернизации систем видеонаблюдения, автоматической пожарной сигнализации и пожарного мониторинга государственной программы Новосибирской области "Построение и развитие аппаратно-программного комплекса "Безопасный город" в Новосибирской области"</w:t>
            </w:r>
          </w:p>
        </w:tc>
        <w:tc>
          <w:tcPr>
            <w:tcW w:w="850" w:type="dxa"/>
            <w:tcBorders>
              <w:top w:val="nil"/>
              <w:left w:val="single" w:sz="4" w:space="0" w:color="auto"/>
              <w:bottom w:val="nil"/>
              <w:right w:val="nil"/>
            </w:tcBorders>
            <w:shd w:val="clear" w:color="auto" w:fill="auto"/>
            <w:noWrap/>
            <w:vAlign w:val="center"/>
            <w:hideMark/>
          </w:tcPr>
          <w:p w14:paraId="6E9E99E6" w14:textId="77777777" w:rsidR="00387142" w:rsidRPr="008B6A75" w:rsidRDefault="00387142" w:rsidP="00387142">
            <w:pPr>
              <w:jc w:val="center"/>
              <w:rPr>
                <w:bCs/>
                <w:sz w:val="20"/>
                <w:szCs w:val="20"/>
              </w:rPr>
            </w:pPr>
            <w:r w:rsidRPr="008B6A75">
              <w:rPr>
                <w:bCs/>
                <w:sz w:val="20"/>
                <w:szCs w:val="20"/>
              </w:rPr>
              <w:t>444</w:t>
            </w:r>
          </w:p>
        </w:tc>
        <w:tc>
          <w:tcPr>
            <w:tcW w:w="709" w:type="dxa"/>
            <w:tcBorders>
              <w:top w:val="nil"/>
              <w:left w:val="single" w:sz="4" w:space="0" w:color="auto"/>
              <w:bottom w:val="nil"/>
              <w:right w:val="nil"/>
            </w:tcBorders>
            <w:shd w:val="clear" w:color="auto" w:fill="auto"/>
            <w:noWrap/>
            <w:vAlign w:val="center"/>
            <w:hideMark/>
          </w:tcPr>
          <w:p w14:paraId="5582F7C7" w14:textId="77777777" w:rsidR="00387142" w:rsidRPr="008B6A75" w:rsidRDefault="00387142" w:rsidP="00387142">
            <w:pPr>
              <w:jc w:val="center"/>
              <w:rPr>
                <w:bCs/>
                <w:sz w:val="20"/>
                <w:szCs w:val="20"/>
              </w:rPr>
            </w:pPr>
            <w:r w:rsidRPr="008B6A75">
              <w:rPr>
                <w:bCs/>
                <w:sz w:val="20"/>
                <w:szCs w:val="20"/>
              </w:rPr>
              <w:t>07</w:t>
            </w:r>
          </w:p>
        </w:tc>
        <w:tc>
          <w:tcPr>
            <w:tcW w:w="709" w:type="dxa"/>
            <w:tcBorders>
              <w:top w:val="nil"/>
              <w:left w:val="single" w:sz="4" w:space="0" w:color="auto"/>
              <w:bottom w:val="nil"/>
              <w:right w:val="single" w:sz="4" w:space="0" w:color="auto"/>
            </w:tcBorders>
            <w:shd w:val="clear" w:color="auto" w:fill="auto"/>
            <w:noWrap/>
            <w:vAlign w:val="center"/>
            <w:hideMark/>
          </w:tcPr>
          <w:p w14:paraId="1C686470" w14:textId="77777777" w:rsidR="00387142" w:rsidRPr="008B6A75" w:rsidRDefault="00387142" w:rsidP="00387142">
            <w:pPr>
              <w:jc w:val="center"/>
              <w:rPr>
                <w:bCs/>
                <w:sz w:val="20"/>
                <w:szCs w:val="20"/>
              </w:rPr>
            </w:pPr>
            <w:r w:rsidRPr="008B6A75">
              <w:rPr>
                <w:bCs/>
                <w:sz w:val="20"/>
                <w:szCs w:val="20"/>
              </w:rPr>
              <w:t>09</w:t>
            </w:r>
          </w:p>
        </w:tc>
        <w:tc>
          <w:tcPr>
            <w:tcW w:w="1411" w:type="dxa"/>
            <w:tcBorders>
              <w:top w:val="nil"/>
              <w:left w:val="single" w:sz="4" w:space="0" w:color="auto"/>
              <w:bottom w:val="nil"/>
              <w:right w:val="nil"/>
            </w:tcBorders>
            <w:shd w:val="clear" w:color="auto" w:fill="auto"/>
            <w:noWrap/>
            <w:vAlign w:val="center"/>
            <w:hideMark/>
          </w:tcPr>
          <w:p w14:paraId="6BE1D9AD" w14:textId="77777777" w:rsidR="00387142" w:rsidRPr="008B6A75" w:rsidRDefault="00387142" w:rsidP="00387142">
            <w:pPr>
              <w:jc w:val="center"/>
              <w:rPr>
                <w:bCs/>
                <w:sz w:val="20"/>
                <w:szCs w:val="20"/>
              </w:rPr>
            </w:pPr>
            <w:r w:rsidRPr="008B6A75">
              <w:rPr>
                <w:bCs/>
                <w:sz w:val="20"/>
                <w:szCs w:val="20"/>
              </w:rPr>
              <w:t>07.1.00.S2590</w:t>
            </w:r>
          </w:p>
        </w:tc>
        <w:tc>
          <w:tcPr>
            <w:tcW w:w="955" w:type="dxa"/>
            <w:tcBorders>
              <w:top w:val="nil"/>
              <w:left w:val="single" w:sz="4" w:space="0" w:color="auto"/>
              <w:bottom w:val="nil"/>
              <w:right w:val="single" w:sz="4" w:space="0" w:color="auto"/>
            </w:tcBorders>
            <w:shd w:val="clear" w:color="auto" w:fill="auto"/>
            <w:noWrap/>
            <w:vAlign w:val="center"/>
            <w:hideMark/>
          </w:tcPr>
          <w:p w14:paraId="5268BC81"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nil"/>
              <w:right w:val="single" w:sz="4" w:space="0" w:color="auto"/>
            </w:tcBorders>
            <w:shd w:val="clear" w:color="auto" w:fill="auto"/>
            <w:noWrap/>
            <w:vAlign w:val="center"/>
            <w:hideMark/>
          </w:tcPr>
          <w:p w14:paraId="1714880B" w14:textId="77777777" w:rsidR="00387142" w:rsidRPr="008B6A75" w:rsidRDefault="00387142" w:rsidP="00387142">
            <w:pPr>
              <w:jc w:val="right"/>
              <w:rPr>
                <w:bCs/>
                <w:sz w:val="20"/>
                <w:szCs w:val="20"/>
              </w:rPr>
            </w:pPr>
            <w:r w:rsidRPr="008B6A75">
              <w:rPr>
                <w:bCs/>
                <w:sz w:val="20"/>
                <w:szCs w:val="20"/>
              </w:rPr>
              <w:t>0,00</w:t>
            </w:r>
          </w:p>
        </w:tc>
        <w:tc>
          <w:tcPr>
            <w:tcW w:w="992" w:type="dxa"/>
            <w:gridSpan w:val="2"/>
            <w:tcBorders>
              <w:top w:val="nil"/>
              <w:left w:val="single" w:sz="4" w:space="0" w:color="auto"/>
              <w:bottom w:val="nil"/>
              <w:right w:val="nil"/>
            </w:tcBorders>
            <w:shd w:val="clear" w:color="auto" w:fill="auto"/>
            <w:noWrap/>
            <w:vAlign w:val="center"/>
            <w:hideMark/>
          </w:tcPr>
          <w:p w14:paraId="09B3C60C" w14:textId="77777777" w:rsidR="00387142" w:rsidRPr="008B6A75" w:rsidRDefault="00387142" w:rsidP="00387142">
            <w:pPr>
              <w:jc w:val="right"/>
              <w:rPr>
                <w:bCs/>
                <w:sz w:val="20"/>
                <w:szCs w:val="20"/>
              </w:rPr>
            </w:pPr>
            <w:r w:rsidRPr="008B6A75">
              <w:rPr>
                <w:bCs/>
                <w:sz w:val="20"/>
                <w:szCs w:val="20"/>
              </w:rPr>
              <w:t>0,00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50C168BD" w14:textId="77777777" w:rsidR="00387142" w:rsidRPr="008B6A75" w:rsidRDefault="00387142" w:rsidP="00387142">
            <w:pPr>
              <w:jc w:val="right"/>
              <w:rPr>
                <w:bCs/>
                <w:sz w:val="20"/>
                <w:szCs w:val="20"/>
              </w:rPr>
            </w:pPr>
            <w:r w:rsidRPr="008B6A75">
              <w:rPr>
                <w:bCs/>
                <w:sz w:val="20"/>
                <w:szCs w:val="20"/>
              </w:rPr>
              <w:t>20 410,00</w:t>
            </w:r>
          </w:p>
        </w:tc>
        <w:tc>
          <w:tcPr>
            <w:tcW w:w="222" w:type="dxa"/>
            <w:vAlign w:val="center"/>
            <w:hideMark/>
          </w:tcPr>
          <w:p w14:paraId="26DC0536" w14:textId="77777777" w:rsidR="00387142" w:rsidRPr="008B6A75" w:rsidRDefault="00387142" w:rsidP="00387142">
            <w:pPr>
              <w:rPr>
                <w:sz w:val="20"/>
                <w:szCs w:val="20"/>
              </w:rPr>
            </w:pPr>
          </w:p>
        </w:tc>
      </w:tr>
      <w:tr w:rsidR="00387142" w:rsidRPr="008B6A75" w14:paraId="5FBD9090" w14:textId="77777777" w:rsidTr="00387142">
        <w:trPr>
          <w:trHeight w:val="585"/>
        </w:trPr>
        <w:tc>
          <w:tcPr>
            <w:tcW w:w="3021" w:type="dxa"/>
            <w:tcBorders>
              <w:top w:val="single" w:sz="4" w:space="0" w:color="auto"/>
              <w:left w:val="single" w:sz="4" w:space="0" w:color="auto"/>
              <w:bottom w:val="nil"/>
              <w:right w:val="nil"/>
            </w:tcBorders>
            <w:shd w:val="clear" w:color="auto" w:fill="auto"/>
            <w:vAlign w:val="center"/>
            <w:hideMark/>
          </w:tcPr>
          <w:p w14:paraId="36E042FE" w14:textId="77777777" w:rsidR="00387142" w:rsidRPr="008B6A75" w:rsidRDefault="00387142" w:rsidP="00387142">
            <w:pPr>
              <w:rPr>
                <w:sz w:val="20"/>
                <w:szCs w:val="20"/>
              </w:rPr>
            </w:pPr>
            <w:r w:rsidRPr="008B6A75">
              <w:rPr>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nil"/>
              <w:right w:val="nil"/>
            </w:tcBorders>
            <w:shd w:val="clear" w:color="auto" w:fill="auto"/>
            <w:noWrap/>
            <w:vAlign w:val="center"/>
            <w:hideMark/>
          </w:tcPr>
          <w:p w14:paraId="5476DF51" w14:textId="77777777" w:rsidR="00387142" w:rsidRPr="008B6A75" w:rsidRDefault="00387142" w:rsidP="00387142">
            <w:pPr>
              <w:jc w:val="center"/>
              <w:rPr>
                <w:sz w:val="20"/>
                <w:szCs w:val="20"/>
              </w:rPr>
            </w:pPr>
            <w:r w:rsidRPr="008B6A75">
              <w:rPr>
                <w:sz w:val="20"/>
                <w:szCs w:val="20"/>
              </w:rPr>
              <w:t>444</w:t>
            </w:r>
          </w:p>
        </w:tc>
        <w:tc>
          <w:tcPr>
            <w:tcW w:w="709" w:type="dxa"/>
            <w:tcBorders>
              <w:top w:val="single" w:sz="4" w:space="0" w:color="auto"/>
              <w:left w:val="single" w:sz="4" w:space="0" w:color="auto"/>
              <w:bottom w:val="nil"/>
              <w:right w:val="nil"/>
            </w:tcBorders>
            <w:shd w:val="clear" w:color="auto" w:fill="auto"/>
            <w:noWrap/>
            <w:vAlign w:val="center"/>
            <w:hideMark/>
          </w:tcPr>
          <w:p w14:paraId="6F62067B" w14:textId="77777777" w:rsidR="00387142" w:rsidRPr="008B6A75" w:rsidRDefault="00387142" w:rsidP="00387142">
            <w:pPr>
              <w:jc w:val="center"/>
              <w:rPr>
                <w:sz w:val="20"/>
                <w:szCs w:val="20"/>
              </w:rPr>
            </w:pPr>
            <w:r w:rsidRPr="008B6A75">
              <w:rPr>
                <w:sz w:val="20"/>
                <w:szCs w:val="20"/>
              </w:rPr>
              <w:t>07</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1E9F97A5" w14:textId="77777777" w:rsidR="00387142" w:rsidRPr="008B6A75" w:rsidRDefault="00387142" w:rsidP="00387142">
            <w:pPr>
              <w:jc w:val="center"/>
              <w:rPr>
                <w:sz w:val="20"/>
                <w:szCs w:val="20"/>
              </w:rPr>
            </w:pPr>
            <w:r w:rsidRPr="008B6A75">
              <w:rPr>
                <w:sz w:val="20"/>
                <w:szCs w:val="20"/>
              </w:rPr>
              <w:t>09</w:t>
            </w:r>
          </w:p>
        </w:tc>
        <w:tc>
          <w:tcPr>
            <w:tcW w:w="1411" w:type="dxa"/>
            <w:tcBorders>
              <w:top w:val="single" w:sz="4" w:space="0" w:color="auto"/>
              <w:left w:val="single" w:sz="4" w:space="0" w:color="auto"/>
              <w:bottom w:val="nil"/>
              <w:right w:val="nil"/>
            </w:tcBorders>
            <w:shd w:val="clear" w:color="auto" w:fill="auto"/>
            <w:noWrap/>
            <w:vAlign w:val="center"/>
            <w:hideMark/>
          </w:tcPr>
          <w:p w14:paraId="6B894B43" w14:textId="77777777" w:rsidR="00387142" w:rsidRPr="008B6A75" w:rsidRDefault="00387142" w:rsidP="00387142">
            <w:pPr>
              <w:jc w:val="center"/>
              <w:rPr>
                <w:sz w:val="20"/>
                <w:szCs w:val="20"/>
              </w:rPr>
            </w:pPr>
            <w:r w:rsidRPr="008B6A75">
              <w:rPr>
                <w:sz w:val="20"/>
                <w:szCs w:val="20"/>
              </w:rPr>
              <w:t>07.1.00.S2590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0D193DA2" w14:textId="77777777" w:rsidR="00387142" w:rsidRPr="008B6A75" w:rsidRDefault="00387142" w:rsidP="00387142">
            <w:pPr>
              <w:jc w:val="center"/>
              <w:rPr>
                <w:sz w:val="20"/>
                <w:szCs w:val="20"/>
              </w:rPr>
            </w:pPr>
            <w:r w:rsidRPr="008B6A75">
              <w:rPr>
                <w:sz w:val="20"/>
                <w:szCs w:val="20"/>
              </w:rPr>
              <w:t>200</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1C5E1FBC" w14:textId="77777777" w:rsidR="00387142" w:rsidRPr="008B6A75" w:rsidRDefault="00387142" w:rsidP="00387142">
            <w:pPr>
              <w:jc w:val="right"/>
              <w:rPr>
                <w:sz w:val="20"/>
                <w:szCs w:val="20"/>
              </w:rPr>
            </w:pPr>
            <w:r w:rsidRPr="008B6A75">
              <w:rPr>
                <w:sz w:val="20"/>
                <w:szCs w:val="20"/>
              </w:rPr>
              <w:t>0,00</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61F42565" w14:textId="77777777" w:rsidR="00387142" w:rsidRPr="008B6A75" w:rsidRDefault="00387142" w:rsidP="00387142">
            <w:pPr>
              <w:jc w:val="right"/>
              <w:rPr>
                <w:sz w:val="20"/>
                <w:szCs w:val="20"/>
              </w:rPr>
            </w:pPr>
            <w:r w:rsidRPr="008B6A75">
              <w:rPr>
                <w:sz w:val="20"/>
                <w:szCs w:val="20"/>
              </w:rPr>
              <w:t>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6E4B7313" w14:textId="77777777" w:rsidR="00387142" w:rsidRPr="008B6A75" w:rsidRDefault="00387142" w:rsidP="00387142">
            <w:pPr>
              <w:jc w:val="right"/>
              <w:rPr>
                <w:sz w:val="20"/>
                <w:szCs w:val="20"/>
              </w:rPr>
            </w:pPr>
            <w:r w:rsidRPr="008B6A75">
              <w:rPr>
                <w:sz w:val="20"/>
                <w:szCs w:val="20"/>
              </w:rPr>
              <w:t>20 410,00</w:t>
            </w:r>
          </w:p>
        </w:tc>
        <w:tc>
          <w:tcPr>
            <w:tcW w:w="222" w:type="dxa"/>
            <w:vAlign w:val="center"/>
            <w:hideMark/>
          </w:tcPr>
          <w:p w14:paraId="5F8A8282" w14:textId="77777777" w:rsidR="00387142" w:rsidRPr="008B6A75" w:rsidRDefault="00387142" w:rsidP="00387142">
            <w:pPr>
              <w:rPr>
                <w:sz w:val="20"/>
                <w:szCs w:val="20"/>
              </w:rPr>
            </w:pPr>
          </w:p>
        </w:tc>
      </w:tr>
      <w:tr w:rsidR="00387142" w:rsidRPr="008B6A75" w14:paraId="164FE5AD" w14:textId="77777777" w:rsidTr="00387142">
        <w:trPr>
          <w:trHeight w:val="870"/>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065FCE44" w14:textId="77777777" w:rsidR="00387142" w:rsidRPr="008B6A75" w:rsidRDefault="00387142" w:rsidP="00387142">
            <w:pPr>
              <w:rPr>
                <w:sz w:val="20"/>
                <w:szCs w:val="20"/>
              </w:rPr>
            </w:pPr>
            <w:r w:rsidRPr="008B6A75">
              <w:rPr>
                <w:sz w:val="20"/>
                <w:szCs w:val="20"/>
              </w:rPr>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2478B409" w14:textId="77777777" w:rsidR="00387142" w:rsidRPr="008B6A75" w:rsidRDefault="00387142" w:rsidP="00387142">
            <w:pPr>
              <w:jc w:val="center"/>
              <w:rPr>
                <w:sz w:val="20"/>
                <w:szCs w:val="20"/>
              </w:rPr>
            </w:pPr>
            <w:r w:rsidRPr="008B6A75">
              <w:rPr>
                <w:sz w:val="20"/>
                <w:szCs w:val="20"/>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459F92FD" w14:textId="77777777" w:rsidR="00387142" w:rsidRPr="008B6A75" w:rsidRDefault="00387142" w:rsidP="00387142">
            <w:pPr>
              <w:jc w:val="center"/>
              <w:rPr>
                <w:sz w:val="20"/>
                <w:szCs w:val="20"/>
              </w:rPr>
            </w:pPr>
            <w:r w:rsidRPr="008B6A75">
              <w:rPr>
                <w:sz w:val="20"/>
                <w:szCs w:val="20"/>
              </w:rPr>
              <w:t>07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D6C5F6" w14:textId="77777777" w:rsidR="00387142" w:rsidRPr="008B6A75" w:rsidRDefault="00387142" w:rsidP="00387142">
            <w:pPr>
              <w:jc w:val="center"/>
              <w:rPr>
                <w:sz w:val="20"/>
                <w:szCs w:val="20"/>
              </w:rPr>
            </w:pPr>
            <w:r w:rsidRPr="008B6A75">
              <w:rPr>
                <w:sz w:val="20"/>
                <w:szCs w:val="20"/>
              </w:rPr>
              <w:t>09</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6B751DDF" w14:textId="77777777" w:rsidR="00387142" w:rsidRPr="008B6A75" w:rsidRDefault="00387142" w:rsidP="00387142">
            <w:pPr>
              <w:jc w:val="center"/>
              <w:rPr>
                <w:sz w:val="20"/>
                <w:szCs w:val="20"/>
              </w:rPr>
            </w:pPr>
            <w:r w:rsidRPr="008B6A75">
              <w:rPr>
                <w:sz w:val="20"/>
                <w:szCs w:val="20"/>
              </w:rPr>
              <w:t>07.1.00.S2590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07D400" w14:textId="77777777" w:rsidR="00387142" w:rsidRPr="008B6A75" w:rsidRDefault="00387142" w:rsidP="00387142">
            <w:pPr>
              <w:jc w:val="center"/>
              <w:rPr>
                <w:sz w:val="20"/>
                <w:szCs w:val="20"/>
              </w:rPr>
            </w:pPr>
            <w:r w:rsidRPr="008B6A75">
              <w:rPr>
                <w:sz w:val="20"/>
                <w:szCs w:val="20"/>
              </w:rPr>
              <w:t>240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5CAB56" w14:textId="77777777" w:rsidR="00387142" w:rsidRPr="008B6A75" w:rsidRDefault="00387142" w:rsidP="00387142">
            <w:pPr>
              <w:jc w:val="right"/>
              <w:rPr>
                <w:sz w:val="20"/>
                <w:szCs w:val="20"/>
              </w:rPr>
            </w:pPr>
            <w:r w:rsidRPr="008B6A75">
              <w:rPr>
                <w:sz w:val="20"/>
                <w:szCs w:val="20"/>
              </w:rPr>
              <w:t>0,00</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4825E9F1" w14:textId="77777777" w:rsidR="00387142" w:rsidRPr="008B6A75" w:rsidRDefault="00387142" w:rsidP="00387142">
            <w:pPr>
              <w:jc w:val="right"/>
              <w:rPr>
                <w:sz w:val="20"/>
                <w:szCs w:val="20"/>
              </w:rPr>
            </w:pPr>
            <w:r w:rsidRPr="008B6A75">
              <w:rPr>
                <w:sz w:val="20"/>
                <w:szCs w:val="20"/>
              </w:rPr>
              <w:t>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8CAB5F" w14:textId="77777777" w:rsidR="00387142" w:rsidRPr="008B6A75" w:rsidRDefault="00387142" w:rsidP="00387142">
            <w:pPr>
              <w:jc w:val="right"/>
              <w:rPr>
                <w:sz w:val="20"/>
                <w:szCs w:val="20"/>
              </w:rPr>
            </w:pPr>
            <w:r w:rsidRPr="008B6A75">
              <w:rPr>
                <w:sz w:val="20"/>
                <w:szCs w:val="20"/>
              </w:rPr>
              <w:t>20 410,00</w:t>
            </w:r>
          </w:p>
        </w:tc>
        <w:tc>
          <w:tcPr>
            <w:tcW w:w="222" w:type="dxa"/>
            <w:vAlign w:val="center"/>
            <w:hideMark/>
          </w:tcPr>
          <w:p w14:paraId="3C976023" w14:textId="77777777" w:rsidR="00387142" w:rsidRPr="008B6A75" w:rsidRDefault="00387142" w:rsidP="00387142">
            <w:pPr>
              <w:rPr>
                <w:sz w:val="20"/>
                <w:szCs w:val="20"/>
              </w:rPr>
            </w:pPr>
          </w:p>
        </w:tc>
      </w:tr>
      <w:tr w:rsidR="00387142" w:rsidRPr="008B6A75" w14:paraId="1DC7EF63" w14:textId="77777777" w:rsidTr="00387142">
        <w:trPr>
          <w:trHeight w:val="2865"/>
        </w:trPr>
        <w:tc>
          <w:tcPr>
            <w:tcW w:w="3021" w:type="dxa"/>
            <w:tcBorders>
              <w:top w:val="nil"/>
              <w:left w:val="single" w:sz="4" w:space="0" w:color="auto"/>
              <w:bottom w:val="nil"/>
              <w:right w:val="nil"/>
            </w:tcBorders>
            <w:shd w:val="clear" w:color="auto" w:fill="auto"/>
            <w:vAlign w:val="center"/>
            <w:hideMark/>
          </w:tcPr>
          <w:p w14:paraId="122AD1DA" w14:textId="77777777" w:rsidR="00387142" w:rsidRPr="008B6A75" w:rsidRDefault="00387142" w:rsidP="00387142">
            <w:pPr>
              <w:rPr>
                <w:bCs/>
                <w:sz w:val="20"/>
                <w:szCs w:val="20"/>
              </w:rPr>
            </w:pPr>
            <w:proofErr w:type="spellStart"/>
            <w:r w:rsidRPr="008B6A75">
              <w:rPr>
                <w:bCs/>
                <w:sz w:val="20"/>
                <w:szCs w:val="20"/>
              </w:rPr>
              <w:t>Софинансирование</w:t>
            </w:r>
            <w:proofErr w:type="spellEnd"/>
            <w:r w:rsidRPr="008B6A75">
              <w:rPr>
                <w:bCs/>
                <w:sz w:val="20"/>
                <w:szCs w:val="20"/>
              </w:rPr>
              <w:t xml:space="preserve"> местного бюджета на реализацию мероприятий по модернизации образования Новосибирской </w:t>
            </w:r>
            <w:proofErr w:type="gramStart"/>
            <w:r w:rsidRPr="008B6A75">
              <w:rPr>
                <w:bCs/>
                <w:sz w:val="20"/>
                <w:szCs w:val="20"/>
              </w:rPr>
              <w:t>области  подпрограммы</w:t>
            </w:r>
            <w:proofErr w:type="gramEnd"/>
            <w:r w:rsidRPr="008B6A75">
              <w:rPr>
                <w:bCs/>
                <w:sz w:val="20"/>
                <w:szCs w:val="20"/>
              </w:rPr>
              <w:t xml:space="preserve"> "Развитие дошкольного, общего и дополнительного образования детей" в рамках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850" w:type="dxa"/>
            <w:tcBorders>
              <w:top w:val="nil"/>
              <w:left w:val="single" w:sz="4" w:space="0" w:color="auto"/>
              <w:bottom w:val="nil"/>
              <w:right w:val="nil"/>
            </w:tcBorders>
            <w:shd w:val="clear" w:color="auto" w:fill="auto"/>
            <w:noWrap/>
            <w:vAlign w:val="center"/>
            <w:hideMark/>
          </w:tcPr>
          <w:p w14:paraId="0FC14DEC" w14:textId="77777777" w:rsidR="00387142" w:rsidRPr="008B6A75" w:rsidRDefault="00387142" w:rsidP="00387142">
            <w:pPr>
              <w:jc w:val="center"/>
              <w:rPr>
                <w:bCs/>
                <w:sz w:val="20"/>
                <w:szCs w:val="20"/>
              </w:rPr>
            </w:pPr>
            <w:r w:rsidRPr="008B6A75">
              <w:rPr>
                <w:bCs/>
                <w:sz w:val="20"/>
                <w:szCs w:val="20"/>
              </w:rPr>
              <w:t>444</w:t>
            </w:r>
          </w:p>
        </w:tc>
        <w:tc>
          <w:tcPr>
            <w:tcW w:w="709" w:type="dxa"/>
            <w:tcBorders>
              <w:top w:val="nil"/>
              <w:left w:val="single" w:sz="4" w:space="0" w:color="auto"/>
              <w:bottom w:val="nil"/>
              <w:right w:val="nil"/>
            </w:tcBorders>
            <w:shd w:val="clear" w:color="auto" w:fill="auto"/>
            <w:noWrap/>
            <w:vAlign w:val="center"/>
            <w:hideMark/>
          </w:tcPr>
          <w:p w14:paraId="05D71348" w14:textId="77777777" w:rsidR="00387142" w:rsidRPr="008B6A75" w:rsidRDefault="00387142" w:rsidP="00387142">
            <w:pPr>
              <w:jc w:val="center"/>
              <w:rPr>
                <w:bCs/>
                <w:sz w:val="20"/>
                <w:szCs w:val="20"/>
              </w:rPr>
            </w:pPr>
            <w:r w:rsidRPr="008B6A75">
              <w:rPr>
                <w:bCs/>
                <w:sz w:val="20"/>
                <w:szCs w:val="20"/>
              </w:rPr>
              <w:t>07</w:t>
            </w:r>
          </w:p>
        </w:tc>
        <w:tc>
          <w:tcPr>
            <w:tcW w:w="709" w:type="dxa"/>
            <w:tcBorders>
              <w:top w:val="nil"/>
              <w:left w:val="single" w:sz="4" w:space="0" w:color="auto"/>
              <w:bottom w:val="nil"/>
              <w:right w:val="single" w:sz="4" w:space="0" w:color="auto"/>
            </w:tcBorders>
            <w:shd w:val="clear" w:color="auto" w:fill="auto"/>
            <w:noWrap/>
            <w:vAlign w:val="center"/>
            <w:hideMark/>
          </w:tcPr>
          <w:p w14:paraId="270B5BA4" w14:textId="77777777" w:rsidR="00387142" w:rsidRPr="008B6A75" w:rsidRDefault="00387142" w:rsidP="00387142">
            <w:pPr>
              <w:jc w:val="center"/>
              <w:rPr>
                <w:bCs/>
                <w:sz w:val="20"/>
                <w:szCs w:val="20"/>
              </w:rPr>
            </w:pPr>
            <w:r w:rsidRPr="008B6A75">
              <w:rPr>
                <w:bCs/>
                <w:sz w:val="20"/>
                <w:szCs w:val="20"/>
              </w:rPr>
              <w:t>09</w:t>
            </w:r>
          </w:p>
        </w:tc>
        <w:tc>
          <w:tcPr>
            <w:tcW w:w="1411" w:type="dxa"/>
            <w:tcBorders>
              <w:top w:val="nil"/>
              <w:left w:val="single" w:sz="4" w:space="0" w:color="auto"/>
              <w:bottom w:val="nil"/>
              <w:right w:val="nil"/>
            </w:tcBorders>
            <w:shd w:val="clear" w:color="auto" w:fill="auto"/>
            <w:noWrap/>
            <w:vAlign w:val="center"/>
            <w:hideMark/>
          </w:tcPr>
          <w:p w14:paraId="79C77C0A" w14:textId="77777777" w:rsidR="00387142" w:rsidRPr="008B6A75" w:rsidRDefault="00387142" w:rsidP="00387142">
            <w:pPr>
              <w:jc w:val="center"/>
              <w:rPr>
                <w:bCs/>
                <w:sz w:val="20"/>
                <w:szCs w:val="20"/>
              </w:rPr>
            </w:pPr>
            <w:r w:rsidRPr="008B6A75">
              <w:rPr>
                <w:bCs/>
                <w:sz w:val="20"/>
                <w:szCs w:val="20"/>
              </w:rPr>
              <w:t>07.1.00.S3470</w:t>
            </w:r>
          </w:p>
        </w:tc>
        <w:tc>
          <w:tcPr>
            <w:tcW w:w="955" w:type="dxa"/>
            <w:tcBorders>
              <w:top w:val="nil"/>
              <w:left w:val="single" w:sz="4" w:space="0" w:color="auto"/>
              <w:bottom w:val="nil"/>
              <w:right w:val="single" w:sz="4" w:space="0" w:color="auto"/>
            </w:tcBorders>
            <w:shd w:val="clear" w:color="auto" w:fill="auto"/>
            <w:noWrap/>
            <w:vAlign w:val="center"/>
            <w:hideMark/>
          </w:tcPr>
          <w:p w14:paraId="74EE8730"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nil"/>
              <w:right w:val="single" w:sz="4" w:space="0" w:color="auto"/>
            </w:tcBorders>
            <w:shd w:val="clear" w:color="auto" w:fill="auto"/>
            <w:noWrap/>
            <w:vAlign w:val="center"/>
            <w:hideMark/>
          </w:tcPr>
          <w:p w14:paraId="7DC52A81" w14:textId="77777777" w:rsidR="00387142" w:rsidRPr="008B6A75" w:rsidRDefault="00387142" w:rsidP="00387142">
            <w:pPr>
              <w:jc w:val="right"/>
              <w:rPr>
                <w:bCs/>
                <w:sz w:val="20"/>
                <w:szCs w:val="20"/>
              </w:rPr>
            </w:pPr>
            <w:r w:rsidRPr="008B6A75">
              <w:rPr>
                <w:bCs/>
                <w:sz w:val="20"/>
                <w:szCs w:val="20"/>
              </w:rPr>
              <w:t>0,00</w:t>
            </w:r>
          </w:p>
        </w:tc>
        <w:tc>
          <w:tcPr>
            <w:tcW w:w="992" w:type="dxa"/>
            <w:gridSpan w:val="2"/>
            <w:tcBorders>
              <w:top w:val="nil"/>
              <w:left w:val="single" w:sz="4" w:space="0" w:color="auto"/>
              <w:bottom w:val="nil"/>
              <w:right w:val="nil"/>
            </w:tcBorders>
            <w:shd w:val="clear" w:color="auto" w:fill="auto"/>
            <w:noWrap/>
            <w:vAlign w:val="center"/>
            <w:hideMark/>
          </w:tcPr>
          <w:p w14:paraId="0FFC90A0" w14:textId="77777777" w:rsidR="00387142" w:rsidRPr="008B6A75" w:rsidRDefault="00387142" w:rsidP="00387142">
            <w:pPr>
              <w:jc w:val="right"/>
              <w:rPr>
                <w:bCs/>
                <w:sz w:val="20"/>
                <w:szCs w:val="20"/>
              </w:rPr>
            </w:pPr>
            <w:r w:rsidRPr="008B6A75">
              <w:rPr>
                <w:bCs/>
                <w:sz w:val="20"/>
                <w:szCs w:val="20"/>
              </w:rPr>
              <w:t>18 650,00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6745040B" w14:textId="77777777" w:rsidR="00387142" w:rsidRPr="008B6A75" w:rsidRDefault="00387142" w:rsidP="00387142">
            <w:pPr>
              <w:jc w:val="right"/>
              <w:rPr>
                <w:bCs/>
                <w:sz w:val="20"/>
                <w:szCs w:val="20"/>
              </w:rPr>
            </w:pPr>
            <w:r w:rsidRPr="008B6A75">
              <w:rPr>
                <w:bCs/>
                <w:sz w:val="20"/>
                <w:szCs w:val="20"/>
              </w:rPr>
              <w:t>18 650,00</w:t>
            </w:r>
          </w:p>
        </w:tc>
        <w:tc>
          <w:tcPr>
            <w:tcW w:w="222" w:type="dxa"/>
            <w:vAlign w:val="center"/>
            <w:hideMark/>
          </w:tcPr>
          <w:p w14:paraId="5DB9037E" w14:textId="77777777" w:rsidR="00387142" w:rsidRPr="008B6A75" w:rsidRDefault="00387142" w:rsidP="00387142">
            <w:pPr>
              <w:rPr>
                <w:sz w:val="20"/>
                <w:szCs w:val="20"/>
              </w:rPr>
            </w:pPr>
          </w:p>
        </w:tc>
      </w:tr>
      <w:tr w:rsidR="00387142" w:rsidRPr="008B6A75" w14:paraId="6B6CD506" w14:textId="77777777" w:rsidTr="00387142">
        <w:trPr>
          <w:trHeight w:val="585"/>
        </w:trPr>
        <w:tc>
          <w:tcPr>
            <w:tcW w:w="3021" w:type="dxa"/>
            <w:tcBorders>
              <w:top w:val="single" w:sz="4" w:space="0" w:color="auto"/>
              <w:left w:val="single" w:sz="4" w:space="0" w:color="auto"/>
              <w:bottom w:val="nil"/>
              <w:right w:val="nil"/>
            </w:tcBorders>
            <w:shd w:val="clear" w:color="auto" w:fill="auto"/>
            <w:vAlign w:val="center"/>
            <w:hideMark/>
          </w:tcPr>
          <w:p w14:paraId="1A37710C" w14:textId="77777777" w:rsidR="00387142" w:rsidRPr="008B6A75" w:rsidRDefault="00387142" w:rsidP="00387142">
            <w:pPr>
              <w:rPr>
                <w:sz w:val="20"/>
                <w:szCs w:val="20"/>
              </w:rPr>
            </w:pPr>
            <w:r w:rsidRPr="008B6A75">
              <w:rPr>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nil"/>
              <w:right w:val="nil"/>
            </w:tcBorders>
            <w:shd w:val="clear" w:color="auto" w:fill="auto"/>
            <w:noWrap/>
            <w:vAlign w:val="center"/>
            <w:hideMark/>
          </w:tcPr>
          <w:p w14:paraId="5BF8A928" w14:textId="77777777" w:rsidR="00387142" w:rsidRPr="008B6A75" w:rsidRDefault="00387142" w:rsidP="00387142">
            <w:pPr>
              <w:jc w:val="center"/>
              <w:rPr>
                <w:sz w:val="20"/>
                <w:szCs w:val="20"/>
              </w:rPr>
            </w:pPr>
            <w:r w:rsidRPr="008B6A75">
              <w:rPr>
                <w:sz w:val="20"/>
                <w:szCs w:val="20"/>
              </w:rPr>
              <w:t>444</w:t>
            </w:r>
          </w:p>
        </w:tc>
        <w:tc>
          <w:tcPr>
            <w:tcW w:w="709" w:type="dxa"/>
            <w:tcBorders>
              <w:top w:val="single" w:sz="4" w:space="0" w:color="auto"/>
              <w:left w:val="single" w:sz="4" w:space="0" w:color="auto"/>
              <w:bottom w:val="nil"/>
              <w:right w:val="nil"/>
            </w:tcBorders>
            <w:shd w:val="clear" w:color="auto" w:fill="auto"/>
            <w:noWrap/>
            <w:vAlign w:val="center"/>
            <w:hideMark/>
          </w:tcPr>
          <w:p w14:paraId="6D7E4E87" w14:textId="77777777" w:rsidR="00387142" w:rsidRPr="008B6A75" w:rsidRDefault="00387142" w:rsidP="00387142">
            <w:pPr>
              <w:jc w:val="center"/>
              <w:rPr>
                <w:sz w:val="20"/>
                <w:szCs w:val="20"/>
              </w:rPr>
            </w:pPr>
            <w:r w:rsidRPr="008B6A75">
              <w:rPr>
                <w:sz w:val="20"/>
                <w:szCs w:val="20"/>
              </w:rPr>
              <w:t>07</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21977992" w14:textId="77777777" w:rsidR="00387142" w:rsidRPr="008B6A75" w:rsidRDefault="00387142" w:rsidP="00387142">
            <w:pPr>
              <w:jc w:val="center"/>
              <w:rPr>
                <w:sz w:val="20"/>
                <w:szCs w:val="20"/>
              </w:rPr>
            </w:pPr>
            <w:r w:rsidRPr="008B6A75">
              <w:rPr>
                <w:sz w:val="20"/>
                <w:szCs w:val="20"/>
              </w:rPr>
              <w:t>09</w:t>
            </w:r>
          </w:p>
        </w:tc>
        <w:tc>
          <w:tcPr>
            <w:tcW w:w="1411" w:type="dxa"/>
            <w:tcBorders>
              <w:top w:val="single" w:sz="4" w:space="0" w:color="auto"/>
              <w:left w:val="single" w:sz="4" w:space="0" w:color="auto"/>
              <w:bottom w:val="nil"/>
              <w:right w:val="nil"/>
            </w:tcBorders>
            <w:shd w:val="clear" w:color="auto" w:fill="auto"/>
            <w:noWrap/>
            <w:vAlign w:val="center"/>
            <w:hideMark/>
          </w:tcPr>
          <w:p w14:paraId="4B1F9880" w14:textId="77777777" w:rsidR="00387142" w:rsidRPr="008B6A75" w:rsidRDefault="00387142" w:rsidP="00387142">
            <w:pPr>
              <w:jc w:val="center"/>
              <w:rPr>
                <w:sz w:val="20"/>
                <w:szCs w:val="20"/>
              </w:rPr>
            </w:pPr>
            <w:r w:rsidRPr="008B6A75">
              <w:rPr>
                <w:sz w:val="20"/>
                <w:szCs w:val="20"/>
              </w:rPr>
              <w:t>07.1.00.S3470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162A44C3" w14:textId="77777777" w:rsidR="00387142" w:rsidRPr="008B6A75" w:rsidRDefault="00387142" w:rsidP="00387142">
            <w:pPr>
              <w:jc w:val="center"/>
              <w:rPr>
                <w:sz w:val="20"/>
                <w:szCs w:val="20"/>
              </w:rPr>
            </w:pPr>
            <w:r w:rsidRPr="008B6A75">
              <w:rPr>
                <w:sz w:val="20"/>
                <w:szCs w:val="20"/>
              </w:rPr>
              <w:t>200</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6E9CB3A5" w14:textId="77777777" w:rsidR="00387142" w:rsidRPr="008B6A75" w:rsidRDefault="00387142" w:rsidP="00387142">
            <w:pPr>
              <w:jc w:val="right"/>
              <w:rPr>
                <w:sz w:val="20"/>
                <w:szCs w:val="20"/>
              </w:rPr>
            </w:pPr>
            <w:r w:rsidRPr="008B6A75">
              <w:rPr>
                <w:sz w:val="20"/>
                <w:szCs w:val="20"/>
              </w:rPr>
              <w:t>0,00</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0CA4B3BC" w14:textId="77777777" w:rsidR="00387142" w:rsidRPr="008B6A75" w:rsidRDefault="00387142" w:rsidP="00387142">
            <w:pPr>
              <w:jc w:val="right"/>
              <w:rPr>
                <w:sz w:val="20"/>
                <w:szCs w:val="20"/>
              </w:rPr>
            </w:pPr>
            <w:r w:rsidRPr="008B6A75">
              <w:rPr>
                <w:sz w:val="20"/>
                <w:szCs w:val="20"/>
              </w:rPr>
              <w:t>18 650,00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258FF144" w14:textId="77777777" w:rsidR="00387142" w:rsidRPr="008B6A75" w:rsidRDefault="00387142" w:rsidP="00387142">
            <w:pPr>
              <w:jc w:val="right"/>
              <w:rPr>
                <w:sz w:val="20"/>
                <w:szCs w:val="20"/>
              </w:rPr>
            </w:pPr>
            <w:r w:rsidRPr="008B6A75">
              <w:rPr>
                <w:sz w:val="20"/>
                <w:szCs w:val="20"/>
              </w:rPr>
              <w:t>18 650,00</w:t>
            </w:r>
          </w:p>
        </w:tc>
        <w:tc>
          <w:tcPr>
            <w:tcW w:w="222" w:type="dxa"/>
            <w:vAlign w:val="center"/>
            <w:hideMark/>
          </w:tcPr>
          <w:p w14:paraId="1E277980" w14:textId="77777777" w:rsidR="00387142" w:rsidRPr="008B6A75" w:rsidRDefault="00387142" w:rsidP="00387142">
            <w:pPr>
              <w:rPr>
                <w:sz w:val="20"/>
                <w:szCs w:val="20"/>
              </w:rPr>
            </w:pPr>
          </w:p>
        </w:tc>
      </w:tr>
      <w:tr w:rsidR="00387142" w:rsidRPr="008B6A75" w14:paraId="7DFB38CE" w14:textId="77777777" w:rsidTr="00387142">
        <w:trPr>
          <w:trHeight w:val="870"/>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493549DB" w14:textId="77777777" w:rsidR="00387142" w:rsidRPr="008B6A75" w:rsidRDefault="00387142" w:rsidP="00387142">
            <w:pPr>
              <w:rPr>
                <w:sz w:val="20"/>
                <w:szCs w:val="20"/>
              </w:rPr>
            </w:pPr>
            <w:r w:rsidRPr="008B6A75">
              <w:rPr>
                <w:sz w:val="20"/>
                <w:szCs w:val="20"/>
              </w:rPr>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1C5F2802" w14:textId="77777777" w:rsidR="00387142" w:rsidRPr="008B6A75" w:rsidRDefault="00387142" w:rsidP="00387142">
            <w:pPr>
              <w:jc w:val="center"/>
              <w:rPr>
                <w:sz w:val="20"/>
                <w:szCs w:val="20"/>
              </w:rPr>
            </w:pPr>
            <w:r w:rsidRPr="008B6A75">
              <w:rPr>
                <w:sz w:val="20"/>
                <w:szCs w:val="20"/>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098E9937" w14:textId="77777777" w:rsidR="00387142" w:rsidRPr="008B6A75" w:rsidRDefault="00387142" w:rsidP="00387142">
            <w:pPr>
              <w:jc w:val="center"/>
              <w:rPr>
                <w:sz w:val="20"/>
                <w:szCs w:val="20"/>
              </w:rPr>
            </w:pPr>
            <w:r w:rsidRPr="008B6A75">
              <w:rPr>
                <w:sz w:val="20"/>
                <w:szCs w:val="20"/>
              </w:rPr>
              <w:t>07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988735" w14:textId="77777777" w:rsidR="00387142" w:rsidRPr="008B6A75" w:rsidRDefault="00387142" w:rsidP="00387142">
            <w:pPr>
              <w:jc w:val="center"/>
              <w:rPr>
                <w:sz w:val="20"/>
                <w:szCs w:val="20"/>
              </w:rPr>
            </w:pPr>
            <w:r w:rsidRPr="008B6A75">
              <w:rPr>
                <w:sz w:val="20"/>
                <w:szCs w:val="20"/>
              </w:rPr>
              <w:t>09</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7C87C6E1" w14:textId="77777777" w:rsidR="00387142" w:rsidRPr="008B6A75" w:rsidRDefault="00387142" w:rsidP="00387142">
            <w:pPr>
              <w:jc w:val="center"/>
              <w:rPr>
                <w:sz w:val="20"/>
                <w:szCs w:val="20"/>
              </w:rPr>
            </w:pPr>
            <w:r w:rsidRPr="008B6A75">
              <w:rPr>
                <w:sz w:val="20"/>
                <w:szCs w:val="20"/>
              </w:rPr>
              <w:t>07.1.00.S3470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E5A2A4" w14:textId="77777777" w:rsidR="00387142" w:rsidRPr="008B6A75" w:rsidRDefault="00387142" w:rsidP="00387142">
            <w:pPr>
              <w:jc w:val="center"/>
              <w:rPr>
                <w:sz w:val="20"/>
                <w:szCs w:val="20"/>
              </w:rPr>
            </w:pPr>
            <w:r w:rsidRPr="008B6A75">
              <w:rPr>
                <w:sz w:val="20"/>
                <w:szCs w:val="20"/>
              </w:rPr>
              <w:t>240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9D65FD" w14:textId="77777777" w:rsidR="00387142" w:rsidRPr="008B6A75" w:rsidRDefault="00387142" w:rsidP="00387142">
            <w:pPr>
              <w:jc w:val="right"/>
              <w:rPr>
                <w:sz w:val="20"/>
                <w:szCs w:val="20"/>
              </w:rPr>
            </w:pPr>
            <w:r w:rsidRPr="008B6A75">
              <w:rPr>
                <w:sz w:val="20"/>
                <w:szCs w:val="20"/>
              </w:rPr>
              <w:t>0,00</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5C5E70DA" w14:textId="77777777" w:rsidR="00387142" w:rsidRPr="008B6A75" w:rsidRDefault="00387142" w:rsidP="00387142">
            <w:pPr>
              <w:jc w:val="right"/>
              <w:rPr>
                <w:sz w:val="20"/>
                <w:szCs w:val="20"/>
              </w:rPr>
            </w:pPr>
            <w:r w:rsidRPr="008B6A75">
              <w:rPr>
                <w:sz w:val="20"/>
                <w:szCs w:val="20"/>
              </w:rPr>
              <w:t>18 650,00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1C4226" w14:textId="77777777" w:rsidR="00387142" w:rsidRPr="008B6A75" w:rsidRDefault="00387142" w:rsidP="00387142">
            <w:pPr>
              <w:jc w:val="right"/>
              <w:rPr>
                <w:sz w:val="20"/>
                <w:szCs w:val="20"/>
              </w:rPr>
            </w:pPr>
            <w:r w:rsidRPr="008B6A75">
              <w:rPr>
                <w:sz w:val="20"/>
                <w:szCs w:val="20"/>
              </w:rPr>
              <w:t>18 650,00</w:t>
            </w:r>
          </w:p>
        </w:tc>
        <w:tc>
          <w:tcPr>
            <w:tcW w:w="222" w:type="dxa"/>
            <w:vAlign w:val="center"/>
            <w:hideMark/>
          </w:tcPr>
          <w:p w14:paraId="0D227550" w14:textId="77777777" w:rsidR="00387142" w:rsidRPr="008B6A75" w:rsidRDefault="00387142" w:rsidP="00387142">
            <w:pPr>
              <w:rPr>
                <w:sz w:val="20"/>
                <w:szCs w:val="20"/>
              </w:rPr>
            </w:pPr>
          </w:p>
        </w:tc>
      </w:tr>
      <w:tr w:rsidR="00387142" w:rsidRPr="008B6A75" w14:paraId="6EBA16F3" w14:textId="77777777" w:rsidTr="00387142">
        <w:trPr>
          <w:trHeight w:val="1155"/>
        </w:trPr>
        <w:tc>
          <w:tcPr>
            <w:tcW w:w="3021" w:type="dxa"/>
            <w:tcBorders>
              <w:top w:val="nil"/>
              <w:left w:val="single" w:sz="4" w:space="0" w:color="auto"/>
              <w:bottom w:val="nil"/>
              <w:right w:val="nil"/>
            </w:tcBorders>
            <w:shd w:val="clear" w:color="auto" w:fill="auto"/>
            <w:vAlign w:val="center"/>
            <w:hideMark/>
          </w:tcPr>
          <w:p w14:paraId="29BF2043" w14:textId="77777777" w:rsidR="00387142" w:rsidRPr="008B6A75" w:rsidRDefault="00387142" w:rsidP="00387142">
            <w:pPr>
              <w:rPr>
                <w:bCs/>
                <w:sz w:val="20"/>
                <w:szCs w:val="20"/>
              </w:rPr>
            </w:pPr>
            <w:r w:rsidRPr="008B6A75">
              <w:rPr>
                <w:bCs/>
                <w:sz w:val="20"/>
                <w:szCs w:val="20"/>
              </w:rPr>
              <w:t>Муниципальная программа "Развитие физической культуры и спорта в Куйбышевском районе Новосибирской области"</w:t>
            </w:r>
          </w:p>
        </w:tc>
        <w:tc>
          <w:tcPr>
            <w:tcW w:w="850" w:type="dxa"/>
            <w:tcBorders>
              <w:top w:val="nil"/>
              <w:left w:val="single" w:sz="4" w:space="0" w:color="auto"/>
              <w:bottom w:val="nil"/>
              <w:right w:val="nil"/>
            </w:tcBorders>
            <w:shd w:val="clear" w:color="auto" w:fill="auto"/>
            <w:noWrap/>
            <w:vAlign w:val="center"/>
            <w:hideMark/>
          </w:tcPr>
          <w:p w14:paraId="244573B2" w14:textId="77777777" w:rsidR="00387142" w:rsidRPr="008B6A75" w:rsidRDefault="00387142" w:rsidP="00387142">
            <w:pPr>
              <w:jc w:val="center"/>
              <w:rPr>
                <w:bCs/>
                <w:sz w:val="20"/>
                <w:szCs w:val="20"/>
              </w:rPr>
            </w:pPr>
            <w:r w:rsidRPr="008B6A75">
              <w:rPr>
                <w:bCs/>
                <w:sz w:val="20"/>
                <w:szCs w:val="20"/>
              </w:rPr>
              <w:t>444</w:t>
            </w:r>
          </w:p>
        </w:tc>
        <w:tc>
          <w:tcPr>
            <w:tcW w:w="709" w:type="dxa"/>
            <w:tcBorders>
              <w:top w:val="nil"/>
              <w:left w:val="single" w:sz="4" w:space="0" w:color="auto"/>
              <w:bottom w:val="nil"/>
              <w:right w:val="nil"/>
            </w:tcBorders>
            <w:shd w:val="clear" w:color="auto" w:fill="auto"/>
            <w:noWrap/>
            <w:vAlign w:val="center"/>
            <w:hideMark/>
          </w:tcPr>
          <w:p w14:paraId="177446D6" w14:textId="77777777" w:rsidR="00387142" w:rsidRPr="008B6A75" w:rsidRDefault="00387142" w:rsidP="00387142">
            <w:pPr>
              <w:jc w:val="center"/>
              <w:rPr>
                <w:bCs/>
                <w:sz w:val="20"/>
                <w:szCs w:val="20"/>
              </w:rPr>
            </w:pPr>
            <w:r w:rsidRPr="008B6A75">
              <w:rPr>
                <w:bCs/>
                <w:sz w:val="20"/>
                <w:szCs w:val="20"/>
              </w:rPr>
              <w:t>07</w:t>
            </w:r>
          </w:p>
        </w:tc>
        <w:tc>
          <w:tcPr>
            <w:tcW w:w="709" w:type="dxa"/>
            <w:tcBorders>
              <w:top w:val="nil"/>
              <w:left w:val="single" w:sz="4" w:space="0" w:color="auto"/>
              <w:bottom w:val="nil"/>
              <w:right w:val="single" w:sz="4" w:space="0" w:color="auto"/>
            </w:tcBorders>
            <w:shd w:val="clear" w:color="auto" w:fill="auto"/>
            <w:noWrap/>
            <w:vAlign w:val="center"/>
            <w:hideMark/>
          </w:tcPr>
          <w:p w14:paraId="62CE4B0B" w14:textId="77777777" w:rsidR="00387142" w:rsidRPr="008B6A75" w:rsidRDefault="00387142" w:rsidP="00387142">
            <w:pPr>
              <w:jc w:val="center"/>
              <w:rPr>
                <w:bCs/>
                <w:sz w:val="20"/>
                <w:szCs w:val="20"/>
              </w:rPr>
            </w:pPr>
            <w:r w:rsidRPr="008B6A75">
              <w:rPr>
                <w:bCs/>
                <w:sz w:val="20"/>
                <w:szCs w:val="20"/>
              </w:rPr>
              <w:t>09</w:t>
            </w:r>
          </w:p>
        </w:tc>
        <w:tc>
          <w:tcPr>
            <w:tcW w:w="1411" w:type="dxa"/>
            <w:tcBorders>
              <w:top w:val="nil"/>
              <w:left w:val="single" w:sz="4" w:space="0" w:color="auto"/>
              <w:bottom w:val="nil"/>
              <w:right w:val="nil"/>
            </w:tcBorders>
            <w:shd w:val="clear" w:color="auto" w:fill="auto"/>
            <w:noWrap/>
            <w:vAlign w:val="center"/>
            <w:hideMark/>
          </w:tcPr>
          <w:p w14:paraId="1F21D3E4" w14:textId="77777777" w:rsidR="00387142" w:rsidRPr="008B6A75" w:rsidRDefault="00387142" w:rsidP="00387142">
            <w:pPr>
              <w:jc w:val="center"/>
              <w:rPr>
                <w:bCs/>
                <w:sz w:val="20"/>
                <w:szCs w:val="20"/>
              </w:rPr>
            </w:pPr>
            <w:r w:rsidRPr="008B6A75">
              <w:rPr>
                <w:bCs/>
                <w:sz w:val="20"/>
                <w:szCs w:val="20"/>
              </w:rPr>
              <w:t>11.0.00.00000</w:t>
            </w:r>
          </w:p>
        </w:tc>
        <w:tc>
          <w:tcPr>
            <w:tcW w:w="955" w:type="dxa"/>
            <w:tcBorders>
              <w:top w:val="nil"/>
              <w:left w:val="single" w:sz="4" w:space="0" w:color="auto"/>
              <w:bottom w:val="nil"/>
              <w:right w:val="single" w:sz="4" w:space="0" w:color="auto"/>
            </w:tcBorders>
            <w:shd w:val="clear" w:color="auto" w:fill="auto"/>
            <w:noWrap/>
            <w:vAlign w:val="center"/>
            <w:hideMark/>
          </w:tcPr>
          <w:p w14:paraId="6FCAA512"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nil"/>
              <w:right w:val="single" w:sz="4" w:space="0" w:color="auto"/>
            </w:tcBorders>
            <w:shd w:val="clear" w:color="auto" w:fill="auto"/>
            <w:noWrap/>
            <w:vAlign w:val="center"/>
            <w:hideMark/>
          </w:tcPr>
          <w:p w14:paraId="4C2B9C2C" w14:textId="77777777" w:rsidR="00387142" w:rsidRPr="008B6A75" w:rsidRDefault="00387142" w:rsidP="00387142">
            <w:pPr>
              <w:jc w:val="right"/>
              <w:rPr>
                <w:bCs/>
                <w:sz w:val="20"/>
                <w:szCs w:val="20"/>
              </w:rPr>
            </w:pPr>
            <w:r w:rsidRPr="008B6A75">
              <w:rPr>
                <w:bCs/>
                <w:sz w:val="20"/>
                <w:szCs w:val="20"/>
              </w:rPr>
              <w:t>0,00</w:t>
            </w:r>
          </w:p>
        </w:tc>
        <w:tc>
          <w:tcPr>
            <w:tcW w:w="992" w:type="dxa"/>
            <w:gridSpan w:val="2"/>
            <w:tcBorders>
              <w:top w:val="nil"/>
              <w:left w:val="single" w:sz="4" w:space="0" w:color="auto"/>
              <w:bottom w:val="nil"/>
              <w:right w:val="nil"/>
            </w:tcBorders>
            <w:shd w:val="clear" w:color="auto" w:fill="auto"/>
            <w:noWrap/>
            <w:vAlign w:val="center"/>
            <w:hideMark/>
          </w:tcPr>
          <w:p w14:paraId="40132EE8" w14:textId="77777777" w:rsidR="00387142" w:rsidRPr="008B6A75" w:rsidRDefault="00387142" w:rsidP="00387142">
            <w:pPr>
              <w:jc w:val="right"/>
              <w:rPr>
                <w:bCs/>
                <w:sz w:val="20"/>
                <w:szCs w:val="20"/>
              </w:rPr>
            </w:pPr>
            <w:r w:rsidRPr="008B6A75">
              <w:rPr>
                <w:bCs/>
                <w:sz w:val="20"/>
                <w:szCs w:val="20"/>
              </w:rPr>
              <w:t>1 728 500,00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3AFB5BD7" w14:textId="77777777" w:rsidR="00387142" w:rsidRPr="008B6A75" w:rsidRDefault="00387142" w:rsidP="00387142">
            <w:pPr>
              <w:jc w:val="right"/>
              <w:rPr>
                <w:bCs/>
                <w:sz w:val="20"/>
                <w:szCs w:val="20"/>
              </w:rPr>
            </w:pPr>
            <w:r w:rsidRPr="008B6A75">
              <w:rPr>
                <w:bCs/>
                <w:sz w:val="20"/>
                <w:szCs w:val="20"/>
              </w:rPr>
              <w:t>0,00</w:t>
            </w:r>
          </w:p>
        </w:tc>
        <w:tc>
          <w:tcPr>
            <w:tcW w:w="222" w:type="dxa"/>
            <w:vAlign w:val="center"/>
            <w:hideMark/>
          </w:tcPr>
          <w:p w14:paraId="57FF0D9D" w14:textId="77777777" w:rsidR="00387142" w:rsidRPr="008B6A75" w:rsidRDefault="00387142" w:rsidP="00387142">
            <w:pPr>
              <w:rPr>
                <w:sz w:val="20"/>
                <w:szCs w:val="20"/>
              </w:rPr>
            </w:pPr>
          </w:p>
        </w:tc>
      </w:tr>
      <w:tr w:rsidR="00387142" w:rsidRPr="008B6A75" w14:paraId="55392A1A" w14:textId="77777777" w:rsidTr="00387142">
        <w:trPr>
          <w:trHeight w:val="2010"/>
        </w:trPr>
        <w:tc>
          <w:tcPr>
            <w:tcW w:w="3021" w:type="dxa"/>
            <w:tcBorders>
              <w:top w:val="single" w:sz="4" w:space="0" w:color="auto"/>
              <w:left w:val="single" w:sz="4" w:space="0" w:color="auto"/>
              <w:bottom w:val="nil"/>
              <w:right w:val="nil"/>
            </w:tcBorders>
            <w:shd w:val="clear" w:color="auto" w:fill="auto"/>
            <w:vAlign w:val="center"/>
            <w:hideMark/>
          </w:tcPr>
          <w:p w14:paraId="740F5D16" w14:textId="77777777" w:rsidR="00387142" w:rsidRPr="008B6A75" w:rsidRDefault="00387142" w:rsidP="00387142">
            <w:pPr>
              <w:rPr>
                <w:bCs/>
                <w:sz w:val="20"/>
                <w:szCs w:val="20"/>
              </w:rPr>
            </w:pPr>
            <w:r w:rsidRPr="008B6A75">
              <w:rPr>
                <w:bCs/>
                <w:sz w:val="20"/>
                <w:szCs w:val="20"/>
              </w:rPr>
              <w:lastRenderedPageBreak/>
              <w:t>Реализация мероприятий по созданию в общеобразовательных организациях, расположенных в сельской местности, условий для занятий физической культурой и спортом государственной программы Новосибирской области "Развитие физической культуры и спорта в Новосибирской области"</w:t>
            </w:r>
          </w:p>
        </w:tc>
        <w:tc>
          <w:tcPr>
            <w:tcW w:w="850" w:type="dxa"/>
            <w:tcBorders>
              <w:top w:val="single" w:sz="4" w:space="0" w:color="auto"/>
              <w:left w:val="single" w:sz="4" w:space="0" w:color="auto"/>
              <w:bottom w:val="nil"/>
              <w:right w:val="nil"/>
            </w:tcBorders>
            <w:shd w:val="clear" w:color="auto" w:fill="auto"/>
            <w:noWrap/>
            <w:vAlign w:val="center"/>
            <w:hideMark/>
          </w:tcPr>
          <w:p w14:paraId="0C731C17" w14:textId="77777777" w:rsidR="00387142" w:rsidRPr="008B6A75" w:rsidRDefault="00387142" w:rsidP="00387142">
            <w:pPr>
              <w:jc w:val="center"/>
              <w:rPr>
                <w:bCs/>
                <w:sz w:val="20"/>
                <w:szCs w:val="20"/>
              </w:rPr>
            </w:pPr>
            <w:r w:rsidRPr="008B6A75">
              <w:rPr>
                <w:bCs/>
                <w:sz w:val="20"/>
                <w:szCs w:val="20"/>
              </w:rPr>
              <w:t>444</w:t>
            </w:r>
          </w:p>
        </w:tc>
        <w:tc>
          <w:tcPr>
            <w:tcW w:w="709" w:type="dxa"/>
            <w:tcBorders>
              <w:top w:val="single" w:sz="4" w:space="0" w:color="auto"/>
              <w:left w:val="single" w:sz="4" w:space="0" w:color="auto"/>
              <w:bottom w:val="nil"/>
              <w:right w:val="nil"/>
            </w:tcBorders>
            <w:shd w:val="clear" w:color="auto" w:fill="auto"/>
            <w:noWrap/>
            <w:vAlign w:val="center"/>
            <w:hideMark/>
          </w:tcPr>
          <w:p w14:paraId="37096504" w14:textId="77777777" w:rsidR="00387142" w:rsidRPr="008B6A75" w:rsidRDefault="00387142" w:rsidP="00387142">
            <w:pPr>
              <w:jc w:val="center"/>
              <w:rPr>
                <w:bCs/>
                <w:sz w:val="20"/>
                <w:szCs w:val="20"/>
              </w:rPr>
            </w:pPr>
            <w:r w:rsidRPr="008B6A75">
              <w:rPr>
                <w:bCs/>
                <w:sz w:val="20"/>
                <w:szCs w:val="20"/>
              </w:rPr>
              <w:t>07</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7E7508F1" w14:textId="77777777" w:rsidR="00387142" w:rsidRPr="008B6A75" w:rsidRDefault="00387142" w:rsidP="00387142">
            <w:pPr>
              <w:jc w:val="center"/>
              <w:rPr>
                <w:bCs/>
                <w:sz w:val="20"/>
                <w:szCs w:val="20"/>
              </w:rPr>
            </w:pPr>
            <w:r w:rsidRPr="008B6A75">
              <w:rPr>
                <w:bCs/>
                <w:sz w:val="20"/>
                <w:szCs w:val="20"/>
              </w:rPr>
              <w:t>09</w:t>
            </w:r>
          </w:p>
        </w:tc>
        <w:tc>
          <w:tcPr>
            <w:tcW w:w="1411" w:type="dxa"/>
            <w:tcBorders>
              <w:top w:val="single" w:sz="4" w:space="0" w:color="auto"/>
              <w:left w:val="single" w:sz="4" w:space="0" w:color="auto"/>
              <w:bottom w:val="nil"/>
              <w:right w:val="nil"/>
            </w:tcBorders>
            <w:shd w:val="clear" w:color="auto" w:fill="auto"/>
            <w:noWrap/>
            <w:vAlign w:val="center"/>
            <w:hideMark/>
          </w:tcPr>
          <w:p w14:paraId="6AE4F21F" w14:textId="77777777" w:rsidR="00387142" w:rsidRPr="008B6A75" w:rsidRDefault="00387142" w:rsidP="00387142">
            <w:pPr>
              <w:jc w:val="center"/>
              <w:rPr>
                <w:bCs/>
                <w:sz w:val="20"/>
                <w:szCs w:val="20"/>
              </w:rPr>
            </w:pPr>
            <w:r w:rsidRPr="008B6A75">
              <w:rPr>
                <w:bCs/>
                <w:sz w:val="20"/>
                <w:szCs w:val="20"/>
              </w:rPr>
              <w:t>11.0.E2.00000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6C2970BE" w14:textId="77777777" w:rsidR="00387142" w:rsidRPr="008B6A75" w:rsidRDefault="00387142" w:rsidP="00387142">
            <w:pPr>
              <w:jc w:val="center"/>
              <w:rPr>
                <w:bCs/>
                <w:sz w:val="20"/>
                <w:szCs w:val="20"/>
              </w:rPr>
            </w:pPr>
            <w:r w:rsidRPr="008B6A75">
              <w:rPr>
                <w:bCs/>
                <w:sz w:val="20"/>
                <w:szCs w:val="20"/>
              </w:rPr>
              <w:t> </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0CD70F01" w14:textId="77777777" w:rsidR="00387142" w:rsidRPr="008B6A75" w:rsidRDefault="00387142" w:rsidP="00387142">
            <w:pPr>
              <w:jc w:val="right"/>
              <w:rPr>
                <w:bCs/>
                <w:sz w:val="20"/>
                <w:szCs w:val="20"/>
              </w:rPr>
            </w:pPr>
            <w:r w:rsidRPr="008B6A75">
              <w:rPr>
                <w:bCs/>
                <w:sz w:val="20"/>
                <w:szCs w:val="20"/>
              </w:rPr>
              <w:t>0,00</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31675515" w14:textId="77777777" w:rsidR="00387142" w:rsidRPr="008B6A75" w:rsidRDefault="00387142" w:rsidP="00387142">
            <w:pPr>
              <w:jc w:val="right"/>
              <w:rPr>
                <w:bCs/>
                <w:sz w:val="20"/>
                <w:szCs w:val="20"/>
              </w:rPr>
            </w:pPr>
            <w:r w:rsidRPr="008B6A75">
              <w:rPr>
                <w:bCs/>
                <w:sz w:val="20"/>
                <w:szCs w:val="20"/>
              </w:rPr>
              <w:t>1 728 500,00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6437D78D" w14:textId="77777777" w:rsidR="00387142" w:rsidRPr="008B6A75" w:rsidRDefault="00387142" w:rsidP="00387142">
            <w:pPr>
              <w:jc w:val="right"/>
              <w:rPr>
                <w:bCs/>
                <w:sz w:val="20"/>
                <w:szCs w:val="20"/>
              </w:rPr>
            </w:pPr>
            <w:r w:rsidRPr="008B6A75">
              <w:rPr>
                <w:bCs/>
                <w:sz w:val="20"/>
                <w:szCs w:val="20"/>
              </w:rPr>
              <w:t>0,00</w:t>
            </w:r>
          </w:p>
        </w:tc>
        <w:tc>
          <w:tcPr>
            <w:tcW w:w="222" w:type="dxa"/>
            <w:vAlign w:val="center"/>
            <w:hideMark/>
          </w:tcPr>
          <w:p w14:paraId="4D551CA8" w14:textId="77777777" w:rsidR="00387142" w:rsidRPr="008B6A75" w:rsidRDefault="00387142" w:rsidP="00387142">
            <w:pPr>
              <w:rPr>
                <w:sz w:val="20"/>
                <w:szCs w:val="20"/>
              </w:rPr>
            </w:pPr>
          </w:p>
        </w:tc>
      </w:tr>
      <w:tr w:rsidR="00387142" w:rsidRPr="008B6A75" w14:paraId="44226076" w14:textId="77777777" w:rsidTr="00387142">
        <w:trPr>
          <w:trHeight w:val="2010"/>
        </w:trPr>
        <w:tc>
          <w:tcPr>
            <w:tcW w:w="3021" w:type="dxa"/>
            <w:tcBorders>
              <w:top w:val="single" w:sz="4" w:space="0" w:color="auto"/>
              <w:left w:val="single" w:sz="4" w:space="0" w:color="auto"/>
              <w:bottom w:val="nil"/>
              <w:right w:val="nil"/>
            </w:tcBorders>
            <w:shd w:val="clear" w:color="auto" w:fill="auto"/>
            <w:vAlign w:val="center"/>
            <w:hideMark/>
          </w:tcPr>
          <w:p w14:paraId="0D1115D1" w14:textId="77777777" w:rsidR="00387142" w:rsidRPr="008B6A75" w:rsidRDefault="00387142" w:rsidP="00387142">
            <w:pPr>
              <w:rPr>
                <w:bCs/>
                <w:sz w:val="20"/>
                <w:szCs w:val="20"/>
              </w:rPr>
            </w:pPr>
            <w:r w:rsidRPr="008B6A75">
              <w:rPr>
                <w:bCs/>
                <w:sz w:val="20"/>
                <w:szCs w:val="20"/>
              </w:rPr>
              <w:t>Реализация мероприятий по созданию в общеобразовательных организациях, расположенных в сельской местности, условий для занятий физической культурой и спортом государственной программы Новосибирской области "Развитие физической культуры и спорта в Новосибирской области"</w:t>
            </w:r>
          </w:p>
        </w:tc>
        <w:tc>
          <w:tcPr>
            <w:tcW w:w="850" w:type="dxa"/>
            <w:tcBorders>
              <w:top w:val="single" w:sz="4" w:space="0" w:color="auto"/>
              <w:left w:val="single" w:sz="4" w:space="0" w:color="auto"/>
              <w:bottom w:val="nil"/>
              <w:right w:val="nil"/>
            </w:tcBorders>
            <w:shd w:val="clear" w:color="auto" w:fill="auto"/>
            <w:noWrap/>
            <w:vAlign w:val="center"/>
            <w:hideMark/>
          </w:tcPr>
          <w:p w14:paraId="637EBBC1" w14:textId="77777777" w:rsidR="00387142" w:rsidRPr="008B6A75" w:rsidRDefault="00387142" w:rsidP="00387142">
            <w:pPr>
              <w:jc w:val="center"/>
              <w:rPr>
                <w:bCs/>
                <w:sz w:val="20"/>
                <w:szCs w:val="20"/>
              </w:rPr>
            </w:pPr>
            <w:r w:rsidRPr="008B6A75">
              <w:rPr>
                <w:bCs/>
                <w:sz w:val="20"/>
                <w:szCs w:val="20"/>
              </w:rPr>
              <w:t>444</w:t>
            </w:r>
          </w:p>
        </w:tc>
        <w:tc>
          <w:tcPr>
            <w:tcW w:w="709" w:type="dxa"/>
            <w:tcBorders>
              <w:top w:val="single" w:sz="4" w:space="0" w:color="auto"/>
              <w:left w:val="single" w:sz="4" w:space="0" w:color="auto"/>
              <w:bottom w:val="nil"/>
              <w:right w:val="nil"/>
            </w:tcBorders>
            <w:shd w:val="clear" w:color="auto" w:fill="auto"/>
            <w:noWrap/>
            <w:vAlign w:val="center"/>
            <w:hideMark/>
          </w:tcPr>
          <w:p w14:paraId="0FF5CA3C" w14:textId="77777777" w:rsidR="00387142" w:rsidRPr="008B6A75" w:rsidRDefault="00387142" w:rsidP="00387142">
            <w:pPr>
              <w:jc w:val="center"/>
              <w:rPr>
                <w:bCs/>
                <w:sz w:val="20"/>
                <w:szCs w:val="20"/>
              </w:rPr>
            </w:pPr>
            <w:r w:rsidRPr="008B6A75">
              <w:rPr>
                <w:bCs/>
                <w:sz w:val="20"/>
                <w:szCs w:val="20"/>
              </w:rPr>
              <w:t>07</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635C2195" w14:textId="77777777" w:rsidR="00387142" w:rsidRPr="008B6A75" w:rsidRDefault="00387142" w:rsidP="00387142">
            <w:pPr>
              <w:jc w:val="center"/>
              <w:rPr>
                <w:bCs/>
                <w:sz w:val="20"/>
                <w:szCs w:val="20"/>
              </w:rPr>
            </w:pPr>
            <w:r w:rsidRPr="008B6A75">
              <w:rPr>
                <w:bCs/>
                <w:sz w:val="20"/>
                <w:szCs w:val="20"/>
              </w:rPr>
              <w:t>09</w:t>
            </w:r>
          </w:p>
        </w:tc>
        <w:tc>
          <w:tcPr>
            <w:tcW w:w="1411" w:type="dxa"/>
            <w:tcBorders>
              <w:top w:val="single" w:sz="4" w:space="0" w:color="auto"/>
              <w:left w:val="single" w:sz="4" w:space="0" w:color="auto"/>
              <w:bottom w:val="nil"/>
              <w:right w:val="nil"/>
            </w:tcBorders>
            <w:shd w:val="clear" w:color="auto" w:fill="auto"/>
            <w:noWrap/>
            <w:vAlign w:val="center"/>
            <w:hideMark/>
          </w:tcPr>
          <w:p w14:paraId="60813D66" w14:textId="77777777" w:rsidR="00387142" w:rsidRPr="008B6A75" w:rsidRDefault="00387142" w:rsidP="00387142">
            <w:pPr>
              <w:jc w:val="center"/>
              <w:rPr>
                <w:bCs/>
                <w:sz w:val="20"/>
                <w:szCs w:val="20"/>
              </w:rPr>
            </w:pPr>
            <w:r w:rsidRPr="008B6A75">
              <w:rPr>
                <w:bCs/>
                <w:sz w:val="20"/>
                <w:szCs w:val="20"/>
              </w:rPr>
              <w:t>11.0.E2.50970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591D5DF3" w14:textId="77777777" w:rsidR="00387142" w:rsidRPr="008B6A75" w:rsidRDefault="00387142" w:rsidP="00387142">
            <w:pPr>
              <w:jc w:val="center"/>
              <w:rPr>
                <w:bCs/>
                <w:sz w:val="20"/>
                <w:szCs w:val="20"/>
              </w:rPr>
            </w:pPr>
            <w:r w:rsidRPr="008B6A75">
              <w:rPr>
                <w:bCs/>
                <w:sz w:val="20"/>
                <w:szCs w:val="20"/>
              </w:rPr>
              <w:t> </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56AA22B2" w14:textId="77777777" w:rsidR="00387142" w:rsidRPr="008B6A75" w:rsidRDefault="00387142" w:rsidP="00387142">
            <w:pPr>
              <w:jc w:val="right"/>
              <w:rPr>
                <w:bCs/>
                <w:sz w:val="20"/>
                <w:szCs w:val="20"/>
              </w:rPr>
            </w:pPr>
            <w:r w:rsidRPr="008B6A75">
              <w:rPr>
                <w:bCs/>
                <w:sz w:val="20"/>
                <w:szCs w:val="20"/>
              </w:rPr>
              <w:t>0,00</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5801E453" w14:textId="77777777" w:rsidR="00387142" w:rsidRPr="008B6A75" w:rsidRDefault="00387142" w:rsidP="00387142">
            <w:pPr>
              <w:jc w:val="right"/>
              <w:rPr>
                <w:bCs/>
                <w:sz w:val="20"/>
                <w:szCs w:val="20"/>
              </w:rPr>
            </w:pPr>
            <w:r w:rsidRPr="008B6A75">
              <w:rPr>
                <w:bCs/>
                <w:sz w:val="20"/>
                <w:szCs w:val="20"/>
              </w:rPr>
              <w:t>1 728 500,00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5BA11FF0" w14:textId="77777777" w:rsidR="00387142" w:rsidRPr="008B6A75" w:rsidRDefault="00387142" w:rsidP="00387142">
            <w:pPr>
              <w:jc w:val="right"/>
              <w:rPr>
                <w:bCs/>
                <w:sz w:val="20"/>
                <w:szCs w:val="20"/>
              </w:rPr>
            </w:pPr>
            <w:r w:rsidRPr="008B6A75">
              <w:rPr>
                <w:bCs/>
                <w:sz w:val="20"/>
                <w:szCs w:val="20"/>
              </w:rPr>
              <w:t>0,00</w:t>
            </w:r>
          </w:p>
        </w:tc>
        <w:tc>
          <w:tcPr>
            <w:tcW w:w="222" w:type="dxa"/>
            <w:vAlign w:val="center"/>
            <w:hideMark/>
          </w:tcPr>
          <w:p w14:paraId="4F532795" w14:textId="77777777" w:rsidR="00387142" w:rsidRPr="008B6A75" w:rsidRDefault="00387142" w:rsidP="00387142">
            <w:pPr>
              <w:rPr>
                <w:sz w:val="20"/>
                <w:szCs w:val="20"/>
              </w:rPr>
            </w:pPr>
          </w:p>
        </w:tc>
      </w:tr>
      <w:tr w:rsidR="00387142" w:rsidRPr="008B6A75" w14:paraId="15E5EDA5" w14:textId="77777777" w:rsidTr="00387142">
        <w:trPr>
          <w:trHeight w:val="585"/>
        </w:trPr>
        <w:tc>
          <w:tcPr>
            <w:tcW w:w="3021" w:type="dxa"/>
            <w:tcBorders>
              <w:top w:val="single" w:sz="4" w:space="0" w:color="auto"/>
              <w:left w:val="single" w:sz="4" w:space="0" w:color="auto"/>
              <w:bottom w:val="nil"/>
              <w:right w:val="nil"/>
            </w:tcBorders>
            <w:shd w:val="clear" w:color="auto" w:fill="auto"/>
            <w:vAlign w:val="center"/>
            <w:hideMark/>
          </w:tcPr>
          <w:p w14:paraId="75DB66D4" w14:textId="77777777" w:rsidR="00387142" w:rsidRPr="008B6A75" w:rsidRDefault="00387142" w:rsidP="00387142">
            <w:pPr>
              <w:rPr>
                <w:sz w:val="20"/>
                <w:szCs w:val="20"/>
              </w:rPr>
            </w:pPr>
            <w:r w:rsidRPr="008B6A75">
              <w:rPr>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nil"/>
              <w:right w:val="nil"/>
            </w:tcBorders>
            <w:shd w:val="clear" w:color="auto" w:fill="auto"/>
            <w:noWrap/>
            <w:vAlign w:val="center"/>
            <w:hideMark/>
          </w:tcPr>
          <w:p w14:paraId="7D04DCA8" w14:textId="77777777" w:rsidR="00387142" w:rsidRPr="008B6A75" w:rsidRDefault="00387142" w:rsidP="00387142">
            <w:pPr>
              <w:jc w:val="center"/>
              <w:rPr>
                <w:sz w:val="20"/>
                <w:szCs w:val="20"/>
              </w:rPr>
            </w:pPr>
            <w:r w:rsidRPr="008B6A75">
              <w:rPr>
                <w:sz w:val="20"/>
                <w:szCs w:val="20"/>
              </w:rPr>
              <w:t>444</w:t>
            </w:r>
          </w:p>
        </w:tc>
        <w:tc>
          <w:tcPr>
            <w:tcW w:w="709" w:type="dxa"/>
            <w:tcBorders>
              <w:top w:val="single" w:sz="4" w:space="0" w:color="auto"/>
              <w:left w:val="single" w:sz="4" w:space="0" w:color="auto"/>
              <w:bottom w:val="nil"/>
              <w:right w:val="nil"/>
            </w:tcBorders>
            <w:shd w:val="clear" w:color="auto" w:fill="auto"/>
            <w:noWrap/>
            <w:vAlign w:val="center"/>
            <w:hideMark/>
          </w:tcPr>
          <w:p w14:paraId="3E920CCC" w14:textId="77777777" w:rsidR="00387142" w:rsidRPr="008B6A75" w:rsidRDefault="00387142" w:rsidP="00387142">
            <w:pPr>
              <w:jc w:val="center"/>
              <w:rPr>
                <w:sz w:val="20"/>
                <w:szCs w:val="20"/>
              </w:rPr>
            </w:pPr>
            <w:r w:rsidRPr="008B6A75">
              <w:rPr>
                <w:sz w:val="20"/>
                <w:szCs w:val="20"/>
              </w:rPr>
              <w:t>07</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0401BA04" w14:textId="77777777" w:rsidR="00387142" w:rsidRPr="008B6A75" w:rsidRDefault="00387142" w:rsidP="00387142">
            <w:pPr>
              <w:jc w:val="center"/>
              <w:rPr>
                <w:sz w:val="20"/>
                <w:szCs w:val="20"/>
              </w:rPr>
            </w:pPr>
            <w:r w:rsidRPr="008B6A75">
              <w:rPr>
                <w:sz w:val="20"/>
                <w:szCs w:val="20"/>
              </w:rPr>
              <w:t>09</w:t>
            </w:r>
          </w:p>
        </w:tc>
        <w:tc>
          <w:tcPr>
            <w:tcW w:w="1411" w:type="dxa"/>
            <w:tcBorders>
              <w:top w:val="single" w:sz="4" w:space="0" w:color="auto"/>
              <w:left w:val="single" w:sz="4" w:space="0" w:color="auto"/>
              <w:bottom w:val="nil"/>
              <w:right w:val="nil"/>
            </w:tcBorders>
            <w:shd w:val="clear" w:color="auto" w:fill="auto"/>
            <w:noWrap/>
            <w:vAlign w:val="center"/>
            <w:hideMark/>
          </w:tcPr>
          <w:p w14:paraId="5149DF01" w14:textId="77777777" w:rsidR="00387142" w:rsidRPr="008B6A75" w:rsidRDefault="00387142" w:rsidP="00387142">
            <w:pPr>
              <w:jc w:val="center"/>
              <w:rPr>
                <w:sz w:val="20"/>
                <w:szCs w:val="20"/>
              </w:rPr>
            </w:pPr>
            <w:r w:rsidRPr="008B6A75">
              <w:rPr>
                <w:sz w:val="20"/>
                <w:szCs w:val="20"/>
              </w:rPr>
              <w:t>11.0.E2.50970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19FD0202" w14:textId="77777777" w:rsidR="00387142" w:rsidRPr="008B6A75" w:rsidRDefault="00387142" w:rsidP="00387142">
            <w:pPr>
              <w:jc w:val="center"/>
              <w:rPr>
                <w:sz w:val="20"/>
                <w:szCs w:val="20"/>
              </w:rPr>
            </w:pPr>
            <w:r w:rsidRPr="008B6A75">
              <w:rPr>
                <w:sz w:val="20"/>
                <w:szCs w:val="20"/>
              </w:rPr>
              <w:t>200</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1A42B5A2" w14:textId="77777777" w:rsidR="00387142" w:rsidRPr="008B6A75" w:rsidRDefault="00387142" w:rsidP="00387142">
            <w:pPr>
              <w:jc w:val="right"/>
              <w:rPr>
                <w:sz w:val="20"/>
                <w:szCs w:val="20"/>
              </w:rPr>
            </w:pPr>
            <w:r w:rsidRPr="008B6A75">
              <w:rPr>
                <w:sz w:val="20"/>
                <w:szCs w:val="20"/>
              </w:rPr>
              <w:t>0,00</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0C3ED674" w14:textId="77777777" w:rsidR="00387142" w:rsidRPr="008B6A75" w:rsidRDefault="00387142" w:rsidP="00387142">
            <w:pPr>
              <w:jc w:val="right"/>
              <w:rPr>
                <w:sz w:val="20"/>
                <w:szCs w:val="20"/>
              </w:rPr>
            </w:pPr>
            <w:r w:rsidRPr="008B6A75">
              <w:rPr>
                <w:sz w:val="20"/>
                <w:szCs w:val="20"/>
              </w:rPr>
              <w:t>1 728 500,00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61B5E85F" w14:textId="77777777" w:rsidR="00387142" w:rsidRPr="008B6A75" w:rsidRDefault="00387142" w:rsidP="00387142">
            <w:pPr>
              <w:jc w:val="right"/>
              <w:rPr>
                <w:sz w:val="20"/>
                <w:szCs w:val="20"/>
              </w:rPr>
            </w:pPr>
            <w:r w:rsidRPr="008B6A75">
              <w:rPr>
                <w:sz w:val="20"/>
                <w:szCs w:val="20"/>
              </w:rPr>
              <w:t>0,00</w:t>
            </w:r>
          </w:p>
        </w:tc>
        <w:tc>
          <w:tcPr>
            <w:tcW w:w="222" w:type="dxa"/>
            <w:vAlign w:val="center"/>
            <w:hideMark/>
          </w:tcPr>
          <w:p w14:paraId="1AA06240" w14:textId="77777777" w:rsidR="00387142" w:rsidRPr="008B6A75" w:rsidRDefault="00387142" w:rsidP="00387142">
            <w:pPr>
              <w:rPr>
                <w:sz w:val="20"/>
                <w:szCs w:val="20"/>
              </w:rPr>
            </w:pPr>
          </w:p>
        </w:tc>
      </w:tr>
      <w:tr w:rsidR="00387142" w:rsidRPr="008B6A75" w14:paraId="74219FA2" w14:textId="77777777" w:rsidTr="00387142">
        <w:trPr>
          <w:trHeight w:val="870"/>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30DA95DB" w14:textId="77777777" w:rsidR="00387142" w:rsidRPr="008B6A75" w:rsidRDefault="00387142" w:rsidP="00387142">
            <w:pPr>
              <w:rPr>
                <w:sz w:val="20"/>
                <w:szCs w:val="20"/>
              </w:rPr>
            </w:pPr>
            <w:r w:rsidRPr="008B6A75">
              <w:rPr>
                <w:sz w:val="20"/>
                <w:szCs w:val="20"/>
              </w:rPr>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4CB3ADE7" w14:textId="77777777" w:rsidR="00387142" w:rsidRPr="008B6A75" w:rsidRDefault="00387142" w:rsidP="00387142">
            <w:pPr>
              <w:jc w:val="center"/>
              <w:rPr>
                <w:sz w:val="20"/>
                <w:szCs w:val="20"/>
              </w:rPr>
            </w:pPr>
            <w:r w:rsidRPr="008B6A75">
              <w:rPr>
                <w:sz w:val="20"/>
                <w:szCs w:val="20"/>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24234B5D" w14:textId="77777777" w:rsidR="00387142" w:rsidRPr="008B6A75" w:rsidRDefault="00387142" w:rsidP="00387142">
            <w:pPr>
              <w:jc w:val="center"/>
              <w:rPr>
                <w:sz w:val="20"/>
                <w:szCs w:val="20"/>
              </w:rPr>
            </w:pPr>
            <w:r w:rsidRPr="008B6A75">
              <w:rPr>
                <w:sz w:val="20"/>
                <w:szCs w:val="20"/>
              </w:rPr>
              <w:t>07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0EFD75" w14:textId="77777777" w:rsidR="00387142" w:rsidRPr="008B6A75" w:rsidRDefault="00387142" w:rsidP="00387142">
            <w:pPr>
              <w:jc w:val="center"/>
              <w:rPr>
                <w:sz w:val="20"/>
                <w:szCs w:val="20"/>
              </w:rPr>
            </w:pPr>
            <w:r w:rsidRPr="008B6A75">
              <w:rPr>
                <w:sz w:val="20"/>
                <w:szCs w:val="20"/>
              </w:rPr>
              <w:t>09</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4F1E6711" w14:textId="77777777" w:rsidR="00387142" w:rsidRPr="008B6A75" w:rsidRDefault="00387142" w:rsidP="00387142">
            <w:pPr>
              <w:jc w:val="center"/>
              <w:rPr>
                <w:sz w:val="20"/>
                <w:szCs w:val="20"/>
              </w:rPr>
            </w:pPr>
            <w:r w:rsidRPr="008B6A75">
              <w:rPr>
                <w:sz w:val="20"/>
                <w:szCs w:val="20"/>
              </w:rPr>
              <w:t>11.0.E2.50970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64D0DD" w14:textId="77777777" w:rsidR="00387142" w:rsidRPr="008B6A75" w:rsidRDefault="00387142" w:rsidP="00387142">
            <w:pPr>
              <w:jc w:val="center"/>
              <w:rPr>
                <w:sz w:val="20"/>
                <w:szCs w:val="20"/>
              </w:rPr>
            </w:pPr>
            <w:r w:rsidRPr="008B6A75">
              <w:rPr>
                <w:sz w:val="20"/>
                <w:szCs w:val="20"/>
              </w:rPr>
              <w:t>240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AD9863" w14:textId="77777777" w:rsidR="00387142" w:rsidRPr="008B6A75" w:rsidRDefault="00387142" w:rsidP="00387142">
            <w:pPr>
              <w:jc w:val="right"/>
              <w:rPr>
                <w:sz w:val="20"/>
                <w:szCs w:val="20"/>
              </w:rPr>
            </w:pPr>
            <w:r w:rsidRPr="008B6A75">
              <w:rPr>
                <w:sz w:val="20"/>
                <w:szCs w:val="20"/>
              </w:rPr>
              <w:t>0,00</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78BBC93B" w14:textId="77777777" w:rsidR="00387142" w:rsidRPr="008B6A75" w:rsidRDefault="00387142" w:rsidP="00387142">
            <w:pPr>
              <w:jc w:val="right"/>
              <w:rPr>
                <w:sz w:val="20"/>
                <w:szCs w:val="20"/>
              </w:rPr>
            </w:pPr>
            <w:r w:rsidRPr="008B6A75">
              <w:rPr>
                <w:sz w:val="20"/>
                <w:szCs w:val="20"/>
              </w:rPr>
              <w:t>1 728 500,00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23D046" w14:textId="77777777" w:rsidR="00387142" w:rsidRPr="008B6A75" w:rsidRDefault="00387142" w:rsidP="00387142">
            <w:pPr>
              <w:jc w:val="right"/>
              <w:rPr>
                <w:sz w:val="20"/>
                <w:szCs w:val="20"/>
              </w:rPr>
            </w:pPr>
            <w:r w:rsidRPr="008B6A75">
              <w:rPr>
                <w:sz w:val="20"/>
                <w:szCs w:val="20"/>
              </w:rPr>
              <w:t>0,00</w:t>
            </w:r>
          </w:p>
        </w:tc>
        <w:tc>
          <w:tcPr>
            <w:tcW w:w="222" w:type="dxa"/>
            <w:vAlign w:val="center"/>
            <w:hideMark/>
          </w:tcPr>
          <w:p w14:paraId="13F9E061" w14:textId="77777777" w:rsidR="00387142" w:rsidRPr="008B6A75" w:rsidRDefault="00387142" w:rsidP="00387142">
            <w:pPr>
              <w:rPr>
                <w:sz w:val="20"/>
                <w:szCs w:val="20"/>
              </w:rPr>
            </w:pPr>
          </w:p>
        </w:tc>
      </w:tr>
      <w:tr w:rsidR="00387142" w:rsidRPr="008B6A75" w14:paraId="0FD289B1" w14:textId="77777777" w:rsidTr="00387142">
        <w:trPr>
          <w:trHeight w:val="300"/>
        </w:trPr>
        <w:tc>
          <w:tcPr>
            <w:tcW w:w="3021" w:type="dxa"/>
            <w:tcBorders>
              <w:top w:val="nil"/>
              <w:left w:val="single" w:sz="4" w:space="0" w:color="auto"/>
              <w:bottom w:val="nil"/>
              <w:right w:val="nil"/>
            </w:tcBorders>
            <w:shd w:val="clear" w:color="auto" w:fill="auto"/>
            <w:vAlign w:val="center"/>
            <w:hideMark/>
          </w:tcPr>
          <w:p w14:paraId="48F6051C" w14:textId="77777777" w:rsidR="00387142" w:rsidRPr="008B6A75" w:rsidRDefault="00387142" w:rsidP="00387142">
            <w:pPr>
              <w:rPr>
                <w:bCs/>
                <w:sz w:val="20"/>
                <w:szCs w:val="20"/>
              </w:rPr>
            </w:pPr>
            <w:r w:rsidRPr="008B6A75">
              <w:rPr>
                <w:bCs/>
                <w:sz w:val="20"/>
                <w:szCs w:val="20"/>
              </w:rPr>
              <w:t>Непрограммные направления бюджета</w:t>
            </w:r>
          </w:p>
        </w:tc>
        <w:tc>
          <w:tcPr>
            <w:tcW w:w="850" w:type="dxa"/>
            <w:tcBorders>
              <w:top w:val="nil"/>
              <w:left w:val="single" w:sz="4" w:space="0" w:color="auto"/>
              <w:bottom w:val="nil"/>
              <w:right w:val="nil"/>
            </w:tcBorders>
            <w:shd w:val="clear" w:color="auto" w:fill="auto"/>
            <w:noWrap/>
            <w:vAlign w:val="center"/>
            <w:hideMark/>
          </w:tcPr>
          <w:p w14:paraId="212ED55F" w14:textId="77777777" w:rsidR="00387142" w:rsidRPr="008B6A75" w:rsidRDefault="00387142" w:rsidP="00387142">
            <w:pPr>
              <w:jc w:val="center"/>
              <w:rPr>
                <w:bCs/>
                <w:sz w:val="20"/>
                <w:szCs w:val="20"/>
              </w:rPr>
            </w:pPr>
            <w:r w:rsidRPr="008B6A75">
              <w:rPr>
                <w:bCs/>
                <w:sz w:val="20"/>
                <w:szCs w:val="20"/>
              </w:rPr>
              <w:t>444</w:t>
            </w:r>
          </w:p>
        </w:tc>
        <w:tc>
          <w:tcPr>
            <w:tcW w:w="709" w:type="dxa"/>
            <w:tcBorders>
              <w:top w:val="nil"/>
              <w:left w:val="single" w:sz="4" w:space="0" w:color="auto"/>
              <w:bottom w:val="nil"/>
              <w:right w:val="nil"/>
            </w:tcBorders>
            <w:shd w:val="clear" w:color="auto" w:fill="auto"/>
            <w:noWrap/>
            <w:vAlign w:val="center"/>
            <w:hideMark/>
          </w:tcPr>
          <w:p w14:paraId="1CBC5AF5" w14:textId="77777777" w:rsidR="00387142" w:rsidRPr="008B6A75" w:rsidRDefault="00387142" w:rsidP="00387142">
            <w:pPr>
              <w:jc w:val="center"/>
              <w:rPr>
                <w:bCs/>
                <w:sz w:val="20"/>
                <w:szCs w:val="20"/>
              </w:rPr>
            </w:pPr>
            <w:r w:rsidRPr="008B6A75">
              <w:rPr>
                <w:bCs/>
                <w:sz w:val="20"/>
                <w:szCs w:val="20"/>
              </w:rPr>
              <w:t>07</w:t>
            </w:r>
          </w:p>
        </w:tc>
        <w:tc>
          <w:tcPr>
            <w:tcW w:w="709" w:type="dxa"/>
            <w:tcBorders>
              <w:top w:val="nil"/>
              <w:left w:val="single" w:sz="4" w:space="0" w:color="auto"/>
              <w:bottom w:val="nil"/>
              <w:right w:val="single" w:sz="4" w:space="0" w:color="auto"/>
            </w:tcBorders>
            <w:shd w:val="clear" w:color="auto" w:fill="auto"/>
            <w:noWrap/>
            <w:vAlign w:val="center"/>
            <w:hideMark/>
          </w:tcPr>
          <w:p w14:paraId="00FA1A63" w14:textId="77777777" w:rsidR="00387142" w:rsidRPr="008B6A75" w:rsidRDefault="00387142" w:rsidP="00387142">
            <w:pPr>
              <w:jc w:val="center"/>
              <w:rPr>
                <w:bCs/>
                <w:sz w:val="20"/>
                <w:szCs w:val="20"/>
              </w:rPr>
            </w:pPr>
            <w:r w:rsidRPr="008B6A75">
              <w:rPr>
                <w:bCs/>
                <w:sz w:val="20"/>
                <w:szCs w:val="20"/>
              </w:rPr>
              <w:t>09</w:t>
            </w:r>
          </w:p>
        </w:tc>
        <w:tc>
          <w:tcPr>
            <w:tcW w:w="1411" w:type="dxa"/>
            <w:tcBorders>
              <w:top w:val="nil"/>
              <w:left w:val="single" w:sz="4" w:space="0" w:color="auto"/>
              <w:bottom w:val="nil"/>
              <w:right w:val="nil"/>
            </w:tcBorders>
            <w:shd w:val="clear" w:color="auto" w:fill="auto"/>
            <w:noWrap/>
            <w:vAlign w:val="center"/>
            <w:hideMark/>
          </w:tcPr>
          <w:p w14:paraId="15D2EFFB" w14:textId="77777777" w:rsidR="00387142" w:rsidRPr="008B6A75" w:rsidRDefault="00387142" w:rsidP="00387142">
            <w:pPr>
              <w:jc w:val="center"/>
              <w:rPr>
                <w:bCs/>
                <w:sz w:val="20"/>
                <w:szCs w:val="20"/>
              </w:rPr>
            </w:pPr>
            <w:r w:rsidRPr="008B6A75">
              <w:rPr>
                <w:bCs/>
                <w:sz w:val="20"/>
                <w:szCs w:val="20"/>
              </w:rPr>
              <w:t>99.0.00.00000</w:t>
            </w:r>
          </w:p>
        </w:tc>
        <w:tc>
          <w:tcPr>
            <w:tcW w:w="955" w:type="dxa"/>
            <w:tcBorders>
              <w:top w:val="nil"/>
              <w:left w:val="single" w:sz="4" w:space="0" w:color="auto"/>
              <w:bottom w:val="nil"/>
              <w:right w:val="single" w:sz="4" w:space="0" w:color="auto"/>
            </w:tcBorders>
            <w:shd w:val="clear" w:color="auto" w:fill="auto"/>
            <w:noWrap/>
            <w:vAlign w:val="center"/>
            <w:hideMark/>
          </w:tcPr>
          <w:p w14:paraId="584D2382"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nil"/>
              <w:right w:val="single" w:sz="4" w:space="0" w:color="auto"/>
            </w:tcBorders>
            <w:shd w:val="clear" w:color="auto" w:fill="auto"/>
            <w:noWrap/>
            <w:vAlign w:val="center"/>
            <w:hideMark/>
          </w:tcPr>
          <w:p w14:paraId="225827D4" w14:textId="77777777" w:rsidR="00387142" w:rsidRPr="008B6A75" w:rsidRDefault="00387142" w:rsidP="00387142">
            <w:pPr>
              <w:jc w:val="right"/>
              <w:rPr>
                <w:bCs/>
                <w:sz w:val="20"/>
                <w:szCs w:val="20"/>
              </w:rPr>
            </w:pPr>
            <w:r w:rsidRPr="008B6A75">
              <w:rPr>
                <w:bCs/>
                <w:sz w:val="20"/>
                <w:szCs w:val="20"/>
              </w:rPr>
              <w:t>3 000 000,00</w:t>
            </w:r>
          </w:p>
        </w:tc>
        <w:tc>
          <w:tcPr>
            <w:tcW w:w="992" w:type="dxa"/>
            <w:gridSpan w:val="2"/>
            <w:tcBorders>
              <w:top w:val="nil"/>
              <w:left w:val="single" w:sz="4" w:space="0" w:color="auto"/>
              <w:bottom w:val="nil"/>
              <w:right w:val="nil"/>
            </w:tcBorders>
            <w:shd w:val="clear" w:color="auto" w:fill="auto"/>
            <w:noWrap/>
            <w:vAlign w:val="center"/>
            <w:hideMark/>
          </w:tcPr>
          <w:p w14:paraId="2AFCB9E6" w14:textId="77777777" w:rsidR="00387142" w:rsidRPr="008B6A75" w:rsidRDefault="00387142" w:rsidP="00387142">
            <w:pPr>
              <w:jc w:val="right"/>
              <w:rPr>
                <w:bCs/>
                <w:sz w:val="20"/>
                <w:szCs w:val="20"/>
              </w:rPr>
            </w:pPr>
            <w:r w:rsidRPr="008B6A75">
              <w:rPr>
                <w:bCs/>
                <w:sz w:val="20"/>
                <w:szCs w:val="20"/>
              </w:rPr>
              <w:t>0,00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3C7463C7" w14:textId="77777777" w:rsidR="00387142" w:rsidRPr="008B6A75" w:rsidRDefault="00387142" w:rsidP="00387142">
            <w:pPr>
              <w:jc w:val="right"/>
              <w:rPr>
                <w:bCs/>
                <w:sz w:val="20"/>
                <w:szCs w:val="20"/>
              </w:rPr>
            </w:pPr>
            <w:r w:rsidRPr="008B6A75">
              <w:rPr>
                <w:bCs/>
                <w:sz w:val="20"/>
                <w:szCs w:val="20"/>
              </w:rPr>
              <w:t>0,00</w:t>
            </w:r>
          </w:p>
        </w:tc>
        <w:tc>
          <w:tcPr>
            <w:tcW w:w="222" w:type="dxa"/>
            <w:vAlign w:val="center"/>
            <w:hideMark/>
          </w:tcPr>
          <w:p w14:paraId="58249E1C" w14:textId="77777777" w:rsidR="00387142" w:rsidRPr="008B6A75" w:rsidRDefault="00387142" w:rsidP="00387142">
            <w:pPr>
              <w:rPr>
                <w:sz w:val="20"/>
                <w:szCs w:val="20"/>
              </w:rPr>
            </w:pPr>
          </w:p>
        </w:tc>
      </w:tr>
      <w:tr w:rsidR="00387142" w:rsidRPr="008B6A75" w14:paraId="6A9D3CDA" w14:textId="77777777" w:rsidTr="00387142">
        <w:trPr>
          <w:trHeight w:val="585"/>
        </w:trPr>
        <w:tc>
          <w:tcPr>
            <w:tcW w:w="3021" w:type="dxa"/>
            <w:tcBorders>
              <w:top w:val="single" w:sz="4" w:space="0" w:color="auto"/>
              <w:left w:val="single" w:sz="4" w:space="0" w:color="auto"/>
              <w:bottom w:val="nil"/>
              <w:right w:val="nil"/>
            </w:tcBorders>
            <w:shd w:val="clear" w:color="auto" w:fill="auto"/>
            <w:vAlign w:val="center"/>
            <w:hideMark/>
          </w:tcPr>
          <w:p w14:paraId="1AF905E6" w14:textId="77777777" w:rsidR="00387142" w:rsidRPr="008B6A75" w:rsidRDefault="00387142" w:rsidP="00387142">
            <w:pPr>
              <w:rPr>
                <w:bCs/>
                <w:sz w:val="20"/>
                <w:szCs w:val="20"/>
              </w:rPr>
            </w:pPr>
            <w:r w:rsidRPr="008B6A75">
              <w:rPr>
                <w:bCs/>
                <w:sz w:val="20"/>
                <w:szCs w:val="20"/>
              </w:rPr>
              <w:t xml:space="preserve">Расходы на предоставление субсидии автономным учреждениям </w:t>
            </w:r>
          </w:p>
        </w:tc>
        <w:tc>
          <w:tcPr>
            <w:tcW w:w="850" w:type="dxa"/>
            <w:tcBorders>
              <w:top w:val="single" w:sz="4" w:space="0" w:color="auto"/>
              <w:left w:val="single" w:sz="4" w:space="0" w:color="auto"/>
              <w:bottom w:val="nil"/>
              <w:right w:val="nil"/>
            </w:tcBorders>
            <w:shd w:val="clear" w:color="auto" w:fill="auto"/>
            <w:noWrap/>
            <w:vAlign w:val="center"/>
            <w:hideMark/>
          </w:tcPr>
          <w:p w14:paraId="5E63FDAD" w14:textId="77777777" w:rsidR="00387142" w:rsidRPr="008B6A75" w:rsidRDefault="00387142" w:rsidP="00387142">
            <w:pPr>
              <w:jc w:val="center"/>
              <w:rPr>
                <w:bCs/>
                <w:sz w:val="20"/>
                <w:szCs w:val="20"/>
              </w:rPr>
            </w:pPr>
            <w:r w:rsidRPr="008B6A75">
              <w:rPr>
                <w:bCs/>
                <w:sz w:val="20"/>
                <w:szCs w:val="20"/>
              </w:rPr>
              <w:t>444</w:t>
            </w:r>
          </w:p>
        </w:tc>
        <w:tc>
          <w:tcPr>
            <w:tcW w:w="709" w:type="dxa"/>
            <w:tcBorders>
              <w:top w:val="single" w:sz="4" w:space="0" w:color="auto"/>
              <w:left w:val="single" w:sz="4" w:space="0" w:color="auto"/>
              <w:bottom w:val="nil"/>
              <w:right w:val="nil"/>
            </w:tcBorders>
            <w:shd w:val="clear" w:color="auto" w:fill="auto"/>
            <w:noWrap/>
            <w:vAlign w:val="center"/>
            <w:hideMark/>
          </w:tcPr>
          <w:p w14:paraId="3D07CDBC" w14:textId="77777777" w:rsidR="00387142" w:rsidRPr="008B6A75" w:rsidRDefault="00387142" w:rsidP="00387142">
            <w:pPr>
              <w:jc w:val="center"/>
              <w:rPr>
                <w:bCs/>
                <w:sz w:val="20"/>
                <w:szCs w:val="20"/>
              </w:rPr>
            </w:pPr>
            <w:r w:rsidRPr="008B6A75">
              <w:rPr>
                <w:bCs/>
                <w:sz w:val="20"/>
                <w:szCs w:val="20"/>
              </w:rPr>
              <w:t>07</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6F6C70BF" w14:textId="77777777" w:rsidR="00387142" w:rsidRPr="008B6A75" w:rsidRDefault="00387142" w:rsidP="00387142">
            <w:pPr>
              <w:jc w:val="center"/>
              <w:rPr>
                <w:bCs/>
                <w:sz w:val="20"/>
                <w:szCs w:val="20"/>
              </w:rPr>
            </w:pPr>
            <w:r w:rsidRPr="008B6A75">
              <w:rPr>
                <w:bCs/>
                <w:sz w:val="20"/>
                <w:szCs w:val="20"/>
              </w:rPr>
              <w:t>09</w:t>
            </w:r>
          </w:p>
        </w:tc>
        <w:tc>
          <w:tcPr>
            <w:tcW w:w="1411" w:type="dxa"/>
            <w:tcBorders>
              <w:top w:val="single" w:sz="4" w:space="0" w:color="auto"/>
              <w:left w:val="single" w:sz="4" w:space="0" w:color="auto"/>
              <w:bottom w:val="nil"/>
              <w:right w:val="nil"/>
            </w:tcBorders>
            <w:shd w:val="clear" w:color="auto" w:fill="auto"/>
            <w:noWrap/>
            <w:vAlign w:val="center"/>
            <w:hideMark/>
          </w:tcPr>
          <w:p w14:paraId="2E2E4C38" w14:textId="77777777" w:rsidR="00387142" w:rsidRPr="008B6A75" w:rsidRDefault="00387142" w:rsidP="00387142">
            <w:pPr>
              <w:jc w:val="center"/>
              <w:rPr>
                <w:bCs/>
                <w:sz w:val="20"/>
                <w:szCs w:val="20"/>
              </w:rPr>
            </w:pPr>
            <w:r w:rsidRPr="008B6A75">
              <w:rPr>
                <w:bCs/>
                <w:sz w:val="20"/>
                <w:szCs w:val="20"/>
              </w:rPr>
              <w:t>99.0.00.07710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412ECB7F" w14:textId="77777777" w:rsidR="00387142" w:rsidRPr="008B6A75" w:rsidRDefault="00387142" w:rsidP="00387142">
            <w:pPr>
              <w:jc w:val="center"/>
              <w:rPr>
                <w:bCs/>
                <w:sz w:val="20"/>
                <w:szCs w:val="20"/>
              </w:rPr>
            </w:pPr>
            <w:r w:rsidRPr="008B6A75">
              <w:rPr>
                <w:bCs/>
                <w:sz w:val="20"/>
                <w:szCs w:val="20"/>
              </w:rPr>
              <w:t> </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3B41A818" w14:textId="77777777" w:rsidR="00387142" w:rsidRPr="008B6A75" w:rsidRDefault="00387142" w:rsidP="00387142">
            <w:pPr>
              <w:jc w:val="right"/>
              <w:rPr>
                <w:bCs/>
                <w:sz w:val="20"/>
                <w:szCs w:val="20"/>
              </w:rPr>
            </w:pPr>
            <w:r w:rsidRPr="008B6A75">
              <w:rPr>
                <w:bCs/>
                <w:sz w:val="20"/>
                <w:szCs w:val="20"/>
              </w:rPr>
              <w:t>3 000 000,00</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60DA7C34" w14:textId="77777777" w:rsidR="00387142" w:rsidRPr="008B6A75" w:rsidRDefault="00387142" w:rsidP="00387142">
            <w:pPr>
              <w:jc w:val="right"/>
              <w:rPr>
                <w:bCs/>
                <w:sz w:val="20"/>
                <w:szCs w:val="20"/>
              </w:rPr>
            </w:pPr>
            <w:r w:rsidRPr="008B6A75">
              <w:rPr>
                <w:bCs/>
                <w:sz w:val="20"/>
                <w:szCs w:val="20"/>
              </w:rPr>
              <w:t>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38DBCEC7" w14:textId="77777777" w:rsidR="00387142" w:rsidRPr="008B6A75" w:rsidRDefault="00387142" w:rsidP="00387142">
            <w:pPr>
              <w:jc w:val="right"/>
              <w:rPr>
                <w:bCs/>
                <w:sz w:val="20"/>
                <w:szCs w:val="20"/>
              </w:rPr>
            </w:pPr>
            <w:r w:rsidRPr="008B6A75">
              <w:rPr>
                <w:bCs/>
                <w:sz w:val="20"/>
                <w:szCs w:val="20"/>
              </w:rPr>
              <w:t>0,00</w:t>
            </w:r>
          </w:p>
        </w:tc>
        <w:tc>
          <w:tcPr>
            <w:tcW w:w="222" w:type="dxa"/>
            <w:vAlign w:val="center"/>
            <w:hideMark/>
          </w:tcPr>
          <w:p w14:paraId="639873BE" w14:textId="77777777" w:rsidR="00387142" w:rsidRPr="008B6A75" w:rsidRDefault="00387142" w:rsidP="00387142">
            <w:pPr>
              <w:rPr>
                <w:sz w:val="20"/>
                <w:szCs w:val="20"/>
              </w:rPr>
            </w:pPr>
          </w:p>
        </w:tc>
      </w:tr>
      <w:tr w:rsidR="00387142" w:rsidRPr="008B6A75" w14:paraId="31573E75" w14:textId="77777777" w:rsidTr="00387142">
        <w:trPr>
          <w:trHeight w:val="870"/>
        </w:trPr>
        <w:tc>
          <w:tcPr>
            <w:tcW w:w="3021" w:type="dxa"/>
            <w:tcBorders>
              <w:top w:val="single" w:sz="4" w:space="0" w:color="auto"/>
              <w:left w:val="single" w:sz="4" w:space="0" w:color="auto"/>
              <w:bottom w:val="nil"/>
              <w:right w:val="nil"/>
            </w:tcBorders>
            <w:shd w:val="clear" w:color="auto" w:fill="auto"/>
            <w:vAlign w:val="center"/>
            <w:hideMark/>
          </w:tcPr>
          <w:p w14:paraId="2D346890" w14:textId="77777777" w:rsidR="00387142" w:rsidRPr="008B6A75" w:rsidRDefault="00387142" w:rsidP="00387142">
            <w:pPr>
              <w:rPr>
                <w:sz w:val="20"/>
                <w:szCs w:val="20"/>
              </w:rPr>
            </w:pPr>
            <w:r w:rsidRPr="008B6A75">
              <w:rPr>
                <w:sz w:val="20"/>
                <w:szCs w:val="20"/>
              </w:rPr>
              <w:t>Предоставление субсидий бюджетным, автономным учреждениям и иным некоммерческим организациям</w:t>
            </w:r>
          </w:p>
        </w:tc>
        <w:tc>
          <w:tcPr>
            <w:tcW w:w="850" w:type="dxa"/>
            <w:tcBorders>
              <w:top w:val="single" w:sz="4" w:space="0" w:color="auto"/>
              <w:left w:val="single" w:sz="4" w:space="0" w:color="auto"/>
              <w:bottom w:val="nil"/>
              <w:right w:val="nil"/>
            </w:tcBorders>
            <w:shd w:val="clear" w:color="auto" w:fill="auto"/>
            <w:noWrap/>
            <w:vAlign w:val="center"/>
            <w:hideMark/>
          </w:tcPr>
          <w:p w14:paraId="4E9C2F55" w14:textId="77777777" w:rsidR="00387142" w:rsidRPr="008B6A75" w:rsidRDefault="00387142" w:rsidP="00387142">
            <w:pPr>
              <w:jc w:val="center"/>
              <w:rPr>
                <w:sz w:val="20"/>
                <w:szCs w:val="20"/>
              </w:rPr>
            </w:pPr>
            <w:r w:rsidRPr="008B6A75">
              <w:rPr>
                <w:sz w:val="20"/>
                <w:szCs w:val="20"/>
              </w:rPr>
              <w:t>444</w:t>
            </w:r>
          </w:p>
        </w:tc>
        <w:tc>
          <w:tcPr>
            <w:tcW w:w="709" w:type="dxa"/>
            <w:tcBorders>
              <w:top w:val="single" w:sz="4" w:space="0" w:color="auto"/>
              <w:left w:val="single" w:sz="4" w:space="0" w:color="auto"/>
              <w:bottom w:val="nil"/>
              <w:right w:val="nil"/>
            </w:tcBorders>
            <w:shd w:val="clear" w:color="auto" w:fill="auto"/>
            <w:noWrap/>
            <w:vAlign w:val="center"/>
            <w:hideMark/>
          </w:tcPr>
          <w:p w14:paraId="58D0B39B" w14:textId="77777777" w:rsidR="00387142" w:rsidRPr="008B6A75" w:rsidRDefault="00387142" w:rsidP="00387142">
            <w:pPr>
              <w:jc w:val="center"/>
              <w:rPr>
                <w:sz w:val="20"/>
                <w:szCs w:val="20"/>
              </w:rPr>
            </w:pPr>
            <w:r w:rsidRPr="008B6A75">
              <w:rPr>
                <w:sz w:val="20"/>
                <w:szCs w:val="20"/>
              </w:rPr>
              <w:t>07</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59873871" w14:textId="77777777" w:rsidR="00387142" w:rsidRPr="008B6A75" w:rsidRDefault="00387142" w:rsidP="00387142">
            <w:pPr>
              <w:jc w:val="center"/>
              <w:rPr>
                <w:sz w:val="20"/>
                <w:szCs w:val="20"/>
              </w:rPr>
            </w:pPr>
            <w:r w:rsidRPr="008B6A75">
              <w:rPr>
                <w:sz w:val="20"/>
                <w:szCs w:val="20"/>
              </w:rPr>
              <w:t>09</w:t>
            </w:r>
          </w:p>
        </w:tc>
        <w:tc>
          <w:tcPr>
            <w:tcW w:w="1411" w:type="dxa"/>
            <w:tcBorders>
              <w:top w:val="single" w:sz="4" w:space="0" w:color="auto"/>
              <w:left w:val="single" w:sz="4" w:space="0" w:color="auto"/>
              <w:bottom w:val="nil"/>
              <w:right w:val="nil"/>
            </w:tcBorders>
            <w:shd w:val="clear" w:color="auto" w:fill="auto"/>
            <w:noWrap/>
            <w:vAlign w:val="center"/>
            <w:hideMark/>
          </w:tcPr>
          <w:p w14:paraId="338D3FE9" w14:textId="77777777" w:rsidR="00387142" w:rsidRPr="008B6A75" w:rsidRDefault="00387142" w:rsidP="00387142">
            <w:pPr>
              <w:jc w:val="center"/>
              <w:rPr>
                <w:sz w:val="20"/>
                <w:szCs w:val="20"/>
              </w:rPr>
            </w:pPr>
            <w:r w:rsidRPr="008B6A75">
              <w:rPr>
                <w:sz w:val="20"/>
                <w:szCs w:val="20"/>
              </w:rPr>
              <w:t>99.0.00.07710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4CD9A6F5" w14:textId="77777777" w:rsidR="00387142" w:rsidRPr="008B6A75" w:rsidRDefault="00387142" w:rsidP="00387142">
            <w:pPr>
              <w:jc w:val="center"/>
              <w:rPr>
                <w:sz w:val="20"/>
                <w:szCs w:val="20"/>
              </w:rPr>
            </w:pPr>
            <w:r w:rsidRPr="008B6A75">
              <w:rPr>
                <w:sz w:val="20"/>
                <w:szCs w:val="20"/>
              </w:rPr>
              <w:t>600</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54E6F29F" w14:textId="77777777" w:rsidR="00387142" w:rsidRPr="008B6A75" w:rsidRDefault="00387142" w:rsidP="00387142">
            <w:pPr>
              <w:jc w:val="right"/>
              <w:rPr>
                <w:sz w:val="20"/>
                <w:szCs w:val="20"/>
              </w:rPr>
            </w:pPr>
            <w:r w:rsidRPr="008B6A75">
              <w:rPr>
                <w:sz w:val="20"/>
                <w:szCs w:val="20"/>
              </w:rPr>
              <w:t>3 000 000,00</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3AF6B400" w14:textId="77777777" w:rsidR="00387142" w:rsidRPr="008B6A75" w:rsidRDefault="00387142" w:rsidP="00387142">
            <w:pPr>
              <w:jc w:val="right"/>
              <w:rPr>
                <w:sz w:val="20"/>
                <w:szCs w:val="20"/>
              </w:rPr>
            </w:pPr>
            <w:r w:rsidRPr="008B6A75">
              <w:rPr>
                <w:sz w:val="20"/>
                <w:szCs w:val="20"/>
              </w:rPr>
              <w:t>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25642F9B" w14:textId="77777777" w:rsidR="00387142" w:rsidRPr="008B6A75" w:rsidRDefault="00387142" w:rsidP="00387142">
            <w:pPr>
              <w:jc w:val="right"/>
              <w:rPr>
                <w:sz w:val="20"/>
                <w:szCs w:val="20"/>
              </w:rPr>
            </w:pPr>
            <w:r w:rsidRPr="008B6A75">
              <w:rPr>
                <w:sz w:val="20"/>
                <w:szCs w:val="20"/>
              </w:rPr>
              <w:t>0,00</w:t>
            </w:r>
          </w:p>
        </w:tc>
        <w:tc>
          <w:tcPr>
            <w:tcW w:w="222" w:type="dxa"/>
            <w:vAlign w:val="center"/>
            <w:hideMark/>
          </w:tcPr>
          <w:p w14:paraId="0F830B5A" w14:textId="77777777" w:rsidR="00387142" w:rsidRPr="008B6A75" w:rsidRDefault="00387142" w:rsidP="00387142">
            <w:pPr>
              <w:rPr>
                <w:sz w:val="20"/>
                <w:szCs w:val="20"/>
              </w:rPr>
            </w:pPr>
          </w:p>
        </w:tc>
      </w:tr>
      <w:tr w:rsidR="00387142" w:rsidRPr="008B6A75" w14:paraId="24BA99EA" w14:textId="77777777" w:rsidTr="00387142">
        <w:trPr>
          <w:trHeight w:val="300"/>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7B03E245" w14:textId="77777777" w:rsidR="00387142" w:rsidRPr="008B6A75" w:rsidRDefault="00387142" w:rsidP="00387142">
            <w:pPr>
              <w:rPr>
                <w:sz w:val="20"/>
                <w:szCs w:val="20"/>
              </w:rPr>
            </w:pPr>
            <w:r w:rsidRPr="008B6A75">
              <w:rPr>
                <w:sz w:val="20"/>
                <w:szCs w:val="20"/>
              </w:rPr>
              <w:t>Субсидии автономным учреждениям</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5F0C741D" w14:textId="77777777" w:rsidR="00387142" w:rsidRPr="008B6A75" w:rsidRDefault="00387142" w:rsidP="00387142">
            <w:pPr>
              <w:jc w:val="center"/>
              <w:rPr>
                <w:sz w:val="20"/>
                <w:szCs w:val="20"/>
              </w:rPr>
            </w:pPr>
            <w:r w:rsidRPr="008B6A75">
              <w:rPr>
                <w:sz w:val="20"/>
                <w:szCs w:val="20"/>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7BCF70E5" w14:textId="77777777" w:rsidR="00387142" w:rsidRPr="008B6A75" w:rsidRDefault="00387142" w:rsidP="00387142">
            <w:pPr>
              <w:jc w:val="center"/>
              <w:rPr>
                <w:sz w:val="20"/>
                <w:szCs w:val="20"/>
              </w:rPr>
            </w:pPr>
            <w:r w:rsidRPr="008B6A75">
              <w:rPr>
                <w:sz w:val="20"/>
                <w:szCs w:val="20"/>
              </w:rPr>
              <w:t>07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2B04C4" w14:textId="77777777" w:rsidR="00387142" w:rsidRPr="008B6A75" w:rsidRDefault="00387142" w:rsidP="00387142">
            <w:pPr>
              <w:jc w:val="center"/>
              <w:rPr>
                <w:sz w:val="20"/>
                <w:szCs w:val="20"/>
              </w:rPr>
            </w:pPr>
            <w:r w:rsidRPr="008B6A75">
              <w:rPr>
                <w:sz w:val="20"/>
                <w:szCs w:val="20"/>
              </w:rPr>
              <w:t>09</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6D62AB8B" w14:textId="77777777" w:rsidR="00387142" w:rsidRPr="008B6A75" w:rsidRDefault="00387142" w:rsidP="00387142">
            <w:pPr>
              <w:jc w:val="center"/>
              <w:rPr>
                <w:sz w:val="20"/>
                <w:szCs w:val="20"/>
              </w:rPr>
            </w:pPr>
            <w:r w:rsidRPr="008B6A75">
              <w:rPr>
                <w:sz w:val="20"/>
                <w:szCs w:val="20"/>
              </w:rPr>
              <w:t>99.0.00.07710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5BD340" w14:textId="77777777" w:rsidR="00387142" w:rsidRPr="008B6A75" w:rsidRDefault="00387142" w:rsidP="00387142">
            <w:pPr>
              <w:jc w:val="center"/>
              <w:rPr>
                <w:sz w:val="20"/>
                <w:szCs w:val="20"/>
              </w:rPr>
            </w:pPr>
            <w:r w:rsidRPr="008B6A75">
              <w:rPr>
                <w:sz w:val="20"/>
                <w:szCs w:val="20"/>
              </w:rPr>
              <w:t>620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C443D9" w14:textId="77777777" w:rsidR="00387142" w:rsidRPr="008B6A75" w:rsidRDefault="00387142" w:rsidP="00387142">
            <w:pPr>
              <w:jc w:val="right"/>
              <w:rPr>
                <w:sz w:val="20"/>
                <w:szCs w:val="20"/>
              </w:rPr>
            </w:pPr>
            <w:r w:rsidRPr="008B6A75">
              <w:rPr>
                <w:sz w:val="20"/>
                <w:szCs w:val="20"/>
              </w:rPr>
              <w:t>3 000 000,00</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726BB093" w14:textId="77777777" w:rsidR="00387142" w:rsidRPr="008B6A75" w:rsidRDefault="00387142" w:rsidP="00387142">
            <w:pPr>
              <w:jc w:val="right"/>
              <w:rPr>
                <w:sz w:val="20"/>
                <w:szCs w:val="20"/>
              </w:rPr>
            </w:pPr>
            <w:r w:rsidRPr="008B6A75">
              <w:rPr>
                <w:sz w:val="20"/>
                <w:szCs w:val="20"/>
              </w:rPr>
              <w:t>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61E1F4" w14:textId="77777777" w:rsidR="00387142" w:rsidRPr="008B6A75" w:rsidRDefault="00387142" w:rsidP="00387142">
            <w:pPr>
              <w:jc w:val="right"/>
              <w:rPr>
                <w:sz w:val="20"/>
                <w:szCs w:val="20"/>
              </w:rPr>
            </w:pPr>
            <w:r w:rsidRPr="008B6A75">
              <w:rPr>
                <w:sz w:val="20"/>
                <w:szCs w:val="20"/>
              </w:rPr>
              <w:t>0,00</w:t>
            </w:r>
          </w:p>
        </w:tc>
        <w:tc>
          <w:tcPr>
            <w:tcW w:w="222" w:type="dxa"/>
            <w:vAlign w:val="center"/>
            <w:hideMark/>
          </w:tcPr>
          <w:p w14:paraId="4E260C81" w14:textId="77777777" w:rsidR="00387142" w:rsidRPr="008B6A75" w:rsidRDefault="00387142" w:rsidP="00387142">
            <w:pPr>
              <w:rPr>
                <w:sz w:val="20"/>
                <w:szCs w:val="20"/>
              </w:rPr>
            </w:pPr>
          </w:p>
        </w:tc>
      </w:tr>
      <w:tr w:rsidR="00387142" w:rsidRPr="008B6A75" w14:paraId="135179AE" w14:textId="77777777" w:rsidTr="00387142">
        <w:trPr>
          <w:trHeight w:val="300"/>
        </w:trPr>
        <w:tc>
          <w:tcPr>
            <w:tcW w:w="3021" w:type="dxa"/>
            <w:tcBorders>
              <w:top w:val="nil"/>
              <w:left w:val="single" w:sz="4" w:space="0" w:color="auto"/>
              <w:bottom w:val="nil"/>
              <w:right w:val="nil"/>
            </w:tcBorders>
            <w:shd w:val="clear" w:color="auto" w:fill="auto"/>
            <w:vAlign w:val="center"/>
            <w:hideMark/>
          </w:tcPr>
          <w:p w14:paraId="25AF72D0" w14:textId="77777777" w:rsidR="00387142" w:rsidRPr="008B6A75" w:rsidRDefault="00387142" w:rsidP="00387142">
            <w:pPr>
              <w:rPr>
                <w:bCs/>
                <w:sz w:val="20"/>
                <w:szCs w:val="20"/>
              </w:rPr>
            </w:pPr>
            <w:r w:rsidRPr="008B6A75">
              <w:rPr>
                <w:bCs/>
                <w:sz w:val="20"/>
                <w:szCs w:val="20"/>
              </w:rPr>
              <w:t>КУЛЬТУРА, КИНЕМАТОГРАФИЯ</w:t>
            </w:r>
          </w:p>
        </w:tc>
        <w:tc>
          <w:tcPr>
            <w:tcW w:w="850" w:type="dxa"/>
            <w:tcBorders>
              <w:top w:val="nil"/>
              <w:left w:val="single" w:sz="4" w:space="0" w:color="auto"/>
              <w:bottom w:val="nil"/>
              <w:right w:val="nil"/>
            </w:tcBorders>
            <w:shd w:val="clear" w:color="auto" w:fill="auto"/>
            <w:noWrap/>
            <w:vAlign w:val="center"/>
            <w:hideMark/>
          </w:tcPr>
          <w:p w14:paraId="56D45001" w14:textId="77777777" w:rsidR="00387142" w:rsidRPr="008B6A75" w:rsidRDefault="00387142" w:rsidP="00387142">
            <w:pPr>
              <w:jc w:val="center"/>
              <w:rPr>
                <w:bCs/>
                <w:sz w:val="20"/>
                <w:szCs w:val="20"/>
              </w:rPr>
            </w:pPr>
            <w:r w:rsidRPr="008B6A75">
              <w:rPr>
                <w:bCs/>
                <w:sz w:val="20"/>
                <w:szCs w:val="20"/>
              </w:rPr>
              <w:t>444</w:t>
            </w:r>
          </w:p>
        </w:tc>
        <w:tc>
          <w:tcPr>
            <w:tcW w:w="709" w:type="dxa"/>
            <w:tcBorders>
              <w:top w:val="nil"/>
              <w:left w:val="single" w:sz="4" w:space="0" w:color="auto"/>
              <w:bottom w:val="nil"/>
              <w:right w:val="nil"/>
            </w:tcBorders>
            <w:shd w:val="clear" w:color="auto" w:fill="auto"/>
            <w:noWrap/>
            <w:vAlign w:val="center"/>
            <w:hideMark/>
          </w:tcPr>
          <w:p w14:paraId="2A0E2A47" w14:textId="77777777" w:rsidR="00387142" w:rsidRPr="008B6A75" w:rsidRDefault="00387142" w:rsidP="00387142">
            <w:pPr>
              <w:jc w:val="center"/>
              <w:rPr>
                <w:bCs/>
                <w:sz w:val="20"/>
                <w:szCs w:val="20"/>
              </w:rPr>
            </w:pPr>
            <w:r w:rsidRPr="008B6A75">
              <w:rPr>
                <w:bCs/>
                <w:sz w:val="20"/>
                <w:szCs w:val="20"/>
              </w:rPr>
              <w:t>08</w:t>
            </w:r>
          </w:p>
        </w:tc>
        <w:tc>
          <w:tcPr>
            <w:tcW w:w="709" w:type="dxa"/>
            <w:tcBorders>
              <w:top w:val="nil"/>
              <w:left w:val="single" w:sz="4" w:space="0" w:color="auto"/>
              <w:bottom w:val="nil"/>
              <w:right w:val="single" w:sz="4" w:space="0" w:color="auto"/>
            </w:tcBorders>
            <w:shd w:val="clear" w:color="auto" w:fill="auto"/>
            <w:noWrap/>
            <w:vAlign w:val="center"/>
            <w:hideMark/>
          </w:tcPr>
          <w:p w14:paraId="7C78BF8E" w14:textId="77777777" w:rsidR="00387142" w:rsidRPr="008B6A75" w:rsidRDefault="00387142" w:rsidP="00387142">
            <w:pPr>
              <w:jc w:val="center"/>
              <w:rPr>
                <w:bCs/>
                <w:sz w:val="20"/>
                <w:szCs w:val="20"/>
              </w:rPr>
            </w:pPr>
            <w:r w:rsidRPr="008B6A75">
              <w:rPr>
                <w:bCs/>
                <w:sz w:val="20"/>
                <w:szCs w:val="20"/>
              </w:rPr>
              <w:t> </w:t>
            </w:r>
          </w:p>
        </w:tc>
        <w:tc>
          <w:tcPr>
            <w:tcW w:w="1411" w:type="dxa"/>
            <w:tcBorders>
              <w:top w:val="nil"/>
              <w:left w:val="single" w:sz="4" w:space="0" w:color="auto"/>
              <w:bottom w:val="nil"/>
              <w:right w:val="nil"/>
            </w:tcBorders>
            <w:shd w:val="clear" w:color="auto" w:fill="auto"/>
            <w:noWrap/>
            <w:vAlign w:val="center"/>
            <w:hideMark/>
          </w:tcPr>
          <w:p w14:paraId="3F599BA7" w14:textId="77777777" w:rsidR="00387142" w:rsidRPr="008B6A75" w:rsidRDefault="00387142" w:rsidP="00387142">
            <w:pPr>
              <w:jc w:val="center"/>
              <w:rPr>
                <w:bCs/>
                <w:sz w:val="20"/>
                <w:szCs w:val="20"/>
              </w:rPr>
            </w:pPr>
            <w:r w:rsidRPr="008B6A75">
              <w:rPr>
                <w:bCs/>
                <w:sz w:val="20"/>
                <w:szCs w:val="20"/>
              </w:rPr>
              <w:t> </w:t>
            </w:r>
          </w:p>
        </w:tc>
        <w:tc>
          <w:tcPr>
            <w:tcW w:w="955" w:type="dxa"/>
            <w:tcBorders>
              <w:top w:val="nil"/>
              <w:left w:val="single" w:sz="4" w:space="0" w:color="auto"/>
              <w:bottom w:val="nil"/>
              <w:right w:val="single" w:sz="4" w:space="0" w:color="auto"/>
            </w:tcBorders>
            <w:shd w:val="clear" w:color="auto" w:fill="auto"/>
            <w:noWrap/>
            <w:vAlign w:val="center"/>
            <w:hideMark/>
          </w:tcPr>
          <w:p w14:paraId="6BB53340"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nil"/>
              <w:right w:val="single" w:sz="4" w:space="0" w:color="auto"/>
            </w:tcBorders>
            <w:shd w:val="clear" w:color="auto" w:fill="auto"/>
            <w:noWrap/>
            <w:vAlign w:val="center"/>
            <w:hideMark/>
          </w:tcPr>
          <w:p w14:paraId="217C196F" w14:textId="77777777" w:rsidR="00387142" w:rsidRPr="008B6A75" w:rsidRDefault="00387142" w:rsidP="00387142">
            <w:pPr>
              <w:jc w:val="right"/>
              <w:rPr>
                <w:bCs/>
                <w:sz w:val="20"/>
                <w:szCs w:val="20"/>
              </w:rPr>
            </w:pPr>
            <w:r w:rsidRPr="008B6A75">
              <w:rPr>
                <w:bCs/>
                <w:sz w:val="20"/>
                <w:szCs w:val="20"/>
              </w:rPr>
              <w:t>130 259 973,59</w:t>
            </w:r>
          </w:p>
        </w:tc>
        <w:tc>
          <w:tcPr>
            <w:tcW w:w="992" w:type="dxa"/>
            <w:gridSpan w:val="2"/>
            <w:tcBorders>
              <w:top w:val="nil"/>
              <w:left w:val="single" w:sz="4" w:space="0" w:color="auto"/>
              <w:bottom w:val="nil"/>
              <w:right w:val="nil"/>
            </w:tcBorders>
            <w:shd w:val="clear" w:color="auto" w:fill="auto"/>
            <w:noWrap/>
            <w:vAlign w:val="center"/>
            <w:hideMark/>
          </w:tcPr>
          <w:p w14:paraId="30E8827B" w14:textId="77777777" w:rsidR="00387142" w:rsidRPr="008B6A75" w:rsidRDefault="00387142" w:rsidP="00387142">
            <w:pPr>
              <w:jc w:val="right"/>
              <w:rPr>
                <w:bCs/>
                <w:sz w:val="20"/>
                <w:szCs w:val="20"/>
              </w:rPr>
            </w:pPr>
            <w:r w:rsidRPr="008B6A75">
              <w:rPr>
                <w:bCs/>
                <w:sz w:val="20"/>
                <w:szCs w:val="20"/>
              </w:rPr>
              <w:t>50 317 100,00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62E26347" w14:textId="77777777" w:rsidR="00387142" w:rsidRPr="008B6A75" w:rsidRDefault="00387142" w:rsidP="00387142">
            <w:pPr>
              <w:jc w:val="right"/>
              <w:rPr>
                <w:bCs/>
                <w:sz w:val="20"/>
                <w:szCs w:val="20"/>
              </w:rPr>
            </w:pPr>
            <w:r w:rsidRPr="008B6A75">
              <w:rPr>
                <w:bCs/>
                <w:sz w:val="20"/>
                <w:szCs w:val="20"/>
              </w:rPr>
              <w:t>50 969 900,00</w:t>
            </w:r>
          </w:p>
        </w:tc>
        <w:tc>
          <w:tcPr>
            <w:tcW w:w="222" w:type="dxa"/>
            <w:vAlign w:val="center"/>
            <w:hideMark/>
          </w:tcPr>
          <w:p w14:paraId="22077648" w14:textId="77777777" w:rsidR="00387142" w:rsidRPr="008B6A75" w:rsidRDefault="00387142" w:rsidP="00387142">
            <w:pPr>
              <w:rPr>
                <w:sz w:val="20"/>
                <w:szCs w:val="20"/>
              </w:rPr>
            </w:pPr>
          </w:p>
        </w:tc>
      </w:tr>
      <w:tr w:rsidR="00387142" w:rsidRPr="008B6A75" w14:paraId="406ADAE5" w14:textId="77777777" w:rsidTr="00387142">
        <w:trPr>
          <w:trHeight w:val="300"/>
        </w:trPr>
        <w:tc>
          <w:tcPr>
            <w:tcW w:w="3021" w:type="dxa"/>
            <w:tcBorders>
              <w:top w:val="single" w:sz="4" w:space="0" w:color="auto"/>
              <w:left w:val="single" w:sz="4" w:space="0" w:color="auto"/>
              <w:bottom w:val="nil"/>
              <w:right w:val="nil"/>
            </w:tcBorders>
            <w:shd w:val="clear" w:color="auto" w:fill="auto"/>
            <w:vAlign w:val="center"/>
            <w:hideMark/>
          </w:tcPr>
          <w:p w14:paraId="37B5D3AA" w14:textId="77777777" w:rsidR="00387142" w:rsidRPr="008B6A75" w:rsidRDefault="00387142" w:rsidP="00387142">
            <w:pPr>
              <w:rPr>
                <w:bCs/>
                <w:sz w:val="20"/>
                <w:szCs w:val="20"/>
              </w:rPr>
            </w:pPr>
            <w:r w:rsidRPr="008B6A75">
              <w:rPr>
                <w:bCs/>
                <w:sz w:val="20"/>
                <w:szCs w:val="20"/>
              </w:rPr>
              <w:t>Культура</w:t>
            </w:r>
          </w:p>
        </w:tc>
        <w:tc>
          <w:tcPr>
            <w:tcW w:w="850" w:type="dxa"/>
            <w:tcBorders>
              <w:top w:val="single" w:sz="4" w:space="0" w:color="auto"/>
              <w:left w:val="single" w:sz="4" w:space="0" w:color="auto"/>
              <w:bottom w:val="nil"/>
              <w:right w:val="nil"/>
            </w:tcBorders>
            <w:shd w:val="clear" w:color="auto" w:fill="auto"/>
            <w:noWrap/>
            <w:vAlign w:val="center"/>
            <w:hideMark/>
          </w:tcPr>
          <w:p w14:paraId="5585F739" w14:textId="77777777" w:rsidR="00387142" w:rsidRPr="008B6A75" w:rsidRDefault="00387142" w:rsidP="00387142">
            <w:pPr>
              <w:jc w:val="center"/>
              <w:rPr>
                <w:bCs/>
                <w:sz w:val="20"/>
                <w:szCs w:val="20"/>
              </w:rPr>
            </w:pPr>
            <w:r w:rsidRPr="008B6A75">
              <w:rPr>
                <w:bCs/>
                <w:sz w:val="20"/>
                <w:szCs w:val="20"/>
              </w:rPr>
              <w:t>444</w:t>
            </w:r>
          </w:p>
        </w:tc>
        <w:tc>
          <w:tcPr>
            <w:tcW w:w="709" w:type="dxa"/>
            <w:tcBorders>
              <w:top w:val="single" w:sz="4" w:space="0" w:color="auto"/>
              <w:left w:val="single" w:sz="4" w:space="0" w:color="auto"/>
              <w:bottom w:val="nil"/>
              <w:right w:val="nil"/>
            </w:tcBorders>
            <w:shd w:val="clear" w:color="auto" w:fill="auto"/>
            <w:noWrap/>
            <w:vAlign w:val="center"/>
            <w:hideMark/>
          </w:tcPr>
          <w:p w14:paraId="0F6A3714" w14:textId="77777777" w:rsidR="00387142" w:rsidRPr="008B6A75" w:rsidRDefault="00387142" w:rsidP="00387142">
            <w:pPr>
              <w:jc w:val="center"/>
              <w:rPr>
                <w:bCs/>
                <w:sz w:val="20"/>
                <w:szCs w:val="20"/>
              </w:rPr>
            </w:pPr>
            <w:r w:rsidRPr="008B6A75">
              <w:rPr>
                <w:bCs/>
                <w:sz w:val="20"/>
                <w:szCs w:val="20"/>
              </w:rPr>
              <w:t>08</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78CFA6EB" w14:textId="77777777" w:rsidR="00387142" w:rsidRPr="008B6A75" w:rsidRDefault="00387142" w:rsidP="00387142">
            <w:pPr>
              <w:jc w:val="center"/>
              <w:rPr>
                <w:bCs/>
                <w:sz w:val="20"/>
                <w:szCs w:val="20"/>
              </w:rPr>
            </w:pPr>
            <w:r w:rsidRPr="008B6A75">
              <w:rPr>
                <w:bCs/>
                <w:sz w:val="20"/>
                <w:szCs w:val="20"/>
              </w:rPr>
              <w:t>01</w:t>
            </w:r>
          </w:p>
        </w:tc>
        <w:tc>
          <w:tcPr>
            <w:tcW w:w="1411" w:type="dxa"/>
            <w:tcBorders>
              <w:top w:val="single" w:sz="4" w:space="0" w:color="auto"/>
              <w:left w:val="single" w:sz="4" w:space="0" w:color="auto"/>
              <w:bottom w:val="nil"/>
              <w:right w:val="nil"/>
            </w:tcBorders>
            <w:shd w:val="clear" w:color="auto" w:fill="auto"/>
            <w:noWrap/>
            <w:vAlign w:val="center"/>
            <w:hideMark/>
          </w:tcPr>
          <w:p w14:paraId="51438F77" w14:textId="77777777" w:rsidR="00387142" w:rsidRPr="008B6A75" w:rsidRDefault="00387142" w:rsidP="00387142">
            <w:pPr>
              <w:jc w:val="center"/>
              <w:rPr>
                <w:bCs/>
                <w:sz w:val="20"/>
                <w:szCs w:val="20"/>
              </w:rPr>
            </w:pPr>
            <w:r w:rsidRPr="008B6A75">
              <w:rPr>
                <w:bCs/>
                <w:sz w:val="20"/>
                <w:szCs w:val="20"/>
              </w:rPr>
              <w:t> </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27E39914" w14:textId="77777777" w:rsidR="00387142" w:rsidRPr="008B6A75" w:rsidRDefault="00387142" w:rsidP="00387142">
            <w:pPr>
              <w:jc w:val="center"/>
              <w:rPr>
                <w:bCs/>
                <w:sz w:val="20"/>
                <w:szCs w:val="20"/>
              </w:rPr>
            </w:pPr>
            <w:r w:rsidRPr="008B6A75">
              <w:rPr>
                <w:bCs/>
                <w:sz w:val="20"/>
                <w:szCs w:val="20"/>
              </w:rPr>
              <w:t> </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61746DBA" w14:textId="77777777" w:rsidR="00387142" w:rsidRPr="008B6A75" w:rsidRDefault="00387142" w:rsidP="00387142">
            <w:pPr>
              <w:jc w:val="right"/>
              <w:rPr>
                <w:bCs/>
                <w:sz w:val="20"/>
                <w:szCs w:val="20"/>
              </w:rPr>
            </w:pPr>
            <w:r w:rsidRPr="008B6A75">
              <w:rPr>
                <w:bCs/>
                <w:sz w:val="20"/>
                <w:szCs w:val="20"/>
              </w:rPr>
              <w:t>130 259 973,59</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4AA27420" w14:textId="77777777" w:rsidR="00387142" w:rsidRPr="008B6A75" w:rsidRDefault="00387142" w:rsidP="00387142">
            <w:pPr>
              <w:jc w:val="right"/>
              <w:rPr>
                <w:bCs/>
                <w:sz w:val="20"/>
                <w:szCs w:val="20"/>
              </w:rPr>
            </w:pPr>
            <w:r w:rsidRPr="008B6A75">
              <w:rPr>
                <w:bCs/>
                <w:sz w:val="20"/>
                <w:szCs w:val="20"/>
              </w:rPr>
              <w:t>50 317 100,00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554DDD9E" w14:textId="77777777" w:rsidR="00387142" w:rsidRPr="008B6A75" w:rsidRDefault="00387142" w:rsidP="00387142">
            <w:pPr>
              <w:jc w:val="right"/>
              <w:rPr>
                <w:bCs/>
                <w:sz w:val="20"/>
                <w:szCs w:val="20"/>
              </w:rPr>
            </w:pPr>
            <w:r w:rsidRPr="008B6A75">
              <w:rPr>
                <w:bCs/>
                <w:sz w:val="20"/>
                <w:szCs w:val="20"/>
              </w:rPr>
              <w:t>50 969 900,00</w:t>
            </w:r>
          </w:p>
        </w:tc>
        <w:tc>
          <w:tcPr>
            <w:tcW w:w="222" w:type="dxa"/>
            <w:vAlign w:val="center"/>
            <w:hideMark/>
          </w:tcPr>
          <w:p w14:paraId="273BE91E" w14:textId="77777777" w:rsidR="00387142" w:rsidRPr="008B6A75" w:rsidRDefault="00387142" w:rsidP="00387142">
            <w:pPr>
              <w:rPr>
                <w:sz w:val="20"/>
                <w:szCs w:val="20"/>
              </w:rPr>
            </w:pPr>
          </w:p>
        </w:tc>
      </w:tr>
      <w:tr w:rsidR="00387142" w:rsidRPr="008B6A75" w14:paraId="796C95EA" w14:textId="77777777" w:rsidTr="00387142">
        <w:trPr>
          <w:trHeight w:val="585"/>
        </w:trPr>
        <w:tc>
          <w:tcPr>
            <w:tcW w:w="3021" w:type="dxa"/>
            <w:tcBorders>
              <w:top w:val="single" w:sz="4" w:space="0" w:color="auto"/>
              <w:left w:val="single" w:sz="4" w:space="0" w:color="auto"/>
              <w:bottom w:val="nil"/>
              <w:right w:val="nil"/>
            </w:tcBorders>
            <w:shd w:val="clear" w:color="auto" w:fill="auto"/>
            <w:vAlign w:val="center"/>
            <w:hideMark/>
          </w:tcPr>
          <w:p w14:paraId="5E5C6978" w14:textId="77777777" w:rsidR="00387142" w:rsidRPr="008B6A75" w:rsidRDefault="00387142" w:rsidP="00387142">
            <w:pPr>
              <w:rPr>
                <w:bCs/>
                <w:sz w:val="20"/>
                <w:szCs w:val="20"/>
              </w:rPr>
            </w:pPr>
            <w:r w:rsidRPr="008B6A75">
              <w:rPr>
                <w:bCs/>
                <w:sz w:val="20"/>
                <w:szCs w:val="20"/>
              </w:rPr>
              <w:t>Муниципальная программа "Развитие туризма в Куйбышевском районе"</w:t>
            </w:r>
          </w:p>
        </w:tc>
        <w:tc>
          <w:tcPr>
            <w:tcW w:w="850" w:type="dxa"/>
            <w:tcBorders>
              <w:top w:val="single" w:sz="4" w:space="0" w:color="auto"/>
              <w:left w:val="single" w:sz="4" w:space="0" w:color="auto"/>
              <w:bottom w:val="nil"/>
              <w:right w:val="nil"/>
            </w:tcBorders>
            <w:shd w:val="clear" w:color="auto" w:fill="auto"/>
            <w:noWrap/>
            <w:vAlign w:val="center"/>
            <w:hideMark/>
          </w:tcPr>
          <w:p w14:paraId="1A46F81D" w14:textId="77777777" w:rsidR="00387142" w:rsidRPr="008B6A75" w:rsidRDefault="00387142" w:rsidP="00387142">
            <w:pPr>
              <w:jc w:val="center"/>
              <w:rPr>
                <w:bCs/>
                <w:sz w:val="20"/>
                <w:szCs w:val="20"/>
              </w:rPr>
            </w:pPr>
            <w:r w:rsidRPr="008B6A75">
              <w:rPr>
                <w:bCs/>
                <w:sz w:val="20"/>
                <w:szCs w:val="20"/>
              </w:rPr>
              <w:t>444</w:t>
            </w:r>
          </w:p>
        </w:tc>
        <w:tc>
          <w:tcPr>
            <w:tcW w:w="709" w:type="dxa"/>
            <w:tcBorders>
              <w:top w:val="single" w:sz="4" w:space="0" w:color="auto"/>
              <w:left w:val="single" w:sz="4" w:space="0" w:color="auto"/>
              <w:bottom w:val="nil"/>
              <w:right w:val="nil"/>
            </w:tcBorders>
            <w:shd w:val="clear" w:color="auto" w:fill="auto"/>
            <w:noWrap/>
            <w:vAlign w:val="center"/>
            <w:hideMark/>
          </w:tcPr>
          <w:p w14:paraId="2FA92A02" w14:textId="77777777" w:rsidR="00387142" w:rsidRPr="008B6A75" w:rsidRDefault="00387142" w:rsidP="00387142">
            <w:pPr>
              <w:jc w:val="center"/>
              <w:rPr>
                <w:bCs/>
                <w:sz w:val="20"/>
                <w:szCs w:val="20"/>
              </w:rPr>
            </w:pPr>
            <w:r w:rsidRPr="008B6A75">
              <w:rPr>
                <w:bCs/>
                <w:sz w:val="20"/>
                <w:szCs w:val="20"/>
              </w:rPr>
              <w:t>08</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07BD4E6B" w14:textId="77777777" w:rsidR="00387142" w:rsidRPr="008B6A75" w:rsidRDefault="00387142" w:rsidP="00387142">
            <w:pPr>
              <w:jc w:val="center"/>
              <w:rPr>
                <w:bCs/>
                <w:sz w:val="20"/>
                <w:szCs w:val="20"/>
              </w:rPr>
            </w:pPr>
            <w:r w:rsidRPr="008B6A75">
              <w:rPr>
                <w:bCs/>
                <w:sz w:val="20"/>
                <w:szCs w:val="20"/>
              </w:rPr>
              <w:t>01</w:t>
            </w:r>
          </w:p>
        </w:tc>
        <w:tc>
          <w:tcPr>
            <w:tcW w:w="1411" w:type="dxa"/>
            <w:tcBorders>
              <w:top w:val="single" w:sz="4" w:space="0" w:color="auto"/>
              <w:left w:val="single" w:sz="4" w:space="0" w:color="auto"/>
              <w:bottom w:val="nil"/>
              <w:right w:val="nil"/>
            </w:tcBorders>
            <w:shd w:val="clear" w:color="auto" w:fill="auto"/>
            <w:noWrap/>
            <w:vAlign w:val="center"/>
            <w:hideMark/>
          </w:tcPr>
          <w:p w14:paraId="0476217C" w14:textId="77777777" w:rsidR="00387142" w:rsidRPr="008B6A75" w:rsidRDefault="00387142" w:rsidP="00387142">
            <w:pPr>
              <w:jc w:val="center"/>
              <w:rPr>
                <w:bCs/>
                <w:sz w:val="20"/>
                <w:szCs w:val="20"/>
              </w:rPr>
            </w:pPr>
            <w:r w:rsidRPr="008B6A75">
              <w:rPr>
                <w:bCs/>
                <w:sz w:val="20"/>
                <w:szCs w:val="20"/>
              </w:rPr>
              <w:t>05.0.00.00000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42EF57E1" w14:textId="77777777" w:rsidR="00387142" w:rsidRPr="008B6A75" w:rsidRDefault="00387142" w:rsidP="00387142">
            <w:pPr>
              <w:jc w:val="center"/>
              <w:rPr>
                <w:bCs/>
                <w:sz w:val="20"/>
                <w:szCs w:val="20"/>
              </w:rPr>
            </w:pPr>
            <w:r w:rsidRPr="008B6A75">
              <w:rPr>
                <w:bCs/>
                <w:sz w:val="20"/>
                <w:szCs w:val="20"/>
              </w:rPr>
              <w:t> </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730B37AA" w14:textId="77777777" w:rsidR="00387142" w:rsidRPr="008B6A75" w:rsidRDefault="00387142" w:rsidP="00387142">
            <w:pPr>
              <w:jc w:val="right"/>
              <w:rPr>
                <w:bCs/>
                <w:sz w:val="20"/>
                <w:szCs w:val="20"/>
              </w:rPr>
            </w:pPr>
            <w:r w:rsidRPr="008B6A75">
              <w:rPr>
                <w:bCs/>
                <w:sz w:val="20"/>
                <w:szCs w:val="20"/>
              </w:rPr>
              <w:t>600 000,00</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1063684D" w14:textId="77777777" w:rsidR="00387142" w:rsidRPr="008B6A75" w:rsidRDefault="00387142" w:rsidP="00387142">
            <w:pPr>
              <w:jc w:val="right"/>
              <w:rPr>
                <w:bCs/>
                <w:sz w:val="20"/>
                <w:szCs w:val="20"/>
              </w:rPr>
            </w:pPr>
            <w:r w:rsidRPr="008B6A75">
              <w:rPr>
                <w:bCs/>
                <w:sz w:val="20"/>
                <w:szCs w:val="20"/>
              </w:rPr>
              <w:t>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50A5090B" w14:textId="77777777" w:rsidR="00387142" w:rsidRPr="008B6A75" w:rsidRDefault="00387142" w:rsidP="00387142">
            <w:pPr>
              <w:jc w:val="right"/>
              <w:rPr>
                <w:bCs/>
                <w:sz w:val="20"/>
                <w:szCs w:val="20"/>
              </w:rPr>
            </w:pPr>
            <w:r w:rsidRPr="008B6A75">
              <w:rPr>
                <w:bCs/>
                <w:sz w:val="20"/>
                <w:szCs w:val="20"/>
              </w:rPr>
              <w:t>0,00</w:t>
            </w:r>
          </w:p>
        </w:tc>
        <w:tc>
          <w:tcPr>
            <w:tcW w:w="222" w:type="dxa"/>
            <w:vAlign w:val="center"/>
            <w:hideMark/>
          </w:tcPr>
          <w:p w14:paraId="6658D83D" w14:textId="77777777" w:rsidR="00387142" w:rsidRPr="008B6A75" w:rsidRDefault="00387142" w:rsidP="00387142">
            <w:pPr>
              <w:rPr>
                <w:sz w:val="20"/>
                <w:szCs w:val="20"/>
              </w:rPr>
            </w:pPr>
          </w:p>
        </w:tc>
      </w:tr>
      <w:tr w:rsidR="00387142" w:rsidRPr="008B6A75" w14:paraId="663DB281" w14:textId="77777777" w:rsidTr="00387142">
        <w:trPr>
          <w:trHeight w:val="585"/>
        </w:trPr>
        <w:tc>
          <w:tcPr>
            <w:tcW w:w="3021" w:type="dxa"/>
            <w:tcBorders>
              <w:top w:val="single" w:sz="4" w:space="0" w:color="auto"/>
              <w:left w:val="single" w:sz="4" w:space="0" w:color="auto"/>
              <w:bottom w:val="nil"/>
              <w:right w:val="nil"/>
            </w:tcBorders>
            <w:shd w:val="clear" w:color="auto" w:fill="auto"/>
            <w:vAlign w:val="center"/>
            <w:hideMark/>
          </w:tcPr>
          <w:p w14:paraId="55C03894" w14:textId="77777777" w:rsidR="00387142" w:rsidRPr="008B6A75" w:rsidRDefault="00387142" w:rsidP="00387142">
            <w:pPr>
              <w:rPr>
                <w:bCs/>
                <w:sz w:val="20"/>
                <w:szCs w:val="20"/>
              </w:rPr>
            </w:pPr>
            <w:r w:rsidRPr="008B6A75">
              <w:rPr>
                <w:bCs/>
                <w:sz w:val="20"/>
                <w:szCs w:val="20"/>
              </w:rPr>
              <w:t>Мероприятия в рамках МП "Развитие туризма в Куйбышевском районе"</w:t>
            </w:r>
          </w:p>
        </w:tc>
        <w:tc>
          <w:tcPr>
            <w:tcW w:w="850" w:type="dxa"/>
            <w:tcBorders>
              <w:top w:val="single" w:sz="4" w:space="0" w:color="auto"/>
              <w:left w:val="single" w:sz="4" w:space="0" w:color="auto"/>
              <w:bottom w:val="nil"/>
              <w:right w:val="nil"/>
            </w:tcBorders>
            <w:shd w:val="clear" w:color="auto" w:fill="auto"/>
            <w:noWrap/>
            <w:vAlign w:val="center"/>
            <w:hideMark/>
          </w:tcPr>
          <w:p w14:paraId="4A47684C" w14:textId="77777777" w:rsidR="00387142" w:rsidRPr="008B6A75" w:rsidRDefault="00387142" w:rsidP="00387142">
            <w:pPr>
              <w:jc w:val="center"/>
              <w:rPr>
                <w:bCs/>
                <w:sz w:val="20"/>
                <w:szCs w:val="20"/>
              </w:rPr>
            </w:pPr>
            <w:r w:rsidRPr="008B6A75">
              <w:rPr>
                <w:bCs/>
                <w:sz w:val="20"/>
                <w:szCs w:val="20"/>
              </w:rPr>
              <w:t>444</w:t>
            </w:r>
          </w:p>
        </w:tc>
        <w:tc>
          <w:tcPr>
            <w:tcW w:w="709" w:type="dxa"/>
            <w:tcBorders>
              <w:top w:val="single" w:sz="4" w:space="0" w:color="auto"/>
              <w:left w:val="single" w:sz="4" w:space="0" w:color="auto"/>
              <w:bottom w:val="nil"/>
              <w:right w:val="nil"/>
            </w:tcBorders>
            <w:shd w:val="clear" w:color="auto" w:fill="auto"/>
            <w:noWrap/>
            <w:vAlign w:val="center"/>
            <w:hideMark/>
          </w:tcPr>
          <w:p w14:paraId="3078FFFB" w14:textId="77777777" w:rsidR="00387142" w:rsidRPr="008B6A75" w:rsidRDefault="00387142" w:rsidP="00387142">
            <w:pPr>
              <w:jc w:val="center"/>
              <w:rPr>
                <w:bCs/>
                <w:sz w:val="20"/>
                <w:szCs w:val="20"/>
              </w:rPr>
            </w:pPr>
            <w:r w:rsidRPr="008B6A75">
              <w:rPr>
                <w:bCs/>
                <w:sz w:val="20"/>
                <w:szCs w:val="20"/>
              </w:rPr>
              <w:t>08</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2D0107E4" w14:textId="77777777" w:rsidR="00387142" w:rsidRPr="008B6A75" w:rsidRDefault="00387142" w:rsidP="00387142">
            <w:pPr>
              <w:jc w:val="center"/>
              <w:rPr>
                <w:bCs/>
                <w:sz w:val="20"/>
                <w:szCs w:val="20"/>
              </w:rPr>
            </w:pPr>
            <w:r w:rsidRPr="008B6A75">
              <w:rPr>
                <w:bCs/>
                <w:sz w:val="20"/>
                <w:szCs w:val="20"/>
              </w:rPr>
              <w:t>01</w:t>
            </w:r>
          </w:p>
        </w:tc>
        <w:tc>
          <w:tcPr>
            <w:tcW w:w="1411" w:type="dxa"/>
            <w:tcBorders>
              <w:top w:val="single" w:sz="4" w:space="0" w:color="auto"/>
              <w:left w:val="single" w:sz="4" w:space="0" w:color="auto"/>
              <w:bottom w:val="nil"/>
              <w:right w:val="nil"/>
            </w:tcBorders>
            <w:shd w:val="clear" w:color="auto" w:fill="auto"/>
            <w:noWrap/>
            <w:vAlign w:val="center"/>
            <w:hideMark/>
          </w:tcPr>
          <w:p w14:paraId="1B988927" w14:textId="77777777" w:rsidR="00387142" w:rsidRPr="008B6A75" w:rsidRDefault="00387142" w:rsidP="00387142">
            <w:pPr>
              <w:jc w:val="center"/>
              <w:rPr>
                <w:bCs/>
                <w:sz w:val="20"/>
                <w:szCs w:val="20"/>
              </w:rPr>
            </w:pPr>
            <w:r w:rsidRPr="008B6A75">
              <w:rPr>
                <w:bCs/>
                <w:sz w:val="20"/>
                <w:szCs w:val="20"/>
              </w:rPr>
              <w:t>05.0.00.11950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45D2500B" w14:textId="77777777" w:rsidR="00387142" w:rsidRPr="008B6A75" w:rsidRDefault="00387142" w:rsidP="00387142">
            <w:pPr>
              <w:jc w:val="center"/>
              <w:rPr>
                <w:bCs/>
                <w:sz w:val="20"/>
                <w:szCs w:val="20"/>
              </w:rPr>
            </w:pPr>
            <w:r w:rsidRPr="008B6A75">
              <w:rPr>
                <w:bCs/>
                <w:sz w:val="20"/>
                <w:szCs w:val="20"/>
              </w:rPr>
              <w:t> </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30559CA6" w14:textId="77777777" w:rsidR="00387142" w:rsidRPr="008B6A75" w:rsidRDefault="00387142" w:rsidP="00387142">
            <w:pPr>
              <w:jc w:val="right"/>
              <w:rPr>
                <w:bCs/>
                <w:sz w:val="20"/>
                <w:szCs w:val="20"/>
              </w:rPr>
            </w:pPr>
            <w:r w:rsidRPr="008B6A75">
              <w:rPr>
                <w:bCs/>
                <w:sz w:val="20"/>
                <w:szCs w:val="20"/>
              </w:rPr>
              <w:t>600 000,00</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5F67604C" w14:textId="77777777" w:rsidR="00387142" w:rsidRPr="008B6A75" w:rsidRDefault="00387142" w:rsidP="00387142">
            <w:pPr>
              <w:jc w:val="right"/>
              <w:rPr>
                <w:bCs/>
                <w:sz w:val="20"/>
                <w:szCs w:val="20"/>
              </w:rPr>
            </w:pPr>
            <w:r w:rsidRPr="008B6A75">
              <w:rPr>
                <w:bCs/>
                <w:sz w:val="20"/>
                <w:szCs w:val="20"/>
              </w:rPr>
              <w:t>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1BE63534" w14:textId="77777777" w:rsidR="00387142" w:rsidRPr="008B6A75" w:rsidRDefault="00387142" w:rsidP="00387142">
            <w:pPr>
              <w:jc w:val="right"/>
              <w:rPr>
                <w:bCs/>
                <w:sz w:val="20"/>
                <w:szCs w:val="20"/>
              </w:rPr>
            </w:pPr>
            <w:r w:rsidRPr="008B6A75">
              <w:rPr>
                <w:bCs/>
                <w:sz w:val="20"/>
                <w:szCs w:val="20"/>
              </w:rPr>
              <w:t>0,00</w:t>
            </w:r>
          </w:p>
        </w:tc>
        <w:tc>
          <w:tcPr>
            <w:tcW w:w="222" w:type="dxa"/>
            <w:vAlign w:val="center"/>
            <w:hideMark/>
          </w:tcPr>
          <w:p w14:paraId="6993CD73" w14:textId="77777777" w:rsidR="00387142" w:rsidRPr="008B6A75" w:rsidRDefault="00387142" w:rsidP="00387142">
            <w:pPr>
              <w:rPr>
                <w:sz w:val="20"/>
                <w:szCs w:val="20"/>
              </w:rPr>
            </w:pPr>
          </w:p>
        </w:tc>
      </w:tr>
      <w:tr w:rsidR="00387142" w:rsidRPr="008B6A75" w14:paraId="62CD411A" w14:textId="77777777" w:rsidTr="00387142">
        <w:trPr>
          <w:trHeight w:val="870"/>
        </w:trPr>
        <w:tc>
          <w:tcPr>
            <w:tcW w:w="3021" w:type="dxa"/>
            <w:tcBorders>
              <w:top w:val="single" w:sz="4" w:space="0" w:color="auto"/>
              <w:left w:val="single" w:sz="4" w:space="0" w:color="auto"/>
              <w:bottom w:val="nil"/>
              <w:right w:val="nil"/>
            </w:tcBorders>
            <w:shd w:val="clear" w:color="auto" w:fill="auto"/>
            <w:vAlign w:val="center"/>
            <w:hideMark/>
          </w:tcPr>
          <w:p w14:paraId="67F5F71F" w14:textId="77777777" w:rsidR="00387142" w:rsidRPr="008B6A75" w:rsidRDefault="00387142" w:rsidP="00387142">
            <w:pPr>
              <w:rPr>
                <w:sz w:val="20"/>
                <w:szCs w:val="20"/>
              </w:rPr>
            </w:pPr>
            <w:r w:rsidRPr="008B6A75">
              <w:rPr>
                <w:sz w:val="20"/>
                <w:szCs w:val="20"/>
              </w:rPr>
              <w:t>Предоставление субсидий бюджетным, автономным учреждениям и иным некоммерческим организациям</w:t>
            </w:r>
          </w:p>
        </w:tc>
        <w:tc>
          <w:tcPr>
            <w:tcW w:w="850" w:type="dxa"/>
            <w:tcBorders>
              <w:top w:val="single" w:sz="4" w:space="0" w:color="auto"/>
              <w:left w:val="single" w:sz="4" w:space="0" w:color="auto"/>
              <w:bottom w:val="nil"/>
              <w:right w:val="nil"/>
            </w:tcBorders>
            <w:shd w:val="clear" w:color="auto" w:fill="auto"/>
            <w:noWrap/>
            <w:vAlign w:val="center"/>
            <w:hideMark/>
          </w:tcPr>
          <w:p w14:paraId="62164E8E" w14:textId="77777777" w:rsidR="00387142" w:rsidRPr="008B6A75" w:rsidRDefault="00387142" w:rsidP="00387142">
            <w:pPr>
              <w:jc w:val="center"/>
              <w:rPr>
                <w:sz w:val="20"/>
                <w:szCs w:val="20"/>
              </w:rPr>
            </w:pPr>
            <w:r w:rsidRPr="008B6A75">
              <w:rPr>
                <w:sz w:val="20"/>
                <w:szCs w:val="20"/>
              </w:rPr>
              <w:t>444</w:t>
            </w:r>
          </w:p>
        </w:tc>
        <w:tc>
          <w:tcPr>
            <w:tcW w:w="709" w:type="dxa"/>
            <w:tcBorders>
              <w:top w:val="single" w:sz="4" w:space="0" w:color="auto"/>
              <w:left w:val="single" w:sz="4" w:space="0" w:color="auto"/>
              <w:bottom w:val="nil"/>
              <w:right w:val="nil"/>
            </w:tcBorders>
            <w:shd w:val="clear" w:color="auto" w:fill="auto"/>
            <w:noWrap/>
            <w:vAlign w:val="center"/>
            <w:hideMark/>
          </w:tcPr>
          <w:p w14:paraId="0CD085D1" w14:textId="77777777" w:rsidR="00387142" w:rsidRPr="008B6A75" w:rsidRDefault="00387142" w:rsidP="00387142">
            <w:pPr>
              <w:jc w:val="center"/>
              <w:rPr>
                <w:sz w:val="20"/>
                <w:szCs w:val="20"/>
              </w:rPr>
            </w:pPr>
            <w:r w:rsidRPr="008B6A75">
              <w:rPr>
                <w:sz w:val="20"/>
                <w:szCs w:val="20"/>
              </w:rPr>
              <w:t>08</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36AA4971" w14:textId="77777777" w:rsidR="00387142" w:rsidRPr="008B6A75" w:rsidRDefault="00387142" w:rsidP="00387142">
            <w:pPr>
              <w:jc w:val="center"/>
              <w:rPr>
                <w:sz w:val="20"/>
                <w:szCs w:val="20"/>
              </w:rPr>
            </w:pPr>
            <w:r w:rsidRPr="008B6A75">
              <w:rPr>
                <w:sz w:val="20"/>
                <w:szCs w:val="20"/>
              </w:rPr>
              <w:t>01</w:t>
            </w:r>
          </w:p>
        </w:tc>
        <w:tc>
          <w:tcPr>
            <w:tcW w:w="1411" w:type="dxa"/>
            <w:tcBorders>
              <w:top w:val="single" w:sz="4" w:space="0" w:color="auto"/>
              <w:left w:val="single" w:sz="4" w:space="0" w:color="auto"/>
              <w:bottom w:val="nil"/>
              <w:right w:val="nil"/>
            </w:tcBorders>
            <w:shd w:val="clear" w:color="auto" w:fill="auto"/>
            <w:noWrap/>
            <w:vAlign w:val="center"/>
            <w:hideMark/>
          </w:tcPr>
          <w:p w14:paraId="3DD03577" w14:textId="77777777" w:rsidR="00387142" w:rsidRPr="008B6A75" w:rsidRDefault="00387142" w:rsidP="00387142">
            <w:pPr>
              <w:jc w:val="center"/>
              <w:rPr>
                <w:sz w:val="20"/>
                <w:szCs w:val="20"/>
              </w:rPr>
            </w:pPr>
            <w:r w:rsidRPr="008B6A75">
              <w:rPr>
                <w:sz w:val="20"/>
                <w:szCs w:val="20"/>
              </w:rPr>
              <w:t>05.0.00.11950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779FDFA8" w14:textId="77777777" w:rsidR="00387142" w:rsidRPr="008B6A75" w:rsidRDefault="00387142" w:rsidP="00387142">
            <w:pPr>
              <w:jc w:val="center"/>
              <w:rPr>
                <w:sz w:val="20"/>
                <w:szCs w:val="20"/>
              </w:rPr>
            </w:pPr>
            <w:r w:rsidRPr="008B6A75">
              <w:rPr>
                <w:sz w:val="20"/>
                <w:szCs w:val="20"/>
              </w:rPr>
              <w:t>600</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4B543088" w14:textId="77777777" w:rsidR="00387142" w:rsidRPr="008B6A75" w:rsidRDefault="00387142" w:rsidP="00387142">
            <w:pPr>
              <w:jc w:val="right"/>
              <w:rPr>
                <w:sz w:val="20"/>
                <w:szCs w:val="20"/>
              </w:rPr>
            </w:pPr>
            <w:r w:rsidRPr="008B6A75">
              <w:rPr>
                <w:sz w:val="20"/>
                <w:szCs w:val="20"/>
              </w:rPr>
              <w:t>600 000,00</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77D6BF06" w14:textId="77777777" w:rsidR="00387142" w:rsidRPr="008B6A75" w:rsidRDefault="00387142" w:rsidP="00387142">
            <w:pPr>
              <w:jc w:val="right"/>
              <w:rPr>
                <w:sz w:val="20"/>
                <w:szCs w:val="20"/>
              </w:rPr>
            </w:pPr>
            <w:r w:rsidRPr="008B6A75">
              <w:rPr>
                <w:sz w:val="20"/>
                <w:szCs w:val="20"/>
              </w:rPr>
              <w:t>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046B3F6C" w14:textId="77777777" w:rsidR="00387142" w:rsidRPr="008B6A75" w:rsidRDefault="00387142" w:rsidP="00387142">
            <w:pPr>
              <w:jc w:val="right"/>
              <w:rPr>
                <w:sz w:val="20"/>
                <w:szCs w:val="20"/>
              </w:rPr>
            </w:pPr>
            <w:r w:rsidRPr="008B6A75">
              <w:rPr>
                <w:sz w:val="20"/>
                <w:szCs w:val="20"/>
              </w:rPr>
              <w:t>0,00</w:t>
            </w:r>
          </w:p>
        </w:tc>
        <w:tc>
          <w:tcPr>
            <w:tcW w:w="222" w:type="dxa"/>
            <w:vAlign w:val="center"/>
            <w:hideMark/>
          </w:tcPr>
          <w:p w14:paraId="216CB7A0" w14:textId="77777777" w:rsidR="00387142" w:rsidRPr="008B6A75" w:rsidRDefault="00387142" w:rsidP="00387142">
            <w:pPr>
              <w:rPr>
                <w:sz w:val="20"/>
                <w:szCs w:val="20"/>
              </w:rPr>
            </w:pPr>
          </w:p>
        </w:tc>
      </w:tr>
      <w:tr w:rsidR="00387142" w:rsidRPr="008B6A75" w14:paraId="5ADD9EAA" w14:textId="77777777" w:rsidTr="00387142">
        <w:trPr>
          <w:trHeight w:val="300"/>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77476353" w14:textId="77777777" w:rsidR="00387142" w:rsidRPr="008B6A75" w:rsidRDefault="00387142" w:rsidP="00387142">
            <w:pPr>
              <w:rPr>
                <w:sz w:val="20"/>
                <w:szCs w:val="20"/>
              </w:rPr>
            </w:pPr>
            <w:r w:rsidRPr="008B6A75">
              <w:rPr>
                <w:sz w:val="20"/>
                <w:szCs w:val="20"/>
              </w:rPr>
              <w:t>Субсидии бюджетным учреждениям</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08BA620A" w14:textId="77777777" w:rsidR="00387142" w:rsidRPr="008B6A75" w:rsidRDefault="00387142" w:rsidP="00387142">
            <w:pPr>
              <w:jc w:val="center"/>
              <w:rPr>
                <w:sz w:val="20"/>
                <w:szCs w:val="20"/>
              </w:rPr>
            </w:pPr>
            <w:r w:rsidRPr="008B6A75">
              <w:rPr>
                <w:sz w:val="20"/>
                <w:szCs w:val="20"/>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714FC8E9" w14:textId="77777777" w:rsidR="00387142" w:rsidRPr="008B6A75" w:rsidRDefault="00387142" w:rsidP="00387142">
            <w:pPr>
              <w:jc w:val="center"/>
              <w:rPr>
                <w:sz w:val="20"/>
                <w:szCs w:val="20"/>
              </w:rPr>
            </w:pPr>
            <w:r w:rsidRPr="008B6A75">
              <w:rPr>
                <w:sz w:val="20"/>
                <w:szCs w:val="20"/>
              </w:rPr>
              <w:t>08</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DB8417" w14:textId="77777777" w:rsidR="00387142" w:rsidRPr="008B6A75" w:rsidRDefault="00387142" w:rsidP="00387142">
            <w:pPr>
              <w:jc w:val="center"/>
              <w:rPr>
                <w:sz w:val="20"/>
                <w:szCs w:val="20"/>
              </w:rPr>
            </w:pPr>
            <w:r w:rsidRPr="008B6A75">
              <w:rPr>
                <w:sz w:val="20"/>
                <w:szCs w:val="20"/>
              </w:rPr>
              <w:t>01</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2C671A22" w14:textId="77777777" w:rsidR="00387142" w:rsidRPr="008B6A75" w:rsidRDefault="00387142" w:rsidP="00387142">
            <w:pPr>
              <w:jc w:val="center"/>
              <w:rPr>
                <w:sz w:val="20"/>
                <w:szCs w:val="20"/>
              </w:rPr>
            </w:pPr>
            <w:r w:rsidRPr="008B6A75">
              <w:rPr>
                <w:sz w:val="20"/>
                <w:szCs w:val="20"/>
              </w:rPr>
              <w:t>05.0.00.11950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625189" w14:textId="77777777" w:rsidR="00387142" w:rsidRPr="008B6A75" w:rsidRDefault="00387142" w:rsidP="00387142">
            <w:pPr>
              <w:jc w:val="center"/>
              <w:rPr>
                <w:sz w:val="20"/>
                <w:szCs w:val="20"/>
              </w:rPr>
            </w:pPr>
            <w:r w:rsidRPr="008B6A75">
              <w:rPr>
                <w:sz w:val="20"/>
                <w:szCs w:val="20"/>
              </w:rPr>
              <w:t>610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DEBDAC" w14:textId="77777777" w:rsidR="00387142" w:rsidRPr="008B6A75" w:rsidRDefault="00387142" w:rsidP="00387142">
            <w:pPr>
              <w:jc w:val="right"/>
              <w:rPr>
                <w:sz w:val="20"/>
                <w:szCs w:val="20"/>
              </w:rPr>
            </w:pPr>
            <w:r w:rsidRPr="008B6A75">
              <w:rPr>
                <w:sz w:val="20"/>
                <w:szCs w:val="20"/>
              </w:rPr>
              <w:t>600 000,00</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141F6593" w14:textId="77777777" w:rsidR="00387142" w:rsidRPr="008B6A75" w:rsidRDefault="00387142" w:rsidP="00387142">
            <w:pPr>
              <w:jc w:val="right"/>
              <w:rPr>
                <w:sz w:val="20"/>
                <w:szCs w:val="20"/>
              </w:rPr>
            </w:pPr>
            <w:r w:rsidRPr="008B6A75">
              <w:rPr>
                <w:sz w:val="20"/>
                <w:szCs w:val="20"/>
              </w:rPr>
              <w:t>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887612" w14:textId="77777777" w:rsidR="00387142" w:rsidRPr="008B6A75" w:rsidRDefault="00387142" w:rsidP="00387142">
            <w:pPr>
              <w:jc w:val="right"/>
              <w:rPr>
                <w:sz w:val="20"/>
                <w:szCs w:val="20"/>
              </w:rPr>
            </w:pPr>
            <w:r w:rsidRPr="008B6A75">
              <w:rPr>
                <w:sz w:val="20"/>
                <w:szCs w:val="20"/>
              </w:rPr>
              <w:t>0,00</w:t>
            </w:r>
          </w:p>
        </w:tc>
        <w:tc>
          <w:tcPr>
            <w:tcW w:w="222" w:type="dxa"/>
            <w:vAlign w:val="center"/>
            <w:hideMark/>
          </w:tcPr>
          <w:p w14:paraId="752656D2" w14:textId="77777777" w:rsidR="00387142" w:rsidRPr="008B6A75" w:rsidRDefault="00387142" w:rsidP="00387142">
            <w:pPr>
              <w:rPr>
                <w:sz w:val="20"/>
                <w:szCs w:val="20"/>
              </w:rPr>
            </w:pPr>
          </w:p>
        </w:tc>
      </w:tr>
      <w:tr w:rsidR="00387142" w:rsidRPr="008B6A75" w14:paraId="588E2F37" w14:textId="77777777" w:rsidTr="00387142">
        <w:trPr>
          <w:trHeight w:val="870"/>
        </w:trPr>
        <w:tc>
          <w:tcPr>
            <w:tcW w:w="3021" w:type="dxa"/>
            <w:tcBorders>
              <w:top w:val="nil"/>
              <w:left w:val="single" w:sz="4" w:space="0" w:color="auto"/>
              <w:bottom w:val="nil"/>
              <w:right w:val="nil"/>
            </w:tcBorders>
            <w:shd w:val="clear" w:color="auto" w:fill="auto"/>
            <w:vAlign w:val="center"/>
            <w:hideMark/>
          </w:tcPr>
          <w:p w14:paraId="031CBAA6" w14:textId="77777777" w:rsidR="00387142" w:rsidRPr="008B6A75" w:rsidRDefault="00387142" w:rsidP="00387142">
            <w:pPr>
              <w:rPr>
                <w:bCs/>
                <w:sz w:val="20"/>
                <w:szCs w:val="20"/>
              </w:rPr>
            </w:pPr>
            <w:r w:rsidRPr="008B6A75">
              <w:rPr>
                <w:bCs/>
                <w:sz w:val="20"/>
                <w:szCs w:val="20"/>
              </w:rPr>
              <w:lastRenderedPageBreak/>
              <w:t>Муниципальная программа "Комплексное развитие сельских территорий в Куйбышевском районе"</w:t>
            </w:r>
          </w:p>
        </w:tc>
        <w:tc>
          <w:tcPr>
            <w:tcW w:w="850" w:type="dxa"/>
            <w:tcBorders>
              <w:top w:val="nil"/>
              <w:left w:val="single" w:sz="4" w:space="0" w:color="auto"/>
              <w:bottom w:val="nil"/>
              <w:right w:val="nil"/>
            </w:tcBorders>
            <w:shd w:val="clear" w:color="auto" w:fill="auto"/>
            <w:noWrap/>
            <w:vAlign w:val="center"/>
            <w:hideMark/>
          </w:tcPr>
          <w:p w14:paraId="00313273" w14:textId="77777777" w:rsidR="00387142" w:rsidRPr="008B6A75" w:rsidRDefault="00387142" w:rsidP="00387142">
            <w:pPr>
              <w:jc w:val="center"/>
              <w:rPr>
                <w:bCs/>
                <w:sz w:val="20"/>
                <w:szCs w:val="20"/>
              </w:rPr>
            </w:pPr>
            <w:r w:rsidRPr="008B6A75">
              <w:rPr>
                <w:bCs/>
                <w:sz w:val="20"/>
                <w:szCs w:val="20"/>
              </w:rPr>
              <w:t>444</w:t>
            </w:r>
          </w:p>
        </w:tc>
        <w:tc>
          <w:tcPr>
            <w:tcW w:w="709" w:type="dxa"/>
            <w:tcBorders>
              <w:top w:val="nil"/>
              <w:left w:val="single" w:sz="4" w:space="0" w:color="auto"/>
              <w:bottom w:val="nil"/>
              <w:right w:val="nil"/>
            </w:tcBorders>
            <w:shd w:val="clear" w:color="auto" w:fill="auto"/>
            <w:noWrap/>
            <w:vAlign w:val="center"/>
            <w:hideMark/>
          </w:tcPr>
          <w:p w14:paraId="7A690579" w14:textId="77777777" w:rsidR="00387142" w:rsidRPr="008B6A75" w:rsidRDefault="00387142" w:rsidP="00387142">
            <w:pPr>
              <w:jc w:val="center"/>
              <w:rPr>
                <w:bCs/>
                <w:sz w:val="20"/>
                <w:szCs w:val="20"/>
              </w:rPr>
            </w:pPr>
            <w:r w:rsidRPr="008B6A75">
              <w:rPr>
                <w:bCs/>
                <w:sz w:val="20"/>
                <w:szCs w:val="20"/>
              </w:rPr>
              <w:t>08</w:t>
            </w:r>
          </w:p>
        </w:tc>
        <w:tc>
          <w:tcPr>
            <w:tcW w:w="709" w:type="dxa"/>
            <w:tcBorders>
              <w:top w:val="nil"/>
              <w:left w:val="single" w:sz="4" w:space="0" w:color="auto"/>
              <w:bottom w:val="nil"/>
              <w:right w:val="single" w:sz="4" w:space="0" w:color="auto"/>
            </w:tcBorders>
            <w:shd w:val="clear" w:color="auto" w:fill="auto"/>
            <w:noWrap/>
            <w:vAlign w:val="center"/>
            <w:hideMark/>
          </w:tcPr>
          <w:p w14:paraId="2A03DD6D" w14:textId="77777777" w:rsidR="00387142" w:rsidRPr="008B6A75" w:rsidRDefault="00387142" w:rsidP="00387142">
            <w:pPr>
              <w:jc w:val="center"/>
              <w:rPr>
                <w:bCs/>
                <w:sz w:val="20"/>
                <w:szCs w:val="20"/>
              </w:rPr>
            </w:pPr>
            <w:r w:rsidRPr="008B6A75">
              <w:rPr>
                <w:bCs/>
                <w:sz w:val="20"/>
                <w:szCs w:val="20"/>
              </w:rPr>
              <w:t>01</w:t>
            </w:r>
          </w:p>
        </w:tc>
        <w:tc>
          <w:tcPr>
            <w:tcW w:w="1411" w:type="dxa"/>
            <w:tcBorders>
              <w:top w:val="nil"/>
              <w:left w:val="single" w:sz="4" w:space="0" w:color="auto"/>
              <w:bottom w:val="nil"/>
              <w:right w:val="nil"/>
            </w:tcBorders>
            <w:shd w:val="clear" w:color="auto" w:fill="auto"/>
            <w:noWrap/>
            <w:vAlign w:val="center"/>
            <w:hideMark/>
          </w:tcPr>
          <w:p w14:paraId="71526C98" w14:textId="77777777" w:rsidR="00387142" w:rsidRPr="008B6A75" w:rsidRDefault="00387142" w:rsidP="00387142">
            <w:pPr>
              <w:jc w:val="center"/>
              <w:rPr>
                <w:bCs/>
                <w:sz w:val="20"/>
                <w:szCs w:val="20"/>
              </w:rPr>
            </w:pPr>
            <w:r w:rsidRPr="008B6A75">
              <w:rPr>
                <w:bCs/>
                <w:sz w:val="20"/>
                <w:szCs w:val="20"/>
              </w:rPr>
              <w:t>06.0.00.00000</w:t>
            </w:r>
          </w:p>
        </w:tc>
        <w:tc>
          <w:tcPr>
            <w:tcW w:w="955" w:type="dxa"/>
            <w:tcBorders>
              <w:top w:val="nil"/>
              <w:left w:val="single" w:sz="4" w:space="0" w:color="auto"/>
              <w:bottom w:val="nil"/>
              <w:right w:val="single" w:sz="4" w:space="0" w:color="auto"/>
            </w:tcBorders>
            <w:shd w:val="clear" w:color="auto" w:fill="auto"/>
            <w:noWrap/>
            <w:vAlign w:val="center"/>
            <w:hideMark/>
          </w:tcPr>
          <w:p w14:paraId="021D06CC"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nil"/>
              <w:right w:val="single" w:sz="4" w:space="0" w:color="auto"/>
            </w:tcBorders>
            <w:shd w:val="clear" w:color="auto" w:fill="auto"/>
            <w:noWrap/>
            <w:vAlign w:val="center"/>
            <w:hideMark/>
          </w:tcPr>
          <w:p w14:paraId="2E9A7217" w14:textId="77777777" w:rsidR="00387142" w:rsidRPr="008B6A75" w:rsidRDefault="00387142" w:rsidP="00387142">
            <w:pPr>
              <w:jc w:val="right"/>
              <w:rPr>
                <w:bCs/>
                <w:sz w:val="20"/>
                <w:szCs w:val="20"/>
              </w:rPr>
            </w:pPr>
            <w:r w:rsidRPr="008B6A75">
              <w:rPr>
                <w:bCs/>
                <w:sz w:val="20"/>
                <w:szCs w:val="20"/>
              </w:rPr>
              <w:t>3 276 505,15</w:t>
            </w:r>
          </w:p>
        </w:tc>
        <w:tc>
          <w:tcPr>
            <w:tcW w:w="992" w:type="dxa"/>
            <w:gridSpan w:val="2"/>
            <w:tcBorders>
              <w:top w:val="nil"/>
              <w:left w:val="single" w:sz="4" w:space="0" w:color="auto"/>
              <w:bottom w:val="nil"/>
              <w:right w:val="nil"/>
            </w:tcBorders>
            <w:shd w:val="clear" w:color="auto" w:fill="auto"/>
            <w:noWrap/>
            <w:vAlign w:val="center"/>
            <w:hideMark/>
          </w:tcPr>
          <w:p w14:paraId="761795C0" w14:textId="77777777" w:rsidR="00387142" w:rsidRPr="008B6A75" w:rsidRDefault="00387142" w:rsidP="00387142">
            <w:pPr>
              <w:jc w:val="right"/>
              <w:rPr>
                <w:bCs/>
                <w:sz w:val="20"/>
                <w:szCs w:val="20"/>
              </w:rPr>
            </w:pPr>
            <w:r w:rsidRPr="008B6A75">
              <w:rPr>
                <w:bCs/>
                <w:sz w:val="20"/>
                <w:szCs w:val="20"/>
              </w:rPr>
              <w:t>0,00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01D8DCD7" w14:textId="77777777" w:rsidR="00387142" w:rsidRPr="008B6A75" w:rsidRDefault="00387142" w:rsidP="00387142">
            <w:pPr>
              <w:jc w:val="right"/>
              <w:rPr>
                <w:bCs/>
                <w:sz w:val="20"/>
                <w:szCs w:val="20"/>
              </w:rPr>
            </w:pPr>
            <w:r w:rsidRPr="008B6A75">
              <w:rPr>
                <w:bCs/>
                <w:sz w:val="20"/>
                <w:szCs w:val="20"/>
              </w:rPr>
              <w:t>0,00</w:t>
            </w:r>
          </w:p>
        </w:tc>
        <w:tc>
          <w:tcPr>
            <w:tcW w:w="222" w:type="dxa"/>
            <w:vAlign w:val="center"/>
            <w:hideMark/>
          </w:tcPr>
          <w:p w14:paraId="779CE1C5" w14:textId="77777777" w:rsidR="00387142" w:rsidRPr="008B6A75" w:rsidRDefault="00387142" w:rsidP="00387142">
            <w:pPr>
              <w:rPr>
                <w:sz w:val="20"/>
                <w:szCs w:val="20"/>
              </w:rPr>
            </w:pPr>
          </w:p>
        </w:tc>
      </w:tr>
      <w:tr w:rsidR="00387142" w:rsidRPr="008B6A75" w14:paraId="61212F47" w14:textId="77777777" w:rsidTr="00387142">
        <w:trPr>
          <w:trHeight w:val="2295"/>
        </w:trPr>
        <w:tc>
          <w:tcPr>
            <w:tcW w:w="3021" w:type="dxa"/>
            <w:tcBorders>
              <w:top w:val="single" w:sz="4" w:space="0" w:color="auto"/>
              <w:left w:val="single" w:sz="4" w:space="0" w:color="auto"/>
              <w:bottom w:val="nil"/>
              <w:right w:val="nil"/>
            </w:tcBorders>
            <w:shd w:val="clear" w:color="auto" w:fill="auto"/>
            <w:vAlign w:val="center"/>
            <w:hideMark/>
          </w:tcPr>
          <w:p w14:paraId="61B62A12" w14:textId="77777777" w:rsidR="00387142" w:rsidRPr="008B6A75" w:rsidRDefault="00387142" w:rsidP="00387142">
            <w:pPr>
              <w:rPr>
                <w:bCs/>
                <w:sz w:val="20"/>
                <w:szCs w:val="20"/>
              </w:rPr>
            </w:pPr>
            <w:r w:rsidRPr="008B6A75">
              <w:rPr>
                <w:bCs/>
                <w:sz w:val="20"/>
                <w:szCs w:val="20"/>
              </w:rPr>
              <w:t>Обеспечение комплексного развития сельских территорий (формирование современного облика сельских территорий, направленных на создание и развитие инфраструктуры в сельской местности), государственной программы Новосибирской области "Комплексное развитие сельских территорий в Новосибирской области"</w:t>
            </w:r>
          </w:p>
        </w:tc>
        <w:tc>
          <w:tcPr>
            <w:tcW w:w="850" w:type="dxa"/>
            <w:tcBorders>
              <w:top w:val="single" w:sz="4" w:space="0" w:color="auto"/>
              <w:left w:val="single" w:sz="4" w:space="0" w:color="auto"/>
              <w:bottom w:val="nil"/>
              <w:right w:val="nil"/>
            </w:tcBorders>
            <w:shd w:val="clear" w:color="auto" w:fill="auto"/>
            <w:noWrap/>
            <w:vAlign w:val="center"/>
            <w:hideMark/>
          </w:tcPr>
          <w:p w14:paraId="2478CD42" w14:textId="77777777" w:rsidR="00387142" w:rsidRPr="008B6A75" w:rsidRDefault="00387142" w:rsidP="00387142">
            <w:pPr>
              <w:jc w:val="center"/>
              <w:rPr>
                <w:bCs/>
                <w:sz w:val="20"/>
                <w:szCs w:val="20"/>
              </w:rPr>
            </w:pPr>
            <w:r w:rsidRPr="008B6A75">
              <w:rPr>
                <w:bCs/>
                <w:sz w:val="20"/>
                <w:szCs w:val="20"/>
              </w:rPr>
              <w:t>444</w:t>
            </w:r>
          </w:p>
        </w:tc>
        <w:tc>
          <w:tcPr>
            <w:tcW w:w="709" w:type="dxa"/>
            <w:tcBorders>
              <w:top w:val="single" w:sz="4" w:space="0" w:color="auto"/>
              <w:left w:val="single" w:sz="4" w:space="0" w:color="auto"/>
              <w:bottom w:val="nil"/>
              <w:right w:val="nil"/>
            </w:tcBorders>
            <w:shd w:val="clear" w:color="auto" w:fill="auto"/>
            <w:noWrap/>
            <w:vAlign w:val="center"/>
            <w:hideMark/>
          </w:tcPr>
          <w:p w14:paraId="496712DA" w14:textId="77777777" w:rsidR="00387142" w:rsidRPr="008B6A75" w:rsidRDefault="00387142" w:rsidP="00387142">
            <w:pPr>
              <w:jc w:val="center"/>
              <w:rPr>
                <w:bCs/>
                <w:sz w:val="20"/>
                <w:szCs w:val="20"/>
              </w:rPr>
            </w:pPr>
            <w:r w:rsidRPr="008B6A75">
              <w:rPr>
                <w:bCs/>
                <w:sz w:val="20"/>
                <w:szCs w:val="20"/>
              </w:rPr>
              <w:t>08</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124AFFAD" w14:textId="77777777" w:rsidR="00387142" w:rsidRPr="008B6A75" w:rsidRDefault="00387142" w:rsidP="00387142">
            <w:pPr>
              <w:jc w:val="center"/>
              <w:rPr>
                <w:bCs/>
                <w:sz w:val="20"/>
                <w:szCs w:val="20"/>
              </w:rPr>
            </w:pPr>
            <w:r w:rsidRPr="008B6A75">
              <w:rPr>
                <w:bCs/>
                <w:sz w:val="20"/>
                <w:szCs w:val="20"/>
              </w:rPr>
              <w:t>01</w:t>
            </w:r>
          </w:p>
        </w:tc>
        <w:tc>
          <w:tcPr>
            <w:tcW w:w="1411" w:type="dxa"/>
            <w:tcBorders>
              <w:top w:val="single" w:sz="4" w:space="0" w:color="auto"/>
              <w:left w:val="single" w:sz="4" w:space="0" w:color="auto"/>
              <w:bottom w:val="nil"/>
              <w:right w:val="nil"/>
            </w:tcBorders>
            <w:shd w:val="clear" w:color="auto" w:fill="auto"/>
            <w:noWrap/>
            <w:vAlign w:val="center"/>
            <w:hideMark/>
          </w:tcPr>
          <w:p w14:paraId="623F5874" w14:textId="77777777" w:rsidR="00387142" w:rsidRPr="008B6A75" w:rsidRDefault="00387142" w:rsidP="00387142">
            <w:pPr>
              <w:jc w:val="center"/>
              <w:rPr>
                <w:bCs/>
                <w:sz w:val="20"/>
                <w:szCs w:val="20"/>
              </w:rPr>
            </w:pPr>
            <w:r w:rsidRPr="008B6A75">
              <w:rPr>
                <w:bCs/>
                <w:sz w:val="20"/>
                <w:szCs w:val="20"/>
              </w:rPr>
              <w:t>06.0.00.L5766</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3331345B" w14:textId="77777777" w:rsidR="00387142" w:rsidRPr="008B6A75" w:rsidRDefault="00387142" w:rsidP="00387142">
            <w:pPr>
              <w:jc w:val="center"/>
              <w:rPr>
                <w:bCs/>
                <w:sz w:val="20"/>
                <w:szCs w:val="20"/>
              </w:rPr>
            </w:pPr>
            <w:r w:rsidRPr="008B6A75">
              <w:rPr>
                <w:bCs/>
                <w:sz w:val="20"/>
                <w:szCs w:val="20"/>
              </w:rPr>
              <w:t> </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01B25537" w14:textId="77777777" w:rsidR="00387142" w:rsidRPr="008B6A75" w:rsidRDefault="00387142" w:rsidP="00387142">
            <w:pPr>
              <w:jc w:val="right"/>
              <w:rPr>
                <w:bCs/>
                <w:sz w:val="20"/>
                <w:szCs w:val="20"/>
              </w:rPr>
            </w:pPr>
            <w:r w:rsidRPr="008B6A75">
              <w:rPr>
                <w:bCs/>
                <w:sz w:val="20"/>
                <w:szCs w:val="20"/>
              </w:rPr>
              <w:t>3 276 505,15</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317BBD67" w14:textId="77777777" w:rsidR="00387142" w:rsidRPr="008B6A75" w:rsidRDefault="00387142" w:rsidP="00387142">
            <w:pPr>
              <w:jc w:val="right"/>
              <w:rPr>
                <w:bCs/>
                <w:sz w:val="20"/>
                <w:szCs w:val="20"/>
              </w:rPr>
            </w:pPr>
            <w:r w:rsidRPr="008B6A75">
              <w:rPr>
                <w:bCs/>
                <w:sz w:val="20"/>
                <w:szCs w:val="20"/>
              </w:rPr>
              <w:t>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731DE884" w14:textId="77777777" w:rsidR="00387142" w:rsidRPr="008B6A75" w:rsidRDefault="00387142" w:rsidP="00387142">
            <w:pPr>
              <w:jc w:val="right"/>
              <w:rPr>
                <w:bCs/>
                <w:sz w:val="20"/>
                <w:szCs w:val="20"/>
              </w:rPr>
            </w:pPr>
            <w:r w:rsidRPr="008B6A75">
              <w:rPr>
                <w:bCs/>
                <w:sz w:val="20"/>
                <w:szCs w:val="20"/>
              </w:rPr>
              <w:t>0,00</w:t>
            </w:r>
          </w:p>
        </w:tc>
        <w:tc>
          <w:tcPr>
            <w:tcW w:w="222" w:type="dxa"/>
            <w:vAlign w:val="center"/>
            <w:hideMark/>
          </w:tcPr>
          <w:p w14:paraId="5D6E0776" w14:textId="77777777" w:rsidR="00387142" w:rsidRPr="008B6A75" w:rsidRDefault="00387142" w:rsidP="00387142">
            <w:pPr>
              <w:rPr>
                <w:sz w:val="20"/>
                <w:szCs w:val="20"/>
              </w:rPr>
            </w:pPr>
          </w:p>
        </w:tc>
      </w:tr>
      <w:tr w:rsidR="00387142" w:rsidRPr="008B6A75" w14:paraId="38C0EF7E" w14:textId="77777777" w:rsidTr="00387142">
        <w:trPr>
          <w:trHeight w:val="300"/>
        </w:trPr>
        <w:tc>
          <w:tcPr>
            <w:tcW w:w="3021" w:type="dxa"/>
            <w:tcBorders>
              <w:top w:val="single" w:sz="4" w:space="0" w:color="auto"/>
              <w:left w:val="single" w:sz="4" w:space="0" w:color="auto"/>
              <w:bottom w:val="nil"/>
              <w:right w:val="nil"/>
            </w:tcBorders>
            <w:shd w:val="clear" w:color="auto" w:fill="auto"/>
            <w:vAlign w:val="center"/>
            <w:hideMark/>
          </w:tcPr>
          <w:p w14:paraId="511FA8D5" w14:textId="77777777" w:rsidR="00387142" w:rsidRPr="008B6A75" w:rsidRDefault="00387142" w:rsidP="00387142">
            <w:pPr>
              <w:rPr>
                <w:sz w:val="20"/>
                <w:szCs w:val="20"/>
              </w:rPr>
            </w:pPr>
            <w:r w:rsidRPr="008B6A75">
              <w:rPr>
                <w:sz w:val="20"/>
                <w:szCs w:val="20"/>
              </w:rPr>
              <w:t>Межбюджетные трансферты</w:t>
            </w:r>
          </w:p>
        </w:tc>
        <w:tc>
          <w:tcPr>
            <w:tcW w:w="850" w:type="dxa"/>
            <w:tcBorders>
              <w:top w:val="single" w:sz="4" w:space="0" w:color="auto"/>
              <w:left w:val="single" w:sz="4" w:space="0" w:color="auto"/>
              <w:bottom w:val="nil"/>
              <w:right w:val="nil"/>
            </w:tcBorders>
            <w:shd w:val="clear" w:color="auto" w:fill="auto"/>
            <w:noWrap/>
            <w:vAlign w:val="center"/>
            <w:hideMark/>
          </w:tcPr>
          <w:p w14:paraId="469CDEC0" w14:textId="77777777" w:rsidR="00387142" w:rsidRPr="008B6A75" w:rsidRDefault="00387142" w:rsidP="00387142">
            <w:pPr>
              <w:jc w:val="center"/>
              <w:rPr>
                <w:sz w:val="20"/>
                <w:szCs w:val="20"/>
              </w:rPr>
            </w:pPr>
            <w:r w:rsidRPr="008B6A75">
              <w:rPr>
                <w:sz w:val="20"/>
                <w:szCs w:val="20"/>
              </w:rPr>
              <w:t>444</w:t>
            </w:r>
          </w:p>
        </w:tc>
        <w:tc>
          <w:tcPr>
            <w:tcW w:w="709" w:type="dxa"/>
            <w:tcBorders>
              <w:top w:val="single" w:sz="4" w:space="0" w:color="auto"/>
              <w:left w:val="single" w:sz="4" w:space="0" w:color="auto"/>
              <w:bottom w:val="nil"/>
              <w:right w:val="nil"/>
            </w:tcBorders>
            <w:shd w:val="clear" w:color="auto" w:fill="auto"/>
            <w:noWrap/>
            <w:vAlign w:val="center"/>
            <w:hideMark/>
          </w:tcPr>
          <w:p w14:paraId="0B1A50C2" w14:textId="77777777" w:rsidR="00387142" w:rsidRPr="008B6A75" w:rsidRDefault="00387142" w:rsidP="00387142">
            <w:pPr>
              <w:jc w:val="center"/>
              <w:rPr>
                <w:sz w:val="20"/>
                <w:szCs w:val="20"/>
              </w:rPr>
            </w:pPr>
            <w:r w:rsidRPr="008B6A75">
              <w:rPr>
                <w:sz w:val="20"/>
                <w:szCs w:val="20"/>
              </w:rPr>
              <w:t>08</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0B98D043" w14:textId="77777777" w:rsidR="00387142" w:rsidRPr="008B6A75" w:rsidRDefault="00387142" w:rsidP="00387142">
            <w:pPr>
              <w:jc w:val="center"/>
              <w:rPr>
                <w:sz w:val="20"/>
                <w:szCs w:val="20"/>
              </w:rPr>
            </w:pPr>
            <w:r w:rsidRPr="008B6A75">
              <w:rPr>
                <w:sz w:val="20"/>
                <w:szCs w:val="20"/>
              </w:rPr>
              <w:t>01</w:t>
            </w:r>
          </w:p>
        </w:tc>
        <w:tc>
          <w:tcPr>
            <w:tcW w:w="1411" w:type="dxa"/>
            <w:tcBorders>
              <w:top w:val="single" w:sz="4" w:space="0" w:color="auto"/>
              <w:left w:val="single" w:sz="4" w:space="0" w:color="auto"/>
              <w:bottom w:val="nil"/>
              <w:right w:val="nil"/>
            </w:tcBorders>
            <w:shd w:val="clear" w:color="auto" w:fill="auto"/>
            <w:noWrap/>
            <w:vAlign w:val="center"/>
            <w:hideMark/>
          </w:tcPr>
          <w:p w14:paraId="007A4D25" w14:textId="77777777" w:rsidR="00387142" w:rsidRPr="008B6A75" w:rsidRDefault="00387142" w:rsidP="00387142">
            <w:pPr>
              <w:jc w:val="center"/>
              <w:rPr>
                <w:sz w:val="20"/>
                <w:szCs w:val="20"/>
              </w:rPr>
            </w:pPr>
            <w:r w:rsidRPr="008B6A75">
              <w:rPr>
                <w:sz w:val="20"/>
                <w:szCs w:val="20"/>
              </w:rPr>
              <w:t>06.0.00.L5766</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6EEE3DC2" w14:textId="77777777" w:rsidR="00387142" w:rsidRPr="008B6A75" w:rsidRDefault="00387142" w:rsidP="00387142">
            <w:pPr>
              <w:jc w:val="center"/>
              <w:rPr>
                <w:sz w:val="20"/>
                <w:szCs w:val="20"/>
              </w:rPr>
            </w:pPr>
            <w:r w:rsidRPr="008B6A75">
              <w:rPr>
                <w:sz w:val="20"/>
                <w:szCs w:val="20"/>
              </w:rPr>
              <w:t>500</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44C439F5" w14:textId="77777777" w:rsidR="00387142" w:rsidRPr="008B6A75" w:rsidRDefault="00387142" w:rsidP="00387142">
            <w:pPr>
              <w:jc w:val="right"/>
              <w:rPr>
                <w:sz w:val="20"/>
                <w:szCs w:val="20"/>
              </w:rPr>
            </w:pPr>
            <w:r w:rsidRPr="008B6A75">
              <w:rPr>
                <w:sz w:val="20"/>
                <w:szCs w:val="20"/>
              </w:rPr>
              <w:t>3 276 505,15</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36F04266" w14:textId="77777777" w:rsidR="00387142" w:rsidRPr="008B6A75" w:rsidRDefault="00387142" w:rsidP="00387142">
            <w:pPr>
              <w:jc w:val="right"/>
              <w:rPr>
                <w:sz w:val="20"/>
                <w:szCs w:val="20"/>
              </w:rPr>
            </w:pPr>
            <w:r w:rsidRPr="008B6A75">
              <w:rPr>
                <w:sz w:val="20"/>
                <w:szCs w:val="20"/>
              </w:rPr>
              <w:t>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3A300717" w14:textId="77777777" w:rsidR="00387142" w:rsidRPr="008B6A75" w:rsidRDefault="00387142" w:rsidP="00387142">
            <w:pPr>
              <w:jc w:val="right"/>
              <w:rPr>
                <w:sz w:val="20"/>
                <w:szCs w:val="20"/>
              </w:rPr>
            </w:pPr>
            <w:r w:rsidRPr="008B6A75">
              <w:rPr>
                <w:sz w:val="20"/>
                <w:szCs w:val="20"/>
              </w:rPr>
              <w:t>0,00</w:t>
            </w:r>
          </w:p>
        </w:tc>
        <w:tc>
          <w:tcPr>
            <w:tcW w:w="222" w:type="dxa"/>
            <w:vAlign w:val="center"/>
            <w:hideMark/>
          </w:tcPr>
          <w:p w14:paraId="5F8CD47F" w14:textId="77777777" w:rsidR="00387142" w:rsidRPr="008B6A75" w:rsidRDefault="00387142" w:rsidP="00387142">
            <w:pPr>
              <w:rPr>
                <w:sz w:val="20"/>
                <w:szCs w:val="20"/>
              </w:rPr>
            </w:pPr>
          </w:p>
        </w:tc>
      </w:tr>
      <w:tr w:rsidR="00387142" w:rsidRPr="008B6A75" w14:paraId="56DCC2B3" w14:textId="77777777" w:rsidTr="00387142">
        <w:trPr>
          <w:trHeight w:val="300"/>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5CB08911" w14:textId="77777777" w:rsidR="00387142" w:rsidRPr="008B6A75" w:rsidRDefault="00387142" w:rsidP="00387142">
            <w:pPr>
              <w:rPr>
                <w:sz w:val="20"/>
                <w:szCs w:val="20"/>
              </w:rPr>
            </w:pPr>
            <w:r w:rsidRPr="008B6A75">
              <w:rPr>
                <w:sz w:val="20"/>
                <w:szCs w:val="20"/>
              </w:rPr>
              <w:t>Иные межбюджетные трансферты</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7B873846" w14:textId="77777777" w:rsidR="00387142" w:rsidRPr="008B6A75" w:rsidRDefault="00387142" w:rsidP="00387142">
            <w:pPr>
              <w:jc w:val="center"/>
              <w:rPr>
                <w:sz w:val="20"/>
                <w:szCs w:val="20"/>
              </w:rPr>
            </w:pPr>
            <w:r w:rsidRPr="008B6A75">
              <w:rPr>
                <w:sz w:val="20"/>
                <w:szCs w:val="20"/>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0D86D33D" w14:textId="77777777" w:rsidR="00387142" w:rsidRPr="008B6A75" w:rsidRDefault="00387142" w:rsidP="00387142">
            <w:pPr>
              <w:jc w:val="center"/>
              <w:rPr>
                <w:sz w:val="20"/>
                <w:szCs w:val="20"/>
              </w:rPr>
            </w:pPr>
            <w:r w:rsidRPr="008B6A75">
              <w:rPr>
                <w:sz w:val="20"/>
                <w:szCs w:val="20"/>
              </w:rPr>
              <w:t>08</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627DBE" w14:textId="77777777" w:rsidR="00387142" w:rsidRPr="008B6A75" w:rsidRDefault="00387142" w:rsidP="00387142">
            <w:pPr>
              <w:jc w:val="center"/>
              <w:rPr>
                <w:sz w:val="20"/>
                <w:szCs w:val="20"/>
              </w:rPr>
            </w:pPr>
            <w:r w:rsidRPr="008B6A75">
              <w:rPr>
                <w:sz w:val="20"/>
                <w:szCs w:val="20"/>
              </w:rPr>
              <w:t>01</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457E8670" w14:textId="77777777" w:rsidR="00387142" w:rsidRPr="008B6A75" w:rsidRDefault="00387142" w:rsidP="00387142">
            <w:pPr>
              <w:jc w:val="center"/>
              <w:rPr>
                <w:sz w:val="20"/>
                <w:szCs w:val="20"/>
              </w:rPr>
            </w:pPr>
            <w:r w:rsidRPr="008B6A75">
              <w:rPr>
                <w:sz w:val="20"/>
                <w:szCs w:val="20"/>
              </w:rPr>
              <w:t>06.0.00.L5766</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F85B2B" w14:textId="77777777" w:rsidR="00387142" w:rsidRPr="008B6A75" w:rsidRDefault="00387142" w:rsidP="00387142">
            <w:pPr>
              <w:jc w:val="center"/>
              <w:rPr>
                <w:sz w:val="20"/>
                <w:szCs w:val="20"/>
              </w:rPr>
            </w:pPr>
            <w:r w:rsidRPr="008B6A75">
              <w:rPr>
                <w:sz w:val="20"/>
                <w:szCs w:val="20"/>
              </w:rPr>
              <w:t>540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CE4A5A" w14:textId="77777777" w:rsidR="00387142" w:rsidRPr="008B6A75" w:rsidRDefault="00387142" w:rsidP="00387142">
            <w:pPr>
              <w:jc w:val="right"/>
              <w:rPr>
                <w:sz w:val="20"/>
                <w:szCs w:val="20"/>
              </w:rPr>
            </w:pPr>
            <w:r w:rsidRPr="008B6A75">
              <w:rPr>
                <w:sz w:val="20"/>
                <w:szCs w:val="20"/>
              </w:rPr>
              <w:t>3 276 505,15</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38072E58" w14:textId="77777777" w:rsidR="00387142" w:rsidRPr="008B6A75" w:rsidRDefault="00387142" w:rsidP="00387142">
            <w:pPr>
              <w:jc w:val="right"/>
              <w:rPr>
                <w:sz w:val="20"/>
                <w:szCs w:val="20"/>
              </w:rPr>
            </w:pPr>
            <w:r w:rsidRPr="008B6A75">
              <w:rPr>
                <w:sz w:val="20"/>
                <w:szCs w:val="20"/>
              </w:rPr>
              <w:t>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89C309" w14:textId="77777777" w:rsidR="00387142" w:rsidRPr="008B6A75" w:rsidRDefault="00387142" w:rsidP="00387142">
            <w:pPr>
              <w:jc w:val="right"/>
              <w:rPr>
                <w:sz w:val="20"/>
                <w:szCs w:val="20"/>
              </w:rPr>
            </w:pPr>
            <w:r w:rsidRPr="008B6A75">
              <w:rPr>
                <w:sz w:val="20"/>
                <w:szCs w:val="20"/>
              </w:rPr>
              <w:t>0,00</w:t>
            </w:r>
          </w:p>
        </w:tc>
        <w:tc>
          <w:tcPr>
            <w:tcW w:w="222" w:type="dxa"/>
            <w:vAlign w:val="center"/>
            <w:hideMark/>
          </w:tcPr>
          <w:p w14:paraId="6E0BD44F" w14:textId="77777777" w:rsidR="00387142" w:rsidRPr="008B6A75" w:rsidRDefault="00387142" w:rsidP="00387142">
            <w:pPr>
              <w:rPr>
                <w:sz w:val="20"/>
                <w:szCs w:val="20"/>
              </w:rPr>
            </w:pPr>
          </w:p>
        </w:tc>
      </w:tr>
      <w:tr w:rsidR="00387142" w:rsidRPr="008B6A75" w14:paraId="3DD08F4A" w14:textId="77777777" w:rsidTr="00387142">
        <w:trPr>
          <w:trHeight w:val="585"/>
        </w:trPr>
        <w:tc>
          <w:tcPr>
            <w:tcW w:w="3021" w:type="dxa"/>
            <w:tcBorders>
              <w:top w:val="nil"/>
              <w:left w:val="single" w:sz="4" w:space="0" w:color="auto"/>
              <w:bottom w:val="nil"/>
              <w:right w:val="nil"/>
            </w:tcBorders>
            <w:shd w:val="clear" w:color="auto" w:fill="auto"/>
            <w:vAlign w:val="center"/>
            <w:hideMark/>
          </w:tcPr>
          <w:p w14:paraId="6E262B5C" w14:textId="77777777" w:rsidR="00387142" w:rsidRPr="008B6A75" w:rsidRDefault="00387142" w:rsidP="00387142">
            <w:pPr>
              <w:rPr>
                <w:bCs/>
                <w:sz w:val="20"/>
                <w:szCs w:val="20"/>
              </w:rPr>
            </w:pPr>
            <w:r w:rsidRPr="008B6A75">
              <w:rPr>
                <w:bCs/>
                <w:sz w:val="20"/>
                <w:szCs w:val="20"/>
              </w:rPr>
              <w:t>Муниципальная программа "Развитие культуры в Куйбышевском районе"</w:t>
            </w:r>
          </w:p>
        </w:tc>
        <w:tc>
          <w:tcPr>
            <w:tcW w:w="850" w:type="dxa"/>
            <w:tcBorders>
              <w:top w:val="nil"/>
              <w:left w:val="single" w:sz="4" w:space="0" w:color="auto"/>
              <w:bottom w:val="nil"/>
              <w:right w:val="nil"/>
            </w:tcBorders>
            <w:shd w:val="clear" w:color="auto" w:fill="auto"/>
            <w:noWrap/>
            <w:vAlign w:val="center"/>
            <w:hideMark/>
          </w:tcPr>
          <w:p w14:paraId="495A5C8F" w14:textId="77777777" w:rsidR="00387142" w:rsidRPr="008B6A75" w:rsidRDefault="00387142" w:rsidP="00387142">
            <w:pPr>
              <w:jc w:val="center"/>
              <w:rPr>
                <w:bCs/>
                <w:sz w:val="20"/>
                <w:szCs w:val="20"/>
              </w:rPr>
            </w:pPr>
            <w:r w:rsidRPr="008B6A75">
              <w:rPr>
                <w:bCs/>
                <w:sz w:val="20"/>
                <w:szCs w:val="20"/>
              </w:rPr>
              <w:t>444</w:t>
            </w:r>
          </w:p>
        </w:tc>
        <w:tc>
          <w:tcPr>
            <w:tcW w:w="709" w:type="dxa"/>
            <w:tcBorders>
              <w:top w:val="nil"/>
              <w:left w:val="single" w:sz="4" w:space="0" w:color="auto"/>
              <w:bottom w:val="nil"/>
              <w:right w:val="nil"/>
            </w:tcBorders>
            <w:shd w:val="clear" w:color="auto" w:fill="auto"/>
            <w:noWrap/>
            <w:vAlign w:val="center"/>
            <w:hideMark/>
          </w:tcPr>
          <w:p w14:paraId="2A9DC8C5" w14:textId="77777777" w:rsidR="00387142" w:rsidRPr="008B6A75" w:rsidRDefault="00387142" w:rsidP="00387142">
            <w:pPr>
              <w:jc w:val="center"/>
              <w:rPr>
                <w:bCs/>
                <w:sz w:val="20"/>
                <w:szCs w:val="20"/>
              </w:rPr>
            </w:pPr>
            <w:r w:rsidRPr="008B6A75">
              <w:rPr>
                <w:bCs/>
                <w:sz w:val="20"/>
                <w:szCs w:val="20"/>
              </w:rPr>
              <w:t>08</w:t>
            </w:r>
          </w:p>
        </w:tc>
        <w:tc>
          <w:tcPr>
            <w:tcW w:w="709" w:type="dxa"/>
            <w:tcBorders>
              <w:top w:val="nil"/>
              <w:left w:val="single" w:sz="4" w:space="0" w:color="auto"/>
              <w:bottom w:val="nil"/>
              <w:right w:val="single" w:sz="4" w:space="0" w:color="auto"/>
            </w:tcBorders>
            <w:shd w:val="clear" w:color="auto" w:fill="auto"/>
            <w:noWrap/>
            <w:vAlign w:val="center"/>
            <w:hideMark/>
          </w:tcPr>
          <w:p w14:paraId="022BF9D9" w14:textId="77777777" w:rsidR="00387142" w:rsidRPr="008B6A75" w:rsidRDefault="00387142" w:rsidP="00387142">
            <w:pPr>
              <w:jc w:val="center"/>
              <w:rPr>
                <w:bCs/>
                <w:sz w:val="20"/>
                <w:szCs w:val="20"/>
              </w:rPr>
            </w:pPr>
            <w:r w:rsidRPr="008B6A75">
              <w:rPr>
                <w:bCs/>
                <w:sz w:val="20"/>
                <w:szCs w:val="20"/>
              </w:rPr>
              <w:t>01</w:t>
            </w:r>
          </w:p>
        </w:tc>
        <w:tc>
          <w:tcPr>
            <w:tcW w:w="1411" w:type="dxa"/>
            <w:tcBorders>
              <w:top w:val="nil"/>
              <w:left w:val="single" w:sz="4" w:space="0" w:color="auto"/>
              <w:bottom w:val="nil"/>
              <w:right w:val="nil"/>
            </w:tcBorders>
            <w:shd w:val="clear" w:color="auto" w:fill="auto"/>
            <w:noWrap/>
            <w:vAlign w:val="center"/>
            <w:hideMark/>
          </w:tcPr>
          <w:p w14:paraId="6C1CA9DC" w14:textId="77777777" w:rsidR="00387142" w:rsidRPr="008B6A75" w:rsidRDefault="00387142" w:rsidP="00387142">
            <w:pPr>
              <w:jc w:val="center"/>
              <w:rPr>
                <w:bCs/>
                <w:sz w:val="20"/>
                <w:szCs w:val="20"/>
              </w:rPr>
            </w:pPr>
            <w:r w:rsidRPr="008B6A75">
              <w:rPr>
                <w:bCs/>
                <w:sz w:val="20"/>
                <w:szCs w:val="20"/>
              </w:rPr>
              <w:t>08.0.00.00000</w:t>
            </w:r>
          </w:p>
        </w:tc>
        <w:tc>
          <w:tcPr>
            <w:tcW w:w="955" w:type="dxa"/>
            <w:tcBorders>
              <w:top w:val="nil"/>
              <w:left w:val="single" w:sz="4" w:space="0" w:color="auto"/>
              <w:bottom w:val="nil"/>
              <w:right w:val="single" w:sz="4" w:space="0" w:color="auto"/>
            </w:tcBorders>
            <w:shd w:val="clear" w:color="auto" w:fill="auto"/>
            <w:noWrap/>
            <w:vAlign w:val="center"/>
            <w:hideMark/>
          </w:tcPr>
          <w:p w14:paraId="22AD4753"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nil"/>
              <w:right w:val="single" w:sz="4" w:space="0" w:color="auto"/>
            </w:tcBorders>
            <w:shd w:val="clear" w:color="auto" w:fill="auto"/>
            <w:noWrap/>
            <w:vAlign w:val="center"/>
            <w:hideMark/>
          </w:tcPr>
          <w:p w14:paraId="6C960302" w14:textId="77777777" w:rsidR="00387142" w:rsidRPr="008B6A75" w:rsidRDefault="00387142" w:rsidP="00387142">
            <w:pPr>
              <w:jc w:val="right"/>
              <w:rPr>
                <w:bCs/>
                <w:sz w:val="20"/>
                <w:szCs w:val="20"/>
              </w:rPr>
            </w:pPr>
            <w:r w:rsidRPr="008B6A75">
              <w:rPr>
                <w:bCs/>
                <w:sz w:val="20"/>
                <w:szCs w:val="20"/>
              </w:rPr>
              <w:t>124 914 309,59</w:t>
            </w:r>
          </w:p>
        </w:tc>
        <w:tc>
          <w:tcPr>
            <w:tcW w:w="992" w:type="dxa"/>
            <w:gridSpan w:val="2"/>
            <w:tcBorders>
              <w:top w:val="nil"/>
              <w:left w:val="single" w:sz="4" w:space="0" w:color="auto"/>
              <w:bottom w:val="nil"/>
              <w:right w:val="nil"/>
            </w:tcBorders>
            <w:shd w:val="clear" w:color="auto" w:fill="auto"/>
            <w:noWrap/>
            <w:vAlign w:val="center"/>
            <w:hideMark/>
          </w:tcPr>
          <w:p w14:paraId="51FE44FC" w14:textId="77777777" w:rsidR="00387142" w:rsidRPr="008B6A75" w:rsidRDefault="00387142" w:rsidP="00387142">
            <w:pPr>
              <w:jc w:val="right"/>
              <w:rPr>
                <w:bCs/>
                <w:sz w:val="20"/>
                <w:szCs w:val="20"/>
              </w:rPr>
            </w:pPr>
            <w:r w:rsidRPr="008B6A75">
              <w:rPr>
                <w:bCs/>
                <w:sz w:val="20"/>
                <w:szCs w:val="20"/>
              </w:rPr>
              <w:t>50 317 100,00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22A948B2" w14:textId="77777777" w:rsidR="00387142" w:rsidRPr="008B6A75" w:rsidRDefault="00387142" w:rsidP="00387142">
            <w:pPr>
              <w:jc w:val="right"/>
              <w:rPr>
                <w:bCs/>
                <w:sz w:val="20"/>
                <w:szCs w:val="20"/>
              </w:rPr>
            </w:pPr>
            <w:r w:rsidRPr="008B6A75">
              <w:rPr>
                <w:bCs/>
                <w:sz w:val="20"/>
                <w:szCs w:val="20"/>
              </w:rPr>
              <w:t>50 969 900,00</w:t>
            </w:r>
          </w:p>
        </w:tc>
        <w:tc>
          <w:tcPr>
            <w:tcW w:w="222" w:type="dxa"/>
            <w:vAlign w:val="center"/>
            <w:hideMark/>
          </w:tcPr>
          <w:p w14:paraId="5356A3A3" w14:textId="77777777" w:rsidR="00387142" w:rsidRPr="008B6A75" w:rsidRDefault="00387142" w:rsidP="00387142">
            <w:pPr>
              <w:rPr>
                <w:sz w:val="20"/>
                <w:szCs w:val="20"/>
              </w:rPr>
            </w:pPr>
          </w:p>
        </w:tc>
      </w:tr>
      <w:tr w:rsidR="00387142" w:rsidRPr="008B6A75" w14:paraId="03F88481" w14:textId="77777777" w:rsidTr="00387142">
        <w:trPr>
          <w:trHeight w:val="1155"/>
        </w:trPr>
        <w:tc>
          <w:tcPr>
            <w:tcW w:w="3021" w:type="dxa"/>
            <w:tcBorders>
              <w:top w:val="single" w:sz="4" w:space="0" w:color="auto"/>
              <w:left w:val="single" w:sz="4" w:space="0" w:color="auto"/>
              <w:bottom w:val="nil"/>
              <w:right w:val="nil"/>
            </w:tcBorders>
            <w:shd w:val="clear" w:color="auto" w:fill="auto"/>
            <w:vAlign w:val="center"/>
            <w:hideMark/>
          </w:tcPr>
          <w:p w14:paraId="0515D304" w14:textId="77777777" w:rsidR="00387142" w:rsidRPr="008B6A75" w:rsidRDefault="00387142" w:rsidP="00387142">
            <w:pPr>
              <w:rPr>
                <w:bCs/>
                <w:sz w:val="20"/>
                <w:szCs w:val="20"/>
              </w:rPr>
            </w:pPr>
            <w:r w:rsidRPr="008B6A75">
              <w:rPr>
                <w:bCs/>
                <w:sz w:val="20"/>
                <w:szCs w:val="20"/>
              </w:rPr>
              <w:t>Расходы на обеспечение деятельности (оказание услуг) муниципальных учреждений культуры и мероприятий в сфере культуры и кинематографии</w:t>
            </w:r>
          </w:p>
        </w:tc>
        <w:tc>
          <w:tcPr>
            <w:tcW w:w="850" w:type="dxa"/>
            <w:tcBorders>
              <w:top w:val="single" w:sz="4" w:space="0" w:color="auto"/>
              <w:left w:val="single" w:sz="4" w:space="0" w:color="auto"/>
              <w:bottom w:val="nil"/>
              <w:right w:val="nil"/>
            </w:tcBorders>
            <w:shd w:val="clear" w:color="auto" w:fill="auto"/>
            <w:noWrap/>
            <w:vAlign w:val="center"/>
            <w:hideMark/>
          </w:tcPr>
          <w:p w14:paraId="314CFEB8" w14:textId="77777777" w:rsidR="00387142" w:rsidRPr="008B6A75" w:rsidRDefault="00387142" w:rsidP="00387142">
            <w:pPr>
              <w:jc w:val="center"/>
              <w:rPr>
                <w:bCs/>
                <w:sz w:val="20"/>
                <w:szCs w:val="20"/>
              </w:rPr>
            </w:pPr>
            <w:r w:rsidRPr="008B6A75">
              <w:rPr>
                <w:bCs/>
                <w:sz w:val="20"/>
                <w:szCs w:val="20"/>
              </w:rPr>
              <w:t>444</w:t>
            </w:r>
          </w:p>
        </w:tc>
        <w:tc>
          <w:tcPr>
            <w:tcW w:w="709" w:type="dxa"/>
            <w:tcBorders>
              <w:top w:val="single" w:sz="4" w:space="0" w:color="auto"/>
              <w:left w:val="single" w:sz="4" w:space="0" w:color="auto"/>
              <w:bottom w:val="nil"/>
              <w:right w:val="nil"/>
            </w:tcBorders>
            <w:shd w:val="clear" w:color="auto" w:fill="auto"/>
            <w:noWrap/>
            <w:vAlign w:val="center"/>
            <w:hideMark/>
          </w:tcPr>
          <w:p w14:paraId="71D4B082" w14:textId="77777777" w:rsidR="00387142" w:rsidRPr="008B6A75" w:rsidRDefault="00387142" w:rsidP="00387142">
            <w:pPr>
              <w:jc w:val="center"/>
              <w:rPr>
                <w:bCs/>
                <w:sz w:val="20"/>
                <w:szCs w:val="20"/>
              </w:rPr>
            </w:pPr>
            <w:r w:rsidRPr="008B6A75">
              <w:rPr>
                <w:bCs/>
                <w:sz w:val="20"/>
                <w:szCs w:val="20"/>
              </w:rPr>
              <w:t>08</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07845900" w14:textId="77777777" w:rsidR="00387142" w:rsidRPr="008B6A75" w:rsidRDefault="00387142" w:rsidP="00387142">
            <w:pPr>
              <w:jc w:val="center"/>
              <w:rPr>
                <w:bCs/>
                <w:sz w:val="20"/>
                <w:szCs w:val="20"/>
              </w:rPr>
            </w:pPr>
            <w:r w:rsidRPr="008B6A75">
              <w:rPr>
                <w:bCs/>
                <w:sz w:val="20"/>
                <w:szCs w:val="20"/>
              </w:rPr>
              <w:t>01</w:t>
            </w:r>
          </w:p>
        </w:tc>
        <w:tc>
          <w:tcPr>
            <w:tcW w:w="1411" w:type="dxa"/>
            <w:tcBorders>
              <w:top w:val="single" w:sz="4" w:space="0" w:color="auto"/>
              <w:left w:val="single" w:sz="4" w:space="0" w:color="auto"/>
              <w:bottom w:val="nil"/>
              <w:right w:val="nil"/>
            </w:tcBorders>
            <w:shd w:val="clear" w:color="auto" w:fill="auto"/>
            <w:noWrap/>
            <w:vAlign w:val="center"/>
            <w:hideMark/>
          </w:tcPr>
          <w:p w14:paraId="7B570C85" w14:textId="77777777" w:rsidR="00387142" w:rsidRPr="008B6A75" w:rsidRDefault="00387142" w:rsidP="00387142">
            <w:pPr>
              <w:jc w:val="center"/>
              <w:rPr>
                <w:bCs/>
                <w:sz w:val="20"/>
                <w:szCs w:val="20"/>
              </w:rPr>
            </w:pPr>
            <w:r w:rsidRPr="008B6A75">
              <w:rPr>
                <w:bCs/>
                <w:sz w:val="20"/>
                <w:szCs w:val="20"/>
              </w:rPr>
              <w:t>08.0.00.08190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55883B02" w14:textId="77777777" w:rsidR="00387142" w:rsidRPr="008B6A75" w:rsidRDefault="00387142" w:rsidP="00387142">
            <w:pPr>
              <w:jc w:val="center"/>
              <w:rPr>
                <w:bCs/>
                <w:sz w:val="20"/>
                <w:szCs w:val="20"/>
              </w:rPr>
            </w:pPr>
            <w:r w:rsidRPr="008B6A75">
              <w:rPr>
                <w:bCs/>
                <w:sz w:val="20"/>
                <w:szCs w:val="20"/>
              </w:rPr>
              <w:t> </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664C9CC2" w14:textId="77777777" w:rsidR="00387142" w:rsidRPr="008B6A75" w:rsidRDefault="00387142" w:rsidP="00387142">
            <w:pPr>
              <w:jc w:val="right"/>
              <w:rPr>
                <w:bCs/>
                <w:sz w:val="20"/>
                <w:szCs w:val="20"/>
              </w:rPr>
            </w:pPr>
            <w:r w:rsidRPr="008B6A75">
              <w:rPr>
                <w:bCs/>
                <w:sz w:val="20"/>
                <w:szCs w:val="20"/>
              </w:rPr>
              <w:t>10 946 502,37</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2426A0EF" w14:textId="77777777" w:rsidR="00387142" w:rsidRPr="008B6A75" w:rsidRDefault="00387142" w:rsidP="00387142">
            <w:pPr>
              <w:jc w:val="right"/>
              <w:rPr>
                <w:bCs/>
                <w:sz w:val="20"/>
                <w:szCs w:val="20"/>
              </w:rPr>
            </w:pPr>
            <w:r w:rsidRPr="008B6A75">
              <w:rPr>
                <w:bCs/>
                <w:sz w:val="20"/>
                <w:szCs w:val="20"/>
              </w:rPr>
              <w:t>31 300 000,00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78F8BE39" w14:textId="77777777" w:rsidR="00387142" w:rsidRPr="008B6A75" w:rsidRDefault="00387142" w:rsidP="00387142">
            <w:pPr>
              <w:jc w:val="right"/>
              <w:rPr>
                <w:bCs/>
                <w:sz w:val="20"/>
                <w:szCs w:val="20"/>
              </w:rPr>
            </w:pPr>
            <w:r w:rsidRPr="008B6A75">
              <w:rPr>
                <w:bCs/>
                <w:sz w:val="20"/>
                <w:szCs w:val="20"/>
              </w:rPr>
              <w:t>31 300 000,00</w:t>
            </w:r>
          </w:p>
        </w:tc>
        <w:tc>
          <w:tcPr>
            <w:tcW w:w="222" w:type="dxa"/>
            <w:vAlign w:val="center"/>
            <w:hideMark/>
          </w:tcPr>
          <w:p w14:paraId="79A682E5" w14:textId="77777777" w:rsidR="00387142" w:rsidRPr="008B6A75" w:rsidRDefault="00387142" w:rsidP="00387142">
            <w:pPr>
              <w:rPr>
                <w:sz w:val="20"/>
                <w:szCs w:val="20"/>
              </w:rPr>
            </w:pPr>
          </w:p>
        </w:tc>
      </w:tr>
      <w:tr w:rsidR="00387142" w:rsidRPr="008B6A75" w14:paraId="1805E3F3" w14:textId="77777777" w:rsidTr="00387142">
        <w:trPr>
          <w:trHeight w:val="1440"/>
        </w:trPr>
        <w:tc>
          <w:tcPr>
            <w:tcW w:w="3021" w:type="dxa"/>
            <w:tcBorders>
              <w:top w:val="single" w:sz="4" w:space="0" w:color="auto"/>
              <w:left w:val="single" w:sz="4" w:space="0" w:color="auto"/>
              <w:bottom w:val="nil"/>
              <w:right w:val="nil"/>
            </w:tcBorders>
            <w:shd w:val="clear" w:color="auto" w:fill="auto"/>
            <w:vAlign w:val="center"/>
            <w:hideMark/>
          </w:tcPr>
          <w:p w14:paraId="6FFFFF55" w14:textId="77777777" w:rsidR="00387142" w:rsidRPr="008B6A75" w:rsidRDefault="00387142" w:rsidP="00387142">
            <w:pPr>
              <w:rPr>
                <w:sz w:val="20"/>
                <w:szCs w:val="20"/>
              </w:rPr>
            </w:pPr>
            <w:r w:rsidRPr="008B6A7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nil"/>
              <w:right w:val="nil"/>
            </w:tcBorders>
            <w:shd w:val="clear" w:color="auto" w:fill="auto"/>
            <w:noWrap/>
            <w:vAlign w:val="center"/>
            <w:hideMark/>
          </w:tcPr>
          <w:p w14:paraId="4AF3621B" w14:textId="77777777" w:rsidR="00387142" w:rsidRPr="008B6A75" w:rsidRDefault="00387142" w:rsidP="00387142">
            <w:pPr>
              <w:jc w:val="center"/>
              <w:rPr>
                <w:sz w:val="20"/>
                <w:szCs w:val="20"/>
              </w:rPr>
            </w:pPr>
            <w:r w:rsidRPr="008B6A75">
              <w:rPr>
                <w:sz w:val="20"/>
                <w:szCs w:val="20"/>
              </w:rPr>
              <w:t>444</w:t>
            </w:r>
          </w:p>
        </w:tc>
        <w:tc>
          <w:tcPr>
            <w:tcW w:w="709" w:type="dxa"/>
            <w:tcBorders>
              <w:top w:val="single" w:sz="4" w:space="0" w:color="auto"/>
              <w:left w:val="single" w:sz="4" w:space="0" w:color="auto"/>
              <w:bottom w:val="nil"/>
              <w:right w:val="nil"/>
            </w:tcBorders>
            <w:shd w:val="clear" w:color="auto" w:fill="auto"/>
            <w:noWrap/>
            <w:vAlign w:val="center"/>
            <w:hideMark/>
          </w:tcPr>
          <w:p w14:paraId="760773F5" w14:textId="77777777" w:rsidR="00387142" w:rsidRPr="008B6A75" w:rsidRDefault="00387142" w:rsidP="00387142">
            <w:pPr>
              <w:jc w:val="center"/>
              <w:rPr>
                <w:sz w:val="20"/>
                <w:szCs w:val="20"/>
              </w:rPr>
            </w:pPr>
            <w:r w:rsidRPr="008B6A75">
              <w:rPr>
                <w:sz w:val="20"/>
                <w:szCs w:val="20"/>
              </w:rPr>
              <w:t>08</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16F86927" w14:textId="77777777" w:rsidR="00387142" w:rsidRPr="008B6A75" w:rsidRDefault="00387142" w:rsidP="00387142">
            <w:pPr>
              <w:jc w:val="center"/>
              <w:rPr>
                <w:sz w:val="20"/>
                <w:szCs w:val="20"/>
              </w:rPr>
            </w:pPr>
            <w:r w:rsidRPr="008B6A75">
              <w:rPr>
                <w:sz w:val="20"/>
                <w:szCs w:val="20"/>
              </w:rPr>
              <w:t>01</w:t>
            </w:r>
          </w:p>
        </w:tc>
        <w:tc>
          <w:tcPr>
            <w:tcW w:w="1411" w:type="dxa"/>
            <w:tcBorders>
              <w:top w:val="single" w:sz="4" w:space="0" w:color="auto"/>
              <w:left w:val="single" w:sz="4" w:space="0" w:color="auto"/>
              <w:bottom w:val="nil"/>
              <w:right w:val="nil"/>
            </w:tcBorders>
            <w:shd w:val="clear" w:color="auto" w:fill="auto"/>
            <w:noWrap/>
            <w:vAlign w:val="center"/>
            <w:hideMark/>
          </w:tcPr>
          <w:p w14:paraId="52E6CD6A" w14:textId="77777777" w:rsidR="00387142" w:rsidRPr="008B6A75" w:rsidRDefault="00387142" w:rsidP="00387142">
            <w:pPr>
              <w:jc w:val="center"/>
              <w:rPr>
                <w:sz w:val="20"/>
                <w:szCs w:val="20"/>
              </w:rPr>
            </w:pPr>
            <w:r w:rsidRPr="008B6A75">
              <w:rPr>
                <w:sz w:val="20"/>
                <w:szCs w:val="20"/>
              </w:rPr>
              <w:t>08.0.00.08190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7B6349F3" w14:textId="77777777" w:rsidR="00387142" w:rsidRPr="008B6A75" w:rsidRDefault="00387142" w:rsidP="00387142">
            <w:pPr>
              <w:jc w:val="center"/>
              <w:rPr>
                <w:sz w:val="20"/>
                <w:szCs w:val="20"/>
              </w:rPr>
            </w:pPr>
            <w:r w:rsidRPr="008B6A75">
              <w:rPr>
                <w:sz w:val="20"/>
                <w:szCs w:val="20"/>
              </w:rPr>
              <w:t>100</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2B18E571" w14:textId="77777777" w:rsidR="00387142" w:rsidRPr="008B6A75" w:rsidRDefault="00387142" w:rsidP="00387142">
            <w:pPr>
              <w:jc w:val="right"/>
              <w:rPr>
                <w:sz w:val="20"/>
                <w:szCs w:val="20"/>
              </w:rPr>
            </w:pPr>
            <w:r w:rsidRPr="008B6A75">
              <w:rPr>
                <w:sz w:val="20"/>
                <w:szCs w:val="20"/>
              </w:rPr>
              <w:t>0,00</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7526E4C2" w14:textId="77777777" w:rsidR="00387142" w:rsidRPr="008B6A75" w:rsidRDefault="00387142" w:rsidP="00387142">
            <w:pPr>
              <w:jc w:val="right"/>
              <w:rPr>
                <w:sz w:val="20"/>
                <w:szCs w:val="20"/>
              </w:rPr>
            </w:pPr>
            <w:r w:rsidRPr="008B6A75">
              <w:rPr>
                <w:sz w:val="20"/>
                <w:szCs w:val="20"/>
              </w:rPr>
              <w:t>15 420 000,00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7022D5F8" w14:textId="77777777" w:rsidR="00387142" w:rsidRPr="008B6A75" w:rsidRDefault="00387142" w:rsidP="00387142">
            <w:pPr>
              <w:jc w:val="right"/>
              <w:rPr>
                <w:sz w:val="20"/>
                <w:szCs w:val="20"/>
              </w:rPr>
            </w:pPr>
            <w:r w:rsidRPr="008B6A75">
              <w:rPr>
                <w:sz w:val="20"/>
                <w:szCs w:val="20"/>
              </w:rPr>
              <w:t>20 000 000,00</w:t>
            </w:r>
          </w:p>
        </w:tc>
        <w:tc>
          <w:tcPr>
            <w:tcW w:w="222" w:type="dxa"/>
            <w:vAlign w:val="center"/>
            <w:hideMark/>
          </w:tcPr>
          <w:p w14:paraId="03776FBA" w14:textId="77777777" w:rsidR="00387142" w:rsidRPr="008B6A75" w:rsidRDefault="00387142" w:rsidP="00387142">
            <w:pPr>
              <w:rPr>
                <w:sz w:val="20"/>
                <w:szCs w:val="20"/>
              </w:rPr>
            </w:pPr>
          </w:p>
        </w:tc>
      </w:tr>
      <w:tr w:rsidR="00387142" w:rsidRPr="008B6A75" w14:paraId="281079C6" w14:textId="77777777" w:rsidTr="00387142">
        <w:trPr>
          <w:trHeight w:val="585"/>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3506AFA7" w14:textId="77777777" w:rsidR="00387142" w:rsidRPr="008B6A75" w:rsidRDefault="00387142" w:rsidP="00387142">
            <w:pPr>
              <w:rPr>
                <w:sz w:val="20"/>
                <w:szCs w:val="20"/>
              </w:rPr>
            </w:pPr>
            <w:r w:rsidRPr="008B6A75">
              <w:rPr>
                <w:sz w:val="20"/>
                <w:szCs w:val="20"/>
              </w:rPr>
              <w:t>Расходы на выплаты персоналу казенных учреждений</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5C8D735B" w14:textId="77777777" w:rsidR="00387142" w:rsidRPr="008B6A75" w:rsidRDefault="00387142" w:rsidP="00387142">
            <w:pPr>
              <w:jc w:val="center"/>
              <w:rPr>
                <w:sz w:val="20"/>
                <w:szCs w:val="20"/>
              </w:rPr>
            </w:pPr>
            <w:r w:rsidRPr="008B6A75">
              <w:rPr>
                <w:sz w:val="20"/>
                <w:szCs w:val="20"/>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398F5428" w14:textId="77777777" w:rsidR="00387142" w:rsidRPr="008B6A75" w:rsidRDefault="00387142" w:rsidP="00387142">
            <w:pPr>
              <w:jc w:val="center"/>
              <w:rPr>
                <w:sz w:val="20"/>
                <w:szCs w:val="20"/>
              </w:rPr>
            </w:pPr>
            <w:r w:rsidRPr="008B6A75">
              <w:rPr>
                <w:sz w:val="20"/>
                <w:szCs w:val="20"/>
              </w:rPr>
              <w:t>08</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9C642A" w14:textId="77777777" w:rsidR="00387142" w:rsidRPr="008B6A75" w:rsidRDefault="00387142" w:rsidP="00387142">
            <w:pPr>
              <w:jc w:val="center"/>
              <w:rPr>
                <w:sz w:val="20"/>
                <w:szCs w:val="20"/>
              </w:rPr>
            </w:pPr>
            <w:r w:rsidRPr="008B6A75">
              <w:rPr>
                <w:sz w:val="20"/>
                <w:szCs w:val="20"/>
              </w:rPr>
              <w:t>01</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6CBB6CBB" w14:textId="77777777" w:rsidR="00387142" w:rsidRPr="008B6A75" w:rsidRDefault="00387142" w:rsidP="00387142">
            <w:pPr>
              <w:jc w:val="center"/>
              <w:rPr>
                <w:sz w:val="20"/>
                <w:szCs w:val="20"/>
              </w:rPr>
            </w:pPr>
            <w:r w:rsidRPr="008B6A75">
              <w:rPr>
                <w:sz w:val="20"/>
                <w:szCs w:val="20"/>
              </w:rPr>
              <w:t>08.0.00.08190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473B17" w14:textId="77777777" w:rsidR="00387142" w:rsidRPr="008B6A75" w:rsidRDefault="00387142" w:rsidP="00387142">
            <w:pPr>
              <w:jc w:val="center"/>
              <w:rPr>
                <w:sz w:val="20"/>
                <w:szCs w:val="20"/>
              </w:rPr>
            </w:pPr>
            <w:r w:rsidRPr="008B6A75">
              <w:rPr>
                <w:sz w:val="20"/>
                <w:szCs w:val="20"/>
              </w:rPr>
              <w:t>110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B2D69E" w14:textId="77777777" w:rsidR="00387142" w:rsidRPr="008B6A75" w:rsidRDefault="00387142" w:rsidP="00387142">
            <w:pPr>
              <w:jc w:val="right"/>
              <w:rPr>
                <w:sz w:val="20"/>
                <w:szCs w:val="20"/>
              </w:rPr>
            </w:pPr>
            <w:r w:rsidRPr="008B6A75">
              <w:rPr>
                <w:sz w:val="20"/>
                <w:szCs w:val="20"/>
              </w:rPr>
              <w:t>0,00</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47E04F94" w14:textId="77777777" w:rsidR="00387142" w:rsidRPr="008B6A75" w:rsidRDefault="00387142" w:rsidP="00387142">
            <w:pPr>
              <w:jc w:val="right"/>
              <w:rPr>
                <w:sz w:val="20"/>
                <w:szCs w:val="20"/>
              </w:rPr>
            </w:pPr>
            <w:r w:rsidRPr="008B6A75">
              <w:rPr>
                <w:sz w:val="20"/>
                <w:szCs w:val="20"/>
              </w:rPr>
              <w:t>15 420 000,00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59B4FD" w14:textId="77777777" w:rsidR="00387142" w:rsidRPr="008B6A75" w:rsidRDefault="00387142" w:rsidP="00387142">
            <w:pPr>
              <w:jc w:val="right"/>
              <w:rPr>
                <w:sz w:val="20"/>
                <w:szCs w:val="20"/>
              </w:rPr>
            </w:pPr>
            <w:r w:rsidRPr="008B6A75">
              <w:rPr>
                <w:sz w:val="20"/>
                <w:szCs w:val="20"/>
              </w:rPr>
              <w:t>20 000 000,00</w:t>
            </w:r>
          </w:p>
        </w:tc>
        <w:tc>
          <w:tcPr>
            <w:tcW w:w="222" w:type="dxa"/>
            <w:vAlign w:val="center"/>
            <w:hideMark/>
          </w:tcPr>
          <w:p w14:paraId="238107AF" w14:textId="77777777" w:rsidR="00387142" w:rsidRPr="008B6A75" w:rsidRDefault="00387142" w:rsidP="00387142">
            <w:pPr>
              <w:rPr>
                <w:sz w:val="20"/>
                <w:szCs w:val="20"/>
              </w:rPr>
            </w:pPr>
          </w:p>
        </w:tc>
      </w:tr>
      <w:tr w:rsidR="00387142" w:rsidRPr="008B6A75" w14:paraId="7A366286" w14:textId="77777777" w:rsidTr="00387142">
        <w:trPr>
          <w:trHeight w:val="585"/>
        </w:trPr>
        <w:tc>
          <w:tcPr>
            <w:tcW w:w="3021" w:type="dxa"/>
            <w:tcBorders>
              <w:top w:val="nil"/>
              <w:left w:val="single" w:sz="4" w:space="0" w:color="auto"/>
              <w:bottom w:val="nil"/>
              <w:right w:val="nil"/>
            </w:tcBorders>
            <w:shd w:val="clear" w:color="auto" w:fill="auto"/>
            <w:vAlign w:val="center"/>
            <w:hideMark/>
          </w:tcPr>
          <w:p w14:paraId="1B1C796C" w14:textId="77777777" w:rsidR="00387142" w:rsidRPr="008B6A75" w:rsidRDefault="00387142" w:rsidP="00387142">
            <w:pPr>
              <w:rPr>
                <w:sz w:val="20"/>
                <w:szCs w:val="20"/>
              </w:rPr>
            </w:pPr>
            <w:r w:rsidRPr="008B6A75">
              <w:rPr>
                <w:sz w:val="20"/>
                <w:szCs w:val="20"/>
              </w:rPr>
              <w:t>Закупка товаров, работ и услуг для обеспечения государственных (муниципальных) нужд</w:t>
            </w:r>
          </w:p>
        </w:tc>
        <w:tc>
          <w:tcPr>
            <w:tcW w:w="850" w:type="dxa"/>
            <w:tcBorders>
              <w:top w:val="nil"/>
              <w:left w:val="single" w:sz="4" w:space="0" w:color="auto"/>
              <w:bottom w:val="nil"/>
              <w:right w:val="nil"/>
            </w:tcBorders>
            <w:shd w:val="clear" w:color="auto" w:fill="auto"/>
            <w:noWrap/>
            <w:vAlign w:val="center"/>
            <w:hideMark/>
          </w:tcPr>
          <w:p w14:paraId="2E6AEB91" w14:textId="77777777" w:rsidR="00387142" w:rsidRPr="008B6A75" w:rsidRDefault="00387142" w:rsidP="00387142">
            <w:pPr>
              <w:jc w:val="center"/>
              <w:rPr>
                <w:sz w:val="20"/>
                <w:szCs w:val="20"/>
              </w:rPr>
            </w:pPr>
            <w:r w:rsidRPr="008B6A75">
              <w:rPr>
                <w:sz w:val="20"/>
                <w:szCs w:val="20"/>
              </w:rPr>
              <w:t>444</w:t>
            </w:r>
          </w:p>
        </w:tc>
        <w:tc>
          <w:tcPr>
            <w:tcW w:w="709" w:type="dxa"/>
            <w:tcBorders>
              <w:top w:val="nil"/>
              <w:left w:val="single" w:sz="4" w:space="0" w:color="auto"/>
              <w:bottom w:val="nil"/>
              <w:right w:val="nil"/>
            </w:tcBorders>
            <w:shd w:val="clear" w:color="auto" w:fill="auto"/>
            <w:noWrap/>
            <w:vAlign w:val="center"/>
            <w:hideMark/>
          </w:tcPr>
          <w:p w14:paraId="56DBF084" w14:textId="77777777" w:rsidR="00387142" w:rsidRPr="008B6A75" w:rsidRDefault="00387142" w:rsidP="00387142">
            <w:pPr>
              <w:jc w:val="center"/>
              <w:rPr>
                <w:sz w:val="20"/>
                <w:szCs w:val="20"/>
              </w:rPr>
            </w:pPr>
            <w:r w:rsidRPr="008B6A75">
              <w:rPr>
                <w:sz w:val="20"/>
                <w:szCs w:val="20"/>
              </w:rPr>
              <w:t>08</w:t>
            </w:r>
          </w:p>
        </w:tc>
        <w:tc>
          <w:tcPr>
            <w:tcW w:w="709" w:type="dxa"/>
            <w:tcBorders>
              <w:top w:val="nil"/>
              <w:left w:val="single" w:sz="4" w:space="0" w:color="auto"/>
              <w:bottom w:val="nil"/>
              <w:right w:val="single" w:sz="4" w:space="0" w:color="auto"/>
            </w:tcBorders>
            <w:shd w:val="clear" w:color="auto" w:fill="auto"/>
            <w:noWrap/>
            <w:vAlign w:val="center"/>
            <w:hideMark/>
          </w:tcPr>
          <w:p w14:paraId="4EA6E5CC" w14:textId="77777777" w:rsidR="00387142" w:rsidRPr="008B6A75" w:rsidRDefault="00387142" w:rsidP="00387142">
            <w:pPr>
              <w:jc w:val="center"/>
              <w:rPr>
                <w:sz w:val="20"/>
                <w:szCs w:val="20"/>
              </w:rPr>
            </w:pPr>
            <w:r w:rsidRPr="008B6A75">
              <w:rPr>
                <w:sz w:val="20"/>
                <w:szCs w:val="20"/>
              </w:rPr>
              <w:t>01</w:t>
            </w:r>
          </w:p>
        </w:tc>
        <w:tc>
          <w:tcPr>
            <w:tcW w:w="1411" w:type="dxa"/>
            <w:tcBorders>
              <w:top w:val="nil"/>
              <w:left w:val="single" w:sz="4" w:space="0" w:color="auto"/>
              <w:bottom w:val="nil"/>
              <w:right w:val="nil"/>
            </w:tcBorders>
            <w:shd w:val="clear" w:color="auto" w:fill="auto"/>
            <w:noWrap/>
            <w:vAlign w:val="center"/>
            <w:hideMark/>
          </w:tcPr>
          <w:p w14:paraId="73CAA7E3" w14:textId="77777777" w:rsidR="00387142" w:rsidRPr="008B6A75" w:rsidRDefault="00387142" w:rsidP="00387142">
            <w:pPr>
              <w:jc w:val="center"/>
              <w:rPr>
                <w:sz w:val="20"/>
                <w:szCs w:val="20"/>
              </w:rPr>
            </w:pPr>
            <w:r w:rsidRPr="008B6A75">
              <w:rPr>
                <w:sz w:val="20"/>
                <w:szCs w:val="20"/>
              </w:rPr>
              <w:t>08.0.00.08190</w:t>
            </w:r>
          </w:p>
        </w:tc>
        <w:tc>
          <w:tcPr>
            <w:tcW w:w="955" w:type="dxa"/>
            <w:tcBorders>
              <w:top w:val="nil"/>
              <w:left w:val="single" w:sz="4" w:space="0" w:color="auto"/>
              <w:bottom w:val="nil"/>
              <w:right w:val="single" w:sz="4" w:space="0" w:color="auto"/>
            </w:tcBorders>
            <w:shd w:val="clear" w:color="auto" w:fill="auto"/>
            <w:noWrap/>
            <w:vAlign w:val="center"/>
            <w:hideMark/>
          </w:tcPr>
          <w:p w14:paraId="40979511" w14:textId="77777777" w:rsidR="00387142" w:rsidRPr="008B6A75" w:rsidRDefault="00387142" w:rsidP="00387142">
            <w:pPr>
              <w:jc w:val="center"/>
              <w:rPr>
                <w:sz w:val="20"/>
                <w:szCs w:val="20"/>
              </w:rPr>
            </w:pPr>
            <w:r w:rsidRPr="008B6A75">
              <w:rPr>
                <w:sz w:val="20"/>
                <w:szCs w:val="20"/>
              </w:rPr>
              <w:t>200</w:t>
            </w:r>
          </w:p>
        </w:tc>
        <w:tc>
          <w:tcPr>
            <w:tcW w:w="992" w:type="dxa"/>
            <w:tcBorders>
              <w:top w:val="nil"/>
              <w:left w:val="single" w:sz="4" w:space="0" w:color="auto"/>
              <w:bottom w:val="nil"/>
              <w:right w:val="single" w:sz="4" w:space="0" w:color="auto"/>
            </w:tcBorders>
            <w:shd w:val="clear" w:color="auto" w:fill="auto"/>
            <w:noWrap/>
            <w:vAlign w:val="center"/>
            <w:hideMark/>
          </w:tcPr>
          <w:p w14:paraId="123E92B5" w14:textId="77777777" w:rsidR="00387142" w:rsidRPr="008B6A75" w:rsidRDefault="00387142" w:rsidP="00387142">
            <w:pPr>
              <w:jc w:val="right"/>
              <w:rPr>
                <w:sz w:val="20"/>
                <w:szCs w:val="20"/>
              </w:rPr>
            </w:pPr>
            <w:r w:rsidRPr="008B6A75">
              <w:rPr>
                <w:sz w:val="20"/>
                <w:szCs w:val="20"/>
              </w:rPr>
              <w:t>0,00</w:t>
            </w:r>
          </w:p>
        </w:tc>
        <w:tc>
          <w:tcPr>
            <w:tcW w:w="992" w:type="dxa"/>
            <w:gridSpan w:val="2"/>
            <w:tcBorders>
              <w:top w:val="nil"/>
              <w:left w:val="single" w:sz="4" w:space="0" w:color="auto"/>
              <w:bottom w:val="nil"/>
              <w:right w:val="nil"/>
            </w:tcBorders>
            <w:shd w:val="clear" w:color="auto" w:fill="auto"/>
            <w:noWrap/>
            <w:vAlign w:val="center"/>
            <w:hideMark/>
          </w:tcPr>
          <w:p w14:paraId="058EE1F4" w14:textId="77777777" w:rsidR="00387142" w:rsidRPr="008B6A75" w:rsidRDefault="00387142" w:rsidP="00387142">
            <w:pPr>
              <w:jc w:val="right"/>
              <w:rPr>
                <w:sz w:val="20"/>
                <w:szCs w:val="20"/>
              </w:rPr>
            </w:pPr>
            <w:r w:rsidRPr="008B6A75">
              <w:rPr>
                <w:sz w:val="20"/>
                <w:szCs w:val="20"/>
              </w:rPr>
              <w:t>3 880 000,00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557F09F5" w14:textId="77777777" w:rsidR="00387142" w:rsidRPr="008B6A75" w:rsidRDefault="00387142" w:rsidP="00387142">
            <w:pPr>
              <w:jc w:val="right"/>
              <w:rPr>
                <w:sz w:val="20"/>
                <w:szCs w:val="20"/>
              </w:rPr>
            </w:pPr>
            <w:r w:rsidRPr="008B6A75">
              <w:rPr>
                <w:sz w:val="20"/>
                <w:szCs w:val="20"/>
              </w:rPr>
              <w:t>1 300 000,00</w:t>
            </w:r>
          </w:p>
        </w:tc>
        <w:tc>
          <w:tcPr>
            <w:tcW w:w="222" w:type="dxa"/>
            <w:vAlign w:val="center"/>
            <w:hideMark/>
          </w:tcPr>
          <w:p w14:paraId="05ADDE50" w14:textId="77777777" w:rsidR="00387142" w:rsidRPr="008B6A75" w:rsidRDefault="00387142" w:rsidP="00387142">
            <w:pPr>
              <w:rPr>
                <w:sz w:val="20"/>
                <w:szCs w:val="20"/>
              </w:rPr>
            </w:pPr>
          </w:p>
        </w:tc>
      </w:tr>
      <w:tr w:rsidR="00387142" w:rsidRPr="008B6A75" w14:paraId="34C5C8E7" w14:textId="77777777" w:rsidTr="00387142">
        <w:trPr>
          <w:trHeight w:val="870"/>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136EA91E" w14:textId="77777777" w:rsidR="00387142" w:rsidRPr="008B6A75" w:rsidRDefault="00387142" w:rsidP="00387142">
            <w:pPr>
              <w:rPr>
                <w:sz w:val="20"/>
                <w:szCs w:val="20"/>
              </w:rPr>
            </w:pPr>
            <w:r w:rsidRPr="008B6A75">
              <w:rPr>
                <w:sz w:val="20"/>
                <w:szCs w:val="20"/>
              </w:rPr>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175A8FE2" w14:textId="77777777" w:rsidR="00387142" w:rsidRPr="008B6A75" w:rsidRDefault="00387142" w:rsidP="00387142">
            <w:pPr>
              <w:jc w:val="center"/>
              <w:rPr>
                <w:sz w:val="20"/>
                <w:szCs w:val="20"/>
              </w:rPr>
            </w:pPr>
            <w:r w:rsidRPr="008B6A75">
              <w:rPr>
                <w:sz w:val="20"/>
                <w:szCs w:val="20"/>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084E9C7C" w14:textId="77777777" w:rsidR="00387142" w:rsidRPr="008B6A75" w:rsidRDefault="00387142" w:rsidP="00387142">
            <w:pPr>
              <w:jc w:val="center"/>
              <w:rPr>
                <w:sz w:val="20"/>
                <w:szCs w:val="20"/>
              </w:rPr>
            </w:pPr>
            <w:r w:rsidRPr="008B6A75">
              <w:rPr>
                <w:sz w:val="20"/>
                <w:szCs w:val="20"/>
              </w:rPr>
              <w:t>08</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D5EA2F" w14:textId="77777777" w:rsidR="00387142" w:rsidRPr="008B6A75" w:rsidRDefault="00387142" w:rsidP="00387142">
            <w:pPr>
              <w:jc w:val="center"/>
              <w:rPr>
                <w:sz w:val="20"/>
                <w:szCs w:val="20"/>
              </w:rPr>
            </w:pPr>
            <w:r w:rsidRPr="008B6A75">
              <w:rPr>
                <w:sz w:val="20"/>
                <w:szCs w:val="20"/>
              </w:rPr>
              <w:t>01</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0B85DC34" w14:textId="77777777" w:rsidR="00387142" w:rsidRPr="008B6A75" w:rsidRDefault="00387142" w:rsidP="00387142">
            <w:pPr>
              <w:jc w:val="center"/>
              <w:rPr>
                <w:sz w:val="20"/>
                <w:szCs w:val="20"/>
              </w:rPr>
            </w:pPr>
            <w:r w:rsidRPr="008B6A75">
              <w:rPr>
                <w:sz w:val="20"/>
                <w:szCs w:val="20"/>
              </w:rPr>
              <w:t>08.0.00.08190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5D632D" w14:textId="77777777" w:rsidR="00387142" w:rsidRPr="008B6A75" w:rsidRDefault="00387142" w:rsidP="00387142">
            <w:pPr>
              <w:jc w:val="center"/>
              <w:rPr>
                <w:sz w:val="20"/>
                <w:szCs w:val="20"/>
              </w:rPr>
            </w:pPr>
            <w:r w:rsidRPr="008B6A75">
              <w:rPr>
                <w:sz w:val="20"/>
                <w:szCs w:val="20"/>
              </w:rPr>
              <w:t>240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B2763B" w14:textId="77777777" w:rsidR="00387142" w:rsidRPr="008B6A75" w:rsidRDefault="00387142" w:rsidP="00387142">
            <w:pPr>
              <w:jc w:val="right"/>
              <w:rPr>
                <w:sz w:val="20"/>
                <w:szCs w:val="20"/>
              </w:rPr>
            </w:pPr>
            <w:r w:rsidRPr="008B6A75">
              <w:rPr>
                <w:sz w:val="20"/>
                <w:szCs w:val="20"/>
              </w:rPr>
              <w:t>0,00</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1F6EC12D" w14:textId="77777777" w:rsidR="00387142" w:rsidRPr="008B6A75" w:rsidRDefault="00387142" w:rsidP="00387142">
            <w:pPr>
              <w:jc w:val="right"/>
              <w:rPr>
                <w:sz w:val="20"/>
                <w:szCs w:val="20"/>
              </w:rPr>
            </w:pPr>
            <w:r w:rsidRPr="008B6A75">
              <w:rPr>
                <w:sz w:val="20"/>
                <w:szCs w:val="20"/>
              </w:rPr>
              <w:t>3 880 000,00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F5AC0B" w14:textId="77777777" w:rsidR="00387142" w:rsidRPr="008B6A75" w:rsidRDefault="00387142" w:rsidP="00387142">
            <w:pPr>
              <w:jc w:val="right"/>
              <w:rPr>
                <w:sz w:val="20"/>
                <w:szCs w:val="20"/>
              </w:rPr>
            </w:pPr>
            <w:r w:rsidRPr="008B6A75">
              <w:rPr>
                <w:sz w:val="20"/>
                <w:szCs w:val="20"/>
              </w:rPr>
              <w:t>1 300 000,00</w:t>
            </w:r>
          </w:p>
        </w:tc>
        <w:tc>
          <w:tcPr>
            <w:tcW w:w="222" w:type="dxa"/>
            <w:vAlign w:val="center"/>
            <w:hideMark/>
          </w:tcPr>
          <w:p w14:paraId="49D613E3" w14:textId="77777777" w:rsidR="00387142" w:rsidRPr="008B6A75" w:rsidRDefault="00387142" w:rsidP="00387142">
            <w:pPr>
              <w:rPr>
                <w:sz w:val="20"/>
                <w:szCs w:val="20"/>
              </w:rPr>
            </w:pPr>
          </w:p>
        </w:tc>
      </w:tr>
      <w:tr w:rsidR="00387142" w:rsidRPr="008B6A75" w14:paraId="25C85839" w14:textId="77777777" w:rsidTr="00387142">
        <w:trPr>
          <w:trHeight w:val="870"/>
        </w:trPr>
        <w:tc>
          <w:tcPr>
            <w:tcW w:w="3021" w:type="dxa"/>
            <w:tcBorders>
              <w:top w:val="nil"/>
              <w:left w:val="single" w:sz="4" w:space="0" w:color="auto"/>
              <w:bottom w:val="nil"/>
              <w:right w:val="nil"/>
            </w:tcBorders>
            <w:shd w:val="clear" w:color="auto" w:fill="auto"/>
            <w:vAlign w:val="center"/>
            <w:hideMark/>
          </w:tcPr>
          <w:p w14:paraId="22B90CCD" w14:textId="77777777" w:rsidR="00387142" w:rsidRPr="008B6A75" w:rsidRDefault="00387142" w:rsidP="00387142">
            <w:pPr>
              <w:rPr>
                <w:sz w:val="20"/>
                <w:szCs w:val="20"/>
              </w:rPr>
            </w:pPr>
            <w:r w:rsidRPr="008B6A75">
              <w:rPr>
                <w:sz w:val="20"/>
                <w:szCs w:val="20"/>
              </w:rPr>
              <w:t>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right w:val="nil"/>
            </w:tcBorders>
            <w:shd w:val="clear" w:color="auto" w:fill="auto"/>
            <w:noWrap/>
            <w:vAlign w:val="center"/>
            <w:hideMark/>
          </w:tcPr>
          <w:p w14:paraId="302CE7DE" w14:textId="77777777" w:rsidR="00387142" w:rsidRPr="008B6A75" w:rsidRDefault="00387142" w:rsidP="00387142">
            <w:pPr>
              <w:jc w:val="center"/>
              <w:rPr>
                <w:sz w:val="20"/>
                <w:szCs w:val="20"/>
              </w:rPr>
            </w:pPr>
            <w:r w:rsidRPr="008B6A75">
              <w:rPr>
                <w:sz w:val="20"/>
                <w:szCs w:val="20"/>
              </w:rPr>
              <w:t>444</w:t>
            </w:r>
          </w:p>
        </w:tc>
        <w:tc>
          <w:tcPr>
            <w:tcW w:w="709" w:type="dxa"/>
            <w:tcBorders>
              <w:top w:val="nil"/>
              <w:left w:val="single" w:sz="4" w:space="0" w:color="auto"/>
              <w:bottom w:val="nil"/>
              <w:right w:val="nil"/>
            </w:tcBorders>
            <w:shd w:val="clear" w:color="auto" w:fill="auto"/>
            <w:noWrap/>
            <w:vAlign w:val="center"/>
            <w:hideMark/>
          </w:tcPr>
          <w:p w14:paraId="45C80FDB" w14:textId="77777777" w:rsidR="00387142" w:rsidRPr="008B6A75" w:rsidRDefault="00387142" w:rsidP="00387142">
            <w:pPr>
              <w:jc w:val="center"/>
              <w:rPr>
                <w:sz w:val="20"/>
                <w:szCs w:val="20"/>
              </w:rPr>
            </w:pPr>
            <w:r w:rsidRPr="008B6A75">
              <w:rPr>
                <w:sz w:val="20"/>
                <w:szCs w:val="20"/>
              </w:rPr>
              <w:t>08</w:t>
            </w:r>
          </w:p>
        </w:tc>
        <w:tc>
          <w:tcPr>
            <w:tcW w:w="709" w:type="dxa"/>
            <w:tcBorders>
              <w:top w:val="nil"/>
              <w:left w:val="single" w:sz="4" w:space="0" w:color="auto"/>
              <w:bottom w:val="nil"/>
              <w:right w:val="single" w:sz="4" w:space="0" w:color="auto"/>
            </w:tcBorders>
            <w:shd w:val="clear" w:color="auto" w:fill="auto"/>
            <w:noWrap/>
            <w:vAlign w:val="center"/>
            <w:hideMark/>
          </w:tcPr>
          <w:p w14:paraId="27152717" w14:textId="77777777" w:rsidR="00387142" w:rsidRPr="008B6A75" w:rsidRDefault="00387142" w:rsidP="00387142">
            <w:pPr>
              <w:jc w:val="center"/>
              <w:rPr>
                <w:sz w:val="20"/>
                <w:szCs w:val="20"/>
              </w:rPr>
            </w:pPr>
            <w:r w:rsidRPr="008B6A75">
              <w:rPr>
                <w:sz w:val="20"/>
                <w:szCs w:val="20"/>
              </w:rPr>
              <w:t>01</w:t>
            </w:r>
          </w:p>
        </w:tc>
        <w:tc>
          <w:tcPr>
            <w:tcW w:w="1411" w:type="dxa"/>
            <w:tcBorders>
              <w:top w:val="nil"/>
              <w:left w:val="single" w:sz="4" w:space="0" w:color="auto"/>
              <w:bottom w:val="nil"/>
              <w:right w:val="nil"/>
            </w:tcBorders>
            <w:shd w:val="clear" w:color="auto" w:fill="auto"/>
            <w:noWrap/>
            <w:vAlign w:val="center"/>
            <w:hideMark/>
          </w:tcPr>
          <w:p w14:paraId="718971B9" w14:textId="77777777" w:rsidR="00387142" w:rsidRPr="008B6A75" w:rsidRDefault="00387142" w:rsidP="00387142">
            <w:pPr>
              <w:jc w:val="center"/>
              <w:rPr>
                <w:sz w:val="20"/>
                <w:szCs w:val="20"/>
              </w:rPr>
            </w:pPr>
            <w:r w:rsidRPr="008B6A75">
              <w:rPr>
                <w:sz w:val="20"/>
                <w:szCs w:val="20"/>
              </w:rPr>
              <w:t>08.0.00.08190</w:t>
            </w:r>
          </w:p>
        </w:tc>
        <w:tc>
          <w:tcPr>
            <w:tcW w:w="955" w:type="dxa"/>
            <w:tcBorders>
              <w:top w:val="nil"/>
              <w:left w:val="single" w:sz="4" w:space="0" w:color="auto"/>
              <w:bottom w:val="nil"/>
              <w:right w:val="single" w:sz="4" w:space="0" w:color="auto"/>
            </w:tcBorders>
            <w:shd w:val="clear" w:color="auto" w:fill="auto"/>
            <w:noWrap/>
            <w:vAlign w:val="center"/>
            <w:hideMark/>
          </w:tcPr>
          <w:p w14:paraId="40DCB447" w14:textId="77777777" w:rsidR="00387142" w:rsidRPr="008B6A75" w:rsidRDefault="00387142" w:rsidP="00387142">
            <w:pPr>
              <w:jc w:val="center"/>
              <w:rPr>
                <w:sz w:val="20"/>
                <w:szCs w:val="20"/>
              </w:rPr>
            </w:pPr>
            <w:r w:rsidRPr="008B6A75">
              <w:rPr>
                <w:sz w:val="20"/>
                <w:szCs w:val="20"/>
              </w:rPr>
              <w:t>600</w:t>
            </w:r>
          </w:p>
        </w:tc>
        <w:tc>
          <w:tcPr>
            <w:tcW w:w="992" w:type="dxa"/>
            <w:tcBorders>
              <w:top w:val="nil"/>
              <w:left w:val="single" w:sz="4" w:space="0" w:color="auto"/>
              <w:bottom w:val="nil"/>
              <w:right w:val="single" w:sz="4" w:space="0" w:color="auto"/>
            </w:tcBorders>
            <w:shd w:val="clear" w:color="auto" w:fill="auto"/>
            <w:noWrap/>
            <w:vAlign w:val="center"/>
            <w:hideMark/>
          </w:tcPr>
          <w:p w14:paraId="6DFCDB30" w14:textId="77777777" w:rsidR="00387142" w:rsidRPr="008B6A75" w:rsidRDefault="00387142" w:rsidP="00387142">
            <w:pPr>
              <w:jc w:val="right"/>
              <w:rPr>
                <w:sz w:val="20"/>
                <w:szCs w:val="20"/>
              </w:rPr>
            </w:pPr>
            <w:r w:rsidRPr="008B6A75">
              <w:rPr>
                <w:sz w:val="20"/>
                <w:szCs w:val="20"/>
              </w:rPr>
              <w:t>10 946 502,37</w:t>
            </w:r>
          </w:p>
        </w:tc>
        <w:tc>
          <w:tcPr>
            <w:tcW w:w="992" w:type="dxa"/>
            <w:gridSpan w:val="2"/>
            <w:tcBorders>
              <w:top w:val="nil"/>
              <w:left w:val="single" w:sz="4" w:space="0" w:color="auto"/>
              <w:bottom w:val="nil"/>
              <w:right w:val="nil"/>
            </w:tcBorders>
            <w:shd w:val="clear" w:color="auto" w:fill="auto"/>
            <w:noWrap/>
            <w:vAlign w:val="center"/>
            <w:hideMark/>
          </w:tcPr>
          <w:p w14:paraId="1871A0A6" w14:textId="77777777" w:rsidR="00387142" w:rsidRPr="008B6A75" w:rsidRDefault="00387142" w:rsidP="00387142">
            <w:pPr>
              <w:jc w:val="right"/>
              <w:rPr>
                <w:sz w:val="20"/>
                <w:szCs w:val="20"/>
              </w:rPr>
            </w:pPr>
            <w:r w:rsidRPr="008B6A75">
              <w:rPr>
                <w:sz w:val="20"/>
                <w:szCs w:val="20"/>
              </w:rPr>
              <w:t>12 000 000,00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5A2CBC79" w14:textId="77777777" w:rsidR="00387142" w:rsidRPr="008B6A75" w:rsidRDefault="00387142" w:rsidP="00387142">
            <w:pPr>
              <w:jc w:val="right"/>
              <w:rPr>
                <w:sz w:val="20"/>
                <w:szCs w:val="20"/>
              </w:rPr>
            </w:pPr>
            <w:r w:rsidRPr="008B6A75">
              <w:rPr>
                <w:sz w:val="20"/>
                <w:szCs w:val="20"/>
              </w:rPr>
              <w:t>10 000 000,00</w:t>
            </w:r>
          </w:p>
        </w:tc>
        <w:tc>
          <w:tcPr>
            <w:tcW w:w="222" w:type="dxa"/>
            <w:vAlign w:val="center"/>
            <w:hideMark/>
          </w:tcPr>
          <w:p w14:paraId="01474255" w14:textId="77777777" w:rsidR="00387142" w:rsidRPr="008B6A75" w:rsidRDefault="00387142" w:rsidP="00387142">
            <w:pPr>
              <w:rPr>
                <w:sz w:val="20"/>
                <w:szCs w:val="20"/>
              </w:rPr>
            </w:pPr>
          </w:p>
        </w:tc>
      </w:tr>
      <w:tr w:rsidR="00387142" w:rsidRPr="008B6A75" w14:paraId="53D6FAD4" w14:textId="77777777" w:rsidTr="00387142">
        <w:trPr>
          <w:trHeight w:val="300"/>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11ED5608" w14:textId="77777777" w:rsidR="00387142" w:rsidRPr="008B6A75" w:rsidRDefault="00387142" w:rsidP="00387142">
            <w:pPr>
              <w:rPr>
                <w:sz w:val="20"/>
                <w:szCs w:val="20"/>
              </w:rPr>
            </w:pPr>
            <w:r w:rsidRPr="008B6A75">
              <w:rPr>
                <w:sz w:val="20"/>
                <w:szCs w:val="20"/>
              </w:rPr>
              <w:t>Субсидии бюджетным учреждениям</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590A2F48" w14:textId="77777777" w:rsidR="00387142" w:rsidRPr="008B6A75" w:rsidRDefault="00387142" w:rsidP="00387142">
            <w:pPr>
              <w:jc w:val="center"/>
              <w:rPr>
                <w:sz w:val="20"/>
                <w:szCs w:val="20"/>
              </w:rPr>
            </w:pPr>
            <w:r w:rsidRPr="008B6A75">
              <w:rPr>
                <w:sz w:val="20"/>
                <w:szCs w:val="20"/>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76C4D274" w14:textId="77777777" w:rsidR="00387142" w:rsidRPr="008B6A75" w:rsidRDefault="00387142" w:rsidP="00387142">
            <w:pPr>
              <w:jc w:val="center"/>
              <w:rPr>
                <w:sz w:val="20"/>
                <w:szCs w:val="20"/>
              </w:rPr>
            </w:pPr>
            <w:r w:rsidRPr="008B6A75">
              <w:rPr>
                <w:sz w:val="20"/>
                <w:szCs w:val="20"/>
              </w:rPr>
              <w:t>08</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CAA6DF" w14:textId="77777777" w:rsidR="00387142" w:rsidRPr="008B6A75" w:rsidRDefault="00387142" w:rsidP="00387142">
            <w:pPr>
              <w:jc w:val="center"/>
              <w:rPr>
                <w:sz w:val="20"/>
                <w:szCs w:val="20"/>
              </w:rPr>
            </w:pPr>
            <w:r w:rsidRPr="008B6A75">
              <w:rPr>
                <w:sz w:val="20"/>
                <w:szCs w:val="20"/>
              </w:rPr>
              <w:t>01</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3470A73B" w14:textId="77777777" w:rsidR="00387142" w:rsidRPr="008B6A75" w:rsidRDefault="00387142" w:rsidP="00387142">
            <w:pPr>
              <w:jc w:val="center"/>
              <w:rPr>
                <w:sz w:val="20"/>
                <w:szCs w:val="20"/>
              </w:rPr>
            </w:pPr>
            <w:r w:rsidRPr="008B6A75">
              <w:rPr>
                <w:sz w:val="20"/>
                <w:szCs w:val="20"/>
              </w:rPr>
              <w:t>08.0.00.08190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CC63C4" w14:textId="77777777" w:rsidR="00387142" w:rsidRPr="008B6A75" w:rsidRDefault="00387142" w:rsidP="00387142">
            <w:pPr>
              <w:jc w:val="center"/>
              <w:rPr>
                <w:sz w:val="20"/>
                <w:szCs w:val="20"/>
              </w:rPr>
            </w:pPr>
            <w:r w:rsidRPr="008B6A75">
              <w:rPr>
                <w:sz w:val="20"/>
                <w:szCs w:val="20"/>
              </w:rPr>
              <w:t>610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1C2E2C" w14:textId="77777777" w:rsidR="00387142" w:rsidRPr="008B6A75" w:rsidRDefault="00387142" w:rsidP="00387142">
            <w:pPr>
              <w:jc w:val="right"/>
              <w:rPr>
                <w:sz w:val="20"/>
                <w:szCs w:val="20"/>
              </w:rPr>
            </w:pPr>
            <w:r w:rsidRPr="008B6A75">
              <w:rPr>
                <w:sz w:val="20"/>
                <w:szCs w:val="20"/>
              </w:rPr>
              <w:t>10 946 502,37</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00240AE8" w14:textId="77777777" w:rsidR="00387142" w:rsidRPr="008B6A75" w:rsidRDefault="00387142" w:rsidP="00387142">
            <w:pPr>
              <w:jc w:val="right"/>
              <w:rPr>
                <w:sz w:val="20"/>
                <w:szCs w:val="20"/>
              </w:rPr>
            </w:pPr>
            <w:r w:rsidRPr="008B6A75">
              <w:rPr>
                <w:sz w:val="20"/>
                <w:szCs w:val="20"/>
              </w:rPr>
              <w:t>12 000 000,00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C30D40" w14:textId="77777777" w:rsidR="00387142" w:rsidRPr="008B6A75" w:rsidRDefault="00387142" w:rsidP="00387142">
            <w:pPr>
              <w:jc w:val="right"/>
              <w:rPr>
                <w:sz w:val="20"/>
                <w:szCs w:val="20"/>
              </w:rPr>
            </w:pPr>
            <w:r w:rsidRPr="008B6A75">
              <w:rPr>
                <w:sz w:val="20"/>
                <w:szCs w:val="20"/>
              </w:rPr>
              <w:t>10 000 000,00</w:t>
            </w:r>
          </w:p>
        </w:tc>
        <w:tc>
          <w:tcPr>
            <w:tcW w:w="222" w:type="dxa"/>
            <w:vAlign w:val="center"/>
            <w:hideMark/>
          </w:tcPr>
          <w:p w14:paraId="32DFEEC0" w14:textId="77777777" w:rsidR="00387142" w:rsidRPr="008B6A75" w:rsidRDefault="00387142" w:rsidP="00387142">
            <w:pPr>
              <w:rPr>
                <w:sz w:val="20"/>
                <w:szCs w:val="20"/>
              </w:rPr>
            </w:pPr>
          </w:p>
        </w:tc>
      </w:tr>
      <w:tr w:rsidR="00387142" w:rsidRPr="008B6A75" w14:paraId="1BFD218D" w14:textId="77777777" w:rsidTr="00387142">
        <w:trPr>
          <w:trHeight w:val="585"/>
        </w:trPr>
        <w:tc>
          <w:tcPr>
            <w:tcW w:w="3021" w:type="dxa"/>
            <w:tcBorders>
              <w:top w:val="nil"/>
              <w:left w:val="single" w:sz="4" w:space="0" w:color="auto"/>
              <w:bottom w:val="nil"/>
              <w:right w:val="nil"/>
            </w:tcBorders>
            <w:shd w:val="clear" w:color="auto" w:fill="auto"/>
            <w:vAlign w:val="center"/>
            <w:hideMark/>
          </w:tcPr>
          <w:p w14:paraId="79616EB7" w14:textId="77777777" w:rsidR="00387142" w:rsidRPr="008B6A75" w:rsidRDefault="00387142" w:rsidP="00387142">
            <w:pPr>
              <w:rPr>
                <w:bCs/>
                <w:sz w:val="20"/>
                <w:szCs w:val="20"/>
              </w:rPr>
            </w:pPr>
            <w:r w:rsidRPr="008B6A75">
              <w:rPr>
                <w:bCs/>
                <w:sz w:val="20"/>
                <w:szCs w:val="20"/>
              </w:rPr>
              <w:t>Расходы на обеспечение деятельности (оказание услуг) библиотек</w:t>
            </w:r>
          </w:p>
        </w:tc>
        <w:tc>
          <w:tcPr>
            <w:tcW w:w="850" w:type="dxa"/>
            <w:tcBorders>
              <w:top w:val="nil"/>
              <w:left w:val="single" w:sz="4" w:space="0" w:color="auto"/>
              <w:bottom w:val="nil"/>
              <w:right w:val="nil"/>
            </w:tcBorders>
            <w:shd w:val="clear" w:color="auto" w:fill="auto"/>
            <w:noWrap/>
            <w:vAlign w:val="center"/>
            <w:hideMark/>
          </w:tcPr>
          <w:p w14:paraId="29E166F5" w14:textId="77777777" w:rsidR="00387142" w:rsidRPr="008B6A75" w:rsidRDefault="00387142" w:rsidP="00387142">
            <w:pPr>
              <w:jc w:val="center"/>
              <w:rPr>
                <w:bCs/>
                <w:sz w:val="20"/>
                <w:szCs w:val="20"/>
              </w:rPr>
            </w:pPr>
            <w:r w:rsidRPr="008B6A75">
              <w:rPr>
                <w:bCs/>
                <w:sz w:val="20"/>
                <w:szCs w:val="20"/>
              </w:rPr>
              <w:t>444</w:t>
            </w:r>
          </w:p>
        </w:tc>
        <w:tc>
          <w:tcPr>
            <w:tcW w:w="709" w:type="dxa"/>
            <w:tcBorders>
              <w:top w:val="nil"/>
              <w:left w:val="single" w:sz="4" w:space="0" w:color="auto"/>
              <w:bottom w:val="nil"/>
              <w:right w:val="nil"/>
            </w:tcBorders>
            <w:shd w:val="clear" w:color="auto" w:fill="auto"/>
            <w:noWrap/>
            <w:vAlign w:val="center"/>
            <w:hideMark/>
          </w:tcPr>
          <w:p w14:paraId="47377DE0" w14:textId="77777777" w:rsidR="00387142" w:rsidRPr="008B6A75" w:rsidRDefault="00387142" w:rsidP="00387142">
            <w:pPr>
              <w:jc w:val="center"/>
              <w:rPr>
                <w:bCs/>
                <w:sz w:val="20"/>
                <w:szCs w:val="20"/>
              </w:rPr>
            </w:pPr>
            <w:r w:rsidRPr="008B6A75">
              <w:rPr>
                <w:bCs/>
                <w:sz w:val="20"/>
                <w:szCs w:val="20"/>
              </w:rPr>
              <w:t>08</w:t>
            </w:r>
          </w:p>
        </w:tc>
        <w:tc>
          <w:tcPr>
            <w:tcW w:w="709" w:type="dxa"/>
            <w:tcBorders>
              <w:top w:val="nil"/>
              <w:left w:val="single" w:sz="4" w:space="0" w:color="auto"/>
              <w:bottom w:val="nil"/>
              <w:right w:val="single" w:sz="4" w:space="0" w:color="auto"/>
            </w:tcBorders>
            <w:shd w:val="clear" w:color="auto" w:fill="auto"/>
            <w:noWrap/>
            <w:vAlign w:val="center"/>
            <w:hideMark/>
          </w:tcPr>
          <w:p w14:paraId="36E4CF0B" w14:textId="77777777" w:rsidR="00387142" w:rsidRPr="008B6A75" w:rsidRDefault="00387142" w:rsidP="00387142">
            <w:pPr>
              <w:jc w:val="center"/>
              <w:rPr>
                <w:bCs/>
                <w:sz w:val="20"/>
                <w:szCs w:val="20"/>
              </w:rPr>
            </w:pPr>
            <w:r w:rsidRPr="008B6A75">
              <w:rPr>
                <w:bCs/>
                <w:sz w:val="20"/>
                <w:szCs w:val="20"/>
              </w:rPr>
              <w:t>01</w:t>
            </w:r>
          </w:p>
        </w:tc>
        <w:tc>
          <w:tcPr>
            <w:tcW w:w="1411" w:type="dxa"/>
            <w:tcBorders>
              <w:top w:val="nil"/>
              <w:left w:val="single" w:sz="4" w:space="0" w:color="auto"/>
              <w:bottom w:val="nil"/>
              <w:right w:val="nil"/>
            </w:tcBorders>
            <w:shd w:val="clear" w:color="auto" w:fill="auto"/>
            <w:noWrap/>
            <w:vAlign w:val="center"/>
            <w:hideMark/>
          </w:tcPr>
          <w:p w14:paraId="02E7BC94" w14:textId="77777777" w:rsidR="00387142" w:rsidRPr="008B6A75" w:rsidRDefault="00387142" w:rsidP="00387142">
            <w:pPr>
              <w:jc w:val="center"/>
              <w:rPr>
                <w:bCs/>
                <w:sz w:val="20"/>
                <w:szCs w:val="20"/>
              </w:rPr>
            </w:pPr>
            <w:r w:rsidRPr="008B6A75">
              <w:rPr>
                <w:bCs/>
                <w:sz w:val="20"/>
                <w:szCs w:val="20"/>
              </w:rPr>
              <w:t>08.0.00.08390</w:t>
            </w:r>
          </w:p>
        </w:tc>
        <w:tc>
          <w:tcPr>
            <w:tcW w:w="955" w:type="dxa"/>
            <w:tcBorders>
              <w:top w:val="nil"/>
              <w:left w:val="single" w:sz="4" w:space="0" w:color="auto"/>
              <w:bottom w:val="nil"/>
              <w:right w:val="single" w:sz="4" w:space="0" w:color="auto"/>
            </w:tcBorders>
            <w:shd w:val="clear" w:color="auto" w:fill="auto"/>
            <w:noWrap/>
            <w:vAlign w:val="center"/>
            <w:hideMark/>
          </w:tcPr>
          <w:p w14:paraId="0F3A3C9B"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nil"/>
              <w:right w:val="single" w:sz="4" w:space="0" w:color="auto"/>
            </w:tcBorders>
            <w:shd w:val="clear" w:color="auto" w:fill="auto"/>
            <w:noWrap/>
            <w:vAlign w:val="center"/>
            <w:hideMark/>
          </w:tcPr>
          <w:p w14:paraId="4833BAB0" w14:textId="77777777" w:rsidR="00387142" w:rsidRPr="008B6A75" w:rsidRDefault="00387142" w:rsidP="00387142">
            <w:pPr>
              <w:jc w:val="right"/>
              <w:rPr>
                <w:bCs/>
                <w:sz w:val="20"/>
                <w:szCs w:val="20"/>
              </w:rPr>
            </w:pPr>
            <w:r w:rsidRPr="008B6A75">
              <w:rPr>
                <w:bCs/>
                <w:sz w:val="20"/>
                <w:szCs w:val="20"/>
              </w:rPr>
              <w:t>2 628 498,78</w:t>
            </w:r>
          </w:p>
        </w:tc>
        <w:tc>
          <w:tcPr>
            <w:tcW w:w="992" w:type="dxa"/>
            <w:gridSpan w:val="2"/>
            <w:tcBorders>
              <w:top w:val="nil"/>
              <w:left w:val="single" w:sz="4" w:space="0" w:color="auto"/>
              <w:bottom w:val="nil"/>
              <w:right w:val="nil"/>
            </w:tcBorders>
            <w:shd w:val="clear" w:color="auto" w:fill="auto"/>
            <w:noWrap/>
            <w:vAlign w:val="center"/>
            <w:hideMark/>
          </w:tcPr>
          <w:p w14:paraId="038DBB25" w14:textId="77777777" w:rsidR="00387142" w:rsidRPr="008B6A75" w:rsidRDefault="00387142" w:rsidP="00387142">
            <w:pPr>
              <w:jc w:val="right"/>
              <w:rPr>
                <w:bCs/>
                <w:sz w:val="20"/>
                <w:szCs w:val="20"/>
              </w:rPr>
            </w:pPr>
            <w:r w:rsidRPr="008B6A75">
              <w:rPr>
                <w:bCs/>
                <w:sz w:val="20"/>
                <w:szCs w:val="20"/>
              </w:rPr>
              <w:t>16 000 000,00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6F513FAC" w14:textId="77777777" w:rsidR="00387142" w:rsidRPr="008B6A75" w:rsidRDefault="00387142" w:rsidP="00387142">
            <w:pPr>
              <w:jc w:val="right"/>
              <w:rPr>
                <w:bCs/>
                <w:sz w:val="20"/>
                <w:szCs w:val="20"/>
              </w:rPr>
            </w:pPr>
            <w:r w:rsidRPr="008B6A75">
              <w:rPr>
                <w:bCs/>
                <w:sz w:val="20"/>
                <w:szCs w:val="20"/>
              </w:rPr>
              <w:t>16 000 000,00</w:t>
            </w:r>
          </w:p>
        </w:tc>
        <w:tc>
          <w:tcPr>
            <w:tcW w:w="222" w:type="dxa"/>
            <w:vAlign w:val="center"/>
            <w:hideMark/>
          </w:tcPr>
          <w:p w14:paraId="1B04A365" w14:textId="77777777" w:rsidR="00387142" w:rsidRPr="008B6A75" w:rsidRDefault="00387142" w:rsidP="00387142">
            <w:pPr>
              <w:rPr>
                <w:sz w:val="20"/>
                <w:szCs w:val="20"/>
              </w:rPr>
            </w:pPr>
          </w:p>
        </w:tc>
      </w:tr>
      <w:tr w:rsidR="00387142" w:rsidRPr="008B6A75" w14:paraId="729A6204" w14:textId="77777777" w:rsidTr="00387142">
        <w:trPr>
          <w:trHeight w:val="1440"/>
        </w:trPr>
        <w:tc>
          <w:tcPr>
            <w:tcW w:w="3021" w:type="dxa"/>
            <w:tcBorders>
              <w:top w:val="single" w:sz="4" w:space="0" w:color="auto"/>
              <w:left w:val="single" w:sz="4" w:space="0" w:color="auto"/>
              <w:bottom w:val="nil"/>
              <w:right w:val="nil"/>
            </w:tcBorders>
            <w:shd w:val="clear" w:color="auto" w:fill="auto"/>
            <w:vAlign w:val="center"/>
            <w:hideMark/>
          </w:tcPr>
          <w:p w14:paraId="58FCD91D" w14:textId="77777777" w:rsidR="00387142" w:rsidRPr="008B6A75" w:rsidRDefault="00387142" w:rsidP="00387142">
            <w:pPr>
              <w:rPr>
                <w:sz w:val="20"/>
                <w:szCs w:val="20"/>
              </w:rPr>
            </w:pPr>
            <w:r w:rsidRPr="008B6A75">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nil"/>
              <w:right w:val="nil"/>
            </w:tcBorders>
            <w:shd w:val="clear" w:color="auto" w:fill="auto"/>
            <w:noWrap/>
            <w:vAlign w:val="center"/>
            <w:hideMark/>
          </w:tcPr>
          <w:p w14:paraId="772224E5" w14:textId="77777777" w:rsidR="00387142" w:rsidRPr="008B6A75" w:rsidRDefault="00387142" w:rsidP="00387142">
            <w:pPr>
              <w:jc w:val="center"/>
              <w:rPr>
                <w:sz w:val="20"/>
                <w:szCs w:val="20"/>
              </w:rPr>
            </w:pPr>
            <w:r w:rsidRPr="008B6A75">
              <w:rPr>
                <w:sz w:val="20"/>
                <w:szCs w:val="20"/>
              </w:rPr>
              <w:t>444</w:t>
            </w:r>
          </w:p>
        </w:tc>
        <w:tc>
          <w:tcPr>
            <w:tcW w:w="709" w:type="dxa"/>
            <w:tcBorders>
              <w:top w:val="single" w:sz="4" w:space="0" w:color="auto"/>
              <w:left w:val="single" w:sz="4" w:space="0" w:color="auto"/>
              <w:bottom w:val="nil"/>
              <w:right w:val="nil"/>
            </w:tcBorders>
            <w:shd w:val="clear" w:color="auto" w:fill="auto"/>
            <w:noWrap/>
            <w:vAlign w:val="center"/>
            <w:hideMark/>
          </w:tcPr>
          <w:p w14:paraId="73EE4C97" w14:textId="77777777" w:rsidR="00387142" w:rsidRPr="008B6A75" w:rsidRDefault="00387142" w:rsidP="00387142">
            <w:pPr>
              <w:jc w:val="center"/>
              <w:rPr>
                <w:sz w:val="20"/>
                <w:szCs w:val="20"/>
              </w:rPr>
            </w:pPr>
            <w:r w:rsidRPr="008B6A75">
              <w:rPr>
                <w:sz w:val="20"/>
                <w:szCs w:val="20"/>
              </w:rPr>
              <w:t>08</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17FD302C" w14:textId="77777777" w:rsidR="00387142" w:rsidRPr="008B6A75" w:rsidRDefault="00387142" w:rsidP="00387142">
            <w:pPr>
              <w:jc w:val="center"/>
              <w:rPr>
                <w:sz w:val="20"/>
                <w:szCs w:val="20"/>
              </w:rPr>
            </w:pPr>
            <w:r w:rsidRPr="008B6A75">
              <w:rPr>
                <w:sz w:val="20"/>
                <w:szCs w:val="20"/>
              </w:rPr>
              <w:t>01</w:t>
            </w:r>
          </w:p>
        </w:tc>
        <w:tc>
          <w:tcPr>
            <w:tcW w:w="1411" w:type="dxa"/>
            <w:tcBorders>
              <w:top w:val="single" w:sz="4" w:space="0" w:color="auto"/>
              <w:left w:val="single" w:sz="4" w:space="0" w:color="auto"/>
              <w:bottom w:val="nil"/>
              <w:right w:val="nil"/>
            </w:tcBorders>
            <w:shd w:val="clear" w:color="auto" w:fill="auto"/>
            <w:noWrap/>
            <w:vAlign w:val="center"/>
            <w:hideMark/>
          </w:tcPr>
          <w:p w14:paraId="672DD070" w14:textId="77777777" w:rsidR="00387142" w:rsidRPr="008B6A75" w:rsidRDefault="00387142" w:rsidP="00387142">
            <w:pPr>
              <w:jc w:val="center"/>
              <w:rPr>
                <w:sz w:val="20"/>
                <w:szCs w:val="20"/>
              </w:rPr>
            </w:pPr>
            <w:r w:rsidRPr="008B6A75">
              <w:rPr>
                <w:sz w:val="20"/>
                <w:szCs w:val="20"/>
              </w:rPr>
              <w:t>08.0.00.08390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63A24B53" w14:textId="77777777" w:rsidR="00387142" w:rsidRPr="008B6A75" w:rsidRDefault="00387142" w:rsidP="00387142">
            <w:pPr>
              <w:jc w:val="center"/>
              <w:rPr>
                <w:sz w:val="20"/>
                <w:szCs w:val="20"/>
              </w:rPr>
            </w:pPr>
            <w:r w:rsidRPr="008B6A75">
              <w:rPr>
                <w:sz w:val="20"/>
                <w:szCs w:val="20"/>
              </w:rPr>
              <w:t>100</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6430ABE8" w14:textId="77777777" w:rsidR="00387142" w:rsidRPr="008B6A75" w:rsidRDefault="00387142" w:rsidP="00387142">
            <w:pPr>
              <w:jc w:val="right"/>
              <w:rPr>
                <w:sz w:val="20"/>
                <w:szCs w:val="20"/>
              </w:rPr>
            </w:pPr>
            <w:r w:rsidRPr="008B6A75">
              <w:rPr>
                <w:sz w:val="20"/>
                <w:szCs w:val="20"/>
              </w:rPr>
              <w:t>0,00</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3A3FCDAE" w14:textId="77777777" w:rsidR="00387142" w:rsidRPr="008B6A75" w:rsidRDefault="00387142" w:rsidP="00387142">
            <w:pPr>
              <w:jc w:val="right"/>
              <w:rPr>
                <w:sz w:val="20"/>
                <w:szCs w:val="20"/>
              </w:rPr>
            </w:pPr>
            <w:r w:rsidRPr="008B6A75">
              <w:rPr>
                <w:sz w:val="20"/>
                <w:szCs w:val="20"/>
              </w:rPr>
              <w:t>9 000 000,00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3CC2635A" w14:textId="77777777" w:rsidR="00387142" w:rsidRPr="008B6A75" w:rsidRDefault="00387142" w:rsidP="00387142">
            <w:pPr>
              <w:jc w:val="right"/>
              <w:rPr>
                <w:sz w:val="20"/>
                <w:szCs w:val="20"/>
              </w:rPr>
            </w:pPr>
            <w:r w:rsidRPr="008B6A75">
              <w:rPr>
                <w:sz w:val="20"/>
                <w:szCs w:val="20"/>
              </w:rPr>
              <w:t>9 000 000,00</w:t>
            </w:r>
          </w:p>
        </w:tc>
        <w:tc>
          <w:tcPr>
            <w:tcW w:w="222" w:type="dxa"/>
            <w:vAlign w:val="center"/>
            <w:hideMark/>
          </w:tcPr>
          <w:p w14:paraId="086A570E" w14:textId="77777777" w:rsidR="00387142" w:rsidRPr="008B6A75" w:rsidRDefault="00387142" w:rsidP="00387142">
            <w:pPr>
              <w:rPr>
                <w:sz w:val="20"/>
                <w:szCs w:val="20"/>
              </w:rPr>
            </w:pPr>
          </w:p>
        </w:tc>
      </w:tr>
      <w:tr w:rsidR="00387142" w:rsidRPr="008B6A75" w14:paraId="691679AF" w14:textId="77777777" w:rsidTr="00387142">
        <w:trPr>
          <w:trHeight w:val="585"/>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27AF1A8E" w14:textId="77777777" w:rsidR="00387142" w:rsidRPr="008B6A75" w:rsidRDefault="00387142" w:rsidP="00387142">
            <w:pPr>
              <w:rPr>
                <w:sz w:val="20"/>
                <w:szCs w:val="20"/>
              </w:rPr>
            </w:pPr>
            <w:r w:rsidRPr="008B6A75">
              <w:rPr>
                <w:sz w:val="20"/>
                <w:szCs w:val="20"/>
              </w:rPr>
              <w:t>Расходы на выплаты персоналу казенных учреждений</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039A9108" w14:textId="77777777" w:rsidR="00387142" w:rsidRPr="008B6A75" w:rsidRDefault="00387142" w:rsidP="00387142">
            <w:pPr>
              <w:jc w:val="center"/>
              <w:rPr>
                <w:sz w:val="20"/>
                <w:szCs w:val="20"/>
              </w:rPr>
            </w:pPr>
            <w:r w:rsidRPr="008B6A75">
              <w:rPr>
                <w:sz w:val="20"/>
                <w:szCs w:val="20"/>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5BBA9268" w14:textId="77777777" w:rsidR="00387142" w:rsidRPr="008B6A75" w:rsidRDefault="00387142" w:rsidP="00387142">
            <w:pPr>
              <w:jc w:val="center"/>
              <w:rPr>
                <w:sz w:val="20"/>
                <w:szCs w:val="20"/>
              </w:rPr>
            </w:pPr>
            <w:r w:rsidRPr="008B6A75">
              <w:rPr>
                <w:sz w:val="20"/>
                <w:szCs w:val="20"/>
              </w:rPr>
              <w:t>08</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8F89F5" w14:textId="77777777" w:rsidR="00387142" w:rsidRPr="008B6A75" w:rsidRDefault="00387142" w:rsidP="00387142">
            <w:pPr>
              <w:jc w:val="center"/>
              <w:rPr>
                <w:sz w:val="20"/>
                <w:szCs w:val="20"/>
              </w:rPr>
            </w:pPr>
            <w:r w:rsidRPr="008B6A75">
              <w:rPr>
                <w:sz w:val="20"/>
                <w:szCs w:val="20"/>
              </w:rPr>
              <w:t>01</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60AC3E3D" w14:textId="77777777" w:rsidR="00387142" w:rsidRPr="008B6A75" w:rsidRDefault="00387142" w:rsidP="00387142">
            <w:pPr>
              <w:jc w:val="center"/>
              <w:rPr>
                <w:sz w:val="20"/>
                <w:szCs w:val="20"/>
              </w:rPr>
            </w:pPr>
            <w:r w:rsidRPr="008B6A75">
              <w:rPr>
                <w:sz w:val="20"/>
                <w:szCs w:val="20"/>
              </w:rPr>
              <w:t>08.0.00.08390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DC99E1" w14:textId="77777777" w:rsidR="00387142" w:rsidRPr="008B6A75" w:rsidRDefault="00387142" w:rsidP="00387142">
            <w:pPr>
              <w:jc w:val="center"/>
              <w:rPr>
                <w:sz w:val="20"/>
                <w:szCs w:val="20"/>
              </w:rPr>
            </w:pPr>
            <w:r w:rsidRPr="008B6A75">
              <w:rPr>
                <w:sz w:val="20"/>
                <w:szCs w:val="20"/>
              </w:rPr>
              <w:t>110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081FEA" w14:textId="77777777" w:rsidR="00387142" w:rsidRPr="008B6A75" w:rsidRDefault="00387142" w:rsidP="00387142">
            <w:pPr>
              <w:jc w:val="right"/>
              <w:rPr>
                <w:sz w:val="20"/>
                <w:szCs w:val="20"/>
              </w:rPr>
            </w:pPr>
            <w:r w:rsidRPr="008B6A75">
              <w:rPr>
                <w:sz w:val="20"/>
                <w:szCs w:val="20"/>
              </w:rPr>
              <w:t>0,00</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2EBCF8F3" w14:textId="77777777" w:rsidR="00387142" w:rsidRPr="008B6A75" w:rsidRDefault="00387142" w:rsidP="00387142">
            <w:pPr>
              <w:jc w:val="right"/>
              <w:rPr>
                <w:sz w:val="20"/>
                <w:szCs w:val="20"/>
              </w:rPr>
            </w:pPr>
            <w:r w:rsidRPr="008B6A75">
              <w:rPr>
                <w:sz w:val="20"/>
                <w:szCs w:val="20"/>
              </w:rPr>
              <w:t>9 000 000,00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A74ACF" w14:textId="77777777" w:rsidR="00387142" w:rsidRPr="008B6A75" w:rsidRDefault="00387142" w:rsidP="00387142">
            <w:pPr>
              <w:jc w:val="right"/>
              <w:rPr>
                <w:sz w:val="20"/>
                <w:szCs w:val="20"/>
              </w:rPr>
            </w:pPr>
            <w:r w:rsidRPr="008B6A75">
              <w:rPr>
                <w:sz w:val="20"/>
                <w:szCs w:val="20"/>
              </w:rPr>
              <w:t>9 000 000,00</w:t>
            </w:r>
          </w:p>
        </w:tc>
        <w:tc>
          <w:tcPr>
            <w:tcW w:w="222" w:type="dxa"/>
            <w:vAlign w:val="center"/>
            <w:hideMark/>
          </w:tcPr>
          <w:p w14:paraId="06EDBA73" w14:textId="77777777" w:rsidR="00387142" w:rsidRPr="008B6A75" w:rsidRDefault="00387142" w:rsidP="00387142">
            <w:pPr>
              <w:rPr>
                <w:sz w:val="20"/>
                <w:szCs w:val="20"/>
              </w:rPr>
            </w:pPr>
          </w:p>
        </w:tc>
      </w:tr>
      <w:tr w:rsidR="00387142" w:rsidRPr="008B6A75" w14:paraId="1506EFB4" w14:textId="77777777" w:rsidTr="00387142">
        <w:trPr>
          <w:trHeight w:val="585"/>
        </w:trPr>
        <w:tc>
          <w:tcPr>
            <w:tcW w:w="3021" w:type="dxa"/>
            <w:tcBorders>
              <w:top w:val="nil"/>
              <w:left w:val="single" w:sz="4" w:space="0" w:color="auto"/>
              <w:bottom w:val="nil"/>
              <w:right w:val="nil"/>
            </w:tcBorders>
            <w:shd w:val="clear" w:color="auto" w:fill="auto"/>
            <w:vAlign w:val="center"/>
            <w:hideMark/>
          </w:tcPr>
          <w:p w14:paraId="1E471959" w14:textId="77777777" w:rsidR="00387142" w:rsidRPr="008B6A75" w:rsidRDefault="00387142" w:rsidP="00387142">
            <w:pPr>
              <w:rPr>
                <w:sz w:val="20"/>
                <w:szCs w:val="20"/>
              </w:rPr>
            </w:pPr>
            <w:r w:rsidRPr="008B6A75">
              <w:rPr>
                <w:sz w:val="20"/>
                <w:szCs w:val="20"/>
              </w:rPr>
              <w:t>Закупка товаров, работ и услуг для обеспечения государственных (муниципальных) нужд</w:t>
            </w:r>
          </w:p>
        </w:tc>
        <w:tc>
          <w:tcPr>
            <w:tcW w:w="850" w:type="dxa"/>
            <w:tcBorders>
              <w:top w:val="nil"/>
              <w:left w:val="single" w:sz="4" w:space="0" w:color="auto"/>
              <w:bottom w:val="nil"/>
              <w:right w:val="nil"/>
            </w:tcBorders>
            <w:shd w:val="clear" w:color="auto" w:fill="auto"/>
            <w:noWrap/>
            <w:vAlign w:val="center"/>
            <w:hideMark/>
          </w:tcPr>
          <w:p w14:paraId="28A43EF4" w14:textId="77777777" w:rsidR="00387142" w:rsidRPr="008B6A75" w:rsidRDefault="00387142" w:rsidP="00387142">
            <w:pPr>
              <w:jc w:val="center"/>
              <w:rPr>
                <w:sz w:val="20"/>
                <w:szCs w:val="20"/>
              </w:rPr>
            </w:pPr>
            <w:r w:rsidRPr="008B6A75">
              <w:rPr>
                <w:sz w:val="20"/>
                <w:szCs w:val="20"/>
              </w:rPr>
              <w:t>444</w:t>
            </w:r>
          </w:p>
        </w:tc>
        <w:tc>
          <w:tcPr>
            <w:tcW w:w="709" w:type="dxa"/>
            <w:tcBorders>
              <w:top w:val="nil"/>
              <w:left w:val="single" w:sz="4" w:space="0" w:color="auto"/>
              <w:bottom w:val="nil"/>
              <w:right w:val="nil"/>
            </w:tcBorders>
            <w:shd w:val="clear" w:color="auto" w:fill="auto"/>
            <w:noWrap/>
            <w:vAlign w:val="center"/>
            <w:hideMark/>
          </w:tcPr>
          <w:p w14:paraId="400FE564" w14:textId="77777777" w:rsidR="00387142" w:rsidRPr="008B6A75" w:rsidRDefault="00387142" w:rsidP="00387142">
            <w:pPr>
              <w:jc w:val="center"/>
              <w:rPr>
                <w:sz w:val="20"/>
                <w:szCs w:val="20"/>
              </w:rPr>
            </w:pPr>
            <w:r w:rsidRPr="008B6A75">
              <w:rPr>
                <w:sz w:val="20"/>
                <w:szCs w:val="20"/>
              </w:rPr>
              <w:t>08</w:t>
            </w:r>
          </w:p>
        </w:tc>
        <w:tc>
          <w:tcPr>
            <w:tcW w:w="709" w:type="dxa"/>
            <w:tcBorders>
              <w:top w:val="nil"/>
              <w:left w:val="single" w:sz="4" w:space="0" w:color="auto"/>
              <w:bottom w:val="nil"/>
              <w:right w:val="single" w:sz="4" w:space="0" w:color="auto"/>
            </w:tcBorders>
            <w:shd w:val="clear" w:color="auto" w:fill="auto"/>
            <w:noWrap/>
            <w:vAlign w:val="center"/>
            <w:hideMark/>
          </w:tcPr>
          <w:p w14:paraId="3CE0037F" w14:textId="77777777" w:rsidR="00387142" w:rsidRPr="008B6A75" w:rsidRDefault="00387142" w:rsidP="00387142">
            <w:pPr>
              <w:jc w:val="center"/>
              <w:rPr>
                <w:sz w:val="20"/>
                <w:szCs w:val="20"/>
              </w:rPr>
            </w:pPr>
            <w:r w:rsidRPr="008B6A75">
              <w:rPr>
                <w:sz w:val="20"/>
                <w:szCs w:val="20"/>
              </w:rPr>
              <w:t>01</w:t>
            </w:r>
          </w:p>
        </w:tc>
        <w:tc>
          <w:tcPr>
            <w:tcW w:w="1411" w:type="dxa"/>
            <w:tcBorders>
              <w:top w:val="nil"/>
              <w:left w:val="single" w:sz="4" w:space="0" w:color="auto"/>
              <w:bottom w:val="nil"/>
              <w:right w:val="nil"/>
            </w:tcBorders>
            <w:shd w:val="clear" w:color="auto" w:fill="auto"/>
            <w:noWrap/>
            <w:vAlign w:val="center"/>
            <w:hideMark/>
          </w:tcPr>
          <w:p w14:paraId="78F2F4A0" w14:textId="77777777" w:rsidR="00387142" w:rsidRPr="008B6A75" w:rsidRDefault="00387142" w:rsidP="00387142">
            <w:pPr>
              <w:jc w:val="center"/>
              <w:rPr>
                <w:sz w:val="20"/>
                <w:szCs w:val="20"/>
              </w:rPr>
            </w:pPr>
            <w:r w:rsidRPr="008B6A75">
              <w:rPr>
                <w:sz w:val="20"/>
                <w:szCs w:val="20"/>
              </w:rPr>
              <w:t>08.0.00.08390</w:t>
            </w:r>
          </w:p>
        </w:tc>
        <w:tc>
          <w:tcPr>
            <w:tcW w:w="955" w:type="dxa"/>
            <w:tcBorders>
              <w:top w:val="nil"/>
              <w:left w:val="single" w:sz="4" w:space="0" w:color="auto"/>
              <w:bottom w:val="nil"/>
              <w:right w:val="single" w:sz="4" w:space="0" w:color="auto"/>
            </w:tcBorders>
            <w:shd w:val="clear" w:color="auto" w:fill="auto"/>
            <w:noWrap/>
            <w:vAlign w:val="center"/>
            <w:hideMark/>
          </w:tcPr>
          <w:p w14:paraId="1B9FA7FF" w14:textId="77777777" w:rsidR="00387142" w:rsidRPr="008B6A75" w:rsidRDefault="00387142" w:rsidP="00387142">
            <w:pPr>
              <w:jc w:val="center"/>
              <w:rPr>
                <w:sz w:val="20"/>
                <w:szCs w:val="20"/>
              </w:rPr>
            </w:pPr>
            <w:r w:rsidRPr="008B6A75">
              <w:rPr>
                <w:sz w:val="20"/>
                <w:szCs w:val="20"/>
              </w:rPr>
              <w:t>200</w:t>
            </w:r>
          </w:p>
        </w:tc>
        <w:tc>
          <w:tcPr>
            <w:tcW w:w="992" w:type="dxa"/>
            <w:tcBorders>
              <w:top w:val="nil"/>
              <w:left w:val="single" w:sz="4" w:space="0" w:color="auto"/>
              <w:bottom w:val="nil"/>
              <w:right w:val="single" w:sz="4" w:space="0" w:color="auto"/>
            </w:tcBorders>
            <w:shd w:val="clear" w:color="auto" w:fill="auto"/>
            <w:noWrap/>
            <w:vAlign w:val="center"/>
            <w:hideMark/>
          </w:tcPr>
          <w:p w14:paraId="56FC9D81" w14:textId="77777777" w:rsidR="00387142" w:rsidRPr="008B6A75" w:rsidRDefault="00387142" w:rsidP="00387142">
            <w:pPr>
              <w:jc w:val="right"/>
              <w:rPr>
                <w:sz w:val="20"/>
                <w:szCs w:val="20"/>
              </w:rPr>
            </w:pPr>
            <w:r w:rsidRPr="008B6A75">
              <w:rPr>
                <w:sz w:val="20"/>
                <w:szCs w:val="20"/>
              </w:rPr>
              <w:t>0,00</w:t>
            </w:r>
          </w:p>
        </w:tc>
        <w:tc>
          <w:tcPr>
            <w:tcW w:w="992" w:type="dxa"/>
            <w:gridSpan w:val="2"/>
            <w:tcBorders>
              <w:top w:val="nil"/>
              <w:left w:val="single" w:sz="4" w:space="0" w:color="auto"/>
              <w:bottom w:val="nil"/>
              <w:right w:val="nil"/>
            </w:tcBorders>
            <w:shd w:val="clear" w:color="auto" w:fill="auto"/>
            <w:noWrap/>
            <w:vAlign w:val="center"/>
            <w:hideMark/>
          </w:tcPr>
          <w:p w14:paraId="34333CB9" w14:textId="77777777" w:rsidR="00387142" w:rsidRPr="008B6A75" w:rsidRDefault="00387142" w:rsidP="00387142">
            <w:pPr>
              <w:jc w:val="right"/>
              <w:rPr>
                <w:sz w:val="20"/>
                <w:szCs w:val="20"/>
              </w:rPr>
            </w:pPr>
            <w:r w:rsidRPr="008B6A75">
              <w:rPr>
                <w:sz w:val="20"/>
                <w:szCs w:val="20"/>
              </w:rPr>
              <w:t>500 000,00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2CAD5D66" w14:textId="77777777" w:rsidR="00387142" w:rsidRPr="008B6A75" w:rsidRDefault="00387142" w:rsidP="00387142">
            <w:pPr>
              <w:jc w:val="right"/>
              <w:rPr>
                <w:sz w:val="20"/>
                <w:szCs w:val="20"/>
              </w:rPr>
            </w:pPr>
            <w:r w:rsidRPr="008B6A75">
              <w:rPr>
                <w:sz w:val="20"/>
                <w:szCs w:val="20"/>
              </w:rPr>
              <w:t>500 000,00</w:t>
            </w:r>
          </w:p>
        </w:tc>
        <w:tc>
          <w:tcPr>
            <w:tcW w:w="222" w:type="dxa"/>
            <w:vAlign w:val="center"/>
            <w:hideMark/>
          </w:tcPr>
          <w:p w14:paraId="11E4E3E1" w14:textId="77777777" w:rsidR="00387142" w:rsidRPr="008B6A75" w:rsidRDefault="00387142" w:rsidP="00387142">
            <w:pPr>
              <w:rPr>
                <w:sz w:val="20"/>
                <w:szCs w:val="20"/>
              </w:rPr>
            </w:pPr>
          </w:p>
        </w:tc>
      </w:tr>
      <w:tr w:rsidR="00387142" w:rsidRPr="008B6A75" w14:paraId="0DC145D1" w14:textId="77777777" w:rsidTr="00387142">
        <w:trPr>
          <w:trHeight w:val="870"/>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46269260" w14:textId="77777777" w:rsidR="00387142" w:rsidRPr="008B6A75" w:rsidRDefault="00387142" w:rsidP="00387142">
            <w:pPr>
              <w:rPr>
                <w:sz w:val="20"/>
                <w:szCs w:val="20"/>
              </w:rPr>
            </w:pPr>
            <w:r w:rsidRPr="008B6A75">
              <w:rPr>
                <w:sz w:val="20"/>
                <w:szCs w:val="20"/>
              </w:rPr>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50CA3960" w14:textId="77777777" w:rsidR="00387142" w:rsidRPr="008B6A75" w:rsidRDefault="00387142" w:rsidP="00387142">
            <w:pPr>
              <w:jc w:val="center"/>
              <w:rPr>
                <w:sz w:val="20"/>
                <w:szCs w:val="20"/>
              </w:rPr>
            </w:pPr>
            <w:r w:rsidRPr="008B6A75">
              <w:rPr>
                <w:sz w:val="20"/>
                <w:szCs w:val="20"/>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7908032B" w14:textId="77777777" w:rsidR="00387142" w:rsidRPr="008B6A75" w:rsidRDefault="00387142" w:rsidP="00387142">
            <w:pPr>
              <w:jc w:val="center"/>
              <w:rPr>
                <w:sz w:val="20"/>
                <w:szCs w:val="20"/>
              </w:rPr>
            </w:pPr>
            <w:r w:rsidRPr="008B6A75">
              <w:rPr>
                <w:sz w:val="20"/>
                <w:szCs w:val="20"/>
              </w:rPr>
              <w:t>08</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6E8D05" w14:textId="77777777" w:rsidR="00387142" w:rsidRPr="008B6A75" w:rsidRDefault="00387142" w:rsidP="00387142">
            <w:pPr>
              <w:jc w:val="center"/>
              <w:rPr>
                <w:sz w:val="20"/>
                <w:szCs w:val="20"/>
              </w:rPr>
            </w:pPr>
            <w:r w:rsidRPr="008B6A75">
              <w:rPr>
                <w:sz w:val="20"/>
                <w:szCs w:val="20"/>
              </w:rPr>
              <w:t>01</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0324D129" w14:textId="77777777" w:rsidR="00387142" w:rsidRPr="008B6A75" w:rsidRDefault="00387142" w:rsidP="00387142">
            <w:pPr>
              <w:jc w:val="center"/>
              <w:rPr>
                <w:sz w:val="20"/>
                <w:szCs w:val="20"/>
              </w:rPr>
            </w:pPr>
            <w:r w:rsidRPr="008B6A75">
              <w:rPr>
                <w:sz w:val="20"/>
                <w:szCs w:val="20"/>
              </w:rPr>
              <w:t>08.0.00.08390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78CB4A" w14:textId="77777777" w:rsidR="00387142" w:rsidRPr="008B6A75" w:rsidRDefault="00387142" w:rsidP="00387142">
            <w:pPr>
              <w:jc w:val="center"/>
              <w:rPr>
                <w:sz w:val="20"/>
                <w:szCs w:val="20"/>
              </w:rPr>
            </w:pPr>
            <w:r w:rsidRPr="008B6A75">
              <w:rPr>
                <w:sz w:val="20"/>
                <w:szCs w:val="20"/>
              </w:rPr>
              <w:t>240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1BB4F8" w14:textId="77777777" w:rsidR="00387142" w:rsidRPr="008B6A75" w:rsidRDefault="00387142" w:rsidP="00387142">
            <w:pPr>
              <w:jc w:val="right"/>
              <w:rPr>
                <w:sz w:val="20"/>
                <w:szCs w:val="20"/>
              </w:rPr>
            </w:pPr>
            <w:r w:rsidRPr="008B6A75">
              <w:rPr>
                <w:sz w:val="20"/>
                <w:szCs w:val="20"/>
              </w:rPr>
              <w:t>0,00</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68FA6BD4" w14:textId="77777777" w:rsidR="00387142" w:rsidRPr="008B6A75" w:rsidRDefault="00387142" w:rsidP="00387142">
            <w:pPr>
              <w:jc w:val="right"/>
              <w:rPr>
                <w:sz w:val="20"/>
                <w:szCs w:val="20"/>
              </w:rPr>
            </w:pPr>
            <w:r w:rsidRPr="008B6A75">
              <w:rPr>
                <w:sz w:val="20"/>
                <w:szCs w:val="20"/>
              </w:rPr>
              <w:t>500 000,00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0786C5" w14:textId="77777777" w:rsidR="00387142" w:rsidRPr="008B6A75" w:rsidRDefault="00387142" w:rsidP="00387142">
            <w:pPr>
              <w:jc w:val="right"/>
              <w:rPr>
                <w:sz w:val="20"/>
                <w:szCs w:val="20"/>
              </w:rPr>
            </w:pPr>
            <w:r w:rsidRPr="008B6A75">
              <w:rPr>
                <w:sz w:val="20"/>
                <w:szCs w:val="20"/>
              </w:rPr>
              <w:t>500 000,00</w:t>
            </w:r>
          </w:p>
        </w:tc>
        <w:tc>
          <w:tcPr>
            <w:tcW w:w="222" w:type="dxa"/>
            <w:vAlign w:val="center"/>
            <w:hideMark/>
          </w:tcPr>
          <w:p w14:paraId="3DCA1CD7" w14:textId="77777777" w:rsidR="00387142" w:rsidRPr="008B6A75" w:rsidRDefault="00387142" w:rsidP="00387142">
            <w:pPr>
              <w:rPr>
                <w:sz w:val="20"/>
                <w:szCs w:val="20"/>
              </w:rPr>
            </w:pPr>
          </w:p>
        </w:tc>
      </w:tr>
      <w:tr w:rsidR="00387142" w:rsidRPr="008B6A75" w14:paraId="26F544B6" w14:textId="77777777" w:rsidTr="00387142">
        <w:trPr>
          <w:trHeight w:val="870"/>
        </w:trPr>
        <w:tc>
          <w:tcPr>
            <w:tcW w:w="3021" w:type="dxa"/>
            <w:tcBorders>
              <w:top w:val="nil"/>
              <w:left w:val="single" w:sz="4" w:space="0" w:color="auto"/>
              <w:bottom w:val="nil"/>
              <w:right w:val="nil"/>
            </w:tcBorders>
            <w:shd w:val="clear" w:color="auto" w:fill="auto"/>
            <w:vAlign w:val="center"/>
            <w:hideMark/>
          </w:tcPr>
          <w:p w14:paraId="4AA01102" w14:textId="77777777" w:rsidR="00387142" w:rsidRPr="008B6A75" w:rsidRDefault="00387142" w:rsidP="00387142">
            <w:pPr>
              <w:rPr>
                <w:sz w:val="20"/>
                <w:szCs w:val="20"/>
              </w:rPr>
            </w:pPr>
            <w:r w:rsidRPr="008B6A75">
              <w:rPr>
                <w:sz w:val="20"/>
                <w:szCs w:val="20"/>
              </w:rPr>
              <w:t>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right w:val="nil"/>
            </w:tcBorders>
            <w:shd w:val="clear" w:color="auto" w:fill="auto"/>
            <w:noWrap/>
            <w:vAlign w:val="center"/>
            <w:hideMark/>
          </w:tcPr>
          <w:p w14:paraId="79B94866" w14:textId="77777777" w:rsidR="00387142" w:rsidRPr="008B6A75" w:rsidRDefault="00387142" w:rsidP="00387142">
            <w:pPr>
              <w:jc w:val="center"/>
              <w:rPr>
                <w:sz w:val="20"/>
                <w:szCs w:val="20"/>
              </w:rPr>
            </w:pPr>
            <w:r w:rsidRPr="008B6A75">
              <w:rPr>
                <w:sz w:val="20"/>
                <w:szCs w:val="20"/>
              </w:rPr>
              <w:t>444</w:t>
            </w:r>
          </w:p>
        </w:tc>
        <w:tc>
          <w:tcPr>
            <w:tcW w:w="709" w:type="dxa"/>
            <w:tcBorders>
              <w:top w:val="nil"/>
              <w:left w:val="single" w:sz="4" w:space="0" w:color="auto"/>
              <w:bottom w:val="nil"/>
              <w:right w:val="nil"/>
            </w:tcBorders>
            <w:shd w:val="clear" w:color="auto" w:fill="auto"/>
            <w:noWrap/>
            <w:vAlign w:val="center"/>
            <w:hideMark/>
          </w:tcPr>
          <w:p w14:paraId="541B669E" w14:textId="77777777" w:rsidR="00387142" w:rsidRPr="008B6A75" w:rsidRDefault="00387142" w:rsidP="00387142">
            <w:pPr>
              <w:jc w:val="center"/>
              <w:rPr>
                <w:sz w:val="20"/>
                <w:szCs w:val="20"/>
              </w:rPr>
            </w:pPr>
            <w:r w:rsidRPr="008B6A75">
              <w:rPr>
                <w:sz w:val="20"/>
                <w:szCs w:val="20"/>
              </w:rPr>
              <w:t>08</w:t>
            </w:r>
          </w:p>
        </w:tc>
        <w:tc>
          <w:tcPr>
            <w:tcW w:w="709" w:type="dxa"/>
            <w:tcBorders>
              <w:top w:val="nil"/>
              <w:left w:val="single" w:sz="4" w:space="0" w:color="auto"/>
              <w:bottom w:val="nil"/>
              <w:right w:val="single" w:sz="4" w:space="0" w:color="auto"/>
            </w:tcBorders>
            <w:shd w:val="clear" w:color="auto" w:fill="auto"/>
            <w:noWrap/>
            <w:vAlign w:val="center"/>
            <w:hideMark/>
          </w:tcPr>
          <w:p w14:paraId="3A3C9517" w14:textId="77777777" w:rsidR="00387142" w:rsidRPr="008B6A75" w:rsidRDefault="00387142" w:rsidP="00387142">
            <w:pPr>
              <w:jc w:val="center"/>
              <w:rPr>
                <w:sz w:val="20"/>
                <w:szCs w:val="20"/>
              </w:rPr>
            </w:pPr>
            <w:r w:rsidRPr="008B6A75">
              <w:rPr>
                <w:sz w:val="20"/>
                <w:szCs w:val="20"/>
              </w:rPr>
              <w:t>01</w:t>
            </w:r>
          </w:p>
        </w:tc>
        <w:tc>
          <w:tcPr>
            <w:tcW w:w="1411" w:type="dxa"/>
            <w:tcBorders>
              <w:top w:val="nil"/>
              <w:left w:val="single" w:sz="4" w:space="0" w:color="auto"/>
              <w:bottom w:val="nil"/>
              <w:right w:val="nil"/>
            </w:tcBorders>
            <w:shd w:val="clear" w:color="auto" w:fill="auto"/>
            <w:noWrap/>
            <w:vAlign w:val="center"/>
            <w:hideMark/>
          </w:tcPr>
          <w:p w14:paraId="41305717" w14:textId="77777777" w:rsidR="00387142" w:rsidRPr="008B6A75" w:rsidRDefault="00387142" w:rsidP="00387142">
            <w:pPr>
              <w:jc w:val="center"/>
              <w:rPr>
                <w:sz w:val="20"/>
                <w:szCs w:val="20"/>
              </w:rPr>
            </w:pPr>
            <w:r w:rsidRPr="008B6A75">
              <w:rPr>
                <w:sz w:val="20"/>
                <w:szCs w:val="20"/>
              </w:rPr>
              <w:t>08.0.00.08390</w:t>
            </w:r>
          </w:p>
        </w:tc>
        <w:tc>
          <w:tcPr>
            <w:tcW w:w="955" w:type="dxa"/>
            <w:tcBorders>
              <w:top w:val="nil"/>
              <w:left w:val="single" w:sz="4" w:space="0" w:color="auto"/>
              <w:bottom w:val="nil"/>
              <w:right w:val="single" w:sz="4" w:space="0" w:color="auto"/>
            </w:tcBorders>
            <w:shd w:val="clear" w:color="auto" w:fill="auto"/>
            <w:noWrap/>
            <w:vAlign w:val="center"/>
            <w:hideMark/>
          </w:tcPr>
          <w:p w14:paraId="7689EEFC" w14:textId="77777777" w:rsidR="00387142" w:rsidRPr="008B6A75" w:rsidRDefault="00387142" w:rsidP="00387142">
            <w:pPr>
              <w:jc w:val="center"/>
              <w:rPr>
                <w:sz w:val="20"/>
                <w:szCs w:val="20"/>
              </w:rPr>
            </w:pPr>
            <w:r w:rsidRPr="008B6A75">
              <w:rPr>
                <w:sz w:val="20"/>
                <w:szCs w:val="20"/>
              </w:rPr>
              <w:t>600</w:t>
            </w:r>
          </w:p>
        </w:tc>
        <w:tc>
          <w:tcPr>
            <w:tcW w:w="992" w:type="dxa"/>
            <w:tcBorders>
              <w:top w:val="nil"/>
              <w:left w:val="single" w:sz="4" w:space="0" w:color="auto"/>
              <w:bottom w:val="nil"/>
              <w:right w:val="single" w:sz="4" w:space="0" w:color="auto"/>
            </w:tcBorders>
            <w:shd w:val="clear" w:color="auto" w:fill="auto"/>
            <w:noWrap/>
            <w:vAlign w:val="center"/>
            <w:hideMark/>
          </w:tcPr>
          <w:p w14:paraId="24A22D63" w14:textId="77777777" w:rsidR="00387142" w:rsidRPr="008B6A75" w:rsidRDefault="00387142" w:rsidP="00387142">
            <w:pPr>
              <w:jc w:val="right"/>
              <w:rPr>
                <w:sz w:val="20"/>
                <w:szCs w:val="20"/>
              </w:rPr>
            </w:pPr>
            <w:r w:rsidRPr="008B6A75">
              <w:rPr>
                <w:sz w:val="20"/>
                <w:szCs w:val="20"/>
              </w:rPr>
              <w:t>2 628 498,78</w:t>
            </w:r>
          </w:p>
        </w:tc>
        <w:tc>
          <w:tcPr>
            <w:tcW w:w="992" w:type="dxa"/>
            <w:gridSpan w:val="2"/>
            <w:tcBorders>
              <w:top w:val="nil"/>
              <w:left w:val="single" w:sz="4" w:space="0" w:color="auto"/>
              <w:bottom w:val="nil"/>
              <w:right w:val="nil"/>
            </w:tcBorders>
            <w:shd w:val="clear" w:color="auto" w:fill="auto"/>
            <w:noWrap/>
            <w:vAlign w:val="center"/>
            <w:hideMark/>
          </w:tcPr>
          <w:p w14:paraId="7CB401E8" w14:textId="77777777" w:rsidR="00387142" w:rsidRPr="008B6A75" w:rsidRDefault="00387142" w:rsidP="00387142">
            <w:pPr>
              <w:jc w:val="right"/>
              <w:rPr>
                <w:sz w:val="20"/>
                <w:szCs w:val="20"/>
              </w:rPr>
            </w:pPr>
            <w:r w:rsidRPr="008B6A75">
              <w:rPr>
                <w:sz w:val="20"/>
                <w:szCs w:val="20"/>
              </w:rPr>
              <w:t>6 500 000,00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20BA2468" w14:textId="77777777" w:rsidR="00387142" w:rsidRPr="008B6A75" w:rsidRDefault="00387142" w:rsidP="00387142">
            <w:pPr>
              <w:jc w:val="right"/>
              <w:rPr>
                <w:sz w:val="20"/>
                <w:szCs w:val="20"/>
              </w:rPr>
            </w:pPr>
            <w:r w:rsidRPr="008B6A75">
              <w:rPr>
                <w:sz w:val="20"/>
                <w:szCs w:val="20"/>
              </w:rPr>
              <w:t>6 500 000,00</w:t>
            </w:r>
          </w:p>
        </w:tc>
        <w:tc>
          <w:tcPr>
            <w:tcW w:w="222" w:type="dxa"/>
            <w:vAlign w:val="center"/>
            <w:hideMark/>
          </w:tcPr>
          <w:p w14:paraId="20137ED4" w14:textId="77777777" w:rsidR="00387142" w:rsidRPr="008B6A75" w:rsidRDefault="00387142" w:rsidP="00387142">
            <w:pPr>
              <w:rPr>
                <w:sz w:val="20"/>
                <w:szCs w:val="20"/>
              </w:rPr>
            </w:pPr>
          </w:p>
        </w:tc>
      </w:tr>
      <w:tr w:rsidR="00387142" w:rsidRPr="008B6A75" w14:paraId="20A746AE" w14:textId="77777777" w:rsidTr="00387142">
        <w:trPr>
          <w:trHeight w:val="300"/>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2A59CEB6" w14:textId="77777777" w:rsidR="00387142" w:rsidRPr="008B6A75" w:rsidRDefault="00387142" w:rsidP="00387142">
            <w:pPr>
              <w:rPr>
                <w:sz w:val="20"/>
                <w:szCs w:val="20"/>
              </w:rPr>
            </w:pPr>
            <w:r w:rsidRPr="008B6A75">
              <w:rPr>
                <w:sz w:val="20"/>
                <w:szCs w:val="20"/>
              </w:rPr>
              <w:t>Субсидии бюджетным учреждениям</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525BF8BA" w14:textId="77777777" w:rsidR="00387142" w:rsidRPr="008B6A75" w:rsidRDefault="00387142" w:rsidP="00387142">
            <w:pPr>
              <w:jc w:val="center"/>
              <w:rPr>
                <w:sz w:val="20"/>
                <w:szCs w:val="20"/>
              </w:rPr>
            </w:pPr>
            <w:r w:rsidRPr="008B6A75">
              <w:rPr>
                <w:sz w:val="20"/>
                <w:szCs w:val="20"/>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2D61E4E4" w14:textId="77777777" w:rsidR="00387142" w:rsidRPr="008B6A75" w:rsidRDefault="00387142" w:rsidP="00387142">
            <w:pPr>
              <w:jc w:val="center"/>
              <w:rPr>
                <w:sz w:val="20"/>
                <w:szCs w:val="20"/>
              </w:rPr>
            </w:pPr>
            <w:r w:rsidRPr="008B6A75">
              <w:rPr>
                <w:sz w:val="20"/>
                <w:szCs w:val="20"/>
              </w:rPr>
              <w:t>08</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96D932" w14:textId="77777777" w:rsidR="00387142" w:rsidRPr="008B6A75" w:rsidRDefault="00387142" w:rsidP="00387142">
            <w:pPr>
              <w:jc w:val="center"/>
              <w:rPr>
                <w:sz w:val="20"/>
                <w:szCs w:val="20"/>
              </w:rPr>
            </w:pPr>
            <w:r w:rsidRPr="008B6A75">
              <w:rPr>
                <w:sz w:val="20"/>
                <w:szCs w:val="20"/>
              </w:rPr>
              <w:t>01</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791708E2" w14:textId="77777777" w:rsidR="00387142" w:rsidRPr="008B6A75" w:rsidRDefault="00387142" w:rsidP="00387142">
            <w:pPr>
              <w:jc w:val="center"/>
              <w:rPr>
                <w:sz w:val="20"/>
                <w:szCs w:val="20"/>
              </w:rPr>
            </w:pPr>
            <w:r w:rsidRPr="008B6A75">
              <w:rPr>
                <w:sz w:val="20"/>
                <w:szCs w:val="20"/>
              </w:rPr>
              <w:t>08.0.00.08390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BCCF60" w14:textId="77777777" w:rsidR="00387142" w:rsidRPr="008B6A75" w:rsidRDefault="00387142" w:rsidP="00387142">
            <w:pPr>
              <w:jc w:val="center"/>
              <w:rPr>
                <w:sz w:val="20"/>
                <w:szCs w:val="20"/>
              </w:rPr>
            </w:pPr>
            <w:r w:rsidRPr="008B6A75">
              <w:rPr>
                <w:sz w:val="20"/>
                <w:szCs w:val="20"/>
              </w:rPr>
              <w:t>610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6C405B" w14:textId="77777777" w:rsidR="00387142" w:rsidRPr="008B6A75" w:rsidRDefault="00387142" w:rsidP="00387142">
            <w:pPr>
              <w:jc w:val="right"/>
              <w:rPr>
                <w:sz w:val="20"/>
                <w:szCs w:val="20"/>
              </w:rPr>
            </w:pPr>
            <w:r w:rsidRPr="008B6A75">
              <w:rPr>
                <w:sz w:val="20"/>
                <w:szCs w:val="20"/>
              </w:rPr>
              <w:t>2 628 498,78</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3CEDE2E3" w14:textId="77777777" w:rsidR="00387142" w:rsidRPr="008B6A75" w:rsidRDefault="00387142" w:rsidP="00387142">
            <w:pPr>
              <w:jc w:val="right"/>
              <w:rPr>
                <w:sz w:val="20"/>
                <w:szCs w:val="20"/>
              </w:rPr>
            </w:pPr>
            <w:r w:rsidRPr="008B6A75">
              <w:rPr>
                <w:sz w:val="20"/>
                <w:szCs w:val="20"/>
              </w:rPr>
              <w:t>6 500 000,00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25F3D0" w14:textId="77777777" w:rsidR="00387142" w:rsidRPr="008B6A75" w:rsidRDefault="00387142" w:rsidP="00387142">
            <w:pPr>
              <w:jc w:val="right"/>
              <w:rPr>
                <w:sz w:val="20"/>
                <w:szCs w:val="20"/>
              </w:rPr>
            </w:pPr>
            <w:r w:rsidRPr="008B6A75">
              <w:rPr>
                <w:sz w:val="20"/>
                <w:szCs w:val="20"/>
              </w:rPr>
              <w:t>6 500 000,00</w:t>
            </w:r>
          </w:p>
        </w:tc>
        <w:tc>
          <w:tcPr>
            <w:tcW w:w="222" w:type="dxa"/>
            <w:vAlign w:val="center"/>
            <w:hideMark/>
          </w:tcPr>
          <w:p w14:paraId="040721C5" w14:textId="77777777" w:rsidR="00387142" w:rsidRPr="008B6A75" w:rsidRDefault="00387142" w:rsidP="00387142">
            <w:pPr>
              <w:rPr>
                <w:sz w:val="20"/>
                <w:szCs w:val="20"/>
              </w:rPr>
            </w:pPr>
          </w:p>
        </w:tc>
      </w:tr>
      <w:tr w:rsidR="00387142" w:rsidRPr="008B6A75" w14:paraId="2CC99497" w14:textId="77777777" w:rsidTr="00387142">
        <w:trPr>
          <w:trHeight w:val="1440"/>
        </w:trPr>
        <w:tc>
          <w:tcPr>
            <w:tcW w:w="3021" w:type="dxa"/>
            <w:tcBorders>
              <w:top w:val="nil"/>
              <w:left w:val="single" w:sz="4" w:space="0" w:color="auto"/>
              <w:bottom w:val="nil"/>
              <w:right w:val="nil"/>
            </w:tcBorders>
            <w:shd w:val="clear" w:color="auto" w:fill="auto"/>
            <w:vAlign w:val="center"/>
            <w:hideMark/>
          </w:tcPr>
          <w:p w14:paraId="4C4F38F5" w14:textId="77777777" w:rsidR="00387142" w:rsidRPr="008B6A75" w:rsidRDefault="00387142" w:rsidP="00387142">
            <w:pPr>
              <w:rPr>
                <w:bCs/>
                <w:sz w:val="20"/>
                <w:szCs w:val="20"/>
              </w:rPr>
            </w:pPr>
            <w:r w:rsidRPr="008B6A75">
              <w:rPr>
                <w:bCs/>
                <w:sz w:val="20"/>
                <w:szCs w:val="20"/>
              </w:rPr>
              <w:t xml:space="preserve">Реализация мероприятий по обеспечению сбалансированности местных </w:t>
            </w:r>
            <w:proofErr w:type="gramStart"/>
            <w:r w:rsidRPr="008B6A75">
              <w:rPr>
                <w:bCs/>
                <w:sz w:val="20"/>
                <w:szCs w:val="20"/>
              </w:rPr>
              <w:t>бюджетов  государственной</w:t>
            </w:r>
            <w:proofErr w:type="gramEnd"/>
            <w:r w:rsidRPr="008B6A75">
              <w:rPr>
                <w:bCs/>
                <w:sz w:val="20"/>
                <w:szCs w:val="20"/>
              </w:rPr>
              <w:t xml:space="preserve"> программы Новосибирской области "Управление  финансами в Новосибирской области"</w:t>
            </w:r>
          </w:p>
        </w:tc>
        <w:tc>
          <w:tcPr>
            <w:tcW w:w="850" w:type="dxa"/>
            <w:tcBorders>
              <w:top w:val="nil"/>
              <w:left w:val="single" w:sz="4" w:space="0" w:color="auto"/>
              <w:bottom w:val="nil"/>
              <w:right w:val="nil"/>
            </w:tcBorders>
            <w:shd w:val="clear" w:color="auto" w:fill="auto"/>
            <w:noWrap/>
            <w:vAlign w:val="center"/>
            <w:hideMark/>
          </w:tcPr>
          <w:p w14:paraId="1648EE3E" w14:textId="77777777" w:rsidR="00387142" w:rsidRPr="008B6A75" w:rsidRDefault="00387142" w:rsidP="00387142">
            <w:pPr>
              <w:jc w:val="center"/>
              <w:rPr>
                <w:bCs/>
                <w:sz w:val="20"/>
                <w:szCs w:val="20"/>
              </w:rPr>
            </w:pPr>
            <w:r w:rsidRPr="008B6A75">
              <w:rPr>
                <w:bCs/>
                <w:sz w:val="20"/>
                <w:szCs w:val="20"/>
              </w:rPr>
              <w:t>444</w:t>
            </w:r>
          </w:p>
        </w:tc>
        <w:tc>
          <w:tcPr>
            <w:tcW w:w="709" w:type="dxa"/>
            <w:tcBorders>
              <w:top w:val="nil"/>
              <w:left w:val="single" w:sz="4" w:space="0" w:color="auto"/>
              <w:bottom w:val="nil"/>
              <w:right w:val="nil"/>
            </w:tcBorders>
            <w:shd w:val="clear" w:color="auto" w:fill="auto"/>
            <w:noWrap/>
            <w:vAlign w:val="center"/>
            <w:hideMark/>
          </w:tcPr>
          <w:p w14:paraId="06E86ED5" w14:textId="77777777" w:rsidR="00387142" w:rsidRPr="008B6A75" w:rsidRDefault="00387142" w:rsidP="00387142">
            <w:pPr>
              <w:jc w:val="center"/>
              <w:rPr>
                <w:bCs/>
                <w:sz w:val="20"/>
                <w:szCs w:val="20"/>
              </w:rPr>
            </w:pPr>
            <w:r w:rsidRPr="008B6A75">
              <w:rPr>
                <w:bCs/>
                <w:sz w:val="20"/>
                <w:szCs w:val="20"/>
              </w:rPr>
              <w:t>08</w:t>
            </w:r>
          </w:p>
        </w:tc>
        <w:tc>
          <w:tcPr>
            <w:tcW w:w="709" w:type="dxa"/>
            <w:tcBorders>
              <w:top w:val="nil"/>
              <w:left w:val="single" w:sz="4" w:space="0" w:color="auto"/>
              <w:bottom w:val="nil"/>
              <w:right w:val="single" w:sz="4" w:space="0" w:color="auto"/>
            </w:tcBorders>
            <w:shd w:val="clear" w:color="auto" w:fill="auto"/>
            <w:noWrap/>
            <w:vAlign w:val="center"/>
            <w:hideMark/>
          </w:tcPr>
          <w:p w14:paraId="1DF09E99" w14:textId="77777777" w:rsidR="00387142" w:rsidRPr="008B6A75" w:rsidRDefault="00387142" w:rsidP="00387142">
            <w:pPr>
              <w:jc w:val="center"/>
              <w:rPr>
                <w:bCs/>
                <w:sz w:val="20"/>
                <w:szCs w:val="20"/>
              </w:rPr>
            </w:pPr>
            <w:r w:rsidRPr="008B6A75">
              <w:rPr>
                <w:bCs/>
                <w:sz w:val="20"/>
                <w:szCs w:val="20"/>
              </w:rPr>
              <w:t>01</w:t>
            </w:r>
          </w:p>
        </w:tc>
        <w:tc>
          <w:tcPr>
            <w:tcW w:w="1411" w:type="dxa"/>
            <w:tcBorders>
              <w:top w:val="nil"/>
              <w:left w:val="single" w:sz="4" w:space="0" w:color="auto"/>
              <w:bottom w:val="nil"/>
              <w:right w:val="nil"/>
            </w:tcBorders>
            <w:shd w:val="clear" w:color="auto" w:fill="auto"/>
            <w:noWrap/>
            <w:vAlign w:val="center"/>
            <w:hideMark/>
          </w:tcPr>
          <w:p w14:paraId="3301166B" w14:textId="77777777" w:rsidR="00387142" w:rsidRPr="008B6A75" w:rsidRDefault="00387142" w:rsidP="00387142">
            <w:pPr>
              <w:jc w:val="center"/>
              <w:rPr>
                <w:bCs/>
                <w:sz w:val="20"/>
                <w:szCs w:val="20"/>
              </w:rPr>
            </w:pPr>
            <w:r w:rsidRPr="008B6A75">
              <w:rPr>
                <w:bCs/>
                <w:sz w:val="20"/>
                <w:szCs w:val="20"/>
              </w:rPr>
              <w:t>08.0.00.70510</w:t>
            </w:r>
          </w:p>
        </w:tc>
        <w:tc>
          <w:tcPr>
            <w:tcW w:w="955" w:type="dxa"/>
            <w:tcBorders>
              <w:top w:val="nil"/>
              <w:left w:val="single" w:sz="4" w:space="0" w:color="auto"/>
              <w:bottom w:val="nil"/>
              <w:right w:val="single" w:sz="4" w:space="0" w:color="auto"/>
            </w:tcBorders>
            <w:shd w:val="clear" w:color="auto" w:fill="auto"/>
            <w:noWrap/>
            <w:vAlign w:val="center"/>
            <w:hideMark/>
          </w:tcPr>
          <w:p w14:paraId="4BC5E19C"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nil"/>
              <w:right w:val="single" w:sz="4" w:space="0" w:color="auto"/>
            </w:tcBorders>
            <w:shd w:val="clear" w:color="auto" w:fill="auto"/>
            <w:noWrap/>
            <w:vAlign w:val="center"/>
            <w:hideMark/>
          </w:tcPr>
          <w:p w14:paraId="016CF63E" w14:textId="77777777" w:rsidR="00387142" w:rsidRPr="008B6A75" w:rsidRDefault="00387142" w:rsidP="00387142">
            <w:pPr>
              <w:jc w:val="right"/>
              <w:rPr>
                <w:bCs/>
                <w:sz w:val="20"/>
                <w:szCs w:val="20"/>
              </w:rPr>
            </w:pPr>
            <w:r w:rsidRPr="008B6A75">
              <w:rPr>
                <w:bCs/>
                <w:sz w:val="20"/>
                <w:szCs w:val="20"/>
              </w:rPr>
              <w:t>57 558 583,95</w:t>
            </w:r>
          </w:p>
        </w:tc>
        <w:tc>
          <w:tcPr>
            <w:tcW w:w="992" w:type="dxa"/>
            <w:gridSpan w:val="2"/>
            <w:tcBorders>
              <w:top w:val="nil"/>
              <w:left w:val="single" w:sz="4" w:space="0" w:color="auto"/>
              <w:bottom w:val="nil"/>
              <w:right w:val="nil"/>
            </w:tcBorders>
            <w:shd w:val="clear" w:color="auto" w:fill="auto"/>
            <w:noWrap/>
            <w:vAlign w:val="center"/>
            <w:hideMark/>
          </w:tcPr>
          <w:p w14:paraId="4C2F5076" w14:textId="77777777" w:rsidR="00387142" w:rsidRPr="008B6A75" w:rsidRDefault="00387142" w:rsidP="00387142">
            <w:pPr>
              <w:jc w:val="right"/>
              <w:rPr>
                <w:bCs/>
                <w:sz w:val="20"/>
                <w:szCs w:val="20"/>
              </w:rPr>
            </w:pPr>
            <w:r w:rsidRPr="008B6A75">
              <w:rPr>
                <w:bCs/>
                <w:sz w:val="20"/>
                <w:szCs w:val="20"/>
              </w:rPr>
              <w:t>0,00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4E2E9197" w14:textId="77777777" w:rsidR="00387142" w:rsidRPr="008B6A75" w:rsidRDefault="00387142" w:rsidP="00387142">
            <w:pPr>
              <w:jc w:val="right"/>
              <w:rPr>
                <w:bCs/>
                <w:sz w:val="20"/>
                <w:szCs w:val="20"/>
              </w:rPr>
            </w:pPr>
            <w:r w:rsidRPr="008B6A75">
              <w:rPr>
                <w:bCs/>
                <w:sz w:val="20"/>
                <w:szCs w:val="20"/>
              </w:rPr>
              <w:t>0,00</w:t>
            </w:r>
          </w:p>
        </w:tc>
        <w:tc>
          <w:tcPr>
            <w:tcW w:w="222" w:type="dxa"/>
            <w:vAlign w:val="center"/>
            <w:hideMark/>
          </w:tcPr>
          <w:p w14:paraId="6B94212C" w14:textId="77777777" w:rsidR="00387142" w:rsidRPr="008B6A75" w:rsidRDefault="00387142" w:rsidP="00387142">
            <w:pPr>
              <w:rPr>
                <w:sz w:val="20"/>
                <w:szCs w:val="20"/>
              </w:rPr>
            </w:pPr>
          </w:p>
        </w:tc>
      </w:tr>
      <w:tr w:rsidR="00387142" w:rsidRPr="008B6A75" w14:paraId="7103C1C1" w14:textId="77777777" w:rsidTr="00387142">
        <w:trPr>
          <w:trHeight w:val="870"/>
        </w:trPr>
        <w:tc>
          <w:tcPr>
            <w:tcW w:w="3021" w:type="dxa"/>
            <w:tcBorders>
              <w:top w:val="single" w:sz="4" w:space="0" w:color="auto"/>
              <w:left w:val="single" w:sz="4" w:space="0" w:color="auto"/>
              <w:bottom w:val="nil"/>
              <w:right w:val="nil"/>
            </w:tcBorders>
            <w:shd w:val="clear" w:color="auto" w:fill="auto"/>
            <w:vAlign w:val="center"/>
            <w:hideMark/>
          </w:tcPr>
          <w:p w14:paraId="4C562538" w14:textId="77777777" w:rsidR="00387142" w:rsidRPr="008B6A75" w:rsidRDefault="00387142" w:rsidP="00387142">
            <w:pPr>
              <w:rPr>
                <w:sz w:val="20"/>
                <w:szCs w:val="20"/>
              </w:rPr>
            </w:pPr>
            <w:r w:rsidRPr="008B6A75">
              <w:rPr>
                <w:sz w:val="20"/>
                <w:szCs w:val="20"/>
              </w:rPr>
              <w:t>Предоставление субсидий бюджетным, автономным учреждениям и иным некоммерческим организациям</w:t>
            </w:r>
          </w:p>
        </w:tc>
        <w:tc>
          <w:tcPr>
            <w:tcW w:w="850" w:type="dxa"/>
            <w:tcBorders>
              <w:top w:val="single" w:sz="4" w:space="0" w:color="auto"/>
              <w:left w:val="single" w:sz="4" w:space="0" w:color="auto"/>
              <w:bottom w:val="nil"/>
              <w:right w:val="nil"/>
            </w:tcBorders>
            <w:shd w:val="clear" w:color="auto" w:fill="auto"/>
            <w:noWrap/>
            <w:vAlign w:val="center"/>
            <w:hideMark/>
          </w:tcPr>
          <w:p w14:paraId="1FDEB04F" w14:textId="77777777" w:rsidR="00387142" w:rsidRPr="008B6A75" w:rsidRDefault="00387142" w:rsidP="00387142">
            <w:pPr>
              <w:jc w:val="center"/>
              <w:rPr>
                <w:sz w:val="20"/>
                <w:szCs w:val="20"/>
              </w:rPr>
            </w:pPr>
            <w:r w:rsidRPr="008B6A75">
              <w:rPr>
                <w:sz w:val="20"/>
                <w:szCs w:val="20"/>
              </w:rPr>
              <w:t>444</w:t>
            </w:r>
          </w:p>
        </w:tc>
        <w:tc>
          <w:tcPr>
            <w:tcW w:w="709" w:type="dxa"/>
            <w:tcBorders>
              <w:top w:val="single" w:sz="4" w:space="0" w:color="auto"/>
              <w:left w:val="single" w:sz="4" w:space="0" w:color="auto"/>
              <w:bottom w:val="nil"/>
              <w:right w:val="nil"/>
            </w:tcBorders>
            <w:shd w:val="clear" w:color="auto" w:fill="auto"/>
            <w:noWrap/>
            <w:vAlign w:val="center"/>
            <w:hideMark/>
          </w:tcPr>
          <w:p w14:paraId="3D1E8DCF" w14:textId="77777777" w:rsidR="00387142" w:rsidRPr="008B6A75" w:rsidRDefault="00387142" w:rsidP="00387142">
            <w:pPr>
              <w:jc w:val="center"/>
              <w:rPr>
                <w:sz w:val="20"/>
                <w:szCs w:val="20"/>
              </w:rPr>
            </w:pPr>
            <w:r w:rsidRPr="008B6A75">
              <w:rPr>
                <w:sz w:val="20"/>
                <w:szCs w:val="20"/>
              </w:rPr>
              <w:t>08</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58330023" w14:textId="77777777" w:rsidR="00387142" w:rsidRPr="008B6A75" w:rsidRDefault="00387142" w:rsidP="00387142">
            <w:pPr>
              <w:jc w:val="center"/>
              <w:rPr>
                <w:sz w:val="20"/>
                <w:szCs w:val="20"/>
              </w:rPr>
            </w:pPr>
            <w:r w:rsidRPr="008B6A75">
              <w:rPr>
                <w:sz w:val="20"/>
                <w:szCs w:val="20"/>
              </w:rPr>
              <w:t>01</w:t>
            </w:r>
          </w:p>
        </w:tc>
        <w:tc>
          <w:tcPr>
            <w:tcW w:w="1411" w:type="dxa"/>
            <w:tcBorders>
              <w:top w:val="single" w:sz="4" w:space="0" w:color="auto"/>
              <w:left w:val="single" w:sz="4" w:space="0" w:color="auto"/>
              <w:bottom w:val="nil"/>
              <w:right w:val="nil"/>
            </w:tcBorders>
            <w:shd w:val="clear" w:color="auto" w:fill="auto"/>
            <w:noWrap/>
            <w:vAlign w:val="center"/>
            <w:hideMark/>
          </w:tcPr>
          <w:p w14:paraId="3799128F" w14:textId="77777777" w:rsidR="00387142" w:rsidRPr="008B6A75" w:rsidRDefault="00387142" w:rsidP="00387142">
            <w:pPr>
              <w:jc w:val="center"/>
              <w:rPr>
                <w:sz w:val="20"/>
                <w:szCs w:val="20"/>
              </w:rPr>
            </w:pPr>
            <w:r w:rsidRPr="008B6A75">
              <w:rPr>
                <w:sz w:val="20"/>
                <w:szCs w:val="20"/>
              </w:rPr>
              <w:t>08.0.00.70510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0669DB9C" w14:textId="77777777" w:rsidR="00387142" w:rsidRPr="008B6A75" w:rsidRDefault="00387142" w:rsidP="00387142">
            <w:pPr>
              <w:jc w:val="center"/>
              <w:rPr>
                <w:sz w:val="20"/>
                <w:szCs w:val="20"/>
              </w:rPr>
            </w:pPr>
            <w:r w:rsidRPr="008B6A75">
              <w:rPr>
                <w:sz w:val="20"/>
                <w:szCs w:val="20"/>
              </w:rPr>
              <w:t>600</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261A931D" w14:textId="77777777" w:rsidR="00387142" w:rsidRPr="008B6A75" w:rsidRDefault="00387142" w:rsidP="00387142">
            <w:pPr>
              <w:jc w:val="right"/>
              <w:rPr>
                <w:sz w:val="20"/>
                <w:szCs w:val="20"/>
              </w:rPr>
            </w:pPr>
            <w:r w:rsidRPr="008B6A75">
              <w:rPr>
                <w:sz w:val="20"/>
                <w:szCs w:val="20"/>
              </w:rPr>
              <w:t>57 558 583,95</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648A9626" w14:textId="77777777" w:rsidR="00387142" w:rsidRPr="008B6A75" w:rsidRDefault="00387142" w:rsidP="00387142">
            <w:pPr>
              <w:jc w:val="right"/>
              <w:rPr>
                <w:sz w:val="20"/>
                <w:szCs w:val="20"/>
              </w:rPr>
            </w:pPr>
            <w:r w:rsidRPr="008B6A75">
              <w:rPr>
                <w:sz w:val="20"/>
                <w:szCs w:val="20"/>
              </w:rPr>
              <w:t>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33AF2F1C" w14:textId="77777777" w:rsidR="00387142" w:rsidRPr="008B6A75" w:rsidRDefault="00387142" w:rsidP="00387142">
            <w:pPr>
              <w:jc w:val="right"/>
              <w:rPr>
                <w:sz w:val="20"/>
                <w:szCs w:val="20"/>
              </w:rPr>
            </w:pPr>
            <w:r w:rsidRPr="008B6A75">
              <w:rPr>
                <w:sz w:val="20"/>
                <w:szCs w:val="20"/>
              </w:rPr>
              <w:t>0,00</w:t>
            </w:r>
          </w:p>
        </w:tc>
        <w:tc>
          <w:tcPr>
            <w:tcW w:w="222" w:type="dxa"/>
            <w:vAlign w:val="center"/>
            <w:hideMark/>
          </w:tcPr>
          <w:p w14:paraId="62AF0FF3" w14:textId="77777777" w:rsidR="00387142" w:rsidRPr="008B6A75" w:rsidRDefault="00387142" w:rsidP="00387142">
            <w:pPr>
              <w:rPr>
                <w:sz w:val="20"/>
                <w:szCs w:val="20"/>
              </w:rPr>
            </w:pPr>
          </w:p>
        </w:tc>
      </w:tr>
      <w:tr w:rsidR="00387142" w:rsidRPr="008B6A75" w14:paraId="308FF6FB" w14:textId="77777777" w:rsidTr="00387142">
        <w:trPr>
          <w:trHeight w:val="300"/>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382CF935" w14:textId="77777777" w:rsidR="00387142" w:rsidRPr="008B6A75" w:rsidRDefault="00387142" w:rsidP="00387142">
            <w:pPr>
              <w:rPr>
                <w:sz w:val="20"/>
                <w:szCs w:val="20"/>
              </w:rPr>
            </w:pPr>
            <w:r w:rsidRPr="008B6A75">
              <w:rPr>
                <w:sz w:val="20"/>
                <w:szCs w:val="20"/>
              </w:rPr>
              <w:t>Субсидии бюджетным учреждениям</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306135E7" w14:textId="77777777" w:rsidR="00387142" w:rsidRPr="008B6A75" w:rsidRDefault="00387142" w:rsidP="00387142">
            <w:pPr>
              <w:jc w:val="center"/>
              <w:rPr>
                <w:sz w:val="20"/>
                <w:szCs w:val="20"/>
              </w:rPr>
            </w:pPr>
            <w:r w:rsidRPr="008B6A75">
              <w:rPr>
                <w:sz w:val="20"/>
                <w:szCs w:val="20"/>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1C5DBBFB" w14:textId="77777777" w:rsidR="00387142" w:rsidRPr="008B6A75" w:rsidRDefault="00387142" w:rsidP="00387142">
            <w:pPr>
              <w:jc w:val="center"/>
              <w:rPr>
                <w:sz w:val="20"/>
                <w:szCs w:val="20"/>
              </w:rPr>
            </w:pPr>
            <w:r w:rsidRPr="008B6A75">
              <w:rPr>
                <w:sz w:val="20"/>
                <w:szCs w:val="20"/>
              </w:rPr>
              <w:t>08</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015696" w14:textId="77777777" w:rsidR="00387142" w:rsidRPr="008B6A75" w:rsidRDefault="00387142" w:rsidP="00387142">
            <w:pPr>
              <w:jc w:val="center"/>
              <w:rPr>
                <w:sz w:val="20"/>
                <w:szCs w:val="20"/>
              </w:rPr>
            </w:pPr>
            <w:r w:rsidRPr="008B6A75">
              <w:rPr>
                <w:sz w:val="20"/>
                <w:szCs w:val="20"/>
              </w:rPr>
              <w:t>01</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7563A07D" w14:textId="77777777" w:rsidR="00387142" w:rsidRPr="008B6A75" w:rsidRDefault="00387142" w:rsidP="00387142">
            <w:pPr>
              <w:jc w:val="center"/>
              <w:rPr>
                <w:sz w:val="20"/>
                <w:szCs w:val="20"/>
              </w:rPr>
            </w:pPr>
            <w:r w:rsidRPr="008B6A75">
              <w:rPr>
                <w:sz w:val="20"/>
                <w:szCs w:val="20"/>
              </w:rPr>
              <w:t>08.0.00.70510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10E01D" w14:textId="77777777" w:rsidR="00387142" w:rsidRPr="008B6A75" w:rsidRDefault="00387142" w:rsidP="00387142">
            <w:pPr>
              <w:jc w:val="center"/>
              <w:rPr>
                <w:sz w:val="20"/>
                <w:szCs w:val="20"/>
              </w:rPr>
            </w:pPr>
            <w:r w:rsidRPr="008B6A75">
              <w:rPr>
                <w:sz w:val="20"/>
                <w:szCs w:val="20"/>
              </w:rPr>
              <w:t>610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726006" w14:textId="77777777" w:rsidR="00387142" w:rsidRPr="008B6A75" w:rsidRDefault="00387142" w:rsidP="00387142">
            <w:pPr>
              <w:jc w:val="right"/>
              <w:rPr>
                <w:sz w:val="20"/>
                <w:szCs w:val="20"/>
              </w:rPr>
            </w:pPr>
            <w:r w:rsidRPr="008B6A75">
              <w:rPr>
                <w:sz w:val="20"/>
                <w:szCs w:val="20"/>
              </w:rPr>
              <w:t>57 558 583,95</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72DA9573" w14:textId="77777777" w:rsidR="00387142" w:rsidRPr="008B6A75" w:rsidRDefault="00387142" w:rsidP="00387142">
            <w:pPr>
              <w:jc w:val="right"/>
              <w:rPr>
                <w:sz w:val="20"/>
                <w:szCs w:val="20"/>
              </w:rPr>
            </w:pPr>
            <w:r w:rsidRPr="008B6A75">
              <w:rPr>
                <w:sz w:val="20"/>
                <w:szCs w:val="20"/>
              </w:rPr>
              <w:t>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A463B9" w14:textId="77777777" w:rsidR="00387142" w:rsidRPr="008B6A75" w:rsidRDefault="00387142" w:rsidP="00387142">
            <w:pPr>
              <w:jc w:val="right"/>
              <w:rPr>
                <w:sz w:val="20"/>
                <w:szCs w:val="20"/>
              </w:rPr>
            </w:pPr>
            <w:r w:rsidRPr="008B6A75">
              <w:rPr>
                <w:sz w:val="20"/>
                <w:szCs w:val="20"/>
              </w:rPr>
              <w:t>0,00</w:t>
            </w:r>
          </w:p>
        </w:tc>
        <w:tc>
          <w:tcPr>
            <w:tcW w:w="222" w:type="dxa"/>
            <w:vAlign w:val="center"/>
            <w:hideMark/>
          </w:tcPr>
          <w:p w14:paraId="2B928F4B" w14:textId="77777777" w:rsidR="00387142" w:rsidRPr="008B6A75" w:rsidRDefault="00387142" w:rsidP="00387142">
            <w:pPr>
              <w:rPr>
                <w:sz w:val="20"/>
                <w:szCs w:val="20"/>
              </w:rPr>
            </w:pPr>
          </w:p>
        </w:tc>
      </w:tr>
      <w:tr w:rsidR="00387142" w:rsidRPr="008B6A75" w14:paraId="4A09E4E7" w14:textId="77777777" w:rsidTr="00387142">
        <w:trPr>
          <w:trHeight w:val="1440"/>
        </w:trPr>
        <w:tc>
          <w:tcPr>
            <w:tcW w:w="3021" w:type="dxa"/>
            <w:tcBorders>
              <w:top w:val="nil"/>
              <w:left w:val="single" w:sz="4" w:space="0" w:color="auto"/>
              <w:bottom w:val="nil"/>
              <w:right w:val="nil"/>
            </w:tcBorders>
            <w:shd w:val="clear" w:color="auto" w:fill="auto"/>
            <w:vAlign w:val="center"/>
            <w:hideMark/>
          </w:tcPr>
          <w:p w14:paraId="1E02C0A5" w14:textId="77777777" w:rsidR="00387142" w:rsidRPr="008B6A75" w:rsidRDefault="00387142" w:rsidP="00387142">
            <w:pPr>
              <w:rPr>
                <w:bCs/>
                <w:sz w:val="20"/>
                <w:szCs w:val="20"/>
              </w:rPr>
            </w:pPr>
            <w:r w:rsidRPr="008B6A75">
              <w:rPr>
                <w:bCs/>
                <w:sz w:val="20"/>
                <w:szCs w:val="20"/>
              </w:rPr>
              <w:t>Реализация мероприятий по проведению капитального ремонта муниципальных учреждений сферы культуры на территории Новосибирской области ГП НСО "Культура Новосибирской области "</w:t>
            </w:r>
          </w:p>
        </w:tc>
        <w:tc>
          <w:tcPr>
            <w:tcW w:w="850" w:type="dxa"/>
            <w:tcBorders>
              <w:top w:val="nil"/>
              <w:left w:val="single" w:sz="4" w:space="0" w:color="auto"/>
              <w:bottom w:val="nil"/>
              <w:right w:val="nil"/>
            </w:tcBorders>
            <w:shd w:val="clear" w:color="auto" w:fill="auto"/>
            <w:noWrap/>
            <w:vAlign w:val="center"/>
            <w:hideMark/>
          </w:tcPr>
          <w:p w14:paraId="6AA53C07" w14:textId="77777777" w:rsidR="00387142" w:rsidRPr="008B6A75" w:rsidRDefault="00387142" w:rsidP="00387142">
            <w:pPr>
              <w:jc w:val="center"/>
              <w:rPr>
                <w:bCs/>
                <w:sz w:val="20"/>
                <w:szCs w:val="20"/>
              </w:rPr>
            </w:pPr>
            <w:r w:rsidRPr="008B6A75">
              <w:rPr>
                <w:bCs/>
                <w:sz w:val="20"/>
                <w:szCs w:val="20"/>
              </w:rPr>
              <w:t>444</w:t>
            </w:r>
          </w:p>
        </w:tc>
        <w:tc>
          <w:tcPr>
            <w:tcW w:w="709" w:type="dxa"/>
            <w:tcBorders>
              <w:top w:val="nil"/>
              <w:left w:val="single" w:sz="4" w:space="0" w:color="auto"/>
              <w:bottom w:val="nil"/>
              <w:right w:val="nil"/>
            </w:tcBorders>
            <w:shd w:val="clear" w:color="auto" w:fill="auto"/>
            <w:noWrap/>
            <w:vAlign w:val="center"/>
            <w:hideMark/>
          </w:tcPr>
          <w:p w14:paraId="5FFCBA53" w14:textId="77777777" w:rsidR="00387142" w:rsidRPr="008B6A75" w:rsidRDefault="00387142" w:rsidP="00387142">
            <w:pPr>
              <w:jc w:val="center"/>
              <w:rPr>
                <w:bCs/>
                <w:sz w:val="20"/>
                <w:szCs w:val="20"/>
              </w:rPr>
            </w:pPr>
            <w:r w:rsidRPr="008B6A75">
              <w:rPr>
                <w:bCs/>
                <w:sz w:val="20"/>
                <w:szCs w:val="20"/>
              </w:rPr>
              <w:t>08</w:t>
            </w:r>
          </w:p>
        </w:tc>
        <w:tc>
          <w:tcPr>
            <w:tcW w:w="709" w:type="dxa"/>
            <w:tcBorders>
              <w:top w:val="nil"/>
              <w:left w:val="single" w:sz="4" w:space="0" w:color="auto"/>
              <w:bottom w:val="nil"/>
              <w:right w:val="single" w:sz="4" w:space="0" w:color="auto"/>
            </w:tcBorders>
            <w:shd w:val="clear" w:color="auto" w:fill="auto"/>
            <w:noWrap/>
            <w:vAlign w:val="center"/>
            <w:hideMark/>
          </w:tcPr>
          <w:p w14:paraId="7D84DD90" w14:textId="77777777" w:rsidR="00387142" w:rsidRPr="008B6A75" w:rsidRDefault="00387142" w:rsidP="00387142">
            <w:pPr>
              <w:jc w:val="center"/>
              <w:rPr>
                <w:bCs/>
                <w:sz w:val="20"/>
                <w:szCs w:val="20"/>
              </w:rPr>
            </w:pPr>
            <w:r w:rsidRPr="008B6A75">
              <w:rPr>
                <w:bCs/>
                <w:sz w:val="20"/>
                <w:szCs w:val="20"/>
              </w:rPr>
              <w:t>01</w:t>
            </w:r>
          </w:p>
        </w:tc>
        <w:tc>
          <w:tcPr>
            <w:tcW w:w="1411" w:type="dxa"/>
            <w:tcBorders>
              <w:top w:val="nil"/>
              <w:left w:val="single" w:sz="4" w:space="0" w:color="auto"/>
              <w:bottom w:val="nil"/>
              <w:right w:val="nil"/>
            </w:tcBorders>
            <w:shd w:val="clear" w:color="auto" w:fill="auto"/>
            <w:noWrap/>
            <w:vAlign w:val="center"/>
            <w:hideMark/>
          </w:tcPr>
          <w:p w14:paraId="6D34CE3A" w14:textId="77777777" w:rsidR="00387142" w:rsidRPr="008B6A75" w:rsidRDefault="00387142" w:rsidP="00387142">
            <w:pPr>
              <w:jc w:val="center"/>
              <w:rPr>
                <w:bCs/>
                <w:sz w:val="20"/>
                <w:szCs w:val="20"/>
              </w:rPr>
            </w:pPr>
            <w:r w:rsidRPr="008B6A75">
              <w:rPr>
                <w:bCs/>
                <w:sz w:val="20"/>
                <w:szCs w:val="20"/>
              </w:rPr>
              <w:t>08.0.00.70660</w:t>
            </w:r>
          </w:p>
        </w:tc>
        <w:tc>
          <w:tcPr>
            <w:tcW w:w="955" w:type="dxa"/>
            <w:tcBorders>
              <w:top w:val="nil"/>
              <w:left w:val="single" w:sz="4" w:space="0" w:color="auto"/>
              <w:bottom w:val="nil"/>
              <w:right w:val="single" w:sz="4" w:space="0" w:color="auto"/>
            </w:tcBorders>
            <w:shd w:val="clear" w:color="auto" w:fill="auto"/>
            <w:noWrap/>
            <w:vAlign w:val="center"/>
            <w:hideMark/>
          </w:tcPr>
          <w:p w14:paraId="1DD87D16"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nil"/>
              <w:right w:val="single" w:sz="4" w:space="0" w:color="auto"/>
            </w:tcBorders>
            <w:shd w:val="clear" w:color="auto" w:fill="auto"/>
            <w:noWrap/>
            <w:vAlign w:val="center"/>
            <w:hideMark/>
          </w:tcPr>
          <w:p w14:paraId="15436BC5" w14:textId="77777777" w:rsidR="00387142" w:rsidRPr="008B6A75" w:rsidRDefault="00387142" w:rsidP="00387142">
            <w:pPr>
              <w:jc w:val="right"/>
              <w:rPr>
                <w:bCs/>
                <w:sz w:val="20"/>
                <w:szCs w:val="20"/>
              </w:rPr>
            </w:pPr>
            <w:r w:rsidRPr="008B6A75">
              <w:rPr>
                <w:bCs/>
                <w:sz w:val="20"/>
                <w:szCs w:val="20"/>
              </w:rPr>
              <w:t>47 486 700,00</w:t>
            </w:r>
          </w:p>
        </w:tc>
        <w:tc>
          <w:tcPr>
            <w:tcW w:w="992" w:type="dxa"/>
            <w:gridSpan w:val="2"/>
            <w:tcBorders>
              <w:top w:val="nil"/>
              <w:left w:val="single" w:sz="4" w:space="0" w:color="auto"/>
              <w:bottom w:val="nil"/>
              <w:right w:val="nil"/>
            </w:tcBorders>
            <w:shd w:val="clear" w:color="auto" w:fill="auto"/>
            <w:noWrap/>
            <w:vAlign w:val="center"/>
            <w:hideMark/>
          </w:tcPr>
          <w:p w14:paraId="568A0F93" w14:textId="77777777" w:rsidR="00387142" w:rsidRPr="008B6A75" w:rsidRDefault="00387142" w:rsidP="00387142">
            <w:pPr>
              <w:jc w:val="right"/>
              <w:rPr>
                <w:bCs/>
                <w:sz w:val="20"/>
                <w:szCs w:val="20"/>
              </w:rPr>
            </w:pPr>
            <w:r w:rsidRPr="008B6A75">
              <w:rPr>
                <w:bCs/>
                <w:sz w:val="20"/>
                <w:szCs w:val="20"/>
              </w:rPr>
              <w:t>0,00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09845E49" w14:textId="77777777" w:rsidR="00387142" w:rsidRPr="008B6A75" w:rsidRDefault="00387142" w:rsidP="00387142">
            <w:pPr>
              <w:jc w:val="right"/>
              <w:rPr>
                <w:bCs/>
                <w:sz w:val="20"/>
                <w:szCs w:val="20"/>
              </w:rPr>
            </w:pPr>
            <w:r w:rsidRPr="008B6A75">
              <w:rPr>
                <w:bCs/>
                <w:sz w:val="20"/>
                <w:szCs w:val="20"/>
              </w:rPr>
              <w:t>0,00</w:t>
            </w:r>
          </w:p>
        </w:tc>
        <w:tc>
          <w:tcPr>
            <w:tcW w:w="222" w:type="dxa"/>
            <w:vAlign w:val="center"/>
            <w:hideMark/>
          </w:tcPr>
          <w:p w14:paraId="3621CEDE" w14:textId="77777777" w:rsidR="00387142" w:rsidRPr="008B6A75" w:rsidRDefault="00387142" w:rsidP="00387142">
            <w:pPr>
              <w:rPr>
                <w:sz w:val="20"/>
                <w:szCs w:val="20"/>
              </w:rPr>
            </w:pPr>
          </w:p>
        </w:tc>
      </w:tr>
      <w:tr w:rsidR="00387142" w:rsidRPr="008B6A75" w14:paraId="42097439" w14:textId="77777777" w:rsidTr="00387142">
        <w:trPr>
          <w:trHeight w:val="300"/>
        </w:trPr>
        <w:tc>
          <w:tcPr>
            <w:tcW w:w="3021" w:type="dxa"/>
            <w:tcBorders>
              <w:top w:val="single" w:sz="4" w:space="0" w:color="auto"/>
              <w:left w:val="single" w:sz="4" w:space="0" w:color="auto"/>
              <w:bottom w:val="nil"/>
              <w:right w:val="nil"/>
            </w:tcBorders>
            <w:shd w:val="clear" w:color="auto" w:fill="auto"/>
            <w:vAlign w:val="center"/>
            <w:hideMark/>
          </w:tcPr>
          <w:p w14:paraId="789F4BFB" w14:textId="77777777" w:rsidR="00387142" w:rsidRPr="008B6A75" w:rsidRDefault="00387142" w:rsidP="00387142">
            <w:pPr>
              <w:rPr>
                <w:sz w:val="20"/>
                <w:szCs w:val="20"/>
              </w:rPr>
            </w:pPr>
            <w:r w:rsidRPr="008B6A75">
              <w:rPr>
                <w:sz w:val="20"/>
                <w:szCs w:val="20"/>
              </w:rPr>
              <w:t>Межбюджетные трансферты</w:t>
            </w:r>
          </w:p>
        </w:tc>
        <w:tc>
          <w:tcPr>
            <w:tcW w:w="850" w:type="dxa"/>
            <w:tcBorders>
              <w:top w:val="single" w:sz="4" w:space="0" w:color="auto"/>
              <w:left w:val="single" w:sz="4" w:space="0" w:color="auto"/>
              <w:bottom w:val="nil"/>
              <w:right w:val="nil"/>
            </w:tcBorders>
            <w:shd w:val="clear" w:color="auto" w:fill="auto"/>
            <w:noWrap/>
            <w:vAlign w:val="center"/>
            <w:hideMark/>
          </w:tcPr>
          <w:p w14:paraId="1232C2C3" w14:textId="77777777" w:rsidR="00387142" w:rsidRPr="008B6A75" w:rsidRDefault="00387142" w:rsidP="00387142">
            <w:pPr>
              <w:jc w:val="center"/>
              <w:rPr>
                <w:sz w:val="20"/>
                <w:szCs w:val="20"/>
              </w:rPr>
            </w:pPr>
            <w:r w:rsidRPr="008B6A75">
              <w:rPr>
                <w:sz w:val="20"/>
                <w:szCs w:val="20"/>
              </w:rPr>
              <w:t>444</w:t>
            </w:r>
          </w:p>
        </w:tc>
        <w:tc>
          <w:tcPr>
            <w:tcW w:w="709" w:type="dxa"/>
            <w:tcBorders>
              <w:top w:val="single" w:sz="4" w:space="0" w:color="auto"/>
              <w:left w:val="single" w:sz="4" w:space="0" w:color="auto"/>
              <w:bottom w:val="nil"/>
              <w:right w:val="nil"/>
            </w:tcBorders>
            <w:shd w:val="clear" w:color="auto" w:fill="auto"/>
            <w:noWrap/>
            <w:vAlign w:val="center"/>
            <w:hideMark/>
          </w:tcPr>
          <w:p w14:paraId="40667FF1" w14:textId="77777777" w:rsidR="00387142" w:rsidRPr="008B6A75" w:rsidRDefault="00387142" w:rsidP="00387142">
            <w:pPr>
              <w:jc w:val="center"/>
              <w:rPr>
                <w:sz w:val="20"/>
                <w:szCs w:val="20"/>
              </w:rPr>
            </w:pPr>
            <w:r w:rsidRPr="008B6A75">
              <w:rPr>
                <w:sz w:val="20"/>
                <w:szCs w:val="20"/>
              </w:rPr>
              <w:t>08</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374716DE" w14:textId="77777777" w:rsidR="00387142" w:rsidRPr="008B6A75" w:rsidRDefault="00387142" w:rsidP="00387142">
            <w:pPr>
              <w:jc w:val="center"/>
              <w:rPr>
                <w:sz w:val="20"/>
                <w:szCs w:val="20"/>
              </w:rPr>
            </w:pPr>
            <w:r w:rsidRPr="008B6A75">
              <w:rPr>
                <w:sz w:val="20"/>
                <w:szCs w:val="20"/>
              </w:rPr>
              <w:t>01</w:t>
            </w:r>
          </w:p>
        </w:tc>
        <w:tc>
          <w:tcPr>
            <w:tcW w:w="1411" w:type="dxa"/>
            <w:tcBorders>
              <w:top w:val="single" w:sz="4" w:space="0" w:color="auto"/>
              <w:left w:val="single" w:sz="4" w:space="0" w:color="auto"/>
              <w:bottom w:val="nil"/>
              <w:right w:val="nil"/>
            </w:tcBorders>
            <w:shd w:val="clear" w:color="auto" w:fill="auto"/>
            <w:noWrap/>
            <w:vAlign w:val="center"/>
            <w:hideMark/>
          </w:tcPr>
          <w:p w14:paraId="3D452614" w14:textId="77777777" w:rsidR="00387142" w:rsidRPr="008B6A75" w:rsidRDefault="00387142" w:rsidP="00387142">
            <w:pPr>
              <w:jc w:val="center"/>
              <w:rPr>
                <w:sz w:val="20"/>
                <w:szCs w:val="20"/>
              </w:rPr>
            </w:pPr>
            <w:r w:rsidRPr="008B6A75">
              <w:rPr>
                <w:sz w:val="20"/>
                <w:szCs w:val="20"/>
              </w:rPr>
              <w:t>08.0.00.70660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20D2A888" w14:textId="77777777" w:rsidR="00387142" w:rsidRPr="008B6A75" w:rsidRDefault="00387142" w:rsidP="00387142">
            <w:pPr>
              <w:jc w:val="center"/>
              <w:rPr>
                <w:sz w:val="20"/>
                <w:szCs w:val="20"/>
              </w:rPr>
            </w:pPr>
            <w:r w:rsidRPr="008B6A75">
              <w:rPr>
                <w:sz w:val="20"/>
                <w:szCs w:val="20"/>
              </w:rPr>
              <w:t>500</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4C982606" w14:textId="77777777" w:rsidR="00387142" w:rsidRPr="008B6A75" w:rsidRDefault="00387142" w:rsidP="00387142">
            <w:pPr>
              <w:jc w:val="right"/>
              <w:rPr>
                <w:sz w:val="20"/>
                <w:szCs w:val="20"/>
              </w:rPr>
            </w:pPr>
            <w:r w:rsidRPr="008B6A75">
              <w:rPr>
                <w:sz w:val="20"/>
                <w:szCs w:val="20"/>
              </w:rPr>
              <w:t>47 486 700,00</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03F78C00" w14:textId="77777777" w:rsidR="00387142" w:rsidRPr="008B6A75" w:rsidRDefault="00387142" w:rsidP="00387142">
            <w:pPr>
              <w:jc w:val="right"/>
              <w:rPr>
                <w:sz w:val="20"/>
                <w:szCs w:val="20"/>
              </w:rPr>
            </w:pPr>
            <w:r w:rsidRPr="008B6A75">
              <w:rPr>
                <w:sz w:val="20"/>
                <w:szCs w:val="20"/>
              </w:rPr>
              <w:t>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4AC28AFB" w14:textId="77777777" w:rsidR="00387142" w:rsidRPr="008B6A75" w:rsidRDefault="00387142" w:rsidP="00387142">
            <w:pPr>
              <w:jc w:val="right"/>
              <w:rPr>
                <w:sz w:val="20"/>
                <w:szCs w:val="20"/>
              </w:rPr>
            </w:pPr>
            <w:r w:rsidRPr="008B6A75">
              <w:rPr>
                <w:sz w:val="20"/>
                <w:szCs w:val="20"/>
              </w:rPr>
              <w:t>0,00</w:t>
            </w:r>
          </w:p>
        </w:tc>
        <w:tc>
          <w:tcPr>
            <w:tcW w:w="222" w:type="dxa"/>
            <w:vAlign w:val="center"/>
            <w:hideMark/>
          </w:tcPr>
          <w:p w14:paraId="245A94C1" w14:textId="77777777" w:rsidR="00387142" w:rsidRPr="008B6A75" w:rsidRDefault="00387142" w:rsidP="00387142">
            <w:pPr>
              <w:rPr>
                <w:sz w:val="20"/>
                <w:szCs w:val="20"/>
              </w:rPr>
            </w:pPr>
          </w:p>
        </w:tc>
      </w:tr>
      <w:tr w:rsidR="00387142" w:rsidRPr="008B6A75" w14:paraId="45A337DF" w14:textId="77777777" w:rsidTr="00387142">
        <w:trPr>
          <w:trHeight w:val="300"/>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7FBC8CD0" w14:textId="77777777" w:rsidR="00387142" w:rsidRPr="008B6A75" w:rsidRDefault="00387142" w:rsidP="00387142">
            <w:pPr>
              <w:rPr>
                <w:sz w:val="20"/>
                <w:szCs w:val="20"/>
              </w:rPr>
            </w:pPr>
            <w:r w:rsidRPr="008B6A75">
              <w:rPr>
                <w:sz w:val="20"/>
                <w:szCs w:val="20"/>
              </w:rPr>
              <w:t>Субсидии</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7F730D28" w14:textId="77777777" w:rsidR="00387142" w:rsidRPr="008B6A75" w:rsidRDefault="00387142" w:rsidP="00387142">
            <w:pPr>
              <w:jc w:val="center"/>
              <w:rPr>
                <w:sz w:val="20"/>
                <w:szCs w:val="20"/>
              </w:rPr>
            </w:pPr>
            <w:r w:rsidRPr="008B6A75">
              <w:rPr>
                <w:sz w:val="20"/>
                <w:szCs w:val="20"/>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7BCCB2A3" w14:textId="77777777" w:rsidR="00387142" w:rsidRPr="008B6A75" w:rsidRDefault="00387142" w:rsidP="00387142">
            <w:pPr>
              <w:jc w:val="center"/>
              <w:rPr>
                <w:sz w:val="20"/>
                <w:szCs w:val="20"/>
              </w:rPr>
            </w:pPr>
            <w:r w:rsidRPr="008B6A75">
              <w:rPr>
                <w:sz w:val="20"/>
                <w:szCs w:val="20"/>
              </w:rPr>
              <w:t>08</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EE01D6" w14:textId="77777777" w:rsidR="00387142" w:rsidRPr="008B6A75" w:rsidRDefault="00387142" w:rsidP="00387142">
            <w:pPr>
              <w:jc w:val="center"/>
              <w:rPr>
                <w:sz w:val="20"/>
                <w:szCs w:val="20"/>
              </w:rPr>
            </w:pPr>
            <w:r w:rsidRPr="008B6A75">
              <w:rPr>
                <w:sz w:val="20"/>
                <w:szCs w:val="20"/>
              </w:rPr>
              <w:t>01</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23C95ADE" w14:textId="77777777" w:rsidR="00387142" w:rsidRPr="008B6A75" w:rsidRDefault="00387142" w:rsidP="00387142">
            <w:pPr>
              <w:jc w:val="center"/>
              <w:rPr>
                <w:sz w:val="20"/>
                <w:szCs w:val="20"/>
              </w:rPr>
            </w:pPr>
            <w:r w:rsidRPr="008B6A75">
              <w:rPr>
                <w:sz w:val="20"/>
                <w:szCs w:val="20"/>
              </w:rPr>
              <w:t>08.0.00.70660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AFAE51" w14:textId="77777777" w:rsidR="00387142" w:rsidRPr="008B6A75" w:rsidRDefault="00387142" w:rsidP="00387142">
            <w:pPr>
              <w:jc w:val="center"/>
              <w:rPr>
                <w:sz w:val="20"/>
                <w:szCs w:val="20"/>
              </w:rPr>
            </w:pPr>
            <w:r w:rsidRPr="008B6A75">
              <w:rPr>
                <w:sz w:val="20"/>
                <w:szCs w:val="20"/>
              </w:rPr>
              <w:t>520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BF580E" w14:textId="77777777" w:rsidR="00387142" w:rsidRPr="008B6A75" w:rsidRDefault="00387142" w:rsidP="00387142">
            <w:pPr>
              <w:jc w:val="right"/>
              <w:rPr>
                <w:sz w:val="20"/>
                <w:szCs w:val="20"/>
              </w:rPr>
            </w:pPr>
            <w:r w:rsidRPr="008B6A75">
              <w:rPr>
                <w:sz w:val="20"/>
                <w:szCs w:val="20"/>
              </w:rPr>
              <w:t>47 486 700,00</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2BA1EA07" w14:textId="77777777" w:rsidR="00387142" w:rsidRPr="008B6A75" w:rsidRDefault="00387142" w:rsidP="00387142">
            <w:pPr>
              <w:jc w:val="right"/>
              <w:rPr>
                <w:sz w:val="20"/>
                <w:szCs w:val="20"/>
              </w:rPr>
            </w:pPr>
            <w:r w:rsidRPr="008B6A75">
              <w:rPr>
                <w:sz w:val="20"/>
                <w:szCs w:val="20"/>
              </w:rPr>
              <w:t>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9BD951" w14:textId="77777777" w:rsidR="00387142" w:rsidRPr="008B6A75" w:rsidRDefault="00387142" w:rsidP="00387142">
            <w:pPr>
              <w:jc w:val="right"/>
              <w:rPr>
                <w:sz w:val="20"/>
                <w:szCs w:val="20"/>
              </w:rPr>
            </w:pPr>
            <w:r w:rsidRPr="008B6A75">
              <w:rPr>
                <w:sz w:val="20"/>
                <w:szCs w:val="20"/>
              </w:rPr>
              <w:t>0,00</w:t>
            </w:r>
          </w:p>
        </w:tc>
        <w:tc>
          <w:tcPr>
            <w:tcW w:w="222" w:type="dxa"/>
            <w:vAlign w:val="center"/>
            <w:hideMark/>
          </w:tcPr>
          <w:p w14:paraId="5EED0344" w14:textId="77777777" w:rsidR="00387142" w:rsidRPr="008B6A75" w:rsidRDefault="00387142" w:rsidP="00387142">
            <w:pPr>
              <w:rPr>
                <w:sz w:val="20"/>
                <w:szCs w:val="20"/>
              </w:rPr>
            </w:pPr>
          </w:p>
        </w:tc>
      </w:tr>
      <w:tr w:rsidR="00387142" w:rsidRPr="008B6A75" w14:paraId="43ECB536" w14:textId="77777777" w:rsidTr="00387142">
        <w:trPr>
          <w:trHeight w:val="1725"/>
        </w:trPr>
        <w:tc>
          <w:tcPr>
            <w:tcW w:w="3021" w:type="dxa"/>
            <w:tcBorders>
              <w:top w:val="nil"/>
              <w:left w:val="single" w:sz="4" w:space="0" w:color="auto"/>
              <w:bottom w:val="nil"/>
              <w:right w:val="nil"/>
            </w:tcBorders>
            <w:shd w:val="clear" w:color="auto" w:fill="auto"/>
            <w:vAlign w:val="center"/>
            <w:hideMark/>
          </w:tcPr>
          <w:p w14:paraId="21A33CA2" w14:textId="77777777" w:rsidR="00387142" w:rsidRPr="008B6A75" w:rsidRDefault="00387142" w:rsidP="00387142">
            <w:pPr>
              <w:rPr>
                <w:bCs/>
                <w:sz w:val="20"/>
                <w:szCs w:val="20"/>
              </w:rPr>
            </w:pPr>
            <w:r w:rsidRPr="008B6A75">
              <w:rPr>
                <w:bCs/>
                <w:sz w:val="20"/>
                <w:szCs w:val="20"/>
              </w:rPr>
              <w:t>Реализация мероприятий по комплектованию книжных фондов муниципальных общедоступных библиотек Новосибирской области государственной программы Новосибирской области «Культура Новосибирской области»</w:t>
            </w:r>
          </w:p>
        </w:tc>
        <w:tc>
          <w:tcPr>
            <w:tcW w:w="850" w:type="dxa"/>
            <w:tcBorders>
              <w:top w:val="nil"/>
              <w:left w:val="single" w:sz="4" w:space="0" w:color="auto"/>
              <w:bottom w:val="nil"/>
              <w:right w:val="nil"/>
            </w:tcBorders>
            <w:shd w:val="clear" w:color="auto" w:fill="auto"/>
            <w:noWrap/>
            <w:vAlign w:val="center"/>
            <w:hideMark/>
          </w:tcPr>
          <w:p w14:paraId="0E59C56E" w14:textId="77777777" w:rsidR="00387142" w:rsidRPr="008B6A75" w:rsidRDefault="00387142" w:rsidP="00387142">
            <w:pPr>
              <w:jc w:val="center"/>
              <w:rPr>
                <w:bCs/>
                <w:sz w:val="20"/>
                <w:szCs w:val="20"/>
              </w:rPr>
            </w:pPr>
            <w:r w:rsidRPr="008B6A75">
              <w:rPr>
                <w:bCs/>
                <w:sz w:val="20"/>
                <w:szCs w:val="20"/>
              </w:rPr>
              <w:t>444</w:t>
            </w:r>
          </w:p>
        </w:tc>
        <w:tc>
          <w:tcPr>
            <w:tcW w:w="709" w:type="dxa"/>
            <w:tcBorders>
              <w:top w:val="nil"/>
              <w:left w:val="single" w:sz="4" w:space="0" w:color="auto"/>
              <w:bottom w:val="nil"/>
              <w:right w:val="nil"/>
            </w:tcBorders>
            <w:shd w:val="clear" w:color="auto" w:fill="auto"/>
            <w:noWrap/>
            <w:vAlign w:val="center"/>
            <w:hideMark/>
          </w:tcPr>
          <w:p w14:paraId="24F7D7BE" w14:textId="77777777" w:rsidR="00387142" w:rsidRPr="008B6A75" w:rsidRDefault="00387142" w:rsidP="00387142">
            <w:pPr>
              <w:jc w:val="center"/>
              <w:rPr>
                <w:bCs/>
                <w:sz w:val="20"/>
                <w:szCs w:val="20"/>
              </w:rPr>
            </w:pPr>
            <w:r w:rsidRPr="008B6A75">
              <w:rPr>
                <w:bCs/>
                <w:sz w:val="20"/>
                <w:szCs w:val="20"/>
              </w:rPr>
              <w:t>08</w:t>
            </w:r>
          </w:p>
        </w:tc>
        <w:tc>
          <w:tcPr>
            <w:tcW w:w="709" w:type="dxa"/>
            <w:tcBorders>
              <w:top w:val="nil"/>
              <w:left w:val="single" w:sz="4" w:space="0" w:color="auto"/>
              <w:bottom w:val="nil"/>
              <w:right w:val="single" w:sz="4" w:space="0" w:color="auto"/>
            </w:tcBorders>
            <w:shd w:val="clear" w:color="auto" w:fill="auto"/>
            <w:noWrap/>
            <w:vAlign w:val="center"/>
            <w:hideMark/>
          </w:tcPr>
          <w:p w14:paraId="531C5223" w14:textId="77777777" w:rsidR="00387142" w:rsidRPr="008B6A75" w:rsidRDefault="00387142" w:rsidP="00387142">
            <w:pPr>
              <w:jc w:val="center"/>
              <w:rPr>
                <w:bCs/>
                <w:sz w:val="20"/>
                <w:szCs w:val="20"/>
              </w:rPr>
            </w:pPr>
            <w:r w:rsidRPr="008B6A75">
              <w:rPr>
                <w:bCs/>
                <w:sz w:val="20"/>
                <w:szCs w:val="20"/>
              </w:rPr>
              <w:t>01</w:t>
            </w:r>
          </w:p>
        </w:tc>
        <w:tc>
          <w:tcPr>
            <w:tcW w:w="1411" w:type="dxa"/>
            <w:tcBorders>
              <w:top w:val="nil"/>
              <w:left w:val="single" w:sz="4" w:space="0" w:color="auto"/>
              <w:bottom w:val="nil"/>
              <w:right w:val="nil"/>
            </w:tcBorders>
            <w:shd w:val="clear" w:color="auto" w:fill="auto"/>
            <w:noWrap/>
            <w:vAlign w:val="center"/>
            <w:hideMark/>
          </w:tcPr>
          <w:p w14:paraId="0087F8D0" w14:textId="77777777" w:rsidR="00387142" w:rsidRPr="008B6A75" w:rsidRDefault="00387142" w:rsidP="00387142">
            <w:pPr>
              <w:jc w:val="center"/>
              <w:rPr>
                <w:bCs/>
                <w:sz w:val="20"/>
                <w:szCs w:val="20"/>
              </w:rPr>
            </w:pPr>
            <w:r w:rsidRPr="008B6A75">
              <w:rPr>
                <w:bCs/>
                <w:sz w:val="20"/>
                <w:szCs w:val="20"/>
              </w:rPr>
              <w:t>08.0.00.70770</w:t>
            </w:r>
          </w:p>
        </w:tc>
        <w:tc>
          <w:tcPr>
            <w:tcW w:w="955" w:type="dxa"/>
            <w:tcBorders>
              <w:top w:val="nil"/>
              <w:left w:val="single" w:sz="4" w:space="0" w:color="auto"/>
              <w:bottom w:val="nil"/>
              <w:right w:val="single" w:sz="4" w:space="0" w:color="auto"/>
            </w:tcBorders>
            <w:shd w:val="clear" w:color="auto" w:fill="auto"/>
            <w:noWrap/>
            <w:vAlign w:val="center"/>
            <w:hideMark/>
          </w:tcPr>
          <w:p w14:paraId="7B60ECD8"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nil"/>
              <w:right w:val="single" w:sz="4" w:space="0" w:color="auto"/>
            </w:tcBorders>
            <w:shd w:val="clear" w:color="auto" w:fill="auto"/>
            <w:noWrap/>
            <w:vAlign w:val="center"/>
            <w:hideMark/>
          </w:tcPr>
          <w:p w14:paraId="506B1DE5" w14:textId="77777777" w:rsidR="00387142" w:rsidRPr="008B6A75" w:rsidRDefault="00387142" w:rsidP="00387142">
            <w:pPr>
              <w:jc w:val="right"/>
              <w:rPr>
                <w:bCs/>
                <w:sz w:val="20"/>
                <w:szCs w:val="20"/>
              </w:rPr>
            </w:pPr>
            <w:r w:rsidRPr="008B6A75">
              <w:rPr>
                <w:bCs/>
                <w:sz w:val="20"/>
                <w:szCs w:val="20"/>
              </w:rPr>
              <w:t>714 800,00</w:t>
            </w:r>
          </w:p>
        </w:tc>
        <w:tc>
          <w:tcPr>
            <w:tcW w:w="992" w:type="dxa"/>
            <w:gridSpan w:val="2"/>
            <w:tcBorders>
              <w:top w:val="nil"/>
              <w:left w:val="single" w:sz="4" w:space="0" w:color="auto"/>
              <w:bottom w:val="nil"/>
              <w:right w:val="nil"/>
            </w:tcBorders>
            <w:shd w:val="clear" w:color="auto" w:fill="auto"/>
            <w:noWrap/>
            <w:vAlign w:val="center"/>
            <w:hideMark/>
          </w:tcPr>
          <w:p w14:paraId="3866B023" w14:textId="77777777" w:rsidR="00387142" w:rsidRPr="008B6A75" w:rsidRDefault="00387142" w:rsidP="00387142">
            <w:pPr>
              <w:jc w:val="right"/>
              <w:rPr>
                <w:bCs/>
                <w:sz w:val="20"/>
                <w:szCs w:val="20"/>
              </w:rPr>
            </w:pPr>
            <w:r w:rsidRPr="008B6A75">
              <w:rPr>
                <w:bCs/>
                <w:sz w:val="20"/>
                <w:szCs w:val="20"/>
              </w:rPr>
              <w:t>714 800,00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567FEF4D" w14:textId="77777777" w:rsidR="00387142" w:rsidRPr="008B6A75" w:rsidRDefault="00387142" w:rsidP="00387142">
            <w:pPr>
              <w:jc w:val="right"/>
              <w:rPr>
                <w:bCs/>
                <w:sz w:val="20"/>
                <w:szCs w:val="20"/>
              </w:rPr>
            </w:pPr>
            <w:r w:rsidRPr="008B6A75">
              <w:rPr>
                <w:bCs/>
                <w:sz w:val="20"/>
                <w:szCs w:val="20"/>
              </w:rPr>
              <w:t>714 800,00</w:t>
            </w:r>
          </w:p>
        </w:tc>
        <w:tc>
          <w:tcPr>
            <w:tcW w:w="222" w:type="dxa"/>
            <w:vAlign w:val="center"/>
            <w:hideMark/>
          </w:tcPr>
          <w:p w14:paraId="050C4CD8" w14:textId="77777777" w:rsidR="00387142" w:rsidRPr="008B6A75" w:rsidRDefault="00387142" w:rsidP="00387142">
            <w:pPr>
              <w:rPr>
                <w:sz w:val="20"/>
                <w:szCs w:val="20"/>
              </w:rPr>
            </w:pPr>
          </w:p>
        </w:tc>
      </w:tr>
      <w:tr w:rsidR="00387142" w:rsidRPr="008B6A75" w14:paraId="58FDB8A4" w14:textId="77777777" w:rsidTr="00387142">
        <w:trPr>
          <w:trHeight w:val="300"/>
        </w:trPr>
        <w:tc>
          <w:tcPr>
            <w:tcW w:w="3021" w:type="dxa"/>
            <w:tcBorders>
              <w:top w:val="single" w:sz="4" w:space="0" w:color="auto"/>
              <w:left w:val="single" w:sz="4" w:space="0" w:color="auto"/>
              <w:bottom w:val="nil"/>
              <w:right w:val="nil"/>
            </w:tcBorders>
            <w:shd w:val="clear" w:color="auto" w:fill="auto"/>
            <w:vAlign w:val="center"/>
            <w:hideMark/>
          </w:tcPr>
          <w:p w14:paraId="6AF0C20A" w14:textId="77777777" w:rsidR="00387142" w:rsidRPr="008B6A75" w:rsidRDefault="00387142" w:rsidP="00387142">
            <w:pPr>
              <w:rPr>
                <w:sz w:val="20"/>
                <w:szCs w:val="20"/>
              </w:rPr>
            </w:pPr>
            <w:r w:rsidRPr="008B6A75">
              <w:rPr>
                <w:sz w:val="20"/>
                <w:szCs w:val="20"/>
              </w:rPr>
              <w:t>Межбюджетные трансферты</w:t>
            </w:r>
          </w:p>
        </w:tc>
        <w:tc>
          <w:tcPr>
            <w:tcW w:w="850" w:type="dxa"/>
            <w:tcBorders>
              <w:top w:val="single" w:sz="4" w:space="0" w:color="auto"/>
              <w:left w:val="single" w:sz="4" w:space="0" w:color="auto"/>
              <w:bottom w:val="nil"/>
              <w:right w:val="nil"/>
            </w:tcBorders>
            <w:shd w:val="clear" w:color="auto" w:fill="auto"/>
            <w:noWrap/>
            <w:vAlign w:val="center"/>
            <w:hideMark/>
          </w:tcPr>
          <w:p w14:paraId="3150E947" w14:textId="77777777" w:rsidR="00387142" w:rsidRPr="008B6A75" w:rsidRDefault="00387142" w:rsidP="00387142">
            <w:pPr>
              <w:jc w:val="center"/>
              <w:rPr>
                <w:sz w:val="20"/>
                <w:szCs w:val="20"/>
              </w:rPr>
            </w:pPr>
            <w:r w:rsidRPr="008B6A75">
              <w:rPr>
                <w:sz w:val="20"/>
                <w:szCs w:val="20"/>
              </w:rPr>
              <w:t>444</w:t>
            </w:r>
          </w:p>
        </w:tc>
        <w:tc>
          <w:tcPr>
            <w:tcW w:w="709" w:type="dxa"/>
            <w:tcBorders>
              <w:top w:val="single" w:sz="4" w:space="0" w:color="auto"/>
              <w:left w:val="single" w:sz="4" w:space="0" w:color="auto"/>
              <w:bottom w:val="nil"/>
              <w:right w:val="nil"/>
            </w:tcBorders>
            <w:shd w:val="clear" w:color="auto" w:fill="auto"/>
            <w:noWrap/>
            <w:vAlign w:val="center"/>
            <w:hideMark/>
          </w:tcPr>
          <w:p w14:paraId="08121526" w14:textId="77777777" w:rsidR="00387142" w:rsidRPr="008B6A75" w:rsidRDefault="00387142" w:rsidP="00387142">
            <w:pPr>
              <w:jc w:val="center"/>
              <w:rPr>
                <w:sz w:val="20"/>
                <w:szCs w:val="20"/>
              </w:rPr>
            </w:pPr>
            <w:r w:rsidRPr="008B6A75">
              <w:rPr>
                <w:sz w:val="20"/>
                <w:szCs w:val="20"/>
              </w:rPr>
              <w:t>08</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38C209CE" w14:textId="77777777" w:rsidR="00387142" w:rsidRPr="008B6A75" w:rsidRDefault="00387142" w:rsidP="00387142">
            <w:pPr>
              <w:jc w:val="center"/>
              <w:rPr>
                <w:sz w:val="20"/>
                <w:szCs w:val="20"/>
              </w:rPr>
            </w:pPr>
            <w:r w:rsidRPr="008B6A75">
              <w:rPr>
                <w:sz w:val="20"/>
                <w:szCs w:val="20"/>
              </w:rPr>
              <w:t>01</w:t>
            </w:r>
          </w:p>
        </w:tc>
        <w:tc>
          <w:tcPr>
            <w:tcW w:w="1411" w:type="dxa"/>
            <w:tcBorders>
              <w:top w:val="single" w:sz="4" w:space="0" w:color="auto"/>
              <w:left w:val="single" w:sz="4" w:space="0" w:color="auto"/>
              <w:bottom w:val="nil"/>
              <w:right w:val="nil"/>
            </w:tcBorders>
            <w:shd w:val="clear" w:color="auto" w:fill="auto"/>
            <w:noWrap/>
            <w:vAlign w:val="center"/>
            <w:hideMark/>
          </w:tcPr>
          <w:p w14:paraId="06FEE3C1" w14:textId="77777777" w:rsidR="00387142" w:rsidRPr="008B6A75" w:rsidRDefault="00387142" w:rsidP="00387142">
            <w:pPr>
              <w:jc w:val="center"/>
              <w:rPr>
                <w:sz w:val="20"/>
                <w:szCs w:val="20"/>
              </w:rPr>
            </w:pPr>
            <w:r w:rsidRPr="008B6A75">
              <w:rPr>
                <w:sz w:val="20"/>
                <w:szCs w:val="20"/>
              </w:rPr>
              <w:t>08.0.00.70770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7B741443" w14:textId="77777777" w:rsidR="00387142" w:rsidRPr="008B6A75" w:rsidRDefault="00387142" w:rsidP="00387142">
            <w:pPr>
              <w:jc w:val="center"/>
              <w:rPr>
                <w:sz w:val="20"/>
                <w:szCs w:val="20"/>
              </w:rPr>
            </w:pPr>
            <w:r w:rsidRPr="008B6A75">
              <w:rPr>
                <w:sz w:val="20"/>
                <w:szCs w:val="20"/>
              </w:rPr>
              <w:t>500</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2F3A548A" w14:textId="77777777" w:rsidR="00387142" w:rsidRPr="008B6A75" w:rsidRDefault="00387142" w:rsidP="00387142">
            <w:pPr>
              <w:jc w:val="right"/>
              <w:rPr>
                <w:sz w:val="20"/>
                <w:szCs w:val="20"/>
              </w:rPr>
            </w:pPr>
            <w:r w:rsidRPr="008B6A75">
              <w:rPr>
                <w:sz w:val="20"/>
                <w:szCs w:val="20"/>
              </w:rPr>
              <w:t>315 604,36</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6BC9F1E5" w14:textId="77777777" w:rsidR="00387142" w:rsidRPr="008B6A75" w:rsidRDefault="00387142" w:rsidP="00387142">
            <w:pPr>
              <w:jc w:val="right"/>
              <w:rPr>
                <w:sz w:val="20"/>
                <w:szCs w:val="20"/>
              </w:rPr>
            </w:pPr>
            <w:r w:rsidRPr="008B6A75">
              <w:rPr>
                <w:sz w:val="20"/>
                <w:szCs w:val="20"/>
              </w:rPr>
              <w:t>315 604,36</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3D51CE23" w14:textId="77777777" w:rsidR="00387142" w:rsidRPr="008B6A75" w:rsidRDefault="00387142" w:rsidP="00387142">
            <w:pPr>
              <w:jc w:val="right"/>
              <w:rPr>
                <w:sz w:val="20"/>
                <w:szCs w:val="20"/>
              </w:rPr>
            </w:pPr>
            <w:r w:rsidRPr="008B6A75">
              <w:rPr>
                <w:sz w:val="20"/>
                <w:szCs w:val="20"/>
              </w:rPr>
              <w:t>315 604,36</w:t>
            </w:r>
          </w:p>
        </w:tc>
        <w:tc>
          <w:tcPr>
            <w:tcW w:w="222" w:type="dxa"/>
            <w:vAlign w:val="center"/>
            <w:hideMark/>
          </w:tcPr>
          <w:p w14:paraId="065DD695" w14:textId="77777777" w:rsidR="00387142" w:rsidRPr="008B6A75" w:rsidRDefault="00387142" w:rsidP="00387142">
            <w:pPr>
              <w:rPr>
                <w:sz w:val="20"/>
                <w:szCs w:val="20"/>
              </w:rPr>
            </w:pPr>
          </w:p>
        </w:tc>
      </w:tr>
      <w:tr w:rsidR="00387142" w:rsidRPr="008B6A75" w14:paraId="04AADEE4" w14:textId="77777777" w:rsidTr="00387142">
        <w:trPr>
          <w:trHeight w:val="300"/>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18A1535B" w14:textId="77777777" w:rsidR="00387142" w:rsidRPr="008B6A75" w:rsidRDefault="00387142" w:rsidP="00387142">
            <w:pPr>
              <w:rPr>
                <w:sz w:val="20"/>
                <w:szCs w:val="20"/>
              </w:rPr>
            </w:pPr>
            <w:r w:rsidRPr="008B6A75">
              <w:rPr>
                <w:sz w:val="20"/>
                <w:szCs w:val="20"/>
              </w:rPr>
              <w:lastRenderedPageBreak/>
              <w:t>Субсидии</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0007937E" w14:textId="77777777" w:rsidR="00387142" w:rsidRPr="008B6A75" w:rsidRDefault="00387142" w:rsidP="00387142">
            <w:pPr>
              <w:jc w:val="center"/>
              <w:rPr>
                <w:sz w:val="20"/>
                <w:szCs w:val="20"/>
              </w:rPr>
            </w:pPr>
            <w:r w:rsidRPr="008B6A75">
              <w:rPr>
                <w:sz w:val="20"/>
                <w:szCs w:val="20"/>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3DB1FC8D" w14:textId="77777777" w:rsidR="00387142" w:rsidRPr="008B6A75" w:rsidRDefault="00387142" w:rsidP="00387142">
            <w:pPr>
              <w:jc w:val="center"/>
              <w:rPr>
                <w:sz w:val="20"/>
                <w:szCs w:val="20"/>
              </w:rPr>
            </w:pPr>
            <w:r w:rsidRPr="008B6A75">
              <w:rPr>
                <w:sz w:val="20"/>
                <w:szCs w:val="20"/>
              </w:rPr>
              <w:t>08</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327467" w14:textId="77777777" w:rsidR="00387142" w:rsidRPr="008B6A75" w:rsidRDefault="00387142" w:rsidP="00387142">
            <w:pPr>
              <w:jc w:val="center"/>
              <w:rPr>
                <w:sz w:val="20"/>
                <w:szCs w:val="20"/>
              </w:rPr>
            </w:pPr>
            <w:r w:rsidRPr="008B6A75">
              <w:rPr>
                <w:sz w:val="20"/>
                <w:szCs w:val="20"/>
              </w:rPr>
              <w:t>01</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5AA89052" w14:textId="77777777" w:rsidR="00387142" w:rsidRPr="008B6A75" w:rsidRDefault="00387142" w:rsidP="00387142">
            <w:pPr>
              <w:jc w:val="center"/>
              <w:rPr>
                <w:sz w:val="20"/>
                <w:szCs w:val="20"/>
              </w:rPr>
            </w:pPr>
            <w:r w:rsidRPr="008B6A75">
              <w:rPr>
                <w:sz w:val="20"/>
                <w:szCs w:val="20"/>
              </w:rPr>
              <w:t>08.0.00.70770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B59234" w14:textId="77777777" w:rsidR="00387142" w:rsidRPr="008B6A75" w:rsidRDefault="00387142" w:rsidP="00387142">
            <w:pPr>
              <w:jc w:val="center"/>
              <w:rPr>
                <w:sz w:val="20"/>
                <w:szCs w:val="20"/>
              </w:rPr>
            </w:pPr>
            <w:r w:rsidRPr="008B6A75">
              <w:rPr>
                <w:sz w:val="20"/>
                <w:szCs w:val="20"/>
              </w:rPr>
              <w:t>520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B68465" w14:textId="77777777" w:rsidR="00387142" w:rsidRPr="008B6A75" w:rsidRDefault="00387142" w:rsidP="00387142">
            <w:pPr>
              <w:jc w:val="right"/>
              <w:rPr>
                <w:sz w:val="20"/>
                <w:szCs w:val="20"/>
              </w:rPr>
            </w:pPr>
            <w:r w:rsidRPr="008B6A75">
              <w:rPr>
                <w:sz w:val="20"/>
                <w:szCs w:val="20"/>
              </w:rPr>
              <w:t>315 604,36</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4C01F6AD" w14:textId="77777777" w:rsidR="00387142" w:rsidRPr="008B6A75" w:rsidRDefault="00387142" w:rsidP="00387142">
            <w:pPr>
              <w:jc w:val="right"/>
              <w:rPr>
                <w:sz w:val="20"/>
                <w:szCs w:val="20"/>
              </w:rPr>
            </w:pPr>
            <w:r w:rsidRPr="008B6A75">
              <w:rPr>
                <w:sz w:val="20"/>
                <w:szCs w:val="20"/>
              </w:rPr>
              <w:t>315 604,36</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61187A" w14:textId="77777777" w:rsidR="00387142" w:rsidRPr="008B6A75" w:rsidRDefault="00387142" w:rsidP="00387142">
            <w:pPr>
              <w:jc w:val="right"/>
              <w:rPr>
                <w:sz w:val="20"/>
                <w:szCs w:val="20"/>
              </w:rPr>
            </w:pPr>
            <w:r w:rsidRPr="008B6A75">
              <w:rPr>
                <w:sz w:val="20"/>
                <w:szCs w:val="20"/>
              </w:rPr>
              <w:t>315 604,36</w:t>
            </w:r>
          </w:p>
        </w:tc>
        <w:tc>
          <w:tcPr>
            <w:tcW w:w="222" w:type="dxa"/>
            <w:vAlign w:val="center"/>
            <w:hideMark/>
          </w:tcPr>
          <w:p w14:paraId="61F4BAB0" w14:textId="77777777" w:rsidR="00387142" w:rsidRPr="008B6A75" w:rsidRDefault="00387142" w:rsidP="00387142">
            <w:pPr>
              <w:rPr>
                <w:sz w:val="20"/>
                <w:szCs w:val="20"/>
              </w:rPr>
            </w:pPr>
          </w:p>
        </w:tc>
      </w:tr>
      <w:tr w:rsidR="00387142" w:rsidRPr="008B6A75" w14:paraId="2A3318E7" w14:textId="77777777" w:rsidTr="00387142">
        <w:trPr>
          <w:trHeight w:val="870"/>
        </w:trPr>
        <w:tc>
          <w:tcPr>
            <w:tcW w:w="3021" w:type="dxa"/>
            <w:tcBorders>
              <w:top w:val="nil"/>
              <w:left w:val="single" w:sz="4" w:space="0" w:color="auto"/>
              <w:bottom w:val="nil"/>
              <w:right w:val="nil"/>
            </w:tcBorders>
            <w:shd w:val="clear" w:color="auto" w:fill="auto"/>
            <w:vAlign w:val="center"/>
            <w:hideMark/>
          </w:tcPr>
          <w:p w14:paraId="2A3578FE" w14:textId="77777777" w:rsidR="00387142" w:rsidRPr="008B6A75" w:rsidRDefault="00387142" w:rsidP="00387142">
            <w:pPr>
              <w:rPr>
                <w:sz w:val="20"/>
                <w:szCs w:val="20"/>
              </w:rPr>
            </w:pPr>
            <w:r w:rsidRPr="008B6A75">
              <w:rPr>
                <w:sz w:val="20"/>
                <w:szCs w:val="20"/>
              </w:rPr>
              <w:t>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right w:val="nil"/>
            </w:tcBorders>
            <w:shd w:val="clear" w:color="auto" w:fill="auto"/>
            <w:noWrap/>
            <w:vAlign w:val="center"/>
            <w:hideMark/>
          </w:tcPr>
          <w:p w14:paraId="606F6989" w14:textId="77777777" w:rsidR="00387142" w:rsidRPr="008B6A75" w:rsidRDefault="00387142" w:rsidP="00387142">
            <w:pPr>
              <w:jc w:val="center"/>
              <w:rPr>
                <w:sz w:val="20"/>
                <w:szCs w:val="20"/>
              </w:rPr>
            </w:pPr>
            <w:r w:rsidRPr="008B6A75">
              <w:rPr>
                <w:sz w:val="20"/>
                <w:szCs w:val="20"/>
              </w:rPr>
              <w:t>444</w:t>
            </w:r>
          </w:p>
        </w:tc>
        <w:tc>
          <w:tcPr>
            <w:tcW w:w="709" w:type="dxa"/>
            <w:tcBorders>
              <w:top w:val="nil"/>
              <w:left w:val="single" w:sz="4" w:space="0" w:color="auto"/>
              <w:bottom w:val="nil"/>
              <w:right w:val="nil"/>
            </w:tcBorders>
            <w:shd w:val="clear" w:color="auto" w:fill="auto"/>
            <w:noWrap/>
            <w:vAlign w:val="center"/>
            <w:hideMark/>
          </w:tcPr>
          <w:p w14:paraId="2D308EA1" w14:textId="77777777" w:rsidR="00387142" w:rsidRPr="008B6A75" w:rsidRDefault="00387142" w:rsidP="00387142">
            <w:pPr>
              <w:jc w:val="center"/>
              <w:rPr>
                <w:sz w:val="20"/>
                <w:szCs w:val="20"/>
              </w:rPr>
            </w:pPr>
            <w:r w:rsidRPr="008B6A75">
              <w:rPr>
                <w:sz w:val="20"/>
                <w:szCs w:val="20"/>
              </w:rPr>
              <w:t>08</w:t>
            </w:r>
          </w:p>
        </w:tc>
        <w:tc>
          <w:tcPr>
            <w:tcW w:w="709" w:type="dxa"/>
            <w:tcBorders>
              <w:top w:val="nil"/>
              <w:left w:val="single" w:sz="4" w:space="0" w:color="auto"/>
              <w:bottom w:val="nil"/>
              <w:right w:val="single" w:sz="4" w:space="0" w:color="auto"/>
            </w:tcBorders>
            <w:shd w:val="clear" w:color="auto" w:fill="auto"/>
            <w:noWrap/>
            <w:vAlign w:val="center"/>
            <w:hideMark/>
          </w:tcPr>
          <w:p w14:paraId="3ADC7282" w14:textId="77777777" w:rsidR="00387142" w:rsidRPr="008B6A75" w:rsidRDefault="00387142" w:rsidP="00387142">
            <w:pPr>
              <w:jc w:val="center"/>
              <w:rPr>
                <w:sz w:val="20"/>
                <w:szCs w:val="20"/>
              </w:rPr>
            </w:pPr>
            <w:r w:rsidRPr="008B6A75">
              <w:rPr>
                <w:sz w:val="20"/>
                <w:szCs w:val="20"/>
              </w:rPr>
              <w:t>01</w:t>
            </w:r>
          </w:p>
        </w:tc>
        <w:tc>
          <w:tcPr>
            <w:tcW w:w="1411" w:type="dxa"/>
            <w:tcBorders>
              <w:top w:val="nil"/>
              <w:left w:val="single" w:sz="4" w:space="0" w:color="auto"/>
              <w:bottom w:val="nil"/>
              <w:right w:val="nil"/>
            </w:tcBorders>
            <w:shd w:val="clear" w:color="auto" w:fill="auto"/>
            <w:noWrap/>
            <w:vAlign w:val="center"/>
            <w:hideMark/>
          </w:tcPr>
          <w:p w14:paraId="3621ABA9" w14:textId="77777777" w:rsidR="00387142" w:rsidRPr="008B6A75" w:rsidRDefault="00387142" w:rsidP="00387142">
            <w:pPr>
              <w:jc w:val="center"/>
              <w:rPr>
                <w:sz w:val="20"/>
                <w:szCs w:val="20"/>
              </w:rPr>
            </w:pPr>
            <w:r w:rsidRPr="008B6A75">
              <w:rPr>
                <w:sz w:val="20"/>
                <w:szCs w:val="20"/>
              </w:rPr>
              <w:t>08.0.00.70770</w:t>
            </w:r>
          </w:p>
        </w:tc>
        <w:tc>
          <w:tcPr>
            <w:tcW w:w="955" w:type="dxa"/>
            <w:tcBorders>
              <w:top w:val="nil"/>
              <w:left w:val="single" w:sz="4" w:space="0" w:color="auto"/>
              <w:bottom w:val="nil"/>
              <w:right w:val="single" w:sz="4" w:space="0" w:color="auto"/>
            </w:tcBorders>
            <w:shd w:val="clear" w:color="auto" w:fill="auto"/>
            <w:noWrap/>
            <w:vAlign w:val="center"/>
            <w:hideMark/>
          </w:tcPr>
          <w:p w14:paraId="44C34258" w14:textId="77777777" w:rsidR="00387142" w:rsidRPr="008B6A75" w:rsidRDefault="00387142" w:rsidP="00387142">
            <w:pPr>
              <w:jc w:val="center"/>
              <w:rPr>
                <w:sz w:val="20"/>
                <w:szCs w:val="20"/>
              </w:rPr>
            </w:pPr>
            <w:r w:rsidRPr="008B6A75">
              <w:rPr>
                <w:sz w:val="20"/>
                <w:szCs w:val="20"/>
              </w:rPr>
              <w:t>600</w:t>
            </w:r>
          </w:p>
        </w:tc>
        <w:tc>
          <w:tcPr>
            <w:tcW w:w="992" w:type="dxa"/>
            <w:tcBorders>
              <w:top w:val="nil"/>
              <w:left w:val="single" w:sz="4" w:space="0" w:color="auto"/>
              <w:bottom w:val="nil"/>
              <w:right w:val="single" w:sz="4" w:space="0" w:color="auto"/>
            </w:tcBorders>
            <w:shd w:val="clear" w:color="auto" w:fill="auto"/>
            <w:noWrap/>
            <w:vAlign w:val="center"/>
            <w:hideMark/>
          </w:tcPr>
          <w:p w14:paraId="11D4FC8B" w14:textId="77777777" w:rsidR="00387142" w:rsidRPr="008B6A75" w:rsidRDefault="00387142" w:rsidP="00387142">
            <w:pPr>
              <w:jc w:val="right"/>
              <w:rPr>
                <w:sz w:val="20"/>
                <w:szCs w:val="20"/>
              </w:rPr>
            </w:pPr>
            <w:r w:rsidRPr="008B6A75">
              <w:rPr>
                <w:sz w:val="20"/>
                <w:szCs w:val="20"/>
              </w:rPr>
              <w:t>399 195,64</w:t>
            </w:r>
          </w:p>
        </w:tc>
        <w:tc>
          <w:tcPr>
            <w:tcW w:w="992" w:type="dxa"/>
            <w:gridSpan w:val="2"/>
            <w:tcBorders>
              <w:top w:val="nil"/>
              <w:left w:val="single" w:sz="4" w:space="0" w:color="auto"/>
              <w:bottom w:val="nil"/>
              <w:right w:val="nil"/>
            </w:tcBorders>
            <w:shd w:val="clear" w:color="auto" w:fill="auto"/>
            <w:noWrap/>
            <w:vAlign w:val="center"/>
            <w:hideMark/>
          </w:tcPr>
          <w:p w14:paraId="32E91A6B" w14:textId="77777777" w:rsidR="00387142" w:rsidRPr="008B6A75" w:rsidRDefault="00387142" w:rsidP="00387142">
            <w:pPr>
              <w:jc w:val="right"/>
              <w:rPr>
                <w:sz w:val="20"/>
                <w:szCs w:val="20"/>
              </w:rPr>
            </w:pPr>
            <w:r w:rsidRPr="008B6A75">
              <w:rPr>
                <w:sz w:val="20"/>
                <w:szCs w:val="20"/>
              </w:rPr>
              <w:t>399 195,64</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33A73E02" w14:textId="77777777" w:rsidR="00387142" w:rsidRPr="008B6A75" w:rsidRDefault="00387142" w:rsidP="00387142">
            <w:pPr>
              <w:jc w:val="right"/>
              <w:rPr>
                <w:sz w:val="20"/>
                <w:szCs w:val="20"/>
              </w:rPr>
            </w:pPr>
            <w:r w:rsidRPr="008B6A75">
              <w:rPr>
                <w:sz w:val="20"/>
                <w:szCs w:val="20"/>
              </w:rPr>
              <w:t>399 195,64</w:t>
            </w:r>
          </w:p>
        </w:tc>
        <w:tc>
          <w:tcPr>
            <w:tcW w:w="222" w:type="dxa"/>
            <w:vAlign w:val="center"/>
            <w:hideMark/>
          </w:tcPr>
          <w:p w14:paraId="3202A2FA" w14:textId="77777777" w:rsidR="00387142" w:rsidRPr="008B6A75" w:rsidRDefault="00387142" w:rsidP="00387142">
            <w:pPr>
              <w:rPr>
                <w:sz w:val="20"/>
                <w:szCs w:val="20"/>
              </w:rPr>
            </w:pPr>
          </w:p>
        </w:tc>
      </w:tr>
      <w:tr w:rsidR="00387142" w:rsidRPr="008B6A75" w14:paraId="3C34E8F5" w14:textId="77777777" w:rsidTr="00387142">
        <w:trPr>
          <w:trHeight w:val="300"/>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054F25B8" w14:textId="77777777" w:rsidR="00387142" w:rsidRPr="008B6A75" w:rsidRDefault="00387142" w:rsidP="00387142">
            <w:pPr>
              <w:rPr>
                <w:sz w:val="20"/>
                <w:szCs w:val="20"/>
              </w:rPr>
            </w:pPr>
            <w:r w:rsidRPr="008B6A75">
              <w:rPr>
                <w:sz w:val="20"/>
                <w:szCs w:val="20"/>
              </w:rPr>
              <w:t>Субсидии бюджетным учреждениям</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4866C87A" w14:textId="77777777" w:rsidR="00387142" w:rsidRPr="008B6A75" w:rsidRDefault="00387142" w:rsidP="00387142">
            <w:pPr>
              <w:jc w:val="center"/>
              <w:rPr>
                <w:sz w:val="20"/>
                <w:szCs w:val="20"/>
              </w:rPr>
            </w:pPr>
            <w:r w:rsidRPr="008B6A75">
              <w:rPr>
                <w:sz w:val="20"/>
                <w:szCs w:val="20"/>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2A25D8D9" w14:textId="77777777" w:rsidR="00387142" w:rsidRPr="008B6A75" w:rsidRDefault="00387142" w:rsidP="00387142">
            <w:pPr>
              <w:jc w:val="center"/>
              <w:rPr>
                <w:sz w:val="20"/>
                <w:szCs w:val="20"/>
              </w:rPr>
            </w:pPr>
            <w:r w:rsidRPr="008B6A75">
              <w:rPr>
                <w:sz w:val="20"/>
                <w:szCs w:val="20"/>
              </w:rPr>
              <w:t>08</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FCBF39" w14:textId="77777777" w:rsidR="00387142" w:rsidRPr="008B6A75" w:rsidRDefault="00387142" w:rsidP="00387142">
            <w:pPr>
              <w:jc w:val="center"/>
              <w:rPr>
                <w:sz w:val="20"/>
                <w:szCs w:val="20"/>
              </w:rPr>
            </w:pPr>
            <w:r w:rsidRPr="008B6A75">
              <w:rPr>
                <w:sz w:val="20"/>
                <w:szCs w:val="20"/>
              </w:rPr>
              <w:t>01</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63409EA2" w14:textId="77777777" w:rsidR="00387142" w:rsidRPr="008B6A75" w:rsidRDefault="00387142" w:rsidP="00387142">
            <w:pPr>
              <w:jc w:val="center"/>
              <w:rPr>
                <w:sz w:val="20"/>
                <w:szCs w:val="20"/>
              </w:rPr>
            </w:pPr>
            <w:r w:rsidRPr="008B6A75">
              <w:rPr>
                <w:sz w:val="20"/>
                <w:szCs w:val="20"/>
              </w:rPr>
              <w:t>08.0.00.70770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129E25" w14:textId="77777777" w:rsidR="00387142" w:rsidRPr="008B6A75" w:rsidRDefault="00387142" w:rsidP="00387142">
            <w:pPr>
              <w:jc w:val="center"/>
              <w:rPr>
                <w:sz w:val="20"/>
                <w:szCs w:val="20"/>
              </w:rPr>
            </w:pPr>
            <w:r w:rsidRPr="008B6A75">
              <w:rPr>
                <w:sz w:val="20"/>
                <w:szCs w:val="20"/>
              </w:rPr>
              <w:t>610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49BD7F" w14:textId="77777777" w:rsidR="00387142" w:rsidRPr="008B6A75" w:rsidRDefault="00387142" w:rsidP="00387142">
            <w:pPr>
              <w:jc w:val="right"/>
              <w:rPr>
                <w:sz w:val="20"/>
                <w:szCs w:val="20"/>
              </w:rPr>
            </w:pPr>
            <w:r w:rsidRPr="008B6A75">
              <w:rPr>
                <w:sz w:val="20"/>
                <w:szCs w:val="20"/>
              </w:rPr>
              <w:t>399 195,64</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61F7729F" w14:textId="77777777" w:rsidR="00387142" w:rsidRPr="008B6A75" w:rsidRDefault="00387142" w:rsidP="00387142">
            <w:pPr>
              <w:jc w:val="right"/>
              <w:rPr>
                <w:sz w:val="20"/>
                <w:szCs w:val="20"/>
              </w:rPr>
            </w:pPr>
            <w:r w:rsidRPr="008B6A75">
              <w:rPr>
                <w:sz w:val="20"/>
                <w:szCs w:val="20"/>
              </w:rPr>
              <w:t>399 195,64</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F53486" w14:textId="77777777" w:rsidR="00387142" w:rsidRPr="008B6A75" w:rsidRDefault="00387142" w:rsidP="00387142">
            <w:pPr>
              <w:jc w:val="right"/>
              <w:rPr>
                <w:sz w:val="20"/>
                <w:szCs w:val="20"/>
              </w:rPr>
            </w:pPr>
            <w:r w:rsidRPr="008B6A75">
              <w:rPr>
                <w:sz w:val="20"/>
                <w:szCs w:val="20"/>
              </w:rPr>
              <w:t>399 195,64</w:t>
            </w:r>
          </w:p>
        </w:tc>
        <w:tc>
          <w:tcPr>
            <w:tcW w:w="222" w:type="dxa"/>
            <w:vAlign w:val="center"/>
            <w:hideMark/>
          </w:tcPr>
          <w:p w14:paraId="15ECE5B4" w14:textId="77777777" w:rsidR="00387142" w:rsidRPr="008B6A75" w:rsidRDefault="00387142" w:rsidP="00387142">
            <w:pPr>
              <w:rPr>
                <w:sz w:val="20"/>
                <w:szCs w:val="20"/>
              </w:rPr>
            </w:pPr>
          </w:p>
        </w:tc>
      </w:tr>
      <w:tr w:rsidR="00387142" w:rsidRPr="008B6A75" w14:paraId="1F0FC438" w14:textId="77777777" w:rsidTr="00387142">
        <w:trPr>
          <w:trHeight w:val="585"/>
        </w:trPr>
        <w:tc>
          <w:tcPr>
            <w:tcW w:w="3021" w:type="dxa"/>
            <w:tcBorders>
              <w:top w:val="nil"/>
              <w:left w:val="single" w:sz="4" w:space="0" w:color="auto"/>
              <w:bottom w:val="nil"/>
              <w:right w:val="nil"/>
            </w:tcBorders>
            <w:shd w:val="clear" w:color="auto" w:fill="auto"/>
            <w:vAlign w:val="center"/>
            <w:hideMark/>
          </w:tcPr>
          <w:p w14:paraId="54D9CC2E" w14:textId="77777777" w:rsidR="00387142" w:rsidRPr="008B6A75" w:rsidRDefault="00387142" w:rsidP="00387142">
            <w:pPr>
              <w:rPr>
                <w:bCs/>
                <w:sz w:val="20"/>
                <w:szCs w:val="20"/>
              </w:rPr>
            </w:pPr>
            <w:r w:rsidRPr="008B6A75">
              <w:rPr>
                <w:bCs/>
                <w:sz w:val="20"/>
                <w:szCs w:val="20"/>
              </w:rPr>
              <w:t>Реализация мероприятий МП "Развитие культуры в Куйбышевском районе"</w:t>
            </w:r>
          </w:p>
        </w:tc>
        <w:tc>
          <w:tcPr>
            <w:tcW w:w="850" w:type="dxa"/>
            <w:tcBorders>
              <w:top w:val="nil"/>
              <w:left w:val="single" w:sz="4" w:space="0" w:color="auto"/>
              <w:bottom w:val="nil"/>
              <w:right w:val="nil"/>
            </w:tcBorders>
            <w:shd w:val="clear" w:color="auto" w:fill="auto"/>
            <w:noWrap/>
            <w:vAlign w:val="center"/>
            <w:hideMark/>
          </w:tcPr>
          <w:p w14:paraId="427ADDFF" w14:textId="77777777" w:rsidR="00387142" w:rsidRPr="008B6A75" w:rsidRDefault="00387142" w:rsidP="00387142">
            <w:pPr>
              <w:jc w:val="center"/>
              <w:rPr>
                <w:bCs/>
                <w:sz w:val="20"/>
                <w:szCs w:val="20"/>
              </w:rPr>
            </w:pPr>
            <w:r w:rsidRPr="008B6A75">
              <w:rPr>
                <w:bCs/>
                <w:sz w:val="20"/>
                <w:szCs w:val="20"/>
              </w:rPr>
              <w:t>444</w:t>
            </w:r>
          </w:p>
        </w:tc>
        <w:tc>
          <w:tcPr>
            <w:tcW w:w="709" w:type="dxa"/>
            <w:tcBorders>
              <w:top w:val="nil"/>
              <w:left w:val="single" w:sz="4" w:space="0" w:color="auto"/>
              <w:bottom w:val="nil"/>
              <w:right w:val="nil"/>
            </w:tcBorders>
            <w:shd w:val="clear" w:color="auto" w:fill="auto"/>
            <w:noWrap/>
            <w:vAlign w:val="center"/>
            <w:hideMark/>
          </w:tcPr>
          <w:p w14:paraId="7EA35EF1" w14:textId="77777777" w:rsidR="00387142" w:rsidRPr="008B6A75" w:rsidRDefault="00387142" w:rsidP="00387142">
            <w:pPr>
              <w:jc w:val="center"/>
              <w:rPr>
                <w:bCs/>
                <w:sz w:val="20"/>
                <w:szCs w:val="20"/>
              </w:rPr>
            </w:pPr>
            <w:r w:rsidRPr="008B6A75">
              <w:rPr>
                <w:bCs/>
                <w:sz w:val="20"/>
                <w:szCs w:val="20"/>
              </w:rPr>
              <w:t>08</w:t>
            </w:r>
          </w:p>
        </w:tc>
        <w:tc>
          <w:tcPr>
            <w:tcW w:w="709" w:type="dxa"/>
            <w:tcBorders>
              <w:top w:val="nil"/>
              <w:left w:val="single" w:sz="4" w:space="0" w:color="auto"/>
              <w:bottom w:val="nil"/>
              <w:right w:val="single" w:sz="4" w:space="0" w:color="auto"/>
            </w:tcBorders>
            <w:shd w:val="clear" w:color="auto" w:fill="auto"/>
            <w:noWrap/>
            <w:vAlign w:val="center"/>
            <w:hideMark/>
          </w:tcPr>
          <w:p w14:paraId="5C7E458D" w14:textId="77777777" w:rsidR="00387142" w:rsidRPr="008B6A75" w:rsidRDefault="00387142" w:rsidP="00387142">
            <w:pPr>
              <w:jc w:val="center"/>
              <w:rPr>
                <w:bCs/>
                <w:sz w:val="20"/>
                <w:szCs w:val="20"/>
              </w:rPr>
            </w:pPr>
            <w:r w:rsidRPr="008B6A75">
              <w:rPr>
                <w:bCs/>
                <w:sz w:val="20"/>
                <w:szCs w:val="20"/>
              </w:rPr>
              <w:t>01</w:t>
            </w:r>
          </w:p>
        </w:tc>
        <w:tc>
          <w:tcPr>
            <w:tcW w:w="1411" w:type="dxa"/>
            <w:tcBorders>
              <w:top w:val="nil"/>
              <w:left w:val="single" w:sz="4" w:space="0" w:color="auto"/>
              <w:bottom w:val="nil"/>
              <w:right w:val="nil"/>
            </w:tcBorders>
            <w:shd w:val="clear" w:color="auto" w:fill="auto"/>
            <w:noWrap/>
            <w:vAlign w:val="center"/>
            <w:hideMark/>
          </w:tcPr>
          <w:p w14:paraId="733F11C1" w14:textId="77777777" w:rsidR="00387142" w:rsidRPr="008B6A75" w:rsidRDefault="00387142" w:rsidP="00387142">
            <w:pPr>
              <w:jc w:val="center"/>
              <w:rPr>
                <w:bCs/>
                <w:sz w:val="20"/>
                <w:szCs w:val="20"/>
              </w:rPr>
            </w:pPr>
            <w:r w:rsidRPr="008B6A75">
              <w:rPr>
                <w:bCs/>
                <w:sz w:val="20"/>
                <w:szCs w:val="20"/>
              </w:rPr>
              <w:t>08.0.00.89500</w:t>
            </w:r>
          </w:p>
        </w:tc>
        <w:tc>
          <w:tcPr>
            <w:tcW w:w="955" w:type="dxa"/>
            <w:tcBorders>
              <w:top w:val="nil"/>
              <w:left w:val="single" w:sz="4" w:space="0" w:color="auto"/>
              <w:bottom w:val="nil"/>
              <w:right w:val="single" w:sz="4" w:space="0" w:color="auto"/>
            </w:tcBorders>
            <w:shd w:val="clear" w:color="auto" w:fill="auto"/>
            <w:noWrap/>
            <w:vAlign w:val="center"/>
            <w:hideMark/>
          </w:tcPr>
          <w:p w14:paraId="559909A8"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nil"/>
              <w:right w:val="single" w:sz="4" w:space="0" w:color="auto"/>
            </w:tcBorders>
            <w:shd w:val="clear" w:color="auto" w:fill="auto"/>
            <w:noWrap/>
            <w:vAlign w:val="center"/>
            <w:hideMark/>
          </w:tcPr>
          <w:p w14:paraId="6B144546" w14:textId="77777777" w:rsidR="00387142" w:rsidRPr="008B6A75" w:rsidRDefault="00387142" w:rsidP="00387142">
            <w:pPr>
              <w:jc w:val="right"/>
              <w:rPr>
                <w:bCs/>
                <w:sz w:val="20"/>
                <w:szCs w:val="20"/>
              </w:rPr>
            </w:pPr>
            <w:r w:rsidRPr="008B6A75">
              <w:rPr>
                <w:bCs/>
                <w:sz w:val="20"/>
                <w:szCs w:val="20"/>
              </w:rPr>
              <w:t>3 133 742,00</w:t>
            </w:r>
          </w:p>
        </w:tc>
        <w:tc>
          <w:tcPr>
            <w:tcW w:w="992" w:type="dxa"/>
            <w:gridSpan w:val="2"/>
            <w:tcBorders>
              <w:top w:val="nil"/>
              <w:left w:val="single" w:sz="4" w:space="0" w:color="auto"/>
              <w:bottom w:val="nil"/>
              <w:right w:val="nil"/>
            </w:tcBorders>
            <w:shd w:val="clear" w:color="auto" w:fill="auto"/>
            <w:noWrap/>
            <w:vAlign w:val="center"/>
            <w:hideMark/>
          </w:tcPr>
          <w:p w14:paraId="03B28711" w14:textId="77777777" w:rsidR="00387142" w:rsidRPr="008B6A75" w:rsidRDefault="00387142" w:rsidP="00387142">
            <w:pPr>
              <w:jc w:val="right"/>
              <w:rPr>
                <w:bCs/>
                <w:sz w:val="20"/>
                <w:szCs w:val="20"/>
              </w:rPr>
            </w:pPr>
            <w:r w:rsidRPr="008B6A75">
              <w:rPr>
                <w:bCs/>
                <w:sz w:val="20"/>
                <w:szCs w:val="20"/>
              </w:rPr>
              <w:t>0,00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72F45BBB" w14:textId="77777777" w:rsidR="00387142" w:rsidRPr="008B6A75" w:rsidRDefault="00387142" w:rsidP="00387142">
            <w:pPr>
              <w:jc w:val="right"/>
              <w:rPr>
                <w:bCs/>
                <w:sz w:val="20"/>
                <w:szCs w:val="20"/>
              </w:rPr>
            </w:pPr>
            <w:r w:rsidRPr="008B6A75">
              <w:rPr>
                <w:bCs/>
                <w:sz w:val="20"/>
                <w:szCs w:val="20"/>
              </w:rPr>
              <w:t>0,00</w:t>
            </w:r>
          </w:p>
        </w:tc>
        <w:tc>
          <w:tcPr>
            <w:tcW w:w="222" w:type="dxa"/>
            <w:vAlign w:val="center"/>
            <w:hideMark/>
          </w:tcPr>
          <w:p w14:paraId="23701CDB" w14:textId="77777777" w:rsidR="00387142" w:rsidRPr="008B6A75" w:rsidRDefault="00387142" w:rsidP="00387142">
            <w:pPr>
              <w:rPr>
                <w:sz w:val="20"/>
                <w:szCs w:val="20"/>
              </w:rPr>
            </w:pPr>
          </w:p>
        </w:tc>
      </w:tr>
      <w:tr w:rsidR="00387142" w:rsidRPr="008B6A75" w14:paraId="48725BC3" w14:textId="77777777" w:rsidTr="00387142">
        <w:trPr>
          <w:trHeight w:val="585"/>
        </w:trPr>
        <w:tc>
          <w:tcPr>
            <w:tcW w:w="3021" w:type="dxa"/>
            <w:tcBorders>
              <w:top w:val="single" w:sz="4" w:space="0" w:color="auto"/>
              <w:left w:val="single" w:sz="4" w:space="0" w:color="auto"/>
              <w:bottom w:val="nil"/>
              <w:right w:val="nil"/>
            </w:tcBorders>
            <w:shd w:val="clear" w:color="auto" w:fill="auto"/>
            <w:vAlign w:val="center"/>
            <w:hideMark/>
          </w:tcPr>
          <w:p w14:paraId="3AE756D6" w14:textId="77777777" w:rsidR="00387142" w:rsidRPr="008B6A75" w:rsidRDefault="00387142" w:rsidP="00387142">
            <w:pPr>
              <w:rPr>
                <w:bCs/>
                <w:sz w:val="20"/>
                <w:szCs w:val="20"/>
              </w:rPr>
            </w:pPr>
            <w:r w:rsidRPr="008B6A75">
              <w:rPr>
                <w:bCs/>
                <w:sz w:val="20"/>
                <w:szCs w:val="20"/>
              </w:rPr>
              <w:t>Реализация мероприятий МП "Развитие культуры в Куйбышевском районе"</w:t>
            </w:r>
          </w:p>
        </w:tc>
        <w:tc>
          <w:tcPr>
            <w:tcW w:w="850" w:type="dxa"/>
            <w:tcBorders>
              <w:top w:val="single" w:sz="4" w:space="0" w:color="auto"/>
              <w:left w:val="single" w:sz="4" w:space="0" w:color="auto"/>
              <w:bottom w:val="nil"/>
              <w:right w:val="nil"/>
            </w:tcBorders>
            <w:shd w:val="clear" w:color="auto" w:fill="auto"/>
            <w:noWrap/>
            <w:vAlign w:val="center"/>
            <w:hideMark/>
          </w:tcPr>
          <w:p w14:paraId="57FB15F3" w14:textId="77777777" w:rsidR="00387142" w:rsidRPr="008B6A75" w:rsidRDefault="00387142" w:rsidP="00387142">
            <w:pPr>
              <w:jc w:val="center"/>
              <w:rPr>
                <w:bCs/>
                <w:sz w:val="20"/>
                <w:szCs w:val="20"/>
              </w:rPr>
            </w:pPr>
            <w:r w:rsidRPr="008B6A75">
              <w:rPr>
                <w:bCs/>
                <w:sz w:val="20"/>
                <w:szCs w:val="20"/>
              </w:rPr>
              <w:t>444</w:t>
            </w:r>
          </w:p>
        </w:tc>
        <w:tc>
          <w:tcPr>
            <w:tcW w:w="709" w:type="dxa"/>
            <w:tcBorders>
              <w:top w:val="single" w:sz="4" w:space="0" w:color="auto"/>
              <w:left w:val="single" w:sz="4" w:space="0" w:color="auto"/>
              <w:bottom w:val="nil"/>
              <w:right w:val="nil"/>
            </w:tcBorders>
            <w:shd w:val="clear" w:color="auto" w:fill="auto"/>
            <w:noWrap/>
            <w:vAlign w:val="center"/>
            <w:hideMark/>
          </w:tcPr>
          <w:p w14:paraId="5685ECAF" w14:textId="77777777" w:rsidR="00387142" w:rsidRPr="008B6A75" w:rsidRDefault="00387142" w:rsidP="00387142">
            <w:pPr>
              <w:jc w:val="center"/>
              <w:rPr>
                <w:bCs/>
                <w:sz w:val="20"/>
                <w:szCs w:val="20"/>
              </w:rPr>
            </w:pPr>
            <w:r w:rsidRPr="008B6A75">
              <w:rPr>
                <w:bCs/>
                <w:sz w:val="20"/>
                <w:szCs w:val="20"/>
              </w:rPr>
              <w:t>08</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6AD5D482" w14:textId="77777777" w:rsidR="00387142" w:rsidRPr="008B6A75" w:rsidRDefault="00387142" w:rsidP="00387142">
            <w:pPr>
              <w:jc w:val="center"/>
              <w:rPr>
                <w:bCs/>
                <w:sz w:val="20"/>
                <w:szCs w:val="20"/>
              </w:rPr>
            </w:pPr>
            <w:r w:rsidRPr="008B6A75">
              <w:rPr>
                <w:bCs/>
                <w:sz w:val="20"/>
                <w:szCs w:val="20"/>
              </w:rPr>
              <w:t>01</w:t>
            </w:r>
          </w:p>
        </w:tc>
        <w:tc>
          <w:tcPr>
            <w:tcW w:w="1411" w:type="dxa"/>
            <w:tcBorders>
              <w:top w:val="single" w:sz="4" w:space="0" w:color="auto"/>
              <w:left w:val="single" w:sz="4" w:space="0" w:color="auto"/>
              <w:bottom w:val="nil"/>
              <w:right w:val="nil"/>
            </w:tcBorders>
            <w:shd w:val="clear" w:color="auto" w:fill="auto"/>
            <w:noWrap/>
            <w:vAlign w:val="center"/>
            <w:hideMark/>
          </w:tcPr>
          <w:p w14:paraId="28465E63" w14:textId="77777777" w:rsidR="00387142" w:rsidRPr="008B6A75" w:rsidRDefault="00387142" w:rsidP="00387142">
            <w:pPr>
              <w:jc w:val="center"/>
              <w:rPr>
                <w:bCs/>
                <w:sz w:val="20"/>
                <w:szCs w:val="20"/>
              </w:rPr>
            </w:pPr>
            <w:r w:rsidRPr="008B6A75">
              <w:rPr>
                <w:bCs/>
                <w:sz w:val="20"/>
                <w:szCs w:val="20"/>
              </w:rPr>
              <w:t>08.0.00.89500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2E9FC9D1" w14:textId="77777777" w:rsidR="00387142" w:rsidRPr="008B6A75" w:rsidRDefault="00387142" w:rsidP="00387142">
            <w:pPr>
              <w:jc w:val="center"/>
              <w:rPr>
                <w:bCs/>
                <w:sz w:val="20"/>
                <w:szCs w:val="20"/>
              </w:rPr>
            </w:pPr>
            <w:r w:rsidRPr="008B6A75">
              <w:rPr>
                <w:bCs/>
                <w:sz w:val="20"/>
                <w:szCs w:val="20"/>
              </w:rPr>
              <w:t> </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430E2633" w14:textId="77777777" w:rsidR="00387142" w:rsidRPr="008B6A75" w:rsidRDefault="00387142" w:rsidP="00387142">
            <w:pPr>
              <w:jc w:val="right"/>
              <w:rPr>
                <w:bCs/>
                <w:sz w:val="20"/>
                <w:szCs w:val="20"/>
              </w:rPr>
            </w:pPr>
            <w:r w:rsidRPr="008B6A75">
              <w:rPr>
                <w:bCs/>
                <w:sz w:val="20"/>
                <w:szCs w:val="20"/>
              </w:rPr>
              <w:t>3 133 742,00</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10DC531D" w14:textId="77777777" w:rsidR="00387142" w:rsidRPr="008B6A75" w:rsidRDefault="00387142" w:rsidP="00387142">
            <w:pPr>
              <w:jc w:val="right"/>
              <w:rPr>
                <w:bCs/>
                <w:sz w:val="20"/>
                <w:szCs w:val="20"/>
              </w:rPr>
            </w:pPr>
            <w:r w:rsidRPr="008B6A75">
              <w:rPr>
                <w:bCs/>
                <w:sz w:val="20"/>
                <w:szCs w:val="20"/>
              </w:rPr>
              <w:t>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6F6D382E" w14:textId="77777777" w:rsidR="00387142" w:rsidRPr="008B6A75" w:rsidRDefault="00387142" w:rsidP="00387142">
            <w:pPr>
              <w:jc w:val="right"/>
              <w:rPr>
                <w:bCs/>
                <w:sz w:val="20"/>
                <w:szCs w:val="20"/>
              </w:rPr>
            </w:pPr>
            <w:r w:rsidRPr="008B6A75">
              <w:rPr>
                <w:bCs/>
                <w:sz w:val="20"/>
                <w:szCs w:val="20"/>
              </w:rPr>
              <w:t>0,00</w:t>
            </w:r>
          </w:p>
        </w:tc>
        <w:tc>
          <w:tcPr>
            <w:tcW w:w="222" w:type="dxa"/>
            <w:vAlign w:val="center"/>
            <w:hideMark/>
          </w:tcPr>
          <w:p w14:paraId="4C1122D6" w14:textId="77777777" w:rsidR="00387142" w:rsidRPr="008B6A75" w:rsidRDefault="00387142" w:rsidP="00387142">
            <w:pPr>
              <w:rPr>
                <w:sz w:val="20"/>
                <w:szCs w:val="20"/>
              </w:rPr>
            </w:pPr>
          </w:p>
        </w:tc>
      </w:tr>
      <w:tr w:rsidR="00387142" w:rsidRPr="008B6A75" w14:paraId="70C18DF7" w14:textId="77777777" w:rsidTr="00387142">
        <w:trPr>
          <w:trHeight w:val="300"/>
        </w:trPr>
        <w:tc>
          <w:tcPr>
            <w:tcW w:w="3021" w:type="dxa"/>
            <w:tcBorders>
              <w:top w:val="single" w:sz="4" w:space="0" w:color="auto"/>
              <w:left w:val="single" w:sz="4" w:space="0" w:color="auto"/>
              <w:bottom w:val="nil"/>
              <w:right w:val="nil"/>
            </w:tcBorders>
            <w:shd w:val="clear" w:color="auto" w:fill="auto"/>
            <w:vAlign w:val="center"/>
            <w:hideMark/>
          </w:tcPr>
          <w:p w14:paraId="66371085" w14:textId="77777777" w:rsidR="00387142" w:rsidRPr="008B6A75" w:rsidRDefault="00387142" w:rsidP="00387142">
            <w:pPr>
              <w:rPr>
                <w:sz w:val="20"/>
                <w:szCs w:val="20"/>
              </w:rPr>
            </w:pPr>
            <w:r w:rsidRPr="008B6A75">
              <w:rPr>
                <w:sz w:val="20"/>
                <w:szCs w:val="20"/>
              </w:rPr>
              <w:t>Межбюджетные трансферты</w:t>
            </w:r>
          </w:p>
        </w:tc>
        <w:tc>
          <w:tcPr>
            <w:tcW w:w="850" w:type="dxa"/>
            <w:tcBorders>
              <w:top w:val="single" w:sz="4" w:space="0" w:color="auto"/>
              <w:left w:val="single" w:sz="4" w:space="0" w:color="auto"/>
              <w:bottom w:val="nil"/>
              <w:right w:val="nil"/>
            </w:tcBorders>
            <w:shd w:val="clear" w:color="auto" w:fill="auto"/>
            <w:noWrap/>
            <w:vAlign w:val="center"/>
            <w:hideMark/>
          </w:tcPr>
          <w:p w14:paraId="69819F7F" w14:textId="77777777" w:rsidR="00387142" w:rsidRPr="008B6A75" w:rsidRDefault="00387142" w:rsidP="00387142">
            <w:pPr>
              <w:jc w:val="center"/>
              <w:rPr>
                <w:sz w:val="20"/>
                <w:szCs w:val="20"/>
              </w:rPr>
            </w:pPr>
            <w:r w:rsidRPr="008B6A75">
              <w:rPr>
                <w:sz w:val="20"/>
                <w:szCs w:val="20"/>
              </w:rPr>
              <w:t>444</w:t>
            </w:r>
          </w:p>
        </w:tc>
        <w:tc>
          <w:tcPr>
            <w:tcW w:w="709" w:type="dxa"/>
            <w:tcBorders>
              <w:top w:val="single" w:sz="4" w:space="0" w:color="auto"/>
              <w:left w:val="single" w:sz="4" w:space="0" w:color="auto"/>
              <w:bottom w:val="nil"/>
              <w:right w:val="nil"/>
            </w:tcBorders>
            <w:shd w:val="clear" w:color="auto" w:fill="auto"/>
            <w:noWrap/>
            <w:vAlign w:val="center"/>
            <w:hideMark/>
          </w:tcPr>
          <w:p w14:paraId="2CD0BB88" w14:textId="77777777" w:rsidR="00387142" w:rsidRPr="008B6A75" w:rsidRDefault="00387142" w:rsidP="00387142">
            <w:pPr>
              <w:jc w:val="center"/>
              <w:rPr>
                <w:sz w:val="20"/>
                <w:szCs w:val="20"/>
              </w:rPr>
            </w:pPr>
            <w:r w:rsidRPr="008B6A75">
              <w:rPr>
                <w:sz w:val="20"/>
                <w:szCs w:val="20"/>
              </w:rPr>
              <w:t>08</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5EB71590" w14:textId="77777777" w:rsidR="00387142" w:rsidRPr="008B6A75" w:rsidRDefault="00387142" w:rsidP="00387142">
            <w:pPr>
              <w:jc w:val="center"/>
              <w:rPr>
                <w:sz w:val="20"/>
                <w:szCs w:val="20"/>
              </w:rPr>
            </w:pPr>
            <w:r w:rsidRPr="008B6A75">
              <w:rPr>
                <w:sz w:val="20"/>
                <w:szCs w:val="20"/>
              </w:rPr>
              <w:t>01</w:t>
            </w:r>
          </w:p>
        </w:tc>
        <w:tc>
          <w:tcPr>
            <w:tcW w:w="1411" w:type="dxa"/>
            <w:tcBorders>
              <w:top w:val="single" w:sz="4" w:space="0" w:color="auto"/>
              <w:left w:val="single" w:sz="4" w:space="0" w:color="auto"/>
              <w:bottom w:val="nil"/>
              <w:right w:val="nil"/>
            </w:tcBorders>
            <w:shd w:val="clear" w:color="auto" w:fill="auto"/>
            <w:noWrap/>
            <w:vAlign w:val="center"/>
            <w:hideMark/>
          </w:tcPr>
          <w:p w14:paraId="30C32841" w14:textId="77777777" w:rsidR="00387142" w:rsidRPr="008B6A75" w:rsidRDefault="00387142" w:rsidP="00387142">
            <w:pPr>
              <w:jc w:val="center"/>
              <w:rPr>
                <w:sz w:val="20"/>
                <w:szCs w:val="20"/>
              </w:rPr>
            </w:pPr>
            <w:r w:rsidRPr="008B6A75">
              <w:rPr>
                <w:sz w:val="20"/>
                <w:szCs w:val="20"/>
              </w:rPr>
              <w:t>08.0.00.89500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49EC1184" w14:textId="77777777" w:rsidR="00387142" w:rsidRPr="008B6A75" w:rsidRDefault="00387142" w:rsidP="00387142">
            <w:pPr>
              <w:jc w:val="center"/>
              <w:rPr>
                <w:sz w:val="20"/>
                <w:szCs w:val="20"/>
              </w:rPr>
            </w:pPr>
            <w:r w:rsidRPr="008B6A75">
              <w:rPr>
                <w:sz w:val="20"/>
                <w:szCs w:val="20"/>
              </w:rPr>
              <w:t>500</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0068CEDF" w14:textId="77777777" w:rsidR="00387142" w:rsidRPr="008B6A75" w:rsidRDefault="00387142" w:rsidP="00387142">
            <w:pPr>
              <w:jc w:val="right"/>
              <w:rPr>
                <w:sz w:val="20"/>
                <w:szCs w:val="20"/>
              </w:rPr>
            </w:pPr>
            <w:r w:rsidRPr="008B6A75">
              <w:rPr>
                <w:sz w:val="20"/>
                <w:szCs w:val="20"/>
              </w:rPr>
              <w:t>2 515 324,50</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4FD4F34A" w14:textId="77777777" w:rsidR="00387142" w:rsidRPr="008B6A75" w:rsidRDefault="00387142" w:rsidP="00387142">
            <w:pPr>
              <w:jc w:val="right"/>
              <w:rPr>
                <w:sz w:val="20"/>
                <w:szCs w:val="20"/>
              </w:rPr>
            </w:pPr>
            <w:r w:rsidRPr="008B6A75">
              <w:rPr>
                <w:sz w:val="20"/>
                <w:szCs w:val="20"/>
              </w:rPr>
              <w:t>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37863327" w14:textId="77777777" w:rsidR="00387142" w:rsidRPr="008B6A75" w:rsidRDefault="00387142" w:rsidP="00387142">
            <w:pPr>
              <w:jc w:val="right"/>
              <w:rPr>
                <w:sz w:val="20"/>
                <w:szCs w:val="20"/>
              </w:rPr>
            </w:pPr>
            <w:r w:rsidRPr="008B6A75">
              <w:rPr>
                <w:sz w:val="20"/>
                <w:szCs w:val="20"/>
              </w:rPr>
              <w:t>0,00</w:t>
            </w:r>
          </w:p>
        </w:tc>
        <w:tc>
          <w:tcPr>
            <w:tcW w:w="222" w:type="dxa"/>
            <w:vAlign w:val="center"/>
            <w:hideMark/>
          </w:tcPr>
          <w:p w14:paraId="32653C28" w14:textId="77777777" w:rsidR="00387142" w:rsidRPr="008B6A75" w:rsidRDefault="00387142" w:rsidP="00387142">
            <w:pPr>
              <w:rPr>
                <w:sz w:val="20"/>
                <w:szCs w:val="20"/>
              </w:rPr>
            </w:pPr>
          </w:p>
        </w:tc>
      </w:tr>
      <w:tr w:rsidR="00387142" w:rsidRPr="008B6A75" w14:paraId="6185C4B1" w14:textId="77777777" w:rsidTr="00387142">
        <w:trPr>
          <w:trHeight w:val="300"/>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4C7028DA" w14:textId="77777777" w:rsidR="00387142" w:rsidRPr="008B6A75" w:rsidRDefault="00387142" w:rsidP="00387142">
            <w:pPr>
              <w:rPr>
                <w:sz w:val="20"/>
                <w:szCs w:val="20"/>
              </w:rPr>
            </w:pPr>
            <w:r w:rsidRPr="008B6A75">
              <w:rPr>
                <w:sz w:val="20"/>
                <w:szCs w:val="20"/>
              </w:rPr>
              <w:t>Иные межбюджетные трансферты</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05DC113C" w14:textId="77777777" w:rsidR="00387142" w:rsidRPr="008B6A75" w:rsidRDefault="00387142" w:rsidP="00387142">
            <w:pPr>
              <w:jc w:val="center"/>
              <w:rPr>
                <w:sz w:val="20"/>
                <w:szCs w:val="20"/>
              </w:rPr>
            </w:pPr>
            <w:r w:rsidRPr="008B6A75">
              <w:rPr>
                <w:sz w:val="20"/>
                <w:szCs w:val="20"/>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668DDCB2" w14:textId="77777777" w:rsidR="00387142" w:rsidRPr="008B6A75" w:rsidRDefault="00387142" w:rsidP="00387142">
            <w:pPr>
              <w:jc w:val="center"/>
              <w:rPr>
                <w:sz w:val="20"/>
                <w:szCs w:val="20"/>
              </w:rPr>
            </w:pPr>
            <w:r w:rsidRPr="008B6A75">
              <w:rPr>
                <w:sz w:val="20"/>
                <w:szCs w:val="20"/>
              </w:rPr>
              <w:t>08</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5897D1" w14:textId="77777777" w:rsidR="00387142" w:rsidRPr="008B6A75" w:rsidRDefault="00387142" w:rsidP="00387142">
            <w:pPr>
              <w:jc w:val="center"/>
              <w:rPr>
                <w:sz w:val="20"/>
                <w:szCs w:val="20"/>
              </w:rPr>
            </w:pPr>
            <w:r w:rsidRPr="008B6A75">
              <w:rPr>
                <w:sz w:val="20"/>
                <w:szCs w:val="20"/>
              </w:rPr>
              <w:t>01</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40C51022" w14:textId="77777777" w:rsidR="00387142" w:rsidRPr="008B6A75" w:rsidRDefault="00387142" w:rsidP="00387142">
            <w:pPr>
              <w:jc w:val="center"/>
              <w:rPr>
                <w:sz w:val="20"/>
                <w:szCs w:val="20"/>
              </w:rPr>
            </w:pPr>
            <w:r w:rsidRPr="008B6A75">
              <w:rPr>
                <w:sz w:val="20"/>
                <w:szCs w:val="20"/>
              </w:rPr>
              <w:t>08.0.00.89500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08AEB5" w14:textId="77777777" w:rsidR="00387142" w:rsidRPr="008B6A75" w:rsidRDefault="00387142" w:rsidP="00387142">
            <w:pPr>
              <w:jc w:val="center"/>
              <w:rPr>
                <w:sz w:val="20"/>
                <w:szCs w:val="20"/>
              </w:rPr>
            </w:pPr>
            <w:r w:rsidRPr="008B6A75">
              <w:rPr>
                <w:sz w:val="20"/>
                <w:szCs w:val="20"/>
              </w:rPr>
              <w:t>540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234519" w14:textId="77777777" w:rsidR="00387142" w:rsidRPr="008B6A75" w:rsidRDefault="00387142" w:rsidP="00387142">
            <w:pPr>
              <w:jc w:val="right"/>
              <w:rPr>
                <w:sz w:val="20"/>
                <w:szCs w:val="20"/>
              </w:rPr>
            </w:pPr>
            <w:r w:rsidRPr="008B6A75">
              <w:rPr>
                <w:sz w:val="20"/>
                <w:szCs w:val="20"/>
              </w:rPr>
              <w:t>2 515 324,50</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671EA6C6" w14:textId="77777777" w:rsidR="00387142" w:rsidRPr="008B6A75" w:rsidRDefault="00387142" w:rsidP="00387142">
            <w:pPr>
              <w:jc w:val="right"/>
              <w:rPr>
                <w:sz w:val="20"/>
                <w:szCs w:val="20"/>
              </w:rPr>
            </w:pPr>
            <w:r w:rsidRPr="008B6A75">
              <w:rPr>
                <w:sz w:val="20"/>
                <w:szCs w:val="20"/>
              </w:rPr>
              <w:t>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F0D9D7" w14:textId="77777777" w:rsidR="00387142" w:rsidRPr="008B6A75" w:rsidRDefault="00387142" w:rsidP="00387142">
            <w:pPr>
              <w:jc w:val="right"/>
              <w:rPr>
                <w:sz w:val="20"/>
                <w:szCs w:val="20"/>
              </w:rPr>
            </w:pPr>
            <w:r w:rsidRPr="008B6A75">
              <w:rPr>
                <w:sz w:val="20"/>
                <w:szCs w:val="20"/>
              </w:rPr>
              <w:t>0,00</w:t>
            </w:r>
          </w:p>
        </w:tc>
        <w:tc>
          <w:tcPr>
            <w:tcW w:w="222" w:type="dxa"/>
            <w:vAlign w:val="center"/>
            <w:hideMark/>
          </w:tcPr>
          <w:p w14:paraId="3BE1D3C3" w14:textId="77777777" w:rsidR="00387142" w:rsidRPr="008B6A75" w:rsidRDefault="00387142" w:rsidP="00387142">
            <w:pPr>
              <w:rPr>
                <w:sz w:val="20"/>
                <w:szCs w:val="20"/>
              </w:rPr>
            </w:pPr>
          </w:p>
        </w:tc>
      </w:tr>
      <w:tr w:rsidR="00387142" w:rsidRPr="008B6A75" w14:paraId="47BEF8EB" w14:textId="77777777" w:rsidTr="00387142">
        <w:trPr>
          <w:trHeight w:val="870"/>
        </w:trPr>
        <w:tc>
          <w:tcPr>
            <w:tcW w:w="3021" w:type="dxa"/>
            <w:tcBorders>
              <w:top w:val="nil"/>
              <w:left w:val="single" w:sz="4" w:space="0" w:color="auto"/>
              <w:bottom w:val="nil"/>
              <w:right w:val="nil"/>
            </w:tcBorders>
            <w:shd w:val="clear" w:color="auto" w:fill="auto"/>
            <w:vAlign w:val="center"/>
            <w:hideMark/>
          </w:tcPr>
          <w:p w14:paraId="63D7A6DF" w14:textId="77777777" w:rsidR="00387142" w:rsidRPr="008B6A75" w:rsidRDefault="00387142" w:rsidP="00387142">
            <w:pPr>
              <w:rPr>
                <w:sz w:val="20"/>
                <w:szCs w:val="20"/>
              </w:rPr>
            </w:pPr>
            <w:r w:rsidRPr="008B6A75">
              <w:rPr>
                <w:sz w:val="20"/>
                <w:szCs w:val="20"/>
              </w:rPr>
              <w:t>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right w:val="nil"/>
            </w:tcBorders>
            <w:shd w:val="clear" w:color="auto" w:fill="auto"/>
            <w:noWrap/>
            <w:vAlign w:val="center"/>
            <w:hideMark/>
          </w:tcPr>
          <w:p w14:paraId="63299A6B" w14:textId="77777777" w:rsidR="00387142" w:rsidRPr="008B6A75" w:rsidRDefault="00387142" w:rsidP="00387142">
            <w:pPr>
              <w:jc w:val="center"/>
              <w:rPr>
                <w:sz w:val="20"/>
                <w:szCs w:val="20"/>
              </w:rPr>
            </w:pPr>
            <w:r w:rsidRPr="008B6A75">
              <w:rPr>
                <w:sz w:val="20"/>
                <w:szCs w:val="20"/>
              </w:rPr>
              <w:t>444</w:t>
            </w:r>
          </w:p>
        </w:tc>
        <w:tc>
          <w:tcPr>
            <w:tcW w:w="709" w:type="dxa"/>
            <w:tcBorders>
              <w:top w:val="nil"/>
              <w:left w:val="single" w:sz="4" w:space="0" w:color="auto"/>
              <w:bottom w:val="nil"/>
              <w:right w:val="nil"/>
            </w:tcBorders>
            <w:shd w:val="clear" w:color="auto" w:fill="auto"/>
            <w:noWrap/>
            <w:vAlign w:val="center"/>
            <w:hideMark/>
          </w:tcPr>
          <w:p w14:paraId="4E15D9CE" w14:textId="77777777" w:rsidR="00387142" w:rsidRPr="008B6A75" w:rsidRDefault="00387142" w:rsidP="00387142">
            <w:pPr>
              <w:jc w:val="center"/>
              <w:rPr>
                <w:sz w:val="20"/>
                <w:szCs w:val="20"/>
              </w:rPr>
            </w:pPr>
            <w:r w:rsidRPr="008B6A75">
              <w:rPr>
                <w:sz w:val="20"/>
                <w:szCs w:val="20"/>
              </w:rPr>
              <w:t>08</w:t>
            </w:r>
          </w:p>
        </w:tc>
        <w:tc>
          <w:tcPr>
            <w:tcW w:w="709" w:type="dxa"/>
            <w:tcBorders>
              <w:top w:val="nil"/>
              <w:left w:val="single" w:sz="4" w:space="0" w:color="auto"/>
              <w:bottom w:val="nil"/>
              <w:right w:val="single" w:sz="4" w:space="0" w:color="auto"/>
            </w:tcBorders>
            <w:shd w:val="clear" w:color="auto" w:fill="auto"/>
            <w:noWrap/>
            <w:vAlign w:val="center"/>
            <w:hideMark/>
          </w:tcPr>
          <w:p w14:paraId="375192FF" w14:textId="77777777" w:rsidR="00387142" w:rsidRPr="008B6A75" w:rsidRDefault="00387142" w:rsidP="00387142">
            <w:pPr>
              <w:jc w:val="center"/>
              <w:rPr>
                <w:sz w:val="20"/>
                <w:szCs w:val="20"/>
              </w:rPr>
            </w:pPr>
            <w:r w:rsidRPr="008B6A75">
              <w:rPr>
                <w:sz w:val="20"/>
                <w:szCs w:val="20"/>
              </w:rPr>
              <w:t>01</w:t>
            </w:r>
          </w:p>
        </w:tc>
        <w:tc>
          <w:tcPr>
            <w:tcW w:w="1411" w:type="dxa"/>
            <w:tcBorders>
              <w:top w:val="nil"/>
              <w:left w:val="single" w:sz="4" w:space="0" w:color="auto"/>
              <w:bottom w:val="nil"/>
              <w:right w:val="nil"/>
            </w:tcBorders>
            <w:shd w:val="clear" w:color="auto" w:fill="auto"/>
            <w:noWrap/>
            <w:vAlign w:val="center"/>
            <w:hideMark/>
          </w:tcPr>
          <w:p w14:paraId="4F810E56" w14:textId="77777777" w:rsidR="00387142" w:rsidRPr="008B6A75" w:rsidRDefault="00387142" w:rsidP="00387142">
            <w:pPr>
              <w:jc w:val="center"/>
              <w:rPr>
                <w:sz w:val="20"/>
                <w:szCs w:val="20"/>
              </w:rPr>
            </w:pPr>
            <w:r w:rsidRPr="008B6A75">
              <w:rPr>
                <w:sz w:val="20"/>
                <w:szCs w:val="20"/>
              </w:rPr>
              <w:t>08.0.00.89500</w:t>
            </w:r>
          </w:p>
        </w:tc>
        <w:tc>
          <w:tcPr>
            <w:tcW w:w="955" w:type="dxa"/>
            <w:tcBorders>
              <w:top w:val="nil"/>
              <w:left w:val="single" w:sz="4" w:space="0" w:color="auto"/>
              <w:bottom w:val="nil"/>
              <w:right w:val="single" w:sz="4" w:space="0" w:color="auto"/>
            </w:tcBorders>
            <w:shd w:val="clear" w:color="auto" w:fill="auto"/>
            <w:noWrap/>
            <w:vAlign w:val="center"/>
            <w:hideMark/>
          </w:tcPr>
          <w:p w14:paraId="250FE0F2" w14:textId="77777777" w:rsidR="00387142" w:rsidRPr="008B6A75" w:rsidRDefault="00387142" w:rsidP="00387142">
            <w:pPr>
              <w:jc w:val="center"/>
              <w:rPr>
                <w:sz w:val="20"/>
                <w:szCs w:val="20"/>
              </w:rPr>
            </w:pPr>
            <w:r w:rsidRPr="008B6A75">
              <w:rPr>
                <w:sz w:val="20"/>
                <w:szCs w:val="20"/>
              </w:rPr>
              <w:t>600</w:t>
            </w:r>
          </w:p>
        </w:tc>
        <w:tc>
          <w:tcPr>
            <w:tcW w:w="992" w:type="dxa"/>
            <w:tcBorders>
              <w:top w:val="nil"/>
              <w:left w:val="single" w:sz="4" w:space="0" w:color="auto"/>
              <w:bottom w:val="nil"/>
              <w:right w:val="single" w:sz="4" w:space="0" w:color="auto"/>
            </w:tcBorders>
            <w:shd w:val="clear" w:color="auto" w:fill="auto"/>
            <w:noWrap/>
            <w:vAlign w:val="center"/>
            <w:hideMark/>
          </w:tcPr>
          <w:p w14:paraId="6D35665F" w14:textId="77777777" w:rsidR="00387142" w:rsidRPr="008B6A75" w:rsidRDefault="00387142" w:rsidP="00387142">
            <w:pPr>
              <w:jc w:val="right"/>
              <w:rPr>
                <w:sz w:val="20"/>
                <w:szCs w:val="20"/>
              </w:rPr>
            </w:pPr>
            <w:r w:rsidRPr="008B6A75">
              <w:rPr>
                <w:sz w:val="20"/>
                <w:szCs w:val="20"/>
              </w:rPr>
              <w:t>618 417,50</w:t>
            </w:r>
          </w:p>
        </w:tc>
        <w:tc>
          <w:tcPr>
            <w:tcW w:w="992" w:type="dxa"/>
            <w:gridSpan w:val="2"/>
            <w:tcBorders>
              <w:top w:val="nil"/>
              <w:left w:val="single" w:sz="4" w:space="0" w:color="auto"/>
              <w:bottom w:val="nil"/>
              <w:right w:val="nil"/>
            </w:tcBorders>
            <w:shd w:val="clear" w:color="auto" w:fill="auto"/>
            <w:noWrap/>
            <w:vAlign w:val="center"/>
            <w:hideMark/>
          </w:tcPr>
          <w:p w14:paraId="34A54F23" w14:textId="77777777" w:rsidR="00387142" w:rsidRPr="008B6A75" w:rsidRDefault="00387142" w:rsidP="00387142">
            <w:pPr>
              <w:jc w:val="right"/>
              <w:rPr>
                <w:sz w:val="20"/>
                <w:szCs w:val="20"/>
              </w:rPr>
            </w:pPr>
            <w:r w:rsidRPr="008B6A75">
              <w:rPr>
                <w:sz w:val="20"/>
                <w:szCs w:val="20"/>
              </w:rPr>
              <w:t>0,00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44D9B8AC" w14:textId="77777777" w:rsidR="00387142" w:rsidRPr="008B6A75" w:rsidRDefault="00387142" w:rsidP="00387142">
            <w:pPr>
              <w:jc w:val="right"/>
              <w:rPr>
                <w:sz w:val="20"/>
                <w:szCs w:val="20"/>
              </w:rPr>
            </w:pPr>
            <w:r w:rsidRPr="008B6A75">
              <w:rPr>
                <w:sz w:val="20"/>
                <w:szCs w:val="20"/>
              </w:rPr>
              <w:t>0,00</w:t>
            </w:r>
          </w:p>
        </w:tc>
        <w:tc>
          <w:tcPr>
            <w:tcW w:w="222" w:type="dxa"/>
            <w:vAlign w:val="center"/>
            <w:hideMark/>
          </w:tcPr>
          <w:p w14:paraId="6F8E78D8" w14:textId="77777777" w:rsidR="00387142" w:rsidRPr="008B6A75" w:rsidRDefault="00387142" w:rsidP="00387142">
            <w:pPr>
              <w:rPr>
                <w:sz w:val="20"/>
                <w:szCs w:val="20"/>
              </w:rPr>
            </w:pPr>
          </w:p>
        </w:tc>
      </w:tr>
      <w:tr w:rsidR="00387142" w:rsidRPr="008B6A75" w14:paraId="7AD04B65" w14:textId="77777777" w:rsidTr="00387142">
        <w:trPr>
          <w:trHeight w:val="300"/>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0460325B" w14:textId="77777777" w:rsidR="00387142" w:rsidRPr="008B6A75" w:rsidRDefault="00387142" w:rsidP="00387142">
            <w:pPr>
              <w:rPr>
                <w:sz w:val="20"/>
                <w:szCs w:val="20"/>
              </w:rPr>
            </w:pPr>
            <w:r w:rsidRPr="008B6A75">
              <w:rPr>
                <w:sz w:val="20"/>
                <w:szCs w:val="20"/>
              </w:rPr>
              <w:t>Субсидии бюджетным учреждениям</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79787E82" w14:textId="77777777" w:rsidR="00387142" w:rsidRPr="008B6A75" w:rsidRDefault="00387142" w:rsidP="00387142">
            <w:pPr>
              <w:jc w:val="center"/>
              <w:rPr>
                <w:sz w:val="20"/>
                <w:szCs w:val="20"/>
              </w:rPr>
            </w:pPr>
            <w:r w:rsidRPr="008B6A75">
              <w:rPr>
                <w:sz w:val="20"/>
                <w:szCs w:val="20"/>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1E9A3CEF" w14:textId="77777777" w:rsidR="00387142" w:rsidRPr="008B6A75" w:rsidRDefault="00387142" w:rsidP="00387142">
            <w:pPr>
              <w:jc w:val="center"/>
              <w:rPr>
                <w:sz w:val="20"/>
                <w:szCs w:val="20"/>
              </w:rPr>
            </w:pPr>
            <w:r w:rsidRPr="008B6A75">
              <w:rPr>
                <w:sz w:val="20"/>
                <w:szCs w:val="20"/>
              </w:rPr>
              <w:t>08</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207278" w14:textId="77777777" w:rsidR="00387142" w:rsidRPr="008B6A75" w:rsidRDefault="00387142" w:rsidP="00387142">
            <w:pPr>
              <w:jc w:val="center"/>
              <w:rPr>
                <w:sz w:val="20"/>
                <w:szCs w:val="20"/>
              </w:rPr>
            </w:pPr>
            <w:r w:rsidRPr="008B6A75">
              <w:rPr>
                <w:sz w:val="20"/>
                <w:szCs w:val="20"/>
              </w:rPr>
              <w:t>01</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5DD430AC" w14:textId="77777777" w:rsidR="00387142" w:rsidRPr="008B6A75" w:rsidRDefault="00387142" w:rsidP="00387142">
            <w:pPr>
              <w:jc w:val="center"/>
              <w:rPr>
                <w:sz w:val="20"/>
                <w:szCs w:val="20"/>
              </w:rPr>
            </w:pPr>
            <w:r w:rsidRPr="008B6A75">
              <w:rPr>
                <w:sz w:val="20"/>
                <w:szCs w:val="20"/>
              </w:rPr>
              <w:t>08.0.00.89500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5C1079" w14:textId="77777777" w:rsidR="00387142" w:rsidRPr="008B6A75" w:rsidRDefault="00387142" w:rsidP="00387142">
            <w:pPr>
              <w:jc w:val="center"/>
              <w:rPr>
                <w:sz w:val="20"/>
                <w:szCs w:val="20"/>
              </w:rPr>
            </w:pPr>
            <w:r w:rsidRPr="008B6A75">
              <w:rPr>
                <w:sz w:val="20"/>
                <w:szCs w:val="20"/>
              </w:rPr>
              <w:t>610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F0D191" w14:textId="77777777" w:rsidR="00387142" w:rsidRPr="008B6A75" w:rsidRDefault="00387142" w:rsidP="00387142">
            <w:pPr>
              <w:jc w:val="right"/>
              <w:rPr>
                <w:sz w:val="20"/>
                <w:szCs w:val="20"/>
              </w:rPr>
            </w:pPr>
            <w:r w:rsidRPr="008B6A75">
              <w:rPr>
                <w:sz w:val="20"/>
                <w:szCs w:val="20"/>
              </w:rPr>
              <w:t>618 417,50</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6FA478D2" w14:textId="77777777" w:rsidR="00387142" w:rsidRPr="008B6A75" w:rsidRDefault="00387142" w:rsidP="00387142">
            <w:pPr>
              <w:jc w:val="right"/>
              <w:rPr>
                <w:sz w:val="20"/>
                <w:szCs w:val="20"/>
              </w:rPr>
            </w:pPr>
            <w:r w:rsidRPr="008B6A75">
              <w:rPr>
                <w:sz w:val="20"/>
                <w:szCs w:val="20"/>
              </w:rPr>
              <w:t>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BC05A1" w14:textId="77777777" w:rsidR="00387142" w:rsidRPr="008B6A75" w:rsidRDefault="00387142" w:rsidP="00387142">
            <w:pPr>
              <w:jc w:val="right"/>
              <w:rPr>
                <w:sz w:val="20"/>
                <w:szCs w:val="20"/>
              </w:rPr>
            </w:pPr>
            <w:r w:rsidRPr="008B6A75">
              <w:rPr>
                <w:sz w:val="20"/>
                <w:szCs w:val="20"/>
              </w:rPr>
              <w:t>0,00</w:t>
            </w:r>
          </w:p>
        </w:tc>
        <w:tc>
          <w:tcPr>
            <w:tcW w:w="222" w:type="dxa"/>
            <w:vAlign w:val="center"/>
            <w:hideMark/>
          </w:tcPr>
          <w:p w14:paraId="2F30B659" w14:textId="77777777" w:rsidR="00387142" w:rsidRPr="008B6A75" w:rsidRDefault="00387142" w:rsidP="00387142">
            <w:pPr>
              <w:rPr>
                <w:sz w:val="20"/>
                <w:szCs w:val="20"/>
              </w:rPr>
            </w:pPr>
          </w:p>
        </w:tc>
      </w:tr>
      <w:tr w:rsidR="00387142" w:rsidRPr="008B6A75" w14:paraId="46032F9A" w14:textId="77777777" w:rsidTr="00387142">
        <w:trPr>
          <w:trHeight w:val="1440"/>
        </w:trPr>
        <w:tc>
          <w:tcPr>
            <w:tcW w:w="3021" w:type="dxa"/>
            <w:tcBorders>
              <w:top w:val="nil"/>
              <w:left w:val="single" w:sz="4" w:space="0" w:color="auto"/>
              <w:bottom w:val="nil"/>
              <w:right w:val="nil"/>
            </w:tcBorders>
            <w:shd w:val="clear" w:color="auto" w:fill="auto"/>
            <w:vAlign w:val="center"/>
            <w:hideMark/>
          </w:tcPr>
          <w:p w14:paraId="23E96471" w14:textId="77777777" w:rsidR="00387142" w:rsidRPr="008B6A75" w:rsidRDefault="00387142" w:rsidP="00387142">
            <w:pPr>
              <w:rPr>
                <w:bCs/>
                <w:sz w:val="20"/>
                <w:szCs w:val="20"/>
              </w:rPr>
            </w:pPr>
            <w:r w:rsidRPr="008B6A75">
              <w:rPr>
                <w:bCs/>
                <w:sz w:val="20"/>
                <w:szCs w:val="20"/>
              </w:rPr>
              <w:t>Реализация мероприятий по проведению работ на воинских захоронениях государственной программы Новосибирской области "Культура Новосибирской области" (ремонт, реставрация, благоустройство)</w:t>
            </w:r>
          </w:p>
        </w:tc>
        <w:tc>
          <w:tcPr>
            <w:tcW w:w="850" w:type="dxa"/>
            <w:tcBorders>
              <w:top w:val="nil"/>
              <w:left w:val="single" w:sz="4" w:space="0" w:color="auto"/>
              <w:bottom w:val="nil"/>
              <w:right w:val="nil"/>
            </w:tcBorders>
            <w:shd w:val="clear" w:color="auto" w:fill="auto"/>
            <w:noWrap/>
            <w:vAlign w:val="center"/>
            <w:hideMark/>
          </w:tcPr>
          <w:p w14:paraId="4BBF1B8A" w14:textId="77777777" w:rsidR="00387142" w:rsidRPr="008B6A75" w:rsidRDefault="00387142" w:rsidP="00387142">
            <w:pPr>
              <w:jc w:val="center"/>
              <w:rPr>
                <w:bCs/>
                <w:sz w:val="20"/>
                <w:szCs w:val="20"/>
              </w:rPr>
            </w:pPr>
            <w:r w:rsidRPr="008B6A75">
              <w:rPr>
                <w:bCs/>
                <w:sz w:val="20"/>
                <w:szCs w:val="20"/>
              </w:rPr>
              <w:t>444</w:t>
            </w:r>
          </w:p>
        </w:tc>
        <w:tc>
          <w:tcPr>
            <w:tcW w:w="709" w:type="dxa"/>
            <w:tcBorders>
              <w:top w:val="nil"/>
              <w:left w:val="single" w:sz="4" w:space="0" w:color="auto"/>
              <w:bottom w:val="nil"/>
              <w:right w:val="nil"/>
            </w:tcBorders>
            <w:shd w:val="clear" w:color="auto" w:fill="auto"/>
            <w:noWrap/>
            <w:vAlign w:val="center"/>
            <w:hideMark/>
          </w:tcPr>
          <w:p w14:paraId="7D906AD3" w14:textId="77777777" w:rsidR="00387142" w:rsidRPr="008B6A75" w:rsidRDefault="00387142" w:rsidP="00387142">
            <w:pPr>
              <w:jc w:val="center"/>
              <w:rPr>
                <w:bCs/>
                <w:sz w:val="20"/>
                <w:szCs w:val="20"/>
              </w:rPr>
            </w:pPr>
            <w:r w:rsidRPr="008B6A75">
              <w:rPr>
                <w:bCs/>
                <w:sz w:val="20"/>
                <w:szCs w:val="20"/>
              </w:rPr>
              <w:t>08</w:t>
            </w:r>
          </w:p>
        </w:tc>
        <w:tc>
          <w:tcPr>
            <w:tcW w:w="709" w:type="dxa"/>
            <w:tcBorders>
              <w:top w:val="nil"/>
              <w:left w:val="single" w:sz="4" w:space="0" w:color="auto"/>
              <w:bottom w:val="nil"/>
              <w:right w:val="single" w:sz="4" w:space="0" w:color="auto"/>
            </w:tcBorders>
            <w:shd w:val="clear" w:color="auto" w:fill="auto"/>
            <w:noWrap/>
            <w:vAlign w:val="center"/>
            <w:hideMark/>
          </w:tcPr>
          <w:p w14:paraId="285F1DDC" w14:textId="77777777" w:rsidR="00387142" w:rsidRPr="008B6A75" w:rsidRDefault="00387142" w:rsidP="00387142">
            <w:pPr>
              <w:jc w:val="center"/>
              <w:rPr>
                <w:bCs/>
                <w:sz w:val="20"/>
                <w:szCs w:val="20"/>
              </w:rPr>
            </w:pPr>
            <w:r w:rsidRPr="008B6A75">
              <w:rPr>
                <w:bCs/>
                <w:sz w:val="20"/>
                <w:szCs w:val="20"/>
              </w:rPr>
              <w:t>01</w:t>
            </w:r>
          </w:p>
        </w:tc>
        <w:tc>
          <w:tcPr>
            <w:tcW w:w="1411" w:type="dxa"/>
            <w:tcBorders>
              <w:top w:val="nil"/>
              <w:left w:val="single" w:sz="4" w:space="0" w:color="auto"/>
              <w:bottom w:val="nil"/>
              <w:right w:val="nil"/>
            </w:tcBorders>
            <w:shd w:val="clear" w:color="auto" w:fill="auto"/>
            <w:noWrap/>
            <w:vAlign w:val="center"/>
            <w:hideMark/>
          </w:tcPr>
          <w:p w14:paraId="6409487A" w14:textId="77777777" w:rsidR="00387142" w:rsidRPr="008B6A75" w:rsidRDefault="00387142" w:rsidP="00387142">
            <w:pPr>
              <w:jc w:val="center"/>
              <w:rPr>
                <w:bCs/>
                <w:sz w:val="20"/>
                <w:szCs w:val="20"/>
              </w:rPr>
            </w:pPr>
            <w:r w:rsidRPr="008B6A75">
              <w:rPr>
                <w:bCs/>
                <w:sz w:val="20"/>
                <w:szCs w:val="20"/>
              </w:rPr>
              <w:t>08.0.00.L2991</w:t>
            </w:r>
          </w:p>
        </w:tc>
        <w:tc>
          <w:tcPr>
            <w:tcW w:w="955" w:type="dxa"/>
            <w:tcBorders>
              <w:top w:val="nil"/>
              <w:left w:val="single" w:sz="4" w:space="0" w:color="auto"/>
              <w:bottom w:val="nil"/>
              <w:right w:val="single" w:sz="4" w:space="0" w:color="auto"/>
            </w:tcBorders>
            <w:shd w:val="clear" w:color="auto" w:fill="auto"/>
            <w:noWrap/>
            <w:vAlign w:val="center"/>
            <w:hideMark/>
          </w:tcPr>
          <w:p w14:paraId="532E5C11"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nil"/>
              <w:right w:val="single" w:sz="4" w:space="0" w:color="auto"/>
            </w:tcBorders>
            <w:shd w:val="clear" w:color="auto" w:fill="auto"/>
            <w:noWrap/>
            <w:vAlign w:val="center"/>
            <w:hideMark/>
          </w:tcPr>
          <w:p w14:paraId="348ED9A9" w14:textId="77777777" w:rsidR="00387142" w:rsidRPr="008B6A75" w:rsidRDefault="00387142" w:rsidP="00387142">
            <w:pPr>
              <w:jc w:val="right"/>
              <w:rPr>
                <w:bCs/>
                <w:sz w:val="20"/>
                <w:szCs w:val="20"/>
              </w:rPr>
            </w:pPr>
            <w:r w:rsidRPr="008B6A75">
              <w:rPr>
                <w:bCs/>
                <w:sz w:val="20"/>
                <w:szCs w:val="20"/>
              </w:rPr>
              <w:t>0,00</w:t>
            </w:r>
          </w:p>
        </w:tc>
        <w:tc>
          <w:tcPr>
            <w:tcW w:w="992" w:type="dxa"/>
            <w:gridSpan w:val="2"/>
            <w:tcBorders>
              <w:top w:val="nil"/>
              <w:left w:val="single" w:sz="4" w:space="0" w:color="auto"/>
              <w:bottom w:val="nil"/>
              <w:right w:val="nil"/>
            </w:tcBorders>
            <w:shd w:val="clear" w:color="auto" w:fill="auto"/>
            <w:noWrap/>
            <w:vAlign w:val="center"/>
            <w:hideMark/>
          </w:tcPr>
          <w:p w14:paraId="6740E7EF" w14:textId="77777777" w:rsidR="00387142" w:rsidRPr="008B6A75" w:rsidRDefault="00387142" w:rsidP="00387142">
            <w:pPr>
              <w:jc w:val="right"/>
              <w:rPr>
                <w:bCs/>
                <w:sz w:val="20"/>
                <w:szCs w:val="20"/>
              </w:rPr>
            </w:pPr>
            <w:r w:rsidRPr="008B6A75">
              <w:rPr>
                <w:bCs/>
                <w:sz w:val="20"/>
                <w:szCs w:val="20"/>
              </w:rPr>
              <w:t>0,00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400E96DD" w14:textId="77777777" w:rsidR="00387142" w:rsidRPr="008B6A75" w:rsidRDefault="00387142" w:rsidP="00387142">
            <w:pPr>
              <w:jc w:val="right"/>
              <w:rPr>
                <w:bCs/>
                <w:sz w:val="20"/>
                <w:szCs w:val="20"/>
              </w:rPr>
            </w:pPr>
            <w:r w:rsidRPr="008B6A75">
              <w:rPr>
                <w:bCs/>
                <w:sz w:val="20"/>
                <w:szCs w:val="20"/>
              </w:rPr>
              <w:t>652 800,00</w:t>
            </w:r>
          </w:p>
        </w:tc>
        <w:tc>
          <w:tcPr>
            <w:tcW w:w="222" w:type="dxa"/>
            <w:vAlign w:val="center"/>
            <w:hideMark/>
          </w:tcPr>
          <w:p w14:paraId="0ABE6A5D" w14:textId="77777777" w:rsidR="00387142" w:rsidRPr="008B6A75" w:rsidRDefault="00387142" w:rsidP="00387142">
            <w:pPr>
              <w:rPr>
                <w:sz w:val="20"/>
                <w:szCs w:val="20"/>
              </w:rPr>
            </w:pPr>
          </w:p>
        </w:tc>
      </w:tr>
      <w:tr w:rsidR="00387142" w:rsidRPr="008B6A75" w14:paraId="5531B436" w14:textId="77777777" w:rsidTr="00387142">
        <w:trPr>
          <w:trHeight w:val="300"/>
        </w:trPr>
        <w:tc>
          <w:tcPr>
            <w:tcW w:w="3021" w:type="dxa"/>
            <w:tcBorders>
              <w:top w:val="single" w:sz="4" w:space="0" w:color="auto"/>
              <w:left w:val="single" w:sz="4" w:space="0" w:color="auto"/>
              <w:bottom w:val="nil"/>
              <w:right w:val="nil"/>
            </w:tcBorders>
            <w:shd w:val="clear" w:color="auto" w:fill="auto"/>
            <w:vAlign w:val="center"/>
            <w:hideMark/>
          </w:tcPr>
          <w:p w14:paraId="0345FB2B" w14:textId="77777777" w:rsidR="00387142" w:rsidRPr="008B6A75" w:rsidRDefault="00387142" w:rsidP="00387142">
            <w:pPr>
              <w:rPr>
                <w:sz w:val="20"/>
                <w:szCs w:val="20"/>
              </w:rPr>
            </w:pPr>
            <w:r w:rsidRPr="008B6A75">
              <w:rPr>
                <w:sz w:val="20"/>
                <w:szCs w:val="20"/>
              </w:rPr>
              <w:t>Межбюджетные трансферты</w:t>
            </w:r>
          </w:p>
        </w:tc>
        <w:tc>
          <w:tcPr>
            <w:tcW w:w="850" w:type="dxa"/>
            <w:tcBorders>
              <w:top w:val="single" w:sz="4" w:space="0" w:color="auto"/>
              <w:left w:val="single" w:sz="4" w:space="0" w:color="auto"/>
              <w:bottom w:val="nil"/>
              <w:right w:val="nil"/>
            </w:tcBorders>
            <w:shd w:val="clear" w:color="auto" w:fill="auto"/>
            <w:noWrap/>
            <w:vAlign w:val="center"/>
            <w:hideMark/>
          </w:tcPr>
          <w:p w14:paraId="2EC15A64" w14:textId="77777777" w:rsidR="00387142" w:rsidRPr="008B6A75" w:rsidRDefault="00387142" w:rsidP="00387142">
            <w:pPr>
              <w:jc w:val="center"/>
              <w:rPr>
                <w:sz w:val="20"/>
                <w:szCs w:val="20"/>
              </w:rPr>
            </w:pPr>
            <w:r w:rsidRPr="008B6A75">
              <w:rPr>
                <w:sz w:val="20"/>
                <w:szCs w:val="20"/>
              </w:rPr>
              <w:t>444</w:t>
            </w:r>
          </w:p>
        </w:tc>
        <w:tc>
          <w:tcPr>
            <w:tcW w:w="709" w:type="dxa"/>
            <w:tcBorders>
              <w:top w:val="single" w:sz="4" w:space="0" w:color="auto"/>
              <w:left w:val="single" w:sz="4" w:space="0" w:color="auto"/>
              <w:bottom w:val="nil"/>
              <w:right w:val="nil"/>
            </w:tcBorders>
            <w:shd w:val="clear" w:color="auto" w:fill="auto"/>
            <w:noWrap/>
            <w:vAlign w:val="center"/>
            <w:hideMark/>
          </w:tcPr>
          <w:p w14:paraId="4AB589E4" w14:textId="77777777" w:rsidR="00387142" w:rsidRPr="008B6A75" w:rsidRDefault="00387142" w:rsidP="00387142">
            <w:pPr>
              <w:jc w:val="center"/>
              <w:rPr>
                <w:sz w:val="20"/>
                <w:szCs w:val="20"/>
              </w:rPr>
            </w:pPr>
            <w:r w:rsidRPr="008B6A75">
              <w:rPr>
                <w:sz w:val="20"/>
                <w:szCs w:val="20"/>
              </w:rPr>
              <w:t>08</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3177DF53" w14:textId="77777777" w:rsidR="00387142" w:rsidRPr="008B6A75" w:rsidRDefault="00387142" w:rsidP="00387142">
            <w:pPr>
              <w:jc w:val="center"/>
              <w:rPr>
                <w:sz w:val="20"/>
                <w:szCs w:val="20"/>
              </w:rPr>
            </w:pPr>
            <w:r w:rsidRPr="008B6A75">
              <w:rPr>
                <w:sz w:val="20"/>
                <w:szCs w:val="20"/>
              </w:rPr>
              <w:t>01</w:t>
            </w:r>
          </w:p>
        </w:tc>
        <w:tc>
          <w:tcPr>
            <w:tcW w:w="1411" w:type="dxa"/>
            <w:tcBorders>
              <w:top w:val="single" w:sz="4" w:space="0" w:color="auto"/>
              <w:left w:val="single" w:sz="4" w:space="0" w:color="auto"/>
              <w:bottom w:val="nil"/>
              <w:right w:val="nil"/>
            </w:tcBorders>
            <w:shd w:val="clear" w:color="auto" w:fill="auto"/>
            <w:noWrap/>
            <w:vAlign w:val="center"/>
            <w:hideMark/>
          </w:tcPr>
          <w:p w14:paraId="5EBF316B" w14:textId="77777777" w:rsidR="00387142" w:rsidRPr="008B6A75" w:rsidRDefault="00387142" w:rsidP="00387142">
            <w:pPr>
              <w:jc w:val="center"/>
              <w:rPr>
                <w:sz w:val="20"/>
                <w:szCs w:val="20"/>
              </w:rPr>
            </w:pPr>
            <w:r w:rsidRPr="008B6A75">
              <w:rPr>
                <w:sz w:val="20"/>
                <w:szCs w:val="20"/>
              </w:rPr>
              <w:t>08.0.00.L2991</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67D7AD89" w14:textId="77777777" w:rsidR="00387142" w:rsidRPr="008B6A75" w:rsidRDefault="00387142" w:rsidP="00387142">
            <w:pPr>
              <w:jc w:val="center"/>
              <w:rPr>
                <w:sz w:val="20"/>
                <w:szCs w:val="20"/>
              </w:rPr>
            </w:pPr>
            <w:r w:rsidRPr="008B6A75">
              <w:rPr>
                <w:sz w:val="20"/>
                <w:szCs w:val="20"/>
              </w:rPr>
              <w:t>500</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58294E8A" w14:textId="77777777" w:rsidR="00387142" w:rsidRPr="008B6A75" w:rsidRDefault="00387142" w:rsidP="00387142">
            <w:pPr>
              <w:jc w:val="right"/>
              <w:rPr>
                <w:sz w:val="20"/>
                <w:szCs w:val="20"/>
              </w:rPr>
            </w:pPr>
            <w:r w:rsidRPr="008B6A75">
              <w:rPr>
                <w:sz w:val="20"/>
                <w:szCs w:val="20"/>
              </w:rPr>
              <w:t>0,00</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43B6E1F1" w14:textId="77777777" w:rsidR="00387142" w:rsidRPr="008B6A75" w:rsidRDefault="00387142" w:rsidP="00387142">
            <w:pPr>
              <w:jc w:val="right"/>
              <w:rPr>
                <w:sz w:val="20"/>
                <w:szCs w:val="20"/>
              </w:rPr>
            </w:pPr>
            <w:r w:rsidRPr="008B6A75">
              <w:rPr>
                <w:sz w:val="20"/>
                <w:szCs w:val="20"/>
              </w:rPr>
              <w:t>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5A06C446" w14:textId="77777777" w:rsidR="00387142" w:rsidRPr="008B6A75" w:rsidRDefault="00387142" w:rsidP="00387142">
            <w:pPr>
              <w:jc w:val="right"/>
              <w:rPr>
                <w:sz w:val="20"/>
                <w:szCs w:val="20"/>
              </w:rPr>
            </w:pPr>
            <w:r w:rsidRPr="008B6A75">
              <w:rPr>
                <w:sz w:val="20"/>
                <w:szCs w:val="20"/>
              </w:rPr>
              <w:t>652 800,00</w:t>
            </w:r>
          </w:p>
        </w:tc>
        <w:tc>
          <w:tcPr>
            <w:tcW w:w="222" w:type="dxa"/>
            <w:vAlign w:val="center"/>
            <w:hideMark/>
          </w:tcPr>
          <w:p w14:paraId="50A49695" w14:textId="77777777" w:rsidR="00387142" w:rsidRPr="008B6A75" w:rsidRDefault="00387142" w:rsidP="00387142">
            <w:pPr>
              <w:rPr>
                <w:sz w:val="20"/>
                <w:szCs w:val="20"/>
              </w:rPr>
            </w:pPr>
          </w:p>
        </w:tc>
      </w:tr>
      <w:tr w:rsidR="00387142" w:rsidRPr="008B6A75" w14:paraId="11BD99D1" w14:textId="77777777" w:rsidTr="00387142">
        <w:trPr>
          <w:trHeight w:val="300"/>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6EDB4C8A" w14:textId="77777777" w:rsidR="00387142" w:rsidRPr="008B6A75" w:rsidRDefault="00387142" w:rsidP="00387142">
            <w:pPr>
              <w:rPr>
                <w:sz w:val="20"/>
                <w:szCs w:val="20"/>
              </w:rPr>
            </w:pPr>
            <w:r w:rsidRPr="008B6A75">
              <w:rPr>
                <w:sz w:val="20"/>
                <w:szCs w:val="20"/>
              </w:rPr>
              <w:t>Иные межбюджетные трансферты</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6E142A90" w14:textId="77777777" w:rsidR="00387142" w:rsidRPr="008B6A75" w:rsidRDefault="00387142" w:rsidP="00387142">
            <w:pPr>
              <w:jc w:val="center"/>
              <w:rPr>
                <w:sz w:val="20"/>
                <w:szCs w:val="20"/>
              </w:rPr>
            </w:pPr>
            <w:r w:rsidRPr="008B6A75">
              <w:rPr>
                <w:sz w:val="20"/>
                <w:szCs w:val="20"/>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16B1CDD3" w14:textId="77777777" w:rsidR="00387142" w:rsidRPr="008B6A75" w:rsidRDefault="00387142" w:rsidP="00387142">
            <w:pPr>
              <w:jc w:val="center"/>
              <w:rPr>
                <w:sz w:val="20"/>
                <w:szCs w:val="20"/>
              </w:rPr>
            </w:pPr>
            <w:r w:rsidRPr="008B6A75">
              <w:rPr>
                <w:sz w:val="20"/>
                <w:szCs w:val="20"/>
              </w:rPr>
              <w:t>08</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31E6B4" w14:textId="77777777" w:rsidR="00387142" w:rsidRPr="008B6A75" w:rsidRDefault="00387142" w:rsidP="00387142">
            <w:pPr>
              <w:jc w:val="center"/>
              <w:rPr>
                <w:sz w:val="20"/>
                <w:szCs w:val="20"/>
              </w:rPr>
            </w:pPr>
            <w:r w:rsidRPr="008B6A75">
              <w:rPr>
                <w:sz w:val="20"/>
                <w:szCs w:val="20"/>
              </w:rPr>
              <w:t>01</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1B6C5312" w14:textId="77777777" w:rsidR="00387142" w:rsidRPr="008B6A75" w:rsidRDefault="00387142" w:rsidP="00387142">
            <w:pPr>
              <w:jc w:val="center"/>
              <w:rPr>
                <w:sz w:val="20"/>
                <w:szCs w:val="20"/>
              </w:rPr>
            </w:pPr>
            <w:r w:rsidRPr="008B6A75">
              <w:rPr>
                <w:sz w:val="20"/>
                <w:szCs w:val="20"/>
              </w:rPr>
              <w:t>08.0.00.L2991</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BB9E8D" w14:textId="77777777" w:rsidR="00387142" w:rsidRPr="008B6A75" w:rsidRDefault="00387142" w:rsidP="00387142">
            <w:pPr>
              <w:jc w:val="center"/>
              <w:rPr>
                <w:sz w:val="20"/>
                <w:szCs w:val="20"/>
              </w:rPr>
            </w:pPr>
            <w:r w:rsidRPr="008B6A75">
              <w:rPr>
                <w:sz w:val="20"/>
                <w:szCs w:val="20"/>
              </w:rPr>
              <w:t>540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BE45DD" w14:textId="77777777" w:rsidR="00387142" w:rsidRPr="008B6A75" w:rsidRDefault="00387142" w:rsidP="00387142">
            <w:pPr>
              <w:jc w:val="right"/>
              <w:rPr>
                <w:sz w:val="20"/>
                <w:szCs w:val="20"/>
              </w:rPr>
            </w:pPr>
            <w:r w:rsidRPr="008B6A75">
              <w:rPr>
                <w:sz w:val="20"/>
                <w:szCs w:val="20"/>
              </w:rPr>
              <w:t>0,00</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038B036F" w14:textId="77777777" w:rsidR="00387142" w:rsidRPr="008B6A75" w:rsidRDefault="00387142" w:rsidP="00387142">
            <w:pPr>
              <w:jc w:val="right"/>
              <w:rPr>
                <w:sz w:val="20"/>
                <w:szCs w:val="20"/>
              </w:rPr>
            </w:pPr>
            <w:r w:rsidRPr="008B6A75">
              <w:rPr>
                <w:sz w:val="20"/>
                <w:szCs w:val="20"/>
              </w:rPr>
              <w:t>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0F6C21" w14:textId="77777777" w:rsidR="00387142" w:rsidRPr="008B6A75" w:rsidRDefault="00387142" w:rsidP="00387142">
            <w:pPr>
              <w:jc w:val="right"/>
              <w:rPr>
                <w:sz w:val="20"/>
                <w:szCs w:val="20"/>
              </w:rPr>
            </w:pPr>
            <w:r w:rsidRPr="008B6A75">
              <w:rPr>
                <w:sz w:val="20"/>
                <w:szCs w:val="20"/>
              </w:rPr>
              <w:t>652 800,00</w:t>
            </w:r>
          </w:p>
        </w:tc>
        <w:tc>
          <w:tcPr>
            <w:tcW w:w="222" w:type="dxa"/>
            <w:vAlign w:val="center"/>
            <w:hideMark/>
          </w:tcPr>
          <w:p w14:paraId="75B3E74E" w14:textId="77777777" w:rsidR="00387142" w:rsidRPr="008B6A75" w:rsidRDefault="00387142" w:rsidP="00387142">
            <w:pPr>
              <w:rPr>
                <w:sz w:val="20"/>
                <w:szCs w:val="20"/>
              </w:rPr>
            </w:pPr>
          </w:p>
        </w:tc>
      </w:tr>
      <w:tr w:rsidR="00387142" w:rsidRPr="008B6A75" w14:paraId="496D8ACC" w14:textId="77777777" w:rsidTr="00387142">
        <w:trPr>
          <w:trHeight w:val="1440"/>
        </w:trPr>
        <w:tc>
          <w:tcPr>
            <w:tcW w:w="3021" w:type="dxa"/>
            <w:tcBorders>
              <w:top w:val="nil"/>
              <w:left w:val="single" w:sz="4" w:space="0" w:color="auto"/>
              <w:bottom w:val="nil"/>
              <w:right w:val="nil"/>
            </w:tcBorders>
            <w:shd w:val="clear" w:color="auto" w:fill="auto"/>
            <w:vAlign w:val="center"/>
            <w:hideMark/>
          </w:tcPr>
          <w:p w14:paraId="31C2B1C8" w14:textId="77777777" w:rsidR="00387142" w:rsidRPr="008B6A75" w:rsidRDefault="00387142" w:rsidP="00387142">
            <w:pPr>
              <w:rPr>
                <w:bCs/>
                <w:sz w:val="20"/>
                <w:szCs w:val="20"/>
              </w:rPr>
            </w:pPr>
            <w:r w:rsidRPr="008B6A75">
              <w:rPr>
                <w:bCs/>
                <w:sz w:val="20"/>
                <w:szCs w:val="20"/>
              </w:rPr>
              <w:t>Реализация мероприятий по проведению работ на воинских захоронениях государственной программы Новосибирской области "Культура Новосибирской области" (установка мемориальных знаков)</w:t>
            </w:r>
          </w:p>
        </w:tc>
        <w:tc>
          <w:tcPr>
            <w:tcW w:w="850" w:type="dxa"/>
            <w:tcBorders>
              <w:top w:val="nil"/>
              <w:left w:val="single" w:sz="4" w:space="0" w:color="auto"/>
              <w:bottom w:val="nil"/>
              <w:right w:val="nil"/>
            </w:tcBorders>
            <w:shd w:val="clear" w:color="auto" w:fill="auto"/>
            <w:noWrap/>
            <w:vAlign w:val="center"/>
            <w:hideMark/>
          </w:tcPr>
          <w:p w14:paraId="152B0ABE" w14:textId="77777777" w:rsidR="00387142" w:rsidRPr="008B6A75" w:rsidRDefault="00387142" w:rsidP="00387142">
            <w:pPr>
              <w:jc w:val="center"/>
              <w:rPr>
                <w:bCs/>
                <w:sz w:val="20"/>
                <w:szCs w:val="20"/>
              </w:rPr>
            </w:pPr>
            <w:r w:rsidRPr="008B6A75">
              <w:rPr>
                <w:bCs/>
                <w:sz w:val="20"/>
                <w:szCs w:val="20"/>
              </w:rPr>
              <w:t>444</w:t>
            </w:r>
          </w:p>
        </w:tc>
        <w:tc>
          <w:tcPr>
            <w:tcW w:w="709" w:type="dxa"/>
            <w:tcBorders>
              <w:top w:val="nil"/>
              <w:left w:val="single" w:sz="4" w:space="0" w:color="auto"/>
              <w:bottom w:val="nil"/>
              <w:right w:val="nil"/>
            </w:tcBorders>
            <w:shd w:val="clear" w:color="auto" w:fill="auto"/>
            <w:noWrap/>
            <w:vAlign w:val="center"/>
            <w:hideMark/>
          </w:tcPr>
          <w:p w14:paraId="2F47E0A2" w14:textId="77777777" w:rsidR="00387142" w:rsidRPr="008B6A75" w:rsidRDefault="00387142" w:rsidP="00387142">
            <w:pPr>
              <w:jc w:val="center"/>
              <w:rPr>
                <w:bCs/>
                <w:sz w:val="20"/>
                <w:szCs w:val="20"/>
              </w:rPr>
            </w:pPr>
            <w:r w:rsidRPr="008B6A75">
              <w:rPr>
                <w:bCs/>
                <w:sz w:val="20"/>
                <w:szCs w:val="20"/>
              </w:rPr>
              <w:t>08</w:t>
            </w:r>
          </w:p>
        </w:tc>
        <w:tc>
          <w:tcPr>
            <w:tcW w:w="709" w:type="dxa"/>
            <w:tcBorders>
              <w:top w:val="nil"/>
              <w:left w:val="single" w:sz="4" w:space="0" w:color="auto"/>
              <w:bottom w:val="nil"/>
              <w:right w:val="single" w:sz="4" w:space="0" w:color="auto"/>
            </w:tcBorders>
            <w:shd w:val="clear" w:color="auto" w:fill="auto"/>
            <w:noWrap/>
            <w:vAlign w:val="center"/>
            <w:hideMark/>
          </w:tcPr>
          <w:p w14:paraId="738176DF" w14:textId="77777777" w:rsidR="00387142" w:rsidRPr="008B6A75" w:rsidRDefault="00387142" w:rsidP="00387142">
            <w:pPr>
              <w:jc w:val="center"/>
              <w:rPr>
                <w:bCs/>
                <w:sz w:val="20"/>
                <w:szCs w:val="20"/>
              </w:rPr>
            </w:pPr>
            <w:r w:rsidRPr="008B6A75">
              <w:rPr>
                <w:bCs/>
                <w:sz w:val="20"/>
                <w:szCs w:val="20"/>
              </w:rPr>
              <w:t>01</w:t>
            </w:r>
          </w:p>
        </w:tc>
        <w:tc>
          <w:tcPr>
            <w:tcW w:w="1411" w:type="dxa"/>
            <w:tcBorders>
              <w:top w:val="nil"/>
              <w:left w:val="single" w:sz="4" w:space="0" w:color="auto"/>
              <w:bottom w:val="nil"/>
              <w:right w:val="nil"/>
            </w:tcBorders>
            <w:shd w:val="clear" w:color="auto" w:fill="auto"/>
            <w:noWrap/>
            <w:vAlign w:val="center"/>
            <w:hideMark/>
          </w:tcPr>
          <w:p w14:paraId="48BA48EA" w14:textId="77777777" w:rsidR="00387142" w:rsidRPr="008B6A75" w:rsidRDefault="00387142" w:rsidP="00387142">
            <w:pPr>
              <w:jc w:val="center"/>
              <w:rPr>
                <w:bCs/>
                <w:sz w:val="20"/>
                <w:szCs w:val="20"/>
              </w:rPr>
            </w:pPr>
            <w:r w:rsidRPr="008B6A75">
              <w:rPr>
                <w:bCs/>
                <w:sz w:val="20"/>
                <w:szCs w:val="20"/>
              </w:rPr>
              <w:t>08.0.00.L2992</w:t>
            </w:r>
          </w:p>
        </w:tc>
        <w:tc>
          <w:tcPr>
            <w:tcW w:w="955" w:type="dxa"/>
            <w:tcBorders>
              <w:top w:val="nil"/>
              <w:left w:val="single" w:sz="4" w:space="0" w:color="auto"/>
              <w:bottom w:val="nil"/>
              <w:right w:val="single" w:sz="4" w:space="0" w:color="auto"/>
            </w:tcBorders>
            <w:shd w:val="clear" w:color="auto" w:fill="auto"/>
            <w:noWrap/>
            <w:vAlign w:val="center"/>
            <w:hideMark/>
          </w:tcPr>
          <w:p w14:paraId="2D8C153F"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nil"/>
              <w:right w:val="single" w:sz="4" w:space="0" w:color="auto"/>
            </w:tcBorders>
            <w:shd w:val="clear" w:color="auto" w:fill="auto"/>
            <w:noWrap/>
            <w:vAlign w:val="center"/>
            <w:hideMark/>
          </w:tcPr>
          <w:p w14:paraId="7217DC5D" w14:textId="77777777" w:rsidR="00387142" w:rsidRPr="008B6A75" w:rsidRDefault="00387142" w:rsidP="00387142">
            <w:pPr>
              <w:jc w:val="right"/>
              <w:rPr>
                <w:bCs/>
                <w:sz w:val="20"/>
                <w:szCs w:val="20"/>
              </w:rPr>
            </w:pPr>
            <w:r w:rsidRPr="008B6A75">
              <w:rPr>
                <w:bCs/>
                <w:sz w:val="20"/>
                <w:szCs w:val="20"/>
              </w:rPr>
              <w:t>127 858,00</w:t>
            </w:r>
          </w:p>
        </w:tc>
        <w:tc>
          <w:tcPr>
            <w:tcW w:w="992" w:type="dxa"/>
            <w:gridSpan w:val="2"/>
            <w:tcBorders>
              <w:top w:val="nil"/>
              <w:left w:val="single" w:sz="4" w:space="0" w:color="auto"/>
              <w:bottom w:val="nil"/>
              <w:right w:val="nil"/>
            </w:tcBorders>
            <w:shd w:val="clear" w:color="auto" w:fill="auto"/>
            <w:noWrap/>
            <w:vAlign w:val="center"/>
            <w:hideMark/>
          </w:tcPr>
          <w:p w14:paraId="186DCAC2" w14:textId="77777777" w:rsidR="00387142" w:rsidRPr="008B6A75" w:rsidRDefault="00387142" w:rsidP="00387142">
            <w:pPr>
              <w:jc w:val="right"/>
              <w:rPr>
                <w:bCs/>
                <w:sz w:val="20"/>
                <w:szCs w:val="20"/>
              </w:rPr>
            </w:pPr>
            <w:r w:rsidRPr="008B6A75">
              <w:rPr>
                <w:bCs/>
                <w:sz w:val="20"/>
                <w:szCs w:val="20"/>
              </w:rPr>
              <w:t>0,00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47082867" w14:textId="77777777" w:rsidR="00387142" w:rsidRPr="008B6A75" w:rsidRDefault="00387142" w:rsidP="00387142">
            <w:pPr>
              <w:jc w:val="right"/>
              <w:rPr>
                <w:bCs/>
                <w:sz w:val="20"/>
                <w:szCs w:val="20"/>
              </w:rPr>
            </w:pPr>
            <w:r w:rsidRPr="008B6A75">
              <w:rPr>
                <w:bCs/>
                <w:sz w:val="20"/>
                <w:szCs w:val="20"/>
              </w:rPr>
              <w:t>0,00</w:t>
            </w:r>
          </w:p>
        </w:tc>
        <w:tc>
          <w:tcPr>
            <w:tcW w:w="222" w:type="dxa"/>
            <w:vAlign w:val="center"/>
            <w:hideMark/>
          </w:tcPr>
          <w:p w14:paraId="1F02CC8A" w14:textId="77777777" w:rsidR="00387142" w:rsidRPr="008B6A75" w:rsidRDefault="00387142" w:rsidP="00387142">
            <w:pPr>
              <w:rPr>
                <w:sz w:val="20"/>
                <w:szCs w:val="20"/>
              </w:rPr>
            </w:pPr>
          </w:p>
        </w:tc>
      </w:tr>
      <w:tr w:rsidR="00387142" w:rsidRPr="008B6A75" w14:paraId="19720F09" w14:textId="77777777" w:rsidTr="00387142">
        <w:trPr>
          <w:trHeight w:val="300"/>
        </w:trPr>
        <w:tc>
          <w:tcPr>
            <w:tcW w:w="3021" w:type="dxa"/>
            <w:tcBorders>
              <w:top w:val="single" w:sz="4" w:space="0" w:color="auto"/>
              <w:left w:val="single" w:sz="4" w:space="0" w:color="auto"/>
              <w:bottom w:val="nil"/>
              <w:right w:val="nil"/>
            </w:tcBorders>
            <w:shd w:val="clear" w:color="auto" w:fill="auto"/>
            <w:vAlign w:val="center"/>
            <w:hideMark/>
          </w:tcPr>
          <w:p w14:paraId="0A728496" w14:textId="77777777" w:rsidR="00387142" w:rsidRPr="008B6A75" w:rsidRDefault="00387142" w:rsidP="00387142">
            <w:pPr>
              <w:rPr>
                <w:sz w:val="20"/>
                <w:szCs w:val="20"/>
              </w:rPr>
            </w:pPr>
            <w:r w:rsidRPr="008B6A75">
              <w:rPr>
                <w:sz w:val="20"/>
                <w:szCs w:val="20"/>
              </w:rPr>
              <w:t>Межбюджетные трансферты</w:t>
            </w:r>
          </w:p>
        </w:tc>
        <w:tc>
          <w:tcPr>
            <w:tcW w:w="850" w:type="dxa"/>
            <w:tcBorders>
              <w:top w:val="single" w:sz="4" w:space="0" w:color="auto"/>
              <w:left w:val="single" w:sz="4" w:space="0" w:color="auto"/>
              <w:bottom w:val="nil"/>
              <w:right w:val="nil"/>
            </w:tcBorders>
            <w:shd w:val="clear" w:color="auto" w:fill="auto"/>
            <w:noWrap/>
            <w:vAlign w:val="center"/>
            <w:hideMark/>
          </w:tcPr>
          <w:p w14:paraId="6655251D" w14:textId="77777777" w:rsidR="00387142" w:rsidRPr="008B6A75" w:rsidRDefault="00387142" w:rsidP="00387142">
            <w:pPr>
              <w:jc w:val="center"/>
              <w:rPr>
                <w:sz w:val="20"/>
                <w:szCs w:val="20"/>
              </w:rPr>
            </w:pPr>
            <w:r w:rsidRPr="008B6A75">
              <w:rPr>
                <w:sz w:val="20"/>
                <w:szCs w:val="20"/>
              </w:rPr>
              <w:t>444</w:t>
            </w:r>
          </w:p>
        </w:tc>
        <w:tc>
          <w:tcPr>
            <w:tcW w:w="709" w:type="dxa"/>
            <w:tcBorders>
              <w:top w:val="single" w:sz="4" w:space="0" w:color="auto"/>
              <w:left w:val="single" w:sz="4" w:space="0" w:color="auto"/>
              <w:bottom w:val="nil"/>
              <w:right w:val="nil"/>
            </w:tcBorders>
            <w:shd w:val="clear" w:color="auto" w:fill="auto"/>
            <w:noWrap/>
            <w:vAlign w:val="center"/>
            <w:hideMark/>
          </w:tcPr>
          <w:p w14:paraId="6B7DB355" w14:textId="77777777" w:rsidR="00387142" w:rsidRPr="008B6A75" w:rsidRDefault="00387142" w:rsidP="00387142">
            <w:pPr>
              <w:jc w:val="center"/>
              <w:rPr>
                <w:sz w:val="20"/>
                <w:szCs w:val="20"/>
              </w:rPr>
            </w:pPr>
            <w:r w:rsidRPr="008B6A75">
              <w:rPr>
                <w:sz w:val="20"/>
                <w:szCs w:val="20"/>
              </w:rPr>
              <w:t>08</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5055B000" w14:textId="77777777" w:rsidR="00387142" w:rsidRPr="008B6A75" w:rsidRDefault="00387142" w:rsidP="00387142">
            <w:pPr>
              <w:jc w:val="center"/>
              <w:rPr>
                <w:sz w:val="20"/>
                <w:szCs w:val="20"/>
              </w:rPr>
            </w:pPr>
            <w:r w:rsidRPr="008B6A75">
              <w:rPr>
                <w:sz w:val="20"/>
                <w:szCs w:val="20"/>
              </w:rPr>
              <w:t>01</w:t>
            </w:r>
          </w:p>
        </w:tc>
        <w:tc>
          <w:tcPr>
            <w:tcW w:w="1411" w:type="dxa"/>
            <w:tcBorders>
              <w:top w:val="single" w:sz="4" w:space="0" w:color="auto"/>
              <w:left w:val="single" w:sz="4" w:space="0" w:color="auto"/>
              <w:bottom w:val="nil"/>
              <w:right w:val="nil"/>
            </w:tcBorders>
            <w:shd w:val="clear" w:color="auto" w:fill="auto"/>
            <w:noWrap/>
            <w:vAlign w:val="center"/>
            <w:hideMark/>
          </w:tcPr>
          <w:p w14:paraId="024DCE0A" w14:textId="77777777" w:rsidR="00387142" w:rsidRPr="008B6A75" w:rsidRDefault="00387142" w:rsidP="00387142">
            <w:pPr>
              <w:jc w:val="center"/>
              <w:rPr>
                <w:sz w:val="20"/>
                <w:szCs w:val="20"/>
              </w:rPr>
            </w:pPr>
            <w:r w:rsidRPr="008B6A75">
              <w:rPr>
                <w:sz w:val="20"/>
                <w:szCs w:val="20"/>
              </w:rPr>
              <w:t>08.0.00.L2992</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7DE60788" w14:textId="77777777" w:rsidR="00387142" w:rsidRPr="008B6A75" w:rsidRDefault="00387142" w:rsidP="00387142">
            <w:pPr>
              <w:jc w:val="center"/>
              <w:rPr>
                <w:sz w:val="20"/>
                <w:szCs w:val="20"/>
              </w:rPr>
            </w:pPr>
            <w:r w:rsidRPr="008B6A75">
              <w:rPr>
                <w:sz w:val="20"/>
                <w:szCs w:val="20"/>
              </w:rPr>
              <w:t>500</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7CBBEB8F" w14:textId="77777777" w:rsidR="00387142" w:rsidRPr="008B6A75" w:rsidRDefault="00387142" w:rsidP="00387142">
            <w:pPr>
              <w:jc w:val="right"/>
              <w:rPr>
                <w:sz w:val="20"/>
                <w:szCs w:val="20"/>
              </w:rPr>
            </w:pPr>
            <w:r w:rsidRPr="008B6A75">
              <w:rPr>
                <w:sz w:val="20"/>
                <w:szCs w:val="20"/>
              </w:rPr>
              <w:t>127 858,00</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5048C728" w14:textId="77777777" w:rsidR="00387142" w:rsidRPr="008B6A75" w:rsidRDefault="00387142" w:rsidP="00387142">
            <w:pPr>
              <w:jc w:val="right"/>
              <w:rPr>
                <w:sz w:val="20"/>
                <w:szCs w:val="20"/>
              </w:rPr>
            </w:pPr>
            <w:r w:rsidRPr="008B6A75">
              <w:rPr>
                <w:sz w:val="20"/>
                <w:szCs w:val="20"/>
              </w:rPr>
              <w:t>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130D2D44" w14:textId="77777777" w:rsidR="00387142" w:rsidRPr="008B6A75" w:rsidRDefault="00387142" w:rsidP="00387142">
            <w:pPr>
              <w:jc w:val="right"/>
              <w:rPr>
                <w:sz w:val="20"/>
                <w:szCs w:val="20"/>
              </w:rPr>
            </w:pPr>
            <w:r w:rsidRPr="008B6A75">
              <w:rPr>
                <w:sz w:val="20"/>
                <w:szCs w:val="20"/>
              </w:rPr>
              <w:t>0,00</w:t>
            </w:r>
          </w:p>
        </w:tc>
        <w:tc>
          <w:tcPr>
            <w:tcW w:w="222" w:type="dxa"/>
            <w:vAlign w:val="center"/>
            <w:hideMark/>
          </w:tcPr>
          <w:p w14:paraId="7B8E341C" w14:textId="77777777" w:rsidR="00387142" w:rsidRPr="008B6A75" w:rsidRDefault="00387142" w:rsidP="00387142">
            <w:pPr>
              <w:rPr>
                <w:sz w:val="20"/>
                <w:szCs w:val="20"/>
              </w:rPr>
            </w:pPr>
          </w:p>
        </w:tc>
      </w:tr>
      <w:tr w:rsidR="00387142" w:rsidRPr="008B6A75" w14:paraId="48E9BAEC" w14:textId="77777777" w:rsidTr="00387142">
        <w:trPr>
          <w:trHeight w:val="300"/>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47B77F4C" w14:textId="77777777" w:rsidR="00387142" w:rsidRPr="008B6A75" w:rsidRDefault="00387142" w:rsidP="00387142">
            <w:pPr>
              <w:rPr>
                <w:sz w:val="20"/>
                <w:szCs w:val="20"/>
              </w:rPr>
            </w:pPr>
            <w:r w:rsidRPr="008B6A75">
              <w:rPr>
                <w:sz w:val="20"/>
                <w:szCs w:val="20"/>
              </w:rPr>
              <w:t>Иные межбюджетные трансферты</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659B54D5" w14:textId="77777777" w:rsidR="00387142" w:rsidRPr="008B6A75" w:rsidRDefault="00387142" w:rsidP="00387142">
            <w:pPr>
              <w:jc w:val="center"/>
              <w:rPr>
                <w:sz w:val="20"/>
                <w:szCs w:val="20"/>
              </w:rPr>
            </w:pPr>
            <w:r w:rsidRPr="008B6A75">
              <w:rPr>
                <w:sz w:val="20"/>
                <w:szCs w:val="20"/>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1312617F" w14:textId="77777777" w:rsidR="00387142" w:rsidRPr="008B6A75" w:rsidRDefault="00387142" w:rsidP="00387142">
            <w:pPr>
              <w:jc w:val="center"/>
              <w:rPr>
                <w:sz w:val="20"/>
                <w:szCs w:val="20"/>
              </w:rPr>
            </w:pPr>
            <w:r w:rsidRPr="008B6A75">
              <w:rPr>
                <w:sz w:val="20"/>
                <w:szCs w:val="20"/>
              </w:rPr>
              <w:t>08</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33111D" w14:textId="77777777" w:rsidR="00387142" w:rsidRPr="008B6A75" w:rsidRDefault="00387142" w:rsidP="00387142">
            <w:pPr>
              <w:jc w:val="center"/>
              <w:rPr>
                <w:sz w:val="20"/>
                <w:szCs w:val="20"/>
              </w:rPr>
            </w:pPr>
            <w:r w:rsidRPr="008B6A75">
              <w:rPr>
                <w:sz w:val="20"/>
                <w:szCs w:val="20"/>
              </w:rPr>
              <w:t>01</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1924666C" w14:textId="77777777" w:rsidR="00387142" w:rsidRPr="008B6A75" w:rsidRDefault="00387142" w:rsidP="00387142">
            <w:pPr>
              <w:jc w:val="center"/>
              <w:rPr>
                <w:sz w:val="20"/>
                <w:szCs w:val="20"/>
              </w:rPr>
            </w:pPr>
            <w:r w:rsidRPr="008B6A75">
              <w:rPr>
                <w:sz w:val="20"/>
                <w:szCs w:val="20"/>
              </w:rPr>
              <w:t>08.0.00.L2992</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79EB64" w14:textId="77777777" w:rsidR="00387142" w:rsidRPr="008B6A75" w:rsidRDefault="00387142" w:rsidP="00387142">
            <w:pPr>
              <w:jc w:val="center"/>
              <w:rPr>
                <w:sz w:val="20"/>
                <w:szCs w:val="20"/>
              </w:rPr>
            </w:pPr>
            <w:r w:rsidRPr="008B6A75">
              <w:rPr>
                <w:sz w:val="20"/>
                <w:szCs w:val="20"/>
              </w:rPr>
              <w:t>540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4830F8" w14:textId="77777777" w:rsidR="00387142" w:rsidRPr="008B6A75" w:rsidRDefault="00387142" w:rsidP="00387142">
            <w:pPr>
              <w:jc w:val="right"/>
              <w:rPr>
                <w:sz w:val="20"/>
                <w:szCs w:val="20"/>
              </w:rPr>
            </w:pPr>
            <w:r w:rsidRPr="008B6A75">
              <w:rPr>
                <w:sz w:val="20"/>
                <w:szCs w:val="20"/>
              </w:rPr>
              <w:t>127 858,00</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108B8B8A" w14:textId="77777777" w:rsidR="00387142" w:rsidRPr="008B6A75" w:rsidRDefault="00387142" w:rsidP="00387142">
            <w:pPr>
              <w:jc w:val="right"/>
              <w:rPr>
                <w:sz w:val="20"/>
                <w:szCs w:val="20"/>
              </w:rPr>
            </w:pPr>
            <w:r w:rsidRPr="008B6A75">
              <w:rPr>
                <w:sz w:val="20"/>
                <w:szCs w:val="20"/>
              </w:rPr>
              <w:t>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74E0E8" w14:textId="77777777" w:rsidR="00387142" w:rsidRPr="008B6A75" w:rsidRDefault="00387142" w:rsidP="00387142">
            <w:pPr>
              <w:jc w:val="right"/>
              <w:rPr>
                <w:sz w:val="20"/>
                <w:szCs w:val="20"/>
              </w:rPr>
            </w:pPr>
            <w:r w:rsidRPr="008B6A75">
              <w:rPr>
                <w:sz w:val="20"/>
                <w:szCs w:val="20"/>
              </w:rPr>
              <w:t>0,00</w:t>
            </w:r>
          </w:p>
        </w:tc>
        <w:tc>
          <w:tcPr>
            <w:tcW w:w="222" w:type="dxa"/>
            <w:vAlign w:val="center"/>
            <w:hideMark/>
          </w:tcPr>
          <w:p w14:paraId="22E511D4" w14:textId="77777777" w:rsidR="00387142" w:rsidRPr="008B6A75" w:rsidRDefault="00387142" w:rsidP="00387142">
            <w:pPr>
              <w:rPr>
                <w:sz w:val="20"/>
                <w:szCs w:val="20"/>
              </w:rPr>
            </w:pPr>
          </w:p>
        </w:tc>
      </w:tr>
      <w:tr w:rsidR="00387142" w:rsidRPr="008B6A75" w14:paraId="4B54914D" w14:textId="77777777" w:rsidTr="00387142">
        <w:trPr>
          <w:trHeight w:val="1725"/>
        </w:trPr>
        <w:tc>
          <w:tcPr>
            <w:tcW w:w="3021" w:type="dxa"/>
            <w:tcBorders>
              <w:top w:val="nil"/>
              <w:left w:val="single" w:sz="4" w:space="0" w:color="auto"/>
              <w:bottom w:val="nil"/>
              <w:right w:val="nil"/>
            </w:tcBorders>
            <w:shd w:val="clear" w:color="auto" w:fill="auto"/>
            <w:vAlign w:val="center"/>
            <w:hideMark/>
          </w:tcPr>
          <w:p w14:paraId="49B4BF75" w14:textId="77777777" w:rsidR="00387142" w:rsidRPr="008B6A75" w:rsidRDefault="00387142" w:rsidP="00387142">
            <w:pPr>
              <w:rPr>
                <w:bCs/>
                <w:sz w:val="20"/>
                <w:szCs w:val="20"/>
              </w:rPr>
            </w:pPr>
            <w:r w:rsidRPr="008B6A75">
              <w:rPr>
                <w:bCs/>
                <w:sz w:val="20"/>
                <w:szCs w:val="20"/>
              </w:rPr>
              <w:t xml:space="preserve">Мероприятия по обеспечению развития и укрепления материально-технической базы домов культуры в населенных пунктах с числом жителей до 50 </w:t>
            </w:r>
            <w:proofErr w:type="spellStart"/>
            <w:r w:rsidRPr="008B6A75">
              <w:rPr>
                <w:bCs/>
                <w:sz w:val="20"/>
                <w:szCs w:val="20"/>
              </w:rPr>
              <w:t>тыс.человек</w:t>
            </w:r>
            <w:proofErr w:type="spellEnd"/>
            <w:r w:rsidRPr="008B6A75">
              <w:rPr>
                <w:bCs/>
                <w:sz w:val="20"/>
                <w:szCs w:val="20"/>
              </w:rPr>
              <w:t xml:space="preserve"> в рамках реализации мероприятий ГП НСО "Культура Новосибирской области"</w:t>
            </w:r>
          </w:p>
        </w:tc>
        <w:tc>
          <w:tcPr>
            <w:tcW w:w="850" w:type="dxa"/>
            <w:tcBorders>
              <w:top w:val="nil"/>
              <w:left w:val="single" w:sz="4" w:space="0" w:color="auto"/>
              <w:bottom w:val="nil"/>
              <w:right w:val="nil"/>
            </w:tcBorders>
            <w:shd w:val="clear" w:color="auto" w:fill="auto"/>
            <w:noWrap/>
            <w:vAlign w:val="center"/>
            <w:hideMark/>
          </w:tcPr>
          <w:p w14:paraId="3621CF89" w14:textId="77777777" w:rsidR="00387142" w:rsidRPr="008B6A75" w:rsidRDefault="00387142" w:rsidP="00387142">
            <w:pPr>
              <w:jc w:val="center"/>
              <w:rPr>
                <w:bCs/>
                <w:sz w:val="20"/>
                <w:szCs w:val="20"/>
              </w:rPr>
            </w:pPr>
            <w:r w:rsidRPr="008B6A75">
              <w:rPr>
                <w:bCs/>
                <w:sz w:val="20"/>
                <w:szCs w:val="20"/>
              </w:rPr>
              <w:t>444</w:t>
            </w:r>
          </w:p>
        </w:tc>
        <w:tc>
          <w:tcPr>
            <w:tcW w:w="709" w:type="dxa"/>
            <w:tcBorders>
              <w:top w:val="nil"/>
              <w:left w:val="single" w:sz="4" w:space="0" w:color="auto"/>
              <w:bottom w:val="nil"/>
              <w:right w:val="nil"/>
            </w:tcBorders>
            <w:shd w:val="clear" w:color="auto" w:fill="auto"/>
            <w:noWrap/>
            <w:vAlign w:val="center"/>
            <w:hideMark/>
          </w:tcPr>
          <w:p w14:paraId="4A23810D" w14:textId="77777777" w:rsidR="00387142" w:rsidRPr="008B6A75" w:rsidRDefault="00387142" w:rsidP="00387142">
            <w:pPr>
              <w:jc w:val="center"/>
              <w:rPr>
                <w:bCs/>
                <w:sz w:val="20"/>
                <w:szCs w:val="20"/>
              </w:rPr>
            </w:pPr>
            <w:r w:rsidRPr="008B6A75">
              <w:rPr>
                <w:bCs/>
                <w:sz w:val="20"/>
                <w:szCs w:val="20"/>
              </w:rPr>
              <w:t>08</w:t>
            </w:r>
          </w:p>
        </w:tc>
        <w:tc>
          <w:tcPr>
            <w:tcW w:w="709" w:type="dxa"/>
            <w:tcBorders>
              <w:top w:val="nil"/>
              <w:left w:val="single" w:sz="4" w:space="0" w:color="auto"/>
              <w:bottom w:val="nil"/>
              <w:right w:val="single" w:sz="4" w:space="0" w:color="auto"/>
            </w:tcBorders>
            <w:shd w:val="clear" w:color="auto" w:fill="auto"/>
            <w:noWrap/>
            <w:vAlign w:val="center"/>
            <w:hideMark/>
          </w:tcPr>
          <w:p w14:paraId="4F1AB819" w14:textId="77777777" w:rsidR="00387142" w:rsidRPr="008B6A75" w:rsidRDefault="00387142" w:rsidP="00387142">
            <w:pPr>
              <w:jc w:val="center"/>
              <w:rPr>
                <w:bCs/>
                <w:sz w:val="20"/>
                <w:szCs w:val="20"/>
              </w:rPr>
            </w:pPr>
            <w:r w:rsidRPr="008B6A75">
              <w:rPr>
                <w:bCs/>
                <w:sz w:val="20"/>
                <w:szCs w:val="20"/>
              </w:rPr>
              <w:t>01</w:t>
            </w:r>
          </w:p>
        </w:tc>
        <w:tc>
          <w:tcPr>
            <w:tcW w:w="1411" w:type="dxa"/>
            <w:tcBorders>
              <w:top w:val="nil"/>
              <w:left w:val="single" w:sz="4" w:space="0" w:color="auto"/>
              <w:bottom w:val="nil"/>
              <w:right w:val="nil"/>
            </w:tcBorders>
            <w:shd w:val="clear" w:color="auto" w:fill="auto"/>
            <w:noWrap/>
            <w:vAlign w:val="center"/>
            <w:hideMark/>
          </w:tcPr>
          <w:p w14:paraId="4F1571E5" w14:textId="77777777" w:rsidR="00387142" w:rsidRPr="008B6A75" w:rsidRDefault="00387142" w:rsidP="00387142">
            <w:pPr>
              <w:jc w:val="center"/>
              <w:rPr>
                <w:bCs/>
                <w:sz w:val="20"/>
                <w:szCs w:val="20"/>
              </w:rPr>
            </w:pPr>
            <w:r w:rsidRPr="008B6A75">
              <w:rPr>
                <w:bCs/>
                <w:sz w:val="20"/>
                <w:szCs w:val="20"/>
              </w:rPr>
              <w:t>08.0.00.L4670</w:t>
            </w:r>
          </w:p>
        </w:tc>
        <w:tc>
          <w:tcPr>
            <w:tcW w:w="955" w:type="dxa"/>
            <w:tcBorders>
              <w:top w:val="nil"/>
              <w:left w:val="single" w:sz="4" w:space="0" w:color="auto"/>
              <w:bottom w:val="nil"/>
              <w:right w:val="single" w:sz="4" w:space="0" w:color="auto"/>
            </w:tcBorders>
            <w:shd w:val="clear" w:color="auto" w:fill="auto"/>
            <w:noWrap/>
            <w:vAlign w:val="center"/>
            <w:hideMark/>
          </w:tcPr>
          <w:p w14:paraId="04BF3DBB"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nil"/>
              <w:right w:val="single" w:sz="4" w:space="0" w:color="auto"/>
            </w:tcBorders>
            <w:shd w:val="clear" w:color="auto" w:fill="auto"/>
            <w:noWrap/>
            <w:vAlign w:val="center"/>
            <w:hideMark/>
          </w:tcPr>
          <w:p w14:paraId="37AFD2C0" w14:textId="77777777" w:rsidR="00387142" w:rsidRPr="008B6A75" w:rsidRDefault="00387142" w:rsidP="00387142">
            <w:pPr>
              <w:jc w:val="right"/>
              <w:rPr>
                <w:bCs/>
                <w:sz w:val="20"/>
                <w:szCs w:val="20"/>
              </w:rPr>
            </w:pPr>
            <w:r w:rsidRPr="008B6A75">
              <w:rPr>
                <w:bCs/>
                <w:sz w:val="20"/>
                <w:szCs w:val="20"/>
              </w:rPr>
              <w:t>1 581 800,00</w:t>
            </w:r>
          </w:p>
        </w:tc>
        <w:tc>
          <w:tcPr>
            <w:tcW w:w="992" w:type="dxa"/>
            <w:gridSpan w:val="2"/>
            <w:tcBorders>
              <w:top w:val="nil"/>
              <w:left w:val="single" w:sz="4" w:space="0" w:color="auto"/>
              <w:bottom w:val="nil"/>
              <w:right w:val="nil"/>
            </w:tcBorders>
            <w:shd w:val="clear" w:color="auto" w:fill="auto"/>
            <w:noWrap/>
            <w:vAlign w:val="center"/>
            <w:hideMark/>
          </w:tcPr>
          <w:p w14:paraId="6F34E2D8" w14:textId="77777777" w:rsidR="00387142" w:rsidRPr="008B6A75" w:rsidRDefault="00387142" w:rsidP="00387142">
            <w:pPr>
              <w:jc w:val="right"/>
              <w:rPr>
                <w:bCs/>
                <w:sz w:val="20"/>
                <w:szCs w:val="20"/>
              </w:rPr>
            </w:pPr>
            <w:r w:rsidRPr="008B6A75">
              <w:rPr>
                <w:bCs/>
                <w:sz w:val="20"/>
                <w:szCs w:val="20"/>
              </w:rPr>
              <w:t>1 581 800,00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5AEF632A" w14:textId="77777777" w:rsidR="00387142" w:rsidRPr="008B6A75" w:rsidRDefault="00387142" w:rsidP="00387142">
            <w:pPr>
              <w:jc w:val="right"/>
              <w:rPr>
                <w:bCs/>
                <w:sz w:val="20"/>
                <w:szCs w:val="20"/>
              </w:rPr>
            </w:pPr>
            <w:r w:rsidRPr="008B6A75">
              <w:rPr>
                <w:bCs/>
                <w:sz w:val="20"/>
                <w:szCs w:val="20"/>
              </w:rPr>
              <w:t>1 581 800,00</w:t>
            </w:r>
          </w:p>
        </w:tc>
        <w:tc>
          <w:tcPr>
            <w:tcW w:w="222" w:type="dxa"/>
            <w:vAlign w:val="center"/>
            <w:hideMark/>
          </w:tcPr>
          <w:p w14:paraId="2CBC3546" w14:textId="77777777" w:rsidR="00387142" w:rsidRPr="008B6A75" w:rsidRDefault="00387142" w:rsidP="00387142">
            <w:pPr>
              <w:rPr>
                <w:sz w:val="20"/>
                <w:szCs w:val="20"/>
              </w:rPr>
            </w:pPr>
          </w:p>
        </w:tc>
      </w:tr>
      <w:tr w:rsidR="00387142" w:rsidRPr="008B6A75" w14:paraId="056508DE" w14:textId="77777777" w:rsidTr="00387142">
        <w:trPr>
          <w:trHeight w:val="300"/>
        </w:trPr>
        <w:tc>
          <w:tcPr>
            <w:tcW w:w="3021" w:type="dxa"/>
            <w:tcBorders>
              <w:top w:val="single" w:sz="4" w:space="0" w:color="auto"/>
              <w:left w:val="single" w:sz="4" w:space="0" w:color="auto"/>
              <w:bottom w:val="nil"/>
              <w:right w:val="nil"/>
            </w:tcBorders>
            <w:shd w:val="clear" w:color="auto" w:fill="auto"/>
            <w:vAlign w:val="center"/>
            <w:hideMark/>
          </w:tcPr>
          <w:p w14:paraId="06570CC5" w14:textId="77777777" w:rsidR="00387142" w:rsidRPr="008B6A75" w:rsidRDefault="00387142" w:rsidP="00387142">
            <w:pPr>
              <w:rPr>
                <w:sz w:val="20"/>
                <w:szCs w:val="20"/>
              </w:rPr>
            </w:pPr>
            <w:r w:rsidRPr="008B6A75">
              <w:rPr>
                <w:sz w:val="20"/>
                <w:szCs w:val="20"/>
              </w:rPr>
              <w:t>Межбюджетные трансферты</w:t>
            </w:r>
          </w:p>
        </w:tc>
        <w:tc>
          <w:tcPr>
            <w:tcW w:w="850" w:type="dxa"/>
            <w:tcBorders>
              <w:top w:val="single" w:sz="4" w:space="0" w:color="auto"/>
              <w:left w:val="single" w:sz="4" w:space="0" w:color="auto"/>
              <w:bottom w:val="nil"/>
              <w:right w:val="nil"/>
            </w:tcBorders>
            <w:shd w:val="clear" w:color="auto" w:fill="auto"/>
            <w:noWrap/>
            <w:vAlign w:val="center"/>
            <w:hideMark/>
          </w:tcPr>
          <w:p w14:paraId="54919438" w14:textId="77777777" w:rsidR="00387142" w:rsidRPr="008B6A75" w:rsidRDefault="00387142" w:rsidP="00387142">
            <w:pPr>
              <w:jc w:val="center"/>
              <w:rPr>
                <w:sz w:val="20"/>
                <w:szCs w:val="20"/>
              </w:rPr>
            </w:pPr>
            <w:r w:rsidRPr="008B6A75">
              <w:rPr>
                <w:sz w:val="20"/>
                <w:szCs w:val="20"/>
              </w:rPr>
              <w:t>444</w:t>
            </w:r>
          </w:p>
        </w:tc>
        <w:tc>
          <w:tcPr>
            <w:tcW w:w="709" w:type="dxa"/>
            <w:tcBorders>
              <w:top w:val="single" w:sz="4" w:space="0" w:color="auto"/>
              <w:left w:val="single" w:sz="4" w:space="0" w:color="auto"/>
              <w:bottom w:val="nil"/>
              <w:right w:val="nil"/>
            </w:tcBorders>
            <w:shd w:val="clear" w:color="auto" w:fill="auto"/>
            <w:noWrap/>
            <w:vAlign w:val="center"/>
            <w:hideMark/>
          </w:tcPr>
          <w:p w14:paraId="6FEFFA17" w14:textId="77777777" w:rsidR="00387142" w:rsidRPr="008B6A75" w:rsidRDefault="00387142" w:rsidP="00387142">
            <w:pPr>
              <w:jc w:val="center"/>
              <w:rPr>
                <w:sz w:val="20"/>
                <w:szCs w:val="20"/>
              </w:rPr>
            </w:pPr>
            <w:r w:rsidRPr="008B6A75">
              <w:rPr>
                <w:sz w:val="20"/>
                <w:szCs w:val="20"/>
              </w:rPr>
              <w:t>08</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645A24B6" w14:textId="77777777" w:rsidR="00387142" w:rsidRPr="008B6A75" w:rsidRDefault="00387142" w:rsidP="00387142">
            <w:pPr>
              <w:jc w:val="center"/>
              <w:rPr>
                <w:sz w:val="20"/>
                <w:szCs w:val="20"/>
              </w:rPr>
            </w:pPr>
            <w:r w:rsidRPr="008B6A75">
              <w:rPr>
                <w:sz w:val="20"/>
                <w:szCs w:val="20"/>
              </w:rPr>
              <w:t>01</w:t>
            </w:r>
          </w:p>
        </w:tc>
        <w:tc>
          <w:tcPr>
            <w:tcW w:w="1411" w:type="dxa"/>
            <w:tcBorders>
              <w:top w:val="single" w:sz="4" w:space="0" w:color="auto"/>
              <w:left w:val="single" w:sz="4" w:space="0" w:color="auto"/>
              <w:bottom w:val="nil"/>
              <w:right w:val="nil"/>
            </w:tcBorders>
            <w:shd w:val="clear" w:color="auto" w:fill="auto"/>
            <w:noWrap/>
            <w:vAlign w:val="center"/>
            <w:hideMark/>
          </w:tcPr>
          <w:p w14:paraId="713F4ABB" w14:textId="77777777" w:rsidR="00387142" w:rsidRPr="008B6A75" w:rsidRDefault="00387142" w:rsidP="00387142">
            <w:pPr>
              <w:jc w:val="center"/>
              <w:rPr>
                <w:sz w:val="20"/>
                <w:szCs w:val="20"/>
              </w:rPr>
            </w:pPr>
            <w:r w:rsidRPr="008B6A75">
              <w:rPr>
                <w:sz w:val="20"/>
                <w:szCs w:val="20"/>
              </w:rPr>
              <w:t>08.0.00.L4670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2422E85D" w14:textId="77777777" w:rsidR="00387142" w:rsidRPr="008B6A75" w:rsidRDefault="00387142" w:rsidP="00387142">
            <w:pPr>
              <w:jc w:val="center"/>
              <w:rPr>
                <w:sz w:val="20"/>
                <w:szCs w:val="20"/>
              </w:rPr>
            </w:pPr>
            <w:r w:rsidRPr="008B6A75">
              <w:rPr>
                <w:sz w:val="20"/>
                <w:szCs w:val="20"/>
              </w:rPr>
              <w:t>500</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6A38F825" w14:textId="77777777" w:rsidR="00387142" w:rsidRPr="008B6A75" w:rsidRDefault="00387142" w:rsidP="00387142">
            <w:pPr>
              <w:jc w:val="right"/>
              <w:rPr>
                <w:sz w:val="20"/>
                <w:szCs w:val="20"/>
              </w:rPr>
            </w:pPr>
            <w:r w:rsidRPr="008B6A75">
              <w:rPr>
                <w:sz w:val="20"/>
                <w:szCs w:val="20"/>
              </w:rPr>
              <w:t>1 581 800,00</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2694A4C5" w14:textId="77777777" w:rsidR="00387142" w:rsidRPr="008B6A75" w:rsidRDefault="00387142" w:rsidP="00387142">
            <w:pPr>
              <w:jc w:val="right"/>
              <w:rPr>
                <w:sz w:val="20"/>
                <w:szCs w:val="20"/>
              </w:rPr>
            </w:pPr>
            <w:r w:rsidRPr="008B6A75">
              <w:rPr>
                <w:sz w:val="20"/>
                <w:szCs w:val="20"/>
              </w:rPr>
              <w:t>1 581 800,00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2F81E0AD" w14:textId="77777777" w:rsidR="00387142" w:rsidRPr="008B6A75" w:rsidRDefault="00387142" w:rsidP="00387142">
            <w:pPr>
              <w:jc w:val="right"/>
              <w:rPr>
                <w:sz w:val="20"/>
                <w:szCs w:val="20"/>
              </w:rPr>
            </w:pPr>
            <w:r w:rsidRPr="008B6A75">
              <w:rPr>
                <w:sz w:val="20"/>
                <w:szCs w:val="20"/>
              </w:rPr>
              <w:t>1 581 800,00</w:t>
            </w:r>
          </w:p>
        </w:tc>
        <w:tc>
          <w:tcPr>
            <w:tcW w:w="222" w:type="dxa"/>
            <w:vAlign w:val="center"/>
            <w:hideMark/>
          </w:tcPr>
          <w:p w14:paraId="24950EC9" w14:textId="77777777" w:rsidR="00387142" w:rsidRPr="008B6A75" w:rsidRDefault="00387142" w:rsidP="00387142">
            <w:pPr>
              <w:rPr>
                <w:sz w:val="20"/>
                <w:szCs w:val="20"/>
              </w:rPr>
            </w:pPr>
          </w:p>
        </w:tc>
      </w:tr>
      <w:tr w:rsidR="00387142" w:rsidRPr="008B6A75" w14:paraId="6911E3EB" w14:textId="77777777" w:rsidTr="00387142">
        <w:trPr>
          <w:trHeight w:val="300"/>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1011E9F1" w14:textId="77777777" w:rsidR="00387142" w:rsidRPr="008B6A75" w:rsidRDefault="00387142" w:rsidP="00387142">
            <w:pPr>
              <w:rPr>
                <w:sz w:val="20"/>
                <w:szCs w:val="20"/>
              </w:rPr>
            </w:pPr>
            <w:r w:rsidRPr="008B6A75">
              <w:rPr>
                <w:sz w:val="20"/>
                <w:szCs w:val="20"/>
              </w:rPr>
              <w:t>Субсидии</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1A488C5C" w14:textId="77777777" w:rsidR="00387142" w:rsidRPr="008B6A75" w:rsidRDefault="00387142" w:rsidP="00387142">
            <w:pPr>
              <w:jc w:val="center"/>
              <w:rPr>
                <w:sz w:val="20"/>
                <w:szCs w:val="20"/>
              </w:rPr>
            </w:pPr>
            <w:r w:rsidRPr="008B6A75">
              <w:rPr>
                <w:sz w:val="20"/>
                <w:szCs w:val="20"/>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6C3D55AC" w14:textId="77777777" w:rsidR="00387142" w:rsidRPr="008B6A75" w:rsidRDefault="00387142" w:rsidP="00387142">
            <w:pPr>
              <w:jc w:val="center"/>
              <w:rPr>
                <w:sz w:val="20"/>
                <w:szCs w:val="20"/>
              </w:rPr>
            </w:pPr>
            <w:r w:rsidRPr="008B6A75">
              <w:rPr>
                <w:sz w:val="20"/>
                <w:szCs w:val="20"/>
              </w:rPr>
              <w:t>08</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0CA6CB" w14:textId="77777777" w:rsidR="00387142" w:rsidRPr="008B6A75" w:rsidRDefault="00387142" w:rsidP="00387142">
            <w:pPr>
              <w:jc w:val="center"/>
              <w:rPr>
                <w:sz w:val="20"/>
                <w:szCs w:val="20"/>
              </w:rPr>
            </w:pPr>
            <w:r w:rsidRPr="008B6A75">
              <w:rPr>
                <w:sz w:val="20"/>
                <w:szCs w:val="20"/>
              </w:rPr>
              <w:t>01</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68675E3C" w14:textId="77777777" w:rsidR="00387142" w:rsidRPr="008B6A75" w:rsidRDefault="00387142" w:rsidP="00387142">
            <w:pPr>
              <w:jc w:val="center"/>
              <w:rPr>
                <w:sz w:val="20"/>
                <w:szCs w:val="20"/>
              </w:rPr>
            </w:pPr>
            <w:r w:rsidRPr="008B6A75">
              <w:rPr>
                <w:sz w:val="20"/>
                <w:szCs w:val="20"/>
              </w:rPr>
              <w:t>08.0.00.L4670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970F3E" w14:textId="77777777" w:rsidR="00387142" w:rsidRPr="008B6A75" w:rsidRDefault="00387142" w:rsidP="00387142">
            <w:pPr>
              <w:jc w:val="center"/>
              <w:rPr>
                <w:sz w:val="20"/>
                <w:szCs w:val="20"/>
              </w:rPr>
            </w:pPr>
            <w:r w:rsidRPr="008B6A75">
              <w:rPr>
                <w:sz w:val="20"/>
                <w:szCs w:val="20"/>
              </w:rPr>
              <w:t>520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30A97F" w14:textId="77777777" w:rsidR="00387142" w:rsidRPr="008B6A75" w:rsidRDefault="00387142" w:rsidP="00387142">
            <w:pPr>
              <w:jc w:val="right"/>
              <w:rPr>
                <w:sz w:val="20"/>
                <w:szCs w:val="20"/>
              </w:rPr>
            </w:pPr>
            <w:r w:rsidRPr="008B6A75">
              <w:rPr>
                <w:sz w:val="20"/>
                <w:szCs w:val="20"/>
              </w:rPr>
              <w:t>1 581 800,00</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4BE33D29" w14:textId="77777777" w:rsidR="00387142" w:rsidRPr="008B6A75" w:rsidRDefault="00387142" w:rsidP="00387142">
            <w:pPr>
              <w:jc w:val="right"/>
              <w:rPr>
                <w:sz w:val="20"/>
                <w:szCs w:val="20"/>
              </w:rPr>
            </w:pPr>
            <w:r w:rsidRPr="008B6A75">
              <w:rPr>
                <w:sz w:val="20"/>
                <w:szCs w:val="20"/>
              </w:rPr>
              <w:t>1 581 800,00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AE276F" w14:textId="77777777" w:rsidR="00387142" w:rsidRPr="008B6A75" w:rsidRDefault="00387142" w:rsidP="00387142">
            <w:pPr>
              <w:jc w:val="right"/>
              <w:rPr>
                <w:sz w:val="20"/>
                <w:szCs w:val="20"/>
              </w:rPr>
            </w:pPr>
            <w:r w:rsidRPr="008B6A75">
              <w:rPr>
                <w:sz w:val="20"/>
                <w:szCs w:val="20"/>
              </w:rPr>
              <w:t>1 581 800,00</w:t>
            </w:r>
          </w:p>
        </w:tc>
        <w:tc>
          <w:tcPr>
            <w:tcW w:w="222" w:type="dxa"/>
            <w:vAlign w:val="center"/>
            <w:hideMark/>
          </w:tcPr>
          <w:p w14:paraId="1F2BA97D" w14:textId="77777777" w:rsidR="00387142" w:rsidRPr="008B6A75" w:rsidRDefault="00387142" w:rsidP="00387142">
            <w:pPr>
              <w:rPr>
                <w:sz w:val="20"/>
                <w:szCs w:val="20"/>
              </w:rPr>
            </w:pPr>
          </w:p>
        </w:tc>
      </w:tr>
      <w:tr w:rsidR="00387142" w:rsidRPr="008B6A75" w14:paraId="63F47BDA" w14:textId="77777777" w:rsidTr="00387142">
        <w:trPr>
          <w:trHeight w:val="1725"/>
        </w:trPr>
        <w:tc>
          <w:tcPr>
            <w:tcW w:w="3021" w:type="dxa"/>
            <w:tcBorders>
              <w:top w:val="nil"/>
              <w:left w:val="single" w:sz="4" w:space="0" w:color="auto"/>
              <w:bottom w:val="nil"/>
              <w:right w:val="nil"/>
            </w:tcBorders>
            <w:shd w:val="clear" w:color="auto" w:fill="auto"/>
            <w:vAlign w:val="center"/>
            <w:hideMark/>
          </w:tcPr>
          <w:p w14:paraId="6E61A175" w14:textId="77777777" w:rsidR="00387142" w:rsidRPr="008B6A75" w:rsidRDefault="00387142" w:rsidP="00387142">
            <w:pPr>
              <w:rPr>
                <w:bCs/>
                <w:sz w:val="20"/>
                <w:szCs w:val="20"/>
              </w:rPr>
            </w:pPr>
            <w:r w:rsidRPr="008B6A75">
              <w:rPr>
                <w:bCs/>
                <w:sz w:val="20"/>
                <w:szCs w:val="20"/>
              </w:rPr>
              <w:lastRenderedPageBreak/>
              <w:t>Реализация мероприятий по комплектованию книжных фондов муниципальных общедоступных библиотек Новосибирской области государственной программы Новосибирской области "Культура Новосибирской области"</w:t>
            </w:r>
          </w:p>
        </w:tc>
        <w:tc>
          <w:tcPr>
            <w:tcW w:w="850" w:type="dxa"/>
            <w:tcBorders>
              <w:top w:val="nil"/>
              <w:left w:val="single" w:sz="4" w:space="0" w:color="auto"/>
              <w:bottom w:val="nil"/>
              <w:right w:val="nil"/>
            </w:tcBorders>
            <w:shd w:val="clear" w:color="auto" w:fill="auto"/>
            <w:noWrap/>
            <w:vAlign w:val="center"/>
            <w:hideMark/>
          </w:tcPr>
          <w:p w14:paraId="327C05B5" w14:textId="77777777" w:rsidR="00387142" w:rsidRPr="008B6A75" w:rsidRDefault="00387142" w:rsidP="00387142">
            <w:pPr>
              <w:jc w:val="center"/>
              <w:rPr>
                <w:bCs/>
                <w:sz w:val="20"/>
                <w:szCs w:val="20"/>
              </w:rPr>
            </w:pPr>
            <w:r w:rsidRPr="008B6A75">
              <w:rPr>
                <w:bCs/>
                <w:sz w:val="20"/>
                <w:szCs w:val="20"/>
              </w:rPr>
              <w:t>444</w:t>
            </w:r>
          </w:p>
        </w:tc>
        <w:tc>
          <w:tcPr>
            <w:tcW w:w="709" w:type="dxa"/>
            <w:tcBorders>
              <w:top w:val="nil"/>
              <w:left w:val="single" w:sz="4" w:space="0" w:color="auto"/>
              <w:bottom w:val="nil"/>
              <w:right w:val="nil"/>
            </w:tcBorders>
            <w:shd w:val="clear" w:color="auto" w:fill="auto"/>
            <w:noWrap/>
            <w:vAlign w:val="center"/>
            <w:hideMark/>
          </w:tcPr>
          <w:p w14:paraId="5AF3C280" w14:textId="77777777" w:rsidR="00387142" w:rsidRPr="008B6A75" w:rsidRDefault="00387142" w:rsidP="00387142">
            <w:pPr>
              <w:jc w:val="center"/>
              <w:rPr>
                <w:bCs/>
                <w:sz w:val="20"/>
                <w:szCs w:val="20"/>
              </w:rPr>
            </w:pPr>
            <w:r w:rsidRPr="008B6A75">
              <w:rPr>
                <w:bCs/>
                <w:sz w:val="20"/>
                <w:szCs w:val="20"/>
              </w:rPr>
              <w:t>08</w:t>
            </w:r>
          </w:p>
        </w:tc>
        <w:tc>
          <w:tcPr>
            <w:tcW w:w="709" w:type="dxa"/>
            <w:tcBorders>
              <w:top w:val="nil"/>
              <w:left w:val="single" w:sz="4" w:space="0" w:color="auto"/>
              <w:bottom w:val="nil"/>
              <w:right w:val="single" w:sz="4" w:space="0" w:color="auto"/>
            </w:tcBorders>
            <w:shd w:val="clear" w:color="auto" w:fill="auto"/>
            <w:noWrap/>
            <w:vAlign w:val="center"/>
            <w:hideMark/>
          </w:tcPr>
          <w:p w14:paraId="547988DB" w14:textId="77777777" w:rsidR="00387142" w:rsidRPr="008B6A75" w:rsidRDefault="00387142" w:rsidP="00387142">
            <w:pPr>
              <w:jc w:val="center"/>
              <w:rPr>
                <w:bCs/>
                <w:sz w:val="20"/>
                <w:szCs w:val="20"/>
              </w:rPr>
            </w:pPr>
            <w:r w:rsidRPr="008B6A75">
              <w:rPr>
                <w:bCs/>
                <w:sz w:val="20"/>
                <w:szCs w:val="20"/>
              </w:rPr>
              <w:t>01</w:t>
            </w:r>
          </w:p>
        </w:tc>
        <w:tc>
          <w:tcPr>
            <w:tcW w:w="1411" w:type="dxa"/>
            <w:tcBorders>
              <w:top w:val="nil"/>
              <w:left w:val="single" w:sz="4" w:space="0" w:color="auto"/>
              <w:bottom w:val="nil"/>
              <w:right w:val="nil"/>
            </w:tcBorders>
            <w:shd w:val="clear" w:color="auto" w:fill="auto"/>
            <w:noWrap/>
            <w:vAlign w:val="center"/>
            <w:hideMark/>
          </w:tcPr>
          <w:p w14:paraId="55842A06" w14:textId="77777777" w:rsidR="00387142" w:rsidRPr="008B6A75" w:rsidRDefault="00387142" w:rsidP="00387142">
            <w:pPr>
              <w:jc w:val="center"/>
              <w:rPr>
                <w:bCs/>
                <w:sz w:val="20"/>
                <w:szCs w:val="20"/>
              </w:rPr>
            </w:pPr>
            <w:r w:rsidRPr="008B6A75">
              <w:rPr>
                <w:bCs/>
                <w:sz w:val="20"/>
                <w:szCs w:val="20"/>
              </w:rPr>
              <w:t>08.0.00.L5190</w:t>
            </w:r>
          </w:p>
        </w:tc>
        <w:tc>
          <w:tcPr>
            <w:tcW w:w="955" w:type="dxa"/>
            <w:tcBorders>
              <w:top w:val="nil"/>
              <w:left w:val="single" w:sz="4" w:space="0" w:color="auto"/>
              <w:bottom w:val="nil"/>
              <w:right w:val="single" w:sz="4" w:space="0" w:color="auto"/>
            </w:tcBorders>
            <w:shd w:val="clear" w:color="auto" w:fill="auto"/>
            <w:noWrap/>
            <w:vAlign w:val="center"/>
            <w:hideMark/>
          </w:tcPr>
          <w:p w14:paraId="4A4D1AAB"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nil"/>
              <w:right w:val="single" w:sz="4" w:space="0" w:color="auto"/>
            </w:tcBorders>
            <w:shd w:val="clear" w:color="auto" w:fill="auto"/>
            <w:noWrap/>
            <w:vAlign w:val="center"/>
            <w:hideMark/>
          </w:tcPr>
          <w:p w14:paraId="0B0500F2" w14:textId="77777777" w:rsidR="00387142" w:rsidRPr="008B6A75" w:rsidRDefault="00387142" w:rsidP="00387142">
            <w:pPr>
              <w:jc w:val="right"/>
              <w:rPr>
                <w:bCs/>
                <w:sz w:val="20"/>
                <w:szCs w:val="20"/>
              </w:rPr>
            </w:pPr>
            <w:r w:rsidRPr="008B6A75">
              <w:rPr>
                <w:bCs/>
                <w:sz w:val="20"/>
                <w:szCs w:val="20"/>
              </w:rPr>
              <w:t>727 677,64</w:t>
            </w:r>
          </w:p>
        </w:tc>
        <w:tc>
          <w:tcPr>
            <w:tcW w:w="992" w:type="dxa"/>
            <w:gridSpan w:val="2"/>
            <w:tcBorders>
              <w:top w:val="nil"/>
              <w:left w:val="single" w:sz="4" w:space="0" w:color="auto"/>
              <w:bottom w:val="nil"/>
              <w:right w:val="nil"/>
            </w:tcBorders>
            <w:shd w:val="clear" w:color="auto" w:fill="auto"/>
            <w:noWrap/>
            <w:vAlign w:val="center"/>
            <w:hideMark/>
          </w:tcPr>
          <w:p w14:paraId="5A01E9D4" w14:textId="77777777" w:rsidR="00387142" w:rsidRPr="008B6A75" w:rsidRDefault="00387142" w:rsidP="00387142">
            <w:pPr>
              <w:jc w:val="right"/>
              <w:rPr>
                <w:bCs/>
                <w:sz w:val="20"/>
                <w:szCs w:val="20"/>
              </w:rPr>
            </w:pPr>
            <w:r w:rsidRPr="008B6A75">
              <w:rPr>
                <w:bCs/>
                <w:sz w:val="20"/>
                <w:szCs w:val="20"/>
              </w:rPr>
              <w:t>720 500,00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16744069" w14:textId="77777777" w:rsidR="00387142" w:rsidRPr="008B6A75" w:rsidRDefault="00387142" w:rsidP="00387142">
            <w:pPr>
              <w:jc w:val="right"/>
              <w:rPr>
                <w:bCs/>
                <w:sz w:val="20"/>
                <w:szCs w:val="20"/>
              </w:rPr>
            </w:pPr>
            <w:r w:rsidRPr="008B6A75">
              <w:rPr>
                <w:bCs/>
                <w:sz w:val="20"/>
                <w:szCs w:val="20"/>
              </w:rPr>
              <w:t>720 500,00</w:t>
            </w:r>
          </w:p>
        </w:tc>
        <w:tc>
          <w:tcPr>
            <w:tcW w:w="222" w:type="dxa"/>
            <w:vAlign w:val="center"/>
            <w:hideMark/>
          </w:tcPr>
          <w:p w14:paraId="04D7C02F" w14:textId="77777777" w:rsidR="00387142" w:rsidRPr="008B6A75" w:rsidRDefault="00387142" w:rsidP="00387142">
            <w:pPr>
              <w:rPr>
                <w:sz w:val="20"/>
                <w:szCs w:val="20"/>
              </w:rPr>
            </w:pPr>
          </w:p>
        </w:tc>
      </w:tr>
      <w:tr w:rsidR="00387142" w:rsidRPr="008B6A75" w14:paraId="7CFADB1E" w14:textId="77777777" w:rsidTr="00387142">
        <w:trPr>
          <w:trHeight w:val="300"/>
        </w:trPr>
        <w:tc>
          <w:tcPr>
            <w:tcW w:w="3021" w:type="dxa"/>
            <w:tcBorders>
              <w:top w:val="single" w:sz="4" w:space="0" w:color="auto"/>
              <w:left w:val="single" w:sz="4" w:space="0" w:color="auto"/>
              <w:bottom w:val="nil"/>
              <w:right w:val="nil"/>
            </w:tcBorders>
            <w:shd w:val="clear" w:color="auto" w:fill="auto"/>
            <w:vAlign w:val="center"/>
            <w:hideMark/>
          </w:tcPr>
          <w:p w14:paraId="35403D8D" w14:textId="77777777" w:rsidR="00387142" w:rsidRPr="008B6A75" w:rsidRDefault="00387142" w:rsidP="00387142">
            <w:pPr>
              <w:rPr>
                <w:sz w:val="20"/>
                <w:szCs w:val="20"/>
              </w:rPr>
            </w:pPr>
            <w:r w:rsidRPr="008B6A75">
              <w:rPr>
                <w:sz w:val="20"/>
                <w:szCs w:val="20"/>
              </w:rPr>
              <w:t>Межбюджетные трансферты</w:t>
            </w:r>
          </w:p>
        </w:tc>
        <w:tc>
          <w:tcPr>
            <w:tcW w:w="850" w:type="dxa"/>
            <w:tcBorders>
              <w:top w:val="single" w:sz="4" w:space="0" w:color="auto"/>
              <w:left w:val="single" w:sz="4" w:space="0" w:color="auto"/>
              <w:bottom w:val="nil"/>
              <w:right w:val="nil"/>
            </w:tcBorders>
            <w:shd w:val="clear" w:color="auto" w:fill="auto"/>
            <w:noWrap/>
            <w:vAlign w:val="center"/>
            <w:hideMark/>
          </w:tcPr>
          <w:p w14:paraId="7C861E83" w14:textId="77777777" w:rsidR="00387142" w:rsidRPr="008B6A75" w:rsidRDefault="00387142" w:rsidP="00387142">
            <w:pPr>
              <w:jc w:val="center"/>
              <w:rPr>
                <w:sz w:val="20"/>
                <w:szCs w:val="20"/>
              </w:rPr>
            </w:pPr>
            <w:r w:rsidRPr="008B6A75">
              <w:rPr>
                <w:sz w:val="20"/>
                <w:szCs w:val="20"/>
              </w:rPr>
              <w:t>444</w:t>
            </w:r>
          </w:p>
        </w:tc>
        <w:tc>
          <w:tcPr>
            <w:tcW w:w="709" w:type="dxa"/>
            <w:tcBorders>
              <w:top w:val="single" w:sz="4" w:space="0" w:color="auto"/>
              <w:left w:val="single" w:sz="4" w:space="0" w:color="auto"/>
              <w:bottom w:val="nil"/>
              <w:right w:val="nil"/>
            </w:tcBorders>
            <w:shd w:val="clear" w:color="auto" w:fill="auto"/>
            <w:noWrap/>
            <w:vAlign w:val="center"/>
            <w:hideMark/>
          </w:tcPr>
          <w:p w14:paraId="404D950E" w14:textId="77777777" w:rsidR="00387142" w:rsidRPr="008B6A75" w:rsidRDefault="00387142" w:rsidP="00387142">
            <w:pPr>
              <w:jc w:val="center"/>
              <w:rPr>
                <w:sz w:val="20"/>
                <w:szCs w:val="20"/>
              </w:rPr>
            </w:pPr>
            <w:r w:rsidRPr="008B6A75">
              <w:rPr>
                <w:sz w:val="20"/>
                <w:szCs w:val="20"/>
              </w:rPr>
              <w:t>08</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7B5C1186" w14:textId="77777777" w:rsidR="00387142" w:rsidRPr="008B6A75" w:rsidRDefault="00387142" w:rsidP="00387142">
            <w:pPr>
              <w:jc w:val="center"/>
              <w:rPr>
                <w:sz w:val="20"/>
                <w:szCs w:val="20"/>
              </w:rPr>
            </w:pPr>
            <w:r w:rsidRPr="008B6A75">
              <w:rPr>
                <w:sz w:val="20"/>
                <w:szCs w:val="20"/>
              </w:rPr>
              <w:t>01</w:t>
            </w:r>
          </w:p>
        </w:tc>
        <w:tc>
          <w:tcPr>
            <w:tcW w:w="1411" w:type="dxa"/>
            <w:tcBorders>
              <w:top w:val="single" w:sz="4" w:space="0" w:color="auto"/>
              <w:left w:val="single" w:sz="4" w:space="0" w:color="auto"/>
              <w:bottom w:val="nil"/>
              <w:right w:val="nil"/>
            </w:tcBorders>
            <w:shd w:val="clear" w:color="auto" w:fill="auto"/>
            <w:noWrap/>
            <w:vAlign w:val="center"/>
            <w:hideMark/>
          </w:tcPr>
          <w:p w14:paraId="161940E9" w14:textId="77777777" w:rsidR="00387142" w:rsidRPr="008B6A75" w:rsidRDefault="00387142" w:rsidP="00387142">
            <w:pPr>
              <w:jc w:val="center"/>
              <w:rPr>
                <w:sz w:val="20"/>
                <w:szCs w:val="20"/>
              </w:rPr>
            </w:pPr>
            <w:r w:rsidRPr="008B6A75">
              <w:rPr>
                <w:sz w:val="20"/>
                <w:szCs w:val="20"/>
              </w:rPr>
              <w:t>08.0.00.L5190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61DBEE9A" w14:textId="77777777" w:rsidR="00387142" w:rsidRPr="008B6A75" w:rsidRDefault="00387142" w:rsidP="00387142">
            <w:pPr>
              <w:jc w:val="center"/>
              <w:rPr>
                <w:sz w:val="20"/>
                <w:szCs w:val="20"/>
              </w:rPr>
            </w:pPr>
            <w:r w:rsidRPr="008B6A75">
              <w:rPr>
                <w:sz w:val="20"/>
                <w:szCs w:val="20"/>
              </w:rPr>
              <w:t>500</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4D5D807B" w14:textId="77777777" w:rsidR="00387142" w:rsidRPr="008B6A75" w:rsidRDefault="00387142" w:rsidP="00387142">
            <w:pPr>
              <w:jc w:val="right"/>
              <w:rPr>
                <w:sz w:val="20"/>
                <w:szCs w:val="20"/>
              </w:rPr>
            </w:pPr>
            <w:r w:rsidRPr="008B6A75">
              <w:rPr>
                <w:sz w:val="20"/>
                <w:szCs w:val="20"/>
              </w:rPr>
              <w:t>368 795,64</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1716D62A" w14:textId="77777777" w:rsidR="00387142" w:rsidRPr="008B6A75" w:rsidRDefault="00387142" w:rsidP="00387142">
            <w:pPr>
              <w:jc w:val="right"/>
              <w:rPr>
                <w:sz w:val="20"/>
                <w:szCs w:val="20"/>
              </w:rPr>
            </w:pPr>
            <w:r w:rsidRPr="008B6A75">
              <w:rPr>
                <w:sz w:val="20"/>
                <w:szCs w:val="20"/>
              </w:rPr>
              <w:t>368 795,64</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6222B6D0" w14:textId="77777777" w:rsidR="00387142" w:rsidRPr="008B6A75" w:rsidRDefault="00387142" w:rsidP="00387142">
            <w:pPr>
              <w:jc w:val="right"/>
              <w:rPr>
                <w:sz w:val="20"/>
                <w:szCs w:val="20"/>
              </w:rPr>
            </w:pPr>
            <w:r w:rsidRPr="008B6A75">
              <w:rPr>
                <w:sz w:val="20"/>
                <w:szCs w:val="20"/>
              </w:rPr>
              <w:t>368 795,64</w:t>
            </w:r>
          </w:p>
        </w:tc>
        <w:tc>
          <w:tcPr>
            <w:tcW w:w="222" w:type="dxa"/>
            <w:vAlign w:val="center"/>
            <w:hideMark/>
          </w:tcPr>
          <w:p w14:paraId="68CC342F" w14:textId="77777777" w:rsidR="00387142" w:rsidRPr="008B6A75" w:rsidRDefault="00387142" w:rsidP="00387142">
            <w:pPr>
              <w:rPr>
                <w:sz w:val="20"/>
                <w:szCs w:val="20"/>
              </w:rPr>
            </w:pPr>
          </w:p>
        </w:tc>
      </w:tr>
      <w:tr w:rsidR="00387142" w:rsidRPr="008B6A75" w14:paraId="3F990EFC" w14:textId="77777777" w:rsidTr="00387142">
        <w:trPr>
          <w:trHeight w:val="300"/>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3EB50B41" w14:textId="77777777" w:rsidR="00387142" w:rsidRPr="008B6A75" w:rsidRDefault="00387142" w:rsidP="00387142">
            <w:pPr>
              <w:rPr>
                <w:sz w:val="20"/>
                <w:szCs w:val="20"/>
              </w:rPr>
            </w:pPr>
            <w:r w:rsidRPr="008B6A75">
              <w:rPr>
                <w:sz w:val="20"/>
                <w:szCs w:val="20"/>
              </w:rPr>
              <w:t>Субсидии</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427D921B" w14:textId="77777777" w:rsidR="00387142" w:rsidRPr="008B6A75" w:rsidRDefault="00387142" w:rsidP="00387142">
            <w:pPr>
              <w:jc w:val="center"/>
              <w:rPr>
                <w:sz w:val="20"/>
                <w:szCs w:val="20"/>
              </w:rPr>
            </w:pPr>
            <w:r w:rsidRPr="008B6A75">
              <w:rPr>
                <w:sz w:val="20"/>
                <w:szCs w:val="20"/>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665AF950" w14:textId="77777777" w:rsidR="00387142" w:rsidRPr="008B6A75" w:rsidRDefault="00387142" w:rsidP="00387142">
            <w:pPr>
              <w:jc w:val="center"/>
              <w:rPr>
                <w:sz w:val="20"/>
                <w:szCs w:val="20"/>
              </w:rPr>
            </w:pPr>
            <w:r w:rsidRPr="008B6A75">
              <w:rPr>
                <w:sz w:val="20"/>
                <w:szCs w:val="20"/>
              </w:rPr>
              <w:t>08</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1B544B" w14:textId="77777777" w:rsidR="00387142" w:rsidRPr="008B6A75" w:rsidRDefault="00387142" w:rsidP="00387142">
            <w:pPr>
              <w:jc w:val="center"/>
              <w:rPr>
                <w:sz w:val="20"/>
                <w:szCs w:val="20"/>
              </w:rPr>
            </w:pPr>
            <w:r w:rsidRPr="008B6A75">
              <w:rPr>
                <w:sz w:val="20"/>
                <w:szCs w:val="20"/>
              </w:rPr>
              <w:t>01</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727DA01A" w14:textId="77777777" w:rsidR="00387142" w:rsidRPr="008B6A75" w:rsidRDefault="00387142" w:rsidP="00387142">
            <w:pPr>
              <w:jc w:val="center"/>
              <w:rPr>
                <w:sz w:val="20"/>
                <w:szCs w:val="20"/>
              </w:rPr>
            </w:pPr>
            <w:r w:rsidRPr="008B6A75">
              <w:rPr>
                <w:sz w:val="20"/>
                <w:szCs w:val="20"/>
              </w:rPr>
              <w:t>08.0.00.L5190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7403FF" w14:textId="77777777" w:rsidR="00387142" w:rsidRPr="008B6A75" w:rsidRDefault="00387142" w:rsidP="00387142">
            <w:pPr>
              <w:jc w:val="center"/>
              <w:rPr>
                <w:sz w:val="20"/>
                <w:szCs w:val="20"/>
              </w:rPr>
            </w:pPr>
            <w:r w:rsidRPr="008B6A75">
              <w:rPr>
                <w:sz w:val="20"/>
                <w:szCs w:val="20"/>
              </w:rPr>
              <w:t>520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CA45E5" w14:textId="77777777" w:rsidR="00387142" w:rsidRPr="008B6A75" w:rsidRDefault="00387142" w:rsidP="00387142">
            <w:pPr>
              <w:jc w:val="right"/>
              <w:rPr>
                <w:sz w:val="20"/>
                <w:szCs w:val="20"/>
              </w:rPr>
            </w:pPr>
            <w:r w:rsidRPr="008B6A75">
              <w:rPr>
                <w:sz w:val="20"/>
                <w:szCs w:val="20"/>
              </w:rPr>
              <w:t>368 795,64</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6BE8507C" w14:textId="77777777" w:rsidR="00387142" w:rsidRPr="008B6A75" w:rsidRDefault="00387142" w:rsidP="00387142">
            <w:pPr>
              <w:jc w:val="right"/>
              <w:rPr>
                <w:sz w:val="20"/>
                <w:szCs w:val="20"/>
              </w:rPr>
            </w:pPr>
            <w:r w:rsidRPr="008B6A75">
              <w:rPr>
                <w:sz w:val="20"/>
                <w:szCs w:val="20"/>
              </w:rPr>
              <w:t>368 795,64</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648D46" w14:textId="77777777" w:rsidR="00387142" w:rsidRPr="008B6A75" w:rsidRDefault="00387142" w:rsidP="00387142">
            <w:pPr>
              <w:jc w:val="right"/>
              <w:rPr>
                <w:sz w:val="20"/>
                <w:szCs w:val="20"/>
              </w:rPr>
            </w:pPr>
            <w:r w:rsidRPr="008B6A75">
              <w:rPr>
                <w:sz w:val="20"/>
                <w:szCs w:val="20"/>
              </w:rPr>
              <w:t>368 795,64</w:t>
            </w:r>
          </w:p>
        </w:tc>
        <w:tc>
          <w:tcPr>
            <w:tcW w:w="222" w:type="dxa"/>
            <w:vAlign w:val="center"/>
            <w:hideMark/>
          </w:tcPr>
          <w:p w14:paraId="0E8C8362" w14:textId="77777777" w:rsidR="00387142" w:rsidRPr="008B6A75" w:rsidRDefault="00387142" w:rsidP="00387142">
            <w:pPr>
              <w:rPr>
                <w:sz w:val="20"/>
                <w:szCs w:val="20"/>
              </w:rPr>
            </w:pPr>
          </w:p>
        </w:tc>
      </w:tr>
      <w:tr w:rsidR="00387142" w:rsidRPr="008B6A75" w14:paraId="534CD6AA" w14:textId="77777777" w:rsidTr="00387142">
        <w:trPr>
          <w:trHeight w:val="870"/>
        </w:trPr>
        <w:tc>
          <w:tcPr>
            <w:tcW w:w="3021" w:type="dxa"/>
            <w:tcBorders>
              <w:top w:val="nil"/>
              <w:left w:val="single" w:sz="4" w:space="0" w:color="auto"/>
              <w:bottom w:val="nil"/>
              <w:right w:val="nil"/>
            </w:tcBorders>
            <w:shd w:val="clear" w:color="auto" w:fill="auto"/>
            <w:vAlign w:val="center"/>
            <w:hideMark/>
          </w:tcPr>
          <w:p w14:paraId="6DE09EDA" w14:textId="77777777" w:rsidR="00387142" w:rsidRPr="008B6A75" w:rsidRDefault="00387142" w:rsidP="00387142">
            <w:pPr>
              <w:rPr>
                <w:sz w:val="20"/>
                <w:szCs w:val="20"/>
              </w:rPr>
            </w:pPr>
            <w:r w:rsidRPr="008B6A75">
              <w:rPr>
                <w:sz w:val="20"/>
                <w:szCs w:val="20"/>
              </w:rPr>
              <w:t>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right w:val="nil"/>
            </w:tcBorders>
            <w:shd w:val="clear" w:color="auto" w:fill="auto"/>
            <w:noWrap/>
            <w:vAlign w:val="center"/>
            <w:hideMark/>
          </w:tcPr>
          <w:p w14:paraId="5D3B1212" w14:textId="77777777" w:rsidR="00387142" w:rsidRPr="008B6A75" w:rsidRDefault="00387142" w:rsidP="00387142">
            <w:pPr>
              <w:jc w:val="center"/>
              <w:rPr>
                <w:sz w:val="20"/>
                <w:szCs w:val="20"/>
              </w:rPr>
            </w:pPr>
            <w:r w:rsidRPr="008B6A75">
              <w:rPr>
                <w:sz w:val="20"/>
                <w:szCs w:val="20"/>
              </w:rPr>
              <w:t>444</w:t>
            </w:r>
          </w:p>
        </w:tc>
        <w:tc>
          <w:tcPr>
            <w:tcW w:w="709" w:type="dxa"/>
            <w:tcBorders>
              <w:top w:val="nil"/>
              <w:left w:val="single" w:sz="4" w:space="0" w:color="auto"/>
              <w:bottom w:val="nil"/>
              <w:right w:val="nil"/>
            </w:tcBorders>
            <w:shd w:val="clear" w:color="auto" w:fill="auto"/>
            <w:noWrap/>
            <w:vAlign w:val="center"/>
            <w:hideMark/>
          </w:tcPr>
          <w:p w14:paraId="3E312690" w14:textId="77777777" w:rsidR="00387142" w:rsidRPr="008B6A75" w:rsidRDefault="00387142" w:rsidP="00387142">
            <w:pPr>
              <w:jc w:val="center"/>
              <w:rPr>
                <w:sz w:val="20"/>
                <w:szCs w:val="20"/>
              </w:rPr>
            </w:pPr>
            <w:r w:rsidRPr="008B6A75">
              <w:rPr>
                <w:sz w:val="20"/>
                <w:szCs w:val="20"/>
              </w:rPr>
              <w:t>08</w:t>
            </w:r>
          </w:p>
        </w:tc>
        <w:tc>
          <w:tcPr>
            <w:tcW w:w="709" w:type="dxa"/>
            <w:tcBorders>
              <w:top w:val="nil"/>
              <w:left w:val="single" w:sz="4" w:space="0" w:color="auto"/>
              <w:bottom w:val="nil"/>
              <w:right w:val="single" w:sz="4" w:space="0" w:color="auto"/>
            </w:tcBorders>
            <w:shd w:val="clear" w:color="auto" w:fill="auto"/>
            <w:noWrap/>
            <w:vAlign w:val="center"/>
            <w:hideMark/>
          </w:tcPr>
          <w:p w14:paraId="7EA13CF9" w14:textId="77777777" w:rsidR="00387142" w:rsidRPr="008B6A75" w:rsidRDefault="00387142" w:rsidP="00387142">
            <w:pPr>
              <w:jc w:val="center"/>
              <w:rPr>
                <w:sz w:val="20"/>
                <w:szCs w:val="20"/>
              </w:rPr>
            </w:pPr>
            <w:r w:rsidRPr="008B6A75">
              <w:rPr>
                <w:sz w:val="20"/>
                <w:szCs w:val="20"/>
              </w:rPr>
              <w:t>01</w:t>
            </w:r>
          </w:p>
        </w:tc>
        <w:tc>
          <w:tcPr>
            <w:tcW w:w="1411" w:type="dxa"/>
            <w:tcBorders>
              <w:top w:val="nil"/>
              <w:left w:val="single" w:sz="4" w:space="0" w:color="auto"/>
              <w:bottom w:val="nil"/>
              <w:right w:val="nil"/>
            </w:tcBorders>
            <w:shd w:val="clear" w:color="auto" w:fill="auto"/>
            <w:noWrap/>
            <w:vAlign w:val="center"/>
            <w:hideMark/>
          </w:tcPr>
          <w:p w14:paraId="0AAD146C" w14:textId="77777777" w:rsidR="00387142" w:rsidRPr="008B6A75" w:rsidRDefault="00387142" w:rsidP="00387142">
            <w:pPr>
              <w:jc w:val="center"/>
              <w:rPr>
                <w:sz w:val="20"/>
                <w:szCs w:val="20"/>
              </w:rPr>
            </w:pPr>
            <w:r w:rsidRPr="008B6A75">
              <w:rPr>
                <w:sz w:val="20"/>
                <w:szCs w:val="20"/>
              </w:rPr>
              <w:t>08.0.00.L5190</w:t>
            </w:r>
          </w:p>
        </w:tc>
        <w:tc>
          <w:tcPr>
            <w:tcW w:w="955" w:type="dxa"/>
            <w:tcBorders>
              <w:top w:val="nil"/>
              <w:left w:val="single" w:sz="4" w:space="0" w:color="auto"/>
              <w:bottom w:val="nil"/>
              <w:right w:val="single" w:sz="4" w:space="0" w:color="auto"/>
            </w:tcBorders>
            <w:shd w:val="clear" w:color="auto" w:fill="auto"/>
            <w:noWrap/>
            <w:vAlign w:val="center"/>
            <w:hideMark/>
          </w:tcPr>
          <w:p w14:paraId="2CF51F5E" w14:textId="77777777" w:rsidR="00387142" w:rsidRPr="008B6A75" w:rsidRDefault="00387142" w:rsidP="00387142">
            <w:pPr>
              <w:jc w:val="center"/>
              <w:rPr>
                <w:sz w:val="20"/>
                <w:szCs w:val="20"/>
              </w:rPr>
            </w:pPr>
            <w:r w:rsidRPr="008B6A75">
              <w:rPr>
                <w:sz w:val="20"/>
                <w:szCs w:val="20"/>
              </w:rPr>
              <w:t>600</w:t>
            </w:r>
          </w:p>
        </w:tc>
        <w:tc>
          <w:tcPr>
            <w:tcW w:w="992" w:type="dxa"/>
            <w:tcBorders>
              <w:top w:val="nil"/>
              <w:left w:val="single" w:sz="4" w:space="0" w:color="auto"/>
              <w:bottom w:val="nil"/>
              <w:right w:val="single" w:sz="4" w:space="0" w:color="auto"/>
            </w:tcBorders>
            <w:shd w:val="clear" w:color="auto" w:fill="auto"/>
            <w:noWrap/>
            <w:vAlign w:val="center"/>
            <w:hideMark/>
          </w:tcPr>
          <w:p w14:paraId="52C13276" w14:textId="77777777" w:rsidR="00387142" w:rsidRPr="008B6A75" w:rsidRDefault="00387142" w:rsidP="00387142">
            <w:pPr>
              <w:jc w:val="right"/>
              <w:rPr>
                <w:sz w:val="20"/>
                <w:szCs w:val="20"/>
              </w:rPr>
            </w:pPr>
            <w:r w:rsidRPr="008B6A75">
              <w:rPr>
                <w:sz w:val="20"/>
                <w:szCs w:val="20"/>
              </w:rPr>
              <w:t>358 882,00</w:t>
            </w:r>
          </w:p>
        </w:tc>
        <w:tc>
          <w:tcPr>
            <w:tcW w:w="992" w:type="dxa"/>
            <w:gridSpan w:val="2"/>
            <w:tcBorders>
              <w:top w:val="nil"/>
              <w:left w:val="single" w:sz="4" w:space="0" w:color="auto"/>
              <w:bottom w:val="nil"/>
              <w:right w:val="nil"/>
            </w:tcBorders>
            <w:shd w:val="clear" w:color="auto" w:fill="auto"/>
            <w:noWrap/>
            <w:vAlign w:val="center"/>
            <w:hideMark/>
          </w:tcPr>
          <w:p w14:paraId="58B9C67C" w14:textId="77777777" w:rsidR="00387142" w:rsidRPr="008B6A75" w:rsidRDefault="00387142" w:rsidP="00387142">
            <w:pPr>
              <w:jc w:val="right"/>
              <w:rPr>
                <w:sz w:val="20"/>
                <w:szCs w:val="20"/>
              </w:rPr>
            </w:pPr>
            <w:r w:rsidRPr="008B6A75">
              <w:rPr>
                <w:sz w:val="20"/>
                <w:szCs w:val="20"/>
              </w:rPr>
              <w:t>351 704,36</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6A007948" w14:textId="77777777" w:rsidR="00387142" w:rsidRPr="008B6A75" w:rsidRDefault="00387142" w:rsidP="00387142">
            <w:pPr>
              <w:jc w:val="right"/>
              <w:rPr>
                <w:sz w:val="20"/>
                <w:szCs w:val="20"/>
              </w:rPr>
            </w:pPr>
            <w:r w:rsidRPr="008B6A75">
              <w:rPr>
                <w:sz w:val="20"/>
                <w:szCs w:val="20"/>
              </w:rPr>
              <w:t>351 704,36</w:t>
            </w:r>
          </w:p>
        </w:tc>
        <w:tc>
          <w:tcPr>
            <w:tcW w:w="222" w:type="dxa"/>
            <w:vAlign w:val="center"/>
            <w:hideMark/>
          </w:tcPr>
          <w:p w14:paraId="2F39B120" w14:textId="77777777" w:rsidR="00387142" w:rsidRPr="008B6A75" w:rsidRDefault="00387142" w:rsidP="00387142">
            <w:pPr>
              <w:rPr>
                <w:sz w:val="20"/>
                <w:szCs w:val="20"/>
              </w:rPr>
            </w:pPr>
          </w:p>
        </w:tc>
      </w:tr>
      <w:tr w:rsidR="00387142" w:rsidRPr="008B6A75" w14:paraId="156BC1A9" w14:textId="77777777" w:rsidTr="00387142">
        <w:trPr>
          <w:trHeight w:val="300"/>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45D420E2" w14:textId="77777777" w:rsidR="00387142" w:rsidRPr="008B6A75" w:rsidRDefault="00387142" w:rsidP="00387142">
            <w:pPr>
              <w:rPr>
                <w:sz w:val="20"/>
                <w:szCs w:val="20"/>
              </w:rPr>
            </w:pPr>
            <w:r w:rsidRPr="008B6A75">
              <w:rPr>
                <w:sz w:val="20"/>
                <w:szCs w:val="20"/>
              </w:rPr>
              <w:t>Субсидии бюджетным учреждениям</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75FE51DE" w14:textId="77777777" w:rsidR="00387142" w:rsidRPr="008B6A75" w:rsidRDefault="00387142" w:rsidP="00387142">
            <w:pPr>
              <w:jc w:val="center"/>
              <w:rPr>
                <w:sz w:val="20"/>
                <w:szCs w:val="20"/>
              </w:rPr>
            </w:pPr>
            <w:r w:rsidRPr="008B6A75">
              <w:rPr>
                <w:sz w:val="20"/>
                <w:szCs w:val="20"/>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3897B4B3" w14:textId="77777777" w:rsidR="00387142" w:rsidRPr="008B6A75" w:rsidRDefault="00387142" w:rsidP="00387142">
            <w:pPr>
              <w:jc w:val="center"/>
              <w:rPr>
                <w:sz w:val="20"/>
                <w:szCs w:val="20"/>
              </w:rPr>
            </w:pPr>
            <w:r w:rsidRPr="008B6A75">
              <w:rPr>
                <w:sz w:val="20"/>
                <w:szCs w:val="20"/>
              </w:rPr>
              <w:t>08</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FC0507" w14:textId="77777777" w:rsidR="00387142" w:rsidRPr="008B6A75" w:rsidRDefault="00387142" w:rsidP="00387142">
            <w:pPr>
              <w:jc w:val="center"/>
              <w:rPr>
                <w:sz w:val="20"/>
                <w:szCs w:val="20"/>
              </w:rPr>
            </w:pPr>
            <w:r w:rsidRPr="008B6A75">
              <w:rPr>
                <w:sz w:val="20"/>
                <w:szCs w:val="20"/>
              </w:rPr>
              <w:t>01</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1559BAC2" w14:textId="77777777" w:rsidR="00387142" w:rsidRPr="008B6A75" w:rsidRDefault="00387142" w:rsidP="00387142">
            <w:pPr>
              <w:jc w:val="center"/>
              <w:rPr>
                <w:sz w:val="20"/>
                <w:szCs w:val="20"/>
              </w:rPr>
            </w:pPr>
            <w:r w:rsidRPr="008B6A75">
              <w:rPr>
                <w:sz w:val="20"/>
                <w:szCs w:val="20"/>
              </w:rPr>
              <w:t>08.0.00.L5190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5E5675" w14:textId="77777777" w:rsidR="00387142" w:rsidRPr="008B6A75" w:rsidRDefault="00387142" w:rsidP="00387142">
            <w:pPr>
              <w:jc w:val="center"/>
              <w:rPr>
                <w:sz w:val="20"/>
                <w:szCs w:val="20"/>
              </w:rPr>
            </w:pPr>
            <w:r w:rsidRPr="008B6A75">
              <w:rPr>
                <w:sz w:val="20"/>
                <w:szCs w:val="20"/>
              </w:rPr>
              <w:t>610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277FE5" w14:textId="77777777" w:rsidR="00387142" w:rsidRPr="008B6A75" w:rsidRDefault="00387142" w:rsidP="00387142">
            <w:pPr>
              <w:jc w:val="right"/>
              <w:rPr>
                <w:sz w:val="20"/>
                <w:szCs w:val="20"/>
              </w:rPr>
            </w:pPr>
            <w:r w:rsidRPr="008B6A75">
              <w:rPr>
                <w:sz w:val="20"/>
                <w:szCs w:val="20"/>
              </w:rPr>
              <w:t>358 882,00</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2A6279A4" w14:textId="77777777" w:rsidR="00387142" w:rsidRPr="008B6A75" w:rsidRDefault="00387142" w:rsidP="00387142">
            <w:pPr>
              <w:jc w:val="right"/>
              <w:rPr>
                <w:sz w:val="20"/>
                <w:szCs w:val="20"/>
              </w:rPr>
            </w:pPr>
            <w:r w:rsidRPr="008B6A75">
              <w:rPr>
                <w:sz w:val="20"/>
                <w:szCs w:val="20"/>
              </w:rPr>
              <w:t>351 704,36</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E14F63" w14:textId="77777777" w:rsidR="00387142" w:rsidRPr="008B6A75" w:rsidRDefault="00387142" w:rsidP="00387142">
            <w:pPr>
              <w:jc w:val="right"/>
              <w:rPr>
                <w:sz w:val="20"/>
                <w:szCs w:val="20"/>
              </w:rPr>
            </w:pPr>
            <w:r w:rsidRPr="008B6A75">
              <w:rPr>
                <w:sz w:val="20"/>
                <w:szCs w:val="20"/>
              </w:rPr>
              <w:t>351 704,36</w:t>
            </w:r>
          </w:p>
        </w:tc>
        <w:tc>
          <w:tcPr>
            <w:tcW w:w="222" w:type="dxa"/>
            <w:vAlign w:val="center"/>
            <w:hideMark/>
          </w:tcPr>
          <w:p w14:paraId="44AF5564" w14:textId="77777777" w:rsidR="00387142" w:rsidRPr="008B6A75" w:rsidRDefault="00387142" w:rsidP="00387142">
            <w:pPr>
              <w:rPr>
                <w:sz w:val="20"/>
                <w:szCs w:val="20"/>
              </w:rPr>
            </w:pPr>
          </w:p>
        </w:tc>
      </w:tr>
      <w:tr w:rsidR="00387142" w:rsidRPr="008B6A75" w14:paraId="224905BA" w14:textId="77777777" w:rsidTr="00387142">
        <w:trPr>
          <w:trHeight w:val="2010"/>
        </w:trPr>
        <w:tc>
          <w:tcPr>
            <w:tcW w:w="3021" w:type="dxa"/>
            <w:tcBorders>
              <w:top w:val="nil"/>
              <w:left w:val="single" w:sz="4" w:space="0" w:color="auto"/>
              <w:bottom w:val="nil"/>
              <w:right w:val="nil"/>
            </w:tcBorders>
            <w:shd w:val="clear" w:color="auto" w:fill="auto"/>
            <w:vAlign w:val="center"/>
            <w:hideMark/>
          </w:tcPr>
          <w:p w14:paraId="61F12C30" w14:textId="77777777" w:rsidR="00387142" w:rsidRPr="008B6A75" w:rsidRDefault="00387142" w:rsidP="00387142">
            <w:pPr>
              <w:rPr>
                <w:bCs/>
                <w:sz w:val="20"/>
                <w:szCs w:val="20"/>
              </w:rPr>
            </w:pPr>
            <w:proofErr w:type="spellStart"/>
            <w:r w:rsidRPr="008B6A75">
              <w:rPr>
                <w:bCs/>
                <w:sz w:val="20"/>
                <w:szCs w:val="20"/>
              </w:rPr>
              <w:t>Софинансирование</w:t>
            </w:r>
            <w:proofErr w:type="spellEnd"/>
            <w:r w:rsidRPr="008B6A75">
              <w:rPr>
                <w:bCs/>
                <w:sz w:val="20"/>
                <w:szCs w:val="20"/>
              </w:rPr>
              <w:t xml:space="preserve"> местного бюджета на реализацию мероприятий по комплектованию книжных фондов муниципальных общедоступных библиотек Новосибирской области государственной программы Новосибирской области «Культура Новосибирской области»</w:t>
            </w:r>
          </w:p>
        </w:tc>
        <w:tc>
          <w:tcPr>
            <w:tcW w:w="850" w:type="dxa"/>
            <w:tcBorders>
              <w:top w:val="nil"/>
              <w:left w:val="single" w:sz="4" w:space="0" w:color="auto"/>
              <w:bottom w:val="nil"/>
              <w:right w:val="nil"/>
            </w:tcBorders>
            <w:shd w:val="clear" w:color="auto" w:fill="auto"/>
            <w:noWrap/>
            <w:vAlign w:val="center"/>
            <w:hideMark/>
          </w:tcPr>
          <w:p w14:paraId="7C390553" w14:textId="77777777" w:rsidR="00387142" w:rsidRPr="008B6A75" w:rsidRDefault="00387142" w:rsidP="00387142">
            <w:pPr>
              <w:jc w:val="center"/>
              <w:rPr>
                <w:bCs/>
                <w:sz w:val="20"/>
                <w:szCs w:val="20"/>
              </w:rPr>
            </w:pPr>
            <w:r w:rsidRPr="008B6A75">
              <w:rPr>
                <w:bCs/>
                <w:sz w:val="20"/>
                <w:szCs w:val="20"/>
              </w:rPr>
              <w:t>444</w:t>
            </w:r>
          </w:p>
        </w:tc>
        <w:tc>
          <w:tcPr>
            <w:tcW w:w="709" w:type="dxa"/>
            <w:tcBorders>
              <w:top w:val="nil"/>
              <w:left w:val="single" w:sz="4" w:space="0" w:color="auto"/>
              <w:bottom w:val="nil"/>
              <w:right w:val="nil"/>
            </w:tcBorders>
            <w:shd w:val="clear" w:color="auto" w:fill="auto"/>
            <w:noWrap/>
            <w:vAlign w:val="center"/>
            <w:hideMark/>
          </w:tcPr>
          <w:p w14:paraId="328E43D4" w14:textId="77777777" w:rsidR="00387142" w:rsidRPr="008B6A75" w:rsidRDefault="00387142" w:rsidP="00387142">
            <w:pPr>
              <w:jc w:val="center"/>
              <w:rPr>
                <w:bCs/>
                <w:sz w:val="20"/>
                <w:szCs w:val="20"/>
              </w:rPr>
            </w:pPr>
            <w:r w:rsidRPr="008B6A75">
              <w:rPr>
                <w:bCs/>
                <w:sz w:val="20"/>
                <w:szCs w:val="20"/>
              </w:rPr>
              <w:t>08</w:t>
            </w:r>
          </w:p>
        </w:tc>
        <w:tc>
          <w:tcPr>
            <w:tcW w:w="709" w:type="dxa"/>
            <w:tcBorders>
              <w:top w:val="nil"/>
              <w:left w:val="single" w:sz="4" w:space="0" w:color="auto"/>
              <w:bottom w:val="nil"/>
              <w:right w:val="single" w:sz="4" w:space="0" w:color="auto"/>
            </w:tcBorders>
            <w:shd w:val="clear" w:color="auto" w:fill="auto"/>
            <w:noWrap/>
            <w:vAlign w:val="center"/>
            <w:hideMark/>
          </w:tcPr>
          <w:p w14:paraId="16CCED77" w14:textId="77777777" w:rsidR="00387142" w:rsidRPr="008B6A75" w:rsidRDefault="00387142" w:rsidP="00387142">
            <w:pPr>
              <w:jc w:val="center"/>
              <w:rPr>
                <w:bCs/>
                <w:sz w:val="20"/>
                <w:szCs w:val="20"/>
              </w:rPr>
            </w:pPr>
            <w:r w:rsidRPr="008B6A75">
              <w:rPr>
                <w:bCs/>
                <w:sz w:val="20"/>
                <w:szCs w:val="20"/>
              </w:rPr>
              <w:t>01</w:t>
            </w:r>
          </w:p>
        </w:tc>
        <w:tc>
          <w:tcPr>
            <w:tcW w:w="1411" w:type="dxa"/>
            <w:tcBorders>
              <w:top w:val="nil"/>
              <w:left w:val="single" w:sz="4" w:space="0" w:color="auto"/>
              <w:bottom w:val="nil"/>
              <w:right w:val="nil"/>
            </w:tcBorders>
            <w:shd w:val="clear" w:color="auto" w:fill="auto"/>
            <w:noWrap/>
            <w:vAlign w:val="center"/>
            <w:hideMark/>
          </w:tcPr>
          <w:p w14:paraId="4EBEB2B7" w14:textId="77777777" w:rsidR="00387142" w:rsidRPr="008B6A75" w:rsidRDefault="00387142" w:rsidP="00387142">
            <w:pPr>
              <w:jc w:val="center"/>
              <w:rPr>
                <w:bCs/>
                <w:sz w:val="20"/>
                <w:szCs w:val="20"/>
              </w:rPr>
            </w:pPr>
            <w:r w:rsidRPr="008B6A75">
              <w:rPr>
                <w:bCs/>
                <w:sz w:val="20"/>
                <w:szCs w:val="20"/>
              </w:rPr>
              <w:t>08.0.00.S0770</w:t>
            </w:r>
          </w:p>
        </w:tc>
        <w:tc>
          <w:tcPr>
            <w:tcW w:w="955" w:type="dxa"/>
            <w:tcBorders>
              <w:top w:val="nil"/>
              <w:left w:val="single" w:sz="4" w:space="0" w:color="auto"/>
              <w:bottom w:val="nil"/>
              <w:right w:val="single" w:sz="4" w:space="0" w:color="auto"/>
            </w:tcBorders>
            <w:shd w:val="clear" w:color="auto" w:fill="auto"/>
            <w:noWrap/>
            <w:vAlign w:val="center"/>
            <w:hideMark/>
          </w:tcPr>
          <w:p w14:paraId="04DAF113"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nil"/>
              <w:right w:val="single" w:sz="4" w:space="0" w:color="auto"/>
            </w:tcBorders>
            <w:shd w:val="clear" w:color="auto" w:fill="auto"/>
            <w:noWrap/>
            <w:vAlign w:val="center"/>
            <w:hideMark/>
          </w:tcPr>
          <w:p w14:paraId="5E5F0A2B" w14:textId="77777777" w:rsidR="00387142" w:rsidRPr="008B6A75" w:rsidRDefault="00387142" w:rsidP="00387142">
            <w:pPr>
              <w:jc w:val="right"/>
              <w:rPr>
                <w:bCs/>
                <w:sz w:val="20"/>
                <w:szCs w:val="20"/>
              </w:rPr>
            </w:pPr>
            <w:r w:rsidRPr="008B6A75">
              <w:rPr>
                <w:bCs/>
                <w:sz w:val="20"/>
                <w:szCs w:val="20"/>
              </w:rPr>
              <w:t>8 146,85</w:t>
            </w:r>
          </w:p>
        </w:tc>
        <w:tc>
          <w:tcPr>
            <w:tcW w:w="992" w:type="dxa"/>
            <w:gridSpan w:val="2"/>
            <w:tcBorders>
              <w:top w:val="nil"/>
              <w:left w:val="single" w:sz="4" w:space="0" w:color="auto"/>
              <w:bottom w:val="nil"/>
              <w:right w:val="nil"/>
            </w:tcBorders>
            <w:shd w:val="clear" w:color="auto" w:fill="auto"/>
            <w:noWrap/>
            <w:vAlign w:val="center"/>
            <w:hideMark/>
          </w:tcPr>
          <w:p w14:paraId="7F15EA29" w14:textId="77777777" w:rsidR="00387142" w:rsidRPr="008B6A75" w:rsidRDefault="00387142" w:rsidP="00387142">
            <w:pPr>
              <w:jc w:val="right"/>
              <w:rPr>
                <w:bCs/>
                <w:sz w:val="20"/>
                <w:szCs w:val="20"/>
              </w:rPr>
            </w:pPr>
            <w:r w:rsidRPr="008B6A75">
              <w:rPr>
                <w:bCs/>
                <w:sz w:val="20"/>
                <w:szCs w:val="20"/>
              </w:rPr>
              <w:t>0,00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06C51F3C" w14:textId="77777777" w:rsidR="00387142" w:rsidRPr="008B6A75" w:rsidRDefault="00387142" w:rsidP="00387142">
            <w:pPr>
              <w:jc w:val="right"/>
              <w:rPr>
                <w:bCs/>
                <w:sz w:val="20"/>
                <w:szCs w:val="20"/>
              </w:rPr>
            </w:pPr>
            <w:r w:rsidRPr="008B6A75">
              <w:rPr>
                <w:bCs/>
                <w:sz w:val="20"/>
                <w:szCs w:val="20"/>
              </w:rPr>
              <w:t>0,00</w:t>
            </w:r>
          </w:p>
        </w:tc>
        <w:tc>
          <w:tcPr>
            <w:tcW w:w="222" w:type="dxa"/>
            <w:vAlign w:val="center"/>
            <w:hideMark/>
          </w:tcPr>
          <w:p w14:paraId="534BE97B" w14:textId="77777777" w:rsidR="00387142" w:rsidRPr="008B6A75" w:rsidRDefault="00387142" w:rsidP="00387142">
            <w:pPr>
              <w:rPr>
                <w:sz w:val="20"/>
                <w:szCs w:val="20"/>
              </w:rPr>
            </w:pPr>
          </w:p>
        </w:tc>
      </w:tr>
      <w:tr w:rsidR="00387142" w:rsidRPr="008B6A75" w14:paraId="05881333" w14:textId="77777777" w:rsidTr="00387142">
        <w:trPr>
          <w:trHeight w:val="870"/>
        </w:trPr>
        <w:tc>
          <w:tcPr>
            <w:tcW w:w="3021" w:type="dxa"/>
            <w:tcBorders>
              <w:top w:val="single" w:sz="4" w:space="0" w:color="auto"/>
              <w:left w:val="single" w:sz="4" w:space="0" w:color="auto"/>
              <w:bottom w:val="nil"/>
              <w:right w:val="nil"/>
            </w:tcBorders>
            <w:shd w:val="clear" w:color="auto" w:fill="auto"/>
            <w:vAlign w:val="center"/>
            <w:hideMark/>
          </w:tcPr>
          <w:p w14:paraId="666D7594" w14:textId="77777777" w:rsidR="00387142" w:rsidRPr="008B6A75" w:rsidRDefault="00387142" w:rsidP="00387142">
            <w:pPr>
              <w:rPr>
                <w:sz w:val="20"/>
                <w:szCs w:val="20"/>
              </w:rPr>
            </w:pPr>
            <w:r w:rsidRPr="008B6A75">
              <w:rPr>
                <w:sz w:val="20"/>
                <w:szCs w:val="20"/>
              </w:rPr>
              <w:t>Предоставление субсидий бюджетным, автономным учреждениям и иным некоммерческим организациям</w:t>
            </w:r>
          </w:p>
        </w:tc>
        <w:tc>
          <w:tcPr>
            <w:tcW w:w="850" w:type="dxa"/>
            <w:tcBorders>
              <w:top w:val="single" w:sz="4" w:space="0" w:color="auto"/>
              <w:left w:val="single" w:sz="4" w:space="0" w:color="auto"/>
              <w:bottom w:val="nil"/>
              <w:right w:val="nil"/>
            </w:tcBorders>
            <w:shd w:val="clear" w:color="auto" w:fill="auto"/>
            <w:noWrap/>
            <w:vAlign w:val="center"/>
            <w:hideMark/>
          </w:tcPr>
          <w:p w14:paraId="104493C6" w14:textId="77777777" w:rsidR="00387142" w:rsidRPr="008B6A75" w:rsidRDefault="00387142" w:rsidP="00387142">
            <w:pPr>
              <w:jc w:val="center"/>
              <w:rPr>
                <w:sz w:val="20"/>
                <w:szCs w:val="20"/>
              </w:rPr>
            </w:pPr>
            <w:r w:rsidRPr="008B6A75">
              <w:rPr>
                <w:sz w:val="20"/>
                <w:szCs w:val="20"/>
              </w:rPr>
              <w:t>444</w:t>
            </w:r>
          </w:p>
        </w:tc>
        <w:tc>
          <w:tcPr>
            <w:tcW w:w="709" w:type="dxa"/>
            <w:tcBorders>
              <w:top w:val="single" w:sz="4" w:space="0" w:color="auto"/>
              <w:left w:val="single" w:sz="4" w:space="0" w:color="auto"/>
              <w:bottom w:val="nil"/>
              <w:right w:val="nil"/>
            </w:tcBorders>
            <w:shd w:val="clear" w:color="auto" w:fill="auto"/>
            <w:noWrap/>
            <w:vAlign w:val="center"/>
            <w:hideMark/>
          </w:tcPr>
          <w:p w14:paraId="31E5C0B6" w14:textId="77777777" w:rsidR="00387142" w:rsidRPr="008B6A75" w:rsidRDefault="00387142" w:rsidP="00387142">
            <w:pPr>
              <w:jc w:val="center"/>
              <w:rPr>
                <w:sz w:val="20"/>
                <w:szCs w:val="20"/>
              </w:rPr>
            </w:pPr>
            <w:r w:rsidRPr="008B6A75">
              <w:rPr>
                <w:sz w:val="20"/>
                <w:szCs w:val="20"/>
              </w:rPr>
              <w:t>08</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561EDF48" w14:textId="77777777" w:rsidR="00387142" w:rsidRPr="008B6A75" w:rsidRDefault="00387142" w:rsidP="00387142">
            <w:pPr>
              <w:jc w:val="center"/>
              <w:rPr>
                <w:sz w:val="20"/>
                <w:szCs w:val="20"/>
              </w:rPr>
            </w:pPr>
            <w:r w:rsidRPr="008B6A75">
              <w:rPr>
                <w:sz w:val="20"/>
                <w:szCs w:val="20"/>
              </w:rPr>
              <w:t>01</w:t>
            </w:r>
          </w:p>
        </w:tc>
        <w:tc>
          <w:tcPr>
            <w:tcW w:w="1411" w:type="dxa"/>
            <w:tcBorders>
              <w:top w:val="single" w:sz="4" w:space="0" w:color="auto"/>
              <w:left w:val="single" w:sz="4" w:space="0" w:color="auto"/>
              <w:bottom w:val="nil"/>
              <w:right w:val="nil"/>
            </w:tcBorders>
            <w:shd w:val="clear" w:color="auto" w:fill="auto"/>
            <w:noWrap/>
            <w:vAlign w:val="center"/>
            <w:hideMark/>
          </w:tcPr>
          <w:p w14:paraId="7968ACD6" w14:textId="77777777" w:rsidR="00387142" w:rsidRPr="008B6A75" w:rsidRDefault="00387142" w:rsidP="00387142">
            <w:pPr>
              <w:jc w:val="center"/>
              <w:rPr>
                <w:sz w:val="20"/>
                <w:szCs w:val="20"/>
              </w:rPr>
            </w:pPr>
            <w:r w:rsidRPr="008B6A75">
              <w:rPr>
                <w:sz w:val="20"/>
                <w:szCs w:val="20"/>
              </w:rPr>
              <w:t>08.0.00.S0770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3FBB8C39" w14:textId="77777777" w:rsidR="00387142" w:rsidRPr="008B6A75" w:rsidRDefault="00387142" w:rsidP="00387142">
            <w:pPr>
              <w:jc w:val="center"/>
              <w:rPr>
                <w:sz w:val="20"/>
                <w:szCs w:val="20"/>
              </w:rPr>
            </w:pPr>
            <w:r w:rsidRPr="008B6A75">
              <w:rPr>
                <w:sz w:val="20"/>
                <w:szCs w:val="20"/>
              </w:rPr>
              <w:t>600</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18FF3190" w14:textId="77777777" w:rsidR="00387142" w:rsidRPr="008B6A75" w:rsidRDefault="00387142" w:rsidP="00387142">
            <w:pPr>
              <w:jc w:val="right"/>
              <w:rPr>
                <w:sz w:val="20"/>
                <w:szCs w:val="20"/>
              </w:rPr>
            </w:pPr>
            <w:r w:rsidRPr="008B6A75">
              <w:rPr>
                <w:sz w:val="20"/>
                <w:szCs w:val="20"/>
              </w:rPr>
              <w:t>8 146,85</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111D2666" w14:textId="77777777" w:rsidR="00387142" w:rsidRPr="008B6A75" w:rsidRDefault="00387142" w:rsidP="00387142">
            <w:pPr>
              <w:jc w:val="right"/>
              <w:rPr>
                <w:sz w:val="20"/>
                <w:szCs w:val="20"/>
              </w:rPr>
            </w:pPr>
            <w:r w:rsidRPr="008B6A75">
              <w:rPr>
                <w:sz w:val="20"/>
                <w:szCs w:val="20"/>
              </w:rPr>
              <w:t>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2656DCAA" w14:textId="77777777" w:rsidR="00387142" w:rsidRPr="008B6A75" w:rsidRDefault="00387142" w:rsidP="00387142">
            <w:pPr>
              <w:jc w:val="right"/>
              <w:rPr>
                <w:sz w:val="20"/>
                <w:szCs w:val="20"/>
              </w:rPr>
            </w:pPr>
            <w:r w:rsidRPr="008B6A75">
              <w:rPr>
                <w:sz w:val="20"/>
                <w:szCs w:val="20"/>
              </w:rPr>
              <w:t>0,00</w:t>
            </w:r>
          </w:p>
        </w:tc>
        <w:tc>
          <w:tcPr>
            <w:tcW w:w="222" w:type="dxa"/>
            <w:vAlign w:val="center"/>
            <w:hideMark/>
          </w:tcPr>
          <w:p w14:paraId="6D5C35C7" w14:textId="77777777" w:rsidR="00387142" w:rsidRPr="008B6A75" w:rsidRDefault="00387142" w:rsidP="00387142">
            <w:pPr>
              <w:rPr>
                <w:sz w:val="20"/>
                <w:szCs w:val="20"/>
              </w:rPr>
            </w:pPr>
          </w:p>
        </w:tc>
      </w:tr>
      <w:tr w:rsidR="00387142" w:rsidRPr="008B6A75" w14:paraId="0B7AE25F" w14:textId="77777777" w:rsidTr="00387142">
        <w:trPr>
          <w:trHeight w:val="300"/>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50554166" w14:textId="77777777" w:rsidR="00387142" w:rsidRPr="008B6A75" w:rsidRDefault="00387142" w:rsidP="00387142">
            <w:pPr>
              <w:rPr>
                <w:sz w:val="20"/>
                <w:szCs w:val="20"/>
              </w:rPr>
            </w:pPr>
            <w:r w:rsidRPr="008B6A75">
              <w:rPr>
                <w:sz w:val="20"/>
                <w:szCs w:val="20"/>
              </w:rPr>
              <w:t>Субсидии бюджетным учреждениям</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71BAD6E5" w14:textId="77777777" w:rsidR="00387142" w:rsidRPr="008B6A75" w:rsidRDefault="00387142" w:rsidP="00387142">
            <w:pPr>
              <w:jc w:val="center"/>
              <w:rPr>
                <w:sz w:val="20"/>
                <w:szCs w:val="20"/>
              </w:rPr>
            </w:pPr>
            <w:r w:rsidRPr="008B6A75">
              <w:rPr>
                <w:sz w:val="20"/>
                <w:szCs w:val="20"/>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27D2FE29" w14:textId="77777777" w:rsidR="00387142" w:rsidRPr="008B6A75" w:rsidRDefault="00387142" w:rsidP="00387142">
            <w:pPr>
              <w:jc w:val="center"/>
              <w:rPr>
                <w:sz w:val="20"/>
                <w:szCs w:val="20"/>
              </w:rPr>
            </w:pPr>
            <w:r w:rsidRPr="008B6A75">
              <w:rPr>
                <w:sz w:val="20"/>
                <w:szCs w:val="20"/>
              </w:rPr>
              <w:t>08</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6D452E" w14:textId="77777777" w:rsidR="00387142" w:rsidRPr="008B6A75" w:rsidRDefault="00387142" w:rsidP="00387142">
            <w:pPr>
              <w:jc w:val="center"/>
              <w:rPr>
                <w:sz w:val="20"/>
                <w:szCs w:val="20"/>
              </w:rPr>
            </w:pPr>
            <w:r w:rsidRPr="008B6A75">
              <w:rPr>
                <w:sz w:val="20"/>
                <w:szCs w:val="20"/>
              </w:rPr>
              <w:t>01</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4F03F131" w14:textId="77777777" w:rsidR="00387142" w:rsidRPr="008B6A75" w:rsidRDefault="00387142" w:rsidP="00387142">
            <w:pPr>
              <w:jc w:val="center"/>
              <w:rPr>
                <w:sz w:val="20"/>
                <w:szCs w:val="20"/>
              </w:rPr>
            </w:pPr>
            <w:r w:rsidRPr="008B6A75">
              <w:rPr>
                <w:sz w:val="20"/>
                <w:szCs w:val="20"/>
              </w:rPr>
              <w:t>08.0.00.S0770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48CBD3" w14:textId="77777777" w:rsidR="00387142" w:rsidRPr="008B6A75" w:rsidRDefault="00387142" w:rsidP="00387142">
            <w:pPr>
              <w:jc w:val="center"/>
              <w:rPr>
                <w:sz w:val="20"/>
                <w:szCs w:val="20"/>
              </w:rPr>
            </w:pPr>
            <w:r w:rsidRPr="008B6A75">
              <w:rPr>
                <w:sz w:val="20"/>
                <w:szCs w:val="20"/>
              </w:rPr>
              <w:t>610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C0547D" w14:textId="77777777" w:rsidR="00387142" w:rsidRPr="008B6A75" w:rsidRDefault="00387142" w:rsidP="00387142">
            <w:pPr>
              <w:jc w:val="right"/>
              <w:rPr>
                <w:sz w:val="20"/>
                <w:szCs w:val="20"/>
              </w:rPr>
            </w:pPr>
            <w:r w:rsidRPr="008B6A75">
              <w:rPr>
                <w:sz w:val="20"/>
                <w:szCs w:val="20"/>
              </w:rPr>
              <w:t>8 146,85</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51761C65" w14:textId="77777777" w:rsidR="00387142" w:rsidRPr="008B6A75" w:rsidRDefault="00387142" w:rsidP="00387142">
            <w:pPr>
              <w:jc w:val="right"/>
              <w:rPr>
                <w:sz w:val="20"/>
                <w:szCs w:val="20"/>
              </w:rPr>
            </w:pPr>
            <w:r w:rsidRPr="008B6A75">
              <w:rPr>
                <w:sz w:val="20"/>
                <w:szCs w:val="20"/>
              </w:rPr>
              <w:t>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2C387E" w14:textId="77777777" w:rsidR="00387142" w:rsidRPr="008B6A75" w:rsidRDefault="00387142" w:rsidP="00387142">
            <w:pPr>
              <w:jc w:val="right"/>
              <w:rPr>
                <w:sz w:val="20"/>
                <w:szCs w:val="20"/>
              </w:rPr>
            </w:pPr>
            <w:r w:rsidRPr="008B6A75">
              <w:rPr>
                <w:sz w:val="20"/>
                <w:szCs w:val="20"/>
              </w:rPr>
              <w:t>0,00</w:t>
            </w:r>
          </w:p>
        </w:tc>
        <w:tc>
          <w:tcPr>
            <w:tcW w:w="222" w:type="dxa"/>
            <w:vAlign w:val="center"/>
            <w:hideMark/>
          </w:tcPr>
          <w:p w14:paraId="2A7FFF89" w14:textId="77777777" w:rsidR="00387142" w:rsidRPr="008B6A75" w:rsidRDefault="00387142" w:rsidP="00387142">
            <w:pPr>
              <w:rPr>
                <w:sz w:val="20"/>
                <w:szCs w:val="20"/>
              </w:rPr>
            </w:pPr>
          </w:p>
        </w:tc>
      </w:tr>
      <w:tr w:rsidR="00387142" w:rsidRPr="008B6A75" w14:paraId="2E42C7C7" w14:textId="77777777" w:rsidTr="00387142">
        <w:trPr>
          <w:trHeight w:val="300"/>
        </w:trPr>
        <w:tc>
          <w:tcPr>
            <w:tcW w:w="3021" w:type="dxa"/>
            <w:tcBorders>
              <w:top w:val="nil"/>
              <w:left w:val="single" w:sz="4" w:space="0" w:color="auto"/>
              <w:bottom w:val="nil"/>
              <w:right w:val="nil"/>
            </w:tcBorders>
            <w:shd w:val="clear" w:color="auto" w:fill="auto"/>
            <w:vAlign w:val="center"/>
            <w:hideMark/>
          </w:tcPr>
          <w:p w14:paraId="044B0173" w14:textId="77777777" w:rsidR="00387142" w:rsidRPr="008B6A75" w:rsidRDefault="00387142" w:rsidP="00387142">
            <w:pPr>
              <w:rPr>
                <w:bCs/>
                <w:sz w:val="20"/>
                <w:szCs w:val="20"/>
              </w:rPr>
            </w:pPr>
            <w:r w:rsidRPr="008B6A75">
              <w:rPr>
                <w:bCs/>
                <w:sz w:val="20"/>
                <w:szCs w:val="20"/>
              </w:rPr>
              <w:t>Непрограммные направления бюджета</w:t>
            </w:r>
          </w:p>
        </w:tc>
        <w:tc>
          <w:tcPr>
            <w:tcW w:w="850" w:type="dxa"/>
            <w:tcBorders>
              <w:top w:val="nil"/>
              <w:left w:val="single" w:sz="4" w:space="0" w:color="auto"/>
              <w:bottom w:val="nil"/>
              <w:right w:val="nil"/>
            </w:tcBorders>
            <w:shd w:val="clear" w:color="auto" w:fill="auto"/>
            <w:noWrap/>
            <w:vAlign w:val="center"/>
            <w:hideMark/>
          </w:tcPr>
          <w:p w14:paraId="4C834F53" w14:textId="77777777" w:rsidR="00387142" w:rsidRPr="008B6A75" w:rsidRDefault="00387142" w:rsidP="00387142">
            <w:pPr>
              <w:jc w:val="center"/>
              <w:rPr>
                <w:bCs/>
                <w:sz w:val="20"/>
                <w:szCs w:val="20"/>
              </w:rPr>
            </w:pPr>
            <w:r w:rsidRPr="008B6A75">
              <w:rPr>
                <w:bCs/>
                <w:sz w:val="20"/>
                <w:szCs w:val="20"/>
              </w:rPr>
              <w:t>444</w:t>
            </w:r>
          </w:p>
        </w:tc>
        <w:tc>
          <w:tcPr>
            <w:tcW w:w="709" w:type="dxa"/>
            <w:tcBorders>
              <w:top w:val="nil"/>
              <w:left w:val="single" w:sz="4" w:space="0" w:color="auto"/>
              <w:bottom w:val="nil"/>
              <w:right w:val="nil"/>
            </w:tcBorders>
            <w:shd w:val="clear" w:color="auto" w:fill="auto"/>
            <w:noWrap/>
            <w:vAlign w:val="center"/>
            <w:hideMark/>
          </w:tcPr>
          <w:p w14:paraId="648705FB" w14:textId="77777777" w:rsidR="00387142" w:rsidRPr="008B6A75" w:rsidRDefault="00387142" w:rsidP="00387142">
            <w:pPr>
              <w:jc w:val="center"/>
              <w:rPr>
                <w:bCs/>
                <w:sz w:val="20"/>
                <w:szCs w:val="20"/>
              </w:rPr>
            </w:pPr>
            <w:r w:rsidRPr="008B6A75">
              <w:rPr>
                <w:bCs/>
                <w:sz w:val="20"/>
                <w:szCs w:val="20"/>
              </w:rPr>
              <w:t>08</w:t>
            </w:r>
          </w:p>
        </w:tc>
        <w:tc>
          <w:tcPr>
            <w:tcW w:w="709" w:type="dxa"/>
            <w:tcBorders>
              <w:top w:val="nil"/>
              <w:left w:val="single" w:sz="4" w:space="0" w:color="auto"/>
              <w:bottom w:val="nil"/>
              <w:right w:val="single" w:sz="4" w:space="0" w:color="auto"/>
            </w:tcBorders>
            <w:shd w:val="clear" w:color="auto" w:fill="auto"/>
            <w:noWrap/>
            <w:vAlign w:val="center"/>
            <w:hideMark/>
          </w:tcPr>
          <w:p w14:paraId="2AFD5E6E" w14:textId="77777777" w:rsidR="00387142" w:rsidRPr="008B6A75" w:rsidRDefault="00387142" w:rsidP="00387142">
            <w:pPr>
              <w:jc w:val="center"/>
              <w:rPr>
                <w:bCs/>
                <w:sz w:val="20"/>
                <w:szCs w:val="20"/>
              </w:rPr>
            </w:pPr>
            <w:r w:rsidRPr="008B6A75">
              <w:rPr>
                <w:bCs/>
                <w:sz w:val="20"/>
                <w:szCs w:val="20"/>
              </w:rPr>
              <w:t>01</w:t>
            </w:r>
          </w:p>
        </w:tc>
        <w:tc>
          <w:tcPr>
            <w:tcW w:w="1411" w:type="dxa"/>
            <w:tcBorders>
              <w:top w:val="nil"/>
              <w:left w:val="single" w:sz="4" w:space="0" w:color="auto"/>
              <w:bottom w:val="nil"/>
              <w:right w:val="nil"/>
            </w:tcBorders>
            <w:shd w:val="clear" w:color="auto" w:fill="auto"/>
            <w:noWrap/>
            <w:vAlign w:val="center"/>
            <w:hideMark/>
          </w:tcPr>
          <w:p w14:paraId="551C592F" w14:textId="77777777" w:rsidR="00387142" w:rsidRPr="008B6A75" w:rsidRDefault="00387142" w:rsidP="00387142">
            <w:pPr>
              <w:jc w:val="center"/>
              <w:rPr>
                <w:bCs/>
                <w:sz w:val="20"/>
                <w:szCs w:val="20"/>
              </w:rPr>
            </w:pPr>
            <w:r w:rsidRPr="008B6A75">
              <w:rPr>
                <w:bCs/>
                <w:sz w:val="20"/>
                <w:szCs w:val="20"/>
              </w:rPr>
              <w:t>99.0.00.00000</w:t>
            </w:r>
          </w:p>
        </w:tc>
        <w:tc>
          <w:tcPr>
            <w:tcW w:w="955" w:type="dxa"/>
            <w:tcBorders>
              <w:top w:val="nil"/>
              <w:left w:val="single" w:sz="4" w:space="0" w:color="auto"/>
              <w:bottom w:val="nil"/>
              <w:right w:val="single" w:sz="4" w:space="0" w:color="auto"/>
            </w:tcBorders>
            <w:shd w:val="clear" w:color="auto" w:fill="auto"/>
            <w:noWrap/>
            <w:vAlign w:val="center"/>
            <w:hideMark/>
          </w:tcPr>
          <w:p w14:paraId="3B9634E5"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nil"/>
              <w:right w:val="single" w:sz="4" w:space="0" w:color="auto"/>
            </w:tcBorders>
            <w:shd w:val="clear" w:color="auto" w:fill="auto"/>
            <w:noWrap/>
            <w:vAlign w:val="center"/>
            <w:hideMark/>
          </w:tcPr>
          <w:p w14:paraId="0C780059" w14:textId="77777777" w:rsidR="00387142" w:rsidRPr="008B6A75" w:rsidRDefault="00387142" w:rsidP="00387142">
            <w:pPr>
              <w:jc w:val="right"/>
              <w:rPr>
                <w:bCs/>
                <w:sz w:val="20"/>
                <w:szCs w:val="20"/>
              </w:rPr>
            </w:pPr>
            <w:r w:rsidRPr="008B6A75">
              <w:rPr>
                <w:bCs/>
                <w:sz w:val="20"/>
                <w:szCs w:val="20"/>
              </w:rPr>
              <w:t>1 469 158,85</w:t>
            </w:r>
          </w:p>
        </w:tc>
        <w:tc>
          <w:tcPr>
            <w:tcW w:w="992" w:type="dxa"/>
            <w:gridSpan w:val="2"/>
            <w:tcBorders>
              <w:top w:val="nil"/>
              <w:left w:val="single" w:sz="4" w:space="0" w:color="auto"/>
              <w:bottom w:val="nil"/>
              <w:right w:val="nil"/>
            </w:tcBorders>
            <w:shd w:val="clear" w:color="auto" w:fill="auto"/>
            <w:noWrap/>
            <w:vAlign w:val="center"/>
            <w:hideMark/>
          </w:tcPr>
          <w:p w14:paraId="72B210EC" w14:textId="77777777" w:rsidR="00387142" w:rsidRPr="008B6A75" w:rsidRDefault="00387142" w:rsidP="00387142">
            <w:pPr>
              <w:jc w:val="right"/>
              <w:rPr>
                <w:bCs/>
                <w:sz w:val="20"/>
                <w:szCs w:val="20"/>
              </w:rPr>
            </w:pPr>
            <w:r w:rsidRPr="008B6A75">
              <w:rPr>
                <w:bCs/>
                <w:sz w:val="20"/>
                <w:szCs w:val="20"/>
              </w:rPr>
              <w:t>0,00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34402F96" w14:textId="77777777" w:rsidR="00387142" w:rsidRPr="008B6A75" w:rsidRDefault="00387142" w:rsidP="00387142">
            <w:pPr>
              <w:jc w:val="right"/>
              <w:rPr>
                <w:bCs/>
                <w:sz w:val="20"/>
                <w:szCs w:val="20"/>
              </w:rPr>
            </w:pPr>
            <w:r w:rsidRPr="008B6A75">
              <w:rPr>
                <w:bCs/>
                <w:sz w:val="20"/>
                <w:szCs w:val="20"/>
              </w:rPr>
              <w:t>0,00</w:t>
            </w:r>
          </w:p>
        </w:tc>
        <w:tc>
          <w:tcPr>
            <w:tcW w:w="222" w:type="dxa"/>
            <w:vAlign w:val="center"/>
            <w:hideMark/>
          </w:tcPr>
          <w:p w14:paraId="1D6E5F17" w14:textId="77777777" w:rsidR="00387142" w:rsidRPr="008B6A75" w:rsidRDefault="00387142" w:rsidP="00387142">
            <w:pPr>
              <w:rPr>
                <w:sz w:val="20"/>
                <w:szCs w:val="20"/>
              </w:rPr>
            </w:pPr>
          </w:p>
        </w:tc>
      </w:tr>
      <w:tr w:rsidR="00387142" w:rsidRPr="008B6A75" w14:paraId="0AA5292C" w14:textId="77777777" w:rsidTr="00387142">
        <w:trPr>
          <w:trHeight w:val="300"/>
        </w:trPr>
        <w:tc>
          <w:tcPr>
            <w:tcW w:w="3021" w:type="dxa"/>
            <w:tcBorders>
              <w:top w:val="single" w:sz="4" w:space="0" w:color="auto"/>
              <w:left w:val="single" w:sz="4" w:space="0" w:color="auto"/>
              <w:bottom w:val="nil"/>
              <w:right w:val="nil"/>
            </w:tcBorders>
            <w:shd w:val="clear" w:color="auto" w:fill="auto"/>
            <w:vAlign w:val="center"/>
            <w:hideMark/>
          </w:tcPr>
          <w:p w14:paraId="52F6EFA3" w14:textId="77777777" w:rsidR="00387142" w:rsidRPr="008B6A75" w:rsidRDefault="00387142" w:rsidP="00387142">
            <w:pPr>
              <w:rPr>
                <w:bCs/>
                <w:sz w:val="20"/>
                <w:szCs w:val="20"/>
              </w:rPr>
            </w:pPr>
            <w:r w:rsidRPr="008B6A75">
              <w:rPr>
                <w:bCs/>
                <w:sz w:val="20"/>
                <w:szCs w:val="20"/>
              </w:rPr>
              <w:t>Резервные фонды местного бюджета</w:t>
            </w:r>
          </w:p>
        </w:tc>
        <w:tc>
          <w:tcPr>
            <w:tcW w:w="850" w:type="dxa"/>
            <w:tcBorders>
              <w:top w:val="single" w:sz="4" w:space="0" w:color="auto"/>
              <w:left w:val="single" w:sz="4" w:space="0" w:color="auto"/>
              <w:bottom w:val="nil"/>
              <w:right w:val="nil"/>
            </w:tcBorders>
            <w:shd w:val="clear" w:color="auto" w:fill="auto"/>
            <w:noWrap/>
            <w:vAlign w:val="center"/>
            <w:hideMark/>
          </w:tcPr>
          <w:p w14:paraId="665431F4" w14:textId="77777777" w:rsidR="00387142" w:rsidRPr="008B6A75" w:rsidRDefault="00387142" w:rsidP="00387142">
            <w:pPr>
              <w:jc w:val="center"/>
              <w:rPr>
                <w:bCs/>
                <w:sz w:val="20"/>
                <w:szCs w:val="20"/>
              </w:rPr>
            </w:pPr>
            <w:r w:rsidRPr="008B6A75">
              <w:rPr>
                <w:bCs/>
                <w:sz w:val="20"/>
                <w:szCs w:val="20"/>
              </w:rPr>
              <w:t>444</w:t>
            </w:r>
          </w:p>
        </w:tc>
        <w:tc>
          <w:tcPr>
            <w:tcW w:w="709" w:type="dxa"/>
            <w:tcBorders>
              <w:top w:val="single" w:sz="4" w:space="0" w:color="auto"/>
              <w:left w:val="single" w:sz="4" w:space="0" w:color="auto"/>
              <w:bottom w:val="nil"/>
              <w:right w:val="nil"/>
            </w:tcBorders>
            <w:shd w:val="clear" w:color="auto" w:fill="auto"/>
            <w:noWrap/>
            <w:vAlign w:val="center"/>
            <w:hideMark/>
          </w:tcPr>
          <w:p w14:paraId="470D5381" w14:textId="77777777" w:rsidR="00387142" w:rsidRPr="008B6A75" w:rsidRDefault="00387142" w:rsidP="00387142">
            <w:pPr>
              <w:jc w:val="center"/>
              <w:rPr>
                <w:bCs/>
                <w:sz w:val="20"/>
                <w:szCs w:val="20"/>
              </w:rPr>
            </w:pPr>
            <w:r w:rsidRPr="008B6A75">
              <w:rPr>
                <w:bCs/>
                <w:sz w:val="20"/>
                <w:szCs w:val="20"/>
              </w:rPr>
              <w:t>08</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65494AFC" w14:textId="77777777" w:rsidR="00387142" w:rsidRPr="008B6A75" w:rsidRDefault="00387142" w:rsidP="00387142">
            <w:pPr>
              <w:jc w:val="center"/>
              <w:rPr>
                <w:bCs/>
                <w:sz w:val="20"/>
                <w:szCs w:val="20"/>
              </w:rPr>
            </w:pPr>
            <w:r w:rsidRPr="008B6A75">
              <w:rPr>
                <w:bCs/>
                <w:sz w:val="20"/>
                <w:szCs w:val="20"/>
              </w:rPr>
              <w:t>01</w:t>
            </w:r>
          </w:p>
        </w:tc>
        <w:tc>
          <w:tcPr>
            <w:tcW w:w="1411" w:type="dxa"/>
            <w:tcBorders>
              <w:top w:val="single" w:sz="4" w:space="0" w:color="auto"/>
              <w:left w:val="single" w:sz="4" w:space="0" w:color="auto"/>
              <w:bottom w:val="nil"/>
              <w:right w:val="nil"/>
            </w:tcBorders>
            <w:shd w:val="clear" w:color="auto" w:fill="auto"/>
            <w:noWrap/>
            <w:vAlign w:val="center"/>
            <w:hideMark/>
          </w:tcPr>
          <w:p w14:paraId="47CE9E8E" w14:textId="77777777" w:rsidR="00387142" w:rsidRPr="008B6A75" w:rsidRDefault="00387142" w:rsidP="00387142">
            <w:pPr>
              <w:jc w:val="center"/>
              <w:rPr>
                <w:bCs/>
                <w:sz w:val="20"/>
                <w:szCs w:val="20"/>
              </w:rPr>
            </w:pPr>
            <w:r w:rsidRPr="008B6A75">
              <w:rPr>
                <w:bCs/>
                <w:sz w:val="20"/>
                <w:szCs w:val="20"/>
              </w:rPr>
              <w:t>99.0.00.01700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5CA594D6" w14:textId="77777777" w:rsidR="00387142" w:rsidRPr="008B6A75" w:rsidRDefault="00387142" w:rsidP="00387142">
            <w:pPr>
              <w:jc w:val="center"/>
              <w:rPr>
                <w:bCs/>
                <w:sz w:val="20"/>
                <w:szCs w:val="20"/>
              </w:rPr>
            </w:pPr>
            <w:r w:rsidRPr="008B6A75">
              <w:rPr>
                <w:bCs/>
                <w:sz w:val="20"/>
                <w:szCs w:val="20"/>
              </w:rPr>
              <w:t> </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574BBB1E" w14:textId="77777777" w:rsidR="00387142" w:rsidRPr="008B6A75" w:rsidRDefault="00387142" w:rsidP="00387142">
            <w:pPr>
              <w:jc w:val="right"/>
              <w:rPr>
                <w:bCs/>
                <w:sz w:val="20"/>
                <w:szCs w:val="20"/>
              </w:rPr>
            </w:pPr>
            <w:r w:rsidRPr="008B6A75">
              <w:rPr>
                <w:bCs/>
                <w:sz w:val="20"/>
                <w:szCs w:val="20"/>
              </w:rPr>
              <w:t>551 000,00</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0F5664E3" w14:textId="77777777" w:rsidR="00387142" w:rsidRPr="008B6A75" w:rsidRDefault="00387142" w:rsidP="00387142">
            <w:pPr>
              <w:jc w:val="right"/>
              <w:rPr>
                <w:bCs/>
                <w:sz w:val="20"/>
                <w:szCs w:val="20"/>
              </w:rPr>
            </w:pPr>
            <w:r w:rsidRPr="008B6A75">
              <w:rPr>
                <w:bCs/>
                <w:sz w:val="20"/>
                <w:szCs w:val="20"/>
              </w:rPr>
              <w:t>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00691D07" w14:textId="77777777" w:rsidR="00387142" w:rsidRPr="008B6A75" w:rsidRDefault="00387142" w:rsidP="00387142">
            <w:pPr>
              <w:jc w:val="right"/>
              <w:rPr>
                <w:bCs/>
                <w:sz w:val="20"/>
                <w:szCs w:val="20"/>
              </w:rPr>
            </w:pPr>
            <w:r w:rsidRPr="008B6A75">
              <w:rPr>
                <w:bCs/>
                <w:sz w:val="20"/>
                <w:szCs w:val="20"/>
              </w:rPr>
              <w:t>0,00</w:t>
            </w:r>
          </w:p>
        </w:tc>
        <w:tc>
          <w:tcPr>
            <w:tcW w:w="222" w:type="dxa"/>
            <w:vAlign w:val="center"/>
            <w:hideMark/>
          </w:tcPr>
          <w:p w14:paraId="5B8B50BC" w14:textId="77777777" w:rsidR="00387142" w:rsidRPr="008B6A75" w:rsidRDefault="00387142" w:rsidP="00387142">
            <w:pPr>
              <w:rPr>
                <w:sz w:val="20"/>
                <w:szCs w:val="20"/>
              </w:rPr>
            </w:pPr>
          </w:p>
        </w:tc>
      </w:tr>
      <w:tr w:rsidR="00387142" w:rsidRPr="008B6A75" w14:paraId="71A544F8" w14:textId="77777777" w:rsidTr="00387142">
        <w:trPr>
          <w:trHeight w:val="300"/>
        </w:trPr>
        <w:tc>
          <w:tcPr>
            <w:tcW w:w="3021" w:type="dxa"/>
            <w:tcBorders>
              <w:top w:val="single" w:sz="4" w:space="0" w:color="auto"/>
              <w:left w:val="single" w:sz="4" w:space="0" w:color="auto"/>
              <w:bottom w:val="nil"/>
              <w:right w:val="nil"/>
            </w:tcBorders>
            <w:shd w:val="clear" w:color="auto" w:fill="auto"/>
            <w:vAlign w:val="center"/>
            <w:hideMark/>
          </w:tcPr>
          <w:p w14:paraId="7D293BEC" w14:textId="77777777" w:rsidR="00387142" w:rsidRPr="008B6A75" w:rsidRDefault="00387142" w:rsidP="00387142">
            <w:pPr>
              <w:rPr>
                <w:sz w:val="20"/>
                <w:szCs w:val="20"/>
              </w:rPr>
            </w:pPr>
            <w:r w:rsidRPr="008B6A75">
              <w:rPr>
                <w:sz w:val="20"/>
                <w:szCs w:val="20"/>
              </w:rPr>
              <w:t>Межбюджетные трансферты</w:t>
            </w:r>
          </w:p>
        </w:tc>
        <w:tc>
          <w:tcPr>
            <w:tcW w:w="850" w:type="dxa"/>
            <w:tcBorders>
              <w:top w:val="single" w:sz="4" w:space="0" w:color="auto"/>
              <w:left w:val="single" w:sz="4" w:space="0" w:color="auto"/>
              <w:bottom w:val="nil"/>
              <w:right w:val="nil"/>
            </w:tcBorders>
            <w:shd w:val="clear" w:color="auto" w:fill="auto"/>
            <w:noWrap/>
            <w:vAlign w:val="center"/>
            <w:hideMark/>
          </w:tcPr>
          <w:p w14:paraId="31ECBCC1" w14:textId="77777777" w:rsidR="00387142" w:rsidRPr="008B6A75" w:rsidRDefault="00387142" w:rsidP="00387142">
            <w:pPr>
              <w:jc w:val="center"/>
              <w:rPr>
                <w:sz w:val="20"/>
                <w:szCs w:val="20"/>
              </w:rPr>
            </w:pPr>
            <w:r w:rsidRPr="008B6A75">
              <w:rPr>
                <w:sz w:val="20"/>
                <w:szCs w:val="20"/>
              </w:rPr>
              <w:t>444</w:t>
            </w:r>
          </w:p>
        </w:tc>
        <w:tc>
          <w:tcPr>
            <w:tcW w:w="709" w:type="dxa"/>
            <w:tcBorders>
              <w:top w:val="single" w:sz="4" w:space="0" w:color="auto"/>
              <w:left w:val="single" w:sz="4" w:space="0" w:color="auto"/>
              <w:bottom w:val="nil"/>
              <w:right w:val="nil"/>
            </w:tcBorders>
            <w:shd w:val="clear" w:color="auto" w:fill="auto"/>
            <w:noWrap/>
            <w:vAlign w:val="center"/>
            <w:hideMark/>
          </w:tcPr>
          <w:p w14:paraId="621200DE" w14:textId="77777777" w:rsidR="00387142" w:rsidRPr="008B6A75" w:rsidRDefault="00387142" w:rsidP="00387142">
            <w:pPr>
              <w:jc w:val="center"/>
              <w:rPr>
                <w:sz w:val="20"/>
                <w:szCs w:val="20"/>
              </w:rPr>
            </w:pPr>
            <w:r w:rsidRPr="008B6A75">
              <w:rPr>
                <w:sz w:val="20"/>
                <w:szCs w:val="20"/>
              </w:rPr>
              <w:t>08</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67B82CCC" w14:textId="77777777" w:rsidR="00387142" w:rsidRPr="008B6A75" w:rsidRDefault="00387142" w:rsidP="00387142">
            <w:pPr>
              <w:jc w:val="center"/>
              <w:rPr>
                <w:sz w:val="20"/>
                <w:szCs w:val="20"/>
              </w:rPr>
            </w:pPr>
            <w:r w:rsidRPr="008B6A75">
              <w:rPr>
                <w:sz w:val="20"/>
                <w:szCs w:val="20"/>
              </w:rPr>
              <w:t>01</w:t>
            </w:r>
          </w:p>
        </w:tc>
        <w:tc>
          <w:tcPr>
            <w:tcW w:w="1411" w:type="dxa"/>
            <w:tcBorders>
              <w:top w:val="single" w:sz="4" w:space="0" w:color="auto"/>
              <w:left w:val="single" w:sz="4" w:space="0" w:color="auto"/>
              <w:bottom w:val="nil"/>
              <w:right w:val="nil"/>
            </w:tcBorders>
            <w:shd w:val="clear" w:color="auto" w:fill="auto"/>
            <w:noWrap/>
            <w:vAlign w:val="center"/>
            <w:hideMark/>
          </w:tcPr>
          <w:p w14:paraId="1F9B7A62" w14:textId="77777777" w:rsidR="00387142" w:rsidRPr="008B6A75" w:rsidRDefault="00387142" w:rsidP="00387142">
            <w:pPr>
              <w:jc w:val="center"/>
              <w:rPr>
                <w:sz w:val="20"/>
                <w:szCs w:val="20"/>
              </w:rPr>
            </w:pPr>
            <w:r w:rsidRPr="008B6A75">
              <w:rPr>
                <w:sz w:val="20"/>
                <w:szCs w:val="20"/>
              </w:rPr>
              <w:t>99.0.00.01700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2AB2C723" w14:textId="77777777" w:rsidR="00387142" w:rsidRPr="008B6A75" w:rsidRDefault="00387142" w:rsidP="00387142">
            <w:pPr>
              <w:jc w:val="center"/>
              <w:rPr>
                <w:sz w:val="20"/>
                <w:szCs w:val="20"/>
              </w:rPr>
            </w:pPr>
            <w:r w:rsidRPr="008B6A75">
              <w:rPr>
                <w:sz w:val="20"/>
                <w:szCs w:val="20"/>
              </w:rPr>
              <w:t>500</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278E52C6" w14:textId="77777777" w:rsidR="00387142" w:rsidRPr="008B6A75" w:rsidRDefault="00387142" w:rsidP="00387142">
            <w:pPr>
              <w:jc w:val="right"/>
              <w:rPr>
                <w:sz w:val="20"/>
                <w:szCs w:val="20"/>
              </w:rPr>
            </w:pPr>
            <w:r w:rsidRPr="008B6A75">
              <w:rPr>
                <w:sz w:val="20"/>
                <w:szCs w:val="20"/>
              </w:rPr>
              <w:t>551 000,00</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1A0A2D3B" w14:textId="77777777" w:rsidR="00387142" w:rsidRPr="008B6A75" w:rsidRDefault="00387142" w:rsidP="00387142">
            <w:pPr>
              <w:jc w:val="right"/>
              <w:rPr>
                <w:sz w:val="20"/>
                <w:szCs w:val="20"/>
              </w:rPr>
            </w:pPr>
            <w:r w:rsidRPr="008B6A75">
              <w:rPr>
                <w:sz w:val="20"/>
                <w:szCs w:val="20"/>
              </w:rPr>
              <w:t>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1375E5DC" w14:textId="77777777" w:rsidR="00387142" w:rsidRPr="008B6A75" w:rsidRDefault="00387142" w:rsidP="00387142">
            <w:pPr>
              <w:jc w:val="right"/>
              <w:rPr>
                <w:sz w:val="20"/>
                <w:szCs w:val="20"/>
              </w:rPr>
            </w:pPr>
            <w:r w:rsidRPr="008B6A75">
              <w:rPr>
                <w:sz w:val="20"/>
                <w:szCs w:val="20"/>
              </w:rPr>
              <w:t>0,00</w:t>
            </w:r>
          </w:p>
        </w:tc>
        <w:tc>
          <w:tcPr>
            <w:tcW w:w="222" w:type="dxa"/>
            <w:vAlign w:val="center"/>
            <w:hideMark/>
          </w:tcPr>
          <w:p w14:paraId="2CFFEFF5" w14:textId="77777777" w:rsidR="00387142" w:rsidRPr="008B6A75" w:rsidRDefault="00387142" w:rsidP="00387142">
            <w:pPr>
              <w:rPr>
                <w:sz w:val="20"/>
                <w:szCs w:val="20"/>
              </w:rPr>
            </w:pPr>
          </w:p>
        </w:tc>
      </w:tr>
      <w:tr w:rsidR="00387142" w:rsidRPr="008B6A75" w14:paraId="443C699B" w14:textId="77777777" w:rsidTr="00387142">
        <w:trPr>
          <w:trHeight w:val="300"/>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6C53DC6C" w14:textId="77777777" w:rsidR="00387142" w:rsidRPr="008B6A75" w:rsidRDefault="00387142" w:rsidP="00387142">
            <w:pPr>
              <w:rPr>
                <w:sz w:val="20"/>
                <w:szCs w:val="20"/>
              </w:rPr>
            </w:pPr>
            <w:r w:rsidRPr="008B6A75">
              <w:rPr>
                <w:sz w:val="20"/>
                <w:szCs w:val="20"/>
              </w:rPr>
              <w:t>Иные межбюджетные трансферты</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683BFEA9" w14:textId="77777777" w:rsidR="00387142" w:rsidRPr="008B6A75" w:rsidRDefault="00387142" w:rsidP="00387142">
            <w:pPr>
              <w:jc w:val="center"/>
              <w:rPr>
                <w:sz w:val="20"/>
                <w:szCs w:val="20"/>
              </w:rPr>
            </w:pPr>
            <w:r w:rsidRPr="008B6A75">
              <w:rPr>
                <w:sz w:val="20"/>
                <w:szCs w:val="20"/>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60A59B18" w14:textId="77777777" w:rsidR="00387142" w:rsidRPr="008B6A75" w:rsidRDefault="00387142" w:rsidP="00387142">
            <w:pPr>
              <w:jc w:val="center"/>
              <w:rPr>
                <w:sz w:val="20"/>
                <w:szCs w:val="20"/>
              </w:rPr>
            </w:pPr>
            <w:r w:rsidRPr="008B6A75">
              <w:rPr>
                <w:sz w:val="20"/>
                <w:szCs w:val="20"/>
              </w:rPr>
              <w:t>08</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3BD1AB" w14:textId="77777777" w:rsidR="00387142" w:rsidRPr="008B6A75" w:rsidRDefault="00387142" w:rsidP="00387142">
            <w:pPr>
              <w:jc w:val="center"/>
              <w:rPr>
                <w:sz w:val="20"/>
                <w:szCs w:val="20"/>
              </w:rPr>
            </w:pPr>
            <w:r w:rsidRPr="008B6A75">
              <w:rPr>
                <w:sz w:val="20"/>
                <w:szCs w:val="20"/>
              </w:rPr>
              <w:t>01</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2DE760D1" w14:textId="77777777" w:rsidR="00387142" w:rsidRPr="008B6A75" w:rsidRDefault="00387142" w:rsidP="00387142">
            <w:pPr>
              <w:jc w:val="center"/>
              <w:rPr>
                <w:sz w:val="20"/>
                <w:szCs w:val="20"/>
              </w:rPr>
            </w:pPr>
            <w:r w:rsidRPr="008B6A75">
              <w:rPr>
                <w:sz w:val="20"/>
                <w:szCs w:val="20"/>
              </w:rPr>
              <w:t>99.0.00.01700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7A07A5" w14:textId="77777777" w:rsidR="00387142" w:rsidRPr="008B6A75" w:rsidRDefault="00387142" w:rsidP="00387142">
            <w:pPr>
              <w:jc w:val="center"/>
              <w:rPr>
                <w:sz w:val="20"/>
                <w:szCs w:val="20"/>
              </w:rPr>
            </w:pPr>
            <w:r w:rsidRPr="008B6A75">
              <w:rPr>
                <w:sz w:val="20"/>
                <w:szCs w:val="20"/>
              </w:rPr>
              <w:t>540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8416FE" w14:textId="77777777" w:rsidR="00387142" w:rsidRPr="008B6A75" w:rsidRDefault="00387142" w:rsidP="00387142">
            <w:pPr>
              <w:jc w:val="right"/>
              <w:rPr>
                <w:sz w:val="20"/>
                <w:szCs w:val="20"/>
              </w:rPr>
            </w:pPr>
            <w:r w:rsidRPr="008B6A75">
              <w:rPr>
                <w:sz w:val="20"/>
                <w:szCs w:val="20"/>
              </w:rPr>
              <w:t>551 000,00</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5A72BDC7" w14:textId="77777777" w:rsidR="00387142" w:rsidRPr="008B6A75" w:rsidRDefault="00387142" w:rsidP="00387142">
            <w:pPr>
              <w:jc w:val="right"/>
              <w:rPr>
                <w:sz w:val="20"/>
                <w:szCs w:val="20"/>
              </w:rPr>
            </w:pPr>
            <w:r w:rsidRPr="008B6A75">
              <w:rPr>
                <w:sz w:val="20"/>
                <w:szCs w:val="20"/>
              </w:rPr>
              <w:t>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E75B46" w14:textId="77777777" w:rsidR="00387142" w:rsidRPr="008B6A75" w:rsidRDefault="00387142" w:rsidP="00387142">
            <w:pPr>
              <w:jc w:val="right"/>
              <w:rPr>
                <w:sz w:val="20"/>
                <w:szCs w:val="20"/>
              </w:rPr>
            </w:pPr>
            <w:r w:rsidRPr="008B6A75">
              <w:rPr>
                <w:sz w:val="20"/>
                <w:szCs w:val="20"/>
              </w:rPr>
              <w:t>0,00</w:t>
            </w:r>
          </w:p>
        </w:tc>
        <w:tc>
          <w:tcPr>
            <w:tcW w:w="222" w:type="dxa"/>
            <w:vAlign w:val="center"/>
            <w:hideMark/>
          </w:tcPr>
          <w:p w14:paraId="0CA5806C" w14:textId="77777777" w:rsidR="00387142" w:rsidRPr="008B6A75" w:rsidRDefault="00387142" w:rsidP="00387142">
            <w:pPr>
              <w:rPr>
                <w:sz w:val="20"/>
                <w:szCs w:val="20"/>
              </w:rPr>
            </w:pPr>
          </w:p>
        </w:tc>
      </w:tr>
      <w:tr w:rsidR="00387142" w:rsidRPr="008B6A75" w14:paraId="0433CCF7" w14:textId="77777777" w:rsidTr="00387142">
        <w:trPr>
          <w:trHeight w:val="1440"/>
        </w:trPr>
        <w:tc>
          <w:tcPr>
            <w:tcW w:w="3021" w:type="dxa"/>
            <w:tcBorders>
              <w:top w:val="nil"/>
              <w:left w:val="single" w:sz="4" w:space="0" w:color="auto"/>
              <w:bottom w:val="nil"/>
              <w:right w:val="nil"/>
            </w:tcBorders>
            <w:shd w:val="clear" w:color="auto" w:fill="auto"/>
            <w:vAlign w:val="center"/>
            <w:hideMark/>
          </w:tcPr>
          <w:p w14:paraId="5CAC25E4" w14:textId="77777777" w:rsidR="00387142" w:rsidRPr="008B6A75" w:rsidRDefault="00387142" w:rsidP="00387142">
            <w:pPr>
              <w:rPr>
                <w:bCs/>
                <w:sz w:val="20"/>
                <w:szCs w:val="20"/>
              </w:rPr>
            </w:pPr>
            <w:r w:rsidRPr="008B6A75">
              <w:rPr>
                <w:bCs/>
                <w:sz w:val="20"/>
                <w:szCs w:val="20"/>
              </w:rPr>
              <w:t xml:space="preserve">Реализация мероприятий по обеспечению сбалансированности местных </w:t>
            </w:r>
            <w:proofErr w:type="gramStart"/>
            <w:r w:rsidRPr="008B6A75">
              <w:rPr>
                <w:bCs/>
                <w:sz w:val="20"/>
                <w:szCs w:val="20"/>
              </w:rPr>
              <w:t>бюджетов  государственной</w:t>
            </w:r>
            <w:proofErr w:type="gramEnd"/>
            <w:r w:rsidRPr="008B6A75">
              <w:rPr>
                <w:bCs/>
                <w:sz w:val="20"/>
                <w:szCs w:val="20"/>
              </w:rPr>
              <w:t xml:space="preserve"> программы Новосибирской области "Управление  финансами в Новосибирской области"</w:t>
            </w:r>
          </w:p>
        </w:tc>
        <w:tc>
          <w:tcPr>
            <w:tcW w:w="850" w:type="dxa"/>
            <w:tcBorders>
              <w:top w:val="nil"/>
              <w:left w:val="single" w:sz="4" w:space="0" w:color="auto"/>
              <w:bottom w:val="nil"/>
              <w:right w:val="nil"/>
            </w:tcBorders>
            <w:shd w:val="clear" w:color="auto" w:fill="auto"/>
            <w:noWrap/>
            <w:vAlign w:val="center"/>
            <w:hideMark/>
          </w:tcPr>
          <w:p w14:paraId="533679B6" w14:textId="77777777" w:rsidR="00387142" w:rsidRPr="008B6A75" w:rsidRDefault="00387142" w:rsidP="00387142">
            <w:pPr>
              <w:jc w:val="center"/>
              <w:rPr>
                <w:bCs/>
                <w:sz w:val="20"/>
                <w:szCs w:val="20"/>
              </w:rPr>
            </w:pPr>
            <w:r w:rsidRPr="008B6A75">
              <w:rPr>
                <w:bCs/>
                <w:sz w:val="20"/>
                <w:szCs w:val="20"/>
              </w:rPr>
              <w:t>444</w:t>
            </w:r>
          </w:p>
        </w:tc>
        <w:tc>
          <w:tcPr>
            <w:tcW w:w="709" w:type="dxa"/>
            <w:tcBorders>
              <w:top w:val="nil"/>
              <w:left w:val="single" w:sz="4" w:space="0" w:color="auto"/>
              <w:bottom w:val="nil"/>
              <w:right w:val="nil"/>
            </w:tcBorders>
            <w:shd w:val="clear" w:color="auto" w:fill="auto"/>
            <w:noWrap/>
            <w:vAlign w:val="center"/>
            <w:hideMark/>
          </w:tcPr>
          <w:p w14:paraId="6BE82BCF" w14:textId="77777777" w:rsidR="00387142" w:rsidRPr="008B6A75" w:rsidRDefault="00387142" w:rsidP="00387142">
            <w:pPr>
              <w:jc w:val="center"/>
              <w:rPr>
                <w:bCs/>
                <w:sz w:val="20"/>
                <w:szCs w:val="20"/>
              </w:rPr>
            </w:pPr>
            <w:r w:rsidRPr="008B6A75">
              <w:rPr>
                <w:bCs/>
                <w:sz w:val="20"/>
                <w:szCs w:val="20"/>
              </w:rPr>
              <w:t>08</w:t>
            </w:r>
          </w:p>
        </w:tc>
        <w:tc>
          <w:tcPr>
            <w:tcW w:w="709" w:type="dxa"/>
            <w:tcBorders>
              <w:top w:val="nil"/>
              <w:left w:val="single" w:sz="4" w:space="0" w:color="auto"/>
              <w:bottom w:val="nil"/>
              <w:right w:val="single" w:sz="4" w:space="0" w:color="auto"/>
            </w:tcBorders>
            <w:shd w:val="clear" w:color="auto" w:fill="auto"/>
            <w:noWrap/>
            <w:vAlign w:val="center"/>
            <w:hideMark/>
          </w:tcPr>
          <w:p w14:paraId="44E5853B" w14:textId="77777777" w:rsidR="00387142" w:rsidRPr="008B6A75" w:rsidRDefault="00387142" w:rsidP="00387142">
            <w:pPr>
              <w:jc w:val="center"/>
              <w:rPr>
                <w:bCs/>
                <w:sz w:val="20"/>
                <w:szCs w:val="20"/>
              </w:rPr>
            </w:pPr>
            <w:r w:rsidRPr="008B6A75">
              <w:rPr>
                <w:bCs/>
                <w:sz w:val="20"/>
                <w:szCs w:val="20"/>
              </w:rPr>
              <w:t>01</w:t>
            </w:r>
          </w:p>
        </w:tc>
        <w:tc>
          <w:tcPr>
            <w:tcW w:w="1411" w:type="dxa"/>
            <w:tcBorders>
              <w:top w:val="nil"/>
              <w:left w:val="single" w:sz="4" w:space="0" w:color="auto"/>
              <w:bottom w:val="nil"/>
              <w:right w:val="nil"/>
            </w:tcBorders>
            <w:shd w:val="clear" w:color="auto" w:fill="auto"/>
            <w:noWrap/>
            <w:vAlign w:val="center"/>
            <w:hideMark/>
          </w:tcPr>
          <w:p w14:paraId="34350AF7" w14:textId="77777777" w:rsidR="00387142" w:rsidRPr="008B6A75" w:rsidRDefault="00387142" w:rsidP="00387142">
            <w:pPr>
              <w:jc w:val="center"/>
              <w:rPr>
                <w:bCs/>
                <w:sz w:val="20"/>
                <w:szCs w:val="20"/>
              </w:rPr>
            </w:pPr>
            <w:r w:rsidRPr="008B6A75">
              <w:rPr>
                <w:bCs/>
                <w:sz w:val="20"/>
                <w:szCs w:val="20"/>
              </w:rPr>
              <w:t>99.0.00.70510</w:t>
            </w:r>
          </w:p>
        </w:tc>
        <w:tc>
          <w:tcPr>
            <w:tcW w:w="955" w:type="dxa"/>
            <w:tcBorders>
              <w:top w:val="nil"/>
              <w:left w:val="single" w:sz="4" w:space="0" w:color="auto"/>
              <w:bottom w:val="nil"/>
              <w:right w:val="single" w:sz="4" w:space="0" w:color="auto"/>
            </w:tcBorders>
            <w:shd w:val="clear" w:color="auto" w:fill="auto"/>
            <w:noWrap/>
            <w:vAlign w:val="center"/>
            <w:hideMark/>
          </w:tcPr>
          <w:p w14:paraId="71F27A19"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nil"/>
              <w:right w:val="single" w:sz="4" w:space="0" w:color="auto"/>
            </w:tcBorders>
            <w:shd w:val="clear" w:color="auto" w:fill="auto"/>
            <w:noWrap/>
            <w:vAlign w:val="center"/>
            <w:hideMark/>
          </w:tcPr>
          <w:p w14:paraId="7E42FF26" w14:textId="77777777" w:rsidR="00387142" w:rsidRPr="008B6A75" w:rsidRDefault="00387142" w:rsidP="00387142">
            <w:pPr>
              <w:jc w:val="right"/>
              <w:rPr>
                <w:bCs/>
                <w:sz w:val="20"/>
                <w:szCs w:val="20"/>
              </w:rPr>
            </w:pPr>
            <w:r w:rsidRPr="008B6A75">
              <w:rPr>
                <w:bCs/>
                <w:sz w:val="20"/>
                <w:szCs w:val="20"/>
              </w:rPr>
              <w:t>918 158,85</w:t>
            </w:r>
          </w:p>
        </w:tc>
        <w:tc>
          <w:tcPr>
            <w:tcW w:w="992" w:type="dxa"/>
            <w:gridSpan w:val="2"/>
            <w:tcBorders>
              <w:top w:val="nil"/>
              <w:left w:val="single" w:sz="4" w:space="0" w:color="auto"/>
              <w:bottom w:val="nil"/>
              <w:right w:val="nil"/>
            </w:tcBorders>
            <w:shd w:val="clear" w:color="auto" w:fill="auto"/>
            <w:noWrap/>
            <w:vAlign w:val="center"/>
            <w:hideMark/>
          </w:tcPr>
          <w:p w14:paraId="6B434E90" w14:textId="77777777" w:rsidR="00387142" w:rsidRPr="008B6A75" w:rsidRDefault="00387142" w:rsidP="00387142">
            <w:pPr>
              <w:jc w:val="right"/>
              <w:rPr>
                <w:bCs/>
                <w:sz w:val="20"/>
                <w:szCs w:val="20"/>
              </w:rPr>
            </w:pPr>
            <w:r w:rsidRPr="008B6A75">
              <w:rPr>
                <w:bCs/>
                <w:sz w:val="20"/>
                <w:szCs w:val="20"/>
              </w:rPr>
              <w:t>0,00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1029CA99" w14:textId="77777777" w:rsidR="00387142" w:rsidRPr="008B6A75" w:rsidRDefault="00387142" w:rsidP="00387142">
            <w:pPr>
              <w:jc w:val="right"/>
              <w:rPr>
                <w:bCs/>
                <w:sz w:val="20"/>
                <w:szCs w:val="20"/>
              </w:rPr>
            </w:pPr>
            <w:r w:rsidRPr="008B6A75">
              <w:rPr>
                <w:bCs/>
                <w:sz w:val="20"/>
                <w:szCs w:val="20"/>
              </w:rPr>
              <w:t>0,00</w:t>
            </w:r>
          </w:p>
        </w:tc>
        <w:tc>
          <w:tcPr>
            <w:tcW w:w="222" w:type="dxa"/>
            <w:vAlign w:val="center"/>
            <w:hideMark/>
          </w:tcPr>
          <w:p w14:paraId="2E4E12CB" w14:textId="77777777" w:rsidR="00387142" w:rsidRPr="008B6A75" w:rsidRDefault="00387142" w:rsidP="00387142">
            <w:pPr>
              <w:rPr>
                <w:sz w:val="20"/>
                <w:szCs w:val="20"/>
              </w:rPr>
            </w:pPr>
          </w:p>
        </w:tc>
      </w:tr>
      <w:tr w:rsidR="00387142" w:rsidRPr="008B6A75" w14:paraId="1E67B7EE" w14:textId="77777777" w:rsidTr="00387142">
        <w:trPr>
          <w:trHeight w:val="1440"/>
        </w:trPr>
        <w:tc>
          <w:tcPr>
            <w:tcW w:w="3021" w:type="dxa"/>
            <w:tcBorders>
              <w:top w:val="single" w:sz="4" w:space="0" w:color="auto"/>
              <w:left w:val="single" w:sz="4" w:space="0" w:color="auto"/>
              <w:bottom w:val="nil"/>
              <w:right w:val="nil"/>
            </w:tcBorders>
            <w:shd w:val="clear" w:color="auto" w:fill="auto"/>
            <w:vAlign w:val="center"/>
            <w:hideMark/>
          </w:tcPr>
          <w:p w14:paraId="524AE3B1" w14:textId="77777777" w:rsidR="00387142" w:rsidRPr="008B6A75" w:rsidRDefault="00387142" w:rsidP="00387142">
            <w:pPr>
              <w:rPr>
                <w:sz w:val="20"/>
                <w:szCs w:val="20"/>
              </w:rPr>
            </w:pPr>
            <w:r w:rsidRPr="008B6A7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nil"/>
              <w:right w:val="nil"/>
            </w:tcBorders>
            <w:shd w:val="clear" w:color="auto" w:fill="auto"/>
            <w:noWrap/>
            <w:vAlign w:val="center"/>
            <w:hideMark/>
          </w:tcPr>
          <w:p w14:paraId="1E0DCD7A" w14:textId="77777777" w:rsidR="00387142" w:rsidRPr="008B6A75" w:rsidRDefault="00387142" w:rsidP="00387142">
            <w:pPr>
              <w:jc w:val="center"/>
              <w:rPr>
                <w:sz w:val="20"/>
                <w:szCs w:val="20"/>
              </w:rPr>
            </w:pPr>
            <w:r w:rsidRPr="008B6A75">
              <w:rPr>
                <w:sz w:val="20"/>
                <w:szCs w:val="20"/>
              </w:rPr>
              <w:t>444</w:t>
            </w:r>
          </w:p>
        </w:tc>
        <w:tc>
          <w:tcPr>
            <w:tcW w:w="709" w:type="dxa"/>
            <w:tcBorders>
              <w:top w:val="single" w:sz="4" w:space="0" w:color="auto"/>
              <w:left w:val="single" w:sz="4" w:space="0" w:color="auto"/>
              <w:bottom w:val="nil"/>
              <w:right w:val="nil"/>
            </w:tcBorders>
            <w:shd w:val="clear" w:color="auto" w:fill="auto"/>
            <w:noWrap/>
            <w:vAlign w:val="center"/>
            <w:hideMark/>
          </w:tcPr>
          <w:p w14:paraId="12908270" w14:textId="77777777" w:rsidR="00387142" w:rsidRPr="008B6A75" w:rsidRDefault="00387142" w:rsidP="00387142">
            <w:pPr>
              <w:jc w:val="center"/>
              <w:rPr>
                <w:sz w:val="20"/>
                <w:szCs w:val="20"/>
              </w:rPr>
            </w:pPr>
            <w:r w:rsidRPr="008B6A75">
              <w:rPr>
                <w:sz w:val="20"/>
                <w:szCs w:val="20"/>
              </w:rPr>
              <w:t>08</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4CE8B03E" w14:textId="77777777" w:rsidR="00387142" w:rsidRPr="008B6A75" w:rsidRDefault="00387142" w:rsidP="00387142">
            <w:pPr>
              <w:jc w:val="center"/>
              <w:rPr>
                <w:sz w:val="20"/>
                <w:szCs w:val="20"/>
              </w:rPr>
            </w:pPr>
            <w:r w:rsidRPr="008B6A75">
              <w:rPr>
                <w:sz w:val="20"/>
                <w:szCs w:val="20"/>
              </w:rPr>
              <w:t>01</w:t>
            </w:r>
          </w:p>
        </w:tc>
        <w:tc>
          <w:tcPr>
            <w:tcW w:w="1411" w:type="dxa"/>
            <w:tcBorders>
              <w:top w:val="single" w:sz="4" w:space="0" w:color="auto"/>
              <w:left w:val="single" w:sz="4" w:space="0" w:color="auto"/>
              <w:bottom w:val="nil"/>
              <w:right w:val="nil"/>
            </w:tcBorders>
            <w:shd w:val="clear" w:color="auto" w:fill="auto"/>
            <w:noWrap/>
            <w:vAlign w:val="center"/>
            <w:hideMark/>
          </w:tcPr>
          <w:p w14:paraId="15BE2526" w14:textId="77777777" w:rsidR="00387142" w:rsidRPr="008B6A75" w:rsidRDefault="00387142" w:rsidP="00387142">
            <w:pPr>
              <w:jc w:val="center"/>
              <w:rPr>
                <w:sz w:val="20"/>
                <w:szCs w:val="20"/>
              </w:rPr>
            </w:pPr>
            <w:r w:rsidRPr="008B6A75">
              <w:rPr>
                <w:sz w:val="20"/>
                <w:szCs w:val="20"/>
              </w:rPr>
              <w:t>99.0.00.70510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3AA3E87D" w14:textId="77777777" w:rsidR="00387142" w:rsidRPr="008B6A75" w:rsidRDefault="00387142" w:rsidP="00387142">
            <w:pPr>
              <w:jc w:val="center"/>
              <w:rPr>
                <w:sz w:val="20"/>
                <w:szCs w:val="20"/>
              </w:rPr>
            </w:pPr>
            <w:r w:rsidRPr="008B6A75">
              <w:rPr>
                <w:sz w:val="20"/>
                <w:szCs w:val="20"/>
              </w:rPr>
              <w:t>100</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3D1ADA67" w14:textId="77777777" w:rsidR="00387142" w:rsidRPr="008B6A75" w:rsidRDefault="00387142" w:rsidP="00387142">
            <w:pPr>
              <w:jc w:val="right"/>
              <w:rPr>
                <w:sz w:val="20"/>
                <w:szCs w:val="20"/>
              </w:rPr>
            </w:pPr>
            <w:r w:rsidRPr="008B6A75">
              <w:rPr>
                <w:sz w:val="20"/>
                <w:szCs w:val="20"/>
              </w:rPr>
              <w:t>918 158,85</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4A3976D6" w14:textId="77777777" w:rsidR="00387142" w:rsidRPr="008B6A75" w:rsidRDefault="00387142" w:rsidP="00387142">
            <w:pPr>
              <w:jc w:val="right"/>
              <w:rPr>
                <w:sz w:val="20"/>
                <w:szCs w:val="20"/>
              </w:rPr>
            </w:pPr>
            <w:r w:rsidRPr="008B6A75">
              <w:rPr>
                <w:sz w:val="20"/>
                <w:szCs w:val="20"/>
              </w:rPr>
              <w:t>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1990CC48" w14:textId="77777777" w:rsidR="00387142" w:rsidRPr="008B6A75" w:rsidRDefault="00387142" w:rsidP="00387142">
            <w:pPr>
              <w:jc w:val="right"/>
              <w:rPr>
                <w:sz w:val="20"/>
                <w:szCs w:val="20"/>
              </w:rPr>
            </w:pPr>
            <w:r w:rsidRPr="008B6A75">
              <w:rPr>
                <w:sz w:val="20"/>
                <w:szCs w:val="20"/>
              </w:rPr>
              <w:t>0,00</w:t>
            </w:r>
          </w:p>
        </w:tc>
        <w:tc>
          <w:tcPr>
            <w:tcW w:w="222" w:type="dxa"/>
            <w:vAlign w:val="center"/>
            <w:hideMark/>
          </w:tcPr>
          <w:p w14:paraId="62F9A625" w14:textId="77777777" w:rsidR="00387142" w:rsidRPr="008B6A75" w:rsidRDefault="00387142" w:rsidP="00387142">
            <w:pPr>
              <w:rPr>
                <w:sz w:val="20"/>
                <w:szCs w:val="20"/>
              </w:rPr>
            </w:pPr>
          </w:p>
        </w:tc>
      </w:tr>
      <w:tr w:rsidR="00387142" w:rsidRPr="008B6A75" w14:paraId="714AC680" w14:textId="77777777" w:rsidTr="00387142">
        <w:trPr>
          <w:trHeight w:val="585"/>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0C07DAD0" w14:textId="77777777" w:rsidR="00387142" w:rsidRPr="008B6A75" w:rsidRDefault="00387142" w:rsidP="00387142">
            <w:pPr>
              <w:rPr>
                <w:sz w:val="20"/>
                <w:szCs w:val="20"/>
              </w:rPr>
            </w:pPr>
            <w:r w:rsidRPr="008B6A75">
              <w:rPr>
                <w:sz w:val="20"/>
                <w:szCs w:val="20"/>
              </w:rPr>
              <w:lastRenderedPageBreak/>
              <w:t>Расходы на выплаты персоналу казенных учреждений</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24621DA1" w14:textId="77777777" w:rsidR="00387142" w:rsidRPr="008B6A75" w:rsidRDefault="00387142" w:rsidP="00387142">
            <w:pPr>
              <w:jc w:val="center"/>
              <w:rPr>
                <w:sz w:val="20"/>
                <w:szCs w:val="20"/>
              </w:rPr>
            </w:pPr>
            <w:r w:rsidRPr="008B6A75">
              <w:rPr>
                <w:sz w:val="20"/>
                <w:szCs w:val="20"/>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63176893" w14:textId="77777777" w:rsidR="00387142" w:rsidRPr="008B6A75" w:rsidRDefault="00387142" w:rsidP="00387142">
            <w:pPr>
              <w:jc w:val="center"/>
              <w:rPr>
                <w:sz w:val="20"/>
                <w:szCs w:val="20"/>
              </w:rPr>
            </w:pPr>
            <w:r w:rsidRPr="008B6A75">
              <w:rPr>
                <w:sz w:val="20"/>
                <w:szCs w:val="20"/>
              </w:rPr>
              <w:t>08</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13CD5C" w14:textId="77777777" w:rsidR="00387142" w:rsidRPr="008B6A75" w:rsidRDefault="00387142" w:rsidP="00387142">
            <w:pPr>
              <w:jc w:val="center"/>
              <w:rPr>
                <w:sz w:val="20"/>
                <w:szCs w:val="20"/>
              </w:rPr>
            </w:pPr>
            <w:r w:rsidRPr="008B6A75">
              <w:rPr>
                <w:sz w:val="20"/>
                <w:szCs w:val="20"/>
              </w:rPr>
              <w:t>01</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56BA02DC" w14:textId="77777777" w:rsidR="00387142" w:rsidRPr="008B6A75" w:rsidRDefault="00387142" w:rsidP="00387142">
            <w:pPr>
              <w:jc w:val="center"/>
              <w:rPr>
                <w:sz w:val="20"/>
                <w:szCs w:val="20"/>
              </w:rPr>
            </w:pPr>
            <w:r w:rsidRPr="008B6A75">
              <w:rPr>
                <w:sz w:val="20"/>
                <w:szCs w:val="20"/>
              </w:rPr>
              <w:t>99.0.00.70510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0C93DB" w14:textId="77777777" w:rsidR="00387142" w:rsidRPr="008B6A75" w:rsidRDefault="00387142" w:rsidP="00387142">
            <w:pPr>
              <w:jc w:val="center"/>
              <w:rPr>
                <w:sz w:val="20"/>
                <w:szCs w:val="20"/>
              </w:rPr>
            </w:pPr>
            <w:r w:rsidRPr="008B6A75">
              <w:rPr>
                <w:sz w:val="20"/>
                <w:szCs w:val="20"/>
              </w:rPr>
              <w:t>110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90FB8C" w14:textId="77777777" w:rsidR="00387142" w:rsidRPr="008B6A75" w:rsidRDefault="00387142" w:rsidP="00387142">
            <w:pPr>
              <w:jc w:val="right"/>
              <w:rPr>
                <w:sz w:val="20"/>
                <w:szCs w:val="20"/>
              </w:rPr>
            </w:pPr>
            <w:r w:rsidRPr="008B6A75">
              <w:rPr>
                <w:sz w:val="20"/>
                <w:szCs w:val="20"/>
              </w:rPr>
              <w:t>918 158,85</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7F0EEC2B" w14:textId="77777777" w:rsidR="00387142" w:rsidRPr="008B6A75" w:rsidRDefault="00387142" w:rsidP="00387142">
            <w:pPr>
              <w:jc w:val="right"/>
              <w:rPr>
                <w:sz w:val="20"/>
                <w:szCs w:val="20"/>
              </w:rPr>
            </w:pPr>
            <w:r w:rsidRPr="008B6A75">
              <w:rPr>
                <w:sz w:val="20"/>
                <w:szCs w:val="20"/>
              </w:rPr>
              <w:t>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87244E" w14:textId="77777777" w:rsidR="00387142" w:rsidRPr="008B6A75" w:rsidRDefault="00387142" w:rsidP="00387142">
            <w:pPr>
              <w:jc w:val="right"/>
              <w:rPr>
                <w:sz w:val="20"/>
                <w:szCs w:val="20"/>
              </w:rPr>
            </w:pPr>
            <w:r w:rsidRPr="008B6A75">
              <w:rPr>
                <w:sz w:val="20"/>
                <w:szCs w:val="20"/>
              </w:rPr>
              <w:t>0,00</w:t>
            </w:r>
          </w:p>
        </w:tc>
        <w:tc>
          <w:tcPr>
            <w:tcW w:w="222" w:type="dxa"/>
            <w:vAlign w:val="center"/>
            <w:hideMark/>
          </w:tcPr>
          <w:p w14:paraId="2D88B9C0" w14:textId="77777777" w:rsidR="00387142" w:rsidRPr="008B6A75" w:rsidRDefault="00387142" w:rsidP="00387142">
            <w:pPr>
              <w:rPr>
                <w:sz w:val="20"/>
                <w:szCs w:val="20"/>
              </w:rPr>
            </w:pPr>
          </w:p>
        </w:tc>
      </w:tr>
      <w:tr w:rsidR="00387142" w:rsidRPr="008B6A75" w14:paraId="5660D3E2" w14:textId="77777777" w:rsidTr="00387142">
        <w:trPr>
          <w:trHeight w:val="300"/>
        </w:trPr>
        <w:tc>
          <w:tcPr>
            <w:tcW w:w="3021" w:type="dxa"/>
            <w:tcBorders>
              <w:top w:val="nil"/>
              <w:left w:val="single" w:sz="4" w:space="0" w:color="auto"/>
              <w:bottom w:val="nil"/>
              <w:right w:val="nil"/>
            </w:tcBorders>
            <w:shd w:val="clear" w:color="auto" w:fill="auto"/>
            <w:vAlign w:val="center"/>
            <w:hideMark/>
          </w:tcPr>
          <w:p w14:paraId="5CAE0ED7" w14:textId="77777777" w:rsidR="00387142" w:rsidRPr="008B6A75" w:rsidRDefault="00387142" w:rsidP="00387142">
            <w:pPr>
              <w:rPr>
                <w:bCs/>
                <w:sz w:val="20"/>
                <w:szCs w:val="20"/>
              </w:rPr>
            </w:pPr>
            <w:r w:rsidRPr="008B6A75">
              <w:rPr>
                <w:bCs/>
                <w:sz w:val="20"/>
                <w:szCs w:val="20"/>
              </w:rPr>
              <w:t>СОЦИАЛЬНАЯ ПОЛИТИКА</w:t>
            </w:r>
          </w:p>
        </w:tc>
        <w:tc>
          <w:tcPr>
            <w:tcW w:w="850" w:type="dxa"/>
            <w:tcBorders>
              <w:top w:val="nil"/>
              <w:left w:val="single" w:sz="4" w:space="0" w:color="auto"/>
              <w:bottom w:val="nil"/>
              <w:right w:val="nil"/>
            </w:tcBorders>
            <w:shd w:val="clear" w:color="auto" w:fill="auto"/>
            <w:noWrap/>
            <w:vAlign w:val="center"/>
            <w:hideMark/>
          </w:tcPr>
          <w:p w14:paraId="1C7C2F24" w14:textId="77777777" w:rsidR="00387142" w:rsidRPr="008B6A75" w:rsidRDefault="00387142" w:rsidP="00387142">
            <w:pPr>
              <w:jc w:val="center"/>
              <w:rPr>
                <w:bCs/>
                <w:sz w:val="20"/>
                <w:szCs w:val="20"/>
              </w:rPr>
            </w:pPr>
            <w:r w:rsidRPr="008B6A75">
              <w:rPr>
                <w:bCs/>
                <w:sz w:val="20"/>
                <w:szCs w:val="20"/>
              </w:rPr>
              <w:t>444</w:t>
            </w:r>
          </w:p>
        </w:tc>
        <w:tc>
          <w:tcPr>
            <w:tcW w:w="709" w:type="dxa"/>
            <w:tcBorders>
              <w:top w:val="nil"/>
              <w:left w:val="single" w:sz="4" w:space="0" w:color="auto"/>
              <w:bottom w:val="nil"/>
              <w:right w:val="nil"/>
            </w:tcBorders>
            <w:shd w:val="clear" w:color="auto" w:fill="auto"/>
            <w:noWrap/>
            <w:vAlign w:val="center"/>
            <w:hideMark/>
          </w:tcPr>
          <w:p w14:paraId="6329342B" w14:textId="77777777" w:rsidR="00387142" w:rsidRPr="008B6A75" w:rsidRDefault="00387142" w:rsidP="00387142">
            <w:pPr>
              <w:jc w:val="center"/>
              <w:rPr>
                <w:bCs/>
                <w:sz w:val="20"/>
                <w:szCs w:val="20"/>
              </w:rPr>
            </w:pPr>
            <w:r w:rsidRPr="008B6A75">
              <w:rPr>
                <w:bCs/>
                <w:sz w:val="20"/>
                <w:szCs w:val="20"/>
              </w:rPr>
              <w:t>10</w:t>
            </w:r>
          </w:p>
        </w:tc>
        <w:tc>
          <w:tcPr>
            <w:tcW w:w="709" w:type="dxa"/>
            <w:tcBorders>
              <w:top w:val="nil"/>
              <w:left w:val="single" w:sz="4" w:space="0" w:color="auto"/>
              <w:bottom w:val="nil"/>
              <w:right w:val="single" w:sz="4" w:space="0" w:color="auto"/>
            </w:tcBorders>
            <w:shd w:val="clear" w:color="auto" w:fill="auto"/>
            <w:noWrap/>
            <w:vAlign w:val="center"/>
            <w:hideMark/>
          </w:tcPr>
          <w:p w14:paraId="3EC34963" w14:textId="77777777" w:rsidR="00387142" w:rsidRPr="008B6A75" w:rsidRDefault="00387142" w:rsidP="00387142">
            <w:pPr>
              <w:jc w:val="center"/>
              <w:rPr>
                <w:bCs/>
                <w:sz w:val="20"/>
                <w:szCs w:val="20"/>
              </w:rPr>
            </w:pPr>
            <w:r w:rsidRPr="008B6A75">
              <w:rPr>
                <w:bCs/>
                <w:sz w:val="20"/>
                <w:szCs w:val="20"/>
              </w:rPr>
              <w:t> </w:t>
            </w:r>
          </w:p>
        </w:tc>
        <w:tc>
          <w:tcPr>
            <w:tcW w:w="1411" w:type="dxa"/>
            <w:tcBorders>
              <w:top w:val="nil"/>
              <w:left w:val="single" w:sz="4" w:space="0" w:color="auto"/>
              <w:bottom w:val="nil"/>
              <w:right w:val="nil"/>
            </w:tcBorders>
            <w:shd w:val="clear" w:color="auto" w:fill="auto"/>
            <w:noWrap/>
            <w:vAlign w:val="center"/>
            <w:hideMark/>
          </w:tcPr>
          <w:p w14:paraId="64E326CA" w14:textId="77777777" w:rsidR="00387142" w:rsidRPr="008B6A75" w:rsidRDefault="00387142" w:rsidP="00387142">
            <w:pPr>
              <w:jc w:val="center"/>
              <w:rPr>
                <w:bCs/>
                <w:sz w:val="20"/>
                <w:szCs w:val="20"/>
              </w:rPr>
            </w:pPr>
            <w:r w:rsidRPr="008B6A75">
              <w:rPr>
                <w:bCs/>
                <w:sz w:val="20"/>
                <w:szCs w:val="20"/>
              </w:rPr>
              <w:t> </w:t>
            </w:r>
          </w:p>
        </w:tc>
        <w:tc>
          <w:tcPr>
            <w:tcW w:w="955" w:type="dxa"/>
            <w:tcBorders>
              <w:top w:val="nil"/>
              <w:left w:val="single" w:sz="4" w:space="0" w:color="auto"/>
              <w:bottom w:val="nil"/>
              <w:right w:val="single" w:sz="4" w:space="0" w:color="auto"/>
            </w:tcBorders>
            <w:shd w:val="clear" w:color="auto" w:fill="auto"/>
            <w:noWrap/>
            <w:vAlign w:val="center"/>
            <w:hideMark/>
          </w:tcPr>
          <w:p w14:paraId="79540CB0"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nil"/>
              <w:right w:val="single" w:sz="4" w:space="0" w:color="auto"/>
            </w:tcBorders>
            <w:shd w:val="clear" w:color="auto" w:fill="auto"/>
            <w:noWrap/>
            <w:vAlign w:val="center"/>
            <w:hideMark/>
          </w:tcPr>
          <w:p w14:paraId="2877BF10" w14:textId="77777777" w:rsidR="00387142" w:rsidRPr="008B6A75" w:rsidRDefault="00387142" w:rsidP="00387142">
            <w:pPr>
              <w:jc w:val="right"/>
              <w:rPr>
                <w:bCs/>
                <w:sz w:val="20"/>
                <w:szCs w:val="20"/>
              </w:rPr>
            </w:pPr>
            <w:r w:rsidRPr="008B6A75">
              <w:rPr>
                <w:bCs/>
                <w:sz w:val="20"/>
                <w:szCs w:val="20"/>
              </w:rPr>
              <w:t>230 167 508,47</w:t>
            </w:r>
          </w:p>
        </w:tc>
        <w:tc>
          <w:tcPr>
            <w:tcW w:w="992" w:type="dxa"/>
            <w:gridSpan w:val="2"/>
            <w:tcBorders>
              <w:top w:val="nil"/>
              <w:left w:val="single" w:sz="4" w:space="0" w:color="auto"/>
              <w:bottom w:val="nil"/>
              <w:right w:val="nil"/>
            </w:tcBorders>
            <w:shd w:val="clear" w:color="auto" w:fill="auto"/>
            <w:noWrap/>
            <w:vAlign w:val="center"/>
            <w:hideMark/>
          </w:tcPr>
          <w:p w14:paraId="14E99DDC" w14:textId="77777777" w:rsidR="00387142" w:rsidRPr="008B6A75" w:rsidRDefault="00387142" w:rsidP="00387142">
            <w:pPr>
              <w:jc w:val="right"/>
              <w:rPr>
                <w:bCs/>
                <w:sz w:val="20"/>
                <w:szCs w:val="20"/>
              </w:rPr>
            </w:pPr>
            <w:r w:rsidRPr="008B6A75">
              <w:rPr>
                <w:bCs/>
                <w:sz w:val="20"/>
                <w:szCs w:val="20"/>
              </w:rPr>
              <w:t>232 597 506,28</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6159BA9D" w14:textId="77777777" w:rsidR="00387142" w:rsidRPr="008B6A75" w:rsidRDefault="00387142" w:rsidP="00387142">
            <w:pPr>
              <w:jc w:val="right"/>
              <w:rPr>
                <w:bCs/>
                <w:sz w:val="20"/>
                <w:szCs w:val="20"/>
              </w:rPr>
            </w:pPr>
            <w:r w:rsidRPr="008B6A75">
              <w:rPr>
                <w:bCs/>
                <w:sz w:val="20"/>
                <w:szCs w:val="20"/>
              </w:rPr>
              <w:t>200 837 441,69</w:t>
            </w:r>
          </w:p>
        </w:tc>
        <w:tc>
          <w:tcPr>
            <w:tcW w:w="222" w:type="dxa"/>
            <w:vAlign w:val="center"/>
            <w:hideMark/>
          </w:tcPr>
          <w:p w14:paraId="4A5913FE" w14:textId="77777777" w:rsidR="00387142" w:rsidRPr="008B6A75" w:rsidRDefault="00387142" w:rsidP="00387142">
            <w:pPr>
              <w:rPr>
                <w:sz w:val="20"/>
                <w:szCs w:val="20"/>
              </w:rPr>
            </w:pPr>
          </w:p>
        </w:tc>
      </w:tr>
      <w:tr w:rsidR="00387142" w:rsidRPr="008B6A75" w14:paraId="4682A730" w14:textId="77777777" w:rsidTr="00387142">
        <w:trPr>
          <w:trHeight w:val="300"/>
        </w:trPr>
        <w:tc>
          <w:tcPr>
            <w:tcW w:w="3021" w:type="dxa"/>
            <w:tcBorders>
              <w:top w:val="single" w:sz="4" w:space="0" w:color="auto"/>
              <w:left w:val="single" w:sz="4" w:space="0" w:color="auto"/>
              <w:bottom w:val="nil"/>
              <w:right w:val="nil"/>
            </w:tcBorders>
            <w:shd w:val="clear" w:color="auto" w:fill="auto"/>
            <w:vAlign w:val="center"/>
            <w:hideMark/>
          </w:tcPr>
          <w:p w14:paraId="5BAD726C" w14:textId="77777777" w:rsidR="00387142" w:rsidRPr="008B6A75" w:rsidRDefault="00387142" w:rsidP="00387142">
            <w:pPr>
              <w:rPr>
                <w:bCs/>
                <w:sz w:val="20"/>
                <w:szCs w:val="20"/>
              </w:rPr>
            </w:pPr>
            <w:r w:rsidRPr="008B6A75">
              <w:rPr>
                <w:bCs/>
                <w:sz w:val="20"/>
                <w:szCs w:val="20"/>
              </w:rPr>
              <w:t>Пенсионное обеспечение</w:t>
            </w:r>
          </w:p>
        </w:tc>
        <w:tc>
          <w:tcPr>
            <w:tcW w:w="850" w:type="dxa"/>
            <w:tcBorders>
              <w:top w:val="single" w:sz="4" w:space="0" w:color="auto"/>
              <w:left w:val="single" w:sz="4" w:space="0" w:color="auto"/>
              <w:bottom w:val="nil"/>
              <w:right w:val="nil"/>
            </w:tcBorders>
            <w:shd w:val="clear" w:color="auto" w:fill="auto"/>
            <w:noWrap/>
            <w:vAlign w:val="center"/>
            <w:hideMark/>
          </w:tcPr>
          <w:p w14:paraId="280B739A" w14:textId="77777777" w:rsidR="00387142" w:rsidRPr="008B6A75" w:rsidRDefault="00387142" w:rsidP="00387142">
            <w:pPr>
              <w:jc w:val="center"/>
              <w:rPr>
                <w:bCs/>
                <w:sz w:val="20"/>
                <w:szCs w:val="20"/>
              </w:rPr>
            </w:pPr>
            <w:r w:rsidRPr="008B6A75">
              <w:rPr>
                <w:bCs/>
                <w:sz w:val="20"/>
                <w:szCs w:val="20"/>
              </w:rPr>
              <w:t>444</w:t>
            </w:r>
          </w:p>
        </w:tc>
        <w:tc>
          <w:tcPr>
            <w:tcW w:w="709" w:type="dxa"/>
            <w:tcBorders>
              <w:top w:val="single" w:sz="4" w:space="0" w:color="auto"/>
              <w:left w:val="single" w:sz="4" w:space="0" w:color="auto"/>
              <w:bottom w:val="nil"/>
              <w:right w:val="nil"/>
            </w:tcBorders>
            <w:shd w:val="clear" w:color="auto" w:fill="auto"/>
            <w:noWrap/>
            <w:vAlign w:val="center"/>
            <w:hideMark/>
          </w:tcPr>
          <w:p w14:paraId="5A5E90AB" w14:textId="77777777" w:rsidR="00387142" w:rsidRPr="008B6A75" w:rsidRDefault="00387142" w:rsidP="00387142">
            <w:pPr>
              <w:jc w:val="center"/>
              <w:rPr>
                <w:bCs/>
                <w:sz w:val="20"/>
                <w:szCs w:val="20"/>
              </w:rPr>
            </w:pPr>
            <w:r w:rsidRPr="008B6A75">
              <w:rPr>
                <w:bCs/>
                <w:sz w:val="20"/>
                <w:szCs w:val="20"/>
              </w:rPr>
              <w:t>10</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78E0D306" w14:textId="77777777" w:rsidR="00387142" w:rsidRPr="008B6A75" w:rsidRDefault="00387142" w:rsidP="00387142">
            <w:pPr>
              <w:jc w:val="center"/>
              <w:rPr>
                <w:bCs/>
                <w:sz w:val="20"/>
                <w:szCs w:val="20"/>
              </w:rPr>
            </w:pPr>
            <w:r w:rsidRPr="008B6A75">
              <w:rPr>
                <w:bCs/>
                <w:sz w:val="20"/>
                <w:szCs w:val="20"/>
              </w:rPr>
              <w:t>01</w:t>
            </w:r>
          </w:p>
        </w:tc>
        <w:tc>
          <w:tcPr>
            <w:tcW w:w="1411" w:type="dxa"/>
            <w:tcBorders>
              <w:top w:val="single" w:sz="4" w:space="0" w:color="auto"/>
              <w:left w:val="single" w:sz="4" w:space="0" w:color="auto"/>
              <w:bottom w:val="nil"/>
              <w:right w:val="nil"/>
            </w:tcBorders>
            <w:shd w:val="clear" w:color="auto" w:fill="auto"/>
            <w:noWrap/>
            <w:vAlign w:val="center"/>
            <w:hideMark/>
          </w:tcPr>
          <w:p w14:paraId="640C8464" w14:textId="77777777" w:rsidR="00387142" w:rsidRPr="008B6A75" w:rsidRDefault="00387142" w:rsidP="00387142">
            <w:pPr>
              <w:jc w:val="center"/>
              <w:rPr>
                <w:bCs/>
                <w:sz w:val="20"/>
                <w:szCs w:val="20"/>
              </w:rPr>
            </w:pPr>
            <w:r w:rsidRPr="008B6A75">
              <w:rPr>
                <w:bCs/>
                <w:sz w:val="20"/>
                <w:szCs w:val="20"/>
              </w:rPr>
              <w:t> </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4F3FC9DE" w14:textId="77777777" w:rsidR="00387142" w:rsidRPr="008B6A75" w:rsidRDefault="00387142" w:rsidP="00387142">
            <w:pPr>
              <w:jc w:val="center"/>
              <w:rPr>
                <w:bCs/>
                <w:sz w:val="20"/>
                <w:szCs w:val="20"/>
              </w:rPr>
            </w:pPr>
            <w:r w:rsidRPr="008B6A75">
              <w:rPr>
                <w:bCs/>
                <w:sz w:val="20"/>
                <w:szCs w:val="20"/>
              </w:rPr>
              <w:t> </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5D3025CF" w14:textId="77777777" w:rsidR="00387142" w:rsidRPr="008B6A75" w:rsidRDefault="00387142" w:rsidP="00387142">
            <w:pPr>
              <w:jc w:val="right"/>
              <w:rPr>
                <w:bCs/>
                <w:sz w:val="20"/>
                <w:szCs w:val="20"/>
              </w:rPr>
            </w:pPr>
            <w:r w:rsidRPr="008B6A75">
              <w:rPr>
                <w:bCs/>
                <w:sz w:val="20"/>
                <w:szCs w:val="20"/>
              </w:rPr>
              <w:t>2 892 844,00</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1B276013" w14:textId="77777777" w:rsidR="00387142" w:rsidRPr="008B6A75" w:rsidRDefault="00387142" w:rsidP="00387142">
            <w:pPr>
              <w:jc w:val="right"/>
              <w:rPr>
                <w:bCs/>
                <w:sz w:val="20"/>
                <w:szCs w:val="20"/>
              </w:rPr>
            </w:pPr>
            <w:r w:rsidRPr="008B6A75">
              <w:rPr>
                <w:bCs/>
                <w:sz w:val="20"/>
                <w:szCs w:val="20"/>
              </w:rPr>
              <w:t>3 415 529,76</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509D85A1" w14:textId="77777777" w:rsidR="00387142" w:rsidRPr="008B6A75" w:rsidRDefault="00387142" w:rsidP="00387142">
            <w:pPr>
              <w:jc w:val="right"/>
              <w:rPr>
                <w:bCs/>
                <w:sz w:val="20"/>
                <w:szCs w:val="20"/>
              </w:rPr>
            </w:pPr>
            <w:r w:rsidRPr="008B6A75">
              <w:rPr>
                <w:bCs/>
                <w:sz w:val="20"/>
                <w:szCs w:val="20"/>
              </w:rPr>
              <w:t>3 571 675,68</w:t>
            </w:r>
          </w:p>
        </w:tc>
        <w:tc>
          <w:tcPr>
            <w:tcW w:w="222" w:type="dxa"/>
            <w:vAlign w:val="center"/>
            <w:hideMark/>
          </w:tcPr>
          <w:p w14:paraId="461C4B54" w14:textId="77777777" w:rsidR="00387142" w:rsidRPr="008B6A75" w:rsidRDefault="00387142" w:rsidP="00387142">
            <w:pPr>
              <w:rPr>
                <w:sz w:val="20"/>
                <w:szCs w:val="20"/>
              </w:rPr>
            </w:pPr>
          </w:p>
        </w:tc>
      </w:tr>
      <w:tr w:rsidR="00387142" w:rsidRPr="008B6A75" w14:paraId="60A7AD1F" w14:textId="77777777" w:rsidTr="00387142">
        <w:trPr>
          <w:trHeight w:val="300"/>
        </w:trPr>
        <w:tc>
          <w:tcPr>
            <w:tcW w:w="3021" w:type="dxa"/>
            <w:tcBorders>
              <w:top w:val="single" w:sz="4" w:space="0" w:color="auto"/>
              <w:left w:val="single" w:sz="4" w:space="0" w:color="auto"/>
              <w:bottom w:val="nil"/>
              <w:right w:val="nil"/>
            </w:tcBorders>
            <w:shd w:val="clear" w:color="auto" w:fill="auto"/>
            <w:vAlign w:val="center"/>
            <w:hideMark/>
          </w:tcPr>
          <w:p w14:paraId="1D54B5D4" w14:textId="77777777" w:rsidR="00387142" w:rsidRPr="008B6A75" w:rsidRDefault="00387142" w:rsidP="00387142">
            <w:pPr>
              <w:rPr>
                <w:bCs/>
                <w:sz w:val="20"/>
                <w:szCs w:val="20"/>
              </w:rPr>
            </w:pPr>
            <w:r w:rsidRPr="008B6A75">
              <w:rPr>
                <w:bCs/>
                <w:sz w:val="20"/>
                <w:szCs w:val="20"/>
              </w:rPr>
              <w:t>Непрограммные направления бюджета</w:t>
            </w:r>
          </w:p>
        </w:tc>
        <w:tc>
          <w:tcPr>
            <w:tcW w:w="850" w:type="dxa"/>
            <w:tcBorders>
              <w:top w:val="single" w:sz="4" w:space="0" w:color="auto"/>
              <w:left w:val="single" w:sz="4" w:space="0" w:color="auto"/>
              <w:bottom w:val="nil"/>
              <w:right w:val="nil"/>
            </w:tcBorders>
            <w:shd w:val="clear" w:color="auto" w:fill="auto"/>
            <w:noWrap/>
            <w:vAlign w:val="center"/>
            <w:hideMark/>
          </w:tcPr>
          <w:p w14:paraId="55D0543D" w14:textId="77777777" w:rsidR="00387142" w:rsidRPr="008B6A75" w:rsidRDefault="00387142" w:rsidP="00387142">
            <w:pPr>
              <w:jc w:val="center"/>
              <w:rPr>
                <w:bCs/>
                <w:sz w:val="20"/>
                <w:szCs w:val="20"/>
              </w:rPr>
            </w:pPr>
            <w:r w:rsidRPr="008B6A75">
              <w:rPr>
                <w:bCs/>
                <w:sz w:val="20"/>
                <w:szCs w:val="20"/>
              </w:rPr>
              <w:t>444</w:t>
            </w:r>
          </w:p>
        </w:tc>
        <w:tc>
          <w:tcPr>
            <w:tcW w:w="709" w:type="dxa"/>
            <w:tcBorders>
              <w:top w:val="single" w:sz="4" w:space="0" w:color="auto"/>
              <w:left w:val="single" w:sz="4" w:space="0" w:color="auto"/>
              <w:bottom w:val="nil"/>
              <w:right w:val="nil"/>
            </w:tcBorders>
            <w:shd w:val="clear" w:color="auto" w:fill="auto"/>
            <w:noWrap/>
            <w:vAlign w:val="center"/>
            <w:hideMark/>
          </w:tcPr>
          <w:p w14:paraId="343C9A47" w14:textId="77777777" w:rsidR="00387142" w:rsidRPr="008B6A75" w:rsidRDefault="00387142" w:rsidP="00387142">
            <w:pPr>
              <w:jc w:val="center"/>
              <w:rPr>
                <w:bCs/>
                <w:sz w:val="20"/>
                <w:szCs w:val="20"/>
              </w:rPr>
            </w:pPr>
            <w:r w:rsidRPr="008B6A75">
              <w:rPr>
                <w:bCs/>
                <w:sz w:val="20"/>
                <w:szCs w:val="20"/>
              </w:rPr>
              <w:t>10</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13F761C6" w14:textId="77777777" w:rsidR="00387142" w:rsidRPr="008B6A75" w:rsidRDefault="00387142" w:rsidP="00387142">
            <w:pPr>
              <w:jc w:val="center"/>
              <w:rPr>
                <w:bCs/>
                <w:sz w:val="20"/>
                <w:szCs w:val="20"/>
              </w:rPr>
            </w:pPr>
            <w:r w:rsidRPr="008B6A75">
              <w:rPr>
                <w:bCs/>
                <w:sz w:val="20"/>
                <w:szCs w:val="20"/>
              </w:rPr>
              <w:t>01</w:t>
            </w:r>
          </w:p>
        </w:tc>
        <w:tc>
          <w:tcPr>
            <w:tcW w:w="1411" w:type="dxa"/>
            <w:tcBorders>
              <w:top w:val="single" w:sz="4" w:space="0" w:color="auto"/>
              <w:left w:val="single" w:sz="4" w:space="0" w:color="auto"/>
              <w:bottom w:val="nil"/>
              <w:right w:val="nil"/>
            </w:tcBorders>
            <w:shd w:val="clear" w:color="auto" w:fill="auto"/>
            <w:noWrap/>
            <w:vAlign w:val="center"/>
            <w:hideMark/>
          </w:tcPr>
          <w:p w14:paraId="146EA374" w14:textId="77777777" w:rsidR="00387142" w:rsidRPr="008B6A75" w:rsidRDefault="00387142" w:rsidP="00387142">
            <w:pPr>
              <w:jc w:val="center"/>
              <w:rPr>
                <w:bCs/>
                <w:sz w:val="20"/>
                <w:szCs w:val="20"/>
              </w:rPr>
            </w:pPr>
            <w:r w:rsidRPr="008B6A75">
              <w:rPr>
                <w:bCs/>
                <w:sz w:val="20"/>
                <w:szCs w:val="20"/>
              </w:rPr>
              <w:t>99.0.00.00000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7381474B" w14:textId="77777777" w:rsidR="00387142" w:rsidRPr="008B6A75" w:rsidRDefault="00387142" w:rsidP="00387142">
            <w:pPr>
              <w:jc w:val="center"/>
              <w:rPr>
                <w:bCs/>
                <w:sz w:val="20"/>
                <w:szCs w:val="20"/>
              </w:rPr>
            </w:pPr>
            <w:r w:rsidRPr="008B6A75">
              <w:rPr>
                <w:bCs/>
                <w:sz w:val="20"/>
                <w:szCs w:val="20"/>
              </w:rPr>
              <w:t> </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41990441" w14:textId="77777777" w:rsidR="00387142" w:rsidRPr="008B6A75" w:rsidRDefault="00387142" w:rsidP="00387142">
            <w:pPr>
              <w:jc w:val="right"/>
              <w:rPr>
                <w:bCs/>
                <w:sz w:val="20"/>
                <w:szCs w:val="20"/>
              </w:rPr>
            </w:pPr>
            <w:r w:rsidRPr="008B6A75">
              <w:rPr>
                <w:bCs/>
                <w:sz w:val="20"/>
                <w:szCs w:val="20"/>
              </w:rPr>
              <w:t>2 892 844,00</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2644FCC5" w14:textId="77777777" w:rsidR="00387142" w:rsidRPr="008B6A75" w:rsidRDefault="00387142" w:rsidP="00387142">
            <w:pPr>
              <w:jc w:val="right"/>
              <w:rPr>
                <w:bCs/>
                <w:sz w:val="20"/>
                <w:szCs w:val="20"/>
              </w:rPr>
            </w:pPr>
            <w:r w:rsidRPr="008B6A75">
              <w:rPr>
                <w:bCs/>
                <w:sz w:val="20"/>
                <w:szCs w:val="20"/>
              </w:rPr>
              <w:t>3 415 529,76</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3FA1CC29" w14:textId="77777777" w:rsidR="00387142" w:rsidRPr="008B6A75" w:rsidRDefault="00387142" w:rsidP="00387142">
            <w:pPr>
              <w:jc w:val="right"/>
              <w:rPr>
                <w:bCs/>
                <w:sz w:val="20"/>
                <w:szCs w:val="20"/>
              </w:rPr>
            </w:pPr>
            <w:r w:rsidRPr="008B6A75">
              <w:rPr>
                <w:bCs/>
                <w:sz w:val="20"/>
                <w:szCs w:val="20"/>
              </w:rPr>
              <w:t>3 571 675,68</w:t>
            </w:r>
          </w:p>
        </w:tc>
        <w:tc>
          <w:tcPr>
            <w:tcW w:w="222" w:type="dxa"/>
            <w:vAlign w:val="center"/>
            <w:hideMark/>
          </w:tcPr>
          <w:p w14:paraId="3D221C62" w14:textId="77777777" w:rsidR="00387142" w:rsidRPr="008B6A75" w:rsidRDefault="00387142" w:rsidP="00387142">
            <w:pPr>
              <w:rPr>
                <w:sz w:val="20"/>
                <w:szCs w:val="20"/>
              </w:rPr>
            </w:pPr>
          </w:p>
        </w:tc>
      </w:tr>
      <w:tr w:rsidR="00387142" w:rsidRPr="008B6A75" w14:paraId="595B3D69" w14:textId="77777777" w:rsidTr="00387142">
        <w:trPr>
          <w:trHeight w:val="585"/>
        </w:trPr>
        <w:tc>
          <w:tcPr>
            <w:tcW w:w="3021" w:type="dxa"/>
            <w:tcBorders>
              <w:top w:val="single" w:sz="4" w:space="0" w:color="auto"/>
              <w:left w:val="single" w:sz="4" w:space="0" w:color="auto"/>
              <w:bottom w:val="nil"/>
              <w:right w:val="nil"/>
            </w:tcBorders>
            <w:shd w:val="clear" w:color="auto" w:fill="auto"/>
            <w:vAlign w:val="center"/>
            <w:hideMark/>
          </w:tcPr>
          <w:p w14:paraId="1BA97015" w14:textId="77777777" w:rsidR="00387142" w:rsidRPr="008B6A75" w:rsidRDefault="00387142" w:rsidP="00387142">
            <w:pPr>
              <w:rPr>
                <w:bCs/>
                <w:sz w:val="20"/>
                <w:szCs w:val="20"/>
              </w:rPr>
            </w:pPr>
            <w:r w:rsidRPr="008B6A75">
              <w:rPr>
                <w:bCs/>
                <w:sz w:val="20"/>
                <w:szCs w:val="20"/>
              </w:rPr>
              <w:t>Выплата муниципальной социальной доплаты к пенсии</w:t>
            </w:r>
          </w:p>
        </w:tc>
        <w:tc>
          <w:tcPr>
            <w:tcW w:w="850" w:type="dxa"/>
            <w:tcBorders>
              <w:top w:val="single" w:sz="4" w:space="0" w:color="auto"/>
              <w:left w:val="single" w:sz="4" w:space="0" w:color="auto"/>
              <w:bottom w:val="nil"/>
              <w:right w:val="nil"/>
            </w:tcBorders>
            <w:shd w:val="clear" w:color="auto" w:fill="auto"/>
            <w:noWrap/>
            <w:vAlign w:val="center"/>
            <w:hideMark/>
          </w:tcPr>
          <w:p w14:paraId="4E3D85BB" w14:textId="77777777" w:rsidR="00387142" w:rsidRPr="008B6A75" w:rsidRDefault="00387142" w:rsidP="00387142">
            <w:pPr>
              <w:jc w:val="center"/>
              <w:rPr>
                <w:bCs/>
                <w:sz w:val="20"/>
                <w:szCs w:val="20"/>
              </w:rPr>
            </w:pPr>
            <w:r w:rsidRPr="008B6A75">
              <w:rPr>
                <w:bCs/>
                <w:sz w:val="20"/>
                <w:szCs w:val="20"/>
              </w:rPr>
              <w:t>444</w:t>
            </w:r>
          </w:p>
        </w:tc>
        <w:tc>
          <w:tcPr>
            <w:tcW w:w="709" w:type="dxa"/>
            <w:tcBorders>
              <w:top w:val="single" w:sz="4" w:space="0" w:color="auto"/>
              <w:left w:val="single" w:sz="4" w:space="0" w:color="auto"/>
              <w:bottom w:val="nil"/>
              <w:right w:val="nil"/>
            </w:tcBorders>
            <w:shd w:val="clear" w:color="auto" w:fill="auto"/>
            <w:noWrap/>
            <w:vAlign w:val="center"/>
            <w:hideMark/>
          </w:tcPr>
          <w:p w14:paraId="2940484D" w14:textId="77777777" w:rsidR="00387142" w:rsidRPr="008B6A75" w:rsidRDefault="00387142" w:rsidP="00387142">
            <w:pPr>
              <w:jc w:val="center"/>
              <w:rPr>
                <w:bCs/>
                <w:sz w:val="20"/>
                <w:szCs w:val="20"/>
              </w:rPr>
            </w:pPr>
            <w:r w:rsidRPr="008B6A75">
              <w:rPr>
                <w:bCs/>
                <w:sz w:val="20"/>
                <w:szCs w:val="20"/>
              </w:rPr>
              <w:t>10</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222284FF" w14:textId="77777777" w:rsidR="00387142" w:rsidRPr="008B6A75" w:rsidRDefault="00387142" w:rsidP="00387142">
            <w:pPr>
              <w:jc w:val="center"/>
              <w:rPr>
                <w:bCs/>
                <w:sz w:val="20"/>
                <w:szCs w:val="20"/>
              </w:rPr>
            </w:pPr>
            <w:r w:rsidRPr="008B6A75">
              <w:rPr>
                <w:bCs/>
                <w:sz w:val="20"/>
                <w:szCs w:val="20"/>
              </w:rPr>
              <w:t>01</w:t>
            </w:r>
          </w:p>
        </w:tc>
        <w:tc>
          <w:tcPr>
            <w:tcW w:w="1411" w:type="dxa"/>
            <w:tcBorders>
              <w:top w:val="single" w:sz="4" w:space="0" w:color="auto"/>
              <w:left w:val="single" w:sz="4" w:space="0" w:color="auto"/>
              <w:bottom w:val="nil"/>
              <w:right w:val="nil"/>
            </w:tcBorders>
            <w:shd w:val="clear" w:color="auto" w:fill="auto"/>
            <w:noWrap/>
            <w:vAlign w:val="center"/>
            <w:hideMark/>
          </w:tcPr>
          <w:p w14:paraId="2154E801" w14:textId="77777777" w:rsidR="00387142" w:rsidRPr="008B6A75" w:rsidRDefault="00387142" w:rsidP="00387142">
            <w:pPr>
              <w:jc w:val="center"/>
              <w:rPr>
                <w:bCs/>
                <w:sz w:val="20"/>
                <w:szCs w:val="20"/>
              </w:rPr>
            </w:pPr>
            <w:r w:rsidRPr="008B6A75">
              <w:rPr>
                <w:bCs/>
                <w:sz w:val="20"/>
                <w:szCs w:val="20"/>
              </w:rPr>
              <w:t>99.0.00.10100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51553F23" w14:textId="77777777" w:rsidR="00387142" w:rsidRPr="008B6A75" w:rsidRDefault="00387142" w:rsidP="00387142">
            <w:pPr>
              <w:jc w:val="center"/>
              <w:rPr>
                <w:bCs/>
                <w:sz w:val="20"/>
                <w:szCs w:val="20"/>
              </w:rPr>
            </w:pPr>
            <w:r w:rsidRPr="008B6A75">
              <w:rPr>
                <w:bCs/>
                <w:sz w:val="20"/>
                <w:szCs w:val="20"/>
              </w:rPr>
              <w:t> </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4E63F436" w14:textId="77777777" w:rsidR="00387142" w:rsidRPr="008B6A75" w:rsidRDefault="00387142" w:rsidP="00387142">
            <w:pPr>
              <w:jc w:val="right"/>
              <w:rPr>
                <w:bCs/>
                <w:sz w:val="20"/>
                <w:szCs w:val="20"/>
              </w:rPr>
            </w:pPr>
            <w:r w:rsidRPr="008B6A75">
              <w:rPr>
                <w:bCs/>
                <w:sz w:val="20"/>
                <w:szCs w:val="20"/>
              </w:rPr>
              <w:t>2 892 844,00</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6B9C94EE" w14:textId="77777777" w:rsidR="00387142" w:rsidRPr="008B6A75" w:rsidRDefault="00387142" w:rsidP="00387142">
            <w:pPr>
              <w:jc w:val="right"/>
              <w:rPr>
                <w:bCs/>
                <w:sz w:val="20"/>
                <w:szCs w:val="20"/>
              </w:rPr>
            </w:pPr>
            <w:r w:rsidRPr="008B6A75">
              <w:rPr>
                <w:bCs/>
                <w:sz w:val="20"/>
                <w:szCs w:val="20"/>
              </w:rPr>
              <w:t>3 415 529,76</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710A5C14" w14:textId="77777777" w:rsidR="00387142" w:rsidRPr="008B6A75" w:rsidRDefault="00387142" w:rsidP="00387142">
            <w:pPr>
              <w:jc w:val="right"/>
              <w:rPr>
                <w:bCs/>
                <w:sz w:val="20"/>
                <w:szCs w:val="20"/>
              </w:rPr>
            </w:pPr>
            <w:r w:rsidRPr="008B6A75">
              <w:rPr>
                <w:bCs/>
                <w:sz w:val="20"/>
                <w:szCs w:val="20"/>
              </w:rPr>
              <w:t>3 571 675,68</w:t>
            </w:r>
          </w:p>
        </w:tc>
        <w:tc>
          <w:tcPr>
            <w:tcW w:w="222" w:type="dxa"/>
            <w:vAlign w:val="center"/>
            <w:hideMark/>
          </w:tcPr>
          <w:p w14:paraId="357B6194" w14:textId="77777777" w:rsidR="00387142" w:rsidRPr="008B6A75" w:rsidRDefault="00387142" w:rsidP="00387142">
            <w:pPr>
              <w:rPr>
                <w:sz w:val="20"/>
                <w:szCs w:val="20"/>
              </w:rPr>
            </w:pPr>
          </w:p>
        </w:tc>
      </w:tr>
      <w:tr w:rsidR="00387142" w:rsidRPr="008B6A75" w14:paraId="267F7F31" w14:textId="77777777" w:rsidTr="00387142">
        <w:trPr>
          <w:trHeight w:val="585"/>
        </w:trPr>
        <w:tc>
          <w:tcPr>
            <w:tcW w:w="3021" w:type="dxa"/>
            <w:tcBorders>
              <w:top w:val="single" w:sz="4" w:space="0" w:color="auto"/>
              <w:left w:val="single" w:sz="4" w:space="0" w:color="auto"/>
              <w:bottom w:val="nil"/>
              <w:right w:val="nil"/>
            </w:tcBorders>
            <w:shd w:val="clear" w:color="auto" w:fill="auto"/>
            <w:vAlign w:val="center"/>
            <w:hideMark/>
          </w:tcPr>
          <w:p w14:paraId="1C4FCC66" w14:textId="77777777" w:rsidR="00387142" w:rsidRPr="008B6A75" w:rsidRDefault="00387142" w:rsidP="00387142">
            <w:pPr>
              <w:rPr>
                <w:sz w:val="20"/>
                <w:szCs w:val="20"/>
              </w:rPr>
            </w:pPr>
            <w:r w:rsidRPr="008B6A75">
              <w:rPr>
                <w:sz w:val="20"/>
                <w:szCs w:val="20"/>
              </w:rPr>
              <w:t>Социальное обеспечение и иные выплаты населению</w:t>
            </w:r>
          </w:p>
        </w:tc>
        <w:tc>
          <w:tcPr>
            <w:tcW w:w="850" w:type="dxa"/>
            <w:tcBorders>
              <w:top w:val="single" w:sz="4" w:space="0" w:color="auto"/>
              <w:left w:val="single" w:sz="4" w:space="0" w:color="auto"/>
              <w:bottom w:val="nil"/>
              <w:right w:val="nil"/>
            </w:tcBorders>
            <w:shd w:val="clear" w:color="auto" w:fill="auto"/>
            <w:noWrap/>
            <w:vAlign w:val="center"/>
            <w:hideMark/>
          </w:tcPr>
          <w:p w14:paraId="3C612412" w14:textId="77777777" w:rsidR="00387142" w:rsidRPr="008B6A75" w:rsidRDefault="00387142" w:rsidP="00387142">
            <w:pPr>
              <w:jc w:val="center"/>
              <w:rPr>
                <w:sz w:val="20"/>
                <w:szCs w:val="20"/>
              </w:rPr>
            </w:pPr>
            <w:r w:rsidRPr="008B6A75">
              <w:rPr>
                <w:sz w:val="20"/>
                <w:szCs w:val="20"/>
              </w:rPr>
              <w:t>444</w:t>
            </w:r>
          </w:p>
        </w:tc>
        <w:tc>
          <w:tcPr>
            <w:tcW w:w="709" w:type="dxa"/>
            <w:tcBorders>
              <w:top w:val="single" w:sz="4" w:space="0" w:color="auto"/>
              <w:left w:val="single" w:sz="4" w:space="0" w:color="auto"/>
              <w:bottom w:val="nil"/>
              <w:right w:val="nil"/>
            </w:tcBorders>
            <w:shd w:val="clear" w:color="auto" w:fill="auto"/>
            <w:noWrap/>
            <w:vAlign w:val="center"/>
            <w:hideMark/>
          </w:tcPr>
          <w:p w14:paraId="75B19729" w14:textId="77777777" w:rsidR="00387142" w:rsidRPr="008B6A75" w:rsidRDefault="00387142" w:rsidP="00387142">
            <w:pPr>
              <w:jc w:val="center"/>
              <w:rPr>
                <w:sz w:val="20"/>
                <w:szCs w:val="20"/>
              </w:rPr>
            </w:pPr>
            <w:r w:rsidRPr="008B6A75">
              <w:rPr>
                <w:sz w:val="20"/>
                <w:szCs w:val="20"/>
              </w:rPr>
              <w:t>10</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3900EAD1" w14:textId="77777777" w:rsidR="00387142" w:rsidRPr="008B6A75" w:rsidRDefault="00387142" w:rsidP="00387142">
            <w:pPr>
              <w:jc w:val="center"/>
              <w:rPr>
                <w:sz w:val="20"/>
                <w:szCs w:val="20"/>
              </w:rPr>
            </w:pPr>
            <w:r w:rsidRPr="008B6A75">
              <w:rPr>
                <w:sz w:val="20"/>
                <w:szCs w:val="20"/>
              </w:rPr>
              <w:t>01</w:t>
            </w:r>
          </w:p>
        </w:tc>
        <w:tc>
          <w:tcPr>
            <w:tcW w:w="1411" w:type="dxa"/>
            <w:tcBorders>
              <w:top w:val="single" w:sz="4" w:space="0" w:color="auto"/>
              <w:left w:val="single" w:sz="4" w:space="0" w:color="auto"/>
              <w:bottom w:val="nil"/>
              <w:right w:val="nil"/>
            </w:tcBorders>
            <w:shd w:val="clear" w:color="auto" w:fill="auto"/>
            <w:noWrap/>
            <w:vAlign w:val="center"/>
            <w:hideMark/>
          </w:tcPr>
          <w:p w14:paraId="733D358E" w14:textId="77777777" w:rsidR="00387142" w:rsidRPr="008B6A75" w:rsidRDefault="00387142" w:rsidP="00387142">
            <w:pPr>
              <w:jc w:val="center"/>
              <w:rPr>
                <w:sz w:val="20"/>
                <w:szCs w:val="20"/>
              </w:rPr>
            </w:pPr>
            <w:r w:rsidRPr="008B6A75">
              <w:rPr>
                <w:sz w:val="20"/>
                <w:szCs w:val="20"/>
              </w:rPr>
              <w:t>99.0.00.10100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0E3C7C6E" w14:textId="77777777" w:rsidR="00387142" w:rsidRPr="008B6A75" w:rsidRDefault="00387142" w:rsidP="00387142">
            <w:pPr>
              <w:jc w:val="center"/>
              <w:rPr>
                <w:sz w:val="20"/>
                <w:szCs w:val="20"/>
              </w:rPr>
            </w:pPr>
            <w:r w:rsidRPr="008B6A75">
              <w:rPr>
                <w:sz w:val="20"/>
                <w:szCs w:val="20"/>
              </w:rPr>
              <w:t>300</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417E348B" w14:textId="77777777" w:rsidR="00387142" w:rsidRPr="008B6A75" w:rsidRDefault="00387142" w:rsidP="00387142">
            <w:pPr>
              <w:jc w:val="right"/>
              <w:rPr>
                <w:sz w:val="20"/>
                <w:szCs w:val="20"/>
              </w:rPr>
            </w:pPr>
            <w:r w:rsidRPr="008B6A75">
              <w:rPr>
                <w:sz w:val="20"/>
                <w:szCs w:val="20"/>
              </w:rPr>
              <w:t>2 892 844,00</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21B29542" w14:textId="77777777" w:rsidR="00387142" w:rsidRPr="008B6A75" w:rsidRDefault="00387142" w:rsidP="00387142">
            <w:pPr>
              <w:jc w:val="right"/>
              <w:rPr>
                <w:sz w:val="20"/>
                <w:szCs w:val="20"/>
              </w:rPr>
            </w:pPr>
            <w:r w:rsidRPr="008B6A75">
              <w:rPr>
                <w:sz w:val="20"/>
                <w:szCs w:val="20"/>
              </w:rPr>
              <w:t>3 415 529,76</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5B14D9DE" w14:textId="77777777" w:rsidR="00387142" w:rsidRPr="008B6A75" w:rsidRDefault="00387142" w:rsidP="00387142">
            <w:pPr>
              <w:jc w:val="right"/>
              <w:rPr>
                <w:sz w:val="20"/>
                <w:szCs w:val="20"/>
              </w:rPr>
            </w:pPr>
            <w:r w:rsidRPr="008B6A75">
              <w:rPr>
                <w:sz w:val="20"/>
                <w:szCs w:val="20"/>
              </w:rPr>
              <w:t>3 571 675,68</w:t>
            </w:r>
          </w:p>
        </w:tc>
        <w:tc>
          <w:tcPr>
            <w:tcW w:w="222" w:type="dxa"/>
            <w:vAlign w:val="center"/>
            <w:hideMark/>
          </w:tcPr>
          <w:p w14:paraId="49F71222" w14:textId="77777777" w:rsidR="00387142" w:rsidRPr="008B6A75" w:rsidRDefault="00387142" w:rsidP="00387142">
            <w:pPr>
              <w:rPr>
                <w:sz w:val="20"/>
                <w:szCs w:val="20"/>
              </w:rPr>
            </w:pPr>
          </w:p>
        </w:tc>
      </w:tr>
      <w:tr w:rsidR="00387142" w:rsidRPr="008B6A75" w14:paraId="710D0E1F" w14:textId="77777777" w:rsidTr="00387142">
        <w:trPr>
          <w:trHeight w:val="585"/>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043F304E" w14:textId="77777777" w:rsidR="00387142" w:rsidRPr="008B6A75" w:rsidRDefault="00387142" w:rsidP="00387142">
            <w:pPr>
              <w:rPr>
                <w:sz w:val="20"/>
                <w:szCs w:val="20"/>
              </w:rPr>
            </w:pPr>
            <w:r w:rsidRPr="008B6A75">
              <w:rPr>
                <w:sz w:val="20"/>
                <w:szCs w:val="20"/>
              </w:rPr>
              <w:t>Публичные нормативные социальные выплаты гражданам</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072CC7FA" w14:textId="77777777" w:rsidR="00387142" w:rsidRPr="008B6A75" w:rsidRDefault="00387142" w:rsidP="00387142">
            <w:pPr>
              <w:jc w:val="center"/>
              <w:rPr>
                <w:sz w:val="20"/>
                <w:szCs w:val="20"/>
              </w:rPr>
            </w:pPr>
            <w:r w:rsidRPr="008B6A75">
              <w:rPr>
                <w:sz w:val="20"/>
                <w:szCs w:val="20"/>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5C0078AB" w14:textId="77777777" w:rsidR="00387142" w:rsidRPr="008B6A75" w:rsidRDefault="00387142" w:rsidP="00387142">
            <w:pPr>
              <w:jc w:val="center"/>
              <w:rPr>
                <w:sz w:val="20"/>
                <w:szCs w:val="20"/>
              </w:rPr>
            </w:pPr>
            <w:r w:rsidRPr="008B6A75">
              <w:rPr>
                <w:sz w:val="20"/>
                <w:szCs w:val="20"/>
              </w:rPr>
              <w:t>10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221077" w14:textId="77777777" w:rsidR="00387142" w:rsidRPr="008B6A75" w:rsidRDefault="00387142" w:rsidP="00387142">
            <w:pPr>
              <w:jc w:val="center"/>
              <w:rPr>
                <w:sz w:val="20"/>
                <w:szCs w:val="20"/>
              </w:rPr>
            </w:pPr>
            <w:r w:rsidRPr="008B6A75">
              <w:rPr>
                <w:sz w:val="20"/>
                <w:szCs w:val="20"/>
              </w:rPr>
              <w:t>01</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4ADE5EA0" w14:textId="77777777" w:rsidR="00387142" w:rsidRPr="008B6A75" w:rsidRDefault="00387142" w:rsidP="00387142">
            <w:pPr>
              <w:jc w:val="center"/>
              <w:rPr>
                <w:sz w:val="20"/>
                <w:szCs w:val="20"/>
              </w:rPr>
            </w:pPr>
            <w:r w:rsidRPr="008B6A75">
              <w:rPr>
                <w:sz w:val="20"/>
                <w:szCs w:val="20"/>
              </w:rPr>
              <w:t>99.0.00.10100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E0FF35" w14:textId="77777777" w:rsidR="00387142" w:rsidRPr="008B6A75" w:rsidRDefault="00387142" w:rsidP="00387142">
            <w:pPr>
              <w:jc w:val="center"/>
              <w:rPr>
                <w:sz w:val="20"/>
                <w:szCs w:val="20"/>
              </w:rPr>
            </w:pPr>
            <w:r w:rsidRPr="008B6A75">
              <w:rPr>
                <w:sz w:val="20"/>
                <w:szCs w:val="20"/>
              </w:rPr>
              <w:t>310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AB815A" w14:textId="77777777" w:rsidR="00387142" w:rsidRPr="008B6A75" w:rsidRDefault="00387142" w:rsidP="00387142">
            <w:pPr>
              <w:jc w:val="right"/>
              <w:rPr>
                <w:sz w:val="20"/>
                <w:szCs w:val="20"/>
              </w:rPr>
            </w:pPr>
            <w:r w:rsidRPr="008B6A75">
              <w:rPr>
                <w:sz w:val="20"/>
                <w:szCs w:val="20"/>
              </w:rPr>
              <w:t>2 892 844,00</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1F8E1F28" w14:textId="77777777" w:rsidR="00387142" w:rsidRPr="008B6A75" w:rsidRDefault="00387142" w:rsidP="00387142">
            <w:pPr>
              <w:jc w:val="right"/>
              <w:rPr>
                <w:sz w:val="20"/>
                <w:szCs w:val="20"/>
              </w:rPr>
            </w:pPr>
            <w:r w:rsidRPr="008B6A75">
              <w:rPr>
                <w:sz w:val="20"/>
                <w:szCs w:val="20"/>
              </w:rPr>
              <w:t>3 415 529,76</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4E039F" w14:textId="77777777" w:rsidR="00387142" w:rsidRPr="008B6A75" w:rsidRDefault="00387142" w:rsidP="00387142">
            <w:pPr>
              <w:jc w:val="right"/>
              <w:rPr>
                <w:sz w:val="20"/>
                <w:szCs w:val="20"/>
              </w:rPr>
            </w:pPr>
            <w:r w:rsidRPr="008B6A75">
              <w:rPr>
                <w:sz w:val="20"/>
                <w:szCs w:val="20"/>
              </w:rPr>
              <w:t>3 571 675,68</w:t>
            </w:r>
          </w:p>
        </w:tc>
        <w:tc>
          <w:tcPr>
            <w:tcW w:w="222" w:type="dxa"/>
            <w:vAlign w:val="center"/>
            <w:hideMark/>
          </w:tcPr>
          <w:p w14:paraId="0DEDA62F" w14:textId="77777777" w:rsidR="00387142" w:rsidRPr="008B6A75" w:rsidRDefault="00387142" w:rsidP="00387142">
            <w:pPr>
              <w:rPr>
                <w:sz w:val="20"/>
                <w:szCs w:val="20"/>
              </w:rPr>
            </w:pPr>
          </w:p>
        </w:tc>
      </w:tr>
      <w:tr w:rsidR="00387142" w:rsidRPr="008B6A75" w14:paraId="22ADA2E5" w14:textId="77777777" w:rsidTr="00387142">
        <w:trPr>
          <w:trHeight w:val="300"/>
        </w:trPr>
        <w:tc>
          <w:tcPr>
            <w:tcW w:w="3021" w:type="dxa"/>
            <w:tcBorders>
              <w:top w:val="nil"/>
              <w:left w:val="single" w:sz="4" w:space="0" w:color="auto"/>
              <w:bottom w:val="nil"/>
              <w:right w:val="nil"/>
            </w:tcBorders>
            <w:shd w:val="clear" w:color="auto" w:fill="auto"/>
            <w:vAlign w:val="center"/>
            <w:hideMark/>
          </w:tcPr>
          <w:p w14:paraId="1CE3AC2E" w14:textId="77777777" w:rsidR="00387142" w:rsidRPr="008B6A75" w:rsidRDefault="00387142" w:rsidP="00387142">
            <w:pPr>
              <w:rPr>
                <w:bCs/>
                <w:sz w:val="20"/>
                <w:szCs w:val="20"/>
              </w:rPr>
            </w:pPr>
            <w:r w:rsidRPr="008B6A75">
              <w:rPr>
                <w:bCs/>
                <w:sz w:val="20"/>
                <w:szCs w:val="20"/>
              </w:rPr>
              <w:t>Социальное обслуживание населения</w:t>
            </w:r>
          </w:p>
        </w:tc>
        <w:tc>
          <w:tcPr>
            <w:tcW w:w="850" w:type="dxa"/>
            <w:tcBorders>
              <w:top w:val="nil"/>
              <w:left w:val="single" w:sz="4" w:space="0" w:color="auto"/>
              <w:bottom w:val="nil"/>
              <w:right w:val="nil"/>
            </w:tcBorders>
            <w:shd w:val="clear" w:color="auto" w:fill="auto"/>
            <w:noWrap/>
            <w:vAlign w:val="center"/>
            <w:hideMark/>
          </w:tcPr>
          <w:p w14:paraId="6551305C" w14:textId="77777777" w:rsidR="00387142" w:rsidRPr="008B6A75" w:rsidRDefault="00387142" w:rsidP="00387142">
            <w:pPr>
              <w:jc w:val="center"/>
              <w:rPr>
                <w:bCs/>
                <w:sz w:val="20"/>
                <w:szCs w:val="20"/>
              </w:rPr>
            </w:pPr>
            <w:r w:rsidRPr="008B6A75">
              <w:rPr>
                <w:bCs/>
                <w:sz w:val="20"/>
                <w:szCs w:val="20"/>
              </w:rPr>
              <w:t>444</w:t>
            </w:r>
          </w:p>
        </w:tc>
        <w:tc>
          <w:tcPr>
            <w:tcW w:w="709" w:type="dxa"/>
            <w:tcBorders>
              <w:top w:val="nil"/>
              <w:left w:val="single" w:sz="4" w:space="0" w:color="auto"/>
              <w:bottom w:val="nil"/>
              <w:right w:val="nil"/>
            </w:tcBorders>
            <w:shd w:val="clear" w:color="auto" w:fill="auto"/>
            <w:noWrap/>
            <w:vAlign w:val="center"/>
            <w:hideMark/>
          </w:tcPr>
          <w:p w14:paraId="76B9167B" w14:textId="77777777" w:rsidR="00387142" w:rsidRPr="008B6A75" w:rsidRDefault="00387142" w:rsidP="00387142">
            <w:pPr>
              <w:jc w:val="center"/>
              <w:rPr>
                <w:bCs/>
                <w:sz w:val="20"/>
                <w:szCs w:val="20"/>
              </w:rPr>
            </w:pPr>
            <w:r w:rsidRPr="008B6A75">
              <w:rPr>
                <w:bCs/>
                <w:sz w:val="20"/>
                <w:szCs w:val="20"/>
              </w:rPr>
              <w:t>10</w:t>
            </w:r>
          </w:p>
        </w:tc>
        <w:tc>
          <w:tcPr>
            <w:tcW w:w="709" w:type="dxa"/>
            <w:tcBorders>
              <w:top w:val="nil"/>
              <w:left w:val="single" w:sz="4" w:space="0" w:color="auto"/>
              <w:bottom w:val="nil"/>
              <w:right w:val="single" w:sz="4" w:space="0" w:color="auto"/>
            </w:tcBorders>
            <w:shd w:val="clear" w:color="auto" w:fill="auto"/>
            <w:noWrap/>
            <w:vAlign w:val="center"/>
            <w:hideMark/>
          </w:tcPr>
          <w:p w14:paraId="35A05D74" w14:textId="77777777" w:rsidR="00387142" w:rsidRPr="008B6A75" w:rsidRDefault="00387142" w:rsidP="00387142">
            <w:pPr>
              <w:jc w:val="center"/>
              <w:rPr>
                <w:bCs/>
                <w:sz w:val="20"/>
                <w:szCs w:val="20"/>
              </w:rPr>
            </w:pPr>
            <w:r w:rsidRPr="008B6A75">
              <w:rPr>
                <w:bCs/>
                <w:sz w:val="20"/>
                <w:szCs w:val="20"/>
              </w:rPr>
              <w:t>02</w:t>
            </w:r>
          </w:p>
        </w:tc>
        <w:tc>
          <w:tcPr>
            <w:tcW w:w="1411" w:type="dxa"/>
            <w:tcBorders>
              <w:top w:val="nil"/>
              <w:left w:val="single" w:sz="4" w:space="0" w:color="auto"/>
              <w:bottom w:val="nil"/>
              <w:right w:val="nil"/>
            </w:tcBorders>
            <w:shd w:val="clear" w:color="auto" w:fill="auto"/>
            <w:noWrap/>
            <w:vAlign w:val="center"/>
            <w:hideMark/>
          </w:tcPr>
          <w:p w14:paraId="642DECDA" w14:textId="77777777" w:rsidR="00387142" w:rsidRPr="008B6A75" w:rsidRDefault="00387142" w:rsidP="00387142">
            <w:pPr>
              <w:jc w:val="center"/>
              <w:rPr>
                <w:bCs/>
                <w:sz w:val="20"/>
                <w:szCs w:val="20"/>
              </w:rPr>
            </w:pPr>
            <w:r w:rsidRPr="008B6A75">
              <w:rPr>
                <w:bCs/>
                <w:sz w:val="20"/>
                <w:szCs w:val="20"/>
              </w:rPr>
              <w:t> </w:t>
            </w:r>
          </w:p>
        </w:tc>
        <w:tc>
          <w:tcPr>
            <w:tcW w:w="955" w:type="dxa"/>
            <w:tcBorders>
              <w:top w:val="nil"/>
              <w:left w:val="single" w:sz="4" w:space="0" w:color="auto"/>
              <w:bottom w:val="nil"/>
              <w:right w:val="single" w:sz="4" w:space="0" w:color="auto"/>
            </w:tcBorders>
            <w:shd w:val="clear" w:color="auto" w:fill="auto"/>
            <w:noWrap/>
            <w:vAlign w:val="center"/>
            <w:hideMark/>
          </w:tcPr>
          <w:p w14:paraId="50E44C7F"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nil"/>
              <w:right w:val="single" w:sz="4" w:space="0" w:color="auto"/>
            </w:tcBorders>
            <w:shd w:val="clear" w:color="auto" w:fill="auto"/>
            <w:noWrap/>
            <w:vAlign w:val="center"/>
            <w:hideMark/>
          </w:tcPr>
          <w:p w14:paraId="61579427" w14:textId="77777777" w:rsidR="00387142" w:rsidRPr="008B6A75" w:rsidRDefault="00387142" w:rsidP="00387142">
            <w:pPr>
              <w:jc w:val="right"/>
              <w:rPr>
                <w:bCs/>
                <w:sz w:val="20"/>
                <w:szCs w:val="20"/>
              </w:rPr>
            </w:pPr>
            <w:r w:rsidRPr="008B6A75">
              <w:rPr>
                <w:bCs/>
                <w:sz w:val="20"/>
                <w:szCs w:val="20"/>
              </w:rPr>
              <w:t>88 316 535,44</w:t>
            </w:r>
          </w:p>
        </w:tc>
        <w:tc>
          <w:tcPr>
            <w:tcW w:w="992" w:type="dxa"/>
            <w:gridSpan w:val="2"/>
            <w:tcBorders>
              <w:top w:val="nil"/>
              <w:left w:val="single" w:sz="4" w:space="0" w:color="auto"/>
              <w:bottom w:val="nil"/>
              <w:right w:val="nil"/>
            </w:tcBorders>
            <w:shd w:val="clear" w:color="auto" w:fill="auto"/>
            <w:noWrap/>
            <w:vAlign w:val="center"/>
            <w:hideMark/>
          </w:tcPr>
          <w:p w14:paraId="77DB8B35" w14:textId="77777777" w:rsidR="00387142" w:rsidRPr="008B6A75" w:rsidRDefault="00387142" w:rsidP="00387142">
            <w:pPr>
              <w:jc w:val="right"/>
              <w:rPr>
                <w:bCs/>
                <w:sz w:val="20"/>
                <w:szCs w:val="20"/>
              </w:rPr>
            </w:pPr>
            <w:r w:rsidRPr="008B6A75">
              <w:rPr>
                <w:bCs/>
                <w:sz w:val="20"/>
                <w:szCs w:val="20"/>
              </w:rPr>
              <w:t>85 514 000,00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3C7877CD" w14:textId="77777777" w:rsidR="00387142" w:rsidRPr="008B6A75" w:rsidRDefault="00387142" w:rsidP="00387142">
            <w:pPr>
              <w:jc w:val="right"/>
              <w:rPr>
                <w:bCs/>
                <w:sz w:val="20"/>
                <w:szCs w:val="20"/>
              </w:rPr>
            </w:pPr>
            <w:r w:rsidRPr="008B6A75">
              <w:rPr>
                <w:bCs/>
                <w:sz w:val="20"/>
                <w:szCs w:val="20"/>
              </w:rPr>
              <w:t>92 131 604,01</w:t>
            </w:r>
          </w:p>
        </w:tc>
        <w:tc>
          <w:tcPr>
            <w:tcW w:w="222" w:type="dxa"/>
            <w:vAlign w:val="center"/>
            <w:hideMark/>
          </w:tcPr>
          <w:p w14:paraId="7498BD93" w14:textId="77777777" w:rsidR="00387142" w:rsidRPr="008B6A75" w:rsidRDefault="00387142" w:rsidP="00387142">
            <w:pPr>
              <w:rPr>
                <w:sz w:val="20"/>
                <w:szCs w:val="20"/>
              </w:rPr>
            </w:pPr>
          </w:p>
        </w:tc>
      </w:tr>
      <w:tr w:rsidR="00387142" w:rsidRPr="008B6A75" w14:paraId="302A5832" w14:textId="77777777" w:rsidTr="00387142">
        <w:trPr>
          <w:trHeight w:val="870"/>
        </w:trPr>
        <w:tc>
          <w:tcPr>
            <w:tcW w:w="3021" w:type="dxa"/>
            <w:tcBorders>
              <w:top w:val="single" w:sz="4" w:space="0" w:color="auto"/>
              <w:left w:val="single" w:sz="4" w:space="0" w:color="auto"/>
              <w:bottom w:val="nil"/>
              <w:right w:val="nil"/>
            </w:tcBorders>
            <w:shd w:val="clear" w:color="auto" w:fill="auto"/>
            <w:vAlign w:val="center"/>
            <w:hideMark/>
          </w:tcPr>
          <w:p w14:paraId="7A4EF3A5" w14:textId="77777777" w:rsidR="00387142" w:rsidRPr="008B6A75" w:rsidRDefault="00387142" w:rsidP="00387142">
            <w:pPr>
              <w:rPr>
                <w:bCs/>
                <w:sz w:val="20"/>
                <w:szCs w:val="20"/>
              </w:rPr>
            </w:pPr>
            <w:r w:rsidRPr="008B6A75">
              <w:rPr>
                <w:bCs/>
                <w:sz w:val="20"/>
                <w:szCs w:val="20"/>
              </w:rPr>
              <w:t>Муниципальная программа "Организация социально-значимых мероприятий на территории Куйбышевского района"</w:t>
            </w:r>
          </w:p>
        </w:tc>
        <w:tc>
          <w:tcPr>
            <w:tcW w:w="850" w:type="dxa"/>
            <w:tcBorders>
              <w:top w:val="single" w:sz="4" w:space="0" w:color="auto"/>
              <w:left w:val="single" w:sz="4" w:space="0" w:color="auto"/>
              <w:bottom w:val="nil"/>
              <w:right w:val="nil"/>
            </w:tcBorders>
            <w:shd w:val="clear" w:color="auto" w:fill="auto"/>
            <w:noWrap/>
            <w:vAlign w:val="center"/>
            <w:hideMark/>
          </w:tcPr>
          <w:p w14:paraId="41E5F395" w14:textId="77777777" w:rsidR="00387142" w:rsidRPr="008B6A75" w:rsidRDefault="00387142" w:rsidP="00387142">
            <w:pPr>
              <w:jc w:val="center"/>
              <w:rPr>
                <w:bCs/>
                <w:sz w:val="20"/>
                <w:szCs w:val="20"/>
              </w:rPr>
            </w:pPr>
            <w:r w:rsidRPr="008B6A75">
              <w:rPr>
                <w:bCs/>
                <w:sz w:val="20"/>
                <w:szCs w:val="20"/>
              </w:rPr>
              <w:t>444</w:t>
            </w:r>
          </w:p>
        </w:tc>
        <w:tc>
          <w:tcPr>
            <w:tcW w:w="709" w:type="dxa"/>
            <w:tcBorders>
              <w:top w:val="single" w:sz="4" w:space="0" w:color="auto"/>
              <w:left w:val="single" w:sz="4" w:space="0" w:color="auto"/>
              <w:bottom w:val="nil"/>
              <w:right w:val="nil"/>
            </w:tcBorders>
            <w:shd w:val="clear" w:color="auto" w:fill="auto"/>
            <w:noWrap/>
            <w:vAlign w:val="center"/>
            <w:hideMark/>
          </w:tcPr>
          <w:p w14:paraId="2DBE71AC" w14:textId="77777777" w:rsidR="00387142" w:rsidRPr="008B6A75" w:rsidRDefault="00387142" w:rsidP="00387142">
            <w:pPr>
              <w:jc w:val="center"/>
              <w:rPr>
                <w:bCs/>
                <w:sz w:val="20"/>
                <w:szCs w:val="20"/>
              </w:rPr>
            </w:pPr>
            <w:r w:rsidRPr="008B6A75">
              <w:rPr>
                <w:bCs/>
                <w:sz w:val="20"/>
                <w:szCs w:val="20"/>
              </w:rPr>
              <w:t>10</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7E1BA574" w14:textId="77777777" w:rsidR="00387142" w:rsidRPr="008B6A75" w:rsidRDefault="00387142" w:rsidP="00387142">
            <w:pPr>
              <w:jc w:val="center"/>
              <w:rPr>
                <w:bCs/>
                <w:sz w:val="20"/>
                <w:szCs w:val="20"/>
              </w:rPr>
            </w:pPr>
            <w:r w:rsidRPr="008B6A75">
              <w:rPr>
                <w:bCs/>
                <w:sz w:val="20"/>
                <w:szCs w:val="20"/>
              </w:rPr>
              <w:t>02</w:t>
            </w:r>
          </w:p>
        </w:tc>
        <w:tc>
          <w:tcPr>
            <w:tcW w:w="1411" w:type="dxa"/>
            <w:tcBorders>
              <w:top w:val="single" w:sz="4" w:space="0" w:color="auto"/>
              <w:left w:val="single" w:sz="4" w:space="0" w:color="auto"/>
              <w:bottom w:val="nil"/>
              <w:right w:val="nil"/>
            </w:tcBorders>
            <w:shd w:val="clear" w:color="auto" w:fill="auto"/>
            <w:noWrap/>
            <w:vAlign w:val="center"/>
            <w:hideMark/>
          </w:tcPr>
          <w:p w14:paraId="05A74868" w14:textId="77777777" w:rsidR="00387142" w:rsidRPr="008B6A75" w:rsidRDefault="00387142" w:rsidP="00387142">
            <w:pPr>
              <w:jc w:val="center"/>
              <w:rPr>
                <w:bCs/>
                <w:sz w:val="20"/>
                <w:szCs w:val="20"/>
              </w:rPr>
            </w:pPr>
            <w:r w:rsidRPr="008B6A75">
              <w:rPr>
                <w:bCs/>
                <w:sz w:val="20"/>
                <w:szCs w:val="20"/>
              </w:rPr>
              <w:t>30.0.00.00000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7D917B98" w14:textId="77777777" w:rsidR="00387142" w:rsidRPr="008B6A75" w:rsidRDefault="00387142" w:rsidP="00387142">
            <w:pPr>
              <w:jc w:val="center"/>
              <w:rPr>
                <w:bCs/>
                <w:sz w:val="20"/>
                <w:szCs w:val="20"/>
              </w:rPr>
            </w:pPr>
            <w:r w:rsidRPr="008B6A75">
              <w:rPr>
                <w:bCs/>
                <w:sz w:val="20"/>
                <w:szCs w:val="20"/>
              </w:rPr>
              <w:t> </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513F70CD" w14:textId="77777777" w:rsidR="00387142" w:rsidRPr="008B6A75" w:rsidRDefault="00387142" w:rsidP="00387142">
            <w:pPr>
              <w:jc w:val="right"/>
              <w:rPr>
                <w:bCs/>
                <w:sz w:val="20"/>
                <w:szCs w:val="20"/>
              </w:rPr>
            </w:pPr>
            <w:r w:rsidRPr="008B6A75">
              <w:rPr>
                <w:bCs/>
                <w:sz w:val="20"/>
                <w:szCs w:val="20"/>
              </w:rPr>
              <w:t>420 500,00</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09D7489C" w14:textId="77777777" w:rsidR="00387142" w:rsidRPr="008B6A75" w:rsidRDefault="00387142" w:rsidP="00387142">
            <w:pPr>
              <w:jc w:val="right"/>
              <w:rPr>
                <w:bCs/>
                <w:sz w:val="20"/>
                <w:szCs w:val="20"/>
              </w:rPr>
            </w:pPr>
            <w:r w:rsidRPr="008B6A75">
              <w:rPr>
                <w:bCs/>
                <w:sz w:val="20"/>
                <w:szCs w:val="20"/>
              </w:rPr>
              <w:t>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23093DE0" w14:textId="77777777" w:rsidR="00387142" w:rsidRPr="008B6A75" w:rsidRDefault="00387142" w:rsidP="00387142">
            <w:pPr>
              <w:jc w:val="right"/>
              <w:rPr>
                <w:bCs/>
                <w:sz w:val="20"/>
                <w:szCs w:val="20"/>
              </w:rPr>
            </w:pPr>
            <w:r w:rsidRPr="008B6A75">
              <w:rPr>
                <w:bCs/>
                <w:sz w:val="20"/>
                <w:szCs w:val="20"/>
              </w:rPr>
              <w:t>0,00</w:t>
            </w:r>
          </w:p>
        </w:tc>
        <w:tc>
          <w:tcPr>
            <w:tcW w:w="222" w:type="dxa"/>
            <w:vAlign w:val="center"/>
            <w:hideMark/>
          </w:tcPr>
          <w:p w14:paraId="34976C81" w14:textId="77777777" w:rsidR="00387142" w:rsidRPr="008B6A75" w:rsidRDefault="00387142" w:rsidP="00387142">
            <w:pPr>
              <w:rPr>
                <w:sz w:val="20"/>
                <w:szCs w:val="20"/>
              </w:rPr>
            </w:pPr>
          </w:p>
        </w:tc>
      </w:tr>
      <w:tr w:rsidR="00387142" w:rsidRPr="008B6A75" w14:paraId="54CB24F1" w14:textId="77777777" w:rsidTr="00387142">
        <w:trPr>
          <w:trHeight w:val="1155"/>
        </w:trPr>
        <w:tc>
          <w:tcPr>
            <w:tcW w:w="3021" w:type="dxa"/>
            <w:tcBorders>
              <w:top w:val="single" w:sz="4" w:space="0" w:color="auto"/>
              <w:left w:val="single" w:sz="4" w:space="0" w:color="auto"/>
              <w:bottom w:val="nil"/>
              <w:right w:val="nil"/>
            </w:tcBorders>
            <w:shd w:val="clear" w:color="auto" w:fill="auto"/>
            <w:vAlign w:val="center"/>
            <w:hideMark/>
          </w:tcPr>
          <w:p w14:paraId="63864D01" w14:textId="77777777" w:rsidR="00387142" w:rsidRPr="008B6A75" w:rsidRDefault="00387142" w:rsidP="00387142">
            <w:pPr>
              <w:rPr>
                <w:bCs/>
                <w:sz w:val="20"/>
                <w:szCs w:val="20"/>
              </w:rPr>
            </w:pPr>
            <w:r w:rsidRPr="008B6A75">
              <w:rPr>
                <w:bCs/>
                <w:sz w:val="20"/>
                <w:szCs w:val="20"/>
              </w:rPr>
              <w:t>Реализация мероприятий муниципальной программы "Организация социально-значимых мероприятий на территории Куйбышевского района"</w:t>
            </w:r>
          </w:p>
        </w:tc>
        <w:tc>
          <w:tcPr>
            <w:tcW w:w="850" w:type="dxa"/>
            <w:tcBorders>
              <w:top w:val="single" w:sz="4" w:space="0" w:color="auto"/>
              <w:left w:val="single" w:sz="4" w:space="0" w:color="auto"/>
              <w:bottom w:val="nil"/>
              <w:right w:val="nil"/>
            </w:tcBorders>
            <w:shd w:val="clear" w:color="auto" w:fill="auto"/>
            <w:noWrap/>
            <w:vAlign w:val="center"/>
            <w:hideMark/>
          </w:tcPr>
          <w:p w14:paraId="32450D36" w14:textId="77777777" w:rsidR="00387142" w:rsidRPr="008B6A75" w:rsidRDefault="00387142" w:rsidP="00387142">
            <w:pPr>
              <w:jc w:val="center"/>
              <w:rPr>
                <w:bCs/>
                <w:sz w:val="20"/>
                <w:szCs w:val="20"/>
              </w:rPr>
            </w:pPr>
            <w:r w:rsidRPr="008B6A75">
              <w:rPr>
                <w:bCs/>
                <w:sz w:val="20"/>
                <w:szCs w:val="20"/>
              </w:rPr>
              <w:t>444</w:t>
            </w:r>
          </w:p>
        </w:tc>
        <w:tc>
          <w:tcPr>
            <w:tcW w:w="709" w:type="dxa"/>
            <w:tcBorders>
              <w:top w:val="single" w:sz="4" w:space="0" w:color="auto"/>
              <w:left w:val="single" w:sz="4" w:space="0" w:color="auto"/>
              <w:bottom w:val="nil"/>
              <w:right w:val="nil"/>
            </w:tcBorders>
            <w:shd w:val="clear" w:color="auto" w:fill="auto"/>
            <w:noWrap/>
            <w:vAlign w:val="center"/>
            <w:hideMark/>
          </w:tcPr>
          <w:p w14:paraId="1E188F09" w14:textId="77777777" w:rsidR="00387142" w:rsidRPr="008B6A75" w:rsidRDefault="00387142" w:rsidP="00387142">
            <w:pPr>
              <w:jc w:val="center"/>
              <w:rPr>
                <w:bCs/>
                <w:sz w:val="20"/>
                <w:szCs w:val="20"/>
              </w:rPr>
            </w:pPr>
            <w:r w:rsidRPr="008B6A75">
              <w:rPr>
                <w:bCs/>
                <w:sz w:val="20"/>
                <w:szCs w:val="20"/>
              </w:rPr>
              <w:t>10</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2F340B83" w14:textId="77777777" w:rsidR="00387142" w:rsidRPr="008B6A75" w:rsidRDefault="00387142" w:rsidP="00387142">
            <w:pPr>
              <w:jc w:val="center"/>
              <w:rPr>
                <w:bCs/>
                <w:sz w:val="20"/>
                <w:szCs w:val="20"/>
              </w:rPr>
            </w:pPr>
            <w:r w:rsidRPr="008B6A75">
              <w:rPr>
                <w:bCs/>
                <w:sz w:val="20"/>
                <w:szCs w:val="20"/>
              </w:rPr>
              <w:t>02</w:t>
            </w:r>
          </w:p>
        </w:tc>
        <w:tc>
          <w:tcPr>
            <w:tcW w:w="1411" w:type="dxa"/>
            <w:tcBorders>
              <w:top w:val="single" w:sz="4" w:space="0" w:color="auto"/>
              <w:left w:val="single" w:sz="4" w:space="0" w:color="auto"/>
              <w:bottom w:val="nil"/>
              <w:right w:val="nil"/>
            </w:tcBorders>
            <w:shd w:val="clear" w:color="auto" w:fill="auto"/>
            <w:noWrap/>
            <w:vAlign w:val="center"/>
            <w:hideMark/>
          </w:tcPr>
          <w:p w14:paraId="7AAA5FC0" w14:textId="77777777" w:rsidR="00387142" w:rsidRPr="008B6A75" w:rsidRDefault="00387142" w:rsidP="00387142">
            <w:pPr>
              <w:jc w:val="center"/>
              <w:rPr>
                <w:bCs/>
                <w:sz w:val="20"/>
                <w:szCs w:val="20"/>
              </w:rPr>
            </w:pPr>
            <w:r w:rsidRPr="008B6A75">
              <w:rPr>
                <w:bCs/>
                <w:sz w:val="20"/>
                <w:szCs w:val="20"/>
              </w:rPr>
              <w:t>30.0.00.10950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75284DAB" w14:textId="77777777" w:rsidR="00387142" w:rsidRPr="008B6A75" w:rsidRDefault="00387142" w:rsidP="00387142">
            <w:pPr>
              <w:jc w:val="center"/>
              <w:rPr>
                <w:bCs/>
                <w:sz w:val="20"/>
                <w:szCs w:val="20"/>
              </w:rPr>
            </w:pPr>
            <w:r w:rsidRPr="008B6A75">
              <w:rPr>
                <w:bCs/>
                <w:sz w:val="20"/>
                <w:szCs w:val="20"/>
              </w:rPr>
              <w:t> </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2638A251" w14:textId="77777777" w:rsidR="00387142" w:rsidRPr="008B6A75" w:rsidRDefault="00387142" w:rsidP="00387142">
            <w:pPr>
              <w:jc w:val="right"/>
              <w:rPr>
                <w:bCs/>
                <w:sz w:val="20"/>
                <w:szCs w:val="20"/>
              </w:rPr>
            </w:pPr>
            <w:r w:rsidRPr="008B6A75">
              <w:rPr>
                <w:bCs/>
                <w:sz w:val="20"/>
                <w:szCs w:val="20"/>
              </w:rPr>
              <w:t>420 500,00</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65B7C761" w14:textId="77777777" w:rsidR="00387142" w:rsidRPr="008B6A75" w:rsidRDefault="00387142" w:rsidP="00387142">
            <w:pPr>
              <w:jc w:val="right"/>
              <w:rPr>
                <w:bCs/>
                <w:sz w:val="20"/>
                <w:szCs w:val="20"/>
              </w:rPr>
            </w:pPr>
            <w:r w:rsidRPr="008B6A75">
              <w:rPr>
                <w:bCs/>
                <w:sz w:val="20"/>
                <w:szCs w:val="20"/>
              </w:rPr>
              <w:t>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5668B8CA" w14:textId="77777777" w:rsidR="00387142" w:rsidRPr="008B6A75" w:rsidRDefault="00387142" w:rsidP="00387142">
            <w:pPr>
              <w:jc w:val="right"/>
              <w:rPr>
                <w:bCs/>
                <w:sz w:val="20"/>
                <w:szCs w:val="20"/>
              </w:rPr>
            </w:pPr>
            <w:r w:rsidRPr="008B6A75">
              <w:rPr>
                <w:bCs/>
                <w:sz w:val="20"/>
                <w:szCs w:val="20"/>
              </w:rPr>
              <w:t>0,00</w:t>
            </w:r>
          </w:p>
        </w:tc>
        <w:tc>
          <w:tcPr>
            <w:tcW w:w="222" w:type="dxa"/>
            <w:vAlign w:val="center"/>
            <w:hideMark/>
          </w:tcPr>
          <w:p w14:paraId="0A861473" w14:textId="77777777" w:rsidR="00387142" w:rsidRPr="008B6A75" w:rsidRDefault="00387142" w:rsidP="00387142">
            <w:pPr>
              <w:rPr>
                <w:sz w:val="20"/>
                <w:szCs w:val="20"/>
              </w:rPr>
            </w:pPr>
          </w:p>
        </w:tc>
      </w:tr>
      <w:tr w:rsidR="00387142" w:rsidRPr="008B6A75" w14:paraId="62559325" w14:textId="77777777" w:rsidTr="00387142">
        <w:trPr>
          <w:trHeight w:val="870"/>
        </w:trPr>
        <w:tc>
          <w:tcPr>
            <w:tcW w:w="3021" w:type="dxa"/>
            <w:tcBorders>
              <w:top w:val="single" w:sz="4" w:space="0" w:color="auto"/>
              <w:left w:val="single" w:sz="4" w:space="0" w:color="auto"/>
              <w:bottom w:val="nil"/>
              <w:right w:val="nil"/>
            </w:tcBorders>
            <w:shd w:val="clear" w:color="auto" w:fill="auto"/>
            <w:vAlign w:val="center"/>
            <w:hideMark/>
          </w:tcPr>
          <w:p w14:paraId="10550EFD" w14:textId="77777777" w:rsidR="00387142" w:rsidRPr="008B6A75" w:rsidRDefault="00387142" w:rsidP="00387142">
            <w:pPr>
              <w:rPr>
                <w:sz w:val="20"/>
                <w:szCs w:val="20"/>
              </w:rPr>
            </w:pPr>
            <w:r w:rsidRPr="008B6A75">
              <w:rPr>
                <w:sz w:val="20"/>
                <w:szCs w:val="20"/>
              </w:rPr>
              <w:t>Предоставление субсидий бюджетным, автономным учреждениям и иным некоммерческим организациям</w:t>
            </w:r>
          </w:p>
        </w:tc>
        <w:tc>
          <w:tcPr>
            <w:tcW w:w="850" w:type="dxa"/>
            <w:tcBorders>
              <w:top w:val="single" w:sz="4" w:space="0" w:color="auto"/>
              <w:left w:val="single" w:sz="4" w:space="0" w:color="auto"/>
              <w:bottom w:val="nil"/>
              <w:right w:val="nil"/>
            </w:tcBorders>
            <w:shd w:val="clear" w:color="auto" w:fill="auto"/>
            <w:noWrap/>
            <w:vAlign w:val="center"/>
            <w:hideMark/>
          </w:tcPr>
          <w:p w14:paraId="2A2CC6CB" w14:textId="77777777" w:rsidR="00387142" w:rsidRPr="008B6A75" w:rsidRDefault="00387142" w:rsidP="00387142">
            <w:pPr>
              <w:jc w:val="center"/>
              <w:rPr>
                <w:sz w:val="20"/>
                <w:szCs w:val="20"/>
              </w:rPr>
            </w:pPr>
            <w:r w:rsidRPr="008B6A75">
              <w:rPr>
                <w:sz w:val="20"/>
                <w:szCs w:val="20"/>
              </w:rPr>
              <w:t>444</w:t>
            </w:r>
          </w:p>
        </w:tc>
        <w:tc>
          <w:tcPr>
            <w:tcW w:w="709" w:type="dxa"/>
            <w:tcBorders>
              <w:top w:val="single" w:sz="4" w:space="0" w:color="auto"/>
              <w:left w:val="single" w:sz="4" w:space="0" w:color="auto"/>
              <w:bottom w:val="nil"/>
              <w:right w:val="nil"/>
            </w:tcBorders>
            <w:shd w:val="clear" w:color="auto" w:fill="auto"/>
            <w:noWrap/>
            <w:vAlign w:val="center"/>
            <w:hideMark/>
          </w:tcPr>
          <w:p w14:paraId="12D32D25" w14:textId="77777777" w:rsidR="00387142" w:rsidRPr="008B6A75" w:rsidRDefault="00387142" w:rsidP="00387142">
            <w:pPr>
              <w:jc w:val="center"/>
              <w:rPr>
                <w:sz w:val="20"/>
                <w:szCs w:val="20"/>
              </w:rPr>
            </w:pPr>
            <w:r w:rsidRPr="008B6A75">
              <w:rPr>
                <w:sz w:val="20"/>
                <w:szCs w:val="20"/>
              </w:rPr>
              <w:t>10</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4A779E49" w14:textId="77777777" w:rsidR="00387142" w:rsidRPr="008B6A75" w:rsidRDefault="00387142" w:rsidP="00387142">
            <w:pPr>
              <w:jc w:val="center"/>
              <w:rPr>
                <w:sz w:val="20"/>
                <w:szCs w:val="20"/>
              </w:rPr>
            </w:pPr>
            <w:r w:rsidRPr="008B6A75">
              <w:rPr>
                <w:sz w:val="20"/>
                <w:szCs w:val="20"/>
              </w:rPr>
              <w:t>02</w:t>
            </w:r>
          </w:p>
        </w:tc>
        <w:tc>
          <w:tcPr>
            <w:tcW w:w="1411" w:type="dxa"/>
            <w:tcBorders>
              <w:top w:val="single" w:sz="4" w:space="0" w:color="auto"/>
              <w:left w:val="single" w:sz="4" w:space="0" w:color="auto"/>
              <w:bottom w:val="nil"/>
              <w:right w:val="nil"/>
            </w:tcBorders>
            <w:shd w:val="clear" w:color="auto" w:fill="auto"/>
            <w:noWrap/>
            <w:vAlign w:val="center"/>
            <w:hideMark/>
          </w:tcPr>
          <w:p w14:paraId="6A00390C" w14:textId="77777777" w:rsidR="00387142" w:rsidRPr="008B6A75" w:rsidRDefault="00387142" w:rsidP="00387142">
            <w:pPr>
              <w:jc w:val="center"/>
              <w:rPr>
                <w:sz w:val="20"/>
                <w:szCs w:val="20"/>
              </w:rPr>
            </w:pPr>
            <w:r w:rsidRPr="008B6A75">
              <w:rPr>
                <w:sz w:val="20"/>
                <w:szCs w:val="20"/>
              </w:rPr>
              <w:t>30.0.00.10950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25997C18" w14:textId="77777777" w:rsidR="00387142" w:rsidRPr="008B6A75" w:rsidRDefault="00387142" w:rsidP="00387142">
            <w:pPr>
              <w:jc w:val="center"/>
              <w:rPr>
                <w:sz w:val="20"/>
                <w:szCs w:val="20"/>
              </w:rPr>
            </w:pPr>
            <w:r w:rsidRPr="008B6A75">
              <w:rPr>
                <w:sz w:val="20"/>
                <w:szCs w:val="20"/>
              </w:rPr>
              <w:t>600</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0C3A6C6E" w14:textId="77777777" w:rsidR="00387142" w:rsidRPr="008B6A75" w:rsidRDefault="00387142" w:rsidP="00387142">
            <w:pPr>
              <w:jc w:val="right"/>
              <w:rPr>
                <w:sz w:val="20"/>
                <w:szCs w:val="20"/>
              </w:rPr>
            </w:pPr>
            <w:r w:rsidRPr="008B6A75">
              <w:rPr>
                <w:sz w:val="20"/>
                <w:szCs w:val="20"/>
              </w:rPr>
              <w:t>420 500,00</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385E64EB" w14:textId="77777777" w:rsidR="00387142" w:rsidRPr="008B6A75" w:rsidRDefault="00387142" w:rsidP="00387142">
            <w:pPr>
              <w:jc w:val="right"/>
              <w:rPr>
                <w:sz w:val="20"/>
                <w:szCs w:val="20"/>
              </w:rPr>
            </w:pPr>
            <w:r w:rsidRPr="008B6A75">
              <w:rPr>
                <w:sz w:val="20"/>
                <w:szCs w:val="20"/>
              </w:rPr>
              <w:t>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1852649D" w14:textId="77777777" w:rsidR="00387142" w:rsidRPr="008B6A75" w:rsidRDefault="00387142" w:rsidP="00387142">
            <w:pPr>
              <w:jc w:val="right"/>
              <w:rPr>
                <w:sz w:val="20"/>
                <w:szCs w:val="20"/>
              </w:rPr>
            </w:pPr>
            <w:r w:rsidRPr="008B6A75">
              <w:rPr>
                <w:sz w:val="20"/>
                <w:szCs w:val="20"/>
              </w:rPr>
              <w:t>0,00</w:t>
            </w:r>
          </w:p>
        </w:tc>
        <w:tc>
          <w:tcPr>
            <w:tcW w:w="222" w:type="dxa"/>
            <w:vAlign w:val="center"/>
            <w:hideMark/>
          </w:tcPr>
          <w:p w14:paraId="2BEA9B53" w14:textId="77777777" w:rsidR="00387142" w:rsidRPr="008B6A75" w:rsidRDefault="00387142" w:rsidP="00387142">
            <w:pPr>
              <w:rPr>
                <w:sz w:val="20"/>
                <w:szCs w:val="20"/>
              </w:rPr>
            </w:pPr>
          </w:p>
        </w:tc>
      </w:tr>
      <w:tr w:rsidR="00387142" w:rsidRPr="008B6A75" w14:paraId="7FBEA363" w14:textId="77777777" w:rsidTr="00387142">
        <w:trPr>
          <w:trHeight w:val="300"/>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07FAE409" w14:textId="77777777" w:rsidR="00387142" w:rsidRPr="008B6A75" w:rsidRDefault="00387142" w:rsidP="00387142">
            <w:pPr>
              <w:rPr>
                <w:sz w:val="20"/>
                <w:szCs w:val="20"/>
              </w:rPr>
            </w:pPr>
            <w:r w:rsidRPr="008B6A75">
              <w:rPr>
                <w:sz w:val="20"/>
                <w:szCs w:val="20"/>
              </w:rPr>
              <w:t>Субсидии бюджетным учреждениям</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3F0AEED5" w14:textId="77777777" w:rsidR="00387142" w:rsidRPr="008B6A75" w:rsidRDefault="00387142" w:rsidP="00387142">
            <w:pPr>
              <w:jc w:val="center"/>
              <w:rPr>
                <w:sz w:val="20"/>
                <w:szCs w:val="20"/>
              </w:rPr>
            </w:pPr>
            <w:r w:rsidRPr="008B6A75">
              <w:rPr>
                <w:sz w:val="20"/>
                <w:szCs w:val="20"/>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217938BF" w14:textId="77777777" w:rsidR="00387142" w:rsidRPr="008B6A75" w:rsidRDefault="00387142" w:rsidP="00387142">
            <w:pPr>
              <w:jc w:val="center"/>
              <w:rPr>
                <w:sz w:val="20"/>
                <w:szCs w:val="20"/>
              </w:rPr>
            </w:pPr>
            <w:r w:rsidRPr="008B6A75">
              <w:rPr>
                <w:sz w:val="20"/>
                <w:szCs w:val="20"/>
              </w:rPr>
              <w:t>10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82C949" w14:textId="77777777" w:rsidR="00387142" w:rsidRPr="008B6A75" w:rsidRDefault="00387142" w:rsidP="00387142">
            <w:pPr>
              <w:jc w:val="center"/>
              <w:rPr>
                <w:sz w:val="20"/>
                <w:szCs w:val="20"/>
              </w:rPr>
            </w:pPr>
            <w:r w:rsidRPr="008B6A75">
              <w:rPr>
                <w:sz w:val="20"/>
                <w:szCs w:val="20"/>
              </w:rPr>
              <w:t>02</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2E70BD74" w14:textId="77777777" w:rsidR="00387142" w:rsidRPr="008B6A75" w:rsidRDefault="00387142" w:rsidP="00387142">
            <w:pPr>
              <w:jc w:val="center"/>
              <w:rPr>
                <w:sz w:val="20"/>
                <w:szCs w:val="20"/>
              </w:rPr>
            </w:pPr>
            <w:r w:rsidRPr="008B6A75">
              <w:rPr>
                <w:sz w:val="20"/>
                <w:szCs w:val="20"/>
              </w:rPr>
              <w:t>30.0.00.10950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20CD01" w14:textId="77777777" w:rsidR="00387142" w:rsidRPr="008B6A75" w:rsidRDefault="00387142" w:rsidP="00387142">
            <w:pPr>
              <w:jc w:val="center"/>
              <w:rPr>
                <w:sz w:val="20"/>
                <w:szCs w:val="20"/>
              </w:rPr>
            </w:pPr>
            <w:r w:rsidRPr="008B6A75">
              <w:rPr>
                <w:sz w:val="20"/>
                <w:szCs w:val="20"/>
              </w:rPr>
              <w:t>610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656C3E" w14:textId="77777777" w:rsidR="00387142" w:rsidRPr="008B6A75" w:rsidRDefault="00387142" w:rsidP="00387142">
            <w:pPr>
              <w:jc w:val="right"/>
              <w:rPr>
                <w:sz w:val="20"/>
                <w:szCs w:val="20"/>
              </w:rPr>
            </w:pPr>
            <w:r w:rsidRPr="008B6A75">
              <w:rPr>
                <w:sz w:val="20"/>
                <w:szCs w:val="20"/>
              </w:rPr>
              <w:t>420 500,00</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04F647F1" w14:textId="77777777" w:rsidR="00387142" w:rsidRPr="008B6A75" w:rsidRDefault="00387142" w:rsidP="00387142">
            <w:pPr>
              <w:jc w:val="right"/>
              <w:rPr>
                <w:sz w:val="20"/>
                <w:szCs w:val="20"/>
              </w:rPr>
            </w:pPr>
            <w:r w:rsidRPr="008B6A75">
              <w:rPr>
                <w:sz w:val="20"/>
                <w:szCs w:val="20"/>
              </w:rPr>
              <w:t>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328B9D" w14:textId="77777777" w:rsidR="00387142" w:rsidRPr="008B6A75" w:rsidRDefault="00387142" w:rsidP="00387142">
            <w:pPr>
              <w:jc w:val="right"/>
              <w:rPr>
                <w:sz w:val="20"/>
                <w:szCs w:val="20"/>
              </w:rPr>
            </w:pPr>
            <w:r w:rsidRPr="008B6A75">
              <w:rPr>
                <w:sz w:val="20"/>
                <w:szCs w:val="20"/>
              </w:rPr>
              <w:t>0,00</w:t>
            </w:r>
          </w:p>
        </w:tc>
        <w:tc>
          <w:tcPr>
            <w:tcW w:w="222" w:type="dxa"/>
            <w:vAlign w:val="center"/>
            <w:hideMark/>
          </w:tcPr>
          <w:p w14:paraId="69230689" w14:textId="77777777" w:rsidR="00387142" w:rsidRPr="008B6A75" w:rsidRDefault="00387142" w:rsidP="00387142">
            <w:pPr>
              <w:rPr>
                <w:sz w:val="20"/>
                <w:szCs w:val="20"/>
              </w:rPr>
            </w:pPr>
          </w:p>
        </w:tc>
      </w:tr>
      <w:tr w:rsidR="00387142" w:rsidRPr="008B6A75" w14:paraId="470594D9" w14:textId="77777777" w:rsidTr="00387142">
        <w:trPr>
          <w:trHeight w:val="300"/>
        </w:trPr>
        <w:tc>
          <w:tcPr>
            <w:tcW w:w="3021" w:type="dxa"/>
            <w:tcBorders>
              <w:top w:val="nil"/>
              <w:left w:val="single" w:sz="4" w:space="0" w:color="auto"/>
              <w:bottom w:val="nil"/>
              <w:right w:val="nil"/>
            </w:tcBorders>
            <w:shd w:val="clear" w:color="auto" w:fill="auto"/>
            <w:vAlign w:val="center"/>
            <w:hideMark/>
          </w:tcPr>
          <w:p w14:paraId="4F8F0333" w14:textId="77777777" w:rsidR="00387142" w:rsidRPr="008B6A75" w:rsidRDefault="00387142" w:rsidP="00387142">
            <w:pPr>
              <w:rPr>
                <w:bCs/>
                <w:sz w:val="20"/>
                <w:szCs w:val="20"/>
              </w:rPr>
            </w:pPr>
            <w:r w:rsidRPr="008B6A75">
              <w:rPr>
                <w:bCs/>
                <w:sz w:val="20"/>
                <w:szCs w:val="20"/>
              </w:rPr>
              <w:t>Непрограммные направления бюджета</w:t>
            </w:r>
          </w:p>
        </w:tc>
        <w:tc>
          <w:tcPr>
            <w:tcW w:w="850" w:type="dxa"/>
            <w:tcBorders>
              <w:top w:val="nil"/>
              <w:left w:val="single" w:sz="4" w:space="0" w:color="auto"/>
              <w:bottom w:val="nil"/>
              <w:right w:val="nil"/>
            </w:tcBorders>
            <w:shd w:val="clear" w:color="auto" w:fill="auto"/>
            <w:noWrap/>
            <w:vAlign w:val="center"/>
            <w:hideMark/>
          </w:tcPr>
          <w:p w14:paraId="3C7AADA5" w14:textId="77777777" w:rsidR="00387142" w:rsidRPr="008B6A75" w:rsidRDefault="00387142" w:rsidP="00387142">
            <w:pPr>
              <w:jc w:val="center"/>
              <w:rPr>
                <w:bCs/>
                <w:sz w:val="20"/>
                <w:szCs w:val="20"/>
              </w:rPr>
            </w:pPr>
            <w:r w:rsidRPr="008B6A75">
              <w:rPr>
                <w:bCs/>
                <w:sz w:val="20"/>
                <w:szCs w:val="20"/>
              </w:rPr>
              <w:t>444</w:t>
            </w:r>
          </w:p>
        </w:tc>
        <w:tc>
          <w:tcPr>
            <w:tcW w:w="709" w:type="dxa"/>
            <w:tcBorders>
              <w:top w:val="nil"/>
              <w:left w:val="single" w:sz="4" w:space="0" w:color="auto"/>
              <w:bottom w:val="nil"/>
              <w:right w:val="nil"/>
            </w:tcBorders>
            <w:shd w:val="clear" w:color="auto" w:fill="auto"/>
            <w:noWrap/>
            <w:vAlign w:val="center"/>
            <w:hideMark/>
          </w:tcPr>
          <w:p w14:paraId="49645EEB" w14:textId="77777777" w:rsidR="00387142" w:rsidRPr="008B6A75" w:rsidRDefault="00387142" w:rsidP="00387142">
            <w:pPr>
              <w:jc w:val="center"/>
              <w:rPr>
                <w:bCs/>
                <w:sz w:val="20"/>
                <w:szCs w:val="20"/>
              </w:rPr>
            </w:pPr>
            <w:r w:rsidRPr="008B6A75">
              <w:rPr>
                <w:bCs/>
                <w:sz w:val="20"/>
                <w:szCs w:val="20"/>
              </w:rPr>
              <w:t>10</w:t>
            </w:r>
          </w:p>
        </w:tc>
        <w:tc>
          <w:tcPr>
            <w:tcW w:w="709" w:type="dxa"/>
            <w:tcBorders>
              <w:top w:val="nil"/>
              <w:left w:val="single" w:sz="4" w:space="0" w:color="auto"/>
              <w:bottom w:val="nil"/>
              <w:right w:val="single" w:sz="4" w:space="0" w:color="auto"/>
            </w:tcBorders>
            <w:shd w:val="clear" w:color="auto" w:fill="auto"/>
            <w:noWrap/>
            <w:vAlign w:val="center"/>
            <w:hideMark/>
          </w:tcPr>
          <w:p w14:paraId="2A9A3E41" w14:textId="77777777" w:rsidR="00387142" w:rsidRPr="008B6A75" w:rsidRDefault="00387142" w:rsidP="00387142">
            <w:pPr>
              <w:jc w:val="center"/>
              <w:rPr>
                <w:bCs/>
                <w:sz w:val="20"/>
                <w:szCs w:val="20"/>
              </w:rPr>
            </w:pPr>
            <w:r w:rsidRPr="008B6A75">
              <w:rPr>
                <w:bCs/>
                <w:sz w:val="20"/>
                <w:szCs w:val="20"/>
              </w:rPr>
              <w:t>02</w:t>
            </w:r>
          </w:p>
        </w:tc>
        <w:tc>
          <w:tcPr>
            <w:tcW w:w="1411" w:type="dxa"/>
            <w:tcBorders>
              <w:top w:val="nil"/>
              <w:left w:val="single" w:sz="4" w:space="0" w:color="auto"/>
              <w:bottom w:val="nil"/>
              <w:right w:val="nil"/>
            </w:tcBorders>
            <w:shd w:val="clear" w:color="auto" w:fill="auto"/>
            <w:noWrap/>
            <w:vAlign w:val="center"/>
            <w:hideMark/>
          </w:tcPr>
          <w:p w14:paraId="7A531821" w14:textId="77777777" w:rsidR="00387142" w:rsidRPr="008B6A75" w:rsidRDefault="00387142" w:rsidP="00387142">
            <w:pPr>
              <w:jc w:val="center"/>
              <w:rPr>
                <w:bCs/>
                <w:sz w:val="20"/>
                <w:szCs w:val="20"/>
              </w:rPr>
            </w:pPr>
            <w:r w:rsidRPr="008B6A75">
              <w:rPr>
                <w:bCs/>
                <w:sz w:val="20"/>
                <w:szCs w:val="20"/>
              </w:rPr>
              <w:t>99.0.00.00000</w:t>
            </w:r>
          </w:p>
        </w:tc>
        <w:tc>
          <w:tcPr>
            <w:tcW w:w="955" w:type="dxa"/>
            <w:tcBorders>
              <w:top w:val="nil"/>
              <w:left w:val="single" w:sz="4" w:space="0" w:color="auto"/>
              <w:bottom w:val="nil"/>
              <w:right w:val="single" w:sz="4" w:space="0" w:color="auto"/>
            </w:tcBorders>
            <w:shd w:val="clear" w:color="auto" w:fill="auto"/>
            <w:noWrap/>
            <w:vAlign w:val="center"/>
            <w:hideMark/>
          </w:tcPr>
          <w:p w14:paraId="60D1A5FE"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nil"/>
              <w:right w:val="single" w:sz="4" w:space="0" w:color="auto"/>
            </w:tcBorders>
            <w:shd w:val="clear" w:color="auto" w:fill="auto"/>
            <w:noWrap/>
            <w:vAlign w:val="center"/>
            <w:hideMark/>
          </w:tcPr>
          <w:p w14:paraId="65D9F2CA" w14:textId="77777777" w:rsidR="00387142" w:rsidRPr="008B6A75" w:rsidRDefault="00387142" w:rsidP="00387142">
            <w:pPr>
              <w:jc w:val="right"/>
              <w:rPr>
                <w:bCs/>
                <w:sz w:val="20"/>
                <w:szCs w:val="20"/>
              </w:rPr>
            </w:pPr>
            <w:r w:rsidRPr="008B6A75">
              <w:rPr>
                <w:bCs/>
                <w:sz w:val="20"/>
                <w:szCs w:val="20"/>
              </w:rPr>
              <w:t>87 896 035,44</w:t>
            </w:r>
          </w:p>
        </w:tc>
        <w:tc>
          <w:tcPr>
            <w:tcW w:w="992" w:type="dxa"/>
            <w:gridSpan w:val="2"/>
            <w:tcBorders>
              <w:top w:val="nil"/>
              <w:left w:val="single" w:sz="4" w:space="0" w:color="auto"/>
              <w:bottom w:val="nil"/>
              <w:right w:val="nil"/>
            </w:tcBorders>
            <w:shd w:val="clear" w:color="auto" w:fill="auto"/>
            <w:noWrap/>
            <w:vAlign w:val="center"/>
            <w:hideMark/>
          </w:tcPr>
          <w:p w14:paraId="75441056" w14:textId="77777777" w:rsidR="00387142" w:rsidRPr="008B6A75" w:rsidRDefault="00387142" w:rsidP="00387142">
            <w:pPr>
              <w:jc w:val="right"/>
              <w:rPr>
                <w:bCs/>
                <w:sz w:val="20"/>
                <w:szCs w:val="20"/>
              </w:rPr>
            </w:pPr>
            <w:r w:rsidRPr="008B6A75">
              <w:rPr>
                <w:bCs/>
                <w:sz w:val="20"/>
                <w:szCs w:val="20"/>
              </w:rPr>
              <w:t>85 514 000,00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4F33B518" w14:textId="77777777" w:rsidR="00387142" w:rsidRPr="008B6A75" w:rsidRDefault="00387142" w:rsidP="00387142">
            <w:pPr>
              <w:jc w:val="right"/>
              <w:rPr>
                <w:bCs/>
                <w:sz w:val="20"/>
                <w:szCs w:val="20"/>
              </w:rPr>
            </w:pPr>
            <w:r w:rsidRPr="008B6A75">
              <w:rPr>
                <w:bCs/>
                <w:sz w:val="20"/>
                <w:szCs w:val="20"/>
              </w:rPr>
              <w:t>92 131 604,01</w:t>
            </w:r>
          </w:p>
        </w:tc>
        <w:tc>
          <w:tcPr>
            <w:tcW w:w="222" w:type="dxa"/>
            <w:vAlign w:val="center"/>
            <w:hideMark/>
          </w:tcPr>
          <w:p w14:paraId="0DB72B52" w14:textId="77777777" w:rsidR="00387142" w:rsidRPr="008B6A75" w:rsidRDefault="00387142" w:rsidP="00387142">
            <w:pPr>
              <w:rPr>
                <w:sz w:val="20"/>
                <w:szCs w:val="20"/>
              </w:rPr>
            </w:pPr>
          </w:p>
        </w:tc>
      </w:tr>
      <w:tr w:rsidR="00387142" w:rsidRPr="008B6A75" w14:paraId="43A031EE" w14:textId="77777777" w:rsidTr="00387142">
        <w:trPr>
          <w:trHeight w:val="300"/>
        </w:trPr>
        <w:tc>
          <w:tcPr>
            <w:tcW w:w="3021" w:type="dxa"/>
            <w:tcBorders>
              <w:top w:val="single" w:sz="4" w:space="0" w:color="auto"/>
              <w:left w:val="single" w:sz="4" w:space="0" w:color="auto"/>
              <w:bottom w:val="nil"/>
              <w:right w:val="nil"/>
            </w:tcBorders>
            <w:shd w:val="clear" w:color="auto" w:fill="auto"/>
            <w:vAlign w:val="center"/>
            <w:hideMark/>
          </w:tcPr>
          <w:p w14:paraId="3C2C1B2E" w14:textId="77777777" w:rsidR="00387142" w:rsidRPr="008B6A75" w:rsidRDefault="00387142" w:rsidP="00387142">
            <w:pPr>
              <w:rPr>
                <w:bCs/>
                <w:sz w:val="20"/>
                <w:szCs w:val="20"/>
              </w:rPr>
            </w:pPr>
            <w:r w:rsidRPr="008B6A75">
              <w:rPr>
                <w:bCs/>
                <w:sz w:val="20"/>
                <w:szCs w:val="20"/>
              </w:rPr>
              <w:t>Резервные фонды местного бюджета</w:t>
            </w:r>
          </w:p>
        </w:tc>
        <w:tc>
          <w:tcPr>
            <w:tcW w:w="850" w:type="dxa"/>
            <w:tcBorders>
              <w:top w:val="single" w:sz="4" w:space="0" w:color="auto"/>
              <w:left w:val="single" w:sz="4" w:space="0" w:color="auto"/>
              <w:bottom w:val="nil"/>
              <w:right w:val="nil"/>
            </w:tcBorders>
            <w:shd w:val="clear" w:color="auto" w:fill="auto"/>
            <w:noWrap/>
            <w:vAlign w:val="center"/>
            <w:hideMark/>
          </w:tcPr>
          <w:p w14:paraId="031B7F18" w14:textId="77777777" w:rsidR="00387142" w:rsidRPr="008B6A75" w:rsidRDefault="00387142" w:rsidP="00387142">
            <w:pPr>
              <w:jc w:val="center"/>
              <w:rPr>
                <w:bCs/>
                <w:sz w:val="20"/>
                <w:szCs w:val="20"/>
              </w:rPr>
            </w:pPr>
            <w:r w:rsidRPr="008B6A75">
              <w:rPr>
                <w:bCs/>
                <w:sz w:val="20"/>
                <w:szCs w:val="20"/>
              </w:rPr>
              <w:t>444</w:t>
            </w:r>
          </w:p>
        </w:tc>
        <w:tc>
          <w:tcPr>
            <w:tcW w:w="709" w:type="dxa"/>
            <w:tcBorders>
              <w:top w:val="single" w:sz="4" w:space="0" w:color="auto"/>
              <w:left w:val="single" w:sz="4" w:space="0" w:color="auto"/>
              <w:bottom w:val="nil"/>
              <w:right w:val="nil"/>
            </w:tcBorders>
            <w:shd w:val="clear" w:color="auto" w:fill="auto"/>
            <w:noWrap/>
            <w:vAlign w:val="center"/>
            <w:hideMark/>
          </w:tcPr>
          <w:p w14:paraId="50E764DB" w14:textId="77777777" w:rsidR="00387142" w:rsidRPr="008B6A75" w:rsidRDefault="00387142" w:rsidP="00387142">
            <w:pPr>
              <w:jc w:val="center"/>
              <w:rPr>
                <w:bCs/>
                <w:sz w:val="20"/>
                <w:szCs w:val="20"/>
              </w:rPr>
            </w:pPr>
            <w:r w:rsidRPr="008B6A75">
              <w:rPr>
                <w:bCs/>
                <w:sz w:val="20"/>
                <w:szCs w:val="20"/>
              </w:rPr>
              <w:t>10</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5814F4AF" w14:textId="77777777" w:rsidR="00387142" w:rsidRPr="008B6A75" w:rsidRDefault="00387142" w:rsidP="00387142">
            <w:pPr>
              <w:jc w:val="center"/>
              <w:rPr>
                <w:bCs/>
                <w:sz w:val="20"/>
                <w:szCs w:val="20"/>
              </w:rPr>
            </w:pPr>
            <w:r w:rsidRPr="008B6A75">
              <w:rPr>
                <w:bCs/>
                <w:sz w:val="20"/>
                <w:szCs w:val="20"/>
              </w:rPr>
              <w:t>02</w:t>
            </w:r>
          </w:p>
        </w:tc>
        <w:tc>
          <w:tcPr>
            <w:tcW w:w="1411" w:type="dxa"/>
            <w:tcBorders>
              <w:top w:val="single" w:sz="4" w:space="0" w:color="auto"/>
              <w:left w:val="single" w:sz="4" w:space="0" w:color="auto"/>
              <w:bottom w:val="nil"/>
              <w:right w:val="nil"/>
            </w:tcBorders>
            <w:shd w:val="clear" w:color="auto" w:fill="auto"/>
            <w:noWrap/>
            <w:vAlign w:val="center"/>
            <w:hideMark/>
          </w:tcPr>
          <w:p w14:paraId="36FBC739" w14:textId="77777777" w:rsidR="00387142" w:rsidRPr="008B6A75" w:rsidRDefault="00387142" w:rsidP="00387142">
            <w:pPr>
              <w:jc w:val="center"/>
              <w:rPr>
                <w:bCs/>
                <w:sz w:val="20"/>
                <w:szCs w:val="20"/>
              </w:rPr>
            </w:pPr>
            <w:r w:rsidRPr="008B6A75">
              <w:rPr>
                <w:bCs/>
                <w:sz w:val="20"/>
                <w:szCs w:val="20"/>
              </w:rPr>
              <w:t>99.0.00.01700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7416B3E4" w14:textId="77777777" w:rsidR="00387142" w:rsidRPr="008B6A75" w:rsidRDefault="00387142" w:rsidP="00387142">
            <w:pPr>
              <w:jc w:val="center"/>
              <w:rPr>
                <w:bCs/>
                <w:sz w:val="20"/>
                <w:szCs w:val="20"/>
              </w:rPr>
            </w:pPr>
            <w:r w:rsidRPr="008B6A75">
              <w:rPr>
                <w:bCs/>
                <w:sz w:val="20"/>
                <w:szCs w:val="20"/>
              </w:rPr>
              <w:t> </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26001808" w14:textId="77777777" w:rsidR="00387142" w:rsidRPr="008B6A75" w:rsidRDefault="00387142" w:rsidP="00387142">
            <w:pPr>
              <w:jc w:val="right"/>
              <w:rPr>
                <w:bCs/>
                <w:sz w:val="20"/>
                <w:szCs w:val="20"/>
              </w:rPr>
            </w:pPr>
            <w:r w:rsidRPr="008B6A75">
              <w:rPr>
                <w:bCs/>
                <w:sz w:val="20"/>
                <w:szCs w:val="20"/>
              </w:rPr>
              <w:t>2 067 400,00</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6CA6BB74" w14:textId="77777777" w:rsidR="00387142" w:rsidRPr="008B6A75" w:rsidRDefault="00387142" w:rsidP="00387142">
            <w:pPr>
              <w:jc w:val="right"/>
              <w:rPr>
                <w:bCs/>
                <w:sz w:val="20"/>
                <w:szCs w:val="20"/>
              </w:rPr>
            </w:pPr>
            <w:r w:rsidRPr="008B6A75">
              <w:rPr>
                <w:bCs/>
                <w:sz w:val="20"/>
                <w:szCs w:val="20"/>
              </w:rPr>
              <w:t>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53723518" w14:textId="77777777" w:rsidR="00387142" w:rsidRPr="008B6A75" w:rsidRDefault="00387142" w:rsidP="00387142">
            <w:pPr>
              <w:jc w:val="right"/>
              <w:rPr>
                <w:bCs/>
                <w:sz w:val="20"/>
                <w:szCs w:val="20"/>
              </w:rPr>
            </w:pPr>
            <w:r w:rsidRPr="008B6A75">
              <w:rPr>
                <w:bCs/>
                <w:sz w:val="20"/>
                <w:szCs w:val="20"/>
              </w:rPr>
              <w:t>0,00</w:t>
            </w:r>
          </w:p>
        </w:tc>
        <w:tc>
          <w:tcPr>
            <w:tcW w:w="222" w:type="dxa"/>
            <w:vAlign w:val="center"/>
            <w:hideMark/>
          </w:tcPr>
          <w:p w14:paraId="5F6BBF8B" w14:textId="77777777" w:rsidR="00387142" w:rsidRPr="008B6A75" w:rsidRDefault="00387142" w:rsidP="00387142">
            <w:pPr>
              <w:rPr>
                <w:sz w:val="20"/>
                <w:szCs w:val="20"/>
              </w:rPr>
            </w:pPr>
          </w:p>
        </w:tc>
      </w:tr>
      <w:tr w:rsidR="00387142" w:rsidRPr="008B6A75" w14:paraId="028C403B" w14:textId="77777777" w:rsidTr="00387142">
        <w:trPr>
          <w:trHeight w:val="870"/>
        </w:trPr>
        <w:tc>
          <w:tcPr>
            <w:tcW w:w="3021" w:type="dxa"/>
            <w:tcBorders>
              <w:top w:val="single" w:sz="4" w:space="0" w:color="auto"/>
              <w:left w:val="single" w:sz="4" w:space="0" w:color="auto"/>
              <w:bottom w:val="nil"/>
              <w:right w:val="nil"/>
            </w:tcBorders>
            <w:shd w:val="clear" w:color="auto" w:fill="auto"/>
            <w:vAlign w:val="center"/>
            <w:hideMark/>
          </w:tcPr>
          <w:p w14:paraId="73A849A8" w14:textId="77777777" w:rsidR="00387142" w:rsidRPr="008B6A75" w:rsidRDefault="00387142" w:rsidP="00387142">
            <w:pPr>
              <w:rPr>
                <w:sz w:val="20"/>
                <w:szCs w:val="20"/>
              </w:rPr>
            </w:pPr>
            <w:r w:rsidRPr="008B6A75">
              <w:rPr>
                <w:sz w:val="20"/>
                <w:szCs w:val="20"/>
              </w:rPr>
              <w:t>Предоставление субсидий бюджетным, автономным учреждениям и иным некоммерческим организациям</w:t>
            </w:r>
          </w:p>
        </w:tc>
        <w:tc>
          <w:tcPr>
            <w:tcW w:w="850" w:type="dxa"/>
            <w:tcBorders>
              <w:top w:val="single" w:sz="4" w:space="0" w:color="auto"/>
              <w:left w:val="single" w:sz="4" w:space="0" w:color="auto"/>
              <w:bottom w:val="nil"/>
              <w:right w:val="nil"/>
            </w:tcBorders>
            <w:shd w:val="clear" w:color="auto" w:fill="auto"/>
            <w:noWrap/>
            <w:vAlign w:val="center"/>
            <w:hideMark/>
          </w:tcPr>
          <w:p w14:paraId="1A1E95D7" w14:textId="77777777" w:rsidR="00387142" w:rsidRPr="008B6A75" w:rsidRDefault="00387142" w:rsidP="00387142">
            <w:pPr>
              <w:jc w:val="center"/>
              <w:rPr>
                <w:sz w:val="20"/>
                <w:szCs w:val="20"/>
              </w:rPr>
            </w:pPr>
            <w:r w:rsidRPr="008B6A75">
              <w:rPr>
                <w:sz w:val="20"/>
                <w:szCs w:val="20"/>
              </w:rPr>
              <w:t>444</w:t>
            </w:r>
          </w:p>
        </w:tc>
        <w:tc>
          <w:tcPr>
            <w:tcW w:w="709" w:type="dxa"/>
            <w:tcBorders>
              <w:top w:val="single" w:sz="4" w:space="0" w:color="auto"/>
              <w:left w:val="single" w:sz="4" w:space="0" w:color="auto"/>
              <w:bottom w:val="nil"/>
              <w:right w:val="nil"/>
            </w:tcBorders>
            <w:shd w:val="clear" w:color="auto" w:fill="auto"/>
            <w:noWrap/>
            <w:vAlign w:val="center"/>
            <w:hideMark/>
          </w:tcPr>
          <w:p w14:paraId="22670A7C" w14:textId="77777777" w:rsidR="00387142" w:rsidRPr="008B6A75" w:rsidRDefault="00387142" w:rsidP="00387142">
            <w:pPr>
              <w:jc w:val="center"/>
              <w:rPr>
                <w:sz w:val="20"/>
                <w:szCs w:val="20"/>
              </w:rPr>
            </w:pPr>
            <w:r w:rsidRPr="008B6A75">
              <w:rPr>
                <w:sz w:val="20"/>
                <w:szCs w:val="20"/>
              </w:rPr>
              <w:t>10</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660A056B" w14:textId="77777777" w:rsidR="00387142" w:rsidRPr="008B6A75" w:rsidRDefault="00387142" w:rsidP="00387142">
            <w:pPr>
              <w:jc w:val="center"/>
              <w:rPr>
                <w:sz w:val="20"/>
                <w:szCs w:val="20"/>
              </w:rPr>
            </w:pPr>
            <w:r w:rsidRPr="008B6A75">
              <w:rPr>
                <w:sz w:val="20"/>
                <w:szCs w:val="20"/>
              </w:rPr>
              <w:t>02</w:t>
            </w:r>
          </w:p>
        </w:tc>
        <w:tc>
          <w:tcPr>
            <w:tcW w:w="1411" w:type="dxa"/>
            <w:tcBorders>
              <w:top w:val="single" w:sz="4" w:space="0" w:color="auto"/>
              <w:left w:val="single" w:sz="4" w:space="0" w:color="auto"/>
              <w:bottom w:val="nil"/>
              <w:right w:val="nil"/>
            </w:tcBorders>
            <w:shd w:val="clear" w:color="auto" w:fill="auto"/>
            <w:noWrap/>
            <w:vAlign w:val="center"/>
            <w:hideMark/>
          </w:tcPr>
          <w:p w14:paraId="297ED9ED" w14:textId="77777777" w:rsidR="00387142" w:rsidRPr="008B6A75" w:rsidRDefault="00387142" w:rsidP="00387142">
            <w:pPr>
              <w:jc w:val="center"/>
              <w:rPr>
                <w:sz w:val="20"/>
                <w:szCs w:val="20"/>
              </w:rPr>
            </w:pPr>
            <w:r w:rsidRPr="008B6A75">
              <w:rPr>
                <w:sz w:val="20"/>
                <w:szCs w:val="20"/>
              </w:rPr>
              <w:t>99.0.00.01700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027B1CD6" w14:textId="77777777" w:rsidR="00387142" w:rsidRPr="008B6A75" w:rsidRDefault="00387142" w:rsidP="00387142">
            <w:pPr>
              <w:jc w:val="center"/>
              <w:rPr>
                <w:sz w:val="20"/>
                <w:szCs w:val="20"/>
              </w:rPr>
            </w:pPr>
            <w:r w:rsidRPr="008B6A75">
              <w:rPr>
                <w:sz w:val="20"/>
                <w:szCs w:val="20"/>
              </w:rPr>
              <w:t>600</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480DF903" w14:textId="77777777" w:rsidR="00387142" w:rsidRPr="008B6A75" w:rsidRDefault="00387142" w:rsidP="00387142">
            <w:pPr>
              <w:jc w:val="right"/>
              <w:rPr>
                <w:sz w:val="20"/>
                <w:szCs w:val="20"/>
              </w:rPr>
            </w:pPr>
            <w:r w:rsidRPr="008B6A75">
              <w:rPr>
                <w:sz w:val="20"/>
                <w:szCs w:val="20"/>
              </w:rPr>
              <w:t>2 067 400,00</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5B16B591" w14:textId="77777777" w:rsidR="00387142" w:rsidRPr="008B6A75" w:rsidRDefault="00387142" w:rsidP="00387142">
            <w:pPr>
              <w:jc w:val="right"/>
              <w:rPr>
                <w:sz w:val="20"/>
                <w:szCs w:val="20"/>
              </w:rPr>
            </w:pPr>
            <w:r w:rsidRPr="008B6A75">
              <w:rPr>
                <w:sz w:val="20"/>
                <w:szCs w:val="20"/>
              </w:rPr>
              <w:t>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1140657A" w14:textId="77777777" w:rsidR="00387142" w:rsidRPr="008B6A75" w:rsidRDefault="00387142" w:rsidP="00387142">
            <w:pPr>
              <w:jc w:val="right"/>
              <w:rPr>
                <w:sz w:val="20"/>
                <w:szCs w:val="20"/>
              </w:rPr>
            </w:pPr>
            <w:r w:rsidRPr="008B6A75">
              <w:rPr>
                <w:sz w:val="20"/>
                <w:szCs w:val="20"/>
              </w:rPr>
              <w:t>0,00</w:t>
            </w:r>
          </w:p>
        </w:tc>
        <w:tc>
          <w:tcPr>
            <w:tcW w:w="222" w:type="dxa"/>
            <w:vAlign w:val="center"/>
            <w:hideMark/>
          </w:tcPr>
          <w:p w14:paraId="6E81BF13" w14:textId="77777777" w:rsidR="00387142" w:rsidRPr="008B6A75" w:rsidRDefault="00387142" w:rsidP="00387142">
            <w:pPr>
              <w:rPr>
                <w:sz w:val="20"/>
                <w:szCs w:val="20"/>
              </w:rPr>
            </w:pPr>
          </w:p>
        </w:tc>
      </w:tr>
      <w:tr w:rsidR="00387142" w:rsidRPr="008B6A75" w14:paraId="08A252A7" w14:textId="77777777" w:rsidTr="00387142">
        <w:trPr>
          <w:trHeight w:val="300"/>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5988C284" w14:textId="77777777" w:rsidR="00387142" w:rsidRPr="008B6A75" w:rsidRDefault="00387142" w:rsidP="00387142">
            <w:pPr>
              <w:rPr>
                <w:sz w:val="20"/>
                <w:szCs w:val="20"/>
              </w:rPr>
            </w:pPr>
            <w:r w:rsidRPr="008B6A75">
              <w:rPr>
                <w:sz w:val="20"/>
                <w:szCs w:val="20"/>
              </w:rPr>
              <w:t>Субсидии бюджетным учреждениям</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6E9B2CCD" w14:textId="77777777" w:rsidR="00387142" w:rsidRPr="008B6A75" w:rsidRDefault="00387142" w:rsidP="00387142">
            <w:pPr>
              <w:jc w:val="center"/>
              <w:rPr>
                <w:sz w:val="20"/>
                <w:szCs w:val="20"/>
              </w:rPr>
            </w:pPr>
            <w:r w:rsidRPr="008B6A75">
              <w:rPr>
                <w:sz w:val="20"/>
                <w:szCs w:val="20"/>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5212A610" w14:textId="77777777" w:rsidR="00387142" w:rsidRPr="008B6A75" w:rsidRDefault="00387142" w:rsidP="00387142">
            <w:pPr>
              <w:jc w:val="center"/>
              <w:rPr>
                <w:sz w:val="20"/>
                <w:szCs w:val="20"/>
              </w:rPr>
            </w:pPr>
            <w:r w:rsidRPr="008B6A75">
              <w:rPr>
                <w:sz w:val="20"/>
                <w:szCs w:val="20"/>
              </w:rPr>
              <w:t>10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799BBD" w14:textId="77777777" w:rsidR="00387142" w:rsidRPr="008B6A75" w:rsidRDefault="00387142" w:rsidP="00387142">
            <w:pPr>
              <w:jc w:val="center"/>
              <w:rPr>
                <w:sz w:val="20"/>
                <w:szCs w:val="20"/>
              </w:rPr>
            </w:pPr>
            <w:r w:rsidRPr="008B6A75">
              <w:rPr>
                <w:sz w:val="20"/>
                <w:szCs w:val="20"/>
              </w:rPr>
              <w:t>02</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44587907" w14:textId="77777777" w:rsidR="00387142" w:rsidRPr="008B6A75" w:rsidRDefault="00387142" w:rsidP="00387142">
            <w:pPr>
              <w:jc w:val="center"/>
              <w:rPr>
                <w:sz w:val="20"/>
                <w:szCs w:val="20"/>
              </w:rPr>
            </w:pPr>
            <w:r w:rsidRPr="008B6A75">
              <w:rPr>
                <w:sz w:val="20"/>
                <w:szCs w:val="20"/>
              </w:rPr>
              <w:t>99.0.00.01700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27D371" w14:textId="77777777" w:rsidR="00387142" w:rsidRPr="008B6A75" w:rsidRDefault="00387142" w:rsidP="00387142">
            <w:pPr>
              <w:jc w:val="center"/>
              <w:rPr>
                <w:sz w:val="20"/>
                <w:szCs w:val="20"/>
              </w:rPr>
            </w:pPr>
            <w:r w:rsidRPr="008B6A75">
              <w:rPr>
                <w:sz w:val="20"/>
                <w:szCs w:val="20"/>
              </w:rPr>
              <w:t>610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E75DFB" w14:textId="77777777" w:rsidR="00387142" w:rsidRPr="008B6A75" w:rsidRDefault="00387142" w:rsidP="00387142">
            <w:pPr>
              <w:jc w:val="right"/>
              <w:rPr>
                <w:sz w:val="20"/>
                <w:szCs w:val="20"/>
              </w:rPr>
            </w:pPr>
            <w:r w:rsidRPr="008B6A75">
              <w:rPr>
                <w:sz w:val="20"/>
                <w:szCs w:val="20"/>
              </w:rPr>
              <w:t>2 067 400,00</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2A0D4E69" w14:textId="77777777" w:rsidR="00387142" w:rsidRPr="008B6A75" w:rsidRDefault="00387142" w:rsidP="00387142">
            <w:pPr>
              <w:jc w:val="right"/>
              <w:rPr>
                <w:sz w:val="20"/>
                <w:szCs w:val="20"/>
              </w:rPr>
            </w:pPr>
            <w:r w:rsidRPr="008B6A75">
              <w:rPr>
                <w:sz w:val="20"/>
                <w:szCs w:val="20"/>
              </w:rPr>
              <w:t>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85DF05" w14:textId="77777777" w:rsidR="00387142" w:rsidRPr="008B6A75" w:rsidRDefault="00387142" w:rsidP="00387142">
            <w:pPr>
              <w:jc w:val="right"/>
              <w:rPr>
                <w:sz w:val="20"/>
                <w:szCs w:val="20"/>
              </w:rPr>
            </w:pPr>
            <w:r w:rsidRPr="008B6A75">
              <w:rPr>
                <w:sz w:val="20"/>
                <w:szCs w:val="20"/>
              </w:rPr>
              <w:t>0,00</w:t>
            </w:r>
          </w:p>
        </w:tc>
        <w:tc>
          <w:tcPr>
            <w:tcW w:w="222" w:type="dxa"/>
            <w:vAlign w:val="center"/>
            <w:hideMark/>
          </w:tcPr>
          <w:p w14:paraId="39C9AA98" w14:textId="77777777" w:rsidR="00387142" w:rsidRPr="008B6A75" w:rsidRDefault="00387142" w:rsidP="00387142">
            <w:pPr>
              <w:rPr>
                <w:sz w:val="20"/>
                <w:szCs w:val="20"/>
              </w:rPr>
            </w:pPr>
          </w:p>
        </w:tc>
      </w:tr>
      <w:tr w:rsidR="00387142" w:rsidRPr="008B6A75" w14:paraId="0EFF010A" w14:textId="77777777" w:rsidTr="00387142">
        <w:trPr>
          <w:trHeight w:val="1440"/>
        </w:trPr>
        <w:tc>
          <w:tcPr>
            <w:tcW w:w="3021" w:type="dxa"/>
            <w:tcBorders>
              <w:top w:val="nil"/>
              <w:left w:val="single" w:sz="4" w:space="0" w:color="auto"/>
              <w:bottom w:val="nil"/>
              <w:right w:val="nil"/>
            </w:tcBorders>
            <w:shd w:val="clear" w:color="auto" w:fill="auto"/>
            <w:vAlign w:val="center"/>
            <w:hideMark/>
          </w:tcPr>
          <w:p w14:paraId="56498471" w14:textId="77777777" w:rsidR="00387142" w:rsidRPr="008B6A75" w:rsidRDefault="00387142" w:rsidP="00387142">
            <w:pPr>
              <w:rPr>
                <w:bCs/>
                <w:sz w:val="20"/>
                <w:szCs w:val="20"/>
              </w:rPr>
            </w:pPr>
            <w:r w:rsidRPr="008B6A75">
              <w:rPr>
                <w:bCs/>
                <w:sz w:val="20"/>
                <w:szCs w:val="20"/>
              </w:rPr>
              <w:t>Развитие новых форм и технологий социального обслуживания семей с детьми государственной программы Новосибирской области «Социальная поддержка в Новосибирской области</w:t>
            </w:r>
          </w:p>
        </w:tc>
        <w:tc>
          <w:tcPr>
            <w:tcW w:w="850" w:type="dxa"/>
            <w:tcBorders>
              <w:top w:val="nil"/>
              <w:left w:val="single" w:sz="4" w:space="0" w:color="auto"/>
              <w:bottom w:val="nil"/>
              <w:right w:val="nil"/>
            </w:tcBorders>
            <w:shd w:val="clear" w:color="auto" w:fill="auto"/>
            <w:noWrap/>
            <w:vAlign w:val="center"/>
            <w:hideMark/>
          </w:tcPr>
          <w:p w14:paraId="5D6AD098" w14:textId="77777777" w:rsidR="00387142" w:rsidRPr="008B6A75" w:rsidRDefault="00387142" w:rsidP="00387142">
            <w:pPr>
              <w:jc w:val="center"/>
              <w:rPr>
                <w:bCs/>
                <w:sz w:val="20"/>
                <w:szCs w:val="20"/>
              </w:rPr>
            </w:pPr>
            <w:r w:rsidRPr="008B6A75">
              <w:rPr>
                <w:bCs/>
                <w:sz w:val="20"/>
                <w:szCs w:val="20"/>
              </w:rPr>
              <w:t>444</w:t>
            </w:r>
          </w:p>
        </w:tc>
        <w:tc>
          <w:tcPr>
            <w:tcW w:w="709" w:type="dxa"/>
            <w:tcBorders>
              <w:top w:val="nil"/>
              <w:left w:val="single" w:sz="4" w:space="0" w:color="auto"/>
              <w:bottom w:val="nil"/>
              <w:right w:val="nil"/>
            </w:tcBorders>
            <w:shd w:val="clear" w:color="auto" w:fill="auto"/>
            <w:noWrap/>
            <w:vAlign w:val="center"/>
            <w:hideMark/>
          </w:tcPr>
          <w:p w14:paraId="65D1467C" w14:textId="77777777" w:rsidR="00387142" w:rsidRPr="008B6A75" w:rsidRDefault="00387142" w:rsidP="00387142">
            <w:pPr>
              <w:jc w:val="center"/>
              <w:rPr>
                <w:bCs/>
                <w:sz w:val="20"/>
                <w:szCs w:val="20"/>
              </w:rPr>
            </w:pPr>
            <w:r w:rsidRPr="008B6A75">
              <w:rPr>
                <w:bCs/>
                <w:sz w:val="20"/>
                <w:szCs w:val="20"/>
              </w:rPr>
              <w:t>10</w:t>
            </w:r>
          </w:p>
        </w:tc>
        <w:tc>
          <w:tcPr>
            <w:tcW w:w="709" w:type="dxa"/>
            <w:tcBorders>
              <w:top w:val="nil"/>
              <w:left w:val="single" w:sz="4" w:space="0" w:color="auto"/>
              <w:bottom w:val="nil"/>
              <w:right w:val="single" w:sz="4" w:space="0" w:color="auto"/>
            </w:tcBorders>
            <w:shd w:val="clear" w:color="auto" w:fill="auto"/>
            <w:noWrap/>
            <w:vAlign w:val="center"/>
            <w:hideMark/>
          </w:tcPr>
          <w:p w14:paraId="2889F923" w14:textId="77777777" w:rsidR="00387142" w:rsidRPr="008B6A75" w:rsidRDefault="00387142" w:rsidP="00387142">
            <w:pPr>
              <w:jc w:val="center"/>
              <w:rPr>
                <w:bCs/>
                <w:sz w:val="20"/>
                <w:szCs w:val="20"/>
              </w:rPr>
            </w:pPr>
            <w:r w:rsidRPr="008B6A75">
              <w:rPr>
                <w:bCs/>
                <w:sz w:val="20"/>
                <w:szCs w:val="20"/>
              </w:rPr>
              <w:t>02</w:t>
            </w:r>
          </w:p>
        </w:tc>
        <w:tc>
          <w:tcPr>
            <w:tcW w:w="1411" w:type="dxa"/>
            <w:tcBorders>
              <w:top w:val="nil"/>
              <w:left w:val="single" w:sz="4" w:space="0" w:color="auto"/>
              <w:bottom w:val="nil"/>
              <w:right w:val="nil"/>
            </w:tcBorders>
            <w:shd w:val="clear" w:color="auto" w:fill="auto"/>
            <w:noWrap/>
            <w:vAlign w:val="center"/>
            <w:hideMark/>
          </w:tcPr>
          <w:p w14:paraId="50277161" w14:textId="77777777" w:rsidR="00387142" w:rsidRPr="008B6A75" w:rsidRDefault="00387142" w:rsidP="00387142">
            <w:pPr>
              <w:jc w:val="center"/>
              <w:rPr>
                <w:bCs/>
                <w:sz w:val="20"/>
                <w:szCs w:val="20"/>
              </w:rPr>
            </w:pPr>
            <w:r w:rsidRPr="008B6A75">
              <w:rPr>
                <w:bCs/>
                <w:sz w:val="20"/>
                <w:szCs w:val="20"/>
              </w:rPr>
              <w:t>99.0.00.70109</w:t>
            </w:r>
          </w:p>
        </w:tc>
        <w:tc>
          <w:tcPr>
            <w:tcW w:w="955" w:type="dxa"/>
            <w:tcBorders>
              <w:top w:val="nil"/>
              <w:left w:val="single" w:sz="4" w:space="0" w:color="auto"/>
              <w:bottom w:val="nil"/>
              <w:right w:val="single" w:sz="4" w:space="0" w:color="auto"/>
            </w:tcBorders>
            <w:shd w:val="clear" w:color="auto" w:fill="auto"/>
            <w:noWrap/>
            <w:vAlign w:val="center"/>
            <w:hideMark/>
          </w:tcPr>
          <w:p w14:paraId="143582E3"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nil"/>
              <w:right w:val="single" w:sz="4" w:space="0" w:color="auto"/>
            </w:tcBorders>
            <w:shd w:val="clear" w:color="auto" w:fill="auto"/>
            <w:noWrap/>
            <w:vAlign w:val="center"/>
            <w:hideMark/>
          </w:tcPr>
          <w:p w14:paraId="63EB007A" w14:textId="77777777" w:rsidR="00387142" w:rsidRPr="008B6A75" w:rsidRDefault="00387142" w:rsidP="00387142">
            <w:pPr>
              <w:jc w:val="right"/>
              <w:rPr>
                <w:bCs/>
                <w:sz w:val="20"/>
                <w:szCs w:val="20"/>
              </w:rPr>
            </w:pPr>
            <w:r w:rsidRPr="008B6A75">
              <w:rPr>
                <w:bCs/>
                <w:sz w:val="20"/>
                <w:szCs w:val="20"/>
              </w:rPr>
              <w:t>464 100,00</w:t>
            </w:r>
          </w:p>
        </w:tc>
        <w:tc>
          <w:tcPr>
            <w:tcW w:w="992" w:type="dxa"/>
            <w:gridSpan w:val="2"/>
            <w:tcBorders>
              <w:top w:val="nil"/>
              <w:left w:val="single" w:sz="4" w:space="0" w:color="auto"/>
              <w:bottom w:val="nil"/>
              <w:right w:val="nil"/>
            </w:tcBorders>
            <w:shd w:val="clear" w:color="auto" w:fill="auto"/>
            <w:noWrap/>
            <w:vAlign w:val="center"/>
            <w:hideMark/>
          </w:tcPr>
          <w:p w14:paraId="497E2322" w14:textId="77777777" w:rsidR="00387142" w:rsidRPr="008B6A75" w:rsidRDefault="00387142" w:rsidP="00387142">
            <w:pPr>
              <w:jc w:val="right"/>
              <w:rPr>
                <w:bCs/>
                <w:sz w:val="20"/>
                <w:szCs w:val="20"/>
              </w:rPr>
            </w:pPr>
            <w:r w:rsidRPr="008B6A75">
              <w:rPr>
                <w:bCs/>
                <w:sz w:val="20"/>
                <w:szCs w:val="20"/>
              </w:rPr>
              <w:t>0,00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0716AEE4" w14:textId="77777777" w:rsidR="00387142" w:rsidRPr="008B6A75" w:rsidRDefault="00387142" w:rsidP="00387142">
            <w:pPr>
              <w:jc w:val="right"/>
              <w:rPr>
                <w:bCs/>
                <w:sz w:val="20"/>
                <w:szCs w:val="20"/>
              </w:rPr>
            </w:pPr>
            <w:r w:rsidRPr="008B6A75">
              <w:rPr>
                <w:bCs/>
                <w:sz w:val="20"/>
                <w:szCs w:val="20"/>
              </w:rPr>
              <w:t>0,00</w:t>
            </w:r>
          </w:p>
        </w:tc>
        <w:tc>
          <w:tcPr>
            <w:tcW w:w="222" w:type="dxa"/>
            <w:vAlign w:val="center"/>
            <w:hideMark/>
          </w:tcPr>
          <w:p w14:paraId="0C4004A6" w14:textId="77777777" w:rsidR="00387142" w:rsidRPr="008B6A75" w:rsidRDefault="00387142" w:rsidP="00387142">
            <w:pPr>
              <w:rPr>
                <w:sz w:val="20"/>
                <w:szCs w:val="20"/>
              </w:rPr>
            </w:pPr>
          </w:p>
        </w:tc>
      </w:tr>
      <w:tr w:rsidR="00387142" w:rsidRPr="008B6A75" w14:paraId="6DE40338" w14:textId="77777777" w:rsidTr="00387142">
        <w:trPr>
          <w:trHeight w:val="870"/>
        </w:trPr>
        <w:tc>
          <w:tcPr>
            <w:tcW w:w="3021" w:type="dxa"/>
            <w:tcBorders>
              <w:top w:val="single" w:sz="4" w:space="0" w:color="auto"/>
              <w:left w:val="single" w:sz="4" w:space="0" w:color="auto"/>
              <w:bottom w:val="nil"/>
              <w:right w:val="nil"/>
            </w:tcBorders>
            <w:shd w:val="clear" w:color="auto" w:fill="auto"/>
            <w:vAlign w:val="center"/>
            <w:hideMark/>
          </w:tcPr>
          <w:p w14:paraId="67D7A0F7" w14:textId="77777777" w:rsidR="00387142" w:rsidRPr="008B6A75" w:rsidRDefault="00387142" w:rsidP="00387142">
            <w:pPr>
              <w:rPr>
                <w:sz w:val="20"/>
                <w:szCs w:val="20"/>
              </w:rPr>
            </w:pPr>
            <w:r w:rsidRPr="008B6A75">
              <w:rPr>
                <w:sz w:val="20"/>
                <w:szCs w:val="20"/>
              </w:rPr>
              <w:t>Предоставление субсидий бюджетным, автономным учреждениям и иным некоммерческим организациям</w:t>
            </w:r>
          </w:p>
        </w:tc>
        <w:tc>
          <w:tcPr>
            <w:tcW w:w="850" w:type="dxa"/>
            <w:tcBorders>
              <w:top w:val="single" w:sz="4" w:space="0" w:color="auto"/>
              <w:left w:val="single" w:sz="4" w:space="0" w:color="auto"/>
              <w:bottom w:val="nil"/>
              <w:right w:val="nil"/>
            </w:tcBorders>
            <w:shd w:val="clear" w:color="auto" w:fill="auto"/>
            <w:noWrap/>
            <w:vAlign w:val="center"/>
            <w:hideMark/>
          </w:tcPr>
          <w:p w14:paraId="564716BF" w14:textId="77777777" w:rsidR="00387142" w:rsidRPr="008B6A75" w:rsidRDefault="00387142" w:rsidP="00387142">
            <w:pPr>
              <w:jc w:val="center"/>
              <w:rPr>
                <w:sz w:val="20"/>
                <w:szCs w:val="20"/>
              </w:rPr>
            </w:pPr>
            <w:r w:rsidRPr="008B6A75">
              <w:rPr>
                <w:sz w:val="20"/>
                <w:szCs w:val="20"/>
              </w:rPr>
              <w:t>444</w:t>
            </w:r>
          </w:p>
        </w:tc>
        <w:tc>
          <w:tcPr>
            <w:tcW w:w="709" w:type="dxa"/>
            <w:tcBorders>
              <w:top w:val="single" w:sz="4" w:space="0" w:color="auto"/>
              <w:left w:val="single" w:sz="4" w:space="0" w:color="auto"/>
              <w:bottom w:val="nil"/>
              <w:right w:val="nil"/>
            </w:tcBorders>
            <w:shd w:val="clear" w:color="auto" w:fill="auto"/>
            <w:noWrap/>
            <w:vAlign w:val="center"/>
            <w:hideMark/>
          </w:tcPr>
          <w:p w14:paraId="00407043" w14:textId="77777777" w:rsidR="00387142" w:rsidRPr="008B6A75" w:rsidRDefault="00387142" w:rsidP="00387142">
            <w:pPr>
              <w:jc w:val="center"/>
              <w:rPr>
                <w:sz w:val="20"/>
                <w:szCs w:val="20"/>
              </w:rPr>
            </w:pPr>
            <w:r w:rsidRPr="008B6A75">
              <w:rPr>
                <w:sz w:val="20"/>
                <w:szCs w:val="20"/>
              </w:rPr>
              <w:t>10</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431F69C5" w14:textId="77777777" w:rsidR="00387142" w:rsidRPr="008B6A75" w:rsidRDefault="00387142" w:rsidP="00387142">
            <w:pPr>
              <w:jc w:val="center"/>
              <w:rPr>
                <w:sz w:val="20"/>
                <w:szCs w:val="20"/>
              </w:rPr>
            </w:pPr>
            <w:r w:rsidRPr="008B6A75">
              <w:rPr>
                <w:sz w:val="20"/>
                <w:szCs w:val="20"/>
              </w:rPr>
              <w:t>02</w:t>
            </w:r>
          </w:p>
        </w:tc>
        <w:tc>
          <w:tcPr>
            <w:tcW w:w="1411" w:type="dxa"/>
            <w:tcBorders>
              <w:top w:val="single" w:sz="4" w:space="0" w:color="auto"/>
              <w:left w:val="single" w:sz="4" w:space="0" w:color="auto"/>
              <w:bottom w:val="nil"/>
              <w:right w:val="nil"/>
            </w:tcBorders>
            <w:shd w:val="clear" w:color="auto" w:fill="auto"/>
            <w:noWrap/>
            <w:vAlign w:val="center"/>
            <w:hideMark/>
          </w:tcPr>
          <w:p w14:paraId="27298396" w14:textId="77777777" w:rsidR="00387142" w:rsidRPr="008B6A75" w:rsidRDefault="00387142" w:rsidP="00387142">
            <w:pPr>
              <w:jc w:val="center"/>
              <w:rPr>
                <w:sz w:val="20"/>
                <w:szCs w:val="20"/>
              </w:rPr>
            </w:pPr>
            <w:r w:rsidRPr="008B6A75">
              <w:rPr>
                <w:sz w:val="20"/>
                <w:szCs w:val="20"/>
              </w:rPr>
              <w:t>99.0.00.70109</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7EA9CB42" w14:textId="77777777" w:rsidR="00387142" w:rsidRPr="008B6A75" w:rsidRDefault="00387142" w:rsidP="00387142">
            <w:pPr>
              <w:jc w:val="center"/>
              <w:rPr>
                <w:sz w:val="20"/>
                <w:szCs w:val="20"/>
              </w:rPr>
            </w:pPr>
            <w:r w:rsidRPr="008B6A75">
              <w:rPr>
                <w:sz w:val="20"/>
                <w:szCs w:val="20"/>
              </w:rPr>
              <w:t>600</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52E7A4E7" w14:textId="77777777" w:rsidR="00387142" w:rsidRPr="008B6A75" w:rsidRDefault="00387142" w:rsidP="00387142">
            <w:pPr>
              <w:jc w:val="right"/>
              <w:rPr>
                <w:sz w:val="20"/>
                <w:szCs w:val="20"/>
              </w:rPr>
            </w:pPr>
            <w:r w:rsidRPr="008B6A75">
              <w:rPr>
                <w:sz w:val="20"/>
                <w:szCs w:val="20"/>
              </w:rPr>
              <w:t>464 100,00</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1BAE0A90" w14:textId="77777777" w:rsidR="00387142" w:rsidRPr="008B6A75" w:rsidRDefault="00387142" w:rsidP="00387142">
            <w:pPr>
              <w:jc w:val="right"/>
              <w:rPr>
                <w:sz w:val="20"/>
                <w:szCs w:val="20"/>
              </w:rPr>
            </w:pPr>
            <w:r w:rsidRPr="008B6A75">
              <w:rPr>
                <w:sz w:val="20"/>
                <w:szCs w:val="20"/>
              </w:rPr>
              <w:t>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7ED7E537" w14:textId="77777777" w:rsidR="00387142" w:rsidRPr="008B6A75" w:rsidRDefault="00387142" w:rsidP="00387142">
            <w:pPr>
              <w:jc w:val="right"/>
              <w:rPr>
                <w:sz w:val="20"/>
                <w:szCs w:val="20"/>
              </w:rPr>
            </w:pPr>
            <w:r w:rsidRPr="008B6A75">
              <w:rPr>
                <w:sz w:val="20"/>
                <w:szCs w:val="20"/>
              </w:rPr>
              <w:t>0,00</w:t>
            </w:r>
          </w:p>
        </w:tc>
        <w:tc>
          <w:tcPr>
            <w:tcW w:w="222" w:type="dxa"/>
            <w:vAlign w:val="center"/>
            <w:hideMark/>
          </w:tcPr>
          <w:p w14:paraId="3B8163F2" w14:textId="77777777" w:rsidR="00387142" w:rsidRPr="008B6A75" w:rsidRDefault="00387142" w:rsidP="00387142">
            <w:pPr>
              <w:rPr>
                <w:sz w:val="20"/>
                <w:szCs w:val="20"/>
              </w:rPr>
            </w:pPr>
          </w:p>
        </w:tc>
      </w:tr>
      <w:tr w:rsidR="00387142" w:rsidRPr="008B6A75" w14:paraId="03C105E5" w14:textId="77777777" w:rsidTr="00387142">
        <w:trPr>
          <w:trHeight w:val="300"/>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5F5C600C" w14:textId="77777777" w:rsidR="00387142" w:rsidRPr="008B6A75" w:rsidRDefault="00387142" w:rsidP="00387142">
            <w:pPr>
              <w:rPr>
                <w:sz w:val="20"/>
                <w:szCs w:val="20"/>
              </w:rPr>
            </w:pPr>
            <w:r w:rsidRPr="008B6A75">
              <w:rPr>
                <w:sz w:val="20"/>
                <w:szCs w:val="20"/>
              </w:rPr>
              <w:t>Субсидии бюджетным учреждениям</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75DD8AFE" w14:textId="77777777" w:rsidR="00387142" w:rsidRPr="008B6A75" w:rsidRDefault="00387142" w:rsidP="00387142">
            <w:pPr>
              <w:jc w:val="center"/>
              <w:rPr>
                <w:sz w:val="20"/>
                <w:szCs w:val="20"/>
              </w:rPr>
            </w:pPr>
            <w:r w:rsidRPr="008B6A75">
              <w:rPr>
                <w:sz w:val="20"/>
                <w:szCs w:val="20"/>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4F2A1BEC" w14:textId="77777777" w:rsidR="00387142" w:rsidRPr="008B6A75" w:rsidRDefault="00387142" w:rsidP="00387142">
            <w:pPr>
              <w:jc w:val="center"/>
              <w:rPr>
                <w:sz w:val="20"/>
                <w:szCs w:val="20"/>
              </w:rPr>
            </w:pPr>
            <w:r w:rsidRPr="008B6A75">
              <w:rPr>
                <w:sz w:val="20"/>
                <w:szCs w:val="20"/>
              </w:rPr>
              <w:t>10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7E0B12" w14:textId="77777777" w:rsidR="00387142" w:rsidRPr="008B6A75" w:rsidRDefault="00387142" w:rsidP="00387142">
            <w:pPr>
              <w:jc w:val="center"/>
              <w:rPr>
                <w:sz w:val="20"/>
                <w:szCs w:val="20"/>
              </w:rPr>
            </w:pPr>
            <w:r w:rsidRPr="008B6A75">
              <w:rPr>
                <w:sz w:val="20"/>
                <w:szCs w:val="20"/>
              </w:rPr>
              <w:t>02</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077B7F52" w14:textId="77777777" w:rsidR="00387142" w:rsidRPr="008B6A75" w:rsidRDefault="00387142" w:rsidP="00387142">
            <w:pPr>
              <w:jc w:val="center"/>
              <w:rPr>
                <w:sz w:val="20"/>
                <w:szCs w:val="20"/>
              </w:rPr>
            </w:pPr>
            <w:r w:rsidRPr="008B6A75">
              <w:rPr>
                <w:sz w:val="20"/>
                <w:szCs w:val="20"/>
              </w:rPr>
              <w:t>99.0.00.70109</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D00EBC" w14:textId="77777777" w:rsidR="00387142" w:rsidRPr="008B6A75" w:rsidRDefault="00387142" w:rsidP="00387142">
            <w:pPr>
              <w:jc w:val="center"/>
              <w:rPr>
                <w:sz w:val="20"/>
                <w:szCs w:val="20"/>
              </w:rPr>
            </w:pPr>
            <w:r w:rsidRPr="008B6A75">
              <w:rPr>
                <w:sz w:val="20"/>
                <w:szCs w:val="20"/>
              </w:rPr>
              <w:t>610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D200A2" w14:textId="77777777" w:rsidR="00387142" w:rsidRPr="008B6A75" w:rsidRDefault="00387142" w:rsidP="00387142">
            <w:pPr>
              <w:jc w:val="right"/>
              <w:rPr>
                <w:sz w:val="20"/>
                <w:szCs w:val="20"/>
              </w:rPr>
            </w:pPr>
            <w:r w:rsidRPr="008B6A75">
              <w:rPr>
                <w:sz w:val="20"/>
                <w:szCs w:val="20"/>
              </w:rPr>
              <w:t>464 100,00</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5A6F4BD9" w14:textId="77777777" w:rsidR="00387142" w:rsidRPr="008B6A75" w:rsidRDefault="00387142" w:rsidP="00387142">
            <w:pPr>
              <w:jc w:val="right"/>
              <w:rPr>
                <w:sz w:val="20"/>
                <w:szCs w:val="20"/>
              </w:rPr>
            </w:pPr>
            <w:r w:rsidRPr="008B6A75">
              <w:rPr>
                <w:sz w:val="20"/>
                <w:szCs w:val="20"/>
              </w:rPr>
              <w:t>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BDAD8D" w14:textId="77777777" w:rsidR="00387142" w:rsidRPr="008B6A75" w:rsidRDefault="00387142" w:rsidP="00387142">
            <w:pPr>
              <w:jc w:val="right"/>
              <w:rPr>
                <w:sz w:val="20"/>
                <w:szCs w:val="20"/>
              </w:rPr>
            </w:pPr>
            <w:r w:rsidRPr="008B6A75">
              <w:rPr>
                <w:sz w:val="20"/>
                <w:szCs w:val="20"/>
              </w:rPr>
              <w:t>0,00</w:t>
            </w:r>
          </w:p>
        </w:tc>
        <w:tc>
          <w:tcPr>
            <w:tcW w:w="222" w:type="dxa"/>
            <w:vAlign w:val="center"/>
            <w:hideMark/>
          </w:tcPr>
          <w:p w14:paraId="59B805BD" w14:textId="77777777" w:rsidR="00387142" w:rsidRPr="008B6A75" w:rsidRDefault="00387142" w:rsidP="00387142">
            <w:pPr>
              <w:rPr>
                <w:sz w:val="20"/>
                <w:szCs w:val="20"/>
              </w:rPr>
            </w:pPr>
          </w:p>
        </w:tc>
      </w:tr>
      <w:tr w:rsidR="00387142" w:rsidRPr="008B6A75" w14:paraId="31478A63" w14:textId="77777777" w:rsidTr="00387142">
        <w:trPr>
          <w:trHeight w:val="1155"/>
        </w:trPr>
        <w:tc>
          <w:tcPr>
            <w:tcW w:w="3021" w:type="dxa"/>
            <w:tcBorders>
              <w:top w:val="nil"/>
              <w:left w:val="single" w:sz="4" w:space="0" w:color="auto"/>
              <w:bottom w:val="nil"/>
              <w:right w:val="nil"/>
            </w:tcBorders>
            <w:shd w:val="clear" w:color="auto" w:fill="auto"/>
            <w:vAlign w:val="center"/>
            <w:hideMark/>
          </w:tcPr>
          <w:p w14:paraId="1F0BDAB1" w14:textId="77777777" w:rsidR="00387142" w:rsidRPr="008B6A75" w:rsidRDefault="00387142" w:rsidP="00387142">
            <w:pPr>
              <w:rPr>
                <w:bCs/>
                <w:sz w:val="20"/>
                <w:szCs w:val="20"/>
              </w:rPr>
            </w:pPr>
            <w:r w:rsidRPr="008B6A75">
              <w:rPr>
                <w:bCs/>
                <w:sz w:val="20"/>
                <w:szCs w:val="20"/>
              </w:rPr>
              <w:lastRenderedPageBreak/>
              <w:t>Осуществление отдельных государственных полномочий Новосибирской области по обеспечению социального обслуживания отдельных категорий граждан</w:t>
            </w:r>
          </w:p>
        </w:tc>
        <w:tc>
          <w:tcPr>
            <w:tcW w:w="850" w:type="dxa"/>
            <w:tcBorders>
              <w:top w:val="nil"/>
              <w:left w:val="single" w:sz="4" w:space="0" w:color="auto"/>
              <w:bottom w:val="nil"/>
              <w:right w:val="nil"/>
            </w:tcBorders>
            <w:shd w:val="clear" w:color="auto" w:fill="auto"/>
            <w:noWrap/>
            <w:vAlign w:val="center"/>
            <w:hideMark/>
          </w:tcPr>
          <w:p w14:paraId="24D16A21" w14:textId="77777777" w:rsidR="00387142" w:rsidRPr="008B6A75" w:rsidRDefault="00387142" w:rsidP="00387142">
            <w:pPr>
              <w:jc w:val="center"/>
              <w:rPr>
                <w:bCs/>
                <w:sz w:val="20"/>
                <w:szCs w:val="20"/>
              </w:rPr>
            </w:pPr>
            <w:r w:rsidRPr="008B6A75">
              <w:rPr>
                <w:bCs/>
                <w:sz w:val="20"/>
                <w:szCs w:val="20"/>
              </w:rPr>
              <w:t>444</w:t>
            </w:r>
          </w:p>
        </w:tc>
        <w:tc>
          <w:tcPr>
            <w:tcW w:w="709" w:type="dxa"/>
            <w:tcBorders>
              <w:top w:val="nil"/>
              <w:left w:val="single" w:sz="4" w:space="0" w:color="auto"/>
              <w:bottom w:val="nil"/>
              <w:right w:val="nil"/>
            </w:tcBorders>
            <w:shd w:val="clear" w:color="auto" w:fill="auto"/>
            <w:noWrap/>
            <w:vAlign w:val="center"/>
            <w:hideMark/>
          </w:tcPr>
          <w:p w14:paraId="10E145D0" w14:textId="77777777" w:rsidR="00387142" w:rsidRPr="008B6A75" w:rsidRDefault="00387142" w:rsidP="00387142">
            <w:pPr>
              <w:jc w:val="center"/>
              <w:rPr>
                <w:bCs/>
                <w:sz w:val="20"/>
                <w:szCs w:val="20"/>
              </w:rPr>
            </w:pPr>
            <w:r w:rsidRPr="008B6A75">
              <w:rPr>
                <w:bCs/>
                <w:sz w:val="20"/>
                <w:szCs w:val="20"/>
              </w:rPr>
              <w:t>10</w:t>
            </w:r>
          </w:p>
        </w:tc>
        <w:tc>
          <w:tcPr>
            <w:tcW w:w="709" w:type="dxa"/>
            <w:tcBorders>
              <w:top w:val="nil"/>
              <w:left w:val="single" w:sz="4" w:space="0" w:color="auto"/>
              <w:bottom w:val="nil"/>
              <w:right w:val="single" w:sz="4" w:space="0" w:color="auto"/>
            </w:tcBorders>
            <w:shd w:val="clear" w:color="auto" w:fill="auto"/>
            <w:noWrap/>
            <w:vAlign w:val="center"/>
            <w:hideMark/>
          </w:tcPr>
          <w:p w14:paraId="2D3FFD87" w14:textId="77777777" w:rsidR="00387142" w:rsidRPr="008B6A75" w:rsidRDefault="00387142" w:rsidP="00387142">
            <w:pPr>
              <w:jc w:val="center"/>
              <w:rPr>
                <w:bCs/>
                <w:sz w:val="20"/>
                <w:szCs w:val="20"/>
              </w:rPr>
            </w:pPr>
            <w:r w:rsidRPr="008B6A75">
              <w:rPr>
                <w:bCs/>
                <w:sz w:val="20"/>
                <w:szCs w:val="20"/>
              </w:rPr>
              <w:t>02</w:t>
            </w:r>
          </w:p>
        </w:tc>
        <w:tc>
          <w:tcPr>
            <w:tcW w:w="1411" w:type="dxa"/>
            <w:tcBorders>
              <w:top w:val="nil"/>
              <w:left w:val="single" w:sz="4" w:space="0" w:color="auto"/>
              <w:bottom w:val="nil"/>
              <w:right w:val="nil"/>
            </w:tcBorders>
            <w:shd w:val="clear" w:color="auto" w:fill="auto"/>
            <w:noWrap/>
            <w:vAlign w:val="center"/>
            <w:hideMark/>
          </w:tcPr>
          <w:p w14:paraId="0AEDEA08" w14:textId="77777777" w:rsidR="00387142" w:rsidRPr="008B6A75" w:rsidRDefault="00387142" w:rsidP="00387142">
            <w:pPr>
              <w:jc w:val="center"/>
              <w:rPr>
                <w:bCs/>
                <w:sz w:val="20"/>
                <w:szCs w:val="20"/>
              </w:rPr>
            </w:pPr>
            <w:r w:rsidRPr="008B6A75">
              <w:rPr>
                <w:bCs/>
                <w:sz w:val="20"/>
                <w:szCs w:val="20"/>
              </w:rPr>
              <w:t>99.0.00.70180</w:t>
            </w:r>
          </w:p>
        </w:tc>
        <w:tc>
          <w:tcPr>
            <w:tcW w:w="955" w:type="dxa"/>
            <w:tcBorders>
              <w:top w:val="nil"/>
              <w:left w:val="single" w:sz="4" w:space="0" w:color="auto"/>
              <w:bottom w:val="nil"/>
              <w:right w:val="single" w:sz="4" w:space="0" w:color="auto"/>
            </w:tcBorders>
            <w:shd w:val="clear" w:color="auto" w:fill="auto"/>
            <w:noWrap/>
            <w:vAlign w:val="center"/>
            <w:hideMark/>
          </w:tcPr>
          <w:p w14:paraId="6437DB0B"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nil"/>
              <w:right w:val="single" w:sz="4" w:space="0" w:color="auto"/>
            </w:tcBorders>
            <w:shd w:val="clear" w:color="auto" w:fill="auto"/>
            <w:noWrap/>
            <w:vAlign w:val="center"/>
            <w:hideMark/>
          </w:tcPr>
          <w:p w14:paraId="4DDB204B" w14:textId="77777777" w:rsidR="00387142" w:rsidRPr="008B6A75" w:rsidRDefault="00387142" w:rsidP="00387142">
            <w:pPr>
              <w:jc w:val="right"/>
              <w:rPr>
                <w:bCs/>
                <w:sz w:val="20"/>
                <w:szCs w:val="20"/>
              </w:rPr>
            </w:pPr>
            <w:r w:rsidRPr="008B6A75">
              <w:rPr>
                <w:bCs/>
                <w:sz w:val="20"/>
                <w:szCs w:val="20"/>
              </w:rPr>
              <w:t>81 481 635,44</w:t>
            </w:r>
          </w:p>
        </w:tc>
        <w:tc>
          <w:tcPr>
            <w:tcW w:w="992" w:type="dxa"/>
            <w:gridSpan w:val="2"/>
            <w:tcBorders>
              <w:top w:val="nil"/>
              <w:left w:val="single" w:sz="4" w:space="0" w:color="auto"/>
              <w:bottom w:val="nil"/>
              <w:right w:val="nil"/>
            </w:tcBorders>
            <w:shd w:val="clear" w:color="auto" w:fill="auto"/>
            <w:noWrap/>
            <w:vAlign w:val="center"/>
            <w:hideMark/>
          </w:tcPr>
          <w:p w14:paraId="6A72BB47" w14:textId="77777777" w:rsidR="00387142" w:rsidRPr="008B6A75" w:rsidRDefault="00387142" w:rsidP="00387142">
            <w:pPr>
              <w:jc w:val="right"/>
              <w:rPr>
                <w:bCs/>
                <w:sz w:val="20"/>
                <w:szCs w:val="20"/>
              </w:rPr>
            </w:pPr>
            <w:r w:rsidRPr="008B6A75">
              <w:rPr>
                <w:bCs/>
                <w:sz w:val="20"/>
                <w:szCs w:val="20"/>
              </w:rPr>
              <w:t>80 591 700,00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4E87916C" w14:textId="77777777" w:rsidR="00387142" w:rsidRPr="008B6A75" w:rsidRDefault="00387142" w:rsidP="00387142">
            <w:pPr>
              <w:jc w:val="right"/>
              <w:rPr>
                <w:bCs/>
                <w:sz w:val="20"/>
                <w:szCs w:val="20"/>
              </w:rPr>
            </w:pPr>
            <w:r w:rsidRPr="008B6A75">
              <w:rPr>
                <w:bCs/>
                <w:sz w:val="20"/>
                <w:szCs w:val="20"/>
              </w:rPr>
              <w:t>85 631 604,01</w:t>
            </w:r>
          </w:p>
        </w:tc>
        <w:tc>
          <w:tcPr>
            <w:tcW w:w="222" w:type="dxa"/>
            <w:vAlign w:val="center"/>
            <w:hideMark/>
          </w:tcPr>
          <w:p w14:paraId="41E2B506" w14:textId="77777777" w:rsidR="00387142" w:rsidRPr="008B6A75" w:rsidRDefault="00387142" w:rsidP="00387142">
            <w:pPr>
              <w:rPr>
                <w:sz w:val="20"/>
                <w:szCs w:val="20"/>
              </w:rPr>
            </w:pPr>
          </w:p>
        </w:tc>
      </w:tr>
      <w:tr w:rsidR="00387142" w:rsidRPr="008B6A75" w14:paraId="37AA2988" w14:textId="77777777" w:rsidTr="00387142">
        <w:trPr>
          <w:trHeight w:val="585"/>
        </w:trPr>
        <w:tc>
          <w:tcPr>
            <w:tcW w:w="3021" w:type="dxa"/>
            <w:tcBorders>
              <w:top w:val="single" w:sz="4" w:space="0" w:color="auto"/>
              <w:left w:val="single" w:sz="4" w:space="0" w:color="auto"/>
              <w:bottom w:val="nil"/>
              <w:right w:val="nil"/>
            </w:tcBorders>
            <w:shd w:val="clear" w:color="auto" w:fill="auto"/>
            <w:vAlign w:val="center"/>
            <w:hideMark/>
          </w:tcPr>
          <w:p w14:paraId="2094BE53" w14:textId="77777777" w:rsidR="00387142" w:rsidRPr="008B6A75" w:rsidRDefault="00387142" w:rsidP="00387142">
            <w:pPr>
              <w:rPr>
                <w:sz w:val="20"/>
                <w:szCs w:val="20"/>
              </w:rPr>
            </w:pPr>
            <w:r w:rsidRPr="008B6A75">
              <w:rPr>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nil"/>
              <w:right w:val="nil"/>
            </w:tcBorders>
            <w:shd w:val="clear" w:color="auto" w:fill="auto"/>
            <w:noWrap/>
            <w:vAlign w:val="center"/>
            <w:hideMark/>
          </w:tcPr>
          <w:p w14:paraId="05563F23" w14:textId="77777777" w:rsidR="00387142" w:rsidRPr="008B6A75" w:rsidRDefault="00387142" w:rsidP="00387142">
            <w:pPr>
              <w:jc w:val="center"/>
              <w:rPr>
                <w:sz w:val="20"/>
                <w:szCs w:val="20"/>
              </w:rPr>
            </w:pPr>
            <w:r w:rsidRPr="008B6A75">
              <w:rPr>
                <w:sz w:val="20"/>
                <w:szCs w:val="20"/>
              </w:rPr>
              <w:t>444</w:t>
            </w:r>
          </w:p>
        </w:tc>
        <w:tc>
          <w:tcPr>
            <w:tcW w:w="709" w:type="dxa"/>
            <w:tcBorders>
              <w:top w:val="single" w:sz="4" w:space="0" w:color="auto"/>
              <w:left w:val="single" w:sz="4" w:space="0" w:color="auto"/>
              <w:bottom w:val="nil"/>
              <w:right w:val="nil"/>
            </w:tcBorders>
            <w:shd w:val="clear" w:color="auto" w:fill="auto"/>
            <w:noWrap/>
            <w:vAlign w:val="center"/>
            <w:hideMark/>
          </w:tcPr>
          <w:p w14:paraId="58C0D20B" w14:textId="77777777" w:rsidR="00387142" w:rsidRPr="008B6A75" w:rsidRDefault="00387142" w:rsidP="00387142">
            <w:pPr>
              <w:jc w:val="center"/>
              <w:rPr>
                <w:sz w:val="20"/>
                <w:szCs w:val="20"/>
              </w:rPr>
            </w:pPr>
            <w:r w:rsidRPr="008B6A75">
              <w:rPr>
                <w:sz w:val="20"/>
                <w:szCs w:val="20"/>
              </w:rPr>
              <w:t>10</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7846CFE7" w14:textId="77777777" w:rsidR="00387142" w:rsidRPr="008B6A75" w:rsidRDefault="00387142" w:rsidP="00387142">
            <w:pPr>
              <w:jc w:val="center"/>
              <w:rPr>
                <w:sz w:val="20"/>
                <w:szCs w:val="20"/>
              </w:rPr>
            </w:pPr>
            <w:r w:rsidRPr="008B6A75">
              <w:rPr>
                <w:sz w:val="20"/>
                <w:szCs w:val="20"/>
              </w:rPr>
              <w:t>02</w:t>
            </w:r>
          </w:p>
        </w:tc>
        <w:tc>
          <w:tcPr>
            <w:tcW w:w="1411" w:type="dxa"/>
            <w:tcBorders>
              <w:top w:val="single" w:sz="4" w:space="0" w:color="auto"/>
              <w:left w:val="single" w:sz="4" w:space="0" w:color="auto"/>
              <w:bottom w:val="nil"/>
              <w:right w:val="nil"/>
            </w:tcBorders>
            <w:shd w:val="clear" w:color="auto" w:fill="auto"/>
            <w:noWrap/>
            <w:vAlign w:val="center"/>
            <w:hideMark/>
          </w:tcPr>
          <w:p w14:paraId="4FA2BDF0" w14:textId="77777777" w:rsidR="00387142" w:rsidRPr="008B6A75" w:rsidRDefault="00387142" w:rsidP="00387142">
            <w:pPr>
              <w:jc w:val="center"/>
              <w:rPr>
                <w:sz w:val="20"/>
                <w:szCs w:val="20"/>
              </w:rPr>
            </w:pPr>
            <w:r w:rsidRPr="008B6A75">
              <w:rPr>
                <w:sz w:val="20"/>
                <w:szCs w:val="20"/>
              </w:rPr>
              <w:t>99.0.00.70180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315D851E" w14:textId="77777777" w:rsidR="00387142" w:rsidRPr="008B6A75" w:rsidRDefault="00387142" w:rsidP="00387142">
            <w:pPr>
              <w:jc w:val="center"/>
              <w:rPr>
                <w:sz w:val="20"/>
                <w:szCs w:val="20"/>
              </w:rPr>
            </w:pPr>
            <w:r w:rsidRPr="008B6A75">
              <w:rPr>
                <w:sz w:val="20"/>
                <w:szCs w:val="20"/>
              </w:rPr>
              <w:t>200</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6BC89D12" w14:textId="77777777" w:rsidR="00387142" w:rsidRPr="008B6A75" w:rsidRDefault="00387142" w:rsidP="00387142">
            <w:pPr>
              <w:jc w:val="right"/>
              <w:rPr>
                <w:sz w:val="20"/>
                <w:szCs w:val="20"/>
              </w:rPr>
            </w:pPr>
            <w:r w:rsidRPr="008B6A75">
              <w:rPr>
                <w:sz w:val="20"/>
                <w:szCs w:val="20"/>
              </w:rPr>
              <w:t>1 870 900,00</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0A3EBF31" w14:textId="77777777" w:rsidR="00387142" w:rsidRPr="008B6A75" w:rsidRDefault="00387142" w:rsidP="00387142">
            <w:pPr>
              <w:jc w:val="right"/>
              <w:rPr>
                <w:sz w:val="20"/>
                <w:szCs w:val="20"/>
              </w:rPr>
            </w:pPr>
            <w:r w:rsidRPr="008B6A75">
              <w:rPr>
                <w:sz w:val="20"/>
                <w:szCs w:val="20"/>
              </w:rPr>
              <w:t>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243973D3" w14:textId="77777777" w:rsidR="00387142" w:rsidRPr="008B6A75" w:rsidRDefault="00387142" w:rsidP="00387142">
            <w:pPr>
              <w:jc w:val="right"/>
              <w:rPr>
                <w:sz w:val="20"/>
                <w:szCs w:val="20"/>
              </w:rPr>
            </w:pPr>
            <w:r w:rsidRPr="008B6A75">
              <w:rPr>
                <w:sz w:val="20"/>
                <w:szCs w:val="20"/>
              </w:rPr>
              <w:t>0,00</w:t>
            </w:r>
          </w:p>
        </w:tc>
        <w:tc>
          <w:tcPr>
            <w:tcW w:w="222" w:type="dxa"/>
            <w:vAlign w:val="center"/>
            <w:hideMark/>
          </w:tcPr>
          <w:p w14:paraId="4B1D21E5" w14:textId="77777777" w:rsidR="00387142" w:rsidRPr="008B6A75" w:rsidRDefault="00387142" w:rsidP="00387142">
            <w:pPr>
              <w:rPr>
                <w:sz w:val="20"/>
                <w:szCs w:val="20"/>
              </w:rPr>
            </w:pPr>
          </w:p>
        </w:tc>
      </w:tr>
      <w:tr w:rsidR="00387142" w:rsidRPr="008B6A75" w14:paraId="4B7ECF02" w14:textId="77777777" w:rsidTr="00387142">
        <w:trPr>
          <w:trHeight w:val="870"/>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160809FF" w14:textId="77777777" w:rsidR="00387142" w:rsidRPr="008B6A75" w:rsidRDefault="00387142" w:rsidP="00387142">
            <w:pPr>
              <w:rPr>
                <w:sz w:val="20"/>
                <w:szCs w:val="20"/>
              </w:rPr>
            </w:pPr>
            <w:r w:rsidRPr="008B6A75">
              <w:rPr>
                <w:sz w:val="20"/>
                <w:szCs w:val="20"/>
              </w:rPr>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4D7428F8" w14:textId="77777777" w:rsidR="00387142" w:rsidRPr="008B6A75" w:rsidRDefault="00387142" w:rsidP="00387142">
            <w:pPr>
              <w:jc w:val="center"/>
              <w:rPr>
                <w:sz w:val="20"/>
                <w:szCs w:val="20"/>
              </w:rPr>
            </w:pPr>
            <w:r w:rsidRPr="008B6A75">
              <w:rPr>
                <w:sz w:val="20"/>
                <w:szCs w:val="20"/>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7C5487CF" w14:textId="77777777" w:rsidR="00387142" w:rsidRPr="008B6A75" w:rsidRDefault="00387142" w:rsidP="00387142">
            <w:pPr>
              <w:jc w:val="center"/>
              <w:rPr>
                <w:sz w:val="20"/>
                <w:szCs w:val="20"/>
              </w:rPr>
            </w:pPr>
            <w:r w:rsidRPr="008B6A75">
              <w:rPr>
                <w:sz w:val="20"/>
                <w:szCs w:val="20"/>
              </w:rPr>
              <w:t>10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EB089C" w14:textId="77777777" w:rsidR="00387142" w:rsidRPr="008B6A75" w:rsidRDefault="00387142" w:rsidP="00387142">
            <w:pPr>
              <w:jc w:val="center"/>
              <w:rPr>
                <w:sz w:val="20"/>
                <w:szCs w:val="20"/>
              </w:rPr>
            </w:pPr>
            <w:r w:rsidRPr="008B6A75">
              <w:rPr>
                <w:sz w:val="20"/>
                <w:szCs w:val="20"/>
              </w:rPr>
              <w:t>02</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40B61E9D" w14:textId="77777777" w:rsidR="00387142" w:rsidRPr="008B6A75" w:rsidRDefault="00387142" w:rsidP="00387142">
            <w:pPr>
              <w:jc w:val="center"/>
              <w:rPr>
                <w:sz w:val="20"/>
                <w:szCs w:val="20"/>
              </w:rPr>
            </w:pPr>
            <w:r w:rsidRPr="008B6A75">
              <w:rPr>
                <w:sz w:val="20"/>
                <w:szCs w:val="20"/>
              </w:rPr>
              <w:t>99.0.00.70180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C153FD" w14:textId="77777777" w:rsidR="00387142" w:rsidRPr="008B6A75" w:rsidRDefault="00387142" w:rsidP="00387142">
            <w:pPr>
              <w:jc w:val="center"/>
              <w:rPr>
                <w:sz w:val="20"/>
                <w:szCs w:val="20"/>
              </w:rPr>
            </w:pPr>
            <w:r w:rsidRPr="008B6A75">
              <w:rPr>
                <w:sz w:val="20"/>
                <w:szCs w:val="20"/>
              </w:rPr>
              <w:t>240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BFDA6B" w14:textId="77777777" w:rsidR="00387142" w:rsidRPr="008B6A75" w:rsidRDefault="00387142" w:rsidP="00387142">
            <w:pPr>
              <w:jc w:val="right"/>
              <w:rPr>
                <w:sz w:val="20"/>
                <w:szCs w:val="20"/>
              </w:rPr>
            </w:pPr>
            <w:r w:rsidRPr="008B6A75">
              <w:rPr>
                <w:sz w:val="20"/>
                <w:szCs w:val="20"/>
              </w:rPr>
              <w:t>1 870 900,00</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4F2AF59D" w14:textId="77777777" w:rsidR="00387142" w:rsidRPr="008B6A75" w:rsidRDefault="00387142" w:rsidP="00387142">
            <w:pPr>
              <w:jc w:val="right"/>
              <w:rPr>
                <w:sz w:val="20"/>
                <w:szCs w:val="20"/>
              </w:rPr>
            </w:pPr>
            <w:r w:rsidRPr="008B6A75">
              <w:rPr>
                <w:sz w:val="20"/>
                <w:szCs w:val="20"/>
              </w:rPr>
              <w:t>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1D7176" w14:textId="77777777" w:rsidR="00387142" w:rsidRPr="008B6A75" w:rsidRDefault="00387142" w:rsidP="00387142">
            <w:pPr>
              <w:jc w:val="right"/>
              <w:rPr>
                <w:sz w:val="20"/>
                <w:szCs w:val="20"/>
              </w:rPr>
            </w:pPr>
            <w:r w:rsidRPr="008B6A75">
              <w:rPr>
                <w:sz w:val="20"/>
                <w:szCs w:val="20"/>
              </w:rPr>
              <w:t>0,00</w:t>
            </w:r>
          </w:p>
        </w:tc>
        <w:tc>
          <w:tcPr>
            <w:tcW w:w="222" w:type="dxa"/>
            <w:vAlign w:val="center"/>
            <w:hideMark/>
          </w:tcPr>
          <w:p w14:paraId="0A968527" w14:textId="77777777" w:rsidR="00387142" w:rsidRPr="008B6A75" w:rsidRDefault="00387142" w:rsidP="00387142">
            <w:pPr>
              <w:rPr>
                <w:sz w:val="20"/>
                <w:szCs w:val="20"/>
              </w:rPr>
            </w:pPr>
          </w:p>
        </w:tc>
      </w:tr>
      <w:tr w:rsidR="00387142" w:rsidRPr="008B6A75" w14:paraId="089B5676" w14:textId="77777777" w:rsidTr="00387142">
        <w:trPr>
          <w:trHeight w:val="870"/>
        </w:trPr>
        <w:tc>
          <w:tcPr>
            <w:tcW w:w="3021" w:type="dxa"/>
            <w:tcBorders>
              <w:top w:val="nil"/>
              <w:left w:val="single" w:sz="4" w:space="0" w:color="auto"/>
              <w:bottom w:val="nil"/>
              <w:right w:val="nil"/>
            </w:tcBorders>
            <w:shd w:val="clear" w:color="auto" w:fill="auto"/>
            <w:vAlign w:val="center"/>
            <w:hideMark/>
          </w:tcPr>
          <w:p w14:paraId="5AD84F26" w14:textId="77777777" w:rsidR="00387142" w:rsidRPr="008B6A75" w:rsidRDefault="00387142" w:rsidP="00387142">
            <w:pPr>
              <w:rPr>
                <w:sz w:val="20"/>
                <w:szCs w:val="20"/>
              </w:rPr>
            </w:pPr>
            <w:r w:rsidRPr="008B6A75">
              <w:rPr>
                <w:sz w:val="20"/>
                <w:szCs w:val="20"/>
              </w:rPr>
              <w:t>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right w:val="nil"/>
            </w:tcBorders>
            <w:shd w:val="clear" w:color="auto" w:fill="auto"/>
            <w:noWrap/>
            <w:vAlign w:val="center"/>
            <w:hideMark/>
          </w:tcPr>
          <w:p w14:paraId="37615353" w14:textId="77777777" w:rsidR="00387142" w:rsidRPr="008B6A75" w:rsidRDefault="00387142" w:rsidP="00387142">
            <w:pPr>
              <w:jc w:val="center"/>
              <w:rPr>
                <w:sz w:val="20"/>
                <w:szCs w:val="20"/>
              </w:rPr>
            </w:pPr>
            <w:r w:rsidRPr="008B6A75">
              <w:rPr>
                <w:sz w:val="20"/>
                <w:szCs w:val="20"/>
              </w:rPr>
              <w:t>444</w:t>
            </w:r>
          </w:p>
        </w:tc>
        <w:tc>
          <w:tcPr>
            <w:tcW w:w="709" w:type="dxa"/>
            <w:tcBorders>
              <w:top w:val="nil"/>
              <w:left w:val="single" w:sz="4" w:space="0" w:color="auto"/>
              <w:bottom w:val="nil"/>
              <w:right w:val="nil"/>
            </w:tcBorders>
            <w:shd w:val="clear" w:color="auto" w:fill="auto"/>
            <w:noWrap/>
            <w:vAlign w:val="center"/>
            <w:hideMark/>
          </w:tcPr>
          <w:p w14:paraId="2BC66DEC" w14:textId="77777777" w:rsidR="00387142" w:rsidRPr="008B6A75" w:rsidRDefault="00387142" w:rsidP="00387142">
            <w:pPr>
              <w:jc w:val="center"/>
              <w:rPr>
                <w:sz w:val="20"/>
                <w:szCs w:val="20"/>
              </w:rPr>
            </w:pPr>
            <w:r w:rsidRPr="008B6A75">
              <w:rPr>
                <w:sz w:val="20"/>
                <w:szCs w:val="20"/>
              </w:rPr>
              <w:t>10</w:t>
            </w:r>
          </w:p>
        </w:tc>
        <w:tc>
          <w:tcPr>
            <w:tcW w:w="709" w:type="dxa"/>
            <w:tcBorders>
              <w:top w:val="nil"/>
              <w:left w:val="single" w:sz="4" w:space="0" w:color="auto"/>
              <w:bottom w:val="nil"/>
              <w:right w:val="single" w:sz="4" w:space="0" w:color="auto"/>
            </w:tcBorders>
            <w:shd w:val="clear" w:color="auto" w:fill="auto"/>
            <w:noWrap/>
            <w:vAlign w:val="center"/>
            <w:hideMark/>
          </w:tcPr>
          <w:p w14:paraId="7673B73F" w14:textId="77777777" w:rsidR="00387142" w:rsidRPr="008B6A75" w:rsidRDefault="00387142" w:rsidP="00387142">
            <w:pPr>
              <w:jc w:val="center"/>
              <w:rPr>
                <w:sz w:val="20"/>
                <w:szCs w:val="20"/>
              </w:rPr>
            </w:pPr>
            <w:r w:rsidRPr="008B6A75">
              <w:rPr>
                <w:sz w:val="20"/>
                <w:szCs w:val="20"/>
              </w:rPr>
              <w:t>02</w:t>
            </w:r>
          </w:p>
        </w:tc>
        <w:tc>
          <w:tcPr>
            <w:tcW w:w="1411" w:type="dxa"/>
            <w:tcBorders>
              <w:top w:val="nil"/>
              <w:left w:val="single" w:sz="4" w:space="0" w:color="auto"/>
              <w:bottom w:val="nil"/>
              <w:right w:val="nil"/>
            </w:tcBorders>
            <w:shd w:val="clear" w:color="auto" w:fill="auto"/>
            <w:noWrap/>
            <w:vAlign w:val="center"/>
            <w:hideMark/>
          </w:tcPr>
          <w:p w14:paraId="5049D4C9" w14:textId="77777777" w:rsidR="00387142" w:rsidRPr="008B6A75" w:rsidRDefault="00387142" w:rsidP="00387142">
            <w:pPr>
              <w:jc w:val="center"/>
              <w:rPr>
                <w:sz w:val="20"/>
                <w:szCs w:val="20"/>
              </w:rPr>
            </w:pPr>
            <w:r w:rsidRPr="008B6A75">
              <w:rPr>
                <w:sz w:val="20"/>
                <w:szCs w:val="20"/>
              </w:rPr>
              <w:t>99.0.00.70180</w:t>
            </w:r>
          </w:p>
        </w:tc>
        <w:tc>
          <w:tcPr>
            <w:tcW w:w="955" w:type="dxa"/>
            <w:tcBorders>
              <w:top w:val="nil"/>
              <w:left w:val="single" w:sz="4" w:space="0" w:color="auto"/>
              <w:bottom w:val="nil"/>
              <w:right w:val="single" w:sz="4" w:space="0" w:color="auto"/>
            </w:tcBorders>
            <w:shd w:val="clear" w:color="auto" w:fill="auto"/>
            <w:noWrap/>
            <w:vAlign w:val="center"/>
            <w:hideMark/>
          </w:tcPr>
          <w:p w14:paraId="3B750840" w14:textId="77777777" w:rsidR="00387142" w:rsidRPr="008B6A75" w:rsidRDefault="00387142" w:rsidP="00387142">
            <w:pPr>
              <w:jc w:val="center"/>
              <w:rPr>
                <w:sz w:val="20"/>
                <w:szCs w:val="20"/>
              </w:rPr>
            </w:pPr>
            <w:r w:rsidRPr="008B6A75">
              <w:rPr>
                <w:sz w:val="20"/>
                <w:szCs w:val="20"/>
              </w:rPr>
              <w:t>600</w:t>
            </w:r>
          </w:p>
        </w:tc>
        <w:tc>
          <w:tcPr>
            <w:tcW w:w="992" w:type="dxa"/>
            <w:tcBorders>
              <w:top w:val="nil"/>
              <w:left w:val="single" w:sz="4" w:space="0" w:color="auto"/>
              <w:bottom w:val="nil"/>
              <w:right w:val="single" w:sz="4" w:space="0" w:color="auto"/>
            </w:tcBorders>
            <w:shd w:val="clear" w:color="auto" w:fill="auto"/>
            <w:noWrap/>
            <w:vAlign w:val="center"/>
            <w:hideMark/>
          </w:tcPr>
          <w:p w14:paraId="13CA41F0" w14:textId="77777777" w:rsidR="00387142" w:rsidRPr="008B6A75" w:rsidRDefault="00387142" w:rsidP="00387142">
            <w:pPr>
              <w:jc w:val="right"/>
              <w:rPr>
                <w:sz w:val="20"/>
                <w:szCs w:val="20"/>
              </w:rPr>
            </w:pPr>
            <w:r w:rsidRPr="008B6A75">
              <w:rPr>
                <w:sz w:val="20"/>
                <w:szCs w:val="20"/>
              </w:rPr>
              <w:t>79 610 735,44</w:t>
            </w:r>
          </w:p>
        </w:tc>
        <w:tc>
          <w:tcPr>
            <w:tcW w:w="992" w:type="dxa"/>
            <w:gridSpan w:val="2"/>
            <w:tcBorders>
              <w:top w:val="nil"/>
              <w:left w:val="single" w:sz="4" w:space="0" w:color="auto"/>
              <w:bottom w:val="nil"/>
              <w:right w:val="nil"/>
            </w:tcBorders>
            <w:shd w:val="clear" w:color="auto" w:fill="auto"/>
            <w:noWrap/>
            <w:vAlign w:val="center"/>
            <w:hideMark/>
          </w:tcPr>
          <w:p w14:paraId="515060FD" w14:textId="77777777" w:rsidR="00387142" w:rsidRPr="008B6A75" w:rsidRDefault="00387142" w:rsidP="00387142">
            <w:pPr>
              <w:jc w:val="right"/>
              <w:rPr>
                <w:sz w:val="20"/>
                <w:szCs w:val="20"/>
              </w:rPr>
            </w:pPr>
            <w:r w:rsidRPr="008B6A75">
              <w:rPr>
                <w:sz w:val="20"/>
                <w:szCs w:val="20"/>
              </w:rPr>
              <w:t>80 591 700,00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13A5AAB8" w14:textId="77777777" w:rsidR="00387142" w:rsidRPr="008B6A75" w:rsidRDefault="00387142" w:rsidP="00387142">
            <w:pPr>
              <w:jc w:val="right"/>
              <w:rPr>
                <w:sz w:val="20"/>
                <w:szCs w:val="20"/>
              </w:rPr>
            </w:pPr>
            <w:r w:rsidRPr="008B6A75">
              <w:rPr>
                <w:sz w:val="20"/>
                <w:szCs w:val="20"/>
              </w:rPr>
              <w:t>85 631 604,01</w:t>
            </w:r>
          </w:p>
        </w:tc>
        <w:tc>
          <w:tcPr>
            <w:tcW w:w="222" w:type="dxa"/>
            <w:vAlign w:val="center"/>
            <w:hideMark/>
          </w:tcPr>
          <w:p w14:paraId="55932265" w14:textId="77777777" w:rsidR="00387142" w:rsidRPr="008B6A75" w:rsidRDefault="00387142" w:rsidP="00387142">
            <w:pPr>
              <w:rPr>
                <w:sz w:val="20"/>
                <w:szCs w:val="20"/>
              </w:rPr>
            </w:pPr>
          </w:p>
        </w:tc>
      </w:tr>
      <w:tr w:rsidR="00387142" w:rsidRPr="008B6A75" w14:paraId="5CAB75F7" w14:textId="77777777" w:rsidTr="00387142">
        <w:trPr>
          <w:trHeight w:val="300"/>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4A509135" w14:textId="77777777" w:rsidR="00387142" w:rsidRPr="008B6A75" w:rsidRDefault="00387142" w:rsidP="00387142">
            <w:pPr>
              <w:rPr>
                <w:sz w:val="20"/>
                <w:szCs w:val="20"/>
              </w:rPr>
            </w:pPr>
            <w:r w:rsidRPr="008B6A75">
              <w:rPr>
                <w:sz w:val="20"/>
                <w:szCs w:val="20"/>
              </w:rPr>
              <w:t>Субсидии бюджетным учреждениям</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0FDF7BC5" w14:textId="77777777" w:rsidR="00387142" w:rsidRPr="008B6A75" w:rsidRDefault="00387142" w:rsidP="00387142">
            <w:pPr>
              <w:jc w:val="center"/>
              <w:rPr>
                <w:sz w:val="20"/>
                <w:szCs w:val="20"/>
              </w:rPr>
            </w:pPr>
            <w:r w:rsidRPr="008B6A75">
              <w:rPr>
                <w:sz w:val="20"/>
                <w:szCs w:val="20"/>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0B9BDC0F" w14:textId="77777777" w:rsidR="00387142" w:rsidRPr="008B6A75" w:rsidRDefault="00387142" w:rsidP="00387142">
            <w:pPr>
              <w:jc w:val="center"/>
              <w:rPr>
                <w:sz w:val="20"/>
                <w:szCs w:val="20"/>
              </w:rPr>
            </w:pPr>
            <w:r w:rsidRPr="008B6A75">
              <w:rPr>
                <w:sz w:val="20"/>
                <w:szCs w:val="20"/>
              </w:rPr>
              <w:t>10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55D45B" w14:textId="77777777" w:rsidR="00387142" w:rsidRPr="008B6A75" w:rsidRDefault="00387142" w:rsidP="00387142">
            <w:pPr>
              <w:jc w:val="center"/>
              <w:rPr>
                <w:sz w:val="20"/>
                <w:szCs w:val="20"/>
              </w:rPr>
            </w:pPr>
            <w:r w:rsidRPr="008B6A75">
              <w:rPr>
                <w:sz w:val="20"/>
                <w:szCs w:val="20"/>
              </w:rPr>
              <w:t>02</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78C0AE00" w14:textId="77777777" w:rsidR="00387142" w:rsidRPr="008B6A75" w:rsidRDefault="00387142" w:rsidP="00387142">
            <w:pPr>
              <w:jc w:val="center"/>
              <w:rPr>
                <w:sz w:val="20"/>
                <w:szCs w:val="20"/>
              </w:rPr>
            </w:pPr>
            <w:r w:rsidRPr="008B6A75">
              <w:rPr>
                <w:sz w:val="20"/>
                <w:szCs w:val="20"/>
              </w:rPr>
              <w:t>99.0.00.70180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E03B73" w14:textId="77777777" w:rsidR="00387142" w:rsidRPr="008B6A75" w:rsidRDefault="00387142" w:rsidP="00387142">
            <w:pPr>
              <w:jc w:val="center"/>
              <w:rPr>
                <w:sz w:val="20"/>
                <w:szCs w:val="20"/>
              </w:rPr>
            </w:pPr>
            <w:r w:rsidRPr="008B6A75">
              <w:rPr>
                <w:sz w:val="20"/>
                <w:szCs w:val="20"/>
              </w:rPr>
              <w:t>610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557196" w14:textId="77777777" w:rsidR="00387142" w:rsidRPr="008B6A75" w:rsidRDefault="00387142" w:rsidP="00387142">
            <w:pPr>
              <w:jc w:val="right"/>
              <w:rPr>
                <w:sz w:val="20"/>
                <w:szCs w:val="20"/>
              </w:rPr>
            </w:pPr>
            <w:r w:rsidRPr="008B6A75">
              <w:rPr>
                <w:sz w:val="20"/>
                <w:szCs w:val="20"/>
              </w:rPr>
              <w:t>79 610 735,44</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4BF353EB" w14:textId="77777777" w:rsidR="00387142" w:rsidRPr="008B6A75" w:rsidRDefault="00387142" w:rsidP="00387142">
            <w:pPr>
              <w:jc w:val="right"/>
              <w:rPr>
                <w:sz w:val="20"/>
                <w:szCs w:val="20"/>
              </w:rPr>
            </w:pPr>
            <w:r w:rsidRPr="008B6A75">
              <w:rPr>
                <w:sz w:val="20"/>
                <w:szCs w:val="20"/>
              </w:rPr>
              <w:t>80 591 700,00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E742B3" w14:textId="77777777" w:rsidR="00387142" w:rsidRPr="008B6A75" w:rsidRDefault="00387142" w:rsidP="00387142">
            <w:pPr>
              <w:jc w:val="right"/>
              <w:rPr>
                <w:sz w:val="20"/>
                <w:szCs w:val="20"/>
              </w:rPr>
            </w:pPr>
            <w:r w:rsidRPr="008B6A75">
              <w:rPr>
                <w:sz w:val="20"/>
                <w:szCs w:val="20"/>
              </w:rPr>
              <w:t>85 631 604,01</w:t>
            </w:r>
          </w:p>
        </w:tc>
        <w:tc>
          <w:tcPr>
            <w:tcW w:w="222" w:type="dxa"/>
            <w:vAlign w:val="center"/>
            <w:hideMark/>
          </w:tcPr>
          <w:p w14:paraId="52F6AF2F" w14:textId="77777777" w:rsidR="00387142" w:rsidRPr="008B6A75" w:rsidRDefault="00387142" w:rsidP="00387142">
            <w:pPr>
              <w:rPr>
                <w:sz w:val="20"/>
                <w:szCs w:val="20"/>
              </w:rPr>
            </w:pPr>
          </w:p>
        </w:tc>
      </w:tr>
      <w:tr w:rsidR="00387142" w:rsidRPr="008B6A75" w14:paraId="14DE23ED" w14:textId="77777777" w:rsidTr="00387142">
        <w:trPr>
          <w:trHeight w:val="300"/>
        </w:trPr>
        <w:tc>
          <w:tcPr>
            <w:tcW w:w="3021" w:type="dxa"/>
            <w:tcBorders>
              <w:top w:val="nil"/>
              <w:left w:val="single" w:sz="4" w:space="0" w:color="auto"/>
              <w:bottom w:val="nil"/>
              <w:right w:val="nil"/>
            </w:tcBorders>
            <w:shd w:val="clear" w:color="auto" w:fill="auto"/>
            <w:vAlign w:val="center"/>
            <w:hideMark/>
          </w:tcPr>
          <w:p w14:paraId="38D9610B" w14:textId="77777777" w:rsidR="00387142" w:rsidRPr="008B6A75" w:rsidRDefault="00387142" w:rsidP="00387142">
            <w:pPr>
              <w:rPr>
                <w:bCs/>
                <w:sz w:val="20"/>
                <w:szCs w:val="20"/>
              </w:rPr>
            </w:pPr>
            <w:r w:rsidRPr="008B6A75">
              <w:rPr>
                <w:bCs/>
                <w:sz w:val="20"/>
                <w:szCs w:val="20"/>
              </w:rPr>
              <w:t>Региональный проект "Старшее поколение"</w:t>
            </w:r>
          </w:p>
        </w:tc>
        <w:tc>
          <w:tcPr>
            <w:tcW w:w="850" w:type="dxa"/>
            <w:tcBorders>
              <w:top w:val="nil"/>
              <w:left w:val="single" w:sz="4" w:space="0" w:color="auto"/>
              <w:bottom w:val="nil"/>
              <w:right w:val="nil"/>
            </w:tcBorders>
            <w:shd w:val="clear" w:color="auto" w:fill="auto"/>
            <w:noWrap/>
            <w:vAlign w:val="center"/>
            <w:hideMark/>
          </w:tcPr>
          <w:p w14:paraId="066CB472" w14:textId="77777777" w:rsidR="00387142" w:rsidRPr="008B6A75" w:rsidRDefault="00387142" w:rsidP="00387142">
            <w:pPr>
              <w:jc w:val="center"/>
              <w:rPr>
                <w:bCs/>
                <w:sz w:val="20"/>
                <w:szCs w:val="20"/>
              </w:rPr>
            </w:pPr>
            <w:r w:rsidRPr="008B6A75">
              <w:rPr>
                <w:bCs/>
                <w:sz w:val="20"/>
                <w:szCs w:val="20"/>
              </w:rPr>
              <w:t>444</w:t>
            </w:r>
          </w:p>
        </w:tc>
        <w:tc>
          <w:tcPr>
            <w:tcW w:w="709" w:type="dxa"/>
            <w:tcBorders>
              <w:top w:val="nil"/>
              <w:left w:val="single" w:sz="4" w:space="0" w:color="auto"/>
              <w:bottom w:val="nil"/>
              <w:right w:val="nil"/>
            </w:tcBorders>
            <w:shd w:val="clear" w:color="auto" w:fill="auto"/>
            <w:noWrap/>
            <w:vAlign w:val="center"/>
            <w:hideMark/>
          </w:tcPr>
          <w:p w14:paraId="13533DE7" w14:textId="77777777" w:rsidR="00387142" w:rsidRPr="008B6A75" w:rsidRDefault="00387142" w:rsidP="00387142">
            <w:pPr>
              <w:jc w:val="center"/>
              <w:rPr>
                <w:bCs/>
                <w:sz w:val="20"/>
                <w:szCs w:val="20"/>
              </w:rPr>
            </w:pPr>
            <w:r w:rsidRPr="008B6A75">
              <w:rPr>
                <w:bCs/>
                <w:sz w:val="20"/>
                <w:szCs w:val="20"/>
              </w:rPr>
              <w:t>10</w:t>
            </w:r>
          </w:p>
        </w:tc>
        <w:tc>
          <w:tcPr>
            <w:tcW w:w="709" w:type="dxa"/>
            <w:tcBorders>
              <w:top w:val="nil"/>
              <w:left w:val="single" w:sz="4" w:space="0" w:color="auto"/>
              <w:bottom w:val="nil"/>
              <w:right w:val="single" w:sz="4" w:space="0" w:color="auto"/>
            </w:tcBorders>
            <w:shd w:val="clear" w:color="auto" w:fill="auto"/>
            <w:noWrap/>
            <w:vAlign w:val="center"/>
            <w:hideMark/>
          </w:tcPr>
          <w:p w14:paraId="7B7A7B24" w14:textId="77777777" w:rsidR="00387142" w:rsidRPr="008B6A75" w:rsidRDefault="00387142" w:rsidP="00387142">
            <w:pPr>
              <w:jc w:val="center"/>
              <w:rPr>
                <w:bCs/>
                <w:sz w:val="20"/>
                <w:szCs w:val="20"/>
              </w:rPr>
            </w:pPr>
            <w:r w:rsidRPr="008B6A75">
              <w:rPr>
                <w:bCs/>
                <w:sz w:val="20"/>
                <w:szCs w:val="20"/>
              </w:rPr>
              <w:t>02</w:t>
            </w:r>
          </w:p>
        </w:tc>
        <w:tc>
          <w:tcPr>
            <w:tcW w:w="1411" w:type="dxa"/>
            <w:tcBorders>
              <w:top w:val="nil"/>
              <w:left w:val="single" w:sz="4" w:space="0" w:color="auto"/>
              <w:bottom w:val="nil"/>
              <w:right w:val="nil"/>
            </w:tcBorders>
            <w:shd w:val="clear" w:color="auto" w:fill="auto"/>
            <w:noWrap/>
            <w:vAlign w:val="center"/>
            <w:hideMark/>
          </w:tcPr>
          <w:p w14:paraId="24D30512" w14:textId="77777777" w:rsidR="00387142" w:rsidRPr="008B6A75" w:rsidRDefault="00387142" w:rsidP="00387142">
            <w:pPr>
              <w:jc w:val="center"/>
              <w:rPr>
                <w:bCs/>
                <w:sz w:val="20"/>
                <w:szCs w:val="20"/>
              </w:rPr>
            </w:pPr>
            <w:r w:rsidRPr="008B6A75">
              <w:rPr>
                <w:bCs/>
                <w:sz w:val="20"/>
                <w:szCs w:val="20"/>
              </w:rPr>
              <w:t>99.0.P3.00000</w:t>
            </w:r>
          </w:p>
        </w:tc>
        <w:tc>
          <w:tcPr>
            <w:tcW w:w="955" w:type="dxa"/>
            <w:tcBorders>
              <w:top w:val="nil"/>
              <w:left w:val="single" w:sz="4" w:space="0" w:color="auto"/>
              <w:bottom w:val="nil"/>
              <w:right w:val="single" w:sz="4" w:space="0" w:color="auto"/>
            </w:tcBorders>
            <w:shd w:val="clear" w:color="auto" w:fill="auto"/>
            <w:noWrap/>
            <w:vAlign w:val="center"/>
            <w:hideMark/>
          </w:tcPr>
          <w:p w14:paraId="4E765A15"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nil"/>
              <w:right w:val="single" w:sz="4" w:space="0" w:color="auto"/>
            </w:tcBorders>
            <w:shd w:val="clear" w:color="auto" w:fill="auto"/>
            <w:noWrap/>
            <w:vAlign w:val="center"/>
            <w:hideMark/>
          </w:tcPr>
          <w:p w14:paraId="2D6AA99A" w14:textId="77777777" w:rsidR="00387142" w:rsidRPr="008B6A75" w:rsidRDefault="00387142" w:rsidP="00387142">
            <w:pPr>
              <w:jc w:val="right"/>
              <w:rPr>
                <w:bCs/>
                <w:sz w:val="20"/>
                <w:szCs w:val="20"/>
              </w:rPr>
            </w:pPr>
            <w:r w:rsidRPr="008B6A75">
              <w:rPr>
                <w:bCs/>
                <w:sz w:val="20"/>
                <w:szCs w:val="20"/>
              </w:rPr>
              <w:t>3 882 900,00</w:t>
            </w:r>
          </w:p>
        </w:tc>
        <w:tc>
          <w:tcPr>
            <w:tcW w:w="992" w:type="dxa"/>
            <w:gridSpan w:val="2"/>
            <w:tcBorders>
              <w:top w:val="nil"/>
              <w:left w:val="single" w:sz="4" w:space="0" w:color="auto"/>
              <w:bottom w:val="nil"/>
              <w:right w:val="nil"/>
            </w:tcBorders>
            <w:shd w:val="clear" w:color="auto" w:fill="auto"/>
            <w:noWrap/>
            <w:vAlign w:val="center"/>
            <w:hideMark/>
          </w:tcPr>
          <w:p w14:paraId="6FF947D8" w14:textId="77777777" w:rsidR="00387142" w:rsidRPr="008B6A75" w:rsidRDefault="00387142" w:rsidP="00387142">
            <w:pPr>
              <w:jc w:val="right"/>
              <w:rPr>
                <w:bCs/>
                <w:sz w:val="20"/>
                <w:szCs w:val="20"/>
              </w:rPr>
            </w:pPr>
            <w:r w:rsidRPr="008B6A75">
              <w:rPr>
                <w:bCs/>
                <w:sz w:val="20"/>
                <w:szCs w:val="20"/>
              </w:rPr>
              <w:t>4 922 300,00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49460D93" w14:textId="77777777" w:rsidR="00387142" w:rsidRPr="008B6A75" w:rsidRDefault="00387142" w:rsidP="00387142">
            <w:pPr>
              <w:jc w:val="right"/>
              <w:rPr>
                <w:bCs/>
                <w:sz w:val="20"/>
                <w:szCs w:val="20"/>
              </w:rPr>
            </w:pPr>
            <w:r w:rsidRPr="008B6A75">
              <w:rPr>
                <w:bCs/>
                <w:sz w:val="20"/>
                <w:szCs w:val="20"/>
              </w:rPr>
              <w:t>6 500 000,00</w:t>
            </w:r>
          </w:p>
        </w:tc>
        <w:tc>
          <w:tcPr>
            <w:tcW w:w="222" w:type="dxa"/>
            <w:vAlign w:val="center"/>
            <w:hideMark/>
          </w:tcPr>
          <w:p w14:paraId="1F838DA8" w14:textId="77777777" w:rsidR="00387142" w:rsidRPr="008B6A75" w:rsidRDefault="00387142" w:rsidP="00387142">
            <w:pPr>
              <w:rPr>
                <w:sz w:val="20"/>
                <w:szCs w:val="20"/>
              </w:rPr>
            </w:pPr>
          </w:p>
        </w:tc>
      </w:tr>
      <w:tr w:rsidR="00387142" w:rsidRPr="008B6A75" w14:paraId="6F1FC405" w14:textId="77777777" w:rsidTr="00387142">
        <w:trPr>
          <w:trHeight w:val="1725"/>
        </w:trPr>
        <w:tc>
          <w:tcPr>
            <w:tcW w:w="3021" w:type="dxa"/>
            <w:tcBorders>
              <w:top w:val="single" w:sz="4" w:space="0" w:color="auto"/>
              <w:left w:val="single" w:sz="4" w:space="0" w:color="auto"/>
              <w:bottom w:val="nil"/>
              <w:right w:val="nil"/>
            </w:tcBorders>
            <w:shd w:val="clear" w:color="auto" w:fill="auto"/>
            <w:vAlign w:val="center"/>
            <w:hideMark/>
          </w:tcPr>
          <w:p w14:paraId="2914EFED" w14:textId="77777777" w:rsidR="00387142" w:rsidRPr="008B6A75" w:rsidRDefault="00387142" w:rsidP="00387142">
            <w:pPr>
              <w:rPr>
                <w:bCs/>
                <w:sz w:val="20"/>
                <w:szCs w:val="20"/>
              </w:rPr>
            </w:pPr>
            <w:r w:rsidRPr="008B6A75">
              <w:rPr>
                <w:bCs/>
                <w:sz w:val="20"/>
                <w:szCs w:val="20"/>
              </w:rPr>
              <w:t>Реализация мероприятий по созданию системы долговременного ухода за гражданами пожилого возраста и инвалидами государственной программы Новосибирской области "Социальная поддержка в Новосибирской области"</w:t>
            </w:r>
          </w:p>
        </w:tc>
        <w:tc>
          <w:tcPr>
            <w:tcW w:w="850" w:type="dxa"/>
            <w:tcBorders>
              <w:top w:val="single" w:sz="4" w:space="0" w:color="auto"/>
              <w:left w:val="single" w:sz="4" w:space="0" w:color="auto"/>
              <w:bottom w:val="nil"/>
              <w:right w:val="nil"/>
            </w:tcBorders>
            <w:shd w:val="clear" w:color="auto" w:fill="auto"/>
            <w:noWrap/>
            <w:vAlign w:val="center"/>
            <w:hideMark/>
          </w:tcPr>
          <w:p w14:paraId="23450CC0" w14:textId="77777777" w:rsidR="00387142" w:rsidRPr="008B6A75" w:rsidRDefault="00387142" w:rsidP="00387142">
            <w:pPr>
              <w:jc w:val="center"/>
              <w:rPr>
                <w:bCs/>
                <w:sz w:val="20"/>
                <w:szCs w:val="20"/>
              </w:rPr>
            </w:pPr>
            <w:r w:rsidRPr="008B6A75">
              <w:rPr>
                <w:bCs/>
                <w:sz w:val="20"/>
                <w:szCs w:val="20"/>
              </w:rPr>
              <w:t>444</w:t>
            </w:r>
          </w:p>
        </w:tc>
        <w:tc>
          <w:tcPr>
            <w:tcW w:w="709" w:type="dxa"/>
            <w:tcBorders>
              <w:top w:val="single" w:sz="4" w:space="0" w:color="auto"/>
              <w:left w:val="single" w:sz="4" w:space="0" w:color="auto"/>
              <w:bottom w:val="nil"/>
              <w:right w:val="nil"/>
            </w:tcBorders>
            <w:shd w:val="clear" w:color="auto" w:fill="auto"/>
            <w:noWrap/>
            <w:vAlign w:val="center"/>
            <w:hideMark/>
          </w:tcPr>
          <w:p w14:paraId="2B06D753" w14:textId="77777777" w:rsidR="00387142" w:rsidRPr="008B6A75" w:rsidRDefault="00387142" w:rsidP="00387142">
            <w:pPr>
              <w:jc w:val="center"/>
              <w:rPr>
                <w:bCs/>
                <w:sz w:val="20"/>
                <w:szCs w:val="20"/>
              </w:rPr>
            </w:pPr>
            <w:r w:rsidRPr="008B6A75">
              <w:rPr>
                <w:bCs/>
                <w:sz w:val="20"/>
                <w:szCs w:val="20"/>
              </w:rPr>
              <w:t>10</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407F601F" w14:textId="77777777" w:rsidR="00387142" w:rsidRPr="008B6A75" w:rsidRDefault="00387142" w:rsidP="00387142">
            <w:pPr>
              <w:jc w:val="center"/>
              <w:rPr>
                <w:bCs/>
                <w:sz w:val="20"/>
                <w:szCs w:val="20"/>
              </w:rPr>
            </w:pPr>
            <w:r w:rsidRPr="008B6A75">
              <w:rPr>
                <w:bCs/>
                <w:sz w:val="20"/>
                <w:szCs w:val="20"/>
              </w:rPr>
              <w:t>02</w:t>
            </w:r>
          </w:p>
        </w:tc>
        <w:tc>
          <w:tcPr>
            <w:tcW w:w="1411" w:type="dxa"/>
            <w:tcBorders>
              <w:top w:val="single" w:sz="4" w:space="0" w:color="auto"/>
              <w:left w:val="single" w:sz="4" w:space="0" w:color="auto"/>
              <w:bottom w:val="nil"/>
              <w:right w:val="nil"/>
            </w:tcBorders>
            <w:shd w:val="clear" w:color="auto" w:fill="auto"/>
            <w:noWrap/>
            <w:vAlign w:val="center"/>
            <w:hideMark/>
          </w:tcPr>
          <w:p w14:paraId="71975E59" w14:textId="77777777" w:rsidR="00387142" w:rsidRPr="008B6A75" w:rsidRDefault="00387142" w:rsidP="00387142">
            <w:pPr>
              <w:jc w:val="center"/>
              <w:rPr>
                <w:bCs/>
                <w:sz w:val="20"/>
                <w:szCs w:val="20"/>
              </w:rPr>
            </w:pPr>
            <w:r w:rsidRPr="008B6A75">
              <w:rPr>
                <w:bCs/>
                <w:sz w:val="20"/>
                <w:szCs w:val="20"/>
              </w:rPr>
              <w:t>99.0.P3.51630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570B7B69" w14:textId="77777777" w:rsidR="00387142" w:rsidRPr="008B6A75" w:rsidRDefault="00387142" w:rsidP="00387142">
            <w:pPr>
              <w:jc w:val="center"/>
              <w:rPr>
                <w:bCs/>
                <w:sz w:val="20"/>
                <w:szCs w:val="20"/>
              </w:rPr>
            </w:pPr>
            <w:r w:rsidRPr="008B6A75">
              <w:rPr>
                <w:bCs/>
                <w:sz w:val="20"/>
                <w:szCs w:val="20"/>
              </w:rPr>
              <w:t> </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6E8A4761" w14:textId="77777777" w:rsidR="00387142" w:rsidRPr="008B6A75" w:rsidRDefault="00387142" w:rsidP="00387142">
            <w:pPr>
              <w:jc w:val="right"/>
              <w:rPr>
                <w:bCs/>
                <w:sz w:val="20"/>
                <w:szCs w:val="20"/>
              </w:rPr>
            </w:pPr>
            <w:r w:rsidRPr="008B6A75">
              <w:rPr>
                <w:bCs/>
                <w:sz w:val="20"/>
                <w:szCs w:val="20"/>
              </w:rPr>
              <w:t>3 882 900,00</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49E14514" w14:textId="77777777" w:rsidR="00387142" w:rsidRPr="008B6A75" w:rsidRDefault="00387142" w:rsidP="00387142">
            <w:pPr>
              <w:jc w:val="right"/>
              <w:rPr>
                <w:bCs/>
                <w:sz w:val="20"/>
                <w:szCs w:val="20"/>
              </w:rPr>
            </w:pPr>
            <w:r w:rsidRPr="008B6A75">
              <w:rPr>
                <w:bCs/>
                <w:sz w:val="20"/>
                <w:szCs w:val="20"/>
              </w:rPr>
              <w:t>4 922 300,00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6223FF62" w14:textId="77777777" w:rsidR="00387142" w:rsidRPr="008B6A75" w:rsidRDefault="00387142" w:rsidP="00387142">
            <w:pPr>
              <w:jc w:val="right"/>
              <w:rPr>
                <w:bCs/>
                <w:sz w:val="20"/>
                <w:szCs w:val="20"/>
              </w:rPr>
            </w:pPr>
            <w:r w:rsidRPr="008B6A75">
              <w:rPr>
                <w:bCs/>
                <w:sz w:val="20"/>
                <w:szCs w:val="20"/>
              </w:rPr>
              <w:t>6 500 000,00</w:t>
            </w:r>
          </w:p>
        </w:tc>
        <w:tc>
          <w:tcPr>
            <w:tcW w:w="222" w:type="dxa"/>
            <w:vAlign w:val="center"/>
            <w:hideMark/>
          </w:tcPr>
          <w:p w14:paraId="1A093AC1" w14:textId="77777777" w:rsidR="00387142" w:rsidRPr="008B6A75" w:rsidRDefault="00387142" w:rsidP="00387142">
            <w:pPr>
              <w:rPr>
                <w:sz w:val="20"/>
                <w:szCs w:val="20"/>
              </w:rPr>
            </w:pPr>
          </w:p>
        </w:tc>
      </w:tr>
      <w:tr w:rsidR="00387142" w:rsidRPr="008B6A75" w14:paraId="500BE739" w14:textId="77777777" w:rsidTr="00387142">
        <w:trPr>
          <w:trHeight w:val="870"/>
        </w:trPr>
        <w:tc>
          <w:tcPr>
            <w:tcW w:w="3021" w:type="dxa"/>
            <w:tcBorders>
              <w:top w:val="single" w:sz="4" w:space="0" w:color="auto"/>
              <w:left w:val="single" w:sz="4" w:space="0" w:color="auto"/>
              <w:bottom w:val="nil"/>
              <w:right w:val="nil"/>
            </w:tcBorders>
            <w:shd w:val="clear" w:color="auto" w:fill="auto"/>
            <w:vAlign w:val="center"/>
            <w:hideMark/>
          </w:tcPr>
          <w:p w14:paraId="30AFDFB7" w14:textId="77777777" w:rsidR="00387142" w:rsidRPr="008B6A75" w:rsidRDefault="00387142" w:rsidP="00387142">
            <w:pPr>
              <w:rPr>
                <w:sz w:val="20"/>
                <w:szCs w:val="20"/>
              </w:rPr>
            </w:pPr>
            <w:r w:rsidRPr="008B6A75">
              <w:rPr>
                <w:sz w:val="20"/>
                <w:szCs w:val="20"/>
              </w:rPr>
              <w:t>Предоставление субсидий бюджетным, автономным учреждениям и иным некоммерческим организациям</w:t>
            </w:r>
          </w:p>
        </w:tc>
        <w:tc>
          <w:tcPr>
            <w:tcW w:w="850" w:type="dxa"/>
            <w:tcBorders>
              <w:top w:val="single" w:sz="4" w:space="0" w:color="auto"/>
              <w:left w:val="single" w:sz="4" w:space="0" w:color="auto"/>
              <w:bottom w:val="nil"/>
              <w:right w:val="nil"/>
            </w:tcBorders>
            <w:shd w:val="clear" w:color="auto" w:fill="auto"/>
            <w:noWrap/>
            <w:vAlign w:val="center"/>
            <w:hideMark/>
          </w:tcPr>
          <w:p w14:paraId="66263889" w14:textId="77777777" w:rsidR="00387142" w:rsidRPr="008B6A75" w:rsidRDefault="00387142" w:rsidP="00387142">
            <w:pPr>
              <w:jc w:val="center"/>
              <w:rPr>
                <w:sz w:val="20"/>
                <w:szCs w:val="20"/>
              </w:rPr>
            </w:pPr>
            <w:r w:rsidRPr="008B6A75">
              <w:rPr>
                <w:sz w:val="20"/>
                <w:szCs w:val="20"/>
              </w:rPr>
              <w:t>444</w:t>
            </w:r>
          </w:p>
        </w:tc>
        <w:tc>
          <w:tcPr>
            <w:tcW w:w="709" w:type="dxa"/>
            <w:tcBorders>
              <w:top w:val="single" w:sz="4" w:space="0" w:color="auto"/>
              <w:left w:val="single" w:sz="4" w:space="0" w:color="auto"/>
              <w:bottom w:val="nil"/>
              <w:right w:val="nil"/>
            </w:tcBorders>
            <w:shd w:val="clear" w:color="auto" w:fill="auto"/>
            <w:noWrap/>
            <w:vAlign w:val="center"/>
            <w:hideMark/>
          </w:tcPr>
          <w:p w14:paraId="6353BD6E" w14:textId="77777777" w:rsidR="00387142" w:rsidRPr="008B6A75" w:rsidRDefault="00387142" w:rsidP="00387142">
            <w:pPr>
              <w:jc w:val="center"/>
              <w:rPr>
                <w:sz w:val="20"/>
                <w:szCs w:val="20"/>
              </w:rPr>
            </w:pPr>
            <w:r w:rsidRPr="008B6A75">
              <w:rPr>
                <w:sz w:val="20"/>
                <w:szCs w:val="20"/>
              </w:rPr>
              <w:t>10</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1E9700C0" w14:textId="77777777" w:rsidR="00387142" w:rsidRPr="008B6A75" w:rsidRDefault="00387142" w:rsidP="00387142">
            <w:pPr>
              <w:jc w:val="center"/>
              <w:rPr>
                <w:sz w:val="20"/>
                <w:szCs w:val="20"/>
              </w:rPr>
            </w:pPr>
            <w:r w:rsidRPr="008B6A75">
              <w:rPr>
                <w:sz w:val="20"/>
                <w:szCs w:val="20"/>
              </w:rPr>
              <w:t>02</w:t>
            </w:r>
          </w:p>
        </w:tc>
        <w:tc>
          <w:tcPr>
            <w:tcW w:w="1411" w:type="dxa"/>
            <w:tcBorders>
              <w:top w:val="single" w:sz="4" w:space="0" w:color="auto"/>
              <w:left w:val="single" w:sz="4" w:space="0" w:color="auto"/>
              <w:bottom w:val="nil"/>
              <w:right w:val="nil"/>
            </w:tcBorders>
            <w:shd w:val="clear" w:color="auto" w:fill="auto"/>
            <w:noWrap/>
            <w:vAlign w:val="center"/>
            <w:hideMark/>
          </w:tcPr>
          <w:p w14:paraId="22048CC9" w14:textId="77777777" w:rsidR="00387142" w:rsidRPr="008B6A75" w:rsidRDefault="00387142" w:rsidP="00387142">
            <w:pPr>
              <w:jc w:val="center"/>
              <w:rPr>
                <w:sz w:val="20"/>
                <w:szCs w:val="20"/>
              </w:rPr>
            </w:pPr>
            <w:r w:rsidRPr="008B6A75">
              <w:rPr>
                <w:sz w:val="20"/>
                <w:szCs w:val="20"/>
              </w:rPr>
              <w:t>99.0.P3.51630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2399B5FD" w14:textId="77777777" w:rsidR="00387142" w:rsidRPr="008B6A75" w:rsidRDefault="00387142" w:rsidP="00387142">
            <w:pPr>
              <w:jc w:val="center"/>
              <w:rPr>
                <w:sz w:val="20"/>
                <w:szCs w:val="20"/>
              </w:rPr>
            </w:pPr>
            <w:r w:rsidRPr="008B6A75">
              <w:rPr>
                <w:sz w:val="20"/>
                <w:szCs w:val="20"/>
              </w:rPr>
              <w:t>600</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5AE782E0" w14:textId="77777777" w:rsidR="00387142" w:rsidRPr="008B6A75" w:rsidRDefault="00387142" w:rsidP="00387142">
            <w:pPr>
              <w:jc w:val="right"/>
              <w:rPr>
                <w:sz w:val="20"/>
                <w:szCs w:val="20"/>
              </w:rPr>
            </w:pPr>
            <w:r w:rsidRPr="008B6A75">
              <w:rPr>
                <w:sz w:val="20"/>
                <w:szCs w:val="20"/>
              </w:rPr>
              <w:t>3 882 900,00</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7E94AEA7" w14:textId="77777777" w:rsidR="00387142" w:rsidRPr="008B6A75" w:rsidRDefault="00387142" w:rsidP="00387142">
            <w:pPr>
              <w:jc w:val="right"/>
              <w:rPr>
                <w:sz w:val="20"/>
                <w:szCs w:val="20"/>
              </w:rPr>
            </w:pPr>
            <w:r w:rsidRPr="008B6A75">
              <w:rPr>
                <w:sz w:val="20"/>
                <w:szCs w:val="20"/>
              </w:rPr>
              <w:t>4 922 300,00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28FD305C" w14:textId="77777777" w:rsidR="00387142" w:rsidRPr="008B6A75" w:rsidRDefault="00387142" w:rsidP="00387142">
            <w:pPr>
              <w:jc w:val="right"/>
              <w:rPr>
                <w:sz w:val="20"/>
                <w:szCs w:val="20"/>
              </w:rPr>
            </w:pPr>
            <w:r w:rsidRPr="008B6A75">
              <w:rPr>
                <w:sz w:val="20"/>
                <w:szCs w:val="20"/>
              </w:rPr>
              <w:t>6 500 000,00</w:t>
            </w:r>
          </w:p>
        </w:tc>
        <w:tc>
          <w:tcPr>
            <w:tcW w:w="222" w:type="dxa"/>
            <w:vAlign w:val="center"/>
            <w:hideMark/>
          </w:tcPr>
          <w:p w14:paraId="1434FE49" w14:textId="77777777" w:rsidR="00387142" w:rsidRPr="008B6A75" w:rsidRDefault="00387142" w:rsidP="00387142">
            <w:pPr>
              <w:rPr>
                <w:sz w:val="20"/>
                <w:szCs w:val="20"/>
              </w:rPr>
            </w:pPr>
          </w:p>
        </w:tc>
      </w:tr>
      <w:tr w:rsidR="00387142" w:rsidRPr="008B6A75" w14:paraId="5EA5A430" w14:textId="77777777" w:rsidTr="00387142">
        <w:trPr>
          <w:trHeight w:val="300"/>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73B25217" w14:textId="77777777" w:rsidR="00387142" w:rsidRPr="008B6A75" w:rsidRDefault="00387142" w:rsidP="00387142">
            <w:pPr>
              <w:rPr>
                <w:sz w:val="20"/>
                <w:szCs w:val="20"/>
              </w:rPr>
            </w:pPr>
            <w:r w:rsidRPr="008B6A75">
              <w:rPr>
                <w:sz w:val="20"/>
                <w:szCs w:val="20"/>
              </w:rPr>
              <w:t>Субсидии бюджетным учреждениям</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1B043B23" w14:textId="77777777" w:rsidR="00387142" w:rsidRPr="008B6A75" w:rsidRDefault="00387142" w:rsidP="00387142">
            <w:pPr>
              <w:jc w:val="center"/>
              <w:rPr>
                <w:sz w:val="20"/>
                <w:szCs w:val="20"/>
              </w:rPr>
            </w:pPr>
            <w:r w:rsidRPr="008B6A75">
              <w:rPr>
                <w:sz w:val="20"/>
                <w:szCs w:val="20"/>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0C5D6E15" w14:textId="77777777" w:rsidR="00387142" w:rsidRPr="008B6A75" w:rsidRDefault="00387142" w:rsidP="00387142">
            <w:pPr>
              <w:jc w:val="center"/>
              <w:rPr>
                <w:sz w:val="20"/>
                <w:szCs w:val="20"/>
              </w:rPr>
            </w:pPr>
            <w:r w:rsidRPr="008B6A75">
              <w:rPr>
                <w:sz w:val="20"/>
                <w:szCs w:val="20"/>
              </w:rPr>
              <w:t>10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54D03A" w14:textId="77777777" w:rsidR="00387142" w:rsidRPr="008B6A75" w:rsidRDefault="00387142" w:rsidP="00387142">
            <w:pPr>
              <w:jc w:val="center"/>
              <w:rPr>
                <w:sz w:val="20"/>
                <w:szCs w:val="20"/>
              </w:rPr>
            </w:pPr>
            <w:r w:rsidRPr="008B6A75">
              <w:rPr>
                <w:sz w:val="20"/>
                <w:szCs w:val="20"/>
              </w:rPr>
              <w:t>02</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0BC52E8B" w14:textId="77777777" w:rsidR="00387142" w:rsidRPr="008B6A75" w:rsidRDefault="00387142" w:rsidP="00387142">
            <w:pPr>
              <w:jc w:val="center"/>
              <w:rPr>
                <w:sz w:val="20"/>
                <w:szCs w:val="20"/>
              </w:rPr>
            </w:pPr>
            <w:r w:rsidRPr="008B6A75">
              <w:rPr>
                <w:sz w:val="20"/>
                <w:szCs w:val="20"/>
              </w:rPr>
              <w:t>99.0.P3.51630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974C83" w14:textId="77777777" w:rsidR="00387142" w:rsidRPr="008B6A75" w:rsidRDefault="00387142" w:rsidP="00387142">
            <w:pPr>
              <w:jc w:val="center"/>
              <w:rPr>
                <w:sz w:val="20"/>
                <w:szCs w:val="20"/>
              </w:rPr>
            </w:pPr>
            <w:r w:rsidRPr="008B6A75">
              <w:rPr>
                <w:sz w:val="20"/>
                <w:szCs w:val="20"/>
              </w:rPr>
              <w:t>610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5EF20B" w14:textId="77777777" w:rsidR="00387142" w:rsidRPr="008B6A75" w:rsidRDefault="00387142" w:rsidP="00387142">
            <w:pPr>
              <w:jc w:val="right"/>
              <w:rPr>
                <w:sz w:val="20"/>
                <w:szCs w:val="20"/>
              </w:rPr>
            </w:pPr>
            <w:r w:rsidRPr="008B6A75">
              <w:rPr>
                <w:sz w:val="20"/>
                <w:szCs w:val="20"/>
              </w:rPr>
              <w:t>3 882 900,00</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7678492A" w14:textId="77777777" w:rsidR="00387142" w:rsidRPr="008B6A75" w:rsidRDefault="00387142" w:rsidP="00387142">
            <w:pPr>
              <w:jc w:val="right"/>
              <w:rPr>
                <w:sz w:val="20"/>
                <w:szCs w:val="20"/>
              </w:rPr>
            </w:pPr>
            <w:r w:rsidRPr="008B6A75">
              <w:rPr>
                <w:sz w:val="20"/>
                <w:szCs w:val="20"/>
              </w:rPr>
              <w:t>4 922 300,00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9BC0CC" w14:textId="77777777" w:rsidR="00387142" w:rsidRPr="008B6A75" w:rsidRDefault="00387142" w:rsidP="00387142">
            <w:pPr>
              <w:jc w:val="right"/>
              <w:rPr>
                <w:sz w:val="20"/>
                <w:szCs w:val="20"/>
              </w:rPr>
            </w:pPr>
            <w:r w:rsidRPr="008B6A75">
              <w:rPr>
                <w:sz w:val="20"/>
                <w:szCs w:val="20"/>
              </w:rPr>
              <w:t>6 500 000,00</w:t>
            </w:r>
          </w:p>
        </w:tc>
        <w:tc>
          <w:tcPr>
            <w:tcW w:w="222" w:type="dxa"/>
            <w:vAlign w:val="center"/>
            <w:hideMark/>
          </w:tcPr>
          <w:p w14:paraId="15404BB9" w14:textId="77777777" w:rsidR="00387142" w:rsidRPr="008B6A75" w:rsidRDefault="00387142" w:rsidP="00387142">
            <w:pPr>
              <w:rPr>
                <w:sz w:val="20"/>
                <w:szCs w:val="20"/>
              </w:rPr>
            </w:pPr>
          </w:p>
        </w:tc>
      </w:tr>
      <w:tr w:rsidR="00387142" w:rsidRPr="008B6A75" w14:paraId="7831C448" w14:textId="77777777" w:rsidTr="00387142">
        <w:trPr>
          <w:trHeight w:val="300"/>
        </w:trPr>
        <w:tc>
          <w:tcPr>
            <w:tcW w:w="3021" w:type="dxa"/>
            <w:tcBorders>
              <w:top w:val="nil"/>
              <w:left w:val="single" w:sz="4" w:space="0" w:color="auto"/>
              <w:bottom w:val="nil"/>
              <w:right w:val="nil"/>
            </w:tcBorders>
            <w:shd w:val="clear" w:color="auto" w:fill="auto"/>
            <w:vAlign w:val="center"/>
            <w:hideMark/>
          </w:tcPr>
          <w:p w14:paraId="1398B72F" w14:textId="77777777" w:rsidR="00387142" w:rsidRPr="008B6A75" w:rsidRDefault="00387142" w:rsidP="00387142">
            <w:pPr>
              <w:rPr>
                <w:bCs/>
                <w:sz w:val="20"/>
                <w:szCs w:val="20"/>
              </w:rPr>
            </w:pPr>
            <w:r w:rsidRPr="008B6A75">
              <w:rPr>
                <w:bCs/>
                <w:sz w:val="20"/>
                <w:szCs w:val="20"/>
              </w:rPr>
              <w:t>Социальное обеспечение населения</w:t>
            </w:r>
          </w:p>
        </w:tc>
        <w:tc>
          <w:tcPr>
            <w:tcW w:w="850" w:type="dxa"/>
            <w:tcBorders>
              <w:top w:val="nil"/>
              <w:left w:val="single" w:sz="4" w:space="0" w:color="auto"/>
              <w:bottom w:val="nil"/>
              <w:right w:val="nil"/>
            </w:tcBorders>
            <w:shd w:val="clear" w:color="auto" w:fill="auto"/>
            <w:noWrap/>
            <w:vAlign w:val="center"/>
            <w:hideMark/>
          </w:tcPr>
          <w:p w14:paraId="64B82F35" w14:textId="77777777" w:rsidR="00387142" w:rsidRPr="008B6A75" w:rsidRDefault="00387142" w:rsidP="00387142">
            <w:pPr>
              <w:jc w:val="center"/>
              <w:rPr>
                <w:bCs/>
                <w:sz w:val="20"/>
                <w:szCs w:val="20"/>
              </w:rPr>
            </w:pPr>
            <w:r w:rsidRPr="008B6A75">
              <w:rPr>
                <w:bCs/>
                <w:sz w:val="20"/>
                <w:szCs w:val="20"/>
              </w:rPr>
              <w:t>444</w:t>
            </w:r>
          </w:p>
        </w:tc>
        <w:tc>
          <w:tcPr>
            <w:tcW w:w="709" w:type="dxa"/>
            <w:tcBorders>
              <w:top w:val="nil"/>
              <w:left w:val="single" w:sz="4" w:space="0" w:color="auto"/>
              <w:bottom w:val="nil"/>
              <w:right w:val="nil"/>
            </w:tcBorders>
            <w:shd w:val="clear" w:color="auto" w:fill="auto"/>
            <w:noWrap/>
            <w:vAlign w:val="center"/>
            <w:hideMark/>
          </w:tcPr>
          <w:p w14:paraId="08F7F9BF" w14:textId="77777777" w:rsidR="00387142" w:rsidRPr="008B6A75" w:rsidRDefault="00387142" w:rsidP="00387142">
            <w:pPr>
              <w:jc w:val="center"/>
              <w:rPr>
                <w:bCs/>
                <w:sz w:val="20"/>
                <w:szCs w:val="20"/>
              </w:rPr>
            </w:pPr>
            <w:r w:rsidRPr="008B6A75">
              <w:rPr>
                <w:bCs/>
                <w:sz w:val="20"/>
                <w:szCs w:val="20"/>
              </w:rPr>
              <w:t>10</w:t>
            </w:r>
          </w:p>
        </w:tc>
        <w:tc>
          <w:tcPr>
            <w:tcW w:w="709" w:type="dxa"/>
            <w:tcBorders>
              <w:top w:val="nil"/>
              <w:left w:val="single" w:sz="4" w:space="0" w:color="auto"/>
              <w:bottom w:val="nil"/>
              <w:right w:val="single" w:sz="4" w:space="0" w:color="auto"/>
            </w:tcBorders>
            <w:shd w:val="clear" w:color="auto" w:fill="auto"/>
            <w:noWrap/>
            <w:vAlign w:val="center"/>
            <w:hideMark/>
          </w:tcPr>
          <w:p w14:paraId="2C34C0AC" w14:textId="77777777" w:rsidR="00387142" w:rsidRPr="008B6A75" w:rsidRDefault="00387142" w:rsidP="00387142">
            <w:pPr>
              <w:jc w:val="center"/>
              <w:rPr>
                <w:bCs/>
                <w:sz w:val="20"/>
                <w:szCs w:val="20"/>
              </w:rPr>
            </w:pPr>
            <w:r w:rsidRPr="008B6A75">
              <w:rPr>
                <w:bCs/>
                <w:sz w:val="20"/>
                <w:szCs w:val="20"/>
              </w:rPr>
              <w:t>03</w:t>
            </w:r>
          </w:p>
        </w:tc>
        <w:tc>
          <w:tcPr>
            <w:tcW w:w="1411" w:type="dxa"/>
            <w:tcBorders>
              <w:top w:val="nil"/>
              <w:left w:val="single" w:sz="4" w:space="0" w:color="auto"/>
              <w:bottom w:val="nil"/>
              <w:right w:val="nil"/>
            </w:tcBorders>
            <w:shd w:val="clear" w:color="auto" w:fill="auto"/>
            <w:noWrap/>
            <w:vAlign w:val="center"/>
            <w:hideMark/>
          </w:tcPr>
          <w:p w14:paraId="7ED0475E" w14:textId="77777777" w:rsidR="00387142" w:rsidRPr="008B6A75" w:rsidRDefault="00387142" w:rsidP="00387142">
            <w:pPr>
              <w:jc w:val="center"/>
              <w:rPr>
                <w:bCs/>
                <w:sz w:val="20"/>
                <w:szCs w:val="20"/>
              </w:rPr>
            </w:pPr>
            <w:r w:rsidRPr="008B6A75">
              <w:rPr>
                <w:bCs/>
                <w:sz w:val="20"/>
                <w:szCs w:val="20"/>
              </w:rPr>
              <w:t> </w:t>
            </w:r>
          </w:p>
        </w:tc>
        <w:tc>
          <w:tcPr>
            <w:tcW w:w="955" w:type="dxa"/>
            <w:tcBorders>
              <w:top w:val="nil"/>
              <w:left w:val="single" w:sz="4" w:space="0" w:color="auto"/>
              <w:bottom w:val="nil"/>
              <w:right w:val="single" w:sz="4" w:space="0" w:color="auto"/>
            </w:tcBorders>
            <w:shd w:val="clear" w:color="auto" w:fill="auto"/>
            <w:noWrap/>
            <w:vAlign w:val="center"/>
            <w:hideMark/>
          </w:tcPr>
          <w:p w14:paraId="174EECE4"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nil"/>
              <w:right w:val="single" w:sz="4" w:space="0" w:color="auto"/>
            </w:tcBorders>
            <w:shd w:val="clear" w:color="auto" w:fill="auto"/>
            <w:noWrap/>
            <w:vAlign w:val="center"/>
            <w:hideMark/>
          </w:tcPr>
          <w:p w14:paraId="49E2B787" w14:textId="77777777" w:rsidR="00387142" w:rsidRPr="008B6A75" w:rsidRDefault="00387142" w:rsidP="00387142">
            <w:pPr>
              <w:jc w:val="right"/>
              <w:rPr>
                <w:bCs/>
                <w:sz w:val="20"/>
                <w:szCs w:val="20"/>
              </w:rPr>
            </w:pPr>
            <w:r w:rsidRPr="008B6A75">
              <w:rPr>
                <w:bCs/>
                <w:sz w:val="20"/>
                <w:szCs w:val="20"/>
              </w:rPr>
              <w:t>10 736 446,80</w:t>
            </w:r>
          </w:p>
        </w:tc>
        <w:tc>
          <w:tcPr>
            <w:tcW w:w="992" w:type="dxa"/>
            <w:gridSpan w:val="2"/>
            <w:tcBorders>
              <w:top w:val="nil"/>
              <w:left w:val="single" w:sz="4" w:space="0" w:color="auto"/>
              <w:bottom w:val="nil"/>
              <w:right w:val="nil"/>
            </w:tcBorders>
            <w:shd w:val="clear" w:color="auto" w:fill="auto"/>
            <w:noWrap/>
            <w:vAlign w:val="center"/>
            <w:hideMark/>
          </w:tcPr>
          <w:p w14:paraId="19A78193" w14:textId="77777777" w:rsidR="00387142" w:rsidRPr="008B6A75" w:rsidRDefault="00387142" w:rsidP="00387142">
            <w:pPr>
              <w:jc w:val="right"/>
              <w:rPr>
                <w:bCs/>
                <w:sz w:val="20"/>
                <w:szCs w:val="20"/>
              </w:rPr>
            </w:pPr>
            <w:r w:rsidRPr="008B6A75">
              <w:rPr>
                <w:bCs/>
                <w:sz w:val="20"/>
                <w:szCs w:val="20"/>
              </w:rPr>
              <w:t>4 543 814,52</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4A229B79" w14:textId="77777777" w:rsidR="00387142" w:rsidRPr="008B6A75" w:rsidRDefault="00387142" w:rsidP="00387142">
            <w:pPr>
              <w:jc w:val="right"/>
              <w:rPr>
                <w:bCs/>
                <w:sz w:val="20"/>
                <w:szCs w:val="20"/>
              </w:rPr>
            </w:pPr>
            <w:r w:rsidRPr="008B6A75">
              <w:rPr>
                <w:bCs/>
                <w:sz w:val="20"/>
                <w:szCs w:val="20"/>
              </w:rPr>
              <w:t>3 888 500,00</w:t>
            </w:r>
          </w:p>
        </w:tc>
        <w:tc>
          <w:tcPr>
            <w:tcW w:w="222" w:type="dxa"/>
            <w:vAlign w:val="center"/>
            <w:hideMark/>
          </w:tcPr>
          <w:p w14:paraId="2CB35E34" w14:textId="77777777" w:rsidR="00387142" w:rsidRPr="008B6A75" w:rsidRDefault="00387142" w:rsidP="00387142">
            <w:pPr>
              <w:rPr>
                <w:sz w:val="20"/>
                <w:szCs w:val="20"/>
              </w:rPr>
            </w:pPr>
          </w:p>
        </w:tc>
      </w:tr>
      <w:tr w:rsidR="00387142" w:rsidRPr="008B6A75" w14:paraId="39A48018" w14:textId="77777777" w:rsidTr="00387142">
        <w:trPr>
          <w:trHeight w:val="870"/>
        </w:trPr>
        <w:tc>
          <w:tcPr>
            <w:tcW w:w="3021" w:type="dxa"/>
            <w:tcBorders>
              <w:top w:val="single" w:sz="4" w:space="0" w:color="auto"/>
              <w:left w:val="single" w:sz="4" w:space="0" w:color="auto"/>
              <w:bottom w:val="nil"/>
              <w:right w:val="nil"/>
            </w:tcBorders>
            <w:shd w:val="clear" w:color="auto" w:fill="auto"/>
            <w:vAlign w:val="center"/>
            <w:hideMark/>
          </w:tcPr>
          <w:p w14:paraId="284404BB" w14:textId="77777777" w:rsidR="00387142" w:rsidRPr="008B6A75" w:rsidRDefault="00387142" w:rsidP="00387142">
            <w:pPr>
              <w:rPr>
                <w:bCs/>
                <w:sz w:val="20"/>
                <w:szCs w:val="20"/>
              </w:rPr>
            </w:pPr>
            <w:r w:rsidRPr="008B6A75">
              <w:rPr>
                <w:bCs/>
                <w:sz w:val="20"/>
                <w:szCs w:val="20"/>
              </w:rPr>
              <w:t>Муниципальная программа "Комплексное развитие сельских территорий в Куйбышевском районе"</w:t>
            </w:r>
          </w:p>
        </w:tc>
        <w:tc>
          <w:tcPr>
            <w:tcW w:w="850" w:type="dxa"/>
            <w:tcBorders>
              <w:top w:val="single" w:sz="4" w:space="0" w:color="auto"/>
              <w:left w:val="single" w:sz="4" w:space="0" w:color="auto"/>
              <w:bottom w:val="nil"/>
              <w:right w:val="nil"/>
            </w:tcBorders>
            <w:shd w:val="clear" w:color="auto" w:fill="auto"/>
            <w:noWrap/>
            <w:vAlign w:val="center"/>
            <w:hideMark/>
          </w:tcPr>
          <w:p w14:paraId="5476361A" w14:textId="77777777" w:rsidR="00387142" w:rsidRPr="008B6A75" w:rsidRDefault="00387142" w:rsidP="00387142">
            <w:pPr>
              <w:jc w:val="center"/>
              <w:rPr>
                <w:bCs/>
                <w:sz w:val="20"/>
                <w:szCs w:val="20"/>
              </w:rPr>
            </w:pPr>
            <w:r w:rsidRPr="008B6A75">
              <w:rPr>
                <w:bCs/>
                <w:sz w:val="20"/>
                <w:szCs w:val="20"/>
              </w:rPr>
              <w:t>444</w:t>
            </w:r>
          </w:p>
        </w:tc>
        <w:tc>
          <w:tcPr>
            <w:tcW w:w="709" w:type="dxa"/>
            <w:tcBorders>
              <w:top w:val="single" w:sz="4" w:space="0" w:color="auto"/>
              <w:left w:val="single" w:sz="4" w:space="0" w:color="auto"/>
              <w:bottom w:val="nil"/>
              <w:right w:val="nil"/>
            </w:tcBorders>
            <w:shd w:val="clear" w:color="auto" w:fill="auto"/>
            <w:noWrap/>
            <w:vAlign w:val="center"/>
            <w:hideMark/>
          </w:tcPr>
          <w:p w14:paraId="560657D0" w14:textId="77777777" w:rsidR="00387142" w:rsidRPr="008B6A75" w:rsidRDefault="00387142" w:rsidP="00387142">
            <w:pPr>
              <w:jc w:val="center"/>
              <w:rPr>
                <w:bCs/>
                <w:sz w:val="20"/>
                <w:szCs w:val="20"/>
              </w:rPr>
            </w:pPr>
            <w:r w:rsidRPr="008B6A75">
              <w:rPr>
                <w:bCs/>
                <w:sz w:val="20"/>
                <w:szCs w:val="20"/>
              </w:rPr>
              <w:t>10</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4C63B4A2" w14:textId="77777777" w:rsidR="00387142" w:rsidRPr="008B6A75" w:rsidRDefault="00387142" w:rsidP="00387142">
            <w:pPr>
              <w:jc w:val="center"/>
              <w:rPr>
                <w:bCs/>
                <w:sz w:val="20"/>
                <w:szCs w:val="20"/>
              </w:rPr>
            </w:pPr>
            <w:r w:rsidRPr="008B6A75">
              <w:rPr>
                <w:bCs/>
                <w:sz w:val="20"/>
                <w:szCs w:val="20"/>
              </w:rPr>
              <w:t>03</w:t>
            </w:r>
          </w:p>
        </w:tc>
        <w:tc>
          <w:tcPr>
            <w:tcW w:w="1411" w:type="dxa"/>
            <w:tcBorders>
              <w:top w:val="single" w:sz="4" w:space="0" w:color="auto"/>
              <w:left w:val="single" w:sz="4" w:space="0" w:color="auto"/>
              <w:bottom w:val="nil"/>
              <w:right w:val="nil"/>
            </w:tcBorders>
            <w:shd w:val="clear" w:color="auto" w:fill="auto"/>
            <w:noWrap/>
            <w:vAlign w:val="center"/>
            <w:hideMark/>
          </w:tcPr>
          <w:p w14:paraId="28157E2C" w14:textId="77777777" w:rsidR="00387142" w:rsidRPr="008B6A75" w:rsidRDefault="00387142" w:rsidP="00387142">
            <w:pPr>
              <w:jc w:val="center"/>
              <w:rPr>
                <w:bCs/>
                <w:sz w:val="20"/>
                <w:szCs w:val="20"/>
              </w:rPr>
            </w:pPr>
            <w:r w:rsidRPr="008B6A75">
              <w:rPr>
                <w:bCs/>
                <w:sz w:val="20"/>
                <w:szCs w:val="20"/>
              </w:rPr>
              <w:t>06.0.00.00000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5B963739" w14:textId="77777777" w:rsidR="00387142" w:rsidRPr="008B6A75" w:rsidRDefault="00387142" w:rsidP="00387142">
            <w:pPr>
              <w:jc w:val="center"/>
              <w:rPr>
                <w:bCs/>
                <w:sz w:val="20"/>
                <w:szCs w:val="20"/>
              </w:rPr>
            </w:pPr>
            <w:r w:rsidRPr="008B6A75">
              <w:rPr>
                <w:bCs/>
                <w:sz w:val="20"/>
                <w:szCs w:val="20"/>
              </w:rPr>
              <w:t> </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2CD16C5C" w14:textId="77777777" w:rsidR="00387142" w:rsidRPr="008B6A75" w:rsidRDefault="00387142" w:rsidP="00387142">
            <w:pPr>
              <w:jc w:val="right"/>
              <w:rPr>
                <w:bCs/>
                <w:sz w:val="20"/>
                <w:szCs w:val="20"/>
              </w:rPr>
            </w:pPr>
            <w:r w:rsidRPr="008B6A75">
              <w:rPr>
                <w:bCs/>
                <w:sz w:val="20"/>
                <w:szCs w:val="20"/>
              </w:rPr>
              <w:t>1 469 000,00</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7936D96A" w14:textId="77777777" w:rsidR="00387142" w:rsidRPr="008B6A75" w:rsidRDefault="00387142" w:rsidP="00387142">
            <w:pPr>
              <w:jc w:val="right"/>
              <w:rPr>
                <w:bCs/>
                <w:sz w:val="20"/>
                <w:szCs w:val="20"/>
              </w:rPr>
            </w:pPr>
            <w:r w:rsidRPr="008B6A75">
              <w:rPr>
                <w:bCs/>
                <w:sz w:val="20"/>
                <w:szCs w:val="20"/>
              </w:rPr>
              <w:t>1 163 114,52</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483FA919" w14:textId="77777777" w:rsidR="00387142" w:rsidRPr="008B6A75" w:rsidRDefault="00387142" w:rsidP="00387142">
            <w:pPr>
              <w:jc w:val="right"/>
              <w:rPr>
                <w:bCs/>
                <w:sz w:val="20"/>
                <w:szCs w:val="20"/>
              </w:rPr>
            </w:pPr>
            <w:r w:rsidRPr="008B6A75">
              <w:rPr>
                <w:bCs/>
                <w:sz w:val="20"/>
                <w:szCs w:val="20"/>
              </w:rPr>
              <w:t>0,00</w:t>
            </w:r>
          </w:p>
        </w:tc>
        <w:tc>
          <w:tcPr>
            <w:tcW w:w="222" w:type="dxa"/>
            <w:vAlign w:val="center"/>
            <w:hideMark/>
          </w:tcPr>
          <w:p w14:paraId="4D470C02" w14:textId="77777777" w:rsidR="00387142" w:rsidRPr="008B6A75" w:rsidRDefault="00387142" w:rsidP="00387142">
            <w:pPr>
              <w:rPr>
                <w:sz w:val="20"/>
                <w:szCs w:val="20"/>
              </w:rPr>
            </w:pPr>
          </w:p>
        </w:tc>
      </w:tr>
      <w:tr w:rsidR="00387142" w:rsidRPr="008B6A75" w14:paraId="51817A59" w14:textId="77777777" w:rsidTr="00387142">
        <w:trPr>
          <w:trHeight w:val="1725"/>
        </w:trPr>
        <w:tc>
          <w:tcPr>
            <w:tcW w:w="3021" w:type="dxa"/>
            <w:tcBorders>
              <w:top w:val="single" w:sz="4" w:space="0" w:color="auto"/>
              <w:left w:val="single" w:sz="4" w:space="0" w:color="auto"/>
              <w:bottom w:val="nil"/>
              <w:right w:val="nil"/>
            </w:tcBorders>
            <w:shd w:val="clear" w:color="auto" w:fill="auto"/>
            <w:vAlign w:val="center"/>
            <w:hideMark/>
          </w:tcPr>
          <w:p w14:paraId="76D2EA9D" w14:textId="77777777" w:rsidR="00387142" w:rsidRPr="008B6A75" w:rsidRDefault="00387142" w:rsidP="00387142">
            <w:pPr>
              <w:rPr>
                <w:bCs/>
                <w:sz w:val="20"/>
                <w:szCs w:val="20"/>
              </w:rPr>
            </w:pPr>
            <w:r w:rsidRPr="008B6A75">
              <w:rPr>
                <w:bCs/>
                <w:sz w:val="20"/>
                <w:szCs w:val="20"/>
              </w:rPr>
              <w:t>Обеспечение мероприятий по улучшению жилищных условий граждан, проживающих на сельских территориях, государственной программы Новосибирской области "Комплексное развитие сельских территорий в Новосибирской области"</w:t>
            </w:r>
          </w:p>
        </w:tc>
        <w:tc>
          <w:tcPr>
            <w:tcW w:w="850" w:type="dxa"/>
            <w:tcBorders>
              <w:top w:val="single" w:sz="4" w:space="0" w:color="auto"/>
              <w:left w:val="single" w:sz="4" w:space="0" w:color="auto"/>
              <w:bottom w:val="nil"/>
              <w:right w:val="nil"/>
            </w:tcBorders>
            <w:shd w:val="clear" w:color="auto" w:fill="auto"/>
            <w:noWrap/>
            <w:vAlign w:val="center"/>
            <w:hideMark/>
          </w:tcPr>
          <w:p w14:paraId="147F7755" w14:textId="77777777" w:rsidR="00387142" w:rsidRPr="008B6A75" w:rsidRDefault="00387142" w:rsidP="00387142">
            <w:pPr>
              <w:jc w:val="center"/>
              <w:rPr>
                <w:bCs/>
                <w:sz w:val="20"/>
                <w:szCs w:val="20"/>
              </w:rPr>
            </w:pPr>
            <w:r w:rsidRPr="008B6A75">
              <w:rPr>
                <w:bCs/>
                <w:sz w:val="20"/>
                <w:szCs w:val="20"/>
              </w:rPr>
              <w:t>444</w:t>
            </w:r>
          </w:p>
        </w:tc>
        <w:tc>
          <w:tcPr>
            <w:tcW w:w="709" w:type="dxa"/>
            <w:tcBorders>
              <w:top w:val="single" w:sz="4" w:space="0" w:color="auto"/>
              <w:left w:val="single" w:sz="4" w:space="0" w:color="auto"/>
              <w:bottom w:val="nil"/>
              <w:right w:val="nil"/>
            </w:tcBorders>
            <w:shd w:val="clear" w:color="auto" w:fill="auto"/>
            <w:noWrap/>
            <w:vAlign w:val="center"/>
            <w:hideMark/>
          </w:tcPr>
          <w:p w14:paraId="7911B9BD" w14:textId="77777777" w:rsidR="00387142" w:rsidRPr="008B6A75" w:rsidRDefault="00387142" w:rsidP="00387142">
            <w:pPr>
              <w:jc w:val="center"/>
              <w:rPr>
                <w:bCs/>
                <w:sz w:val="20"/>
                <w:szCs w:val="20"/>
              </w:rPr>
            </w:pPr>
            <w:r w:rsidRPr="008B6A75">
              <w:rPr>
                <w:bCs/>
                <w:sz w:val="20"/>
                <w:szCs w:val="20"/>
              </w:rPr>
              <w:t>10</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380F7AE7" w14:textId="77777777" w:rsidR="00387142" w:rsidRPr="008B6A75" w:rsidRDefault="00387142" w:rsidP="00387142">
            <w:pPr>
              <w:jc w:val="center"/>
              <w:rPr>
                <w:bCs/>
                <w:sz w:val="20"/>
                <w:szCs w:val="20"/>
              </w:rPr>
            </w:pPr>
            <w:r w:rsidRPr="008B6A75">
              <w:rPr>
                <w:bCs/>
                <w:sz w:val="20"/>
                <w:szCs w:val="20"/>
              </w:rPr>
              <w:t>03</w:t>
            </w:r>
          </w:p>
        </w:tc>
        <w:tc>
          <w:tcPr>
            <w:tcW w:w="1411" w:type="dxa"/>
            <w:tcBorders>
              <w:top w:val="single" w:sz="4" w:space="0" w:color="auto"/>
              <w:left w:val="single" w:sz="4" w:space="0" w:color="auto"/>
              <w:bottom w:val="nil"/>
              <w:right w:val="nil"/>
            </w:tcBorders>
            <w:shd w:val="clear" w:color="auto" w:fill="auto"/>
            <w:noWrap/>
            <w:vAlign w:val="center"/>
            <w:hideMark/>
          </w:tcPr>
          <w:p w14:paraId="44EAB17B" w14:textId="77777777" w:rsidR="00387142" w:rsidRPr="008B6A75" w:rsidRDefault="00387142" w:rsidP="00387142">
            <w:pPr>
              <w:jc w:val="center"/>
              <w:rPr>
                <w:bCs/>
                <w:sz w:val="20"/>
                <w:szCs w:val="20"/>
              </w:rPr>
            </w:pPr>
            <w:r w:rsidRPr="008B6A75">
              <w:rPr>
                <w:bCs/>
                <w:sz w:val="20"/>
                <w:szCs w:val="20"/>
              </w:rPr>
              <w:t>06.0.00.L5761</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7AA7930C" w14:textId="77777777" w:rsidR="00387142" w:rsidRPr="008B6A75" w:rsidRDefault="00387142" w:rsidP="00387142">
            <w:pPr>
              <w:jc w:val="center"/>
              <w:rPr>
                <w:bCs/>
                <w:sz w:val="20"/>
                <w:szCs w:val="20"/>
              </w:rPr>
            </w:pPr>
            <w:r w:rsidRPr="008B6A75">
              <w:rPr>
                <w:bCs/>
                <w:sz w:val="20"/>
                <w:szCs w:val="20"/>
              </w:rPr>
              <w:t> </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09C12B9F" w14:textId="77777777" w:rsidR="00387142" w:rsidRPr="008B6A75" w:rsidRDefault="00387142" w:rsidP="00387142">
            <w:pPr>
              <w:jc w:val="right"/>
              <w:rPr>
                <w:bCs/>
                <w:sz w:val="20"/>
                <w:szCs w:val="20"/>
              </w:rPr>
            </w:pPr>
            <w:r w:rsidRPr="008B6A75">
              <w:rPr>
                <w:bCs/>
                <w:sz w:val="20"/>
                <w:szCs w:val="20"/>
              </w:rPr>
              <w:t>1 469 000,00</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52B33AC4" w14:textId="77777777" w:rsidR="00387142" w:rsidRPr="008B6A75" w:rsidRDefault="00387142" w:rsidP="00387142">
            <w:pPr>
              <w:jc w:val="right"/>
              <w:rPr>
                <w:bCs/>
                <w:sz w:val="20"/>
                <w:szCs w:val="20"/>
              </w:rPr>
            </w:pPr>
            <w:r w:rsidRPr="008B6A75">
              <w:rPr>
                <w:bCs/>
                <w:sz w:val="20"/>
                <w:szCs w:val="20"/>
              </w:rPr>
              <w:t>1 163 114,52</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40E26066" w14:textId="77777777" w:rsidR="00387142" w:rsidRPr="008B6A75" w:rsidRDefault="00387142" w:rsidP="00387142">
            <w:pPr>
              <w:jc w:val="right"/>
              <w:rPr>
                <w:bCs/>
                <w:sz w:val="20"/>
                <w:szCs w:val="20"/>
              </w:rPr>
            </w:pPr>
            <w:r w:rsidRPr="008B6A75">
              <w:rPr>
                <w:bCs/>
                <w:sz w:val="20"/>
                <w:szCs w:val="20"/>
              </w:rPr>
              <w:t>0,00</w:t>
            </w:r>
          </w:p>
        </w:tc>
        <w:tc>
          <w:tcPr>
            <w:tcW w:w="222" w:type="dxa"/>
            <w:vAlign w:val="center"/>
            <w:hideMark/>
          </w:tcPr>
          <w:p w14:paraId="4798F1CF" w14:textId="77777777" w:rsidR="00387142" w:rsidRPr="008B6A75" w:rsidRDefault="00387142" w:rsidP="00387142">
            <w:pPr>
              <w:rPr>
                <w:sz w:val="20"/>
                <w:szCs w:val="20"/>
              </w:rPr>
            </w:pPr>
          </w:p>
        </w:tc>
      </w:tr>
      <w:tr w:rsidR="00387142" w:rsidRPr="008B6A75" w14:paraId="7AC6A750" w14:textId="77777777" w:rsidTr="00387142">
        <w:trPr>
          <w:trHeight w:val="585"/>
        </w:trPr>
        <w:tc>
          <w:tcPr>
            <w:tcW w:w="3021" w:type="dxa"/>
            <w:tcBorders>
              <w:top w:val="single" w:sz="4" w:space="0" w:color="auto"/>
              <w:left w:val="single" w:sz="4" w:space="0" w:color="auto"/>
              <w:bottom w:val="nil"/>
              <w:right w:val="nil"/>
            </w:tcBorders>
            <w:shd w:val="clear" w:color="auto" w:fill="auto"/>
            <w:vAlign w:val="center"/>
            <w:hideMark/>
          </w:tcPr>
          <w:p w14:paraId="6F3F949A" w14:textId="77777777" w:rsidR="00387142" w:rsidRPr="008B6A75" w:rsidRDefault="00387142" w:rsidP="00387142">
            <w:pPr>
              <w:rPr>
                <w:sz w:val="20"/>
                <w:szCs w:val="20"/>
              </w:rPr>
            </w:pPr>
            <w:r w:rsidRPr="008B6A75">
              <w:rPr>
                <w:sz w:val="20"/>
                <w:szCs w:val="20"/>
              </w:rPr>
              <w:t>Социальное обеспечение и иные выплаты населению</w:t>
            </w:r>
          </w:p>
        </w:tc>
        <w:tc>
          <w:tcPr>
            <w:tcW w:w="850" w:type="dxa"/>
            <w:tcBorders>
              <w:top w:val="single" w:sz="4" w:space="0" w:color="auto"/>
              <w:left w:val="single" w:sz="4" w:space="0" w:color="auto"/>
              <w:bottom w:val="nil"/>
              <w:right w:val="nil"/>
            </w:tcBorders>
            <w:shd w:val="clear" w:color="auto" w:fill="auto"/>
            <w:noWrap/>
            <w:vAlign w:val="center"/>
            <w:hideMark/>
          </w:tcPr>
          <w:p w14:paraId="7534C3D7" w14:textId="77777777" w:rsidR="00387142" w:rsidRPr="008B6A75" w:rsidRDefault="00387142" w:rsidP="00387142">
            <w:pPr>
              <w:jc w:val="center"/>
              <w:rPr>
                <w:sz w:val="20"/>
                <w:szCs w:val="20"/>
              </w:rPr>
            </w:pPr>
            <w:r w:rsidRPr="008B6A75">
              <w:rPr>
                <w:sz w:val="20"/>
                <w:szCs w:val="20"/>
              </w:rPr>
              <w:t>444</w:t>
            </w:r>
          </w:p>
        </w:tc>
        <w:tc>
          <w:tcPr>
            <w:tcW w:w="709" w:type="dxa"/>
            <w:tcBorders>
              <w:top w:val="single" w:sz="4" w:space="0" w:color="auto"/>
              <w:left w:val="single" w:sz="4" w:space="0" w:color="auto"/>
              <w:bottom w:val="nil"/>
              <w:right w:val="nil"/>
            </w:tcBorders>
            <w:shd w:val="clear" w:color="auto" w:fill="auto"/>
            <w:noWrap/>
            <w:vAlign w:val="center"/>
            <w:hideMark/>
          </w:tcPr>
          <w:p w14:paraId="0449FE87" w14:textId="77777777" w:rsidR="00387142" w:rsidRPr="008B6A75" w:rsidRDefault="00387142" w:rsidP="00387142">
            <w:pPr>
              <w:jc w:val="center"/>
              <w:rPr>
                <w:sz w:val="20"/>
                <w:szCs w:val="20"/>
              </w:rPr>
            </w:pPr>
            <w:r w:rsidRPr="008B6A75">
              <w:rPr>
                <w:sz w:val="20"/>
                <w:szCs w:val="20"/>
              </w:rPr>
              <w:t>10</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25B6386B" w14:textId="77777777" w:rsidR="00387142" w:rsidRPr="008B6A75" w:rsidRDefault="00387142" w:rsidP="00387142">
            <w:pPr>
              <w:jc w:val="center"/>
              <w:rPr>
                <w:sz w:val="20"/>
                <w:szCs w:val="20"/>
              </w:rPr>
            </w:pPr>
            <w:r w:rsidRPr="008B6A75">
              <w:rPr>
                <w:sz w:val="20"/>
                <w:szCs w:val="20"/>
              </w:rPr>
              <w:t>03</w:t>
            </w:r>
          </w:p>
        </w:tc>
        <w:tc>
          <w:tcPr>
            <w:tcW w:w="1411" w:type="dxa"/>
            <w:tcBorders>
              <w:top w:val="single" w:sz="4" w:space="0" w:color="auto"/>
              <w:left w:val="single" w:sz="4" w:space="0" w:color="auto"/>
              <w:bottom w:val="nil"/>
              <w:right w:val="nil"/>
            </w:tcBorders>
            <w:shd w:val="clear" w:color="auto" w:fill="auto"/>
            <w:noWrap/>
            <w:vAlign w:val="center"/>
            <w:hideMark/>
          </w:tcPr>
          <w:p w14:paraId="5A9F1D43" w14:textId="77777777" w:rsidR="00387142" w:rsidRPr="008B6A75" w:rsidRDefault="00387142" w:rsidP="00387142">
            <w:pPr>
              <w:jc w:val="center"/>
              <w:rPr>
                <w:sz w:val="20"/>
                <w:szCs w:val="20"/>
              </w:rPr>
            </w:pPr>
            <w:r w:rsidRPr="008B6A75">
              <w:rPr>
                <w:sz w:val="20"/>
                <w:szCs w:val="20"/>
              </w:rPr>
              <w:t>06.0.00.L5761</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25327C9E" w14:textId="77777777" w:rsidR="00387142" w:rsidRPr="008B6A75" w:rsidRDefault="00387142" w:rsidP="00387142">
            <w:pPr>
              <w:jc w:val="center"/>
              <w:rPr>
                <w:sz w:val="20"/>
                <w:szCs w:val="20"/>
              </w:rPr>
            </w:pPr>
            <w:r w:rsidRPr="008B6A75">
              <w:rPr>
                <w:sz w:val="20"/>
                <w:szCs w:val="20"/>
              </w:rPr>
              <w:t>300</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1CE374BE" w14:textId="77777777" w:rsidR="00387142" w:rsidRPr="008B6A75" w:rsidRDefault="00387142" w:rsidP="00387142">
            <w:pPr>
              <w:jc w:val="right"/>
              <w:rPr>
                <w:sz w:val="20"/>
                <w:szCs w:val="20"/>
              </w:rPr>
            </w:pPr>
            <w:r w:rsidRPr="008B6A75">
              <w:rPr>
                <w:sz w:val="20"/>
                <w:szCs w:val="20"/>
              </w:rPr>
              <w:t>1 469 000,00</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5D027177" w14:textId="77777777" w:rsidR="00387142" w:rsidRPr="008B6A75" w:rsidRDefault="00387142" w:rsidP="00387142">
            <w:pPr>
              <w:jc w:val="right"/>
              <w:rPr>
                <w:sz w:val="20"/>
                <w:szCs w:val="20"/>
              </w:rPr>
            </w:pPr>
            <w:r w:rsidRPr="008B6A75">
              <w:rPr>
                <w:sz w:val="20"/>
                <w:szCs w:val="20"/>
              </w:rPr>
              <w:t>1 163 114,52</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41C7D745" w14:textId="77777777" w:rsidR="00387142" w:rsidRPr="008B6A75" w:rsidRDefault="00387142" w:rsidP="00387142">
            <w:pPr>
              <w:jc w:val="right"/>
              <w:rPr>
                <w:sz w:val="20"/>
                <w:szCs w:val="20"/>
              </w:rPr>
            </w:pPr>
            <w:r w:rsidRPr="008B6A75">
              <w:rPr>
                <w:sz w:val="20"/>
                <w:szCs w:val="20"/>
              </w:rPr>
              <w:t>0,00</w:t>
            </w:r>
          </w:p>
        </w:tc>
        <w:tc>
          <w:tcPr>
            <w:tcW w:w="222" w:type="dxa"/>
            <w:vAlign w:val="center"/>
            <w:hideMark/>
          </w:tcPr>
          <w:p w14:paraId="2A9A4144" w14:textId="77777777" w:rsidR="00387142" w:rsidRPr="008B6A75" w:rsidRDefault="00387142" w:rsidP="00387142">
            <w:pPr>
              <w:rPr>
                <w:sz w:val="20"/>
                <w:szCs w:val="20"/>
              </w:rPr>
            </w:pPr>
          </w:p>
        </w:tc>
      </w:tr>
      <w:tr w:rsidR="00387142" w:rsidRPr="008B6A75" w14:paraId="4880D098" w14:textId="77777777" w:rsidTr="00387142">
        <w:trPr>
          <w:trHeight w:val="585"/>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320DB18F" w14:textId="77777777" w:rsidR="00387142" w:rsidRPr="008B6A75" w:rsidRDefault="00387142" w:rsidP="00387142">
            <w:pPr>
              <w:rPr>
                <w:sz w:val="20"/>
                <w:szCs w:val="20"/>
              </w:rPr>
            </w:pPr>
            <w:r w:rsidRPr="008B6A75">
              <w:rPr>
                <w:sz w:val="20"/>
                <w:szCs w:val="20"/>
              </w:rPr>
              <w:t>Социальные выплаты гражданам, кроме публичных нормативных социальных выплат</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52617A6A" w14:textId="77777777" w:rsidR="00387142" w:rsidRPr="008B6A75" w:rsidRDefault="00387142" w:rsidP="00387142">
            <w:pPr>
              <w:jc w:val="center"/>
              <w:rPr>
                <w:sz w:val="20"/>
                <w:szCs w:val="20"/>
              </w:rPr>
            </w:pPr>
            <w:r w:rsidRPr="008B6A75">
              <w:rPr>
                <w:sz w:val="20"/>
                <w:szCs w:val="20"/>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00A20895" w14:textId="77777777" w:rsidR="00387142" w:rsidRPr="008B6A75" w:rsidRDefault="00387142" w:rsidP="00387142">
            <w:pPr>
              <w:jc w:val="center"/>
              <w:rPr>
                <w:sz w:val="20"/>
                <w:szCs w:val="20"/>
              </w:rPr>
            </w:pPr>
            <w:r w:rsidRPr="008B6A75">
              <w:rPr>
                <w:sz w:val="20"/>
                <w:szCs w:val="20"/>
              </w:rPr>
              <w:t>10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2FE7F6" w14:textId="77777777" w:rsidR="00387142" w:rsidRPr="008B6A75" w:rsidRDefault="00387142" w:rsidP="00387142">
            <w:pPr>
              <w:jc w:val="center"/>
              <w:rPr>
                <w:sz w:val="20"/>
                <w:szCs w:val="20"/>
              </w:rPr>
            </w:pPr>
            <w:r w:rsidRPr="008B6A75">
              <w:rPr>
                <w:sz w:val="20"/>
                <w:szCs w:val="20"/>
              </w:rPr>
              <w:t>03</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3FE2AC2C" w14:textId="77777777" w:rsidR="00387142" w:rsidRPr="008B6A75" w:rsidRDefault="00387142" w:rsidP="00387142">
            <w:pPr>
              <w:jc w:val="center"/>
              <w:rPr>
                <w:sz w:val="20"/>
                <w:szCs w:val="20"/>
              </w:rPr>
            </w:pPr>
            <w:r w:rsidRPr="008B6A75">
              <w:rPr>
                <w:sz w:val="20"/>
                <w:szCs w:val="20"/>
              </w:rPr>
              <w:t>06.0.00.L5761</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F3F730" w14:textId="77777777" w:rsidR="00387142" w:rsidRPr="008B6A75" w:rsidRDefault="00387142" w:rsidP="00387142">
            <w:pPr>
              <w:jc w:val="center"/>
              <w:rPr>
                <w:sz w:val="20"/>
                <w:szCs w:val="20"/>
              </w:rPr>
            </w:pPr>
            <w:r w:rsidRPr="008B6A75">
              <w:rPr>
                <w:sz w:val="20"/>
                <w:szCs w:val="20"/>
              </w:rPr>
              <w:t>320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5ED929" w14:textId="77777777" w:rsidR="00387142" w:rsidRPr="008B6A75" w:rsidRDefault="00387142" w:rsidP="00387142">
            <w:pPr>
              <w:jc w:val="right"/>
              <w:rPr>
                <w:sz w:val="20"/>
                <w:szCs w:val="20"/>
              </w:rPr>
            </w:pPr>
            <w:r w:rsidRPr="008B6A75">
              <w:rPr>
                <w:sz w:val="20"/>
                <w:szCs w:val="20"/>
              </w:rPr>
              <w:t>1 469 000,00</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70BDC2F2" w14:textId="77777777" w:rsidR="00387142" w:rsidRPr="008B6A75" w:rsidRDefault="00387142" w:rsidP="00387142">
            <w:pPr>
              <w:jc w:val="right"/>
              <w:rPr>
                <w:sz w:val="20"/>
                <w:szCs w:val="20"/>
              </w:rPr>
            </w:pPr>
            <w:r w:rsidRPr="008B6A75">
              <w:rPr>
                <w:sz w:val="20"/>
                <w:szCs w:val="20"/>
              </w:rPr>
              <w:t>1 163 114,52</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ECC1F0" w14:textId="77777777" w:rsidR="00387142" w:rsidRPr="008B6A75" w:rsidRDefault="00387142" w:rsidP="00387142">
            <w:pPr>
              <w:jc w:val="right"/>
              <w:rPr>
                <w:sz w:val="20"/>
                <w:szCs w:val="20"/>
              </w:rPr>
            </w:pPr>
            <w:r w:rsidRPr="008B6A75">
              <w:rPr>
                <w:sz w:val="20"/>
                <w:szCs w:val="20"/>
              </w:rPr>
              <w:t>0,00</w:t>
            </w:r>
          </w:p>
        </w:tc>
        <w:tc>
          <w:tcPr>
            <w:tcW w:w="222" w:type="dxa"/>
            <w:vAlign w:val="center"/>
            <w:hideMark/>
          </w:tcPr>
          <w:p w14:paraId="27D8F020" w14:textId="77777777" w:rsidR="00387142" w:rsidRPr="008B6A75" w:rsidRDefault="00387142" w:rsidP="00387142">
            <w:pPr>
              <w:rPr>
                <w:sz w:val="20"/>
                <w:szCs w:val="20"/>
              </w:rPr>
            </w:pPr>
          </w:p>
        </w:tc>
      </w:tr>
      <w:tr w:rsidR="00387142" w:rsidRPr="008B6A75" w14:paraId="0A25D9DB" w14:textId="77777777" w:rsidTr="00387142">
        <w:trPr>
          <w:trHeight w:val="300"/>
        </w:trPr>
        <w:tc>
          <w:tcPr>
            <w:tcW w:w="3021" w:type="dxa"/>
            <w:tcBorders>
              <w:top w:val="nil"/>
              <w:left w:val="single" w:sz="4" w:space="0" w:color="auto"/>
              <w:bottom w:val="nil"/>
              <w:right w:val="nil"/>
            </w:tcBorders>
            <w:shd w:val="clear" w:color="auto" w:fill="auto"/>
            <w:vAlign w:val="center"/>
            <w:hideMark/>
          </w:tcPr>
          <w:p w14:paraId="10CF3050" w14:textId="77777777" w:rsidR="00387142" w:rsidRPr="008B6A75" w:rsidRDefault="00387142" w:rsidP="00387142">
            <w:pPr>
              <w:rPr>
                <w:bCs/>
                <w:sz w:val="20"/>
                <w:szCs w:val="20"/>
              </w:rPr>
            </w:pPr>
            <w:r w:rsidRPr="008B6A75">
              <w:rPr>
                <w:bCs/>
                <w:sz w:val="20"/>
                <w:szCs w:val="20"/>
              </w:rPr>
              <w:t>Непрограммные направления бюджета</w:t>
            </w:r>
          </w:p>
        </w:tc>
        <w:tc>
          <w:tcPr>
            <w:tcW w:w="850" w:type="dxa"/>
            <w:tcBorders>
              <w:top w:val="nil"/>
              <w:left w:val="single" w:sz="4" w:space="0" w:color="auto"/>
              <w:bottom w:val="nil"/>
              <w:right w:val="nil"/>
            </w:tcBorders>
            <w:shd w:val="clear" w:color="auto" w:fill="auto"/>
            <w:noWrap/>
            <w:vAlign w:val="center"/>
            <w:hideMark/>
          </w:tcPr>
          <w:p w14:paraId="777D1F69" w14:textId="77777777" w:rsidR="00387142" w:rsidRPr="008B6A75" w:rsidRDefault="00387142" w:rsidP="00387142">
            <w:pPr>
              <w:jc w:val="center"/>
              <w:rPr>
                <w:bCs/>
                <w:sz w:val="20"/>
                <w:szCs w:val="20"/>
              </w:rPr>
            </w:pPr>
            <w:r w:rsidRPr="008B6A75">
              <w:rPr>
                <w:bCs/>
                <w:sz w:val="20"/>
                <w:szCs w:val="20"/>
              </w:rPr>
              <w:t>444</w:t>
            </w:r>
          </w:p>
        </w:tc>
        <w:tc>
          <w:tcPr>
            <w:tcW w:w="709" w:type="dxa"/>
            <w:tcBorders>
              <w:top w:val="nil"/>
              <w:left w:val="single" w:sz="4" w:space="0" w:color="auto"/>
              <w:bottom w:val="nil"/>
              <w:right w:val="nil"/>
            </w:tcBorders>
            <w:shd w:val="clear" w:color="auto" w:fill="auto"/>
            <w:noWrap/>
            <w:vAlign w:val="center"/>
            <w:hideMark/>
          </w:tcPr>
          <w:p w14:paraId="162B01BF" w14:textId="77777777" w:rsidR="00387142" w:rsidRPr="008B6A75" w:rsidRDefault="00387142" w:rsidP="00387142">
            <w:pPr>
              <w:jc w:val="center"/>
              <w:rPr>
                <w:bCs/>
                <w:sz w:val="20"/>
                <w:szCs w:val="20"/>
              </w:rPr>
            </w:pPr>
            <w:r w:rsidRPr="008B6A75">
              <w:rPr>
                <w:bCs/>
                <w:sz w:val="20"/>
                <w:szCs w:val="20"/>
              </w:rPr>
              <w:t>10</w:t>
            </w:r>
          </w:p>
        </w:tc>
        <w:tc>
          <w:tcPr>
            <w:tcW w:w="709" w:type="dxa"/>
            <w:tcBorders>
              <w:top w:val="nil"/>
              <w:left w:val="single" w:sz="4" w:space="0" w:color="auto"/>
              <w:bottom w:val="nil"/>
              <w:right w:val="single" w:sz="4" w:space="0" w:color="auto"/>
            </w:tcBorders>
            <w:shd w:val="clear" w:color="auto" w:fill="auto"/>
            <w:noWrap/>
            <w:vAlign w:val="center"/>
            <w:hideMark/>
          </w:tcPr>
          <w:p w14:paraId="0AEEC6F2" w14:textId="77777777" w:rsidR="00387142" w:rsidRPr="008B6A75" w:rsidRDefault="00387142" w:rsidP="00387142">
            <w:pPr>
              <w:jc w:val="center"/>
              <w:rPr>
                <w:bCs/>
                <w:sz w:val="20"/>
                <w:szCs w:val="20"/>
              </w:rPr>
            </w:pPr>
            <w:r w:rsidRPr="008B6A75">
              <w:rPr>
                <w:bCs/>
                <w:sz w:val="20"/>
                <w:szCs w:val="20"/>
              </w:rPr>
              <w:t>03</w:t>
            </w:r>
          </w:p>
        </w:tc>
        <w:tc>
          <w:tcPr>
            <w:tcW w:w="1411" w:type="dxa"/>
            <w:tcBorders>
              <w:top w:val="nil"/>
              <w:left w:val="single" w:sz="4" w:space="0" w:color="auto"/>
              <w:bottom w:val="nil"/>
              <w:right w:val="nil"/>
            </w:tcBorders>
            <w:shd w:val="clear" w:color="auto" w:fill="auto"/>
            <w:noWrap/>
            <w:vAlign w:val="center"/>
            <w:hideMark/>
          </w:tcPr>
          <w:p w14:paraId="0552DB21" w14:textId="77777777" w:rsidR="00387142" w:rsidRPr="008B6A75" w:rsidRDefault="00387142" w:rsidP="00387142">
            <w:pPr>
              <w:jc w:val="center"/>
              <w:rPr>
                <w:bCs/>
                <w:sz w:val="20"/>
                <w:szCs w:val="20"/>
              </w:rPr>
            </w:pPr>
            <w:r w:rsidRPr="008B6A75">
              <w:rPr>
                <w:bCs/>
                <w:sz w:val="20"/>
                <w:szCs w:val="20"/>
              </w:rPr>
              <w:t>99.0.00.00000</w:t>
            </w:r>
          </w:p>
        </w:tc>
        <w:tc>
          <w:tcPr>
            <w:tcW w:w="955" w:type="dxa"/>
            <w:tcBorders>
              <w:top w:val="nil"/>
              <w:left w:val="single" w:sz="4" w:space="0" w:color="auto"/>
              <w:bottom w:val="nil"/>
              <w:right w:val="single" w:sz="4" w:space="0" w:color="auto"/>
            </w:tcBorders>
            <w:shd w:val="clear" w:color="auto" w:fill="auto"/>
            <w:noWrap/>
            <w:vAlign w:val="center"/>
            <w:hideMark/>
          </w:tcPr>
          <w:p w14:paraId="56AD30B7"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nil"/>
              <w:right w:val="single" w:sz="4" w:space="0" w:color="auto"/>
            </w:tcBorders>
            <w:shd w:val="clear" w:color="auto" w:fill="auto"/>
            <w:noWrap/>
            <w:vAlign w:val="center"/>
            <w:hideMark/>
          </w:tcPr>
          <w:p w14:paraId="4D32D15E" w14:textId="77777777" w:rsidR="00387142" w:rsidRPr="008B6A75" w:rsidRDefault="00387142" w:rsidP="00387142">
            <w:pPr>
              <w:jc w:val="right"/>
              <w:rPr>
                <w:bCs/>
                <w:sz w:val="20"/>
                <w:szCs w:val="20"/>
              </w:rPr>
            </w:pPr>
            <w:r w:rsidRPr="008B6A75">
              <w:rPr>
                <w:bCs/>
                <w:sz w:val="20"/>
                <w:szCs w:val="20"/>
              </w:rPr>
              <w:t>9 267 446,80</w:t>
            </w:r>
          </w:p>
        </w:tc>
        <w:tc>
          <w:tcPr>
            <w:tcW w:w="992" w:type="dxa"/>
            <w:gridSpan w:val="2"/>
            <w:tcBorders>
              <w:top w:val="nil"/>
              <w:left w:val="single" w:sz="4" w:space="0" w:color="auto"/>
              <w:bottom w:val="nil"/>
              <w:right w:val="nil"/>
            </w:tcBorders>
            <w:shd w:val="clear" w:color="auto" w:fill="auto"/>
            <w:noWrap/>
            <w:vAlign w:val="center"/>
            <w:hideMark/>
          </w:tcPr>
          <w:p w14:paraId="3196EAC7" w14:textId="77777777" w:rsidR="00387142" w:rsidRPr="008B6A75" w:rsidRDefault="00387142" w:rsidP="00387142">
            <w:pPr>
              <w:jc w:val="right"/>
              <w:rPr>
                <w:bCs/>
                <w:sz w:val="20"/>
                <w:szCs w:val="20"/>
              </w:rPr>
            </w:pPr>
            <w:r w:rsidRPr="008B6A75">
              <w:rPr>
                <w:bCs/>
                <w:sz w:val="20"/>
                <w:szCs w:val="20"/>
              </w:rPr>
              <w:t>3 380 700,00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05B98FCA" w14:textId="77777777" w:rsidR="00387142" w:rsidRPr="008B6A75" w:rsidRDefault="00387142" w:rsidP="00387142">
            <w:pPr>
              <w:jc w:val="right"/>
              <w:rPr>
                <w:bCs/>
                <w:sz w:val="20"/>
                <w:szCs w:val="20"/>
              </w:rPr>
            </w:pPr>
            <w:r w:rsidRPr="008B6A75">
              <w:rPr>
                <w:bCs/>
                <w:sz w:val="20"/>
                <w:szCs w:val="20"/>
              </w:rPr>
              <w:t>3 888 500,00</w:t>
            </w:r>
          </w:p>
        </w:tc>
        <w:tc>
          <w:tcPr>
            <w:tcW w:w="222" w:type="dxa"/>
            <w:vAlign w:val="center"/>
            <w:hideMark/>
          </w:tcPr>
          <w:p w14:paraId="3ACDF467" w14:textId="77777777" w:rsidR="00387142" w:rsidRPr="008B6A75" w:rsidRDefault="00387142" w:rsidP="00387142">
            <w:pPr>
              <w:rPr>
                <w:sz w:val="20"/>
                <w:szCs w:val="20"/>
              </w:rPr>
            </w:pPr>
          </w:p>
        </w:tc>
      </w:tr>
      <w:tr w:rsidR="00387142" w:rsidRPr="008B6A75" w14:paraId="00DE21A1" w14:textId="77777777" w:rsidTr="00387142">
        <w:trPr>
          <w:trHeight w:val="870"/>
        </w:trPr>
        <w:tc>
          <w:tcPr>
            <w:tcW w:w="3021" w:type="dxa"/>
            <w:tcBorders>
              <w:top w:val="single" w:sz="4" w:space="0" w:color="auto"/>
              <w:left w:val="single" w:sz="4" w:space="0" w:color="auto"/>
              <w:bottom w:val="nil"/>
              <w:right w:val="nil"/>
            </w:tcBorders>
            <w:shd w:val="clear" w:color="auto" w:fill="auto"/>
            <w:vAlign w:val="center"/>
            <w:hideMark/>
          </w:tcPr>
          <w:p w14:paraId="69235024" w14:textId="77777777" w:rsidR="00387142" w:rsidRPr="008B6A75" w:rsidRDefault="00387142" w:rsidP="00387142">
            <w:pPr>
              <w:rPr>
                <w:bCs/>
                <w:sz w:val="20"/>
                <w:szCs w:val="20"/>
              </w:rPr>
            </w:pPr>
            <w:r w:rsidRPr="008B6A75">
              <w:rPr>
                <w:bCs/>
                <w:sz w:val="20"/>
                <w:szCs w:val="20"/>
              </w:rPr>
              <w:lastRenderedPageBreak/>
              <w:t>Средства, передаваемые местным бюджетам из резервного фонда Правительства Новосибирской области</w:t>
            </w:r>
          </w:p>
        </w:tc>
        <w:tc>
          <w:tcPr>
            <w:tcW w:w="850" w:type="dxa"/>
            <w:tcBorders>
              <w:top w:val="single" w:sz="4" w:space="0" w:color="auto"/>
              <w:left w:val="single" w:sz="4" w:space="0" w:color="auto"/>
              <w:bottom w:val="nil"/>
              <w:right w:val="nil"/>
            </w:tcBorders>
            <w:shd w:val="clear" w:color="auto" w:fill="auto"/>
            <w:noWrap/>
            <w:vAlign w:val="center"/>
            <w:hideMark/>
          </w:tcPr>
          <w:p w14:paraId="0AC66E04" w14:textId="77777777" w:rsidR="00387142" w:rsidRPr="008B6A75" w:rsidRDefault="00387142" w:rsidP="00387142">
            <w:pPr>
              <w:jc w:val="center"/>
              <w:rPr>
                <w:bCs/>
                <w:sz w:val="20"/>
                <w:szCs w:val="20"/>
              </w:rPr>
            </w:pPr>
            <w:r w:rsidRPr="008B6A75">
              <w:rPr>
                <w:bCs/>
                <w:sz w:val="20"/>
                <w:szCs w:val="20"/>
              </w:rPr>
              <w:t>444</w:t>
            </w:r>
          </w:p>
        </w:tc>
        <w:tc>
          <w:tcPr>
            <w:tcW w:w="709" w:type="dxa"/>
            <w:tcBorders>
              <w:top w:val="single" w:sz="4" w:space="0" w:color="auto"/>
              <w:left w:val="single" w:sz="4" w:space="0" w:color="auto"/>
              <w:bottom w:val="nil"/>
              <w:right w:val="nil"/>
            </w:tcBorders>
            <w:shd w:val="clear" w:color="auto" w:fill="auto"/>
            <w:noWrap/>
            <w:vAlign w:val="center"/>
            <w:hideMark/>
          </w:tcPr>
          <w:p w14:paraId="7977495F" w14:textId="77777777" w:rsidR="00387142" w:rsidRPr="008B6A75" w:rsidRDefault="00387142" w:rsidP="00387142">
            <w:pPr>
              <w:jc w:val="center"/>
              <w:rPr>
                <w:bCs/>
                <w:sz w:val="20"/>
                <w:szCs w:val="20"/>
              </w:rPr>
            </w:pPr>
            <w:r w:rsidRPr="008B6A75">
              <w:rPr>
                <w:bCs/>
                <w:sz w:val="20"/>
                <w:szCs w:val="20"/>
              </w:rPr>
              <w:t>10</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7046AB02" w14:textId="77777777" w:rsidR="00387142" w:rsidRPr="008B6A75" w:rsidRDefault="00387142" w:rsidP="00387142">
            <w:pPr>
              <w:jc w:val="center"/>
              <w:rPr>
                <w:bCs/>
                <w:sz w:val="20"/>
                <w:szCs w:val="20"/>
              </w:rPr>
            </w:pPr>
            <w:r w:rsidRPr="008B6A75">
              <w:rPr>
                <w:bCs/>
                <w:sz w:val="20"/>
                <w:szCs w:val="20"/>
              </w:rPr>
              <w:t>03</w:t>
            </w:r>
          </w:p>
        </w:tc>
        <w:tc>
          <w:tcPr>
            <w:tcW w:w="1411" w:type="dxa"/>
            <w:tcBorders>
              <w:top w:val="single" w:sz="4" w:space="0" w:color="auto"/>
              <w:left w:val="single" w:sz="4" w:space="0" w:color="auto"/>
              <w:bottom w:val="nil"/>
              <w:right w:val="nil"/>
            </w:tcBorders>
            <w:shd w:val="clear" w:color="auto" w:fill="auto"/>
            <w:noWrap/>
            <w:vAlign w:val="center"/>
            <w:hideMark/>
          </w:tcPr>
          <w:p w14:paraId="621B6256" w14:textId="77777777" w:rsidR="00387142" w:rsidRPr="008B6A75" w:rsidRDefault="00387142" w:rsidP="00387142">
            <w:pPr>
              <w:jc w:val="center"/>
              <w:rPr>
                <w:bCs/>
                <w:sz w:val="20"/>
                <w:szCs w:val="20"/>
              </w:rPr>
            </w:pPr>
            <w:r w:rsidRPr="008B6A75">
              <w:rPr>
                <w:bCs/>
                <w:sz w:val="20"/>
                <w:szCs w:val="20"/>
              </w:rPr>
              <w:t>99.0.00.20540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4F986BC3" w14:textId="77777777" w:rsidR="00387142" w:rsidRPr="008B6A75" w:rsidRDefault="00387142" w:rsidP="00387142">
            <w:pPr>
              <w:jc w:val="center"/>
              <w:rPr>
                <w:bCs/>
                <w:sz w:val="20"/>
                <w:szCs w:val="20"/>
              </w:rPr>
            </w:pPr>
            <w:r w:rsidRPr="008B6A75">
              <w:rPr>
                <w:bCs/>
                <w:sz w:val="20"/>
                <w:szCs w:val="20"/>
              </w:rPr>
              <w:t> </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256AEE9C" w14:textId="77777777" w:rsidR="00387142" w:rsidRPr="008B6A75" w:rsidRDefault="00387142" w:rsidP="00387142">
            <w:pPr>
              <w:jc w:val="right"/>
              <w:rPr>
                <w:bCs/>
                <w:sz w:val="20"/>
                <w:szCs w:val="20"/>
              </w:rPr>
            </w:pPr>
            <w:r w:rsidRPr="008B6A75">
              <w:rPr>
                <w:bCs/>
                <w:sz w:val="20"/>
                <w:szCs w:val="20"/>
              </w:rPr>
              <w:t>784 860,00</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12509730" w14:textId="77777777" w:rsidR="00387142" w:rsidRPr="008B6A75" w:rsidRDefault="00387142" w:rsidP="00387142">
            <w:pPr>
              <w:jc w:val="right"/>
              <w:rPr>
                <w:bCs/>
                <w:sz w:val="20"/>
                <w:szCs w:val="20"/>
              </w:rPr>
            </w:pPr>
            <w:r w:rsidRPr="008B6A75">
              <w:rPr>
                <w:bCs/>
                <w:sz w:val="20"/>
                <w:szCs w:val="20"/>
              </w:rPr>
              <w:t>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38C4CEF9" w14:textId="77777777" w:rsidR="00387142" w:rsidRPr="008B6A75" w:rsidRDefault="00387142" w:rsidP="00387142">
            <w:pPr>
              <w:jc w:val="right"/>
              <w:rPr>
                <w:bCs/>
                <w:sz w:val="20"/>
                <w:szCs w:val="20"/>
              </w:rPr>
            </w:pPr>
            <w:r w:rsidRPr="008B6A75">
              <w:rPr>
                <w:bCs/>
                <w:sz w:val="20"/>
                <w:szCs w:val="20"/>
              </w:rPr>
              <w:t>0,00</w:t>
            </w:r>
          </w:p>
        </w:tc>
        <w:tc>
          <w:tcPr>
            <w:tcW w:w="222" w:type="dxa"/>
            <w:vAlign w:val="center"/>
            <w:hideMark/>
          </w:tcPr>
          <w:p w14:paraId="71450BAF" w14:textId="77777777" w:rsidR="00387142" w:rsidRPr="008B6A75" w:rsidRDefault="00387142" w:rsidP="00387142">
            <w:pPr>
              <w:rPr>
                <w:sz w:val="20"/>
                <w:szCs w:val="20"/>
              </w:rPr>
            </w:pPr>
          </w:p>
        </w:tc>
      </w:tr>
      <w:tr w:rsidR="00387142" w:rsidRPr="008B6A75" w14:paraId="0C0A7A85" w14:textId="77777777" w:rsidTr="00387142">
        <w:trPr>
          <w:trHeight w:val="645"/>
        </w:trPr>
        <w:tc>
          <w:tcPr>
            <w:tcW w:w="3021" w:type="dxa"/>
            <w:tcBorders>
              <w:top w:val="single" w:sz="4" w:space="0" w:color="auto"/>
              <w:left w:val="single" w:sz="4" w:space="0" w:color="auto"/>
              <w:bottom w:val="nil"/>
              <w:right w:val="nil"/>
            </w:tcBorders>
            <w:shd w:val="clear" w:color="auto" w:fill="auto"/>
            <w:vAlign w:val="center"/>
            <w:hideMark/>
          </w:tcPr>
          <w:p w14:paraId="64BCC413" w14:textId="77777777" w:rsidR="00387142" w:rsidRPr="008B6A75" w:rsidRDefault="00387142" w:rsidP="00387142">
            <w:pPr>
              <w:rPr>
                <w:sz w:val="20"/>
                <w:szCs w:val="20"/>
              </w:rPr>
            </w:pPr>
            <w:r w:rsidRPr="008B6A75">
              <w:rPr>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nil"/>
              <w:right w:val="nil"/>
            </w:tcBorders>
            <w:shd w:val="clear" w:color="auto" w:fill="auto"/>
            <w:noWrap/>
            <w:vAlign w:val="center"/>
            <w:hideMark/>
          </w:tcPr>
          <w:p w14:paraId="38BAFBA6" w14:textId="77777777" w:rsidR="00387142" w:rsidRPr="008B6A75" w:rsidRDefault="00387142" w:rsidP="00387142">
            <w:pPr>
              <w:jc w:val="center"/>
              <w:rPr>
                <w:sz w:val="20"/>
                <w:szCs w:val="20"/>
              </w:rPr>
            </w:pPr>
            <w:r w:rsidRPr="008B6A75">
              <w:rPr>
                <w:sz w:val="20"/>
                <w:szCs w:val="20"/>
              </w:rPr>
              <w:t>444</w:t>
            </w:r>
          </w:p>
        </w:tc>
        <w:tc>
          <w:tcPr>
            <w:tcW w:w="709" w:type="dxa"/>
            <w:tcBorders>
              <w:top w:val="single" w:sz="4" w:space="0" w:color="auto"/>
              <w:left w:val="single" w:sz="4" w:space="0" w:color="auto"/>
              <w:bottom w:val="nil"/>
              <w:right w:val="nil"/>
            </w:tcBorders>
            <w:shd w:val="clear" w:color="auto" w:fill="auto"/>
            <w:noWrap/>
            <w:vAlign w:val="center"/>
            <w:hideMark/>
          </w:tcPr>
          <w:p w14:paraId="7854E013" w14:textId="77777777" w:rsidR="00387142" w:rsidRPr="008B6A75" w:rsidRDefault="00387142" w:rsidP="00387142">
            <w:pPr>
              <w:jc w:val="center"/>
              <w:rPr>
                <w:sz w:val="20"/>
                <w:szCs w:val="20"/>
              </w:rPr>
            </w:pPr>
            <w:r w:rsidRPr="008B6A75">
              <w:rPr>
                <w:sz w:val="20"/>
                <w:szCs w:val="20"/>
              </w:rPr>
              <w:t>10</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6B2531C2" w14:textId="77777777" w:rsidR="00387142" w:rsidRPr="008B6A75" w:rsidRDefault="00387142" w:rsidP="00387142">
            <w:pPr>
              <w:jc w:val="center"/>
              <w:rPr>
                <w:sz w:val="20"/>
                <w:szCs w:val="20"/>
              </w:rPr>
            </w:pPr>
            <w:r w:rsidRPr="008B6A75">
              <w:rPr>
                <w:sz w:val="20"/>
                <w:szCs w:val="20"/>
              </w:rPr>
              <w:t>03</w:t>
            </w:r>
          </w:p>
        </w:tc>
        <w:tc>
          <w:tcPr>
            <w:tcW w:w="1411" w:type="dxa"/>
            <w:tcBorders>
              <w:top w:val="single" w:sz="4" w:space="0" w:color="auto"/>
              <w:left w:val="single" w:sz="4" w:space="0" w:color="auto"/>
              <w:bottom w:val="nil"/>
              <w:right w:val="nil"/>
            </w:tcBorders>
            <w:shd w:val="clear" w:color="auto" w:fill="auto"/>
            <w:noWrap/>
            <w:vAlign w:val="center"/>
            <w:hideMark/>
          </w:tcPr>
          <w:p w14:paraId="0CF2DF3C" w14:textId="77777777" w:rsidR="00387142" w:rsidRPr="008B6A75" w:rsidRDefault="00387142" w:rsidP="00387142">
            <w:pPr>
              <w:jc w:val="center"/>
              <w:rPr>
                <w:sz w:val="20"/>
                <w:szCs w:val="20"/>
              </w:rPr>
            </w:pPr>
            <w:r w:rsidRPr="008B6A75">
              <w:rPr>
                <w:sz w:val="20"/>
                <w:szCs w:val="20"/>
              </w:rPr>
              <w:t>99.0.00.20540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5C6AA8BB" w14:textId="77777777" w:rsidR="00387142" w:rsidRPr="008B6A75" w:rsidRDefault="00387142" w:rsidP="00387142">
            <w:pPr>
              <w:jc w:val="center"/>
              <w:rPr>
                <w:sz w:val="20"/>
                <w:szCs w:val="20"/>
              </w:rPr>
            </w:pPr>
            <w:r w:rsidRPr="008B6A75">
              <w:rPr>
                <w:sz w:val="20"/>
                <w:szCs w:val="20"/>
              </w:rPr>
              <w:t>200</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02D80706" w14:textId="77777777" w:rsidR="00387142" w:rsidRPr="008B6A75" w:rsidRDefault="00387142" w:rsidP="00387142">
            <w:pPr>
              <w:jc w:val="right"/>
              <w:rPr>
                <w:sz w:val="20"/>
                <w:szCs w:val="20"/>
              </w:rPr>
            </w:pPr>
            <w:r w:rsidRPr="008B6A75">
              <w:rPr>
                <w:sz w:val="20"/>
                <w:szCs w:val="20"/>
              </w:rPr>
              <w:t>300 000,00</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349212AC" w14:textId="77777777" w:rsidR="00387142" w:rsidRPr="008B6A75" w:rsidRDefault="00387142" w:rsidP="00387142">
            <w:pPr>
              <w:jc w:val="right"/>
              <w:rPr>
                <w:sz w:val="20"/>
                <w:szCs w:val="20"/>
              </w:rPr>
            </w:pPr>
            <w:r w:rsidRPr="008B6A75">
              <w:rPr>
                <w:sz w:val="20"/>
                <w:szCs w:val="20"/>
              </w:rPr>
              <w:t>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62E331BE" w14:textId="77777777" w:rsidR="00387142" w:rsidRPr="008B6A75" w:rsidRDefault="00387142" w:rsidP="00387142">
            <w:pPr>
              <w:jc w:val="right"/>
              <w:rPr>
                <w:sz w:val="20"/>
                <w:szCs w:val="20"/>
              </w:rPr>
            </w:pPr>
            <w:r w:rsidRPr="008B6A75">
              <w:rPr>
                <w:sz w:val="20"/>
                <w:szCs w:val="20"/>
              </w:rPr>
              <w:t>0,00</w:t>
            </w:r>
          </w:p>
        </w:tc>
        <w:tc>
          <w:tcPr>
            <w:tcW w:w="222" w:type="dxa"/>
            <w:vAlign w:val="center"/>
            <w:hideMark/>
          </w:tcPr>
          <w:p w14:paraId="40F82E06" w14:textId="77777777" w:rsidR="00387142" w:rsidRPr="008B6A75" w:rsidRDefault="00387142" w:rsidP="00387142">
            <w:pPr>
              <w:rPr>
                <w:sz w:val="20"/>
                <w:szCs w:val="20"/>
              </w:rPr>
            </w:pPr>
          </w:p>
        </w:tc>
      </w:tr>
      <w:tr w:rsidR="00387142" w:rsidRPr="008B6A75" w14:paraId="64C03F8A" w14:textId="77777777" w:rsidTr="00387142">
        <w:trPr>
          <w:trHeight w:val="960"/>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090AE7BB" w14:textId="77777777" w:rsidR="00387142" w:rsidRPr="008B6A75" w:rsidRDefault="00387142" w:rsidP="00387142">
            <w:pPr>
              <w:rPr>
                <w:sz w:val="20"/>
                <w:szCs w:val="20"/>
              </w:rPr>
            </w:pPr>
            <w:r w:rsidRPr="008B6A75">
              <w:rPr>
                <w:sz w:val="20"/>
                <w:szCs w:val="20"/>
              </w:rPr>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0268B93E" w14:textId="77777777" w:rsidR="00387142" w:rsidRPr="008B6A75" w:rsidRDefault="00387142" w:rsidP="00387142">
            <w:pPr>
              <w:jc w:val="center"/>
              <w:rPr>
                <w:sz w:val="20"/>
                <w:szCs w:val="20"/>
              </w:rPr>
            </w:pPr>
            <w:r w:rsidRPr="008B6A75">
              <w:rPr>
                <w:sz w:val="20"/>
                <w:szCs w:val="20"/>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06973DDE" w14:textId="77777777" w:rsidR="00387142" w:rsidRPr="008B6A75" w:rsidRDefault="00387142" w:rsidP="00387142">
            <w:pPr>
              <w:jc w:val="center"/>
              <w:rPr>
                <w:sz w:val="20"/>
                <w:szCs w:val="20"/>
              </w:rPr>
            </w:pPr>
            <w:r w:rsidRPr="008B6A75">
              <w:rPr>
                <w:sz w:val="20"/>
                <w:szCs w:val="20"/>
              </w:rPr>
              <w:t>10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2D25EB" w14:textId="77777777" w:rsidR="00387142" w:rsidRPr="008B6A75" w:rsidRDefault="00387142" w:rsidP="00387142">
            <w:pPr>
              <w:jc w:val="center"/>
              <w:rPr>
                <w:sz w:val="20"/>
                <w:szCs w:val="20"/>
              </w:rPr>
            </w:pPr>
            <w:r w:rsidRPr="008B6A75">
              <w:rPr>
                <w:sz w:val="20"/>
                <w:szCs w:val="20"/>
              </w:rPr>
              <w:t>03</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2614A904" w14:textId="77777777" w:rsidR="00387142" w:rsidRPr="008B6A75" w:rsidRDefault="00387142" w:rsidP="00387142">
            <w:pPr>
              <w:jc w:val="center"/>
              <w:rPr>
                <w:sz w:val="20"/>
                <w:szCs w:val="20"/>
              </w:rPr>
            </w:pPr>
            <w:r w:rsidRPr="008B6A75">
              <w:rPr>
                <w:sz w:val="20"/>
                <w:szCs w:val="20"/>
              </w:rPr>
              <w:t>99.0.00.20540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A4C45E" w14:textId="77777777" w:rsidR="00387142" w:rsidRPr="008B6A75" w:rsidRDefault="00387142" w:rsidP="00387142">
            <w:pPr>
              <w:jc w:val="center"/>
              <w:rPr>
                <w:sz w:val="20"/>
                <w:szCs w:val="20"/>
              </w:rPr>
            </w:pPr>
            <w:r w:rsidRPr="008B6A75">
              <w:rPr>
                <w:sz w:val="20"/>
                <w:szCs w:val="20"/>
              </w:rPr>
              <w:t>240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0DE952" w14:textId="77777777" w:rsidR="00387142" w:rsidRPr="008B6A75" w:rsidRDefault="00387142" w:rsidP="00387142">
            <w:pPr>
              <w:jc w:val="right"/>
              <w:rPr>
                <w:sz w:val="20"/>
                <w:szCs w:val="20"/>
              </w:rPr>
            </w:pPr>
            <w:r w:rsidRPr="008B6A75">
              <w:rPr>
                <w:sz w:val="20"/>
                <w:szCs w:val="20"/>
              </w:rPr>
              <w:t>300 000,00</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15BCB7D9" w14:textId="77777777" w:rsidR="00387142" w:rsidRPr="008B6A75" w:rsidRDefault="00387142" w:rsidP="00387142">
            <w:pPr>
              <w:jc w:val="right"/>
              <w:rPr>
                <w:sz w:val="20"/>
                <w:szCs w:val="20"/>
              </w:rPr>
            </w:pPr>
            <w:r w:rsidRPr="008B6A75">
              <w:rPr>
                <w:sz w:val="20"/>
                <w:szCs w:val="20"/>
              </w:rPr>
              <w:t>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E5C2A2" w14:textId="77777777" w:rsidR="00387142" w:rsidRPr="008B6A75" w:rsidRDefault="00387142" w:rsidP="00387142">
            <w:pPr>
              <w:jc w:val="right"/>
              <w:rPr>
                <w:sz w:val="20"/>
                <w:szCs w:val="20"/>
              </w:rPr>
            </w:pPr>
            <w:r w:rsidRPr="008B6A75">
              <w:rPr>
                <w:sz w:val="20"/>
                <w:szCs w:val="20"/>
              </w:rPr>
              <w:t>0,00</w:t>
            </w:r>
          </w:p>
        </w:tc>
        <w:tc>
          <w:tcPr>
            <w:tcW w:w="222" w:type="dxa"/>
            <w:vAlign w:val="center"/>
            <w:hideMark/>
          </w:tcPr>
          <w:p w14:paraId="206884ED" w14:textId="77777777" w:rsidR="00387142" w:rsidRPr="008B6A75" w:rsidRDefault="00387142" w:rsidP="00387142">
            <w:pPr>
              <w:rPr>
                <w:sz w:val="20"/>
                <w:szCs w:val="20"/>
              </w:rPr>
            </w:pPr>
          </w:p>
        </w:tc>
      </w:tr>
      <w:tr w:rsidR="00387142" w:rsidRPr="008B6A75" w14:paraId="18C33B11" w14:textId="77777777" w:rsidTr="00387142">
        <w:trPr>
          <w:trHeight w:val="1440"/>
        </w:trPr>
        <w:tc>
          <w:tcPr>
            <w:tcW w:w="3021" w:type="dxa"/>
            <w:tcBorders>
              <w:top w:val="nil"/>
              <w:left w:val="single" w:sz="4" w:space="0" w:color="auto"/>
              <w:bottom w:val="nil"/>
              <w:right w:val="nil"/>
            </w:tcBorders>
            <w:shd w:val="clear" w:color="auto" w:fill="auto"/>
            <w:vAlign w:val="center"/>
            <w:hideMark/>
          </w:tcPr>
          <w:p w14:paraId="3E52859C" w14:textId="77777777" w:rsidR="00387142" w:rsidRPr="008B6A75" w:rsidRDefault="00387142" w:rsidP="00387142">
            <w:pPr>
              <w:rPr>
                <w:bCs/>
                <w:sz w:val="20"/>
                <w:szCs w:val="20"/>
              </w:rPr>
            </w:pPr>
            <w:r w:rsidRPr="008B6A75">
              <w:rPr>
                <w:bCs/>
                <w:sz w:val="20"/>
                <w:szCs w:val="20"/>
              </w:rPr>
              <w:t>Осуществление полномочий по обеспечению жильем отдельных категорий граждан, установленных Федеральным законом от 24 ноября 1995 года N 181-ФЗ "О социальной защите инвалидов в Российской Федерации"</w:t>
            </w:r>
          </w:p>
        </w:tc>
        <w:tc>
          <w:tcPr>
            <w:tcW w:w="850" w:type="dxa"/>
            <w:tcBorders>
              <w:top w:val="nil"/>
              <w:left w:val="single" w:sz="4" w:space="0" w:color="auto"/>
              <w:bottom w:val="nil"/>
              <w:right w:val="nil"/>
            </w:tcBorders>
            <w:shd w:val="clear" w:color="auto" w:fill="auto"/>
            <w:noWrap/>
            <w:vAlign w:val="center"/>
            <w:hideMark/>
          </w:tcPr>
          <w:p w14:paraId="7EDC8630" w14:textId="77777777" w:rsidR="00387142" w:rsidRPr="008B6A75" w:rsidRDefault="00387142" w:rsidP="00387142">
            <w:pPr>
              <w:jc w:val="center"/>
              <w:rPr>
                <w:bCs/>
                <w:sz w:val="20"/>
                <w:szCs w:val="20"/>
              </w:rPr>
            </w:pPr>
            <w:r w:rsidRPr="008B6A75">
              <w:rPr>
                <w:bCs/>
                <w:sz w:val="20"/>
                <w:szCs w:val="20"/>
              </w:rPr>
              <w:t>444</w:t>
            </w:r>
          </w:p>
        </w:tc>
        <w:tc>
          <w:tcPr>
            <w:tcW w:w="709" w:type="dxa"/>
            <w:tcBorders>
              <w:top w:val="nil"/>
              <w:left w:val="single" w:sz="4" w:space="0" w:color="auto"/>
              <w:bottom w:val="nil"/>
              <w:right w:val="nil"/>
            </w:tcBorders>
            <w:shd w:val="clear" w:color="auto" w:fill="auto"/>
            <w:noWrap/>
            <w:vAlign w:val="center"/>
            <w:hideMark/>
          </w:tcPr>
          <w:p w14:paraId="6D14DB71" w14:textId="77777777" w:rsidR="00387142" w:rsidRPr="008B6A75" w:rsidRDefault="00387142" w:rsidP="00387142">
            <w:pPr>
              <w:jc w:val="center"/>
              <w:rPr>
                <w:bCs/>
                <w:sz w:val="20"/>
                <w:szCs w:val="20"/>
              </w:rPr>
            </w:pPr>
            <w:r w:rsidRPr="008B6A75">
              <w:rPr>
                <w:bCs/>
                <w:sz w:val="20"/>
                <w:szCs w:val="20"/>
              </w:rPr>
              <w:t>10</w:t>
            </w:r>
          </w:p>
        </w:tc>
        <w:tc>
          <w:tcPr>
            <w:tcW w:w="709" w:type="dxa"/>
            <w:tcBorders>
              <w:top w:val="nil"/>
              <w:left w:val="single" w:sz="4" w:space="0" w:color="auto"/>
              <w:bottom w:val="nil"/>
              <w:right w:val="single" w:sz="4" w:space="0" w:color="auto"/>
            </w:tcBorders>
            <w:shd w:val="clear" w:color="auto" w:fill="auto"/>
            <w:noWrap/>
            <w:vAlign w:val="center"/>
            <w:hideMark/>
          </w:tcPr>
          <w:p w14:paraId="54336F91" w14:textId="77777777" w:rsidR="00387142" w:rsidRPr="008B6A75" w:rsidRDefault="00387142" w:rsidP="00387142">
            <w:pPr>
              <w:jc w:val="center"/>
              <w:rPr>
                <w:bCs/>
                <w:sz w:val="20"/>
                <w:szCs w:val="20"/>
              </w:rPr>
            </w:pPr>
            <w:r w:rsidRPr="008B6A75">
              <w:rPr>
                <w:bCs/>
                <w:sz w:val="20"/>
                <w:szCs w:val="20"/>
              </w:rPr>
              <w:t>03</w:t>
            </w:r>
          </w:p>
        </w:tc>
        <w:tc>
          <w:tcPr>
            <w:tcW w:w="1411" w:type="dxa"/>
            <w:tcBorders>
              <w:top w:val="nil"/>
              <w:left w:val="single" w:sz="4" w:space="0" w:color="auto"/>
              <w:bottom w:val="nil"/>
              <w:right w:val="nil"/>
            </w:tcBorders>
            <w:shd w:val="clear" w:color="auto" w:fill="auto"/>
            <w:noWrap/>
            <w:vAlign w:val="center"/>
            <w:hideMark/>
          </w:tcPr>
          <w:p w14:paraId="544BEEB5" w14:textId="77777777" w:rsidR="00387142" w:rsidRPr="008B6A75" w:rsidRDefault="00387142" w:rsidP="00387142">
            <w:pPr>
              <w:jc w:val="center"/>
              <w:rPr>
                <w:bCs/>
                <w:sz w:val="20"/>
                <w:szCs w:val="20"/>
              </w:rPr>
            </w:pPr>
            <w:r w:rsidRPr="008B6A75">
              <w:rPr>
                <w:bCs/>
                <w:sz w:val="20"/>
                <w:szCs w:val="20"/>
              </w:rPr>
              <w:t>99.0.00.51760</w:t>
            </w:r>
          </w:p>
        </w:tc>
        <w:tc>
          <w:tcPr>
            <w:tcW w:w="955" w:type="dxa"/>
            <w:tcBorders>
              <w:top w:val="nil"/>
              <w:left w:val="single" w:sz="4" w:space="0" w:color="auto"/>
              <w:bottom w:val="nil"/>
              <w:right w:val="single" w:sz="4" w:space="0" w:color="auto"/>
            </w:tcBorders>
            <w:shd w:val="clear" w:color="auto" w:fill="auto"/>
            <w:noWrap/>
            <w:vAlign w:val="center"/>
            <w:hideMark/>
          </w:tcPr>
          <w:p w14:paraId="00117837"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nil"/>
              <w:right w:val="single" w:sz="4" w:space="0" w:color="auto"/>
            </w:tcBorders>
            <w:shd w:val="clear" w:color="auto" w:fill="auto"/>
            <w:noWrap/>
            <w:vAlign w:val="center"/>
            <w:hideMark/>
          </w:tcPr>
          <w:p w14:paraId="393D7D05" w14:textId="77777777" w:rsidR="00387142" w:rsidRPr="008B6A75" w:rsidRDefault="00387142" w:rsidP="00387142">
            <w:pPr>
              <w:jc w:val="right"/>
              <w:rPr>
                <w:bCs/>
                <w:sz w:val="20"/>
                <w:szCs w:val="20"/>
              </w:rPr>
            </w:pPr>
            <w:r w:rsidRPr="008B6A75">
              <w:rPr>
                <w:bCs/>
                <w:sz w:val="20"/>
                <w:szCs w:val="20"/>
              </w:rPr>
              <w:t>6 696 500,00</w:t>
            </w:r>
          </w:p>
        </w:tc>
        <w:tc>
          <w:tcPr>
            <w:tcW w:w="992" w:type="dxa"/>
            <w:gridSpan w:val="2"/>
            <w:tcBorders>
              <w:top w:val="nil"/>
              <w:left w:val="single" w:sz="4" w:space="0" w:color="auto"/>
              <w:bottom w:val="nil"/>
              <w:right w:val="nil"/>
            </w:tcBorders>
            <w:shd w:val="clear" w:color="auto" w:fill="auto"/>
            <w:noWrap/>
            <w:vAlign w:val="center"/>
            <w:hideMark/>
          </w:tcPr>
          <w:p w14:paraId="06F1F4A6" w14:textId="77777777" w:rsidR="00387142" w:rsidRPr="008B6A75" w:rsidRDefault="00387142" w:rsidP="00387142">
            <w:pPr>
              <w:jc w:val="right"/>
              <w:rPr>
                <w:bCs/>
                <w:sz w:val="20"/>
                <w:szCs w:val="20"/>
              </w:rPr>
            </w:pPr>
            <w:r w:rsidRPr="008B6A75">
              <w:rPr>
                <w:bCs/>
                <w:sz w:val="20"/>
                <w:szCs w:val="20"/>
              </w:rPr>
              <w:t>1 014 800,00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0B433E87" w14:textId="77777777" w:rsidR="00387142" w:rsidRPr="008B6A75" w:rsidRDefault="00387142" w:rsidP="00387142">
            <w:pPr>
              <w:jc w:val="right"/>
              <w:rPr>
                <w:bCs/>
                <w:sz w:val="20"/>
                <w:szCs w:val="20"/>
              </w:rPr>
            </w:pPr>
            <w:r w:rsidRPr="008B6A75">
              <w:rPr>
                <w:bCs/>
                <w:sz w:val="20"/>
                <w:szCs w:val="20"/>
              </w:rPr>
              <w:t>1 014 800,00</w:t>
            </w:r>
          </w:p>
        </w:tc>
        <w:tc>
          <w:tcPr>
            <w:tcW w:w="222" w:type="dxa"/>
            <w:vAlign w:val="center"/>
            <w:hideMark/>
          </w:tcPr>
          <w:p w14:paraId="2DC279B1" w14:textId="77777777" w:rsidR="00387142" w:rsidRPr="008B6A75" w:rsidRDefault="00387142" w:rsidP="00387142">
            <w:pPr>
              <w:rPr>
                <w:sz w:val="20"/>
                <w:szCs w:val="20"/>
              </w:rPr>
            </w:pPr>
          </w:p>
        </w:tc>
      </w:tr>
      <w:tr w:rsidR="00387142" w:rsidRPr="008B6A75" w14:paraId="7AFB1D34" w14:textId="77777777" w:rsidTr="00387142">
        <w:trPr>
          <w:trHeight w:val="585"/>
        </w:trPr>
        <w:tc>
          <w:tcPr>
            <w:tcW w:w="3021" w:type="dxa"/>
            <w:tcBorders>
              <w:top w:val="single" w:sz="4" w:space="0" w:color="auto"/>
              <w:left w:val="single" w:sz="4" w:space="0" w:color="auto"/>
              <w:bottom w:val="nil"/>
              <w:right w:val="nil"/>
            </w:tcBorders>
            <w:shd w:val="clear" w:color="auto" w:fill="auto"/>
            <w:vAlign w:val="center"/>
            <w:hideMark/>
          </w:tcPr>
          <w:p w14:paraId="14BDC4C2" w14:textId="77777777" w:rsidR="00387142" w:rsidRPr="008B6A75" w:rsidRDefault="00387142" w:rsidP="00387142">
            <w:pPr>
              <w:rPr>
                <w:sz w:val="20"/>
                <w:szCs w:val="20"/>
              </w:rPr>
            </w:pPr>
            <w:r w:rsidRPr="008B6A75">
              <w:rPr>
                <w:sz w:val="20"/>
                <w:szCs w:val="20"/>
              </w:rPr>
              <w:t>Социальное обеспечение и иные выплаты населению</w:t>
            </w:r>
          </w:p>
        </w:tc>
        <w:tc>
          <w:tcPr>
            <w:tcW w:w="850" w:type="dxa"/>
            <w:tcBorders>
              <w:top w:val="single" w:sz="4" w:space="0" w:color="auto"/>
              <w:left w:val="single" w:sz="4" w:space="0" w:color="auto"/>
              <w:bottom w:val="nil"/>
              <w:right w:val="nil"/>
            </w:tcBorders>
            <w:shd w:val="clear" w:color="auto" w:fill="auto"/>
            <w:noWrap/>
            <w:vAlign w:val="center"/>
            <w:hideMark/>
          </w:tcPr>
          <w:p w14:paraId="4F320830" w14:textId="77777777" w:rsidR="00387142" w:rsidRPr="008B6A75" w:rsidRDefault="00387142" w:rsidP="00387142">
            <w:pPr>
              <w:jc w:val="center"/>
              <w:rPr>
                <w:sz w:val="20"/>
                <w:szCs w:val="20"/>
              </w:rPr>
            </w:pPr>
            <w:r w:rsidRPr="008B6A75">
              <w:rPr>
                <w:sz w:val="20"/>
                <w:szCs w:val="20"/>
              </w:rPr>
              <w:t>444</w:t>
            </w:r>
          </w:p>
        </w:tc>
        <w:tc>
          <w:tcPr>
            <w:tcW w:w="709" w:type="dxa"/>
            <w:tcBorders>
              <w:top w:val="single" w:sz="4" w:space="0" w:color="auto"/>
              <w:left w:val="single" w:sz="4" w:space="0" w:color="auto"/>
              <w:bottom w:val="nil"/>
              <w:right w:val="nil"/>
            </w:tcBorders>
            <w:shd w:val="clear" w:color="auto" w:fill="auto"/>
            <w:noWrap/>
            <w:vAlign w:val="center"/>
            <w:hideMark/>
          </w:tcPr>
          <w:p w14:paraId="4D70FEBD" w14:textId="77777777" w:rsidR="00387142" w:rsidRPr="008B6A75" w:rsidRDefault="00387142" w:rsidP="00387142">
            <w:pPr>
              <w:jc w:val="center"/>
              <w:rPr>
                <w:sz w:val="20"/>
                <w:szCs w:val="20"/>
              </w:rPr>
            </w:pPr>
            <w:r w:rsidRPr="008B6A75">
              <w:rPr>
                <w:sz w:val="20"/>
                <w:szCs w:val="20"/>
              </w:rPr>
              <w:t>10</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02E988AF" w14:textId="77777777" w:rsidR="00387142" w:rsidRPr="008B6A75" w:rsidRDefault="00387142" w:rsidP="00387142">
            <w:pPr>
              <w:jc w:val="center"/>
              <w:rPr>
                <w:sz w:val="20"/>
                <w:szCs w:val="20"/>
              </w:rPr>
            </w:pPr>
            <w:r w:rsidRPr="008B6A75">
              <w:rPr>
                <w:sz w:val="20"/>
                <w:szCs w:val="20"/>
              </w:rPr>
              <w:t>03</w:t>
            </w:r>
          </w:p>
        </w:tc>
        <w:tc>
          <w:tcPr>
            <w:tcW w:w="1411" w:type="dxa"/>
            <w:tcBorders>
              <w:top w:val="single" w:sz="4" w:space="0" w:color="auto"/>
              <w:left w:val="single" w:sz="4" w:space="0" w:color="auto"/>
              <w:bottom w:val="nil"/>
              <w:right w:val="nil"/>
            </w:tcBorders>
            <w:shd w:val="clear" w:color="auto" w:fill="auto"/>
            <w:noWrap/>
            <w:vAlign w:val="center"/>
            <w:hideMark/>
          </w:tcPr>
          <w:p w14:paraId="542D43E4" w14:textId="77777777" w:rsidR="00387142" w:rsidRPr="008B6A75" w:rsidRDefault="00387142" w:rsidP="00387142">
            <w:pPr>
              <w:jc w:val="center"/>
              <w:rPr>
                <w:sz w:val="20"/>
                <w:szCs w:val="20"/>
              </w:rPr>
            </w:pPr>
            <w:r w:rsidRPr="008B6A75">
              <w:rPr>
                <w:sz w:val="20"/>
                <w:szCs w:val="20"/>
              </w:rPr>
              <w:t>99.0.00.51760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67926303" w14:textId="77777777" w:rsidR="00387142" w:rsidRPr="008B6A75" w:rsidRDefault="00387142" w:rsidP="00387142">
            <w:pPr>
              <w:jc w:val="center"/>
              <w:rPr>
                <w:sz w:val="20"/>
                <w:szCs w:val="20"/>
              </w:rPr>
            </w:pPr>
            <w:r w:rsidRPr="008B6A75">
              <w:rPr>
                <w:sz w:val="20"/>
                <w:szCs w:val="20"/>
              </w:rPr>
              <w:t>300</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75ED4B1E" w14:textId="77777777" w:rsidR="00387142" w:rsidRPr="008B6A75" w:rsidRDefault="00387142" w:rsidP="00387142">
            <w:pPr>
              <w:jc w:val="right"/>
              <w:rPr>
                <w:sz w:val="20"/>
                <w:szCs w:val="20"/>
              </w:rPr>
            </w:pPr>
            <w:r w:rsidRPr="008B6A75">
              <w:rPr>
                <w:sz w:val="20"/>
                <w:szCs w:val="20"/>
              </w:rPr>
              <w:t>6 696 500,00</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2B67C6B8" w14:textId="77777777" w:rsidR="00387142" w:rsidRPr="008B6A75" w:rsidRDefault="00387142" w:rsidP="00387142">
            <w:pPr>
              <w:jc w:val="right"/>
              <w:rPr>
                <w:sz w:val="20"/>
                <w:szCs w:val="20"/>
              </w:rPr>
            </w:pPr>
            <w:r w:rsidRPr="008B6A75">
              <w:rPr>
                <w:sz w:val="20"/>
                <w:szCs w:val="20"/>
              </w:rPr>
              <w:t>1 014 800,00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473F4E65" w14:textId="77777777" w:rsidR="00387142" w:rsidRPr="008B6A75" w:rsidRDefault="00387142" w:rsidP="00387142">
            <w:pPr>
              <w:jc w:val="right"/>
              <w:rPr>
                <w:sz w:val="20"/>
                <w:szCs w:val="20"/>
              </w:rPr>
            </w:pPr>
            <w:r w:rsidRPr="008B6A75">
              <w:rPr>
                <w:sz w:val="20"/>
                <w:szCs w:val="20"/>
              </w:rPr>
              <w:t>1 014 800,00</w:t>
            </w:r>
          </w:p>
        </w:tc>
        <w:tc>
          <w:tcPr>
            <w:tcW w:w="222" w:type="dxa"/>
            <w:vAlign w:val="center"/>
            <w:hideMark/>
          </w:tcPr>
          <w:p w14:paraId="62AF5274" w14:textId="77777777" w:rsidR="00387142" w:rsidRPr="008B6A75" w:rsidRDefault="00387142" w:rsidP="00387142">
            <w:pPr>
              <w:rPr>
                <w:sz w:val="20"/>
                <w:szCs w:val="20"/>
              </w:rPr>
            </w:pPr>
          </w:p>
        </w:tc>
      </w:tr>
      <w:tr w:rsidR="00387142" w:rsidRPr="008B6A75" w14:paraId="43EF03DF" w14:textId="77777777" w:rsidTr="00387142">
        <w:trPr>
          <w:trHeight w:val="585"/>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0E9C57C5" w14:textId="77777777" w:rsidR="00387142" w:rsidRPr="008B6A75" w:rsidRDefault="00387142" w:rsidP="00387142">
            <w:pPr>
              <w:rPr>
                <w:sz w:val="20"/>
                <w:szCs w:val="20"/>
              </w:rPr>
            </w:pPr>
            <w:r w:rsidRPr="008B6A75">
              <w:rPr>
                <w:sz w:val="20"/>
                <w:szCs w:val="20"/>
              </w:rPr>
              <w:t>Социальные выплаты гражданам, кроме публичных нормативных социальных выплат</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1EDFC80E" w14:textId="77777777" w:rsidR="00387142" w:rsidRPr="008B6A75" w:rsidRDefault="00387142" w:rsidP="00387142">
            <w:pPr>
              <w:jc w:val="center"/>
              <w:rPr>
                <w:sz w:val="20"/>
                <w:szCs w:val="20"/>
              </w:rPr>
            </w:pPr>
            <w:r w:rsidRPr="008B6A75">
              <w:rPr>
                <w:sz w:val="20"/>
                <w:szCs w:val="20"/>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0A0A905D" w14:textId="77777777" w:rsidR="00387142" w:rsidRPr="008B6A75" w:rsidRDefault="00387142" w:rsidP="00387142">
            <w:pPr>
              <w:jc w:val="center"/>
              <w:rPr>
                <w:sz w:val="20"/>
                <w:szCs w:val="20"/>
              </w:rPr>
            </w:pPr>
            <w:r w:rsidRPr="008B6A75">
              <w:rPr>
                <w:sz w:val="20"/>
                <w:szCs w:val="20"/>
              </w:rPr>
              <w:t>10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50FA01" w14:textId="77777777" w:rsidR="00387142" w:rsidRPr="008B6A75" w:rsidRDefault="00387142" w:rsidP="00387142">
            <w:pPr>
              <w:jc w:val="center"/>
              <w:rPr>
                <w:sz w:val="20"/>
                <w:szCs w:val="20"/>
              </w:rPr>
            </w:pPr>
            <w:r w:rsidRPr="008B6A75">
              <w:rPr>
                <w:sz w:val="20"/>
                <w:szCs w:val="20"/>
              </w:rPr>
              <w:t>03</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0793D760" w14:textId="77777777" w:rsidR="00387142" w:rsidRPr="008B6A75" w:rsidRDefault="00387142" w:rsidP="00387142">
            <w:pPr>
              <w:jc w:val="center"/>
              <w:rPr>
                <w:sz w:val="20"/>
                <w:szCs w:val="20"/>
              </w:rPr>
            </w:pPr>
            <w:r w:rsidRPr="008B6A75">
              <w:rPr>
                <w:sz w:val="20"/>
                <w:szCs w:val="20"/>
              </w:rPr>
              <w:t>99.0.00.51760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BA3DA3" w14:textId="77777777" w:rsidR="00387142" w:rsidRPr="008B6A75" w:rsidRDefault="00387142" w:rsidP="00387142">
            <w:pPr>
              <w:jc w:val="center"/>
              <w:rPr>
                <w:sz w:val="20"/>
                <w:szCs w:val="20"/>
              </w:rPr>
            </w:pPr>
            <w:r w:rsidRPr="008B6A75">
              <w:rPr>
                <w:sz w:val="20"/>
                <w:szCs w:val="20"/>
              </w:rPr>
              <w:t>320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DB8628" w14:textId="77777777" w:rsidR="00387142" w:rsidRPr="008B6A75" w:rsidRDefault="00387142" w:rsidP="00387142">
            <w:pPr>
              <w:jc w:val="right"/>
              <w:rPr>
                <w:sz w:val="20"/>
                <w:szCs w:val="20"/>
              </w:rPr>
            </w:pPr>
            <w:r w:rsidRPr="008B6A75">
              <w:rPr>
                <w:sz w:val="20"/>
                <w:szCs w:val="20"/>
              </w:rPr>
              <w:t>6 696 500,00</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0CB6949C" w14:textId="77777777" w:rsidR="00387142" w:rsidRPr="008B6A75" w:rsidRDefault="00387142" w:rsidP="00387142">
            <w:pPr>
              <w:jc w:val="right"/>
              <w:rPr>
                <w:sz w:val="20"/>
                <w:szCs w:val="20"/>
              </w:rPr>
            </w:pPr>
            <w:r w:rsidRPr="008B6A75">
              <w:rPr>
                <w:sz w:val="20"/>
                <w:szCs w:val="20"/>
              </w:rPr>
              <w:t>1 014 800,00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6FE3B0" w14:textId="77777777" w:rsidR="00387142" w:rsidRPr="008B6A75" w:rsidRDefault="00387142" w:rsidP="00387142">
            <w:pPr>
              <w:jc w:val="right"/>
              <w:rPr>
                <w:sz w:val="20"/>
                <w:szCs w:val="20"/>
              </w:rPr>
            </w:pPr>
            <w:r w:rsidRPr="008B6A75">
              <w:rPr>
                <w:sz w:val="20"/>
                <w:szCs w:val="20"/>
              </w:rPr>
              <w:t>1 014 800,00</w:t>
            </w:r>
          </w:p>
        </w:tc>
        <w:tc>
          <w:tcPr>
            <w:tcW w:w="222" w:type="dxa"/>
            <w:vAlign w:val="center"/>
            <w:hideMark/>
          </w:tcPr>
          <w:p w14:paraId="067EA790" w14:textId="77777777" w:rsidR="00387142" w:rsidRPr="008B6A75" w:rsidRDefault="00387142" w:rsidP="00387142">
            <w:pPr>
              <w:rPr>
                <w:sz w:val="20"/>
                <w:szCs w:val="20"/>
              </w:rPr>
            </w:pPr>
          </w:p>
        </w:tc>
      </w:tr>
      <w:tr w:rsidR="00387142" w:rsidRPr="008B6A75" w14:paraId="1FA5B4E3" w14:textId="77777777" w:rsidTr="00387142">
        <w:trPr>
          <w:trHeight w:val="3720"/>
        </w:trPr>
        <w:tc>
          <w:tcPr>
            <w:tcW w:w="3021" w:type="dxa"/>
            <w:tcBorders>
              <w:top w:val="nil"/>
              <w:left w:val="single" w:sz="4" w:space="0" w:color="auto"/>
              <w:bottom w:val="nil"/>
              <w:right w:val="nil"/>
            </w:tcBorders>
            <w:shd w:val="clear" w:color="auto" w:fill="auto"/>
            <w:vAlign w:val="center"/>
            <w:hideMark/>
          </w:tcPr>
          <w:p w14:paraId="43746392" w14:textId="77777777" w:rsidR="00387142" w:rsidRPr="008B6A75" w:rsidRDefault="00387142" w:rsidP="00387142">
            <w:pPr>
              <w:rPr>
                <w:bCs/>
                <w:sz w:val="20"/>
                <w:szCs w:val="20"/>
              </w:rPr>
            </w:pPr>
            <w:r w:rsidRPr="008B6A75">
              <w:rPr>
                <w:bCs/>
                <w:sz w:val="20"/>
                <w:szCs w:val="20"/>
              </w:rPr>
              <w:t>Субвенция на возмещение специализированной службе по вопросам похоронного дела стоимости услуг, предоставляемых согласно гарантированному перечню услуг по погребению,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 в случае рождения мертвого ребенка по истечении 154 дней беременности, а также умерших, личность которых не установлена органами внутренних дел</w:t>
            </w:r>
          </w:p>
        </w:tc>
        <w:tc>
          <w:tcPr>
            <w:tcW w:w="850" w:type="dxa"/>
            <w:tcBorders>
              <w:top w:val="nil"/>
              <w:left w:val="single" w:sz="4" w:space="0" w:color="auto"/>
              <w:bottom w:val="nil"/>
              <w:right w:val="nil"/>
            </w:tcBorders>
            <w:shd w:val="clear" w:color="auto" w:fill="auto"/>
            <w:noWrap/>
            <w:vAlign w:val="center"/>
            <w:hideMark/>
          </w:tcPr>
          <w:p w14:paraId="631C9E8B" w14:textId="77777777" w:rsidR="00387142" w:rsidRPr="008B6A75" w:rsidRDefault="00387142" w:rsidP="00387142">
            <w:pPr>
              <w:jc w:val="center"/>
              <w:rPr>
                <w:bCs/>
                <w:sz w:val="20"/>
                <w:szCs w:val="20"/>
              </w:rPr>
            </w:pPr>
            <w:r w:rsidRPr="008B6A75">
              <w:rPr>
                <w:bCs/>
                <w:sz w:val="20"/>
                <w:szCs w:val="20"/>
              </w:rPr>
              <w:t>444</w:t>
            </w:r>
          </w:p>
        </w:tc>
        <w:tc>
          <w:tcPr>
            <w:tcW w:w="709" w:type="dxa"/>
            <w:tcBorders>
              <w:top w:val="nil"/>
              <w:left w:val="single" w:sz="4" w:space="0" w:color="auto"/>
              <w:bottom w:val="nil"/>
              <w:right w:val="nil"/>
            </w:tcBorders>
            <w:shd w:val="clear" w:color="auto" w:fill="auto"/>
            <w:noWrap/>
            <w:vAlign w:val="center"/>
            <w:hideMark/>
          </w:tcPr>
          <w:p w14:paraId="5BFB37C6" w14:textId="77777777" w:rsidR="00387142" w:rsidRPr="008B6A75" w:rsidRDefault="00387142" w:rsidP="00387142">
            <w:pPr>
              <w:jc w:val="center"/>
              <w:rPr>
                <w:bCs/>
                <w:sz w:val="20"/>
                <w:szCs w:val="20"/>
              </w:rPr>
            </w:pPr>
            <w:r w:rsidRPr="008B6A75">
              <w:rPr>
                <w:bCs/>
                <w:sz w:val="20"/>
                <w:szCs w:val="20"/>
              </w:rPr>
              <w:t>10</w:t>
            </w:r>
          </w:p>
        </w:tc>
        <w:tc>
          <w:tcPr>
            <w:tcW w:w="709" w:type="dxa"/>
            <w:tcBorders>
              <w:top w:val="nil"/>
              <w:left w:val="single" w:sz="4" w:space="0" w:color="auto"/>
              <w:bottom w:val="nil"/>
              <w:right w:val="single" w:sz="4" w:space="0" w:color="auto"/>
            </w:tcBorders>
            <w:shd w:val="clear" w:color="auto" w:fill="auto"/>
            <w:noWrap/>
            <w:vAlign w:val="center"/>
            <w:hideMark/>
          </w:tcPr>
          <w:p w14:paraId="4F979BBE" w14:textId="77777777" w:rsidR="00387142" w:rsidRPr="008B6A75" w:rsidRDefault="00387142" w:rsidP="00387142">
            <w:pPr>
              <w:jc w:val="center"/>
              <w:rPr>
                <w:bCs/>
                <w:sz w:val="20"/>
                <w:szCs w:val="20"/>
              </w:rPr>
            </w:pPr>
            <w:r w:rsidRPr="008B6A75">
              <w:rPr>
                <w:bCs/>
                <w:sz w:val="20"/>
                <w:szCs w:val="20"/>
              </w:rPr>
              <w:t>03</w:t>
            </w:r>
          </w:p>
        </w:tc>
        <w:tc>
          <w:tcPr>
            <w:tcW w:w="1411" w:type="dxa"/>
            <w:tcBorders>
              <w:top w:val="nil"/>
              <w:left w:val="single" w:sz="4" w:space="0" w:color="auto"/>
              <w:bottom w:val="nil"/>
              <w:right w:val="nil"/>
            </w:tcBorders>
            <w:shd w:val="clear" w:color="auto" w:fill="auto"/>
            <w:noWrap/>
            <w:vAlign w:val="center"/>
            <w:hideMark/>
          </w:tcPr>
          <w:p w14:paraId="063EA8AF" w14:textId="77777777" w:rsidR="00387142" w:rsidRPr="008B6A75" w:rsidRDefault="00387142" w:rsidP="00387142">
            <w:pPr>
              <w:jc w:val="center"/>
              <w:rPr>
                <w:bCs/>
                <w:sz w:val="20"/>
                <w:szCs w:val="20"/>
              </w:rPr>
            </w:pPr>
            <w:r w:rsidRPr="008B6A75">
              <w:rPr>
                <w:bCs/>
                <w:sz w:val="20"/>
                <w:szCs w:val="20"/>
              </w:rPr>
              <w:t>99.0.00.74860</w:t>
            </w:r>
          </w:p>
        </w:tc>
        <w:tc>
          <w:tcPr>
            <w:tcW w:w="955" w:type="dxa"/>
            <w:tcBorders>
              <w:top w:val="nil"/>
              <w:left w:val="single" w:sz="4" w:space="0" w:color="auto"/>
              <w:bottom w:val="nil"/>
              <w:right w:val="single" w:sz="4" w:space="0" w:color="auto"/>
            </w:tcBorders>
            <w:shd w:val="clear" w:color="auto" w:fill="auto"/>
            <w:noWrap/>
            <w:vAlign w:val="center"/>
            <w:hideMark/>
          </w:tcPr>
          <w:p w14:paraId="2CDA0131"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nil"/>
              <w:right w:val="single" w:sz="4" w:space="0" w:color="auto"/>
            </w:tcBorders>
            <w:shd w:val="clear" w:color="auto" w:fill="auto"/>
            <w:noWrap/>
            <w:vAlign w:val="center"/>
            <w:hideMark/>
          </w:tcPr>
          <w:p w14:paraId="426C7072" w14:textId="77777777" w:rsidR="00387142" w:rsidRPr="008B6A75" w:rsidRDefault="00387142" w:rsidP="00387142">
            <w:pPr>
              <w:jc w:val="right"/>
              <w:rPr>
                <w:bCs/>
                <w:sz w:val="20"/>
                <w:szCs w:val="20"/>
              </w:rPr>
            </w:pPr>
            <w:r w:rsidRPr="008B6A75">
              <w:rPr>
                <w:bCs/>
                <w:sz w:val="20"/>
                <w:szCs w:val="20"/>
              </w:rPr>
              <w:t>69 646,80</w:t>
            </w:r>
          </w:p>
        </w:tc>
        <w:tc>
          <w:tcPr>
            <w:tcW w:w="992" w:type="dxa"/>
            <w:gridSpan w:val="2"/>
            <w:tcBorders>
              <w:top w:val="nil"/>
              <w:left w:val="single" w:sz="4" w:space="0" w:color="auto"/>
              <w:bottom w:val="nil"/>
              <w:right w:val="nil"/>
            </w:tcBorders>
            <w:shd w:val="clear" w:color="auto" w:fill="auto"/>
            <w:noWrap/>
            <w:vAlign w:val="center"/>
            <w:hideMark/>
          </w:tcPr>
          <w:p w14:paraId="55228F5E" w14:textId="77777777" w:rsidR="00387142" w:rsidRPr="008B6A75" w:rsidRDefault="00387142" w:rsidP="00387142">
            <w:pPr>
              <w:jc w:val="right"/>
              <w:rPr>
                <w:bCs/>
                <w:sz w:val="20"/>
                <w:szCs w:val="20"/>
              </w:rPr>
            </w:pPr>
            <w:r w:rsidRPr="008B6A75">
              <w:rPr>
                <w:bCs/>
                <w:sz w:val="20"/>
                <w:szCs w:val="20"/>
              </w:rPr>
              <w:t>69 700,00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29E2EDB4" w14:textId="77777777" w:rsidR="00387142" w:rsidRPr="008B6A75" w:rsidRDefault="00387142" w:rsidP="00387142">
            <w:pPr>
              <w:jc w:val="right"/>
              <w:rPr>
                <w:bCs/>
                <w:sz w:val="20"/>
                <w:szCs w:val="20"/>
              </w:rPr>
            </w:pPr>
            <w:r w:rsidRPr="008B6A75">
              <w:rPr>
                <w:bCs/>
                <w:sz w:val="20"/>
                <w:szCs w:val="20"/>
              </w:rPr>
              <w:t>69 700,00</w:t>
            </w:r>
          </w:p>
        </w:tc>
        <w:tc>
          <w:tcPr>
            <w:tcW w:w="222" w:type="dxa"/>
            <w:vAlign w:val="center"/>
            <w:hideMark/>
          </w:tcPr>
          <w:p w14:paraId="01C5E318" w14:textId="77777777" w:rsidR="00387142" w:rsidRPr="008B6A75" w:rsidRDefault="00387142" w:rsidP="00387142">
            <w:pPr>
              <w:rPr>
                <w:sz w:val="20"/>
                <w:szCs w:val="20"/>
              </w:rPr>
            </w:pPr>
          </w:p>
        </w:tc>
      </w:tr>
      <w:tr w:rsidR="00387142" w:rsidRPr="008B6A75" w14:paraId="5FC469EE" w14:textId="77777777" w:rsidTr="00387142">
        <w:trPr>
          <w:trHeight w:val="585"/>
        </w:trPr>
        <w:tc>
          <w:tcPr>
            <w:tcW w:w="3021" w:type="dxa"/>
            <w:tcBorders>
              <w:top w:val="single" w:sz="4" w:space="0" w:color="auto"/>
              <w:left w:val="single" w:sz="4" w:space="0" w:color="auto"/>
              <w:bottom w:val="nil"/>
              <w:right w:val="nil"/>
            </w:tcBorders>
            <w:shd w:val="clear" w:color="auto" w:fill="auto"/>
            <w:vAlign w:val="center"/>
            <w:hideMark/>
          </w:tcPr>
          <w:p w14:paraId="33191F8A" w14:textId="77777777" w:rsidR="00387142" w:rsidRPr="008B6A75" w:rsidRDefault="00387142" w:rsidP="00387142">
            <w:pPr>
              <w:rPr>
                <w:sz w:val="20"/>
                <w:szCs w:val="20"/>
              </w:rPr>
            </w:pPr>
            <w:r w:rsidRPr="008B6A75">
              <w:rPr>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nil"/>
              <w:right w:val="nil"/>
            </w:tcBorders>
            <w:shd w:val="clear" w:color="auto" w:fill="auto"/>
            <w:noWrap/>
            <w:vAlign w:val="center"/>
            <w:hideMark/>
          </w:tcPr>
          <w:p w14:paraId="65DBCF04" w14:textId="77777777" w:rsidR="00387142" w:rsidRPr="008B6A75" w:rsidRDefault="00387142" w:rsidP="00387142">
            <w:pPr>
              <w:jc w:val="center"/>
              <w:rPr>
                <w:sz w:val="20"/>
                <w:szCs w:val="20"/>
              </w:rPr>
            </w:pPr>
            <w:r w:rsidRPr="008B6A75">
              <w:rPr>
                <w:sz w:val="20"/>
                <w:szCs w:val="20"/>
              </w:rPr>
              <w:t>444</w:t>
            </w:r>
          </w:p>
        </w:tc>
        <w:tc>
          <w:tcPr>
            <w:tcW w:w="709" w:type="dxa"/>
            <w:tcBorders>
              <w:top w:val="single" w:sz="4" w:space="0" w:color="auto"/>
              <w:left w:val="single" w:sz="4" w:space="0" w:color="auto"/>
              <w:bottom w:val="nil"/>
              <w:right w:val="nil"/>
            </w:tcBorders>
            <w:shd w:val="clear" w:color="auto" w:fill="auto"/>
            <w:noWrap/>
            <w:vAlign w:val="center"/>
            <w:hideMark/>
          </w:tcPr>
          <w:p w14:paraId="3CA1BD25" w14:textId="77777777" w:rsidR="00387142" w:rsidRPr="008B6A75" w:rsidRDefault="00387142" w:rsidP="00387142">
            <w:pPr>
              <w:jc w:val="center"/>
              <w:rPr>
                <w:sz w:val="20"/>
                <w:szCs w:val="20"/>
              </w:rPr>
            </w:pPr>
            <w:r w:rsidRPr="008B6A75">
              <w:rPr>
                <w:sz w:val="20"/>
                <w:szCs w:val="20"/>
              </w:rPr>
              <w:t>10</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23E2157A" w14:textId="77777777" w:rsidR="00387142" w:rsidRPr="008B6A75" w:rsidRDefault="00387142" w:rsidP="00387142">
            <w:pPr>
              <w:jc w:val="center"/>
              <w:rPr>
                <w:sz w:val="20"/>
                <w:szCs w:val="20"/>
              </w:rPr>
            </w:pPr>
            <w:r w:rsidRPr="008B6A75">
              <w:rPr>
                <w:sz w:val="20"/>
                <w:szCs w:val="20"/>
              </w:rPr>
              <w:t>03</w:t>
            </w:r>
          </w:p>
        </w:tc>
        <w:tc>
          <w:tcPr>
            <w:tcW w:w="1411" w:type="dxa"/>
            <w:tcBorders>
              <w:top w:val="single" w:sz="4" w:space="0" w:color="auto"/>
              <w:left w:val="single" w:sz="4" w:space="0" w:color="auto"/>
              <w:bottom w:val="nil"/>
              <w:right w:val="nil"/>
            </w:tcBorders>
            <w:shd w:val="clear" w:color="auto" w:fill="auto"/>
            <w:noWrap/>
            <w:vAlign w:val="center"/>
            <w:hideMark/>
          </w:tcPr>
          <w:p w14:paraId="335EA56A" w14:textId="77777777" w:rsidR="00387142" w:rsidRPr="008B6A75" w:rsidRDefault="00387142" w:rsidP="00387142">
            <w:pPr>
              <w:jc w:val="center"/>
              <w:rPr>
                <w:sz w:val="20"/>
                <w:szCs w:val="20"/>
              </w:rPr>
            </w:pPr>
            <w:r w:rsidRPr="008B6A75">
              <w:rPr>
                <w:sz w:val="20"/>
                <w:szCs w:val="20"/>
              </w:rPr>
              <w:t>99.0.00.74860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50FCA0E8" w14:textId="77777777" w:rsidR="00387142" w:rsidRPr="008B6A75" w:rsidRDefault="00387142" w:rsidP="00387142">
            <w:pPr>
              <w:jc w:val="center"/>
              <w:rPr>
                <w:sz w:val="20"/>
                <w:szCs w:val="20"/>
              </w:rPr>
            </w:pPr>
            <w:r w:rsidRPr="008B6A75">
              <w:rPr>
                <w:sz w:val="20"/>
                <w:szCs w:val="20"/>
              </w:rPr>
              <w:t>200</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06B5D67A" w14:textId="77777777" w:rsidR="00387142" w:rsidRPr="008B6A75" w:rsidRDefault="00387142" w:rsidP="00387142">
            <w:pPr>
              <w:jc w:val="right"/>
              <w:rPr>
                <w:sz w:val="20"/>
                <w:szCs w:val="20"/>
              </w:rPr>
            </w:pPr>
            <w:r w:rsidRPr="008B6A75">
              <w:rPr>
                <w:sz w:val="20"/>
                <w:szCs w:val="20"/>
              </w:rPr>
              <w:t>69 646,80</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08F1B2E8" w14:textId="77777777" w:rsidR="00387142" w:rsidRPr="008B6A75" w:rsidRDefault="00387142" w:rsidP="00387142">
            <w:pPr>
              <w:jc w:val="right"/>
              <w:rPr>
                <w:sz w:val="20"/>
                <w:szCs w:val="20"/>
              </w:rPr>
            </w:pPr>
            <w:r w:rsidRPr="008B6A75">
              <w:rPr>
                <w:sz w:val="20"/>
                <w:szCs w:val="20"/>
              </w:rPr>
              <w:t>69 700,00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3B6924AE" w14:textId="77777777" w:rsidR="00387142" w:rsidRPr="008B6A75" w:rsidRDefault="00387142" w:rsidP="00387142">
            <w:pPr>
              <w:jc w:val="right"/>
              <w:rPr>
                <w:sz w:val="20"/>
                <w:szCs w:val="20"/>
              </w:rPr>
            </w:pPr>
            <w:r w:rsidRPr="008B6A75">
              <w:rPr>
                <w:sz w:val="20"/>
                <w:szCs w:val="20"/>
              </w:rPr>
              <w:t>69 700,00</w:t>
            </w:r>
          </w:p>
        </w:tc>
        <w:tc>
          <w:tcPr>
            <w:tcW w:w="222" w:type="dxa"/>
            <w:vAlign w:val="center"/>
            <w:hideMark/>
          </w:tcPr>
          <w:p w14:paraId="4BB0FC1B" w14:textId="77777777" w:rsidR="00387142" w:rsidRPr="008B6A75" w:rsidRDefault="00387142" w:rsidP="00387142">
            <w:pPr>
              <w:rPr>
                <w:sz w:val="20"/>
                <w:szCs w:val="20"/>
              </w:rPr>
            </w:pPr>
          </w:p>
        </w:tc>
      </w:tr>
      <w:tr w:rsidR="00387142" w:rsidRPr="008B6A75" w14:paraId="73C70ADD" w14:textId="77777777" w:rsidTr="00387142">
        <w:trPr>
          <w:trHeight w:val="870"/>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0D20AC4D" w14:textId="77777777" w:rsidR="00387142" w:rsidRPr="008B6A75" w:rsidRDefault="00387142" w:rsidP="00387142">
            <w:pPr>
              <w:rPr>
                <w:sz w:val="20"/>
                <w:szCs w:val="20"/>
              </w:rPr>
            </w:pPr>
            <w:r w:rsidRPr="008B6A75">
              <w:rPr>
                <w:sz w:val="20"/>
                <w:szCs w:val="20"/>
              </w:rPr>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397EBB79" w14:textId="77777777" w:rsidR="00387142" w:rsidRPr="008B6A75" w:rsidRDefault="00387142" w:rsidP="00387142">
            <w:pPr>
              <w:jc w:val="center"/>
              <w:rPr>
                <w:sz w:val="20"/>
                <w:szCs w:val="20"/>
              </w:rPr>
            </w:pPr>
            <w:r w:rsidRPr="008B6A75">
              <w:rPr>
                <w:sz w:val="20"/>
                <w:szCs w:val="20"/>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4DEADEF5" w14:textId="77777777" w:rsidR="00387142" w:rsidRPr="008B6A75" w:rsidRDefault="00387142" w:rsidP="00387142">
            <w:pPr>
              <w:jc w:val="center"/>
              <w:rPr>
                <w:sz w:val="20"/>
                <w:szCs w:val="20"/>
              </w:rPr>
            </w:pPr>
            <w:r w:rsidRPr="008B6A75">
              <w:rPr>
                <w:sz w:val="20"/>
                <w:szCs w:val="20"/>
              </w:rPr>
              <w:t>10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783A37" w14:textId="77777777" w:rsidR="00387142" w:rsidRPr="008B6A75" w:rsidRDefault="00387142" w:rsidP="00387142">
            <w:pPr>
              <w:jc w:val="center"/>
              <w:rPr>
                <w:sz w:val="20"/>
                <w:szCs w:val="20"/>
              </w:rPr>
            </w:pPr>
            <w:r w:rsidRPr="008B6A75">
              <w:rPr>
                <w:sz w:val="20"/>
                <w:szCs w:val="20"/>
              </w:rPr>
              <w:t>03</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0D5E2853" w14:textId="77777777" w:rsidR="00387142" w:rsidRPr="008B6A75" w:rsidRDefault="00387142" w:rsidP="00387142">
            <w:pPr>
              <w:jc w:val="center"/>
              <w:rPr>
                <w:sz w:val="20"/>
                <w:szCs w:val="20"/>
              </w:rPr>
            </w:pPr>
            <w:r w:rsidRPr="008B6A75">
              <w:rPr>
                <w:sz w:val="20"/>
                <w:szCs w:val="20"/>
              </w:rPr>
              <w:t>99.0.00.74860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3DB18B" w14:textId="77777777" w:rsidR="00387142" w:rsidRPr="008B6A75" w:rsidRDefault="00387142" w:rsidP="00387142">
            <w:pPr>
              <w:jc w:val="center"/>
              <w:rPr>
                <w:sz w:val="20"/>
                <w:szCs w:val="20"/>
              </w:rPr>
            </w:pPr>
            <w:r w:rsidRPr="008B6A75">
              <w:rPr>
                <w:sz w:val="20"/>
                <w:szCs w:val="20"/>
              </w:rPr>
              <w:t>240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D126F2" w14:textId="77777777" w:rsidR="00387142" w:rsidRPr="008B6A75" w:rsidRDefault="00387142" w:rsidP="00387142">
            <w:pPr>
              <w:jc w:val="right"/>
              <w:rPr>
                <w:sz w:val="20"/>
                <w:szCs w:val="20"/>
              </w:rPr>
            </w:pPr>
            <w:r w:rsidRPr="008B6A75">
              <w:rPr>
                <w:sz w:val="20"/>
                <w:szCs w:val="20"/>
              </w:rPr>
              <w:t>69 646,80</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37CFD8B9" w14:textId="77777777" w:rsidR="00387142" w:rsidRPr="008B6A75" w:rsidRDefault="00387142" w:rsidP="00387142">
            <w:pPr>
              <w:jc w:val="right"/>
              <w:rPr>
                <w:sz w:val="20"/>
                <w:szCs w:val="20"/>
              </w:rPr>
            </w:pPr>
            <w:r w:rsidRPr="008B6A75">
              <w:rPr>
                <w:sz w:val="20"/>
                <w:szCs w:val="20"/>
              </w:rPr>
              <w:t>69 700,00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B9FDA2" w14:textId="77777777" w:rsidR="00387142" w:rsidRPr="008B6A75" w:rsidRDefault="00387142" w:rsidP="00387142">
            <w:pPr>
              <w:jc w:val="right"/>
              <w:rPr>
                <w:sz w:val="20"/>
                <w:szCs w:val="20"/>
              </w:rPr>
            </w:pPr>
            <w:r w:rsidRPr="008B6A75">
              <w:rPr>
                <w:sz w:val="20"/>
                <w:szCs w:val="20"/>
              </w:rPr>
              <w:t>69 700,00</w:t>
            </w:r>
          </w:p>
        </w:tc>
        <w:tc>
          <w:tcPr>
            <w:tcW w:w="222" w:type="dxa"/>
            <w:vAlign w:val="center"/>
            <w:hideMark/>
          </w:tcPr>
          <w:p w14:paraId="6944142E" w14:textId="77777777" w:rsidR="00387142" w:rsidRPr="008B6A75" w:rsidRDefault="00387142" w:rsidP="00387142">
            <w:pPr>
              <w:rPr>
                <w:sz w:val="20"/>
                <w:szCs w:val="20"/>
              </w:rPr>
            </w:pPr>
          </w:p>
        </w:tc>
      </w:tr>
      <w:tr w:rsidR="00387142" w:rsidRPr="008B6A75" w14:paraId="5A841150" w14:textId="77777777" w:rsidTr="00387142">
        <w:trPr>
          <w:trHeight w:val="1440"/>
        </w:trPr>
        <w:tc>
          <w:tcPr>
            <w:tcW w:w="3021" w:type="dxa"/>
            <w:tcBorders>
              <w:top w:val="nil"/>
              <w:left w:val="single" w:sz="4" w:space="0" w:color="auto"/>
              <w:bottom w:val="nil"/>
              <w:right w:val="nil"/>
            </w:tcBorders>
            <w:shd w:val="clear" w:color="auto" w:fill="auto"/>
            <w:vAlign w:val="center"/>
            <w:hideMark/>
          </w:tcPr>
          <w:p w14:paraId="35F8BE8A" w14:textId="77777777" w:rsidR="00387142" w:rsidRPr="008B6A75" w:rsidRDefault="00387142" w:rsidP="00387142">
            <w:pPr>
              <w:rPr>
                <w:bCs/>
                <w:sz w:val="20"/>
                <w:szCs w:val="20"/>
              </w:rPr>
            </w:pPr>
            <w:r w:rsidRPr="008B6A75">
              <w:rPr>
                <w:bCs/>
                <w:sz w:val="20"/>
                <w:szCs w:val="20"/>
              </w:rPr>
              <w:t>Реализация мероприятий по обеспечению жильем молодых семей государственной программы Новосибирской области "Обеспечение жильем молодых семей в Новосибирской области"</w:t>
            </w:r>
          </w:p>
        </w:tc>
        <w:tc>
          <w:tcPr>
            <w:tcW w:w="850" w:type="dxa"/>
            <w:tcBorders>
              <w:top w:val="nil"/>
              <w:left w:val="single" w:sz="4" w:space="0" w:color="auto"/>
              <w:bottom w:val="nil"/>
              <w:right w:val="nil"/>
            </w:tcBorders>
            <w:shd w:val="clear" w:color="auto" w:fill="auto"/>
            <w:noWrap/>
            <w:vAlign w:val="center"/>
            <w:hideMark/>
          </w:tcPr>
          <w:p w14:paraId="22B29086" w14:textId="77777777" w:rsidR="00387142" w:rsidRPr="008B6A75" w:rsidRDefault="00387142" w:rsidP="00387142">
            <w:pPr>
              <w:jc w:val="center"/>
              <w:rPr>
                <w:bCs/>
                <w:sz w:val="20"/>
                <w:szCs w:val="20"/>
              </w:rPr>
            </w:pPr>
            <w:r w:rsidRPr="008B6A75">
              <w:rPr>
                <w:bCs/>
                <w:sz w:val="20"/>
                <w:szCs w:val="20"/>
              </w:rPr>
              <w:t>444</w:t>
            </w:r>
          </w:p>
        </w:tc>
        <w:tc>
          <w:tcPr>
            <w:tcW w:w="709" w:type="dxa"/>
            <w:tcBorders>
              <w:top w:val="nil"/>
              <w:left w:val="single" w:sz="4" w:space="0" w:color="auto"/>
              <w:bottom w:val="nil"/>
              <w:right w:val="nil"/>
            </w:tcBorders>
            <w:shd w:val="clear" w:color="auto" w:fill="auto"/>
            <w:noWrap/>
            <w:vAlign w:val="center"/>
            <w:hideMark/>
          </w:tcPr>
          <w:p w14:paraId="375F16BC" w14:textId="77777777" w:rsidR="00387142" w:rsidRPr="008B6A75" w:rsidRDefault="00387142" w:rsidP="00387142">
            <w:pPr>
              <w:jc w:val="center"/>
              <w:rPr>
                <w:bCs/>
                <w:sz w:val="20"/>
                <w:szCs w:val="20"/>
              </w:rPr>
            </w:pPr>
            <w:r w:rsidRPr="008B6A75">
              <w:rPr>
                <w:bCs/>
                <w:sz w:val="20"/>
                <w:szCs w:val="20"/>
              </w:rPr>
              <w:t>10</w:t>
            </w:r>
          </w:p>
        </w:tc>
        <w:tc>
          <w:tcPr>
            <w:tcW w:w="709" w:type="dxa"/>
            <w:tcBorders>
              <w:top w:val="nil"/>
              <w:left w:val="single" w:sz="4" w:space="0" w:color="auto"/>
              <w:bottom w:val="nil"/>
              <w:right w:val="single" w:sz="4" w:space="0" w:color="auto"/>
            </w:tcBorders>
            <w:shd w:val="clear" w:color="auto" w:fill="auto"/>
            <w:noWrap/>
            <w:vAlign w:val="center"/>
            <w:hideMark/>
          </w:tcPr>
          <w:p w14:paraId="55F7EAA9" w14:textId="77777777" w:rsidR="00387142" w:rsidRPr="008B6A75" w:rsidRDefault="00387142" w:rsidP="00387142">
            <w:pPr>
              <w:jc w:val="center"/>
              <w:rPr>
                <w:bCs/>
                <w:sz w:val="20"/>
                <w:szCs w:val="20"/>
              </w:rPr>
            </w:pPr>
            <w:r w:rsidRPr="008B6A75">
              <w:rPr>
                <w:bCs/>
                <w:sz w:val="20"/>
                <w:szCs w:val="20"/>
              </w:rPr>
              <w:t>03</w:t>
            </w:r>
          </w:p>
        </w:tc>
        <w:tc>
          <w:tcPr>
            <w:tcW w:w="1411" w:type="dxa"/>
            <w:tcBorders>
              <w:top w:val="nil"/>
              <w:left w:val="single" w:sz="4" w:space="0" w:color="auto"/>
              <w:bottom w:val="nil"/>
              <w:right w:val="nil"/>
            </w:tcBorders>
            <w:shd w:val="clear" w:color="auto" w:fill="auto"/>
            <w:noWrap/>
            <w:vAlign w:val="center"/>
            <w:hideMark/>
          </w:tcPr>
          <w:p w14:paraId="22F2305C" w14:textId="77777777" w:rsidR="00387142" w:rsidRPr="008B6A75" w:rsidRDefault="00387142" w:rsidP="00387142">
            <w:pPr>
              <w:jc w:val="center"/>
              <w:rPr>
                <w:bCs/>
                <w:sz w:val="20"/>
                <w:szCs w:val="20"/>
              </w:rPr>
            </w:pPr>
            <w:r w:rsidRPr="008B6A75">
              <w:rPr>
                <w:bCs/>
                <w:sz w:val="20"/>
                <w:szCs w:val="20"/>
              </w:rPr>
              <w:t>99.0.00.L4979</w:t>
            </w:r>
          </w:p>
        </w:tc>
        <w:tc>
          <w:tcPr>
            <w:tcW w:w="955" w:type="dxa"/>
            <w:tcBorders>
              <w:top w:val="nil"/>
              <w:left w:val="single" w:sz="4" w:space="0" w:color="auto"/>
              <w:bottom w:val="nil"/>
              <w:right w:val="single" w:sz="4" w:space="0" w:color="auto"/>
            </w:tcBorders>
            <w:shd w:val="clear" w:color="auto" w:fill="auto"/>
            <w:noWrap/>
            <w:vAlign w:val="center"/>
            <w:hideMark/>
          </w:tcPr>
          <w:p w14:paraId="40360087"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nil"/>
              <w:right w:val="single" w:sz="4" w:space="0" w:color="auto"/>
            </w:tcBorders>
            <w:shd w:val="clear" w:color="auto" w:fill="auto"/>
            <w:noWrap/>
            <w:vAlign w:val="center"/>
            <w:hideMark/>
          </w:tcPr>
          <w:p w14:paraId="72BF2357" w14:textId="77777777" w:rsidR="00387142" w:rsidRPr="008B6A75" w:rsidRDefault="00387142" w:rsidP="00387142">
            <w:pPr>
              <w:jc w:val="right"/>
              <w:rPr>
                <w:bCs/>
                <w:sz w:val="20"/>
                <w:szCs w:val="20"/>
              </w:rPr>
            </w:pPr>
            <w:r w:rsidRPr="008B6A75">
              <w:rPr>
                <w:bCs/>
                <w:sz w:val="20"/>
                <w:szCs w:val="20"/>
              </w:rPr>
              <w:t>2 201 300,00</w:t>
            </w:r>
          </w:p>
        </w:tc>
        <w:tc>
          <w:tcPr>
            <w:tcW w:w="992" w:type="dxa"/>
            <w:gridSpan w:val="2"/>
            <w:tcBorders>
              <w:top w:val="nil"/>
              <w:left w:val="single" w:sz="4" w:space="0" w:color="auto"/>
              <w:bottom w:val="nil"/>
              <w:right w:val="nil"/>
            </w:tcBorders>
            <w:shd w:val="clear" w:color="auto" w:fill="auto"/>
            <w:noWrap/>
            <w:vAlign w:val="center"/>
            <w:hideMark/>
          </w:tcPr>
          <w:p w14:paraId="29BBBAD1" w14:textId="77777777" w:rsidR="00387142" w:rsidRPr="008B6A75" w:rsidRDefault="00387142" w:rsidP="00387142">
            <w:pPr>
              <w:jc w:val="right"/>
              <w:rPr>
                <w:bCs/>
                <w:sz w:val="20"/>
                <w:szCs w:val="20"/>
              </w:rPr>
            </w:pPr>
            <w:r w:rsidRPr="008B6A75">
              <w:rPr>
                <w:bCs/>
                <w:sz w:val="20"/>
                <w:szCs w:val="20"/>
              </w:rPr>
              <w:t>2 296 200,00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21FAA14B" w14:textId="77777777" w:rsidR="00387142" w:rsidRPr="008B6A75" w:rsidRDefault="00387142" w:rsidP="00387142">
            <w:pPr>
              <w:jc w:val="right"/>
              <w:rPr>
                <w:bCs/>
                <w:sz w:val="20"/>
                <w:szCs w:val="20"/>
              </w:rPr>
            </w:pPr>
            <w:r w:rsidRPr="008B6A75">
              <w:rPr>
                <w:bCs/>
                <w:sz w:val="20"/>
                <w:szCs w:val="20"/>
              </w:rPr>
              <w:t>2 804 000,00</w:t>
            </w:r>
          </w:p>
        </w:tc>
        <w:tc>
          <w:tcPr>
            <w:tcW w:w="222" w:type="dxa"/>
            <w:vAlign w:val="center"/>
            <w:hideMark/>
          </w:tcPr>
          <w:p w14:paraId="270A8B05" w14:textId="77777777" w:rsidR="00387142" w:rsidRPr="008B6A75" w:rsidRDefault="00387142" w:rsidP="00387142">
            <w:pPr>
              <w:rPr>
                <w:sz w:val="20"/>
                <w:szCs w:val="20"/>
              </w:rPr>
            </w:pPr>
          </w:p>
        </w:tc>
      </w:tr>
      <w:tr w:rsidR="00387142" w:rsidRPr="008B6A75" w14:paraId="28DABA8B" w14:textId="77777777" w:rsidTr="00387142">
        <w:trPr>
          <w:trHeight w:val="585"/>
        </w:trPr>
        <w:tc>
          <w:tcPr>
            <w:tcW w:w="3021" w:type="dxa"/>
            <w:tcBorders>
              <w:top w:val="single" w:sz="4" w:space="0" w:color="auto"/>
              <w:left w:val="single" w:sz="4" w:space="0" w:color="auto"/>
              <w:bottom w:val="nil"/>
              <w:right w:val="nil"/>
            </w:tcBorders>
            <w:shd w:val="clear" w:color="auto" w:fill="auto"/>
            <w:vAlign w:val="center"/>
            <w:hideMark/>
          </w:tcPr>
          <w:p w14:paraId="17990361" w14:textId="77777777" w:rsidR="00387142" w:rsidRPr="008B6A75" w:rsidRDefault="00387142" w:rsidP="00387142">
            <w:pPr>
              <w:rPr>
                <w:sz w:val="20"/>
                <w:szCs w:val="20"/>
              </w:rPr>
            </w:pPr>
            <w:r w:rsidRPr="008B6A75">
              <w:rPr>
                <w:sz w:val="20"/>
                <w:szCs w:val="20"/>
              </w:rPr>
              <w:lastRenderedPageBreak/>
              <w:t>Социальное обеспечение и иные выплаты населению</w:t>
            </w:r>
          </w:p>
        </w:tc>
        <w:tc>
          <w:tcPr>
            <w:tcW w:w="850" w:type="dxa"/>
            <w:tcBorders>
              <w:top w:val="single" w:sz="4" w:space="0" w:color="auto"/>
              <w:left w:val="single" w:sz="4" w:space="0" w:color="auto"/>
              <w:bottom w:val="nil"/>
              <w:right w:val="nil"/>
            </w:tcBorders>
            <w:shd w:val="clear" w:color="auto" w:fill="auto"/>
            <w:noWrap/>
            <w:vAlign w:val="center"/>
            <w:hideMark/>
          </w:tcPr>
          <w:p w14:paraId="6423677E" w14:textId="77777777" w:rsidR="00387142" w:rsidRPr="008B6A75" w:rsidRDefault="00387142" w:rsidP="00387142">
            <w:pPr>
              <w:jc w:val="center"/>
              <w:rPr>
                <w:sz w:val="20"/>
                <w:szCs w:val="20"/>
              </w:rPr>
            </w:pPr>
            <w:r w:rsidRPr="008B6A75">
              <w:rPr>
                <w:sz w:val="20"/>
                <w:szCs w:val="20"/>
              </w:rPr>
              <w:t>444</w:t>
            </w:r>
          </w:p>
        </w:tc>
        <w:tc>
          <w:tcPr>
            <w:tcW w:w="709" w:type="dxa"/>
            <w:tcBorders>
              <w:top w:val="single" w:sz="4" w:space="0" w:color="auto"/>
              <w:left w:val="single" w:sz="4" w:space="0" w:color="auto"/>
              <w:bottom w:val="nil"/>
              <w:right w:val="nil"/>
            </w:tcBorders>
            <w:shd w:val="clear" w:color="auto" w:fill="auto"/>
            <w:noWrap/>
            <w:vAlign w:val="center"/>
            <w:hideMark/>
          </w:tcPr>
          <w:p w14:paraId="3D464303" w14:textId="77777777" w:rsidR="00387142" w:rsidRPr="008B6A75" w:rsidRDefault="00387142" w:rsidP="00387142">
            <w:pPr>
              <w:jc w:val="center"/>
              <w:rPr>
                <w:sz w:val="20"/>
                <w:szCs w:val="20"/>
              </w:rPr>
            </w:pPr>
            <w:r w:rsidRPr="008B6A75">
              <w:rPr>
                <w:sz w:val="20"/>
                <w:szCs w:val="20"/>
              </w:rPr>
              <w:t>10</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4B8595B1" w14:textId="77777777" w:rsidR="00387142" w:rsidRPr="008B6A75" w:rsidRDefault="00387142" w:rsidP="00387142">
            <w:pPr>
              <w:jc w:val="center"/>
              <w:rPr>
                <w:sz w:val="20"/>
                <w:szCs w:val="20"/>
              </w:rPr>
            </w:pPr>
            <w:r w:rsidRPr="008B6A75">
              <w:rPr>
                <w:sz w:val="20"/>
                <w:szCs w:val="20"/>
              </w:rPr>
              <w:t>03</w:t>
            </w:r>
          </w:p>
        </w:tc>
        <w:tc>
          <w:tcPr>
            <w:tcW w:w="1411" w:type="dxa"/>
            <w:tcBorders>
              <w:top w:val="single" w:sz="4" w:space="0" w:color="auto"/>
              <w:left w:val="single" w:sz="4" w:space="0" w:color="auto"/>
              <w:bottom w:val="nil"/>
              <w:right w:val="nil"/>
            </w:tcBorders>
            <w:shd w:val="clear" w:color="auto" w:fill="auto"/>
            <w:noWrap/>
            <w:vAlign w:val="center"/>
            <w:hideMark/>
          </w:tcPr>
          <w:p w14:paraId="5ECC8BB4" w14:textId="77777777" w:rsidR="00387142" w:rsidRPr="008B6A75" w:rsidRDefault="00387142" w:rsidP="00387142">
            <w:pPr>
              <w:jc w:val="center"/>
              <w:rPr>
                <w:sz w:val="20"/>
                <w:szCs w:val="20"/>
              </w:rPr>
            </w:pPr>
            <w:r w:rsidRPr="008B6A75">
              <w:rPr>
                <w:sz w:val="20"/>
                <w:szCs w:val="20"/>
              </w:rPr>
              <w:t>99.0.00.L4979</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68186183" w14:textId="77777777" w:rsidR="00387142" w:rsidRPr="008B6A75" w:rsidRDefault="00387142" w:rsidP="00387142">
            <w:pPr>
              <w:jc w:val="center"/>
              <w:rPr>
                <w:sz w:val="20"/>
                <w:szCs w:val="20"/>
              </w:rPr>
            </w:pPr>
            <w:r w:rsidRPr="008B6A75">
              <w:rPr>
                <w:sz w:val="20"/>
                <w:szCs w:val="20"/>
              </w:rPr>
              <w:t>300</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0A61D8BA" w14:textId="77777777" w:rsidR="00387142" w:rsidRPr="008B6A75" w:rsidRDefault="00387142" w:rsidP="00387142">
            <w:pPr>
              <w:jc w:val="right"/>
              <w:rPr>
                <w:sz w:val="20"/>
                <w:szCs w:val="20"/>
              </w:rPr>
            </w:pPr>
            <w:r w:rsidRPr="008B6A75">
              <w:rPr>
                <w:sz w:val="20"/>
                <w:szCs w:val="20"/>
              </w:rPr>
              <w:t>2 201 300,00</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66C40DE4" w14:textId="77777777" w:rsidR="00387142" w:rsidRPr="008B6A75" w:rsidRDefault="00387142" w:rsidP="00387142">
            <w:pPr>
              <w:jc w:val="right"/>
              <w:rPr>
                <w:sz w:val="20"/>
                <w:szCs w:val="20"/>
              </w:rPr>
            </w:pPr>
            <w:r w:rsidRPr="008B6A75">
              <w:rPr>
                <w:sz w:val="20"/>
                <w:szCs w:val="20"/>
              </w:rPr>
              <w:t>2 296 200,00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0A55D81F" w14:textId="77777777" w:rsidR="00387142" w:rsidRPr="008B6A75" w:rsidRDefault="00387142" w:rsidP="00387142">
            <w:pPr>
              <w:jc w:val="right"/>
              <w:rPr>
                <w:sz w:val="20"/>
                <w:szCs w:val="20"/>
              </w:rPr>
            </w:pPr>
            <w:r w:rsidRPr="008B6A75">
              <w:rPr>
                <w:sz w:val="20"/>
                <w:szCs w:val="20"/>
              </w:rPr>
              <w:t>2 804 000,00</w:t>
            </w:r>
          </w:p>
        </w:tc>
        <w:tc>
          <w:tcPr>
            <w:tcW w:w="222" w:type="dxa"/>
            <w:vAlign w:val="center"/>
            <w:hideMark/>
          </w:tcPr>
          <w:p w14:paraId="1A50CD25" w14:textId="77777777" w:rsidR="00387142" w:rsidRPr="008B6A75" w:rsidRDefault="00387142" w:rsidP="00387142">
            <w:pPr>
              <w:rPr>
                <w:sz w:val="20"/>
                <w:szCs w:val="20"/>
              </w:rPr>
            </w:pPr>
          </w:p>
        </w:tc>
      </w:tr>
      <w:tr w:rsidR="00387142" w:rsidRPr="008B6A75" w14:paraId="2CF0076C" w14:textId="77777777" w:rsidTr="00387142">
        <w:trPr>
          <w:trHeight w:val="585"/>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6A331F84" w14:textId="77777777" w:rsidR="00387142" w:rsidRPr="008B6A75" w:rsidRDefault="00387142" w:rsidP="00387142">
            <w:pPr>
              <w:rPr>
                <w:sz w:val="20"/>
                <w:szCs w:val="20"/>
              </w:rPr>
            </w:pPr>
            <w:r w:rsidRPr="008B6A75">
              <w:rPr>
                <w:sz w:val="20"/>
                <w:szCs w:val="20"/>
              </w:rPr>
              <w:t>Социальные выплаты гражданам, кроме публичных нормативных социальных выплат</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464CED8F" w14:textId="77777777" w:rsidR="00387142" w:rsidRPr="008B6A75" w:rsidRDefault="00387142" w:rsidP="00387142">
            <w:pPr>
              <w:jc w:val="center"/>
              <w:rPr>
                <w:sz w:val="20"/>
                <w:szCs w:val="20"/>
              </w:rPr>
            </w:pPr>
            <w:r w:rsidRPr="008B6A75">
              <w:rPr>
                <w:sz w:val="20"/>
                <w:szCs w:val="20"/>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1042624A" w14:textId="77777777" w:rsidR="00387142" w:rsidRPr="008B6A75" w:rsidRDefault="00387142" w:rsidP="00387142">
            <w:pPr>
              <w:jc w:val="center"/>
              <w:rPr>
                <w:sz w:val="20"/>
                <w:szCs w:val="20"/>
              </w:rPr>
            </w:pPr>
            <w:r w:rsidRPr="008B6A75">
              <w:rPr>
                <w:sz w:val="20"/>
                <w:szCs w:val="20"/>
              </w:rPr>
              <w:t>10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C17477" w14:textId="77777777" w:rsidR="00387142" w:rsidRPr="008B6A75" w:rsidRDefault="00387142" w:rsidP="00387142">
            <w:pPr>
              <w:jc w:val="center"/>
              <w:rPr>
                <w:sz w:val="20"/>
                <w:szCs w:val="20"/>
              </w:rPr>
            </w:pPr>
            <w:r w:rsidRPr="008B6A75">
              <w:rPr>
                <w:sz w:val="20"/>
                <w:szCs w:val="20"/>
              </w:rPr>
              <w:t>03</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619DF349" w14:textId="77777777" w:rsidR="00387142" w:rsidRPr="008B6A75" w:rsidRDefault="00387142" w:rsidP="00387142">
            <w:pPr>
              <w:jc w:val="center"/>
              <w:rPr>
                <w:sz w:val="20"/>
                <w:szCs w:val="20"/>
              </w:rPr>
            </w:pPr>
            <w:r w:rsidRPr="008B6A75">
              <w:rPr>
                <w:sz w:val="20"/>
                <w:szCs w:val="20"/>
              </w:rPr>
              <w:t>99.0.00.L4979</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8B339B" w14:textId="77777777" w:rsidR="00387142" w:rsidRPr="008B6A75" w:rsidRDefault="00387142" w:rsidP="00387142">
            <w:pPr>
              <w:jc w:val="center"/>
              <w:rPr>
                <w:sz w:val="20"/>
                <w:szCs w:val="20"/>
              </w:rPr>
            </w:pPr>
            <w:r w:rsidRPr="008B6A75">
              <w:rPr>
                <w:sz w:val="20"/>
                <w:szCs w:val="20"/>
              </w:rPr>
              <w:t>320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476CFF" w14:textId="77777777" w:rsidR="00387142" w:rsidRPr="008B6A75" w:rsidRDefault="00387142" w:rsidP="00387142">
            <w:pPr>
              <w:jc w:val="right"/>
              <w:rPr>
                <w:sz w:val="20"/>
                <w:szCs w:val="20"/>
              </w:rPr>
            </w:pPr>
            <w:r w:rsidRPr="008B6A75">
              <w:rPr>
                <w:sz w:val="20"/>
                <w:szCs w:val="20"/>
              </w:rPr>
              <w:t>2 201 300,00</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652D2224" w14:textId="77777777" w:rsidR="00387142" w:rsidRPr="008B6A75" w:rsidRDefault="00387142" w:rsidP="00387142">
            <w:pPr>
              <w:jc w:val="right"/>
              <w:rPr>
                <w:sz w:val="20"/>
                <w:szCs w:val="20"/>
              </w:rPr>
            </w:pPr>
            <w:r w:rsidRPr="008B6A75">
              <w:rPr>
                <w:sz w:val="20"/>
                <w:szCs w:val="20"/>
              </w:rPr>
              <w:t>2 296 200,00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839F11" w14:textId="77777777" w:rsidR="00387142" w:rsidRPr="008B6A75" w:rsidRDefault="00387142" w:rsidP="00387142">
            <w:pPr>
              <w:jc w:val="right"/>
              <w:rPr>
                <w:sz w:val="20"/>
                <w:szCs w:val="20"/>
              </w:rPr>
            </w:pPr>
            <w:r w:rsidRPr="008B6A75">
              <w:rPr>
                <w:sz w:val="20"/>
                <w:szCs w:val="20"/>
              </w:rPr>
              <w:t>2 804 000,00</w:t>
            </w:r>
          </w:p>
        </w:tc>
        <w:tc>
          <w:tcPr>
            <w:tcW w:w="222" w:type="dxa"/>
            <w:vAlign w:val="center"/>
            <w:hideMark/>
          </w:tcPr>
          <w:p w14:paraId="4779F670" w14:textId="77777777" w:rsidR="00387142" w:rsidRPr="008B6A75" w:rsidRDefault="00387142" w:rsidP="00387142">
            <w:pPr>
              <w:rPr>
                <w:sz w:val="20"/>
                <w:szCs w:val="20"/>
              </w:rPr>
            </w:pPr>
          </w:p>
        </w:tc>
      </w:tr>
      <w:tr w:rsidR="00387142" w:rsidRPr="008B6A75" w14:paraId="43F3FEE3" w14:textId="77777777" w:rsidTr="00387142">
        <w:trPr>
          <w:trHeight w:val="300"/>
        </w:trPr>
        <w:tc>
          <w:tcPr>
            <w:tcW w:w="3021" w:type="dxa"/>
            <w:tcBorders>
              <w:top w:val="nil"/>
              <w:left w:val="single" w:sz="4" w:space="0" w:color="auto"/>
              <w:bottom w:val="nil"/>
              <w:right w:val="nil"/>
            </w:tcBorders>
            <w:shd w:val="clear" w:color="auto" w:fill="auto"/>
            <w:vAlign w:val="center"/>
            <w:hideMark/>
          </w:tcPr>
          <w:p w14:paraId="0F5980D2" w14:textId="77777777" w:rsidR="00387142" w:rsidRPr="008B6A75" w:rsidRDefault="00387142" w:rsidP="00387142">
            <w:pPr>
              <w:rPr>
                <w:bCs/>
                <w:sz w:val="20"/>
                <w:szCs w:val="20"/>
              </w:rPr>
            </w:pPr>
            <w:r w:rsidRPr="008B6A75">
              <w:rPr>
                <w:bCs/>
                <w:sz w:val="20"/>
                <w:szCs w:val="20"/>
              </w:rPr>
              <w:t>Охрана семьи и детства</w:t>
            </w:r>
          </w:p>
        </w:tc>
        <w:tc>
          <w:tcPr>
            <w:tcW w:w="850" w:type="dxa"/>
            <w:tcBorders>
              <w:top w:val="nil"/>
              <w:left w:val="single" w:sz="4" w:space="0" w:color="auto"/>
              <w:bottom w:val="nil"/>
              <w:right w:val="nil"/>
            </w:tcBorders>
            <w:shd w:val="clear" w:color="auto" w:fill="auto"/>
            <w:noWrap/>
            <w:vAlign w:val="center"/>
            <w:hideMark/>
          </w:tcPr>
          <w:p w14:paraId="77AFAFCF" w14:textId="77777777" w:rsidR="00387142" w:rsidRPr="008B6A75" w:rsidRDefault="00387142" w:rsidP="00387142">
            <w:pPr>
              <w:jc w:val="center"/>
              <w:rPr>
                <w:bCs/>
                <w:sz w:val="20"/>
                <w:szCs w:val="20"/>
              </w:rPr>
            </w:pPr>
            <w:r w:rsidRPr="008B6A75">
              <w:rPr>
                <w:bCs/>
                <w:sz w:val="20"/>
                <w:szCs w:val="20"/>
              </w:rPr>
              <w:t>444</w:t>
            </w:r>
          </w:p>
        </w:tc>
        <w:tc>
          <w:tcPr>
            <w:tcW w:w="709" w:type="dxa"/>
            <w:tcBorders>
              <w:top w:val="nil"/>
              <w:left w:val="single" w:sz="4" w:space="0" w:color="auto"/>
              <w:bottom w:val="nil"/>
              <w:right w:val="nil"/>
            </w:tcBorders>
            <w:shd w:val="clear" w:color="auto" w:fill="auto"/>
            <w:noWrap/>
            <w:vAlign w:val="center"/>
            <w:hideMark/>
          </w:tcPr>
          <w:p w14:paraId="29F888E5" w14:textId="77777777" w:rsidR="00387142" w:rsidRPr="008B6A75" w:rsidRDefault="00387142" w:rsidP="00387142">
            <w:pPr>
              <w:jc w:val="center"/>
              <w:rPr>
                <w:bCs/>
                <w:sz w:val="20"/>
                <w:szCs w:val="20"/>
              </w:rPr>
            </w:pPr>
            <w:r w:rsidRPr="008B6A75">
              <w:rPr>
                <w:bCs/>
                <w:sz w:val="20"/>
                <w:szCs w:val="20"/>
              </w:rPr>
              <w:t>10</w:t>
            </w:r>
          </w:p>
        </w:tc>
        <w:tc>
          <w:tcPr>
            <w:tcW w:w="709" w:type="dxa"/>
            <w:tcBorders>
              <w:top w:val="nil"/>
              <w:left w:val="single" w:sz="4" w:space="0" w:color="auto"/>
              <w:bottom w:val="nil"/>
              <w:right w:val="single" w:sz="4" w:space="0" w:color="auto"/>
            </w:tcBorders>
            <w:shd w:val="clear" w:color="auto" w:fill="auto"/>
            <w:noWrap/>
            <w:vAlign w:val="center"/>
            <w:hideMark/>
          </w:tcPr>
          <w:p w14:paraId="3EA873DC" w14:textId="77777777" w:rsidR="00387142" w:rsidRPr="008B6A75" w:rsidRDefault="00387142" w:rsidP="00387142">
            <w:pPr>
              <w:jc w:val="center"/>
              <w:rPr>
                <w:bCs/>
                <w:sz w:val="20"/>
                <w:szCs w:val="20"/>
              </w:rPr>
            </w:pPr>
            <w:r w:rsidRPr="008B6A75">
              <w:rPr>
                <w:bCs/>
                <w:sz w:val="20"/>
                <w:szCs w:val="20"/>
              </w:rPr>
              <w:t>04</w:t>
            </w:r>
          </w:p>
        </w:tc>
        <w:tc>
          <w:tcPr>
            <w:tcW w:w="1411" w:type="dxa"/>
            <w:tcBorders>
              <w:top w:val="nil"/>
              <w:left w:val="single" w:sz="4" w:space="0" w:color="auto"/>
              <w:bottom w:val="nil"/>
              <w:right w:val="nil"/>
            </w:tcBorders>
            <w:shd w:val="clear" w:color="auto" w:fill="auto"/>
            <w:noWrap/>
            <w:vAlign w:val="center"/>
            <w:hideMark/>
          </w:tcPr>
          <w:p w14:paraId="5F71A160" w14:textId="77777777" w:rsidR="00387142" w:rsidRPr="008B6A75" w:rsidRDefault="00387142" w:rsidP="00387142">
            <w:pPr>
              <w:jc w:val="center"/>
              <w:rPr>
                <w:bCs/>
                <w:sz w:val="20"/>
                <w:szCs w:val="20"/>
              </w:rPr>
            </w:pPr>
            <w:r w:rsidRPr="008B6A75">
              <w:rPr>
                <w:bCs/>
                <w:sz w:val="20"/>
                <w:szCs w:val="20"/>
              </w:rPr>
              <w:t> </w:t>
            </w:r>
          </w:p>
        </w:tc>
        <w:tc>
          <w:tcPr>
            <w:tcW w:w="955" w:type="dxa"/>
            <w:tcBorders>
              <w:top w:val="nil"/>
              <w:left w:val="single" w:sz="4" w:space="0" w:color="auto"/>
              <w:bottom w:val="nil"/>
              <w:right w:val="single" w:sz="4" w:space="0" w:color="auto"/>
            </w:tcBorders>
            <w:shd w:val="clear" w:color="auto" w:fill="auto"/>
            <w:noWrap/>
            <w:vAlign w:val="center"/>
            <w:hideMark/>
          </w:tcPr>
          <w:p w14:paraId="2548D3A4"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nil"/>
              <w:right w:val="single" w:sz="4" w:space="0" w:color="auto"/>
            </w:tcBorders>
            <w:shd w:val="clear" w:color="auto" w:fill="auto"/>
            <w:noWrap/>
            <w:vAlign w:val="center"/>
            <w:hideMark/>
          </w:tcPr>
          <w:p w14:paraId="75EC0667" w14:textId="77777777" w:rsidR="00387142" w:rsidRPr="008B6A75" w:rsidRDefault="00387142" w:rsidP="00387142">
            <w:pPr>
              <w:jc w:val="right"/>
              <w:rPr>
                <w:bCs/>
                <w:sz w:val="20"/>
                <w:szCs w:val="20"/>
              </w:rPr>
            </w:pPr>
            <w:r w:rsidRPr="008B6A75">
              <w:rPr>
                <w:bCs/>
                <w:sz w:val="20"/>
                <w:szCs w:val="20"/>
              </w:rPr>
              <w:t>125 018 532,23</w:t>
            </w:r>
          </w:p>
        </w:tc>
        <w:tc>
          <w:tcPr>
            <w:tcW w:w="992" w:type="dxa"/>
            <w:gridSpan w:val="2"/>
            <w:tcBorders>
              <w:top w:val="nil"/>
              <w:left w:val="single" w:sz="4" w:space="0" w:color="auto"/>
              <w:bottom w:val="nil"/>
              <w:right w:val="nil"/>
            </w:tcBorders>
            <w:shd w:val="clear" w:color="auto" w:fill="auto"/>
            <w:noWrap/>
            <w:vAlign w:val="center"/>
            <w:hideMark/>
          </w:tcPr>
          <w:p w14:paraId="7ABE96B9" w14:textId="77777777" w:rsidR="00387142" w:rsidRPr="008B6A75" w:rsidRDefault="00387142" w:rsidP="00387142">
            <w:pPr>
              <w:jc w:val="right"/>
              <w:rPr>
                <w:bCs/>
                <w:sz w:val="20"/>
                <w:szCs w:val="20"/>
              </w:rPr>
            </w:pPr>
            <w:r w:rsidRPr="008B6A75">
              <w:rPr>
                <w:bCs/>
                <w:sz w:val="20"/>
                <w:szCs w:val="20"/>
              </w:rPr>
              <w:t>137 768 200,00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7CA93A67" w14:textId="77777777" w:rsidR="00387142" w:rsidRPr="008B6A75" w:rsidRDefault="00387142" w:rsidP="00387142">
            <w:pPr>
              <w:jc w:val="right"/>
              <w:rPr>
                <w:bCs/>
                <w:sz w:val="20"/>
                <w:szCs w:val="20"/>
              </w:rPr>
            </w:pPr>
            <w:r w:rsidRPr="008B6A75">
              <w:rPr>
                <w:bCs/>
                <w:sz w:val="20"/>
                <w:szCs w:val="20"/>
              </w:rPr>
              <w:t>100 969 800,00</w:t>
            </w:r>
          </w:p>
        </w:tc>
        <w:tc>
          <w:tcPr>
            <w:tcW w:w="222" w:type="dxa"/>
            <w:vAlign w:val="center"/>
            <w:hideMark/>
          </w:tcPr>
          <w:p w14:paraId="033283B9" w14:textId="77777777" w:rsidR="00387142" w:rsidRPr="008B6A75" w:rsidRDefault="00387142" w:rsidP="00387142">
            <w:pPr>
              <w:rPr>
                <w:sz w:val="20"/>
                <w:szCs w:val="20"/>
              </w:rPr>
            </w:pPr>
          </w:p>
        </w:tc>
      </w:tr>
      <w:tr w:rsidR="00387142" w:rsidRPr="008B6A75" w14:paraId="4476A9AF" w14:textId="77777777" w:rsidTr="00387142">
        <w:trPr>
          <w:trHeight w:val="300"/>
        </w:trPr>
        <w:tc>
          <w:tcPr>
            <w:tcW w:w="3021" w:type="dxa"/>
            <w:tcBorders>
              <w:top w:val="single" w:sz="4" w:space="0" w:color="auto"/>
              <w:left w:val="single" w:sz="4" w:space="0" w:color="auto"/>
              <w:bottom w:val="nil"/>
              <w:right w:val="nil"/>
            </w:tcBorders>
            <w:shd w:val="clear" w:color="auto" w:fill="auto"/>
            <w:vAlign w:val="center"/>
            <w:hideMark/>
          </w:tcPr>
          <w:p w14:paraId="02862A88" w14:textId="77777777" w:rsidR="00387142" w:rsidRPr="008B6A75" w:rsidRDefault="00387142" w:rsidP="00387142">
            <w:pPr>
              <w:rPr>
                <w:bCs/>
                <w:sz w:val="20"/>
                <w:szCs w:val="20"/>
              </w:rPr>
            </w:pPr>
            <w:r w:rsidRPr="008B6A75">
              <w:rPr>
                <w:bCs/>
                <w:sz w:val="20"/>
                <w:szCs w:val="20"/>
              </w:rPr>
              <w:t>Непрограммные направления бюджета</w:t>
            </w:r>
          </w:p>
        </w:tc>
        <w:tc>
          <w:tcPr>
            <w:tcW w:w="850" w:type="dxa"/>
            <w:tcBorders>
              <w:top w:val="single" w:sz="4" w:space="0" w:color="auto"/>
              <w:left w:val="single" w:sz="4" w:space="0" w:color="auto"/>
              <w:bottom w:val="nil"/>
              <w:right w:val="nil"/>
            </w:tcBorders>
            <w:shd w:val="clear" w:color="auto" w:fill="auto"/>
            <w:noWrap/>
            <w:vAlign w:val="center"/>
            <w:hideMark/>
          </w:tcPr>
          <w:p w14:paraId="701A4246" w14:textId="77777777" w:rsidR="00387142" w:rsidRPr="008B6A75" w:rsidRDefault="00387142" w:rsidP="00387142">
            <w:pPr>
              <w:jc w:val="center"/>
              <w:rPr>
                <w:bCs/>
                <w:sz w:val="20"/>
                <w:szCs w:val="20"/>
              </w:rPr>
            </w:pPr>
            <w:r w:rsidRPr="008B6A75">
              <w:rPr>
                <w:bCs/>
                <w:sz w:val="20"/>
                <w:szCs w:val="20"/>
              </w:rPr>
              <w:t>444</w:t>
            </w:r>
          </w:p>
        </w:tc>
        <w:tc>
          <w:tcPr>
            <w:tcW w:w="709" w:type="dxa"/>
            <w:tcBorders>
              <w:top w:val="single" w:sz="4" w:space="0" w:color="auto"/>
              <w:left w:val="single" w:sz="4" w:space="0" w:color="auto"/>
              <w:bottom w:val="nil"/>
              <w:right w:val="nil"/>
            </w:tcBorders>
            <w:shd w:val="clear" w:color="auto" w:fill="auto"/>
            <w:noWrap/>
            <w:vAlign w:val="center"/>
            <w:hideMark/>
          </w:tcPr>
          <w:p w14:paraId="3A6D7157" w14:textId="77777777" w:rsidR="00387142" w:rsidRPr="008B6A75" w:rsidRDefault="00387142" w:rsidP="00387142">
            <w:pPr>
              <w:jc w:val="center"/>
              <w:rPr>
                <w:bCs/>
                <w:sz w:val="20"/>
                <w:szCs w:val="20"/>
              </w:rPr>
            </w:pPr>
            <w:r w:rsidRPr="008B6A75">
              <w:rPr>
                <w:bCs/>
                <w:sz w:val="20"/>
                <w:szCs w:val="20"/>
              </w:rPr>
              <w:t>10</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13A1F565" w14:textId="77777777" w:rsidR="00387142" w:rsidRPr="008B6A75" w:rsidRDefault="00387142" w:rsidP="00387142">
            <w:pPr>
              <w:jc w:val="center"/>
              <w:rPr>
                <w:bCs/>
                <w:sz w:val="20"/>
                <w:szCs w:val="20"/>
              </w:rPr>
            </w:pPr>
            <w:r w:rsidRPr="008B6A75">
              <w:rPr>
                <w:bCs/>
                <w:sz w:val="20"/>
                <w:szCs w:val="20"/>
              </w:rPr>
              <w:t>04</w:t>
            </w:r>
          </w:p>
        </w:tc>
        <w:tc>
          <w:tcPr>
            <w:tcW w:w="1411" w:type="dxa"/>
            <w:tcBorders>
              <w:top w:val="single" w:sz="4" w:space="0" w:color="auto"/>
              <w:left w:val="single" w:sz="4" w:space="0" w:color="auto"/>
              <w:bottom w:val="nil"/>
              <w:right w:val="nil"/>
            </w:tcBorders>
            <w:shd w:val="clear" w:color="auto" w:fill="auto"/>
            <w:noWrap/>
            <w:vAlign w:val="center"/>
            <w:hideMark/>
          </w:tcPr>
          <w:p w14:paraId="474FCE8D" w14:textId="77777777" w:rsidR="00387142" w:rsidRPr="008B6A75" w:rsidRDefault="00387142" w:rsidP="00387142">
            <w:pPr>
              <w:jc w:val="center"/>
              <w:rPr>
                <w:bCs/>
                <w:sz w:val="20"/>
                <w:szCs w:val="20"/>
              </w:rPr>
            </w:pPr>
            <w:r w:rsidRPr="008B6A75">
              <w:rPr>
                <w:bCs/>
                <w:sz w:val="20"/>
                <w:szCs w:val="20"/>
              </w:rPr>
              <w:t>99.0.00.00000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5BB3CD2A" w14:textId="77777777" w:rsidR="00387142" w:rsidRPr="008B6A75" w:rsidRDefault="00387142" w:rsidP="00387142">
            <w:pPr>
              <w:jc w:val="center"/>
              <w:rPr>
                <w:bCs/>
                <w:sz w:val="20"/>
                <w:szCs w:val="20"/>
              </w:rPr>
            </w:pPr>
            <w:r w:rsidRPr="008B6A75">
              <w:rPr>
                <w:bCs/>
                <w:sz w:val="20"/>
                <w:szCs w:val="20"/>
              </w:rPr>
              <w:t> </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1BD2AB36" w14:textId="77777777" w:rsidR="00387142" w:rsidRPr="008B6A75" w:rsidRDefault="00387142" w:rsidP="00387142">
            <w:pPr>
              <w:jc w:val="right"/>
              <w:rPr>
                <w:bCs/>
                <w:sz w:val="20"/>
                <w:szCs w:val="20"/>
              </w:rPr>
            </w:pPr>
            <w:r w:rsidRPr="008B6A75">
              <w:rPr>
                <w:bCs/>
                <w:sz w:val="20"/>
                <w:szCs w:val="20"/>
              </w:rPr>
              <w:t>125 018 532,23</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7BFF001E" w14:textId="77777777" w:rsidR="00387142" w:rsidRPr="008B6A75" w:rsidRDefault="00387142" w:rsidP="00387142">
            <w:pPr>
              <w:jc w:val="right"/>
              <w:rPr>
                <w:bCs/>
                <w:sz w:val="20"/>
                <w:szCs w:val="20"/>
              </w:rPr>
            </w:pPr>
            <w:r w:rsidRPr="008B6A75">
              <w:rPr>
                <w:bCs/>
                <w:sz w:val="20"/>
                <w:szCs w:val="20"/>
              </w:rPr>
              <w:t>137 768 200,00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00B4865F" w14:textId="77777777" w:rsidR="00387142" w:rsidRPr="008B6A75" w:rsidRDefault="00387142" w:rsidP="00387142">
            <w:pPr>
              <w:jc w:val="right"/>
              <w:rPr>
                <w:bCs/>
                <w:sz w:val="20"/>
                <w:szCs w:val="20"/>
              </w:rPr>
            </w:pPr>
            <w:r w:rsidRPr="008B6A75">
              <w:rPr>
                <w:bCs/>
                <w:sz w:val="20"/>
                <w:szCs w:val="20"/>
              </w:rPr>
              <w:t>100 969 800,00</w:t>
            </w:r>
          </w:p>
        </w:tc>
        <w:tc>
          <w:tcPr>
            <w:tcW w:w="222" w:type="dxa"/>
            <w:vAlign w:val="center"/>
            <w:hideMark/>
          </w:tcPr>
          <w:p w14:paraId="2893AD93" w14:textId="77777777" w:rsidR="00387142" w:rsidRPr="008B6A75" w:rsidRDefault="00387142" w:rsidP="00387142">
            <w:pPr>
              <w:rPr>
                <w:sz w:val="20"/>
                <w:szCs w:val="20"/>
              </w:rPr>
            </w:pPr>
          </w:p>
        </w:tc>
      </w:tr>
      <w:tr w:rsidR="00387142" w:rsidRPr="008B6A75" w14:paraId="23DFC9E1" w14:textId="77777777" w:rsidTr="00387142">
        <w:trPr>
          <w:trHeight w:val="1440"/>
        </w:trPr>
        <w:tc>
          <w:tcPr>
            <w:tcW w:w="3021" w:type="dxa"/>
            <w:tcBorders>
              <w:top w:val="single" w:sz="4" w:space="0" w:color="auto"/>
              <w:left w:val="single" w:sz="4" w:space="0" w:color="auto"/>
              <w:bottom w:val="nil"/>
              <w:right w:val="nil"/>
            </w:tcBorders>
            <w:shd w:val="clear" w:color="auto" w:fill="auto"/>
            <w:vAlign w:val="center"/>
            <w:hideMark/>
          </w:tcPr>
          <w:p w14:paraId="17587648" w14:textId="77777777" w:rsidR="00387142" w:rsidRPr="008B6A75" w:rsidRDefault="00387142" w:rsidP="00387142">
            <w:pPr>
              <w:rPr>
                <w:bCs/>
                <w:sz w:val="20"/>
                <w:szCs w:val="20"/>
              </w:rPr>
            </w:pPr>
            <w:r w:rsidRPr="008B6A75">
              <w:rPr>
                <w:bCs/>
                <w:sz w:val="20"/>
                <w:szCs w:val="2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850" w:type="dxa"/>
            <w:tcBorders>
              <w:top w:val="single" w:sz="4" w:space="0" w:color="auto"/>
              <w:left w:val="single" w:sz="4" w:space="0" w:color="auto"/>
              <w:bottom w:val="nil"/>
              <w:right w:val="nil"/>
            </w:tcBorders>
            <w:shd w:val="clear" w:color="auto" w:fill="auto"/>
            <w:noWrap/>
            <w:vAlign w:val="center"/>
            <w:hideMark/>
          </w:tcPr>
          <w:p w14:paraId="37BE5FE7" w14:textId="77777777" w:rsidR="00387142" w:rsidRPr="008B6A75" w:rsidRDefault="00387142" w:rsidP="00387142">
            <w:pPr>
              <w:jc w:val="center"/>
              <w:rPr>
                <w:bCs/>
                <w:sz w:val="20"/>
                <w:szCs w:val="20"/>
              </w:rPr>
            </w:pPr>
            <w:r w:rsidRPr="008B6A75">
              <w:rPr>
                <w:bCs/>
                <w:sz w:val="20"/>
                <w:szCs w:val="20"/>
              </w:rPr>
              <w:t>444</w:t>
            </w:r>
          </w:p>
        </w:tc>
        <w:tc>
          <w:tcPr>
            <w:tcW w:w="709" w:type="dxa"/>
            <w:tcBorders>
              <w:top w:val="single" w:sz="4" w:space="0" w:color="auto"/>
              <w:left w:val="single" w:sz="4" w:space="0" w:color="auto"/>
              <w:bottom w:val="nil"/>
              <w:right w:val="nil"/>
            </w:tcBorders>
            <w:shd w:val="clear" w:color="auto" w:fill="auto"/>
            <w:noWrap/>
            <w:vAlign w:val="center"/>
            <w:hideMark/>
          </w:tcPr>
          <w:p w14:paraId="1D720027" w14:textId="77777777" w:rsidR="00387142" w:rsidRPr="008B6A75" w:rsidRDefault="00387142" w:rsidP="00387142">
            <w:pPr>
              <w:jc w:val="center"/>
              <w:rPr>
                <w:bCs/>
                <w:sz w:val="20"/>
                <w:szCs w:val="20"/>
              </w:rPr>
            </w:pPr>
            <w:r w:rsidRPr="008B6A75">
              <w:rPr>
                <w:bCs/>
                <w:sz w:val="20"/>
                <w:szCs w:val="20"/>
              </w:rPr>
              <w:t>10</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397CACD6" w14:textId="77777777" w:rsidR="00387142" w:rsidRPr="008B6A75" w:rsidRDefault="00387142" w:rsidP="00387142">
            <w:pPr>
              <w:jc w:val="center"/>
              <w:rPr>
                <w:bCs/>
                <w:sz w:val="20"/>
                <w:szCs w:val="20"/>
              </w:rPr>
            </w:pPr>
            <w:r w:rsidRPr="008B6A75">
              <w:rPr>
                <w:bCs/>
                <w:sz w:val="20"/>
                <w:szCs w:val="20"/>
              </w:rPr>
              <w:t>04</w:t>
            </w:r>
          </w:p>
        </w:tc>
        <w:tc>
          <w:tcPr>
            <w:tcW w:w="1411" w:type="dxa"/>
            <w:tcBorders>
              <w:top w:val="single" w:sz="4" w:space="0" w:color="auto"/>
              <w:left w:val="single" w:sz="4" w:space="0" w:color="auto"/>
              <w:bottom w:val="nil"/>
              <w:right w:val="nil"/>
            </w:tcBorders>
            <w:shd w:val="clear" w:color="auto" w:fill="auto"/>
            <w:noWrap/>
            <w:vAlign w:val="center"/>
            <w:hideMark/>
          </w:tcPr>
          <w:p w14:paraId="7EFF7152" w14:textId="77777777" w:rsidR="00387142" w:rsidRPr="008B6A75" w:rsidRDefault="00387142" w:rsidP="00387142">
            <w:pPr>
              <w:jc w:val="center"/>
              <w:rPr>
                <w:bCs/>
                <w:sz w:val="20"/>
                <w:szCs w:val="20"/>
              </w:rPr>
            </w:pPr>
            <w:r w:rsidRPr="008B6A75">
              <w:rPr>
                <w:bCs/>
                <w:sz w:val="20"/>
                <w:szCs w:val="20"/>
              </w:rPr>
              <w:t>99.0.00.70139</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28AB3FFD" w14:textId="77777777" w:rsidR="00387142" w:rsidRPr="008B6A75" w:rsidRDefault="00387142" w:rsidP="00387142">
            <w:pPr>
              <w:jc w:val="center"/>
              <w:rPr>
                <w:bCs/>
                <w:sz w:val="20"/>
                <w:szCs w:val="20"/>
              </w:rPr>
            </w:pPr>
            <w:r w:rsidRPr="008B6A75">
              <w:rPr>
                <w:bCs/>
                <w:sz w:val="20"/>
                <w:szCs w:val="20"/>
              </w:rPr>
              <w:t> </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4CC2A7A6" w14:textId="77777777" w:rsidR="00387142" w:rsidRPr="008B6A75" w:rsidRDefault="00387142" w:rsidP="00387142">
            <w:pPr>
              <w:jc w:val="right"/>
              <w:rPr>
                <w:bCs/>
                <w:sz w:val="20"/>
                <w:szCs w:val="20"/>
              </w:rPr>
            </w:pPr>
            <w:r w:rsidRPr="008B6A75">
              <w:rPr>
                <w:bCs/>
                <w:sz w:val="20"/>
                <w:szCs w:val="20"/>
              </w:rPr>
              <w:t>2 254 527,00</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62A663DE" w14:textId="77777777" w:rsidR="00387142" w:rsidRPr="008B6A75" w:rsidRDefault="00387142" w:rsidP="00387142">
            <w:pPr>
              <w:jc w:val="right"/>
              <w:rPr>
                <w:bCs/>
                <w:sz w:val="20"/>
                <w:szCs w:val="20"/>
              </w:rPr>
            </w:pPr>
            <w:r w:rsidRPr="008B6A75">
              <w:rPr>
                <w:bCs/>
                <w:sz w:val="20"/>
                <w:szCs w:val="20"/>
              </w:rPr>
              <w:t>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24523050" w14:textId="77777777" w:rsidR="00387142" w:rsidRPr="008B6A75" w:rsidRDefault="00387142" w:rsidP="00387142">
            <w:pPr>
              <w:jc w:val="right"/>
              <w:rPr>
                <w:bCs/>
                <w:sz w:val="20"/>
                <w:szCs w:val="20"/>
              </w:rPr>
            </w:pPr>
            <w:r w:rsidRPr="008B6A75">
              <w:rPr>
                <w:bCs/>
                <w:sz w:val="20"/>
                <w:szCs w:val="20"/>
              </w:rPr>
              <w:t>0,00</w:t>
            </w:r>
          </w:p>
        </w:tc>
        <w:tc>
          <w:tcPr>
            <w:tcW w:w="222" w:type="dxa"/>
            <w:vAlign w:val="center"/>
            <w:hideMark/>
          </w:tcPr>
          <w:p w14:paraId="00143FCA" w14:textId="77777777" w:rsidR="00387142" w:rsidRPr="008B6A75" w:rsidRDefault="00387142" w:rsidP="00387142">
            <w:pPr>
              <w:rPr>
                <w:sz w:val="20"/>
                <w:szCs w:val="20"/>
              </w:rPr>
            </w:pPr>
          </w:p>
        </w:tc>
      </w:tr>
      <w:tr w:rsidR="00387142" w:rsidRPr="008B6A75" w14:paraId="4A84F0EF" w14:textId="77777777" w:rsidTr="00387142">
        <w:trPr>
          <w:trHeight w:val="585"/>
        </w:trPr>
        <w:tc>
          <w:tcPr>
            <w:tcW w:w="3021" w:type="dxa"/>
            <w:tcBorders>
              <w:top w:val="single" w:sz="4" w:space="0" w:color="auto"/>
              <w:left w:val="single" w:sz="4" w:space="0" w:color="auto"/>
              <w:bottom w:val="nil"/>
              <w:right w:val="nil"/>
            </w:tcBorders>
            <w:shd w:val="clear" w:color="auto" w:fill="auto"/>
            <w:vAlign w:val="center"/>
            <w:hideMark/>
          </w:tcPr>
          <w:p w14:paraId="5B5077A2" w14:textId="77777777" w:rsidR="00387142" w:rsidRPr="008B6A75" w:rsidRDefault="00387142" w:rsidP="00387142">
            <w:pPr>
              <w:rPr>
                <w:sz w:val="20"/>
                <w:szCs w:val="20"/>
              </w:rPr>
            </w:pPr>
            <w:r w:rsidRPr="008B6A75">
              <w:rPr>
                <w:sz w:val="20"/>
                <w:szCs w:val="20"/>
              </w:rPr>
              <w:t>Социальное обеспечение и иные выплаты населению</w:t>
            </w:r>
          </w:p>
        </w:tc>
        <w:tc>
          <w:tcPr>
            <w:tcW w:w="850" w:type="dxa"/>
            <w:tcBorders>
              <w:top w:val="single" w:sz="4" w:space="0" w:color="auto"/>
              <w:left w:val="single" w:sz="4" w:space="0" w:color="auto"/>
              <w:bottom w:val="nil"/>
              <w:right w:val="nil"/>
            </w:tcBorders>
            <w:shd w:val="clear" w:color="auto" w:fill="auto"/>
            <w:noWrap/>
            <w:vAlign w:val="center"/>
            <w:hideMark/>
          </w:tcPr>
          <w:p w14:paraId="390A607D" w14:textId="77777777" w:rsidR="00387142" w:rsidRPr="008B6A75" w:rsidRDefault="00387142" w:rsidP="00387142">
            <w:pPr>
              <w:jc w:val="center"/>
              <w:rPr>
                <w:sz w:val="20"/>
                <w:szCs w:val="20"/>
              </w:rPr>
            </w:pPr>
            <w:r w:rsidRPr="008B6A75">
              <w:rPr>
                <w:sz w:val="20"/>
                <w:szCs w:val="20"/>
              </w:rPr>
              <w:t>444</w:t>
            </w:r>
          </w:p>
        </w:tc>
        <w:tc>
          <w:tcPr>
            <w:tcW w:w="709" w:type="dxa"/>
            <w:tcBorders>
              <w:top w:val="single" w:sz="4" w:space="0" w:color="auto"/>
              <w:left w:val="single" w:sz="4" w:space="0" w:color="auto"/>
              <w:bottom w:val="nil"/>
              <w:right w:val="nil"/>
            </w:tcBorders>
            <w:shd w:val="clear" w:color="auto" w:fill="auto"/>
            <w:noWrap/>
            <w:vAlign w:val="center"/>
            <w:hideMark/>
          </w:tcPr>
          <w:p w14:paraId="5E245EB2" w14:textId="77777777" w:rsidR="00387142" w:rsidRPr="008B6A75" w:rsidRDefault="00387142" w:rsidP="00387142">
            <w:pPr>
              <w:jc w:val="center"/>
              <w:rPr>
                <w:sz w:val="20"/>
                <w:szCs w:val="20"/>
              </w:rPr>
            </w:pPr>
            <w:r w:rsidRPr="008B6A75">
              <w:rPr>
                <w:sz w:val="20"/>
                <w:szCs w:val="20"/>
              </w:rPr>
              <w:t>10</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3451B0DA" w14:textId="77777777" w:rsidR="00387142" w:rsidRPr="008B6A75" w:rsidRDefault="00387142" w:rsidP="00387142">
            <w:pPr>
              <w:jc w:val="center"/>
              <w:rPr>
                <w:sz w:val="20"/>
                <w:szCs w:val="20"/>
              </w:rPr>
            </w:pPr>
            <w:r w:rsidRPr="008B6A75">
              <w:rPr>
                <w:sz w:val="20"/>
                <w:szCs w:val="20"/>
              </w:rPr>
              <w:t>04</w:t>
            </w:r>
          </w:p>
        </w:tc>
        <w:tc>
          <w:tcPr>
            <w:tcW w:w="1411" w:type="dxa"/>
            <w:tcBorders>
              <w:top w:val="single" w:sz="4" w:space="0" w:color="auto"/>
              <w:left w:val="single" w:sz="4" w:space="0" w:color="auto"/>
              <w:bottom w:val="nil"/>
              <w:right w:val="nil"/>
            </w:tcBorders>
            <w:shd w:val="clear" w:color="auto" w:fill="auto"/>
            <w:noWrap/>
            <w:vAlign w:val="center"/>
            <w:hideMark/>
          </w:tcPr>
          <w:p w14:paraId="3CFA5B09" w14:textId="77777777" w:rsidR="00387142" w:rsidRPr="008B6A75" w:rsidRDefault="00387142" w:rsidP="00387142">
            <w:pPr>
              <w:jc w:val="center"/>
              <w:rPr>
                <w:sz w:val="20"/>
                <w:szCs w:val="20"/>
              </w:rPr>
            </w:pPr>
            <w:r w:rsidRPr="008B6A75">
              <w:rPr>
                <w:sz w:val="20"/>
                <w:szCs w:val="20"/>
              </w:rPr>
              <w:t>99.0.00.70139</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6B8338D1" w14:textId="77777777" w:rsidR="00387142" w:rsidRPr="008B6A75" w:rsidRDefault="00387142" w:rsidP="00387142">
            <w:pPr>
              <w:jc w:val="center"/>
              <w:rPr>
                <w:sz w:val="20"/>
                <w:szCs w:val="20"/>
              </w:rPr>
            </w:pPr>
            <w:r w:rsidRPr="008B6A75">
              <w:rPr>
                <w:sz w:val="20"/>
                <w:szCs w:val="20"/>
              </w:rPr>
              <w:t>300</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24278DE2" w14:textId="77777777" w:rsidR="00387142" w:rsidRPr="008B6A75" w:rsidRDefault="00387142" w:rsidP="00387142">
            <w:pPr>
              <w:jc w:val="right"/>
              <w:rPr>
                <w:sz w:val="20"/>
                <w:szCs w:val="20"/>
              </w:rPr>
            </w:pPr>
            <w:r w:rsidRPr="008B6A75">
              <w:rPr>
                <w:sz w:val="20"/>
                <w:szCs w:val="20"/>
              </w:rPr>
              <w:t>2 254 527,00</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1C7AD691" w14:textId="77777777" w:rsidR="00387142" w:rsidRPr="008B6A75" w:rsidRDefault="00387142" w:rsidP="00387142">
            <w:pPr>
              <w:jc w:val="right"/>
              <w:rPr>
                <w:sz w:val="20"/>
                <w:szCs w:val="20"/>
              </w:rPr>
            </w:pPr>
            <w:r w:rsidRPr="008B6A75">
              <w:rPr>
                <w:sz w:val="20"/>
                <w:szCs w:val="20"/>
              </w:rPr>
              <w:t>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2F864CBF" w14:textId="77777777" w:rsidR="00387142" w:rsidRPr="008B6A75" w:rsidRDefault="00387142" w:rsidP="00387142">
            <w:pPr>
              <w:jc w:val="right"/>
              <w:rPr>
                <w:sz w:val="20"/>
                <w:szCs w:val="20"/>
              </w:rPr>
            </w:pPr>
            <w:r w:rsidRPr="008B6A75">
              <w:rPr>
                <w:sz w:val="20"/>
                <w:szCs w:val="20"/>
              </w:rPr>
              <w:t>0,00</w:t>
            </w:r>
          </w:p>
        </w:tc>
        <w:tc>
          <w:tcPr>
            <w:tcW w:w="222" w:type="dxa"/>
            <w:vAlign w:val="center"/>
            <w:hideMark/>
          </w:tcPr>
          <w:p w14:paraId="4E3B0D95" w14:textId="77777777" w:rsidR="00387142" w:rsidRPr="008B6A75" w:rsidRDefault="00387142" w:rsidP="00387142">
            <w:pPr>
              <w:rPr>
                <w:sz w:val="20"/>
                <w:szCs w:val="20"/>
              </w:rPr>
            </w:pPr>
          </w:p>
        </w:tc>
      </w:tr>
      <w:tr w:rsidR="00387142" w:rsidRPr="008B6A75" w14:paraId="4C9FA976" w14:textId="77777777" w:rsidTr="00387142">
        <w:trPr>
          <w:trHeight w:val="585"/>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691BD890" w14:textId="77777777" w:rsidR="00387142" w:rsidRPr="008B6A75" w:rsidRDefault="00387142" w:rsidP="00387142">
            <w:pPr>
              <w:rPr>
                <w:sz w:val="20"/>
                <w:szCs w:val="20"/>
              </w:rPr>
            </w:pPr>
            <w:r w:rsidRPr="008B6A75">
              <w:rPr>
                <w:sz w:val="20"/>
                <w:szCs w:val="20"/>
              </w:rPr>
              <w:t>Социальные выплаты гражданам, кроме публичных нормативных социальных выплат</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6C50010C" w14:textId="77777777" w:rsidR="00387142" w:rsidRPr="008B6A75" w:rsidRDefault="00387142" w:rsidP="00387142">
            <w:pPr>
              <w:jc w:val="center"/>
              <w:rPr>
                <w:sz w:val="20"/>
                <w:szCs w:val="20"/>
              </w:rPr>
            </w:pPr>
            <w:r w:rsidRPr="008B6A75">
              <w:rPr>
                <w:sz w:val="20"/>
                <w:szCs w:val="20"/>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54452969" w14:textId="77777777" w:rsidR="00387142" w:rsidRPr="008B6A75" w:rsidRDefault="00387142" w:rsidP="00387142">
            <w:pPr>
              <w:jc w:val="center"/>
              <w:rPr>
                <w:sz w:val="20"/>
                <w:szCs w:val="20"/>
              </w:rPr>
            </w:pPr>
            <w:r w:rsidRPr="008B6A75">
              <w:rPr>
                <w:sz w:val="20"/>
                <w:szCs w:val="20"/>
              </w:rPr>
              <w:t>10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528B51" w14:textId="77777777" w:rsidR="00387142" w:rsidRPr="008B6A75" w:rsidRDefault="00387142" w:rsidP="00387142">
            <w:pPr>
              <w:jc w:val="center"/>
              <w:rPr>
                <w:sz w:val="20"/>
                <w:szCs w:val="20"/>
              </w:rPr>
            </w:pPr>
            <w:r w:rsidRPr="008B6A75">
              <w:rPr>
                <w:sz w:val="20"/>
                <w:szCs w:val="20"/>
              </w:rPr>
              <w:t>04</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05B78B08" w14:textId="77777777" w:rsidR="00387142" w:rsidRPr="008B6A75" w:rsidRDefault="00387142" w:rsidP="00387142">
            <w:pPr>
              <w:jc w:val="center"/>
              <w:rPr>
                <w:sz w:val="20"/>
                <w:szCs w:val="20"/>
              </w:rPr>
            </w:pPr>
            <w:r w:rsidRPr="008B6A75">
              <w:rPr>
                <w:sz w:val="20"/>
                <w:szCs w:val="20"/>
              </w:rPr>
              <w:t>99.0.00.70139</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5D54E5" w14:textId="77777777" w:rsidR="00387142" w:rsidRPr="008B6A75" w:rsidRDefault="00387142" w:rsidP="00387142">
            <w:pPr>
              <w:jc w:val="center"/>
              <w:rPr>
                <w:sz w:val="20"/>
                <w:szCs w:val="20"/>
              </w:rPr>
            </w:pPr>
            <w:r w:rsidRPr="008B6A75">
              <w:rPr>
                <w:sz w:val="20"/>
                <w:szCs w:val="20"/>
              </w:rPr>
              <w:t>320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8ECEBA" w14:textId="77777777" w:rsidR="00387142" w:rsidRPr="008B6A75" w:rsidRDefault="00387142" w:rsidP="00387142">
            <w:pPr>
              <w:jc w:val="right"/>
              <w:rPr>
                <w:sz w:val="20"/>
                <w:szCs w:val="20"/>
              </w:rPr>
            </w:pPr>
            <w:r w:rsidRPr="008B6A75">
              <w:rPr>
                <w:sz w:val="20"/>
                <w:szCs w:val="20"/>
              </w:rPr>
              <w:t>2 254 527,00</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719D8105" w14:textId="77777777" w:rsidR="00387142" w:rsidRPr="008B6A75" w:rsidRDefault="00387142" w:rsidP="00387142">
            <w:pPr>
              <w:jc w:val="right"/>
              <w:rPr>
                <w:sz w:val="20"/>
                <w:szCs w:val="20"/>
              </w:rPr>
            </w:pPr>
            <w:r w:rsidRPr="008B6A75">
              <w:rPr>
                <w:sz w:val="20"/>
                <w:szCs w:val="20"/>
              </w:rPr>
              <w:t>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6B99A6" w14:textId="77777777" w:rsidR="00387142" w:rsidRPr="008B6A75" w:rsidRDefault="00387142" w:rsidP="00387142">
            <w:pPr>
              <w:jc w:val="right"/>
              <w:rPr>
                <w:sz w:val="20"/>
                <w:szCs w:val="20"/>
              </w:rPr>
            </w:pPr>
            <w:r w:rsidRPr="008B6A75">
              <w:rPr>
                <w:sz w:val="20"/>
                <w:szCs w:val="20"/>
              </w:rPr>
              <w:t>0,00</w:t>
            </w:r>
          </w:p>
        </w:tc>
        <w:tc>
          <w:tcPr>
            <w:tcW w:w="222" w:type="dxa"/>
            <w:vAlign w:val="center"/>
            <w:hideMark/>
          </w:tcPr>
          <w:p w14:paraId="34F24075" w14:textId="77777777" w:rsidR="00387142" w:rsidRPr="008B6A75" w:rsidRDefault="00387142" w:rsidP="00387142">
            <w:pPr>
              <w:rPr>
                <w:sz w:val="20"/>
                <w:szCs w:val="20"/>
              </w:rPr>
            </w:pPr>
          </w:p>
        </w:tc>
      </w:tr>
      <w:tr w:rsidR="00387142" w:rsidRPr="008B6A75" w14:paraId="5C2F4F28" w14:textId="77777777" w:rsidTr="00387142">
        <w:trPr>
          <w:trHeight w:val="1155"/>
        </w:trPr>
        <w:tc>
          <w:tcPr>
            <w:tcW w:w="3021" w:type="dxa"/>
            <w:tcBorders>
              <w:top w:val="nil"/>
              <w:left w:val="single" w:sz="4" w:space="0" w:color="auto"/>
              <w:bottom w:val="nil"/>
              <w:right w:val="nil"/>
            </w:tcBorders>
            <w:shd w:val="clear" w:color="auto" w:fill="auto"/>
            <w:vAlign w:val="center"/>
            <w:hideMark/>
          </w:tcPr>
          <w:p w14:paraId="2434EF5B" w14:textId="77777777" w:rsidR="00387142" w:rsidRPr="008B6A75" w:rsidRDefault="00387142" w:rsidP="00387142">
            <w:pPr>
              <w:rPr>
                <w:bCs/>
                <w:sz w:val="20"/>
                <w:szCs w:val="20"/>
              </w:rPr>
            </w:pPr>
            <w:r w:rsidRPr="008B6A75">
              <w:rPr>
                <w:bCs/>
                <w:sz w:val="20"/>
                <w:szCs w:val="20"/>
              </w:rPr>
              <w:t>Организация и осуществление деятельности по опеке и попечительству, социальной поддержке детей-сирот и детей, оставшихся без попечения родителей</w:t>
            </w:r>
          </w:p>
        </w:tc>
        <w:tc>
          <w:tcPr>
            <w:tcW w:w="850" w:type="dxa"/>
            <w:tcBorders>
              <w:top w:val="nil"/>
              <w:left w:val="single" w:sz="4" w:space="0" w:color="auto"/>
              <w:bottom w:val="nil"/>
              <w:right w:val="nil"/>
            </w:tcBorders>
            <w:shd w:val="clear" w:color="auto" w:fill="auto"/>
            <w:noWrap/>
            <w:vAlign w:val="center"/>
            <w:hideMark/>
          </w:tcPr>
          <w:p w14:paraId="1DCF4795" w14:textId="77777777" w:rsidR="00387142" w:rsidRPr="008B6A75" w:rsidRDefault="00387142" w:rsidP="00387142">
            <w:pPr>
              <w:jc w:val="center"/>
              <w:rPr>
                <w:bCs/>
                <w:sz w:val="20"/>
                <w:szCs w:val="20"/>
              </w:rPr>
            </w:pPr>
            <w:r w:rsidRPr="008B6A75">
              <w:rPr>
                <w:bCs/>
                <w:sz w:val="20"/>
                <w:szCs w:val="20"/>
              </w:rPr>
              <w:t>444</w:t>
            </w:r>
          </w:p>
        </w:tc>
        <w:tc>
          <w:tcPr>
            <w:tcW w:w="709" w:type="dxa"/>
            <w:tcBorders>
              <w:top w:val="nil"/>
              <w:left w:val="single" w:sz="4" w:space="0" w:color="auto"/>
              <w:bottom w:val="nil"/>
              <w:right w:val="nil"/>
            </w:tcBorders>
            <w:shd w:val="clear" w:color="auto" w:fill="auto"/>
            <w:noWrap/>
            <w:vAlign w:val="center"/>
            <w:hideMark/>
          </w:tcPr>
          <w:p w14:paraId="33F9EA95" w14:textId="77777777" w:rsidR="00387142" w:rsidRPr="008B6A75" w:rsidRDefault="00387142" w:rsidP="00387142">
            <w:pPr>
              <w:jc w:val="center"/>
              <w:rPr>
                <w:bCs/>
                <w:sz w:val="20"/>
                <w:szCs w:val="20"/>
              </w:rPr>
            </w:pPr>
            <w:r w:rsidRPr="008B6A75">
              <w:rPr>
                <w:bCs/>
                <w:sz w:val="20"/>
                <w:szCs w:val="20"/>
              </w:rPr>
              <w:t>10</w:t>
            </w:r>
          </w:p>
        </w:tc>
        <w:tc>
          <w:tcPr>
            <w:tcW w:w="709" w:type="dxa"/>
            <w:tcBorders>
              <w:top w:val="nil"/>
              <w:left w:val="single" w:sz="4" w:space="0" w:color="auto"/>
              <w:bottom w:val="nil"/>
              <w:right w:val="single" w:sz="4" w:space="0" w:color="auto"/>
            </w:tcBorders>
            <w:shd w:val="clear" w:color="auto" w:fill="auto"/>
            <w:noWrap/>
            <w:vAlign w:val="center"/>
            <w:hideMark/>
          </w:tcPr>
          <w:p w14:paraId="15A92C99" w14:textId="77777777" w:rsidR="00387142" w:rsidRPr="008B6A75" w:rsidRDefault="00387142" w:rsidP="00387142">
            <w:pPr>
              <w:jc w:val="center"/>
              <w:rPr>
                <w:bCs/>
                <w:sz w:val="20"/>
                <w:szCs w:val="20"/>
              </w:rPr>
            </w:pPr>
            <w:r w:rsidRPr="008B6A75">
              <w:rPr>
                <w:bCs/>
                <w:sz w:val="20"/>
                <w:szCs w:val="20"/>
              </w:rPr>
              <w:t>04</w:t>
            </w:r>
          </w:p>
        </w:tc>
        <w:tc>
          <w:tcPr>
            <w:tcW w:w="1411" w:type="dxa"/>
            <w:tcBorders>
              <w:top w:val="nil"/>
              <w:left w:val="single" w:sz="4" w:space="0" w:color="auto"/>
              <w:bottom w:val="nil"/>
              <w:right w:val="nil"/>
            </w:tcBorders>
            <w:shd w:val="clear" w:color="auto" w:fill="auto"/>
            <w:noWrap/>
            <w:vAlign w:val="center"/>
            <w:hideMark/>
          </w:tcPr>
          <w:p w14:paraId="1620B497" w14:textId="77777777" w:rsidR="00387142" w:rsidRPr="008B6A75" w:rsidRDefault="00387142" w:rsidP="00387142">
            <w:pPr>
              <w:jc w:val="center"/>
              <w:rPr>
                <w:bCs/>
                <w:sz w:val="20"/>
                <w:szCs w:val="20"/>
              </w:rPr>
            </w:pPr>
            <w:r w:rsidRPr="008B6A75">
              <w:rPr>
                <w:bCs/>
                <w:sz w:val="20"/>
                <w:szCs w:val="20"/>
              </w:rPr>
              <w:t>99.0.00.70289</w:t>
            </w:r>
          </w:p>
        </w:tc>
        <w:tc>
          <w:tcPr>
            <w:tcW w:w="955" w:type="dxa"/>
            <w:tcBorders>
              <w:top w:val="nil"/>
              <w:left w:val="single" w:sz="4" w:space="0" w:color="auto"/>
              <w:bottom w:val="nil"/>
              <w:right w:val="single" w:sz="4" w:space="0" w:color="auto"/>
            </w:tcBorders>
            <w:shd w:val="clear" w:color="auto" w:fill="auto"/>
            <w:noWrap/>
            <w:vAlign w:val="center"/>
            <w:hideMark/>
          </w:tcPr>
          <w:p w14:paraId="7FBCB182"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nil"/>
              <w:right w:val="single" w:sz="4" w:space="0" w:color="auto"/>
            </w:tcBorders>
            <w:shd w:val="clear" w:color="auto" w:fill="auto"/>
            <w:noWrap/>
            <w:vAlign w:val="center"/>
            <w:hideMark/>
          </w:tcPr>
          <w:p w14:paraId="04F2D253" w14:textId="77777777" w:rsidR="00387142" w:rsidRPr="008B6A75" w:rsidRDefault="00387142" w:rsidP="00387142">
            <w:pPr>
              <w:jc w:val="right"/>
              <w:rPr>
                <w:bCs/>
                <w:sz w:val="20"/>
                <w:szCs w:val="20"/>
              </w:rPr>
            </w:pPr>
            <w:r w:rsidRPr="008B6A75">
              <w:rPr>
                <w:bCs/>
                <w:sz w:val="20"/>
                <w:szCs w:val="20"/>
              </w:rPr>
              <w:t>37 043 305,23</w:t>
            </w:r>
          </w:p>
        </w:tc>
        <w:tc>
          <w:tcPr>
            <w:tcW w:w="992" w:type="dxa"/>
            <w:gridSpan w:val="2"/>
            <w:tcBorders>
              <w:top w:val="nil"/>
              <w:left w:val="single" w:sz="4" w:space="0" w:color="auto"/>
              <w:bottom w:val="nil"/>
              <w:right w:val="nil"/>
            </w:tcBorders>
            <w:shd w:val="clear" w:color="auto" w:fill="auto"/>
            <w:noWrap/>
            <w:vAlign w:val="center"/>
            <w:hideMark/>
          </w:tcPr>
          <w:p w14:paraId="727B64A2" w14:textId="77777777" w:rsidR="00387142" w:rsidRPr="008B6A75" w:rsidRDefault="00387142" w:rsidP="00387142">
            <w:pPr>
              <w:jc w:val="right"/>
              <w:rPr>
                <w:bCs/>
                <w:sz w:val="20"/>
                <w:szCs w:val="20"/>
              </w:rPr>
            </w:pPr>
            <w:r w:rsidRPr="008B6A75">
              <w:rPr>
                <w:bCs/>
                <w:sz w:val="20"/>
                <w:szCs w:val="20"/>
              </w:rPr>
              <w:t>35 865 100,00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02D09AAF" w14:textId="77777777" w:rsidR="00387142" w:rsidRPr="008B6A75" w:rsidRDefault="00387142" w:rsidP="00387142">
            <w:pPr>
              <w:jc w:val="right"/>
              <w:rPr>
                <w:bCs/>
                <w:sz w:val="20"/>
                <w:szCs w:val="20"/>
              </w:rPr>
            </w:pPr>
            <w:r w:rsidRPr="008B6A75">
              <w:rPr>
                <w:bCs/>
                <w:sz w:val="20"/>
                <w:szCs w:val="20"/>
              </w:rPr>
              <w:t>35 865 100,00</w:t>
            </w:r>
          </w:p>
        </w:tc>
        <w:tc>
          <w:tcPr>
            <w:tcW w:w="222" w:type="dxa"/>
            <w:vAlign w:val="center"/>
            <w:hideMark/>
          </w:tcPr>
          <w:p w14:paraId="17CADA8F" w14:textId="77777777" w:rsidR="00387142" w:rsidRPr="008B6A75" w:rsidRDefault="00387142" w:rsidP="00387142">
            <w:pPr>
              <w:rPr>
                <w:sz w:val="20"/>
                <w:szCs w:val="20"/>
              </w:rPr>
            </w:pPr>
          </w:p>
        </w:tc>
      </w:tr>
      <w:tr w:rsidR="00387142" w:rsidRPr="008B6A75" w14:paraId="3688A4E8" w14:textId="77777777" w:rsidTr="00387142">
        <w:trPr>
          <w:trHeight w:val="585"/>
        </w:trPr>
        <w:tc>
          <w:tcPr>
            <w:tcW w:w="3021" w:type="dxa"/>
            <w:tcBorders>
              <w:top w:val="single" w:sz="4" w:space="0" w:color="auto"/>
              <w:left w:val="single" w:sz="4" w:space="0" w:color="auto"/>
              <w:bottom w:val="nil"/>
              <w:right w:val="nil"/>
            </w:tcBorders>
            <w:shd w:val="clear" w:color="auto" w:fill="auto"/>
            <w:vAlign w:val="center"/>
            <w:hideMark/>
          </w:tcPr>
          <w:p w14:paraId="1DFC8CA5" w14:textId="77777777" w:rsidR="00387142" w:rsidRPr="008B6A75" w:rsidRDefault="00387142" w:rsidP="00387142">
            <w:pPr>
              <w:rPr>
                <w:sz w:val="20"/>
                <w:szCs w:val="20"/>
              </w:rPr>
            </w:pPr>
            <w:r w:rsidRPr="008B6A75">
              <w:rPr>
                <w:sz w:val="20"/>
                <w:szCs w:val="20"/>
              </w:rPr>
              <w:t>Социальное обеспечение и иные выплаты населению</w:t>
            </w:r>
          </w:p>
        </w:tc>
        <w:tc>
          <w:tcPr>
            <w:tcW w:w="850" w:type="dxa"/>
            <w:tcBorders>
              <w:top w:val="single" w:sz="4" w:space="0" w:color="auto"/>
              <w:left w:val="single" w:sz="4" w:space="0" w:color="auto"/>
              <w:bottom w:val="nil"/>
              <w:right w:val="nil"/>
            </w:tcBorders>
            <w:shd w:val="clear" w:color="auto" w:fill="auto"/>
            <w:noWrap/>
            <w:vAlign w:val="center"/>
            <w:hideMark/>
          </w:tcPr>
          <w:p w14:paraId="7CAC6AFB" w14:textId="77777777" w:rsidR="00387142" w:rsidRPr="008B6A75" w:rsidRDefault="00387142" w:rsidP="00387142">
            <w:pPr>
              <w:jc w:val="center"/>
              <w:rPr>
                <w:sz w:val="20"/>
                <w:szCs w:val="20"/>
              </w:rPr>
            </w:pPr>
            <w:r w:rsidRPr="008B6A75">
              <w:rPr>
                <w:sz w:val="20"/>
                <w:szCs w:val="20"/>
              </w:rPr>
              <w:t>444</w:t>
            </w:r>
          </w:p>
        </w:tc>
        <w:tc>
          <w:tcPr>
            <w:tcW w:w="709" w:type="dxa"/>
            <w:tcBorders>
              <w:top w:val="single" w:sz="4" w:space="0" w:color="auto"/>
              <w:left w:val="single" w:sz="4" w:space="0" w:color="auto"/>
              <w:bottom w:val="nil"/>
              <w:right w:val="nil"/>
            </w:tcBorders>
            <w:shd w:val="clear" w:color="auto" w:fill="auto"/>
            <w:noWrap/>
            <w:vAlign w:val="center"/>
            <w:hideMark/>
          </w:tcPr>
          <w:p w14:paraId="7D91259A" w14:textId="77777777" w:rsidR="00387142" w:rsidRPr="008B6A75" w:rsidRDefault="00387142" w:rsidP="00387142">
            <w:pPr>
              <w:jc w:val="center"/>
              <w:rPr>
                <w:sz w:val="20"/>
                <w:szCs w:val="20"/>
              </w:rPr>
            </w:pPr>
            <w:r w:rsidRPr="008B6A75">
              <w:rPr>
                <w:sz w:val="20"/>
                <w:szCs w:val="20"/>
              </w:rPr>
              <w:t>10</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445C800D" w14:textId="77777777" w:rsidR="00387142" w:rsidRPr="008B6A75" w:rsidRDefault="00387142" w:rsidP="00387142">
            <w:pPr>
              <w:jc w:val="center"/>
              <w:rPr>
                <w:sz w:val="20"/>
                <w:szCs w:val="20"/>
              </w:rPr>
            </w:pPr>
            <w:r w:rsidRPr="008B6A75">
              <w:rPr>
                <w:sz w:val="20"/>
                <w:szCs w:val="20"/>
              </w:rPr>
              <w:t>04</w:t>
            </w:r>
          </w:p>
        </w:tc>
        <w:tc>
          <w:tcPr>
            <w:tcW w:w="1411" w:type="dxa"/>
            <w:tcBorders>
              <w:top w:val="single" w:sz="4" w:space="0" w:color="auto"/>
              <w:left w:val="single" w:sz="4" w:space="0" w:color="auto"/>
              <w:bottom w:val="nil"/>
              <w:right w:val="nil"/>
            </w:tcBorders>
            <w:shd w:val="clear" w:color="auto" w:fill="auto"/>
            <w:noWrap/>
            <w:vAlign w:val="center"/>
            <w:hideMark/>
          </w:tcPr>
          <w:p w14:paraId="2BA95D59" w14:textId="77777777" w:rsidR="00387142" w:rsidRPr="008B6A75" w:rsidRDefault="00387142" w:rsidP="00387142">
            <w:pPr>
              <w:jc w:val="center"/>
              <w:rPr>
                <w:sz w:val="20"/>
                <w:szCs w:val="20"/>
              </w:rPr>
            </w:pPr>
            <w:r w:rsidRPr="008B6A75">
              <w:rPr>
                <w:sz w:val="20"/>
                <w:szCs w:val="20"/>
              </w:rPr>
              <w:t>99.0.00.70289</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1B6EE505" w14:textId="77777777" w:rsidR="00387142" w:rsidRPr="008B6A75" w:rsidRDefault="00387142" w:rsidP="00387142">
            <w:pPr>
              <w:jc w:val="center"/>
              <w:rPr>
                <w:sz w:val="20"/>
                <w:szCs w:val="20"/>
              </w:rPr>
            </w:pPr>
            <w:r w:rsidRPr="008B6A75">
              <w:rPr>
                <w:sz w:val="20"/>
                <w:szCs w:val="20"/>
              </w:rPr>
              <w:t>300</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0854A173" w14:textId="77777777" w:rsidR="00387142" w:rsidRPr="008B6A75" w:rsidRDefault="00387142" w:rsidP="00387142">
            <w:pPr>
              <w:jc w:val="right"/>
              <w:rPr>
                <w:sz w:val="20"/>
                <w:szCs w:val="20"/>
              </w:rPr>
            </w:pPr>
            <w:r w:rsidRPr="008B6A75">
              <w:rPr>
                <w:sz w:val="20"/>
                <w:szCs w:val="20"/>
              </w:rPr>
              <w:t>37 043 305,23</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31C267D5" w14:textId="77777777" w:rsidR="00387142" w:rsidRPr="008B6A75" w:rsidRDefault="00387142" w:rsidP="00387142">
            <w:pPr>
              <w:jc w:val="right"/>
              <w:rPr>
                <w:sz w:val="20"/>
                <w:szCs w:val="20"/>
              </w:rPr>
            </w:pPr>
            <w:r w:rsidRPr="008B6A75">
              <w:rPr>
                <w:sz w:val="20"/>
                <w:szCs w:val="20"/>
              </w:rPr>
              <w:t>35 865 100,00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0A1632EB" w14:textId="77777777" w:rsidR="00387142" w:rsidRPr="008B6A75" w:rsidRDefault="00387142" w:rsidP="00387142">
            <w:pPr>
              <w:jc w:val="right"/>
              <w:rPr>
                <w:sz w:val="20"/>
                <w:szCs w:val="20"/>
              </w:rPr>
            </w:pPr>
            <w:r w:rsidRPr="008B6A75">
              <w:rPr>
                <w:sz w:val="20"/>
                <w:szCs w:val="20"/>
              </w:rPr>
              <w:t>35 865 100,00</w:t>
            </w:r>
          </w:p>
        </w:tc>
        <w:tc>
          <w:tcPr>
            <w:tcW w:w="222" w:type="dxa"/>
            <w:vAlign w:val="center"/>
            <w:hideMark/>
          </w:tcPr>
          <w:p w14:paraId="10AC215D" w14:textId="77777777" w:rsidR="00387142" w:rsidRPr="008B6A75" w:rsidRDefault="00387142" w:rsidP="00387142">
            <w:pPr>
              <w:rPr>
                <w:sz w:val="20"/>
                <w:szCs w:val="20"/>
              </w:rPr>
            </w:pPr>
          </w:p>
        </w:tc>
      </w:tr>
      <w:tr w:rsidR="00387142" w:rsidRPr="008B6A75" w14:paraId="1FF2981D" w14:textId="77777777" w:rsidTr="00387142">
        <w:trPr>
          <w:trHeight w:val="585"/>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332B33FF" w14:textId="77777777" w:rsidR="00387142" w:rsidRPr="008B6A75" w:rsidRDefault="00387142" w:rsidP="00387142">
            <w:pPr>
              <w:rPr>
                <w:sz w:val="20"/>
                <w:szCs w:val="20"/>
              </w:rPr>
            </w:pPr>
            <w:r w:rsidRPr="008B6A75">
              <w:rPr>
                <w:sz w:val="20"/>
                <w:szCs w:val="20"/>
              </w:rPr>
              <w:t>Социальные выплаты гражданам, кроме публичных нормативных социальных выплат</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1B767DB4" w14:textId="77777777" w:rsidR="00387142" w:rsidRPr="008B6A75" w:rsidRDefault="00387142" w:rsidP="00387142">
            <w:pPr>
              <w:jc w:val="center"/>
              <w:rPr>
                <w:sz w:val="20"/>
                <w:szCs w:val="20"/>
              </w:rPr>
            </w:pPr>
            <w:r w:rsidRPr="008B6A75">
              <w:rPr>
                <w:sz w:val="20"/>
                <w:szCs w:val="20"/>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2BC1217B" w14:textId="77777777" w:rsidR="00387142" w:rsidRPr="008B6A75" w:rsidRDefault="00387142" w:rsidP="00387142">
            <w:pPr>
              <w:jc w:val="center"/>
              <w:rPr>
                <w:sz w:val="20"/>
                <w:szCs w:val="20"/>
              </w:rPr>
            </w:pPr>
            <w:r w:rsidRPr="008B6A75">
              <w:rPr>
                <w:sz w:val="20"/>
                <w:szCs w:val="20"/>
              </w:rPr>
              <w:t>10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2E4347" w14:textId="77777777" w:rsidR="00387142" w:rsidRPr="008B6A75" w:rsidRDefault="00387142" w:rsidP="00387142">
            <w:pPr>
              <w:jc w:val="center"/>
              <w:rPr>
                <w:sz w:val="20"/>
                <w:szCs w:val="20"/>
              </w:rPr>
            </w:pPr>
            <w:r w:rsidRPr="008B6A75">
              <w:rPr>
                <w:sz w:val="20"/>
                <w:szCs w:val="20"/>
              </w:rPr>
              <w:t>04</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28D7BB3C" w14:textId="77777777" w:rsidR="00387142" w:rsidRPr="008B6A75" w:rsidRDefault="00387142" w:rsidP="00387142">
            <w:pPr>
              <w:jc w:val="center"/>
              <w:rPr>
                <w:sz w:val="20"/>
                <w:szCs w:val="20"/>
              </w:rPr>
            </w:pPr>
            <w:r w:rsidRPr="008B6A75">
              <w:rPr>
                <w:sz w:val="20"/>
                <w:szCs w:val="20"/>
              </w:rPr>
              <w:t>99.0.00.70289</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36A85D" w14:textId="77777777" w:rsidR="00387142" w:rsidRPr="008B6A75" w:rsidRDefault="00387142" w:rsidP="00387142">
            <w:pPr>
              <w:jc w:val="center"/>
              <w:rPr>
                <w:sz w:val="20"/>
                <w:szCs w:val="20"/>
              </w:rPr>
            </w:pPr>
            <w:r w:rsidRPr="008B6A75">
              <w:rPr>
                <w:sz w:val="20"/>
                <w:szCs w:val="20"/>
              </w:rPr>
              <w:t>320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E5E123" w14:textId="77777777" w:rsidR="00387142" w:rsidRPr="008B6A75" w:rsidRDefault="00387142" w:rsidP="00387142">
            <w:pPr>
              <w:jc w:val="right"/>
              <w:rPr>
                <w:sz w:val="20"/>
                <w:szCs w:val="20"/>
              </w:rPr>
            </w:pPr>
            <w:r w:rsidRPr="008B6A75">
              <w:rPr>
                <w:sz w:val="20"/>
                <w:szCs w:val="20"/>
              </w:rPr>
              <w:t>37 043 305,23</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3BFABE2D" w14:textId="77777777" w:rsidR="00387142" w:rsidRPr="008B6A75" w:rsidRDefault="00387142" w:rsidP="00387142">
            <w:pPr>
              <w:jc w:val="right"/>
              <w:rPr>
                <w:sz w:val="20"/>
                <w:szCs w:val="20"/>
              </w:rPr>
            </w:pPr>
            <w:r w:rsidRPr="008B6A75">
              <w:rPr>
                <w:sz w:val="20"/>
                <w:szCs w:val="20"/>
              </w:rPr>
              <w:t>35 865 100,00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5EA29C" w14:textId="77777777" w:rsidR="00387142" w:rsidRPr="008B6A75" w:rsidRDefault="00387142" w:rsidP="00387142">
            <w:pPr>
              <w:jc w:val="right"/>
              <w:rPr>
                <w:sz w:val="20"/>
                <w:szCs w:val="20"/>
              </w:rPr>
            </w:pPr>
            <w:r w:rsidRPr="008B6A75">
              <w:rPr>
                <w:sz w:val="20"/>
                <w:szCs w:val="20"/>
              </w:rPr>
              <w:t>35 865 100,00</w:t>
            </w:r>
          </w:p>
        </w:tc>
        <w:tc>
          <w:tcPr>
            <w:tcW w:w="222" w:type="dxa"/>
            <w:vAlign w:val="center"/>
            <w:hideMark/>
          </w:tcPr>
          <w:p w14:paraId="5291017A" w14:textId="77777777" w:rsidR="00387142" w:rsidRPr="008B6A75" w:rsidRDefault="00387142" w:rsidP="00387142">
            <w:pPr>
              <w:rPr>
                <w:sz w:val="20"/>
                <w:szCs w:val="20"/>
              </w:rPr>
            </w:pPr>
          </w:p>
        </w:tc>
      </w:tr>
      <w:tr w:rsidR="00387142" w:rsidRPr="008B6A75" w14:paraId="01BF95CD" w14:textId="77777777" w:rsidTr="00387142">
        <w:trPr>
          <w:trHeight w:val="1155"/>
        </w:trPr>
        <w:tc>
          <w:tcPr>
            <w:tcW w:w="3021" w:type="dxa"/>
            <w:tcBorders>
              <w:top w:val="nil"/>
              <w:left w:val="single" w:sz="4" w:space="0" w:color="auto"/>
              <w:bottom w:val="nil"/>
              <w:right w:val="nil"/>
            </w:tcBorders>
            <w:shd w:val="clear" w:color="auto" w:fill="auto"/>
            <w:vAlign w:val="center"/>
            <w:hideMark/>
          </w:tcPr>
          <w:p w14:paraId="38C24E80" w14:textId="77777777" w:rsidR="00387142" w:rsidRPr="008B6A75" w:rsidRDefault="00387142" w:rsidP="00387142">
            <w:pPr>
              <w:rPr>
                <w:bCs/>
                <w:sz w:val="20"/>
                <w:szCs w:val="20"/>
              </w:rPr>
            </w:pPr>
            <w:r w:rsidRPr="008B6A75">
              <w:rPr>
                <w:bCs/>
                <w:sz w:val="20"/>
                <w:szCs w:val="20"/>
              </w:rPr>
              <w:t>Осуществление строительства жилых помещений с целью оказания государственной поддержки детям-сиротам и детям, оставшихся без попечения родителей</w:t>
            </w:r>
          </w:p>
        </w:tc>
        <w:tc>
          <w:tcPr>
            <w:tcW w:w="850" w:type="dxa"/>
            <w:tcBorders>
              <w:top w:val="nil"/>
              <w:left w:val="single" w:sz="4" w:space="0" w:color="auto"/>
              <w:bottom w:val="nil"/>
              <w:right w:val="nil"/>
            </w:tcBorders>
            <w:shd w:val="clear" w:color="auto" w:fill="auto"/>
            <w:noWrap/>
            <w:vAlign w:val="center"/>
            <w:hideMark/>
          </w:tcPr>
          <w:p w14:paraId="114A66A9" w14:textId="77777777" w:rsidR="00387142" w:rsidRPr="008B6A75" w:rsidRDefault="00387142" w:rsidP="00387142">
            <w:pPr>
              <w:jc w:val="center"/>
              <w:rPr>
                <w:bCs/>
                <w:sz w:val="20"/>
                <w:szCs w:val="20"/>
              </w:rPr>
            </w:pPr>
            <w:r w:rsidRPr="008B6A75">
              <w:rPr>
                <w:bCs/>
                <w:sz w:val="20"/>
                <w:szCs w:val="20"/>
              </w:rPr>
              <w:t>444</w:t>
            </w:r>
          </w:p>
        </w:tc>
        <w:tc>
          <w:tcPr>
            <w:tcW w:w="709" w:type="dxa"/>
            <w:tcBorders>
              <w:top w:val="nil"/>
              <w:left w:val="single" w:sz="4" w:space="0" w:color="auto"/>
              <w:bottom w:val="nil"/>
              <w:right w:val="nil"/>
            </w:tcBorders>
            <w:shd w:val="clear" w:color="auto" w:fill="auto"/>
            <w:noWrap/>
            <w:vAlign w:val="center"/>
            <w:hideMark/>
          </w:tcPr>
          <w:p w14:paraId="6E5112EB" w14:textId="77777777" w:rsidR="00387142" w:rsidRPr="008B6A75" w:rsidRDefault="00387142" w:rsidP="00387142">
            <w:pPr>
              <w:jc w:val="center"/>
              <w:rPr>
                <w:bCs/>
                <w:sz w:val="20"/>
                <w:szCs w:val="20"/>
              </w:rPr>
            </w:pPr>
            <w:r w:rsidRPr="008B6A75">
              <w:rPr>
                <w:bCs/>
                <w:sz w:val="20"/>
                <w:szCs w:val="20"/>
              </w:rPr>
              <w:t>10</w:t>
            </w:r>
          </w:p>
        </w:tc>
        <w:tc>
          <w:tcPr>
            <w:tcW w:w="709" w:type="dxa"/>
            <w:tcBorders>
              <w:top w:val="nil"/>
              <w:left w:val="single" w:sz="4" w:space="0" w:color="auto"/>
              <w:bottom w:val="nil"/>
              <w:right w:val="single" w:sz="4" w:space="0" w:color="auto"/>
            </w:tcBorders>
            <w:shd w:val="clear" w:color="auto" w:fill="auto"/>
            <w:noWrap/>
            <w:vAlign w:val="center"/>
            <w:hideMark/>
          </w:tcPr>
          <w:p w14:paraId="374FC40C" w14:textId="77777777" w:rsidR="00387142" w:rsidRPr="008B6A75" w:rsidRDefault="00387142" w:rsidP="00387142">
            <w:pPr>
              <w:jc w:val="center"/>
              <w:rPr>
                <w:bCs/>
                <w:sz w:val="20"/>
                <w:szCs w:val="20"/>
              </w:rPr>
            </w:pPr>
            <w:r w:rsidRPr="008B6A75">
              <w:rPr>
                <w:bCs/>
                <w:sz w:val="20"/>
                <w:szCs w:val="20"/>
              </w:rPr>
              <w:t>04</w:t>
            </w:r>
          </w:p>
        </w:tc>
        <w:tc>
          <w:tcPr>
            <w:tcW w:w="1411" w:type="dxa"/>
            <w:tcBorders>
              <w:top w:val="nil"/>
              <w:left w:val="single" w:sz="4" w:space="0" w:color="auto"/>
              <w:bottom w:val="nil"/>
              <w:right w:val="nil"/>
            </w:tcBorders>
            <w:shd w:val="clear" w:color="auto" w:fill="auto"/>
            <w:noWrap/>
            <w:vAlign w:val="center"/>
            <w:hideMark/>
          </w:tcPr>
          <w:p w14:paraId="0A20D1CF" w14:textId="77777777" w:rsidR="00387142" w:rsidRPr="008B6A75" w:rsidRDefault="00387142" w:rsidP="00387142">
            <w:pPr>
              <w:jc w:val="center"/>
              <w:rPr>
                <w:bCs/>
                <w:sz w:val="20"/>
                <w:szCs w:val="20"/>
              </w:rPr>
            </w:pPr>
            <w:r w:rsidRPr="008B6A75">
              <w:rPr>
                <w:bCs/>
                <w:sz w:val="20"/>
                <w:szCs w:val="20"/>
              </w:rPr>
              <w:t>99.0.00.70399</w:t>
            </w:r>
          </w:p>
        </w:tc>
        <w:tc>
          <w:tcPr>
            <w:tcW w:w="955" w:type="dxa"/>
            <w:tcBorders>
              <w:top w:val="nil"/>
              <w:left w:val="single" w:sz="4" w:space="0" w:color="auto"/>
              <w:bottom w:val="nil"/>
              <w:right w:val="single" w:sz="4" w:space="0" w:color="auto"/>
            </w:tcBorders>
            <w:shd w:val="clear" w:color="auto" w:fill="auto"/>
            <w:noWrap/>
            <w:vAlign w:val="center"/>
            <w:hideMark/>
          </w:tcPr>
          <w:p w14:paraId="281DB6AF"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nil"/>
              <w:right w:val="single" w:sz="4" w:space="0" w:color="auto"/>
            </w:tcBorders>
            <w:shd w:val="clear" w:color="auto" w:fill="auto"/>
            <w:noWrap/>
            <w:vAlign w:val="center"/>
            <w:hideMark/>
          </w:tcPr>
          <w:p w14:paraId="16F6322A" w14:textId="77777777" w:rsidR="00387142" w:rsidRPr="008B6A75" w:rsidRDefault="00387142" w:rsidP="00387142">
            <w:pPr>
              <w:jc w:val="right"/>
              <w:rPr>
                <w:bCs/>
                <w:sz w:val="20"/>
                <w:szCs w:val="20"/>
              </w:rPr>
            </w:pPr>
            <w:r w:rsidRPr="008B6A75">
              <w:rPr>
                <w:bCs/>
                <w:sz w:val="20"/>
                <w:szCs w:val="20"/>
              </w:rPr>
              <w:t>85 720 700,00</w:t>
            </w:r>
          </w:p>
        </w:tc>
        <w:tc>
          <w:tcPr>
            <w:tcW w:w="992" w:type="dxa"/>
            <w:gridSpan w:val="2"/>
            <w:tcBorders>
              <w:top w:val="nil"/>
              <w:left w:val="single" w:sz="4" w:space="0" w:color="auto"/>
              <w:bottom w:val="nil"/>
              <w:right w:val="nil"/>
            </w:tcBorders>
            <w:shd w:val="clear" w:color="auto" w:fill="auto"/>
            <w:noWrap/>
            <w:vAlign w:val="center"/>
            <w:hideMark/>
          </w:tcPr>
          <w:p w14:paraId="7DEF3FE2" w14:textId="77777777" w:rsidR="00387142" w:rsidRPr="008B6A75" w:rsidRDefault="00387142" w:rsidP="00387142">
            <w:pPr>
              <w:jc w:val="right"/>
              <w:rPr>
                <w:bCs/>
                <w:sz w:val="20"/>
                <w:szCs w:val="20"/>
              </w:rPr>
            </w:pPr>
            <w:r w:rsidRPr="008B6A75">
              <w:rPr>
                <w:bCs/>
                <w:sz w:val="20"/>
                <w:szCs w:val="20"/>
              </w:rPr>
              <w:t>101 903 100,00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5E72BE01" w14:textId="77777777" w:rsidR="00387142" w:rsidRPr="008B6A75" w:rsidRDefault="00387142" w:rsidP="00387142">
            <w:pPr>
              <w:jc w:val="right"/>
              <w:rPr>
                <w:bCs/>
                <w:sz w:val="20"/>
                <w:szCs w:val="20"/>
              </w:rPr>
            </w:pPr>
            <w:r w:rsidRPr="008B6A75">
              <w:rPr>
                <w:bCs/>
                <w:sz w:val="20"/>
                <w:szCs w:val="20"/>
              </w:rPr>
              <w:t>65 104 700,00</w:t>
            </w:r>
          </w:p>
        </w:tc>
        <w:tc>
          <w:tcPr>
            <w:tcW w:w="222" w:type="dxa"/>
            <w:vAlign w:val="center"/>
            <w:hideMark/>
          </w:tcPr>
          <w:p w14:paraId="72F024C5" w14:textId="77777777" w:rsidR="00387142" w:rsidRPr="008B6A75" w:rsidRDefault="00387142" w:rsidP="00387142">
            <w:pPr>
              <w:rPr>
                <w:sz w:val="20"/>
                <w:szCs w:val="20"/>
              </w:rPr>
            </w:pPr>
          </w:p>
        </w:tc>
      </w:tr>
      <w:tr w:rsidR="00387142" w:rsidRPr="008B6A75" w14:paraId="2228F5FF" w14:textId="77777777" w:rsidTr="00387142">
        <w:trPr>
          <w:trHeight w:val="870"/>
        </w:trPr>
        <w:tc>
          <w:tcPr>
            <w:tcW w:w="3021" w:type="dxa"/>
            <w:tcBorders>
              <w:top w:val="single" w:sz="4" w:space="0" w:color="auto"/>
              <w:left w:val="single" w:sz="4" w:space="0" w:color="auto"/>
              <w:bottom w:val="nil"/>
              <w:right w:val="nil"/>
            </w:tcBorders>
            <w:shd w:val="clear" w:color="auto" w:fill="auto"/>
            <w:vAlign w:val="center"/>
            <w:hideMark/>
          </w:tcPr>
          <w:p w14:paraId="2DE2933E" w14:textId="77777777" w:rsidR="00387142" w:rsidRPr="008B6A75" w:rsidRDefault="00387142" w:rsidP="00387142">
            <w:pPr>
              <w:rPr>
                <w:sz w:val="20"/>
                <w:szCs w:val="20"/>
              </w:rPr>
            </w:pPr>
            <w:r w:rsidRPr="008B6A75">
              <w:rPr>
                <w:sz w:val="20"/>
                <w:szCs w:val="20"/>
              </w:rPr>
              <w:t>Капитальные вложения в объекты государственной (муниципальной) собственности</w:t>
            </w:r>
          </w:p>
        </w:tc>
        <w:tc>
          <w:tcPr>
            <w:tcW w:w="850" w:type="dxa"/>
            <w:tcBorders>
              <w:top w:val="single" w:sz="4" w:space="0" w:color="auto"/>
              <w:left w:val="single" w:sz="4" w:space="0" w:color="auto"/>
              <w:bottom w:val="nil"/>
              <w:right w:val="nil"/>
            </w:tcBorders>
            <w:shd w:val="clear" w:color="auto" w:fill="auto"/>
            <w:noWrap/>
            <w:vAlign w:val="center"/>
            <w:hideMark/>
          </w:tcPr>
          <w:p w14:paraId="68378D16" w14:textId="77777777" w:rsidR="00387142" w:rsidRPr="008B6A75" w:rsidRDefault="00387142" w:rsidP="00387142">
            <w:pPr>
              <w:jc w:val="center"/>
              <w:rPr>
                <w:sz w:val="20"/>
                <w:szCs w:val="20"/>
              </w:rPr>
            </w:pPr>
            <w:r w:rsidRPr="008B6A75">
              <w:rPr>
                <w:sz w:val="20"/>
                <w:szCs w:val="20"/>
              </w:rPr>
              <w:t>444</w:t>
            </w:r>
          </w:p>
        </w:tc>
        <w:tc>
          <w:tcPr>
            <w:tcW w:w="709" w:type="dxa"/>
            <w:tcBorders>
              <w:top w:val="single" w:sz="4" w:space="0" w:color="auto"/>
              <w:left w:val="single" w:sz="4" w:space="0" w:color="auto"/>
              <w:bottom w:val="nil"/>
              <w:right w:val="nil"/>
            </w:tcBorders>
            <w:shd w:val="clear" w:color="auto" w:fill="auto"/>
            <w:noWrap/>
            <w:vAlign w:val="center"/>
            <w:hideMark/>
          </w:tcPr>
          <w:p w14:paraId="362C747D" w14:textId="77777777" w:rsidR="00387142" w:rsidRPr="008B6A75" w:rsidRDefault="00387142" w:rsidP="00387142">
            <w:pPr>
              <w:jc w:val="center"/>
              <w:rPr>
                <w:sz w:val="20"/>
                <w:szCs w:val="20"/>
              </w:rPr>
            </w:pPr>
            <w:r w:rsidRPr="008B6A75">
              <w:rPr>
                <w:sz w:val="20"/>
                <w:szCs w:val="20"/>
              </w:rPr>
              <w:t>10</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627D9DAC" w14:textId="77777777" w:rsidR="00387142" w:rsidRPr="008B6A75" w:rsidRDefault="00387142" w:rsidP="00387142">
            <w:pPr>
              <w:jc w:val="center"/>
              <w:rPr>
                <w:sz w:val="20"/>
                <w:szCs w:val="20"/>
              </w:rPr>
            </w:pPr>
            <w:r w:rsidRPr="008B6A75">
              <w:rPr>
                <w:sz w:val="20"/>
                <w:szCs w:val="20"/>
              </w:rPr>
              <w:t>04</w:t>
            </w:r>
          </w:p>
        </w:tc>
        <w:tc>
          <w:tcPr>
            <w:tcW w:w="1411" w:type="dxa"/>
            <w:tcBorders>
              <w:top w:val="single" w:sz="4" w:space="0" w:color="auto"/>
              <w:left w:val="single" w:sz="4" w:space="0" w:color="auto"/>
              <w:bottom w:val="nil"/>
              <w:right w:val="nil"/>
            </w:tcBorders>
            <w:shd w:val="clear" w:color="auto" w:fill="auto"/>
            <w:noWrap/>
            <w:vAlign w:val="center"/>
            <w:hideMark/>
          </w:tcPr>
          <w:p w14:paraId="0816CD84" w14:textId="77777777" w:rsidR="00387142" w:rsidRPr="008B6A75" w:rsidRDefault="00387142" w:rsidP="00387142">
            <w:pPr>
              <w:jc w:val="center"/>
              <w:rPr>
                <w:sz w:val="20"/>
                <w:szCs w:val="20"/>
              </w:rPr>
            </w:pPr>
            <w:r w:rsidRPr="008B6A75">
              <w:rPr>
                <w:sz w:val="20"/>
                <w:szCs w:val="20"/>
              </w:rPr>
              <w:t>99.0.00.70399</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6DD7085B" w14:textId="77777777" w:rsidR="00387142" w:rsidRPr="008B6A75" w:rsidRDefault="00387142" w:rsidP="00387142">
            <w:pPr>
              <w:jc w:val="center"/>
              <w:rPr>
                <w:sz w:val="20"/>
                <w:szCs w:val="20"/>
              </w:rPr>
            </w:pPr>
            <w:r w:rsidRPr="008B6A75">
              <w:rPr>
                <w:sz w:val="20"/>
                <w:szCs w:val="20"/>
              </w:rPr>
              <w:t>400</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6D688F3B" w14:textId="77777777" w:rsidR="00387142" w:rsidRPr="008B6A75" w:rsidRDefault="00387142" w:rsidP="00387142">
            <w:pPr>
              <w:jc w:val="right"/>
              <w:rPr>
                <w:sz w:val="20"/>
                <w:szCs w:val="20"/>
              </w:rPr>
            </w:pPr>
            <w:r w:rsidRPr="008B6A75">
              <w:rPr>
                <w:sz w:val="20"/>
                <w:szCs w:val="20"/>
              </w:rPr>
              <w:t>85 720 700,00</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5F4BB428" w14:textId="77777777" w:rsidR="00387142" w:rsidRPr="008B6A75" w:rsidRDefault="00387142" w:rsidP="00387142">
            <w:pPr>
              <w:jc w:val="right"/>
              <w:rPr>
                <w:sz w:val="20"/>
                <w:szCs w:val="20"/>
              </w:rPr>
            </w:pPr>
            <w:r w:rsidRPr="008B6A75">
              <w:rPr>
                <w:sz w:val="20"/>
                <w:szCs w:val="20"/>
              </w:rPr>
              <w:t>101 903 100,00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764B47C2" w14:textId="77777777" w:rsidR="00387142" w:rsidRPr="008B6A75" w:rsidRDefault="00387142" w:rsidP="00387142">
            <w:pPr>
              <w:jc w:val="right"/>
              <w:rPr>
                <w:sz w:val="20"/>
                <w:szCs w:val="20"/>
              </w:rPr>
            </w:pPr>
            <w:r w:rsidRPr="008B6A75">
              <w:rPr>
                <w:sz w:val="20"/>
                <w:szCs w:val="20"/>
              </w:rPr>
              <w:t>65 104 700,00</w:t>
            </w:r>
          </w:p>
        </w:tc>
        <w:tc>
          <w:tcPr>
            <w:tcW w:w="222" w:type="dxa"/>
            <w:vAlign w:val="center"/>
            <w:hideMark/>
          </w:tcPr>
          <w:p w14:paraId="410CC687" w14:textId="77777777" w:rsidR="00387142" w:rsidRPr="008B6A75" w:rsidRDefault="00387142" w:rsidP="00387142">
            <w:pPr>
              <w:rPr>
                <w:sz w:val="20"/>
                <w:szCs w:val="20"/>
              </w:rPr>
            </w:pPr>
          </w:p>
        </w:tc>
      </w:tr>
      <w:tr w:rsidR="00387142" w:rsidRPr="008B6A75" w14:paraId="12B74173" w14:textId="77777777" w:rsidTr="00387142">
        <w:trPr>
          <w:trHeight w:val="300"/>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18720005" w14:textId="77777777" w:rsidR="00387142" w:rsidRPr="008B6A75" w:rsidRDefault="00387142" w:rsidP="00387142">
            <w:pPr>
              <w:rPr>
                <w:sz w:val="20"/>
                <w:szCs w:val="20"/>
              </w:rPr>
            </w:pPr>
            <w:r w:rsidRPr="008B6A75">
              <w:rPr>
                <w:sz w:val="20"/>
                <w:szCs w:val="20"/>
              </w:rPr>
              <w:t>Бюджетные инвестиции</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6877851F" w14:textId="77777777" w:rsidR="00387142" w:rsidRPr="008B6A75" w:rsidRDefault="00387142" w:rsidP="00387142">
            <w:pPr>
              <w:jc w:val="center"/>
              <w:rPr>
                <w:sz w:val="20"/>
                <w:szCs w:val="20"/>
              </w:rPr>
            </w:pPr>
            <w:r w:rsidRPr="008B6A75">
              <w:rPr>
                <w:sz w:val="20"/>
                <w:szCs w:val="20"/>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4C3AF723" w14:textId="77777777" w:rsidR="00387142" w:rsidRPr="008B6A75" w:rsidRDefault="00387142" w:rsidP="00387142">
            <w:pPr>
              <w:jc w:val="center"/>
              <w:rPr>
                <w:sz w:val="20"/>
                <w:szCs w:val="20"/>
              </w:rPr>
            </w:pPr>
            <w:r w:rsidRPr="008B6A75">
              <w:rPr>
                <w:sz w:val="20"/>
                <w:szCs w:val="20"/>
              </w:rPr>
              <w:t>10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27E3BE" w14:textId="77777777" w:rsidR="00387142" w:rsidRPr="008B6A75" w:rsidRDefault="00387142" w:rsidP="00387142">
            <w:pPr>
              <w:jc w:val="center"/>
              <w:rPr>
                <w:sz w:val="20"/>
                <w:szCs w:val="20"/>
              </w:rPr>
            </w:pPr>
            <w:r w:rsidRPr="008B6A75">
              <w:rPr>
                <w:sz w:val="20"/>
                <w:szCs w:val="20"/>
              </w:rPr>
              <w:t>04</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4E58A453" w14:textId="77777777" w:rsidR="00387142" w:rsidRPr="008B6A75" w:rsidRDefault="00387142" w:rsidP="00387142">
            <w:pPr>
              <w:jc w:val="center"/>
              <w:rPr>
                <w:sz w:val="20"/>
                <w:szCs w:val="20"/>
              </w:rPr>
            </w:pPr>
            <w:r w:rsidRPr="008B6A75">
              <w:rPr>
                <w:sz w:val="20"/>
                <w:szCs w:val="20"/>
              </w:rPr>
              <w:t>99.0.00.70399</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A4D5C0" w14:textId="77777777" w:rsidR="00387142" w:rsidRPr="008B6A75" w:rsidRDefault="00387142" w:rsidP="00387142">
            <w:pPr>
              <w:jc w:val="center"/>
              <w:rPr>
                <w:sz w:val="20"/>
                <w:szCs w:val="20"/>
              </w:rPr>
            </w:pPr>
            <w:r w:rsidRPr="008B6A75">
              <w:rPr>
                <w:sz w:val="20"/>
                <w:szCs w:val="20"/>
              </w:rPr>
              <w:t>410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A8F92D" w14:textId="77777777" w:rsidR="00387142" w:rsidRPr="008B6A75" w:rsidRDefault="00387142" w:rsidP="00387142">
            <w:pPr>
              <w:jc w:val="right"/>
              <w:rPr>
                <w:sz w:val="20"/>
                <w:szCs w:val="20"/>
              </w:rPr>
            </w:pPr>
            <w:r w:rsidRPr="008B6A75">
              <w:rPr>
                <w:sz w:val="20"/>
                <w:szCs w:val="20"/>
              </w:rPr>
              <w:t>85 720 700,00</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046BDF56" w14:textId="77777777" w:rsidR="00387142" w:rsidRPr="008B6A75" w:rsidRDefault="00387142" w:rsidP="00387142">
            <w:pPr>
              <w:jc w:val="right"/>
              <w:rPr>
                <w:sz w:val="20"/>
                <w:szCs w:val="20"/>
              </w:rPr>
            </w:pPr>
            <w:r w:rsidRPr="008B6A75">
              <w:rPr>
                <w:sz w:val="20"/>
                <w:szCs w:val="20"/>
              </w:rPr>
              <w:t>101 903 100,00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638B42" w14:textId="77777777" w:rsidR="00387142" w:rsidRPr="008B6A75" w:rsidRDefault="00387142" w:rsidP="00387142">
            <w:pPr>
              <w:jc w:val="right"/>
              <w:rPr>
                <w:sz w:val="20"/>
                <w:szCs w:val="20"/>
              </w:rPr>
            </w:pPr>
            <w:r w:rsidRPr="008B6A75">
              <w:rPr>
                <w:sz w:val="20"/>
                <w:szCs w:val="20"/>
              </w:rPr>
              <w:t>65 104 700,00</w:t>
            </w:r>
          </w:p>
        </w:tc>
        <w:tc>
          <w:tcPr>
            <w:tcW w:w="222" w:type="dxa"/>
            <w:vAlign w:val="center"/>
            <w:hideMark/>
          </w:tcPr>
          <w:p w14:paraId="3AE2327A" w14:textId="77777777" w:rsidR="00387142" w:rsidRPr="008B6A75" w:rsidRDefault="00387142" w:rsidP="00387142">
            <w:pPr>
              <w:rPr>
                <w:sz w:val="20"/>
                <w:szCs w:val="20"/>
              </w:rPr>
            </w:pPr>
          </w:p>
        </w:tc>
      </w:tr>
      <w:tr w:rsidR="00387142" w:rsidRPr="008B6A75" w14:paraId="449B23E8" w14:textId="77777777" w:rsidTr="00387142">
        <w:trPr>
          <w:trHeight w:val="585"/>
        </w:trPr>
        <w:tc>
          <w:tcPr>
            <w:tcW w:w="3021" w:type="dxa"/>
            <w:tcBorders>
              <w:top w:val="nil"/>
              <w:left w:val="single" w:sz="4" w:space="0" w:color="auto"/>
              <w:bottom w:val="nil"/>
              <w:right w:val="nil"/>
            </w:tcBorders>
            <w:shd w:val="clear" w:color="auto" w:fill="auto"/>
            <w:vAlign w:val="center"/>
            <w:hideMark/>
          </w:tcPr>
          <w:p w14:paraId="1B568510" w14:textId="77777777" w:rsidR="00387142" w:rsidRPr="008B6A75" w:rsidRDefault="00387142" w:rsidP="00387142">
            <w:pPr>
              <w:rPr>
                <w:bCs/>
                <w:sz w:val="20"/>
                <w:szCs w:val="20"/>
              </w:rPr>
            </w:pPr>
            <w:r w:rsidRPr="008B6A75">
              <w:rPr>
                <w:bCs/>
                <w:sz w:val="20"/>
                <w:szCs w:val="20"/>
              </w:rPr>
              <w:t>Другие вопросы в области социальной политики</w:t>
            </w:r>
          </w:p>
        </w:tc>
        <w:tc>
          <w:tcPr>
            <w:tcW w:w="850" w:type="dxa"/>
            <w:tcBorders>
              <w:top w:val="nil"/>
              <w:left w:val="single" w:sz="4" w:space="0" w:color="auto"/>
              <w:bottom w:val="nil"/>
              <w:right w:val="nil"/>
            </w:tcBorders>
            <w:shd w:val="clear" w:color="auto" w:fill="auto"/>
            <w:noWrap/>
            <w:vAlign w:val="center"/>
            <w:hideMark/>
          </w:tcPr>
          <w:p w14:paraId="613B77B3" w14:textId="77777777" w:rsidR="00387142" w:rsidRPr="008B6A75" w:rsidRDefault="00387142" w:rsidP="00387142">
            <w:pPr>
              <w:jc w:val="center"/>
              <w:rPr>
                <w:bCs/>
                <w:sz w:val="20"/>
                <w:szCs w:val="20"/>
              </w:rPr>
            </w:pPr>
            <w:r w:rsidRPr="008B6A75">
              <w:rPr>
                <w:bCs/>
                <w:sz w:val="20"/>
                <w:szCs w:val="20"/>
              </w:rPr>
              <w:t>444</w:t>
            </w:r>
          </w:p>
        </w:tc>
        <w:tc>
          <w:tcPr>
            <w:tcW w:w="709" w:type="dxa"/>
            <w:tcBorders>
              <w:top w:val="nil"/>
              <w:left w:val="single" w:sz="4" w:space="0" w:color="auto"/>
              <w:bottom w:val="nil"/>
              <w:right w:val="nil"/>
            </w:tcBorders>
            <w:shd w:val="clear" w:color="auto" w:fill="auto"/>
            <w:noWrap/>
            <w:vAlign w:val="center"/>
            <w:hideMark/>
          </w:tcPr>
          <w:p w14:paraId="416BF368" w14:textId="77777777" w:rsidR="00387142" w:rsidRPr="008B6A75" w:rsidRDefault="00387142" w:rsidP="00387142">
            <w:pPr>
              <w:jc w:val="center"/>
              <w:rPr>
                <w:bCs/>
                <w:sz w:val="20"/>
                <w:szCs w:val="20"/>
              </w:rPr>
            </w:pPr>
            <w:r w:rsidRPr="008B6A75">
              <w:rPr>
                <w:bCs/>
                <w:sz w:val="20"/>
                <w:szCs w:val="20"/>
              </w:rPr>
              <w:t>10</w:t>
            </w:r>
          </w:p>
        </w:tc>
        <w:tc>
          <w:tcPr>
            <w:tcW w:w="709" w:type="dxa"/>
            <w:tcBorders>
              <w:top w:val="nil"/>
              <w:left w:val="single" w:sz="4" w:space="0" w:color="auto"/>
              <w:bottom w:val="nil"/>
              <w:right w:val="single" w:sz="4" w:space="0" w:color="auto"/>
            </w:tcBorders>
            <w:shd w:val="clear" w:color="auto" w:fill="auto"/>
            <w:noWrap/>
            <w:vAlign w:val="center"/>
            <w:hideMark/>
          </w:tcPr>
          <w:p w14:paraId="6565AD67" w14:textId="77777777" w:rsidR="00387142" w:rsidRPr="008B6A75" w:rsidRDefault="00387142" w:rsidP="00387142">
            <w:pPr>
              <w:jc w:val="center"/>
              <w:rPr>
                <w:bCs/>
                <w:sz w:val="20"/>
                <w:szCs w:val="20"/>
              </w:rPr>
            </w:pPr>
            <w:r w:rsidRPr="008B6A75">
              <w:rPr>
                <w:bCs/>
                <w:sz w:val="20"/>
                <w:szCs w:val="20"/>
              </w:rPr>
              <w:t>06</w:t>
            </w:r>
          </w:p>
        </w:tc>
        <w:tc>
          <w:tcPr>
            <w:tcW w:w="1411" w:type="dxa"/>
            <w:tcBorders>
              <w:top w:val="nil"/>
              <w:left w:val="single" w:sz="4" w:space="0" w:color="auto"/>
              <w:bottom w:val="nil"/>
              <w:right w:val="nil"/>
            </w:tcBorders>
            <w:shd w:val="clear" w:color="auto" w:fill="auto"/>
            <w:noWrap/>
            <w:vAlign w:val="center"/>
            <w:hideMark/>
          </w:tcPr>
          <w:p w14:paraId="08BA3358" w14:textId="77777777" w:rsidR="00387142" w:rsidRPr="008B6A75" w:rsidRDefault="00387142" w:rsidP="00387142">
            <w:pPr>
              <w:jc w:val="center"/>
              <w:rPr>
                <w:bCs/>
                <w:sz w:val="20"/>
                <w:szCs w:val="20"/>
              </w:rPr>
            </w:pPr>
            <w:r w:rsidRPr="008B6A75">
              <w:rPr>
                <w:bCs/>
                <w:sz w:val="20"/>
                <w:szCs w:val="20"/>
              </w:rPr>
              <w:t> </w:t>
            </w:r>
          </w:p>
        </w:tc>
        <w:tc>
          <w:tcPr>
            <w:tcW w:w="955" w:type="dxa"/>
            <w:tcBorders>
              <w:top w:val="nil"/>
              <w:left w:val="single" w:sz="4" w:space="0" w:color="auto"/>
              <w:bottom w:val="nil"/>
              <w:right w:val="single" w:sz="4" w:space="0" w:color="auto"/>
            </w:tcBorders>
            <w:shd w:val="clear" w:color="auto" w:fill="auto"/>
            <w:noWrap/>
            <w:vAlign w:val="center"/>
            <w:hideMark/>
          </w:tcPr>
          <w:p w14:paraId="6A507229"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nil"/>
              <w:right w:val="single" w:sz="4" w:space="0" w:color="auto"/>
            </w:tcBorders>
            <w:shd w:val="clear" w:color="auto" w:fill="auto"/>
            <w:noWrap/>
            <w:vAlign w:val="center"/>
            <w:hideMark/>
          </w:tcPr>
          <w:p w14:paraId="2B387BC4" w14:textId="77777777" w:rsidR="00387142" w:rsidRPr="008B6A75" w:rsidRDefault="00387142" w:rsidP="00387142">
            <w:pPr>
              <w:jc w:val="right"/>
              <w:rPr>
                <w:bCs/>
                <w:sz w:val="20"/>
                <w:szCs w:val="20"/>
              </w:rPr>
            </w:pPr>
            <w:r w:rsidRPr="008B6A75">
              <w:rPr>
                <w:bCs/>
                <w:sz w:val="20"/>
                <w:szCs w:val="20"/>
              </w:rPr>
              <w:t>3 203 150,00</w:t>
            </w:r>
          </w:p>
        </w:tc>
        <w:tc>
          <w:tcPr>
            <w:tcW w:w="992" w:type="dxa"/>
            <w:gridSpan w:val="2"/>
            <w:tcBorders>
              <w:top w:val="nil"/>
              <w:left w:val="single" w:sz="4" w:space="0" w:color="auto"/>
              <w:bottom w:val="nil"/>
              <w:right w:val="nil"/>
            </w:tcBorders>
            <w:shd w:val="clear" w:color="auto" w:fill="auto"/>
            <w:noWrap/>
            <w:vAlign w:val="center"/>
            <w:hideMark/>
          </w:tcPr>
          <w:p w14:paraId="30F0E51F" w14:textId="77777777" w:rsidR="00387142" w:rsidRPr="008B6A75" w:rsidRDefault="00387142" w:rsidP="00387142">
            <w:pPr>
              <w:jc w:val="right"/>
              <w:rPr>
                <w:bCs/>
                <w:sz w:val="20"/>
                <w:szCs w:val="20"/>
              </w:rPr>
            </w:pPr>
            <w:r w:rsidRPr="008B6A75">
              <w:rPr>
                <w:bCs/>
                <w:sz w:val="20"/>
                <w:szCs w:val="20"/>
              </w:rPr>
              <w:t>1 355 962,00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2492A4B7" w14:textId="77777777" w:rsidR="00387142" w:rsidRPr="008B6A75" w:rsidRDefault="00387142" w:rsidP="00387142">
            <w:pPr>
              <w:jc w:val="right"/>
              <w:rPr>
                <w:bCs/>
                <w:sz w:val="20"/>
                <w:szCs w:val="20"/>
              </w:rPr>
            </w:pPr>
            <w:r w:rsidRPr="008B6A75">
              <w:rPr>
                <w:bCs/>
                <w:sz w:val="20"/>
                <w:szCs w:val="20"/>
              </w:rPr>
              <w:t>275 862,00</w:t>
            </w:r>
          </w:p>
        </w:tc>
        <w:tc>
          <w:tcPr>
            <w:tcW w:w="222" w:type="dxa"/>
            <w:vAlign w:val="center"/>
            <w:hideMark/>
          </w:tcPr>
          <w:p w14:paraId="28C5BAC7" w14:textId="77777777" w:rsidR="00387142" w:rsidRPr="008B6A75" w:rsidRDefault="00387142" w:rsidP="00387142">
            <w:pPr>
              <w:rPr>
                <w:sz w:val="20"/>
                <w:szCs w:val="20"/>
              </w:rPr>
            </w:pPr>
          </w:p>
        </w:tc>
      </w:tr>
      <w:tr w:rsidR="00387142" w:rsidRPr="008B6A75" w14:paraId="045C873A" w14:textId="77777777" w:rsidTr="00387142">
        <w:trPr>
          <w:trHeight w:val="585"/>
        </w:trPr>
        <w:tc>
          <w:tcPr>
            <w:tcW w:w="3021" w:type="dxa"/>
            <w:tcBorders>
              <w:top w:val="single" w:sz="4" w:space="0" w:color="auto"/>
              <w:left w:val="single" w:sz="4" w:space="0" w:color="auto"/>
              <w:bottom w:val="nil"/>
              <w:right w:val="nil"/>
            </w:tcBorders>
            <w:shd w:val="clear" w:color="auto" w:fill="auto"/>
            <w:vAlign w:val="center"/>
            <w:hideMark/>
          </w:tcPr>
          <w:p w14:paraId="0EBD5D4A" w14:textId="77777777" w:rsidR="00387142" w:rsidRPr="008B6A75" w:rsidRDefault="00387142" w:rsidP="00387142">
            <w:pPr>
              <w:rPr>
                <w:bCs/>
                <w:sz w:val="20"/>
                <w:szCs w:val="20"/>
              </w:rPr>
            </w:pPr>
            <w:r w:rsidRPr="008B6A75">
              <w:rPr>
                <w:bCs/>
                <w:sz w:val="20"/>
                <w:szCs w:val="20"/>
              </w:rPr>
              <w:t>Муниципальная программа "Развитие системы образования Куйбышевского района"</w:t>
            </w:r>
          </w:p>
        </w:tc>
        <w:tc>
          <w:tcPr>
            <w:tcW w:w="850" w:type="dxa"/>
            <w:tcBorders>
              <w:top w:val="single" w:sz="4" w:space="0" w:color="auto"/>
              <w:left w:val="single" w:sz="4" w:space="0" w:color="auto"/>
              <w:bottom w:val="nil"/>
              <w:right w:val="nil"/>
            </w:tcBorders>
            <w:shd w:val="clear" w:color="auto" w:fill="auto"/>
            <w:noWrap/>
            <w:vAlign w:val="center"/>
            <w:hideMark/>
          </w:tcPr>
          <w:p w14:paraId="11B0A9D7" w14:textId="77777777" w:rsidR="00387142" w:rsidRPr="008B6A75" w:rsidRDefault="00387142" w:rsidP="00387142">
            <w:pPr>
              <w:jc w:val="center"/>
              <w:rPr>
                <w:bCs/>
                <w:sz w:val="20"/>
                <w:szCs w:val="20"/>
              </w:rPr>
            </w:pPr>
            <w:r w:rsidRPr="008B6A75">
              <w:rPr>
                <w:bCs/>
                <w:sz w:val="20"/>
                <w:szCs w:val="20"/>
              </w:rPr>
              <w:t>444</w:t>
            </w:r>
          </w:p>
        </w:tc>
        <w:tc>
          <w:tcPr>
            <w:tcW w:w="709" w:type="dxa"/>
            <w:tcBorders>
              <w:top w:val="single" w:sz="4" w:space="0" w:color="auto"/>
              <w:left w:val="single" w:sz="4" w:space="0" w:color="auto"/>
              <w:bottom w:val="nil"/>
              <w:right w:val="nil"/>
            </w:tcBorders>
            <w:shd w:val="clear" w:color="auto" w:fill="auto"/>
            <w:noWrap/>
            <w:vAlign w:val="center"/>
            <w:hideMark/>
          </w:tcPr>
          <w:p w14:paraId="41705B4C" w14:textId="77777777" w:rsidR="00387142" w:rsidRPr="008B6A75" w:rsidRDefault="00387142" w:rsidP="00387142">
            <w:pPr>
              <w:jc w:val="center"/>
              <w:rPr>
                <w:bCs/>
                <w:sz w:val="20"/>
                <w:szCs w:val="20"/>
              </w:rPr>
            </w:pPr>
            <w:r w:rsidRPr="008B6A75">
              <w:rPr>
                <w:bCs/>
                <w:sz w:val="20"/>
                <w:szCs w:val="20"/>
              </w:rPr>
              <w:t>10</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0E6B434F" w14:textId="77777777" w:rsidR="00387142" w:rsidRPr="008B6A75" w:rsidRDefault="00387142" w:rsidP="00387142">
            <w:pPr>
              <w:jc w:val="center"/>
              <w:rPr>
                <w:bCs/>
                <w:sz w:val="20"/>
                <w:szCs w:val="20"/>
              </w:rPr>
            </w:pPr>
            <w:r w:rsidRPr="008B6A75">
              <w:rPr>
                <w:bCs/>
                <w:sz w:val="20"/>
                <w:szCs w:val="20"/>
              </w:rPr>
              <w:t>06</w:t>
            </w:r>
          </w:p>
        </w:tc>
        <w:tc>
          <w:tcPr>
            <w:tcW w:w="1411" w:type="dxa"/>
            <w:tcBorders>
              <w:top w:val="single" w:sz="4" w:space="0" w:color="auto"/>
              <w:left w:val="single" w:sz="4" w:space="0" w:color="auto"/>
              <w:bottom w:val="nil"/>
              <w:right w:val="nil"/>
            </w:tcBorders>
            <w:shd w:val="clear" w:color="auto" w:fill="auto"/>
            <w:noWrap/>
            <w:vAlign w:val="center"/>
            <w:hideMark/>
          </w:tcPr>
          <w:p w14:paraId="4401F93A" w14:textId="77777777" w:rsidR="00387142" w:rsidRPr="008B6A75" w:rsidRDefault="00387142" w:rsidP="00387142">
            <w:pPr>
              <w:jc w:val="center"/>
              <w:rPr>
                <w:bCs/>
                <w:sz w:val="20"/>
                <w:szCs w:val="20"/>
              </w:rPr>
            </w:pPr>
            <w:r w:rsidRPr="008B6A75">
              <w:rPr>
                <w:bCs/>
                <w:sz w:val="20"/>
                <w:szCs w:val="20"/>
              </w:rPr>
              <w:t>07.0.00.00000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1AC30382" w14:textId="77777777" w:rsidR="00387142" w:rsidRPr="008B6A75" w:rsidRDefault="00387142" w:rsidP="00387142">
            <w:pPr>
              <w:jc w:val="center"/>
              <w:rPr>
                <w:bCs/>
                <w:sz w:val="20"/>
                <w:szCs w:val="20"/>
              </w:rPr>
            </w:pPr>
            <w:r w:rsidRPr="008B6A75">
              <w:rPr>
                <w:bCs/>
                <w:sz w:val="20"/>
                <w:szCs w:val="20"/>
              </w:rPr>
              <w:t> </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466A591C" w14:textId="77777777" w:rsidR="00387142" w:rsidRPr="008B6A75" w:rsidRDefault="00387142" w:rsidP="00387142">
            <w:pPr>
              <w:jc w:val="right"/>
              <w:rPr>
                <w:bCs/>
                <w:sz w:val="20"/>
                <w:szCs w:val="20"/>
              </w:rPr>
            </w:pPr>
            <w:r w:rsidRPr="008B6A75">
              <w:rPr>
                <w:bCs/>
                <w:sz w:val="20"/>
                <w:szCs w:val="20"/>
              </w:rPr>
              <w:t>1 839 198,00</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78E95A90" w14:textId="77777777" w:rsidR="00387142" w:rsidRPr="008B6A75" w:rsidRDefault="00387142" w:rsidP="00387142">
            <w:pPr>
              <w:jc w:val="right"/>
              <w:rPr>
                <w:bCs/>
                <w:sz w:val="20"/>
                <w:szCs w:val="20"/>
              </w:rPr>
            </w:pPr>
            <w:r w:rsidRPr="008B6A75">
              <w:rPr>
                <w:bCs/>
                <w:sz w:val="20"/>
                <w:szCs w:val="20"/>
              </w:rPr>
              <w:t>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2B444CE3" w14:textId="77777777" w:rsidR="00387142" w:rsidRPr="008B6A75" w:rsidRDefault="00387142" w:rsidP="00387142">
            <w:pPr>
              <w:jc w:val="right"/>
              <w:rPr>
                <w:bCs/>
                <w:sz w:val="20"/>
                <w:szCs w:val="20"/>
              </w:rPr>
            </w:pPr>
            <w:r w:rsidRPr="008B6A75">
              <w:rPr>
                <w:bCs/>
                <w:sz w:val="20"/>
                <w:szCs w:val="20"/>
              </w:rPr>
              <w:t>0,00</w:t>
            </w:r>
          </w:p>
        </w:tc>
        <w:tc>
          <w:tcPr>
            <w:tcW w:w="222" w:type="dxa"/>
            <w:vAlign w:val="center"/>
            <w:hideMark/>
          </w:tcPr>
          <w:p w14:paraId="76465CA1" w14:textId="77777777" w:rsidR="00387142" w:rsidRPr="008B6A75" w:rsidRDefault="00387142" w:rsidP="00387142">
            <w:pPr>
              <w:rPr>
                <w:sz w:val="20"/>
                <w:szCs w:val="20"/>
              </w:rPr>
            </w:pPr>
          </w:p>
        </w:tc>
      </w:tr>
      <w:tr w:rsidR="00387142" w:rsidRPr="008B6A75" w14:paraId="16D19996" w14:textId="77777777" w:rsidTr="00387142">
        <w:trPr>
          <w:trHeight w:val="585"/>
        </w:trPr>
        <w:tc>
          <w:tcPr>
            <w:tcW w:w="3021" w:type="dxa"/>
            <w:tcBorders>
              <w:top w:val="single" w:sz="4" w:space="0" w:color="auto"/>
              <w:left w:val="single" w:sz="4" w:space="0" w:color="auto"/>
              <w:bottom w:val="nil"/>
              <w:right w:val="nil"/>
            </w:tcBorders>
            <w:shd w:val="clear" w:color="auto" w:fill="auto"/>
            <w:vAlign w:val="center"/>
            <w:hideMark/>
          </w:tcPr>
          <w:p w14:paraId="6CBC5D90" w14:textId="77777777" w:rsidR="00387142" w:rsidRPr="008B6A75" w:rsidRDefault="00387142" w:rsidP="00387142">
            <w:pPr>
              <w:rPr>
                <w:bCs/>
                <w:sz w:val="20"/>
                <w:szCs w:val="20"/>
              </w:rPr>
            </w:pPr>
            <w:r w:rsidRPr="008B6A75">
              <w:rPr>
                <w:bCs/>
                <w:sz w:val="20"/>
                <w:szCs w:val="20"/>
              </w:rPr>
              <w:t>Подпрограмма "Организация отдыха и оздоровления детей и подростков"</w:t>
            </w:r>
          </w:p>
        </w:tc>
        <w:tc>
          <w:tcPr>
            <w:tcW w:w="850" w:type="dxa"/>
            <w:tcBorders>
              <w:top w:val="single" w:sz="4" w:space="0" w:color="auto"/>
              <w:left w:val="single" w:sz="4" w:space="0" w:color="auto"/>
              <w:bottom w:val="nil"/>
              <w:right w:val="nil"/>
            </w:tcBorders>
            <w:shd w:val="clear" w:color="auto" w:fill="auto"/>
            <w:noWrap/>
            <w:vAlign w:val="center"/>
            <w:hideMark/>
          </w:tcPr>
          <w:p w14:paraId="115E3E93" w14:textId="77777777" w:rsidR="00387142" w:rsidRPr="008B6A75" w:rsidRDefault="00387142" w:rsidP="00387142">
            <w:pPr>
              <w:jc w:val="center"/>
              <w:rPr>
                <w:bCs/>
                <w:sz w:val="20"/>
                <w:szCs w:val="20"/>
              </w:rPr>
            </w:pPr>
            <w:r w:rsidRPr="008B6A75">
              <w:rPr>
                <w:bCs/>
                <w:sz w:val="20"/>
                <w:szCs w:val="20"/>
              </w:rPr>
              <w:t>444</w:t>
            </w:r>
          </w:p>
        </w:tc>
        <w:tc>
          <w:tcPr>
            <w:tcW w:w="709" w:type="dxa"/>
            <w:tcBorders>
              <w:top w:val="single" w:sz="4" w:space="0" w:color="auto"/>
              <w:left w:val="single" w:sz="4" w:space="0" w:color="auto"/>
              <w:bottom w:val="nil"/>
              <w:right w:val="nil"/>
            </w:tcBorders>
            <w:shd w:val="clear" w:color="auto" w:fill="auto"/>
            <w:noWrap/>
            <w:vAlign w:val="center"/>
            <w:hideMark/>
          </w:tcPr>
          <w:p w14:paraId="6793382F" w14:textId="77777777" w:rsidR="00387142" w:rsidRPr="008B6A75" w:rsidRDefault="00387142" w:rsidP="00387142">
            <w:pPr>
              <w:jc w:val="center"/>
              <w:rPr>
                <w:bCs/>
                <w:sz w:val="20"/>
                <w:szCs w:val="20"/>
              </w:rPr>
            </w:pPr>
            <w:r w:rsidRPr="008B6A75">
              <w:rPr>
                <w:bCs/>
                <w:sz w:val="20"/>
                <w:szCs w:val="20"/>
              </w:rPr>
              <w:t>10</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15DF586A" w14:textId="77777777" w:rsidR="00387142" w:rsidRPr="008B6A75" w:rsidRDefault="00387142" w:rsidP="00387142">
            <w:pPr>
              <w:jc w:val="center"/>
              <w:rPr>
                <w:bCs/>
                <w:sz w:val="20"/>
                <w:szCs w:val="20"/>
              </w:rPr>
            </w:pPr>
            <w:r w:rsidRPr="008B6A75">
              <w:rPr>
                <w:bCs/>
                <w:sz w:val="20"/>
                <w:szCs w:val="20"/>
              </w:rPr>
              <w:t>06</w:t>
            </w:r>
          </w:p>
        </w:tc>
        <w:tc>
          <w:tcPr>
            <w:tcW w:w="1411" w:type="dxa"/>
            <w:tcBorders>
              <w:top w:val="single" w:sz="4" w:space="0" w:color="auto"/>
              <w:left w:val="single" w:sz="4" w:space="0" w:color="auto"/>
              <w:bottom w:val="nil"/>
              <w:right w:val="nil"/>
            </w:tcBorders>
            <w:shd w:val="clear" w:color="auto" w:fill="auto"/>
            <w:noWrap/>
            <w:vAlign w:val="center"/>
            <w:hideMark/>
          </w:tcPr>
          <w:p w14:paraId="344F9F38" w14:textId="77777777" w:rsidR="00387142" w:rsidRPr="008B6A75" w:rsidRDefault="00387142" w:rsidP="00387142">
            <w:pPr>
              <w:jc w:val="center"/>
              <w:rPr>
                <w:bCs/>
                <w:sz w:val="20"/>
                <w:szCs w:val="20"/>
              </w:rPr>
            </w:pPr>
            <w:r w:rsidRPr="008B6A75">
              <w:rPr>
                <w:bCs/>
                <w:sz w:val="20"/>
                <w:szCs w:val="20"/>
              </w:rPr>
              <w:t>07.4.00.00000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6D9BF079" w14:textId="77777777" w:rsidR="00387142" w:rsidRPr="008B6A75" w:rsidRDefault="00387142" w:rsidP="00387142">
            <w:pPr>
              <w:jc w:val="center"/>
              <w:rPr>
                <w:bCs/>
                <w:sz w:val="20"/>
                <w:szCs w:val="20"/>
              </w:rPr>
            </w:pPr>
            <w:r w:rsidRPr="008B6A75">
              <w:rPr>
                <w:bCs/>
                <w:sz w:val="20"/>
                <w:szCs w:val="20"/>
              </w:rPr>
              <w:t> </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12653697" w14:textId="77777777" w:rsidR="00387142" w:rsidRPr="008B6A75" w:rsidRDefault="00387142" w:rsidP="00387142">
            <w:pPr>
              <w:jc w:val="right"/>
              <w:rPr>
                <w:bCs/>
                <w:sz w:val="20"/>
                <w:szCs w:val="20"/>
              </w:rPr>
            </w:pPr>
            <w:r w:rsidRPr="008B6A75">
              <w:rPr>
                <w:bCs/>
                <w:sz w:val="20"/>
                <w:szCs w:val="20"/>
              </w:rPr>
              <w:t>1 839 198,00</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4FEBF03C" w14:textId="77777777" w:rsidR="00387142" w:rsidRPr="008B6A75" w:rsidRDefault="00387142" w:rsidP="00387142">
            <w:pPr>
              <w:jc w:val="right"/>
              <w:rPr>
                <w:bCs/>
                <w:sz w:val="20"/>
                <w:szCs w:val="20"/>
              </w:rPr>
            </w:pPr>
            <w:r w:rsidRPr="008B6A75">
              <w:rPr>
                <w:bCs/>
                <w:sz w:val="20"/>
                <w:szCs w:val="20"/>
              </w:rPr>
              <w:t>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296BFC2C" w14:textId="77777777" w:rsidR="00387142" w:rsidRPr="008B6A75" w:rsidRDefault="00387142" w:rsidP="00387142">
            <w:pPr>
              <w:jc w:val="right"/>
              <w:rPr>
                <w:bCs/>
                <w:sz w:val="20"/>
                <w:szCs w:val="20"/>
              </w:rPr>
            </w:pPr>
            <w:r w:rsidRPr="008B6A75">
              <w:rPr>
                <w:bCs/>
                <w:sz w:val="20"/>
                <w:szCs w:val="20"/>
              </w:rPr>
              <w:t>0,00</w:t>
            </w:r>
          </w:p>
        </w:tc>
        <w:tc>
          <w:tcPr>
            <w:tcW w:w="222" w:type="dxa"/>
            <w:vAlign w:val="center"/>
            <w:hideMark/>
          </w:tcPr>
          <w:p w14:paraId="2EB5FDAD" w14:textId="77777777" w:rsidR="00387142" w:rsidRPr="008B6A75" w:rsidRDefault="00387142" w:rsidP="00387142">
            <w:pPr>
              <w:rPr>
                <w:sz w:val="20"/>
                <w:szCs w:val="20"/>
              </w:rPr>
            </w:pPr>
          </w:p>
        </w:tc>
      </w:tr>
      <w:tr w:rsidR="00387142" w:rsidRPr="008B6A75" w14:paraId="0B9B01FE" w14:textId="77777777" w:rsidTr="00387142">
        <w:trPr>
          <w:trHeight w:val="1725"/>
        </w:trPr>
        <w:tc>
          <w:tcPr>
            <w:tcW w:w="3021" w:type="dxa"/>
            <w:tcBorders>
              <w:top w:val="single" w:sz="4" w:space="0" w:color="auto"/>
              <w:left w:val="single" w:sz="4" w:space="0" w:color="auto"/>
              <w:bottom w:val="nil"/>
              <w:right w:val="nil"/>
            </w:tcBorders>
            <w:shd w:val="clear" w:color="auto" w:fill="auto"/>
            <w:vAlign w:val="center"/>
            <w:hideMark/>
          </w:tcPr>
          <w:p w14:paraId="01FDCAC4" w14:textId="77777777" w:rsidR="00387142" w:rsidRPr="008B6A75" w:rsidRDefault="00387142" w:rsidP="00387142">
            <w:pPr>
              <w:rPr>
                <w:bCs/>
                <w:sz w:val="20"/>
                <w:szCs w:val="20"/>
              </w:rPr>
            </w:pPr>
            <w:r w:rsidRPr="008B6A75">
              <w:rPr>
                <w:bCs/>
                <w:sz w:val="20"/>
                <w:szCs w:val="20"/>
              </w:rPr>
              <w:lastRenderedPageBreak/>
              <w:t>Развитие социальной инфраструктуры в сфере организации отдыха и оздоровления детей Новосибирской области государственной программы Новосибирской области «Социальная поддержка в Новосибирской области»</w:t>
            </w:r>
          </w:p>
        </w:tc>
        <w:tc>
          <w:tcPr>
            <w:tcW w:w="850" w:type="dxa"/>
            <w:tcBorders>
              <w:top w:val="single" w:sz="4" w:space="0" w:color="auto"/>
              <w:left w:val="single" w:sz="4" w:space="0" w:color="auto"/>
              <w:bottom w:val="nil"/>
              <w:right w:val="nil"/>
            </w:tcBorders>
            <w:shd w:val="clear" w:color="auto" w:fill="auto"/>
            <w:noWrap/>
            <w:vAlign w:val="center"/>
            <w:hideMark/>
          </w:tcPr>
          <w:p w14:paraId="00586852" w14:textId="77777777" w:rsidR="00387142" w:rsidRPr="008B6A75" w:rsidRDefault="00387142" w:rsidP="00387142">
            <w:pPr>
              <w:jc w:val="center"/>
              <w:rPr>
                <w:bCs/>
                <w:sz w:val="20"/>
                <w:szCs w:val="20"/>
              </w:rPr>
            </w:pPr>
            <w:r w:rsidRPr="008B6A75">
              <w:rPr>
                <w:bCs/>
                <w:sz w:val="20"/>
                <w:szCs w:val="20"/>
              </w:rPr>
              <w:t>444</w:t>
            </w:r>
          </w:p>
        </w:tc>
        <w:tc>
          <w:tcPr>
            <w:tcW w:w="709" w:type="dxa"/>
            <w:tcBorders>
              <w:top w:val="single" w:sz="4" w:space="0" w:color="auto"/>
              <w:left w:val="single" w:sz="4" w:space="0" w:color="auto"/>
              <w:bottom w:val="nil"/>
              <w:right w:val="nil"/>
            </w:tcBorders>
            <w:shd w:val="clear" w:color="auto" w:fill="auto"/>
            <w:noWrap/>
            <w:vAlign w:val="center"/>
            <w:hideMark/>
          </w:tcPr>
          <w:p w14:paraId="5AA6BE39" w14:textId="77777777" w:rsidR="00387142" w:rsidRPr="008B6A75" w:rsidRDefault="00387142" w:rsidP="00387142">
            <w:pPr>
              <w:jc w:val="center"/>
              <w:rPr>
                <w:bCs/>
                <w:sz w:val="20"/>
                <w:szCs w:val="20"/>
              </w:rPr>
            </w:pPr>
            <w:r w:rsidRPr="008B6A75">
              <w:rPr>
                <w:bCs/>
                <w:sz w:val="20"/>
                <w:szCs w:val="20"/>
              </w:rPr>
              <w:t>10</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49DC7687" w14:textId="77777777" w:rsidR="00387142" w:rsidRPr="008B6A75" w:rsidRDefault="00387142" w:rsidP="00387142">
            <w:pPr>
              <w:jc w:val="center"/>
              <w:rPr>
                <w:bCs/>
                <w:sz w:val="20"/>
                <w:szCs w:val="20"/>
              </w:rPr>
            </w:pPr>
            <w:r w:rsidRPr="008B6A75">
              <w:rPr>
                <w:bCs/>
                <w:sz w:val="20"/>
                <w:szCs w:val="20"/>
              </w:rPr>
              <w:t>06</w:t>
            </w:r>
          </w:p>
        </w:tc>
        <w:tc>
          <w:tcPr>
            <w:tcW w:w="1411" w:type="dxa"/>
            <w:tcBorders>
              <w:top w:val="single" w:sz="4" w:space="0" w:color="auto"/>
              <w:left w:val="single" w:sz="4" w:space="0" w:color="auto"/>
              <w:bottom w:val="nil"/>
              <w:right w:val="nil"/>
            </w:tcBorders>
            <w:shd w:val="clear" w:color="auto" w:fill="auto"/>
            <w:noWrap/>
            <w:vAlign w:val="center"/>
            <w:hideMark/>
          </w:tcPr>
          <w:p w14:paraId="29BC0338" w14:textId="77777777" w:rsidR="00387142" w:rsidRPr="008B6A75" w:rsidRDefault="00387142" w:rsidP="00387142">
            <w:pPr>
              <w:jc w:val="center"/>
              <w:rPr>
                <w:bCs/>
                <w:sz w:val="20"/>
                <w:szCs w:val="20"/>
              </w:rPr>
            </w:pPr>
            <w:r w:rsidRPr="008B6A75">
              <w:rPr>
                <w:bCs/>
                <w:sz w:val="20"/>
                <w:szCs w:val="20"/>
              </w:rPr>
              <w:t>07.4.00.70929</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2CD43D95" w14:textId="77777777" w:rsidR="00387142" w:rsidRPr="008B6A75" w:rsidRDefault="00387142" w:rsidP="00387142">
            <w:pPr>
              <w:jc w:val="center"/>
              <w:rPr>
                <w:bCs/>
                <w:sz w:val="20"/>
                <w:szCs w:val="20"/>
              </w:rPr>
            </w:pPr>
            <w:r w:rsidRPr="008B6A75">
              <w:rPr>
                <w:bCs/>
                <w:sz w:val="20"/>
                <w:szCs w:val="20"/>
              </w:rPr>
              <w:t> </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654B467B" w14:textId="77777777" w:rsidR="00387142" w:rsidRPr="008B6A75" w:rsidRDefault="00387142" w:rsidP="00387142">
            <w:pPr>
              <w:jc w:val="right"/>
              <w:rPr>
                <w:bCs/>
                <w:sz w:val="20"/>
                <w:szCs w:val="20"/>
              </w:rPr>
            </w:pPr>
            <w:r w:rsidRPr="008B6A75">
              <w:rPr>
                <w:bCs/>
                <w:sz w:val="20"/>
                <w:szCs w:val="20"/>
              </w:rPr>
              <w:t>1 802 420,00</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13DBD638" w14:textId="77777777" w:rsidR="00387142" w:rsidRPr="008B6A75" w:rsidRDefault="00387142" w:rsidP="00387142">
            <w:pPr>
              <w:jc w:val="right"/>
              <w:rPr>
                <w:bCs/>
                <w:sz w:val="20"/>
                <w:szCs w:val="20"/>
              </w:rPr>
            </w:pPr>
            <w:r w:rsidRPr="008B6A75">
              <w:rPr>
                <w:bCs/>
                <w:sz w:val="20"/>
                <w:szCs w:val="20"/>
              </w:rPr>
              <w:t>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73B5EDA5" w14:textId="77777777" w:rsidR="00387142" w:rsidRPr="008B6A75" w:rsidRDefault="00387142" w:rsidP="00387142">
            <w:pPr>
              <w:jc w:val="right"/>
              <w:rPr>
                <w:bCs/>
                <w:sz w:val="20"/>
                <w:szCs w:val="20"/>
              </w:rPr>
            </w:pPr>
            <w:r w:rsidRPr="008B6A75">
              <w:rPr>
                <w:bCs/>
                <w:sz w:val="20"/>
                <w:szCs w:val="20"/>
              </w:rPr>
              <w:t>0,00</w:t>
            </w:r>
          </w:p>
        </w:tc>
        <w:tc>
          <w:tcPr>
            <w:tcW w:w="222" w:type="dxa"/>
            <w:vAlign w:val="center"/>
            <w:hideMark/>
          </w:tcPr>
          <w:p w14:paraId="256AC1D6" w14:textId="77777777" w:rsidR="00387142" w:rsidRPr="008B6A75" w:rsidRDefault="00387142" w:rsidP="00387142">
            <w:pPr>
              <w:rPr>
                <w:sz w:val="20"/>
                <w:szCs w:val="20"/>
              </w:rPr>
            </w:pPr>
          </w:p>
        </w:tc>
      </w:tr>
      <w:tr w:rsidR="00387142" w:rsidRPr="008B6A75" w14:paraId="55B345DB" w14:textId="77777777" w:rsidTr="00387142">
        <w:trPr>
          <w:trHeight w:val="870"/>
        </w:trPr>
        <w:tc>
          <w:tcPr>
            <w:tcW w:w="3021" w:type="dxa"/>
            <w:tcBorders>
              <w:top w:val="single" w:sz="4" w:space="0" w:color="auto"/>
              <w:left w:val="single" w:sz="4" w:space="0" w:color="auto"/>
              <w:bottom w:val="nil"/>
              <w:right w:val="nil"/>
            </w:tcBorders>
            <w:shd w:val="clear" w:color="auto" w:fill="auto"/>
            <w:vAlign w:val="center"/>
            <w:hideMark/>
          </w:tcPr>
          <w:p w14:paraId="54A8192E" w14:textId="77777777" w:rsidR="00387142" w:rsidRPr="008B6A75" w:rsidRDefault="00387142" w:rsidP="00387142">
            <w:pPr>
              <w:rPr>
                <w:sz w:val="20"/>
                <w:szCs w:val="20"/>
              </w:rPr>
            </w:pPr>
            <w:r w:rsidRPr="008B6A75">
              <w:rPr>
                <w:sz w:val="20"/>
                <w:szCs w:val="20"/>
              </w:rPr>
              <w:t>Предоставление субсидий бюджетным, автономным учреждениям и иным некоммерческим организациям</w:t>
            </w:r>
          </w:p>
        </w:tc>
        <w:tc>
          <w:tcPr>
            <w:tcW w:w="850" w:type="dxa"/>
            <w:tcBorders>
              <w:top w:val="single" w:sz="4" w:space="0" w:color="auto"/>
              <w:left w:val="single" w:sz="4" w:space="0" w:color="auto"/>
              <w:bottom w:val="nil"/>
              <w:right w:val="nil"/>
            </w:tcBorders>
            <w:shd w:val="clear" w:color="auto" w:fill="auto"/>
            <w:noWrap/>
            <w:vAlign w:val="center"/>
            <w:hideMark/>
          </w:tcPr>
          <w:p w14:paraId="4FDAE47C" w14:textId="77777777" w:rsidR="00387142" w:rsidRPr="008B6A75" w:rsidRDefault="00387142" w:rsidP="00387142">
            <w:pPr>
              <w:jc w:val="center"/>
              <w:rPr>
                <w:sz w:val="20"/>
                <w:szCs w:val="20"/>
              </w:rPr>
            </w:pPr>
            <w:r w:rsidRPr="008B6A75">
              <w:rPr>
                <w:sz w:val="20"/>
                <w:szCs w:val="20"/>
              </w:rPr>
              <w:t>444</w:t>
            </w:r>
          </w:p>
        </w:tc>
        <w:tc>
          <w:tcPr>
            <w:tcW w:w="709" w:type="dxa"/>
            <w:tcBorders>
              <w:top w:val="single" w:sz="4" w:space="0" w:color="auto"/>
              <w:left w:val="single" w:sz="4" w:space="0" w:color="auto"/>
              <w:bottom w:val="nil"/>
              <w:right w:val="nil"/>
            </w:tcBorders>
            <w:shd w:val="clear" w:color="auto" w:fill="auto"/>
            <w:noWrap/>
            <w:vAlign w:val="center"/>
            <w:hideMark/>
          </w:tcPr>
          <w:p w14:paraId="1B7C3CAB" w14:textId="77777777" w:rsidR="00387142" w:rsidRPr="008B6A75" w:rsidRDefault="00387142" w:rsidP="00387142">
            <w:pPr>
              <w:jc w:val="center"/>
              <w:rPr>
                <w:sz w:val="20"/>
                <w:szCs w:val="20"/>
              </w:rPr>
            </w:pPr>
            <w:r w:rsidRPr="008B6A75">
              <w:rPr>
                <w:sz w:val="20"/>
                <w:szCs w:val="20"/>
              </w:rPr>
              <w:t>10</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08303AE0" w14:textId="77777777" w:rsidR="00387142" w:rsidRPr="008B6A75" w:rsidRDefault="00387142" w:rsidP="00387142">
            <w:pPr>
              <w:jc w:val="center"/>
              <w:rPr>
                <w:sz w:val="20"/>
                <w:szCs w:val="20"/>
              </w:rPr>
            </w:pPr>
            <w:r w:rsidRPr="008B6A75">
              <w:rPr>
                <w:sz w:val="20"/>
                <w:szCs w:val="20"/>
              </w:rPr>
              <w:t>06</w:t>
            </w:r>
          </w:p>
        </w:tc>
        <w:tc>
          <w:tcPr>
            <w:tcW w:w="1411" w:type="dxa"/>
            <w:tcBorders>
              <w:top w:val="single" w:sz="4" w:space="0" w:color="auto"/>
              <w:left w:val="single" w:sz="4" w:space="0" w:color="auto"/>
              <w:bottom w:val="nil"/>
              <w:right w:val="nil"/>
            </w:tcBorders>
            <w:shd w:val="clear" w:color="auto" w:fill="auto"/>
            <w:noWrap/>
            <w:vAlign w:val="center"/>
            <w:hideMark/>
          </w:tcPr>
          <w:p w14:paraId="3D4F532E" w14:textId="77777777" w:rsidR="00387142" w:rsidRPr="008B6A75" w:rsidRDefault="00387142" w:rsidP="00387142">
            <w:pPr>
              <w:jc w:val="center"/>
              <w:rPr>
                <w:sz w:val="20"/>
                <w:szCs w:val="20"/>
              </w:rPr>
            </w:pPr>
            <w:r w:rsidRPr="008B6A75">
              <w:rPr>
                <w:sz w:val="20"/>
                <w:szCs w:val="20"/>
              </w:rPr>
              <w:t>07.4.00.70929</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2736E135" w14:textId="77777777" w:rsidR="00387142" w:rsidRPr="008B6A75" w:rsidRDefault="00387142" w:rsidP="00387142">
            <w:pPr>
              <w:jc w:val="center"/>
              <w:rPr>
                <w:sz w:val="20"/>
                <w:szCs w:val="20"/>
              </w:rPr>
            </w:pPr>
            <w:r w:rsidRPr="008B6A75">
              <w:rPr>
                <w:sz w:val="20"/>
                <w:szCs w:val="20"/>
              </w:rPr>
              <w:t>600</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7F6A6B64" w14:textId="77777777" w:rsidR="00387142" w:rsidRPr="008B6A75" w:rsidRDefault="00387142" w:rsidP="00387142">
            <w:pPr>
              <w:jc w:val="right"/>
              <w:rPr>
                <w:sz w:val="20"/>
                <w:szCs w:val="20"/>
              </w:rPr>
            </w:pPr>
            <w:r w:rsidRPr="008B6A75">
              <w:rPr>
                <w:sz w:val="20"/>
                <w:szCs w:val="20"/>
              </w:rPr>
              <w:t>1 802 420,00</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30A6E3EC" w14:textId="77777777" w:rsidR="00387142" w:rsidRPr="008B6A75" w:rsidRDefault="00387142" w:rsidP="00387142">
            <w:pPr>
              <w:jc w:val="right"/>
              <w:rPr>
                <w:sz w:val="20"/>
                <w:szCs w:val="20"/>
              </w:rPr>
            </w:pPr>
            <w:r w:rsidRPr="008B6A75">
              <w:rPr>
                <w:sz w:val="20"/>
                <w:szCs w:val="20"/>
              </w:rPr>
              <w:t>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0D82B3AC" w14:textId="77777777" w:rsidR="00387142" w:rsidRPr="008B6A75" w:rsidRDefault="00387142" w:rsidP="00387142">
            <w:pPr>
              <w:jc w:val="right"/>
              <w:rPr>
                <w:sz w:val="20"/>
                <w:szCs w:val="20"/>
              </w:rPr>
            </w:pPr>
            <w:r w:rsidRPr="008B6A75">
              <w:rPr>
                <w:sz w:val="20"/>
                <w:szCs w:val="20"/>
              </w:rPr>
              <w:t>0,00</w:t>
            </w:r>
          </w:p>
        </w:tc>
        <w:tc>
          <w:tcPr>
            <w:tcW w:w="222" w:type="dxa"/>
            <w:vAlign w:val="center"/>
            <w:hideMark/>
          </w:tcPr>
          <w:p w14:paraId="6A338647" w14:textId="77777777" w:rsidR="00387142" w:rsidRPr="008B6A75" w:rsidRDefault="00387142" w:rsidP="00387142">
            <w:pPr>
              <w:rPr>
                <w:sz w:val="20"/>
                <w:szCs w:val="20"/>
              </w:rPr>
            </w:pPr>
          </w:p>
        </w:tc>
      </w:tr>
      <w:tr w:rsidR="00387142" w:rsidRPr="008B6A75" w14:paraId="5573B4CF" w14:textId="77777777" w:rsidTr="00387142">
        <w:trPr>
          <w:trHeight w:val="300"/>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598BCA42" w14:textId="77777777" w:rsidR="00387142" w:rsidRPr="008B6A75" w:rsidRDefault="00387142" w:rsidP="00387142">
            <w:pPr>
              <w:rPr>
                <w:sz w:val="20"/>
                <w:szCs w:val="20"/>
              </w:rPr>
            </w:pPr>
            <w:r w:rsidRPr="008B6A75">
              <w:rPr>
                <w:sz w:val="20"/>
                <w:szCs w:val="20"/>
              </w:rPr>
              <w:t>Субсидии бюджетным учреждениям</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62DB2ECD" w14:textId="77777777" w:rsidR="00387142" w:rsidRPr="008B6A75" w:rsidRDefault="00387142" w:rsidP="00387142">
            <w:pPr>
              <w:jc w:val="center"/>
              <w:rPr>
                <w:sz w:val="20"/>
                <w:szCs w:val="20"/>
              </w:rPr>
            </w:pPr>
            <w:r w:rsidRPr="008B6A75">
              <w:rPr>
                <w:sz w:val="20"/>
                <w:szCs w:val="20"/>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0D9F4CBC" w14:textId="77777777" w:rsidR="00387142" w:rsidRPr="008B6A75" w:rsidRDefault="00387142" w:rsidP="00387142">
            <w:pPr>
              <w:jc w:val="center"/>
              <w:rPr>
                <w:sz w:val="20"/>
                <w:szCs w:val="20"/>
              </w:rPr>
            </w:pPr>
            <w:r w:rsidRPr="008B6A75">
              <w:rPr>
                <w:sz w:val="20"/>
                <w:szCs w:val="20"/>
              </w:rPr>
              <w:t>10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4F8F1B" w14:textId="77777777" w:rsidR="00387142" w:rsidRPr="008B6A75" w:rsidRDefault="00387142" w:rsidP="00387142">
            <w:pPr>
              <w:jc w:val="center"/>
              <w:rPr>
                <w:sz w:val="20"/>
                <w:szCs w:val="20"/>
              </w:rPr>
            </w:pPr>
            <w:r w:rsidRPr="008B6A75">
              <w:rPr>
                <w:sz w:val="20"/>
                <w:szCs w:val="20"/>
              </w:rPr>
              <w:t>06</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0E31CB3D" w14:textId="77777777" w:rsidR="00387142" w:rsidRPr="008B6A75" w:rsidRDefault="00387142" w:rsidP="00387142">
            <w:pPr>
              <w:jc w:val="center"/>
              <w:rPr>
                <w:sz w:val="20"/>
                <w:szCs w:val="20"/>
              </w:rPr>
            </w:pPr>
            <w:r w:rsidRPr="008B6A75">
              <w:rPr>
                <w:sz w:val="20"/>
                <w:szCs w:val="20"/>
              </w:rPr>
              <w:t>07.4.00.70929</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4EA121" w14:textId="77777777" w:rsidR="00387142" w:rsidRPr="008B6A75" w:rsidRDefault="00387142" w:rsidP="00387142">
            <w:pPr>
              <w:jc w:val="center"/>
              <w:rPr>
                <w:sz w:val="20"/>
                <w:szCs w:val="20"/>
              </w:rPr>
            </w:pPr>
            <w:r w:rsidRPr="008B6A75">
              <w:rPr>
                <w:sz w:val="20"/>
                <w:szCs w:val="20"/>
              </w:rPr>
              <w:t>610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882AC9" w14:textId="77777777" w:rsidR="00387142" w:rsidRPr="008B6A75" w:rsidRDefault="00387142" w:rsidP="00387142">
            <w:pPr>
              <w:jc w:val="right"/>
              <w:rPr>
                <w:sz w:val="20"/>
                <w:szCs w:val="20"/>
              </w:rPr>
            </w:pPr>
            <w:r w:rsidRPr="008B6A75">
              <w:rPr>
                <w:sz w:val="20"/>
                <w:szCs w:val="20"/>
              </w:rPr>
              <w:t>1 802 420,00</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18DE128D" w14:textId="77777777" w:rsidR="00387142" w:rsidRPr="008B6A75" w:rsidRDefault="00387142" w:rsidP="00387142">
            <w:pPr>
              <w:jc w:val="right"/>
              <w:rPr>
                <w:sz w:val="20"/>
                <w:szCs w:val="20"/>
              </w:rPr>
            </w:pPr>
            <w:r w:rsidRPr="008B6A75">
              <w:rPr>
                <w:sz w:val="20"/>
                <w:szCs w:val="20"/>
              </w:rPr>
              <w:t>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7A612C" w14:textId="77777777" w:rsidR="00387142" w:rsidRPr="008B6A75" w:rsidRDefault="00387142" w:rsidP="00387142">
            <w:pPr>
              <w:jc w:val="right"/>
              <w:rPr>
                <w:sz w:val="20"/>
                <w:szCs w:val="20"/>
              </w:rPr>
            </w:pPr>
            <w:r w:rsidRPr="008B6A75">
              <w:rPr>
                <w:sz w:val="20"/>
                <w:szCs w:val="20"/>
              </w:rPr>
              <w:t>0,00</w:t>
            </w:r>
          </w:p>
        </w:tc>
        <w:tc>
          <w:tcPr>
            <w:tcW w:w="222" w:type="dxa"/>
            <w:vAlign w:val="center"/>
            <w:hideMark/>
          </w:tcPr>
          <w:p w14:paraId="63EEA66E" w14:textId="77777777" w:rsidR="00387142" w:rsidRPr="008B6A75" w:rsidRDefault="00387142" w:rsidP="00387142">
            <w:pPr>
              <w:rPr>
                <w:sz w:val="20"/>
                <w:szCs w:val="20"/>
              </w:rPr>
            </w:pPr>
          </w:p>
        </w:tc>
      </w:tr>
      <w:tr w:rsidR="00387142" w:rsidRPr="008B6A75" w14:paraId="1F1EC200" w14:textId="77777777" w:rsidTr="00387142">
        <w:trPr>
          <w:trHeight w:val="2010"/>
        </w:trPr>
        <w:tc>
          <w:tcPr>
            <w:tcW w:w="3021" w:type="dxa"/>
            <w:tcBorders>
              <w:top w:val="nil"/>
              <w:left w:val="single" w:sz="4" w:space="0" w:color="auto"/>
              <w:bottom w:val="nil"/>
              <w:right w:val="nil"/>
            </w:tcBorders>
            <w:shd w:val="clear" w:color="auto" w:fill="auto"/>
            <w:vAlign w:val="center"/>
            <w:hideMark/>
          </w:tcPr>
          <w:p w14:paraId="52EC43C9" w14:textId="77777777" w:rsidR="00387142" w:rsidRPr="008B6A75" w:rsidRDefault="00387142" w:rsidP="00387142">
            <w:pPr>
              <w:rPr>
                <w:bCs/>
                <w:sz w:val="20"/>
                <w:szCs w:val="20"/>
              </w:rPr>
            </w:pPr>
            <w:proofErr w:type="spellStart"/>
            <w:r w:rsidRPr="008B6A75">
              <w:rPr>
                <w:bCs/>
                <w:sz w:val="20"/>
                <w:szCs w:val="20"/>
              </w:rPr>
              <w:t>Софинансирование</w:t>
            </w:r>
            <w:proofErr w:type="spellEnd"/>
            <w:r w:rsidRPr="008B6A75">
              <w:rPr>
                <w:bCs/>
                <w:sz w:val="20"/>
                <w:szCs w:val="20"/>
              </w:rPr>
              <w:t xml:space="preserve"> местного бюджета на развитие социальной инфраструктуры в сфере организации отдыха и оздоровления детей Новосибирской области государственной программы Новосибирской области «Социальная поддержка в Новосибирской области»</w:t>
            </w:r>
          </w:p>
        </w:tc>
        <w:tc>
          <w:tcPr>
            <w:tcW w:w="850" w:type="dxa"/>
            <w:tcBorders>
              <w:top w:val="nil"/>
              <w:left w:val="single" w:sz="4" w:space="0" w:color="auto"/>
              <w:bottom w:val="nil"/>
              <w:right w:val="nil"/>
            </w:tcBorders>
            <w:shd w:val="clear" w:color="auto" w:fill="auto"/>
            <w:noWrap/>
            <w:vAlign w:val="center"/>
            <w:hideMark/>
          </w:tcPr>
          <w:p w14:paraId="4CF16703" w14:textId="77777777" w:rsidR="00387142" w:rsidRPr="008B6A75" w:rsidRDefault="00387142" w:rsidP="00387142">
            <w:pPr>
              <w:jc w:val="center"/>
              <w:rPr>
                <w:bCs/>
                <w:sz w:val="20"/>
                <w:szCs w:val="20"/>
              </w:rPr>
            </w:pPr>
            <w:r w:rsidRPr="008B6A75">
              <w:rPr>
                <w:bCs/>
                <w:sz w:val="20"/>
                <w:szCs w:val="20"/>
              </w:rPr>
              <w:t>444</w:t>
            </w:r>
          </w:p>
        </w:tc>
        <w:tc>
          <w:tcPr>
            <w:tcW w:w="709" w:type="dxa"/>
            <w:tcBorders>
              <w:top w:val="nil"/>
              <w:left w:val="single" w:sz="4" w:space="0" w:color="auto"/>
              <w:bottom w:val="nil"/>
              <w:right w:val="nil"/>
            </w:tcBorders>
            <w:shd w:val="clear" w:color="auto" w:fill="auto"/>
            <w:noWrap/>
            <w:vAlign w:val="center"/>
            <w:hideMark/>
          </w:tcPr>
          <w:p w14:paraId="6409B4A1" w14:textId="77777777" w:rsidR="00387142" w:rsidRPr="008B6A75" w:rsidRDefault="00387142" w:rsidP="00387142">
            <w:pPr>
              <w:jc w:val="center"/>
              <w:rPr>
                <w:bCs/>
                <w:sz w:val="20"/>
                <w:szCs w:val="20"/>
              </w:rPr>
            </w:pPr>
            <w:r w:rsidRPr="008B6A75">
              <w:rPr>
                <w:bCs/>
                <w:sz w:val="20"/>
                <w:szCs w:val="20"/>
              </w:rPr>
              <w:t>10</w:t>
            </w:r>
          </w:p>
        </w:tc>
        <w:tc>
          <w:tcPr>
            <w:tcW w:w="709" w:type="dxa"/>
            <w:tcBorders>
              <w:top w:val="nil"/>
              <w:left w:val="single" w:sz="4" w:space="0" w:color="auto"/>
              <w:bottom w:val="nil"/>
              <w:right w:val="single" w:sz="4" w:space="0" w:color="auto"/>
            </w:tcBorders>
            <w:shd w:val="clear" w:color="auto" w:fill="auto"/>
            <w:noWrap/>
            <w:vAlign w:val="center"/>
            <w:hideMark/>
          </w:tcPr>
          <w:p w14:paraId="63637CD2" w14:textId="77777777" w:rsidR="00387142" w:rsidRPr="008B6A75" w:rsidRDefault="00387142" w:rsidP="00387142">
            <w:pPr>
              <w:jc w:val="center"/>
              <w:rPr>
                <w:bCs/>
                <w:sz w:val="20"/>
                <w:szCs w:val="20"/>
              </w:rPr>
            </w:pPr>
            <w:r w:rsidRPr="008B6A75">
              <w:rPr>
                <w:bCs/>
                <w:sz w:val="20"/>
                <w:szCs w:val="20"/>
              </w:rPr>
              <w:t>06</w:t>
            </w:r>
          </w:p>
        </w:tc>
        <w:tc>
          <w:tcPr>
            <w:tcW w:w="1411" w:type="dxa"/>
            <w:tcBorders>
              <w:top w:val="nil"/>
              <w:left w:val="single" w:sz="4" w:space="0" w:color="auto"/>
              <w:bottom w:val="nil"/>
              <w:right w:val="nil"/>
            </w:tcBorders>
            <w:shd w:val="clear" w:color="auto" w:fill="auto"/>
            <w:noWrap/>
            <w:vAlign w:val="center"/>
            <w:hideMark/>
          </w:tcPr>
          <w:p w14:paraId="7AB8798C" w14:textId="77777777" w:rsidR="00387142" w:rsidRPr="008B6A75" w:rsidRDefault="00387142" w:rsidP="00387142">
            <w:pPr>
              <w:jc w:val="center"/>
              <w:rPr>
                <w:bCs/>
                <w:sz w:val="20"/>
                <w:szCs w:val="20"/>
              </w:rPr>
            </w:pPr>
            <w:r w:rsidRPr="008B6A75">
              <w:rPr>
                <w:bCs/>
                <w:sz w:val="20"/>
                <w:szCs w:val="20"/>
              </w:rPr>
              <w:t>07.4.00.S0929</w:t>
            </w:r>
          </w:p>
        </w:tc>
        <w:tc>
          <w:tcPr>
            <w:tcW w:w="955" w:type="dxa"/>
            <w:tcBorders>
              <w:top w:val="nil"/>
              <w:left w:val="single" w:sz="4" w:space="0" w:color="auto"/>
              <w:bottom w:val="nil"/>
              <w:right w:val="single" w:sz="4" w:space="0" w:color="auto"/>
            </w:tcBorders>
            <w:shd w:val="clear" w:color="auto" w:fill="auto"/>
            <w:noWrap/>
            <w:vAlign w:val="center"/>
            <w:hideMark/>
          </w:tcPr>
          <w:p w14:paraId="121BFA54"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nil"/>
              <w:right w:val="single" w:sz="4" w:space="0" w:color="auto"/>
            </w:tcBorders>
            <w:shd w:val="clear" w:color="auto" w:fill="auto"/>
            <w:noWrap/>
            <w:vAlign w:val="center"/>
            <w:hideMark/>
          </w:tcPr>
          <w:p w14:paraId="565F35C4" w14:textId="77777777" w:rsidR="00387142" w:rsidRPr="008B6A75" w:rsidRDefault="00387142" w:rsidP="00387142">
            <w:pPr>
              <w:jc w:val="right"/>
              <w:rPr>
                <w:bCs/>
                <w:sz w:val="20"/>
                <w:szCs w:val="20"/>
              </w:rPr>
            </w:pPr>
            <w:r w:rsidRPr="008B6A75">
              <w:rPr>
                <w:bCs/>
                <w:sz w:val="20"/>
                <w:szCs w:val="20"/>
              </w:rPr>
              <w:t>36 778,00</w:t>
            </w:r>
          </w:p>
        </w:tc>
        <w:tc>
          <w:tcPr>
            <w:tcW w:w="992" w:type="dxa"/>
            <w:gridSpan w:val="2"/>
            <w:tcBorders>
              <w:top w:val="nil"/>
              <w:left w:val="single" w:sz="4" w:space="0" w:color="auto"/>
              <w:bottom w:val="nil"/>
              <w:right w:val="nil"/>
            </w:tcBorders>
            <w:shd w:val="clear" w:color="auto" w:fill="auto"/>
            <w:noWrap/>
            <w:vAlign w:val="center"/>
            <w:hideMark/>
          </w:tcPr>
          <w:p w14:paraId="1D9E8476" w14:textId="77777777" w:rsidR="00387142" w:rsidRPr="008B6A75" w:rsidRDefault="00387142" w:rsidP="00387142">
            <w:pPr>
              <w:jc w:val="right"/>
              <w:rPr>
                <w:bCs/>
                <w:sz w:val="20"/>
                <w:szCs w:val="20"/>
              </w:rPr>
            </w:pPr>
            <w:r w:rsidRPr="008B6A75">
              <w:rPr>
                <w:bCs/>
                <w:sz w:val="20"/>
                <w:szCs w:val="20"/>
              </w:rPr>
              <w:t>0,00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654C57B1" w14:textId="77777777" w:rsidR="00387142" w:rsidRPr="008B6A75" w:rsidRDefault="00387142" w:rsidP="00387142">
            <w:pPr>
              <w:jc w:val="right"/>
              <w:rPr>
                <w:bCs/>
                <w:sz w:val="20"/>
                <w:szCs w:val="20"/>
              </w:rPr>
            </w:pPr>
            <w:r w:rsidRPr="008B6A75">
              <w:rPr>
                <w:bCs/>
                <w:sz w:val="20"/>
                <w:szCs w:val="20"/>
              </w:rPr>
              <w:t>0,00</w:t>
            </w:r>
          </w:p>
        </w:tc>
        <w:tc>
          <w:tcPr>
            <w:tcW w:w="222" w:type="dxa"/>
            <w:vAlign w:val="center"/>
            <w:hideMark/>
          </w:tcPr>
          <w:p w14:paraId="3CCCFD50" w14:textId="77777777" w:rsidR="00387142" w:rsidRPr="008B6A75" w:rsidRDefault="00387142" w:rsidP="00387142">
            <w:pPr>
              <w:rPr>
                <w:sz w:val="20"/>
                <w:szCs w:val="20"/>
              </w:rPr>
            </w:pPr>
          </w:p>
        </w:tc>
      </w:tr>
      <w:tr w:rsidR="00387142" w:rsidRPr="008B6A75" w14:paraId="17AF5FA0" w14:textId="77777777" w:rsidTr="00387142">
        <w:trPr>
          <w:trHeight w:val="870"/>
        </w:trPr>
        <w:tc>
          <w:tcPr>
            <w:tcW w:w="3021" w:type="dxa"/>
            <w:tcBorders>
              <w:top w:val="single" w:sz="4" w:space="0" w:color="auto"/>
              <w:left w:val="single" w:sz="4" w:space="0" w:color="auto"/>
              <w:bottom w:val="nil"/>
              <w:right w:val="nil"/>
            </w:tcBorders>
            <w:shd w:val="clear" w:color="auto" w:fill="auto"/>
            <w:vAlign w:val="center"/>
            <w:hideMark/>
          </w:tcPr>
          <w:p w14:paraId="7A054EF7" w14:textId="77777777" w:rsidR="00387142" w:rsidRPr="008B6A75" w:rsidRDefault="00387142" w:rsidP="00387142">
            <w:pPr>
              <w:rPr>
                <w:sz w:val="20"/>
                <w:szCs w:val="20"/>
              </w:rPr>
            </w:pPr>
            <w:r w:rsidRPr="008B6A75">
              <w:rPr>
                <w:sz w:val="20"/>
                <w:szCs w:val="20"/>
              </w:rPr>
              <w:t>Предоставление субсидий бюджетным, автономным учреждениям и иным некоммерческим организациям</w:t>
            </w:r>
          </w:p>
        </w:tc>
        <w:tc>
          <w:tcPr>
            <w:tcW w:w="850" w:type="dxa"/>
            <w:tcBorders>
              <w:top w:val="single" w:sz="4" w:space="0" w:color="auto"/>
              <w:left w:val="single" w:sz="4" w:space="0" w:color="auto"/>
              <w:bottom w:val="nil"/>
              <w:right w:val="nil"/>
            </w:tcBorders>
            <w:shd w:val="clear" w:color="auto" w:fill="auto"/>
            <w:noWrap/>
            <w:vAlign w:val="center"/>
            <w:hideMark/>
          </w:tcPr>
          <w:p w14:paraId="38B3592F" w14:textId="77777777" w:rsidR="00387142" w:rsidRPr="008B6A75" w:rsidRDefault="00387142" w:rsidP="00387142">
            <w:pPr>
              <w:jc w:val="center"/>
              <w:rPr>
                <w:sz w:val="20"/>
                <w:szCs w:val="20"/>
              </w:rPr>
            </w:pPr>
            <w:r w:rsidRPr="008B6A75">
              <w:rPr>
                <w:sz w:val="20"/>
                <w:szCs w:val="20"/>
              </w:rPr>
              <w:t>444</w:t>
            </w:r>
          </w:p>
        </w:tc>
        <w:tc>
          <w:tcPr>
            <w:tcW w:w="709" w:type="dxa"/>
            <w:tcBorders>
              <w:top w:val="single" w:sz="4" w:space="0" w:color="auto"/>
              <w:left w:val="single" w:sz="4" w:space="0" w:color="auto"/>
              <w:bottom w:val="nil"/>
              <w:right w:val="nil"/>
            </w:tcBorders>
            <w:shd w:val="clear" w:color="auto" w:fill="auto"/>
            <w:noWrap/>
            <w:vAlign w:val="center"/>
            <w:hideMark/>
          </w:tcPr>
          <w:p w14:paraId="537138DD" w14:textId="77777777" w:rsidR="00387142" w:rsidRPr="008B6A75" w:rsidRDefault="00387142" w:rsidP="00387142">
            <w:pPr>
              <w:jc w:val="center"/>
              <w:rPr>
                <w:sz w:val="20"/>
                <w:szCs w:val="20"/>
              </w:rPr>
            </w:pPr>
            <w:r w:rsidRPr="008B6A75">
              <w:rPr>
                <w:sz w:val="20"/>
                <w:szCs w:val="20"/>
              </w:rPr>
              <w:t>10</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399F597E" w14:textId="77777777" w:rsidR="00387142" w:rsidRPr="008B6A75" w:rsidRDefault="00387142" w:rsidP="00387142">
            <w:pPr>
              <w:jc w:val="center"/>
              <w:rPr>
                <w:sz w:val="20"/>
                <w:szCs w:val="20"/>
              </w:rPr>
            </w:pPr>
            <w:r w:rsidRPr="008B6A75">
              <w:rPr>
                <w:sz w:val="20"/>
                <w:szCs w:val="20"/>
              </w:rPr>
              <w:t>06</w:t>
            </w:r>
          </w:p>
        </w:tc>
        <w:tc>
          <w:tcPr>
            <w:tcW w:w="1411" w:type="dxa"/>
            <w:tcBorders>
              <w:top w:val="single" w:sz="4" w:space="0" w:color="auto"/>
              <w:left w:val="single" w:sz="4" w:space="0" w:color="auto"/>
              <w:bottom w:val="nil"/>
              <w:right w:val="nil"/>
            </w:tcBorders>
            <w:shd w:val="clear" w:color="auto" w:fill="auto"/>
            <w:noWrap/>
            <w:vAlign w:val="center"/>
            <w:hideMark/>
          </w:tcPr>
          <w:p w14:paraId="3138FD22" w14:textId="77777777" w:rsidR="00387142" w:rsidRPr="008B6A75" w:rsidRDefault="00387142" w:rsidP="00387142">
            <w:pPr>
              <w:jc w:val="center"/>
              <w:rPr>
                <w:sz w:val="20"/>
                <w:szCs w:val="20"/>
              </w:rPr>
            </w:pPr>
            <w:r w:rsidRPr="008B6A75">
              <w:rPr>
                <w:sz w:val="20"/>
                <w:szCs w:val="20"/>
              </w:rPr>
              <w:t>07.4.00.S0929</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7253CA54" w14:textId="77777777" w:rsidR="00387142" w:rsidRPr="008B6A75" w:rsidRDefault="00387142" w:rsidP="00387142">
            <w:pPr>
              <w:jc w:val="center"/>
              <w:rPr>
                <w:sz w:val="20"/>
                <w:szCs w:val="20"/>
              </w:rPr>
            </w:pPr>
            <w:r w:rsidRPr="008B6A75">
              <w:rPr>
                <w:sz w:val="20"/>
                <w:szCs w:val="20"/>
              </w:rPr>
              <w:t>600</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1385F593" w14:textId="77777777" w:rsidR="00387142" w:rsidRPr="008B6A75" w:rsidRDefault="00387142" w:rsidP="00387142">
            <w:pPr>
              <w:jc w:val="right"/>
              <w:rPr>
                <w:sz w:val="20"/>
                <w:szCs w:val="20"/>
              </w:rPr>
            </w:pPr>
            <w:r w:rsidRPr="008B6A75">
              <w:rPr>
                <w:sz w:val="20"/>
                <w:szCs w:val="20"/>
              </w:rPr>
              <w:t>36 778,00</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152AC206" w14:textId="77777777" w:rsidR="00387142" w:rsidRPr="008B6A75" w:rsidRDefault="00387142" w:rsidP="00387142">
            <w:pPr>
              <w:jc w:val="right"/>
              <w:rPr>
                <w:sz w:val="20"/>
                <w:szCs w:val="20"/>
              </w:rPr>
            </w:pPr>
            <w:r w:rsidRPr="008B6A75">
              <w:rPr>
                <w:sz w:val="20"/>
                <w:szCs w:val="20"/>
              </w:rPr>
              <w:t>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24622DCF" w14:textId="77777777" w:rsidR="00387142" w:rsidRPr="008B6A75" w:rsidRDefault="00387142" w:rsidP="00387142">
            <w:pPr>
              <w:jc w:val="right"/>
              <w:rPr>
                <w:sz w:val="20"/>
                <w:szCs w:val="20"/>
              </w:rPr>
            </w:pPr>
            <w:r w:rsidRPr="008B6A75">
              <w:rPr>
                <w:sz w:val="20"/>
                <w:szCs w:val="20"/>
              </w:rPr>
              <w:t>0,00</w:t>
            </w:r>
          </w:p>
        </w:tc>
        <w:tc>
          <w:tcPr>
            <w:tcW w:w="222" w:type="dxa"/>
            <w:vAlign w:val="center"/>
            <w:hideMark/>
          </w:tcPr>
          <w:p w14:paraId="65841891" w14:textId="77777777" w:rsidR="00387142" w:rsidRPr="008B6A75" w:rsidRDefault="00387142" w:rsidP="00387142">
            <w:pPr>
              <w:rPr>
                <w:sz w:val="20"/>
                <w:szCs w:val="20"/>
              </w:rPr>
            </w:pPr>
          </w:p>
        </w:tc>
      </w:tr>
      <w:tr w:rsidR="00387142" w:rsidRPr="008B6A75" w14:paraId="497E7E89" w14:textId="77777777" w:rsidTr="00387142">
        <w:trPr>
          <w:trHeight w:val="300"/>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3DF434A6" w14:textId="77777777" w:rsidR="00387142" w:rsidRPr="008B6A75" w:rsidRDefault="00387142" w:rsidP="00387142">
            <w:pPr>
              <w:rPr>
                <w:sz w:val="20"/>
                <w:szCs w:val="20"/>
              </w:rPr>
            </w:pPr>
            <w:r w:rsidRPr="008B6A75">
              <w:rPr>
                <w:sz w:val="20"/>
                <w:szCs w:val="20"/>
              </w:rPr>
              <w:t>Субсидии бюджетным учреждениям</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5C948EA2" w14:textId="77777777" w:rsidR="00387142" w:rsidRPr="008B6A75" w:rsidRDefault="00387142" w:rsidP="00387142">
            <w:pPr>
              <w:jc w:val="center"/>
              <w:rPr>
                <w:sz w:val="20"/>
                <w:szCs w:val="20"/>
              </w:rPr>
            </w:pPr>
            <w:r w:rsidRPr="008B6A75">
              <w:rPr>
                <w:sz w:val="20"/>
                <w:szCs w:val="20"/>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4A30BDE2" w14:textId="77777777" w:rsidR="00387142" w:rsidRPr="008B6A75" w:rsidRDefault="00387142" w:rsidP="00387142">
            <w:pPr>
              <w:jc w:val="center"/>
              <w:rPr>
                <w:sz w:val="20"/>
                <w:szCs w:val="20"/>
              </w:rPr>
            </w:pPr>
            <w:r w:rsidRPr="008B6A75">
              <w:rPr>
                <w:sz w:val="20"/>
                <w:szCs w:val="20"/>
              </w:rPr>
              <w:t>10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F1698F" w14:textId="77777777" w:rsidR="00387142" w:rsidRPr="008B6A75" w:rsidRDefault="00387142" w:rsidP="00387142">
            <w:pPr>
              <w:jc w:val="center"/>
              <w:rPr>
                <w:sz w:val="20"/>
                <w:szCs w:val="20"/>
              </w:rPr>
            </w:pPr>
            <w:r w:rsidRPr="008B6A75">
              <w:rPr>
                <w:sz w:val="20"/>
                <w:szCs w:val="20"/>
              </w:rPr>
              <w:t>06</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2A6B605A" w14:textId="77777777" w:rsidR="00387142" w:rsidRPr="008B6A75" w:rsidRDefault="00387142" w:rsidP="00387142">
            <w:pPr>
              <w:jc w:val="center"/>
              <w:rPr>
                <w:sz w:val="20"/>
                <w:szCs w:val="20"/>
              </w:rPr>
            </w:pPr>
            <w:r w:rsidRPr="008B6A75">
              <w:rPr>
                <w:sz w:val="20"/>
                <w:szCs w:val="20"/>
              </w:rPr>
              <w:t>07.4.00.S0929</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5C2885" w14:textId="77777777" w:rsidR="00387142" w:rsidRPr="008B6A75" w:rsidRDefault="00387142" w:rsidP="00387142">
            <w:pPr>
              <w:jc w:val="center"/>
              <w:rPr>
                <w:sz w:val="20"/>
                <w:szCs w:val="20"/>
              </w:rPr>
            </w:pPr>
            <w:r w:rsidRPr="008B6A75">
              <w:rPr>
                <w:sz w:val="20"/>
                <w:szCs w:val="20"/>
              </w:rPr>
              <w:t>610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8B6FA1" w14:textId="77777777" w:rsidR="00387142" w:rsidRPr="008B6A75" w:rsidRDefault="00387142" w:rsidP="00387142">
            <w:pPr>
              <w:jc w:val="right"/>
              <w:rPr>
                <w:sz w:val="20"/>
                <w:szCs w:val="20"/>
              </w:rPr>
            </w:pPr>
            <w:r w:rsidRPr="008B6A75">
              <w:rPr>
                <w:sz w:val="20"/>
                <w:szCs w:val="20"/>
              </w:rPr>
              <w:t>36 778,00</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164629F7" w14:textId="77777777" w:rsidR="00387142" w:rsidRPr="008B6A75" w:rsidRDefault="00387142" w:rsidP="00387142">
            <w:pPr>
              <w:jc w:val="right"/>
              <w:rPr>
                <w:sz w:val="20"/>
                <w:szCs w:val="20"/>
              </w:rPr>
            </w:pPr>
            <w:r w:rsidRPr="008B6A75">
              <w:rPr>
                <w:sz w:val="20"/>
                <w:szCs w:val="20"/>
              </w:rPr>
              <w:t>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C49E3B" w14:textId="77777777" w:rsidR="00387142" w:rsidRPr="008B6A75" w:rsidRDefault="00387142" w:rsidP="00387142">
            <w:pPr>
              <w:jc w:val="right"/>
              <w:rPr>
                <w:sz w:val="20"/>
                <w:szCs w:val="20"/>
              </w:rPr>
            </w:pPr>
            <w:r w:rsidRPr="008B6A75">
              <w:rPr>
                <w:sz w:val="20"/>
                <w:szCs w:val="20"/>
              </w:rPr>
              <w:t>0,00</w:t>
            </w:r>
          </w:p>
        </w:tc>
        <w:tc>
          <w:tcPr>
            <w:tcW w:w="222" w:type="dxa"/>
            <w:vAlign w:val="center"/>
            <w:hideMark/>
          </w:tcPr>
          <w:p w14:paraId="3DF70B6F" w14:textId="77777777" w:rsidR="00387142" w:rsidRPr="008B6A75" w:rsidRDefault="00387142" w:rsidP="00387142">
            <w:pPr>
              <w:rPr>
                <w:sz w:val="20"/>
                <w:szCs w:val="20"/>
              </w:rPr>
            </w:pPr>
          </w:p>
        </w:tc>
      </w:tr>
      <w:tr w:rsidR="00387142" w:rsidRPr="008B6A75" w14:paraId="4C5AA9D9" w14:textId="77777777" w:rsidTr="00387142">
        <w:trPr>
          <w:trHeight w:val="1440"/>
        </w:trPr>
        <w:tc>
          <w:tcPr>
            <w:tcW w:w="3021" w:type="dxa"/>
            <w:tcBorders>
              <w:top w:val="nil"/>
              <w:left w:val="single" w:sz="4" w:space="0" w:color="auto"/>
              <w:bottom w:val="nil"/>
              <w:right w:val="nil"/>
            </w:tcBorders>
            <w:shd w:val="clear" w:color="auto" w:fill="auto"/>
            <w:vAlign w:val="center"/>
            <w:hideMark/>
          </w:tcPr>
          <w:p w14:paraId="14C9261D" w14:textId="77777777" w:rsidR="00387142" w:rsidRPr="008B6A75" w:rsidRDefault="00387142" w:rsidP="00387142">
            <w:pPr>
              <w:rPr>
                <w:bCs/>
                <w:sz w:val="20"/>
                <w:szCs w:val="20"/>
              </w:rPr>
            </w:pPr>
            <w:r w:rsidRPr="008B6A75">
              <w:rPr>
                <w:bCs/>
                <w:sz w:val="20"/>
                <w:szCs w:val="20"/>
              </w:rPr>
              <w:t>Муниципальная программа "Муниципальная поддержка социально ориентированных некоммерческих организаций, общественных объединений и гражданских инициатив в Куйбышевском районе"</w:t>
            </w:r>
          </w:p>
        </w:tc>
        <w:tc>
          <w:tcPr>
            <w:tcW w:w="850" w:type="dxa"/>
            <w:tcBorders>
              <w:top w:val="nil"/>
              <w:left w:val="single" w:sz="4" w:space="0" w:color="auto"/>
              <w:bottom w:val="nil"/>
              <w:right w:val="nil"/>
            </w:tcBorders>
            <w:shd w:val="clear" w:color="auto" w:fill="auto"/>
            <w:noWrap/>
            <w:vAlign w:val="center"/>
            <w:hideMark/>
          </w:tcPr>
          <w:p w14:paraId="03C7DFEF" w14:textId="77777777" w:rsidR="00387142" w:rsidRPr="008B6A75" w:rsidRDefault="00387142" w:rsidP="00387142">
            <w:pPr>
              <w:jc w:val="center"/>
              <w:rPr>
                <w:bCs/>
                <w:sz w:val="20"/>
                <w:szCs w:val="20"/>
              </w:rPr>
            </w:pPr>
            <w:r w:rsidRPr="008B6A75">
              <w:rPr>
                <w:bCs/>
                <w:sz w:val="20"/>
                <w:szCs w:val="20"/>
              </w:rPr>
              <w:t>444</w:t>
            </w:r>
          </w:p>
        </w:tc>
        <w:tc>
          <w:tcPr>
            <w:tcW w:w="709" w:type="dxa"/>
            <w:tcBorders>
              <w:top w:val="nil"/>
              <w:left w:val="single" w:sz="4" w:space="0" w:color="auto"/>
              <w:bottom w:val="nil"/>
              <w:right w:val="nil"/>
            </w:tcBorders>
            <w:shd w:val="clear" w:color="auto" w:fill="auto"/>
            <w:noWrap/>
            <w:vAlign w:val="center"/>
            <w:hideMark/>
          </w:tcPr>
          <w:p w14:paraId="25E68C8C" w14:textId="77777777" w:rsidR="00387142" w:rsidRPr="008B6A75" w:rsidRDefault="00387142" w:rsidP="00387142">
            <w:pPr>
              <w:jc w:val="center"/>
              <w:rPr>
                <w:bCs/>
                <w:sz w:val="20"/>
                <w:szCs w:val="20"/>
              </w:rPr>
            </w:pPr>
            <w:r w:rsidRPr="008B6A75">
              <w:rPr>
                <w:bCs/>
                <w:sz w:val="20"/>
                <w:szCs w:val="20"/>
              </w:rPr>
              <w:t>10</w:t>
            </w:r>
          </w:p>
        </w:tc>
        <w:tc>
          <w:tcPr>
            <w:tcW w:w="709" w:type="dxa"/>
            <w:tcBorders>
              <w:top w:val="nil"/>
              <w:left w:val="single" w:sz="4" w:space="0" w:color="auto"/>
              <w:bottom w:val="nil"/>
              <w:right w:val="single" w:sz="4" w:space="0" w:color="auto"/>
            </w:tcBorders>
            <w:shd w:val="clear" w:color="auto" w:fill="auto"/>
            <w:noWrap/>
            <w:vAlign w:val="center"/>
            <w:hideMark/>
          </w:tcPr>
          <w:p w14:paraId="18AA9D98" w14:textId="77777777" w:rsidR="00387142" w:rsidRPr="008B6A75" w:rsidRDefault="00387142" w:rsidP="00387142">
            <w:pPr>
              <w:jc w:val="center"/>
              <w:rPr>
                <w:bCs/>
                <w:sz w:val="20"/>
                <w:szCs w:val="20"/>
              </w:rPr>
            </w:pPr>
            <w:r w:rsidRPr="008B6A75">
              <w:rPr>
                <w:bCs/>
                <w:sz w:val="20"/>
                <w:szCs w:val="20"/>
              </w:rPr>
              <w:t>06</w:t>
            </w:r>
          </w:p>
        </w:tc>
        <w:tc>
          <w:tcPr>
            <w:tcW w:w="1411" w:type="dxa"/>
            <w:tcBorders>
              <w:top w:val="nil"/>
              <w:left w:val="single" w:sz="4" w:space="0" w:color="auto"/>
              <w:bottom w:val="nil"/>
              <w:right w:val="nil"/>
            </w:tcBorders>
            <w:shd w:val="clear" w:color="auto" w:fill="auto"/>
            <w:noWrap/>
            <w:vAlign w:val="center"/>
            <w:hideMark/>
          </w:tcPr>
          <w:p w14:paraId="646C95AD" w14:textId="77777777" w:rsidR="00387142" w:rsidRPr="008B6A75" w:rsidRDefault="00387142" w:rsidP="00387142">
            <w:pPr>
              <w:jc w:val="center"/>
              <w:rPr>
                <w:bCs/>
                <w:sz w:val="20"/>
                <w:szCs w:val="20"/>
              </w:rPr>
            </w:pPr>
            <w:r w:rsidRPr="008B6A75">
              <w:rPr>
                <w:bCs/>
                <w:sz w:val="20"/>
                <w:szCs w:val="20"/>
              </w:rPr>
              <w:t>31.0.00.00000</w:t>
            </w:r>
          </w:p>
        </w:tc>
        <w:tc>
          <w:tcPr>
            <w:tcW w:w="955" w:type="dxa"/>
            <w:tcBorders>
              <w:top w:val="nil"/>
              <w:left w:val="single" w:sz="4" w:space="0" w:color="auto"/>
              <w:bottom w:val="nil"/>
              <w:right w:val="single" w:sz="4" w:space="0" w:color="auto"/>
            </w:tcBorders>
            <w:shd w:val="clear" w:color="auto" w:fill="auto"/>
            <w:noWrap/>
            <w:vAlign w:val="center"/>
            <w:hideMark/>
          </w:tcPr>
          <w:p w14:paraId="34B6F64C"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nil"/>
              <w:right w:val="single" w:sz="4" w:space="0" w:color="auto"/>
            </w:tcBorders>
            <w:shd w:val="clear" w:color="auto" w:fill="auto"/>
            <w:noWrap/>
            <w:vAlign w:val="center"/>
            <w:hideMark/>
          </w:tcPr>
          <w:p w14:paraId="6A13A363" w14:textId="77777777" w:rsidR="00387142" w:rsidRPr="008B6A75" w:rsidRDefault="00387142" w:rsidP="00387142">
            <w:pPr>
              <w:jc w:val="right"/>
              <w:rPr>
                <w:bCs/>
                <w:sz w:val="20"/>
                <w:szCs w:val="20"/>
              </w:rPr>
            </w:pPr>
            <w:r w:rsidRPr="008B6A75">
              <w:rPr>
                <w:bCs/>
                <w:sz w:val="20"/>
                <w:szCs w:val="20"/>
              </w:rPr>
              <w:t>100 000,00</w:t>
            </w:r>
          </w:p>
        </w:tc>
        <w:tc>
          <w:tcPr>
            <w:tcW w:w="992" w:type="dxa"/>
            <w:gridSpan w:val="2"/>
            <w:tcBorders>
              <w:top w:val="nil"/>
              <w:left w:val="single" w:sz="4" w:space="0" w:color="auto"/>
              <w:bottom w:val="nil"/>
              <w:right w:val="nil"/>
            </w:tcBorders>
            <w:shd w:val="clear" w:color="auto" w:fill="auto"/>
            <w:noWrap/>
            <w:vAlign w:val="center"/>
            <w:hideMark/>
          </w:tcPr>
          <w:p w14:paraId="0E700EBE" w14:textId="77777777" w:rsidR="00387142" w:rsidRPr="008B6A75" w:rsidRDefault="00387142" w:rsidP="00387142">
            <w:pPr>
              <w:jc w:val="right"/>
              <w:rPr>
                <w:bCs/>
                <w:sz w:val="20"/>
                <w:szCs w:val="20"/>
              </w:rPr>
            </w:pPr>
            <w:r w:rsidRPr="008B6A75">
              <w:rPr>
                <w:bCs/>
                <w:sz w:val="20"/>
                <w:szCs w:val="20"/>
              </w:rPr>
              <w:t>0,00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7BF25993" w14:textId="77777777" w:rsidR="00387142" w:rsidRPr="008B6A75" w:rsidRDefault="00387142" w:rsidP="00387142">
            <w:pPr>
              <w:jc w:val="right"/>
              <w:rPr>
                <w:bCs/>
                <w:sz w:val="20"/>
                <w:szCs w:val="20"/>
              </w:rPr>
            </w:pPr>
            <w:r w:rsidRPr="008B6A75">
              <w:rPr>
                <w:bCs/>
                <w:sz w:val="20"/>
                <w:szCs w:val="20"/>
              </w:rPr>
              <w:t>0,00</w:t>
            </w:r>
          </w:p>
        </w:tc>
        <w:tc>
          <w:tcPr>
            <w:tcW w:w="222" w:type="dxa"/>
            <w:vAlign w:val="center"/>
            <w:hideMark/>
          </w:tcPr>
          <w:p w14:paraId="1B635258" w14:textId="77777777" w:rsidR="00387142" w:rsidRPr="008B6A75" w:rsidRDefault="00387142" w:rsidP="00387142">
            <w:pPr>
              <w:rPr>
                <w:sz w:val="20"/>
                <w:szCs w:val="20"/>
              </w:rPr>
            </w:pPr>
          </w:p>
        </w:tc>
      </w:tr>
      <w:tr w:rsidR="00387142" w:rsidRPr="008B6A75" w14:paraId="3611A7C2" w14:textId="77777777" w:rsidTr="00387142">
        <w:trPr>
          <w:trHeight w:val="1725"/>
        </w:trPr>
        <w:tc>
          <w:tcPr>
            <w:tcW w:w="3021" w:type="dxa"/>
            <w:tcBorders>
              <w:top w:val="single" w:sz="4" w:space="0" w:color="auto"/>
              <w:left w:val="single" w:sz="4" w:space="0" w:color="auto"/>
              <w:bottom w:val="nil"/>
              <w:right w:val="nil"/>
            </w:tcBorders>
            <w:shd w:val="clear" w:color="auto" w:fill="auto"/>
            <w:vAlign w:val="center"/>
            <w:hideMark/>
          </w:tcPr>
          <w:p w14:paraId="4D32C64B" w14:textId="77777777" w:rsidR="00387142" w:rsidRPr="008B6A75" w:rsidRDefault="00387142" w:rsidP="00387142">
            <w:pPr>
              <w:rPr>
                <w:bCs/>
                <w:sz w:val="20"/>
                <w:szCs w:val="20"/>
              </w:rPr>
            </w:pPr>
            <w:r w:rsidRPr="008B6A75">
              <w:rPr>
                <w:bCs/>
                <w:sz w:val="20"/>
                <w:szCs w:val="20"/>
              </w:rPr>
              <w:t>Реализация мероприятий муниципальной программы "Муниципальная поддержка социально ориентированных некоммерческих организаций, общественных объединений и гражданских инициатив в Куйбышевском районе"</w:t>
            </w:r>
          </w:p>
        </w:tc>
        <w:tc>
          <w:tcPr>
            <w:tcW w:w="850" w:type="dxa"/>
            <w:tcBorders>
              <w:top w:val="single" w:sz="4" w:space="0" w:color="auto"/>
              <w:left w:val="single" w:sz="4" w:space="0" w:color="auto"/>
              <w:bottom w:val="nil"/>
              <w:right w:val="nil"/>
            </w:tcBorders>
            <w:shd w:val="clear" w:color="auto" w:fill="auto"/>
            <w:noWrap/>
            <w:vAlign w:val="center"/>
            <w:hideMark/>
          </w:tcPr>
          <w:p w14:paraId="2FEE0AA2" w14:textId="77777777" w:rsidR="00387142" w:rsidRPr="008B6A75" w:rsidRDefault="00387142" w:rsidP="00387142">
            <w:pPr>
              <w:jc w:val="center"/>
              <w:rPr>
                <w:bCs/>
                <w:sz w:val="20"/>
                <w:szCs w:val="20"/>
              </w:rPr>
            </w:pPr>
            <w:r w:rsidRPr="008B6A75">
              <w:rPr>
                <w:bCs/>
                <w:sz w:val="20"/>
                <w:szCs w:val="20"/>
              </w:rPr>
              <w:t>444</w:t>
            </w:r>
          </w:p>
        </w:tc>
        <w:tc>
          <w:tcPr>
            <w:tcW w:w="709" w:type="dxa"/>
            <w:tcBorders>
              <w:top w:val="single" w:sz="4" w:space="0" w:color="auto"/>
              <w:left w:val="single" w:sz="4" w:space="0" w:color="auto"/>
              <w:bottom w:val="nil"/>
              <w:right w:val="nil"/>
            </w:tcBorders>
            <w:shd w:val="clear" w:color="auto" w:fill="auto"/>
            <w:noWrap/>
            <w:vAlign w:val="center"/>
            <w:hideMark/>
          </w:tcPr>
          <w:p w14:paraId="5A1AA518" w14:textId="77777777" w:rsidR="00387142" w:rsidRPr="008B6A75" w:rsidRDefault="00387142" w:rsidP="00387142">
            <w:pPr>
              <w:jc w:val="center"/>
              <w:rPr>
                <w:bCs/>
                <w:sz w:val="20"/>
                <w:szCs w:val="20"/>
              </w:rPr>
            </w:pPr>
            <w:r w:rsidRPr="008B6A75">
              <w:rPr>
                <w:bCs/>
                <w:sz w:val="20"/>
                <w:szCs w:val="20"/>
              </w:rPr>
              <w:t>10</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4B3C650E" w14:textId="77777777" w:rsidR="00387142" w:rsidRPr="008B6A75" w:rsidRDefault="00387142" w:rsidP="00387142">
            <w:pPr>
              <w:jc w:val="center"/>
              <w:rPr>
                <w:bCs/>
                <w:sz w:val="20"/>
                <w:szCs w:val="20"/>
              </w:rPr>
            </w:pPr>
            <w:r w:rsidRPr="008B6A75">
              <w:rPr>
                <w:bCs/>
                <w:sz w:val="20"/>
                <w:szCs w:val="20"/>
              </w:rPr>
              <w:t>06</w:t>
            </w:r>
          </w:p>
        </w:tc>
        <w:tc>
          <w:tcPr>
            <w:tcW w:w="1411" w:type="dxa"/>
            <w:tcBorders>
              <w:top w:val="single" w:sz="4" w:space="0" w:color="auto"/>
              <w:left w:val="single" w:sz="4" w:space="0" w:color="auto"/>
              <w:bottom w:val="nil"/>
              <w:right w:val="nil"/>
            </w:tcBorders>
            <w:shd w:val="clear" w:color="auto" w:fill="auto"/>
            <w:noWrap/>
            <w:vAlign w:val="center"/>
            <w:hideMark/>
          </w:tcPr>
          <w:p w14:paraId="66FDB408" w14:textId="77777777" w:rsidR="00387142" w:rsidRPr="008B6A75" w:rsidRDefault="00387142" w:rsidP="00387142">
            <w:pPr>
              <w:jc w:val="center"/>
              <w:rPr>
                <w:bCs/>
                <w:sz w:val="20"/>
                <w:szCs w:val="20"/>
              </w:rPr>
            </w:pPr>
            <w:r w:rsidRPr="008B6A75">
              <w:rPr>
                <w:bCs/>
                <w:sz w:val="20"/>
                <w:szCs w:val="20"/>
              </w:rPr>
              <w:t>31.0.00.10850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2DF090F7" w14:textId="77777777" w:rsidR="00387142" w:rsidRPr="008B6A75" w:rsidRDefault="00387142" w:rsidP="00387142">
            <w:pPr>
              <w:jc w:val="center"/>
              <w:rPr>
                <w:bCs/>
                <w:sz w:val="20"/>
                <w:szCs w:val="20"/>
              </w:rPr>
            </w:pPr>
            <w:r w:rsidRPr="008B6A75">
              <w:rPr>
                <w:bCs/>
                <w:sz w:val="20"/>
                <w:szCs w:val="20"/>
              </w:rPr>
              <w:t> </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00F62974" w14:textId="77777777" w:rsidR="00387142" w:rsidRPr="008B6A75" w:rsidRDefault="00387142" w:rsidP="00387142">
            <w:pPr>
              <w:jc w:val="right"/>
              <w:rPr>
                <w:bCs/>
                <w:sz w:val="20"/>
                <w:szCs w:val="20"/>
              </w:rPr>
            </w:pPr>
            <w:r w:rsidRPr="008B6A75">
              <w:rPr>
                <w:bCs/>
                <w:sz w:val="20"/>
                <w:szCs w:val="20"/>
              </w:rPr>
              <w:t>100 000,00</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7EA0F2D2" w14:textId="77777777" w:rsidR="00387142" w:rsidRPr="008B6A75" w:rsidRDefault="00387142" w:rsidP="00387142">
            <w:pPr>
              <w:jc w:val="right"/>
              <w:rPr>
                <w:bCs/>
                <w:sz w:val="20"/>
                <w:szCs w:val="20"/>
              </w:rPr>
            </w:pPr>
            <w:r w:rsidRPr="008B6A75">
              <w:rPr>
                <w:bCs/>
                <w:sz w:val="20"/>
                <w:szCs w:val="20"/>
              </w:rPr>
              <w:t>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7F905E85" w14:textId="77777777" w:rsidR="00387142" w:rsidRPr="008B6A75" w:rsidRDefault="00387142" w:rsidP="00387142">
            <w:pPr>
              <w:jc w:val="right"/>
              <w:rPr>
                <w:bCs/>
                <w:sz w:val="20"/>
                <w:szCs w:val="20"/>
              </w:rPr>
            </w:pPr>
            <w:r w:rsidRPr="008B6A75">
              <w:rPr>
                <w:bCs/>
                <w:sz w:val="20"/>
                <w:szCs w:val="20"/>
              </w:rPr>
              <w:t>0,00</w:t>
            </w:r>
          </w:p>
        </w:tc>
        <w:tc>
          <w:tcPr>
            <w:tcW w:w="222" w:type="dxa"/>
            <w:vAlign w:val="center"/>
            <w:hideMark/>
          </w:tcPr>
          <w:p w14:paraId="6086FFD6" w14:textId="77777777" w:rsidR="00387142" w:rsidRPr="008B6A75" w:rsidRDefault="00387142" w:rsidP="00387142">
            <w:pPr>
              <w:rPr>
                <w:sz w:val="20"/>
                <w:szCs w:val="20"/>
              </w:rPr>
            </w:pPr>
          </w:p>
        </w:tc>
      </w:tr>
      <w:tr w:rsidR="00387142" w:rsidRPr="008B6A75" w14:paraId="642DA8A4" w14:textId="77777777" w:rsidTr="00387142">
        <w:trPr>
          <w:trHeight w:val="870"/>
        </w:trPr>
        <w:tc>
          <w:tcPr>
            <w:tcW w:w="3021" w:type="dxa"/>
            <w:tcBorders>
              <w:top w:val="single" w:sz="4" w:space="0" w:color="auto"/>
              <w:left w:val="single" w:sz="4" w:space="0" w:color="auto"/>
              <w:bottom w:val="nil"/>
              <w:right w:val="nil"/>
            </w:tcBorders>
            <w:shd w:val="clear" w:color="auto" w:fill="auto"/>
            <w:vAlign w:val="center"/>
            <w:hideMark/>
          </w:tcPr>
          <w:p w14:paraId="5E5D9059" w14:textId="77777777" w:rsidR="00387142" w:rsidRPr="008B6A75" w:rsidRDefault="00387142" w:rsidP="00387142">
            <w:pPr>
              <w:rPr>
                <w:sz w:val="20"/>
                <w:szCs w:val="20"/>
              </w:rPr>
            </w:pPr>
            <w:r w:rsidRPr="008B6A75">
              <w:rPr>
                <w:sz w:val="20"/>
                <w:szCs w:val="20"/>
              </w:rPr>
              <w:t>Предоставление субсидий бюджетным, автономным учреждениям и иным некоммерческим организациям</w:t>
            </w:r>
          </w:p>
        </w:tc>
        <w:tc>
          <w:tcPr>
            <w:tcW w:w="850" w:type="dxa"/>
            <w:tcBorders>
              <w:top w:val="single" w:sz="4" w:space="0" w:color="auto"/>
              <w:left w:val="single" w:sz="4" w:space="0" w:color="auto"/>
              <w:bottom w:val="nil"/>
              <w:right w:val="nil"/>
            </w:tcBorders>
            <w:shd w:val="clear" w:color="auto" w:fill="auto"/>
            <w:noWrap/>
            <w:vAlign w:val="center"/>
            <w:hideMark/>
          </w:tcPr>
          <w:p w14:paraId="46777C20" w14:textId="77777777" w:rsidR="00387142" w:rsidRPr="008B6A75" w:rsidRDefault="00387142" w:rsidP="00387142">
            <w:pPr>
              <w:jc w:val="center"/>
              <w:rPr>
                <w:sz w:val="20"/>
                <w:szCs w:val="20"/>
              </w:rPr>
            </w:pPr>
            <w:r w:rsidRPr="008B6A75">
              <w:rPr>
                <w:sz w:val="20"/>
                <w:szCs w:val="20"/>
              </w:rPr>
              <w:t>444</w:t>
            </w:r>
          </w:p>
        </w:tc>
        <w:tc>
          <w:tcPr>
            <w:tcW w:w="709" w:type="dxa"/>
            <w:tcBorders>
              <w:top w:val="single" w:sz="4" w:space="0" w:color="auto"/>
              <w:left w:val="single" w:sz="4" w:space="0" w:color="auto"/>
              <w:bottom w:val="nil"/>
              <w:right w:val="nil"/>
            </w:tcBorders>
            <w:shd w:val="clear" w:color="auto" w:fill="auto"/>
            <w:noWrap/>
            <w:vAlign w:val="center"/>
            <w:hideMark/>
          </w:tcPr>
          <w:p w14:paraId="70E1B0A3" w14:textId="77777777" w:rsidR="00387142" w:rsidRPr="008B6A75" w:rsidRDefault="00387142" w:rsidP="00387142">
            <w:pPr>
              <w:jc w:val="center"/>
              <w:rPr>
                <w:sz w:val="20"/>
                <w:szCs w:val="20"/>
              </w:rPr>
            </w:pPr>
            <w:r w:rsidRPr="008B6A75">
              <w:rPr>
                <w:sz w:val="20"/>
                <w:szCs w:val="20"/>
              </w:rPr>
              <w:t>10</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1D425554" w14:textId="77777777" w:rsidR="00387142" w:rsidRPr="008B6A75" w:rsidRDefault="00387142" w:rsidP="00387142">
            <w:pPr>
              <w:jc w:val="center"/>
              <w:rPr>
                <w:sz w:val="20"/>
                <w:szCs w:val="20"/>
              </w:rPr>
            </w:pPr>
            <w:r w:rsidRPr="008B6A75">
              <w:rPr>
                <w:sz w:val="20"/>
                <w:szCs w:val="20"/>
              </w:rPr>
              <w:t>06</w:t>
            </w:r>
          </w:p>
        </w:tc>
        <w:tc>
          <w:tcPr>
            <w:tcW w:w="1411" w:type="dxa"/>
            <w:tcBorders>
              <w:top w:val="single" w:sz="4" w:space="0" w:color="auto"/>
              <w:left w:val="single" w:sz="4" w:space="0" w:color="auto"/>
              <w:bottom w:val="nil"/>
              <w:right w:val="nil"/>
            </w:tcBorders>
            <w:shd w:val="clear" w:color="auto" w:fill="auto"/>
            <w:noWrap/>
            <w:vAlign w:val="center"/>
            <w:hideMark/>
          </w:tcPr>
          <w:p w14:paraId="14D03197" w14:textId="77777777" w:rsidR="00387142" w:rsidRPr="008B6A75" w:rsidRDefault="00387142" w:rsidP="00387142">
            <w:pPr>
              <w:jc w:val="center"/>
              <w:rPr>
                <w:sz w:val="20"/>
                <w:szCs w:val="20"/>
              </w:rPr>
            </w:pPr>
            <w:r w:rsidRPr="008B6A75">
              <w:rPr>
                <w:sz w:val="20"/>
                <w:szCs w:val="20"/>
              </w:rPr>
              <w:t>31.0.00.10850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120B1891" w14:textId="77777777" w:rsidR="00387142" w:rsidRPr="008B6A75" w:rsidRDefault="00387142" w:rsidP="00387142">
            <w:pPr>
              <w:jc w:val="center"/>
              <w:rPr>
                <w:sz w:val="20"/>
                <w:szCs w:val="20"/>
              </w:rPr>
            </w:pPr>
            <w:r w:rsidRPr="008B6A75">
              <w:rPr>
                <w:sz w:val="20"/>
                <w:szCs w:val="20"/>
              </w:rPr>
              <w:t>600</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4EBA3AAE" w14:textId="77777777" w:rsidR="00387142" w:rsidRPr="008B6A75" w:rsidRDefault="00387142" w:rsidP="00387142">
            <w:pPr>
              <w:jc w:val="right"/>
              <w:rPr>
                <w:sz w:val="20"/>
                <w:szCs w:val="20"/>
              </w:rPr>
            </w:pPr>
            <w:r w:rsidRPr="008B6A75">
              <w:rPr>
                <w:sz w:val="20"/>
                <w:szCs w:val="20"/>
              </w:rPr>
              <w:t>100 000,00</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596A1467" w14:textId="77777777" w:rsidR="00387142" w:rsidRPr="008B6A75" w:rsidRDefault="00387142" w:rsidP="00387142">
            <w:pPr>
              <w:jc w:val="right"/>
              <w:rPr>
                <w:sz w:val="20"/>
                <w:szCs w:val="20"/>
              </w:rPr>
            </w:pPr>
            <w:r w:rsidRPr="008B6A75">
              <w:rPr>
                <w:sz w:val="20"/>
                <w:szCs w:val="20"/>
              </w:rPr>
              <w:t>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559DA289" w14:textId="77777777" w:rsidR="00387142" w:rsidRPr="008B6A75" w:rsidRDefault="00387142" w:rsidP="00387142">
            <w:pPr>
              <w:jc w:val="right"/>
              <w:rPr>
                <w:sz w:val="20"/>
                <w:szCs w:val="20"/>
              </w:rPr>
            </w:pPr>
            <w:r w:rsidRPr="008B6A75">
              <w:rPr>
                <w:sz w:val="20"/>
                <w:szCs w:val="20"/>
              </w:rPr>
              <w:t>0,00</w:t>
            </w:r>
          </w:p>
        </w:tc>
        <w:tc>
          <w:tcPr>
            <w:tcW w:w="222" w:type="dxa"/>
            <w:vAlign w:val="center"/>
            <w:hideMark/>
          </w:tcPr>
          <w:p w14:paraId="1B7149EC" w14:textId="77777777" w:rsidR="00387142" w:rsidRPr="008B6A75" w:rsidRDefault="00387142" w:rsidP="00387142">
            <w:pPr>
              <w:rPr>
                <w:sz w:val="20"/>
                <w:szCs w:val="20"/>
              </w:rPr>
            </w:pPr>
          </w:p>
        </w:tc>
      </w:tr>
      <w:tr w:rsidR="00387142" w:rsidRPr="008B6A75" w14:paraId="3BEAA693" w14:textId="77777777" w:rsidTr="00387142">
        <w:trPr>
          <w:trHeight w:val="300"/>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46AB877A" w14:textId="77777777" w:rsidR="00387142" w:rsidRPr="008B6A75" w:rsidRDefault="00387142" w:rsidP="00387142">
            <w:pPr>
              <w:rPr>
                <w:sz w:val="20"/>
                <w:szCs w:val="20"/>
              </w:rPr>
            </w:pPr>
            <w:r w:rsidRPr="008B6A75">
              <w:rPr>
                <w:sz w:val="20"/>
                <w:szCs w:val="20"/>
              </w:rPr>
              <w:t>Субсидии бюджетным учреждениям</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3D791C60" w14:textId="77777777" w:rsidR="00387142" w:rsidRPr="008B6A75" w:rsidRDefault="00387142" w:rsidP="00387142">
            <w:pPr>
              <w:jc w:val="center"/>
              <w:rPr>
                <w:sz w:val="20"/>
                <w:szCs w:val="20"/>
              </w:rPr>
            </w:pPr>
            <w:r w:rsidRPr="008B6A75">
              <w:rPr>
                <w:sz w:val="20"/>
                <w:szCs w:val="20"/>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6A426C88" w14:textId="77777777" w:rsidR="00387142" w:rsidRPr="008B6A75" w:rsidRDefault="00387142" w:rsidP="00387142">
            <w:pPr>
              <w:jc w:val="center"/>
              <w:rPr>
                <w:sz w:val="20"/>
                <w:szCs w:val="20"/>
              </w:rPr>
            </w:pPr>
            <w:r w:rsidRPr="008B6A75">
              <w:rPr>
                <w:sz w:val="20"/>
                <w:szCs w:val="20"/>
              </w:rPr>
              <w:t>10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4A9F8F" w14:textId="77777777" w:rsidR="00387142" w:rsidRPr="008B6A75" w:rsidRDefault="00387142" w:rsidP="00387142">
            <w:pPr>
              <w:jc w:val="center"/>
              <w:rPr>
                <w:sz w:val="20"/>
                <w:szCs w:val="20"/>
              </w:rPr>
            </w:pPr>
            <w:r w:rsidRPr="008B6A75">
              <w:rPr>
                <w:sz w:val="20"/>
                <w:szCs w:val="20"/>
              </w:rPr>
              <w:t>06</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76D7F7FA" w14:textId="77777777" w:rsidR="00387142" w:rsidRPr="008B6A75" w:rsidRDefault="00387142" w:rsidP="00387142">
            <w:pPr>
              <w:jc w:val="center"/>
              <w:rPr>
                <w:sz w:val="20"/>
                <w:szCs w:val="20"/>
              </w:rPr>
            </w:pPr>
            <w:r w:rsidRPr="008B6A75">
              <w:rPr>
                <w:sz w:val="20"/>
                <w:szCs w:val="20"/>
              </w:rPr>
              <w:t>31.0.00.10850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513984" w14:textId="77777777" w:rsidR="00387142" w:rsidRPr="008B6A75" w:rsidRDefault="00387142" w:rsidP="00387142">
            <w:pPr>
              <w:jc w:val="center"/>
              <w:rPr>
                <w:sz w:val="20"/>
                <w:szCs w:val="20"/>
              </w:rPr>
            </w:pPr>
            <w:r w:rsidRPr="008B6A75">
              <w:rPr>
                <w:sz w:val="20"/>
                <w:szCs w:val="20"/>
              </w:rPr>
              <w:t>610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1854FF" w14:textId="77777777" w:rsidR="00387142" w:rsidRPr="008B6A75" w:rsidRDefault="00387142" w:rsidP="00387142">
            <w:pPr>
              <w:jc w:val="right"/>
              <w:rPr>
                <w:sz w:val="20"/>
                <w:szCs w:val="20"/>
              </w:rPr>
            </w:pPr>
            <w:r w:rsidRPr="008B6A75">
              <w:rPr>
                <w:sz w:val="20"/>
                <w:szCs w:val="20"/>
              </w:rPr>
              <w:t>100 000,00</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11817E86" w14:textId="77777777" w:rsidR="00387142" w:rsidRPr="008B6A75" w:rsidRDefault="00387142" w:rsidP="00387142">
            <w:pPr>
              <w:jc w:val="right"/>
              <w:rPr>
                <w:sz w:val="20"/>
                <w:szCs w:val="20"/>
              </w:rPr>
            </w:pPr>
            <w:r w:rsidRPr="008B6A75">
              <w:rPr>
                <w:sz w:val="20"/>
                <w:szCs w:val="20"/>
              </w:rPr>
              <w:t>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DFA3E3" w14:textId="77777777" w:rsidR="00387142" w:rsidRPr="008B6A75" w:rsidRDefault="00387142" w:rsidP="00387142">
            <w:pPr>
              <w:jc w:val="right"/>
              <w:rPr>
                <w:sz w:val="20"/>
                <w:szCs w:val="20"/>
              </w:rPr>
            </w:pPr>
            <w:r w:rsidRPr="008B6A75">
              <w:rPr>
                <w:sz w:val="20"/>
                <w:szCs w:val="20"/>
              </w:rPr>
              <w:t>0,00</w:t>
            </w:r>
          </w:p>
        </w:tc>
        <w:tc>
          <w:tcPr>
            <w:tcW w:w="222" w:type="dxa"/>
            <w:vAlign w:val="center"/>
            <w:hideMark/>
          </w:tcPr>
          <w:p w14:paraId="319F00B3" w14:textId="77777777" w:rsidR="00387142" w:rsidRPr="008B6A75" w:rsidRDefault="00387142" w:rsidP="00387142">
            <w:pPr>
              <w:rPr>
                <w:sz w:val="20"/>
                <w:szCs w:val="20"/>
              </w:rPr>
            </w:pPr>
          </w:p>
        </w:tc>
      </w:tr>
      <w:tr w:rsidR="00387142" w:rsidRPr="008B6A75" w14:paraId="1614BACA" w14:textId="77777777" w:rsidTr="00387142">
        <w:trPr>
          <w:trHeight w:val="300"/>
        </w:trPr>
        <w:tc>
          <w:tcPr>
            <w:tcW w:w="3021" w:type="dxa"/>
            <w:tcBorders>
              <w:top w:val="nil"/>
              <w:left w:val="single" w:sz="4" w:space="0" w:color="auto"/>
              <w:bottom w:val="nil"/>
              <w:right w:val="nil"/>
            </w:tcBorders>
            <w:shd w:val="clear" w:color="auto" w:fill="auto"/>
            <w:vAlign w:val="center"/>
            <w:hideMark/>
          </w:tcPr>
          <w:p w14:paraId="34051D2F" w14:textId="77777777" w:rsidR="00387142" w:rsidRPr="008B6A75" w:rsidRDefault="00387142" w:rsidP="00387142">
            <w:pPr>
              <w:rPr>
                <w:bCs/>
                <w:sz w:val="20"/>
                <w:szCs w:val="20"/>
              </w:rPr>
            </w:pPr>
            <w:r w:rsidRPr="008B6A75">
              <w:rPr>
                <w:bCs/>
                <w:sz w:val="20"/>
                <w:szCs w:val="20"/>
              </w:rPr>
              <w:t>Непрограммные направления бюджета</w:t>
            </w:r>
          </w:p>
        </w:tc>
        <w:tc>
          <w:tcPr>
            <w:tcW w:w="850" w:type="dxa"/>
            <w:tcBorders>
              <w:top w:val="nil"/>
              <w:left w:val="single" w:sz="4" w:space="0" w:color="auto"/>
              <w:bottom w:val="nil"/>
              <w:right w:val="nil"/>
            </w:tcBorders>
            <w:shd w:val="clear" w:color="auto" w:fill="auto"/>
            <w:noWrap/>
            <w:vAlign w:val="center"/>
            <w:hideMark/>
          </w:tcPr>
          <w:p w14:paraId="433D6E5D" w14:textId="77777777" w:rsidR="00387142" w:rsidRPr="008B6A75" w:rsidRDefault="00387142" w:rsidP="00387142">
            <w:pPr>
              <w:jc w:val="center"/>
              <w:rPr>
                <w:bCs/>
                <w:sz w:val="20"/>
                <w:szCs w:val="20"/>
              </w:rPr>
            </w:pPr>
            <w:r w:rsidRPr="008B6A75">
              <w:rPr>
                <w:bCs/>
                <w:sz w:val="20"/>
                <w:szCs w:val="20"/>
              </w:rPr>
              <w:t>444</w:t>
            </w:r>
          </w:p>
        </w:tc>
        <w:tc>
          <w:tcPr>
            <w:tcW w:w="709" w:type="dxa"/>
            <w:tcBorders>
              <w:top w:val="nil"/>
              <w:left w:val="single" w:sz="4" w:space="0" w:color="auto"/>
              <w:bottom w:val="nil"/>
              <w:right w:val="nil"/>
            </w:tcBorders>
            <w:shd w:val="clear" w:color="auto" w:fill="auto"/>
            <w:noWrap/>
            <w:vAlign w:val="center"/>
            <w:hideMark/>
          </w:tcPr>
          <w:p w14:paraId="26BFBAE8" w14:textId="77777777" w:rsidR="00387142" w:rsidRPr="008B6A75" w:rsidRDefault="00387142" w:rsidP="00387142">
            <w:pPr>
              <w:jc w:val="center"/>
              <w:rPr>
                <w:bCs/>
                <w:sz w:val="20"/>
                <w:szCs w:val="20"/>
              </w:rPr>
            </w:pPr>
            <w:r w:rsidRPr="008B6A75">
              <w:rPr>
                <w:bCs/>
                <w:sz w:val="20"/>
                <w:szCs w:val="20"/>
              </w:rPr>
              <w:t>10</w:t>
            </w:r>
          </w:p>
        </w:tc>
        <w:tc>
          <w:tcPr>
            <w:tcW w:w="709" w:type="dxa"/>
            <w:tcBorders>
              <w:top w:val="nil"/>
              <w:left w:val="single" w:sz="4" w:space="0" w:color="auto"/>
              <w:bottom w:val="nil"/>
              <w:right w:val="single" w:sz="4" w:space="0" w:color="auto"/>
            </w:tcBorders>
            <w:shd w:val="clear" w:color="auto" w:fill="auto"/>
            <w:noWrap/>
            <w:vAlign w:val="center"/>
            <w:hideMark/>
          </w:tcPr>
          <w:p w14:paraId="247216F2" w14:textId="77777777" w:rsidR="00387142" w:rsidRPr="008B6A75" w:rsidRDefault="00387142" w:rsidP="00387142">
            <w:pPr>
              <w:jc w:val="center"/>
              <w:rPr>
                <w:bCs/>
                <w:sz w:val="20"/>
                <w:szCs w:val="20"/>
              </w:rPr>
            </w:pPr>
            <w:r w:rsidRPr="008B6A75">
              <w:rPr>
                <w:bCs/>
                <w:sz w:val="20"/>
                <w:szCs w:val="20"/>
              </w:rPr>
              <w:t>06</w:t>
            </w:r>
          </w:p>
        </w:tc>
        <w:tc>
          <w:tcPr>
            <w:tcW w:w="1411" w:type="dxa"/>
            <w:tcBorders>
              <w:top w:val="nil"/>
              <w:left w:val="single" w:sz="4" w:space="0" w:color="auto"/>
              <w:bottom w:val="nil"/>
              <w:right w:val="nil"/>
            </w:tcBorders>
            <w:shd w:val="clear" w:color="auto" w:fill="auto"/>
            <w:noWrap/>
            <w:vAlign w:val="center"/>
            <w:hideMark/>
          </w:tcPr>
          <w:p w14:paraId="47E71263" w14:textId="77777777" w:rsidR="00387142" w:rsidRPr="008B6A75" w:rsidRDefault="00387142" w:rsidP="00387142">
            <w:pPr>
              <w:jc w:val="center"/>
              <w:rPr>
                <w:bCs/>
                <w:sz w:val="20"/>
                <w:szCs w:val="20"/>
              </w:rPr>
            </w:pPr>
            <w:r w:rsidRPr="008B6A75">
              <w:rPr>
                <w:bCs/>
                <w:sz w:val="20"/>
                <w:szCs w:val="20"/>
              </w:rPr>
              <w:t>99.0.00.00000</w:t>
            </w:r>
          </w:p>
        </w:tc>
        <w:tc>
          <w:tcPr>
            <w:tcW w:w="955" w:type="dxa"/>
            <w:tcBorders>
              <w:top w:val="nil"/>
              <w:left w:val="single" w:sz="4" w:space="0" w:color="auto"/>
              <w:bottom w:val="nil"/>
              <w:right w:val="single" w:sz="4" w:space="0" w:color="auto"/>
            </w:tcBorders>
            <w:shd w:val="clear" w:color="auto" w:fill="auto"/>
            <w:noWrap/>
            <w:vAlign w:val="center"/>
            <w:hideMark/>
          </w:tcPr>
          <w:p w14:paraId="06B93CF4"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nil"/>
              <w:right w:val="single" w:sz="4" w:space="0" w:color="auto"/>
            </w:tcBorders>
            <w:shd w:val="clear" w:color="auto" w:fill="auto"/>
            <w:noWrap/>
            <w:vAlign w:val="center"/>
            <w:hideMark/>
          </w:tcPr>
          <w:p w14:paraId="0B642014" w14:textId="77777777" w:rsidR="00387142" w:rsidRPr="008B6A75" w:rsidRDefault="00387142" w:rsidP="00387142">
            <w:pPr>
              <w:jc w:val="right"/>
              <w:rPr>
                <w:bCs/>
                <w:sz w:val="20"/>
                <w:szCs w:val="20"/>
              </w:rPr>
            </w:pPr>
            <w:r w:rsidRPr="008B6A75">
              <w:rPr>
                <w:bCs/>
                <w:sz w:val="20"/>
                <w:szCs w:val="20"/>
              </w:rPr>
              <w:t>1 263 952,00</w:t>
            </w:r>
          </w:p>
        </w:tc>
        <w:tc>
          <w:tcPr>
            <w:tcW w:w="992" w:type="dxa"/>
            <w:gridSpan w:val="2"/>
            <w:tcBorders>
              <w:top w:val="nil"/>
              <w:left w:val="single" w:sz="4" w:space="0" w:color="auto"/>
              <w:bottom w:val="nil"/>
              <w:right w:val="nil"/>
            </w:tcBorders>
            <w:shd w:val="clear" w:color="auto" w:fill="auto"/>
            <w:noWrap/>
            <w:vAlign w:val="center"/>
            <w:hideMark/>
          </w:tcPr>
          <w:p w14:paraId="1B2F6507" w14:textId="77777777" w:rsidR="00387142" w:rsidRPr="008B6A75" w:rsidRDefault="00387142" w:rsidP="00387142">
            <w:pPr>
              <w:jc w:val="right"/>
              <w:rPr>
                <w:bCs/>
                <w:sz w:val="20"/>
                <w:szCs w:val="20"/>
              </w:rPr>
            </w:pPr>
            <w:r w:rsidRPr="008B6A75">
              <w:rPr>
                <w:bCs/>
                <w:sz w:val="20"/>
                <w:szCs w:val="20"/>
              </w:rPr>
              <w:t>1 355 962,00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04437525" w14:textId="77777777" w:rsidR="00387142" w:rsidRPr="008B6A75" w:rsidRDefault="00387142" w:rsidP="00387142">
            <w:pPr>
              <w:jc w:val="right"/>
              <w:rPr>
                <w:bCs/>
                <w:sz w:val="20"/>
                <w:szCs w:val="20"/>
              </w:rPr>
            </w:pPr>
            <w:r w:rsidRPr="008B6A75">
              <w:rPr>
                <w:bCs/>
                <w:sz w:val="20"/>
                <w:szCs w:val="20"/>
              </w:rPr>
              <w:t>275 862,00</w:t>
            </w:r>
          </w:p>
        </w:tc>
        <w:tc>
          <w:tcPr>
            <w:tcW w:w="222" w:type="dxa"/>
            <w:vAlign w:val="center"/>
            <w:hideMark/>
          </w:tcPr>
          <w:p w14:paraId="2AF1B760" w14:textId="77777777" w:rsidR="00387142" w:rsidRPr="008B6A75" w:rsidRDefault="00387142" w:rsidP="00387142">
            <w:pPr>
              <w:rPr>
                <w:sz w:val="20"/>
                <w:szCs w:val="20"/>
              </w:rPr>
            </w:pPr>
          </w:p>
        </w:tc>
      </w:tr>
      <w:tr w:rsidR="00387142" w:rsidRPr="008B6A75" w14:paraId="029C7A8D" w14:textId="77777777" w:rsidTr="00387142">
        <w:trPr>
          <w:trHeight w:val="870"/>
        </w:trPr>
        <w:tc>
          <w:tcPr>
            <w:tcW w:w="3021" w:type="dxa"/>
            <w:tcBorders>
              <w:top w:val="single" w:sz="4" w:space="0" w:color="auto"/>
              <w:left w:val="single" w:sz="4" w:space="0" w:color="auto"/>
              <w:bottom w:val="nil"/>
              <w:right w:val="nil"/>
            </w:tcBorders>
            <w:shd w:val="clear" w:color="auto" w:fill="auto"/>
            <w:vAlign w:val="center"/>
            <w:hideMark/>
          </w:tcPr>
          <w:p w14:paraId="344E93DA" w14:textId="77777777" w:rsidR="00387142" w:rsidRPr="008B6A75" w:rsidRDefault="00387142" w:rsidP="00387142">
            <w:pPr>
              <w:rPr>
                <w:bCs/>
                <w:sz w:val="20"/>
                <w:szCs w:val="20"/>
              </w:rPr>
            </w:pPr>
            <w:r w:rsidRPr="008B6A75">
              <w:rPr>
                <w:bCs/>
                <w:sz w:val="20"/>
                <w:szCs w:val="20"/>
              </w:rPr>
              <w:t xml:space="preserve">Расходы на предоставление </w:t>
            </w:r>
            <w:proofErr w:type="gramStart"/>
            <w:r w:rsidRPr="008B6A75">
              <w:rPr>
                <w:bCs/>
                <w:sz w:val="20"/>
                <w:szCs w:val="20"/>
              </w:rPr>
              <w:t>субсидий  отдельным</w:t>
            </w:r>
            <w:proofErr w:type="gramEnd"/>
            <w:r w:rsidRPr="008B6A75">
              <w:rPr>
                <w:bCs/>
                <w:sz w:val="20"/>
                <w:szCs w:val="20"/>
              </w:rPr>
              <w:t xml:space="preserve"> общественным организациям и иным некоммерческих организациям</w:t>
            </w:r>
          </w:p>
        </w:tc>
        <w:tc>
          <w:tcPr>
            <w:tcW w:w="850" w:type="dxa"/>
            <w:tcBorders>
              <w:top w:val="single" w:sz="4" w:space="0" w:color="auto"/>
              <w:left w:val="single" w:sz="4" w:space="0" w:color="auto"/>
              <w:bottom w:val="nil"/>
              <w:right w:val="nil"/>
            </w:tcBorders>
            <w:shd w:val="clear" w:color="auto" w:fill="auto"/>
            <w:noWrap/>
            <w:vAlign w:val="center"/>
            <w:hideMark/>
          </w:tcPr>
          <w:p w14:paraId="458ADC13" w14:textId="77777777" w:rsidR="00387142" w:rsidRPr="008B6A75" w:rsidRDefault="00387142" w:rsidP="00387142">
            <w:pPr>
              <w:jc w:val="center"/>
              <w:rPr>
                <w:bCs/>
                <w:sz w:val="20"/>
                <w:szCs w:val="20"/>
              </w:rPr>
            </w:pPr>
            <w:r w:rsidRPr="008B6A75">
              <w:rPr>
                <w:bCs/>
                <w:sz w:val="20"/>
                <w:szCs w:val="20"/>
              </w:rPr>
              <w:t>444</w:t>
            </w:r>
          </w:p>
        </w:tc>
        <w:tc>
          <w:tcPr>
            <w:tcW w:w="709" w:type="dxa"/>
            <w:tcBorders>
              <w:top w:val="single" w:sz="4" w:space="0" w:color="auto"/>
              <w:left w:val="single" w:sz="4" w:space="0" w:color="auto"/>
              <w:bottom w:val="nil"/>
              <w:right w:val="nil"/>
            </w:tcBorders>
            <w:shd w:val="clear" w:color="auto" w:fill="auto"/>
            <w:noWrap/>
            <w:vAlign w:val="center"/>
            <w:hideMark/>
          </w:tcPr>
          <w:p w14:paraId="7B29A27C" w14:textId="77777777" w:rsidR="00387142" w:rsidRPr="008B6A75" w:rsidRDefault="00387142" w:rsidP="00387142">
            <w:pPr>
              <w:jc w:val="center"/>
              <w:rPr>
                <w:bCs/>
                <w:sz w:val="20"/>
                <w:szCs w:val="20"/>
              </w:rPr>
            </w:pPr>
            <w:r w:rsidRPr="008B6A75">
              <w:rPr>
                <w:bCs/>
                <w:sz w:val="20"/>
                <w:szCs w:val="20"/>
              </w:rPr>
              <w:t>10</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074B6A3C" w14:textId="77777777" w:rsidR="00387142" w:rsidRPr="008B6A75" w:rsidRDefault="00387142" w:rsidP="00387142">
            <w:pPr>
              <w:jc w:val="center"/>
              <w:rPr>
                <w:bCs/>
                <w:sz w:val="20"/>
                <w:szCs w:val="20"/>
              </w:rPr>
            </w:pPr>
            <w:r w:rsidRPr="008B6A75">
              <w:rPr>
                <w:bCs/>
                <w:sz w:val="20"/>
                <w:szCs w:val="20"/>
              </w:rPr>
              <w:t>06</w:t>
            </w:r>
          </w:p>
        </w:tc>
        <w:tc>
          <w:tcPr>
            <w:tcW w:w="1411" w:type="dxa"/>
            <w:tcBorders>
              <w:top w:val="single" w:sz="4" w:space="0" w:color="auto"/>
              <w:left w:val="single" w:sz="4" w:space="0" w:color="auto"/>
              <w:bottom w:val="nil"/>
              <w:right w:val="nil"/>
            </w:tcBorders>
            <w:shd w:val="clear" w:color="auto" w:fill="auto"/>
            <w:noWrap/>
            <w:vAlign w:val="center"/>
            <w:hideMark/>
          </w:tcPr>
          <w:p w14:paraId="73372495" w14:textId="77777777" w:rsidR="00387142" w:rsidRPr="008B6A75" w:rsidRDefault="00387142" w:rsidP="00387142">
            <w:pPr>
              <w:jc w:val="center"/>
              <w:rPr>
                <w:bCs/>
                <w:sz w:val="20"/>
                <w:szCs w:val="20"/>
              </w:rPr>
            </w:pPr>
            <w:r w:rsidRPr="008B6A75">
              <w:rPr>
                <w:bCs/>
                <w:sz w:val="20"/>
                <w:szCs w:val="20"/>
              </w:rPr>
              <w:t>99.0.00.10210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25836F74" w14:textId="77777777" w:rsidR="00387142" w:rsidRPr="008B6A75" w:rsidRDefault="00387142" w:rsidP="00387142">
            <w:pPr>
              <w:jc w:val="center"/>
              <w:rPr>
                <w:bCs/>
                <w:sz w:val="20"/>
                <w:szCs w:val="20"/>
              </w:rPr>
            </w:pPr>
            <w:r w:rsidRPr="008B6A75">
              <w:rPr>
                <w:bCs/>
                <w:sz w:val="20"/>
                <w:szCs w:val="20"/>
              </w:rPr>
              <w:t> </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3E576A6A" w14:textId="77777777" w:rsidR="00387142" w:rsidRPr="008B6A75" w:rsidRDefault="00387142" w:rsidP="00387142">
            <w:pPr>
              <w:jc w:val="right"/>
              <w:rPr>
                <w:bCs/>
                <w:sz w:val="20"/>
                <w:szCs w:val="20"/>
              </w:rPr>
            </w:pPr>
            <w:r w:rsidRPr="008B6A75">
              <w:rPr>
                <w:bCs/>
                <w:sz w:val="20"/>
                <w:szCs w:val="20"/>
              </w:rPr>
              <w:t>331 790,00</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3A9A43F8" w14:textId="77777777" w:rsidR="00387142" w:rsidRPr="008B6A75" w:rsidRDefault="00387142" w:rsidP="00387142">
            <w:pPr>
              <w:jc w:val="right"/>
              <w:rPr>
                <w:bCs/>
                <w:sz w:val="20"/>
                <w:szCs w:val="20"/>
              </w:rPr>
            </w:pPr>
            <w:r w:rsidRPr="008B6A75">
              <w:rPr>
                <w:bCs/>
                <w:sz w:val="20"/>
                <w:szCs w:val="20"/>
              </w:rPr>
              <w:t>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4B2E444E" w14:textId="77777777" w:rsidR="00387142" w:rsidRPr="008B6A75" w:rsidRDefault="00387142" w:rsidP="00387142">
            <w:pPr>
              <w:jc w:val="right"/>
              <w:rPr>
                <w:bCs/>
                <w:sz w:val="20"/>
                <w:szCs w:val="20"/>
              </w:rPr>
            </w:pPr>
            <w:r w:rsidRPr="008B6A75">
              <w:rPr>
                <w:bCs/>
                <w:sz w:val="20"/>
                <w:szCs w:val="20"/>
              </w:rPr>
              <w:t>0,00</w:t>
            </w:r>
          </w:p>
        </w:tc>
        <w:tc>
          <w:tcPr>
            <w:tcW w:w="222" w:type="dxa"/>
            <w:vAlign w:val="center"/>
            <w:hideMark/>
          </w:tcPr>
          <w:p w14:paraId="48FF3B8D" w14:textId="77777777" w:rsidR="00387142" w:rsidRPr="008B6A75" w:rsidRDefault="00387142" w:rsidP="00387142">
            <w:pPr>
              <w:rPr>
                <w:sz w:val="20"/>
                <w:szCs w:val="20"/>
              </w:rPr>
            </w:pPr>
          </w:p>
        </w:tc>
      </w:tr>
      <w:tr w:rsidR="00387142" w:rsidRPr="008B6A75" w14:paraId="5A44CD65" w14:textId="77777777" w:rsidTr="00387142">
        <w:trPr>
          <w:trHeight w:val="870"/>
        </w:trPr>
        <w:tc>
          <w:tcPr>
            <w:tcW w:w="3021" w:type="dxa"/>
            <w:tcBorders>
              <w:top w:val="single" w:sz="4" w:space="0" w:color="auto"/>
              <w:left w:val="single" w:sz="4" w:space="0" w:color="auto"/>
              <w:bottom w:val="nil"/>
              <w:right w:val="nil"/>
            </w:tcBorders>
            <w:shd w:val="clear" w:color="auto" w:fill="auto"/>
            <w:vAlign w:val="center"/>
            <w:hideMark/>
          </w:tcPr>
          <w:p w14:paraId="48161D08" w14:textId="77777777" w:rsidR="00387142" w:rsidRPr="008B6A75" w:rsidRDefault="00387142" w:rsidP="00387142">
            <w:pPr>
              <w:rPr>
                <w:sz w:val="20"/>
                <w:szCs w:val="20"/>
              </w:rPr>
            </w:pPr>
            <w:r w:rsidRPr="008B6A75">
              <w:rPr>
                <w:sz w:val="20"/>
                <w:szCs w:val="20"/>
              </w:rPr>
              <w:t xml:space="preserve">Предоставление субсидий бюджетным, автономным учреждениям и иным </w:t>
            </w:r>
            <w:r w:rsidRPr="008B6A75">
              <w:rPr>
                <w:sz w:val="20"/>
                <w:szCs w:val="20"/>
              </w:rPr>
              <w:lastRenderedPageBreak/>
              <w:t>некоммерческим организациям</w:t>
            </w:r>
          </w:p>
        </w:tc>
        <w:tc>
          <w:tcPr>
            <w:tcW w:w="850" w:type="dxa"/>
            <w:tcBorders>
              <w:top w:val="single" w:sz="4" w:space="0" w:color="auto"/>
              <w:left w:val="single" w:sz="4" w:space="0" w:color="auto"/>
              <w:bottom w:val="nil"/>
              <w:right w:val="nil"/>
            </w:tcBorders>
            <w:shd w:val="clear" w:color="auto" w:fill="auto"/>
            <w:noWrap/>
            <w:vAlign w:val="center"/>
            <w:hideMark/>
          </w:tcPr>
          <w:p w14:paraId="1364A363" w14:textId="77777777" w:rsidR="00387142" w:rsidRPr="008B6A75" w:rsidRDefault="00387142" w:rsidP="00387142">
            <w:pPr>
              <w:jc w:val="center"/>
              <w:rPr>
                <w:sz w:val="20"/>
                <w:szCs w:val="20"/>
              </w:rPr>
            </w:pPr>
            <w:r w:rsidRPr="008B6A75">
              <w:rPr>
                <w:sz w:val="20"/>
                <w:szCs w:val="20"/>
              </w:rPr>
              <w:lastRenderedPageBreak/>
              <w:t>444</w:t>
            </w:r>
          </w:p>
        </w:tc>
        <w:tc>
          <w:tcPr>
            <w:tcW w:w="709" w:type="dxa"/>
            <w:tcBorders>
              <w:top w:val="single" w:sz="4" w:space="0" w:color="auto"/>
              <w:left w:val="single" w:sz="4" w:space="0" w:color="auto"/>
              <w:bottom w:val="nil"/>
              <w:right w:val="nil"/>
            </w:tcBorders>
            <w:shd w:val="clear" w:color="auto" w:fill="auto"/>
            <w:noWrap/>
            <w:vAlign w:val="center"/>
            <w:hideMark/>
          </w:tcPr>
          <w:p w14:paraId="16DCD187" w14:textId="77777777" w:rsidR="00387142" w:rsidRPr="008B6A75" w:rsidRDefault="00387142" w:rsidP="00387142">
            <w:pPr>
              <w:jc w:val="center"/>
              <w:rPr>
                <w:sz w:val="20"/>
                <w:szCs w:val="20"/>
              </w:rPr>
            </w:pPr>
            <w:r w:rsidRPr="008B6A75">
              <w:rPr>
                <w:sz w:val="20"/>
                <w:szCs w:val="20"/>
              </w:rPr>
              <w:t>10</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305EE33D" w14:textId="77777777" w:rsidR="00387142" w:rsidRPr="008B6A75" w:rsidRDefault="00387142" w:rsidP="00387142">
            <w:pPr>
              <w:jc w:val="center"/>
              <w:rPr>
                <w:sz w:val="20"/>
                <w:szCs w:val="20"/>
              </w:rPr>
            </w:pPr>
            <w:r w:rsidRPr="008B6A75">
              <w:rPr>
                <w:sz w:val="20"/>
                <w:szCs w:val="20"/>
              </w:rPr>
              <w:t>06</w:t>
            </w:r>
          </w:p>
        </w:tc>
        <w:tc>
          <w:tcPr>
            <w:tcW w:w="1411" w:type="dxa"/>
            <w:tcBorders>
              <w:top w:val="single" w:sz="4" w:space="0" w:color="auto"/>
              <w:left w:val="single" w:sz="4" w:space="0" w:color="auto"/>
              <w:bottom w:val="nil"/>
              <w:right w:val="nil"/>
            </w:tcBorders>
            <w:shd w:val="clear" w:color="auto" w:fill="auto"/>
            <w:noWrap/>
            <w:vAlign w:val="center"/>
            <w:hideMark/>
          </w:tcPr>
          <w:p w14:paraId="434061AB" w14:textId="77777777" w:rsidR="00387142" w:rsidRPr="008B6A75" w:rsidRDefault="00387142" w:rsidP="00387142">
            <w:pPr>
              <w:jc w:val="center"/>
              <w:rPr>
                <w:sz w:val="20"/>
                <w:szCs w:val="20"/>
              </w:rPr>
            </w:pPr>
            <w:r w:rsidRPr="008B6A75">
              <w:rPr>
                <w:sz w:val="20"/>
                <w:szCs w:val="20"/>
              </w:rPr>
              <w:t>99.0.00.10210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17EFB40A" w14:textId="77777777" w:rsidR="00387142" w:rsidRPr="008B6A75" w:rsidRDefault="00387142" w:rsidP="00387142">
            <w:pPr>
              <w:jc w:val="center"/>
              <w:rPr>
                <w:sz w:val="20"/>
                <w:szCs w:val="20"/>
              </w:rPr>
            </w:pPr>
            <w:r w:rsidRPr="008B6A75">
              <w:rPr>
                <w:sz w:val="20"/>
                <w:szCs w:val="20"/>
              </w:rPr>
              <w:t>600</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61DAB215" w14:textId="77777777" w:rsidR="00387142" w:rsidRPr="008B6A75" w:rsidRDefault="00387142" w:rsidP="00387142">
            <w:pPr>
              <w:jc w:val="right"/>
              <w:rPr>
                <w:sz w:val="20"/>
                <w:szCs w:val="20"/>
              </w:rPr>
            </w:pPr>
            <w:r w:rsidRPr="008B6A75">
              <w:rPr>
                <w:sz w:val="20"/>
                <w:szCs w:val="20"/>
              </w:rPr>
              <w:t>331 790,00</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1DEEB04A" w14:textId="77777777" w:rsidR="00387142" w:rsidRPr="008B6A75" w:rsidRDefault="00387142" w:rsidP="00387142">
            <w:pPr>
              <w:jc w:val="right"/>
              <w:rPr>
                <w:sz w:val="20"/>
                <w:szCs w:val="20"/>
              </w:rPr>
            </w:pPr>
            <w:r w:rsidRPr="008B6A75">
              <w:rPr>
                <w:sz w:val="20"/>
                <w:szCs w:val="20"/>
              </w:rPr>
              <w:t>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68EDC67F" w14:textId="77777777" w:rsidR="00387142" w:rsidRPr="008B6A75" w:rsidRDefault="00387142" w:rsidP="00387142">
            <w:pPr>
              <w:jc w:val="right"/>
              <w:rPr>
                <w:sz w:val="20"/>
                <w:szCs w:val="20"/>
              </w:rPr>
            </w:pPr>
            <w:r w:rsidRPr="008B6A75">
              <w:rPr>
                <w:sz w:val="20"/>
                <w:szCs w:val="20"/>
              </w:rPr>
              <w:t>0,00</w:t>
            </w:r>
          </w:p>
        </w:tc>
        <w:tc>
          <w:tcPr>
            <w:tcW w:w="222" w:type="dxa"/>
            <w:vAlign w:val="center"/>
            <w:hideMark/>
          </w:tcPr>
          <w:p w14:paraId="04E4D826" w14:textId="77777777" w:rsidR="00387142" w:rsidRPr="008B6A75" w:rsidRDefault="00387142" w:rsidP="00387142">
            <w:pPr>
              <w:rPr>
                <w:sz w:val="20"/>
                <w:szCs w:val="20"/>
              </w:rPr>
            </w:pPr>
          </w:p>
        </w:tc>
      </w:tr>
      <w:tr w:rsidR="00387142" w:rsidRPr="008B6A75" w14:paraId="79AF0FCC" w14:textId="77777777" w:rsidTr="00387142">
        <w:trPr>
          <w:trHeight w:val="870"/>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1C88803F" w14:textId="77777777" w:rsidR="00387142" w:rsidRPr="008B6A75" w:rsidRDefault="00387142" w:rsidP="00387142">
            <w:pPr>
              <w:rPr>
                <w:sz w:val="20"/>
                <w:szCs w:val="20"/>
              </w:rPr>
            </w:pPr>
            <w:r w:rsidRPr="008B6A75">
              <w:rPr>
                <w:sz w:val="20"/>
                <w:szCs w:val="20"/>
              </w:rPr>
              <w:t>Субсидии некоммерческим организациям (за исключением государственных (муниципальных) учреждений)</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3BACC196" w14:textId="77777777" w:rsidR="00387142" w:rsidRPr="008B6A75" w:rsidRDefault="00387142" w:rsidP="00387142">
            <w:pPr>
              <w:jc w:val="center"/>
              <w:rPr>
                <w:sz w:val="20"/>
                <w:szCs w:val="20"/>
              </w:rPr>
            </w:pPr>
            <w:r w:rsidRPr="008B6A75">
              <w:rPr>
                <w:sz w:val="20"/>
                <w:szCs w:val="20"/>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6D8B6304" w14:textId="77777777" w:rsidR="00387142" w:rsidRPr="008B6A75" w:rsidRDefault="00387142" w:rsidP="00387142">
            <w:pPr>
              <w:jc w:val="center"/>
              <w:rPr>
                <w:sz w:val="20"/>
                <w:szCs w:val="20"/>
              </w:rPr>
            </w:pPr>
            <w:r w:rsidRPr="008B6A75">
              <w:rPr>
                <w:sz w:val="20"/>
                <w:szCs w:val="20"/>
              </w:rPr>
              <w:t>10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629441" w14:textId="77777777" w:rsidR="00387142" w:rsidRPr="008B6A75" w:rsidRDefault="00387142" w:rsidP="00387142">
            <w:pPr>
              <w:jc w:val="center"/>
              <w:rPr>
                <w:sz w:val="20"/>
                <w:szCs w:val="20"/>
              </w:rPr>
            </w:pPr>
            <w:r w:rsidRPr="008B6A75">
              <w:rPr>
                <w:sz w:val="20"/>
                <w:szCs w:val="20"/>
              </w:rPr>
              <w:t>06</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3BDE4892" w14:textId="77777777" w:rsidR="00387142" w:rsidRPr="008B6A75" w:rsidRDefault="00387142" w:rsidP="00387142">
            <w:pPr>
              <w:jc w:val="center"/>
              <w:rPr>
                <w:sz w:val="20"/>
                <w:szCs w:val="20"/>
              </w:rPr>
            </w:pPr>
            <w:r w:rsidRPr="008B6A75">
              <w:rPr>
                <w:sz w:val="20"/>
                <w:szCs w:val="20"/>
              </w:rPr>
              <w:t>99.0.00.10210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92E367" w14:textId="77777777" w:rsidR="00387142" w:rsidRPr="008B6A75" w:rsidRDefault="00387142" w:rsidP="00387142">
            <w:pPr>
              <w:jc w:val="center"/>
              <w:rPr>
                <w:sz w:val="20"/>
                <w:szCs w:val="20"/>
              </w:rPr>
            </w:pPr>
            <w:r w:rsidRPr="008B6A75">
              <w:rPr>
                <w:sz w:val="20"/>
                <w:szCs w:val="20"/>
              </w:rPr>
              <w:t>630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2AC281" w14:textId="77777777" w:rsidR="00387142" w:rsidRPr="008B6A75" w:rsidRDefault="00387142" w:rsidP="00387142">
            <w:pPr>
              <w:jc w:val="right"/>
              <w:rPr>
                <w:sz w:val="20"/>
                <w:szCs w:val="20"/>
              </w:rPr>
            </w:pPr>
            <w:r w:rsidRPr="008B6A75">
              <w:rPr>
                <w:sz w:val="20"/>
                <w:szCs w:val="20"/>
              </w:rPr>
              <w:t>331 790,00</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4A74B1C5" w14:textId="77777777" w:rsidR="00387142" w:rsidRPr="008B6A75" w:rsidRDefault="00387142" w:rsidP="00387142">
            <w:pPr>
              <w:jc w:val="right"/>
              <w:rPr>
                <w:sz w:val="20"/>
                <w:szCs w:val="20"/>
              </w:rPr>
            </w:pPr>
            <w:r w:rsidRPr="008B6A75">
              <w:rPr>
                <w:sz w:val="20"/>
                <w:szCs w:val="20"/>
              </w:rPr>
              <w:t>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D4A369" w14:textId="77777777" w:rsidR="00387142" w:rsidRPr="008B6A75" w:rsidRDefault="00387142" w:rsidP="00387142">
            <w:pPr>
              <w:jc w:val="right"/>
              <w:rPr>
                <w:sz w:val="20"/>
                <w:szCs w:val="20"/>
              </w:rPr>
            </w:pPr>
            <w:r w:rsidRPr="008B6A75">
              <w:rPr>
                <w:sz w:val="20"/>
                <w:szCs w:val="20"/>
              </w:rPr>
              <w:t>0,00</w:t>
            </w:r>
          </w:p>
        </w:tc>
        <w:tc>
          <w:tcPr>
            <w:tcW w:w="222" w:type="dxa"/>
            <w:vAlign w:val="center"/>
            <w:hideMark/>
          </w:tcPr>
          <w:p w14:paraId="6D8DF2F8" w14:textId="77777777" w:rsidR="00387142" w:rsidRPr="008B6A75" w:rsidRDefault="00387142" w:rsidP="00387142">
            <w:pPr>
              <w:rPr>
                <w:sz w:val="20"/>
                <w:szCs w:val="20"/>
              </w:rPr>
            </w:pPr>
          </w:p>
        </w:tc>
      </w:tr>
      <w:tr w:rsidR="00387142" w:rsidRPr="008B6A75" w14:paraId="0A137CF0" w14:textId="77777777" w:rsidTr="00387142">
        <w:trPr>
          <w:trHeight w:val="300"/>
        </w:trPr>
        <w:tc>
          <w:tcPr>
            <w:tcW w:w="3021" w:type="dxa"/>
            <w:tcBorders>
              <w:top w:val="nil"/>
              <w:left w:val="single" w:sz="4" w:space="0" w:color="auto"/>
              <w:bottom w:val="nil"/>
              <w:right w:val="nil"/>
            </w:tcBorders>
            <w:shd w:val="clear" w:color="auto" w:fill="auto"/>
            <w:vAlign w:val="center"/>
            <w:hideMark/>
          </w:tcPr>
          <w:p w14:paraId="4BFE011E" w14:textId="77777777" w:rsidR="00387142" w:rsidRPr="008B6A75" w:rsidRDefault="00387142" w:rsidP="00387142">
            <w:pPr>
              <w:rPr>
                <w:bCs/>
                <w:sz w:val="20"/>
                <w:szCs w:val="20"/>
              </w:rPr>
            </w:pPr>
            <w:r w:rsidRPr="008B6A75">
              <w:rPr>
                <w:bCs/>
                <w:sz w:val="20"/>
                <w:szCs w:val="20"/>
              </w:rPr>
              <w:t>Денежная выплата почетным гражданам</w:t>
            </w:r>
          </w:p>
        </w:tc>
        <w:tc>
          <w:tcPr>
            <w:tcW w:w="850" w:type="dxa"/>
            <w:tcBorders>
              <w:top w:val="nil"/>
              <w:left w:val="single" w:sz="4" w:space="0" w:color="auto"/>
              <w:bottom w:val="nil"/>
              <w:right w:val="nil"/>
            </w:tcBorders>
            <w:shd w:val="clear" w:color="auto" w:fill="auto"/>
            <w:noWrap/>
            <w:vAlign w:val="center"/>
            <w:hideMark/>
          </w:tcPr>
          <w:p w14:paraId="6A7DA70D" w14:textId="77777777" w:rsidR="00387142" w:rsidRPr="008B6A75" w:rsidRDefault="00387142" w:rsidP="00387142">
            <w:pPr>
              <w:jc w:val="center"/>
              <w:rPr>
                <w:bCs/>
                <w:sz w:val="20"/>
                <w:szCs w:val="20"/>
              </w:rPr>
            </w:pPr>
            <w:r w:rsidRPr="008B6A75">
              <w:rPr>
                <w:bCs/>
                <w:sz w:val="20"/>
                <w:szCs w:val="20"/>
              </w:rPr>
              <w:t>444</w:t>
            </w:r>
          </w:p>
        </w:tc>
        <w:tc>
          <w:tcPr>
            <w:tcW w:w="709" w:type="dxa"/>
            <w:tcBorders>
              <w:top w:val="nil"/>
              <w:left w:val="single" w:sz="4" w:space="0" w:color="auto"/>
              <w:bottom w:val="nil"/>
              <w:right w:val="nil"/>
            </w:tcBorders>
            <w:shd w:val="clear" w:color="auto" w:fill="auto"/>
            <w:noWrap/>
            <w:vAlign w:val="center"/>
            <w:hideMark/>
          </w:tcPr>
          <w:p w14:paraId="717E7EAD" w14:textId="77777777" w:rsidR="00387142" w:rsidRPr="008B6A75" w:rsidRDefault="00387142" w:rsidP="00387142">
            <w:pPr>
              <w:jc w:val="center"/>
              <w:rPr>
                <w:bCs/>
                <w:sz w:val="20"/>
                <w:szCs w:val="20"/>
              </w:rPr>
            </w:pPr>
            <w:r w:rsidRPr="008B6A75">
              <w:rPr>
                <w:bCs/>
                <w:sz w:val="20"/>
                <w:szCs w:val="20"/>
              </w:rPr>
              <w:t>10</w:t>
            </w:r>
          </w:p>
        </w:tc>
        <w:tc>
          <w:tcPr>
            <w:tcW w:w="709" w:type="dxa"/>
            <w:tcBorders>
              <w:top w:val="nil"/>
              <w:left w:val="single" w:sz="4" w:space="0" w:color="auto"/>
              <w:bottom w:val="nil"/>
              <w:right w:val="single" w:sz="4" w:space="0" w:color="auto"/>
            </w:tcBorders>
            <w:shd w:val="clear" w:color="auto" w:fill="auto"/>
            <w:noWrap/>
            <w:vAlign w:val="center"/>
            <w:hideMark/>
          </w:tcPr>
          <w:p w14:paraId="1CCEB4B3" w14:textId="77777777" w:rsidR="00387142" w:rsidRPr="008B6A75" w:rsidRDefault="00387142" w:rsidP="00387142">
            <w:pPr>
              <w:jc w:val="center"/>
              <w:rPr>
                <w:bCs/>
                <w:sz w:val="20"/>
                <w:szCs w:val="20"/>
              </w:rPr>
            </w:pPr>
            <w:r w:rsidRPr="008B6A75">
              <w:rPr>
                <w:bCs/>
                <w:sz w:val="20"/>
                <w:szCs w:val="20"/>
              </w:rPr>
              <w:t>06</w:t>
            </w:r>
          </w:p>
        </w:tc>
        <w:tc>
          <w:tcPr>
            <w:tcW w:w="1411" w:type="dxa"/>
            <w:tcBorders>
              <w:top w:val="nil"/>
              <w:left w:val="single" w:sz="4" w:space="0" w:color="auto"/>
              <w:bottom w:val="nil"/>
              <w:right w:val="nil"/>
            </w:tcBorders>
            <w:shd w:val="clear" w:color="auto" w:fill="auto"/>
            <w:noWrap/>
            <w:vAlign w:val="center"/>
            <w:hideMark/>
          </w:tcPr>
          <w:p w14:paraId="40F708A0" w14:textId="77777777" w:rsidR="00387142" w:rsidRPr="008B6A75" w:rsidRDefault="00387142" w:rsidP="00387142">
            <w:pPr>
              <w:jc w:val="center"/>
              <w:rPr>
                <w:bCs/>
                <w:sz w:val="20"/>
                <w:szCs w:val="20"/>
              </w:rPr>
            </w:pPr>
            <w:r w:rsidRPr="008B6A75">
              <w:rPr>
                <w:bCs/>
                <w:sz w:val="20"/>
                <w:szCs w:val="20"/>
              </w:rPr>
              <w:t>99.0.00.10400</w:t>
            </w:r>
          </w:p>
        </w:tc>
        <w:tc>
          <w:tcPr>
            <w:tcW w:w="955" w:type="dxa"/>
            <w:tcBorders>
              <w:top w:val="nil"/>
              <w:left w:val="single" w:sz="4" w:space="0" w:color="auto"/>
              <w:bottom w:val="nil"/>
              <w:right w:val="single" w:sz="4" w:space="0" w:color="auto"/>
            </w:tcBorders>
            <w:shd w:val="clear" w:color="auto" w:fill="auto"/>
            <w:noWrap/>
            <w:vAlign w:val="center"/>
            <w:hideMark/>
          </w:tcPr>
          <w:p w14:paraId="6012B48B"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nil"/>
              <w:right w:val="single" w:sz="4" w:space="0" w:color="auto"/>
            </w:tcBorders>
            <w:shd w:val="clear" w:color="auto" w:fill="auto"/>
            <w:noWrap/>
            <w:vAlign w:val="center"/>
            <w:hideMark/>
          </w:tcPr>
          <w:p w14:paraId="48A53135" w14:textId="77777777" w:rsidR="00387142" w:rsidRPr="008B6A75" w:rsidRDefault="00387142" w:rsidP="00387142">
            <w:pPr>
              <w:jc w:val="right"/>
              <w:rPr>
                <w:bCs/>
                <w:sz w:val="20"/>
                <w:szCs w:val="20"/>
              </w:rPr>
            </w:pPr>
            <w:r w:rsidRPr="008B6A75">
              <w:rPr>
                <w:bCs/>
                <w:sz w:val="20"/>
                <w:szCs w:val="20"/>
              </w:rPr>
              <w:t>275 862,00</w:t>
            </w:r>
          </w:p>
        </w:tc>
        <w:tc>
          <w:tcPr>
            <w:tcW w:w="992" w:type="dxa"/>
            <w:gridSpan w:val="2"/>
            <w:tcBorders>
              <w:top w:val="nil"/>
              <w:left w:val="single" w:sz="4" w:space="0" w:color="auto"/>
              <w:bottom w:val="nil"/>
              <w:right w:val="nil"/>
            </w:tcBorders>
            <w:shd w:val="clear" w:color="auto" w:fill="auto"/>
            <w:noWrap/>
            <w:vAlign w:val="center"/>
            <w:hideMark/>
          </w:tcPr>
          <w:p w14:paraId="045D89A3" w14:textId="77777777" w:rsidR="00387142" w:rsidRPr="008B6A75" w:rsidRDefault="00387142" w:rsidP="00387142">
            <w:pPr>
              <w:jc w:val="right"/>
              <w:rPr>
                <w:bCs/>
                <w:sz w:val="20"/>
                <w:szCs w:val="20"/>
              </w:rPr>
            </w:pPr>
            <w:r w:rsidRPr="008B6A75">
              <w:rPr>
                <w:bCs/>
                <w:sz w:val="20"/>
                <w:szCs w:val="20"/>
              </w:rPr>
              <w:t>275 862,00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1375DB5B" w14:textId="77777777" w:rsidR="00387142" w:rsidRPr="008B6A75" w:rsidRDefault="00387142" w:rsidP="00387142">
            <w:pPr>
              <w:jc w:val="right"/>
              <w:rPr>
                <w:bCs/>
                <w:sz w:val="20"/>
                <w:szCs w:val="20"/>
              </w:rPr>
            </w:pPr>
            <w:r w:rsidRPr="008B6A75">
              <w:rPr>
                <w:bCs/>
                <w:sz w:val="20"/>
                <w:szCs w:val="20"/>
              </w:rPr>
              <w:t>275 862,00</w:t>
            </w:r>
          </w:p>
        </w:tc>
        <w:tc>
          <w:tcPr>
            <w:tcW w:w="222" w:type="dxa"/>
            <w:vAlign w:val="center"/>
            <w:hideMark/>
          </w:tcPr>
          <w:p w14:paraId="2B6CDAD2" w14:textId="77777777" w:rsidR="00387142" w:rsidRPr="008B6A75" w:rsidRDefault="00387142" w:rsidP="00387142">
            <w:pPr>
              <w:rPr>
                <w:sz w:val="20"/>
                <w:szCs w:val="20"/>
              </w:rPr>
            </w:pPr>
          </w:p>
        </w:tc>
      </w:tr>
      <w:tr w:rsidR="00387142" w:rsidRPr="008B6A75" w14:paraId="5BC990D1" w14:textId="77777777" w:rsidTr="00387142">
        <w:trPr>
          <w:trHeight w:val="585"/>
        </w:trPr>
        <w:tc>
          <w:tcPr>
            <w:tcW w:w="3021" w:type="dxa"/>
            <w:tcBorders>
              <w:top w:val="single" w:sz="4" w:space="0" w:color="auto"/>
              <w:left w:val="single" w:sz="4" w:space="0" w:color="auto"/>
              <w:bottom w:val="nil"/>
              <w:right w:val="nil"/>
            </w:tcBorders>
            <w:shd w:val="clear" w:color="auto" w:fill="auto"/>
            <w:vAlign w:val="center"/>
            <w:hideMark/>
          </w:tcPr>
          <w:p w14:paraId="28ACC414" w14:textId="77777777" w:rsidR="00387142" w:rsidRPr="008B6A75" w:rsidRDefault="00387142" w:rsidP="00387142">
            <w:pPr>
              <w:rPr>
                <w:sz w:val="20"/>
                <w:szCs w:val="20"/>
              </w:rPr>
            </w:pPr>
            <w:r w:rsidRPr="008B6A75">
              <w:rPr>
                <w:sz w:val="20"/>
                <w:szCs w:val="20"/>
              </w:rPr>
              <w:t>Социальное обеспечение и иные выплаты населению</w:t>
            </w:r>
          </w:p>
        </w:tc>
        <w:tc>
          <w:tcPr>
            <w:tcW w:w="850" w:type="dxa"/>
            <w:tcBorders>
              <w:top w:val="single" w:sz="4" w:space="0" w:color="auto"/>
              <w:left w:val="single" w:sz="4" w:space="0" w:color="auto"/>
              <w:bottom w:val="nil"/>
              <w:right w:val="nil"/>
            </w:tcBorders>
            <w:shd w:val="clear" w:color="auto" w:fill="auto"/>
            <w:noWrap/>
            <w:vAlign w:val="center"/>
            <w:hideMark/>
          </w:tcPr>
          <w:p w14:paraId="06EAF249" w14:textId="77777777" w:rsidR="00387142" w:rsidRPr="008B6A75" w:rsidRDefault="00387142" w:rsidP="00387142">
            <w:pPr>
              <w:jc w:val="center"/>
              <w:rPr>
                <w:sz w:val="20"/>
                <w:szCs w:val="20"/>
              </w:rPr>
            </w:pPr>
            <w:r w:rsidRPr="008B6A75">
              <w:rPr>
                <w:sz w:val="20"/>
                <w:szCs w:val="20"/>
              </w:rPr>
              <w:t>444</w:t>
            </w:r>
          </w:p>
        </w:tc>
        <w:tc>
          <w:tcPr>
            <w:tcW w:w="709" w:type="dxa"/>
            <w:tcBorders>
              <w:top w:val="single" w:sz="4" w:space="0" w:color="auto"/>
              <w:left w:val="single" w:sz="4" w:space="0" w:color="auto"/>
              <w:bottom w:val="nil"/>
              <w:right w:val="nil"/>
            </w:tcBorders>
            <w:shd w:val="clear" w:color="auto" w:fill="auto"/>
            <w:noWrap/>
            <w:vAlign w:val="center"/>
            <w:hideMark/>
          </w:tcPr>
          <w:p w14:paraId="7E5D84C7" w14:textId="77777777" w:rsidR="00387142" w:rsidRPr="008B6A75" w:rsidRDefault="00387142" w:rsidP="00387142">
            <w:pPr>
              <w:jc w:val="center"/>
              <w:rPr>
                <w:sz w:val="20"/>
                <w:szCs w:val="20"/>
              </w:rPr>
            </w:pPr>
            <w:r w:rsidRPr="008B6A75">
              <w:rPr>
                <w:sz w:val="20"/>
                <w:szCs w:val="20"/>
              </w:rPr>
              <w:t>10</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64BBB137" w14:textId="77777777" w:rsidR="00387142" w:rsidRPr="008B6A75" w:rsidRDefault="00387142" w:rsidP="00387142">
            <w:pPr>
              <w:jc w:val="center"/>
              <w:rPr>
                <w:sz w:val="20"/>
                <w:szCs w:val="20"/>
              </w:rPr>
            </w:pPr>
            <w:r w:rsidRPr="008B6A75">
              <w:rPr>
                <w:sz w:val="20"/>
                <w:szCs w:val="20"/>
              </w:rPr>
              <w:t>06</w:t>
            </w:r>
          </w:p>
        </w:tc>
        <w:tc>
          <w:tcPr>
            <w:tcW w:w="1411" w:type="dxa"/>
            <w:tcBorders>
              <w:top w:val="single" w:sz="4" w:space="0" w:color="auto"/>
              <w:left w:val="single" w:sz="4" w:space="0" w:color="auto"/>
              <w:bottom w:val="nil"/>
              <w:right w:val="nil"/>
            </w:tcBorders>
            <w:shd w:val="clear" w:color="auto" w:fill="auto"/>
            <w:noWrap/>
            <w:vAlign w:val="center"/>
            <w:hideMark/>
          </w:tcPr>
          <w:p w14:paraId="0F8A6C9E" w14:textId="77777777" w:rsidR="00387142" w:rsidRPr="008B6A75" w:rsidRDefault="00387142" w:rsidP="00387142">
            <w:pPr>
              <w:jc w:val="center"/>
              <w:rPr>
                <w:sz w:val="20"/>
                <w:szCs w:val="20"/>
              </w:rPr>
            </w:pPr>
            <w:r w:rsidRPr="008B6A75">
              <w:rPr>
                <w:sz w:val="20"/>
                <w:szCs w:val="20"/>
              </w:rPr>
              <w:t>99.0.00.10400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4C759083" w14:textId="77777777" w:rsidR="00387142" w:rsidRPr="008B6A75" w:rsidRDefault="00387142" w:rsidP="00387142">
            <w:pPr>
              <w:jc w:val="center"/>
              <w:rPr>
                <w:sz w:val="20"/>
                <w:szCs w:val="20"/>
              </w:rPr>
            </w:pPr>
            <w:r w:rsidRPr="008B6A75">
              <w:rPr>
                <w:sz w:val="20"/>
                <w:szCs w:val="20"/>
              </w:rPr>
              <w:t>300</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5535C462" w14:textId="77777777" w:rsidR="00387142" w:rsidRPr="008B6A75" w:rsidRDefault="00387142" w:rsidP="00387142">
            <w:pPr>
              <w:jc w:val="right"/>
              <w:rPr>
                <w:sz w:val="20"/>
                <w:szCs w:val="20"/>
              </w:rPr>
            </w:pPr>
            <w:r w:rsidRPr="008B6A75">
              <w:rPr>
                <w:sz w:val="20"/>
                <w:szCs w:val="20"/>
              </w:rPr>
              <w:t>275 862,00</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0ABBD8CB" w14:textId="77777777" w:rsidR="00387142" w:rsidRPr="008B6A75" w:rsidRDefault="00387142" w:rsidP="00387142">
            <w:pPr>
              <w:jc w:val="right"/>
              <w:rPr>
                <w:sz w:val="20"/>
                <w:szCs w:val="20"/>
              </w:rPr>
            </w:pPr>
            <w:r w:rsidRPr="008B6A75">
              <w:rPr>
                <w:sz w:val="20"/>
                <w:szCs w:val="20"/>
              </w:rPr>
              <w:t>275 862,00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63789A84" w14:textId="77777777" w:rsidR="00387142" w:rsidRPr="008B6A75" w:rsidRDefault="00387142" w:rsidP="00387142">
            <w:pPr>
              <w:jc w:val="right"/>
              <w:rPr>
                <w:sz w:val="20"/>
                <w:szCs w:val="20"/>
              </w:rPr>
            </w:pPr>
            <w:r w:rsidRPr="008B6A75">
              <w:rPr>
                <w:sz w:val="20"/>
                <w:szCs w:val="20"/>
              </w:rPr>
              <w:t>275 862,00</w:t>
            </w:r>
          </w:p>
        </w:tc>
        <w:tc>
          <w:tcPr>
            <w:tcW w:w="222" w:type="dxa"/>
            <w:vAlign w:val="center"/>
            <w:hideMark/>
          </w:tcPr>
          <w:p w14:paraId="24CCB1B1" w14:textId="77777777" w:rsidR="00387142" w:rsidRPr="008B6A75" w:rsidRDefault="00387142" w:rsidP="00387142">
            <w:pPr>
              <w:rPr>
                <w:sz w:val="20"/>
                <w:szCs w:val="20"/>
              </w:rPr>
            </w:pPr>
          </w:p>
        </w:tc>
      </w:tr>
      <w:tr w:rsidR="00387142" w:rsidRPr="008B6A75" w14:paraId="32A86B15" w14:textId="77777777" w:rsidTr="00387142">
        <w:trPr>
          <w:trHeight w:val="585"/>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5EC580A2" w14:textId="77777777" w:rsidR="00387142" w:rsidRPr="008B6A75" w:rsidRDefault="00387142" w:rsidP="00387142">
            <w:pPr>
              <w:rPr>
                <w:sz w:val="20"/>
                <w:szCs w:val="20"/>
              </w:rPr>
            </w:pPr>
            <w:r w:rsidRPr="008B6A75">
              <w:rPr>
                <w:sz w:val="20"/>
                <w:szCs w:val="20"/>
              </w:rPr>
              <w:t>Публичные нормативные выплаты гражданам несоциального характера</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59E4B778" w14:textId="77777777" w:rsidR="00387142" w:rsidRPr="008B6A75" w:rsidRDefault="00387142" w:rsidP="00387142">
            <w:pPr>
              <w:jc w:val="center"/>
              <w:rPr>
                <w:sz w:val="20"/>
                <w:szCs w:val="20"/>
              </w:rPr>
            </w:pPr>
            <w:r w:rsidRPr="008B6A75">
              <w:rPr>
                <w:sz w:val="20"/>
                <w:szCs w:val="20"/>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365F50A9" w14:textId="77777777" w:rsidR="00387142" w:rsidRPr="008B6A75" w:rsidRDefault="00387142" w:rsidP="00387142">
            <w:pPr>
              <w:jc w:val="center"/>
              <w:rPr>
                <w:sz w:val="20"/>
                <w:szCs w:val="20"/>
              </w:rPr>
            </w:pPr>
            <w:r w:rsidRPr="008B6A75">
              <w:rPr>
                <w:sz w:val="20"/>
                <w:szCs w:val="20"/>
              </w:rPr>
              <w:t>10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A6239D" w14:textId="77777777" w:rsidR="00387142" w:rsidRPr="008B6A75" w:rsidRDefault="00387142" w:rsidP="00387142">
            <w:pPr>
              <w:jc w:val="center"/>
              <w:rPr>
                <w:sz w:val="20"/>
                <w:szCs w:val="20"/>
              </w:rPr>
            </w:pPr>
            <w:r w:rsidRPr="008B6A75">
              <w:rPr>
                <w:sz w:val="20"/>
                <w:szCs w:val="20"/>
              </w:rPr>
              <w:t>06</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5DB0E4B2" w14:textId="77777777" w:rsidR="00387142" w:rsidRPr="008B6A75" w:rsidRDefault="00387142" w:rsidP="00387142">
            <w:pPr>
              <w:jc w:val="center"/>
              <w:rPr>
                <w:sz w:val="20"/>
                <w:szCs w:val="20"/>
              </w:rPr>
            </w:pPr>
            <w:r w:rsidRPr="008B6A75">
              <w:rPr>
                <w:sz w:val="20"/>
                <w:szCs w:val="20"/>
              </w:rPr>
              <w:t>99.0.00.10400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427660" w14:textId="77777777" w:rsidR="00387142" w:rsidRPr="008B6A75" w:rsidRDefault="00387142" w:rsidP="00387142">
            <w:pPr>
              <w:jc w:val="center"/>
              <w:rPr>
                <w:sz w:val="20"/>
                <w:szCs w:val="20"/>
              </w:rPr>
            </w:pPr>
            <w:r w:rsidRPr="008B6A75">
              <w:rPr>
                <w:sz w:val="20"/>
                <w:szCs w:val="20"/>
              </w:rPr>
              <w:t>330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C433E4" w14:textId="77777777" w:rsidR="00387142" w:rsidRPr="008B6A75" w:rsidRDefault="00387142" w:rsidP="00387142">
            <w:pPr>
              <w:jc w:val="right"/>
              <w:rPr>
                <w:sz w:val="20"/>
                <w:szCs w:val="20"/>
              </w:rPr>
            </w:pPr>
            <w:r w:rsidRPr="008B6A75">
              <w:rPr>
                <w:sz w:val="20"/>
                <w:szCs w:val="20"/>
              </w:rPr>
              <w:t>275 862,00</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680784B2" w14:textId="77777777" w:rsidR="00387142" w:rsidRPr="008B6A75" w:rsidRDefault="00387142" w:rsidP="00387142">
            <w:pPr>
              <w:jc w:val="right"/>
              <w:rPr>
                <w:sz w:val="20"/>
                <w:szCs w:val="20"/>
              </w:rPr>
            </w:pPr>
            <w:r w:rsidRPr="008B6A75">
              <w:rPr>
                <w:sz w:val="20"/>
                <w:szCs w:val="20"/>
              </w:rPr>
              <w:t>275 862,00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7A9CD3" w14:textId="77777777" w:rsidR="00387142" w:rsidRPr="008B6A75" w:rsidRDefault="00387142" w:rsidP="00387142">
            <w:pPr>
              <w:jc w:val="right"/>
              <w:rPr>
                <w:sz w:val="20"/>
                <w:szCs w:val="20"/>
              </w:rPr>
            </w:pPr>
            <w:r w:rsidRPr="008B6A75">
              <w:rPr>
                <w:sz w:val="20"/>
                <w:szCs w:val="20"/>
              </w:rPr>
              <w:t>275 862,00</w:t>
            </w:r>
          </w:p>
        </w:tc>
        <w:tc>
          <w:tcPr>
            <w:tcW w:w="222" w:type="dxa"/>
            <w:vAlign w:val="center"/>
            <w:hideMark/>
          </w:tcPr>
          <w:p w14:paraId="11DEFD4F" w14:textId="77777777" w:rsidR="00387142" w:rsidRPr="008B6A75" w:rsidRDefault="00387142" w:rsidP="00387142">
            <w:pPr>
              <w:rPr>
                <w:sz w:val="20"/>
                <w:szCs w:val="20"/>
              </w:rPr>
            </w:pPr>
          </w:p>
        </w:tc>
      </w:tr>
      <w:tr w:rsidR="00387142" w:rsidRPr="008B6A75" w14:paraId="28166143" w14:textId="77777777" w:rsidTr="00387142">
        <w:trPr>
          <w:trHeight w:val="2580"/>
        </w:trPr>
        <w:tc>
          <w:tcPr>
            <w:tcW w:w="3021" w:type="dxa"/>
            <w:tcBorders>
              <w:top w:val="nil"/>
              <w:left w:val="single" w:sz="4" w:space="0" w:color="auto"/>
              <w:bottom w:val="nil"/>
              <w:right w:val="nil"/>
            </w:tcBorders>
            <w:shd w:val="clear" w:color="auto" w:fill="auto"/>
            <w:vAlign w:val="center"/>
            <w:hideMark/>
          </w:tcPr>
          <w:p w14:paraId="0220E4FE" w14:textId="77777777" w:rsidR="00387142" w:rsidRPr="008B6A75" w:rsidRDefault="00387142" w:rsidP="00387142">
            <w:pPr>
              <w:rPr>
                <w:bCs/>
                <w:sz w:val="20"/>
                <w:szCs w:val="20"/>
              </w:rPr>
            </w:pPr>
            <w:r w:rsidRPr="008B6A75">
              <w:rPr>
                <w:bCs/>
                <w:sz w:val="20"/>
                <w:szCs w:val="20"/>
              </w:rPr>
              <w:t>Реализация мероприятий по созданию социально-экономических, организационных условий для повышения качества жизни граждан пожилого возраста, степени их социальной защищенности, содействие их активному участию в жизни общества государственной программы Новосибирской области «Социальная поддержка в Новосибирской области»</w:t>
            </w:r>
          </w:p>
        </w:tc>
        <w:tc>
          <w:tcPr>
            <w:tcW w:w="850" w:type="dxa"/>
            <w:tcBorders>
              <w:top w:val="nil"/>
              <w:left w:val="single" w:sz="4" w:space="0" w:color="auto"/>
              <w:bottom w:val="nil"/>
              <w:right w:val="nil"/>
            </w:tcBorders>
            <w:shd w:val="clear" w:color="auto" w:fill="auto"/>
            <w:noWrap/>
            <w:vAlign w:val="center"/>
            <w:hideMark/>
          </w:tcPr>
          <w:p w14:paraId="42FD8804" w14:textId="77777777" w:rsidR="00387142" w:rsidRPr="008B6A75" w:rsidRDefault="00387142" w:rsidP="00387142">
            <w:pPr>
              <w:jc w:val="center"/>
              <w:rPr>
                <w:bCs/>
                <w:sz w:val="20"/>
                <w:szCs w:val="20"/>
              </w:rPr>
            </w:pPr>
            <w:r w:rsidRPr="008B6A75">
              <w:rPr>
                <w:bCs/>
                <w:sz w:val="20"/>
                <w:szCs w:val="20"/>
              </w:rPr>
              <w:t>444</w:t>
            </w:r>
          </w:p>
        </w:tc>
        <w:tc>
          <w:tcPr>
            <w:tcW w:w="709" w:type="dxa"/>
            <w:tcBorders>
              <w:top w:val="nil"/>
              <w:left w:val="single" w:sz="4" w:space="0" w:color="auto"/>
              <w:bottom w:val="nil"/>
              <w:right w:val="nil"/>
            </w:tcBorders>
            <w:shd w:val="clear" w:color="auto" w:fill="auto"/>
            <w:noWrap/>
            <w:vAlign w:val="center"/>
            <w:hideMark/>
          </w:tcPr>
          <w:p w14:paraId="1357CD96" w14:textId="77777777" w:rsidR="00387142" w:rsidRPr="008B6A75" w:rsidRDefault="00387142" w:rsidP="00387142">
            <w:pPr>
              <w:jc w:val="center"/>
              <w:rPr>
                <w:bCs/>
                <w:sz w:val="20"/>
                <w:szCs w:val="20"/>
              </w:rPr>
            </w:pPr>
            <w:r w:rsidRPr="008B6A75">
              <w:rPr>
                <w:bCs/>
                <w:sz w:val="20"/>
                <w:szCs w:val="20"/>
              </w:rPr>
              <w:t>10</w:t>
            </w:r>
          </w:p>
        </w:tc>
        <w:tc>
          <w:tcPr>
            <w:tcW w:w="709" w:type="dxa"/>
            <w:tcBorders>
              <w:top w:val="nil"/>
              <w:left w:val="single" w:sz="4" w:space="0" w:color="auto"/>
              <w:bottom w:val="nil"/>
              <w:right w:val="single" w:sz="4" w:space="0" w:color="auto"/>
            </w:tcBorders>
            <w:shd w:val="clear" w:color="auto" w:fill="auto"/>
            <w:noWrap/>
            <w:vAlign w:val="center"/>
            <w:hideMark/>
          </w:tcPr>
          <w:p w14:paraId="2A76AC97" w14:textId="77777777" w:rsidR="00387142" w:rsidRPr="008B6A75" w:rsidRDefault="00387142" w:rsidP="00387142">
            <w:pPr>
              <w:jc w:val="center"/>
              <w:rPr>
                <w:bCs/>
                <w:sz w:val="20"/>
                <w:szCs w:val="20"/>
              </w:rPr>
            </w:pPr>
            <w:r w:rsidRPr="008B6A75">
              <w:rPr>
                <w:bCs/>
                <w:sz w:val="20"/>
                <w:szCs w:val="20"/>
              </w:rPr>
              <w:t>06</w:t>
            </w:r>
          </w:p>
        </w:tc>
        <w:tc>
          <w:tcPr>
            <w:tcW w:w="1411" w:type="dxa"/>
            <w:tcBorders>
              <w:top w:val="nil"/>
              <w:left w:val="single" w:sz="4" w:space="0" w:color="auto"/>
              <w:bottom w:val="nil"/>
              <w:right w:val="nil"/>
            </w:tcBorders>
            <w:shd w:val="clear" w:color="auto" w:fill="auto"/>
            <w:noWrap/>
            <w:vAlign w:val="center"/>
            <w:hideMark/>
          </w:tcPr>
          <w:p w14:paraId="25C7E011" w14:textId="77777777" w:rsidR="00387142" w:rsidRPr="008B6A75" w:rsidRDefault="00387142" w:rsidP="00387142">
            <w:pPr>
              <w:jc w:val="center"/>
              <w:rPr>
                <w:bCs/>
                <w:sz w:val="20"/>
                <w:szCs w:val="20"/>
              </w:rPr>
            </w:pPr>
            <w:r w:rsidRPr="008B6A75">
              <w:rPr>
                <w:bCs/>
                <w:sz w:val="20"/>
                <w:szCs w:val="20"/>
              </w:rPr>
              <w:t>99.0.00.70820</w:t>
            </w:r>
          </w:p>
        </w:tc>
        <w:tc>
          <w:tcPr>
            <w:tcW w:w="955" w:type="dxa"/>
            <w:tcBorders>
              <w:top w:val="nil"/>
              <w:left w:val="single" w:sz="4" w:space="0" w:color="auto"/>
              <w:bottom w:val="nil"/>
              <w:right w:val="single" w:sz="4" w:space="0" w:color="auto"/>
            </w:tcBorders>
            <w:shd w:val="clear" w:color="auto" w:fill="auto"/>
            <w:noWrap/>
            <w:vAlign w:val="center"/>
            <w:hideMark/>
          </w:tcPr>
          <w:p w14:paraId="7FEBC364"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nil"/>
              <w:right w:val="single" w:sz="4" w:space="0" w:color="auto"/>
            </w:tcBorders>
            <w:shd w:val="clear" w:color="auto" w:fill="auto"/>
            <w:noWrap/>
            <w:vAlign w:val="center"/>
            <w:hideMark/>
          </w:tcPr>
          <w:p w14:paraId="12B3BDA8" w14:textId="77777777" w:rsidR="00387142" w:rsidRPr="008B6A75" w:rsidRDefault="00387142" w:rsidP="00387142">
            <w:pPr>
              <w:jc w:val="right"/>
              <w:rPr>
                <w:bCs/>
                <w:sz w:val="20"/>
                <w:szCs w:val="20"/>
              </w:rPr>
            </w:pPr>
            <w:r w:rsidRPr="008B6A75">
              <w:rPr>
                <w:bCs/>
                <w:sz w:val="20"/>
                <w:szCs w:val="20"/>
              </w:rPr>
              <w:t>656 300,00</w:t>
            </w:r>
          </w:p>
        </w:tc>
        <w:tc>
          <w:tcPr>
            <w:tcW w:w="992" w:type="dxa"/>
            <w:gridSpan w:val="2"/>
            <w:tcBorders>
              <w:top w:val="nil"/>
              <w:left w:val="single" w:sz="4" w:space="0" w:color="auto"/>
              <w:bottom w:val="nil"/>
              <w:right w:val="nil"/>
            </w:tcBorders>
            <w:shd w:val="clear" w:color="auto" w:fill="auto"/>
            <w:noWrap/>
            <w:vAlign w:val="center"/>
            <w:hideMark/>
          </w:tcPr>
          <w:p w14:paraId="147F7FEB" w14:textId="77777777" w:rsidR="00387142" w:rsidRPr="008B6A75" w:rsidRDefault="00387142" w:rsidP="00387142">
            <w:pPr>
              <w:jc w:val="right"/>
              <w:rPr>
                <w:bCs/>
                <w:sz w:val="20"/>
                <w:szCs w:val="20"/>
              </w:rPr>
            </w:pPr>
            <w:r w:rsidRPr="008B6A75">
              <w:rPr>
                <w:bCs/>
                <w:sz w:val="20"/>
                <w:szCs w:val="20"/>
              </w:rPr>
              <w:t>1 080 100,00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7A5B2273" w14:textId="77777777" w:rsidR="00387142" w:rsidRPr="008B6A75" w:rsidRDefault="00387142" w:rsidP="00387142">
            <w:pPr>
              <w:jc w:val="right"/>
              <w:rPr>
                <w:bCs/>
                <w:sz w:val="20"/>
                <w:szCs w:val="20"/>
              </w:rPr>
            </w:pPr>
            <w:r w:rsidRPr="008B6A75">
              <w:rPr>
                <w:bCs/>
                <w:sz w:val="20"/>
                <w:szCs w:val="20"/>
              </w:rPr>
              <w:t>0,00</w:t>
            </w:r>
          </w:p>
        </w:tc>
        <w:tc>
          <w:tcPr>
            <w:tcW w:w="222" w:type="dxa"/>
            <w:vAlign w:val="center"/>
            <w:hideMark/>
          </w:tcPr>
          <w:p w14:paraId="15458BF1" w14:textId="77777777" w:rsidR="00387142" w:rsidRPr="008B6A75" w:rsidRDefault="00387142" w:rsidP="00387142">
            <w:pPr>
              <w:rPr>
                <w:sz w:val="20"/>
                <w:szCs w:val="20"/>
              </w:rPr>
            </w:pPr>
          </w:p>
        </w:tc>
      </w:tr>
      <w:tr w:rsidR="00387142" w:rsidRPr="008B6A75" w14:paraId="4426AF7E" w14:textId="77777777" w:rsidTr="00387142">
        <w:trPr>
          <w:trHeight w:val="585"/>
        </w:trPr>
        <w:tc>
          <w:tcPr>
            <w:tcW w:w="3021" w:type="dxa"/>
            <w:tcBorders>
              <w:top w:val="single" w:sz="4" w:space="0" w:color="auto"/>
              <w:left w:val="single" w:sz="4" w:space="0" w:color="auto"/>
              <w:bottom w:val="nil"/>
              <w:right w:val="nil"/>
            </w:tcBorders>
            <w:shd w:val="clear" w:color="auto" w:fill="auto"/>
            <w:vAlign w:val="center"/>
            <w:hideMark/>
          </w:tcPr>
          <w:p w14:paraId="7D9E1077" w14:textId="77777777" w:rsidR="00387142" w:rsidRPr="008B6A75" w:rsidRDefault="00387142" w:rsidP="00387142">
            <w:pPr>
              <w:rPr>
                <w:sz w:val="20"/>
                <w:szCs w:val="20"/>
              </w:rPr>
            </w:pPr>
            <w:r w:rsidRPr="008B6A75">
              <w:rPr>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nil"/>
              <w:right w:val="nil"/>
            </w:tcBorders>
            <w:shd w:val="clear" w:color="auto" w:fill="auto"/>
            <w:noWrap/>
            <w:vAlign w:val="center"/>
            <w:hideMark/>
          </w:tcPr>
          <w:p w14:paraId="33EAB039" w14:textId="77777777" w:rsidR="00387142" w:rsidRPr="008B6A75" w:rsidRDefault="00387142" w:rsidP="00387142">
            <w:pPr>
              <w:jc w:val="center"/>
              <w:rPr>
                <w:sz w:val="20"/>
                <w:szCs w:val="20"/>
              </w:rPr>
            </w:pPr>
            <w:r w:rsidRPr="008B6A75">
              <w:rPr>
                <w:sz w:val="20"/>
                <w:szCs w:val="20"/>
              </w:rPr>
              <w:t>444</w:t>
            </w:r>
          </w:p>
        </w:tc>
        <w:tc>
          <w:tcPr>
            <w:tcW w:w="709" w:type="dxa"/>
            <w:tcBorders>
              <w:top w:val="single" w:sz="4" w:space="0" w:color="auto"/>
              <w:left w:val="single" w:sz="4" w:space="0" w:color="auto"/>
              <w:bottom w:val="nil"/>
              <w:right w:val="nil"/>
            </w:tcBorders>
            <w:shd w:val="clear" w:color="auto" w:fill="auto"/>
            <w:noWrap/>
            <w:vAlign w:val="center"/>
            <w:hideMark/>
          </w:tcPr>
          <w:p w14:paraId="4D775273" w14:textId="77777777" w:rsidR="00387142" w:rsidRPr="008B6A75" w:rsidRDefault="00387142" w:rsidP="00387142">
            <w:pPr>
              <w:jc w:val="center"/>
              <w:rPr>
                <w:sz w:val="20"/>
                <w:szCs w:val="20"/>
              </w:rPr>
            </w:pPr>
            <w:r w:rsidRPr="008B6A75">
              <w:rPr>
                <w:sz w:val="20"/>
                <w:szCs w:val="20"/>
              </w:rPr>
              <w:t>10</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75A2D426" w14:textId="77777777" w:rsidR="00387142" w:rsidRPr="008B6A75" w:rsidRDefault="00387142" w:rsidP="00387142">
            <w:pPr>
              <w:jc w:val="center"/>
              <w:rPr>
                <w:sz w:val="20"/>
                <w:szCs w:val="20"/>
              </w:rPr>
            </w:pPr>
            <w:r w:rsidRPr="008B6A75">
              <w:rPr>
                <w:sz w:val="20"/>
                <w:szCs w:val="20"/>
              </w:rPr>
              <w:t>06</w:t>
            </w:r>
          </w:p>
        </w:tc>
        <w:tc>
          <w:tcPr>
            <w:tcW w:w="1411" w:type="dxa"/>
            <w:tcBorders>
              <w:top w:val="single" w:sz="4" w:space="0" w:color="auto"/>
              <w:left w:val="single" w:sz="4" w:space="0" w:color="auto"/>
              <w:bottom w:val="nil"/>
              <w:right w:val="nil"/>
            </w:tcBorders>
            <w:shd w:val="clear" w:color="auto" w:fill="auto"/>
            <w:noWrap/>
            <w:vAlign w:val="center"/>
            <w:hideMark/>
          </w:tcPr>
          <w:p w14:paraId="02B1B5DC" w14:textId="77777777" w:rsidR="00387142" w:rsidRPr="008B6A75" w:rsidRDefault="00387142" w:rsidP="00387142">
            <w:pPr>
              <w:jc w:val="center"/>
              <w:rPr>
                <w:sz w:val="20"/>
                <w:szCs w:val="20"/>
              </w:rPr>
            </w:pPr>
            <w:r w:rsidRPr="008B6A75">
              <w:rPr>
                <w:sz w:val="20"/>
                <w:szCs w:val="20"/>
              </w:rPr>
              <w:t>99.0.00.70820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769A7CBB" w14:textId="77777777" w:rsidR="00387142" w:rsidRPr="008B6A75" w:rsidRDefault="00387142" w:rsidP="00387142">
            <w:pPr>
              <w:jc w:val="center"/>
              <w:rPr>
                <w:sz w:val="20"/>
                <w:szCs w:val="20"/>
              </w:rPr>
            </w:pPr>
            <w:r w:rsidRPr="008B6A75">
              <w:rPr>
                <w:sz w:val="20"/>
                <w:szCs w:val="20"/>
              </w:rPr>
              <w:t>200</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1FAFFA8A" w14:textId="77777777" w:rsidR="00387142" w:rsidRPr="008B6A75" w:rsidRDefault="00387142" w:rsidP="00387142">
            <w:pPr>
              <w:jc w:val="right"/>
              <w:rPr>
                <w:sz w:val="20"/>
                <w:szCs w:val="20"/>
              </w:rPr>
            </w:pPr>
            <w:r w:rsidRPr="008B6A75">
              <w:rPr>
                <w:sz w:val="20"/>
                <w:szCs w:val="20"/>
              </w:rPr>
              <w:t>0,00</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3D2B3A34" w14:textId="77777777" w:rsidR="00387142" w:rsidRPr="008B6A75" w:rsidRDefault="00387142" w:rsidP="00387142">
            <w:pPr>
              <w:jc w:val="right"/>
              <w:rPr>
                <w:sz w:val="20"/>
                <w:szCs w:val="20"/>
              </w:rPr>
            </w:pPr>
            <w:r w:rsidRPr="008B6A75">
              <w:rPr>
                <w:sz w:val="20"/>
                <w:szCs w:val="20"/>
              </w:rPr>
              <w:t>1 080 100,00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3E64ADF7" w14:textId="77777777" w:rsidR="00387142" w:rsidRPr="008B6A75" w:rsidRDefault="00387142" w:rsidP="00387142">
            <w:pPr>
              <w:jc w:val="right"/>
              <w:rPr>
                <w:sz w:val="20"/>
                <w:szCs w:val="20"/>
              </w:rPr>
            </w:pPr>
            <w:r w:rsidRPr="008B6A75">
              <w:rPr>
                <w:sz w:val="20"/>
                <w:szCs w:val="20"/>
              </w:rPr>
              <w:t>0,00</w:t>
            </w:r>
          </w:p>
        </w:tc>
        <w:tc>
          <w:tcPr>
            <w:tcW w:w="222" w:type="dxa"/>
            <w:vAlign w:val="center"/>
            <w:hideMark/>
          </w:tcPr>
          <w:p w14:paraId="3772A4BD" w14:textId="77777777" w:rsidR="00387142" w:rsidRPr="008B6A75" w:rsidRDefault="00387142" w:rsidP="00387142">
            <w:pPr>
              <w:rPr>
                <w:sz w:val="20"/>
                <w:szCs w:val="20"/>
              </w:rPr>
            </w:pPr>
          </w:p>
        </w:tc>
      </w:tr>
      <w:tr w:rsidR="00387142" w:rsidRPr="008B6A75" w14:paraId="4DDE4AD5" w14:textId="77777777" w:rsidTr="00387142">
        <w:trPr>
          <w:trHeight w:val="870"/>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1B273D88" w14:textId="77777777" w:rsidR="00387142" w:rsidRPr="008B6A75" w:rsidRDefault="00387142" w:rsidP="00387142">
            <w:pPr>
              <w:rPr>
                <w:sz w:val="20"/>
                <w:szCs w:val="20"/>
              </w:rPr>
            </w:pPr>
            <w:r w:rsidRPr="008B6A75">
              <w:rPr>
                <w:sz w:val="20"/>
                <w:szCs w:val="20"/>
              </w:rPr>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4B704C31" w14:textId="77777777" w:rsidR="00387142" w:rsidRPr="008B6A75" w:rsidRDefault="00387142" w:rsidP="00387142">
            <w:pPr>
              <w:jc w:val="center"/>
              <w:rPr>
                <w:sz w:val="20"/>
                <w:szCs w:val="20"/>
              </w:rPr>
            </w:pPr>
            <w:r w:rsidRPr="008B6A75">
              <w:rPr>
                <w:sz w:val="20"/>
                <w:szCs w:val="20"/>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2E27E013" w14:textId="77777777" w:rsidR="00387142" w:rsidRPr="008B6A75" w:rsidRDefault="00387142" w:rsidP="00387142">
            <w:pPr>
              <w:jc w:val="center"/>
              <w:rPr>
                <w:sz w:val="20"/>
                <w:szCs w:val="20"/>
              </w:rPr>
            </w:pPr>
            <w:r w:rsidRPr="008B6A75">
              <w:rPr>
                <w:sz w:val="20"/>
                <w:szCs w:val="20"/>
              </w:rPr>
              <w:t>10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CBFE6F" w14:textId="77777777" w:rsidR="00387142" w:rsidRPr="008B6A75" w:rsidRDefault="00387142" w:rsidP="00387142">
            <w:pPr>
              <w:jc w:val="center"/>
              <w:rPr>
                <w:sz w:val="20"/>
                <w:szCs w:val="20"/>
              </w:rPr>
            </w:pPr>
            <w:r w:rsidRPr="008B6A75">
              <w:rPr>
                <w:sz w:val="20"/>
                <w:szCs w:val="20"/>
              </w:rPr>
              <w:t>06</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0EECD7BF" w14:textId="77777777" w:rsidR="00387142" w:rsidRPr="008B6A75" w:rsidRDefault="00387142" w:rsidP="00387142">
            <w:pPr>
              <w:jc w:val="center"/>
              <w:rPr>
                <w:sz w:val="20"/>
                <w:szCs w:val="20"/>
              </w:rPr>
            </w:pPr>
            <w:r w:rsidRPr="008B6A75">
              <w:rPr>
                <w:sz w:val="20"/>
                <w:szCs w:val="20"/>
              </w:rPr>
              <w:t>99.0.00.70820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1D71AF" w14:textId="77777777" w:rsidR="00387142" w:rsidRPr="008B6A75" w:rsidRDefault="00387142" w:rsidP="00387142">
            <w:pPr>
              <w:jc w:val="center"/>
              <w:rPr>
                <w:sz w:val="20"/>
                <w:szCs w:val="20"/>
              </w:rPr>
            </w:pPr>
            <w:r w:rsidRPr="008B6A75">
              <w:rPr>
                <w:sz w:val="20"/>
                <w:szCs w:val="20"/>
              </w:rPr>
              <w:t>240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9F225D" w14:textId="77777777" w:rsidR="00387142" w:rsidRPr="008B6A75" w:rsidRDefault="00387142" w:rsidP="00387142">
            <w:pPr>
              <w:jc w:val="right"/>
              <w:rPr>
                <w:sz w:val="20"/>
                <w:szCs w:val="20"/>
              </w:rPr>
            </w:pPr>
            <w:r w:rsidRPr="008B6A75">
              <w:rPr>
                <w:sz w:val="20"/>
                <w:szCs w:val="20"/>
              </w:rPr>
              <w:t>0,00</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4EF610D1" w14:textId="77777777" w:rsidR="00387142" w:rsidRPr="008B6A75" w:rsidRDefault="00387142" w:rsidP="00387142">
            <w:pPr>
              <w:jc w:val="right"/>
              <w:rPr>
                <w:sz w:val="20"/>
                <w:szCs w:val="20"/>
              </w:rPr>
            </w:pPr>
            <w:r w:rsidRPr="008B6A75">
              <w:rPr>
                <w:sz w:val="20"/>
                <w:szCs w:val="20"/>
              </w:rPr>
              <w:t>1 080 100,00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F00342" w14:textId="77777777" w:rsidR="00387142" w:rsidRPr="008B6A75" w:rsidRDefault="00387142" w:rsidP="00387142">
            <w:pPr>
              <w:jc w:val="right"/>
              <w:rPr>
                <w:sz w:val="20"/>
                <w:szCs w:val="20"/>
              </w:rPr>
            </w:pPr>
            <w:r w:rsidRPr="008B6A75">
              <w:rPr>
                <w:sz w:val="20"/>
                <w:szCs w:val="20"/>
              </w:rPr>
              <w:t>0,00</w:t>
            </w:r>
          </w:p>
        </w:tc>
        <w:tc>
          <w:tcPr>
            <w:tcW w:w="222" w:type="dxa"/>
            <w:vAlign w:val="center"/>
            <w:hideMark/>
          </w:tcPr>
          <w:p w14:paraId="22B9D2F2" w14:textId="77777777" w:rsidR="00387142" w:rsidRPr="008B6A75" w:rsidRDefault="00387142" w:rsidP="00387142">
            <w:pPr>
              <w:rPr>
                <w:sz w:val="20"/>
                <w:szCs w:val="20"/>
              </w:rPr>
            </w:pPr>
          </w:p>
        </w:tc>
      </w:tr>
      <w:tr w:rsidR="00387142" w:rsidRPr="008B6A75" w14:paraId="4E3A62AB" w14:textId="77777777" w:rsidTr="00387142">
        <w:trPr>
          <w:trHeight w:val="870"/>
        </w:trPr>
        <w:tc>
          <w:tcPr>
            <w:tcW w:w="3021" w:type="dxa"/>
            <w:tcBorders>
              <w:top w:val="nil"/>
              <w:left w:val="single" w:sz="4" w:space="0" w:color="auto"/>
              <w:bottom w:val="nil"/>
              <w:right w:val="nil"/>
            </w:tcBorders>
            <w:shd w:val="clear" w:color="auto" w:fill="auto"/>
            <w:vAlign w:val="center"/>
            <w:hideMark/>
          </w:tcPr>
          <w:p w14:paraId="63E99AB4" w14:textId="77777777" w:rsidR="00387142" w:rsidRPr="008B6A75" w:rsidRDefault="00387142" w:rsidP="00387142">
            <w:pPr>
              <w:rPr>
                <w:sz w:val="20"/>
                <w:szCs w:val="20"/>
              </w:rPr>
            </w:pPr>
            <w:r w:rsidRPr="008B6A75">
              <w:rPr>
                <w:sz w:val="20"/>
                <w:szCs w:val="20"/>
              </w:rPr>
              <w:t>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right w:val="nil"/>
            </w:tcBorders>
            <w:shd w:val="clear" w:color="auto" w:fill="auto"/>
            <w:noWrap/>
            <w:vAlign w:val="center"/>
            <w:hideMark/>
          </w:tcPr>
          <w:p w14:paraId="13E0D69E" w14:textId="77777777" w:rsidR="00387142" w:rsidRPr="008B6A75" w:rsidRDefault="00387142" w:rsidP="00387142">
            <w:pPr>
              <w:jc w:val="center"/>
              <w:rPr>
                <w:sz w:val="20"/>
                <w:szCs w:val="20"/>
              </w:rPr>
            </w:pPr>
            <w:r w:rsidRPr="008B6A75">
              <w:rPr>
                <w:sz w:val="20"/>
                <w:szCs w:val="20"/>
              </w:rPr>
              <w:t>444</w:t>
            </w:r>
          </w:p>
        </w:tc>
        <w:tc>
          <w:tcPr>
            <w:tcW w:w="709" w:type="dxa"/>
            <w:tcBorders>
              <w:top w:val="nil"/>
              <w:left w:val="single" w:sz="4" w:space="0" w:color="auto"/>
              <w:bottom w:val="nil"/>
              <w:right w:val="nil"/>
            </w:tcBorders>
            <w:shd w:val="clear" w:color="auto" w:fill="auto"/>
            <w:noWrap/>
            <w:vAlign w:val="center"/>
            <w:hideMark/>
          </w:tcPr>
          <w:p w14:paraId="33961C1A" w14:textId="77777777" w:rsidR="00387142" w:rsidRPr="008B6A75" w:rsidRDefault="00387142" w:rsidP="00387142">
            <w:pPr>
              <w:jc w:val="center"/>
              <w:rPr>
                <w:sz w:val="20"/>
                <w:szCs w:val="20"/>
              </w:rPr>
            </w:pPr>
            <w:r w:rsidRPr="008B6A75">
              <w:rPr>
                <w:sz w:val="20"/>
                <w:szCs w:val="20"/>
              </w:rPr>
              <w:t>10</w:t>
            </w:r>
          </w:p>
        </w:tc>
        <w:tc>
          <w:tcPr>
            <w:tcW w:w="709" w:type="dxa"/>
            <w:tcBorders>
              <w:top w:val="nil"/>
              <w:left w:val="single" w:sz="4" w:space="0" w:color="auto"/>
              <w:bottom w:val="nil"/>
              <w:right w:val="single" w:sz="4" w:space="0" w:color="auto"/>
            </w:tcBorders>
            <w:shd w:val="clear" w:color="auto" w:fill="auto"/>
            <w:noWrap/>
            <w:vAlign w:val="center"/>
            <w:hideMark/>
          </w:tcPr>
          <w:p w14:paraId="20C0EDD6" w14:textId="77777777" w:rsidR="00387142" w:rsidRPr="008B6A75" w:rsidRDefault="00387142" w:rsidP="00387142">
            <w:pPr>
              <w:jc w:val="center"/>
              <w:rPr>
                <w:sz w:val="20"/>
                <w:szCs w:val="20"/>
              </w:rPr>
            </w:pPr>
            <w:r w:rsidRPr="008B6A75">
              <w:rPr>
                <w:sz w:val="20"/>
                <w:szCs w:val="20"/>
              </w:rPr>
              <w:t>06</w:t>
            </w:r>
          </w:p>
        </w:tc>
        <w:tc>
          <w:tcPr>
            <w:tcW w:w="1411" w:type="dxa"/>
            <w:tcBorders>
              <w:top w:val="nil"/>
              <w:left w:val="single" w:sz="4" w:space="0" w:color="auto"/>
              <w:bottom w:val="nil"/>
              <w:right w:val="nil"/>
            </w:tcBorders>
            <w:shd w:val="clear" w:color="auto" w:fill="auto"/>
            <w:noWrap/>
            <w:vAlign w:val="center"/>
            <w:hideMark/>
          </w:tcPr>
          <w:p w14:paraId="2470DCCC" w14:textId="77777777" w:rsidR="00387142" w:rsidRPr="008B6A75" w:rsidRDefault="00387142" w:rsidP="00387142">
            <w:pPr>
              <w:jc w:val="center"/>
              <w:rPr>
                <w:sz w:val="20"/>
                <w:szCs w:val="20"/>
              </w:rPr>
            </w:pPr>
            <w:r w:rsidRPr="008B6A75">
              <w:rPr>
                <w:sz w:val="20"/>
                <w:szCs w:val="20"/>
              </w:rPr>
              <w:t>99.0.00.70820</w:t>
            </w:r>
          </w:p>
        </w:tc>
        <w:tc>
          <w:tcPr>
            <w:tcW w:w="955" w:type="dxa"/>
            <w:tcBorders>
              <w:top w:val="nil"/>
              <w:left w:val="single" w:sz="4" w:space="0" w:color="auto"/>
              <w:bottom w:val="nil"/>
              <w:right w:val="single" w:sz="4" w:space="0" w:color="auto"/>
            </w:tcBorders>
            <w:shd w:val="clear" w:color="auto" w:fill="auto"/>
            <w:noWrap/>
            <w:vAlign w:val="center"/>
            <w:hideMark/>
          </w:tcPr>
          <w:p w14:paraId="18D33E7A" w14:textId="77777777" w:rsidR="00387142" w:rsidRPr="008B6A75" w:rsidRDefault="00387142" w:rsidP="00387142">
            <w:pPr>
              <w:jc w:val="center"/>
              <w:rPr>
                <w:sz w:val="20"/>
                <w:szCs w:val="20"/>
              </w:rPr>
            </w:pPr>
            <w:r w:rsidRPr="008B6A75">
              <w:rPr>
                <w:sz w:val="20"/>
                <w:szCs w:val="20"/>
              </w:rPr>
              <w:t>600</w:t>
            </w:r>
          </w:p>
        </w:tc>
        <w:tc>
          <w:tcPr>
            <w:tcW w:w="992" w:type="dxa"/>
            <w:tcBorders>
              <w:top w:val="nil"/>
              <w:left w:val="single" w:sz="4" w:space="0" w:color="auto"/>
              <w:bottom w:val="nil"/>
              <w:right w:val="single" w:sz="4" w:space="0" w:color="auto"/>
            </w:tcBorders>
            <w:shd w:val="clear" w:color="auto" w:fill="auto"/>
            <w:noWrap/>
            <w:vAlign w:val="center"/>
            <w:hideMark/>
          </w:tcPr>
          <w:p w14:paraId="7B1082EB" w14:textId="77777777" w:rsidR="00387142" w:rsidRPr="008B6A75" w:rsidRDefault="00387142" w:rsidP="00387142">
            <w:pPr>
              <w:jc w:val="right"/>
              <w:rPr>
                <w:sz w:val="20"/>
                <w:szCs w:val="20"/>
              </w:rPr>
            </w:pPr>
            <w:r w:rsidRPr="008B6A75">
              <w:rPr>
                <w:sz w:val="20"/>
                <w:szCs w:val="20"/>
              </w:rPr>
              <w:t>656 300,00</w:t>
            </w:r>
          </w:p>
        </w:tc>
        <w:tc>
          <w:tcPr>
            <w:tcW w:w="992" w:type="dxa"/>
            <w:gridSpan w:val="2"/>
            <w:tcBorders>
              <w:top w:val="nil"/>
              <w:left w:val="single" w:sz="4" w:space="0" w:color="auto"/>
              <w:bottom w:val="nil"/>
              <w:right w:val="nil"/>
            </w:tcBorders>
            <w:shd w:val="clear" w:color="auto" w:fill="auto"/>
            <w:noWrap/>
            <w:vAlign w:val="center"/>
            <w:hideMark/>
          </w:tcPr>
          <w:p w14:paraId="437B5ED7" w14:textId="77777777" w:rsidR="00387142" w:rsidRPr="008B6A75" w:rsidRDefault="00387142" w:rsidP="00387142">
            <w:pPr>
              <w:jc w:val="right"/>
              <w:rPr>
                <w:sz w:val="20"/>
                <w:szCs w:val="20"/>
              </w:rPr>
            </w:pPr>
            <w:r w:rsidRPr="008B6A75">
              <w:rPr>
                <w:sz w:val="20"/>
                <w:szCs w:val="20"/>
              </w:rPr>
              <w:t>0,00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6EF2467A" w14:textId="77777777" w:rsidR="00387142" w:rsidRPr="008B6A75" w:rsidRDefault="00387142" w:rsidP="00387142">
            <w:pPr>
              <w:jc w:val="right"/>
              <w:rPr>
                <w:sz w:val="20"/>
                <w:szCs w:val="20"/>
              </w:rPr>
            </w:pPr>
            <w:r w:rsidRPr="008B6A75">
              <w:rPr>
                <w:sz w:val="20"/>
                <w:szCs w:val="20"/>
              </w:rPr>
              <w:t>0,00</w:t>
            </w:r>
          </w:p>
        </w:tc>
        <w:tc>
          <w:tcPr>
            <w:tcW w:w="222" w:type="dxa"/>
            <w:vAlign w:val="center"/>
            <w:hideMark/>
          </w:tcPr>
          <w:p w14:paraId="5F86B77F" w14:textId="77777777" w:rsidR="00387142" w:rsidRPr="008B6A75" w:rsidRDefault="00387142" w:rsidP="00387142">
            <w:pPr>
              <w:rPr>
                <w:sz w:val="20"/>
                <w:szCs w:val="20"/>
              </w:rPr>
            </w:pPr>
          </w:p>
        </w:tc>
      </w:tr>
      <w:tr w:rsidR="00387142" w:rsidRPr="008B6A75" w14:paraId="6168DB68" w14:textId="77777777" w:rsidTr="00387142">
        <w:trPr>
          <w:trHeight w:val="300"/>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30E82AAA" w14:textId="77777777" w:rsidR="00387142" w:rsidRPr="008B6A75" w:rsidRDefault="00387142" w:rsidP="00387142">
            <w:pPr>
              <w:rPr>
                <w:sz w:val="20"/>
                <w:szCs w:val="20"/>
              </w:rPr>
            </w:pPr>
            <w:r w:rsidRPr="008B6A75">
              <w:rPr>
                <w:sz w:val="20"/>
                <w:szCs w:val="20"/>
              </w:rPr>
              <w:t>Субсидии бюджетным учреждениям</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55B98EDA" w14:textId="77777777" w:rsidR="00387142" w:rsidRPr="008B6A75" w:rsidRDefault="00387142" w:rsidP="00387142">
            <w:pPr>
              <w:jc w:val="center"/>
              <w:rPr>
                <w:sz w:val="20"/>
                <w:szCs w:val="20"/>
              </w:rPr>
            </w:pPr>
            <w:r w:rsidRPr="008B6A75">
              <w:rPr>
                <w:sz w:val="20"/>
                <w:szCs w:val="20"/>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4AAA2BE5" w14:textId="77777777" w:rsidR="00387142" w:rsidRPr="008B6A75" w:rsidRDefault="00387142" w:rsidP="00387142">
            <w:pPr>
              <w:jc w:val="center"/>
              <w:rPr>
                <w:sz w:val="20"/>
                <w:szCs w:val="20"/>
              </w:rPr>
            </w:pPr>
            <w:r w:rsidRPr="008B6A75">
              <w:rPr>
                <w:sz w:val="20"/>
                <w:szCs w:val="20"/>
              </w:rPr>
              <w:t>10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62BCD7" w14:textId="77777777" w:rsidR="00387142" w:rsidRPr="008B6A75" w:rsidRDefault="00387142" w:rsidP="00387142">
            <w:pPr>
              <w:jc w:val="center"/>
              <w:rPr>
                <w:sz w:val="20"/>
                <w:szCs w:val="20"/>
              </w:rPr>
            </w:pPr>
            <w:r w:rsidRPr="008B6A75">
              <w:rPr>
                <w:sz w:val="20"/>
                <w:szCs w:val="20"/>
              </w:rPr>
              <w:t>06</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4FF37D57" w14:textId="77777777" w:rsidR="00387142" w:rsidRPr="008B6A75" w:rsidRDefault="00387142" w:rsidP="00387142">
            <w:pPr>
              <w:jc w:val="center"/>
              <w:rPr>
                <w:sz w:val="20"/>
                <w:szCs w:val="20"/>
              </w:rPr>
            </w:pPr>
            <w:r w:rsidRPr="008B6A75">
              <w:rPr>
                <w:sz w:val="20"/>
                <w:szCs w:val="20"/>
              </w:rPr>
              <w:t>99.0.00.70820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1C488C" w14:textId="77777777" w:rsidR="00387142" w:rsidRPr="008B6A75" w:rsidRDefault="00387142" w:rsidP="00387142">
            <w:pPr>
              <w:jc w:val="center"/>
              <w:rPr>
                <w:sz w:val="20"/>
                <w:szCs w:val="20"/>
              </w:rPr>
            </w:pPr>
            <w:r w:rsidRPr="008B6A75">
              <w:rPr>
                <w:sz w:val="20"/>
                <w:szCs w:val="20"/>
              </w:rPr>
              <w:t>610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1809D0" w14:textId="77777777" w:rsidR="00387142" w:rsidRPr="008B6A75" w:rsidRDefault="00387142" w:rsidP="00387142">
            <w:pPr>
              <w:jc w:val="right"/>
              <w:rPr>
                <w:sz w:val="20"/>
                <w:szCs w:val="20"/>
              </w:rPr>
            </w:pPr>
            <w:r w:rsidRPr="008B6A75">
              <w:rPr>
                <w:sz w:val="20"/>
                <w:szCs w:val="20"/>
              </w:rPr>
              <w:t>656 300,00</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103D3A12" w14:textId="77777777" w:rsidR="00387142" w:rsidRPr="008B6A75" w:rsidRDefault="00387142" w:rsidP="00387142">
            <w:pPr>
              <w:jc w:val="right"/>
              <w:rPr>
                <w:sz w:val="20"/>
                <w:szCs w:val="20"/>
              </w:rPr>
            </w:pPr>
            <w:r w:rsidRPr="008B6A75">
              <w:rPr>
                <w:sz w:val="20"/>
                <w:szCs w:val="20"/>
              </w:rPr>
              <w:t>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E97F49" w14:textId="77777777" w:rsidR="00387142" w:rsidRPr="008B6A75" w:rsidRDefault="00387142" w:rsidP="00387142">
            <w:pPr>
              <w:jc w:val="right"/>
              <w:rPr>
                <w:sz w:val="20"/>
                <w:szCs w:val="20"/>
              </w:rPr>
            </w:pPr>
            <w:r w:rsidRPr="008B6A75">
              <w:rPr>
                <w:sz w:val="20"/>
                <w:szCs w:val="20"/>
              </w:rPr>
              <w:t>0,00</w:t>
            </w:r>
          </w:p>
        </w:tc>
        <w:tc>
          <w:tcPr>
            <w:tcW w:w="222" w:type="dxa"/>
            <w:vAlign w:val="center"/>
            <w:hideMark/>
          </w:tcPr>
          <w:p w14:paraId="73C4D694" w14:textId="77777777" w:rsidR="00387142" w:rsidRPr="008B6A75" w:rsidRDefault="00387142" w:rsidP="00387142">
            <w:pPr>
              <w:rPr>
                <w:sz w:val="20"/>
                <w:szCs w:val="20"/>
              </w:rPr>
            </w:pPr>
          </w:p>
        </w:tc>
      </w:tr>
      <w:tr w:rsidR="00387142" w:rsidRPr="008B6A75" w14:paraId="1844E8F3" w14:textId="77777777" w:rsidTr="00387142">
        <w:trPr>
          <w:trHeight w:val="300"/>
        </w:trPr>
        <w:tc>
          <w:tcPr>
            <w:tcW w:w="3021" w:type="dxa"/>
            <w:tcBorders>
              <w:top w:val="nil"/>
              <w:left w:val="single" w:sz="4" w:space="0" w:color="auto"/>
              <w:bottom w:val="nil"/>
              <w:right w:val="nil"/>
            </w:tcBorders>
            <w:shd w:val="clear" w:color="auto" w:fill="auto"/>
            <w:vAlign w:val="center"/>
            <w:hideMark/>
          </w:tcPr>
          <w:p w14:paraId="0EB61780" w14:textId="77777777" w:rsidR="00387142" w:rsidRPr="008B6A75" w:rsidRDefault="00387142" w:rsidP="00387142">
            <w:pPr>
              <w:rPr>
                <w:bCs/>
                <w:sz w:val="20"/>
                <w:szCs w:val="20"/>
              </w:rPr>
            </w:pPr>
            <w:r w:rsidRPr="008B6A75">
              <w:rPr>
                <w:bCs/>
                <w:sz w:val="20"/>
                <w:szCs w:val="20"/>
              </w:rPr>
              <w:t>ФИЗИЧЕСКАЯ КУЛЬТУРА И СПОРТ</w:t>
            </w:r>
          </w:p>
        </w:tc>
        <w:tc>
          <w:tcPr>
            <w:tcW w:w="850" w:type="dxa"/>
            <w:tcBorders>
              <w:top w:val="nil"/>
              <w:left w:val="single" w:sz="4" w:space="0" w:color="auto"/>
              <w:bottom w:val="nil"/>
              <w:right w:val="nil"/>
            </w:tcBorders>
            <w:shd w:val="clear" w:color="auto" w:fill="auto"/>
            <w:noWrap/>
            <w:vAlign w:val="center"/>
            <w:hideMark/>
          </w:tcPr>
          <w:p w14:paraId="7AB0407E" w14:textId="77777777" w:rsidR="00387142" w:rsidRPr="008B6A75" w:rsidRDefault="00387142" w:rsidP="00387142">
            <w:pPr>
              <w:jc w:val="center"/>
              <w:rPr>
                <w:bCs/>
                <w:sz w:val="20"/>
                <w:szCs w:val="20"/>
              </w:rPr>
            </w:pPr>
            <w:r w:rsidRPr="008B6A75">
              <w:rPr>
                <w:bCs/>
                <w:sz w:val="20"/>
                <w:szCs w:val="20"/>
              </w:rPr>
              <w:t>444</w:t>
            </w:r>
          </w:p>
        </w:tc>
        <w:tc>
          <w:tcPr>
            <w:tcW w:w="709" w:type="dxa"/>
            <w:tcBorders>
              <w:top w:val="nil"/>
              <w:left w:val="single" w:sz="4" w:space="0" w:color="auto"/>
              <w:bottom w:val="nil"/>
              <w:right w:val="nil"/>
            </w:tcBorders>
            <w:shd w:val="clear" w:color="auto" w:fill="auto"/>
            <w:noWrap/>
            <w:vAlign w:val="center"/>
            <w:hideMark/>
          </w:tcPr>
          <w:p w14:paraId="56A72E6A" w14:textId="77777777" w:rsidR="00387142" w:rsidRPr="008B6A75" w:rsidRDefault="00387142" w:rsidP="00387142">
            <w:pPr>
              <w:jc w:val="center"/>
              <w:rPr>
                <w:bCs/>
                <w:sz w:val="20"/>
                <w:szCs w:val="20"/>
              </w:rPr>
            </w:pPr>
            <w:r w:rsidRPr="008B6A75">
              <w:rPr>
                <w:bCs/>
                <w:sz w:val="20"/>
                <w:szCs w:val="20"/>
              </w:rPr>
              <w:t>11</w:t>
            </w:r>
          </w:p>
        </w:tc>
        <w:tc>
          <w:tcPr>
            <w:tcW w:w="709" w:type="dxa"/>
            <w:tcBorders>
              <w:top w:val="nil"/>
              <w:left w:val="single" w:sz="4" w:space="0" w:color="auto"/>
              <w:bottom w:val="nil"/>
              <w:right w:val="single" w:sz="4" w:space="0" w:color="auto"/>
            </w:tcBorders>
            <w:shd w:val="clear" w:color="auto" w:fill="auto"/>
            <w:noWrap/>
            <w:vAlign w:val="center"/>
            <w:hideMark/>
          </w:tcPr>
          <w:p w14:paraId="66AC7019" w14:textId="77777777" w:rsidR="00387142" w:rsidRPr="008B6A75" w:rsidRDefault="00387142" w:rsidP="00387142">
            <w:pPr>
              <w:jc w:val="center"/>
              <w:rPr>
                <w:bCs/>
                <w:sz w:val="20"/>
                <w:szCs w:val="20"/>
              </w:rPr>
            </w:pPr>
            <w:r w:rsidRPr="008B6A75">
              <w:rPr>
                <w:bCs/>
                <w:sz w:val="20"/>
                <w:szCs w:val="20"/>
              </w:rPr>
              <w:t> </w:t>
            </w:r>
          </w:p>
        </w:tc>
        <w:tc>
          <w:tcPr>
            <w:tcW w:w="1411" w:type="dxa"/>
            <w:tcBorders>
              <w:top w:val="nil"/>
              <w:left w:val="single" w:sz="4" w:space="0" w:color="auto"/>
              <w:bottom w:val="nil"/>
              <w:right w:val="nil"/>
            </w:tcBorders>
            <w:shd w:val="clear" w:color="auto" w:fill="auto"/>
            <w:noWrap/>
            <w:vAlign w:val="center"/>
            <w:hideMark/>
          </w:tcPr>
          <w:p w14:paraId="005555E3" w14:textId="77777777" w:rsidR="00387142" w:rsidRPr="008B6A75" w:rsidRDefault="00387142" w:rsidP="00387142">
            <w:pPr>
              <w:jc w:val="center"/>
              <w:rPr>
                <w:bCs/>
                <w:sz w:val="20"/>
                <w:szCs w:val="20"/>
              </w:rPr>
            </w:pPr>
            <w:r w:rsidRPr="008B6A75">
              <w:rPr>
                <w:bCs/>
                <w:sz w:val="20"/>
                <w:szCs w:val="20"/>
              </w:rPr>
              <w:t> </w:t>
            </w:r>
          </w:p>
        </w:tc>
        <w:tc>
          <w:tcPr>
            <w:tcW w:w="955" w:type="dxa"/>
            <w:tcBorders>
              <w:top w:val="nil"/>
              <w:left w:val="single" w:sz="4" w:space="0" w:color="auto"/>
              <w:bottom w:val="nil"/>
              <w:right w:val="single" w:sz="4" w:space="0" w:color="auto"/>
            </w:tcBorders>
            <w:shd w:val="clear" w:color="auto" w:fill="auto"/>
            <w:noWrap/>
            <w:vAlign w:val="center"/>
            <w:hideMark/>
          </w:tcPr>
          <w:p w14:paraId="64CCA108"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nil"/>
              <w:right w:val="single" w:sz="4" w:space="0" w:color="auto"/>
            </w:tcBorders>
            <w:shd w:val="clear" w:color="auto" w:fill="auto"/>
            <w:noWrap/>
            <w:vAlign w:val="center"/>
            <w:hideMark/>
          </w:tcPr>
          <w:p w14:paraId="194A9942" w14:textId="77777777" w:rsidR="00387142" w:rsidRPr="008B6A75" w:rsidRDefault="00387142" w:rsidP="00387142">
            <w:pPr>
              <w:jc w:val="right"/>
              <w:rPr>
                <w:bCs/>
                <w:sz w:val="20"/>
                <w:szCs w:val="20"/>
              </w:rPr>
            </w:pPr>
            <w:r w:rsidRPr="008B6A75">
              <w:rPr>
                <w:bCs/>
                <w:sz w:val="20"/>
                <w:szCs w:val="20"/>
              </w:rPr>
              <w:t>100 946 075,20</w:t>
            </w:r>
          </w:p>
        </w:tc>
        <w:tc>
          <w:tcPr>
            <w:tcW w:w="992" w:type="dxa"/>
            <w:gridSpan w:val="2"/>
            <w:tcBorders>
              <w:top w:val="nil"/>
              <w:left w:val="single" w:sz="4" w:space="0" w:color="auto"/>
              <w:bottom w:val="nil"/>
              <w:right w:val="nil"/>
            </w:tcBorders>
            <w:shd w:val="clear" w:color="auto" w:fill="auto"/>
            <w:noWrap/>
            <w:vAlign w:val="center"/>
            <w:hideMark/>
          </w:tcPr>
          <w:p w14:paraId="5DE649AC" w14:textId="77777777" w:rsidR="00387142" w:rsidRPr="008B6A75" w:rsidRDefault="00387142" w:rsidP="00387142">
            <w:pPr>
              <w:jc w:val="right"/>
              <w:rPr>
                <w:bCs/>
                <w:sz w:val="20"/>
                <w:szCs w:val="20"/>
              </w:rPr>
            </w:pPr>
            <w:r w:rsidRPr="008B6A75">
              <w:rPr>
                <w:bCs/>
                <w:sz w:val="20"/>
                <w:szCs w:val="20"/>
              </w:rPr>
              <w:t>32 000 000,00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66A53D60" w14:textId="77777777" w:rsidR="00387142" w:rsidRPr="008B6A75" w:rsidRDefault="00387142" w:rsidP="00387142">
            <w:pPr>
              <w:jc w:val="right"/>
              <w:rPr>
                <w:bCs/>
                <w:sz w:val="20"/>
                <w:szCs w:val="20"/>
              </w:rPr>
            </w:pPr>
            <w:r w:rsidRPr="008B6A75">
              <w:rPr>
                <w:bCs/>
                <w:sz w:val="20"/>
                <w:szCs w:val="20"/>
              </w:rPr>
              <w:t>32 000 000,00</w:t>
            </w:r>
          </w:p>
        </w:tc>
        <w:tc>
          <w:tcPr>
            <w:tcW w:w="222" w:type="dxa"/>
            <w:vAlign w:val="center"/>
            <w:hideMark/>
          </w:tcPr>
          <w:p w14:paraId="6C30694F" w14:textId="77777777" w:rsidR="00387142" w:rsidRPr="008B6A75" w:rsidRDefault="00387142" w:rsidP="00387142">
            <w:pPr>
              <w:rPr>
                <w:sz w:val="20"/>
                <w:szCs w:val="20"/>
              </w:rPr>
            </w:pPr>
          </w:p>
        </w:tc>
      </w:tr>
      <w:tr w:rsidR="00387142" w:rsidRPr="008B6A75" w14:paraId="0BBF55C3" w14:textId="77777777" w:rsidTr="00387142">
        <w:trPr>
          <w:trHeight w:val="300"/>
        </w:trPr>
        <w:tc>
          <w:tcPr>
            <w:tcW w:w="3021" w:type="dxa"/>
            <w:tcBorders>
              <w:top w:val="single" w:sz="4" w:space="0" w:color="auto"/>
              <w:left w:val="single" w:sz="4" w:space="0" w:color="auto"/>
              <w:bottom w:val="nil"/>
              <w:right w:val="nil"/>
            </w:tcBorders>
            <w:shd w:val="clear" w:color="auto" w:fill="auto"/>
            <w:vAlign w:val="center"/>
            <w:hideMark/>
          </w:tcPr>
          <w:p w14:paraId="26A95F76" w14:textId="77777777" w:rsidR="00387142" w:rsidRPr="008B6A75" w:rsidRDefault="00387142" w:rsidP="00387142">
            <w:pPr>
              <w:rPr>
                <w:bCs/>
                <w:sz w:val="20"/>
                <w:szCs w:val="20"/>
              </w:rPr>
            </w:pPr>
            <w:r w:rsidRPr="008B6A75">
              <w:rPr>
                <w:bCs/>
                <w:sz w:val="20"/>
                <w:szCs w:val="20"/>
              </w:rPr>
              <w:t>Физическая культура</w:t>
            </w:r>
          </w:p>
        </w:tc>
        <w:tc>
          <w:tcPr>
            <w:tcW w:w="850" w:type="dxa"/>
            <w:tcBorders>
              <w:top w:val="single" w:sz="4" w:space="0" w:color="auto"/>
              <w:left w:val="single" w:sz="4" w:space="0" w:color="auto"/>
              <w:bottom w:val="nil"/>
              <w:right w:val="nil"/>
            </w:tcBorders>
            <w:shd w:val="clear" w:color="auto" w:fill="auto"/>
            <w:noWrap/>
            <w:vAlign w:val="center"/>
            <w:hideMark/>
          </w:tcPr>
          <w:p w14:paraId="4ABFF9A6" w14:textId="77777777" w:rsidR="00387142" w:rsidRPr="008B6A75" w:rsidRDefault="00387142" w:rsidP="00387142">
            <w:pPr>
              <w:jc w:val="center"/>
              <w:rPr>
                <w:bCs/>
                <w:sz w:val="20"/>
                <w:szCs w:val="20"/>
              </w:rPr>
            </w:pPr>
            <w:r w:rsidRPr="008B6A75">
              <w:rPr>
                <w:bCs/>
                <w:sz w:val="20"/>
                <w:szCs w:val="20"/>
              </w:rPr>
              <w:t>444</w:t>
            </w:r>
          </w:p>
        </w:tc>
        <w:tc>
          <w:tcPr>
            <w:tcW w:w="709" w:type="dxa"/>
            <w:tcBorders>
              <w:top w:val="single" w:sz="4" w:space="0" w:color="auto"/>
              <w:left w:val="single" w:sz="4" w:space="0" w:color="auto"/>
              <w:bottom w:val="nil"/>
              <w:right w:val="nil"/>
            </w:tcBorders>
            <w:shd w:val="clear" w:color="auto" w:fill="auto"/>
            <w:noWrap/>
            <w:vAlign w:val="center"/>
            <w:hideMark/>
          </w:tcPr>
          <w:p w14:paraId="41D92F98" w14:textId="77777777" w:rsidR="00387142" w:rsidRPr="008B6A75" w:rsidRDefault="00387142" w:rsidP="00387142">
            <w:pPr>
              <w:jc w:val="center"/>
              <w:rPr>
                <w:bCs/>
                <w:sz w:val="20"/>
                <w:szCs w:val="20"/>
              </w:rPr>
            </w:pPr>
            <w:r w:rsidRPr="008B6A75">
              <w:rPr>
                <w:bCs/>
                <w:sz w:val="20"/>
                <w:szCs w:val="20"/>
              </w:rPr>
              <w:t>11</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4403AF56" w14:textId="77777777" w:rsidR="00387142" w:rsidRPr="008B6A75" w:rsidRDefault="00387142" w:rsidP="00387142">
            <w:pPr>
              <w:jc w:val="center"/>
              <w:rPr>
                <w:bCs/>
                <w:sz w:val="20"/>
                <w:szCs w:val="20"/>
              </w:rPr>
            </w:pPr>
            <w:r w:rsidRPr="008B6A75">
              <w:rPr>
                <w:bCs/>
                <w:sz w:val="20"/>
                <w:szCs w:val="20"/>
              </w:rPr>
              <w:t>01</w:t>
            </w:r>
          </w:p>
        </w:tc>
        <w:tc>
          <w:tcPr>
            <w:tcW w:w="1411" w:type="dxa"/>
            <w:tcBorders>
              <w:top w:val="single" w:sz="4" w:space="0" w:color="auto"/>
              <w:left w:val="single" w:sz="4" w:space="0" w:color="auto"/>
              <w:bottom w:val="nil"/>
              <w:right w:val="nil"/>
            </w:tcBorders>
            <w:shd w:val="clear" w:color="auto" w:fill="auto"/>
            <w:noWrap/>
            <w:vAlign w:val="center"/>
            <w:hideMark/>
          </w:tcPr>
          <w:p w14:paraId="5C6A5D44" w14:textId="77777777" w:rsidR="00387142" w:rsidRPr="008B6A75" w:rsidRDefault="00387142" w:rsidP="00387142">
            <w:pPr>
              <w:jc w:val="center"/>
              <w:rPr>
                <w:bCs/>
                <w:sz w:val="20"/>
                <w:szCs w:val="20"/>
              </w:rPr>
            </w:pPr>
            <w:r w:rsidRPr="008B6A75">
              <w:rPr>
                <w:bCs/>
                <w:sz w:val="20"/>
                <w:szCs w:val="20"/>
              </w:rPr>
              <w:t> </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7788F089" w14:textId="77777777" w:rsidR="00387142" w:rsidRPr="008B6A75" w:rsidRDefault="00387142" w:rsidP="00387142">
            <w:pPr>
              <w:jc w:val="center"/>
              <w:rPr>
                <w:bCs/>
                <w:sz w:val="20"/>
                <w:szCs w:val="20"/>
              </w:rPr>
            </w:pPr>
            <w:r w:rsidRPr="008B6A75">
              <w:rPr>
                <w:bCs/>
                <w:sz w:val="20"/>
                <w:szCs w:val="20"/>
              </w:rPr>
              <w:t> </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5B80BB1E" w14:textId="77777777" w:rsidR="00387142" w:rsidRPr="008B6A75" w:rsidRDefault="00387142" w:rsidP="00387142">
            <w:pPr>
              <w:jc w:val="right"/>
              <w:rPr>
                <w:bCs/>
                <w:sz w:val="20"/>
                <w:szCs w:val="20"/>
              </w:rPr>
            </w:pPr>
            <w:r w:rsidRPr="008B6A75">
              <w:rPr>
                <w:bCs/>
                <w:sz w:val="20"/>
                <w:szCs w:val="20"/>
              </w:rPr>
              <w:t>38 359 958,87</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749757C5" w14:textId="77777777" w:rsidR="00387142" w:rsidRPr="008B6A75" w:rsidRDefault="00387142" w:rsidP="00387142">
            <w:pPr>
              <w:jc w:val="right"/>
              <w:rPr>
                <w:bCs/>
                <w:sz w:val="20"/>
                <w:szCs w:val="20"/>
              </w:rPr>
            </w:pPr>
            <w:r w:rsidRPr="008B6A75">
              <w:rPr>
                <w:bCs/>
                <w:sz w:val="20"/>
                <w:szCs w:val="20"/>
              </w:rPr>
              <w:t>32 000 000,00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6D0F13A7" w14:textId="77777777" w:rsidR="00387142" w:rsidRPr="008B6A75" w:rsidRDefault="00387142" w:rsidP="00387142">
            <w:pPr>
              <w:jc w:val="right"/>
              <w:rPr>
                <w:bCs/>
                <w:sz w:val="20"/>
                <w:szCs w:val="20"/>
              </w:rPr>
            </w:pPr>
            <w:r w:rsidRPr="008B6A75">
              <w:rPr>
                <w:bCs/>
                <w:sz w:val="20"/>
                <w:szCs w:val="20"/>
              </w:rPr>
              <w:t>32 000 000,00</w:t>
            </w:r>
          </w:p>
        </w:tc>
        <w:tc>
          <w:tcPr>
            <w:tcW w:w="222" w:type="dxa"/>
            <w:vAlign w:val="center"/>
            <w:hideMark/>
          </w:tcPr>
          <w:p w14:paraId="7671EDDE" w14:textId="77777777" w:rsidR="00387142" w:rsidRPr="008B6A75" w:rsidRDefault="00387142" w:rsidP="00387142">
            <w:pPr>
              <w:rPr>
                <w:sz w:val="20"/>
                <w:szCs w:val="20"/>
              </w:rPr>
            </w:pPr>
          </w:p>
        </w:tc>
      </w:tr>
      <w:tr w:rsidR="00387142" w:rsidRPr="008B6A75" w14:paraId="078AFCC1" w14:textId="77777777" w:rsidTr="00387142">
        <w:trPr>
          <w:trHeight w:val="1155"/>
        </w:trPr>
        <w:tc>
          <w:tcPr>
            <w:tcW w:w="3021" w:type="dxa"/>
            <w:tcBorders>
              <w:top w:val="single" w:sz="4" w:space="0" w:color="auto"/>
              <w:left w:val="single" w:sz="4" w:space="0" w:color="auto"/>
              <w:bottom w:val="nil"/>
              <w:right w:val="nil"/>
            </w:tcBorders>
            <w:shd w:val="clear" w:color="auto" w:fill="auto"/>
            <w:vAlign w:val="center"/>
            <w:hideMark/>
          </w:tcPr>
          <w:p w14:paraId="4649D3E9" w14:textId="77777777" w:rsidR="00387142" w:rsidRPr="008B6A75" w:rsidRDefault="00387142" w:rsidP="00387142">
            <w:pPr>
              <w:rPr>
                <w:bCs/>
                <w:sz w:val="20"/>
                <w:szCs w:val="20"/>
              </w:rPr>
            </w:pPr>
            <w:r w:rsidRPr="008B6A75">
              <w:rPr>
                <w:bCs/>
                <w:sz w:val="20"/>
                <w:szCs w:val="20"/>
              </w:rPr>
              <w:t>Муниципальная программа "Развитие физической культуры и спорта в Куйбышевском районе Новосибирской области"</w:t>
            </w:r>
          </w:p>
        </w:tc>
        <w:tc>
          <w:tcPr>
            <w:tcW w:w="850" w:type="dxa"/>
            <w:tcBorders>
              <w:top w:val="single" w:sz="4" w:space="0" w:color="auto"/>
              <w:left w:val="single" w:sz="4" w:space="0" w:color="auto"/>
              <w:bottom w:val="nil"/>
              <w:right w:val="nil"/>
            </w:tcBorders>
            <w:shd w:val="clear" w:color="auto" w:fill="auto"/>
            <w:noWrap/>
            <w:vAlign w:val="center"/>
            <w:hideMark/>
          </w:tcPr>
          <w:p w14:paraId="195362B8" w14:textId="77777777" w:rsidR="00387142" w:rsidRPr="008B6A75" w:rsidRDefault="00387142" w:rsidP="00387142">
            <w:pPr>
              <w:jc w:val="center"/>
              <w:rPr>
                <w:bCs/>
                <w:sz w:val="20"/>
                <w:szCs w:val="20"/>
              </w:rPr>
            </w:pPr>
            <w:r w:rsidRPr="008B6A75">
              <w:rPr>
                <w:bCs/>
                <w:sz w:val="20"/>
                <w:szCs w:val="20"/>
              </w:rPr>
              <w:t>444</w:t>
            </w:r>
          </w:p>
        </w:tc>
        <w:tc>
          <w:tcPr>
            <w:tcW w:w="709" w:type="dxa"/>
            <w:tcBorders>
              <w:top w:val="single" w:sz="4" w:space="0" w:color="auto"/>
              <w:left w:val="single" w:sz="4" w:space="0" w:color="auto"/>
              <w:bottom w:val="nil"/>
              <w:right w:val="nil"/>
            </w:tcBorders>
            <w:shd w:val="clear" w:color="auto" w:fill="auto"/>
            <w:noWrap/>
            <w:vAlign w:val="center"/>
            <w:hideMark/>
          </w:tcPr>
          <w:p w14:paraId="2EFEF4DA" w14:textId="77777777" w:rsidR="00387142" w:rsidRPr="008B6A75" w:rsidRDefault="00387142" w:rsidP="00387142">
            <w:pPr>
              <w:jc w:val="center"/>
              <w:rPr>
                <w:bCs/>
                <w:sz w:val="20"/>
                <w:szCs w:val="20"/>
              </w:rPr>
            </w:pPr>
            <w:r w:rsidRPr="008B6A75">
              <w:rPr>
                <w:bCs/>
                <w:sz w:val="20"/>
                <w:szCs w:val="20"/>
              </w:rPr>
              <w:t>11</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06041808" w14:textId="77777777" w:rsidR="00387142" w:rsidRPr="008B6A75" w:rsidRDefault="00387142" w:rsidP="00387142">
            <w:pPr>
              <w:jc w:val="center"/>
              <w:rPr>
                <w:bCs/>
                <w:sz w:val="20"/>
                <w:szCs w:val="20"/>
              </w:rPr>
            </w:pPr>
            <w:r w:rsidRPr="008B6A75">
              <w:rPr>
                <w:bCs/>
                <w:sz w:val="20"/>
                <w:szCs w:val="20"/>
              </w:rPr>
              <w:t>01</w:t>
            </w:r>
          </w:p>
        </w:tc>
        <w:tc>
          <w:tcPr>
            <w:tcW w:w="1411" w:type="dxa"/>
            <w:tcBorders>
              <w:top w:val="single" w:sz="4" w:space="0" w:color="auto"/>
              <w:left w:val="single" w:sz="4" w:space="0" w:color="auto"/>
              <w:bottom w:val="nil"/>
              <w:right w:val="nil"/>
            </w:tcBorders>
            <w:shd w:val="clear" w:color="auto" w:fill="auto"/>
            <w:noWrap/>
            <w:vAlign w:val="center"/>
            <w:hideMark/>
          </w:tcPr>
          <w:p w14:paraId="661A8D4C" w14:textId="77777777" w:rsidR="00387142" w:rsidRPr="008B6A75" w:rsidRDefault="00387142" w:rsidP="00387142">
            <w:pPr>
              <w:jc w:val="center"/>
              <w:rPr>
                <w:bCs/>
                <w:sz w:val="20"/>
                <w:szCs w:val="20"/>
              </w:rPr>
            </w:pPr>
            <w:r w:rsidRPr="008B6A75">
              <w:rPr>
                <w:bCs/>
                <w:sz w:val="20"/>
                <w:szCs w:val="20"/>
              </w:rPr>
              <w:t>11.0.00.00000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23AB84C3" w14:textId="77777777" w:rsidR="00387142" w:rsidRPr="008B6A75" w:rsidRDefault="00387142" w:rsidP="00387142">
            <w:pPr>
              <w:jc w:val="center"/>
              <w:rPr>
                <w:bCs/>
                <w:sz w:val="20"/>
                <w:szCs w:val="20"/>
              </w:rPr>
            </w:pPr>
            <w:r w:rsidRPr="008B6A75">
              <w:rPr>
                <w:bCs/>
                <w:sz w:val="20"/>
                <w:szCs w:val="20"/>
              </w:rPr>
              <w:t> </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0610F2C0" w14:textId="77777777" w:rsidR="00387142" w:rsidRPr="008B6A75" w:rsidRDefault="00387142" w:rsidP="00387142">
            <w:pPr>
              <w:jc w:val="right"/>
              <w:rPr>
                <w:bCs/>
                <w:sz w:val="20"/>
                <w:szCs w:val="20"/>
              </w:rPr>
            </w:pPr>
            <w:r w:rsidRPr="008B6A75">
              <w:rPr>
                <w:bCs/>
                <w:sz w:val="20"/>
                <w:szCs w:val="20"/>
              </w:rPr>
              <w:t>38 359 958,87</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533D7548" w14:textId="77777777" w:rsidR="00387142" w:rsidRPr="008B6A75" w:rsidRDefault="00387142" w:rsidP="00387142">
            <w:pPr>
              <w:jc w:val="right"/>
              <w:rPr>
                <w:bCs/>
                <w:sz w:val="20"/>
                <w:szCs w:val="20"/>
              </w:rPr>
            </w:pPr>
            <w:r w:rsidRPr="008B6A75">
              <w:rPr>
                <w:bCs/>
                <w:sz w:val="20"/>
                <w:szCs w:val="20"/>
              </w:rPr>
              <w:t>32 000 000,00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77C93A92" w14:textId="77777777" w:rsidR="00387142" w:rsidRPr="008B6A75" w:rsidRDefault="00387142" w:rsidP="00387142">
            <w:pPr>
              <w:jc w:val="right"/>
              <w:rPr>
                <w:bCs/>
                <w:sz w:val="20"/>
                <w:szCs w:val="20"/>
              </w:rPr>
            </w:pPr>
            <w:r w:rsidRPr="008B6A75">
              <w:rPr>
                <w:bCs/>
                <w:sz w:val="20"/>
                <w:szCs w:val="20"/>
              </w:rPr>
              <w:t>32 000 000,00</w:t>
            </w:r>
          </w:p>
        </w:tc>
        <w:tc>
          <w:tcPr>
            <w:tcW w:w="222" w:type="dxa"/>
            <w:vAlign w:val="center"/>
            <w:hideMark/>
          </w:tcPr>
          <w:p w14:paraId="7DD8F70F" w14:textId="77777777" w:rsidR="00387142" w:rsidRPr="008B6A75" w:rsidRDefault="00387142" w:rsidP="00387142">
            <w:pPr>
              <w:rPr>
                <w:sz w:val="20"/>
                <w:szCs w:val="20"/>
              </w:rPr>
            </w:pPr>
          </w:p>
        </w:tc>
      </w:tr>
      <w:tr w:rsidR="00387142" w:rsidRPr="008B6A75" w14:paraId="09C80BFA" w14:textId="77777777" w:rsidTr="00387142">
        <w:trPr>
          <w:trHeight w:val="870"/>
        </w:trPr>
        <w:tc>
          <w:tcPr>
            <w:tcW w:w="3021" w:type="dxa"/>
            <w:tcBorders>
              <w:top w:val="single" w:sz="4" w:space="0" w:color="auto"/>
              <w:left w:val="single" w:sz="4" w:space="0" w:color="auto"/>
              <w:bottom w:val="nil"/>
              <w:right w:val="nil"/>
            </w:tcBorders>
            <w:shd w:val="clear" w:color="auto" w:fill="auto"/>
            <w:vAlign w:val="center"/>
            <w:hideMark/>
          </w:tcPr>
          <w:p w14:paraId="7A0F26CA" w14:textId="77777777" w:rsidR="00387142" w:rsidRPr="008B6A75" w:rsidRDefault="00387142" w:rsidP="00387142">
            <w:pPr>
              <w:rPr>
                <w:bCs/>
                <w:sz w:val="20"/>
                <w:szCs w:val="20"/>
              </w:rPr>
            </w:pPr>
            <w:r w:rsidRPr="008B6A75">
              <w:rPr>
                <w:bCs/>
                <w:sz w:val="20"/>
                <w:szCs w:val="20"/>
              </w:rPr>
              <w:t xml:space="preserve">Расходы на обеспечение деятельности (оказание услуг) центров спортивной </w:t>
            </w:r>
            <w:proofErr w:type="gramStart"/>
            <w:r w:rsidRPr="008B6A75">
              <w:rPr>
                <w:bCs/>
                <w:sz w:val="20"/>
                <w:szCs w:val="20"/>
              </w:rPr>
              <w:t>подготовки(</w:t>
            </w:r>
            <w:proofErr w:type="gramEnd"/>
            <w:r w:rsidRPr="008B6A75">
              <w:rPr>
                <w:bCs/>
                <w:sz w:val="20"/>
                <w:szCs w:val="20"/>
              </w:rPr>
              <w:t>сборных команд)</w:t>
            </w:r>
          </w:p>
        </w:tc>
        <w:tc>
          <w:tcPr>
            <w:tcW w:w="850" w:type="dxa"/>
            <w:tcBorders>
              <w:top w:val="single" w:sz="4" w:space="0" w:color="auto"/>
              <w:left w:val="single" w:sz="4" w:space="0" w:color="auto"/>
              <w:bottom w:val="nil"/>
              <w:right w:val="nil"/>
            </w:tcBorders>
            <w:shd w:val="clear" w:color="auto" w:fill="auto"/>
            <w:noWrap/>
            <w:vAlign w:val="center"/>
            <w:hideMark/>
          </w:tcPr>
          <w:p w14:paraId="325019CE" w14:textId="77777777" w:rsidR="00387142" w:rsidRPr="008B6A75" w:rsidRDefault="00387142" w:rsidP="00387142">
            <w:pPr>
              <w:jc w:val="center"/>
              <w:rPr>
                <w:bCs/>
                <w:sz w:val="20"/>
                <w:szCs w:val="20"/>
              </w:rPr>
            </w:pPr>
            <w:r w:rsidRPr="008B6A75">
              <w:rPr>
                <w:bCs/>
                <w:sz w:val="20"/>
                <w:szCs w:val="20"/>
              </w:rPr>
              <w:t>444</w:t>
            </w:r>
          </w:p>
        </w:tc>
        <w:tc>
          <w:tcPr>
            <w:tcW w:w="709" w:type="dxa"/>
            <w:tcBorders>
              <w:top w:val="single" w:sz="4" w:space="0" w:color="auto"/>
              <w:left w:val="single" w:sz="4" w:space="0" w:color="auto"/>
              <w:bottom w:val="nil"/>
              <w:right w:val="nil"/>
            </w:tcBorders>
            <w:shd w:val="clear" w:color="auto" w:fill="auto"/>
            <w:noWrap/>
            <w:vAlign w:val="center"/>
            <w:hideMark/>
          </w:tcPr>
          <w:p w14:paraId="45FAC894" w14:textId="77777777" w:rsidR="00387142" w:rsidRPr="008B6A75" w:rsidRDefault="00387142" w:rsidP="00387142">
            <w:pPr>
              <w:jc w:val="center"/>
              <w:rPr>
                <w:bCs/>
                <w:sz w:val="20"/>
                <w:szCs w:val="20"/>
              </w:rPr>
            </w:pPr>
            <w:r w:rsidRPr="008B6A75">
              <w:rPr>
                <w:bCs/>
                <w:sz w:val="20"/>
                <w:szCs w:val="20"/>
              </w:rPr>
              <w:t>11</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40EDC050" w14:textId="77777777" w:rsidR="00387142" w:rsidRPr="008B6A75" w:rsidRDefault="00387142" w:rsidP="00387142">
            <w:pPr>
              <w:jc w:val="center"/>
              <w:rPr>
                <w:bCs/>
                <w:sz w:val="20"/>
                <w:szCs w:val="20"/>
              </w:rPr>
            </w:pPr>
            <w:r w:rsidRPr="008B6A75">
              <w:rPr>
                <w:bCs/>
                <w:sz w:val="20"/>
                <w:szCs w:val="20"/>
              </w:rPr>
              <w:t>01</w:t>
            </w:r>
          </w:p>
        </w:tc>
        <w:tc>
          <w:tcPr>
            <w:tcW w:w="1411" w:type="dxa"/>
            <w:tcBorders>
              <w:top w:val="single" w:sz="4" w:space="0" w:color="auto"/>
              <w:left w:val="single" w:sz="4" w:space="0" w:color="auto"/>
              <w:bottom w:val="nil"/>
              <w:right w:val="nil"/>
            </w:tcBorders>
            <w:shd w:val="clear" w:color="auto" w:fill="auto"/>
            <w:noWrap/>
            <w:vAlign w:val="center"/>
            <w:hideMark/>
          </w:tcPr>
          <w:p w14:paraId="7BF7A223" w14:textId="77777777" w:rsidR="00387142" w:rsidRPr="008B6A75" w:rsidRDefault="00387142" w:rsidP="00387142">
            <w:pPr>
              <w:jc w:val="center"/>
              <w:rPr>
                <w:bCs/>
                <w:sz w:val="20"/>
                <w:szCs w:val="20"/>
              </w:rPr>
            </w:pPr>
            <w:r w:rsidRPr="008B6A75">
              <w:rPr>
                <w:bCs/>
                <w:sz w:val="20"/>
                <w:szCs w:val="20"/>
              </w:rPr>
              <w:t>11.0.00.11190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66141A30" w14:textId="77777777" w:rsidR="00387142" w:rsidRPr="008B6A75" w:rsidRDefault="00387142" w:rsidP="00387142">
            <w:pPr>
              <w:jc w:val="center"/>
              <w:rPr>
                <w:bCs/>
                <w:sz w:val="20"/>
                <w:szCs w:val="20"/>
              </w:rPr>
            </w:pPr>
            <w:r w:rsidRPr="008B6A75">
              <w:rPr>
                <w:bCs/>
                <w:sz w:val="20"/>
                <w:szCs w:val="20"/>
              </w:rPr>
              <w:t> </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2C3D9ED9" w14:textId="77777777" w:rsidR="00387142" w:rsidRPr="008B6A75" w:rsidRDefault="00387142" w:rsidP="00387142">
            <w:pPr>
              <w:jc w:val="right"/>
              <w:rPr>
                <w:bCs/>
                <w:sz w:val="20"/>
                <w:szCs w:val="20"/>
              </w:rPr>
            </w:pPr>
            <w:r w:rsidRPr="008B6A75">
              <w:rPr>
                <w:bCs/>
                <w:sz w:val="20"/>
                <w:szCs w:val="20"/>
              </w:rPr>
              <w:t>35 855 258,87</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5303A487" w14:textId="77777777" w:rsidR="00387142" w:rsidRPr="008B6A75" w:rsidRDefault="00387142" w:rsidP="00387142">
            <w:pPr>
              <w:jc w:val="right"/>
              <w:rPr>
                <w:bCs/>
                <w:sz w:val="20"/>
                <w:szCs w:val="20"/>
              </w:rPr>
            </w:pPr>
            <w:r w:rsidRPr="008B6A75">
              <w:rPr>
                <w:bCs/>
                <w:sz w:val="20"/>
                <w:szCs w:val="20"/>
              </w:rPr>
              <w:t>32 000 000,00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4DCBA3A3" w14:textId="77777777" w:rsidR="00387142" w:rsidRPr="008B6A75" w:rsidRDefault="00387142" w:rsidP="00387142">
            <w:pPr>
              <w:jc w:val="right"/>
              <w:rPr>
                <w:bCs/>
                <w:sz w:val="20"/>
                <w:szCs w:val="20"/>
              </w:rPr>
            </w:pPr>
            <w:r w:rsidRPr="008B6A75">
              <w:rPr>
                <w:bCs/>
                <w:sz w:val="20"/>
                <w:szCs w:val="20"/>
              </w:rPr>
              <w:t>32 000 000,00</w:t>
            </w:r>
          </w:p>
        </w:tc>
        <w:tc>
          <w:tcPr>
            <w:tcW w:w="222" w:type="dxa"/>
            <w:vAlign w:val="center"/>
            <w:hideMark/>
          </w:tcPr>
          <w:p w14:paraId="185180D4" w14:textId="77777777" w:rsidR="00387142" w:rsidRPr="008B6A75" w:rsidRDefault="00387142" w:rsidP="00387142">
            <w:pPr>
              <w:rPr>
                <w:sz w:val="20"/>
                <w:szCs w:val="20"/>
              </w:rPr>
            </w:pPr>
          </w:p>
        </w:tc>
      </w:tr>
      <w:tr w:rsidR="00387142" w:rsidRPr="008B6A75" w14:paraId="70378060" w14:textId="77777777" w:rsidTr="00387142">
        <w:trPr>
          <w:trHeight w:val="1440"/>
        </w:trPr>
        <w:tc>
          <w:tcPr>
            <w:tcW w:w="3021" w:type="dxa"/>
            <w:tcBorders>
              <w:top w:val="single" w:sz="4" w:space="0" w:color="auto"/>
              <w:left w:val="single" w:sz="4" w:space="0" w:color="auto"/>
              <w:bottom w:val="nil"/>
              <w:right w:val="nil"/>
            </w:tcBorders>
            <w:shd w:val="clear" w:color="auto" w:fill="auto"/>
            <w:vAlign w:val="center"/>
            <w:hideMark/>
          </w:tcPr>
          <w:p w14:paraId="5A8029D2" w14:textId="77777777" w:rsidR="00387142" w:rsidRPr="008B6A75" w:rsidRDefault="00387142" w:rsidP="00387142">
            <w:pPr>
              <w:rPr>
                <w:sz w:val="20"/>
                <w:szCs w:val="20"/>
              </w:rPr>
            </w:pPr>
            <w:r w:rsidRPr="008B6A75">
              <w:rPr>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8B6A75">
              <w:rPr>
                <w:sz w:val="20"/>
                <w:szCs w:val="20"/>
              </w:rPr>
              <w:lastRenderedPageBreak/>
              <w:t>органами управления государственными внебюджетными фондами</w:t>
            </w:r>
          </w:p>
        </w:tc>
        <w:tc>
          <w:tcPr>
            <w:tcW w:w="850" w:type="dxa"/>
            <w:tcBorders>
              <w:top w:val="single" w:sz="4" w:space="0" w:color="auto"/>
              <w:left w:val="single" w:sz="4" w:space="0" w:color="auto"/>
              <w:bottom w:val="nil"/>
              <w:right w:val="nil"/>
            </w:tcBorders>
            <w:shd w:val="clear" w:color="auto" w:fill="auto"/>
            <w:noWrap/>
            <w:vAlign w:val="center"/>
            <w:hideMark/>
          </w:tcPr>
          <w:p w14:paraId="01D13961" w14:textId="77777777" w:rsidR="00387142" w:rsidRPr="008B6A75" w:rsidRDefault="00387142" w:rsidP="00387142">
            <w:pPr>
              <w:jc w:val="center"/>
              <w:rPr>
                <w:sz w:val="20"/>
                <w:szCs w:val="20"/>
              </w:rPr>
            </w:pPr>
            <w:r w:rsidRPr="008B6A75">
              <w:rPr>
                <w:sz w:val="20"/>
                <w:szCs w:val="20"/>
              </w:rPr>
              <w:lastRenderedPageBreak/>
              <w:t>444</w:t>
            </w:r>
          </w:p>
        </w:tc>
        <w:tc>
          <w:tcPr>
            <w:tcW w:w="709" w:type="dxa"/>
            <w:tcBorders>
              <w:top w:val="single" w:sz="4" w:space="0" w:color="auto"/>
              <w:left w:val="single" w:sz="4" w:space="0" w:color="auto"/>
              <w:bottom w:val="nil"/>
              <w:right w:val="nil"/>
            </w:tcBorders>
            <w:shd w:val="clear" w:color="auto" w:fill="auto"/>
            <w:noWrap/>
            <w:vAlign w:val="center"/>
            <w:hideMark/>
          </w:tcPr>
          <w:p w14:paraId="5292FAC8" w14:textId="77777777" w:rsidR="00387142" w:rsidRPr="008B6A75" w:rsidRDefault="00387142" w:rsidP="00387142">
            <w:pPr>
              <w:jc w:val="center"/>
              <w:rPr>
                <w:sz w:val="20"/>
                <w:szCs w:val="20"/>
              </w:rPr>
            </w:pPr>
            <w:r w:rsidRPr="008B6A75">
              <w:rPr>
                <w:sz w:val="20"/>
                <w:szCs w:val="20"/>
              </w:rPr>
              <w:t>11</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6BAB9B81" w14:textId="77777777" w:rsidR="00387142" w:rsidRPr="008B6A75" w:rsidRDefault="00387142" w:rsidP="00387142">
            <w:pPr>
              <w:jc w:val="center"/>
              <w:rPr>
                <w:sz w:val="20"/>
                <w:szCs w:val="20"/>
              </w:rPr>
            </w:pPr>
            <w:r w:rsidRPr="008B6A75">
              <w:rPr>
                <w:sz w:val="20"/>
                <w:szCs w:val="20"/>
              </w:rPr>
              <w:t>01</w:t>
            </w:r>
          </w:p>
        </w:tc>
        <w:tc>
          <w:tcPr>
            <w:tcW w:w="1411" w:type="dxa"/>
            <w:tcBorders>
              <w:top w:val="single" w:sz="4" w:space="0" w:color="auto"/>
              <w:left w:val="single" w:sz="4" w:space="0" w:color="auto"/>
              <w:bottom w:val="nil"/>
              <w:right w:val="nil"/>
            </w:tcBorders>
            <w:shd w:val="clear" w:color="auto" w:fill="auto"/>
            <w:noWrap/>
            <w:vAlign w:val="center"/>
            <w:hideMark/>
          </w:tcPr>
          <w:p w14:paraId="31799455" w14:textId="77777777" w:rsidR="00387142" w:rsidRPr="008B6A75" w:rsidRDefault="00387142" w:rsidP="00387142">
            <w:pPr>
              <w:jc w:val="center"/>
              <w:rPr>
                <w:sz w:val="20"/>
                <w:szCs w:val="20"/>
              </w:rPr>
            </w:pPr>
            <w:r w:rsidRPr="008B6A75">
              <w:rPr>
                <w:sz w:val="20"/>
                <w:szCs w:val="20"/>
              </w:rPr>
              <w:t>11.0.00.11190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203C4D15" w14:textId="77777777" w:rsidR="00387142" w:rsidRPr="008B6A75" w:rsidRDefault="00387142" w:rsidP="00387142">
            <w:pPr>
              <w:jc w:val="center"/>
              <w:rPr>
                <w:sz w:val="20"/>
                <w:szCs w:val="20"/>
              </w:rPr>
            </w:pPr>
            <w:r w:rsidRPr="008B6A75">
              <w:rPr>
                <w:sz w:val="20"/>
                <w:szCs w:val="20"/>
              </w:rPr>
              <w:t>100</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4465EE0E" w14:textId="77777777" w:rsidR="00387142" w:rsidRPr="008B6A75" w:rsidRDefault="00387142" w:rsidP="00387142">
            <w:pPr>
              <w:jc w:val="right"/>
              <w:rPr>
                <w:sz w:val="20"/>
                <w:szCs w:val="20"/>
              </w:rPr>
            </w:pPr>
            <w:r w:rsidRPr="008B6A75">
              <w:rPr>
                <w:sz w:val="20"/>
                <w:szCs w:val="20"/>
              </w:rPr>
              <w:t>0,00</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156A573F" w14:textId="77777777" w:rsidR="00387142" w:rsidRPr="008B6A75" w:rsidRDefault="00387142" w:rsidP="00387142">
            <w:pPr>
              <w:jc w:val="right"/>
              <w:rPr>
                <w:sz w:val="20"/>
                <w:szCs w:val="20"/>
              </w:rPr>
            </w:pPr>
            <w:r w:rsidRPr="008B6A75">
              <w:rPr>
                <w:sz w:val="20"/>
                <w:szCs w:val="20"/>
              </w:rPr>
              <w:t>12 000 000,00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2BA1BC4B" w14:textId="77777777" w:rsidR="00387142" w:rsidRPr="008B6A75" w:rsidRDefault="00387142" w:rsidP="00387142">
            <w:pPr>
              <w:jc w:val="right"/>
              <w:rPr>
                <w:sz w:val="20"/>
                <w:szCs w:val="20"/>
              </w:rPr>
            </w:pPr>
            <w:r w:rsidRPr="008B6A75">
              <w:rPr>
                <w:sz w:val="20"/>
                <w:szCs w:val="20"/>
              </w:rPr>
              <w:t>12 000 000,00</w:t>
            </w:r>
          </w:p>
        </w:tc>
        <w:tc>
          <w:tcPr>
            <w:tcW w:w="222" w:type="dxa"/>
            <w:vAlign w:val="center"/>
            <w:hideMark/>
          </w:tcPr>
          <w:p w14:paraId="76C149C2" w14:textId="77777777" w:rsidR="00387142" w:rsidRPr="008B6A75" w:rsidRDefault="00387142" w:rsidP="00387142">
            <w:pPr>
              <w:rPr>
                <w:sz w:val="20"/>
                <w:szCs w:val="20"/>
              </w:rPr>
            </w:pPr>
          </w:p>
        </w:tc>
      </w:tr>
      <w:tr w:rsidR="00387142" w:rsidRPr="008B6A75" w14:paraId="7BF70C4D" w14:textId="77777777" w:rsidTr="00387142">
        <w:trPr>
          <w:trHeight w:val="585"/>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1C44C81B" w14:textId="77777777" w:rsidR="00387142" w:rsidRPr="008B6A75" w:rsidRDefault="00387142" w:rsidP="00387142">
            <w:pPr>
              <w:rPr>
                <w:sz w:val="20"/>
                <w:szCs w:val="20"/>
              </w:rPr>
            </w:pPr>
            <w:r w:rsidRPr="008B6A75">
              <w:rPr>
                <w:sz w:val="20"/>
                <w:szCs w:val="20"/>
              </w:rPr>
              <w:t>Расходы на выплаты персоналу казенных учреждений</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15BD7693" w14:textId="77777777" w:rsidR="00387142" w:rsidRPr="008B6A75" w:rsidRDefault="00387142" w:rsidP="00387142">
            <w:pPr>
              <w:jc w:val="center"/>
              <w:rPr>
                <w:sz w:val="20"/>
                <w:szCs w:val="20"/>
              </w:rPr>
            </w:pPr>
            <w:r w:rsidRPr="008B6A75">
              <w:rPr>
                <w:sz w:val="20"/>
                <w:szCs w:val="20"/>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207A92D0" w14:textId="77777777" w:rsidR="00387142" w:rsidRPr="008B6A75" w:rsidRDefault="00387142" w:rsidP="00387142">
            <w:pPr>
              <w:jc w:val="center"/>
              <w:rPr>
                <w:sz w:val="20"/>
                <w:szCs w:val="20"/>
              </w:rPr>
            </w:pPr>
            <w:r w:rsidRPr="008B6A75">
              <w:rPr>
                <w:sz w:val="20"/>
                <w:szCs w:val="20"/>
              </w:rPr>
              <w:t>11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5EEBE3" w14:textId="77777777" w:rsidR="00387142" w:rsidRPr="008B6A75" w:rsidRDefault="00387142" w:rsidP="00387142">
            <w:pPr>
              <w:jc w:val="center"/>
              <w:rPr>
                <w:sz w:val="20"/>
                <w:szCs w:val="20"/>
              </w:rPr>
            </w:pPr>
            <w:r w:rsidRPr="008B6A75">
              <w:rPr>
                <w:sz w:val="20"/>
                <w:szCs w:val="20"/>
              </w:rPr>
              <w:t>01</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698C3163" w14:textId="77777777" w:rsidR="00387142" w:rsidRPr="008B6A75" w:rsidRDefault="00387142" w:rsidP="00387142">
            <w:pPr>
              <w:jc w:val="center"/>
              <w:rPr>
                <w:sz w:val="20"/>
                <w:szCs w:val="20"/>
              </w:rPr>
            </w:pPr>
            <w:r w:rsidRPr="008B6A75">
              <w:rPr>
                <w:sz w:val="20"/>
                <w:szCs w:val="20"/>
              </w:rPr>
              <w:t>11.0.00.11190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4F9F92" w14:textId="77777777" w:rsidR="00387142" w:rsidRPr="008B6A75" w:rsidRDefault="00387142" w:rsidP="00387142">
            <w:pPr>
              <w:jc w:val="center"/>
              <w:rPr>
                <w:sz w:val="20"/>
                <w:szCs w:val="20"/>
              </w:rPr>
            </w:pPr>
            <w:r w:rsidRPr="008B6A75">
              <w:rPr>
                <w:sz w:val="20"/>
                <w:szCs w:val="20"/>
              </w:rPr>
              <w:t>110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A98081" w14:textId="77777777" w:rsidR="00387142" w:rsidRPr="008B6A75" w:rsidRDefault="00387142" w:rsidP="00387142">
            <w:pPr>
              <w:jc w:val="right"/>
              <w:rPr>
                <w:sz w:val="20"/>
                <w:szCs w:val="20"/>
              </w:rPr>
            </w:pPr>
            <w:r w:rsidRPr="008B6A75">
              <w:rPr>
                <w:sz w:val="20"/>
                <w:szCs w:val="20"/>
              </w:rPr>
              <w:t>0,00</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18B38DE3" w14:textId="77777777" w:rsidR="00387142" w:rsidRPr="008B6A75" w:rsidRDefault="00387142" w:rsidP="00387142">
            <w:pPr>
              <w:jc w:val="right"/>
              <w:rPr>
                <w:sz w:val="20"/>
                <w:szCs w:val="20"/>
              </w:rPr>
            </w:pPr>
            <w:r w:rsidRPr="008B6A75">
              <w:rPr>
                <w:sz w:val="20"/>
                <w:szCs w:val="20"/>
              </w:rPr>
              <w:t>12 000 000,00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56F9B5" w14:textId="77777777" w:rsidR="00387142" w:rsidRPr="008B6A75" w:rsidRDefault="00387142" w:rsidP="00387142">
            <w:pPr>
              <w:jc w:val="right"/>
              <w:rPr>
                <w:sz w:val="20"/>
                <w:szCs w:val="20"/>
              </w:rPr>
            </w:pPr>
            <w:r w:rsidRPr="008B6A75">
              <w:rPr>
                <w:sz w:val="20"/>
                <w:szCs w:val="20"/>
              </w:rPr>
              <w:t>12 000 000,00</w:t>
            </w:r>
          </w:p>
        </w:tc>
        <w:tc>
          <w:tcPr>
            <w:tcW w:w="222" w:type="dxa"/>
            <w:vAlign w:val="center"/>
            <w:hideMark/>
          </w:tcPr>
          <w:p w14:paraId="12B67018" w14:textId="77777777" w:rsidR="00387142" w:rsidRPr="008B6A75" w:rsidRDefault="00387142" w:rsidP="00387142">
            <w:pPr>
              <w:rPr>
                <w:sz w:val="20"/>
                <w:szCs w:val="20"/>
              </w:rPr>
            </w:pPr>
          </w:p>
        </w:tc>
      </w:tr>
      <w:tr w:rsidR="00387142" w:rsidRPr="008B6A75" w14:paraId="2ABBDA6B" w14:textId="77777777" w:rsidTr="00387142">
        <w:trPr>
          <w:trHeight w:val="585"/>
        </w:trPr>
        <w:tc>
          <w:tcPr>
            <w:tcW w:w="3021" w:type="dxa"/>
            <w:tcBorders>
              <w:top w:val="nil"/>
              <w:left w:val="single" w:sz="4" w:space="0" w:color="auto"/>
              <w:bottom w:val="nil"/>
              <w:right w:val="nil"/>
            </w:tcBorders>
            <w:shd w:val="clear" w:color="auto" w:fill="auto"/>
            <w:vAlign w:val="center"/>
            <w:hideMark/>
          </w:tcPr>
          <w:p w14:paraId="4F9FE008" w14:textId="77777777" w:rsidR="00387142" w:rsidRPr="008B6A75" w:rsidRDefault="00387142" w:rsidP="00387142">
            <w:pPr>
              <w:rPr>
                <w:sz w:val="20"/>
                <w:szCs w:val="20"/>
              </w:rPr>
            </w:pPr>
            <w:r w:rsidRPr="008B6A75">
              <w:rPr>
                <w:sz w:val="20"/>
                <w:szCs w:val="20"/>
              </w:rPr>
              <w:t>Закупка товаров, работ и услуг для обеспечения государственных (муниципальных) нужд</w:t>
            </w:r>
          </w:p>
        </w:tc>
        <w:tc>
          <w:tcPr>
            <w:tcW w:w="850" w:type="dxa"/>
            <w:tcBorders>
              <w:top w:val="nil"/>
              <w:left w:val="single" w:sz="4" w:space="0" w:color="auto"/>
              <w:bottom w:val="nil"/>
              <w:right w:val="nil"/>
            </w:tcBorders>
            <w:shd w:val="clear" w:color="auto" w:fill="auto"/>
            <w:noWrap/>
            <w:vAlign w:val="center"/>
            <w:hideMark/>
          </w:tcPr>
          <w:p w14:paraId="436268B3" w14:textId="77777777" w:rsidR="00387142" w:rsidRPr="008B6A75" w:rsidRDefault="00387142" w:rsidP="00387142">
            <w:pPr>
              <w:jc w:val="center"/>
              <w:rPr>
                <w:sz w:val="20"/>
                <w:szCs w:val="20"/>
              </w:rPr>
            </w:pPr>
            <w:r w:rsidRPr="008B6A75">
              <w:rPr>
                <w:sz w:val="20"/>
                <w:szCs w:val="20"/>
              </w:rPr>
              <w:t>444</w:t>
            </w:r>
          </w:p>
        </w:tc>
        <w:tc>
          <w:tcPr>
            <w:tcW w:w="709" w:type="dxa"/>
            <w:tcBorders>
              <w:top w:val="nil"/>
              <w:left w:val="single" w:sz="4" w:space="0" w:color="auto"/>
              <w:bottom w:val="nil"/>
              <w:right w:val="nil"/>
            </w:tcBorders>
            <w:shd w:val="clear" w:color="auto" w:fill="auto"/>
            <w:noWrap/>
            <w:vAlign w:val="center"/>
            <w:hideMark/>
          </w:tcPr>
          <w:p w14:paraId="3157740B" w14:textId="77777777" w:rsidR="00387142" w:rsidRPr="008B6A75" w:rsidRDefault="00387142" w:rsidP="00387142">
            <w:pPr>
              <w:jc w:val="center"/>
              <w:rPr>
                <w:sz w:val="20"/>
                <w:szCs w:val="20"/>
              </w:rPr>
            </w:pPr>
            <w:r w:rsidRPr="008B6A75">
              <w:rPr>
                <w:sz w:val="20"/>
                <w:szCs w:val="20"/>
              </w:rPr>
              <w:t>11</w:t>
            </w:r>
          </w:p>
        </w:tc>
        <w:tc>
          <w:tcPr>
            <w:tcW w:w="709" w:type="dxa"/>
            <w:tcBorders>
              <w:top w:val="nil"/>
              <w:left w:val="single" w:sz="4" w:space="0" w:color="auto"/>
              <w:bottom w:val="nil"/>
              <w:right w:val="single" w:sz="4" w:space="0" w:color="auto"/>
            </w:tcBorders>
            <w:shd w:val="clear" w:color="auto" w:fill="auto"/>
            <w:noWrap/>
            <w:vAlign w:val="center"/>
            <w:hideMark/>
          </w:tcPr>
          <w:p w14:paraId="030B9BBF" w14:textId="77777777" w:rsidR="00387142" w:rsidRPr="008B6A75" w:rsidRDefault="00387142" w:rsidP="00387142">
            <w:pPr>
              <w:jc w:val="center"/>
              <w:rPr>
                <w:sz w:val="20"/>
                <w:szCs w:val="20"/>
              </w:rPr>
            </w:pPr>
            <w:r w:rsidRPr="008B6A75">
              <w:rPr>
                <w:sz w:val="20"/>
                <w:szCs w:val="20"/>
              </w:rPr>
              <w:t>01</w:t>
            </w:r>
          </w:p>
        </w:tc>
        <w:tc>
          <w:tcPr>
            <w:tcW w:w="1411" w:type="dxa"/>
            <w:tcBorders>
              <w:top w:val="nil"/>
              <w:left w:val="single" w:sz="4" w:space="0" w:color="auto"/>
              <w:bottom w:val="nil"/>
              <w:right w:val="nil"/>
            </w:tcBorders>
            <w:shd w:val="clear" w:color="auto" w:fill="auto"/>
            <w:noWrap/>
            <w:vAlign w:val="center"/>
            <w:hideMark/>
          </w:tcPr>
          <w:p w14:paraId="6F62A861" w14:textId="77777777" w:rsidR="00387142" w:rsidRPr="008B6A75" w:rsidRDefault="00387142" w:rsidP="00387142">
            <w:pPr>
              <w:jc w:val="center"/>
              <w:rPr>
                <w:sz w:val="20"/>
                <w:szCs w:val="20"/>
              </w:rPr>
            </w:pPr>
            <w:r w:rsidRPr="008B6A75">
              <w:rPr>
                <w:sz w:val="20"/>
                <w:szCs w:val="20"/>
              </w:rPr>
              <w:t>11.0.00.11190</w:t>
            </w:r>
          </w:p>
        </w:tc>
        <w:tc>
          <w:tcPr>
            <w:tcW w:w="955" w:type="dxa"/>
            <w:tcBorders>
              <w:top w:val="nil"/>
              <w:left w:val="single" w:sz="4" w:space="0" w:color="auto"/>
              <w:bottom w:val="nil"/>
              <w:right w:val="single" w:sz="4" w:space="0" w:color="auto"/>
            </w:tcBorders>
            <w:shd w:val="clear" w:color="auto" w:fill="auto"/>
            <w:noWrap/>
            <w:vAlign w:val="center"/>
            <w:hideMark/>
          </w:tcPr>
          <w:p w14:paraId="36E281B5" w14:textId="77777777" w:rsidR="00387142" w:rsidRPr="008B6A75" w:rsidRDefault="00387142" w:rsidP="00387142">
            <w:pPr>
              <w:jc w:val="center"/>
              <w:rPr>
                <w:sz w:val="20"/>
                <w:szCs w:val="20"/>
              </w:rPr>
            </w:pPr>
            <w:r w:rsidRPr="008B6A75">
              <w:rPr>
                <w:sz w:val="20"/>
                <w:szCs w:val="20"/>
              </w:rPr>
              <w:t>200</w:t>
            </w:r>
          </w:p>
        </w:tc>
        <w:tc>
          <w:tcPr>
            <w:tcW w:w="992" w:type="dxa"/>
            <w:tcBorders>
              <w:top w:val="nil"/>
              <w:left w:val="single" w:sz="4" w:space="0" w:color="auto"/>
              <w:bottom w:val="nil"/>
              <w:right w:val="single" w:sz="4" w:space="0" w:color="auto"/>
            </w:tcBorders>
            <w:shd w:val="clear" w:color="auto" w:fill="auto"/>
            <w:noWrap/>
            <w:vAlign w:val="center"/>
            <w:hideMark/>
          </w:tcPr>
          <w:p w14:paraId="2A96DFE3" w14:textId="77777777" w:rsidR="00387142" w:rsidRPr="008B6A75" w:rsidRDefault="00387142" w:rsidP="00387142">
            <w:pPr>
              <w:jc w:val="right"/>
              <w:rPr>
                <w:sz w:val="20"/>
                <w:szCs w:val="20"/>
              </w:rPr>
            </w:pPr>
            <w:r w:rsidRPr="008B6A75">
              <w:rPr>
                <w:sz w:val="20"/>
                <w:szCs w:val="20"/>
              </w:rPr>
              <w:t>0,00</w:t>
            </w:r>
          </w:p>
        </w:tc>
        <w:tc>
          <w:tcPr>
            <w:tcW w:w="992" w:type="dxa"/>
            <w:gridSpan w:val="2"/>
            <w:tcBorders>
              <w:top w:val="nil"/>
              <w:left w:val="single" w:sz="4" w:space="0" w:color="auto"/>
              <w:bottom w:val="nil"/>
              <w:right w:val="nil"/>
            </w:tcBorders>
            <w:shd w:val="clear" w:color="auto" w:fill="auto"/>
            <w:noWrap/>
            <w:vAlign w:val="center"/>
            <w:hideMark/>
          </w:tcPr>
          <w:p w14:paraId="7917C6DA" w14:textId="77777777" w:rsidR="00387142" w:rsidRPr="008B6A75" w:rsidRDefault="00387142" w:rsidP="00387142">
            <w:pPr>
              <w:jc w:val="right"/>
              <w:rPr>
                <w:sz w:val="20"/>
                <w:szCs w:val="20"/>
              </w:rPr>
            </w:pPr>
            <w:r w:rsidRPr="008B6A75">
              <w:rPr>
                <w:sz w:val="20"/>
                <w:szCs w:val="20"/>
              </w:rPr>
              <w:t>10 000 000,00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20348CA9" w14:textId="77777777" w:rsidR="00387142" w:rsidRPr="008B6A75" w:rsidRDefault="00387142" w:rsidP="00387142">
            <w:pPr>
              <w:jc w:val="right"/>
              <w:rPr>
                <w:sz w:val="20"/>
                <w:szCs w:val="20"/>
              </w:rPr>
            </w:pPr>
            <w:r w:rsidRPr="008B6A75">
              <w:rPr>
                <w:sz w:val="20"/>
                <w:szCs w:val="20"/>
              </w:rPr>
              <w:t>10 000 000,00</w:t>
            </w:r>
          </w:p>
        </w:tc>
        <w:tc>
          <w:tcPr>
            <w:tcW w:w="222" w:type="dxa"/>
            <w:vAlign w:val="center"/>
            <w:hideMark/>
          </w:tcPr>
          <w:p w14:paraId="1B0505CA" w14:textId="77777777" w:rsidR="00387142" w:rsidRPr="008B6A75" w:rsidRDefault="00387142" w:rsidP="00387142">
            <w:pPr>
              <w:rPr>
                <w:sz w:val="20"/>
                <w:szCs w:val="20"/>
              </w:rPr>
            </w:pPr>
          </w:p>
        </w:tc>
      </w:tr>
      <w:tr w:rsidR="00387142" w:rsidRPr="008B6A75" w14:paraId="0E3B0744" w14:textId="77777777" w:rsidTr="00387142">
        <w:trPr>
          <w:trHeight w:val="870"/>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03B71204" w14:textId="77777777" w:rsidR="00387142" w:rsidRPr="008B6A75" w:rsidRDefault="00387142" w:rsidP="00387142">
            <w:pPr>
              <w:rPr>
                <w:sz w:val="20"/>
                <w:szCs w:val="20"/>
              </w:rPr>
            </w:pPr>
            <w:r w:rsidRPr="008B6A75">
              <w:rPr>
                <w:sz w:val="20"/>
                <w:szCs w:val="20"/>
              </w:rPr>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213AE072" w14:textId="77777777" w:rsidR="00387142" w:rsidRPr="008B6A75" w:rsidRDefault="00387142" w:rsidP="00387142">
            <w:pPr>
              <w:jc w:val="center"/>
              <w:rPr>
                <w:sz w:val="20"/>
                <w:szCs w:val="20"/>
              </w:rPr>
            </w:pPr>
            <w:r w:rsidRPr="008B6A75">
              <w:rPr>
                <w:sz w:val="20"/>
                <w:szCs w:val="20"/>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6AC149B5" w14:textId="77777777" w:rsidR="00387142" w:rsidRPr="008B6A75" w:rsidRDefault="00387142" w:rsidP="00387142">
            <w:pPr>
              <w:jc w:val="center"/>
              <w:rPr>
                <w:sz w:val="20"/>
                <w:szCs w:val="20"/>
              </w:rPr>
            </w:pPr>
            <w:r w:rsidRPr="008B6A75">
              <w:rPr>
                <w:sz w:val="20"/>
                <w:szCs w:val="20"/>
              </w:rPr>
              <w:t>11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358BDC" w14:textId="77777777" w:rsidR="00387142" w:rsidRPr="008B6A75" w:rsidRDefault="00387142" w:rsidP="00387142">
            <w:pPr>
              <w:jc w:val="center"/>
              <w:rPr>
                <w:sz w:val="20"/>
                <w:szCs w:val="20"/>
              </w:rPr>
            </w:pPr>
            <w:r w:rsidRPr="008B6A75">
              <w:rPr>
                <w:sz w:val="20"/>
                <w:szCs w:val="20"/>
              </w:rPr>
              <w:t>01</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654327FF" w14:textId="77777777" w:rsidR="00387142" w:rsidRPr="008B6A75" w:rsidRDefault="00387142" w:rsidP="00387142">
            <w:pPr>
              <w:jc w:val="center"/>
              <w:rPr>
                <w:sz w:val="20"/>
                <w:szCs w:val="20"/>
              </w:rPr>
            </w:pPr>
            <w:r w:rsidRPr="008B6A75">
              <w:rPr>
                <w:sz w:val="20"/>
                <w:szCs w:val="20"/>
              </w:rPr>
              <w:t>11.0.00.11190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6260DD" w14:textId="77777777" w:rsidR="00387142" w:rsidRPr="008B6A75" w:rsidRDefault="00387142" w:rsidP="00387142">
            <w:pPr>
              <w:jc w:val="center"/>
              <w:rPr>
                <w:sz w:val="20"/>
                <w:szCs w:val="20"/>
              </w:rPr>
            </w:pPr>
            <w:r w:rsidRPr="008B6A75">
              <w:rPr>
                <w:sz w:val="20"/>
                <w:szCs w:val="20"/>
              </w:rPr>
              <w:t>240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2AE875" w14:textId="77777777" w:rsidR="00387142" w:rsidRPr="008B6A75" w:rsidRDefault="00387142" w:rsidP="00387142">
            <w:pPr>
              <w:jc w:val="right"/>
              <w:rPr>
                <w:sz w:val="20"/>
                <w:szCs w:val="20"/>
              </w:rPr>
            </w:pPr>
            <w:r w:rsidRPr="008B6A75">
              <w:rPr>
                <w:sz w:val="20"/>
                <w:szCs w:val="20"/>
              </w:rPr>
              <w:t>0,00</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1A24B91B" w14:textId="77777777" w:rsidR="00387142" w:rsidRPr="008B6A75" w:rsidRDefault="00387142" w:rsidP="00387142">
            <w:pPr>
              <w:jc w:val="right"/>
              <w:rPr>
                <w:sz w:val="20"/>
                <w:szCs w:val="20"/>
              </w:rPr>
            </w:pPr>
            <w:r w:rsidRPr="008B6A75">
              <w:rPr>
                <w:sz w:val="20"/>
                <w:szCs w:val="20"/>
              </w:rPr>
              <w:t>10 000 000,00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DE0A2B" w14:textId="77777777" w:rsidR="00387142" w:rsidRPr="008B6A75" w:rsidRDefault="00387142" w:rsidP="00387142">
            <w:pPr>
              <w:jc w:val="right"/>
              <w:rPr>
                <w:sz w:val="20"/>
                <w:szCs w:val="20"/>
              </w:rPr>
            </w:pPr>
            <w:r w:rsidRPr="008B6A75">
              <w:rPr>
                <w:sz w:val="20"/>
                <w:szCs w:val="20"/>
              </w:rPr>
              <w:t>10 000 000,00</w:t>
            </w:r>
          </w:p>
        </w:tc>
        <w:tc>
          <w:tcPr>
            <w:tcW w:w="222" w:type="dxa"/>
            <w:vAlign w:val="center"/>
            <w:hideMark/>
          </w:tcPr>
          <w:p w14:paraId="1A38C06E" w14:textId="77777777" w:rsidR="00387142" w:rsidRPr="008B6A75" w:rsidRDefault="00387142" w:rsidP="00387142">
            <w:pPr>
              <w:rPr>
                <w:sz w:val="20"/>
                <w:szCs w:val="20"/>
              </w:rPr>
            </w:pPr>
          </w:p>
        </w:tc>
      </w:tr>
      <w:tr w:rsidR="00387142" w:rsidRPr="008B6A75" w14:paraId="3FD56900" w14:textId="77777777" w:rsidTr="00387142">
        <w:trPr>
          <w:trHeight w:val="870"/>
        </w:trPr>
        <w:tc>
          <w:tcPr>
            <w:tcW w:w="3021" w:type="dxa"/>
            <w:tcBorders>
              <w:top w:val="nil"/>
              <w:left w:val="single" w:sz="4" w:space="0" w:color="auto"/>
              <w:bottom w:val="nil"/>
              <w:right w:val="nil"/>
            </w:tcBorders>
            <w:shd w:val="clear" w:color="auto" w:fill="auto"/>
            <w:vAlign w:val="center"/>
            <w:hideMark/>
          </w:tcPr>
          <w:p w14:paraId="0992843D" w14:textId="77777777" w:rsidR="00387142" w:rsidRPr="008B6A75" w:rsidRDefault="00387142" w:rsidP="00387142">
            <w:pPr>
              <w:rPr>
                <w:sz w:val="20"/>
                <w:szCs w:val="20"/>
              </w:rPr>
            </w:pPr>
            <w:r w:rsidRPr="008B6A75">
              <w:rPr>
                <w:sz w:val="20"/>
                <w:szCs w:val="20"/>
              </w:rPr>
              <w:t>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right w:val="nil"/>
            </w:tcBorders>
            <w:shd w:val="clear" w:color="auto" w:fill="auto"/>
            <w:noWrap/>
            <w:vAlign w:val="center"/>
            <w:hideMark/>
          </w:tcPr>
          <w:p w14:paraId="54E7C50B" w14:textId="77777777" w:rsidR="00387142" w:rsidRPr="008B6A75" w:rsidRDefault="00387142" w:rsidP="00387142">
            <w:pPr>
              <w:jc w:val="center"/>
              <w:rPr>
                <w:sz w:val="20"/>
                <w:szCs w:val="20"/>
              </w:rPr>
            </w:pPr>
            <w:r w:rsidRPr="008B6A75">
              <w:rPr>
                <w:sz w:val="20"/>
                <w:szCs w:val="20"/>
              </w:rPr>
              <w:t>444</w:t>
            </w:r>
          </w:p>
        </w:tc>
        <w:tc>
          <w:tcPr>
            <w:tcW w:w="709" w:type="dxa"/>
            <w:tcBorders>
              <w:top w:val="nil"/>
              <w:left w:val="single" w:sz="4" w:space="0" w:color="auto"/>
              <w:bottom w:val="nil"/>
              <w:right w:val="nil"/>
            </w:tcBorders>
            <w:shd w:val="clear" w:color="auto" w:fill="auto"/>
            <w:noWrap/>
            <w:vAlign w:val="center"/>
            <w:hideMark/>
          </w:tcPr>
          <w:p w14:paraId="5A7F0944" w14:textId="77777777" w:rsidR="00387142" w:rsidRPr="008B6A75" w:rsidRDefault="00387142" w:rsidP="00387142">
            <w:pPr>
              <w:jc w:val="center"/>
              <w:rPr>
                <w:sz w:val="20"/>
                <w:szCs w:val="20"/>
              </w:rPr>
            </w:pPr>
            <w:r w:rsidRPr="008B6A75">
              <w:rPr>
                <w:sz w:val="20"/>
                <w:szCs w:val="20"/>
              </w:rPr>
              <w:t>11</w:t>
            </w:r>
          </w:p>
        </w:tc>
        <w:tc>
          <w:tcPr>
            <w:tcW w:w="709" w:type="dxa"/>
            <w:tcBorders>
              <w:top w:val="nil"/>
              <w:left w:val="single" w:sz="4" w:space="0" w:color="auto"/>
              <w:bottom w:val="nil"/>
              <w:right w:val="single" w:sz="4" w:space="0" w:color="auto"/>
            </w:tcBorders>
            <w:shd w:val="clear" w:color="auto" w:fill="auto"/>
            <w:noWrap/>
            <w:vAlign w:val="center"/>
            <w:hideMark/>
          </w:tcPr>
          <w:p w14:paraId="5693607A" w14:textId="77777777" w:rsidR="00387142" w:rsidRPr="008B6A75" w:rsidRDefault="00387142" w:rsidP="00387142">
            <w:pPr>
              <w:jc w:val="center"/>
              <w:rPr>
                <w:sz w:val="20"/>
                <w:szCs w:val="20"/>
              </w:rPr>
            </w:pPr>
            <w:r w:rsidRPr="008B6A75">
              <w:rPr>
                <w:sz w:val="20"/>
                <w:szCs w:val="20"/>
              </w:rPr>
              <w:t>01</w:t>
            </w:r>
          </w:p>
        </w:tc>
        <w:tc>
          <w:tcPr>
            <w:tcW w:w="1411" w:type="dxa"/>
            <w:tcBorders>
              <w:top w:val="nil"/>
              <w:left w:val="single" w:sz="4" w:space="0" w:color="auto"/>
              <w:bottom w:val="nil"/>
              <w:right w:val="nil"/>
            </w:tcBorders>
            <w:shd w:val="clear" w:color="auto" w:fill="auto"/>
            <w:noWrap/>
            <w:vAlign w:val="center"/>
            <w:hideMark/>
          </w:tcPr>
          <w:p w14:paraId="6EE8FBF0" w14:textId="77777777" w:rsidR="00387142" w:rsidRPr="008B6A75" w:rsidRDefault="00387142" w:rsidP="00387142">
            <w:pPr>
              <w:jc w:val="center"/>
              <w:rPr>
                <w:sz w:val="20"/>
                <w:szCs w:val="20"/>
              </w:rPr>
            </w:pPr>
            <w:r w:rsidRPr="008B6A75">
              <w:rPr>
                <w:sz w:val="20"/>
                <w:szCs w:val="20"/>
              </w:rPr>
              <w:t>11.0.00.11190</w:t>
            </w:r>
          </w:p>
        </w:tc>
        <w:tc>
          <w:tcPr>
            <w:tcW w:w="955" w:type="dxa"/>
            <w:tcBorders>
              <w:top w:val="nil"/>
              <w:left w:val="single" w:sz="4" w:space="0" w:color="auto"/>
              <w:bottom w:val="nil"/>
              <w:right w:val="single" w:sz="4" w:space="0" w:color="auto"/>
            </w:tcBorders>
            <w:shd w:val="clear" w:color="auto" w:fill="auto"/>
            <w:noWrap/>
            <w:vAlign w:val="center"/>
            <w:hideMark/>
          </w:tcPr>
          <w:p w14:paraId="7B161B4C" w14:textId="77777777" w:rsidR="00387142" w:rsidRPr="008B6A75" w:rsidRDefault="00387142" w:rsidP="00387142">
            <w:pPr>
              <w:jc w:val="center"/>
              <w:rPr>
                <w:sz w:val="20"/>
                <w:szCs w:val="20"/>
              </w:rPr>
            </w:pPr>
            <w:r w:rsidRPr="008B6A75">
              <w:rPr>
                <w:sz w:val="20"/>
                <w:szCs w:val="20"/>
              </w:rPr>
              <w:t>600</w:t>
            </w:r>
          </w:p>
        </w:tc>
        <w:tc>
          <w:tcPr>
            <w:tcW w:w="992" w:type="dxa"/>
            <w:tcBorders>
              <w:top w:val="nil"/>
              <w:left w:val="single" w:sz="4" w:space="0" w:color="auto"/>
              <w:bottom w:val="nil"/>
              <w:right w:val="single" w:sz="4" w:space="0" w:color="auto"/>
            </w:tcBorders>
            <w:shd w:val="clear" w:color="auto" w:fill="auto"/>
            <w:noWrap/>
            <w:vAlign w:val="center"/>
            <w:hideMark/>
          </w:tcPr>
          <w:p w14:paraId="1A222F38" w14:textId="77777777" w:rsidR="00387142" w:rsidRPr="008B6A75" w:rsidRDefault="00387142" w:rsidP="00387142">
            <w:pPr>
              <w:jc w:val="right"/>
              <w:rPr>
                <w:sz w:val="20"/>
                <w:szCs w:val="20"/>
              </w:rPr>
            </w:pPr>
            <w:r w:rsidRPr="008B6A75">
              <w:rPr>
                <w:sz w:val="20"/>
                <w:szCs w:val="20"/>
              </w:rPr>
              <w:t>35 855 258,87</w:t>
            </w:r>
          </w:p>
        </w:tc>
        <w:tc>
          <w:tcPr>
            <w:tcW w:w="992" w:type="dxa"/>
            <w:gridSpan w:val="2"/>
            <w:tcBorders>
              <w:top w:val="nil"/>
              <w:left w:val="single" w:sz="4" w:space="0" w:color="auto"/>
              <w:bottom w:val="nil"/>
              <w:right w:val="nil"/>
            </w:tcBorders>
            <w:shd w:val="clear" w:color="auto" w:fill="auto"/>
            <w:noWrap/>
            <w:vAlign w:val="center"/>
            <w:hideMark/>
          </w:tcPr>
          <w:p w14:paraId="2C7A2D85" w14:textId="77777777" w:rsidR="00387142" w:rsidRPr="008B6A75" w:rsidRDefault="00387142" w:rsidP="00387142">
            <w:pPr>
              <w:jc w:val="right"/>
              <w:rPr>
                <w:sz w:val="20"/>
                <w:szCs w:val="20"/>
              </w:rPr>
            </w:pPr>
            <w:r w:rsidRPr="008B6A75">
              <w:rPr>
                <w:sz w:val="20"/>
                <w:szCs w:val="20"/>
              </w:rPr>
              <w:t>10 000 000,00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6631074E" w14:textId="77777777" w:rsidR="00387142" w:rsidRPr="008B6A75" w:rsidRDefault="00387142" w:rsidP="00387142">
            <w:pPr>
              <w:jc w:val="right"/>
              <w:rPr>
                <w:sz w:val="20"/>
                <w:szCs w:val="20"/>
              </w:rPr>
            </w:pPr>
            <w:r w:rsidRPr="008B6A75">
              <w:rPr>
                <w:sz w:val="20"/>
                <w:szCs w:val="20"/>
              </w:rPr>
              <w:t>10 000 000,00</w:t>
            </w:r>
          </w:p>
        </w:tc>
        <w:tc>
          <w:tcPr>
            <w:tcW w:w="222" w:type="dxa"/>
            <w:vAlign w:val="center"/>
            <w:hideMark/>
          </w:tcPr>
          <w:p w14:paraId="01F219D3" w14:textId="77777777" w:rsidR="00387142" w:rsidRPr="008B6A75" w:rsidRDefault="00387142" w:rsidP="00387142">
            <w:pPr>
              <w:rPr>
                <w:sz w:val="20"/>
                <w:szCs w:val="20"/>
              </w:rPr>
            </w:pPr>
          </w:p>
        </w:tc>
      </w:tr>
      <w:tr w:rsidR="00387142" w:rsidRPr="008B6A75" w14:paraId="3F106ACD" w14:textId="77777777" w:rsidTr="00387142">
        <w:trPr>
          <w:trHeight w:val="300"/>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792A0B6D" w14:textId="77777777" w:rsidR="00387142" w:rsidRPr="008B6A75" w:rsidRDefault="00387142" w:rsidP="00387142">
            <w:pPr>
              <w:rPr>
                <w:sz w:val="20"/>
                <w:szCs w:val="20"/>
              </w:rPr>
            </w:pPr>
            <w:r w:rsidRPr="008B6A75">
              <w:rPr>
                <w:sz w:val="20"/>
                <w:szCs w:val="20"/>
              </w:rPr>
              <w:t>Субсидии бюджетным учреждениям</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5D05510D" w14:textId="77777777" w:rsidR="00387142" w:rsidRPr="008B6A75" w:rsidRDefault="00387142" w:rsidP="00387142">
            <w:pPr>
              <w:jc w:val="center"/>
              <w:rPr>
                <w:sz w:val="20"/>
                <w:szCs w:val="20"/>
              </w:rPr>
            </w:pPr>
            <w:r w:rsidRPr="008B6A75">
              <w:rPr>
                <w:sz w:val="20"/>
                <w:szCs w:val="20"/>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300354B0" w14:textId="77777777" w:rsidR="00387142" w:rsidRPr="008B6A75" w:rsidRDefault="00387142" w:rsidP="00387142">
            <w:pPr>
              <w:jc w:val="center"/>
              <w:rPr>
                <w:sz w:val="20"/>
                <w:szCs w:val="20"/>
              </w:rPr>
            </w:pPr>
            <w:r w:rsidRPr="008B6A75">
              <w:rPr>
                <w:sz w:val="20"/>
                <w:szCs w:val="20"/>
              </w:rPr>
              <w:t>11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D4AC2C" w14:textId="77777777" w:rsidR="00387142" w:rsidRPr="008B6A75" w:rsidRDefault="00387142" w:rsidP="00387142">
            <w:pPr>
              <w:jc w:val="center"/>
              <w:rPr>
                <w:sz w:val="20"/>
                <w:szCs w:val="20"/>
              </w:rPr>
            </w:pPr>
            <w:r w:rsidRPr="008B6A75">
              <w:rPr>
                <w:sz w:val="20"/>
                <w:szCs w:val="20"/>
              </w:rPr>
              <w:t>01</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1BDDCB5C" w14:textId="77777777" w:rsidR="00387142" w:rsidRPr="008B6A75" w:rsidRDefault="00387142" w:rsidP="00387142">
            <w:pPr>
              <w:jc w:val="center"/>
              <w:rPr>
                <w:sz w:val="20"/>
                <w:szCs w:val="20"/>
              </w:rPr>
            </w:pPr>
            <w:r w:rsidRPr="008B6A75">
              <w:rPr>
                <w:sz w:val="20"/>
                <w:szCs w:val="20"/>
              </w:rPr>
              <w:t>11.0.00.11190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CF44D1" w14:textId="77777777" w:rsidR="00387142" w:rsidRPr="008B6A75" w:rsidRDefault="00387142" w:rsidP="00387142">
            <w:pPr>
              <w:jc w:val="center"/>
              <w:rPr>
                <w:sz w:val="20"/>
                <w:szCs w:val="20"/>
              </w:rPr>
            </w:pPr>
            <w:r w:rsidRPr="008B6A75">
              <w:rPr>
                <w:sz w:val="20"/>
                <w:szCs w:val="20"/>
              </w:rPr>
              <w:t>610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8FC8D5" w14:textId="77777777" w:rsidR="00387142" w:rsidRPr="008B6A75" w:rsidRDefault="00387142" w:rsidP="00387142">
            <w:pPr>
              <w:jc w:val="right"/>
              <w:rPr>
                <w:sz w:val="20"/>
                <w:szCs w:val="20"/>
              </w:rPr>
            </w:pPr>
            <w:r w:rsidRPr="008B6A75">
              <w:rPr>
                <w:sz w:val="20"/>
                <w:szCs w:val="20"/>
              </w:rPr>
              <w:t>35 855 258,87</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3F189B73" w14:textId="77777777" w:rsidR="00387142" w:rsidRPr="008B6A75" w:rsidRDefault="00387142" w:rsidP="00387142">
            <w:pPr>
              <w:jc w:val="right"/>
              <w:rPr>
                <w:sz w:val="20"/>
                <w:szCs w:val="20"/>
              </w:rPr>
            </w:pPr>
            <w:r w:rsidRPr="008B6A75">
              <w:rPr>
                <w:sz w:val="20"/>
                <w:szCs w:val="20"/>
              </w:rPr>
              <w:t>10 000 000,00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105F39" w14:textId="77777777" w:rsidR="00387142" w:rsidRPr="008B6A75" w:rsidRDefault="00387142" w:rsidP="00387142">
            <w:pPr>
              <w:jc w:val="right"/>
              <w:rPr>
                <w:sz w:val="20"/>
                <w:szCs w:val="20"/>
              </w:rPr>
            </w:pPr>
            <w:r w:rsidRPr="008B6A75">
              <w:rPr>
                <w:sz w:val="20"/>
                <w:szCs w:val="20"/>
              </w:rPr>
              <w:t>10 000 000,00</w:t>
            </w:r>
          </w:p>
        </w:tc>
        <w:tc>
          <w:tcPr>
            <w:tcW w:w="222" w:type="dxa"/>
            <w:vAlign w:val="center"/>
            <w:hideMark/>
          </w:tcPr>
          <w:p w14:paraId="4521DC62" w14:textId="77777777" w:rsidR="00387142" w:rsidRPr="008B6A75" w:rsidRDefault="00387142" w:rsidP="00387142">
            <w:pPr>
              <w:rPr>
                <w:sz w:val="20"/>
                <w:szCs w:val="20"/>
              </w:rPr>
            </w:pPr>
          </w:p>
        </w:tc>
      </w:tr>
      <w:tr w:rsidR="00387142" w:rsidRPr="008B6A75" w14:paraId="7A59B3B2" w14:textId="77777777" w:rsidTr="00387142">
        <w:trPr>
          <w:trHeight w:val="1440"/>
        </w:trPr>
        <w:tc>
          <w:tcPr>
            <w:tcW w:w="3021" w:type="dxa"/>
            <w:tcBorders>
              <w:top w:val="nil"/>
              <w:left w:val="single" w:sz="4" w:space="0" w:color="auto"/>
              <w:bottom w:val="nil"/>
              <w:right w:val="nil"/>
            </w:tcBorders>
            <w:shd w:val="clear" w:color="auto" w:fill="auto"/>
            <w:vAlign w:val="center"/>
            <w:hideMark/>
          </w:tcPr>
          <w:p w14:paraId="73DE1416" w14:textId="77777777" w:rsidR="00387142" w:rsidRPr="008B6A75" w:rsidRDefault="00387142" w:rsidP="00387142">
            <w:pPr>
              <w:rPr>
                <w:bCs/>
                <w:sz w:val="20"/>
                <w:szCs w:val="20"/>
              </w:rPr>
            </w:pPr>
            <w:r w:rsidRPr="008B6A75">
              <w:rPr>
                <w:bCs/>
                <w:sz w:val="20"/>
                <w:szCs w:val="20"/>
              </w:rPr>
              <w:t xml:space="preserve">Реализация мероприятий по обеспечению сбалансированности местных </w:t>
            </w:r>
            <w:proofErr w:type="gramStart"/>
            <w:r w:rsidRPr="008B6A75">
              <w:rPr>
                <w:bCs/>
                <w:sz w:val="20"/>
                <w:szCs w:val="20"/>
              </w:rPr>
              <w:t>бюджетов  государственной</w:t>
            </w:r>
            <w:proofErr w:type="gramEnd"/>
            <w:r w:rsidRPr="008B6A75">
              <w:rPr>
                <w:bCs/>
                <w:sz w:val="20"/>
                <w:szCs w:val="20"/>
              </w:rPr>
              <w:t xml:space="preserve"> программы Новосибирской области "Управление  финансами в Новосибирской области"</w:t>
            </w:r>
          </w:p>
        </w:tc>
        <w:tc>
          <w:tcPr>
            <w:tcW w:w="850" w:type="dxa"/>
            <w:tcBorders>
              <w:top w:val="nil"/>
              <w:left w:val="single" w:sz="4" w:space="0" w:color="auto"/>
              <w:bottom w:val="nil"/>
              <w:right w:val="nil"/>
            </w:tcBorders>
            <w:shd w:val="clear" w:color="auto" w:fill="auto"/>
            <w:noWrap/>
            <w:vAlign w:val="center"/>
            <w:hideMark/>
          </w:tcPr>
          <w:p w14:paraId="29B57320" w14:textId="77777777" w:rsidR="00387142" w:rsidRPr="008B6A75" w:rsidRDefault="00387142" w:rsidP="00387142">
            <w:pPr>
              <w:jc w:val="center"/>
              <w:rPr>
                <w:bCs/>
                <w:sz w:val="20"/>
                <w:szCs w:val="20"/>
              </w:rPr>
            </w:pPr>
            <w:r w:rsidRPr="008B6A75">
              <w:rPr>
                <w:bCs/>
                <w:sz w:val="20"/>
                <w:szCs w:val="20"/>
              </w:rPr>
              <w:t>444</w:t>
            </w:r>
          </w:p>
        </w:tc>
        <w:tc>
          <w:tcPr>
            <w:tcW w:w="709" w:type="dxa"/>
            <w:tcBorders>
              <w:top w:val="nil"/>
              <w:left w:val="single" w:sz="4" w:space="0" w:color="auto"/>
              <w:bottom w:val="nil"/>
              <w:right w:val="nil"/>
            </w:tcBorders>
            <w:shd w:val="clear" w:color="auto" w:fill="auto"/>
            <w:noWrap/>
            <w:vAlign w:val="center"/>
            <w:hideMark/>
          </w:tcPr>
          <w:p w14:paraId="310E5217" w14:textId="77777777" w:rsidR="00387142" w:rsidRPr="008B6A75" w:rsidRDefault="00387142" w:rsidP="00387142">
            <w:pPr>
              <w:jc w:val="center"/>
              <w:rPr>
                <w:bCs/>
                <w:sz w:val="20"/>
                <w:szCs w:val="20"/>
              </w:rPr>
            </w:pPr>
            <w:r w:rsidRPr="008B6A75">
              <w:rPr>
                <w:bCs/>
                <w:sz w:val="20"/>
                <w:szCs w:val="20"/>
              </w:rPr>
              <w:t>11</w:t>
            </w:r>
          </w:p>
        </w:tc>
        <w:tc>
          <w:tcPr>
            <w:tcW w:w="709" w:type="dxa"/>
            <w:tcBorders>
              <w:top w:val="nil"/>
              <w:left w:val="single" w:sz="4" w:space="0" w:color="auto"/>
              <w:bottom w:val="nil"/>
              <w:right w:val="single" w:sz="4" w:space="0" w:color="auto"/>
            </w:tcBorders>
            <w:shd w:val="clear" w:color="auto" w:fill="auto"/>
            <w:noWrap/>
            <w:vAlign w:val="center"/>
            <w:hideMark/>
          </w:tcPr>
          <w:p w14:paraId="0D70106E" w14:textId="77777777" w:rsidR="00387142" w:rsidRPr="008B6A75" w:rsidRDefault="00387142" w:rsidP="00387142">
            <w:pPr>
              <w:jc w:val="center"/>
              <w:rPr>
                <w:bCs/>
                <w:sz w:val="20"/>
                <w:szCs w:val="20"/>
              </w:rPr>
            </w:pPr>
            <w:r w:rsidRPr="008B6A75">
              <w:rPr>
                <w:bCs/>
                <w:sz w:val="20"/>
                <w:szCs w:val="20"/>
              </w:rPr>
              <w:t>01</w:t>
            </w:r>
          </w:p>
        </w:tc>
        <w:tc>
          <w:tcPr>
            <w:tcW w:w="1411" w:type="dxa"/>
            <w:tcBorders>
              <w:top w:val="nil"/>
              <w:left w:val="single" w:sz="4" w:space="0" w:color="auto"/>
              <w:bottom w:val="nil"/>
              <w:right w:val="nil"/>
            </w:tcBorders>
            <w:shd w:val="clear" w:color="auto" w:fill="auto"/>
            <w:noWrap/>
            <w:vAlign w:val="center"/>
            <w:hideMark/>
          </w:tcPr>
          <w:p w14:paraId="1F32F7CC" w14:textId="77777777" w:rsidR="00387142" w:rsidRPr="008B6A75" w:rsidRDefault="00387142" w:rsidP="00387142">
            <w:pPr>
              <w:jc w:val="center"/>
              <w:rPr>
                <w:bCs/>
                <w:sz w:val="20"/>
                <w:szCs w:val="20"/>
              </w:rPr>
            </w:pPr>
            <w:r w:rsidRPr="008B6A75">
              <w:rPr>
                <w:bCs/>
                <w:sz w:val="20"/>
                <w:szCs w:val="20"/>
              </w:rPr>
              <w:t>11.0.00.70510</w:t>
            </w:r>
          </w:p>
        </w:tc>
        <w:tc>
          <w:tcPr>
            <w:tcW w:w="955" w:type="dxa"/>
            <w:tcBorders>
              <w:top w:val="nil"/>
              <w:left w:val="single" w:sz="4" w:space="0" w:color="auto"/>
              <w:bottom w:val="nil"/>
              <w:right w:val="single" w:sz="4" w:space="0" w:color="auto"/>
            </w:tcBorders>
            <w:shd w:val="clear" w:color="auto" w:fill="auto"/>
            <w:noWrap/>
            <w:vAlign w:val="center"/>
            <w:hideMark/>
          </w:tcPr>
          <w:p w14:paraId="01590A8E"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nil"/>
              <w:right w:val="single" w:sz="4" w:space="0" w:color="auto"/>
            </w:tcBorders>
            <w:shd w:val="clear" w:color="auto" w:fill="auto"/>
            <w:noWrap/>
            <w:vAlign w:val="center"/>
            <w:hideMark/>
          </w:tcPr>
          <w:p w14:paraId="4FF69AF7" w14:textId="77777777" w:rsidR="00387142" w:rsidRPr="008B6A75" w:rsidRDefault="00387142" w:rsidP="00387142">
            <w:pPr>
              <w:jc w:val="right"/>
              <w:rPr>
                <w:bCs/>
                <w:sz w:val="20"/>
                <w:szCs w:val="20"/>
              </w:rPr>
            </w:pPr>
            <w:r w:rsidRPr="008B6A75">
              <w:rPr>
                <w:bCs/>
                <w:sz w:val="20"/>
                <w:szCs w:val="20"/>
              </w:rPr>
              <w:t>2 504 700,00</w:t>
            </w:r>
          </w:p>
        </w:tc>
        <w:tc>
          <w:tcPr>
            <w:tcW w:w="992" w:type="dxa"/>
            <w:gridSpan w:val="2"/>
            <w:tcBorders>
              <w:top w:val="nil"/>
              <w:left w:val="single" w:sz="4" w:space="0" w:color="auto"/>
              <w:bottom w:val="nil"/>
              <w:right w:val="nil"/>
            </w:tcBorders>
            <w:shd w:val="clear" w:color="auto" w:fill="auto"/>
            <w:noWrap/>
            <w:vAlign w:val="center"/>
            <w:hideMark/>
          </w:tcPr>
          <w:p w14:paraId="42A3C41B" w14:textId="77777777" w:rsidR="00387142" w:rsidRPr="008B6A75" w:rsidRDefault="00387142" w:rsidP="00387142">
            <w:pPr>
              <w:jc w:val="right"/>
              <w:rPr>
                <w:bCs/>
                <w:sz w:val="20"/>
                <w:szCs w:val="20"/>
              </w:rPr>
            </w:pPr>
            <w:r w:rsidRPr="008B6A75">
              <w:rPr>
                <w:bCs/>
                <w:sz w:val="20"/>
                <w:szCs w:val="20"/>
              </w:rPr>
              <w:t>0,00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1FA724F7" w14:textId="77777777" w:rsidR="00387142" w:rsidRPr="008B6A75" w:rsidRDefault="00387142" w:rsidP="00387142">
            <w:pPr>
              <w:jc w:val="right"/>
              <w:rPr>
                <w:bCs/>
                <w:sz w:val="20"/>
                <w:szCs w:val="20"/>
              </w:rPr>
            </w:pPr>
            <w:r w:rsidRPr="008B6A75">
              <w:rPr>
                <w:bCs/>
                <w:sz w:val="20"/>
                <w:szCs w:val="20"/>
              </w:rPr>
              <w:t>0,00</w:t>
            </w:r>
          </w:p>
        </w:tc>
        <w:tc>
          <w:tcPr>
            <w:tcW w:w="222" w:type="dxa"/>
            <w:vAlign w:val="center"/>
            <w:hideMark/>
          </w:tcPr>
          <w:p w14:paraId="6A41D372" w14:textId="77777777" w:rsidR="00387142" w:rsidRPr="008B6A75" w:rsidRDefault="00387142" w:rsidP="00387142">
            <w:pPr>
              <w:rPr>
                <w:sz w:val="20"/>
                <w:szCs w:val="20"/>
              </w:rPr>
            </w:pPr>
          </w:p>
        </w:tc>
      </w:tr>
      <w:tr w:rsidR="00387142" w:rsidRPr="008B6A75" w14:paraId="4E622FE8" w14:textId="77777777" w:rsidTr="00387142">
        <w:trPr>
          <w:trHeight w:val="870"/>
        </w:trPr>
        <w:tc>
          <w:tcPr>
            <w:tcW w:w="3021" w:type="dxa"/>
            <w:tcBorders>
              <w:top w:val="single" w:sz="4" w:space="0" w:color="auto"/>
              <w:left w:val="single" w:sz="4" w:space="0" w:color="auto"/>
              <w:bottom w:val="nil"/>
              <w:right w:val="nil"/>
            </w:tcBorders>
            <w:shd w:val="clear" w:color="auto" w:fill="auto"/>
            <w:vAlign w:val="center"/>
            <w:hideMark/>
          </w:tcPr>
          <w:p w14:paraId="5E4FBA75" w14:textId="77777777" w:rsidR="00387142" w:rsidRPr="008B6A75" w:rsidRDefault="00387142" w:rsidP="00387142">
            <w:pPr>
              <w:rPr>
                <w:sz w:val="20"/>
                <w:szCs w:val="20"/>
              </w:rPr>
            </w:pPr>
            <w:r w:rsidRPr="008B6A75">
              <w:rPr>
                <w:sz w:val="20"/>
                <w:szCs w:val="20"/>
              </w:rPr>
              <w:t>Предоставление субсидий бюджетным, автономным учреждениям и иным некоммерческим организациям</w:t>
            </w:r>
          </w:p>
        </w:tc>
        <w:tc>
          <w:tcPr>
            <w:tcW w:w="850" w:type="dxa"/>
            <w:tcBorders>
              <w:top w:val="single" w:sz="4" w:space="0" w:color="auto"/>
              <w:left w:val="single" w:sz="4" w:space="0" w:color="auto"/>
              <w:bottom w:val="nil"/>
              <w:right w:val="nil"/>
            </w:tcBorders>
            <w:shd w:val="clear" w:color="auto" w:fill="auto"/>
            <w:noWrap/>
            <w:vAlign w:val="center"/>
            <w:hideMark/>
          </w:tcPr>
          <w:p w14:paraId="33B11204" w14:textId="77777777" w:rsidR="00387142" w:rsidRPr="008B6A75" w:rsidRDefault="00387142" w:rsidP="00387142">
            <w:pPr>
              <w:jc w:val="center"/>
              <w:rPr>
                <w:sz w:val="20"/>
                <w:szCs w:val="20"/>
              </w:rPr>
            </w:pPr>
            <w:r w:rsidRPr="008B6A75">
              <w:rPr>
                <w:sz w:val="20"/>
                <w:szCs w:val="20"/>
              </w:rPr>
              <w:t>444</w:t>
            </w:r>
          </w:p>
        </w:tc>
        <w:tc>
          <w:tcPr>
            <w:tcW w:w="709" w:type="dxa"/>
            <w:tcBorders>
              <w:top w:val="single" w:sz="4" w:space="0" w:color="auto"/>
              <w:left w:val="single" w:sz="4" w:space="0" w:color="auto"/>
              <w:bottom w:val="nil"/>
              <w:right w:val="nil"/>
            </w:tcBorders>
            <w:shd w:val="clear" w:color="auto" w:fill="auto"/>
            <w:noWrap/>
            <w:vAlign w:val="center"/>
            <w:hideMark/>
          </w:tcPr>
          <w:p w14:paraId="2B0CF26E" w14:textId="77777777" w:rsidR="00387142" w:rsidRPr="008B6A75" w:rsidRDefault="00387142" w:rsidP="00387142">
            <w:pPr>
              <w:jc w:val="center"/>
              <w:rPr>
                <w:sz w:val="20"/>
                <w:szCs w:val="20"/>
              </w:rPr>
            </w:pPr>
            <w:r w:rsidRPr="008B6A75">
              <w:rPr>
                <w:sz w:val="20"/>
                <w:szCs w:val="20"/>
              </w:rPr>
              <w:t>11</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2ABD2AAC" w14:textId="77777777" w:rsidR="00387142" w:rsidRPr="008B6A75" w:rsidRDefault="00387142" w:rsidP="00387142">
            <w:pPr>
              <w:jc w:val="center"/>
              <w:rPr>
                <w:sz w:val="20"/>
                <w:szCs w:val="20"/>
              </w:rPr>
            </w:pPr>
            <w:r w:rsidRPr="008B6A75">
              <w:rPr>
                <w:sz w:val="20"/>
                <w:szCs w:val="20"/>
              </w:rPr>
              <w:t>01</w:t>
            </w:r>
          </w:p>
        </w:tc>
        <w:tc>
          <w:tcPr>
            <w:tcW w:w="1411" w:type="dxa"/>
            <w:tcBorders>
              <w:top w:val="single" w:sz="4" w:space="0" w:color="auto"/>
              <w:left w:val="single" w:sz="4" w:space="0" w:color="auto"/>
              <w:bottom w:val="nil"/>
              <w:right w:val="nil"/>
            </w:tcBorders>
            <w:shd w:val="clear" w:color="auto" w:fill="auto"/>
            <w:noWrap/>
            <w:vAlign w:val="center"/>
            <w:hideMark/>
          </w:tcPr>
          <w:p w14:paraId="361AD19E" w14:textId="77777777" w:rsidR="00387142" w:rsidRPr="008B6A75" w:rsidRDefault="00387142" w:rsidP="00387142">
            <w:pPr>
              <w:jc w:val="center"/>
              <w:rPr>
                <w:sz w:val="20"/>
                <w:szCs w:val="20"/>
              </w:rPr>
            </w:pPr>
            <w:r w:rsidRPr="008B6A75">
              <w:rPr>
                <w:sz w:val="20"/>
                <w:szCs w:val="20"/>
              </w:rPr>
              <w:t>11.0.00.70510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3DE858AA" w14:textId="77777777" w:rsidR="00387142" w:rsidRPr="008B6A75" w:rsidRDefault="00387142" w:rsidP="00387142">
            <w:pPr>
              <w:jc w:val="center"/>
              <w:rPr>
                <w:sz w:val="20"/>
                <w:szCs w:val="20"/>
              </w:rPr>
            </w:pPr>
            <w:r w:rsidRPr="008B6A75">
              <w:rPr>
                <w:sz w:val="20"/>
                <w:szCs w:val="20"/>
              </w:rPr>
              <w:t>600</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159E496D" w14:textId="77777777" w:rsidR="00387142" w:rsidRPr="008B6A75" w:rsidRDefault="00387142" w:rsidP="00387142">
            <w:pPr>
              <w:jc w:val="right"/>
              <w:rPr>
                <w:sz w:val="20"/>
                <w:szCs w:val="20"/>
              </w:rPr>
            </w:pPr>
            <w:r w:rsidRPr="008B6A75">
              <w:rPr>
                <w:sz w:val="20"/>
                <w:szCs w:val="20"/>
              </w:rPr>
              <w:t>2 504 700,00</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7473A200" w14:textId="77777777" w:rsidR="00387142" w:rsidRPr="008B6A75" w:rsidRDefault="00387142" w:rsidP="00387142">
            <w:pPr>
              <w:jc w:val="right"/>
              <w:rPr>
                <w:sz w:val="20"/>
                <w:szCs w:val="20"/>
              </w:rPr>
            </w:pPr>
            <w:r w:rsidRPr="008B6A75">
              <w:rPr>
                <w:sz w:val="20"/>
                <w:szCs w:val="20"/>
              </w:rPr>
              <w:t>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131ADE2D" w14:textId="77777777" w:rsidR="00387142" w:rsidRPr="008B6A75" w:rsidRDefault="00387142" w:rsidP="00387142">
            <w:pPr>
              <w:jc w:val="right"/>
              <w:rPr>
                <w:sz w:val="20"/>
                <w:szCs w:val="20"/>
              </w:rPr>
            </w:pPr>
            <w:r w:rsidRPr="008B6A75">
              <w:rPr>
                <w:sz w:val="20"/>
                <w:szCs w:val="20"/>
              </w:rPr>
              <w:t>0,00</w:t>
            </w:r>
          </w:p>
        </w:tc>
        <w:tc>
          <w:tcPr>
            <w:tcW w:w="222" w:type="dxa"/>
            <w:vAlign w:val="center"/>
            <w:hideMark/>
          </w:tcPr>
          <w:p w14:paraId="08CA27B6" w14:textId="77777777" w:rsidR="00387142" w:rsidRPr="008B6A75" w:rsidRDefault="00387142" w:rsidP="00387142">
            <w:pPr>
              <w:rPr>
                <w:sz w:val="20"/>
                <w:szCs w:val="20"/>
              </w:rPr>
            </w:pPr>
          </w:p>
        </w:tc>
      </w:tr>
      <w:tr w:rsidR="00387142" w:rsidRPr="008B6A75" w14:paraId="1F057003" w14:textId="77777777" w:rsidTr="00387142">
        <w:trPr>
          <w:trHeight w:val="300"/>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27D4B95D" w14:textId="77777777" w:rsidR="00387142" w:rsidRPr="008B6A75" w:rsidRDefault="00387142" w:rsidP="00387142">
            <w:pPr>
              <w:rPr>
                <w:sz w:val="20"/>
                <w:szCs w:val="20"/>
              </w:rPr>
            </w:pPr>
            <w:r w:rsidRPr="008B6A75">
              <w:rPr>
                <w:sz w:val="20"/>
                <w:szCs w:val="20"/>
              </w:rPr>
              <w:t>Субсидии бюджетным учреждениям</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26D7F5B6" w14:textId="77777777" w:rsidR="00387142" w:rsidRPr="008B6A75" w:rsidRDefault="00387142" w:rsidP="00387142">
            <w:pPr>
              <w:jc w:val="center"/>
              <w:rPr>
                <w:sz w:val="20"/>
                <w:szCs w:val="20"/>
              </w:rPr>
            </w:pPr>
            <w:r w:rsidRPr="008B6A75">
              <w:rPr>
                <w:sz w:val="20"/>
                <w:szCs w:val="20"/>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45FA0130" w14:textId="77777777" w:rsidR="00387142" w:rsidRPr="008B6A75" w:rsidRDefault="00387142" w:rsidP="00387142">
            <w:pPr>
              <w:jc w:val="center"/>
              <w:rPr>
                <w:sz w:val="20"/>
                <w:szCs w:val="20"/>
              </w:rPr>
            </w:pPr>
            <w:r w:rsidRPr="008B6A75">
              <w:rPr>
                <w:sz w:val="20"/>
                <w:szCs w:val="20"/>
              </w:rPr>
              <w:t>11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0C5F83" w14:textId="77777777" w:rsidR="00387142" w:rsidRPr="008B6A75" w:rsidRDefault="00387142" w:rsidP="00387142">
            <w:pPr>
              <w:jc w:val="center"/>
              <w:rPr>
                <w:sz w:val="20"/>
                <w:szCs w:val="20"/>
              </w:rPr>
            </w:pPr>
            <w:r w:rsidRPr="008B6A75">
              <w:rPr>
                <w:sz w:val="20"/>
                <w:szCs w:val="20"/>
              </w:rPr>
              <w:t>01</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2CB8EC99" w14:textId="77777777" w:rsidR="00387142" w:rsidRPr="008B6A75" w:rsidRDefault="00387142" w:rsidP="00387142">
            <w:pPr>
              <w:jc w:val="center"/>
              <w:rPr>
                <w:sz w:val="20"/>
                <w:szCs w:val="20"/>
              </w:rPr>
            </w:pPr>
            <w:r w:rsidRPr="008B6A75">
              <w:rPr>
                <w:sz w:val="20"/>
                <w:szCs w:val="20"/>
              </w:rPr>
              <w:t>11.0.00.70510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597269" w14:textId="77777777" w:rsidR="00387142" w:rsidRPr="008B6A75" w:rsidRDefault="00387142" w:rsidP="00387142">
            <w:pPr>
              <w:jc w:val="center"/>
              <w:rPr>
                <w:sz w:val="20"/>
                <w:szCs w:val="20"/>
              </w:rPr>
            </w:pPr>
            <w:r w:rsidRPr="008B6A75">
              <w:rPr>
                <w:sz w:val="20"/>
                <w:szCs w:val="20"/>
              </w:rPr>
              <w:t>610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871543" w14:textId="77777777" w:rsidR="00387142" w:rsidRPr="008B6A75" w:rsidRDefault="00387142" w:rsidP="00387142">
            <w:pPr>
              <w:jc w:val="right"/>
              <w:rPr>
                <w:sz w:val="20"/>
                <w:szCs w:val="20"/>
              </w:rPr>
            </w:pPr>
            <w:r w:rsidRPr="008B6A75">
              <w:rPr>
                <w:sz w:val="20"/>
                <w:szCs w:val="20"/>
              </w:rPr>
              <w:t>2 504 700,00</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0847937E" w14:textId="77777777" w:rsidR="00387142" w:rsidRPr="008B6A75" w:rsidRDefault="00387142" w:rsidP="00387142">
            <w:pPr>
              <w:jc w:val="right"/>
              <w:rPr>
                <w:sz w:val="20"/>
                <w:szCs w:val="20"/>
              </w:rPr>
            </w:pPr>
            <w:r w:rsidRPr="008B6A75">
              <w:rPr>
                <w:sz w:val="20"/>
                <w:szCs w:val="20"/>
              </w:rPr>
              <w:t>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F20ED5" w14:textId="77777777" w:rsidR="00387142" w:rsidRPr="008B6A75" w:rsidRDefault="00387142" w:rsidP="00387142">
            <w:pPr>
              <w:jc w:val="right"/>
              <w:rPr>
                <w:sz w:val="20"/>
                <w:szCs w:val="20"/>
              </w:rPr>
            </w:pPr>
            <w:r w:rsidRPr="008B6A75">
              <w:rPr>
                <w:sz w:val="20"/>
                <w:szCs w:val="20"/>
              </w:rPr>
              <w:t>0,00</w:t>
            </w:r>
          </w:p>
        </w:tc>
        <w:tc>
          <w:tcPr>
            <w:tcW w:w="222" w:type="dxa"/>
            <w:vAlign w:val="center"/>
            <w:hideMark/>
          </w:tcPr>
          <w:p w14:paraId="2D2FD4DA" w14:textId="77777777" w:rsidR="00387142" w:rsidRPr="008B6A75" w:rsidRDefault="00387142" w:rsidP="00387142">
            <w:pPr>
              <w:rPr>
                <w:sz w:val="20"/>
                <w:szCs w:val="20"/>
              </w:rPr>
            </w:pPr>
          </w:p>
        </w:tc>
      </w:tr>
      <w:tr w:rsidR="00387142" w:rsidRPr="008B6A75" w14:paraId="47A9C52A" w14:textId="77777777" w:rsidTr="00387142">
        <w:trPr>
          <w:trHeight w:val="300"/>
        </w:trPr>
        <w:tc>
          <w:tcPr>
            <w:tcW w:w="3021" w:type="dxa"/>
            <w:tcBorders>
              <w:top w:val="nil"/>
              <w:left w:val="single" w:sz="4" w:space="0" w:color="auto"/>
              <w:bottom w:val="nil"/>
              <w:right w:val="nil"/>
            </w:tcBorders>
            <w:shd w:val="clear" w:color="auto" w:fill="auto"/>
            <w:vAlign w:val="center"/>
            <w:hideMark/>
          </w:tcPr>
          <w:p w14:paraId="2EA6DB23" w14:textId="77777777" w:rsidR="00387142" w:rsidRPr="008B6A75" w:rsidRDefault="00387142" w:rsidP="00387142">
            <w:pPr>
              <w:rPr>
                <w:bCs/>
                <w:sz w:val="20"/>
                <w:szCs w:val="20"/>
              </w:rPr>
            </w:pPr>
            <w:r w:rsidRPr="008B6A75">
              <w:rPr>
                <w:bCs/>
                <w:sz w:val="20"/>
                <w:szCs w:val="20"/>
              </w:rPr>
              <w:t>Массовый спорт</w:t>
            </w:r>
          </w:p>
        </w:tc>
        <w:tc>
          <w:tcPr>
            <w:tcW w:w="850" w:type="dxa"/>
            <w:tcBorders>
              <w:top w:val="nil"/>
              <w:left w:val="single" w:sz="4" w:space="0" w:color="auto"/>
              <w:bottom w:val="nil"/>
              <w:right w:val="nil"/>
            </w:tcBorders>
            <w:shd w:val="clear" w:color="auto" w:fill="auto"/>
            <w:noWrap/>
            <w:vAlign w:val="center"/>
            <w:hideMark/>
          </w:tcPr>
          <w:p w14:paraId="5231A275" w14:textId="77777777" w:rsidR="00387142" w:rsidRPr="008B6A75" w:rsidRDefault="00387142" w:rsidP="00387142">
            <w:pPr>
              <w:jc w:val="center"/>
              <w:rPr>
                <w:bCs/>
                <w:sz w:val="20"/>
                <w:szCs w:val="20"/>
              </w:rPr>
            </w:pPr>
            <w:r w:rsidRPr="008B6A75">
              <w:rPr>
                <w:bCs/>
                <w:sz w:val="20"/>
                <w:szCs w:val="20"/>
              </w:rPr>
              <w:t>444</w:t>
            </w:r>
          </w:p>
        </w:tc>
        <w:tc>
          <w:tcPr>
            <w:tcW w:w="709" w:type="dxa"/>
            <w:tcBorders>
              <w:top w:val="nil"/>
              <w:left w:val="single" w:sz="4" w:space="0" w:color="auto"/>
              <w:bottom w:val="nil"/>
              <w:right w:val="nil"/>
            </w:tcBorders>
            <w:shd w:val="clear" w:color="auto" w:fill="auto"/>
            <w:noWrap/>
            <w:vAlign w:val="center"/>
            <w:hideMark/>
          </w:tcPr>
          <w:p w14:paraId="55324D0D" w14:textId="77777777" w:rsidR="00387142" w:rsidRPr="008B6A75" w:rsidRDefault="00387142" w:rsidP="00387142">
            <w:pPr>
              <w:jc w:val="center"/>
              <w:rPr>
                <w:bCs/>
                <w:sz w:val="20"/>
                <w:szCs w:val="20"/>
              </w:rPr>
            </w:pPr>
            <w:r w:rsidRPr="008B6A75">
              <w:rPr>
                <w:bCs/>
                <w:sz w:val="20"/>
                <w:szCs w:val="20"/>
              </w:rPr>
              <w:t>11</w:t>
            </w:r>
          </w:p>
        </w:tc>
        <w:tc>
          <w:tcPr>
            <w:tcW w:w="709" w:type="dxa"/>
            <w:tcBorders>
              <w:top w:val="nil"/>
              <w:left w:val="single" w:sz="4" w:space="0" w:color="auto"/>
              <w:bottom w:val="nil"/>
              <w:right w:val="single" w:sz="4" w:space="0" w:color="auto"/>
            </w:tcBorders>
            <w:shd w:val="clear" w:color="auto" w:fill="auto"/>
            <w:noWrap/>
            <w:vAlign w:val="center"/>
            <w:hideMark/>
          </w:tcPr>
          <w:p w14:paraId="05C2D0CE" w14:textId="77777777" w:rsidR="00387142" w:rsidRPr="008B6A75" w:rsidRDefault="00387142" w:rsidP="00387142">
            <w:pPr>
              <w:jc w:val="center"/>
              <w:rPr>
                <w:bCs/>
                <w:sz w:val="20"/>
                <w:szCs w:val="20"/>
              </w:rPr>
            </w:pPr>
            <w:r w:rsidRPr="008B6A75">
              <w:rPr>
                <w:bCs/>
                <w:sz w:val="20"/>
                <w:szCs w:val="20"/>
              </w:rPr>
              <w:t>02</w:t>
            </w:r>
          </w:p>
        </w:tc>
        <w:tc>
          <w:tcPr>
            <w:tcW w:w="1411" w:type="dxa"/>
            <w:tcBorders>
              <w:top w:val="nil"/>
              <w:left w:val="single" w:sz="4" w:space="0" w:color="auto"/>
              <w:bottom w:val="nil"/>
              <w:right w:val="nil"/>
            </w:tcBorders>
            <w:shd w:val="clear" w:color="auto" w:fill="auto"/>
            <w:noWrap/>
            <w:vAlign w:val="center"/>
            <w:hideMark/>
          </w:tcPr>
          <w:p w14:paraId="1DD12396" w14:textId="77777777" w:rsidR="00387142" w:rsidRPr="008B6A75" w:rsidRDefault="00387142" w:rsidP="00387142">
            <w:pPr>
              <w:jc w:val="center"/>
              <w:rPr>
                <w:bCs/>
                <w:sz w:val="20"/>
                <w:szCs w:val="20"/>
              </w:rPr>
            </w:pPr>
            <w:r w:rsidRPr="008B6A75">
              <w:rPr>
                <w:bCs/>
                <w:sz w:val="20"/>
                <w:szCs w:val="20"/>
              </w:rPr>
              <w:t> </w:t>
            </w:r>
          </w:p>
        </w:tc>
        <w:tc>
          <w:tcPr>
            <w:tcW w:w="955" w:type="dxa"/>
            <w:tcBorders>
              <w:top w:val="nil"/>
              <w:left w:val="single" w:sz="4" w:space="0" w:color="auto"/>
              <w:bottom w:val="nil"/>
              <w:right w:val="single" w:sz="4" w:space="0" w:color="auto"/>
            </w:tcBorders>
            <w:shd w:val="clear" w:color="auto" w:fill="auto"/>
            <w:noWrap/>
            <w:vAlign w:val="center"/>
            <w:hideMark/>
          </w:tcPr>
          <w:p w14:paraId="7B4F0688"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nil"/>
              <w:right w:val="single" w:sz="4" w:space="0" w:color="auto"/>
            </w:tcBorders>
            <w:shd w:val="clear" w:color="auto" w:fill="auto"/>
            <w:noWrap/>
            <w:vAlign w:val="center"/>
            <w:hideMark/>
          </w:tcPr>
          <w:p w14:paraId="21BA95D4" w14:textId="77777777" w:rsidR="00387142" w:rsidRPr="008B6A75" w:rsidRDefault="00387142" w:rsidP="00387142">
            <w:pPr>
              <w:jc w:val="right"/>
              <w:rPr>
                <w:bCs/>
                <w:sz w:val="20"/>
                <w:szCs w:val="20"/>
              </w:rPr>
            </w:pPr>
            <w:r w:rsidRPr="008B6A75">
              <w:rPr>
                <w:bCs/>
                <w:sz w:val="20"/>
                <w:szCs w:val="20"/>
              </w:rPr>
              <w:t>57 245 027,00</w:t>
            </w:r>
          </w:p>
        </w:tc>
        <w:tc>
          <w:tcPr>
            <w:tcW w:w="992" w:type="dxa"/>
            <w:gridSpan w:val="2"/>
            <w:tcBorders>
              <w:top w:val="nil"/>
              <w:left w:val="single" w:sz="4" w:space="0" w:color="auto"/>
              <w:bottom w:val="nil"/>
              <w:right w:val="nil"/>
            </w:tcBorders>
            <w:shd w:val="clear" w:color="auto" w:fill="auto"/>
            <w:noWrap/>
            <w:vAlign w:val="center"/>
            <w:hideMark/>
          </w:tcPr>
          <w:p w14:paraId="0E12BAC3" w14:textId="77777777" w:rsidR="00387142" w:rsidRPr="008B6A75" w:rsidRDefault="00387142" w:rsidP="00387142">
            <w:pPr>
              <w:jc w:val="right"/>
              <w:rPr>
                <w:bCs/>
                <w:sz w:val="20"/>
                <w:szCs w:val="20"/>
              </w:rPr>
            </w:pPr>
            <w:r w:rsidRPr="008B6A75">
              <w:rPr>
                <w:bCs/>
                <w:sz w:val="20"/>
                <w:szCs w:val="20"/>
              </w:rPr>
              <w:t>0,00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7F938F05" w14:textId="77777777" w:rsidR="00387142" w:rsidRPr="008B6A75" w:rsidRDefault="00387142" w:rsidP="00387142">
            <w:pPr>
              <w:jc w:val="right"/>
              <w:rPr>
                <w:bCs/>
                <w:sz w:val="20"/>
                <w:szCs w:val="20"/>
              </w:rPr>
            </w:pPr>
            <w:r w:rsidRPr="008B6A75">
              <w:rPr>
                <w:bCs/>
                <w:sz w:val="20"/>
                <w:szCs w:val="20"/>
              </w:rPr>
              <w:t>0,00</w:t>
            </w:r>
          </w:p>
        </w:tc>
        <w:tc>
          <w:tcPr>
            <w:tcW w:w="222" w:type="dxa"/>
            <w:vAlign w:val="center"/>
            <w:hideMark/>
          </w:tcPr>
          <w:p w14:paraId="5AE2BE42" w14:textId="77777777" w:rsidR="00387142" w:rsidRPr="008B6A75" w:rsidRDefault="00387142" w:rsidP="00387142">
            <w:pPr>
              <w:rPr>
                <w:sz w:val="20"/>
                <w:szCs w:val="20"/>
              </w:rPr>
            </w:pPr>
          </w:p>
        </w:tc>
      </w:tr>
      <w:tr w:rsidR="00387142" w:rsidRPr="008B6A75" w14:paraId="4D35CB45" w14:textId="77777777" w:rsidTr="00387142">
        <w:trPr>
          <w:trHeight w:val="1155"/>
        </w:trPr>
        <w:tc>
          <w:tcPr>
            <w:tcW w:w="3021" w:type="dxa"/>
            <w:tcBorders>
              <w:top w:val="single" w:sz="4" w:space="0" w:color="auto"/>
              <w:left w:val="single" w:sz="4" w:space="0" w:color="auto"/>
              <w:bottom w:val="nil"/>
              <w:right w:val="nil"/>
            </w:tcBorders>
            <w:shd w:val="clear" w:color="auto" w:fill="auto"/>
            <w:vAlign w:val="center"/>
            <w:hideMark/>
          </w:tcPr>
          <w:p w14:paraId="56FDB845" w14:textId="77777777" w:rsidR="00387142" w:rsidRPr="008B6A75" w:rsidRDefault="00387142" w:rsidP="00387142">
            <w:pPr>
              <w:rPr>
                <w:bCs/>
                <w:sz w:val="20"/>
                <w:szCs w:val="20"/>
              </w:rPr>
            </w:pPr>
            <w:r w:rsidRPr="008B6A75">
              <w:rPr>
                <w:bCs/>
                <w:sz w:val="20"/>
                <w:szCs w:val="20"/>
              </w:rPr>
              <w:t>Муниципальная программа "Развитие физической культуры и спорта в Куйбышевском районе Новосибирской области"</w:t>
            </w:r>
          </w:p>
        </w:tc>
        <w:tc>
          <w:tcPr>
            <w:tcW w:w="850" w:type="dxa"/>
            <w:tcBorders>
              <w:top w:val="single" w:sz="4" w:space="0" w:color="auto"/>
              <w:left w:val="single" w:sz="4" w:space="0" w:color="auto"/>
              <w:bottom w:val="nil"/>
              <w:right w:val="nil"/>
            </w:tcBorders>
            <w:shd w:val="clear" w:color="auto" w:fill="auto"/>
            <w:noWrap/>
            <w:vAlign w:val="center"/>
            <w:hideMark/>
          </w:tcPr>
          <w:p w14:paraId="5E930B00" w14:textId="77777777" w:rsidR="00387142" w:rsidRPr="008B6A75" w:rsidRDefault="00387142" w:rsidP="00387142">
            <w:pPr>
              <w:jc w:val="center"/>
              <w:rPr>
                <w:bCs/>
                <w:sz w:val="20"/>
                <w:szCs w:val="20"/>
              </w:rPr>
            </w:pPr>
            <w:r w:rsidRPr="008B6A75">
              <w:rPr>
                <w:bCs/>
                <w:sz w:val="20"/>
                <w:szCs w:val="20"/>
              </w:rPr>
              <w:t>444</w:t>
            </w:r>
          </w:p>
        </w:tc>
        <w:tc>
          <w:tcPr>
            <w:tcW w:w="709" w:type="dxa"/>
            <w:tcBorders>
              <w:top w:val="single" w:sz="4" w:space="0" w:color="auto"/>
              <w:left w:val="single" w:sz="4" w:space="0" w:color="auto"/>
              <w:bottom w:val="nil"/>
              <w:right w:val="nil"/>
            </w:tcBorders>
            <w:shd w:val="clear" w:color="auto" w:fill="auto"/>
            <w:noWrap/>
            <w:vAlign w:val="center"/>
            <w:hideMark/>
          </w:tcPr>
          <w:p w14:paraId="4A19FA55" w14:textId="77777777" w:rsidR="00387142" w:rsidRPr="008B6A75" w:rsidRDefault="00387142" w:rsidP="00387142">
            <w:pPr>
              <w:jc w:val="center"/>
              <w:rPr>
                <w:bCs/>
                <w:sz w:val="20"/>
                <w:szCs w:val="20"/>
              </w:rPr>
            </w:pPr>
            <w:r w:rsidRPr="008B6A75">
              <w:rPr>
                <w:bCs/>
                <w:sz w:val="20"/>
                <w:szCs w:val="20"/>
              </w:rPr>
              <w:t>11</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61A567F8" w14:textId="77777777" w:rsidR="00387142" w:rsidRPr="008B6A75" w:rsidRDefault="00387142" w:rsidP="00387142">
            <w:pPr>
              <w:jc w:val="center"/>
              <w:rPr>
                <w:bCs/>
                <w:sz w:val="20"/>
                <w:szCs w:val="20"/>
              </w:rPr>
            </w:pPr>
            <w:r w:rsidRPr="008B6A75">
              <w:rPr>
                <w:bCs/>
                <w:sz w:val="20"/>
                <w:szCs w:val="20"/>
              </w:rPr>
              <w:t>02</w:t>
            </w:r>
          </w:p>
        </w:tc>
        <w:tc>
          <w:tcPr>
            <w:tcW w:w="1411" w:type="dxa"/>
            <w:tcBorders>
              <w:top w:val="single" w:sz="4" w:space="0" w:color="auto"/>
              <w:left w:val="single" w:sz="4" w:space="0" w:color="auto"/>
              <w:bottom w:val="nil"/>
              <w:right w:val="nil"/>
            </w:tcBorders>
            <w:shd w:val="clear" w:color="auto" w:fill="auto"/>
            <w:noWrap/>
            <w:vAlign w:val="center"/>
            <w:hideMark/>
          </w:tcPr>
          <w:p w14:paraId="21926DD0" w14:textId="77777777" w:rsidR="00387142" w:rsidRPr="008B6A75" w:rsidRDefault="00387142" w:rsidP="00387142">
            <w:pPr>
              <w:jc w:val="center"/>
              <w:rPr>
                <w:bCs/>
                <w:sz w:val="20"/>
                <w:szCs w:val="20"/>
              </w:rPr>
            </w:pPr>
            <w:r w:rsidRPr="008B6A75">
              <w:rPr>
                <w:bCs/>
                <w:sz w:val="20"/>
                <w:szCs w:val="20"/>
              </w:rPr>
              <w:t>11.0.00.00000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098B7A71" w14:textId="77777777" w:rsidR="00387142" w:rsidRPr="008B6A75" w:rsidRDefault="00387142" w:rsidP="00387142">
            <w:pPr>
              <w:jc w:val="center"/>
              <w:rPr>
                <w:bCs/>
                <w:sz w:val="20"/>
                <w:szCs w:val="20"/>
              </w:rPr>
            </w:pPr>
            <w:r w:rsidRPr="008B6A75">
              <w:rPr>
                <w:bCs/>
                <w:sz w:val="20"/>
                <w:szCs w:val="20"/>
              </w:rPr>
              <w:t> </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46E4E52B" w14:textId="77777777" w:rsidR="00387142" w:rsidRPr="008B6A75" w:rsidRDefault="00387142" w:rsidP="00387142">
            <w:pPr>
              <w:jc w:val="right"/>
              <w:rPr>
                <w:bCs/>
                <w:sz w:val="20"/>
                <w:szCs w:val="20"/>
              </w:rPr>
            </w:pPr>
            <w:r w:rsidRPr="008B6A75">
              <w:rPr>
                <w:bCs/>
                <w:sz w:val="20"/>
                <w:szCs w:val="20"/>
              </w:rPr>
              <w:t>57 245 027,00</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56386B3A" w14:textId="77777777" w:rsidR="00387142" w:rsidRPr="008B6A75" w:rsidRDefault="00387142" w:rsidP="00387142">
            <w:pPr>
              <w:jc w:val="right"/>
              <w:rPr>
                <w:bCs/>
                <w:sz w:val="20"/>
                <w:szCs w:val="20"/>
              </w:rPr>
            </w:pPr>
            <w:r w:rsidRPr="008B6A75">
              <w:rPr>
                <w:bCs/>
                <w:sz w:val="20"/>
                <w:szCs w:val="20"/>
              </w:rPr>
              <w:t>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4D766A49" w14:textId="77777777" w:rsidR="00387142" w:rsidRPr="008B6A75" w:rsidRDefault="00387142" w:rsidP="00387142">
            <w:pPr>
              <w:jc w:val="right"/>
              <w:rPr>
                <w:bCs/>
                <w:sz w:val="20"/>
                <w:szCs w:val="20"/>
              </w:rPr>
            </w:pPr>
            <w:r w:rsidRPr="008B6A75">
              <w:rPr>
                <w:bCs/>
                <w:sz w:val="20"/>
                <w:szCs w:val="20"/>
              </w:rPr>
              <w:t>0,00</w:t>
            </w:r>
          </w:p>
        </w:tc>
        <w:tc>
          <w:tcPr>
            <w:tcW w:w="222" w:type="dxa"/>
            <w:vAlign w:val="center"/>
            <w:hideMark/>
          </w:tcPr>
          <w:p w14:paraId="52D840AB" w14:textId="77777777" w:rsidR="00387142" w:rsidRPr="008B6A75" w:rsidRDefault="00387142" w:rsidP="00387142">
            <w:pPr>
              <w:rPr>
                <w:sz w:val="20"/>
                <w:szCs w:val="20"/>
              </w:rPr>
            </w:pPr>
          </w:p>
        </w:tc>
      </w:tr>
      <w:tr w:rsidR="00387142" w:rsidRPr="008B6A75" w14:paraId="6666B631" w14:textId="77777777" w:rsidTr="00387142">
        <w:trPr>
          <w:trHeight w:val="1155"/>
        </w:trPr>
        <w:tc>
          <w:tcPr>
            <w:tcW w:w="3021" w:type="dxa"/>
            <w:tcBorders>
              <w:top w:val="single" w:sz="4" w:space="0" w:color="auto"/>
              <w:left w:val="single" w:sz="4" w:space="0" w:color="auto"/>
              <w:bottom w:val="nil"/>
              <w:right w:val="nil"/>
            </w:tcBorders>
            <w:shd w:val="clear" w:color="auto" w:fill="auto"/>
            <w:vAlign w:val="center"/>
            <w:hideMark/>
          </w:tcPr>
          <w:p w14:paraId="23C3E62B" w14:textId="77777777" w:rsidR="00387142" w:rsidRPr="008B6A75" w:rsidRDefault="00387142" w:rsidP="00387142">
            <w:pPr>
              <w:rPr>
                <w:bCs/>
                <w:sz w:val="20"/>
                <w:szCs w:val="20"/>
              </w:rPr>
            </w:pPr>
            <w:r w:rsidRPr="008B6A75">
              <w:rPr>
                <w:bCs/>
                <w:sz w:val="20"/>
                <w:szCs w:val="20"/>
              </w:rPr>
              <w:t>Реализация мероприятий МП "Развитие физической культуры и спорта в Куйбышевском районе Новосибирской области"</w:t>
            </w:r>
          </w:p>
        </w:tc>
        <w:tc>
          <w:tcPr>
            <w:tcW w:w="850" w:type="dxa"/>
            <w:tcBorders>
              <w:top w:val="single" w:sz="4" w:space="0" w:color="auto"/>
              <w:left w:val="single" w:sz="4" w:space="0" w:color="auto"/>
              <w:bottom w:val="nil"/>
              <w:right w:val="nil"/>
            </w:tcBorders>
            <w:shd w:val="clear" w:color="auto" w:fill="auto"/>
            <w:noWrap/>
            <w:vAlign w:val="center"/>
            <w:hideMark/>
          </w:tcPr>
          <w:p w14:paraId="2D61B9C4" w14:textId="77777777" w:rsidR="00387142" w:rsidRPr="008B6A75" w:rsidRDefault="00387142" w:rsidP="00387142">
            <w:pPr>
              <w:jc w:val="center"/>
              <w:rPr>
                <w:bCs/>
                <w:sz w:val="20"/>
                <w:szCs w:val="20"/>
              </w:rPr>
            </w:pPr>
            <w:r w:rsidRPr="008B6A75">
              <w:rPr>
                <w:bCs/>
                <w:sz w:val="20"/>
                <w:szCs w:val="20"/>
              </w:rPr>
              <w:t>444</w:t>
            </w:r>
          </w:p>
        </w:tc>
        <w:tc>
          <w:tcPr>
            <w:tcW w:w="709" w:type="dxa"/>
            <w:tcBorders>
              <w:top w:val="single" w:sz="4" w:space="0" w:color="auto"/>
              <w:left w:val="single" w:sz="4" w:space="0" w:color="auto"/>
              <w:bottom w:val="nil"/>
              <w:right w:val="nil"/>
            </w:tcBorders>
            <w:shd w:val="clear" w:color="auto" w:fill="auto"/>
            <w:noWrap/>
            <w:vAlign w:val="center"/>
            <w:hideMark/>
          </w:tcPr>
          <w:p w14:paraId="19206C3F" w14:textId="77777777" w:rsidR="00387142" w:rsidRPr="008B6A75" w:rsidRDefault="00387142" w:rsidP="00387142">
            <w:pPr>
              <w:jc w:val="center"/>
              <w:rPr>
                <w:bCs/>
                <w:sz w:val="20"/>
                <w:szCs w:val="20"/>
              </w:rPr>
            </w:pPr>
            <w:r w:rsidRPr="008B6A75">
              <w:rPr>
                <w:bCs/>
                <w:sz w:val="20"/>
                <w:szCs w:val="20"/>
              </w:rPr>
              <w:t>11</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0BE570C6" w14:textId="77777777" w:rsidR="00387142" w:rsidRPr="008B6A75" w:rsidRDefault="00387142" w:rsidP="00387142">
            <w:pPr>
              <w:jc w:val="center"/>
              <w:rPr>
                <w:bCs/>
                <w:sz w:val="20"/>
                <w:szCs w:val="20"/>
              </w:rPr>
            </w:pPr>
            <w:r w:rsidRPr="008B6A75">
              <w:rPr>
                <w:bCs/>
                <w:sz w:val="20"/>
                <w:szCs w:val="20"/>
              </w:rPr>
              <w:t>02</w:t>
            </w:r>
          </w:p>
        </w:tc>
        <w:tc>
          <w:tcPr>
            <w:tcW w:w="1411" w:type="dxa"/>
            <w:tcBorders>
              <w:top w:val="single" w:sz="4" w:space="0" w:color="auto"/>
              <w:left w:val="single" w:sz="4" w:space="0" w:color="auto"/>
              <w:bottom w:val="nil"/>
              <w:right w:val="nil"/>
            </w:tcBorders>
            <w:shd w:val="clear" w:color="auto" w:fill="auto"/>
            <w:noWrap/>
            <w:vAlign w:val="center"/>
            <w:hideMark/>
          </w:tcPr>
          <w:p w14:paraId="7C242522" w14:textId="77777777" w:rsidR="00387142" w:rsidRPr="008B6A75" w:rsidRDefault="00387142" w:rsidP="00387142">
            <w:pPr>
              <w:jc w:val="center"/>
              <w:rPr>
                <w:bCs/>
                <w:sz w:val="20"/>
                <w:szCs w:val="20"/>
              </w:rPr>
            </w:pPr>
            <w:r w:rsidRPr="008B6A75">
              <w:rPr>
                <w:bCs/>
                <w:sz w:val="20"/>
                <w:szCs w:val="20"/>
              </w:rPr>
              <w:t>11.0.00.11950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11B174F4" w14:textId="77777777" w:rsidR="00387142" w:rsidRPr="008B6A75" w:rsidRDefault="00387142" w:rsidP="00387142">
            <w:pPr>
              <w:jc w:val="center"/>
              <w:rPr>
                <w:bCs/>
                <w:sz w:val="20"/>
                <w:szCs w:val="20"/>
              </w:rPr>
            </w:pPr>
            <w:r w:rsidRPr="008B6A75">
              <w:rPr>
                <w:bCs/>
                <w:sz w:val="20"/>
                <w:szCs w:val="20"/>
              </w:rPr>
              <w:t> </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5FE061D2" w14:textId="77777777" w:rsidR="00387142" w:rsidRPr="008B6A75" w:rsidRDefault="00387142" w:rsidP="00387142">
            <w:pPr>
              <w:jc w:val="right"/>
              <w:rPr>
                <w:bCs/>
                <w:sz w:val="20"/>
                <w:szCs w:val="20"/>
              </w:rPr>
            </w:pPr>
            <w:r w:rsidRPr="008B6A75">
              <w:rPr>
                <w:bCs/>
                <w:sz w:val="20"/>
                <w:szCs w:val="20"/>
              </w:rPr>
              <w:t>1 104 100,00</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3E15A36F" w14:textId="77777777" w:rsidR="00387142" w:rsidRPr="008B6A75" w:rsidRDefault="00387142" w:rsidP="00387142">
            <w:pPr>
              <w:jc w:val="right"/>
              <w:rPr>
                <w:bCs/>
                <w:sz w:val="20"/>
                <w:szCs w:val="20"/>
              </w:rPr>
            </w:pPr>
            <w:r w:rsidRPr="008B6A75">
              <w:rPr>
                <w:bCs/>
                <w:sz w:val="20"/>
                <w:szCs w:val="20"/>
              </w:rPr>
              <w:t>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5F2BB39C" w14:textId="77777777" w:rsidR="00387142" w:rsidRPr="008B6A75" w:rsidRDefault="00387142" w:rsidP="00387142">
            <w:pPr>
              <w:jc w:val="right"/>
              <w:rPr>
                <w:bCs/>
                <w:sz w:val="20"/>
                <w:szCs w:val="20"/>
              </w:rPr>
            </w:pPr>
            <w:r w:rsidRPr="008B6A75">
              <w:rPr>
                <w:bCs/>
                <w:sz w:val="20"/>
                <w:szCs w:val="20"/>
              </w:rPr>
              <w:t>0,00</w:t>
            </w:r>
          </w:p>
        </w:tc>
        <w:tc>
          <w:tcPr>
            <w:tcW w:w="222" w:type="dxa"/>
            <w:vAlign w:val="center"/>
            <w:hideMark/>
          </w:tcPr>
          <w:p w14:paraId="2A966328" w14:textId="77777777" w:rsidR="00387142" w:rsidRPr="008B6A75" w:rsidRDefault="00387142" w:rsidP="00387142">
            <w:pPr>
              <w:rPr>
                <w:sz w:val="20"/>
                <w:szCs w:val="20"/>
              </w:rPr>
            </w:pPr>
          </w:p>
        </w:tc>
      </w:tr>
      <w:tr w:rsidR="00387142" w:rsidRPr="008B6A75" w14:paraId="28042E7B" w14:textId="77777777" w:rsidTr="00387142">
        <w:trPr>
          <w:trHeight w:val="300"/>
        </w:trPr>
        <w:tc>
          <w:tcPr>
            <w:tcW w:w="3021" w:type="dxa"/>
            <w:tcBorders>
              <w:top w:val="single" w:sz="4" w:space="0" w:color="auto"/>
              <w:left w:val="single" w:sz="4" w:space="0" w:color="auto"/>
              <w:bottom w:val="nil"/>
              <w:right w:val="nil"/>
            </w:tcBorders>
            <w:shd w:val="clear" w:color="auto" w:fill="auto"/>
            <w:vAlign w:val="center"/>
            <w:hideMark/>
          </w:tcPr>
          <w:p w14:paraId="0D686CA4" w14:textId="77777777" w:rsidR="00387142" w:rsidRPr="008B6A75" w:rsidRDefault="00387142" w:rsidP="00387142">
            <w:pPr>
              <w:rPr>
                <w:sz w:val="20"/>
                <w:szCs w:val="20"/>
              </w:rPr>
            </w:pPr>
            <w:r w:rsidRPr="008B6A75">
              <w:rPr>
                <w:sz w:val="20"/>
                <w:szCs w:val="20"/>
              </w:rPr>
              <w:t>Межбюджетные трансферты</w:t>
            </w:r>
          </w:p>
        </w:tc>
        <w:tc>
          <w:tcPr>
            <w:tcW w:w="850" w:type="dxa"/>
            <w:tcBorders>
              <w:top w:val="single" w:sz="4" w:space="0" w:color="auto"/>
              <w:left w:val="single" w:sz="4" w:space="0" w:color="auto"/>
              <w:bottom w:val="nil"/>
              <w:right w:val="nil"/>
            </w:tcBorders>
            <w:shd w:val="clear" w:color="auto" w:fill="auto"/>
            <w:noWrap/>
            <w:vAlign w:val="center"/>
            <w:hideMark/>
          </w:tcPr>
          <w:p w14:paraId="7A1C8633" w14:textId="77777777" w:rsidR="00387142" w:rsidRPr="008B6A75" w:rsidRDefault="00387142" w:rsidP="00387142">
            <w:pPr>
              <w:jc w:val="center"/>
              <w:rPr>
                <w:sz w:val="20"/>
                <w:szCs w:val="20"/>
              </w:rPr>
            </w:pPr>
            <w:r w:rsidRPr="008B6A75">
              <w:rPr>
                <w:sz w:val="20"/>
                <w:szCs w:val="20"/>
              </w:rPr>
              <w:t>444</w:t>
            </w:r>
          </w:p>
        </w:tc>
        <w:tc>
          <w:tcPr>
            <w:tcW w:w="709" w:type="dxa"/>
            <w:tcBorders>
              <w:top w:val="single" w:sz="4" w:space="0" w:color="auto"/>
              <w:left w:val="single" w:sz="4" w:space="0" w:color="auto"/>
              <w:bottom w:val="nil"/>
              <w:right w:val="nil"/>
            </w:tcBorders>
            <w:shd w:val="clear" w:color="auto" w:fill="auto"/>
            <w:noWrap/>
            <w:vAlign w:val="center"/>
            <w:hideMark/>
          </w:tcPr>
          <w:p w14:paraId="33553C54" w14:textId="77777777" w:rsidR="00387142" w:rsidRPr="008B6A75" w:rsidRDefault="00387142" w:rsidP="00387142">
            <w:pPr>
              <w:jc w:val="center"/>
              <w:rPr>
                <w:sz w:val="20"/>
                <w:szCs w:val="20"/>
              </w:rPr>
            </w:pPr>
            <w:r w:rsidRPr="008B6A75">
              <w:rPr>
                <w:sz w:val="20"/>
                <w:szCs w:val="20"/>
              </w:rPr>
              <w:t>11</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67F82846" w14:textId="77777777" w:rsidR="00387142" w:rsidRPr="008B6A75" w:rsidRDefault="00387142" w:rsidP="00387142">
            <w:pPr>
              <w:jc w:val="center"/>
              <w:rPr>
                <w:sz w:val="20"/>
                <w:szCs w:val="20"/>
              </w:rPr>
            </w:pPr>
            <w:r w:rsidRPr="008B6A75">
              <w:rPr>
                <w:sz w:val="20"/>
                <w:szCs w:val="20"/>
              </w:rPr>
              <w:t>02</w:t>
            </w:r>
          </w:p>
        </w:tc>
        <w:tc>
          <w:tcPr>
            <w:tcW w:w="1411" w:type="dxa"/>
            <w:tcBorders>
              <w:top w:val="single" w:sz="4" w:space="0" w:color="auto"/>
              <w:left w:val="single" w:sz="4" w:space="0" w:color="auto"/>
              <w:bottom w:val="nil"/>
              <w:right w:val="nil"/>
            </w:tcBorders>
            <w:shd w:val="clear" w:color="auto" w:fill="auto"/>
            <w:noWrap/>
            <w:vAlign w:val="center"/>
            <w:hideMark/>
          </w:tcPr>
          <w:p w14:paraId="362DE364" w14:textId="77777777" w:rsidR="00387142" w:rsidRPr="008B6A75" w:rsidRDefault="00387142" w:rsidP="00387142">
            <w:pPr>
              <w:jc w:val="center"/>
              <w:rPr>
                <w:sz w:val="20"/>
                <w:szCs w:val="20"/>
              </w:rPr>
            </w:pPr>
            <w:r w:rsidRPr="008B6A75">
              <w:rPr>
                <w:sz w:val="20"/>
                <w:szCs w:val="20"/>
              </w:rPr>
              <w:t>11.0.00.11950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197944A1" w14:textId="77777777" w:rsidR="00387142" w:rsidRPr="008B6A75" w:rsidRDefault="00387142" w:rsidP="00387142">
            <w:pPr>
              <w:jc w:val="center"/>
              <w:rPr>
                <w:sz w:val="20"/>
                <w:szCs w:val="20"/>
              </w:rPr>
            </w:pPr>
            <w:r w:rsidRPr="008B6A75">
              <w:rPr>
                <w:sz w:val="20"/>
                <w:szCs w:val="20"/>
              </w:rPr>
              <w:t>500</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5C4A8B09" w14:textId="77777777" w:rsidR="00387142" w:rsidRPr="008B6A75" w:rsidRDefault="00387142" w:rsidP="00387142">
            <w:pPr>
              <w:jc w:val="right"/>
              <w:rPr>
                <w:sz w:val="20"/>
                <w:szCs w:val="20"/>
              </w:rPr>
            </w:pPr>
            <w:r w:rsidRPr="008B6A75">
              <w:rPr>
                <w:sz w:val="20"/>
                <w:szCs w:val="20"/>
              </w:rPr>
              <w:t>1 104 100,00</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32C4BB1A" w14:textId="77777777" w:rsidR="00387142" w:rsidRPr="008B6A75" w:rsidRDefault="00387142" w:rsidP="00387142">
            <w:pPr>
              <w:jc w:val="right"/>
              <w:rPr>
                <w:sz w:val="20"/>
                <w:szCs w:val="20"/>
              </w:rPr>
            </w:pPr>
            <w:r w:rsidRPr="008B6A75">
              <w:rPr>
                <w:sz w:val="20"/>
                <w:szCs w:val="20"/>
              </w:rPr>
              <w:t>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404A9E53" w14:textId="77777777" w:rsidR="00387142" w:rsidRPr="008B6A75" w:rsidRDefault="00387142" w:rsidP="00387142">
            <w:pPr>
              <w:jc w:val="right"/>
              <w:rPr>
                <w:sz w:val="20"/>
                <w:szCs w:val="20"/>
              </w:rPr>
            </w:pPr>
            <w:r w:rsidRPr="008B6A75">
              <w:rPr>
                <w:sz w:val="20"/>
                <w:szCs w:val="20"/>
              </w:rPr>
              <w:t>0,00</w:t>
            </w:r>
          </w:p>
        </w:tc>
        <w:tc>
          <w:tcPr>
            <w:tcW w:w="222" w:type="dxa"/>
            <w:vAlign w:val="center"/>
            <w:hideMark/>
          </w:tcPr>
          <w:p w14:paraId="09A8B3BE" w14:textId="77777777" w:rsidR="00387142" w:rsidRPr="008B6A75" w:rsidRDefault="00387142" w:rsidP="00387142">
            <w:pPr>
              <w:rPr>
                <w:sz w:val="20"/>
                <w:szCs w:val="20"/>
              </w:rPr>
            </w:pPr>
          </w:p>
        </w:tc>
      </w:tr>
      <w:tr w:rsidR="00387142" w:rsidRPr="008B6A75" w14:paraId="5284D69E" w14:textId="77777777" w:rsidTr="00387142">
        <w:trPr>
          <w:trHeight w:val="300"/>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4377EFD6" w14:textId="77777777" w:rsidR="00387142" w:rsidRPr="008B6A75" w:rsidRDefault="00387142" w:rsidP="00387142">
            <w:pPr>
              <w:rPr>
                <w:sz w:val="20"/>
                <w:szCs w:val="20"/>
              </w:rPr>
            </w:pPr>
            <w:r w:rsidRPr="008B6A75">
              <w:rPr>
                <w:sz w:val="20"/>
                <w:szCs w:val="20"/>
              </w:rPr>
              <w:t>Иные межбюджетные трансферты</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6B38C5B2" w14:textId="77777777" w:rsidR="00387142" w:rsidRPr="008B6A75" w:rsidRDefault="00387142" w:rsidP="00387142">
            <w:pPr>
              <w:jc w:val="center"/>
              <w:rPr>
                <w:sz w:val="20"/>
                <w:szCs w:val="20"/>
              </w:rPr>
            </w:pPr>
            <w:r w:rsidRPr="008B6A75">
              <w:rPr>
                <w:sz w:val="20"/>
                <w:szCs w:val="20"/>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7C053F83" w14:textId="77777777" w:rsidR="00387142" w:rsidRPr="008B6A75" w:rsidRDefault="00387142" w:rsidP="00387142">
            <w:pPr>
              <w:jc w:val="center"/>
              <w:rPr>
                <w:sz w:val="20"/>
                <w:szCs w:val="20"/>
              </w:rPr>
            </w:pPr>
            <w:r w:rsidRPr="008B6A75">
              <w:rPr>
                <w:sz w:val="20"/>
                <w:szCs w:val="20"/>
              </w:rPr>
              <w:t>11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627C8C" w14:textId="77777777" w:rsidR="00387142" w:rsidRPr="008B6A75" w:rsidRDefault="00387142" w:rsidP="00387142">
            <w:pPr>
              <w:jc w:val="center"/>
              <w:rPr>
                <w:sz w:val="20"/>
                <w:szCs w:val="20"/>
              </w:rPr>
            </w:pPr>
            <w:r w:rsidRPr="008B6A75">
              <w:rPr>
                <w:sz w:val="20"/>
                <w:szCs w:val="20"/>
              </w:rPr>
              <w:t>02</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0D50FFB9" w14:textId="77777777" w:rsidR="00387142" w:rsidRPr="008B6A75" w:rsidRDefault="00387142" w:rsidP="00387142">
            <w:pPr>
              <w:jc w:val="center"/>
              <w:rPr>
                <w:sz w:val="20"/>
                <w:szCs w:val="20"/>
              </w:rPr>
            </w:pPr>
            <w:r w:rsidRPr="008B6A75">
              <w:rPr>
                <w:sz w:val="20"/>
                <w:szCs w:val="20"/>
              </w:rPr>
              <w:t>11.0.00.11950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6F0F3B" w14:textId="77777777" w:rsidR="00387142" w:rsidRPr="008B6A75" w:rsidRDefault="00387142" w:rsidP="00387142">
            <w:pPr>
              <w:jc w:val="center"/>
              <w:rPr>
                <w:sz w:val="20"/>
                <w:szCs w:val="20"/>
              </w:rPr>
            </w:pPr>
            <w:r w:rsidRPr="008B6A75">
              <w:rPr>
                <w:sz w:val="20"/>
                <w:szCs w:val="20"/>
              </w:rPr>
              <w:t>540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A83F05" w14:textId="77777777" w:rsidR="00387142" w:rsidRPr="008B6A75" w:rsidRDefault="00387142" w:rsidP="00387142">
            <w:pPr>
              <w:jc w:val="right"/>
              <w:rPr>
                <w:sz w:val="20"/>
                <w:szCs w:val="20"/>
              </w:rPr>
            </w:pPr>
            <w:r w:rsidRPr="008B6A75">
              <w:rPr>
                <w:sz w:val="20"/>
                <w:szCs w:val="20"/>
              </w:rPr>
              <w:t>1 104 100,00</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238694EF" w14:textId="77777777" w:rsidR="00387142" w:rsidRPr="008B6A75" w:rsidRDefault="00387142" w:rsidP="00387142">
            <w:pPr>
              <w:jc w:val="right"/>
              <w:rPr>
                <w:sz w:val="20"/>
                <w:szCs w:val="20"/>
              </w:rPr>
            </w:pPr>
            <w:r w:rsidRPr="008B6A75">
              <w:rPr>
                <w:sz w:val="20"/>
                <w:szCs w:val="20"/>
              </w:rPr>
              <w:t>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0C60DF" w14:textId="77777777" w:rsidR="00387142" w:rsidRPr="008B6A75" w:rsidRDefault="00387142" w:rsidP="00387142">
            <w:pPr>
              <w:jc w:val="right"/>
              <w:rPr>
                <w:sz w:val="20"/>
                <w:szCs w:val="20"/>
              </w:rPr>
            </w:pPr>
            <w:r w:rsidRPr="008B6A75">
              <w:rPr>
                <w:sz w:val="20"/>
                <w:szCs w:val="20"/>
              </w:rPr>
              <w:t>0,00</w:t>
            </w:r>
          </w:p>
        </w:tc>
        <w:tc>
          <w:tcPr>
            <w:tcW w:w="222" w:type="dxa"/>
            <w:vAlign w:val="center"/>
            <w:hideMark/>
          </w:tcPr>
          <w:p w14:paraId="5EED5939" w14:textId="77777777" w:rsidR="00387142" w:rsidRPr="008B6A75" w:rsidRDefault="00387142" w:rsidP="00387142">
            <w:pPr>
              <w:rPr>
                <w:sz w:val="20"/>
                <w:szCs w:val="20"/>
              </w:rPr>
            </w:pPr>
          </w:p>
        </w:tc>
      </w:tr>
      <w:tr w:rsidR="00387142" w:rsidRPr="008B6A75" w14:paraId="05FE87C4" w14:textId="77777777" w:rsidTr="00387142">
        <w:trPr>
          <w:trHeight w:val="2295"/>
        </w:trPr>
        <w:tc>
          <w:tcPr>
            <w:tcW w:w="3021" w:type="dxa"/>
            <w:tcBorders>
              <w:top w:val="nil"/>
              <w:left w:val="single" w:sz="4" w:space="0" w:color="auto"/>
              <w:bottom w:val="nil"/>
              <w:right w:val="nil"/>
            </w:tcBorders>
            <w:shd w:val="clear" w:color="auto" w:fill="auto"/>
            <w:vAlign w:val="center"/>
            <w:hideMark/>
          </w:tcPr>
          <w:p w14:paraId="4D2A4F5A" w14:textId="77777777" w:rsidR="00387142" w:rsidRPr="008B6A75" w:rsidRDefault="00387142" w:rsidP="00387142">
            <w:pPr>
              <w:rPr>
                <w:bCs/>
                <w:sz w:val="20"/>
                <w:szCs w:val="20"/>
              </w:rPr>
            </w:pPr>
            <w:r w:rsidRPr="008B6A75">
              <w:rPr>
                <w:bCs/>
                <w:sz w:val="20"/>
                <w:szCs w:val="20"/>
              </w:rPr>
              <w:lastRenderedPageBreak/>
              <w:t>Реализация мероприятий по осуществлению малобюджетного строительства, реконструкции, ремонта спортивных сооружений, обеспечения оборудованием и инвентарем спортивных объектов государственной программы Новосибирской области "Развитие физической культуры и спорта в Новосибирской области"</w:t>
            </w:r>
          </w:p>
        </w:tc>
        <w:tc>
          <w:tcPr>
            <w:tcW w:w="850" w:type="dxa"/>
            <w:tcBorders>
              <w:top w:val="nil"/>
              <w:left w:val="single" w:sz="4" w:space="0" w:color="auto"/>
              <w:bottom w:val="nil"/>
              <w:right w:val="nil"/>
            </w:tcBorders>
            <w:shd w:val="clear" w:color="auto" w:fill="auto"/>
            <w:noWrap/>
            <w:vAlign w:val="center"/>
            <w:hideMark/>
          </w:tcPr>
          <w:p w14:paraId="6B33155F" w14:textId="77777777" w:rsidR="00387142" w:rsidRPr="008B6A75" w:rsidRDefault="00387142" w:rsidP="00387142">
            <w:pPr>
              <w:jc w:val="center"/>
              <w:rPr>
                <w:bCs/>
                <w:sz w:val="20"/>
                <w:szCs w:val="20"/>
              </w:rPr>
            </w:pPr>
            <w:r w:rsidRPr="008B6A75">
              <w:rPr>
                <w:bCs/>
                <w:sz w:val="20"/>
                <w:szCs w:val="20"/>
              </w:rPr>
              <w:t>444</w:t>
            </w:r>
          </w:p>
        </w:tc>
        <w:tc>
          <w:tcPr>
            <w:tcW w:w="709" w:type="dxa"/>
            <w:tcBorders>
              <w:top w:val="nil"/>
              <w:left w:val="single" w:sz="4" w:space="0" w:color="auto"/>
              <w:bottom w:val="nil"/>
              <w:right w:val="nil"/>
            </w:tcBorders>
            <w:shd w:val="clear" w:color="auto" w:fill="auto"/>
            <w:noWrap/>
            <w:vAlign w:val="center"/>
            <w:hideMark/>
          </w:tcPr>
          <w:p w14:paraId="21C7CA03" w14:textId="77777777" w:rsidR="00387142" w:rsidRPr="008B6A75" w:rsidRDefault="00387142" w:rsidP="00387142">
            <w:pPr>
              <w:jc w:val="center"/>
              <w:rPr>
                <w:bCs/>
                <w:sz w:val="20"/>
                <w:szCs w:val="20"/>
              </w:rPr>
            </w:pPr>
            <w:r w:rsidRPr="008B6A75">
              <w:rPr>
                <w:bCs/>
                <w:sz w:val="20"/>
                <w:szCs w:val="20"/>
              </w:rPr>
              <w:t>11</w:t>
            </w:r>
          </w:p>
        </w:tc>
        <w:tc>
          <w:tcPr>
            <w:tcW w:w="709" w:type="dxa"/>
            <w:tcBorders>
              <w:top w:val="nil"/>
              <w:left w:val="single" w:sz="4" w:space="0" w:color="auto"/>
              <w:bottom w:val="nil"/>
              <w:right w:val="single" w:sz="4" w:space="0" w:color="auto"/>
            </w:tcBorders>
            <w:shd w:val="clear" w:color="auto" w:fill="auto"/>
            <w:noWrap/>
            <w:vAlign w:val="center"/>
            <w:hideMark/>
          </w:tcPr>
          <w:p w14:paraId="089D892B" w14:textId="77777777" w:rsidR="00387142" w:rsidRPr="008B6A75" w:rsidRDefault="00387142" w:rsidP="00387142">
            <w:pPr>
              <w:jc w:val="center"/>
              <w:rPr>
                <w:bCs/>
                <w:sz w:val="20"/>
                <w:szCs w:val="20"/>
              </w:rPr>
            </w:pPr>
            <w:r w:rsidRPr="008B6A75">
              <w:rPr>
                <w:bCs/>
                <w:sz w:val="20"/>
                <w:szCs w:val="20"/>
              </w:rPr>
              <w:t>02</w:t>
            </w:r>
          </w:p>
        </w:tc>
        <w:tc>
          <w:tcPr>
            <w:tcW w:w="1411" w:type="dxa"/>
            <w:tcBorders>
              <w:top w:val="nil"/>
              <w:left w:val="single" w:sz="4" w:space="0" w:color="auto"/>
              <w:bottom w:val="nil"/>
              <w:right w:val="nil"/>
            </w:tcBorders>
            <w:shd w:val="clear" w:color="auto" w:fill="auto"/>
            <w:noWrap/>
            <w:vAlign w:val="center"/>
            <w:hideMark/>
          </w:tcPr>
          <w:p w14:paraId="1EA3F351" w14:textId="77777777" w:rsidR="00387142" w:rsidRPr="008B6A75" w:rsidRDefault="00387142" w:rsidP="00387142">
            <w:pPr>
              <w:jc w:val="center"/>
              <w:rPr>
                <w:bCs/>
                <w:sz w:val="20"/>
                <w:szCs w:val="20"/>
              </w:rPr>
            </w:pPr>
            <w:r w:rsidRPr="008B6A75">
              <w:rPr>
                <w:bCs/>
                <w:sz w:val="20"/>
                <w:szCs w:val="20"/>
              </w:rPr>
              <w:t>11.0.00.70740</w:t>
            </w:r>
          </w:p>
        </w:tc>
        <w:tc>
          <w:tcPr>
            <w:tcW w:w="955" w:type="dxa"/>
            <w:tcBorders>
              <w:top w:val="nil"/>
              <w:left w:val="single" w:sz="4" w:space="0" w:color="auto"/>
              <w:bottom w:val="nil"/>
              <w:right w:val="single" w:sz="4" w:space="0" w:color="auto"/>
            </w:tcBorders>
            <w:shd w:val="clear" w:color="auto" w:fill="auto"/>
            <w:noWrap/>
            <w:vAlign w:val="center"/>
            <w:hideMark/>
          </w:tcPr>
          <w:p w14:paraId="12BA22DA"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nil"/>
              <w:right w:val="single" w:sz="4" w:space="0" w:color="auto"/>
            </w:tcBorders>
            <w:shd w:val="clear" w:color="auto" w:fill="auto"/>
            <w:noWrap/>
            <w:vAlign w:val="center"/>
            <w:hideMark/>
          </w:tcPr>
          <w:p w14:paraId="09D7B00F" w14:textId="77777777" w:rsidR="00387142" w:rsidRPr="008B6A75" w:rsidRDefault="00387142" w:rsidP="00387142">
            <w:pPr>
              <w:jc w:val="right"/>
              <w:rPr>
                <w:bCs/>
                <w:sz w:val="20"/>
                <w:szCs w:val="20"/>
              </w:rPr>
            </w:pPr>
            <w:r w:rsidRPr="008B6A75">
              <w:rPr>
                <w:bCs/>
                <w:sz w:val="20"/>
                <w:szCs w:val="20"/>
              </w:rPr>
              <w:t>3 500 000,00</w:t>
            </w:r>
          </w:p>
        </w:tc>
        <w:tc>
          <w:tcPr>
            <w:tcW w:w="992" w:type="dxa"/>
            <w:gridSpan w:val="2"/>
            <w:tcBorders>
              <w:top w:val="nil"/>
              <w:left w:val="single" w:sz="4" w:space="0" w:color="auto"/>
              <w:bottom w:val="nil"/>
              <w:right w:val="nil"/>
            </w:tcBorders>
            <w:shd w:val="clear" w:color="auto" w:fill="auto"/>
            <w:noWrap/>
            <w:vAlign w:val="center"/>
            <w:hideMark/>
          </w:tcPr>
          <w:p w14:paraId="3289DF08" w14:textId="77777777" w:rsidR="00387142" w:rsidRPr="008B6A75" w:rsidRDefault="00387142" w:rsidP="00387142">
            <w:pPr>
              <w:jc w:val="right"/>
              <w:rPr>
                <w:bCs/>
                <w:sz w:val="20"/>
                <w:szCs w:val="20"/>
              </w:rPr>
            </w:pPr>
            <w:r w:rsidRPr="008B6A75">
              <w:rPr>
                <w:bCs/>
                <w:sz w:val="20"/>
                <w:szCs w:val="20"/>
              </w:rPr>
              <w:t>0,00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6E3DF67E" w14:textId="77777777" w:rsidR="00387142" w:rsidRPr="008B6A75" w:rsidRDefault="00387142" w:rsidP="00387142">
            <w:pPr>
              <w:jc w:val="right"/>
              <w:rPr>
                <w:bCs/>
                <w:sz w:val="20"/>
                <w:szCs w:val="20"/>
              </w:rPr>
            </w:pPr>
            <w:r w:rsidRPr="008B6A75">
              <w:rPr>
                <w:bCs/>
                <w:sz w:val="20"/>
                <w:szCs w:val="20"/>
              </w:rPr>
              <w:t>0,00</w:t>
            </w:r>
          </w:p>
        </w:tc>
        <w:tc>
          <w:tcPr>
            <w:tcW w:w="222" w:type="dxa"/>
            <w:vAlign w:val="center"/>
            <w:hideMark/>
          </w:tcPr>
          <w:p w14:paraId="5A262FA4" w14:textId="77777777" w:rsidR="00387142" w:rsidRPr="008B6A75" w:rsidRDefault="00387142" w:rsidP="00387142">
            <w:pPr>
              <w:rPr>
                <w:sz w:val="20"/>
                <w:szCs w:val="20"/>
              </w:rPr>
            </w:pPr>
          </w:p>
        </w:tc>
      </w:tr>
      <w:tr w:rsidR="00387142" w:rsidRPr="008B6A75" w14:paraId="3529F00F" w14:textId="77777777" w:rsidTr="00387142">
        <w:trPr>
          <w:trHeight w:val="300"/>
        </w:trPr>
        <w:tc>
          <w:tcPr>
            <w:tcW w:w="3021" w:type="dxa"/>
            <w:tcBorders>
              <w:top w:val="single" w:sz="4" w:space="0" w:color="auto"/>
              <w:left w:val="single" w:sz="4" w:space="0" w:color="auto"/>
              <w:bottom w:val="nil"/>
              <w:right w:val="nil"/>
            </w:tcBorders>
            <w:shd w:val="clear" w:color="auto" w:fill="auto"/>
            <w:vAlign w:val="center"/>
            <w:hideMark/>
          </w:tcPr>
          <w:p w14:paraId="10AB0DDF" w14:textId="77777777" w:rsidR="00387142" w:rsidRPr="008B6A75" w:rsidRDefault="00387142" w:rsidP="00387142">
            <w:pPr>
              <w:rPr>
                <w:sz w:val="20"/>
                <w:szCs w:val="20"/>
              </w:rPr>
            </w:pPr>
            <w:r w:rsidRPr="008B6A75">
              <w:rPr>
                <w:sz w:val="20"/>
                <w:szCs w:val="20"/>
              </w:rPr>
              <w:t>Межбюджетные трансферты</w:t>
            </w:r>
          </w:p>
        </w:tc>
        <w:tc>
          <w:tcPr>
            <w:tcW w:w="850" w:type="dxa"/>
            <w:tcBorders>
              <w:top w:val="single" w:sz="4" w:space="0" w:color="auto"/>
              <w:left w:val="single" w:sz="4" w:space="0" w:color="auto"/>
              <w:bottom w:val="nil"/>
              <w:right w:val="nil"/>
            </w:tcBorders>
            <w:shd w:val="clear" w:color="auto" w:fill="auto"/>
            <w:noWrap/>
            <w:vAlign w:val="center"/>
            <w:hideMark/>
          </w:tcPr>
          <w:p w14:paraId="0D3FE92D" w14:textId="77777777" w:rsidR="00387142" w:rsidRPr="008B6A75" w:rsidRDefault="00387142" w:rsidP="00387142">
            <w:pPr>
              <w:jc w:val="center"/>
              <w:rPr>
                <w:sz w:val="20"/>
                <w:szCs w:val="20"/>
              </w:rPr>
            </w:pPr>
            <w:r w:rsidRPr="008B6A75">
              <w:rPr>
                <w:sz w:val="20"/>
                <w:szCs w:val="20"/>
              </w:rPr>
              <w:t>444</w:t>
            </w:r>
          </w:p>
        </w:tc>
        <w:tc>
          <w:tcPr>
            <w:tcW w:w="709" w:type="dxa"/>
            <w:tcBorders>
              <w:top w:val="single" w:sz="4" w:space="0" w:color="auto"/>
              <w:left w:val="single" w:sz="4" w:space="0" w:color="auto"/>
              <w:bottom w:val="nil"/>
              <w:right w:val="nil"/>
            </w:tcBorders>
            <w:shd w:val="clear" w:color="auto" w:fill="auto"/>
            <w:noWrap/>
            <w:vAlign w:val="center"/>
            <w:hideMark/>
          </w:tcPr>
          <w:p w14:paraId="67E1098F" w14:textId="77777777" w:rsidR="00387142" w:rsidRPr="008B6A75" w:rsidRDefault="00387142" w:rsidP="00387142">
            <w:pPr>
              <w:jc w:val="center"/>
              <w:rPr>
                <w:sz w:val="20"/>
                <w:szCs w:val="20"/>
              </w:rPr>
            </w:pPr>
            <w:r w:rsidRPr="008B6A75">
              <w:rPr>
                <w:sz w:val="20"/>
                <w:szCs w:val="20"/>
              </w:rPr>
              <w:t>11</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3F38A537" w14:textId="77777777" w:rsidR="00387142" w:rsidRPr="008B6A75" w:rsidRDefault="00387142" w:rsidP="00387142">
            <w:pPr>
              <w:jc w:val="center"/>
              <w:rPr>
                <w:sz w:val="20"/>
                <w:szCs w:val="20"/>
              </w:rPr>
            </w:pPr>
            <w:r w:rsidRPr="008B6A75">
              <w:rPr>
                <w:sz w:val="20"/>
                <w:szCs w:val="20"/>
              </w:rPr>
              <w:t>02</w:t>
            </w:r>
          </w:p>
        </w:tc>
        <w:tc>
          <w:tcPr>
            <w:tcW w:w="1411" w:type="dxa"/>
            <w:tcBorders>
              <w:top w:val="single" w:sz="4" w:space="0" w:color="auto"/>
              <w:left w:val="single" w:sz="4" w:space="0" w:color="auto"/>
              <w:bottom w:val="nil"/>
              <w:right w:val="nil"/>
            </w:tcBorders>
            <w:shd w:val="clear" w:color="auto" w:fill="auto"/>
            <w:noWrap/>
            <w:vAlign w:val="center"/>
            <w:hideMark/>
          </w:tcPr>
          <w:p w14:paraId="7B2708E4" w14:textId="77777777" w:rsidR="00387142" w:rsidRPr="008B6A75" w:rsidRDefault="00387142" w:rsidP="00387142">
            <w:pPr>
              <w:jc w:val="center"/>
              <w:rPr>
                <w:sz w:val="20"/>
                <w:szCs w:val="20"/>
              </w:rPr>
            </w:pPr>
            <w:r w:rsidRPr="008B6A75">
              <w:rPr>
                <w:sz w:val="20"/>
                <w:szCs w:val="20"/>
              </w:rPr>
              <w:t>11.0.00.70740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238D11D5" w14:textId="77777777" w:rsidR="00387142" w:rsidRPr="008B6A75" w:rsidRDefault="00387142" w:rsidP="00387142">
            <w:pPr>
              <w:jc w:val="center"/>
              <w:rPr>
                <w:sz w:val="20"/>
                <w:szCs w:val="20"/>
              </w:rPr>
            </w:pPr>
            <w:r w:rsidRPr="008B6A75">
              <w:rPr>
                <w:sz w:val="20"/>
                <w:szCs w:val="20"/>
              </w:rPr>
              <w:t>500</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75F1EDB8" w14:textId="77777777" w:rsidR="00387142" w:rsidRPr="008B6A75" w:rsidRDefault="00387142" w:rsidP="00387142">
            <w:pPr>
              <w:jc w:val="right"/>
              <w:rPr>
                <w:sz w:val="20"/>
                <w:szCs w:val="20"/>
              </w:rPr>
            </w:pPr>
            <w:r w:rsidRPr="008B6A75">
              <w:rPr>
                <w:sz w:val="20"/>
                <w:szCs w:val="20"/>
              </w:rPr>
              <w:t>3 500 000,00</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5D39A7C6" w14:textId="77777777" w:rsidR="00387142" w:rsidRPr="008B6A75" w:rsidRDefault="00387142" w:rsidP="00387142">
            <w:pPr>
              <w:jc w:val="right"/>
              <w:rPr>
                <w:sz w:val="20"/>
                <w:szCs w:val="20"/>
              </w:rPr>
            </w:pPr>
            <w:r w:rsidRPr="008B6A75">
              <w:rPr>
                <w:sz w:val="20"/>
                <w:szCs w:val="20"/>
              </w:rPr>
              <w:t>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07E6418E" w14:textId="77777777" w:rsidR="00387142" w:rsidRPr="008B6A75" w:rsidRDefault="00387142" w:rsidP="00387142">
            <w:pPr>
              <w:jc w:val="right"/>
              <w:rPr>
                <w:sz w:val="20"/>
                <w:szCs w:val="20"/>
              </w:rPr>
            </w:pPr>
            <w:r w:rsidRPr="008B6A75">
              <w:rPr>
                <w:sz w:val="20"/>
                <w:szCs w:val="20"/>
              </w:rPr>
              <w:t>0,00</w:t>
            </w:r>
          </w:p>
        </w:tc>
        <w:tc>
          <w:tcPr>
            <w:tcW w:w="222" w:type="dxa"/>
            <w:vAlign w:val="center"/>
            <w:hideMark/>
          </w:tcPr>
          <w:p w14:paraId="276DAA45" w14:textId="77777777" w:rsidR="00387142" w:rsidRPr="008B6A75" w:rsidRDefault="00387142" w:rsidP="00387142">
            <w:pPr>
              <w:rPr>
                <w:sz w:val="20"/>
                <w:szCs w:val="20"/>
              </w:rPr>
            </w:pPr>
          </w:p>
        </w:tc>
      </w:tr>
      <w:tr w:rsidR="00387142" w:rsidRPr="008B6A75" w14:paraId="5FBBF47C" w14:textId="77777777" w:rsidTr="00387142">
        <w:trPr>
          <w:trHeight w:val="300"/>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24EB44DF" w14:textId="77777777" w:rsidR="00387142" w:rsidRPr="008B6A75" w:rsidRDefault="00387142" w:rsidP="00387142">
            <w:pPr>
              <w:rPr>
                <w:sz w:val="20"/>
                <w:szCs w:val="20"/>
              </w:rPr>
            </w:pPr>
            <w:r w:rsidRPr="008B6A75">
              <w:rPr>
                <w:sz w:val="20"/>
                <w:szCs w:val="20"/>
              </w:rPr>
              <w:t>Субсидии</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70BDD52F" w14:textId="77777777" w:rsidR="00387142" w:rsidRPr="008B6A75" w:rsidRDefault="00387142" w:rsidP="00387142">
            <w:pPr>
              <w:jc w:val="center"/>
              <w:rPr>
                <w:sz w:val="20"/>
                <w:szCs w:val="20"/>
              </w:rPr>
            </w:pPr>
            <w:r w:rsidRPr="008B6A75">
              <w:rPr>
                <w:sz w:val="20"/>
                <w:szCs w:val="20"/>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3DA8526D" w14:textId="77777777" w:rsidR="00387142" w:rsidRPr="008B6A75" w:rsidRDefault="00387142" w:rsidP="00387142">
            <w:pPr>
              <w:jc w:val="center"/>
              <w:rPr>
                <w:sz w:val="20"/>
                <w:szCs w:val="20"/>
              </w:rPr>
            </w:pPr>
            <w:r w:rsidRPr="008B6A75">
              <w:rPr>
                <w:sz w:val="20"/>
                <w:szCs w:val="20"/>
              </w:rPr>
              <w:t>11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6EFE3B" w14:textId="77777777" w:rsidR="00387142" w:rsidRPr="008B6A75" w:rsidRDefault="00387142" w:rsidP="00387142">
            <w:pPr>
              <w:jc w:val="center"/>
              <w:rPr>
                <w:sz w:val="20"/>
                <w:szCs w:val="20"/>
              </w:rPr>
            </w:pPr>
            <w:r w:rsidRPr="008B6A75">
              <w:rPr>
                <w:sz w:val="20"/>
                <w:szCs w:val="20"/>
              </w:rPr>
              <w:t>02</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261C0716" w14:textId="77777777" w:rsidR="00387142" w:rsidRPr="008B6A75" w:rsidRDefault="00387142" w:rsidP="00387142">
            <w:pPr>
              <w:jc w:val="center"/>
              <w:rPr>
                <w:sz w:val="20"/>
                <w:szCs w:val="20"/>
              </w:rPr>
            </w:pPr>
            <w:r w:rsidRPr="008B6A75">
              <w:rPr>
                <w:sz w:val="20"/>
                <w:szCs w:val="20"/>
              </w:rPr>
              <w:t>11.0.00.70740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488EF7" w14:textId="77777777" w:rsidR="00387142" w:rsidRPr="008B6A75" w:rsidRDefault="00387142" w:rsidP="00387142">
            <w:pPr>
              <w:jc w:val="center"/>
              <w:rPr>
                <w:sz w:val="20"/>
                <w:szCs w:val="20"/>
              </w:rPr>
            </w:pPr>
            <w:r w:rsidRPr="008B6A75">
              <w:rPr>
                <w:sz w:val="20"/>
                <w:szCs w:val="20"/>
              </w:rPr>
              <w:t>520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A16782" w14:textId="77777777" w:rsidR="00387142" w:rsidRPr="008B6A75" w:rsidRDefault="00387142" w:rsidP="00387142">
            <w:pPr>
              <w:jc w:val="right"/>
              <w:rPr>
                <w:sz w:val="20"/>
                <w:szCs w:val="20"/>
              </w:rPr>
            </w:pPr>
            <w:r w:rsidRPr="008B6A75">
              <w:rPr>
                <w:sz w:val="20"/>
                <w:szCs w:val="20"/>
              </w:rPr>
              <w:t>3 500 000,00</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190CAE89" w14:textId="77777777" w:rsidR="00387142" w:rsidRPr="008B6A75" w:rsidRDefault="00387142" w:rsidP="00387142">
            <w:pPr>
              <w:jc w:val="right"/>
              <w:rPr>
                <w:sz w:val="20"/>
                <w:szCs w:val="20"/>
              </w:rPr>
            </w:pPr>
            <w:r w:rsidRPr="008B6A75">
              <w:rPr>
                <w:sz w:val="20"/>
                <w:szCs w:val="20"/>
              </w:rPr>
              <w:t>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907C1D" w14:textId="77777777" w:rsidR="00387142" w:rsidRPr="008B6A75" w:rsidRDefault="00387142" w:rsidP="00387142">
            <w:pPr>
              <w:jc w:val="right"/>
              <w:rPr>
                <w:sz w:val="20"/>
                <w:szCs w:val="20"/>
              </w:rPr>
            </w:pPr>
            <w:r w:rsidRPr="008B6A75">
              <w:rPr>
                <w:sz w:val="20"/>
                <w:szCs w:val="20"/>
              </w:rPr>
              <w:t>0,00</w:t>
            </w:r>
          </w:p>
        </w:tc>
        <w:tc>
          <w:tcPr>
            <w:tcW w:w="222" w:type="dxa"/>
            <w:vAlign w:val="center"/>
            <w:hideMark/>
          </w:tcPr>
          <w:p w14:paraId="3FF61CCE" w14:textId="77777777" w:rsidR="00387142" w:rsidRPr="008B6A75" w:rsidRDefault="00387142" w:rsidP="00387142">
            <w:pPr>
              <w:rPr>
                <w:sz w:val="20"/>
                <w:szCs w:val="20"/>
              </w:rPr>
            </w:pPr>
          </w:p>
        </w:tc>
      </w:tr>
      <w:tr w:rsidR="00387142" w:rsidRPr="008B6A75" w14:paraId="433BDF3A" w14:textId="77777777" w:rsidTr="00387142">
        <w:trPr>
          <w:trHeight w:val="1440"/>
        </w:trPr>
        <w:tc>
          <w:tcPr>
            <w:tcW w:w="3021" w:type="dxa"/>
            <w:tcBorders>
              <w:top w:val="nil"/>
              <w:left w:val="single" w:sz="4" w:space="0" w:color="auto"/>
              <w:bottom w:val="nil"/>
              <w:right w:val="nil"/>
            </w:tcBorders>
            <w:shd w:val="clear" w:color="auto" w:fill="auto"/>
            <w:vAlign w:val="center"/>
            <w:hideMark/>
          </w:tcPr>
          <w:p w14:paraId="489F173B" w14:textId="77777777" w:rsidR="00387142" w:rsidRPr="008B6A75" w:rsidRDefault="00387142" w:rsidP="00387142">
            <w:pPr>
              <w:rPr>
                <w:bCs/>
                <w:sz w:val="20"/>
                <w:szCs w:val="20"/>
              </w:rPr>
            </w:pPr>
            <w:r w:rsidRPr="008B6A75">
              <w:rPr>
                <w:bCs/>
                <w:sz w:val="20"/>
                <w:szCs w:val="20"/>
              </w:rPr>
              <w:t>Реализация мероприятий по строительству спортивных объектов муниципальной собственности государственной программы Новосибирской области "Развитие физической культуры и спорта в Новосибирской области"</w:t>
            </w:r>
          </w:p>
        </w:tc>
        <w:tc>
          <w:tcPr>
            <w:tcW w:w="850" w:type="dxa"/>
            <w:tcBorders>
              <w:top w:val="nil"/>
              <w:left w:val="single" w:sz="4" w:space="0" w:color="auto"/>
              <w:bottom w:val="nil"/>
              <w:right w:val="nil"/>
            </w:tcBorders>
            <w:shd w:val="clear" w:color="auto" w:fill="auto"/>
            <w:noWrap/>
            <w:vAlign w:val="center"/>
            <w:hideMark/>
          </w:tcPr>
          <w:p w14:paraId="1A4B18A3" w14:textId="77777777" w:rsidR="00387142" w:rsidRPr="008B6A75" w:rsidRDefault="00387142" w:rsidP="00387142">
            <w:pPr>
              <w:jc w:val="center"/>
              <w:rPr>
                <w:bCs/>
                <w:sz w:val="20"/>
                <w:szCs w:val="20"/>
              </w:rPr>
            </w:pPr>
            <w:r w:rsidRPr="008B6A75">
              <w:rPr>
                <w:bCs/>
                <w:sz w:val="20"/>
                <w:szCs w:val="20"/>
              </w:rPr>
              <w:t>444</w:t>
            </w:r>
          </w:p>
        </w:tc>
        <w:tc>
          <w:tcPr>
            <w:tcW w:w="709" w:type="dxa"/>
            <w:tcBorders>
              <w:top w:val="nil"/>
              <w:left w:val="single" w:sz="4" w:space="0" w:color="auto"/>
              <w:bottom w:val="nil"/>
              <w:right w:val="nil"/>
            </w:tcBorders>
            <w:shd w:val="clear" w:color="auto" w:fill="auto"/>
            <w:noWrap/>
            <w:vAlign w:val="center"/>
            <w:hideMark/>
          </w:tcPr>
          <w:p w14:paraId="4DFCF5C3" w14:textId="77777777" w:rsidR="00387142" w:rsidRPr="008B6A75" w:rsidRDefault="00387142" w:rsidP="00387142">
            <w:pPr>
              <w:jc w:val="center"/>
              <w:rPr>
                <w:bCs/>
                <w:sz w:val="20"/>
                <w:szCs w:val="20"/>
              </w:rPr>
            </w:pPr>
            <w:r w:rsidRPr="008B6A75">
              <w:rPr>
                <w:bCs/>
                <w:sz w:val="20"/>
                <w:szCs w:val="20"/>
              </w:rPr>
              <w:t>11</w:t>
            </w:r>
          </w:p>
        </w:tc>
        <w:tc>
          <w:tcPr>
            <w:tcW w:w="709" w:type="dxa"/>
            <w:tcBorders>
              <w:top w:val="nil"/>
              <w:left w:val="single" w:sz="4" w:space="0" w:color="auto"/>
              <w:bottom w:val="nil"/>
              <w:right w:val="single" w:sz="4" w:space="0" w:color="auto"/>
            </w:tcBorders>
            <w:shd w:val="clear" w:color="auto" w:fill="auto"/>
            <w:noWrap/>
            <w:vAlign w:val="center"/>
            <w:hideMark/>
          </w:tcPr>
          <w:p w14:paraId="7C6D1DCA" w14:textId="77777777" w:rsidR="00387142" w:rsidRPr="008B6A75" w:rsidRDefault="00387142" w:rsidP="00387142">
            <w:pPr>
              <w:jc w:val="center"/>
              <w:rPr>
                <w:bCs/>
                <w:sz w:val="20"/>
                <w:szCs w:val="20"/>
              </w:rPr>
            </w:pPr>
            <w:r w:rsidRPr="008B6A75">
              <w:rPr>
                <w:bCs/>
                <w:sz w:val="20"/>
                <w:szCs w:val="20"/>
              </w:rPr>
              <w:t>02</w:t>
            </w:r>
          </w:p>
        </w:tc>
        <w:tc>
          <w:tcPr>
            <w:tcW w:w="1411" w:type="dxa"/>
            <w:tcBorders>
              <w:top w:val="nil"/>
              <w:left w:val="single" w:sz="4" w:space="0" w:color="auto"/>
              <w:bottom w:val="nil"/>
              <w:right w:val="nil"/>
            </w:tcBorders>
            <w:shd w:val="clear" w:color="auto" w:fill="auto"/>
            <w:noWrap/>
            <w:vAlign w:val="center"/>
            <w:hideMark/>
          </w:tcPr>
          <w:p w14:paraId="011CDA6E" w14:textId="77777777" w:rsidR="00387142" w:rsidRPr="008B6A75" w:rsidRDefault="00387142" w:rsidP="00387142">
            <w:pPr>
              <w:jc w:val="center"/>
              <w:rPr>
                <w:bCs/>
                <w:sz w:val="20"/>
                <w:szCs w:val="20"/>
              </w:rPr>
            </w:pPr>
            <w:r w:rsidRPr="008B6A75">
              <w:rPr>
                <w:bCs/>
                <w:sz w:val="20"/>
                <w:szCs w:val="20"/>
              </w:rPr>
              <w:t>11.0.00.70750</w:t>
            </w:r>
          </w:p>
        </w:tc>
        <w:tc>
          <w:tcPr>
            <w:tcW w:w="955" w:type="dxa"/>
            <w:tcBorders>
              <w:top w:val="nil"/>
              <w:left w:val="single" w:sz="4" w:space="0" w:color="auto"/>
              <w:bottom w:val="nil"/>
              <w:right w:val="single" w:sz="4" w:space="0" w:color="auto"/>
            </w:tcBorders>
            <w:shd w:val="clear" w:color="auto" w:fill="auto"/>
            <w:noWrap/>
            <w:vAlign w:val="center"/>
            <w:hideMark/>
          </w:tcPr>
          <w:p w14:paraId="4AF44DCE"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nil"/>
              <w:right w:val="single" w:sz="4" w:space="0" w:color="auto"/>
            </w:tcBorders>
            <w:shd w:val="clear" w:color="auto" w:fill="auto"/>
            <w:noWrap/>
            <w:vAlign w:val="center"/>
            <w:hideMark/>
          </w:tcPr>
          <w:p w14:paraId="1959B93F" w14:textId="77777777" w:rsidR="00387142" w:rsidRPr="008B6A75" w:rsidRDefault="00387142" w:rsidP="00387142">
            <w:pPr>
              <w:jc w:val="right"/>
              <w:rPr>
                <w:bCs/>
                <w:sz w:val="20"/>
                <w:szCs w:val="20"/>
              </w:rPr>
            </w:pPr>
            <w:r w:rsidRPr="008B6A75">
              <w:rPr>
                <w:bCs/>
                <w:sz w:val="20"/>
                <w:szCs w:val="20"/>
              </w:rPr>
              <w:t>50 599 900,00</w:t>
            </w:r>
          </w:p>
        </w:tc>
        <w:tc>
          <w:tcPr>
            <w:tcW w:w="992" w:type="dxa"/>
            <w:gridSpan w:val="2"/>
            <w:tcBorders>
              <w:top w:val="nil"/>
              <w:left w:val="single" w:sz="4" w:space="0" w:color="auto"/>
              <w:bottom w:val="nil"/>
              <w:right w:val="nil"/>
            </w:tcBorders>
            <w:shd w:val="clear" w:color="auto" w:fill="auto"/>
            <w:noWrap/>
            <w:vAlign w:val="center"/>
            <w:hideMark/>
          </w:tcPr>
          <w:p w14:paraId="222469EC" w14:textId="77777777" w:rsidR="00387142" w:rsidRPr="008B6A75" w:rsidRDefault="00387142" w:rsidP="00387142">
            <w:pPr>
              <w:jc w:val="right"/>
              <w:rPr>
                <w:bCs/>
                <w:sz w:val="20"/>
                <w:szCs w:val="20"/>
              </w:rPr>
            </w:pPr>
            <w:r w:rsidRPr="008B6A75">
              <w:rPr>
                <w:bCs/>
                <w:sz w:val="20"/>
                <w:szCs w:val="20"/>
              </w:rPr>
              <w:t>0,00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6A0059E0" w14:textId="77777777" w:rsidR="00387142" w:rsidRPr="008B6A75" w:rsidRDefault="00387142" w:rsidP="00387142">
            <w:pPr>
              <w:jc w:val="right"/>
              <w:rPr>
                <w:bCs/>
                <w:sz w:val="20"/>
                <w:szCs w:val="20"/>
              </w:rPr>
            </w:pPr>
            <w:r w:rsidRPr="008B6A75">
              <w:rPr>
                <w:bCs/>
                <w:sz w:val="20"/>
                <w:szCs w:val="20"/>
              </w:rPr>
              <w:t>0,00</w:t>
            </w:r>
          </w:p>
        </w:tc>
        <w:tc>
          <w:tcPr>
            <w:tcW w:w="222" w:type="dxa"/>
            <w:vAlign w:val="center"/>
            <w:hideMark/>
          </w:tcPr>
          <w:p w14:paraId="2A84C9BB" w14:textId="77777777" w:rsidR="00387142" w:rsidRPr="008B6A75" w:rsidRDefault="00387142" w:rsidP="00387142">
            <w:pPr>
              <w:rPr>
                <w:sz w:val="20"/>
                <w:szCs w:val="20"/>
              </w:rPr>
            </w:pPr>
          </w:p>
        </w:tc>
      </w:tr>
      <w:tr w:rsidR="00387142" w:rsidRPr="008B6A75" w14:paraId="241A78E1" w14:textId="77777777" w:rsidTr="00387142">
        <w:trPr>
          <w:trHeight w:val="300"/>
        </w:trPr>
        <w:tc>
          <w:tcPr>
            <w:tcW w:w="3021" w:type="dxa"/>
            <w:tcBorders>
              <w:top w:val="single" w:sz="4" w:space="0" w:color="auto"/>
              <w:left w:val="single" w:sz="4" w:space="0" w:color="auto"/>
              <w:bottom w:val="nil"/>
              <w:right w:val="nil"/>
            </w:tcBorders>
            <w:shd w:val="clear" w:color="auto" w:fill="auto"/>
            <w:vAlign w:val="center"/>
            <w:hideMark/>
          </w:tcPr>
          <w:p w14:paraId="6AEF9B2B" w14:textId="77777777" w:rsidR="00387142" w:rsidRPr="008B6A75" w:rsidRDefault="00387142" w:rsidP="00387142">
            <w:pPr>
              <w:rPr>
                <w:sz w:val="20"/>
                <w:szCs w:val="20"/>
              </w:rPr>
            </w:pPr>
            <w:r w:rsidRPr="008B6A75">
              <w:rPr>
                <w:sz w:val="20"/>
                <w:szCs w:val="20"/>
              </w:rPr>
              <w:t>Межбюджетные трансферты</w:t>
            </w:r>
          </w:p>
        </w:tc>
        <w:tc>
          <w:tcPr>
            <w:tcW w:w="850" w:type="dxa"/>
            <w:tcBorders>
              <w:top w:val="single" w:sz="4" w:space="0" w:color="auto"/>
              <w:left w:val="single" w:sz="4" w:space="0" w:color="auto"/>
              <w:bottom w:val="nil"/>
              <w:right w:val="nil"/>
            </w:tcBorders>
            <w:shd w:val="clear" w:color="auto" w:fill="auto"/>
            <w:noWrap/>
            <w:vAlign w:val="center"/>
            <w:hideMark/>
          </w:tcPr>
          <w:p w14:paraId="0520BE6E" w14:textId="77777777" w:rsidR="00387142" w:rsidRPr="008B6A75" w:rsidRDefault="00387142" w:rsidP="00387142">
            <w:pPr>
              <w:jc w:val="center"/>
              <w:rPr>
                <w:sz w:val="20"/>
                <w:szCs w:val="20"/>
              </w:rPr>
            </w:pPr>
            <w:r w:rsidRPr="008B6A75">
              <w:rPr>
                <w:sz w:val="20"/>
                <w:szCs w:val="20"/>
              </w:rPr>
              <w:t>444</w:t>
            </w:r>
          </w:p>
        </w:tc>
        <w:tc>
          <w:tcPr>
            <w:tcW w:w="709" w:type="dxa"/>
            <w:tcBorders>
              <w:top w:val="single" w:sz="4" w:space="0" w:color="auto"/>
              <w:left w:val="single" w:sz="4" w:space="0" w:color="auto"/>
              <w:bottom w:val="nil"/>
              <w:right w:val="nil"/>
            </w:tcBorders>
            <w:shd w:val="clear" w:color="auto" w:fill="auto"/>
            <w:noWrap/>
            <w:vAlign w:val="center"/>
            <w:hideMark/>
          </w:tcPr>
          <w:p w14:paraId="54363489" w14:textId="77777777" w:rsidR="00387142" w:rsidRPr="008B6A75" w:rsidRDefault="00387142" w:rsidP="00387142">
            <w:pPr>
              <w:jc w:val="center"/>
              <w:rPr>
                <w:sz w:val="20"/>
                <w:szCs w:val="20"/>
              </w:rPr>
            </w:pPr>
            <w:r w:rsidRPr="008B6A75">
              <w:rPr>
                <w:sz w:val="20"/>
                <w:szCs w:val="20"/>
              </w:rPr>
              <w:t>11</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3E8A5CE9" w14:textId="77777777" w:rsidR="00387142" w:rsidRPr="008B6A75" w:rsidRDefault="00387142" w:rsidP="00387142">
            <w:pPr>
              <w:jc w:val="center"/>
              <w:rPr>
                <w:sz w:val="20"/>
                <w:szCs w:val="20"/>
              </w:rPr>
            </w:pPr>
            <w:r w:rsidRPr="008B6A75">
              <w:rPr>
                <w:sz w:val="20"/>
                <w:szCs w:val="20"/>
              </w:rPr>
              <w:t>02</w:t>
            </w:r>
          </w:p>
        </w:tc>
        <w:tc>
          <w:tcPr>
            <w:tcW w:w="1411" w:type="dxa"/>
            <w:tcBorders>
              <w:top w:val="single" w:sz="4" w:space="0" w:color="auto"/>
              <w:left w:val="single" w:sz="4" w:space="0" w:color="auto"/>
              <w:bottom w:val="nil"/>
              <w:right w:val="nil"/>
            </w:tcBorders>
            <w:shd w:val="clear" w:color="auto" w:fill="auto"/>
            <w:noWrap/>
            <w:vAlign w:val="center"/>
            <w:hideMark/>
          </w:tcPr>
          <w:p w14:paraId="5D1B3B1F" w14:textId="77777777" w:rsidR="00387142" w:rsidRPr="008B6A75" w:rsidRDefault="00387142" w:rsidP="00387142">
            <w:pPr>
              <w:jc w:val="center"/>
              <w:rPr>
                <w:sz w:val="20"/>
                <w:szCs w:val="20"/>
              </w:rPr>
            </w:pPr>
            <w:r w:rsidRPr="008B6A75">
              <w:rPr>
                <w:sz w:val="20"/>
                <w:szCs w:val="20"/>
              </w:rPr>
              <w:t>11.0.00.70750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78B8045A" w14:textId="77777777" w:rsidR="00387142" w:rsidRPr="008B6A75" w:rsidRDefault="00387142" w:rsidP="00387142">
            <w:pPr>
              <w:jc w:val="center"/>
              <w:rPr>
                <w:sz w:val="20"/>
                <w:szCs w:val="20"/>
              </w:rPr>
            </w:pPr>
            <w:r w:rsidRPr="008B6A75">
              <w:rPr>
                <w:sz w:val="20"/>
                <w:szCs w:val="20"/>
              </w:rPr>
              <w:t>500</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468BE6B5" w14:textId="77777777" w:rsidR="00387142" w:rsidRPr="008B6A75" w:rsidRDefault="00387142" w:rsidP="00387142">
            <w:pPr>
              <w:jc w:val="right"/>
              <w:rPr>
                <w:sz w:val="20"/>
                <w:szCs w:val="20"/>
              </w:rPr>
            </w:pPr>
            <w:r w:rsidRPr="008B6A75">
              <w:rPr>
                <w:sz w:val="20"/>
                <w:szCs w:val="20"/>
              </w:rPr>
              <w:t>50 599 900,00</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001E8AE5" w14:textId="77777777" w:rsidR="00387142" w:rsidRPr="008B6A75" w:rsidRDefault="00387142" w:rsidP="00387142">
            <w:pPr>
              <w:jc w:val="right"/>
              <w:rPr>
                <w:sz w:val="20"/>
                <w:szCs w:val="20"/>
              </w:rPr>
            </w:pPr>
            <w:r w:rsidRPr="008B6A75">
              <w:rPr>
                <w:sz w:val="20"/>
                <w:szCs w:val="20"/>
              </w:rPr>
              <w:t>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2EC31E34" w14:textId="77777777" w:rsidR="00387142" w:rsidRPr="008B6A75" w:rsidRDefault="00387142" w:rsidP="00387142">
            <w:pPr>
              <w:jc w:val="right"/>
              <w:rPr>
                <w:sz w:val="20"/>
                <w:szCs w:val="20"/>
              </w:rPr>
            </w:pPr>
            <w:r w:rsidRPr="008B6A75">
              <w:rPr>
                <w:sz w:val="20"/>
                <w:szCs w:val="20"/>
              </w:rPr>
              <w:t>0,00</w:t>
            </w:r>
          </w:p>
        </w:tc>
        <w:tc>
          <w:tcPr>
            <w:tcW w:w="222" w:type="dxa"/>
            <w:vAlign w:val="center"/>
            <w:hideMark/>
          </w:tcPr>
          <w:p w14:paraId="0E6A6E69" w14:textId="77777777" w:rsidR="00387142" w:rsidRPr="008B6A75" w:rsidRDefault="00387142" w:rsidP="00387142">
            <w:pPr>
              <w:rPr>
                <w:sz w:val="20"/>
                <w:szCs w:val="20"/>
              </w:rPr>
            </w:pPr>
          </w:p>
        </w:tc>
      </w:tr>
      <w:tr w:rsidR="00387142" w:rsidRPr="008B6A75" w14:paraId="437C22D1" w14:textId="77777777" w:rsidTr="00387142">
        <w:trPr>
          <w:trHeight w:val="300"/>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269C1533" w14:textId="77777777" w:rsidR="00387142" w:rsidRPr="008B6A75" w:rsidRDefault="00387142" w:rsidP="00387142">
            <w:pPr>
              <w:rPr>
                <w:sz w:val="20"/>
                <w:szCs w:val="20"/>
              </w:rPr>
            </w:pPr>
            <w:r w:rsidRPr="008B6A75">
              <w:rPr>
                <w:sz w:val="20"/>
                <w:szCs w:val="20"/>
              </w:rPr>
              <w:t>Субсидии</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4CE6079D" w14:textId="77777777" w:rsidR="00387142" w:rsidRPr="008B6A75" w:rsidRDefault="00387142" w:rsidP="00387142">
            <w:pPr>
              <w:jc w:val="center"/>
              <w:rPr>
                <w:sz w:val="20"/>
                <w:szCs w:val="20"/>
              </w:rPr>
            </w:pPr>
            <w:r w:rsidRPr="008B6A75">
              <w:rPr>
                <w:sz w:val="20"/>
                <w:szCs w:val="20"/>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2FBEF3D1" w14:textId="77777777" w:rsidR="00387142" w:rsidRPr="008B6A75" w:rsidRDefault="00387142" w:rsidP="00387142">
            <w:pPr>
              <w:jc w:val="center"/>
              <w:rPr>
                <w:sz w:val="20"/>
                <w:szCs w:val="20"/>
              </w:rPr>
            </w:pPr>
            <w:r w:rsidRPr="008B6A75">
              <w:rPr>
                <w:sz w:val="20"/>
                <w:szCs w:val="20"/>
              </w:rPr>
              <w:t>11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9C7457" w14:textId="77777777" w:rsidR="00387142" w:rsidRPr="008B6A75" w:rsidRDefault="00387142" w:rsidP="00387142">
            <w:pPr>
              <w:jc w:val="center"/>
              <w:rPr>
                <w:sz w:val="20"/>
                <w:szCs w:val="20"/>
              </w:rPr>
            </w:pPr>
            <w:r w:rsidRPr="008B6A75">
              <w:rPr>
                <w:sz w:val="20"/>
                <w:szCs w:val="20"/>
              </w:rPr>
              <w:t>02</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4C27F829" w14:textId="77777777" w:rsidR="00387142" w:rsidRPr="008B6A75" w:rsidRDefault="00387142" w:rsidP="00387142">
            <w:pPr>
              <w:jc w:val="center"/>
              <w:rPr>
                <w:sz w:val="20"/>
                <w:szCs w:val="20"/>
              </w:rPr>
            </w:pPr>
            <w:r w:rsidRPr="008B6A75">
              <w:rPr>
                <w:sz w:val="20"/>
                <w:szCs w:val="20"/>
              </w:rPr>
              <w:t>11.0.00.70750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680C78" w14:textId="77777777" w:rsidR="00387142" w:rsidRPr="008B6A75" w:rsidRDefault="00387142" w:rsidP="00387142">
            <w:pPr>
              <w:jc w:val="center"/>
              <w:rPr>
                <w:sz w:val="20"/>
                <w:szCs w:val="20"/>
              </w:rPr>
            </w:pPr>
            <w:r w:rsidRPr="008B6A75">
              <w:rPr>
                <w:sz w:val="20"/>
                <w:szCs w:val="20"/>
              </w:rPr>
              <w:t>520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B32DB0" w14:textId="77777777" w:rsidR="00387142" w:rsidRPr="008B6A75" w:rsidRDefault="00387142" w:rsidP="00387142">
            <w:pPr>
              <w:jc w:val="right"/>
              <w:rPr>
                <w:sz w:val="20"/>
                <w:szCs w:val="20"/>
              </w:rPr>
            </w:pPr>
            <w:r w:rsidRPr="008B6A75">
              <w:rPr>
                <w:sz w:val="20"/>
                <w:szCs w:val="20"/>
              </w:rPr>
              <w:t>50 599 900,00</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72EC8776" w14:textId="77777777" w:rsidR="00387142" w:rsidRPr="008B6A75" w:rsidRDefault="00387142" w:rsidP="00387142">
            <w:pPr>
              <w:jc w:val="right"/>
              <w:rPr>
                <w:sz w:val="20"/>
                <w:szCs w:val="20"/>
              </w:rPr>
            </w:pPr>
            <w:r w:rsidRPr="008B6A75">
              <w:rPr>
                <w:sz w:val="20"/>
                <w:szCs w:val="20"/>
              </w:rPr>
              <w:t>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15A17D" w14:textId="77777777" w:rsidR="00387142" w:rsidRPr="008B6A75" w:rsidRDefault="00387142" w:rsidP="00387142">
            <w:pPr>
              <w:jc w:val="right"/>
              <w:rPr>
                <w:sz w:val="20"/>
                <w:szCs w:val="20"/>
              </w:rPr>
            </w:pPr>
            <w:r w:rsidRPr="008B6A75">
              <w:rPr>
                <w:sz w:val="20"/>
                <w:szCs w:val="20"/>
              </w:rPr>
              <w:t>0,00</w:t>
            </w:r>
          </w:p>
        </w:tc>
        <w:tc>
          <w:tcPr>
            <w:tcW w:w="222" w:type="dxa"/>
            <w:vAlign w:val="center"/>
            <w:hideMark/>
          </w:tcPr>
          <w:p w14:paraId="13E140B5" w14:textId="77777777" w:rsidR="00387142" w:rsidRPr="008B6A75" w:rsidRDefault="00387142" w:rsidP="00387142">
            <w:pPr>
              <w:rPr>
                <w:sz w:val="20"/>
                <w:szCs w:val="20"/>
              </w:rPr>
            </w:pPr>
          </w:p>
        </w:tc>
      </w:tr>
      <w:tr w:rsidR="00387142" w:rsidRPr="008B6A75" w14:paraId="09AF5DE0" w14:textId="77777777" w:rsidTr="00387142">
        <w:trPr>
          <w:trHeight w:val="300"/>
        </w:trPr>
        <w:tc>
          <w:tcPr>
            <w:tcW w:w="3021" w:type="dxa"/>
            <w:tcBorders>
              <w:top w:val="nil"/>
              <w:left w:val="single" w:sz="4" w:space="0" w:color="auto"/>
              <w:bottom w:val="nil"/>
              <w:right w:val="nil"/>
            </w:tcBorders>
            <w:shd w:val="clear" w:color="auto" w:fill="auto"/>
            <w:vAlign w:val="center"/>
            <w:hideMark/>
          </w:tcPr>
          <w:p w14:paraId="0C507536" w14:textId="77777777" w:rsidR="00387142" w:rsidRPr="008B6A75" w:rsidRDefault="00387142" w:rsidP="00387142">
            <w:pPr>
              <w:rPr>
                <w:bCs/>
                <w:sz w:val="20"/>
                <w:szCs w:val="20"/>
              </w:rPr>
            </w:pPr>
            <w:r w:rsidRPr="008B6A75">
              <w:rPr>
                <w:bCs/>
                <w:sz w:val="20"/>
                <w:szCs w:val="20"/>
              </w:rPr>
              <w:t>Региональный проект "Спорт - норма жизни"</w:t>
            </w:r>
          </w:p>
        </w:tc>
        <w:tc>
          <w:tcPr>
            <w:tcW w:w="850" w:type="dxa"/>
            <w:tcBorders>
              <w:top w:val="nil"/>
              <w:left w:val="single" w:sz="4" w:space="0" w:color="auto"/>
              <w:bottom w:val="nil"/>
              <w:right w:val="nil"/>
            </w:tcBorders>
            <w:shd w:val="clear" w:color="auto" w:fill="auto"/>
            <w:noWrap/>
            <w:vAlign w:val="center"/>
            <w:hideMark/>
          </w:tcPr>
          <w:p w14:paraId="05AD3E76" w14:textId="77777777" w:rsidR="00387142" w:rsidRPr="008B6A75" w:rsidRDefault="00387142" w:rsidP="00387142">
            <w:pPr>
              <w:jc w:val="center"/>
              <w:rPr>
                <w:bCs/>
                <w:sz w:val="20"/>
                <w:szCs w:val="20"/>
              </w:rPr>
            </w:pPr>
            <w:r w:rsidRPr="008B6A75">
              <w:rPr>
                <w:bCs/>
                <w:sz w:val="20"/>
                <w:szCs w:val="20"/>
              </w:rPr>
              <w:t>444</w:t>
            </w:r>
          </w:p>
        </w:tc>
        <w:tc>
          <w:tcPr>
            <w:tcW w:w="709" w:type="dxa"/>
            <w:tcBorders>
              <w:top w:val="nil"/>
              <w:left w:val="single" w:sz="4" w:space="0" w:color="auto"/>
              <w:bottom w:val="nil"/>
              <w:right w:val="nil"/>
            </w:tcBorders>
            <w:shd w:val="clear" w:color="auto" w:fill="auto"/>
            <w:noWrap/>
            <w:vAlign w:val="center"/>
            <w:hideMark/>
          </w:tcPr>
          <w:p w14:paraId="6241DDED" w14:textId="77777777" w:rsidR="00387142" w:rsidRPr="008B6A75" w:rsidRDefault="00387142" w:rsidP="00387142">
            <w:pPr>
              <w:jc w:val="center"/>
              <w:rPr>
                <w:bCs/>
                <w:sz w:val="20"/>
                <w:szCs w:val="20"/>
              </w:rPr>
            </w:pPr>
            <w:r w:rsidRPr="008B6A75">
              <w:rPr>
                <w:bCs/>
                <w:sz w:val="20"/>
                <w:szCs w:val="20"/>
              </w:rPr>
              <w:t>11</w:t>
            </w:r>
          </w:p>
        </w:tc>
        <w:tc>
          <w:tcPr>
            <w:tcW w:w="709" w:type="dxa"/>
            <w:tcBorders>
              <w:top w:val="nil"/>
              <w:left w:val="single" w:sz="4" w:space="0" w:color="auto"/>
              <w:bottom w:val="nil"/>
              <w:right w:val="single" w:sz="4" w:space="0" w:color="auto"/>
            </w:tcBorders>
            <w:shd w:val="clear" w:color="auto" w:fill="auto"/>
            <w:noWrap/>
            <w:vAlign w:val="center"/>
            <w:hideMark/>
          </w:tcPr>
          <w:p w14:paraId="13EBBB9F" w14:textId="77777777" w:rsidR="00387142" w:rsidRPr="008B6A75" w:rsidRDefault="00387142" w:rsidP="00387142">
            <w:pPr>
              <w:jc w:val="center"/>
              <w:rPr>
                <w:bCs/>
                <w:sz w:val="20"/>
                <w:szCs w:val="20"/>
              </w:rPr>
            </w:pPr>
            <w:r w:rsidRPr="008B6A75">
              <w:rPr>
                <w:bCs/>
                <w:sz w:val="20"/>
                <w:szCs w:val="20"/>
              </w:rPr>
              <w:t>02</w:t>
            </w:r>
          </w:p>
        </w:tc>
        <w:tc>
          <w:tcPr>
            <w:tcW w:w="1411" w:type="dxa"/>
            <w:tcBorders>
              <w:top w:val="nil"/>
              <w:left w:val="single" w:sz="4" w:space="0" w:color="auto"/>
              <w:bottom w:val="nil"/>
              <w:right w:val="nil"/>
            </w:tcBorders>
            <w:shd w:val="clear" w:color="auto" w:fill="auto"/>
            <w:noWrap/>
            <w:vAlign w:val="center"/>
            <w:hideMark/>
          </w:tcPr>
          <w:p w14:paraId="5589732A" w14:textId="77777777" w:rsidR="00387142" w:rsidRPr="008B6A75" w:rsidRDefault="00387142" w:rsidP="00387142">
            <w:pPr>
              <w:jc w:val="center"/>
              <w:rPr>
                <w:bCs/>
                <w:sz w:val="20"/>
                <w:szCs w:val="20"/>
              </w:rPr>
            </w:pPr>
            <w:r w:rsidRPr="008B6A75">
              <w:rPr>
                <w:bCs/>
                <w:sz w:val="20"/>
                <w:szCs w:val="20"/>
              </w:rPr>
              <w:t>11.0.P5.00000</w:t>
            </w:r>
          </w:p>
        </w:tc>
        <w:tc>
          <w:tcPr>
            <w:tcW w:w="955" w:type="dxa"/>
            <w:tcBorders>
              <w:top w:val="nil"/>
              <w:left w:val="single" w:sz="4" w:space="0" w:color="auto"/>
              <w:bottom w:val="nil"/>
              <w:right w:val="single" w:sz="4" w:space="0" w:color="auto"/>
            </w:tcBorders>
            <w:shd w:val="clear" w:color="auto" w:fill="auto"/>
            <w:noWrap/>
            <w:vAlign w:val="center"/>
            <w:hideMark/>
          </w:tcPr>
          <w:p w14:paraId="1513F923"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nil"/>
              <w:right w:val="single" w:sz="4" w:space="0" w:color="auto"/>
            </w:tcBorders>
            <w:shd w:val="clear" w:color="auto" w:fill="auto"/>
            <w:noWrap/>
            <w:vAlign w:val="center"/>
            <w:hideMark/>
          </w:tcPr>
          <w:p w14:paraId="3A497640" w14:textId="77777777" w:rsidR="00387142" w:rsidRPr="008B6A75" w:rsidRDefault="00387142" w:rsidP="00387142">
            <w:pPr>
              <w:jc w:val="right"/>
              <w:rPr>
                <w:bCs/>
                <w:sz w:val="20"/>
                <w:szCs w:val="20"/>
              </w:rPr>
            </w:pPr>
            <w:r w:rsidRPr="008B6A75">
              <w:rPr>
                <w:bCs/>
                <w:sz w:val="20"/>
                <w:szCs w:val="20"/>
              </w:rPr>
              <w:t>2 041 027,00</w:t>
            </w:r>
          </w:p>
        </w:tc>
        <w:tc>
          <w:tcPr>
            <w:tcW w:w="992" w:type="dxa"/>
            <w:gridSpan w:val="2"/>
            <w:tcBorders>
              <w:top w:val="nil"/>
              <w:left w:val="single" w:sz="4" w:space="0" w:color="auto"/>
              <w:bottom w:val="nil"/>
              <w:right w:val="nil"/>
            </w:tcBorders>
            <w:shd w:val="clear" w:color="auto" w:fill="auto"/>
            <w:noWrap/>
            <w:vAlign w:val="center"/>
            <w:hideMark/>
          </w:tcPr>
          <w:p w14:paraId="2F4A5A7B" w14:textId="77777777" w:rsidR="00387142" w:rsidRPr="008B6A75" w:rsidRDefault="00387142" w:rsidP="00387142">
            <w:pPr>
              <w:jc w:val="right"/>
              <w:rPr>
                <w:bCs/>
                <w:sz w:val="20"/>
                <w:szCs w:val="20"/>
              </w:rPr>
            </w:pPr>
            <w:r w:rsidRPr="008B6A75">
              <w:rPr>
                <w:bCs/>
                <w:sz w:val="20"/>
                <w:szCs w:val="20"/>
              </w:rPr>
              <w:t>0,00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527DE35E" w14:textId="77777777" w:rsidR="00387142" w:rsidRPr="008B6A75" w:rsidRDefault="00387142" w:rsidP="00387142">
            <w:pPr>
              <w:jc w:val="right"/>
              <w:rPr>
                <w:bCs/>
                <w:sz w:val="20"/>
                <w:szCs w:val="20"/>
              </w:rPr>
            </w:pPr>
            <w:r w:rsidRPr="008B6A75">
              <w:rPr>
                <w:bCs/>
                <w:sz w:val="20"/>
                <w:szCs w:val="20"/>
              </w:rPr>
              <w:t>0,00</w:t>
            </w:r>
          </w:p>
        </w:tc>
        <w:tc>
          <w:tcPr>
            <w:tcW w:w="222" w:type="dxa"/>
            <w:vAlign w:val="center"/>
            <w:hideMark/>
          </w:tcPr>
          <w:p w14:paraId="42888050" w14:textId="77777777" w:rsidR="00387142" w:rsidRPr="008B6A75" w:rsidRDefault="00387142" w:rsidP="00387142">
            <w:pPr>
              <w:rPr>
                <w:sz w:val="20"/>
                <w:szCs w:val="20"/>
              </w:rPr>
            </w:pPr>
          </w:p>
        </w:tc>
      </w:tr>
      <w:tr w:rsidR="00387142" w:rsidRPr="008B6A75" w14:paraId="5DA26EE9" w14:textId="77777777" w:rsidTr="00387142">
        <w:trPr>
          <w:trHeight w:val="1440"/>
        </w:trPr>
        <w:tc>
          <w:tcPr>
            <w:tcW w:w="3021" w:type="dxa"/>
            <w:tcBorders>
              <w:top w:val="single" w:sz="4" w:space="0" w:color="auto"/>
              <w:left w:val="single" w:sz="4" w:space="0" w:color="auto"/>
              <w:bottom w:val="nil"/>
              <w:right w:val="nil"/>
            </w:tcBorders>
            <w:shd w:val="clear" w:color="auto" w:fill="auto"/>
            <w:vAlign w:val="center"/>
            <w:hideMark/>
          </w:tcPr>
          <w:p w14:paraId="27B10190" w14:textId="77777777" w:rsidR="00387142" w:rsidRPr="008B6A75" w:rsidRDefault="00387142" w:rsidP="00387142">
            <w:pPr>
              <w:rPr>
                <w:bCs/>
                <w:sz w:val="20"/>
                <w:szCs w:val="20"/>
              </w:rPr>
            </w:pPr>
            <w:r w:rsidRPr="008B6A75">
              <w:rPr>
                <w:bCs/>
                <w:sz w:val="20"/>
                <w:szCs w:val="20"/>
              </w:rPr>
              <w:t>Подготовка и проведение физкультурных и комплексных физкультурных мероприятий государственной программы Новосибирской области "Развитие физической культуры и спорта в Новосибирской области"</w:t>
            </w:r>
          </w:p>
        </w:tc>
        <w:tc>
          <w:tcPr>
            <w:tcW w:w="850" w:type="dxa"/>
            <w:tcBorders>
              <w:top w:val="single" w:sz="4" w:space="0" w:color="auto"/>
              <w:left w:val="single" w:sz="4" w:space="0" w:color="auto"/>
              <w:bottom w:val="nil"/>
              <w:right w:val="nil"/>
            </w:tcBorders>
            <w:shd w:val="clear" w:color="auto" w:fill="auto"/>
            <w:noWrap/>
            <w:vAlign w:val="center"/>
            <w:hideMark/>
          </w:tcPr>
          <w:p w14:paraId="4C95CB13" w14:textId="77777777" w:rsidR="00387142" w:rsidRPr="008B6A75" w:rsidRDefault="00387142" w:rsidP="00387142">
            <w:pPr>
              <w:jc w:val="center"/>
              <w:rPr>
                <w:bCs/>
                <w:sz w:val="20"/>
                <w:szCs w:val="20"/>
              </w:rPr>
            </w:pPr>
            <w:r w:rsidRPr="008B6A75">
              <w:rPr>
                <w:bCs/>
                <w:sz w:val="20"/>
                <w:szCs w:val="20"/>
              </w:rPr>
              <w:t>444</w:t>
            </w:r>
          </w:p>
        </w:tc>
        <w:tc>
          <w:tcPr>
            <w:tcW w:w="709" w:type="dxa"/>
            <w:tcBorders>
              <w:top w:val="single" w:sz="4" w:space="0" w:color="auto"/>
              <w:left w:val="single" w:sz="4" w:space="0" w:color="auto"/>
              <w:bottom w:val="nil"/>
              <w:right w:val="nil"/>
            </w:tcBorders>
            <w:shd w:val="clear" w:color="auto" w:fill="auto"/>
            <w:noWrap/>
            <w:vAlign w:val="center"/>
            <w:hideMark/>
          </w:tcPr>
          <w:p w14:paraId="299C88F9" w14:textId="77777777" w:rsidR="00387142" w:rsidRPr="008B6A75" w:rsidRDefault="00387142" w:rsidP="00387142">
            <w:pPr>
              <w:jc w:val="center"/>
              <w:rPr>
                <w:bCs/>
                <w:sz w:val="20"/>
                <w:szCs w:val="20"/>
              </w:rPr>
            </w:pPr>
            <w:r w:rsidRPr="008B6A75">
              <w:rPr>
                <w:bCs/>
                <w:sz w:val="20"/>
                <w:szCs w:val="20"/>
              </w:rPr>
              <w:t>11</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753F6F9A" w14:textId="77777777" w:rsidR="00387142" w:rsidRPr="008B6A75" w:rsidRDefault="00387142" w:rsidP="00387142">
            <w:pPr>
              <w:jc w:val="center"/>
              <w:rPr>
                <w:bCs/>
                <w:sz w:val="20"/>
                <w:szCs w:val="20"/>
              </w:rPr>
            </w:pPr>
            <w:r w:rsidRPr="008B6A75">
              <w:rPr>
                <w:bCs/>
                <w:sz w:val="20"/>
                <w:szCs w:val="20"/>
              </w:rPr>
              <w:t>02</w:t>
            </w:r>
          </w:p>
        </w:tc>
        <w:tc>
          <w:tcPr>
            <w:tcW w:w="1411" w:type="dxa"/>
            <w:tcBorders>
              <w:top w:val="single" w:sz="4" w:space="0" w:color="auto"/>
              <w:left w:val="single" w:sz="4" w:space="0" w:color="auto"/>
              <w:bottom w:val="nil"/>
              <w:right w:val="nil"/>
            </w:tcBorders>
            <w:shd w:val="clear" w:color="auto" w:fill="auto"/>
            <w:noWrap/>
            <w:vAlign w:val="center"/>
            <w:hideMark/>
          </w:tcPr>
          <w:p w14:paraId="1DA95B29" w14:textId="77777777" w:rsidR="00387142" w:rsidRPr="008B6A75" w:rsidRDefault="00387142" w:rsidP="00387142">
            <w:pPr>
              <w:jc w:val="center"/>
              <w:rPr>
                <w:bCs/>
                <w:sz w:val="20"/>
                <w:szCs w:val="20"/>
              </w:rPr>
            </w:pPr>
            <w:r w:rsidRPr="008B6A75">
              <w:rPr>
                <w:bCs/>
                <w:sz w:val="20"/>
                <w:szCs w:val="20"/>
              </w:rPr>
              <w:t>11.0.P5.70270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051B033F" w14:textId="77777777" w:rsidR="00387142" w:rsidRPr="008B6A75" w:rsidRDefault="00387142" w:rsidP="00387142">
            <w:pPr>
              <w:jc w:val="center"/>
              <w:rPr>
                <w:bCs/>
                <w:sz w:val="20"/>
                <w:szCs w:val="20"/>
              </w:rPr>
            </w:pPr>
            <w:r w:rsidRPr="008B6A75">
              <w:rPr>
                <w:bCs/>
                <w:sz w:val="20"/>
                <w:szCs w:val="20"/>
              </w:rPr>
              <w:t> </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78584912" w14:textId="77777777" w:rsidR="00387142" w:rsidRPr="008B6A75" w:rsidRDefault="00387142" w:rsidP="00387142">
            <w:pPr>
              <w:jc w:val="right"/>
              <w:rPr>
                <w:bCs/>
                <w:sz w:val="20"/>
                <w:szCs w:val="20"/>
              </w:rPr>
            </w:pPr>
            <w:r w:rsidRPr="008B6A75">
              <w:rPr>
                <w:bCs/>
                <w:sz w:val="20"/>
                <w:szCs w:val="20"/>
              </w:rPr>
              <w:t>2 041 027,00</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6DF838CA" w14:textId="77777777" w:rsidR="00387142" w:rsidRPr="008B6A75" w:rsidRDefault="00387142" w:rsidP="00387142">
            <w:pPr>
              <w:jc w:val="right"/>
              <w:rPr>
                <w:bCs/>
                <w:sz w:val="20"/>
                <w:szCs w:val="20"/>
              </w:rPr>
            </w:pPr>
            <w:r w:rsidRPr="008B6A75">
              <w:rPr>
                <w:bCs/>
                <w:sz w:val="20"/>
                <w:szCs w:val="20"/>
              </w:rPr>
              <w:t>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66A783F5" w14:textId="77777777" w:rsidR="00387142" w:rsidRPr="008B6A75" w:rsidRDefault="00387142" w:rsidP="00387142">
            <w:pPr>
              <w:jc w:val="right"/>
              <w:rPr>
                <w:bCs/>
                <w:sz w:val="20"/>
                <w:szCs w:val="20"/>
              </w:rPr>
            </w:pPr>
            <w:r w:rsidRPr="008B6A75">
              <w:rPr>
                <w:bCs/>
                <w:sz w:val="20"/>
                <w:szCs w:val="20"/>
              </w:rPr>
              <w:t>0,00</w:t>
            </w:r>
          </w:p>
        </w:tc>
        <w:tc>
          <w:tcPr>
            <w:tcW w:w="222" w:type="dxa"/>
            <w:vAlign w:val="center"/>
            <w:hideMark/>
          </w:tcPr>
          <w:p w14:paraId="437E4178" w14:textId="77777777" w:rsidR="00387142" w:rsidRPr="008B6A75" w:rsidRDefault="00387142" w:rsidP="00387142">
            <w:pPr>
              <w:rPr>
                <w:sz w:val="20"/>
                <w:szCs w:val="20"/>
              </w:rPr>
            </w:pPr>
          </w:p>
        </w:tc>
      </w:tr>
      <w:tr w:rsidR="00387142" w:rsidRPr="008B6A75" w14:paraId="2DCCFC7C" w14:textId="77777777" w:rsidTr="00387142">
        <w:trPr>
          <w:trHeight w:val="870"/>
        </w:trPr>
        <w:tc>
          <w:tcPr>
            <w:tcW w:w="3021" w:type="dxa"/>
            <w:tcBorders>
              <w:top w:val="single" w:sz="4" w:space="0" w:color="auto"/>
              <w:left w:val="single" w:sz="4" w:space="0" w:color="auto"/>
              <w:bottom w:val="nil"/>
              <w:right w:val="nil"/>
            </w:tcBorders>
            <w:shd w:val="clear" w:color="auto" w:fill="auto"/>
            <w:vAlign w:val="center"/>
            <w:hideMark/>
          </w:tcPr>
          <w:p w14:paraId="3B85C413" w14:textId="77777777" w:rsidR="00387142" w:rsidRPr="008B6A75" w:rsidRDefault="00387142" w:rsidP="00387142">
            <w:pPr>
              <w:rPr>
                <w:sz w:val="20"/>
                <w:szCs w:val="20"/>
              </w:rPr>
            </w:pPr>
            <w:r w:rsidRPr="008B6A75">
              <w:rPr>
                <w:sz w:val="20"/>
                <w:szCs w:val="20"/>
              </w:rPr>
              <w:t>Предоставление субсидий бюджетным, автономным учреждениям и иным некоммерческим организациям</w:t>
            </w:r>
          </w:p>
        </w:tc>
        <w:tc>
          <w:tcPr>
            <w:tcW w:w="850" w:type="dxa"/>
            <w:tcBorders>
              <w:top w:val="single" w:sz="4" w:space="0" w:color="auto"/>
              <w:left w:val="single" w:sz="4" w:space="0" w:color="auto"/>
              <w:bottom w:val="nil"/>
              <w:right w:val="nil"/>
            </w:tcBorders>
            <w:shd w:val="clear" w:color="auto" w:fill="auto"/>
            <w:noWrap/>
            <w:vAlign w:val="center"/>
            <w:hideMark/>
          </w:tcPr>
          <w:p w14:paraId="15BFE82B" w14:textId="77777777" w:rsidR="00387142" w:rsidRPr="008B6A75" w:rsidRDefault="00387142" w:rsidP="00387142">
            <w:pPr>
              <w:jc w:val="center"/>
              <w:rPr>
                <w:sz w:val="20"/>
                <w:szCs w:val="20"/>
              </w:rPr>
            </w:pPr>
            <w:r w:rsidRPr="008B6A75">
              <w:rPr>
                <w:sz w:val="20"/>
                <w:szCs w:val="20"/>
              </w:rPr>
              <w:t>444</w:t>
            </w:r>
          </w:p>
        </w:tc>
        <w:tc>
          <w:tcPr>
            <w:tcW w:w="709" w:type="dxa"/>
            <w:tcBorders>
              <w:top w:val="single" w:sz="4" w:space="0" w:color="auto"/>
              <w:left w:val="single" w:sz="4" w:space="0" w:color="auto"/>
              <w:bottom w:val="nil"/>
              <w:right w:val="nil"/>
            </w:tcBorders>
            <w:shd w:val="clear" w:color="auto" w:fill="auto"/>
            <w:noWrap/>
            <w:vAlign w:val="center"/>
            <w:hideMark/>
          </w:tcPr>
          <w:p w14:paraId="7E3A763C" w14:textId="77777777" w:rsidR="00387142" w:rsidRPr="008B6A75" w:rsidRDefault="00387142" w:rsidP="00387142">
            <w:pPr>
              <w:jc w:val="center"/>
              <w:rPr>
                <w:sz w:val="20"/>
                <w:szCs w:val="20"/>
              </w:rPr>
            </w:pPr>
            <w:r w:rsidRPr="008B6A75">
              <w:rPr>
                <w:sz w:val="20"/>
                <w:szCs w:val="20"/>
              </w:rPr>
              <w:t>11</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23D6D9FA" w14:textId="77777777" w:rsidR="00387142" w:rsidRPr="008B6A75" w:rsidRDefault="00387142" w:rsidP="00387142">
            <w:pPr>
              <w:jc w:val="center"/>
              <w:rPr>
                <w:sz w:val="20"/>
                <w:szCs w:val="20"/>
              </w:rPr>
            </w:pPr>
            <w:r w:rsidRPr="008B6A75">
              <w:rPr>
                <w:sz w:val="20"/>
                <w:szCs w:val="20"/>
              </w:rPr>
              <w:t>02</w:t>
            </w:r>
          </w:p>
        </w:tc>
        <w:tc>
          <w:tcPr>
            <w:tcW w:w="1411" w:type="dxa"/>
            <w:tcBorders>
              <w:top w:val="single" w:sz="4" w:space="0" w:color="auto"/>
              <w:left w:val="single" w:sz="4" w:space="0" w:color="auto"/>
              <w:bottom w:val="nil"/>
              <w:right w:val="nil"/>
            </w:tcBorders>
            <w:shd w:val="clear" w:color="auto" w:fill="auto"/>
            <w:noWrap/>
            <w:vAlign w:val="center"/>
            <w:hideMark/>
          </w:tcPr>
          <w:p w14:paraId="0475212B" w14:textId="77777777" w:rsidR="00387142" w:rsidRPr="008B6A75" w:rsidRDefault="00387142" w:rsidP="00387142">
            <w:pPr>
              <w:jc w:val="center"/>
              <w:rPr>
                <w:sz w:val="20"/>
                <w:szCs w:val="20"/>
              </w:rPr>
            </w:pPr>
            <w:r w:rsidRPr="008B6A75">
              <w:rPr>
                <w:sz w:val="20"/>
                <w:szCs w:val="20"/>
              </w:rPr>
              <w:t>11.0.P5.70270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1C861DD4" w14:textId="77777777" w:rsidR="00387142" w:rsidRPr="008B6A75" w:rsidRDefault="00387142" w:rsidP="00387142">
            <w:pPr>
              <w:jc w:val="center"/>
              <w:rPr>
                <w:sz w:val="20"/>
                <w:szCs w:val="20"/>
              </w:rPr>
            </w:pPr>
            <w:r w:rsidRPr="008B6A75">
              <w:rPr>
                <w:sz w:val="20"/>
                <w:szCs w:val="20"/>
              </w:rPr>
              <w:t>600</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60331220" w14:textId="77777777" w:rsidR="00387142" w:rsidRPr="008B6A75" w:rsidRDefault="00387142" w:rsidP="00387142">
            <w:pPr>
              <w:jc w:val="right"/>
              <w:rPr>
                <w:sz w:val="20"/>
                <w:szCs w:val="20"/>
              </w:rPr>
            </w:pPr>
            <w:r w:rsidRPr="008B6A75">
              <w:rPr>
                <w:sz w:val="20"/>
                <w:szCs w:val="20"/>
              </w:rPr>
              <w:t>2 041 027,00</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224B33BD" w14:textId="77777777" w:rsidR="00387142" w:rsidRPr="008B6A75" w:rsidRDefault="00387142" w:rsidP="00387142">
            <w:pPr>
              <w:jc w:val="right"/>
              <w:rPr>
                <w:sz w:val="20"/>
                <w:szCs w:val="20"/>
              </w:rPr>
            </w:pPr>
            <w:r w:rsidRPr="008B6A75">
              <w:rPr>
                <w:sz w:val="20"/>
                <w:szCs w:val="20"/>
              </w:rPr>
              <w:t>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3A0C9288" w14:textId="77777777" w:rsidR="00387142" w:rsidRPr="008B6A75" w:rsidRDefault="00387142" w:rsidP="00387142">
            <w:pPr>
              <w:jc w:val="right"/>
              <w:rPr>
                <w:sz w:val="20"/>
                <w:szCs w:val="20"/>
              </w:rPr>
            </w:pPr>
            <w:r w:rsidRPr="008B6A75">
              <w:rPr>
                <w:sz w:val="20"/>
                <w:szCs w:val="20"/>
              </w:rPr>
              <w:t>0,00</w:t>
            </w:r>
          </w:p>
        </w:tc>
        <w:tc>
          <w:tcPr>
            <w:tcW w:w="222" w:type="dxa"/>
            <w:vAlign w:val="center"/>
            <w:hideMark/>
          </w:tcPr>
          <w:p w14:paraId="0F5E4014" w14:textId="77777777" w:rsidR="00387142" w:rsidRPr="008B6A75" w:rsidRDefault="00387142" w:rsidP="00387142">
            <w:pPr>
              <w:rPr>
                <w:sz w:val="20"/>
                <w:szCs w:val="20"/>
              </w:rPr>
            </w:pPr>
          </w:p>
        </w:tc>
      </w:tr>
      <w:tr w:rsidR="00387142" w:rsidRPr="008B6A75" w14:paraId="0C6375F1" w14:textId="77777777" w:rsidTr="00387142">
        <w:trPr>
          <w:trHeight w:val="300"/>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2BFEE3E2" w14:textId="77777777" w:rsidR="00387142" w:rsidRPr="008B6A75" w:rsidRDefault="00387142" w:rsidP="00387142">
            <w:pPr>
              <w:rPr>
                <w:sz w:val="20"/>
                <w:szCs w:val="20"/>
              </w:rPr>
            </w:pPr>
            <w:r w:rsidRPr="008B6A75">
              <w:rPr>
                <w:sz w:val="20"/>
                <w:szCs w:val="20"/>
              </w:rPr>
              <w:t>Субсидии бюджетным учреждениям</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6C792FD6" w14:textId="77777777" w:rsidR="00387142" w:rsidRPr="008B6A75" w:rsidRDefault="00387142" w:rsidP="00387142">
            <w:pPr>
              <w:jc w:val="center"/>
              <w:rPr>
                <w:sz w:val="20"/>
                <w:szCs w:val="20"/>
              </w:rPr>
            </w:pPr>
            <w:r w:rsidRPr="008B6A75">
              <w:rPr>
                <w:sz w:val="20"/>
                <w:szCs w:val="20"/>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002D23AD" w14:textId="77777777" w:rsidR="00387142" w:rsidRPr="008B6A75" w:rsidRDefault="00387142" w:rsidP="00387142">
            <w:pPr>
              <w:jc w:val="center"/>
              <w:rPr>
                <w:sz w:val="20"/>
                <w:szCs w:val="20"/>
              </w:rPr>
            </w:pPr>
            <w:r w:rsidRPr="008B6A75">
              <w:rPr>
                <w:sz w:val="20"/>
                <w:szCs w:val="20"/>
              </w:rPr>
              <w:t>11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BE4BEF" w14:textId="77777777" w:rsidR="00387142" w:rsidRPr="008B6A75" w:rsidRDefault="00387142" w:rsidP="00387142">
            <w:pPr>
              <w:jc w:val="center"/>
              <w:rPr>
                <w:sz w:val="20"/>
                <w:szCs w:val="20"/>
              </w:rPr>
            </w:pPr>
            <w:r w:rsidRPr="008B6A75">
              <w:rPr>
                <w:sz w:val="20"/>
                <w:szCs w:val="20"/>
              </w:rPr>
              <w:t>02</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4573F07C" w14:textId="77777777" w:rsidR="00387142" w:rsidRPr="008B6A75" w:rsidRDefault="00387142" w:rsidP="00387142">
            <w:pPr>
              <w:jc w:val="center"/>
              <w:rPr>
                <w:sz w:val="20"/>
                <w:szCs w:val="20"/>
              </w:rPr>
            </w:pPr>
            <w:r w:rsidRPr="008B6A75">
              <w:rPr>
                <w:sz w:val="20"/>
                <w:szCs w:val="20"/>
              </w:rPr>
              <w:t>11.0.P5.70270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DD930D" w14:textId="77777777" w:rsidR="00387142" w:rsidRPr="008B6A75" w:rsidRDefault="00387142" w:rsidP="00387142">
            <w:pPr>
              <w:jc w:val="center"/>
              <w:rPr>
                <w:sz w:val="20"/>
                <w:szCs w:val="20"/>
              </w:rPr>
            </w:pPr>
            <w:r w:rsidRPr="008B6A75">
              <w:rPr>
                <w:sz w:val="20"/>
                <w:szCs w:val="20"/>
              </w:rPr>
              <w:t>610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5F1092" w14:textId="77777777" w:rsidR="00387142" w:rsidRPr="008B6A75" w:rsidRDefault="00387142" w:rsidP="00387142">
            <w:pPr>
              <w:jc w:val="right"/>
              <w:rPr>
                <w:sz w:val="20"/>
                <w:szCs w:val="20"/>
              </w:rPr>
            </w:pPr>
            <w:r w:rsidRPr="008B6A75">
              <w:rPr>
                <w:sz w:val="20"/>
                <w:szCs w:val="20"/>
              </w:rPr>
              <w:t>2 041 027,00</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300B8961" w14:textId="77777777" w:rsidR="00387142" w:rsidRPr="008B6A75" w:rsidRDefault="00387142" w:rsidP="00387142">
            <w:pPr>
              <w:jc w:val="right"/>
              <w:rPr>
                <w:sz w:val="20"/>
                <w:szCs w:val="20"/>
              </w:rPr>
            </w:pPr>
            <w:r w:rsidRPr="008B6A75">
              <w:rPr>
                <w:sz w:val="20"/>
                <w:szCs w:val="20"/>
              </w:rPr>
              <w:t>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A22DFF" w14:textId="77777777" w:rsidR="00387142" w:rsidRPr="008B6A75" w:rsidRDefault="00387142" w:rsidP="00387142">
            <w:pPr>
              <w:jc w:val="right"/>
              <w:rPr>
                <w:sz w:val="20"/>
                <w:szCs w:val="20"/>
              </w:rPr>
            </w:pPr>
            <w:r w:rsidRPr="008B6A75">
              <w:rPr>
                <w:sz w:val="20"/>
                <w:szCs w:val="20"/>
              </w:rPr>
              <w:t>0,00</w:t>
            </w:r>
          </w:p>
        </w:tc>
        <w:tc>
          <w:tcPr>
            <w:tcW w:w="222" w:type="dxa"/>
            <w:vAlign w:val="center"/>
            <w:hideMark/>
          </w:tcPr>
          <w:p w14:paraId="79CB6EB8" w14:textId="77777777" w:rsidR="00387142" w:rsidRPr="008B6A75" w:rsidRDefault="00387142" w:rsidP="00387142">
            <w:pPr>
              <w:rPr>
                <w:sz w:val="20"/>
                <w:szCs w:val="20"/>
              </w:rPr>
            </w:pPr>
          </w:p>
        </w:tc>
      </w:tr>
      <w:tr w:rsidR="00387142" w:rsidRPr="008B6A75" w14:paraId="430A5748" w14:textId="77777777" w:rsidTr="00387142">
        <w:trPr>
          <w:trHeight w:val="300"/>
        </w:trPr>
        <w:tc>
          <w:tcPr>
            <w:tcW w:w="3021" w:type="dxa"/>
            <w:tcBorders>
              <w:top w:val="nil"/>
              <w:left w:val="single" w:sz="4" w:space="0" w:color="auto"/>
              <w:bottom w:val="nil"/>
              <w:right w:val="nil"/>
            </w:tcBorders>
            <w:shd w:val="clear" w:color="auto" w:fill="auto"/>
            <w:vAlign w:val="center"/>
            <w:hideMark/>
          </w:tcPr>
          <w:p w14:paraId="5EB06402" w14:textId="77777777" w:rsidR="00387142" w:rsidRPr="008B6A75" w:rsidRDefault="00387142" w:rsidP="00387142">
            <w:pPr>
              <w:rPr>
                <w:bCs/>
                <w:sz w:val="20"/>
                <w:szCs w:val="20"/>
              </w:rPr>
            </w:pPr>
            <w:r w:rsidRPr="008B6A75">
              <w:rPr>
                <w:bCs/>
                <w:sz w:val="20"/>
                <w:szCs w:val="20"/>
              </w:rPr>
              <w:t>Спорт высших достижений</w:t>
            </w:r>
          </w:p>
        </w:tc>
        <w:tc>
          <w:tcPr>
            <w:tcW w:w="850" w:type="dxa"/>
            <w:tcBorders>
              <w:top w:val="nil"/>
              <w:left w:val="single" w:sz="4" w:space="0" w:color="auto"/>
              <w:bottom w:val="nil"/>
              <w:right w:val="nil"/>
            </w:tcBorders>
            <w:shd w:val="clear" w:color="auto" w:fill="auto"/>
            <w:noWrap/>
            <w:vAlign w:val="center"/>
            <w:hideMark/>
          </w:tcPr>
          <w:p w14:paraId="2FF9892E" w14:textId="77777777" w:rsidR="00387142" w:rsidRPr="008B6A75" w:rsidRDefault="00387142" w:rsidP="00387142">
            <w:pPr>
              <w:jc w:val="center"/>
              <w:rPr>
                <w:bCs/>
                <w:sz w:val="20"/>
                <w:szCs w:val="20"/>
              </w:rPr>
            </w:pPr>
            <w:r w:rsidRPr="008B6A75">
              <w:rPr>
                <w:bCs/>
                <w:sz w:val="20"/>
                <w:szCs w:val="20"/>
              </w:rPr>
              <w:t>444</w:t>
            </w:r>
          </w:p>
        </w:tc>
        <w:tc>
          <w:tcPr>
            <w:tcW w:w="709" w:type="dxa"/>
            <w:tcBorders>
              <w:top w:val="nil"/>
              <w:left w:val="single" w:sz="4" w:space="0" w:color="auto"/>
              <w:bottom w:val="nil"/>
              <w:right w:val="nil"/>
            </w:tcBorders>
            <w:shd w:val="clear" w:color="auto" w:fill="auto"/>
            <w:noWrap/>
            <w:vAlign w:val="center"/>
            <w:hideMark/>
          </w:tcPr>
          <w:p w14:paraId="13106522" w14:textId="77777777" w:rsidR="00387142" w:rsidRPr="008B6A75" w:rsidRDefault="00387142" w:rsidP="00387142">
            <w:pPr>
              <w:jc w:val="center"/>
              <w:rPr>
                <w:bCs/>
                <w:sz w:val="20"/>
                <w:szCs w:val="20"/>
              </w:rPr>
            </w:pPr>
            <w:r w:rsidRPr="008B6A75">
              <w:rPr>
                <w:bCs/>
                <w:sz w:val="20"/>
                <w:szCs w:val="20"/>
              </w:rPr>
              <w:t>11</w:t>
            </w:r>
          </w:p>
        </w:tc>
        <w:tc>
          <w:tcPr>
            <w:tcW w:w="709" w:type="dxa"/>
            <w:tcBorders>
              <w:top w:val="nil"/>
              <w:left w:val="single" w:sz="4" w:space="0" w:color="auto"/>
              <w:bottom w:val="nil"/>
              <w:right w:val="single" w:sz="4" w:space="0" w:color="auto"/>
            </w:tcBorders>
            <w:shd w:val="clear" w:color="auto" w:fill="auto"/>
            <w:noWrap/>
            <w:vAlign w:val="center"/>
            <w:hideMark/>
          </w:tcPr>
          <w:p w14:paraId="77047E66" w14:textId="77777777" w:rsidR="00387142" w:rsidRPr="008B6A75" w:rsidRDefault="00387142" w:rsidP="00387142">
            <w:pPr>
              <w:jc w:val="center"/>
              <w:rPr>
                <w:bCs/>
                <w:sz w:val="20"/>
                <w:szCs w:val="20"/>
              </w:rPr>
            </w:pPr>
            <w:r w:rsidRPr="008B6A75">
              <w:rPr>
                <w:bCs/>
                <w:sz w:val="20"/>
                <w:szCs w:val="20"/>
              </w:rPr>
              <w:t>03</w:t>
            </w:r>
          </w:p>
        </w:tc>
        <w:tc>
          <w:tcPr>
            <w:tcW w:w="1411" w:type="dxa"/>
            <w:tcBorders>
              <w:top w:val="nil"/>
              <w:left w:val="single" w:sz="4" w:space="0" w:color="auto"/>
              <w:bottom w:val="nil"/>
              <w:right w:val="nil"/>
            </w:tcBorders>
            <w:shd w:val="clear" w:color="auto" w:fill="auto"/>
            <w:noWrap/>
            <w:vAlign w:val="center"/>
            <w:hideMark/>
          </w:tcPr>
          <w:p w14:paraId="0271FFFA" w14:textId="77777777" w:rsidR="00387142" w:rsidRPr="008B6A75" w:rsidRDefault="00387142" w:rsidP="00387142">
            <w:pPr>
              <w:jc w:val="center"/>
              <w:rPr>
                <w:bCs/>
                <w:sz w:val="20"/>
                <w:szCs w:val="20"/>
              </w:rPr>
            </w:pPr>
            <w:r w:rsidRPr="008B6A75">
              <w:rPr>
                <w:bCs/>
                <w:sz w:val="20"/>
                <w:szCs w:val="20"/>
              </w:rPr>
              <w:t> </w:t>
            </w:r>
          </w:p>
        </w:tc>
        <w:tc>
          <w:tcPr>
            <w:tcW w:w="955" w:type="dxa"/>
            <w:tcBorders>
              <w:top w:val="nil"/>
              <w:left w:val="single" w:sz="4" w:space="0" w:color="auto"/>
              <w:bottom w:val="nil"/>
              <w:right w:val="single" w:sz="4" w:space="0" w:color="auto"/>
            </w:tcBorders>
            <w:shd w:val="clear" w:color="auto" w:fill="auto"/>
            <w:noWrap/>
            <w:vAlign w:val="center"/>
            <w:hideMark/>
          </w:tcPr>
          <w:p w14:paraId="6A75C31B"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nil"/>
              <w:right w:val="single" w:sz="4" w:space="0" w:color="auto"/>
            </w:tcBorders>
            <w:shd w:val="clear" w:color="auto" w:fill="auto"/>
            <w:noWrap/>
            <w:vAlign w:val="center"/>
            <w:hideMark/>
          </w:tcPr>
          <w:p w14:paraId="42CABFDF" w14:textId="77777777" w:rsidR="00387142" w:rsidRPr="008B6A75" w:rsidRDefault="00387142" w:rsidP="00387142">
            <w:pPr>
              <w:jc w:val="right"/>
              <w:rPr>
                <w:bCs/>
                <w:sz w:val="20"/>
                <w:szCs w:val="20"/>
              </w:rPr>
            </w:pPr>
            <w:r w:rsidRPr="008B6A75">
              <w:rPr>
                <w:bCs/>
                <w:sz w:val="20"/>
                <w:szCs w:val="20"/>
              </w:rPr>
              <w:t>5 341 089,33</w:t>
            </w:r>
          </w:p>
        </w:tc>
        <w:tc>
          <w:tcPr>
            <w:tcW w:w="992" w:type="dxa"/>
            <w:gridSpan w:val="2"/>
            <w:tcBorders>
              <w:top w:val="nil"/>
              <w:left w:val="single" w:sz="4" w:space="0" w:color="auto"/>
              <w:bottom w:val="nil"/>
              <w:right w:val="nil"/>
            </w:tcBorders>
            <w:shd w:val="clear" w:color="auto" w:fill="auto"/>
            <w:noWrap/>
            <w:vAlign w:val="center"/>
            <w:hideMark/>
          </w:tcPr>
          <w:p w14:paraId="772FAF6A" w14:textId="77777777" w:rsidR="00387142" w:rsidRPr="008B6A75" w:rsidRDefault="00387142" w:rsidP="00387142">
            <w:pPr>
              <w:jc w:val="right"/>
              <w:rPr>
                <w:bCs/>
                <w:sz w:val="20"/>
                <w:szCs w:val="20"/>
              </w:rPr>
            </w:pPr>
            <w:r w:rsidRPr="008B6A75">
              <w:rPr>
                <w:bCs/>
                <w:sz w:val="20"/>
                <w:szCs w:val="20"/>
              </w:rPr>
              <w:t>0,00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7B697ACD" w14:textId="77777777" w:rsidR="00387142" w:rsidRPr="008B6A75" w:rsidRDefault="00387142" w:rsidP="00387142">
            <w:pPr>
              <w:jc w:val="right"/>
              <w:rPr>
                <w:bCs/>
                <w:sz w:val="20"/>
                <w:szCs w:val="20"/>
              </w:rPr>
            </w:pPr>
            <w:r w:rsidRPr="008B6A75">
              <w:rPr>
                <w:bCs/>
                <w:sz w:val="20"/>
                <w:szCs w:val="20"/>
              </w:rPr>
              <w:t>0,00</w:t>
            </w:r>
          </w:p>
        </w:tc>
        <w:tc>
          <w:tcPr>
            <w:tcW w:w="222" w:type="dxa"/>
            <w:vAlign w:val="center"/>
            <w:hideMark/>
          </w:tcPr>
          <w:p w14:paraId="18991013" w14:textId="77777777" w:rsidR="00387142" w:rsidRPr="008B6A75" w:rsidRDefault="00387142" w:rsidP="00387142">
            <w:pPr>
              <w:rPr>
                <w:sz w:val="20"/>
                <w:szCs w:val="20"/>
              </w:rPr>
            </w:pPr>
          </w:p>
        </w:tc>
      </w:tr>
      <w:tr w:rsidR="00387142" w:rsidRPr="008B6A75" w14:paraId="1E03B399" w14:textId="77777777" w:rsidTr="00387142">
        <w:trPr>
          <w:trHeight w:val="1155"/>
        </w:trPr>
        <w:tc>
          <w:tcPr>
            <w:tcW w:w="3021" w:type="dxa"/>
            <w:tcBorders>
              <w:top w:val="single" w:sz="4" w:space="0" w:color="auto"/>
              <w:left w:val="single" w:sz="4" w:space="0" w:color="auto"/>
              <w:bottom w:val="nil"/>
              <w:right w:val="nil"/>
            </w:tcBorders>
            <w:shd w:val="clear" w:color="auto" w:fill="auto"/>
            <w:vAlign w:val="center"/>
            <w:hideMark/>
          </w:tcPr>
          <w:p w14:paraId="7EC34FB3" w14:textId="77777777" w:rsidR="00387142" w:rsidRPr="008B6A75" w:rsidRDefault="00387142" w:rsidP="00387142">
            <w:pPr>
              <w:rPr>
                <w:bCs/>
                <w:sz w:val="20"/>
                <w:szCs w:val="20"/>
              </w:rPr>
            </w:pPr>
            <w:r w:rsidRPr="008B6A75">
              <w:rPr>
                <w:bCs/>
                <w:sz w:val="20"/>
                <w:szCs w:val="20"/>
              </w:rPr>
              <w:t>Муниципальная программа "Развитие физической культуры и спорта в Куйбышевском районе Новосибирской области"</w:t>
            </w:r>
          </w:p>
        </w:tc>
        <w:tc>
          <w:tcPr>
            <w:tcW w:w="850" w:type="dxa"/>
            <w:tcBorders>
              <w:top w:val="single" w:sz="4" w:space="0" w:color="auto"/>
              <w:left w:val="single" w:sz="4" w:space="0" w:color="auto"/>
              <w:bottom w:val="nil"/>
              <w:right w:val="nil"/>
            </w:tcBorders>
            <w:shd w:val="clear" w:color="auto" w:fill="auto"/>
            <w:noWrap/>
            <w:vAlign w:val="center"/>
            <w:hideMark/>
          </w:tcPr>
          <w:p w14:paraId="25D59179" w14:textId="77777777" w:rsidR="00387142" w:rsidRPr="008B6A75" w:rsidRDefault="00387142" w:rsidP="00387142">
            <w:pPr>
              <w:jc w:val="center"/>
              <w:rPr>
                <w:bCs/>
                <w:sz w:val="20"/>
                <w:szCs w:val="20"/>
              </w:rPr>
            </w:pPr>
            <w:r w:rsidRPr="008B6A75">
              <w:rPr>
                <w:bCs/>
                <w:sz w:val="20"/>
                <w:szCs w:val="20"/>
              </w:rPr>
              <w:t>444</w:t>
            </w:r>
          </w:p>
        </w:tc>
        <w:tc>
          <w:tcPr>
            <w:tcW w:w="709" w:type="dxa"/>
            <w:tcBorders>
              <w:top w:val="single" w:sz="4" w:space="0" w:color="auto"/>
              <w:left w:val="single" w:sz="4" w:space="0" w:color="auto"/>
              <w:bottom w:val="nil"/>
              <w:right w:val="nil"/>
            </w:tcBorders>
            <w:shd w:val="clear" w:color="auto" w:fill="auto"/>
            <w:noWrap/>
            <w:vAlign w:val="center"/>
            <w:hideMark/>
          </w:tcPr>
          <w:p w14:paraId="0D3A83C9" w14:textId="77777777" w:rsidR="00387142" w:rsidRPr="008B6A75" w:rsidRDefault="00387142" w:rsidP="00387142">
            <w:pPr>
              <w:jc w:val="center"/>
              <w:rPr>
                <w:bCs/>
                <w:sz w:val="20"/>
                <w:szCs w:val="20"/>
              </w:rPr>
            </w:pPr>
            <w:r w:rsidRPr="008B6A75">
              <w:rPr>
                <w:bCs/>
                <w:sz w:val="20"/>
                <w:szCs w:val="20"/>
              </w:rPr>
              <w:t>11</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18DE6BAC" w14:textId="77777777" w:rsidR="00387142" w:rsidRPr="008B6A75" w:rsidRDefault="00387142" w:rsidP="00387142">
            <w:pPr>
              <w:jc w:val="center"/>
              <w:rPr>
                <w:bCs/>
                <w:sz w:val="20"/>
                <w:szCs w:val="20"/>
              </w:rPr>
            </w:pPr>
            <w:r w:rsidRPr="008B6A75">
              <w:rPr>
                <w:bCs/>
                <w:sz w:val="20"/>
                <w:szCs w:val="20"/>
              </w:rPr>
              <w:t>03</w:t>
            </w:r>
          </w:p>
        </w:tc>
        <w:tc>
          <w:tcPr>
            <w:tcW w:w="1411" w:type="dxa"/>
            <w:tcBorders>
              <w:top w:val="single" w:sz="4" w:space="0" w:color="auto"/>
              <w:left w:val="single" w:sz="4" w:space="0" w:color="auto"/>
              <w:bottom w:val="nil"/>
              <w:right w:val="nil"/>
            </w:tcBorders>
            <w:shd w:val="clear" w:color="auto" w:fill="auto"/>
            <w:noWrap/>
            <w:vAlign w:val="center"/>
            <w:hideMark/>
          </w:tcPr>
          <w:p w14:paraId="27D55B0F" w14:textId="77777777" w:rsidR="00387142" w:rsidRPr="008B6A75" w:rsidRDefault="00387142" w:rsidP="00387142">
            <w:pPr>
              <w:jc w:val="center"/>
              <w:rPr>
                <w:bCs/>
                <w:sz w:val="20"/>
                <w:szCs w:val="20"/>
              </w:rPr>
            </w:pPr>
            <w:r w:rsidRPr="008B6A75">
              <w:rPr>
                <w:bCs/>
                <w:sz w:val="20"/>
                <w:szCs w:val="20"/>
              </w:rPr>
              <w:t>11.0.00.00000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3F13236B" w14:textId="77777777" w:rsidR="00387142" w:rsidRPr="008B6A75" w:rsidRDefault="00387142" w:rsidP="00387142">
            <w:pPr>
              <w:jc w:val="center"/>
              <w:rPr>
                <w:bCs/>
                <w:sz w:val="20"/>
                <w:szCs w:val="20"/>
              </w:rPr>
            </w:pPr>
            <w:r w:rsidRPr="008B6A75">
              <w:rPr>
                <w:bCs/>
                <w:sz w:val="20"/>
                <w:szCs w:val="20"/>
              </w:rPr>
              <w:t> </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5C4298F6" w14:textId="77777777" w:rsidR="00387142" w:rsidRPr="008B6A75" w:rsidRDefault="00387142" w:rsidP="00387142">
            <w:pPr>
              <w:jc w:val="right"/>
              <w:rPr>
                <w:bCs/>
                <w:sz w:val="20"/>
                <w:szCs w:val="20"/>
              </w:rPr>
            </w:pPr>
            <w:r w:rsidRPr="008B6A75">
              <w:rPr>
                <w:bCs/>
                <w:sz w:val="20"/>
                <w:szCs w:val="20"/>
              </w:rPr>
              <w:t>5 341 089,33</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01F2EE16" w14:textId="77777777" w:rsidR="00387142" w:rsidRPr="008B6A75" w:rsidRDefault="00387142" w:rsidP="00387142">
            <w:pPr>
              <w:jc w:val="right"/>
              <w:rPr>
                <w:bCs/>
                <w:sz w:val="20"/>
                <w:szCs w:val="20"/>
              </w:rPr>
            </w:pPr>
            <w:r w:rsidRPr="008B6A75">
              <w:rPr>
                <w:bCs/>
                <w:sz w:val="20"/>
                <w:szCs w:val="20"/>
              </w:rPr>
              <w:t>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5FA477DD" w14:textId="77777777" w:rsidR="00387142" w:rsidRPr="008B6A75" w:rsidRDefault="00387142" w:rsidP="00387142">
            <w:pPr>
              <w:jc w:val="right"/>
              <w:rPr>
                <w:bCs/>
                <w:sz w:val="20"/>
                <w:szCs w:val="20"/>
              </w:rPr>
            </w:pPr>
            <w:r w:rsidRPr="008B6A75">
              <w:rPr>
                <w:bCs/>
                <w:sz w:val="20"/>
                <w:szCs w:val="20"/>
              </w:rPr>
              <w:t>0,00</w:t>
            </w:r>
          </w:p>
        </w:tc>
        <w:tc>
          <w:tcPr>
            <w:tcW w:w="222" w:type="dxa"/>
            <w:vAlign w:val="center"/>
            <w:hideMark/>
          </w:tcPr>
          <w:p w14:paraId="43974A21" w14:textId="77777777" w:rsidR="00387142" w:rsidRPr="008B6A75" w:rsidRDefault="00387142" w:rsidP="00387142">
            <w:pPr>
              <w:rPr>
                <w:sz w:val="20"/>
                <w:szCs w:val="20"/>
              </w:rPr>
            </w:pPr>
          </w:p>
        </w:tc>
      </w:tr>
      <w:tr w:rsidR="00387142" w:rsidRPr="008B6A75" w14:paraId="2519246C" w14:textId="77777777" w:rsidTr="00387142">
        <w:trPr>
          <w:trHeight w:val="1155"/>
        </w:trPr>
        <w:tc>
          <w:tcPr>
            <w:tcW w:w="3021" w:type="dxa"/>
            <w:tcBorders>
              <w:top w:val="single" w:sz="4" w:space="0" w:color="auto"/>
              <w:left w:val="single" w:sz="4" w:space="0" w:color="auto"/>
              <w:bottom w:val="nil"/>
              <w:right w:val="nil"/>
            </w:tcBorders>
            <w:shd w:val="clear" w:color="auto" w:fill="auto"/>
            <w:vAlign w:val="center"/>
            <w:hideMark/>
          </w:tcPr>
          <w:p w14:paraId="0F0DC5BC" w14:textId="77777777" w:rsidR="00387142" w:rsidRPr="008B6A75" w:rsidRDefault="00387142" w:rsidP="00387142">
            <w:pPr>
              <w:rPr>
                <w:bCs/>
                <w:sz w:val="20"/>
                <w:szCs w:val="20"/>
              </w:rPr>
            </w:pPr>
            <w:r w:rsidRPr="008B6A75">
              <w:rPr>
                <w:bCs/>
                <w:sz w:val="20"/>
                <w:szCs w:val="20"/>
              </w:rPr>
              <w:t>Реализация мероприятий МП "Развитие физической культуры и спорта в Куйбышевском районе Новосибирской области"</w:t>
            </w:r>
          </w:p>
        </w:tc>
        <w:tc>
          <w:tcPr>
            <w:tcW w:w="850" w:type="dxa"/>
            <w:tcBorders>
              <w:top w:val="single" w:sz="4" w:space="0" w:color="auto"/>
              <w:left w:val="single" w:sz="4" w:space="0" w:color="auto"/>
              <w:bottom w:val="nil"/>
              <w:right w:val="nil"/>
            </w:tcBorders>
            <w:shd w:val="clear" w:color="auto" w:fill="auto"/>
            <w:noWrap/>
            <w:vAlign w:val="center"/>
            <w:hideMark/>
          </w:tcPr>
          <w:p w14:paraId="1E6765E9" w14:textId="77777777" w:rsidR="00387142" w:rsidRPr="008B6A75" w:rsidRDefault="00387142" w:rsidP="00387142">
            <w:pPr>
              <w:jc w:val="center"/>
              <w:rPr>
                <w:bCs/>
                <w:sz w:val="20"/>
                <w:szCs w:val="20"/>
              </w:rPr>
            </w:pPr>
            <w:r w:rsidRPr="008B6A75">
              <w:rPr>
                <w:bCs/>
                <w:sz w:val="20"/>
                <w:szCs w:val="20"/>
              </w:rPr>
              <w:t>444</w:t>
            </w:r>
          </w:p>
        </w:tc>
        <w:tc>
          <w:tcPr>
            <w:tcW w:w="709" w:type="dxa"/>
            <w:tcBorders>
              <w:top w:val="single" w:sz="4" w:space="0" w:color="auto"/>
              <w:left w:val="single" w:sz="4" w:space="0" w:color="auto"/>
              <w:bottom w:val="nil"/>
              <w:right w:val="nil"/>
            </w:tcBorders>
            <w:shd w:val="clear" w:color="auto" w:fill="auto"/>
            <w:noWrap/>
            <w:vAlign w:val="center"/>
            <w:hideMark/>
          </w:tcPr>
          <w:p w14:paraId="7FBD605A" w14:textId="77777777" w:rsidR="00387142" w:rsidRPr="008B6A75" w:rsidRDefault="00387142" w:rsidP="00387142">
            <w:pPr>
              <w:jc w:val="center"/>
              <w:rPr>
                <w:bCs/>
                <w:sz w:val="20"/>
                <w:szCs w:val="20"/>
              </w:rPr>
            </w:pPr>
            <w:r w:rsidRPr="008B6A75">
              <w:rPr>
                <w:bCs/>
                <w:sz w:val="20"/>
                <w:szCs w:val="20"/>
              </w:rPr>
              <w:t>11</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1F264C31" w14:textId="77777777" w:rsidR="00387142" w:rsidRPr="008B6A75" w:rsidRDefault="00387142" w:rsidP="00387142">
            <w:pPr>
              <w:jc w:val="center"/>
              <w:rPr>
                <w:bCs/>
                <w:sz w:val="20"/>
                <w:szCs w:val="20"/>
              </w:rPr>
            </w:pPr>
            <w:r w:rsidRPr="008B6A75">
              <w:rPr>
                <w:bCs/>
                <w:sz w:val="20"/>
                <w:szCs w:val="20"/>
              </w:rPr>
              <w:t>03</w:t>
            </w:r>
          </w:p>
        </w:tc>
        <w:tc>
          <w:tcPr>
            <w:tcW w:w="1411" w:type="dxa"/>
            <w:tcBorders>
              <w:top w:val="single" w:sz="4" w:space="0" w:color="auto"/>
              <w:left w:val="single" w:sz="4" w:space="0" w:color="auto"/>
              <w:bottom w:val="nil"/>
              <w:right w:val="nil"/>
            </w:tcBorders>
            <w:shd w:val="clear" w:color="auto" w:fill="auto"/>
            <w:noWrap/>
            <w:vAlign w:val="center"/>
            <w:hideMark/>
          </w:tcPr>
          <w:p w14:paraId="1B45B212" w14:textId="77777777" w:rsidR="00387142" w:rsidRPr="008B6A75" w:rsidRDefault="00387142" w:rsidP="00387142">
            <w:pPr>
              <w:jc w:val="center"/>
              <w:rPr>
                <w:bCs/>
                <w:sz w:val="20"/>
                <w:szCs w:val="20"/>
              </w:rPr>
            </w:pPr>
            <w:r w:rsidRPr="008B6A75">
              <w:rPr>
                <w:bCs/>
                <w:sz w:val="20"/>
                <w:szCs w:val="20"/>
              </w:rPr>
              <w:t>11.0.00.11950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5BCD0DD7" w14:textId="77777777" w:rsidR="00387142" w:rsidRPr="008B6A75" w:rsidRDefault="00387142" w:rsidP="00387142">
            <w:pPr>
              <w:jc w:val="center"/>
              <w:rPr>
                <w:bCs/>
                <w:sz w:val="20"/>
                <w:szCs w:val="20"/>
              </w:rPr>
            </w:pPr>
            <w:r w:rsidRPr="008B6A75">
              <w:rPr>
                <w:bCs/>
                <w:sz w:val="20"/>
                <w:szCs w:val="20"/>
              </w:rPr>
              <w:t> </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6498DEE0" w14:textId="77777777" w:rsidR="00387142" w:rsidRPr="008B6A75" w:rsidRDefault="00387142" w:rsidP="00387142">
            <w:pPr>
              <w:jc w:val="right"/>
              <w:rPr>
                <w:bCs/>
                <w:sz w:val="20"/>
                <w:szCs w:val="20"/>
              </w:rPr>
            </w:pPr>
            <w:r w:rsidRPr="008B6A75">
              <w:rPr>
                <w:bCs/>
                <w:sz w:val="20"/>
                <w:szCs w:val="20"/>
              </w:rPr>
              <w:t>5 341 089,33</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57AB152F" w14:textId="77777777" w:rsidR="00387142" w:rsidRPr="008B6A75" w:rsidRDefault="00387142" w:rsidP="00387142">
            <w:pPr>
              <w:jc w:val="right"/>
              <w:rPr>
                <w:bCs/>
                <w:sz w:val="20"/>
                <w:szCs w:val="20"/>
              </w:rPr>
            </w:pPr>
            <w:r w:rsidRPr="008B6A75">
              <w:rPr>
                <w:bCs/>
                <w:sz w:val="20"/>
                <w:szCs w:val="20"/>
              </w:rPr>
              <w:t>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595895CC" w14:textId="77777777" w:rsidR="00387142" w:rsidRPr="008B6A75" w:rsidRDefault="00387142" w:rsidP="00387142">
            <w:pPr>
              <w:jc w:val="right"/>
              <w:rPr>
                <w:bCs/>
                <w:sz w:val="20"/>
                <w:szCs w:val="20"/>
              </w:rPr>
            </w:pPr>
            <w:r w:rsidRPr="008B6A75">
              <w:rPr>
                <w:bCs/>
                <w:sz w:val="20"/>
                <w:szCs w:val="20"/>
              </w:rPr>
              <w:t>0,00</w:t>
            </w:r>
          </w:p>
        </w:tc>
        <w:tc>
          <w:tcPr>
            <w:tcW w:w="222" w:type="dxa"/>
            <w:vAlign w:val="center"/>
            <w:hideMark/>
          </w:tcPr>
          <w:p w14:paraId="36779843" w14:textId="77777777" w:rsidR="00387142" w:rsidRPr="008B6A75" w:rsidRDefault="00387142" w:rsidP="00387142">
            <w:pPr>
              <w:rPr>
                <w:sz w:val="20"/>
                <w:szCs w:val="20"/>
              </w:rPr>
            </w:pPr>
          </w:p>
        </w:tc>
      </w:tr>
      <w:tr w:rsidR="00387142" w:rsidRPr="008B6A75" w14:paraId="75B5A10D" w14:textId="77777777" w:rsidTr="00387142">
        <w:trPr>
          <w:trHeight w:val="870"/>
        </w:trPr>
        <w:tc>
          <w:tcPr>
            <w:tcW w:w="3021" w:type="dxa"/>
            <w:tcBorders>
              <w:top w:val="single" w:sz="4" w:space="0" w:color="auto"/>
              <w:left w:val="single" w:sz="4" w:space="0" w:color="auto"/>
              <w:bottom w:val="nil"/>
              <w:right w:val="nil"/>
            </w:tcBorders>
            <w:shd w:val="clear" w:color="auto" w:fill="auto"/>
            <w:vAlign w:val="center"/>
            <w:hideMark/>
          </w:tcPr>
          <w:p w14:paraId="50971428" w14:textId="77777777" w:rsidR="00387142" w:rsidRPr="008B6A75" w:rsidRDefault="00387142" w:rsidP="00387142">
            <w:pPr>
              <w:rPr>
                <w:sz w:val="20"/>
                <w:szCs w:val="20"/>
              </w:rPr>
            </w:pPr>
            <w:r w:rsidRPr="008B6A75">
              <w:rPr>
                <w:sz w:val="20"/>
                <w:szCs w:val="20"/>
              </w:rPr>
              <w:t>Предоставление субсидий бюджетным, автономным учреждениям и иным некоммерческим организациям</w:t>
            </w:r>
          </w:p>
        </w:tc>
        <w:tc>
          <w:tcPr>
            <w:tcW w:w="850" w:type="dxa"/>
            <w:tcBorders>
              <w:top w:val="single" w:sz="4" w:space="0" w:color="auto"/>
              <w:left w:val="single" w:sz="4" w:space="0" w:color="auto"/>
              <w:bottom w:val="nil"/>
              <w:right w:val="nil"/>
            </w:tcBorders>
            <w:shd w:val="clear" w:color="auto" w:fill="auto"/>
            <w:noWrap/>
            <w:vAlign w:val="center"/>
            <w:hideMark/>
          </w:tcPr>
          <w:p w14:paraId="4EED22F7" w14:textId="77777777" w:rsidR="00387142" w:rsidRPr="008B6A75" w:rsidRDefault="00387142" w:rsidP="00387142">
            <w:pPr>
              <w:jc w:val="center"/>
              <w:rPr>
                <w:sz w:val="20"/>
                <w:szCs w:val="20"/>
              </w:rPr>
            </w:pPr>
            <w:r w:rsidRPr="008B6A75">
              <w:rPr>
                <w:sz w:val="20"/>
                <w:szCs w:val="20"/>
              </w:rPr>
              <w:t>444</w:t>
            </w:r>
          </w:p>
        </w:tc>
        <w:tc>
          <w:tcPr>
            <w:tcW w:w="709" w:type="dxa"/>
            <w:tcBorders>
              <w:top w:val="single" w:sz="4" w:space="0" w:color="auto"/>
              <w:left w:val="single" w:sz="4" w:space="0" w:color="auto"/>
              <w:bottom w:val="nil"/>
              <w:right w:val="nil"/>
            </w:tcBorders>
            <w:shd w:val="clear" w:color="auto" w:fill="auto"/>
            <w:noWrap/>
            <w:vAlign w:val="center"/>
            <w:hideMark/>
          </w:tcPr>
          <w:p w14:paraId="7A632ECD" w14:textId="77777777" w:rsidR="00387142" w:rsidRPr="008B6A75" w:rsidRDefault="00387142" w:rsidP="00387142">
            <w:pPr>
              <w:jc w:val="center"/>
              <w:rPr>
                <w:sz w:val="20"/>
                <w:szCs w:val="20"/>
              </w:rPr>
            </w:pPr>
            <w:r w:rsidRPr="008B6A75">
              <w:rPr>
                <w:sz w:val="20"/>
                <w:szCs w:val="20"/>
              </w:rPr>
              <w:t>11</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4A075CD7" w14:textId="77777777" w:rsidR="00387142" w:rsidRPr="008B6A75" w:rsidRDefault="00387142" w:rsidP="00387142">
            <w:pPr>
              <w:jc w:val="center"/>
              <w:rPr>
                <w:sz w:val="20"/>
                <w:szCs w:val="20"/>
              </w:rPr>
            </w:pPr>
            <w:r w:rsidRPr="008B6A75">
              <w:rPr>
                <w:sz w:val="20"/>
                <w:szCs w:val="20"/>
              </w:rPr>
              <w:t>03</w:t>
            </w:r>
          </w:p>
        </w:tc>
        <w:tc>
          <w:tcPr>
            <w:tcW w:w="1411" w:type="dxa"/>
            <w:tcBorders>
              <w:top w:val="single" w:sz="4" w:space="0" w:color="auto"/>
              <w:left w:val="single" w:sz="4" w:space="0" w:color="auto"/>
              <w:bottom w:val="nil"/>
              <w:right w:val="nil"/>
            </w:tcBorders>
            <w:shd w:val="clear" w:color="auto" w:fill="auto"/>
            <w:noWrap/>
            <w:vAlign w:val="center"/>
            <w:hideMark/>
          </w:tcPr>
          <w:p w14:paraId="17819360" w14:textId="77777777" w:rsidR="00387142" w:rsidRPr="008B6A75" w:rsidRDefault="00387142" w:rsidP="00387142">
            <w:pPr>
              <w:jc w:val="center"/>
              <w:rPr>
                <w:sz w:val="20"/>
                <w:szCs w:val="20"/>
              </w:rPr>
            </w:pPr>
            <w:r w:rsidRPr="008B6A75">
              <w:rPr>
                <w:sz w:val="20"/>
                <w:szCs w:val="20"/>
              </w:rPr>
              <w:t>11.0.00.11950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60FF9999" w14:textId="77777777" w:rsidR="00387142" w:rsidRPr="008B6A75" w:rsidRDefault="00387142" w:rsidP="00387142">
            <w:pPr>
              <w:jc w:val="center"/>
              <w:rPr>
                <w:sz w:val="20"/>
                <w:szCs w:val="20"/>
              </w:rPr>
            </w:pPr>
            <w:r w:rsidRPr="008B6A75">
              <w:rPr>
                <w:sz w:val="20"/>
                <w:szCs w:val="20"/>
              </w:rPr>
              <w:t>600</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48B4669C" w14:textId="77777777" w:rsidR="00387142" w:rsidRPr="008B6A75" w:rsidRDefault="00387142" w:rsidP="00387142">
            <w:pPr>
              <w:jc w:val="right"/>
              <w:rPr>
                <w:sz w:val="20"/>
                <w:szCs w:val="20"/>
              </w:rPr>
            </w:pPr>
            <w:r w:rsidRPr="008B6A75">
              <w:rPr>
                <w:sz w:val="20"/>
                <w:szCs w:val="20"/>
              </w:rPr>
              <w:t>5 341 089,33</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4BD15B51" w14:textId="77777777" w:rsidR="00387142" w:rsidRPr="008B6A75" w:rsidRDefault="00387142" w:rsidP="00387142">
            <w:pPr>
              <w:jc w:val="right"/>
              <w:rPr>
                <w:sz w:val="20"/>
                <w:szCs w:val="20"/>
              </w:rPr>
            </w:pPr>
            <w:r w:rsidRPr="008B6A75">
              <w:rPr>
                <w:sz w:val="20"/>
                <w:szCs w:val="20"/>
              </w:rPr>
              <w:t>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39A91ACD" w14:textId="77777777" w:rsidR="00387142" w:rsidRPr="008B6A75" w:rsidRDefault="00387142" w:rsidP="00387142">
            <w:pPr>
              <w:jc w:val="right"/>
              <w:rPr>
                <w:sz w:val="20"/>
                <w:szCs w:val="20"/>
              </w:rPr>
            </w:pPr>
            <w:r w:rsidRPr="008B6A75">
              <w:rPr>
                <w:sz w:val="20"/>
                <w:szCs w:val="20"/>
              </w:rPr>
              <w:t>0,00</w:t>
            </w:r>
          </w:p>
        </w:tc>
        <w:tc>
          <w:tcPr>
            <w:tcW w:w="222" w:type="dxa"/>
            <w:vAlign w:val="center"/>
            <w:hideMark/>
          </w:tcPr>
          <w:p w14:paraId="2776054A" w14:textId="77777777" w:rsidR="00387142" w:rsidRPr="008B6A75" w:rsidRDefault="00387142" w:rsidP="00387142">
            <w:pPr>
              <w:rPr>
                <w:sz w:val="20"/>
                <w:szCs w:val="20"/>
              </w:rPr>
            </w:pPr>
          </w:p>
        </w:tc>
      </w:tr>
      <w:tr w:rsidR="00387142" w:rsidRPr="008B6A75" w14:paraId="2B0318B6" w14:textId="77777777" w:rsidTr="00387142">
        <w:trPr>
          <w:trHeight w:val="300"/>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53F06044" w14:textId="77777777" w:rsidR="00387142" w:rsidRPr="008B6A75" w:rsidRDefault="00387142" w:rsidP="00387142">
            <w:pPr>
              <w:rPr>
                <w:sz w:val="20"/>
                <w:szCs w:val="20"/>
              </w:rPr>
            </w:pPr>
            <w:r w:rsidRPr="008B6A75">
              <w:rPr>
                <w:sz w:val="20"/>
                <w:szCs w:val="20"/>
              </w:rPr>
              <w:t>Субсидии бюджетным учреждениям</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47A9E3F3" w14:textId="77777777" w:rsidR="00387142" w:rsidRPr="008B6A75" w:rsidRDefault="00387142" w:rsidP="00387142">
            <w:pPr>
              <w:jc w:val="center"/>
              <w:rPr>
                <w:sz w:val="20"/>
                <w:szCs w:val="20"/>
              </w:rPr>
            </w:pPr>
            <w:r w:rsidRPr="008B6A75">
              <w:rPr>
                <w:sz w:val="20"/>
                <w:szCs w:val="20"/>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5B9AB38C" w14:textId="77777777" w:rsidR="00387142" w:rsidRPr="008B6A75" w:rsidRDefault="00387142" w:rsidP="00387142">
            <w:pPr>
              <w:jc w:val="center"/>
              <w:rPr>
                <w:sz w:val="20"/>
                <w:szCs w:val="20"/>
              </w:rPr>
            </w:pPr>
            <w:r w:rsidRPr="008B6A75">
              <w:rPr>
                <w:sz w:val="20"/>
                <w:szCs w:val="20"/>
              </w:rPr>
              <w:t>11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E6ECA2" w14:textId="77777777" w:rsidR="00387142" w:rsidRPr="008B6A75" w:rsidRDefault="00387142" w:rsidP="00387142">
            <w:pPr>
              <w:jc w:val="center"/>
              <w:rPr>
                <w:sz w:val="20"/>
                <w:szCs w:val="20"/>
              </w:rPr>
            </w:pPr>
            <w:r w:rsidRPr="008B6A75">
              <w:rPr>
                <w:sz w:val="20"/>
                <w:szCs w:val="20"/>
              </w:rPr>
              <w:t>03</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2E10D679" w14:textId="77777777" w:rsidR="00387142" w:rsidRPr="008B6A75" w:rsidRDefault="00387142" w:rsidP="00387142">
            <w:pPr>
              <w:jc w:val="center"/>
              <w:rPr>
                <w:sz w:val="20"/>
                <w:szCs w:val="20"/>
              </w:rPr>
            </w:pPr>
            <w:r w:rsidRPr="008B6A75">
              <w:rPr>
                <w:sz w:val="20"/>
                <w:szCs w:val="20"/>
              </w:rPr>
              <w:t>11.0.00.11950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00AEB5" w14:textId="77777777" w:rsidR="00387142" w:rsidRPr="008B6A75" w:rsidRDefault="00387142" w:rsidP="00387142">
            <w:pPr>
              <w:jc w:val="center"/>
              <w:rPr>
                <w:sz w:val="20"/>
                <w:szCs w:val="20"/>
              </w:rPr>
            </w:pPr>
            <w:r w:rsidRPr="008B6A75">
              <w:rPr>
                <w:sz w:val="20"/>
                <w:szCs w:val="20"/>
              </w:rPr>
              <w:t>610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3B2BEC" w14:textId="77777777" w:rsidR="00387142" w:rsidRPr="008B6A75" w:rsidRDefault="00387142" w:rsidP="00387142">
            <w:pPr>
              <w:jc w:val="right"/>
              <w:rPr>
                <w:sz w:val="20"/>
                <w:szCs w:val="20"/>
              </w:rPr>
            </w:pPr>
            <w:r w:rsidRPr="008B6A75">
              <w:rPr>
                <w:sz w:val="20"/>
                <w:szCs w:val="20"/>
              </w:rPr>
              <w:t>5 341 089,33</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0910D23B" w14:textId="77777777" w:rsidR="00387142" w:rsidRPr="008B6A75" w:rsidRDefault="00387142" w:rsidP="00387142">
            <w:pPr>
              <w:jc w:val="right"/>
              <w:rPr>
                <w:sz w:val="20"/>
                <w:szCs w:val="20"/>
              </w:rPr>
            </w:pPr>
            <w:r w:rsidRPr="008B6A75">
              <w:rPr>
                <w:sz w:val="20"/>
                <w:szCs w:val="20"/>
              </w:rPr>
              <w:t>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5DDE93" w14:textId="77777777" w:rsidR="00387142" w:rsidRPr="008B6A75" w:rsidRDefault="00387142" w:rsidP="00387142">
            <w:pPr>
              <w:jc w:val="right"/>
              <w:rPr>
                <w:sz w:val="20"/>
                <w:szCs w:val="20"/>
              </w:rPr>
            </w:pPr>
            <w:r w:rsidRPr="008B6A75">
              <w:rPr>
                <w:sz w:val="20"/>
                <w:szCs w:val="20"/>
              </w:rPr>
              <w:t>0,00</w:t>
            </w:r>
          </w:p>
        </w:tc>
        <w:tc>
          <w:tcPr>
            <w:tcW w:w="222" w:type="dxa"/>
            <w:vAlign w:val="center"/>
            <w:hideMark/>
          </w:tcPr>
          <w:p w14:paraId="5D308FA2" w14:textId="77777777" w:rsidR="00387142" w:rsidRPr="008B6A75" w:rsidRDefault="00387142" w:rsidP="00387142">
            <w:pPr>
              <w:rPr>
                <w:sz w:val="20"/>
                <w:szCs w:val="20"/>
              </w:rPr>
            </w:pPr>
          </w:p>
        </w:tc>
      </w:tr>
      <w:tr w:rsidR="00387142" w:rsidRPr="008B6A75" w14:paraId="3B6047A6" w14:textId="77777777" w:rsidTr="00387142">
        <w:trPr>
          <w:trHeight w:val="1155"/>
        </w:trPr>
        <w:tc>
          <w:tcPr>
            <w:tcW w:w="3021" w:type="dxa"/>
            <w:tcBorders>
              <w:top w:val="nil"/>
              <w:left w:val="single" w:sz="4" w:space="0" w:color="auto"/>
              <w:bottom w:val="nil"/>
              <w:right w:val="nil"/>
            </w:tcBorders>
            <w:shd w:val="clear" w:color="auto" w:fill="auto"/>
            <w:vAlign w:val="center"/>
            <w:hideMark/>
          </w:tcPr>
          <w:p w14:paraId="30D7D64F" w14:textId="77777777" w:rsidR="00387142" w:rsidRPr="008B6A75" w:rsidRDefault="00387142" w:rsidP="00387142">
            <w:pPr>
              <w:rPr>
                <w:bCs/>
                <w:sz w:val="20"/>
                <w:szCs w:val="20"/>
              </w:rPr>
            </w:pPr>
            <w:r w:rsidRPr="008B6A75">
              <w:rPr>
                <w:bCs/>
                <w:sz w:val="20"/>
                <w:szCs w:val="20"/>
              </w:rPr>
              <w:lastRenderedPageBreak/>
              <w:t>МЕЖБЮДЖЕТНЫЕ ТРАНСФЕРТЫ ОБЩЕГО ХАРАКТЕРА БЮДЖЕТАМ БЮДЖЕТНОЙ СИСТЕМЫ РОССИЙСКОЙ ФЕДЕРАЦИИ</w:t>
            </w:r>
          </w:p>
        </w:tc>
        <w:tc>
          <w:tcPr>
            <w:tcW w:w="850" w:type="dxa"/>
            <w:tcBorders>
              <w:top w:val="nil"/>
              <w:left w:val="single" w:sz="4" w:space="0" w:color="auto"/>
              <w:bottom w:val="nil"/>
              <w:right w:val="nil"/>
            </w:tcBorders>
            <w:shd w:val="clear" w:color="auto" w:fill="auto"/>
            <w:noWrap/>
            <w:vAlign w:val="center"/>
            <w:hideMark/>
          </w:tcPr>
          <w:p w14:paraId="63456685" w14:textId="77777777" w:rsidR="00387142" w:rsidRPr="008B6A75" w:rsidRDefault="00387142" w:rsidP="00387142">
            <w:pPr>
              <w:jc w:val="center"/>
              <w:rPr>
                <w:bCs/>
                <w:sz w:val="20"/>
                <w:szCs w:val="20"/>
              </w:rPr>
            </w:pPr>
            <w:r w:rsidRPr="008B6A75">
              <w:rPr>
                <w:bCs/>
                <w:sz w:val="20"/>
                <w:szCs w:val="20"/>
              </w:rPr>
              <w:t>444</w:t>
            </w:r>
          </w:p>
        </w:tc>
        <w:tc>
          <w:tcPr>
            <w:tcW w:w="709" w:type="dxa"/>
            <w:tcBorders>
              <w:top w:val="nil"/>
              <w:left w:val="single" w:sz="4" w:space="0" w:color="auto"/>
              <w:bottom w:val="nil"/>
              <w:right w:val="nil"/>
            </w:tcBorders>
            <w:shd w:val="clear" w:color="auto" w:fill="auto"/>
            <w:noWrap/>
            <w:vAlign w:val="center"/>
            <w:hideMark/>
          </w:tcPr>
          <w:p w14:paraId="787AE3A4" w14:textId="77777777" w:rsidR="00387142" w:rsidRPr="008B6A75" w:rsidRDefault="00387142" w:rsidP="00387142">
            <w:pPr>
              <w:jc w:val="center"/>
              <w:rPr>
                <w:bCs/>
                <w:sz w:val="20"/>
                <w:szCs w:val="20"/>
              </w:rPr>
            </w:pPr>
            <w:r w:rsidRPr="008B6A75">
              <w:rPr>
                <w:bCs/>
                <w:sz w:val="20"/>
                <w:szCs w:val="20"/>
              </w:rPr>
              <w:t>14</w:t>
            </w:r>
          </w:p>
        </w:tc>
        <w:tc>
          <w:tcPr>
            <w:tcW w:w="709" w:type="dxa"/>
            <w:tcBorders>
              <w:top w:val="nil"/>
              <w:left w:val="single" w:sz="4" w:space="0" w:color="auto"/>
              <w:bottom w:val="nil"/>
              <w:right w:val="single" w:sz="4" w:space="0" w:color="auto"/>
            </w:tcBorders>
            <w:shd w:val="clear" w:color="auto" w:fill="auto"/>
            <w:noWrap/>
            <w:vAlign w:val="center"/>
            <w:hideMark/>
          </w:tcPr>
          <w:p w14:paraId="1D7BF6ED" w14:textId="77777777" w:rsidR="00387142" w:rsidRPr="008B6A75" w:rsidRDefault="00387142" w:rsidP="00387142">
            <w:pPr>
              <w:jc w:val="center"/>
              <w:rPr>
                <w:bCs/>
                <w:sz w:val="20"/>
                <w:szCs w:val="20"/>
              </w:rPr>
            </w:pPr>
            <w:r w:rsidRPr="008B6A75">
              <w:rPr>
                <w:bCs/>
                <w:sz w:val="20"/>
                <w:szCs w:val="20"/>
              </w:rPr>
              <w:t> </w:t>
            </w:r>
          </w:p>
        </w:tc>
        <w:tc>
          <w:tcPr>
            <w:tcW w:w="1411" w:type="dxa"/>
            <w:tcBorders>
              <w:top w:val="nil"/>
              <w:left w:val="single" w:sz="4" w:space="0" w:color="auto"/>
              <w:bottom w:val="nil"/>
              <w:right w:val="nil"/>
            </w:tcBorders>
            <w:shd w:val="clear" w:color="auto" w:fill="auto"/>
            <w:noWrap/>
            <w:vAlign w:val="center"/>
            <w:hideMark/>
          </w:tcPr>
          <w:p w14:paraId="37BCAEC0" w14:textId="77777777" w:rsidR="00387142" w:rsidRPr="008B6A75" w:rsidRDefault="00387142" w:rsidP="00387142">
            <w:pPr>
              <w:jc w:val="center"/>
              <w:rPr>
                <w:bCs/>
                <w:sz w:val="20"/>
                <w:szCs w:val="20"/>
              </w:rPr>
            </w:pPr>
            <w:r w:rsidRPr="008B6A75">
              <w:rPr>
                <w:bCs/>
                <w:sz w:val="20"/>
                <w:szCs w:val="20"/>
              </w:rPr>
              <w:t> </w:t>
            </w:r>
          </w:p>
        </w:tc>
        <w:tc>
          <w:tcPr>
            <w:tcW w:w="955" w:type="dxa"/>
            <w:tcBorders>
              <w:top w:val="nil"/>
              <w:left w:val="single" w:sz="4" w:space="0" w:color="auto"/>
              <w:bottom w:val="nil"/>
              <w:right w:val="single" w:sz="4" w:space="0" w:color="auto"/>
            </w:tcBorders>
            <w:shd w:val="clear" w:color="auto" w:fill="auto"/>
            <w:noWrap/>
            <w:vAlign w:val="center"/>
            <w:hideMark/>
          </w:tcPr>
          <w:p w14:paraId="5C88CE9F"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nil"/>
              <w:right w:val="single" w:sz="4" w:space="0" w:color="auto"/>
            </w:tcBorders>
            <w:shd w:val="clear" w:color="auto" w:fill="auto"/>
            <w:noWrap/>
            <w:vAlign w:val="center"/>
            <w:hideMark/>
          </w:tcPr>
          <w:p w14:paraId="076B7F8F" w14:textId="77777777" w:rsidR="00387142" w:rsidRPr="008B6A75" w:rsidRDefault="00387142" w:rsidP="00387142">
            <w:pPr>
              <w:jc w:val="right"/>
              <w:rPr>
                <w:bCs/>
                <w:sz w:val="20"/>
                <w:szCs w:val="20"/>
              </w:rPr>
            </w:pPr>
            <w:r w:rsidRPr="008B6A75">
              <w:rPr>
                <w:bCs/>
                <w:sz w:val="20"/>
                <w:szCs w:val="20"/>
              </w:rPr>
              <w:t>221 232 644,46</w:t>
            </w:r>
          </w:p>
        </w:tc>
        <w:tc>
          <w:tcPr>
            <w:tcW w:w="992" w:type="dxa"/>
            <w:gridSpan w:val="2"/>
            <w:tcBorders>
              <w:top w:val="nil"/>
              <w:left w:val="single" w:sz="4" w:space="0" w:color="auto"/>
              <w:bottom w:val="nil"/>
              <w:right w:val="nil"/>
            </w:tcBorders>
            <w:shd w:val="clear" w:color="auto" w:fill="auto"/>
            <w:noWrap/>
            <w:vAlign w:val="center"/>
            <w:hideMark/>
          </w:tcPr>
          <w:p w14:paraId="4209439A" w14:textId="77777777" w:rsidR="00387142" w:rsidRPr="008B6A75" w:rsidRDefault="00387142" w:rsidP="00387142">
            <w:pPr>
              <w:jc w:val="right"/>
              <w:rPr>
                <w:bCs/>
                <w:sz w:val="20"/>
                <w:szCs w:val="20"/>
              </w:rPr>
            </w:pPr>
            <w:r w:rsidRPr="008B6A75">
              <w:rPr>
                <w:bCs/>
                <w:sz w:val="20"/>
                <w:szCs w:val="20"/>
              </w:rPr>
              <w:t>72 707 900,00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78733CB0" w14:textId="77777777" w:rsidR="00387142" w:rsidRPr="008B6A75" w:rsidRDefault="00387142" w:rsidP="00387142">
            <w:pPr>
              <w:jc w:val="right"/>
              <w:rPr>
                <w:bCs/>
                <w:sz w:val="20"/>
                <w:szCs w:val="20"/>
              </w:rPr>
            </w:pPr>
            <w:r w:rsidRPr="008B6A75">
              <w:rPr>
                <w:bCs/>
                <w:sz w:val="20"/>
                <w:szCs w:val="20"/>
              </w:rPr>
              <w:t>51 417 300,00</w:t>
            </w:r>
          </w:p>
        </w:tc>
        <w:tc>
          <w:tcPr>
            <w:tcW w:w="222" w:type="dxa"/>
            <w:vAlign w:val="center"/>
            <w:hideMark/>
          </w:tcPr>
          <w:p w14:paraId="77EC32A8" w14:textId="77777777" w:rsidR="00387142" w:rsidRPr="008B6A75" w:rsidRDefault="00387142" w:rsidP="00387142">
            <w:pPr>
              <w:rPr>
                <w:sz w:val="20"/>
                <w:szCs w:val="20"/>
              </w:rPr>
            </w:pPr>
          </w:p>
        </w:tc>
      </w:tr>
      <w:tr w:rsidR="00387142" w:rsidRPr="008B6A75" w14:paraId="290C35A2" w14:textId="77777777" w:rsidTr="00387142">
        <w:trPr>
          <w:trHeight w:val="870"/>
        </w:trPr>
        <w:tc>
          <w:tcPr>
            <w:tcW w:w="3021" w:type="dxa"/>
            <w:tcBorders>
              <w:top w:val="single" w:sz="4" w:space="0" w:color="auto"/>
              <w:left w:val="single" w:sz="4" w:space="0" w:color="auto"/>
              <w:bottom w:val="nil"/>
              <w:right w:val="nil"/>
            </w:tcBorders>
            <w:shd w:val="clear" w:color="auto" w:fill="auto"/>
            <w:vAlign w:val="center"/>
            <w:hideMark/>
          </w:tcPr>
          <w:p w14:paraId="77A98571" w14:textId="77777777" w:rsidR="00387142" w:rsidRPr="008B6A75" w:rsidRDefault="00387142" w:rsidP="00387142">
            <w:pPr>
              <w:rPr>
                <w:bCs/>
                <w:sz w:val="20"/>
                <w:szCs w:val="20"/>
              </w:rPr>
            </w:pPr>
            <w:r w:rsidRPr="008B6A75">
              <w:rPr>
                <w:bCs/>
                <w:sz w:val="20"/>
                <w:szCs w:val="20"/>
              </w:rPr>
              <w:t>Дотации на выравнивание бюджетной обеспеченности субъектов Российской Федерации и муниципальных образований</w:t>
            </w:r>
          </w:p>
        </w:tc>
        <w:tc>
          <w:tcPr>
            <w:tcW w:w="850" w:type="dxa"/>
            <w:tcBorders>
              <w:top w:val="single" w:sz="4" w:space="0" w:color="auto"/>
              <w:left w:val="single" w:sz="4" w:space="0" w:color="auto"/>
              <w:bottom w:val="nil"/>
              <w:right w:val="nil"/>
            </w:tcBorders>
            <w:shd w:val="clear" w:color="auto" w:fill="auto"/>
            <w:noWrap/>
            <w:vAlign w:val="center"/>
            <w:hideMark/>
          </w:tcPr>
          <w:p w14:paraId="3D712D99" w14:textId="77777777" w:rsidR="00387142" w:rsidRPr="008B6A75" w:rsidRDefault="00387142" w:rsidP="00387142">
            <w:pPr>
              <w:jc w:val="center"/>
              <w:rPr>
                <w:bCs/>
                <w:sz w:val="20"/>
                <w:szCs w:val="20"/>
              </w:rPr>
            </w:pPr>
            <w:r w:rsidRPr="008B6A75">
              <w:rPr>
                <w:bCs/>
                <w:sz w:val="20"/>
                <w:szCs w:val="20"/>
              </w:rPr>
              <w:t>444</w:t>
            </w:r>
          </w:p>
        </w:tc>
        <w:tc>
          <w:tcPr>
            <w:tcW w:w="709" w:type="dxa"/>
            <w:tcBorders>
              <w:top w:val="single" w:sz="4" w:space="0" w:color="auto"/>
              <w:left w:val="single" w:sz="4" w:space="0" w:color="auto"/>
              <w:bottom w:val="nil"/>
              <w:right w:val="nil"/>
            </w:tcBorders>
            <w:shd w:val="clear" w:color="auto" w:fill="auto"/>
            <w:noWrap/>
            <w:vAlign w:val="center"/>
            <w:hideMark/>
          </w:tcPr>
          <w:p w14:paraId="39EF0FA3" w14:textId="77777777" w:rsidR="00387142" w:rsidRPr="008B6A75" w:rsidRDefault="00387142" w:rsidP="00387142">
            <w:pPr>
              <w:jc w:val="center"/>
              <w:rPr>
                <w:bCs/>
                <w:sz w:val="20"/>
                <w:szCs w:val="20"/>
              </w:rPr>
            </w:pPr>
            <w:r w:rsidRPr="008B6A75">
              <w:rPr>
                <w:bCs/>
                <w:sz w:val="20"/>
                <w:szCs w:val="20"/>
              </w:rPr>
              <w:t>14</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2337BDE1" w14:textId="77777777" w:rsidR="00387142" w:rsidRPr="008B6A75" w:rsidRDefault="00387142" w:rsidP="00387142">
            <w:pPr>
              <w:jc w:val="center"/>
              <w:rPr>
                <w:bCs/>
                <w:sz w:val="20"/>
                <w:szCs w:val="20"/>
              </w:rPr>
            </w:pPr>
            <w:r w:rsidRPr="008B6A75">
              <w:rPr>
                <w:bCs/>
                <w:sz w:val="20"/>
                <w:szCs w:val="20"/>
              </w:rPr>
              <w:t>01</w:t>
            </w:r>
          </w:p>
        </w:tc>
        <w:tc>
          <w:tcPr>
            <w:tcW w:w="1411" w:type="dxa"/>
            <w:tcBorders>
              <w:top w:val="single" w:sz="4" w:space="0" w:color="auto"/>
              <w:left w:val="single" w:sz="4" w:space="0" w:color="auto"/>
              <w:bottom w:val="nil"/>
              <w:right w:val="nil"/>
            </w:tcBorders>
            <w:shd w:val="clear" w:color="auto" w:fill="auto"/>
            <w:noWrap/>
            <w:vAlign w:val="center"/>
            <w:hideMark/>
          </w:tcPr>
          <w:p w14:paraId="2C7C162A" w14:textId="77777777" w:rsidR="00387142" w:rsidRPr="008B6A75" w:rsidRDefault="00387142" w:rsidP="00387142">
            <w:pPr>
              <w:jc w:val="center"/>
              <w:rPr>
                <w:bCs/>
                <w:sz w:val="20"/>
                <w:szCs w:val="20"/>
              </w:rPr>
            </w:pPr>
            <w:r w:rsidRPr="008B6A75">
              <w:rPr>
                <w:bCs/>
                <w:sz w:val="20"/>
                <w:szCs w:val="20"/>
              </w:rPr>
              <w:t> </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2F6B104B" w14:textId="77777777" w:rsidR="00387142" w:rsidRPr="008B6A75" w:rsidRDefault="00387142" w:rsidP="00387142">
            <w:pPr>
              <w:jc w:val="center"/>
              <w:rPr>
                <w:bCs/>
                <w:sz w:val="20"/>
                <w:szCs w:val="20"/>
              </w:rPr>
            </w:pPr>
            <w:r w:rsidRPr="008B6A75">
              <w:rPr>
                <w:bCs/>
                <w:sz w:val="20"/>
                <w:szCs w:val="20"/>
              </w:rPr>
              <w:t> </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395CC837" w14:textId="77777777" w:rsidR="00387142" w:rsidRPr="008B6A75" w:rsidRDefault="00387142" w:rsidP="00387142">
            <w:pPr>
              <w:jc w:val="right"/>
              <w:rPr>
                <w:bCs/>
                <w:sz w:val="20"/>
                <w:szCs w:val="20"/>
              </w:rPr>
            </w:pPr>
            <w:r w:rsidRPr="008B6A75">
              <w:rPr>
                <w:bCs/>
                <w:sz w:val="20"/>
                <w:szCs w:val="20"/>
              </w:rPr>
              <w:t>123 737 600,00</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3779BDF2" w14:textId="77777777" w:rsidR="00387142" w:rsidRPr="008B6A75" w:rsidRDefault="00387142" w:rsidP="00387142">
            <w:pPr>
              <w:jc w:val="right"/>
              <w:rPr>
                <w:bCs/>
                <w:sz w:val="20"/>
                <w:szCs w:val="20"/>
              </w:rPr>
            </w:pPr>
            <w:r w:rsidRPr="008B6A75">
              <w:rPr>
                <w:bCs/>
                <w:sz w:val="20"/>
                <w:szCs w:val="20"/>
              </w:rPr>
              <w:t>72 707 900,00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5478D031" w14:textId="77777777" w:rsidR="00387142" w:rsidRPr="008B6A75" w:rsidRDefault="00387142" w:rsidP="00387142">
            <w:pPr>
              <w:jc w:val="right"/>
              <w:rPr>
                <w:bCs/>
                <w:sz w:val="20"/>
                <w:szCs w:val="20"/>
              </w:rPr>
            </w:pPr>
            <w:r w:rsidRPr="008B6A75">
              <w:rPr>
                <w:bCs/>
                <w:sz w:val="20"/>
                <w:szCs w:val="20"/>
              </w:rPr>
              <w:t>51 417 300,00</w:t>
            </w:r>
          </w:p>
        </w:tc>
        <w:tc>
          <w:tcPr>
            <w:tcW w:w="222" w:type="dxa"/>
            <w:vAlign w:val="center"/>
            <w:hideMark/>
          </w:tcPr>
          <w:p w14:paraId="39D7DB7E" w14:textId="77777777" w:rsidR="00387142" w:rsidRPr="008B6A75" w:rsidRDefault="00387142" w:rsidP="00387142">
            <w:pPr>
              <w:rPr>
                <w:sz w:val="20"/>
                <w:szCs w:val="20"/>
              </w:rPr>
            </w:pPr>
          </w:p>
        </w:tc>
      </w:tr>
      <w:tr w:rsidR="00387142" w:rsidRPr="008B6A75" w14:paraId="6E5592A3" w14:textId="77777777" w:rsidTr="00387142">
        <w:trPr>
          <w:trHeight w:val="300"/>
        </w:trPr>
        <w:tc>
          <w:tcPr>
            <w:tcW w:w="3021" w:type="dxa"/>
            <w:tcBorders>
              <w:top w:val="single" w:sz="4" w:space="0" w:color="auto"/>
              <w:left w:val="single" w:sz="4" w:space="0" w:color="auto"/>
              <w:bottom w:val="nil"/>
              <w:right w:val="nil"/>
            </w:tcBorders>
            <w:shd w:val="clear" w:color="auto" w:fill="auto"/>
            <w:vAlign w:val="center"/>
            <w:hideMark/>
          </w:tcPr>
          <w:p w14:paraId="54725EEB" w14:textId="77777777" w:rsidR="00387142" w:rsidRPr="008B6A75" w:rsidRDefault="00387142" w:rsidP="00387142">
            <w:pPr>
              <w:rPr>
                <w:bCs/>
                <w:sz w:val="20"/>
                <w:szCs w:val="20"/>
              </w:rPr>
            </w:pPr>
            <w:r w:rsidRPr="008B6A75">
              <w:rPr>
                <w:bCs/>
                <w:sz w:val="20"/>
                <w:szCs w:val="20"/>
              </w:rPr>
              <w:t>Непрограммные направления бюджета</w:t>
            </w:r>
          </w:p>
        </w:tc>
        <w:tc>
          <w:tcPr>
            <w:tcW w:w="850" w:type="dxa"/>
            <w:tcBorders>
              <w:top w:val="single" w:sz="4" w:space="0" w:color="auto"/>
              <w:left w:val="single" w:sz="4" w:space="0" w:color="auto"/>
              <w:bottom w:val="nil"/>
              <w:right w:val="nil"/>
            </w:tcBorders>
            <w:shd w:val="clear" w:color="auto" w:fill="auto"/>
            <w:noWrap/>
            <w:vAlign w:val="center"/>
            <w:hideMark/>
          </w:tcPr>
          <w:p w14:paraId="42B039C2" w14:textId="77777777" w:rsidR="00387142" w:rsidRPr="008B6A75" w:rsidRDefault="00387142" w:rsidP="00387142">
            <w:pPr>
              <w:jc w:val="center"/>
              <w:rPr>
                <w:bCs/>
                <w:sz w:val="20"/>
                <w:szCs w:val="20"/>
              </w:rPr>
            </w:pPr>
            <w:r w:rsidRPr="008B6A75">
              <w:rPr>
                <w:bCs/>
                <w:sz w:val="20"/>
                <w:szCs w:val="20"/>
              </w:rPr>
              <w:t>444</w:t>
            </w:r>
          </w:p>
        </w:tc>
        <w:tc>
          <w:tcPr>
            <w:tcW w:w="709" w:type="dxa"/>
            <w:tcBorders>
              <w:top w:val="single" w:sz="4" w:space="0" w:color="auto"/>
              <w:left w:val="single" w:sz="4" w:space="0" w:color="auto"/>
              <w:bottom w:val="nil"/>
              <w:right w:val="nil"/>
            </w:tcBorders>
            <w:shd w:val="clear" w:color="auto" w:fill="auto"/>
            <w:noWrap/>
            <w:vAlign w:val="center"/>
            <w:hideMark/>
          </w:tcPr>
          <w:p w14:paraId="7DA49FE3" w14:textId="77777777" w:rsidR="00387142" w:rsidRPr="008B6A75" w:rsidRDefault="00387142" w:rsidP="00387142">
            <w:pPr>
              <w:jc w:val="center"/>
              <w:rPr>
                <w:bCs/>
                <w:sz w:val="20"/>
                <w:szCs w:val="20"/>
              </w:rPr>
            </w:pPr>
            <w:r w:rsidRPr="008B6A75">
              <w:rPr>
                <w:bCs/>
                <w:sz w:val="20"/>
                <w:szCs w:val="20"/>
              </w:rPr>
              <w:t>14</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2F96D48E" w14:textId="77777777" w:rsidR="00387142" w:rsidRPr="008B6A75" w:rsidRDefault="00387142" w:rsidP="00387142">
            <w:pPr>
              <w:jc w:val="center"/>
              <w:rPr>
                <w:bCs/>
                <w:sz w:val="20"/>
                <w:szCs w:val="20"/>
              </w:rPr>
            </w:pPr>
            <w:r w:rsidRPr="008B6A75">
              <w:rPr>
                <w:bCs/>
                <w:sz w:val="20"/>
                <w:szCs w:val="20"/>
              </w:rPr>
              <w:t>01</w:t>
            </w:r>
          </w:p>
        </w:tc>
        <w:tc>
          <w:tcPr>
            <w:tcW w:w="1411" w:type="dxa"/>
            <w:tcBorders>
              <w:top w:val="single" w:sz="4" w:space="0" w:color="auto"/>
              <w:left w:val="single" w:sz="4" w:space="0" w:color="auto"/>
              <w:bottom w:val="nil"/>
              <w:right w:val="nil"/>
            </w:tcBorders>
            <w:shd w:val="clear" w:color="auto" w:fill="auto"/>
            <w:noWrap/>
            <w:vAlign w:val="center"/>
            <w:hideMark/>
          </w:tcPr>
          <w:p w14:paraId="486526A0" w14:textId="77777777" w:rsidR="00387142" w:rsidRPr="008B6A75" w:rsidRDefault="00387142" w:rsidP="00387142">
            <w:pPr>
              <w:jc w:val="center"/>
              <w:rPr>
                <w:bCs/>
                <w:sz w:val="20"/>
                <w:szCs w:val="20"/>
              </w:rPr>
            </w:pPr>
            <w:r w:rsidRPr="008B6A75">
              <w:rPr>
                <w:bCs/>
                <w:sz w:val="20"/>
                <w:szCs w:val="20"/>
              </w:rPr>
              <w:t>99.0.00.00000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6B879633" w14:textId="77777777" w:rsidR="00387142" w:rsidRPr="008B6A75" w:rsidRDefault="00387142" w:rsidP="00387142">
            <w:pPr>
              <w:jc w:val="center"/>
              <w:rPr>
                <w:bCs/>
                <w:sz w:val="20"/>
                <w:szCs w:val="20"/>
              </w:rPr>
            </w:pPr>
            <w:r w:rsidRPr="008B6A75">
              <w:rPr>
                <w:bCs/>
                <w:sz w:val="20"/>
                <w:szCs w:val="20"/>
              </w:rPr>
              <w:t> </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4B9A06B5" w14:textId="77777777" w:rsidR="00387142" w:rsidRPr="008B6A75" w:rsidRDefault="00387142" w:rsidP="00387142">
            <w:pPr>
              <w:jc w:val="right"/>
              <w:rPr>
                <w:bCs/>
                <w:sz w:val="20"/>
                <w:szCs w:val="20"/>
              </w:rPr>
            </w:pPr>
            <w:r w:rsidRPr="008B6A75">
              <w:rPr>
                <w:bCs/>
                <w:sz w:val="20"/>
                <w:szCs w:val="20"/>
              </w:rPr>
              <w:t>123 737 600,00</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6F00220C" w14:textId="77777777" w:rsidR="00387142" w:rsidRPr="008B6A75" w:rsidRDefault="00387142" w:rsidP="00387142">
            <w:pPr>
              <w:jc w:val="right"/>
              <w:rPr>
                <w:bCs/>
                <w:sz w:val="20"/>
                <w:szCs w:val="20"/>
              </w:rPr>
            </w:pPr>
            <w:r w:rsidRPr="008B6A75">
              <w:rPr>
                <w:bCs/>
                <w:sz w:val="20"/>
                <w:szCs w:val="20"/>
              </w:rPr>
              <w:t>72 707 900,00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73270D75" w14:textId="77777777" w:rsidR="00387142" w:rsidRPr="008B6A75" w:rsidRDefault="00387142" w:rsidP="00387142">
            <w:pPr>
              <w:jc w:val="right"/>
              <w:rPr>
                <w:bCs/>
                <w:sz w:val="20"/>
                <w:szCs w:val="20"/>
              </w:rPr>
            </w:pPr>
            <w:r w:rsidRPr="008B6A75">
              <w:rPr>
                <w:bCs/>
                <w:sz w:val="20"/>
                <w:szCs w:val="20"/>
              </w:rPr>
              <w:t>51 417 300,00</w:t>
            </w:r>
          </w:p>
        </w:tc>
        <w:tc>
          <w:tcPr>
            <w:tcW w:w="222" w:type="dxa"/>
            <w:vAlign w:val="center"/>
            <w:hideMark/>
          </w:tcPr>
          <w:p w14:paraId="3C3C3F4F" w14:textId="77777777" w:rsidR="00387142" w:rsidRPr="008B6A75" w:rsidRDefault="00387142" w:rsidP="00387142">
            <w:pPr>
              <w:rPr>
                <w:sz w:val="20"/>
                <w:szCs w:val="20"/>
              </w:rPr>
            </w:pPr>
          </w:p>
        </w:tc>
      </w:tr>
      <w:tr w:rsidR="00387142" w:rsidRPr="008B6A75" w14:paraId="71DC8D83" w14:textId="77777777" w:rsidTr="00387142">
        <w:trPr>
          <w:trHeight w:val="1155"/>
        </w:trPr>
        <w:tc>
          <w:tcPr>
            <w:tcW w:w="3021" w:type="dxa"/>
            <w:tcBorders>
              <w:top w:val="single" w:sz="4" w:space="0" w:color="auto"/>
              <w:left w:val="single" w:sz="4" w:space="0" w:color="auto"/>
              <w:bottom w:val="nil"/>
              <w:right w:val="nil"/>
            </w:tcBorders>
            <w:shd w:val="clear" w:color="auto" w:fill="auto"/>
            <w:vAlign w:val="center"/>
            <w:hideMark/>
          </w:tcPr>
          <w:p w14:paraId="63E7685B" w14:textId="77777777" w:rsidR="00387142" w:rsidRPr="008B6A75" w:rsidRDefault="00387142" w:rsidP="00387142">
            <w:pPr>
              <w:rPr>
                <w:bCs/>
                <w:sz w:val="20"/>
                <w:szCs w:val="20"/>
              </w:rPr>
            </w:pPr>
            <w:r w:rsidRPr="008B6A75">
              <w:rPr>
                <w:bCs/>
                <w:sz w:val="20"/>
                <w:szCs w:val="20"/>
              </w:rPr>
              <w:t xml:space="preserve">Осуществление отдельных государственных полномочий Новосибирской области по расчету и предоставлению дотаций бюджетам поселений </w:t>
            </w:r>
          </w:p>
        </w:tc>
        <w:tc>
          <w:tcPr>
            <w:tcW w:w="850" w:type="dxa"/>
            <w:tcBorders>
              <w:top w:val="single" w:sz="4" w:space="0" w:color="auto"/>
              <w:left w:val="single" w:sz="4" w:space="0" w:color="auto"/>
              <w:bottom w:val="nil"/>
              <w:right w:val="nil"/>
            </w:tcBorders>
            <w:shd w:val="clear" w:color="auto" w:fill="auto"/>
            <w:noWrap/>
            <w:vAlign w:val="center"/>
            <w:hideMark/>
          </w:tcPr>
          <w:p w14:paraId="3F9B4FB0" w14:textId="77777777" w:rsidR="00387142" w:rsidRPr="008B6A75" w:rsidRDefault="00387142" w:rsidP="00387142">
            <w:pPr>
              <w:jc w:val="center"/>
              <w:rPr>
                <w:bCs/>
                <w:sz w:val="20"/>
                <w:szCs w:val="20"/>
              </w:rPr>
            </w:pPr>
            <w:r w:rsidRPr="008B6A75">
              <w:rPr>
                <w:bCs/>
                <w:sz w:val="20"/>
                <w:szCs w:val="20"/>
              </w:rPr>
              <w:t>444</w:t>
            </w:r>
          </w:p>
        </w:tc>
        <w:tc>
          <w:tcPr>
            <w:tcW w:w="709" w:type="dxa"/>
            <w:tcBorders>
              <w:top w:val="single" w:sz="4" w:space="0" w:color="auto"/>
              <w:left w:val="single" w:sz="4" w:space="0" w:color="auto"/>
              <w:bottom w:val="nil"/>
              <w:right w:val="nil"/>
            </w:tcBorders>
            <w:shd w:val="clear" w:color="auto" w:fill="auto"/>
            <w:noWrap/>
            <w:vAlign w:val="center"/>
            <w:hideMark/>
          </w:tcPr>
          <w:p w14:paraId="444CEA9B" w14:textId="77777777" w:rsidR="00387142" w:rsidRPr="008B6A75" w:rsidRDefault="00387142" w:rsidP="00387142">
            <w:pPr>
              <w:jc w:val="center"/>
              <w:rPr>
                <w:bCs/>
                <w:sz w:val="20"/>
                <w:szCs w:val="20"/>
              </w:rPr>
            </w:pPr>
            <w:r w:rsidRPr="008B6A75">
              <w:rPr>
                <w:bCs/>
                <w:sz w:val="20"/>
                <w:szCs w:val="20"/>
              </w:rPr>
              <w:t>14</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55D103B7" w14:textId="77777777" w:rsidR="00387142" w:rsidRPr="008B6A75" w:rsidRDefault="00387142" w:rsidP="00387142">
            <w:pPr>
              <w:jc w:val="center"/>
              <w:rPr>
                <w:bCs/>
                <w:sz w:val="20"/>
                <w:szCs w:val="20"/>
              </w:rPr>
            </w:pPr>
            <w:r w:rsidRPr="008B6A75">
              <w:rPr>
                <w:bCs/>
                <w:sz w:val="20"/>
                <w:szCs w:val="20"/>
              </w:rPr>
              <w:t>01</w:t>
            </w:r>
          </w:p>
        </w:tc>
        <w:tc>
          <w:tcPr>
            <w:tcW w:w="1411" w:type="dxa"/>
            <w:tcBorders>
              <w:top w:val="single" w:sz="4" w:space="0" w:color="auto"/>
              <w:left w:val="single" w:sz="4" w:space="0" w:color="auto"/>
              <w:bottom w:val="nil"/>
              <w:right w:val="nil"/>
            </w:tcBorders>
            <w:shd w:val="clear" w:color="auto" w:fill="auto"/>
            <w:noWrap/>
            <w:vAlign w:val="center"/>
            <w:hideMark/>
          </w:tcPr>
          <w:p w14:paraId="4E88614A" w14:textId="77777777" w:rsidR="00387142" w:rsidRPr="008B6A75" w:rsidRDefault="00387142" w:rsidP="00387142">
            <w:pPr>
              <w:jc w:val="center"/>
              <w:rPr>
                <w:bCs/>
                <w:sz w:val="20"/>
                <w:szCs w:val="20"/>
              </w:rPr>
            </w:pPr>
            <w:r w:rsidRPr="008B6A75">
              <w:rPr>
                <w:bCs/>
                <w:sz w:val="20"/>
                <w:szCs w:val="20"/>
              </w:rPr>
              <w:t>99.0.00.70220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61093D9B" w14:textId="77777777" w:rsidR="00387142" w:rsidRPr="008B6A75" w:rsidRDefault="00387142" w:rsidP="00387142">
            <w:pPr>
              <w:jc w:val="center"/>
              <w:rPr>
                <w:bCs/>
                <w:sz w:val="20"/>
                <w:szCs w:val="20"/>
              </w:rPr>
            </w:pPr>
            <w:r w:rsidRPr="008B6A75">
              <w:rPr>
                <w:bCs/>
                <w:sz w:val="20"/>
                <w:szCs w:val="20"/>
              </w:rPr>
              <w:t> </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3A8D4876" w14:textId="77777777" w:rsidR="00387142" w:rsidRPr="008B6A75" w:rsidRDefault="00387142" w:rsidP="00387142">
            <w:pPr>
              <w:jc w:val="right"/>
              <w:rPr>
                <w:bCs/>
                <w:sz w:val="20"/>
                <w:szCs w:val="20"/>
              </w:rPr>
            </w:pPr>
            <w:r w:rsidRPr="008B6A75">
              <w:rPr>
                <w:bCs/>
                <w:sz w:val="20"/>
                <w:szCs w:val="20"/>
              </w:rPr>
              <w:t>74 764 300,00</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5921B8F2" w14:textId="77777777" w:rsidR="00387142" w:rsidRPr="008B6A75" w:rsidRDefault="00387142" w:rsidP="00387142">
            <w:pPr>
              <w:jc w:val="right"/>
              <w:rPr>
                <w:bCs/>
                <w:sz w:val="20"/>
                <w:szCs w:val="20"/>
              </w:rPr>
            </w:pPr>
            <w:r w:rsidRPr="008B6A75">
              <w:rPr>
                <w:bCs/>
                <w:sz w:val="20"/>
                <w:szCs w:val="20"/>
              </w:rPr>
              <w:t>72 707 900,00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7DC11332" w14:textId="77777777" w:rsidR="00387142" w:rsidRPr="008B6A75" w:rsidRDefault="00387142" w:rsidP="00387142">
            <w:pPr>
              <w:jc w:val="right"/>
              <w:rPr>
                <w:bCs/>
                <w:sz w:val="20"/>
                <w:szCs w:val="20"/>
              </w:rPr>
            </w:pPr>
            <w:r w:rsidRPr="008B6A75">
              <w:rPr>
                <w:bCs/>
                <w:sz w:val="20"/>
                <w:szCs w:val="20"/>
              </w:rPr>
              <w:t>51 417 300,00</w:t>
            </w:r>
          </w:p>
        </w:tc>
        <w:tc>
          <w:tcPr>
            <w:tcW w:w="222" w:type="dxa"/>
            <w:vAlign w:val="center"/>
            <w:hideMark/>
          </w:tcPr>
          <w:p w14:paraId="730A6BF5" w14:textId="77777777" w:rsidR="00387142" w:rsidRPr="008B6A75" w:rsidRDefault="00387142" w:rsidP="00387142">
            <w:pPr>
              <w:rPr>
                <w:sz w:val="20"/>
                <w:szCs w:val="20"/>
              </w:rPr>
            </w:pPr>
          </w:p>
        </w:tc>
      </w:tr>
      <w:tr w:rsidR="00387142" w:rsidRPr="008B6A75" w14:paraId="4FA274B0" w14:textId="77777777" w:rsidTr="00387142">
        <w:trPr>
          <w:trHeight w:val="300"/>
        </w:trPr>
        <w:tc>
          <w:tcPr>
            <w:tcW w:w="3021" w:type="dxa"/>
            <w:tcBorders>
              <w:top w:val="single" w:sz="4" w:space="0" w:color="auto"/>
              <w:left w:val="single" w:sz="4" w:space="0" w:color="auto"/>
              <w:bottom w:val="nil"/>
              <w:right w:val="nil"/>
            </w:tcBorders>
            <w:shd w:val="clear" w:color="auto" w:fill="auto"/>
            <w:vAlign w:val="center"/>
            <w:hideMark/>
          </w:tcPr>
          <w:p w14:paraId="352DD001" w14:textId="77777777" w:rsidR="00387142" w:rsidRPr="008B6A75" w:rsidRDefault="00387142" w:rsidP="00387142">
            <w:pPr>
              <w:rPr>
                <w:sz w:val="20"/>
                <w:szCs w:val="20"/>
              </w:rPr>
            </w:pPr>
            <w:r w:rsidRPr="008B6A75">
              <w:rPr>
                <w:sz w:val="20"/>
                <w:szCs w:val="20"/>
              </w:rPr>
              <w:t>Межбюджетные трансферты</w:t>
            </w:r>
          </w:p>
        </w:tc>
        <w:tc>
          <w:tcPr>
            <w:tcW w:w="850" w:type="dxa"/>
            <w:tcBorders>
              <w:top w:val="single" w:sz="4" w:space="0" w:color="auto"/>
              <w:left w:val="single" w:sz="4" w:space="0" w:color="auto"/>
              <w:bottom w:val="nil"/>
              <w:right w:val="nil"/>
            </w:tcBorders>
            <w:shd w:val="clear" w:color="auto" w:fill="auto"/>
            <w:noWrap/>
            <w:vAlign w:val="center"/>
            <w:hideMark/>
          </w:tcPr>
          <w:p w14:paraId="3991821E" w14:textId="77777777" w:rsidR="00387142" w:rsidRPr="008B6A75" w:rsidRDefault="00387142" w:rsidP="00387142">
            <w:pPr>
              <w:jc w:val="center"/>
              <w:rPr>
                <w:sz w:val="20"/>
                <w:szCs w:val="20"/>
              </w:rPr>
            </w:pPr>
            <w:r w:rsidRPr="008B6A75">
              <w:rPr>
                <w:sz w:val="20"/>
                <w:szCs w:val="20"/>
              </w:rPr>
              <w:t>444</w:t>
            </w:r>
          </w:p>
        </w:tc>
        <w:tc>
          <w:tcPr>
            <w:tcW w:w="709" w:type="dxa"/>
            <w:tcBorders>
              <w:top w:val="single" w:sz="4" w:space="0" w:color="auto"/>
              <w:left w:val="single" w:sz="4" w:space="0" w:color="auto"/>
              <w:bottom w:val="nil"/>
              <w:right w:val="nil"/>
            </w:tcBorders>
            <w:shd w:val="clear" w:color="auto" w:fill="auto"/>
            <w:noWrap/>
            <w:vAlign w:val="center"/>
            <w:hideMark/>
          </w:tcPr>
          <w:p w14:paraId="1E3984E1" w14:textId="77777777" w:rsidR="00387142" w:rsidRPr="008B6A75" w:rsidRDefault="00387142" w:rsidP="00387142">
            <w:pPr>
              <w:jc w:val="center"/>
              <w:rPr>
                <w:sz w:val="20"/>
                <w:szCs w:val="20"/>
              </w:rPr>
            </w:pPr>
            <w:r w:rsidRPr="008B6A75">
              <w:rPr>
                <w:sz w:val="20"/>
                <w:szCs w:val="20"/>
              </w:rPr>
              <w:t>14</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1FAB6642" w14:textId="77777777" w:rsidR="00387142" w:rsidRPr="008B6A75" w:rsidRDefault="00387142" w:rsidP="00387142">
            <w:pPr>
              <w:jc w:val="center"/>
              <w:rPr>
                <w:sz w:val="20"/>
                <w:szCs w:val="20"/>
              </w:rPr>
            </w:pPr>
            <w:r w:rsidRPr="008B6A75">
              <w:rPr>
                <w:sz w:val="20"/>
                <w:szCs w:val="20"/>
              </w:rPr>
              <w:t>01</w:t>
            </w:r>
          </w:p>
        </w:tc>
        <w:tc>
          <w:tcPr>
            <w:tcW w:w="1411" w:type="dxa"/>
            <w:tcBorders>
              <w:top w:val="single" w:sz="4" w:space="0" w:color="auto"/>
              <w:left w:val="single" w:sz="4" w:space="0" w:color="auto"/>
              <w:bottom w:val="nil"/>
              <w:right w:val="nil"/>
            </w:tcBorders>
            <w:shd w:val="clear" w:color="auto" w:fill="auto"/>
            <w:noWrap/>
            <w:vAlign w:val="center"/>
            <w:hideMark/>
          </w:tcPr>
          <w:p w14:paraId="0D7EC680" w14:textId="77777777" w:rsidR="00387142" w:rsidRPr="008B6A75" w:rsidRDefault="00387142" w:rsidP="00387142">
            <w:pPr>
              <w:jc w:val="center"/>
              <w:rPr>
                <w:sz w:val="20"/>
                <w:szCs w:val="20"/>
              </w:rPr>
            </w:pPr>
            <w:r w:rsidRPr="008B6A75">
              <w:rPr>
                <w:sz w:val="20"/>
                <w:szCs w:val="20"/>
              </w:rPr>
              <w:t>99.0.00.70220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5391CBC7" w14:textId="77777777" w:rsidR="00387142" w:rsidRPr="008B6A75" w:rsidRDefault="00387142" w:rsidP="00387142">
            <w:pPr>
              <w:jc w:val="center"/>
              <w:rPr>
                <w:sz w:val="20"/>
                <w:szCs w:val="20"/>
              </w:rPr>
            </w:pPr>
            <w:r w:rsidRPr="008B6A75">
              <w:rPr>
                <w:sz w:val="20"/>
                <w:szCs w:val="20"/>
              </w:rPr>
              <w:t>500</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1B4382BD" w14:textId="77777777" w:rsidR="00387142" w:rsidRPr="008B6A75" w:rsidRDefault="00387142" w:rsidP="00387142">
            <w:pPr>
              <w:jc w:val="right"/>
              <w:rPr>
                <w:sz w:val="20"/>
                <w:szCs w:val="20"/>
              </w:rPr>
            </w:pPr>
            <w:r w:rsidRPr="008B6A75">
              <w:rPr>
                <w:sz w:val="20"/>
                <w:szCs w:val="20"/>
              </w:rPr>
              <w:t>74 764 300,00</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07FB404A" w14:textId="77777777" w:rsidR="00387142" w:rsidRPr="008B6A75" w:rsidRDefault="00387142" w:rsidP="00387142">
            <w:pPr>
              <w:jc w:val="right"/>
              <w:rPr>
                <w:sz w:val="20"/>
                <w:szCs w:val="20"/>
              </w:rPr>
            </w:pPr>
            <w:r w:rsidRPr="008B6A75">
              <w:rPr>
                <w:sz w:val="20"/>
                <w:szCs w:val="20"/>
              </w:rPr>
              <w:t>72 707 900,00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4CDE1021" w14:textId="77777777" w:rsidR="00387142" w:rsidRPr="008B6A75" w:rsidRDefault="00387142" w:rsidP="00387142">
            <w:pPr>
              <w:jc w:val="right"/>
              <w:rPr>
                <w:sz w:val="20"/>
                <w:szCs w:val="20"/>
              </w:rPr>
            </w:pPr>
            <w:r w:rsidRPr="008B6A75">
              <w:rPr>
                <w:sz w:val="20"/>
                <w:szCs w:val="20"/>
              </w:rPr>
              <w:t>51 417 300,00</w:t>
            </w:r>
          </w:p>
        </w:tc>
        <w:tc>
          <w:tcPr>
            <w:tcW w:w="222" w:type="dxa"/>
            <w:vAlign w:val="center"/>
            <w:hideMark/>
          </w:tcPr>
          <w:p w14:paraId="7E1D9322" w14:textId="77777777" w:rsidR="00387142" w:rsidRPr="008B6A75" w:rsidRDefault="00387142" w:rsidP="00387142">
            <w:pPr>
              <w:rPr>
                <w:sz w:val="20"/>
                <w:szCs w:val="20"/>
              </w:rPr>
            </w:pPr>
          </w:p>
        </w:tc>
      </w:tr>
      <w:tr w:rsidR="00387142" w:rsidRPr="008B6A75" w14:paraId="631C2FC0" w14:textId="77777777" w:rsidTr="00387142">
        <w:trPr>
          <w:trHeight w:val="300"/>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26636F29" w14:textId="77777777" w:rsidR="00387142" w:rsidRPr="008B6A75" w:rsidRDefault="00387142" w:rsidP="00387142">
            <w:pPr>
              <w:rPr>
                <w:sz w:val="20"/>
                <w:szCs w:val="20"/>
              </w:rPr>
            </w:pPr>
            <w:r w:rsidRPr="008B6A75">
              <w:rPr>
                <w:sz w:val="20"/>
                <w:szCs w:val="20"/>
              </w:rPr>
              <w:t>Дотации</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4FAC4EF6" w14:textId="77777777" w:rsidR="00387142" w:rsidRPr="008B6A75" w:rsidRDefault="00387142" w:rsidP="00387142">
            <w:pPr>
              <w:jc w:val="center"/>
              <w:rPr>
                <w:sz w:val="20"/>
                <w:szCs w:val="20"/>
              </w:rPr>
            </w:pPr>
            <w:r w:rsidRPr="008B6A75">
              <w:rPr>
                <w:sz w:val="20"/>
                <w:szCs w:val="20"/>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205E0FC2" w14:textId="77777777" w:rsidR="00387142" w:rsidRPr="008B6A75" w:rsidRDefault="00387142" w:rsidP="00387142">
            <w:pPr>
              <w:jc w:val="center"/>
              <w:rPr>
                <w:sz w:val="20"/>
                <w:szCs w:val="20"/>
              </w:rPr>
            </w:pPr>
            <w:r w:rsidRPr="008B6A75">
              <w:rPr>
                <w:sz w:val="20"/>
                <w:szCs w:val="20"/>
              </w:rPr>
              <w:t>14</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8F3787" w14:textId="77777777" w:rsidR="00387142" w:rsidRPr="008B6A75" w:rsidRDefault="00387142" w:rsidP="00387142">
            <w:pPr>
              <w:jc w:val="center"/>
              <w:rPr>
                <w:sz w:val="20"/>
                <w:szCs w:val="20"/>
              </w:rPr>
            </w:pPr>
            <w:r w:rsidRPr="008B6A75">
              <w:rPr>
                <w:sz w:val="20"/>
                <w:szCs w:val="20"/>
              </w:rPr>
              <w:t>01</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38521CC5" w14:textId="77777777" w:rsidR="00387142" w:rsidRPr="008B6A75" w:rsidRDefault="00387142" w:rsidP="00387142">
            <w:pPr>
              <w:jc w:val="center"/>
              <w:rPr>
                <w:sz w:val="20"/>
                <w:szCs w:val="20"/>
              </w:rPr>
            </w:pPr>
            <w:r w:rsidRPr="008B6A75">
              <w:rPr>
                <w:sz w:val="20"/>
                <w:szCs w:val="20"/>
              </w:rPr>
              <w:t>99.0.00.70220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268C88" w14:textId="77777777" w:rsidR="00387142" w:rsidRPr="008B6A75" w:rsidRDefault="00387142" w:rsidP="00387142">
            <w:pPr>
              <w:jc w:val="center"/>
              <w:rPr>
                <w:sz w:val="20"/>
                <w:szCs w:val="20"/>
              </w:rPr>
            </w:pPr>
            <w:r w:rsidRPr="008B6A75">
              <w:rPr>
                <w:sz w:val="20"/>
                <w:szCs w:val="20"/>
              </w:rPr>
              <w:t>510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EA0482" w14:textId="77777777" w:rsidR="00387142" w:rsidRPr="008B6A75" w:rsidRDefault="00387142" w:rsidP="00387142">
            <w:pPr>
              <w:jc w:val="right"/>
              <w:rPr>
                <w:sz w:val="20"/>
                <w:szCs w:val="20"/>
              </w:rPr>
            </w:pPr>
            <w:r w:rsidRPr="008B6A75">
              <w:rPr>
                <w:sz w:val="20"/>
                <w:szCs w:val="20"/>
              </w:rPr>
              <w:t>74 764 300,00</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72BBFDE3" w14:textId="77777777" w:rsidR="00387142" w:rsidRPr="008B6A75" w:rsidRDefault="00387142" w:rsidP="00387142">
            <w:pPr>
              <w:jc w:val="right"/>
              <w:rPr>
                <w:sz w:val="20"/>
                <w:szCs w:val="20"/>
              </w:rPr>
            </w:pPr>
            <w:r w:rsidRPr="008B6A75">
              <w:rPr>
                <w:sz w:val="20"/>
                <w:szCs w:val="20"/>
              </w:rPr>
              <w:t>72 707 900,00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07E7AD" w14:textId="77777777" w:rsidR="00387142" w:rsidRPr="008B6A75" w:rsidRDefault="00387142" w:rsidP="00387142">
            <w:pPr>
              <w:jc w:val="right"/>
              <w:rPr>
                <w:sz w:val="20"/>
                <w:szCs w:val="20"/>
              </w:rPr>
            </w:pPr>
            <w:r w:rsidRPr="008B6A75">
              <w:rPr>
                <w:sz w:val="20"/>
                <w:szCs w:val="20"/>
              </w:rPr>
              <w:t>51 417 300,00</w:t>
            </w:r>
          </w:p>
        </w:tc>
        <w:tc>
          <w:tcPr>
            <w:tcW w:w="222" w:type="dxa"/>
            <w:vAlign w:val="center"/>
            <w:hideMark/>
          </w:tcPr>
          <w:p w14:paraId="174F9537" w14:textId="77777777" w:rsidR="00387142" w:rsidRPr="008B6A75" w:rsidRDefault="00387142" w:rsidP="00387142">
            <w:pPr>
              <w:rPr>
                <w:sz w:val="20"/>
                <w:szCs w:val="20"/>
              </w:rPr>
            </w:pPr>
          </w:p>
        </w:tc>
      </w:tr>
      <w:tr w:rsidR="00387142" w:rsidRPr="008B6A75" w14:paraId="35AC33EF" w14:textId="77777777" w:rsidTr="00387142">
        <w:trPr>
          <w:trHeight w:val="1440"/>
        </w:trPr>
        <w:tc>
          <w:tcPr>
            <w:tcW w:w="3021" w:type="dxa"/>
            <w:tcBorders>
              <w:top w:val="nil"/>
              <w:left w:val="single" w:sz="4" w:space="0" w:color="auto"/>
              <w:bottom w:val="nil"/>
              <w:right w:val="nil"/>
            </w:tcBorders>
            <w:shd w:val="clear" w:color="auto" w:fill="auto"/>
            <w:vAlign w:val="center"/>
            <w:hideMark/>
          </w:tcPr>
          <w:p w14:paraId="4B60D19C" w14:textId="77777777" w:rsidR="00387142" w:rsidRPr="008B6A75" w:rsidRDefault="00387142" w:rsidP="00387142">
            <w:pPr>
              <w:rPr>
                <w:bCs/>
                <w:sz w:val="20"/>
                <w:szCs w:val="20"/>
              </w:rPr>
            </w:pPr>
            <w:r w:rsidRPr="008B6A75">
              <w:rPr>
                <w:bCs/>
                <w:sz w:val="20"/>
                <w:szCs w:val="20"/>
              </w:rPr>
              <w:t xml:space="preserve">Реализация мероприятий по обеспечению сбалансированности местных </w:t>
            </w:r>
            <w:proofErr w:type="gramStart"/>
            <w:r w:rsidRPr="008B6A75">
              <w:rPr>
                <w:bCs/>
                <w:sz w:val="20"/>
                <w:szCs w:val="20"/>
              </w:rPr>
              <w:t>бюджетов  государственной</w:t>
            </w:r>
            <w:proofErr w:type="gramEnd"/>
            <w:r w:rsidRPr="008B6A75">
              <w:rPr>
                <w:bCs/>
                <w:sz w:val="20"/>
                <w:szCs w:val="20"/>
              </w:rPr>
              <w:t xml:space="preserve"> программы Новосибирской области "Управление  финансами в Новосибирской области"</w:t>
            </w:r>
          </w:p>
        </w:tc>
        <w:tc>
          <w:tcPr>
            <w:tcW w:w="850" w:type="dxa"/>
            <w:tcBorders>
              <w:top w:val="nil"/>
              <w:left w:val="single" w:sz="4" w:space="0" w:color="auto"/>
              <w:bottom w:val="nil"/>
              <w:right w:val="nil"/>
            </w:tcBorders>
            <w:shd w:val="clear" w:color="auto" w:fill="auto"/>
            <w:noWrap/>
            <w:vAlign w:val="center"/>
            <w:hideMark/>
          </w:tcPr>
          <w:p w14:paraId="5C5626FC" w14:textId="77777777" w:rsidR="00387142" w:rsidRPr="008B6A75" w:rsidRDefault="00387142" w:rsidP="00387142">
            <w:pPr>
              <w:jc w:val="center"/>
              <w:rPr>
                <w:bCs/>
                <w:sz w:val="20"/>
                <w:szCs w:val="20"/>
              </w:rPr>
            </w:pPr>
            <w:r w:rsidRPr="008B6A75">
              <w:rPr>
                <w:bCs/>
                <w:sz w:val="20"/>
                <w:szCs w:val="20"/>
              </w:rPr>
              <w:t>444</w:t>
            </w:r>
          </w:p>
        </w:tc>
        <w:tc>
          <w:tcPr>
            <w:tcW w:w="709" w:type="dxa"/>
            <w:tcBorders>
              <w:top w:val="nil"/>
              <w:left w:val="single" w:sz="4" w:space="0" w:color="auto"/>
              <w:bottom w:val="nil"/>
              <w:right w:val="nil"/>
            </w:tcBorders>
            <w:shd w:val="clear" w:color="auto" w:fill="auto"/>
            <w:noWrap/>
            <w:vAlign w:val="center"/>
            <w:hideMark/>
          </w:tcPr>
          <w:p w14:paraId="70227F2A" w14:textId="77777777" w:rsidR="00387142" w:rsidRPr="008B6A75" w:rsidRDefault="00387142" w:rsidP="00387142">
            <w:pPr>
              <w:jc w:val="center"/>
              <w:rPr>
                <w:bCs/>
                <w:sz w:val="20"/>
                <w:szCs w:val="20"/>
              </w:rPr>
            </w:pPr>
            <w:r w:rsidRPr="008B6A75">
              <w:rPr>
                <w:bCs/>
                <w:sz w:val="20"/>
                <w:szCs w:val="20"/>
              </w:rPr>
              <w:t>14</w:t>
            </w:r>
          </w:p>
        </w:tc>
        <w:tc>
          <w:tcPr>
            <w:tcW w:w="709" w:type="dxa"/>
            <w:tcBorders>
              <w:top w:val="nil"/>
              <w:left w:val="single" w:sz="4" w:space="0" w:color="auto"/>
              <w:bottom w:val="nil"/>
              <w:right w:val="single" w:sz="4" w:space="0" w:color="auto"/>
            </w:tcBorders>
            <w:shd w:val="clear" w:color="auto" w:fill="auto"/>
            <w:noWrap/>
            <w:vAlign w:val="center"/>
            <w:hideMark/>
          </w:tcPr>
          <w:p w14:paraId="7675647E" w14:textId="77777777" w:rsidR="00387142" w:rsidRPr="008B6A75" w:rsidRDefault="00387142" w:rsidP="00387142">
            <w:pPr>
              <w:jc w:val="center"/>
              <w:rPr>
                <w:bCs/>
                <w:sz w:val="20"/>
                <w:szCs w:val="20"/>
              </w:rPr>
            </w:pPr>
            <w:r w:rsidRPr="008B6A75">
              <w:rPr>
                <w:bCs/>
                <w:sz w:val="20"/>
                <w:szCs w:val="20"/>
              </w:rPr>
              <w:t>01</w:t>
            </w:r>
          </w:p>
        </w:tc>
        <w:tc>
          <w:tcPr>
            <w:tcW w:w="1411" w:type="dxa"/>
            <w:tcBorders>
              <w:top w:val="nil"/>
              <w:left w:val="single" w:sz="4" w:space="0" w:color="auto"/>
              <w:bottom w:val="nil"/>
              <w:right w:val="nil"/>
            </w:tcBorders>
            <w:shd w:val="clear" w:color="auto" w:fill="auto"/>
            <w:noWrap/>
            <w:vAlign w:val="center"/>
            <w:hideMark/>
          </w:tcPr>
          <w:p w14:paraId="109D27E4" w14:textId="77777777" w:rsidR="00387142" w:rsidRPr="008B6A75" w:rsidRDefault="00387142" w:rsidP="00387142">
            <w:pPr>
              <w:jc w:val="center"/>
              <w:rPr>
                <w:bCs/>
                <w:sz w:val="20"/>
                <w:szCs w:val="20"/>
              </w:rPr>
            </w:pPr>
            <w:r w:rsidRPr="008B6A75">
              <w:rPr>
                <w:bCs/>
                <w:sz w:val="20"/>
                <w:szCs w:val="20"/>
              </w:rPr>
              <w:t>99.0.00.70510</w:t>
            </w:r>
          </w:p>
        </w:tc>
        <w:tc>
          <w:tcPr>
            <w:tcW w:w="955" w:type="dxa"/>
            <w:tcBorders>
              <w:top w:val="nil"/>
              <w:left w:val="single" w:sz="4" w:space="0" w:color="auto"/>
              <w:bottom w:val="nil"/>
              <w:right w:val="single" w:sz="4" w:space="0" w:color="auto"/>
            </w:tcBorders>
            <w:shd w:val="clear" w:color="auto" w:fill="auto"/>
            <w:noWrap/>
            <w:vAlign w:val="center"/>
            <w:hideMark/>
          </w:tcPr>
          <w:p w14:paraId="781021E1"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nil"/>
              <w:right w:val="single" w:sz="4" w:space="0" w:color="auto"/>
            </w:tcBorders>
            <w:shd w:val="clear" w:color="auto" w:fill="auto"/>
            <w:noWrap/>
            <w:vAlign w:val="center"/>
            <w:hideMark/>
          </w:tcPr>
          <w:p w14:paraId="1DF09C97" w14:textId="77777777" w:rsidR="00387142" w:rsidRPr="008B6A75" w:rsidRDefault="00387142" w:rsidP="00387142">
            <w:pPr>
              <w:jc w:val="right"/>
              <w:rPr>
                <w:bCs/>
                <w:sz w:val="20"/>
                <w:szCs w:val="20"/>
              </w:rPr>
            </w:pPr>
            <w:r w:rsidRPr="008B6A75">
              <w:rPr>
                <w:bCs/>
                <w:sz w:val="20"/>
                <w:szCs w:val="20"/>
              </w:rPr>
              <w:t>48 483 500,00</w:t>
            </w:r>
          </w:p>
        </w:tc>
        <w:tc>
          <w:tcPr>
            <w:tcW w:w="992" w:type="dxa"/>
            <w:gridSpan w:val="2"/>
            <w:tcBorders>
              <w:top w:val="nil"/>
              <w:left w:val="single" w:sz="4" w:space="0" w:color="auto"/>
              <w:bottom w:val="nil"/>
              <w:right w:val="nil"/>
            </w:tcBorders>
            <w:shd w:val="clear" w:color="auto" w:fill="auto"/>
            <w:noWrap/>
            <w:vAlign w:val="center"/>
            <w:hideMark/>
          </w:tcPr>
          <w:p w14:paraId="32B41D68" w14:textId="77777777" w:rsidR="00387142" w:rsidRPr="008B6A75" w:rsidRDefault="00387142" w:rsidP="00387142">
            <w:pPr>
              <w:jc w:val="right"/>
              <w:rPr>
                <w:bCs/>
                <w:sz w:val="20"/>
                <w:szCs w:val="20"/>
              </w:rPr>
            </w:pPr>
            <w:r w:rsidRPr="008B6A75">
              <w:rPr>
                <w:bCs/>
                <w:sz w:val="20"/>
                <w:szCs w:val="20"/>
              </w:rPr>
              <w:t>0,00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42D8DC5F" w14:textId="77777777" w:rsidR="00387142" w:rsidRPr="008B6A75" w:rsidRDefault="00387142" w:rsidP="00387142">
            <w:pPr>
              <w:jc w:val="right"/>
              <w:rPr>
                <w:bCs/>
                <w:sz w:val="20"/>
                <w:szCs w:val="20"/>
              </w:rPr>
            </w:pPr>
            <w:r w:rsidRPr="008B6A75">
              <w:rPr>
                <w:bCs/>
                <w:sz w:val="20"/>
                <w:szCs w:val="20"/>
              </w:rPr>
              <w:t>0,00</w:t>
            </w:r>
          </w:p>
        </w:tc>
        <w:tc>
          <w:tcPr>
            <w:tcW w:w="222" w:type="dxa"/>
            <w:vAlign w:val="center"/>
            <w:hideMark/>
          </w:tcPr>
          <w:p w14:paraId="148B0E31" w14:textId="77777777" w:rsidR="00387142" w:rsidRPr="008B6A75" w:rsidRDefault="00387142" w:rsidP="00387142">
            <w:pPr>
              <w:rPr>
                <w:sz w:val="20"/>
                <w:szCs w:val="20"/>
              </w:rPr>
            </w:pPr>
          </w:p>
        </w:tc>
      </w:tr>
      <w:tr w:rsidR="00387142" w:rsidRPr="008B6A75" w14:paraId="069FCF9E" w14:textId="77777777" w:rsidTr="00387142">
        <w:trPr>
          <w:trHeight w:val="300"/>
        </w:trPr>
        <w:tc>
          <w:tcPr>
            <w:tcW w:w="3021" w:type="dxa"/>
            <w:tcBorders>
              <w:top w:val="single" w:sz="4" w:space="0" w:color="auto"/>
              <w:left w:val="single" w:sz="4" w:space="0" w:color="auto"/>
              <w:bottom w:val="nil"/>
              <w:right w:val="nil"/>
            </w:tcBorders>
            <w:shd w:val="clear" w:color="auto" w:fill="auto"/>
            <w:vAlign w:val="center"/>
            <w:hideMark/>
          </w:tcPr>
          <w:p w14:paraId="2A513244" w14:textId="77777777" w:rsidR="00387142" w:rsidRPr="008B6A75" w:rsidRDefault="00387142" w:rsidP="00387142">
            <w:pPr>
              <w:rPr>
                <w:sz w:val="20"/>
                <w:szCs w:val="20"/>
              </w:rPr>
            </w:pPr>
            <w:r w:rsidRPr="008B6A75">
              <w:rPr>
                <w:sz w:val="20"/>
                <w:szCs w:val="20"/>
              </w:rPr>
              <w:t>Межбюджетные трансферты</w:t>
            </w:r>
          </w:p>
        </w:tc>
        <w:tc>
          <w:tcPr>
            <w:tcW w:w="850" w:type="dxa"/>
            <w:tcBorders>
              <w:top w:val="single" w:sz="4" w:space="0" w:color="auto"/>
              <w:left w:val="single" w:sz="4" w:space="0" w:color="auto"/>
              <w:bottom w:val="nil"/>
              <w:right w:val="nil"/>
            </w:tcBorders>
            <w:shd w:val="clear" w:color="auto" w:fill="auto"/>
            <w:noWrap/>
            <w:vAlign w:val="center"/>
            <w:hideMark/>
          </w:tcPr>
          <w:p w14:paraId="08021766" w14:textId="77777777" w:rsidR="00387142" w:rsidRPr="008B6A75" w:rsidRDefault="00387142" w:rsidP="00387142">
            <w:pPr>
              <w:jc w:val="center"/>
              <w:rPr>
                <w:sz w:val="20"/>
                <w:szCs w:val="20"/>
              </w:rPr>
            </w:pPr>
            <w:r w:rsidRPr="008B6A75">
              <w:rPr>
                <w:sz w:val="20"/>
                <w:szCs w:val="20"/>
              </w:rPr>
              <w:t>444</w:t>
            </w:r>
          </w:p>
        </w:tc>
        <w:tc>
          <w:tcPr>
            <w:tcW w:w="709" w:type="dxa"/>
            <w:tcBorders>
              <w:top w:val="single" w:sz="4" w:space="0" w:color="auto"/>
              <w:left w:val="single" w:sz="4" w:space="0" w:color="auto"/>
              <w:bottom w:val="nil"/>
              <w:right w:val="nil"/>
            </w:tcBorders>
            <w:shd w:val="clear" w:color="auto" w:fill="auto"/>
            <w:noWrap/>
            <w:vAlign w:val="center"/>
            <w:hideMark/>
          </w:tcPr>
          <w:p w14:paraId="53485C7A" w14:textId="77777777" w:rsidR="00387142" w:rsidRPr="008B6A75" w:rsidRDefault="00387142" w:rsidP="00387142">
            <w:pPr>
              <w:jc w:val="center"/>
              <w:rPr>
                <w:sz w:val="20"/>
                <w:szCs w:val="20"/>
              </w:rPr>
            </w:pPr>
            <w:r w:rsidRPr="008B6A75">
              <w:rPr>
                <w:sz w:val="20"/>
                <w:szCs w:val="20"/>
              </w:rPr>
              <w:t>14</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1A10858C" w14:textId="77777777" w:rsidR="00387142" w:rsidRPr="008B6A75" w:rsidRDefault="00387142" w:rsidP="00387142">
            <w:pPr>
              <w:jc w:val="center"/>
              <w:rPr>
                <w:sz w:val="20"/>
                <w:szCs w:val="20"/>
              </w:rPr>
            </w:pPr>
            <w:r w:rsidRPr="008B6A75">
              <w:rPr>
                <w:sz w:val="20"/>
                <w:szCs w:val="20"/>
              </w:rPr>
              <w:t>01</w:t>
            </w:r>
          </w:p>
        </w:tc>
        <w:tc>
          <w:tcPr>
            <w:tcW w:w="1411" w:type="dxa"/>
            <w:tcBorders>
              <w:top w:val="single" w:sz="4" w:space="0" w:color="auto"/>
              <w:left w:val="single" w:sz="4" w:space="0" w:color="auto"/>
              <w:bottom w:val="nil"/>
              <w:right w:val="nil"/>
            </w:tcBorders>
            <w:shd w:val="clear" w:color="auto" w:fill="auto"/>
            <w:noWrap/>
            <w:vAlign w:val="center"/>
            <w:hideMark/>
          </w:tcPr>
          <w:p w14:paraId="06DFFB71" w14:textId="77777777" w:rsidR="00387142" w:rsidRPr="008B6A75" w:rsidRDefault="00387142" w:rsidP="00387142">
            <w:pPr>
              <w:jc w:val="center"/>
              <w:rPr>
                <w:sz w:val="20"/>
                <w:szCs w:val="20"/>
              </w:rPr>
            </w:pPr>
            <w:r w:rsidRPr="008B6A75">
              <w:rPr>
                <w:sz w:val="20"/>
                <w:szCs w:val="20"/>
              </w:rPr>
              <w:t>99.0.00.70510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59BDDEA3" w14:textId="77777777" w:rsidR="00387142" w:rsidRPr="008B6A75" w:rsidRDefault="00387142" w:rsidP="00387142">
            <w:pPr>
              <w:jc w:val="center"/>
              <w:rPr>
                <w:sz w:val="20"/>
                <w:szCs w:val="20"/>
              </w:rPr>
            </w:pPr>
            <w:r w:rsidRPr="008B6A75">
              <w:rPr>
                <w:sz w:val="20"/>
                <w:szCs w:val="20"/>
              </w:rPr>
              <w:t>500</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64130315" w14:textId="77777777" w:rsidR="00387142" w:rsidRPr="008B6A75" w:rsidRDefault="00387142" w:rsidP="00387142">
            <w:pPr>
              <w:jc w:val="right"/>
              <w:rPr>
                <w:sz w:val="20"/>
                <w:szCs w:val="20"/>
              </w:rPr>
            </w:pPr>
            <w:r w:rsidRPr="008B6A75">
              <w:rPr>
                <w:sz w:val="20"/>
                <w:szCs w:val="20"/>
              </w:rPr>
              <w:t>48 483 500,00</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486A1DBC" w14:textId="77777777" w:rsidR="00387142" w:rsidRPr="008B6A75" w:rsidRDefault="00387142" w:rsidP="00387142">
            <w:pPr>
              <w:jc w:val="right"/>
              <w:rPr>
                <w:sz w:val="20"/>
                <w:szCs w:val="20"/>
              </w:rPr>
            </w:pPr>
            <w:r w:rsidRPr="008B6A75">
              <w:rPr>
                <w:sz w:val="20"/>
                <w:szCs w:val="20"/>
              </w:rPr>
              <w:t>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2A039EB9" w14:textId="77777777" w:rsidR="00387142" w:rsidRPr="008B6A75" w:rsidRDefault="00387142" w:rsidP="00387142">
            <w:pPr>
              <w:jc w:val="right"/>
              <w:rPr>
                <w:sz w:val="20"/>
                <w:szCs w:val="20"/>
              </w:rPr>
            </w:pPr>
            <w:r w:rsidRPr="008B6A75">
              <w:rPr>
                <w:sz w:val="20"/>
                <w:szCs w:val="20"/>
              </w:rPr>
              <w:t>0,00</w:t>
            </w:r>
          </w:p>
        </w:tc>
        <w:tc>
          <w:tcPr>
            <w:tcW w:w="222" w:type="dxa"/>
            <w:vAlign w:val="center"/>
            <w:hideMark/>
          </w:tcPr>
          <w:p w14:paraId="67ECE87C" w14:textId="77777777" w:rsidR="00387142" w:rsidRPr="008B6A75" w:rsidRDefault="00387142" w:rsidP="00387142">
            <w:pPr>
              <w:rPr>
                <w:sz w:val="20"/>
                <w:szCs w:val="20"/>
              </w:rPr>
            </w:pPr>
          </w:p>
        </w:tc>
      </w:tr>
      <w:tr w:rsidR="00387142" w:rsidRPr="008B6A75" w14:paraId="0A8519F4" w14:textId="77777777" w:rsidTr="00387142">
        <w:trPr>
          <w:trHeight w:val="300"/>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3BEC8976" w14:textId="77777777" w:rsidR="00387142" w:rsidRPr="008B6A75" w:rsidRDefault="00387142" w:rsidP="00387142">
            <w:pPr>
              <w:rPr>
                <w:sz w:val="20"/>
                <w:szCs w:val="20"/>
              </w:rPr>
            </w:pPr>
            <w:r w:rsidRPr="008B6A75">
              <w:rPr>
                <w:sz w:val="20"/>
                <w:szCs w:val="20"/>
              </w:rPr>
              <w:t>Дотации</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7C623C05" w14:textId="77777777" w:rsidR="00387142" w:rsidRPr="008B6A75" w:rsidRDefault="00387142" w:rsidP="00387142">
            <w:pPr>
              <w:jc w:val="center"/>
              <w:rPr>
                <w:sz w:val="20"/>
                <w:szCs w:val="20"/>
              </w:rPr>
            </w:pPr>
            <w:r w:rsidRPr="008B6A75">
              <w:rPr>
                <w:sz w:val="20"/>
                <w:szCs w:val="20"/>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5FA588F2" w14:textId="77777777" w:rsidR="00387142" w:rsidRPr="008B6A75" w:rsidRDefault="00387142" w:rsidP="00387142">
            <w:pPr>
              <w:jc w:val="center"/>
              <w:rPr>
                <w:sz w:val="20"/>
                <w:szCs w:val="20"/>
              </w:rPr>
            </w:pPr>
            <w:r w:rsidRPr="008B6A75">
              <w:rPr>
                <w:sz w:val="20"/>
                <w:szCs w:val="20"/>
              </w:rPr>
              <w:t>14</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8392F0" w14:textId="77777777" w:rsidR="00387142" w:rsidRPr="008B6A75" w:rsidRDefault="00387142" w:rsidP="00387142">
            <w:pPr>
              <w:jc w:val="center"/>
              <w:rPr>
                <w:sz w:val="20"/>
                <w:szCs w:val="20"/>
              </w:rPr>
            </w:pPr>
            <w:r w:rsidRPr="008B6A75">
              <w:rPr>
                <w:sz w:val="20"/>
                <w:szCs w:val="20"/>
              </w:rPr>
              <w:t>01</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0EA8F807" w14:textId="77777777" w:rsidR="00387142" w:rsidRPr="008B6A75" w:rsidRDefault="00387142" w:rsidP="00387142">
            <w:pPr>
              <w:jc w:val="center"/>
              <w:rPr>
                <w:sz w:val="20"/>
                <w:szCs w:val="20"/>
              </w:rPr>
            </w:pPr>
            <w:r w:rsidRPr="008B6A75">
              <w:rPr>
                <w:sz w:val="20"/>
                <w:szCs w:val="20"/>
              </w:rPr>
              <w:t>99.0.00.70510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3FDB52" w14:textId="77777777" w:rsidR="00387142" w:rsidRPr="008B6A75" w:rsidRDefault="00387142" w:rsidP="00387142">
            <w:pPr>
              <w:jc w:val="center"/>
              <w:rPr>
                <w:sz w:val="20"/>
                <w:szCs w:val="20"/>
              </w:rPr>
            </w:pPr>
            <w:r w:rsidRPr="008B6A75">
              <w:rPr>
                <w:sz w:val="20"/>
                <w:szCs w:val="20"/>
              </w:rPr>
              <w:t>510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CD83CC" w14:textId="77777777" w:rsidR="00387142" w:rsidRPr="008B6A75" w:rsidRDefault="00387142" w:rsidP="00387142">
            <w:pPr>
              <w:jc w:val="right"/>
              <w:rPr>
                <w:sz w:val="20"/>
                <w:szCs w:val="20"/>
              </w:rPr>
            </w:pPr>
            <w:r w:rsidRPr="008B6A75">
              <w:rPr>
                <w:sz w:val="20"/>
                <w:szCs w:val="20"/>
              </w:rPr>
              <w:t>48 483 500,00</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3E460CFE" w14:textId="77777777" w:rsidR="00387142" w:rsidRPr="008B6A75" w:rsidRDefault="00387142" w:rsidP="00387142">
            <w:pPr>
              <w:jc w:val="right"/>
              <w:rPr>
                <w:sz w:val="20"/>
                <w:szCs w:val="20"/>
              </w:rPr>
            </w:pPr>
            <w:r w:rsidRPr="008B6A75">
              <w:rPr>
                <w:sz w:val="20"/>
                <w:szCs w:val="20"/>
              </w:rPr>
              <w:t>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6D3BA0" w14:textId="77777777" w:rsidR="00387142" w:rsidRPr="008B6A75" w:rsidRDefault="00387142" w:rsidP="00387142">
            <w:pPr>
              <w:jc w:val="right"/>
              <w:rPr>
                <w:sz w:val="20"/>
                <w:szCs w:val="20"/>
              </w:rPr>
            </w:pPr>
            <w:r w:rsidRPr="008B6A75">
              <w:rPr>
                <w:sz w:val="20"/>
                <w:szCs w:val="20"/>
              </w:rPr>
              <w:t>0,00</w:t>
            </w:r>
          </w:p>
        </w:tc>
        <w:tc>
          <w:tcPr>
            <w:tcW w:w="222" w:type="dxa"/>
            <w:vAlign w:val="center"/>
            <w:hideMark/>
          </w:tcPr>
          <w:p w14:paraId="19952A51" w14:textId="77777777" w:rsidR="00387142" w:rsidRPr="008B6A75" w:rsidRDefault="00387142" w:rsidP="00387142">
            <w:pPr>
              <w:rPr>
                <w:sz w:val="20"/>
                <w:szCs w:val="20"/>
              </w:rPr>
            </w:pPr>
          </w:p>
        </w:tc>
      </w:tr>
      <w:tr w:rsidR="00387142" w:rsidRPr="008B6A75" w14:paraId="18DD6E07" w14:textId="77777777" w:rsidTr="00387142">
        <w:trPr>
          <w:trHeight w:val="1725"/>
        </w:trPr>
        <w:tc>
          <w:tcPr>
            <w:tcW w:w="3021" w:type="dxa"/>
            <w:tcBorders>
              <w:top w:val="nil"/>
              <w:left w:val="single" w:sz="4" w:space="0" w:color="auto"/>
              <w:bottom w:val="nil"/>
              <w:right w:val="nil"/>
            </w:tcBorders>
            <w:shd w:val="clear" w:color="auto" w:fill="auto"/>
            <w:vAlign w:val="center"/>
            <w:hideMark/>
          </w:tcPr>
          <w:p w14:paraId="2F4165C8" w14:textId="77777777" w:rsidR="00387142" w:rsidRPr="008B6A75" w:rsidRDefault="00387142" w:rsidP="00387142">
            <w:pPr>
              <w:rPr>
                <w:bCs/>
                <w:sz w:val="20"/>
                <w:szCs w:val="20"/>
              </w:rPr>
            </w:pPr>
            <w:proofErr w:type="spellStart"/>
            <w:r w:rsidRPr="008B6A75">
              <w:rPr>
                <w:bCs/>
                <w:sz w:val="20"/>
                <w:szCs w:val="20"/>
              </w:rPr>
              <w:t>Софинансирование</w:t>
            </w:r>
            <w:proofErr w:type="spellEnd"/>
            <w:r w:rsidRPr="008B6A75">
              <w:rPr>
                <w:bCs/>
                <w:sz w:val="20"/>
                <w:szCs w:val="20"/>
              </w:rPr>
              <w:t xml:space="preserve"> местного бюджета на реализацию мероприятий по обеспечению сбалансированности местных </w:t>
            </w:r>
            <w:proofErr w:type="gramStart"/>
            <w:r w:rsidRPr="008B6A75">
              <w:rPr>
                <w:bCs/>
                <w:sz w:val="20"/>
                <w:szCs w:val="20"/>
              </w:rPr>
              <w:t>бюджетов  государственной</w:t>
            </w:r>
            <w:proofErr w:type="gramEnd"/>
            <w:r w:rsidRPr="008B6A75">
              <w:rPr>
                <w:bCs/>
                <w:sz w:val="20"/>
                <w:szCs w:val="20"/>
              </w:rPr>
              <w:t xml:space="preserve"> программы Новосибирской области "Управление  финансами в Новосибирской области"</w:t>
            </w:r>
          </w:p>
        </w:tc>
        <w:tc>
          <w:tcPr>
            <w:tcW w:w="850" w:type="dxa"/>
            <w:tcBorders>
              <w:top w:val="nil"/>
              <w:left w:val="single" w:sz="4" w:space="0" w:color="auto"/>
              <w:bottom w:val="nil"/>
              <w:right w:val="nil"/>
            </w:tcBorders>
            <w:shd w:val="clear" w:color="auto" w:fill="auto"/>
            <w:noWrap/>
            <w:vAlign w:val="center"/>
            <w:hideMark/>
          </w:tcPr>
          <w:p w14:paraId="7AEA6FB6" w14:textId="77777777" w:rsidR="00387142" w:rsidRPr="008B6A75" w:rsidRDefault="00387142" w:rsidP="00387142">
            <w:pPr>
              <w:jc w:val="center"/>
              <w:rPr>
                <w:bCs/>
                <w:sz w:val="20"/>
                <w:szCs w:val="20"/>
              </w:rPr>
            </w:pPr>
            <w:r w:rsidRPr="008B6A75">
              <w:rPr>
                <w:bCs/>
                <w:sz w:val="20"/>
                <w:szCs w:val="20"/>
              </w:rPr>
              <w:t>444</w:t>
            </w:r>
          </w:p>
        </w:tc>
        <w:tc>
          <w:tcPr>
            <w:tcW w:w="709" w:type="dxa"/>
            <w:tcBorders>
              <w:top w:val="nil"/>
              <w:left w:val="single" w:sz="4" w:space="0" w:color="auto"/>
              <w:bottom w:val="nil"/>
              <w:right w:val="nil"/>
            </w:tcBorders>
            <w:shd w:val="clear" w:color="auto" w:fill="auto"/>
            <w:noWrap/>
            <w:vAlign w:val="center"/>
            <w:hideMark/>
          </w:tcPr>
          <w:p w14:paraId="0ECC92F4" w14:textId="77777777" w:rsidR="00387142" w:rsidRPr="008B6A75" w:rsidRDefault="00387142" w:rsidP="00387142">
            <w:pPr>
              <w:jc w:val="center"/>
              <w:rPr>
                <w:bCs/>
                <w:sz w:val="20"/>
                <w:szCs w:val="20"/>
              </w:rPr>
            </w:pPr>
            <w:r w:rsidRPr="008B6A75">
              <w:rPr>
                <w:bCs/>
                <w:sz w:val="20"/>
                <w:szCs w:val="20"/>
              </w:rPr>
              <w:t>14</w:t>
            </w:r>
          </w:p>
        </w:tc>
        <w:tc>
          <w:tcPr>
            <w:tcW w:w="709" w:type="dxa"/>
            <w:tcBorders>
              <w:top w:val="nil"/>
              <w:left w:val="single" w:sz="4" w:space="0" w:color="auto"/>
              <w:bottom w:val="nil"/>
              <w:right w:val="single" w:sz="4" w:space="0" w:color="auto"/>
            </w:tcBorders>
            <w:shd w:val="clear" w:color="auto" w:fill="auto"/>
            <w:noWrap/>
            <w:vAlign w:val="center"/>
            <w:hideMark/>
          </w:tcPr>
          <w:p w14:paraId="592E5B9A" w14:textId="77777777" w:rsidR="00387142" w:rsidRPr="008B6A75" w:rsidRDefault="00387142" w:rsidP="00387142">
            <w:pPr>
              <w:jc w:val="center"/>
              <w:rPr>
                <w:bCs/>
                <w:sz w:val="20"/>
                <w:szCs w:val="20"/>
              </w:rPr>
            </w:pPr>
            <w:r w:rsidRPr="008B6A75">
              <w:rPr>
                <w:bCs/>
                <w:sz w:val="20"/>
                <w:szCs w:val="20"/>
              </w:rPr>
              <w:t>01</w:t>
            </w:r>
          </w:p>
        </w:tc>
        <w:tc>
          <w:tcPr>
            <w:tcW w:w="1411" w:type="dxa"/>
            <w:tcBorders>
              <w:top w:val="nil"/>
              <w:left w:val="single" w:sz="4" w:space="0" w:color="auto"/>
              <w:bottom w:val="nil"/>
              <w:right w:val="nil"/>
            </w:tcBorders>
            <w:shd w:val="clear" w:color="auto" w:fill="auto"/>
            <w:noWrap/>
            <w:vAlign w:val="center"/>
            <w:hideMark/>
          </w:tcPr>
          <w:p w14:paraId="627D0F4A" w14:textId="77777777" w:rsidR="00387142" w:rsidRPr="008B6A75" w:rsidRDefault="00387142" w:rsidP="00387142">
            <w:pPr>
              <w:jc w:val="center"/>
              <w:rPr>
                <w:bCs/>
                <w:sz w:val="20"/>
                <w:szCs w:val="20"/>
              </w:rPr>
            </w:pPr>
            <w:r w:rsidRPr="008B6A75">
              <w:rPr>
                <w:bCs/>
                <w:sz w:val="20"/>
                <w:szCs w:val="20"/>
              </w:rPr>
              <w:t>99.0.00.S0510</w:t>
            </w:r>
          </w:p>
        </w:tc>
        <w:tc>
          <w:tcPr>
            <w:tcW w:w="955" w:type="dxa"/>
            <w:tcBorders>
              <w:top w:val="nil"/>
              <w:left w:val="single" w:sz="4" w:space="0" w:color="auto"/>
              <w:bottom w:val="nil"/>
              <w:right w:val="single" w:sz="4" w:space="0" w:color="auto"/>
            </w:tcBorders>
            <w:shd w:val="clear" w:color="auto" w:fill="auto"/>
            <w:noWrap/>
            <w:vAlign w:val="center"/>
            <w:hideMark/>
          </w:tcPr>
          <w:p w14:paraId="72C07CBF"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nil"/>
              <w:right w:val="single" w:sz="4" w:space="0" w:color="auto"/>
            </w:tcBorders>
            <w:shd w:val="clear" w:color="auto" w:fill="auto"/>
            <w:noWrap/>
            <w:vAlign w:val="center"/>
            <w:hideMark/>
          </w:tcPr>
          <w:p w14:paraId="5D7E96AF" w14:textId="77777777" w:rsidR="00387142" w:rsidRPr="008B6A75" w:rsidRDefault="00387142" w:rsidP="00387142">
            <w:pPr>
              <w:jc w:val="right"/>
              <w:rPr>
                <w:bCs/>
                <w:sz w:val="20"/>
                <w:szCs w:val="20"/>
              </w:rPr>
            </w:pPr>
            <w:r w:rsidRPr="008B6A75">
              <w:rPr>
                <w:bCs/>
                <w:sz w:val="20"/>
                <w:szCs w:val="20"/>
              </w:rPr>
              <w:t>489 800,00</w:t>
            </w:r>
          </w:p>
        </w:tc>
        <w:tc>
          <w:tcPr>
            <w:tcW w:w="992" w:type="dxa"/>
            <w:gridSpan w:val="2"/>
            <w:tcBorders>
              <w:top w:val="nil"/>
              <w:left w:val="single" w:sz="4" w:space="0" w:color="auto"/>
              <w:bottom w:val="nil"/>
              <w:right w:val="nil"/>
            </w:tcBorders>
            <w:shd w:val="clear" w:color="auto" w:fill="auto"/>
            <w:noWrap/>
            <w:vAlign w:val="center"/>
            <w:hideMark/>
          </w:tcPr>
          <w:p w14:paraId="5C67959C" w14:textId="77777777" w:rsidR="00387142" w:rsidRPr="008B6A75" w:rsidRDefault="00387142" w:rsidP="00387142">
            <w:pPr>
              <w:jc w:val="right"/>
              <w:rPr>
                <w:bCs/>
                <w:sz w:val="20"/>
                <w:szCs w:val="20"/>
              </w:rPr>
            </w:pPr>
            <w:r w:rsidRPr="008B6A75">
              <w:rPr>
                <w:bCs/>
                <w:sz w:val="20"/>
                <w:szCs w:val="20"/>
              </w:rPr>
              <w:t>0,00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0CE359F1" w14:textId="77777777" w:rsidR="00387142" w:rsidRPr="008B6A75" w:rsidRDefault="00387142" w:rsidP="00387142">
            <w:pPr>
              <w:jc w:val="right"/>
              <w:rPr>
                <w:bCs/>
                <w:sz w:val="20"/>
                <w:szCs w:val="20"/>
              </w:rPr>
            </w:pPr>
            <w:r w:rsidRPr="008B6A75">
              <w:rPr>
                <w:bCs/>
                <w:sz w:val="20"/>
                <w:szCs w:val="20"/>
              </w:rPr>
              <w:t>0,00</w:t>
            </w:r>
          </w:p>
        </w:tc>
        <w:tc>
          <w:tcPr>
            <w:tcW w:w="222" w:type="dxa"/>
            <w:vAlign w:val="center"/>
            <w:hideMark/>
          </w:tcPr>
          <w:p w14:paraId="08FE24FB" w14:textId="77777777" w:rsidR="00387142" w:rsidRPr="008B6A75" w:rsidRDefault="00387142" w:rsidP="00387142">
            <w:pPr>
              <w:rPr>
                <w:sz w:val="20"/>
                <w:szCs w:val="20"/>
              </w:rPr>
            </w:pPr>
          </w:p>
        </w:tc>
      </w:tr>
      <w:tr w:rsidR="00387142" w:rsidRPr="008B6A75" w14:paraId="6FF334A3" w14:textId="77777777" w:rsidTr="00387142">
        <w:trPr>
          <w:trHeight w:val="300"/>
        </w:trPr>
        <w:tc>
          <w:tcPr>
            <w:tcW w:w="3021" w:type="dxa"/>
            <w:tcBorders>
              <w:top w:val="single" w:sz="4" w:space="0" w:color="auto"/>
              <w:left w:val="single" w:sz="4" w:space="0" w:color="auto"/>
              <w:bottom w:val="nil"/>
              <w:right w:val="nil"/>
            </w:tcBorders>
            <w:shd w:val="clear" w:color="auto" w:fill="auto"/>
            <w:vAlign w:val="center"/>
            <w:hideMark/>
          </w:tcPr>
          <w:p w14:paraId="01D2C8E8" w14:textId="77777777" w:rsidR="00387142" w:rsidRPr="008B6A75" w:rsidRDefault="00387142" w:rsidP="00387142">
            <w:pPr>
              <w:rPr>
                <w:sz w:val="20"/>
                <w:szCs w:val="20"/>
              </w:rPr>
            </w:pPr>
            <w:r w:rsidRPr="008B6A75">
              <w:rPr>
                <w:sz w:val="20"/>
                <w:szCs w:val="20"/>
              </w:rPr>
              <w:t>Межбюджетные трансферты</w:t>
            </w:r>
          </w:p>
        </w:tc>
        <w:tc>
          <w:tcPr>
            <w:tcW w:w="850" w:type="dxa"/>
            <w:tcBorders>
              <w:top w:val="single" w:sz="4" w:space="0" w:color="auto"/>
              <w:left w:val="single" w:sz="4" w:space="0" w:color="auto"/>
              <w:bottom w:val="nil"/>
              <w:right w:val="nil"/>
            </w:tcBorders>
            <w:shd w:val="clear" w:color="auto" w:fill="auto"/>
            <w:noWrap/>
            <w:vAlign w:val="center"/>
            <w:hideMark/>
          </w:tcPr>
          <w:p w14:paraId="0E720EE7" w14:textId="77777777" w:rsidR="00387142" w:rsidRPr="008B6A75" w:rsidRDefault="00387142" w:rsidP="00387142">
            <w:pPr>
              <w:jc w:val="center"/>
              <w:rPr>
                <w:sz w:val="20"/>
                <w:szCs w:val="20"/>
              </w:rPr>
            </w:pPr>
            <w:r w:rsidRPr="008B6A75">
              <w:rPr>
                <w:sz w:val="20"/>
                <w:szCs w:val="20"/>
              </w:rPr>
              <w:t>444</w:t>
            </w:r>
          </w:p>
        </w:tc>
        <w:tc>
          <w:tcPr>
            <w:tcW w:w="709" w:type="dxa"/>
            <w:tcBorders>
              <w:top w:val="single" w:sz="4" w:space="0" w:color="auto"/>
              <w:left w:val="single" w:sz="4" w:space="0" w:color="auto"/>
              <w:bottom w:val="nil"/>
              <w:right w:val="nil"/>
            </w:tcBorders>
            <w:shd w:val="clear" w:color="auto" w:fill="auto"/>
            <w:noWrap/>
            <w:vAlign w:val="center"/>
            <w:hideMark/>
          </w:tcPr>
          <w:p w14:paraId="48B26440" w14:textId="77777777" w:rsidR="00387142" w:rsidRPr="008B6A75" w:rsidRDefault="00387142" w:rsidP="00387142">
            <w:pPr>
              <w:jc w:val="center"/>
              <w:rPr>
                <w:sz w:val="20"/>
                <w:szCs w:val="20"/>
              </w:rPr>
            </w:pPr>
            <w:r w:rsidRPr="008B6A75">
              <w:rPr>
                <w:sz w:val="20"/>
                <w:szCs w:val="20"/>
              </w:rPr>
              <w:t>14</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7EBCBBCB" w14:textId="77777777" w:rsidR="00387142" w:rsidRPr="008B6A75" w:rsidRDefault="00387142" w:rsidP="00387142">
            <w:pPr>
              <w:jc w:val="center"/>
              <w:rPr>
                <w:sz w:val="20"/>
                <w:szCs w:val="20"/>
              </w:rPr>
            </w:pPr>
            <w:r w:rsidRPr="008B6A75">
              <w:rPr>
                <w:sz w:val="20"/>
                <w:szCs w:val="20"/>
              </w:rPr>
              <w:t>01</w:t>
            </w:r>
          </w:p>
        </w:tc>
        <w:tc>
          <w:tcPr>
            <w:tcW w:w="1411" w:type="dxa"/>
            <w:tcBorders>
              <w:top w:val="single" w:sz="4" w:space="0" w:color="auto"/>
              <w:left w:val="single" w:sz="4" w:space="0" w:color="auto"/>
              <w:bottom w:val="nil"/>
              <w:right w:val="nil"/>
            </w:tcBorders>
            <w:shd w:val="clear" w:color="auto" w:fill="auto"/>
            <w:noWrap/>
            <w:vAlign w:val="center"/>
            <w:hideMark/>
          </w:tcPr>
          <w:p w14:paraId="297D6511" w14:textId="77777777" w:rsidR="00387142" w:rsidRPr="008B6A75" w:rsidRDefault="00387142" w:rsidP="00387142">
            <w:pPr>
              <w:jc w:val="center"/>
              <w:rPr>
                <w:sz w:val="20"/>
                <w:szCs w:val="20"/>
              </w:rPr>
            </w:pPr>
            <w:r w:rsidRPr="008B6A75">
              <w:rPr>
                <w:sz w:val="20"/>
                <w:szCs w:val="20"/>
              </w:rPr>
              <w:t>99.0.00.S0510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4A9AFCA4" w14:textId="77777777" w:rsidR="00387142" w:rsidRPr="008B6A75" w:rsidRDefault="00387142" w:rsidP="00387142">
            <w:pPr>
              <w:jc w:val="center"/>
              <w:rPr>
                <w:sz w:val="20"/>
                <w:szCs w:val="20"/>
              </w:rPr>
            </w:pPr>
            <w:r w:rsidRPr="008B6A75">
              <w:rPr>
                <w:sz w:val="20"/>
                <w:szCs w:val="20"/>
              </w:rPr>
              <w:t>500</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36DAF3A6" w14:textId="77777777" w:rsidR="00387142" w:rsidRPr="008B6A75" w:rsidRDefault="00387142" w:rsidP="00387142">
            <w:pPr>
              <w:jc w:val="right"/>
              <w:rPr>
                <w:sz w:val="20"/>
                <w:szCs w:val="20"/>
              </w:rPr>
            </w:pPr>
            <w:r w:rsidRPr="008B6A75">
              <w:rPr>
                <w:sz w:val="20"/>
                <w:szCs w:val="20"/>
              </w:rPr>
              <w:t>489 800,00</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08C1F981" w14:textId="77777777" w:rsidR="00387142" w:rsidRPr="008B6A75" w:rsidRDefault="00387142" w:rsidP="00387142">
            <w:pPr>
              <w:jc w:val="right"/>
              <w:rPr>
                <w:sz w:val="20"/>
                <w:szCs w:val="20"/>
              </w:rPr>
            </w:pPr>
            <w:r w:rsidRPr="008B6A75">
              <w:rPr>
                <w:sz w:val="20"/>
                <w:szCs w:val="20"/>
              </w:rPr>
              <w:t>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148D874F" w14:textId="77777777" w:rsidR="00387142" w:rsidRPr="008B6A75" w:rsidRDefault="00387142" w:rsidP="00387142">
            <w:pPr>
              <w:jc w:val="right"/>
              <w:rPr>
                <w:sz w:val="20"/>
                <w:szCs w:val="20"/>
              </w:rPr>
            </w:pPr>
            <w:r w:rsidRPr="008B6A75">
              <w:rPr>
                <w:sz w:val="20"/>
                <w:szCs w:val="20"/>
              </w:rPr>
              <w:t>0,00</w:t>
            </w:r>
          </w:p>
        </w:tc>
        <w:tc>
          <w:tcPr>
            <w:tcW w:w="222" w:type="dxa"/>
            <w:vAlign w:val="center"/>
            <w:hideMark/>
          </w:tcPr>
          <w:p w14:paraId="148C9314" w14:textId="77777777" w:rsidR="00387142" w:rsidRPr="008B6A75" w:rsidRDefault="00387142" w:rsidP="00387142">
            <w:pPr>
              <w:rPr>
                <w:sz w:val="20"/>
                <w:szCs w:val="20"/>
              </w:rPr>
            </w:pPr>
          </w:p>
        </w:tc>
      </w:tr>
      <w:tr w:rsidR="00387142" w:rsidRPr="008B6A75" w14:paraId="1065E101" w14:textId="77777777" w:rsidTr="00387142">
        <w:trPr>
          <w:trHeight w:val="300"/>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60375144" w14:textId="77777777" w:rsidR="00387142" w:rsidRPr="008B6A75" w:rsidRDefault="00387142" w:rsidP="00387142">
            <w:pPr>
              <w:rPr>
                <w:sz w:val="20"/>
                <w:szCs w:val="20"/>
              </w:rPr>
            </w:pPr>
            <w:r w:rsidRPr="008B6A75">
              <w:rPr>
                <w:sz w:val="20"/>
                <w:szCs w:val="20"/>
              </w:rPr>
              <w:t>Дотации</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453587E0" w14:textId="77777777" w:rsidR="00387142" w:rsidRPr="008B6A75" w:rsidRDefault="00387142" w:rsidP="00387142">
            <w:pPr>
              <w:jc w:val="center"/>
              <w:rPr>
                <w:sz w:val="20"/>
                <w:szCs w:val="20"/>
              </w:rPr>
            </w:pPr>
            <w:r w:rsidRPr="008B6A75">
              <w:rPr>
                <w:sz w:val="20"/>
                <w:szCs w:val="20"/>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31AA84FA" w14:textId="77777777" w:rsidR="00387142" w:rsidRPr="008B6A75" w:rsidRDefault="00387142" w:rsidP="00387142">
            <w:pPr>
              <w:jc w:val="center"/>
              <w:rPr>
                <w:sz w:val="20"/>
                <w:szCs w:val="20"/>
              </w:rPr>
            </w:pPr>
            <w:r w:rsidRPr="008B6A75">
              <w:rPr>
                <w:sz w:val="20"/>
                <w:szCs w:val="20"/>
              </w:rPr>
              <w:t>14</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BC342C" w14:textId="77777777" w:rsidR="00387142" w:rsidRPr="008B6A75" w:rsidRDefault="00387142" w:rsidP="00387142">
            <w:pPr>
              <w:jc w:val="center"/>
              <w:rPr>
                <w:sz w:val="20"/>
                <w:szCs w:val="20"/>
              </w:rPr>
            </w:pPr>
            <w:r w:rsidRPr="008B6A75">
              <w:rPr>
                <w:sz w:val="20"/>
                <w:szCs w:val="20"/>
              </w:rPr>
              <w:t>01</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502A7584" w14:textId="77777777" w:rsidR="00387142" w:rsidRPr="008B6A75" w:rsidRDefault="00387142" w:rsidP="00387142">
            <w:pPr>
              <w:jc w:val="center"/>
              <w:rPr>
                <w:sz w:val="20"/>
                <w:szCs w:val="20"/>
              </w:rPr>
            </w:pPr>
            <w:r w:rsidRPr="008B6A75">
              <w:rPr>
                <w:sz w:val="20"/>
                <w:szCs w:val="20"/>
              </w:rPr>
              <w:t>99.0.00.S0510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EB3AC6" w14:textId="77777777" w:rsidR="00387142" w:rsidRPr="008B6A75" w:rsidRDefault="00387142" w:rsidP="00387142">
            <w:pPr>
              <w:jc w:val="center"/>
              <w:rPr>
                <w:sz w:val="20"/>
                <w:szCs w:val="20"/>
              </w:rPr>
            </w:pPr>
            <w:r w:rsidRPr="008B6A75">
              <w:rPr>
                <w:sz w:val="20"/>
                <w:szCs w:val="20"/>
              </w:rPr>
              <w:t>510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3A6E08" w14:textId="77777777" w:rsidR="00387142" w:rsidRPr="008B6A75" w:rsidRDefault="00387142" w:rsidP="00387142">
            <w:pPr>
              <w:jc w:val="right"/>
              <w:rPr>
                <w:sz w:val="20"/>
                <w:szCs w:val="20"/>
              </w:rPr>
            </w:pPr>
            <w:r w:rsidRPr="008B6A75">
              <w:rPr>
                <w:sz w:val="20"/>
                <w:szCs w:val="20"/>
              </w:rPr>
              <w:t>489 800,00</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6A9C1A45" w14:textId="77777777" w:rsidR="00387142" w:rsidRPr="008B6A75" w:rsidRDefault="00387142" w:rsidP="00387142">
            <w:pPr>
              <w:jc w:val="right"/>
              <w:rPr>
                <w:sz w:val="20"/>
                <w:szCs w:val="20"/>
              </w:rPr>
            </w:pPr>
            <w:r w:rsidRPr="008B6A75">
              <w:rPr>
                <w:sz w:val="20"/>
                <w:szCs w:val="20"/>
              </w:rPr>
              <w:t>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A8C274" w14:textId="77777777" w:rsidR="00387142" w:rsidRPr="008B6A75" w:rsidRDefault="00387142" w:rsidP="00387142">
            <w:pPr>
              <w:jc w:val="right"/>
              <w:rPr>
                <w:sz w:val="20"/>
                <w:szCs w:val="20"/>
              </w:rPr>
            </w:pPr>
            <w:r w:rsidRPr="008B6A75">
              <w:rPr>
                <w:sz w:val="20"/>
                <w:szCs w:val="20"/>
              </w:rPr>
              <w:t>0,00</w:t>
            </w:r>
          </w:p>
        </w:tc>
        <w:tc>
          <w:tcPr>
            <w:tcW w:w="222" w:type="dxa"/>
            <w:vAlign w:val="center"/>
            <w:hideMark/>
          </w:tcPr>
          <w:p w14:paraId="42389982" w14:textId="77777777" w:rsidR="00387142" w:rsidRPr="008B6A75" w:rsidRDefault="00387142" w:rsidP="00387142">
            <w:pPr>
              <w:rPr>
                <w:sz w:val="20"/>
                <w:szCs w:val="20"/>
              </w:rPr>
            </w:pPr>
          </w:p>
        </w:tc>
      </w:tr>
      <w:tr w:rsidR="00387142" w:rsidRPr="008B6A75" w14:paraId="0D02DE41" w14:textId="77777777" w:rsidTr="00387142">
        <w:trPr>
          <w:trHeight w:val="585"/>
        </w:trPr>
        <w:tc>
          <w:tcPr>
            <w:tcW w:w="3021" w:type="dxa"/>
            <w:tcBorders>
              <w:top w:val="nil"/>
              <w:left w:val="single" w:sz="4" w:space="0" w:color="auto"/>
              <w:bottom w:val="nil"/>
              <w:right w:val="nil"/>
            </w:tcBorders>
            <w:shd w:val="clear" w:color="auto" w:fill="auto"/>
            <w:vAlign w:val="center"/>
            <w:hideMark/>
          </w:tcPr>
          <w:p w14:paraId="2F759AF6" w14:textId="77777777" w:rsidR="00387142" w:rsidRPr="008B6A75" w:rsidRDefault="00387142" w:rsidP="00387142">
            <w:pPr>
              <w:rPr>
                <w:bCs/>
                <w:sz w:val="20"/>
                <w:szCs w:val="20"/>
              </w:rPr>
            </w:pPr>
            <w:r w:rsidRPr="008B6A75">
              <w:rPr>
                <w:bCs/>
                <w:sz w:val="20"/>
                <w:szCs w:val="20"/>
              </w:rPr>
              <w:t>Прочие межбюджетные трансферты общего характера</w:t>
            </w:r>
          </w:p>
        </w:tc>
        <w:tc>
          <w:tcPr>
            <w:tcW w:w="850" w:type="dxa"/>
            <w:tcBorders>
              <w:top w:val="nil"/>
              <w:left w:val="single" w:sz="4" w:space="0" w:color="auto"/>
              <w:bottom w:val="nil"/>
              <w:right w:val="nil"/>
            </w:tcBorders>
            <w:shd w:val="clear" w:color="auto" w:fill="auto"/>
            <w:noWrap/>
            <w:vAlign w:val="center"/>
            <w:hideMark/>
          </w:tcPr>
          <w:p w14:paraId="4DC6A0AA" w14:textId="77777777" w:rsidR="00387142" w:rsidRPr="008B6A75" w:rsidRDefault="00387142" w:rsidP="00387142">
            <w:pPr>
              <w:jc w:val="center"/>
              <w:rPr>
                <w:bCs/>
                <w:sz w:val="20"/>
                <w:szCs w:val="20"/>
              </w:rPr>
            </w:pPr>
            <w:r w:rsidRPr="008B6A75">
              <w:rPr>
                <w:bCs/>
                <w:sz w:val="20"/>
                <w:szCs w:val="20"/>
              </w:rPr>
              <w:t>444</w:t>
            </w:r>
          </w:p>
        </w:tc>
        <w:tc>
          <w:tcPr>
            <w:tcW w:w="709" w:type="dxa"/>
            <w:tcBorders>
              <w:top w:val="nil"/>
              <w:left w:val="single" w:sz="4" w:space="0" w:color="auto"/>
              <w:bottom w:val="nil"/>
              <w:right w:val="nil"/>
            </w:tcBorders>
            <w:shd w:val="clear" w:color="auto" w:fill="auto"/>
            <w:noWrap/>
            <w:vAlign w:val="center"/>
            <w:hideMark/>
          </w:tcPr>
          <w:p w14:paraId="580E76AB" w14:textId="77777777" w:rsidR="00387142" w:rsidRPr="008B6A75" w:rsidRDefault="00387142" w:rsidP="00387142">
            <w:pPr>
              <w:jc w:val="center"/>
              <w:rPr>
                <w:bCs/>
                <w:sz w:val="20"/>
                <w:szCs w:val="20"/>
              </w:rPr>
            </w:pPr>
            <w:r w:rsidRPr="008B6A75">
              <w:rPr>
                <w:bCs/>
                <w:sz w:val="20"/>
                <w:szCs w:val="20"/>
              </w:rPr>
              <w:t>14</w:t>
            </w:r>
          </w:p>
        </w:tc>
        <w:tc>
          <w:tcPr>
            <w:tcW w:w="709" w:type="dxa"/>
            <w:tcBorders>
              <w:top w:val="nil"/>
              <w:left w:val="single" w:sz="4" w:space="0" w:color="auto"/>
              <w:bottom w:val="nil"/>
              <w:right w:val="single" w:sz="4" w:space="0" w:color="auto"/>
            </w:tcBorders>
            <w:shd w:val="clear" w:color="auto" w:fill="auto"/>
            <w:noWrap/>
            <w:vAlign w:val="center"/>
            <w:hideMark/>
          </w:tcPr>
          <w:p w14:paraId="3DEB60F4" w14:textId="77777777" w:rsidR="00387142" w:rsidRPr="008B6A75" w:rsidRDefault="00387142" w:rsidP="00387142">
            <w:pPr>
              <w:jc w:val="center"/>
              <w:rPr>
                <w:bCs/>
                <w:sz w:val="20"/>
                <w:szCs w:val="20"/>
              </w:rPr>
            </w:pPr>
            <w:r w:rsidRPr="008B6A75">
              <w:rPr>
                <w:bCs/>
                <w:sz w:val="20"/>
                <w:szCs w:val="20"/>
              </w:rPr>
              <w:t>03</w:t>
            </w:r>
          </w:p>
        </w:tc>
        <w:tc>
          <w:tcPr>
            <w:tcW w:w="1411" w:type="dxa"/>
            <w:tcBorders>
              <w:top w:val="nil"/>
              <w:left w:val="single" w:sz="4" w:space="0" w:color="auto"/>
              <w:bottom w:val="nil"/>
              <w:right w:val="nil"/>
            </w:tcBorders>
            <w:shd w:val="clear" w:color="auto" w:fill="auto"/>
            <w:noWrap/>
            <w:vAlign w:val="center"/>
            <w:hideMark/>
          </w:tcPr>
          <w:p w14:paraId="09F33A86" w14:textId="77777777" w:rsidR="00387142" w:rsidRPr="008B6A75" w:rsidRDefault="00387142" w:rsidP="00387142">
            <w:pPr>
              <w:jc w:val="center"/>
              <w:rPr>
                <w:bCs/>
                <w:sz w:val="20"/>
                <w:szCs w:val="20"/>
              </w:rPr>
            </w:pPr>
            <w:r w:rsidRPr="008B6A75">
              <w:rPr>
                <w:bCs/>
                <w:sz w:val="20"/>
                <w:szCs w:val="20"/>
              </w:rPr>
              <w:t> </w:t>
            </w:r>
          </w:p>
        </w:tc>
        <w:tc>
          <w:tcPr>
            <w:tcW w:w="955" w:type="dxa"/>
            <w:tcBorders>
              <w:top w:val="nil"/>
              <w:left w:val="single" w:sz="4" w:space="0" w:color="auto"/>
              <w:bottom w:val="nil"/>
              <w:right w:val="single" w:sz="4" w:space="0" w:color="auto"/>
            </w:tcBorders>
            <w:shd w:val="clear" w:color="auto" w:fill="auto"/>
            <w:noWrap/>
            <w:vAlign w:val="center"/>
            <w:hideMark/>
          </w:tcPr>
          <w:p w14:paraId="5318DDE7"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nil"/>
              <w:right w:val="single" w:sz="4" w:space="0" w:color="auto"/>
            </w:tcBorders>
            <w:shd w:val="clear" w:color="auto" w:fill="auto"/>
            <w:noWrap/>
            <w:vAlign w:val="center"/>
            <w:hideMark/>
          </w:tcPr>
          <w:p w14:paraId="7C05BBBC" w14:textId="77777777" w:rsidR="00387142" w:rsidRPr="008B6A75" w:rsidRDefault="00387142" w:rsidP="00387142">
            <w:pPr>
              <w:jc w:val="right"/>
              <w:rPr>
                <w:bCs/>
                <w:sz w:val="20"/>
                <w:szCs w:val="20"/>
              </w:rPr>
            </w:pPr>
            <w:r w:rsidRPr="008B6A75">
              <w:rPr>
                <w:bCs/>
                <w:sz w:val="20"/>
                <w:szCs w:val="20"/>
              </w:rPr>
              <w:t>97 495 044,46</w:t>
            </w:r>
          </w:p>
        </w:tc>
        <w:tc>
          <w:tcPr>
            <w:tcW w:w="992" w:type="dxa"/>
            <w:gridSpan w:val="2"/>
            <w:tcBorders>
              <w:top w:val="nil"/>
              <w:left w:val="single" w:sz="4" w:space="0" w:color="auto"/>
              <w:bottom w:val="nil"/>
              <w:right w:val="nil"/>
            </w:tcBorders>
            <w:shd w:val="clear" w:color="auto" w:fill="auto"/>
            <w:noWrap/>
            <w:vAlign w:val="center"/>
            <w:hideMark/>
          </w:tcPr>
          <w:p w14:paraId="03000CD1" w14:textId="77777777" w:rsidR="00387142" w:rsidRPr="008B6A75" w:rsidRDefault="00387142" w:rsidP="00387142">
            <w:pPr>
              <w:jc w:val="right"/>
              <w:rPr>
                <w:bCs/>
                <w:sz w:val="20"/>
                <w:szCs w:val="20"/>
              </w:rPr>
            </w:pPr>
            <w:r w:rsidRPr="008B6A75">
              <w:rPr>
                <w:bCs/>
                <w:sz w:val="20"/>
                <w:szCs w:val="20"/>
              </w:rPr>
              <w:t>0,00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33F86898" w14:textId="77777777" w:rsidR="00387142" w:rsidRPr="008B6A75" w:rsidRDefault="00387142" w:rsidP="00387142">
            <w:pPr>
              <w:jc w:val="right"/>
              <w:rPr>
                <w:bCs/>
                <w:sz w:val="20"/>
                <w:szCs w:val="20"/>
              </w:rPr>
            </w:pPr>
            <w:r w:rsidRPr="008B6A75">
              <w:rPr>
                <w:bCs/>
                <w:sz w:val="20"/>
                <w:szCs w:val="20"/>
              </w:rPr>
              <w:t>0,00</w:t>
            </w:r>
          </w:p>
        </w:tc>
        <w:tc>
          <w:tcPr>
            <w:tcW w:w="222" w:type="dxa"/>
            <w:vAlign w:val="center"/>
            <w:hideMark/>
          </w:tcPr>
          <w:p w14:paraId="5BD171AD" w14:textId="77777777" w:rsidR="00387142" w:rsidRPr="008B6A75" w:rsidRDefault="00387142" w:rsidP="00387142">
            <w:pPr>
              <w:rPr>
                <w:sz w:val="20"/>
                <w:szCs w:val="20"/>
              </w:rPr>
            </w:pPr>
          </w:p>
        </w:tc>
      </w:tr>
      <w:tr w:rsidR="00387142" w:rsidRPr="008B6A75" w14:paraId="6D093442" w14:textId="77777777" w:rsidTr="00387142">
        <w:trPr>
          <w:trHeight w:val="300"/>
        </w:trPr>
        <w:tc>
          <w:tcPr>
            <w:tcW w:w="3021" w:type="dxa"/>
            <w:tcBorders>
              <w:top w:val="single" w:sz="4" w:space="0" w:color="auto"/>
              <w:left w:val="single" w:sz="4" w:space="0" w:color="auto"/>
              <w:bottom w:val="nil"/>
              <w:right w:val="nil"/>
            </w:tcBorders>
            <w:shd w:val="clear" w:color="auto" w:fill="auto"/>
            <w:vAlign w:val="center"/>
            <w:hideMark/>
          </w:tcPr>
          <w:p w14:paraId="42152660" w14:textId="77777777" w:rsidR="00387142" w:rsidRPr="008B6A75" w:rsidRDefault="00387142" w:rsidP="00387142">
            <w:pPr>
              <w:rPr>
                <w:bCs/>
                <w:sz w:val="20"/>
                <w:szCs w:val="20"/>
              </w:rPr>
            </w:pPr>
            <w:r w:rsidRPr="008B6A75">
              <w:rPr>
                <w:bCs/>
                <w:sz w:val="20"/>
                <w:szCs w:val="20"/>
              </w:rPr>
              <w:t>Непрограммные направления бюджета</w:t>
            </w:r>
          </w:p>
        </w:tc>
        <w:tc>
          <w:tcPr>
            <w:tcW w:w="850" w:type="dxa"/>
            <w:tcBorders>
              <w:top w:val="single" w:sz="4" w:space="0" w:color="auto"/>
              <w:left w:val="single" w:sz="4" w:space="0" w:color="auto"/>
              <w:bottom w:val="nil"/>
              <w:right w:val="nil"/>
            </w:tcBorders>
            <w:shd w:val="clear" w:color="auto" w:fill="auto"/>
            <w:noWrap/>
            <w:vAlign w:val="center"/>
            <w:hideMark/>
          </w:tcPr>
          <w:p w14:paraId="406E04A5" w14:textId="77777777" w:rsidR="00387142" w:rsidRPr="008B6A75" w:rsidRDefault="00387142" w:rsidP="00387142">
            <w:pPr>
              <w:jc w:val="center"/>
              <w:rPr>
                <w:bCs/>
                <w:sz w:val="20"/>
                <w:szCs w:val="20"/>
              </w:rPr>
            </w:pPr>
            <w:r w:rsidRPr="008B6A75">
              <w:rPr>
                <w:bCs/>
                <w:sz w:val="20"/>
                <w:szCs w:val="20"/>
              </w:rPr>
              <w:t>444</w:t>
            </w:r>
          </w:p>
        </w:tc>
        <w:tc>
          <w:tcPr>
            <w:tcW w:w="709" w:type="dxa"/>
            <w:tcBorders>
              <w:top w:val="single" w:sz="4" w:space="0" w:color="auto"/>
              <w:left w:val="single" w:sz="4" w:space="0" w:color="auto"/>
              <w:bottom w:val="nil"/>
              <w:right w:val="nil"/>
            </w:tcBorders>
            <w:shd w:val="clear" w:color="auto" w:fill="auto"/>
            <w:noWrap/>
            <w:vAlign w:val="center"/>
            <w:hideMark/>
          </w:tcPr>
          <w:p w14:paraId="57B50AA0" w14:textId="77777777" w:rsidR="00387142" w:rsidRPr="008B6A75" w:rsidRDefault="00387142" w:rsidP="00387142">
            <w:pPr>
              <w:jc w:val="center"/>
              <w:rPr>
                <w:bCs/>
                <w:sz w:val="20"/>
                <w:szCs w:val="20"/>
              </w:rPr>
            </w:pPr>
            <w:r w:rsidRPr="008B6A75">
              <w:rPr>
                <w:bCs/>
                <w:sz w:val="20"/>
                <w:szCs w:val="20"/>
              </w:rPr>
              <w:t>14</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5765906A" w14:textId="77777777" w:rsidR="00387142" w:rsidRPr="008B6A75" w:rsidRDefault="00387142" w:rsidP="00387142">
            <w:pPr>
              <w:jc w:val="center"/>
              <w:rPr>
                <w:bCs/>
                <w:sz w:val="20"/>
                <w:szCs w:val="20"/>
              </w:rPr>
            </w:pPr>
            <w:r w:rsidRPr="008B6A75">
              <w:rPr>
                <w:bCs/>
                <w:sz w:val="20"/>
                <w:szCs w:val="20"/>
              </w:rPr>
              <w:t>03</w:t>
            </w:r>
          </w:p>
        </w:tc>
        <w:tc>
          <w:tcPr>
            <w:tcW w:w="1411" w:type="dxa"/>
            <w:tcBorders>
              <w:top w:val="single" w:sz="4" w:space="0" w:color="auto"/>
              <w:left w:val="single" w:sz="4" w:space="0" w:color="auto"/>
              <w:bottom w:val="nil"/>
              <w:right w:val="nil"/>
            </w:tcBorders>
            <w:shd w:val="clear" w:color="auto" w:fill="auto"/>
            <w:noWrap/>
            <w:vAlign w:val="center"/>
            <w:hideMark/>
          </w:tcPr>
          <w:p w14:paraId="6E6208BF" w14:textId="77777777" w:rsidR="00387142" w:rsidRPr="008B6A75" w:rsidRDefault="00387142" w:rsidP="00387142">
            <w:pPr>
              <w:jc w:val="center"/>
              <w:rPr>
                <w:bCs/>
                <w:sz w:val="20"/>
                <w:szCs w:val="20"/>
              </w:rPr>
            </w:pPr>
            <w:r w:rsidRPr="008B6A75">
              <w:rPr>
                <w:bCs/>
                <w:sz w:val="20"/>
                <w:szCs w:val="20"/>
              </w:rPr>
              <w:t>99.0.00.00000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41F68A36" w14:textId="77777777" w:rsidR="00387142" w:rsidRPr="008B6A75" w:rsidRDefault="00387142" w:rsidP="00387142">
            <w:pPr>
              <w:jc w:val="center"/>
              <w:rPr>
                <w:bCs/>
                <w:sz w:val="20"/>
                <w:szCs w:val="20"/>
              </w:rPr>
            </w:pPr>
            <w:r w:rsidRPr="008B6A75">
              <w:rPr>
                <w:bCs/>
                <w:sz w:val="20"/>
                <w:szCs w:val="20"/>
              </w:rPr>
              <w:t> </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2A211927" w14:textId="77777777" w:rsidR="00387142" w:rsidRPr="008B6A75" w:rsidRDefault="00387142" w:rsidP="00387142">
            <w:pPr>
              <w:jc w:val="right"/>
              <w:rPr>
                <w:bCs/>
                <w:sz w:val="20"/>
                <w:szCs w:val="20"/>
              </w:rPr>
            </w:pPr>
            <w:r w:rsidRPr="008B6A75">
              <w:rPr>
                <w:bCs/>
                <w:sz w:val="20"/>
                <w:szCs w:val="20"/>
              </w:rPr>
              <w:t>97 495 044,46</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52CEB759" w14:textId="77777777" w:rsidR="00387142" w:rsidRPr="008B6A75" w:rsidRDefault="00387142" w:rsidP="00387142">
            <w:pPr>
              <w:jc w:val="right"/>
              <w:rPr>
                <w:bCs/>
                <w:sz w:val="20"/>
                <w:szCs w:val="20"/>
              </w:rPr>
            </w:pPr>
            <w:r w:rsidRPr="008B6A75">
              <w:rPr>
                <w:bCs/>
                <w:sz w:val="20"/>
                <w:szCs w:val="20"/>
              </w:rPr>
              <w:t>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5F5CA46D" w14:textId="77777777" w:rsidR="00387142" w:rsidRPr="008B6A75" w:rsidRDefault="00387142" w:rsidP="00387142">
            <w:pPr>
              <w:jc w:val="right"/>
              <w:rPr>
                <w:bCs/>
                <w:sz w:val="20"/>
                <w:szCs w:val="20"/>
              </w:rPr>
            </w:pPr>
            <w:r w:rsidRPr="008B6A75">
              <w:rPr>
                <w:bCs/>
                <w:sz w:val="20"/>
                <w:szCs w:val="20"/>
              </w:rPr>
              <w:t>0,00</w:t>
            </w:r>
          </w:p>
        </w:tc>
        <w:tc>
          <w:tcPr>
            <w:tcW w:w="222" w:type="dxa"/>
            <w:vAlign w:val="center"/>
            <w:hideMark/>
          </w:tcPr>
          <w:p w14:paraId="001CD44D" w14:textId="77777777" w:rsidR="00387142" w:rsidRPr="008B6A75" w:rsidRDefault="00387142" w:rsidP="00387142">
            <w:pPr>
              <w:rPr>
                <w:sz w:val="20"/>
                <w:szCs w:val="20"/>
              </w:rPr>
            </w:pPr>
          </w:p>
        </w:tc>
      </w:tr>
      <w:tr w:rsidR="00387142" w:rsidRPr="008B6A75" w14:paraId="44B1ECEE" w14:textId="77777777" w:rsidTr="00387142">
        <w:trPr>
          <w:trHeight w:val="2580"/>
        </w:trPr>
        <w:tc>
          <w:tcPr>
            <w:tcW w:w="3021" w:type="dxa"/>
            <w:tcBorders>
              <w:top w:val="single" w:sz="4" w:space="0" w:color="auto"/>
              <w:left w:val="single" w:sz="4" w:space="0" w:color="auto"/>
              <w:bottom w:val="nil"/>
              <w:right w:val="nil"/>
            </w:tcBorders>
            <w:shd w:val="clear" w:color="auto" w:fill="auto"/>
            <w:vAlign w:val="center"/>
            <w:hideMark/>
          </w:tcPr>
          <w:p w14:paraId="1526C137" w14:textId="77777777" w:rsidR="00387142" w:rsidRPr="008B6A75" w:rsidRDefault="00387142" w:rsidP="00387142">
            <w:pPr>
              <w:rPr>
                <w:bCs/>
                <w:sz w:val="20"/>
                <w:szCs w:val="20"/>
              </w:rPr>
            </w:pPr>
            <w:r w:rsidRPr="008B6A75">
              <w:rPr>
                <w:bCs/>
                <w:sz w:val="20"/>
                <w:szCs w:val="20"/>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Куйбышевского района</w:t>
            </w:r>
          </w:p>
        </w:tc>
        <w:tc>
          <w:tcPr>
            <w:tcW w:w="850" w:type="dxa"/>
            <w:tcBorders>
              <w:top w:val="single" w:sz="4" w:space="0" w:color="auto"/>
              <w:left w:val="single" w:sz="4" w:space="0" w:color="auto"/>
              <w:bottom w:val="nil"/>
              <w:right w:val="nil"/>
            </w:tcBorders>
            <w:shd w:val="clear" w:color="auto" w:fill="auto"/>
            <w:noWrap/>
            <w:vAlign w:val="center"/>
            <w:hideMark/>
          </w:tcPr>
          <w:p w14:paraId="0ACF18CD" w14:textId="77777777" w:rsidR="00387142" w:rsidRPr="008B6A75" w:rsidRDefault="00387142" w:rsidP="00387142">
            <w:pPr>
              <w:jc w:val="center"/>
              <w:rPr>
                <w:bCs/>
                <w:sz w:val="20"/>
                <w:szCs w:val="20"/>
              </w:rPr>
            </w:pPr>
            <w:r w:rsidRPr="008B6A75">
              <w:rPr>
                <w:bCs/>
                <w:sz w:val="20"/>
                <w:szCs w:val="20"/>
              </w:rPr>
              <w:t>444</w:t>
            </w:r>
          </w:p>
        </w:tc>
        <w:tc>
          <w:tcPr>
            <w:tcW w:w="709" w:type="dxa"/>
            <w:tcBorders>
              <w:top w:val="single" w:sz="4" w:space="0" w:color="auto"/>
              <w:left w:val="single" w:sz="4" w:space="0" w:color="auto"/>
              <w:bottom w:val="nil"/>
              <w:right w:val="nil"/>
            </w:tcBorders>
            <w:shd w:val="clear" w:color="auto" w:fill="auto"/>
            <w:noWrap/>
            <w:vAlign w:val="center"/>
            <w:hideMark/>
          </w:tcPr>
          <w:p w14:paraId="45F71E54" w14:textId="77777777" w:rsidR="00387142" w:rsidRPr="008B6A75" w:rsidRDefault="00387142" w:rsidP="00387142">
            <w:pPr>
              <w:jc w:val="center"/>
              <w:rPr>
                <w:bCs/>
                <w:sz w:val="20"/>
                <w:szCs w:val="20"/>
              </w:rPr>
            </w:pPr>
            <w:r w:rsidRPr="008B6A75">
              <w:rPr>
                <w:bCs/>
                <w:sz w:val="20"/>
                <w:szCs w:val="20"/>
              </w:rPr>
              <w:t>14</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34535CA6" w14:textId="77777777" w:rsidR="00387142" w:rsidRPr="008B6A75" w:rsidRDefault="00387142" w:rsidP="00387142">
            <w:pPr>
              <w:jc w:val="center"/>
              <w:rPr>
                <w:bCs/>
                <w:sz w:val="20"/>
                <w:szCs w:val="20"/>
              </w:rPr>
            </w:pPr>
            <w:r w:rsidRPr="008B6A75">
              <w:rPr>
                <w:bCs/>
                <w:sz w:val="20"/>
                <w:szCs w:val="20"/>
              </w:rPr>
              <w:t>03</w:t>
            </w:r>
          </w:p>
        </w:tc>
        <w:tc>
          <w:tcPr>
            <w:tcW w:w="1411" w:type="dxa"/>
            <w:tcBorders>
              <w:top w:val="single" w:sz="4" w:space="0" w:color="auto"/>
              <w:left w:val="single" w:sz="4" w:space="0" w:color="auto"/>
              <w:bottom w:val="nil"/>
              <w:right w:val="nil"/>
            </w:tcBorders>
            <w:shd w:val="clear" w:color="auto" w:fill="auto"/>
            <w:noWrap/>
            <w:vAlign w:val="center"/>
            <w:hideMark/>
          </w:tcPr>
          <w:p w14:paraId="7D1627DD" w14:textId="77777777" w:rsidR="00387142" w:rsidRPr="008B6A75" w:rsidRDefault="00387142" w:rsidP="00387142">
            <w:pPr>
              <w:jc w:val="center"/>
              <w:rPr>
                <w:bCs/>
                <w:sz w:val="20"/>
                <w:szCs w:val="20"/>
              </w:rPr>
            </w:pPr>
            <w:r w:rsidRPr="008B6A75">
              <w:rPr>
                <w:bCs/>
                <w:sz w:val="20"/>
                <w:szCs w:val="20"/>
              </w:rPr>
              <w:t>99.0.00.14030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56044823" w14:textId="77777777" w:rsidR="00387142" w:rsidRPr="008B6A75" w:rsidRDefault="00387142" w:rsidP="00387142">
            <w:pPr>
              <w:jc w:val="center"/>
              <w:rPr>
                <w:bCs/>
                <w:sz w:val="20"/>
                <w:szCs w:val="20"/>
              </w:rPr>
            </w:pPr>
            <w:r w:rsidRPr="008B6A75">
              <w:rPr>
                <w:bCs/>
                <w:sz w:val="20"/>
                <w:szCs w:val="20"/>
              </w:rPr>
              <w:t> </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7D50547B" w14:textId="77777777" w:rsidR="00387142" w:rsidRPr="008B6A75" w:rsidRDefault="00387142" w:rsidP="00387142">
            <w:pPr>
              <w:jc w:val="right"/>
              <w:rPr>
                <w:bCs/>
                <w:sz w:val="20"/>
                <w:szCs w:val="20"/>
              </w:rPr>
            </w:pPr>
            <w:r w:rsidRPr="008B6A75">
              <w:rPr>
                <w:bCs/>
                <w:sz w:val="20"/>
                <w:szCs w:val="20"/>
              </w:rPr>
              <w:t>9 926 172,46</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0DC5F6DC" w14:textId="77777777" w:rsidR="00387142" w:rsidRPr="008B6A75" w:rsidRDefault="00387142" w:rsidP="00387142">
            <w:pPr>
              <w:jc w:val="right"/>
              <w:rPr>
                <w:bCs/>
                <w:sz w:val="20"/>
                <w:szCs w:val="20"/>
              </w:rPr>
            </w:pPr>
            <w:r w:rsidRPr="008B6A75">
              <w:rPr>
                <w:bCs/>
                <w:sz w:val="20"/>
                <w:szCs w:val="20"/>
              </w:rPr>
              <w:t>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7E9C1947" w14:textId="77777777" w:rsidR="00387142" w:rsidRPr="008B6A75" w:rsidRDefault="00387142" w:rsidP="00387142">
            <w:pPr>
              <w:jc w:val="right"/>
              <w:rPr>
                <w:bCs/>
                <w:sz w:val="20"/>
                <w:szCs w:val="20"/>
              </w:rPr>
            </w:pPr>
            <w:r w:rsidRPr="008B6A75">
              <w:rPr>
                <w:bCs/>
                <w:sz w:val="20"/>
                <w:szCs w:val="20"/>
              </w:rPr>
              <w:t>0,00</w:t>
            </w:r>
          </w:p>
        </w:tc>
        <w:tc>
          <w:tcPr>
            <w:tcW w:w="222" w:type="dxa"/>
            <w:vAlign w:val="center"/>
            <w:hideMark/>
          </w:tcPr>
          <w:p w14:paraId="4582C44F" w14:textId="77777777" w:rsidR="00387142" w:rsidRPr="008B6A75" w:rsidRDefault="00387142" w:rsidP="00387142">
            <w:pPr>
              <w:rPr>
                <w:sz w:val="20"/>
                <w:szCs w:val="20"/>
              </w:rPr>
            </w:pPr>
          </w:p>
        </w:tc>
      </w:tr>
      <w:tr w:rsidR="00387142" w:rsidRPr="008B6A75" w14:paraId="6F1DD603" w14:textId="77777777" w:rsidTr="00387142">
        <w:trPr>
          <w:trHeight w:val="300"/>
        </w:trPr>
        <w:tc>
          <w:tcPr>
            <w:tcW w:w="3021" w:type="dxa"/>
            <w:tcBorders>
              <w:top w:val="single" w:sz="4" w:space="0" w:color="auto"/>
              <w:left w:val="single" w:sz="4" w:space="0" w:color="auto"/>
              <w:bottom w:val="nil"/>
              <w:right w:val="nil"/>
            </w:tcBorders>
            <w:shd w:val="clear" w:color="auto" w:fill="auto"/>
            <w:vAlign w:val="center"/>
            <w:hideMark/>
          </w:tcPr>
          <w:p w14:paraId="78DB4551" w14:textId="77777777" w:rsidR="00387142" w:rsidRPr="008B6A75" w:rsidRDefault="00387142" w:rsidP="00387142">
            <w:pPr>
              <w:rPr>
                <w:sz w:val="20"/>
                <w:szCs w:val="20"/>
              </w:rPr>
            </w:pPr>
            <w:r w:rsidRPr="008B6A75">
              <w:rPr>
                <w:sz w:val="20"/>
                <w:szCs w:val="20"/>
              </w:rPr>
              <w:lastRenderedPageBreak/>
              <w:t>Межбюджетные трансферты</w:t>
            </w:r>
          </w:p>
        </w:tc>
        <w:tc>
          <w:tcPr>
            <w:tcW w:w="850" w:type="dxa"/>
            <w:tcBorders>
              <w:top w:val="single" w:sz="4" w:space="0" w:color="auto"/>
              <w:left w:val="single" w:sz="4" w:space="0" w:color="auto"/>
              <w:bottom w:val="nil"/>
              <w:right w:val="nil"/>
            </w:tcBorders>
            <w:shd w:val="clear" w:color="auto" w:fill="auto"/>
            <w:noWrap/>
            <w:vAlign w:val="center"/>
            <w:hideMark/>
          </w:tcPr>
          <w:p w14:paraId="0EFF32FC" w14:textId="77777777" w:rsidR="00387142" w:rsidRPr="008B6A75" w:rsidRDefault="00387142" w:rsidP="00387142">
            <w:pPr>
              <w:jc w:val="center"/>
              <w:rPr>
                <w:sz w:val="20"/>
                <w:szCs w:val="20"/>
              </w:rPr>
            </w:pPr>
            <w:r w:rsidRPr="008B6A75">
              <w:rPr>
                <w:sz w:val="20"/>
                <w:szCs w:val="20"/>
              </w:rPr>
              <w:t>444</w:t>
            </w:r>
          </w:p>
        </w:tc>
        <w:tc>
          <w:tcPr>
            <w:tcW w:w="709" w:type="dxa"/>
            <w:tcBorders>
              <w:top w:val="single" w:sz="4" w:space="0" w:color="auto"/>
              <w:left w:val="single" w:sz="4" w:space="0" w:color="auto"/>
              <w:bottom w:val="nil"/>
              <w:right w:val="nil"/>
            </w:tcBorders>
            <w:shd w:val="clear" w:color="auto" w:fill="auto"/>
            <w:noWrap/>
            <w:vAlign w:val="center"/>
            <w:hideMark/>
          </w:tcPr>
          <w:p w14:paraId="6F539914" w14:textId="77777777" w:rsidR="00387142" w:rsidRPr="008B6A75" w:rsidRDefault="00387142" w:rsidP="00387142">
            <w:pPr>
              <w:jc w:val="center"/>
              <w:rPr>
                <w:sz w:val="20"/>
                <w:szCs w:val="20"/>
              </w:rPr>
            </w:pPr>
            <w:r w:rsidRPr="008B6A75">
              <w:rPr>
                <w:sz w:val="20"/>
                <w:szCs w:val="20"/>
              </w:rPr>
              <w:t>14</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7524828F" w14:textId="77777777" w:rsidR="00387142" w:rsidRPr="008B6A75" w:rsidRDefault="00387142" w:rsidP="00387142">
            <w:pPr>
              <w:jc w:val="center"/>
              <w:rPr>
                <w:sz w:val="20"/>
                <w:szCs w:val="20"/>
              </w:rPr>
            </w:pPr>
            <w:r w:rsidRPr="008B6A75">
              <w:rPr>
                <w:sz w:val="20"/>
                <w:szCs w:val="20"/>
              </w:rPr>
              <w:t>03</w:t>
            </w:r>
          </w:p>
        </w:tc>
        <w:tc>
          <w:tcPr>
            <w:tcW w:w="1411" w:type="dxa"/>
            <w:tcBorders>
              <w:top w:val="single" w:sz="4" w:space="0" w:color="auto"/>
              <w:left w:val="single" w:sz="4" w:space="0" w:color="auto"/>
              <w:bottom w:val="nil"/>
              <w:right w:val="nil"/>
            </w:tcBorders>
            <w:shd w:val="clear" w:color="auto" w:fill="auto"/>
            <w:noWrap/>
            <w:vAlign w:val="center"/>
            <w:hideMark/>
          </w:tcPr>
          <w:p w14:paraId="14B1902D" w14:textId="77777777" w:rsidR="00387142" w:rsidRPr="008B6A75" w:rsidRDefault="00387142" w:rsidP="00387142">
            <w:pPr>
              <w:jc w:val="center"/>
              <w:rPr>
                <w:sz w:val="20"/>
                <w:szCs w:val="20"/>
              </w:rPr>
            </w:pPr>
            <w:r w:rsidRPr="008B6A75">
              <w:rPr>
                <w:sz w:val="20"/>
                <w:szCs w:val="20"/>
              </w:rPr>
              <w:t>99.0.00.14030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7AF4DB4C" w14:textId="77777777" w:rsidR="00387142" w:rsidRPr="008B6A75" w:rsidRDefault="00387142" w:rsidP="00387142">
            <w:pPr>
              <w:jc w:val="center"/>
              <w:rPr>
                <w:sz w:val="20"/>
                <w:szCs w:val="20"/>
              </w:rPr>
            </w:pPr>
            <w:r w:rsidRPr="008B6A75">
              <w:rPr>
                <w:sz w:val="20"/>
                <w:szCs w:val="20"/>
              </w:rPr>
              <w:t>500</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1E8DE15B" w14:textId="77777777" w:rsidR="00387142" w:rsidRPr="008B6A75" w:rsidRDefault="00387142" w:rsidP="00387142">
            <w:pPr>
              <w:jc w:val="right"/>
              <w:rPr>
                <w:sz w:val="20"/>
                <w:szCs w:val="20"/>
              </w:rPr>
            </w:pPr>
            <w:r w:rsidRPr="008B6A75">
              <w:rPr>
                <w:sz w:val="20"/>
                <w:szCs w:val="20"/>
              </w:rPr>
              <w:t>9 926 172,46</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440B2584" w14:textId="77777777" w:rsidR="00387142" w:rsidRPr="008B6A75" w:rsidRDefault="00387142" w:rsidP="00387142">
            <w:pPr>
              <w:jc w:val="right"/>
              <w:rPr>
                <w:sz w:val="20"/>
                <w:szCs w:val="20"/>
              </w:rPr>
            </w:pPr>
            <w:r w:rsidRPr="008B6A75">
              <w:rPr>
                <w:sz w:val="20"/>
                <w:szCs w:val="20"/>
              </w:rPr>
              <w:t>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7AAB2166" w14:textId="77777777" w:rsidR="00387142" w:rsidRPr="008B6A75" w:rsidRDefault="00387142" w:rsidP="00387142">
            <w:pPr>
              <w:jc w:val="right"/>
              <w:rPr>
                <w:sz w:val="20"/>
                <w:szCs w:val="20"/>
              </w:rPr>
            </w:pPr>
            <w:r w:rsidRPr="008B6A75">
              <w:rPr>
                <w:sz w:val="20"/>
                <w:szCs w:val="20"/>
              </w:rPr>
              <w:t>0,00</w:t>
            </w:r>
          </w:p>
        </w:tc>
        <w:tc>
          <w:tcPr>
            <w:tcW w:w="222" w:type="dxa"/>
            <w:vAlign w:val="center"/>
            <w:hideMark/>
          </w:tcPr>
          <w:p w14:paraId="122D4E34" w14:textId="77777777" w:rsidR="00387142" w:rsidRPr="008B6A75" w:rsidRDefault="00387142" w:rsidP="00387142">
            <w:pPr>
              <w:rPr>
                <w:sz w:val="20"/>
                <w:szCs w:val="20"/>
              </w:rPr>
            </w:pPr>
          </w:p>
        </w:tc>
      </w:tr>
      <w:tr w:rsidR="00387142" w:rsidRPr="008B6A75" w14:paraId="00AE1BEC" w14:textId="77777777" w:rsidTr="00387142">
        <w:trPr>
          <w:trHeight w:val="300"/>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66A828F9" w14:textId="77777777" w:rsidR="00387142" w:rsidRPr="008B6A75" w:rsidRDefault="00387142" w:rsidP="00387142">
            <w:pPr>
              <w:rPr>
                <w:sz w:val="20"/>
                <w:szCs w:val="20"/>
              </w:rPr>
            </w:pPr>
            <w:r w:rsidRPr="008B6A75">
              <w:rPr>
                <w:sz w:val="20"/>
                <w:szCs w:val="20"/>
              </w:rPr>
              <w:t>Иные межбюджетные трансферты</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5C38CA46" w14:textId="77777777" w:rsidR="00387142" w:rsidRPr="008B6A75" w:rsidRDefault="00387142" w:rsidP="00387142">
            <w:pPr>
              <w:jc w:val="center"/>
              <w:rPr>
                <w:sz w:val="20"/>
                <w:szCs w:val="20"/>
              </w:rPr>
            </w:pPr>
            <w:r w:rsidRPr="008B6A75">
              <w:rPr>
                <w:sz w:val="20"/>
                <w:szCs w:val="20"/>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09B4B5E7" w14:textId="77777777" w:rsidR="00387142" w:rsidRPr="008B6A75" w:rsidRDefault="00387142" w:rsidP="00387142">
            <w:pPr>
              <w:jc w:val="center"/>
              <w:rPr>
                <w:sz w:val="20"/>
                <w:szCs w:val="20"/>
              </w:rPr>
            </w:pPr>
            <w:r w:rsidRPr="008B6A75">
              <w:rPr>
                <w:sz w:val="20"/>
                <w:szCs w:val="20"/>
              </w:rPr>
              <w:t>14</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B3038E" w14:textId="77777777" w:rsidR="00387142" w:rsidRPr="008B6A75" w:rsidRDefault="00387142" w:rsidP="00387142">
            <w:pPr>
              <w:jc w:val="center"/>
              <w:rPr>
                <w:sz w:val="20"/>
                <w:szCs w:val="20"/>
              </w:rPr>
            </w:pPr>
            <w:r w:rsidRPr="008B6A75">
              <w:rPr>
                <w:sz w:val="20"/>
                <w:szCs w:val="20"/>
              </w:rPr>
              <w:t>03</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129C57F9" w14:textId="77777777" w:rsidR="00387142" w:rsidRPr="008B6A75" w:rsidRDefault="00387142" w:rsidP="00387142">
            <w:pPr>
              <w:jc w:val="center"/>
              <w:rPr>
                <w:sz w:val="20"/>
                <w:szCs w:val="20"/>
              </w:rPr>
            </w:pPr>
            <w:r w:rsidRPr="008B6A75">
              <w:rPr>
                <w:sz w:val="20"/>
                <w:szCs w:val="20"/>
              </w:rPr>
              <w:t>99.0.00.14030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E7A8D4" w14:textId="77777777" w:rsidR="00387142" w:rsidRPr="008B6A75" w:rsidRDefault="00387142" w:rsidP="00387142">
            <w:pPr>
              <w:jc w:val="center"/>
              <w:rPr>
                <w:sz w:val="20"/>
                <w:szCs w:val="20"/>
              </w:rPr>
            </w:pPr>
            <w:r w:rsidRPr="008B6A75">
              <w:rPr>
                <w:sz w:val="20"/>
                <w:szCs w:val="20"/>
              </w:rPr>
              <w:t>540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44776C" w14:textId="77777777" w:rsidR="00387142" w:rsidRPr="008B6A75" w:rsidRDefault="00387142" w:rsidP="00387142">
            <w:pPr>
              <w:jc w:val="right"/>
              <w:rPr>
                <w:sz w:val="20"/>
                <w:szCs w:val="20"/>
              </w:rPr>
            </w:pPr>
            <w:r w:rsidRPr="008B6A75">
              <w:rPr>
                <w:sz w:val="20"/>
                <w:szCs w:val="20"/>
              </w:rPr>
              <w:t>9 926 172,46</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49A66318" w14:textId="77777777" w:rsidR="00387142" w:rsidRPr="008B6A75" w:rsidRDefault="00387142" w:rsidP="00387142">
            <w:pPr>
              <w:jc w:val="right"/>
              <w:rPr>
                <w:sz w:val="20"/>
                <w:szCs w:val="20"/>
              </w:rPr>
            </w:pPr>
            <w:r w:rsidRPr="008B6A75">
              <w:rPr>
                <w:sz w:val="20"/>
                <w:szCs w:val="20"/>
              </w:rPr>
              <w:t>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346909" w14:textId="77777777" w:rsidR="00387142" w:rsidRPr="008B6A75" w:rsidRDefault="00387142" w:rsidP="00387142">
            <w:pPr>
              <w:jc w:val="right"/>
              <w:rPr>
                <w:sz w:val="20"/>
                <w:szCs w:val="20"/>
              </w:rPr>
            </w:pPr>
            <w:r w:rsidRPr="008B6A75">
              <w:rPr>
                <w:sz w:val="20"/>
                <w:szCs w:val="20"/>
              </w:rPr>
              <w:t>0,00</w:t>
            </w:r>
          </w:p>
        </w:tc>
        <w:tc>
          <w:tcPr>
            <w:tcW w:w="222" w:type="dxa"/>
            <w:vAlign w:val="center"/>
            <w:hideMark/>
          </w:tcPr>
          <w:p w14:paraId="68AE4586" w14:textId="77777777" w:rsidR="00387142" w:rsidRPr="008B6A75" w:rsidRDefault="00387142" w:rsidP="00387142">
            <w:pPr>
              <w:rPr>
                <w:sz w:val="20"/>
                <w:szCs w:val="20"/>
              </w:rPr>
            </w:pPr>
          </w:p>
        </w:tc>
      </w:tr>
      <w:tr w:rsidR="00387142" w:rsidRPr="008B6A75" w14:paraId="3A345ECE" w14:textId="77777777" w:rsidTr="00387142">
        <w:trPr>
          <w:trHeight w:val="1440"/>
        </w:trPr>
        <w:tc>
          <w:tcPr>
            <w:tcW w:w="3021" w:type="dxa"/>
            <w:tcBorders>
              <w:top w:val="nil"/>
              <w:left w:val="single" w:sz="4" w:space="0" w:color="auto"/>
              <w:bottom w:val="nil"/>
              <w:right w:val="nil"/>
            </w:tcBorders>
            <w:shd w:val="clear" w:color="auto" w:fill="auto"/>
            <w:vAlign w:val="center"/>
            <w:hideMark/>
          </w:tcPr>
          <w:p w14:paraId="3271D1FA" w14:textId="77777777" w:rsidR="00387142" w:rsidRPr="008B6A75" w:rsidRDefault="00387142" w:rsidP="00387142">
            <w:pPr>
              <w:rPr>
                <w:bCs/>
                <w:sz w:val="20"/>
                <w:szCs w:val="20"/>
              </w:rPr>
            </w:pPr>
            <w:r w:rsidRPr="008B6A75">
              <w:rPr>
                <w:bCs/>
                <w:sz w:val="20"/>
                <w:szCs w:val="20"/>
              </w:rPr>
              <w:t xml:space="preserve">Реализация мероприятий по обеспечению сбалансированности местных </w:t>
            </w:r>
            <w:proofErr w:type="gramStart"/>
            <w:r w:rsidRPr="008B6A75">
              <w:rPr>
                <w:bCs/>
                <w:sz w:val="20"/>
                <w:szCs w:val="20"/>
              </w:rPr>
              <w:t>бюджетов  государственной</w:t>
            </w:r>
            <w:proofErr w:type="gramEnd"/>
            <w:r w:rsidRPr="008B6A75">
              <w:rPr>
                <w:bCs/>
                <w:sz w:val="20"/>
                <w:szCs w:val="20"/>
              </w:rPr>
              <w:t xml:space="preserve"> программы Новосибирской области "Управление  финансами в Новосибирской области"</w:t>
            </w:r>
          </w:p>
        </w:tc>
        <w:tc>
          <w:tcPr>
            <w:tcW w:w="850" w:type="dxa"/>
            <w:tcBorders>
              <w:top w:val="nil"/>
              <w:left w:val="single" w:sz="4" w:space="0" w:color="auto"/>
              <w:bottom w:val="nil"/>
              <w:right w:val="nil"/>
            </w:tcBorders>
            <w:shd w:val="clear" w:color="auto" w:fill="auto"/>
            <w:noWrap/>
            <w:vAlign w:val="center"/>
            <w:hideMark/>
          </w:tcPr>
          <w:p w14:paraId="539121DC" w14:textId="77777777" w:rsidR="00387142" w:rsidRPr="008B6A75" w:rsidRDefault="00387142" w:rsidP="00387142">
            <w:pPr>
              <w:jc w:val="center"/>
              <w:rPr>
                <w:bCs/>
                <w:sz w:val="20"/>
                <w:szCs w:val="20"/>
              </w:rPr>
            </w:pPr>
            <w:r w:rsidRPr="008B6A75">
              <w:rPr>
                <w:bCs/>
                <w:sz w:val="20"/>
                <w:szCs w:val="20"/>
              </w:rPr>
              <w:t>444</w:t>
            </w:r>
          </w:p>
        </w:tc>
        <w:tc>
          <w:tcPr>
            <w:tcW w:w="709" w:type="dxa"/>
            <w:tcBorders>
              <w:top w:val="nil"/>
              <w:left w:val="single" w:sz="4" w:space="0" w:color="auto"/>
              <w:bottom w:val="nil"/>
              <w:right w:val="nil"/>
            </w:tcBorders>
            <w:shd w:val="clear" w:color="auto" w:fill="auto"/>
            <w:noWrap/>
            <w:vAlign w:val="center"/>
            <w:hideMark/>
          </w:tcPr>
          <w:p w14:paraId="01CCE98D" w14:textId="77777777" w:rsidR="00387142" w:rsidRPr="008B6A75" w:rsidRDefault="00387142" w:rsidP="00387142">
            <w:pPr>
              <w:jc w:val="center"/>
              <w:rPr>
                <w:bCs/>
                <w:sz w:val="20"/>
                <w:szCs w:val="20"/>
              </w:rPr>
            </w:pPr>
            <w:r w:rsidRPr="008B6A75">
              <w:rPr>
                <w:bCs/>
                <w:sz w:val="20"/>
                <w:szCs w:val="20"/>
              </w:rPr>
              <w:t>14</w:t>
            </w:r>
          </w:p>
        </w:tc>
        <w:tc>
          <w:tcPr>
            <w:tcW w:w="709" w:type="dxa"/>
            <w:tcBorders>
              <w:top w:val="nil"/>
              <w:left w:val="single" w:sz="4" w:space="0" w:color="auto"/>
              <w:bottom w:val="nil"/>
              <w:right w:val="single" w:sz="4" w:space="0" w:color="auto"/>
            </w:tcBorders>
            <w:shd w:val="clear" w:color="auto" w:fill="auto"/>
            <w:noWrap/>
            <w:vAlign w:val="center"/>
            <w:hideMark/>
          </w:tcPr>
          <w:p w14:paraId="2D288251" w14:textId="77777777" w:rsidR="00387142" w:rsidRPr="008B6A75" w:rsidRDefault="00387142" w:rsidP="00387142">
            <w:pPr>
              <w:jc w:val="center"/>
              <w:rPr>
                <w:bCs/>
                <w:sz w:val="20"/>
                <w:szCs w:val="20"/>
              </w:rPr>
            </w:pPr>
            <w:r w:rsidRPr="008B6A75">
              <w:rPr>
                <w:bCs/>
                <w:sz w:val="20"/>
                <w:szCs w:val="20"/>
              </w:rPr>
              <w:t>03</w:t>
            </w:r>
          </w:p>
        </w:tc>
        <w:tc>
          <w:tcPr>
            <w:tcW w:w="1411" w:type="dxa"/>
            <w:tcBorders>
              <w:top w:val="nil"/>
              <w:left w:val="single" w:sz="4" w:space="0" w:color="auto"/>
              <w:bottom w:val="nil"/>
              <w:right w:val="nil"/>
            </w:tcBorders>
            <w:shd w:val="clear" w:color="auto" w:fill="auto"/>
            <w:noWrap/>
            <w:vAlign w:val="center"/>
            <w:hideMark/>
          </w:tcPr>
          <w:p w14:paraId="061C2AD5" w14:textId="77777777" w:rsidR="00387142" w:rsidRPr="008B6A75" w:rsidRDefault="00387142" w:rsidP="00387142">
            <w:pPr>
              <w:jc w:val="center"/>
              <w:rPr>
                <w:bCs/>
                <w:sz w:val="20"/>
                <w:szCs w:val="20"/>
              </w:rPr>
            </w:pPr>
            <w:r w:rsidRPr="008B6A75">
              <w:rPr>
                <w:bCs/>
                <w:sz w:val="20"/>
                <w:szCs w:val="20"/>
              </w:rPr>
              <w:t>99.0.00.70510</w:t>
            </w:r>
          </w:p>
        </w:tc>
        <w:tc>
          <w:tcPr>
            <w:tcW w:w="955" w:type="dxa"/>
            <w:tcBorders>
              <w:top w:val="nil"/>
              <w:left w:val="single" w:sz="4" w:space="0" w:color="auto"/>
              <w:bottom w:val="nil"/>
              <w:right w:val="single" w:sz="4" w:space="0" w:color="auto"/>
            </w:tcBorders>
            <w:shd w:val="clear" w:color="auto" w:fill="auto"/>
            <w:noWrap/>
            <w:vAlign w:val="center"/>
            <w:hideMark/>
          </w:tcPr>
          <w:p w14:paraId="01A3E9DA"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nil"/>
              <w:right w:val="single" w:sz="4" w:space="0" w:color="auto"/>
            </w:tcBorders>
            <w:shd w:val="clear" w:color="auto" w:fill="auto"/>
            <w:noWrap/>
            <w:vAlign w:val="center"/>
            <w:hideMark/>
          </w:tcPr>
          <w:p w14:paraId="084EF3B7" w14:textId="77777777" w:rsidR="00387142" w:rsidRPr="008B6A75" w:rsidRDefault="00387142" w:rsidP="00387142">
            <w:pPr>
              <w:jc w:val="right"/>
              <w:rPr>
                <w:bCs/>
                <w:sz w:val="20"/>
                <w:szCs w:val="20"/>
              </w:rPr>
            </w:pPr>
            <w:r w:rsidRPr="008B6A75">
              <w:rPr>
                <w:bCs/>
                <w:sz w:val="20"/>
                <w:szCs w:val="20"/>
              </w:rPr>
              <w:t>87 568 872,00</w:t>
            </w:r>
          </w:p>
        </w:tc>
        <w:tc>
          <w:tcPr>
            <w:tcW w:w="992" w:type="dxa"/>
            <w:gridSpan w:val="2"/>
            <w:tcBorders>
              <w:top w:val="nil"/>
              <w:left w:val="single" w:sz="4" w:space="0" w:color="auto"/>
              <w:bottom w:val="nil"/>
              <w:right w:val="nil"/>
            </w:tcBorders>
            <w:shd w:val="clear" w:color="auto" w:fill="auto"/>
            <w:noWrap/>
            <w:vAlign w:val="center"/>
            <w:hideMark/>
          </w:tcPr>
          <w:p w14:paraId="57E86AB4" w14:textId="77777777" w:rsidR="00387142" w:rsidRPr="008B6A75" w:rsidRDefault="00387142" w:rsidP="00387142">
            <w:pPr>
              <w:jc w:val="right"/>
              <w:rPr>
                <w:bCs/>
                <w:sz w:val="20"/>
                <w:szCs w:val="20"/>
              </w:rPr>
            </w:pPr>
            <w:r w:rsidRPr="008B6A75">
              <w:rPr>
                <w:bCs/>
                <w:sz w:val="20"/>
                <w:szCs w:val="20"/>
              </w:rPr>
              <w:t>0,00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0A525BB7" w14:textId="77777777" w:rsidR="00387142" w:rsidRPr="008B6A75" w:rsidRDefault="00387142" w:rsidP="00387142">
            <w:pPr>
              <w:jc w:val="right"/>
              <w:rPr>
                <w:bCs/>
                <w:sz w:val="20"/>
                <w:szCs w:val="20"/>
              </w:rPr>
            </w:pPr>
            <w:r w:rsidRPr="008B6A75">
              <w:rPr>
                <w:bCs/>
                <w:sz w:val="20"/>
                <w:szCs w:val="20"/>
              </w:rPr>
              <w:t>0,00</w:t>
            </w:r>
          </w:p>
        </w:tc>
        <w:tc>
          <w:tcPr>
            <w:tcW w:w="222" w:type="dxa"/>
            <w:vAlign w:val="center"/>
            <w:hideMark/>
          </w:tcPr>
          <w:p w14:paraId="14952EE2" w14:textId="77777777" w:rsidR="00387142" w:rsidRPr="008B6A75" w:rsidRDefault="00387142" w:rsidP="00387142">
            <w:pPr>
              <w:rPr>
                <w:sz w:val="20"/>
                <w:szCs w:val="20"/>
              </w:rPr>
            </w:pPr>
          </w:p>
        </w:tc>
      </w:tr>
      <w:tr w:rsidR="00387142" w:rsidRPr="008B6A75" w14:paraId="4D354567" w14:textId="77777777" w:rsidTr="00387142">
        <w:trPr>
          <w:trHeight w:val="300"/>
        </w:trPr>
        <w:tc>
          <w:tcPr>
            <w:tcW w:w="3021" w:type="dxa"/>
            <w:tcBorders>
              <w:top w:val="single" w:sz="4" w:space="0" w:color="auto"/>
              <w:left w:val="single" w:sz="4" w:space="0" w:color="auto"/>
              <w:bottom w:val="nil"/>
              <w:right w:val="nil"/>
            </w:tcBorders>
            <w:shd w:val="clear" w:color="auto" w:fill="auto"/>
            <w:vAlign w:val="center"/>
            <w:hideMark/>
          </w:tcPr>
          <w:p w14:paraId="0625E25A" w14:textId="77777777" w:rsidR="00387142" w:rsidRPr="008B6A75" w:rsidRDefault="00387142" w:rsidP="00387142">
            <w:pPr>
              <w:rPr>
                <w:sz w:val="20"/>
                <w:szCs w:val="20"/>
              </w:rPr>
            </w:pPr>
            <w:r w:rsidRPr="008B6A75">
              <w:rPr>
                <w:sz w:val="20"/>
                <w:szCs w:val="20"/>
              </w:rPr>
              <w:t>Межбюджетные трансферты</w:t>
            </w:r>
          </w:p>
        </w:tc>
        <w:tc>
          <w:tcPr>
            <w:tcW w:w="850" w:type="dxa"/>
            <w:tcBorders>
              <w:top w:val="single" w:sz="4" w:space="0" w:color="auto"/>
              <w:left w:val="single" w:sz="4" w:space="0" w:color="auto"/>
              <w:bottom w:val="nil"/>
              <w:right w:val="nil"/>
            </w:tcBorders>
            <w:shd w:val="clear" w:color="auto" w:fill="auto"/>
            <w:noWrap/>
            <w:vAlign w:val="center"/>
            <w:hideMark/>
          </w:tcPr>
          <w:p w14:paraId="76693E2E" w14:textId="77777777" w:rsidR="00387142" w:rsidRPr="008B6A75" w:rsidRDefault="00387142" w:rsidP="00387142">
            <w:pPr>
              <w:jc w:val="center"/>
              <w:rPr>
                <w:sz w:val="20"/>
                <w:szCs w:val="20"/>
              </w:rPr>
            </w:pPr>
            <w:r w:rsidRPr="008B6A75">
              <w:rPr>
                <w:sz w:val="20"/>
                <w:szCs w:val="20"/>
              </w:rPr>
              <w:t>444</w:t>
            </w:r>
          </w:p>
        </w:tc>
        <w:tc>
          <w:tcPr>
            <w:tcW w:w="709" w:type="dxa"/>
            <w:tcBorders>
              <w:top w:val="single" w:sz="4" w:space="0" w:color="auto"/>
              <w:left w:val="single" w:sz="4" w:space="0" w:color="auto"/>
              <w:bottom w:val="nil"/>
              <w:right w:val="nil"/>
            </w:tcBorders>
            <w:shd w:val="clear" w:color="auto" w:fill="auto"/>
            <w:noWrap/>
            <w:vAlign w:val="center"/>
            <w:hideMark/>
          </w:tcPr>
          <w:p w14:paraId="3E836059" w14:textId="77777777" w:rsidR="00387142" w:rsidRPr="008B6A75" w:rsidRDefault="00387142" w:rsidP="00387142">
            <w:pPr>
              <w:jc w:val="center"/>
              <w:rPr>
                <w:sz w:val="20"/>
                <w:szCs w:val="20"/>
              </w:rPr>
            </w:pPr>
            <w:r w:rsidRPr="008B6A75">
              <w:rPr>
                <w:sz w:val="20"/>
                <w:szCs w:val="20"/>
              </w:rPr>
              <w:t>14</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51141710" w14:textId="77777777" w:rsidR="00387142" w:rsidRPr="008B6A75" w:rsidRDefault="00387142" w:rsidP="00387142">
            <w:pPr>
              <w:jc w:val="center"/>
              <w:rPr>
                <w:sz w:val="20"/>
                <w:szCs w:val="20"/>
              </w:rPr>
            </w:pPr>
            <w:r w:rsidRPr="008B6A75">
              <w:rPr>
                <w:sz w:val="20"/>
                <w:szCs w:val="20"/>
              </w:rPr>
              <w:t>03</w:t>
            </w:r>
          </w:p>
        </w:tc>
        <w:tc>
          <w:tcPr>
            <w:tcW w:w="1411" w:type="dxa"/>
            <w:tcBorders>
              <w:top w:val="single" w:sz="4" w:space="0" w:color="auto"/>
              <w:left w:val="single" w:sz="4" w:space="0" w:color="auto"/>
              <w:bottom w:val="nil"/>
              <w:right w:val="nil"/>
            </w:tcBorders>
            <w:shd w:val="clear" w:color="auto" w:fill="auto"/>
            <w:noWrap/>
            <w:vAlign w:val="center"/>
            <w:hideMark/>
          </w:tcPr>
          <w:p w14:paraId="0AC5ADC3" w14:textId="77777777" w:rsidR="00387142" w:rsidRPr="008B6A75" w:rsidRDefault="00387142" w:rsidP="00387142">
            <w:pPr>
              <w:jc w:val="center"/>
              <w:rPr>
                <w:sz w:val="20"/>
                <w:szCs w:val="20"/>
              </w:rPr>
            </w:pPr>
            <w:r w:rsidRPr="008B6A75">
              <w:rPr>
                <w:sz w:val="20"/>
                <w:szCs w:val="20"/>
              </w:rPr>
              <w:t>99.0.00.70510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5CA7C95C" w14:textId="77777777" w:rsidR="00387142" w:rsidRPr="008B6A75" w:rsidRDefault="00387142" w:rsidP="00387142">
            <w:pPr>
              <w:jc w:val="center"/>
              <w:rPr>
                <w:sz w:val="20"/>
                <w:szCs w:val="20"/>
              </w:rPr>
            </w:pPr>
            <w:r w:rsidRPr="008B6A75">
              <w:rPr>
                <w:sz w:val="20"/>
                <w:szCs w:val="20"/>
              </w:rPr>
              <w:t>500</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2BE4BF1E" w14:textId="77777777" w:rsidR="00387142" w:rsidRPr="008B6A75" w:rsidRDefault="00387142" w:rsidP="00387142">
            <w:pPr>
              <w:jc w:val="right"/>
              <w:rPr>
                <w:sz w:val="20"/>
                <w:szCs w:val="20"/>
              </w:rPr>
            </w:pPr>
            <w:r w:rsidRPr="008B6A75">
              <w:rPr>
                <w:sz w:val="20"/>
                <w:szCs w:val="20"/>
              </w:rPr>
              <w:t>87 568 872,00</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01849C92" w14:textId="77777777" w:rsidR="00387142" w:rsidRPr="008B6A75" w:rsidRDefault="00387142" w:rsidP="00387142">
            <w:pPr>
              <w:jc w:val="right"/>
              <w:rPr>
                <w:sz w:val="20"/>
                <w:szCs w:val="20"/>
              </w:rPr>
            </w:pPr>
            <w:r w:rsidRPr="008B6A75">
              <w:rPr>
                <w:sz w:val="20"/>
                <w:szCs w:val="20"/>
              </w:rPr>
              <w:t>0,00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57774921" w14:textId="77777777" w:rsidR="00387142" w:rsidRPr="008B6A75" w:rsidRDefault="00387142" w:rsidP="00387142">
            <w:pPr>
              <w:jc w:val="right"/>
              <w:rPr>
                <w:sz w:val="20"/>
                <w:szCs w:val="20"/>
              </w:rPr>
            </w:pPr>
            <w:r w:rsidRPr="008B6A75">
              <w:rPr>
                <w:sz w:val="20"/>
                <w:szCs w:val="20"/>
              </w:rPr>
              <w:t>0,00</w:t>
            </w:r>
          </w:p>
        </w:tc>
        <w:tc>
          <w:tcPr>
            <w:tcW w:w="222" w:type="dxa"/>
            <w:vAlign w:val="center"/>
            <w:hideMark/>
          </w:tcPr>
          <w:p w14:paraId="163D6AC2" w14:textId="77777777" w:rsidR="00387142" w:rsidRPr="008B6A75" w:rsidRDefault="00387142" w:rsidP="00387142">
            <w:pPr>
              <w:rPr>
                <w:sz w:val="20"/>
                <w:szCs w:val="20"/>
              </w:rPr>
            </w:pPr>
          </w:p>
        </w:tc>
      </w:tr>
      <w:tr w:rsidR="00387142" w:rsidRPr="008B6A75" w14:paraId="38D9693C" w14:textId="77777777" w:rsidTr="00387142">
        <w:trPr>
          <w:trHeight w:val="300"/>
        </w:trPr>
        <w:tc>
          <w:tcPr>
            <w:tcW w:w="3021" w:type="dxa"/>
            <w:tcBorders>
              <w:top w:val="single" w:sz="4" w:space="0" w:color="auto"/>
              <w:left w:val="single" w:sz="4" w:space="0" w:color="auto"/>
              <w:bottom w:val="single" w:sz="4" w:space="0" w:color="auto"/>
              <w:right w:val="nil"/>
            </w:tcBorders>
            <w:shd w:val="clear" w:color="auto" w:fill="auto"/>
            <w:vAlign w:val="center"/>
            <w:hideMark/>
          </w:tcPr>
          <w:p w14:paraId="0FB471B6" w14:textId="77777777" w:rsidR="00387142" w:rsidRPr="008B6A75" w:rsidRDefault="00387142" w:rsidP="00387142">
            <w:pPr>
              <w:rPr>
                <w:sz w:val="20"/>
                <w:szCs w:val="20"/>
              </w:rPr>
            </w:pPr>
            <w:r w:rsidRPr="008B6A75">
              <w:rPr>
                <w:sz w:val="20"/>
                <w:szCs w:val="20"/>
              </w:rPr>
              <w:t>Иные межбюджетные трансферты</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187B1F2C" w14:textId="77777777" w:rsidR="00387142" w:rsidRPr="008B6A75" w:rsidRDefault="00387142" w:rsidP="00387142">
            <w:pPr>
              <w:jc w:val="center"/>
              <w:rPr>
                <w:sz w:val="20"/>
                <w:szCs w:val="20"/>
              </w:rPr>
            </w:pPr>
            <w:r w:rsidRPr="008B6A75">
              <w:rPr>
                <w:sz w:val="20"/>
                <w:szCs w:val="20"/>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46679C79" w14:textId="77777777" w:rsidR="00387142" w:rsidRPr="008B6A75" w:rsidRDefault="00387142" w:rsidP="00387142">
            <w:pPr>
              <w:jc w:val="center"/>
              <w:rPr>
                <w:sz w:val="20"/>
                <w:szCs w:val="20"/>
              </w:rPr>
            </w:pPr>
            <w:r w:rsidRPr="008B6A75">
              <w:rPr>
                <w:sz w:val="20"/>
                <w:szCs w:val="20"/>
              </w:rPr>
              <w:t>14</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EA9E5C" w14:textId="77777777" w:rsidR="00387142" w:rsidRPr="008B6A75" w:rsidRDefault="00387142" w:rsidP="00387142">
            <w:pPr>
              <w:jc w:val="center"/>
              <w:rPr>
                <w:sz w:val="20"/>
                <w:szCs w:val="20"/>
              </w:rPr>
            </w:pPr>
            <w:r w:rsidRPr="008B6A75">
              <w:rPr>
                <w:sz w:val="20"/>
                <w:szCs w:val="20"/>
              </w:rPr>
              <w:t>03</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14:paraId="36C9DF14" w14:textId="77777777" w:rsidR="00387142" w:rsidRPr="008B6A75" w:rsidRDefault="00387142" w:rsidP="00387142">
            <w:pPr>
              <w:jc w:val="center"/>
              <w:rPr>
                <w:sz w:val="20"/>
                <w:szCs w:val="20"/>
              </w:rPr>
            </w:pPr>
            <w:r w:rsidRPr="008B6A75">
              <w:rPr>
                <w:sz w:val="20"/>
                <w:szCs w:val="20"/>
              </w:rPr>
              <w:t>99.0.00.70510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7FC9D2" w14:textId="77777777" w:rsidR="00387142" w:rsidRPr="008B6A75" w:rsidRDefault="00387142" w:rsidP="00387142">
            <w:pPr>
              <w:jc w:val="center"/>
              <w:rPr>
                <w:sz w:val="20"/>
                <w:szCs w:val="20"/>
              </w:rPr>
            </w:pPr>
            <w:r w:rsidRPr="008B6A75">
              <w:rPr>
                <w:sz w:val="20"/>
                <w:szCs w:val="20"/>
              </w:rPr>
              <w:t>540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6E6909" w14:textId="77777777" w:rsidR="00387142" w:rsidRPr="008B6A75" w:rsidRDefault="00387142" w:rsidP="00387142">
            <w:pPr>
              <w:jc w:val="right"/>
              <w:rPr>
                <w:sz w:val="20"/>
                <w:szCs w:val="20"/>
              </w:rPr>
            </w:pPr>
            <w:r w:rsidRPr="008B6A75">
              <w:rPr>
                <w:sz w:val="20"/>
                <w:szCs w:val="20"/>
              </w:rPr>
              <w:t>87 568 872,00</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44C05FE7" w14:textId="77777777" w:rsidR="00387142" w:rsidRPr="008B6A75" w:rsidRDefault="00387142" w:rsidP="00387142">
            <w:pPr>
              <w:jc w:val="right"/>
              <w:rPr>
                <w:sz w:val="20"/>
                <w:szCs w:val="20"/>
              </w:rPr>
            </w:pPr>
            <w:r w:rsidRPr="008B6A75">
              <w:rPr>
                <w:sz w:val="20"/>
                <w:szCs w:val="20"/>
              </w:rPr>
              <w:t>0,00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2BEE65" w14:textId="77777777" w:rsidR="00387142" w:rsidRPr="008B6A75" w:rsidRDefault="00387142" w:rsidP="00387142">
            <w:pPr>
              <w:jc w:val="right"/>
              <w:rPr>
                <w:sz w:val="20"/>
                <w:szCs w:val="20"/>
              </w:rPr>
            </w:pPr>
            <w:r w:rsidRPr="008B6A75">
              <w:rPr>
                <w:sz w:val="20"/>
                <w:szCs w:val="20"/>
              </w:rPr>
              <w:t>0,00</w:t>
            </w:r>
          </w:p>
        </w:tc>
        <w:tc>
          <w:tcPr>
            <w:tcW w:w="222" w:type="dxa"/>
            <w:vAlign w:val="center"/>
            <w:hideMark/>
          </w:tcPr>
          <w:p w14:paraId="67656B7C" w14:textId="77777777" w:rsidR="00387142" w:rsidRPr="008B6A75" w:rsidRDefault="00387142" w:rsidP="00387142">
            <w:pPr>
              <w:rPr>
                <w:sz w:val="20"/>
                <w:szCs w:val="20"/>
              </w:rPr>
            </w:pPr>
          </w:p>
        </w:tc>
      </w:tr>
      <w:tr w:rsidR="00387142" w:rsidRPr="008B6A75" w14:paraId="448AEEF6" w14:textId="77777777" w:rsidTr="00387142">
        <w:trPr>
          <w:trHeight w:val="300"/>
        </w:trPr>
        <w:tc>
          <w:tcPr>
            <w:tcW w:w="3021" w:type="dxa"/>
            <w:tcBorders>
              <w:top w:val="nil"/>
              <w:left w:val="single" w:sz="4" w:space="0" w:color="auto"/>
              <w:bottom w:val="nil"/>
              <w:right w:val="nil"/>
            </w:tcBorders>
            <w:shd w:val="clear" w:color="auto" w:fill="auto"/>
            <w:vAlign w:val="center"/>
            <w:hideMark/>
          </w:tcPr>
          <w:p w14:paraId="07A6FFF0" w14:textId="77777777" w:rsidR="00387142" w:rsidRPr="008B6A75" w:rsidRDefault="00387142" w:rsidP="00387142">
            <w:pPr>
              <w:rPr>
                <w:bCs/>
                <w:sz w:val="20"/>
                <w:szCs w:val="20"/>
              </w:rPr>
            </w:pPr>
            <w:r w:rsidRPr="008B6A75">
              <w:rPr>
                <w:bCs/>
                <w:sz w:val="20"/>
                <w:szCs w:val="20"/>
              </w:rPr>
              <w:t>Условно утвержденные расходы</w:t>
            </w:r>
          </w:p>
        </w:tc>
        <w:tc>
          <w:tcPr>
            <w:tcW w:w="850" w:type="dxa"/>
            <w:tcBorders>
              <w:top w:val="nil"/>
              <w:left w:val="single" w:sz="4" w:space="0" w:color="auto"/>
              <w:bottom w:val="nil"/>
              <w:right w:val="nil"/>
            </w:tcBorders>
            <w:shd w:val="clear" w:color="auto" w:fill="auto"/>
            <w:noWrap/>
            <w:vAlign w:val="center"/>
            <w:hideMark/>
          </w:tcPr>
          <w:p w14:paraId="2CB54533" w14:textId="77777777" w:rsidR="00387142" w:rsidRPr="008B6A75" w:rsidRDefault="00387142" w:rsidP="00387142">
            <w:pPr>
              <w:jc w:val="center"/>
              <w:rPr>
                <w:bCs/>
                <w:sz w:val="20"/>
                <w:szCs w:val="20"/>
              </w:rPr>
            </w:pPr>
            <w:r w:rsidRPr="008B6A75">
              <w:rPr>
                <w:bCs/>
                <w:sz w:val="20"/>
                <w:szCs w:val="20"/>
              </w:rPr>
              <w:t>444</w:t>
            </w:r>
          </w:p>
        </w:tc>
        <w:tc>
          <w:tcPr>
            <w:tcW w:w="709" w:type="dxa"/>
            <w:tcBorders>
              <w:top w:val="nil"/>
              <w:left w:val="single" w:sz="4" w:space="0" w:color="auto"/>
              <w:bottom w:val="nil"/>
              <w:right w:val="nil"/>
            </w:tcBorders>
            <w:shd w:val="clear" w:color="auto" w:fill="auto"/>
            <w:noWrap/>
            <w:vAlign w:val="center"/>
            <w:hideMark/>
          </w:tcPr>
          <w:p w14:paraId="412C730B" w14:textId="77777777" w:rsidR="00387142" w:rsidRPr="008B6A75" w:rsidRDefault="00387142" w:rsidP="00387142">
            <w:pPr>
              <w:jc w:val="center"/>
              <w:rPr>
                <w:bCs/>
                <w:sz w:val="20"/>
                <w:szCs w:val="20"/>
              </w:rPr>
            </w:pPr>
            <w:r w:rsidRPr="008B6A75">
              <w:rPr>
                <w:bCs/>
                <w:sz w:val="20"/>
                <w:szCs w:val="20"/>
              </w:rPr>
              <w:t>99</w:t>
            </w:r>
          </w:p>
        </w:tc>
        <w:tc>
          <w:tcPr>
            <w:tcW w:w="709" w:type="dxa"/>
            <w:tcBorders>
              <w:top w:val="nil"/>
              <w:left w:val="single" w:sz="4" w:space="0" w:color="auto"/>
              <w:bottom w:val="nil"/>
              <w:right w:val="single" w:sz="4" w:space="0" w:color="auto"/>
            </w:tcBorders>
            <w:shd w:val="clear" w:color="auto" w:fill="auto"/>
            <w:noWrap/>
            <w:vAlign w:val="center"/>
            <w:hideMark/>
          </w:tcPr>
          <w:p w14:paraId="61464BB4" w14:textId="77777777" w:rsidR="00387142" w:rsidRPr="008B6A75" w:rsidRDefault="00387142" w:rsidP="00387142">
            <w:pPr>
              <w:jc w:val="center"/>
              <w:rPr>
                <w:bCs/>
                <w:sz w:val="20"/>
                <w:szCs w:val="20"/>
              </w:rPr>
            </w:pPr>
            <w:r w:rsidRPr="008B6A75">
              <w:rPr>
                <w:bCs/>
                <w:sz w:val="20"/>
                <w:szCs w:val="20"/>
              </w:rPr>
              <w:t> </w:t>
            </w:r>
          </w:p>
        </w:tc>
        <w:tc>
          <w:tcPr>
            <w:tcW w:w="1411" w:type="dxa"/>
            <w:tcBorders>
              <w:top w:val="nil"/>
              <w:left w:val="single" w:sz="4" w:space="0" w:color="auto"/>
              <w:bottom w:val="nil"/>
              <w:right w:val="nil"/>
            </w:tcBorders>
            <w:shd w:val="clear" w:color="auto" w:fill="auto"/>
            <w:noWrap/>
            <w:vAlign w:val="center"/>
            <w:hideMark/>
          </w:tcPr>
          <w:p w14:paraId="60D32902" w14:textId="77777777" w:rsidR="00387142" w:rsidRPr="008B6A75" w:rsidRDefault="00387142" w:rsidP="00387142">
            <w:pPr>
              <w:jc w:val="center"/>
              <w:rPr>
                <w:bCs/>
                <w:sz w:val="20"/>
                <w:szCs w:val="20"/>
              </w:rPr>
            </w:pPr>
            <w:r w:rsidRPr="008B6A75">
              <w:rPr>
                <w:bCs/>
                <w:sz w:val="20"/>
                <w:szCs w:val="20"/>
              </w:rPr>
              <w:t> </w:t>
            </w:r>
          </w:p>
        </w:tc>
        <w:tc>
          <w:tcPr>
            <w:tcW w:w="955" w:type="dxa"/>
            <w:tcBorders>
              <w:top w:val="nil"/>
              <w:left w:val="single" w:sz="4" w:space="0" w:color="auto"/>
              <w:bottom w:val="nil"/>
              <w:right w:val="single" w:sz="4" w:space="0" w:color="auto"/>
            </w:tcBorders>
            <w:shd w:val="clear" w:color="auto" w:fill="auto"/>
            <w:noWrap/>
            <w:vAlign w:val="center"/>
            <w:hideMark/>
          </w:tcPr>
          <w:p w14:paraId="1FD90BCB" w14:textId="77777777" w:rsidR="00387142" w:rsidRPr="008B6A75" w:rsidRDefault="00387142" w:rsidP="00387142">
            <w:pPr>
              <w:jc w:val="center"/>
              <w:rPr>
                <w:bCs/>
                <w:sz w:val="20"/>
                <w:szCs w:val="20"/>
              </w:rPr>
            </w:pPr>
            <w:r w:rsidRPr="008B6A75">
              <w:rPr>
                <w:bCs/>
                <w:sz w:val="20"/>
                <w:szCs w:val="20"/>
              </w:rPr>
              <w:t> </w:t>
            </w:r>
          </w:p>
        </w:tc>
        <w:tc>
          <w:tcPr>
            <w:tcW w:w="992" w:type="dxa"/>
            <w:tcBorders>
              <w:top w:val="nil"/>
              <w:left w:val="single" w:sz="4" w:space="0" w:color="auto"/>
              <w:bottom w:val="nil"/>
              <w:right w:val="single" w:sz="4" w:space="0" w:color="auto"/>
            </w:tcBorders>
            <w:shd w:val="clear" w:color="auto" w:fill="auto"/>
            <w:noWrap/>
            <w:vAlign w:val="center"/>
            <w:hideMark/>
          </w:tcPr>
          <w:p w14:paraId="64A62AF5" w14:textId="77777777" w:rsidR="00387142" w:rsidRPr="008B6A75" w:rsidRDefault="00387142" w:rsidP="00387142">
            <w:pPr>
              <w:jc w:val="right"/>
              <w:rPr>
                <w:bCs/>
                <w:sz w:val="20"/>
                <w:szCs w:val="20"/>
              </w:rPr>
            </w:pPr>
            <w:r w:rsidRPr="008B6A75">
              <w:rPr>
                <w:bCs/>
                <w:sz w:val="20"/>
                <w:szCs w:val="20"/>
              </w:rPr>
              <w:t>0,00</w:t>
            </w:r>
          </w:p>
        </w:tc>
        <w:tc>
          <w:tcPr>
            <w:tcW w:w="992" w:type="dxa"/>
            <w:gridSpan w:val="2"/>
            <w:tcBorders>
              <w:top w:val="nil"/>
              <w:left w:val="single" w:sz="4" w:space="0" w:color="auto"/>
              <w:bottom w:val="nil"/>
              <w:right w:val="nil"/>
            </w:tcBorders>
            <w:shd w:val="clear" w:color="auto" w:fill="auto"/>
            <w:noWrap/>
            <w:vAlign w:val="center"/>
            <w:hideMark/>
          </w:tcPr>
          <w:p w14:paraId="55CAEC64" w14:textId="77777777" w:rsidR="00387142" w:rsidRPr="008B6A75" w:rsidRDefault="00387142" w:rsidP="00387142">
            <w:pPr>
              <w:jc w:val="right"/>
              <w:rPr>
                <w:bCs/>
                <w:sz w:val="20"/>
                <w:szCs w:val="20"/>
              </w:rPr>
            </w:pPr>
            <w:r w:rsidRPr="008B6A75">
              <w:rPr>
                <w:bCs/>
                <w:sz w:val="20"/>
                <w:szCs w:val="20"/>
              </w:rPr>
              <w:t>12 290 108,00</w:t>
            </w:r>
          </w:p>
        </w:tc>
        <w:tc>
          <w:tcPr>
            <w:tcW w:w="1277" w:type="dxa"/>
            <w:gridSpan w:val="2"/>
            <w:tcBorders>
              <w:top w:val="nil"/>
              <w:left w:val="single" w:sz="4" w:space="0" w:color="auto"/>
              <w:bottom w:val="nil"/>
              <w:right w:val="single" w:sz="4" w:space="0" w:color="auto"/>
            </w:tcBorders>
            <w:shd w:val="clear" w:color="auto" w:fill="auto"/>
            <w:noWrap/>
            <w:vAlign w:val="center"/>
            <w:hideMark/>
          </w:tcPr>
          <w:p w14:paraId="64DBAE0A" w14:textId="77777777" w:rsidR="00387142" w:rsidRPr="008B6A75" w:rsidRDefault="00387142" w:rsidP="00387142">
            <w:pPr>
              <w:jc w:val="right"/>
              <w:rPr>
                <w:bCs/>
                <w:sz w:val="20"/>
                <w:szCs w:val="20"/>
              </w:rPr>
            </w:pPr>
            <w:r w:rsidRPr="008B6A75">
              <w:rPr>
                <w:bCs/>
                <w:sz w:val="20"/>
                <w:szCs w:val="20"/>
              </w:rPr>
              <w:t>23 989 084,50</w:t>
            </w:r>
          </w:p>
        </w:tc>
        <w:tc>
          <w:tcPr>
            <w:tcW w:w="222" w:type="dxa"/>
            <w:vAlign w:val="center"/>
            <w:hideMark/>
          </w:tcPr>
          <w:p w14:paraId="5AB09D2F" w14:textId="77777777" w:rsidR="00387142" w:rsidRPr="008B6A75" w:rsidRDefault="00387142" w:rsidP="00387142">
            <w:pPr>
              <w:rPr>
                <w:sz w:val="20"/>
                <w:szCs w:val="20"/>
              </w:rPr>
            </w:pPr>
          </w:p>
        </w:tc>
      </w:tr>
      <w:tr w:rsidR="00387142" w:rsidRPr="008B6A75" w14:paraId="0F46C10C" w14:textId="77777777" w:rsidTr="00387142">
        <w:trPr>
          <w:trHeight w:val="300"/>
        </w:trPr>
        <w:tc>
          <w:tcPr>
            <w:tcW w:w="3021" w:type="dxa"/>
            <w:tcBorders>
              <w:top w:val="single" w:sz="4" w:space="0" w:color="auto"/>
              <w:left w:val="single" w:sz="4" w:space="0" w:color="auto"/>
              <w:bottom w:val="nil"/>
              <w:right w:val="nil"/>
            </w:tcBorders>
            <w:shd w:val="clear" w:color="auto" w:fill="auto"/>
            <w:vAlign w:val="center"/>
            <w:hideMark/>
          </w:tcPr>
          <w:p w14:paraId="20FE39DF" w14:textId="77777777" w:rsidR="00387142" w:rsidRPr="008B6A75" w:rsidRDefault="00387142" w:rsidP="00387142">
            <w:pPr>
              <w:rPr>
                <w:bCs/>
                <w:sz w:val="20"/>
                <w:szCs w:val="20"/>
              </w:rPr>
            </w:pPr>
            <w:r w:rsidRPr="008B6A75">
              <w:rPr>
                <w:bCs/>
                <w:sz w:val="20"/>
                <w:szCs w:val="20"/>
              </w:rPr>
              <w:t>Условно утвержденные расходы</w:t>
            </w:r>
          </w:p>
        </w:tc>
        <w:tc>
          <w:tcPr>
            <w:tcW w:w="850" w:type="dxa"/>
            <w:tcBorders>
              <w:top w:val="single" w:sz="4" w:space="0" w:color="auto"/>
              <w:left w:val="single" w:sz="4" w:space="0" w:color="auto"/>
              <w:bottom w:val="nil"/>
              <w:right w:val="nil"/>
            </w:tcBorders>
            <w:shd w:val="clear" w:color="auto" w:fill="auto"/>
            <w:noWrap/>
            <w:vAlign w:val="center"/>
            <w:hideMark/>
          </w:tcPr>
          <w:p w14:paraId="53FEE612" w14:textId="77777777" w:rsidR="00387142" w:rsidRPr="008B6A75" w:rsidRDefault="00387142" w:rsidP="00387142">
            <w:pPr>
              <w:jc w:val="center"/>
              <w:rPr>
                <w:bCs/>
                <w:sz w:val="20"/>
                <w:szCs w:val="20"/>
              </w:rPr>
            </w:pPr>
            <w:r w:rsidRPr="008B6A75">
              <w:rPr>
                <w:bCs/>
                <w:sz w:val="20"/>
                <w:szCs w:val="20"/>
              </w:rPr>
              <w:t>444</w:t>
            </w:r>
          </w:p>
        </w:tc>
        <w:tc>
          <w:tcPr>
            <w:tcW w:w="709" w:type="dxa"/>
            <w:tcBorders>
              <w:top w:val="single" w:sz="4" w:space="0" w:color="auto"/>
              <w:left w:val="single" w:sz="4" w:space="0" w:color="auto"/>
              <w:bottom w:val="nil"/>
              <w:right w:val="nil"/>
            </w:tcBorders>
            <w:shd w:val="clear" w:color="auto" w:fill="auto"/>
            <w:noWrap/>
            <w:vAlign w:val="center"/>
            <w:hideMark/>
          </w:tcPr>
          <w:p w14:paraId="74CD1402" w14:textId="77777777" w:rsidR="00387142" w:rsidRPr="008B6A75" w:rsidRDefault="00387142" w:rsidP="00387142">
            <w:pPr>
              <w:jc w:val="center"/>
              <w:rPr>
                <w:bCs/>
                <w:sz w:val="20"/>
                <w:szCs w:val="20"/>
              </w:rPr>
            </w:pPr>
            <w:r w:rsidRPr="008B6A75">
              <w:rPr>
                <w:bCs/>
                <w:sz w:val="20"/>
                <w:szCs w:val="20"/>
              </w:rPr>
              <w:t>99</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7A8577E6" w14:textId="77777777" w:rsidR="00387142" w:rsidRPr="008B6A75" w:rsidRDefault="00387142" w:rsidP="00387142">
            <w:pPr>
              <w:jc w:val="center"/>
              <w:rPr>
                <w:bCs/>
                <w:sz w:val="20"/>
                <w:szCs w:val="20"/>
              </w:rPr>
            </w:pPr>
            <w:r w:rsidRPr="008B6A75">
              <w:rPr>
                <w:bCs/>
                <w:sz w:val="20"/>
                <w:szCs w:val="20"/>
              </w:rPr>
              <w:t>99</w:t>
            </w:r>
          </w:p>
        </w:tc>
        <w:tc>
          <w:tcPr>
            <w:tcW w:w="1411" w:type="dxa"/>
            <w:tcBorders>
              <w:top w:val="single" w:sz="4" w:space="0" w:color="auto"/>
              <w:left w:val="single" w:sz="4" w:space="0" w:color="auto"/>
              <w:bottom w:val="nil"/>
              <w:right w:val="nil"/>
            </w:tcBorders>
            <w:shd w:val="clear" w:color="auto" w:fill="auto"/>
            <w:noWrap/>
            <w:vAlign w:val="center"/>
            <w:hideMark/>
          </w:tcPr>
          <w:p w14:paraId="6D55B766" w14:textId="77777777" w:rsidR="00387142" w:rsidRPr="008B6A75" w:rsidRDefault="00387142" w:rsidP="00387142">
            <w:pPr>
              <w:jc w:val="center"/>
              <w:rPr>
                <w:bCs/>
                <w:sz w:val="20"/>
                <w:szCs w:val="20"/>
              </w:rPr>
            </w:pPr>
            <w:r w:rsidRPr="008B6A75">
              <w:rPr>
                <w:bCs/>
                <w:sz w:val="20"/>
                <w:szCs w:val="20"/>
              </w:rPr>
              <w:t> </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0C69C635" w14:textId="77777777" w:rsidR="00387142" w:rsidRPr="008B6A75" w:rsidRDefault="00387142" w:rsidP="00387142">
            <w:pPr>
              <w:jc w:val="center"/>
              <w:rPr>
                <w:bCs/>
                <w:sz w:val="20"/>
                <w:szCs w:val="20"/>
              </w:rPr>
            </w:pPr>
            <w:r w:rsidRPr="008B6A75">
              <w:rPr>
                <w:bCs/>
                <w:sz w:val="20"/>
                <w:szCs w:val="20"/>
              </w:rPr>
              <w:t> </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50E5A65C" w14:textId="77777777" w:rsidR="00387142" w:rsidRPr="008B6A75" w:rsidRDefault="00387142" w:rsidP="00387142">
            <w:pPr>
              <w:jc w:val="right"/>
              <w:rPr>
                <w:bCs/>
                <w:sz w:val="20"/>
                <w:szCs w:val="20"/>
              </w:rPr>
            </w:pPr>
            <w:r w:rsidRPr="008B6A75">
              <w:rPr>
                <w:bCs/>
                <w:sz w:val="20"/>
                <w:szCs w:val="20"/>
              </w:rPr>
              <w:t>0,00</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152BFFBA" w14:textId="77777777" w:rsidR="00387142" w:rsidRPr="008B6A75" w:rsidRDefault="00387142" w:rsidP="00387142">
            <w:pPr>
              <w:jc w:val="right"/>
              <w:rPr>
                <w:bCs/>
                <w:sz w:val="20"/>
                <w:szCs w:val="20"/>
              </w:rPr>
            </w:pPr>
            <w:r w:rsidRPr="008B6A75">
              <w:rPr>
                <w:bCs/>
                <w:sz w:val="20"/>
                <w:szCs w:val="20"/>
              </w:rPr>
              <w:t>12 290 108,00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53FE300D" w14:textId="77777777" w:rsidR="00387142" w:rsidRPr="008B6A75" w:rsidRDefault="00387142" w:rsidP="00387142">
            <w:pPr>
              <w:jc w:val="right"/>
              <w:rPr>
                <w:bCs/>
                <w:sz w:val="20"/>
                <w:szCs w:val="20"/>
              </w:rPr>
            </w:pPr>
            <w:r w:rsidRPr="008B6A75">
              <w:rPr>
                <w:bCs/>
                <w:sz w:val="20"/>
                <w:szCs w:val="20"/>
              </w:rPr>
              <w:t>23 989 084,50</w:t>
            </w:r>
          </w:p>
        </w:tc>
        <w:tc>
          <w:tcPr>
            <w:tcW w:w="222" w:type="dxa"/>
            <w:vAlign w:val="center"/>
            <w:hideMark/>
          </w:tcPr>
          <w:p w14:paraId="59864660" w14:textId="77777777" w:rsidR="00387142" w:rsidRPr="008B6A75" w:rsidRDefault="00387142" w:rsidP="00387142">
            <w:pPr>
              <w:rPr>
                <w:sz w:val="20"/>
                <w:szCs w:val="20"/>
              </w:rPr>
            </w:pPr>
          </w:p>
        </w:tc>
      </w:tr>
      <w:tr w:rsidR="00387142" w:rsidRPr="008B6A75" w14:paraId="3AEF8D80" w14:textId="77777777" w:rsidTr="00387142">
        <w:trPr>
          <w:trHeight w:val="300"/>
        </w:trPr>
        <w:tc>
          <w:tcPr>
            <w:tcW w:w="3021" w:type="dxa"/>
            <w:tcBorders>
              <w:top w:val="single" w:sz="4" w:space="0" w:color="auto"/>
              <w:left w:val="single" w:sz="4" w:space="0" w:color="auto"/>
              <w:bottom w:val="nil"/>
              <w:right w:val="nil"/>
            </w:tcBorders>
            <w:shd w:val="clear" w:color="auto" w:fill="auto"/>
            <w:vAlign w:val="center"/>
            <w:hideMark/>
          </w:tcPr>
          <w:p w14:paraId="2868999D" w14:textId="77777777" w:rsidR="00387142" w:rsidRPr="008B6A75" w:rsidRDefault="00387142" w:rsidP="00387142">
            <w:pPr>
              <w:rPr>
                <w:bCs/>
                <w:sz w:val="20"/>
                <w:szCs w:val="20"/>
              </w:rPr>
            </w:pPr>
            <w:r w:rsidRPr="008B6A75">
              <w:rPr>
                <w:bCs/>
                <w:sz w:val="20"/>
                <w:szCs w:val="20"/>
              </w:rPr>
              <w:t>Непрограммные направления бюджета</w:t>
            </w:r>
          </w:p>
        </w:tc>
        <w:tc>
          <w:tcPr>
            <w:tcW w:w="850" w:type="dxa"/>
            <w:tcBorders>
              <w:top w:val="single" w:sz="4" w:space="0" w:color="auto"/>
              <w:left w:val="single" w:sz="4" w:space="0" w:color="auto"/>
              <w:bottom w:val="nil"/>
              <w:right w:val="nil"/>
            </w:tcBorders>
            <w:shd w:val="clear" w:color="auto" w:fill="auto"/>
            <w:noWrap/>
            <w:vAlign w:val="center"/>
            <w:hideMark/>
          </w:tcPr>
          <w:p w14:paraId="4FD9F4F9" w14:textId="77777777" w:rsidR="00387142" w:rsidRPr="008B6A75" w:rsidRDefault="00387142" w:rsidP="00387142">
            <w:pPr>
              <w:jc w:val="center"/>
              <w:rPr>
                <w:bCs/>
                <w:sz w:val="20"/>
                <w:szCs w:val="20"/>
              </w:rPr>
            </w:pPr>
            <w:r w:rsidRPr="008B6A75">
              <w:rPr>
                <w:bCs/>
                <w:sz w:val="20"/>
                <w:szCs w:val="20"/>
              </w:rPr>
              <w:t>444</w:t>
            </w:r>
          </w:p>
        </w:tc>
        <w:tc>
          <w:tcPr>
            <w:tcW w:w="709" w:type="dxa"/>
            <w:tcBorders>
              <w:top w:val="single" w:sz="4" w:space="0" w:color="auto"/>
              <w:left w:val="single" w:sz="4" w:space="0" w:color="auto"/>
              <w:bottom w:val="nil"/>
              <w:right w:val="nil"/>
            </w:tcBorders>
            <w:shd w:val="clear" w:color="auto" w:fill="auto"/>
            <w:noWrap/>
            <w:vAlign w:val="center"/>
            <w:hideMark/>
          </w:tcPr>
          <w:p w14:paraId="7797E598" w14:textId="77777777" w:rsidR="00387142" w:rsidRPr="008B6A75" w:rsidRDefault="00387142" w:rsidP="00387142">
            <w:pPr>
              <w:jc w:val="center"/>
              <w:rPr>
                <w:bCs/>
                <w:sz w:val="20"/>
                <w:szCs w:val="20"/>
              </w:rPr>
            </w:pPr>
            <w:r w:rsidRPr="008B6A75">
              <w:rPr>
                <w:bCs/>
                <w:sz w:val="20"/>
                <w:szCs w:val="20"/>
              </w:rPr>
              <w:t>99</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19500310" w14:textId="77777777" w:rsidR="00387142" w:rsidRPr="008B6A75" w:rsidRDefault="00387142" w:rsidP="00387142">
            <w:pPr>
              <w:jc w:val="center"/>
              <w:rPr>
                <w:bCs/>
                <w:sz w:val="20"/>
                <w:szCs w:val="20"/>
              </w:rPr>
            </w:pPr>
            <w:r w:rsidRPr="008B6A75">
              <w:rPr>
                <w:bCs/>
                <w:sz w:val="20"/>
                <w:szCs w:val="20"/>
              </w:rPr>
              <w:t>99</w:t>
            </w:r>
          </w:p>
        </w:tc>
        <w:tc>
          <w:tcPr>
            <w:tcW w:w="1411" w:type="dxa"/>
            <w:tcBorders>
              <w:top w:val="single" w:sz="4" w:space="0" w:color="auto"/>
              <w:left w:val="single" w:sz="4" w:space="0" w:color="auto"/>
              <w:bottom w:val="nil"/>
              <w:right w:val="nil"/>
            </w:tcBorders>
            <w:shd w:val="clear" w:color="auto" w:fill="auto"/>
            <w:noWrap/>
            <w:vAlign w:val="center"/>
            <w:hideMark/>
          </w:tcPr>
          <w:p w14:paraId="2D92469E" w14:textId="77777777" w:rsidR="00387142" w:rsidRPr="008B6A75" w:rsidRDefault="00387142" w:rsidP="00387142">
            <w:pPr>
              <w:jc w:val="center"/>
              <w:rPr>
                <w:bCs/>
                <w:sz w:val="20"/>
                <w:szCs w:val="20"/>
              </w:rPr>
            </w:pPr>
            <w:r w:rsidRPr="008B6A75">
              <w:rPr>
                <w:bCs/>
                <w:sz w:val="20"/>
                <w:szCs w:val="20"/>
              </w:rPr>
              <w:t>99.0.00.00000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5FABF204" w14:textId="77777777" w:rsidR="00387142" w:rsidRPr="008B6A75" w:rsidRDefault="00387142" w:rsidP="00387142">
            <w:pPr>
              <w:jc w:val="center"/>
              <w:rPr>
                <w:bCs/>
                <w:sz w:val="20"/>
                <w:szCs w:val="20"/>
              </w:rPr>
            </w:pPr>
            <w:r w:rsidRPr="008B6A75">
              <w:rPr>
                <w:bCs/>
                <w:sz w:val="20"/>
                <w:szCs w:val="20"/>
              </w:rPr>
              <w:t> </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62705C64" w14:textId="77777777" w:rsidR="00387142" w:rsidRPr="008B6A75" w:rsidRDefault="00387142" w:rsidP="00387142">
            <w:pPr>
              <w:jc w:val="right"/>
              <w:rPr>
                <w:bCs/>
                <w:sz w:val="20"/>
                <w:szCs w:val="20"/>
              </w:rPr>
            </w:pPr>
            <w:r w:rsidRPr="008B6A75">
              <w:rPr>
                <w:bCs/>
                <w:sz w:val="20"/>
                <w:szCs w:val="20"/>
              </w:rPr>
              <w:t>0,00</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0B955979" w14:textId="77777777" w:rsidR="00387142" w:rsidRPr="008B6A75" w:rsidRDefault="00387142" w:rsidP="00387142">
            <w:pPr>
              <w:jc w:val="right"/>
              <w:rPr>
                <w:bCs/>
                <w:sz w:val="20"/>
                <w:szCs w:val="20"/>
              </w:rPr>
            </w:pPr>
            <w:r w:rsidRPr="008B6A75">
              <w:rPr>
                <w:bCs/>
                <w:sz w:val="20"/>
                <w:szCs w:val="20"/>
              </w:rPr>
              <w:t>12 290 108,00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7B963512" w14:textId="77777777" w:rsidR="00387142" w:rsidRPr="008B6A75" w:rsidRDefault="00387142" w:rsidP="00387142">
            <w:pPr>
              <w:jc w:val="right"/>
              <w:rPr>
                <w:bCs/>
                <w:sz w:val="20"/>
                <w:szCs w:val="20"/>
              </w:rPr>
            </w:pPr>
            <w:r w:rsidRPr="008B6A75">
              <w:rPr>
                <w:bCs/>
                <w:sz w:val="20"/>
                <w:szCs w:val="20"/>
              </w:rPr>
              <w:t>23 989 084,50</w:t>
            </w:r>
          </w:p>
        </w:tc>
        <w:tc>
          <w:tcPr>
            <w:tcW w:w="222" w:type="dxa"/>
            <w:vAlign w:val="center"/>
            <w:hideMark/>
          </w:tcPr>
          <w:p w14:paraId="4C7EE3A2" w14:textId="77777777" w:rsidR="00387142" w:rsidRPr="008B6A75" w:rsidRDefault="00387142" w:rsidP="00387142">
            <w:pPr>
              <w:rPr>
                <w:sz w:val="20"/>
                <w:szCs w:val="20"/>
              </w:rPr>
            </w:pPr>
          </w:p>
        </w:tc>
      </w:tr>
      <w:tr w:rsidR="00387142" w:rsidRPr="008B6A75" w14:paraId="02E07728" w14:textId="77777777" w:rsidTr="00387142">
        <w:trPr>
          <w:trHeight w:val="300"/>
        </w:trPr>
        <w:tc>
          <w:tcPr>
            <w:tcW w:w="3021" w:type="dxa"/>
            <w:tcBorders>
              <w:top w:val="single" w:sz="4" w:space="0" w:color="auto"/>
              <w:left w:val="single" w:sz="4" w:space="0" w:color="auto"/>
              <w:bottom w:val="nil"/>
              <w:right w:val="nil"/>
            </w:tcBorders>
            <w:shd w:val="clear" w:color="auto" w:fill="auto"/>
            <w:vAlign w:val="center"/>
            <w:hideMark/>
          </w:tcPr>
          <w:p w14:paraId="13144490" w14:textId="77777777" w:rsidR="00387142" w:rsidRPr="008B6A75" w:rsidRDefault="00387142" w:rsidP="00387142">
            <w:pPr>
              <w:rPr>
                <w:bCs/>
                <w:sz w:val="20"/>
                <w:szCs w:val="20"/>
              </w:rPr>
            </w:pPr>
            <w:r w:rsidRPr="008B6A75">
              <w:rPr>
                <w:bCs/>
                <w:sz w:val="20"/>
                <w:szCs w:val="20"/>
              </w:rPr>
              <w:t>Условно утвержденные расходы</w:t>
            </w:r>
          </w:p>
        </w:tc>
        <w:tc>
          <w:tcPr>
            <w:tcW w:w="850" w:type="dxa"/>
            <w:tcBorders>
              <w:top w:val="single" w:sz="4" w:space="0" w:color="auto"/>
              <w:left w:val="single" w:sz="4" w:space="0" w:color="auto"/>
              <w:bottom w:val="nil"/>
              <w:right w:val="nil"/>
            </w:tcBorders>
            <w:shd w:val="clear" w:color="auto" w:fill="auto"/>
            <w:noWrap/>
            <w:vAlign w:val="center"/>
            <w:hideMark/>
          </w:tcPr>
          <w:p w14:paraId="0B9712B8" w14:textId="77777777" w:rsidR="00387142" w:rsidRPr="008B6A75" w:rsidRDefault="00387142" w:rsidP="00387142">
            <w:pPr>
              <w:jc w:val="center"/>
              <w:rPr>
                <w:bCs/>
                <w:sz w:val="20"/>
                <w:szCs w:val="20"/>
              </w:rPr>
            </w:pPr>
            <w:r w:rsidRPr="008B6A75">
              <w:rPr>
                <w:bCs/>
                <w:sz w:val="20"/>
                <w:szCs w:val="20"/>
              </w:rPr>
              <w:t>444</w:t>
            </w:r>
          </w:p>
        </w:tc>
        <w:tc>
          <w:tcPr>
            <w:tcW w:w="709" w:type="dxa"/>
            <w:tcBorders>
              <w:top w:val="single" w:sz="4" w:space="0" w:color="auto"/>
              <w:left w:val="single" w:sz="4" w:space="0" w:color="auto"/>
              <w:bottom w:val="nil"/>
              <w:right w:val="nil"/>
            </w:tcBorders>
            <w:shd w:val="clear" w:color="auto" w:fill="auto"/>
            <w:noWrap/>
            <w:vAlign w:val="center"/>
            <w:hideMark/>
          </w:tcPr>
          <w:p w14:paraId="3DB5DE7B" w14:textId="77777777" w:rsidR="00387142" w:rsidRPr="008B6A75" w:rsidRDefault="00387142" w:rsidP="00387142">
            <w:pPr>
              <w:jc w:val="center"/>
              <w:rPr>
                <w:bCs/>
                <w:sz w:val="20"/>
                <w:szCs w:val="20"/>
              </w:rPr>
            </w:pPr>
            <w:r w:rsidRPr="008B6A75">
              <w:rPr>
                <w:bCs/>
                <w:sz w:val="20"/>
                <w:szCs w:val="20"/>
              </w:rPr>
              <w:t>99</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0524F306" w14:textId="77777777" w:rsidR="00387142" w:rsidRPr="008B6A75" w:rsidRDefault="00387142" w:rsidP="00387142">
            <w:pPr>
              <w:jc w:val="center"/>
              <w:rPr>
                <w:bCs/>
                <w:sz w:val="20"/>
                <w:szCs w:val="20"/>
              </w:rPr>
            </w:pPr>
            <w:r w:rsidRPr="008B6A75">
              <w:rPr>
                <w:bCs/>
                <w:sz w:val="20"/>
                <w:szCs w:val="20"/>
              </w:rPr>
              <w:t>99</w:t>
            </w:r>
          </w:p>
        </w:tc>
        <w:tc>
          <w:tcPr>
            <w:tcW w:w="1411" w:type="dxa"/>
            <w:tcBorders>
              <w:top w:val="single" w:sz="4" w:space="0" w:color="auto"/>
              <w:left w:val="single" w:sz="4" w:space="0" w:color="auto"/>
              <w:bottom w:val="nil"/>
              <w:right w:val="nil"/>
            </w:tcBorders>
            <w:shd w:val="clear" w:color="auto" w:fill="auto"/>
            <w:noWrap/>
            <w:vAlign w:val="center"/>
            <w:hideMark/>
          </w:tcPr>
          <w:p w14:paraId="758BD497" w14:textId="77777777" w:rsidR="00387142" w:rsidRPr="008B6A75" w:rsidRDefault="00387142" w:rsidP="00387142">
            <w:pPr>
              <w:jc w:val="center"/>
              <w:rPr>
                <w:bCs/>
                <w:sz w:val="20"/>
                <w:szCs w:val="20"/>
              </w:rPr>
            </w:pPr>
            <w:r w:rsidRPr="008B6A75">
              <w:rPr>
                <w:bCs/>
                <w:sz w:val="20"/>
                <w:szCs w:val="20"/>
              </w:rPr>
              <w:t>99.9.00.00000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10679387" w14:textId="77777777" w:rsidR="00387142" w:rsidRPr="008B6A75" w:rsidRDefault="00387142" w:rsidP="00387142">
            <w:pPr>
              <w:jc w:val="center"/>
              <w:rPr>
                <w:bCs/>
                <w:sz w:val="20"/>
                <w:szCs w:val="20"/>
              </w:rPr>
            </w:pPr>
            <w:r w:rsidRPr="008B6A75">
              <w:rPr>
                <w:bCs/>
                <w:sz w:val="20"/>
                <w:szCs w:val="20"/>
              </w:rPr>
              <w:t> </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70936075" w14:textId="77777777" w:rsidR="00387142" w:rsidRPr="008B6A75" w:rsidRDefault="00387142" w:rsidP="00387142">
            <w:pPr>
              <w:jc w:val="right"/>
              <w:rPr>
                <w:bCs/>
                <w:sz w:val="20"/>
                <w:szCs w:val="20"/>
              </w:rPr>
            </w:pPr>
            <w:r w:rsidRPr="008B6A75">
              <w:rPr>
                <w:bCs/>
                <w:sz w:val="20"/>
                <w:szCs w:val="20"/>
              </w:rPr>
              <w:t>0,00</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60E84E1B" w14:textId="77777777" w:rsidR="00387142" w:rsidRPr="008B6A75" w:rsidRDefault="00387142" w:rsidP="00387142">
            <w:pPr>
              <w:jc w:val="right"/>
              <w:rPr>
                <w:bCs/>
                <w:sz w:val="20"/>
                <w:szCs w:val="20"/>
              </w:rPr>
            </w:pPr>
            <w:r w:rsidRPr="008B6A75">
              <w:rPr>
                <w:bCs/>
                <w:sz w:val="20"/>
                <w:szCs w:val="20"/>
              </w:rPr>
              <w:t>12 290 108,00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4B094756" w14:textId="77777777" w:rsidR="00387142" w:rsidRPr="008B6A75" w:rsidRDefault="00387142" w:rsidP="00387142">
            <w:pPr>
              <w:jc w:val="right"/>
              <w:rPr>
                <w:bCs/>
                <w:sz w:val="20"/>
                <w:szCs w:val="20"/>
              </w:rPr>
            </w:pPr>
            <w:r w:rsidRPr="008B6A75">
              <w:rPr>
                <w:bCs/>
                <w:sz w:val="20"/>
                <w:szCs w:val="20"/>
              </w:rPr>
              <w:t>23 989 084,50</w:t>
            </w:r>
          </w:p>
        </w:tc>
        <w:tc>
          <w:tcPr>
            <w:tcW w:w="222" w:type="dxa"/>
            <w:vAlign w:val="center"/>
            <w:hideMark/>
          </w:tcPr>
          <w:p w14:paraId="3E028CCD" w14:textId="77777777" w:rsidR="00387142" w:rsidRPr="008B6A75" w:rsidRDefault="00387142" w:rsidP="00387142">
            <w:pPr>
              <w:rPr>
                <w:sz w:val="20"/>
                <w:szCs w:val="20"/>
              </w:rPr>
            </w:pPr>
          </w:p>
        </w:tc>
      </w:tr>
      <w:tr w:rsidR="00387142" w:rsidRPr="008B6A75" w14:paraId="6DCF0190" w14:textId="77777777" w:rsidTr="00387142">
        <w:trPr>
          <w:trHeight w:val="300"/>
        </w:trPr>
        <w:tc>
          <w:tcPr>
            <w:tcW w:w="3021" w:type="dxa"/>
            <w:tcBorders>
              <w:top w:val="single" w:sz="4" w:space="0" w:color="auto"/>
              <w:left w:val="single" w:sz="4" w:space="0" w:color="auto"/>
              <w:bottom w:val="nil"/>
              <w:right w:val="nil"/>
            </w:tcBorders>
            <w:shd w:val="clear" w:color="auto" w:fill="auto"/>
            <w:vAlign w:val="center"/>
            <w:hideMark/>
          </w:tcPr>
          <w:p w14:paraId="7847F579" w14:textId="77777777" w:rsidR="00387142" w:rsidRPr="008B6A75" w:rsidRDefault="00387142" w:rsidP="00387142">
            <w:pPr>
              <w:rPr>
                <w:sz w:val="20"/>
                <w:szCs w:val="20"/>
              </w:rPr>
            </w:pPr>
            <w:r w:rsidRPr="008B6A75">
              <w:rPr>
                <w:sz w:val="20"/>
                <w:szCs w:val="20"/>
              </w:rPr>
              <w:t>Условно утвержденные расходы</w:t>
            </w:r>
          </w:p>
        </w:tc>
        <w:tc>
          <w:tcPr>
            <w:tcW w:w="850" w:type="dxa"/>
            <w:tcBorders>
              <w:top w:val="single" w:sz="4" w:space="0" w:color="auto"/>
              <w:left w:val="single" w:sz="4" w:space="0" w:color="auto"/>
              <w:bottom w:val="nil"/>
              <w:right w:val="nil"/>
            </w:tcBorders>
            <w:shd w:val="clear" w:color="auto" w:fill="auto"/>
            <w:noWrap/>
            <w:vAlign w:val="center"/>
            <w:hideMark/>
          </w:tcPr>
          <w:p w14:paraId="7BA108C9" w14:textId="77777777" w:rsidR="00387142" w:rsidRPr="008B6A75" w:rsidRDefault="00387142" w:rsidP="00387142">
            <w:pPr>
              <w:jc w:val="center"/>
              <w:rPr>
                <w:sz w:val="20"/>
                <w:szCs w:val="20"/>
              </w:rPr>
            </w:pPr>
            <w:r w:rsidRPr="008B6A75">
              <w:rPr>
                <w:sz w:val="20"/>
                <w:szCs w:val="20"/>
              </w:rPr>
              <w:t>444</w:t>
            </w:r>
          </w:p>
        </w:tc>
        <w:tc>
          <w:tcPr>
            <w:tcW w:w="709" w:type="dxa"/>
            <w:tcBorders>
              <w:top w:val="single" w:sz="4" w:space="0" w:color="auto"/>
              <w:left w:val="single" w:sz="4" w:space="0" w:color="auto"/>
              <w:bottom w:val="nil"/>
              <w:right w:val="nil"/>
            </w:tcBorders>
            <w:shd w:val="clear" w:color="auto" w:fill="auto"/>
            <w:noWrap/>
            <w:vAlign w:val="center"/>
            <w:hideMark/>
          </w:tcPr>
          <w:p w14:paraId="6BDAF217" w14:textId="77777777" w:rsidR="00387142" w:rsidRPr="008B6A75" w:rsidRDefault="00387142" w:rsidP="00387142">
            <w:pPr>
              <w:jc w:val="center"/>
              <w:rPr>
                <w:sz w:val="20"/>
                <w:szCs w:val="20"/>
              </w:rPr>
            </w:pPr>
            <w:r w:rsidRPr="008B6A75">
              <w:rPr>
                <w:sz w:val="20"/>
                <w:szCs w:val="20"/>
              </w:rPr>
              <w:t>99</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49864BEC" w14:textId="77777777" w:rsidR="00387142" w:rsidRPr="008B6A75" w:rsidRDefault="00387142" w:rsidP="00387142">
            <w:pPr>
              <w:jc w:val="center"/>
              <w:rPr>
                <w:sz w:val="20"/>
                <w:szCs w:val="20"/>
              </w:rPr>
            </w:pPr>
            <w:r w:rsidRPr="008B6A75">
              <w:rPr>
                <w:sz w:val="20"/>
                <w:szCs w:val="20"/>
              </w:rPr>
              <w:t>99</w:t>
            </w:r>
          </w:p>
        </w:tc>
        <w:tc>
          <w:tcPr>
            <w:tcW w:w="1411" w:type="dxa"/>
            <w:tcBorders>
              <w:top w:val="single" w:sz="4" w:space="0" w:color="auto"/>
              <w:left w:val="single" w:sz="4" w:space="0" w:color="auto"/>
              <w:bottom w:val="nil"/>
              <w:right w:val="nil"/>
            </w:tcBorders>
            <w:shd w:val="clear" w:color="auto" w:fill="auto"/>
            <w:noWrap/>
            <w:vAlign w:val="center"/>
            <w:hideMark/>
          </w:tcPr>
          <w:p w14:paraId="401B8868" w14:textId="77777777" w:rsidR="00387142" w:rsidRPr="008B6A75" w:rsidRDefault="00387142" w:rsidP="00387142">
            <w:pPr>
              <w:jc w:val="center"/>
              <w:rPr>
                <w:sz w:val="20"/>
                <w:szCs w:val="20"/>
              </w:rPr>
            </w:pPr>
            <w:r w:rsidRPr="008B6A75">
              <w:rPr>
                <w:sz w:val="20"/>
                <w:szCs w:val="20"/>
              </w:rPr>
              <w:t>99.9.00.00000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7B4CD84B" w14:textId="77777777" w:rsidR="00387142" w:rsidRPr="008B6A75" w:rsidRDefault="00387142" w:rsidP="00387142">
            <w:pPr>
              <w:jc w:val="center"/>
              <w:rPr>
                <w:sz w:val="20"/>
                <w:szCs w:val="20"/>
              </w:rPr>
            </w:pPr>
            <w:r w:rsidRPr="008B6A75">
              <w:rPr>
                <w:sz w:val="20"/>
                <w:szCs w:val="20"/>
              </w:rPr>
              <w:t>900</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4E129F45" w14:textId="77777777" w:rsidR="00387142" w:rsidRPr="008B6A75" w:rsidRDefault="00387142" w:rsidP="00387142">
            <w:pPr>
              <w:jc w:val="right"/>
              <w:rPr>
                <w:sz w:val="20"/>
                <w:szCs w:val="20"/>
              </w:rPr>
            </w:pPr>
            <w:r w:rsidRPr="008B6A75">
              <w:rPr>
                <w:sz w:val="20"/>
                <w:szCs w:val="20"/>
              </w:rPr>
              <w:t>0,00</w:t>
            </w:r>
          </w:p>
        </w:tc>
        <w:tc>
          <w:tcPr>
            <w:tcW w:w="992" w:type="dxa"/>
            <w:gridSpan w:val="2"/>
            <w:tcBorders>
              <w:top w:val="single" w:sz="4" w:space="0" w:color="auto"/>
              <w:left w:val="single" w:sz="4" w:space="0" w:color="auto"/>
              <w:bottom w:val="nil"/>
              <w:right w:val="nil"/>
            </w:tcBorders>
            <w:shd w:val="clear" w:color="auto" w:fill="auto"/>
            <w:noWrap/>
            <w:vAlign w:val="center"/>
            <w:hideMark/>
          </w:tcPr>
          <w:p w14:paraId="3B74F4CE" w14:textId="77777777" w:rsidR="00387142" w:rsidRPr="008B6A75" w:rsidRDefault="00387142" w:rsidP="00387142">
            <w:pPr>
              <w:jc w:val="right"/>
              <w:rPr>
                <w:sz w:val="20"/>
                <w:szCs w:val="20"/>
              </w:rPr>
            </w:pPr>
            <w:r w:rsidRPr="008B6A75">
              <w:rPr>
                <w:sz w:val="20"/>
                <w:szCs w:val="20"/>
              </w:rPr>
              <w:t>12 290 108,00</w:t>
            </w:r>
          </w:p>
        </w:tc>
        <w:tc>
          <w:tcPr>
            <w:tcW w:w="12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10E05B68" w14:textId="77777777" w:rsidR="00387142" w:rsidRPr="008B6A75" w:rsidRDefault="00387142" w:rsidP="00387142">
            <w:pPr>
              <w:jc w:val="right"/>
              <w:rPr>
                <w:sz w:val="20"/>
                <w:szCs w:val="20"/>
              </w:rPr>
            </w:pPr>
            <w:r w:rsidRPr="008B6A75">
              <w:rPr>
                <w:sz w:val="20"/>
                <w:szCs w:val="20"/>
              </w:rPr>
              <w:t>23 989 084,50</w:t>
            </w:r>
          </w:p>
        </w:tc>
        <w:tc>
          <w:tcPr>
            <w:tcW w:w="222" w:type="dxa"/>
            <w:vAlign w:val="center"/>
            <w:hideMark/>
          </w:tcPr>
          <w:p w14:paraId="0A1F4CB9" w14:textId="77777777" w:rsidR="00387142" w:rsidRPr="008B6A75" w:rsidRDefault="00387142" w:rsidP="00387142">
            <w:pPr>
              <w:rPr>
                <w:sz w:val="20"/>
                <w:szCs w:val="20"/>
              </w:rPr>
            </w:pPr>
          </w:p>
        </w:tc>
      </w:tr>
      <w:tr w:rsidR="00387142" w:rsidRPr="008B6A75" w14:paraId="436AA162" w14:textId="77777777" w:rsidTr="00387142">
        <w:trPr>
          <w:trHeight w:val="300"/>
        </w:trPr>
        <w:tc>
          <w:tcPr>
            <w:tcW w:w="3021" w:type="dxa"/>
            <w:tcBorders>
              <w:top w:val="single" w:sz="4" w:space="0" w:color="auto"/>
              <w:left w:val="single" w:sz="4" w:space="0" w:color="auto"/>
              <w:bottom w:val="nil"/>
              <w:right w:val="nil"/>
            </w:tcBorders>
            <w:shd w:val="clear" w:color="auto" w:fill="auto"/>
            <w:vAlign w:val="center"/>
            <w:hideMark/>
          </w:tcPr>
          <w:p w14:paraId="397BDF88" w14:textId="77777777" w:rsidR="00387142" w:rsidRPr="008B6A75" w:rsidRDefault="00387142" w:rsidP="00387142">
            <w:pPr>
              <w:rPr>
                <w:sz w:val="20"/>
                <w:szCs w:val="20"/>
              </w:rPr>
            </w:pPr>
            <w:r w:rsidRPr="008B6A75">
              <w:rPr>
                <w:sz w:val="20"/>
                <w:szCs w:val="20"/>
              </w:rPr>
              <w:t>Условно утвержденные расходы</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603B45BD" w14:textId="77777777" w:rsidR="00387142" w:rsidRPr="008B6A75" w:rsidRDefault="00387142" w:rsidP="00387142">
            <w:pPr>
              <w:jc w:val="center"/>
              <w:rPr>
                <w:sz w:val="20"/>
                <w:szCs w:val="20"/>
              </w:rPr>
            </w:pPr>
            <w:r w:rsidRPr="008B6A75">
              <w:rPr>
                <w:sz w:val="20"/>
                <w:szCs w:val="20"/>
              </w:rPr>
              <w:t>444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5CEF3BA0" w14:textId="77777777" w:rsidR="00387142" w:rsidRPr="008B6A75" w:rsidRDefault="00387142" w:rsidP="00387142">
            <w:pPr>
              <w:jc w:val="center"/>
              <w:rPr>
                <w:sz w:val="20"/>
                <w:szCs w:val="20"/>
              </w:rPr>
            </w:pPr>
            <w:r w:rsidRPr="008B6A75">
              <w:rPr>
                <w:sz w:val="20"/>
                <w:szCs w:val="20"/>
              </w:rPr>
              <w:t>99</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CF4C67" w14:textId="77777777" w:rsidR="00387142" w:rsidRPr="008B6A75" w:rsidRDefault="00387142" w:rsidP="00387142">
            <w:pPr>
              <w:jc w:val="center"/>
              <w:rPr>
                <w:sz w:val="20"/>
                <w:szCs w:val="20"/>
              </w:rPr>
            </w:pPr>
            <w:r w:rsidRPr="008B6A75">
              <w:rPr>
                <w:sz w:val="20"/>
                <w:szCs w:val="20"/>
              </w:rPr>
              <w:t>99</w:t>
            </w:r>
          </w:p>
        </w:tc>
        <w:tc>
          <w:tcPr>
            <w:tcW w:w="1411" w:type="dxa"/>
            <w:tcBorders>
              <w:top w:val="single" w:sz="4" w:space="0" w:color="auto"/>
              <w:left w:val="single" w:sz="4" w:space="0" w:color="auto"/>
              <w:bottom w:val="nil"/>
              <w:right w:val="nil"/>
            </w:tcBorders>
            <w:shd w:val="clear" w:color="auto" w:fill="auto"/>
            <w:noWrap/>
            <w:vAlign w:val="center"/>
            <w:hideMark/>
          </w:tcPr>
          <w:p w14:paraId="0BB2FF1C" w14:textId="77777777" w:rsidR="00387142" w:rsidRPr="008B6A75" w:rsidRDefault="00387142" w:rsidP="00387142">
            <w:pPr>
              <w:jc w:val="center"/>
              <w:rPr>
                <w:sz w:val="20"/>
                <w:szCs w:val="20"/>
              </w:rPr>
            </w:pPr>
            <w:r w:rsidRPr="008B6A75">
              <w:rPr>
                <w:sz w:val="20"/>
                <w:szCs w:val="20"/>
              </w:rPr>
              <w:t>99.9.00.00000</w:t>
            </w:r>
          </w:p>
        </w:tc>
        <w:tc>
          <w:tcPr>
            <w:tcW w:w="955" w:type="dxa"/>
            <w:tcBorders>
              <w:top w:val="single" w:sz="4" w:space="0" w:color="auto"/>
              <w:left w:val="single" w:sz="4" w:space="0" w:color="auto"/>
              <w:bottom w:val="nil"/>
              <w:right w:val="single" w:sz="4" w:space="0" w:color="auto"/>
            </w:tcBorders>
            <w:shd w:val="clear" w:color="auto" w:fill="auto"/>
            <w:noWrap/>
            <w:vAlign w:val="center"/>
            <w:hideMark/>
          </w:tcPr>
          <w:p w14:paraId="6CF19A07" w14:textId="77777777" w:rsidR="00387142" w:rsidRPr="008B6A75" w:rsidRDefault="00387142" w:rsidP="00387142">
            <w:pPr>
              <w:jc w:val="center"/>
              <w:rPr>
                <w:sz w:val="20"/>
                <w:szCs w:val="20"/>
              </w:rPr>
            </w:pPr>
            <w:r w:rsidRPr="008B6A75">
              <w:rPr>
                <w:sz w:val="20"/>
                <w:szCs w:val="20"/>
              </w:rPr>
              <w:t>990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AEFBFA" w14:textId="77777777" w:rsidR="00387142" w:rsidRPr="008B6A75" w:rsidRDefault="00387142" w:rsidP="00387142">
            <w:pPr>
              <w:jc w:val="right"/>
              <w:rPr>
                <w:sz w:val="20"/>
                <w:szCs w:val="20"/>
              </w:rPr>
            </w:pPr>
            <w:r w:rsidRPr="008B6A75">
              <w:rPr>
                <w:sz w:val="20"/>
                <w:szCs w:val="20"/>
              </w:rPr>
              <w:t>0,00</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53055BFE" w14:textId="77777777" w:rsidR="00387142" w:rsidRPr="008B6A75" w:rsidRDefault="00387142" w:rsidP="00387142">
            <w:pPr>
              <w:jc w:val="right"/>
              <w:rPr>
                <w:sz w:val="20"/>
                <w:szCs w:val="20"/>
              </w:rPr>
            </w:pPr>
            <w:r w:rsidRPr="008B6A75">
              <w:rPr>
                <w:sz w:val="20"/>
                <w:szCs w:val="20"/>
              </w:rPr>
              <w:t>12 290 108,00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A705A1" w14:textId="77777777" w:rsidR="00387142" w:rsidRPr="008B6A75" w:rsidRDefault="00387142" w:rsidP="00387142">
            <w:pPr>
              <w:jc w:val="right"/>
              <w:rPr>
                <w:sz w:val="20"/>
                <w:szCs w:val="20"/>
              </w:rPr>
            </w:pPr>
            <w:r w:rsidRPr="008B6A75">
              <w:rPr>
                <w:sz w:val="20"/>
                <w:szCs w:val="20"/>
              </w:rPr>
              <w:t>23 989 084,50</w:t>
            </w:r>
          </w:p>
        </w:tc>
        <w:tc>
          <w:tcPr>
            <w:tcW w:w="222" w:type="dxa"/>
            <w:vAlign w:val="center"/>
            <w:hideMark/>
          </w:tcPr>
          <w:p w14:paraId="158FA99D" w14:textId="77777777" w:rsidR="00387142" w:rsidRPr="008B6A75" w:rsidRDefault="00387142" w:rsidP="00387142">
            <w:pPr>
              <w:rPr>
                <w:sz w:val="20"/>
                <w:szCs w:val="20"/>
              </w:rPr>
            </w:pPr>
          </w:p>
        </w:tc>
      </w:tr>
      <w:tr w:rsidR="00387142" w:rsidRPr="008B6A75" w14:paraId="5B3566CF" w14:textId="77777777" w:rsidTr="00387142">
        <w:trPr>
          <w:trHeight w:val="270"/>
        </w:trPr>
        <w:tc>
          <w:tcPr>
            <w:tcW w:w="3021" w:type="dxa"/>
            <w:tcBorders>
              <w:top w:val="nil"/>
              <w:left w:val="single" w:sz="4" w:space="0" w:color="auto"/>
              <w:bottom w:val="single" w:sz="4" w:space="0" w:color="auto"/>
              <w:right w:val="nil"/>
            </w:tcBorders>
            <w:shd w:val="clear" w:color="auto" w:fill="auto"/>
            <w:noWrap/>
            <w:vAlign w:val="center"/>
            <w:hideMark/>
          </w:tcPr>
          <w:p w14:paraId="6CBE1307" w14:textId="77777777" w:rsidR="00387142" w:rsidRPr="008B6A75" w:rsidRDefault="00387142" w:rsidP="00387142">
            <w:pPr>
              <w:rPr>
                <w:bCs/>
                <w:sz w:val="20"/>
                <w:szCs w:val="20"/>
              </w:rPr>
            </w:pPr>
            <w:r w:rsidRPr="008B6A75">
              <w:rPr>
                <w:bCs/>
                <w:sz w:val="20"/>
                <w:szCs w:val="20"/>
              </w:rPr>
              <w:t>Итого расходов</w:t>
            </w:r>
          </w:p>
        </w:tc>
        <w:tc>
          <w:tcPr>
            <w:tcW w:w="850" w:type="dxa"/>
            <w:tcBorders>
              <w:top w:val="nil"/>
              <w:left w:val="nil"/>
              <w:bottom w:val="single" w:sz="4" w:space="0" w:color="auto"/>
              <w:right w:val="single" w:sz="4" w:space="0" w:color="auto"/>
            </w:tcBorders>
            <w:shd w:val="clear" w:color="auto" w:fill="auto"/>
            <w:noWrap/>
            <w:vAlign w:val="center"/>
            <w:hideMark/>
          </w:tcPr>
          <w:p w14:paraId="52ECD8FF" w14:textId="77777777" w:rsidR="00387142" w:rsidRPr="008B6A75" w:rsidRDefault="00387142" w:rsidP="00387142">
            <w:pPr>
              <w:rPr>
                <w:bCs/>
                <w:sz w:val="20"/>
                <w:szCs w:val="20"/>
              </w:rPr>
            </w:pPr>
            <w:r w:rsidRPr="008B6A75">
              <w:rPr>
                <w:bCs/>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14:paraId="634D8660" w14:textId="77777777" w:rsidR="00387142" w:rsidRPr="008B6A75" w:rsidRDefault="00387142" w:rsidP="00387142">
            <w:pPr>
              <w:rPr>
                <w:bCs/>
                <w:sz w:val="20"/>
                <w:szCs w:val="20"/>
              </w:rPr>
            </w:pPr>
            <w:r w:rsidRPr="008B6A75">
              <w:rPr>
                <w:bCs/>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14:paraId="3029059D" w14:textId="77777777" w:rsidR="00387142" w:rsidRPr="008B6A75" w:rsidRDefault="00387142" w:rsidP="00387142">
            <w:pPr>
              <w:rPr>
                <w:bCs/>
                <w:sz w:val="20"/>
                <w:szCs w:val="20"/>
              </w:rPr>
            </w:pPr>
            <w:r w:rsidRPr="008B6A75">
              <w:rPr>
                <w:bCs/>
                <w:sz w:val="20"/>
                <w:szCs w:val="20"/>
              </w:rPr>
              <w:t> </w:t>
            </w:r>
          </w:p>
        </w:tc>
        <w:tc>
          <w:tcPr>
            <w:tcW w:w="1411" w:type="dxa"/>
            <w:tcBorders>
              <w:top w:val="nil"/>
              <w:left w:val="nil"/>
              <w:bottom w:val="single" w:sz="4" w:space="0" w:color="auto"/>
              <w:right w:val="single" w:sz="4" w:space="0" w:color="auto"/>
            </w:tcBorders>
            <w:shd w:val="clear" w:color="auto" w:fill="auto"/>
            <w:noWrap/>
            <w:vAlign w:val="center"/>
            <w:hideMark/>
          </w:tcPr>
          <w:p w14:paraId="30C931BA" w14:textId="77777777" w:rsidR="00387142" w:rsidRPr="008B6A75" w:rsidRDefault="00387142" w:rsidP="00387142">
            <w:pPr>
              <w:rPr>
                <w:bCs/>
                <w:sz w:val="20"/>
                <w:szCs w:val="20"/>
              </w:rPr>
            </w:pPr>
            <w:r w:rsidRPr="008B6A75">
              <w:rPr>
                <w:bCs/>
                <w:sz w:val="20"/>
                <w:szCs w:val="20"/>
              </w:rPr>
              <w:t> </w:t>
            </w:r>
          </w:p>
        </w:tc>
        <w:tc>
          <w:tcPr>
            <w:tcW w:w="955" w:type="dxa"/>
            <w:tcBorders>
              <w:top w:val="nil"/>
              <w:left w:val="nil"/>
              <w:bottom w:val="single" w:sz="4" w:space="0" w:color="auto"/>
              <w:right w:val="single" w:sz="4" w:space="0" w:color="auto"/>
            </w:tcBorders>
            <w:shd w:val="clear" w:color="auto" w:fill="auto"/>
            <w:noWrap/>
            <w:vAlign w:val="center"/>
            <w:hideMark/>
          </w:tcPr>
          <w:p w14:paraId="3185704F" w14:textId="77777777" w:rsidR="00387142" w:rsidRPr="008B6A75" w:rsidRDefault="00387142" w:rsidP="00387142">
            <w:pPr>
              <w:rPr>
                <w:bCs/>
                <w:sz w:val="20"/>
                <w:szCs w:val="20"/>
              </w:rPr>
            </w:pPr>
            <w:r w:rsidRPr="008B6A75">
              <w:rPr>
                <w:bCs/>
                <w:sz w:val="20"/>
                <w:szCs w:val="20"/>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3241F7" w14:textId="77777777" w:rsidR="00387142" w:rsidRPr="008B6A75" w:rsidRDefault="00387142" w:rsidP="00387142">
            <w:pPr>
              <w:jc w:val="right"/>
              <w:rPr>
                <w:bCs/>
                <w:sz w:val="20"/>
                <w:szCs w:val="20"/>
              </w:rPr>
            </w:pPr>
            <w:r w:rsidRPr="008B6A75">
              <w:rPr>
                <w:bCs/>
                <w:sz w:val="20"/>
                <w:szCs w:val="20"/>
              </w:rPr>
              <w:t>2 928 088 175,3</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0E199493" w14:textId="77777777" w:rsidR="00387142" w:rsidRPr="008B6A75" w:rsidRDefault="00387142" w:rsidP="00387142">
            <w:pPr>
              <w:jc w:val="right"/>
              <w:rPr>
                <w:bCs/>
                <w:sz w:val="20"/>
                <w:szCs w:val="20"/>
              </w:rPr>
            </w:pPr>
            <w:r w:rsidRPr="008B6A75">
              <w:rPr>
                <w:bCs/>
                <w:sz w:val="20"/>
                <w:szCs w:val="20"/>
              </w:rPr>
              <w:t>1 950 517 508,6</w:t>
            </w:r>
          </w:p>
        </w:tc>
        <w:tc>
          <w:tcPr>
            <w:tcW w:w="1277" w:type="dxa"/>
            <w:gridSpan w:val="2"/>
            <w:tcBorders>
              <w:top w:val="nil"/>
              <w:left w:val="nil"/>
              <w:bottom w:val="single" w:sz="4" w:space="0" w:color="auto"/>
              <w:right w:val="single" w:sz="4" w:space="0" w:color="auto"/>
            </w:tcBorders>
            <w:shd w:val="clear" w:color="auto" w:fill="auto"/>
            <w:noWrap/>
            <w:vAlign w:val="center"/>
            <w:hideMark/>
          </w:tcPr>
          <w:p w14:paraId="066577D7" w14:textId="77777777" w:rsidR="00387142" w:rsidRPr="008B6A75" w:rsidRDefault="00387142" w:rsidP="00387142">
            <w:pPr>
              <w:jc w:val="right"/>
              <w:rPr>
                <w:bCs/>
                <w:sz w:val="20"/>
                <w:szCs w:val="20"/>
              </w:rPr>
            </w:pPr>
            <w:r w:rsidRPr="008B6A75">
              <w:rPr>
                <w:bCs/>
                <w:sz w:val="20"/>
                <w:szCs w:val="20"/>
              </w:rPr>
              <w:t>1 844 646 600,1</w:t>
            </w:r>
          </w:p>
        </w:tc>
        <w:tc>
          <w:tcPr>
            <w:tcW w:w="222" w:type="dxa"/>
            <w:vAlign w:val="center"/>
            <w:hideMark/>
          </w:tcPr>
          <w:p w14:paraId="7DB31B90" w14:textId="77777777" w:rsidR="00387142" w:rsidRPr="008B6A75" w:rsidRDefault="00387142" w:rsidP="00387142">
            <w:pPr>
              <w:rPr>
                <w:sz w:val="20"/>
                <w:szCs w:val="20"/>
              </w:rPr>
            </w:pPr>
          </w:p>
        </w:tc>
      </w:tr>
    </w:tbl>
    <w:p w14:paraId="2AB60B03" w14:textId="77777777" w:rsidR="00387142" w:rsidRPr="008B6A75" w:rsidRDefault="00387142" w:rsidP="00387142">
      <w:pPr>
        <w:rPr>
          <w:sz w:val="20"/>
          <w:szCs w:val="20"/>
        </w:rPr>
      </w:pPr>
    </w:p>
    <w:tbl>
      <w:tblPr>
        <w:tblW w:w="10706" w:type="dxa"/>
        <w:tblInd w:w="-851" w:type="dxa"/>
        <w:tblLook w:val="04A0" w:firstRow="1" w:lastRow="0" w:firstColumn="1" w:lastColumn="0" w:noHBand="0" w:noVBand="1"/>
      </w:tblPr>
      <w:tblGrid>
        <w:gridCol w:w="567"/>
        <w:gridCol w:w="4253"/>
        <w:gridCol w:w="2020"/>
        <w:gridCol w:w="1960"/>
        <w:gridCol w:w="6"/>
        <w:gridCol w:w="1894"/>
        <w:gridCol w:w="6"/>
      </w:tblGrid>
      <w:tr w:rsidR="00387142" w:rsidRPr="008B6A75" w14:paraId="16CD8C02" w14:textId="77777777" w:rsidTr="00387142">
        <w:trPr>
          <w:gridAfter w:val="1"/>
          <w:wAfter w:w="6" w:type="dxa"/>
          <w:trHeight w:val="315"/>
        </w:trPr>
        <w:tc>
          <w:tcPr>
            <w:tcW w:w="567" w:type="dxa"/>
            <w:tcBorders>
              <w:top w:val="nil"/>
              <w:left w:val="nil"/>
              <w:bottom w:val="nil"/>
              <w:right w:val="nil"/>
            </w:tcBorders>
            <w:shd w:val="clear" w:color="auto" w:fill="auto"/>
            <w:noWrap/>
            <w:vAlign w:val="bottom"/>
            <w:hideMark/>
          </w:tcPr>
          <w:p w14:paraId="24D13694" w14:textId="77777777" w:rsidR="00387142" w:rsidRPr="008B6A75" w:rsidRDefault="00387142" w:rsidP="00387142">
            <w:pPr>
              <w:rPr>
                <w:sz w:val="20"/>
                <w:szCs w:val="20"/>
              </w:rPr>
            </w:pPr>
          </w:p>
        </w:tc>
        <w:tc>
          <w:tcPr>
            <w:tcW w:w="4253" w:type="dxa"/>
            <w:tcBorders>
              <w:top w:val="nil"/>
              <w:left w:val="nil"/>
              <w:bottom w:val="nil"/>
              <w:right w:val="nil"/>
            </w:tcBorders>
            <w:shd w:val="clear" w:color="auto" w:fill="auto"/>
            <w:noWrap/>
            <w:vAlign w:val="bottom"/>
            <w:hideMark/>
          </w:tcPr>
          <w:p w14:paraId="09277FFF" w14:textId="77777777" w:rsidR="00387142" w:rsidRPr="008B6A75" w:rsidRDefault="00387142" w:rsidP="00387142">
            <w:pPr>
              <w:rPr>
                <w:sz w:val="20"/>
                <w:szCs w:val="20"/>
              </w:rPr>
            </w:pPr>
          </w:p>
        </w:tc>
        <w:tc>
          <w:tcPr>
            <w:tcW w:w="2020" w:type="dxa"/>
            <w:tcBorders>
              <w:top w:val="nil"/>
              <w:left w:val="nil"/>
              <w:bottom w:val="nil"/>
              <w:right w:val="nil"/>
            </w:tcBorders>
            <w:shd w:val="clear" w:color="auto" w:fill="auto"/>
            <w:noWrap/>
            <w:vAlign w:val="bottom"/>
            <w:hideMark/>
          </w:tcPr>
          <w:p w14:paraId="4B65FDE7" w14:textId="77777777" w:rsidR="00387142" w:rsidRPr="008B6A75" w:rsidRDefault="00387142" w:rsidP="00387142">
            <w:pPr>
              <w:rPr>
                <w:sz w:val="20"/>
                <w:szCs w:val="20"/>
              </w:rPr>
            </w:pPr>
          </w:p>
        </w:tc>
        <w:tc>
          <w:tcPr>
            <w:tcW w:w="1960" w:type="dxa"/>
            <w:tcBorders>
              <w:top w:val="nil"/>
              <w:left w:val="nil"/>
              <w:bottom w:val="nil"/>
              <w:right w:val="nil"/>
            </w:tcBorders>
            <w:shd w:val="clear" w:color="auto" w:fill="auto"/>
            <w:noWrap/>
            <w:vAlign w:val="bottom"/>
            <w:hideMark/>
          </w:tcPr>
          <w:p w14:paraId="22CA5D76" w14:textId="77777777" w:rsidR="00387142" w:rsidRPr="008B6A75" w:rsidRDefault="00387142" w:rsidP="00387142">
            <w:pPr>
              <w:rPr>
                <w:sz w:val="20"/>
                <w:szCs w:val="20"/>
              </w:rPr>
            </w:pPr>
          </w:p>
        </w:tc>
        <w:tc>
          <w:tcPr>
            <w:tcW w:w="1900" w:type="dxa"/>
            <w:gridSpan w:val="2"/>
            <w:tcBorders>
              <w:top w:val="nil"/>
              <w:left w:val="nil"/>
              <w:bottom w:val="nil"/>
              <w:right w:val="nil"/>
            </w:tcBorders>
            <w:shd w:val="clear" w:color="auto" w:fill="auto"/>
            <w:noWrap/>
            <w:vAlign w:val="bottom"/>
            <w:hideMark/>
          </w:tcPr>
          <w:p w14:paraId="487049D7" w14:textId="77777777" w:rsidR="00387142" w:rsidRPr="008B6A75" w:rsidRDefault="00387142" w:rsidP="00387142">
            <w:pPr>
              <w:jc w:val="right"/>
              <w:rPr>
                <w:color w:val="000000"/>
                <w:sz w:val="20"/>
                <w:szCs w:val="20"/>
              </w:rPr>
            </w:pPr>
            <w:r w:rsidRPr="008B6A75">
              <w:rPr>
                <w:color w:val="000000"/>
                <w:sz w:val="20"/>
                <w:szCs w:val="20"/>
              </w:rPr>
              <w:t>Приложение 7</w:t>
            </w:r>
          </w:p>
        </w:tc>
      </w:tr>
      <w:tr w:rsidR="00387142" w:rsidRPr="008B6A75" w14:paraId="34BA0272" w14:textId="77777777" w:rsidTr="00387142">
        <w:trPr>
          <w:gridAfter w:val="1"/>
          <w:wAfter w:w="6" w:type="dxa"/>
          <w:trHeight w:val="1785"/>
        </w:trPr>
        <w:tc>
          <w:tcPr>
            <w:tcW w:w="567" w:type="dxa"/>
            <w:tcBorders>
              <w:top w:val="nil"/>
              <w:left w:val="nil"/>
              <w:bottom w:val="nil"/>
              <w:right w:val="nil"/>
            </w:tcBorders>
            <w:shd w:val="clear" w:color="auto" w:fill="auto"/>
            <w:noWrap/>
            <w:vAlign w:val="bottom"/>
            <w:hideMark/>
          </w:tcPr>
          <w:p w14:paraId="6680E677" w14:textId="77777777" w:rsidR="00387142" w:rsidRPr="008B6A75" w:rsidRDefault="00387142" w:rsidP="00387142">
            <w:pPr>
              <w:jc w:val="right"/>
              <w:rPr>
                <w:color w:val="000000"/>
                <w:sz w:val="20"/>
                <w:szCs w:val="20"/>
              </w:rPr>
            </w:pPr>
          </w:p>
        </w:tc>
        <w:tc>
          <w:tcPr>
            <w:tcW w:w="4253" w:type="dxa"/>
            <w:tcBorders>
              <w:top w:val="nil"/>
              <w:left w:val="nil"/>
              <w:bottom w:val="nil"/>
              <w:right w:val="nil"/>
            </w:tcBorders>
            <w:shd w:val="clear" w:color="auto" w:fill="auto"/>
            <w:noWrap/>
            <w:vAlign w:val="bottom"/>
            <w:hideMark/>
          </w:tcPr>
          <w:p w14:paraId="7A1656D7" w14:textId="77777777" w:rsidR="00387142" w:rsidRPr="008B6A75" w:rsidRDefault="00387142" w:rsidP="00387142">
            <w:pPr>
              <w:rPr>
                <w:sz w:val="20"/>
                <w:szCs w:val="20"/>
              </w:rPr>
            </w:pPr>
          </w:p>
        </w:tc>
        <w:tc>
          <w:tcPr>
            <w:tcW w:w="2020" w:type="dxa"/>
            <w:tcBorders>
              <w:top w:val="nil"/>
              <w:left w:val="nil"/>
              <w:bottom w:val="nil"/>
              <w:right w:val="nil"/>
            </w:tcBorders>
            <w:shd w:val="clear" w:color="auto" w:fill="auto"/>
            <w:noWrap/>
            <w:vAlign w:val="bottom"/>
            <w:hideMark/>
          </w:tcPr>
          <w:p w14:paraId="460E80B9" w14:textId="77777777" w:rsidR="00387142" w:rsidRPr="008B6A75" w:rsidRDefault="00387142" w:rsidP="00387142">
            <w:pPr>
              <w:rPr>
                <w:sz w:val="20"/>
                <w:szCs w:val="20"/>
              </w:rPr>
            </w:pPr>
          </w:p>
        </w:tc>
        <w:tc>
          <w:tcPr>
            <w:tcW w:w="3860" w:type="dxa"/>
            <w:gridSpan w:val="3"/>
            <w:tcBorders>
              <w:top w:val="nil"/>
              <w:left w:val="nil"/>
              <w:bottom w:val="nil"/>
              <w:right w:val="nil"/>
            </w:tcBorders>
            <w:shd w:val="clear" w:color="auto" w:fill="auto"/>
            <w:vAlign w:val="bottom"/>
            <w:hideMark/>
          </w:tcPr>
          <w:p w14:paraId="356D148C" w14:textId="77777777" w:rsidR="00387142" w:rsidRPr="008B6A75" w:rsidRDefault="00387142" w:rsidP="00387142">
            <w:pPr>
              <w:jc w:val="right"/>
              <w:rPr>
                <w:color w:val="000000"/>
                <w:sz w:val="20"/>
                <w:szCs w:val="20"/>
              </w:rPr>
            </w:pPr>
            <w:r w:rsidRPr="008B6A75">
              <w:rPr>
                <w:color w:val="000000"/>
                <w:sz w:val="20"/>
                <w:szCs w:val="20"/>
              </w:rPr>
              <w:t>к решению сессии Совета депутатов Куйбышевского муниципального района Новосибирской области "О бюджете Куйбышевского муниципального района Новосибирской области на 2022 год и плановый период 2023 и 2024 годов"</w:t>
            </w:r>
          </w:p>
        </w:tc>
      </w:tr>
      <w:tr w:rsidR="00387142" w:rsidRPr="008B6A75" w14:paraId="33FCF3DA" w14:textId="77777777" w:rsidTr="00387142">
        <w:trPr>
          <w:gridAfter w:val="1"/>
          <w:wAfter w:w="6" w:type="dxa"/>
          <w:trHeight w:val="405"/>
        </w:trPr>
        <w:tc>
          <w:tcPr>
            <w:tcW w:w="567" w:type="dxa"/>
            <w:tcBorders>
              <w:top w:val="nil"/>
              <w:left w:val="nil"/>
              <w:bottom w:val="nil"/>
              <w:right w:val="nil"/>
            </w:tcBorders>
            <w:shd w:val="clear" w:color="auto" w:fill="auto"/>
            <w:noWrap/>
            <w:vAlign w:val="bottom"/>
            <w:hideMark/>
          </w:tcPr>
          <w:p w14:paraId="5EFCA31B" w14:textId="77777777" w:rsidR="00387142" w:rsidRPr="008B6A75" w:rsidRDefault="00387142" w:rsidP="00387142">
            <w:pPr>
              <w:jc w:val="right"/>
              <w:rPr>
                <w:color w:val="000000"/>
                <w:sz w:val="20"/>
                <w:szCs w:val="20"/>
              </w:rPr>
            </w:pPr>
          </w:p>
        </w:tc>
        <w:tc>
          <w:tcPr>
            <w:tcW w:w="4253" w:type="dxa"/>
            <w:tcBorders>
              <w:top w:val="nil"/>
              <w:left w:val="nil"/>
              <w:bottom w:val="nil"/>
              <w:right w:val="nil"/>
            </w:tcBorders>
            <w:shd w:val="clear" w:color="auto" w:fill="auto"/>
            <w:noWrap/>
            <w:vAlign w:val="bottom"/>
            <w:hideMark/>
          </w:tcPr>
          <w:p w14:paraId="1D0A3EE4" w14:textId="77777777" w:rsidR="00387142" w:rsidRPr="008B6A75" w:rsidRDefault="00387142" w:rsidP="00387142">
            <w:pPr>
              <w:rPr>
                <w:sz w:val="20"/>
                <w:szCs w:val="20"/>
              </w:rPr>
            </w:pPr>
          </w:p>
        </w:tc>
        <w:tc>
          <w:tcPr>
            <w:tcW w:w="2020" w:type="dxa"/>
            <w:tcBorders>
              <w:top w:val="nil"/>
              <w:left w:val="nil"/>
              <w:bottom w:val="nil"/>
              <w:right w:val="nil"/>
            </w:tcBorders>
            <w:shd w:val="clear" w:color="auto" w:fill="auto"/>
            <w:noWrap/>
            <w:vAlign w:val="bottom"/>
            <w:hideMark/>
          </w:tcPr>
          <w:p w14:paraId="2D1B82E0" w14:textId="77777777" w:rsidR="00387142" w:rsidRPr="008B6A75" w:rsidRDefault="00387142" w:rsidP="00387142">
            <w:pPr>
              <w:rPr>
                <w:sz w:val="20"/>
                <w:szCs w:val="20"/>
              </w:rPr>
            </w:pPr>
          </w:p>
        </w:tc>
        <w:tc>
          <w:tcPr>
            <w:tcW w:w="1960" w:type="dxa"/>
            <w:tcBorders>
              <w:top w:val="nil"/>
              <w:left w:val="nil"/>
              <w:bottom w:val="nil"/>
              <w:right w:val="nil"/>
            </w:tcBorders>
            <w:shd w:val="clear" w:color="auto" w:fill="auto"/>
            <w:vAlign w:val="bottom"/>
            <w:hideMark/>
          </w:tcPr>
          <w:p w14:paraId="1378A13F" w14:textId="77777777" w:rsidR="00387142" w:rsidRPr="008B6A75" w:rsidRDefault="00387142" w:rsidP="00387142">
            <w:pPr>
              <w:rPr>
                <w:sz w:val="20"/>
                <w:szCs w:val="20"/>
              </w:rPr>
            </w:pPr>
          </w:p>
        </w:tc>
        <w:tc>
          <w:tcPr>
            <w:tcW w:w="1900" w:type="dxa"/>
            <w:gridSpan w:val="2"/>
            <w:tcBorders>
              <w:top w:val="nil"/>
              <w:left w:val="nil"/>
              <w:bottom w:val="nil"/>
              <w:right w:val="nil"/>
            </w:tcBorders>
            <w:shd w:val="clear" w:color="auto" w:fill="auto"/>
            <w:noWrap/>
            <w:vAlign w:val="bottom"/>
            <w:hideMark/>
          </w:tcPr>
          <w:p w14:paraId="15CEA782" w14:textId="77777777" w:rsidR="00387142" w:rsidRPr="008B6A75" w:rsidRDefault="00387142" w:rsidP="00387142">
            <w:pPr>
              <w:jc w:val="right"/>
              <w:rPr>
                <w:sz w:val="20"/>
                <w:szCs w:val="20"/>
              </w:rPr>
            </w:pPr>
          </w:p>
        </w:tc>
      </w:tr>
      <w:tr w:rsidR="00387142" w:rsidRPr="008B6A75" w14:paraId="429772E2" w14:textId="77777777" w:rsidTr="00387142">
        <w:trPr>
          <w:trHeight w:val="315"/>
        </w:trPr>
        <w:tc>
          <w:tcPr>
            <w:tcW w:w="8806" w:type="dxa"/>
            <w:gridSpan w:val="5"/>
            <w:tcBorders>
              <w:top w:val="nil"/>
              <w:left w:val="nil"/>
              <w:bottom w:val="nil"/>
              <w:right w:val="nil"/>
            </w:tcBorders>
            <w:shd w:val="clear" w:color="auto" w:fill="auto"/>
            <w:noWrap/>
            <w:vAlign w:val="bottom"/>
            <w:hideMark/>
          </w:tcPr>
          <w:p w14:paraId="0A23D2EE" w14:textId="77777777" w:rsidR="00387142" w:rsidRPr="008B6A75" w:rsidRDefault="00387142" w:rsidP="00387142">
            <w:pPr>
              <w:jc w:val="center"/>
              <w:rPr>
                <w:bCs/>
                <w:sz w:val="20"/>
                <w:szCs w:val="20"/>
              </w:rPr>
            </w:pPr>
            <w:r w:rsidRPr="008B6A75">
              <w:rPr>
                <w:bCs/>
                <w:sz w:val="20"/>
                <w:szCs w:val="20"/>
              </w:rPr>
              <w:t xml:space="preserve">Субвенции, получаемые из областного бюджета в 2022г.и плановый период 2023 и 2024 годов </w:t>
            </w:r>
          </w:p>
        </w:tc>
        <w:tc>
          <w:tcPr>
            <w:tcW w:w="1900" w:type="dxa"/>
            <w:gridSpan w:val="2"/>
            <w:tcBorders>
              <w:top w:val="nil"/>
              <w:left w:val="nil"/>
              <w:bottom w:val="nil"/>
              <w:right w:val="nil"/>
            </w:tcBorders>
            <w:shd w:val="clear" w:color="auto" w:fill="auto"/>
            <w:noWrap/>
            <w:vAlign w:val="bottom"/>
            <w:hideMark/>
          </w:tcPr>
          <w:p w14:paraId="1B5FBB0C" w14:textId="77777777" w:rsidR="00387142" w:rsidRPr="008B6A75" w:rsidRDefault="00387142" w:rsidP="00387142">
            <w:pPr>
              <w:jc w:val="center"/>
              <w:rPr>
                <w:bCs/>
                <w:sz w:val="20"/>
                <w:szCs w:val="20"/>
              </w:rPr>
            </w:pPr>
          </w:p>
        </w:tc>
      </w:tr>
      <w:tr w:rsidR="00387142" w:rsidRPr="008B6A75" w14:paraId="4A39437C" w14:textId="77777777" w:rsidTr="00387142">
        <w:trPr>
          <w:gridAfter w:val="1"/>
          <w:wAfter w:w="6" w:type="dxa"/>
          <w:trHeight w:val="315"/>
        </w:trPr>
        <w:tc>
          <w:tcPr>
            <w:tcW w:w="567" w:type="dxa"/>
            <w:tcBorders>
              <w:top w:val="nil"/>
              <w:left w:val="nil"/>
              <w:bottom w:val="nil"/>
              <w:right w:val="nil"/>
            </w:tcBorders>
            <w:shd w:val="clear" w:color="auto" w:fill="auto"/>
            <w:noWrap/>
            <w:vAlign w:val="bottom"/>
            <w:hideMark/>
          </w:tcPr>
          <w:p w14:paraId="471F126E" w14:textId="77777777" w:rsidR="00387142" w:rsidRPr="008B6A75" w:rsidRDefault="00387142" w:rsidP="00387142">
            <w:pPr>
              <w:rPr>
                <w:sz w:val="20"/>
                <w:szCs w:val="20"/>
              </w:rPr>
            </w:pPr>
          </w:p>
        </w:tc>
        <w:tc>
          <w:tcPr>
            <w:tcW w:w="4253" w:type="dxa"/>
            <w:tcBorders>
              <w:top w:val="nil"/>
              <w:left w:val="nil"/>
              <w:bottom w:val="nil"/>
              <w:right w:val="nil"/>
            </w:tcBorders>
            <w:shd w:val="clear" w:color="auto" w:fill="auto"/>
            <w:noWrap/>
            <w:vAlign w:val="bottom"/>
            <w:hideMark/>
          </w:tcPr>
          <w:p w14:paraId="0E12E6FF" w14:textId="77777777" w:rsidR="00387142" w:rsidRPr="008B6A75" w:rsidRDefault="00387142" w:rsidP="00387142">
            <w:pPr>
              <w:rPr>
                <w:sz w:val="20"/>
                <w:szCs w:val="20"/>
              </w:rPr>
            </w:pPr>
          </w:p>
        </w:tc>
        <w:tc>
          <w:tcPr>
            <w:tcW w:w="2020" w:type="dxa"/>
            <w:tcBorders>
              <w:top w:val="nil"/>
              <w:left w:val="nil"/>
              <w:bottom w:val="nil"/>
              <w:right w:val="nil"/>
            </w:tcBorders>
            <w:shd w:val="clear" w:color="auto" w:fill="auto"/>
            <w:noWrap/>
            <w:vAlign w:val="bottom"/>
            <w:hideMark/>
          </w:tcPr>
          <w:p w14:paraId="063480BC" w14:textId="77777777" w:rsidR="00387142" w:rsidRPr="008B6A75" w:rsidRDefault="00387142" w:rsidP="00387142">
            <w:pPr>
              <w:rPr>
                <w:sz w:val="20"/>
                <w:szCs w:val="20"/>
              </w:rPr>
            </w:pPr>
          </w:p>
        </w:tc>
        <w:tc>
          <w:tcPr>
            <w:tcW w:w="1960" w:type="dxa"/>
            <w:tcBorders>
              <w:top w:val="nil"/>
              <w:left w:val="nil"/>
              <w:bottom w:val="nil"/>
              <w:right w:val="nil"/>
            </w:tcBorders>
            <w:shd w:val="clear" w:color="auto" w:fill="auto"/>
            <w:noWrap/>
            <w:vAlign w:val="bottom"/>
            <w:hideMark/>
          </w:tcPr>
          <w:p w14:paraId="273B5356" w14:textId="77777777" w:rsidR="00387142" w:rsidRPr="008B6A75" w:rsidRDefault="00387142" w:rsidP="00387142">
            <w:pPr>
              <w:rPr>
                <w:sz w:val="20"/>
                <w:szCs w:val="20"/>
              </w:rPr>
            </w:pPr>
          </w:p>
        </w:tc>
        <w:tc>
          <w:tcPr>
            <w:tcW w:w="1900" w:type="dxa"/>
            <w:gridSpan w:val="2"/>
            <w:tcBorders>
              <w:top w:val="nil"/>
              <w:left w:val="nil"/>
              <w:bottom w:val="nil"/>
              <w:right w:val="nil"/>
            </w:tcBorders>
            <w:shd w:val="clear" w:color="auto" w:fill="auto"/>
            <w:noWrap/>
            <w:vAlign w:val="bottom"/>
            <w:hideMark/>
          </w:tcPr>
          <w:p w14:paraId="29F8D612" w14:textId="77777777" w:rsidR="00387142" w:rsidRPr="008B6A75" w:rsidRDefault="00387142" w:rsidP="00387142">
            <w:pPr>
              <w:jc w:val="right"/>
              <w:rPr>
                <w:color w:val="000000"/>
                <w:sz w:val="20"/>
                <w:szCs w:val="20"/>
              </w:rPr>
            </w:pPr>
            <w:r w:rsidRPr="008B6A75">
              <w:rPr>
                <w:color w:val="000000"/>
                <w:sz w:val="20"/>
                <w:szCs w:val="20"/>
              </w:rPr>
              <w:t>в рублях</w:t>
            </w:r>
          </w:p>
        </w:tc>
      </w:tr>
      <w:tr w:rsidR="00387142" w:rsidRPr="008B6A75" w14:paraId="2CCA0DA9" w14:textId="77777777" w:rsidTr="00387142">
        <w:trPr>
          <w:gridAfter w:val="1"/>
          <w:wAfter w:w="6" w:type="dxa"/>
          <w:trHeight w:val="630"/>
        </w:trPr>
        <w:tc>
          <w:tcPr>
            <w:tcW w:w="567" w:type="dxa"/>
            <w:tcBorders>
              <w:top w:val="single" w:sz="4" w:space="0" w:color="auto"/>
              <w:left w:val="single" w:sz="4" w:space="0" w:color="auto"/>
              <w:bottom w:val="nil"/>
              <w:right w:val="single" w:sz="4" w:space="0" w:color="auto"/>
            </w:tcBorders>
            <w:shd w:val="clear" w:color="auto" w:fill="auto"/>
            <w:noWrap/>
            <w:vAlign w:val="bottom"/>
            <w:hideMark/>
          </w:tcPr>
          <w:p w14:paraId="11DEC8D0" w14:textId="77777777" w:rsidR="00387142" w:rsidRPr="008B6A75" w:rsidRDefault="00387142" w:rsidP="00387142">
            <w:pPr>
              <w:jc w:val="center"/>
              <w:rPr>
                <w:sz w:val="20"/>
                <w:szCs w:val="20"/>
              </w:rPr>
            </w:pPr>
            <w:r w:rsidRPr="008B6A75">
              <w:rPr>
                <w:sz w:val="20"/>
                <w:szCs w:val="20"/>
              </w:rPr>
              <w:t>№ п/п</w:t>
            </w:r>
          </w:p>
        </w:tc>
        <w:tc>
          <w:tcPr>
            <w:tcW w:w="4253" w:type="dxa"/>
            <w:tcBorders>
              <w:top w:val="single" w:sz="4" w:space="0" w:color="auto"/>
              <w:left w:val="nil"/>
              <w:bottom w:val="nil"/>
              <w:right w:val="single" w:sz="4" w:space="0" w:color="auto"/>
            </w:tcBorders>
            <w:shd w:val="clear" w:color="auto" w:fill="auto"/>
            <w:vAlign w:val="bottom"/>
            <w:hideMark/>
          </w:tcPr>
          <w:p w14:paraId="2ACA8218" w14:textId="77777777" w:rsidR="00387142" w:rsidRPr="008B6A75" w:rsidRDefault="00387142" w:rsidP="00387142">
            <w:pPr>
              <w:jc w:val="center"/>
              <w:rPr>
                <w:sz w:val="20"/>
                <w:szCs w:val="20"/>
              </w:rPr>
            </w:pPr>
            <w:r w:rsidRPr="008B6A75">
              <w:rPr>
                <w:sz w:val="20"/>
                <w:szCs w:val="20"/>
              </w:rPr>
              <w:t xml:space="preserve">Наименование </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14:paraId="35EDA4D7" w14:textId="77777777" w:rsidR="00387142" w:rsidRPr="008B6A75" w:rsidRDefault="00387142" w:rsidP="00387142">
            <w:pPr>
              <w:jc w:val="center"/>
              <w:rPr>
                <w:sz w:val="20"/>
                <w:szCs w:val="20"/>
              </w:rPr>
            </w:pPr>
            <w:r w:rsidRPr="008B6A75">
              <w:rPr>
                <w:sz w:val="20"/>
                <w:szCs w:val="20"/>
              </w:rPr>
              <w:t>2022 год</w:t>
            </w:r>
          </w:p>
        </w:tc>
        <w:tc>
          <w:tcPr>
            <w:tcW w:w="1960" w:type="dxa"/>
            <w:tcBorders>
              <w:top w:val="single" w:sz="4" w:space="0" w:color="auto"/>
              <w:left w:val="nil"/>
              <w:bottom w:val="single" w:sz="4" w:space="0" w:color="auto"/>
              <w:right w:val="nil"/>
            </w:tcBorders>
            <w:shd w:val="clear" w:color="auto" w:fill="auto"/>
            <w:vAlign w:val="center"/>
            <w:hideMark/>
          </w:tcPr>
          <w:p w14:paraId="78D9A8F0" w14:textId="77777777" w:rsidR="00387142" w:rsidRPr="008B6A75" w:rsidRDefault="00387142" w:rsidP="00387142">
            <w:pPr>
              <w:jc w:val="center"/>
              <w:rPr>
                <w:sz w:val="20"/>
                <w:szCs w:val="20"/>
              </w:rPr>
            </w:pPr>
            <w:r w:rsidRPr="008B6A75">
              <w:rPr>
                <w:sz w:val="20"/>
                <w:szCs w:val="20"/>
              </w:rPr>
              <w:t>2023 год</w:t>
            </w:r>
          </w:p>
        </w:tc>
        <w:tc>
          <w:tcPr>
            <w:tcW w:w="19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133016A" w14:textId="77777777" w:rsidR="00387142" w:rsidRPr="008B6A75" w:rsidRDefault="00387142" w:rsidP="00387142">
            <w:pPr>
              <w:jc w:val="center"/>
              <w:rPr>
                <w:sz w:val="20"/>
                <w:szCs w:val="20"/>
              </w:rPr>
            </w:pPr>
            <w:r w:rsidRPr="008B6A75">
              <w:rPr>
                <w:sz w:val="20"/>
                <w:szCs w:val="20"/>
              </w:rPr>
              <w:t>2024 год</w:t>
            </w:r>
          </w:p>
        </w:tc>
      </w:tr>
      <w:tr w:rsidR="00387142" w:rsidRPr="008B6A75" w14:paraId="56BFB9D7" w14:textId="77777777" w:rsidTr="00387142">
        <w:trPr>
          <w:gridAfter w:val="1"/>
          <w:wAfter w:w="6" w:type="dxa"/>
          <w:trHeight w:val="94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7AD12D" w14:textId="77777777" w:rsidR="00387142" w:rsidRPr="008B6A75" w:rsidRDefault="00387142" w:rsidP="00387142">
            <w:pPr>
              <w:jc w:val="center"/>
              <w:rPr>
                <w:color w:val="000000"/>
                <w:sz w:val="20"/>
                <w:szCs w:val="20"/>
              </w:rPr>
            </w:pPr>
            <w:r w:rsidRPr="008B6A75">
              <w:rPr>
                <w:color w:val="000000"/>
                <w:sz w:val="20"/>
                <w:szCs w:val="20"/>
              </w:rPr>
              <w:t>1</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14:paraId="28B7A1D0" w14:textId="77777777" w:rsidR="00387142" w:rsidRPr="008B6A75" w:rsidRDefault="00387142" w:rsidP="00387142">
            <w:pPr>
              <w:rPr>
                <w:sz w:val="20"/>
                <w:szCs w:val="20"/>
              </w:rPr>
            </w:pPr>
            <w:r w:rsidRPr="008B6A75">
              <w:rPr>
                <w:sz w:val="20"/>
                <w:szCs w:val="20"/>
              </w:rPr>
              <w:t xml:space="preserve">Субвенции на осуществление отдельных государственных полномочий Новосибирской области по расчету и предоставлению дотаций бюджетам поселений </w:t>
            </w:r>
          </w:p>
        </w:tc>
        <w:tc>
          <w:tcPr>
            <w:tcW w:w="2020" w:type="dxa"/>
            <w:tcBorders>
              <w:top w:val="nil"/>
              <w:left w:val="nil"/>
              <w:bottom w:val="single" w:sz="4" w:space="0" w:color="auto"/>
              <w:right w:val="single" w:sz="4" w:space="0" w:color="auto"/>
            </w:tcBorders>
            <w:shd w:val="clear" w:color="auto" w:fill="auto"/>
            <w:vAlign w:val="center"/>
            <w:hideMark/>
          </w:tcPr>
          <w:p w14:paraId="27C762B5" w14:textId="77777777" w:rsidR="00387142" w:rsidRPr="008B6A75" w:rsidRDefault="00387142" w:rsidP="00387142">
            <w:pPr>
              <w:jc w:val="center"/>
              <w:rPr>
                <w:color w:val="000000"/>
                <w:sz w:val="20"/>
                <w:szCs w:val="20"/>
              </w:rPr>
            </w:pPr>
            <w:r w:rsidRPr="008B6A75">
              <w:rPr>
                <w:color w:val="000000"/>
                <w:sz w:val="20"/>
                <w:szCs w:val="20"/>
              </w:rPr>
              <w:t>111 026 800,00</w:t>
            </w:r>
          </w:p>
        </w:tc>
        <w:tc>
          <w:tcPr>
            <w:tcW w:w="1960" w:type="dxa"/>
            <w:tcBorders>
              <w:top w:val="nil"/>
              <w:left w:val="nil"/>
              <w:bottom w:val="single" w:sz="4" w:space="0" w:color="auto"/>
              <w:right w:val="single" w:sz="4" w:space="0" w:color="auto"/>
            </w:tcBorders>
            <w:shd w:val="clear" w:color="auto" w:fill="auto"/>
            <w:vAlign w:val="center"/>
            <w:hideMark/>
          </w:tcPr>
          <w:p w14:paraId="272291CC" w14:textId="77777777" w:rsidR="00387142" w:rsidRPr="008B6A75" w:rsidRDefault="00387142" w:rsidP="00387142">
            <w:pPr>
              <w:jc w:val="center"/>
              <w:rPr>
                <w:color w:val="000000"/>
                <w:sz w:val="20"/>
                <w:szCs w:val="20"/>
              </w:rPr>
            </w:pPr>
            <w:r w:rsidRPr="008B6A75">
              <w:rPr>
                <w:color w:val="000000"/>
                <w:sz w:val="20"/>
                <w:szCs w:val="20"/>
              </w:rPr>
              <w:t>106 304 800,00</w:t>
            </w:r>
          </w:p>
        </w:tc>
        <w:tc>
          <w:tcPr>
            <w:tcW w:w="1900" w:type="dxa"/>
            <w:gridSpan w:val="2"/>
            <w:tcBorders>
              <w:top w:val="nil"/>
              <w:left w:val="nil"/>
              <w:bottom w:val="single" w:sz="4" w:space="0" w:color="auto"/>
              <w:right w:val="single" w:sz="4" w:space="0" w:color="auto"/>
            </w:tcBorders>
            <w:shd w:val="clear" w:color="auto" w:fill="auto"/>
            <w:vAlign w:val="center"/>
            <w:hideMark/>
          </w:tcPr>
          <w:p w14:paraId="744002FE" w14:textId="77777777" w:rsidR="00387142" w:rsidRPr="008B6A75" w:rsidRDefault="00387142" w:rsidP="00387142">
            <w:pPr>
              <w:jc w:val="center"/>
              <w:rPr>
                <w:color w:val="000000"/>
                <w:sz w:val="20"/>
                <w:szCs w:val="20"/>
              </w:rPr>
            </w:pPr>
            <w:r w:rsidRPr="008B6A75">
              <w:rPr>
                <w:color w:val="000000"/>
                <w:sz w:val="20"/>
                <w:szCs w:val="20"/>
              </w:rPr>
              <w:t>76 356 000,00</w:t>
            </w:r>
          </w:p>
        </w:tc>
      </w:tr>
      <w:tr w:rsidR="00387142" w:rsidRPr="008B6A75" w14:paraId="6EDA8EC6" w14:textId="77777777" w:rsidTr="00387142">
        <w:trPr>
          <w:gridAfter w:val="1"/>
          <w:wAfter w:w="6" w:type="dxa"/>
          <w:trHeight w:val="94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44958C8" w14:textId="77777777" w:rsidR="00387142" w:rsidRPr="008B6A75" w:rsidRDefault="00387142" w:rsidP="00387142">
            <w:pPr>
              <w:jc w:val="center"/>
              <w:rPr>
                <w:color w:val="000000"/>
                <w:sz w:val="20"/>
                <w:szCs w:val="20"/>
              </w:rPr>
            </w:pPr>
            <w:r w:rsidRPr="008B6A75">
              <w:rPr>
                <w:color w:val="000000"/>
                <w:sz w:val="20"/>
                <w:szCs w:val="20"/>
              </w:rPr>
              <w:t>2</w:t>
            </w:r>
          </w:p>
        </w:tc>
        <w:tc>
          <w:tcPr>
            <w:tcW w:w="4253" w:type="dxa"/>
            <w:tcBorders>
              <w:top w:val="nil"/>
              <w:left w:val="nil"/>
              <w:bottom w:val="single" w:sz="4" w:space="0" w:color="auto"/>
              <w:right w:val="single" w:sz="4" w:space="0" w:color="auto"/>
            </w:tcBorders>
            <w:shd w:val="clear" w:color="auto" w:fill="auto"/>
            <w:vAlign w:val="bottom"/>
            <w:hideMark/>
          </w:tcPr>
          <w:p w14:paraId="5CDFA4CE" w14:textId="77777777" w:rsidR="00387142" w:rsidRPr="008B6A75" w:rsidRDefault="00387142" w:rsidP="00387142">
            <w:pPr>
              <w:rPr>
                <w:color w:val="000000"/>
                <w:sz w:val="20"/>
                <w:szCs w:val="20"/>
              </w:rPr>
            </w:pPr>
            <w:r w:rsidRPr="008B6A75">
              <w:rPr>
                <w:color w:val="000000"/>
                <w:sz w:val="20"/>
                <w:szCs w:val="20"/>
              </w:rPr>
              <w:t xml:space="preserve">Субвенции на осуществление отдельных государственных полномочий Новосибирской области по решению вопросов в сфере административных правонарушений </w:t>
            </w:r>
          </w:p>
        </w:tc>
        <w:tc>
          <w:tcPr>
            <w:tcW w:w="2020" w:type="dxa"/>
            <w:tcBorders>
              <w:top w:val="nil"/>
              <w:left w:val="nil"/>
              <w:bottom w:val="single" w:sz="4" w:space="0" w:color="auto"/>
              <w:right w:val="single" w:sz="4" w:space="0" w:color="auto"/>
            </w:tcBorders>
            <w:shd w:val="clear" w:color="auto" w:fill="auto"/>
            <w:vAlign w:val="center"/>
            <w:hideMark/>
          </w:tcPr>
          <w:p w14:paraId="0AC25CDD" w14:textId="77777777" w:rsidR="00387142" w:rsidRPr="008B6A75" w:rsidRDefault="00387142" w:rsidP="00387142">
            <w:pPr>
              <w:jc w:val="center"/>
              <w:rPr>
                <w:color w:val="000000"/>
                <w:sz w:val="20"/>
                <w:szCs w:val="20"/>
              </w:rPr>
            </w:pPr>
            <w:r w:rsidRPr="008B6A75">
              <w:rPr>
                <w:color w:val="000000"/>
                <w:sz w:val="20"/>
                <w:szCs w:val="20"/>
              </w:rPr>
              <w:t>6 780,00</w:t>
            </w:r>
          </w:p>
        </w:tc>
        <w:tc>
          <w:tcPr>
            <w:tcW w:w="1960" w:type="dxa"/>
            <w:tcBorders>
              <w:top w:val="nil"/>
              <w:left w:val="nil"/>
              <w:bottom w:val="single" w:sz="4" w:space="0" w:color="auto"/>
              <w:right w:val="single" w:sz="4" w:space="0" w:color="auto"/>
            </w:tcBorders>
            <w:shd w:val="clear" w:color="auto" w:fill="auto"/>
            <w:vAlign w:val="center"/>
            <w:hideMark/>
          </w:tcPr>
          <w:p w14:paraId="5D713E95" w14:textId="77777777" w:rsidR="00387142" w:rsidRPr="008B6A75" w:rsidRDefault="00387142" w:rsidP="00387142">
            <w:pPr>
              <w:jc w:val="center"/>
              <w:rPr>
                <w:color w:val="000000"/>
                <w:sz w:val="20"/>
                <w:szCs w:val="20"/>
              </w:rPr>
            </w:pPr>
            <w:r w:rsidRPr="008B6A75">
              <w:rPr>
                <w:color w:val="000000"/>
                <w:sz w:val="20"/>
                <w:szCs w:val="20"/>
              </w:rPr>
              <w:t>6 580,00</w:t>
            </w:r>
          </w:p>
        </w:tc>
        <w:tc>
          <w:tcPr>
            <w:tcW w:w="1900" w:type="dxa"/>
            <w:gridSpan w:val="2"/>
            <w:tcBorders>
              <w:top w:val="nil"/>
              <w:left w:val="nil"/>
              <w:bottom w:val="single" w:sz="4" w:space="0" w:color="auto"/>
              <w:right w:val="single" w:sz="4" w:space="0" w:color="auto"/>
            </w:tcBorders>
            <w:shd w:val="clear" w:color="auto" w:fill="auto"/>
            <w:vAlign w:val="center"/>
            <w:hideMark/>
          </w:tcPr>
          <w:p w14:paraId="5C7AD216" w14:textId="77777777" w:rsidR="00387142" w:rsidRPr="008B6A75" w:rsidRDefault="00387142" w:rsidP="00387142">
            <w:pPr>
              <w:jc w:val="center"/>
              <w:rPr>
                <w:color w:val="000000"/>
                <w:sz w:val="20"/>
                <w:szCs w:val="20"/>
              </w:rPr>
            </w:pPr>
            <w:r w:rsidRPr="008B6A75">
              <w:rPr>
                <w:color w:val="000000"/>
                <w:sz w:val="20"/>
                <w:szCs w:val="20"/>
              </w:rPr>
              <w:t>6 850,00</w:t>
            </w:r>
          </w:p>
        </w:tc>
      </w:tr>
      <w:tr w:rsidR="00387142" w:rsidRPr="008B6A75" w14:paraId="66C8DB35" w14:textId="77777777" w:rsidTr="00387142">
        <w:trPr>
          <w:gridAfter w:val="1"/>
          <w:wAfter w:w="6" w:type="dxa"/>
          <w:trHeight w:val="157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1A43AA3" w14:textId="77777777" w:rsidR="00387142" w:rsidRPr="008B6A75" w:rsidRDefault="00387142" w:rsidP="00387142">
            <w:pPr>
              <w:jc w:val="center"/>
              <w:rPr>
                <w:color w:val="000000"/>
                <w:sz w:val="20"/>
                <w:szCs w:val="20"/>
              </w:rPr>
            </w:pPr>
            <w:r w:rsidRPr="008B6A75">
              <w:rPr>
                <w:color w:val="000000"/>
                <w:sz w:val="20"/>
                <w:szCs w:val="20"/>
              </w:rPr>
              <w:lastRenderedPageBreak/>
              <w:t>3</w:t>
            </w:r>
          </w:p>
        </w:tc>
        <w:tc>
          <w:tcPr>
            <w:tcW w:w="4253" w:type="dxa"/>
            <w:tcBorders>
              <w:top w:val="nil"/>
              <w:left w:val="nil"/>
              <w:bottom w:val="single" w:sz="4" w:space="0" w:color="auto"/>
              <w:right w:val="single" w:sz="4" w:space="0" w:color="auto"/>
            </w:tcBorders>
            <w:shd w:val="clear" w:color="auto" w:fill="auto"/>
            <w:vAlign w:val="bottom"/>
            <w:hideMark/>
          </w:tcPr>
          <w:p w14:paraId="246A7108" w14:textId="77777777" w:rsidR="00387142" w:rsidRPr="008B6A75" w:rsidRDefault="00387142" w:rsidP="00387142">
            <w:pPr>
              <w:rPr>
                <w:color w:val="000000"/>
                <w:sz w:val="20"/>
                <w:szCs w:val="20"/>
              </w:rPr>
            </w:pPr>
            <w:r w:rsidRPr="008B6A75">
              <w:rPr>
                <w:color w:val="000000"/>
                <w:sz w:val="20"/>
                <w:szCs w:val="20"/>
              </w:rPr>
              <w:t>Субвенции на осуществление отдельных государственных полномочий Новосибирской области по сбору информации от поселений, входящих в муниципальный район, необходимой для ведения регистра муниципальных нормативных правовых актов Новосибирской области</w:t>
            </w:r>
          </w:p>
        </w:tc>
        <w:tc>
          <w:tcPr>
            <w:tcW w:w="2020" w:type="dxa"/>
            <w:tcBorders>
              <w:top w:val="nil"/>
              <w:left w:val="nil"/>
              <w:bottom w:val="single" w:sz="4" w:space="0" w:color="auto"/>
              <w:right w:val="single" w:sz="4" w:space="0" w:color="auto"/>
            </w:tcBorders>
            <w:shd w:val="clear" w:color="auto" w:fill="auto"/>
            <w:vAlign w:val="center"/>
            <w:hideMark/>
          </w:tcPr>
          <w:p w14:paraId="227F1660" w14:textId="77777777" w:rsidR="00387142" w:rsidRPr="008B6A75" w:rsidRDefault="00387142" w:rsidP="00387142">
            <w:pPr>
              <w:jc w:val="center"/>
              <w:rPr>
                <w:color w:val="000000"/>
                <w:sz w:val="20"/>
                <w:szCs w:val="20"/>
              </w:rPr>
            </w:pPr>
            <w:r w:rsidRPr="008B6A75">
              <w:rPr>
                <w:color w:val="000000"/>
                <w:sz w:val="20"/>
                <w:szCs w:val="20"/>
              </w:rPr>
              <w:t>123 620,00</w:t>
            </w:r>
          </w:p>
        </w:tc>
        <w:tc>
          <w:tcPr>
            <w:tcW w:w="1960" w:type="dxa"/>
            <w:tcBorders>
              <w:top w:val="nil"/>
              <w:left w:val="nil"/>
              <w:bottom w:val="single" w:sz="4" w:space="0" w:color="auto"/>
              <w:right w:val="single" w:sz="4" w:space="0" w:color="auto"/>
            </w:tcBorders>
            <w:shd w:val="clear" w:color="auto" w:fill="auto"/>
            <w:vAlign w:val="center"/>
            <w:hideMark/>
          </w:tcPr>
          <w:p w14:paraId="008A2BE2" w14:textId="77777777" w:rsidR="00387142" w:rsidRPr="008B6A75" w:rsidRDefault="00387142" w:rsidP="00387142">
            <w:pPr>
              <w:jc w:val="center"/>
              <w:rPr>
                <w:color w:val="000000"/>
                <w:sz w:val="20"/>
                <w:szCs w:val="20"/>
              </w:rPr>
            </w:pPr>
            <w:r w:rsidRPr="008B6A75">
              <w:rPr>
                <w:color w:val="000000"/>
                <w:sz w:val="20"/>
                <w:szCs w:val="20"/>
              </w:rPr>
              <w:t>122 500,00</w:t>
            </w:r>
          </w:p>
        </w:tc>
        <w:tc>
          <w:tcPr>
            <w:tcW w:w="1900" w:type="dxa"/>
            <w:gridSpan w:val="2"/>
            <w:tcBorders>
              <w:top w:val="nil"/>
              <w:left w:val="nil"/>
              <w:bottom w:val="single" w:sz="4" w:space="0" w:color="auto"/>
              <w:right w:val="single" w:sz="4" w:space="0" w:color="auto"/>
            </w:tcBorders>
            <w:shd w:val="clear" w:color="auto" w:fill="auto"/>
            <w:vAlign w:val="center"/>
            <w:hideMark/>
          </w:tcPr>
          <w:p w14:paraId="4FC229C2" w14:textId="77777777" w:rsidR="00387142" w:rsidRPr="008B6A75" w:rsidRDefault="00387142" w:rsidP="00387142">
            <w:pPr>
              <w:jc w:val="center"/>
              <w:rPr>
                <w:color w:val="000000"/>
                <w:sz w:val="20"/>
                <w:szCs w:val="20"/>
              </w:rPr>
            </w:pPr>
            <w:r w:rsidRPr="008B6A75">
              <w:rPr>
                <w:color w:val="000000"/>
                <w:sz w:val="20"/>
                <w:szCs w:val="20"/>
              </w:rPr>
              <w:t>127 600,00</w:t>
            </w:r>
          </w:p>
        </w:tc>
      </w:tr>
      <w:tr w:rsidR="00387142" w:rsidRPr="008B6A75" w14:paraId="66675A3A" w14:textId="77777777" w:rsidTr="00387142">
        <w:trPr>
          <w:gridAfter w:val="1"/>
          <w:wAfter w:w="6" w:type="dxa"/>
          <w:trHeight w:val="63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28E5C7E" w14:textId="77777777" w:rsidR="00387142" w:rsidRPr="008B6A75" w:rsidRDefault="00387142" w:rsidP="00387142">
            <w:pPr>
              <w:jc w:val="center"/>
              <w:rPr>
                <w:color w:val="000000"/>
                <w:sz w:val="20"/>
                <w:szCs w:val="20"/>
              </w:rPr>
            </w:pPr>
            <w:r w:rsidRPr="008B6A75">
              <w:rPr>
                <w:color w:val="000000"/>
                <w:sz w:val="20"/>
                <w:szCs w:val="20"/>
              </w:rPr>
              <w:t>4</w:t>
            </w:r>
          </w:p>
        </w:tc>
        <w:tc>
          <w:tcPr>
            <w:tcW w:w="4253" w:type="dxa"/>
            <w:tcBorders>
              <w:top w:val="nil"/>
              <w:left w:val="nil"/>
              <w:bottom w:val="single" w:sz="4" w:space="0" w:color="auto"/>
              <w:right w:val="single" w:sz="4" w:space="0" w:color="auto"/>
            </w:tcBorders>
            <w:shd w:val="clear" w:color="auto" w:fill="auto"/>
            <w:vAlign w:val="bottom"/>
            <w:hideMark/>
          </w:tcPr>
          <w:p w14:paraId="6A7F1840" w14:textId="77777777" w:rsidR="00387142" w:rsidRPr="008B6A75" w:rsidRDefault="00387142" w:rsidP="00387142">
            <w:pPr>
              <w:rPr>
                <w:color w:val="000000"/>
                <w:sz w:val="20"/>
                <w:szCs w:val="20"/>
              </w:rPr>
            </w:pPr>
            <w:r w:rsidRPr="008B6A75">
              <w:rPr>
                <w:color w:val="000000"/>
                <w:sz w:val="20"/>
                <w:szCs w:val="20"/>
              </w:rPr>
              <w:t xml:space="preserve">Субвенции на образование и организацию деятельности комиссий по делам несовершеннолетних и защите их прав </w:t>
            </w:r>
          </w:p>
        </w:tc>
        <w:tc>
          <w:tcPr>
            <w:tcW w:w="2020" w:type="dxa"/>
            <w:tcBorders>
              <w:top w:val="nil"/>
              <w:left w:val="nil"/>
              <w:bottom w:val="single" w:sz="4" w:space="0" w:color="auto"/>
              <w:right w:val="single" w:sz="4" w:space="0" w:color="auto"/>
            </w:tcBorders>
            <w:shd w:val="clear" w:color="auto" w:fill="auto"/>
            <w:vAlign w:val="center"/>
            <w:hideMark/>
          </w:tcPr>
          <w:p w14:paraId="28D23E38" w14:textId="77777777" w:rsidR="00387142" w:rsidRPr="008B6A75" w:rsidRDefault="00387142" w:rsidP="00387142">
            <w:pPr>
              <w:jc w:val="center"/>
              <w:rPr>
                <w:color w:val="000000"/>
                <w:sz w:val="20"/>
                <w:szCs w:val="20"/>
              </w:rPr>
            </w:pPr>
            <w:r w:rsidRPr="008B6A75">
              <w:rPr>
                <w:color w:val="000000"/>
                <w:sz w:val="20"/>
                <w:szCs w:val="20"/>
              </w:rPr>
              <w:t>2 202 325,00</w:t>
            </w:r>
          </w:p>
        </w:tc>
        <w:tc>
          <w:tcPr>
            <w:tcW w:w="1960" w:type="dxa"/>
            <w:tcBorders>
              <w:top w:val="nil"/>
              <w:left w:val="nil"/>
              <w:bottom w:val="single" w:sz="4" w:space="0" w:color="auto"/>
              <w:right w:val="single" w:sz="4" w:space="0" w:color="auto"/>
            </w:tcBorders>
            <w:shd w:val="clear" w:color="auto" w:fill="auto"/>
            <w:vAlign w:val="center"/>
            <w:hideMark/>
          </w:tcPr>
          <w:p w14:paraId="24A9C48F" w14:textId="77777777" w:rsidR="00387142" w:rsidRPr="008B6A75" w:rsidRDefault="00387142" w:rsidP="00387142">
            <w:pPr>
              <w:jc w:val="center"/>
              <w:rPr>
                <w:color w:val="000000"/>
                <w:sz w:val="20"/>
                <w:szCs w:val="20"/>
              </w:rPr>
            </w:pPr>
            <w:r w:rsidRPr="008B6A75">
              <w:rPr>
                <w:color w:val="000000"/>
                <w:sz w:val="20"/>
                <w:szCs w:val="20"/>
              </w:rPr>
              <w:t>2 140 025,00</w:t>
            </w:r>
          </w:p>
        </w:tc>
        <w:tc>
          <w:tcPr>
            <w:tcW w:w="1900" w:type="dxa"/>
            <w:gridSpan w:val="2"/>
            <w:tcBorders>
              <w:top w:val="nil"/>
              <w:left w:val="nil"/>
              <w:bottom w:val="single" w:sz="4" w:space="0" w:color="auto"/>
              <w:right w:val="single" w:sz="4" w:space="0" w:color="auto"/>
            </w:tcBorders>
            <w:shd w:val="clear" w:color="auto" w:fill="auto"/>
            <w:vAlign w:val="center"/>
            <w:hideMark/>
          </w:tcPr>
          <w:p w14:paraId="1FE6701A" w14:textId="77777777" w:rsidR="00387142" w:rsidRPr="008B6A75" w:rsidRDefault="00387142" w:rsidP="00387142">
            <w:pPr>
              <w:jc w:val="center"/>
              <w:rPr>
                <w:color w:val="000000"/>
                <w:sz w:val="20"/>
                <w:szCs w:val="20"/>
              </w:rPr>
            </w:pPr>
            <w:r w:rsidRPr="008B6A75">
              <w:rPr>
                <w:color w:val="000000"/>
                <w:sz w:val="20"/>
                <w:szCs w:val="20"/>
              </w:rPr>
              <w:t>2 220 775,00</w:t>
            </w:r>
          </w:p>
        </w:tc>
      </w:tr>
      <w:tr w:rsidR="00387142" w:rsidRPr="008B6A75" w14:paraId="197E4B0D" w14:textId="77777777" w:rsidTr="00387142">
        <w:trPr>
          <w:gridAfter w:val="1"/>
          <w:wAfter w:w="6" w:type="dxa"/>
          <w:trHeight w:val="94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5FD5989" w14:textId="77777777" w:rsidR="00387142" w:rsidRPr="008B6A75" w:rsidRDefault="00387142" w:rsidP="00387142">
            <w:pPr>
              <w:jc w:val="center"/>
              <w:rPr>
                <w:color w:val="000000"/>
                <w:sz w:val="20"/>
                <w:szCs w:val="20"/>
              </w:rPr>
            </w:pPr>
            <w:r w:rsidRPr="008B6A75">
              <w:rPr>
                <w:color w:val="000000"/>
                <w:sz w:val="20"/>
                <w:szCs w:val="20"/>
              </w:rPr>
              <w:t>5</w:t>
            </w:r>
          </w:p>
        </w:tc>
        <w:tc>
          <w:tcPr>
            <w:tcW w:w="4253" w:type="dxa"/>
            <w:tcBorders>
              <w:top w:val="nil"/>
              <w:left w:val="nil"/>
              <w:bottom w:val="single" w:sz="4" w:space="0" w:color="auto"/>
              <w:right w:val="single" w:sz="4" w:space="0" w:color="auto"/>
            </w:tcBorders>
            <w:shd w:val="clear" w:color="auto" w:fill="auto"/>
            <w:vAlign w:val="bottom"/>
            <w:hideMark/>
          </w:tcPr>
          <w:p w14:paraId="036096EB" w14:textId="77777777" w:rsidR="00387142" w:rsidRPr="008B6A75" w:rsidRDefault="00387142" w:rsidP="00387142">
            <w:pPr>
              <w:rPr>
                <w:color w:val="000000"/>
                <w:sz w:val="20"/>
                <w:szCs w:val="20"/>
              </w:rPr>
            </w:pPr>
            <w:r w:rsidRPr="008B6A75">
              <w:rPr>
                <w:color w:val="000000"/>
                <w:sz w:val="20"/>
                <w:szCs w:val="20"/>
              </w:rPr>
              <w:t xml:space="preserve">Субвенции на осуществление уведомительной регистрации коллективных договоров, территориальных соглашений и территориальных отраслевых (межотраслевых) соглашений </w:t>
            </w:r>
          </w:p>
        </w:tc>
        <w:tc>
          <w:tcPr>
            <w:tcW w:w="2020" w:type="dxa"/>
            <w:tcBorders>
              <w:top w:val="nil"/>
              <w:left w:val="nil"/>
              <w:bottom w:val="single" w:sz="4" w:space="0" w:color="auto"/>
              <w:right w:val="single" w:sz="4" w:space="0" w:color="auto"/>
            </w:tcBorders>
            <w:shd w:val="clear" w:color="auto" w:fill="auto"/>
            <w:vAlign w:val="center"/>
            <w:hideMark/>
          </w:tcPr>
          <w:p w14:paraId="2B8A670D" w14:textId="77777777" w:rsidR="00387142" w:rsidRPr="008B6A75" w:rsidRDefault="00387142" w:rsidP="00387142">
            <w:pPr>
              <w:jc w:val="center"/>
              <w:rPr>
                <w:color w:val="000000"/>
                <w:sz w:val="20"/>
                <w:szCs w:val="20"/>
              </w:rPr>
            </w:pPr>
            <w:r w:rsidRPr="008B6A75">
              <w:rPr>
                <w:color w:val="000000"/>
                <w:sz w:val="20"/>
                <w:szCs w:val="20"/>
              </w:rPr>
              <w:t>1 059 320,00</w:t>
            </w:r>
          </w:p>
        </w:tc>
        <w:tc>
          <w:tcPr>
            <w:tcW w:w="1960" w:type="dxa"/>
            <w:tcBorders>
              <w:top w:val="nil"/>
              <w:left w:val="nil"/>
              <w:bottom w:val="single" w:sz="4" w:space="0" w:color="auto"/>
              <w:right w:val="single" w:sz="4" w:space="0" w:color="auto"/>
            </w:tcBorders>
            <w:shd w:val="clear" w:color="auto" w:fill="auto"/>
            <w:vAlign w:val="center"/>
            <w:hideMark/>
          </w:tcPr>
          <w:p w14:paraId="77A0219B" w14:textId="77777777" w:rsidR="00387142" w:rsidRPr="008B6A75" w:rsidRDefault="00387142" w:rsidP="00387142">
            <w:pPr>
              <w:jc w:val="center"/>
              <w:rPr>
                <w:color w:val="000000"/>
                <w:sz w:val="20"/>
                <w:szCs w:val="20"/>
              </w:rPr>
            </w:pPr>
            <w:r w:rsidRPr="008B6A75">
              <w:rPr>
                <w:color w:val="000000"/>
                <w:sz w:val="20"/>
                <w:szCs w:val="20"/>
              </w:rPr>
              <w:t>1 041 760,00</w:t>
            </w:r>
          </w:p>
        </w:tc>
        <w:tc>
          <w:tcPr>
            <w:tcW w:w="1900" w:type="dxa"/>
            <w:gridSpan w:val="2"/>
            <w:tcBorders>
              <w:top w:val="nil"/>
              <w:left w:val="nil"/>
              <w:bottom w:val="single" w:sz="4" w:space="0" w:color="auto"/>
              <w:right w:val="single" w:sz="4" w:space="0" w:color="auto"/>
            </w:tcBorders>
            <w:shd w:val="clear" w:color="auto" w:fill="auto"/>
            <w:vAlign w:val="center"/>
            <w:hideMark/>
          </w:tcPr>
          <w:p w14:paraId="553626E0" w14:textId="77777777" w:rsidR="00387142" w:rsidRPr="008B6A75" w:rsidRDefault="00387142" w:rsidP="00387142">
            <w:pPr>
              <w:jc w:val="center"/>
              <w:rPr>
                <w:color w:val="000000"/>
                <w:sz w:val="20"/>
                <w:szCs w:val="20"/>
              </w:rPr>
            </w:pPr>
            <w:r w:rsidRPr="008B6A75">
              <w:rPr>
                <w:color w:val="000000"/>
                <w:sz w:val="20"/>
                <w:szCs w:val="20"/>
              </w:rPr>
              <w:t>1 082 460,00</w:t>
            </w:r>
          </w:p>
        </w:tc>
      </w:tr>
      <w:tr w:rsidR="00387142" w:rsidRPr="008B6A75" w14:paraId="3280F361" w14:textId="77777777" w:rsidTr="00387142">
        <w:trPr>
          <w:gridAfter w:val="1"/>
          <w:wAfter w:w="6" w:type="dxa"/>
          <w:trHeight w:val="94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D11E5E0" w14:textId="77777777" w:rsidR="00387142" w:rsidRPr="008B6A75" w:rsidRDefault="00387142" w:rsidP="00387142">
            <w:pPr>
              <w:jc w:val="center"/>
              <w:rPr>
                <w:color w:val="000000"/>
                <w:sz w:val="20"/>
                <w:szCs w:val="20"/>
              </w:rPr>
            </w:pPr>
            <w:r w:rsidRPr="008B6A75">
              <w:rPr>
                <w:color w:val="000000"/>
                <w:sz w:val="20"/>
                <w:szCs w:val="20"/>
              </w:rPr>
              <w:t>6</w:t>
            </w:r>
          </w:p>
        </w:tc>
        <w:tc>
          <w:tcPr>
            <w:tcW w:w="4253" w:type="dxa"/>
            <w:tcBorders>
              <w:top w:val="nil"/>
              <w:left w:val="nil"/>
              <w:bottom w:val="single" w:sz="4" w:space="0" w:color="auto"/>
              <w:right w:val="single" w:sz="4" w:space="0" w:color="auto"/>
            </w:tcBorders>
            <w:shd w:val="clear" w:color="auto" w:fill="auto"/>
            <w:vAlign w:val="bottom"/>
            <w:hideMark/>
          </w:tcPr>
          <w:p w14:paraId="52AC8609" w14:textId="77777777" w:rsidR="00387142" w:rsidRPr="008B6A75" w:rsidRDefault="00387142" w:rsidP="00387142">
            <w:pPr>
              <w:rPr>
                <w:color w:val="000000"/>
                <w:sz w:val="20"/>
                <w:szCs w:val="20"/>
              </w:rPr>
            </w:pPr>
            <w:r w:rsidRPr="008B6A75">
              <w:rPr>
                <w:color w:val="000000"/>
                <w:sz w:val="20"/>
                <w:szCs w:val="20"/>
              </w:rPr>
              <w:t>Субвенции на организацию и осуществление деятельности по опеке и попечительству, социальной поддержке детей-сирот и детей, оставшихся без попечения родителей</w:t>
            </w:r>
          </w:p>
        </w:tc>
        <w:tc>
          <w:tcPr>
            <w:tcW w:w="2020" w:type="dxa"/>
            <w:tcBorders>
              <w:top w:val="nil"/>
              <w:left w:val="nil"/>
              <w:bottom w:val="single" w:sz="4" w:space="0" w:color="auto"/>
              <w:right w:val="single" w:sz="4" w:space="0" w:color="auto"/>
            </w:tcBorders>
            <w:shd w:val="clear" w:color="auto" w:fill="auto"/>
            <w:vAlign w:val="center"/>
            <w:hideMark/>
          </w:tcPr>
          <w:p w14:paraId="3F9EE1EF" w14:textId="77777777" w:rsidR="00387142" w:rsidRPr="008B6A75" w:rsidRDefault="00387142" w:rsidP="00387142">
            <w:pPr>
              <w:jc w:val="center"/>
              <w:rPr>
                <w:color w:val="000000"/>
                <w:sz w:val="20"/>
                <w:szCs w:val="20"/>
              </w:rPr>
            </w:pPr>
            <w:r w:rsidRPr="008B6A75">
              <w:rPr>
                <w:color w:val="000000"/>
                <w:sz w:val="20"/>
                <w:szCs w:val="20"/>
              </w:rPr>
              <w:t>48 814 100,00</w:t>
            </w:r>
          </w:p>
        </w:tc>
        <w:tc>
          <w:tcPr>
            <w:tcW w:w="1960" w:type="dxa"/>
            <w:tcBorders>
              <w:top w:val="nil"/>
              <w:left w:val="nil"/>
              <w:bottom w:val="single" w:sz="4" w:space="0" w:color="auto"/>
              <w:right w:val="single" w:sz="4" w:space="0" w:color="auto"/>
            </w:tcBorders>
            <w:shd w:val="clear" w:color="auto" w:fill="auto"/>
            <w:vAlign w:val="center"/>
            <w:hideMark/>
          </w:tcPr>
          <w:p w14:paraId="4D4E5F6C" w14:textId="77777777" w:rsidR="00387142" w:rsidRPr="008B6A75" w:rsidRDefault="00387142" w:rsidP="00387142">
            <w:pPr>
              <w:jc w:val="center"/>
              <w:rPr>
                <w:color w:val="000000"/>
                <w:sz w:val="20"/>
                <w:szCs w:val="20"/>
              </w:rPr>
            </w:pPr>
            <w:r w:rsidRPr="008B6A75">
              <w:rPr>
                <w:color w:val="000000"/>
                <w:sz w:val="20"/>
                <w:szCs w:val="20"/>
              </w:rPr>
              <w:t>46 022 500,00</w:t>
            </w:r>
          </w:p>
        </w:tc>
        <w:tc>
          <w:tcPr>
            <w:tcW w:w="1900" w:type="dxa"/>
            <w:gridSpan w:val="2"/>
            <w:tcBorders>
              <w:top w:val="nil"/>
              <w:left w:val="nil"/>
              <w:bottom w:val="single" w:sz="4" w:space="0" w:color="auto"/>
              <w:right w:val="single" w:sz="4" w:space="0" w:color="auto"/>
            </w:tcBorders>
            <w:shd w:val="clear" w:color="auto" w:fill="auto"/>
            <w:vAlign w:val="center"/>
            <w:hideMark/>
          </w:tcPr>
          <w:p w14:paraId="52AF84A8" w14:textId="77777777" w:rsidR="00387142" w:rsidRPr="008B6A75" w:rsidRDefault="00387142" w:rsidP="00387142">
            <w:pPr>
              <w:jc w:val="center"/>
              <w:rPr>
                <w:color w:val="000000"/>
                <w:sz w:val="20"/>
                <w:szCs w:val="20"/>
              </w:rPr>
            </w:pPr>
            <w:r w:rsidRPr="008B6A75">
              <w:rPr>
                <w:color w:val="000000"/>
                <w:sz w:val="20"/>
                <w:szCs w:val="20"/>
              </w:rPr>
              <w:t>45 378 600,00</w:t>
            </w:r>
          </w:p>
        </w:tc>
      </w:tr>
      <w:tr w:rsidR="00387142" w:rsidRPr="008B6A75" w14:paraId="5C00A893" w14:textId="77777777" w:rsidTr="00387142">
        <w:trPr>
          <w:gridAfter w:val="1"/>
          <w:wAfter w:w="6" w:type="dxa"/>
          <w:trHeight w:val="70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8059B9E" w14:textId="77777777" w:rsidR="00387142" w:rsidRPr="008B6A75" w:rsidRDefault="00387142" w:rsidP="00387142">
            <w:pPr>
              <w:jc w:val="center"/>
              <w:rPr>
                <w:color w:val="000000"/>
                <w:sz w:val="20"/>
                <w:szCs w:val="20"/>
              </w:rPr>
            </w:pPr>
            <w:r w:rsidRPr="008B6A75">
              <w:rPr>
                <w:color w:val="000000"/>
                <w:sz w:val="20"/>
                <w:szCs w:val="20"/>
              </w:rPr>
              <w:t>7</w:t>
            </w:r>
          </w:p>
        </w:tc>
        <w:tc>
          <w:tcPr>
            <w:tcW w:w="4253" w:type="dxa"/>
            <w:tcBorders>
              <w:top w:val="nil"/>
              <w:left w:val="nil"/>
              <w:bottom w:val="single" w:sz="4" w:space="0" w:color="auto"/>
              <w:right w:val="single" w:sz="4" w:space="0" w:color="auto"/>
            </w:tcBorders>
            <w:shd w:val="clear" w:color="auto" w:fill="auto"/>
            <w:vAlign w:val="bottom"/>
            <w:hideMark/>
          </w:tcPr>
          <w:p w14:paraId="2A2FCBE6" w14:textId="77777777" w:rsidR="00387142" w:rsidRPr="008B6A75" w:rsidRDefault="00387142" w:rsidP="00387142">
            <w:pPr>
              <w:rPr>
                <w:color w:val="000000"/>
                <w:sz w:val="20"/>
                <w:szCs w:val="20"/>
              </w:rPr>
            </w:pPr>
            <w:r w:rsidRPr="008B6A75">
              <w:rPr>
                <w:color w:val="000000"/>
                <w:sz w:val="20"/>
                <w:szCs w:val="20"/>
              </w:rPr>
              <w:t xml:space="preserve"> Субвенции на реализацию основных общеобразовательных программ в муниципальных общеобразовательных организациях </w:t>
            </w:r>
          </w:p>
        </w:tc>
        <w:tc>
          <w:tcPr>
            <w:tcW w:w="2020" w:type="dxa"/>
            <w:tcBorders>
              <w:top w:val="nil"/>
              <w:left w:val="nil"/>
              <w:bottom w:val="single" w:sz="4" w:space="0" w:color="auto"/>
              <w:right w:val="single" w:sz="4" w:space="0" w:color="auto"/>
            </w:tcBorders>
            <w:shd w:val="clear" w:color="auto" w:fill="auto"/>
            <w:vAlign w:val="center"/>
            <w:hideMark/>
          </w:tcPr>
          <w:p w14:paraId="06AE05AF" w14:textId="77777777" w:rsidR="00387142" w:rsidRPr="008B6A75" w:rsidRDefault="00387142" w:rsidP="00387142">
            <w:pPr>
              <w:jc w:val="center"/>
              <w:rPr>
                <w:color w:val="000000"/>
                <w:sz w:val="20"/>
                <w:szCs w:val="20"/>
              </w:rPr>
            </w:pPr>
            <w:r w:rsidRPr="008B6A75">
              <w:rPr>
                <w:color w:val="000000"/>
                <w:sz w:val="20"/>
                <w:szCs w:val="20"/>
              </w:rPr>
              <w:t>425 963 700,00</w:t>
            </w:r>
          </w:p>
        </w:tc>
        <w:tc>
          <w:tcPr>
            <w:tcW w:w="1960" w:type="dxa"/>
            <w:tcBorders>
              <w:top w:val="nil"/>
              <w:left w:val="nil"/>
              <w:bottom w:val="single" w:sz="4" w:space="0" w:color="auto"/>
              <w:right w:val="single" w:sz="4" w:space="0" w:color="auto"/>
            </w:tcBorders>
            <w:shd w:val="clear" w:color="auto" w:fill="auto"/>
            <w:vAlign w:val="center"/>
            <w:hideMark/>
          </w:tcPr>
          <w:p w14:paraId="5D1CB6DB" w14:textId="77777777" w:rsidR="00387142" w:rsidRPr="008B6A75" w:rsidRDefault="00387142" w:rsidP="00387142">
            <w:pPr>
              <w:jc w:val="center"/>
              <w:rPr>
                <w:color w:val="000000"/>
                <w:sz w:val="20"/>
                <w:szCs w:val="20"/>
              </w:rPr>
            </w:pPr>
            <w:r w:rsidRPr="008B6A75">
              <w:rPr>
                <w:color w:val="000000"/>
                <w:sz w:val="20"/>
                <w:szCs w:val="20"/>
              </w:rPr>
              <w:t>439 421 700,00</w:t>
            </w:r>
          </w:p>
        </w:tc>
        <w:tc>
          <w:tcPr>
            <w:tcW w:w="1900" w:type="dxa"/>
            <w:gridSpan w:val="2"/>
            <w:tcBorders>
              <w:top w:val="nil"/>
              <w:left w:val="nil"/>
              <w:bottom w:val="single" w:sz="4" w:space="0" w:color="auto"/>
              <w:right w:val="single" w:sz="4" w:space="0" w:color="auto"/>
            </w:tcBorders>
            <w:shd w:val="clear" w:color="auto" w:fill="auto"/>
            <w:vAlign w:val="center"/>
            <w:hideMark/>
          </w:tcPr>
          <w:p w14:paraId="319FD6D0" w14:textId="77777777" w:rsidR="00387142" w:rsidRPr="008B6A75" w:rsidRDefault="00387142" w:rsidP="00387142">
            <w:pPr>
              <w:jc w:val="center"/>
              <w:rPr>
                <w:color w:val="000000"/>
                <w:sz w:val="20"/>
                <w:szCs w:val="20"/>
              </w:rPr>
            </w:pPr>
            <w:r w:rsidRPr="008B6A75">
              <w:rPr>
                <w:color w:val="000000"/>
                <w:sz w:val="20"/>
                <w:szCs w:val="20"/>
              </w:rPr>
              <w:t>468 810 800,00</w:t>
            </w:r>
          </w:p>
        </w:tc>
      </w:tr>
      <w:tr w:rsidR="00387142" w:rsidRPr="008B6A75" w14:paraId="402823AA" w14:textId="77777777" w:rsidTr="00387142">
        <w:trPr>
          <w:gridAfter w:val="1"/>
          <w:wAfter w:w="6" w:type="dxa"/>
          <w:trHeight w:val="94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0500664" w14:textId="77777777" w:rsidR="00387142" w:rsidRPr="008B6A75" w:rsidRDefault="00387142" w:rsidP="00387142">
            <w:pPr>
              <w:jc w:val="center"/>
              <w:rPr>
                <w:color w:val="000000"/>
                <w:sz w:val="20"/>
                <w:szCs w:val="20"/>
              </w:rPr>
            </w:pPr>
            <w:r w:rsidRPr="008B6A75">
              <w:rPr>
                <w:color w:val="000000"/>
                <w:sz w:val="20"/>
                <w:szCs w:val="20"/>
              </w:rPr>
              <w:t>8</w:t>
            </w:r>
          </w:p>
        </w:tc>
        <w:tc>
          <w:tcPr>
            <w:tcW w:w="4253" w:type="dxa"/>
            <w:tcBorders>
              <w:top w:val="nil"/>
              <w:left w:val="nil"/>
              <w:bottom w:val="single" w:sz="4" w:space="0" w:color="auto"/>
              <w:right w:val="single" w:sz="4" w:space="0" w:color="auto"/>
            </w:tcBorders>
            <w:shd w:val="clear" w:color="auto" w:fill="auto"/>
            <w:vAlign w:val="bottom"/>
            <w:hideMark/>
          </w:tcPr>
          <w:p w14:paraId="3911EEE3" w14:textId="77777777" w:rsidR="00387142" w:rsidRPr="008B6A75" w:rsidRDefault="00387142" w:rsidP="00387142">
            <w:pPr>
              <w:rPr>
                <w:color w:val="000000"/>
                <w:sz w:val="20"/>
                <w:szCs w:val="20"/>
              </w:rPr>
            </w:pPr>
            <w:r w:rsidRPr="008B6A75">
              <w:rPr>
                <w:color w:val="000000"/>
                <w:sz w:val="20"/>
                <w:szCs w:val="20"/>
              </w:rPr>
              <w:t xml:space="preserve">Субвенции на реализацию основных общеобразовательных программ дошкольного образования в муниципальных образовательных организациях </w:t>
            </w:r>
          </w:p>
        </w:tc>
        <w:tc>
          <w:tcPr>
            <w:tcW w:w="2020" w:type="dxa"/>
            <w:tcBorders>
              <w:top w:val="nil"/>
              <w:left w:val="nil"/>
              <w:bottom w:val="single" w:sz="4" w:space="0" w:color="auto"/>
              <w:right w:val="single" w:sz="4" w:space="0" w:color="auto"/>
            </w:tcBorders>
            <w:shd w:val="clear" w:color="auto" w:fill="auto"/>
            <w:vAlign w:val="center"/>
            <w:hideMark/>
          </w:tcPr>
          <w:p w14:paraId="00065C07" w14:textId="77777777" w:rsidR="00387142" w:rsidRPr="008B6A75" w:rsidRDefault="00387142" w:rsidP="00387142">
            <w:pPr>
              <w:jc w:val="center"/>
              <w:rPr>
                <w:color w:val="000000"/>
                <w:sz w:val="20"/>
                <w:szCs w:val="20"/>
              </w:rPr>
            </w:pPr>
            <w:r w:rsidRPr="008B6A75">
              <w:rPr>
                <w:color w:val="000000"/>
                <w:sz w:val="20"/>
                <w:szCs w:val="20"/>
              </w:rPr>
              <w:t>233 817 500,00</w:t>
            </w:r>
          </w:p>
        </w:tc>
        <w:tc>
          <w:tcPr>
            <w:tcW w:w="1960" w:type="dxa"/>
            <w:tcBorders>
              <w:top w:val="nil"/>
              <w:left w:val="nil"/>
              <w:bottom w:val="single" w:sz="4" w:space="0" w:color="auto"/>
              <w:right w:val="single" w:sz="4" w:space="0" w:color="auto"/>
            </w:tcBorders>
            <w:shd w:val="clear" w:color="auto" w:fill="auto"/>
            <w:vAlign w:val="center"/>
            <w:hideMark/>
          </w:tcPr>
          <w:p w14:paraId="0F0518B1" w14:textId="77777777" w:rsidR="00387142" w:rsidRPr="008B6A75" w:rsidRDefault="00387142" w:rsidP="00387142">
            <w:pPr>
              <w:jc w:val="center"/>
              <w:rPr>
                <w:color w:val="000000"/>
                <w:sz w:val="20"/>
                <w:szCs w:val="20"/>
              </w:rPr>
            </w:pPr>
            <w:r w:rsidRPr="008B6A75">
              <w:rPr>
                <w:color w:val="000000"/>
                <w:sz w:val="20"/>
                <w:szCs w:val="20"/>
              </w:rPr>
              <w:t>241 102 200,00</w:t>
            </w:r>
          </w:p>
        </w:tc>
        <w:tc>
          <w:tcPr>
            <w:tcW w:w="1900" w:type="dxa"/>
            <w:gridSpan w:val="2"/>
            <w:tcBorders>
              <w:top w:val="nil"/>
              <w:left w:val="nil"/>
              <w:bottom w:val="single" w:sz="4" w:space="0" w:color="auto"/>
              <w:right w:val="single" w:sz="4" w:space="0" w:color="auto"/>
            </w:tcBorders>
            <w:shd w:val="clear" w:color="auto" w:fill="auto"/>
            <w:vAlign w:val="center"/>
            <w:hideMark/>
          </w:tcPr>
          <w:p w14:paraId="5190EEDB" w14:textId="77777777" w:rsidR="00387142" w:rsidRPr="008B6A75" w:rsidRDefault="00387142" w:rsidP="00387142">
            <w:pPr>
              <w:jc w:val="center"/>
              <w:rPr>
                <w:color w:val="000000"/>
                <w:sz w:val="20"/>
                <w:szCs w:val="20"/>
              </w:rPr>
            </w:pPr>
            <w:r w:rsidRPr="008B6A75">
              <w:rPr>
                <w:color w:val="000000"/>
                <w:sz w:val="20"/>
                <w:szCs w:val="20"/>
              </w:rPr>
              <w:t>256 121 600,00</w:t>
            </w:r>
          </w:p>
        </w:tc>
      </w:tr>
      <w:tr w:rsidR="00387142" w:rsidRPr="008B6A75" w14:paraId="65F94F3A" w14:textId="77777777" w:rsidTr="00387142">
        <w:trPr>
          <w:gridAfter w:val="1"/>
          <w:wAfter w:w="6" w:type="dxa"/>
          <w:trHeight w:val="189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EED0BCB" w14:textId="77777777" w:rsidR="00387142" w:rsidRPr="008B6A75" w:rsidRDefault="00387142" w:rsidP="00387142">
            <w:pPr>
              <w:jc w:val="center"/>
              <w:rPr>
                <w:color w:val="000000"/>
                <w:sz w:val="20"/>
                <w:szCs w:val="20"/>
              </w:rPr>
            </w:pPr>
            <w:r w:rsidRPr="008B6A75">
              <w:rPr>
                <w:color w:val="000000"/>
                <w:sz w:val="20"/>
                <w:szCs w:val="20"/>
              </w:rPr>
              <w:t>9</w:t>
            </w:r>
          </w:p>
        </w:tc>
        <w:tc>
          <w:tcPr>
            <w:tcW w:w="4253" w:type="dxa"/>
            <w:tcBorders>
              <w:top w:val="nil"/>
              <w:left w:val="nil"/>
              <w:bottom w:val="single" w:sz="4" w:space="0" w:color="auto"/>
              <w:right w:val="single" w:sz="4" w:space="0" w:color="auto"/>
            </w:tcBorders>
            <w:shd w:val="clear" w:color="auto" w:fill="auto"/>
            <w:vAlign w:val="bottom"/>
            <w:hideMark/>
          </w:tcPr>
          <w:p w14:paraId="46EA5F2F" w14:textId="77777777" w:rsidR="00387142" w:rsidRPr="008B6A75" w:rsidRDefault="00387142" w:rsidP="00387142">
            <w:pPr>
              <w:rPr>
                <w:color w:val="000000"/>
                <w:sz w:val="20"/>
                <w:szCs w:val="20"/>
              </w:rPr>
            </w:pPr>
            <w:r w:rsidRPr="008B6A75">
              <w:rPr>
                <w:color w:val="000000"/>
                <w:sz w:val="20"/>
                <w:szCs w:val="20"/>
              </w:rPr>
              <w:t>Субвенции по организации получения образования обучающимися с ограниченными возможностями здоровья в отдельных общеобразовательных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w:t>
            </w:r>
          </w:p>
        </w:tc>
        <w:tc>
          <w:tcPr>
            <w:tcW w:w="2020" w:type="dxa"/>
            <w:tcBorders>
              <w:top w:val="nil"/>
              <w:left w:val="nil"/>
              <w:bottom w:val="single" w:sz="4" w:space="0" w:color="auto"/>
              <w:right w:val="single" w:sz="4" w:space="0" w:color="auto"/>
            </w:tcBorders>
            <w:shd w:val="clear" w:color="auto" w:fill="auto"/>
            <w:vAlign w:val="center"/>
            <w:hideMark/>
          </w:tcPr>
          <w:p w14:paraId="28527241" w14:textId="77777777" w:rsidR="00387142" w:rsidRPr="008B6A75" w:rsidRDefault="00387142" w:rsidP="00387142">
            <w:pPr>
              <w:jc w:val="center"/>
              <w:rPr>
                <w:color w:val="000000"/>
                <w:sz w:val="20"/>
                <w:szCs w:val="20"/>
              </w:rPr>
            </w:pPr>
            <w:r w:rsidRPr="008B6A75">
              <w:rPr>
                <w:color w:val="000000"/>
                <w:sz w:val="20"/>
                <w:szCs w:val="20"/>
              </w:rPr>
              <w:t>62 636 900,00</w:t>
            </w:r>
          </w:p>
        </w:tc>
        <w:tc>
          <w:tcPr>
            <w:tcW w:w="1960" w:type="dxa"/>
            <w:tcBorders>
              <w:top w:val="nil"/>
              <w:left w:val="nil"/>
              <w:bottom w:val="single" w:sz="4" w:space="0" w:color="auto"/>
              <w:right w:val="single" w:sz="4" w:space="0" w:color="auto"/>
            </w:tcBorders>
            <w:shd w:val="clear" w:color="auto" w:fill="auto"/>
            <w:vAlign w:val="center"/>
            <w:hideMark/>
          </w:tcPr>
          <w:p w14:paraId="7DF5FBD4" w14:textId="77777777" w:rsidR="00387142" w:rsidRPr="008B6A75" w:rsidRDefault="00387142" w:rsidP="00387142">
            <w:pPr>
              <w:jc w:val="center"/>
              <w:rPr>
                <w:color w:val="000000"/>
                <w:sz w:val="20"/>
                <w:szCs w:val="20"/>
              </w:rPr>
            </w:pPr>
            <w:r w:rsidRPr="008B6A75">
              <w:rPr>
                <w:color w:val="000000"/>
                <w:sz w:val="20"/>
                <w:szCs w:val="20"/>
              </w:rPr>
              <w:t>63 337 500,00</w:t>
            </w:r>
          </w:p>
        </w:tc>
        <w:tc>
          <w:tcPr>
            <w:tcW w:w="1900" w:type="dxa"/>
            <w:gridSpan w:val="2"/>
            <w:tcBorders>
              <w:top w:val="nil"/>
              <w:left w:val="nil"/>
              <w:bottom w:val="single" w:sz="4" w:space="0" w:color="auto"/>
              <w:right w:val="single" w:sz="4" w:space="0" w:color="auto"/>
            </w:tcBorders>
            <w:shd w:val="clear" w:color="auto" w:fill="auto"/>
            <w:vAlign w:val="center"/>
            <w:hideMark/>
          </w:tcPr>
          <w:p w14:paraId="60CAFA83" w14:textId="77777777" w:rsidR="00387142" w:rsidRPr="008B6A75" w:rsidRDefault="00387142" w:rsidP="00387142">
            <w:pPr>
              <w:jc w:val="center"/>
              <w:rPr>
                <w:color w:val="000000"/>
                <w:sz w:val="20"/>
                <w:szCs w:val="20"/>
              </w:rPr>
            </w:pPr>
            <w:r w:rsidRPr="008B6A75">
              <w:rPr>
                <w:color w:val="000000"/>
                <w:sz w:val="20"/>
                <w:szCs w:val="20"/>
              </w:rPr>
              <w:t>64 871 000,00</w:t>
            </w:r>
          </w:p>
        </w:tc>
      </w:tr>
      <w:tr w:rsidR="00387142" w:rsidRPr="008B6A75" w14:paraId="1C2CFBB3" w14:textId="77777777" w:rsidTr="00387142">
        <w:trPr>
          <w:gridAfter w:val="1"/>
          <w:wAfter w:w="6" w:type="dxa"/>
          <w:trHeight w:val="63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8614388" w14:textId="77777777" w:rsidR="00387142" w:rsidRPr="008B6A75" w:rsidRDefault="00387142" w:rsidP="00387142">
            <w:pPr>
              <w:jc w:val="center"/>
              <w:rPr>
                <w:color w:val="000000"/>
                <w:sz w:val="20"/>
                <w:szCs w:val="20"/>
              </w:rPr>
            </w:pPr>
            <w:r w:rsidRPr="008B6A75">
              <w:rPr>
                <w:color w:val="000000"/>
                <w:sz w:val="20"/>
                <w:szCs w:val="20"/>
              </w:rPr>
              <w:t>10</w:t>
            </w:r>
          </w:p>
        </w:tc>
        <w:tc>
          <w:tcPr>
            <w:tcW w:w="4253" w:type="dxa"/>
            <w:tcBorders>
              <w:top w:val="nil"/>
              <w:left w:val="nil"/>
              <w:bottom w:val="single" w:sz="4" w:space="0" w:color="auto"/>
              <w:right w:val="single" w:sz="4" w:space="0" w:color="auto"/>
            </w:tcBorders>
            <w:shd w:val="clear" w:color="auto" w:fill="auto"/>
            <w:vAlign w:val="bottom"/>
            <w:hideMark/>
          </w:tcPr>
          <w:p w14:paraId="36687B9E" w14:textId="77777777" w:rsidR="00387142" w:rsidRPr="008B6A75" w:rsidRDefault="00387142" w:rsidP="00387142">
            <w:pPr>
              <w:rPr>
                <w:color w:val="000000"/>
                <w:sz w:val="20"/>
                <w:szCs w:val="20"/>
              </w:rPr>
            </w:pPr>
            <w:r w:rsidRPr="008B6A75">
              <w:rPr>
                <w:color w:val="000000"/>
                <w:sz w:val="20"/>
                <w:szCs w:val="20"/>
              </w:rPr>
              <w:t>Субвенции на социальную поддержку отдельных категорий детей, обучающихся в образовательных организациях</w:t>
            </w:r>
          </w:p>
        </w:tc>
        <w:tc>
          <w:tcPr>
            <w:tcW w:w="2020" w:type="dxa"/>
            <w:tcBorders>
              <w:top w:val="nil"/>
              <w:left w:val="nil"/>
              <w:bottom w:val="single" w:sz="4" w:space="0" w:color="auto"/>
              <w:right w:val="single" w:sz="4" w:space="0" w:color="auto"/>
            </w:tcBorders>
            <w:shd w:val="clear" w:color="auto" w:fill="auto"/>
            <w:vAlign w:val="center"/>
            <w:hideMark/>
          </w:tcPr>
          <w:p w14:paraId="615B339D" w14:textId="77777777" w:rsidR="00387142" w:rsidRPr="008B6A75" w:rsidRDefault="00387142" w:rsidP="00387142">
            <w:pPr>
              <w:jc w:val="center"/>
              <w:rPr>
                <w:color w:val="000000"/>
                <w:sz w:val="20"/>
                <w:szCs w:val="20"/>
              </w:rPr>
            </w:pPr>
            <w:r w:rsidRPr="008B6A75">
              <w:rPr>
                <w:color w:val="000000"/>
                <w:sz w:val="20"/>
                <w:szCs w:val="20"/>
              </w:rPr>
              <w:t>26 813 000,00</w:t>
            </w:r>
          </w:p>
        </w:tc>
        <w:tc>
          <w:tcPr>
            <w:tcW w:w="1960" w:type="dxa"/>
            <w:tcBorders>
              <w:top w:val="nil"/>
              <w:left w:val="nil"/>
              <w:bottom w:val="single" w:sz="4" w:space="0" w:color="auto"/>
              <w:right w:val="single" w:sz="4" w:space="0" w:color="auto"/>
            </w:tcBorders>
            <w:shd w:val="clear" w:color="auto" w:fill="auto"/>
            <w:vAlign w:val="center"/>
            <w:hideMark/>
          </w:tcPr>
          <w:p w14:paraId="02D7F85D" w14:textId="77777777" w:rsidR="00387142" w:rsidRPr="008B6A75" w:rsidRDefault="00387142" w:rsidP="00387142">
            <w:pPr>
              <w:jc w:val="center"/>
              <w:rPr>
                <w:color w:val="000000"/>
                <w:sz w:val="20"/>
                <w:szCs w:val="20"/>
              </w:rPr>
            </w:pPr>
            <w:r w:rsidRPr="008B6A75">
              <w:rPr>
                <w:color w:val="000000"/>
                <w:sz w:val="20"/>
                <w:szCs w:val="20"/>
              </w:rPr>
              <w:t>23 030 900,00</w:t>
            </w:r>
          </w:p>
        </w:tc>
        <w:tc>
          <w:tcPr>
            <w:tcW w:w="1900" w:type="dxa"/>
            <w:gridSpan w:val="2"/>
            <w:tcBorders>
              <w:top w:val="nil"/>
              <w:left w:val="nil"/>
              <w:bottom w:val="single" w:sz="4" w:space="0" w:color="auto"/>
              <w:right w:val="single" w:sz="4" w:space="0" w:color="auto"/>
            </w:tcBorders>
            <w:shd w:val="clear" w:color="auto" w:fill="auto"/>
            <w:vAlign w:val="center"/>
            <w:hideMark/>
          </w:tcPr>
          <w:p w14:paraId="325FB199" w14:textId="77777777" w:rsidR="00387142" w:rsidRPr="008B6A75" w:rsidRDefault="00387142" w:rsidP="00387142">
            <w:pPr>
              <w:jc w:val="center"/>
              <w:rPr>
                <w:color w:val="000000"/>
                <w:sz w:val="20"/>
                <w:szCs w:val="20"/>
              </w:rPr>
            </w:pPr>
            <w:r w:rsidRPr="008B6A75">
              <w:rPr>
                <w:color w:val="000000"/>
                <w:sz w:val="20"/>
                <w:szCs w:val="20"/>
              </w:rPr>
              <w:t>23 030 900,00</w:t>
            </w:r>
          </w:p>
        </w:tc>
      </w:tr>
      <w:tr w:rsidR="00387142" w:rsidRPr="008B6A75" w14:paraId="511999DC" w14:textId="77777777" w:rsidTr="00387142">
        <w:trPr>
          <w:gridAfter w:val="1"/>
          <w:wAfter w:w="6" w:type="dxa"/>
          <w:trHeight w:val="94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4C0C697" w14:textId="77777777" w:rsidR="00387142" w:rsidRPr="008B6A75" w:rsidRDefault="00387142" w:rsidP="00387142">
            <w:pPr>
              <w:jc w:val="center"/>
              <w:rPr>
                <w:color w:val="000000"/>
                <w:sz w:val="20"/>
                <w:szCs w:val="20"/>
              </w:rPr>
            </w:pPr>
            <w:r w:rsidRPr="008B6A75">
              <w:rPr>
                <w:color w:val="000000"/>
                <w:sz w:val="20"/>
                <w:szCs w:val="20"/>
              </w:rPr>
              <w:t>11</w:t>
            </w:r>
          </w:p>
        </w:tc>
        <w:tc>
          <w:tcPr>
            <w:tcW w:w="4253" w:type="dxa"/>
            <w:tcBorders>
              <w:top w:val="nil"/>
              <w:left w:val="nil"/>
              <w:bottom w:val="single" w:sz="4" w:space="0" w:color="auto"/>
              <w:right w:val="single" w:sz="4" w:space="0" w:color="auto"/>
            </w:tcBorders>
            <w:shd w:val="clear" w:color="auto" w:fill="auto"/>
            <w:vAlign w:val="bottom"/>
            <w:hideMark/>
          </w:tcPr>
          <w:p w14:paraId="728F4A0C" w14:textId="77777777" w:rsidR="00387142" w:rsidRPr="008B6A75" w:rsidRDefault="00387142" w:rsidP="00387142">
            <w:pPr>
              <w:rPr>
                <w:color w:val="000000"/>
                <w:sz w:val="20"/>
                <w:szCs w:val="20"/>
              </w:rPr>
            </w:pPr>
            <w:r w:rsidRPr="008B6A75">
              <w:rPr>
                <w:color w:val="000000"/>
                <w:sz w:val="20"/>
                <w:szCs w:val="20"/>
              </w:rPr>
              <w:t>Субвенции на осуществление отдельных государственных полномочий Новосибирской области по обеспечению социального обслуживания отдельных категорий граждан</w:t>
            </w:r>
          </w:p>
        </w:tc>
        <w:tc>
          <w:tcPr>
            <w:tcW w:w="2020" w:type="dxa"/>
            <w:tcBorders>
              <w:top w:val="nil"/>
              <w:left w:val="nil"/>
              <w:bottom w:val="single" w:sz="4" w:space="0" w:color="auto"/>
              <w:right w:val="single" w:sz="4" w:space="0" w:color="auto"/>
            </w:tcBorders>
            <w:shd w:val="clear" w:color="auto" w:fill="auto"/>
            <w:vAlign w:val="center"/>
            <w:hideMark/>
          </w:tcPr>
          <w:p w14:paraId="7E189B3A" w14:textId="77777777" w:rsidR="00387142" w:rsidRPr="008B6A75" w:rsidRDefault="00387142" w:rsidP="00387142">
            <w:pPr>
              <w:jc w:val="center"/>
              <w:rPr>
                <w:color w:val="000000"/>
                <w:sz w:val="20"/>
                <w:szCs w:val="20"/>
              </w:rPr>
            </w:pPr>
            <w:r w:rsidRPr="008B6A75">
              <w:rPr>
                <w:color w:val="000000"/>
                <w:sz w:val="20"/>
                <w:szCs w:val="20"/>
              </w:rPr>
              <w:t>83 913 100,00</w:t>
            </w:r>
          </w:p>
        </w:tc>
        <w:tc>
          <w:tcPr>
            <w:tcW w:w="1960" w:type="dxa"/>
            <w:tcBorders>
              <w:top w:val="nil"/>
              <w:left w:val="nil"/>
              <w:bottom w:val="single" w:sz="4" w:space="0" w:color="auto"/>
              <w:right w:val="single" w:sz="4" w:space="0" w:color="auto"/>
            </w:tcBorders>
            <w:shd w:val="clear" w:color="auto" w:fill="auto"/>
            <w:vAlign w:val="center"/>
            <w:hideMark/>
          </w:tcPr>
          <w:p w14:paraId="1107FD6E" w14:textId="77777777" w:rsidR="00387142" w:rsidRPr="008B6A75" w:rsidRDefault="00387142" w:rsidP="00387142">
            <w:pPr>
              <w:jc w:val="center"/>
              <w:rPr>
                <w:color w:val="000000"/>
                <w:sz w:val="20"/>
                <w:szCs w:val="20"/>
              </w:rPr>
            </w:pPr>
            <w:r w:rsidRPr="008B6A75">
              <w:rPr>
                <w:color w:val="000000"/>
                <w:sz w:val="20"/>
                <w:szCs w:val="20"/>
              </w:rPr>
              <w:t>82 983 700,00</w:t>
            </w:r>
          </w:p>
        </w:tc>
        <w:tc>
          <w:tcPr>
            <w:tcW w:w="1900" w:type="dxa"/>
            <w:gridSpan w:val="2"/>
            <w:tcBorders>
              <w:top w:val="nil"/>
              <w:left w:val="nil"/>
              <w:bottom w:val="single" w:sz="4" w:space="0" w:color="auto"/>
              <w:right w:val="single" w:sz="4" w:space="0" w:color="auto"/>
            </w:tcBorders>
            <w:shd w:val="clear" w:color="auto" w:fill="auto"/>
            <w:vAlign w:val="center"/>
            <w:hideMark/>
          </w:tcPr>
          <w:p w14:paraId="7A921416" w14:textId="77777777" w:rsidR="00387142" w:rsidRPr="008B6A75" w:rsidRDefault="00387142" w:rsidP="00387142">
            <w:pPr>
              <w:jc w:val="center"/>
              <w:rPr>
                <w:color w:val="000000"/>
                <w:sz w:val="20"/>
                <w:szCs w:val="20"/>
              </w:rPr>
            </w:pPr>
            <w:r w:rsidRPr="008B6A75">
              <w:rPr>
                <w:color w:val="000000"/>
                <w:sz w:val="20"/>
                <w:szCs w:val="20"/>
              </w:rPr>
              <w:t>88 119 700,00</w:t>
            </w:r>
          </w:p>
        </w:tc>
      </w:tr>
      <w:tr w:rsidR="00387142" w:rsidRPr="008B6A75" w14:paraId="275C095A" w14:textId="77777777" w:rsidTr="00387142">
        <w:trPr>
          <w:gridAfter w:val="1"/>
          <w:wAfter w:w="6" w:type="dxa"/>
          <w:trHeight w:val="100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E306F27" w14:textId="77777777" w:rsidR="00387142" w:rsidRPr="008B6A75" w:rsidRDefault="00387142" w:rsidP="00387142">
            <w:pPr>
              <w:jc w:val="center"/>
              <w:rPr>
                <w:color w:val="000000"/>
                <w:sz w:val="20"/>
                <w:szCs w:val="20"/>
              </w:rPr>
            </w:pPr>
            <w:r w:rsidRPr="008B6A75">
              <w:rPr>
                <w:color w:val="000000"/>
                <w:sz w:val="20"/>
                <w:szCs w:val="20"/>
              </w:rPr>
              <w:t>12</w:t>
            </w:r>
          </w:p>
        </w:tc>
        <w:tc>
          <w:tcPr>
            <w:tcW w:w="4253" w:type="dxa"/>
            <w:tcBorders>
              <w:top w:val="nil"/>
              <w:left w:val="nil"/>
              <w:bottom w:val="single" w:sz="4" w:space="0" w:color="auto"/>
              <w:right w:val="single" w:sz="4" w:space="0" w:color="auto"/>
            </w:tcBorders>
            <w:shd w:val="clear" w:color="auto" w:fill="auto"/>
            <w:vAlign w:val="bottom"/>
            <w:hideMark/>
          </w:tcPr>
          <w:p w14:paraId="03250A08" w14:textId="77777777" w:rsidR="00387142" w:rsidRPr="008B6A75" w:rsidRDefault="00387142" w:rsidP="00387142">
            <w:pPr>
              <w:rPr>
                <w:color w:val="000000"/>
                <w:sz w:val="20"/>
                <w:szCs w:val="20"/>
              </w:rPr>
            </w:pPr>
            <w:r w:rsidRPr="008B6A75">
              <w:rPr>
                <w:color w:val="000000"/>
                <w:sz w:val="20"/>
                <w:szCs w:val="20"/>
              </w:rPr>
              <w:t>Субвенции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2020" w:type="dxa"/>
            <w:tcBorders>
              <w:top w:val="nil"/>
              <w:left w:val="nil"/>
              <w:bottom w:val="single" w:sz="4" w:space="0" w:color="auto"/>
              <w:right w:val="single" w:sz="4" w:space="0" w:color="auto"/>
            </w:tcBorders>
            <w:shd w:val="clear" w:color="auto" w:fill="auto"/>
            <w:vAlign w:val="center"/>
            <w:hideMark/>
          </w:tcPr>
          <w:p w14:paraId="3EFE86BC" w14:textId="77777777" w:rsidR="00387142" w:rsidRPr="008B6A75" w:rsidRDefault="00387142" w:rsidP="00387142">
            <w:pPr>
              <w:jc w:val="center"/>
              <w:rPr>
                <w:color w:val="000000"/>
                <w:sz w:val="20"/>
                <w:szCs w:val="20"/>
              </w:rPr>
            </w:pPr>
            <w:r w:rsidRPr="008B6A75">
              <w:rPr>
                <w:color w:val="000000"/>
                <w:sz w:val="20"/>
                <w:szCs w:val="20"/>
              </w:rPr>
              <w:t>28 454 997,44</w:t>
            </w:r>
          </w:p>
        </w:tc>
        <w:tc>
          <w:tcPr>
            <w:tcW w:w="1960" w:type="dxa"/>
            <w:tcBorders>
              <w:top w:val="nil"/>
              <w:left w:val="nil"/>
              <w:bottom w:val="nil"/>
              <w:right w:val="single" w:sz="4" w:space="0" w:color="auto"/>
            </w:tcBorders>
            <w:shd w:val="clear" w:color="auto" w:fill="auto"/>
            <w:vAlign w:val="center"/>
            <w:hideMark/>
          </w:tcPr>
          <w:p w14:paraId="4583AC1F" w14:textId="77777777" w:rsidR="00387142" w:rsidRPr="008B6A75" w:rsidRDefault="00387142" w:rsidP="00387142">
            <w:pPr>
              <w:jc w:val="center"/>
              <w:rPr>
                <w:color w:val="000000"/>
                <w:sz w:val="20"/>
                <w:szCs w:val="20"/>
              </w:rPr>
            </w:pPr>
            <w:r w:rsidRPr="008B6A75">
              <w:rPr>
                <w:color w:val="000000"/>
                <w:sz w:val="20"/>
                <w:szCs w:val="20"/>
              </w:rPr>
              <w:t>12 987 000,00</w:t>
            </w:r>
          </w:p>
        </w:tc>
        <w:tc>
          <w:tcPr>
            <w:tcW w:w="1900" w:type="dxa"/>
            <w:gridSpan w:val="2"/>
            <w:tcBorders>
              <w:top w:val="nil"/>
              <w:left w:val="nil"/>
              <w:bottom w:val="single" w:sz="4" w:space="0" w:color="auto"/>
              <w:right w:val="single" w:sz="4" w:space="0" w:color="auto"/>
            </w:tcBorders>
            <w:shd w:val="clear" w:color="auto" w:fill="auto"/>
            <w:noWrap/>
            <w:vAlign w:val="center"/>
            <w:hideMark/>
          </w:tcPr>
          <w:p w14:paraId="676EF93A" w14:textId="77777777" w:rsidR="00387142" w:rsidRPr="008B6A75" w:rsidRDefault="00387142" w:rsidP="00387142">
            <w:pPr>
              <w:rPr>
                <w:color w:val="000000"/>
                <w:sz w:val="20"/>
                <w:szCs w:val="20"/>
              </w:rPr>
            </w:pPr>
            <w:r w:rsidRPr="008B6A75">
              <w:rPr>
                <w:color w:val="000000"/>
                <w:sz w:val="20"/>
                <w:szCs w:val="20"/>
              </w:rPr>
              <w:t xml:space="preserve">    16 022 600,00   </w:t>
            </w:r>
          </w:p>
        </w:tc>
      </w:tr>
      <w:tr w:rsidR="00387142" w:rsidRPr="008B6A75" w14:paraId="548F9D1D" w14:textId="77777777" w:rsidTr="00387142">
        <w:trPr>
          <w:gridAfter w:val="1"/>
          <w:wAfter w:w="6" w:type="dxa"/>
          <w:trHeight w:val="63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0DF8F06" w14:textId="77777777" w:rsidR="00387142" w:rsidRPr="008B6A75" w:rsidRDefault="00387142" w:rsidP="00387142">
            <w:pPr>
              <w:jc w:val="center"/>
              <w:rPr>
                <w:color w:val="000000"/>
                <w:sz w:val="20"/>
                <w:szCs w:val="20"/>
              </w:rPr>
            </w:pPr>
            <w:r w:rsidRPr="008B6A75">
              <w:rPr>
                <w:color w:val="000000"/>
                <w:sz w:val="20"/>
                <w:szCs w:val="20"/>
              </w:rPr>
              <w:t>13</w:t>
            </w:r>
          </w:p>
        </w:tc>
        <w:tc>
          <w:tcPr>
            <w:tcW w:w="4253" w:type="dxa"/>
            <w:tcBorders>
              <w:top w:val="nil"/>
              <w:left w:val="nil"/>
              <w:bottom w:val="single" w:sz="4" w:space="0" w:color="auto"/>
              <w:right w:val="single" w:sz="4" w:space="0" w:color="auto"/>
            </w:tcBorders>
            <w:shd w:val="clear" w:color="auto" w:fill="auto"/>
            <w:vAlign w:val="bottom"/>
            <w:hideMark/>
          </w:tcPr>
          <w:p w14:paraId="6B7E9E09" w14:textId="77777777" w:rsidR="00387142" w:rsidRPr="008B6A75" w:rsidRDefault="00387142" w:rsidP="00387142">
            <w:pPr>
              <w:rPr>
                <w:color w:val="000000"/>
                <w:sz w:val="20"/>
                <w:szCs w:val="20"/>
              </w:rPr>
            </w:pPr>
            <w:r w:rsidRPr="008B6A75">
              <w:rPr>
                <w:color w:val="000000"/>
                <w:sz w:val="20"/>
                <w:szCs w:val="20"/>
              </w:rPr>
              <w:t>Субвенции на осуществление первичного воинского учета на территориях, где отсутствуют военные комиссариаты</w:t>
            </w:r>
          </w:p>
        </w:tc>
        <w:tc>
          <w:tcPr>
            <w:tcW w:w="2020" w:type="dxa"/>
            <w:tcBorders>
              <w:top w:val="nil"/>
              <w:left w:val="nil"/>
              <w:bottom w:val="single" w:sz="4" w:space="0" w:color="auto"/>
              <w:right w:val="single" w:sz="4" w:space="0" w:color="auto"/>
            </w:tcBorders>
            <w:shd w:val="clear" w:color="auto" w:fill="auto"/>
            <w:vAlign w:val="center"/>
            <w:hideMark/>
          </w:tcPr>
          <w:p w14:paraId="7381BCB2" w14:textId="77777777" w:rsidR="00387142" w:rsidRPr="008B6A75" w:rsidRDefault="00387142" w:rsidP="00387142">
            <w:pPr>
              <w:jc w:val="center"/>
              <w:rPr>
                <w:color w:val="000000"/>
                <w:sz w:val="20"/>
                <w:szCs w:val="20"/>
              </w:rPr>
            </w:pPr>
            <w:r w:rsidRPr="008B6A75">
              <w:rPr>
                <w:color w:val="000000"/>
                <w:sz w:val="20"/>
                <w:szCs w:val="20"/>
              </w:rPr>
              <w:t>2 244 446,01</w:t>
            </w:r>
          </w:p>
        </w:tc>
        <w:tc>
          <w:tcPr>
            <w:tcW w:w="1960" w:type="dxa"/>
            <w:tcBorders>
              <w:top w:val="single" w:sz="4" w:space="0" w:color="auto"/>
              <w:left w:val="nil"/>
              <w:bottom w:val="single" w:sz="4" w:space="0" w:color="auto"/>
              <w:right w:val="single" w:sz="4" w:space="0" w:color="auto"/>
            </w:tcBorders>
            <w:shd w:val="clear" w:color="auto" w:fill="auto"/>
            <w:vAlign w:val="center"/>
            <w:hideMark/>
          </w:tcPr>
          <w:p w14:paraId="5330FB90" w14:textId="77777777" w:rsidR="00387142" w:rsidRPr="008B6A75" w:rsidRDefault="00387142" w:rsidP="00387142">
            <w:pPr>
              <w:jc w:val="center"/>
              <w:rPr>
                <w:color w:val="000000"/>
                <w:sz w:val="20"/>
                <w:szCs w:val="20"/>
              </w:rPr>
            </w:pPr>
            <w:r w:rsidRPr="008B6A75">
              <w:rPr>
                <w:color w:val="000000"/>
                <w:sz w:val="20"/>
                <w:szCs w:val="20"/>
              </w:rPr>
              <w:t>2 176 627,79</w:t>
            </w:r>
          </w:p>
        </w:tc>
        <w:tc>
          <w:tcPr>
            <w:tcW w:w="1900" w:type="dxa"/>
            <w:gridSpan w:val="2"/>
            <w:tcBorders>
              <w:top w:val="nil"/>
              <w:left w:val="nil"/>
              <w:bottom w:val="single" w:sz="4" w:space="0" w:color="auto"/>
              <w:right w:val="single" w:sz="4" w:space="0" w:color="auto"/>
            </w:tcBorders>
            <w:shd w:val="clear" w:color="auto" w:fill="auto"/>
            <w:vAlign w:val="center"/>
            <w:hideMark/>
          </w:tcPr>
          <w:p w14:paraId="192FA9BE" w14:textId="77777777" w:rsidR="00387142" w:rsidRPr="008B6A75" w:rsidRDefault="00387142" w:rsidP="00387142">
            <w:pPr>
              <w:jc w:val="center"/>
              <w:rPr>
                <w:color w:val="000000"/>
                <w:sz w:val="20"/>
                <w:szCs w:val="20"/>
              </w:rPr>
            </w:pPr>
            <w:r w:rsidRPr="008B6A75">
              <w:rPr>
                <w:color w:val="000000"/>
                <w:sz w:val="20"/>
                <w:szCs w:val="20"/>
              </w:rPr>
              <w:t>2 253 758,06</w:t>
            </w:r>
          </w:p>
        </w:tc>
      </w:tr>
      <w:tr w:rsidR="00387142" w:rsidRPr="008B6A75" w14:paraId="312095B0" w14:textId="77777777" w:rsidTr="00387142">
        <w:trPr>
          <w:gridAfter w:val="1"/>
          <w:wAfter w:w="6" w:type="dxa"/>
          <w:trHeight w:val="126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48B3921" w14:textId="77777777" w:rsidR="00387142" w:rsidRPr="008B6A75" w:rsidRDefault="00387142" w:rsidP="00387142">
            <w:pPr>
              <w:jc w:val="center"/>
              <w:rPr>
                <w:color w:val="000000"/>
                <w:sz w:val="20"/>
                <w:szCs w:val="20"/>
              </w:rPr>
            </w:pPr>
            <w:r w:rsidRPr="008B6A75">
              <w:rPr>
                <w:color w:val="000000"/>
                <w:sz w:val="20"/>
                <w:szCs w:val="20"/>
              </w:rPr>
              <w:t>14</w:t>
            </w:r>
          </w:p>
        </w:tc>
        <w:tc>
          <w:tcPr>
            <w:tcW w:w="4253" w:type="dxa"/>
            <w:tcBorders>
              <w:top w:val="nil"/>
              <w:left w:val="nil"/>
              <w:bottom w:val="single" w:sz="4" w:space="0" w:color="auto"/>
              <w:right w:val="single" w:sz="4" w:space="0" w:color="auto"/>
            </w:tcBorders>
            <w:shd w:val="clear" w:color="auto" w:fill="auto"/>
            <w:vAlign w:val="bottom"/>
            <w:hideMark/>
          </w:tcPr>
          <w:p w14:paraId="0C1B676E" w14:textId="77777777" w:rsidR="00387142" w:rsidRPr="008B6A75" w:rsidRDefault="00387142" w:rsidP="00387142">
            <w:pPr>
              <w:rPr>
                <w:color w:val="000000"/>
                <w:sz w:val="20"/>
                <w:szCs w:val="20"/>
              </w:rPr>
            </w:pPr>
            <w:r w:rsidRPr="008B6A75">
              <w:rPr>
                <w:color w:val="000000"/>
                <w:sz w:val="20"/>
                <w:szCs w:val="20"/>
              </w:rPr>
              <w:t xml:space="preserve">Субвенции на осуществление государственных полномочий по составлению (изменению) списков кандидатов в присяжные заседатели федеральных судов общей юрисдикции в Российской Федерации </w:t>
            </w:r>
          </w:p>
        </w:tc>
        <w:tc>
          <w:tcPr>
            <w:tcW w:w="2020" w:type="dxa"/>
            <w:tcBorders>
              <w:top w:val="nil"/>
              <w:left w:val="nil"/>
              <w:bottom w:val="single" w:sz="4" w:space="0" w:color="auto"/>
              <w:right w:val="single" w:sz="4" w:space="0" w:color="auto"/>
            </w:tcBorders>
            <w:shd w:val="clear" w:color="auto" w:fill="auto"/>
            <w:vAlign w:val="center"/>
            <w:hideMark/>
          </w:tcPr>
          <w:p w14:paraId="125BA288" w14:textId="77777777" w:rsidR="00387142" w:rsidRPr="008B6A75" w:rsidRDefault="00387142" w:rsidP="00387142">
            <w:pPr>
              <w:jc w:val="center"/>
              <w:rPr>
                <w:color w:val="000000"/>
                <w:sz w:val="20"/>
                <w:szCs w:val="20"/>
              </w:rPr>
            </w:pPr>
            <w:r w:rsidRPr="008B6A75">
              <w:rPr>
                <w:color w:val="000000"/>
                <w:sz w:val="20"/>
                <w:szCs w:val="20"/>
              </w:rPr>
              <w:t>182 300,00</w:t>
            </w:r>
          </w:p>
        </w:tc>
        <w:tc>
          <w:tcPr>
            <w:tcW w:w="1960" w:type="dxa"/>
            <w:tcBorders>
              <w:top w:val="nil"/>
              <w:left w:val="nil"/>
              <w:bottom w:val="single" w:sz="4" w:space="0" w:color="auto"/>
              <w:right w:val="single" w:sz="4" w:space="0" w:color="auto"/>
            </w:tcBorders>
            <w:shd w:val="clear" w:color="auto" w:fill="auto"/>
            <w:vAlign w:val="center"/>
            <w:hideMark/>
          </w:tcPr>
          <w:p w14:paraId="6076FE64" w14:textId="77777777" w:rsidR="00387142" w:rsidRPr="008B6A75" w:rsidRDefault="00387142" w:rsidP="00387142">
            <w:pPr>
              <w:jc w:val="center"/>
              <w:rPr>
                <w:color w:val="000000"/>
                <w:sz w:val="20"/>
                <w:szCs w:val="20"/>
              </w:rPr>
            </w:pPr>
            <w:r w:rsidRPr="008B6A75">
              <w:rPr>
                <w:color w:val="000000"/>
                <w:sz w:val="20"/>
                <w:szCs w:val="20"/>
              </w:rPr>
              <w:t>8 300,00</w:t>
            </w:r>
          </w:p>
        </w:tc>
        <w:tc>
          <w:tcPr>
            <w:tcW w:w="1900" w:type="dxa"/>
            <w:gridSpan w:val="2"/>
            <w:tcBorders>
              <w:top w:val="nil"/>
              <w:left w:val="nil"/>
              <w:bottom w:val="single" w:sz="4" w:space="0" w:color="auto"/>
              <w:right w:val="single" w:sz="4" w:space="0" w:color="auto"/>
            </w:tcBorders>
            <w:shd w:val="clear" w:color="auto" w:fill="auto"/>
            <w:vAlign w:val="center"/>
            <w:hideMark/>
          </w:tcPr>
          <w:p w14:paraId="500A2B01" w14:textId="77777777" w:rsidR="00387142" w:rsidRPr="008B6A75" w:rsidRDefault="00387142" w:rsidP="00387142">
            <w:pPr>
              <w:jc w:val="center"/>
              <w:rPr>
                <w:color w:val="000000"/>
                <w:sz w:val="20"/>
                <w:szCs w:val="20"/>
              </w:rPr>
            </w:pPr>
            <w:r w:rsidRPr="008B6A75">
              <w:rPr>
                <w:color w:val="000000"/>
                <w:sz w:val="20"/>
                <w:szCs w:val="20"/>
              </w:rPr>
              <w:t>7 500,00</w:t>
            </w:r>
          </w:p>
        </w:tc>
      </w:tr>
      <w:tr w:rsidR="00387142" w:rsidRPr="008B6A75" w14:paraId="101580C9" w14:textId="77777777" w:rsidTr="00387142">
        <w:trPr>
          <w:gridAfter w:val="1"/>
          <w:wAfter w:w="6" w:type="dxa"/>
          <w:trHeight w:val="126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A1B4FFD" w14:textId="77777777" w:rsidR="00387142" w:rsidRPr="008B6A75" w:rsidRDefault="00387142" w:rsidP="00387142">
            <w:pPr>
              <w:jc w:val="center"/>
              <w:rPr>
                <w:color w:val="000000"/>
                <w:sz w:val="20"/>
                <w:szCs w:val="20"/>
              </w:rPr>
            </w:pPr>
            <w:r w:rsidRPr="008B6A75">
              <w:rPr>
                <w:color w:val="000000"/>
                <w:sz w:val="20"/>
                <w:szCs w:val="20"/>
              </w:rPr>
              <w:t>15</w:t>
            </w:r>
          </w:p>
        </w:tc>
        <w:tc>
          <w:tcPr>
            <w:tcW w:w="4253" w:type="dxa"/>
            <w:tcBorders>
              <w:top w:val="nil"/>
              <w:left w:val="nil"/>
              <w:bottom w:val="single" w:sz="4" w:space="0" w:color="auto"/>
              <w:right w:val="single" w:sz="4" w:space="0" w:color="auto"/>
            </w:tcBorders>
            <w:shd w:val="clear" w:color="auto" w:fill="auto"/>
            <w:vAlign w:val="bottom"/>
            <w:hideMark/>
          </w:tcPr>
          <w:p w14:paraId="14D86897" w14:textId="77777777" w:rsidR="00387142" w:rsidRPr="008B6A75" w:rsidRDefault="00387142" w:rsidP="00387142">
            <w:pPr>
              <w:rPr>
                <w:color w:val="000000"/>
                <w:sz w:val="20"/>
                <w:szCs w:val="20"/>
              </w:rPr>
            </w:pPr>
            <w:r w:rsidRPr="008B6A75">
              <w:rPr>
                <w:color w:val="000000"/>
                <w:sz w:val="20"/>
                <w:szCs w:val="20"/>
              </w:rPr>
              <w:t xml:space="preserve"> Субвенции на осуществление полномочий по обеспечению жильем отдельных категорий граждан, установленных Федеральным законом от 24 ноября 1995 года № 181-ФЗ "О социальной защите инвалидов в Российской </w:t>
            </w:r>
            <w:r w:rsidRPr="008B6A75">
              <w:rPr>
                <w:color w:val="000000"/>
                <w:sz w:val="20"/>
                <w:szCs w:val="20"/>
              </w:rPr>
              <w:lastRenderedPageBreak/>
              <w:t>Федерации"</w:t>
            </w:r>
          </w:p>
        </w:tc>
        <w:tc>
          <w:tcPr>
            <w:tcW w:w="2020" w:type="dxa"/>
            <w:tcBorders>
              <w:top w:val="nil"/>
              <w:left w:val="nil"/>
              <w:bottom w:val="single" w:sz="4" w:space="0" w:color="auto"/>
              <w:right w:val="single" w:sz="4" w:space="0" w:color="auto"/>
            </w:tcBorders>
            <w:shd w:val="clear" w:color="auto" w:fill="auto"/>
            <w:vAlign w:val="center"/>
            <w:hideMark/>
          </w:tcPr>
          <w:p w14:paraId="4D312DDD" w14:textId="77777777" w:rsidR="00387142" w:rsidRPr="008B6A75" w:rsidRDefault="00387142" w:rsidP="00387142">
            <w:pPr>
              <w:jc w:val="center"/>
              <w:rPr>
                <w:color w:val="000000"/>
                <w:sz w:val="20"/>
                <w:szCs w:val="20"/>
              </w:rPr>
            </w:pPr>
            <w:r w:rsidRPr="008B6A75">
              <w:rPr>
                <w:color w:val="000000"/>
                <w:sz w:val="20"/>
                <w:szCs w:val="20"/>
              </w:rPr>
              <w:lastRenderedPageBreak/>
              <w:t>6 696 500,00</w:t>
            </w:r>
          </w:p>
        </w:tc>
        <w:tc>
          <w:tcPr>
            <w:tcW w:w="1960" w:type="dxa"/>
            <w:tcBorders>
              <w:top w:val="nil"/>
              <w:left w:val="nil"/>
              <w:bottom w:val="single" w:sz="4" w:space="0" w:color="auto"/>
              <w:right w:val="single" w:sz="4" w:space="0" w:color="auto"/>
            </w:tcBorders>
            <w:shd w:val="clear" w:color="auto" w:fill="auto"/>
            <w:vAlign w:val="center"/>
            <w:hideMark/>
          </w:tcPr>
          <w:p w14:paraId="72B95C49" w14:textId="77777777" w:rsidR="00387142" w:rsidRPr="008B6A75" w:rsidRDefault="00387142" w:rsidP="00387142">
            <w:pPr>
              <w:jc w:val="center"/>
              <w:rPr>
                <w:color w:val="000000"/>
                <w:sz w:val="20"/>
                <w:szCs w:val="20"/>
              </w:rPr>
            </w:pPr>
            <w:r w:rsidRPr="008B6A75">
              <w:rPr>
                <w:color w:val="000000"/>
                <w:sz w:val="20"/>
                <w:szCs w:val="20"/>
              </w:rPr>
              <w:t>1 014 800,00</w:t>
            </w:r>
          </w:p>
        </w:tc>
        <w:tc>
          <w:tcPr>
            <w:tcW w:w="1900" w:type="dxa"/>
            <w:gridSpan w:val="2"/>
            <w:tcBorders>
              <w:top w:val="nil"/>
              <w:left w:val="nil"/>
              <w:bottom w:val="single" w:sz="4" w:space="0" w:color="auto"/>
              <w:right w:val="single" w:sz="4" w:space="0" w:color="auto"/>
            </w:tcBorders>
            <w:shd w:val="clear" w:color="auto" w:fill="auto"/>
            <w:vAlign w:val="center"/>
            <w:hideMark/>
          </w:tcPr>
          <w:p w14:paraId="4C165707" w14:textId="77777777" w:rsidR="00387142" w:rsidRPr="008B6A75" w:rsidRDefault="00387142" w:rsidP="00387142">
            <w:pPr>
              <w:jc w:val="center"/>
              <w:rPr>
                <w:color w:val="000000"/>
                <w:sz w:val="20"/>
                <w:szCs w:val="20"/>
              </w:rPr>
            </w:pPr>
            <w:r w:rsidRPr="008B6A75">
              <w:rPr>
                <w:color w:val="000000"/>
                <w:sz w:val="20"/>
                <w:szCs w:val="20"/>
              </w:rPr>
              <w:t>1 014 800,00</w:t>
            </w:r>
          </w:p>
        </w:tc>
      </w:tr>
      <w:tr w:rsidR="00387142" w:rsidRPr="008B6A75" w14:paraId="2E504995" w14:textId="77777777" w:rsidTr="00387142">
        <w:trPr>
          <w:gridAfter w:val="1"/>
          <w:wAfter w:w="6" w:type="dxa"/>
          <w:trHeight w:val="63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3FA5F4F" w14:textId="77777777" w:rsidR="00387142" w:rsidRPr="008B6A75" w:rsidRDefault="00387142" w:rsidP="00387142">
            <w:pPr>
              <w:jc w:val="center"/>
              <w:rPr>
                <w:color w:val="000000"/>
                <w:sz w:val="20"/>
                <w:szCs w:val="20"/>
              </w:rPr>
            </w:pPr>
            <w:r w:rsidRPr="008B6A75">
              <w:rPr>
                <w:color w:val="000000"/>
                <w:sz w:val="20"/>
                <w:szCs w:val="20"/>
              </w:rPr>
              <w:t>16</w:t>
            </w:r>
          </w:p>
        </w:tc>
        <w:tc>
          <w:tcPr>
            <w:tcW w:w="4253" w:type="dxa"/>
            <w:tcBorders>
              <w:top w:val="nil"/>
              <w:left w:val="nil"/>
              <w:bottom w:val="nil"/>
              <w:right w:val="single" w:sz="4" w:space="0" w:color="auto"/>
            </w:tcBorders>
            <w:shd w:val="clear" w:color="auto" w:fill="auto"/>
            <w:vAlign w:val="bottom"/>
            <w:hideMark/>
          </w:tcPr>
          <w:p w14:paraId="57272DB1" w14:textId="77777777" w:rsidR="00387142" w:rsidRPr="008B6A75" w:rsidRDefault="00387142" w:rsidP="00387142">
            <w:pPr>
              <w:rPr>
                <w:color w:val="000000"/>
                <w:sz w:val="20"/>
                <w:szCs w:val="20"/>
              </w:rPr>
            </w:pPr>
            <w:r w:rsidRPr="008B6A75">
              <w:rPr>
                <w:color w:val="000000"/>
                <w:sz w:val="20"/>
                <w:szCs w:val="20"/>
              </w:rPr>
              <w:t>Субвенции на организацию мероприятий при осуществлении деятельности по обращению с животными без владельцев</w:t>
            </w:r>
          </w:p>
        </w:tc>
        <w:tc>
          <w:tcPr>
            <w:tcW w:w="2020" w:type="dxa"/>
            <w:tcBorders>
              <w:top w:val="nil"/>
              <w:left w:val="nil"/>
              <w:bottom w:val="single" w:sz="4" w:space="0" w:color="auto"/>
              <w:right w:val="single" w:sz="4" w:space="0" w:color="auto"/>
            </w:tcBorders>
            <w:shd w:val="clear" w:color="auto" w:fill="auto"/>
            <w:vAlign w:val="center"/>
            <w:hideMark/>
          </w:tcPr>
          <w:p w14:paraId="1510D0E5" w14:textId="77777777" w:rsidR="00387142" w:rsidRPr="008B6A75" w:rsidRDefault="00387142" w:rsidP="00387142">
            <w:pPr>
              <w:jc w:val="center"/>
              <w:rPr>
                <w:color w:val="000000"/>
                <w:sz w:val="20"/>
                <w:szCs w:val="20"/>
              </w:rPr>
            </w:pPr>
            <w:r w:rsidRPr="008B6A75">
              <w:rPr>
                <w:color w:val="000000"/>
                <w:sz w:val="20"/>
                <w:szCs w:val="20"/>
              </w:rPr>
              <w:t>728 300,00</w:t>
            </w:r>
          </w:p>
        </w:tc>
        <w:tc>
          <w:tcPr>
            <w:tcW w:w="1960" w:type="dxa"/>
            <w:tcBorders>
              <w:top w:val="nil"/>
              <w:left w:val="nil"/>
              <w:bottom w:val="single" w:sz="4" w:space="0" w:color="auto"/>
              <w:right w:val="single" w:sz="4" w:space="0" w:color="auto"/>
            </w:tcBorders>
            <w:shd w:val="clear" w:color="auto" w:fill="auto"/>
            <w:vAlign w:val="center"/>
            <w:hideMark/>
          </w:tcPr>
          <w:p w14:paraId="412AA2C1" w14:textId="77777777" w:rsidR="00387142" w:rsidRPr="008B6A75" w:rsidRDefault="00387142" w:rsidP="00387142">
            <w:pPr>
              <w:jc w:val="center"/>
              <w:rPr>
                <w:color w:val="000000"/>
                <w:sz w:val="20"/>
                <w:szCs w:val="20"/>
              </w:rPr>
            </w:pPr>
            <w:r w:rsidRPr="008B6A75">
              <w:rPr>
                <w:color w:val="000000"/>
                <w:sz w:val="20"/>
                <w:szCs w:val="20"/>
              </w:rPr>
              <w:t>728 300,00</w:t>
            </w:r>
          </w:p>
        </w:tc>
        <w:tc>
          <w:tcPr>
            <w:tcW w:w="1900" w:type="dxa"/>
            <w:gridSpan w:val="2"/>
            <w:tcBorders>
              <w:top w:val="nil"/>
              <w:left w:val="nil"/>
              <w:bottom w:val="single" w:sz="4" w:space="0" w:color="auto"/>
              <w:right w:val="single" w:sz="4" w:space="0" w:color="auto"/>
            </w:tcBorders>
            <w:shd w:val="clear" w:color="auto" w:fill="auto"/>
            <w:vAlign w:val="center"/>
            <w:hideMark/>
          </w:tcPr>
          <w:p w14:paraId="1BB29D7B" w14:textId="77777777" w:rsidR="00387142" w:rsidRPr="008B6A75" w:rsidRDefault="00387142" w:rsidP="00387142">
            <w:pPr>
              <w:jc w:val="center"/>
              <w:rPr>
                <w:color w:val="000000"/>
                <w:sz w:val="20"/>
                <w:szCs w:val="20"/>
              </w:rPr>
            </w:pPr>
            <w:r w:rsidRPr="008B6A75">
              <w:rPr>
                <w:color w:val="000000"/>
                <w:sz w:val="20"/>
                <w:szCs w:val="20"/>
              </w:rPr>
              <w:t>728 300,00</w:t>
            </w:r>
          </w:p>
        </w:tc>
      </w:tr>
      <w:tr w:rsidR="00387142" w:rsidRPr="008B6A75" w14:paraId="1FEE4DF6" w14:textId="77777777" w:rsidTr="00387142">
        <w:trPr>
          <w:gridAfter w:val="1"/>
          <w:wAfter w:w="6" w:type="dxa"/>
          <w:trHeight w:val="157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923A10F" w14:textId="77777777" w:rsidR="00387142" w:rsidRPr="008B6A75" w:rsidRDefault="00387142" w:rsidP="00387142">
            <w:pPr>
              <w:jc w:val="center"/>
              <w:rPr>
                <w:color w:val="000000"/>
                <w:sz w:val="20"/>
                <w:szCs w:val="20"/>
              </w:rPr>
            </w:pPr>
            <w:r w:rsidRPr="008B6A75">
              <w:rPr>
                <w:color w:val="000000"/>
                <w:sz w:val="20"/>
                <w:szCs w:val="20"/>
              </w:rPr>
              <w:t>17</w:t>
            </w:r>
          </w:p>
        </w:tc>
        <w:tc>
          <w:tcPr>
            <w:tcW w:w="4253" w:type="dxa"/>
            <w:tcBorders>
              <w:top w:val="single" w:sz="4" w:space="0" w:color="auto"/>
              <w:left w:val="nil"/>
              <w:bottom w:val="nil"/>
              <w:right w:val="single" w:sz="4" w:space="0" w:color="auto"/>
            </w:tcBorders>
            <w:shd w:val="clear" w:color="auto" w:fill="auto"/>
            <w:vAlign w:val="bottom"/>
            <w:hideMark/>
          </w:tcPr>
          <w:p w14:paraId="46E6A4AD" w14:textId="77777777" w:rsidR="00387142" w:rsidRPr="008B6A75" w:rsidRDefault="00387142" w:rsidP="00387142">
            <w:pPr>
              <w:rPr>
                <w:color w:val="000000"/>
                <w:sz w:val="20"/>
                <w:szCs w:val="20"/>
              </w:rPr>
            </w:pPr>
            <w:r w:rsidRPr="008B6A75">
              <w:rPr>
                <w:color w:val="000000"/>
                <w:sz w:val="20"/>
                <w:szCs w:val="20"/>
              </w:rPr>
              <w:t>Распределение субвенций на осуществление строительства жилых помещений для предоставления гражданам, указанным в статье 8 Федерального закона от 21 декабря 1996 года № 159-ФЗ "О дополнительных гарантиях по социальной поддержке детей-сирот и детей, оставшихся без попечения родителей"</w:t>
            </w:r>
          </w:p>
        </w:tc>
        <w:tc>
          <w:tcPr>
            <w:tcW w:w="2020" w:type="dxa"/>
            <w:tcBorders>
              <w:top w:val="nil"/>
              <w:left w:val="nil"/>
              <w:bottom w:val="single" w:sz="4" w:space="0" w:color="auto"/>
              <w:right w:val="single" w:sz="4" w:space="0" w:color="auto"/>
            </w:tcBorders>
            <w:shd w:val="clear" w:color="auto" w:fill="auto"/>
            <w:vAlign w:val="center"/>
            <w:hideMark/>
          </w:tcPr>
          <w:p w14:paraId="19484DBA" w14:textId="77777777" w:rsidR="00387142" w:rsidRPr="008B6A75" w:rsidRDefault="00387142" w:rsidP="00387142">
            <w:pPr>
              <w:jc w:val="center"/>
              <w:rPr>
                <w:color w:val="000000"/>
                <w:sz w:val="20"/>
                <w:szCs w:val="20"/>
              </w:rPr>
            </w:pPr>
            <w:r w:rsidRPr="008B6A75">
              <w:rPr>
                <w:color w:val="000000"/>
                <w:sz w:val="20"/>
                <w:szCs w:val="20"/>
              </w:rPr>
              <w:t>85 720 700,00</w:t>
            </w:r>
          </w:p>
        </w:tc>
        <w:tc>
          <w:tcPr>
            <w:tcW w:w="1960" w:type="dxa"/>
            <w:tcBorders>
              <w:top w:val="nil"/>
              <w:left w:val="nil"/>
              <w:bottom w:val="single" w:sz="4" w:space="0" w:color="auto"/>
              <w:right w:val="single" w:sz="4" w:space="0" w:color="auto"/>
            </w:tcBorders>
            <w:shd w:val="clear" w:color="auto" w:fill="auto"/>
            <w:vAlign w:val="center"/>
            <w:hideMark/>
          </w:tcPr>
          <w:p w14:paraId="05DA99FD" w14:textId="77777777" w:rsidR="00387142" w:rsidRPr="008B6A75" w:rsidRDefault="00387142" w:rsidP="00387142">
            <w:pPr>
              <w:jc w:val="center"/>
              <w:rPr>
                <w:color w:val="000000"/>
                <w:sz w:val="20"/>
                <w:szCs w:val="20"/>
              </w:rPr>
            </w:pPr>
            <w:r w:rsidRPr="008B6A75">
              <w:rPr>
                <w:color w:val="000000"/>
                <w:sz w:val="20"/>
                <w:szCs w:val="20"/>
              </w:rPr>
              <w:t>101 903 100,00</w:t>
            </w:r>
          </w:p>
        </w:tc>
        <w:tc>
          <w:tcPr>
            <w:tcW w:w="1900" w:type="dxa"/>
            <w:gridSpan w:val="2"/>
            <w:tcBorders>
              <w:top w:val="nil"/>
              <w:left w:val="nil"/>
              <w:bottom w:val="single" w:sz="4" w:space="0" w:color="auto"/>
              <w:right w:val="single" w:sz="4" w:space="0" w:color="auto"/>
            </w:tcBorders>
            <w:shd w:val="clear" w:color="auto" w:fill="auto"/>
            <w:noWrap/>
            <w:vAlign w:val="center"/>
            <w:hideMark/>
          </w:tcPr>
          <w:p w14:paraId="2E5221FA" w14:textId="77777777" w:rsidR="00387142" w:rsidRPr="008B6A75" w:rsidRDefault="00387142" w:rsidP="00387142">
            <w:pPr>
              <w:rPr>
                <w:color w:val="000000"/>
                <w:sz w:val="20"/>
                <w:szCs w:val="20"/>
              </w:rPr>
            </w:pPr>
            <w:r w:rsidRPr="008B6A75">
              <w:rPr>
                <w:color w:val="000000"/>
                <w:sz w:val="20"/>
                <w:szCs w:val="20"/>
              </w:rPr>
              <w:t xml:space="preserve">    65 104 700,00   </w:t>
            </w:r>
          </w:p>
        </w:tc>
      </w:tr>
      <w:tr w:rsidR="00387142" w:rsidRPr="008B6A75" w14:paraId="5A51EE5E" w14:textId="77777777" w:rsidTr="00387142">
        <w:trPr>
          <w:gridAfter w:val="1"/>
          <w:wAfter w:w="6" w:type="dxa"/>
          <w:trHeight w:val="283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4319D8D" w14:textId="77777777" w:rsidR="00387142" w:rsidRPr="008B6A75" w:rsidRDefault="00387142" w:rsidP="00387142">
            <w:pPr>
              <w:jc w:val="center"/>
              <w:rPr>
                <w:color w:val="000000"/>
                <w:sz w:val="20"/>
                <w:szCs w:val="20"/>
              </w:rPr>
            </w:pPr>
            <w:r w:rsidRPr="008B6A75">
              <w:rPr>
                <w:color w:val="000000"/>
                <w:sz w:val="20"/>
                <w:szCs w:val="20"/>
              </w:rPr>
              <w:t>18</w:t>
            </w:r>
          </w:p>
        </w:tc>
        <w:tc>
          <w:tcPr>
            <w:tcW w:w="4253" w:type="dxa"/>
            <w:tcBorders>
              <w:top w:val="single" w:sz="4" w:space="0" w:color="auto"/>
              <w:left w:val="nil"/>
              <w:bottom w:val="nil"/>
              <w:right w:val="single" w:sz="4" w:space="0" w:color="auto"/>
            </w:tcBorders>
            <w:shd w:val="clear" w:color="auto" w:fill="auto"/>
            <w:vAlign w:val="bottom"/>
            <w:hideMark/>
          </w:tcPr>
          <w:p w14:paraId="4E75F321" w14:textId="77777777" w:rsidR="00387142" w:rsidRPr="008B6A75" w:rsidRDefault="00387142" w:rsidP="00387142">
            <w:pPr>
              <w:rPr>
                <w:color w:val="000000"/>
                <w:sz w:val="20"/>
                <w:szCs w:val="20"/>
              </w:rPr>
            </w:pPr>
            <w:r w:rsidRPr="008B6A75">
              <w:rPr>
                <w:color w:val="000000"/>
                <w:sz w:val="20"/>
                <w:szCs w:val="20"/>
              </w:rPr>
              <w:t>Субвенция на возмещение специализированной службе по вопросам похоронного дела стоимости услуг, предоставляемых согласно гарантированному перечню услуг по погребению,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 в случае рождения мертвого ребенка по истечении 154 дней беременности, а также умерших, личность которых не установлена органами внутренних дел</w:t>
            </w:r>
          </w:p>
        </w:tc>
        <w:tc>
          <w:tcPr>
            <w:tcW w:w="2020" w:type="dxa"/>
            <w:tcBorders>
              <w:top w:val="nil"/>
              <w:left w:val="nil"/>
              <w:bottom w:val="single" w:sz="4" w:space="0" w:color="auto"/>
              <w:right w:val="single" w:sz="4" w:space="0" w:color="auto"/>
            </w:tcBorders>
            <w:shd w:val="clear" w:color="auto" w:fill="auto"/>
            <w:vAlign w:val="center"/>
            <w:hideMark/>
          </w:tcPr>
          <w:p w14:paraId="1DFD08B7" w14:textId="77777777" w:rsidR="00387142" w:rsidRPr="008B6A75" w:rsidRDefault="00387142" w:rsidP="00387142">
            <w:pPr>
              <w:jc w:val="center"/>
              <w:rPr>
                <w:color w:val="000000"/>
                <w:sz w:val="20"/>
                <w:szCs w:val="20"/>
              </w:rPr>
            </w:pPr>
            <w:r w:rsidRPr="008B6A75">
              <w:rPr>
                <w:color w:val="000000"/>
                <w:sz w:val="20"/>
                <w:szCs w:val="20"/>
              </w:rPr>
              <w:t>69 646,80</w:t>
            </w:r>
          </w:p>
        </w:tc>
        <w:tc>
          <w:tcPr>
            <w:tcW w:w="1960" w:type="dxa"/>
            <w:tcBorders>
              <w:top w:val="nil"/>
              <w:left w:val="nil"/>
              <w:bottom w:val="single" w:sz="4" w:space="0" w:color="auto"/>
              <w:right w:val="single" w:sz="4" w:space="0" w:color="auto"/>
            </w:tcBorders>
            <w:shd w:val="clear" w:color="auto" w:fill="auto"/>
            <w:vAlign w:val="center"/>
            <w:hideMark/>
          </w:tcPr>
          <w:p w14:paraId="0F441226" w14:textId="77777777" w:rsidR="00387142" w:rsidRPr="008B6A75" w:rsidRDefault="00387142" w:rsidP="00387142">
            <w:pPr>
              <w:jc w:val="center"/>
              <w:rPr>
                <w:color w:val="000000"/>
                <w:sz w:val="20"/>
                <w:szCs w:val="20"/>
              </w:rPr>
            </w:pPr>
            <w:r w:rsidRPr="008B6A75">
              <w:rPr>
                <w:color w:val="000000"/>
                <w:sz w:val="20"/>
                <w:szCs w:val="20"/>
              </w:rPr>
              <w:t>69 700,00</w:t>
            </w:r>
          </w:p>
        </w:tc>
        <w:tc>
          <w:tcPr>
            <w:tcW w:w="1900" w:type="dxa"/>
            <w:gridSpan w:val="2"/>
            <w:tcBorders>
              <w:top w:val="nil"/>
              <w:left w:val="nil"/>
              <w:bottom w:val="single" w:sz="4" w:space="0" w:color="auto"/>
              <w:right w:val="single" w:sz="4" w:space="0" w:color="auto"/>
            </w:tcBorders>
            <w:shd w:val="clear" w:color="auto" w:fill="auto"/>
            <w:noWrap/>
            <w:vAlign w:val="center"/>
            <w:hideMark/>
          </w:tcPr>
          <w:p w14:paraId="41790216" w14:textId="77777777" w:rsidR="00387142" w:rsidRPr="008B6A75" w:rsidRDefault="00387142" w:rsidP="00387142">
            <w:pPr>
              <w:rPr>
                <w:color w:val="000000"/>
                <w:sz w:val="20"/>
                <w:szCs w:val="20"/>
              </w:rPr>
            </w:pPr>
            <w:r w:rsidRPr="008B6A75">
              <w:rPr>
                <w:color w:val="000000"/>
                <w:sz w:val="20"/>
                <w:szCs w:val="20"/>
              </w:rPr>
              <w:t xml:space="preserve">           69 700,00   </w:t>
            </w:r>
          </w:p>
        </w:tc>
      </w:tr>
      <w:tr w:rsidR="00387142" w:rsidRPr="008B6A75" w14:paraId="2B9E65CB" w14:textId="77777777" w:rsidTr="00387142">
        <w:trPr>
          <w:gridAfter w:val="1"/>
          <w:wAfter w:w="6" w:type="dxa"/>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143266F7" w14:textId="77777777" w:rsidR="00387142" w:rsidRPr="008B6A75" w:rsidRDefault="00387142" w:rsidP="00387142">
            <w:pPr>
              <w:rPr>
                <w:color w:val="000000"/>
                <w:sz w:val="20"/>
                <w:szCs w:val="20"/>
              </w:rPr>
            </w:pPr>
            <w:r w:rsidRPr="008B6A75">
              <w:rPr>
                <w:color w:val="000000"/>
                <w:sz w:val="20"/>
                <w:szCs w:val="20"/>
              </w:rPr>
              <w:t> </w:t>
            </w:r>
          </w:p>
        </w:tc>
        <w:tc>
          <w:tcPr>
            <w:tcW w:w="4253" w:type="dxa"/>
            <w:tcBorders>
              <w:top w:val="single" w:sz="4" w:space="0" w:color="auto"/>
              <w:left w:val="nil"/>
              <w:bottom w:val="single" w:sz="4" w:space="0" w:color="auto"/>
              <w:right w:val="single" w:sz="4" w:space="0" w:color="auto"/>
            </w:tcBorders>
            <w:shd w:val="clear" w:color="auto" w:fill="auto"/>
            <w:vAlign w:val="bottom"/>
            <w:hideMark/>
          </w:tcPr>
          <w:p w14:paraId="6CA4CAE6" w14:textId="77777777" w:rsidR="00387142" w:rsidRPr="008B6A75" w:rsidRDefault="00387142" w:rsidP="00387142">
            <w:pPr>
              <w:rPr>
                <w:color w:val="000000"/>
                <w:sz w:val="20"/>
                <w:szCs w:val="20"/>
              </w:rPr>
            </w:pPr>
            <w:r w:rsidRPr="008B6A75">
              <w:rPr>
                <w:color w:val="000000"/>
                <w:sz w:val="20"/>
                <w:szCs w:val="20"/>
              </w:rPr>
              <w:t>ИТОГО</w:t>
            </w:r>
          </w:p>
        </w:tc>
        <w:tc>
          <w:tcPr>
            <w:tcW w:w="2020" w:type="dxa"/>
            <w:tcBorders>
              <w:top w:val="nil"/>
              <w:left w:val="nil"/>
              <w:bottom w:val="single" w:sz="4" w:space="0" w:color="auto"/>
              <w:right w:val="nil"/>
            </w:tcBorders>
            <w:shd w:val="clear" w:color="auto" w:fill="auto"/>
            <w:noWrap/>
            <w:vAlign w:val="center"/>
            <w:hideMark/>
          </w:tcPr>
          <w:p w14:paraId="0908CA1A" w14:textId="77777777" w:rsidR="00387142" w:rsidRPr="008B6A75" w:rsidRDefault="00387142" w:rsidP="00387142">
            <w:pPr>
              <w:jc w:val="center"/>
              <w:rPr>
                <w:color w:val="000000"/>
                <w:sz w:val="20"/>
                <w:szCs w:val="20"/>
              </w:rPr>
            </w:pPr>
            <w:r w:rsidRPr="008B6A75">
              <w:rPr>
                <w:color w:val="000000"/>
                <w:sz w:val="20"/>
                <w:szCs w:val="20"/>
              </w:rPr>
              <w:t>1 120 474 035,25</w:t>
            </w:r>
          </w:p>
        </w:tc>
        <w:tc>
          <w:tcPr>
            <w:tcW w:w="1960" w:type="dxa"/>
            <w:tcBorders>
              <w:top w:val="nil"/>
              <w:left w:val="nil"/>
              <w:bottom w:val="single" w:sz="4" w:space="0" w:color="auto"/>
              <w:right w:val="single" w:sz="4" w:space="0" w:color="auto"/>
            </w:tcBorders>
            <w:shd w:val="clear" w:color="auto" w:fill="auto"/>
            <w:noWrap/>
            <w:vAlign w:val="center"/>
            <w:hideMark/>
          </w:tcPr>
          <w:p w14:paraId="313DF454" w14:textId="77777777" w:rsidR="00387142" w:rsidRPr="008B6A75" w:rsidRDefault="00387142" w:rsidP="00387142">
            <w:pPr>
              <w:jc w:val="center"/>
              <w:rPr>
                <w:color w:val="000000"/>
                <w:sz w:val="20"/>
                <w:szCs w:val="20"/>
              </w:rPr>
            </w:pPr>
            <w:r w:rsidRPr="008B6A75">
              <w:rPr>
                <w:color w:val="000000"/>
                <w:sz w:val="20"/>
                <w:szCs w:val="20"/>
              </w:rPr>
              <w:t>1 124 401 992,79</w:t>
            </w:r>
          </w:p>
        </w:tc>
        <w:tc>
          <w:tcPr>
            <w:tcW w:w="1900" w:type="dxa"/>
            <w:gridSpan w:val="2"/>
            <w:tcBorders>
              <w:top w:val="nil"/>
              <w:left w:val="nil"/>
              <w:bottom w:val="single" w:sz="4" w:space="0" w:color="auto"/>
              <w:right w:val="single" w:sz="4" w:space="0" w:color="auto"/>
            </w:tcBorders>
            <w:shd w:val="clear" w:color="auto" w:fill="auto"/>
            <w:noWrap/>
            <w:vAlign w:val="center"/>
            <w:hideMark/>
          </w:tcPr>
          <w:p w14:paraId="30D30CCA" w14:textId="77777777" w:rsidR="00387142" w:rsidRPr="008B6A75" w:rsidRDefault="00387142" w:rsidP="00387142">
            <w:pPr>
              <w:jc w:val="center"/>
              <w:rPr>
                <w:color w:val="000000"/>
                <w:sz w:val="20"/>
                <w:szCs w:val="20"/>
              </w:rPr>
            </w:pPr>
            <w:r w:rsidRPr="008B6A75">
              <w:rPr>
                <w:color w:val="000000"/>
                <w:sz w:val="20"/>
                <w:szCs w:val="20"/>
              </w:rPr>
              <w:t>1 111 327 643,06</w:t>
            </w:r>
          </w:p>
        </w:tc>
      </w:tr>
    </w:tbl>
    <w:p w14:paraId="76B3F05D" w14:textId="77777777" w:rsidR="00387142" w:rsidRPr="008B6A75" w:rsidRDefault="00387142" w:rsidP="00387142">
      <w:pPr>
        <w:rPr>
          <w:sz w:val="20"/>
          <w:szCs w:val="20"/>
        </w:rPr>
      </w:pPr>
    </w:p>
    <w:tbl>
      <w:tblPr>
        <w:tblW w:w="10236" w:type="dxa"/>
        <w:tblInd w:w="-851" w:type="dxa"/>
        <w:tblLook w:val="04A0" w:firstRow="1" w:lastRow="0" w:firstColumn="1" w:lastColumn="0" w:noHBand="0" w:noVBand="1"/>
      </w:tblPr>
      <w:tblGrid>
        <w:gridCol w:w="34"/>
        <w:gridCol w:w="486"/>
        <w:gridCol w:w="123"/>
        <w:gridCol w:w="4039"/>
        <w:gridCol w:w="516"/>
        <w:gridCol w:w="189"/>
        <w:gridCol w:w="996"/>
        <w:gridCol w:w="516"/>
        <w:gridCol w:w="714"/>
        <w:gridCol w:w="26"/>
        <w:gridCol w:w="26"/>
        <w:gridCol w:w="500"/>
        <w:gridCol w:w="408"/>
        <w:gridCol w:w="236"/>
        <w:gridCol w:w="428"/>
        <w:gridCol w:w="291"/>
        <w:gridCol w:w="1229"/>
      </w:tblGrid>
      <w:tr w:rsidR="00387142" w:rsidRPr="008B6A75" w14:paraId="41E69763" w14:textId="77777777" w:rsidTr="00387142">
        <w:trPr>
          <w:gridBefore w:val="1"/>
          <w:gridAfter w:val="1"/>
          <w:wBefore w:w="34" w:type="dxa"/>
          <w:wAfter w:w="1238" w:type="dxa"/>
          <w:trHeight w:val="315"/>
        </w:trPr>
        <w:tc>
          <w:tcPr>
            <w:tcW w:w="486" w:type="dxa"/>
            <w:tcBorders>
              <w:top w:val="nil"/>
              <w:left w:val="nil"/>
              <w:bottom w:val="nil"/>
              <w:right w:val="nil"/>
            </w:tcBorders>
            <w:shd w:val="clear" w:color="auto" w:fill="auto"/>
            <w:noWrap/>
            <w:vAlign w:val="bottom"/>
            <w:hideMark/>
          </w:tcPr>
          <w:p w14:paraId="701914E5" w14:textId="77777777" w:rsidR="00387142" w:rsidRPr="008B6A75" w:rsidRDefault="00387142" w:rsidP="00387142">
            <w:pPr>
              <w:rPr>
                <w:sz w:val="20"/>
                <w:szCs w:val="20"/>
              </w:rPr>
            </w:pPr>
          </w:p>
        </w:tc>
        <w:tc>
          <w:tcPr>
            <w:tcW w:w="4678" w:type="dxa"/>
            <w:gridSpan w:val="3"/>
            <w:tcBorders>
              <w:top w:val="nil"/>
              <w:left w:val="nil"/>
              <w:bottom w:val="nil"/>
              <w:right w:val="nil"/>
            </w:tcBorders>
            <w:shd w:val="clear" w:color="auto" w:fill="auto"/>
            <w:noWrap/>
            <w:vAlign w:val="bottom"/>
            <w:hideMark/>
          </w:tcPr>
          <w:p w14:paraId="0D4391CD" w14:textId="77777777" w:rsidR="00387142" w:rsidRPr="008B6A75" w:rsidRDefault="00387142" w:rsidP="00387142">
            <w:pPr>
              <w:rPr>
                <w:sz w:val="20"/>
                <w:szCs w:val="20"/>
              </w:rPr>
            </w:pPr>
          </w:p>
        </w:tc>
        <w:tc>
          <w:tcPr>
            <w:tcW w:w="1701" w:type="dxa"/>
            <w:gridSpan w:val="3"/>
            <w:tcBorders>
              <w:top w:val="nil"/>
              <w:left w:val="nil"/>
              <w:bottom w:val="nil"/>
              <w:right w:val="nil"/>
            </w:tcBorders>
            <w:shd w:val="clear" w:color="auto" w:fill="auto"/>
            <w:noWrap/>
            <w:vAlign w:val="bottom"/>
            <w:hideMark/>
          </w:tcPr>
          <w:p w14:paraId="743D1BA5" w14:textId="77777777" w:rsidR="00387142" w:rsidRPr="008B6A75" w:rsidRDefault="00387142" w:rsidP="00387142">
            <w:pPr>
              <w:rPr>
                <w:sz w:val="20"/>
                <w:szCs w:val="20"/>
              </w:rPr>
            </w:pPr>
          </w:p>
        </w:tc>
        <w:tc>
          <w:tcPr>
            <w:tcW w:w="236" w:type="dxa"/>
            <w:gridSpan w:val="3"/>
            <w:tcBorders>
              <w:top w:val="nil"/>
              <w:left w:val="nil"/>
              <w:bottom w:val="nil"/>
              <w:right w:val="nil"/>
            </w:tcBorders>
            <w:shd w:val="clear" w:color="auto" w:fill="auto"/>
            <w:noWrap/>
            <w:vAlign w:val="bottom"/>
            <w:hideMark/>
          </w:tcPr>
          <w:p w14:paraId="675A6F4B" w14:textId="77777777" w:rsidR="00387142" w:rsidRPr="008B6A75" w:rsidRDefault="00387142" w:rsidP="00387142">
            <w:pPr>
              <w:jc w:val="right"/>
              <w:rPr>
                <w:sz w:val="20"/>
                <w:szCs w:val="20"/>
              </w:rPr>
            </w:pPr>
          </w:p>
        </w:tc>
        <w:tc>
          <w:tcPr>
            <w:tcW w:w="1863" w:type="dxa"/>
            <w:gridSpan w:val="5"/>
            <w:tcBorders>
              <w:top w:val="nil"/>
              <w:left w:val="nil"/>
              <w:bottom w:val="nil"/>
              <w:right w:val="nil"/>
            </w:tcBorders>
            <w:shd w:val="clear" w:color="auto" w:fill="auto"/>
            <w:noWrap/>
            <w:vAlign w:val="bottom"/>
            <w:hideMark/>
          </w:tcPr>
          <w:p w14:paraId="136C6EE2" w14:textId="77777777" w:rsidR="00387142" w:rsidRPr="008B6A75" w:rsidRDefault="00387142" w:rsidP="00387142">
            <w:pPr>
              <w:jc w:val="right"/>
              <w:rPr>
                <w:sz w:val="20"/>
                <w:szCs w:val="20"/>
              </w:rPr>
            </w:pPr>
            <w:r w:rsidRPr="008B6A75">
              <w:rPr>
                <w:sz w:val="20"/>
                <w:szCs w:val="20"/>
              </w:rPr>
              <w:t>Приложение 8</w:t>
            </w:r>
          </w:p>
        </w:tc>
      </w:tr>
      <w:tr w:rsidR="00387142" w:rsidRPr="008B6A75" w14:paraId="41270D62" w14:textId="77777777" w:rsidTr="00387142">
        <w:trPr>
          <w:gridBefore w:val="1"/>
          <w:gridAfter w:val="5"/>
          <w:wBefore w:w="34" w:type="dxa"/>
          <w:wAfter w:w="2601" w:type="dxa"/>
          <w:trHeight w:val="1530"/>
        </w:trPr>
        <w:tc>
          <w:tcPr>
            <w:tcW w:w="486" w:type="dxa"/>
            <w:tcBorders>
              <w:top w:val="nil"/>
              <w:left w:val="nil"/>
              <w:bottom w:val="nil"/>
              <w:right w:val="nil"/>
            </w:tcBorders>
            <w:shd w:val="clear" w:color="auto" w:fill="auto"/>
            <w:noWrap/>
            <w:vAlign w:val="bottom"/>
            <w:hideMark/>
          </w:tcPr>
          <w:p w14:paraId="464A8F26" w14:textId="77777777" w:rsidR="00387142" w:rsidRPr="008B6A75" w:rsidRDefault="00387142" w:rsidP="00387142">
            <w:pPr>
              <w:jc w:val="right"/>
              <w:rPr>
                <w:sz w:val="20"/>
                <w:szCs w:val="20"/>
              </w:rPr>
            </w:pPr>
          </w:p>
        </w:tc>
        <w:tc>
          <w:tcPr>
            <w:tcW w:w="4678" w:type="dxa"/>
            <w:gridSpan w:val="3"/>
            <w:tcBorders>
              <w:top w:val="nil"/>
              <w:left w:val="nil"/>
              <w:bottom w:val="nil"/>
              <w:right w:val="nil"/>
            </w:tcBorders>
            <w:shd w:val="clear" w:color="auto" w:fill="auto"/>
            <w:noWrap/>
            <w:vAlign w:val="bottom"/>
            <w:hideMark/>
          </w:tcPr>
          <w:p w14:paraId="35628B02" w14:textId="77777777" w:rsidR="00387142" w:rsidRPr="008B6A75" w:rsidRDefault="00387142" w:rsidP="00387142">
            <w:pPr>
              <w:rPr>
                <w:sz w:val="20"/>
                <w:szCs w:val="20"/>
              </w:rPr>
            </w:pPr>
          </w:p>
        </w:tc>
        <w:tc>
          <w:tcPr>
            <w:tcW w:w="2437" w:type="dxa"/>
            <w:gridSpan w:val="7"/>
            <w:tcBorders>
              <w:top w:val="nil"/>
              <w:left w:val="nil"/>
              <w:bottom w:val="nil"/>
              <w:right w:val="nil"/>
            </w:tcBorders>
            <w:shd w:val="clear" w:color="auto" w:fill="auto"/>
            <w:vAlign w:val="bottom"/>
            <w:hideMark/>
          </w:tcPr>
          <w:p w14:paraId="207B9C47" w14:textId="77777777" w:rsidR="00387142" w:rsidRPr="008B6A75" w:rsidRDefault="00387142" w:rsidP="00387142">
            <w:pPr>
              <w:jc w:val="right"/>
              <w:rPr>
                <w:sz w:val="20"/>
                <w:szCs w:val="20"/>
              </w:rPr>
            </w:pPr>
            <w:r w:rsidRPr="008B6A75">
              <w:rPr>
                <w:sz w:val="20"/>
                <w:szCs w:val="20"/>
              </w:rPr>
              <w:t>к решению сессии Совета депутатов Куйбышевского муниципального района Новосибирской области "О бюджете Куйбышевского муниципального района Новосибирской области на 2022 год и плановый период 2023 и 2024 годов"</w:t>
            </w:r>
          </w:p>
        </w:tc>
      </w:tr>
      <w:tr w:rsidR="00387142" w:rsidRPr="008B6A75" w14:paraId="5214BED6" w14:textId="77777777" w:rsidTr="00387142">
        <w:trPr>
          <w:gridBefore w:val="1"/>
          <w:gridAfter w:val="1"/>
          <w:wBefore w:w="34" w:type="dxa"/>
          <w:wAfter w:w="1238" w:type="dxa"/>
          <w:trHeight w:val="315"/>
        </w:trPr>
        <w:tc>
          <w:tcPr>
            <w:tcW w:w="486" w:type="dxa"/>
            <w:tcBorders>
              <w:top w:val="nil"/>
              <w:left w:val="nil"/>
              <w:bottom w:val="nil"/>
              <w:right w:val="nil"/>
            </w:tcBorders>
            <w:shd w:val="clear" w:color="auto" w:fill="auto"/>
            <w:noWrap/>
            <w:vAlign w:val="bottom"/>
            <w:hideMark/>
          </w:tcPr>
          <w:p w14:paraId="12394E48" w14:textId="77777777" w:rsidR="00387142" w:rsidRPr="008B6A75" w:rsidRDefault="00387142" w:rsidP="00387142">
            <w:pPr>
              <w:jc w:val="right"/>
              <w:rPr>
                <w:sz w:val="20"/>
                <w:szCs w:val="20"/>
              </w:rPr>
            </w:pPr>
          </w:p>
        </w:tc>
        <w:tc>
          <w:tcPr>
            <w:tcW w:w="4678" w:type="dxa"/>
            <w:gridSpan w:val="3"/>
            <w:tcBorders>
              <w:top w:val="nil"/>
              <w:left w:val="nil"/>
              <w:bottom w:val="nil"/>
              <w:right w:val="nil"/>
            </w:tcBorders>
            <w:shd w:val="clear" w:color="auto" w:fill="auto"/>
            <w:noWrap/>
            <w:vAlign w:val="bottom"/>
            <w:hideMark/>
          </w:tcPr>
          <w:p w14:paraId="3B7CE64A" w14:textId="77777777" w:rsidR="00387142" w:rsidRPr="008B6A75" w:rsidRDefault="00387142" w:rsidP="00387142">
            <w:pPr>
              <w:rPr>
                <w:sz w:val="20"/>
                <w:szCs w:val="20"/>
              </w:rPr>
            </w:pPr>
          </w:p>
        </w:tc>
        <w:tc>
          <w:tcPr>
            <w:tcW w:w="1701" w:type="dxa"/>
            <w:gridSpan w:val="3"/>
            <w:tcBorders>
              <w:top w:val="nil"/>
              <w:left w:val="nil"/>
              <w:bottom w:val="nil"/>
              <w:right w:val="nil"/>
            </w:tcBorders>
            <w:shd w:val="clear" w:color="auto" w:fill="auto"/>
            <w:noWrap/>
            <w:vAlign w:val="bottom"/>
            <w:hideMark/>
          </w:tcPr>
          <w:p w14:paraId="419B7F52" w14:textId="77777777" w:rsidR="00387142" w:rsidRPr="008B6A75" w:rsidRDefault="00387142" w:rsidP="00387142">
            <w:pPr>
              <w:rPr>
                <w:sz w:val="20"/>
                <w:szCs w:val="20"/>
              </w:rPr>
            </w:pPr>
          </w:p>
        </w:tc>
        <w:tc>
          <w:tcPr>
            <w:tcW w:w="236" w:type="dxa"/>
            <w:gridSpan w:val="3"/>
            <w:tcBorders>
              <w:top w:val="nil"/>
              <w:left w:val="nil"/>
              <w:bottom w:val="nil"/>
              <w:right w:val="nil"/>
            </w:tcBorders>
            <w:shd w:val="clear" w:color="auto" w:fill="auto"/>
            <w:noWrap/>
            <w:vAlign w:val="bottom"/>
            <w:hideMark/>
          </w:tcPr>
          <w:p w14:paraId="05704FD9" w14:textId="77777777" w:rsidR="00387142" w:rsidRPr="008B6A75" w:rsidRDefault="00387142" w:rsidP="00387142">
            <w:pPr>
              <w:rPr>
                <w:sz w:val="20"/>
                <w:szCs w:val="20"/>
              </w:rPr>
            </w:pPr>
          </w:p>
        </w:tc>
        <w:tc>
          <w:tcPr>
            <w:tcW w:w="1863" w:type="dxa"/>
            <w:gridSpan w:val="5"/>
            <w:tcBorders>
              <w:top w:val="nil"/>
              <w:left w:val="nil"/>
              <w:bottom w:val="nil"/>
              <w:right w:val="nil"/>
            </w:tcBorders>
            <w:shd w:val="clear" w:color="auto" w:fill="auto"/>
            <w:noWrap/>
            <w:vAlign w:val="bottom"/>
            <w:hideMark/>
          </w:tcPr>
          <w:p w14:paraId="40B3F041" w14:textId="77777777" w:rsidR="00387142" w:rsidRPr="008B6A75" w:rsidRDefault="00387142" w:rsidP="00387142">
            <w:pPr>
              <w:rPr>
                <w:sz w:val="20"/>
                <w:szCs w:val="20"/>
              </w:rPr>
            </w:pPr>
          </w:p>
        </w:tc>
      </w:tr>
      <w:tr w:rsidR="00387142" w:rsidRPr="008B6A75" w14:paraId="29503987" w14:textId="77777777" w:rsidTr="00387142">
        <w:trPr>
          <w:gridBefore w:val="1"/>
          <w:gridAfter w:val="8"/>
          <w:wBefore w:w="34" w:type="dxa"/>
          <w:wAfter w:w="3117" w:type="dxa"/>
          <w:trHeight w:val="375"/>
        </w:trPr>
        <w:tc>
          <w:tcPr>
            <w:tcW w:w="7085" w:type="dxa"/>
            <w:gridSpan w:val="8"/>
            <w:tcBorders>
              <w:top w:val="nil"/>
              <w:left w:val="nil"/>
              <w:bottom w:val="nil"/>
              <w:right w:val="nil"/>
            </w:tcBorders>
            <w:shd w:val="clear" w:color="auto" w:fill="auto"/>
            <w:noWrap/>
            <w:vAlign w:val="bottom"/>
            <w:hideMark/>
          </w:tcPr>
          <w:p w14:paraId="00E9EDB0" w14:textId="77777777" w:rsidR="00387142" w:rsidRPr="008B6A75" w:rsidRDefault="00387142" w:rsidP="00387142">
            <w:pPr>
              <w:jc w:val="center"/>
              <w:rPr>
                <w:bCs/>
                <w:sz w:val="20"/>
                <w:szCs w:val="20"/>
              </w:rPr>
            </w:pPr>
            <w:r w:rsidRPr="008B6A75">
              <w:rPr>
                <w:bCs/>
                <w:sz w:val="20"/>
                <w:szCs w:val="20"/>
              </w:rPr>
              <w:t xml:space="preserve">Субсидии, получаемые из областного бюджета на 2022 год и плановый период 2023 и 2024 годов </w:t>
            </w:r>
          </w:p>
        </w:tc>
      </w:tr>
      <w:tr w:rsidR="00387142" w:rsidRPr="008B6A75" w14:paraId="4F68BEE3" w14:textId="77777777" w:rsidTr="00387142">
        <w:trPr>
          <w:gridBefore w:val="1"/>
          <w:gridAfter w:val="3"/>
          <w:wBefore w:w="34" w:type="dxa"/>
          <w:wAfter w:w="1957" w:type="dxa"/>
          <w:trHeight w:val="90"/>
        </w:trPr>
        <w:tc>
          <w:tcPr>
            <w:tcW w:w="4648" w:type="dxa"/>
            <w:gridSpan w:val="3"/>
            <w:tcBorders>
              <w:top w:val="nil"/>
              <w:left w:val="nil"/>
              <w:bottom w:val="nil"/>
              <w:right w:val="nil"/>
            </w:tcBorders>
            <w:shd w:val="clear" w:color="auto" w:fill="auto"/>
            <w:noWrap/>
            <w:vAlign w:val="bottom"/>
            <w:hideMark/>
          </w:tcPr>
          <w:p w14:paraId="05BBB98D" w14:textId="77777777" w:rsidR="00387142" w:rsidRPr="008B6A75" w:rsidRDefault="00387142" w:rsidP="00387142">
            <w:pPr>
              <w:jc w:val="center"/>
              <w:rPr>
                <w:bCs/>
                <w:sz w:val="20"/>
                <w:szCs w:val="20"/>
              </w:rPr>
            </w:pPr>
          </w:p>
        </w:tc>
        <w:tc>
          <w:tcPr>
            <w:tcW w:w="1701" w:type="dxa"/>
            <w:gridSpan w:val="3"/>
            <w:tcBorders>
              <w:top w:val="nil"/>
              <w:left w:val="nil"/>
              <w:bottom w:val="nil"/>
              <w:right w:val="nil"/>
            </w:tcBorders>
            <w:shd w:val="clear" w:color="auto" w:fill="auto"/>
            <w:noWrap/>
            <w:vAlign w:val="bottom"/>
            <w:hideMark/>
          </w:tcPr>
          <w:p w14:paraId="0DCA1C79" w14:textId="77777777" w:rsidR="00387142" w:rsidRPr="008B6A75" w:rsidRDefault="00387142" w:rsidP="00387142">
            <w:pPr>
              <w:jc w:val="center"/>
              <w:rPr>
                <w:sz w:val="20"/>
                <w:szCs w:val="20"/>
              </w:rPr>
            </w:pPr>
          </w:p>
        </w:tc>
        <w:tc>
          <w:tcPr>
            <w:tcW w:w="1660" w:type="dxa"/>
            <w:gridSpan w:val="6"/>
            <w:tcBorders>
              <w:top w:val="nil"/>
              <w:left w:val="nil"/>
              <w:bottom w:val="nil"/>
              <w:right w:val="nil"/>
            </w:tcBorders>
            <w:shd w:val="clear" w:color="auto" w:fill="auto"/>
            <w:noWrap/>
            <w:vAlign w:val="bottom"/>
            <w:hideMark/>
          </w:tcPr>
          <w:p w14:paraId="1DB2F94E" w14:textId="77777777" w:rsidR="00387142" w:rsidRPr="008B6A75" w:rsidRDefault="00387142" w:rsidP="00387142">
            <w:pPr>
              <w:rPr>
                <w:sz w:val="20"/>
                <w:szCs w:val="20"/>
              </w:rPr>
            </w:pPr>
          </w:p>
        </w:tc>
        <w:tc>
          <w:tcPr>
            <w:tcW w:w="236" w:type="dxa"/>
            <w:tcBorders>
              <w:top w:val="nil"/>
              <w:left w:val="nil"/>
              <w:bottom w:val="nil"/>
              <w:right w:val="nil"/>
            </w:tcBorders>
            <w:shd w:val="clear" w:color="auto" w:fill="auto"/>
            <w:noWrap/>
            <w:vAlign w:val="bottom"/>
            <w:hideMark/>
          </w:tcPr>
          <w:p w14:paraId="7612EF06" w14:textId="77777777" w:rsidR="00387142" w:rsidRPr="008B6A75" w:rsidRDefault="00387142" w:rsidP="00387142">
            <w:pPr>
              <w:rPr>
                <w:sz w:val="20"/>
                <w:szCs w:val="20"/>
              </w:rPr>
            </w:pPr>
          </w:p>
        </w:tc>
      </w:tr>
      <w:tr w:rsidR="00387142" w:rsidRPr="008B6A75" w14:paraId="16BD7BAC" w14:textId="77777777" w:rsidTr="00387142">
        <w:trPr>
          <w:gridBefore w:val="1"/>
          <w:gridAfter w:val="1"/>
          <w:wBefore w:w="34" w:type="dxa"/>
          <w:wAfter w:w="1238" w:type="dxa"/>
          <w:trHeight w:val="630"/>
        </w:trPr>
        <w:tc>
          <w:tcPr>
            <w:tcW w:w="486" w:type="dxa"/>
            <w:tcBorders>
              <w:top w:val="single" w:sz="4" w:space="0" w:color="auto"/>
              <w:left w:val="single" w:sz="4" w:space="0" w:color="auto"/>
              <w:bottom w:val="nil"/>
              <w:right w:val="single" w:sz="4" w:space="0" w:color="auto"/>
            </w:tcBorders>
            <w:shd w:val="clear" w:color="auto" w:fill="auto"/>
            <w:noWrap/>
            <w:vAlign w:val="bottom"/>
            <w:hideMark/>
          </w:tcPr>
          <w:p w14:paraId="006FFCE2" w14:textId="77777777" w:rsidR="00387142" w:rsidRPr="008B6A75" w:rsidRDefault="00387142" w:rsidP="00387142">
            <w:pPr>
              <w:jc w:val="center"/>
              <w:rPr>
                <w:sz w:val="20"/>
                <w:szCs w:val="20"/>
              </w:rPr>
            </w:pPr>
            <w:r w:rsidRPr="008B6A75">
              <w:rPr>
                <w:sz w:val="20"/>
                <w:szCs w:val="20"/>
              </w:rPr>
              <w:t>№ п/п</w:t>
            </w:r>
          </w:p>
        </w:tc>
        <w:tc>
          <w:tcPr>
            <w:tcW w:w="4678" w:type="dxa"/>
            <w:gridSpan w:val="3"/>
            <w:tcBorders>
              <w:top w:val="single" w:sz="4" w:space="0" w:color="auto"/>
              <w:left w:val="nil"/>
              <w:bottom w:val="nil"/>
              <w:right w:val="single" w:sz="4" w:space="0" w:color="auto"/>
            </w:tcBorders>
            <w:shd w:val="clear" w:color="auto" w:fill="auto"/>
            <w:vAlign w:val="bottom"/>
            <w:hideMark/>
          </w:tcPr>
          <w:p w14:paraId="63452B96" w14:textId="77777777" w:rsidR="00387142" w:rsidRPr="008B6A75" w:rsidRDefault="00387142" w:rsidP="00387142">
            <w:pPr>
              <w:jc w:val="center"/>
              <w:rPr>
                <w:sz w:val="20"/>
                <w:szCs w:val="20"/>
              </w:rPr>
            </w:pPr>
            <w:r w:rsidRPr="008B6A75">
              <w:rPr>
                <w:sz w:val="20"/>
                <w:szCs w:val="20"/>
              </w:rPr>
              <w:t xml:space="preserve">Наименование </w:t>
            </w:r>
          </w:p>
        </w:tc>
        <w:tc>
          <w:tcPr>
            <w:tcW w:w="1701" w:type="dxa"/>
            <w:gridSpan w:val="3"/>
            <w:tcBorders>
              <w:top w:val="single" w:sz="4" w:space="0" w:color="auto"/>
              <w:left w:val="nil"/>
              <w:bottom w:val="single" w:sz="4" w:space="0" w:color="auto"/>
              <w:right w:val="single" w:sz="4" w:space="0" w:color="auto"/>
            </w:tcBorders>
            <w:shd w:val="clear" w:color="auto" w:fill="auto"/>
            <w:vAlign w:val="center"/>
            <w:hideMark/>
          </w:tcPr>
          <w:p w14:paraId="6FA61041" w14:textId="77777777" w:rsidR="00387142" w:rsidRPr="008B6A75" w:rsidRDefault="00387142" w:rsidP="00387142">
            <w:pPr>
              <w:jc w:val="center"/>
              <w:rPr>
                <w:sz w:val="20"/>
                <w:szCs w:val="20"/>
              </w:rPr>
            </w:pPr>
            <w:r w:rsidRPr="008B6A75">
              <w:rPr>
                <w:sz w:val="20"/>
                <w:szCs w:val="20"/>
              </w:rPr>
              <w:t>2022 год</w:t>
            </w:r>
          </w:p>
        </w:tc>
        <w:tc>
          <w:tcPr>
            <w:tcW w:w="236" w:type="dxa"/>
            <w:gridSpan w:val="3"/>
            <w:tcBorders>
              <w:top w:val="single" w:sz="4" w:space="0" w:color="auto"/>
              <w:left w:val="nil"/>
              <w:bottom w:val="single" w:sz="4" w:space="0" w:color="auto"/>
              <w:right w:val="single" w:sz="4" w:space="0" w:color="auto"/>
            </w:tcBorders>
            <w:shd w:val="clear" w:color="auto" w:fill="auto"/>
            <w:vAlign w:val="center"/>
            <w:hideMark/>
          </w:tcPr>
          <w:p w14:paraId="50CA6F18" w14:textId="77777777" w:rsidR="00387142" w:rsidRPr="008B6A75" w:rsidRDefault="00387142" w:rsidP="00387142">
            <w:pPr>
              <w:jc w:val="center"/>
              <w:rPr>
                <w:sz w:val="20"/>
                <w:szCs w:val="20"/>
              </w:rPr>
            </w:pPr>
            <w:r w:rsidRPr="008B6A75">
              <w:rPr>
                <w:sz w:val="20"/>
                <w:szCs w:val="20"/>
              </w:rPr>
              <w:t>2023 год</w:t>
            </w:r>
          </w:p>
        </w:tc>
        <w:tc>
          <w:tcPr>
            <w:tcW w:w="1863" w:type="dxa"/>
            <w:gridSpan w:val="5"/>
            <w:tcBorders>
              <w:top w:val="nil"/>
              <w:left w:val="nil"/>
              <w:bottom w:val="single" w:sz="4" w:space="0" w:color="auto"/>
              <w:right w:val="single" w:sz="4" w:space="0" w:color="auto"/>
            </w:tcBorders>
            <w:shd w:val="clear" w:color="auto" w:fill="auto"/>
            <w:vAlign w:val="center"/>
            <w:hideMark/>
          </w:tcPr>
          <w:p w14:paraId="0114D1B3" w14:textId="77777777" w:rsidR="00387142" w:rsidRPr="008B6A75" w:rsidRDefault="00387142" w:rsidP="00387142">
            <w:pPr>
              <w:jc w:val="center"/>
              <w:rPr>
                <w:sz w:val="20"/>
                <w:szCs w:val="20"/>
              </w:rPr>
            </w:pPr>
            <w:r w:rsidRPr="008B6A75">
              <w:rPr>
                <w:sz w:val="20"/>
                <w:szCs w:val="20"/>
              </w:rPr>
              <w:t>2024 год</w:t>
            </w:r>
          </w:p>
        </w:tc>
      </w:tr>
      <w:tr w:rsidR="00387142" w:rsidRPr="008B6A75" w14:paraId="431E3BEC" w14:textId="77777777" w:rsidTr="00387142">
        <w:trPr>
          <w:gridBefore w:val="1"/>
          <w:gridAfter w:val="1"/>
          <w:wBefore w:w="34" w:type="dxa"/>
          <w:wAfter w:w="1238" w:type="dxa"/>
          <w:trHeight w:val="315"/>
        </w:trPr>
        <w:tc>
          <w:tcPr>
            <w:tcW w:w="4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3E3F70" w14:textId="77777777" w:rsidR="00387142" w:rsidRPr="008B6A75" w:rsidRDefault="00387142" w:rsidP="00387142">
            <w:pPr>
              <w:jc w:val="center"/>
              <w:rPr>
                <w:sz w:val="20"/>
                <w:szCs w:val="20"/>
              </w:rPr>
            </w:pPr>
            <w:r w:rsidRPr="008B6A75">
              <w:rPr>
                <w:sz w:val="20"/>
                <w:szCs w:val="20"/>
              </w:rPr>
              <w:t>1</w:t>
            </w:r>
          </w:p>
        </w:tc>
        <w:tc>
          <w:tcPr>
            <w:tcW w:w="4678" w:type="dxa"/>
            <w:gridSpan w:val="3"/>
            <w:tcBorders>
              <w:top w:val="single" w:sz="4" w:space="0" w:color="auto"/>
              <w:left w:val="nil"/>
              <w:bottom w:val="single" w:sz="4" w:space="0" w:color="auto"/>
              <w:right w:val="single" w:sz="4" w:space="0" w:color="auto"/>
            </w:tcBorders>
            <w:shd w:val="clear" w:color="auto" w:fill="auto"/>
            <w:vAlign w:val="bottom"/>
            <w:hideMark/>
          </w:tcPr>
          <w:p w14:paraId="35149BBE" w14:textId="77777777" w:rsidR="00387142" w:rsidRPr="008B6A75" w:rsidRDefault="00387142" w:rsidP="00387142">
            <w:pPr>
              <w:jc w:val="center"/>
              <w:rPr>
                <w:sz w:val="20"/>
                <w:szCs w:val="20"/>
              </w:rPr>
            </w:pPr>
            <w:r w:rsidRPr="008B6A75">
              <w:rPr>
                <w:sz w:val="20"/>
                <w:szCs w:val="20"/>
              </w:rPr>
              <w:t>2</w:t>
            </w:r>
          </w:p>
        </w:tc>
        <w:tc>
          <w:tcPr>
            <w:tcW w:w="1701" w:type="dxa"/>
            <w:gridSpan w:val="3"/>
            <w:tcBorders>
              <w:top w:val="nil"/>
              <w:left w:val="nil"/>
              <w:bottom w:val="single" w:sz="4" w:space="0" w:color="auto"/>
              <w:right w:val="single" w:sz="4" w:space="0" w:color="auto"/>
            </w:tcBorders>
            <w:shd w:val="clear" w:color="auto" w:fill="auto"/>
            <w:noWrap/>
            <w:vAlign w:val="bottom"/>
            <w:hideMark/>
          </w:tcPr>
          <w:p w14:paraId="72A7A768" w14:textId="77777777" w:rsidR="00387142" w:rsidRPr="008B6A75" w:rsidRDefault="00387142" w:rsidP="00387142">
            <w:pPr>
              <w:jc w:val="center"/>
              <w:rPr>
                <w:sz w:val="20"/>
                <w:szCs w:val="20"/>
              </w:rPr>
            </w:pPr>
            <w:r w:rsidRPr="008B6A75">
              <w:rPr>
                <w:sz w:val="20"/>
                <w:szCs w:val="20"/>
              </w:rPr>
              <w:t>3</w:t>
            </w:r>
          </w:p>
        </w:tc>
        <w:tc>
          <w:tcPr>
            <w:tcW w:w="236" w:type="dxa"/>
            <w:gridSpan w:val="3"/>
            <w:tcBorders>
              <w:top w:val="nil"/>
              <w:left w:val="nil"/>
              <w:bottom w:val="single" w:sz="4" w:space="0" w:color="auto"/>
              <w:right w:val="single" w:sz="4" w:space="0" w:color="auto"/>
            </w:tcBorders>
            <w:shd w:val="clear" w:color="auto" w:fill="auto"/>
            <w:noWrap/>
            <w:vAlign w:val="bottom"/>
            <w:hideMark/>
          </w:tcPr>
          <w:p w14:paraId="24CE2364" w14:textId="77777777" w:rsidR="00387142" w:rsidRPr="008B6A75" w:rsidRDefault="00387142" w:rsidP="00387142">
            <w:pPr>
              <w:jc w:val="center"/>
              <w:rPr>
                <w:sz w:val="20"/>
                <w:szCs w:val="20"/>
              </w:rPr>
            </w:pPr>
            <w:r w:rsidRPr="008B6A75">
              <w:rPr>
                <w:sz w:val="20"/>
                <w:szCs w:val="20"/>
              </w:rPr>
              <w:t>4</w:t>
            </w:r>
          </w:p>
        </w:tc>
        <w:tc>
          <w:tcPr>
            <w:tcW w:w="1863" w:type="dxa"/>
            <w:gridSpan w:val="5"/>
            <w:tcBorders>
              <w:top w:val="nil"/>
              <w:left w:val="nil"/>
              <w:bottom w:val="single" w:sz="4" w:space="0" w:color="auto"/>
              <w:right w:val="single" w:sz="4" w:space="0" w:color="auto"/>
            </w:tcBorders>
            <w:shd w:val="clear" w:color="auto" w:fill="auto"/>
            <w:noWrap/>
            <w:vAlign w:val="bottom"/>
            <w:hideMark/>
          </w:tcPr>
          <w:p w14:paraId="1330684E" w14:textId="77777777" w:rsidR="00387142" w:rsidRPr="008B6A75" w:rsidRDefault="00387142" w:rsidP="00387142">
            <w:pPr>
              <w:jc w:val="center"/>
              <w:rPr>
                <w:sz w:val="20"/>
                <w:szCs w:val="20"/>
              </w:rPr>
            </w:pPr>
            <w:r w:rsidRPr="008B6A75">
              <w:rPr>
                <w:sz w:val="20"/>
                <w:szCs w:val="20"/>
              </w:rPr>
              <w:t>5</w:t>
            </w:r>
          </w:p>
        </w:tc>
      </w:tr>
      <w:tr w:rsidR="00387142" w:rsidRPr="008B6A75" w14:paraId="1EDBB0C5" w14:textId="77777777" w:rsidTr="00387142">
        <w:trPr>
          <w:gridBefore w:val="1"/>
          <w:gridAfter w:val="1"/>
          <w:wBefore w:w="34" w:type="dxa"/>
          <w:wAfter w:w="1238" w:type="dxa"/>
          <w:trHeight w:val="945"/>
        </w:trPr>
        <w:tc>
          <w:tcPr>
            <w:tcW w:w="486" w:type="dxa"/>
            <w:tcBorders>
              <w:top w:val="nil"/>
              <w:left w:val="single" w:sz="4" w:space="0" w:color="auto"/>
              <w:bottom w:val="single" w:sz="4" w:space="0" w:color="auto"/>
              <w:right w:val="nil"/>
            </w:tcBorders>
            <w:shd w:val="clear" w:color="auto" w:fill="auto"/>
            <w:noWrap/>
            <w:vAlign w:val="bottom"/>
            <w:hideMark/>
          </w:tcPr>
          <w:p w14:paraId="79EDA06D" w14:textId="77777777" w:rsidR="00387142" w:rsidRPr="008B6A75" w:rsidRDefault="00387142" w:rsidP="00387142">
            <w:pPr>
              <w:jc w:val="right"/>
              <w:rPr>
                <w:sz w:val="20"/>
                <w:szCs w:val="20"/>
              </w:rPr>
            </w:pPr>
            <w:r w:rsidRPr="008B6A75">
              <w:rPr>
                <w:sz w:val="20"/>
                <w:szCs w:val="20"/>
              </w:rPr>
              <w:t>1</w:t>
            </w:r>
          </w:p>
        </w:tc>
        <w:tc>
          <w:tcPr>
            <w:tcW w:w="4678" w:type="dxa"/>
            <w:gridSpan w:val="3"/>
            <w:tcBorders>
              <w:top w:val="nil"/>
              <w:left w:val="single" w:sz="4" w:space="0" w:color="auto"/>
              <w:bottom w:val="single" w:sz="4" w:space="0" w:color="auto"/>
              <w:right w:val="single" w:sz="4" w:space="0" w:color="auto"/>
            </w:tcBorders>
            <w:shd w:val="clear" w:color="auto" w:fill="auto"/>
            <w:vAlign w:val="bottom"/>
            <w:hideMark/>
          </w:tcPr>
          <w:p w14:paraId="2C3071AE" w14:textId="77777777" w:rsidR="00387142" w:rsidRPr="008B6A75" w:rsidRDefault="00387142" w:rsidP="00387142">
            <w:pPr>
              <w:rPr>
                <w:sz w:val="20"/>
                <w:szCs w:val="20"/>
              </w:rPr>
            </w:pPr>
            <w:r w:rsidRPr="008B6A75">
              <w:rPr>
                <w:sz w:val="20"/>
                <w:szCs w:val="20"/>
              </w:rPr>
              <w:t xml:space="preserve">Субсидии на реализацию мероприятий по оздоровлению детей государственной программы Новосибирской </w:t>
            </w:r>
            <w:proofErr w:type="gramStart"/>
            <w:r w:rsidRPr="008B6A75">
              <w:rPr>
                <w:sz w:val="20"/>
                <w:szCs w:val="20"/>
              </w:rPr>
              <w:t>области  "</w:t>
            </w:r>
            <w:proofErr w:type="gramEnd"/>
            <w:r w:rsidRPr="008B6A75">
              <w:rPr>
                <w:sz w:val="20"/>
                <w:szCs w:val="20"/>
              </w:rPr>
              <w:t xml:space="preserve">Социальная поддержка в Новосибирской области" </w:t>
            </w:r>
          </w:p>
        </w:tc>
        <w:tc>
          <w:tcPr>
            <w:tcW w:w="1701" w:type="dxa"/>
            <w:gridSpan w:val="3"/>
            <w:tcBorders>
              <w:top w:val="nil"/>
              <w:left w:val="nil"/>
              <w:bottom w:val="single" w:sz="4" w:space="0" w:color="auto"/>
              <w:right w:val="single" w:sz="4" w:space="0" w:color="auto"/>
            </w:tcBorders>
            <w:shd w:val="clear" w:color="auto" w:fill="auto"/>
            <w:vAlign w:val="center"/>
            <w:hideMark/>
          </w:tcPr>
          <w:p w14:paraId="5985F242" w14:textId="77777777" w:rsidR="00387142" w:rsidRPr="008B6A75" w:rsidRDefault="00387142" w:rsidP="00387142">
            <w:pPr>
              <w:jc w:val="center"/>
              <w:rPr>
                <w:color w:val="000000"/>
                <w:sz w:val="20"/>
                <w:szCs w:val="20"/>
              </w:rPr>
            </w:pPr>
            <w:r w:rsidRPr="008B6A75">
              <w:rPr>
                <w:color w:val="000000"/>
                <w:sz w:val="20"/>
                <w:szCs w:val="20"/>
              </w:rPr>
              <w:t>2 658 700,00</w:t>
            </w:r>
          </w:p>
        </w:tc>
        <w:tc>
          <w:tcPr>
            <w:tcW w:w="236" w:type="dxa"/>
            <w:gridSpan w:val="3"/>
            <w:tcBorders>
              <w:top w:val="nil"/>
              <w:left w:val="nil"/>
              <w:bottom w:val="single" w:sz="4" w:space="0" w:color="auto"/>
              <w:right w:val="single" w:sz="4" w:space="0" w:color="auto"/>
            </w:tcBorders>
            <w:shd w:val="clear" w:color="auto" w:fill="auto"/>
            <w:vAlign w:val="center"/>
            <w:hideMark/>
          </w:tcPr>
          <w:p w14:paraId="02ABA3D9" w14:textId="77777777" w:rsidR="00387142" w:rsidRPr="008B6A75" w:rsidRDefault="00387142" w:rsidP="00387142">
            <w:pPr>
              <w:jc w:val="center"/>
              <w:rPr>
                <w:color w:val="000000"/>
                <w:sz w:val="20"/>
                <w:szCs w:val="20"/>
              </w:rPr>
            </w:pPr>
            <w:r w:rsidRPr="008B6A75">
              <w:rPr>
                <w:color w:val="000000"/>
                <w:sz w:val="20"/>
                <w:szCs w:val="20"/>
              </w:rPr>
              <w:t>2 658 700,00</w:t>
            </w:r>
          </w:p>
        </w:tc>
        <w:tc>
          <w:tcPr>
            <w:tcW w:w="1863" w:type="dxa"/>
            <w:gridSpan w:val="5"/>
            <w:tcBorders>
              <w:top w:val="nil"/>
              <w:left w:val="nil"/>
              <w:bottom w:val="single" w:sz="4" w:space="0" w:color="auto"/>
              <w:right w:val="single" w:sz="4" w:space="0" w:color="auto"/>
            </w:tcBorders>
            <w:shd w:val="clear" w:color="auto" w:fill="auto"/>
            <w:vAlign w:val="center"/>
            <w:hideMark/>
          </w:tcPr>
          <w:p w14:paraId="0DB97575" w14:textId="77777777" w:rsidR="00387142" w:rsidRPr="008B6A75" w:rsidRDefault="00387142" w:rsidP="00387142">
            <w:pPr>
              <w:jc w:val="center"/>
              <w:rPr>
                <w:color w:val="000000"/>
                <w:sz w:val="20"/>
                <w:szCs w:val="20"/>
              </w:rPr>
            </w:pPr>
            <w:r w:rsidRPr="008B6A75">
              <w:rPr>
                <w:color w:val="000000"/>
                <w:sz w:val="20"/>
                <w:szCs w:val="20"/>
              </w:rPr>
              <w:t>2 658 700,00</w:t>
            </w:r>
          </w:p>
        </w:tc>
      </w:tr>
      <w:tr w:rsidR="00387142" w:rsidRPr="008B6A75" w14:paraId="513A09F3" w14:textId="77777777" w:rsidTr="00387142">
        <w:trPr>
          <w:gridBefore w:val="1"/>
          <w:gridAfter w:val="1"/>
          <w:wBefore w:w="34" w:type="dxa"/>
          <w:wAfter w:w="1238" w:type="dxa"/>
          <w:trHeight w:val="2835"/>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14:paraId="6D1946F0" w14:textId="77777777" w:rsidR="00387142" w:rsidRPr="008B6A75" w:rsidRDefault="00387142" w:rsidP="00387142">
            <w:pPr>
              <w:jc w:val="right"/>
              <w:rPr>
                <w:sz w:val="20"/>
                <w:szCs w:val="20"/>
              </w:rPr>
            </w:pPr>
            <w:r w:rsidRPr="008B6A75">
              <w:rPr>
                <w:sz w:val="20"/>
                <w:szCs w:val="20"/>
              </w:rPr>
              <w:lastRenderedPageBreak/>
              <w:t>2</w:t>
            </w:r>
          </w:p>
        </w:tc>
        <w:tc>
          <w:tcPr>
            <w:tcW w:w="4678" w:type="dxa"/>
            <w:gridSpan w:val="3"/>
            <w:tcBorders>
              <w:top w:val="nil"/>
              <w:left w:val="nil"/>
              <w:bottom w:val="single" w:sz="4" w:space="0" w:color="auto"/>
              <w:right w:val="single" w:sz="4" w:space="0" w:color="auto"/>
            </w:tcBorders>
            <w:shd w:val="clear" w:color="auto" w:fill="auto"/>
            <w:vAlign w:val="bottom"/>
            <w:hideMark/>
          </w:tcPr>
          <w:p w14:paraId="7DC34910" w14:textId="77777777" w:rsidR="00387142" w:rsidRPr="008B6A75" w:rsidRDefault="00387142" w:rsidP="00387142">
            <w:pPr>
              <w:rPr>
                <w:sz w:val="20"/>
                <w:szCs w:val="20"/>
              </w:rPr>
            </w:pPr>
            <w:r w:rsidRPr="008B6A75">
              <w:rPr>
                <w:sz w:val="20"/>
                <w:szCs w:val="20"/>
              </w:rPr>
              <w:t>Субсидии на реализацию мероприятий по устойчивому функционированию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 в том числе в целях реализации регионального проекта "Дорожная сеть (Новосибирская область)",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1701" w:type="dxa"/>
            <w:gridSpan w:val="3"/>
            <w:tcBorders>
              <w:top w:val="nil"/>
              <w:left w:val="nil"/>
              <w:bottom w:val="single" w:sz="4" w:space="0" w:color="auto"/>
              <w:right w:val="single" w:sz="4" w:space="0" w:color="auto"/>
            </w:tcBorders>
            <w:shd w:val="clear" w:color="auto" w:fill="auto"/>
            <w:vAlign w:val="center"/>
            <w:hideMark/>
          </w:tcPr>
          <w:p w14:paraId="47D6EFF6" w14:textId="77777777" w:rsidR="00387142" w:rsidRPr="008B6A75" w:rsidRDefault="00387142" w:rsidP="00387142">
            <w:pPr>
              <w:jc w:val="center"/>
              <w:rPr>
                <w:color w:val="000000"/>
                <w:sz w:val="20"/>
                <w:szCs w:val="20"/>
              </w:rPr>
            </w:pPr>
            <w:r w:rsidRPr="008B6A75">
              <w:rPr>
                <w:color w:val="000000"/>
                <w:sz w:val="20"/>
                <w:szCs w:val="20"/>
              </w:rPr>
              <w:t>32 578 500,00</w:t>
            </w:r>
          </w:p>
        </w:tc>
        <w:tc>
          <w:tcPr>
            <w:tcW w:w="236" w:type="dxa"/>
            <w:gridSpan w:val="3"/>
            <w:tcBorders>
              <w:top w:val="nil"/>
              <w:left w:val="nil"/>
              <w:bottom w:val="single" w:sz="4" w:space="0" w:color="auto"/>
              <w:right w:val="single" w:sz="4" w:space="0" w:color="auto"/>
            </w:tcBorders>
            <w:shd w:val="clear" w:color="auto" w:fill="auto"/>
            <w:vAlign w:val="center"/>
            <w:hideMark/>
          </w:tcPr>
          <w:p w14:paraId="1BC081AB" w14:textId="77777777" w:rsidR="00387142" w:rsidRPr="008B6A75" w:rsidRDefault="00387142" w:rsidP="00387142">
            <w:pPr>
              <w:jc w:val="center"/>
              <w:rPr>
                <w:color w:val="000000"/>
                <w:sz w:val="20"/>
                <w:szCs w:val="20"/>
              </w:rPr>
            </w:pPr>
            <w:r w:rsidRPr="008B6A75">
              <w:rPr>
                <w:color w:val="000000"/>
                <w:sz w:val="20"/>
                <w:szCs w:val="20"/>
              </w:rPr>
              <w:t>33 565 800,00</w:t>
            </w:r>
          </w:p>
        </w:tc>
        <w:tc>
          <w:tcPr>
            <w:tcW w:w="1863" w:type="dxa"/>
            <w:gridSpan w:val="5"/>
            <w:tcBorders>
              <w:top w:val="nil"/>
              <w:left w:val="nil"/>
              <w:bottom w:val="single" w:sz="4" w:space="0" w:color="auto"/>
              <w:right w:val="single" w:sz="4" w:space="0" w:color="auto"/>
            </w:tcBorders>
            <w:shd w:val="clear" w:color="auto" w:fill="auto"/>
            <w:vAlign w:val="center"/>
            <w:hideMark/>
          </w:tcPr>
          <w:p w14:paraId="433B33AB" w14:textId="77777777" w:rsidR="00387142" w:rsidRPr="008B6A75" w:rsidRDefault="00387142" w:rsidP="00387142">
            <w:pPr>
              <w:jc w:val="center"/>
              <w:rPr>
                <w:color w:val="000000"/>
                <w:sz w:val="20"/>
                <w:szCs w:val="20"/>
              </w:rPr>
            </w:pPr>
            <w:r w:rsidRPr="008B6A75">
              <w:rPr>
                <w:color w:val="000000"/>
                <w:sz w:val="20"/>
                <w:szCs w:val="20"/>
              </w:rPr>
              <w:t>39 663 600,00</w:t>
            </w:r>
          </w:p>
        </w:tc>
      </w:tr>
      <w:tr w:rsidR="00387142" w:rsidRPr="008B6A75" w14:paraId="74CD12CD" w14:textId="77777777" w:rsidTr="00387142">
        <w:trPr>
          <w:gridBefore w:val="1"/>
          <w:gridAfter w:val="1"/>
          <w:wBefore w:w="34" w:type="dxa"/>
          <w:wAfter w:w="1238" w:type="dxa"/>
          <w:trHeight w:val="1575"/>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14:paraId="3A9C9F85" w14:textId="77777777" w:rsidR="00387142" w:rsidRPr="008B6A75" w:rsidRDefault="00387142" w:rsidP="00387142">
            <w:pPr>
              <w:jc w:val="right"/>
              <w:rPr>
                <w:sz w:val="20"/>
                <w:szCs w:val="20"/>
              </w:rPr>
            </w:pPr>
            <w:r w:rsidRPr="008B6A75">
              <w:rPr>
                <w:sz w:val="20"/>
                <w:szCs w:val="20"/>
              </w:rPr>
              <w:t>3</w:t>
            </w:r>
          </w:p>
        </w:tc>
        <w:tc>
          <w:tcPr>
            <w:tcW w:w="4678" w:type="dxa"/>
            <w:gridSpan w:val="3"/>
            <w:tcBorders>
              <w:top w:val="nil"/>
              <w:left w:val="nil"/>
              <w:bottom w:val="single" w:sz="4" w:space="0" w:color="auto"/>
              <w:right w:val="single" w:sz="4" w:space="0" w:color="auto"/>
            </w:tcBorders>
            <w:shd w:val="clear" w:color="auto" w:fill="auto"/>
            <w:vAlign w:val="bottom"/>
            <w:hideMark/>
          </w:tcPr>
          <w:p w14:paraId="25A08EE7" w14:textId="77777777" w:rsidR="00387142" w:rsidRPr="008B6A75" w:rsidRDefault="00387142" w:rsidP="00387142">
            <w:pPr>
              <w:rPr>
                <w:sz w:val="20"/>
                <w:szCs w:val="20"/>
              </w:rPr>
            </w:pPr>
            <w:r w:rsidRPr="008B6A75">
              <w:rPr>
                <w:sz w:val="20"/>
                <w:szCs w:val="20"/>
              </w:rPr>
              <w:t xml:space="preserve">Субсидии на </w:t>
            </w:r>
            <w:proofErr w:type="spellStart"/>
            <w:r w:rsidRPr="008B6A75">
              <w:rPr>
                <w:sz w:val="20"/>
                <w:szCs w:val="20"/>
              </w:rPr>
              <w:t>софинансирование</w:t>
            </w:r>
            <w:proofErr w:type="spellEnd"/>
            <w:r w:rsidRPr="008B6A75">
              <w:rPr>
                <w:sz w:val="20"/>
                <w:szCs w:val="20"/>
              </w:rPr>
              <w:t xml:space="preserve"> муниципальных программ развития малого и среднего предпринимательства государственной программы Новосибирской области "Развитие субъектов малого и среднего предпринимательства в Новосибирской области" </w:t>
            </w:r>
          </w:p>
        </w:tc>
        <w:tc>
          <w:tcPr>
            <w:tcW w:w="1701" w:type="dxa"/>
            <w:gridSpan w:val="3"/>
            <w:tcBorders>
              <w:top w:val="nil"/>
              <w:left w:val="nil"/>
              <w:bottom w:val="single" w:sz="4" w:space="0" w:color="auto"/>
              <w:right w:val="single" w:sz="4" w:space="0" w:color="auto"/>
            </w:tcBorders>
            <w:shd w:val="clear" w:color="auto" w:fill="auto"/>
            <w:vAlign w:val="center"/>
            <w:hideMark/>
          </w:tcPr>
          <w:p w14:paraId="1B9708BD" w14:textId="77777777" w:rsidR="00387142" w:rsidRPr="008B6A75" w:rsidRDefault="00387142" w:rsidP="00387142">
            <w:pPr>
              <w:jc w:val="center"/>
              <w:rPr>
                <w:color w:val="000000"/>
                <w:sz w:val="20"/>
                <w:szCs w:val="20"/>
              </w:rPr>
            </w:pPr>
            <w:r w:rsidRPr="008B6A75">
              <w:rPr>
                <w:color w:val="000000"/>
                <w:sz w:val="20"/>
                <w:szCs w:val="20"/>
              </w:rPr>
              <w:t>204 200,00</w:t>
            </w:r>
          </w:p>
        </w:tc>
        <w:tc>
          <w:tcPr>
            <w:tcW w:w="236" w:type="dxa"/>
            <w:gridSpan w:val="3"/>
            <w:tcBorders>
              <w:top w:val="nil"/>
              <w:left w:val="nil"/>
              <w:bottom w:val="single" w:sz="4" w:space="0" w:color="auto"/>
              <w:right w:val="single" w:sz="4" w:space="0" w:color="auto"/>
            </w:tcBorders>
            <w:shd w:val="clear" w:color="auto" w:fill="auto"/>
            <w:vAlign w:val="center"/>
            <w:hideMark/>
          </w:tcPr>
          <w:p w14:paraId="0C3705D1" w14:textId="77777777" w:rsidR="00387142" w:rsidRPr="008B6A75" w:rsidRDefault="00387142" w:rsidP="00387142">
            <w:pPr>
              <w:jc w:val="center"/>
              <w:rPr>
                <w:color w:val="000000"/>
                <w:sz w:val="20"/>
                <w:szCs w:val="20"/>
              </w:rPr>
            </w:pPr>
            <w:r w:rsidRPr="008B6A75">
              <w:rPr>
                <w:color w:val="000000"/>
                <w:sz w:val="20"/>
                <w:szCs w:val="20"/>
              </w:rPr>
              <w:t>204 200,00</w:t>
            </w:r>
          </w:p>
        </w:tc>
        <w:tc>
          <w:tcPr>
            <w:tcW w:w="1863" w:type="dxa"/>
            <w:gridSpan w:val="5"/>
            <w:tcBorders>
              <w:top w:val="nil"/>
              <w:left w:val="nil"/>
              <w:bottom w:val="single" w:sz="4" w:space="0" w:color="auto"/>
              <w:right w:val="single" w:sz="4" w:space="0" w:color="auto"/>
            </w:tcBorders>
            <w:shd w:val="clear" w:color="auto" w:fill="auto"/>
            <w:vAlign w:val="center"/>
            <w:hideMark/>
          </w:tcPr>
          <w:p w14:paraId="35E6DD85" w14:textId="77777777" w:rsidR="00387142" w:rsidRPr="008B6A75" w:rsidRDefault="00387142" w:rsidP="00387142">
            <w:pPr>
              <w:jc w:val="center"/>
              <w:rPr>
                <w:color w:val="000000"/>
                <w:sz w:val="20"/>
                <w:szCs w:val="20"/>
              </w:rPr>
            </w:pPr>
            <w:r w:rsidRPr="008B6A75">
              <w:rPr>
                <w:color w:val="000000"/>
                <w:sz w:val="20"/>
                <w:szCs w:val="20"/>
              </w:rPr>
              <w:t>204 200,00</w:t>
            </w:r>
          </w:p>
        </w:tc>
      </w:tr>
      <w:tr w:rsidR="00387142" w:rsidRPr="008B6A75" w14:paraId="00ED72A6" w14:textId="77777777" w:rsidTr="00387142">
        <w:trPr>
          <w:gridBefore w:val="1"/>
          <w:gridAfter w:val="1"/>
          <w:wBefore w:w="34" w:type="dxa"/>
          <w:wAfter w:w="1238" w:type="dxa"/>
          <w:trHeight w:val="1575"/>
        </w:trPr>
        <w:tc>
          <w:tcPr>
            <w:tcW w:w="486" w:type="dxa"/>
            <w:tcBorders>
              <w:top w:val="nil"/>
              <w:left w:val="single" w:sz="4" w:space="0" w:color="auto"/>
              <w:bottom w:val="single" w:sz="4" w:space="0" w:color="auto"/>
              <w:right w:val="single" w:sz="4" w:space="0" w:color="auto"/>
            </w:tcBorders>
            <w:shd w:val="clear" w:color="000000" w:fill="FFFFFF"/>
            <w:noWrap/>
            <w:vAlign w:val="bottom"/>
            <w:hideMark/>
          </w:tcPr>
          <w:p w14:paraId="7A573A5B" w14:textId="77777777" w:rsidR="00387142" w:rsidRPr="008B6A75" w:rsidRDefault="00387142" w:rsidP="00387142">
            <w:pPr>
              <w:jc w:val="right"/>
              <w:rPr>
                <w:sz w:val="20"/>
                <w:szCs w:val="20"/>
              </w:rPr>
            </w:pPr>
            <w:r w:rsidRPr="008B6A75">
              <w:rPr>
                <w:sz w:val="20"/>
                <w:szCs w:val="20"/>
              </w:rPr>
              <w:t>4</w:t>
            </w:r>
          </w:p>
        </w:tc>
        <w:tc>
          <w:tcPr>
            <w:tcW w:w="4678" w:type="dxa"/>
            <w:gridSpan w:val="3"/>
            <w:tcBorders>
              <w:top w:val="nil"/>
              <w:left w:val="nil"/>
              <w:bottom w:val="single" w:sz="4" w:space="0" w:color="auto"/>
              <w:right w:val="single" w:sz="4" w:space="0" w:color="auto"/>
            </w:tcBorders>
            <w:shd w:val="clear" w:color="000000" w:fill="FFFFFF"/>
            <w:vAlign w:val="bottom"/>
            <w:hideMark/>
          </w:tcPr>
          <w:p w14:paraId="7F66A6DF" w14:textId="77777777" w:rsidR="00387142" w:rsidRPr="008B6A75" w:rsidRDefault="00387142" w:rsidP="00387142">
            <w:pPr>
              <w:rPr>
                <w:sz w:val="20"/>
                <w:szCs w:val="20"/>
              </w:rPr>
            </w:pPr>
            <w:r w:rsidRPr="008B6A75">
              <w:rPr>
                <w:sz w:val="20"/>
                <w:szCs w:val="20"/>
              </w:rPr>
              <w:t xml:space="preserve">Субсидии на реализацию мероприятий по обеспечению развития и укрепления материально-технической базы домов культуры в населенных пунктах с числом жителей до 50 тысяч человек государственной программы Новосибирской области "Культура Новосибирской области" </w:t>
            </w:r>
          </w:p>
        </w:tc>
        <w:tc>
          <w:tcPr>
            <w:tcW w:w="1701" w:type="dxa"/>
            <w:gridSpan w:val="3"/>
            <w:tcBorders>
              <w:top w:val="nil"/>
              <w:left w:val="nil"/>
              <w:bottom w:val="single" w:sz="4" w:space="0" w:color="auto"/>
              <w:right w:val="single" w:sz="4" w:space="0" w:color="auto"/>
            </w:tcBorders>
            <w:shd w:val="clear" w:color="auto" w:fill="auto"/>
            <w:vAlign w:val="center"/>
            <w:hideMark/>
          </w:tcPr>
          <w:p w14:paraId="201CB5EB" w14:textId="77777777" w:rsidR="00387142" w:rsidRPr="008B6A75" w:rsidRDefault="00387142" w:rsidP="00387142">
            <w:pPr>
              <w:jc w:val="center"/>
              <w:rPr>
                <w:color w:val="000000"/>
                <w:sz w:val="20"/>
                <w:szCs w:val="20"/>
              </w:rPr>
            </w:pPr>
            <w:r w:rsidRPr="008B6A75">
              <w:rPr>
                <w:color w:val="000000"/>
                <w:sz w:val="20"/>
                <w:szCs w:val="20"/>
              </w:rPr>
              <w:t>1 581 800,00</w:t>
            </w:r>
          </w:p>
        </w:tc>
        <w:tc>
          <w:tcPr>
            <w:tcW w:w="236" w:type="dxa"/>
            <w:gridSpan w:val="3"/>
            <w:tcBorders>
              <w:top w:val="nil"/>
              <w:left w:val="nil"/>
              <w:bottom w:val="single" w:sz="4" w:space="0" w:color="auto"/>
              <w:right w:val="single" w:sz="4" w:space="0" w:color="auto"/>
            </w:tcBorders>
            <w:shd w:val="clear" w:color="auto" w:fill="auto"/>
            <w:vAlign w:val="center"/>
            <w:hideMark/>
          </w:tcPr>
          <w:p w14:paraId="087BCA6C" w14:textId="77777777" w:rsidR="00387142" w:rsidRPr="008B6A75" w:rsidRDefault="00387142" w:rsidP="00387142">
            <w:pPr>
              <w:jc w:val="center"/>
              <w:rPr>
                <w:color w:val="000000"/>
                <w:sz w:val="20"/>
                <w:szCs w:val="20"/>
              </w:rPr>
            </w:pPr>
            <w:r w:rsidRPr="008B6A75">
              <w:rPr>
                <w:color w:val="000000"/>
                <w:sz w:val="20"/>
                <w:szCs w:val="20"/>
              </w:rPr>
              <w:t>1 581 800,00</w:t>
            </w:r>
          </w:p>
        </w:tc>
        <w:tc>
          <w:tcPr>
            <w:tcW w:w="1863" w:type="dxa"/>
            <w:gridSpan w:val="5"/>
            <w:tcBorders>
              <w:top w:val="nil"/>
              <w:left w:val="nil"/>
              <w:bottom w:val="single" w:sz="4" w:space="0" w:color="auto"/>
              <w:right w:val="single" w:sz="4" w:space="0" w:color="auto"/>
            </w:tcBorders>
            <w:shd w:val="clear" w:color="auto" w:fill="auto"/>
            <w:vAlign w:val="center"/>
            <w:hideMark/>
          </w:tcPr>
          <w:p w14:paraId="101140BE" w14:textId="77777777" w:rsidR="00387142" w:rsidRPr="008B6A75" w:rsidRDefault="00387142" w:rsidP="00387142">
            <w:pPr>
              <w:jc w:val="center"/>
              <w:rPr>
                <w:color w:val="000000"/>
                <w:sz w:val="20"/>
                <w:szCs w:val="20"/>
              </w:rPr>
            </w:pPr>
            <w:r w:rsidRPr="008B6A75">
              <w:rPr>
                <w:color w:val="000000"/>
                <w:sz w:val="20"/>
                <w:szCs w:val="20"/>
              </w:rPr>
              <w:t>1 581 800,00</w:t>
            </w:r>
          </w:p>
        </w:tc>
      </w:tr>
      <w:tr w:rsidR="00387142" w:rsidRPr="008B6A75" w14:paraId="3093B479" w14:textId="77777777" w:rsidTr="00387142">
        <w:trPr>
          <w:gridBefore w:val="1"/>
          <w:gridAfter w:val="1"/>
          <w:wBefore w:w="34" w:type="dxa"/>
          <w:wAfter w:w="1238" w:type="dxa"/>
          <w:trHeight w:val="1575"/>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14:paraId="3053F192" w14:textId="77777777" w:rsidR="00387142" w:rsidRPr="008B6A75" w:rsidRDefault="00387142" w:rsidP="00387142">
            <w:pPr>
              <w:jc w:val="right"/>
              <w:rPr>
                <w:sz w:val="20"/>
                <w:szCs w:val="20"/>
              </w:rPr>
            </w:pPr>
            <w:r w:rsidRPr="008B6A75">
              <w:rPr>
                <w:sz w:val="20"/>
                <w:szCs w:val="20"/>
              </w:rPr>
              <w:t>5</w:t>
            </w:r>
          </w:p>
        </w:tc>
        <w:tc>
          <w:tcPr>
            <w:tcW w:w="4678" w:type="dxa"/>
            <w:gridSpan w:val="3"/>
            <w:tcBorders>
              <w:top w:val="nil"/>
              <w:left w:val="nil"/>
              <w:bottom w:val="single" w:sz="4" w:space="0" w:color="auto"/>
              <w:right w:val="single" w:sz="4" w:space="0" w:color="auto"/>
            </w:tcBorders>
            <w:shd w:val="clear" w:color="auto" w:fill="auto"/>
            <w:vAlign w:val="bottom"/>
            <w:hideMark/>
          </w:tcPr>
          <w:p w14:paraId="1F672869" w14:textId="77777777" w:rsidR="00387142" w:rsidRPr="008B6A75" w:rsidRDefault="00387142" w:rsidP="00387142">
            <w:pPr>
              <w:rPr>
                <w:sz w:val="20"/>
                <w:szCs w:val="20"/>
              </w:rPr>
            </w:pPr>
            <w:r w:rsidRPr="008B6A75">
              <w:rPr>
                <w:sz w:val="20"/>
                <w:szCs w:val="20"/>
              </w:rPr>
              <w:t>Субсидии на реализацию мероприятий по организации бесперебойной работы объектов жизнедеятельности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w:t>
            </w:r>
          </w:p>
        </w:tc>
        <w:tc>
          <w:tcPr>
            <w:tcW w:w="1701" w:type="dxa"/>
            <w:gridSpan w:val="3"/>
            <w:tcBorders>
              <w:top w:val="nil"/>
              <w:left w:val="nil"/>
              <w:bottom w:val="single" w:sz="4" w:space="0" w:color="auto"/>
              <w:right w:val="single" w:sz="4" w:space="0" w:color="auto"/>
            </w:tcBorders>
            <w:shd w:val="clear" w:color="auto" w:fill="auto"/>
            <w:vAlign w:val="center"/>
            <w:hideMark/>
          </w:tcPr>
          <w:p w14:paraId="5386163A" w14:textId="77777777" w:rsidR="00387142" w:rsidRPr="008B6A75" w:rsidRDefault="00387142" w:rsidP="00387142">
            <w:pPr>
              <w:jc w:val="center"/>
              <w:rPr>
                <w:color w:val="000000"/>
                <w:sz w:val="20"/>
                <w:szCs w:val="20"/>
              </w:rPr>
            </w:pPr>
            <w:r w:rsidRPr="008B6A75">
              <w:rPr>
                <w:color w:val="000000"/>
                <w:sz w:val="20"/>
                <w:szCs w:val="20"/>
              </w:rPr>
              <w:t>9 651 388,21</w:t>
            </w:r>
          </w:p>
        </w:tc>
        <w:tc>
          <w:tcPr>
            <w:tcW w:w="236" w:type="dxa"/>
            <w:gridSpan w:val="3"/>
            <w:tcBorders>
              <w:top w:val="nil"/>
              <w:left w:val="nil"/>
              <w:bottom w:val="single" w:sz="4" w:space="0" w:color="auto"/>
              <w:right w:val="single" w:sz="4" w:space="0" w:color="auto"/>
            </w:tcBorders>
            <w:shd w:val="clear" w:color="auto" w:fill="auto"/>
            <w:vAlign w:val="center"/>
            <w:hideMark/>
          </w:tcPr>
          <w:p w14:paraId="5A0F9B9A" w14:textId="77777777" w:rsidR="00387142" w:rsidRPr="008B6A75" w:rsidRDefault="00387142" w:rsidP="00387142">
            <w:pPr>
              <w:jc w:val="center"/>
              <w:rPr>
                <w:color w:val="000000"/>
                <w:sz w:val="20"/>
                <w:szCs w:val="20"/>
              </w:rPr>
            </w:pPr>
            <w:r w:rsidRPr="008B6A75">
              <w:rPr>
                <w:color w:val="000000"/>
                <w:sz w:val="20"/>
                <w:szCs w:val="20"/>
              </w:rPr>
              <w:t>9 651 400,00</w:t>
            </w:r>
          </w:p>
        </w:tc>
        <w:tc>
          <w:tcPr>
            <w:tcW w:w="1863" w:type="dxa"/>
            <w:gridSpan w:val="5"/>
            <w:tcBorders>
              <w:top w:val="nil"/>
              <w:left w:val="nil"/>
              <w:bottom w:val="single" w:sz="4" w:space="0" w:color="auto"/>
              <w:right w:val="single" w:sz="4" w:space="0" w:color="auto"/>
            </w:tcBorders>
            <w:shd w:val="clear" w:color="auto" w:fill="auto"/>
            <w:vAlign w:val="center"/>
            <w:hideMark/>
          </w:tcPr>
          <w:p w14:paraId="23D15417" w14:textId="77777777" w:rsidR="00387142" w:rsidRPr="008B6A75" w:rsidRDefault="00387142" w:rsidP="00387142">
            <w:pPr>
              <w:jc w:val="center"/>
              <w:rPr>
                <w:color w:val="000000"/>
                <w:sz w:val="20"/>
                <w:szCs w:val="20"/>
              </w:rPr>
            </w:pPr>
            <w:r w:rsidRPr="008B6A75">
              <w:rPr>
                <w:color w:val="000000"/>
                <w:sz w:val="20"/>
                <w:szCs w:val="20"/>
              </w:rPr>
              <w:t>9 651 400,00</w:t>
            </w:r>
          </w:p>
        </w:tc>
      </w:tr>
      <w:tr w:rsidR="00387142" w:rsidRPr="008B6A75" w14:paraId="216A23ED" w14:textId="77777777" w:rsidTr="00387142">
        <w:trPr>
          <w:gridBefore w:val="1"/>
          <w:gridAfter w:val="1"/>
          <w:wBefore w:w="34" w:type="dxa"/>
          <w:wAfter w:w="1238" w:type="dxa"/>
          <w:trHeight w:val="2205"/>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14:paraId="2D7F4FB0" w14:textId="77777777" w:rsidR="00387142" w:rsidRPr="008B6A75" w:rsidRDefault="00387142" w:rsidP="00387142">
            <w:pPr>
              <w:jc w:val="right"/>
              <w:rPr>
                <w:sz w:val="20"/>
                <w:szCs w:val="20"/>
              </w:rPr>
            </w:pPr>
            <w:r w:rsidRPr="008B6A75">
              <w:rPr>
                <w:sz w:val="20"/>
                <w:szCs w:val="20"/>
              </w:rPr>
              <w:t>6</w:t>
            </w:r>
          </w:p>
        </w:tc>
        <w:tc>
          <w:tcPr>
            <w:tcW w:w="4678" w:type="dxa"/>
            <w:gridSpan w:val="3"/>
            <w:tcBorders>
              <w:top w:val="nil"/>
              <w:left w:val="nil"/>
              <w:bottom w:val="single" w:sz="4" w:space="0" w:color="auto"/>
              <w:right w:val="single" w:sz="4" w:space="0" w:color="auto"/>
            </w:tcBorders>
            <w:shd w:val="clear" w:color="auto" w:fill="auto"/>
            <w:vAlign w:val="center"/>
            <w:hideMark/>
          </w:tcPr>
          <w:p w14:paraId="0820E297" w14:textId="77777777" w:rsidR="00387142" w:rsidRPr="008B6A75" w:rsidRDefault="00387142" w:rsidP="00387142">
            <w:pPr>
              <w:rPr>
                <w:sz w:val="20"/>
                <w:szCs w:val="20"/>
              </w:rPr>
            </w:pPr>
            <w:r w:rsidRPr="008B6A75">
              <w:rPr>
                <w:sz w:val="20"/>
                <w:szCs w:val="20"/>
              </w:rPr>
              <w:t xml:space="preserve">Субсидии на </w:t>
            </w:r>
            <w:proofErr w:type="spellStart"/>
            <w:r w:rsidRPr="008B6A75">
              <w:rPr>
                <w:sz w:val="20"/>
                <w:szCs w:val="20"/>
              </w:rPr>
              <w:t>софинансирование</w:t>
            </w:r>
            <w:proofErr w:type="spellEnd"/>
            <w:r w:rsidRPr="008B6A75">
              <w:rPr>
                <w:sz w:val="20"/>
                <w:szCs w:val="20"/>
              </w:rPr>
              <w:t xml:space="preserve"> мероприятий муниципальных программ развития территориального общественного самоуправления в Новосибирской области подпрограммы "Содействие развитию местного самоуправления" государственной программы Новосибирской области "Развитие институтов региональной политики и гражданского общества в Новосибирской области" </w:t>
            </w:r>
          </w:p>
        </w:tc>
        <w:tc>
          <w:tcPr>
            <w:tcW w:w="1701" w:type="dxa"/>
            <w:gridSpan w:val="3"/>
            <w:tcBorders>
              <w:top w:val="nil"/>
              <w:left w:val="nil"/>
              <w:bottom w:val="single" w:sz="4" w:space="0" w:color="auto"/>
              <w:right w:val="single" w:sz="4" w:space="0" w:color="auto"/>
            </w:tcBorders>
            <w:shd w:val="clear" w:color="auto" w:fill="auto"/>
            <w:vAlign w:val="center"/>
            <w:hideMark/>
          </w:tcPr>
          <w:p w14:paraId="70A1718D" w14:textId="77777777" w:rsidR="00387142" w:rsidRPr="008B6A75" w:rsidRDefault="00387142" w:rsidP="00387142">
            <w:pPr>
              <w:jc w:val="center"/>
              <w:rPr>
                <w:color w:val="000000"/>
                <w:sz w:val="20"/>
                <w:szCs w:val="20"/>
              </w:rPr>
            </w:pPr>
            <w:r w:rsidRPr="008B6A75">
              <w:rPr>
                <w:color w:val="000000"/>
                <w:sz w:val="20"/>
                <w:szCs w:val="20"/>
              </w:rPr>
              <w:t>927 000,00</w:t>
            </w:r>
          </w:p>
        </w:tc>
        <w:tc>
          <w:tcPr>
            <w:tcW w:w="236" w:type="dxa"/>
            <w:gridSpan w:val="3"/>
            <w:tcBorders>
              <w:top w:val="nil"/>
              <w:left w:val="nil"/>
              <w:bottom w:val="single" w:sz="4" w:space="0" w:color="auto"/>
              <w:right w:val="single" w:sz="4" w:space="0" w:color="auto"/>
            </w:tcBorders>
            <w:shd w:val="clear" w:color="auto" w:fill="auto"/>
            <w:vAlign w:val="center"/>
            <w:hideMark/>
          </w:tcPr>
          <w:p w14:paraId="7C8E1EFD" w14:textId="77777777" w:rsidR="00387142" w:rsidRPr="008B6A75" w:rsidRDefault="00387142" w:rsidP="00387142">
            <w:pPr>
              <w:jc w:val="center"/>
              <w:rPr>
                <w:color w:val="000000"/>
                <w:sz w:val="20"/>
                <w:szCs w:val="20"/>
              </w:rPr>
            </w:pPr>
            <w:r w:rsidRPr="008B6A75">
              <w:rPr>
                <w:color w:val="000000"/>
                <w:sz w:val="20"/>
                <w:szCs w:val="20"/>
              </w:rPr>
              <w:t>927 000,00</w:t>
            </w:r>
          </w:p>
        </w:tc>
        <w:tc>
          <w:tcPr>
            <w:tcW w:w="1863" w:type="dxa"/>
            <w:gridSpan w:val="5"/>
            <w:tcBorders>
              <w:top w:val="nil"/>
              <w:left w:val="nil"/>
              <w:bottom w:val="single" w:sz="4" w:space="0" w:color="auto"/>
              <w:right w:val="single" w:sz="4" w:space="0" w:color="auto"/>
            </w:tcBorders>
            <w:shd w:val="clear" w:color="auto" w:fill="auto"/>
            <w:vAlign w:val="center"/>
            <w:hideMark/>
          </w:tcPr>
          <w:p w14:paraId="7347B7FC" w14:textId="77777777" w:rsidR="00387142" w:rsidRPr="008B6A75" w:rsidRDefault="00387142" w:rsidP="00387142">
            <w:pPr>
              <w:jc w:val="center"/>
              <w:rPr>
                <w:color w:val="000000"/>
                <w:sz w:val="20"/>
                <w:szCs w:val="20"/>
              </w:rPr>
            </w:pPr>
            <w:r w:rsidRPr="008B6A75">
              <w:rPr>
                <w:color w:val="000000"/>
                <w:sz w:val="20"/>
                <w:szCs w:val="20"/>
              </w:rPr>
              <w:t>927 000,00</w:t>
            </w:r>
          </w:p>
        </w:tc>
      </w:tr>
      <w:tr w:rsidR="00387142" w:rsidRPr="008B6A75" w14:paraId="0550B49C" w14:textId="77777777" w:rsidTr="00387142">
        <w:trPr>
          <w:gridBefore w:val="1"/>
          <w:gridAfter w:val="1"/>
          <w:wBefore w:w="34" w:type="dxa"/>
          <w:wAfter w:w="1238" w:type="dxa"/>
          <w:trHeight w:val="126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14:paraId="7FF10BCB" w14:textId="77777777" w:rsidR="00387142" w:rsidRPr="008B6A75" w:rsidRDefault="00387142" w:rsidP="00387142">
            <w:pPr>
              <w:jc w:val="right"/>
              <w:rPr>
                <w:sz w:val="20"/>
                <w:szCs w:val="20"/>
              </w:rPr>
            </w:pPr>
            <w:r w:rsidRPr="008B6A75">
              <w:rPr>
                <w:sz w:val="20"/>
                <w:szCs w:val="20"/>
              </w:rPr>
              <w:t>7</w:t>
            </w:r>
          </w:p>
        </w:tc>
        <w:tc>
          <w:tcPr>
            <w:tcW w:w="4678" w:type="dxa"/>
            <w:gridSpan w:val="3"/>
            <w:tcBorders>
              <w:top w:val="nil"/>
              <w:left w:val="nil"/>
              <w:bottom w:val="single" w:sz="4" w:space="0" w:color="auto"/>
              <w:right w:val="single" w:sz="4" w:space="0" w:color="auto"/>
            </w:tcBorders>
            <w:shd w:val="clear" w:color="auto" w:fill="auto"/>
            <w:vAlign w:val="center"/>
            <w:hideMark/>
          </w:tcPr>
          <w:p w14:paraId="5D5E5CA3" w14:textId="77777777" w:rsidR="00387142" w:rsidRPr="008B6A75" w:rsidRDefault="00387142" w:rsidP="00387142">
            <w:pPr>
              <w:rPr>
                <w:sz w:val="20"/>
                <w:szCs w:val="20"/>
              </w:rPr>
            </w:pPr>
            <w:proofErr w:type="gramStart"/>
            <w:r w:rsidRPr="008B6A75">
              <w:rPr>
                <w:sz w:val="20"/>
                <w:szCs w:val="20"/>
              </w:rPr>
              <w:t>Субсидии  на</w:t>
            </w:r>
            <w:proofErr w:type="gramEnd"/>
            <w:r w:rsidRPr="008B6A75">
              <w:rPr>
                <w:sz w:val="20"/>
                <w:szCs w:val="20"/>
              </w:rPr>
              <w:t xml:space="preserve"> подготовку и проведение физкультурных и комплексных физкультурных мероприятий государственной программы Новосибирской области "Развитие физической культуры и спорта в Новосибирской области" </w:t>
            </w:r>
          </w:p>
        </w:tc>
        <w:tc>
          <w:tcPr>
            <w:tcW w:w="1701" w:type="dxa"/>
            <w:gridSpan w:val="3"/>
            <w:tcBorders>
              <w:top w:val="nil"/>
              <w:left w:val="nil"/>
              <w:bottom w:val="single" w:sz="4" w:space="0" w:color="auto"/>
              <w:right w:val="single" w:sz="4" w:space="0" w:color="auto"/>
            </w:tcBorders>
            <w:shd w:val="clear" w:color="auto" w:fill="auto"/>
            <w:vAlign w:val="center"/>
            <w:hideMark/>
          </w:tcPr>
          <w:p w14:paraId="0814B6A7" w14:textId="77777777" w:rsidR="00387142" w:rsidRPr="008B6A75" w:rsidRDefault="00387142" w:rsidP="00387142">
            <w:pPr>
              <w:jc w:val="center"/>
              <w:rPr>
                <w:color w:val="000000"/>
                <w:sz w:val="20"/>
                <w:szCs w:val="20"/>
              </w:rPr>
            </w:pPr>
            <w:r w:rsidRPr="008B6A75">
              <w:rPr>
                <w:color w:val="000000"/>
                <w:sz w:val="20"/>
                <w:szCs w:val="20"/>
              </w:rPr>
              <w:t>2 000 000,00</w:t>
            </w:r>
          </w:p>
        </w:tc>
        <w:tc>
          <w:tcPr>
            <w:tcW w:w="236" w:type="dxa"/>
            <w:gridSpan w:val="3"/>
            <w:tcBorders>
              <w:top w:val="nil"/>
              <w:left w:val="nil"/>
              <w:bottom w:val="single" w:sz="4" w:space="0" w:color="auto"/>
              <w:right w:val="single" w:sz="4" w:space="0" w:color="auto"/>
            </w:tcBorders>
            <w:shd w:val="clear" w:color="auto" w:fill="auto"/>
            <w:vAlign w:val="center"/>
            <w:hideMark/>
          </w:tcPr>
          <w:p w14:paraId="1DAFEB8D" w14:textId="77777777" w:rsidR="00387142" w:rsidRPr="008B6A75" w:rsidRDefault="00387142" w:rsidP="00387142">
            <w:pPr>
              <w:jc w:val="center"/>
              <w:rPr>
                <w:color w:val="000000"/>
                <w:sz w:val="20"/>
                <w:szCs w:val="20"/>
              </w:rPr>
            </w:pPr>
            <w:r w:rsidRPr="008B6A75">
              <w:rPr>
                <w:color w:val="000000"/>
                <w:sz w:val="20"/>
                <w:szCs w:val="20"/>
              </w:rPr>
              <w:t>0,00</w:t>
            </w:r>
          </w:p>
        </w:tc>
        <w:tc>
          <w:tcPr>
            <w:tcW w:w="1863" w:type="dxa"/>
            <w:gridSpan w:val="5"/>
            <w:tcBorders>
              <w:top w:val="nil"/>
              <w:left w:val="nil"/>
              <w:bottom w:val="single" w:sz="4" w:space="0" w:color="auto"/>
              <w:right w:val="single" w:sz="4" w:space="0" w:color="auto"/>
            </w:tcBorders>
            <w:shd w:val="clear" w:color="auto" w:fill="auto"/>
            <w:vAlign w:val="center"/>
            <w:hideMark/>
          </w:tcPr>
          <w:p w14:paraId="00EC539F" w14:textId="77777777" w:rsidR="00387142" w:rsidRPr="008B6A75" w:rsidRDefault="00387142" w:rsidP="00387142">
            <w:pPr>
              <w:jc w:val="center"/>
              <w:rPr>
                <w:color w:val="000000"/>
                <w:sz w:val="20"/>
                <w:szCs w:val="20"/>
              </w:rPr>
            </w:pPr>
            <w:r w:rsidRPr="008B6A75">
              <w:rPr>
                <w:color w:val="000000"/>
                <w:sz w:val="20"/>
                <w:szCs w:val="20"/>
              </w:rPr>
              <w:t>0,00</w:t>
            </w:r>
          </w:p>
        </w:tc>
      </w:tr>
      <w:tr w:rsidR="00387142" w:rsidRPr="008B6A75" w14:paraId="0DC5E5A2" w14:textId="77777777" w:rsidTr="00387142">
        <w:trPr>
          <w:gridBefore w:val="1"/>
          <w:gridAfter w:val="1"/>
          <w:wBefore w:w="34" w:type="dxa"/>
          <w:wAfter w:w="1238" w:type="dxa"/>
          <w:trHeight w:val="189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14:paraId="042D80D8" w14:textId="77777777" w:rsidR="00387142" w:rsidRPr="008B6A75" w:rsidRDefault="00387142" w:rsidP="00387142">
            <w:pPr>
              <w:jc w:val="right"/>
              <w:rPr>
                <w:sz w:val="20"/>
                <w:szCs w:val="20"/>
              </w:rPr>
            </w:pPr>
            <w:r w:rsidRPr="008B6A75">
              <w:rPr>
                <w:sz w:val="20"/>
                <w:szCs w:val="20"/>
              </w:rPr>
              <w:t>8</w:t>
            </w:r>
          </w:p>
        </w:tc>
        <w:tc>
          <w:tcPr>
            <w:tcW w:w="4678" w:type="dxa"/>
            <w:gridSpan w:val="3"/>
            <w:tcBorders>
              <w:top w:val="nil"/>
              <w:left w:val="nil"/>
              <w:bottom w:val="single" w:sz="4" w:space="0" w:color="auto"/>
              <w:right w:val="single" w:sz="4" w:space="0" w:color="auto"/>
            </w:tcBorders>
            <w:shd w:val="clear" w:color="auto" w:fill="auto"/>
            <w:vAlign w:val="center"/>
            <w:hideMark/>
          </w:tcPr>
          <w:p w14:paraId="60B497F8" w14:textId="77777777" w:rsidR="00387142" w:rsidRPr="008B6A75" w:rsidRDefault="00387142" w:rsidP="00387142">
            <w:pPr>
              <w:rPr>
                <w:sz w:val="20"/>
                <w:szCs w:val="20"/>
              </w:rPr>
            </w:pPr>
            <w:proofErr w:type="gramStart"/>
            <w:r w:rsidRPr="008B6A75">
              <w:rPr>
                <w:sz w:val="20"/>
                <w:szCs w:val="20"/>
              </w:rPr>
              <w:t>Субсидии  на</w:t>
            </w:r>
            <w:proofErr w:type="gramEnd"/>
            <w:r w:rsidRPr="008B6A75">
              <w:rPr>
                <w:sz w:val="20"/>
                <w:szCs w:val="20"/>
              </w:rPr>
              <w:t xml:space="preserve"> реализацию мероприятий по организации функционирования систем жизнеобеспечения и снабжению населения топливом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w:t>
            </w:r>
          </w:p>
        </w:tc>
        <w:tc>
          <w:tcPr>
            <w:tcW w:w="1701" w:type="dxa"/>
            <w:gridSpan w:val="3"/>
            <w:tcBorders>
              <w:top w:val="nil"/>
              <w:left w:val="nil"/>
              <w:bottom w:val="single" w:sz="4" w:space="0" w:color="auto"/>
              <w:right w:val="single" w:sz="4" w:space="0" w:color="auto"/>
            </w:tcBorders>
            <w:shd w:val="clear" w:color="auto" w:fill="auto"/>
            <w:vAlign w:val="center"/>
            <w:hideMark/>
          </w:tcPr>
          <w:p w14:paraId="0B36FA30" w14:textId="77777777" w:rsidR="00387142" w:rsidRPr="008B6A75" w:rsidRDefault="00387142" w:rsidP="00387142">
            <w:pPr>
              <w:jc w:val="center"/>
              <w:rPr>
                <w:color w:val="000000"/>
                <w:sz w:val="20"/>
                <w:szCs w:val="20"/>
              </w:rPr>
            </w:pPr>
            <w:r w:rsidRPr="008B6A75">
              <w:rPr>
                <w:color w:val="000000"/>
                <w:sz w:val="20"/>
                <w:szCs w:val="20"/>
              </w:rPr>
              <w:t>29 962 877,00</w:t>
            </w:r>
          </w:p>
        </w:tc>
        <w:tc>
          <w:tcPr>
            <w:tcW w:w="236" w:type="dxa"/>
            <w:gridSpan w:val="3"/>
            <w:tcBorders>
              <w:top w:val="nil"/>
              <w:left w:val="nil"/>
              <w:bottom w:val="single" w:sz="4" w:space="0" w:color="auto"/>
              <w:right w:val="single" w:sz="4" w:space="0" w:color="auto"/>
            </w:tcBorders>
            <w:shd w:val="clear" w:color="auto" w:fill="auto"/>
            <w:vAlign w:val="center"/>
            <w:hideMark/>
          </w:tcPr>
          <w:p w14:paraId="5728B377" w14:textId="77777777" w:rsidR="00387142" w:rsidRPr="008B6A75" w:rsidRDefault="00387142" w:rsidP="00387142">
            <w:pPr>
              <w:jc w:val="center"/>
              <w:rPr>
                <w:color w:val="000000"/>
                <w:sz w:val="20"/>
                <w:szCs w:val="20"/>
              </w:rPr>
            </w:pPr>
            <w:r w:rsidRPr="008B6A75">
              <w:rPr>
                <w:color w:val="000000"/>
                <w:sz w:val="20"/>
                <w:szCs w:val="20"/>
              </w:rPr>
              <w:t>25 952 760,00</w:t>
            </w:r>
          </w:p>
        </w:tc>
        <w:tc>
          <w:tcPr>
            <w:tcW w:w="1863" w:type="dxa"/>
            <w:gridSpan w:val="5"/>
            <w:tcBorders>
              <w:top w:val="nil"/>
              <w:left w:val="nil"/>
              <w:bottom w:val="single" w:sz="4" w:space="0" w:color="auto"/>
              <w:right w:val="single" w:sz="4" w:space="0" w:color="auto"/>
            </w:tcBorders>
            <w:shd w:val="clear" w:color="auto" w:fill="auto"/>
            <w:vAlign w:val="center"/>
            <w:hideMark/>
          </w:tcPr>
          <w:p w14:paraId="4F79C6A1" w14:textId="77777777" w:rsidR="00387142" w:rsidRPr="008B6A75" w:rsidRDefault="00387142" w:rsidP="00387142">
            <w:pPr>
              <w:jc w:val="center"/>
              <w:rPr>
                <w:color w:val="000000"/>
                <w:sz w:val="20"/>
                <w:szCs w:val="20"/>
              </w:rPr>
            </w:pPr>
            <w:r w:rsidRPr="008B6A75">
              <w:rPr>
                <w:color w:val="000000"/>
                <w:sz w:val="20"/>
                <w:szCs w:val="20"/>
              </w:rPr>
              <w:t>25 952 760,00</w:t>
            </w:r>
          </w:p>
        </w:tc>
      </w:tr>
      <w:tr w:rsidR="00387142" w:rsidRPr="008B6A75" w14:paraId="28F04318" w14:textId="77777777" w:rsidTr="00387142">
        <w:trPr>
          <w:gridBefore w:val="1"/>
          <w:gridAfter w:val="1"/>
          <w:wBefore w:w="34" w:type="dxa"/>
          <w:wAfter w:w="1238" w:type="dxa"/>
          <w:trHeight w:val="189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14:paraId="7C0734D7" w14:textId="77777777" w:rsidR="00387142" w:rsidRPr="008B6A75" w:rsidRDefault="00387142" w:rsidP="00387142">
            <w:pPr>
              <w:jc w:val="right"/>
              <w:rPr>
                <w:sz w:val="20"/>
                <w:szCs w:val="20"/>
              </w:rPr>
            </w:pPr>
            <w:r w:rsidRPr="008B6A75">
              <w:rPr>
                <w:sz w:val="20"/>
                <w:szCs w:val="20"/>
              </w:rPr>
              <w:lastRenderedPageBreak/>
              <w:t>9</w:t>
            </w:r>
          </w:p>
        </w:tc>
        <w:tc>
          <w:tcPr>
            <w:tcW w:w="4678" w:type="dxa"/>
            <w:gridSpan w:val="3"/>
            <w:tcBorders>
              <w:top w:val="nil"/>
              <w:left w:val="nil"/>
              <w:bottom w:val="single" w:sz="4" w:space="0" w:color="auto"/>
              <w:right w:val="single" w:sz="4" w:space="0" w:color="auto"/>
            </w:tcBorders>
            <w:shd w:val="clear" w:color="auto" w:fill="auto"/>
            <w:vAlign w:val="center"/>
            <w:hideMark/>
          </w:tcPr>
          <w:p w14:paraId="3B8316C4" w14:textId="77777777" w:rsidR="00387142" w:rsidRPr="008B6A75" w:rsidRDefault="00387142" w:rsidP="00387142">
            <w:pPr>
              <w:rPr>
                <w:sz w:val="20"/>
                <w:szCs w:val="20"/>
              </w:rPr>
            </w:pPr>
            <w:r w:rsidRPr="008B6A75">
              <w:rPr>
                <w:sz w:val="20"/>
                <w:szCs w:val="20"/>
              </w:rPr>
              <w:t>Субсидии на реализацию мероприятий по созданию в общеобразовательных организациях, расположенных в сельской местности, условий для занятий физической культурой и спортом государственной программы Новосибирской области "Развитие физической культуры и спорта в Новосибирской области"</w:t>
            </w:r>
          </w:p>
        </w:tc>
        <w:tc>
          <w:tcPr>
            <w:tcW w:w="1701" w:type="dxa"/>
            <w:gridSpan w:val="3"/>
            <w:tcBorders>
              <w:top w:val="nil"/>
              <w:left w:val="nil"/>
              <w:bottom w:val="single" w:sz="4" w:space="0" w:color="auto"/>
              <w:right w:val="single" w:sz="4" w:space="0" w:color="auto"/>
            </w:tcBorders>
            <w:shd w:val="clear" w:color="auto" w:fill="auto"/>
            <w:vAlign w:val="center"/>
            <w:hideMark/>
          </w:tcPr>
          <w:p w14:paraId="2F0D1E04" w14:textId="77777777" w:rsidR="00387142" w:rsidRPr="008B6A75" w:rsidRDefault="00387142" w:rsidP="00387142">
            <w:pPr>
              <w:jc w:val="center"/>
              <w:rPr>
                <w:color w:val="000000"/>
                <w:sz w:val="20"/>
                <w:szCs w:val="20"/>
              </w:rPr>
            </w:pPr>
            <w:r w:rsidRPr="008B6A75">
              <w:rPr>
                <w:color w:val="000000"/>
                <w:sz w:val="20"/>
                <w:szCs w:val="20"/>
              </w:rPr>
              <w:t>0,00</w:t>
            </w:r>
          </w:p>
        </w:tc>
        <w:tc>
          <w:tcPr>
            <w:tcW w:w="236" w:type="dxa"/>
            <w:gridSpan w:val="3"/>
            <w:tcBorders>
              <w:top w:val="nil"/>
              <w:left w:val="nil"/>
              <w:bottom w:val="single" w:sz="4" w:space="0" w:color="auto"/>
              <w:right w:val="single" w:sz="4" w:space="0" w:color="auto"/>
            </w:tcBorders>
            <w:shd w:val="clear" w:color="auto" w:fill="auto"/>
            <w:vAlign w:val="center"/>
            <w:hideMark/>
          </w:tcPr>
          <w:p w14:paraId="25455DDD" w14:textId="77777777" w:rsidR="00387142" w:rsidRPr="008B6A75" w:rsidRDefault="00387142" w:rsidP="00387142">
            <w:pPr>
              <w:jc w:val="center"/>
              <w:rPr>
                <w:color w:val="000000"/>
                <w:sz w:val="20"/>
                <w:szCs w:val="20"/>
              </w:rPr>
            </w:pPr>
            <w:r w:rsidRPr="008B6A75">
              <w:rPr>
                <w:color w:val="000000"/>
                <w:sz w:val="20"/>
                <w:szCs w:val="20"/>
              </w:rPr>
              <w:t>1 693 900,00</w:t>
            </w:r>
          </w:p>
        </w:tc>
        <w:tc>
          <w:tcPr>
            <w:tcW w:w="1863" w:type="dxa"/>
            <w:gridSpan w:val="5"/>
            <w:tcBorders>
              <w:top w:val="nil"/>
              <w:left w:val="nil"/>
              <w:bottom w:val="single" w:sz="4" w:space="0" w:color="auto"/>
              <w:right w:val="single" w:sz="4" w:space="0" w:color="auto"/>
            </w:tcBorders>
            <w:shd w:val="clear" w:color="auto" w:fill="auto"/>
            <w:vAlign w:val="center"/>
            <w:hideMark/>
          </w:tcPr>
          <w:p w14:paraId="712EBC07" w14:textId="77777777" w:rsidR="00387142" w:rsidRPr="008B6A75" w:rsidRDefault="00387142" w:rsidP="00387142">
            <w:pPr>
              <w:jc w:val="center"/>
              <w:rPr>
                <w:color w:val="000000"/>
                <w:sz w:val="20"/>
                <w:szCs w:val="20"/>
              </w:rPr>
            </w:pPr>
            <w:r w:rsidRPr="008B6A75">
              <w:rPr>
                <w:color w:val="000000"/>
                <w:sz w:val="20"/>
                <w:szCs w:val="20"/>
              </w:rPr>
              <w:t>0,00</w:t>
            </w:r>
          </w:p>
        </w:tc>
      </w:tr>
      <w:tr w:rsidR="00387142" w:rsidRPr="008B6A75" w14:paraId="61017C12" w14:textId="77777777" w:rsidTr="00387142">
        <w:trPr>
          <w:gridBefore w:val="1"/>
          <w:gridAfter w:val="1"/>
          <w:wBefore w:w="34" w:type="dxa"/>
          <w:wAfter w:w="1238" w:type="dxa"/>
          <w:trHeight w:val="1575"/>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14:paraId="244AAE96" w14:textId="77777777" w:rsidR="00387142" w:rsidRPr="008B6A75" w:rsidRDefault="00387142" w:rsidP="00387142">
            <w:pPr>
              <w:jc w:val="right"/>
              <w:rPr>
                <w:sz w:val="20"/>
                <w:szCs w:val="20"/>
              </w:rPr>
            </w:pPr>
            <w:r w:rsidRPr="008B6A75">
              <w:rPr>
                <w:sz w:val="20"/>
                <w:szCs w:val="20"/>
              </w:rPr>
              <w:t>10</w:t>
            </w:r>
          </w:p>
        </w:tc>
        <w:tc>
          <w:tcPr>
            <w:tcW w:w="4678" w:type="dxa"/>
            <w:gridSpan w:val="3"/>
            <w:tcBorders>
              <w:top w:val="nil"/>
              <w:left w:val="nil"/>
              <w:bottom w:val="single" w:sz="4" w:space="0" w:color="auto"/>
              <w:right w:val="single" w:sz="4" w:space="0" w:color="auto"/>
            </w:tcBorders>
            <w:shd w:val="clear" w:color="auto" w:fill="auto"/>
            <w:vAlign w:val="center"/>
            <w:hideMark/>
          </w:tcPr>
          <w:p w14:paraId="6018732D" w14:textId="77777777" w:rsidR="00387142" w:rsidRPr="008B6A75" w:rsidRDefault="00387142" w:rsidP="00387142">
            <w:pPr>
              <w:rPr>
                <w:sz w:val="20"/>
                <w:szCs w:val="20"/>
              </w:rPr>
            </w:pPr>
            <w:r w:rsidRPr="008B6A75">
              <w:rPr>
                <w:sz w:val="20"/>
                <w:szCs w:val="20"/>
              </w:rPr>
              <w:t>Субсидии на реализацию программ формирования современной городской среды подпрограммы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w:t>
            </w:r>
          </w:p>
        </w:tc>
        <w:tc>
          <w:tcPr>
            <w:tcW w:w="1701" w:type="dxa"/>
            <w:gridSpan w:val="3"/>
            <w:tcBorders>
              <w:top w:val="nil"/>
              <w:left w:val="nil"/>
              <w:bottom w:val="single" w:sz="4" w:space="0" w:color="auto"/>
              <w:right w:val="single" w:sz="4" w:space="0" w:color="auto"/>
            </w:tcBorders>
            <w:shd w:val="clear" w:color="auto" w:fill="auto"/>
            <w:vAlign w:val="center"/>
            <w:hideMark/>
          </w:tcPr>
          <w:p w14:paraId="25077884" w14:textId="77777777" w:rsidR="00387142" w:rsidRPr="008B6A75" w:rsidRDefault="00387142" w:rsidP="00387142">
            <w:pPr>
              <w:jc w:val="center"/>
              <w:rPr>
                <w:color w:val="000000"/>
                <w:sz w:val="20"/>
                <w:szCs w:val="20"/>
              </w:rPr>
            </w:pPr>
            <w:r w:rsidRPr="008B6A75">
              <w:rPr>
                <w:color w:val="000000"/>
                <w:sz w:val="20"/>
                <w:szCs w:val="20"/>
              </w:rPr>
              <w:t>32 399 700,00</w:t>
            </w:r>
          </w:p>
        </w:tc>
        <w:tc>
          <w:tcPr>
            <w:tcW w:w="236" w:type="dxa"/>
            <w:gridSpan w:val="3"/>
            <w:tcBorders>
              <w:top w:val="nil"/>
              <w:left w:val="nil"/>
              <w:bottom w:val="single" w:sz="4" w:space="0" w:color="auto"/>
              <w:right w:val="single" w:sz="4" w:space="0" w:color="auto"/>
            </w:tcBorders>
            <w:shd w:val="clear" w:color="auto" w:fill="auto"/>
            <w:vAlign w:val="center"/>
            <w:hideMark/>
          </w:tcPr>
          <w:p w14:paraId="2AA71A66" w14:textId="77777777" w:rsidR="00387142" w:rsidRPr="008B6A75" w:rsidRDefault="00387142" w:rsidP="00387142">
            <w:pPr>
              <w:jc w:val="center"/>
              <w:rPr>
                <w:color w:val="000000"/>
                <w:sz w:val="20"/>
                <w:szCs w:val="20"/>
              </w:rPr>
            </w:pPr>
            <w:r w:rsidRPr="008B6A75">
              <w:rPr>
                <w:color w:val="000000"/>
                <w:sz w:val="20"/>
                <w:szCs w:val="20"/>
              </w:rPr>
              <w:t>16 928 200,00</w:t>
            </w:r>
          </w:p>
        </w:tc>
        <w:tc>
          <w:tcPr>
            <w:tcW w:w="1863" w:type="dxa"/>
            <w:gridSpan w:val="5"/>
            <w:tcBorders>
              <w:top w:val="nil"/>
              <w:left w:val="nil"/>
              <w:bottom w:val="single" w:sz="4" w:space="0" w:color="auto"/>
              <w:right w:val="single" w:sz="4" w:space="0" w:color="auto"/>
            </w:tcBorders>
            <w:shd w:val="clear" w:color="auto" w:fill="auto"/>
            <w:vAlign w:val="center"/>
            <w:hideMark/>
          </w:tcPr>
          <w:p w14:paraId="67AC889A" w14:textId="77777777" w:rsidR="00387142" w:rsidRPr="008B6A75" w:rsidRDefault="00387142" w:rsidP="00387142">
            <w:pPr>
              <w:jc w:val="center"/>
              <w:rPr>
                <w:color w:val="000000"/>
                <w:sz w:val="20"/>
                <w:szCs w:val="20"/>
              </w:rPr>
            </w:pPr>
            <w:r w:rsidRPr="008B6A75">
              <w:rPr>
                <w:color w:val="000000"/>
                <w:sz w:val="20"/>
                <w:szCs w:val="20"/>
              </w:rPr>
              <w:t>19 361 900,00</w:t>
            </w:r>
          </w:p>
        </w:tc>
      </w:tr>
      <w:tr w:rsidR="00387142" w:rsidRPr="008B6A75" w14:paraId="2686078C" w14:textId="77777777" w:rsidTr="00387142">
        <w:trPr>
          <w:gridBefore w:val="1"/>
          <w:gridAfter w:val="1"/>
          <w:wBefore w:w="34" w:type="dxa"/>
          <w:wAfter w:w="1238" w:type="dxa"/>
          <w:trHeight w:val="189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14:paraId="1101AF9C" w14:textId="77777777" w:rsidR="00387142" w:rsidRPr="008B6A75" w:rsidRDefault="00387142" w:rsidP="00387142">
            <w:pPr>
              <w:jc w:val="right"/>
              <w:rPr>
                <w:sz w:val="20"/>
                <w:szCs w:val="20"/>
              </w:rPr>
            </w:pPr>
            <w:r w:rsidRPr="008B6A75">
              <w:rPr>
                <w:sz w:val="20"/>
                <w:szCs w:val="20"/>
              </w:rPr>
              <w:t>11</w:t>
            </w:r>
          </w:p>
        </w:tc>
        <w:tc>
          <w:tcPr>
            <w:tcW w:w="4678" w:type="dxa"/>
            <w:gridSpan w:val="3"/>
            <w:tcBorders>
              <w:top w:val="nil"/>
              <w:left w:val="nil"/>
              <w:bottom w:val="single" w:sz="4" w:space="0" w:color="auto"/>
              <w:right w:val="single" w:sz="4" w:space="0" w:color="auto"/>
            </w:tcBorders>
            <w:shd w:val="clear" w:color="auto" w:fill="auto"/>
            <w:vAlign w:val="center"/>
            <w:hideMark/>
          </w:tcPr>
          <w:p w14:paraId="08BAAAD3" w14:textId="77777777" w:rsidR="00387142" w:rsidRPr="008B6A75" w:rsidRDefault="00387142" w:rsidP="00387142">
            <w:pPr>
              <w:rPr>
                <w:sz w:val="20"/>
                <w:szCs w:val="20"/>
              </w:rPr>
            </w:pPr>
            <w:r w:rsidRPr="008B6A75">
              <w:rPr>
                <w:sz w:val="20"/>
                <w:szCs w:val="20"/>
              </w:rPr>
              <w:t>Субсидии на реализацию мероприятий по обновлению материально-технической базы для формирования у обучающихся современных технологических и гуманитарных навыков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1701" w:type="dxa"/>
            <w:gridSpan w:val="3"/>
            <w:tcBorders>
              <w:top w:val="nil"/>
              <w:left w:val="nil"/>
              <w:bottom w:val="single" w:sz="4" w:space="0" w:color="auto"/>
              <w:right w:val="single" w:sz="4" w:space="0" w:color="auto"/>
            </w:tcBorders>
            <w:shd w:val="clear" w:color="auto" w:fill="auto"/>
            <w:vAlign w:val="center"/>
            <w:hideMark/>
          </w:tcPr>
          <w:p w14:paraId="7C380823" w14:textId="77777777" w:rsidR="00387142" w:rsidRPr="008B6A75" w:rsidRDefault="00387142" w:rsidP="00387142">
            <w:pPr>
              <w:jc w:val="center"/>
              <w:rPr>
                <w:color w:val="000000"/>
                <w:sz w:val="20"/>
                <w:szCs w:val="20"/>
              </w:rPr>
            </w:pPr>
            <w:r w:rsidRPr="008B6A75">
              <w:rPr>
                <w:color w:val="000000"/>
                <w:sz w:val="20"/>
                <w:szCs w:val="20"/>
              </w:rPr>
              <w:t>8 000 000,00</w:t>
            </w:r>
          </w:p>
        </w:tc>
        <w:tc>
          <w:tcPr>
            <w:tcW w:w="236" w:type="dxa"/>
            <w:gridSpan w:val="3"/>
            <w:tcBorders>
              <w:top w:val="nil"/>
              <w:left w:val="nil"/>
              <w:bottom w:val="single" w:sz="4" w:space="0" w:color="auto"/>
              <w:right w:val="single" w:sz="4" w:space="0" w:color="auto"/>
            </w:tcBorders>
            <w:shd w:val="clear" w:color="auto" w:fill="auto"/>
            <w:vAlign w:val="center"/>
            <w:hideMark/>
          </w:tcPr>
          <w:p w14:paraId="0C9D1C5B" w14:textId="77777777" w:rsidR="00387142" w:rsidRPr="008B6A75" w:rsidRDefault="00387142" w:rsidP="00387142">
            <w:pPr>
              <w:jc w:val="center"/>
              <w:rPr>
                <w:color w:val="000000"/>
                <w:sz w:val="20"/>
                <w:szCs w:val="20"/>
              </w:rPr>
            </w:pPr>
            <w:r w:rsidRPr="008B6A75">
              <w:rPr>
                <w:color w:val="000000"/>
                <w:sz w:val="20"/>
                <w:szCs w:val="20"/>
              </w:rPr>
              <w:t>8 000 000,00</w:t>
            </w:r>
          </w:p>
        </w:tc>
        <w:tc>
          <w:tcPr>
            <w:tcW w:w="1863" w:type="dxa"/>
            <w:gridSpan w:val="5"/>
            <w:tcBorders>
              <w:top w:val="nil"/>
              <w:left w:val="nil"/>
              <w:bottom w:val="single" w:sz="4" w:space="0" w:color="auto"/>
              <w:right w:val="single" w:sz="4" w:space="0" w:color="auto"/>
            </w:tcBorders>
            <w:shd w:val="clear" w:color="auto" w:fill="auto"/>
            <w:vAlign w:val="center"/>
            <w:hideMark/>
          </w:tcPr>
          <w:p w14:paraId="0255896F" w14:textId="77777777" w:rsidR="00387142" w:rsidRPr="008B6A75" w:rsidRDefault="00387142" w:rsidP="00387142">
            <w:pPr>
              <w:jc w:val="center"/>
              <w:rPr>
                <w:color w:val="000000"/>
                <w:sz w:val="20"/>
                <w:szCs w:val="20"/>
              </w:rPr>
            </w:pPr>
            <w:r w:rsidRPr="008B6A75">
              <w:rPr>
                <w:color w:val="000000"/>
                <w:sz w:val="20"/>
                <w:szCs w:val="20"/>
              </w:rPr>
              <w:t>2 000 000,00</w:t>
            </w:r>
          </w:p>
        </w:tc>
      </w:tr>
      <w:tr w:rsidR="00387142" w:rsidRPr="008B6A75" w14:paraId="138CE50F" w14:textId="77777777" w:rsidTr="00387142">
        <w:trPr>
          <w:gridBefore w:val="1"/>
          <w:gridAfter w:val="1"/>
          <w:wBefore w:w="34" w:type="dxa"/>
          <w:wAfter w:w="1238" w:type="dxa"/>
          <w:trHeight w:val="945"/>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14:paraId="7EDC3D61" w14:textId="77777777" w:rsidR="00387142" w:rsidRPr="008B6A75" w:rsidRDefault="00387142" w:rsidP="00387142">
            <w:pPr>
              <w:jc w:val="right"/>
              <w:rPr>
                <w:sz w:val="20"/>
                <w:szCs w:val="20"/>
              </w:rPr>
            </w:pPr>
            <w:r w:rsidRPr="008B6A75">
              <w:rPr>
                <w:sz w:val="20"/>
                <w:szCs w:val="20"/>
              </w:rPr>
              <w:t>12</w:t>
            </w:r>
          </w:p>
        </w:tc>
        <w:tc>
          <w:tcPr>
            <w:tcW w:w="4678" w:type="dxa"/>
            <w:gridSpan w:val="3"/>
            <w:tcBorders>
              <w:top w:val="nil"/>
              <w:left w:val="nil"/>
              <w:bottom w:val="single" w:sz="4" w:space="0" w:color="auto"/>
              <w:right w:val="single" w:sz="4" w:space="0" w:color="auto"/>
            </w:tcBorders>
            <w:shd w:val="clear" w:color="auto" w:fill="auto"/>
            <w:vAlign w:val="center"/>
            <w:hideMark/>
          </w:tcPr>
          <w:p w14:paraId="622BB9EF" w14:textId="77777777" w:rsidR="00387142" w:rsidRPr="008B6A75" w:rsidRDefault="00387142" w:rsidP="00387142">
            <w:pPr>
              <w:rPr>
                <w:sz w:val="20"/>
                <w:szCs w:val="20"/>
              </w:rPr>
            </w:pPr>
            <w:r w:rsidRPr="008B6A75">
              <w:rPr>
                <w:sz w:val="20"/>
                <w:szCs w:val="20"/>
              </w:rPr>
              <w:t xml:space="preserve">Субсидии на реализацию мероприятий государственной программы Новосибирской области "Комплексное развитие сельских территорий в Новосибирской области" </w:t>
            </w:r>
          </w:p>
        </w:tc>
        <w:tc>
          <w:tcPr>
            <w:tcW w:w="1701" w:type="dxa"/>
            <w:gridSpan w:val="3"/>
            <w:tcBorders>
              <w:top w:val="nil"/>
              <w:left w:val="nil"/>
              <w:bottom w:val="single" w:sz="4" w:space="0" w:color="auto"/>
              <w:right w:val="single" w:sz="4" w:space="0" w:color="auto"/>
            </w:tcBorders>
            <w:shd w:val="clear" w:color="auto" w:fill="auto"/>
            <w:vAlign w:val="center"/>
            <w:hideMark/>
          </w:tcPr>
          <w:p w14:paraId="4288DDDD" w14:textId="77777777" w:rsidR="00387142" w:rsidRPr="008B6A75" w:rsidRDefault="00387142" w:rsidP="00387142">
            <w:pPr>
              <w:jc w:val="center"/>
              <w:rPr>
                <w:color w:val="000000"/>
                <w:sz w:val="20"/>
                <w:szCs w:val="20"/>
              </w:rPr>
            </w:pPr>
            <w:r w:rsidRPr="008B6A75">
              <w:rPr>
                <w:color w:val="000000"/>
                <w:sz w:val="20"/>
                <w:szCs w:val="20"/>
              </w:rPr>
              <w:t>48 158 837,91</w:t>
            </w:r>
          </w:p>
        </w:tc>
        <w:tc>
          <w:tcPr>
            <w:tcW w:w="236" w:type="dxa"/>
            <w:gridSpan w:val="3"/>
            <w:tcBorders>
              <w:top w:val="nil"/>
              <w:left w:val="nil"/>
              <w:bottom w:val="single" w:sz="4" w:space="0" w:color="auto"/>
              <w:right w:val="single" w:sz="4" w:space="0" w:color="auto"/>
            </w:tcBorders>
            <w:shd w:val="clear" w:color="auto" w:fill="auto"/>
            <w:vAlign w:val="center"/>
            <w:hideMark/>
          </w:tcPr>
          <w:p w14:paraId="17B45189" w14:textId="77777777" w:rsidR="00387142" w:rsidRPr="008B6A75" w:rsidRDefault="00387142" w:rsidP="00387142">
            <w:pPr>
              <w:jc w:val="center"/>
              <w:rPr>
                <w:color w:val="000000"/>
                <w:sz w:val="20"/>
                <w:szCs w:val="20"/>
              </w:rPr>
            </w:pPr>
            <w:r w:rsidRPr="008B6A75">
              <w:rPr>
                <w:color w:val="000000"/>
                <w:sz w:val="20"/>
                <w:szCs w:val="20"/>
              </w:rPr>
              <w:t>500 000,00</w:t>
            </w:r>
          </w:p>
        </w:tc>
        <w:tc>
          <w:tcPr>
            <w:tcW w:w="1863" w:type="dxa"/>
            <w:gridSpan w:val="5"/>
            <w:tcBorders>
              <w:top w:val="nil"/>
              <w:left w:val="nil"/>
              <w:bottom w:val="single" w:sz="4" w:space="0" w:color="auto"/>
              <w:right w:val="single" w:sz="4" w:space="0" w:color="auto"/>
            </w:tcBorders>
            <w:shd w:val="clear" w:color="auto" w:fill="auto"/>
            <w:vAlign w:val="center"/>
            <w:hideMark/>
          </w:tcPr>
          <w:p w14:paraId="7BA8BDF9" w14:textId="77777777" w:rsidR="00387142" w:rsidRPr="008B6A75" w:rsidRDefault="00387142" w:rsidP="00387142">
            <w:pPr>
              <w:jc w:val="center"/>
              <w:rPr>
                <w:color w:val="000000"/>
                <w:sz w:val="20"/>
                <w:szCs w:val="20"/>
              </w:rPr>
            </w:pPr>
            <w:r w:rsidRPr="008B6A75">
              <w:rPr>
                <w:color w:val="000000"/>
                <w:sz w:val="20"/>
                <w:szCs w:val="20"/>
              </w:rPr>
              <w:t>500 000,00</w:t>
            </w:r>
          </w:p>
        </w:tc>
      </w:tr>
      <w:tr w:rsidR="00387142" w:rsidRPr="008B6A75" w14:paraId="48F36647" w14:textId="77777777" w:rsidTr="00387142">
        <w:trPr>
          <w:gridBefore w:val="1"/>
          <w:gridAfter w:val="1"/>
          <w:wBefore w:w="34" w:type="dxa"/>
          <w:wAfter w:w="1238" w:type="dxa"/>
          <w:trHeight w:val="126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14:paraId="1F3C1DA2" w14:textId="77777777" w:rsidR="00387142" w:rsidRPr="008B6A75" w:rsidRDefault="00387142" w:rsidP="00387142">
            <w:pPr>
              <w:jc w:val="right"/>
              <w:rPr>
                <w:sz w:val="20"/>
                <w:szCs w:val="20"/>
              </w:rPr>
            </w:pPr>
            <w:r w:rsidRPr="008B6A75">
              <w:rPr>
                <w:sz w:val="20"/>
                <w:szCs w:val="20"/>
              </w:rPr>
              <w:t>13</w:t>
            </w:r>
          </w:p>
        </w:tc>
        <w:tc>
          <w:tcPr>
            <w:tcW w:w="4678" w:type="dxa"/>
            <w:gridSpan w:val="3"/>
            <w:tcBorders>
              <w:top w:val="nil"/>
              <w:left w:val="nil"/>
              <w:bottom w:val="single" w:sz="4" w:space="0" w:color="auto"/>
              <w:right w:val="single" w:sz="4" w:space="0" w:color="auto"/>
            </w:tcBorders>
            <w:shd w:val="clear" w:color="auto" w:fill="auto"/>
            <w:vAlign w:val="center"/>
            <w:hideMark/>
          </w:tcPr>
          <w:p w14:paraId="604997A2" w14:textId="77777777" w:rsidR="00387142" w:rsidRPr="008B6A75" w:rsidRDefault="00387142" w:rsidP="00387142">
            <w:pPr>
              <w:rPr>
                <w:sz w:val="20"/>
                <w:szCs w:val="20"/>
              </w:rPr>
            </w:pPr>
            <w:r w:rsidRPr="008B6A75">
              <w:rPr>
                <w:sz w:val="20"/>
                <w:szCs w:val="20"/>
              </w:rPr>
              <w:t xml:space="preserve">Субсидии на реализацию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 </w:t>
            </w:r>
          </w:p>
        </w:tc>
        <w:tc>
          <w:tcPr>
            <w:tcW w:w="1701" w:type="dxa"/>
            <w:gridSpan w:val="3"/>
            <w:tcBorders>
              <w:top w:val="nil"/>
              <w:left w:val="nil"/>
              <w:bottom w:val="single" w:sz="4" w:space="0" w:color="auto"/>
              <w:right w:val="single" w:sz="4" w:space="0" w:color="auto"/>
            </w:tcBorders>
            <w:shd w:val="clear" w:color="auto" w:fill="auto"/>
            <w:vAlign w:val="center"/>
            <w:hideMark/>
          </w:tcPr>
          <w:p w14:paraId="024AFC25" w14:textId="77777777" w:rsidR="00387142" w:rsidRPr="008B6A75" w:rsidRDefault="00387142" w:rsidP="00387142">
            <w:pPr>
              <w:jc w:val="center"/>
              <w:rPr>
                <w:color w:val="000000"/>
                <w:sz w:val="20"/>
                <w:szCs w:val="20"/>
              </w:rPr>
            </w:pPr>
            <w:r w:rsidRPr="008B6A75">
              <w:rPr>
                <w:color w:val="000000"/>
                <w:sz w:val="20"/>
                <w:szCs w:val="20"/>
              </w:rPr>
              <w:t>540 893 200,00</w:t>
            </w:r>
          </w:p>
        </w:tc>
        <w:tc>
          <w:tcPr>
            <w:tcW w:w="236" w:type="dxa"/>
            <w:gridSpan w:val="3"/>
            <w:tcBorders>
              <w:top w:val="nil"/>
              <w:left w:val="nil"/>
              <w:bottom w:val="single" w:sz="4" w:space="0" w:color="auto"/>
              <w:right w:val="single" w:sz="4" w:space="0" w:color="auto"/>
            </w:tcBorders>
            <w:shd w:val="clear" w:color="auto" w:fill="auto"/>
            <w:noWrap/>
            <w:vAlign w:val="center"/>
            <w:hideMark/>
          </w:tcPr>
          <w:p w14:paraId="11B7C633" w14:textId="77777777" w:rsidR="00387142" w:rsidRPr="008B6A75" w:rsidRDefault="00387142" w:rsidP="00387142">
            <w:pPr>
              <w:jc w:val="center"/>
              <w:rPr>
                <w:sz w:val="20"/>
                <w:szCs w:val="20"/>
              </w:rPr>
            </w:pPr>
            <w:r w:rsidRPr="008B6A75">
              <w:rPr>
                <w:sz w:val="20"/>
                <w:szCs w:val="20"/>
              </w:rPr>
              <w:t>0,00</w:t>
            </w:r>
          </w:p>
        </w:tc>
        <w:tc>
          <w:tcPr>
            <w:tcW w:w="1863" w:type="dxa"/>
            <w:gridSpan w:val="5"/>
            <w:tcBorders>
              <w:top w:val="nil"/>
              <w:left w:val="nil"/>
              <w:bottom w:val="single" w:sz="4" w:space="0" w:color="auto"/>
              <w:right w:val="single" w:sz="4" w:space="0" w:color="auto"/>
            </w:tcBorders>
            <w:shd w:val="clear" w:color="auto" w:fill="auto"/>
            <w:noWrap/>
            <w:vAlign w:val="center"/>
            <w:hideMark/>
          </w:tcPr>
          <w:p w14:paraId="523B5331" w14:textId="77777777" w:rsidR="00387142" w:rsidRPr="008B6A75" w:rsidRDefault="00387142" w:rsidP="00387142">
            <w:pPr>
              <w:jc w:val="center"/>
              <w:rPr>
                <w:sz w:val="20"/>
                <w:szCs w:val="20"/>
              </w:rPr>
            </w:pPr>
            <w:r w:rsidRPr="008B6A75">
              <w:rPr>
                <w:sz w:val="20"/>
                <w:szCs w:val="20"/>
              </w:rPr>
              <w:t>0,00</w:t>
            </w:r>
          </w:p>
        </w:tc>
      </w:tr>
      <w:tr w:rsidR="00387142" w:rsidRPr="008B6A75" w14:paraId="450304AB" w14:textId="77777777" w:rsidTr="00387142">
        <w:trPr>
          <w:gridBefore w:val="1"/>
          <w:gridAfter w:val="1"/>
          <w:wBefore w:w="34" w:type="dxa"/>
          <w:wAfter w:w="1238" w:type="dxa"/>
          <w:trHeight w:val="2205"/>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14:paraId="3CA785B7" w14:textId="77777777" w:rsidR="00387142" w:rsidRPr="008B6A75" w:rsidRDefault="00387142" w:rsidP="00387142">
            <w:pPr>
              <w:jc w:val="right"/>
              <w:rPr>
                <w:sz w:val="20"/>
                <w:szCs w:val="20"/>
              </w:rPr>
            </w:pPr>
            <w:r w:rsidRPr="008B6A75">
              <w:rPr>
                <w:sz w:val="20"/>
                <w:szCs w:val="20"/>
              </w:rPr>
              <w:t>14</w:t>
            </w:r>
          </w:p>
        </w:tc>
        <w:tc>
          <w:tcPr>
            <w:tcW w:w="4678" w:type="dxa"/>
            <w:gridSpan w:val="3"/>
            <w:tcBorders>
              <w:top w:val="nil"/>
              <w:left w:val="nil"/>
              <w:bottom w:val="single" w:sz="4" w:space="0" w:color="auto"/>
              <w:right w:val="single" w:sz="4" w:space="0" w:color="auto"/>
            </w:tcBorders>
            <w:shd w:val="clear" w:color="auto" w:fill="auto"/>
            <w:vAlign w:val="center"/>
            <w:hideMark/>
          </w:tcPr>
          <w:p w14:paraId="01C181BF" w14:textId="77777777" w:rsidR="00387142" w:rsidRPr="008B6A75" w:rsidRDefault="00387142" w:rsidP="00387142">
            <w:pPr>
              <w:rPr>
                <w:sz w:val="20"/>
                <w:szCs w:val="20"/>
              </w:rPr>
            </w:pPr>
            <w:r w:rsidRPr="008B6A75">
              <w:rPr>
                <w:sz w:val="20"/>
                <w:szCs w:val="20"/>
              </w:rPr>
              <w:t xml:space="preserve">Субсидии на строительство (приобретение на первичном рынке) служебного жилья подпрограммы "Строительство (приобретение на первичном рынке) служебного жилья для отдельных категорий граждан, проживающих и работающих на территории Новосибирской области" государственной программы Новосибирской области "Стимулирование развития жилищного строительства в Новосибирской области" </w:t>
            </w:r>
          </w:p>
        </w:tc>
        <w:tc>
          <w:tcPr>
            <w:tcW w:w="1701" w:type="dxa"/>
            <w:gridSpan w:val="3"/>
            <w:tcBorders>
              <w:top w:val="nil"/>
              <w:left w:val="nil"/>
              <w:bottom w:val="single" w:sz="4" w:space="0" w:color="auto"/>
              <w:right w:val="single" w:sz="4" w:space="0" w:color="auto"/>
            </w:tcBorders>
            <w:shd w:val="clear" w:color="auto" w:fill="auto"/>
            <w:vAlign w:val="center"/>
            <w:hideMark/>
          </w:tcPr>
          <w:p w14:paraId="779B1BB4" w14:textId="77777777" w:rsidR="00387142" w:rsidRPr="008B6A75" w:rsidRDefault="00387142" w:rsidP="00387142">
            <w:pPr>
              <w:jc w:val="center"/>
              <w:rPr>
                <w:color w:val="000000"/>
                <w:sz w:val="20"/>
                <w:szCs w:val="20"/>
              </w:rPr>
            </w:pPr>
            <w:r w:rsidRPr="008B6A75">
              <w:rPr>
                <w:color w:val="000000"/>
                <w:sz w:val="20"/>
                <w:szCs w:val="20"/>
              </w:rPr>
              <w:t>48 431 800,00</w:t>
            </w:r>
          </w:p>
        </w:tc>
        <w:tc>
          <w:tcPr>
            <w:tcW w:w="236" w:type="dxa"/>
            <w:gridSpan w:val="3"/>
            <w:tcBorders>
              <w:top w:val="nil"/>
              <w:left w:val="nil"/>
              <w:bottom w:val="single" w:sz="4" w:space="0" w:color="auto"/>
              <w:right w:val="single" w:sz="4" w:space="0" w:color="auto"/>
            </w:tcBorders>
            <w:shd w:val="clear" w:color="auto" w:fill="auto"/>
            <w:vAlign w:val="center"/>
            <w:hideMark/>
          </w:tcPr>
          <w:p w14:paraId="1482C5C0" w14:textId="77777777" w:rsidR="00387142" w:rsidRPr="008B6A75" w:rsidRDefault="00387142" w:rsidP="00387142">
            <w:pPr>
              <w:jc w:val="center"/>
              <w:rPr>
                <w:color w:val="000000"/>
                <w:sz w:val="20"/>
                <w:szCs w:val="20"/>
              </w:rPr>
            </w:pPr>
            <w:r w:rsidRPr="008B6A75">
              <w:rPr>
                <w:color w:val="000000"/>
                <w:sz w:val="20"/>
                <w:szCs w:val="20"/>
              </w:rPr>
              <w:t>0,00</w:t>
            </w:r>
          </w:p>
        </w:tc>
        <w:tc>
          <w:tcPr>
            <w:tcW w:w="1863" w:type="dxa"/>
            <w:gridSpan w:val="5"/>
            <w:tcBorders>
              <w:top w:val="nil"/>
              <w:left w:val="nil"/>
              <w:bottom w:val="single" w:sz="4" w:space="0" w:color="auto"/>
              <w:right w:val="single" w:sz="4" w:space="0" w:color="auto"/>
            </w:tcBorders>
            <w:shd w:val="clear" w:color="auto" w:fill="auto"/>
            <w:vAlign w:val="center"/>
            <w:hideMark/>
          </w:tcPr>
          <w:p w14:paraId="77E91CCE" w14:textId="77777777" w:rsidR="00387142" w:rsidRPr="008B6A75" w:rsidRDefault="00387142" w:rsidP="00387142">
            <w:pPr>
              <w:jc w:val="center"/>
              <w:rPr>
                <w:color w:val="000000"/>
                <w:sz w:val="20"/>
                <w:szCs w:val="20"/>
              </w:rPr>
            </w:pPr>
            <w:r w:rsidRPr="008B6A75">
              <w:rPr>
                <w:color w:val="000000"/>
                <w:sz w:val="20"/>
                <w:szCs w:val="20"/>
              </w:rPr>
              <w:t>0,00</w:t>
            </w:r>
          </w:p>
        </w:tc>
      </w:tr>
      <w:tr w:rsidR="00387142" w:rsidRPr="008B6A75" w14:paraId="4931F4E8" w14:textId="77777777" w:rsidTr="00387142">
        <w:trPr>
          <w:gridBefore w:val="1"/>
          <w:gridAfter w:val="1"/>
          <w:wBefore w:w="34" w:type="dxa"/>
          <w:wAfter w:w="1238" w:type="dxa"/>
          <w:trHeight w:val="1575"/>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14:paraId="1FD6FB73" w14:textId="77777777" w:rsidR="00387142" w:rsidRPr="008B6A75" w:rsidRDefault="00387142" w:rsidP="00387142">
            <w:pPr>
              <w:jc w:val="right"/>
              <w:rPr>
                <w:sz w:val="20"/>
                <w:szCs w:val="20"/>
              </w:rPr>
            </w:pPr>
            <w:r w:rsidRPr="008B6A75">
              <w:rPr>
                <w:sz w:val="20"/>
                <w:szCs w:val="20"/>
              </w:rPr>
              <w:t>15</w:t>
            </w:r>
          </w:p>
        </w:tc>
        <w:tc>
          <w:tcPr>
            <w:tcW w:w="4678" w:type="dxa"/>
            <w:gridSpan w:val="3"/>
            <w:tcBorders>
              <w:top w:val="nil"/>
              <w:left w:val="nil"/>
              <w:bottom w:val="single" w:sz="4" w:space="0" w:color="auto"/>
              <w:right w:val="single" w:sz="4" w:space="0" w:color="auto"/>
            </w:tcBorders>
            <w:shd w:val="clear" w:color="auto" w:fill="auto"/>
            <w:vAlign w:val="center"/>
            <w:hideMark/>
          </w:tcPr>
          <w:p w14:paraId="157930C3" w14:textId="77777777" w:rsidR="00387142" w:rsidRPr="008B6A75" w:rsidRDefault="00387142" w:rsidP="00387142">
            <w:pPr>
              <w:rPr>
                <w:sz w:val="20"/>
                <w:szCs w:val="20"/>
              </w:rPr>
            </w:pPr>
            <w:r w:rsidRPr="008B6A75">
              <w:rPr>
                <w:sz w:val="20"/>
                <w:szCs w:val="20"/>
              </w:rPr>
              <w:t>Субсидии на реализацию мероприятий по строительству спортивных объектов муниципальной собственности государственной программы Новосибирской области "Развитие физической культуры и спорта в Новосибирской области" (Реконструкция стадиона "Труд")</w:t>
            </w:r>
          </w:p>
        </w:tc>
        <w:tc>
          <w:tcPr>
            <w:tcW w:w="1701" w:type="dxa"/>
            <w:gridSpan w:val="3"/>
            <w:tcBorders>
              <w:top w:val="nil"/>
              <w:left w:val="nil"/>
              <w:bottom w:val="single" w:sz="4" w:space="0" w:color="auto"/>
              <w:right w:val="single" w:sz="4" w:space="0" w:color="auto"/>
            </w:tcBorders>
            <w:shd w:val="clear" w:color="auto" w:fill="auto"/>
            <w:vAlign w:val="center"/>
            <w:hideMark/>
          </w:tcPr>
          <w:p w14:paraId="65507557" w14:textId="77777777" w:rsidR="00387142" w:rsidRPr="008B6A75" w:rsidRDefault="00387142" w:rsidP="00387142">
            <w:pPr>
              <w:jc w:val="center"/>
              <w:rPr>
                <w:color w:val="000000"/>
                <w:sz w:val="20"/>
                <w:szCs w:val="20"/>
              </w:rPr>
            </w:pPr>
            <w:r w:rsidRPr="008B6A75">
              <w:rPr>
                <w:color w:val="000000"/>
                <w:sz w:val="20"/>
                <w:szCs w:val="20"/>
              </w:rPr>
              <w:t>50 599 900,00</w:t>
            </w:r>
          </w:p>
        </w:tc>
        <w:tc>
          <w:tcPr>
            <w:tcW w:w="236" w:type="dxa"/>
            <w:gridSpan w:val="3"/>
            <w:tcBorders>
              <w:top w:val="nil"/>
              <w:left w:val="nil"/>
              <w:bottom w:val="single" w:sz="4" w:space="0" w:color="auto"/>
              <w:right w:val="single" w:sz="4" w:space="0" w:color="auto"/>
            </w:tcBorders>
            <w:shd w:val="clear" w:color="auto" w:fill="auto"/>
            <w:vAlign w:val="center"/>
            <w:hideMark/>
          </w:tcPr>
          <w:p w14:paraId="5AB275E7" w14:textId="77777777" w:rsidR="00387142" w:rsidRPr="008B6A75" w:rsidRDefault="00387142" w:rsidP="00387142">
            <w:pPr>
              <w:jc w:val="center"/>
              <w:rPr>
                <w:color w:val="000000"/>
                <w:sz w:val="20"/>
                <w:szCs w:val="20"/>
              </w:rPr>
            </w:pPr>
            <w:r w:rsidRPr="008B6A75">
              <w:rPr>
                <w:color w:val="000000"/>
                <w:sz w:val="20"/>
                <w:szCs w:val="20"/>
              </w:rPr>
              <w:t>0,00</w:t>
            </w:r>
          </w:p>
        </w:tc>
        <w:tc>
          <w:tcPr>
            <w:tcW w:w="1863" w:type="dxa"/>
            <w:gridSpan w:val="5"/>
            <w:tcBorders>
              <w:top w:val="nil"/>
              <w:left w:val="nil"/>
              <w:bottom w:val="single" w:sz="4" w:space="0" w:color="auto"/>
              <w:right w:val="single" w:sz="4" w:space="0" w:color="auto"/>
            </w:tcBorders>
            <w:shd w:val="clear" w:color="auto" w:fill="auto"/>
            <w:noWrap/>
            <w:vAlign w:val="center"/>
            <w:hideMark/>
          </w:tcPr>
          <w:p w14:paraId="0B61FCF5" w14:textId="77777777" w:rsidR="00387142" w:rsidRPr="008B6A75" w:rsidRDefault="00387142" w:rsidP="00387142">
            <w:pPr>
              <w:jc w:val="center"/>
              <w:rPr>
                <w:sz w:val="20"/>
                <w:szCs w:val="20"/>
              </w:rPr>
            </w:pPr>
            <w:r w:rsidRPr="008B6A75">
              <w:rPr>
                <w:sz w:val="20"/>
                <w:szCs w:val="20"/>
              </w:rPr>
              <w:t>0,00</w:t>
            </w:r>
          </w:p>
        </w:tc>
      </w:tr>
      <w:tr w:rsidR="00387142" w:rsidRPr="008B6A75" w14:paraId="517490C6" w14:textId="77777777" w:rsidTr="00387142">
        <w:trPr>
          <w:gridBefore w:val="1"/>
          <w:gridAfter w:val="1"/>
          <w:wBefore w:w="34" w:type="dxa"/>
          <w:wAfter w:w="1238" w:type="dxa"/>
          <w:trHeight w:val="126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14:paraId="1C8D4113" w14:textId="77777777" w:rsidR="00387142" w:rsidRPr="008B6A75" w:rsidRDefault="00387142" w:rsidP="00387142">
            <w:pPr>
              <w:jc w:val="right"/>
              <w:rPr>
                <w:sz w:val="20"/>
                <w:szCs w:val="20"/>
              </w:rPr>
            </w:pPr>
            <w:r w:rsidRPr="008B6A75">
              <w:rPr>
                <w:sz w:val="20"/>
                <w:szCs w:val="20"/>
              </w:rPr>
              <w:t>16</w:t>
            </w:r>
          </w:p>
        </w:tc>
        <w:tc>
          <w:tcPr>
            <w:tcW w:w="4678" w:type="dxa"/>
            <w:gridSpan w:val="3"/>
            <w:tcBorders>
              <w:top w:val="nil"/>
              <w:left w:val="nil"/>
              <w:bottom w:val="single" w:sz="4" w:space="0" w:color="auto"/>
              <w:right w:val="single" w:sz="4" w:space="0" w:color="auto"/>
            </w:tcBorders>
            <w:shd w:val="clear" w:color="auto" w:fill="auto"/>
            <w:vAlign w:val="center"/>
            <w:hideMark/>
          </w:tcPr>
          <w:p w14:paraId="720632BE" w14:textId="77777777" w:rsidR="00387142" w:rsidRPr="008B6A75" w:rsidRDefault="00387142" w:rsidP="00387142">
            <w:pPr>
              <w:rPr>
                <w:sz w:val="20"/>
                <w:szCs w:val="20"/>
              </w:rPr>
            </w:pPr>
            <w:r w:rsidRPr="008B6A75">
              <w:rPr>
                <w:sz w:val="20"/>
                <w:szCs w:val="20"/>
              </w:rPr>
              <w:t>Субсидии проведение капитального ремонта и поддержание безопасного технического состояния гидротехнических сооружений Новосибирской области государственной программы Новосибирской области "Охрана окружающей среды</w:t>
            </w:r>
          </w:p>
        </w:tc>
        <w:tc>
          <w:tcPr>
            <w:tcW w:w="1701" w:type="dxa"/>
            <w:gridSpan w:val="3"/>
            <w:tcBorders>
              <w:top w:val="nil"/>
              <w:left w:val="nil"/>
              <w:bottom w:val="single" w:sz="4" w:space="0" w:color="auto"/>
              <w:right w:val="single" w:sz="4" w:space="0" w:color="auto"/>
            </w:tcBorders>
            <w:shd w:val="clear" w:color="auto" w:fill="auto"/>
            <w:vAlign w:val="center"/>
            <w:hideMark/>
          </w:tcPr>
          <w:p w14:paraId="72D58FBE" w14:textId="77777777" w:rsidR="00387142" w:rsidRPr="008B6A75" w:rsidRDefault="00387142" w:rsidP="00387142">
            <w:pPr>
              <w:jc w:val="center"/>
              <w:rPr>
                <w:color w:val="000000"/>
                <w:sz w:val="20"/>
                <w:szCs w:val="20"/>
              </w:rPr>
            </w:pPr>
            <w:r w:rsidRPr="008B6A75">
              <w:rPr>
                <w:color w:val="000000"/>
                <w:sz w:val="20"/>
                <w:szCs w:val="20"/>
              </w:rPr>
              <w:t>2 000 000,00</w:t>
            </w:r>
          </w:p>
        </w:tc>
        <w:tc>
          <w:tcPr>
            <w:tcW w:w="236" w:type="dxa"/>
            <w:gridSpan w:val="3"/>
            <w:tcBorders>
              <w:top w:val="nil"/>
              <w:left w:val="nil"/>
              <w:bottom w:val="single" w:sz="4" w:space="0" w:color="auto"/>
              <w:right w:val="single" w:sz="4" w:space="0" w:color="auto"/>
            </w:tcBorders>
            <w:shd w:val="clear" w:color="auto" w:fill="auto"/>
            <w:vAlign w:val="center"/>
            <w:hideMark/>
          </w:tcPr>
          <w:p w14:paraId="05F85B72" w14:textId="77777777" w:rsidR="00387142" w:rsidRPr="008B6A75" w:rsidRDefault="00387142" w:rsidP="00387142">
            <w:pPr>
              <w:jc w:val="center"/>
              <w:rPr>
                <w:color w:val="000000"/>
                <w:sz w:val="20"/>
                <w:szCs w:val="20"/>
              </w:rPr>
            </w:pPr>
            <w:r w:rsidRPr="008B6A75">
              <w:rPr>
                <w:color w:val="000000"/>
                <w:sz w:val="20"/>
                <w:szCs w:val="20"/>
              </w:rPr>
              <w:t>0,00</w:t>
            </w:r>
          </w:p>
        </w:tc>
        <w:tc>
          <w:tcPr>
            <w:tcW w:w="1863" w:type="dxa"/>
            <w:gridSpan w:val="5"/>
            <w:tcBorders>
              <w:top w:val="nil"/>
              <w:left w:val="nil"/>
              <w:bottom w:val="single" w:sz="4" w:space="0" w:color="auto"/>
              <w:right w:val="single" w:sz="4" w:space="0" w:color="auto"/>
            </w:tcBorders>
            <w:shd w:val="clear" w:color="auto" w:fill="auto"/>
            <w:vAlign w:val="center"/>
            <w:hideMark/>
          </w:tcPr>
          <w:p w14:paraId="23D8DBCA" w14:textId="77777777" w:rsidR="00387142" w:rsidRPr="008B6A75" w:rsidRDefault="00387142" w:rsidP="00387142">
            <w:pPr>
              <w:jc w:val="center"/>
              <w:rPr>
                <w:color w:val="000000"/>
                <w:sz w:val="20"/>
                <w:szCs w:val="20"/>
              </w:rPr>
            </w:pPr>
            <w:r w:rsidRPr="008B6A75">
              <w:rPr>
                <w:color w:val="000000"/>
                <w:sz w:val="20"/>
                <w:szCs w:val="20"/>
              </w:rPr>
              <w:t>0,00</w:t>
            </w:r>
          </w:p>
        </w:tc>
      </w:tr>
      <w:tr w:rsidR="00387142" w:rsidRPr="008B6A75" w14:paraId="6A885F1C" w14:textId="77777777" w:rsidTr="00387142">
        <w:trPr>
          <w:gridBefore w:val="1"/>
          <w:gridAfter w:val="1"/>
          <w:wBefore w:w="34" w:type="dxa"/>
          <w:wAfter w:w="1238" w:type="dxa"/>
          <w:trHeight w:val="189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14:paraId="7FE2E533" w14:textId="77777777" w:rsidR="00387142" w:rsidRPr="008B6A75" w:rsidRDefault="00387142" w:rsidP="00387142">
            <w:pPr>
              <w:jc w:val="right"/>
              <w:rPr>
                <w:sz w:val="20"/>
                <w:szCs w:val="20"/>
              </w:rPr>
            </w:pPr>
            <w:r w:rsidRPr="008B6A75">
              <w:rPr>
                <w:sz w:val="20"/>
                <w:szCs w:val="20"/>
              </w:rPr>
              <w:lastRenderedPageBreak/>
              <w:t>17</w:t>
            </w:r>
          </w:p>
        </w:tc>
        <w:tc>
          <w:tcPr>
            <w:tcW w:w="4678" w:type="dxa"/>
            <w:gridSpan w:val="3"/>
            <w:tcBorders>
              <w:top w:val="nil"/>
              <w:left w:val="nil"/>
              <w:bottom w:val="single" w:sz="4" w:space="0" w:color="auto"/>
              <w:right w:val="single" w:sz="4" w:space="0" w:color="auto"/>
            </w:tcBorders>
            <w:shd w:val="clear" w:color="auto" w:fill="auto"/>
            <w:vAlign w:val="center"/>
            <w:hideMark/>
          </w:tcPr>
          <w:p w14:paraId="3E7FDD99" w14:textId="77777777" w:rsidR="00387142" w:rsidRPr="008B6A75" w:rsidRDefault="00387142" w:rsidP="00387142">
            <w:pPr>
              <w:rPr>
                <w:sz w:val="20"/>
                <w:szCs w:val="20"/>
              </w:rPr>
            </w:pPr>
            <w:r w:rsidRPr="008B6A75">
              <w:rPr>
                <w:sz w:val="20"/>
                <w:szCs w:val="20"/>
              </w:rPr>
              <w:t>Субсидии на организацию бесплатного горячего питания обучающихся, получающих начальное общее образование в муниципальных образовательных организациях,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1701" w:type="dxa"/>
            <w:gridSpan w:val="3"/>
            <w:tcBorders>
              <w:top w:val="nil"/>
              <w:left w:val="nil"/>
              <w:bottom w:val="single" w:sz="4" w:space="0" w:color="auto"/>
              <w:right w:val="single" w:sz="4" w:space="0" w:color="auto"/>
            </w:tcBorders>
            <w:shd w:val="clear" w:color="auto" w:fill="auto"/>
            <w:vAlign w:val="center"/>
            <w:hideMark/>
          </w:tcPr>
          <w:p w14:paraId="4A650B07" w14:textId="77777777" w:rsidR="00387142" w:rsidRPr="008B6A75" w:rsidRDefault="00387142" w:rsidP="00387142">
            <w:pPr>
              <w:jc w:val="center"/>
              <w:rPr>
                <w:color w:val="000000"/>
                <w:sz w:val="20"/>
                <w:szCs w:val="20"/>
              </w:rPr>
            </w:pPr>
            <w:r w:rsidRPr="008B6A75">
              <w:rPr>
                <w:color w:val="000000"/>
                <w:sz w:val="20"/>
                <w:szCs w:val="20"/>
              </w:rPr>
              <w:t>36 823 000,00</w:t>
            </w:r>
          </w:p>
        </w:tc>
        <w:tc>
          <w:tcPr>
            <w:tcW w:w="236" w:type="dxa"/>
            <w:gridSpan w:val="3"/>
            <w:tcBorders>
              <w:top w:val="nil"/>
              <w:left w:val="nil"/>
              <w:bottom w:val="single" w:sz="4" w:space="0" w:color="auto"/>
              <w:right w:val="single" w:sz="4" w:space="0" w:color="auto"/>
            </w:tcBorders>
            <w:shd w:val="clear" w:color="auto" w:fill="auto"/>
            <w:vAlign w:val="center"/>
            <w:hideMark/>
          </w:tcPr>
          <w:p w14:paraId="2164DA38" w14:textId="77777777" w:rsidR="00387142" w:rsidRPr="008B6A75" w:rsidRDefault="00387142" w:rsidP="00387142">
            <w:pPr>
              <w:jc w:val="center"/>
              <w:rPr>
                <w:color w:val="000000"/>
                <w:sz w:val="20"/>
                <w:szCs w:val="20"/>
              </w:rPr>
            </w:pPr>
            <w:r w:rsidRPr="008B6A75">
              <w:rPr>
                <w:color w:val="000000"/>
                <w:sz w:val="20"/>
                <w:szCs w:val="20"/>
              </w:rPr>
              <w:t>36 823 000,00</w:t>
            </w:r>
          </w:p>
        </w:tc>
        <w:tc>
          <w:tcPr>
            <w:tcW w:w="1863" w:type="dxa"/>
            <w:gridSpan w:val="5"/>
            <w:tcBorders>
              <w:top w:val="nil"/>
              <w:left w:val="nil"/>
              <w:bottom w:val="single" w:sz="4" w:space="0" w:color="auto"/>
              <w:right w:val="single" w:sz="4" w:space="0" w:color="auto"/>
            </w:tcBorders>
            <w:shd w:val="clear" w:color="auto" w:fill="auto"/>
            <w:vAlign w:val="center"/>
            <w:hideMark/>
          </w:tcPr>
          <w:p w14:paraId="3514658B" w14:textId="77777777" w:rsidR="00387142" w:rsidRPr="008B6A75" w:rsidRDefault="00387142" w:rsidP="00387142">
            <w:pPr>
              <w:jc w:val="center"/>
              <w:rPr>
                <w:color w:val="000000"/>
                <w:sz w:val="20"/>
                <w:szCs w:val="20"/>
              </w:rPr>
            </w:pPr>
            <w:r w:rsidRPr="008B6A75">
              <w:rPr>
                <w:color w:val="000000"/>
                <w:sz w:val="20"/>
                <w:szCs w:val="20"/>
              </w:rPr>
              <w:t>37 694 700,00</w:t>
            </w:r>
          </w:p>
        </w:tc>
      </w:tr>
      <w:tr w:rsidR="00387142" w:rsidRPr="008B6A75" w14:paraId="7F09F72D" w14:textId="77777777" w:rsidTr="00387142">
        <w:trPr>
          <w:gridBefore w:val="1"/>
          <w:gridAfter w:val="1"/>
          <w:wBefore w:w="34" w:type="dxa"/>
          <w:wAfter w:w="1238" w:type="dxa"/>
          <w:trHeight w:val="126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14:paraId="0CB5984E" w14:textId="77777777" w:rsidR="00387142" w:rsidRPr="008B6A75" w:rsidRDefault="00387142" w:rsidP="00387142">
            <w:pPr>
              <w:jc w:val="right"/>
              <w:rPr>
                <w:sz w:val="20"/>
                <w:szCs w:val="20"/>
              </w:rPr>
            </w:pPr>
            <w:r w:rsidRPr="008B6A75">
              <w:rPr>
                <w:sz w:val="20"/>
                <w:szCs w:val="20"/>
              </w:rPr>
              <w:t>18</w:t>
            </w:r>
          </w:p>
        </w:tc>
        <w:tc>
          <w:tcPr>
            <w:tcW w:w="4678" w:type="dxa"/>
            <w:gridSpan w:val="3"/>
            <w:tcBorders>
              <w:top w:val="nil"/>
              <w:left w:val="nil"/>
              <w:bottom w:val="single" w:sz="4" w:space="0" w:color="auto"/>
              <w:right w:val="single" w:sz="4" w:space="0" w:color="auto"/>
            </w:tcBorders>
            <w:shd w:val="clear" w:color="auto" w:fill="auto"/>
            <w:vAlign w:val="center"/>
            <w:hideMark/>
          </w:tcPr>
          <w:p w14:paraId="2DA0A7BA" w14:textId="77777777" w:rsidR="00387142" w:rsidRPr="008B6A75" w:rsidRDefault="00387142" w:rsidP="00387142">
            <w:pPr>
              <w:rPr>
                <w:sz w:val="20"/>
                <w:szCs w:val="20"/>
              </w:rPr>
            </w:pPr>
            <w:r w:rsidRPr="008B6A75">
              <w:rPr>
                <w:sz w:val="20"/>
                <w:szCs w:val="20"/>
              </w:rPr>
              <w:t xml:space="preserve">Субсидия на реализацию мероприятий по модернизации и развитию инфраструктуры связи на территории Новосибирской области государственной программы Новосибирской области "Цифровая трансформация Новосибирской области" </w:t>
            </w:r>
          </w:p>
        </w:tc>
        <w:tc>
          <w:tcPr>
            <w:tcW w:w="1701" w:type="dxa"/>
            <w:gridSpan w:val="3"/>
            <w:tcBorders>
              <w:top w:val="nil"/>
              <w:left w:val="nil"/>
              <w:bottom w:val="single" w:sz="4" w:space="0" w:color="auto"/>
              <w:right w:val="single" w:sz="4" w:space="0" w:color="auto"/>
            </w:tcBorders>
            <w:shd w:val="clear" w:color="auto" w:fill="auto"/>
            <w:vAlign w:val="center"/>
            <w:hideMark/>
          </w:tcPr>
          <w:p w14:paraId="074F57AD" w14:textId="77777777" w:rsidR="00387142" w:rsidRPr="008B6A75" w:rsidRDefault="00387142" w:rsidP="00387142">
            <w:pPr>
              <w:jc w:val="center"/>
              <w:rPr>
                <w:color w:val="000000"/>
                <w:sz w:val="20"/>
                <w:szCs w:val="20"/>
              </w:rPr>
            </w:pPr>
            <w:r w:rsidRPr="008B6A75">
              <w:rPr>
                <w:color w:val="000000"/>
                <w:sz w:val="20"/>
                <w:szCs w:val="20"/>
              </w:rPr>
              <w:t>0,00</w:t>
            </w:r>
          </w:p>
        </w:tc>
        <w:tc>
          <w:tcPr>
            <w:tcW w:w="236" w:type="dxa"/>
            <w:gridSpan w:val="3"/>
            <w:tcBorders>
              <w:top w:val="nil"/>
              <w:left w:val="nil"/>
              <w:bottom w:val="single" w:sz="4" w:space="0" w:color="auto"/>
              <w:right w:val="single" w:sz="4" w:space="0" w:color="auto"/>
            </w:tcBorders>
            <w:shd w:val="clear" w:color="auto" w:fill="auto"/>
            <w:vAlign w:val="center"/>
            <w:hideMark/>
          </w:tcPr>
          <w:p w14:paraId="09E337CE" w14:textId="77777777" w:rsidR="00387142" w:rsidRPr="008B6A75" w:rsidRDefault="00387142" w:rsidP="00387142">
            <w:pPr>
              <w:jc w:val="center"/>
              <w:rPr>
                <w:color w:val="000000"/>
                <w:sz w:val="20"/>
                <w:szCs w:val="20"/>
              </w:rPr>
            </w:pPr>
            <w:r w:rsidRPr="008B6A75">
              <w:rPr>
                <w:color w:val="000000"/>
                <w:sz w:val="20"/>
                <w:szCs w:val="20"/>
              </w:rPr>
              <w:t>4 000 000,00</w:t>
            </w:r>
          </w:p>
        </w:tc>
        <w:tc>
          <w:tcPr>
            <w:tcW w:w="1863" w:type="dxa"/>
            <w:gridSpan w:val="5"/>
            <w:tcBorders>
              <w:top w:val="nil"/>
              <w:left w:val="nil"/>
              <w:bottom w:val="single" w:sz="4" w:space="0" w:color="auto"/>
              <w:right w:val="single" w:sz="4" w:space="0" w:color="auto"/>
            </w:tcBorders>
            <w:shd w:val="clear" w:color="auto" w:fill="auto"/>
            <w:vAlign w:val="center"/>
            <w:hideMark/>
          </w:tcPr>
          <w:p w14:paraId="6CE096E6" w14:textId="77777777" w:rsidR="00387142" w:rsidRPr="008B6A75" w:rsidRDefault="00387142" w:rsidP="00387142">
            <w:pPr>
              <w:jc w:val="center"/>
              <w:rPr>
                <w:color w:val="000000"/>
                <w:sz w:val="20"/>
                <w:szCs w:val="20"/>
              </w:rPr>
            </w:pPr>
            <w:r w:rsidRPr="008B6A75">
              <w:rPr>
                <w:color w:val="000000"/>
                <w:sz w:val="20"/>
                <w:szCs w:val="20"/>
              </w:rPr>
              <w:t>0,00</w:t>
            </w:r>
          </w:p>
        </w:tc>
      </w:tr>
      <w:tr w:rsidR="00387142" w:rsidRPr="008B6A75" w14:paraId="2B3B484F" w14:textId="77777777" w:rsidTr="00387142">
        <w:trPr>
          <w:gridBefore w:val="1"/>
          <w:gridAfter w:val="1"/>
          <w:wBefore w:w="34" w:type="dxa"/>
          <w:wAfter w:w="1238" w:type="dxa"/>
          <w:trHeight w:val="945"/>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14:paraId="3C5C82D7" w14:textId="77777777" w:rsidR="00387142" w:rsidRPr="008B6A75" w:rsidRDefault="00387142" w:rsidP="00387142">
            <w:pPr>
              <w:jc w:val="right"/>
              <w:rPr>
                <w:sz w:val="20"/>
                <w:szCs w:val="20"/>
              </w:rPr>
            </w:pPr>
            <w:r w:rsidRPr="008B6A75">
              <w:rPr>
                <w:sz w:val="20"/>
                <w:szCs w:val="20"/>
              </w:rPr>
              <w:t>19</w:t>
            </w:r>
          </w:p>
        </w:tc>
        <w:tc>
          <w:tcPr>
            <w:tcW w:w="4678" w:type="dxa"/>
            <w:gridSpan w:val="3"/>
            <w:tcBorders>
              <w:top w:val="nil"/>
              <w:left w:val="nil"/>
              <w:bottom w:val="single" w:sz="4" w:space="0" w:color="auto"/>
              <w:right w:val="single" w:sz="4" w:space="0" w:color="auto"/>
            </w:tcBorders>
            <w:shd w:val="clear" w:color="auto" w:fill="auto"/>
            <w:vAlign w:val="center"/>
            <w:hideMark/>
          </w:tcPr>
          <w:p w14:paraId="441457EF" w14:textId="77777777" w:rsidR="00387142" w:rsidRPr="008B6A75" w:rsidRDefault="00387142" w:rsidP="00387142">
            <w:pPr>
              <w:rPr>
                <w:sz w:val="20"/>
                <w:szCs w:val="20"/>
              </w:rPr>
            </w:pPr>
            <w:r w:rsidRPr="008B6A75">
              <w:rPr>
                <w:sz w:val="20"/>
                <w:szCs w:val="20"/>
              </w:rPr>
              <w:t xml:space="preserve">Субсидии на реализацию мероприятий по проведению работ на воинских захоронениях государственной программы Новосибирской области "Культура Новосибирской области" </w:t>
            </w:r>
          </w:p>
        </w:tc>
        <w:tc>
          <w:tcPr>
            <w:tcW w:w="1701" w:type="dxa"/>
            <w:gridSpan w:val="3"/>
            <w:tcBorders>
              <w:top w:val="nil"/>
              <w:left w:val="nil"/>
              <w:bottom w:val="single" w:sz="4" w:space="0" w:color="auto"/>
              <w:right w:val="single" w:sz="4" w:space="0" w:color="auto"/>
            </w:tcBorders>
            <w:shd w:val="clear" w:color="auto" w:fill="auto"/>
            <w:vAlign w:val="center"/>
            <w:hideMark/>
          </w:tcPr>
          <w:p w14:paraId="5B7E3FE4" w14:textId="77777777" w:rsidR="00387142" w:rsidRPr="008B6A75" w:rsidRDefault="00387142" w:rsidP="00387142">
            <w:pPr>
              <w:jc w:val="center"/>
              <w:rPr>
                <w:color w:val="000000"/>
                <w:sz w:val="20"/>
                <w:szCs w:val="20"/>
              </w:rPr>
            </w:pPr>
            <w:r w:rsidRPr="008B6A75">
              <w:rPr>
                <w:color w:val="000000"/>
                <w:sz w:val="20"/>
                <w:szCs w:val="20"/>
              </w:rPr>
              <w:t>125 300,00</w:t>
            </w:r>
          </w:p>
        </w:tc>
        <w:tc>
          <w:tcPr>
            <w:tcW w:w="236" w:type="dxa"/>
            <w:gridSpan w:val="3"/>
            <w:tcBorders>
              <w:top w:val="nil"/>
              <w:left w:val="nil"/>
              <w:bottom w:val="single" w:sz="4" w:space="0" w:color="auto"/>
              <w:right w:val="single" w:sz="4" w:space="0" w:color="auto"/>
            </w:tcBorders>
            <w:shd w:val="clear" w:color="auto" w:fill="auto"/>
            <w:vAlign w:val="center"/>
            <w:hideMark/>
          </w:tcPr>
          <w:p w14:paraId="15660664" w14:textId="77777777" w:rsidR="00387142" w:rsidRPr="008B6A75" w:rsidRDefault="00387142" w:rsidP="00387142">
            <w:pPr>
              <w:jc w:val="center"/>
              <w:rPr>
                <w:color w:val="000000"/>
                <w:sz w:val="20"/>
                <w:szCs w:val="20"/>
              </w:rPr>
            </w:pPr>
            <w:r w:rsidRPr="008B6A75">
              <w:rPr>
                <w:color w:val="000000"/>
                <w:sz w:val="20"/>
                <w:szCs w:val="20"/>
              </w:rPr>
              <w:t>0,00</w:t>
            </w:r>
          </w:p>
        </w:tc>
        <w:tc>
          <w:tcPr>
            <w:tcW w:w="1863" w:type="dxa"/>
            <w:gridSpan w:val="5"/>
            <w:tcBorders>
              <w:top w:val="nil"/>
              <w:left w:val="nil"/>
              <w:bottom w:val="single" w:sz="4" w:space="0" w:color="auto"/>
              <w:right w:val="single" w:sz="4" w:space="0" w:color="auto"/>
            </w:tcBorders>
            <w:shd w:val="clear" w:color="auto" w:fill="auto"/>
            <w:vAlign w:val="center"/>
            <w:hideMark/>
          </w:tcPr>
          <w:p w14:paraId="060FE7C6" w14:textId="77777777" w:rsidR="00387142" w:rsidRPr="008B6A75" w:rsidRDefault="00387142" w:rsidP="00387142">
            <w:pPr>
              <w:jc w:val="center"/>
              <w:rPr>
                <w:color w:val="000000"/>
                <w:sz w:val="20"/>
                <w:szCs w:val="20"/>
              </w:rPr>
            </w:pPr>
            <w:r w:rsidRPr="008B6A75">
              <w:rPr>
                <w:color w:val="000000"/>
                <w:sz w:val="20"/>
                <w:szCs w:val="20"/>
              </w:rPr>
              <w:t>652 800,00</w:t>
            </w:r>
          </w:p>
        </w:tc>
      </w:tr>
      <w:tr w:rsidR="00387142" w:rsidRPr="008B6A75" w14:paraId="22D4C814" w14:textId="77777777" w:rsidTr="00387142">
        <w:trPr>
          <w:gridBefore w:val="1"/>
          <w:gridAfter w:val="1"/>
          <w:wBefore w:w="34" w:type="dxa"/>
          <w:wAfter w:w="1238" w:type="dxa"/>
          <w:trHeight w:val="1575"/>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14:paraId="1C51CD14" w14:textId="77777777" w:rsidR="00387142" w:rsidRPr="008B6A75" w:rsidRDefault="00387142" w:rsidP="00387142">
            <w:pPr>
              <w:jc w:val="right"/>
              <w:rPr>
                <w:sz w:val="20"/>
                <w:szCs w:val="20"/>
              </w:rPr>
            </w:pPr>
            <w:r w:rsidRPr="008B6A75">
              <w:rPr>
                <w:sz w:val="20"/>
                <w:szCs w:val="20"/>
              </w:rPr>
              <w:t>20</w:t>
            </w:r>
          </w:p>
        </w:tc>
        <w:tc>
          <w:tcPr>
            <w:tcW w:w="4678" w:type="dxa"/>
            <w:gridSpan w:val="3"/>
            <w:tcBorders>
              <w:top w:val="nil"/>
              <w:left w:val="nil"/>
              <w:bottom w:val="single" w:sz="4" w:space="0" w:color="auto"/>
              <w:right w:val="single" w:sz="4" w:space="0" w:color="auto"/>
            </w:tcBorders>
            <w:shd w:val="clear" w:color="auto" w:fill="auto"/>
            <w:vAlign w:val="center"/>
            <w:hideMark/>
          </w:tcPr>
          <w:p w14:paraId="09352B98" w14:textId="77777777" w:rsidR="00387142" w:rsidRPr="008B6A75" w:rsidRDefault="00387142" w:rsidP="00387142">
            <w:pPr>
              <w:rPr>
                <w:sz w:val="20"/>
                <w:szCs w:val="20"/>
              </w:rPr>
            </w:pPr>
            <w:r w:rsidRPr="008B6A75">
              <w:rPr>
                <w:sz w:val="20"/>
                <w:szCs w:val="20"/>
              </w:rPr>
              <w:t xml:space="preserve">Субсидий на оплату расходов, связанных со строительством специализированного жилищного фонда для предоставления отдельным категориям граждан, государственной программы Новосибирской области "Стимулирование развития жилищного строительства в Новосибирской области" </w:t>
            </w:r>
          </w:p>
        </w:tc>
        <w:tc>
          <w:tcPr>
            <w:tcW w:w="1701" w:type="dxa"/>
            <w:gridSpan w:val="3"/>
            <w:tcBorders>
              <w:top w:val="nil"/>
              <w:left w:val="nil"/>
              <w:bottom w:val="single" w:sz="4" w:space="0" w:color="auto"/>
              <w:right w:val="single" w:sz="4" w:space="0" w:color="auto"/>
            </w:tcBorders>
            <w:shd w:val="clear" w:color="auto" w:fill="auto"/>
            <w:vAlign w:val="center"/>
            <w:hideMark/>
          </w:tcPr>
          <w:p w14:paraId="57D629F4" w14:textId="77777777" w:rsidR="00387142" w:rsidRPr="008B6A75" w:rsidRDefault="00387142" w:rsidP="00387142">
            <w:pPr>
              <w:jc w:val="center"/>
              <w:rPr>
                <w:color w:val="000000"/>
                <w:sz w:val="20"/>
                <w:szCs w:val="20"/>
              </w:rPr>
            </w:pPr>
            <w:r w:rsidRPr="008B6A75">
              <w:rPr>
                <w:color w:val="000000"/>
                <w:sz w:val="20"/>
                <w:szCs w:val="20"/>
              </w:rPr>
              <w:t>15 781 000,00</w:t>
            </w:r>
          </w:p>
        </w:tc>
        <w:tc>
          <w:tcPr>
            <w:tcW w:w="236" w:type="dxa"/>
            <w:gridSpan w:val="3"/>
            <w:tcBorders>
              <w:top w:val="nil"/>
              <w:left w:val="nil"/>
              <w:bottom w:val="single" w:sz="4" w:space="0" w:color="auto"/>
              <w:right w:val="single" w:sz="4" w:space="0" w:color="auto"/>
            </w:tcBorders>
            <w:shd w:val="clear" w:color="auto" w:fill="auto"/>
            <w:vAlign w:val="center"/>
            <w:hideMark/>
          </w:tcPr>
          <w:p w14:paraId="4E145746" w14:textId="77777777" w:rsidR="00387142" w:rsidRPr="008B6A75" w:rsidRDefault="00387142" w:rsidP="00387142">
            <w:pPr>
              <w:jc w:val="center"/>
              <w:rPr>
                <w:color w:val="000000"/>
                <w:sz w:val="20"/>
                <w:szCs w:val="20"/>
              </w:rPr>
            </w:pPr>
            <w:r w:rsidRPr="008B6A75">
              <w:rPr>
                <w:color w:val="000000"/>
                <w:sz w:val="20"/>
                <w:szCs w:val="20"/>
              </w:rPr>
              <w:t>7 590 400,00</w:t>
            </w:r>
          </w:p>
        </w:tc>
        <w:tc>
          <w:tcPr>
            <w:tcW w:w="1863" w:type="dxa"/>
            <w:gridSpan w:val="5"/>
            <w:tcBorders>
              <w:top w:val="nil"/>
              <w:left w:val="nil"/>
              <w:bottom w:val="single" w:sz="4" w:space="0" w:color="auto"/>
              <w:right w:val="single" w:sz="4" w:space="0" w:color="auto"/>
            </w:tcBorders>
            <w:shd w:val="clear" w:color="auto" w:fill="auto"/>
            <w:vAlign w:val="center"/>
            <w:hideMark/>
          </w:tcPr>
          <w:p w14:paraId="7D64E5E7" w14:textId="77777777" w:rsidR="00387142" w:rsidRPr="008B6A75" w:rsidRDefault="00387142" w:rsidP="00387142">
            <w:pPr>
              <w:jc w:val="center"/>
              <w:rPr>
                <w:color w:val="000000"/>
                <w:sz w:val="20"/>
                <w:szCs w:val="20"/>
              </w:rPr>
            </w:pPr>
            <w:r w:rsidRPr="008B6A75">
              <w:rPr>
                <w:color w:val="000000"/>
                <w:sz w:val="20"/>
                <w:szCs w:val="20"/>
              </w:rPr>
              <w:t>5 290 300,00</w:t>
            </w:r>
          </w:p>
        </w:tc>
      </w:tr>
      <w:tr w:rsidR="00387142" w:rsidRPr="008B6A75" w14:paraId="4F0D908D" w14:textId="77777777" w:rsidTr="00387142">
        <w:trPr>
          <w:gridBefore w:val="1"/>
          <w:gridAfter w:val="1"/>
          <w:wBefore w:w="34" w:type="dxa"/>
          <w:wAfter w:w="1238" w:type="dxa"/>
          <w:trHeight w:val="2205"/>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14:paraId="580C762A" w14:textId="77777777" w:rsidR="00387142" w:rsidRPr="008B6A75" w:rsidRDefault="00387142" w:rsidP="00387142">
            <w:pPr>
              <w:jc w:val="right"/>
              <w:rPr>
                <w:sz w:val="20"/>
                <w:szCs w:val="20"/>
              </w:rPr>
            </w:pPr>
            <w:r w:rsidRPr="008B6A75">
              <w:rPr>
                <w:sz w:val="20"/>
                <w:szCs w:val="20"/>
              </w:rPr>
              <w:t>21</w:t>
            </w:r>
          </w:p>
        </w:tc>
        <w:tc>
          <w:tcPr>
            <w:tcW w:w="4678" w:type="dxa"/>
            <w:gridSpan w:val="3"/>
            <w:tcBorders>
              <w:top w:val="nil"/>
              <w:left w:val="nil"/>
              <w:bottom w:val="single" w:sz="4" w:space="0" w:color="auto"/>
              <w:right w:val="single" w:sz="4" w:space="0" w:color="auto"/>
            </w:tcBorders>
            <w:shd w:val="clear" w:color="auto" w:fill="auto"/>
            <w:vAlign w:val="center"/>
            <w:hideMark/>
          </w:tcPr>
          <w:p w14:paraId="711E0D5C" w14:textId="77777777" w:rsidR="00387142" w:rsidRPr="008B6A75" w:rsidRDefault="00387142" w:rsidP="00387142">
            <w:pPr>
              <w:rPr>
                <w:sz w:val="20"/>
                <w:szCs w:val="20"/>
              </w:rPr>
            </w:pPr>
            <w:r w:rsidRPr="008B6A75">
              <w:rPr>
                <w:sz w:val="20"/>
                <w:szCs w:val="20"/>
              </w:rPr>
              <w:t xml:space="preserve">Субсидии на реализацию мероприятий по ресурсному обеспечению модернизации образования Новосибирской области подпрограммы "Развитие дошкольного, общего и дополнительного образования детей"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w:t>
            </w:r>
          </w:p>
        </w:tc>
        <w:tc>
          <w:tcPr>
            <w:tcW w:w="1701" w:type="dxa"/>
            <w:gridSpan w:val="3"/>
            <w:tcBorders>
              <w:top w:val="nil"/>
              <w:left w:val="nil"/>
              <w:bottom w:val="single" w:sz="4" w:space="0" w:color="auto"/>
              <w:right w:val="single" w:sz="4" w:space="0" w:color="auto"/>
            </w:tcBorders>
            <w:shd w:val="clear" w:color="auto" w:fill="auto"/>
            <w:vAlign w:val="center"/>
            <w:hideMark/>
          </w:tcPr>
          <w:p w14:paraId="28F3760A" w14:textId="77777777" w:rsidR="00387142" w:rsidRPr="008B6A75" w:rsidRDefault="00387142" w:rsidP="00387142">
            <w:pPr>
              <w:jc w:val="center"/>
              <w:rPr>
                <w:color w:val="000000"/>
                <w:sz w:val="20"/>
                <w:szCs w:val="20"/>
              </w:rPr>
            </w:pPr>
            <w:r w:rsidRPr="008B6A75">
              <w:rPr>
                <w:color w:val="000000"/>
                <w:sz w:val="20"/>
                <w:szCs w:val="20"/>
              </w:rPr>
              <w:t>1 344 200,00</w:t>
            </w:r>
          </w:p>
        </w:tc>
        <w:tc>
          <w:tcPr>
            <w:tcW w:w="236" w:type="dxa"/>
            <w:gridSpan w:val="3"/>
            <w:tcBorders>
              <w:top w:val="nil"/>
              <w:left w:val="nil"/>
              <w:bottom w:val="single" w:sz="4" w:space="0" w:color="auto"/>
              <w:right w:val="single" w:sz="4" w:space="0" w:color="auto"/>
            </w:tcBorders>
            <w:shd w:val="clear" w:color="auto" w:fill="auto"/>
            <w:vAlign w:val="center"/>
            <w:hideMark/>
          </w:tcPr>
          <w:p w14:paraId="1F041B9A" w14:textId="77777777" w:rsidR="00387142" w:rsidRPr="008B6A75" w:rsidRDefault="00387142" w:rsidP="00387142">
            <w:pPr>
              <w:jc w:val="center"/>
              <w:rPr>
                <w:color w:val="000000"/>
                <w:sz w:val="20"/>
                <w:szCs w:val="20"/>
              </w:rPr>
            </w:pPr>
            <w:r w:rsidRPr="008B6A75">
              <w:rPr>
                <w:color w:val="000000"/>
                <w:sz w:val="20"/>
                <w:szCs w:val="20"/>
              </w:rPr>
              <w:t>912 900,00</w:t>
            </w:r>
          </w:p>
        </w:tc>
        <w:tc>
          <w:tcPr>
            <w:tcW w:w="1863" w:type="dxa"/>
            <w:gridSpan w:val="5"/>
            <w:tcBorders>
              <w:top w:val="nil"/>
              <w:left w:val="nil"/>
              <w:bottom w:val="single" w:sz="4" w:space="0" w:color="auto"/>
              <w:right w:val="single" w:sz="4" w:space="0" w:color="auto"/>
            </w:tcBorders>
            <w:shd w:val="clear" w:color="auto" w:fill="auto"/>
            <w:vAlign w:val="center"/>
            <w:hideMark/>
          </w:tcPr>
          <w:p w14:paraId="7BA39EBC" w14:textId="77777777" w:rsidR="00387142" w:rsidRPr="008B6A75" w:rsidRDefault="00387142" w:rsidP="00387142">
            <w:pPr>
              <w:jc w:val="center"/>
              <w:rPr>
                <w:color w:val="000000"/>
                <w:sz w:val="20"/>
                <w:szCs w:val="20"/>
              </w:rPr>
            </w:pPr>
            <w:r w:rsidRPr="008B6A75">
              <w:rPr>
                <w:color w:val="000000"/>
                <w:sz w:val="20"/>
                <w:szCs w:val="20"/>
              </w:rPr>
              <w:t>912 900,00</w:t>
            </w:r>
          </w:p>
        </w:tc>
      </w:tr>
      <w:tr w:rsidR="00387142" w:rsidRPr="008B6A75" w14:paraId="4FF915A3" w14:textId="77777777" w:rsidTr="00387142">
        <w:trPr>
          <w:gridBefore w:val="1"/>
          <w:gridAfter w:val="1"/>
          <w:wBefore w:w="34" w:type="dxa"/>
          <w:wAfter w:w="1238" w:type="dxa"/>
          <w:trHeight w:val="126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14:paraId="566F4D9C" w14:textId="77777777" w:rsidR="00387142" w:rsidRPr="008B6A75" w:rsidRDefault="00387142" w:rsidP="00387142">
            <w:pPr>
              <w:jc w:val="right"/>
              <w:rPr>
                <w:sz w:val="20"/>
                <w:szCs w:val="20"/>
              </w:rPr>
            </w:pPr>
            <w:r w:rsidRPr="008B6A75">
              <w:rPr>
                <w:sz w:val="20"/>
                <w:szCs w:val="20"/>
              </w:rPr>
              <w:t>22</w:t>
            </w:r>
          </w:p>
        </w:tc>
        <w:tc>
          <w:tcPr>
            <w:tcW w:w="4678" w:type="dxa"/>
            <w:gridSpan w:val="3"/>
            <w:tcBorders>
              <w:top w:val="nil"/>
              <w:left w:val="nil"/>
              <w:bottom w:val="single" w:sz="4" w:space="0" w:color="auto"/>
              <w:right w:val="single" w:sz="4" w:space="0" w:color="auto"/>
            </w:tcBorders>
            <w:shd w:val="clear" w:color="auto" w:fill="auto"/>
            <w:vAlign w:val="center"/>
            <w:hideMark/>
          </w:tcPr>
          <w:p w14:paraId="07013217" w14:textId="77777777" w:rsidR="00387142" w:rsidRPr="008B6A75" w:rsidRDefault="00387142" w:rsidP="00387142">
            <w:pPr>
              <w:rPr>
                <w:sz w:val="20"/>
                <w:szCs w:val="20"/>
              </w:rPr>
            </w:pPr>
            <w:r w:rsidRPr="008B6A75">
              <w:rPr>
                <w:sz w:val="20"/>
                <w:szCs w:val="20"/>
              </w:rPr>
              <w:t xml:space="preserve">Субсидии на реализацию мероприятий по комплектованию книжных фондов муниципальных общедоступных библиотек Новосибирской области государственной программы Новосибирской области "Культура Новосибирской области" </w:t>
            </w:r>
          </w:p>
        </w:tc>
        <w:tc>
          <w:tcPr>
            <w:tcW w:w="1701" w:type="dxa"/>
            <w:gridSpan w:val="3"/>
            <w:tcBorders>
              <w:top w:val="nil"/>
              <w:left w:val="nil"/>
              <w:bottom w:val="single" w:sz="4" w:space="0" w:color="auto"/>
              <w:right w:val="single" w:sz="4" w:space="0" w:color="auto"/>
            </w:tcBorders>
            <w:shd w:val="clear" w:color="auto" w:fill="auto"/>
            <w:vAlign w:val="center"/>
            <w:hideMark/>
          </w:tcPr>
          <w:p w14:paraId="53EB5CB8" w14:textId="77777777" w:rsidR="00387142" w:rsidRPr="008B6A75" w:rsidRDefault="00387142" w:rsidP="00387142">
            <w:pPr>
              <w:jc w:val="center"/>
              <w:rPr>
                <w:color w:val="000000"/>
                <w:sz w:val="20"/>
                <w:szCs w:val="20"/>
              </w:rPr>
            </w:pPr>
            <w:r w:rsidRPr="008B6A75">
              <w:rPr>
                <w:color w:val="000000"/>
                <w:sz w:val="20"/>
                <w:szCs w:val="20"/>
              </w:rPr>
              <w:t>1 435 300,00</w:t>
            </w:r>
          </w:p>
        </w:tc>
        <w:tc>
          <w:tcPr>
            <w:tcW w:w="236" w:type="dxa"/>
            <w:gridSpan w:val="3"/>
            <w:tcBorders>
              <w:top w:val="nil"/>
              <w:left w:val="nil"/>
              <w:bottom w:val="single" w:sz="4" w:space="0" w:color="auto"/>
              <w:right w:val="single" w:sz="4" w:space="0" w:color="auto"/>
            </w:tcBorders>
            <w:shd w:val="clear" w:color="auto" w:fill="auto"/>
            <w:vAlign w:val="center"/>
            <w:hideMark/>
          </w:tcPr>
          <w:p w14:paraId="0750D9CF" w14:textId="77777777" w:rsidR="00387142" w:rsidRPr="008B6A75" w:rsidRDefault="00387142" w:rsidP="00387142">
            <w:pPr>
              <w:jc w:val="center"/>
              <w:rPr>
                <w:color w:val="000000"/>
                <w:sz w:val="20"/>
                <w:szCs w:val="20"/>
              </w:rPr>
            </w:pPr>
            <w:r w:rsidRPr="008B6A75">
              <w:rPr>
                <w:color w:val="000000"/>
                <w:sz w:val="20"/>
                <w:szCs w:val="20"/>
              </w:rPr>
              <w:t>1 435 300,00</w:t>
            </w:r>
          </w:p>
        </w:tc>
        <w:tc>
          <w:tcPr>
            <w:tcW w:w="1863" w:type="dxa"/>
            <w:gridSpan w:val="5"/>
            <w:tcBorders>
              <w:top w:val="nil"/>
              <w:left w:val="nil"/>
              <w:bottom w:val="single" w:sz="4" w:space="0" w:color="auto"/>
              <w:right w:val="single" w:sz="4" w:space="0" w:color="auto"/>
            </w:tcBorders>
            <w:shd w:val="clear" w:color="auto" w:fill="auto"/>
            <w:vAlign w:val="center"/>
            <w:hideMark/>
          </w:tcPr>
          <w:p w14:paraId="43C0A14E" w14:textId="77777777" w:rsidR="00387142" w:rsidRPr="008B6A75" w:rsidRDefault="00387142" w:rsidP="00387142">
            <w:pPr>
              <w:jc w:val="center"/>
              <w:rPr>
                <w:color w:val="000000"/>
                <w:sz w:val="20"/>
                <w:szCs w:val="20"/>
              </w:rPr>
            </w:pPr>
            <w:r w:rsidRPr="008B6A75">
              <w:rPr>
                <w:color w:val="000000"/>
                <w:sz w:val="20"/>
                <w:szCs w:val="20"/>
              </w:rPr>
              <w:t>1 435 300,00</w:t>
            </w:r>
          </w:p>
        </w:tc>
      </w:tr>
      <w:tr w:rsidR="00387142" w:rsidRPr="008B6A75" w14:paraId="31FF2974" w14:textId="77777777" w:rsidTr="00387142">
        <w:trPr>
          <w:gridBefore w:val="1"/>
          <w:gridAfter w:val="1"/>
          <w:wBefore w:w="34" w:type="dxa"/>
          <w:wAfter w:w="1238" w:type="dxa"/>
          <w:trHeight w:val="1575"/>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14:paraId="21BFE210" w14:textId="77777777" w:rsidR="00387142" w:rsidRPr="008B6A75" w:rsidRDefault="00387142" w:rsidP="00387142">
            <w:pPr>
              <w:jc w:val="right"/>
              <w:rPr>
                <w:sz w:val="20"/>
                <w:szCs w:val="20"/>
              </w:rPr>
            </w:pPr>
            <w:r w:rsidRPr="008B6A75">
              <w:rPr>
                <w:sz w:val="20"/>
                <w:szCs w:val="20"/>
              </w:rPr>
              <w:t>23</w:t>
            </w:r>
          </w:p>
        </w:tc>
        <w:tc>
          <w:tcPr>
            <w:tcW w:w="4678" w:type="dxa"/>
            <w:gridSpan w:val="3"/>
            <w:tcBorders>
              <w:top w:val="nil"/>
              <w:left w:val="nil"/>
              <w:bottom w:val="single" w:sz="4" w:space="0" w:color="auto"/>
              <w:right w:val="single" w:sz="4" w:space="0" w:color="auto"/>
            </w:tcBorders>
            <w:shd w:val="clear" w:color="auto" w:fill="auto"/>
            <w:vAlign w:val="center"/>
            <w:hideMark/>
          </w:tcPr>
          <w:p w14:paraId="59503D1A" w14:textId="77777777" w:rsidR="00387142" w:rsidRPr="008B6A75" w:rsidRDefault="00387142" w:rsidP="00387142">
            <w:pPr>
              <w:rPr>
                <w:sz w:val="20"/>
                <w:szCs w:val="20"/>
              </w:rPr>
            </w:pPr>
            <w:r w:rsidRPr="008B6A75">
              <w:rPr>
                <w:sz w:val="20"/>
                <w:szCs w:val="20"/>
              </w:rPr>
              <w:t>Субсидии на приобретение оборудования и проведение капитального ремонта муниципальных учреждений культуры и муниципальных образовательных организаций дополнительного образования сферы культуры государственной программы Новосибирской области "Культура Новосибирской области"</w:t>
            </w:r>
          </w:p>
        </w:tc>
        <w:tc>
          <w:tcPr>
            <w:tcW w:w="1701" w:type="dxa"/>
            <w:gridSpan w:val="3"/>
            <w:tcBorders>
              <w:top w:val="nil"/>
              <w:left w:val="nil"/>
              <w:bottom w:val="single" w:sz="4" w:space="0" w:color="auto"/>
              <w:right w:val="single" w:sz="4" w:space="0" w:color="auto"/>
            </w:tcBorders>
            <w:shd w:val="clear" w:color="auto" w:fill="auto"/>
            <w:vAlign w:val="center"/>
            <w:hideMark/>
          </w:tcPr>
          <w:p w14:paraId="7644FE9C" w14:textId="77777777" w:rsidR="00387142" w:rsidRPr="008B6A75" w:rsidRDefault="00387142" w:rsidP="00387142">
            <w:pPr>
              <w:jc w:val="center"/>
              <w:rPr>
                <w:color w:val="000000"/>
                <w:sz w:val="20"/>
                <w:szCs w:val="20"/>
              </w:rPr>
            </w:pPr>
            <w:r w:rsidRPr="008B6A75">
              <w:rPr>
                <w:color w:val="000000"/>
                <w:sz w:val="20"/>
                <w:szCs w:val="20"/>
              </w:rPr>
              <w:t>47 486 700,00</w:t>
            </w:r>
          </w:p>
        </w:tc>
        <w:tc>
          <w:tcPr>
            <w:tcW w:w="236" w:type="dxa"/>
            <w:gridSpan w:val="3"/>
            <w:tcBorders>
              <w:top w:val="nil"/>
              <w:left w:val="nil"/>
              <w:bottom w:val="single" w:sz="4" w:space="0" w:color="auto"/>
              <w:right w:val="single" w:sz="4" w:space="0" w:color="auto"/>
            </w:tcBorders>
            <w:shd w:val="clear" w:color="auto" w:fill="auto"/>
            <w:vAlign w:val="center"/>
            <w:hideMark/>
          </w:tcPr>
          <w:p w14:paraId="4FE8A3A7" w14:textId="77777777" w:rsidR="00387142" w:rsidRPr="008B6A75" w:rsidRDefault="00387142" w:rsidP="00387142">
            <w:pPr>
              <w:jc w:val="center"/>
              <w:rPr>
                <w:color w:val="000000"/>
                <w:sz w:val="20"/>
                <w:szCs w:val="20"/>
              </w:rPr>
            </w:pPr>
            <w:r w:rsidRPr="008B6A75">
              <w:rPr>
                <w:color w:val="000000"/>
                <w:sz w:val="20"/>
                <w:szCs w:val="20"/>
              </w:rPr>
              <w:t>0,00</w:t>
            </w:r>
          </w:p>
        </w:tc>
        <w:tc>
          <w:tcPr>
            <w:tcW w:w="1863" w:type="dxa"/>
            <w:gridSpan w:val="5"/>
            <w:tcBorders>
              <w:top w:val="nil"/>
              <w:left w:val="nil"/>
              <w:bottom w:val="single" w:sz="4" w:space="0" w:color="auto"/>
              <w:right w:val="single" w:sz="4" w:space="0" w:color="auto"/>
            </w:tcBorders>
            <w:shd w:val="clear" w:color="auto" w:fill="auto"/>
            <w:vAlign w:val="center"/>
            <w:hideMark/>
          </w:tcPr>
          <w:p w14:paraId="2ADB169C" w14:textId="77777777" w:rsidR="00387142" w:rsidRPr="008B6A75" w:rsidRDefault="00387142" w:rsidP="00387142">
            <w:pPr>
              <w:jc w:val="center"/>
              <w:rPr>
                <w:color w:val="000000"/>
                <w:sz w:val="20"/>
                <w:szCs w:val="20"/>
              </w:rPr>
            </w:pPr>
            <w:r w:rsidRPr="008B6A75">
              <w:rPr>
                <w:color w:val="000000"/>
                <w:sz w:val="20"/>
                <w:szCs w:val="20"/>
              </w:rPr>
              <w:t>0,00</w:t>
            </w:r>
          </w:p>
        </w:tc>
      </w:tr>
      <w:tr w:rsidR="00387142" w:rsidRPr="008B6A75" w14:paraId="086E1DFF" w14:textId="77777777" w:rsidTr="00387142">
        <w:trPr>
          <w:gridBefore w:val="1"/>
          <w:gridAfter w:val="1"/>
          <w:wBefore w:w="34" w:type="dxa"/>
          <w:wAfter w:w="1238" w:type="dxa"/>
          <w:trHeight w:val="126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14:paraId="24E60542" w14:textId="77777777" w:rsidR="00387142" w:rsidRPr="008B6A75" w:rsidRDefault="00387142" w:rsidP="00387142">
            <w:pPr>
              <w:jc w:val="right"/>
              <w:rPr>
                <w:sz w:val="20"/>
                <w:szCs w:val="20"/>
              </w:rPr>
            </w:pPr>
            <w:r w:rsidRPr="008B6A75">
              <w:rPr>
                <w:sz w:val="20"/>
                <w:szCs w:val="20"/>
              </w:rPr>
              <w:t>24</w:t>
            </w:r>
          </w:p>
        </w:tc>
        <w:tc>
          <w:tcPr>
            <w:tcW w:w="4678" w:type="dxa"/>
            <w:gridSpan w:val="3"/>
            <w:tcBorders>
              <w:top w:val="nil"/>
              <w:left w:val="nil"/>
              <w:bottom w:val="single" w:sz="4" w:space="0" w:color="auto"/>
              <w:right w:val="single" w:sz="4" w:space="0" w:color="auto"/>
            </w:tcBorders>
            <w:shd w:val="clear" w:color="auto" w:fill="auto"/>
            <w:vAlign w:val="center"/>
            <w:hideMark/>
          </w:tcPr>
          <w:p w14:paraId="27647EB5" w14:textId="77777777" w:rsidR="00387142" w:rsidRPr="008B6A75" w:rsidRDefault="00387142" w:rsidP="00387142">
            <w:pPr>
              <w:rPr>
                <w:sz w:val="20"/>
                <w:szCs w:val="20"/>
              </w:rPr>
            </w:pPr>
            <w:r w:rsidRPr="008B6A75">
              <w:rPr>
                <w:sz w:val="20"/>
                <w:szCs w:val="20"/>
              </w:rPr>
              <w:t>Субсидии на создание центров цифрового образования детей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1701" w:type="dxa"/>
            <w:gridSpan w:val="3"/>
            <w:tcBorders>
              <w:top w:val="nil"/>
              <w:left w:val="nil"/>
              <w:bottom w:val="single" w:sz="4" w:space="0" w:color="auto"/>
              <w:right w:val="single" w:sz="4" w:space="0" w:color="auto"/>
            </w:tcBorders>
            <w:shd w:val="clear" w:color="auto" w:fill="auto"/>
            <w:vAlign w:val="center"/>
            <w:hideMark/>
          </w:tcPr>
          <w:p w14:paraId="555DB567" w14:textId="77777777" w:rsidR="00387142" w:rsidRPr="008B6A75" w:rsidRDefault="00387142" w:rsidP="00387142">
            <w:pPr>
              <w:jc w:val="center"/>
              <w:rPr>
                <w:color w:val="000000"/>
                <w:sz w:val="20"/>
                <w:szCs w:val="20"/>
              </w:rPr>
            </w:pPr>
            <w:r w:rsidRPr="008B6A75">
              <w:rPr>
                <w:color w:val="000000"/>
                <w:sz w:val="20"/>
                <w:szCs w:val="20"/>
              </w:rPr>
              <w:t>0,00</w:t>
            </w:r>
          </w:p>
        </w:tc>
        <w:tc>
          <w:tcPr>
            <w:tcW w:w="236" w:type="dxa"/>
            <w:gridSpan w:val="3"/>
            <w:tcBorders>
              <w:top w:val="nil"/>
              <w:left w:val="nil"/>
              <w:bottom w:val="single" w:sz="4" w:space="0" w:color="auto"/>
              <w:right w:val="single" w:sz="4" w:space="0" w:color="auto"/>
            </w:tcBorders>
            <w:shd w:val="clear" w:color="auto" w:fill="auto"/>
            <w:vAlign w:val="center"/>
            <w:hideMark/>
          </w:tcPr>
          <w:p w14:paraId="07050D7C" w14:textId="77777777" w:rsidR="00387142" w:rsidRPr="008B6A75" w:rsidRDefault="00387142" w:rsidP="00387142">
            <w:pPr>
              <w:jc w:val="center"/>
              <w:rPr>
                <w:color w:val="000000"/>
                <w:sz w:val="20"/>
                <w:szCs w:val="20"/>
              </w:rPr>
            </w:pPr>
            <w:r w:rsidRPr="008B6A75">
              <w:rPr>
                <w:color w:val="000000"/>
                <w:sz w:val="20"/>
                <w:szCs w:val="20"/>
              </w:rPr>
              <w:t>0,00</w:t>
            </w:r>
          </w:p>
        </w:tc>
        <w:tc>
          <w:tcPr>
            <w:tcW w:w="1863" w:type="dxa"/>
            <w:gridSpan w:val="5"/>
            <w:tcBorders>
              <w:top w:val="nil"/>
              <w:left w:val="nil"/>
              <w:bottom w:val="single" w:sz="4" w:space="0" w:color="auto"/>
              <w:right w:val="single" w:sz="4" w:space="0" w:color="auto"/>
            </w:tcBorders>
            <w:shd w:val="clear" w:color="auto" w:fill="auto"/>
            <w:vAlign w:val="center"/>
            <w:hideMark/>
          </w:tcPr>
          <w:p w14:paraId="67E2F216" w14:textId="77777777" w:rsidR="00387142" w:rsidRPr="008B6A75" w:rsidRDefault="00387142" w:rsidP="00387142">
            <w:pPr>
              <w:jc w:val="center"/>
              <w:rPr>
                <w:color w:val="000000"/>
                <w:sz w:val="20"/>
                <w:szCs w:val="20"/>
              </w:rPr>
            </w:pPr>
            <w:r w:rsidRPr="008B6A75">
              <w:rPr>
                <w:color w:val="000000"/>
                <w:sz w:val="20"/>
                <w:szCs w:val="20"/>
              </w:rPr>
              <w:t>44 211 900,00</w:t>
            </w:r>
          </w:p>
        </w:tc>
      </w:tr>
      <w:tr w:rsidR="00387142" w:rsidRPr="008B6A75" w14:paraId="3F6A813D" w14:textId="77777777" w:rsidTr="00387142">
        <w:trPr>
          <w:gridBefore w:val="1"/>
          <w:gridAfter w:val="1"/>
          <w:wBefore w:w="34" w:type="dxa"/>
          <w:wAfter w:w="1238" w:type="dxa"/>
          <w:trHeight w:val="189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14:paraId="0381779D" w14:textId="77777777" w:rsidR="00387142" w:rsidRPr="008B6A75" w:rsidRDefault="00387142" w:rsidP="00387142">
            <w:pPr>
              <w:jc w:val="right"/>
              <w:rPr>
                <w:sz w:val="20"/>
                <w:szCs w:val="20"/>
              </w:rPr>
            </w:pPr>
            <w:r w:rsidRPr="008B6A75">
              <w:rPr>
                <w:sz w:val="20"/>
                <w:szCs w:val="20"/>
              </w:rPr>
              <w:t>25</w:t>
            </w:r>
          </w:p>
        </w:tc>
        <w:tc>
          <w:tcPr>
            <w:tcW w:w="4678" w:type="dxa"/>
            <w:gridSpan w:val="3"/>
            <w:tcBorders>
              <w:top w:val="nil"/>
              <w:left w:val="nil"/>
              <w:bottom w:val="single" w:sz="4" w:space="0" w:color="auto"/>
              <w:right w:val="single" w:sz="4" w:space="0" w:color="auto"/>
            </w:tcBorders>
            <w:shd w:val="clear" w:color="auto" w:fill="auto"/>
            <w:vAlign w:val="center"/>
            <w:hideMark/>
          </w:tcPr>
          <w:p w14:paraId="18D66973" w14:textId="77777777" w:rsidR="00387142" w:rsidRPr="008B6A75" w:rsidRDefault="00387142" w:rsidP="00387142">
            <w:pPr>
              <w:rPr>
                <w:sz w:val="20"/>
                <w:szCs w:val="20"/>
              </w:rPr>
            </w:pPr>
            <w:r w:rsidRPr="008B6A75">
              <w:rPr>
                <w:sz w:val="20"/>
                <w:szCs w:val="20"/>
              </w:rPr>
              <w:t xml:space="preserve">Субсидии на осуществление полномочий по организации регулярных перевозок пассажиров и багажа по муниципальным маршрутам государственной программы Новосибирской области "Обеспечение доступности услуг общественного пассажирского транспорта, в том числе Новосибирского метрополитена, для населения Новосибирской области" </w:t>
            </w:r>
          </w:p>
        </w:tc>
        <w:tc>
          <w:tcPr>
            <w:tcW w:w="1701" w:type="dxa"/>
            <w:gridSpan w:val="3"/>
            <w:tcBorders>
              <w:top w:val="nil"/>
              <w:left w:val="nil"/>
              <w:bottom w:val="single" w:sz="4" w:space="0" w:color="auto"/>
              <w:right w:val="single" w:sz="4" w:space="0" w:color="auto"/>
            </w:tcBorders>
            <w:shd w:val="clear" w:color="auto" w:fill="auto"/>
            <w:vAlign w:val="center"/>
            <w:hideMark/>
          </w:tcPr>
          <w:p w14:paraId="74982915" w14:textId="77777777" w:rsidR="00387142" w:rsidRPr="008B6A75" w:rsidRDefault="00387142" w:rsidP="00387142">
            <w:pPr>
              <w:jc w:val="center"/>
              <w:rPr>
                <w:color w:val="000000"/>
                <w:sz w:val="20"/>
                <w:szCs w:val="20"/>
              </w:rPr>
            </w:pPr>
            <w:r w:rsidRPr="008B6A75">
              <w:rPr>
                <w:color w:val="000000"/>
                <w:sz w:val="20"/>
                <w:szCs w:val="20"/>
              </w:rPr>
              <w:t>15 208 707,00</w:t>
            </w:r>
          </w:p>
        </w:tc>
        <w:tc>
          <w:tcPr>
            <w:tcW w:w="236" w:type="dxa"/>
            <w:gridSpan w:val="3"/>
            <w:tcBorders>
              <w:top w:val="nil"/>
              <w:left w:val="nil"/>
              <w:bottom w:val="single" w:sz="4" w:space="0" w:color="auto"/>
              <w:right w:val="single" w:sz="4" w:space="0" w:color="auto"/>
            </w:tcBorders>
            <w:shd w:val="clear" w:color="auto" w:fill="auto"/>
            <w:vAlign w:val="center"/>
            <w:hideMark/>
          </w:tcPr>
          <w:p w14:paraId="0C6CEF56" w14:textId="77777777" w:rsidR="00387142" w:rsidRPr="008B6A75" w:rsidRDefault="00387142" w:rsidP="00387142">
            <w:pPr>
              <w:jc w:val="center"/>
              <w:rPr>
                <w:color w:val="000000"/>
                <w:sz w:val="20"/>
                <w:szCs w:val="20"/>
              </w:rPr>
            </w:pPr>
            <w:r w:rsidRPr="008B6A75">
              <w:rPr>
                <w:color w:val="000000"/>
                <w:sz w:val="20"/>
                <w:szCs w:val="20"/>
              </w:rPr>
              <w:t>15 208 707,00</w:t>
            </w:r>
          </w:p>
        </w:tc>
        <w:tc>
          <w:tcPr>
            <w:tcW w:w="1863" w:type="dxa"/>
            <w:gridSpan w:val="5"/>
            <w:tcBorders>
              <w:top w:val="nil"/>
              <w:left w:val="nil"/>
              <w:bottom w:val="single" w:sz="4" w:space="0" w:color="auto"/>
              <w:right w:val="single" w:sz="4" w:space="0" w:color="auto"/>
            </w:tcBorders>
            <w:shd w:val="clear" w:color="auto" w:fill="auto"/>
            <w:vAlign w:val="center"/>
            <w:hideMark/>
          </w:tcPr>
          <w:p w14:paraId="4A266E83" w14:textId="77777777" w:rsidR="00387142" w:rsidRPr="008B6A75" w:rsidRDefault="00387142" w:rsidP="00387142">
            <w:pPr>
              <w:jc w:val="center"/>
              <w:rPr>
                <w:color w:val="000000"/>
                <w:sz w:val="20"/>
                <w:szCs w:val="20"/>
              </w:rPr>
            </w:pPr>
            <w:r w:rsidRPr="008B6A75">
              <w:rPr>
                <w:color w:val="000000"/>
                <w:sz w:val="20"/>
                <w:szCs w:val="20"/>
              </w:rPr>
              <w:t>15 208 707,00</w:t>
            </w:r>
          </w:p>
        </w:tc>
      </w:tr>
      <w:tr w:rsidR="00387142" w:rsidRPr="008B6A75" w14:paraId="61A1DC94" w14:textId="77777777" w:rsidTr="00387142">
        <w:trPr>
          <w:gridBefore w:val="1"/>
          <w:gridAfter w:val="1"/>
          <w:wBefore w:w="34" w:type="dxa"/>
          <w:wAfter w:w="1238" w:type="dxa"/>
          <w:trHeight w:val="189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14:paraId="73ECDF58" w14:textId="77777777" w:rsidR="00387142" w:rsidRPr="008B6A75" w:rsidRDefault="00387142" w:rsidP="00387142">
            <w:pPr>
              <w:jc w:val="right"/>
              <w:rPr>
                <w:sz w:val="20"/>
                <w:szCs w:val="20"/>
              </w:rPr>
            </w:pPr>
            <w:r w:rsidRPr="008B6A75">
              <w:rPr>
                <w:sz w:val="20"/>
                <w:szCs w:val="20"/>
              </w:rPr>
              <w:lastRenderedPageBreak/>
              <w:t>26</w:t>
            </w:r>
          </w:p>
        </w:tc>
        <w:tc>
          <w:tcPr>
            <w:tcW w:w="4678" w:type="dxa"/>
            <w:gridSpan w:val="3"/>
            <w:tcBorders>
              <w:top w:val="nil"/>
              <w:left w:val="nil"/>
              <w:bottom w:val="single" w:sz="4" w:space="0" w:color="auto"/>
              <w:right w:val="single" w:sz="4" w:space="0" w:color="auto"/>
            </w:tcBorders>
            <w:shd w:val="clear" w:color="auto" w:fill="auto"/>
            <w:vAlign w:val="center"/>
            <w:hideMark/>
          </w:tcPr>
          <w:p w14:paraId="6141192B" w14:textId="77777777" w:rsidR="00387142" w:rsidRPr="008B6A75" w:rsidRDefault="00387142" w:rsidP="00387142">
            <w:pPr>
              <w:rPr>
                <w:sz w:val="20"/>
                <w:szCs w:val="20"/>
              </w:rPr>
            </w:pPr>
            <w:r w:rsidRPr="008B6A75">
              <w:rPr>
                <w:sz w:val="20"/>
                <w:szCs w:val="20"/>
              </w:rPr>
              <w:t xml:space="preserve">Субсидии на приобретение (обновление) транспортных средств автомобильного и наземного электрического общественного пассажирского транспорта государственной программы Новосибирской области "Обеспечение доступности услуг общественного транспорта, в том числе Новосибирского метрополитена, для населения Новосибирской области" </w:t>
            </w:r>
          </w:p>
        </w:tc>
        <w:tc>
          <w:tcPr>
            <w:tcW w:w="1701" w:type="dxa"/>
            <w:gridSpan w:val="3"/>
            <w:tcBorders>
              <w:top w:val="nil"/>
              <w:left w:val="nil"/>
              <w:bottom w:val="single" w:sz="4" w:space="0" w:color="auto"/>
              <w:right w:val="single" w:sz="4" w:space="0" w:color="auto"/>
            </w:tcBorders>
            <w:shd w:val="clear" w:color="auto" w:fill="auto"/>
            <w:vAlign w:val="center"/>
            <w:hideMark/>
          </w:tcPr>
          <w:p w14:paraId="196F7D89" w14:textId="77777777" w:rsidR="00387142" w:rsidRPr="008B6A75" w:rsidRDefault="00387142" w:rsidP="00387142">
            <w:pPr>
              <w:jc w:val="center"/>
              <w:rPr>
                <w:color w:val="000000"/>
                <w:sz w:val="20"/>
                <w:szCs w:val="20"/>
              </w:rPr>
            </w:pPr>
            <w:r w:rsidRPr="008B6A75">
              <w:rPr>
                <w:color w:val="000000"/>
                <w:sz w:val="20"/>
                <w:szCs w:val="20"/>
              </w:rPr>
              <w:t>1 752 800,00</w:t>
            </w:r>
          </w:p>
        </w:tc>
        <w:tc>
          <w:tcPr>
            <w:tcW w:w="236" w:type="dxa"/>
            <w:gridSpan w:val="3"/>
            <w:tcBorders>
              <w:top w:val="nil"/>
              <w:left w:val="nil"/>
              <w:bottom w:val="single" w:sz="4" w:space="0" w:color="auto"/>
              <w:right w:val="single" w:sz="4" w:space="0" w:color="auto"/>
            </w:tcBorders>
            <w:shd w:val="clear" w:color="auto" w:fill="auto"/>
            <w:vAlign w:val="center"/>
            <w:hideMark/>
          </w:tcPr>
          <w:p w14:paraId="652FAE5C" w14:textId="77777777" w:rsidR="00387142" w:rsidRPr="008B6A75" w:rsidRDefault="00387142" w:rsidP="00387142">
            <w:pPr>
              <w:jc w:val="center"/>
              <w:rPr>
                <w:color w:val="000000"/>
                <w:sz w:val="20"/>
                <w:szCs w:val="20"/>
              </w:rPr>
            </w:pPr>
            <w:r w:rsidRPr="008B6A75">
              <w:rPr>
                <w:color w:val="000000"/>
                <w:sz w:val="20"/>
                <w:szCs w:val="20"/>
              </w:rPr>
              <w:t>0,00</w:t>
            </w:r>
          </w:p>
        </w:tc>
        <w:tc>
          <w:tcPr>
            <w:tcW w:w="1863" w:type="dxa"/>
            <w:gridSpan w:val="5"/>
            <w:tcBorders>
              <w:top w:val="nil"/>
              <w:left w:val="nil"/>
              <w:bottom w:val="single" w:sz="4" w:space="0" w:color="auto"/>
              <w:right w:val="single" w:sz="4" w:space="0" w:color="auto"/>
            </w:tcBorders>
            <w:shd w:val="clear" w:color="auto" w:fill="auto"/>
            <w:vAlign w:val="center"/>
            <w:hideMark/>
          </w:tcPr>
          <w:p w14:paraId="7140E519" w14:textId="77777777" w:rsidR="00387142" w:rsidRPr="008B6A75" w:rsidRDefault="00387142" w:rsidP="00387142">
            <w:pPr>
              <w:jc w:val="center"/>
              <w:rPr>
                <w:color w:val="000000"/>
                <w:sz w:val="20"/>
                <w:szCs w:val="20"/>
              </w:rPr>
            </w:pPr>
            <w:r w:rsidRPr="008B6A75">
              <w:rPr>
                <w:color w:val="000000"/>
                <w:sz w:val="20"/>
                <w:szCs w:val="20"/>
              </w:rPr>
              <w:t>0,00</w:t>
            </w:r>
          </w:p>
        </w:tc>
      </w:tr>
      <w:tr w:rsidR="00387142" w:rsidRPr="008B6A75" w14:paraId="45C0D0A5" w14:textId="77777777" w:rsidTr="00387142">
        <w:trPr>
          <w:gridBefore w:val="1"/>
          <w:gridAfter w:val="1"/>
          <w:wBefore w:w="34" w:type="dxa"/>
          <w:wAfter w:w="1238" w:type="dxa"/>
          <w:trHeight w:val="1575"/>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14:paraId="1997F435" w14:textId="77777777" w:rsidR="00387142" w:rsidRPr="008B6A75" w:rsidRDefault="00387142" w:rsidP="00387142">
            <w:pPr>
              <w:jc w:val="right"/>
              <w:rPr>
                <w:sz w:val="20"/>
                <w:szCs w:val="20"/>
              </w:rPr>
            </w:pPr>
            <w:r w:rsidRPr="008B6A75">
              <w:rPr>
                <w:sz w:val="20"/>
                <w:szCs w:val="20"/>
              </w:rPr>
              <w:t>27</w:t>
            </w:r>
          </w:p>
        </w:tc>
        <w:tc>
          <w:tcPr>
            <w:tcW w:w="4678" w:type="dxa"/>
            <w:gridSpan w:val="3"/>
            <w:tcBorders>
              <w:top w:val="nil"/>
              <w:left w:val="nil"/>
              <w:bottom w:val="single" w:sz="4" w:space="0" w:color="auto"/>
              <w:right w:val="single" w:sz="4" w:space="0" w:color="auto"/>
            </w:tcBorders>
            <w:shd w:val="clear" w:color="auto" w:fill="auto"/>
            <w:vAlign w:val="center"/>
            <w:hideMark/>
          </w:tcPr>
          <w:p w14:paraId="758051F1" w14:textId="77777777" w:rsidR="00387142" w:rsidRPr="008B6A75" w:rsidRDefault="00387142" w:rsidP="00387142">
            <w:pPr>
              <w:rPr>
                <w:sz w:val="20"/>
                <w:szCs w:val="20"/>
              </w:rPr>
            </w:pPr>
            <w:r w:rsidRPr="008B6A75">
              <w:rPr>
                <w:sz w:val="20"/>
                <w:szCs w:val="20"/>
              </w:rPr>
              <w:t>Субсидии на реализацию мероприятий по строительству и реконструкции объектов централизованных систем холодного водоснабжения и водоотведения подпрограммы "Чистая вода" государственной программы Новосибирской области "Жилищно-коммунальное хозяйство Новосибирской области"</w:t>
            </w:r>
          </w:p>
        </w:tc>
        <w:tc>
          <w:tcPr>
            <w:tcW w:w="1701" w:type="dxa"/>
            <w:gridSpan w:val="3"/>
            <w:tcBorders>
              <w:top w:val="nil"/>
              <w:left w:val="nil"/>
              <w:bottom w:val="single" w:sz="4" w:space="0" w:color="auto"/>
              <w:right w:val="single" w:sz="4" w:space="0" w:color="auto"/>
            </w:tcBorders>
            <w:shd w:val="clear" w:color="auto" w:fill="auto"/>
            <w:vAlign w:val="center"/>
            <w:hideMark/>
          </w:tcPr>
          <w:p w14:paraId="56D48FB3" w14:textId="77777777" w:rsidR="00387142" w:rsidRPr="008B6A75" w:rsidRDefault="00387142" w:rsidP="00387142">
            <w:pPr>
              <w:jc w:val="center"/>
              <w:rPr>
                <w:color w:val="000000"/>
                <w:sz w:val="20"/>
                <w:szCs w:val="20"/>
              </w:rPr>
            </w:pPr>
            <w:r w:rsidRPr="008B6A75">
              <w:rPr>
                <w:color w:val="000000"/>
                <w:sz w:val="20"/>
                <w:szCs w:val="20"/>
              </w:rPr>
              <w:t>79 541 980,00</w:t>
            </w:r>
          </w:p>
        </w:tc>
        <w:tc>
          <w:tcPr>
            <w:tcW w:w="236" w:type="dxa"/>
            <w:gridSpan w:val="3"/>
            <w:tcBorders>
              <w:top w:val="nil"/>
              <w:left w:val="nil"/>
              <w:bottom w:val="single" w:sz="4" w:space="0" w:color="auto"/>
              <w:right w:val="single" w:sz="4" w:space="0" w:color="auto"/>
            </w:tcBorders>
            <w:shd w:val="clear" w:color="auto" w:fill="auto"/>
            <w:vAlign w:val="center"/>
            <w:hideMark/>
          </w:tcPr>
          <w:p w14:paraId="33999753" w14:textId="77777777" w:rsidR="00387142" w:rsidRPr="008B6A75" w:rsidRDefault="00387142" w:rsidP="00387142">
            <w:pPr>
              <w:jc w:val="center"/>
              <w:rPr>
                <w:color w:val="000000"/>
                <w:sz w:val="20"/>
                <w:szCs w:val="20"/>
              </w:rPr>
            </w:pPr>
            <w:r w:rsidRPr="008B6A75">
              <w:rPr>
                <w:color w:val="000000"/>
                <w:sz w:val="20"/>
                <w:szCs w:val="20"/>
              </w:rPr>
              <w:t>63 677 180,00</w:t>
            </w:r>
          </w:p>
        </w:tc>
        <w:tc>
          <w:tcPr>
            <w:tcW w:w="1863" w:type="dxa"/>
            <w:gridSpan w:val="5"/>
            <w:tcBorders>
              <w:top w:val="nil"/>
              <w:left w:val="nil"/>
              <w:bottom w:val="single" w:sz="4" w:space="0" w:color="auto"/>
              <w:right w:val="single" w:sz="4" w:space="0" w:color="auto"/>
            </w:tcBorders>
            <w:shd w:val="clear" w:color="auto" w:fill="auto"/>
            <w:vAlign w:val="center"/>
            <w:hideMark/>
          </w:tcPr>
          <w:p w14:paraId="264F2811" w14:textId="77777777" w:rsidR="00387142" w:rsidRPr="008B6A75" w:rsidRDefault="00387142" w:rsidP="00387142">
            <w:pPr>
              <w:jc w:val="center"/>
              <w:rPr>
                <w:color w:val="000000"/>
                <w:sz w:val="20"/>
                <w:szCs w:val="20"/>
              </w:rPr>
            </w:pPr>
            <w:r w:rsidRPr="008B6A75">
              <w:rPr>
                <w:color w:val="000000"/>
                <w:sz w:val="20"/>
                <w:szCs w:val="20"/>
              </w:rPr>
              <w:t>0,00</w:t>
            </w:r>
          </w:p>
        </w:tc>
      </w:tr>
      <w:tr w:rsidR="00387142" w:rsidRPr="008B6A75" w14:paraId="1D5B4A17" w14:textId="77777777" w:rsidTr="00387142">
        <w:trPr>
          <w:gridBefore w:val="1"/>
          <w:gridAfter w:val="1"/>
          <w:wBefore w:w="34" w:type="dxa"/>
          <w:wAfter w:w="1238" w:type="dxa"/>
          <w:trHeight w:val="2205"/>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14:paraId="111113D3" w14:textId="77777777" w:rsidR="00387142" w:rsidRPr="008B6A75" w:rsidRDefault="00387142" w:rsidP="00387142">
            <w:pPr>
              <w:jc w:val="right"/>
              <w:rPr>
                <w:sz w:val="20"/>
                <w:szCs w:val="20"/>
              </w:rPr>
            </w:pPr>
            <w:r w:rsidRPr="008B6A75">
              <w:rPr>
                <w:sz w:val="20"/>
                <w:szCs w:val="20"/>
              </w:rPr>
              <w:t>28</w:t>
            </w:r>
          </w:p>
        </w:tc>
        <w:tc>
          <w:tcPr>
            <w:tcW w:w="4678" w:type="dxa"/>
            <w:gridSpan w:val="3"/>
            <w:tcBorders>
              <w:top w:val="nil"/>
              <w:left w:val="nil"/>
              <w:bottom w:val="single" w:sz="4" w:space="0" w:color="auto"/>
              <w:right w:val="single" w:sz="4" w:space="0" w:color="auto"/>
            </w:tcBorders>
            <w:shd w:val="clear" w:color="auto" w:fill="auto"/>
            <w:vAlign w:val="center"/>
            <w:hideMark/>
          </w:tcPr>
          <w:p w14:paraId="57323CE0" w14:textId="77777777" w:rsidR="00387142" w:rsidRPr="008B6A75" w:rsidRDefault="00387142" w:rsidP="00387142">
            <w:pPr>
              <w:rPr>
                <w:sz w:val="20"/>
                <w:szCs w:val="20"/>
              </w:rPr>
            </w:pPr>
            <w:r w:rsidRPr="008B6A75">
              <w:rPr>
                <w:sz w:val="20"/>
                <w:szCs w:val="20"/>
              </w:rPr>
              <w:t>Субсидии на подготовку градостроительной документации и (или) внесение в нее изменений подпрограммы "Градостроительная подготовка территорий и фонд пространственных данных Новосибирской области" государственной программы Новосибирской области "Стимулирование развития жилищного строительства в Новосибирской области"</w:t>
            </w:r>
          </w:p>
        </w:tc>
        <w:tc>
          <w:tcPr>
            <w:tcW w:w="1701" w:type="dxa"/>
            <w:gridSpan w:val="3"/>
            <w:tcBorders>
              <w:top w:val="nil"/>
              <w:left w:val="nil"/>
              <w:bottom w:val="single" w:sz="4" w:space="0" w:color="auto"/>
              <w:right w:val="single" w:sz="4" w:space="0" w:color="auto"/>
            </w:tcBorders>
            <w:shd w:val="clear" w:color="auto" w:fill="auto"/>
            <w:vAlign w:val="center"/>
            <w:hideMark/>
          </w:tcPr>
          <w:p w14:paraId="3D563232" w14:textId="77777777" w:rsidR="00387142" w:rsidRPr="008B6A75" w:rsidRDefault="00387142" w:rsidP="00387142">
            <w:pPr>
              <w:jc w:val="center"/>
              <w:rPr>
                <w:color w:val="000000"/>
                <w:sz w:val="20"/>
                <w:szCs w:val="20"/>
              </w:rPr>
            </w:pPr>
            <w:r w:rsidRPr="008B6A75">
              <w:rPr>
                <w:color w:val="000000"/>
                <w:sz w:val="20"/>
                <w:szCs w:val="20"/>
              </w:rPr>
              <w:t>0,00</w:t>
            </w:r>
          </w:p>
        </w:tc>
        <w:tc>
          <w:tcPr>
            <w:tcW w:w="236" w:type="dxa"/>
            <w:gridSpan w:val="3"/>
            <w:tcBorders>
              <w:top w:val="nil"/>
              <w:left w:val="nil"/>
              <w:bottom w:val="single" w:sz="4" w:space="0" w:color="auto"/>
              <w:right w:val="single" w:sz="4" w:space="0" w:color="auto"/>
            </w:tcBorders>
            <w:shd w:val="clear" w:color="auto" w:fill="auto"/>
            <w:vAlign w:val="center"/>
            <w:hideMark/>
          </w:tcPr>
          <w:p w14:paraId="2ED07352" w14:textId="77777777" w:rsidR="00387142" w:rsidRPr="008B6A75" w:rsidRDefault="00387142" w:rsidP="00387142">
            <w:pPr>
              <w:jc w:val="center"/>
              <w:rPr>
                <w:color w:val="000000"/>
                <w:sz w:val="20"/>
                <w:szCs w:val="20"/>
              </w:rPr>
            </w:pPr>
            <w:r w:rsidRPr="008B6A75">
              <w:rPr>
                <w:color w:val="000000"/>
                <w:sz w:val="20"/>
                <w:szCs w:val="20"/>
              </w:rPr>
              <w:t>0,00</w:t>
            </w:r>
          </w:p>
        </w:tc>
        <w:tc>
          <w:tcPr>
            <w:tcW w:w="1863" w:type="dxa"/>
            <w:gridSpan w:val="5"/>
            <w:tcBorders>
              <w:top w:val="nil"/>
              <w:left w:val="nil"/>
              <w:bottom w:val="single" w:sz="4" w:space="0" w:color="auto"/>
              <w:right w:val="single" w:sz="4" w:space="0" w:color="auto"/>
            </w:tcBorders>
            <w:shd w:val="clear" w:color="auto" w:fill="auto"/>
            <w:vAlign w:val="center"/>
            <w:hideMark/>
          </w:tcPr>
          <w:p w14:paraId="0DE4CB63" w14:textId="77777777" w:rsidR="00387142" w:rsidRPr="008B6A75" w:rsidRDefault="00387142" w:rsidP="00387142">
            <w:pPr>
              <w:jc w:val="center"/>
              <w:rPr>
                <w:color w:val="000000"/>
                <w:sz w:val="20"/>
                <w:szCs w:val="20"/>
              </w:rPr>
            </w:pPr>
            <w:r w:rsidRPr="008B6A75">
              <w:rPr>
                <w:color w:val="000000"/>
                <w:sz w:val="20"/>
                <w:szCs w:val="20"/>
              </w:rPr>
              <w:t>0,00</w:t>
            </w:r>
          </w:p>
        </w:tc>
      </w:tr>
      <w:tr w:rsidR="00387142" w:rsidRPr="008B6A75" w14:paraId="7A88B8F7" w14:textId="77777777" w:rsidTr="00387142">
        <w:trPr>
          <w:gridBefore w:val="1"/>
          <w:gridAfter w:val="1"/>
          <w:wBefore w:w="34" w:type="dxa"/>
          <w:wAfter w:w="1238" w:type="dxa"/>
          <w:trHeight w:val="189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14:paraId="523625E0" w14:textId="77777777" w:rsidR="00387142" w:rsidRPr="008B6A75" w:rsidRDefault="00387142" w:rsidP="00387142">
            <w:pPr>
              <w:jc w:val="right"/>
              <w:rPr>
                <w:sz w:val="20"/>
                <w:szCs w:val="20"/>
              </w:rPr>
            </w:pPr>
            <w:r w:rsidRPr="008B6A75">
              <w:rPr>
                <w:sz w:val="20"/>
                <w:szCs w:val="20"/>
              </w:rPr>
              <w:t>29</w:t>
            </w:r>
          </w:p>
        </w:tc>
        <w:tc>
          <w:tcPr>
            <w:tcW w:w="4678" w:type="dxa"/>
            <w:gridSpan w:val="3"/>
            <w:tcBorders>
              <w:top w:val="nil"/>
              <w:left w:val="nil"/>
              <w:bottom w:val="single" w:sz="4" w:space="0" w:color="auto"/>
              <w:right w:val="single" w:sz="4" w:space="0" w:color="auto"/>
            </w:tcBorders>
            <w:shd w:val="clear" w:color="auto" w:fill="auto"/>
            <w:vAlign w:val="center"/>
            <w:hideMark/>
          </w:tcPr>
          <w:p w14:paraId="0257F432" w14:textId="77777777" w:rsidR="00387142" w:rsidRPr="008B6A75" w:rsidRDefault="00387142" w:rsidP="00387142">
            <w:pPr>
              <w:rPr>
                <w:sz w:val="20"/>
                <w:szCs w:val="20"/>
              </w:rPr>
            </w:pPr>
            <w:r w:rsidRPr="008B6A75">
              <w:rPr>
                <w:sz w:val="20"/>
                <w:szCs w:val="20"/>
              </w:rPr>
              <w:t>Субсидии на реализацию мероприятий по осуществлению малобюджетного строительства, реконструкции, ремонта спортивных сооружений, обеспечения оборудованием и инвентарем спортивных объектов государственной программы Новосибирской области "Развитие физической культуры и спорта в Новосибирской области"</w:t>
            </w:r>
          </w:p>
        </w:tc>
        <w:tc>
          <w:tcPr>
            <w:tcW w:w="1701" w:type="dxa"/>
            <w:gridSpan w:val="3"/>
            <w:tcBorders>
              <w:top w:val="nil"/>
              <w:left w:val="nil"/>
              <w:bottom w:val="single" w:sz="4" w:space="0" w:color="auto"/>
              <w:right w:val="single" w:sz="4" w:space="0" w:color="auto"/>
            </w:tcBorders>
            <w:shd w:val="clear" w:color="auto" w:fill="auto"/>
            <w:vAlign w:val="center"/>
            <w:hideMark/>
          </w:tcPr>
          <w:p w14:paraId="033FD246" w14:textId="77777777" w:rsidR="00387142" w:rsidRPr="008B6A75" w:rsidRDefault="00387142" w:rsidP="00387142">
            <w:pPr>
              <w:jc w:val="center"/>
              <w:rPr>
                <w:color w:val="000000"/>
                <w:sz w:val="20"/>
                <w:szCs w:val="20"/>
              </w:rPr>
            </w:pPr>
            <w:r w:rsidRPr="008B6A75">
              <w:rPr>
                <w:color w:val="000000"/>
                <w:sz w:val="20"/>
                <w:szCs w:val="20"/>
              </w:rPr>
              <w:t>3 500 000,00</w:t>
            </w:r>
          </w:p>
        </w:tc>
        <w:tc>
          <w:tcPr>
            <w:tcW w:w="236" w:type="dxa"/>
            <w:gridSpan w:val="3"/>
            <w:tcBorders>
              <w:top w:val="nil"/>
              <w:left w:val="nil"/>
              <w:bottom w:val="single" w:sz="4" w:space="0" w:color="auto"/>
              <w:right w:val="single" w:sz="4" w:space="0" w:color="auto"/>
            </w:tcBorders>
            <w:shd w:val="clear" w:color="auto" w:fill="auto"/>
            <w:vAlign w:val="center"/>
            <w:hideMark/>
          </w:tcPr>
          <w:p w14:paraId="42726C12" w14:textId="77777777" w:rsidR="00387142" w:rsidRPr="008B6A75" w:rsidRDefault="00387142" w:rsidP="00387142">
            <w:pPr>
              <w:jc w:val="center"/>
              <w:rPr>
                <w:color w:val="000000"/>
                <w:sz w:val="20"/>
                <w:szCs w:val="20"/>
              </w:rPr>
            </w:pPr>
            <w:r w:rsidRPr="008B6A75">
              <w:rPr>
                <w:color w:val="000000"/>
                <w:sz w:val="20"/>
                <w:szCs w:val="20"/>
              </w:rPr>
              <w:t>0,00</w:t>
            </w:r>
          </w:p>
        </w:tc>
        <w:tc>
          <w:tcPr>
            <w:tcW w:w="1863" w:type="dxa"/>
            <w:gridSpan w:val="5"/>
            <w:tcBorders>
              <w:top w:val="nil"/>
              <w:left w:val="nil"/>
              <w:bottom w:val="single" w:sz="4" w:space="0" w:color="auto"/>
              <w:right w:val="single" w:sz="4" w:space="0" w:color="auto"/>
            </w:tcBorders>
            <w:shd w:val="clear" w:color="auto" w:fill="auto"/>
            <w:vAlign w:val="center"/>
            <w:hideMark/>
          </w:tcPr>
          <w:p w14:paraId="3AA8D88F" w14:textId="77777777" w:rsidR="00387142" w:rsidRPr="008B6A75" w:rsidRDefault="00387142" w:rsidP="00387142">
            <w:pPr>
              <w:jc w:val="center"/>
              <w:rPr>
                <w:color w:val="000000"/>
                <w:sz w:val="20"/>
                <w:szCs w:val="20"/>
              </w:rPr>
            </w:pPr>
            <w:r w:rsidRPr="008B6A75">
              <w:rPr>
                <w:color w:val="000000"/>
                <w:sz w:val="20"/>
                <w:szCs w:val="20"/>
              </w:rPr>
              <w:t>0,00</w:t>
            </w:r>
          </w:p>
        </w:tc>
      </w:tr>
      <w:tr w:rsidR="00387142" w:rsidRPr="008B6A75" w14:paraId="21374C29" w14:textId="77777777" w:rsidTr="00387142">
        <w:trPr>
          <w:gridBefore w:val="1"/>
          <w:gridAfter w:val="1"/>
          <w:wBefore w:w="34" w:type="dxa"/>
          <w:wAfter w:w="1238" w:type="dxa"/>
          <w:trHeight w:val="189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14:paraId="6A2CE5D2" w14:textId="77777777" w:rsidR="00387142" w:rsidRPr="008B6A75" w:rsidRDefault="00387142" w:rsidP="00387142">
            <w:pPr>
              <w:jc w:val="right"/>
              <w:rPr>
                <w:sz w:val="20"/>
                <w:szCs w:val="20"/>
              </w:rPr>
            </w:pPr>
            <w:r w:rsidRPr="008B6A75">
              <w:rPr>
                <w:sz w:val="20"/>
                <w:szCs w:val="20"/>
              </w:rPr>
              <w:t>30</w:t>
            </w:r>
          </w:p>
        </w:tc>
        <w:tc>
          <w:tcPr>
            <w:tcW w:w="4678" w:type="dxa"/>
            <w:gridSpan w:val="3"/>
            <w:tcBorders>
              <w:top w:val="nil"/>
              <w:left w:val="nil"/>
              <w:bottom w:val="single" w:sz="4" w:space="0" w:color="auto"/>
              <w:right w:val="single" w:sz="4" w:space="0" w:color="auto"/>
            </w:tcBorders>
            <w:shd w:val="clear" w:color="auto" w:fill="auto"/>
            <w:vAlign w:val="center"/>
            <w:hideMark/>
          </w:tcPr>
          <w:p w14:paraId="5779A080" w14:textId="77777777" w:rsidR="00387142" w:rsidRPr="008B6A75" w:rsidRDefault="00387142" w:rsidP="00387142">
            <w:pPr>
              <w:rPr>
                <w:sz w:val="20"/>
                <w:szCs w:val="20"/>
              </w:rPr>
            </w:pPr>
            <w:r w:rsidRPr="008B6A75">
              <w:rPr>
                <w:sz w:val="20"/>
                <w:szCs w:val="20"/>
              </w:rPr>
              <w:t>Субсидии на реализацию мероприятий по установке и модернизации систем видеонаблюдения, автоматической пожарной сигнализации и пожарного мониторинга государственной программы Новосибирской области "Построение и развитие аппаратно-программного комплекса "Безопасный город" в Новосибирской области</w:t>
            </w:r>
          </w:p>
        </w:tc>
        <w:tc>
          <w:tcPr>
            <w:tcW w:w="1701" w:type="dxa"/>
            <w:gridSpan w:val="3"/>
            <w:tcBorders>
              <w:top w:val="nil"/>
              <w:left w:val="nil"/>
              <w:bottom w:val="single" w:sz="4" w:space="0" w:color="auto"/>
              <w:right w:val="single" w:sz="4" w:space="0" w:color="auto"/>
            </w:tcBorders>
            <w:shd w:val="clear" w:color="auto" w:fill="auto"/>
            <w:vAlign w:val="center"/>
            <w:hideMark/>
          </w:tcPr>
          <w:p w14:paraId="700F27F6" w14:textId="77777777" w:rsidR="00387142" w:rsidRPr="008B6A75" w:rsidRDefault="00387142" w:rsidP="00387142">
            <w:pPr>
              <w:jc w:val="center"/>
              <w:rPr>
                <w:color w:val="000000"/>
                <w:sz w:val="20"/>
                <w:szCs w:val="20"/>
              </w:rPr>
            </w:pPr>
            <w:r w:rsidRPr="008B6A75">
              <w:rPr>
                <w:color w:val="000000"/>
                <w:sz w:val="20"/>
                <w:szCs w:val="20"/>
              </w:rPr>
              <w:t>1 000 000,00</w:t>
            </w:r>
          </w:p>
        </w:tc>
        <w:tc>
          <w:tcPr>
            <w:tcW w:w="236" w:type="dxa"/>
            <w:gridSpan w:val="3"/>
            <w:tcBorders>
              <w:top w:val="nil"/>
              <w:left w:val="nil"/>
              <w:bottom w:val="single" w:sz="4" w:space="0" w:color="auto"/>
              <w:right w:val="single" w:sz="4" w:space="0" w:color="auto"/>
            </w:tcBorders>
            <w:shd w:val="clear" w:color="auto" w:fill="auto"/>
            <w:vAlign w:val="center"/>
            <w:hideMark/>
          </w:tcPr>
          <w:p w14:paraId="107D03ED" w14:textId="77777777" w:rsidR="00387142" w:rsidRPr="008B6A75" w:rsidRDefault="00387142" w:rsidP="00387142">
            <w:pPr>
              <w:jc w:val="center"/>
              <w:rPr>
                <w:color w:val="000000"/>
                <w:sz w:val="20"/>
                <w:szCs w:val="20"/>
              </w:rPr>
            </w:pPr>
            <w:r w:rsidRPr="008B6A75">
              <w:rPr>
                <w:color w:val="000000"/>
                <w:sz w:val="20"/>
                <w:szCs w:val="20"/>
              </w:rPr>
              <w:t>0,00</w:t>
            </w:r>
          </w:p>
        </w:tc>
        <w:tc>
          <w:tcPr>
            <w:tcW w:w="1863" w:type="dxa"/>
            <w:gridSpan w:val="5"/>
            <w:tcBorders>
              <w:top w:val="nil"/>
              <w:left w:val="nil"/>
              <w:bottom w:val="single" w:sz="4" w:space="0" w:color="auto"/>
              <w:right w:val="single" w:sz="4" w:space="0" w:color="auto"/>
            </w:tcBorders>
            <w:shd w:val="clear" w:color="auto" w:fill="auto"/>
            <w:vAlign w:val="center"/>
            <w:hideMark/>
          </w:tcPr>
          <w:p w14:paraId="270C62CE" w14:textId="77777777" w:rsidR="00387142" w:rsidRPr="008B6A75" w:rsidRDefault="00387142" w:rsidP="00387142">
            <w:pPr>
              <w:jc w:val="center"/>
              <w:rPr>
                <w:color w:val="000000"/>
                <w:sz w:val="20"/>
                <w:szCs w:val="20"/>
              </w:rPr>
            </w:pPr>
            <w:r w:rsidRPr="008B6A75">
              <w:rPr>
                <w:color w:val="000000"/>
                <w:sz w:val="20"/>
                <w:szCs w:val="20"/>
              </w:rPr>
              <w:t>1 000 000,00</w:t>
            </w:r>
          </w:p>
        </w:tc>
      </w:tr>
      <w:tr w:rsidR="00387142" w:rsidRPr="008B6A75" w14:paraId="593A5DB3" w14:textId="77777777" w:rsidTr="00387142">
        <w:trPr>
          <w:gridBefore w:val="1"/>
          <w:gridAfter w:val="1"/>
          <w:wBefore w:w="34" w:type="dxa"/>
          <w:wAfter w:w="1238" w:type="dxa"/>
          <w:trHeight w:val="945"/>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14:paraId="617173C5" w14:textId="77777777" w:rsidR="00387142" w:rsidRPr="008B6A75" w:rsidRDefault="00387142" w:rsidP="00387142">
            <w:pPr>
              <w:jc w:val="right"/>
              <w:rPr>
                <w:sz w:val="20"/>
                <w:szCs w:val="20"/>
              </w:rPr>
            </w:pPr>
            <w:r w:rsidRPr="008B6A75">
              <w:rPr>
                <w:sz w:val="20"/>
                <w:szCs w:val="20"/>
              </w:rPr>
              <w:t>31</w:t>
            </w:r>
          </w:p>
        </w:tc>
        <w:tc>
          <w:tcPr>
            <w:tcW w:w="4678" w:type="dxa"/>
            <w:gridSpan w:val="3"/>
            <w:tcBorders>
              <w:top w:val="nil"/>
              <w:left w:val="nil"/>
              <w:bottom w:val="single" w:sz="4" w:space="0" w:color="auto"/>
              <w:right w:val="single" w:sz="4" w:space="0" w:color="auto"/>
            </w:tcBorders>
            <w:shd w:val="clear" w:color="auto" w:fill="auto"/>
            <w:vAlign w:val="center"/>
            <w:hideMark/>
          </w:tcPr>
          <w:p w14:paraId="58733338" w14:textId="77777777" w:rsidR="00387142" w:rsidRPr="008B6A75" w:rsidRDefault="00387142" w:rsidP="00387142">
            <w:pPr>
              <w:rPr>
                <w:sz w:val="20"/>
                <w:szCs w:val="20"/>
              </w:rPr>
            </w:pPr>
            <w:r w:rsidRPr="008B6A75">
              <w:rPr>
                <w:sz w:val="20"/>
                <w:szCs w:val="20"/>
              </w:rPr>
              <w:t>Распределение субсидий на финансовое обеспечение реализации инфраструктурных проектов за счет бюджетных кредитов, предоставляемых из федерального бюджета</w:t>
            </w:r>
          </w:p>
        </w:tc>
        <w:tc>
          <w:tcPr>
            <w:tcW w:w="1701" w:type="dxa"/>
            <w:gridSpan w:val="3"/>
            <w:tcBorders>
              <w:top w:val="nil"/>
              <w:left w:val="nil"/>
              <w:bottom w:val="single" w:sz="4" w:space="0" w:color="auto"/>
              <w:right w:val="single" w:sz="4" w:space="0" w:color="auto"/>
            </w:tcBorders>
            <w:shd w:val="clear" w:color="auto" w:fill="auto"/>
            <w:vAlign w:val="center"/>
            <w:hideMark/>
          </w:tcPr>
          <w:p w14:paraId="5680BF56" w14:textId="77777777" w:rsidR="00387142" w:rsidRPr="008B6A75" w:rsidRDefault="00387142" w:rsidP="00387142">
            <w:pPr>
              <w:jc w:val="center"/>
              <w:rPr>
                <w:color w:val="000000"/>
                <w:sz w:val="20"/>
                <w:szCs w:val="20"/>
              </w:rPr>
            </w:pPr>
            <w:r w:rsidRPr="008B6A75">
              <w:rPr>
                <w:color w:val="000000"/>
                <w:sz w:val="20"/>
                <w:szCs w:val="20"/>
              </w:rPr>
              <w:t>0,00</w:t>
            </w:r>
          </w:p>
        </w:tc>
        <w:tc>
          <w:tcPr>
            <w:tcW w:w="236" w:type="dxa"/>
            <w:gridSpan w:val="3"/>
            <w:tcBorders>
              <w:top w:val="nil"/>
              <w:left w:val="nil"/>
              <w:bottom w:val="single" w:sz="4" w:space="0" w:color="auto"/>
              <w:right w:val="single" w:sz="4" w:space="0" w:color="auto"/>
            </w:tcBorders>
            <w:shd w:val="clear" w:color="auto" w:fill="auto"/>
            <w:vAlign w:val="center"/>
            <w:hideMark/>
          </w:tcPr>
          <w:p w14:paraId="243937D6" w14:textId="77777777" w:rsidR="00387142" w:rsidRPr="008B6A75" w:rsidRDefault="00387142" w:rsidP="00387142">
            <w:pPr>
              <w:jc w:val="center"/>
              <w:rPr>
                <w:color w:val="000000"/>
                <w:sz w:val="20"/>
                <w:szCs w:val="20"/>
              </w:rPr>
            </w:pPr>
            <w:r w:rsidRPr="008B6A75">
              <w:rPr>
                <w:color w:val="000000"/>
                <w:sz w:val="20"/>
                <w:szCs w:val="20"/>
              </w:rPr>
              <w:t>0,00</w:t>
            </w:r>
          </w:p>
        </w:tc>
        <w:tc>
          <w:tcPr>
            <w:tcW w:w="1863" w:type="dxa"/>
            <w:gridSpan w:val="5"/>
            <w:tcBorders>
              <w:top w:val="nil"/>
              <w:left w:val="nil"/>
              <w:bottom w:val="single" w:sz="4" w:space="0" w:color="auto"/>
              <w:right w:val="single" w:sz="4" w:space="0" w:color="auto"/>
            </w:tcBorders>
            <w:shd w:val="clear" w:color="auto" w:fill="auto"/>
            <w:vAlign w:val="center"/>
            <w:hideMark/>
          </w:tcPr>
          <w:p w14:paraId="421FCE4E" w14:textId="77777777" w:rsidR="00387142" w:rsidRPr="008B6A75" w:rsidRDefault="00387142" w:rsidP="00387142">
            <w:pPr>
              <w:jc w:val="center"/>
              <w:rPr>
                <w:color w:val="000000"/>
                <w:sz w:val="20"/>
                <w:szCs w:val="20"/>
              </w:rPr>
            </w:pPr>
            <w:r w:rsidRPr="008B6A75">
              <w:rPr>
                <w:color w:val="000000"/>
                <w:sz w:val="20"/>
                <w:szCs w:val="20"/>
              </w:rPr>
              <w:t>0,00</w:t>
            </w:r>
          </w:p>
        </w:tc>
      </w:tr>
      <w:tr w:rsidR="00387142" w:rsidRPr="008B6A75" w14:paraId="465F379E" w14:textId="77777777" w:rsidTr="00387142">
        <w:trPr>
          <w:gridBefore w:val="1"/>
          <w:gridAfter w:val="1"/>
          <w:wBefore w:w="34" w:type="dxa"/>
          <w:wAfter w:w="1238" w:type="dxa"/>
          <w:trHeight w:val="1575"/>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14:paraId="2F29944A" w14:textId="77777777" w:rsidR="00387142" w:rsidRPr="008B6A75" w:rsidRDefault="00387142" w:rsidP="00387142">
            <w:pPr>
              <w:jc w:val="right"/>
              <w:rPr>
                <w:sz w:val="20"/>
                <w:szCs w:val="20"/>
              </w:rPr>
            </w:pPr>
            <w:r w:rsidRPr="008B6A75">
              <w:rPr>
                <w:sz w:val="20"/>
                <w:szCs w:val="20"/>
              </w:rPr>
              <w:t>32</w:t>
            </w:r>
          </w:p>
        </w:tc>
        <w:tc>
          <w:tcPr>
            <w:tcW w:w="4678" w:type="dxa"/>
            <w:gridSpan w:val="3"/>
            <w:tcBorders>
              <w:top w:val="nil"/>
              <w:left w:val="nil"/>
              <w:bottom w:val="single" w:sz="4" w:space="0" w:color="auto"/>
              <w:right w:val="single" w:sz="4" w:space="0" w:color="auto"/>
            </w:tcBorders>
            <w:shd w:val="clear" w:color="auto" w:fill="auto"/>
            <w:vAlign w:val="center"/>
            <w:hideMark/>
          </w:tcPr>
          <w:p w14:paraId="692AA2D0" w14:textId="77777777" w:rsidR="00387142" w:rsidRPr="008B6A75" w:rsidRDefault="00387142" w:rsidP="00387142">
            <w:pPr>
              <w:rPr>
                <w:sz w:val="20"/>
                <w:szCs w:val="20"/>
              </w:rPr>
            </w:pPr>
            <w:r w:rsidRPr="008B6A75">
              <w:rPr>
                <w:sz w:val="20"/>
                <w:szCs w:val="20"/>
              </w:rPr>
              <w:t>Субсидии на реализацию мероприятий по модернизации школьных систем образования государственной программы Новосибирской области "Развитие образования, создание условий для социализации детей и учащейся молодёжи в Новосибирской области"</w:t>
            </w:r>
          </w:p>
        </w:tc>
        <w:tc>
          <w:tcPr>
            <w:tcW w:w="1701" w:type="dxa"/>
            <w:gridSpan w:val="3"/>
            <w:tcBorders>
              <w:top w:val="nil"/>
              <w:left w:val="nil"/>
              <w:bottom w:val="single" w:sz="4" w:space="0" w:color="auto"/>
              <w:right w:val="single" w:sz="4" w:space="0" w:color="auto"/>
            </w:tcBorders>
            <w:shd w:val="clear" w:color="auto" w:fill="auto"/>
            <w:vAlign w:val="center"/>
            <w:hideMark/>
          </w:tcPr>
          <w:p w14:paraId="23B4EDCA" w14:textId="77777777" w:rsidR="00387142" w:rsidRPr="008B6A75" w:rsidRDefault="00387142" w:rsidP="00387142">
            <w:pPr>
              <w:jc w:val="center"/>
              <w:rPr>
                <w:color w:val="000000"/>
                <w:sz w:val="20"/>
                <w:szCs w:val="20"/>
              </w:rPr>
            </w:pPr>
            <w:r w:rsidRPr="008B6A75">
              <w:rPr>
                <w:color w:val="000000"/>
                <w:sz w:val="20"/>
                <w:szCs w:val="20"/>
              </w:rPr>
              <w:t>134 638 800,00</w:t>
            </w:r>
          </w:p>
        </w:tc>
        <w:tc>
          <w:tcPr>
            <w:tcW w:w="236" w:type="dxa"/>
            <w:gridSpan w:val="3"/>
            <w:tcBorders>
              <w:top w:val="nil"/>
              <w:left w:val="nil"/>
              <w:bottom w:val="single" w:sz="4" w:space="0" w:color="auto"/>
              <w:right w:val="single" w:sz="4" w:space="0" w:color="auto"/>
            </w:tcBorders>
            <w:shd w:val="clear" w:color="auto" w:fill="auto"/>
            <w:vAlign w:val="center"/>
            <w:hideMark/>
          </w:tcPr>
          <w:p w14:paraId="6F132B42" w14:textId="77777777" w:rsidR="00387142" w:rsidRPr="008B6A75" w:rsidRDefault="00387142" w:rsidP="00387142">
            <w:pPr>
              <w:jc w:val="center"/>
              <w:rPr>
                <w:color w:val="000000"/>
                <w:sz w:val="20"/>
                <w:szCs w:val="20"/>
              </w:rPr>
            </w:pPr>
            <w:r w:rsidRPr="008B6A75">
              <w:rPr>
                <w:color w:val="000000"/>
                <w:sz w:val="20"/>
                <w:szCs w:val="20"/>
              </w:rPr>
              <w:t>57 113 400,00</w:t>
            </w:r>
          </w:p>
        </w:tc>
        <w:tc>
          <w:tcPr>
            <w:tcW w:w="1863" w:type="dxa"/>
            <w:gridSpan w:val="5"/>
            <w:tcBorders>
              <w:top w:val="nil"/>
              <w:left w:val="nil"/>
              <w:bottom w:val="single" w:sz="4" w:space="0" w:color="auto"/>
              <w:right w:val="single" w:sz="4" w:space="0" w:color="auto"/>
            </w:tcBorders>
            <w:shd w:val="clear" w:color="auto" w:fill="auto"/>
            <w:vAlign w:val="center"/>
            <w:hideMark/>
          </w:tcPr>
          <w:p w14:paraId="4D6F6AC0" w14:textId="77777777" w:rsidR="00387142" w:rsidRPr="008B6A75" w:rsidRDefault="00387142" w:rsidP="00387142">
            <w:pPr>
              <w:jc w:val="center"/>
              <w:rPr>
                <w:color w:val="000000"/>
                <w:sz w:val="20"/>
                <w:szCs w:val="20"/>
              </w:rPr>
            </w:pPr>
            <w:r w:rsidRPr="008B6A75">
              <w:rPr>
                <w:color w:val="000000"/>
                <w:sz w:val="20"/>
                <w:szCs w:val="20"/>
              </w:rPr>
              <w:t>0,00</w:t>
            </w:r>
          </w:p>
        </w:tc>
      </w:tr>
      <w:tr w:rsidR="00387142" w:rsidRPr="008B6A75" w14:paraId="543C812F" w14:textId="77777777" w:rsidTr="00387142">
        <w:trPr>
          <w:gridBefore w:val="1"/>
          <w:gridAfter w:val="1"/>
          <w:wBefore w:w="34" w:type="dxa"/>
          <w:wAfter w:w="1238" w:type="dxa"/>
          <w:trHeight w:val="126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14:paraId="4DE58981" w14:textId="77777777" w:rsidR="00387142" w:rsidRPr="008B6A75" w:rsidRDefault="00387142" w:rsidP="00387142">
            <w:pPr>
              <w:jc w:val="right"/>
              <w:rPr>
                <w:sz w:val="20"/>
                <w:szCs w:val="20"/>
              </w:rPr>
            </w:pPr>
            <w:r w:rsidRPr="008B6A75">
              <w:rPr>
                <w:sz w:val="20"/>
                <w:szCs w:val="20"/>
              </w:rPr>
              <w:t>33</w:t>
            </w:r>
          </w:p>
        </w:tc>
        <w:tc>
          <w:tcPr>
            <w:tcW w:w="4678" w:type="dxa"/>
            <w:gridSpan w:val="3"/>
            <w:tcBorders>
              <w:top w:val="nil"/>
              <w:left w:val="nil"/>
              <w:bottom w:val="single" w:sz="4" w:space="0" w:color="auto"/>
              <w:right w:val="single" w:sz="4" w:space="0" w:color="auto"/>
            </w:tcBorders>
            <w:shd w:val="clear" w:color="auto" w:fill="auto"/>
            <w:vAlign w:val="center"/>
            <w:hideMark/>
          </w:tcPr>
          <w:p w14:paraId="79D90349" w14:textId="77777777" w:rsidR="00387142" w:rsidRPr="008B6A75" w:rsidRDefault="00387142" w:rsidP="00387142">
            <w:pPr>
              <w:rPr>
                <w:sz w:val="20"/>
                <w:szCs w:val="20"/>
              </w:rPr>
            </w:pPr>
            <w:r w:rsidRPr="008B6A75">
              <w:rPr>
                <w:sz w:val="20"/>
                <w:szCs w:val="20"/>
              </w:rPr>
              <w:t xml:space="preserve">Субсидии на развитие социальной инфраструктуры в сфере организации отдыха и оздоровления детей Новосибирской области государственной программы Новосибирской области "Социальная поддержка в Новосибирской области" </w:t>
            </w:r>
          </w:p>
        </w:tc>
        <w:tc>
          <w:tcPr>
            <w:tcW w:w="1701" w:type="dxa"/>
            <w:gridSpan w:val="3"/>
            <w:tcBorders>
              <w:top w:val="nil"/>
              <w:left w:val="nil"/>
              <w:bottom w:val="single" w:sz="4" w:space="0" w:color="auto"/>
              <w:right w:val="single" w:sz="4" w:space="0" w:color="auto"/>
            </w:tcBorders>
            <w:shd w:val="clear" w:color="auto" w:fill="auto"/>
            <w:vAlign w:val="center"/>
            <w:hideMark/>
          </w:tcPr>
          <w:p w14:paraId="155FF72A" w14:textId="77777777" w:rsidR="00387142" w:rsidRPr="008B6A75" w:rsidRDefault="00387142" w:rsidP="00387142">
            <w:pPr>
              <w:jc w:val="center"/>
              <w:rPr>
                <w:sz w:val="20"/>
                <w:szCs w:val="20"/>
              </w:rPr>
            </w:pPr>
            <w:r w:rsidRPr="008B6A75">
              <w:rPr>
                <w:sz w:val="20"/>
                <w:szCs w:val="20"/>
              </w:rPr>
              <w:t>1 802 420,00</w:t>
            </w:r>
          </w:p>
        </w:tc>
        <w:tc>
          <w:tcPr>
            <w:tcW w:w="236" w:type="dxa"/>
            <w:gridSpan w:val="3"/>
            <w:tcBorders>
              <w:top w:val="nil"/>
              <w:left w:val="nil"/>
              <w:bottom w:val="single" w:sz="4" w:space="0" w:color="auto"/>
              <w:right w:val="single" w:sz="4" w:space="0" w:color="auto"/>
            </w:tcBorders>
            <w:shd w:val="clear" w:color="auto" w:fill="auto"/>
            <w:vAlign w:val="center"/>
            <w:hideMark/>
          </w:tcPr>
          <w:p w14:paraId="1D99D29D" w14:textId="77777777" w:rsidR="00387142" w:rsidRPr="008B6A75" w:rsidRDefault="00387142" w:rsidP="00387142">
            <w:pPr>
              <w:jc w:val="center"/>
              <w:rPr>
                <w:color w:val="000000"/>
                <w:sz w:val="20"/>
                <w:szCs w:val="20"/>
              </w:rPr>
            </w:pPr>
            <w:r w:rsidRPr="008B6A75">
              <w:rPr>
                <w:color w:val="000000"/>
                <w:sz w:val="20"/>
                <w:szCs w:val="20"/>
              </w:rPr>
              <w:t>0,00</w:t>
            </w:r>
          </w:p>
        </w:tc>
        <w:tc>
          <w:tcPr>
            <w:tcW w:w="1863" w:type="dxa"/>
            <w:gridSpan w:val="5"/>
            <w:tcBorders>
              <w:top w:val="nil"/>
              <w:left w:val="nil"/>
              <w:bottom w:val="single" w:sz="4" w:space="0" w:color="auto"/>
              <w:right w:val="single" w:sz="4" w:space="0" w:color="auto"/>
            </w:tcBorders>
            <w:shd w:val="clear" w:color="auto" w:fill="auto"/>
            <w:vAlign w:val="center"/>
            <w:hideMark/>
          </w:tcPr>
          <w:p w14:paraId="31318809" w14:textId="77777777" w:rsidR="00387142" w:rsidRPr="008B6A75" w:rsidRDefault="00387142" w:rsidP="00387142">
            <w:pPr>
              <w:jc w:val="center"/>
              <w:rPr>
                <w:color w:val="000000"/>
                <w:sz w:val="20"/>
                <w:szCs w:val="20"/>
              </w:rPr>
            </w:pPr>
            <w:r w:rsidRPr="008B6A75">
              <w:rPr>
                <w:color w:val="000000"/>
                <w:sz w:val="20"/>
                <w:szCs w:val="20"/>
              </w:rPr>
              <w:t>0,00</w:t>
            </w:r>
          </w:p>
        </w:tc>
      </w:tr>
      <w:tr w:rsidR="00387142" w:rsidRPr="008B6A75" w14:paraId="0BD20C53" w14:textId="77777777" w:rsidTr="00387142">
        <w:trPr>
          <w:gridBefore w:val="1"/>
          <w:gridAfter w:val="1"/>
          <w:wBefore w:w="34" w:type="dxa"/>
          <w:wAfter w:w="1238" w:type="dxa"/>
          <w:trHeight w:val="189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14:paraId="3034BF97" w14:textId="77777777" w:rsidR="00387142" w:rsidRPr="008B6A75" w:rsidRDefault="00387142" w:rsidP="00387142">
            <w:pPr>
              <w:jc w:val="right"/>
              <w:rPr>
                <w:sz w:val="20"/>
                <w:szCs w:val="20"/>
              </w:rPr>
            </w:pPr>
            <w:r w:rsidRPr="008B6A75">
              <w:rPr>
                <w:sz w:val="20"/>
                <w:szCs w:val="20"/>
              </w:rPr>
              <w:lastRenderedPageBreak/>
              <w:t>34</w:t>
            </w:r>
          </w:p>
        </w:tc>
        <w:tc>
          <w:tcPr>
            <w:tcW w:w="4678" w:type="dxa"/>
            <w:gridSpan w:val="3"/>
            <w:tcBorders>
              <w:top w:val="nil"/>
              <w:left w:val="nil"/>
              <w:bottom w:val="single" w:sz="4" w:space="0" w:color="auto"/>
              <w:right w:val="single" w:sz="4" w:space="0" w:color="auto"/>
            </w:tcBorders>
            <w:shd w:val="clear" w:color="auto" w:fill="auto"/>
            <w:vAlign w:val="center"/>
            <w:hideMark/>
          </w:tcPr>
          <w:p w14:paraId="72A6E3B0" w14:textId="77777777" w:rsidR="00387142" w:rsidRPr="008B6A75" w:rsidRDefault="00387142" w:rsidP="00387142">
            <w:pPr>
              <w:rPr>
                <w:sz w:val="20"/>
                <w:szCs w:val="20"/>
              </w:rPr>
            </w:pPr>
            <w:r w:rsidRPr="008B6A75">
              <w:rPr>
                <w:sz w:val="20"/>
                <w:szCs w:val="20"/>
              </w:rPr>
              <w:t>Субсидии на реализацию проектов комплексного развития сельских территорий ведомственного проекта "Современный облик сельских территорий" за счет средств резервного фонда Правительства Российской Федерации государственной программы Новосибирской области "Комплексное развитие сельских территорий в Новосибирской области"</w:t>
            </w:r>
          </w:p>
        </w:tc>
        <w:tc>
          <w:tcPr>
            <w:tcW w:w="1701" w:type="dxa"/>
            <w:gridSpan w:val="3"/>
            <w:tcBorders>
              <w:top w:val="nil"/>
              <w:left w:val="nil"/>
              <w:bottom w:val="single" w:sz="4" w:space="0" w:color="auto"/>
              <w:right w:val="nil"/>
            </w:tcBorders>
            <w:shd w:val="clear" w:color="auto" w:fill="auto"/>
            <w:vAlign w:val="center"/>
            <w:hideMark/>
          </w:tcPr>
          <w:p w14:paraId="0779BCFE" w14:textId="77777777" w:rsidR="00387142" w:rsidRPr="008B6A75" w:rsidRDefault="00387142" w:rsidP="00387142">
            <w:pPr>
              <w:jc w:val="center"/>
              <w:rPr>
                <w:sz w:val="20"/>
                <w:szCs w:val="20"/>
              </w:rPr>
            </w:pPr>
            <w:r w:rsidRPr="008B6A75">
              <w:rPr>
                <w:sz w:val="20"/>
                <w:szCs w:val="20"/>
              </w:rPr>
              <w:t>4 905 100,00</w:t>
            </w:r>
          </w:p>
        </w:tc>
        <w:tc>
          <w:tcPr>
            <w:tcW w:w="236" w:type="dxa"/>
            <w:gridSpan w:val="3"/>
            <w:tcBorders>
              <w:top w:val="nil"/>
              <w:left w:val="single" w:sz="4" w:space="0" w:color="auto"/>
              <w:bottom w:val="single" w:sz="4" w:space="0" w:color="auto"/>
              <w:right w:val="nil"/>
            </w:tcBorders>
            <w:shd w:val="clear" w:color="auto" w:fill="auto"/>
            <w:vAlign w:val="center"/>
            <w:hideMark/>
          </w:tcPr>
          <w:p w14:paraId="64541F08" w14:textId="77777777" w:rsidR="00387142" w:rsidRPr="008B6A75" w:rsidRDefault="00387142" w:rsidP="00387142">
            <w:pPr>
              <w:jc w:val="center"/>
              <w:rPr>
                <w:color w:val="000000"/>
                <w:sz w:val="20"/>
                <w:szCs w:val="20"/>
              </w:rPr>
            </w:pPr>
            <w:r w:rsidRPr="008B6A75">
              <w:rPr>
                <w:color w:val="000000"/>
                <w:sz w:val="20"/>
                <w:szCs w:val="20"/>
              </w:rPr>
              <w:t> </w:t>
            </w:r>
          </w:p>
        </w:tc>
        <w:tc>
          <w:tcPr>
            <w:tcW w:w="1863" w:type="dxa"/>
            <w:gridSpan w:val="5"/>
            <w:tcBorders>
              <w:top w:val="nil"/>
              <w:left w:val="single" w:sz="4" w:space="0" w:color="auto"/>
              <w:bottom w:val="single" w:sz="4" w:space="0" w:color="auto"/>
              <w:right w:val="single" w:sz="4" w:space="0" w:color="auto"/>
            </w:tcBorders>
            <w:shd w:val="clear" w:color="auto" w:fill="auto"/>
            <w:vAlign w:val="center"/>
            <w:hideMark/>
          </w:tcPr>
          <w:p w14:paraId="0A37700B" w14:textId="77777777" w:rsidR="00387142" w:rsidRPr="008B6A75" w:rsidRDefault="00387142" w:rsidP="00387142">
            <w:pPr>
              <w:jc w:val="center"/>
              <w:rPr>
                <w:color w:val="000000"/>
                <w:sz w:val="20"/>
                <w:szCs w:val="20"/>
              </w:rPr>
            </w:pPr>
            <w:r w:rsidRPr="008B6A75">
              <w:rPr>
                <w:color w:val="000000"/>
                <w:sz w:val="20"/>
                <w:szCs w:val="20"/>
              </w:rPr>
              <w:t> </w:t>
            </w:r>
          </w:p>
        </w:tc>
      </w:tr>
      <w:tr w:rsidR="00387142" w:rsidRPr="008B6A75" w14:paraId="74869EB6" w14:textId="77777777" w:rsidTr="00387142">
        <w:trPr>
          <w:gridBefore w:val="1"/>
          <w:gridAfter w:val="1"/>
          <w:wBefore w:w="34" w:type="dxa"/>
          <w:wAfter w:w="1238" w:type="dxa"/>
          <w:trHeight w:val="30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14:paraId="142F73B8" w14:textId="77777777" w:rsidR="00387142" w:rsidRPr="008B6A75" w:rsidRDefault="00387142" w:rsidP="00387142">
            <w:pPr>
              <w:rPr>
                <w:sz w:val="20"/>
                <w:szCs w:val="20"/>
              </w:rPr>
            </w:pPr>
            <w:r w:rsidRPr="008B6A75">
              <w:rPr>
                <w:sz w:val="20"/>
                <w:szCs w:val="20"/>
              </w:rPr>
              <w:t> </w:t>
            </w:r>
          </w:p>
        </w:tc>
        <w:tc>
          <w:tcPr>
            <w:tcW w:w="4678" w:type="dxa"/>
            <w:gridSpan w:val="3"/>
            <w:tcBorders>
              <w:top w:val="nil"/>
              <w:left w:val="nil"/>
              <w:bottom w:val="single" w:sz="4" w:space="0" w:color="auto"/>
              <w:right w:val="single" w:sz="4" w:space="0" w:color="auto"/>
            </w:tcBorders>
            <w:shd w:val="clear" w:color="auto" w:fill="auto"/>
            <w:noWrap/>
            <w:vAlign w:val="bottom"/>
            <w:hideMark/>
          </w:tcPr>
          <w:p w14:paraId="7B7709B8" w14:textId="77777777" w:rsidR="00387142" w:rsidRPr="008B6A75" w:rsidRDefault="00387142" w:rsidP="00387142">
            <w:pPr>
              <w:rPr>
                <w:sz w:val="20"/>
                <w:szCs w:val="20"/>
              </w:rPr>
            </w:pPr>
            <w:r w:rsidRPr="008B6A75">
              <w:rPr>
                <w:sz w:val="20"/>
                <w:szCs w:val="20"/>
              </w:rPr>
              <w:t>ИТОГО</w:t>
            </w:r>
          </w:p>
        </w:tc>
        <w:tc>
          <w:tcPr>
            <w:tcW w:w="1701" w:type="dxa"/>
            <w:gridSpan w:val="3"/>
            <w:tcBorders>
              <w:top w:val="nil"/>
              <w:left w:val="nil"/>
              <w:bottom w:val="single" w:sz="4" w:space="0" w:color="auto"/>
              <w:right w:val="nil"/>
            </w:tcBorders>
            <w:shd w:val="clear" w:color="auto" w:fill="auto"/>
            <w:noWrap/>
            <w:vAlign w:val="center"/>
            <w:hideMark/>
          </w:tcPr>
          <w:p w14:paraId="20BCDAAC" w14:textId="77777777" w:rsidR="00387142" w:rsidRPr="008B6A75" w:rsidRDefault="00387142" w:rsidP="00387142">
            <w:pPr>
              <w:jc w:val="center"/>
              <w:rPr>
                <w:bCs/>
                <w:sz w:val="20"/>
                <w:szCs w:val="20"/>
              </w:rPr>
            </w:pPr>
            <w:r w:rsidRPr="008B6A75">
              <w:rPr>
                <w:bCs/>
                <w:sz w:val="20"/>
                <w:szCs w:val="20"/>
              </w:rPr>
              <w:t>1 155 393 210,12</w:t>
            </w:r>
          </w:p>
        </w:tc>
        <w:tc>
          <w:tcPr>
            <w:tcW w:w="236" w:type="dxa"/>
            <w:gridSpan w:val="3"/>
            <w:tcBorders>
              <w:top w:val="nil"/>
              <w:left w:val="single" w:sz="4" w:space="0" w:color="auto"/>
              <w:bottom w:val="single" w:sz="4" w:space="0" w:color="auto"/>
              <w:right w:val="nil"/>
            </w:tcBorders>
            <w:shd w:val="clear" w:color="auto" w:fill="auto"/>
            <w:noWrap/>
            <w:vAlign w:val="center"/>
            <w:hideMark/>
          </w:tcPr>
          <w:p w14:paraId="081DB1A9" w14:textId="77777777" w:rsidR="00387142" w:rsidRPr="008B6A75" w:rsidRDefault="00387142" w:rsidP="00387142">
            <w:pPr>
              <w:jc w:val="center"/>
              <w:rPr>
                <w:bCs/>
                <w:sz w:val="20"/>
                <w:szCs w:val="20"/>
              </w:rPr>
            </w:pPr>
            <w:r w:rsidRPr="008B6A75">
              <w:rPr>
                <w:bCs/>
                <w:sz w:val="20"/>
                <w:szCs w:val="20"/>
              </w:rPr>
              <w:t>288 424 647,00</w:t>
            </w:r>
          </w:p>
        </w:tc>
        <w:tc>
          <w:tcPr>
            <w:tcW w:w="1863" w:type="dxa"/>
            <w:gridSpan w:val="5"/>
            <w:tcBorders>
              <w:top w:val="nil"/>
              <w:left w:val="single" w:sz="4" w:space="0" w:color="auto"/>
              <w:bottom w:val="single" w:sz="4" w:space="0" w:color="auto"/>
              <w:right w:val="single" w:sz="4" w:space="0" w:color="auto"/>
            </w:tcBorders>
            <w:shd w:val="clear" w:color="auto" w:fill="auto"/>
            <w:noWrap/>
            <w:vAlign w:val="center"/>
            <w:hideMark/>
          </w:tcPr>
          <w:p w14:paraId="76354435" w14:textId="77777777" w:rsidR="00387142" w:rsidRPr="008B6A75" w:rsidRDefault="00387142" w:rsidP="00387142">
            <w:pPr>
              <w:jc w:val="center"/>
              <w:rPr>
                <w:bCs/>
                <w:sz w:val="20"/>
                <w:szCs w:val="20"/>
              </w:rPr>
            </w:pPr>
            <w:r w:rsidRPr="008B6A75">
              <w:rPr>
                <w:bCs/>
                <w:sz w:val="20"/>
                <w:szCs w:val="20"/>
              </w:rPr>
              <w:t>208 907 967,00</w:t>
            </w:r>
          </w:p>
        </w:tc>
      </w:tr>
      <w:tr w:rsidR="00387142" w:rsidRPr="008B6A75" w14:paraId="32391D53" w14:textId="77777777" w:rsidTr="00387142">
        <w:trPr>
          <w:trHeight w:val="315"/>
        </w:trPr>
        <w:tc>
          <w:tcPr>
            <w:tcW w:w="643" w:type="dxa"/>
            <w:gridSpan w:val="3"/>
            <w:tcBorders>
              <w:top w:val="nil"/>
              <w:left w:val="nil"/>
              <w:bottom w:val="nil"/>
              <w:right w:val="nil"/>
            </w:tcBorders>
            <w:shd w:val="clear" w:color="auto" w:fill="auto"/>
            <w:noWrap/>
            <w:vAlign w:val="bottom"/>
            <w:hideMark/>
          </w:tcPr>
          <w:p w14:paraId="6B8396E3" w14:textId="77777777" w:rsidR="00387142" w:rsidRPr="008B6A75" w:rsidRDefault="00387142" w:rsidP="00387142">
            <w:pPr>
              <w:rPr>
                <w:sz w:val="20"/>
                <w:szCs w:val="20"/>
              </w:rPr>
            </w:pPr>
          </w:p>
        </w:tc>
        <w:tc>
          <w:tcPr>
            <w:tcW w:w="4744" w:type="dxa"/>
            <w:gridSpan w:val="3"/>
            <w:tcBorders>
              <w:top w:val="nil"/>
              <w:left w:val="nil"/>
              <w:bottom w:val="nil"/>
              <w:right w:val="nil"/>
            </w:tcBorders>
            <w:shd w:val="clear" w:color="auto" w:fill="auto"/>
            <w:noWrap/>
            <w:vAlign w:val="bottom"/>
            <w:hideMark/>
          </w:tcPr>
          <w:p w14:paraId="32407C86" w14:textId="77777777" w:rsidR="00387142" w:rsidRPr="008B6A75" w:rsidRDefault="00387142" w:rsidP="00387142">
            <w:pPr>
              <w:jc w:val="center"/>
              <w:rPr>
                <w:sz w:val="20"/>
                <w:szCs w:val="20"/>
              </w:rPr>
            </w:pPr>
          </w:p>
        </w:tc>
        <w:tc>
          <w:tcPr>
            <w:tcW w:w="1740" w:type="dxa"/>
            <w:gridSpan w:val="4"/>
            <w:tcBorders>
              <w:top w:val="nil"/>
              <w:left w:val="nil"/>
              <w:bottom w:val="nil"/>
              <w:right w:val="nil"/>
            </w:tcBorders>
            <w:shd w:val="clear" w:color="auto" w:fill="auto"/>
            <w:noWrap/>
            <w:vAlign w:val="bottom"/>
            <w:hideMark/>
          </w:tcPr>
          <w:p w14:paraId="6EF5F678" w14:textId="77777777" w:rsidR="00387142" w:rsidRPr="008B6A75" w:rsidRDefault="00387142" w:rsidP="00387142">
            <w:pPr>
              <w:rPr>
                <w:sz w:val="20"/>
                <w:szCs w:val="20"/>
              </w:rPr>
            </w:pPr>
          </w:p>
        </w:tc>
        <w:tc>
          <w:tcPr>
            <w:tcW w:w="1580" w:type="dxa"/>
            <w:gridSpan w:val="5"/>
            <w:tcBorders>
              <w:top w:val="nil"/>
              <w:left w:val="nil"/>
              <w:bottom w:val="nil"/>
              <w:right w:val="nil"/>
            </w:tcBorders>
            <w:shd w:val="clear" w:color="auto" w:fill="auto"/>
            <w:noWrap/>
            <w:vAlign w:val="bottom"/>
            <w:hideMark/>
          </w:tcPr>
          <w:p w14:paraId="6CFD58F8" w14:textId="77777777" w:rsidR="00387142" w:rsidRPr="008B6A75" w:rsidRDefault="00387142" w:rsidP="00387142">
            <w:pPr>
              <w:jc w:val="right"/>
              <w:rPr>
                <w:sz w:val="20"/>
                <w:szCs w:val="20"/>
              </w:rPr>
            </w:pPr>
          </w:p>
        </w:tc>
        <w:tc>
          <w:tcPr>
            <w:tcW w:w="1520" w:type="dxa"/>
            <w:gridSpan w:val="2"/>
            <w:tcBorders>
              <w:top w:val="nil"/>
              <w:left w:val="nil"/>
              <w:bottom w:val="nil"/>
              <w:right w:val="nil"/>
            </w:tcBorders>
            <w:shd w:val="clear" w:color="auto" w:fill="auto"/>
            <w:noWrap/>
            <w:vAlign w:val="bottom"/>
            <w:hideMark/>
          </w:tcPr>
          <w:p w14:paraId="4E4B1A34" w14:textId="77777777" w:rsidR="00387142" w:rsidRPr="008B6A75" w:rsidRDefault="00387142" w:rsidP="00387142">
            <w:pPr>
              <w:jc w:val="right"/>
              <w:rPr>
                <w:sz w:val="20"/>
                <w:szCs w:val="20"/>
              </w:rPr>
            </w:pPr>
            <w:r w:rsidRPr="008B6A75">
              <w:rPr>
                <w:sz w:val="20"/>
                <w:szCs w:val="20"/>
              </w:rPr>
              <w:t>Приложение 9</w:t>
            </w:r>
          </w:p>
        </w:tc>
      </w:tr>
      <w:tr w:rsidR="00387142" w:rsidRPr="008B6A75" w14:paraId="18273E1A" w14:textId="77777777" w:rsidTr="00387142">
        <w:trPr>
          <w:trHeight w:val="315"/>
        </w:trPr>
        <w:tc>
          <w:tcPr>
            <w:tcW w:w="643" w:type="dxa"/>
            <w:gridSpan w:val="3"/>
            <w:tcBorders>
              <w:top w:val="nil"/>
              <w:left w:val="nil"/>
              <w:bottom w:val="nil"/>
              <w:right w:val="nil"/>
            </w:tcBorders>
            <w:shd w:val="clear" w:color="auto" w:fill="auto"/>
            <w:noWrap/>
            <w:vAlign w:val="bottom"/>
            <w:hideMark/>
          </w:tcPr>
          <w:p w14:paraId="5426CA39" w14:textId="77777777" w:rsidR="00387142" w:rsidRPr="008B6A75" w:rsidRDefault="00387142" w:rsidP="00387142">
            <w:pPr>
              <w:jc w:val="right"/>
              <w:rPr>
                <w:sz w:val="20"/>
                <w:szCs w:val="20"/>
              </w:rPr>
            </w:pPr>
          </w:p>
        </w:tc>
        <w:tc>
          <w:tcPr>
            <w:tcW w:w="4744" w:type="dxa"/>
            <w:gridSpan w:val="3"/>
            <w:tcBorders>
              <w:top w:val="nil"/>
              <w:left w:val="nil"/>
              <w:bottom w:val="nil"/>
              <w:right w:val="nil"/>
            </w:tcBorders>
            <w:shd w:val="clear" w:color="auto" w:fill="auto"/>
            <w:noWrap/>
            <w:vAlign w:val="bottom"/>
            <w:hideMark/>
          </w:tcPr>
          <w:p w14:paraId="6F28DB13" w14:textId="77777777" w:rsidR="00387142" w:rsidRPr="008B6A75" w:rsidRDefault="00387142" w:rsidP="00387142">
            <w:pPr>
              <w:jc w:val="center"/>
              <w:rPr>
                <w:sz w:val="20"/>
                <w:szCs w:val="20"/>
              </w:rPr>
            </w:pPr>
          </w:p>
        </w:tc>
        <w:tc>
          <w:tcPr>
            <w:tcW w:w="1740" w:type="dxa"/>
            <w:gridSpan w:val="4"/>
            <w:tcBorders>
              <w:top w:val="nil"/>
              <w:left w:val="nil"/>
              <w:bottom w:val="nil"/>
              <w:right w:val="nil"/>
            </w:tcBorders>
            <w:shd w:val="clear" w:color="auto" w:fill="auto"/>
            <w:noWrap/>
            <w:vAlign w:val="bottom"/>
            <w:hideMark/>
          </w:tcPr>
          <w:p w14:paraId="0D695719" w14:textId="77777777" w:rsidR="00387142" w:rsidRPr="008B6A75" w:rsidRDefault="00387142" w:rsidP="00387142">
            <w:pPr>
              <w:rPr>
                <w:sz w:val="20"/>
                <w:szCs w:val="20"/>
              </w:rPr>
            </w:pPr>
          </w:p>
        </w:tc>
        <w:tc>
          <w:tcPr>
            <w:tcW w:w="1580" w:type="dxa"/>
            <w:gridSpan w:val="5"/>
            <w:tcBorders>
              <w:top w:val="nil"/>
              <w:left w:val="nil"/>
              <w:bottom w:val="nil"/>
              <w:right w:val="nil"/>
            </w:tcBorders>
            <w:shd w:val="clear" w:color="auto" w:fill="auto"/>
            <w:noWrap/>
            <w:vAlign w:val="bottom"/>
            <w:hideMark/>
          </w:tcPr>
          <w:p w14:paraId="1D3F22D7" w14:textId="77777777" w:rsidR="00387142" w:rsidRPr="008B6A75" w:rsidRDefault="00387142" w:rsidP="00387142">
            <w:pPr>
              <w:jc w:val="right"/>
              <w:rPr>
                <w:sz w:val="20"/>
                <w:szCs w:val="20"/>
              </w:rPr>
            </w:pPr>
          </w:p>
        </w:tc>
        <w:tc>
          <w:tcPr>
            <w:tcW w:w="1520" w:type="dxa"/>
            <w:gridSpan w:val="2"/>
            <w:tcBorders>
              <w:top w:val="nil"/>
              <w:left w:val="nil"/>
              <w:bottom w:val="nil"/>
              <w:right w:val="nil"/>
            </w:tcBorders>
            <w:shd w:val="clear" w:color="auto" w:fill="auto"/>
            <w:noWrap/>
            <w:vAlign w:val="bottom"/>
            <w:hideMark/>
          </w:tcPr>
          <w:p w14:paraId="1A2853E5" w14:textId="77777777" w:rsidR="00387142" w:rsidRPr="008B6A75" w:rsidRDefault="00387142" w:rsidP="00387142">
            <w:pPr>
              <w:rPr>
                <w:sz w:val="20"/>
                <w:szCs w:val="20"/>
              </w:rPr>
            </w:pPr>
          </w:p>
        </w:tc>
      </w:tr>
      <w:tr w:rsidR="00387142" w:rsidRPr="008B6A75" w14:paraId="4C4FB713" w14:textId="77777777" w:rsidTr="00387142">
        <w:trPr>
          <w:trHeight w:val="1800"/>
        </w:trPr>
        <w:tc>
          <w:tcPr>
            <w:tcW w:w="643" w:type="dxa"/>
            <w:gridSpan w:val="3"/>
            <w:tcBorders>
              <w:top w:val="nil"/>
              <w:left w:val="nil"/>
              <w:bottom w:val="nil"/>
              <w:right w:val="nil"/>
            </w:tcBorders>
            <w:shd w:val="clear" w:color="auto" w:fill="auto"/>
            <w:noWrap/>
            <w:vAlign w:val="bottom"/>
            <w:hideMark/>
          </w:tcPr>
          <w:p w14:paraId="348630FB" w14:textId="77777777" w:rsidR="00387142" w:rsidRPr="008B6A75" w:rsidRDefault="00387142" w:rsidP="00387142">
            <w:pPr>
              <w:jc w:val="right"/>
              <w:rPr>
                <w:sz w:val="20"/>
                <w:szCs w:val="20"/>
              </w:rPr>
            </w:pPr>
          </w:p>
        </w:tc>
        <w:tc>
          <w:tcPr>
            <w:tcW w:w="4744" w:type="dxa"/>
            <w:gridSpan w:val="3"/>
            <w:tcBorders>
              <w:top w:val="nil"/>
              <w:left w:val="nil"/>
              <w:bottom w:val="nil"/>
              <w:right w:val="nil"/>
            </w:tcBorders>
            <w:shd w:val="clear" w:color="auto" w:fill="auto"/>
            <w:noWrap/>
            <w:vAlign w:val="bottom"/>
            <w:hideMark/>
          </w:tcPr>
          <w:p w14:paraId="1B11D63E" w14:textId="77777777" w:rsidR="00387142" w:rsidRPr="008B6A75" w:rsidRDefault="00387142" w:rsidP="00387142">
            <w:pPr>
              <w:jc w:val="center"/>
              <w:rPr>
                <w:sz w:val="20"/>
                <w:szCs w:val="20"/>
              </w:rPr>
            </w:pPr>
          </w:p>
        </w:tc>
        <w:tc>
          <w:tcPr>
            <w:tcW w:w="4840" w:type="dxa"/>
            <w:gridSpan w:val="11"/>
            <w:tcBorders>
              <w:top w:val="nil"/>
              <w:left w:val="nil"/>
              <w:bottom w:val="nil"/>
              <w:right w:val="nil"/>
            </w:tcBorders>
            <w:shd w:val="clear" w:color="auto" w:fill="auto"/>
            <w:vAlign w:val="bottom"/>
            <w:hideMark/>
          </w:tcPr>
          <w:p w14:paraId="1654BFD3" w14:textId="77777777" w:rsidR="00387142" w:rsidRPr="008B6A75" w:rsidRDefault="00387142" w:rsidP="00387142">
            <w:pPr>
              <w:jc w:val="right"/>
              <w:rPr>
                <w:sz w:val="20"/>
                <w:szCs w:val="20"/>
              </w:rPr>
            </w:pPr>
            <w:r w:rsidRPr="008B6A75">
              <w:rPr>
                <w:sz w:val="20"/>
                <w:szCs w:val="20"/>
              </w:rPr>
              <w:t xml:space="preserve">к решению сессии Совета депутатов Куйбышевского муниципального </w:t>
            </w:r>
            <w:proofErr w:type="gramStart"/>
            <w:r w:rsidRPr="008B6A75">
              <w:rPr>
                <w:sz w:val="20"/>
                <w:szCs w:val="20"/>
              </w:rPr>
              <w:t>района  Новосибирской</w:t>
            </w:r>
            <w:proofErr w:type="gramEnd"/>
            <w:r w:rsidRPr="008B6A75">
              <w:rPr>
                <w:sz w:val="20"/>
                <w:szCs w:val="20"/>
              </w:rPr>
              <w:t xml:space="preserve"> области "О бюджете Куйбышевского муниципального района Новосибирской области на 2022 год  и плановый период 2023 и 2024 годов"</w:t>
            </w:r>
          </w:p>
        </w:tc>
      </w:tr>
      <w:tr w:rsidR="00387142" w:rsidRPr="008B6A75" w14:paraId="49070C7C" w14:textId="77777777" w:rsidTr="00387142">
        <w:trPr>
          <w:trHeight w:val="405"/>
        </w:trPr>
        <w:tc>
          <w:tcPr>
            <w:tcW w:w="643" w:type="dxa"/>
            <w:gridSpan w:val="3"/>
            <w:tcBorders>
              <w:top w:val="nil"/>
              <w:left w:val="nil"/>
              <w:bottom w:val="nil"/>
              <w:right w:val="nil"/>
            </w:tcBorders>
            <w:shd w:val="clear" w:color="auto" w:fill="auto"/>
            <w:noWrap/>
            <w:vAlign w:val="bottom"/>
            <w:hideMark/>
          </w:tcPr>
          <w:p w14:paraId="292F414D" w14:textId="77777777" w:rsidR="00387142" w:rsidRPr="008B6A75" w:rsidRDefault="00387142" w:rsidP="00387142">
            <w:pPr>
              <w:jc w:val="right"/>
              <w:rPr>
                <w:sz w:val="20"/>
                <w:szCs w:val="20"/>
              </w:rPr>
            </w:pPr>
          </w:p>
        </w:tc>
        <w:tc>
          <w:tcPr>
            <w:tcW w:w="4744" w:type="dxa"/>
            <w:gridSpan w:val="3"/>
            <w:tcBorders>
              <w:top w:val="nil"/>
              <w:left w:val="nil"/>
              <w:bottom w:val="nil"/>
              <w:right w:val="nil"/>
            </w:tcBorders>
            <w:shd w:val="clear" w:color="auto" w:fill="auto"/>
            <w:noWrap/>
            <w:vAlign w:val="bottom"/>
            <w:hideMark/>
          </w:tcPr>
          <w:p w14:paraId="14E8E1F2" w14:textId="77777777" w:rsidR="00387142" w:rsidRPr="008B6A75" w:rsidRDefault="00387142" w:rsidP="00387142">
            <w:pPr>
              <w:jc w:val="center"/>
              <w:rPr>
                <w:sz w:val="20"/>
                <w:szCs w:val="20"/>
              </w:rPr>
            </w:pPr>
          </w:p>
        </w:tc>
        <w:tc>
          <w:tcPr>
            <w:tcW w:w="1740" w:type="dxa"/>
            <w:gridSpan w:val="4"/>
            <w:tcBorders>
              <w:top w:val="nil"/>
              <w:left w:val="nil"/>
              <w:bottom w:val="nil"/>
              <w:right w:val="nil"/>
            </w:tcBorders>
            <w:shd w:val="clear" w:color="auto" w:fill="auto"/>
            <w:vAlign w:val="bottom"/>
            <w:hideMark/>
          </w:tcPr>
          <w:p w14:paraId="4530B284" w14:textId="77777777" w:rsidR="00387142" w:rsidRPr="008B6A75" w:rsidRDefault="00387142" w:rsidP="00387142">
            <w:pPr>
              <w:jc w:val="right"/>
              <w:rPr>
                <w:sz w:val="20"/>
                <w:szCs w:val="20"/>
              </w:rPr>
            </w:pPr>
          </w:p>
        </w:tc>
        <w:tc>
          <w:tcPr>
            <w:tcW w:w="1580" w:type="dxa"/>
            <w:gridSpan w:val="5"/>
            <w:tcBorders>
              <w:top w:val="nil"/>
              <w:left w:val="nil"/>
              <w:bottom w:val="nil"/>
              <w:right w:val="nil"/>
            </w:tcBorders>
            <w:shd w:val="clear" w:color="auto" w:fill="auto"/>
            <w:vAlign w:val="bottom"/>
            <w:hideMark/>
          </w:tcPr>
          <w:p w14:paraId="783D553B" w14:textId="77777777" w:rsidR="00387142" w:rsidRPr="008B6A75" w:rsidRDefault="00387142" w:rsidP="00387142">
            <w:pPr>
              <w:jc w:val="center"/>
              <w:rPr>
                <w:sz w:val="20"/>
                <w:szCs w:val="20"/>
              </w:rPr>
            </w:pPr>
          </w:p>
        </w:tc>
        <w:tc>
          <w:tcPr>
            <w:tcW w:w="1520" w:type="dxa"/>
            <w:gridSpan w:val="2"/>
            <w:tcBorders>
              <w:top w:val="nil"/>
              <w:left w:val="nil"/>
              <w:bottom w:val="nil"/>
              <w:right w:val="nil"/>
            </w:tcBorders>
            <w:shd w:val="clear" w:color="auto" w:fill="auto"/>
            <w:vAlign w:val="bottom"/>
            <w:hideMark/>
          </w:tcPr>
          <w:p w14:paraId="63FBAC1F" w14:textId="77777777" w:rsidR="00387142" w:rsidRPr="008B6A75" w:rsidRDefault="00387142" w:rsidP="00387142">
            <w:pPr>
              <w:jc w:val="center"/>
              <w:rPr>
                <w:sz w:val="20"/>
                <w:szCs w:val="20"/>
              </w:rPr>
            </w:pPr>
          </w:p>
        </w:tc>
      </w:tr>
      <w:tr w:rsidR="00387142" w:rsidRPr="008B6A75" w14:paraId="1DE7DCED" w14:textId="77777777" w:rsidTr="00387142">
        <w:trPr>
          <w:trHeight w:val="885"/>
        </w:trPr>
        <w:tc>
          <w:tcPr>
            <w:tcW w:w="10236" w:type="dxa"/>
            <w:gridSpan w:val="17"/>
            <w:tcBorders>
              <w:top w:val="nil"/>
              <w:left w:val="nil"/>
              <w:bottom w:val="nil"/>
              <w:right w:val="nil"/>
            </w:tcBorders>
            <w:shd w:val="clear" w:color="auto" w:fill="auto"/>
            <w:vAlign w:val="bottom"/>
            <w:hideMark/>
          </w:tcPr>
          <w:p w14:paraId="2E76C81D" w14:textId="77777777" w:rsidR="00387142" w:rsidRPr="008B6A75" w:rsidRDefault="00387142" w:rsidP="00387142">
            <w:pPr>
              <w:jc w:val="center"/>
              <w:rPr>
                <w:bCs/>
                <w:sz w:val="20"/>
                <w:szCs w:val="20"/>
              </w:rPr>
            </w:pPr>
            <w:r w:rsidRPr="008B6A75">
              <w:rPr>
                <w:bCs/>
                <w:sz w:val="20"/>
                <w:szCs w:val="20"/>
              </w:rPr>
              <w:t xml:space="preserve">Иные межбюджетные трансферты, получаемые из областного бюджета на 2022 год и плановый период 2023 и 2024 годов </w:t>
            </w:r>
          </w:p>
        </w:tc>
      </w:tr>
      <w:tr w:rsidR="00387142" w:rsidRPr="008B6A75" w14:paraId="3C3A4284" w14:textId="77777777" w:rsidTr="00387142">
        <w:trPr>
          <w:trHeight w:val="435"/>
        </w:trPr>
        <w:tc>
          <w:tcPr>
            <w:tcW w:w="5387" w:type="dxa"/>
            <w:gridSpan w:val="6"/>
            <w:tcBorders>
              <w:top w:val="nil"/>
              <w:left w:val="nil"/>
              <w:bottom w:val="single" w:sz="4" w:space="0" w:color="auto"/>
              <w:right w:val="nil"/>
            </w:tcBorders>
            <w:shd w:val="clear" w:color="auto" w:fill="auto"/>
            <w:noWrap/>
            <w:vAlign w:val="bottom"/>
            <w:hideMark/>
          </w:tcPr>
          <w:p w14:paraId="63132226" w14:textId="77777777" w:rsidR="00387142" w:rsidRPr="008B6A75" w:rsidRDefault="00387142" w:rsidP="00387142">
            <w:pPr>
              <w:jc w:val="center"/>
              <w:rPr>
                <w:sz w:val="20"/>
                <w:szCs w:val="20"/>
              </w:rPr>
            </w:pPr>
            <w:r w:rsidRPr="008B6A75">
              <w:rPr>
                <w:sz w:val="20"/>
                <w:szCs w:val="20"/>
              </w:rPr>
              <w:t> </w:t>
            </w:r>
          </w:p>
        </w:tc>
        <w:tc>
          <w:tcPr>
            <w:tcW w:w="1740" w:type="dxa"/>
            <w:gridSpan w:val="4"/>
            <w:tcBorders>
              <w:top w:val="nil"/>
              <w:left w:val="nil"/>
              <w:bottom w:val="nil"/>
              <w:right w:val="nil"/>
            </w:tcBorders>
            <w:shd w:val="clear" w:color="auto" w:fill="auto"/>
            <w:noWrap/>
            <w:vAlign w:val="bottom"/>
            <w:hideMark/>
          </w:tcPr>
          <w:p w14:paraId="7011F287" w14:textId="77777777" w:rsidR="00387142" w:rsidRPr="008B6A75" w:rsidRDefault="00387142" w:rsidP="00387142">
            <w:pPr>
              <w:jc w:val="center"/>
              <w:rPr>
                <w:sz w:val="20"/>
                <w:szCs w:val="20"/>
              </w:rPr>
            </w:pPr>
          </w:p>
        </w:tc>
        <w:tc>
          <w:tcPr>
            <w:tcW w:w="1580" w:type="dxa"/>
            <w:gridSpan w:val="5"/>
            <w:tcBorders>
              <w:top w:val="nil"/>
              <w:left w:val="nil"/>
              <w:bottom w:val="nil"/>
              <w:right w:val="nil"/>
            </w:tcBorders>
            <w:shd w:val="clear" w:color="auto" w:fill="auto"/>
            <w:noWrap/>
            <w:vAlign w:val="bottom"/>
            <w:hideMark/>
          </w:tcPr>
          <w:p w14:paraId="7B92265E" w14:textId="77777777" w:rsidR="00387142" w:rsidRPr="008B6A75" w:rsidRDefault="00387142" w:rsidP="00387142">
            <w:pPr>
              <w:rPr>
                <w:sz w:val="20"/>
                <w:szCs w:val="20"/>
              </w:rPr>
            </w:pPr>
          </w:p>
        </w:tc>
        <w:tc>
          <w:tcPr>
            <w:tcW w:w="1520" w:type="dxa"/>
            <w:gridSpan w:val="2"/>
            <w:tcBorders>
              <w:top w:val="nil"/>
              <w:left w:val="nil"/>
              <w:bottom w:val="nil"/>
              <w:right w:val="nil"/>
            </w:tcBorders>
            <w:shd w:val="clear" w:color="auto" w:fill="auto"/>
            <w:noWrap/>
            <w:vAlign w:val="bottom"/>
            <w:hideMark/>
          </w:tcPr>
          <w:p w14:paraId="30D6D1C5" w14:textId="77777777" w:rsidR="00387142" w:rsidRPr="008B6A75" w:rsidRDefault="00387142" w:rsidP="00387142">
            <w:pPr>
              <w:jc w:val="right"/>
              <w:rPr>
                <w:sz w:val="20"/>
                <w:szCs w:val="20"/>
              </w:rPr>
            </w:pPr>
            <w:r w:rsidRPr="008B6A75">
              <w:rPr>
                <w:sz w:val="20"/>
                <w:szCs w:val="20"/>
              </w:rPr>
              <w:t>в рублях</w:t>
            </w:r>
          </w:p>
        </w:tc>
      </w:tr>
      <w:tr w:rsidR="00387142" w:rsidRPr="008B6A75" w14:paraId="06EDEA04" w14:textId="77777777" w:rsidTr="00387142">
        <w:trPr>
          <w:trHeight w:val="1110"/>
        </w:trPr>
        <w:tc>
          <w:tcPr>
            <w:tcW w:w="643" w:type="dxa"/>
            <w:gridSpan w:val="3"/>
            <w:tcBorders>
              <w:top w:val="nil"/>
              <w:left w:val="single" w:sz="4" w:space="0" w:color="auto"/>
              <w:bottom w:val="nil"/>
              <w:right w:val="single" w:sz="4" w:space="0" w:color="auto"/>
            </w:tcBorders>
            <w:shd w:val="clear" w:color="auto" w:fill="auto"/>
            <w:noWrap/>
            <w:vAlign w:val="bottom"/>
            <w:hideMark/>
          </w:tcPr>
          <w:p w14:paraId="22169487" w14:textId="77777777" w:rsidR="00387142" w:rsidRPr="008B6A75" w:rsidRDefault="00387142" w:rsidP="00387142">
            <w:pPr>
              <w:jc w:val="center"/>
              <w:rPr>
                <w:sz w:val="20"/>
                <w:szCs w:val="20"/>
              </w:rPr>
            </w:pPr>
            <w:r w:rsidRPr="008B6A75">
              <w:rPr>
                <w:sz w:val="20"/>
                <w:szCs w:val="20"/>
              </w:rPr>
              <w:t>№ п/п</w:t>
            </w:r>
          </w:p>
        </w:tc>
        <w:tc>
          <w:tcPr>
            <w:tcW w:w="4744" w:type="dxa"/>
            <w:gridSpan w:val="3"/>
            <w:tcBorders>
              <w:top w:val="nil"/>
              <w:left w:val="nil"/>
              <w:bottom w:val="nil"/>
              <w:right w:val="single" w:sz="4" w:space="0" w:color="auto"/>
            </w:tcBorders>
            <w:shd w:val="clear" w:color="auto" w:fill="auto"/>
            <w:vAlign w:val="bottom"/>
            <w:hideMark/>
          </w:tcPr>
          <w:p w14:paraId="574CB8F6" w14:textId="77777777" w:rsidR="00387142" w:rsidRPr="008B6A75" w:rsidRDefault="00387142" w:rsidP="00387142">
            <w:pPr>
              <w:jc w:val="center"/>
              <w:rPr>
                <w:sz w:val="20"/>
                <w:szCs w:val="20"/>
              </w:rPr>
            </w:pPr>
            <w:r w:rsidRPr="008B6A75">
              <w:rPr>
                <w:sz w:val="20"/>
                <w:szCs w:val="20"/>
              </w:rPr>
              <w:t xml:space="preserve">Наименование </w:t>
            </w:r>
          </w:p>
        </w:tc>
        <w:tc>
          <w:tcPr>
            <w:tcW w:w="1740" w:type="dxa"/>
            <w:gridSpan w:val="4"/>
            <w:tcBorders>
              <w:top w:val="single" w:sz="4" w:space="0" w:color="auto"/>
              <w:left w:val="nil"/>
              <w:bottom w:val="single" w:sz="4" w:space="0" w:color="auto"/>
              <w:right w:val="single" w:sz="4" w:space="0" w:color="auto"/>
            </w:tcBorders>
            <w:shd w:val="clear" w:color="auto" w:fill="auto"/>
            <w:vAlign w:val="center"/>
            <w:hideMark/>
          </w:tcPr>
          <w:p w14:paraId="35609EDE" w14:textId="77777777" w:rsidR="00387142" w:rsidRPr="008B6A75" w:rsidRDefault="00387142" w:rsidP="00387142">
            <w:pPr>
              <w:jc w:val="center"/>
              <w:rPr>
                <w:sz w:val="20"/>
                <w:szCs w:val="20"/>
              </w:rPr>
            </w:pPr>
            <w:r w:rsidRPr="008B6A75">
              <w:rPr>
                <w:sz w:val="20"/>
                <w:szCs w:val="20"/>
              </w:rPr>
              <w:t>2022 год</w:t>
            </w:r>
          </w:p>
        </w:tc>
        <w:tc>
          <w:tcPr>
            <w:tcW w:w="1580" w:type="dxa"/>
            <w:gridSpan w:val="5"/>
            <w:tcBorders>
              <w:top w:val="single" w:sz="4" w:space="0" w:color="auto"/>
              <w:left w:val="nil"/>
              <w:bottom w:val="single" w:sz="4" w:space="0" w:color="auto"/>
              <w:right w:val="single" w:sz="4" w:space="0" w:color="auto"/>
            </w:tcBorders>
            <w:shd w:val="clear" w:color="auto" w:fill="auto"/>
            <w:vAlign w:val="center"/>
            <w:hideMark/>
          </w:tcPr>
          <w:p w14:paraId="56BB7AE5" w14:textId="77777777" w:rsidR="00387142" w:rsidRPr="008B6A75" w:rsidRDefault="00387142" w:rsidP="00387142">
            <w:pPr>
              <w:jc w:val="center"/>
              <w:rPr>
                <w:sz w:val="20"/>
                <w:szCs w:val="20"/>
              </w:rPr>
            </w:pPr>
            <w:r w:rsidRPr="008B6A75">
              <w:rPr>
                <w:sz w:val="20"/>
                <w:szCs w:val="20"/>
              </w:rPr>
              <w:t>2023 год</w:t>
            </w:r>
          </w:p>
        </w:tc>
        <w:tc>
          <w:tcPr>
            <w:tcW w:w="1520" w:type="dxa"/>
            <w:gridSpan w:val="2"/>
            <w:tcBorders>
              <w:top w:val="single" w:sz="4" w:space="0" w:color="auto"/>
              <w:left w:val="nil"/>
              <w:bottom w:val="single" w:sz="4" w:space="0" w:color="auto"/>
              <w:right w:val="single" w:sz="4" w:space="0" w:color="auto"/>
            </w:tcBorders>
            <w:shd w:val="clear" w:color="auto" w:fill="auto"/>
            <w:vAlign w:val="center"/>
            <w:hideMark/>
          </w:tcPr>
          <w:p w14:paraId="716691A2" w14:textId="77777777" w:rsidR="00387142" w:rsidRPr="008B6A75" w:rsidRDefault="00387142" w:rsidP="00387142">
            <w:pPr>
              <w:jc w:val="center"/>
              <w:rPr>
                <w:sz w:val="20"/>
                <w:szCs w:val="20"/>
              </w:rPr>
            </w:pPr>
            <w:r w:rsidRPr="008B6A75">
              <w:rPr>
                <w:sz w:val="20"/>
                <w:szCs w:val="20"/>
              </w:rPr>
              <w:t>2024 год</w:t>
            </w:r>
          </w:p>
        </w:tc>
      </w:tr>
      <w:tr w:rsidR="00387142" w:rsidRPr="008B6A75" w14:paraId="7E2AEBD2" w14:textId="77777777" w:rsidTr="00387142">
        <w:trPr>
          <w:trHeight w:val="274"/>
        </w:trPr>
        <w:tc>
          <w:tcPr>
            <w:tcW w:w="64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376029" w14:textId="77777777" w:rsidR="00387142" w:rsidRPr="008B6A75" w:rsidRDefault="00387142" w:rsidP="00387142">
            <w:pPr>
              <w:jc w:val="center"/>
              <w:rPr>
                <w:sz w:val="20"/>
                <w:szCs w:val="20"/>
              </w:rPr>
            </w:pPr>
            <w:r w:rsidRPr="008B6A75">
              <w:rPr>
                <w:sz w:val="20"/>
                <w:szCs w:val="20"/>
              </w:rPr>
              <w:t>1</w:t>
            </w:r>
          </w:p>
        </w:tc>
        <w:tc>
          <w:tcPr>
            <w:tcW w:w="4744" w:type="dxa"/>
            <w:gridSpan w:val="3"/>
            <w:tcBorders>
              <w:top w:val="single" w:sz="4" w:space="0" w:color="auto"/>
              <w:left w:val="nil"/>
              <w:bottom w:val="single" w:sz="4" w:space="0" w:color="auto"/>
              <w:right w:val="single" w:sz="4" w:space="0" w:color="auto"/>
            </w:tcBorders>
            <w:shd w:val="clear" w:color="auto" w:fill="auto"/>
            <w:vAlign w:val="bottom"/>
            <w:hideMark/>
          </w:tcPr>
          <w:p w14:paraId="1770F464" w14:textId="77777777" w:rsidR="00387142" w:rsidRPr="008B6A75" w:rsidRDefault="00387142" w:rsidP="00387142">
            <w:pPr>
              <w:jc w:val="center"/>
              <w:rPr>
                <w:sz w:val="20"/>
                <w:szCs w:val="20"/>
              </w:rPr>
            </w:pPr>
            <w:r w:rsidRPr="008B6A75">
              <w:rPr>
                <w:sz w:val="20"/>
                <w:szCs w:val="20"/>
              </w:rPr>
              <w:t>2</w:t>
            </w:r>
          </w:p>
        </w:tc>
        <w:tc>
          <w:tcPr>
            <w:tcW w:w="1740" w:type="dxa"/>
            <w:gridSpan w:val="4"/>
            <w:tcBorders>
              <w:top w:val="nil"/>
              <w:left w:val="nil"/>
              <w:bottom w:val="single" w:sz="4" w:space="0" w:color="auto"/>
              <w:right w:val="single" w:sz="4" w:space="0" w:color="auto"/>
            </w:tcBorders>
            <w:shd w:val="clear" w:color="auto" w:fill="auto"/>
            <w:noWrap/>
            <w:vAlign w:val="bottom"/>
            <w:hideMark/>
          </w:tcPr>
          <w:p w14:paraId="635C5E97" w14:textId="77777777" w:rsidR="00387142" w:rsidRPr="008B6A75" w:rsidRDefault="00387142" w:rsidP="00387142">
            <w:pPr>
              <w:jc w:val="center"/>
              <w:rPr>
                <w:sz w:val="20"/>
                <w:szCs w:val="20"/>
              </w:rPr>
            </w:pPr>
            <w:r w:rsidRPr="008B6A75">
              <w:rPr>
                <w:sz w:val="20"/>
                <w:szCs w:val="20"/>
              </w:rPr>
              <w:t>3</w:t>
            </w:r>
          </w:p>
        </w:tc>
        <w:tc>
          <w:tcPr>
            <w:tcW w:w="1580" w:type="dxa"/>
            <w:gridSpan w:val="5"/>
            <w:tcBorders>
              <w:top w:val="nil"/>
              <w:left w:val="nil"/>
              <w:bottom w:val="single" w:sz="4" w:space="0" w:color="auto"/>
              <w:right w:val="single" w:sz="4" w:space="0" w:color="auto"/>
            </w:tcBorders>
            <w:shd w:val="clear" w:color="auto" w:fill="auto"/>
            <w:noWrap/>
            <w:vAlign w:val="bottom"/>
            <w:hideMark/>
          </w:tcPr>
          <w:p w14:paraId="69A5C4E2" w14:textId="77777777" w:rsidR="00387142" w:rsidRPr="008B6A75" w:rsidRDefault="00387142" w:rsidP="00387142">
            <w:pPr>
              <w:jc w:val="center"/>
              <w:rPr>
                <w:sz w:val="20"/>
                <w:szCs w:val="20"/>
              </w:rPr>
            </w:pPr>
            <w:r w:rsidRPr="008B6A75">
              <w:rPr>
                <w:sz w:val="20"/>
                <w:szCs w:val="20"/>
              </w:rPr>
              <w:t>4</w:t>
            </w:r>
          </w:p>
        </w:tc>
        <w:tc>
          <w:tcPr>
            <w:tcW w:w="1520" w:type="dxa"/>
            <w:gridSpan w:val="2"/>
            <w:tcBorders>
              <w:top w:val="nil"/>
              <w:left w:val="nil"/>
              <w:bottom w:val="single" w:sz="4" w:space="0" w:color="auto"/>
              <w:right w:val="single" w:sz="4" w:space="0" w:color="auto"/>
            </w:tcBorders>
            <w:shd w:val="clear" w:color="auto" w:fill="auto"/>
            <w:noWrap/>
            <w:vAlign w:val="bottom"/>
            <w:hideMark/>
          </w:tcPr>
          <w:p w14:paraId="177EFFE0" w14:textId="77777777" w:rsidR="00387142" w:rsidRPr="008B6A75" w:rsidRDefault="00387142" w:rsidP="00387142">
            <w:pPr>
              <w:jc w:val="center"/>
              <w:rPr>
                <w:sz w:val="20"/>
                <w:szCs w:val="20"/>
              </w:rPr>
            </w:pPr>
            <w:r w:rsidRPr="008B6A75">
              <w:rPr>
                <w:sz w:val="20"/>
                <w:szCs w:val="20"/>
              </w:rPr>
              <w:t>5</w:t>
            </w:r>
          </w:p>
        </w:tc>
      </w:tr>
      <w:tr w:rsidR="00387142" w:rsidRPr="008B6A75" w14:paraId="08936C18" w14:textId="77777777" w:rsidTr="00387142">
        <w:trPr>
          <w:trHeight w:val="1890"/>
        </w:trPr>
        <w:tc>
          <w:tcPr>
            <w:tcW w:w="643" w:type="dxa"/>
            <w:gridSpan w:val="3"/>
            <w:tcBorders>
              <w:top w:val="nil"/>
              <w:left w:val="single" w:sz="4" w:space="0" w:color="auto"/>
              <w:bottom w:val="single" w:sz="4" w:space="0" w:color="auto"/>
              <w:right w:val="single" w:sz="4" w:space="0" w:color="auto"/>
            </w:tcBorders>
            <w:shd w:val="clear" w:color="auto" w:fill="auto"/>
            <w:noWrap/>
            <w:vAlign w:val="center"/>
            <w:hideMark/>
          </w:tcPr>
          <w:p w14:paraId="4FA5C103" w14:textId="77777777" w:rsidR="00387142" w:rsidRPr="008B6A75" w:rsidRDefault="00387142" w:rsidP="00387142">
            <w:pPr>
              <w:jc w:val="center"/>
              <w:rPr>
                <w:sz w:val="20"/>
                <w:szCs w:val="20"/>
              </w:rPr>
            </w:pPr>
            <w:r w:rsidRPr="008B6A75">
              <w:rPr>
                <w:sz w:val="20"/>
                <w:szCs w:val="20"/>
              </w:rPr>
              <w:t>1</w:t>
            </w:r>
          </w:p>
        </w:tc>
        <w:tc>
          <w:tcPr>
            <w:tcW w:w="4744" w:type="dxa"/>
            <w:gridSpan w:val="3"/>
            <w:tcBorders>
              <w:top w:val="single" w:sz="4" w:space="0" w:color="auto"/>
              <w:left w:val="nil"/>
              <w:bottom w:val="single" w:sz="4" w:space="0" w:color="auto"/>
              <w:right w:val="single" w:sz="4" w:space="0" w:color="auto"/>
            </w:tcBorders>
            <w:shd w:val="clear" w:color="000000" w:fill="FFFFFF"/>
            <w:vAlign w:val="center"/>
            <w:hideMark/>
          </w:tcPr>
          <w:p w14:paraId="24EA7552" w14:textId="77777777" w:rsidR="00387142" w:rsidRPr="008B6A75" w:rsidRDefault="00387142" w:rsidP="00387142">
            <w:pPr>
              <w:rPr>
                <w:sz w:val="20"/>
                <w:szCs w:val="20"/>
              </w:rPr>
            </w:pPr>
            <w:r w:rsidRPr="008B6A75">
              <w:rPr>
                <w:sz w:val="20"/>
                <w:szCs w:val="20"/>
              </w:rPr>
              <w:t xml:space="preserve">Иные межбюджетные трансферты на реализацию мероприятий по улучшению социального положения семей с детьми, обеспечению дружественных семье и детству общественных отношений и инфраструктуры жизнедеятельности государственной программы Новосибирской </w:t>
            </w:r>
            <w:proofErr w:type="gramStart"/>
            <w:r w:rsidRPr="008B6A75">
              <w:rPr>
                <w:sz w:val="20"/>
                <w:szCs w:val="20"/>
              </w:rPr>
              <w:t>области  "</w:t>
            </w:r>
            <w:proofErr w:type="gramEnd"/>
            <w:r w:rsidRPr="008B6A75">
              <w:rPr>
                <w:sz w:val="20"/>
                <w:szCs w:val="20"/>
              </w:rPr>
              <w:t xml:space="preserve">Социальная поддержка в Новосибирской области" </w:t>
            </w:r>
          </w:p>
        </w:tc>
        <w:tc>
          <w:tcPr>
            <w:tcW w:w="1740" w:type="dxa"/>
            <w:gridSpan w:val="4"/>
            <w:tcBorders>
              <w:top w:val="nil"/>
              <w:left w:val="nil"/>
              <w:bottom w:val="single" w:sz="4" w:space="0" w:color="000000"/>
              <w:right w:val="single" w:sz="4" w:space="0" w:color="000000"/>
            </w:tcBorders>
            <w:shd w:val="clear" w:color="auto" w:fill="auto"/>
            <w:vAlign w:val="center"/>
            <w:hideMark/>
          </w:tcPr>
          <w:p w14:paraId="51A38D79" w14:textId="77777777" w:rsidR="00387142" w:rsidRPr="008B6A75" w:rsidRDefault="00387142" w:rsidP="00387142">
            <w:pPr>
              <w:jc w:val="center"/>
              <w:rPr>
                <w:color w:val="000000"/>
                <w:sz w:val="20"/>
                <w:szCs w:val="20"/>
              </w:rPr>
            </w:pPr>
            <w:r w:rsidRPr="008B6A75">
              <w:rPr>
                <w:color w:val="000000"/>
                <w:sz w:val="20"/>
                <w:szCs w:val="20"/>
              </w:rPr>
              <w:t xml:space="preserve">10 200,00 </w:t>
            </w:r>
          </w:p>
        </w:tc>
        <w:tc>
          <w:tcPr>
            <w:tcW w:w="1580" w:type="dxa"/>
            <w:gridSpan w:val="5"/>
            <w:tcBorders>
              <w:top w:val="nil"/>
              <w:left w:val="nil"/>
              <w:bottom w:val="single" w:sz="4" w:space="0" w:color="000000"/>
              <w:right w:val="single" w:sz="4" w:space="0" w:color="000000"/>
            </w:tcBorders>
            <w:shd w:val="clear" w:color="auto" w:fill="auto"/>
            <w:vAlign w:val="center"/>
            <w:hideMark/>
          </w:tcPr>
          <w:p w14:paraId="0A774E20" w14:textId="77777777" w:rsidR="00387142" w:rsidRPr="008B6A75" w:rsidRDefault="00387142" w:rsidP="00387142">
            <w:pPr>
              <w:jc w:val="center"/>
              <w:rPr>
                <w:color w:val="000000"/>
                <w:sz w:val="20"/>
                <w:szCs w:val="20"/>
              </w:rPr>
            </w:pPr>
            <w:r w:rsidRPr="008B6A75">
              <w:rPr>
                <w:color w:val="000000"/>
                <w:sz w:val="20"/>
                <w:szCs w:val="20"/>
              </w:rPr>
              <w:t xml:space="preserve">10 200,00 </w:t>
            </w:r>
          </w:p>
        </w:tc>
        <w:tc>
          <w:tcPr>
            <w:tcW w:w="1520" w:type="dxa"/>
            <w:gridSpan w:val="2"/>
            <w:tcBorders>
              <w:top w:val="nil"/>
              <w:left w:val="nil"/>
              <w:bottom w:val="single" w:sz="4" w:space="0" w:color="000000"/>
              <w:right w:val="single" w:sz="4" w:space="0" w:color="000000"/>
            </w:tcBorders>
            <w:shd w:val="clear" w:color="auto" w:fill="auto"/>
            <w:vAlign w:val="center"/>
            <w:hideMark/>
          </w:tcPr>
          <w:p w14:paraId="1DFCDC12" w14:textId="77777777" w:rsidR="00387142" w:rsidRPr="008B6A75" w:rsidRDefault="00387142" w:rsidP="00387142">
            <w:pPr>
              <w:jc w:val="center"/>
              <w:rPr>
                <w:color w:val="000000"/>
                <w:sz w:val="20"/>
                <w:szCs w:val="20"/>
              </w:rPr>
            </w:pPr>
            <w:r w:rsidRPr="008B6A75">
              <w:rPr>
                <w:color w:val="000000"/>
                <w:sz w:val="20"/>
                <w:szCs w:val="20"/>
              </w:rPr>
              <w:t xml:space="preserve">10 200,00 </w:t>
            </w:r>
          </w:p>
        </w:tc>
      </w:tr>
      <w:tr w:rsidR="00387142" w:rsidRPr="008B6A75" w14:paraId="5494F8AF" w14:textId="77777777" w:rsidTr="00387142">
        <w:trPr>
          <w:trHeight w:val="1890"/>
        </w:trPr>
        <w:tc>
          <w:tcPr>
            <w:tcW w:w="643" w:type="dxa"/>
            <w:gridSpan w:val="3"/>
            <w:tcBorders>
              <w:top w:val="nil"/>
              <w:left w:val="single" w:sz="4" w:space="0" w:color="auto"/>
              <w:bottom w:val="single" w:sz="4" w:space="0" w:color="auto"/>
              <w:right w:val="single" w:sz="4" w:space="0" w:color="auto"/>
            </w:tcBorders>
            <w:shd w:val="clear" w:color="auto" w:fill="auto"/>
            <w:noWrap/>
            <w:vAlign w:val="center"/>
            <w:hideMark/>
          </w:tcPr>
          <w:p w14:paraId="1AA6881F" w14:textId="77777777" w:rsidR="00387142" w:rsidRPr="008B6A75" w:rsidRDefault="00387142" w:rsidP="00387142">
            <w:pPr>
              <w:jc w:val="center"/>
              <w:rPr>
                <w:sz w:val="20"/>
                <w:szCs w:val="20"/>
              </w:rPr>
            </w:pPr>
            <w:r w:rsidRPr="008B6A75">
              <w:rPr>
                <w:sz w:val="20"/>
                <w:szCs w:val="20"/>
              </w:rPr>
              <w:t>2</w:t>
            </w:r>
          </w:p>
        </w:tc>
        <w:tc>
          <w:tcPr>
            <w:tcW w:w="4744" w:type="dxa"/>
            <w:gridSpan w:val="3"/>
            <w:tcBorders>
              <w:top w:val="nil"/>
              <w:left w:val="nil"/>
              <w:bottom w:val="single" w:sz="4" w:space="0" w:color="auto"/>
              <w:right w:val="single" w:sz="4" w:space="0" w:color="auto"/>
            </w:tcBorders>
            <w:shd w:val="clear" w:color="000000" w:fill="FFFFFF"/>
            <w:vAlign w:val="center"/>
            <w:hideMark/>
          </w:tcPr>
          <w:p w14:paraId="01C0D7F8" w14:textId="77777777" w:rsidR="00387142" w:rsidRPr="008B6A75" w:rsidRDefault="00387142" w:rsidP="00387142">
            <w:pPr>
              <w:rPr>
                <w:sz w:val="20"/>
                <w:szCs w:val="20"/>
              </w:rPr>
            </w:pPr>
            <w:r w:rsidRPr="008B6A75">
              <w:rPr>
                <w:sz w:val="20"/>
                <w:szCs w:val="20"/>
              </w:rPr>
              <w:t>Иные межбюджетные трансферты на реализацию мероприятий по ресурсному обеспечению модернизации образования Новосибирской области подпрограммы "Развитие дошкольного, общего и дополнительного образования детей"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1740" w:type="dxa"/>
            <w:gridSpan w:val="4"/>
            <w:tcBorders>
              <w:top w:val="nil"/>
              <w:left w:val="nil"/>
              <w:bottom w:val="single" w:sz="4" w:space="0" w:color="000000"/>
              <w:right w:val="single" w:sz="4" w:space="0" w:color="000000"/>
            </w:tcBorders>
            <w:shd w:val="clear" w:color="auto" w:fill="auto"/>
            <w:vAlign w:val="center"/>
            <w:hideMark/>
          </w:tcPr>
          <w:p w14:paraId="5E29FC3D" w14:textId="77777777" w:rsidR="00387142" w:rsidRPr="008B6A75" w:rsidRDefault="00387142" w:rsidP="00387142">
            <w:pPr>
              <w:jc w:val="center"/>
              <w:rPr>
                <w:color w:val="000000"/>
                <w:sz w:val="20"/>
                <w:szCs w:val="20"/>
              </w:rPr>
            </w:pPr>
            <w:r w:rsidRPr="008B6A75">
              <w:rPr>
                <w:color w:val="000000"/>
                <w:sz w:val="20"/>
                <w:szCs w:val="20"/>
              </w:rPr>
              <w:t xml:space="preserve">200 000,00 </w:t>
            </w:r>
          </w:p>
        </w:tc>
        <w:tc>
          <w:tcPr>
            <w:tcW w:w="1580" w:type="dxa"/>
            <w:gridSpan w:val="5"/>
            <w:tcBorders>
              <w:top w:val="nil"/>
              <w:left w:val="nil"/>
              <w:bottom w:val="single" w:sz="4" w:space="0" w:color="000000"/>
              <w:right w:val="single" w:sz="4" w:space="0" w:color="000000"/>
            </w:tcBorders>
            <w:shd w:val="clear" w:color="auto" w:fill="auto"/>
            <w:vAlign w:val="center"/>
            <w:hideMark/>
          </w:tcPr>
          <w:p w14:paraId="0BBEA461" w14:textId="77777777" w:rsidR="00387142" w:rsidRPr="008B6A75" w:rsidRDefault="00387142" w:rsidP="00387142">
            <w:pPr>
              <w:jc w:val="center"/>
              <w:rPr>
                <w:color w:val="000000"/>
                <w:sz w:val="20"/>
                <w:szCs w:val="20"/>
              </w:rPr>
            </w:pPr>
            <w:r w:rsidRPr="008B6A75">
              <w:rPr>
                <w:color w:val="000000"/>
                <w:sz w:val="20"/>
                <w:szCs w:val="20"/>
              </w:rPr>
              <w:t xml:space="preserve">200 000,00 </w:t>
            </w:r>
          </w:p>
        </w:tc>
        <w:tc>
          <w:tcPr>
            <w:tcW w:w="1520" w:type="dxa"/>
            <w:gridSpan w:val="2"/>
            <w:tcBorders>
              <w:top w:val="nil"/>
              <w:left w:val="nil"/>
              <w:bottom w:val="single" w:sz="4" w:space="0" w:color="000000"/>
              <w:right w:val="single" w:sz="4" w:space="0" w:color="000000"/>
            </w:tcBorders>
            <w:shd w:val="clear" w:color="auto" w:fill="auto"/>
            <w:vAlign w:val="center"/>
            <w:hideMark/>
          </w:tcPr>
          <w:p w14:paraId="2BB4DD27" w14:textId="77777777" w:rsidR="00387142" w:rsidRPr="008B6A75" w:rsidRDefault="00387142" w:rsidP="00387142">
            <w:pPr>
              <w:jc w:val="center"/>
              <w:rPr>
                <w:color w:val="000000"/>
                <w:sz w:val="20"/>
                <w:szCs w:val="20"/>
              </w:rPr>
            </w:pPr>
            <w:r w:rsidRPr="008B6A75">
              <w:rPr>
                <w:color w:val="000000"/>
                <w:sz w:val="20"/>
                <w:szCs w:val="20"/>
              </w:rPr>
              <w:t xml:space="preserve">200 000,00 </w:t>
            </w:r>
          </w:p>
        </w:tc>
      </w:tr>
      <w:tr w:rsidR="00387142" w:rsidRPr="008B6A75" w14:paraId="197646CD" w14:textId="77777777" w:rsidTr="00387142">
        <w:trPr>
          <w:trHeight w:val="1575"/>
        </w:trPr>
        <w:tc>
          <w:tcPr>
            <w:tcW w:w="643" w:type="dxa"/>
            <w:gridSpan w:val="3"/>
            <w:tcBorders>
              <w:top w:val="nil"/>
              <w:left w:val="single" w:sz="4" w:space="0" w:color="auto"/>
              <w:bottom w:val="single" w:sz="4" w:space="0" w:color="auto"/>
              <w:right w:val="single" w:sz="4" w:space="0" w:color="auto"/>
            </w:tcBorders>
            <w:shd w:val="clear" w:color="auto" w:fill="auto"/>
            <w:noWrap/>
            <w:vAlign w:val="center"/>
            <w:hideMark/>
          </w:tcPr>
          <w:p w14:paraId="72153168" w14:textId="77777777" w:rsidR="00387142" w:rsidRPr="008B6A75" w:rsidRDefault="00387142" w:rsidP="00387142">
            <w:pPr>
              <w:jc w:val="center"/>
              <w:rPr>
                <w:sz w:val="20"/>
                <w:szCs w:val="20"/>
              </w:rPr>
            </w:pPr>
            <w:r w:rsidRPr="008B6A75">
              <w:rPr>
                <w:sz w:val="20"/>
                <w:szCs w:val="20"/>
              </w:rPr>
              <w:t>3</w:t>
            </w:r>
          </w:p>
        </w:tc>
        <w:tc>
          <w:tcPr>
            <w:tcW w:w="4744" w:type="dxa"/>
            <w:gridSpan w:val="3"/>
            <w:tcBorders>
              <w:top w:val="nil"/>
              <w:left w:val="nil"/>
              <w:bottom w:val="single" w:sz="4" w:space="0" w:color="auto"/>
              <w:right w:val="single" w:sz="4" w:space="0" w:color="auto"/>
            </w:tcBorders>
            <w:shd w:val="clear" w:color="000000" w:fill="FFFFFF"/>
            <w:vAlign w:val="center"/>
            <w:hideMark/>
          </w:tcPr>
          <w:p w14:paraId="321548D6" w14:textId="77777777" w:rsidR="00387142" w:rsidRPr="008B6A75" w:rsidRDefault="00387142" w:rsidP="00387142">
            <w:pPr>
              <w:rPr>
                <w:sz w:val="20"/>
                <w:szCs w:val="20"/>
              </w:rPr>
            </w:pPr>
            <w:r w:rsidRPr="008B6A75">
              <w:rPr>
                <w:sz w:val="20"/>
                <w:szCs w:val="20"/>
              </w:rPr>
              <w:t>Иные межбюджетные трансферты на обеспечение мероприятий по улучшению жилищных условий граждан, проживающих на сельских территориях, государственной программы Новосибирской области "Комплексное развитие сельских территорий в Новосибирской области"</w:t>
            </w:r>
          </w:p>
        </w:tc>
        <w:tc>
          <w:tcPr>
            <w:tcW w:w="1740" w:type="dxa"/>
            <w:gridSpan w:val="4"/>
            <w:tcBorders>
              <w:top w:val="nil"/>
              <w:left w:val="nil"/>
              <w:bottom w:val="single" w:sz="4" w:space="0" w:color="000000"/>
              <w:right w:val="single" w:sz="4" w:space="0" w:color="000000"/>
            </w:tcBorders>
            <w:shd w:val="clear" w:color="auto" w:fill="auto"/>
            <w:vAlign w:val="center"/>
            <w:hideMark/>
          </w:tcPr>
          <w:p w14:paraId="7597FC80" w14:textId="77777777" w:rsidR="00387142" w:rsidRPr="008B6A75" w:rsidRDefault="00387142" w:rsidP="00387142">
            <w:pPr>
              <w:jc w:val="center"/>
              <w:rPr>
                <w:color w:val="000000"/>
                <w:sz w:val="20"/>
                <w:szCs w:val="20"/>
              </w:rPr>
            </w:pPr>
            <w:r w:rsidRPr="008B6A75">
              <w:rPr>
                <w:color w:val="000000"/>
                <w:sz w:val="20"/>
                <w:szCs w:val="20"/>
              </w:rPr>
              <w:t xml:space="preserve">1 469 000,00 </w:t>
            </w:r>
          </w:p>
        </w:tc>
        <w:tc>
          <w:tcPr>
            <w:tcW w:w="1580" w:type="dxa"/>
            <w:gridSpan w:val="5"/>
            <w:tcBorders>
              <w:top w:val="nil"/>
              <w:left w:val="nil"/>
              <w:bottom w:val="single" w:sz="4" w:space="0" w:color="000000"/>
              <w:right w:val="single" w:sz="4" w:space="0" w:color="000000"/>
            </w:tcBorders>
            <w:shd w:val="clear" w:color="auto" w:fill="auto"/>
            <w:vAlign w:val="center"/>
            <w:hideMark/>
          </w:tcPr>
          <w:p w14:paraId="62BEB4A2" w14:textId="77777777" w:rsidR="00387142" w:rsidRPr="008B6A75" w:rsidRDefault="00387142" w:rsidP="00387142">
            <w:pPr>
              <w:jc w:val="center"/>
              <w:rPr>
                <w:color w:val="000000"/>
                <w:sz w:val="20"/>
                <w:szCs w:val="20"/>
              </w:rPr>
            </w:pPr>
            <w:r w:rsidRPr="008B6A75">
              <w:rPr>
                <w:color w:val="000000"/>
                <w:sz w:val="20"/>
                <w:szCs w:val="20"/>
              </w:rPr>
              <w:t xml:space="preserve">1 163 114,52 </w:t>
            </w:r>
          </w:p>
        </w:tc>
        <w:tc>
          <w:tcPr>
            <w:tcW w:w="1520" w:type="dxa"/>
            <w:gridSpan w:val="2"/>
            <w:tcBorders>
              <w:top w:val="nil"/>
              <w:left w:val="nil"/>
              <w:bottom w:val="single" w:sz="4" w:space="0" w:color="000000"/>
              <w:right w:val="single" w:sz="4" w:space="0" w:color="000000"/>
            </w:tcBorders>
            <w:shd w:val="clear" w:color="auto" w:fill="auto"/>
            <w:vAlign w:val="center"/>
            <w:hideMark/>
          </w:tcPr>
          <w:p w14:paraId="492487B0" w14:textId="77777777" w:rsidR="00387142" w:rsidRPr="008B6A75" w:rsidRDefault="00387142" w:rsidP="00387142">
            <w:pPr>
              <w:jc w:val="center"/>
              <w:rPr>
                <w:color w:val="000000"/>
                <w:sz w:val="20"/>
                <w:szCs w:val="20"/>
              </w:rPr>
            </w:pPr>
            <w:r w:rsidRPr="008B6A75">
              <w:rPr>
                <w:color w:val="000000"/>
                <w:sz w:val="20"/>
                <w:szCs w:val="20"/>
              </w:rPr>
              <w:t xml:space="preserve">0,00 </w:t>
            </w:r>
          </w:p>
        </w:tc>
      </w:tr>
      <w:tr w:rsidR="00387142" w:rsidRPr="008B6A75" w14:paraId="791B1DBD" w14:textId="77777777" w:rsidTr="00387142">
        <w:trPr>
          <w:trHeight w:val="1890"/>
        </w:trPr>
        <w:tc>
          <w:tcPr>
            <w:tcW w:w="643" w:type="dxa"/>
            <w:gridSpan w:val="3"/>
            <w:tcBorders>
              <w:top w:val="nil"/>
              <w:left w:val="single" w:sz="4" w:space="0" w:color="auto"/>
              <w:bottom w:val="single" w:sz="4" w:space="0" w:color="auto"/>
              <w:right w:val="single" w:sz="4" w:space="0" w:color="auto"/>
            </w:tcBorders>
            <w:shd w:val="clear" w:color="auto" w:fill="auto"/>
            <w:noWrap/>
            <w:vAlign w:val="center"/>
            <w:hideMark/>
          </w:tcPr>
          <w:p w14:paraId="6986F479" w14:textId="77777777" w:rsidR="00387142" w:rsidRPr="008B6A75" w:rsidRDefault="00387142" w:rsidP="00387142">
            <w:pPr>
              <w:jc w:val="center"/>
              <w:rPr>
                <w:sz w:val="20"/>
                <w:szCs w:val="20"/>
              </w:rPr>
            </w:pPr>
            <w:r w:rsidRPr="008B6A75">
              <w:rPr>
                <w:sz w:val="20"/>
                <w:szCs w:val="20"/>
              </w:rPr>
              <w:lastRenderedPageBreak/>
              <w:t>4</w:t>
            </w:r>
          </w:p>
        </w:tc>
        <w:tc>
          <w:tcPr>
            <w:tcW w:w="4744" w:type="dxa"/>
            <w:gridSpan w:val="3"/>
            <w:tcBorders>
              <w:top w:val="nil"/>
              <w:left w:val="nil"/>
              <w:bottom w:val="single" w:sz="4" w:space="0" w:color="auto"/>
              <w:right w:val="single" w:sz="4" w:space="0" w:color="auto"/>
            </w:tcBorders>
            <w:shd w:val="clear" w:color="auto" w:fill="auto"/>
            <w:vAlign w:val="center"/>
            <w:hideMark/>
          </w:tcPr>
          <w:p w14:paraId="795DA32A" w14:textId="77777777" w:rsidR="00387142" w:rsidRPr="008B6A75" w:rsidRDefault="00387142" w:rsidP="00387142">
            <w:pPr>
              <w:rPr>
                <w:sz w:val="20"/>
                <w:szCs w:val="20"/>
              </w:rPr>
            </w:pPr>
            <w:r w:rsidRPr="008B6A75">
              <w:rPr>
                <w:sz w:val="20"/>
                <w:szCs w:val="20"/>
              </w:rPr>
              <w:t xml:space="preserve">Иные межбюджетные трансферты на реализацию мероприятий по формированию условий для обеспечения беспрепятственного доступа инвалидов и других маломобильных групп населения к приоритетным для них объектам и услугам государственной программы Новосибирской </w:t>
            </w:r>
            <w:proofErr w:type="gramStart"/>
            <w:r w:rsidRPr="008B6A75">
              <w:rPr>
                <w:sz w:val="20"/>
                <w:szCs w:val="20"/>
              </w:rPr>
              <w:t>области  "</w:t>
            </w:r>
            <w:proofErr w:type="gramEnd"/>
            <w:r w:rsidRPr="008B6A75">
              <w:rPr>
                <w:sz w:val="20"/>
                <w:szCs w:val="20"/>
              </w:rPr>
              <w:t xml:space="preserve">Социальная поддержка в Новосибирской области" </w:t>
            </w:r>
          </w:p>
        </w:tc>
        <w:tc>
          <w:tcPr>
            <w:tcW w:w="1740" w:type="dxa"/>
            <w:gridSpan w:val="4"/>
            <w:tcBorders>
              <w:top w:val="nil"/>
              <w:left w:val="nil"/>
              <w:bottom w:val="single" w:sz="4" w:space="0" w:color="000000"/>
              <w:right w:val="single" w:sz="4" w:space="0" w:color="000000"/>
            </w:tcBorders>
            <w:shd w:val="clear" w:color="auto" w:fill="auto"/>
            <w:vAlign w:val="center"/>
            <w:hideMark/>
          </w:tcPr>
          <w:p w14:paraId="184980F7" w14:textId="77777777" w:rsidR="00387142" w:rsidRPr="008B6A75" w:rsidRDefault="00387142" w:rsidP="00387142">
            <w:pPr>
              <w:jc w:val="center"/>
              <w:rPr>
                <w:color w:val="000000"/>
                <w:sz w:val="20"/>
                <w:szCs w:val="20"/>
              </w:rPr>
            </w:pPr>
            <w:r w:rsidRPr="008B6A75">
              <w:rPr>
                <w:color w:val="000000"/>
                <w:sz w:val="20"/>
                <w:szCs w:val="20"/>
              </w:rPr>
              <w:t xml:space="preserve">0,00 </w:t>
            </w:r>
          </w:p>
        </w:tc>
        <w:tc>
          <w:tcPr>
            <w:tcW w:w="1580" w:type="dxa"/>
            <w:gridSpan w:val="5"/>
            <w:tcBorders>
              <w:top w:val="nil"/>
              <w:left w:val="nil"/>
              <w:bottom w:val="single" w:sz="4" w:space="0" w:color="000000"/>
              <w:right w:val="single" w:sz="4" w:space="0" w:color="000000"/>
            </w:tcBorders>
            <w:shd w:val="clear" w:color="auto" w:fill="auto"/>
            <w:vAlign w:val="center"/>
            <w:hideMark/>
          </w:tcPr>
          <w:p w14:paraId="56E53D33" w14:textId="77777777" w:rsidR="00387142" w:rsidRPr="008B6A75" w:rsidRDefault="00387142" w:rsidP="00387142">
            <w:pPr>
              <w:jc w:val="center"/>
              <w:rPr>
                <w:color w:val="000000"/>
                <w:sz w:val="20"/>
                <w:szCs w:val="20"/>
              </w:rPr>
            </w:pPr>
            <w:r w:rsidRPr="008B6A75">
              <w:rPr>
                <w:color w:val="000000"/>
                <w:sz w:val="20"/>
                <w:szCs w:val="20"/>
              </w:rPr>
              <w:t xml:space="preserve">0,00 </w:t>
            </w:r>
          </w:p>
        </w:tc>
        <w:tc>
          <w:tcPr>
            <w:tcW w:w="1520" w:type="dxa"/>
            <w:gridSpan w:val="2"/>
            <w:tcBorders>
              <w:top w:val="nil"/>
              <w:left w:val="nil"/>
              <w:bottom w:val="single" w:sz="4" w:space="0" w:color="000000"/>
              <w:right w:val="single" w:sz="4" w:space="0" w:color="000000"/>
            </w:tcBorders>
            <w:shd w:val="clear" w:color="auto" w:fill="auto"/>
            <w:vAlign w:val="center"/>
            <w:hideMark/>
          </w:tcPr>
          <w:p w14:paraId="3369B395" w14:textId="77777777" w:rsidR="00387142" w:rsidRPr="008B6A75" w:rsidRDefault="00387142" w:rsidP="00387142">
            <w:pPr>
              <w:jc w:val="center"/>
              <w:rPr>
                <w:color w:val="000000"/>
                <w:sz w:val="20"/>
                <w:szCs w:val="20"/>
              </w:rPr>
            </w:pPr>
            <w:r w:rsidRPr="008B6A75">
              <w:rPr>
                <w:color w:val="000000"/>
                <w:sz w:val="20"/>
                <w:szCs w:val="20"/>
              </w:rPr>
              <w:t xml:space="preserve">0,00 </w:t>
            </w:r>
          </w:p>
        </w:tc>
      </w:tr>
      <w:tr w:rsidR="00387142" w:rsidRPr="008B6A75" w14:paraId="343C0495" w14:textId="77777777" w:rsidTr="00387142">
        <w:trPr>
          <w:trHeight w:val="1260"/>
        </w:trPr>
        <w:tc>
          <w:tcPr>
            <w:tcW w:w="643" w:type="dxa"/>
            <w:gridSpan w:val="3"/>
            <w:tcBorders>
              <w:top w:val="nil"/>
              <w:left w:val="single" w:sz="4" w:space="0" w:color="auto"/>
              <w:bottom w:val="single" w:sz="4" w:space="0" w:color="auto"/>
              <w:right w:val="single" w:sz="4" w:space="0" w:color="auto"/>
            </w:tcBorders>
            <w:shd w:val="clear" w:color="auto" w:fill="auto"/>
            <w:noWrap/>
            <w:vAlign w:val="center"/>
            <w:hideMark/>
          </w:tcPr>
          <w:p w14:paraId="2050C7DC" w14:textId="77777777" w:rsidR="00387142" w:rsidRPr="008B6A75" w:rsidRDefault="00387142" w:rsidP="00387142">
            <w:pPr>
              <w:jc w:val="center"/>
              <w:rPr>
                <w:sz w:val="20"/>
                <w:szCs w:val="20"/>
              </w:rPr>
            </w:pPr>
            <w:r w:rsidRPr="008B6A75">
              <w:rPr>
                <w:sz w:val="20"/>
                <w:szCs w:val="20"/>
              </w:rPr>
              <w:t>5</w:t>
            </w:r>
          </w:p>
        </w:tc>
        <w:tc>
          <w:tcPr>
            <w:tcW w:w="4744" w:type="dxa"/>
            <w:gridSpan w:val="3"/>
            <w:tcBorders>
              <w:top w:val="nil"/>
              <w:left w:val="nil"/>
              <w:bottom w:val="single" w:sz="4" w:space="0" w:color="auto"/>
              <w:right w:val="single" w:sz="4" w:space="0" w:color="auto"/>
            </w:tcBorders>
            <w:shd w:val="clear" w:color="auto" w:fill="auto"/>
            <w:vAlign w:val="center"/>
            <w:hideMark/>
          </w:tcPr>
          <w:p w14:paraId="5610017C" w14:textId="77777777" w:rsidR="00387142" w:rsidRPr="008B6A75" w:rsidRDefault="00387142" w:rsidP="00387142">
            <w:pPr>
              <w:rPr>
                <w:sz w:val="20"/>
                <w:szCs w:val="20"/>
              </w:rPr>
            </w:pPr>
            <w:r w:rsidRPr="008B6A75">
              <w:rPr>
                <w:sz w:val="20"/>
                <w:szCs w:val="20"/>
              </w:rPr>
              <w:t>Иные межбюджетные трансферты на реализацию мероприятий по обеспечению жильем молодых семей государственной программы Новосибирской области "Обеспечение жильем молодых семей в Новосибирской области"</w:t>
            </w:r>
          </w:p>
        </w:tc>
        <w:tc>
          <w:tcPr>
            <w:tcW w:w="1740" w:type="dxa"/>
            <w:gridSpan w:val="4"/>
            <w:tcBorders>
              <w:top w:val="nil"/>
              <w:left w:val="nil"/>
              <w:bottom w:val="single" w:sz="4" w:space="0" w:color="000000"/>
              <w:right w:val="single" w:sz="4" w:space="0" w:color="000000"/>
            </w:tcBorders>
            <w:shd w:val="clear" w:color="auto" w:fill="auto"/>
            <w:vAlign w:val="center"/>
            <w:hideMark/>
          </w:tcPr>
          <w:p w14:paraId="3F15E596" w14:textId="77777777" w:rsidR="00387142" w:rsidRPr="008B6A75" w:rsidRDefault="00387142" w:rsidP="00387142">
            <w:pPr>
              <w:jc w:val="center"/>
              <w:rPr>
                <w:color w:val="000000"/>
                <w:sz w:val="20"/>
                <w:szCs w:val="20"/>
              </w:rPr>
            </w:pPr>
            <w:r w:rsidRPr="008B6A75">
              <w:rPr>
                <w:color w:val="000000"/>
                <w:sz w:val="20"/>
                <w:szCs w:val="20"/>
              </w:rPr>
              <w:t xml:space="preserve">2 084 300,00 </w:t>
            </w:r>
          </w:p>
        </w:tc>
        <w:tc>
          <w:tcPr>
            <w:tcW w:w="1580" w:type="dxa"/>
            <w:gridSpan w:val="5"/>
            <w:tcBorders>
              <w:top w:val="nil"/>
              <w:left w:val="nil"/>
              <w:bottom w:val="single" w:sz="4" w:space="0" w:color="000000"/>
              <w:right w:val="single" w:sz="4" w:space="0" w:color="000000"/>
            </w:tcBorders>
            <w:shd w:val="clear" w:color="auto" w:fill="auto"/>
            <w:vAlign w:val="center"/>
            <w:hideMark/>
          </w:tcPr>
          <w:p w14:paraId="461588C7" w14:textId="77777777" w:rsidR="00387142" w:rsidRPr="008B6A75" w:rsidRDefault="00387142" w:rsidP="00387142">
            <w:pPr>
              <w:jc w:val="center"/>
              <w:rPr>
                <w:color w:val="000000"/>
                <w:sz w:val="20"/>
                <w:szCs w:val="20"/>
              </w:rPr>
            </w:pPr>
            <w:r w:rsidRPr="008B6A75">
              <w:rPr>
                <w:color w:val="000000"/>
                <w:sz w:val="20"/>
                <w:szCs w:val="20"/>
              </w:rPr>
              <w:t xml:space="preserve">2 179 200,00 </w:t>
            </w:r>
          </w:p>
        </w:tc>
        <w:tc>
          <w:tcPr>
            <w:tcW w:w="1520" w:type="dxa"/>
            <w:gridSpan w:val="2"/>
            <w:tcBorders>
              <w:top w:val="nil"/>
              <w:left w:val="nil"/>
              <w:bottom w:val="single" w:sz="4" w:space="0" w:color="000000"/>
              <w:right w:val="single" w:sz="4" w:space="0" w:color="000000"/>
            </w:tcBorders>
            <w:shd w:val="clear" w:color="auto" w:fill="auto"/>
            <w:vAlign w:val="center"/>
            <w:hideMark/>
          </w:tcPr>
          <w:p w14:paraId="432D199A" w14:textId="77777777" w:rsidR="00387142" w:rsidRPr="008B6A75" w:rsidRDefault="00387142" w:rsidP="00387142">
            <w:pPr>
              <w:jc w:val="center"/>
              <w:rPr>
                <w:color w:val="000000"/>
                <w:sz w:val="20"/>
                <w:szCs w:val="20"/>
              </w:rPr>
            </w:pPr>
            <w:r w:rsidRPr="008B6A75">
              <w:rPr>
                <w:color w:val="000000"/>
                <w:sz w:val="20"/>
                <w:szCs w:val="20"/>
              </w:rPr>
              <w:t xml:space="preserve">2 687 000,00 </w:t>
            </w:r>
          </w:p>
        </w:tc>
      </w:tr>
      <w:tr w:rsidR="00387142" w:rsidRPr="008B6A75" w14:paraId="21E45BAD" w14:textId="77777777" w:rsidTr="00387142">
        <w:trPr>
          <w:trHeight w:val="1260"/>
        </w:trPr>
        <w:tc>
          <w:tcPr>
            <w:tcW w:w="643" w:type="dxa"/>
            <w:gridSpan w:val="3"/>
            <w:tcBorders>
              <w:top w:val="nil"/>
              <w:left w:val="single" w:sz="4" w:space="0" w:color="auto"/>
              <w:bottom w:val="single" w:sz="4" w:space="0" w:color="auto"/>
              <w:right w:val="single" w:sz="4" w:space="0" w:color="auto"/>
            </w:tcBorders>
            <w:shd w:val="clear" w:color="auto" w:fill="auto"/>
            <w:noWrap/>
            <w:vAlign w:val="center"/>
            <w:hideMark/>
          </w:tcPr>
          <w:p w14:paraId="7D88A796" w14:textId="77777777" w:rsidR="00387142" w:rsidRPr="008B6A75" w:rsidRDefault="00387142" w:rsidP="00387142">
            <w:pPr>
              <w:jc w:val="center"/>
              <w:rPr>
                <w:sz w:val="20"/>
                <w:szCs w:val="20"/>
              </w:rPr>
            </w:pPr>
            <w:r w:rsidRPr="008B6A75">
              <w:rPr>
                <w:sz w:val="20"/>
                <w:szCs w:val="20"/>
              </w:rPr>
              <w:t>6</w:t>
            </w:r>
          </w:p>
        </w:tc>
        <w:tc>
          <w:tcPr>
            <w:tcW w:w="4744" w:type="dxa"/>
            <w:gridSpan w:val="3"/>
            <w:tcBorders>
              <w:top w:val="nil"/>
              <w:left w:val="nil"/>
              <w:bottom w:val="single" w:sz="4" w:space="0" w:color="auto"/>
              <w:right w:val="single" w:sz="4" w:space="0" w:color="auto"/>
            </w:tcBorders>
            <w:shd w:val="clear" w:color="auto" w:fill="auto"/>
            <w:vAlign w:val="center"/>
            <w:hideMark/>
          </w:tcPr>
          <w:p w14:paraId="7E920F10" w14:textId="77777777" w:rsidR="00387142" w:rsidRPr="008B6A75" w:rsidRDefault="00387142" w:rsidP="00387142">
            <w:pPr>
              <w:rPr>
                <w:sz w:val="20"/>
                <w:szCs w:val="20"/>
              </w:rPr>
            </w:pPr>
            <w:r w:rsidRPr="008B6A75">
              <w:rPr>
                <w:sz w:val="20"/>
                <w:szCs w:val="20"/>
              </w:rPr>
              <w:t xml:space="preserve">Иные межбюджетные трансферты на реализацию мероприятий по созданию системы долговременного ухода за гражданами пожилого возраста и инвалидами государственной программы Новосибирской </w:t>
            </w:r>
            <w:proofErr w:type="gramStart"/>
            <w:r w:rsidRPr="008B6A75">
              <w:rPr>
                <w:sz w:val="20"/>
                <w:szCs w:val="20"/>
              </w:rPr>
              <w:t>области  "</w:t>
            </w:r>
            <w:proofErr w:type="gramEnd"/>
            <w:r w:rsidRPr="008B6A75">
              <w:rPr>
                <w:sz w:val="20"/>
                <w:szCs w:val="20"/>
              </w:rPr>
              <w:t xml:space="preserve">Социальная поддержка в Новосибирской области" </w:t>
            </w:r>
          </w:p>
        </w:tc>
        <w:tc>
          <w:tcPr>
            <w:tcW w:w="1740" w:type="dxa"/>
            <w:gridSpan w:val="4"/>
            <w:tcBorders>
              <w:top w:val="nil"/>
              <w:left w:val="nil"/>
              <w:bottom w:val="nil"/>
              <w:right w:val="single" w:sz="4" w:space="0" w:color="000000"/>
            </w:tcBorders>
            <w:shd w:val="clear" w:color="auto" w:fill="auto"/>
            <w:vAlign w:val="center"/>
            <w:hideMark/>
          </w:tcPr>
          <w:p w14:paraId="4458D678" w14:textId="77777777" w:rsidR="00387142" w:rsidRPr="008B6A75" w:rsidRDefault="00387142" w:rsidP="00387142">
            <w:pPr>
              <w:jc w:val="center"/>
              <w:rPr>
                <w:color w:val="000000"/>
                <w:sz w:val="20"/>
                <w:szCs w:val="20"/>
              </w:rPr>
            </w:pPr>
            <w:r w:rsidRPr="008B6A75">
              <w:rPr>
                <w:color w:val="000000"/>
                <w:sz w:val="20"/>
                <w:szCs w:val="20"/>
              </w:rPr>
              <w:t xml:space="preserve">3 882 900,00 </w:t>
            </w:r>
          </w:p>
        </w:tc>
        <w:tc>
          <w:tcPr>
            <w:tcW w:w="1580" w:type="dxa"/>
            <w:gridSpan w:val="5"/>
            <w:tcBorders>
              <w:top w:val="nil"/>
              <w:left w:val="nil"/>
              <w:bottom w:val="nil"/>
              <w:right w:val="single" w:sz="4" w:space="0" w:color="000000"/>
            </w:tcBorders>
            <w:shd w:val="clear" w:color="auto" w:fill="auto"/>
            <w:vAlign w:val="center"/>
            <w:hideMark/>
          </w:tcPr>
          <w:p w14:paraId="1F288499" w14:textId="77777777" w:rsidR="00387142" w:rsidRPr="008B6A75" w:rsidRDefault="00387142" w:rsidP="00387142">
            <w:pPr>
              <w:jc w:val="center"/>
              <w:rPr>
                <w:color w:val="000000"/>
                <w:sz w:val="20"/>
                <w:szCs w:val="20"/>
              </w:rPr>
            </w:pPr>
            <w:r w:rsidRPr="008B6A75">
              <w:rPr>
                <w:color w:val="000000"/>
                <w:sz w:val="20"/>
                <w:szCs w:val="20"/>
              </w:rPr>
              <w:t xml:space="preserve">4 922 300,00 </w:t>
            </w:r>
          </w:p>
        </w:tc>
        <w:tc>
          <w:tcPr>
            <w:tcW w:w="1520" w:type="dxa"/>
            <w:gridSpan w:val="2"/>
            <w:tcBorders>
              <w:top w:val="nil"/>
              <w:left w:val="nil"/>
              <w:bottom w:val="nil"/>
              <w:right w:val="single" w:sz="4" w:space="0" w:color="000000"/>
            </w:tcBorders>
            <w:shd w:val="clear" w:color="auto" w:fill="auto"/>
            <w:vAlign w:val="center"/>
            <w:hideMark/>
          </w:tcPr>
          <w:p w14:paraId="7073B49A" w14:textId="77777777" w:rsidR="00387142" w:rsidRPr="008B6A75" w:rsidRDefault="00387142" w:rsidP="00387142">
            <w:pPr>
              <w:jc w:val="center"/>
              <w:rPr>
                <w:color w:val="000000"/>
                <w:sz w:val="20"/>
                <w:szCs w:val="20"/>
              </w:rPr>
            </w:pPr>
            <w:r w:rsidRPr="008B6A75">
              <w:rPr>
                <w:color w:val="000000"/>
                <w:sz w:val="20"/>
                <w:szCs w:val="20"/>
              </w:rPr>
              <w:t xml:space="preserve">6 500 000,00 </w:t>
            </w:r>
          </w:p>
        </w:tc>
      </w:tr>
      <w:tr w:rsidR="00387142" w:rsidRPr="008B6A75" w14:paraId="6618AC2B" w14:textId="77777777" w:rsidTr="00387142">
        <w:trPr>
          <w:trHeight w:val="1890"/>
        </w:trPr>
        <w:tc>
          <w:tcPr>
            <w:tcW w:w="643" w:type="dxa"/>
            <w:gridSpan w:val="3"/>
            <w:tcBorders>
              <w:top w:val="nil"/>
              <w:left w:val="single" w:sz="4" w:space="0" w:color="auto"/>
              <w:bottom w:val="single" w:sz="4" w:space="0" w:color="auto"/>
              <w:right w:val="single" w:sz="4" w:space="0" w:color="auto"/>
            </w:tcBorders>
            <w:shd w:val="clear" w:color="auto" w:fill="auto"/>
            <w:noWrap/>
            <w:vAlign w:val="center"/>
            <w:hideMark/>
          </w:tcPr>
          <w:p w14:paraId="509DCCB2" w14:textId="77777777" w:rsidR="00387142" w:rsidRPr="008B6A75" w:rsidRDefault="00387142" w:rsidP="00387142">
            <w:pPr>
              <w:jc w:val="center"/>
              <w:rPr>
                <w:sz w:val="20"/>
                <w:szCs w:val="20"/>
              </w:rPr>
            </w:pPr>
            <w:r w:rsidRPr="008B6A75">
              <w:rPr>
                <w:sz w:val="20"/>
                <w:szCs w:val="20"/>
              </w:rPr>
              <w:t>7</w:t>
            </w:r>
          </w:p>
        </w:tc>
        <w:tc>
          <w:tcPr>
            <w:tcW w:w="4744" w:type="dxa"/>
            <w:gridSpan w:val="3"/>
            <w:tcBorders>
              <w:top w:val="nil"/>
              <w:left w:val="nil"/>
              <w:bottom w:val="single" w:sz="4" w:space="0" w:color="auto"/>
              <w:right w:val="single" w:sz="4" w:space="0" w:color="auto"/>
            </w:tcBorders>
            <w:shd w:val="clear" w:color="auto" w:fill="auto"/>
            <w:vAlign w:val="center"/>
            <w:hideMark/>
          </w:tcPr>
          <w:p w14:paraId="50C2A221" w14:textId="77777777" w:rsidR="00387142" w:rsidRPr="008B6A75" w:rsidRDefault="00387142" w:rsidP="00387142">
            <w:pPr>
              <w:rPr>
                <w:sz w:val="20"/>
                <w:szCs w:val="20"/>
              </w:rPr>
            </w:pPr>
            <w:r w:rsidRPr="008B6A75">
              <w:rPr>
                <w:sz w:val="20"/>
                <w:szCs w:val="20"/>
              </w:rPr>
              <w:t xml:space="preserve">Иные межбюджетные трансферты на ежемесячное денежное вознаграждение за классное руководство педагогическим работникам муниципальных общеобразовательных организаций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w:t>
            </w:r>
          </w:p>
        </w:tc>
        <w:tc>
          <w:tcPr>
            <w:tcW w:w="1740" w:type="dxa"/>
            <w:gridSpan w:val="4"/>
            <w:tcBorders>
              <w:top w:val="single" w:sz="4" w:space="0" w:color="auto"/>
              <w:left w:val="nil"/>
              <w:bottom w:val="single" w:sz="4" w:space="0" w:color="auto"/>
              <w:right w:val="single" w:sz="4" w:space="0" w:color="auto"/>
            </w:tcBorders>
            <w:shd w:val="clear" w:color="auto" w:fill="auto"/>
            <w:vAlign w:val="center"/>
            <w:hideMark/>
          </w:tcPr>
          <w:p w14:paraId="55D2A12E" w14:textId="77777777" w:rsidR="00387142" w:rsidRPr="008B6A75" w:rsidRDefault="00387142" w:rsidP="00387142">
            <w:pPr>
              <w:jc w:val="center"/>
              <w:rPr>
                <w:color w:val="000000"/>
                <w:sz w:val="20"/>
                <w:szCs w:val="20"/>
              </w:rPr>
            </w:pPr>
            <w:r w:rsidRPr="008B6A75">
              <w:rPr>
                <w:color w:val="000000"/>
                <w:sz w:val="20"/>
                <w:szCs w:val="20"/>
              </w:rPr>
              <w:t xml:space="preserve">35 294 700,00 </w:t>
            </w:r>
          </w:p>
        </w:tc>
        <w:tc>
          <w:tcPr>
            <w:tcW w:w="1580" w:type="dxa"/>
            <w:gridSpan w:val="5"/>
            <w:tcBorders>
              <w:top w:val="single" w:sz="4" w:space="0" w:color="auto"/>
              <w:left w:val="nil"/>
              <w:bottom w:val="single" w:sz="4" w:space="0" w:color="auto"/>
              <w:right w:val="single" w:sz="4" w:space="0" w:color="auto"/>
            </w:tcBorders>
            <w:shd w:val="clear" w:color="auto" w:fill="auto"/>
            <w:vAlign w:val="center"/>
            <w:hideMark/>
          </w:tcPr>
          <w:p w14:paraId="0C7E4FB6" w14:textId="77777777" w:rsidR="00387142" w:rsidRPr="008B6A75" w:rsidRDefault="00387142" w:rsidP="00387142">
            <w:pPr>
              <w:jc w:val="center"/>
              <w:rPr>
                <w:color w:val="000000"/>
                <w:sz w:val="20"/>
                <w:szCs w:val="20"/>
              </w:rPr>
            </w:pPr>
            <w:r w:rsidRPr="008B6A75">
              <w:rPr>
                <w:color w:val="000000"/>
                <w:sz w:val="20"/>
                <w:szCs w:val="20"/>
              </w:rPr>
              <w:t xml:space="preserve">35 232 100,00 </w:t>
            </w:r>
          </w:p>
        </w:tc>
        <w:tc>
          <w:tcPr>
            <w:tcW w:w="1520" w:type="dxa"/>
            <w:gridSpan w:val="2"/>
            <w:tcBorders>
              <w:top w:val="single" w:sz="4" w:space="0" w:color="auto"/>
              <w:left w:val="nil"/>
              <w:bottom w:val="single" w:sz="4" w:space="0" w:color="auto"/>
              <w:right w:val="single" w:sz="4" w:space="0" w:color="auto"/>
            </w:tcBorders>
            <w:shd w:val="clear" w:color="auto" w:fill="auto"/>
            <w:vAlign w:val="center"/>
            <w:hideMark/>
          </w:tcPr>
          <w:p w14:paraId="64C49F1B" w14:textId="77777777" w:rsidR="00387142" w:rsidRPr="008B6A75" w:rsidRDefault="00387142" w:rsidP="00387142">
            <w:pPr>
              <w:jc w:val="center"/>
              <w:rPr>
                <w:color w:val="000000"/>
                <w:sz w:val="20"/>
                <w:szCs w:val="20"/>
              </w:rPr>
            </w:pPr>
            <w:r w:rsidRPr="008B6A75">
              <w:rPr>
                <w:color w:val="000000"/>
                <w:sz w:val="20"/>
                <w:szCs w:val="20"/>
              </w:rPr>
              <w:t xml:space="preserve">35 232 100,00 </w:t>
            </w:r>
          </w:p>
        </w:tc>
      </w:tr>
      <w:tr w:rsidR="00387142" w:rsidRPr="008B6A75" w14:paraId="2C556775" w14:textId="77777777" w:rsidTr="00387142">
        <w:trPr>
          <w:trHeight w:val="1890"/>
        </w:trPr>
        <w:tc>
          <w:tcPr>
            <w:tcW w:w="643" w:type="dxa"/>
            <w:gridSpan w:val="3"/>
            <w:tcBorders>
              <w:top w:val="nil"/>
              <w:left w:val="single" w:sz="4" w:space="0" w:color="auto"/>
              <w:bottom w:val="single" w:sz="4" w:space="0" w:color="auto"/>
              <w:right w:val="single" w:sz="4" w:space="0" w:color="auto"/>
            </w:tcBorders>
            <w:shd w:val="clear" w:color="auto" w:fill="auto"/>
            <w:noWrap/>
            <w:vAlign w:val="center"/>
            <w:hideMark/>
          </w:tcPr>
          <w:p w14:paraId="5B91D3E6" w14:textId="77777777" w:rsidR="00387142" w:rsidRPr="008B6A75" w:rsidRDefault="00387142" w:rsidP="00387142">
            <w:pPr>
              <w:jc w:val="center"/>
              <w:rPr>
                <w:sz w:val="20"/>
                <w:szCs w:val="20"/>
              </w:rPr>
            </w:pPr>
            <w:r w:rsidRPr="008B6A75">
              <w:rPr>
                <w:sz w:val="20"/>
                <w:szCs w:val="20"/>
              </w:rPr>
              <w:t>8</w:t>
            </w:r>
          </w:p>
        </w:tc>
        <w:tc>
          <w:tcPr>
            <w:tcW w:w="4744" w:type="dxa"/>
            <w:gridSpan w:val="3"/>
            <w:tcBorders>
              <w:top w:val="nil"/>
              <w:left w:val="nil"/>
              <w:bottom w:val="single" w:sz="4" w:space="0" w:color="auto"/>
              <w:right w:val="single" w:sz="4" w:space="0" w:color="auto"/>
            </w:tcBorders>
            <w:shd w:val="clear" w:color="auto" w:fill="auto"/>
            <w:vAlign w:val="center"/>
            <w:hideMark/>
          </w:tcPr>
          <w:p w14:paraId="047AF613" w14:textId="77777777" w:rsidR="00387142" w:rsidRPr="008B6A75" w:rsidRDefault="00387142" w:rsidP="00387142">
            <w:pPr>
              <w:rPr>
                <w:sz w:val="20"/>
                <w:szCs w:val="20"/>
              </w:rPr>
            </w:pPr>
            <w:r w:rsidRPr="008B6A75">
              <w:rPr>
                <w:sz w:val="20"/>
                <w:szCs w:val="20"/>
              </w:rPr>
              <w:t xml:space="preserve">Иные межбюджетные трансферты на реализацию мероприятий по созданию социально-экономических, организационных условий для повышения качества жизни граждан пожилого возраста, степени их социальной защищенности, содействие их активному участию в жизни общества государственной программы Новосибирской </w:t>
            </w:r>
            <w:proofErr w:type="gramStart"/>
            <w:r w:rsidRPr="008B6A75">
              <w:rPr>
                <w:sz w:val="20"/>
                <w:szCs w:val="20"/>
              </w:rPr>
              <w:t>области  "</w:t>
            </w:r>
            <w:proofErr w:type="gramEnd"/>
            <w:r w:rsidRPr="008B6A75">
              <w:rPr>
                <w:sz w:val="20"/>
                <w:szCs w:val="20"/>
              </w:rPr>
              <w:t xml:space="preserve">Социальная поддержка в Новосибирской области" </w:t>
            </w:r>
          </w:p>
        </w:tc>
        <w:tc>
          <w:tcPr>
            <w:tcW w:w="1740" w:type="dxa"/>
            <w:gridSpan w:val="4"/>
            <w:tcBorders>
              <w:top w:val="nil"/>
              <w:left w:val="nil"/>
              <w:bottom w:val="single" w:sz="4" w:space="0" w:color="auto"/>
              <w:right w:val="single" w:sz="4" w:space="0" w:color="auto"/>
            </w:tcBorders>
            <w:shd w:val="clear" w:color="auto" w:fill="auto"/>
            <w:vAlign w:val="center"/>
            <w:hideMark/>
          </w:tcPr>
          <w:p w14:paraId="7C3EF05E" w14:textId="77777777" w:rsidR="00387142" w:rsidRPr="008B6A75" w:rsidRDefault="00387142" w:rsidP="00387142">
            <w:pPr>
              <w:jc w:val="center"/>
              <w:rPr>
                <w:color w:val="000000"/>
                <w:sz w:val="20"/>
                <w:szCs w:val="20"/>
              </w:rPr>
            </w:pPr>
            <w:r w:rsidRPr="008B6A75">
              <w:rPr>
                <w:color w:val="000000"/>
                <w:sz w:val="20"/>
                <w:szCs w:val="20"/>
              </w:rPr>
              <w:t xml:space="preserve">656 300,00 </w:t>
            </w:r>
          </w:p>
        </w:tc>
        <w:tc>
          <w:tcPr>
            <w:tcW w:w="1580" w:type="dxa"/>
            <w:gridSpan w:val="5"/>
            <w:tcBorders>
              <w:top w:val="nil"/>
              <w:left w:val="nil"/>
              <w:bottom w:val="single" w:sz="4" w:space="0" w:color="auto"/>
              <w:right w:val="single" w:sz="4" w:space="0" w:color="auto"/>
            </w:tcBorders>
            <w:shd w:val="clear" w:color="auto" w:fill="auto"/>
            <w:vAlign w:val="center"/>
            <w:hideMark/>
          </w:tcPr>
          <w:p w14:paraId="15985291" w14:textId="77777777" w:rsidR="00387142" w:rsidRPr="008B6A75" w:rsidRDefault="00387142" w:rsidP="00387142">
            <w:pPr>
              <w:jc w:val="center"/>
              <w:rPr>
                <w:color w:val="000000"/>
                <w:sz w:val="20"/>
                <w:szCs w:val="20"/>
              </w:rPr>
            </w:pPr>
            <w:r w:rsidRPr="008B6A75">
              <w:rPr>
                <w:color w:val="000000"/>
                <w:sz w:val="20"/>
                <w:szCs w:val="20"/>
              </w:rPr>
              <w:t xml:space="preserve">1 080 100,00 </w:t>
            </w:r>
          </w:p>
        </w:tc>
        <w:tc>
          <w:tcPr>
            <w:tcW w:w="1520" w:type="dxa"/>
            <w:gridSpan w:val="2"/>
            <w:tcBorders>
              <w:top w:val="nil"/>
              <w:left w:val="nil"/>
              <w:bottom w:val="single" w:sz="4" w:space="0" w:color="auto"/>
              <w:right w:val="single" w:sz="4" w:space="0" w:color="auto"/>
            </w:tcBorders>
            <w:shd w:val="clear" w:color="auto" w:fill="auto"/>
            <w:vAlign w:val="center"/>
            <w:hideMark/>
          </w:tcPr>
          <w:p w14:paraId="0FA44771" w14:textId="77777777" w:rsidR="00387142" w:rsidRPr="008B6A75" w:rsidRDefault="00387142" w:rsidP="00387142">
            <w:pPr>
              <w:jc w:val="center"/>
              <w:rPr>
                <w:color w:val="000000"/>
                <w:sz w:val="20"/>
                <w:szCs w:val="20"/>
              </w:rPr>
            </w:pPr>
            <w:r w:rsidRPr="008B6A75">
              <w:rPr>
                <w:color w:val="000000"/>
                <w:sz w:val="20"/>
                <w:szCs w:val="20"/>
              </w:rPr>
              <w:t xml:space="preserve">0,00 </w:t>
            </w:r>
          </w:p>
        </w:tc>
      </w:tr>
      <w:tr w:rsidR="00387142" w:rsidRPr="008B6A75" w14:paraId="72BAA96B" w14:textId="77777777" w:rsidTr="00387142">
        <w:trPr>
          <w:trHeight w:val="1260"/>
        </w:trPr>
        <w:tc>
          <w:tcPr>
            <w:tcW w:w="643" w:type="dxa"/>
            <w:gridSpan w:val="3"/>
            <w:tcBorders>
              <w:top w:val="nil"/>
              <w:left w:val="single" w:sz="4" w:space="0" w:color="auto"/>
              <w:bottom w:val="single" w:sz="4" w:space="0" w:color="auto"/>
              <w:right w:val="single" w:sz="4" w:space="0" w:color="auto"/>
            </w:tcBorders>
            <w:shd w:val="clear" w:color="auto" w:fill="auto"/>
            <w:noWrap/>
            <w:vAlign w:val="center"/>
            <w:hideMark/>
          </w:tcPr>
          <w:p w14:paraId="636ED030" w14:textId="77777777" w:rsidR="00387142" w:rsidRPr="008B6A75" w:rsidRDefault="00387142" w:rsidP="00387142">
            <w:pPr>
              <w:jc w:val="center"/>
              <w:rPr>
                <w:sz w:val="20"/>
                <w:szCs w:val="20"/>
              </w:rPr>
            </w:pPr>
            <w:r w:rsidRPr="008B6A75">
              <w:rPr>
                <w:sz w:val="20"/>
                <w:szCs w:val="20"/>
              </w:rPr>
              <w:t>9</w:t>
            </w:r>
          </w:p>
        </w:tc>
        <w:tc>
          <w:tcPr>
            <w:tcW w:w="4744" w:type="dxa"/>
            <w:gridSpan w:val="3"/>
            <w:tcBorders>
              <w:top w:val="nil"/>
              <w:left w:val="nil"/>
              <w:bottom w:val="single" w:sz="4" w:space="0" w:color="auto"/>
              <w:right w:val="single" w:sz="4" w:space="0" w:color="auto"/>
            </w:tcBorders>
            <w:shd w:val="clear" w:color="auto" w:fill="auto"/>
            <w:vAlign w:val="center"/>
            <w:hideMark/>
          </w:tcPr>
          <w:p w14:paraId="2D35B5BA" w14:textId="77777777" w:rsidR="00387142" w:rsidRPr="008B6A75" w:rsidRDefault="00387142" w:rsidP="00387142">
            <w:pPr>
              <w:rPr>
                <w:sz w:val="20"/>
                <w:szCs w:val="20"/>
              </w:rPr>
            </w:pPr>
            <w:r w:rsidRPr="008B6A75">
              <w:rPr>
                <w:sz w:val="20"/>
                <w:szCs w:val="20"/>
              </w:rPr>
              <w:t xml:space="preserve">Иные межбюджетные трансферты на развитие новых форм и технологий социального обслуживания семей с детьми государственной программы Новосибирской области "Социальная поддержка в Новосибирской области" </w:t>
            </w:r>
          </w:p>
        </w:tc>
        <w:tc>
          <w:tcPr>
            <w:tcW w:w="1740" w:type="dxa"/>
            <w:gridSpan w:val="4"/>
            <w:tcBorders>
              <w:top w:val="nil"/>
              <w:left w:val="nil"/>
              <w:bottom w:val="single" w:sz="4" w:space="0" w:color="auto"/>
              <w:right w:val="single" w:sz="4" w:space="0" w:color="auto"/>
            </w:tcBorders>
            <w:shd w:val="clear" w:color="auto" w:fill="auto"/>
            <w:vAlign w:val="center"/>
            <w:hideMark/>
          </w:tcPr>
          <w:p w14:paraId="008976D1" w14:textId="77777777" w:rsidR="00387142" w:rsidRPr="008B6A75" w:rsidRDefault="00387142" w:rsidP="00387142">
            <w:pPr>
              <w:jc w:val="center"/>
              <w:rPr>
                <w:color w:val="000000"/>
                <w:sz w:val="20"/>
                <w:szCs w:val="20"/>
              </w:rPr>
            </w:pPr>
            <w:r w:rsidRPr="008B6A75">
              <w:rPr>
                <w:color w:val="000000"/>
                <w:sz w:val="20"/>
                <w:szCs w:val="20"/>
              </w:rPr>
              <w:t xml:space="preserve">464 100,00 </w:t>
            </w:r>
          </w:p>
        </w:tc>
        <w:tc>
          <w:tcPr>
            <w:tcW w:w="1580" w:type="dxa"/>
            <w:gridSpan w:val="5"/>
            <w:tcBorders>
              <w:top w:val="nil"/>
              <w:left w:val="nil"/>
              <w:bottom w:val="single" w:sz="4" w:space="0" w:color="auto"/>
              <w:right w:val="single" w:sz="4" w:space="0" w:color="auto"/>
            </w:tcBorders>
            <w:shd w:val="clear" w:color="auto" w:fill="auto"/>
            <w:vAlign w:val="center"/>
            <w:hideMark/>
          </w:tcPr>
          <w:p w14:paraId="349FE606" w14:textId="77777777" w:rsidR="00387142" w:rsidRPr="008B6A75" w:rsidRDefault="00387142" w:rsidP="00387142">
            <w:pPr>
              <w:jc w:val="center"/>
              <w:rPr>
                <w:color w:val="000000"/>
                <w:sz w:val="20"/>
                <w:szCs w:val="20"/>
              </w:rPr>
            </w:pPr>
            <w:r w:rsidRPr="008B6A75">
              <w:rPr>
                <w:color w:val="000000"/>
                <w:sz w:val="20"/>
                <w:szCs w:val="20"/>
              </w:rPr>
              <w:t> </w:t>
            </w:r>
          </w:p>
        </w:tc>
        <w:tc>
          <w:tcPr>
            <w:tcW w:w="1520" w:type="dxa"/>
            <w:gridSpan w:val="2"/>
            <w:tcBorders>
              <w:top w:val="nil"/>
              <w:left w:val="nil"/>
              <w:bottom w:val="single" w:sz="4" w:space="0" w:color="auto"/>
              <w:right w:val="single" w:sz="4" w:space="0" w:color="auto"/>
            </w:tcBorders>
            <w:shd w:val="clear" w:color="auto" w:fill="auto"/>
            <w:vAlign w:val="center"/>
            <w:hideMark/>
          </w:tcPr>
          <w:p w14:paraId="75485390" w14:textId="77777777" w:rsidR="00387142" w:rsidRPr="008B6A75" w:rsidRDefault="00387142" w:rsidP="00387142">
            <w:pPr>
              <w:jc w:val="center"/>
              <w:rPr>
                <w:color w:val="000000"/>
                <w:sz w:val="20"/>
                <w:szCs w:val="20"/>
              </w:rPr>
            </w:pPr>
            <w:r w:rsidRPr="008B6A75">
              <w:rPr>
                <w:color w:val="000000"/>
                <w:sz w:val="20"/>
                <w:szCs w:val="20"/>
              </w:rPr>
              <w:t> </w:t>
            </w:r>
          </w:p>
        </w:tc>
      </w:tr>
      <w:tr w:rsidR="00387142" w:rsidRPr="008B6A75" w14:paraId="460B9BEF" w14:textId="77777777" w:rsidTr="00387142">
        <w:trPr>
          <w:trHeight w:val="315"/>
        </w:trPr>
        <w:tc>
          <w:tcPr>
            <w:tcW w:w="643" w:type="dxa"/>
            <w:gridSpan w:val="3"/>
            <w:tcBorders>
              <w:top w:val="nil"/>
              <w:left w:val="single" w:sz="4" w:space="0" w:color="auto"/>
              <w:bottom w:val="single" w:sz="4" w:space="0" w:color="auto"/>
              <w:right w:val="single" w:sz="4" w:space="0" w:color="auto"/>
            </w:tcBorders>
            <w:shd w:val="clear" w:color="auto" w:fill="auto"/>
            <w:noWrap/>
            <w:vAlign w:val="bottom"/>
            <w:hideMark/>
          </w:tcPr>
          <w:p w14:paraId="7E0257E4" w14:textId="77777777" w:rsidR="00387142" w:rsidRPr="008B6A75" w:rsidRDefault="00387142" w:rsidP="00387142">
            <w:pPr>
              <w:rPr>
                <w:sz w:val="20"/>
                <w:szCs w:val="20"/>
              </w:rPr>
            </w:pPr>
            <w:r w:rsidRPr="008B6A75">
              <w:rPr>
                <w:sz w:val="20"/>
                <w:szCs w:val="20"/>
              </w:rPr>
              <w:t> </w:t>
            </w:r>
          </w:p>
        </w:tc>
        <w:tc>
          <w:tcPr>
            <w:tcW w:w="4744" w:type="dxa"/>
            <w:gridSpan w:val="3"/>
            <w:tcBorders>
              <w:top w:val="nil"/>
              <w:left w:val="nil"/>
              <w:bottom w:val="single" w:sz="4" w:space="0" w:color="auto"/>
              <w:right w:val="single" w:sz="4" w:space="0" w:color="auto"/>
            </w:tcBorders>
            <w:shd w:val="clear" w:color="auto" w:fill="auto"/>
            <w:noWrap/>
            <w:vAlign w:val="bottom"/>
            <w:hideMark/>
          </w:tcPr>
          <w:p w14:paraId="3AF2C6EE" w14:textId="77777777" w:rsidR="00387142" w:rsidRPr="008B6A75" w:rsidRDefault="00387142" w:rsidP="00387142">
            <w:pPr>
              <w:rPr>
                <w:sz w:val="20"/>
                <w:szCs w:val="20"/>
              </w:rPr>
            </w:pPr>
            <w:r w:rsidRPr="008B6A75">
              <w:rPr>
                <w:sz w:val="20"/>
                <w:szCs w:val="20"/>
              </w:rPr>
              <w:t>Итого</w:t>
            </w:r>
          </w:p>
        </w:tc>
        <w:tc>
          <w:tcPr>
            <w:tcW w:w="1740" w:type="dxa"/>
            <w:gridSpan w:val="4"/>
            <w:tcBorders>
              <w:top w:val="nil"/>
              <w:left w:val="nil"/>
              <w:bottom w:val="single" w:sz="4" w:space="0" w:color="auto"/>
              <w:right w:val="single" w:sz="4" w:space="0" w:color="auto"/>
            </w:tcBorders>
            <w:shd w:val="clear" w:color="auto" w:fill="auto"/>
            <w:noWrap/>
            <w:vAlign w:val="center"/>
            <w:hideMark/>
          </w:tcPr>
          <w:p w14:paraId="0EC6711B" w14:textId="77777777" w:rsidR="00387142" w:rsidRPr="008B6A75" w:rsidRDefault="00387142" w:rsidP="00387142">
            <w:pPr>
              <w:jc w:val="center"/>
              <w:rPr>
                <w:sz w:val="20"/>
                <w:szCs w:val="20"/>
              </w:rPr>
            </w:pPr>
            <w:r w:rsidRPr="008B6A75">
              <w:rPr>
                <w:sz w:val="20"/>
                <w:szCs w:val="20"/>
              </w:rPr>
              <w:t xml:space="preserve">44 061 500,00 </w:t>
            </w:r>
          </w:p>
        </w:tc>
        <w:tc>
          <w:tcPr>
            <w:tcW w:w="1580" w:type="dxa"/>
            <w:gridSpan w:val="5"/>
            <w:tcBorders>
              <w:top w:val="nil"/>
              <w:left w:val="nil"/>
              <w:bottom w:val="single" w:sz="4" w:space="0" w:color="auto"/>
              <w:right w:val="single" w:sz="4" w:space="0" w:color="auto"/>
            </w:tcBorders>
            <w:shd w:val="clear" w:color="auto" w:fill="auto"/>
            <w:noWrap/>
            <w:vAlign w:val="center"/>
            <w:hideMark/>
          </w:tcPr>
          <w:p w14:paraId="6DEDC7B6" w14:textId="77777777" w:rsidR="00387142" w:rsidRPr="008B6A75" w:rsidRDefault="00387142" w:rsidP="00387142">
            <w:pPr>
              <w:jc w:val="center"/>
              <w:rPr>
                <w:sz w:val="20"/>
                <w:szCs w:val="20"/>
              </w:rPr>
            </w:pPr>
            <w:r w:rsidRPr="008B6A75">
              <w:rPr>
                <w:sz w:val="20"/>
                <w:szCs w:val="20"/>
              </w:rPr>
              <w:t xml:space="preserve">44 787 014,52 </w:t>
            </w:r>
          </w:p>
        </w:tc>
        <w:tc>
          <w:tcPr>
            <w:tcW w:w="1520" w:type="dxa"/>
            <w:gridSpan w:val="2"/>
            <w:tcBorders>
              <w:top w:val="nil"/>
              <w:left w:val="nil"/>
              <w:bottom w:val="single" w:sz="4" w:space="0" w:color="auto"/>
              <w:right w:val="single" w:sz="4" w:space="0" w:color="auto"/>
            </w:tcBorders>
            <w:shd w:val="clear" w:color="auto" w:fill="auto"/>
            <w:noWrap/>
            <w:vAlign w:val="center"/>
            <w:hideMark/>
          </w:tcPr>
          <w:p w14:paraId="56138614" w14:textId="77777777" w:rsidR="00387142" w:rsidRPr="008B6A75" w:rsidRDefault="00387142" w:rsidP="00387142">
            <w:pPr>
              <w:jc w:val="center"/>
              <w:rPr>
                <w:sz w:val="20"/>
                <w:szCs w:val="20"/>
              </w:rPr>
            </w:pPr>
            <w:r w:rsidRPr="008B6A75">
              <w:rPr>
                <w:sz w:val="20"/>
                <w:szCs w:val="20"/>
              </w:rPr>
              <w:t xml:space="preserve">44 629 300,00 </w:t>
            </w:r>
          </w:p>
        </w:tc>
      </w:tr>
    </w:tbl>
    <w:p w14:paraId="466A0487" w14:textId="77777777" w:rsidR="00387142" w:rsidRPr="008B6A75" w:rsidRDefault="00387142" w:rsidP="00387142">
      <w:pPr>
        <w:rPr>
          <w:sz w:val="20"/>
          <w:szCs w:val="20"/>
        </w:rPr>
      </w:pPr>
    </w:p>
    <w:tbl>
      <w:tblPr>
        <w:tblW w:w="10039" w:type="dxa"/>
        <w:tblLook w:val="04A0" w:firstRow="1" w:lastRow="0" w:firstColumn="1" w:lastColumn="0" w:noHBand="0" w:noVBand="1"/>
      </w:tblPr>
      <w:tblGrid>
        <w:gridCol w:w="668"/>
        <w:gridCol w:w="216"/>
        <w:gridCol w:w="1772"/>
        <w:gridCol w:w="1135"/>
        <w:gridCol w:w="775"/>
        <w:gridCol w:w="2343"/>
        <w:gridCol w:w="216"/>
        <w:gridCol w:w="2488"/>
        <w:gridCol w:w="222"/>
        <w:gridCol w:w="80"/>
        <w:gridCol w:w="222"/>
      </w:tblGrid>
      <w:tr w:rsidR="00387142" w:rsidRPr="008B6A75" w14:paraId="11B200BA" w14:textId="77777777" w:rsidTr="00387142">
        <w:trPr>
          <w:gridAfter w:val="3"/>
          <w:wAfter w:w="340" w:type="dxa"/>
          <w:trHeight w:val="315"/>
        </w:trPr>
        <w:tc>
          <w:tcPr>
            <w:tcW w:w="663" w:type="dxa"/>
            <w:gridSpan w:val="2"/>
            <w:tcBorders>
              <w:top w:val="nil"/>
              <w:left w:val="nil"/>
              <w:bottom w:val="nil"/>
              <w:right w:val="nil"/>
            </w:tcBorders>
            <w:shd w:val="clear" w:color="auto" w:fill="auto"/>
            <w:noWrap/>
            <w:vAlign w:val="bottom"/>
            <w:hideMark/>
          </w:tcPr>
          <w:p w14:paraId="6C3C8DAD" w14:textId="77777777" w:rsidR="00387142" w:rsidRPr="008B6A75" w:rsidRDefault="00387142" w:rsidP="00387142">
            <w:pPr>
              <w:rPr>
                <w:sz w:val="20"/>
                <w:szCs w:val="20"/>
              </w:rPr>
            </w:pPr>
          </w:p>
        </w:tc>
        <w:tc>
          <w:tcPr>
            <w:tcW w:w="1944" w:type="dxa"/>
            <w:tcBorders>
              <w:top w:val="nil"/>
              <w:left w:val="nil"/>
              <w:bottom w:val="nil"/>
              <w:right w:val="nil"/>
            </w:tcBorders>
            <w:shd w:val="clear" w:color="auto" w:fill="auto"/>
            <w:noWrap/>
            <w:vAlign w:val="bottom"/>
            <w:hideMark/>
          </w:tcPr>
          <w:p w14:paraId="6A140F7F" w14:textId="77777777" w:rsidR="00387142" w:rsidRPr="008B6A75" w:rsidRDefault="00387142" w:rsidP="00387142">
            <w:pPr>
              <w:rPr>
                <w:sz w:val="20"/>
                <w:szCs w:val="20"/>
              </w:rPr>
            </w:pPr>
          </w:p>
        </w:tc>
        <w:tc>
          <w:tcPr>
            <w:tcW w:w="1944" w:type="dxa"/>
            <w:gridSpan w:val="2"/>
            <w:tcBorders>
              <w:top w:val="nil"/>
              <w:left w:val="nil"/>
              <w:bottom w:val="nil"/>
              <w:right w:val="nil"/>
            </w:tcBorders>
            <w:shd w:val="clear" w:color="auto" w:fill="auto"/>
            <w:noWrap/>
            <w:vAlign w:val="bottom"/>
            <w:hideMark/>
          </w:tcPr>
          <w:p w14:paraId="1EA35979" w14:textId="77777777" w:rsidR="00387142" w:rsidRPr="008B6A75" w:rsidRDefault="00387142" w:rsidP="00387142">
            <w:pPr>
              <w:rPr>
                <w:sz w:val="20"/>
                <w:szCs w:val="20"/>
              </w:rPr>
            </w:pPr>
          </w:p>
        </w:tc>
        <w:tc>
          <w:tcPr>
            <w:tcW w:w="2429" w:type="dxa"/>
            <w:gridSpan w:val="2"/>
            <w:tcBorders>
              <w:top w:val="nil"/>
              <w:left w:val="nil"/>
              <w:bottom w:val="nil"/>
              <w:right w:val="nil"/>
            </w:tcBorders>
            <w:shd w:val="clear" w:color="auto" w:fill="auto"/>
            <w:noWrap/>
            <w:vAlign w:val="bottom"/>
            <w:hideMark/>
          </w:tcPr>
          <w:p w14:paraId="7BAC44BB" w14:textId="77777777" w:rsidR="00387142" w:rsidRPr="008B6A75" w:rsidRDefault="00387142" w:rsidP="00387142">
            <w:pPr>
              <w:rPr>
                <w:sz w:val="20"/>
                <w:szCs w:val="20"/>
              </w:rPr>
            </w:pPr>
          </w:p>
        </w:tc>
        <w:tc>
          <w:tcPr>
            <w:tcW w:w="2719" w:type="dxa"/>
            <w:tcBorders>
              <w:top w:val="nil"/>
              <w:left w:val="nil"/>
              <w:bottom w:val="nil"/>
              <w:right w:val="nil"/>
            </w:tcBorders>
            <w:shd w:val="clear" w:color="auto" w:fill="auto"/>
            <w:noWrap/>
            <w:vAlign w:val="bottom"/>
            <w:hideMark/>
          </w:tcPr>
          <w:p w14:paraId="1AD5A89B" w14:textId="77777777" w:rsidR="00387142" w:rsidRPr="008B6A75" w:rsidRDefault="00387142" w:rsidP="00387142">
            <w:pPr>
              <w:jc w:val="right"/>
              <w:rPr>
                <w:color w:val="000000"/>
                <w:sz w:val="20"/>
                <w:szCs w:val="20"/>
              </w:rPr>
            </w:pPr>
            <w:r w:rsidRPr="008B6A75">
              <w:rPr>
                <w:color w:val="000000"/>
                <w:sz w:val="20"/>
                <w:szCs w:val="20"/>
              </w:rPr>
              <w:t>таблица 4</w:t>
            </w:r>
          </w:p>
        </w:tc>
      </w:tr>
      <w:tr w:rsidR="00387142" w:rsidRPr="008B6A75" w14:paraId="10763FA2" w14:textId="77777777" w:rsidTr="00387142">
        <w:trPr>
          <w:gridAfter w:val="3"/>
          <w:wAfter w:w="340" w:type="dxa"/>
          <w:trHeight w:val="315"/>
        </w:trPr>
        <w:tc>
          <w:tcPr>
            <w:tcW w:w="663" w:type="dxa"/>
            <w:gridSpan w:val="2"/>
            <w:tcBorders>
              <w:top w:val="nil"/>
              <w:left w:val="nil"/>
              <w:bottom w:val="nil"/>
              <w:right w:val="nil"/>
            </w:tcBorders>
            <w:shd w:val="clear" w:color="auto" w:fill="auto"/>
            <w:noWrap/>
            <w:vAlign w:val="bottom"/>
            <w:hideMark/>
          </w:tcPr>
          <w:p w14:paraId="74D29ECF" w14:textId="77777777" w:rsidR="00387142" w:rsidRPr="008B6A75" w:rsidRDefault="00387142" w:rsidP="00387142">
            <w:pPr>
              <w:jc w:val="right"/>
              <w:rPr>
                <w:color w:val="000000"/>
                <w:sz w:val="20"/>
                <w:szCs w:val="20"/>
              </w:rPr>
            </w:pPr>
          </w:p>
        </w:tc>
        <w:tc>
          <w:tcPr>
            <w:tcW w:w="1944" w:type="dxa"/>
            <w:tcBorders>
              <w:top w:val="nil"/>
              <w:left w:val="nil"/>
              <w:bottom w:val="nil"/>
              <w:right w:val="nil"/>
            </w:tcBorders>
            <w:shd w:val="clear" w:color="auto" w:fill="auto"/>
            <w:noWrap/>
            <w:vAlign w:val="bottom"/>
            <w:hideMark/>
          </w:tcPr>
          <w:p w14:paraId="4F2350BA" w14:textId="77777777" w:rsidR="00387142" w:rsidRPr="008B6A75" w:rsidRDefault="00387142" w:rsidP="00387142">
            <w:pPr>
              <w:rPr>
                <w:sz w:val="20"/>
                <w:szCs w:val="20"/>
              </w:rPr>
            </w:pPr>
          </w:p>
        </w:tc>
        <w:tc>
          <w:tcPr>
            <w:tcW w:w="1944" w:type="dxa"/>
            <w:gridSpan w:val="2"/>
            <w:tcBorders>
              <w:top w:val="nil"/>
              <w:left w:val="nil"/>
              <w:bottom w:val="nil"/>
              <w:right w:val="nil"/>
            </w:tcBorders>
            <w:shd w:val="clear" w:color="auto" w:fill="auto"/>
            <w:noWrap/>
            <w:vAlign w:val="bottom"/>
            <w:hideMark/>
          </w:tcPr>
          <w:p w14:paraId="18DCCE35" w14:textId="77777777" w:rsidR="00387142" w:rsidRPr="008B6A75" w:rsidRDefault="00387142" w:rsidP="00387142">
            <w:pPr>
              <w:rPr>
                <w:sz w:val="20"/>
                <w:szCs w:val="20"/>
              </w:rPr>
            </w:pPr>
          </w:p>
        </w:tc>
        <w:tc>
          <w:tcPr>
            <w:tcW w:w="2429" w:type="dxa"/>
            <w:gridSpan w:val="2"/>
            <w:tcBorders>
              <w:top w:val="nil"/>
              <w:left w:val="nil"/>
              <w:bottom w:val="nil"/>
              <w:right w:val="nil"/>
            </w:tcBorders>
            <w:shd w:val="clear" w:color="auto" w:fill="auto"/>
            <w:noWrap/>
            <w:vAlign w:val="bottom"/>
            <w:hideMark/>
          </w:tcPr>
          <w:p w14:paraId="69DF8A8A" w14:textId="77777777" w:rsidR="00387142" w:rsidRPr="008B6A75" w:rsidRDefault="00387142" w:rsidP="00387142">
            <w:pPr>
              <w:rPr>
                <w:sz w:val="20"/>
                <w:szCs w:val="20"/>
              </w:rPr>
            </w:pPr>
          </w:p>
        </w:tc>
        <w:tc>
          <w:tcPr>
            <w:tcW w:w="2719" w:type="dxa"/>
            <w:tcBorders>
              <w:top w:val="nil"/>
              <w:left w:val="nil"/>
              <w:bottom w:val="nil"/>
              <w:right w:val="nil"/>
            </w:tcBorders>
            <w:shd w:val="clear" w:color="auto" w:fill="auto"/>
            <w:noWrap/>
            <w:vAlign w:val="bottom"/>
            <w:hideMark/>
          </w:tcPr>
          <w:p w14:paraId="3FD2AE51" w14:textId="77777777" w:rsidR="00387142" w:rsidRPr="008B6A75" w:rsidRDefault="00387142" w:rsidP="00387142">
            <w:pPr>
              <w:jc w:val="right"/>
              <w:rPr>
                <w:color w:val="000000"/>
                <w:sz w:val="20"/>
                <w:szCs w:val="20"/>
              </w:rPr>
            </w:pPr>
            <w:r w:rsidRPr="008B6A75">
              <w:rPr>
                <w:color w:val="000000"/>
                <w:sz w:val="20"/>
                <w:szCs w:val="20"/>
              </w:rPr>
              <w:t>Приложение 11</w:t>
            </w:r>
          </w:p>
        </w:tc>
      </w:tr>
      <w:tr w:rsidR="00387142" w:rsidRPr="008B6A75" w14:paraId="77B9235E" w14:textId="77777777" w:rsidTr="00387142">
        <w:trPr>
          <w:gridAfter w:val="3"/>
          <w:wAfter w:w="340" w:type="dxa"/>
          <w:trHeight w:val="525"/>
        </w:trPr>
        <w:tc>
          <w:tcPr>
            <w:tcW w:w="663" w:type="dxa"/>
            <w:gridSpan w:val="2"/>
            <w:tcBorders>
              <w:top w:val="nil"/>
              <w:left w:val="nil"/>
              <w:bottom w:val="nil"/>
              <w:right w:val="nil"/>
            </w:tcBorders>
            <w:shd w:val="clear" w:color="auto" w:fill="auto"/>
            <w:vAlign w:val="bottom"/>
            <w:hideMark/>
          </w:tcPr>
          <w:p w14:paraId="2373D40A" w14:textId="77777777" w:rsidR="00387142" w:rsidRPr="008B6A75" w:rsidRDefault="00387142" w:rsidP="00387142">
            <w:pPr>
              <w:jc w:val="right"/>
              <w:rPr>
                <w:color w:val="000000"/>
                <w:sz w:val="20"/>
                <w:szCs w:val="20"/>
              </w:rPr>
            </w:pPr>
          </w:p>
        </w:tc>
        <w:tc>
          <w:tcPr>
            <w:tcW w:w="1944" w:type="dxa"/>
            <w:tcBorders>
              <w:top w:val="nil"/>
              <w:left w:val="nil"/>
              <w:bottom w:val="nil"/>
              <w:right w:val="nil"/>
            </w:tcBorders>
            <w:shd w:val="clear" w:color="auto" w:fill="auto"/>
            <w:vAlign w:val="bottom"/>
            <w:hideMark/>
          </w:tcPr>
          <w:p w14:paraId="2D9A413A" w14:textId="77777777" w:rsidR="00387142" w:rsidRPr="008B6A75" w:rsidRDefault="00387142" w:rsidP="00387142">
            <w:pPr>
              <w:jc w:val="center"/>
              <w:rPr>
                <w:sz w:val="20"/>
                <w:szCs w:val="20"/>
              </w:rPr>
            </w:pPr>
          </w:p>
        </w:tc>
        <w:tc>
          <w:tcPr>
            <w:tcW w:w="1944" w:type="dxa"/>
            <w:gridSpan w:val="2"/>
            <w:tcBorders>
              <w:top w:val="nil"/>
              <w:left w:val="nil"/>
              <w:bottom w:val="nil"/>
              <w:right w:val="nil"/>
            </w:tcBorders>
            <w:shd w:val="clear" w:color="auto" w:fill="auto"/>
            <w:vAlign w:val="bottom"/>
            <w:hideMark/>
          </w:tcPr>
          <w:p w14:paraId="11C50D63" w14:textId="77777777" w:rsidR="00387142" w:rsidRPr="008B6A75" w:rsidRDefault="00387142" w:rsidP="00387142">
            <w:pPr>
              <w:jc w:val="center"/>
              <w:rPr>
                <w:sz w:val="20"/>
                <w:szCs w:val="20"/>
              </w:rPr>
            </w:pPr>
          </w:p>
        </w:tc>
        <w:tc>
          <w:tcPr>
            <w:tcW w:w="2429" w:type="dxa"/>
            <w:gridSpan w:val="2"/>
            <w:tcBorders>
              <w:top w:val="nil"/>
              <w:left w:val="nil"/>
              <w:bottom w:val="nil"/>
              <w:right w:val="nil"/>
            </w:tcBorders>
            <w:shd w:val="clear" w:color="auto" w:fill="auto"/>
            <w:vAlign w:val="bottom"/>
            <w:hideMark/>
          </w:tcPr>
          <w:p w14:paraId="4F9F5519" w14:textId="77777777" w:rsidR="00387142" w:rsidRPr="008B6A75" w:rsidRDefault="00387142" w:rsidP="00387142">
            <w:pPr>
              <w:jc w:val="center"/>
              <w:rPr>
                <w:sz w:val="20"/>
                <w:szCs w:val="20"/>
              </w:rPr>
            </w:pPr>
          </w:p>
        </w:tc>
        <w:tc>
          <w:tcPr>
            <w:tcW w:w="2719" w:type="dxa"/>
            <w:tcBorders>
              <w:top w:val="nil"/>
              <w:left w:val="nil"/>
              <w:bottom w:val="nil"/>
              <w:right w:val="nil"/>
            </w:tcBorders>
            <w:shd w:val="clear" w:color="auto" w:fill="auto"/>
            <w:noWrap/>
            <w:vAlign w:val="bottom"/>
            <w:hideMark/>
          </w:tcPr>
          <w:p w14:paraId="2E907A86" w14:textId="77777777" w:rsidR="00387142" w:rsidRPr="008B6A75" w:rsidRDefault="00387142" w:rsidP="00387142">
            <w:pPr>
              <w:jc w:val="center"/>
              <w:rPr>
                <w:sz w:val="20"/>
                <w:szCs w:val="20"/>
              </w:rPr>
            </w:pPr>
          </w:p>
        </w:tc>
      </w:tr>
      <w:tr w:rsidR="00387142" w:rsidRPr="008B6A75" w14:paraId="46267EE8" w14:textId="77777777" w:rsidTr="00387142">
        <w:trPr>
          <w:gridAfter w:val="3"/>
          <w:wAfter w:w="340" w:type="dxa"/>
          <w:trHeight w:val="960"/>
        </w:trPr>
        <w:tc>
          <w:tcPr>
            <w:tcW w:w="9699" w:type="dxa"/>
            <w:gridSpan w:val="8"/>
            <w:vMerge w:val="restart"/>
            <w:tcBorders>
              <w:top w:val="nil"/>
              <w:left w:val="nil"/>
              <w:bottom w:val="nil"/>
              <w:right w:val="nil"/>
            </w:tcBorders>
            <w:shd w:val="clear" w:color="auto" w:fill="auto"/>
            <w:vAlign w:val="center"/>
            <w:hideMark/>
          </w:tcPr>
          <w:p w14:paraId="148ED24D" w14:textId="77777777" w:rsidR="00387142" w:rsidRPr="008B6A75" w:rsidRDefault="00387142" w:rsidP="00387142">
            <w:pPr>
              <w:jc w:val="center"/>
              <w:rPr>
                <w:color w:val="000000"/>
                <w:sz w:val="20"/>
                <w:szCs w:val="20"/>
              </w:rPr>
            </w:pPr>
            <w:r w:rsidRPr="008B6A75">
              <w:rPr>
                <w:color w:val="000000"/>
                <w:sz w:val="20"/>
                <w:szCs w:val="20"/>
              </w:rPr>
              <w:t>Субсидии на реализацию мероприятий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w:t>
            </w:r>
          </w:p>
        </w:tc>
      </w:tr>
      <w:tr w:rsidR="00387142" w:rsidRPr="008B6A75" w14:paraId="5E8D01BB" w14:textId="77777777" w:rsidTr="00387142">
        <w:trPr>
          <w:gridAfter w:val="2"/>
          <w:wAfter w:w="118" w:type="dxa"/>
          <w:trHeight w:val="825"/>
        </w:trPr>
        <w:tc>
          <w:tcPr>
            <w:tcW w:w="9699" w:type="dxa"/>
            <w:gridSpan w:val="8"/>
            <w:vMerge/>
            <w:tcBorders>
              <w:top w:val="nil"/>
              <w:left w:val="nil"/>
              <w:bottom w:val="nil"/>
              <w:right w:val="nil"/>
            </w:tcBorders>
            <w:vAlign w:val="center"/>
            <w:hideMark/>
          </w:tcPr>
          <w:p w14:paraId="4DDF6731" w14:textId="77777777" w:rsidR="00387142" w:rsidRPr="008B6A75" w:rsidRDefault="00387142" w:rsidP="00387142">
            <w:pPr>
              <w:rPr>
                <w:color w:val="000000"/>
                <w:sz w:val="20"/>
                <w:szCs w:val="20"/>
              </w:rPr>
            </w:pPr>
          </w:p>
        </w:tc>
        <w:tc>
          <w:tcPr>
            <w:tcW w:w="222" w:type="dxa"/>
            <w:tcBorders>
              <w:top w:val="nil"/>
              <w:left w:val="nil"/>
              <w:bottom w:val="nil"/>
              <w:right w:val="nil"/>
            </w:tcBorders>
            <w:shd w:val="clear" w:color="auto" w:fill="auto"/>
            <w:noWrap/>
            <w:vAlign w:val="bottom"/>
            <w:hideMark/>
          </w:tcPr>
          <w:p w14:paraId="0E86A5A2" w14:textId="77777777" w:rsidR="00387142" w:rsidRPr="008B6A75" w:rsidRDefault="00387142" w:rsidP="00387142">
            <w:pPr>
              <w:jc w:val="center"/>
              <w:rPr>
                <w:color w:val="000000"/>
                <w:sz w:val="20"/>
                <w:szCs w:val="20"/>
              </w:rPr>
            </w:pPr>
          </w:p>
        </w:tc>
      </w:tr>
      <w:tr w:rsidR="00387142" w:rsidRPr="008B6A75" w14:paraId="616D5F4D" w14:textId="77777777" w:rsidTr="00387142">
        <w:trPr>
          <w:gridAfter w:val="2"/>
          <w:wAfter w:w="118" w:type="dxa"/>
          <w:trHeight w:val="315"/>
        </w:trPr>
        <w:tc>
          <w:tcPr>
            <w:tcW w:w="663" w:type="dxa"/>
            <w:gridSpan w:val="2"/>
            <w:tcBorders>
              <w:top w:val="nil"/>
              <w:left w:val="nil"/>
              <w:bottom w:val="single" w:sz="4" w:space="0" w:color="auto"/>
              <w:right w:val="nil"/>
            </w:tcBorders>
            <w:shd w:val="clear" w:color="auto" w:fill="auto"/>
            <w:vAlign w:val="bottom"/>
            <w:hideMark/>
          </w:tcPr>
          <w:p w14:paraId="62884084" w14:textId="77777777" w:rsidR="00387142" w:rsidRPr="008B6A75" w:rsidRDefault="00387142" w:rsidP="00387142">
            <w:pPr>
              <w:jc w:val="center"/>
              <w:rPr>
                <w:color w:val="000000"/>
                <w:sz w:val="20"/>
                <w:szCs w:val="20"/>
              </w:rPr>
            </w:pPr>
            <w:r w:rsidRPr="008B6A75">
              <w:rPr>
                <w:color w:val="000000"/>
                <w:sz w:val="20"/>
                <w:szCs w:val="20"/>
              </w:rPr>
              <w:t> </w:t>
            </w:r>
          </w:p>
        </w:tc>
        <w:tc>
          <w:tcPr>
            <w:tcW w:w="1944" w:type="dxa"/>
            <w:tcBorders>
              <w:top w:val="nil"/>
              <w:left w:val="nil"/>
              <w:bottom w:val="single" w:sz="4" w:space="0" w:color="auto"/>
              <w:right w:val="nil"/>
            </w:tcBorders>
            <w:shd w:val="clear" w:color="auto" w:fill="auto"/>
            <w:vAlign w:val="bottom"/>
            <w:hideMark/>
          </w:tcPr>
          <w:p w14:paraId="20200323" w14:textId="77777777" w:rsidR="00387142" w:rsidRPr="008B6A75" w:rsidRDefault="00387142" w:rsidP="00387142">
            <w:pPr>
              <w:jc w:val="center"/>
              <w:rPr>
                <w:color w:val="000000"/>
                <w:sz w:val="20"/>
                <w:szCs w:val="20"/>
              </w:rPr>
            </w:pPr>
            <w:r w:rsidRPr="008B6A75">
              <w:rPr>
                <w:color w:val="000000"/>
                <w:sz w:val="20"/>
                <w:szCs w:val="20"/>
              </w:rPr>
              <w:t> </w:t>
            </w:r>
          </w:p>
        </w:tc>
        <w:tc>
          <w:tcPr>
            <w:tcW w:w="1944" w:type="dxa"/>
            <w:gridSpan w:val="2"/>
            <w:tcBorders>
              <w:top w:val="nil"/>
              <w:left w:val="nil"/>
              <w:bottom w:val="single" w:sz="4" w:space="0" w:color="auto"/>
              <w:right w:val="nil"/>
            </w:tcBorders>
            <w:shd w:val="clear" w:color="auto" w:fill="auto"/>
            <w:vAlign w:val="bottom"/>
            <w:hideMark/>
          </w:tcPr>
          <w:p w14:paraId="072520DF" w14:textId="77777777" w:rsidR="00387142" w:rsidRPr="008B6A75" w:rsidRDefault="00387142" w:rsidP="00387142">
            <w:pPr>
              <w:jc w:val="center"/>
              <w:rPr>
                <w:color w:val="000000"/>
                <w:sz w:val="20"/>
                <w:szCs w:val="20"/>
              </w:rPr>
            </w:pPr>
            <w:r w:rsidRPr="008B6A75">
              <w:rPr>
                <w:color w:val="000000"/>
                <w:sz w:val="20"/>
                <w:szCs w:val="20"/>
              </w:rPr>
              <w:t> </w:t>
            </w:r>
          </w:p>
        </w:tc>
        <w:tc>
          <w:tcPr>
            <w:tcW w:w="2429" w:type="dxa"/>
            <w:gridSpan w:val="2"/>
            <w:tcBorders>
              <w:top w:val="nil"/>
              <w:left w:val="nil"/>
              <w:bottom w:val="single" w:sz="4" w:space="0" w:color="auto"/>
              <w:right w:val="nil"/>
            </w:tcBorders>
            <w:shd w:val="clear" w:color="auto" w:fill="auto"/>
            <w:vAlign w:val="bottom"/>
            <w:hideMark/>
          </w:tcPr>
          <w:p w14:paraId="366AC59B" w14:textId="77777777" w:rsidR="00387142" w:rsidRPr="008B6A75" w:rsidRDefault="00387142" w:rsidP="00387142">
            <w:pPr>
              <w:jc w:val="center"/>
              <w:rPr>
                <w:color w:val="000000"/>
                <w:sz w:val="20"/>
                <w:szCs w:val="20"/>
              </w:rPr>
            </w:pPr>
            <w:r w:rsidRPr="008B6A75">
              <w:rPr>
                <w:color w:val="000000"/>
                <w:sz w:val="20"/>
                <w:szCs w:val="20"/>
              </w:rPr>
              <w:t> </w:t>
            </w:r>
          </w:p>
        </w:tc>
        <w:tc>
          <w:tcPr>
            <w:tcW w:w="2719" w:type="dxa"/>
            <w:tcBorders>
              <w:top w:val="nil"/>
              <w:left w:val="nil"/>
              <w:bottom w:val="nil"/>
              <w:right w:val="nil"/>
            </w:tcBorders>
            <w:shd w:val="clear" w:color="auto" w:fill="auto"/>
            <w:noWrap/>
            <w:vAlign w:val="bottom"/>
            <w:hideMark/>
          </w:tcPr>
          <w:p w14:paraId="392BA6CC" w14:textId="77777777" w:rsidR="00387142" w:rsidRPr="008B6A75" w:rsidRDefault="00387142" w:rsidP="00387142">
            <w:pPr>
              <w:jc w:val="center"/>
              <w:rPr>
                <w:color w:val="000000"/>
                <w:sz w:val="20"/>
                <w:szCs w:val="20"/>
              </w:rPr>
            </w:pPr>
          </w:p>
        </w:tc>
        <w:tc>
          <w:tcPr>
            <w:tcW w:w="222" w:type="dxa"/>
            <w:vAlign w:val="center"/>
            <w:hideMark/>
          </w:tcPr>
          <w:p w14:paraId="5AAAB1A1" w14:textId="77777777" w:rsidR="00387142" w:rsidRPr="008B6A75" w:rsidRDefault="00387142" w:rsidP="00387142">
            <w:pPr>
              <w:rPr>
                <w:sz w:val="20"/>
                <w:szCs w:val="20"/>
              </w:rPr>
            </w:pPr>
          </w:p>
        </w:tc>
      </w:tr>
      <w:tr w:rsidR="00387142" w:rsidRPr="008B6A75" w14:paraId="70C88494" w14:textId="77777777" w:rsidTr="00387142">
        <w:trPr>
          <w:gridAfter w:val="2"/>
          <w:wAfter w:w="118" w:type="dxa"/>
          <w:trHeight w:val="825"/>
        </w:trPr>
        <w:tc>
          <w:tcPr>
            <w:tcW w:w="663"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3BEE09CE" w14:textId="77777777" w:rsidR="00387142" w:rsidRPr="008B6A75" w:rsidRDefault="00387142" w:rsidP="00387142">
            <w:pPr>
              <w:jc w:val="center"/>
              <w:rPr>
                <w:color w:val="000000"/>
                <w:sz w:val="20"/>
                <w:szCs w:val="20"/>
              </w:rPr>
            </w:pPr>
            <w:r w:rsidRPr="008B6A75">
              <w:rPr>
                <w:color w:val="000000"/>
                <w:sz w:val="20"/>
                <w:szCs w:val="20"/>
              </w:rPr>
              <w:t>№п/п</w:t>
            </w:r>
          </w:p>
        </w:tc>
        <w:tc>
          <w:tcPr>
            <w:tcW w:w="1944" w:type="dxa"/>
            <w:vMerge w:val="restart"/>
            <w:tcBorders>
              <w:top w:val="nil"/>
              <w:left w:val="single" w:sz="4" w:space="0" w:color="auto"/>
              <w:bottom w:val="single" w:sz="4" w:space="0" w:color="000000"/>
              <w:right w:val="single" w:sz="4" w:space="0" w:color="auto"/>
            </w:tcBorders>
            <w:shd w:val="clear" w:color="auto" w:fill="auto"/>
            <w:vAlign w:val="center"/>
            <w:hideMark/>
          </w:tcPr>
          <w:p w14:paraId="35FAEED7" w14:textId="77777777" w:rsidR="00387142" w:rsidRPr="008B6A75" w:rsidRDefault="00387142" w:rsidP="00387142">
            <w:pPr>
              <w:jc w:val="center"/>
              <w:rPr>
                <w:color w:val="000000"/>
                <w:sz w:val="20"/>
                <w:szCs w:val="20"/>
              </w:rPr>
            </w:pPr>
            <w:r w:rsidRPr="008B6A75">
              <w:rPr>
                <w:color w:val="000000"/>
                <w:sz w:val="20"/>
                <w:szCs w:val="20"/>
              </w:rPr>
              <w:t>Наименование поселений</w:t>
            </w:r>
          </w:p>
        </w:tc>
        <w:tc>
          <w:tcPr>
            <w:tcW w:w="1944"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76A9811F" w14:textId="77777777" w:rsidR="00387142" w:rsidRPr="008B6A75" w:rsidRDefault="00387142" w:rsidP="00387142">
            <w:pPr>
              <w:jc w:val="center"/>
              <w:rPr>
                <w:color w:val="000000"/>
                <w:sz w:val="20"/>
                <w:szCs w:val="20"/>
              </w:rPr>
            </w:pPr>
            <w:r w:rsidRPr="008B6A75">
              <w:rPr>
                <w:color w:val="000000"/>
                <w:sz w:val="20"/>
                <w:szCs w:val="20"/>
              </w:rPr>
              <w:t>Сумма в рублях</w:t>
            </w:r>
          </w:p>
        </w:tc>
        <w:tc>
          <w:tcPr>
            <w:tcW w:w="242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5FCB8C5A" w14:textId="77777777" w:rsidR="00387142" w:rsidRPr="008B6A75" w:rsidRDefault="00387142" w:rsidP="00387142">
            <w:pPr>
              <w:jc w:val="center"/>
              <w:rPr>
                <w:color w:val="000000"/>
                <w:sz w:val="20"/>
                <w:szCs w:val="20"/>
              </w:rPr>
            </w:pPr>
            <w:r w:rsidRPr="008B6A75">
              <w:rPr>
                <w:color w:val="000000"/>
                <w:sz w:val="20"/>
                <w:szCs w:val="20"/>
              </w:rPr>
              <w:t xml:space="preserve">организация функционирования систем жизнеобеспечения и </w:t>
            </w:r>
            <w:r w:rsidRPr="008B6A75">
              <w:rPr>
                <w:color w:val="000000"/>
                <w:sz w:val="20"/>
                <w:szCs w:val="20"/>
              </w:rPr>
              <w:lastRenderedPageBreak/>
              <w:t xml:space="preserve">снабжению населения топливом </w:t>
            </w:r>
          </w:p>
        </w:tc>
        <w:tc>
          <w:tcPr>
            <w:tcW w:w="2719" w:type="dxa"/>
            <w:vMerge w:val="restart"/>
            <w:tcBorders>
              <w:top w:val="single" w:sz="4" w:space="0" w:color="auto"/>
              <w:left w:val="nil"/>
              <w:bottom w:val="single" w:sz="4" w:space="0" w:color="000000"/>
              <w:right w:val="single" w:sz="4" w:space="0" w:color="auto"/>
            </w:tcBorders>
            <w:shd w:val="clear" w:color="auto" w:fill="auto"/>
            <w:vAlign w:val="center"/>
            <w:hideMark/>
          </w:tcPr>
          <w:p w14:paraId="1ED44FE9" w14:textId="77777777" w:rsidR="00387142" w:rsidRPr="008B6A75" w:rsidRDefault="00387142" w:rsidP="00387142">
            <w:pPr>
              <w:jc w:val="center"/>
              <w:rPr>
                <w:color w:val="000000"/>
                <w:sz w:val="20"/>
                <w:szCs w:val="20"/>
              </w:rPr>
            </w:pPr>
            <w:r w:rsidRPr="008B6A75">
              <w:rPr>
                <w:color w:val="000000"/>
                <w:sz w:val="20"/>
                <w:szCs w:val="20"/>
              </w:rPr>
              <w:lastRenderedPageBreak/>
              <w:t xml:space="preserve"> организация бесперебойной работы объектов </w:t>
            </w:r>
            <w:r w:rsidRPr="008B6A75">
              <w:rPr>
                <w:color w:val="000000"/>
                <w:sz w:val="20"/>
                <w:szCs w:val="20"/>
              </w:rPr>
              <w:lastRenderedPageBreak/>
              <w:t xml:space="preserve">жизнедеятельности </w:t>
            </w:r>
          </w:p>
        </w:tc>
        <w:tc>
          <w:tcPr>
            <w:tcW w:w="222" w:type="dxa"/>
            <w:vAlign w:val="center"/>
            <w:hideMark/>
          </w:tcPr>
          <w:p w14:paraId="520A50BF" w14:textId="77777777" w:rsidR="00387142" w:rsidRPr="008B6A75" w:rsidRDefault="00387142" w:rsidP="00387142">
            <w:pPr>
              <w:rPr>
                <w:sz w:val="20"/>
                <w:szCs w:val="20"/>
              </w:rPr>
            </w:pPr>
          </w:p>
        </w:tc>
      </w:tr>
      <w:tr w:rsidR="00387142" w:rsidRPr="008B6A75" w14:paraId="35F073EF" w14:textId="77777777" w:rsidTr="00387142">
        <w:trPr>
          <w:gridAfter w:val="2"/>
          <w:wAfter w:w="118" w:type="dxa"/>
          <w:trHeight w:val="795"/>
        </w:trPr>
        <w:tc>
          <w:tcPr>
            <w:tcW w:w="663" w:type="dxa"/>
            <w:gridSpan w:val="2"/>
            <w:vMerge/>
            <w:tcBorders>
              <w:top w:val="nil"/>
              <w:left w:val="single" w:sz="4" w:space="0" w:color="auto"/>
              <w:bottom w:val="single" w:sz="4" w:space="0" w:color="000000"/>
              <w:right w:val="single" w:sz="4" w:space="0" w:color="auto"/>
            </w:tcBorders>
            <w:vAlign w:val="center"/>
            <w:hideMark/>
          </w:tcPr>
          <w:p w14:paraId="57930FC2" w14:textId="77777777" w:rsidR="00387142" w:rsidRPr="008B6A75" w:rsidRDefault="00387142" w:rsidP="00387142">
            <w:pPr>
              <w:rPr>
                <w:color w:val="000000"/>
                <w:sz w:val="20"/>
                <w:szCs w:val="20"/>
              </w:rPr>
            </w:pPr>
          </w:p>
        </w:tc>
        <w:tc>
          <w:tcPr>
            <w:tcW w:w="1944" w:type="dxa"/>
            <w:vMerge/>
            <w:tcBorders>
              <w:top w:val="nil"/>
              <w:left w:val="single" w:sz="4" w:space="0" w:color="auto"/>
              <w:bottom w:val="single" w:sz="4" w:space="0" w:color="000000"/>
              <w:right w:val="single" w:sz="4" w:space="0" w:color="auto"/>
            </w:tcBorders>
            <w:vAlign w:val="center"/>
            <w:hideMark/>
          </w:tcPr>
          <w:p w14:paraId="3FD07831" w14:textId="77777777" w:rsidR="00387142" w:rsidRPr="008B6A75" w:rsidRDefault="00387142" w:rsidP="00387142">
            <w:pPr>
              <w:rPr>
                <w:color w:val="000000"/>
                <w:sz w:val="20"/>
                <w:szCs w:val="20"/>
              </w:rPr>
            </w:pPr>
          </w:p>
        </w:tc>
        <w:tc>
          <w:tcPr>
            <w:tcW w:w="1944" w:type="dxa"/>
            <w:gridSpan w:val="2"/>
            <w:vMerge/>
            <w:tcBorders>
              <w:top w:val="nil"/>
              <w:left w:val="single" w:sz="4" w:space="0" w:color="auto"/>
              <w:bottom w:val="single" w:sz="4" w:space="0" w:color="auto"/>
              <w:right w:val="single" w:sz="4" w:space="0" w:color="auto"/>
            </w:tcBorders>
            <w:vAlign w:val="center"/>
            <w:hideMark/>
          </w:tcPr>
          <w:p w14:paraId="3B9FCD29" w14:textId="77777777" w:rsidR="00387142" w:rsidRPr="008B6A75" w:rsidRDefault="00387142" w:rsidP="00387142">
            <w:pPr>
              <w:rPr>
                <w:color w:val="000000"/>
                <w:sz w:val="20"/>
                <w:szCs w:val="20"/>
              </w:rPr>
            </w:pPr>
          </w:p>
        </w:tc>
        <w:tc>
          <w:tcPr>
            <w:tcW w:w="2429" w:type="dxa"/>
            <w:gridSpan w:val="2"/>
            <w:vMerge/>
            <w:tcBorders>
              <w:top w:val="nil"/>
              <w:left w:val="single" w:sz="4" w:space="0" w:color="auto"/>
              <w:bottom w:val="single" w:sz="4" w:space="0" w:color="auto"/>
              <w:right w:val="single" w:sz="4" w:space="0" w:color="auto"/>
            </w:tcBorders>
            <w:vAlign w:val="center"/>
            <w:hideMark/>
          </w:tcPr>
          <w:p w14:paraId="7C8E842B" w14:textId="77777777" w:rsidR="00387142" w:rsidRPr="008B6A75" w:rsidRDefault="00387142" w:rsidP="00387142">
            <w:pPr>
              <w:rPr>
                <w:color w:val="000000"/>
                <w:sz w:val="20"/>
                <w:szCs w:val="20"/>
              </w:rPr>
            </w:pPr>
          </w:p>
        </w:tc>
        <w:tc>
          <w:tcPr>
            <w:tcW w:w="2719" w:type="dxa"/>
            <w:vMerge/>
            <w:tcBorders>
              <w:top w:val="single" w:sz="4" w:space="0" w:color="auto"/>
              <w:left w:val="nil"/>
              <w:bottom w:val="single" w:sz="4" w:space="0" w:color="000000"/>
              <w:right w:val="single" w:sz="4" w:space="0" w:color="auto"/>
            </w:tcBorders>
            <w:vAlign w:val="center"/>
            <w:hideMark/>
          </w:tcPr>
          <w:p w14:paraId="02716381" w14:textId="77777777" w:rsidR="00387142" w:rsidRPr="008B6A75" w:rsidRDefault="00387142" w:rsidP="00387142">
            <w:pPr>
              <w:rPr>
                <w:color w:val="000000"/>
                <w:sz w:val="20"/>
                <w:szCs w:val="20"/>
              </w:rPr>
            </w:pPr>
          </w:p>
        </w:tc>
        <w:tc>
          <w:tcPr>
            <w:tcW w:w="222" w:type="dxa"/>
            <w:tcBorders>
              <w:top w:val="nil"/>
              <w:left w:val="nil"/>
              <w:bottom w:val="nil"/>
              <w:right w:val="nil"/>
            </w:tcBorders>
            <w:shd w:val="clear" w:color="auto" w:fill="auto"/>
            <w:noWrap/>
            <w:vAlign w:val="bottom"/>
            <w:hideMark/>
          </w:tcPr>
          <w:p w14:paraId="53030555" w14:textId="77777777" w:rsidR="00387142" w:rsidRPr="008B6A75" w:rsidRDefault="00387142" w:rsidP="00387142">
            <w:pPr>
              <w:jc w:val="center"/>
              <w:rPr>
                <w:color w:val="000000"/>
                <w:sz w:val="20"/>
                <w:szCs w:val="20"/>
              </w:rPr>
            </w:pPr>
          </w:p>
        </w:tc>
      </w:tr>
      <w:tr w:rsidR="00387142" w:rsidRPr="008B6A75" w14:paraId="2F880163" w14:textId="77777777" w:rsidTr="00387142">
        <w:trPr>
          <w:gridAfter w:val="2"/>
          <w:wAfter w:w="118" w:type="dxa"/>
          <w:trHeight w:val="1380"/>
        </w:trPr>
        <w:tc>
          <w:tcPr>
            <w:tcW w:w="663" w:type="dxa"/>
            <w:gridSpan w:val="2"/>
            <w:vMerge/>
            <w:tcBorders>
              <w:top w:val="nil"/>
              <w:left w:val="single" w:sz="4" w:space="0" w:color="auto"/>
              <w:bottom w:val="single" w:sz="4" w:space="0" w:color="000000"/>
              <w:right w:val="single" w:sz="4" w:space="0" w:color="auto"/>
            </w:tcBorders>
            <w:vAlign w:val="center"/>
            <w:hideMark/>
          </w:tcPr>
          <w:p w14:paraId="649C7170" w14:textId="77777777" w:rsidR="00387142" w:rsidRPr="008B6A75" w:rsidRDefault="00387142" w:rsidP="00387142">
            <w:pPr>
              <w:rPr>
                <w:color w:val="000000"/>
                <w:sz w:val="20"/>
                <w:szCs w:val="20"/>
              </w:rPr>
            </w:pPr>
          </w:p>
        </w:tc>
        <w:tc>
          <w:tcPr>
            <w:tcW w:w="1944" w:type="dxa"/>
            <w:vMerge/>
            <w:tcBorders>
              <w:top w:val="nil"/>
              <w:left w:val="single" w:sz="4" w:space="0" w:color="auto"/>
              <w:bottom w:val="single" w:sz="4" w:space="0" w:color="000000"/>
              <w:right w:val="single" w:sz="4" w:space="0" w:color="auto"/>
            </w:tcBorders>
            <w:vAlign w:val="center"/>
            <w:hideMark/>
          </w:tcPr>
          <w:p w14:paraId="60B8B8D1" w14:textId="77777777" w:rsidR="00387142" w:rsidRPr="008B6A75" w:rsidRDefault="00387142" w:rsidP="00387142">
            <w:pPr>
              <w:rPr>
                <w:color w:val="000000"/>
                <w:sz w:val="20"/>
                <w:szCs w:val="20"/>
              </w:rPr>
            </w:pPr>
          </w:p>
        </w:tc>
        <w:tc>
          <w:tcPr>
            <w:tcW w:w="1944" w:type="dxa"/>
            <w:gridSpan w:val="2"/>
            <w:tcBorders>
              <w:top w:val="nil"/>
              <w:left w:val="nil"/>
              <w:bottom w:val="single" w:sz="4" w:space="0" w:color="auto"/>
              <w:right w:val="single" w:sz="4" w:space="0" w:color="auto"/>
            </w:tcBorders>
            <w:shd w:val="clear" w:color="auto" w:fill="auto"/>
            <w:vAlign w:val="center"/>
            <w:hideMark/>
          </w:tcPr>
          <w:p w14:paraId="29970FAE" w14:textId="77777777" w:rsidR="00387142" w:rsidRPr="008B6A75" w:rsidRDefault="00387142" w:rsidP="00387142">
            <w:pPr>
              <w:jc w:val="center"/>
              <w:rPr>
                <w:color w:val="000000"/>
                <w:sz w:val="20"/>
                <w:szCs w:val="20"/>
              </w:rPr>
            </w:pPr>
            <w:r w:rsidRPr="008B6A75">
              <w:rPr>
                <w:color w:val="000000"/>
                <w:sz w:val="20"/>
                <w:szCs w:val="20"/>
              </w:rPr>
              <w:t>2022 год</w:t>
            </w:r>
          </w:p>
        </w:tc>
        <w:tc>
          <w:tcPr>
            <w:tcW w:w="2429" w:type="dxa"/>
            <w:gridSpan w:val="2"/>
            <w:vMerge/>
            <w:tcBorders>
              <w:top w:val="nil"/>
              <w:left w:val="single" w:sz="4" w:space="0" w:color="auto"/>
              <w:bottom w:val="single" w:sz="4" w:space="0" w:color="auto"/>
              <w:right w:val="single" w:sz="4" w:space="0" w:color="auto"/>
            </w:tcBorders>
            <w:vAlign w:val="center"/>
            <w:hideMark/>
          </w:tcPr>
          <w:p w14:paraId="23415350" w14:textId="77777777" w:rsidR="00387142" w:rsidRPr="008B6A75" w:rsidRDefault="00387142" w:rsidP="00387142">
            <w:pPr>
              <w:rPr>
                <w:color w:val="000000"/>
                <w:sz w:val="20"/>
                <w:szCs w:val="20"/>
              </w:rPr>
            </w:pPr>
          </w:p>
        </w:tc>
        <w:tc>
          <w:tcPr>
            <w:tcW w:w="2719" w:type="dxa"/>
            <w:vMerge/>
            <w:tcBorders>
              <w:top w:val="single" w:sz="4" w:space="0" w:color="auto"/>
              <w:left w:val="nil"/>
              <w:bottom w:val="single" w:sz="4" w:space="0" w:color="000000"/>
              <w:right w:val="single" w:sz="4" w:space="0" w:color="auto"/>
            </w:tcBorders>
            <w:vAlign w:val="center"/>
            <w:hideMark/>
          </w:tcPr>
          <w:p w14:paraId="1C25FA62" w14:textId="77777777" w:rsidR="00387142" w:rsidRPr="008B6A75" w:rsidRDefault="00387142" w:rsidP="00387142">
            <w:pPr>
              <w:rPr>
                <w:color w:val="000000"/>
                <w:sz w:val="20"/>
                <w:szCs w:val="20"/>
              </w:rPr>
            </w:pPr>
          </w:p>
        </w:tc>
        <w:tc>
          <w:tcPr>
            <w:tcW w:w="222" w:type="dxa"/>
            <w:vAlign w:val="center"/>
            <w:hideMark/>
          </w:tcPr>
          <w:p w14:paraId="78033EAA" w14:textId="77777777" w:rsidR="00387142" w:rsidRPr="008B6A75" w:rsidRDefault="00387142" w:rsidP="00387142">
            <w:pPr>
              <w:rPr>
                <w:sz w:val="20"/>
                <w:szCs w:val="20"/>
              </w:rPr>
            </w:pPr>
          </w:p>
        </w:tc>
      </w:tr>
      <w:tr w:rsidR="00387142" w:rsidRPr="008B6A75" w14:paraId="21686C70" w14:textId="77777777" w:rsidTr="00387142">
        <w:trPr>
          <w:gridAfter w:val="2"/>
          <w:wAfter w:w="118" w:type="dxa"/>
          <w:trHeight w:val="315"/>
        </w:trPr>
        <w:tc>
          <w:tcPr>
            <w:tcW w:w="663" w:type="dxa"/>
            <w:gridSpan w:val="2"/>
            <w:tcBorders>
              <w:top w:val="nil"/>
              <w:left w:val="single" w:sz="4" w:space="0" w:color="auto"/>
              <w:bottom w:val="single" w:sz="4" w:space="0" w:color="auto"/>
              <w:right w:val="single" w:sz="4" w:space="0" w:color="auto"/>
            </w:tcBorders>
            <w:shd w:val="clear" w:color="auto" w:fill="auto"/>
            <w:vAlign w:val="bottom"/>
            <w:hideMark/>
          </w:tcPr>
          <w:p w14:paraId="0FA9EFBC" w14:textId="77777777" w:rsidR="00387142" w:rsidRPr="008B6A75" w:rsidRDefault="00387142" w:rsidP="00387142">
            <w:pPr>
              <w:jc w:val="right"/>
              <w:rPr>
                <w:color w:val="000000"/>
                <w:sz w:val="20"/>
                <w:szCs w:val="20"/>
              </w:rPr>
            </w:pPr>
            <w:r w:rsidRPr="008B6A75">
              <w:rPr>
                <w:color w:val="000000"/>
                <w:sz w:val="20"/>
                <w:szCs w:val="20"/>
              </w:rPr>
              <w:t>1</w:t>
            </w:r>
          </w:p>
        </w:tc>
        <w:tc>
          <w:tcPr>
            <w:tcW w:w="1944" w:type="dxa"/>
            <w:tcBorders>
              <w:top w:val="nil"/>
              <w:left w:val="nil"/>
              <w:bottom w:val="single" w:sz="4" w:space="0" w:color="auto"/>
              <w:right w:val="single" w:sz="4" w:space="0" w:color="auto"/>
            </w:tcBorders>
            <w:shd w:val="clear" w:color="auto" w:fill="auto"/>
            <w:vAlign w:val="bottom"/>
            <w:hideMark/>
          </w:tcPr>
          <w:p w14:paraId="055EBEB1" w14:textId="77777777" w:rsidR="00387142" w:rsidRPr="008B6A75" w:rsidRDefault="00387142" w:rsidP="00387142">
            <w:pPr>
              <w:rPr>
                <w:color w:val="000000"/>
                <w:sz w:val="20"/>
                <w:szCs w:val="20"/>
              </w:rPr>
            </w:pPr>
            <w:proofErr w:type="spellStart"/>
            <w:r w:rsidRPr="008B6A75">
              <w:rPr>
                <w:color w:val="000000"/>
                <w:sz w:val="20"/>
                <w:szCs w:val="20"/>
              </w:rPr>
              <w:t>г.Куйбышев</w:t>
            </w:r>
            <w:proofErr w:type="spellEnd"/>
          </w:p>
        </w:tc>
        <w:tc>
          <w:tcPr>
            <w:tcW w:w="1944" w:type="dxa"/>
            <w:gridSpan w:val="2"/>
            <w:tcBorders>
              <w:top w:val="nil"/>
              <w:left w:val="nil"/>
              <w:bottom w:val="single" w:sz="4" w:space="0" w:color="auto"/>
              <w:right w:val="single" w:sz="4" w:space="0" w:color="auto"/>
            </w:tcBorders>
            <w:shd w:val="clear" w:color="auto" w:fill="auto"/>
            <w:vAlign w:val="bottom"/>
            <w:hideMark/>
          </w:tcPr>
          <w:p w14:paraId="1EC6330B" w14:textId="77777777" w:rsidR="00387142" w:rsidRPr="008B6A75" w:rsidRDefault="00387142" w:rsidP="00387142">
            <w:pPr>
              <w:jc w:val="right"/>
              <w:rPr>
                <w:color w:val="000000"/>
                <w:sz w:val="20"/>
                <w:szCs w:val="20"/>
              </w:rPr>
            </w:pPr>
            <w:r w:rsidRPr="008B6A75">
              <w:rPr>
                <w:color w:val="000000"/>
                <w:sz w:val="20"/>
                <w:szCs w:val="20"/>
              </w:rPr>
              <w:t>14 838 717,00</w:t>
            </w:r>
          </w:p>
        </w:tc>
        <w:tc>
          <w:tcPr>
            <w:tcW w:w="2429" w:type="dxa"/>
            <w:gridSpan w:val="2"/>
            <w:tcBorders>
              <w:top w:val="nil"/>
              <w:left w:val="nil"/>
              <w:bottom w:val="single" w:sz="4" w:space="0" w:color="auto"/>
              <w:right w:val="single" w:sz="4" w:space="0" w:color="auto"/>
            </w:tcBorders>
            <w:shd w:val="clear" w:color="auto" w:fill="auto"/>
            <w:noWrap/>
            <w:vAlign w:val="bottom"/>
            <w:hideMark/>
          </w:tcPr>
          <w:p w14:paraId="34A0DCF4" w14:textId="77777777" w:rsidR="00387142" w:rsidRPr="008B6A75" w:rsidRDefault="00387142" w:rsidP="00387142">
            <w:pPr>
              <w:jc w:val="right"/>
              <w:rPr>
                <w:color w:val="000000"/>
                <w:sz w:val="20"/>
                <w:szCs w:val="20"/>
              </w:rPr>
            </w:pPr>
            <w:r w:rsidRPr="008B6A75">
              <w:rPr>
                <w:color w:val="000000"/>
                <w:sz w:val="20"/>
                <w:szCs w:val="20"/>
              </w:rPr>
              <w:t>12 916 217,00</w:t>
            </w:r>
          </w:p>
        </w:tc>
        <w:tc>
          <w:tcPr>
            <w:tcW w:w="2719" w:type="dxa"/>
            <w:tcBorders>
              <w:top w:val="nil"/>
              <w:left w:val="nil"/>
              <w:bottom w:val="single" w:sz="4" w:space="0" w:color="auto"/>
              <w:right w:val="single" w:sz="4" w:space="0" w:color="auto"/>
            </w:tcBorders>
            <w:shd w:val="clear" w:color="auto" w:fill="auto"/>
            <w:vAlign w:val="center"/>
            <w:hideMark/>
          </w:tcPr>
          <w:p w14:paraId="1A4939B6" w14:textId="77777777" w:rsidR="00387142" w:rsidRPr="008B6A75" w:rsidRDefault="00387142" w:rsidP="00387142">
            <w:pPr>
              <w:jc w:val="right"/>
              <w:rPr>
                <w:color w:val="000000"/>
                <w:sz w:val="20"/>
                <w:szCs w:val="20"/>
              </w:rPr>
            </w:pPr>
            <w:r w:rsidRPr="008B6A75">
              <w:rPr>
                <w:color w:val="000000"/>
                <w:sz w:val="20"/>
                <w:szCs w:val="20"/>
              </w:rPr>
              <w:t>1 922 500,00</w:t>
            </w:r>
          </w:p>
        </w:tc>
        <w:tc>
          <w:tcPr>
            <w:tcW w:w="222" w:type="dxa"/>
            <w:vAlign w:val="center"/>
            <w:hideMark/>
          </w:tcPr>
          <w:p w14:paraId="0637B005" w14:textId="77777777" w:rsidR="00387142" w:rsidRPr="008B6A75" w:rsidRDefault="00387142" w:rsidP="00387142">
            <w:pPr>
              <w:rPr>
                <w:sz w:val="20"/>
                <w:szCs w:val="20"/>
              </w:rPr>
            </w:pPr>
          </w:p>
        </w:tc>
      </w:tr>
      <w:tr w:rsidR="00387142" w:rsidRPr="008B6A75" w14:paraId="2A634A12" w14:textId="77777777" w:rsidTr="00387142">
        <w:trPr>
          <w:gridAfter w:val="2"/>
          <w:wAfter w:w="118" w:type="dxa"/>
          <w:trHeight w:val="315"/>
        </w:trPr>
        <w:tc>
          <w:tcPr>
            <w:tcW w:w="663" w:type="dxa"/>
            <w:gridSpan w:val="2"/>
            <w:tcBorders>
              <w:top w:val="nil"/>
              <w:left w:val="single" w:sz="4" w:space="0" w:color="auto"/>
              <w:bottom w:val="single" w:sz="4" w:space="0" w:color="auto"/>
              <w:right w:val="single" w:sz="4" w:space="0" w:color="auto"/>
            </w:tcBorders>
            <w:shd w:val="clear" w:color="auto" w:fill="auto"/>
            <w:vAlign w:val="bottom"/>
            <w:hideMark/>
          </w:tcPr>
          <w:p w14:paraId="3E14B624" w14:textId="77777777" w:rsidR="00387142" w:rsidRPr="008B6A75" w:rsidRDefault="00387142" w:rsidP="00387142">
            <w:pPr>
              <w:rPr>
                <w:color w:val="000000"/>
                <w:sz w:val="20"/>
                <w:szCs w:val="20"/>
              </w:rPr>
            </w:pPr>
            <w:r w:rsidRPr="008B6A75">
              <w:rPr>
                <w:color w:val="000000"/>
                <w:sz w:val="20"/>
                <w:szCs w:val="20"/>
              </w:rPr>
              <w:t> </w:t>
            </w:r>
          </w:p>
        </w:tc>
        <w:tc>
          <w:tcPr>
            <w:tcW w:w="1944" w:type="dxa"/>
            <w:tcBorders>
              <w:top w:val="nil"/>
              <w:left w:val="nil"/>
              <w:bottom w:val="single" w:sz="4" w:space="0" w:color="auto"/>
              <w:right w:val="single" w:sz="4" w:space="0" w:color="auto"/>
            </w:tcBorders>
            <w:shd w:val="clear" w:color="auto" w:fill="auto"/>
            <w:vAlign w:val="bottom"/>
            <w:hideMark/>
          </w:tcPr>
          <w:p w14:paraId="3B9C586C" w14:textId="77777777" w:rsidR="00387142" w:rsidRPr="008B6A75" w:rsidRDefault="00387142" w:rsidP="00387142">
            <w:pPr>
              <w:rPr>
                <w:color w:val="000000"/>
                <w:sz w:val="20"/>
                <w:szCs w:val="20"/>
              </w:rPr>
            </w:pPr>
            <w:r w:rsidRPr="008B6A75">
              <w:rPr>
                <w:color w:val="000000"/>
                <w:sz w:val="20"/>
                <w:szCs w:val="20"/>
              </w:rPr>
              <w:t>Итого</w:t>
            </w:r>
          </w:p>
        </w:tc>
        <w:tc>
          <w:tcPr>
            <w:tcW w:w="1944" w:type="dxa"/>
            <w:gridSpan w:val="2"/>
            <w:tcBorders>
              <w:top w:val="nil"/>
              <w:left w:val="nil"/>
              <w:bottom w:val="single" w:sz="4" w:space="0" w:color="auto"/>
              <w:right w:val="single" w:sz="4" w:space="0" w:color="auto"/>
            </w:tcBorders>
            <w:shd w:val="clear" w:color="auto" w:fill="auto"/>
            <w:vAlign w:val="bottom"/>
            <w:hideMark/>
          </w:tcPr>
          <w:p w14:paraId="77F8FCCD" w14:textId="77777777" w:rsidR="00387142" w:rsidRPr="008B6A75" w:rsidRDefault="00387142" w:rsidP="00387142">
            <w:pPr>
              <w:jc w:val="right"/>
              <w:rPr>
                <w:color w:val="000000"/>
                <w:sz w:val="20"/>
                <w:szCs w:val="20"/>
              </w:rPr>
            </w:pPr>
            <w:r w:rsidRPr="008B6A75">
              <w:rPr>
                <w:color w:val="000000"/>
                <w:sz w:val="20"/>
                <w:szCs w:val="20"/>
              </w:rPr>
              <w:t>14 838 717,00</w:t>
            </w:r>
          </w:p>
        </w:tc>
        <w:tc>
          <w:tcPr>
            <w:tcW w:w="2429" w:type="dxa"/>
            <w:gridSpan w:val="2"/>
            <w:tcBorders>
              <w:top w:val="nil"/>
              <w:left w:val="nil"/>
              <w:bottom w:val="single" w:sz="4" w:space="0" w:color="auto"/>
              <w:right w:val="single" w:sz="4" w:space="0" w:color="auto"/>
            </w:tcBorders>
            <w:shd w:val="clear" w:color="000000" w:fill="FFFFFF"/>
            <w:vAlign w:val="bottom"/>
            <w:hideMark/>
          </w:tcPr>
          <w:p w14:paraId="26072EF3" w14:textId="77777777" w:rsidR="00387142" w:rsidRPr="008B6A75" w:rsidRDefault="00387142" w:rsidP="00387142">
            <w:pPr>
              <w:jc w:val="right"/>
              <w:rPr>
                <w:color w:val="000000"/>
                <w:sz w:val="20"/>
                <w:szCs w:val="20"/>
              </w:rPr>
            </w:pPr>
            <w:r w:rsidRPr="008B6A75">
              <w:rPr>
                <w:color w:val="000000"/>
                <w:sz w:val="20"/>
                <w:szCs w:val="20"/>
              </w:rPr>
              <w:t>12 916 217,00</w:t>
            </w:r>
          </w:p>
        </w:tc>
        <w:tc>
          <w:tcPr>
            <w:tcW w:w="2719" w:type="dxa"/>
            <w:tcBorders>
              <w:top w:val="nil"/>
              <w:left w:val="nil"/>
              <w:bottom w:val="single" w:sz="4" w:space="0" w:color="auto"/>
              <w:right w:val="single" w:sz="4" w:space="0" w:color="auto"/>
            </w:tcBorders>
            <w:shd w:val="clear" w:color="000000" w:fill="FFFFFF"/>
            <w:vAlign w:val="bottom"/>
            <w:hideMark/>
          </w:tcPr>
          <w:p w14:paraId="7CA0D818" w14:textId="77777777" w:rsidR="00387142" w:rsidRPr="008B6A75" w:rsidRDefault="00387142" w:rsidP="00387142">
            <w:pPr>
              <w:jc w:val="right"/>
              <w:rPr>
                <w:color w:val="000000"/>
                <w:sz w:val="20"/>
                <w:szCs w:val="20"/>
              </w:rPr>
            </w:pPr>
            <w:r w:rsidRPr="008B6A75">
              <w:rPr>
                <w:color w:val="000000"/>
                <w:sz w:val="20"/>
                <w:szCs w:val="20"/>
              </w:rPr>
              <w:t>1 922 500,00</w:t>
            </w:r>
          </w:p>
        </w:tc>
        <w:tc>
          <w:tcPr>
            <w:tcW w:w="222" w:type="dxa"/>
            <w:vAlign w:val="center"/>
            <w:hideMark/>
          </w:tcPr>
          <w:p w14:paraId="418F1D49" w14:textId="77777777" w:rsidR="00387142" w:rsidRPr="008B6A75" w:rsidRDefault="00387142" w:rsidP="00387142">
            <w:pPr>
              <w:rPr>
                <w:sz w:val="20"/>
                <w:szCs w:val="20"/>
              </w:rPr>
            </w:pPr>
          </w:p>
        </w:tc>
      </w:tr>
      <w:tr w:rsidR="00387142" w:rsidRPr="008B6A75" w14:paraId="7F8748C6" w14:textId="77777777" w:rsidTr="00387142">
        <w:trPr>
          <w:gridAfter w:val="1"/>
          <w:wAfter w:w="36" w:type="dxa"/>
          <w:trHeight w:val="315"/>
        </w:trPr>
        <w:tc>
          <w:tcPr>
            <w:tcW w:w="583" w:type="dxa"/>
            <w:tcBorders>
              <w:top w:val="nil"/>
              <w:left w:val="nil"/>
              <w:bottom w:val="nil"/>
              <w:right w:val="nil"/>
            </w:tcBorders>
            <w:shd w:val="clear" w:color="auto" w:fill="auto"/>
            <w:noWrap/>
            <w:vAlign w:val="bottom"/>
            <w:hideMark/>
          </w:tcPr>
          <w:p w14:paraId="3E1D5221" w14:textId="77777777" w:rsidR="00387142" w:rsidRPr="008B6A75" w:rsidRDefault="00387142" w:rsidP="00387142">
            <w:pPr>
              <w:rPr>
                <w:sz w:val="20"/>
                <w:szCs w:val="20"/>
              </w:rPr>
            </w:pPr>
          </w:p>
        </w:tc>
        <w:tc>
          <w:tcPr>
            <w:tcW w:w="3180" w:type="dxa"/>
            <w:gridSpan w:val="3"/>
            <w:tcBorders>
              <w:top w:val="nil"/>
              <w:left w:val="nil"/>
              <w:bottom w:val="nil"/>
              <w:right w:val="nil"/>
            </w:tcBorders>
            <w:shd w:val="clear" w:color="auto" w:fill="auto"/>
            <w:noWrap/>
            <w:vAlign w:val="bottom"/>
            <w:hideMark/>
          </w:tcPr>
          <w:p w14:paraId="05E4A1AB" w14:textId="77777777" w:rsidR="00387142" w:rsidRPr="008B6A75" w:rsidRDefault="00387142" w:rsidP="00387142">
            <w:pPr>
              <w:rPr>
                <w:sz w:val="20"/>
                <w:szCs w:val="20"/>
              </w:rPr>
            </w:pPr>
          </w:p>
        </w:tc>
        <w:tc>
          <w:tcPr>
            <w:tcW w:w="3180" w:type="dxa"/>
            <w:gridSpan w:val="2"/>
            <w:tcBorders>
              <w:top w:val="nil"/>
              <w:left w:val="nil"/>
              <w:bottom w:val="nil"/>
              <w:right w:val="nil"/>
            </w:tcBorders>
            <w:shd w:val="clear" w:color="auto" w:fill="auto"/>
            <w:noWrap/>
            <w:vAlign w:val="bottom"/>
            <w:hideMark/>
          </w:tcPr>
          <w:p w14:paraId="2F1AE341" w14:textId="77777777" w:rsidR="00387142" w:rsidRPr="008B6A75" w:rsidRDefault="00387142" w:rsidP="00387142">
            <w:pPr>
              <w:rPr>
                <w:sz w:val="20"/>
                <w:szCs w:val="20"/>
              </w:rPr>
            </w:pPr>
          </w:p>
        </w:tc>
        <w:tc>
          <w:tcPr>
            <w:tcW w:w="3060" w:type="dxa"/>
            <w:gridSpan w:val="4"/>
            <w:tcBorders>
              <w:top w:val="nil"/>
              <w:left w:val="nil"/>
              <w:bottom w:val="nil"/>
              <w:right w:val="nil"/>
            </w:tcBorders>
            <w:shd w:val="clear" w:color="auto" w:fill="auto"/>
            <w:noWrap/>
            <w:vAlign w:val="bottom"/>
            <w:hideMark/>
          </w:tcPr>
          <w:p w14:paraId="358D0F0D" w14:textId="77777777" w:rsidR="00387142" w:rsidRPr="008B6A75" w:rsidRDefault="00387142" w:rsidP="00387142">
            <w:pPr>
              <w:jc w:val="right"/>
              <w:rPr>
                <w:color w:val="000000"/>
                <w:sz w:val="20"/>
                <w:szCs w:val="20"/>
              </w:rPr>
            </w:pPr>
            <w:r w:rsidRPr="008B6A75">
              <w:rPr>
                <w:color w:val="000000"/>
                <w:sz w:val="20"/>
                <w:szCs w:val="20"/>
              </w:rPr>
              <w:t>таблица 7</w:t>
            </w:r>
          </w:p>
        </w:tc>
      </w:tr>
      <w:tr w:rsidR="00387142" w:rsidRPr="008B6A75" w14:paraId="508E0303" w14:textId="77777777" w:rsidTr="00387142">
        <w:trPr>
          <w:gridAfter w:val="1"/>
          <w:wAfter w:w="36" w:type="dxa"/>
          <w:trHeight w:val="315"/>
        </w:trPr>
        <w:tc>
          <w:tcPr>
            <w:tcW w:w="583" w:type="dxa"/>
            <w:tcBorders>
              <w:top w:val="nil"/>
              <w:left w:val="nil"/>
              <w:bottom w:val="nil"/>
              <w:right w:val="nil"/>
            </w:tcBorders>
            <w:shd w:val="clear" w:color="auto" w:fill="auto"/>
            <w:noWrap/>
            <w:vAlign w:val="bottom"/>
            <w:hideMark/>
          </w:tcPr>
          <w:p w14:paraId="03FFD915" w14:textId="77777777" w:rsidR="00387142" w:rsidRPr="008B6A75" w:rsidRDefault="00387142" w:rsidP="00387142">
            <w:pPr>
              <w:jc w:val="right"/>
              <w:rPr>
                <w:color w:val="000000"/>
                <w:sz w:val="20"/>
                <w:szCs w:val="20"/>
              </w:rPr>
            </w:pPr>
          </w:p>
        </w:tc>
        <w:tc>
          <w:tcPr>
            <w:tcW w:w="3180" w:type="dxa"/>
            <w:gridSpan w:val="3"/>
            <w:tcBorders>
              <w:top w:val="nil"/>
              <w:left w:val="nil"/>
              <w:bottom w:val="nil"/>
              <w:right w:val="nil"/>
            </w:tcBorders>
            <w:shd w:val="clear" w:color="auto" w:fill="auto"/>
            <w:noWrap/>
            <w:vAlign w:val="bottom"/>
            <w:hideMark/>
          </w:tcPr>
          <w:p w14:paraId="0937A591" w14:textId="77777777" w:rsidR="00387142" w:rsidRPr="008B6A75" w:rsidRDefault="00387142" w:rsidP="00387142">
            <w:pPr>
              <w:rPr>
                <w:sz w:val="20"/>
                <w:szCs w:val="20"/>
              </w:rPr>
            </w:pPr>
          </w:p>
        </w:tc>
        <w:tc>
          <w:tcPr>
            <w:tcW w:w="3180" w:type="dxa"/>
            <w:gridSpan w:val="2"/>
            <w:tcBorders>
              <w:top w:val="nil"/>
              <w:left w:val="nil"/>
              <w:bottom w:val="nil"/>
              <w:right w:val="nil"/>
            </w:tcBorders>
            <w:shd w:val="clear" w:color="auto" w:fill="auto"/>
            <w:noWrap/>
            <w:vAlign w:val="bottom"/>
            <w:hideMark/>
          </w:tcPr>
          <w:p w14:paraId="36D76239" w14:textId="77777777" w:rsidR="00387142" w:rsidRPr="008B6A75" w:rsidRDefault="00387142" w:rsidP="00387142">
            <w:pPr>
              <w:rPr>
                <w:sz w:val="20"/>
                <w:szCs w:val="20"/>
              </w:rPr>
            </w:pPr>
          </w:p>
        </w:tc>
        <w:tc>
          <w:tcPr>
            <w:tcW w:w="3060" w:type="dxa"/>
            <w:gridSpan w:val="4"/>
            <w:tcBorders>
              <w:top w:val="nil"/>
              <w:left w:val="nil"/>
              <w:bottom w:val="nil"/>
              <w:right w:val="nil"/>
            </w:tcBorders>
            <w:shd w:val="clear" w:color="auto" w:fill="auto"/>
            <w:noWrap/>
            <w:vAlign w:val="bottom"/>
            <w:hideMark/>
          </w:tcPr>
          <w:p w14:paraId="7FE00789" w14:textId="77777777" w:rsidR="00387142" w:rsidRPr="008B6A75" w:rsidRDefault="00387142" w:rsidP="00387142">
            <w:pPr>
              <w:jc w:val="right"/>
              <w:rPr>
                <w:color w:val="000000"/>
                <w:sz w:val="20"/>
                <w:szCs w:val="20"/>
              </w:rPr>
            </w:pPr>
            <w:r w:rsidRPr="008B6A75">
              <w:rPr>
                <w:color w:val="000000"/>
                <w:sz w:val="20"/>
                <w:szCs w:val="20"/>
              </w:rPr>
              <w:t>Приложение 11</w:t>
            </w:r>
          </w:p>
        </w:tc>
      </w:tr>
      <w:tr w:rsidR="00387142" w:rsidRPr="008B6A75" w14:paraId="11C938FA" w14:textId="77777777" w:rsidTr="00387142">
        <w:trPr>
          <w:gridAfter w:val="1"/>
          <w:wAfter w:w="36" w:type="dxa"/>
          <w:trHeight w:val="525"/>
        </w:trPr>
        <w:tc>
          <w:tcPr>
            <w:tcW w:w="583" w:type="dxa"/>
            <w:tcBorders>
              <w:top w:val="nil"/>
              <w:left w:val="nil"/>
              <w:bottom w:val="nil"/>
              <w:right w:val="nil"/>
            </w:tcBorders>
            <w:shd w:val="clear" w:color="auto" w:fill="auto"/>
            <w:vAlign w:val="bottom"/>
            <w:hideMark/>
          </w:tcPr>
          <w:p w14:paraId="731667D3" w14:textId="77777777" w:rsidR="00387142" w:rsidRPr="008B6A75" w:rsidRDefault="00387142" w:rsidP="00387142">
            <w:pPr>
              <w:jc w:val="right"/>
              <w:rPr>
                <w:color w:val="000000"/>
                <w:sz w:val="20"/>
                <w:szCs w:val="20"/>
              </w:rPr>
            </w:pPr>
          </w:p>
        </w:tc>
        <w:tc>
          <w:tcPr>
            <w:tcW w:w="3180" w:type="dxa"/>
            <w:gridSpan w:val="3"/>
            <w:tcBorders>
              <w:top w:val="nil"/>
              <w:left w:val="nil"/>
              <w:bottom w:val="nil"/>
              <w:right w:val="nil"/>
            </w:tcBorders>
            <w:shd w:val="clear" w:color="auto" w:fill="auto"/>
            <w:vAlign w:val="bottom"/>
            <w:hideMark/>
          </w:tcPr>
          <w:p w14:paraId="3D99EC69" w14:textId="77777777" w:rsidR="00387142" w:rsidRPr="008B6A75" w:rsidRDefault="00387142" w:rsidP="00387142">
            <w:pPr>
              <w:jc w:val="center"/>
              <w:rPr>
                <w:sz w:val="20"/>
                <w:szCs w:val="20"/>
              </w:rPr>
            </w:pPr>
          </w:p>
        </w:tc>
        <w:tc>
          <w:tcPr>
            <w:tcW w:w="3180" w:type="dxa"/>
            <w:gridSpan w:val="2"/>
            <w:tcBorders>
              <w:top w:val="nil"/>
              <w:left w:val="nil"/>
              <w:bottom w:val="nil"/>
              <w:right w:val="nil"/>
            </w:tcBorders>
            <w:shd w:val="clear" w:color="auto" w:fill="auto"/>
            <w:vAlign w:val="bottom"/>
            <w:hideMark/>
          </w:tcPr>
          <w:p w14:paraId="550F3B34" w14:textId="77777777" w:rsidR="00387142" w:rsidRPr="008B6A75" w:rsidRDefault="00387142" w:rsidP="00387142">
            <w:pPr>
              <w:jc w:val="center"/>
              <w:rPr>
                <w:sz w:val="20"/>
                <w:szCs w:val="20"/>
              </w:rPr>
            </w:pPr>
          </w:p>
        </w:tc>
        <w:tc>
          <w:tcPr>
            <w:tcW w:w="3060" w:type="dxa"/>
            <w:gridSpan w:val="4"/>
            <w:tcBorders>
              <w:top w:val="nil"/>
              <w:left w:val="nil"/>
              <w:bottom w:val="nil"/>
              <w:right w:val="nil"/>
            </w:tcBorders>
            <w:shd w:val="clear" w:color="auto" w:fill="auto"/>
            <w:vAlign w:val="bottom"/>
            <w:hideMark/>
          </w:tcPr>
          <w:p w14:paraId="445F2989" w14:textId="77777777" w:rsidR="00387142" w:rsidRPr="008B6A75" w:rsidRDefault="00387142" w:rsidP="00387142">
            <w:pPr>
              <w:jc w:val="center"/>
              <w:rPr>
                <w:sz w:val="20"/>
                <w:szCs w:val="20"/>
              </w:rPr>
            </w:pPr>
          </w:p>
        </w:tc>
      </w:tr>
      <w:tr w:rsidR="00387142" w:rsidRPr="008B6A75" w14:paraId="3A52E142" w14:textId="77777777" w:rsidTr="00387142">
        <w:trPr>
          <w:gridAfter w:val="1"/>
          <w:wAfter w:w="36" w:type="dxa"/>
          <w:trHeight w:val="2430"/>
        </w:trPr>
        <w:tc>
          <w:tcPr>
            <w:tcW w:w="10003" w:type="dxa"/>
            <w:gridSpan w:val="10"/>
            <w:tcBorders>
              <w:top w:val="nil"/>
              <w:left w:val="nil"/>
              <w:bottom w:val="nil"/>
              <w:right w:val="nil"/>
            </w:tcBorders>
            <w:shd w:val="clear" w:color="auto" w:fill="auto"/>
            <w:vAlign w:val="center"/>
            <w:hideMark/>
          </w:tcPr>
          <w:p w14:paraId="6F9B77E1" w14:textId="77777777" w:rsidR="00387142" w:rsidRPr="008B6A75" w:rsidRDefault="00387142" w:rsidP="00387142">
            <w:pPr>
              <w:jc w:val="center"/>
              <w:rPr>
                <w:color w:val="000000"/>
                <w:sz w:val="20"/>
                <w:szCs w:val="20"/>
              </w:rPr>
            </w:pPr>
            <w:r w:rsidRPr="008B6A75">
              <w:rPr>
                <w:color w:val="000000"/>
                <w:sz w:val="20"/>
                <w:szCs w:val="20"/>
              </w:rPr>
              <w:t xml:space="preserve">Субсидии на осуществление полномочий по организации регулярных перевозок пассажиров и багажа по муниципальным маршрутам государственной программы Новосибирской области "Обеспечение доступности услуг общественного пассажирского транспорта, в том числе Новосибирского метрополитена, для населения Новосибирской области" </w:t>
            </w:r>
          </w:p>
        </w:tc>
      </w:tr>
      <w:tr w:rsidR="00387142" w:rsidRPr="008B6A75" w14:paraId="5FB90391" w14:textId="77777777" w:rsidTr="00387142">
        <w:trPr>
          <w:gridAfter w:val="1"/>
          <w:wAfter w:w="36" w:type="dxa"/>
          <w:trHeight w:val="825"/>
        </w:trPr>
        <w:tc>
          <w:tcPr>
            <w:tcW w:w="583" w:type="dxa"/>
            <w:tcBorders>
              <w:top w:val="nil"/>
              <w:left w:val="nil"/>
              <w:bottom w:val="nil"/>
              <w:right w:val="nil"/>
            </w:tcBorders>
            <w:shd w:val="clear" w:color="auto" w:fill="auto"/>
            <w:vAlign w:val="center"/>
            <w:hideMark/>
          </w:tcPr>
          <w:p w14:paraId="189877D2" w14:textId="77777777" w:rsidR="00387142" w:rsidRPr="008B6A75" w:rsidRDefault="00387142" w:rsidP="00387142">
            <w:pPr>
              <w:jc w:val="center"/>
              <w:rPr>
                <w:color w:val="000000"/>
                <w:sz w:val="20"/>
                <w:szCs w:val="20"/>
              </w:rPr>
            </w:pPr>
          </w:p>
        </w:tc>
        <w:tc>
          <w:tcPr>
            <w:tcW w:w="3180" w:type="dxa"/>
            <w:gridSpan w:val="3"/>
            <w:tcBorders>
              <w:top w:val="nil"/>
              <w:left w:val="nil"/>
              <w:bottom w:val="nil"/>
              <w:right w:val="nil"/>
            </w:tcBorders>
            <w:shd w:val="clear" w:color="auto" w:fill="auto"/>
            <w:vAlign w:val="center"/>
            <w:hideMark/>
          </w:tcPr>
          <w:p w14:paraId="2C397AC6" w14:textId="77777777" w:rsidR="00387142" w:rsidRPr="008B6A75" w:rsidRDefault="00387142" w:rsidP="00387142">
            <w:pPr>
              <w:rPr>
                <w:sz w:val="20"/>
                <w:szCs w:val="20"/>
              </w:rPr>
            </w:pPr>
          </w:p>
        </w:tc>
        <w:tc>
          <w:tcPr>
            <w:tcW w:w="3180" w:type="dxa"/>
            <w:gridSpan w:val="2"/>
            <w:tcBorders>
              <w:top w:val="nil"/>
              <w:left w:val="nil"/>
              <w:bottom w:val="nil"/>
              <w:right w:val="nil"/>
            </w:tcBorders>
            <w:shd w:val="clear" w:color="auto" w:fill="auto"/>
            <w:vAlign w:val="center"/>
            <w:hideMark/>
          </w:tcPr>
          <w:p w14:paraId="3427BC59" w14:textId="77777777" w:rsidR="00387142" w:rsidRPr="008B6A75" w:rsidRDefault="00387142" w:rsidP="00387142">
            <w:pPr>
              <w:rPr>
                <w:sz w:val="20"/>
                <w:szCs w:val="20"/>
              </w:rPr>
            </w:pPr>
          </w:p>
        </w:tc>
        <w:tc>
          <w:tcPr>
            <w:tcW w:w="3060" w:type="dxa"/>
            <w:gridSpan w:val="4"/>
            <w:tcBorders>
              <w:top w:val="nil"/>
              <w:left w:val="nil"/>
              <w:bottom w:val="nil"/>
              <w:right w:val="nil"/>
            </w:tcBorders>
            <w:shd w:val="clear" w:color="auto" w:fill="auto"/>
            <w:vAlign w:val="center"/>
            <w:hideMark/>
          </w:tcPr>
          <w:p w14:paraId="73716192" w14:textId="77777777" w:rsidR="00387142" w:rsidRPr="008B6A75" w:rsidRDefault="00387142" w:rsidP="00387142">
            <w:pPr>
              <w:rPr>
                <w:sz w:val="20"/>
                <w:szCs w:val="20"/>
              </w:rPr>
            </w:pPr>
          </w:p>
        </w:tc>
      </w:tr>
      <w:tr w:rsidR="00387142" w:rsidRPr="008B6A75" w14:paraId="12824916" w14:textId="77777777" w:rsidTr="00387142">
        <w:trPr>
          <w:gridAfter w:val="1"/>
          <w:wAfter w:w="36" w:type="dxa"/>
          <w:trHeight w:val="315"/>
        </w:trPr>
        <w:tc>
          <w:tcPr>
            <w:tcW w:w="583" w:type="dxa"/>
            <w:tcBorders>
              <w:top w:val="nil"/>
              <w:left w:val="nil"/>
              <w:bottom w:val="single" w:sz="4" w:space="0" w:color="auto"/>
              <w:right w:val="nil"/>
            </w:tcBorders>
            <w:shd w:val="clear" w:color="auto" w:fill="auto"/>
            <w:vAlign w:val="bottom"/>
            <w:hideMark/>
          </w:tcPr>
          <w:p w14:paraId="57CAB04F" w14:textId="77777777" w:rsidR="00387142" w:rsidRPr="008B6A75" w:rsidRDefault="00387142" w:rsidP="00387142">
            <w:pPr>
              <w:jc w:val="center"/>
              <w:rPr>
                <w:color w:val="000000"/>
                <w:sz w:val="20"/>
                <w:szCs w:val="20"/>
              </w:rPr>
            </w:pPr>
            <w:r w:rsidRPr="008B6A75">
              <w:rPr>
                <w:color w:val="000000"/>
                <w:sz w:val="20"/>
                <w:szCs w:val="20"/>
              </w:rPr>
              <w:t> </w:t>
            </w:r>
          </w:p>
        </w:tc>
        <w:tc>
          <w:tcPr>
            <w:tcW w:w="3180" w:type="dxa"/>
            <w:gridSpan w:val="3"/>
            <w:tcBorders>
              <w:top w:val="nil"/>
              <w:left w:val="nil"/>
              <w:bottom w:val="single" w:sz="4" w:space="0" w:color="auto"/>
              <w:right w:val="nil"/>
            </w:tcBorders>
            <w:shd w:val="clear" w:color="auto" w:fill="auto"/>
            <w:vAlign w:val="bottom"/>
            <w:hideMark/>
          </w:tcPr>
          <w:p w14:paraId="15DAB05A" w14:textId="77777777" w:rsidR="00387142" w:rsidRPr="008B6A75" w:rsidRDefault="00387142" w:rsidP="00387142">
            <w:pPr>
              <w:jc w:val="center"/>
              <w:rPr>
                <w:color w:val="000000"/>
                <w:sz w:val="20"/>
                <w:szCs w:val="20"/>
              </w:rPr>
            </w:pPr>
            <w:r w:rsidRPr="008B6A75">
              <w:rPr>
                <w:color w:val="000000"/>
                <w:sz w:val="20"/>
                <w:szCs w:val="20"/>
              </w:rPr>
              <w:t> </w:t>
            </w:r>
          </w:p>
        </w:tc>
        <w:tc>
          <w:tcPr>
            <w:tcW w:w="3180" w:type="dxa"/>
            <w:gridSpan w:val="2"/>
            <w:tcBorders>
              <w:top w:val="nil"/>
              <w:left w:val="nil"/>
              <w:bottom w:val="single" w:sz="4" w:space="0" w:color="auto"/>
              <w:right w:val="nil"/>
            </w:tcBorders>
            <w:shd w:val="clear" w:color="auto" w:fill="auto"/>
            <w:vAlign w:val="bottom"/>
            <w:hideMark/>
          </w:tcPr>
          <w:p w14:paraId="01AC2485" w14:textId="77777777" w:rsidR="00387142" w:rsidRPr="008B6A75" w:rsidRDefault="00387142" w:rsidP="00387142">
            <w:pPr>
              <w:jc w:val="center"/>
              <w:rPr>
                <w:color w:val="000000"/>
                <w:sz w:val="20"/>
                <w:szCs w:val="20"/>
              </w:rPr>
            </w:pPr>
            <w:r w:rsidRPr="008B6A75">
              <w:rPr>
                <w:color w:val="000000"/>
                <w:sz w:val="20"/>
                <w:szCs w:val="20"/>
              </w:rPr>
              <w:t> </w:t>
            </w:r>
          </w:p>
        </w:tc>
        <w:tc>
          <w:tcPr>
            <w:tcW w:w="3060" w:type="dxa"/>
            <w:gridSpan w:val="4"/>
            <w:tcBorders>
              <w:top w:val="nil"/>
              <w:left w:val="nil"/>
              <w:bottom w:val="single" w:sz="4" w:space="0" w:color="auto"/>
              <w:right w:val="nil"/>
            </w:tcBorders>
            <w:shd w:val="clear" w:color="auto" w:fill="auto"/>
            <w:vAlign w:val="bottom"/>
            <w:hideMark/>
          </w:tcPr>
          <w:p w14:paraId="4401C228" w14:textId="77777777" w:rsidR="00387142" w:rsidRPr="008B6A75" w:rsidRDefault="00387142" w:rsidP="00387142">
            <w:pPr>
              <w:jc w:val="center"/>
              <w:rPr>
                <w:color w:val="000000"/>
                <w:sz w:val="20"/>
                <w:szCs w:val="20"/>
              </w:rPr>
            </w:pPr>
            <w:r w:rsidRPr="008B6A75">
              <w:rPr>
                <w:color w:val="000000"/>
                <w:sz w:val="20"/>
                <w:szCs w:val="20"/>
              </w:rPr>
              <w:t> </w:t>
            </w:r>
          </w:p>
        </w:tc>
      </w:tr>
      <w:tr w:rsidR="00387142" w:rsidRPr="008B6A75" w14:paraId="316EB8B6" w14:textId="77777777" w:rsidTr="00387142">
        <w:trPr>
          <w:gridAfter w:val="1"/>
          <w:wAfter w:w="36" w:type="dxa"/>
          <w:trHeight w:val="408"/>
        </w:trPr>
        <w:tc>
          <w:tcPr>
            <w:tcW w:w="583" w:type="dxa"/>
            <w:vMerge w:val="restart"/>
            <w:tcBorders>
              <w:top w:val="nil"/>
              <w:left w:val="single" w:sz="4" w:space="0" w:color="auto"/>
              <w:bottom w:val="single" w:sz="4" w:space="0" w:color="000000"/>
              <w:right w:val="single" w:sz="4" w:space="0" w:color="auto"/>
            </w:tcBorders>
            <w:shd w:val="clear" w:color="auto" w:fill="auto"/>
            <w:vAlign w:val="center"/>
            <w:hideMark/>
          </w:tcPr>
          <w:p w14:paraId="2B3A7F39" w14:textId="77777777" w:rsidR="00387142" w:rsidRPr="008B6A75" w:rsidRDefault="00387142" w:rsidP="00387142">
            <w:pPr>
              <w:jc w:val="center"/>
              <w:rPr>
                <w:color w:val="000000"/>
                <w:sz w:val="20"/>
                <w:szCs w:val="20"/>
              </w:rPr>
            </w:pPr>
            <w:r w:rsidRPr="008B6A75">
              <w:rPr>
                <w:color w:val="000000"/>
                <w:sz w:val="20"/>
                <w:szCs w:val="20"/>
              </w:rPr>
              <w:t>№п/п</w:t>
            </w:r>
          </w:p>
        </w:tc>
        <w:tc>
          <w:tcPr>
            <w:tcW w:w="3180"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14:paraId="7E2F8A51" w14:textId="77777777" w:rsidR="00387142" w:rsidRPr="008B6A75" w:rsidRDefault="00387142" w:rsidP="00387142">
            <w:pPr>
              <w:jc w:val="center"/>
              <w:rPr>
                <w:color w:val="000000"/>
                <w:sz w:val="20"/>
                <w:szCs w:val="20"/>
              </w:rPr>
            </w:pPr>
            <w:r w:rsidRPr="008B6A75">
              <w:rPr>
                <w:color w:val="000000"/>
                <w:sz w:val="20"/>
                <w:szCs w:val="20"/>
              </w:rPr>
              <w:t>Наименование поселений</w:t>
            </w:r>
          </w:p>
        </w:tc>
        <w:tc>
          <w:tcPr>
            <w:tcW w:w="318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00DA32C0" w14:textId="77777777" w:rsidR="00387142" w:rsidRPr="008B6A75" w:rsidRDefault="00387142" w:rsidP="00387142">
            <w:pPr>
              <w:jc w:val="center"/>
              <w:rPr>
                <w:color w:val="000000"/>
                <w:sz w:val="20"/>
                <w:szCs w:val="20"/>
              </w:rPr>
            </w:pPr>
            <w:r w:rsidRPr="008B6A75">
              <w:rPr>
                <w:color w:val="000000"/>
                <w:sz w:val="20"/>
                <w:szCs w:val="20"/>
              </w:rPr>
              <w:t>Сумма в рублях</w:t>
            </w:r>
          </w:p>
        </w:tc>
        <w:tc>
          <w:tcPr>
            <w:tcW w:w="3060"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14:paraId="4DD9A3D3" w14:textId="77777777" w:rsidR="00387142" w:rsidRPr="008B6A75" w:rsidRDefault="00387142" w:rsidP="00387142">
            <w:pPr>
              <w:jc w:val="center"/>
              <w:rPr>
                <w:color w:val="000000"/>
                <w:sz w:val="20"/>
                <w:szCs w:val="20"/>
              </w:rPr>
            </w:pPr>
            <w:r w:rsidRPr="008B6A75">
              <w:rPr>
                <w:color w:val="000000"/>
                <w:sz w:val="20"/>
                <w:szCs w:val="20"/>
              </w:rPr>
              <w:t>Сумма в рублях</w:t>
            </w:r>
          </w:p>
        </w:tc>
      </w:tr>
      <w:tr w:rsidR="00387142" w:rsidRPr="008B6A75" w14:paraId="6E112B6F" w14:textId="77777777" w:rsidTr="00387142">
        <w:trPr>
          <w:trHeight w:val="795"/>
        </w:trPr>
        <w:tc>
          <w:tcPr>
            <w:tcW w:w="583" w:type="dxa"/>
            <w:vMerge/>
            <w:tcBorders>
              <w:top w:val="nil"/>
              <w:left w:val="single" w:sz="4" w:space="0" w:color="auto"/>
              <w:bottom w:val="single" w:sz="4" w:space="0" w:color="000000"/>
              <w:right w:val="single" w:sz="4" w:space="0" w:color="auto"/>
            </w:tcBorders>
            <w:vAlign w:val="center"/>
            <w:hideMark/>
          </w:tcPr>
          <w:p w14:paraId="7FB0E200" w14:textId="77777777" w:rsidR="00387142" w:rsidRPr="008B6A75" w:rsidRDefault="00387142" w:rsidP="00387142">
            <w:pPr>
              <w:rPr>
                <w:color w:val="000000"/>
                <w:sz w:val="20"/>
                <w:szCs w:val="20"/>
              </w:rPr>
            </w:pPr>
          </w:p>
        </w:tc>
        <w:tc>
          <w:tcPr>
            <w:tcW w:w="3180" w:type="dxa"/>
            <w:gridSpan w:val="3"/>
            <w:vMerge/>
            <w:tcBorders>
              <w:top w:val="nil"/>
              <w:left w:val="single" w:sz="4" w:space="0" w:color="auto"/>
              <w:bottom w:val="single" w:sz="4" w:space="0" w:color="000000"/>
              <w:right w:val="single" w:sz="4" w:space="0" w:color="auto"/>
            </w:tcBorders>
            <w:vAlign w:val="center"/>
            <w:hideMark/>
          </w:tcPr>
          <w:p w14:paraId="3FDB0992" w14:textId="77777777" w:rsidR="00387142" w:rsidRPr="008B6A75" w:rsidRDefault="00387142" w:rsidP="00387142">
            <w:pPr>
              <w:rPr>
                <w:color w:val="000000"/>
                <w:sz w:val="20"/>
                <w:szCs w:val="20"/>
              </w:rPr>
            </w:pPr>
          </w:p>
        </w:tc>
        <w:tc>
          <w:tcPr>
            <w:tcW w:w="3180" w:type="dxa"/>
            <w:gridSpan w:val="2"/>
            <w:vMerge/>
            <w:tcBorders>
              <w:top w:val="nil"/>
              <w:left w:val="single" w:sz="4" w:space="0" w:color="auto"/>
              <w:bottom w:val="single" w:sz="4" w:space="0" w:color="auto"/>
              <w:right w:val="single" w:sz="4" w:space="0" w:color="auto"/>
            </w:tcBorders>
            <w:vAlign w:val="center"/>
            <w:hideMark/>
          </w:tcPr>
          <w:p w14:paraId="510AEB59" w14:textId="77777777" w:rsidR="00387142" w:rsidRPr="008B6A75" w:rsidRDefault="00387142" w:rsidP="00387142">
            <w:pPr>
              <w:rPr>
                <w:color w:val="000000"/>
                <w:sz w:val="20"/>
                <w:szCs w:val="20"/>
              </w:rPr>
            </w:pPr>
          </w:p>
        </w:tc>
        <w:tc>
          <w:tcPr>
            <w:tcW w:w="3060" w:type="dxa"/>
            <w:gridSpan w:val="4"/>
            <w:vMerge/>
            <w:tcBorders>
              <w:top w:val="nil"/>
              <w:left w:val="single" w:sz="4" w:space="0" w:color="auto"/>
              <w:bottom w:val="single" w:sz="4" w:space="0" w:color="auto"/>
              <w:right w:val="single" w:sz="4" w:space="0" w:color="auto"/>
            </w:tcBorders>
            <w:vAlign w:val="center"/>
            <w:hideMark/>
          </w:tcPr>
          <w:p w14:paraId="2AF38FD9" w14:textId="77777777" w:rsidR="00387142" w:rsidRPr="008B6A75" w:rsidRDefault="00387142" w:rsidP="00387142">
            <w:pPr>
              <w:rPr>
                <w:color w:val="000000"/>
                <w:sz w:val="20"/>
                <w:szCs w:val="20"/>
              </w:rPr>
            </w:pPr>
          </w:p>
        </w:tc>
        <w:tc>
          <w:tcPr>
            <w:tcW w:w="36" w:type="dxa"/>
            <w:tcBorders>
              <w:top w:val="nil"/>
              <w:left w:val="nil"/>
              <w:bottom w:val="nil"/>
              <w:right w:val="nil"/>
            </w:tcBorders>
            <w:shd w:val="clear" w:color="auto" w:fill="auto"/>
            <w:noWrap/>
            <w:vAlign w:val="bottom"/>
            <w:hideMark/>
          </w:tcPr>
          <w:p w14:paraId="5CE23B7E" w14:textId="77777777" w:rsidR="00387142" w:rsidRPr="008B6A75" w:rsidRDefault="00387142" w:rsidP="00387142">
            <w:pPr>
              <w:jc w:val="center"/>
              <w:rPr>
                <w:color w:val="000000"/>
                <w:sz w:val="20"/>
                <w:szCs w:val="20"/>
              </w:rPr>
            </w:pPr>
          </w:p>
        </w:tc>
      </w:tr>
      <w:tr w:rsidR="00387142" w:rsidRPr="008B6A75" w14:paraId="6E35DACB" w14:textId="77777777" w:rsidTr="00387142">
        <w:trPr>
          <w:trHeight w:val="780"/>
        </w:trPr>
        <w:tc>
          <w:tcPr>
            <w:tcW w:w="583" w:type="dxa"/>
            <w:vMerge/>
            <w:tcBorders>
              <w:top w:val="nil"/>
              <w:left w:val="single" w:sz="4" w:space="0" w:color="auto"/>
              <w:bottom w:val="single" w:sz="4" w:space="0" w:color="000000"/>
              <w:right w:val="single" w:sz="4" w:space="0" w:color="auto"/>
            </w:tcBorders>
            <w:vAlign w:val="center"/>
            <w:hideMark/>
          </w:tcPr>
          <w:p w14:paraId="23BC3949" w14:textId="77777777" w:rsidR="00387142" w:rsidRPr="008B6A75" w:rsidRDefault="00387142" w:rsidP="00387142">
            <w:pPr>
              <w:rPr>
                <w:color w:val="000000"/>
                <w:sz w:val="20"/>
                <w:szCs w:val="20"/>
              </w:rPr>
            </w:pPr>
          </w:p>
        </w:tc>
        <w:tc>
          <w:tcPr>
            <w:tcW w:w="3180" w:type="dxa"/>
            <w:gridSpan w:val="3"/>
            <w:vMerge/>
            <w:tcBorders>
              <w:top w:val="nil"/>
              <w:left w:val="single" w:sz="4" w:space="0" w:color="auto"/>
              <w:bottom w:val="single" w:sz="4" w:space="0" w:color="000000"/>
              <w:right w:val="single" w:sz="4" w:space="0" w:color="auto"/>
            </w:tcBorders>
            <w:vAlign w:val="center"/>
            <w:hideMark/>
          </w:tcPr>
          <w:p w14:paraId="06EE7805" w14:textId="77777777" w:rsidR="00387142" w:rsidRPr="008B6A75" w:rsidRDefault="00387142" w:rsidP="00387142">
            <w:pPr>
              <w:rPr>
                <w:color w:val="000000"/>
                <w:sz w:val="20"/>
                <w:szCs w:val="20"/>
              </w:rPr>
            </w:pPr>
          </w:p>
        </w:tc>
        <w:tc>
          <w:tcPr>
            <w:tcW w:w="3180" w:type="dxa"/>
            <w:gridSpan w:val="2"/>
            <w:tcBorders>
              <w:top w:val="nil"/>
              <w:left w:val="nil"/>
              <w:bottom w:val="single" w:sz="4" w:space="0" w:color="auto"/>
              <w:right w:val="single" w:sz="4" w:space="0" w:color="auto"/>
            </w:tcBorders>
            <w:shd w:val="clear" w:color="auto" w:fill="auto"/>
            <w:vAlign w:val="center"/>
            <w:hideMark/>
          </w:tcPr>
          <w:p w14:paraId="057F0AC6" w14:textId="77777777" w:rsidR="00387142" w:rsidRPr="008B6A75" w:rsidRDefault="00387142" w:rsidP="00387142">
            <w:pPr>
              <w:jc w:val="center"/>
              <w:rPr>
                <w:color w:val="000000"/>
                <w:sz w:val="20"/>
                <w:szCs w:val="20"/>
              </w:rPr>
            </w:pPr>
            <w:r w:rsidRPr="008B6A75">
              <w:rPr>
                <w:color w:val="000000"/>
                <w:sz w:val="20"/>
                <w:szCs w:val="20"/>
              </w:rPr>
              <w:t>2022 год</w:t>
            </w:r>
          </w:p>
        </w:tc>
        <w:tc>
          <w:tcPr>
            <w:tcW w:w="3060" w:type="dxa"/>
            <w:gridSpan w:val="4"/>
            <w:tcBorders>
              <w:top w:val="nil"/>
              <w:left w:val="nil"/>
              <w:bottom w:val="single" w:sz="4" w:space="0" w:color="auto"/>
              <w:right w:val="single" w:sz="4" w:space="0" w:color="auto"/>
            </w:tcBorders>
            <w:shd w:val="clear" w:color="auto" w:fill="auto"/>
            <w:vAlign w:val="center"/>
            <w:hideMark/>
          </w:tcPr>
          <w:p w14:paraId="75CCEED2" w14:textId="77777777" w:rsidR="00387142" w:rsidRPr="008B6A75" w:rsidRDefault="00387142" w:rsidP="00387142">
            <w:pPr>
              <w:jc w:val="center"/>
              <w:rPr>
                <w:color w:val="000000"/>
                <w:sz w:val="20"/>
                <w:szCs w:val="20"/>
              </w:rPr>
            </w:pPr>
            <w:r w:rsidRPr="008B6A75">
              <w:rPr>
                <w:color w:val="000000"/>
                <w:sz w:val="20"/>
                <w:szCs w:val="20"/>
              </w:rPr>
              <w:t>2023 год</w:t>
            </w:r>
          </w:p>
        </w:tc>
        <w:tc>
          <w:tcPr>
            <w:tcW w:w="36" w:type="dxa"/>
            <w:vAlign w:val="center"/>
            <w:hideMark/>
          </w:tcPr>
          <w:p w14:paraId="51F2E486" w14:textId="77777777" w:rsidR="00387142" w:rsidRPr="008B6A75" w:rsidRDefault="00387142" w:rsidP="00387142">
            <w:pPr>
              <w:rPr>
                <w:sz w:val="20"/>
                <w:szCs w:val="20"/>
              </w:rPr>
            </w:pPr>
          </w:p>
        </w:tc>
      </w:tr>
      <w:tr w:rsidR="00387142" w:rsidRPr="008B6A75" w14:paraId="7BBCF803" w14:textId="77777777" w:rsidTr="00387142">
        <w:trPr>
          <w:trHeight w:val="435"/>
        </w:trPr>
        <w:tc>
          <w:tcPr>
            <w:tcW w:w="583" w:type="dxa"/>
            <w:tcBorders>
              <w:top w:val="nil"/>
              <w:left w:val="single" w:sz="4" w:space="0" w:color="auto"/>
              <w:bottom w:val="single" w:sz="4" w:space="0" w:color="auto"/>
              <w:right w:val="single" w:sz="4" w:space="0" w:color="auto"/>
            </w:tcBorders>
            <w:shd w:val="clear" w:color="auto" w:fill="auto"/>
            <w:vAlign w:val="bottom"/>
            <w:hideMark/>
          </w:tcPr>
          <w:p w14:paraId="23179017" w14:textId="77777777" w:rsidR="00387142" w:rsidRPr="008B6A75" w:rsidRDefault="00387142" w:rsidP="00387142">
            <w:pPr>
              <w:jc w:val="right"/>
              <w:rPr>
                <w:color w:val="000000"/>
                <w:sz w:val="20"/>
                <w:szCs w:val="20"/>
              </w:rPr>
            </w:pPr>
            <w:r w:rsidRPr="008B6A75">
              <w:rPr>
                <w:color w:val="000000"/>
                <w:sz w:val="20"/>
                <w:szCs w:val="20"/>
              </w:rPr>
              <w:t>1</w:t>
            </w:r>
          </w:p>
        </w:tc>
        <w:tc>
          <w:tcPr>
            <w:tcW w:w="3180" w:type="dxa"/>
            <w:gridSpan w:val="3"/>
            <w:tcBorders>
              <w:top w:val="nil"/>
              <w:left w:val="nil"/>
              <w:bottom w:val="single" w:sz="4" w:space="0" w:color="auto"/>
              <w:right w:val="single" w:sz="4" w:space="0" w:color="auto"/>
            </w:tcBorders>
            <w:shd w:val="clear" w:color="auto" w:fill="auto"/>
            <w:vAlign w:val="bottom"/>
            <w:hideMark/>
          </w:tcPr>
          <w:p w14:paraId="59FF7D06" w14:textId="77777777" w:rsidR="00387142" w:rsidRPr="008B6A75" w:rsidRDefault="00387142" w:rsidP="00387142">
            <w:pPr>
              <w:rPr>
                <w:color w:val="000000"/>
                <w:sz w:val="20"/>
                <w:szCs w:val="20"/>
              </w:rPr>
            </w:pPr>
            <w:proofErr w:type="spellStart"/>
            <w:r w:rsidRPr="008B6A75">
              <w:rPr>
                <w:color w:val="000000"/>
                <w:sz w:val="20"/>
                <w:szCs w:val="20"/>
              </w:rPr>
              <w:t>г.Куйбышев</w:t>
            </w:r>
            <w:proofErr w:type="spellEnd"/>
          </w:p>
        </w:tc>
        <w:tc>
          <w:tcPr>
            <w:tcW w:w="3180" w:type="dxa"/>
            <w:gridSpan w:val="2"/>
            <w:tcBorders>
              <w:top w:val="nil"/>
              <w:left w:val="nil"/>
              <w:bottom w:val="single" w:sz="4" w:space="0" w:color="auto"/>
              <w:right w:val="single" w:sz="4" w:space="0" w:color="auto"/>
            </w:tcBorders>
            <w:shd w:val="clear" w:color="auto" w:fill="auto"/>
            <w:vAlign w:val="bottom"/>
            <w:hideMark/>
          </w:tcPr>
          <w:p w14:paraId="396C31A3" w14:textId="77777777" w:rsidR="00387142" w:rsidRPr="008B6A75" w:rsidRDefault="00387142" w:rsidP="00387142">
            <w:pPr>
              <w:jc w:val="right"/>
              <w:rPr>
                <w:color w:val="000000"/>
                <w:sz w:val="20"/>
                <w:szCs w:val="20"/>
              </w:rPr>
            </w:pPr>
            <w:r w:rsidRPr="008B6A75">
              <w:rPr>
                <w:color w:val="000000"/>
                <w:sz w:val="20"/>
                <w:szCs w:val="20"/>
              </w:rPr>
              <w:t>15 208 707,00</w:t>
            </w:r>
          </w:p>
        </w:tc>
        <w:tc>
          <w:tcPr>
            <w:tcW w:w="3060" w:type="dxa"/>
            <w:gridSpan w:val="4"/>
            <w:tcBorders>
              <w:top w:val="nil"/>
              <w:left w:val="nil"/>
              <w:bottom w:val="single" w:sz="4" w:space="0" w:color="auto"/>
              <w:right w:val="single" w:sz="4" w:space="0" w:color="auto"/>
            </w:tcBorders>
            <w:shd w:val="clear" w:color="auto" w:fill="auto"/>
            <w:vAlign w:val="bottom"/>
            <w:hideMark/>
          </w:tcPr>
          <w:p w14:paraId="06B9079F" w14:textId="77777777" w:rsidR="00387142" w:rsidRPr="008B6A75" w:rsidRDefault="00387142" w:rsidP="00387142">
            <w:pPr>
              <w:jc w:val="right"/>
              <w:rPr>
                <w:color w:val="000000"/>
                <w:sz w:val="20"/>
                <w:szCs w:val="20"/>
              </w:rPr>
            </w:pPr>
            <w:r w:rsidRPr="008B6A75">
              <w:rPr>
                <w:color w:val="000000"/>
                <w:sz w:val="20"/>
                <w:szCs w:val="20"/>
              </w:rPr>
              <w:t>15 208 707,00</w:t>
            </w:r>
          </w:p>
        </w:tc>
        <w:tc>
          <w:tcPr>
            <w:tcW w:w="36" w:type="dxa"/>
            <w:vAlign w:val="center"/>
            <w:hideMark/>
          </w:tcPr>
          <w:p w14:paraId="0366043B" w14:textId="77777777" w:rsidR="00387142" w:rsidRPr="008B6A75" w:rsidRDefault="00387142" w:rsidP="00387142">
            <w:pPr>
              <w:rPr>
                <w:sz w:val="20"/>
                <w:szCs w:val="20"/>
              </w:rPr>
            </w:pPr>
          </w:p>
        </w:tc>
      </w:tr>
      <w:tr w:rsidR="00387142" w:rsidRPr="008B6A75" w14:paraId="3D3EDD87" w14:textId="77777777" w:rsidTr="00387142">
        <w:trPr>
          <w:trHeight w:val="315"/>
        </w:trPr>
        <w:tc>
          <w:tcPr>
            <w:tcW w:w="583" w:type="dxa"/>
            <w:tcBorders>
              <w:top w:val="nil"/>
              <w:left w:val="single" w:sz="4" w:space="0" w:color="auto"/>
              <w:bottom w:val="single" w:sz="4" w:space="0" w:color="auto"/>
              <w:right w:val="single" w:sz="4" w:space="0" w:color="auto"/>
            </w:tcBorders>
            <w:shd w:val="clear" w:color="auto" w:fill="auto"/>
            <w:vAlign w:val="bottom"/>
            <w:hideMark/>
          </w:tcPr>
          <w:p w14:paraId="1B838E38" w14:textId="77777777" w:rsidR="00387142" w:rsidRPr="008B6A75" w:rsidRDefault="00387142" w:rsidP="00387142">
            <w:pPr>
              <w:rPr>
                <w:color w:val="000000"/>
                <w:sz w:val="20"/>
                <w:szCs w:val="20"/>
              </w:rPr>
            </w:pPr>
            <w:r w:rsidRPr="008B6A75">
              <w:rPr>
                <w:color w:val="000000"/>
                <w:sz w:val="20"/>
                <w:szCs w:val="20"/>
              </w:rPr>
              <w:t> </w:t>
            </w:r>
          </w:p>
        </w:tc>
        <w:tc>
          <w:tcPr>
            <w:tcW w:w="3180" w:type="dxa"/>
            <w:gridSpan w:val="3"/>
            <w:tcBorders>
              <w:top w:val="nil"/>
              <w:left w:val="nil"/>
              <w:bottom w:val="single" w:sz="4" w:space="0" w:color="auto"/>
              <w:right w:val="single" w:sz="4" w:space="0" w:color="auto"/>
            </w:tcBorders>
            <w:shd w:val="clear" w:color="auto" w:fill="auto"/>
            <w:vAlign w:val="bottom"/>
            <w:hideMark/>
          </w:tcPr>
          <w:p w14:paraId="20F3A907" w14:textId="77777777" w:rsidR="00387142" w:rsidRPr="008B6A75" w:rsidRDefault="00387142" w:rsidP="00387142">
            <w:pPr>
              <w:rPr>
                <w:color w:val="000000"/>
                <w:sz w:val="20"/>
                <w:szCs w:val="20"/>
              </w:rPr>
            </w:pPr>
            <w:r w:rsidRPr="008B6A75">
              <w:rPr>
                <w:color w:val="000000"/>
                <w:sz w:val="20"/>
                <w:szCs w:val="20"/>
              </w:rPr>
              <w:t>Итого</w:t>
            </w:r>
          </w:p>
        </w:tc>
        <w:tc>
          <w:tcPr>
            <w:tcW w:w="3180" w:type="dxa"/>
            <w:gridSpan w:val="2"/>
            <w:tcBorders>
              <w:top w:val="nil"/>
              <w:left w:val="nil"/>
              <w:bottom w:val="single" w:sz="4" w:space="0" w:color="auto"/>
              <w:right w:val="single" w:sz="4" w:space="0" w:color="auto"/>
            </w:tcBorders>
            <w:shd w:val="clear" w:color="auto" w:fill="auto"/>
            <w:vAlign w:val="bottom"/>
            <w:hideMark/>
          </w:tcPr>
          <w:p w14:paraId="3EA82B3D" w14:textId="77777777" w:rsidR="00387142" w:rsidRPr="008B6A75" w:rsidRDefault="00387142" w:rsidP="00387142">
            <w:pPr>
              <w:jc w:val="right"/>
              <w:rPr>
                <w:color w:val="000000"/>
                <w:sz w:val="20"/>
                <w:szCs w:val="20"/>
              </w:rPr>
            </w:pPr>
            <w:r w:rsidRPr="008B6A75">
              <w:rPr>
                <w:color w:val="000000"/>
                <w:sz w:val="20"/>
                <w:szCs w:val="20"/>
              </w:rPr>
              <w:t>15 208 707,00</w:t>
            </w:r>
          </w:p>
        </w:tc>
        <w:tc>
          <w:tcPr>
            <w:tcW w:w="3060" w:type="dxa"/>
            <w:gridSpan w:val="4"/>
            <w:tcBorders>
              <w:top w:val="nil"/>
              <w:left w:val="nil"/>
              <w:bottom w:val="single" w:sz="4" w:space="0" w:color="auto"/>
              <w:right w:val="single" w:sz="4" w:space="0" w:color="auto"/>
            </w:tcBorders>
            <w:shd w:val="clear" w:color="auto" w:fill="auto"/>
            <w:vAlign w:val="bottom"/>
            <w:hideMark/>
          </w:tcPr>
          <w:p w14:paraId="548F97C1" w14:textId="77777777" w:rsidR="00387142" w:rsidRPr="008B6A75" w:rsidRDefault="00387142" w:rsidP="00387142">
            <w:pPr>
              <w:jc w:val="right"/>
              <w:rPr>
                <w:color w:val="000000"/>
                <w:sz w:val="20"/>
                <w:szCs w:val="20"/>
              </w:rPr>
            </w:pPr>
            <w:r w:rsidRPr="008B6A75">
              <w:rPr>
                <w:color w:val="000000"/>
                <w:sz w:val="20"/>
                <w:szCs w:val="20"/>
              </w:rPr>
              <w:t>15 208 707,00</w:t>
            </w:r>
          </w:p>
        </w:tc>
        <w:tc>
          <w:tcPr>
            <w:tcW w:w="36" w:type="dxa"/>
            <w:vAlign w:val="center"/>
            <w:hideMark/>
          </w:tcPr>
          <w:p w14:paraId="23BDA3BA" w14:textId="77777777" w:rsidR="00387142" w:rsidRPr="008B6A75" w:rsidRDefault="00387142" w:rsidP="00387142">
            <w:pPr>
              <w:rPr>
                <w:sz w:val="20"/>
                <w:szCs w:val="20"/>
              </w:rPr>
            </w:pPr>
          </w:p>
        </w:tc>
      </w:tr>
    </w:tbl>
    <w:p w14:paraId="2FC55E68" w14:textId="77777777" w:rsidR="00387142" w:rsidRPr="008B6A75" w:rsidRDefault="00387142" w:rsidP="00387142">
      <w:pPr>
        <w:rPr>
          <w:sz w:val="20"/>
          <w:szCs w:val="20"/>
        </w:rPr>
      </w:pPr>
    </w:p>
    <w:tbl>
      <w:tblPr>
        <w:tblW w:w="10348" w:type="dxa"/>
        <w:tblInd w:w="-567" w:type="dxa"/>
        <w:tblLook w:val="04A0" w:firstRow="1" w:lastRow="0" w:firstColumn="1" w:lastColumn="0" w:noHBand="0" w:noVBand="1"/>
      </w:tblPr>
      <w:tblGrid>
        <w:gridCol w:w="677"/>
        <w:gridCol w:w="2300"/>
        <w:gridCol w:w="1780"/>
        <w:gridCol w:w="1991"/>
        <w:gridCol w:w="1780"/>
        <w:gridCol w:w="1820"/>
      </w:tblGrid>
      <w:tr w:rsidR="00387142" w:rsidRPr="008B6A75" w14:paraId="5D875968" w14:textId="77777777" w:rsidTr="00387142">
        <w:trPr>
          <w:trHeight w:val="315"/>
        </w:trPr>
        <w:tc>
          <w:tcPr>
            <w:tcW w:w="677" w:type="dxa"/>
            <w:tcBorders>
              <w:top w:val="nil"/>
              <w:left w:val="nil"/>
              <w:bottom w:val="nil"/>
              <w:right w:val="nil"/>
            </w:tcBorders>
            <w:shd w:val="clear" w:color="auto" w:fill="auto"/>
            <w:noWrap/>
            <w:vAlign w:val="bottom"/>
            <w:hideMark/>
          </w:tcPr>
          <w:p w14:paraId="41C397DE" w14:textId="77777777" w:rsidR="00387142" w:rsidRPr="008B6A75" w:rsidRDefault="00387142" w:rsidP="00387142">
            <w:pPr>
              <w:rPr>
                <w:sz w:val="20"/>
                <w:szCs w:val="20"/>
              </w:rPr>
            </w:pPr>
          </w:p>
        </w:tc>
        <w:tc>
          <w:tcPr>
            <w:tcW w:w="2300" w:type="dxa"/>
            <w:tcBorders>
              <w:top w:val="nil"/>
              <w:left w:val="nil"/>
              <w:bottom w:val="nil"/>
              <w:right w:val="nil"/>
            </w:tcBorders>
            <w:shd w:val="clear" w:color="auto" w:fill="auto"/>
            <w:noWrap/>
            <w:vAlign w:val="bottom"/>
            <w:hideMark/>
          </w:tcPr>
          <w:p w14:paraId="07A6028F" w14:textId="77777777" w:rsidR="00387142" w:rsidRPr="008B6A75" w:rsidRDefault="00387142" w:rsidP="00387142">
            <w:pPr>
              <w:rPr>
                <w:sz w:val="20"/>
                <w:szCs w:val="20"/>
              </w:rPr>
            </w:pPr>
          </w:p>
        </w:tc>
        <w:tc>
          <w:tcPr>
            <w:tcW w:w="1780" w:type="dxa"/>
            <w:tcBorders>
              <w:top w:val="nil"/>
              <w:left w:val="nil"/>
              <w:bottom w:val="nil"/>
              <w:right w:val="nil"/>
            </w:tcBorders>
            <w:shd w:val="clear" w:color="auto" w:fill="auto"/>
            <w:noWrap/>
            <w:vAlign w:val="bottom"/>
            <w:hideMark/>
          </w:tcPr>
          <w:p w14:paraId="06BCD270" w14:textId="77777777" w:rsidR="00387142" w:rsidRPr="008B6A75" w:rsidRDefault="00387142" w:rsidP="00387142">
            <w:pPr>
              <w:rPr>
                <w:sz w:val="20"/>
                <w:szCs w:val="20"/>
              </w:rPr>
            </w:pPr>
          </w:p>
        </w:tc>
        <w:tc>
          <w:tcPr>
            <w:tcW w:w="1991" w:type="dxa"/>
            <w:tcBorders>
              <w:top w:val="nil"/>
              <w:left w:val="nil"/>
              <w:bottom w:val="nil"/>
              <w:right w:val="nil"/>
            </w:tcBorders>
            <w:shd w:val="clear" w:color="auto" w:fill="auto"/>
            <w:noWrap/>
            <w:vAlign w:val="bottom"/>
            <w:hideMark/>
          </w:tcPr>
          <w:p w14:paraId="14E1C5CB" w14:textId="77777777" w:rsidR="00387142" w:rsidRPr="008B6A75" w:rsidRDefault="00387142" w:rsidP="00387142">
            <w:pPr>
              <w:rPr>
                <w:sz w:val="20"/>
                <w:szCs w:val="20"/>
              </w:rPr>
            </w:pPr>
          </w:p>
        </w:tc>
        <w:tc>
          <w:tcPr>
            <w:tcW w:w="1780" w:type="dxa"/>
            <w:tcBorders>
              <w:top w:val="nil"/>
              <w:left w:val="nil"/>
              <w:bottom w:val="nil"/>
              <w:right w:val="nil"/>
            </w:tcBorders>
            <w:shd w:val="clear" w:color="auto" w:fill="auto"/>
            <w:noWrap/>
            <w:vAlign w:val="bottom"/>
            <w:hideMark/>
          </w:tcPr>
          <w:p w14:paraId="346DAB94" w14:textId="77777777" w:rsidR="00387142" w:rsidRPr="008B6A75" w:rsidRDefault="00387142" w:rsidP="00387142">
            <w:pPr>
              <w:rPr>
                <w:sz w:val="20"/>
                <w:szCs w:val="20"/>
              </w:rPr>
            </w:pPr>
          </w:p>
        </w:tc>
        <w:tc>
          <w:tcPr>
            <w:tcW w:w="1820" w:type="dxa"/>
            <w:tcBorders>
              <w:top w:val="nil"/>
              <w:left w:val="nil"/>
              <w:bottom w:val="nil"/>
              <w:right w:val="nil"/>
            </w:tcBorders>
            <w:shd w:val="clear" w:color="auto" w:fill="auto"/>
            <w:noWrap/>
            <w:vAlign w:val="bottom"/>
            <w:hideMark/>
          </w:tcPr>
          <w:p w14:paraId="6E5C1465" w14:textId="77777777" w:rsidR="00387142" w:rsidRPr="008B6A75" w:rsidRDefault="00387142" w:rsidP="00387142">
            <w:pPr>
              <w:jc w:val="right"/>
              <w:rPr>
                <w:color w:val="000000"/>
                <w:sz w:val="20"/>
                <w:szCs w:val="20"/>
              </w:rPr>
            </w:pPr>
            <w:r w:rsidRPr="008B6A75">
              <w:rPr>
                <w:color w:val="000000"/>
                <w:sz w:val="20"/>
                <w:szCs w:val="20"/>
              </w:rPr>
              <w:t>Приложение 12</w:t>
            </w:r>
          </w:p>
        </w:tc>
      </w:tr>
      <w:tr w:rsidR="00387142" w:rsidRPr="008B6A75" w14:paraId="6EB4B59A" w14:textId="77777777" w:rsidTr="00387142">
        <w:trPr>
          <w:trHeight w:val="2115"/>
        </w:trPr>
        <w:tc>
          <w:tcPr>
            <w:tcW w:w="677" w:type="dxa"/>
            <w:tcBorders>
              <w:top w:val="nil"/>
              <w:left w:val="nil"/>
              <w:bottom w:val="nil"/>
              <w:right w:val="nil"/>
            </w:tcBorders>
            <w:shd w:val="clear" w:color="auto" w:fill="auto"/>
            <w:noWrap/>
            <w:vAlign w:val="bottom"/>
            <w:hideMark/>
          </w:tcPr>
          <w:p w14:paraId="2C7DC838" w14:textId="77777777" w:rsidR="00387142" w:rsidRPr="008B6A75" w:rsidRDefault="00387142" w:rsidP="00387142">
            <w:pPr>
              <w:jc w:val="right"/>
              <w:rPr>
                <w:color w:val="000000"/>
                <w:sz w:val="20"/>
                <w:szCs w:val="20"/>
              </w:rPr>
            </w:pPr>
          </w:p>
        </w:tc>
        <w:tc>
          <w:tcPr>
            <w:tcW w:w="2300" w:type="dxa"/>
            <w:tcBorders>
              <w:top w:val="nil"/>
              <w:left w:val="nil"/>
              <w:bottom w:val="nil"/>
              <w:right w:val="nil"/>
            </w:tcBorders>
            <w:shd w:val="clear" w:color="auto" w:fill="auto"/>
            <w:noWrap/>
            <w:vAlign w:val="bottom"/>
            <w:hideMark/>
          </w:tcPr>
          <w:p w14:paraId="7076D339" w14:textId="77777777" w:rsidR="00387142" w:rsidRPr="008B6A75" w:rsidRDefault="00387142" w:rsidP="00387142">
            <w:pPr>
              <w:rPr>
                <w:sz w:val="20"/>
                <w:szCs w:val="20"/>
              </w:rPr>
            </w:pPr>
          </w:p>
        </w:tc>
        <w:tc>
          <w:tcPr>
            <w:tcW w:w="1780" w:type="dxa"/>
            <w:tcBorders>
              <w:top w:val="nil"/>
              <w:left w:val="nil"/>
              <w:bottom w:val="nil"/>
              <w:right w:val="nil"/>
            </w:tcBorders>
            <w:shd w:val="clear" w:color="auto" w:fill="auto"/>
            <w:noWrap/>
            <w:vAlign w:val="bottom"/>
            <w:hideMark/>
          </w:tcPr>
          <w:p w14:paraId="19922B78" w14:textId="77777777" w:rsidR="00387142" w:rsidRPr="008B6A75" w:rsidRDefault="00387142" w:rsidP="00387142">
            <w:pPr>
              <w:rPr>
                <w:sz w:val="20"/>
                <w:szCs w:val="20"/>
              </w:rPr>
            </w:pPr>
          </w:p>
        </w:tc>
        <w:tc>
          <w:tcPr>
            <w:tcW w:w="1991" w:type="dxa"/>
            <w:tcBorders>
              <w:top w:val="nil"/>
              <w:left w:val="nil"/>
              <w:bottom w:val="nil"/>
              <w:right w:val="nil"/>
            </w:tcBorders>
            <w:shd w:val="clear" w:color="auto" w:fill="auto"/>
            <w:noWrap/>
            <w:vAlign w:val="bottom"/>
            <w:hideMark/>
          </w:tcPr>
          <w:p w14:paraId="179A5484" w14:textId="77777777" w:rsidR="00387142" w:rsidRPr="008B6A75" w:rsidRDefault="00387142" w:rsidP="00387142">
            <w:pPr>
              <w:rPr>
                <w:sz w:val="20"/>
                <w:szCs w:val="20"/>
              </w:rPr>
            </w:pPr>
          </w:p>
        </w:tc>
        <w:tc>
          <w:tcPr>
            <w:tcW w:w="3600" w:type="dxa"/>
            <w:gridSpan w:val="2"/>
            <w:tcBorders>
              <w:top w:val="nil"/>
              <w:left w:val="nil"/>
              <w:bottom w:val="nil"/>
              <w:right w:val="nil"/>
            </w:tcBorders>
            <w:shd w:val="clear" w:color="auto" w:fill="auto"/>
            <w:vAlign w:val="bottom"/>
            <w:hideMark/>
          </w:tcPr>
          <w:p w14:paraId="16A90F17" w14:textId="77777777" w:rsidR="00387142" w:rsidRPr="008B6A75" w:rsidRDefault="00387142" w:rsidP="00387142">
            <w:pPr>
              <w:jc w:val="right"/>
              <w:rPr>
                <w:color w:val="000000"/>
                <w:sz w:val="20"/>
                <w:szCs w:val="20"/>
              </w:rPr>
            </w:pPr>
            <w:r w:rsidRPr="008B6A75">
              <w:rPr>
                <w:color w:val="000000"/>
                <w:sz w:val="20"/>
                <w:szCs w:val="20"/>
              </w:rPr>
              <w:t>к решению сессии Совета депутатов Куйбышевского муниципального района Новосибирской области "О бюджете Куйбышевского муниципального района Новосибирской области на 2022 год и плановый период 2023 и 2024 годов"</w:t>
            </w:r>
          </w:p>
        </w:tc>
      </w:tr>
      <w:tr w:rsidR="00387142" w:rsidRPr="008B6A75" w14:paraId="4803A3ED" w14:textId="77777777" w:rsidTr="00387142">
        <w:trPr>
          <w:trHeight w:val="315"/>
        </w:trPr>
        <w:tc>
          <w:tcPr>
            <w:tcW w:w="677" w:type="dxa"/>
            <w:tcBorders>
              <w:top w:val="nil"/>
              <w:left w:val="nil"/>
              <w:bottom w:val="nil"/>
              <w:right w:val="nil"/>
            </w:tcBorders>
            <w:shd w:val="clear" w:color="auto" w:fill="auto"/>
            <w:noWrap/>
            <w:vAlign w:val="bottom"/>
            <w:hideMark/>
          </w:tcPr>
          <w:p w14:paraId="25A7C364" w14:textId="77777777" w:rsidR="00387142" w:rsidRPr="008B6A75" w:rsidRDefault="00387142" w:rsidP="00387142">
            <w:pPr>
              <w:jc w:val="right"/>
              <w:rPr>
                <w:color w:val="000000"/>
                <w:sz w:val="20"/>
                <w:szCs w:val="20"/>
              </w:rPr>
            </w:pPr>
          </w:p>
        </w:tc>
        <w:tc>
          <w:tcPr>
            <w:tcW w:w="2300" w:type="dxa"/>
            <w:tcBorders>
              <w:top w:val="nil"/>
              <w:left w:val="nil"/>
              <w:bottom w:val="nil"/>
              <w:right w:val="nil"/>
            </w:tcBorders>
            <w:shd w:val="clear" w:color="auto" w:fill="auto"/>
            <w:noWrap/>
            <w:vAlign w:val="bottom"/>
            <w:hideMark/>
          </w:tcPr>
          <w:p w14:paraId="2FFFA347" w14:textId="77777777" w:rsidR="00387142" w:rsidRPr="008B6A75" w:rsidRDefault="00387142" w:rsidP="00387142">
            <w:pPr>
              <w:rPr>
                <w:sz w:val="20"/>
                <w:szCs w:val="20"/>
              </w:rPr>
            </w:pPr>
          </w:p>
        </w:tc>
        <w:tc>
          <w:tcPr>
            <w:tcW w:w="1780" w:type="dxa"/>
            <w:tcBorders>
              <w:top w:val="nil"/>
              <w:left w:val="nil"/>
              <w:bottom w:val="nil"/>
              <w:right w:val="nil"/>
            </w:tcBorders>
            <w:shd w:val="clear" w:color="auto" w:fill="auto"/>
            <w:noWrap/>
            <w:vAlign w:val="bottom"/>
            <w:hideMark/>
          </w:tcPr>
          <w:p w14:paraId="7D27AD5C" w14:textId="77777777" w:rsidR="00387142" w:rsidRPr="008B6A75" w:rsidRDefault="00387142" w:rsidP="00387142">
            <w:pPr>
              <w:rPr>
                <w:sz w:val="20"/>
                <w:szCs w:val="20"/>
              </w:rPr>
            </w:pPr>
          </w:p>
        </w:tc>
        <w:tc>
          <w:tcPr>
            <w:tcW w:w="1991" w:type="dxa"/>
            <w:tcBorders>
              <w:top w:val="nil"/>
              <w:left w:val="nil"/>
              <w:bottom w:val="nil"/>
              <w:right w:val="nil"/>
            </w:tcBorders>
            <w:shd w:val="clear" w:color="auto" w:fill="auto"/>
            <w:noWrap/>
            <w:vAlign w:val="bottom"/>
            <w:hideMark/>
          </w:tcPr>
          <w:p w14:paraId="7632A911" w14:textId="77777777" w:rsidR="00387142" w:rsidRPr="008B6A75" w:rsidRDefault="00387142" w:rsidP="00387142">
            <w:pPr>
              <w:jc w:val="right"/>
              <w:rPr>
                <w:sz w:val="20"/>
                <w:szCs w:val="20"/>
              </w:rPr>
            </w:pPr>
          </w:p>
        </w:tc>
        <w:tc>
          <w:tcPr>
            <w:tcW w:w="1780" w:type="dxa"/>
            <w:tcBorders>
              <w:top w:val="nil"/>
              <w:left w:val="nil"/>
              <w:bottom w:val="nil"/>
              <w:right w:val="nil"/>
            </w:tcBorders>
            <w:shd w:val="clear" w:color="auto" w:fill="auto"/>
            <w:noWrap/>
            <w:vAlign w:val="bottom"/>
            <w:hideMark/>
          </w:tcPr>
          <w:p w14:paraId="108CDAC1" w14:textId="77777777" w:rsidR="00387142" w:rsidRPr="008B6A75" w:rsidRDefault="00387142" w:rsidP="00387142">
            <w:pPr>
              <w:jc w:val="right"/>
              <w:rPr>
                <w:sz w:val="20"/>
                <w:szCs w:val="20"/>
              </w:rPr>
            </w:pPr>
          </w:p>
        </w:tc>
        <w:tc>
          <w:tcPr>
            <w:tcW w:w="1820" w:type="dxa"/>
            <w:tcBorders>
              <w:top w:val="nil"/>
              <w:left w:val="nil"/>
              <w:bottom w:val="nil"/>
              <w:right w:val="nil"/>
            </w:tcBorders>
            <w:shd w:val="clear" w:color="auto" w:fill="auto"/>
            <w:noWrap/>
            <w:vAlign w:val="bottom"/>
            <w:hideMark/>
          </w:tcPr>
          <w:p w14:paraId="06B0CF0C" w14:textId="77777777" w:rsidR="00387142" w:rsidRPr="008B6A75" w:rsidRDefault="00387142" w:rsidP="00387142">
            <w:pPr>
              <w:jc w:val="right"/>
              <w:rPr>
                <w:sz w:val="20"/>
                <w:szCs w:val="20"/>
              </w:rPr>
            </w:pPr>
          </w:p>
        </w:tc>
      </w:tr>
      <w:tr w:rsidR="00387142" w:rsidRPr="008B6A75" w14:paraId="7EB1A4A7" w14:textId="77777777" w:rsidTr="00387142">
        <w:trPr>
          <w:trHeight w:val="690"/>
        </w:trPr>
        <w:tc>
          <w:tcPr>
            <w:tcW w:w="10348" w:type="dxa"/>
            <w:gridSpan w:val="6"/>
            <w:tcBorders>
              <w:top w:val="nil"/>
              <w:left w:val="nil"/>
              <w:bottom w:val="nil"/>
              <w:right w:val="nil"/>
            </w:tcBorders>
            <w:shd w:val="clear" w:color="auto" w:fill="auto"/>
            <w:vAlign w:val="center"/>
            <w:hideMark/>
          </w:tcPr>
          <w:p w14:paraId="4EB48726" w14:textId="77777777" w:rsidR="00387142" w:rsidRPr="008B6A75" w:rsidRDefault="00387142" w:rsidP="00387142">
            <w:pPr>
              <w:jc w:val="center"/>
              <w:rPr>
                <w:bCs/>
                <w:color w:val="000000"/>
                <w:sz w:val="20"/>
                <w:szCs w:val="20"/>
              </w:rPr>
            </w:pPr>
            <w:r w:rsidRPr="008B6A75">
              <w:rPr>
                <w:bCs/>
                <w:color w:val="000000"/>
                <w:sz w:val="20"/>
                <w:szCs w:val="20"/>
              </w:rPr>
              <w:t>Субвенции, передаваемые из районного бюджета в 2022 году и плановом периоде 2023 и 2024 годов</w:t>
            </w:r>
          </w:p>
        </w:tc>
      </w:tr>
      <w:tr w:rsidR="00387142" w:rsidRPr="008B6A75" w14:paraId="45DA85F3" w14:textId="77777777" w:rsidTr="00387142">
        <w:trPr>
          <w:trHeight w:val="315"/>
        </w:trPr>
        <w:tc>
          <w:tcPr>
            <w:tcW w:w="677" w:type="dxa"/>
            <w:tcBorders>
              <w:top w:val="nil"/>
              <w:left w:val="nil"/>
              <w:bottom w:val="nil"/>
              <w:right w:val="nil"/>
            </w:tcBorders>
            <w:shd w:val="clear" w:color="auto" w:fill="auto"/>
            <w:noWrap/>
            <w:vAlign w:val="bottom"/>
            <w:hideMark/>
          </w:tcPr>
          <w:p w14:paraId="0006916F" w14:textId="77777777" w:rsidR="00387142" w:rsidRPr="008B6A75" w:rsidRDefault="00387142" w:rsidP="00387142">
            <w:pPr>
              <w:jc w:val="center"/>
              <w:rPr>
                <w:bCs/>
                <w:color w:val="000000"/>
                <w:sz w:val="20"/>
                <w:szCs w:val="20"/>
              </w:rPr>
            </w:pPr>
          </w:p>
        </w:tc>
        <w:tc>
          <w:tcPr>
            <w:tcW w:w="2300" w:type="dxa"/>
            <w:tcBorders>
              <w:top w:val="nil"/>
              <w:left w:val="nil"/>
              <w:bottom w:val="nil"/>
              <w:right w:val="nil"/>
            </w:tcBorders>
            <w:shd w:val="clear" w:color="auto" w:fill="auto"/>
            <w:noWrap/>
            <w:vAlign w:val="bottom"/>
            <w:hideMark/>
          </w:tcPr>
          <w:p w14:paraId="1705FF0E" w14:textId="77777777" w:rsidR="00387142" w:rsidRPr="008B6A75" w:rsidRDefault="00387142" w:rsidP="00387142">
            <w:pPr>
              <w:jc w:val="center"/>
              <w:rPr>
                <w:sz w:val="20"/>
                <w:szCs w:val="20"/>
              </w:rPr>
            </w:pPr>
          </w:p>
        </w:tc>
        <w:tc>
          <w:tcPr>
            <w:tcW w:w="1780" w:type="dxa"/>
            <w:tcBorders>
              <w:top w:val="nil"/>
              <w:left w:val="nil"/>
              <w:bottom w:val="nil"/>
              <w:right w:val="nil"/>
            </w:tcBorders>
            <w:shd w:val="clear" w:color="auto" w:fill="auto"/>
            <w:noWrap/>
            <w:vAlign w:val="bottom"/>
            <w:hideMark/>
          </w:tcPr>
          <w:p w14:paraId="5C168A9C" w14:textId="77777777" w:rsidR="00387142" w:rsidRPr="008B6A75" w:rsidRDefault="00387142" w:rsidP="00387142">
            <w:pPr>
              <w:jc w:val="center"/>
              <w:rPr>
                <w:sz w:val="20"/>
                <w:szCs w:val="20"/>
              </w:rPr>
            </w:pPr>
          </w:p>
        </w:tc>
        <w:tc>
          <w:tcPr>
            <w:tcW w:w="1991" w:type="dxa"/>
            <w:tcBorders>
              <w:top w:val="nil"/>
              <w:left w:val="nil"/>
              <w:bottom w:val="nil"/>
              <w:right w:val="nil"/>
            </w:tcBorders>
            <w:shd w:val="clear" w:color="auto" w:fill="auto"/>
            <w:noWrap/>
            <w:vAlign w:val="bottom"/>
            <w:hideMark/>
          </w:tcPr>
          <w:p w14:paraId="67D077F4" w14:textId="77777777" w:rsidR="00387142" w:rsidRPr="008B6A75" w:rsidRDefault="00387142" w:rsidP="00387142">
            <w:pPr>
              <w:jc w:val="center"/>
              <w:rPr>
                <w:sz w:val="20"/>
                <w:szCs w:val="20"/>
              </w:rPr>
            </w:pPr>
          </w:p>
        </w:tc>
        <w:tc>
          <w:tcPr>
            <w:tcW w:w="1780" w:type="dxa"/>
            <w:tcBorders>
              <w:top w:val="nil"/>
              <w:left w:val="nil"/>
              <w:bottom w:val="nil"/>
              <w:right w:val="nil"/>
            </w:tcBorders>
            <w:shd w:val="clear" w:color="auto" w:fill="auto"/>
            <w:noWrap/>
            <w:vAlign w:val="bottom"/>
            <w:hideMark/>
          </w:tcPr>
          <w:p w14:paraId="4396A7E1" w14:textId="77777777" w:rsidR="00387142" w:rsidRPr="008B6A75" w:rsidRDefault="00387142" w:rsidP="00387142">
            <w:pPr>
              <w:jc w:val="center"/>
              <w:rPr>
                <w:sz w:val="20"/>
                <w:szCs w:val="20"/>
              </w:rPr>
            </w:pPr>
          </w:p>
        </w:tc>
        <w:tc>
          <w:tcPr>
            <w:tcW w:w="1820" w:type="dxa"/>
            <w:tcBorders>
              <w:top w:val="nil"/>
              <w:left w:val="nil"/>
              <w:bottom w:val="nil"/>
              <w:right w:val="nil"/>
            </w:tcBorders>
            <w:shd w:val="clear" w:color="auto" w:fill="auto"/>
            <w:noWrap/>
            <w:vAlign w:val="bottom"/>
            <w:hideMark/>
          </w:tcPr>
          <w:p w14:paraId="05B32D39" w14:textId="77777777" w:rsidR="00387142" w:rsidRPr="008B6A75" w:rsidRDefault="00387142" w:rsidP="00387142">
            <w:pPr>
              <w:jc w:val="center"/>
              <w:rPr>
                <w:sz w:val="20"/>
                <w:szCs w:val="20"/>
              </w:rPr>
            </w:pPr>
          </w:p>
        </w:tc>
      </w:tr>
      <w:tr w:rsidR="00387142" w:rsidRPr="008B6A75" w14:paraId="0B7F0613" w14:textId="77777777" w:rsidTr="00387142">
        <w:trPr>
          <w:trHeight w:val="450"/>
        </w:trPr>
        <w:tc>
          <w:tcPr>
            <w:tcW w:w="67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51957D" w14:textId="77777777" w:rsidR="00387142" w:rsidRPr="008B6A75" w:rsidRDefault="00387142" w:rsidP="00387142">
            <w:pPr>
              <w:jc w:val="center"/>
              <w:rPr>
                <w:color w:val="000000"/>
                <w:sz w:val="20"/>
                <w:szCs w:val="20"/>
              </w:rPr>
            </w:pPr>
            <w:r w:rsidRPr="008B6A75">
              <w:rPr>
                <w:color w:val="000000"/>
                <w:sz w:val="20"/>
                <w:szCs w:val="20"/>
              </w:rPr>
              <w:lastRenderedPageBreak/>
              <w:t>№п/п</w:t>
            </w:r>
          </w:p>
        </w:tc>
        <w:tc>
          <w:tcPr>
            <w:tcW w:w="23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3E0D0ED" w14:textId="77777777" w:rsidR="00387142" w:rsidRPr="008B6A75" w:rsidRDefault="00387142" w:rsidP="00387142">
            <w:pPr>
              <w:jc w:val="center"/>
              <w:rPr>
                <w:color w:val="000000"/>
                <w:sz w:val="20"/>
                <w:szCs w:val="20"/>
              </w:rPr>
            </w:pPr>
            <w:r w:rsidRPr="008B6A75">
              <w:rPr>
                <w:color w:val="000000"/>
                <w:sz w:val="20"/>
                <w:szCs w:val="20"/>
              </w:rPr>
              <w:t>Наименование поселений</w:t>
            </w:r>
          </w:p>
        </w:tc>
        <w:tc>
          <w:tcPr>
            <w:tcW w:w="7371"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52BBD8F5" w14:textId="77777777" w:rsidR="00387142" w:rsidRPr="008B6A75" w:rsidRDefault="00387142" w:rsidP="00387142">
            <w:pPr>
              <w:jc w:val="center"/>
              <w:rPr>
                <w:color w:val="000000"/>
                <w:sz w:val="20"/>
                <w:szCs w:val="20"/>
              </w:rPr>
            </w:pPr>
            <w:r w:rsidRPr="008B6A75">
              <w:rPr>
                <w:color w:val="000000"/>
                <w:sz w:val="20"/>
                <w:szCs w:val="20"/>
              </w:rPr>
              <w:t>Сумма (в рублях)</w:t>
            </w:r>
          </w:p>
        </w:tc>
      </w:tr>
      <w:tr w:rsidR="00387142" w:rsidRPr="008B6A75" w14:paraId="70A29FB2" w14:textId="77777777" w:rsidTr="00387142">
        <w:trPr>
          <w:trHeight w:val="420"/>
        </w:trPr>
        <w:tc>
          <w:tcPr>
            <w:tcW w:w="677" w:type="dxa"/>
            <w:vMerge/>
            <w:tcBorders>
              <w:top w:val="single" w:sz="4" w:space="0" w:color="auto"/>
              <w:left w:val="single" w:sz="4" w:space="0" w:color="auto"/>
              <w:bottom w:val="single" w:sz="4" w:space="0" w:color="auto"/>
              <w:right w:val="single" w:sz="4" w:space="0" w:color="auto"/>
            </w:tcBorders>
            <w:vAlign w:val="center"/>
            <w:hideMark/>
          </w:tcPr>
          <w:p w14:paraId="2318BCEE" w14:textId="77777777" w:rsidR="00387142" w:rsidRPr="008B6A75" w:rsidRDefault="00387142" w:rsidP="00387142">
            <w:pPr>
              <w:rPr>
                <w:color w:val="000000"/>
                <w:sz w:val="20"/>
                <w:szCs w:val="20"/>
              </w:rPr>
            </w:pPr>
          </w:p>
        </w:tc>
        <w:tc>
          <w:tcPr>
            <w:tcW w:w="2300" w:type="dxa"/>
            <w:vMerge/>
            <w:tcBorders>
              <w:top w:val="single" w:sz="4" w:space="0" w:color="auto"/>
              <w:left w:val="single" w:sz="4" w:space="0" w:color="auto"/>
              <w:bottom w:val="single" w:sz="4" w:space="0" w:color="000000"/>
              <w:right w:val="single" w:sz="4" w:space="0" w:color="auto"/>
            </w:tcBorders>
            <w:vAlign w:val="center"/>
            <w:hideMark/>
          </w:tcPr>
          <w:p w14:paraId="0714A884" w14:textId="77777777" w:rsidR="00387142" w:rsidRPr="008B6A75" w:rsidRDefault="00387142" w:rsidP="00387142">
            <w:pPr>
              <w:rPr>
                <w:color w:val="000000"/>
                <w:sz w:val="20"/>
                <w:szCs w:val="20"/>
              </w:rPr>
            </w:pPr>
          </w:p>
        </w:tc>
        <w:tc>
          <w:tcPr>
            <w:tcW w:w="3771"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3E919051" w14:textId="77777777" w:rsidR="00387142" w:rsidRPr="008B6A75" w:rsidRDefault="00387142" w:rsidP="00387142">
            <w:pPr>
              <w:jc w:val="center"/>
              <w:rPr>
                <w:color w:val="000000"/>
                <w:sz w:val="20"/>
                <w:szCs w:val="20"/>
              </w:rPr>
            </w:pPr>
            <w:r w:rsidRPr="008B6A75">
              <w:rPr>
                <w:color w:val="000000"/>
                <w:sz w:val="20"/>
                <w:szCs w:val="20"/>
              </w:rPr>
              <w:t>2022</w:t>
            </w:r>
          </w:p>
        </w:tc>
        <w:tc>
          <w:tcPr>
            <w:tcW w:w="1780" w:type="dxa"/>
            <w:tcBorders>
              <w:top w:val="nil"/>
              <w:left w:val="nil"/>
              <w:bottom w:val="single" w:sz="4" w:space="0" w:color="auto"/>
              <w:right w:val="single" w:sz="4" w:space="0" w:color="auto"/>
            </w:tcBorders>
            <w:shd w:val="clear" w:color="auto" w:fill="auto"/>
            <w:vAlign w:val="center"/>
            <w:hideMark/>
          </w:tcPr>
          <w:p w14:paraId="715A4E63" w14:textId="77777777" w:rsidR="00387142" w:rsidRPr="008B6A75" w:rsidRDefault="00387142" w:rsidP="00387142">
            <w:pPr>
              <w:jc w:val="center"/>
              <w:rPr>
                <w:color w:val="000000"/>
                <w:sz w:val="20"/>
                <w:szCs w:val="20"/>
              </w:rPr>
            </w:pPr>
            <w:r w:rsidRPr="008B6A75">
              <w:rPr>
                <w:color w:val="000000"/>
                <w:sz w:val="20"/>
                <w:szCs w:val="20"/>
              </w:rPr>
              <w:t>2023 год</w:t>
            </w:r>
          </w:p>
        </w:tc>
        <w:tc>
          <w:tcPr>
            <w:tcW w:w="1820" w:type="dxa"/>
            <w:tcBorders>
              <w:top w:val="nil"/>
              <w:left w:val="nil"/>
              <w:bottom w:val="single" w:sz="4" w:space="0" w:color="auto"/>
              <w:right w:val="single" w:sz="4" w:space="0" w:color="auto"/>
            </w:tcBorders>
            <w:shd w:val="clear" w:color="auto" w:fill="auto"/>
            <w:vAlign w:val="center"/>
            <w:hideMark/>
          </w:tcPr>
          <w:p w14:paraId="307E1970" w14:textId="77777777" w:rsidR="00387142" w:rsidRPr="008B6A75" w:rsidRDefault="00387142" w:rsidP="00387142">
            <w:pPr>
              <w:jc w:val="center"/>
              <w:rPr>
                <w:color w:val="000000"/>
                <w:sz w:val="20"/>
                <w:szCs w:val="20"/>
              </w:rPr>
            </w:pPr>
            <w:r w:rsidRPr="008B6A75">
              <w:rPr>
                <w:color w:val="000000"/>
                <w:sz w:val="20"/>
                <w:szCs w:val="20"/>
              </w:rPr>
              <w:t>2024 год</w:t>
            </w:r>
          </w:p>
        </w:tc>
      </w:tr>
      <w:tr w:rsidR="00387142" w:rsidRPr="008B6A75" w14:paraId="798BB756" w14:textId="77777777" w:rsidTr="00387142">
        <w:trPr>
          <w:trHeight w:val="3045"/>
        </w:trPr>
        <w:tc>
          <w:tcPr>
            <w:tcW w:w="677" w:type="dxa"/>
            <w:vMerge/>
            <w:tcBorders>
              <w:top w:val="single" w:sz="4" w:space="0" w:color="auto"/>
              <w:left w:val="single" w:sz="4" w:space="0" w:color="auto"/>
              <w:bottom w:val="single" w:sz="4" w:space="0" w:color="auto"/>
              <w:right w:val="single" w:sz="4" w:space="0" w:color="auto"/>
            </w:tcBorders>
            <w:vAlign w:val="center"/>
            <w:hideMark/>
          </w:tcPr>
          <w:p w14:paraId="29D570D8" w14:textId="77777777" w:rsidR="00387142" w:rsidRPr="008B6A75" w:rsidRDefault="00387142" w:rsidP="00387142">
            <w:pPr>
              <w:rPr>
                <w:color w:val="000000"/>
                <w:sz w:val="20"/>
                <w:szCs w:val="20"/>
              </w:rPr>
            </w:pPr>
          </w:p>
        </w:tc>
        <w:tc>
          <w:tcPr>
            <w:tcW w:w="2300" w:type="dxa"/>
            <w:vMerge/>
            <w:tcBorders>
              <w:top w:val="single" w:sz="4" w:space="0" w:color="auto"/>
              <w:left w:val="single" w:sz="4" w:space="0" w:color="auto"/>
              <w:bottom w:val="single" w:sz="4" w:space="0" w:color="000000"/>
              <w:right w:val="single" w:sz="4" w:space="0" w:color="auto"/>
            </w:tcBorders>
            <w:vAlign w:val="center"/>
            <w:hideMark/>
          </w:tcPr>
          <w:p w14:paraId="7C56C7A3" w14:textId="77777777" w:rsidR="00387142" w:rsidRPr="008B6A75" w:rsidRDefault="00387142" w:rsidP="00387142">
            <w:pPr>
              <w:rPr>
                <w:color w:val="000000"/>
                <w:sz w:val="20"/>
                <w:szCs w:val="20"/>
              </w:rPr>
            </w:pPr>
          </w:p>
        </w:tc>
        <w:tc>
          <w:tcPr>
            <w:tcW w:w="1780" w:type="dxa"/>
            <w:tcBorders>
              <w:top w:val="nil"/>
              <w:left w:val="nil"/>
              <w:bottom w:val="single" w:sz="4" w:space="0" w:color="auto"/>
              <w:right w:val="single" w:sz="4" w:space="0" w:color="auto"/>
            </w:tcBorders>
            <w:shd w:val="clear" w:color="auto" w:fill="auto"/>
            <w:vAlign w:val="center"/>
            <w:hideMark/>
          </w:tcPr>
          <w:p w14:paraId="2835A8C2" w14:textId="77777777" w:rsidR="00387142" w:rsidRPr="008B6A75" w:rsidRDefault="00387142" w:rsidP="00387142">
            <w:pPr>
              <w:jc w:val="center"/>
              <w:rPr>
                <w:color w:val="000000"/>
                <w:sz w:val="20"/>
                <w:szCs w:val="20"/>
              </w:rPr>
            </w:pPr>
            <w:r w:rsidRPr="008B6A75">
              <w:rPr>
                <w:color w:val="000000"/>
                <w:sz w:val="20"/>
                <w:szCs w:val="20"/>
              </w:rPr>
              <w:t>на осуществление первичного воинского учёта на территориях, где отсутствуют военные комиссариаты</w:t>
            </w:r>
          </w:p>
        </w:tc>
        <w:tc>
          <w:tcPr>
            <w:tcW w:w="1991" w:type="dxa"/>
            <w:tcBorders>
              <w:top w:val="nil"/>
              <w:left w:val="nil"/>
              <w:bottom w:val="single" w:sz="4" w:space="0" w:color="auto"/>
              <w:right w:val="single" w:sz="4" w:space="0" w:color="auto"/>
            </w:tcBorders>
            <w:shd w:val="clear" w:color="auto" w:fill="auto"/>
            <w:vAlign w:val="center"/>
            <w:hideMark/>
          </w:tcPr>
          <w:p w14:paraId="2D97EDB9" w14:textId="77777777" w:rsidR="00387142" w:rsidRPr="008B6A75" w:rsidRDefault="00387142" w:rsidP="00387142">
            <w:pPr>
              <w:jc w:val="center"/>
              <w:rPr>
                <w:color w:val="000000"/>
                <w:sz w:val="20"/>
                <w:szCs w:val="20"/>
              </w:rPr>
            </w:pPr>
            <w:r w:rsidRPr="008B6A75">
              <w:rPr>
                <w:color w:val="000000"/>
                <w:sz w:val="20"/>
                <w:szCs w:val="20"/>
              </w:rPr>
              <w:t>на осуществление вопросов в сфере административных правонарушений</w:t>
            </w:r>
          </w:p>
        </w:tc>
        <w:tc>
          <w:tcPr>
            <w:tcW w:w="1780" w:type="dxa"/>
            <w:tcBorders>
              <w:top w:val="nil"/>
              <w:left w:val="nil"/>
              <w:bottom w:val="single" w:sz="4" w:space="0" w:color="auto"/>
              <w:right w:val="single" w:sz="4" w:space="0" w:color="auto"/>
            </w:tcBorders>
            <w:shd w:val="clear" w:color="auto" w:fill="auto"/>
            <w:vAlign w:val="center"/>
            <w:hideMark/>
          </w:tcPr>
          <w:p w14:paraId="3887A47B" w14:textId="77777777" w:rsidR="00387142" w:rsidRPr="008B6A75" w:rsidRDefault="00387142" w:rsidP="00387142">
            <w:pPr>
              <w:jc w:val="center"/>
              <w:rPr>
                <w:color w:val="000000"/>
                <w:sz w:val="20"/>
                <w:szCs w:val="20"/>
              </w:rPr>
            </w:pPr>
            <w:r w:rsidRPr="008B6A75">
              <w:rPr>
                <w:color w:val="000000"/>
                <w:sz w:val="20"/>
                <w:szCs w:val="20"/>
              </w:rPr>
              <w:t>на осуществление первичного воинского учёта на территориях, где отсутствуют военные комиссариаты</w:t>
            </w:r>
          </w:p>
        </w:tc>
        <w:tc>
          <w:tcPr>
            <w:tcW w:w="1820" w:type="dxa"/>
            <w:tcBorders>
              <w:top w:val="nil"/>
              <w:left w:val="nil"/>
              <w:bottom w:val="single" w:sz="4" w:space="0" w:color="auto"/>
              <w:right w:val="single" w:sz="4" w:space="0" w:color="auto"/>
            </w:tcBorders>
            <w:shd w:val="clear" w:color="auto" w:fill="auto"/>
            <w:vAlign w:val="center"/>
            <w:hideMark/>
          </w:tcPr>
          <w:p w14:paraId="46BDC718" w14:textId="77777777" w:rsidR="00387142" w:rsidRPr="008B6A75" w:rsidRDefault="00387142" w:rsidP="00387142">
            <w:pPr>
              <w:jc w:val="center"/>
              <w:rPr>
                <w:color w:val="000000"/>
                <w:sz w:val="20"/>
                <w:szCs w:val="20"/>
              </w:rPr>
            </w:pPr>
            <w:r w:rsidRPr="008B6A75">
              <w:rPr>
                <w:color w:val="000000"/>
                <w:sz w:val="20"/>
                <w:szCs w:val="20"/>
              </w:rPr>
              <w:t>на осуществление первичного воинского учёта на территориях, где отсутствуют военные комиссариаты</w:t>
            </w:r>
          </w:p>
        </w:tc>
      </w:tr>
      <w:tr w:rsidR="00387142" w:rsidRPr="008B6A75" w14:paraId="74DD02EF" w14:textId="77777777" w:rsidTr="00387142">
        <w:trPr>
          <w:trHeight w:val="315"/>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14:paraId="0005535C" w14:textId="77777777" w:rsidR="00387142" w:rsidRPr="008B6A75" w:rsidRDefault="00387142" w:rsidP="00387142">
            <w:pPr>
              <w:jc w:val="right"/>
              <w:rPr>
                <w:color w:val="000000"/>
                <w:sz w:val="20"/>
                <w:szCs w:val="20"/>
              </w:rPr>
            </w:pPr>
            <w:r w:rsidRPr="008B6A75">
              <w:rPr>
                <w:color w:val="000000"/>
                <w:sz w:val="20"/>
                <w:szCs w:val="20"/>
              </w:rPr>
              <w:t>1</w:t>
            </w:r>
          </w:p>
        </w:tc>
        <w:tc>
          <w:tcPr>
            <w:tcW w:w="2300" w:type="dxa"/>
            <w:tcBorders>
              <w:top w:val="nil"/>
              <w:left w:val="nil"/>
              <w:bottom w:val="single" w:sz="4" w:space="0" w:color="auto"/>
              <w:right w:val="single" w:sz="4" w:space="0" w:color="auto"/>
            </w:tcBorders>
            <w:shd w:val="clear" w:color="auto" w:fill="auto"/>
            <w:noWrap/>
            <w:vAlign w:val="bottom"/>
            <w:hideMark/>
          </w:tcPr>
          <w:p w14:paraId="675BA04D" w14:textId="77777777" w:rsidR="00387142" w:rsidRPr="008B6A75" w:rsidRDefault="00387142" w:rsidP="00387142">
            <w:pPr>
              <w:rPr>
                <w:color w:val="000000"/>
                <w:sz w:val="20"/>
                <w:szCs w:val="20"/>
              </w:rPr>
            </w:pPr>
            <w:proofErr w:type="spellStart"/>
            <w:r w:rsidRPr="008B6A75">
              <w:rPr>
                <w:color w:val="000000"/>
                <w:sz w:val="20"/>
                <w:szCs w:val="20"/>
              </w:rPr>
              <w:t>Абрамовский</w:t>
            </w:r>
            <w:proofErr w:type="spellEnd"/>
          </w:p>
        </w:tc>
        <w:tc>
          <w:tcPr>
            <w:tcW w:w="1780" w:type="dxa"/>
            <w:tcBorders>
              <w:top w:val="nil"/>
              <w:left w:val="nil"/>
              <w:bottom w:val="single" w:sz="4" w:space="0" w:color="auto"/>
              <w:right w:val="single" w:sz="4" w:space="0" w:color="auto"/>
            </w:tcBorders>
            <w:shd w:val="clear" w:color="auto" w:fill="auto"/>
            <w:noWrap/>
            <w:vAlign w:val="center"/>
            <w:hideMark/>
          </w:tcPr>
          <w:p w14:paraId="41218670" w14:textId="77777777" w:rsidR="00387142" w:rsidRPr="008B6A75" w:rsidRDefault="00387142" w:rsidP="00387142">
            <w:pPr>
              <w:jc w:val="right"/>
              <w:rPr>
                <w:sz w:val="20"/>
                <w:szCs w:val="20"/>
              </w:rPr>
            </w:pPr>
            <w:r w:rsidRPr="008B6A75">
              <w:rPr>
                <w:sz w:val="20"/>
                <w:szCs w:val="20"/>
              </w:rPr>
              <w:t>121 105,00</w:t>
            </w:r>
          </w:p>
        </w:tc>
        <w:tc>
          <w:tcPr>
            <w:tcW w:w="1991" w:type="dxa"/>
            <w:tcBorders>
              <w:top w:val="nil"/>
              <w:left w:val="nil"/>
              <w:bottom w:val="single" w:sz="4" w:space="0" w:color="auto"/>
              <w:right w:val="single" w:sz="4" w:space="0" w:color="auto"/>
            </w:tcBorders>
            <w:shd w:val="clear" w:color="auto" w:fill="auto"/>
            <w:noWrap/>
            <w:vAlign w:val="center"/>
            <w:hideMark/>
          </w:tcPr>
          <w:p w14:paraId="3E2F3D92" w14:textId="77777777" w:rsidR="00387142" w:rsidRPr="008B6A75" w:rsidRDefault="00387142" w:rsidP="00387142">
            <w:pPr>
              <w:jc w:val="right"/>
              <w:rPr>
                <w:sz w:val="20"/>
                <w:szCs w:val="20"/>
              </w:rPr>
            </w:pPr>
            <w:r w:rsidRPr="008B6A75">
              <w:rPr>
                <w:sz w:val="20"/>
                <w:szCs w:val="20"/>
              </w:rPr>
              <w:t>100,00</w:t>
            </w:r>
          </w:p>
        </w:tc>
        <w:tc>
          <w:tcPr>
            <w:tcW w:w="1780" w:type="dxa"/>
            <w:tcBorders>
              <w:top w:val="nil"/>
              <w:left w:val="nil"/>
              <w:bottom w:val="single" w:sz="4" w:space="0" w:color="auto"/>
              <w:right w:val="single" w:sz="4" w:space="0" w:color="auto"/>
            </w:tcBorders>
            <w:shd w:val="clear" w:color="auto" w:fill="auto"/>
            <w:noWrap/>
            <w:vAlign w:val="center"/>
            <w:hideMark/>
          </w:tcPr>
          <w:p w14:paraId="3559DD6F" w14:textId="77777777" w:rsidR="00387142" w:rsidRPr="008B6A75" w:rsidRDefault="00387142" w:rsidP="00387142">
            <w:pPr>
              <w:jc w:val="right"/>
              <w:rPr>
                <w:sz w:val="20"/>
                <w:szCs w:val="20"/>
              </w:rPr>
            </w:pPr>
            <w:r w:rsidRPr="008B6A75">
              <w:rPr>
                <w:sz w:val="20"/>
                <w:szCs w:val="20"/>
              </w:rPr>
              <w:t>117 655,00</w:t>
            </w:r>
          </w:p>
        </w:tc>
        <w:tc>
          <w:tcPr>
            <w:tcW w:w="1820" w:type="dxa"/>
            <w:tcBorders>
              <w:top w:val="nil"/>
              <w:left w:val="nil"/>
              <w:bottom w:val="single" w:sz="4" w:space="0" w:color="auto"/>
              <w:right w:val="single" w:sz="4" w:space="0" w:color="auto"/>
            </w:tcBorders>
            <w:shd w:val="clear" w:color="auto" w:fill="auto"/>
            <w:noWrap/>
            <w:vAlign w:val="bottom"/>
            <w:hideMark/>
          </w:tcPr>
          <w:p w14:paraId="5390CB88" w14:textId="77777777" w:rsidR="00387142" w:rsidRPr="008B6A75" w:rsidRDefault="00387142" w:rsidP="00387142">
            <w:pPr>
              <w:jc w:val="right"/>
              <w:rPr>
                <w:color w:val="000000"/>
                <w:sz w:val="20"/>
                <w:szCs w:val="20"/>
              </w:rPr>
            </w:pPr>
            <w:r w:rsidRPr="008B6A75">
              <w:rPr>
                <w:color w:val="000000"/>
                <w:sz w:val="20"/>
                <w:szCs w:val="20"/>
              </w:rPr>
              <w:t>121 826,00</w:t>
            </w:r>
          </w:p>
        </w:tc>
      </w:tr>
      <w:tr w:rsidR="00387142" w:rsidRPr="008B6A75" w14:paraId="59F7705B" w14:textId="77777777" w:rsidTr="00387142">
        <w:trPr>
          <w:trHeight w:val="315"/>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14:paraId="5DC6858E" w14:textId="77777777" w:rsidR="00387142" w:rsidRPr="008B6A75" w:rsidRDefault="00387142" w:rsidP="00387142">
            <w:pPr>
              <w:jc w:val="right"/>
              <w:rPr>
                <w:color w:val="000000"/>
                <w:sz w:val="20"/>
                <w:szCs w:val="20"/>
              </w:rPr>
            </w:pPr>
            <w:r w:rsidRPr="008B6A75">
              <w:rPr>
                <w:color w:val="000000"/>
                <w:sz w:val="20"/>
                <w:szCs w:val="20"/>
              </w:rPr>
              <w:t>2</w:t>
            </w:r>
          </w:p>
        </w:tc>
        <w:tc>
          <w:tcPr>
            <w:tcW w:w="2300" w:type="dxa"/>
            <w:tcBorders>
              <w:top w:val="nil"/>
              <w:left w:val="nil"/>
              <w:bottom w:val="single" w:sz="4" w:space="0" w:color="auto"/>
              <w:right w:val="single" w:sz="4" w:space="0" w:color="auto"/>
            </w:tcBorders>
            <w:shd w:val="clear" w:color="auto" w:fill="auto"/>
            <w:noWrap/>
            <w:vAlign w:val="bottom"/>
            <w:hideMark/>
          </w:tcPr>
          <w:p w14:paraId="23FE86CF" w14:textId="77777777" w:rsidR="00387142" w:rsidRPr="008B6A75" w:rsidRDefault="00387142" w:rsidP="00387142">
            <w:pPr>
              <w:rPr>
                <w:color w:val="000000"/>
                <w:sz w:val="20"/>
                <w:szCs w:val="20"/>
              </w:rPr>
            </w:pPr>
            <w:proofErr w:type="spellStart"/>
            <w:r w:rsidRPr="008B6A75">
              <w:rPr>
                <w:color w:val="000000"/>
                <w:sz w:val="20"/>
                <w:szCs w:val="20"/>
              </w:rPr>
              <w:t>Балманский</w:t>
            </w:r>
            <w:proofErr w:type="spellEnd"/>
          </w:p>
        </w:tc>
        <w:tc>
          <w:tcPr>
            <w:tcW w:w="1780" w:type="dxa"/>
            <w:tcBorders>
              <w:top w:val="nil"/>
              <w:left w:val="nil"/>
              <w:bottom w:val="single" w:sz="4" w:space="0" w:color="auto"/>
              <w:right w:val="single" w:sz="4" w:space="0" w:color="auto"/>
            </w:tcBorders>
            <w:shd w:val="clear" w:color="auto" w:fill="auto"/>
            <w:noWrap/>
            <w:vAlign w:val="center"/>
            <w:hideMark/>
          </w:tcPr>
          <w:p w14:paraId="76866E17" w14:textId="77777777" w:rsidR="00387142" w:rsidRPr="008B6A75" w:rsidRDefault="00387142" w:rsidP="00387142">
            <w:pPr>
              <w:jc w:val="right"/>
              <w:rPr>
                <w:sz w:val="20"/>
                <w:szCs w:val="20"/>
              </w:rPr>
            </w:pPr>
            <w:r w:rsidRPr="008B6A75">
              <w:rPr>
                <w:sz w:val="20"/>
                <w:szCs w:val="20"/>
              </w:rPr>
              <w:t>121 105,00</w:t>
            </w:r>
          </w:p>
        </w:tc>
        <w:tc>
          <w:tcPr>
            <w:tcW w:w="1991" w:type="dxa"/>
            <w:tcBorders>
              <w:top w:val="nil"/>
              <w:left w:val="nil"/>
              <w:bottom w:val="single" w:sz="4" w:space="0" w:color="auto"/>
              <w:right w:val="single" w:sz="4" w:space="0" w:color="auto"/>
            </w:tcBorders>
            <w:shd w:val="clear" w:color="auto" w:fill="auto"/>
            <w:noWrap/>
            <w:vAlign w:val="center"/>
            <w:hideMark/>
          </w:tcPr>
          <w:p w14:paraId="1E3A5FB8" w14:textId="77777777" w:rsidR="00387142" w:rsidRPr="008B6A75" w:rsidRDefault="00387142" w:rsidP="00387142">
            <w:pPr>
              <w:jc w:val="right"/>
              <w:rPr>
                <w:sz w:val="20"/>
                <w:szCs w:val="20"/>
              </w:rPr>
            </w:pPr>
            <w:r w:rsidRPr="008B6A75">
              <w:rPr>
                <w:sz w:val="20"/>
                <w:szCs w:val="20"/>
              </w:rPr>
              <w:t>100,00</w:t>
            </w:r>
          </w:p>
        </w:tc>
        <w:tc>
          <w:tcPr>
            <w:tcW w:w="1780" w:type="dxa"/>
            <w:tcBorders>
              <w:top w:val="nil"/>
              <w:left w:val="nil"/>
              <w:bottom w:val="single" w:sz="4" w:space="0" w:color="auto"/>
              <w:right w:val="single" w:sz="4" w:space="0" w:color="auto"/>
            </w:tcBorders>
            <w:shd w:val="clear" w:color="auto" w:fill="auto"/>
            <w:noWrap/>
            <w:vAlign w:val="center"/>
            <w:hideMark/>
          </w:tcPr>
          <w:p w14:paraId="4076D6F5" w14:textId="77777777" w:rsidR="00387142" w:rsidRPr="008B6A75" w:rsidRDefault="00387142" w:rsidP="00387142">
            <w:pPr>
              <w:jc w:val="right"/>
              <w:rPr>
                <w:sz w:val="20"/>
                <w:szCs w:val="20"/>
              </w:rPr>
            </w:pPr>
            <w:r w:rsidRPr="008B6A75">
              <w:rPr>
                <w:sz w:val="20"/>
                <w:szCs w:val="20"/>
              </w:rPr>
              <w:t>117 655,00</w:t>
            </w:r>
          </w:p>
        </w:tc>
        <w:tc>
          <w:tcPr>
            <w:tcW w:w="1820" w:type="dxa"/>
            <w:tcBorders>
              <w:top w:val="nil"/>
              <w:left w:val="nil"/>
              <w:bottom w:val="single" w:sz="4" w:space="0" w:color="auto"/>
              <w:right w:val="single" w:sz="4" w:space="0" w:color="auto"/>
            </w:tcBorders>
            <w:shd w:val="clear" w:color="auto" w:fill="auto"/>
            <w:noWrap/>
            <w:vAlign w:val="bottom"/>
            <w:hideMark/>
          </w:tcPr>
          <w:p w14:paraId="2A2148ED" w14:textId="77777777" w:rsidR="00387142" w:rsidRPr="008B6A75" w:rsidRDefault="00387142" w:rsidP="00387142">
            <w:pPr>
              <w:jc w:val="right"/>
              <w:rPr>
                <w:color w:val="000000"/>
                <w:sz w:val="20"/>
                <w:szCs w:val="20"/>
              </w:rPr>
            </w:pPr>
            <w:r w:rsidRPr="008B6A75">
              <w:rPr>
                <w:color w:val="000000"/>
                <w:sz w:val="20"/>
                <w:szCs w:val="20"/>
              </w:rPr>
              <w:t>121 826,00</w:t>
            </w:r>
          </w:p>
        </w:tc>
      </w:tr>
      <w:tr w:rsidR="00387142" w:rsidRPr="008B6A75" w14:paraId="13F6700F" w14:textId="77777777" w:rsidTr="00387142">
        <w:trPr>
          <w:trHeight w:val="315"/>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14:paraId="049E3F1C" w14:textId="77777777" w:rsidR="00387142" w:rsidRPr="008B6A75" w:rsidRDefault="00387142" w:rsidP="00387142">
            <w:pPr>
              <w:jc w:val="right"/>
              <w:rPr>
                <w:color w:val="000000"/>
                <w:sz w:val="20"/>
                <w:szCs w:val="20"/>
              </w:rPr>
            </w:pPr>
            <w:r w:rsidRPr="008B6A75">
              <w:rPr>
                <w:color w:val="000000"/>
                <w:sz w:val="20"/>
                <w:szCs w:val="20"/>
              </w:rPr>
              <w:t>3</w:t>
            </w:r>
          </w:p>
        </w:tc>
        <w:tc>
          <w:tcPr>
            <w:tcW w:w="2300" w:type="dxa"/>
            <w:tcBorders>
              <w:top w:val="nil"/>
              <w:left w:val="nil"/>
              <w:bottom w:val="single" w:sz="4" w:space="0" w:color="auto"/>
              <w:right w:val="single" w:sz="4" w:space="0" w:color="auto"/>
            </w:tcBorders>
            <w:shd w:val="clear" w:color="auto" w:fill="auto"/>
            <w:noWrap/>
            <w:vAlign w:val="bottom"/>
            <w:hideMark/>
          </w:tcPr>
          <w:p w14:paraId="45E7C5CD" w14:textId="77777777" w:rsidR="00387142" w:rsidRPr="008B6A75" w:rsidRDefault="00387142" w:rsidP="00387142">
            <w:pPr>
              <w:rPr>
                <w:color w:val="000000"/>
                <w:sz w:val="20"/>
                <w:szCs w:val="20"/>
              </w:rPr>
            </w:pPr>
            <w:proofErr w:type="spellStart"/>
            <w:r w:rsidRPr="008B6A75">
              <w:rPr>
                <w:color w:val="000000"/>
                <w:sz w:val="20"/>
                <w:szCs w:val="20"/>
              </w:rPr>
              <w:t>Булатовский</w:t>
            </w:r>
            <w:proofErr w:type="spellEnd"/>
          </w:p>
        </w:tc>
        <w:tc>
          <w:tcPr>
            <w:tcW w:w="1780" w:type="dxa"/>
            <w:tcBorders>
              <w:top w:val="nil"/>
              <w:left w:val="nil"/>
              <w:bottom w:val="single" w:sz="4" w:space="0" w:color="auto"/>
              <w:right w:val="single" w:sz="4" w:space="0" w:color="auto"/>
            </w:tcBorders>
            <w:shd w:val="clear" w:color="auto" w:fill="auto"/>
            <w:noWrap/>
            <w:vAlign w:val="center"/>
            <w:hideMark/>
          </w:tcPr>
          <w:p w14:paraId="679C1EE4" w14:textId="77777777" w:rsidR="00387142" w:rsidRPr="008B6A75" w:rsidRDefault="00387142" w:rsidP="00387142">
            <w:pPr>
              <w:jc w:val="right"/>
              <w:rPr>
                <w:sz w:val="20"/>
                <w:szCs w:val="20"/>
              </w:rPr>
            </w:pPr>
            <w:r w:rsidRPr="008B6A75">
              <w:rPr>
                <w:sz w:val="20"/>
                <w:szCs w:val="20"/>
              </w:rPr>
              <w:t>121 105,00</w:t>
            </w:r>
          </w:p>
        </w:tc>
        <w:tc>
          <w:tcPr>
            <w:tcW w:w="1991" w:type="dxa"/>
            <w:tcBorders>
              <w:top w:val="nil"/>
              <w:left w:val="nil"/>
              <w:bottom w:val="single" w:sz="4" w:space="0" w:color="auto"/>
              <w:right w:val="single" w:sz="4" w:space="0" w:color="auto"/>
            </w:tcBorders>
            <w:shd w:val="clear" w:color="auto" w:fill="auto"/>
            <w:noWrap/>
            <w:vAlign w:val="center"/>
            <w:hideMark/>
          </w:tcPr>
          <w:p w14:paraId="6B59ED5D" w14:textId="77777777" w:rsidR="00387142" w:rsidRPr="008B6A75" w:rsidRDefault="00387142" w:rsidP="00387142">
            <w:pPr>
              <w:jc w:val="right"/>
              <w:rPr>
                <w:sz w:val="20"/>
                <w:szCs w:val="20"/>
              </w:rPr>
            </w:pPr>
            <w:r w:rsidRPr="008B6A75">
              <w:rPr>
                <w:sz w:val="20"/>
                <w:szCs w:val="20"/>
              </w:rPr>
              <w:t>100,00</w:t>
            </w:r>
          </w:p>
        </w:tc>
        <w:tc>
          <w:tcPr>
            <w:tcW w:w="1780" w:type="dxa"/>
            <w:tcBorders>
              <w:top w:val="nil"/>
              <w:left w:val="nil"/>
              <w:bottom w:val="single" w:sz="4" w:space="0" w:color="auto"/>
              <w:right w:val="single" w:sz="4" w:space="0" w:color="auto"/>
            </w:tcBorders>
            <w:shd w:val="clear" w:color="auto" w:fill="auto"/>
            <w:noWrap/>
            <w:vAlign w:val="center"/>
            <w:hideMark/>
          </w:tcPr>
          <w:p w14:paraId="73F3EF22" w14:textId="77777777" w:rsidR="00387142" w:rsidRPr="008B6A75" w:rsidRDefault="00387142" w:rsidP="00387142">
            <w:pPr>
              <w:jc w:val="right"/>
              <w:rPr>
                <w:sz w:val="20"/>
                <w:szCs w:val="20"/>
              </w:rPr>
            </w:pPr>
            <w:r w:rsidRPr="008B6A75">
              <w:rPr>
                <w:sz w:val="20"/>
                <w:szCs w:val="20"/>
              </w:rPr>
              <w:t>117 655,00</w:t>
            </w:r>
          </w:p>
        </w:tc>
        <w:tc>
          <w:tcPr>
            <w:tcW w:w="1820" w:type="dxa"/>
            <w:tcBorders>
              <w:top w:val="nil"/>
              <w:left w:val="nil"/>
              <w:bottom w:val="single" w:sz="4" w:space="0" w:color="auto"/>
              <w:right w:val="single" w:sz="4" w:space="0" w:color="auto"/>
            </w:tcBorders>
            <w:shd w:val="clear" w:color="auto" w:fill="auto"/>
            <w:noWrap/>
            <w:vAlign w:val="bottom"/>
            <w:hideMark/>
          </w:tcPr>
          <w:p w14:paraId="7029F059" w14:textId="77777777" w:rsidR="00387142" w:rsidRPr="008B6A75" w:rsidRDefault="00387142" w:rsidP="00387142">
            <w:pPr>
              <w:jc w:val="right"/>
              <w:rPr>
                <w:color w:val="000000"/>
                <w:sz w:val="20"/>
                <w:szCs w:val="20"/>
              </w:rPr>
            </w:pPr>
            <w:r w:rsidRPr="008B6A75">
              <w:rPr>
                <w:color w:val="000000"/>
                <w:sz w:val="20"/>
                <w:szCs w:val="20"/>
              </w:rPr>
              <w:t>121 826,00</w:t>
            </w:r>
          </w:p>
        </w:tc>
      </w:tr>
      <w:tr w:rsidR="00387142" w:rsidRPr="008B6A75" w14:paraId="5825479B" w14:textId="77777777" w:rsidTr="00387142">
        <w:trPr>
          <w:trHeight w:val="315"/>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14:paraId="7035AE50" w14:textId="77777777" w:rsidR="00387142" w:rsidRPr="008B6A75" w:rsidRDefault="00387142" w:rsidP="00387142">
            <w:pPr>
              <w:jc w:val="right"/>
              <w:rPr>
                <w:color w:val="000000"/>
                <w:sz w:val="20"/>
                <w:szCs w:val="20"/>
              </w:rPr>
            </w:pPr>
            <w:r w:rsidRPr="008B6A75">
              <w:rPr>
                <w:color w:val="000000"/>
                <w:sz w:val="20"/>
                <w:szCs w:val="20"/>
              </w:rPr>
              <w:t>4</w:t>
            </w:r>
          </w:p>
        </w:tc>
        <w:tc>
          <w:tcPr>
            <w:tcW w:w="2300" w:type="dxa"/>
            <w:tcBorders>
              <w:top w:val="nil"/>
              <w:left w:val="nil"/>
              <w:bottom w:val="single" w:sz="4" w:space="0" w:color="auto"/>
              <w:right w:val="single" w:sz="4" w:space="0" w:color="auto"/>
            </w:tcBorders>
            <w:shd w:val="clear" w:color="auto" w:fill="auto"/>
            <w:noWrap/>
            <w:vAlign w:val="bottom"/>
            <w:hideMark/>
          </w:tcPr>
          <w:p w14:paraId="566D1C1C" w14:textId="77777777" w:rsidR="00387142" w:rsidRPr="008B6A75" w:rsidRDefault="00387142" w:rsidP="00387142">
            <w:pPr>
              <w:rPr>
                <w:color w:val="000000"/>
                <w:sz w:val="20"/>
                <w:szCs w:val="20"/>
              </w:rPr>
            </w:pPr>
            <w:r w:rsidRPr="008B6A75">
              <w:rPr>
                <w:color w:val="000000"/>
                <w:sz w:val="20"/>
                <w:szCs w:val="20"/>
              </w:rPr>
              <w:t>Верх-</w:t>
            </w:r>
            <w:proofErr w:type="spellStart"/>
            <w:r w:rsidRPr="008B6A75">
              <w:rPr>
                <w:color w:val="000000"/>
                <w:sz w:val="20"/>
                <w:szCs w:val="20"/>
              </w:rPr>
              <w:t>ичинский</w:t>
            </w:r>
            <w:proofErr w:type="spellEnd"/>
          </w:p>
        </w:tc>
        <w:tc>
          <w:tcPr>
            <w:tcW w:w="1780" w:type="dxa"/>
            <w:tcBorders>
              <w:top w:val="nil"/>
              <w:left w:val="nil"/>
              <w:bottom w:val="single" w:sz="4" w:space="0" w:color="auto"/>
              <w:right w:val="single" w:sz="4" w:space="0" w:color="auto"/>
            </w:tcBorders>
            <w:shd w:val="clear" w:color="auto" w:fill="auto"/>
            <w:noWrap/>
            <w:vAlign w:val="center"/>
            <w:hideMark/>
          </w:tcPr>
          <w:p w14:paraId="32DC517D" w14:textId="77777777" w:rsidR="00387142" w:rsidRPr="008B6A75" w:rsidRDefault="00387142" w:rsidP="00387142">
            <w:pPr>
              <w:jc w:val="right"/>
              <w:rPr>
                <w:sz w:val="20"/>
                <w:szCs w:val="20"/>
              </w:rPr>
            </w:pPr>
            <w:r w:rsidRPr="008B6A75">
              <w:rPr>
                <w:sz w:val="20"/>
                <w:szCs w:val="20"/>
              </w:rPr>
              <w:t>121 105,00</w:t>
            </w:r>
          </w:p>
        </w:tc>
        <w:tc>
          <w:tcPr>
            <w:tcW w:w="1991" w:type="dxa"/>
            <w:tcBorders>
              <w:top w:val="nil"/>
              <w:left w:val="nil"/>
              <w:bottom w:val="single" w:sz="4" w:space="0" w:color="auto"/>
              <w:right w:val="single" w:sz="4" w:space="0" w:color="auto"/>
            </w:tcBorders>
            <w:shd w:val="clear" w:color="auto" w:fill="auto"/>
            <w:noWrap/>
            <w:vAlign w:val="center"/>
            <w:hideMark/>
          </w:tcPr>
          <w:p w14:paraId="492EF0CA" w14:textId="77777777" w:rsidR="00387142" w:rsidRPr="008B6A75" w:rsidRDefault="00387142" w:rsidP="00387142">
            <w:pPr>
              <w:jc w:val="right"/>
              <w:rPr>
                <w:sz w:val="20"/>
                <w:szCs w:val="20"/>
              </w:rPr>
            </w:pPr>
            <w:r w:rsidRPr="008B6A75">
              <w:rPr>
                <w:sz w:val="20"/>
                <w:szCs w:val="20"/>
              </w:rPr>
              <w:t>100,00</w:t>
            </w:r>
          </w:p>
        </w:tc>
        <w:tc>
          <w:tcPr>
            <w:tcW w:w="1780" w:type="dxa"/>
            <w:tcBorders>
              <w:top w:val="nil"/>
              <w:left w:val="nil"/>
              <w:bottom w:val="single" w:sz="4" w:space="0" w:color="auto"/>
              <w:right w:val="single" w:sz="4" w:space="0" w:color="auto"/>
            </w:tcBorders>
            <w:shd w:val="clear" w:color="auto" w:fill="auto"/>
            <w:noWrap/>
            <w:vAlign w:val="center"/>
            <w:hideMark/>
          </w:tcPr>
          <w:p w14:paraId="28D8610E" w14:textId="77777777" w:rsidR="00387142" w:rsidRPr="008B6A75" w:rsidRDefault="00387142" w:rsidP="00387142">
            <w:pPr>
              <w:jc w:val="right"/>
              <w:rPr>
                <w:sz w:val="20"/>
                <w:szCs w:val="20"/>
              </w:rPr>
            </w:pPr>
            <w:r w:rsidRPr="008B6A75">
              <w:rPr>
                <w:sz w:val="20"/>
                <w:szCs w:val="20"/>
              </w:rPr>
              <w:t>117 655,00</w:t>
            </w:r>
          </w:p>
        </w:tc>
        <w:tc>
          <w:tcPr>
            <w:tcW w:w="1820" w:type="dxa"/>
            <w:tcBorders>
              <w:top w:val="nil"/>
              <w:left w:val="nil"/>
              <w:bottom w:val="single" w:sz="4" w:space="0" w:color="auto"/>
              <w:right w:val="single" w:sz="4" w:space="0" w:color="auto"/>
            </w:tcBorders>
            <w:shd w:val="clear" w:color="auto" w:fill="auto"/>
            <w:noWrap/>
            <w:vAlign w:val="bottom"/>
            <w:hideMark/>
          </w:tcPr>
          <w:p w14:paraId="1010309A" w14:textId="77777777" w:rsidR="00387142" w:rsidRPr="008B6A75" w:rsidRDefault="00387142" w:rsidP="00387142">
            <w:pPr>
              <w:jc w:val="right"/>
              <w:rPr>
                <w:color w:val="000000"/>
                <w:sz w:val="20"/>
                <w:szCs w:val="20"/>
              </w:rPr>
            </w:pPr>
            <w:r w:rsidRPr="008B6A75">
              <w:rPr>
                <w:color w:val="000000"/>
                <w:sz w:val="20"/>
                <w:szCs w:val="20"/>
              </w:rPr>
              <w:t>121 826,00</w:t>
            </w:r>
          </w:p>
        </w:tc>
      </w:tr>
      <w:tr w:rsidR="00387142" w:rsidRPr="008B6A75" w14:paraId="6857B478" w14:textId="77777777" w:rsidTr="00387142">
        <w:trPr>
          <w:trHeight w:val="315"/>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14:paraId="2938DFF9" w14:textId="77777777" w:rsidR="00387142" w:rsidRPr="008B6A75" w:rsidRDefault="00387142" w:rsidP="00387142">
            <w:pPr>
              <w:jc w:val="right"/>
              <w:rPr>
                <w:color w:val="000000"/>
                <w:sz w:val="20"/>
                <w:szCs w:val="20"/>
              </w:rPr>
            </w:pPr>
            <w:r w:rsidRPr="008B6A75">
              <w:rPr>
                <w:color w:val="000000"/>
                <w:sz w:val="20"/>
                <w:szCs w:val="20"/>
              </w:rPr>
              <w:t>5</w:t>
            </w:r>
          </w:p>
        </w:tc>
        <w:tc>
          <w:tcPr>
            <w:tcW w:w="2300" w:type="dxa"/>
            <w:tcBorders>
              <w:top w:val="nil"/>
              <w:left w:val="nil"/>
              <w:bottom w:val="single" w:sz="4" w:space="0" w:color="auto"/>
              <w:right w:val="single" w:sz="4" w:space="0" w:color="auto"/>
            </w:tcBorders>
            <w:shd w:val="clear" w:color="auto" w:fill="auto"/>
            <w:noWrap/>
            <w:vAlign w:val="bottom"/>
            <w:hideMark/>
          </w:tcPr>
          <w:p w14:paraId="05F5250F" w14:textId="77777777" w:rsidR="00387142" w:rsidRPr="008B6A75" w:rsidRDefault="00387142" w:rsidP="00387142">
            <w:pPr>
              <w:rPr>
                <w:color w:val="000000"/>
                <w:sz w:val="20"/>
                <w:szCs w:val="20"/>
              </w:rPr>
            </w:pPr>
            <w:proofErr w:type="spellStart"/>
            <w:r w:rsidRPr="008B6A75">
              <w:rPr>
                <w:color w:val="000000"/>
                <w:sz w:val="20"/>
                <w:szCs w:val="20"/>
              </w:rPr>
              <w:t>Веснянский</w:t>
            </w:r>
            <w:proofErr w:type="spellEnd"/>
          </w:p>
        </w:tc>
        <w:tc>
          <w:tcPr>
            <w:tcW w:w="1780" w:type="dxa"/>
            <w:tcBorders>
              <w:top w:val="nil"/>
              <w:left w:val="nil"/>
              <w:bottom w:val="single" w:sz="4" w:space="0" w:color="auto"/>
              <w:right w:val="single" w:sz="4" w:space="0" w:color="auto"/>
            </w:tcBorders>
            <w:shd w:val="clear" w:color="auto" w:fill="auto"/>
            <w:noWrap/>
            <w:vAlign w:val="center"/>
            <w:hideMark/>
          </w:tcPr>
          <w:p w14:paraId="289B5C82" w14:textId="77777777" w:rsidR="00387142" w:rsidRPr="008B6A75" w:rsidRDefault="00387142" w:rsidP="00387142">
            <w:pPr>
              <w:jc w:val="right"/>
              <w:rPr>
                <w:sz w:val="20"/>
                <w:szCs w:val="20"/>
              </w:rPr>
            </w:pPr>
            <w:r w:rsidRPr="008B6A75">
              <w:rPr>
                <w:sz w:val="20"/>
                <w:szCs w:val="20"/>
              </w:rPr>
              <w:t>121 105,00</w:t>
            </w:r>
          </w:p>
        </w:tc>
        <w:tc>
          <w:tcPr>
            <w:tcW w:w="1991" w:type="dxa"/>
            <w:tcBorders>
              <w:top w:val="nil"/>
              <w:left w:val="nil"/>
              <w:bottom w:val="single" w:sz="4" w:space="0" w:color="auto"/>
              <w:right w:val="single" w:sz="4" w:space="0" w:color="auto"/>
            </w:tcBorders>
            <w:shd w:val="clear" w:color="auto" w:fill="auto"/>
            <w:noWrap/>
            <w:vAlign w:val="center"/>
            <w:hideMark/>
          </w:tcPr>
          <w:p w14:paraId="6B38B992" w14:textId="77777777" w:rsidR="00387142" w:rsidRPr="008B6A75" w:rsidRDefault="00387142" w:rsidP="00387142">
            <w:pPr>
              <w:jc w:val="right"/>
              <w:rPr>
                <w:sz w:val="20"/>
                <w:szCs w:val="20"/>
              </w:rPr>
            </w:pPr>
            <w:r w:rsidRPr="008B6A75">
              <w:rPr>
                <w:sz w:val="20"/>
                <w:szCs w:val="20"/>
              </w:rPr>
              <w:t>100,00</w:t>
            </w:r>
          </w:p>
        </w:tc>
        <w:tc>
          <w:tcPr>
            <w:tcW w:w="1780" w:type="dxa"/>
            <w:tcBorders>
              <w:top w:val="nil"/>
              <w:left w:val="nil"/>
              <w:bottom w:val="single" w:sz="4" w:space="0" w:color="auto"/>
              <w:right w:val="single" w:sz="4" w:space="0" w:color="auto"/>
            </w:tcBorders>
            <w:shd w:val="clear" w:color="auto" w:fill="auto"/>
            <w:noWrap/>
            <w:vAlign w:val="center"/>
            <w:hideMark/>
          </w:tcPr>
          <w:p w14:paraId="7A3407C7" w14:textId="77777777" w:rsidR="00387142" w:rsidRPr="008B6A75" w:rsidRDefault="00387142" w:rsidP="00387142">
            <w:pPr>
              <w:jc w:val="right"/>
              <w:rPr>
                <w:sz w:val="20"/>
                <w:szCs w:val="20"/>
              </w:rPr>
            </w:pPr>
            <w:r w:rsidRPr="008B6A75">
              <w:rPr>
                <w:sz w:val="20"/>
                <w:szCs w:val="20"/>
              </w:rPr>
              <w:t>117 655,00</w:t>
            </w:r>
          </w:p>
        </w:tc>
        <w:tc>
          <w:tcPr>
            <w:tcW w:w="1820" w:type="dxa"/>
            <w:tcBorders>
              <w:top w:val="nil"/>
              <w:left w:val="nil"/>
              <w:bottom w:val="single" w:sz="4" w:space="0" w:color="auto"/>
              <w:right w:val="single" w:sz="4" w:space="0" w:color="auto"/>
            </w:tcBorders>
            <w:shd w:val="clear" w:color="auto" w:fill="auto"/>
            <w:noWrap/>
            <w:vAlign w:val="bottom"/>
            <w:hideMark/>
          </w:tcPr>
          <w:p w14:paraId="391B534E" w14:textId="77777777" w:rsidR="00387142" w:rsidRPr="008B6A75" w:rsidRDefault="00387142" w:rsidP="00387142">
            <w:pPr>
              <w:jc w:val="right"/>
              <w:rPr>
                <w:color w:val="000000"/>
                <w:sz w:val="20"/>
                <w:szCs w:val="20"/>
              </w:rPr>
            </w:pPr>
            <w:r w:rsidRPr="008B6A75">
              <w:rPr>
                <w:color w:val="000000"/>
                <w:sz w:val="20"/>
                <w:szCs w:val="20"/>
              </w:rPr>
              <w:t>121 826,00</w:t>
            </w:r>
          </w:p>
        </w:tc>
      </w:tr>
      <w:tr w:rsidR="00387142" w:rsidRPr="008B6A75" w14:paraId="2B0051B7" w14:textId="77777777" w:rsidTr="00387142">
        <w:trPr>
          <w:trHeight w:val="315"/>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14:paraId="07B35755" w14:textId="77777777" w:rsidR="00387142" w:rsidRPr="008B6A75" w:rsidRDefault="00387142" w:rsidP="00387142">
            <w:pPr>
              <w:jc w:val="right"/>
              <w:rPr>
                <w:color w:val="000000"/>
                <w:sz w:val="20"/>
                <w:szCs w:val="20"/>
              </w:rPr>
            </w:pPr>
            <w:r w:rsidRPr="008B6A75">
              <w:rPr>
                <w:color w:val="000000"/>
                <w:sz w:val="20"/>
                <w:szCs w:val="20"/>
              </w:rPr>
              <w:t>6</w:t>
            </w:r>
          </w:p>
        </w:tc>
        <w:tc>
          <w:tcPr>
            <w:tcW w:w="2300" w:type="dxa"/>
            <w:tcBorders>
              <w:top w:val="nil"/>
              <w:left w:val="nil"/>
              <w:bottom w:val="single" w:sz="4" w:space="0" w:color="auto"/>
              <w:right w:val="single" w:sz="4" w:space="0" w:color="auto"/>
            </w:tcBorders>
            <w:shd w:val="clear" w:color="auto" w:fill="auto"/>
            <w:noWrap/>
            <w:vAlign w:val="bottom"/>
            <w:hideMark/>
          </w:tcPr>
          <w:p w14:paraId="062A1566" w14:textId="77777777" w:rsidR="00387142" w:rsidRPr="008B6A75" w:rsidRDefault="00387142" w:rsidP="00387142">
            <w:pPr>
              <w:rPr>
                <w:color w:val="000000"/>
                <w:sz w:val="20"/>
                <w:szCs w:val="20"/>
              </w:rPr>
            </w:pPr>
            <w:proofErr w:type="spellStart"/>
            <w:r w:rsidRPr="008B6A75">
              <w:rPr>
                <w:color w:val="000000"/>
                <w:sz w:val="20"/>
                <w:szCs w:val="20"/>
              </w:rPr>
              <w:t>Гжатский</w:t>
            </w:r>
            <w:proofErr w:type="spellEnd"/>
          </w:p>
        </w:tc>
        <w:tc>
          <w:tcPr>
            <w:tcW w:w="1780" w:type="dxa"/>
            <w:tcBorders>
              <w:top w:val="nil"/>
              <w:left w:val="nil"/>
              <w:bottom w:val="single" w:sz="4" w:space="0" w:color="auto"/>
              <w:right w:val="single" w:sz="4" w:space="0" w:color="auto"/>
            </w:tcBorders>
            <w:shd w:val="clear" w:color="auto" w:fill="auto"/>
            <w:noWrap/>
            <w:vAlign w:val="center"/>
            <w:hideMark/>
          </w:tcPr>
          <w:p w14:paraId="1783A267" w14:textId="77777777" w:rsidR="00387142" w:rsidRPr="008B6A75" w:rsidRDefault="00387142" w:rsidP="00387142">
            <w:pPr>
              <w:jc w:val="right"/>
              <w:rPr>
                <w:sz w:val="20"/>
                <w:szCs w:val="20"/>
              </w:rPr>
            </w:pPr>
            <w:r w:rsidRPr="008B6A75">
              <w:rPr>
                <w:sz w:val="20"/>
                <w:szCs w:val="20"/>
              </w:rPr>
              <w:t>121 105,00</w:t>
            </w:r>
          </w:p>
        </w:tc>
        <w:tc>
          <w:tcPr>
            <w:tcW w:w="1991" w:type="dxa"/>
            <w:tcBorders>
              <w:top w:val="nil"/>
              <w:left w:val="nil"/>
              <w:bottom w:val="single" w:sz="4" w:space="0" w:color="auto"/>
              <w:right w:val="single" w:sz="4" w:space="0" w:color="auto"/>
            </w:tcBorders>
            <w:shd w:val="clear" w:color="auto" w:fill="auto"/>
            <w:noWrap/>
            <w:vAlign w:val="center"/>
            <w:hideMark/>
          </w:tcPr>
          <w:p w14:paraId="2FFA13AC" w14:textId="77777777" w:rsidR="00387142" w:rsidRPr="008B6A75" w:rsidRDefault="00387142" w:rsidP="00387142">
            <w:pPr>
              <w:jc w:val="right"/>
              <w:rPr>
                <w:sz w:val="20"/>
                <w:szCs w:val="20"/>
              </w:rPr>
            </w:pPr>
            <w:r w:rsidRPr="008B6A75">
              <w:rPr>
                <w:sz w:val="20"/>
                <w:szCs w:val="20"/>
              </w:rPr>
              <w:t>100,00</w:t>
            </w:r>
          </w:p>
        </w:tc>
        <w:tc>
          <w:tcPr>
            <w:tcW w:w="1780" w:type="dxa"/>
            <w:tcBorders>
              <w:top w:val="nil"/>
              <w:left w:val="nil"/>
              <w:bottom w:val="single" w:sz="4" w:space="0" w:color="auto"/>
              <w:right w:val="single" w:sz="4" w:space="0" w:color="auto"/>
            </w:tcBorders>
            <w:shd w:val="clear" w:color="auto" w:fill="auto"/>
            <w:noWrap/>
            <w:vAlign w:val="center"/>
            <w:hideMark/>
          </w:tcPr>
          <w:p w14:paraId="27D1878D" w14:textId="77777777" w:rsidR="00387142" w:rsidRPr="008B6A75" w:rsidRDefault="00387142" w:rsidP="00387142">
            <w:pPr>
              <w:jc w:val="right"/>
              <w:rPr>
                <w:sz w:val="20"/>
                <w:szCs w:val="20"/>
              </w:rPr>
            </w:pPr>
            <w:r w:rsidRPr="008B6A75">
              <w:rPr>
                <w:sz w:val="20"/>
                <w:szCs w:val="20"/>
              </w:rPr>
              <w:t>117 655,00</w:t>
            </w:r>
          </w:p>
        </w:tc>
        <w:tc>
          <w:tcPr>
            <w:tcW w:w="1820" w:type="dxa"/>
            <w:tcBorders>
              <w:top w:val="nil"/>
              <w:left w:val="nil"/>
              <w:bottom w:val="single" w:sz="4" w:space="0" w:color="auto"/>
              <w:right w:val="single" w:sz="4" w:space="0" w:color="auto"/>
            </w:tcBorders>
            <w:shd w:val="clear" w:color="auto" w:fill="auto"/>
            <w:noWrap/>
            <w:vAlign w:val="bottom"/>
            <w:hideMark/>
          </w:tcPr>
          <w:p w14:paraId="2C49EC70" w14:textId="77777777" w:rsidR="00387142" w:rsidRPr="008B6A75" w:rsidRDefault="00387142" w:rsidP="00387142">
            <w:pPr>
              <w:jc w:val="right"/>
              <w:rPr>
                <w:color w:val="000000"/>
                <w:sz w:val="20"/>
                <w:szCs w:val="20"/>
              </w:rPr>
            </w:pPr>
            <w:r w:rsidRPr="008B6A75">
              <w:rPr>
                <w:color w:val="000000"/>
                <w:sz w:val="20"/>
                <w:szCs w:val="20"/>
              </w:rPr>
              <w:t>121 826,00</w:t>
            </w:r>
          </w:p>
        </w:tc>
      </w:tr>
      <w:tr w:rsidR="00387142" w:rsidRPr="008B6A75" w14:paraId="3F52FCCD" w14:textId="77777777" w:rsidTr="00387142">
        <w:trPr>
          <w:trHeight w:val="315"/>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14:paraId="464BA8D4" w14:textId="77777777" w:rsidR="00387142" w:rsidRPr="008B6A75" w:rsidRDefault="00387142" w:rsidP="00387142">
            <w:pPr>
              <w:jc w:val="right"/>
              <w:rPr>
                <w:color w:val="000000"/>
                <w:sz w:val="20"/>
                <w:szCs w:val="20"/>
              </w:rPr>
            </w:pPr>
            <w:r w:rsidRPr="008B6A75">
              <w:rPr>
                <w:color w:val="000000"/>
                <w:sz w:val="20"/>
                <w:szCs w:val="20"/>
              </w:rPr>
              <w:t>7</w:t>
            </w:r>
          </w:p>
        </w:tc>
        <w:tc>
          <w:tcPr>
            <w:tcW w:w="2300" w:type="dxa"/>
            <w:tcBorders>
              <w:top w:val="nil"/>
              <w:left w:val="nil"/>
              <w:bottom w:val="single" w:sz="4" w:space="0" w:color="auto"/>
              <w:right w:val="single" w:sz="4" w:space="0" w:color="auto"/>
            </w:tcBorders>
            <w:shd w:val="clear" w:color="auto" w:fill="auto"/>
            <w:noWrap/>
            <w:vAlign w:val="bottom"/>
            <w:hideMark/>
          </w:tcPr>
          <w:p w14:paraId="5F98B491" w14:textId="77777777" w:rsidR="00387142" w:rsidRPr="008B6A75" w:rsidRDefault="00387142" w:rsidP="00387142">
            <w:pPr>
              <w:rPr>
                <w:color w:val="000000"/>
                <w:sz w:val="20"/>
                <w:szCs w:val="20"/>
              </w:rPr>
            </w:pPr>
            <w:proofErr w:type="spellStart"/>
            <w:r w:rsidRPr="008B6A75">
              <w:rPr>
                <w:color w:val="000000"/>
                <w:sz w:val="20"/>
                <w:szCs w:val="20"/>
              </w:rPr>
              <w:t>Горбуновский</w:t>
            </w:r>
            <w:proofErr w:type="spellEnd"/>
          </w:p>
        </w:tc>
        <w:tc>
          <w:tcPr>
            <w:tcW w:w="1780" w:type="dxa"/>
            <w:tcBorders>
              <w:top w:val="nil"/>
              <w:left w:val="nil"/>
              <w:bottom w:val="single" w:sz="4" w:space="0" w:color="auto"/>
              <w:right w:val="single" w:sz="4" w:space="0" w:color="auto"/>
            </w:tcBorders>
            <w:shd w:val="clear" w:color="auto" w:fill="auto"/>
            <w:noWrap/>
            <w:vAlign w:val="center"/>
            <w:hideMark/>
          </w:tcPr>
          <w:p w14:paraId="0053F991" w14:textId="77777777" w:rsidR="00387142" w:rsidRPr="008B6A75" w:rsidRDefault="00387142" w:rsidP="00387142">
            <w:pPr>
              <w:jc w:val="right"/>
              <w:rPr>
                <w:sz w:val="20"/>
                <w:szCs w:val="20"/>
              </w:rPr>
            </w:pPr>
            <w:r w:rsidRPr="008B6A75">
              <w:rPr>
                <w:sz w:val="20"/>
                <w:szCs w:val="20"/>
              </w:rPr>
              <w:t>121 105,00</w:t>
            </w:r>
          </w:p>
        </w:tc>
        <w:tc>
          <w:tcPr>
            <w:tcW w:w="1991" w:type="dxa"/>
            <w:tcBorders>
              <w:top w:val="nil"/>
              <w:left w:val="nil"/>
              <w:bottom w:val="single" w:sz="4" w:space="0" w:color="auto"/>
              <w:right w:val="single" w:sz="4" w:space="0" w:color="auto"/>
            </w:tcBorders>
            <w:shd w:val="clear" w:color="auto" w:fill="auto"/>
            <w:noWrap/>
            <w:vAlign w:val="center"/>
            <w:hideMark/>
          </w:tcPr>
          <w:p w14:paraId="3099EFD1" w14:textId="77777777" w:rsidR="00387142" w:rsidRPr="008B6A75" w:rsidRDefault="00387142" w:rsidP="00387142">
            <w:pPr>
              <w:jc w:val="right"/>
              <w:rPr>
                <w:sz w:val="20"/>
                <w:szCs w:val="20"/>
              </w:rPr>
            </w:pPr>
            <w:r w:rsidRPr="008B6A75">
              <w:rPr>
                <w:sz w:val="20"/>
                <w:szCs w:val="20"/>
              </w:rPr>
              <w:t>100,00</w:t>
            </w:r>
          </w:p>
        </w:tc>
        <w:tc>
          <w:tcPr>
            <w:tcW w:w="1780" w:type="dxa"/>
            <w:tcBorders>
              <w:top w:val="nil"/>
              <w:left w:val="nil"/>
              <w:bottom w:val="single" w:sz="4" w:space="0" w:color="auto"/>
              <w:right w:val="single" w:sz="4" w:space="0" w:color="auto"/>
            </w:tcBorders>
            <w:shd w:val="clear" w:color="auto" w:fill="auto"/>
            <w:noWrap/>
            <w:vAlign w:val="center"/>
            <w:hideMark/>
          </w:tcPr>
          <w:p w14:paraId="1C91EAFD" w14:textId="77777777" w:rsidR="00387142" w:rsidRPr="008B6A75" w:rsidRDefault="00387142" w:rsidP="00387142">
            <w:pPr>
              <w:jc w:val="right"/>
              <w:rPr>
                <w:sz w:val="20"/>
                <w:szCs w:val="20"/>
              </w:rPr>
            </w:pPr>
            <w:r w:rsidRPr="008B6A75">
              <w:rPr>
                <w:sz w:val="20"/>
                <w:szCs w:val="20"/>
              </w:rPr>
              <w:t>117 655,00</w:t>
            </w:r>
          </w:p>
        </w:tc>
        <w:tc>
          <w:tcPr>
            <w:tcW w:w="1820" w:type="dxa"/>
            <w:tcBorders>
              <w:top w:val="nil"/>
              <w:left w:val="nil"/>
              <w:bottom w:val="single" w:sz="4" w:space="0" w:color="auto"/>
              <w:right w:val="single" w:sz="4" w:space="0" w:color="auto"/>
            </w:tcBorders>
            <w:shd w:val="clear" w:color="auto" w:fill="auto"/>
            <w:noWrap/>
            <w:vAlign w:val="bottom"/>
            <w:hideMark/>
          </w:tcPr>
          <w:p w14:paraId="24F0A768" w14:textId="77777777" w:rsidR="00387142" w:rsidRPr="008B6A75" w:rsidRDefault="00387142" w:rsidP="00387142">
            <w:pPr>
              <w:jc w:val="right"/>
              <w:rPr>
                <w:color w:val="000000"/>
                <w:sz w:val="20"/>
                <w:szCs w:val="20"/>
              </w:rPr>
            </w:pPr>
            <w:r w:rsidRPr="008B6A75">
              <w:rPr>
                <w:color w:val="000000"/>
                <w:sz w:val="20"/>
                <w:szCs w:val="20"/>
              </w:rPr>
              <w:t>121 826,00</w:t>
            </w:r>
          </w:p>
        </w:tc>
      </w:tr>
      <w:tr w:rsidR="00387142" w:rsidRPr="008B6A75" w14:paraId="4F06CC03" w14:textId="77777777" w:rsidTr="00387142">
        <w:trPr>
          <w:trHeight w:val="315"/>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14:paraId="6DB90AE7" w14:textId="77777777" w:rsidR="00387142" w:rsidRPr="008B6A75" w:rsidRDefault="00387142" w:rsidP="00387142">
            <w:pPr>
              <w:jc w:val="right"/>
              <w:rPr>
                <w:color w:val="000000"/>
                <w:sz w:val="20"/>
                <w:szCs w:val="20"/>
              </w:rPr>
            </w:pPr>
            <w:r w:rsidRPr="008B6A75">
              <w:rPr>
                <w:color w:val="000000"/>
                <w:sz w:val="20"/>
                <w:szCs w:val="20"/>
              </w:rPr>
              <w:t>8</w:t>
            </w:r>
          </w:p>
        </w:tc>
        <w:tc>
          <w:tcPr>
            <w:tcW w:w="2300" w:type="dxa"/>
            <w:tcBorders>
              <w:top w:val="nil"/>
              <w:left w:val="nil"/>
              <w:bottom w:val="single" w:sz="4" w:space="0" w:color="auto"/>
              <w:right w:val="single" w:sz="4" w:space="0" w:color="auto"/>
            </w:tcBorders>
            <w:shd w:val="clear" w:color="auto" w:fill="auto"/>
            <w:noWrap/>
            <w:vAlign w:val="bottom"/>
            <w:hideMark/>
          </w:tcPr>
          <w:p w14:paraId="6EE4363A" w14:textId="77777777" w:rsidR="00387142" w:rsidRPr="008B6A75" w:rsidRDefault="00387142" w:rsidP="00387142">
            <w:pPr>
              <w:rPr>
                <w:color w:val="000000"/>
                <w:sz w:val="20"/>
                <w:szCs w:val="20"/>
              </w:rPr>
            </w:pPr>
            <w:proofErr w:type="spellStart"/>
            <w:r w:rsidRPr="008B6A75">
              <w:rPr>
                <w:color w:val="000000"/>
                <w:sz w:val="20"/>
                <w:szCs w:val="20"/>
              </w:rPr>
              <w:t>Зоновский</w:t>
            </w:r>
            <w:proofErr w:type="spellEnd"/>
          </w:p>
        </w:tc>
        <w:tc>
          <w:tcPr>
            <w:tcW w:w="1780" w:type="dxa"/>
            <w:tcBorders>
              <w:top w:val="nil"/>
              <w:left w:val="nil"/>
              <w:bottom w:val="single" w:sz="4" w:space="0" w:color="auto"/>
              <w:right w:val="single" w:sz="4" w:space="0" w:color="auto"/>
            </w:tcBorders>
            <w:shd w:val="clear" w:color="auto" w:fill="auto"/>
            <w:noWrap/>
            <w:vAlign w:val="center"/>
            <w:hideMark/>
          </w:tcPr>
          <w:p w14:paraId="44014814" w14:textId="77777777" w:rsidR="00387142" w:rsidRPr="008B6A75" w:rsidRDefault="00387142" w:rsidP="00387142">
            <w:pPr>
              <w:jc w:val="right"/>
              <w:rPr>
                <w:sz w:val="20"/>
                <w:szCs w:val="20"/>
              </w:rPr>
            </w:pPr>
            <w:r w:rsidRPr="008B6A75">
              <w:rPr>
                <w:sz w:val="20"/>
                <w:szCs w:val="20"/>
              </w:rPr>
              <w:t>121 105,00</w:t>
            </w:r>
          </w:p>
        </w:tc>
        <w:tc>
          <w:tcPr>
            <w:tcW w:w="1991" w:type="dxa"/>
            <w:tcBorders>
              <w:top w:val="nil"/>
              <w:left w:val="nil"/>
              <w:bottom w:val="single" w:sz="4" w:space="0" w:color="auto"/>
              <w:right w:val="single" w:sz="4" w:space="0" w:color="auto"/>
            </w:tcBorders>
            <w:shd w:val="clear" w:color="auto" w:fill="auto"/>
            <w:noWrap/>
            <w:vAlign w:val="center"/>
            <w:hideMark/>
          </w:tcPr>
          <w:p w14:paraId="00370E99" w14:textId="77777777" w:rsidR="00387142" w:rsidRPr="008B6A75" w:rsidRDefault="00387142" w:rsidP="00387142">
            <w:pPr>
              <w:jc w:val="right"/>
              <w:rPr>
                <w:sz w:val="20"/>
                <w:szCs w:val="20"/>
              </w:rPr>
            </w:pPr>
            <w:r w:rsidRPr="008B6A75">
              <w:rPr>
                <w:sz w:val="20"/>
                <w:szCs w:val="20"/>
              </w:rPr>
              <w:t>100,00</w:t>
            </w:r>
          </w:p>
        </w:tc>
        <w:tc>
          <w:tcPr>
            <w:tcW w:w="1780" w:type="dxa"/>
            <w:tcBorders>
              <w:top w:val="nil"/>
              <w:left w:val="nil"/>
              <w:bottom w:val="single" w:sz="4" w:space="0" w:color="auto"/>
              <w:right w:val="single" w:sz="4" w:space="0" w:color="auto"/>
            </w:tcBorders>
            <w:shd w:val="clear" w:color="auto" w:fill="auto"/>
            <w:noWrap/>
            <w:vAlign w:val="center"/>
            <w:hideMark/>
          </w:tcPr>
          <w:p w14:paraId="5B37A333" w14:textId="77777777" w:rsidR="00387142" w:rsidRPr="008B6A75" w:rsidRDefault="00387142" w:rsidP="00387142">
            <w:pPr>
              <w:jc w:val="right"/>
              <w:rPr>
                <w:sz w:val="20"/>
                <w:szCs w:val="20"/>
              </w:rPr>
            </w:pPr>
            <w:r w:rsidRPr="008B6A75">
              <w:rPr>
                <w:sz w:val="20"/>
                <w:szCs w:val="20"/>
              </w:rPr>
              <w:t>117 655,00</w:t>
            </w:r>
          </w:p>
        </w:tc>
        <w:tc>
          <w:tcPr>
            <w:tcW w:w="1820" w:type="dxa"/>
            <w:tcBorders>
              <w:top w:val="nil"/>
              <w:left w:val="nil"/>
              <w:bottom w:val="single" w:sz="4" w:space="0" w:color="auto"/>
              <w:right w:val="single" w:sz="4" w:space="0" w:color="auto"/>
            </w:tcBorders>
            <w:shd w:val="clear" w:color="auto" w:fill="auto"/>
            <w:noWrap/>
            <w:vAlign w:val="bottom"/>
            <w:hideMark/>
          </w:tcPr>
          <w:p w14:paraId="007CCE66" w14:textId="77777777" w:rsidR="00387142" w:rsidRPr="008B6A75" w:rsidRDefault="00387142" w:rsidP="00387142">
            <w:pPr>
              <w:jc w:val="right"/>
              <w:rPr>
                <w:color w:val="000000"/>
                <w:sz w:val="20"/>
                <w:szCs w:val="20"/>
              </w:rPr>
            </w:pPr>
            <w:r w:rsidRPr="008B6A75">
              <w:rPr>
                <w:color w:val="000000"/>
                <w:sz w:val="20"/>
                <w:szCs w:val="20"/>
              </w:rPr>
              <w:t>121 826,00</w:t>
            </w:r>
          </w:p>
        </w:tc>
      </w:tr>
      <w:tr w:rsidR="00387142" w:rsidRPr="008B6A75" w14:paraId="2D880CD4" w14:textId="77777777" w:rsidTr="00387142">
        <w:trPr>
          <w:trHeight w:val="315"/>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14:paraId="52CD6854" w14:textId="77777777" w:rsidR="00387142" w:rsidRPr="008B6A75" w:rsidRDefault="00387142" w:rsidP="00387142">
            <w:pPr>
              <w:jc w:val="right"/>
              <w:rPr>
                <w:color w:val="000000"/>
                <w:sz w:val="20"/>
                <w:szCs w:val="20"/>
              </w:rPr>
            </w:pPr>
            <w:r w:rsidRPr="008B6A75">
              <w:rPr>
                <w:color w:val="000000"/>
                <w:sz w:val="20"/>
                <w:szCs w:val="20"/>
              </w:rPr>
              <w:t>9</w:t>
            </w:r>
          </w:p>
        </w:tc>
        <w:tc>
          <w:tcPr>
            <w:tcW w:w="2300" w:type="dxa"/>
            <w:tcBorders>
              <w:top w:val="nil"/>
              <w:left w:val="nil"/>
              <w:bottom w:val="single" w:sz="4" w:space="0" w:color="auto"/>
              <w:right w:val="single" w:sz="4" w:space="0" w:color="auto"/>
            </w:tcBorders>
            <w:shd w:val="clear" w:color="auto" w:fill="auto"/>
            <w:noWrap/>
            <w:vAlign w:val="bottom"/>
            <w:hideMark/>
          </w:tcPr>
          <w:p w14:paraId="2D2850A2" w14:textId="77777777" w:rsidR="00387142" w:rsidRPr="008B6A75" w:rsidRDefault="00387142" w:rsidP="00387142">
            <w:pPr>
              <w:rPr>
                <w:color w:val="000000"/>
                <w:sz w:val="20"/>
                <w:szCs w:val="20"/>
              </w:rPr>
            </w:pPr>
            <w:r w:rsidRPr="008B6A75">
              <w:rPr>
                <w:color w:val="000000"/>
                <w:sz w:val="20"/>
                <w:szCs w:val="20"/>
              </w:rPr>
              <w:t>Камский</w:t>
            </w:r>
          </w:p>
        </w:tc>
        <w:tc>
          <w:tcPr>
            <w:tcW w:w="1780" w:type="dxa"/>
            <w:tcBorders>
              <w:top w:val="nil"/>
              <w:left w:val="nil"/>
              <w:bottom w:val="single" w:sz="4" w:space="0" w:color="auto"/>
              <w:right w:val="single" w:sz="4" w:space="0" w:color="auto"/>
            </w:tcBorders>
            <w:shd w:val="clear" w:color="auto" w:fill="auto"/>
            <w:noWrap/>
            <w:vAlign w:val="center"/>
            <w:hideMark/>
          </w:tcPr>
          <w:p w14:paraId="7EAA22D3" w14:textId="77777777" w:rsidR="00387142" w:rsidRPr="008B6A75" w:rsidRDefault="00387142" w:rsidP="00387142">
            <w:pPr>
              <w:jc w:val="right"/>
              <w:rPr>
                <w:sz w:val="20"/>
                <w:szCs w:val="20"/>
              </w:rPr>
            </w:pPr>
            <w:r w:rsidRPr="008B6A75">
              <w:rPr>
                <w:sz w:val="20"/>
                <w:szCs w:val="20"/>
              </w:rPr>
              <w:t>121 105,00</w:t>
            </w:r>
          </w:p>
        </w:tc>
        <w:tc>
          <w:tcPr>
            <w:tcW w:w="1991" w:type="dxa"/>
            <w:tcBorders>
              <w:top w:val="nil"/>
              <w:left w:val="nil"/>
              <w:bottom w:val="single" w:sz="4" w:space="0" w:color="auto"/>
              <w:right w:val="single" w:sz="4" w:space="0" w:color="auto"/>
            </w:tcBorders>
            <w:shd w:val="clear" w:color="auto" w:fill="auto"/>
            <w:noWrap/>
            <w:vAlign w:val="center"/>
            <w:hideMark/>
          </w:tcPr>
          <w:p w14:paraId="6006FFE5" w14:textId="77777777" w:rsidR="00387142" w:rsidRPr="008B6A75" w:rsidRDefault="00387142" w:rsidP="00387142">
            <w:pPr>
              <w:jc w:val="right"/>
              <w:rPr>
                <w:sz w:val="20"/>
                <w:szCs w:val="20"/>
              </w:rPr>
            </w:pPr>
            <w:r w:rsidRPr="008B6A75">
              <w:rPr>
                <w:sz w:val="20"/>
                <w:szCs w:val="20"/>
              </w:rPr>
              <w:t>100,00</w:t>
            </w:r>
          </w:p>
        </w:tc>
        <w:tc>
          <w:tcPr>
            <w:tcW w:w="1780" w:type="dxa"/>
            <w:tcBorders>
              <w:top w:val="nil"/>
              <w:left w:val="nil"/>
              <w:bottom w:val="single" w:sz="4" w:space="0" w:color="auto"/>
              <w:right w:val="single" w:sz="4" w:space="0" w:color="auto"/>
            </w:tcBorders>
            <w:shd w:val="clear" w:color="auto" w:fill="auto"/>
            <w:noWrap/>
            <w:vAlign w:val="center"/>
            <w:hideMark/>
          </w:tcPr>
          <w:p w14:paraId="0793EF27" w14:textId="77777777" w:rsidR="00387142" w:rsidRPr="008B6A75" w:rsidRDefault="00387142" w:rsidP="00387142">
            <w:pPr>
              <w:jc w:val="right"/>
              <w:rPr>
                <w:sz w:val="20"/>
                <w:szCs w:val="20"/>
              </w:rPr>
            </w:pPr>
            <w:r w:rsidRPr="008B6A75">
              <w:rPr>
                <w:sz w:val="20"/>
                <w:szCs w:val="20"/>
              </w:rPr>
              <w:t>117 655,00</w:t>
            </w:r>
          </w:p>
        </w:tc>
        <w:tc>
          <w:tcPr>
            <w:tcW w:w="1820" w:type="dxa"/>
            <w:tcBorders>
              <w:top w:val="nil"/>
              <w:left w:val="nil"/>
              <w:bottom w:val="single" w:sz="4" w:space="0" w:color="auto"/>
              <w:right w:val="single" w:sz="4" w:space="0" w:color="auto"/>
            </w:tcBorders>
            <w:shd w:val="clear" w:color="auto" w:fill="auto"/>
            <w:noWrap/>
            <w:vAlign w:val="bottom"/>
            <w:hideMark/>
          </w:tcPr>
          <w:p w14:paraId="514A616A" w14:textId="77777777" w:rsidR="00387142" w:rsidRPr="008B6A75" w:rsidRDefault="00387142" w:rsidP="00387142">
            <w:pPr>
              <w:jc w:val="right"/>
              <w:rPr>
                <w:color w:val="000000"/>
                <w:sz w:val="20"/>
                <w:szCs w:val="20"/>
              </w:rPr>
            </w:pPr>
            <w:r w:rsidRPr="008B6A75">
              <w:rPr>
                <w:color w:val="000000"/>
                <w:sz w:val="20"/>
                <w:szCs w:val="20"/>
              </w:rPr>
              <w:t>121 826,00</w:t>
            </w:r>
          </w:p>
        </w:tc>
      </w:tr>
      <w:tr w:rsidR="00387142" w:rsidRPr="008B6A75" w14:paraId="23BF028D" w14:textId="77777777" w:rsidTr="00387142">
        <w:trPr>
          <w:trHeight w:val="315"/>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14:paraId="5760FB61" w14:textId="77777777" w:rsidR="00387142" w:rsidRPr="008B6A75" w:rsidRDefault="00387142" w:rsidP="00387142">
            <w:pPr>
              <w:jc w:val="right"/>
              <w:rPr>
                <w:color w:val="000000"/>
                <w:sz w:val="20"/>
                <w:szCs w:val="20"/>
              </w:rPr>
            </w:pPr>
            <w:r w:rsidRPr="008B6A75">
              <w:rPr>
                <w:color w:val="000000"/>
                <w:sz w:val="20"/>
                <w:szCs w:val="20"/>
              </w:rPr>
              <w:t>10</w:t>
            </w:r>
          </w:p>
        </w:tc>
        <w:tc>
          <w:tcPr>
            <w:tcW w:w="2300" w:type="dxa"/>
            <w:tcBorders>
              <w:top w:val="nil"/>
              <w:left w:val="nil"/>
              <w:bottom w:val="single" w:sz="4" w:space="0" w:color="auto"/>
              <w:right w:val="single" w:sz="4" w:space="0" w:color="auto"/>
            </w:tcBorders>
            <w:shd w:val="clear" w:color="auto" w:fill="auto"/>
            <w:noWrap/>
            <w:vAlign w:val="bottom"/>
            <w:hideMark/>
          </w:tcPr>
          <w:p w14:paraId="3E989453" w14:textId="77777777" w:rsidR="00387142" w:rsidRPr="008B6A75" w:rsidRDefault="00387142" w:rsidP="00387142">
            <w:pPr>
              <w:rPr>
                <w:color w:val="000000"/>
                <w:sz w:val="20"/>
                <w:szCs w:val="20"/>
              </w:rPr>
            </w:pPr>
            <w:r w:rsidRPr="008B6A75">
              <w:rPr>
                <w:color w:val="000000"/>
                <w:sz w:val="20"/>
                <w:szCs w:val="20"/>
              </w:rPr>
              <w:t>Куйбышевский</w:t>
            </w:r>
          </w:p>
        </w:tc>
        <w:tc>
          <w:tcPr>
            <w:tcW w:w="1780" w:type="dxa"/>
            <w:tcBorders>
              <w:top w:val="nil"/>
              <w:left w:val="nil"/>
              <w:bottom w:val="single" w:sz="4" w:space="0" w:color="auto"/>
              <w:right w:val="single" w:sz="4" w:space="0" w:color="auto"/>
            </w:tcBorders>
            <w:shd w:val="clear" w:color="auto" w:fill="auto"/>
            <w:noWrap/>
            <w:vAlign w:val="center"/>
            <w:hideMark/>
          </w:tcPr>
          <w:p w14:paraId="7E7F170E" w14:textId="77777777" w:rsidR="00387142" w:rsidRPr="008B6A75" w:rsidRDefault="00387142" w:rsidP="00387142">
            <w:pPr>
              <w:jc w:val="right"/>
              <w:rPr>
                <w:sz w:val="20"/>
                <w:szCs w:val="20"/>
              </w:rPr>
            </w:pPr>
            <w:r w:rsidRPr="008B6A75">
              <w:rPr>
                <w:sz w:val="20"/>
                <w:szCs w:val="20"/>
              </w:rPr>
              <w:t>121 105,00</w:t>
            </w:r>
          </w:p>
        </w:tc>
        <w:tc>
          <w:tcPr>
            <w:tcW w:w="1991" w:type="dxa"/>
            <w:tcBorders>
              <w:top w:val="nil"/>
              <w:left w:val="nil"/>
              <w:bottom w:val="single" w:sz="4" w:space="0" w:color="auto"/>
              <w:right w:val="single" w:sz="4" w:space="0" w:color="auto"/>
            </w:tcBorders>
            <w:shd w:val="clear" w:color="auto" w:fill="auto"/>
            <w:noWrap/>
            <w:vAlign w:val="center"/>
            <w:hideMark/>
          </w:tcPr>
          <w:p w14:paraId="6CA46B4B" w14:textId="77777777" w:rsidR="00387142" w:rsidRPr="008B6A75" w:rsidRDefault="00387142" w:rsidP="00387142">
            <w:pPr>
              <w:jc w:val="right"/>
              <w:rPr>
                <w:sz w:val="20"/>
                <w:szCs w:val="20"/>
              </w:rPr>
            </w:pPr>
            <w:r w:rsidRPr="008B6A75">
              <w:rPr>
                <w:sz w:val="20"/>
                <w:szCs w:val="20"/>
              </w:rPr>
              <w:t>100,00</w:t>
            </w:r>
          </w:p>
        </w:tc>
        <w:tc>
          <w:tcPr>
            <w:tcW w:w="1780" w:type="dxa"/>
            <w:tcBorders>
              <w:top w:val="nil"/>
              <w:left w:val="nil"/>
              <w:bottom w:val="single" w:sz="4" w:space="0" w:color="auto"/>
              <w:right w:val="single" w:sz="4" w:space="0" w:color="auto"/>
            </w:tcBorders>
            <w:shd w:val="clear" w:color="auto" w:fill="auto"/>
            <w:noWrap/>
            <w:vAlign w:val="center"/>
            <w:hideMark/>
          </w:tcPr>
          <w:p w14:paraId="7AB51C25" w14:textId="77777777" w:rsidR="00387142" w:rsidRPr="008B6A75" w:rsidRDefault="00387142" w:rsidP="00387142">
            <w:pPr>
              <w:jc w:val="right"/>
              <w:rPr>
                <w:sz w:val="20"/>
                <w:szCs w:val="20"/>
              </w:rPr>
            </w:pPr>
            <w:r w:rsidRPr="008B6A75">
              <w:rPr>
                <w:sz w:val="20"/>
                <w:szCs w:val="20"/>
              </w:rPr>
              <w:t>117 655,00</w:t>
            </w:r>
          </w:p>
        </w:tc>
        <w:tc>
          <w:tcPr>
            <w:tcW w:w="1820" w:type="dxa"/>
            <w:tcBorders>
              <w:top w:val="nil"/>
              <w:left w:val="nil"/>
              <w:bottom w:val="single" w:sz="4" w:space="0" w:color="auto"/>
              <w:right w:val="single" w:sz="4" w:space="0" w:color="auto"/>
            </w:tcBorders>
            <w:shd w:val="clear" w:color="auto" w:fill="auto"/>
            <w:noWrap/>
            <w:vAlign w:val="bottom"/>
            <w:hideMark/>
          </w:tcPr>
          <w:p w14:paraId="1105BA0B" w14:textId="77777777" w:rsidR="00387142" w:rsidRPr="008B6A75" w:rsidRDefault="00387142" w:rsidP="00387142">
            <w:pPr>
              <w:jc w:val="right"/>
              <w:rPr>
                <w:color w:val="000000"/>
                <w:sz w:val="20"/>
                <w:szCs w:val="20"/>
              </w:rPr>
            </w:pPr>
            <w:r w:rsidRPr="008B6A75">
              <w:rPr>
                <w:color w:val="000000"/>
                <w:sz w:val="20"/>
                <w:szCs w:val="20"/>
              </w:rPr>
              <w:t>121 826,00</w:t>
            </w:r>
          </w:p>
        </w:tc>
      </w:tr>
      <w:tr w:rsidR="00387142" w:rsidRPr="008B6A75" w14:paraId="2640B92B" w14:textId="77777777" w:rsidTr="00387142">
        <w:trPr>
          <w:trHeight w:val="315"/>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14:paraId="71D1AACB" w14:textId="77777777" w:rsidR="00387142" w:rsidRPr="008B6A75" w:rsidRDefault="00387142" w:rsidP="00387142">
            <w:pPr>
              <w:jc w:val="right"/>
              <w:rPr>
                <w:color w:val="000000"/>
                <w:sz w:val="20"/>
                <w:szCs w:val="20"/>
              </w:rPr>
            </w:pPr>
            <w:r w:rsidRPr="008B6A75">
              <w:rPr>
                <w:color w:val="000000"/>
                <w:sz w:val="20"/>
                <w:szCs w:val="20"/>
              </w:rPr>
              <w:t>11</w:t>
            </w:r>
          </w:p>
        </w:tc>
        <w:tc>
          <w:tcPr>
            <w:tcW w:w="2300" w:type="dxa"/>
            <w:tcBorders>
              <w:top w:val="nil"/>
              <w:left w:val="nil"/>
              <w:bottom w:val="single" w:sz="4" w:space="0" w:color="auto"/>
              <w:right w:val="single" w:sz="4" w:space="0" w:color="auto"/>
            </w:tcBorders>
            <w:shd w:val="clear" w:color="auto" w:fill="auto"/>
            <w:noWrap/>
            <w:vAlign w:val="bottom"/>
            <w:hideMark/>
          </w:tcPr>
          <w:p w14:paraId="13922A34" w14:textId="77777777" w:rsidR="00387142" w:rsidRPr="008B6A75" w:rsidRDefault="00387142" w:rsidP="00387142">
            <w:pPr>
              <w:rPr>
                <w:color w:val="000000"/>
                <w:sz w:val="20"/>
                <w:szCs w:val="20"/>
              </w:rPr>
            </w:pPr>
            <w:r w:rsidRPr="008B6A75">
              <w:rPr>
                <w:color w:val="000000"/>
                <w:sz w:val="20"/>
                <w:szCs w:val="20"/>
              </w:rPr>
              <w:t>Михайловский</w:t>
            </w:r>
          </w:p>
        </w:tc>
        <w:tc>
          <w:tcPr>
            <w:tcW w:w="1780" w:type="dxa"/>
            <w:tcBorders>
              <w:top w:val="nil"/>
              <w:left w:val="nil"/>
              <w:bottom w:val="single" w:sz="4" w:space="0" w:color="auto"/>
              <w:right w:val="single" w:sz="4" w:space="0" w:color="auto"/>
            </w:tcBorders>
            <w:shd w:val="clear" w:color="auto" w:fill="auto"/>
            <w:noWrap/>
            <w:vAlign w:val="center"/>
            <w:hideMark/>
          </w:tcPr>
          <w:p w14:paraId="6969DB7D" w14:textId="77777777" w:rsidR="00387142" w:rsidRPr="008B6A75" w:rsidRDefault="00387142" w:rsidP="00387142">
            <w:pPr>
              <w:jc w:val="right"/>
              <w:rPr>
                <w:sz w:val="20"/>
                <w:szCs w:val="20"/>
              </w:rPr>
            </w:pPr>
            <w:r w:rsidRPr="008B6A75">
              <w:rPr>
                <w:sz w:val="20"/>
                <w:szCs w:val="20"/>
              </w:rPr>
              <w:t>121 105,00</w:t>
            </w:r>
          </w:p>
        </w:tc>
        <w:tc>
          <w:tcPr>
            <w:tcW w:w="1991" w:type="dxa"/>
            <w:tcBorders>
              <w:top w:val="nil"/>
              <w:left w:val="nil"/>
              <w:bottom w:val="single" w:sz="4" w:space="0" w:color="auto"/>
              <w:right w:val="single" w:sz="4" w:space="0" w:color="auto"/>
            </w:tcBorders>
            <w:shd w:val="clear" w:color="auto" w:fill="auto"/>
            <w:noWrap/>
            <w:vAlign w:val="center"/>
            <w:hideMark/>
          </w:tcPr>
          <w:p w14:paraId="1D163902" w14:textId="77777777" w:rsidR="00387142" w:rsidRPr="008B6A75" w:rsidRDefault="00387142" w:rsidP="00387142">
            <w:pPr>
              <w:jc w:val="right"/>
              <w:rPr>
                <w:sz w:val="20"/>
                <w:szCs w:val="20"/>
              </w:rPr>
            </w:pPr>
            <w:r w:rsidRPr="008B6A75">
              <w:rPr>
                <w:sz w:val="20"/>
                <w:szCs w:val="20"/>
              </w:rPr>
              <w:t>100,00</w:t>
            </w:r>
          </w:p>
        </w:tc>
        <w:tc>
          <w:tcPr>
            <w:tcW w:w="1780" w:type="dxa"/>
            <w:tcBorders>
              <w:top w:val="nil"/>
              <w:left w:val="nil"/>
              <w:bottom w:val="single" w:sz="4" w:space="0" w:color="auto"/>
              <w:right w:val="single" w:sz="4" w:space="0" w:color="auto"/>
            </w:tcBorders>
            <w:shd w:val="clear" w:color="auto" w:fill="auto"/>
            <w:noWrap/>
            <w:vAlign w:val="center"/>
            <w:hideMark/>
          </w:tcPr>
          <w:p w14:paraId="7895B918" w14:textId="77777777" w:rsidR="00387142" w:rsidRPr="008B6A75" w:rsidRDefault="00387142" w:rsidP="00387142">
            <w:pPr>
              <w:jc w:val="right"/>
              <w:rPr>
                <w:sz w:val="20"/>
                <w:szCs w:val="20"/>
              </w:rPr>
            </w:pPr>
            <w:r w:rsidRPr="008B6A75">
              <w:rPr>
                <w:sz w:val="20"/>
                <w:szCs w:val="20"/>
              </w:rPr>
              <w:t>117 655,00</w:t>
            </w:r>
          </w:p>
        </w:tc>
        <w:tc>
          <w:tcPr>
            <w:tcW w:w="1820" w:type="dxa"/>
            <w:tcBorders>
              <w:top w:val="nil"/>
              <w:left w:val="nil"/>
              <w:bottom w:val="single" w:sz="4" w:space="0" w:color="auto"/>
              <w:right w:val="single" w:sz="4" w:space="0" w:color="auto"/>
            </w:tcBorders>
            <w:shd w:val="clear" w:color="auto" w:fill="auto"/>
            <w:noWrap/>
            <w:vAlign w:val="bottom"/>
            <w:hideMark/>
          </w:tcPr>
          <w:p w14:paraId="22EAD6D7" w14:textId="77777777" w:rsidR="00387142" w:rsidRPr="008B6A75" w:rsidRDefault="00387142" w:rsidP="00387142">
            <w:pPr>
              <w:jc w:val="right"/>
              <w:rPr>
                <w:color w:val="000000"/>
                <w:sz w:val="20"/>
                <w:szCs w:val="20"/>
              </w:rPr>
            </w:pPr>
            <w:r w:rsidRPr="008B6A75">
              <w:rPr>
                <w:color w:val="000000"/>
                <w:sz w:val="20"/>
                <w:szCs w:val="20"/>
              </w:rPr>
              <w:t>121 826,00</w:t>
            </w:r>
          </w:p>
        </w:tc>
      </w:tr>
      <w:tr w:rsidR="00387142" w:rsidRPr="008B6A75" w14:paraId="15CF91A3" w14:textId="77777777" w:rsidTr="00387142">
        <w:trPr>
          <w:trHeight w:val="315"/>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14:paraId="1C0C6FE7" w14:textId="77777777" w:rsidR="00387142" w:rsidRPr="008B6A75" w:rsidRDefault="00387142" w:rsidP="00387142">
            <w:pPr>
              <w:jc w:val="right"/>
              <w:rPr>
                <w:color w:val="000000"/>
                <w:sz w:val="20"/>
                <w:szCs w:val="20"/>
              </w:rPr>
            </w:pPr>
            <w:r w:rsidRPr="008B6A75">
              <w:rPr>
                <w:color w:val="000000"/>
                <w:sz w:val="20"/>
                <w:szCs w:val="20"/>
              </w:rPr>
              <w:t>12</w:t>
            </w:r>
          </w:p>
        </w:tc>
        <w:tc>
          <w:tcPr>
            <w:tcW w:w="2300" w:type="dxa"/>
            <w:tcBorders>
              <w:top w:val="nil"/>
              <w:left w:val="nil"/>
              <w:bottom w:val="single" w:sz="4" w:space="0" w:color="auto"/>
              <w:right w:val="single" w:sz="4" w:space="0" w:color="auto"/>
            </w:tcBorders>
            <w:shd w:val="clear" w:color="auto" w:fill="auto"/>
            <w:noWrap/>
            <w:vAlign w:val="bottom"/>
            <w:hideMark/>
          </w:tcPr>
          <w:p w14:paraId="242DBD1F" w14:textId="77777777" w:rsidR="00387142" w:rsidRPr="008B6A75" w:rsidRDefault="00387142" w:rsidP="00387142">
            <w:pPr>
              <w:rPr>
                <w:color w:val="000000"/>
                <w:sz w:val="20"/>
                <w:szCs w:val="20"/>
              </w:rPr>
            </w:pPr>
            <w:proofErr w:type="spellStart"/>
            <w:r w:rsidRPr="008B6A75">
              <w:rPr>
                <w:color w:val="000000"/>
                <w:sz w:val="20"/>
                <w:szCs w:val="20"/>
              </w:rPr>
              <w:t>Новоичинский</w:t>
            </w:r>
            <w:proofErr w:type="spellEnd"/>
          </w:p>
        </w:tc>
        <w:tc>
          <w:tcPr>
            <w:tcW w:w="1780" w:type="dxa"/>
            <w:tcBorders>
              <w:top w:val="nil"/>
              <w:left w:val="nil"/>
              <w:bottom w:val="single" w:sz="4" w:space="0" w:color="auto"/>
              <w:right w:val="single" w:sz="4" w:space="0" w:color="auto"/>
            </w:tcBorders>
            <w:shd w:val="clear" w:color="auto" w:fill="auto"/>
            <w:noWrap/>
            <w:vAlign w:val="center"/>
            <w:hideMark/>
          </w:tcPr>
          <w:p w14:paraId="09BD1DB0" w14:textId="77777777" w:rsidR="00387142" w:rsidRPr="008B6A75" w:rsidRDefault="00387142" w:rsidP="00387142">
            <w:pPr>
              <w:jc w:val="right"/>
              <w:rPr>
                <w:sz w:val="20"/>
                <w:szCs w:val="20"/>
              </w:rPr>
            </w:pPr>
            <w:r w:rsidRPr="008B6A75">
              <w:rPr>
                <w:sz w:val="20"/>
                <w:szCs w:val="20"/>
              </w:rPr>
              <w:t>121 105,00</w:t>
            </w:r>
          </w:p>
        </w:tc>
        <w:tc>
          <w:tcPr>
            <w:tcW w:w="1991" w:type="dxa"/>
            <w:tcBorders>
              <w:top w:val="nil"/>
              <w:left w:val="nil"/>
              <w:bottom w:val="single" w:sz="4" w:space="0" w:color="auto"/>
              <w:right w:val="single" w:sz="4" w:space="0" w:color="auto"/>
            </w:tcBorders>
            <w:shd w:val="clear" w:color="auto" w:fill="auto"/>
            <w:noWrap/>
            <w:vAlign w:val="center"/>
            <w:hideMark/>
          </w:tcPr>
          <w:p w14:paraId="3728B118" w14:textId="77777777" w:rsidR="00387142" w:rsidRPr="008B6A75" w:rsidRDefault="00387142" w:rsidP="00387142">
            <w:pPr>
              <w:jc w:val="right"/>
              <w:rPr>
                <w:sz w:val="20"/>
                <w:szCs w:val="20"/>
              </w:rPr>
            </w:pPr>
            <w:r w:rsidRPr="008B6A75">
              <w:rPr>
                <w:sz w:val="20"/>
                <w:szCs w:val="20"/>
              </w:rPr>
              <w:t>100,00</w:t>
            </w:r>
          </w:p>
        </w:tc>
        <w:tc>
          <w:tcPr>
            <w:tcW w:w="1780" w:type="dxa"/>
            <w:tcBorders>
              <w:top w:val="nil"/>
              <w:left w:val="nil"/>
              <w:bottom w:val="single" w:sz="4" w:space="0" w:color="auto"/>
              <w:right w:val="single" w:sz="4" w:space="0" w:color="auto"/>
            </w:tcBorders>
            <w:shd w:val="clear" w:color="auto" w:fill="auto"/>
            <w:noWrap/>
            <w:vAlign w:val="center"/>
            <w:hideMark/>
          </w:tcPr>
          <w:p w14:paraId="2F1EBC7D" w14:textId="77777777" w:rsidR="00387142" w:rsidRPr="008B6A75" w:rsidRDefault="00387142" w:rsidP="00387142">
            <w:pPr>
              <w:jc w:val="right"/>
              <w:rPr>
                <w:sz w:val="20"/>
                <w:szCs w:val="20"/>
              </w:rPr>
            </w:pPr>
            <w:r w:rsidRPr="008B6A75">
              <w:rPr>
                <w:sz w:val="20"/>
                <w:szCs w:val="20"/>
              </w:rPr>
              <w:t>117 655,00</w:t>
            </w:r>
          </w:p>
        </w:tc>
        <w:tc>
          <w:tcPr>
            <w:tcW w:w="1820" w:type="dxa"/>
            <w:tcBorders>
              <w:top w:val="nil"/>
              <w:left w:val="nil"/>
              <w:bottom w:val="single" w:sz="4" w:space="0" w:color="auto"/>
              <w:right w:val="single" w:sz="4" w:space="0" w:color="auto"/>
            </w:tcBorders>
            <w:shd w:val="clear" w:color="auto" w:fill="auto"/>
            <w:noWrap/>
            <w:vAlign w:val="bottom"/>
            <w:hideMark/>
          </w:tcPr>
          <w:p w14:paraId="4931C7EC" w14:textId="77777777" w:rsidR="00387142" w:rsidRPr="008B6A75" w:rsidRDefault="00387142" w:rsidP="00387142">
            <w:pPr>
              <w:jc w:val="right"/>
              <w:rPr>
                <w:color w:val="000000"/>
                <w:sz w:val="20"/>
                <w:szCs w:val="20"/>
              </w:rPr>
            </w:pPr>
            <w:r w:rsidRPr="008B6A75">
              <w:rPr>
                <w:color w:val="000000"/>
                <w:sz w:val="20"/>
                <w:szCs w:val="20"/>
              </w:rPr>
              <w:t>121 826,00</w:t>
            </w:r>
          </w:p>
        </w:tc>
      </w:tr>
      <w:tr w:rsidR="00387142" w:rsidRPr="008B6A75" w14:paraId="71100601" w14:textId="77777777" w:rsidTr="00387142">
        <w:trPr>
          <w:trHeight w:val="315"/>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14:paraId="5712D914" w14:textId="77777777" w:rsidR="00387142" w:rsidRPr="008B6A75" w:rsidRDefault="00387142" w:rsidP="00387142">
            <w:pPr>
              <w:jc w:val="right"/>
              <w:rPr>
                <w:color w:val="000000"/>
                <w:sz w:val="20"/>
                <w:szCs w:val="20"/>
              </w:rPr>
            </w:pPr>
            <w:r w:rsidRPr="008B6A75">
              <w:rPr>
                <w:color w:val="000000"/>
                <w:sz w:val="20"/>
                <w:szCs w:val="20"/>
              </w:rPr>
              <w:t>13</w:t>
            </w:r>
          </w:p>
        </w:tc>
        <w:tc>
          <w:tcPr>
            <w:tcW w:w="2300" w:type="dxa"/>
            <w:tcBorders>
              <w:top w:val="nil"/>
              <w:left w:val="nil"/>
              <w:bottom w:val="single" w:sz="4" w:space="0" w:color="auto"/>
              <w:right w:val="single" w:sz="4" w:space="0" w:color="auto"/>
            </w:tcBorders>
            <w:shd w:val="clear" w:color="auto" w:fill="auto"/>
            <w:noWrap/>
            <w:vAlign w:val="bottom"/>
            <w:hideMark/>
          </w:tcPr>
          <w:p w14:paraId="091EBD52" w14:textId="77777777" w:rsidR="00387142" w:rsidRPr="008B6A75" w:rsidRDefault="00387142" w:rsidP="00387142">
            <w:pPr>
              <w:rPr>
                <w:color w:val="000000"/>
                <w:sz w:val="20"/>
                <w:szCs w:val="20"/>
              </w:rPr>
            </w:pPr>
            <w:r w:rsidRPr="008B6A75">
              <w:rPr>
                <w:color w:val="000000"/>
                <w:sz w:val="20"/>
                <w:szCs w:val="20"/>
              </w:rPr>
              <w:t>Октябрьский</w:t>
            </w:r>
          </w:p>
        </w:tc>
        <w:tc>
          <w:tcPr>
            <w:tcW w:w="1780" w:type="dxa"/>
            <w:tcBorders>
              <w:top w:val="nil"/>
              <w:left w:val="nil"/>
              <w:bottom w:val="single" w:sz="4" w:space="0" w:color="auto"/>
              <w:right w:val="single" w:sz="4" w:space="0" w:color="auto"/>
            </w:tcBorders>
            <w:shd w:val="clear" w:color="auto" w:fill="auto"/>
            <w:noWrap/>
            <w:vAlign w:val="center"/>
            <w:hideMark/>
          </w:tcPr>
          <w:p w14:paraId="7B519939" w14:textId="77777777" w:rsidR="00387142" w:rsidRPr="008B6A75" w:rsidRDefault="00387142" w:rsidP="00387142">
            <w:pPr>
              <w:jc w:val="right"/>
              <w:rPr>
                <w:sz w:val="20"/>
                <w:szCs w:val="20"/>
              </w:rPr>
            </w:pPr>
            <w:r w:rsidRPr="008B6A75">
              <w:rPr>
                <w:sz w:val="20"/>
                <w:szCs w:val="20"/>
              </w:rPr>
              <w:t>306 766,01</w:t>
            </w:r>
          </w:p>
        </w:tc>
        <w:tc>
          <w:tcPr>
            <w:tcW w:w="1991" w:type="dxa"/>
            <w:tcBorders>
              <w:top w:val="nil"/>
              <w:left w:val="nil"/>
              <w:bottom w:val="single" w:sz="4" w:space="0" w:color="auto"/>
              <w:right w:val="single" w:sz="4" w:space="0" w:color="auto"/>
            </w:tcBorders>
            <w:shd w:val="clear" w:color="auto" w:fill="auto"/>
            <w:noWrap/>
            <w:vAlign w:val="center"/>
            <w:hideMark/>
          </w:tcPr>
          <w:p w14:paraId="047026E2" w14:textId="77777777" w:rsidR="00387142" w:rsidRPr="008B6A75" w:rsidRDefault="00387142" w:rsidP="00387142">
            <w:pPr>
              <w:jc w:val="right"/>
              <w:rPr>
                <w:sz w:val="20"/>
                <w:szCs w:val="20"/>
              </w:rPr>
            </w:pPr>
            <w:r w:rsidRPr="008B6A75">
              <w:rPr>
                <w:sz w:val="20"/>
                <w:szCs w:val="20"/>
              </w:rPr>
              <w:t>100,00</w:t>
            </w:r>
          </w:p>
        </w:tc>
        <w:tc>
          <w:tcPr>
            <w:tcW w:w="1780" w:type="dxa"/>
            <w:tcBorders>
              <w:top w:val="nil"/>
              <w:left w:val="nil"/>
              <w:bottom w:val="single" w:sz="4" w:space="0" w:color="auto"/>
              <w:right w:val="single" w:sz="4" w:space="0" w:color="auto"/>
            </w:tcBorders>
            <w:shd w:val="clear" w:color="auto" w:fill="auto"/>
            <w:noWrap/>
            <w:vAlign w:val="center"/>
            <w:hideMark/>
          </w:tcPr>
          <w:p w14:paraId="5D90534A" w14:textId="77777777" w:rsidR="00387142" w:rsidRPr="008B6A75" w:rsidRDefault="00387142" w:rsidP="00387142">
            <w:pPr>
              <w:jc w:val="right"/>
              <w:rPr>
                <w:sz w:val="20"/>
                <w:szCs w:val="20"/>
              </w:rPr>
            </w:pPr>
            <w:r w:rsidRPr="008B6A75">
              <w:rPr>
                <w:sz w:val="20"/>
                <w:szCs w:val="20"/>
              </w:rPr>
              <w:t>294 147,79</w:t>
            </w:r>
          </w:p>
        </w:tc>
        <w:tc>
          <w:tcPr>
            <w:tcW w:w="1820" w:type="dxa"/>
            <w:tcBorders>
              <w:top w:val="nil"/>
              <w:left w:val="nil"/>
              <w:bottom w:val="single" w:sz="4" w:space="0" w:color="auto"/>
              <w:right w:val="single" w:sz="4" w:space="0" w:color="auto"/>
            </w:tcBorders>
            <w:shd w:val="clear" w:color="auto" w:fill="auto"/>
            <w:noWrap/>
            <w:vAlign w:val="bottom"/>
            <w:hideMark/>
          </w:tcPr>
          <w:p w14:paraId="04D817A7" w14:textId="77777777" w:rsidR="00387142" w:rsidRPr="008B6A75" w:rsidRDefault="00387142" w:rsidP="00387142">
            <w:pPr>
              <w:jc w:val="right"/>
              <w:rPr>
                <w:color w:val="000000"/>
                <w:sz w:val="20"/>
                <w:szCs w:val="20"/>
              </w:rPr>
            </w:pPr>
            <w:r w:rsidRPr="008B6A75">
              <w:rPr>
                <w:color w:val="000000"/>
                <w:sz w:val="20"/>
                <w:szCs w:val="20"/>
              </w:rPr>
              <w:t>304 542,06</w:t>
            </w:r>
          </w:p>
        </w:tc>
      </w:tr>
      <w:tr w:rsidR="00387142" w:rsidRPr="008B6A75" w14:paraId="62828274" w14:textId="77777777" w:rsidTr="00387142">
        <w:trPr>
          <w:trHeight w:val="315"/>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14:paraId="0EC3583E" w14:textId="77777777" w:rsidR="00387142" w:rsidRPr="008B6A75" w:rsidRDefault="00387142" w:rsidP="00387142">
            <w:pPr>
              <w:jc w:val="right"/>
              <w:rPr>
                <w:color w:val="000000"/>
                <w:sz w:val="20"/>
                <w:szCs w:val="20"/>
              </w:rPr>
            </w:pPr>
            <w:r w:rsidRPr="008B6A75">
              <w:rPr>
                <w:color w:val="000000"/>
                <w:sz w:val="20"/>
                <w:szCs w:val="20"/>
              </w:rPr>
              <w:t>14</w:t>
            </w:r>
          </w:p>
        </w:tc>
        <w:tc>
          <w:tcPr>
            <w:tcW w:w="2300" w:type="dxa"/>
            <w:tcBorders>
              <w:top w:val="nil"/>
              <w:left w:val="nil"/>
              <w:bottom w:val="single" w:sz="4" w:space="0" w:color="auto"/>
              <w:right w:val="single" w:sz="4" w:space="0" w:color="auto"/>
            </w:tcBorders>
            <w:shd w:val="clear" w:color="auto" w:fill="auto"/>
            <w:noWrap/>
            <w:vAlign w:val="bottom"/>
            <w:hideMark/>
          </w:tcPr>
          <w:p w14:paraId="771CEA02" w14:textId="77777777" w:rsidR="00387142" w:rsidRPr="008B6A75" w:rsidRDefault="00387142" w:rsidP="00387142">
            <w:pPr>
              <w:rPr>
                <w:color w:val="000000"/>
                <w:sz w:val="20"/>
                <w:szCs w:val="20"/>
              </w:rPr>
            </w:pPr>
            <w:proofErr w:type="spellStart"/>
            <w:r w:rsidRPr="008B6A75">
              <w:rPr>
                <w:color w:val="000000"/>
                <w:sz w:val="20"/>
                <w:szCs w:val="20"/>
              </w:rPr>
              <w:t>Осиновский</w:t>
            </w:r>
            <w:proofErr w:type="spellEnd"/>
          </w:p>
        </w:tc>
        <w:tc>
          <w:tcPr>
            <w:tcW w:w="1780" w:type="dxa"/>
            <w:tcBorders>
              <w:top w:val="nil"/>
              <w:left w:val="nil"/>
              <w:bottom w:val="single" w:sz="4" w:space="0" w:color="auto"/>
              <w:right w:val="single" w:sz="4" w:space="0" w:color="auto"/>
            </w:tcBorders>
            <w:shd w:val="clear" w:color="auto" w:fill="auto"/>
            <w:noWrap/>
            <w:vAlign w:val="center"/>
            <w:hideMark/>
          </w:tcPr>
          <w:p w14:paraId="2B4A445E" w14:textId="77777777" w:rsidR="00387142" w:rsidRPr="008B6A75" w:rsidRDefault="00387142" w:rsidP="00387142">
            <w:pPr>
              <w:jc w:val="right"/>
              <w:rPr>
                <w:sz w:val="20"/>
                <w:szCs w:val="20"/>
              </w:rPr>
            </w:pPr>
            <w:r w:rsidRPr="008B6A75">
              <w:rPr>
                <w:sz w:val="20"/>
                <w:szCs w:val="20"/>
              </w:rPr>
              <w:t>121 105,00</w:t>
            </w:r>
          </w:p>
        </w:tc>
        <w:tc>
          <w:tcPr>
            <w:tcW w:w="1991" w:type="dxa"/>
            <w:tcBorders>
              <w:top w:val="nil"/>
              <w:left w:val="nil"/>
              <w:bottom w:val="single" w:sz="4" w:space="0" w:color="auto"/>
              <w:right w:val="single" w:sz="4" w:space="0" w:color="auto"/>
            </w:tcBorders>
            <w:shd w:val="clear" w:color="auto" w:fill="auto"/>
            <w:noWrap/>
            <w:vAlign w:val="center"/>
            <w:hideMark/>
          </w:tcPr>
          <w:p w14:paraId="5B2D8484" w14:textId="77777777" w:rsidR="00387142" w:rsidRPr="008B6A75" w:rsidRDefault="00387142" w:rsidP="00387142">
            <w:pPr>
              <w:jc w:val="right"/>
              <w:rPr>
                <w:sz w:val="20"/>
                <w:szCs w:val="20"/>
              </w:rPr>
            </w:pPr>
            <w:r w:rsidRPr="008B6A75">
              <w:rPr>
                <w:sz w:val="20"/>
                <w:szCs w:val="20"/>
              </w:rPr>
              <w:t>100,00</w:t>
            </w:r>
          </w:p>
        </w:tc>
        <w:tc>
          <w:tcPr>
            <w:tcW w:w="1780" w:type="dxa"/>
            <w:tcBorders>
              <w:top w:val="nil"/>
              <w:left w:val="nil"/>
              <w:bottom w:val="single" w:sz="4" w:space="0" w:color="auto"/>
              <w:right w:val="single" w:sz="4" w:space="0" w:color="auto"/>
            </w:tcBorders>
            <w:shd w:val="clear" w:color="auto" w:fill="auto"/>
            <w:noWrap/>
            <w:vAlign w:val="center"/>
            <w:hideMark/>
          </w:tcPr>
          <w:p w14:paraId="7C41A8E5" w14:textId="77777777" w:rsidR="00387142" w:rsidRPr="008B6A75" w:rsidRDefault="00387142" w:rsidP="00387142">
            <w:pPr>
              <w:jc w:val="right"/>
              <w:rPr>
                <w:sz w:val="20"/>
                <w:szCs w:val="20"/>
              </w:rPr>
            </w:pPr>
            <w:r w:rsidRPr="008B6A75">
              <w:rPr>
                <w:sz w:val="20"/>
                <w:szCs w:val="20"/>
              </w:rPr>
              <w:t>117 655,00</w:t>
            </w:r>
          </w:p>
        </w:tc>
        <w:tc>
          <w:tcPr>
            <w:tcW w:w="1820" w:type="dxa"/>
            <w:tcBorders>
              <w:top w:val="nil"/>
              <w:left w:val="nil"/>
              <w:bottom w:val="single" w:sz="4" w:space="0" w:color="auto"/>
              <w:right w:val="single" w:sz="4" w:space="0" w:color="auto"/>
            </w:tcBorders>
            <w:shd w:val="clear" w:color="auto" w:fill="auto"/>
            <w:noWrap/>
            <w:vAlign w:val="bottom"/>
            <w:hideMark/>
          </w:tcPr>
          <w:p w14:paraId="7DF95D70" w14:textId="77777777" w:rsidR="00387142" w:rsidRPr="008B6A75" w:rsidRDefault="00387142" w:rsidP="00387142">
            <w:pPr>
              <w:jc w:val="right"/>
              <w:rPr>
                <w:color w:val="000000"/>
                <w:sz w:val="20"/>
                <w:szCs w:val="20"/>
              </w:rPr>
            </w:pPr>
            <w:r w:rsidRPr="008B6A75">
              <w:rPr>
                <w:color w:val="000000"/>
                <w:sz w:val="20"/>
                <w:szCs w:val="20"/>
              </w:rPr>
              <w:t>121 826,00</w:t>
            </w:r>
          </w:p>
        </w:tc>
      </w:tr>
      <w:tr w:rsidR="00387142" w:rsidRPr="008B6A75" w14:paraId="20AFEEE3" w14:textId="77777777" w:rsidTr="00387142">
        <w:trPr>
          <w:trHeight w:val="315"/>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14:paraId="43D38437" w14:textId="77777777" w:rsidR="00387142" w:rsidRPr="008B6A75" w:rsidRDefault="00387142" w:rsidP="00387142">
            <w:pPr>
              <w:jc w:val="right"/>
              <w:rPr>
                <w:color w:val="000000"/>
                <w:sz w:val="20"/>
                <w:szCs w:val="20"/>
              </w:rPr>
            </w:pPr>
            <w:r w:rsidRPr="008B6A75">
              <w:rPr>
                <w:color w:val="000000"/>
                <w:sz w:val="20"/>
                <w:szCs w:val="20"/>
              </w:rPr>
              <w:t>15</w:t>
            </w:r>
          </w:p>
        </w:tc>
        <w:tc>
          <w:tcPr>
            <w:tcW w:w="2300" w:type="dxa"/>
            <w:tcBorders>
              <w:top w:val="nil"/>
              <w:left w:val="nil"/>
              <w:bottom w:val="single" w:sz="4" w:space="0" w:color="auto"/>
              <w:right w:val="single" w:sz="4" w:space="0" w:color="auto"/>
            </w:tcBorders>
            <w:shd w:val="clear" w:color="auto" w:fill="auto"/>
            <w:noWrap/>
            <w:vAlign w:val="bottom"/>
            <w:hideMark/>
          </w:tcPr>
          <w:p w14:paraId="24841749" w14:textId="77777777" w:rsidR="00387142" w:rsidRPr="008B6A75" w:rsidRDefault="00387142" w:rsidP="00387142">
            <w:pPr>
              <w:rPr>
                <w:color w:val="000000"/>
                <w:sz w:val="20"/>
                <w:szCs w:val="20"/>
              </w:rPr>
            </w:pPr>
            <w:proofErr w:type="spellStart"/>
            <w:r w:rsidRPr="008B6A75">
              <w:rPr>
                <w:color w:val="000000"/>
                <w:sz w:val="20"/>
                <w:szCs w:val="20"/>
              </w:rPr>
              <w:t>Отрадненский</w:t>
            </w:r>
            <w:proofErr w:type="spellEnd"/>
          </w:p>
        </w:tc>
        <w:tc>
          <w:tcPr>
            <w:tcW w:w="1780" w:type="dxa"/>
            <w:tcBorders>
              <w:top w:val="nil"/>
              <w:left w:val="nil"/>
              <w:bottom w:val="single" w:sz="4" w:space="0" w:color="auto"/>
              <w:right w:val="single" w:sz="4" w:space="0" w:color="auto"/>
            </w:tcBorders>
            <w:shd w:val="clear" w:color="auto" w:fill="auto"/>
            <w:noWrap/>
            <w:vAlign w:val="center"/>
            <w:hideMark/>
          </w:tcPr>
          <w:p w14:paraId="7A7E152C" w14:textId="77777777" w:rsidR="00387142" w:rsidRPr="008B6A75" w:rsidRDefault="00387142" w:rsidP="00387142">
            <w:pPr>
              <w:jc w:val="right"/>
              <w:rPr>
                <w:sz w:val="20"/>
                <w:szCs w:val="20"/>
              </w:rPr>
            </w:pPr>
            <w:r w:rsidRPr="008B6A75">
              <w:rPr>
                <w:sz w:val="20"/>
                <w:szCs w:val="20"/>
              </w:rPr>
              <w:t>121 105,00</w:t>
            </w:r>
          </w:p>
        </w:tc>
        <w:tc>
          <w:tcPr>
            <w:tcW w:w="1991" w:type="dxa"/>
            <w:tcBorders>
              <w:top w:val="nil"/>
              <w:left w:val="nil"/>
              <w:bottom w:val="single" w:sz="4" w:space="0" w:color="auto"/>
              <w:right w:val="single" w:sz="4" w:space="0" w:color="auto"/>
            </w:tcBorders>
            <w:shd w:val="clear" w:color="auto" w:fill="auto"/>
            <w:noWrap/>
            <w:vAlign w:val="center"/>
            <w:hideMark/>
          </w:tcPr>
          <w:p w14:paraId="51FF2807" w14:textId="77777777" w:rsidR="00387142" w:rsidRPr="008B6A75" w:rsidRDefault="00387142" w:rsidP="00387142">
            <w:pPr>
              <w:jc w:val="right"/>
              <w:rPr>
                <w:sz w:val="20"/>
                <w:szCs w:val="20"/>
              </w:rPr>
            </w:pPr>
            <w:r w:rsidRPr="008B6A75">
              <w:rPr>
                <w:sz w:val="20"/>
                <w:szCs w:val="20"/>
              </w:rPr>
              <w:t>100,00</w:t>
            </w:r>
          </w:p>
        </w:tc>
        <w:tc>
          <w:tcPr>
            <w:tcW w:w="1780" w:type="dxa"/>
            <w:tcBorders>
              <w:top w:val="nil"/>
              <w:left w:val="nil"/>
              <w:bottom w:val="single" w:sz="4" w:space="0" w:color="auto"/>
              <w:right w:val="single" w:sz="4" w:space="0" w:color="auto"/>
            </w:tcBorders>
            <w:shd w:val="clear" w:color="auto" w:fill="auto"/>
            <w:noWrap/>
            <w:vAlign w:val="center"/>
            <w:hideMark/>
          </w:tcPr>
          <w:p w14:paraId="44AF75E0" w14:textId="77777777" w:rsidR="00387142" w:rsidRPr="008B6A75" w:rsidRDefault="00387142" w:rsidP="00387142">
            <w:pPr>
              <w:jc w:val="right"/>
              <w:rPr>
                <w:sz w:val="20"/>
                <w:szCs w:val="20"/>
              </w:rPr>
            </w:pPr>
            <w:r w:rsidRPr="008B6A75">
              <w:rPr>
                <w:sz w:val="20"/>
                <w:szCs w:val="20"/>
              </w:rPr>
              <w:t>117 655,00</w:t>
            </w:r>
          </w:p>
        </w:tc>
        <w:tc>
          <w:tcPr>
            <w:tcW w:w="1820" w:type="dxa"/>
            <w:tcBorders>
              <w:top w:val="nil"/>
              <w:left w:val="nil"/>
              <w:bottom w:val="single" w:sz="4" w:space="0" w:color="auto"/>
              <w:right w:val="single" w:sz="4" w:space="0" w:color="auto"/>
            </w:tcBorders>
            <w:shd w:val="clear" w:color="auto" w:fill="auto"/>
            <w:noWrap/>
            <w:vAlign w:val="bottom"/>
            <w:hideMark/>
          </w:tcPr>
          <w:p w14:paraId="1A49EA58" w14:textId="77777777" w:rsidR="00387142" w:rsidRPr="008B6A75" w:rsidRDefault="00387142" w:rsidP="00387142">
            <w:pPr>
              <w:jc w:val="right"/>
              <w:rPr>
                <w:color w:val="000000"/>
                <w:sz w:val="20"/>
                <w:szCs w:val="20"/>
              </w:rPr>
            </w:pPr>
            <w:r w:rsidRPr="008B6A75">
              <w:rPr>
                <w:color w:val="000000"/>
                <w:sz w:val="20"/>
                <w:szCs w:val="20"/>
              </w:rPr>
              <w:t>121 826,00</w:t>
            </w:r>
          </w:p>
        </w:tc>
      </w:tr>
      <w:tr w:rsidR="00387142" w:rsidRPr="008B6A75" w14:paraId="2B2C93D5" w14:textId="77777777" w:rsidTr="00387142">
        <w:trPr>
          <w:trHeight w:val="315"/>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14:paraId="186C47CB" w14:textId="77777777" w:rsidR="00387142" w:rsidRPr="008B6A75" w:rsidRDefault="00387142" w:rsidP="00387142">
            <w:pPr>
              <w:jc w:val="right"/>
              <w:rPr>
                <w:color w:val="000000"/>
                <w:sz w:val="20"/>
                <w:szCs w:val="20"/>
              </w:rPr>
            </w:pPr>
            <w:r w:rsidRPr="008B6A75">
              <w:rPr>
                <w:color w:val="000000"/>
                <w:sz w:val="20"/>
                <w:szCs w:val="20"/>
              </w:rPr>
              <w:t>16</w:t>
            </w:r>
          </w:p>
        </w:tc>
        <w:tc>
          <w:tcPr>
            <w:tcW w:w="2300" w:type="dxa"/>
            <w:tcBorders>
              <w:top w:val="nil"/>
              <w:left w:val="nil"/>
              <w:bottom w:val="single" w:sz="4" w:space="0" w:color="auto"/>
              <w:right w:val="single" w:sz="4" w:space="0" w:color="auto"/>
            </w:tcBorders>
            <w:shd w:val="clear" w:color="auto" w:fill="auto"/>
            <w:noWrap/>
            <w:vAlign w:val="bottom"/>
            <w:hideMark/>
          </w:tcPr>
          <w:p w14:paraId="0D0AFB9C" w14:textId="77777777" w:rsidR="00387142" w:rsidRPr="008B6A75" w:rsidRDefault="00387142" w:rsidP="00387142">
            <w:pPr>
              <w:rPr>
                <w:color w:val="000000"/>
                <w:sz w:val="20"/>
                <w:szCs w:val="20"/>
              </w:rPr>
            </w:pPr>
            <w:proofErr w:type="spellStart"/>
            <w:r w:rsidRPr="008B6A75">
              <w:rPr>
                <w:color w:val="000000"/>
                <w:sz w:val="20"/>
                <w:szCs w:val="20"/>
              </w:rPr>
              <w:t>Сергинский</w:t>
            </w:r>
            <w:proofErr w:type="spellEnd"/>
          </w:p>
        </w:tc>
        <w:tc>
          <w:tcPr>
            <w:tcW w:w="1780" w:type="dxa"/>
            <w:tcBorders>
              <w:top w:val="nil"/>
              <w:left w:val="nil"/>
              <w:bottom w:val="single" w:sz="4" w:space="0" w:color="auto"/>
              <w:right w:val="single" w:sz="4" w:space="0" w:color="auto"/>
            </w:tcBorders>
            <w:shd w:val="clear" w:color="auto" w:fill="auto"/>
            <w:noWrap/>
            <w:vAlign w:val="center"/>
            <w:hideMark/>
          </w:tcPr>
          <w:p w14:paraId="7963405F" w14:textId="77777777" w:rsidR="00387142" w:rsidRPr="008B6A75" w:rsidRDefault="00387142" w:rsidP="00387142">
            <w:pPr>
              <w:jc w:val="right"/>
              <w:rPr>
                <w:sz w:val="20"/>
                <w:szCs w:val="20"/>
              </w:rPr>
            </w:pPr>
            <w:r w:rsidRPr="008B6A75">
              <w:rPr>
                <w:sz w:val="20"/>
                <w:szCs w:val="20"/>
              </w:rPr>
              <w:t>121 105,00</w:t>
            </w:r>
          </w:p>
        </w:tc>
        <w:tc>
          <w:tcPr>
            <w:tcW w:w="1991" w:type="dxa"/>
            <w:tcBorders>
              <w:top w:val="nil"/>
              <w:left w:val="nil"/>
              <w:bottom w:val="single" w:sz="4" w:space="0" w:color="auto"/>
              <w:right w:val="single" w:sz="4" w:space="0" w:color="auto"/>
            </w:tcBorders>
            <w:shd w:val="clear" w:color="auto" w:fill="auto"/>
            <w:noWrap/>
            <w:vAlign w:val="center"/>
            <w:hideMark/>
          </w:tcPr>
          <w:p w14:paraId="6FA97F42" w14:textId="77777777" w:rsidR="00387142" w:rsidRPr="008B6A75" w:rsidRDefault="00387142" w:rsidP="00387142">
            <w:pPr>
              <w:jc w:val="right"/>
              <w:rPr>
                <w:sz w:val="20"/>
                <w:szCs w:val="20"/>
              </w:rPr>
            </w:pPr>
            <w:r w:rsidRPr="008B6A75">
              <w:rPr>
                <w:sz w:val="20"/>
                <w:szCs w:val="20"/>
              </w:rPr>
              <w:t>100,00</w:t>
            </w:r>
          </w:p>
        </w:tc>
        <w:tc>
          <w:tcPr>
            <w:tcW w:w="1780" w:type="dxa"/>
            <w:tcBorders>
              <w:top w:val="nil"/>
              <w:left w:val="nil"/>
              <w:bottom w:val="single" w:sz="4" w:space="0" w:color="auto"/>
              <w:right w:val="single" w:sz="4" w:space="0" w:color="auto"/>
            </w:tcBorders>
            <w:shd w:val="clear" w:color="auto" w:fill="auto"/>
            <w:noWrap/>
            <w:vAlign w:val="center"/>
            <w:hideMark/>
          </w:tcPr>
          <w:p w14:paraId="548405D4" w14:textId="77777777" w:rsidR="00387142" w:rsidRPr="008B6A75" w:rsidRDefault="00387142" w:rsidP="00387142">
            <w:pPr>
              <w:jc w:val="right"/>
              <w:rPr>
                <w:sz w:val="20"/>
                <w:szCs w:val="20"/>
              </w:rPr>
            </w:pPr>
            <w:r w:rsidRPr="008B6A75">
              <w:rPr>
                <w:sz w:val="20"/>
                <w:szCs w:val="20"/>
              </w:rPr>
              <w:t>117 655,00</w:t>
            </w:r>
          </w:p>
        </w:tc>
        <w:tc>
          <w:tcPr>
            <w:tcW w:w="1820" w:type="dxa"/>
            <w:tcBorders>
              <w:top w:val="nil"/>
              <w:left w:val="nil"/>
              <w:bottom w:val="single" w:sz="4" w:space="0" w:color="auto"/>
              <w:right w:val="single" w:sz="4" w:space="0" w:color="auto"/>
            </w:tcBorders>
            <w:shd w:val="clear" w:color="auto" w:fill="auto"/>
            <w:noWrap/>
            <w:vAlign w:val="bottom"/>
            <w:hideMark/>
          </w:tcPr>
          <w:p w14:paraId="67E083C9" w14:textId="77777777" w:rsidR="00387142" w:rsidRPr="008B6A75" w:rsidRDefault="00387142" w:rsidP="00387142">
            <w:pPr>
              <w:jc w:val="right"/>
              <w:rPr>
                <w:color w:val="000000"/>
                <w:sz w:val="20"/>
                <w:szCs w:val="20"/>
              </w:rPr>
            </w:pPr>
            <w:r w:rsidRPr="008B6A75">
              <w:rPr>
                <w:color w:val="000000"/>
                <w:sz w:val="20"/>
                <w:szCs w:val="20"/>
              </w:rPr>
              <w:t>121 826,00</w:t>
            </w:r>
          </w:p>
        </w:tc>
      </w:tr>
      <w:tr w:rsidR="00387142" w:rsidRPr="008B6A75" w14:paraId="593BAB60" w14:textId="77777777" w:rsidTr="00387142">
        <w:trPr>
          <w:trHeight w:val="315"/>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14:paraId="683015BD" w14:textId="77777777" w:rsidR="00387142" w:rsidRPr="008B6A75" w:rsidRDefault="00387142" w:rsidP="00387142">
            <w:pPr>
              <w:jc w:val="right"/>
              <w:rPr>
                <w:color w:val="000000"/>
                <w:sz w:val="20"/>
                <w:szCs w:val="20"/>
              </w:rPr>
            </w:pPr>
            <w:r w:rsidRPr="008B6A75">
              <w:rPr>
                <w:color w:val="000000"/>
                <w:sz w:val="20"/>
                <w:szCs w:val="20"/>
              </w:rPr>
              <w:t>17</w:t>
            </w:r>
          </w:p>
        </w:tc>
        <w:tc>
          <w:tcPr>
            <w:tcW w:w="2300" w:type="dxa"/>
            <w:tcBorders>
              <w:top w:val="nil"/>
              <w:left w:val="nil"/>
              <w:bottom w:val="single" w:sz="4" w:space="0" w:color="auto"/>
              <w:right w:val="single" w:sz="4" w:space="0" w:color="auto"/>
            </w:tcBorders>
            <w:shd w:val="clear" w:color="auto" w:fill="auto"/>
            <w:noWrap/>
            <w:vAlign w:val="bottom"/>
            <w:hideMark/>
          </w:tcPr>
          <w:p w14:paraId="17BED8D1" w14:textId="77777777" w:rsidR="00387142" w:rsidRPr="008B6A75" w:rsidRDefault="00387142" w:rsidP="00387142">
            <w:pPr>
              <w:rPr>
                <w:color w:val="000000"/>
                <w:sz w:val="20"/>
                <w:szCs w:val="20"/>
              </w:rPr>
            </w:pPr>
            <w:proofErr w:type="spellStart"/>
            <w:r w:rsidRPr="008B6A75">
              <w:rPr>
                <w:color w:val="000000"/>
                <w:sz w:val="20"/>
                <w:szCs w:val="20"/>
              </w:rPr>
              <w:t>Чумаковский</w:t>
            </w:r>
            <w:proofErr w:type="spellEnd"/>
          </w:p>
        </w:tc>
        <w:tc>
          <w:tcPr>
            <w:tcW w:w="1780" w:type="dxa"/>
            <w:tcBorders>
              <w:top w:val="nil"/>
              <w:left w:val="nil"/>
              <w:bottom w:val="single" w:sz="4" w:space="0" w:color="auto"/>
              <w:right w:val="single" w:sz="4" w:space="0" w:color="auto"/>
            </w:tcBorders>
            <w:shd w:val="clear" w:color="auto" w:fill="auto"/>
            <w:noWrap/>
            <w:vAlign w:val="center"/>
            <w:hideMark/>
          </w:tcPr>
          <w:p w14:paraId="0F9085A6" w14:textId="77777777" w:rsidR="00387142" w:rsidRPr="008B6A75" w:rsidRDefault="00387142" w:rsidP="00387142">
            <w:pPr>
              <w:jc w:val="right"/>
              <w:rPr>
                <w:sz w:val="20"/>
                <w:szCs w:val="20"/>
              </w:rPr>
            </w:pPr>
            <w:r w:rsidRPr="008B6A75">
              <w:rPr>
                <w:sz w:val="20"/>
                <w:szCs w:val="20"/>
              </w:rPr>
              <w:t>121 105,00</w:t>
            </w:r>
          </w:p>
        </w:tc>
        <w:tc>
          <w:tcPr>
            <w:tcW w:w="1991" w:type="dxa"/>
            <w:tcBorders>
              <w:top w:val="nil"/>
              <w:left w:val="nil"/>
              <w:bottom w:val="single" w:sz="4" w:space="0" w:color="auto"/>
              <w:right w:val="single" w:sz="4" w:space="0" w:color="auto"/>
            </w:tcBorders>
            <w:shd w:val="clear" w:color="auto" w:fill="auto"/>
            <w:noWrap/>
            <w:vAlign w:val="center"/>
            <w:hideMark/>
          </w:tcPr>
          <w:p w14:paraId="3663DBDD" w14:textId="77777777" w:rsidR="00387142" w:rsidRPr="008B6A75" w:rsidRDefault="00387142" w:rsidP="00387142">
            <w:pPr>
              <w:jc w:val="right"/>
              <w:rPr>
                <w:sz w:val="20"/>
                <w:szCs w:val="20"/>
              </w:rPr>
            </w:pPr>
            <w:r w:rsidRPr="008B6A75">
              <w:rPr>
                <w:sz w:val="20"/>
                <w:szCs w:val="20"/>
              </w:rPr>
              <w:t>100,00</w:t>
            </w:r>
          </w:p>
        </w:tc>
        <w:tc>
          <w:tcPr>
            <w:tcW w:w="1780" w:type="dxa"/>
            <w:tcBorders>
              <w:top w:val="nil"/>
              <w:left w:val="nil"/>
              <w:bottom w:val="single" w:sz="4" w:space="0" w:color="auto"/>
              <w:right w:val="single" w:sz="4" w:space="0" w:color="auto"/>
            </w:tcBorders>
            <w:shd w:val="clear" w:color="auto" w:fill="auto"/>
            <w:noWrap/>
            <w:vAlign w:val="center"/>
            <w:hideMark/>
          </w:tcPr>
          <w:p w14:paraId="2FF68DB8" w14:textId="77777777" w:rsidR="00387142" w:rsidRPr="008B6A75" w:rsidRDefault="00387142" w:rsidP="00387142">
            <w:pPr>
              <w:jc w:val="right"/>
              <w:rPr>
                <w:sz w:val="20"/>
                <w:szCs w:val="20"/>
              </w:rPr>
            </w:pPr>
            <w:r w:rsidRPr="008B6A75">
              <w:rPr>
                <w:sz w:val="20"/>
                <w:szCs w:val="20"/>
              </w:rPr>
              <w:t>117 655,00</w:t>
            </w:r>
          </w:p>
        </w:tc>
        <w:tc>
          <w:tcPr>
            <w:tcW w:w="1820" w:type="dxa"/>
            <w:tcBorders>
              <w:top w:val="nil"/>
              <w:left w:val="nil"/>
              <w:bottom w:val="single" w:sz="4" w:space="0" w:color="auto"/>
              <w:right w:val="single" w:sz="4" w:space="0" w:color="auto"/>
            </w:tcBorders>
            <w:shd w:val="clear" w:color="auto" w:fill="auto"/>
            <w:noWrap/>
            <w:vAlign w:val="bottom"/>
            <w:hideMark/>
          </w:tcPr>
          <w:p w14:paraId="20A79CEB" w14:textId="77777777" w:rsidR="00387142" w:rsidRPr="008B6A75" w:rsidRDefault="00387142" w:rsidP="00387142">
            <w:pPr>
              <w:jc w:val="right"/>
              <w:rPr>
                <w:color w:val="000000"/>
                <w:sz w:val="20"/>
                <w:szCs w:val="20"/>
              </w:rPr>
            </w:pPr>
            <w:r w:rsidRPr="008B6A75">
              <w:rPr>
                <w:color w:val="000000"/>
                <w:sz w:val="20"/>
                <w:szCs w:val="20"/>
              </w:rPr>
              <w:t>121 826,00</w:t>
            </w:r>
          </w:p>
        </w:tc>
      </w:tr>
      <w:tr w:rsidR="00387142" w:rsidRPr="008B6A75" w14:paraId="13A79924" w14:textId="77777777" w:rsidTr="00387142">
        <w:trPr>
          <w:trHeight w:val="315"/>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14:paraId="612A7111" w14:textId="77777777" w:rsidR="00387142" w:rsidRPr="008B6A75" w:rsidRDefault="00387142" w:rsidP="00387142">
            <w:pPr>
              <w:jc w:val="right"/>
              <w:rPr>
                <w:color w:val="000000"/>
                <w:sz w:val="20"/>
                <w:szCs w:val="20"/>
              </w:rPr>
            </w:pPr>
            <w:r w:rsidRPr="008B6A75">
              <w:rPr>
                <w:color w:val="000000"/>
                <w:sz w:val="20"/>
                <w:szCs w:val="20"/>
              </w:rPr>
              <w:t>18</w:t>
            </w:r>
          </w:p>
        </w:tc>
        <w:tc>
          <w:tcPr>
            <w:tcW w:w="2300" w:type="dxa"/>
            <w:tcBorders>
              <w:top w:val="nil"/>
              <w:left w:val="nil"/>
              <w:bottom w:val="single" w:sz="4" w:space="0" w:color="auto"/>
              <w:right w:val="single" w:sz="4" w:space="0" w:color="auto"/>
            </w:tcBorders>
            <w:shd w:val="clear" w:color="auto" w:fill="auto"/>
            <w:noWrap/>
            <w:vAlign w:val="bottom"/>
            <w:hideMark/>
          </w:tcPr>
          <w:p w14:paraId="3440884C" w14:textId="77777777" w:rsidR="00387142" w:rsidRPr="008B6A75" w:rsidRDefault="00387142" w:rsidP="00387142">
            <w:pPr>
              <w:rPr>
                <w:color w:val="000000"/>
                <w:sz w:val="20"/>
                <w:szCs w:val="20"/>
              </w:rPr>
            </w:pPr>
            <w:r w:rsidRPr="008B6A75">
              <w:rPr>
                <w:color w:val="000000"/>
                <w:sz w:val="20"/>
                <w:szCs w:val="20"/>
              </w:rPr>
              <w:t>г. Куйбышев</w:t>
            </w:r>
          </w:p>
        </w:tc>
        <w:tc>
          <w:tcPr>
            <w:tcW w:w="1780" w:type="dxa"/>
            <w:tcBorders>
              <w:top w:val="nil"/>
              <w:left w:val="nil"/>
              <w:bottom w:val="single" w:sz="4" w:space="0" w:color="auto"/>
              <w:right w:val="single" w:sz="4" w:space="0" w:color="auto"/>
            </w:tcBorders>
            <w:shd w:val="clear" w:color="auto" w:fill="auto"/>
            <w:noWrap/>
            <w:vAlign w:val="center"/>
            <w:hideMark/>
          </w:tcPr>
          <w:p w14:paraId="2AB98D66" w14:textId="77777777" w:rsidR="00387142" w:rsidRPr="008B6A75" w:rsidRDefault="00387142" w:rsidP="00387142">
            <w:pPr>
              <w:jc w:val="right"/>
              <w:rPr>
                <w:sz w:val="20"/>
                <w:szCs w:val="20"/>
              </w:rPr>
            </w:pPr>
            <w:r w:rsidRPr="008B6A75">
              <w:rPr>
                <w:sz w:val="20"/>
                <w:szCs w:val="20"/>
              </w:rPr>
              <w:t> </w:t>
            </w:r>
          </w:p>
        </w:tc>
        <w:tc>
          <w:tcPr>
            <w:tcW w:w="1991" w:type="dxa"/>
            <w:tcBorders>
              <w:top w:val="nil"/>
              <w:left w:val="nil"/>
              <w:bottom w:val="single" w:sz="4" w:space="0" w:color="auto"/>
              <w:right w:val="single" w:sz="4" w:space="0" w:color="auto"/>
            </w:tcBorders>
            <w:shd w:val="clear" w:color="auto" w:fill="auto"/>
            <w:noWrap/>
            <w:vAlign w:val="center"/>
            <w:hideMark/>
          </w:tcPr>
          <w:p w14:paraId="2B7247F7" w14:textId="77777777" w:rsidR="00387142" w:rsidRPr="008B6A75" w:rsidRDefault="00387142" w:rsidP="00387142">
            <w:pPr>
              <w:jc w:val="right"/>
              <w:rPr>
                <w:sz w:val="20"/>
                <w:szCs w:val="20"/>
              </w:rPr>
            </w:pPr>
            <w:r w:rsidRPr="008B6A75">
              <w:rPr>
                <w:sz w:val="20"/>
                <w:szCs w:val="20"/>
              </w:rPr>
              <w:t>100,00</w:t>
            </w:r>
          </w:p>
        </w:tc>
        <w:tc>
          <w:tcPr>
            <w:tcW w:w="1780" w:type="dxa"/>
            <w:tcBorders>
              <w:top w:val="nil"/>
              <w:left w:val="nil"/>
              <w:bottom w:val="single" w:sz="4" w:space="0" w:color="auto"/>
              <w:right w:val="single" w:sz="4" w:space="0" w:color="auto"/>
            </w:tcBorders>
            <w:shd w:val="clear" w:color="auto" w:fill="auto"/>
            <w:noWrap/>
            <w:vAlign w:val="center"/>
            <w:hideMark/>
          </w:tcPr>
          <w:p w14:paraId="5A3F9443" w14:textId="77777777" w:rsidR="00387142" w:rsidRPr="008B6A75" w:rsidRDefault="00387142" w:rsidP="00387142">
            <w:pPr>
              <w:jc w:val="right"/>
              <w:rPr>
                <w:sz w:val="20"/>
                <w:szCs w:val="20"/>
              </w:rPr>
            </w:pPr>
            <w:r w:rsidRPr="008B6A75">
              <w:rPr>
                <w:sz w:val="20"/>
                <w:szCs w:val="20"/>
              </w:rPr>
              <w:t> </w:t>
            </w:r>
          </w:p>
        </w:tc>
        <w:tc>
          <w:tcPr>
            <w:tcW w:w="1820" w:type="dxa"/>
            <w:tcBorders>
              <w:top w:val="nil"/>
              <w:left w:val="nil"/>
              <w:bottom w:val="single" w:sz="4" w:space="0" w:color="auto"/>
              <w:right w:val="single" w:sz="4" w:space="0" w:color="auto"/>
            </w:tcBorders>
            <w:shd w:val="clear" w:color="auto" w:fill="auto"/>
            <w:noWrap/>
            <w:vAlign w:val="bottom"/>
            <w:hideMark/>
          </w:tcPr>
          <w:p w14:paraId="5427BDC2" w14:textId="77777777" w:rsidR="00387142" w:rsidRPr="008B6A75" w:rsidRDefault="00387142" w:rsidP="00387142">
            <w:pPr>
              <w:rPr>
                <w:color w:val="000000"/>
                <w:sz w:val="20"/>
                <w:szCs w:val="20"/>
              </w:rPr>
            </w:pPr>
            <w:r w:rsidRPr="008B6A75">
              <w:rPr>
                <w:color w:val="000000"/>
                <w:sz w:val="20"/>
                <w:szCs w:val="20"/>
              </w:rPr>
              <w:t> </w:t>
            </w:r>
          </w:p>
        </w:tc>
      </w:tr>
      <w:tr w:rsidR="00387142" w:rsidRPr="008B6A75" w14:paraId="46AF2F55" w14:textId="77777777" w:rsidTr="00387142">
        <w:trPr>
          <w:trHeight w:val="315"/>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14:paraId="1FAAAF81" w14:textId="77777777" w:rsidR="00387142" w:rsidRPr="008B6A75" w:rsidRDefault="00387142" w:rsidP="00387142">
            <w:pPr>
              <w:rPr>
                <w:color w:val="000000"/>
                <w:sz w:val="20"/>
                <w:szCs w:val="20"/>
              </w:rPr>
            </w:pPr>
            <w:r w:rsidRPr="008B6A75">
              <w:rPr>
                <w:color w:val="000000"/>
                <w:sz w:val="20"/>
                <w:szCs w:val="20"/>
              </w:rPr>
              <w:t> </w:t>
            </w:r>
          </w:p>
        </w:tc>
        <w:tc>
          <w:tcPr>
            <w:tcW w:w="2300" w:type="dxa"/>
            <w:tcBorders>
              <w:top w:val="nil"/>
              <w:left w:val="nil"/>
              <w:bottom w:val="single" w:sz="4" w:space="0" w:color="auto"/>
              <w:right w:val="single" w:sz="4" w:space="0" w:color="auto"/>
            </w:tcBorders>
            <w:shd w:val="clear" w:color="auto" w:fill="auto"/>
            <w:noWrap/>
            <w:vAlign w:val="bottom"/>
            <w:hideMark/>
          </w:tcPr>
          <w:p w14:paraId="721BAEE4" w14:textId="77777777" w:rsidR="00387142" w:rsidRPr="008B6A75" w:rsidRDefault="00387142" w:rsidP="00387142">
            <w:pPr>
              <w:rPr>
                <w:color w:val="000000"/>
                <w:sz w:val="20"/>
                <w:szCs w:val="20"/>
              </w:rPr>
            </w:pPr>
            <w:r w:rsidRPr="008B6A75">
              <w:rPr>
                <w:color w:val="000000"/>
                <w:sz w:val="20"/>
                <w:szCs w:val="20"/>
              </w:rPr>
              <w:t>Итого</w:t>
            </w:r>
          </w:p>
        </w:tc>
        <w:tc>
          <w:tcPr>
            <w:tcW w:w="1780" w:type="dxa"/>
            <w:tcBorders>
              <w:top w:val="nil"/>
              <w:left w:val="nil"/>
              <w:bottom w:val="single" w:sz="4" w:space="0" w:color="auto"/>
              <w:right w:val="single" w:sz="4" w:space="0" w:color="auto"/>
            </w:tcBorders>
            <w:shd w:val="clear" w:color="auto" w:fill="auto"/>
            <w:noWrap/>
            <w:vAlign w:val="bottom"/>
            <w:hideMark/>
          </w:tcPr>
          <w:p w14:paraId="2B116886" w14:textId="77777777" w:rsidR="00387142" w:rsidRPr="008B6A75" w:rsidRDefault="00387142" w:rsidP="00387142">
            <w:pPr>
              <w:jc w:val="right"/>
              <w:rPr>
                <w:color w:val="000000"/>
                <w:sz w:val="20"/>
                <w:szCs w:val="20"/>
              </w:rPr>
            </w:pPr>
            <w:r w:rsidRPr="008B6A75">
              <w:rPr>
                <w:color w:val="000000"/>
                <w:sz w:val="20"/>
                <w:szCs w:val="20"/>
              </w:rPr>
              <w:t>2 244 446,01</w:t>
            </w:r>
          </w:p>
        </w:tc>
        <w:tc>
          <w:tcPr>
            <w:tcW w:w="1991" w:type="dxa"/>
            <w:tcBorders>
              <w:top w:val="nil"/>
              <w:left w:val="nil"/>
              <w:bottom w:val="single" w:sz="4" w:space="0" w:color="auto"/>
              <w:right w:val="single" w:sz="4" w:space="0" w:color="auto"/>
            </w:tcBorders>
            <w:shd w:val="clear" w:color="auto" w:fill="auto"/>
            <w:noWrap/>
            <w:vAlign w:val="bottom"/>
            <w:hideMark/>
          </w:tcPr>
          <w:p w14:paraId="55E3B4B8" w14:textId="77777777" w:rsidR="00387142" w:rsidRPr="008B6A75" w:rsidRDefault="00387142" w:rsidP="00387142">
            <w:pPr>
              <w:jc w:val="right"/>
              <w:rPr>
                <w:color w:val="000000"/>
                <w:sz w:val="20"/>
                <w:szCs w:val="20"/>
              </w:rPr>
            </w:pPr>
            <w:r w:rsidRPr="008B6A75">
              <w:rPr>
                <w:color w:val="000000"/>
                <w:sz w:val="20"/>
                <w:szCs w:val="20"/>
              </w:rPr>
              <w:t>1 800,00</w:t>
            </w:r>
          </w:p>
        </w:tc>
        <w:tc>
          <w:tcPr>
            <w:tcW w:w="1780" w:type="dxa"/>
            <w:tcBorders>
              <w:top w:val="nil"/>
              <w:left w:val="nil"/>
              <w:bottom w:val="single" w:sz="4" w:space="0" w:color="auto"/>
              <w:right w:val="single" w:sz="4" w:space="0" w:color="auto"/>
            </w:tcBorders>
            <w:shd w:val="clear" w:color="auto" w:fill="auto"/>
            <w:noWrap/>
            <w:vAlign w:val="bottom"/>
            <w:hideMark/>
          </w:tcPr>
          <w:p w14:paraId="1B98E118" w14:textId="77777777" w:rsidR="00387142" w:rsidRPr="008B6A75" w:rsidRDefault="00387142" w:rsidP="00387142">
            <w:pPr>
              <w:jc w:val="right"/>
              <w:rPr>
                <w:color w:val="000000"/>
                <w:sz w:val="20"/>
                <w:szCs w:val="20"/>
              </w:rPr>
            </w:pPr>
            <w:r w:rsidRPr="008B6A75">
              <w:rPr>
                <w:color w:val="000000"/>
                <w:sz w:val="20"/>
                <w:szCs w:val="20"/>
              </w:rPr>
              <w:t>2 176 627,79</w:t>
            </w:r>
          </w:p>
        </w:tc>
        <w:tc>
          <w:tcPr>
            <w:tcW w:w="1820" w:type="dxa"/>
            <w:tcBorders>
              <w:top w:val="nil"/>
              <w:left w:val="nil"/>
              <w:bottom w:val="single" w:sz="4" w:space="0" w:color="auto"/>
              <w:right w:val="single" w:sz="4" w:space="0" w:color="auto"/>
            </w:tcBorders>
            <w:shd w:val="clear" w:color="auto" w:fill="auto"/>
            <w:noWrap/>
            <w:vAlign w:val="bottom"/>
            <w:hideMark/>
          </w:tcPr>
          <w:p w14:paraId="53001EEC" w14:textId="77777777" w:rsidR="00387142" w:rsidRPr="008B6A75" w:rsidRDefault="00387142" w:rsidP="00387142">
            <w:pPr>
              <w:jc w:val="right"/>
              <w:rPr>
                <w:color w:val="000000"/>
                <w:sz w:val="20"/>
                <w:szCs w:val="20"/>
              </w:rPr>
            </w:pPr>
            <w:r w:rsidRPr="008B6A75">
              <w:rPr>
                <w:color w:val="000000"/>
                <w:sz w:val="20"/>
                <w:szCs w:val="20"/>
              </w:rPr>
              <w:t>2 253 758,06</w:t>
            </w:r>
          </w:p>
        </w:tc>
      </w:tr>
    </w:tbl>
    <w:p w14:paraId="49B7A36C" w14:textId="77777777" w:rsidR="00387142" w:rsidRPr="008B6A75" w:rsidRDefault="00387142" w:rsidP="00387142">
      <w:pPr>
        <w:rPr>
          <w:sz w:val="20"/>
          <w:szCs w:val="20"/>
        </w:rPr>
      </w:pPr>
    </w:p>
    <w:p w14:paraId="25055462" w14:textId="77777777" w:rsidR="00387142" w:rsidRPr="008B6A75" w:rsidRDefault="00387142" w:rsidP="00387142">
      <w:pPr>
        <w:rPr>
          <w:sz w:val="20"/>
          <w:szCs w:val="20"/>
        </w:rPr>
        <w:sectPr w:rsidR="00387142" w:rsidRPr="008B6A75" w:rsidSect="008B6A75">
          <w:headerReference w:type="default" r:id="rId9"/>
          <w:footerReference w:type="default" r:id="rId10"/>
          <w:headerReference w:type="first" r:id="rId11"/>
          <w:footerReference w:type="first" r:id="rId12"/>
          <w:pgSz w:w="11906" w:h="16838"/>
          <w:pgMar w:top="1134" w:right="567" w:bottom="1134" w:left="1418" w:header="397" w:footer="397" w:gutter="0"/>
          <w:pgNumType w:start="3"/>
          <w:cols w:space="708"/>
          <w:titlePg/>
          <w:docGrid w:linePitch="360"/>
        </w:sectPr>
      </w:pPr>
    </w:p>
    <w:tbl>
      <w:tblPr>
        <w:tblW w:w="16146" w:type="dxa"/>
        <w:tblInd w:w="-567" w:type="dxa"/>
        <w:tblLayout w:type="fixed"/>
        <w:tblLook w:val="04A0" w:firstRow="1" w:lastRow="0" w:firstColumn="1" w:lastColumn="0" w:noHBand="0" w:noVBand="1"/>
      </w:tblPr>
      <w:tblGrid>
        <w:gridCol w:w="424"/>
        <w:gridCol w:w="425"/>
        <w:gridCol w:w="566"/>
        <w:gridCol w:w="849"/>
        <w:gridCol w:w="1134"/>
        <w:gridCol w:w="1134"/>
        <w:gridCol w:w="851"/>
        <w:gridCol w:w="1215"/>
        <w:gridCol w:w="769"/>
        <w:gridCol w:w="709"/>
        <w:gridCol w:w="850"/>
        <w:gridCol w:w="1700"/>
        <w:gridCol w:w="851"/>
        <w:gridCol w:w="124"/>
        <w:gridCol w:w="443"/>
        <w:gridCol w:w="126"/>
        <w:gridCol w:w="442"/>
        <w:gridCol w:w="133"/>
        <w:gridCol w:w="438"/>
        <w:gridCol w:w="508"/>
        <w:gridCol w:w="201"/>
        <w:gridCol w:w="850"/>
        <w:gridCol w:w="851"/>
        <w:gridCol w:w="486"/>
        <w:gridCol w:w="67"/>
      </w:tblGrid>
      <w:tr w:rsidR="00387142" w:rsidRPr="008B6A75" w14:paraId="3D11C778" w14:textId="77777777" w:rsidTr="00387142">
        <w:trPr>
          <w:gridAfter w:val="2"/>
          <w:wAfter w:w="553" w:type="dxa"/>
          <w:trHeight w:val="300"/>
        </w:trPr>
        <w:tc>
          <w:tcPr>
            <w:tcW w:w="425" w:type="dxa"/>
            <w:tcBorders>
              <w:top w:val="nil"/>
              <w:left w:val="nil"/>
              <w:bottom w:val="nil"/>
              <w:right w:val="nil"/>
            </w:tcBorders>
            <w:shd w:val="clear" w:color="auto" w:fill="auto"/>
            <w:noWrap/>
            <w:vAlign w:val="bottom"/>
            <w:hideMark/>
          </w:tcPr>
          <w:p w14:paraId="5882E787" w14:textId="77777777" w:rsidR="00387142" w:rsidRPr="008B6A75" w:rsidRDefault="00387142" w:rsidP="00387142">
            <w:pPr>
              <w:rPr>
                <w:sz w:val="20"/>
                <w:szCs w:val="20"/>
              </w:rPr>
            </w:pPr>
          </w:p>
        </w:tc>
        <w:tc>
          <w:tcPr>
            <w:tcW w:w="426" w:type="dxa"/>
            <w:tcBorders>
              <w:top w:val="nil"/>
              <w:left w:val="nil"/>
              <w:bottom w:val="nil"/>
              <w:right w:val="nil"/>
            </w:tcBorders>
            <w:shd w:val="clear" w:color="auto" w:fill="auto"/>
            <w:noWrap/>
            <w:vAlign w:val="bottom"/>
            <w:hideMark/>
          </w:tcPr>
          <w:p w14:paraId="30F8FB2A" w14:textId="77777777" w:rsidR="00387142" w:rsidRPr="008B6A75" w:rsidRDefault="00387142" w:rsidP="00387142">
            <w:pPr>
              <w:rPr>
                <w:sz w:val="20"/>
                <w:szCs w:val="20"/>
              </w:rPr>
            </w:pPr>
          </w:p>
        </w:tc>
        <w:tc>
          <w:tcPr>
            <w:tcW w:w="567" w:type="dxa"/>
            <w:tcBorders>
              <w:top w:val="nil"/>
              <w:left w:val="nil"/>
              <w:bottom w:val="nil"/>
              <w:right w:val="nil"/>
            </w:tcBorders>
            <w:shd w:val="clear" w:color="auto" w:fill="auto"/>
            <w:noWrap/>
            <w:vAlign w:val="bottom"/>
            <w:hideMark/>
          </w:tcPr>
          <w:p w14:paraId="5AC83AEB" w14:textId="77777777" w:rsidR="00387142" w:rsidRPr="008B6A75" w:rsidRDefault="00387142" w:rsidP="00387142">
            <w:pPr>
              <w:rPr>
                <w:sz w:val="20"/>
                <w:szCs w:val="20"/>
              </w:rPr>
            </w:pPr>
          </w:p>
        </w:tc>
        <w:tc>
          <w:tcPr>
            <w:tcW w:w="850" w:type="dxa"/>
            <w:tcBorders>
              <w:top w:val="nil"/>
              <w:left w:val="nil"/>
              <w:bottom w:val="nil"/>
              <w:right w:val="nil"/>
            </w:tcBorders>
            <w:shd w:val="clear" w:color="auto" w:fill="auto"/>
            <w:noWrap/>
            <w:vAlign w:val="bottom"/>
            <w:hideMark/>
          </w:tcPr>
          <w:p w14:paraId="4E894035" w14:textId="77777777" w:rsidR="00387142" w:rsidRPr="008B6A75" w:rsidRDefault="00387142" w:rsidP="00387142">
            <w:pPr>
              <w:rPr>
                <w:sz w:val="20"/>
                <w:szCs w:val="20"/>
              </w:rPr>
            </w:pPr>
          </w:p>
        </w:tc>
        <w:tc>
          <w:tcPr>
            <w:tcW w:w="1134" w:type="dxa"/>
            <w:tcBorders>
              <w:top w:val="nil"/>
              <w:left w:val="nil"/>
              <w:bottom w:val="nil"/>
              <w:right w:val="nil"/>
            </w:tcBorders>
            <w:shd w:val="clear" w:color="auto" w:fill="auto"/>
            <w:noWrap/>
            <w:vAlign w:val="bottom"/>
            <w:hideMark/>
          </w:tcPr>
          <w:p w14:paraId="02710E3E" w14:textId="77777777" w:rsidR="00387142" w:rsidRPr="008B6A75" w:rsidRDefault="00387142" w:rsidP="00387142">
            <w:pPr>
              <w:jc w:val="right"/>
              <w:rPr>
                <w:sz w:val="20"/>
                <w:szCs w:val="20"/>
              </w:rPr>
            </w:pPr>
          </w:p>
        </w:tc>
        <w:tc>
          <w:tcPr>
            <w:tcW w:w="1134" w:type="dxa"/>
            <w:tcBorders>
              <w:top w:val="nil"/>
              <w:left w:val="nil"/>
              <w:bottom w:val="nil"/>
              <w:right w:val="nil"/>
            </w:tcBorders>
            <w:shd w:val="clear" w:color="auto" w:fill="auto"/>
            <w:noWrap/>
            <w:vAlign w:val="bottom"/>
            <w:hideMark/>
          </w:tcPr>
          <w:p w14:paraId="463C23F5" w14:textId="77777777" w:rsidR="00387142" w:rsidRPr="008B6A75" w:rsidRDefault="00387142" w:rsidP="00387142">
            <w:pPr>
              <w:rPr>
                <w:sz w:val="20"/>
                <w:szCs w:val="20"/>
              </w:rPr>
            </w:pPr>
          </w:p>
        </w:tc>
        <w:tc>
          <w:tcPr>
            <w:tcW w:w="851" w:type="dxa"/>
            <w:tcBorders>
              <w:top w:val="nil"/>
              <w:left w:val="nil"/>
              <w:bottom w:val="nil"/>
              <w:right w:val="nil"/>
            </w:tcBorders>
            <w:shd w:val="clear" w:color="auto" w:fill="auto"/>
            <w:noWrap/>
            <w:vAlign w:val="bottom"/>
            <w:hideMark/>
          </w:tcPr>
          <w:p w14:paraId="0C3C5A22" w14:textId="77777777" w:rsidR="00387142" w:rsidRPr="008B6A75" w:rsidRDefault="00387142" w:rsidP="00387142">
            <w:pPr>
              <w:jc w:val="right"/>
              <w:rPr>
                <w:sz w:val="20"/>
                <w:szCs w:val="20"/>
              </w:rPr>
            </w:pPr>
          </w:p>
        </w:tc>
        <w:tc>
          <w:tcPr>
            <w:tcW w:w="1215" w:type="dxa"/>
            <w:tcBorders>
              <w:top w:val="nil"/>
              <w:left w:val="nil"/>
              <w:bottom w:val="nil"/>
              <w:right w:val="nil"/>
            </w:tcBorders>
            <w:shd w:val="clear" w:color="auto" w:fill="auto"/>
            <w:noWrap/>
            <w:vAlign w:val="bottom"/>
            <w:hideMark/>
          </w:tcPr>
          <w:p w14:paraId="025A7298" w14:textId="77777777" w:rsidR="00387142" w:rsidRPr="008B6A75" w:rsidRDefault="00387142" w:rsidP="00387142">
            <w:pPr>
              <w:jc w:val="right"/>
              <w:rPr>
                <w:sz w:val="20"/>
                <w:szCs w:val="20"/>
              </w:rPr>
            </w:pPr>
          </w:p>
        </w:tc>
        <w:tc>
          <w:tcPr>
            <w:tcW w:w="769" w:type="dxa"/>
            <w:tcBorders>
              <w:top w:val="nil"/>
              <w:left w:val="nil"/>
              <w:bottom w:val="nil"/>
              <w:right w:val="nil"/>
            </w:tcBorders>
            <w:shd w:val="clear" w:color="auto" w:fill="auto"/>
            <w:noWrap/>
            <w:vAlign w:val="bottom"/>
            <w:hideMark/>
          </w:tcPr>
          <w:p w14:paraId="62EAD316" w14:textId="77777777" w:rsidR="00387142" w:rsidRPr="008B6A75" w:rsidRDefault="00387142" w:rsidP="00387142">
            <w:pPr>
              <w:rPr>
                <w:sz w:val="20"/>
                <w:szCs w:val="20"/>
              </w:rPr>
            </w:pPr>
          </w:p>
        </w:tc>
        <w:tc>
          <w:tcPr>
            <w:tcW w:w="709" w:type="dxa"/>
            <w:tcBorders>
              <w:top w:val="nil"/>
              <w:left w:val="nil"/>
              <w:bottom w:val="nil"/>
              <w:right w:val="nil"/>
            </w:tcBorders>
            <w:shd w:val="clear" w:color="auto" w:fill="auto"/>
            <w:noWrap/>
            <w:vAlign w:val="bottom"/>
            <w:hideMark/>
          </w:tcPr>
          <w:p w14:paraId="65B0D0BA" w14:textId="77777777" w:rsidR="00387142" w:rsidRPr="008B6A75" w:rsidRDefault="00387142" w:rsidP="00387142">
            <w:pPr>
              <w:rPr>
                <w:sz w:val="20"/>
                <w:szCs w:val="20"/>
              </w:rPr>
            </w:pPr>
          </w:p>
        </w:tc>
        <w:tc>
          <w:tcPr>
            <w:tcW w:w="850" w:type="dxa"/>
            <w:tcBorders>
              <w:top w:val="nil"/>
              <w:left w:val="nil"/>
              <w:bottom w:val="nil"/>
              <w:right w:val="nil"/>
            </w:tcBorders>
            <w:shd w:val="clear" w:color="auto" w:fill="auto"/>
            <w:noWrap/>
            <w:vAlign w:val="bottom"/>
            <w:hideMark/>
          </w:tcPr>
          <w:p w14:paraId="4B446954" w14:textId="77777777" w:rsidR="00387142" w:rsidRPr="008B6A75" w:rsidRDefault="00387142" w:rsidP="00387142">
            <w:pPr>
              <w:rPr>
                <w:sz w:val="20"/>
                <w:szCs w:val="20"/>
              </w:rPr>
            </w:pPr>
          </w:p>
        </w:tc>
        <w:tc>
          <w:tcPr>
            <w:tcW w:w="1701" w:type="dxa"/>
            <w:tcBorders>
              <w:top w:val="nil"/>
              <w:left w:val="nil"/>
              <w:bottom w:val="nil"/>
              <w:right w:val="nil"/>
            </w:tcBorders>
            <w:shd w:val="clear" w:color="auto" w:fill="auto"/>
            <w:noWrap/>
            <w:vAlign w:val="bottom"/>
            <w:hideMark/>
          </w:tcPr>
          <w:p w14:paraId="1A899BBA" w14:textId="77777777" w:rsidR="00387142" w:rsidRPr="008B6A75" w:rsidRDefault="00387142" w:rsidP="00387142">
            <w:pPr>
              <w:jc w:val="right"/>
              <w:rPr>
                <w:color w:val="000000"/>
                <w:sz w:val="20"/>
                <w:szCs w:val="20"/>
              </w:rPr>
            </w:pPr>
            <w:r w:rsidRPr="008B6A75">
              <w:rPr>
                <w:color w:val="000000"/>
                <w:sz w:val="20"/>
                <w:szCs w:val="20"/>
              </w:rPr>
              <w:t>таблица 2</w:t>
            </w:r>
          </w:p>
        </w:tc>
        <w:tc>
          <w:tcPr>
            <w:tcW w:w="851" w:type="dxa"/>
            <w:tcBorders>
              <w:top w:val="nil"/>
              <w:left w:val="nil"/>
              <w:bottom w:val="nil"/>
              <w:right w:val="nil"/>
            </w:tcBorders>
            <w:shd w:val="clear" w:color="auto" w:fill="auto"/>
            <w:noWrap/>
            <w:vAlign w:val="bottom"/>
            <w:hideMark/>
          </w:tcPr>
          <w:p w14:paraId="2C27EABD" w14:textId="77777777" w:rsidR="00387142" w:rsidRPr="008B6A75" w:rsidRDefault="00387142" w:rsidP="00387142">
            <w:pPr>
              <w:jc w:val="right"/>
              <w:rPr>
                <w:color w:val="000000"/>
                <w:sz w:val="20"/>
                <w:szCs w:val="20"/>
              </w:rPr>
            </w:pPr>
          </w:p>
        </w:tc>
        <w:tc>
          <w:tcPr>
            <w:tcW w:w="567" w:type="dxa"/>
            <w:gridSpan w:val="2"/>
            <w:tcBorders>
              <w:top w:val="nil"/>
              <w:left w:val="nil"/>
              <w:bottom w:val="nil"/>
              <w:right w:val="nil"/>
            </w:tcBorders>
            <w:shd w:val="clear" w:color="auto" w:fill="auto"/>
            <w:noWrap/>
            <w:vAlign w:val="bottom"/>
            <w:hideMark/>
          </w:tcPr>
          <w:p w14:paraId="12652908" w14:textId="77777777" w:rsidR="00387142" w:rsidRPr="008B6A75" w:rsidRDefault="00387142" w:rsidP="00387142">
            <w:pPr>
              <w:rPr>
                <w:sz w:val="20"/>
                <w:szCs w:val="20"/>
              </w:rPr>
            </w:pPr>
          </w:p>
        </w:tc>
        <w:tc>
          <w:tcPr>
            <w:tcW w:w="568" w:type="dxa"/>
            <w:gridSpan w:val="2"/>
            <w:tcBorders>
              <w:top w:val="nil"/>
              <w:left w:val="nil"/>
              <w:bottom w:val="nil"/>
              <w:right w:val="nil"/>
            </w:tcBorders>
            <w:shd w:val="clear" w:color="auto" w:fill="auto"/>
            <w:noWrap/>
            <w:vAlign w:val="bottom"/>
            <w:hideMark/>
          </w:tcPr>
          <w:p w14:paraId="4DE3DF9D" w14:textId="77777777" w:rsidR="00387142" w:rsidRPr="008B6A75" w:rsidRDefault="00387142" w:rsidP="00387142">
            <w:pPr>
              <w:rPr>
                <w:sz w:val="20"/>
                <w:szCs w:val="20"/>
              </w:rPr>
            </w:pPr>
          </w:p>
        </w:tc>
        <w:tc>
          <w:tcPr>
            <w:tcW w:w="566" w:type="dxa"/>
            <w:gridSpan w:val="2"/>
            <w:tcBorders>
              <w:top w:val="nil"/>
              <w:left w:val="nil"/>
              <w:bottom w:val="nil"/>
              <w:right w:val="nil"/>
            </w:tcBorders>
            <w:shd w:val="clear" w:color="auto" w:fill="auto"/>
            <w:noWrap/>
            <w:vAlign w:val="bottom"/>
            <w:hideMark/>
          </w:tcPr>
          <w:p w14:paraId="3A065D5B" w14:textId="77777777" w:rsidR="00387142" w:rsidRPr="008B6A75" w:rsidRDefault="00387142" w:rsidP="00387142">
            <w:pPr>
              <w:rPr>
                <w:sz w:val="20"/>
                <w:szCs w:val="20"/>
              </w:rPr>
            </w:pPr>
          </w:p>
        </w:tc>
        <w:tc>
          <w:tcPr>
            <w:tcW w:w="709" w:type="dxa"/>
            <w:gridSpan w:val="2"/>
            <w:tcBorders>
              <w:top w:val="nil"/>
              <w:left w:val="nil"/>
              <w:bottom w:val="nil"/>
              <w:right w:val="nil"/>
            </w:tcBorders>
            <w:shd w:val="clear" w:color="auto" w:fill="auto"/>
            <w:noWrap/>
            <w:vAlign w:val="bottom"/>
            <w:hideMark/>
          </w:tcPr>
          <w:p w14:paraId="2138454D" w14:textId="77777777" w:rsidR="00387142" w:rsidRPr="008B6A75" w:rsidRDefault="00387142" w:rsidP="00387142">
            <w:pPr>
              <w:rPr>
                <w:sz w:val="20"/>
                <w:szCs w:val="20"/>
              </w:rPr>
            </w:pPr>
          </w:p>
        </w:tc>
        <w:tc>
          <w:tcPr>
            <w:tcW w:w="850" w:type="dxa"/>
            <w:tcBorders>
              <w:top w:val="nil"/>
              <w:left w:val="nil"/>
              <w:bottom w:val="nil"/>
              <w:right w:val="nil"/>
            </w:tcBorders>
            <w:shd w:val="clear" w:color="auto" w:fill="auto"/>
            <w:noWrap/>
            <w:vAlign w:val="bottom"/>
            <w:hideMark/>
          </w:tcPr>
          <w:p w14:paraId="06C75B44" w14:textId="77777777" w:rsidR="00387142" w:rsidRPr="008B6A75" w:rsidRDefault="00387142" w:rsidP="00387142">
            <w:pPr>
              <w:rPr>
                <w:sz w:val="20"/>
                <w:szCs w:val="20"/>
              </w:rPr>
            </w:pPr>
          </w:p>
        </w:tc>
        <w:tc>
          <w:tcPr>
            <w:tcW w:w="851" w:type="dxa"/>
            <w:tcBorders>
              <w:top w:val="nil"/>
              <w:left w:val="nil"/>
              <w:bottom w:val="nil"/>
              <w:right w:val="nil"/>
            </w:tcBorders>
            <w:shd w:val="clear" w:color="auto" w:fill="auto"/>
            <w:noWrap/>
            <w:vAlign w:val="bottom"/>
            <w:hideMark/>
          </w:tcPr>
          <w:p w14:paraId="2904ED56" w14:textId="77777777" w:rsidR="00387142" w:rsidRPr="008B6A75" w:rsidRDefault="00387142" w:rsidP="00387142">
            <w:pPr>
              <w:rPr>
                <w:sz w:val="20"/>
                <w:szCs w:val="20"/>
              </w:rPr>
            </w:pPr>
          </w:p>
        </w:tc>
      </w:tr>
      <w:tr w:rsidR="00387142" w:rsidRPr="008B6A75" w14:paraId="4611F3F4" w14:textId="77777777" w:rsidTr="00387142">
        <w:trPr>
          <w:gridAfter w:val="2"/>
          <w:wAfter w:w="553" w:type="dxa"/>
          <w:trHeight w:val="300"/>
        </w:trPr>
        <w:tc>
          <w:tcPr>
            <w:tcW w:w="425" w:type="dxa"/>
            <w:tcBorders>
              <w:top w:val="nil"/>
              <w:left w:val="nil"/>
              <w:bottom w:val="nil"/>
              <w:right w:val="nil"/>
            </w:tcBorders>
            <w:shd w:val="clear" w:color="auto" w:fill="auto"/>
            <w:noWrap/>
            <w:vAlign w:val="bottom"/>
            <w:hideMark/>
          </w:tcPr>
          <w:p w14:paraId="6E1E2E84" w14:textId="77777777" w:rsidR="00387142" w:rsidRPr="008B6A75" w:rsidRDefault="00387142" w:rsidP="00387142">
            <w:pPr>
              <w:rPr>
                <w:sz w:val="20"/>
                <w:szCs w:val="20"/>
              </w:rPr>
            </w:pPr>
          </w:p>
        </w:tc>
        <w:tc>
          <w:tcPr>
            <w:tcW w:w="426" w:type="dxa"/>
            <w:tcBorders>
              <w:top w:val="nil"/>
              <w:left w:val="nil"/>
              <w:bottom w:val="nil"/>
              <w:right w:val="nil"/>
            </w:tcBorders>
            <w:shd w:val="clear" w:color="auto" w:fill="auto"/>
            <w:noWrap/>
            <w:vAlign w:val="bottom"/>
            <w:hideMark/>
          </w:tcPr>
          <w:p w14:paraId="16EB7BB0" w14:textId="77777777" w:rsidR="00387142" w:rsidRPr="008B6A75" w:rsidRDefault="00387142" w:rsidP="00387142">
            <w:pPr>
              <w:rPr>
                <w:sz w:val="20"/>
                <w:szCs w:val="20"/>
              </w:rPr>
            </w:pPr>
          </w:p>
        </w:tc>
        <w:tc>
          <w:tcPr>
            <w:tcW w:w="567" w:type="dxa"/>
            <w:tcBorders>
              <w:top w:val="nil"/>
              <w:left w:val="nil"/>
              <w:bottom w:val="nil"/>
              <w:right w:val="nil"/>
            </w:tcBorders>
            <w:shd w:val="clear" w:color="auto" w:fill="auto"/>
            <w:noWrap/>
            <w:vAlign w:val="bottom"/>
            <w:hideMark/>
          </w:tcPr>
          <w:p w14:paraId="62F4BA9E" w14:textId="77777777" w:rsidR="00387142" w:rsidRPr="008B6A75" w:rsidRDefault="00387142" w:rsidP="00387142">
            <w:pPr>
              <w:rPr>
                <w:sz w:val="20"/>
                <w:szCs w:val="20"/>
              </w:rPr>
            </w:pPr>
          </w:p>
        </w:tc>
        <w:tc>
          <w:tcPr>
            <w:tcW w:w="850" w:type="dxa"/>
            <w:tcBorders>
              <w:top w:val="nil"/>
              <w:left w:val="nil"/>
              <w:bottom w:val="nil"/>
              <w:right w:val="nil"/>
            </w:tcBorders>
            <w:shd w:val="clear" w:color="auto" w:fill="auto"/>
            <w:noWrap/>
            <w:vAlign w:val="bottom"/>
            <w:hideMark/>
          </w:tcPr>
          <w:p w14:paraId="61A83BA1" w14:textId="77777777" w:rsidR="00387142" w:rsidRPr="008B6A75" w:rsidRDefault="00387142" w:rsidP="00387142">
            <w:pPr>
              <w:rPr>
                <w:sz w:val="20"/>
                <w:szCs w:val="20"/>
              </w:rPr>
            </w:pPr>
          </w:p>
        </w:tc>
        <w:tc>
          <w:tcPr>
            <w:tcW w:w="1134" w:type="dxa"/>
            <w:tcBorders>
              <w:top w:val="nil"/>
              <w:left w:val="nil"/>
              <w:bottom w:val="nil"/>
              <w:right w:val="nil"/>
            </w:tcBorders>
            <w:shd w:val="clear" w:color="auto" w:fill="auto"/>
            <w:noWrap/>
            <w:vAlign w:val="bottom"/>
            <w:hideMark/>
          </w:tcPr>
          <w:p w14:paraId="0E046F7A" w14:textId="77777777" w:rsidR="00387142" w:rsidRPr="008B6A75" w:rsidRDefault="00387142" w:rsidP="00387142">
            <w:pPr>
              <w:jc w:val="right"/>
              <w:rPr>
                <w:sz w:val="20"/>
                <w:szCs w:val="20"/>
              </w:rPr>
            </w:pPr>
          </w:p>
        </w:tc>
        <w:tc>
          <w:tcPr>
            <w:tcW w:w="1134" w:type="dxa"/>
            <w:tcBorders>
              <w:top w:val="nil"/>
              <w:left w:val="nil"/>
              <w:bottom w:val="nil"/>
              <w:right w:val="nil"/>
            </w:tcBorders>
            <w:shd w:val="clear" w:color="auto" w:fill="auto"/>
            <w:noWrap/>
            <w:vAlign w:val="bottom"/>
            <w:hideMark/>
          </w:tcPr>
          <w:p w14:paraId="5B354295" w14:textId="77777777" w:rsidR="00387142" w:rsidRPr="008B6A75" w:rsidRDefault="00387142" w:rsidP="00387142">
            <w:pPr>
              <w:rPr>
                <w:sz w:val="20"/>
                <w:szCs w:val="20"/>
              </w:rPr>
            </w:pPr>
          </w:p>
        </w:tc>
        <w:tc>
          <w:tcPr>
            <w:tcW w:w="851" w:type="dxa"/>
            <w:tcBorders>
              <w:top w:val="nil"/>
              <w:left w:val="nil"/>
              <w:bottom w:val="nil"/>
              <w:right w:val="nil"/>
            </w:tcBorders>
            <w:shd w:val="clear" w:color="auto" w:fill="auto"/>
            <w:noWrap/>
            <w:vAlign w:val="bottom"/>
            <w:hideMark/>
          </w:tcPr>
          <w:p w14:paraId="25482EDD" w14:textId="77777777" w:rsidR="00387142" w:rsidRPr="008B6A75" w:rsidRDefault="00387142" w:rsidP="00387142">
            <w:pPr>
              <w:jc w:val="right"/>
              <w:rPr>
                <w:sz w:val="20"/>
                <w:szCs w:val="20"/>
              </w:rPr>
            </w:pPr>
          </w:p>
        </w:tc>
        <w:tc>
          <w:tcPr>
            <w:tcW w:w="1215" w:type="dxa"/>
            <w:tcBorders>
              <w:top w:val="nil"/>
              <w:left w:val="nil"/>
              <w:bottom w:val="nil"/>
              <w:right w:val="nil"/>
            </w:tcBorders>
            <w:shd w:val="clear" w:color="auto" w:fill="auto"/>
            <w:noWrap/>
            <w:vAlign w:val="bottom"/>
            <w:hideMark/>
          </w:tcPr>
          <w:p w14:paraId="5D3A9ADE" w14:textId="77777777" w:rsidR="00387142" w:rsidRPr="008B6A75" w:rsidRDefault="00387142" w:rsidP="00387142">
            <w:pPr>
              <w:jc w:val="right"/>
              <w:rPr>
                <w:sz w:val="20"/>
                <w:szCs w:val="20"/>
              </w:rPr>
            </w:pPr>
          </w:p>
        </w:tc>
        <w:tc>
          <w:tcPr>
            <w:tcW w:w="769" w:type="dxa"/>
            <w:tcBorders>
              <w:top w:val="nil"/>
              <w:left w:val="nil"/>
              <w:bottom w:val="nil"/>
              <w:right w:val="nil"/>
            </w:tcBorders>
            <w:shd w:val="clear" w:color="auto" w:fill="auto"/>
            <w:noWrap/>
            <w:vAlign w:val="bottom"/>
            <w:hideMark/>
          </w:tcPr>
          <w:p w14:paraId="2C541489" w14:textId="77777777" w:rsidR="00387142" w:rsidRPr="008B6A75" w:rsidRDefault="00387142" w:rsidP="00387142">
            <w:pPr>
              <w:rPr>
                <w:sz w:val="20"/>
                <w:szCs w:val="20"/>
              </w:rPr>
            </w:pPr>
          </w:p>
        </w:tc>
        <w:tc>
          <w:tcPr>
            <w:tcW w:w="709" w:type="dxa"/>
            <w:tcBorders>
              <w:top w:val="nil"/>
              <w:left w:val="nil"/>
              <w:bottom w:val="nil"/>
              <w:right w:val="nil"/>
            </w:tcBorders>
            <w:shd w:val="clear" w:color="auto" w:fill="auto"/>
            <w:noWrap/>
            <w:vAlign w:val="bottom"/>
            <w:hideMark/>
          </w:tcPr>
          <w:p w14:paraId="30A4961A" w14:textId="77777777" w:rsidR="00387142" w:rsidRPr="008B6A75" w:rsidRDefault="00387142" w:rsidP="00387142">
            <w:pPr>
              <w:rPr>
                <w:sz w:val="20"/>
                <w:szCs w:val="20"/>
              </w:rPr>
            </w:pPr>
          </w:p>
        </w:tc>
        <w:tc>
          <w:tcPr>
            <w:tcW w:w="850" w:type="dxa"/>
            <w:tcBorders>
              <w:top w:val="nil"/>
              <w:left w:val="nil"/>
              <w:bottom w:val="nil"/>
              <w:right w:val="nil"/>
            </w:tcBorders>
            <w:shd w:val="clear" w:color="auto" w:fill="auto"/>
            <w:noWrap/>
            <w:vAlign w:val="bottom"/>
            <w:hideMark/>
          </w:tcPr>
          <w:p w14:paraId="351F1E1D" w14:textId="77777777" w:rsidR="00387142" w:rsidRPr="008B6A75" w:rsidRDefault="00387142" w:rsidP="00387142">
            <w:pPr>
              <w:rPr>
                <w:sz w:val="20"/>
                <w:szCs w:val="20"/>
              </w:rPr>
            </w:pPr>
          </w:p>
        </w:tc>
        <w:tc>
          <w:tcPr>
            <w:tcW w:w="1701" w:type="dxa"/>
            <w:tcBorders>
              <w:top w:val="nil"/>
              <w:left w:val="nil"/>
              <w:bottom w:val="nil"/>
              <w:right w:val="nil"/>
            </w:tcBorders>
            <w:shd w:val="clear" w:color="auto" w:fill="auto"/>
            <w:noWrap/>
            <w:vAlign w:val="bottom"/>
            <w:hideMark/>
          </w:tcPr>
          <w:p w14:paraId="05D320FF" w14:textId="77777777" w:rsidR="00387142" w:rsidRPr="008B6A75" w:rsidRDefault="00387142" w:rsidP="00387142">
            <w:pPr>
              <w:jc w:val="right"/>
              <w:rPr>
                <w:color w:val="000000"/>
                <w:sz w:val="20"/>
                <w:szCs w:val="20"/>
              </w:rPr>
            </w:pPr>
            <w:r w:rsidRPr="008B6A75">
              <w:rPr>
                <w:color w:val="000000"/>
                <w:sz w:val="20"/>
                <w:szCs w:val="20"/>
              </w:rPr>
              <w:t>Приложения 13</w:t>
            </w:r>
          </w:p>
        </w:tc>
        <w:tc>
          <w:tcPr>
            <w:tcW w:w="851" w:type="dxa"/>
            <w:tcBorders>
              <w:top w:val="nil"/>
              <w:left w:val="nil"/>
              <w:bottom w:val="nil"/>
              <w:right w:val="nil"/>
            </w:tcBorders>
            <w:shd w:val="clear" w:color="auto" w:fill="auto"/>
            <w:noWrap/>
            <w:vAlign w:val="bottom"/>
            <w:hideMark/>
          </w:tcPr>
          <w:p w14:paraId="0FA57DAD" w14:textId="77777777" w:rsidR="00387142" w:rsidRPr="008B6A75" w:rsidRDefault="00387142" w:rsidP="00387142">
            <w:pPr>
              <w:jc w:val="right"/>
              <w:rPr>
                <w:color w:val="000000"/>
                <w:sz w:val="20"/>
                <w:szCs w:val="20"/>
              </w:rPr>
            </w:pPr>
          </w:p>
        </w:tc>
        <w:tc>
          <w:tcPr>
            <w:tcW w:w="567" w:type="dxa"/>
            <w:gridSpan w:val="2"/>
            <w:tcBorders>
              <w:top w:val="nil"/>
              <w:left w:val="nil"/>
              <w:bottom w:val="nil"/>
              <w:right w:val="nil"/>
            </w:tcBorders>
            <w:shd w:val="clear" w:color="auto" w:fill="auto"/>
            <w:noWrap/>
            <w:vAlign w:val="bottom"/>
            <w:hideMark/>
          </w:tcPr>
          <w:p w14:paraId="5AD321AC" w14:textId="77777777" w:rsidR="00387142" w:rsidRPr="008B6A75" w:rsidRDefault="00387142" w:rsidP="00387142">
            <w:pPr>
              <w:jc w:val="right"/>
              <w:rPr>
                <w:sz w:val="20"/>
                <w:szCs w:val="20"/>
              </w:rPr>
            </w:pPr>
          </w:p>
        </w:tc>
        <w:tc>
          <w:tcPr>
            <w:tcW w:w="568" w:type="dxa"/>
            <w:gridSpan w:val="2"/>
            <w:tcBorders>
              <w:top w:val="nil"/>
              <w:left w:val="nil"/>
              <w:bottom w:val="nil"/>
              <w:right w:val="nil"/>
            </w:tcBorders>
            <w:shd w:val="clear" w:color="auto" w:fill="auto"/>
            <w:noWrap/>
            <w:vAlign w:val="bottom"/>
            <w:hideMark/>
          </w:tcPr>
          <w:p w14:paraId="70BFBCCA" w14:textId="77777777" w:rsidR="00387142" w:rsidRPr="008B6A75" w:rsidRDefault="00387142" w:rsidP="00387142">
            <w:pPr>
              <w:jc w:val="right"/>
              <w:rPr>
                <w:sz w:val="20"/>
                <w:szCs w:val="20"/>
              </w:rPr>
            </w:pPr>
          </w:p>
        </w:tc>
        <w:tc>
          <w:tcPr>
            <w:tcW w:w="566" w:type="dxa"/>
            <w:gridSpan w:val="2"/>
            <w:tcBorders>
              <w:top w:val="nil"/>
              <w:left w:val="nil"/>
              <w:bottom w:val="nil"/>
              <w:right w:val="nil"/>
            </w:tcBorders>
            <w:shd w:val="clear" w:color="auto" w:fill="auto"/>
            <w:noWrap/>
            <w:vAlign w:val="bottom"/>
            <w:hideMark/>
          </w:tcPr>
          <w:p w14:paraId="06BA9483" w14:textId="77777777" w:rsidR="00387142" w:rsidRPr="008B6A75" w:rsidRDefault="00387142" w:rsidP="00387142">
            <w:pPr>
              <w:jc w:val="right"/>
              <w:rPr>
                <w:sz w:val="20"/>
                <w:szCs w:val="20"/>
              </w:rPr>
            </w:pPr>
          </w:p>
        </w:tc>
        <w:tc>
          <w:tcPr>
            <w:tcW w:w="709" w:type="dxa"/>
            <w:gridSpan w:val="2"/>
            <w:tcBorders>
              <w:top w:val="nil"/>
              <w:left w:val="nil"/>
              <w:bottom w:val="nil"/>
              <w:right w:val="nil"/>
            </w:tcBorders>
            <w:shd w:val="clear" w:color="auto" w:fill="auto"/>
            <w:noWrap/>
            <w:vAlign w:val="bottom"/>
            <w:hideMark/>
          </w:tcPr>
          <w:p w14:paraId="3EE01445" w14:textId="77777777" w:rsidR="00387142" w:rsidRPr="008B6A75" w:rsidRDefault="00387142" w:rsidP="00387142">
            <w:pPr>
              <w:jc w:val="right"/>
              <w:rPr>
                <w:sz w:val="20"/>
                <w:szCs w:val="20"/>
              </w:rPr>
            </w:pPr>
          </w:p>
        </w:tc>
        <w:tc>
          <w:tcPr>
            <w:tcW w:w="850" w:type="dxa"/>
            <w:tcBorders>
              <w:top w:val="nil"/>
              <w:left w:val="nil"/>
              <w:bottom w:val="nil"/>
              <w:right w:val="nil"/>
            </w:tcBorders>
            <w:shd w:val="clear" w:color="auto" w:fill="auto"/>
            <w:noWrap/>
            <w:vAlign w:val="bottom"/>
            <w:hideMark/>
          </w:tcPr>
          <w:p w14:paraId="35767B20" w14:textId="77777777" w:rsidR="00387142" w:rsidRPr="008B6A75" w:rsidRDefault="00387142" w:rsidP="00387142">
            <w:pPr>
              <w:jc w:val="right"/>
              <w:rPr>
                <w:sz w:val="20"/>
                <w:szCs w:val="20"/>
              </w:rPr>
            </w:pPr>
          </w:p>
        </w:tc>
        <w:tc>
          <w:tcPr>
            <w:tcW w:w="851" w:type="dxa"/>
            <w:tcBorders>
              <w:top w:val="nil"/>
              <w:left w:val="nil"/>
              <w:bottom w:val="nil"/>
              <w:right w:val="nil"/>
            </w:tcBorders>
            <w:shd w:val="clear" w:color="auto" w:fill="auto"/>
            <w:noWrap/>
            <w:vAlign w:val="bottom"/>
            <w:hideMark/>
          </w:tcPr>
          <w:p w14:paraId="1D5E4F39" w14:textId="77777777" w:rsidR="00387142" w:rsidRPr="008B6A75" w:rsidRDefault="00387142" w:rsidP="00387142">
            <w:pPr>
              <w:rPr>
                <w:sz w:val="20"/>
                <w:szCs w:val="20"/>
              </w:rPr>
            </w:pPr>
          </w:p>
        </w:tc>
      </w:tr>
      <w:tr w:rsidR="00387142" w:rsidRPr="008B6A75" w14:paraId="32975181" w14:textId="77777777" w:rsidTr="00387142">
        <w:trPr>
          <w:gridAfter w:val="1"/>
          <w:wAfter w:w="67" w:type="dxa"/>
          <w:trHeight w:val="990"/>
        </w:trPr>
        <w:tc>
          <w:tcPr>
            <w:tcW w:w="11606" w:type="dxa"/>
            <w:gridSpan w:val="14"/>
            <w:tcBorders>
              <w:top w:val="nil"/>
              <w:left w:val="nil"/>
              <w:bottom w:val="nil"/>
              <w:right w:val="nil"/>
            </w:tcBorders>
            <w:shd w:val="clear" w:color="auto" w:fill="auto"/>
            <w:vAlign w:val="center"/>
            <w:hideMark/>
          </w:tcPr>
          <w:p w14:paraId="39C8C4F6" w14:textId="77777777" w:rsidR="00387142" w:rsidRPr="008B6A75" w:rsidRDefault="00387142" w:rsidP="00387142">
            <w:pPr>
              <w:jc w:val="center"/>
              <w:rPr>
                <w:bCs/>
                <w:color w:val="000000"/>
                <w:sz w:val="20"/>
                <w:szCs w:val="20"/>
              </w:rPr>
            </w:pPr>
            <w:r w:rsidRPr="008B6A75">
              <w:rPr>
                <w:bCs/>
                <w:color w:val="000000"/>
                <w:sz w:val="20"/>
                <w:szCs w:val="20"/>
              </w:rPr>
              <w:t xml:space="preserve">Иные межбюджетные трансферты на решение вопросов местного значения за счет средств районного бюджета </w:t>
            </w:r>
          </w:p>
        </w:tc>
        <w:tc>
          <w:tcPr>
            <w:tcW w:w="569" w:type="dxa"/>
            <w:gridSpan w:val="2"/>
            <w:tcBorders>
              <w:top w:val="nil"/>
              <w:left w:val="nil"/>
              <w:bottom w:val="nil"/>
              <w:right w:val="nil"/>
            </w:tcBorders>
            <w:shd w:val="clear" w:color="auto" w:fill="auto"/>
            <w:vAlign w:val="center"/>
            <w:hideMark/>
          </w:tcPr>
          <w:p w14:paraId="6638EBBB" w14:textId="77777777" w:rsidR="00387142" w:rsidRPr="008B6A75" w:rsidRDefault="00387142" w:rsidP="00387142">
            <w:pPr>
              <w:jc w:val="center"/>
              <w:rPr>
                <w:bCs/>
                <w:color w:val="000000"/>
                <w:sz w:val="20"/>
                <w:szCs w:val="20"/>
              </w:rPr>
            </w:pPr>
          </w:p>
        </w:tc>
        <w:tc>
          <w:tcPr>
            <w:tcW w:w="575" w:type="dxa"/>
            <w:gridSpan w:val="2"/>
            <w:tcBorders>
              <w:top w:val="nil"/>
              <w:left w:val="nil"/>
              <w:bottom w:val="nil"/>
              <w:right w:val="nil"/>
            </w:tcBorders>
            <w:shd w:val="clear" w:color="auto" w:fill="auto"/>
            <w:vAlign w:val="center"/>
            <w:hideMark/>
          </w:tcPr>
          <w:p w14:paraId="30B84106" w14:textId="77777777" w:rsidR="00387142" w:rsidRPr="008B6A75" w:rsidRDefault="00387142" w:rsidP="00387142">
            <w:pPr>
              <w:jc w:val="center"/>
              <w:rPr>
                <w:sz w:val="20"/>
                <w:szCs w:val="20"/>
              </w:rPr>
            </w:pPr>
          </w:p>
        </w:tc>
        <w:tc>
          <w:tcPr>
            <w:tcW w:w="438" w:type="dxa"/>
            <w:tcBorders>
              <w:top w:val="nil"/>
              <w:left w:val="nil"/>
              <w:bottom w:val="nil"/>
              <w:right w:val="nil"/>
            </w:tcBorders>
            <w:shd w:val="clear" w:color="auto" w:fill="auto"/>
            <w:vAlign w:val="center"/>
            <w:hideMark/>
          </w:tcPr>
          <w:p w14:paraId="27A33FB9" w14:textId="77777777" w:rsidR="00387142" w:rsidRPr="008B6A75" w:rsidRDefault="00387142" w:rsidP="00387142">
            <w:pPr>
              <w:jc w:val="center"/>
              <w:rPr>
                <w:sz w:val="20"/>
                <w:szCs w:val="20"/>
              </w:rPr>
            </w:pPr>
          </w:p>
        </w:tc>
        <w:tc>
          <w:tcPr>
            <w:tcW w:w="508" w:type="dxa"/>
            <w:tcBorders>
              <w:top w:val="nil"/>
              <w:left w:val="nil"/>
              <w:bottom w:val="nil"/>
              <w:right w:val="nil"/>
            </w:tcBorders>
            <w:shd w:val="clear" w:color="auto" w:fill="auto"/>
            <w:vAlign w:val="center"/>
            <w:hideMark/>
          </w:tcPr>
          <w:p w14:paraId="3CD06D0E" w14:textId="77777777" w:rsidR="00387142" w:rsidRPr="008B6A75" w:rsidRDefault="00387142" w:rsidP="00387142">
            <w:pPr>
              <w:jc w:val="center"/>
              <w:rPr>
                <w:sz w:val="20"/>
                <w:szCs w:val="20"/>
              </w:rPr>
            </w:pPr>
          </w:p>
        </w:tc>
        <w:tc>
          <w:tcPr>
            <w:tcW w:w="1046" w:type="dxa"/>
            <w:gridSpan w:val="2"/>
            <w:tcBorders>
              <w:top w:val="nil"/>
              <w:left w:val="nil"/>
              <w:bottom w:val="nil"/>
              <w:right w:val="nil"/>
            </w:tcBorders>
            <w:shd w:val="clear" w:color="auto" w:fill="auto"/>
            <w:noWrap/>
            <w:vAlign w:val="bottom"/>
            <w:hideMark/>
          </w:tcPr>
          <w:p w14:paraId="22F48B8D" w14:textId="77777777" w:rsidR="00387142" w:rsidRPr="008B6A75" w:rsidRDefault="00387142" w:rsidP="00387142">
            <w:pPr>
              <w:jc w:val="center"/>
              <w:rPr>
                <w:sz w:val="20"/>
                <w:szCs w:val="20"/>
              </w:rPr>
            </w:pPr>
          </w:p>
        </w:tc>
        <w:tc>
          <w:tcPr>
            <w:tcW w:w="1337" w:type="dxa"/>
            <w:gridSpan w:val="2"/>
            <w:tcBorders>
              <w:top w:val="nil"/>
              <w:left w:val="nil"/>
              <w:bottom w:val="nil"/>
              <w:right w:val="nil"/>
            </w:tcBorders>
            <w:shd w:val="clear" w:color="auto" w:fill="auto"/>
            <w:noWrap/>
            <w:vAlign w:val="bottom"/>
            <w:hideMark/>
          </w:tcPr>
          <w:p w14:paraId="1A9A756B" w14:textId="77777777" w:rsidR="00387142" w:rsidRPr="008B6A75" w:rsidRDefault="00387142" w:rsidP="00387142">
            <w:pPr>
              <w:rPr>
                <w:sz w:val="20"/>
                <w:szCs w:val="20"/>
              </w:rPr>
            </w:pPr>
          </w:p>
        </w:tc>
      </w:tr>
      <w:tr w:rsidR="00387142" w:rsidRPr="008B6A75" w14:paraId="0E8FB897" w14:textId="77777777" w:rsidTr="00387142">
        <w:trPr>
          <w:gridAfter w:val="1"/>
          <w:wAfter w:w="67" w:type="dxa"/>
          <w:trHeight w:val="495"/>
        </w:trPr>
        <w:tc>
          <w:tcPr>
            <w:tcW w:w="11606" w:type="dxa"/>
            <w:gridSpan w:val="14"/>
            <w:tcBorders>
              <w:top w:val="single" w:sz="4" w:space="0" w:color="auto"/>
              <w:left w:val="single" w:sz="4" w:space="0" w:color="auto"/>
              <w:bottom w:val="single" w:sz="4" w:space="0" w:color="auto"/>
              <w:right w:val="single" w:sz="4" w:space="0" w:color="auto"/>
            </w:tcBorders>
            <w:shd w:val="clear" w:color="auto" w:fill="auto"/>
            <w:vAlign w:val="bottom"/>
            <w:hideMark/>
          </w:tcPr>
          <w:p w14:paraId="721E8E36" w14:textId="77777777" w:rsidR="00387142" w:rsidRPr="008B6A75" w:rsidRDefault="00387142" w:rsidP="00387142">
            <w:pPr>
              <w:jc w:val="center"/>
              <w:rPr>
                <w:bCs/>
                <w:color w:val="000000"/>
                <w:sz w:val="20"/>
                <w:szCs w:val="20"/>
              </w:rPr>
            </w:pPr>
            <w:r w:rsidRPr="008B6A75">
              <w:rPr>
                <w:bCs/>
                <w:color w:val="000000"/>
                <w:sz w:val="20"/>
                <w:szCs w:val="20"/>
              </w:rPr>
              <w:t>2022 год</w:t>
            </w:r>
          </w:p>
        </w:tc>
        <w:tc>
          <w:tcPr>
            <w:tcW w:w="569" w:type="dxa"/>
            <w:gridSpan w:val="2"/>
            <w:tcBorders>
              <w:top w:val="single" w:sz="4" w:space="0" w:color="auto"/>
              <w:left w:val="nil"/>
              <w:bottom w:val="single" w:sz="4" w:space="0" w:color="auto"/>
              <w:right w:val="nil"/>
            </w:tcBorders>
            <w:shd w:val="clear" w:color="auto" w:fill="auto"/>
            <w:vAlign w:val="bottom"/>
            <w:hideMark/>
          </w:tcPr>
          <w:p w14:paraId="1942B158" w14:textId="77777777" w:rsidR="00387142" w:rsidRPr="008B6A75" w:rsidRDefault="00387142" w:rsidP="00387142">
            <w:pPr>
              <w:jc w:val="center"/>
              <w:rPr>
                <w:bCs/>
                <w:color w:val="000000"/>
                <w:sz w:val="20"/>
                <w:szCs w:val="20"/>
              </w:rPr>
            </w:pPr>
            <w:r w:rsidRPr="008B6A75">
              <w:rPr>
                <w:bCs/>
                <w:color w:val="000000"/>
                <w:sz w:val="20"/>
                <w:szCs w:val="20"/>
              </w:rPr>
              <w:t> </w:t>
            </w:r>
          </w:p>
        </w:tc>
        <w:tc>
          <w:tcPr>
            <w:tcW w:w="575" w:type="dxa"/>
            <w:gridSpan w:val="2"/>
            <w:tcBorders>
              <w:top w:val="single" w:sz="4" w:space="0" w:color="auto"/>
              <w:left w:val="single" w:sz="4" w:space="0" w:color="auto"/>
              <w:bottom w:val="single" w:sz="4" w:space="0" w:color="auto"/>
              <w:right w:val="nil"/>
            </w:tcBorders>
            <w:shd w:val="clear" w:color="auto" w:fill="auto"/>
            <w:vAlign w:val="bottom"/>
            <w:hideMark/>
          </w:tcPr>
          <w:p w14:paraId="2E9A3D09" w14:textId="77777777" w:rsidR="00387142" w:rsidRPr="008B6A75" w:rsidRDefault="00387142" w:rsidP="00387142">
            <w:pPr>
              <w:jc w:val="center"/>
              <w:rPr>
                <w:bCs/>
                <w:color w:val="000000"/>
                <w:sz w:val="20"/>
                <w:szCs w:val="20"/>
              </w:rPr>
            </w:pPr>
            <w:r w:rsidRPr="008B6A75">
              <w:rPr>
                <w:bCs/>
                <w:color w:val="000000"/>
                <w:sz w:val="20"/>
                <w:szCs w:val="20"/>
              </w:rPr>
              <w:t> </w:t>
            </w:r>
          </w:p>
        </w:tc>
        <w:tc>
          <w:tcPr>
            <w:tcW w:w="438" w:type="dxa"/>
            <w:tcBorders>
              <w:top w:val="single" w:sz="4" w:space="0" w:color="auto"/>
              <w:left w:val="single" w:sz="4" w:space="0" w:color="auto"/>
              <w:bottom w:val="single" w:sz="4" w:space="0" w:color="auto"/>
              <w:right w:val="nil"/>
            </w:tcBorders>
            <w:shd w:val="clear" w:color="auto" w:fill="auto"/>
            <w:vAlign w:val="bottom"/>
            <w:hideMark/>
          </w:tcPr>
          <w:p w14:paraId="6E24415B" w14:textId="77777777" w:rsidR="00387142" w:rsidRPr="008B6A75" w:rsidRDefault="00387142" w:rsidP="00387142">
            <w:pPr>
              <w:jc w:val="center"/>
              <w:rPr>
                <w:bCs/>
                <w:color w:val="000000"/>
                <w:sz w:val="20"/>
                <w:szCs w:val="20"/>
              </w:rPr>
            </w:pPr>
            <w:r w:rsidRPr="008B6A75">
              <w:rPr>
                <w:bCs/>
                <w:color w:val="000000"/>
                <w:sz w:val="20"/>
                <w:szCs w:val="20"/>
              </w:rPr>
              <w:t> </w:t>
            </w:r>
          </w:p>
        </w:tc>
        <w:tc>
          <w:tcPr>
            <w:tcW w:w="508" w:type="dxa"/>
            <w:tcBorders>
              <w:top w:val="single" w:sz="4" w:space="0" w:color="auto"/>
              <w:left w:val="single" w:sz="4" w:space="0" w:color="auto"/>
              <w:bottom w:val="single" w:sz="4" w:space="0" w:color="auto"/>
              <w:right w:val="nil"/>
            </w:tcBorders>
            <w:shd w:val="clear" w:color="auto" w:fill="auto"/>
            <w:vAlign w:val="bottom"/>
            <w:hideMark/>
          </w:tcPr>
          <w:p w14:paraId="7FEC3E02" w14:textId="77777777" w:rsidR="00387142" w:rsidRPr="008B6A75" w:rsidRDefault="00387142" w:rsidP="00387142">
            <w:pPr>
              <w:jc w:val="center"/>
              <w:rPr>
                <w:bCs/>
                <w:color w:val="000000"/>
                <w:sz w:val="20"/>
                <w:szCs w:val="20"/>
              </w:rPr>
            </w:pPr>
            <w:r w:rsidRPr="008B6A75">
              <w:rPr>
                <w:bCs/>
                <w:color w:val="000000"/>
                <w:sz w:val="20"/>
                <w:szCs w:val="20"/>
              </w:rPr>
              <w:t> </w:t>
            </w:r>
          </w:p>
        </w:tc>
        <w:tc>
          <w:tcPr>
            <w:tcW w:w="1046" w:type="dxa"/>
            <w:gridSpan w:val="2"/>
            <w:tcBorders>
              <w:top w:val="nil"/>
              <w:left w:val="nil"/>
              <w:bottom w:val="nil"/>
              <w:right w:val="nil"/>
            </w:tcBorders>
            <w:shd w:val="clear" w:color="auto" w:fill="auto"/>
            <w:noWrap/>
            <w:vAlign w:val="bottom"/>
            <w:hideMark/>
          </w:tcPr>
          <w:p w14:paraId="2513DFF8" w14:textId="77777777" w:rsidR="00387142" w:rsidRPr="008B6A75" w:rsidRDefault="00387142" w:rsidP="00387142">
            <w:pPr>
              <w:jc w:val="center"/>
              <w:rPr>
                <w:bCs/>
                <w:color w:val="000000"/>
                <w:sz w:val="20"/>
                <w:szCs w:val="20"/>
              </w:rPr>
            </w:pPr>
          </w:p>
        </w:tc>
        <w:tc>
          <w:tcPr>
            <w:tcW w:w="1337" w:type="dxa"/>
            <w:gridSpan w:val="2"/>
            <w:tcBorders>
              <w:top w:val="nil"/>
              <w:left w:val="nil"/>
              <w:bottom w:val="nil"/>
              <w:right w:val="nil"/>
            </w:tcBorders>
            <w:shd w:val="clear" w:color="auto" w:fill="auto"/>
            <w:noWrap/>
            <w:vAlign w:val="bottom"/>
            <w:hideMark/>
          </w:tcPr>
          <w:p w14:paraId="0683EFB5" w14:textId="77777777" w:rsidR="00387142" w:rsidRPr="008B6A75" w:rsidRDefault="00387142" w:rsidP="00387142">
            <w:pPr>
              <w:rPr>
                <w:sz w:val="20"/>
                <w:szCs w:val="20"/>
              </w:rPr>
            </w:pPr>
          </w:p>
        </w:tc>
      </w:tr>
      <w:tr w:rsidR="00387142" w:rsidRPr="008B6A75" w14:paraId="176435B5" w14:textId="77777777" w:rsidTr="00387142">
        <w:trPr>
          <w:gridAfter w:val="2"/>
          <w:wAfter w:w="553" w:type="dxa"/>
          <w:trHeight w:val="390"/>
        </w:trPr>
        <w:tc>
          <w:tcPr>
            <w:tcW w:w="425" w:type="dxa"/>
            <w:vMerge w:val="restart"/>
            <w:tcBorders>
              <w:top w:val="nil"/>
              <w:left w:val="single" w:sz="4" w:space="0" w:color="auto"/>
              <w:bottom w:val="single" w:sz="4" w:space="0" w:color="000000"/>
              <w:right w:val="single" w:sz="4" w:space="0" w:color="auto"/>
            </w:tcBorders>
            <w:shd w:val="clear" w:color="auto" w:fill="auto"/>
            <w:vAlign w:val="center"/>
            <w:hideMark/>
          </w:tcPr>
          <w:p w14:paraId="3AA9376C" w14:textId="77777777" w:rsidR="00387142" w:rsidRPr="008B6A75" w:rsidRDefault="00387142" w:rsidP="00387142">
            <w:pPr>
              <w:jc w:val="center"/>
              <w:rPr>
                <w:color w:val="000000"/>
                <w:sz w:val="20"/>
                <w:szCs w:val="20"/>
              </w:rPr>
            </w:pPr>
            <w:r w:rsidRPr="008B6A75">
              <w:rPr>
                <w:color w:val="000000"/>
                <w:sz w:val="20"/>
                <w:szCs w:val="20"/>
              </w:rPr>
              <w:t>№п/п</w:t>
            </w:r>
          </w:p>
        </w:tc>
        <w:tc>
          <w:tcPr>
            <w:tcW w:w="426" w:type="dxa"/>
            <w:vMerge w:val="restart"/>
            <w:tcBorders>
              <w:top w:val="nil"/>
              <w:left w:val="single" w:sz="4" w:space="0" w:color="auto"/>
              <w:bottom w:val="single" w:sz="4" w:space="0" w:color="000000"/>
              <w:right w:val="single" w:sz="4" w:space="0" w:color="auto"/>
            </w:tcBorders>
            <w:shd w:val="clear" w:color="auto" w:fill="auto"/>
            <w:vAlign w:val="center"/>
            <w:hideMark/>
          </w:tcPr>
          <w:p w14:paraId="08BFF76A" w14:textId="77777777" w:rsidR="00387142" w:rsidRPr="008B6A75" w:rsidRDefault="00387142" w:rsidP="00387142">
            <w:pPr>
              <w:jc w:val="center"/>
              <w:rPr>
                <w:color w:val="000000"/>
                <w:sz w:val="20"/>
                <w:szCs w:val="20"/>
              </w:rPr>
            </w:pPr>
            <w:r w:rsidRPr="008B6A75">
              <w:rPr>
                <w:color w:val="000000"/>
                <w:sz w:val="20"/>
                <w:szCs w:val="20"/>
              </w:rPr>
              <w:t>Наименование поселений</w:t>
            </w:r>
          </w:p>
        </w:tc>
        <w:tc>
          <w:tcPr>
            <w:tcW w:w="567" w:type="dxa"/>
            <w:vMerge w:val="restart"/>
            <w:tcBorders>
              <w:top w:val="nil"/>
              <w:left w:val="single" w:sz="4" w:space="0" w:color="auto"/>
              <w:bottom w:val="single" w:sz="4" w:space="0" w:color="000000"/>
              <w:right w:val="single" w:sz="4" w:space="0" w:color="000000"/>
            </w:tcBorders>
            <w:shd w:val="clear" w:color="auto" w:fill="auto"/>
            <w:vAlign w:val="center"/>
            <w:hideMark/>
          </w:tcPr>
          <w:p w14:paraId="4783546E" w14:textId="77777777" w:rsidR="00387142" w:rsidRPr="008B6A75" w:rsidRDefault="00387142" w:rsidP="00387142">
            <w:pPr>
              <w:jc w:val="center"/>
              <w:rPr>
                <w:bCs/>
                <w:color w:val="000000"/>
                <w:sz w:val="20"/>
                <w:szCs w:val="20"/>
              </w:rPr>
            </w:pPr>
            <w:r w:rsidRPr="008B6A75">
              <w:rPr>
                <w:bCs/>
                <w:color w:val="000000"/>
                <w:sz w:val="20"/>
                <w:szCs w:val="20"/>
              </w:rPr>
              <w:t>Итого Сумма 2022 год (</w:t>
            </w:r>
            <w:proofErr w:type="gramStart"/>
            <w:r w:rsidRPr="008B6A75">
              <w:rPr>
                <w:bCs/>
                <w:color w:val="000000"/>
                <w:sz w:val="20"/>
                <w:szCs w:val="20"/>
              </w:rPr>
              <w:t>в  рублях</w:t>
            </w:r>
            <w:proofErr w:type="gramEnd"/>
            <w:r w:rsidRPr="008B6A75">
              <w:rPr>
                <w:bCs/>
                <w:color w:val="000000"/>
                <w:sz w:val="20"/>
                <w:szCs w:val="20"/>
              </w:rPr>
              <w:t>)</w:t>
            </w:r>
          </w:p>
        </w:tc>
        <w:tc>
          <w:tcPr>
            <w:tcW w:w="14175" w:type="dxa"/>
            <w:gridSpan w:val="20"/>
            <w:tcBorders>
              <w:top w:val="single" w:sz="4" w:space="0" w:color="auto"/>
              <w:left w:val="nil"/>
              <w:bottom w:val="single" w:sz="4" w:space="0" w:color="auto"/>
              <w:right w:val="single" w:sz="4" w:space="0" w:color="000000"/>
            </w:tcBorders>
            <w:shd w:val="clear" w:color="auto" w:fill="auto"/>
            <w:vAlign w:val="center"/>
            <w:hideMark/>
          </w:tcPr>
          <w:p w14:paraId="144ADF46" w14:textId="77777777" w:rsidR="00387142" w:rsidRPr="008B6A75" w:rsidRDefault="00387142" w:rsidP="00387142">
            <w:pPr>
              <w:jc w:val="center"/>
              <w:rPr>
                <w:color w:val="000000"/>
                <w:sz w:val="20"/>
                <w:szCs w:val="20"/>
              </w:rPr>
            </w:pPr>
            <w:r w:rsidRPr="008B6A75">
              <w:rPr>
                <w:color w:val="000000"/>
                <w:sz w:val="20"/>
                <w:szCs w:val="20"/>
              </w:rPr>
              <w:t>в том числе:</w:t>
            </w:r>
          </w:p>
        </w:tc>
      </w:tr>
      <w:tr w:rsidR="00387142" w:rsidRPr="008B6A75" w14:paraId="2B9F198C" w14:textId="77777777" w:rsidTr="00387142">
        <w:trPr>
          <w:gridAfter w:val="2"/>
          <w:wAfter w:w="553" w:type="dxa"/>
          <w:trHeight w:val="3255"/>
        </w:trPr>
        <w:tc>
          <w:tcPr>
            <w:tcW w:w="425" w:type="dxa"/>
            <w:vMerge/>
            <w:tcBorders>
              <w:top w:val="nil"/>
              <w:left w:val="single" w:sz="4" w:space="0" w:color="auto"/>
              <w:bottom w:val="single" w:sz="4" w:space="0" w:color="000000"/>
              <w:right w:val="single" w:sz="4" w:space="0" w:color="auto"/>
            </w:tcBorders>
            <w:vAlign w:val="center"/>
            <w:hideMark/>
          </w:tcPr>
          <w:p w14:paraId="7A6D19D9" w14:textId="77777777" w:rsidR="00387142" w:rsidRPr="008B6A75" w:rsidRDefault="00387142" w:rsidP="00387142">
            <w:pPr>
              <w:rPr>
                <w:color w:val="000000"/>
                <w:sz w:val="20"/>
                <w:szCs w:val="20"/>
              </w:rPr>
            </w:pPr>
          </w:p>
        </w:tc>
        <w:tc>
          <w:tcPr>
            <w:tcW w:w="426" w:type="dxa"/>
            <w:vMerge/>
            <w:tcBorders>
              <w:top w:val="nil"/>
              <w:left w:val="single" w:sz="4" w:space="0" w:color="auto"/>
              <w:bottom w:val="single" w:sz="4" w:space="0" w:color="000000"/>
              <w:right w:val="single" w:sz="4" w:space="0" w:color="auto"/>
            </w:tcBorders>
            <w:vAlign w:val="center"/>
            <w:hideMark/>
          </w:tcPr>
          <w:p w14:paraId="46858368" w14:textId="77777777" w:rsidR="00387142" w:rsidRPr="008B6A75" w:rsidRDefault="00387142" w:rsidP="00387142">
            <w:pPr>
              <w:rPr>
                <w:color w:val="000000"/>
                <w:sz w:val="20"/>
                <w:szCs w:val="20"/>
              </w:rPr>
            </w:pPr>
          </w:p>
        </w:tc>
        <w:tc>
          <w:tcPr>
            <w:tcW w:w="567" w:type="dxa"/>
            <w:vMerge/>
            <w:tcBorders>
              <w:top w:val="nil"/>
              <w:left w:val="single" w:sz="4" w:space="0" w:color="auto"/>
              <w:bottom w:val="single" w:sz="4" w:space="0" w:color="000000"/>
              <w:right w:val="single" w:sz="4" w:space="0" w:color="000000"/>
            </w:tcBorders>
            <w:vAlign w:val="center"/>
            <w:hideMark/>
          </w:tcPr>
          <w:p w14:paraId="0B0F0414" w14:textId="77777777" w:rsidR="00387142" w:rsidRPr="008B6A75" w:rsidRDefault="00387142" w:rsidP="00387142">
            <w:pPr>
              <w:rPr>
                <w:bCs/>
                <w:color w:val="000000"/>
                <w:sz w:val="20"/>
                <w:szCs w:val="20"/>
              </w:rPr>
            </w:pP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14:paraId="5A1C17D4" w14:textId="77777777" w:rsidR="00387142" w:rsidRPr="008B6A75" w:rsidRDefault="00387142" w:rsidP="00387142">
            <w:pPr>
              <w:jc w:val="center"/>
              <w:rPr>
                <w:color w:val="000000"/>
                <w:sz w:val="20"/>
                <w:szCs w:val="20"/>
              </w:rPr>
            </w:pPr>
            <w:r w:rsidRPr="008B6A75">
              <w:rPr>
                <w:color w:val="000000"/>
                <w:sz w:val="20"/>
                <w:szCs w:val="20"/>
              </w:rPr>
              <w:t>на реализацию мероприятий МП "Развитие автомобильных дорог местного значения в Куйбышевском районе "</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02CB126F" w14:textId="77777777" w:rsidR="00387142" w:rsidRPr="008B6A75" w:rsidRDefault="00387142" w:rsidP="00387142">
            <w:pPr>
              <w:jc w:val="center"/>
              <w:rPr>
                <w:color w:val="000000"/>
                <w:sz w:val="20"/>
                <w:szCs w:val="20"/>
              </w:rPr>
            </w:pPr>
            <w:r w:rsidRPr="008B6A75">
              <w:rPr>
                <w:color w:val="000000"/>
                <w:sz w:val="20"/>
                <w:szCs w:val="20"/>
              </w:rPr>
              <w:t xml:space="preserve">на реализацию мероприятий по программе «Развитие культуры в Куйбышевском районе» </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438EEDD0" w14:textId="77777777" w:rsidR="00387142" w:rsidRPr="008B6A75" w:rsidRDefault="00387142" w:rsidP="00387142">
            <w:pPr>
              <w:jc w:val="center"/>
              <w:rPr>
                <w:color w:val="000000"/>
                <w:sz w:val="20"/>
                <w:szCs w:val="20"/>
              </w:rPr>
            </w:pPr>
            <w:r w:rsidRPr="008B6A75">
              <w:rPr>
                <w:color w:val="000000"/>
                <w:sz w:val="20"/>
                <w:szCs w:val="20"/>
              </w:rPr>
              <w:t>на реализацию мероприятий по подпрограмме «Безопасность жилищно-коммунального хозяйства Куйбышевского района»</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14:paraId="5D4614F6" w14:textId="77777777" w:rsidR="00387142" w:rsidRPr="008B6A75" w:rsidRDefault="00387142" w:rsidP="00387142">
            <w:pPr>
              <w:jc w:val="center"/>
              <w:rPr>
                <w:color w:val="000000"/>
                <w:sz w:val="20"/>
                <w:szCs w:val="20"/>
              </w:rPr>
            </w:pPr>
            <w:r w:rsidRPr="008B6A75">
              <w:rPr>
                <w:color w:val="000000"/>
                <w:sz w:val="20"/>
                <w:szCs w:val="20"/>
              </w:rPr>
              <w:t xml:space="preserve">на реализацию мероприятий по формированию комфортной городской среды подпрограммы «Благоустройство территорий населенных пунктов» ГП НПО «ЖКХ НСО» (благоустройство </w:t>
            </w:r>
            <w:r w:rsidRPr="008B6A75">
              <w:rPr>
                <w:color w:val="000000"/>
                <w:sz w:val="20"/>
                <w:szCs w:val="20"/>
              </w:rPr>
              <w:lastRenderedPageBreak/>
              <w:t>общественных пространств населенных пунктов Новосибирской области)</w:t>
            </w:r>
          </w:p>
        </w:tc>
        <w:tc>
          <w:tcPr>
            <w:tcW w:w="1215" w:type="dxa"/>
            <w:vMerge w:val="restart"/>
            <w:tcBorders>
              <w:top w:val="nil"/>
              <w:left w:val="single" w:sz="4" w:space="0" w:color="auto"/>
              <w:bottom w:val="single" w:sz="4" w:space="0" w:color="auto"/>
              <w:right w:val="single" w:sz="4" w:space="0" w:color="auto"/>
            </w:tcBorders>
            <w:shd w:val="clear" w:color="auto" w:fill="auto"/>
            <w:vAlign w:val="center"/>
            <w:hideMark/>
          </w:tcPr>
          <w:p w14:paraId="649F0E63" w14:textId="77777777" w:rsidR="00387142" w:rsidRPr="008B6A75" w:rsidRDefault="00387142" w:rsidP="00387142">
            <w:pPr>
              <w:jc w:val="center"/>
              <w:rPr>
                <w:color w:val="000000"/>
                <w:sz w:val="20"/>
                <w:szCs w:val="20"/>
              </w:rPr>
            </w:pPr>
            <w:r w:rsidRPr="008B6A75">
              <w:rPr>
                <w:color w:val="000000"/>
                <w:sz w:val="20"/>
                <w:szCs w:val="20"/>
              </w:rPr>
              <w:lastRenderedPageBreak/>
              <w:t>на реализацию мероприятий МП "Развитие физической культуры и спорта в Куйбышевском районе Новосибирской области"</w:t>
            </w:r>
          </w:p>
        </w:tc>
        <w:tc>
          <w:tcPr>
            <w:tcW w:w="769" w:type="dxa"/>
            <w:vMerge w:val="restart"/>
            <w:tcBorders>
              <w:top w:val="nil"/>
              <w:left w:val="single" w:sz="4" w:space="0" w:color="auto"/>
              <w:bottom w:val="single" w:sz="4" w:space="0" w:color="000000"/>
              <w:right w:val="single" w:sz="4" w:space="0" w:color="auto"/>
            </w:tcBorders>
            <w:shd w:val="clear" w:color="auto" w:fill="auto"/>
            <w:vAlign w:val="center"/>
            <w:hideMark/>
          </w:tcPr>
          <w:p w14:paraId="44F7D0D1" w14:textId="77777777" w:rsidR="00387142" w:rsidRPr="008B6A75" w:rsidRDefault="00387142" w:rsidP="00387142">
            <w:pPr>
              <w:jc w:val="center"/>
              <w:rPr>
                <w:color w:val="000000"/>
                <w:sz w:val="20"/>
                <w:szCs w:val="20"/>
              </w:rPr>
            </w:pPr>
            <w:r w:rsidRPr="008B6A75">
              <w:rPr>
                <w:color w:val="000000"/>
                <w:sz w:val="20"/>
                <w:szCs w:val="20"/>
              </w:rPr>
              <w:t>на реализацию мероприятий МП "Патриотическое воспитание граждан в Куйбышевском районе"</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14:paraId="7212CE7F" w14:textId="77777777" w:rsidR="00387142" w:rsidRPr="008B6A75" w:rsidRDefault="00387142" w:rsidP="00387142">
            <w:pPr>
              <w:jc w:val="center"/>
              <w:rPr>
                <w:color w:val="000000"/>
                <w:sz w:val="20"/>
                <w:szCs w:val="20"/>
              </w:rPr>
            </w:pPr>
            <w:r w:rsidRPr="008B6A75">
              <w:rPr>
                <w:color w:val="000000"/>
                <w:sz w:val="20"/>
                <w:szCs w:val="20"/>
              </w:rPr>
              <w:t>на реализацию мероприятий муниципальной программы "Развитие молодёжной политики в Куйбышевском районе Новосибирской области"</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14:paraId="5688BF8B" w14:textId="77777777" w:rsidR="00387142" w:rsidRPr="008B6A75" w:rsidRDefault="00387142" w:rsidP="00387142">
            <w:pPr>
              <w:jc w:val="center"/>
              <w:rPr>
                <w:color w:val="000000"/>
                <w:sz w:val="20"/>
                <w:szCs w:val="20"/>
              </w:rPr>
            </w:pPr>
            <w:r w:rsidRPr="008B6A75">
              <w:rPr>
                <w:color w:val="000000"/>
                <w:sz w:val="20"/>
                <w:szCs w:val="20"/>
              </w:rPr>
              <w:t>на реализацию мероприятий МП "Комплексные меры профилактики наркомании в Куйбышевском районе"</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14:paraId="5729166E" w14:textId="77777777" w:rsidR="00387142" w:rsidRPr="008B6A75" w:rsidRDefault="00387142" w:rsidP="00387142">
            <w:pPr>
              <w:jc w:val="center"/>
              <w:rPr>
                <w:color w:val="000000"/>
                <w:sz w:val="20"/>
                <w:szCs w:val="20"/>
              </w:rPr>
            </w:pPr>
            <w:r w:rsidRPr="008B6A75">
              <w:rPr>
                <w:color w:val="000000"/>
                <w:sz w:val="20"/>
                <w:szCs w:val="20"/>
              </w:rPr>
              <w:t xml:space="preserve">на реализацию мероприятий по </w:t>
            </w:r>
            <w:proofErr w:type="gramStart"/>
            <w:r w:rsidRPr="008B6A75">
              <w:rPr>
                <w:color w:val="000000"/>
                <w:sz w:val="20"/>
                <w:szCs w:val="20"/>
              </w:rPr>
              <w:t>МП  "</w:t>
            </w:r>
            <w:proofErr w:type="gramEnd"/>
            <w:r w:rsidRPr="008B6A75">
              <w:rPr>
                <w:color w:val="000000"/>
                <w:sz w:val="20"/>
                <w:szCs w:val="20"/>
              </w:rPr>
              <w:t>Комплексное развитие сельских территорий в Куйбышевском районе"</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14:paraId="5E4E591E" w14:textId="77777777" w:rsidR="00387142" w:rsidRPr="008B6A75" w:rsidRDefault="00387142" w:rsidP="00387142">
            <w:pPr>
              <w:jc w:val="center"/>
              <w:rPr>
                <w:color w:val="000000"/>
                <w:sz w:val="20"/>
                <w:szCs w:val="20"/>
              </w:rPr>
            </w:pPr>
            <w:r w:rsidRPr="008B6A75">
              <w:rPr>
                <w:color w:val="000000"/>
                <w:sz w:val="20"/>
                <w:szCs w:val="20"/>
              </w:rPr>
              <w:t xml:space="preserve">на осуществление полномочий </w:t>
            </w:r>
            <w:proofErr w:type="gramStart"/>
            <w:r w:rsidRPr="008B6A75">
              <w:rPr>
                <w:color w:val="000000"/>
                <w:sz w:val="20"/>
                <w:szCs w:val="20"/>
              </w:rPr>
              <w:t>ОМСУ  на</w:t>
            </w:r>
            <w:proofErr w:type="gramEnd"/>
            <w:r w:rsidRPr="008B6A75">
              <w:rPr>
                <w:color w:val="000000"/>
                <w:sz w:val="20"/>
                <w:szCs w:val="20"/>
              </w:rPr>
              <w:t xml:space="preserve"> решение вопросов местного значения</w:t>
            </w:r>
          </w:p>
        </w:tc>
        <w:tc>
          <w:tcPr>
            <w:tcW w:w="567"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7EBDC7F5" w14:textId="77777777" w:rsidR="00387142" w:rsidRPr="008B6A75" w:rsidRDefault="00387142" w:rsidP="00387142">
            <w:pPr>
              <w:jc w:val="center"/>
              <w:rPr>
                <w:color w:val="000000"/>
                <w:sz w:val="20"/>
                <w:szCs w:val="20"/>
              </w:rPr>
            </w:pPr>
            <w:r w:rsidRPr="008B6A75">
              <w:rPr>
                <w:color w:val="000000"/>
                <w:sz w:val="20"/>
                <w:szCs w:val="20"/>
              </w:rPr>
              <w:t>на реализацию мероприятий МП "Охрана окружающей среды Куйбышевского района Новосибирской обл</w:t>
            </w:r>
            <w:r w:rsidRPr="008B6A75">
              <w:rPr>
                <w:color w:val="000000"/>
                <w:sz w:val="20"/>
                <w:szCs w:val="20"/>
              </w:rPr>
              <w:lastRenderedPageBreak/>
              <w:t>асти"</w:t>
            </w:r>
          </w:p>
        </w:tc>
        <w:tc>
          <w:tcPr>
            <w:tcW w:w="568"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51AD1011" w14:textId="77777777" w:rsidR="00387142" w:rsidRPr="008B6A75" w:rsidRDefault="00387142" w:rsidP="00387142">
            <w:pPr>
              <w:jc w:val="center"/>
              <w:rPr>
                <w:color w:val="000000"/>
                <w:sz w:val="20"/>
                <w:szCs w:val="20"/>
              </w:rPr>
            </w:pPr>
            <w:r w:rsidRPr="008B6A75">
              <w:rPr>
                <w:color w:val="000000"/>
                <w:sz w:val="20"/>
                <w:szCs w:val="20"/>
              </w:rPr>
              <w:lastRenderedPageBreak/>
              <w:t>на реализацию мероприятий подпрограммы "Благоустройство территории населённых пунктов Куй</w:t>
            </w:r>
            <w:r w:rsidRPr="008B6A75">
              <w:rPr>
                <w:color w:val="000000"/>
                <w:sz w:val="20"/>
                <w:szCs w:val="20"/>
              </w:rPr>
              <w:lastRenderedPageBreak/>
              <w:t>бышевского района"</w:t>
            </w:r>
          </w:p>
        </w:tc>
        <w:tc>
          <w:tcPr>
            <w:tcW w:w="566"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774E44FF" w14:textId="77777777" w:rsidR="00387142" w:rsidRPr="008B6A75" w:rsidRDefault="00387142" w:rsidP="00387142">
            <w:pPr>
              <w:jc w:val="center"/>
              <w:rPr>
                <w:color w:val="000000"/>
                <w:sz w:val="20"/>
                <w:szCs w:val="20"/>
              </w:rPr>
            </w:pPr>
            <w:r w:rsidRPr="008B6A75">
              <w:rPr>
                <w:color w:val="000000"/>
                <w:sz w:val="20"/>
                <w:szCs w:val="20"/>
              </w:rPr>
              <w:lastRenderedPageBreak/>
              <w:t xml:space="preserve">на реализацию мероприятий </w:t>
            </w:r>
            <w:proofErr w:type="gramStart"/>
            <w:r w:rsidRPr="008B6A75">
              <w:rPr>
                <w:color w:val="000000"/>
                <w:sz w:val="20"/>
                <w:szCs w:val="20"/>
              </w:rPr>
              <w:t>по  МП</w:t>
            </w:r>
            <w:proofErr w:type="gramEnd"/>
            <w:r w:rsidRPr="008B6A75">
              <w:rPr>
                <w:color w:val="000000"/>
                <w:sz w:val="20"/>
                <w:szCs w:val="20"/>
              </w:rPr>
              <w:t xml:space="preserve">  "Профилактика правонарушений, терроризма и экстремизма Куйбышев</w:t>
            </w:r>
            <w:r w:rsidRPr="008B6A75">
              <w:rPr>
                <w:color w:val="000000"/>
                <w:sz w:val="20"/>
                <w:szCs w:val="20"/>
              </w:rPr>
              <w:lastRenderedPageBreak/>
              <w:t>ского муниципального района Новосибирской области"</w:t>
            </w:r>
          </w:p>
        </w:tc>
        <w:tc>
          <w:tcPr>
            <w:tcW w:w="709"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10B9EF43" w14:textId="77777777" w:rsidR="00387142" w:rsidRPr="008B6A75" w:rsidRDefault="00387142" w:rsidP="00387142">
            <w:pPr>
              <w:jc w:val="center"/>
              <w:rPr>
                <w:color w:val="000000"/>
                <w:sz w:val="20"/>
                <w:szCs w:val="20"/>
              </w:rPr>
            </w:pPr>
            <w:r w:rsidRPr="008B6A75">
              <w:rPr>
                <w:color w:val="000000"/>
                <w:sz w:val="20"/>
                <w:szCs w:val="20"/>
              </w:rPr>
              <w:lastRenderedPageBreak/>
              <w:t xml:space="preserve">на реализацию мероприятий </w:t>
            </w:r>
            <w:proofErr w:type="gramStart"/>
            <w:r w:rsidRPr="008B6A75">
              <w:rPr>
                <w:color w:val="000000"/>
                <w:sz w:val="20"/>
                <w:szCs w:val="20"/>
              </w:rPr>
              <w:t>по  МП</w:t>
            </w:r>
            <w:proofErr w:type="gramEnd"/>
            <w:r w:rsidRPr="008B6A75">
              <w:rPr>
                <w:color w:val="000000"/>
                <w:sz w:val="20"/>
                <w:szCs w:val="20"/>
              </w:rPr>
              <w:t xml:space="preserve">  "Содействие занятости населения Куйбышевского района"</w:t>
            </w:r>
          </w:p>
        </w:tc>
        <w:tc>
          <w:tcPr>
            <w:tcW w:w="85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81CA44C" w14:textId="77777777" w:rsidR="00387142" w:rsidRPr="008B6A75" w:rsidRDefault="00387142" w:rsidP="00387142">
            <w:pPr>
              <w:jc w:val="center"/>
              <w:rPr>
                <w:sz w:val="20"/>
                <w:szCs w:val="20"/>
              </w:rPr>
            </w:pPr>
            <w:r w:rsidRPr="008B6A75">
              <w:rPr>
                <w:sz w:val="20"/>
                <w:szCs w:val="20"/>
              </w:rPr>
              <w:t>Резервные фонды местного бюджета</w:t>
            </w:r>
          </w:p>
        </w:tc>
        <w:tc>
          <w:tcPr>
            <w:tcW w:w="851"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DD7D1FA" w14:textId="77777777" w:rsidR="00387142" w:rsidRPr="008B6A75" w:rsidRDefault="00387142" w:rsidP="00387142">
            <w:pPr>
              <w:jc w:val="center"/>
              <w:rPr>
                <w:sz w:val="20"/>
                <w:szCs w:val="20"/>
              </w:rPr>
            </w:pPr>
            <w:r w:rsidRPr="008B6A75">
              <w:rPr>
                <w:sz w:val="20"/>
                <w:szCs w:val="20"/>
              </w:rPr>
              <w:t>Реализация мероприятий муниципальной программы «Обеспечение безопасности жизнедеятельности населения Куйбышевского района»</w:t>
            </w:r>
          </w:p>
        </w:tc>
      </w:tr>
      <w:tr w:rsidR="00387142" w:rsidRPr="008B6A75" w14:paraId="096E2451" w14:textId="77777777" w:rsidTr="00387142">
        <w:trPr>
          <w:trHeight w:val="1110"/>
        </w:trPr>
        <w:tc>
          <w:tcPr>
            <w:tcW w:w="425" w:type="dxa"/>
            <w:vMerge/>
            <w:tcBorders>
              <w:top w:val="nil"/>
              <w:left w:val="single" w:sz="4" w:space="0" w:color="auto"/>
              <w:bottom w:val="single" w:sz="4" w:space="0" w:color="000000"/>
              <w:right w:val="single" w:sz="4" w:space="0" w:color="auto"/>
            </w:tcBorders>
            <w:vAlign w:val="center"/>
            <w:hideMark/>
          </w:tcPr>
          <w:p w14:paraId="11A3CC68" w14:textId="77777777" w:rsidR="00387142" w:rsidRPr="008B6A75" w:rsidRDefault="00387142" w:rsidP="00387142">
            <w:pPr>
              <w:rPr>
                <w:color w:val="000000"/>
                <w:sz w:val="20"/>
                <w:szCs w:val="20"/>
              </w:rPr>
            </w:pPr>
          </w:p>
        </w:tc>
        <w:tc>
          <w:tcPr>
            <w:tcW w:w="426" w:type="dxa"/>
            <w:vMerge/>
            <w:tcBorders>
              <w:top w:val="nil"/>
              <w:left w:val="single" w:sz="4" w:space="0" w:color="auto"/>
              <w:bottom w:val="single" w:sz="4" w:space="0" w:color="000000"/>
              <w:right w:val="single" w:sz="4" w:space="0" w:color="auto"/>
            </w:tcBorders>
            <w:vAlign w:val="center"/>
            <w:hideMark/>
          </w:tcPr>
          <w:p w14:paraId="53E55C44" w14:textId="77777777" w:rsidR="00387142" w:rsidRPr="008B6A75" w:rsidRDefault="00387142" w:rsidP="00387142">
            <w:pPr>
              <w:rPr>
                <w:color w:val="000000"/>
                <w:sz w:val="20"/>
                <w:szCs w:val="20"/>
              </w:rPr>
            </w:pPr>
          </w:p>
        </w:tc>
        <w:tc>
          <w:tcPr>
            <w:tcW w:w="567" w:type="dxa"/>
            <w:vMerge/>
            <w:tcBorders>
              <w:top w:val="nil"/>
              <w:left w:val="single" w:sz="4" w:space="0" w:color="auto"/>
              <w:bottom w:val="single" w:sz="4" w:space="0" w:color="000000"/>
              <w:right w:val="single" w:sz="4" w:space="0" w:color="000000"/>
            </w:tcBorders>
            <w:vAlign w:val="center"/>
            <w:hideMark/>
          </w:tcPr>
          <w:p w14:paraId="2111762B" w14:textId="77777777" w:rsidR="00387142" w:rsidRPr="008B6A75" w:rsidRDefault="00387142" w:rsidP="00387142">
            <w:pPr>
              <w:rPr>
                <w:bCs/>
                <w:color w:val="000000"/>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14:paraId="35EF24D1" w14:textId="77777777" w:rsidR="00387142" w:rsidRPr="008B6A75" w:rsidRDefault="00387142" w:rsidP="00387142">
            <w:pPr>
              <w:rPr>
                <w:color w:val="00000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14:paraId="32642D8F" w14:textId="77777777" w:rsidR="00387142" w:rsidRPr="008B6A75" w:rsidRDefault="00387142" w:rsidP="00387142">
            <w:pPr>
              <w:rPr>
                <w:color w:val="00000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14:paraId="4834934D" w14:textId="77777777" w:rsidR="00387142" w:rsidRPr="008B6A75" w:rsidRDefault="00387142" w:rsidP="00387142">
            <w:pPr>
              <w:rPr>
                <w:color w:val="000000"/>
                <w:sz w:val="20"/>
                <w:szCs w:val="20"/>
              </w:rPr>
            </w:pPr>
          </w:p>
        </w:tc>
        <w:tc>
          <w:tcPr>
            <w:tcW w:w="851" w:type="dxa"/>
            <w:vMerge/>
            <w:tcBorders>
              <w:top w:val="nil"/>
              <w:left w:val="single" w:sz="4" w:space="0" w:color="auto"/>
              <w:bottom w:val="single" w:sz="4" w:space="0" w:color="000000"/>
              <w:right w:val="single" w:sz="4" w:space="0" w:color="auto"/>
            </w:tcBorders>
            <w:vAlign w:val="center"/>
            <w:hideMark/>
          </w:tcPr>
          <w:p w14:paraId="2403CE56" w14:textId="77777777" w:rsidR="00387142" w:rsidRPr="008B6A75" w:rsidRDefault="00387142" w:rsidP="00387142">
            <w:pPr>
              <w:rPr>
                <w:color w:val="000000"/>
                <w:sz w:val="20"/>
                <w:szCs w:val="20"/>
              </w:rPr>
            </w:pPr>
          </w:p>
        </w:tc>
        <w:tc>
          <w:tcPr>
            <w:tcW w:w="1215" w:type="dxa"/>
            <w:vMerge/>
            <w:tcBorders>
              <w:top w:val="nil"/>
              <w:left w:val="single" w:sz="4" w:space="0" w:color="auto"/>
              <w:bottom w:val="single" w:sz="4" w:space="0" w:color="auto"/>
              <w:right w:val="single" w:sz="4" w:space="0" w:color="auto"/>
            </w:tcBorders>
            <w:vAlign w:val="center"/>
            <w:hideMark/>
          </w:tcPr>
          <w:p w14:paraId="410F7928" w14:textId="77777777" w:rsidR="00387142" w:rsidRPr="008B6A75" w:rsidRDefault="00387142" w:rsidP="00387142">
            <w:pPr>
              <w:rPr>
                <w:color w:val="000000"/>
                <w:sz w:val="20"/>
                <w:szCs w:val="20"/>
              </w:rPr>
            </w:pPr>
          </w:p>
        </w:tc>
        <w:tc>
          <w:tcPr>
            <w:tcW w:w="769" w:type="dxa"/>
            <w:vMerge/>
            <w:tcBorders>
              <w:top w:val="nil"/>
              <w:left w:val="single" w:sz="4" w:space="0" w:color="auto"/>
              <w:bottom w:val="single" w:sz="4" w:space="0" w:color="000000"/>
              <w:right w:val="single" w:sz="4" w:space="0" w:color="auto"/>
            </w:tcBorders>
            <w:vAlign w:val="center"/>
            <w:hideMark/>
          </w:tcPr>
          <w:p w14:paraId="09A7CB0D" w14:textId="77777777" w:rsidR="00387142" w:rsidRPr="008B6A75" w:rsidRDefault="00387142" w:rsidP="00387142">
            <w:pPr>
              <w:rPr>
                <w:color w:val="000000"/>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14:paraId="05256B32" w14:textId="77777777" w:rsidR="00387142" w:rsidRPr="008B6A75" w:rsidRDefault="00387142" w:rsidP="00387142">
            <w:pPr>
              <w:rPr>
                <w:color w:val="00000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14:paraId="078E1CDB" w14:textId="77777777" w:rsidR="00387142" w:rsidRPr="008B6A75" w:rsidRDefault="00387142" w:rsidP="00387142">
            <w:pPr>
              <w:rPr>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14:paraId="71F5C02B" w14:textId="77777777" w:rsidR="00387142" w:rsidRPr="008B6A75" w:rsidRDefault="00387142" w:rsidP="00387142">
            <w:pPr>
              <w:rPr>
                <w:color w:val="000000"/>
                <w:sz w:val="20"/>
                <w:szCs w:val="20"/>
              </w:rPr>
            </w:pPr>
          </w:p>
        </w:tc>
        <w:tc>
          <w:tcPr>
            <w:tcW w:w="851" w:type="dxa"/>
            <w:vMerge/>
            <w:tcBorders>
              <w:top w:val="nil"/>
              <w:left w:val="single" w:sz="4" w:space="0" w:color="auto"/>
              <w:bottom w:val="single" w:sz="4" w:space="0" w:color="000000"/>
              <w:right w:val="single" w:sz="4" w:space="0" w:color="auto"/>
            </w:tcBorders>
            <w:vAlign w:val="center"/>
            <w:hideMark/>
          </w:tcPr>
          <w:p w14:paraId="7BDA1DD0" w14:textId="77777777" w:rsidR="00387142" w:rsidRPr="008B6A75" w:rsidRDefault="00387142" w:rsidP="00387142">
            <w:pPr>
              <w:rPr>
                <w:color w:val="000000"/>
                <w:sz w:val="20"/>
                <w:szCs w:val="20"/>
              </w:rPr>
            </w:pPr>
          </w:p>
        </w:tc>
        <w:tc>
          <w:tcPr>
            <w:tcW w:w="567" w:type="dxa"/>
            <w:gridSpan w:val="2"/>
            <w:vMerge/>
            <w:tcBorders>
              <w:top w:val="nil"/>
              <w:left w:val="single" w:sz="4" w:space="0" w:color="auto"/>
              <w:bottom w:val="single" w:sz="4" w:space="0" w:color="000000"/>
              <w:right w:val="single" w:sz="4" w:space="0" w:color="auto"/>
            </w:tcBorders>
            <w:vAlign w:val="center"/>
            <w:hideMark/>
          </w:tcPr>
          <w:p w14:paraId="79B6BFDA" w14:textId="77777777" w:rsidR="00387142" w:rsidRPr="008B6A75" w:rsidRDefault="00387142" w:rsidP="00387142">
            <w:pPr>
              <w:rPr>
                <w:color w:val="000000"/>
                <w:sz w:val="20"/>
                <w:szCs w:val="20"/>
              </w:rPr>
            </w:pPr>
          </w:p>
        </w:tc>
        <w:tc>
          <w:tcPr>
            <w:tcW w:w="568" w:type="dxa"/>
            <w:gridSpan w:val="2"/>
            <w:vMerge/>
            <w:tcBorders>
              <w:top w:val="nil"/>
              <w:left w:val="single" w:sz="4" w:space="0" w:color="auto"/>
              <w:bottom w:val="single" w:sz="4" w:space="0" w:color="000000"/>
              <w:right w:val="single" w:sz="4" w:space="0" w:color="auto"/>
            </w:tcBorders>
            <w:vAlign w:val="center"/>
            <w:hideMark/>
          </w:tcPr>
          <w:p w14:paraId="72EB01CF" w14:textId="77777777" w:rsidR="00387142" w:rsidRPr="008B6A75" w:rsidRDefault="00387142" w:rsidP="00387142">
            <w:pPr>
              <w:rPr>
                <w:color w:val="000000"/>
                <w:sz w:val="20"/>
                <w:szCs w:val="20"/>
              </w:rPr>
            </w:pPr>
          </w:p>
        </w:tc>
        <w:tc>
          <w:tcPr>
            <w:tcW w:w="566" w:type="dxa"/>
            <w:gridSpan w:val="2"/>
            <w:vMerge/>
            <w:tcBorders>
              <w:top w:val="nil"/>
              <w:left w:val="single" w:sz="4" w:space="0" w:color="auto"/>
              <w:bottom w:val="single" w:sz="4" w:space="0" w:color="000000"/>
              <w:right w:val="single" w:sz="4" w:space="0" w:color="auto"/>
            </w:tcBorders>
            <w:vAlign w:val="center"/>
            <w:hideMark/>
          </w:tcPr>
          <w:p w14:paraId="3CB14687" w14:textId="77777777" w:rsidR="00387142" w:rsidRPr="008B6A75" w:rsidRDefault="00387142" w:rsidP="00387142">
            <w:pPr>
              <w:rPr>
                <w:color w:val="000000"/>
                <w:sz w:val="20"/>
                <w:szCs w:val="20"/>
              </w:rPr>
            </w:pPr>
          </w:p>
        </w:tc>
        <w:tc>
          <w:tcPr>
            <w:tcW w:w="709" w:type="dxa"/>
            <w:gridSpan w:val="2"/>
            <w:vMerge/>
            <w:tcBorders>
              <w:top w:val="nil"/>
              <w:left w:val="single" w:sz="4" w:space="0" w:color="auto"/>
              <w:bottom w:val="single" w:sz="4" w:space="0" w:color="000000"/>
              <w:right w:val="single" w:sz="4" w:space="0" w:color="auto"/>
            </w:tcBorders>
            <w:vAlign w:val="center"/>
            <w:hideMark/>
          </w:tcPr>
          <w:p w14:paraId="77EB8B45" w14:textId="77777777" w:rsidR="00387142" w:rsidRPr="008B6A75" w:rsidRDefault="00387142" w:rsidP="00387142">
            <w:pPr>
              <w:rPr>
                <w:color w:val="00000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14:paraId="224ADB4B" w14:textId="77777777" w:rsidR="00387142" w:rsidRPr="008B6A75" w:rsidRDefault="00387142" w:rsidP="00387142">
            <w:pPr>
              <w:rPr>
                <w:sz w:val="20"/>
                <w:szCs w:val="20"/>
              </w:rPr>
            </w:pPr>
          </w:p>
        </w:tc>
        <w:tc>
          <w:tcPr>
            <w:tcW w:w="851" w:type="dxa"/>
            <w:vMerge/>
            <w:tcBorders>
              <w:top w:val="nil"/>
              <w:left w:val="single" w:sz="4" w:space="0" w:color="auto"/>
              <w:bottom w:val="single" w:sz="4" w:space="0" w:color="000000"/>
              <w:right w:val="single" w:sz="4" w:space="0" w:color="auto"/>
            </w:tcBorders>
            <w:vAlign w:val="center"/>
            <w:hideMark/>
          </w:tcPr>
          <w:p w14:paraId="2CCB7E3A" w14:textId="77777777" w:rsidR="00387142" w:rsidRPr="008B6A75" w:rsidRDefault="00387142" w:rsidP="00387142">
            <w:pPr>
              <w:rPr>
                <w:sz w:val="20"/>
                <w:szCs w:val="20"/>
              </w:rPr>
            </w:pPr>
          </w:p>
        </w:tc>
        <w:tc>
          <w:tcPr>
            <w:tcW w:w="553" w:type="dxa"/>
            <w:gridSpan w:val="2"/>
            <w:tcBorders>
              <w:top w:val="nil"/>
              <w:left w:val="nil"/>
              <w:bottom w:val="nil"/>
              <w:right w:val="nil"/>
            </w:tcBorders>
            <w:shd w:val="clear" w:color="auto" w:fill="auto"/>
            <w:noWrap/>
            <w:vAlign w:val="bottom"/>
            <w:hideMark/>
          </w:tcPr>
          <w:p w14:paraId="15B63078" w14:textId="77777777" w:rsidR="00387142" w:rsidRPr="008B6A75" w:rsidRDefault="00387142" w:rsidP="00387142">
            <w:pPr>
              <w:jc w:val="center"/>
              <w:rPr>
                <w:sz w:val="20"/>
                <w:szCs w:val="20"/>
              </w:rPr>
            </w:pPr>
          </w:p>
        </w:tc>
      </w:tr>
      <w:tr w:rsidR="00387142" w:rsidRPr="008B6A75" w14:paraId="751A4D36" w14:textId="77777777" w:rsidTr="00387142">
        <w:trPr>
          <w:trHeight w:val="300"/>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14:paraId="6173FE28" w14:textId="77777777" w:rsidR="00387142" w:rsidRPr="008B6A75" w:rsidRDefault="00387142" w:rsidP="00387142">
            <w:pPr>
              <w:jc w:val="right"/>
              <w:rPr>
                <w:color w:val="000000"/>
                <w:sz w:val="20"/>
                <w:szCs w:val="20"/>
              </w:rPr>
            </w:pPr>
            <w:r w:rsidRPr="008B6A75">
              <w:rPr>
                <w:color w:val="000000"/>
                <w:sz w:val="20"/>
                <w:szCs w:val="20"/>
              </w:rPr>
              <w:t>1</w:t>
            </w:r>
          </w:p>
        </w:tc>
        <w:tc>
          <w:tcPr>
            <w:tcW w:w="426" w:type="dxa"/>
            <w:tcBorders>
              <w:top w:val="nil"/>
              <w:left w:val="nil"/>
              <w:bottom w:val="single" w:sz="4" w:space="0" w:color="auto"/>
              <w:right w:val="single" w:sz="4" w:space="0" w:color="auto"/>
            </w:tcBorders>
            <w:shd w:val="clear" w:color="auto" w:fill="auto"/>
            <w:noWrap/>
            <w:vAlign w:val="bottom"/>
            <w:hideMark/>
          </w:tcPr>
          <w:p w14:paraId="39EA305B" w14:textId="77777777" w:rsidR="00387142" w:rsidRPr="008B6A75" w:rsidRDefault="00387142" w:rsidP="00387142">
            <w:pPr>
              <w:rPr>
                <w:color w:val="000000"/>
                <w:sz w:val="20"/>
                <w:szCs w:val="20"/>
              </w:rPr>
            </w:pPr>
            <w:proofErr w:type="spellStart"/>
            <w:r w:rsidRPr="008B6A75">
              <w:rPr>
                <w:color w:val="000000"/>
                <w:sz w:val="20"/>
                <w:szCs w:val="20"/>
              </w:rPr>
              <w:t>Абрамовский</w:t>
            </w:r>
            <w:proofErr w:type="spellEnd"/>
          </w:p>
        </w:tc>
        <w:tc>
          <w:tcPr>
            <w:tcW w:w="567" w:type="dxa"/>
            <w:tcBorders>
              <w:top w:val="nil"/>
              <w:left w:val="nil"/>
              <w:bottom w:val="single" w:sz="4" w:space="0" w:color="auto"/>
              <w:right w:val="single" w:sz="4" w:space="0" w:color="auto"/>
            </w:tcBorders>
            <w:shd w:val="clear" w:color="auto" w:fill="auto"/>
            <w:noWrap/>
            <w:vAlign w:val="bottom"/>
            <w:hideMark/>
          </w:tcPr>
          <w:p w14:paraId="684DD525" w14:textId="77777777" w:rsidR="00387142" w:rsidRPr="008B6A75" w:rsidRDefault="00387142" w:rsidP="00387142">
            <w:pPr>
              <w:jc w:val="right"/>
              <w:rPr>
                <w:bCs/>
                <w:color w:val="000000"/>
                <w:sz w:val="20"/>
                <w:szCs w:val="20"/>
              </w:rPr>
            </w:pPr>
            <w:r w:rsidRPr="008B6A75">
              <w:rPr>
                <w:bCs/>
                <w:color w:val="000000"/>
                <w:sz w:val="20"/>
                <w:szCs w:val="20"/>
              </w:rPr>
              <w:t>3 609 833,71</w:t>
            </w:r>
          </w:p>
        </w:tc>
        <w:tc>
          <w:tcPr>
            <w:tcW w:w="850" w:type="dxa"/>
            <w:tcBorders>
              <w:top w:val="nil"/>
              <w:left w:val="nil"/>
              <w:bottom w:val="single" w:sz="4" w:space="0" w:color="auto"/>
              <w:right w:val="single" w:sz="4" w:space="0" w:color="auto"/>
            </w:tcBorders>
            <w:shd w:val="clear" w:color="auto" w:fill="auto"/>
            <w:noWrap/>
            <w:vAlign w:val="bottom"/>
            <w:hideMark/>
          </w:tcPr>
          <w:p w14:paraId="0CF6CE3A" w14:textId="77777777" w:rsidR="00387142" w:rsidRPr="008B6A75" w:rsidRDefault="00387142" w:rsidP="00387142">
            <w:pPr>
              <w:jc w:val="right"/>
              <w:rPr>
                <w:color w:val="000000"/>
                <w:sz w:val="20"/>
                <w:szCs w:val="20"/>
              </w:rPr>
            </w:pPr>
            <w:r w:rsidRPr="008B6A75">
              <w:rPr>
                <w:color w:val="000000"/>
                <w:sz w:val="20"/>
                <w:szCs w:val="20"/>
              </w:rPr>
              <w:t>3 001 200,00</w:t>
            </w:r>
          </w:p>
        </w:tc>
        <w:tc>
          <w:tcPr>
            <w:tcW w:w="1134" w:type="dxa"/>
            <w:tcBorders>
              <w:top w:val="nil"/>
              <w:left w:val="nil"/>
              <w:bottom w:val="single" w:sz="4" w:space="0" w:color="auto"/>
              <w:right w:val="single" w:sz="4" w:space="0" w:color="auto"/>
            </w:tcBorders>
            <w:shd w:val="clear" w:color="auto" w:fill="auto"/>
            <w:noWrap/>
            <w:vAlign w:val="bottom"/>
            <w:hideMark/>
          </w:tcPr>
          <w:p w14:paraId="73523C1E" w14:textId="77777777" w:rsidR="00387142" w:rsidRPr="008B6A75" w:rsidRDefault="00387142" w:rsidP="00387142">
            <w:pPr>
              <w:rPr>
                <w:color w:val="000000"/>
                <w:sz w:val="20"/>
                <w:szCs w:val="20"/>
              </w:rPr>
            </w:pPr>
            <w:r w:rsidRPr="008B6A75">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14:paraId="34D93BD1" w14:textId="77777777" w:rsidR="00387142" w:rsidRPr="008B6A75" w:rsidRDefault="00387142" w:rsidP="00387142">
            <w:pPr>
              <w:rPr>
                <w:color w:val="000000"/>
                <w:sz w:val="20"/>
                <w:szCs w:val="20"/>
              </w:rPr>
            </w:pPr>
            <w:r w:rsidRPr="008B6A75">
              <w:rPr>
                <w:color w:val="000000"/>
                <w:sz w:val="20"/>
                <w:szCs w:val="20"/>
              </w:rPr>
              <w:t> </w:t>
            </w:r>
          </w:p>
        </w:tc>
        <w:tc>
          <w:tcPr>
            <w:tcW w:w="851" w:type="dxa"/>
            <w:tcBorders>
              <w:top w:val="nil"/>
              <w:left w:val="nil"/>
              <w:bottom w:val="single" w:sz="4" w:space="0" w:color="auto"/>
              <w:right w:val="single" w:sz="4" w:space="0" w:color="auto"/>
            </w:tcBorders>
            <w:shd w:val="clear" w:color="auto" w:fill="auto"/>
            <w:noWrap/>
            <w:vAlign w:val="bottom"/>
            <w:hideMark/>
          </w:tcPr>
          <w:p w14:paraId="0CD89094" w14:textId="77777777" w:rsidR="00387142" w:rsidRPr="008B6A75" w:rsidRDefault="00387142" w:rsidP="00387142">
            <w:pPr>
              <w:rPr>
                <w:color w:val="000000"/>
                <w:sz w:val="20"/>
                <w:szCs w:val="20"/>
              </w:rPr>
            </w:pPr>
            <w:r w:rsidRPr="008B6A75">
              <w:rPr>
                <w:color w:val="000000"/>
                <w:sz w:val="20"/>
                <w:szCs w:val="20"/>
              </w:rPr>
              <w:t> </w:t>
            </w:r>
          </w:p>
        </w:tc>
        <w:tc>
          <w:tcPr>
            <w:tcW w:w="1215" w:type="dxa"/>
            <w:tcBorders>
              <w:top w:val="nil"/>
              <w:left w:val="nil"/>
              <w:bottom w:val="single" w:sz="4" w:space="0" w:color="auto"/>
              <w:right w:val="single" w:sz="4" w:space="0" w:color="auto"/>
            </w:tcBorders>
            <w:shd w:val="clear" w:color="auto" w:fill="auto"/>
            <w:noWrap/>
            <w:vAlign w:val="bottom"/>
            <w:hideMark/>
          </w:tcPr>
          <w:p w14:paraId="6B2F3476" w14:textId="77777777" w:rsidR="00387142" w:rsidRPr="008B6A75" w:rsidRDefault="00387142" w:rsidP="00387142">
            <w:pPr>
              <w:rPr>
                <w:color w:val="000000"/>
                <w:sz w:val="20"/>
                <w:szCs w:val="20"/>
              </w:rPr>
            </w:pPr>
            <w:r w:rsidRPr="008B6A75">
              <w:rPr>
                <w:color w:val="000000"/>
                <w:sz w:val="20"/>
                <w:szCs w:val="20"/>
              </w:rPr>
              <w:t> </w:t>
            </w:r>
          </w:p>
        </w:tc>
        <w:tc>
          <w:tcPr>
            <w:tcW w:w="769" w:type="dxa"/>
            <w:tcBorders>
              <w:top w:val="nil"/>
              <w:left w:val="nil"/>
              <w:bottom w:val="single" w:sz="4" w:space="0" w:color="auto"/>
              <w:right w:val="single" w:sz="4" w:space="0" w:color="auto"/>
            </w:tcBorders>
            <w:shd w:val="clear" w:color="auto" w:fill="auto"/>
            <w:noWrap/>
            <w:vAlign w:val="bottom"/>
            <w:hideMark/>
          </w:tcPr>
          <w:p w14:paraId="0CFC83A3" w14:textId="77777777" w:rsidR="00387142" w:rsidRPr="008B6A75" w:rsidRDefault="00387142" w:rsidP="00387142">
            <w:pPr>
              <w:rPr>
                <w:color w:val="000000"/>
                <w:sz w:val="20"/>
                <w:szCs w:val="20"/>
              </w:rPr>
            </w:pPr>
            <w:r w:rsidRPr="008B6A75">
              <w:rPr>
                <w:color w:val="000000"/>
                <w:sz w:val="20"/>
                <w:szCs w:val="20"/>
              </w:rPr>
              <w:t> </w:t>
            </w:r>
          </w:p>
        </w:tc>
        <w:tc>
          <w:tcPr>
            <w:tcW w:w="709" w:type="dxa"/>
            <w:tcBorders>
              <w:top w:val="nil"/>
              <w:left w:val="nil"/>
              <w:bottom w:val="single" w:sz="4" w:space="0" w:color="auto"/>
              <w:right w:val="single" w:sz="4" w:space="0" w:color="auto"/>
            </w:tcBorders>
            <w:shd w:val="clear" w:color="auto" w:fill="auto"/>
            <w:noWrap/>
            <w:vAlign w:val="bottom"/>
            <w:hideMark/>
          </w:tcPr>
          <w:p w14:paraId="4E52C5ED" w14:textId="77777777" w:rsidR="00387142" w:rsidRPr="008B6A75" w:rsidRDefault="00387142" w:rsidP="00387142">
            <w:pPr>
              <w:rPr>
                <w:color w:val="000000"/>
                <w:sz w:val="20"/>
                <w:szCs w:val="20"/>
              </w:rPr>
            </w:pPr>
            <w:r w:rsidRPr="008B6A75">
              <w:rPr>
                <w:color w:val="000000"/>
                <w:sz w:val="20"/>
                <w:szCs w:val="20"/>
              </w:rPr>
              <w:t> </w:t>
            </w:r>
          </w:p>
        </w:tc>
        <w:tc>
          <w:tcPr>
            <w:tcW w:w="850" w:type="dxa"/>
            <w:tcBorders>
              <w:top w:val="nil"/>
              <w:left w:val="nil"/>
              <w:bottom w:val="single" w:sz="4" w:space="0" w:color="auto"/>
              <w:right w:val="single" w:sz="4" w:space="0" w:color="auto"/>
            </w:tcBorders>
            <w:shd w:val="clear" w:color="auto" w:fill="auto"/>
            <w:noWrap/>
            <w:vAlign w:val="bottom"/>
            <w:hideMark/>
          </w:tcPr>
          <w:p w14:paraId="587FFA66" w14:textId="77777777" w:rsidR="00387142" w:rsidRPr="008B6A75" w:rsidRDefault="00387142" w:rsidP="00387142">
            <w:pPr>
              <w:jc w:val="right"/>
              <w:rPr>
                <w:color w:val="000000"/>
                <w:sz w:val="20"/>
                <w:szCs w:val="20"/>
              </w:rPr>
            </w:pPr>
            <w:r w:rsidRPr="008B6A75">
              <w:rPr>
                <w:color w:val="000000"/>
                <w:sz w:val="20"/>
                <w:szCs w:val="20"/>
              </w:rPr>
              <w:t>5 319,00</w:t>
            </w:r>
          </w:p>
        </w:tc>
        <w:tc>
          <w:tcPr>
            <w:tcW w:w="1701" w:type="dxa"/>
            <w:tcBorders>
              <w:top w:val="nil"/>
              <w:left w:val="nil"/>
              <w:bottom w:val="single" w:sz="4" w:space="0" w:color="auto"/>
              <w:right w:val="single" w:sz="4" w:space="0" w:color="auto"/>
            </w:tcBorders>
            <w:shd w:val="clear" w:color="auto" w:fill="auto"/>
            <w:noWrap/>
            <w:vAlign w:val="bottom"/>
            <w:hideMark/>
          </w:tcPr>
          <w:p w14:paraId="40B60B13" w14:textId="77777777" w:rsidR="00387142" w:rsidRPr="008B6A75" w:rsidRDefault="00387142" w:rsidP="00387142">
            <w:pPr>
              <w:jc w:val="right"/>
              <w:rPr>
                <w:color w:val="000000"/>
                <w:sz w:val="20"/>
                <w:szCs w:val="20"/>
              </w:rPr>
            </w:pPr>
            <w:r w:rsidRPr="008B6A75">
              <w:rPr>
                <w:color w:val="000000"/>
                <w:sz w:val="20"/>
                <w:szCs w:val="20"/>
              </w:rPr>
              <w:t>0,00</w:t>
            </w:r>
          </w:p>
        </w:tc>
        <w:tc>
          <w:tcPr>
            <w:tcW w:w="851" w:type="dxa"/>
            <w:tcBorders>
              <w:top w:val="nil"/>
              <w:left w:val="nil"/>
              <w:bottom w:val="single" w:sz="4" w:space="0" w:color="auto"/>
              <w:right w:val="single" w:sz="4" w:space="0" w:color="auto"/>
            </w:tcBorders>
            <w:shd w:val="clear" w:color="auto" w:fill="auto"/>
            <w:noWrap/>
            <w:vAlign w:val="bottom"/>
            <w:hideMark/>
          </w:tcPr>
          <w:p w14:paraId="22D3A096" w14:textId="77777777" w:rsidR="00387142" w:rsidRPr="008B6A75" w:rsidRDefault="00387142" w:rsidP="00387142">
            <w:pPr>
              <w:rPr>
                <w:color w:val="000000"/>
                <w:sz w:val="20"/>
                <w:szCs w:val="20"/>
              </w:rPr>
            </w:pPr>
            <w:r w:rsidRPr="008B6A75">
              <w:rPr>
                <w:color w:val="000000"/>
                <w:sz w:val="20"/>
                <w:szCs w:val="20"/>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14:paraId="2BC45550" w14:textId="77777777" w:rsidR="00387142" w:rsidRPr="008B6A75" w:rsidRDefault="00387142" w:rsidP="00387142">
            <w:pPr>
              <w:rPr>
                <w:color w:val="000000"/>
                <w:sz w:val="20"/>
                <w:szCs w:val="20"/>
              </w:rPr>
            </w:pPr>
            <w:r w:rsidRPr="008B6A75">
              <w:rPr>
                <w:color w:val="000000"/>
                <w:sz w:val="20"/>
                <w:szCs w:val="20"/>
              </w:rPr>
              <w:t> </w:t>
            </w:r>
          </w:p>
        </w:tc>
        <w:tc>
          <w:tcPr>
            <w:tcW w:w="568" w:type="dxa"/>
            <w:gridSpan w:val="2"/>
            <w:tcBorders>
              <w:top w:val="nil"/>
              <w:left w:val="nil"/>
              <w:bottom w:val="single" w:sz="4" w:space="0" w:color="auto"/>
              <w:right w:val="single" w:sz="4" w:space="0" w:color="auto"/>
            </w:tcBorders>
            <w:shd w:val="clear" w:color="auto" w:fill="auto"/>
            <w:noWrap/>
            <w:vAlign w:val="bottom"/>
            <w:hideMark/>
          </w:tcPr>
          <w:p w14:paraId="2609A818" w14:textId="77777777" w:rsidR="00387142" w:rsidRPr="008B6A75" w:rsidRDefault="00387142" w:rsidP="00387142">
            <w:pPr>
              <w:jc w:val="right"/>
              <w:rPr>
                <w:color w:val="000000"/>
                <w:sz w:val="20"/>
                <w:szCs w:val="20"/>
              </w:rPr>
            </w:pPr>
            <w:r w:rsidRPr="008B6A75">
              <w:rPr>
                <w:color w:val="000000"/>
                <w:sz w:val="20"/>
                <w:szCs w:val="20"/>
              </w:rPr>
              <w:t>500 000,00</w:t>
            </w:r>
          </w:p>
        </w:tc>
        <w:tc>
          <w:tcPr>
            <w:tcW w:w="566" w:type="dxa"/>
            <w:gridSpan w:val="2"/>
            <w:tcBorders>
              <w:top w:val="nil"/>
              <w:left w:val="nil"/>
              <w:bottom w:val="single" w:sz="4" w:space="0" w:color="auto"/>
              <w:right w:val="single" w:sz="4" w:space="0" w:color="auto"/>
            </w:tcBorders>
            <w:shd w:val="clear" w:color="auto" w:fill="auto"/>
            <w:noWrap/>
            <w:vAlign w:val="bottom"/>
            <w:hideMark/>
          </w:tcPr>
          <w:p w14:paraId="5B8265E0" w14:textId="77777777" w:rsidR="00387142" w:rsidRPr="008B6A75" w:rsidRDefault="00387142" w:rsidP="00387142">
            <w:pPr>
              <w:rPr>
                <w:color w:val="000000"/>
                <w:sz w:val="20"/>
                <w:szCs w:val="20"/>
              </w:rPr>
            </w:pPr>
            <w:r w:rsidRPr="008B6A75">
              <w:rPr>
                <w:color w:val="000000"/>
                <w:sz w:val="20"/>
                <w:szCs w:val="20"/>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14:paraId="348B3551" w14:textId="77777777" w:rsidR="00387142" w:rsidRPr="008B6A75" w:rsidRDefault="00387142" w:rsidP="00387142">
            <w:pPr>
              <w:jc w:val="right"/>
              <w:rPr>
                <w:color w:val="000000"/>
                <w:sz w:val="20"/>
                <w:szCs w:val="20"/>
              </w:rPr>
            </w:pPr>
            <w:r w:rsidRPr="008B6A75">
              <w:rPr>
                <w:color w:val="000000"/>
                <w:sz w:val="20"/>
                <w:szCs w:val="20"/>
              </w:rPr>
              <w:t>22 639,71</w:t>
            </w:r>
          </w:p>
        </w:tc>
        <w:tc>
          <w:tcPr>
            <w:tcW w:w="850" w:type="dxa"/>
            <w:tcBorders>
              <w:top w:val="nil"/>
              <w:left w:val="nil"/>
              <w:bottom w:val="single" w:sz="4" w:space="0" w:color="auto"/>
              <w:right w:val="single" w:sz="4" w:space="0" w:color="auto"/>
            </w:tcBorders>
            <w:shd w:val="clear" w:color="000000" w:fill="FFFFFF"/>
            <w:noWrap/>
            <w:vAlign w:val="bottom"/>
            <w:hideMark/>
          </w:tcPr>
          <w:p w14:paraId="5B893054" w14:textId="77777777" w:rsidR="00387142" w:rsidRPr="008B6A75" w:rsidRDefault="00387142" w:rsidP="00387142">
            <w:pPr>
              <w:rPr>
                <w:sz w:val="20"/>
                <w:szCs w:val="20"/>
              </w:rPr>
            </w:pPr>
            <w:r w:rsidRPr="008B6A75">
              <w:rPr>
                <w:sz w:val="20"/>
                <w:szCs w:val="20"/>
              </w:rPr>
              <w:t> </w:t>
            </w:r>
          </w:p>
        </w:tc>
        <w:tc>
          <w:tcPr>
            <w:tcW w:w="851" w:type="dxa"/>
            <w:tcBorders>
              <w:top w:val="nil"/>
              <w:left w:val="nil"/>
              <w:bottom w:val="single" w:sz="4" w:space="0" w:color="auto"/>
              <w:right w:val="single" w:sz="4" w:space="0" w:color="auto"/>
            </w:tcBorders>
            <w:shd w:val="clear" w:color="000000" w:fill="FFFFFF"/>
            <w:noWrap/>
            <w:vAlign w:val="bottom"/>
            <w:hideMark/>
          </w:tcPr>
          <w:p w14:paraId="390FE06E" w14:textId="77777777" w:rsidR="00387142" w:rsidRPr="008B6A75" w:rsidRDefault="00387142" w:rsidP="00387142">
            <w:pPr>
              <w:jc w:val="right"/>
              <w:rPr>
                <w:sz w:val="20"/>
                <w:szCs w:val="20"/>
              </w:rPr>
            </w:pPr>
            <w:r w:rsidRPr="008B6A75">
              <w:rPr>
                <w:sz w:val="20"/>
                <w:szCs w:val="20"/>
              </w:rPr>
              <w:t>80 675,00</w:t>
            </w:r>
          </w:p>
        </w:tc>
        <w:tc>
          <w:tcPr>
            <w:tcW w:w="553" w:type="dxa"/>
            <w:gridSpan w:val="2"/>
            <w:vAlign w:val="center"/>
            <w:hideMark/>
          </w:tcPr>
          <w:p w14:paraId="3121B49A" w14:textId="77777777" w:rsidR="00387142" w:rsidRPr="008B6A75" w:rsidRDefault="00387142" w:rsidP="00387142">
            <w:pPr>
              <w:rPr>
                <w:sz w:val="20"/>
                <w:szCs w:val="20"/>
              </w:rPr>
            </w:pPr>
          </w:p>
        </w:tc>
      </w:tr>
      <w:tr w:rsidR="00387142" w:rsidRPr="008B6A75" w14:paraId="5A3CE424" w14:textId="77777777" w:rsidTr="00387142">
        <w:trPr>
          <w:trHeight w:val="300"/>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14:paraId="0D110595" w14:textId="77777777" w:rsidR="00387142" w:rsidRPr="008B6A75" w:rsidRDefault="00387142" w:rsidP="00387142">
            <w:pPr>
              <w:jc w:val="right"/>
              <w:rPr>
                <w:color w:val="000000"/>
                <w:sz w:val="20"/>
                <w:szCs w:val="20"/>
              </w:rPr>
            </w:pPr>
            <w:r w:rsidRPr="008B6A75">
              <w:rPr>
                <w:color w:val="000000"/>
                <w:sz w:val="20"/>
                <w:szCs w:val="20"/>
              </w:rPr>
              <w:t>2</w:t>
            </w:r>
          </w:p>
        </w:tc>
        <w:tc>
          <w:tcPr>
            <w:tcW w:w="426" w:type="dxa"/>
            <w:tcBorders>
              <w:top w:val="nil"/>
              <w:left w:val="nil"/>
              <w:bottom w:val="single" w:sz="4" w:space="0" w:color="auto"/>
              <w:right w:val="single" w:sz="4" w:space="0" w:color="auto"/>
            </w:tcBorders>
            <w:shd w:val="clear" w:color="auto" w:fill="auto"/>
            <w:noWrap/>
            <w:vAlign w:val="bottom"/>
            <w:hideMark/>
          </w:tcPr>
          <w:p w14:paraId="610FED6F" w14:textId="77777777" w:rsidR="00387142" w:rsidRPr="008B6A75" w:rsidRDefault="00387142" w:rsidP="00387142">
            <w:pPr>
              <w:rPr>
                <w:color w:val="000000"/>
                <w:sz w:val="20"/>
                <w:szCs w:val="20"/>
              </w:rPr>
            </w:pPr>
            <w:proofErr w:type="spellStart"/>
            <w:r w:rsidRPr="008B6A75">
              <w:rPr>
                <w:color w:val="000000"/>
                <w:sz w:val="20"/>
                <w:szCs w:val="20"/>
              </w:rPr>
              <w:t>Балманский</w:t>
            </w:r>
            <w:proofErr w:type="spellEnd"/>
          </w:p>
        </w:tc>
        <w:tc>
          <w:tcPr>
            <w:tcW w:w="567" w:type="dxa"/>
            <w:tcBorders>
              <w:top w:val="nil"/>
              <w:left w:val="nil"/>
              <w:bottom w:val="single" w:sz="4" w:space="0" w:color="auto"/>
              <w:right w:val="single" w:sz="4" w:space="0" w:color="auto"/>
            </w:tcBorders>
            <w:shd w:val="clear" w:color="auto" w:fill="auto"/>
            <w:noWrap/>
            <w:vAlign w:val="bottom"/>
            <w:hideMark/>
          </w:tcPr>
          <w:p w14:paraId="3B14A007" w14:textId="77777777" w:rsidR="00387142" w:rsidRPr="008B6A75" w:rsidRDefault="00387142" w:rsidP="00387142">
            <w:pPr>
              <w:jc w:val="right"/>
              <w:rPr>
                <w:bCs/>
                <w:color w:val="000000"/>
                <w:sz w:val="20"/>
                <w:szCs w:val="20"/>
              </w:rPr>
            </w:pPr>
            <w:r w:rsidRPr="008B6A75">
              <w:rPr>
                <w:bCs/>
                <w:color w:val="000000"/>
                <w:sz w:val="20"/>
                <w:szCs w:val="20"/>
              </w:rPr>
              <w:t>311 639,14</w:t>
            </w:r>
          </w:p>
        </w:tc>
        <w:tc>
          <w:tcPr>
            <w:tcW w:w="850" w:type="dxa"/>
            <w:tcBorders>
              <w:top w:val="nil"/>
              <w:left w:val="nil"/>
              <w:bottom w:val="single" w:sz="4" w:space="0" w:color="auto"/>
              <w:right w:val="single" w:sz="4" w:space="0" w:color="auto"/>
            </w:tcBorders>
            <w:shd w:val="clear" w:color="auto" w:fill="auto"/>
            <w:noWrap/>
            <w:vAlign w:val="bottom"/>
            <w:hideMark/>
          </w:tcPr>
          <w:p w14:paraId="214C0B2E" w14:textId="77777777" w:rsidR="00387142" w:rsidRPr="008B6A75" w:rsidRDefault="00387142" w:rsidP="00387142">
            <w:pPr>
              <w:rPr>
                <w:color w:val="000000"/>
                <w:sz w:val="20"/>
                <w:szCs w:val="20"/>
              </w:rPr>
            </w:pPr>
            <w:r w:rsidRPr="008B6A75">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14:paraId="7D55A6FE" w14:textId="77777777" w:rsidR="00387142" w:rsidRPr="008B6A75" w:rsidRDefault="00387142" w:rsidP="00387142">
            <w:pPr>
              <w:jc w:val="right"/>
              <w:rPr>
                <w:color w:val="000000"/>
                <w:sz w:val="20"/>
                <w:szCs w:val="20"/>
              </w:rPr>
            </w:pPr>
            <w:r w:rsidRPr="008B6A75">
              <w:rPr>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bottom"/>
            <w:hideMark/>
          </w:tcPr>
          <w:p w14:paraId="59F462D2" w14:textId="77777777" w:rsidR="00387142" w:rsidRPr="008B6A75" w:rsidRDefault="00387142" w:rsidP="00387142">
            <w:pPr>
              <w:rPr>
                <w:color w:val="000000"/>
                <w:sz w:val="20"/>
                <w:szCs w:val="20"/>
              </w:rPr>
            </w:pPr>
            <w:r w:rsidRPr="008B6A75">
              <w:rPr>
                <w:color w:val="000000"/>
                <w:sz w:val="20"/>
                <w:szCs w:val="20"/>
              </w:rPr>
              <w:t> </w:t>
            </w:r>
          </w:p>
        </w:tc>
        <w:tc>
          <w:tcPr>
            <w:tcW w:w="851" w:type="dxa"/>
            <w:tcBorders>
              <w:top w:val="nil"/>
              <w:left w:val="nil"/>
              <w:bottom w:val="single" w:sz="4" w:space="0" w:color="auto"/>
              <w:right w:val="single" w:sz="4" w:space="0" w:color="auto"/>
            </w:tcBorders>
            <w:shd w:val="clear" w:color="auto" w:fill="auto"/>
            <w:noWrap/>
            <w:vAlign w:val="bottom"/>
            <w:hideMark/>
          </w:tcPr>
          <w:p w14:paraId="0F7FF892" w14:textId="77777777" w:rsidR="00387142" w:rsidRPr="008B6A75" w:rsidRDefault="00387142" w:rsidP="00387142">
            <w:pPr>
              <w:rPr>
                <w:color w:val="000000"/>
                <w:sz w:val="20"/>
                <w:szCs w:val="20"/>
              </w:rPr>
            </w:pPr>
            <w:r w:rsidRPr="008B6A75">
              <w:rPr>
                <w:color w:val="000000"/>
                <w:sz w:val="20"/>
                <w:szCs w:val="20"/>
              </w:rPr>
              <w:t> </w:t>
            </w:r>
          </w:p>
        </w:tc>
        <w:tc>
          <w:tcPr>
            <w:tcW w:w="1215" w:type="dxa"/>
            <w:tcBorders>
              <w:top w:val="nil"/>
              <w:left w:val="nil"/>
              <w:bottom w:val="single" w:sz="4" w:space="0" w:color="auto"/>
              <w:right w:val="single" w:sz="4" w:space="0" w:color="auto"/>
            </w:tcBorders>
            <w:shd w:val="clear" w:color="auto" w:fill="auto"/>
            <w:noWrap/>
            <w:vAlign w:val="bottom"/>
            <w:hideMark/>
          </w:tcPr>
          <w:p w14:paraId="3B6FAA31" w14:textId="77777777" w:rsidR="00387142" w:rsidRPr="008B6A75" w:rsidRDefault="00387142" w:rsidP="00387142">
            <w:pPr>
              <w:rPr>
                <w:color w:val="000000"/>
                <w:sz w:val="20"/>
                <w:szCs w:val="20"/>
              </w:rPr>
            </w:pPr>
            <w:r w:rsidRPr="008B6A75">
              <w:rPr>
                <w:color w:val="000000"/>
                <w:sz w:val="20"/>
                <w:szCs w:val="20"/>
              </w:rPr>
              <w:t> </w:t>
            </w:r>
          </w:p>
        </w:tc>
        <w:tc>
          <w:tcPr>
            <w:tcW w:w="769" w:type="dxa"/>
            <w:tcBorders>
              <w:top w:val="nil"/>
              <w:left w:val="nil"/>
              <w:bottom w:val="single" w:sz="4" w:space="0" w:color="auto"/>
              <w:right w:val="single" w:sz="4" w:space="0" w:color="auto"/>
            </w:tcBorders>
            <w:shd w:val="clear" w:color="auto" w:fill="auto"/>
            <w:noWrap/>
            <w:vAlign w:val="bottom"/>
            <w:hideMark/>
          </w:tcPr>
          <w:p w14:paraId="45E0F9A2" w14:textId="77777777" w:rsidR="00387142" w:rsidRPr="008B6A75" w:rsidRDefault="00387142" w:rsidP="00387142">
            <w:pPr>
              <w:rPr>
                <w:color w:val="000000"/>
                <w:sz w:val="20"/>
                <w:szCs w:val="20"/>
              </w:rPr>
            </w:pPr>
            <w:r w:rsidRPr="008B6A75">
              <w:rPr>
                <w:color w:val="000000"/>
                <w:sz w:val="20"/>
                <w:szCs w:val="20"/>
              </w:rPr>
              <w:t> </w:t>
            </w:r>
          </w:p>
        </w:tc>
        <w:tc>
          <w:tcPr>
            <w:tcW w:w="709" w:type="dxa"/>
            <w:tcBorders>
              <w:top w:val="nil"/>
              <w:left w:val="nil"/>
              <w:bottom w:val="single" w:sz="4" w:space="0" w:color="auto"/>
              <w:right w:val="single" w:sz="4" w:space="0" w:color="auto"/>
            </w:tcBorders>
            <w:shd w:val="clear" w:color="auto" w:fill="auto"/>
            <w:noWrap/>
            <w:vAlign w:val="bottom"/>
            <w:hideMark/>
          </w:tcPr>
          <w:p w14:paraId="62D5A1E7" w14:textId="77777777" w:rsidR="00387142" w:rsidRPr="008B6A75" w:rsidRDefault="00387142" w:rsidP="00387142">
            <w:pPr>
              <w:rPr>
                <w:color w:val="000000"/>
                <w:sz w:val="20"/>
                <w:szCs w:val="20"/>
              </w:rPr>
            </w:pPr>
            <w:r w:rsidRPr="008B6A75">
              <w:rPr>
                <w:color w:val="000000"/>
                <w:sz w:val="20"/>
                <w:szCs w:val="20"/>
              </w:rPr>
              <w:t> </w:t>
            </w:r>
          </w:p>
        </w:tc>
        <w:tc>
          <w:tcPr>
            <w:tcW w:w="850" w:type="dxa"/>
            <w:tcBorders>
              <w:top w:val="nil"/>
              <w:left w:val="nil"/>
              <w:bottom w:val="single" w:sz="4" w:space="0" w:color="auto"/>
              <w:right w:val="single" w:sz="4" w:space="0" w:color="auto"/>
            </w:tcBorders>
            <w:shd w:val="clear" w:color="auto" w:fill="auto"/>
            <w:noWrap/>
            <w:vAlign w:val="bottom"/>
            <w:hideMark/>
          </w:tcPr>
          <w:p w14:paraId="38B103E5" w14:textId="77777777" w:rsidR="00387142" w:rsidRPr="008B6A75" w:rsidRDefault="00387142" w:rsidP="00387142">
            <w:pPr>
              <w:jc w:val="right"/>
              <w:rPr>
                <w:color w:val="000000"/>
                <w:sz w:val="20"/>
                <w:szCs w:val="20"/>
              </w:rPr>
            </w:pPr>
            <w:r w:rsidRPr="008B6A75">
              <w:rPr>
                <w:color w:val="000000"/>
                <w:sz w:val="20"/>
                <w:szCs w:val="20"/>
              </w:rPr>
              <w:t>3 546,00</w:t>
            </w:r>
          </w:p>
        </w:tc>
        <w:tc>
          <w:tcPr>
            <w:tcW w:w="1701" w:type="dxa"/>
            <w:tcBorders>
              <w:top w:val="nil"/>
              <w:left w:val="nil"/>
              <w:bottom w:val="single" w:sz="4" w:space="0" w:color="auto"/>
              <w:right w:val="single" w:sz="4" w:space="0" w:color="auto"/>
            </w:tcBorders>
            <w:shd w:val="clear" w:color="auto" w:fill="auto"/>
            <w:noWrap/>
            <w:vAlign w:val="bottom"/>
            <w:hideMark/>
          </w:tcPr>
          <w:p w14:paraId="79EF2E05" w14:textId="77777777" w:rsidR="00387142" w:rsidRPr="008B6A75" w:rsidRDefault="00387142" w:rsidP="00387142">
            <w:pPr>
              <w:rPr>
                <w:color w:val="000000"/>
                <w:sz w:val="20"/>
                <w:szCs w:val="20"/>
              </w:rPr>
            </w:pPr>
            <w:r w:rsidRPr="008B6A75">
              <w:rPr>
                <w:color w:val="000000"/>
                <w:sz w:val="20"/>
                <w:szCs w:val="20"/>
              </w:rPr>
              <w:t> </w:t>
            </w:r>
          </w:p>
        </w:tc>
        <w:tc>
          <w:tcPr>
            <w:tcW w:w="851" w:type="dxa"/>
            <w:tcBorders>
              <w:top w:val="nil"/>
              <w:left w:val="nil"/>
              <w:bottom w:val="single" w:sz="4" w:space="0" w:color="auto"/>
              <w:right w:val="single" w:sz="4" w:space="0" w:color="auto"/>
            </w:tcBorders>
            <w:shd w:val="clear" w:color="auto" w:fill="auto"/>
            <w:noWrap/>
            <w:vAlign w:val="bottom"/>
            <w:hideMark/>
          </w:tcPr>
          <w:p w14:paraId="67C5811B" w14:textId="77777777" w:rsidR="00387142" w:rsidRPr="008B6A75" w:rsidRDefault="00387142" w:rsidP="00387142">
            <w:pPr>
              <w:jc w:val="right"/>
              <w:rPr>
                <w:color w:val="000000"/>
                <w:sz w:val="20"/>
                <w:szCs w:val="20"/>
              </w:rPr>
            </w:pPr>
            <w:r w:rsidRPr="008B6A75">
              <w:rPr>
                <w:color w:val="000000"/>
                <w:sz w:val="20"/>
                <w:szCs w:val="20"/>
              </w:rPr>
              <w:t>150 000,00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14:paraId="1EF6DC6D" w14:textId="77777777" w:rsidR="00387142" w:rsidRPr="008B6A75" w:rsidRDefault="00387142" w:rsidP="00387142">
            <w:pPr>
              <w:rPr>
                <w:color w:val="000000"/>
                <w:sz w:val="20"/>
                <w:szCs w:val="20"/>
              </w:rPr>
            </w:pPr>
            <w:r w:rsidRPr="008B6A75">
              <w:rPr>
                <w:color w:val="000000"/>
                <w:sz w:val="20"/>
                <w:szCs w:val="20"/>
              </w:rPr>
              <w:t> </w:t>
            </w:r>
          </w:p>
        </w:tc>
        <w:tc>
          <w:tcPr>
            <w:tcW w:w="568" w:type="dxa"/>
            <w:gridSpan w:val="2"/>
            <w:tcBorders>
              <w:top w:val="nil"/>
              <w:left w:val="nil"/>
              <w:bottom w:val="single" w:sz="4" w:space="0" w:color="auto"/>
              <w:right w:val="single" w:sz="4" w:space="0" w:color="auto"/>
            </w:tcBorders>
            <w:shd w:val="clear" w:color="auto" w:fill="auto"/>
            <w:noWrap/>
            <w:vAlign w:val="bottom"/>
            <w:hideMark/>
          </w:tcPr>
          <w:p w14:paraId="7F72FF7C" w14:textId="77777777" w:rsidR="00387142" w:rsidRPr="008B6A75" w:rsidRDefault="00387142" w:rsidP="00387142">
            <w:pPr>
              <w:rPr>
                <w:color w:val="000000"/>
                <w:sz w:val="20"/>
                <w:szCs w:val="20"/>
              </w:rPr>
            </w:pPr>
            <w:r w:rsidRPr="008B6A75">
              <w:rPr>
                <w:color w:val="000000"/>
                <w:sz w:val="20"/>
                <w:szCs w:val="20"/>
              </w:rPr>
              <w:t> </w:t>
            </w:r>
          </w:p>
        </w:tc>
        <w:tc>
          <w:tcPr>
            <w:tcW w:w="566" w:type="dxa"/>
            <w:gridSpan w:val="2"/>
            <w:tcBorders>
              <w:top w:val="nil"/>
              <w:left w:val="nil"/>
              <w:bottom w:val="single" w:sz="4" w:space="0" w:color="auto"/>
              <w:right w:val="single" w:sz="4" w:space="0" w:color="auto"/>
            </w:tcBorders>
            <w:shd w:val="clear" w:color="auto" w:fill="auto"/>
            <w:noWrap/>
            <w:vAlign w:val="bottom"/>
            <w:hideMark/>
          </w:tcPr>
          <w:p w14:paraId="79C03998" w14:textId="77777777" w:rsidR="00387142" w:rsidRPr="008B6A75" w:rsidRDefault="00387142" w:rsidP="00387142">
            <w:pPr>
              <w:rPr>
                <w:color w:val="000000"/>
                <w:sz w:val="20"/>
                <w:szCs w:val="20"/>
              </w:rPr>
            </w:pPr>
            <w:r w:rsidRPr="008B6A75">
              <w:rPr>
                <w:color w:val="000000"/>
                <w:sz w:val="20"/>
                <w:szCs w:val="20"/>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14:paraId="5E6E7EAB" w14:textId="77777777" w:rsidR="00387142" w:rsidRPr="008B6A75" w:rsidRDefault="00387142" w:rsidP="00387142">
            <w:pPr>
              <w:jc w:val="right"/>
              <w:rPr>
                <w:color w:val="000000"/>
                <w:sz w:val="20"/>
                <w:szCs w:val="20"/>
              </w:rPr>
            </w:pPr>
            <w:r w:rsidRPr="008B6A75">
              <w:rPr>
                <w:color w:val="000000"/>
                <w:sz w:val="20"/>
                <w:szCs w:val="20"/>
              </w:rPr>
              <w:t>15 093,14</w:t>
            </w:r>
          </w:p>
        </w:tc>
        <w:tc>
          <w:tcPr>
            <w:tcW w:w="850" w:type="dxa"/>
            <w:tcBorders>
              <w:top w:val="nil"/>
              <w:left w:val="nil"/>
              <w:bottom w:val="single" w:sz="4" w:space="0" w:color="auto"/>
              <w:right w:val="single" w:sz="4" w:space="0" w:color="auto"/>
            </w:tcBorders>
            <w:shd w:val="clear" w:color="000000" w:fill="FFFFFF"/>
            <w:noWrap/>
            <w:vAlign w:val="bottom"/>
            <w:hideMark/>
          </w:tcPr>
          <w:p w14:paraId="4FFE491A" w14:textId="77777777" w:rsidR="00387142" w:rsidRPr="008B6A75" w:rsidRDefault="00387142" w:rsidP="00387142">
            <w:pPr>
              <w:rPr>
                <w:sz w:val="20"/>
                <w:szCs w:val="20"/>
              </w:rPr>
            </w:pPr>
            <w:r w:rsidRPr="008B6A75">
              <w:rPr>
                <w:sz w:val="20"/>
                <w:szCs w:val="20"/>
              </w:rPr>
              <w:t> </w:t>
            </w:r>
          </w:p>
        </w:tc>
        <w:tc>
          <w:tcPr>
            <w:tcW w:w="851" w:type="dxa"/>
            <w:tcBorders>
              <w:top w:val="nil"/>
              <w:left w:val="nil"/>
              <w:bottom w:val="single" w:sz="4" w:space="0" w:color="auto"/>
              <w:right w:val="single" w:sz="4" w:space="0" w:color="auto"/>
            </w:tcBorders>
            <w:shd w:val="clear" w:color="000000" w:fill="FFFFFF"/>
            <w:noWrap/>
            <w:vAlign w:val="bottom"/>
            <w:hideMark/>
          </w:tcPr>
          <w:p w14:paraId="69474242" w14:textId="77777777" w:rsidR="00387142" w:rsidRPr="008B6A75" w:rsidRDefault="00387142" w:rsidP="00387142">
            <w:pPr>
              <w:jc w:val="right"/>
              <w:rPr>
                <w:sz w:val="20"/>
                <w:szCs w:val="20"/>
              </w:rPr>
            </w:pPr>
            <w:r w:rsidRPr="008B6A75">
              <w:rPr>
                <w:sz w:val="20"/>
                <w:szCs w:val="20"/>
              </w:rPr>
              <w:t>143 000,00</w:t>
            </w:r>
          </w:p>
        </w:tc>
        <w:tc>
          <w:tcPr>
            <w:tcW w:w="553" w:type="dxa"/>
            <w:gridSpan w:val="2"/>
            <w:vAlign w:val="center"/>
            <w:hideMark/>
          </w:tcPr>
          <w:p w14:paraId="6DC5D9AE" w14:textId="77777777" w:rsidR="00387142" w:rsidRPr="008B6A75" w:rsidRDefault="00387142" w:rsidP="00387142">
            <w:pPr>
              <w:rPr>
                <w:sz w:val="20"/>
                <w:szCs w:val="20"/>
              </w:rPr>
            </w:pPr>
          </w:p>
        </w:tc>
      </w:tr>
      <w:tr w:rsidR="00387142" w:rsidRPr="008B6A75" w14:paraId="6DD3BF64" w14:textId="77777777" w:rsidTr="00387142">
        <w:trPr>
          <w:trHeight w:val="300"/>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14:paraId="6D0923B3" w14:textId="77777777" w:rsidR="00387142" w:rsidRPr="008B6A75" w:rsidRDefault="00387142" w:rsidP="00387142">
            <w:pPr>
              <w:jc w:val="right"/>
              <w:rPr>
                <w:color w:val="000000"/>
                <w:sz w:val="20"/>
                <w:szCs w:val="20"/>
              </w:rPr>
            </w:pPr>
            <w:r w:rsidRPr="008B6A75">
              <w:rPr>
                <w:color w:val="000000"/>
                <w:sz w:val="20"/>
                <w:szCs w:val="20"/>
              </w:rPr>
              <w:t>3</w:t>
            </w:r>
          </w:p>
        </w:tc>
        <w:tc>
          <w:tcPr>
            <w:tcW w:w="426" w:type="dxa"/>
            <w:tcBorders>
              <w:top w:val="nil"/>
              <w:left w:val="nil"/>
              <w:bottom w:val="single" w:sz="4" w:space="0" w:color="auto"/>
              <w:right w:val="single" w:sz="4" w:space="0" w:color="auto"/>
            </w:tcBorders>
            <w:shd w:val="clear" w:color="auto" w:fill="auto"/>
            <w:noWrap/>
            <w:vAlign w:val="bottom"/>
            <w:hideMark/>
          </w:tcPr>
          <w:p w14:paraId="12AB7614" w14:textId="77777777" w:rsidR="00387142" w:rsidRPr="008B6A75" w:rsidRDefault="00387142" w:rsidP="00387142">
            <w:pPr>
              <w:rPr>
                <w:color w:val="000000"/>
                <w:sz w:val="20"/>
                <w:szCs w:val="20"/>
              </w:rPr>
            </w:pPr>
            <w:proofErr w:type="spellStart"/>
            <w:r w:rsidRPr="008B6A75">
              <w:rPr>
                <w:color w:val="000000"/>
                <w:sz w:val="20"/>
                <w:szCs w:val="20"/>
              </w:rPr>
              <w:t>Булатовский</w:t>
            </w:r>
            <w:proofErr w:type="spellEnd"/>
          </w:p>
        </w:tc>
        <w:tc>
          <w:tcPr>
            <w:tcW w:w="567" w:type="dxa"/>
            <w:tcBorders>
              <w:top w:val="nil"/>
              <w:left w:val="nil"/>
              <w:bottom w:val="single" w:sz="4" w:space="0" w:color="auto"/>
              <w:right w:val="single" w:sz="4" w:space="0" w:color="auto"/>
            </w:tcBorders>
            <w:shd w:val="clear" w:color="auto" w:fill="auto"/>
            <w:noWrap/>
            <w:vAlign w:val="bottom"/>
            <w:hideMark/>
          </w:tcPr>
          <w:p w14:paraId="56DD8E0B" w14:textId="77777777" w:rsidR="00387142" w:rsidRPr="008B6A75" w:rsidRDefault="00387142" w:rsidP="00387142">
            <w:pPr>
              <w:jc w:val="right"/>
              <w:rPr>
                <w:bCs/>
                <w:color w:val="000000"/>
                <w:sz w:val="20"/>
                <w:szCs w:val="20"/>
              </w:rPr>
            </w:pPr>
            <w:r w:rsidRPr="008B6A75">
              <w:rPr>
                <w:bCs/>
                <w:color w:val="000000"/>
                <w:sz w:val="20"/>
                <w:szCs w:val="20"/>
              </w:rPr>
              <w:t>3 186 481,00</w:t>
            </w:r>
          </w:p>
        </w:tc>
        <w:tc>
          <w:tcPr>
            <w:tcW w:w="850" w:type="dxa"/>
            <w:tcBorders>
              <w:top w:val="nil"/>
              <w:left w:val="nil"/>
              <w:bottom w:val="single" w:sz="4" w:space="0" w:color="auto"/>
              <w:right w:val="single" w:sz="4" w:space="0" w:color="auto"/>
            </w:tcBorders>
            <w:shd w:val="clear" w:color="auto" w:fill="auto"/>
            <w:noWrap/>
            <w:vAlign w:val="bottom"/>
            <w:hideMark/>
          </w:tcPr>
          <w:p w14:paraId="0C9F1F5B" w14:textId="77777777" w:rsidR="00387142" w:rsidRPr="008B6A75" w:rsidRDefault="00387142" w:rsidP="00387142">
            <w:pPr>
              <w:jc w:val="right"/>
              <w:rPr>
                <w:color w:val="000000"/>
                <w:sz w:val="20"/>
                <w:szCs w:val="20"/>
              </w:rPr>
            </w:pPr>
            <w:r w:rsidRPr="008B6A75">
              <w:rPr>
                <w:color w:val="000000"/>
                <w:sz w:val="20"/>
                <w:szCs w:val="20"/>
              </w:rPr>
              <w:t>2 700 000,00</w:t>
            </w:r>
          </w:p>
        </w:tc>
        <w:tc>
          <w:tcPr>
            <w:tcW w:w="1134" w:type="dxa"/>
            <w:tcBorders>
              <w:top w:val="nil"/>
              <w:left w:val="nil"/>
              <w:bottom w:val="single" w:sz="4" w:space="0" w:color="auto"/>
              <w:right w:val="single" w:sz="4" w:space="0" w:color="auto"/>
            </w:tcBorders>
            <w:shd w:val="clear" w:color="auto" w:fill="auto"/>
            <w:noWrap/>
            <w:vAlign w:val="bottom"/>
            <w:hideMark/>
          </w:tcPr>
          <w:p w14:paraId="4F8293FD" w14:textId="77777777" w:rsidR="00387142" w:rsidRPr="008B6A75" w:rsidRDefault="00387142" w:rsidP="00387142">
            <w:pPr>
              <w:jc w:val="right"/>
              <w:rPr>
                <w:color w:val="000000"/>
                <w:sz w:val="20"/>
                <w:szCs w:val="20"/>
              </w:rPr>
            </w:pPr>
            <w:r w:rsidRPr="008B6A75">
              <w:rPr>
                <w:color w:val="000000"/>
                <w:sz w:val="20"/>
                <w:szCs w:val="20"/>
              </w:rPr>
              <w:t>16 100,00</w:t>
            </w:r>
          </w:p>
        </w:tc>
        <w:tc>
          <w:tcPr>
            <w:tcW w:w="1134" w:type="dxa"/>
            <w:tcBorders>
              <w:top w:val="nil"/>
              <w:left w:val="nil"/>
              <w:bottom w:val="single" w:sz="4" w:space="0" w:color="auto"/>
              <w:right w:val="single" w:sz="4" w:space="0" w:color="auto"/>
            </w:tcBorders>
            <w:shd w:val="clear" w:color="auto" w:fill="auto"/>
            <w:noWrap/>
            <w:vAlign w:val="bottom"/>
            <w:hideMark/>
          </w:tcPr>
          <w:p w14:paraId="5F743803" w14:textId="77777777" w:rsidR="00387142" w:rsidRPr="008B6A75" w:rsidRDefault="00387142" w:rsidP="00387142">
            <w:pPr>
              <w:rPr>
                <w:color w:val="000000"/>
                <w:sz w:val="20"/>
                <w:szCs w:val="20"/>
              </w:rPr>
            </w:pPr>
            <w:r w:rsidRPr="008B6A75">
              <w:rPr>
                <w:color w:val="000000"/>
                <w:sz w:val="20"/>
                <w:szCs w:val="20"/>
              </w:rPr>
              <w:t> </w:t>
            </w:r>
          </w:p>
        </w:tc>
        <w:tc>
          <w:tcPr>
            <w:tcW w:w="851" w:type="dxa"/>
            <w:tcBorders>
              <w:top w:val="nil"/>
              <w:left w:val="nil"/>
              <w:bottom w:val="single" w:sz="4" w:space="0" w:color="auto"/>
              <w:right w:val="single" w:sz="4" w:space="0" w:color="auto"/>
            </w:tcBorders>
            <w:shd w:val="clear" w:color="auto" w:fill="auto"/>
            <w:noWrap/>
            <w:vAlign w:val="bottom"/>
            <w:hideMark/>
          </w:tcPr>
          <w:p w14:paraId="0895A289" w14:textId="77777777" w:rsidR="00387142" w:rsidRPr="008B6A75" w:rsidRDefault="00387142" w:rsidP="00387142">
            <w:pPr>
              <w:rPr>
                <w:color w:val="000000"/>
                <w:sz w:val="20"/>
                <w:szCs w:val="20"/>
              </w:rPr>
            </w:pPr>
            <w:r w:rsidRPr="008B6A75">
              <w:rPr>
                <w:color w:val="000000"/>
                <w:sz w:val="20"/>
                <w:szCs w:val="20"/>
              </w:rPr>
              <w:t> </w:t>
            </w:r>
          </w:p>
        </w:tc>
        <w:tc>
          <w:tcPr>
            <w:tcW w:w="1215" w:type="dxa"/>
            <w:tcBorders>
              <w:top w:val="nil"/>
              <w:left w:val="nil"/>
              <w:bottom w:val="single" w:sz="4" w:space="0" w:color="auto"/>
              <w:right w:val="single" w:sz="4" w:space="0" w:color="auto"/>
            </w:tcBorders>
            <w:shd w:val="clear" w:color="auto" w:fill="auto"/>
            <w:noWrap/>
            <w:vAlign w:val="bottom"/>
            <w:hideMark/>
          </w:tcPr>
          <w:p w14:paraId="6F891445" w14:textId="77777777" w:rsidR="00387142" w:rsidRPr="008B6A75" w:rsidRDefault="00387142" w:rsidP="00387142">
            <w:pPr>
              <w:rPr>
                <w:color w:val="000000"/>
                <w:sz w:val="20"/>
                <w:szCs w:val="20"/>
              </w:rPr>
            </w:pPr>
            <w:r w:rsidRPr="008B6A75">
              <w:rPr>
                <w:color w:val="000000"/>
                <w:sz w:val="20"/>
                <w:szCs w:val="20"/>
              </w:rPr>
              <w:t> </w:t>
            </w:r>
          </w:p>
        </w:tc>
        <w:tc>
          <w:tcPr>
            <w:tcW w:w="769" w:type="dxa"/>
            <w:tcBorders>
              <w:top w:val="nil"/>
              <w:left w:val="nil"/>
              <w:bottom w:val="single" w:sz="4" w:space="0" w:color="auto"/>
              <w:right w:val="single" w:sz="4" w:space="0" w:color="auto"/>
            </w:tcBorders>
            <w:shd w:val="clear" w:color="auto" w:fill="auto"/>
            <w:noWrap/>
            <w:vAlign w:val="bottom"/>
            <w:hideMark/>
          </w:tcPr>
          <w:p w14:paraId="78DB853D" w14:textId="77777777" w:rsidR="00387142" w:rsidRPr="008B6A75" w:rsidRDefault="00387142" w:rsidP="00387142">
            <w:pPr>
              <w:rPr>
                <w:color w:val="000000"/>
                <w:sz w:val="20"/>
                <w:szCs w:val="20"/>
              </w:rPr>
            </w:pPr>
            <w:r w:rsidRPr="008B6A75">
              <w:rPr>
                <w:color w:val="000000"/>
                <w:sz w:val="20"/>
                <w:szCs w:val="20"/>
              </w:rPr>
              <w:t> </w:t>
            </w:r>
          </w:p>
        </w:tc>
        <w:tc>
          <w:tcPr>
            <w:tcW w:w="709" w:type="dxa"/>
            <w:tcBorders>
              <w:top w:val="nil"/>
              <w:left w:val="nil"/>
              <w:bottom w:val="single" w:sz="4" w:space="0" w:color="auto"/>
              <w:right w:val="single" w:sz="4" w:space="0" w:color="auto"/>
            </w:tcBorders>
            <w:shd w:val="clear" w:color="auto" w:fill="auto"/>
            <w:noWrap/>
            <w:vAlign w:val="bottom"/>
            <w:hideMark/>
          </w:tcPr>
          <w:p w14:paraId="18935DD6" w14:textId="77777777" w:rsidR="00387142" w:rsidRPr="008B6A75" w:rsidRDefault="00387142" w:rsidP="00387142">
            <w:pPr>
              <w:rPr>
                <w:color w:val="000000"/>
                <w:sz w:val="20"/>
                <w:szCs w:val="20"/>
              </w:rPr>
            </w:pPr>
            <w:r w:rsidRPr="008B6A75">
              <w:rPr>
                <w:color w:val="000000"/>
                <w:sz w:val="20"/>
                <w:szCs w:val="20"/>
              </w:rPr>
              <w:t> </w:t>
            </w:r>
          </w:p>
        </w:tc>
        <w:tc>
          <w:tcPr>
            <w:tcW w:w="850" w:type="dxa"/>
            <w:tcBorders>
              <w:top w:val="nil"/>
              <w:left w:val="nil"/>
              <w:bottom w:val="single" w:sz="4" w:space="0" w:color="auto"/>
              <w:right w:val="single" w:sz="4" w:space="0" w:color="auto"/>
            </w:tcBorders>
            <w:shd w:val="clear" w:color="auto" w:fill="auto"/>
            <w:noWrap/>
            <w:vAlign w:val="bottom"/>
            <w:hideMark/>
          </w:tcPr>
          <w:p w14:paraId="6883AB23" w14:textId="77777777" w:rsidR="00387142" w:rsidRPr="008B6A75" w:rsidRDefault="00387142" w:rsidP="00387142">
            <w:pPr>
              <w:jc w:val="right"/>
              <w:rPr>
                <w:color w:val="000000"/>
                <w:sz w:val="20"/>
                <w:szCs w:val="20"/>
              </w:rPr>
            </w:pPr>
            <w:r w:rsidRPr="008B6A75">
              <w:rPr>
                <w:color w:val="000000"/>
                <w:sz w:val="20"/>
                <w:szCs w:val="20"/>
              </w:rPr>
              <w:t>7 092,00</w:t>
            </w:r>
          </w:p>
        </w:tc>
        <w:tc>
          <w:tcPr>
            <w:tcW w:w="1701" w:type="dxa"/>
            <w:tcBorders>
              <w:top w:val="nil"/>
              <w:left w:val="nil"/>
              <w:bottom w:val="single" w:sz="4" w:space="0" w:color="auto"/>
              <w:right w:val="single" w:sz="4" w:space="0" w:color="auto"/>
            </w:tcBorders>
            <w:shd w:val="clear" w:color="auto" w:fill="auto"/>
            <w:noWrap/>
            <w:vAlign w:val="bottom"/>
            <w:hideMark/>
          </w:tcPr>
          <w:p w14:paraId="1E495A19" w14:textId="77777777" w:rsidR="00387142" w:rsidRPr="008B6A75" w:rsidRDefault="00387142" w:rsidP="00387142">
            <w:pPr>
              <w:jc w:val="right"/>
              <w:rPr>
                <w:color w:val="000000"/>
                <w:sz w:val="20"/>
                <w:szCs w:val="20"/>
              </w:rPr>
            </w:pPr>
            <w:r w:rsidRPr="008B6A75">
              <w:rPr>
                <w:color w:val="000000"/>
                <w:sz w:val="20"/>
                <w:szCs w:val="20"/>
              </w:rPr>
              <w:t>73000</w:t>
            </w:r>
          </w:p>
        </w:tc>
        <w:tc>
          <w:tcPr>
            <w:tcW w:w="851" w:type="dxa"/>
            <w:tcBorders>
              <w:top w:val="nil"/>
              <w:left w:val="nil"/>
              <w:bottom w:val="single" w:sz="4" w:space="0" w:color="auto"/>
              <w:right w:val="single" w:sz="4" w:space="0" w:color="auto"/>
            </w:tcBorders>
            <w:shd w:val="clear" w:color="auto" w:fill="auto"/>
            <w:noWrap/>
            <w:vAlign w:val="bottom"/>
            <w:hideMark/>
          </w:tcPr>
          <w:p w14:paraId="7F1238A3" w14:textId="77777777" w:rsidR="00387142" w:rsidRPr="008B6A75" w:rsidRDefault="00387142" w:rsidP="00387142">
            <w:pPr>
              <w:jc w:val="right"/>
              <w:rPr>
                <w:color w:val="000000"/>
                <w:sz w:val="20"/>
                <w:szCs w:val="20"/>
              </w:rPr>
            </w:pPr>
            <w:r w:rsidRPr="008B6A75">
              <w:rPr>
                <w:color w:val="000000"/>
                <w:sz w:val="20"/>
                <w:szCs w:val="20"/>
              </w:rPr>
              <w:t>347 285,00</w:t>
            </w:r>
          </w:p>
        </w:tc>
        <w:tc>
          <w:tcPr>
            <w:tcW w:w="567" w:type="dxa"/>
            <w:gridSpan w:val="2"/>
            <w:tcBorders>
              <w:top w:val="nil"/>
              <w:left w:val="nil"/>
              <w:bottom w:val="single" w:sz="4" w:space="0" w:color="auto"/>
              <w:right w:val="single" w:sz="4" w:space="0" w:color="auto"/>
            </w:tcBorders>
            <w:shd w:val="clear" w:color="auto" w:fill="auto"/>
            <w:noWrap/>
            <w:vAlign w:val="bottom"/>
            <w:hideMark/>
          </w:tcPr>
          <w:p w14:paraId="7913B0F5" w14:textId="77777777" w:rsidR="00387142" w:rsidRPr="008B6A75" w:rsidRDefault="00387142" w:rsidP="00387142">
            <w:pPr>
              <w:rPr>
                <w:color w:val="000000"/>
                <w:sz w:val="20"/>
                <w:szCs w:val="20"/>
              </w:rPr>
            </w:pPr>
            <w:r w:rsidRPr="008B6A75">
              <w:rPr>
                <w:color w:val="000000"/>
                <w:sz w:val="20"/>
                <w:szCs w:val="20"/>
              </w:rPr>
              <w:t> </w:t>
            </w:r>
          </w:p>
        </w:tc>
        <w:tc>
          <w:tcPr>
            <w:tcW w:w="568" w:type="dxa"/>
            <w:gridSpan w:val="2"/>
            <w:tcBorders>
              <w:top w:val="nil"/>
              <w:left w:val="nil"/>
              <w:bottom w:val="single" w:sz="4" w:space="0" w:color="auto"/>
              <w:right w:val="single" w:sz="4" w:space="0" w:color="auto"/>
            </w:tcBorders>
            <w:shd w:val="clear" w:color="auto" w:fill="auto"/>
            <w:noWrap/>
            <w:vAlign w:val="bottom"/>
            <w:hideMark/>
          </w:tcPr>
          <w:p w14:paraId="0378AF01" w14:textId="77777777" w:rsidR="00387142" w:rsidRPr="008B6A75" w:rsidRDefault="00387142" w:rsidP="00387142">
            <w:pPr>
              <w:rPr>
                <w:color w:val="000000"/>
                <w:sz w:val="20"/>
                <w:szCs w:val="20"/>
              </w:rPr>
            </w:pPr>
            <w:r w:rsidRPr="008B6A75">
              <w:rPr>
                <w:color w:val="000000"/>
                <w:sz w:val="20"/>
                <w:szCs w:val="20"/>
              </w:rPr>
              <w:t> </w:t>
            </w:r>
          </w:p>
        </w:tc>
        <w:tc>
          <w:tcPr>
            <w:tcW w:w="566" w:type="dxa"/>
            <w:gridSpan w:val="2"/>
            <w:tcBorders>
              <w:top w:val="nil"/>
              <w:left w:val="nil"/>
              <w:bottom w:val="single" w:sz="4" w:space="0" w:color="auto"/>
              <w:right w:val="single" w:sz="4" w:space="0" w:color="auto"/>
            </w:tcBorders>
            <w:shd w:val="clear" w:color="auto" w:fill="auto"/>
            <w:noWrap/>
            <w:vAlign w:val="bottom"/>
            <w:hideMark/>
          </w:tcPr>
          <w:p w14:paraId="47DE608D" w14:textId="77777777" w:rsidR="00387142" w:rsidRPr="008B6A75" w:rsidRDefault="00387142" w:rsidP="00387142">
            <w:pPr>
              <w:rPr>
                <w:color w:val="000000"/>
                <w:sz w:val="20"/>
                <w:szCs w:val="20"/>
              </w:rPr>
            </w:pPr>
            <w:r w:rsidRPr="008B6A75">
              <w:rPr>
                <w:color w:val="000000"/>
                <w:sz w:val="20"/>
                <w:szCs w:val="20"/>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14:paraId="392ADAFD" w14:textId="77777777" w:rsidR="00387142" w:rsidRPr="008B6A75" w:rsidRDefault="00387142" w:rsidP="00387142">
            <w:pPr>
              <w:jc w:val="right"/>
              <w:rPr>
                <w:color w:val="000000"/>
                <w:sz w:val="20"/>
                <w:szCs w:val="20"/>
              </w:rPr>
            </w:pPr>
            <w:r w:rsidRPr="008B6A75">
              <w:rPr>
                <w:color w:val="000000"/>
                <w:sz w:val="20"/>
                <w:szCs w:val="20"/>
              </w:rPr>
              <w:t>0,00</w:t>
            </w:r>
          </w:p>
        </w:tc>
        <w:tc>
          <w:tcPr>
            <w:tcW w:w="850" w:type="dxa"/>
            <w:tcBorders>
              <w:top w:val="nil"/>
              <w:left w:val="nil"/>
              <w:bottom w:val="single" w:sz="4" w:space="0" w:color="auto"/>
              <w:right w:val="single" w:sz="4" w:space="0" w:color="auto"/>
            </w:tcBorders>
            <w:shd w:val="clear" w:color="000000" w:fill="FFFFFF"/>
            <w:noWrap/>
            <w:vAlign w:val="bottom"/>
            <w:hideMark/>
          </w:tcPr>
          <w:p w14:paraId="3C1FE69D" w14:textId="77777777" w:rsidR="00387142" w:rsidRPr="008B6A75" w:rsidRDefault="00387142" w:rsidP="00387142">
            <w:pPr>
              <w:rPr>
                <w:sz w:val="20"/>
                <w:szCs w:val="20"/>
              </w:rPr>
            </w:pPr>
            <w:r w:rsidRPr="008B6A75">
              <w:rPr>
                <w:sz w:val="20"/>
                <w:szCs w:val="20"/>
              </w:rPr>
              <w:t> </w:t>
            </w:r>
          </w:p>
        </w:tc>
        <w:tc>
          <w:tcPr>
            <w:tcW w:w="851" w:type="dxa"/>
            <w:tcBorders>
              <w:top w:val="nil"/>
              <w:left w:val="nil"/>
              <w:bottom w:val="single" w:sz="4" w:space="0" w:color="auto"/>
              <w:right w:val="single" w:sz="4" w:space="0" w:color="auto"/>
            </w:tcBorders>
            <w:shd w:val="clear" w:color="000000" w:fill="FFFFFF"/>
            <w:noWrap/>
            <w:vAlign w:val="bottom"/>
            <w:hideMark/>
          </w:tcPr>
          <w:p w14:paraId="2EDEF28C" w14:textId="77777777" w:rsidR="00387142" w:rsidRPr="008B6A75" w:rsidRDefault="00387142" w:rsidP="00387142">
            <w:pPr>
              <w:jc w:val="right"/>
              <w:rPr>
                <w:sz w:val="20"/>
                <w:szCs w:val="20"/>
              </w:rPr>
            </w:pPr>
            <w:r w:rsidRPr="008B6A75">
              <w:rPr>
                <w:sz w:val="20"/>
                <w:szCs w:val="20"/>
              </w:rPr>
              <w:t>43 004,00</w:t>
            </w:r>
          </w:p>
        </w:tc>
        <w:tc>
          <w:tcPr>
            <w:tcW w:w="553" w:type="dxa"/>
            <w:gridSpan w:val="2"/>
            <w:vAlign w:val="center"/>
            <w:hideMark/>
          </w:tcPr>
          <w:p w14:paraId="3A0BB2B6" w14:textId="77777777" w:rsidR="00387142" w:rsidRPr="008B6A75" w:rsidRDefault="00387142" w:rsidP="00387142">
            <w:pPr>
              <w:rPr>
                <w:sz w:val="20"/>
                <w:szCs w:val="20"/>
              </w:rPr>
            </w:pPr>
          </w:p>
        </w:tc>
      </w:tr>
      <w:tr w:rsidR="00387142" w:rsidRPr="008B6A75" w14:paraId="5C648911" w14:textId="77777777" w:rsidTr="00387142">
        <w:trPr>
          <w:trHeight w:val="300"/>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14:paraId="6F623FE8" w14:textId="77777777" w:rsidR="00387142" w:rsidRPr="008B6A75" w:rsidRDefault="00387142" w:rsidP="00387142">
            <w:pPr>
              <w:jc w:val="right"/>
              <w:rPr>
                <w:color w:val="000000"/>
                <w:sz w:val="20"/>
                <w:szCs w:val="20"/>
              </w:rPr>
            </w:pPr>
            <w:r w:rsidRPr="008B6A75">
              <w:rPr>
                <w:color w:val="000000"/>
                <w:sz w:val="20"/>
                <w:szCs w:val="20"/>
              </w:rPr>
              <w:t>4</w:t>
            </w:r>
          </w:p>
        </w:tc>
        <w:tc>
          <w:tcPr>
            <w:tcW w:w="426" w:type="dxa"/>
            <w:tcBorders>
              <w:top w:val="nil"/>
              <w:left w:val="nil"/>
              <w:bottom w:val="single" w:sz="4" w:space="0" w:color="auto"/>
              <w:right w:val="single" w:sz="4" w:space="0" w:color="auto"/>
            </w:tcBorders>
            <w:shd w:val="clear" w:color="auto" w:fill="auto"/>
            <w:noWrap/>
            <w:vAlign w:val="bottom"/>
            <w:hideMark/>
          </w:tcPr>
          <w:p w14:paraId="273AACBB" w14:textId="77777777" w:rsidR="00387142" w:rsidRPr="008B6A75" w:rsidRDefault="00387142" w:rsidP="00387142">
            <w:pPr>
              <w:rPr>
                <w:color w:val="000000"/>
                <w:sz w:val="20"/>
                <w:szCs w:val="20"/>
              </w:rPr>
            </w:pPr>
            <w:proofErr w:type="spellStart"/>
            <w:r w:rsidRPr="008B6A75">
              <w:rPr>
                <w:color w:val="000000"/>
                <w:sz w:val="20"/>
                <w:szCs w:val="20"/>
              </w:rPr>
              <w:t>Верхичи</w:t>
            </w:r>
            <w:r w:rsidRPr="008B6A75">
              <w:rPr>
                <w:color w:val="000000"/>
                <w:sz w:val="20"/>
                <w:szCs w:val="20"/>
              </w:rPr>
              <w:lastRenderedPageBreak/>
              <w:t>нский</w:t>
            </w:r>
            <w:proofErr w:type="spellEnd"/>
          </w:p>
        </w:tc>
        <w:tc>
          <w:tcPr>
            <w:tcW w:w="567" w:type="dxa"/>
            <w:tcBorders>
              <w:top w:val="nil"/>
              <w:left w:val="nil"/>
              <w:bottom w:val="single" w:sz="4" w:space="0" w:color="auto"/>
              <w:right w:val="single" w:sz="4" w:space="0" w:color="auto"/>
            </w:tcBorders>
            <w:shd w:val="clear" w:color="auto" w:fill="auto"/>
            <w:noWrap/>
            <w:vAlign w:val="bottom"/>
            <w:hideMark/>
          </w:tcPr>
          <w:p w14:paraId="110148BE" w14:textId="77777777" w:rsidR="00387142" w:rsidRPr="008B6A75" w:rsidRDefault="00387142" w:rsidP="00387142">
            <w:pPr>
              <w:jc w:val="right"/>
              <w:rPr>
                <w:bCs/>
                <w:color w:val="000000"/>
                <w:sz w:val="20"/>
                <w:szCs w:val="20"/>
              </w:rPr>
            </w:pPr>
            <w:r w:rsidRPr="008B6A75">
              <w:rPr>
                <w:bCs/>
                <w:color w:val="000000"/>
                <w:sz w:val="20"/>
                <w:szCs w:val="20"/>
              </w:rPr>
              <w:lastRenderedPageBreak/>
              <w:t>41 773,00</w:t>
            </w:r>
          </w:p>
        </w:tc>
        <w:tc>
          <w:tcPr>
            <w:tcW w:w="850" w:type="dxa"/>
            <w:tcBorders>
              <w:top w:val="nil"/>
              <w:left w:val="nil"/>
              <w:bottom w:val="single" w:sz="4" w:space="0" w:color="auto"/>
              <w:right w:val="single" w:sz="4" w:space="0" w:color="auto"/>
            </w:tcBorders>
            <w:shd w:val="clear" w:color="auto" w:fill="auto"/>
            <w:noWrap/>
            <w:vAlign w:val="bottom"/>
            <w:hideMark/>
          </w:tcPr>
          <w:p w14:paraId="79506D72" w14:textId="77777777" w:rsidR="00387142" w:rsidRPr="008B6A75" w:rsidRDefault="00387142" w:rsidP="00387142">
            <w:pPr>
              <w:rPr>
                <w:color w:val="000000"/>
                <w:sz w:val="20"/>
                <w:szCs w:val="20"/>
              </w:rPr>
            </w:pPr>
            <w:r w:rsidRPr="008B6A75">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14:paraId="1D83B91C" w14:textId="77777777" w:rsidR="00387142" w:rsidRPr="008B6A75" w:rsidRDefault="00387142" w:rsidP="00387142">
            <w:pPr>
              <w:rPr>
                <w:color w:val="000000"/>
                <w:sz w:val="20"/>
                <w:szCs w:val="20"/>
              </w:rPr>
            </w:pPr>
            <w:r w:rsidRPr="008B6A75">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14:paraId="6161230A" w14:textId="77777777" w:rsidR="00387142" w:rsidRPr="008B6A75" w:rsidRDefault="00387142" w:rsidP="00387142">
            <w:pPr>
              <w:rPr>
                <w:color w:val="000000"/>
                <w:sz w:val="20"/>
                <w:szCs w:val="20"/>
              </w:rPr>
            </w:pPr>
            <w:r w:rsidRPr="008B6A75">
              <w:rPr>
                <w:color w:val="000000"/>
                <w:sz w:val="20"/>
                <w:szCs w:val="20"/>
              </w:rPr>
              <w:t> </w:t>
            </w:r>
          </w:p>
        </w:tc>
        <w:tc>
          <w:tcPr>
            <w:tcW w:w="851" w:type="dxa"/>
            <w:tcBorders>
              <w:top w:val="nil"/>
              <w:left w:val="nil"/>
              <w:bottom w:val="single" w:sz="4" w:space="0" w:color="auto"/>
              <w:right w:val="single" w:sz="4" w:space="0" w:color="auto"/>
            </w:tcBorders>
            <w:shd w:val="clear" w:color="auto" w:fill="auto"/>
            <w:noWrap/>
            <w:vAlign w:val="bottom"/>
            <w:hideMark/>
          </w:tcPr>
          <w:p w14:paraId="668A157D" w14:textId="77777777" w:rsidR="00387142" w:rsidRPr="008B6A75" w:rsidRDefault="00387142" w:rsidP="00387142">
            <w:pPr>
              <w:rPr>
                <w:color w:val="000000"/>
                <w:sz w:val="20"/>
                <w:szCs w:val="20"/>
              </w:rPr>
            </w:pPr>
            <w:r w:rsidRPr="008B6A75">
              <w:rPr>
                <w:color w:val="000000"/>
                <w:sz w:val="20"/>
                <w:szCs w:val="20"/>
              </w:rPr>
              <w:t> </w:t>
            </w:r>
          </w:p>
        </w:tc>
        <w:tc>
          <w:tcPr>
            <w:tcW w:w="1215" w:type="dxa"/>
            <w:tcBorders>
              <w:top w:val="nil"/>
              <w:left w:val="nil"/>
              <w:bottom w:val="single" w:sz="4" w:space="0" w:color="auto"/>
              <w:right w:val="single" w:sz="4" w:space="0" w:color="auto"/>
            </w:tcBorders>
            <w:shd w:val="clear" w:color="auto" w:fill="auto"/>
            <w:noWrap/>
            <w:vAlign w:val="bottom"/>
            <w:hideMark/>
          </w:tcPr>
          <w:p w14:paraId="5A675AF6" w14:textId="77777777" w:rsidR="00387142" w:rsidRPr="008B6A75" w:rsidRDefault="00387142" w:rsidP="00387142">
            <w:pPr>
              <w:rPr>
                <w:color w:val="000000"/>
                <w:sz w:val="20"/>
                <w:szCs w:val="20"/>
              </w:rPr>
            </w:pPr>
            <w:r w:rsidRPr="008B6A75">
              <w:rPr>
                <w:color w:val="000000"/>
                <w:sz w:val="20"/>
                <w:szCs w:val="20"/>
              </w:rPr>
              <w:t> </w:t>
            </w:r>
          </w:p>
        </w:tc>
        <w:tc>
          <w:tcPr>
            <w:tcW w:w="769" w:type="dxa"/>
            <w:tcBorders>
              <w:top w:val="nil"/>
              <w:left w:val="nil"/>
              <w:bottom w:val="single" w:sz="4" w:space="0" w:color="auto"/>
              <w:right w:val="single" w:sz="4" w:space="0" w:color="auto"/>
            </w:tcBorders>
            <w:shd w:val="clear" w:color="auto" w:fill="auto"/>
            <w:noWrap/>
            <w:vAlign w:val="bottom"/>
            <w:hideMark/>
          </w:tcPr>
          <w:p w14:paraId="4A19878D" w14:textId="77777777" w:rsidR="00387142" w:rsidRPr="008B6A75" w:rsidRDefault="00387142" w:rsidP="00387142">
            <w:pPr>
              <w:rPr>
                <w:color w:val="000000"/>
                <w:sz w:val="20"/>
                <w:szCs w:val="20"/>
              </w:rPr>
            </w:pPr>
            <w:r w:rsidRPr="008B6A75">
              <w:rPr>
                <w:color w:val="000000"/>
                <w:sz w:val="20"/>
                <w:szCs w:val="20"/>
              </w:rPr>
              <w:t> </w:t>
            </w:r>
          </w:p>
        </w:tc>
        <w:tc>
          <w:tcPr>
            <w:tcW w:w="709" w:type="dxa"/>
            <w:tcBorders>
              <w:top w:val="nil"/>
              <w:left w:val="nil"/>
              <w:bottom w:val="single" w:sz="4" w:space="0" w:color="auto"/>
              <w:right w:val="single" w:sz="4" w:space="0" w:color="auto"/>
            </w:tcBorders>
            <w:shd w:val="clear" w:color="auto" w:fill="auto"/>
            <w:noWrap/>
            <w:vAlign w:val="bottom"/>
            <w:hideMark/>
          </w:tcPr>
          <w:p w14:paraId="5072138C" w14:textId="77777777" w:rsidR="00387142" w:rsidRPr="008B6A75" w:rsidRDefault="00387142" w:rsidP="00387142">
            <w:pPr>
              <w:rPr>
                <w:color w:val="000000"/>
                <w:sz w:val="20"/>
                <w:szCs w:val="20"/>
              </w:rPr>
            </w:pPr>
            <w:r w:rsidRPr="008B6A75">
              <w:rPr>
                <w:color w:val="000000"/>
                <w:sz w:val="20"/>
                <w:szCs w:val="20"/>
              </w:rPr>
              <w:t> </w:t>
            </w:r>
          </w:p>
        </w:tc>
        <w:tc>
          <w:tcPr>
            <w:tcW w:w="850" w:type="dxa"/>
            <w:tcBorders>
              <w:top w:val="nil"/>
              <w:left w:val="nil"/>
              <w:bottom w:val="single" w:sz="4" w:space="0" w:color="auto"/>
              <w:right w:val="single" w:sz="4" w:space="0" w:color="auto"/>
            </w:tcBorders>
            <w:shd w:val="clear" w:color="auto" w:fill="auto"/>
            <w:noWrap/>
            <w:vAlign w:val="bottom"/>
            <w:hideMark/>
          </w:tcPr>
          <w:p w14:paraId="4364CE35" w14:textId="77777777" w:rsidR="00387142" w:rsidRPr="008B6A75" w:rsidRDefault="00387142" w:rsidP="00387142">
            <w:pPr>
              <w:jc w:val="right"/>
              <w:rPr>
                <w:color w:val="000000"/>
                <w:sz w:val="20"/>
                <w:szCs w:val="20"/>
              </w:rPr>
            </w:pPr>
            <w:r w:rsidRPr="008B6A75">
              <w:rPr>
                <w:color w:val="000000"/>
                <w:sz w:val="20"/>
                <w:szCs w:val="20"/>
              </w:rPr>
              <w:t>1 773,00</w:t>
            </w:r>
          </w:p>
        </w:tc>
        <w:tc>
          <w:tcPr>
            <w:tcW w:w="1701" w:type="dxa"/>
            <w:tcBorders>
              <w:top w:val="nil"/>
              <w:left w:val="nil"/>
              <w:bottom w:val="single" w:sz="4" w:space="0" w:color="auto"/>
              <w:right w:val="single" w:sz="4" w:space="0" w:color="auto"/>
            </w:tcBorders>
            <w:shd w:val="clear" w:color="auto" w:fill="auto"/>
            <w:noWrap/>
            <w:vAlign w:val="bottom"/>
            <w:hideMark/>
          </w:tcPr>
          <w:p w14:paraId="0D4793C2" w14:textId="77777777" w:rsidR="00387142" w:rsidRPr="008B6A75" w:rsidRDefault="00387142" w:rsidP="00387142">
            <w:pPr>
              <w:rPr>
                <w:color w:val="000000"/>
                <w:sz w:val="20"/>
                <w:szCs w:val="20"/>
              </w:rPr>
            </w:pPr>
            <w:r w:rsidRPr="008B6A75">
              <w:rPr>
                <w:color w:val="000000"/>
                <w:sz w:val="20"/>
                <w:szCs w:val="20"/>
              </w:rPr>
              <w:t> </w:t>
            </w:r>
          </w:p>
        </w:tc>
        <w:tc>
          <w:tcPr>
            <w:tcW w:w="851" w:type="dxa"/>
            <w:tcBorders>
              <w:top w:val="nil"/>
              <w:left w:val="nil"/>
              <w:bottom w:val="single" w:sz="4" w:space="0" w:color="auto"/>
              <w:right w:val="single" w:sz="4" w:space="0" w:color="auto"/>
            </w:tcBorders>
            <w:shd w:val="clear" w:color="auto" w:fill="auto"/>
            <w:noWrap/>
            <w:vAlign w:val="bottom"/>
            <w:hideMark/>
          </w:tcPr>
          <w:p w14:paraId="0DFC3E6A" w14:textId="77777777" w:rsidR="00387142" w:rsidRPr="008B6A75" w:rsidRDefault="00387142" w:rsidP="00387142">
            <w:pPr>
              <w:rPr>
                <w:color w:val="000000"/>
                <w:sz w:val="20"/>
                <w:szCs w:val="20"/>
              </w:rPr>
            </w:pPr>
            <w:r w:rsidRPr="008B6A75">
              <w:rPr>
                <w:color w:val="000000"/>
                <w:sz w:val="20"/>
                <w:szCs w:val="20"/>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14:paraId="20F3202F" w14:textId="77777777" w:rsidR="00387142" w:rsidRPr="008B6A75" w:rsidRDefault="00387142" w:rsidP="00387142">
            <w:pPr>
              <w:rPr>
                <w:color w:val="000000"/>
                <w:sz w:val="20"/>
                <w:szCs w:val="20"/>
              </w:rPr>
            </w:pPr>
            <w:r w:rsidRPr="008B6A75">
              <w:rPr>
                <w:color w:val="000000"/>
                <w:sz w:val="20"/>
                <w:szCs w:val="20"/>
              </w:rPr>
              <w:t> </w:t>
            </w:r>
          </w:p>
        </w:tc>
        <w:tc>
          <w:tcPr>
            <w:tcW w:w="568" w:type="dxa"/>
            <w:gridSpan w:val="2"/>
            <w:tcBorders>
              <w:top w:val="nil"/>
              <w:left w:val="nil"/>
              <w:bottom w:val="single" w:sz="4" w:space="0" w:color="auto"/>
              <w:right w:val="single" w:sz="4" w:space="0" w:color="auto"/>
            </w:tcBorders>
            <w:shd w:val="clear" w:color="auto" w:fill="auto"/>
            <w:noWrap/>
            <w:vAlign w:val="bottom"/>
            <w:hideMark/>
          </w:tcPr>
          <w:p w14:paraId="2A265CFA" w14:textId="77777777" w:rsidR="00387142" w:rsidRPr="008B6A75" w:rsidRDefault="00387142" w:rsidP="00387142">
            <w:pPr>
              <w:rPr>
                <w:color w:val="000000"/>
                <w:sz w:val="20"/>
                <w:szCs w:val="20"/>
              </w:rPr>
            </w:pPr>
            <w:r w:rsidRPr="008B6A75">
              <w:rPr>
                <w:color w:val="000000"/>
                <w:sz w:val="20"/>
                <w:szCs w:val="20"/>
              </w:rPr>
              <w:t> </w:t>
            </w:r>
          </w:p>
        </w:tc>
        <w:tc>
          <w:tcPr>
            <w:tcW w:w="566" w:type="dxa"/>
            <w:gridSpan w:val="2"/>
            <w:tcBorders>
              <w:top w:val="nil"/>
              <w:left w:val="nil"/>
              <w:bottom w:val="single" w:sz="4" w:space="0" w:color="auto"/>
              <w:right w:val="single" w:sz="4" w:space="0" w:color="auto"/>
            </w:tcBorders>
            <w:shd w:val="clear" w:color="auto" w:fill="auto"/>
            <w:noWrap/>
            <w:vAlign w:val="bottom"/>
            <w:hideMark/>
          </w:tcPr>
          <w:p w14:paraId="1CC9BB9D" w14:textId="77777777" w:rsidR="00387142" w:rsidRPr="008B6A75" w:rsidRDefault="00387142" w:rsidP="00387142">
            <w:pPr>
              <w:rPr>
                <w:color w:val="000000"/>
                <w:sz w:val="20"/>
                <w:szCs w:val="20"/>
              </w:rPr>
            </w:pPr>
            <w:r w:rsidRPr="008B6A75">
              <w:rPr>
                <w:color w:val="000000"/>
                <w:sz w:val="20"/>
                <w:szCs w:val="20"/>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14:paraId="022F32E2" w14:textId="77777777" w:rsidR="00387142" w:rsidRPr="008B6A75" w:rsidRDefault="00387142" w:rsidP="00387142">
            <w:pPr>
              <w:rPr>
                <w:color w:val="000000"/>
                <w:sz w:val="20"/>
                <w:szCs w:val="20"/>
              </w:rPr>
            </w:pPr>
            <w:r w:rsidRPr="008B6A75">
              <w:rPr>
                <w:color w:val="000000"/>
                <w:sz w:val="20"/>
                <w:szCs w:val="20"/>
              </w:rPr>
              <w:t> </w:t>
            </w:r>
          </w:p>
        </w:tc>
        <w:tc>
          <w:tcPr>
            <w:tcW w:w="850" w:type="dxa"/>
            <w:tcBorders>
              <w:top w:val="nil"/>
              <w:left w:val="nil"/>
              <w:bottom w:val="single" w:sz="4" w:space="0" w:color="auto"/>
              <w:right w:val="single" w:sz="4" w:space="0" w:color="auto"/>
            </w:tcBorders>
            <w:shd w:val="clear" w:color="000000" w:fill="FFFFFF"/>
            <w:noWrap/>
            <w:vAlign w:val="bottom"/>
            <w:hideMark/>
          </w:tcPr>
          <w:p w14:paraId="67BFA818" w14:textId="77777777" w:rsidR="00387142" w:rsidRPr="008B6A75" w:rsidRDefault="00387142" w:rsidP="00387142">
            <w:pPr>
              <w:rPr>
                <w:sz w:val="20"/>
                <w:szCs w:val="20"/>
              </w:rPr>
            </w:pPr>
            <w:r w:rsidRPr="008B6A75">
              <w:rPr>
                <w:sz w:val="20"/>
                <w:szCs w:val="20"/>
              </w:rPr>
              <w:t> </w:t>
            </w:r>
          </w:p>
        </w:tc>
        <w:tc>
          <w:tcPr>
            <w:tcW w:w="851" w:type="dxa"/>
            <w:tcBorders>
              <w:top w:val="nil"/>
              <w:left w:val="nil"/>
              <w:bottom w:val="single" w:sz="4" w:space="0" w:color="auto"/>
              <w:right w:val="single" w:sz="4" w:space="0" w:color="auto"/>
            </w:tcBorders>
            <w:shd w:val="clear" w:color="000000" w:fill="FFFFFF"/>
            <w:noWrap/>
            <w:vAlign w:val="bottom"/>
            <w:hideMark/>
          </w:tcPr>
          <w:p w14:paraId="3EA09011" w14:textId="77777777" w:rsidR="00387142" w:rsidRPr="008B6A75" w:rsidRDefault="00387142" w:rsidP="00387142">
            <w:pPr>
              <w:jc w:val="right"/>
              <w:rPr>
                <w:sz w:val="20"/>
                <w:szCs w:val="20"/>
              </w:rPr>
            </w:pPr>
            <w:r w:rsidRPr="008B6A75">
              <w:rPr>
                <w:sz w:val="20"/>
                <w:szCs w:val="20"/>
              </w:rPr>
              <w:t>40 000,00</w:t>
            </w:r>
          </w:p>
        </w:tc>
        <w:tc>
          <w:tcPr>
            <w:tcW w:w="553" w:type="dxa"/>
            <w:gridSpan w:val="2"/>
            <w:vAlign w:val="center"/>
            <w:hideMark/>
          </w:tcPr>
          <w:p w14:paraId="30C3A382" w14:textId="77777777" w:rsidR="00387142" w:rsidRPr="008B6A75" w:rsidRDefault="00387142" w:rsidP="00387142">
            <w:pPr>
              <w:rPr>
                <w:sz w:val="20"/>
                <w:szCs w:val="20"/>
              </w:rPr>
            </w:pPr>
          </w:p>
        </w:tc>
      </w:tr>
      <w:tr w:rsidR="00387142" w:rsidRPr="008B6A75" w14:paraId="3CE231C6" w14:textId="77777777" w:rsidTr="00387142">
        <w:trPr>
          <w:trHeight w:val="300"/>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14:paraId="17EB3F06" w14:textId="77777777" w:rsidR="00387142" w:rsidRPr="008B6A75" w:rsidRDefault="00387142" w:rsidP="00387142">
            <w:pPr>
              <w:jc w:val="right"/>
              <w:rPr>
                <w:color w:val="000000"/>
                <w:sz w:val="20"/>
                <w:szCs w:val="20"/>
              </w:rPr>
            </w:pPr>
            <w:r w:rsidRPr="008B6A75">
              <w:rPr>
                <w:color w:val="000000"/>
                <w:sz w:val="20"/>
                <w:szCs w:val="20"/>
              </w:rPr>
              <w:t>5</w:t>
            </w:r>
          </w:p>
        </w:tc>
        <w:tc>
          <w:tcPr>
            <w:tcW w:w="426" w:type="dxa"/>
            <w:tcBorders>
              <w:top w:val="nil"/>
              <w:left w:val="nil"/>
              <w:bottom w:val="single" w:sz="4" w:space="0" w:color="auto"/>
              <w:right w:val="single" w:sz="4" w:space="0" w:color="auto"/>
            </w:tcBorders>
            <w:shd w:val="clear" w:color="auto" w:fill="auto"/>
            <w:noWrap/>
            <w:vAlign w:val="bottom"/>
            <w:hideMark/>
          </w:tcPr>
          <w:p w14:paraId="36DD8799" w14:textId="77777777" w:rsidR="00387142" w:rsidRPr="008B6A75" w:rsidRDefault="00387142" w:rsidP="00387142">
            <w:pPr>
              <w:rPr>
                <w:color w:val="000000"/>
                <w:sz w:val="20"/>
                <w:szCs w:val="20"/>
              </w:rPr>
            </w:pPr>
            <w:proofErr w:type="spellStart"/>
            <w:r w:rsidRPr="008B6A75">
              <w:rPr>
                <w:color w:val="000000"/>
                <w:sz w:val="20"/>
                <w:szCs w:val="20"/>
              </w:rPr>
              <w:t>Веснянский</w:t>
            </w:r>
            <w:proofErr w:type="spellEnd"/>
          </w:p>
        </w:tc>
        <w:tc>
          <w:tcPr>
            <w:tcW w:w="567" w:type="dxa"/>
            <w:tcBorders>
              <w:top w:val="nil"/>
              <w:left w:val="nil"/>
              <w:bottom w:val="single" w:sz="4" w:space="0" w:color="auto"/>
              <w:right w:val="single" w:sz="4" w:space="0" w:color="auto"/>
            </w:tcBorders>
            <w:shd w:val="clear" w:color="auto" w:fill="auto"/>
            <w:noWrap/>
            <w:vAlign w:val="bottom"/>
            <w:hideMark/>
          </w:tcPr>
          <w:p w14:paraId="6BA7B7D2" w14:textId="77777777" w:rsidR="00387142" w:rsidRPr="008B6A75" w:rsidRDefault="00387142" w:rsidP="00387142">
            <w:pPr>
              <w:jc w:val="right"/>
              <w:rPr>
                <w:bCs/>
                <w:color w:val="000000"/>
                <w:sz w:val="20"/>
                <w:szCs w:val="20"/>
              </w:rPr>
            </w:pPr>
            <w:r w:rsidRPr="008B6A75">
              <w:rPr>
                <w:bCs/>
                <w:color w:val="000000"/>
                <w:sz w:val="20"/>
                <w:szCs w:val="20"/>
              </w:rPr>
              <w:t>54 185,71</w:t>
            </w:r>
          </w:p>
        </w:tc>
        <w:tc>
          <w:tcPr>
            <w:tcW w:w="850" w:type="dxa"/>
            <w:tcBorders>
              <w:top w:val="nil"/>
              <w:left w:val="nil"/>
              <w:bottom w:val="single" w:sz="4" w:space="0" w:color="auto"/>
              <w:right w:val="single" w:sz="4" w:space="0" w:color="auto"/>
            </w:tcBorders>
            <w:shd w:val="clear" w:color="auto" w:fill="auto"/>
            <w:noWrap/>
            <w:vAlign w:val="bottom"/>
            <w:hideMark/>
          </w:tcPr>
          <w:p w14:paraId="1C43D8D2" w14:textId="77777777" w:rsidR="00387142" w:rsidRPr="008B6A75" w:rsidRDefault="00387142" w:rsidP="00387142">
            <w:pPr>
              <w:rPr>
                <w:color w:val="000000"/>
                <w:sz w:val="20"/>
                <w:szCs w:val="20"/>
              </w:rPr>
            </w:pPr>
            <w:r w:rsidRPr="008B6A75">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14:paraId="71E1A88F" w14:textId="77777777" w:rsidR="00387142" w:rsidRPr="008B6A75" w:rsidRDefault="00387142" w:rsidP="00387142">
            <w:pPr>
              <w:rPr>
                <w:color w:val="000000"/>
                <w:sz w:val="20"/>
                <w:szCs w:val="20"/>
              </w:rPr>
            </w:pPr>
            <w:r w:rsidRPr="008B6A75">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14:paraId="790C5F98" w14:textId="77777777" w:rsidR="00387142" w:rsidRPr="008B6A75" w:rsidRDefault="00387142" w:rsidP="00387142">
            <w:pPr>
              <w:rPr>
                <w:color w:val="000000"/>
                <w:sz w:val="20"/>
                <w:szCs w:val="20"/>
              </w:rPr>
            </w:pPr>
            <w:r w:rsidRPr="008B6A75">
              <w:rPr>
                <w:color w:val="000000"/>
                <w:sz w:val="20"/>
                <w:szCs w:val="20"/>
              </w:rPr>
              <w:t> </w:t>
            </w:r>
          </w:p>
        </w:tc>
        <w:tc>
          <w:tcPr>
            <w:tcW w:w="851" w:type="dxa"/>
            <w:tcBorders>
              <w:top w:val="nil"/>
              <w:left w:val="nil"/>
              <w:bottom w:val="single" w:sz="4" w:space="0" w:color="auto"/>
              <w:right w:val="single" w:sz="4" w:space="0" w:color="auto"/>
            </w:tcBorders>
            <w:shd w:val="clear" w:color="auto" w:fill="auto"/>
            <w:noWrap/>
            <w:vAlign w:val="bottom"/>
            <w:hideMark/>
          </w:tcPr>
          <w:p w14:paraId="6ABC4EEA" w14:textId="77777777" w:rsidR="00387142" w:rsidRPr="008B6A75" w:rsidRDefault="00387142" w:rsidP="00387142">
            <w:pPr>
              <w:rPr>
                <w:color w:val="000000"/>
                <w:sz w:val="20"/>
                <w:szCs w:val="20"/>
              </w:rPr>
            </w:pPr>
            <w:r w:rsidRPr="008B6A75">
              <w:rPr>
                <w:color w:val="000000"/>
                <w:sz w:val="20"/>
                <w:szCs w:val="20"/>
              </w:rPr>
              <w:t> </w:t>
            </w:r>
          </w:p>
        </w:tc>
        <w:tc>
          <w:tcPr>
            <w:tcW w:w="1215" w:type="dxa"/>
            <w:tcBorders>
              <w:top w:val="nil"/>
              <w:left w:val="nil"/>
              <w:bottom w:val="single" w:sz="4" w:space="0" w:color="auto"/>
              <w:right w:val="single" w:sz="4" w:space="0" w:color="auto"/>
            </w:tcBorders>
            <w:shd w:val="clear" w:color="auto" w:fill="auto"/>
            <w:noWrap/>
            <w:vAlign w:val="bottom"/>
            <w:hideMark/>
          </w:tcPr>
          <w:p w14:paraId="552C5B38" w14:textId="77777777" w:rsidR="00387142" w:rsidRPr="008B6A75" w:rsidRDefault="00387142" w:rsidP="00387142">
            <w:pPr>
              <w:rPr>
                <w:color w:val="000000"/>
                <w:sz w:val="20"/>
                <w:szCs w:val="20"/>
              </w:rPr>
            </w:pPr>
            <w:r w:rsidRPr="008B6A75">
              <w:rPr>
                <w:color w:val="000000"/>
                <w:sz w:val="20"/>
                <w:szCs w:val="20"/>
              </w:rPr>
              <w:t> </w:t>
            </w:r>
          </w:p>
        </w:tc>
        <w:tc>
          <w:tcPr>
            <w:tcW w:w="769" w:type="dxa"/>
            <w:tcBorders>
              <w:top w:val="nil"/>
              <w:left w:val="nil"/>
              <w:bottom w:val="single" w:sz="4" w:space="0" w:color="auto"/>
              <w:right w:val="single" w:sz="4" w:space="0" w:color="auto"/>
            </w:tcBorders>
            <w:shd w:val="clear" w:color="auto" w:fill="auto"/>
            <w:noWrap/>
            <w:vAlign w:val="bottom"/>
            <w:hideMark/>
          </w:tcPr>
          <w:p w14:paraId="21B468FC" w14:textId="77777777" w:rsidR="00387142" w:rsidRPr="008B6A75" w:rsidRDefault="00387142" w:rsidP="00387142">
            <w:pPr>
              <w:rPr>
                <w:color w:val="000000"/>
                <w:sz w:val="20"/>
                <w:szCs w:val="20"/>
              </w:rPr>
            </w:pPr>
            <w:r w:rsidRPr="008B6A75">
              <w:rPr>
                <w:color w:val="000000"/>
                <w:sz w:val="20"/>
                <w:szCs w:val="20"/>
              </w:rPr>
              <w:t> </w:t>
            </w:r>
          </w:p>
        </w:tc>
        <w:tc>
          <w:tcPr>
            <w:tcW w:w="709" w:type="dxa"/>
            <w:tcBorders>
              <w:top w:val="nil"/>
              <w:left w:val="nil"/>
              <w:bottom w:val="single" w:sz="4" w:space="0" w:color="auto"/>
              <w:right w:val="single" w:sz="4" w:space="0" w:color="auto"/>
            </w:tcBorders>
            <w:shd w:val="clear" w:color="auto" w:fill="auto"/>
            <w:noWrap/>
            <w:vAlign w:val="bottom"/>
            <w:hideMark/>
          </w:tcPr>
          <w:p w14:paraId="212C45C5" w14:textId="77777777" w:rsidR="00387142" w:rsidRPr="008B6A75" w:rsidRDefault="00387142" w:rsidP="00387142">
            <w:pPr>
              <w:rPr>
                <w:color w:val="000000"/>
                <w:sz w:val="20"/>
                <w:szCs w:val="20"/>
              </w:rPr>
            </w:pPr>
            <w:r w:rsidRPr="008B6A75">
              <w:rPr>
                <w:color w:val="000000"/>
                <w:sz w:val="20"/>
                <w:szCs w:val="20"/>
              </w:rPr>
              <w:t> </w:t>
            </w:r>
          </w:p>
        </w:tc>
        <w:tc>
          <w:tcPr>
            <w:tcW w:w="850" w:type="dxa"/>
            <w:tcBorders>
              <w:top w:val="nil"/>
              <w:left w:val="nil"/>
              <w:bottom w:val="single" w:sz="4" w:space="0" w:color="auto"/>
              <w:right w:val="single" w:sz="4" w:space="0" w:color="auto"/>
            </w:tcBorders>
            <w:shd w:val="clear" w:color="auto" w:fill="auto"/>
            <w:noWrap/>
            <w:vAlign w:val="bottom"/>
            <w:hideMark/>
          </w:tcPr>
          <w:p w14:paraId="3A7D4F36" w14:textId="77777777" w:rsidR="00387142" w:rsidRPr="008B6A75" w:rsidRDefault="00387142" w:rsidP="00387142">
            <w:pPr>
              <w:jc w:val="right"/>
              <w:rPr>
                <w:color w:val="000000"/>
                <w:sz w:val="20"/>
                <w:szCs w:val="20"/>
              </w:rPr>
            </w:pPr>
            <w:r w:rsidRPr="008B6A75">
              <w:rPr>
                <w:color w:val="000000"/>
                <w:sz w:val="20"/>
                <w:szCs w:val="20"/>
              </w:rPr>
              <w:t>3 546,00</w:t>
            </w:r>
          </w:p>
        </w:tc>
        <w:tc>
          <w:tcPr>
            <w:tcW w:w="1701" w:type="dxa"/>
            <w:tcBorders>
              <w:top w:val="nil"/>
              <w:left w:val="nil"/>
              <w:bottom w:val="single" w:sz="4" w:space="0" w:color="auto"/>
              <w:right w:val="single" w:sz="4" w:space="0" w:color="auto"/>
            </w:tcBorders>
            <w:shd w:val="clear" w:color="auto" w:fill="auto"/>
            <w:noWrap/>
            <w:vAlign w:val="bottom"/>
            <w:hideMark/>
          </w:tcPr>
          <w:p w14:paraId="7454B0BE" w14:textId="77777777" w:rsidR="00387142" w:rsidRPr="008B6A75" w:rsidRDefault="00387142" w:rsidP="00387142">
            <w:pPr>
              <w:rPr>
                <w:color w:val="000000"/>
                <w:sz w:val="20"/>
                <w:szCs w:val="20"/>
              </w:rPr>
            </w:pPr>
            <w:r w:rsidRPr="008B6A75">
              <w:rPr>
                <w:color w:val="000000"/>
                <w:sz w:val="20"/>
                <w:szCs w:val="20"/>
              </w:rPr>
              <w:t> </w:t>
            </w:r>
          </w:p>
        </w:tc>
        <w:tc>
          <w:tcPr>
            <w:tcW w:w="851" w:type="dxa"/>
            <w:tcBorders>
              <w:top w:val="nil"/>
              <w:left w:val="nil"/>
              <w:bottom w:val="single" w:sz="4" w:space="0" w:color="auto"/>
              <w:right w:val="single" w:sz="4" w:space="0" w:color="auto"/>
            </w:tcBorders>
            <w:shd w:val="clear" w:color="auto" w:fill="auto"/>
            <w:noWrap/>
            <w:vAlign w:val="bottom"/>
            <w:hideMark/>
          </w:tcPr>
          <w:p w14:paraId="700D58F7" w14:textId="77777777" w:rsidR="00387142" w:rsidRPr="008B6A75" w:rsidRDefault="00387142" w:rsidP="00387142">
            <w:pPr>
              <w:rPr>
                <w:color w:val="000000"/>
                <w:sz w:val="20"/>
                <w:szCs w:val="20"/>
              </w:rPr>
            </w:pPr>
            <w:r w:rsidRPr="008B6A75">
              <w:rPr>
                <w:color w:val="000000"/>
                <w:sz w:val="20"/>
                <w:szCs w:val="20"/>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14:paraId="4B1AE3F5" w14:textId="77777777" w:rsidR="00387142" w:rsidRPr="008B6A75" w:rsidRDefault="00387142" w:rsidP="00387142">
            <w:pPr>
              <w:rPr>
                <w:color w:val="000000"/>
                <w:sz w:val="20"/>
                <w:szCs w:val="20"/>
              </w:rPr>
            </w:pPr>
            <w:r w:rsidRPr="008B6A75">
              <w:rPr>
                <w:color w:val="000000"/>
                <w:sz w:val="20"/>
                <w:szCs w:val="20"/>
              </w:rPr>
              <w:t> </w:t>
            </w:r>
          </w:p>
        </w:tc>
        <w:tc>
          <w:tcPr>
            <w:tcW w:w="568" w:type="dxa"/>
            <w:gridSpan w:val="2"/>
            <w:tcBorders>
              <w:top w:val="nil"/>
              <w:left w:val="nil"/>
              <w:bottom w:val="single" w:sz="4" w:space="0" w:color="auto"/>
              <w:right w:val="single" w:sz="4" w:space="0" w:color="auto"/>
            </w:tcBorders>
            <w:shd w:val="clear" w:color="auto" w:fill="auto"/>
            <w:noWrap/>
            <w:vAlign w:val="bottom"/>
            <w:hideMark/>
          </w:tcPr>
          <w:p w14:paraId="61A7FAF4" w14:textId="77777777" w:rsidR="00387142" w:rsidRPr="008B6A75" w:rsidRDefault="00387142" w:rsidP="00387142">
            <w:pPr>
              <w:rPr>
                <w:color w:val="000000"/>
                <w:sz w:val="20"/>
                <w:szCs w:val="20"/>
              </w:rPr>
            </w:pPr>
            <w:r w:rsidRPr="008B6A75">
              <w:rPr>
                <w:color w:val="000000"/>
                <w:sz w:val="20"/>
                <w:szCs w:val="20"/>
              </w:rPr>
              <w:t> </w:t>
            </w:r>
          </w:p>
        </w:tc>
        <w:tc>
          <w:tcPr>
            <w:tcW w:w="566" w:type="dxa"/>
            <w:gridSpan w:val="2"/>
            <w:tcBorders>
              <w:top w:val="nil"/>
              <w:left w:val="nil"/>
              <w:bottom w:val="single" w:sz="4" w:space="0" w:color="auto"/>
              <w:right w:val="single" w:sz="4" w:space="0" w:color="auto"/>
            </w:tcBorders>
            <w:shd w:val="clear" w:color="auto" w:fill="auto"/>
            <w:noWrap/>
            <w:vAlign w:val="bottom"/>
            <w:hideMark/>
          </w:tcPr>
          <w:p w14:paraId="04535163" w14:textId="77777777" w:rsidR="00387142" w:rsidRPr="008B6A75" w:rsidRDefault="00387142" w:rsidP="00387142">
            <w:pPr>
              <w:rPr>
                <w:color w:val="000000"/>
                <w:sz w:val="20"/>
                <w:szCs w:val="20"/>
              </w:rPr>
            </w:pPr>
            <w:r w:rsidRPr="008B6A75">
              <w:rPr>
                <w:color w:val="000000"/>
                <w:sz w:val="20"/>
                <w:szCs w:val="20"/>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14:paraId="0B660847" w14:textId="77777777" w:rsidR="00387142" w:rsidRPr="008B6A75" w:rsidRDefault="00387142" w:rsidP="00387142">
            <w:pPr>
              <w:jc w:val="right"/>
              <w:rPr>
                <w:color w:val="000000"/>
                <w:sz w:val="20"/>
                <w:szCs w:val="20"/>
              </w:rPr>
            </w:pPr>
            <w:r w:rsidRPr="008B6A75">
              <w:rPr>
                <w:color w:val="000000"/>
                <w:sz w:val="20"/>
                <w:szCs w:val="20"/>
              </w:rPr>
              <w:t>22 639,71</w:t>
            </w:r>
          </w:p>
        </w:tc>
        <w:tc>
          <w:tcPr>
            <w:tcW w:w="850" w:type="dxa"/>
            <w:tcBorders>
              <w:top w:val="nil"/>
              <w:left w:val="nil"/>
              <w:bottom w:val="single" w:sz="4" w:space="0" w:color="auto"/>
              <w:right w:val="single" w:sz="4" w:space="0" w:color="auto"/>
            </w:tcBorders>
            <w:shd w:val="clear" w:color="000000" w:fill="FFFFFF"/>
            <w:noWrap/>
            <w:vAlign w:val="bottom"/>
            <w:hideMark/>
          </w:tcPr>
          <w:p w14:paraId="64583FF1" w14:textId="77777777" w:rsidR="00387142" w:rsidRPr="008B6A75" w:rsidRDefault="00387142" w:rsidP="00387142">
            <w:pPr>
              <w:rPr>
                <w:sz w:val="20"/>
                <w:szCs w:val="20"/>
              </w:rPr>
            </w:pPr>
            <w:r w:rsidRPr="008B6A75">
              <w:rPr>
                <w:sz w:val="20"/>
                <w:szCs w:val="20"/>
              </w:rPr>
              <w:t> </w:t>
            </w:r>
          </w:p>
        </w:tc>
        <w:tc>
          <w:tcPr>
            <w:tcW w:w="851" w:type="dxa"/>
            <w:tcBorders>
              <w:top w:val="nil"/>
              <w:left w:val="nil"/>
              <w:bottom w:val="single" w:sz="4" w:space="0" w:color="auto"/>
              <w:right w:val="single" w:sz="4" w:space="0" w:color="auto"/>
            </w:tcBorders>
            <w:shd w:val="clear" w:color="000000" w:fill="FFFFFF"/>
            <w:noWrap/>
            <w:vAlign w:val="bottom"/>
            <w:hideMark/>
          </w:tcPr>
          <w:p w14:paraId="2899EA93" w14:textId="77777777" w:rsidR="00387142" w:rsidRPr="008B6A75" w:rsidRDefault="00387142" w:rsidP="00387142">
            <w:pPr>
              <w:jc w:val="right"/>
              <w:rPr>
                <w:sz w:val="20"/>
                <w:szCs w:val="20"/>
              </w:rPr>
            </w:pPr>
            <w:r w:rsidRPr="008B6A75">
              <w:rPr>
                <w:sz w:val="20"/>
                <w:szCs w:val="20"/>
              </w:rPr>
              <w:t>28 000,00</w:t>
            </w:r>
          </w:p>
        </w:tc>
        <w:tc>
          <w:tcPr>
            <w:tcW w:w="553" w:type="dxa"/>
            <w:gridSpan w:val="2"/>
            <w:vAlign w:val="center"/>
            <w:hideMark/>
          </w:tcPr>
          <w:p w14:paraId="33C8E411" w14:textId="77777777" w:rsidR="00387142" w:rsidRPr="008B6A75" w:rsidRDefault="00387142" w:rsidP="00387142">
            <w:pPr>
              <w:rPr>
                <w:sz w:val="20"/>
                <w:szCs w:val="20"/>
              </w:rPr>
            </w:pPr>
          </w:p>
        </w:tc>
      </w:tr>
      <w:tr w:rsidR="00387142" w:rsidRPr="008B6A75" w14:paraId="52B08214" w14:textId="77777777" w:rsidTr="00387142">
        <w:trPr>
          <w:trHeight w:val="300"/>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14:paraId="4C9C4B5A" w14:textId="77777777" w:rsidR="00387142" w:rsidRPr="008B6A75" w:rsidRDefault="00387142" w:rsidP="00387142">
            <w:pPr>
              <w:jc w:val="right"/>
              <w:rPr>
                <w:color w:val="000000"/>
                <w:sz w:val="20"/>
                <w:szCs w:val="20"/>
              </w:rPr>
            </w:pPr>
            <w:r w:rsidRPr="008B6A75">
              <w:rPr>
                <w:color w:val="000000"/>
                <w:sz w:val="20"/>
                <w:szCs w:val="20"/>
              </w:rPr>
              <w:t>6</w:t>
            </w:r>
          </w:p>
        </w:tc>
        <w:tc>
          <w:tcPr>
            <w:tcW w:w="426" w:type="dxa"/>
            <w:tcBorders>
              <w:top w:val="nil"/>
              <w:left w:val="nil"/>
              <w:bottom w:val="single" w:sz="4" w:space="0" w:color="auto"/>
              <w:right w:val="single" w:sz="4" w:space="0" w:color="auto"/>
            </w:tcBorders>
            <w:shd w:val="clear" w:color="auto" w:fill="auto"/>
            <w:noWrap/>
            <w:vAlign w:val="bottom"/>
            <w:hideMark/>
          </w:tcPr>
          <w:p w14:paraId="23038E0B" w14:textId="77777777" w:rsidR="00387142" w:rsidRPr="008B6A75" w:rsidRDefault="00387142" w:rsidP="00387142">
            <w:pPr>
              <w:rPr>
                <w:color w:val="000000"/>
                <w:sz w:val="20"/>
                <w:szCs w:val="20"/>
              </w:rPr>
            </w:pPr>
            <w:proofErr w:type="spellStart"/>
            <w:r w:rsidRPr="008B6A75">
              <w:rPr>
                <w:color w:val="000000"/>
                <w:sz w:val="20"/>
                <w:szCs w:val="20"/>
              </w:rPr>
              <w:t>Гжатский</w:t>
            </w:r>
            <w:proofErr w:type="spellEnd"/>
          </w:p>
        </w:tc>
        <w:tc>
          <w:tcPr>
            <w:tcW w:w="567" w:type="dxa"/>
            <w:tcBorders>
              <w:top w:val="nil"/>
              <w:left w:val="nil"/>
              <w:bottom w:val="single" w:sz="4" w:space="0" w:color="auto"/>
              <w:right w:val="single" w:sz="4" w:space="0" w:color="auto"/>
            </w:tcBorders>
            <w:shd w:val="clear" w:color="auto" w:fill="auto"/>
            <w:noWrap/>
            <w:vAlign w:val="bottom"/>
            <w:hideMark/>
          </w:tcPr>
          <w:p w14:paraId="5A6D075F" w14:textId="77777777" w:rsidR="00387142" w:rsidRPr="008B6A75" w:rsidRDefault="00387142" w:rsidP="00387142">
            <w:pPr>
              <w:jc w:val="right"/>
              <w:rPr>
                <w:bCs/>
                <w:color w:val="000000"/>
                <w:sz w:val="20"/>
                <w:szCs w:val="20"/>
              </w:rPr>
            </w:pPr>
            <w:r w:rsidRPr="008B6A75">
              <w:rPr>
                <w:bCs/>
                <w:color w:val="000000"/>
                <w:sz w:val="20"/>
                <w:szCs w:val="20"/>
              </w:rPr>
              <w:t>249 718,82</w:t>
            </w:r>
          </w:p>
        </w:tc>
        <w:tc>
          <w:tcPr>
            <w:tcW w:w="850" w:type="dxa"/>
            <w:tcBorders>
              <w:top w:val="nil"/>
              <w:left w:val="nil"/>
              <w:bottom w:val="single" w:sz="4" w:space="0" w:color="auto"/>
              <w:right w:val="single" w:sz="4" w:space="0" w:color="auto"/>
            </w:tcBorders>
            <w:shd w:val="clear" w:color="auto" w:fill="auto"/>
            <w:noWrap/>
            <w:vAlign w:val="bottom"/>
            <w:hideMark/>
          </w:tcPr>
          <w:p w14:paraId="23C0BD60" w14:textId="77777777" w:rsidR="00387142" w:rsidRPr="008B6A75" w:rsidRDefault="00387142" w:rsidP="00387142">
            <w:pPr>
              <w:rPr>
                <w:color w:val="000000"/>
                <w:sz w:val="20"/>
                <w:szCs w:val="20"/>
              </w:rPr>
            </w:pPr>
            <w:r w:rsidRPr="008B6A75">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14:paraId="342DDB00" w14:textId="77777777" w:rsidR="00387142" w:rsidRPr="008B6A75" w:rsidRDefault="00387142" w:rsidP="00387142">
            <w:pPr>
              <w:jc w:val="right"/>
              <w:rPr>
                <w:color w:val="000000"/>
                <w:sz w:val="20"/>
                <w:szCs w:val="20"/>
              </w:rPr>
            </w:pPr>
            <w:r w:rsidRPr="008B6A75">
              <w:rPr>
                <w:color w:val="000000"/>
                <w:sz w:val="20"/>
                <w:szCs w:val="20"/>
              </w:rPr>
              <w:t>16 934,82</w:t>
            </w:r>
          </w:p>
        </w:tc>
        <w:tc>
          <w:tcPr>
            <w:tcW w:w="1134" w:type="dxa"/>
            <w:tcBorders>
              <w:top w:val="nil"/>
              <w:left w:val="nil"/>
              <w:bottom w:val="single" w:sz="4" w:space="0" w:color="auto"/>
              <w:right w:val="single" w:sz="4" w:space="0" w:color="auto"/>
            </w:tcBorders>
            <w:shd w:val="clear" w:color="auto" w:fill="auto"/>
            <w:noWrap/>
            <w:vAlign w:val="bottom"/>
            <w:hideMark/>
          </w:tcPr>
          <w:p w14:paraId="5E3761A5" w14:textId="77777777" w:rsidR="00387142" w:rsidRPr="008B6A75" w:rsidRDefault="00387142" w:rsidP="00387142">
            <w:pPr>
              <w:rPr>
                <w:color w:val="000000"/>
                <w:sz w:val="20"/>
                <w:szCs w:val="20"/>
              </w:rPr>
            </w:pPr>
            <w:r w:rsidRPr="008B6A75">
              <w:rPr>
                <w:color w:val="000000"/>
                <w:sz w:val="20"/>
                <w:szCs w:val="20"/>
              </w:rPr>
              <w:t> </w:t>
            </w:r>
          </w:p>
        </w:tc>
        <w:tc>
          <w:tcPr>
            <w:tcW w:w="851" w:type="dxa"/>
            <w:tcBorders>
              <w:top w:val="nil"/>
              <w:left w:val="nil"/>
              <w:bottom w:val="single" w:sz="4" w:space="0" w:color="auto"/>
              <w:right w:val="single" w:sz="4" w:space="0" w:color="auto"/>
            </w:tcBorders>
            <w:shd w:val="clear" w:color="auto" w:fill="auto"/>
            <w:noWrap/>
            <w:vAlign w:val="bottom"/>
            <w:hideMark/>
          </w:tcPr>
          <w:p w14:paraId="0DA9DE32" w14:textId="77777777" w:rsidR="00387142" w:rsidRPr="008B6A75" w:rsidRDefault="00387142" w:rsidP="00387142">
            <w:pPr>
              <w:rPr>
                <w:color w:val="000000"/>
                <w:sz w:val="20"/>
                <w:szCs w:val="20"/>
              </w:rPr>
            </w:pPr>
            <w:r w:rsidRPr="008B6A75">
              <w:rPr>
                <w:color w:val="000000"/>
                <w:sz w:val="20"/>
                <w:szCs w:val="20"/>
              </w:rPr>
              <w:t> </w:t>
            </w:r>
          </w:p>
        </w:tc>
        <w:tc>
          <w:tcPr>
            <w:tcW w:w="1215" w:type="dxa"/>
            <w:tcBorders>
              <w:top w:val="nil"/>
              <w:left w:val="nil"/>
              <w:bottom w:val="single" w:sz="4" w:space="0" w:color="auto"/>
              <w:right w:val="single" w:sz="4" w:space="0" w:color="auto"/>
            </w:tcBorders>
            <w:shd w:val="clear" w:color="auto" w:fill="auto"/>
            <w:noWrap/>
            <w:vAlign w:val="bottom"/>
            <w:hideMark/>
          </w:tcPr>
          <w:p w14:paraId="48BDE32E" w14:textId="77777777" w:rsidR="00387142" w:rsidRPr="008B6A75" w:rsidRDefault="00387142" w:rsidP="00387142">
            <w:pPr>
              <w:rPr>
                <w:color w:val="000000"/>
                <w:sz w:val="20"/>
                <w:szCs w:val="20"/>
              </w:rPr>
            </w:pPr>
            <w:r w:rsidRPr="008B6A75">
              <w:rPr>
                <w:color w:val="000000"/>
                <w:sz w:val="20"/>
                <w:szCs w:val="20"/>
              </w:rPr>
              <w:t> </w:t>
            </w:r>
          </w:p>
        </w:tc>
        <w:tc>
          <w:tcPr>
            <w:tcW w:w="769" w:type="dxa"/>
            <w:tcBorders>
              <w:top w:val="nil"/>
              <w:left w:val="nil"/>
              <w:bottom w:val="single" w:sz="4" w:space="0" w:color="auto"/>
              <w:right w:val="single" w:sz="4" w:space="0" w:color="auto"/>
            </w:tcBorders>
            <w:shd w:val="clear" w:color="auto" w:fill="auto"/>
            <w:noWrap/>
            <w:vAlign w:val="bottom"/>
            <w:hideMark/>
          </w:tcPr>
          <w:p w14:paraId="37C12C56" w14:textId="77777777" w:rsidR="00387142" w:rsidRPr="008B6A75" w:rsidRDefault="00387142" w:rsidP="00387142">
            <w:pPr>
              <w:rPr>
                <w:color w:val="000000"/>
                <w:sz w:val="20"/>
                <w:szCs w:val="20"/>
              </w:rPr>
            </w:pPr>
            <w:r w:rsidRPr="008B6A75">
              <w:rPr>
                <w:color w:val="000000"/>
                <w:sz w:val="20"/>
                <w:szCs w:val="20"/>
              </w:rPr>
              <w:t> </w:t>
            </w:r>
          </w:p>
        </w:tc>
        <w:tc>
          <w:tcPr>
            <w:tcW w:w="709" w:type="dxa"/>
            <w:tcBorders>
              <w:top w:val="nil"/>
              <w:left w:val="nil"/>
              <w:bottom w:val="single" w:sz="4" w:space="0" w:color="auto"/>
              <w:right w:val="single" w:sz="4" w:space="0" w:color="auto"/>
            </w:tcBorders>
            <w:shd w:val="clear" w:color="auto" w:fill="auto"/>
            <w:noWrap/>
            <w:vAlign w:val="bottom"/>
            <w:hideMark/>
          </w:tcPr>
          <w:p w14:paraId="08CEA3CE" w14:textId="77777777" w:rsidR="00387142" w:rsidRPr="008B6A75" w:rsidRDefault="00387142" w:rsidP="00387142">
            <w:pPr>
              <w:rPr>
                <w:color w:val="000000"/>
                <w:sz w:val="20"/>
                <w:szCs w:val="20"/>
              </w:rPr>
            </w:pPr>
            <w:r w:rsidRPr="008B6A75">
              <w:rPr>
                <w:color w:val="000000"/>
                <w:sz w:val="20"/>
                <w:szCs w:val="20"/>
              </w:rPr>
              <w:t> </w:t>
            </w:r>
          </w:p>
        </w:tc>
        <w:tc>
          <w:tcPr>
            <w:tcW w:w="850" w:type="dxa"/>
            <w:tcBorders>
              <w:top w:val="nil"/>
              <w:left w:val="nil"/>
              <w:bottom w:val="single" w:sz="4" w:space="0" w:color="auto"/>
              <w:right w:val="single" w:sz="4" w:space="0" w:color="auto"/>
            </w:tcBorders>
            <w:shd w:val="clear" w:color="auto" w:fill="auto"/>
            <w:noWrap/>
            <w:vAlign w:val="bottom"/>
            <w:hideMark/>
          </w:tcPr>
          <w:p w14:paraId="7A6ED107" w14:textId="77777777" w:rsidR="00387142" w:rsidRPr="008B6A75" w:rsidRDefault="00387142" w:rsidP="00387142">
            <w:pPr>
              <w:jc w:val="right"/>
              <w:rPr>
                <w:color w:val="000000"/>
                <w:sz w:val="20"/>
                <w:szCs w:val="20"/>
              </w:rPr>
            </w:pPr>
            <w:r w:rsidRPr="008B6A75">
              <w:rPr>
                <w:color w:val="000000"/>
                <w:sz w:val="20"/>
                <w:szCs w:val="20"/>
              </w:rPr>
              <w:t>5 319,00</w:t>
            </w:r>
          </w:p>
        </w:tc>
        <w:tc>
          <w:tcPr>
            <w:tcW w:w="1701" w:type="dxa"/>
            <w:tcBorders>
              <w:top w:val="nil"/>
              <w:left w:val="nil"/>
              <w:bottom w:val="single" w:sz="4" w:space="0" w:color="auto"/>
              <w:right w:val="single" w:sz="4" w:space="0" w:color="auto"/>
            </w:tcBorders>
            <w:shd w:val="clear" w:color="auto" w:fill="auto"/>
            <w:noWrap/>
            <w:vAlign w:val="bottom"/>
            <w:hideMark/>
          </w:tcPr>
          <w:p w14:paraId="0855E66B" w14:textId="77777777" w:rsidR="00387142" w:rsidRPr="008B6A75" w:rsidRDefault="00387142" w:rsidP="00387142">
            <w:pPr>
              <w:rPr>
                <w:color w:val="000000"/>
                <w:sz w:val="20"/>
                <w:szCs w:val="20"/>
              </w:rPr>
            </w:pPr>
            <w:r w:rsidRPr="008B6A75">
              <w:rPr>
                <w:color w:val="000000"/>
                <w:sz w:val="20"/>
                <w:szCs w:val="20"/>
              </w:rPr>
              <w:t> </w:t>
            </w:r>
          </w:p>
        </w:tc>
        <w:tc>
          <w:tcPr>
            <w:tcW w:w="851" w:type="dxa"/>
            <w:tcBorders>
              <w:top w:val="nil"/>
              <w:left w:val="nil"/>
              <w:bottom w:val="single" w:sz="4" w:space="0" w:color="auto"/>
              <w:right w:val="single" w:sz="4" w:space="0" w:color="auto"/>
            </w:tcBorders>
            <w:shd w:val="clear" w:color="auto" w:fill="auto"/>
            <w:noWrap/>
            <w:vAlign w:val="bottom"/>
            <w:hideMark/>
          </w:tcPr>
          <w:p w14:paraId="6275477F" w14:textId="77777777" w:rsidR="00387142" w:rsidRPr="008B6A75" w:rsidRDefault="00387142" w:rsidP="00387142">
            <w:pPr>
              <w:jc w:val="right"/>
              <w:rPr>
                <w:color w:val="000000"/>
                <w:sz w:val="20"/>
                <w:szCs w:val="20"/>
              </w:rPr>
            </w:pPr>
            <w:r w:rsidRPr="008B6A75">
              <w:rPr>
                <w:color w:val="000000"/>
                <w:sz w:val="20"/>
                <w:szCs w:val="20"/>
              </w:rPr>
              <w:t>180 000,00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14:paraId="4844CEEB" w14:textId="77777777" w:rsidR="00387142" w:rsidRPr="008B6A75" w:rsidRDefault="00387142" w:rsidP="00387142">
            <w:pPr>
              <w:rPr>
                <w:color w:val="000000"/>
                <w:sz w:val="20"/>
                <w:szCs w:val="20"/>
              </w:rPr>
            </w:pPr>
            <w:r w:rsidRPr="008B6A75">
              <w:rPr>
                <w:color w:val="000000"/>
                <w:sz w:val="20"/>
                <w:szCs w:val="20"/>
              </w:rPr>
              <w:t> </w:t>
            </w:r>
          </w:p>
        </w:tc>
        <w:tc>
          <w:tcPr>
            <w:tcW w:w="568" w:type="dxa"/>
            <w:gridSpan w:val="2"/>
            <w:tcBorders>
              <w:top w:val="nil"/>
              <w:left w:val="nil"/>
              <w:bottom w:val="single" w:sz="4" w:space="0" w:color="auto"/>
              <w:right w:val="single" w:sz="4" w:space="0" w:color="auto"/>
            </w:tcBorders>
            <w:shd w:val="clear" w:color="auto" w:fill="auto"/>
            <w:noWrap/>
            <w:vAlign w:val="bottom"/>
            <w:hideMark/>
          </w:tcPr>
          <w:p w14:paraId="12C2E9E9" w14:textId="77777777" w:rsidR="00387142" w:rsidRPr="008B6A75" w:rsidRDefault="00387142" w:rsidP="00387142">
            <w:pPr>
              <w:rPr>
                <w:color w:val="000000"/>
                <w:sz w:val="20"/>
                <w:szCs w:val="20"/>
              </w:rPr>
            </w:pPr>
            <w:r w:rsidRPr="008B6A75">
              <w:rPr>
                <w:color w:val="000000"/>
                <w:sz w:val="20"/>
                <w:szCs w:val="20"/>
              </w:rPr>
              <w:t> </w:t>
            </w:r>
          </w:p>
        </w:tc>
        <w:tc>
          <w:tcPr>
            <w:tcW w:w="566" w:type="dxa"/>
            <w:gridSpan w:val="2"/>
            <w:tcBorders>
              <w:top w:val="nil"/>
              <w:left w:val="nil"/>
              <w:bottom w:val="single" w:sz="4" w:space="0" w:color="auto"/>
              <w:right w:val="single" w:sz="4" w:space="0" w:color="auto"/>
            </w:tcBorders>
            <w:shd w:val="clear" w:color="auto" w:fill="auto"/>
            <w:noWrap/>
            <w:vAlign w:val="bottom"/>
            <w:hideMark/>
          </w:tcPr>
          <w:p w14:paraId="5A944FA2" w14:textId="77777777" w:rsidR="00387142" w:rsidRPr="008B6A75" w:rsidRDefault="00387142" w:rsidP="00387142">
            <w:pPr>
              <w:rPr>
                <w:color w:val="000000"/>
                <w:sz w:val="20"/>
                <w:szCs w:val="20"/>
              </w:rPr>
            </w:pPr>
            <w:r w:rsidRPr="008B6A75">
              <w:rPr>
                <w:color w:val="000000"/>
                <w:sz w:val="20"/>
                <w:szCs w:val="20"/>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14:paraId="06BFD857" w14:textId="77777777" w:rsidR="00387142" w:rsidRPr="008B6A75" w:rsidRDefault="00387142" w:rsidP="00387142">
            <w:pPr>
              <w:rPr>
                <w:color w:val="000000"/>
                <w:sz w:val="20"/>
                <w:szCs w:val="20"/>
              </w:rPr>
            </w:pPr>
            <w:r w:rsidRPr="008B6A75">
              <w:rPr>
                <w:color w:val="000000"/>
                <w:sz w:val="20"/>
                <w:szCs w:val="20"/>
              </w:rPr>
              <w:t> </w:t>
            </w:r>
          </w:p>
        </w:tc>
        <w:tc>
          <w:tcPr>
            <w:tcW w:w="850" w:type="dxa"/>
            <w:tcBorders>
              <w:top w:val="nil"/>
              <w:left w:val="nil"/>
              <w:bottom w:val="single" w:sz="4" w:space="0" w:color="auto"/>
              <w:right w:val="single" w:sz="4" w:space="0" w:color="auto"/>
            </w:tcBorders>
            <w:shd w:val="clear" w:color="000000" w:fill="FFFFFF"/>
            <w:noWrap/>
            <w:vAlign w:val="bottom"/>
            <w:hideMark/>
          </w:tcPr>
          <w:p w14:paraId="08DB36F5" w14:textId="77777777" w:rsidR="00387142" w:rsidRPr="008B6A75" w:rsidRDefault="00387142" w:rsidP="00387142">
            <w:pPr>
              <w:rPr>
                <w:sz w:val="20"/>
                <w:szCs w:val="20"/>
              </w:rPr>
            </w:pPr>
            <w:r w:rsidRPr="008B6A75">
              <w:rPr>
                <w:sz w:val="20"/>
                <w:szCs w:val="20"/>
              </w:rPr>
              <w:t> </w:t>
            </w:r>
          </w:p>
        </w:tc>
        <w:tc>
          <w:tcPr>
            <w:tcW w:w="851" w:type="dxa"/>
            <w:tcBorders>
              <w:top w:val="nil"/>
              <w:left w:val="nil"/>
              <w:bottom w:val="single" w:sz="4" w:space="0" w:color="auto"/>
              <w:right w:val="single" w:sz="4" w:space="0" w:color="auto"/>
            </w:tcBorders>
            <w:shd w:val="clear" w:color="000000" w:fill="FFFFFF"/>
            <w:noWrap/>
            <w:vAlign w:val="bottom"/>
            <w:hideMark/>
          </w:tcPr>
          <w:p w14:paraId="5CD81511" w14:textId="77777777" w:rsidR="00387142" w:rsidRPr="008B6A75" w:rsidRDefault="00387142" w:rsidP="00387142">
            <w:pPr>
              <w:jc w:val="right"/>
              <w:rPr>
                <w:sz w:val="20"/>
                <w:szCs w:val="20"/>
              </w:rPr>
            </w:pPr>
            <w:r w:rsidRPr="008B6A75">
              <w:rPr>
                <w:sz w:val="20"/>
                <w:szCs w:val="20"/>
              </w:rPr>
              <w:t>47 465,00</w:t>
            </w:r>
          </w:p>
        </w:tc>
        <w:tc>
          <w:tcPr>
            <w:tcW w:w="553" w:type="dxa"/>
            <w:gridSpan w:val="2"/>
            <w:vAlign w:val="center"/>
            <w:hideMark/>
          </w:tcPr>
          <w:p w14:paraId="68AD12A0" w14:textId="77777777" w:rsidR="00387142" w:rsidRPr="008B6A75" w:rsidRDefault="00387142" w:rsidP="00387142">
            <w:pPr>
              <w:rPr>
                <w:sz w:val="20"/>
                <w:szCs w:val="20"/>
              </w:rPr>
            </w:pPr>
          </w:p>
        </w:tc>
      </w:tr>
      <w:tr w:rsidR="00387142" w:rsidRPr="008B6A75" w14:paraId="06FAE80B" w14:textId="77777777" w:rsidTr="00387142">
        <w:trPr>
          <w:trHeight w:val="300"/>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14:paraId="587B2011" w14:textId="77777777" w:rsidR="00387142" w:rsidRPr="008B6A75" w:rsidRDefault="00387142" w:rsidP="00387142">
            <w:pPr>
              <w:jc w:val="right"/>
              <w:rPr>
                <w:color w:val="000000"/>
                <w:sz w:val="20"/>
                <w:szCs w:val="20"/>
              </w:rPr>
            </w:pPr>
            <w:r w:rsidRPr="008B6A75">
              <w:rPr>
                <w:color w:val="000000"/>
                <w:sz w:val="20"/>
                <w:szCs w:val="20"/>
              </w:rPr>
              <w:t>7</w:t>
            </w:r>
          </w:p>
        </w:tc>
        <w:tc>
          <w:tcPr>
            <w:tcW w:w="426" w:type="dxa"/>
            <w:tcBorders>
              <w:top w:val="nil"/>
              <w:left w:val="nil"/>
              <w:bottom w:val="single" w:sz="4" w:space="0" w:color="auto"/>
              <w:right w:val="single" w:sz="4" w:space="0" w:color="auto"/>
            </w:tcBorders>
            <w:shd w:val="clear" w:color="auto" w:fill="auto"/>
            <w:noWrap/>
            <w:vAlign w:val="bottom"/>
            <w:hideMark/>
          </w:tcPr>
          <w:p w14:paraId="068A0E1C" w14:textId="77777777" w:rsidR="00387142" w:rsidRPr="008B6A75" w:rsidRDefault="00387142" w:rsidP="00387142">
            <w:pPr>
              <w:rPr>
                <w:color w:val="000000"/>
                <w:sz w:val="20"/>
                <w:szCs w:val="20"/>
              </w:rPr>
            </w:pPr>
            <w:proofErr w:type="spellStart"/>
            <w:r w:rsidRPr="008B6A75">
              <w:rPr>
                <w:color w:val="000000"/>
                <w:sz w:val="20"/>
                <w:szCs w:val="20"/>
              </w:rPr>
              <w:t>Горбуновский</w:t>
            </w:r>
            <w:proofErr w:type="spellEnd"/>
          </w:p>
        </w:tc>
        <w:tc>
          <w:tcPr>
            <w:tcW w:w="567" w:type="dxa"/>
            <w:tcBorders>
              <w:top w:val="nil"/>
              <w:left w:val="nil"/>
              <w:bottom w:val="single" w:sz="4" w:space="0" w:color="auto"/>
              <w:right w:val="single" w:sz="4" w:space="0" w:color="auto"/>
            </w:tcBorders>
            <w:shd w:val="clear" w:color="auto" w:fill="auto"/>
            <w:noWrap/>
            <w:vAlign w:val="bottom"/>
            <w:hideMark/>
          </w:tcPr>
          <w:p w14:paraId="794C0B28" w14:textId="77777777" w:rsidR="00387142" w:rsidRPr="008B6A75" w:rsidRDefault="00387142" w:rsidP="00387142">
            <w:pPr>
              <w:jc w:val="right"/>
              <w:rPr>
                <w:bCs/>
                <w:color w:val="000000"/>
                <w:sz w:val="20"/>
                <w:szCs w:val="20"/>
              </w:rPr>
            </w:pPr>
            <w:r w:rsidRPr="008B6A75">
              <w:rPr>
                <w:bCs/>
                <w:color w:val="000000"/>
                <w:sz w:val="20"/>
                <w:szCs w:val="20"/>
              </w:rPr>
              <w:t>308 624,00</w:t>
            </w:r>
          </w:p>
        </w:tc>
        <w:tc>
          <w:tcPr>
            <w:tcW w:w="850" w:type="dxa"/>
            <w:tcBorders>
              <w:top w:val="nil"/>
              <w:left w:val="nil"/>
              <w:bottom w:val="single" w:sz="4" w:space="0" w:color="auto"/>
              <w:right w:val="single" w:sz="4" w:space="0" w:color="auto"/>
            </w:tcBorders>
            <w:shd w:val="clear" w:color="auto" w:fill="auto"/>
            <w:noWrap/>
            <w:vAlign w:val="bottom"/>
            <w:hideMark/>
          </w:tcPr>
          <w:p w14:paraId="7554E634" w14:textId="77777777" w:rsidR="00387142" w:rsidRPr="008B6A75" w:rsidRDefault="00387142" w:rsidP="00387142">
            <w:pPr>
              <w:rPr>
                <w:color w:val="000000"/>
                <w:sz w:val="20"/>
                <w:szCs w:val="20"/>
              </w:rPr>
            </w:pPr>
            <w:r w:rsidRPr="008B6A75">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14:paraId="55104FA7" w14:textId="77777777" w:rsidR="00387142" w:rsidRPr="008B6A75" w:rsidRDefault="00387142" w:rsidP="00387142">
            <w:pPr>
              <w:rPr>
                <w:color w:val="000000"/>
                <w:sz w:val="20"/>
                <w:szCs w:val="20"/>
              </w:rPr>
            </w:pPr>
            <w:r w:rsidRPr="008B6A75">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14:paraId="6DCC8FC2" w14:textId="77777777" w:rsidR="00387142" w:rsidRPr="008B6A75" w:rsidRDefault="00387142" w:rsidP="00387142">
            <w:pPr>
              <w:rPr>
                <w:color w:val="000000"/>
                <w:sz w:val="20"/>
                <w:szCs w:val="20"/>
              </w:rPr>
            </w:pPr>
            <w:r w:rsidRPr="008B6A75">
              <w:rPr>
                <w:color w:val="000000"/>
                <w:sz w:val="20"/>
                <w:szCs w:val="20"/>
              </w:rPr>
              <w:t> </w:t>
            </w:r>
          </w:p>
        </w:tc>
        <w:tc>
          <w:tcPr>
            <w:tcW w:w="851" w:type="dxa"/>
            <w:tcBorders>
              <w:top w:val="nil"/>
              <w:left w:val="nil"/>
              <w:bottom w:val="single" w:sz="4" w:space="0" w:color="auto"/>
              <w:right w:val="single" w:sz="4" w:space="0" w:color="auto"/>
            </w:tcBorders>
            <w:shd w:val="clear" w:color="auto" w:fill="auto"/>
            <w:noWrap/>
            <w:vAlign w:val="bottom"/>
            <w:hideMark/>
          </w:tcPr>
          <w:p w14:paraId="5BB3FA5D" w14:textId="77777777" w:rsidR="00387142" w:rsidRPr="008B6A75" w:rsidRDefault="00387142" w:rsidP="00387142">
            <w:pPr>
              <w:rPr>
                <w:color w:val="000000"/>
                <w:sz w:val="20"/>
                <w:szCs w:val="20"/>
              </w:rPr>
            </w:pPr>
            <w:r w:rsidRPr="008B6A75">
              <w:rPr>
                <w:color w:val="000000"/>
                <w:sz w:val="20"/>
                <w:szCs w:val="20"/>
              </w:rPr>
              <w:t> </w:t>
            </w:r>
          </w:p>
        </w:tc>
        <w:tc>
          <w:tcPr>
            <w:tcW w:w="1215" w:type="dxa"/>
            <w:tcBorders>
              <w:top w:val="nil"/>
              <w:left w:val="nil"/>
              <w:bottom w:val="single" w:sz="4" w:space="0" w:color="auto"/>
              <w:right w:val="single" w:sz="4" w:space="0" w:color="auto"/>
            </w:tcBorders>
            <w:shd w:val="clear" w:color="auto" w:fill="auto"/>
            <w:noWrap/>
            <w:vAlign w:val="bottom"/>
            <w:hideMark/>
          </w:tcPr>
          <w:p w14:paraId="2298A96A" w14:textId="77777777" w:rsidR="00387142" w:rsidRPr="008B6A75" w:rsidRDefault="00387142" w:rsidP="00387142">
            <w:pPr>
              <w:rPr>
                <w:color w:val="000000"/>
                <w:sz w:val="20"/>
                <w:szCs w:val="20"/>
              </w:rPr>
            </w:pPr>
            <w:r w:rsidRPr="008B6A75">
              <w:rPr>
                <w:color w:val="000000"/>
                <w:sz w:val="20"/>
                <w:szCs w:val="20"/>
              </w:rPr>
              <w:t> </w:t>
            </w:r>
          </w:p>
        </w:tc>
        <w:tc>
          <w:tcPr>
            <w:tcW w:w="769" w:type="dxa"/>
            <w:tcBorders>
              <w:top w:val="nil"/>
              <w:left w:val="nil"/>
              <w:bottom w:val="single" w:sz="4" w:space="0" w:color="auto"/>
              <w:right w:val="single" w:sz="4" w:space="0" w:color="auto"/>
            </w:tcBorders>
            <w:shd w:val="clear" w:color="auto" w:fill="auto"/>
            <w:noWrap/>
            <w:vAlign w:val="bottom"/>
            <w:hideMark/>
          </w:tcPr>
          <w:p w14:paraId="55A80300" w14:textId="77777777" w:rsidR="00387142" w:rsidRPr="008B6A75" w:rsidRDefault="00387142" w:rsidP="00387142">
            <w:pPr>
              <w:rPr>
                <w:color w:val="000000"/>
                <w:sz w:val="20"/>
                <w:szCs w:val="20"/>
              </w:rPr>
            </w:pPr>
            <w:r w:rsidRPr="008B6A75">
              <w:rPr>
                <w:color w:val="000000"/>
                <w:sz w:val="20"/>
                <w:szCs w:val="20"/>
              </w:rPr>
              <w:t> </w:t>
            </w:r>
          </w:p>
        </w:tc>
        <w:tc>
          <w:tcPr>
            <w:tcW w:w="709" w:type="dxa"/>
            <w:tcBorders>
              <w:top w:val="nil"/>
              <w:left w:val="nil"/>
              <w:bottom w:val="single" w:sz="4" w:space="0" w:color="auto"/>
              <w:right w:val="single" w:sz="4" w:space="0" w:color="auto"/>
            </w:tcBorders>
            <w:shd w:val="clear" w:color="auto" w:fill="auto"/>
            <w:noWrap/>
            <w:vAlign w:val="bottom"/>
            <w:hideMark/>
          </w:tcPr>
          <w:p w14:paraId="2987F962" w14:textId="77777777" w:rsidR="00387142" w:rsidRPr="008B6A75" w:rsidRDefault="00387142" w:rsidP="00387142">
            <w:pPr>
              <w:rPr>
                <w:color w:val="000000"/>
                <w:sz w:val="20"/>
                <w:szCs w:val="20"/>
              </w:rPr>
            </w:pPr>
            <w:r w:rsidRPr="008B6A75">
              <w:rPr>
                <w:color w:val="000000"/>
                <w:sz w:val="20"/>
                <w:szCs w:val="20"/>
              </w:rPr>
              <w:t> </w:t>
            </w:r>
          </w:p>
        </w:tc>
        <w:tc>
          <w:tcPr>
            <w:tcW w:w="850" w:type="dxa"/>
            <w:tcBorders>
              <w:top w:val="nil"/>
              <w:left w:val="nil"/>
              <w:bottom w:val="single" w:sz="4" w:space="0" w:color="auto"/>
              <w:right w:val="single" w:sz="4" w:space="0" w:color="auto"/>
            </w:tcBorders>
            <w:shd w:val="clear" w:color="auto" w:fill="auto"/>
            <w:noWrap/>
            <w:vAlign w:val="bottom"/>
            <w:hideMark/>
          </w:tcPr>
          <w:p w14:paraId="6076EB08" w14:textId="77777777" w:rsidR="00387142" w:rsidRPr="008B6A75" w:rsidRDefault="00387142" w:rsidP="00387142">
            <w:pPr>
              <w:jc w:val="right"/>
              <w:rPr>
                <w:color w:val="000000"/>
                <w:sz w:val="20"/>
                <w:szCs w:val="20"/>
              </w:rPr>
            </w:pPr>
            <w:r w:rsidRPr="008B6A75">
              <w:rPr>
                <w:color w:val="000000"/>
                <w:sz w:val="20"/>
                <w:szCs w:val="20"/>
              </w:rPr>
              <w:t>8 865,00</w:t>
            </w:r>
          </w:p>
        </w:tc>
        <w:tc>
          <w:tcPr>
            <w:tcW w:w="1701" w:type="dxa"/>
            <w:tcBorders>
              <w:top w:val="nil"/>
              <w:left w:val="nil"/>
              <w:bottom w:val="single" w:sz="4" w:space="0" w:color="auto"/>
              <w:right w:val="single" w:sz="4" w:space="0" w:color="auto"/>
            </w:tcBorders>
            <w:shd w:val="clear" w:color="auto" w:fill="auto"/>
            <w:noWrap/>
            <w:vAlign w:val="bottom"/>
            <w:hideMark/>
          </w:tcPr>
          <w:p w14:paraId="4D238838" w14:textId="77777777" w:rsidR="00387142" w:rsidRPr="008B6A75" w:rsidRDefault="00387142" w:rsidP="00387142">
            <w:pPr>
              <w:jc w:val="right"/>
              <w:rPr>
                <w:sz w:val="20"/>
                <w:szCs w:val="20"/>
              </w:rPr>
            </w:pPr>
            <w:r w:rsidRPr="008B6A75">
              <w:rPr>
                <w:sz w:val="20"/>
                <w:szCs w:val="20"/>
              </w:rPr>
              <w:t>204 915,00</w:t>
            </w:r>
          </w:p>
        </w:tc>
        <w:tc>
          <w:tcPr>
            <w:tcW w:w="851" w:type="dxa"/>
            <w:tcBorders>
              <w:top w:val="nil"/>
              <w:left w:val="nil"/>
              <w:bottom w:val="single" w:sz="4" w:space="0" w:color="auto"/>
              <w:right w:val="single" w:sz="4" w:space="0" w:color="auto"/>
            </w:tcBorders>
            <w:shd w:val="clear" w:color="auto" w:fill="auto"/>
            <w:noWrap/>
            <w:vAlign w:val="bottom"/>
            <w:hideMark/>
          </w:tcPr>
          <w:p w14:paraId="672D9EEA" w14:textId="77777777" w:rsidR="00387142" w:rsidRPr="008B6A75" w:rsidRDefault="00387142" w:rsidP="00387142">
            <w:pPr>
              <w:rPr>
                <w:color w:val="000000"/>
                <w:sz w:val="20"/>
                <w:szCs w:val="20"/>
              </w:rPr>
            </w:pPr>
            <w:r w:rsidRPr="008B6A75">
              <w:rPr>
                <w:color w:val="000000"/>
                <w:sz w:val="20"/>
                <w:szCs w:val="20"/>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14:paraId="5C36574A" w14:textId="77777777" w:rsidR="00387142" w:rsidRPr="008B6A75" w:rsidRDefault="00387142" w:rsidP="00387142">
            <w:pPr>
              <w:rPr>
                <w:color w:val="000000"/>
                <w:sz w:val="20"/>
                <w:szCs w:val="20"/>
              </w:rPr>
            </w:pPr>
            <w:r w:rsidRPr="008B6A75">
              <w:rPr>
                <w:color w:val="000000"/>
                <w:sz w:val="20"/>
                <w:szCs w:val="20"/>
              </w:rPr>
              <w:t> </w:t>
            </w:r>
          </w:p>
        </w:tc>
        <w:tc>
          <w:tcPr>
            <w:tcW w:w="568" w:type="dxa"/>
            <w:gridSpan w:val="2"/>
            <w:tcBorders>
              <w:top w:val="nil"/>
              <w:left w:val="nil"/>
              <w:bottom w:val="single" w:sz="4" w:space="0" w:color="auto"/>
              <w:right w:val="single" w:sz="4" w:space="0" w:color="auto"/>
            </w:tcBorders>
            <w:shd w:val="clear" w:color="auto" w:fill="auto"/>
            <w:noWrap/>
            <w:vAlign w:val="bottom"/>
            <w:hideMark/>
          </w:tcPr>
          <w:p w14:paraId="2BBF9B62" w14:textId="77777777" w:rsidR="00387142" w:rsidRPr="008B6A75" w:rsidRDefault="00387142" w:rsidP="00387142">
            <w:pPr>
              <w:rPr>
                <w:color w:val="000000"/>
                <w:sz w:val="20"/>
                <w:szCs w:val="20"/>
              </w:rPr>
            </w:pPr>
            <w:r w:rsidRPr="008B6A75">
              <w:rPr>
                <w:color w:val="000000"/>
                <w:sz w:val="20"/>
                <w:szCs w:val="20"/>
              </w:rPr>
              <w:t> </w:t>
            </w:r>
          </w:p>
        </w:tc>
        <w:tc>
          <w:tcPr>
            <w:tcW w:w="566" w:type="dxa"/>
            <w:gridSpan w:val="2"/>
            <w:tcBorders>
              <w:top w:val="nil"/>
              <w:left w:val="nil"/>
              <w:bottom w:val="single" w:sz="4" w:space="0" w:color="auto"/>
              <w:right w:val="single" w:sz="4" w:space="0" w:color="auto"/>
            </w:tcBorders>
            <w:shd w:val="clear" w:color="auto" w:fill="auto"/>
            <w:noWrap/>
            <w:vAlign w:val="bottom"/>
            <w:hideMark/>
          </w:tcPr>
          <w:p w14:paraId="70B8CED9" w14:textId="77777777" w:rsidR="00387142" w:rsidRPr="008B6A75" w:rsidRDefault="00387142" w:rsidP="00387142">
            <w:pPr>
              <w:rPr>
                <w:color w:val="000000"/>
                <w:sz w:val="20"/>
                <w:szCs w:val="20"/>
              </w:rPr>
            </w:pPr>
            <w:r w:rsidRPr="008B6A75">
              <w:rPr>
                <w:color w:val="000000"/>
                <w:sz w:val="20"/>
                <w:szCs w:val="20"/>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14:paraId="7CE44946" w14:textId="77777777" w:rsidR="00387142" w:rsidRPr="008B6A75" w:rsidRDefault="00387142" w:rsidP="00387142">
            <w:pPr>
              <w:rPr>
                <w:color w:val="000000"/>
                <w:sz w:val="20"/>
                <w:szCs w:val="20"/>
              </w:rPr>
            </w:pPr>
            <w:r w:rsidRPr="008B6A75">
              <w:rPr>
                <w:color w:val="000000"/>
                <w:sz w:val="20"/>
                <w:szCs w:val="20"/>
              </w:rPr>
              <w:t> </w:t>
            </w:r>
          </w:p>
        </w:tc>
        <w:tc>
          <w:tcPr>
            <w:tcW w:w="850" w:type="dxa"/>
            <w:tcBorders>
              <w:top w:val="nil"/>
              <w:left w:val="nil"/>
              <w:bottom w:val="single" w:sz="4" w:space="0" w:color="auto"/>
              <w:right w:val="single" w:sz="4" w:space="0" w:color="auto"/>
            </w:tcBorders>
            <w:shd w:val="clear" w:color="000000" w:fill="FFFFFF"/>
            <w:noWrap/>
            <w:vAlign w:val="bottom"/>
            <w:hideMark/>
          </w:tcPr>
          <w:p w14:paraId="5CDBF8BD" w14:textId="77777777" w:rsidR="00387142" w:rsidRPr="008B6A75" w:rsidRDefault="00387142" w:rsidP="00387142">
            <w:pPr>
              <w:rPr>
                <w:sz w:val="20"/>
                <w:szCs w:val="20"/>
              </w:rPr>
            </w:pPr>
            <w:r w:rsidRPr="008B6A75">
              <w:rPr>
                <w:sz w:val="20"/>
                <w:szCs w:val="20"/>
              </w:rPr>
              <w:t> </w:t>
            </w:r>
          </w:p>
        </w:tc>
        <w:tc>
          <w:tcPr>
            <w:tcW w:w="851" w:type="dxa"/>
            <w:tcBorders>
              <w:top w:val="nil"/>
              <w:left w:val="nil"/>
              <w:bottom w:val="single" w:sz="4" w:space="0" w:color="auto"/>
              <w:right w:val="single" w:sz="4" w:space="0" w:color="auto"/>
            </w:tcBorders>
            <w:shd w:val="clear" w:color="000000" w:fill="FFFFFF"/>
            <w:noWrap/>
            <w:vAlign w:val="bottom"/>
            <w:hideMark/>
          </w:tcPr>
          <w:p w14:paraId="7DE263AA" w14:textId="77777777" w:rsidR="00387142" w:rsidRPr="008B6A75" w:rsidRDefault="00387142" w:rsidP="00387142">
            <w:pPr>
              <w:jc w:val="right"/>
              <w:rPr>
                <w:sz w:val="20"/>
                <w:szCs w:val="20"/>
              </w:rPr>
            </w:pPr>
            <w:r w:rsidRPr="008B6A75">
              <w:rPr>
                <w:sz w:val="20"/>
                <w:szCs w:val="20"/>
              </w:rPr>
              <w:t>94 844,00</w:t>
            </w:r>
          </w:p>
        </w:tc>
        <w:tc>
          <w:tcPr>
            <w:tcW w:w="553" w:type="dxa"/>
            <w:gridSpan w:val="2"/>
            <w:vAlign w:val="center"/>
            <w:hideMark/>
          </w:tcPr>
          <w:p w14:paraId="71167E5F" w14:textId="77777777" w:rsidR="00387142" w:rsidRPr="008B6A75" w:rsidRDefault="00387142" w:rsidP="00387142">
            <w:pPr>
              <w:rPr>
                <w:sz w:val="20"/>
                <w:szCs w:val="20"/>
              </w:rPr>
            </w:pPr>
          </w:p>
        </w:tc>
      </w:tr>
      <w:tr w:rsidR="00387142" w:rsidRPr="008B6A75" w14:paraId="1E8D7BBE" w14:textId="77777777" w:rsidTr="00387142">
        <w:trPr>
          <w:trHeight w:val="300"/>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14:paraId="62A4A644" w14:textId="77777777" w:rsidR="00387142" w:rsidRPr="008B6A75" w:rsidRDefault="00387142" w:rsidP="00387142">
            <w:pPr>
              <w:jc w:val="right"/>
              <w:rPr>
                <w:color w:val="000000"/>
                <w:sz w:val="20"/>
                <w:szCs w:val="20"/>
              </w:rPr>
            </w:pPr>
            <w:r w:rsidRPr="008B6A75">
              <w:rPr>
                <w:color w:val="000000"/>
                <w:sz w:val="20"/>
                <w:szCs w:val="20"/>
              </w:rPr>
              <w:t>8</w:t>
            </w:r>
          </w:p>
        </w:tc>
        <w:tc>
          <w:tcPr>
            <w:tcW w:w="426" w:type="dxa"/>
            <w:tcBorders>
              <w:top w:val="nil"/>
              <w:left w:val="nil"/>
              <w:bottom w:val="single" w:sz="4" w:space="0" w:color="auto"/>
              <w:right w:val="single" w:sz="4" w:space="0" w:color="auto"/>
            </w:tcBorders>
            <w:shd w:val="clear" w:color="auto" w:fill="auto"/>
            <w:noWrap/>
            <w:vAlign w:val="bottom"/>
            <w:hideMark/>
          </w:tcPr>
          <w:p w14:paraId="618B685A" w14:textId="77777777" w:rsidR="00387142" w:rsidRPr="008B6A75" w:rsidRDefault="00387142" w:rsidP="00387142">
            <w:pPr>
              <w:rPr>
                <w:color w:val="000000"/>
                <w:sz w:val="20"/>
                <w:szCs w:val="20"/>
              </w:rPr>
            </w:pPr>
            <w:proofErr w:type="spellStart"/>
            <w:r w:rsidRPr="008B6A75">
              <w:rPr>
                <w:color w:val="000000"/>
                <w:sz w:val="20"/>
                <w:szCs w:val="20"/>
              </w:rPr>
              <w:t>Зоновский</w:t>
            </w:r>
            <w:proofErr w:type="spellEnd"/>
          </w:p>
        </w:tc>
        <w:tc>
          <w:tcPr>
            <w:tcW w:w="567" w:type="dxa"/>
            <w:tcBorders>
              <w:top w:val="nil"/>
              <w:left w:val="nil"/>
              <w:bottom w:val="single" w:sz="4" w:space="0" w:color="auto"/>
              <w:right w:val="single" w:sz="4" w:space="0" w:color="auto"/>
            </w:tcBorders>
            <w:shd w:val="clear" w:color="auto" w:fill="auto"/>
            <w:noWrap/>
            <w:vAlign w:val="bottom"/>
            <w:hideMark/>
          </w:tcPr>
          <w:p w14:paraId="3C2F22E1" w14:textId="77777777" w:rsidR="00387142" w:rsidRPr="008B6A75" w:rsidRDefault="00387142" w:rsidP="00387142">
            <w:pPr>
              <w:jc w:val="right"/>
              <w:rPr>
                <w:bCs/>
                <w:color w:val="000000"/>
                <w:sz w:val="20"/>
                <w:szCs w:val="20"/>
              </w:rPr>
            </w:pPr>
            <w:r w:rsidRPr="008B6A75">
              <w:rPr>
                <w:bCs/>
                <w:color w:val="000000"/>
                <w:sz w:val="20"/>
                <w:szCs w:val="20"/>
              </w:rPr>
              <w:t>1 487 480,00</w:t>
            </w:r>
          </w:p>
        </w:tc>
        <w:tc>
          <w:tcPr>
            <w:tcW w:w="850" w:type="dxa"/>
            <w:tcBorders>
              <w:top w:val="nil"/>
              <w:left w:val="nil"/>
              <w:bottom w:val="single" w:sz="4" w:space="0" w:color="auto"/>
              <w:right w:val="single" w:sz="4" w:space="0" w:color="auto"/>
            </w:tcBorders>
            <w:shd w:val="clear" w:color="000000" w:fill="FFFFFF"/>
            <w:noWrap/>
            <w:vAlign w:val="bottom"/>
            <w:hideMark/>
          </w:tcPr>
          <w:p w14:paraId="7759F7F0" w14:textId="77777777" w:rsidR="00387142" w:rsidRPr="008B6A75" w:rsidRDefault="00387142" w:rsidP="00387142">
            <w:pPr>
              <w:rPr>
                <w:color w:val="000000"/>
                <w:sz w:val="20"/>
                <w:szCs w:val="20"/>
              </w:rPr>
            </w:pPr>
            <w:r w:rsidRPr="008B6A75">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14:paraId="5189A919" w14:textId="77777777" w:rsidR="00387142" w:rsidRPr="008B6A75" w:rsidRDefault="00387142" w:rsidP="00387142">
            <w:pPr>
              <w:rPr>
                <w:color w:val="000000"/>
                <w:sz w:val="20"/>
                <w:szCs w:val="20"/>
              </w:rPr>
            </w:pPr>
            <w:r w:rsidRPr="008B6A75">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14:paraId="2929081D" w14:textId="77777777" w:rsidR="00387142" w:rsidRPr="008B6A75" w:rsidRDefault="00387142" w:rsidP="00387142">
            <w:pPr>
              <w:rPr>
                <w:color w:val="000000"/>
                <w:sz w:val="20"/>
                <w:szCs w:val="20"/>
              </w:rPr>
            </w:pPr>
            <w:r w:rsidRPr="008B6A75">
              <w:rPr>
                <w:color w:val="000000"/>
                <w:sz w:val="20"/>
                <w:szCs w:val="20"/>
              </w:rPr>
              <w:t> </w:t>
            </w:r>
          </w:p>
        </w:tc>
        <w:tc>
          <w:tcPr>
            <w:tcW w:w="851" w:type="dxa"/>
            <w:tcBorders>
              <w:top w:val="nil"/>
              <w:left w:val="nil"/>
              <w:bottom w:val="single" w:sz="4" w:space="0" w:color="auto"/>
              <w:right w:val="single" w:sz="4" w:space="0" w:color="auto"/>
            </w:tcBorders>
            <w:shd w:val="clear" w:color="auto" w:fill="auto"/>
            <w:noWrap/>
            <w:vAlign w:val="bottom"/>
            <w:hideMark/>
          </w:tcPr>
          <w:p w14:paraId="262906D2" w14:textId="77777777" w:rsidR="00387142" w:rsidRPr="008B6A75" w:rsidRDefault="00387142" w:rsidP="00387142">
            <w:pPr>
              <w:rPr>
                <w:color w:val="000000"/>
                <w:sz w:val="20"/>
                <w:szCs w:val="20"/>
              </w:rPr>
            </w:pPr>
            <w:r w:rsidRPr="008B6A75">
              <w:rPr>
                <w:color w:val="000000"/>
                <w:sz w:val="20"/>
                <w:szCs w:val="20"/>
              </w:rPr>
              <w:t> </w:t>
            </w:r>
          </w:p>
        </w:tc>
        <w:tc>
          <w:tcPr>
            <w:tcW w:w="1215" w:type="dxa"/>
            <w:tcBorders>
              <w:top w:val="nil"/>
              <w:left w:val="nil"/>
              <w:bottom w:val="single" w:sz="4" w:space="0" w:color="auto"/>
              <w:right w:val="single" w:sz="4" w:space="0" w:color="auto"/>
            </w:tcBorders>
            <w:shd w:val="clear" w:color="auto" w:fill="auto"/>
            <w:noWrap/>
            <w:vAlign w:val="bottom"/>
            <w:hideMark/>
          </w:tcPr>
          <w:p w14:paraId="0EF7684E" w14:textId="77777777" w:rsidR="00387142" w:rsidRPr="008B6A75" w:rsidRDefault="00387142" w:rsidP="00387142">
            <w:pPr>
              <w:rPr>
                <w:color w:val="000000"/>
                <w:sz w:val="20"/>
                <w:szCs w:val="20"/>
              </w:rPr>
            </w:pPr>
            <w:r w:rsidRPr="008B6A75">
              <w:rPr>
                <w:color w:val="000000"/>
                <w:sz w:val="20"/>
                <w:szCs w:val="20"/>
              </w:rPr>
              <w:t> </w:t>
            </w:r>
          </w:p>
        </w:tc>
        <w:tc>
          <w:tcPr>
            <w:tcW w:w="769" w:type="dxa"/>
            <w:tcBorders>
              <w:top w:val="nil"/>
              <w:left w:val="nil"/>
              <w:bottom w:val="single" w:sz="4" w:space="0" w:color="auto"/>
              <w:right w:val="single" w:sz="4" w:space="0" w:color="auto"/>
            </w:tcBorders>
            <w:shd w:val="clear" w:color="auto" w:fill="auto"/>
            <w:noWrap/>
            <w:vAlign w:val="bottom"/>
            <w:hideMark/>
          </w:tcPr>
          <w:p w14:paraId="44692CC9" w14:textId="77777777" w:rsidR="00387142" w:rsidRPr="008B6A75" w:rsidRDefault="00387142" w:rsidP="00387142">
            <w:pPr>
              <w:rPr>
                <w:color w:val="000000"/>
                <w:sz w:val="20"/>
                <w:szCs w:val="20"/>
              </w:rPr>
            </w:pPr>
            <w:r w:rsidRPr="008B6A75">
              <w:rPr>
                <w:color w:val="000000"/>
                <w:sz w:val="20"/>
                <w:szCs w:val="20"/>
              </w:rPr>
              <w:t> </w:t>
            </w:r>
          </w:p>
        </w:tc>
        <w:tc>
          <w:tcPr>
            <w:tcW w:w="709" w:type="dxa"/>
            <w:tcBorders>
              <w:top w:val="nil"/>
              <w:left w:val="nil"/>
              <w:bottom w:val="single" w:sz="4" w:space="0" w:color="auto"/>
              <w:right w:val="single" w:sz="4" w:space="0" w:color="auto"/>
            </w:tcBorders>
            <w:shd w:val="clear" w:color="auto" w:fill="auto"/>
            <w:noWrap/>
            <w:vAlign w:val="bottom"/>
            <w:hideMark/>
          </w:tcPr>
          <w:p w14:paraId="11E7FA8E" w14:textId="77777777" w:rsidR="00387142" w:rsidRPr="008B6A75" w:rsidRDefault="00387142" w:rsidP="00387142">
            <w:pPr>
              <w:rPr>
                <w:color w:val="000000"/>
                <w:sz w:val="20"/>
                <w:szCs w:val="20"/>
              </w:rPr>
            </w:pPr>
            <w:r w:rsidRPr="008B6A75">
              <w:rPr>
                <w:color w:val="000000"/>
                <w:sz w:val="20"/>
                <w:szCs w:val="20"/>
              </w:rPr>
              <w:t> </w:t>
            </w:r>
          </w:p>
        </w:tc>
        <w:tc>
          <w:tcPr>
            <w:tcW w:w="850" w:type="dxa"/>
            <w:tcBorders>
              <w:top w:val="nil"/>
              <w:left w:val="nil"/>
              <w:bottom w:val="single" w:sz="4" w:space="0" w:color="auto"/>
              <w:right w:val="single" w:sz="4" w:space="0" w:color="auto"/>
            </w:tcBorders>
            <w:shd w:val="clear" w:color="auto" w:fill="auto"/>
            <w:noWrap/>
            <w:vAlign w:val="bottom"/>
            <w:hideMark/>
          </w:tcPr>
          <w:p w14:paraId="0B83E3C5" w14:textId="77777777" w:rsidR="00387142" w:rsidRPr="008B6A75" w:rsidRDefault="00387142" w:rsidP="00387142">
            <w:pPr>
              <w:jc w:val="right"/>
              <w:rPr>
                <w:color w:val="000000"/>
                <w:sz w:val="20"/>
                <w:szCs w:val="20"/>
              </w:rPr>
            </w:pPr>
            <w:r w:rsidRPr="008B6A75">
              <w:rPr>
                <w:color w:val="000000"/>
                <w:sz w:val="20"/>
                <w:szCs w:val="20"/>
              </w:rPr>
              <w:t>3 546,00</w:t>
            </w:r>
          </w:p>
        </w:tc>
        <w:tc>
          <w:tcPr>
            <w:tcW w:w="1701" w:type="dxa"/>
            <w:tcBorders>
              <w:top w:val="nil"/>
              <w:left w:val="nil"/>
              <w:bottom w:val="single" w:sz="4" w:space="0" w:color="auto"/>
              <w:right w:val="single" w:sz="4" w:space="0" w:color="auto"/>
            </w:tcBorders>
            <w:shd w:val="clear" w:color="auto" w:fill="auto"/>
            <w:noWrap/>
            <w:vAlign w:val="bottom"/>
            <w:hideMark/>
          </w:tcPr>
          <w:p w14:paraId="5DC5A94C" w14:textId="77777777" w:rsidR="00387142" w:rsidRPr="008B6A75" w:rsidRDefault="00387142" w:rsidP="00387142">
            <w:pPr>
              <w:jc w:val="right"/>
              <w:rPr>
                <w:sz w:val="20"/>
                <w:szCs w:val="20"/>
              </w:rPr>
            </w:pPr>
            <w:r w:rsidRPr="008B6A75">
              <w:rPr>
                <w:sz w:val="20"/>
                <w:szCs w:val="20"/>
              </w:rPr>
              <w:t>129 920,00</w:t>
            </w:r>
          </w:p>
        </w:tc>
        <w:tc>
          <w:tcPr>
            <w:tcW w:w="851" w:type="dxa"/>
            <w:tcBorders>
              <w:top w:val="nil"/>
              <w:left w:val="nil"/>
              <w:bottom w:val="single" w:sz="4" w:space="0" w:color="auto"/>
              <w:right w:val="single" w:sz="4" w:space="0" w:color="auto"/>
            </w:tcBorders>
            <w:shd w:val="clear" w:color="auto" w:fill="auto"/>
            <w:noWrap/>
            <w:vAlign w:val="bottom"/>
            <w:hideMark/>
          </w:tcPr>
          <w:p w14:paraId="02FCB350" w14:textId="77777777" w:rsidR="00387142" w:rsidRPr="008B6A75" w:rsidRDefault="00387142" w:rsidP="00387142">
            <w:pPr>
              <w:jc w:val="right"/>
              <w:rPr>
                <w:color w:val="000000"/>
                <w:sz w:val="20"/>
                <w:szCs w:val="20"/>
              </w:rPr>
            </w:pPr>
            <w:r w:rsidRPr="008B6A75">
              <w:rPr>
                <w:color w:val="000000"/>
                <w:sz w:val="20"/>
                <w:szCs w:val="20"/>
              </w:rPr>
              <w:t>1 300 000,00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14:paraId="3377AA5A" w14:textId="77777777" w:rsidR="00387142" w:rsidRPr="008B6A75" w:rsidRDefault="00387142" w:rsidP="00387142">
            <w:pPr>
              <w:rPr>
                <w:color w:val="000000"/>
                <w:sz w:val="20"/>
                <w:szCs w:val="20"/>
              </w:rPr>
            </w:pPr>
            <w:r w:rsidRPr="008B6A75">
              <w:rPr>
                <w:color w:val="000000"/>
                <w:sz w:val="20"/>
                <w:szCs w:val="20"/>
              </w:rPr>
              <w:t> </w:t>
            </w:r>
          </w:p>
        </w:tc>
        <w:tc>
          <w:tcPr>
            <w:tcW w:w="568" w:type="dxa"/>
            <w:gridSpan w:val="2"/>
            <w:tcBorders>
              <w:top w:val="nil"/>
              <w:left w:val="nil"/>
              <w:bottom w:val="single" w:sz="4" w:space="0" w:color="auto"/>
              <w:right w:val="single" w:sz="4" w:space="0" w:color="auto"/>
            </w:tcBorders>
            <w:shd w:val="clear" w:color="auto" w:fill="auto"/>
            <w:noWrap/>
            <w:vAlign w:val="bottom"/>
            <w:hideMark/>
          </w:tcPr>
          <w:p w14:paraId="10CF1192" w14:textId="77777777" w:rsidR="00387142" w:rsidRPr="008B6A75" w:rsidRDefault="00387142" w:rsidP="00387142">
            <w:pPr>
              <w:rPr>
                <w:color w:val="000000"/>
                <w:sz w:val="20"/>
                <w:szCs w:val="20"/>
              </w:rPr>
            </w:pPr>
            <w:r w:rsidRPr="008B6A75">
              <w:rPr>
                <w:color w:val="000000"/>
                <w:sz w:val="20"/>
                <w:szCs w:val="20"/>
              </w:rPr>
              <w:t> </w:t>
            </w:r>
          </w:p>
        </w:tc>
        <w:tc>
          <w:tcPr>
            <w:tcW w:w="566" w:type="dxa"/>
            <w:gridSpan w:val="2"/>
            <w:tcBorders>
              <w:top w:val="nil"/>
              <w:left w:val="nil"/>
              <w:bottom w:val="single" w:sz="4" w:space="0" w:color="auto"/>
              <w:right w:val="single" w:sz="4" w:space="0" w:color="auto"/>
            </w:tcBorders>
            <w:shd w:val="clear" w:color="auto" w:fill="auto"/>
            <w:noWrap/>
            <w:vAlign w:val="bottom"/>
            <w:hideMark/>
          </w:tcPr>
          <w:p w14:paraId="72E1D478" w14:textId="77777777" w:rsidR="00387142" w:rsidRPr="008B6A75" w:rsidRDefault="00387142" w:rsidP="00387142">
            <w:pPr>
              <w:rPr>
                <w:color w:val="000000"/>
                <w:sz w:val="20"/>
                <w:szCs w:val="20"/>
              </w:rPr>
            </w:pPr>
            <w:r w:rsidRPr="008B6A75">
              <w:rPr>
                <w:color w:val="000000"/>
                <w:sz w:val="20"/>
                <w:szCs w:val="20"/>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14:paraId="5CA0F5E7" w14:textId="77777777" w:rsidR="00387142" w:rsidRPr="008B6A75" w:rsidRDefault="00387142" w:rsidP="00387142">
            <w:pPr>
              <w:jc w:val="right"/>
              <w:rPr>
                <w:color w:val="000000"/>
                <w:sz w:val="20"/>
                <w:szCs w:val="20"/>
              </w:rPr>
            </w:pPr>
            <w:r w:rsidRPr="008B6A75">
              <w:rPr>
                <w:color w:val="000000"/>
                <w:sz w:val="20"/>
                <w:szCs w:val="20"/>
              </w:rPr>
              <w:t>0,00</w:t>
            </w:r>
          </w:p>
        </w:tc>
        <w:tc>
          <w:tcPr>
            <w:tcW w:w="850" w:type="dxa"/>
            <w:tcBorders>
              <w:top w:val="nil"/>
              <w:left w:val="nil"/>
              <w:bottom w:val="single" w:sz="4" w:space="0" w:color="auto"/>
              <w:right w:val="single" w:sz="4" w:space="0" w:color="auto"/>
            </w:tcBorders>
            <w:shd w:val="clear" w:color="000000" w:fill="FFFFFF"/>
            <w:noWrap/>
            <w:vAlign w:val="bottom"/>
            <w:hideMark/>
          </w:tcPr>
          <w:p w14:paraId="260697EE" w14:textId="77777777" w:rsidR="00387142" w:rsidRPr="008B6A75" w:rsidRDefault="00387142" w:rsidP="00387142">
            <w:pPr>
              <w:rPr>
                <w:sz w:val="20"/>
                <w:szCs w:val="20"/>
              </w:rPr>
            </w:pPr>
            <w:r w:rsidRPr="008B6A75">
              <w:rPr>
                <w:sz w:val="20"/>
                <w:szCs w:val="20"/>
              </w:rPr>
              <w:t> </w:t>
            </w:r>
          </w:p>
        </w:tc>
        <w:tc>
          <w:tcPr>
            <w:tcW w:w="851" w:type="dxa"/>
            <w:tcBorders>
              <w:top w:val="nil"/>
              <w:left w:val="nil"/>
              <w:bottom w:val="single" w:sz="4" w:space="0" w:color="auto"/>
              <w:right w:val="single" w:sz="4" w:space="0" w:color="auto"/>
            </w:tcBorders>
            <w:shd w:val="clear" w:color="000000" w:fill="FFFFFF"/>
            <w:noWrap/>
            <w:vAlign w:val="bottom"/>
            <w:hideMark/>
          </w:tcPr>
          <w:p w14:paraId="65FF4659" w14:textId="77777777" w:rsidR="00387142" w:rsidRPr="008B6A75" w:rsidRDefault="00387142" w:rsidP="00387142">
            <w:pPr>
              <w:jc w:val="right"/>
              <w:rPr>
                <w:sz w:val="20"/>
                <w:szCs w:val="20"/>
              </w:rPr>
            </w:pPr>
            <w:r w:rsidRPr="008B6A75">
              <w:rPr>
                <w:sz w:val="20"/>
                <w:szCs w:val="20"/>
              </w:rPr>
              <w:t>54 014,00</w:t>
            </w:r>
          </w:p>
        </w:tc>
        <w:tc>
          <w:tcPr>
            <w:tcW w:w="553" w:type="dxa"/>
            <w:gridSpan w:val="2"/>
            <w:vAlign w:val="center"/>
            <w:hideMark/>
          </w:tcPr>
          <w:p w14:paraId="0D3AA9B7" w14:textId="77777777" w:rsidR="00387142" w:rsidRPr="008B6A75" w:rsidRDefault="00387142" w:rsidP="00387142">
            <w:pPr>
              <w:rPr>
                <w:sz w:val="20"/>
                <w:szCs w:val="20"/>
              </w:rPr>
            </w:pPr>
          </w:p>
        </w:tc>
      </w:tr>
      <w:tr w:rsidR="00387142" w:rsidRPr="008B6A75" w14:paraId="13827B98" w14:textId="77777777" w:rsidTr="00387142">
        <w:trPr>
          <w:trHeight w:val="300"/>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14:paraId="34D0EC95" w14:textId="77777777" w:rsidR="00387142" w:rsidRPr="008B6A75" w:rsidRDefault="00387142" w:rsidP="00387142">
            <w:pPr>
              <w:jc w:val="right"/>
              <w:rPr>
                <w:color w:val="000000"/>
                <w:sz w:val="20"/>
                <w:szCs w:val="20"/>
              </w:rPr>
            </w:pPr>
            <w:r w:rsidRPr="008B6A75">
              <w:rPr>
                <w:color w:val="000000"/>
                <w:sz w:val="20"/>
                <w:szCs w:val="20"/>
              </w:rPr>
              <w:t>9</w:t>
            </w:r>
          </w:p>
        </w:tc>
        <w:tc>
          <w:tcPr>
            <w:tcW w:w="426" w:type="dxa"/>
            <w:tcBorders>
              <w:top w:val="nil"/>
              <w:left w:val="nil"/>
              <w:bottom w:val="single" w:sz="4" w:space="0" w:color="auto"/>
              <w:right w:val="single" w:sz="4" w:space="0" w:color="auto"/>
            </w:tcBorders>
            <w:shd w:val="clear" w:color="auto" w:fill="auto"/>
            <w:noWrap/>
            <w:vAlign w:val="bottom"/>
            <w:hideMark/>
          </w:tcPr>
          <w:p w14:paraId="4E10F1AF" w14:textId="77777777" w:rsidR="00387142" w:rsidRPr="008B6A75" w:rsidRDefault="00387142" w:rsidP="00387142">
            <w:pPr>
              <w:rPr>
                <w:color w:val="000000"/>
                <w:sz w:val="20"/>
                <w:szCs w:val="20"/>
              </w:rPr>
            </w:pPr>
            <w:r w:rsidRPr="008B6A75">
              <w:rPr>
                <w:color w:val="000000"/>
                <w:sz w:val="20"/>
                <w:szCs w:val="20"/>
              </w:rPr>
              <w:t>Камский</w:t>
            </w:r>
          </w:p>
        </w:tc>
        <w:tc>
          <w:tcPr>
            <w:tcW w:w="567" w:type="dxa"/>
            <w:tcBorders>
              <w:top w:val="nil"/>
              <w:left w:val="nil"/>
              <w:bottom w:val="single" w:sz="4" w:space="0" w:color="auto"/>
              <w:right w:val="single" w:sz="4" w:space="0" w:color="auto"/>
            </w:tcBorders>
            <w:shd w:val="clear" w:color="auto" w:fill="auto"/>
            <w:noWrap/>
            <w:vAlign w:val="bottom"/>
            <w:hideMark/>
          </w:tcPr>
          <w:p w14:paraId="7B14B371" w14:textId="77777777" w:rsidR="00387142" w:rsidRPr="008B6A75" w:rsidRDefault="00387142" w:rsidP="00387142">
            <w:pPr>
              <w:jc w:val="right"/>
              <w:rPr>
                <w:bCs/>
                <w:color w:val="000000"/>
                <w:sz w:val="20"/>
                <w:szCs w:val="20"/>
              </w:rPr>
            </w:pPr>
            <w:r w:rsidRPr="008B6A75">
              <w:rPr>
                <w:bCs/>
                <w:color w:val="000000"/>
                <w:sz w:val="20"/>
                <w:szCs w:val="20"/>
              </w:rPr>
              <w:t>643 347,46</w:t>
            </w:r>
          </w:p>
        </w:tc>
        <w:tc>
          <w:tcPr>
            <w:tcW w:w="850" w:type="dxa"/>
            <w:tcBorders>
              <w:top w:val="nil"/>
              <w:left w:val="nil"/>
              <w:bottom w:val="single" w:sz="4" w:space="0" w:color="auto"/>
              <w:right w:val="single" w:sz="4" w:space="0" w:color="auto"/>
            </w:tcBorders>
            <w:shd w:val="clear" w:color="000000" w:fill="FFFFFF"/>
            <w:noWrap/>
            <w:vAlign w:val="bottom"/>
            <w:hideMark/>
          </w:tcPr>
          <w:p w14:paraId="6434F354" w14:textId="77777777" w:rsidR="00387142" w:rsidRPr="008B6A75" w:rsidRDefault="00387142" w:rsidP="00387142">
            <w:pPr>
              <w:jc w:val="right"/>
              <w:rPr>
                <w:color w:val="000000"/>
                <w:sz w:val="20"/>
                <w:szCs w:val="20"/>
              </w:rPr>
            </w:pPr>
            <w:r w:rsidRPr="008B6A75">
              <w:rPr>
                <w:color w:val="000000"/>
                <w:sz w:val="20"/>
                <w:szCs w:val="20"/>
              </w:rPr>
              <w:t>170 000,00</w:t>
            </w:r>
          </w:p>
        </w:tc>
        <w:tc>
          <w:tcPr>
            <w:tcW w:w="1134" w:type="dxa"/>
            <w:tcBorders>
              <w:top w:val="nil"/>
              <w:left w:val="nil"/>
              <w:bottom w:val="single" w:sz="4" w:space="0" w:color="auto"/>
              <w:right w:val="single" w:sz="4" w:space="0" w:color="auto"/>
            </w:tcBorders>
            <w:shd w:val="clear" w:color="auto" w:fill="auto"/>
            <w:noWrap/>
            <w:vAlign w:val="bottom"/>
            <w:hideMark/>
          </w:tcPr>
          <w:p w14:paraId="5E67D254" w14:textId="77777777" w:rsidR="00387142" w:rsidRPr="008B6A75" w:rsidRDefault="00387142" w:rsidP="00387142">
            <w:pPr>
              <w:jc w:val="right"/>
              <w:rPr>
                <w:color w:val="000000"/>
                <w:sz w:val="20"/>
                <w:szCs w:val="20"/>
              </w:rPr>
            </w:pPr>
            <w:r w:rsidRPr="008B6A75">
              <w:rPr>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bottom"/>
            <w:hideMark/>
          </w:tcPr>
          <w:p w14:paraId="4FFCC12C" w14:textId="77777777" w:rsidR="00387142" w:rsidRPr="008B6A75" w:rsidRDefault="00387142" w:rsidP="00387142">
            <w:pPr>
              <w:rPr>
                <w:color w:val="000000"/>
                <w:sz w:val="20"/>
                <w:szCs w:val="20"/>
              </w:rPr>
            </w:pPr>
            <w:r w:rsidRPr="008B6A75">
              <w:rPr>
                <w:color w:val="000000"/>
                <w:sz w:val="20"/>
                <w:szCs w:val="20"/>
              </w:rPr>
              <w:t> </w:t>
            </w:r>
          </w:p>
        </w:tc>
        <w:tc>
          <w:tcPr>
            <w:tcW w:w="851" w:type="dxa"/>
            <w:tcBorders>
              <w:top w:val="nil"/>
              <w:left w:val="nil"/>
              <w:bottom w:val="single" w:sz="4" w:space="0" w:color="auto"/>
              <w:right w:val="single" w:sz="4" w:space="0" w:color="auto"/>
            </w:tcBorders>
            <w:shd w:val="clear" w:color="auto" w:fill="auto"/>
            <w:noWrap/>
            <w:vAlign w:val="bottom"/>
            <w:hideMark/>
          </w:tcPr>
          <w:p w14:paraId="2E8B9AF7" w14:textId="77777777" w:rsidR="00387142" w:rsidRPr="008B6A75" w:rsidRDefault="00387142" w:rsidP="00387142">
            <w:pPr>
              <w:rPr>
                <w:color w:val="000000"/>
                <w:sz w:val="20"/>
                <w:szCs w:val="20"/>
              </w:rPr>
            </w:pPr>
            <w:r w:rsidRPr="008B6A75">
              <w:rPr>
                <w:color w:val="000000"/>
                <w:sz w:val="20"/>
                <w:szCs w:val="20"/>
              </w:rPr>
              <w:t> </w:t>
            </w:r>
          </w:p>
        </w:tc>
        <w:tc>
          <w:tcPr>
            <w:tcW w:w="1215" w:type="dxa"/>
            <w:tcBorders>
              <w:top w:val="nil"/>
              <w:left w:val="nil"/>
              <w:bottom w:val="single" w:sz="4" w:space="0" w:color="auto"/>
              <w:right w:val="single" w:sz="4" w:space="0" w:color="auto"/>
            </w:tcBorders>
            <w:shd w:val="clear" w:color="auto" w:fill="auto"/>
            <w:noWrap/>
            <w:vAlign w:val="bottom"/>
            <w:hideMark/>
          </w:tcPr>
          <w:p w14:paraId="3CC4B160" w14:textId="77777777" w:rsidR="00387142" w:rsidRPr="008B6A75" w:rsidRDefault="00387142" w:rsidP="00387142">
            <w:pPr>
              <w:rPr>
                <w:color w:val="000000"/>
                <w:sz w:val="20"/>
                <w:szCs w:val="20"/>
              </w:rPr>
            </w:pPr>
            <w:r w:rsidRPr="008B6A75">
              <w:rPr>
                <w:color w:val="000000"/>
                <w:sz w:val="20"/>
                <w:szCs w:val="20"/>
              </w:rPr>
              <w:t> </w:t>
            </w:r>
          </w:p>
        </w:tc>
        <w:tc>
          <w:tcPr>
            <w:tcW w:w="769" w:type="dxa"/>
            <w:tcBorders>
              <w:top w:val="nil"/>
              <w:left w:val="nil"/>
              <w:bottom w:val="single" w:sz="4" w:space="0" w:color="auto"/>
              <w:right w:val="single" w:sz="4" w:space="0" w:color="auto"/>
            </w:tcBorders>
            <w:shd w:val="clear" w:color="auto" w:fill="auto"/>
            <w:noWrap/>
            <w:vAlign w:val="bottom"/>
            <w:hideMark/>
          </w:tcPr>
          <w:p w14:paraId="60D579D4" w14:textId="77777777" w:rsidR="00387142" w:rsidRPr="008B6A75" w:rsidRDefault="00387142" w:rsidP="00387142">
            <w:pPr>
              <w:rPr>
                <w:color w:val="000000"/>
                <w:sz w:val="20"/>
                <w:szCs w:val="20"/>
              </w:rPr>
            </w:pPr>
            <w:r w:rsidRPr="008B6A75">
              <w:rPr>
                <w:color w:val="000000"/>
                <w:sz w:val="20"/>
                <w:szCs w:val="20"/>
              </w:rPr>
              <w:t> </w:t>
            </w:r>
          </w:p>
        </w:tc>
        <w:tc>
          <w:tcPr>
            <w:tcW w:w="709" w:type="dxa"/>
            <w:tcBorders>
              <w:top w:val="nil"/>
              <w:left w:val="nil"/>
              <w:bottom w:val="single" w:sz="4" w:space="0" w:color="auto"/>
              <w:right w:val="single" w:sz="4" w:space="0" w:color="auto"/>
            </w:tcBorders>
            <w:shd w:val="clear" w:color="auto" w:fill="auto"/>
            <w:noWrap/>
            <w:vAlign w:val="bottom"/>
            <w:hideMark/>
          </w:tcPr>
          <w:p w14:paraId="78AF9E91" w14:textId="77777777" w:rsidR="00387142" w:rsidRPr="008B6A75" w:rsidRDefault="00387142" w:rsidP="00387142">
            <w:pPr>
              <w:rPr>
                <w:color w:val="000000"/>
                <w:sz w:val="20"/>
                <w:szCs w:val="20"/>
              </w:rPr>
            </w:pPr>
            <w:r w:rsidRPr="008B6A75">
              <w:rPr>
                <w:color w:val="000000"/>
                <w:sz w:val="20"/>
                <w:szCs w:val="20"/>
              </w:rPr>
              <w:t> </w:t>
            </w:r>
          </w:p>
        </w:tc>
        <w:tc>
          <w:tcPr>
            <w:tcW w:w="850" w:type="dxa"/>
            <w:tcBorders>
              <w:top w:val="nil"/>
              <w:left w:val="nil"/>
              <w:bottom w:val="single" w:sz="4" w:space="0" w:color="auto"/>
              <w:right w:val="single" w:sz="4" w:space="0" w:color="auto"/>
            </w:tcBorders>
            <w:shd w:val="clear" w:color="auto" w:fill="auto"/>
            <w:noWrap/>
            <w:vAlign w:val="bottom"/>
            <w:hideMark/>
          </w:tcPr>
          <w:p w14:paraId="046317BE" w14:textId="77777777" w:rsidR="00387142" w:rsidRPr="008B6A75" w:rsidRDefault="00387142" w:rsidP="00387142">
            <w:pPr>
              <w:jc w:val="right"/>
              <w:rPr>
                <w:color w:val="000000"/>
                <w:sz w:val="20"/>
                <w:szCs w:val="20"/>
              </w:rPr>
            </w:pPr>
            <w:r w:rsidRPr="008B6A75">
              <w:rPr>
                <w:color w:val="000000"/>
                <w:sz w:val="20"/>
                <w:szCs w:val="20"/>
              </w:rPr>
              <w:t>17 730,00</w:t>
            </w:r>
          </w:p>
        </w:tc>
        <w:tc>
          <w:tcPr>
            <w:tcW w:w="1701" w:type="dxa"/>
            <w:tcBorders>
              <w:top w:val="nil"/>
              <w:left w:val="nil"/>
              <w:bottom w:val="single" w:sz="4" w:space="0" w:color="auto"/>
              <w:right w:val="single" w:sz="4" w:space="0" w:color="auto"/>
            </w:tcBorders>
            <w:shd w:val="clear" w:color="auto" w:fill="auto"/>
            <w:noWrap/>
            <w:vAlign w:val="bottom"/>
            <w:hideMark/>
          </w:tcPr>
          <w:p w14:paraId="68927943" w14:textId="77777777" w:rsidR="00387142" w:rsidRPr="008B6A75" w:rsidRDefault="00387142" w:rsidP="00387142">
            <w:pPr>
              <w:jc w:val="right"/>
              <w:rPr>
                <w:color w:val="000000"/>
                <w:sz w:val="20"/>
                <w:szCs w:val="20"/>
              </w:rPr>
            </w:pPr>
            <w:r w:rsidRPr="008B6A75">
              <w:rPr>
                <w:color w:val="000000"/>
                <w:sz w:val="20"/>
                <w:szCs w:val="20"/>
              </w:rPr>
              <w:t>73000</w:t>
            </w:r>
          </w:p>
        </w:tc>
        <w:tc>
          <w:tcPr>
            <w:tcW w:w="851" w:type="dxa"/>
            <w:tcBorders>
              <w:top w:val="nil"/>
              <w:left w:val="nil"/>
              <w:bottom w:val="single" w:sz="4" w:space="0" w:color="auto"/>
              <w:right w:val="single" w:sz="4" w:space="0" w:color="auto"/>
            </w:tcBorders>
            <w:shd w:val="clear" w:color="auto" w:fill="auto"/>
            <w:noWrap/>
            <w:vAlign w:val="bottom"/>
            <w:hideMark/>
          </w:tcPr>
          <w:p w14:paraId="5642E3BE" w14:textId="77777777" w:rsidR="00387142" w:rsidRPr="008B6A75" w:rsidRDefault="00387142" w:rsidP="00387142">
            <w:pPr>
              <w:jc w:val="right"/>
              <w:rPr>
                <w:color w:val="000000"/>
                <w:sz w:val="20"/>
                <w:szCs w:val="20"/>
              </w:rPr>
            </w:pPr>
            <w:r w:rsidRPr="008B6A75">
              <w:rPr>
                <w:color w:val="000000"/>
                <w:sz w:val="20"/>
                <w:szCs w:val="20"/>
              </w:rPr>
              <w:t>294 798,46</w:t>
            </w:r>
          </w:p>
        </w:tc>
        <w:tc>
          <w:tcPr>
            <w:tcW w:w="567" w:type="dxa"/>
            <w:gridSpan w:val="2"/>
            <w:tcBorders>
              <w:top w:val="nil"/>
              <w:left w:val="nil"/>
              <w:bottom w:val="single" w:sz="4" w:space="0" w:color="auto"/>
              <w:right w:val="single" w:sz="4" w:space="0" w:color="auto"/>
            </w:tcBorders>
            <w:shd w:val="clear" w:color="auto" w:fill="auto"/>
            <w:noWrap/>
            <w:vAlign w:val="bottom"/>
            <w:hideMark/>
          </w:tcPr>
          <w:p w14:paraId="5F27D925" w14:textId="77777777" w:rsidR="00387142" w:rsidRPr="008B6A75" w:rsidRDefault="00387142" w:rsidP="00387142">
            <w:pPr>
              <w:rPr>
                <w:color w:val="000000"/>
                <w:sz w:val="20"/>
                <w:szCs w:val="20"/>
              </w:rPr>
            </w:pPr>
            <w:r w:rsidRPr="008B6A75">
              <w:rPr>
                <w:color w:val="000000"/>
                <w:sz w:val="20"/>
                <w:szCs w:val="20"/>
              </w:rPr>
              <w:t> </w:t>
            </w:r>
          </w:p>
        </w:tc>
        <w:tc>
          <w:tcPr>
            <w:tcW w:w="568" w:type="dxa"/>
            <w:gridSpan w:val="2"/>
            <w:tcBorders>
              <w:top w:val="nil"/>
              <w:left w:val="nil"/>
              <w:bottom w:val="single" w:sz="4" w:space="0" w:color="auto"/>
              <w:right w:val="single" w:sz="4" w:space="0" w:color="auto"/>
            </w:tcBorders>
            <w:shd w:val="clear" w:color="auto" w:fill="auto"/>
            <w:noWrap/>
            <w:vAlign w:val="bottom"/>
            <w:hideMark/>
          </w:tcPr>
          <w:p w14:paraId="16C25A94" w14:textId="77777777" w:rsidR="00387142" w:rsidRPr="008B6A75" w:rsidRDefault="00387142" w:rsidP="00387142">
            <w:pPr>
              <w:rPr>
                <w:color w:val="000000"/>
                <w:sz w:val="20"/>
                <w:szCs w:val="20"/>
              </w:rPr>
            </w:pPr>
            <w:r w:rsidRPr="008B6A75">
              <w:rPr>
                <w:color w:val="000000"/>
                <w:sz w:val="20"/>
                <w:szCs w:val="20"/>
              </w:rPr>
              <w:t> </w:t>
            </w:r>
          </w:p>
        </w:tc>
        <w:tc>
          <w:tcPr>
            <w:tcW w:w="566" w:type="dxa"/>
            <w:gridSpan w:val="2"/>
            <w:tcBorders>
              <w:top w:val="nil"/>
              <w:left w:val="nil"/>
              <w:bottom w:val="single" w:sz="4" w:space="0" w:color="auto"/>
              <w:right w:val="single" w:sz="4" w:space="0" w:color="auto"/>
            </w:tcBorders>
            <w:shd w:val="clear" w:color="auto" w:fill="auto"/>
            <w:noWrap/>
            <w:vAlign w:val="bottom"/>
            <w:hideMark/>
          </w:tcPr>
          <w:p w14:paraId="39199617" w14:textId="77777777" w:rsidR="00387142" w:rsidRPr="008B6A75" w:rsidRDefault="00387142" w:rsidP="00387142">
            <w:pPr>
              <w:rPr>
                <w:color w:val="000000"/>
                <w:sz w:val="20"/>
                <w:szCs w:val="20"/>
              </w:rPr>
            </w:pPr>
            <w:r w:rsidRPr="008B6A75">
              <w:rPr>
                <w:color w:val="000000"/>
                <w:sz w:val="20"/>
                <w:szCs w:val="20"/>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14:paraId="259FBE48" w14:textId="77777777" w:rsidR="00387142" w:rsidRPr="008B6A75" w:rsidRDefault="00387142" w:rsidP="00387142">
            <w:pPr>
              <w:rPr>
                <w:color w:val="000000"/>
                <w:sz w:val="20"/>
                <w:szCs w:val="20"/>
              </w:rPr>
            </w:pPr>
            <w:r w:rsidRPr="008B6A75">
              <w:rPr>
                <w:color w:val="000000"/>
                <w:sz w:val="20"/>
                <w:szCs w:val="20"/>
              </w:rPr>
              <w:t> </w:t>
            </w:r>
          </w:p>
        </w:tc>
        <w:tc>
          <w:tcPr>
            <w:tcW w:w="850" w:type="dxa"/>
            <w:tcBorders>
              <w:top w:val="nil"/>
              <w:left w:val="nil"/>
              <w:bottom w:val="single" w:sz="4" w:space="0" w:color="auto"/>
              <w:right w:val="single" w:sz="4" w:space="0" w:color="auto"/>
            </w:tcBorders>
            <w:shd w:val="clear" w:color="000000" w:fill="FFFFFF"/>
            <w:noWrap/>
            <w:vAlign w:val="bottom"/>
            <w:hideMark/>
          </w:tcPr>
          <w:p w14:paraId="7C53A665" w14:textId="77777777" w:rsidR="00387142" w:rsidRPr="008B6A75" w:rsidRDefault="00387142" w:rsidP="00387142">
            <w:pPr>
              <w:rPr>
                <w:sz w:val="20"/>
                <w:szCs w:val="20"/>
              </w:rPr>
            </w:pPr>
            <w:r w:rsidRPr="008B6A75">
              <w:rPr>
                <w:sz w:val="20"/>
                <w:szCs w:val="20"/>
              </w:rPr>
              <w:t> </w:t>
            </w:r>
          </w:p>
        </w:tc>
        <w:tc>
          <w:tcPr>
            <w:tcW w:w="851" w:type="dxa"/>
            <w:tcBorders>
              <w:top w:val="nil"/>
              <w:left w:val="nil"/>
              <w:bottom w:val="single" w:sz="4" w:space="0" w:color="auto"/>
              <w:right w:val="single" w:sz="4" w:space="0" w:color="auto"/>
            </w:tcBorders>
            <w:shd w:val="clear" w:color="000000" w:fill="FFFFFF"/>
            <w:noWrap/>
            <w:vAlign w:val="bottom"/>
            <w:hideMark/>
          </w:tcPr>
          <w:p w14:paraId="30237384" w14:textId="77777777" w:rsidR="00387142" w:rsidRPr="008B6A75" w:rsidRDefault="00387142" w:rsidP="00387142">
            <w:pPr>
              <w:jc w:val="right"/>
              <w:rPr>
                <w:sz w:val="20"/>
                <w:szCs w:val="20"/>
              </w:rPr>
            </w:pPr>
            <w:r w:rsidRPr="008B6A75">
              <w:rPr>
                <w:sz w:val="20"/>
                <w:szCs w:val="20"/>
              </w:rPr>
              <w:t>87 819,00</w:t>
            </w:r>
          </w:p>
        </w:tc>
        <w:tc>
          <w:tcPr>
            <w:tcW w:w="553" w:type="dxa"/>
            <w:gridSpan w:val="2"/>
            <w:vAlign w:val="center"/>
            <w:hideMark/>
          </w:tcPr>
          <w:p w14:paraId="5B136E7C" w14:textId="77777777" w:rsidR="00387142" w:rsidRPr="008B6A75" w:rsidRDefault="00387142" w:rsidP="00387142">
            <w:pPr>
              <w:rPr>
                <w:sz w:val="20"/>
                <w:szCs w:val="20"/>
              </w:rPr>
            </w:pPr>
          </w:p>
        </w:tc>
      </w:tr>
      <w:tr w:rsidR="00387142" w:rsidRPr="008B6A75" w14:paraId="463F4906" w14:textId="77777777" w:rsidTr="00387142">
        <w:trPr>
          <w:trHeight w:val="300"/>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14:paraId="0FCC22F4" w14:textId="77777777" w:rsidR="00387142" w:rsidRPr="008B6A75" w:rsidRDefault="00387142" w:rsidP="00387142">
            <w:pPr>
              <w:jc w:val="right"/>
              <w:rPr>
                <w:color w:val="000000"/>
                <w:sz w:val="20"/>
                <w:szCs w:val="20"/>
              </w:rPr>
            </w:pPr>
            <w:r w:rsidRPr="008B6A75">
              <w:rPr>
                <w:color w:val="000000"/>
                <w:sz w:val="20"/>
                <w:szCs w:val="20"/>
              </w:rPr>
              <w:t>10</w:t>
            </w:r>
          </w:p>
        </w:tc>
        <w:tc>
          <w:tcPr>
            <w:tcW w:w="426" w:type="dxa"/>
            <w:tcBorders>
              <w:top w:val="nil"/>
              <w:left w:val="nil"/>
              <w:bottom w:val="single" w:sz="4" w:space="0" w:color="auto"/>
              <w:right w:val="single" w:sz="4" w:space="0" w:color="auto"/>
            </w:tcBorders>
            <w:shd w:val="clear" w:color="auto" w:fill="auto"/>
            <w:noWrap/>
            <w:vAlign w:val="bottom"/>
            <w:hideMark/>
          </w:tcPr>
          <w:p w14:paraId="2565AEFA" w14:textId="77777777" w:rsidR="00387142" w:rsidRPr="008B6A75" w:rsidRDefault="00387142" w:rsidP="00387142">
            <w:pPr>
              <w:rPr>
                <w:color w:val="000000"/>
                <w:sz w:val="20"/>
                <w:szCs w:val="20"/>
              </w:rPr>
            </w:pPr>
            <w:r w:rsidRPr="008B6A75">
              <w:rPr>
                <w:color w:val="000000"/>
                <w:sz w:val="20"/>
                <w:szCs w:val="20"/>
              </w:rPr>
              <w:t>Куйбышевский</w:t>
            </w:r>
          </w:p>
        </w:tc>
        <w:tc>
          <w:tcPr>
            <w:tcW w:w="567" w:type="dxa"/>
            <w:tcBorders>
              <w:top w:val="nil"/>
              <w:left w:val="nil"/>
              <w:bottom w:val="single" w:sz="4" w:space="0" w:color="auto"/>
              <w:right w:val="single" w:sz="4" w:space="0" w:color="auto"/>
            </w:tcBorders>
            <w:shd w:val="clear" w:color="auto" w:fill="auto"/>
            <w:noWrap/>
            <w:vAlign w:val="bottom"/>
            <w:hideMark/>
          </w:tcPr>
          <w:p w14:paraId="48F67979" w14:textId="77777777" w:rsidR="00387142" w:rsidRPr="008B6A75" w:rsidRDefault="00387142" w:rsidP="00387142">
            <w:pPr>
              <w:jc w:val="right"/>
              <w:rPr>
                <w:bCs/>
                <w:color w:val="000000"/>
                <w:sz w:val="20"/>
                <w:szCs w:val="20"/>
              </w:rPr>
            </w:pPr>
            <w:r w:rsidRPr="008B6A75">
              <w:rPr>
                <w:bCs/>
                <w:color w:val="000000"/>
                <w:sz w:val="20"/>
                <w:szCs w:val="20"/>
              </w:rPr>
              <w:t>299 855,71</w:t>
            </w:r>
          </w:p>
        </w:tc>
        <w:tc>
          <w:tcPr>
            <w:tcW w:w="850" w:type="dxa"/>
            <w:tcBorders>
              <w:top w:val="nil"/>
              <w:left w:val="nil"/>
              <w:bottom w:val="single" w:sz="4" w:space="0" w:color="auto"/>
              <w:right w:val="single" w:sz="4" w:space="0" w:color="auto"/>
            </w:tcBorders>
            <w:shd w:val="clear" w:color="000000" w:fill="FFFFFF"/>
            <w:noWrap/>
            <w:vAlign w:val="bottom"/>
            <w:hideMark/>
          </w:tcPr>
          <w:p w14:paraId="329EE9D4" w14:textId="77777777" w:rsidR="00387142" w:rsidRPr="008B6A75" w:rsidRDefault="00387142" w:rsidP="00387142">
            <w:pPr>
              <w:rPr>
                <w:color w:val="000000"/>
                <w:sz w:val="20"/>
                <w:szCs w:val="20"/>
              </w:rPr>
            </w:pPr>
            <w:r w:rsidRPr="008B6A75">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14:paraId="157D3FD0" w14:textId="77777777" w:rsidR="00387142" w:rsidRPr="008B6A75" w:rsidRDefault="00387142" w:rsidP="00387142">
            <w:pPr>
              <w:rPr>
                <w:color w:val="000000"/>
                <w:sz w:val="20"/>
                <w:szCs w:val="20"/>
              </w:rPr>
            </w:pPr>
            <w:r w:rsidRPr="008B6A75">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14:paraId="0105C138" w14:textId="77777777" w:rsidR="00387142" w:rsidRPr="008B6A75" w:rsidRDefault="00387142" w:rsidP="00387142">
            <w:pPr>
              <w:rPr>
                <w:color w:val="000000"/>
                <w:sz w:val="20"/>
                <w:szCs w:val="20"/>
              </w:rPr>
            </w:pPr>
            <w:r w:rsidRPr="008B6A75">
              <w:rPr>
                <w:color w:val="000000"/>
                <w:sz w:val="20"/>
                <w:szCs w:val="20"/>
              </w:rPr>
              <w:t> </w:t>
            </w:r>
          </w:p>
        </w:tc>
        <w:tc>
          <w:tcPr>
            <w:tcW w:w="851" w:type="dxa"/>
            <w:tcBorders>
              <w:top w:val="nil"/>
              <w:left w:val="nil"/>
              <w:bottom w:val="single" w:sz="4" w:space="0" w:color="auto"/>
              <w:right w:val="single" w:sz="4" w:space="0" w:color="auto"/>
            </w:tcBorders>
            <w:shd w:val="clear" w:color="auto" w:fill="auto"/>
            <w:noWrap/>
            <w:vAlign w:val="bottom"/>
            <w:hideMark/>
          </w:tcPr>
          <w:p w14:paraId="54D22CBA" w14:textId="77777777" w:rsidR="00387142" w:rsidRPr="008B6A75" w:rsidRDefault="00387142" w:rsidP="00387142">
            <w:pPr>
              <w:rPr>
                <w:color w:val="000000"/>
                <w:sz w:val="20"/>
                <w:szCs w:val="20"/>
              </w:rPr>
            </w:pPr>
            <w:r w:rsidRPr="008B6A75">
              <w:rPr>
                <w:color w:val="000000"/>
                <w:sz w:val="20"/>
                <w:szCs w:val="20"/>
              </w:rPr>
              <w:t> </w:t>
            </w:r>
          </w:p>
        </w:tc>
        <w:tc>
          <w:tcPr>
            <w:tcW w:w="1215" w:type="dxa"/>
            <w:tcBorders>
              <w:top w:val="nil"/>
              <w:left w:val="nil"/>
              <w:bottom w:val="single" w:sz="4" w:space="0" w:color="auto"/>
              <w:right w:val="single" w:sz="4" w:space="0" w:color="auto"/>
            </w:tcBorders>
            <w:shd w:val="clear" w:color="auto" w:fill="auto"/>
            <w:noWrap/>
            <w:vAlign w:val="bottom"/>
            <w:hideMark/>
          </w:tcPr>
          <w:p w14:paraId="1E0ABBEF" w14:textId="77777777" w:rsidR="00387142" w:rsidRPr="008B6A75" w:rsidRDefault="00387142" w:rsidP="00387142">
            <w:pPr>
              <w:rPr>
                <w:color w:val="000000"/>
                <w:sz w:val="20"/>
                <w:szCs w:val="20"/>
              </w:rPr>
            </w:pPr>
            <w:r w:rsidRPr="008B6A75">
              <w:rPr>
                <w:color w:val="000000"/>
                <w:sz w:val="20"/>
                <w:szCs w:val="20"/>
              </w:rPr>
              <w:t> </w:t>
            </w:r>
          </w:p>
        </w:tc>
        <w:tc>
          <w:tcPr>
            <w:tcW w:w="769" w:type="dxa"/>
            <w:tcBorders>
              <w:top w:val="nil"/>
              <w:left w:val="nil"/>
              <w:bottom w:val="single" w:sz="4" w:space="0" w:color="auto"/>
              <w:right w:val="single" w:sz="4" w:space="0" w:color="auto"/>
            </w:tcBorders>
            <w:shd w:val="clear" w:color="auto" w:fill="auto"/>
            <w:noWrap/>
            <w:vAlign w:val="bottom"/>
            <w:hideMark/>
          </w:tcPr>
          <w:p w14:paraId="1CD86F08" w14:textId="77777777" w:rsidR="00387142" w:rsidRPr="008B6A75" w:rsidRDefault="00387142" w:rsidP="00387142">
            <w:pPr>
              <w:rPr>
                <w:color w:val="000000"/>
                <w:sz w:val="20"/>
                <w:szCs w:val="20"/>
              </w:rPr>
            </w:pPr>
            <w:r w:rsidRPr="008B6A75">
              <w:rPr>
                <w:color w:val="000000"/>
                <w:sz w:val="20"/>
                <w:szCs w:val="20"/>
              </w:rPr>
              <w:t> </w:t>
            </w:r>
          </w:p>
        </w:tc>
        <w:tc>
          <w:tcPr>
            <w:tcW w:w="709" w:type="dxa"/>
            <w:tcBorders>
              <w:top w:val="nil"/>
              <w:left w:val="nil"/>
              <w:bottom w:val="single" w:sz="4" w:space="0" w:color="auto"/>
              <w:right w:val="single" w:sz="4" w:space="0" w:color="auto"/>
            </w:tcBorders>
            <w:shd w:val="clear" w:color="auto" w:fill="auto"/>
            <w:noWrap/>
            <w:vAlign w:val="bottom"/>
            <w:hideMark/>
          </w:tcPr>
          <w:p w14:paraId="36284A04" w14:textId="77777777" w:rsidR="00387142" w:rsidRPr="008B6A75" w:rsidRDefault="00387142" w:rsidP="00387142">
            <w:pPr>
              <w:rPr>
                <w:color w:val="000000"/>
                <w:sz w:val="20"/>
                <w:szCs w:val="20"/>
              </w:rPr>
            </w:pPr>
            <w:r w:rsidRPr="008B6A75">
              <w:rPr>
                <w:color w:val="000000"/>
                <w:sz w:val="20"/>
                <w:szCs w:val="20"/>
              </w:rPr>
              <w:t> </w:t>
            </w:r>
          </w:p>
        </w:tc>
        <w:tc>
          <w:tcPr>
            <w:tcW w:w="850" w:type="dxa"/>
            <w:tcBorders>
              <w:top w:val="nil"/>
              <w:left w:val="nil"/>
              <w:bottom w:val="single" w:sz="4" w:space="0" w:color="auto"/>
              <w:right w:val="single" w:sz="4" w:space="0" w:color="auto"/>
            </w:tcBorders>
            <w:shd w:val="clear" w:color="auto" w:fill="auto"/>
            <w:noWrap/>
            <w:vAlign w:val="bottom"/>
            <w:hideMark/>
          </w:tcPr>
          <w:p w14:paraId="42AC5990" w14:textId="77777777" w:rsidR="00387142" w:rsidRPr="008B6A75" w:rsidRDefault="00387142" w:rsidP="00387142">
            <w:pPr>
              <w:jc w:val="right"/>
              <w:rPr>
                <w:color w:val="000000"/>
                <w:sz w:val="20"/>
                <w:szCs w:val="20"/>
              </w:rPr>
            </w:pPr>
            <w:r w:rsidRPr="008B6A75">
              <w:rPr>
                <w:color w:val="000000"/>
                <w:sz w:val="20"/>
                <w:szCs w:val="20"/>
              </w:rPr>
              <w:t>3 546,00</w:t>
            </w:r>
          </w:p>
        </w:tc>
        <w:tc>
          <w:tcPr>
            <w:tcW w:w="1701" w:type="dxa"/>
            <w:tcBorders>
              <w:top w:val="nil"/>
              <w:left w:val="nil"/>
              <w:bottom w:val="single" w:sz="4" w:space="0" w:color="auto"/>
              <w:right w:val="single" w:sz="4" w:space="0" w:color="auto"/>
            </w:tcBorders>
            <w:shd w:val="clear" w:color="auto" w:fill="auto"/>
            <w:noWrap/>
            <w:vAlign w:val="bottom"/>
            <w:hideMark/>
          </w:tcPr>
          <w:p w14:paraId="68F4C88B" w14:textId="77777777" w:rsidR="00387142" w:rsidRPr="008B6A75" w:rsidRDefault="00387142" w:rsidP="00387142">
            <w:pPr>
              <w:rPr>
                <w:color w:val="000000"/>
                <w:sz w:val="20"/>
                <w:szCs w:val="20"/>
              </w:rPr>
            </w:pPr>
            <w:r w:rsidRPr="008B6A75">
              <w:rPr>
                <w:color w:val="000000"/>
                <w:sz w:val="20"/>
                <w:szCs w:val="20"/>
              </w:rPr>
              <w:t> </w:t>
            </w:r>
          </w:p>
        </w:tc>
        <w:tc>
          <w:tcPr>
            <w:tcW w:w="851" w:type="dxa"/>
            <w:tcBorders>
              <w:top w:val="nil"/>
              <w:left w:val="nil"/>
              <w:bottom w:val="single" w:sz="4" w:space="0" w:color="auto"/>
              <w:right w:val="single" w:sz="4" w:space="0" w:color="auto"/>
            </w:tcBorders>
            <w:shd w:val="clear" w:color="auto" w:fill="auto"/>
            <w:noWrap/>
            <w:vAlign w:val="bottom"/>
            <w:hideMark/>
          </w:tcPr>
          <w:p w14:paraId="11BE7788" w14:textId="77777777" w:rsidR="00387142" w:rsidRPr="008B6A75" w:rsidRDefault="00387142" w:rsidP="00387142">
            <w:pPr>
              <w:jc w:val="right"/>
              <w:rPr>
                <w:color w:val="000000"/>
                <w:sz w:val="20"/>
                <w:szCs w:val="20"/>
              </w:rPr>
            </w:pPr>
            <w:r w:rsidRPr="008B6A75">
              <w:rPr>
                <w:color w:val="000000"/>
                <w:sz w:val="20"/>
                <w:szCs w:val="20"/>
              </w:rPr>
              <w:t>197 777,00</w:t>
            </w:r>
          </w:p>
        </w:tc>
        <w:tc>
          <w:tcPr>
            <w:tcW w:w="567" w:type="dxa"/>
            <w:gridSpan w:val="2"/>
            <w:tcBorders>
              <w:top w:val="nil"/>
              <w:left w:val="nil"/>
              <w:bottom w:val="single" w:sz="4" w:space="0" w:color="auto"/>
              <w:right w:val="single" w:sz="4" w:space="0" w:color="auto"/>
            </w:tcBorders>
            <w:shd w:val="clear" w:color="auto" w:fill="auto"/>
            <w:noWrap/>
            <w:vAlign w:val="bottom"/>
            <w:hideMark/>
          </w:tcPr>
          <w:p w14:paraId="52FC599F" w14:textId="77777777" w:rsidR="00387142" w:rsidRPr="008B6A75" w:rsidRDefault="00387142" w:rsidP="00387142">
            <w:pPr>
              <w:rPr>
                <w:color w:val="000000"/>
                <w:sz w:val="20"/>
                <w:szCs w:val="20"/>
              </w:rPr>
            </w:pPr>
            <w:r w:rsidRPr="008B6A75">
              <w:rPr>
                <w:color w:val="000000"/>
                <w:sz w:val="20"/>
                <w:szCs w:val="20"/>
              </w:rPr>
              <w:t> </w:t>
            </w:r>
          </w:p>
        </w:tc>
        <w:tc>
          <w:tcPr>
            <w:tcW w:w="568" w:type="dxa"/>
            <w:gridSpan w:val="2"/>
            <w:tcBorders>
              <w:top w:val="nil"/>
              <w:left w:val="nil"/>
              <w:bottom w:val="single" w:sz="4" w:space="0" w:color="auto"/>
              <w:right w:val="single" w:sz="4" w:space="0" w:color="auto"/>
            </w:tcBorders>
            <w:shd w:val="clear" w:color="auto" w:fill="auto"/>
            <w:noWrap/>
            <w:vAlign w:val="bottom"/>
            <w:hideMark/>
          </w:tcPr>
          <w:p w14:paraId="360711F6" w14:textId="77777777" w:rsidR="00387142" w:rsidRPr="008B6A75" w:rsidRDefault="00387142" w:rsidP="00387142">
            <w:pPr>
              <w:rPr>
                <w:color w:val="000000"/>
                <w:sz w:val="20"/>
                <w:szCs w:val="20"/>
              </w:rPr>
            </w:pPr>
            <w:r w:rsidRPr="008B6A75">
              <w:rPr>
                <w:color w:val="000000"/>
                <w:sz w:val="20"/>
                <w:szCs w:val="20"/>
              </w:rPr>
              <w:t> </w:t>
            </w:r>
          </w:p>
        </w:tc>
        <w:tc>
          <w:tcPr>
            <w:tcW w:w="566" w:type="dxa"/>
            <w:gridSpan w:val="2"/>
            <w:tcBorders>
              <w:top w:val="nil"/>
              <w:left w:val="nil"/>
              <w:bottom w:val="single" w:sz="4" w:space="0" w:color="auto"/>
              <w:right w:val="single" w:sz="4" w:space="0" w:color="auto"/>
            </w:tcBorders>
            <w:shd w:val="clear" w:color="auto" w:fill="auto"/>
            <w:noWrap/>
            <w:vAlign w:val="bottom"/>
            <w:hideMark/>
          </w:tcPr>
          <w:p w14:paraId="4848E51B" w14:textId="77777777" w:rsidR="00387142" w:rsidRPr="008B6A75" w:rsidRDefault="00387142" w:rsidP="00387142">
            <w:pPr>
              <w:rPr>
                <w:color w:val="000000"/>
                <w:sz w:val="20"/>
                <w:szCs w:val="20"/>
              </w:rPr>
            </w:pPr>
            <w:r w:rsidRPr="008B6A75">
              <w:rPr>
                <w:color w:val="000000"/>
                <w:sz w:val="20"/>
                <w:szCs w:val="20"/>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14:paraId="2F8A1560" w14:textId="77777777" w:rsidR="00387142" w:rsidRPr="008B6A75" w:rsidRDefault="00387142" w:rsidP="00387142">
            <w:pPr>
              <w:jc w:val="right"/>
              <w:rPr>
                <w:color w:val="000000"/>
                <w:sz w:val="20"/>
                <w:szCs w:val="20"/>
              </w:rPr>
            </w:pPr>
            <w:r w:rsidRPr="008B6A75">
              <w:rPr>
                <w:color w:val="000000"/>
                <w:sz w:val="20"/>
                <w:szCs w:val="20"/>
              </w:rPr>
              <w:t>22 639,71</w:t>
            </w:r>
          </w:p>
        </w:tc>
        <w:tc>
          <w:tcPr>
            <w:tcW w:w="850" w:type="dxa"/>
            <w:tcBorders>
              <w:top w:val="nil"/>
              <w:left w:val="nil"/>
              <w:bottom w:val="single" w:sz="4" w:space="0" w:color="auto"/>
              <w:right w:val="single" w:sz="4" w:space="0" w:color="auto"/>
            </w:tcBorders>
            <w:shd w:val="clear" w:color="000000" w:fill="FFFFFF"/>
            <w:noWrap/>
            <w:vAlign w:val="bottom"/>
            <w:hideMark/>
          </w:tcPr>
          <w:p w14:paraId="5F62D22C" w14:textId="77777777" w:rsidR="00387142" w:rsidRPr="008B6A75" w:rsidRDefault="00387142" w:rsidP="00387142">
            <w:pPr>
              <w:rPr>
                <w:sz w:val="20"/>
                <w:szCs w:val="20"/>
              </w:rPr>
            </w:pPr>
            <w:r w:rsidRPr="008B6A75">
              <w:rPr>
                <w:sz w:val="20"/>
                <w:szCs w:val="20"/>
              </w:rPr>
              <w:t> </w:t>
            </w:r>
          </w:p>
        </w:tc>
        <w:tc>
          <w:tcPr>
            <w:tcW w:w="851" w:type="dxa"/>
            <w:tcBorders>
              <w:top w:val="nil"/>
              <w:left w:val="nil"/>
              <w:bottom w:val="single" w:sz="4" w:space="0" w:color="auto"/>
              <w:right w:val="single" w:sz="4" w:space="0" w:color="auto"/>
            </w:tcBorders>
            <w:shd w:val="clear" w:color="000000" w:fill="FFFFFF"/>
            <w:noWrap/>
            <w:vAlign w:val="bottom"/>
            <w:hideMark/>
          </w:tcPr>
          <w:p w14:paraId="6D25DB11" w14:textId="77777777" w:rsidR="00387142" w:rsidRPr="008B6A75" w:rsidRDefault="00387142" w:rsidP="00387142">
            <w:pPr>
              <w:jc w:val="right"/>
              <w:rPr>
                <w:sz w:val="20"/>
                <w:szCs w:val="20"/>
              </w:rPr>
            </w:pPr>
            <w:r w:rsidRPr="008B6A75">
              <w:rPr>
                <w:sz w:val="20"/>
                <w:szCs w:val="20"/>
              </w:rPr>
              <w:t>75 893,00</w:t>
            </w:r>
          </w:p>
        </w:tc>
        <w:tc>
          <w:tcPr>
            <w:tcW w:w="553" w:type="dxa"/>
            <w:gridSpan w:val="2"/>
            <w:vAlign w:val="center"/>
            <w:hideMark/>
          </w:tcPr>
          <w:p w14:paraId="60520965" w14:textId="77777777" w:rsidR="00387142" w:rsidRPr="008B6A75" w:rsidRDefault="00387142" w:rsidP="00387142">
            <w:pPr>
              <w:rPr>
                <w:sz w:val="20"/>
                <w:szCs w:val="20"/>
              </w:rPr>
            </w:pPr>
          </w:p>
        </w:tc>
      </w:tr>
      <w:tr w:rsidR="00387142" w:rsidRPr="008B6A75" w14:paraId="67F7D12E" w14:textId="77777777" w:rsidTr="00387142">
        <w:trPr>
          <w:trHeight w:val="300"/>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14:paraId="04E14326" w14:textId="77777777" w:rsidR="00387142" w:rsidRPr="008B6A75" w:rsidRDefault="00387142" w:rsidP="00387142">
            <w:pPr>
              <w:jc w:val="right"/>
              <w:rPr>
                <w:color w:val="000000"/>
                <w:sz w:val="20"/>
                <w:szCs w:val="20"/>
              </w:rPr>
            </w:pPr>
            <w:r w:rsidRPr="008B6A75">
              <w:rPr>
                <w:color w:val="000000"/>
                <w:sz w:val="20"/>
                <w:szCs w:val="20"/>
              </w:rPr>
              <w:lastRenderedPageBreak/>
              <w:t>11</w:t>
            </w:r>
          </w:p>
        </w:tc>
        <w:tc>
          <w:tcPr>
            <w:tcW w:w="426" w:type="dxa"/>
            <w:tcBorders>
              <w:top w:val="nil"/>
              <w:left w:val="nil"/>
              <w:bottom w:val="single" w:sz="4" w:space="0" w:color="auto"/>
              <w:right w:val="single" w:sz="4" w:space="0" w:color="auto"/>
            </w:tcBorders>
            <w:shd w:val="clear" w:color="auto" w:fill="auto"/>
            <w:noWrap/>
            <w:vAlign w:val="bottom"/>
            <w:hideMark/>
          </w:tcPr>
          <w:p w14:paraId="50D9C5B8" w14:textId="77777777" w:rsidR="00387142" w:rsidRPr="008B6A75" w:rsidRDefault="00387142" w:rsidP="00387142">
            <w:pPr>
              <w:rPr>
                <w:color w:val="000000"/>
                <w:sz w:val="20"/>
                <w:szCs w:val="20"/>
              </w:rPr>
            </w:pPr>
            <w:r w:rsidRPr="008B6A75">
              <w:rPr>
                <w:color w:val="000000"/>
                <w:sz w:val="20"/>
                <w:szCs w:val="20"/>
              </w:rPr>
              <w:t>Михайловский</w:t>
            </w:r>
          </w:p>
        </w:tc>
        <w:tc>
          <w:tcPr>
            <w:tcW w:w="567" w:type="dxa"/>
            <w:tcBorders>
              <w:top w:val="nil"/>
              <w:left w:val="nil"/>
              <w:bottom w:val="single" w:sz="4" w:space="0" w:color="auto"/>
              <w:right w:val="single" w:sz="4" w:space="0" w:color="auto"/>
            </w:tcBorders>
            <w:shd w:val="clear" w:color="auto" w:fill="auto"/>
            <w:noWrap/>
            <w:vAlign w:val="bottom"/>
            <w:hideMark/>
          </w:tcPr>
          <w:p w14:paraId="4D831788" w14:textId="77777777" w:rsidR="00387142" w:rsidRPr="008B6A75" w:rsidRDefault="00387142" w:rsidP="00387142">
            <w:pPr>
              <w:jc w:val="right"/>
              <w:rPr>
                <w:bCs/>
                <w:color w:val="000000"/>
                <w:sz w:val="20"/>
                <w:szCs w:val="20"/>
              </w:rPr>
            </w:pPr>
            <w:r w:rsidRPr="008B6A75">
              <w:rPr>
                <w:bCs/>
                <w:color w:val="000000"/>
                <w:sz w:val="20"/>
                <w:szCs w:val="20"/>
              </w:rPr>
              <w:t>60 495,71</w:t>
            </w:r>
          </w:p>
        </w:tc>
        <w:tc>
          <w:tcPr>
            <w:tcW w:w="850" w:type="dxa"/>
            <w:tcBorders>
              <w:top w:val="nil"/>
              <w:left w:val="nil"/>
              <w:bottom w:val="single" w:sz="4" w:space="0" w:color="auto"/>
              <w:right w:val="single" w:sz="4" w:space="0" w:color="auto"/>
            </w:tcBorders>
            <w:shd w:val="clear" w:color="000000" w:fill="FFFFFF"/>
            <w:noWrap/>
            <w:vAlign w:val="bottom"/>
            <w:hideMark/>
          </w:tcPr>
          <w:p w14:paraId="392AA7A1" w14:textId="77777777" w:rsidR="00387142" w:rsidRPr="008B6A75" w:rsidRDefault="00387142" w:rsidP="00387142">
            <w:pPr>
              <w:rPr>
                <w:color w:val="000000"/>
                <w:sz w:val="20"/>
                <w:szCs w:val="20"/>
              </w:rPr>
            </w:pPr>
            <w:r w:rsidRPr="008B6A75">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14:paraId="346DA28E" w14:textId="77777777" w:rsidR="00387142" w:rsidRPr="008B6A75" w:rsidRDefault="00387142" w:rsidP="00387142">
            <w:pPr>
              <w:rPr>
                <w:color w:val="000000"/>
                <w:sz w:val="20"/>
                <w:szCs w:val="20"/>
              </w:rPr>
            </w:pPr>
            <w:r w:rsidRPr="008B6A75">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14:paraId="6D01FDF8" w14:textId="77777777" w:rsidR="00387142" w:rsidRPr="008B6A75" w:rsidRDefault="00387142" w:rsidP="00387142">
            <w:pPr>
              <w:rPr>
                <w:color w:val="000000"/>
                <w:sz w:val="20"/>
                <w:szCs w:val="20"/>
              </w:rPr>
            </w:pPr>
            <w:r w:rsidRPr="008B6A75">
              <w:rPr>
                <w:color w:val="000000"/>
                <w:sz w:val="20"/>
                <w:szCs w:val="20"/>
              </w:rPr>
              <w:t> </w:t>
            </w:r>
          </w:p>
        </w:tc>
        <w:tc>
          <w:tcPr>
            <w:tcW w:w="851" w:type="dxa"/>
            <w:tcBorders>
              <w:top w:val="nil"/>
              <w:left w:val="nil"/>
              <w:bottom w:val="single" w:sz="4" w:space="0" w:color="auto"/>
              <w:right w:val="single" w:sz="4" w:space="0" w:color="auto"/>
            </w:tcBorders>
            <w:shd w:val="clear" w:color="auto" w:fill="auto"/>
            <w:noWrap/>
            <w:vAlign w:val="bottom"/>
            <w:hideMark/>
          </w:tcPr>
          <w:p w14:paraId="007911E0" w14:textId="77777777" w:rsidR="00387142" w:rsidRPr="008B6A75" w:rsidRDefault="00387142" w:rsidP="00387142">
            <w:pPr>
              <w:rPr>
                <w:color w:val="000000"/>
                <w:sz w:val="20"/>
                <w:szCs w:val="20"/>
              </w:rPr>
            </w:pPr>
            <w:r w:rsidRPr="008B6A75">
              <w:rPr>
                <w:color w:val="000000"/>
                <w:sz w:val="20"/>
                <w:szCs w:val="20"/>
              </w:rPr>
              <w:t> </w:t>
            </w:r>
          </w:p>
        </w:tc>
        <w:tc>
          <w:tcPr>
            <w:tcW w:w="1215" w:type="dxa"/>
            <w:tcBorders>
              <w:top w:val="nil"/>
              <w:left w:val="nil"/>
              <w:bottom w:val="single" w:sz="4" w:space="0" w:color="auto"/>
              <w:right w:val="single" w:sz="4" w:space="0" w:color="auto"/>
            </w:tcBorders>
            <w:shd w:val="clear" w:color="auto" w:fill="auto"/>
            <w:noWrap/>
            <w:vAlign w:val="bottom"/>
            <w:hideMark/>
          </w:tcPr>
          <w:p w14:paraId="3FAF7EBD" w14:textId="77777777" w:rsidR="00387142" w:rsidRPr="008B6A75" w:rsidRDefault="00387142" w:rsidP="00387142">
            <w:pPr>
              <w:rPr>
                <w:color w:val="000000"/>
                <w:sz w:val="20"/>
                <w:szCs w:val="20"/>
              </w:rPr>
            </w:pPr>
            <w:r w:rsidRPr="008B6A75">
              <w:rPr>
                <w:color w:val="000000"/>
                <w:sz w:val="20"/>
                <w:szCs w:val="20"/>
              </w:rPr>
              <w:t> </w:t>
            </w:r>
          </w:p>
        </w:tc>
        <w:tc>
          <w:tcPr>
            <w:tcW w:w="769" w:type="dxa"/>
            <w:tcBorders>
              <w:top w:val="nil"/>
              <w:left w:val="nil"/>
              <w:bottom w:val="single" w:sz="4" w:space="0" w:color="auto"/>
              <w:right w:val="single" w:sz="4" w:space="0" w:color="auto"/>
            </w:tcBorders>
            <w:shd w:val="clear" w:color="auto" w:fill="auto"/>
            <w:noWrap/>
            <w:vAlign w:val="bottom"/>
            <w:hideMark/>
          </w:tcPr>
          <w:p w14:paraId="4A9DF3A0" w14:textId="77777777" w:rsidR="00387142" w:rsidRPr="008B6A75" w:rsidRDefault="00387142" w:rsidP="00387142">
            <w:pPr>
              <w:rPr>
                <w:color w:val="000000"/>
                <w:sz w:val="20"/>
                <w:szCs w:val="20"/>
              </w:rPr>
            </w:pPr>
            <w:r w:rsidRPr="008B6A75">
              <w:rPr>
                <w:color w:val="000000"/>
                <w:sz w:val="20"/>
                <w:szCs w:val="20"/>
              </w:rPr>
              <w:t> </w:t>
            </w:r>
          </w:p>
        </w:tc>
        <w:tc>
          <w:tcPr>
            <w:tcW w:w="709" w:type="dxa"/>
            <w:tcBorders>
              <w:top w:val="nil"/>
              <w:left w:val="nil"/>
              <w:bottom w:val="single" w:sz="4" w:space="0" w:color="auto"/>
              <w:right w:val="single" w:sz="4" w:space="0" w:color="auto"/>
            </w:tcBorders>
            <w:shd w:val="clear" w:color="auto" w:fill="auto"/>
            <w:noWrap/>
            <w:vAlign w:val="bottom"/>
            <w:hideMark/>
          </w:tcPr>
          <w:p w14:paraId="289813B3" w14:textId="77777777" w:rsidR="00387142" w:rsidRPr="008B6A75" w:rsidRDefault="00387142" w:rsidP="00387142">
            <w:pPr>
              <w:rPr>
                <w:color w:val="000000"/>
                <w:sz w:val="20"/>
                <w:szCs w:val="20"/>
              </w:rPr>
            </w:pPr>
            <w:r w:rsidRPr="008B6A75">
              <w:rPr>
                <w:color w:val="000000"/>
                <w:sz w:val="20"/>
                <w:szCs w:val="20"/>
              </w:rPr>
              <w:t> </w:t>
            </w:r>
          </w:p>
        </w:tc>
        <w:tc>
          <w:tcPr>
            <w:tcW w:w="850" w:type="dxa"/>
            <w:tcBorders>
              <w:top w:val="nil"/>
              <w:left w:val="nil"/>
              <w:bottom w:val="single" w:sz="4" w:space="0" w:color="auto"/>
              <w:right w:val="single" w:sz="4" w:space="0" w:color="auto"/>
            </w:tcBorders>
            <w:shd w:val="clear" w:color="auto" w:fill="auto"/>
            <w:noWrap/>
            <w:vAlign w:val="bottom"/>
            <w:hideMark/>
          </w:tcPr>
          <w:p w14:paraId="6D3873F2" w14:textId="77777777" w:rsidR="00387142" w:rsidRPr="008B6A75" w:rsidRDefault="00387142" w:rsidP="00387142">
            <w:pPr>
              <w:jc w:val="right"/>
              <w:rPr>
                <w:color w:val="000000"/>
                <w:sz w:val="20"/>
                <w:szCs w:val="20"/>
              </w:rPr>
            </w:pPr>
            <w:r w:rsidRPr="008B6A75">
              <w:rPr>
                <w:color w:val="000000"/>
                <w:sz w:val="20"/>
                <w:szCs w:val="20"/>
              </w:rPr>
              <w:t>5 319,00</w:t>
            </w:r>
          </w:p>
        </w:tc>
        <w:tc>
          <w:tcPr>
            <w:tcW w:w="1701" w:type="dxa"/>
            <w:tcBorders>
              <w:top w:val="nil"/>
              <w:left w:val="nil"/>
              <w:bottom w:val="single" w:sz="4" w:space="0" w:color="auto"/>
              <w:right w:val="single" w:sz="4" w:space="0" w:color="auto"/>
            </w:tcBorders>
            <w:shd w:val="clear" w:color="auto" w:fill="auto"/>
            <w:noWrap/>
            <w:vAlign w:val="bottom"/>
            <w:hideMark/>
          </w:tcPr>
          <w:p w14:paraId="29C4F46A" w14:textId="77777777" w:rsidR="00387142" w:rsidRPr="008B6A75" w:rsidRDefault="00387142" w:rsidP="00387142">
            <w:pPr>
              <w:rPr>
                <w:color w:val="000000"/>
                <w:sz w:val="20"/>
                <w:szCs w:val="20"/>
              </w:rPr>
            </w:pPr>
            <w:r w:rsidRPr="008B6A75">
              <w:rPr>
                <w:color w:val="000000"/>
                <w:sz w:val="20"/>
                <w:szCs w:val="20"/>
              </w:rPr>
              <w:t> </w:t>
            </w:r>
          </w:p>
        </w:tc>
        <w:tc>
          <w:tcPr>
            <w:tcW w:w="851" w:type="dxa"/>
            <w:tcBorders>
              <w:top w:val="nil"/>
              <w:left w:val="nil"/>
              <w:bottom w:val="single" w:sz="4" w:space="0" w:color="auto"/>
              <w:right w:val="single" w:sz="4" w:space="0" w:color="auto"/>
            </w:tcBorders>
            <w:shd w:val="clear" w:color="auto" w:fill="auto"/>
            <w:noWrap/>
            <w:vAlign w:val="bottom"/>
            <w:hideMark/>
          </w:tcPr>
          <w:p w14:paraId="03E156C3" w14:textId="77777777" w:rsidR="00387142" w:rsidRPr="008B6A75" w:rsidRDefault="00387142" w:rsidP="00387142">
            <w:pPr>
              <w:rPr>
                <w:color w:val="000000"/>
                <w:sz w:val="20"/>
                <w:szCs w:val="20"/>
              </w:rPr>
            </w:pPr>
            <w:r w:rsidRPr="008B6A75">
              <w:rPr>
                <w:color w:val="000000"/>
                <w:sz w:val="20"/>
                <w:szCs w:val="20"/>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14:paraId="76CA188E" w14:textId="77777777" w:rsidR="00387142" w:rsidRPr="008B6A75" w:rsidRDefault="00387142" w:rsidP="00387142">
            <w:pPr>
              <w:rPr>
                <w:color w:val="000000"/>
                <w:sz w:val="20"/>
                <w:szCs w:val="20"/>
              </w:rPr>
            </w:pPr>
            <w:r w:rsidRPr="008B6A75">
              <w:rPr>
                <w:color w:val="000000"/>
                <w:sz w:val="20"/>
                <w:szCs w:val="20"/>
              </w:rPr>
              <w:t> </w:t>
            </w:r>
          </w:p>
        </w:tc>
        <w:tc>
          <w:tcPr>
            <w:tcW w:w="568" w:type="dxa"/>
            <w:gridSpan w:val="2"/>
            <w:tcBorders>
              <w:top w:val="nil"/>
              <w:left w:val="nil"/>
              <w:bottom w:val="single" w:sz="4" w:space="0" w:color="auto"/>
              <w:right w:val="single" w:sz="4" w:space="0" w:color="auto"/>
            </w:tcBorders>
            <w:shd w:val="clear" w:color="auto" w:fill="auto"/>
            <w:noWrap/>
            <w:vAlign w:val="bottom"/>
            <w:hideMark/>
          </w:tcPr>
          <w:p w14:paraId="421CF5C0" w14:textId="77777777" w:rsidR="00387142" w:rsidRPr="008B6A75" w:rsidRDefault="00387142" w:rsidP="00387142">
            <w:pPr>
              <w:rPr>
                <w:color w:val="000000"/>
                <w:sz w:val="20"/>
                <w:szCs w:val="20"/>
              </w:rPr>
            </w:pPr>
            <w:r w:rsidRPr="008B6A75">
              <w:rPr>
                <w:color w:val="000000"/>
                <w:sz w:val="20"/>
                <w:szCs w:val="20"/>
              </w:rPr>
              <w:t> </w:t>
            </w:r>
          </w:p>
        </w:tc>
        <w:tc>
          <w:tcPr>
            <w:tcW w:w="566" w:type="dxa"/>
            <w:gridSpan w:val="2"/>
            <w:tcBorders>
              <w:top w:val="nil"/>
              <w:left w:val="nil"/>
              <w:bottom w:val="single" w:sz="4" w:space="0" w:color="auto"/>
              <w:right w:val="single" w:sz="4" w:space="0" w:color="auto"/>
            </w:tcBorders>
            <w:shd w:val="clear" w:color="auto" w:fill="auto"/>
            <w:noWrap/>
            <w:vAlign w:val="bottom"/>
            <w:hideMark/>
          </w:tcPr>
          <w:p w14:paraId="6C0C8B75" w14:textId="77777777" w:rsidR="00387142" w:rsidRPr="008B6A75" w:rsidRDefault="00387142" w:rsidP="00387142">
            <w:pPr>
              <w:rPr>
                <w:color w:val="000000"/>
                <w:sz w:val="20"/>
                <w:szCs w:val="20"/>
              </w:rPr>
            </w:pPr>
            <w:r w:rsidRPr="008B6A75">
              <w:rPr>
                <w:color w:val="000000"/>
                <w:sz w:val="20"/>
                <w:szCs w:val="20"/>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14:paraId="384EF6FF" w14:textId="77777777" w:rsidR="00387142" w:rsidRPr="008B6A75" w:rsidRDefault="00387142" w:rsidP="00387142">
            <w:pPr>
              <w:jc w:val="right"/>
              <w:rPr>
                <w:color w:val="000000"/>
                <w:sz w:val="20"/>
                <w:szCs w:val="20"/>
              </w:rPr>
            </w:pPr>
            <w:r w:rsidRPr="008B6A75">
              <w:rPr>
                <w:color w:val="000000"/>
                <w:sz w:val="20"/>
                <w:szCs w:val="20"/>
              </w:rPr>
              <w:t>22 639,71</w:t>
            </w:r>
          </w:p>
        </w:tc>
        <w:tc>
          <w:tcPr>
            <w:tcW w:w="850" w:type="dxa"/>
            <w:tcBorders>
              <w:top w:val="nil"/>
              <w:left w:val="nil"/>
              <w:bottom w:val="single" w:sz="4" w:space="0" w:color="auto"/>
              <w:right w:val="single" w:sz="4" w:space="0" w:color="auto"/>
            </w:tcBorders>
            <w:shd w:val="clear" w:color="000000" w:fill="FFFFFF"/>
            <w:noWrap/>
            <w:vAlign w:val="bottom"/>
            <w:hideMark/>
          </w:tcPr>
          <w:p w14:paraId="48667944" w14:textId="77777777" w:rsidR="00387142" w:rsidRPr="008B6A75" w:rsidRDefault="00387142" w:rsidP="00387142">
            <w:pPr>
              <w:rPr>
                <w:sz w:val="20"/>
                <w:szCs w:val="20"/>
              </w:rPr>
            </w:pPr>
            <w:r w:rsidRPr="008B6A75">
              <w:rPr>
                <w:sz w:val="20"/>
                <w:szCs w:val="20"/>
              </w:rPr>
              <w:t> </w:t>
            </w:r>
          </w:p>
        </w:tc>
        <w:tc>
          <w:tcPr>
            <w:tcW w:w="851" w:type="dxa"/>
            <w:tcBorders>
              <w:top w:val="nil"/>
              <w:left w:val="nil"/>
              <w:bottom w:val="single" w:sz="4" w:space="0" w:color="auto"/>
              <w:right w:val="single" w:sz="4" w:space="0" w:color="auto"/>
            </w:tcBorders>
            <w:shd w:val="clear" w:color="000000" w:fill="FFFFFF"/>
            <w:noWrap/>
            <w:vAlign w:val="bottom"/>
            <w:hideMark/>
          </w:tcPr>
          <w:p w14:paraId="1E46FD5F" w14:textId="77777777" w:rsidR="00387142" w:rsidRPr="008B6A75" w:rsidRDefault="00387142" w:rsidP="00387142">
            <w:pPr>
              <w:jc w:val="right"/>
              <w:rPr>
                <w:sz w:val="20"/>
                <w:szCs w:val="20"/>
              </w:rPr>
            </w:pPr>
            <w:r w:rsidRPr="008B6A75">
              <w:rPr>
                <w:sz w:val="20"/>
                <w:szCs w:val="20"/>
              </w:rPr>
              <w:t>32 537,00</w:t>
            </w:r>
          </w:p>
        </w:tc>
        <w:tc>
          <w:tcPr>
            <w:tcW w:w="553" w:type="dxa"/>
            <w:gridSpan w:val="2"/>
            <w:vAlign w:val="center"/>
            <w:hideMark/>
          </w:tcPr>
          <w:p w14:paraId="2472ECEC" w14:textId="77777777" w:rsidR="00387142" w:rsidRPr="008B6A75" w:rsidRDefault="00387142" w:rsidP="00387142">
            <w:pPr>
              <w:rPr>
                <w:sz w:val="20"/>
                <w:szCs w:val="20"/>
              </w:rPr>
            </w:pPr>
          </w:p>
        </w:tc>
      </w:tr>
      <w:tr w:rsidR="00387142" w:rsidRPr="008B6A75" w14:paraId="5982D4EE" w14:textId="77777777" w:rsidTr="00387142">
        <w:trPr>
          <w:trHeight w:val="300"/>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14:paraId="2920BB70" w14:textId="77777777" w:rsidR="00387142" w:rsidRPr="008B6A75" w:rsidRDefault="00387142" w:rsidP="00387142">
            <w:pPr>
              <w:jc w:val="right"/>
              <w:rPr>
                <w:color w:val="000000"/>
                <w:sz w:val="20"/>
                <w:szCs w:val="20"/>
              </w:rPr>
            </w:pPr>
            <w:r w:rsidRPr="008B6A75">
              <w:rPr>
                <w:color w:val="000000"/>
                <w:sz w:val="20"/>
                <w:szCs w:val="20"/>
              </w:rPr>
              <w:t>12</w:t>
            </w:r>
          </w:p>
        </w:tc>
        <w:tc>
          <w:tcPr>
            <w:tcW w:w="426" w:type="dxa"/>
            <w:tcBorders>
              <w:top w:val="nil"/>
              <w:left w:val="nil"/>
              <w:bottom w:val="single" w:sz="4" w:space="0" w:color="auto"/>
              <w:right w:val="single" w:sz="4" w:space="0" w:color="auto"/>
            </w:tcBorders>
            <w:shd w:val="clear" w:color="auto" w:fill="auto"/>
            <w:noWrap/>
            <w:vAlign w:val="bottom"/>
            <w:hideMark/>
          </w:tcPr>
          <w:p w14:paraId="67C3767A" w14:textId="77777777" w:rsidR="00387142" w:rsidRPr="008B6A75" w:rsidRDefault="00387142" w:rsidP="00387142">
            <w:pPr>
              <w:rPr>
                <w:color w:val="000000"/>
                <w:sz w:val="20"/>
                <w:szCs w:val="20"/>
              </w:rPr>
            </w:pPr>
            <w:proofErr w:type="spellStart"/>
            <w:r w:rsidRPr="008B6A75">
              <w:rPr>
                <w:color w:val="000000"/>
                <w:sz w:val="20"/>
                <w:szCs w:val="20"/>
              </w:rPr>
              <w:t>Новоичинский</w:t>
            </w:r>
            <w:proofErr w:type="spellEnd"/>
          </w:p>
        </w:tc>
        <w:tc>
          <w:tcPr>
            <w:tcW w:w="567" w:type="dxa"/>
            <w:tcBorders>
              <w:top w:val="nil"/>
              <w:left w:val="nil"/>
              <w:bottom w:val="single" w:sz="4" w:space="0" w:color="auto"/>
              <w:right w:val="single" w:sz="4" w:space="0" w:color="auto"/>
            </w:tcBorders>
            <w:shd w:val="clear" w:color="auto" w:fill="auto"/>
            <w:noWrap/>
            <w:vAlign w:val="bottom"/>
            <w:hideMark/>
          </w:tcPr>
          <w:p w14:paraId="50A50867" w14:textId="77777777" w:rsidR="00387142" w:rsidRPr="008B6A75" w:rsidRDefault="00387142" w:rsidP="00387142">
            <w:pPr>
              <w:jc w:val="right"/>
              <w:rPr>
                <w:bCs/>
                <w:color w:val="000000"/>
                <w:sz w:val="20"/>
                <w:szCs w:val="20"/>
              </w:rPr>
            </w:pPr>
            <w:r w:rsidRPr="008B6A75">
              <w:rPr>
                <w:bCs/>
                <w:color w:val="000000"/>
                <w:sz w:val="20"/>
                <w:szCs w:val="20"/>
              </w:rPr>
              <w:t>1 467 144,02</w:t>
            </w:r>
          </w:p>
        </w:tc>
        <w:tc>
          <w:tcPr>
            <w:tcW w:w="850" w:type="dxa"/>
            <w:tcBorders>
              <w:top w:val="nil"/>
              <w:left w:val="nil"/>
              <w:bottom w:val="single" w:sz="4" w:space="0" w:color="auto"/>
              <w:right w:val="single" w:sz="4" w:space="0" w:color="auto"/>
            </w:tcBorders>
            <w:shd w:val="clear" w:color="000000" w:fill="FFFFFF"/>
            <w:noWrap/>
            <w:vAlign w:val="bottom"/>
            <w:hideMark/>
          </w:tcPr>
          <w:p w14:paraId="66402857" w14:textId="77777777" w:rsidR="00387142" w:rsidRPr="008B6A75" w:rsidRDefault="00387142" w:rsidP="00387142">
            <w:pPr>
              <w:jc w:val="right"/>
              <w:rPr>
                <w:color w:val="000000"/>
                <w:sz w:val="20"/>
                <w:szCs w:val="20"/>
              </w:rPr>
            </w:pPr>
            <w:r w:rsidRPr="008B6A75">
              <w:rPr>
                <w:color w:val="000000"/>
                <w:sz w:val="20"/>
                <w:szCs w:val="20"/>
              </w:rPr>
              <w:t>100 000,00</w:t>
            </w:r>
          </w:p>
        </w:tc>
        <w:tc>
          <w:tcPr>
            <w:tcW w:w="1134" w:type="dxa"/>
            <w:tcBorders>
              <w:top w:val="nil"/>
              <w:left w:val="nil"/>
              <w:bottom w:val="single" w:sz="4" w:space="0" w:color="auto"/>
              <w:right w:val="single" w:sz="4" w:space="0" w:color="auto"/>
            </w:tcBorders>
            <w:shd w:val="clear" w:color="auto" w:fill="auto"/>
            <w:noWrap/>
            <w:vAlign w:val="bottom"/>
            <w:hideMark/>
          </w:tcPr>
          <w:p w14:paraId="4658720A" w14:textId="77777777" w:rsidR="00387142" w:rsidRPr="008B6A75" w:rsidRDefault="00387142" w:rsidP="00387142">
            <w:pPr>
              <w:rPr>
                <w:color w:val="000000"/>
                <w:sz w:val="20"/>
                <w:szCs w:val="20"/>
              </w:rPr>
            </w:pPr>
            <w:r w:rsidRPr="008B6A75">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14:paraId="4A1BBAB4" w14:textId="77777777" w:rsidR="00387142" w:rsidRPr="008B6A75" w:rsidRDefault="00387142" w:rsidP="00387142">
            <w:pPr>
              <w:rPr>
                <w:color w:val="000000"/>
                <w:sz w:val="20"/>
                <w:szCs w:val="20"/>
              </w:rPr>
            </w:pPr>
            <w:r w:rsidRPr="008B6A75">
              <w:rPr>
                <w:color w:val="000000"/>
                <w:sz w:val="20"/>
                <w:szCs w:val="20"/>
              </w:rPr>
              <w:t> </w:t>
            </w:r>
          </w:p>
        </w:tc>
        <w:tc>
          <w:tcPr>
            <w:tcW w:w="851" w:type="dxa"/>
            <w:tcBorders>
              <w:top w:val="nil"/>
              <w:left w:val="nil"/>
              <w:bottom w:val="single" w:sz="4" w:space="0" w:color="auto"/>
              <w:right w:val="single" w:sz="4" w:space="0" w:color="auto"/>
            </w:tcBorders>
            <w:shd w:val="clear" w:color="auto" w:fill="auto"/>
            <w:noWrap/>
            <w:vAlign w:val="bottom"/>
            <w:hideMark/>
          </w:tcPr>
          <w:p w14:paraId="24D679C3" w14:textId="77777777" w:rsidR="00387142" w:rsidRPr="008B6A75" w:rsidRDefault="00387142" w:rsidP="00387142">
            <w:pPr>
              <w:rPr>
                <w:color w:val="000000"/>
                <w:sz w:val="20"/>
                <w:szCs w:val="20"/>
              </w:rPr>
            </w:pPr>
            <w:r w:rsidRPr="008B6A75">
              <w:rPr>
                <w:color w:val="000000"/>
                <w:sz w:val="20"/>
                <w:szCs w:val="20"/>
              </w:rPr>
              <w:t> </w:t>
            </w:r>
          </w:p>
        </w:tc>
        <w:tc>
          <w:tcPr>
            <w:tcW w:w="1215" w:type="dxa"/>
            <w:tcBorders>
              <w:top w:val="nil"/>
              <w:left w:val="nil"/>
              <w:bottom w:val="single" w:sz="4" w:space="0" w:color="auto"/>
              <w:right w:val="single" w:sz="4" w:space="0" w:color="auto"/>
            </w:tcBorders>
            <w:shd w:val="clear" w:color="auto" w:fill="auto"/>
            <w:noWrap/>
            <w:vAlign w:val="bottom"/>
            <w:hideMark/>
          </w:tcPr>
          <w:p w14:paraId="5309F6AB" w14:textId="77777777" w:rsidR="00387142" w:rsidRPr="008B6A75" w:rsidRDefault="00387142" w:rsidP="00387142">
            <w:pPr>
              <w:rPr>
                <w:color w:val="000000"/>
                <w:sz w:val="20"/>
                <w:szCs w:val="20"/>
              </w:rPr>
            </w:pPr>
            <w:r w:rsidRPr="008B6A75">
              <w:rPr>
                <w:color w:val="000000"/>
                <w:sz w:val="20"/>
                <w:szCs w:val="20"/>
              </w:rPr>
              <w:t> </w:t>
            </w:r>
          </w:p>
        </w:tc>
        <w:tc>
          <w:tcPr>
            <w:tcW w:w="769" w:type="dxa"/>
            <w:tcBorders>
              <w:top w:val="nil"/>
              <w:left w:val="nil"/>
              <w:bottom w:val="single" w:sz="4" w:space="0" w:color="auto"/>
              <w:right w:val="single" w:sz="4" w:space="0" w:color="auto"/>
            </w:tcBorders>
            <w:shd w:val="clear" w:color="auto" w:fill="auto"/>
            <w:noWrap/>
            <w:vAlign w:val="bottom"/>
            <w:hideMark/>
          </w:tcPr>
          <w:p w14:paraId="4048ED3D" w14:textId="77777777" w:rsidR="00387142" w:rsidRPr="008B6A75" w:rsidRDefault="00387142" w:rsidP="00387142">
            <w:pPr>
              <w:rPr>
                <w:color w:val="000000"/>
                <w:sz w:val="20"/>
                <w:szCs w:val="20"/>
              </w:rPr>
            </w:pPr>
            <w:r w:rsidRPr="008B6A75">
              <w:rPr>
                <w:color w:val="000000"/>
                <w:sz w:val="20"/>
                <w:szCs w:val="20"/>
              </w:rPr>
              <w:t> </w:t>
            </w:r>
          </w:p>
        </w:tc>
        <w:tc>
          <w:tcPr>
            <w:tcW w:w="709" w:type="dxa"/>
            <w:tcBorders>
              <w:top w:val="nil"/>
              <w:left w:val="nil"/>
              <w:bottom w:val="single" w:sz="4" w:space="0" w:color="auto"/>
              <w:right w:val="single" w:sz="4" w:space="0" w:color="auto"/>
            </w:tcBorders>
            <w:shd w:val="clear" w:color="auto" w:fill="auto"/>
            <w:noWrap/>
            <w:vAlign w:val="bottom"/>
            <w:hideMark/>
          </w:tcPr>
          <w:p w14:paraId="48C2254F" w14:textId="77777777" w:rsidR="00387142" w:rsidRPr="008B6A75" w:rsidRDefault="00387142" w:rsidP="00387142">
            <w:pPr>
              <w:rPr>
                <w:color w:val="000000"/>
                <w:sz w:val="20"/>
                <w:szCs w:val="20"/>
              </w:rPr>
            </w:pPr>
            <w:r w:rsidRPr="008B6A75">
              <w:rPr>
                <w:color w:val="000000"/>
                <w:sz w:val="20"/>
                <w:szCs w:val="20"/>
              </w:rPr>
              <w:t> </w:t>
            </w:r>
          </w:p>
        </w:tc>
        <w:tc>
          <w:tcPr>
            <w:tcW w:w="850" w:type="dxa"/>
            <w:tcBorders>
              <w:top w:val="nil"/>
              <w:left w:val="nil"/>
              <w:bottom w:val="single" w:sz="4" w:space="0" w:color="auto"/>
              <w:right w:val="single" w:sz="4" w:space="0" w:color="auto"/>
            </w:tcBorders>
            <w:shd w:val="clear" w:color="auto" w:fill="auto"/>
            <w:noWrap/>
            <w:vAlign w:val="bottom"/>
            <w:hideMark/>
          </w:tcPr>
          <w:p w14:paraId="5B1E33F8" w14:textId="77777777" w:rsidR="00387142" w:rsidRPr="008B6A75" w:rsidRDefault="00387142" w:rsidP="00387142">
            <w:pPr>
              <w:jc w:val="right"/>
              <w:rPr>
                <w:color w:val="000000"/>
                <w:sz w:val="20"/>
                <w:szCs w:val="20"/>
              </w:rPr>
            </w:pPr>
            <w:r w:rsidRPr="008B6A75">
              <w:rPr>
                <w:color w:val="000000"/>
                <w:sz w:val="20"/>
                <w:szCs w:val="20"/>
              </w:rPr>
              <w:t>7 092,00</w:t>
            </w:r>
          </w:p>
        </w:tc>
        <w:tc>
          <w:tcPr>
            <w:tcW w:w="1701" w:type="dxa"/>
            <w:tcBorders>
              <w:top w:val="nil"/>
              <w:left w:val="nil"/>
              <w:bottom w:val="single" w:sz="4" w:space="0" w:color="auto"/>
              <w:right w:val="single" w:sz="4" w:space="0" w:color="auto"/>
            </w:tcBorders>
            <w:shd w:val="clear" w:color="auto" w:fill="auto"/>
            <w:noWrap/>
            <w:vAlign w:val="bottom"/>
            <w:hideMark/>
          </w:tcPr>
          <w:p w14:paraId="30BC9CFE" w14:textId="77777777" w:rsidR="00387142" w:rsidRPr="008B6A75" w:rsidRDefault="00387142" w:rsidP="00387142">
            <w:pPr>
              <w:jc w:val="right"/>
              <w:rPr>
                <w:color w:val="000000"/>
                <w:sz w:val="20"/>
                <w:szCs w:val="20"/>
              </w:rPr>
            </w:pPr>
            <w:r w:rsidRPr="008B6A75">
              <w:rPr>
                <w:color w:val="000000"/>
                <w:sz w:val="20"/>
                <w:szCs w:val="20"/>
              </w:rPr>
              <w:t>73000</w:t>
            </w:r>
          </w:p>
        </w:tc>
        <w:tc>
          <w:tcPr>
            <w:tcW w:w="851" w:type="dxa"/>
            <w:tcBorders>
              <w:top w:val="nil"/>
              <w:left w:val="nil"/>
              <w:bottom w:val="single" w:sz="4" w:space="0" w:color="auto"/>
              <w:right w:val="single" w:sz="4" w:space="0" w:color="auto"/>
            </w:tcBorders>
            <w:shd w:val="clear" w:color="auto" w:fill="auto"/>
            <w:noWrap/>
            <w:vAlign w:val="bottom"/>
            <w:hideMark/>
          </w:tcPr>
          <w:p w14:paraId="4EDF8554" w14:textId="77777777" w:rsidR="00387142" w:rsidRPr="008B6A75" w:rsidRDefault="00387142" w:rsidP="00387142">
            <w:pPr>
              <w:jc w:val="right"/>
              <w:rPr>
                <w:color w:val="000000"/>
                <w:sz w:val="20"/>
                <w:szCs w:val="20"/>
              </w:rPr>
            </w:pPr>
            <w:r w:rsidRPr="008B6A75">
              <w:rPr>
                <w:color w:val="000000"/>
                <w:sz w:val="20"/>
                <w:szCs w:val="20"/>
              </w:rPr>
              <w:t>1 199 400,00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14:paraId="700AC52C" w14:textId="77777777" w:rsidR="00387142" w:rsidRPr="008B6A75" w:rsidRDefault="00387142" w:rsidP="00387142">
            <w:pPr>
              <w:rPr>
                <w:color w:val="000000"/>
                <w:sz w:val="20"/>
                <w:szCs w:val="20"/>
              </w:rPr>
            </w:pPr>
            <w:r w:rsidRPr="008B6A75">
              <w:rPr>
                <w:color w:val="000000"/>
                <w:sz w:val="20"/>
                <w:szCs w:val="20"/>
              </w:rPr>
              <w:t> </w:t>
            </w:r>
          </w:p>
        </w:tc>
        <w:tc>
          <w:tcPr>
            <w:tcW w:w="568" w:type="dxa"/>
            <w:gridSpan w:val="2"/>
            <w:tcBorders>
              <w:top w:val="nil"/>
              <w:left w:val="nil"/>
              <w:bottom w:val="single" w:sz="4" w:space="0" w:color="auto"/>
              <w:right w:val="single" w:sz="4" w:space="0" w:color="auto"/>
            </w:tcBorders>
            <w:shd w:val="clear" w:color="auto" w:fill="auto"/>
            <w:noWrap/>
            <w:vAlign w:val="bottom"/>
            <w:hideMark/>
          </w:tcPr>
          <w:p w14:paraId="683B2B22" w14:textId="77777777" w:rsidR="00387142" w:rsidRPr="008B6A75" w:rsidRDefault="00387142" w:rsidP="00387142">
            <w:pPr>
              <w:rPr>
                <w:color w:val="000000"/>
                <w:sz w:val="20"/>
                <w:szCs w:val="20"/>
              </w:rPr>
            </w:pPr>
            <w:r w:rsidRPr="008B6A75">
              <w:rPr>
                <w:color w:val="000000"/>
                <w:sz w:val="20"/>
                <w:szCs w:val="20"/>
              </w:rPr>
              <w:t> </w:t>
            </w:r>
          </w:p>
        </w:tc>
        <w:tc>
          <w:tcPr>
            <w:tcW w:w="566" w:type="dxa"/>
            <w:gridSpan w:val="2"/>
            <w:tcBorders>
              <w:top w:val="nil"/>
              <w:left w:val="nil"/>
              <w:bottom w:val="single" w:sz="4" w:space="0" w:color="auto"/>
              <w:right w:val="single" w:sz="4" w:space="0" w:color="auto"/>
            </w:tcBorders>
            <w:shd w:val="clear" w:color="auto" w:fill="auto"/>
            <w:noWrap/>
            <w:vAlign w:val="bottom"/>
            <w:hideMark/>
          </w:tcPr>
          <w:p w14:paraId="40F2A4D2" w14:textId="77777777" w:rsidR="00387142" w:rsidRPr="008B6A75" w:rsidRDefault="00387142" w:rsidP="00387142">
            <w:pPr>
              <w:rPr>
                <w:color w:val="000000"/>
                <w:sz w:val="20"/>
                <w:szCs w:val="20"/>
              </w:rPr>
            </w:pPr>
            <w:r w:rsidRPr="008B6A75">
              <w:rPr>
                <w:color w:val="000000"/>
                <w:sz w:val="20"/>
                <w:szCs w:val="20"/>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14:paraId="37A9F497" w14:textId="77777777" w:rsidR="00387142" w:rsidRPr="008B6A75" w:rsidRDefault="00387142" w:rsidP="00387142">
            <w:pPr>
              <w:jc w:val="right"/>
              <w:rPr>
                <w:color w:val="000000"/>
                <w:sz w:val="20"/>
                <w:szCs w:val="20"/>
              </w:rPr>
            </w:pPr>
            <w:r w:rsidRPr="008B6A75">
              <w:rPr>
                <w:color w:val="000000"/>
                <w:sz w:val="20"/>
                <w:szCs w:val="20"/>
              </w:rPr>
              <w:t>13 366,02</w:t>
            </w:r>
          </w:p>
        </w:tc>
        <w:tc>
          <w:tcPr>
            <w:tcW w:w="850" w:type="dxa"/>
            <w:tcBorders>
              <w:top w:val="nil"/>
              <w:left w:val="nil"/>
              <w:bottom w:val="single" w:sz="4" w:space="0" w:color="auto"/>
              <w:right w:val="single" w:sz="4" w:space="0" w:color="auto"/>
            </w:tcBorders>
            <w:shd w:val="clear" w:color="000000" w:fill="FFFFFF"/>
            <w:noWrap/>
            <w:vAlign w:val="bottom"/>
            <w:hideMark/>
          </w:tcPr>
          <w:p w14:paraId="0E1918B4" w14:textId="77777777" w:rsidR="00387142" w:rsidRPr="008B6A75" w:rsidRDefault="00387142" w:rsidP="00387142">
            <w:pPr>
              <w:rPr>
                <w:sz w:val="20"/>
                <w:szCs w:val="20"/>
              </w:rPr>
            </w:pPr>
            <w:r w:rsidRPr="008B6A75">
              <w:rPr>
                <w:sz w:val="20"/>
                <w:szCs w:val="20"/>
              </w:rPr>
              <w:t> </w:t>
            </w:r>
          </w:p>
        </w:tc>
        <w:tc>
          <w:tcPr>
            <w:tcW w:w="851" w:type="dxa"/>
            <w:tcBorders>
              <w:top w:val="nil"/>
              <w:left w:val="nil"/>
              <w:bottom w:val="single" w:sz="4" w:space="0" w:color="auto"/>
              <w:right w:val="single" w:sz="4" w:space="0" w:color="auto"/>
            </w:tcBorders>
            <w:shd w:val="clear" w:color="000000" w:fill="FFFFFF"/>
            <w:noWrap/>
            <w:vAlign w:val="bottom"/>
            <w:hideMark/>
          </w:tcPr>
          <w:p w14:paraId="73D56EAE" w14:textId="77777777" w:rsidR="00387142" w:rsidRPr="008B6A75" w:rsidRDefault="00387142" w:rsidP="00387142">
            <w:pPr>
              <w:jc w:val="right"/>
              <w:rPr>
                <w:sz w:val="20"/>
                <w:szCs w:val="20"/>
              </w:rPr>
            </w:pPr>
            <w:r w:rsidRPr="008B6A75">
              <w:rPr>
                <w:sz w:val="20"/>
                <w:szCs w:val="20"/>
              </w:rPr>
              <w:t>74 286,00</w:t>
            </w:r>
          </w:p>
        </w:tc>
        <w:tc>
          <w:tcPr>
            <w:tcW w:w="553" w:type="dxa"/>
            <w:gridSpan w:val="2"/>
            <w:vAlign w:val="center"/>
            <w:hideMark/>
          </w:tcPr>
          <w:p w14:paraId="5E03F961" w14:textId="77777777" w:rsidR="00387142" w:rsidRPr="008B6A75" w:rsidRDefault="00387142" w:rsidP="00387142">
            <w:pPr>
              <w:rPr>
                <w:sz w:val="20"/>
                <w:szCs w:val="20"/>
              </w:rPr>
            </w:pPr>
          </w:p>
        </w:tc>
      </w:tr>
      <w:tr w:rsidR="00387142" w:rsidRPr="008B6A75" w14:paraId="4FE652BB" w14:textId="77777777" w:rsidTr="00387142">
        <w:trPr>
          <w:trHeight w:val="300"/>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14:paraId="0B2F8E5F" w14:textId="77777777" w:rsidR="00387142" w:rsidRPr="008B6A75" w:rsidRDefault="00387142" w:rsidP="00387142">
            <w:pPr>
              <w:jc w:val="right"/>
              <w:rPr>
                <w:color w:val="000000"/>
                <w:sz w:val="20"/>
                <w:szCs w:val="20"/>
              </w:rPr>
            </w:pPr>
            <w:r w:rsidRPr="008B6A75">
              <w:rPr>
                <w:color w:val="000000"/>
                <w:sz w:val="20"/>
                <w:szCs w:val="20"/>
              </w:rPr>
              <w:t>13</w:t>
            </w:r>
          </w:p>
        </w:tc>
        <w:tc>
          <w:tcPr>
            <w:tcW w:w="426" w:type="dxa"/>
            <w:tcBorders>
              <w:top w:val="nil"/>
              <w:left w:val="nil"/>
              <w:bottom w:val="single" w:sz="4" w:space="0" w:color="auto"/>
              <w:right w:val="single" w:sz="4" w:space="0" w:color="auto"/>
            </w:tcBorders>
            <w:shd w:val="clear" w:color="auto" w:fill="auto"/>
            <w:noWrap/>
            <w:vAlign w:val="bottom"/>
            <w:hideMark/>
          </w:tcPr>
          <w:p w14:paraId="3A75992B" w14:textId="77777777" w:rsidR="00387142" w:rsidRPr="008B6A75" w:rsidRDefault="00387142" w:rsidP="00387142">
            <w:pPr>
              <w:rPr>
                <w:color w:val="000000"/>
                <w:sz w:val="20"/>
                <w:szCs w:val="20"/>
              </w:rPr>
            </w:pPr>
            <w:r w:rsidRPr="008B6A75">
              <w:rPr>
                <w:color w:val="000000"/>
                <w:sz w:val="20"/>
                <w:szCs w:val="20"/>
              </w:rPr>
              <w:t>Октябрьский</w:t>
            </w:r>
          </w:p>
        </w:tc>
        <w:tc>
          <w:tcPr>
            <w:tcW w:w="567" w:type="dxa"/>
            <w:tcBorders>
              <w:top w:val="nil"/>
              <w:left w:val="nil"/>
              <w:bottom w:val="single" w:sz="4" w:space="0" w:color="auto"/>
              <w:right w:val="single" w:sz="4" w:space="0" w:color="auto"/>
            </w:tcBorders>
            <w:shd w:val="clear" w:color="auto" w:fill="auto"/>
            <w:noWrap/>
            <w:vAlign w:val="bottom"/>
            <w:hideMark/>
          </w:tcPr>
          <w:p w14:paraId="4C81EB79" w14:textId="77777777" w:rsidR="00387142" w:rsidRPr="008B6A75" w:rsidRDefault="00387142" w:rsidP="00387142">
            <w:pPr>
              <w:jc w:val="right"/>
              <w:rPr>
                <w:bCs/>
                <w:color w:val="000000"/>
                <w:sz w:val="20"/>
                <w:szCs w:val="20"/>
              </w:rPr>
            </w:pPr>
            <w:r w:rsidRPr="008B6A75">
              <w:rPr>
                <w:bCs/>
                <w:color w:val="000000"/>
                <w:sz w:val="20"/>
                <w:szCs w:val="20"/>
              </w:rPr>
              <w:t>2 008 765,46</w:t>
            </w:r>
          </w:p>
        </w:tc>
        <w:tc>
          <w:tcPr>
            <w:tcW w:w="850" w:type="dxa"/>
            <w:tcBorders>
              <w:top w:val="nil"/>
              <w:left w:val="nil"/>
              <w:bottom w:val="single" w:sz="4" w:space="0" w:color="auto"/>
              <w:right w:val="single" w:sz="4" w:space="0" w:color="auto"/>
            </w:tcBorders>
            <w:shd w:val="clear" w:color="000000" w:fill="FFFFFF"/>
            <w:noWrap/>
            <w:vAlign w:val="bottom"/>
            <w:hideMark/>
          </w:tcPr>
          <w:p w14:paraId="2F336D88" w14:textId="77777777" w:rsidR="00387142" w:rsidRPr="008B6A75" w:rsidRDefault="00387142" w:rsidP="00387142">
            <w:pPr>
              <w:jc w:val="right"/>
              <w:rPr>
                <w:color w:val="000000"/>
                <w:sz w:val="20"/>
                <w:szCs w:val="20"/>
              </w:rPr>
            </w:pPr>
            <w:r w:rsidRPr="008B6A75">
              <w:rPr>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bottom"/>
            <w:hideMark/>
          </w:tcPr>
          <w:p w14:paraId="62FDB573" w14:textId="77777777" w:rsidR="00387142" w:rsidRPr="008B6A75" w:rsidRDefault="00387142" w:rsidP="00387142">
            <w:pPr>
              <w:rPr>
                <w:color w:val="000000"/>
                <w:sz w:val="20"/>
                <w:szCs w:val="20"/>
              </w:rPr>
            </w:pPr>
            <w:r w:rsidRPr="008B6A75">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14:paraId="3A26DBB6" w14:textId="77777777" w:rsidR="00387142" w:rsidRPr="008B6A75" w:rsidRDefault="00387142" w:rsidP="00387142">
            <w:pPr>
              <w:jc w:val="right"/>
              <w:rPr>
                <w:color w:val="000000"/>
                <w:sz w:val="20"/>
                <w:szCs w:val="20"/>
              </w:rPr>
            </w:pPr>
            <w:r w:rsidRPr="008B6A75">
              <w:rPr>
                <w:color w:val="000000"/>
                <w:sz w:val="20"/>
                <w:szCs w:val="20"/>
              </w:rPr>
              <w:t>115 600,00</w:t>
            </w:r>
          </w:p>
        </w:tc>
        <w:tc>
          <w:tcPr>
            <w:tcW w:w="851" w:type="dxa"/>
            <w:tcBorders>
              <w:top w:val="nil"/>
              <w:left w:val="nil"/>
              <w:bottom w:val="single" w:sz="4" w:space="0" w:color="auto"/>
              <w:right w:val="single" w:sz="4" w:space="0" w:color="auto"/>
            </w:tcBorders>
            <w:shd w:val="clear" w:color="auto" w:fill="auto"/>
            <w:noWrap/>
            <w:vAlign w:val="bottom"/>
            <w:hideMark/>
          </w:tcPr>
          <w:p w14:paraId="7FC7B446" w14:textId="77777777" w:rsidR="00387142" w:rsidRPr="008B6A75" w:rsidRDefault="00387142" w:rsidP="00387142">
            <w:pPr>
              <w:jc w:val="right"/>
              <w:rPr>
                <w:color w:val="000000"/>
                <w:sz w:val="20"/>
                <w:szCs w:val="20"/>
              </w:rPr>
            </w:pPr>
            <w:r w:rsidRPr="008B6A75">
              <w:rPr>
                <w:color w:val="000000"/>
                <w:sz w:val="20"/>
                <w:szCs w:val="20"/>
              </w:rPr>
              <w:t>43 473,54</w:t>
            </w:r>
          </w:p>
        </w:tc>
        <w:tc>
          <w:tcPr>
            <w:tcW w:w="1215" w:type="dxa"/>
            <w:tcBorders>
              <w:top w:val="nil"/>
              <w:left w:val="nil"/>
              <w:bottom w:val="single" w:sz="4" w:space="0" w:color="auto"/>
              <w:right w:val="single" w:sz="4" w:space="0" w:color="auto"/>
            </w:tcBorders>
            <w:shd w:val="clear" w:color="auto" w:fill="auto"/>
            <w:noWrap/>
            <w:vAlign w:val="bottom"/>
            <w:hideMark/>
          </w:tcPr>
          <w:p w14:paraId="2B5BD57F" w14:textId="77777777" w:rsidR="00387142" w:rsidRPr="008B6A75" w:rsidRDefault="00387142" w:rsidP="00387142">
            <w:pPr>
              <w:rPr>
                <w:color w:val="000000"/>
                <w:sz w:val="20"/>
                <w:szCs w:val="20"/>
              </w:rPr>
            </w:pPr>
            <w:r w:rsidRPr="008B6A75">
              <w:rPr>
                <w:color w:val="000000"/>
                <w:sz w:val="20"/>
                <w:szCs w:val="20"/>
              </w:rPr>
              <w:t> </w:t>
            </w:r>
          </w:p>
        </w:tc>
        <w:tc>
          <w:tcPr>
            <w:tcW w:w="769" w:type="dxa"/>
            <w:tcBorders>
              <w:top w:val="nil"/>
              <w:left w:val="nil"/>
              <w:bottom w:val="single" w:sz="4" w:space="0" w:color="auto"/>
              <w:right w:val="single" w:sz="4" w:space="0" w:color="auto"/>
            </w:tcBorders>
            <w:shd w:val="clear" w:color="auto" w:fill="auto"/>
            <w:noWrap/>
            <w:vAlign w:val="bottom"/>
            <w:hideMark/>
          </w:tcPr>
          <w:p w14:paraId="7D1A2A8C" w14:textId="77777777" w:rsidR="00387142" w:rsidRPr="008B6A75" w:rsidRDefault="00387142" w:rsidP="00387142">
            <w:pPr>
              <w:rPr>
                <w:color w:val="000000"/>
                <w:sz w:val="20"/>
                <w:szCs w:val="20"/>
              </w:rPr>
            </w:pPr>
            <w:r w:rsidRPr="008B6A75">
              <w:rPr>
                <w:color w:val="000000"/>
                <w:sz w:val="20"/>
                <w:szCs w:val="20"/>
              </w:rPr>
              <w:t> </w:t>
            </w:r>
          </w:p>
        </w:tc>
        <w:tc>
          <w:tcPr>
            <w:tcW w:w="709" w:type="dxa"/>
            <w:tcBorders>
              <w:top w:val="nil"/>
              <w:left w:val="nil"/>
              <w:bottom w:val="single" w:sz="4" w:space="0" w:color="auto"/>
              <w:right w:val="single" w:sz="4" w:space="0" w:color="auto"/>
            </w:tcBorders>
            <w:shd w:val="clear" w:color="auto" w:fill="auto"/>
            <w:noWrap/>
            <w:vAlign w:val="bottom"/>
            <w:hideMark/>
          </w:tcPr>
          <w:p w14:paraId="6FDF2CA6" w14:textId="77777777" w:rsidR="00387142" w:rsidRPr="008B6A75" w:rsidRDefault="00387142" w:rsidP="00387142">
            <w:pPr>
              <w:rPr>
                <w:color w:val="000000"/>
                <w:sz w:val="20"/>
                <w:szCs w:val="20"/>
              </w:rPr>
            </w:pPr>
            <w:r w:rsidRPr="008B6A75">
              <w:rPr>
                <w:color w:val="000000"/>
                <w:sz w:val="20"/>
                <w:szCs w:val="20"/>
              </w:rPr>
              <w:t> </w:t>
            </w:r>
          </w:p>
        </w:tc>
        <w:tc>
          <w:tcPr>
            <w:tcW w:w="850" w:type="dxa"/>
            <w:tcBorders>
              <w:top w:val="nil"/>
              <w:left w:val="nil"/>
              <w:bottom w:val="single" w:sz="4" w:space="0" w:color="auto"/>
              <w:right w:val="single" w:sz="4" w:space="0" w:color="auto"/>
            </w:tcBorders>
            <w:shd w:val="clear" w:color="auto" w:fill="auto"/>
            <w:noWrap/>
            <w:vAlign w:val="bottom"/>
            <w:hideMark/>
          </w:tcPr>
          <w:p w14:paraId="5FC0DCCE" w14:textId="77777777" w:rsidR="00387142" w:rsidRPr="008B6A75" w:rsidRDefault="00387142" w:rsidP="00387142">
            <w:pPr>
              <w:jc w:val="right"/>
              <w:rPr>
                <w:color w:val="000000"/>
                <w:sz w:val="20"/>
                <w:szCs w:val="20"/>
              </w:rPr>
            </w:pPr>
            <w:r w:rsidRPr="008B6A75">
              <w:rPr>
                <w:color w:val="000000"/>
                <w:sz w:val="20"/>
                <w:szCs w:val="20"/>
              </w:rPr>
              <w:t>7 092,00</w:t>
            </w:r>
          </w:p>
        </w:tc>
        <w:tc>
          <w:tcPr>
            <w:tcW w:w="1701" w:type="dxa"/>
            <w:tcBorders>
              <w:top w:val="nil"/>
              <w:left w:val="nil"/>
              <w:bottom w:val="single" w:sz="4" w:space="0" w:color="auto"/>
              <w:right w:val="single" w:sz="4" w:space="0" w:color="auto"/>
            </w:tcBorders>
            <w:shd w:val="clear" w:color="auto" w:fill="auto"/>
            <w:noWrap/>
            <w:vAlign w:val="bottom"/>
            <w:hideMark/>
          </w:tcPr>
          <w:p w14:paraId="04E3B876" w14:textId="77777777" w:rsidR="00387142" w:rsidRPr="008B6A75" w:rsidRDefault="00387142" w:rsidP="00387142">
            <w:pPr>
              <w:jc w:val="right"/>
              <w:rPr>
                <w:color w:val="000000"/>
                <w:sz w:val="20"/>
                <w:szCs w:val="20"/>
              </w:rPr>
            </w:pPr>
            <w:r w:rsidRPr="008B6A75">
              <w:rPr>
                <w:color w:val="000000"/>
                <w:sz w:val="20"/>
                <w:szCs w:val="20"/>
              </w:rPr>
              <w:t>1047494,78</w:t>
            </w:r>
          </w:p>
        </w:tc>
        <w:tc>
          <w:tcPr>
            <w:tcW w:w="851" w:type="dxa"/>
            <w:tcBorders>
              <w:top w:val="nil"/>
              <w:left w:val="nil"/>
              <w:bottom w:val="single" w:sz="4" w:space="0" w:color="auto"/>
              <w:right w:val="single" w:sz="4" w:space="0" w:color="auto"/>
            </w:tcBorders>
            <w:shd w:val="clear" w:color="auto" w:fill="auto"/>
            <w:noWrap/>
            <w:vAlign w:val="bottom"/>
            <w:hideMark/>
          </w:tcPr>
          <w:p w14:paraId="2F283061" w14:textId="77777777" w:rsidR="00387142" w:rsidRPr="008B6A75" w:rsidRDefault="00387142" w:rsidP="00387142">
            <w:pPr>
              <w:jc w:val="right"/>
              <w:rPr>
                <w:color w:val="000000"/>
                <w:sz w:val="20"/>
                <w:szCs w:val="20"/>
              </w:rPr>
            </w:pPr>
            <w:r w:rsidRPr="008B6A75">
              <w:rPr>
                <w:color w:val="000000"/>
                <w:sz w:val="20"/>
                <w:szCs w:val="20"/>
              </w:rPr>
              <w:t>532 512,00</w:t>
            </w:r>
          </w:p>
        </w:tc>
        <w:tc>
          <w:tcPr>
            <w:tcW w:w="567" w:type="dxa"/>
            <w:gridSpan w:val="2"/>
            <w:tcBorders>
              <w:top w:val="nil"/>
              <w:left w:val="nil"/>
              <w:bottom w:val="single" w:sz="4" w:space="0" w:color="auto"/>
              <w:right w:val="single" w:sz="4" w:space="0" w:color="auto"/>
            </w:tcBorders>
            <w:shd w:val="clear" w:color="auto" w:fill="auto"/>
            <w:noWrap/>
            <w:vAlign w:val="bottom"/>
            <w:hideMark/>
          </w:tcPr>
          <w:p w14:paraId="33D4C4D8" w14:textId="77777777" w:rsidR="00387142" w:rsidRPr="008B6A75" w:rsidRDefault="00387142" w:rsidP="00387142">
            <w:pPr>
              <w:jc w:val="right"/>
              <w:rPr>
                <w:color w:val="000000"/>
                <w:sz w:val="20"/>
                <w:szCs w:val="20"/>
              </w:rPr>
            </w:pPr>
            <w:r w:rsidRPr="008B6A75">
              <w:rPr>
                <w:color w:val="000000"/>
                <w:sz w:val="20"/>
                <w:szCs w:val="20"/>
              </w:rPr>
              <w:t>200 000,00</w:t>
            </w:r>
          </w:p>
        </w:tc>
        <w:tc>
          <w:tcPr>
            <w:tcW w:w="568" w:type="dxa"/>
            <w:gridSpan w:val="2"/>
            <w:tcBorders>
              <w:top w:val="nil"/>
              <w:left w:val="nil"/>
              <w:bottom w:val="single" w:sz="4" w:space="0" w:color="auto"/>
              <w:right w:val="single" w:sz="4" w:space="0" w:color="auto"/>
            </w:tcBorders>
            <w:shd w:val="clear" w:color="auto" w:fill="auto"/>
            <w:noWrap/>
            <w:vAlign w:val="bottom"/>
            <w:hideMark/>
          </w:tcPr>
          <w:p w14:paraId="04905083" w14:textId="77777777" w:rsidR="00387142" w:rsidRPr="008B6A75" w:rsidRDefault="00387142" w:rsidP="00387142">
            <w:pPr>
              <w:rPr>
                <w:color w:val="000000"/>
                <w:sz w:val="20"/>
                <w:szCs w:val="20"/>
              </w:rPr>
            </w:pPr>
            <w:r w:rsidRPr="008B6A75">
              <w:rPr>
                <w:color w:val="000000"/>
                <w:sz w:val="20"/>
                <w:szCs w:val="20"/>
              </w:rPr>
              <w:t> </w:t>
            </w:r>
          </w:p>
        </w:tc>
        <w:tc>
          <w:tcPr>
            <w:tcW w:w="566" w:type="dxa"/>
            <w:gridSpan w:val="2"/>
            <w:tcBorders>
              <w:top w:val="nil"/>
              <w:left w:val="nil"/>
              <w:bottom w:val="single" w:sz="4" w:space="0" w:color="auto"/>
              <w:right w:val="single" w:sz="4" w:space="0" w:color="auto"/>
            </w:tcBorders>
            <w:shd w:val="clear" w:color="auto" w:fill="auto"/>
            <w:noWrap/>
            <w:vAlign w:val="bottom"/>
            <w:hideMark/>
          </w:tcPr>
          <w:p w14:paraId="2F6D745A" w14:textId="77777777" w:rsidR="00387142" w:rsidRPr="008B6A75" w:rsidRDefault="00387142" w:rsidP="00387142">
            <w:pPr>
              <w:rPr>
                <w:color w:val="000000"/>
                <w:sz w:val="20"/>
                <w:szCs w:val="20"/>
              </w:rPr>
            </w:pPr>
            <w:r w:rsidRPr="008B6A75">
              <w:rPr>
                <w:color w:val="000000"/>
                <w:sz w:val="20"/>
                <w:szCs w:val="20"/>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14:paraId="15157478" w14:textId="77777777" w:rsidR="00387142" w:rsidRPr="008B6A75" w:rsidRDefault="00387142" w:rsidP="00387142">
            <w:pPr>
              <w:jc w:val="right"/>
              <w:rPr>
                <w:color w:val="000000"/>
                <w:sz w:val="20"/>
                <w:szCs w:val="20"/>
              </w:rPr>
            </w:pPr>
            <w:r w:rsidRPr="008B6A75">
              <w:rPr>
                <w:color w:val="000000"/>
                <w:sz w:val="20"/>
                <w:szCs w:val="20"/>
              </w:rPr>
              <w:t>15 093,14</w:t>
            </w:r>
          </w:p>
        </w:tc>
        <w:tc>
          <w:tcPr>
            <w:tcW w:w="850" w:type="dxa"/>
            <w:tcBorders>
              <w:top w:val="nil"/>
              <w:left w:val="nil"/>
              <w:bottom w:val="single" w:sz="4" w:space="0" w:color="auto"/>
              <w:right w:val="single" w:sz="4" w:space="0" w:color="auto"/>
            </w:tcBorders>
            <w:shd w:val="clear" w:color="000000" w:fill="FFFFFF"/>
            <w:noWrap/>
            <w:vAlign w:val="bottom"/>
            <w:hideMark/>
          </w:tcPr>
          <w:p w14:paraId="7321D5EA" w14:textId="77777777" w:rsidR="00387142" w:rsidRPr="008B6A75" w:rsidRDefault="00387142" w:rsidP="00387142">
            <w:pPr>
              <w:rPr>
                <w:sz w:val="20"/>
                <w:szCs w:val="20"/>
              </w:rPr>
            </w:pPr>
            <w:r w:rsidRPr="008B6A75">
              <w:rPr>
                <w:sz w:val="20"/>
                <w:szCs w:val="20"/>
              </w:rPr>
              <w:t> </w:t>
            </w:r>
          </w:p>
        </w:tc>
        <w:tc>
          <w:tcPr>
            <w:tcW w:w="851" w:type="dxa"/>
            <w:tcBorders>
              <w:top w:val="nil"/>
              <w:left w:val="nil"/>
              <w:bottom w:val="single" w:sz="4" w:space="0" w:color="auto"/>
              <w:right w:val="single" w:sz="4" w:space="0" w:color="auto"/>
            </w:tcBorders>
            <w:shd w:val="clear" w:color="000000" w:fill="FFFFFF"/>
            <w:noWrap/>
            <w:vAlign w:val="bottom"/>
            <w:hideMark/>
          </w:tcPr>
          <w:p w14:paraId="7418664B" w14:textId="77777777" w:rsidR="00387142" w:rsidRPr="008B6A75" w:rsidRDefault="00387142" w:rsidP="00387142">
            <w:pPr>
              <w:jc w:val="right"/>
              <w:rPr>
                <w:sz w:val="20"/>
                <w:szCs w:val="20"/>
              </w:rPr>
            </w:pPr>
            <w:r w:rsidRPr="008B6A75">
              <w:rPr>
                <w:sz w:val="20"/>
                <w:szCs w:val="20"/>
              </w:rPr>
              <w:t>47 500,00</w:t>
            </w:r>
          </w:p>
        </w:tc>
        <w:tc>
          <w:tcPr>
            <w:tcW w:w="553" w:type="dxa"/>
            <w:gridSpan w:val="2"/>
            <w:vAlign w:val="center"/>
            <w:hideMark/>
          </w:tcPr>
          <w:p w14:paraId="671947DA" w14:textId="77777777" w:rsidR="00387142" w:rsidRPr="008B6A75" w:rsidRDefault="00387142" w:rsidP="00387142">
            <w:pPr>
              <w:rPr>
                <w:sz w:val="20"/>
                <w:szCs w:val="20"/>
              </w:rPr>
            </w:pPr>
          </w:p>
        </w:tc>
      </w:tr>
      <w:tr w:rsidR="00387142" w:rsidRPr="008B6A75" w14:paraId="1C268D63" w14:textId="77777777" w:rsidTr="00387142">
        <w:trPr>
          <w:trHeight w:val="300"/>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14:paraId="5200B649" w14:textId="77777777" w:rsidR="00387142" w:rsidRPr="008B6A75" w:rsidRDefault="00387142" w:rsidP="00387142">
            <w:pPr>
              <w:jc w:val="right"/>
              <w:rPr>
                <w:color w:val="000000"/>
                <w:sz w:val="20"/>
                <w:szCs w:val="20"/>
              </w:rPr>
            </w:pPr>
            <w:r w:rsidRPr="008B6A75">
              <w:rPr>
                <w:color w:val="000000"/>
                <w:sz w:val="20"/>
                <w:szCs w:val="20"/>
              </w:rPr>
              <w:t>14</w:t>
            </w:r>
          </w:p>
        </w:tc>
        <w:tc>
          <w:tcPr>
            <w:tcW w:w="426" w:type="dxa"/>
            <w:tcBorders>
              <w:top w:val="nil"/>
              <w:left w:val="nil"/>
              <w:bottom w:val="single" w:sz="4" w:space="0" w:color="auto"/>
              <w:right w:val="single" w:sz="4" w:space="0" w:color="auto"/>
            </w:tcBorders>
            <w:shd w:val="clear" w:color="auto" w:fill="auto"/>
            <w:noWrap/>
            <w:vAlign w:val="bottom"/>
            <w:hideMark/>
          </w:tcPr>
          <w:p w14:paraId="005DED02" w14:textId="77777777" w:rsidR="00387142" w:rsidRPr="008B6A75" w:rsidRDefault="00387142" w:rsidP="00387142">
            <w:pPr>
              <w:rPr>
                <w:color w:val="000000"/>
                <w:sz w:val="20"/>
                <w:szCs w:val="20"/>
              </w:rPr>
            </w:pPr>
            <w:proofErr w:type="spellStart"/>
            <w:r w:rsidRPr="008B6A75">
              <w:rPr>
                <w:color w:val="000000"/>
                <w:sz w:val="20"/>
                <w:szCs w:val="20"/>
              </w:rPr>
              <w:t>Осиновский</w:t>
            </w:r>
            <w:proofErr w:type="spellEnd"/>
          </w:p>
        </w:tc>
        <w:tc>
          <w:tcPr>
            <w:tcW w:w="567" w:type="dxa"/>
            <w:tcBorders>
              <w:top w:val="nil"/>
              <w:left w:val="nil"/>
              <w:bottom w:val="single" w:sz="4" w:space="0" w:color="auto"/>
              <w:right w:val="single" w:sz="4" w:space="0" w:color="auto"/>
            </w:tcBorders>
            <w:shd w:val="clear" w:color="auto" w:fill="auto"/>
            <w:noWrap/>
            <w:vAlign w:val="bottom"/>
            <w:hideMark/>
          </w:tcPr>
          <w:p w14:paraId="2E5A1B14" w14:textId="77777777" w:rsidR="00387142" w:rsidRPr="008B6A75" w:rsidRDefault="00387142" w:rsidP="00387142">
            <w:pPr>
              <w:jc w:val="right"/>
              <w:rPr>
                <w:bCs/>
                <w:color w:val="000000"/>
                <w:sz w:val="20"/>
                <w:szCs w:val="20"/>
              </w:rPr>
            </w:pPr>
            <w:r w:rsidRPr="008B6A75">
              <w:rPr>
                <w:bCs/>
                <w:color w:val="000000"/>
                <w:sz w:val="20"/>
                <w:szCs w:val="20"/>
              </w:rPr>
              <w:t>3 166 286,88</w:t>
            </w:r>
          </w:p>
        </w:tc>
        <w:tc>
          <w:tcPr>
            <w:tcW w:w="850" w:type="dxa"/>
            <w:tcBorders>
              <w:top w:val="nil"/>
              <w:left w:val="nil"/>
              <w:bottom w:val="single" w:sz="4" w:space="0" w:color="auto"/>
              <w:right w:val="single" w:sz="4" w:space="0" w:color="auto"/>
            </w:tcBorders>
            <w:shd w:val="clear" w:color="000000" w:fill="FFFFFF"/>
            <w:noWrap/>
            <w:vAlign w:val="bottom"/>
            <w:hideMark/>
          </w:tcPr>
          <w:p w14:paraId="51CD8E54" w14:textId="77777777" w:rsidR="00387142" w:rsidRPr="008B6A75" w:rsidRDefault="00387142" w:rsidP="00387142">
            <w:pPr>
              <w:rPr>
                <w:color w:val="000000"/>
                <w:sz w:val="20"/>
                <w:szCs w:val="20"/>
              </w:rPr>
            </w:pPr>
            <w:r w:rsidRPr="008B6A75">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14:paraId="55DA205B" w14:textId="77777777" w:rsidR="00387142" w:rsidRPr="008B6A75" w:rsidRDefault="00387142" w:rsidP="00387142">
            <w:pPr>
              <w:jc w:val="right"/>
              <w:rPr>
                <w:color w:val="000000"/>
                <w:sz w:val="20"/>
                <w:szCs w:val="20"/>
              </w:rPr>
            </w:pPr>
            <w:r w:rsidRPr="008B6A75">
              <w:rPr>
                <w:color w:val="000000"/>
                <w:sz w:val="20"/>
                <w:szCs w:val="20"/>
              </w:rPr>
              <w:t>231 113,88</w:t>
            </w:r>
          </w:p>
        </w:tc>
        <w:tc>
          <w:tcPr>
            <w:tcW w:w="1134" w:type="dxa"/>
            <w:tcBorders>
              <w:top w:val="nil"/>
              <w:left w:val="nil"/>
              <w:bottom w:val="single" w:sz="4" w:space="0" w:color="auto"/>
              <w:right w:val="single" w:sz="4" w:space="0" w:color="auto"/>
            </w:tcBorders>
            <w:shd w:val="clear" w:color="auto" w:fill="auto"/>
            <w:noWrap/>
            <w:vAlign w:val="bottom"/>
            <w:hideMark/>
          </w:tcPr>
          <w:p w14:paraId="2C1815DB" w14:textId="77777777" w:rsidR="00387142" w:rsidRPr="008B6A75" w:rsidRDefault="00387142" w:rsidP="00387142">
            <w:pPr>
              <w:rPr>
                <w:color w:val="000000"/>
                <w:sz w:val="20"/>
                <w:szCs w:val="20"/>
              </w:rPr>
            </w:pPr>
            <w:r w:rsidRPr="008B6A75">
              <w:rPr>
                <w:color w:val="000000"/>
                <w:sz w:val="20"/>
                <w:szCs w:val="20"/>
              </w:rPr>
              <w:t> </w:t>
            </w:r>
          </w:p>
        </w:tc>
        <w:tc>
          <w:tcPr>
            <w:tcW w:w="851" w:type="dxa"/>
            <w:tcBorders>
              <w:top w:val="nil"/>
              <w:left w:val="nil"/>
              <w:bottom w:val="single" w:sz="4" w:space="0" w:color="auto"/>
              <w:right w:val="single" w:sz="4" w:space="0" w:color="auto"/>
            </w:tcBorders>
            <w:shd w:val="clear" w:color="auto" w:fill="auto"/>
            <w:noWrap/>
            <w:vAlign w:val="bottom"/>
            <w:hideMark/>
          </w:tcPr>
          <w:p w14:paraId="330B4162" w14:textId="77777777" w:rsidR="00387142" w:rsidRPr="008B6A75" w:rsidRDefault="00387142" w:rsidP="00387142">
            <w:pPr>
              <w:rPr>
                <w:color w:val="000000"/>
                <w:sz w:val="20"/>
                <w:szCs w:val="20"/>
              </w:rPr>
            </w:pPr>
            <w:r w:rsidRPr="008B6A75">
              <w:rPr>
                <w:color w:val="000000"/>
                <w:sz w:val="20"/>
                <w:szCs w:val="20"/>
              </w:rPr>
              <w:t> </w:t>
            </w:r>
          </w:p>
        </w:tc>
        <w:tc>
          <w:tcPr>
            <w:tcW w:w="1215" w:type="dxa"/>
            <w:tcBorders>
              <w:top w:val="nil"/>
              <w:left w:val="nil"/>
              <w:bottom w:val="single" w:sz="4" w:space="0" w:color="auto"/>
              <w:right w:val="single" w:sz="4" w:space="0" w:color="auto"/>
            </w:tcBorders>
            <w:shd w:val="clear" w:color="auto" w:fill="auto"/>
            <w:noWrap/>
            <w:vAlign w:val="bottom"/>
            <w:hideMark/>
          </w:tcPr>
          <w:p w14:paraId="51D829BD" w14:textId="77777777" w:rsidR="00387142" w:rsidRPr="008B6A75" w:rsidRDefault="00387142" w:rsidP="00387142">
            <w:pPr>
              <w:rPr>
                <w:color w:val="000000"/>
                <w:sz w:val="20"/>
                <w:szCs w:val="20"/>
              </w:rPr>
            </w:pPr>
            <w:r w:rsidRPr="008B6A75">
              <w:rPr>
                <w:color w:val="000000"/>
                <w:sz w:val="20"/>
                <w:szCs w:val="20"/>
              </w:rPr>
              <w:t> </w:t>
            </w:r>
          </w:p>
        </w:tc>
        <w:tc>
          <w:tcPr>
            <w:tcW w:w="769" w:type="dxa"/>
            <w:tcBorders>
              <w:top w:val="nil"/>
              <w:left w:val="nil"/>
              <w:bottom w:val="single" w:sz="4" w:space="0" w:color="auto"/>
              <w:right w:val="single" w:sz="4" w:space="0" w:color="auto"/>
            </w:tcBorders>
            <w:shd w:val="clear" w:color="auto" w:fill="auto"/>
            <w:noWrap/>
            <w:vAlign w:val="bottom"/>
            <w:hideMark/>
          </w:tcPr>
          <w:p w14:paraId="6CC60908" w14:textId="77777777" w:rsidR="00387142" w:rsidRPr="008B6A75" w:rsidRDefault="00387142" w:rsidP="00387142">
            <w:pPr>
              <w:rPr>
                <w:color w:val="000000"/>
                <w:sz w:val="20"/>
                <w:szCs w:val="20"/>
              </w:rPr>
            </w:pPr>
            <w:r w:rsidRPr="008B6A75">
              <w:rPr>
                <w:color w:val="000000"/>
                <w:sz w:val="20"/>
                <w:szCs w:val="20"/>
              </w:rPr>
              <w:t> </w:t>
            </w:r>
          </w:p>
        </w:tc>
        <w:tc>
          <w:tcPr>
            <w:tcW w:w="709" w:type="dxa"/>
            <w:tcBorders>
              <w:top w:val="nil"/>
              <w:left w:val="nil"/>
              <w:bottom w:val="single" w:sz="4" w:space="0" w:color="auto"/>
              <w:right w:val="single" w:sz="4" w:space="0" w:color="auto"/>
            </w:tcBorders>
            <w:shd w:val="clear" w:color="auto" w:fill="auto"/>
            <w:noWrap/>
            <w:vAlign w:val="bottom"/>
            <w:hideMark/>
          </w:tcPr>
          <w:p w14:paraId="04555BCA" w14:textId="77777777" w:rsidR="00387142" w:rsidRPr="008B6A75" w:rsidRDefault="00387142" w:rsidP="00387142">
            <w:pPr>
              <w:rPr>
                <w:color w:val="000000"/>
                <w:sz w:val="20"/>
                <w:szCs w:val="20"/>
              </w:rPr>
            </w:pPr>
            <w:r w:rsidRPr="008B6A75">
              <w:rPr>
                <w:color w:val="000000"/>
                <w:sz w:val="20"/>
                <w:szCs w:val="20"/>
              </w:rPr>
              <w:t> </w:t>
            </w:r>
          </w:p>
        </w:tc>
        <w:tc>
          <w:tcPr>
            <w:tcW w:w="850" w:type="dxa"/>
            <w:tcBorders>
              <w:top w:val="nil"/>
              <w:left w:val="nil"/>
              <w:bottom w:val="single" w:sz="4" w:space="0" w:color="auto"/>
              <w:right w:val="single" w:sz="4" w:space="0" w:color="auto"/>
            </w:tcBorders>
            <w:shd w:val="clear" w:color="auto" w:fill="auto"/>
            <w:noWrap/>
            <w:vAlign w:val="bottom"/>
            <w:hideMark/>
          </w:tcPr>
          <w:p w14:paraId="59AF0CCD" w14:textId="77777777" w:rsidR="00387142" w:rsidRPr="008B6A75" w:rsidRDefault="00387142" w:rsidP="00387142">
            <w:pPr>
              <w:jc w:val="right"/>
              <w:rPr>
                <w:color w:val="000000"/>
                <w:sz w:val="20"/>
                <w:szCs w:val="20"/>
              </w:rPr>
            </w:pPr>
            <w:r w:rsidRPr="008B6A75">
              <w:rPr>
                <w:color w:val="000000"/>
                <w:sz w:val="20"/>
                <w:szCs w:val="20"/>
              </w:rPr>
              <w:t>1 773,00</w:t>
            </w:r>
          </w:p>
        </w:tc>
        <w:tc>
          <w:tcPr>
            <w:tcW w:w="1701" w:type="dxa"/>
            <w:tcBorders>
              <w:top w:val="nil"/>
              <w:left w:val="nil"/>
              <w:bottom w:val="single" w:sz="4" w:space="0" w:color="auto"/>
              <w:right w:val="single" w:sz="4" w:space="0" w:color="auto"/>
            </w:tcBorders>
            <w:shd w:val="clear" w:color="auto" w:fill="auto"/>
            <w:noWrap/>
            <w:vAlign w:val="bottom"/>
            <w:hideMark/>
          </w:tcPr>
          <w:p w14:paraId="2B8B0C0F" w14:textId="77777777" w:rsidR="00387142" w:rsidRPr="008B6A75" w:rsidRDefault="00387142" w:rsidP="00387142">
            <w:pPr>
              <w:rPr>
                <w:color w:val="000000"/>
                <w:sz w:val="20"/>
                <w:szCs w:val="20"/>
              </w:rPr>
            </w:pPr>
            <w:r w:rsidRPr="008B6A75">
              <w:rPr>
                <w:color w:val="000000"/>
                <w:sz w:val="20"/>
                <w:szCs w:val="20"/>
              </w:rPr>
              <w:t> </w:t>
            </w:r>
          </w:p>
        </w:tc>
        <w:tc>
          <w:tcPr>
            <w:tcW w:w="851" w:type="dxa"/>
            <w:tcBorders>
              <w:top w:val="nil"/>
              <w:left w:val="nil"/>
              <w:bottom w:val="single" w:sz="4" w:space="0" w:color="auto"/>
              <w:right w:val="single" w:sz="4" w:space="0" w:color="auto"/>
            </w:tcBorders>
            <w:shd w:val="clear" w:color="auto" w:fill="auto"/>
            <w:noWrap/>
            <w:vAlign w:val="bottom"/>
            <w:hideMark/>
          </w:tcPr>
          <w:p w14:paraId="105A7165" w14:textId="77777777" w:rsidR="00387142" w:rsidRPr="008B6A75" w:rsidRDefault="00387142" w:rsidP="00387142">
            <w:pPr>
              <w:jc w:val="right"/>
              <w:rPr>
                <w:color w:val="000000"/>
                <w:sz w:val="20"/>
                <w:szCs w:val="20"/>
              </w:rPr>
            </w:pPr>
            <w:r w:rsidRPr="008B6A75">
              <w:rPr>
                <w:color w:val="000000"/>
                <w:sz w:val="20"/>
                <w:szCs w:val="20"/>
              </w:rPr>
              <w:t>2 270 400,00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14:paraId="78BCF047" w14:textId="77777777" w:rsidR="00387142" w:rsidRPr="008B6A75" w:rsidRDefault="00387142" w:rsidP="00387142">
            <w:pPr>
              <w:rPr>
                <w:color w:val="000000"/>
                <w:sz w:val="20"/>
                <w:szCs w:val="20"/>
              </w:rPr>
            </w:pPr>
            <w:r w:rsidRPr="008B6A75">
              <w:rPr>
                <w:color w:val="000000"/>
                <w:sz w:val="20"/>
                <w:szCs w:val="20"/>
              </w:rPr>
              <w:t> </w:t>
            </w:r>
          </w:p>
        </w:tc>
        <w:tc>
          <w:tcPr>
            <w:tcW w:w="568" w:type="dxa"/>
            <w:gridSpan w:val="2"/>
            <w:tcBorders>
              <w:top w:val="nil"/>
              <w:left w:val="nil"/>
              <w:bottom w:val="single" w:sz="4" w:space="0" w:color="auto"/>
              <w:right w:val="single" w:sz="4" w:space="0" w:color="auto"/>
            </w:tcBorders>
            <w:shd w:val="clear" w:color="auto" w:fill="auto"/>
            <w:noWrap/>
            <w:vAlign w:val="bottom"/>
            <w:hideMark/>
          </w:tcPr>
          <w:p w14:paraId="035AC3AA" w14:textId="77777777" w:rsidR="00387142" w:rsidRPr="008B6A75" w:rsidRDefault="00387142" w:rsidP="00387142">
            <w:pPr>
              <w:rPr>
                <w:color w:val="000000"/>
                <w:sz w:val="20"/>
                <w:szCs w:val="20"/>
              </w:rPr>
            </w:pPr>
            <w:r w:rsidRPr="008B6A75">
              <w:rPr>
                <w:color w:val="000000"/>
                <w:sz w:val="20"/>
                <w:szCs w:val="20"/>
              </w:rPr>
              <w:t> </w:t>
            </w:r>
          </w:p>
        </w:tc>
        <w:tc>
          <w:tcPr>
            <w:tcW w:w="566" w:type="dxa"/>
            <w:gridSpan w:val="2"/>
            <w:tcBorders>
              <w:top w:val="nil"/>
              <w:left w:val="nil"/>
              <w:bottom w:val="single" w:sz="4" w:space="0" w:color="auto"/>
              <w:right w:val="single" w:sz="4" w:space="0" w:color="auto"/>
            </w:tcBorders>
            <w:shd w:val="clear" w:color="auto" w:fill="auto"/>
            <w:noWrap/>
            <w:vAlign w:val="bottom"/>
            <w:hideMark/>
          </w:tcPr>
          <w:p w14:paraId="4C110B93" w14:textId="77777777" w:rsidR="00387142" w:rsidRPr="008B6A75" w:rsidRDefault="00387142" w:rsidP="00387142">
            <w:pPr>
              <w:rPr>
                <w:color w:val="000000"/>
                <w:sz w:val="20"/>
                <w:szCs w:val="20"/>
              </w:rPr>
            </w:pPr>
            <w:r w:rsidRPr="008B6A75">
              <w:rPr>
                <w:color w:val="000000"/>
                <w:sz w:val="20"/>
                <w:szCs w:val="20"/>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14:paraId="44F5F6CB" w14:textId="77777777" w:rsidR="00387142" w:rsidRPr="008B6A75" w:rsidRDefault="00387142" w:rsidP="00387142">
            <w:pPr>
              <w:rPr>
                <w:color w:val="000000"/>
                <w:sz w:val="20"/>
                <w:szCs w:val="20"/>
              </w:rPr>
            </w:pPr>
            <w:r w:rsidRPr="008B6A75">
              <w:rPr>
                <w:color w:val="000000"/>
                <w:sz w:val="20"/>
                <w:szCs w:val="20"/>
              </w:rPr>
              <w:t> </w:t>
            </w:r>
          </w:p>
        </w:tc>
        <w:tc>
          <w:tcPr>
            <w:tcW w:w="850" w:type="dxa"/>
            <w:tcBorders>
              <w:top w:val="nil"/>
              <w:left w:val="nil"/>
              <w:bottom w:val="single" w:sz="4" w:space="0" w:color="auto"/>
              <w:right w:val="single" w:sz="4" w:space="0" w:color="auto"/>
            </w:tcBorders>
            <w:shd w:val="clear" w:color="000000" w:fill="FFFFFF"/>
            <w:noWrap/>
            <w:vAlign w:val="bottom"/>
            <w:hideMark/>
          </w:tcPr>
          <w:p w14:paraId="2B09B545" w14:textId="77777777" w:rsidR="00387142" w:rsidRPr="008B6A75" w:rsidRDefault="00387142" w:rsidP="00387142">
            <w:pPr>
              <w:jc w:val="right"/>
              <w:rPr>
                <w:sz w:val="20"/>
                <w:szCs w:val="20"/>
              </w:rPr>
            </w:pPr>
            <w:r w:rsidRPr="008B6A75">
              <w:rPr>
                <w:sz w:val="20"/>
                <w:szCs w:val="20"/>
              </w:rPr>
              <w:t>551 000,00</w:t>
            </w:r>
          </w:p>
        </w:tc>
        <w:tc>
          <w:tcPr>
            <w:tcW w:w="851" w:type="dxa"/>
            <w:tcBorders>
              <w:top w:val="nil"/>
              <w:left w:val="nil"/>
              <w:bottom w:val="single" w:sz="4" w:space="0" w:color="auto"/>
              <w:right w:val="single" w:sz="4" w:space="0" w:color="auto"/>
            </w:tcBorders>
            <w:shd w:val="clear" w:color="000000" w:fill="FFFFFF"/>
            <w:noWrap/>
            <w:vAlign w:val="bottom"/>
            <w:hideMark/>
          </w:tcPr>
          <w:p w14:paraId="2E7BE4A5" w14:textId="77777777" w:rsidR="00387142" w:rsidRPr="008B6A75" w:rsidRDefault="00387142" w:rsidP="00387142">
            <w:pPr>
              <w:jc w:val="right"/>
              <w:rPr>
                <w:sz w:val="20"/>
                <w:szCs w:val="20"/>
              </w:rPr>
            </w:pPr>
            <w:r w:rsidRPr="008B6A75">
              <w:rPr>
                <w:sz w:val="20"/>
                <w:szCs w:val="20"/>
              </w:rPr>
              <w:t>112 000,00</w:t>
            </w:r>
          </w:p>
        </w:tc>
        <w:tc>
          <w:tcPr>
            <w:tcW w:w="553" w:type="dxa"/>
            <w:gridSpan w:val="2"/>
            <w:vAlign w:val="center"/>
            <w:hideMark/>
          </w:tcPr>
          <w:p w14:paraId="61FF59D8" w14:textId="77777777" w:rsidR="00387142" w:rsidRPr="008B6A75" w:rsidRDefault="00387142" w:rsidP="00387142">
            <w:pPr>
              <w:rPr>
                <w:sz w:val="20"/>
                <w:szCs w:val="20"/>
              </w:rPr>
            </w:pPr>
          </w:p>
        </w:tc>
      </w:tr>
      <w:tr w:rsidR="00387142" w:rsidRPr="008B6A75" w14:paraId="13D78C1F" w14:textId="77777777" w:rsidTr="00387142">
        <w:trPr>
          <w:trHeight w:val="300"/>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14:paraId="0E0AC13F" w14:textId="77777777" w:rsidR="00387142" w:rsidRPr="008B6A75" w:rsidRDefault="00387142" w:rsidP="00387142">
            <w:pPr>
              <w:jc w:val="right"/>
              <w:rPr>
                <w:color w:val="000000"/>
                <w:sz w:val="20"/>
                <w:szCs w:val="20"/>
              </w:rPr>
            </w:pPr>
            <w:r w:rsidRPr="008B6A75">
              <w:rPr>
                <w:color w:val="000000"/>
                <w:sz w:val="20"/>
                <w:szCs w:val="20"/>
              </w:rPr>
              <w:t>15</w:t>
            </w:r>
          </w:p>
        </w:tc>
        <w:tc>
          <w:tcPr>
            <w:tcW w:w="426" w:type="dxa"/>
            <w:tcBorders>
              <w:top w:val="nil"/>
              <w:left w:val="nil"/>
              <w:bottom w:val="single" w:sz="4" w:space="0" w:color="auto"/>
              <w:right w:val="single" w:sz="4" w:space="0" w:color="auto"/>
            </w:tcBorders>
            <w:shd w:val="clear" w:color="auto" w:fill="auto"/>
            <w:noWrap/>
            <w:vAlign w:val="bottom"/>
            <w:hideMark/>
          </w:tcPr>
          <w:p w14:paraId="4DA43CCB" w14:textId="77777777" w:rsidR="00387142" w:rsidRPr="008B6A75" w:rsidRDefault="00387142" w:rsidP="00387142">
            <w:pPr>
              <w:rPr>
                <w:color w:val="000000"/>
                <w:sz w:val="20"/>
                <w:szCs w:val="20"/>
              </w:rPr>
            </w:pPr>
            <w:proofErr w:type="spellStart"/>
            <w:r w:rsidRPr="008B6A75">
              <w:rPr>
                <w:color w:val="000000"/>
                <w:sz w:val="20"/>
                <w:szCs w:val="20"/>
              </w:rPr>
              <w:t>Отрадненский</w:t>
            </w:r>
            <w:proofErr w:type="spellEnd"/>
          </w:p>
        </w:tc>
        <w:tc>
          <w:tcPr>
            <w:tcW w:w="567" w:type="dxa"/>
            <w:tcBorders>
              <w:top w:val="nil"/>
              <w:left w:val="nil"/>
              <w:bottom w:val="single" w:sz="4" w:space="0" w:color="auto"/>
              <w:right w:val="single" w:sz="4" w:space="0" w:color="auto"/>
            </w:tcBorders>
            <w:shd w:val="clear" w:color="auto" w:fill="auto"/>
            <w:noWrap/>
            <w:vAlign w:val="bottom"/>
            <w:hideMark/>
          </w:tcPr>
          <w:p w14:paraId="30BD0659" w14:textId="77777777" w:rsidR="00387142" w:rsidRPr="008B6A75" w:rsidRDefault="00387142" w:rsidP="00387142">
            <w:pPr>
              <w:jc w:val="right"/>
              <w:rPr>
                <w:bCs/>
                <w:color w:val="000000"/>
                <w:sz w:val="20"/>
                <w:szCs w:val="20"/>
              </w:rPr>
            </w:pPr>
            <w:r w:rsidRPr="008B6A75">
              <w:rPr>
                <w:bCs/>
                <w:color w:val="000000"/>
                <w:sz w:val="20"/>
                <w:szCs w:val="20"/>
              </w:rPr>
              <w:t>2 058 557,84</w:t>
            </w:r>
          </w:p>
        </w:tc>
        <w:tc>
          <w:tcPr>
            <w:tcW w:w="850" w:type="dxa"/>
            <w:tcBorders>
              <w:top w:val="nil"/>
              <w:left w:val="nil"/>
              <w:bottom w:val="single" w:sz="4" w:space="0" w:color="auto"/>
              <w:right w:val="single" w:sz="4" w:space="0" w:color="auto"/>
            </w:tcBorders>
            <w:shd w:val="clear" w:color="auto" w:fill="auto"/>
            <w:noWrap/>
            <w:vAlign w:val="bottom"/>
            <w:hideMark/>
          </w:tcPr>
          <w:p w14:paraId="5EA94C90" w14:textId="77777777" w:rsidR="00387142" w:rsidRPr="008B6A75" w:rsidRDefault="00387142" w:rsidP="00387142">
            <w:pPr>
              <w:rPr>
                <w:color w:val="000000"/>
                <w:sz w:val="20"/>
                <w:szCs w:val="20"/>
              </w:rPr>
            </w:pPr>
            <w:r w:rsidRPr="008B6A75">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14:paraId="1FEB0E0D" w14:textId="77777777" w:rsidR="00387142" w:rsidRPr="008B6A75" w:rsidRDefault="00387142" w:rsidP="00387142">
            <w:pPr>
              <w:jc w:val="right"/>
              <w:rPr>
                <w:color w:val="000000"/>
                <w:sz w:val="20"/>
                <w:szCs w:val="20"/>
              </w:rPr>
            </w:pPr>
            <w:r w:rsidRPr="008B6A75">
              <w:rPr>
                <w:color w:val="000000"/>
                <w:sz w:val="20"/>
                <w:szCs w:val="20"/>
              </w:rPr>
              <w:t>1 746 871,84</w:t>
            </w:r>
          </w:p>
        </w:tc>
        <w:tc>
          <w:tcPr>
            <w:tcW w:w="1134" w:type="dxa"/>
            <w:tcBorders>
              <w:top w:val="nil"/>
              <w:left w:val="nil"/>
              <w:bottom w:val="single" w:sz="4" w:space="0" w:color="auto"/>
              <w:right w:val="single" w:sz="4" w:space="0" w:color="auto"/>
            </w:tcBorders>
            <w:shd w:val="clear" w:color="auto" w:fill="auto"/>
            <w:noWrap/>
            <w:vAlign w:val="bottom"/>
            <w:hideMark/>
          </w:tcPr>
          <w:p w14:paraId="1786C51E" w14:textId="77777777" w:rsidR="00387142" w:rsidRPr="008B6A75" w:rsidRDefault="00387142" w:rsidP="00387142">
            <w:pPr>
              <w:rPr>
                <w:color w:val="000000"/>
                <w:sz w:val="20"/>
                <w:szCs w:val="20"/>
              </w:rPr>
            </w:pPr>
            <w:r w:rsidRPr="008B6A75">
              <w:rPr>
                <w:color w:val="000000"/>
                <w:sz w:val="20"/>
                <w:szCs w:val="20"/>
              </w:rPr>
              <w:t> </w:t>
            </w:r>
          </w:p>
        </w:tc>
        <w:tc>
          <w:tcPr>
            <w:tcW w:w="851" w:type="dxa"/>
            <w:tcBorders>
              <w:top w:val="nil"/>
              <w:left w:val="nil"/>
              <w:bottom w:val="single" w:sz="4" w:space="0" w:color="auto"/>
              <w:right w:val="single" w:sz="4" w:space="0" w:color="auto"/>
            </w:tcBorders>
            <w:shd w:val="clear" w:color="auto" w:fill="auto"/>
            <w:noWrap/>
            <w:vAlign w:val="bottom"/>
            <w:hideMark/>
          </w:tcPr>
          <w:p w14:paraId="2844D2D0" w14:textId="77777777" w:rsidR="00387142" w:rsidRPr="008B6A75" w:rsidRDefault="00387142" w:rsidP="00387142">
            <w:pPr>
              <w:rPr>
                <w:color w:val="000000"/>
                <w:sz w:val="20"/>
                <w:szCs w:val="20"/>
              </w:rPr>
            </w:pPr>
            <w:r w:rsidRPr="008B6A75">
              <w:rPr>
                <w:color w:val="000000"/>
                <w:sz w:val="20"/>
                <w:szCs w:val="20"/>
              </w:rPr>
              <w:t> </w:t>
            </w:r>
          </w:p>
        </w:tc>
        <w:tc>
          <w:tcPr>
            <w:tcW w:w="1215" w:type="dxa"/>
            <w:tcBorders>
              <w:top w:val="nil"/>
              <w:left w:val="nil"/>
              <w:bottom w:val="single" w:sz="4" w:space="0" w:color="auto"/>
              <w:right w:val="single" w:sz="4" w:space="0" w:color="auto"/>
            </w:tcBorders>
            <w:shd w:val="clear" w:color="auto" w:fill="auto"/>
            <w:noWrap/>
            <w:vAlign w:val="bottom"/>
            <w:hideMark/>
          </w:tcPr>
          <w:p w14:paraId="735830E7" w14:textId="77777777" w:rsidR="00387142" w:rsidRPr="008B6A75" w:rsidRDefault="00387142" w:rsidP="00387142">
            <w:pPr>
              <w:rPr>
                <w:color w:val="000000"/>
                <w:sz w:val="20"/>
                <w:szCs w:val="20"/>
              </w:rPr>
            </w:pPr>
            <w:r w:rsidRPr="008B6A75">
              <w:rPr>
                <w:color w:val="000000"/>
                <w:sz w:val="20"/>
                <w:szCs w:val="20"/>
              </w:rPr>
              <w:t> </w:t>
            </w:r>
          </w:p>
        </w:tc>
        <w:tc>
          <w:tcPr>
            <w:tcW w:w="769" w:type="dxa"/>
            <w:tcBorders>
              <w:top w:val="nil"/>
              <w:left w:val="nil"/>
              <w:bottom w:val="single" w:sz="4" w:space="0" w:color="auto"/>
              <w:right w:val="single" w:sz="4" w:space="0" w:color="auto"/>
            </w:tcBorders>
            <w:shd w:val="clear" w:color="auto" w:fill="auto"/>
            <w:noWrap/>
            <w:vAlign w:val="bottom"/>
            <w:hideMark/>
          </w:tcPr>
          <w:p w14:paraId="195908BA" w14:textId="77777777" w:rsidR="00387142" w:rsidRPr="008B6A75" w:rsidRDefault="00387142" w:rsidP="00387142">
            <w:pPr>
              <w:rPr>
                <w:color w:val="000000"/>
                <w:sz w:val="20"/>
                <w:szCs w:val="20"/>
              </w:rPr>
            </w:pPr>
            <w:r w:rsidRPr="008B6A75">
              <w:rPr>
                <w:color w:val="000000"/>
                <w:sz w:val="20"/>
                <w:szCs w:val="20"/>
              </w:rPr>
              <w:t> </w:t>
            </w:r>
          </w:p>
        </w:tc>
        <w:tc>
          <w:tcPr>
            <w:tcW w:w="709" w:type="dxa"/>
            <w:tcBorders>
              <w:top w:val="nil"/>
              <w:left w:val="nil"/>
              <w:bottom w:val="single" w:sz="4" w:space="0" w:color="auto"/>
              <w:right w:val="single" w:sz="4" w:space="0" w:color="auto"/>
            </w:tcBorders>
            <w:shd w:val="clear" w:color="auto" w:fill="auto"/>
            <w:noWrap/>
            <w:vAlign w:val="bottom"/>
            <w:hideMark/>
          </w:tcPr>
          <w:p w14:paraId="07B09653" w14:textId="77777777" w:rsidR="00387142" w:rsidRPr="008B6A75" w:rsidRDefault="00387142" w:rsidP="00387142">
            <w:pPr>
              <w:rPr>
                <w:color w:val="000000"/>
                <w:sz w:val="20"/>
                <w:szCs w:val="20"/>
              </w:rPr>
            </w:pPr>
            <w:r w:rsidRPr="008B6A75">
              <w:rPr>
                <w:color w:val="000000"/>
                <w:sz w:val="20"/>
                <w:szCs w:val="20"/>
              </w:rPr>
              <w:t> </w:t>
            </w:r>
          </w:p>
        </w:tc>
        <w:tc>
          <w:tcPr>
            <w:tcW w:w="850" w:type="dxa"/>
            <w:tcBorders>
              <w:top w:val="nil"/>
              <w:left w:val="nil"/>
              <w:bottom w:val="single" w:sz="4" w:space="0" w:color="auto"/>
              <w:right w:val="single" w:sz="4" w:space="0" w:color="auto"/>
            </w:tcBorders>
            <w:shd w:val="clear" w:color="auto" w:fill="auto"/>
            <w:noWrap/>
            <w:vAlign w:val="bottom"/>
            <w:hideMark/>
          </w:tcPr>
          <w:p w14:paraId="1C839DF6" w14:textId="77777777" w:rsidR="00387142" w:rsidRPr="008B6A75" w:rsidRDefault="00387142" w:rsidP="00387142">
            <w:pPr>
              <w:jc w:val="right"/>
              <w:rPr>
                <w:color w:val="000000"/>
                <w:sz w:val="20"/>
                <w:szCs w:val="20"/>
              </w:rPr>
            </w:pPr>
            <w:r w:rsidRPr="008B6A75">
              <w:rPr>
                <w:color w:val="000000"/>
                <w:sz w:val="20"/>
                <w:szCs w:val="20"/>
              </w:rPr>
              <w:t>7 092,00</w:t>
            </w:r>
          </w:p>
        </w:tc>
        <w:tc>
          <w:tcPr>
            <w:tcW w:w="1701" w:type="dxa"/>
            <w:tcBorders>
              <w:top w:val="nil"/>
              <w:left w:val="nil"/>
              <w:bottom w:val="single" w:sz="4" w:space="0" w:color="auto"/>
              <w:right w:val="single" w:sz="4" w:space="0" w:color="auto"/>
            </w:tcBorders>
            <w:shd w:val="clear" w:color="auto" w:fill="auto"/>
            <w:noWrap/>
            <w:vAlign w:val="bottom"/>
            <w:hideMark/>
          </w:tcPr>
          <w:p w14:paraId="004F9580" w14:textId="77777777" w:rsidR="00387142" w:rsidRPr="008B6A75" w:rsidRDefault="00387142" w:rsidP="00387142">
            <w:pPr>
              <w:rPr>
                <w:color w:val="000000"/>
                <w:sz w:val="20"/>
                <w:szCs w:val="20"/>
              </w:rPr>
            </w:pPr>
            <w:r w:rsidRPr="008B6A75">
              <w:rPr>
                <w:color w:val="000000"/>
                <w:sz w:val="20"/>
                <w:szCs w:val="20"/>
              </w:rPr>
              <w:t> </w:t>
            </w:r>
          </w:p>
        </w:tc>
        <w:tc>
          <w:tcPr>
            <w:tcW w:w="851" w:type="dxa"/>
            <w:tcBorders>
              <w:top w:val="nil"/>
              <w:left w:val="nil"/>
              <w:bottom w:val="single" w:sz="4" w:space="0" w:color="auto"/>
              <w:right w:val="single" w:sz="4" w:space="0" w:color="auto"/>
            </w:tcBorders>
            <w:shd w:val="clear" w:color="auto" w:fill="auto"/>
            <w:noWrap/>
            <w:vAlign w:val="bottom"/>
            <w:hideMark/>
          </w:tcPr>
          <w:p w14:paraId="08270CA5" w14:textId="77777777" w:rsidR="00387142" w:rsidRPr="008B6A75" w:rsidRDefault="00387142" w:rsidP="00387142">
            <w:pPr>
              <w:jc w:val="right"/>
              <w:rPr>
                <w:color w:val="000000"/>
                <w:sz w:val="20"/>
                <w:szCs w:val="20"/>
              </w:rPr>
            </w:pPr>
            <w:r w:rsidRPr="008B6A75">
              <w:rPr>
                <w:color w:val="000000"/>
                <w:sz w:val="20"/>
                <w:szCs w:val="20"/>
              </w:rPr>
              <w:t>250 000,00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14:paraId="5D1CD1CF" w14:textId="77777777" w:rsidR="00387142" w:rsidRPr="008B6A75" w:rsidRDefault="00387142" w:rsidP="00387142">
            <w:pPr>
              <w:rPr>
                <w:color w:val="000000"/>
                <w:sz w:val="20"/>
                <w:szCs w:val="20"/>
              </w:rPr>
            </w:pPr>
            <w:r w:rsidRPr="008B6A75">
              <w:rPr>
                <w:color w:val="000000"/>
                <w:sz w:val="20"/>
                <w:szCs w:val="20"/>
              </w:rPr>
              <w:t> </w:t>
            </w:r>
          </w:p>
        </w:tc>
        <w:tc>
          <w:tcPr>
            <w:tcW w:w="568" w:type="dxa"/>
            <w:gridSpan w:val="2"/>
            <w:tcBorders>
              <w:top w:val="nil"/>
              <w:left w:val="nil"/>
              <w:bottom w:val="single" w:sz="4" w:space="0" w:color="auto"/>
              <w:right w:val="single" w:sz="4" w:space="0" w:color="auto"/>
            </w:tcBorders>
            <w:shd w:val="clear" w:color="auto" w:fill="auto"/>
            <w:noWrap/>
            <w:vAlign w:val="bottom"/>
            <w:hideMark/>
          </w:tcPr>
          <w:p w14:paraId="35A9DF70" w14:textId="77777777" w:rsidR="00387142" w:rsidRPr="008B6A75" w:rsidRDefault="00387142" w:rsidP="00387142">
            <w:pPr>
              <w:rPr>
                <w:color w:val="000000"/>
                <w:sz w:val="20"/>
                <w:szCs w:val="20"/>
              </w:rPr>
            </w:pPr>
            <w:r w:rsidRPr="008B6A75">
              <w:rPr>
                <w:color w:val="000000"/>
                <w:sz w:val="20"/>
                <w:szCs w:val="20"/>
              </w:rPr>
              <w:t> </w:t>
            </w:r>
          </w:p>
        </w:tc>
        <w:tc>
          <w:tcPr>
            <w:tcW w:w="566" w:type="dxa"/>
            <w:gridSpan w:val="2"/>
            <w:tcBorders>
              <w:top w:val="nil"/>
              <w:left w:val="nil"/>
              <w:bottom w:val="single" w:sz="4" w:space="0" w:color="auto"/>
              <w:right w:val="single" w:sz="4" w:space="0" w:color="auto"/>
            </w:tcBorders>
            <w:shd w:val="clear" w:color="auto" w:fill="auto"/>
            <w:noWrap/>
            <w:vAlign w:val="bottom"/>
            <w:hideMark/>
          </w:tcPr>
          <w:p w14:paraId="50ED8FCC" w14:textId="77777777" w:rsidR="00387142" w:rsidRPr="008B6A75" w:rsidRDefault="00387142" w:rsidP="00387142">
            <w:pPr>
              <w:rPr>
                <w:color w:val="000000"/>
                <w:sz w:val="20"/>
                <w:szCs w:val="20"/>
              </w:rPr>
            </w:pPr>
            <w:r w:rsidRPr="008B6A75">
              <w:rPr>
                <w:color w:val="000000"/>
                <w:sz w:val="20"/>
                <w:szCs w:val="20"/>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14:paraId="44B26338" w14:textId="77777777" w:rsidR="00387142" w:rsidRPr="008B6A75" w:rsidRDefault="00387142" w:rsidP="00387142">
            <w:pPr>
              <w:rPr>
                <w:color w:val="000000"/>
                <w:sz w:val="20"/>
                <w:szCs w:val="20"/>
              </w:rPr>
            </w:pPr>
            <w:r w:rsidRPr="008B6A75">
              <w:rPr>
                <w:color w:val="000000"/>
                <w:sz w:val="20"/>
                <w:szCs w:val="20"/>
              </w:rPr>
              <w:t> </w:t>
            </w:r>
          </w:p>
        </w:tc>
        <w:tc>
          <w:tcPr>
            <w:tcW w:w="850" w:type="dxa"/>
            <w:tcBorders>
              <w:top w:val="nil"/>
              <w:left w:val="nil"/>
              <w:bottom w:val="single" w:sz="4" w:space="0" w:color="auto"/>
              <w:right w:val="single" w:sz="4" w:space="0" w:color="auto"/>
            </w:tcBorders>
            <w:shd w:val="clear" w:color="000000" w:fill="FFFFFF"/>
            <w:noWrap/>
            <w:vAlign w:val="bottom"/>
            <w:hideMark/>
          </w:tcPr>
          <w:p w14:paraId="0A953A95" w14:textId="77777777" w:rsidR="00387142" w:rsidRPr="008B6A75" w:rsidRDefault="00387142" w:rsidP="00387142">
            <w:pPr>
              <w:rPr>
                <w:sz w:val="20"/>
                <w:szCs w:val="20"/>
              </w:rPr>
            </w:pPr>
            <w:r w:rsidRPr="008B6A75">
              <w:rPr>
                <w:sz w:val="20"/>
                <w:szCs w:val="20"/>
              </w:rPr>
              <w:t> </w:t>
            </w:r>
          </w:p>
        </w:tc>
        <w:tc>
          <w:tcPr>
            <w:tcW w:w="851" w:type="dxa"/>
            <w:tcBorders>
              <w:top w:val="nil"/>
              <w:left w:val="nil"/>
              <w:bottom w:val="single" w:sz="4" w:space="0" w:color="auto"/>
              <w:right w:val="single" w:sz="4" w:space="0" w:color="auto"/>
            </w:tcBorders>
            <w:shd w:val="clear" w:color="000000" w:fill="FFFFFF"/>
            <w:noWrap/>
            <w:vAlign w:val="bottom"/>
            <w:hideMark/>
          </w:tcPr>
          <w:p w14:paraId="19F51470" w14:textId="77777777" w:rsidR="00387142" w:rsidRPr="008B6A75" w:rsidRDefault="00387142" w:rsidP="00387142">
            <w:pPr>
              <w:jc w:val="right"/>
              <w:rPr>
                <w:sz w:val="20"/>
                <w:szCs w:val="20"/>
              </w:rPr>
            </w:pPr>
            <w:r w:rsidRPr="008B6A75">
              <w:rPr>
                <w:sz w:val="20"/>
                <w:szCs w:val="20"/>
              </w:rPr>
              <w:t>54 594,00</w:t>
            </w:r>
          </w:p>
        </w:tc>
        <w:tc>
          <w:tcPr>
            <w:tcW w:w="553" w:type="dxa"/>
            <w:gridSpan w:val="2"/>
            <w:vAlign w:val="center"/>
            <w:hideMark/>
          </w:tcPr>
          <w:p w14:paraId="6A1DC9E7" w14:textId="77777777" w:rsidR="00387142" w:rsidRPr="008B6A75" w:rsidRDefault="00387142" w:rsidP="00387142">
            <w:pPr>
              <w:rPr>
                <w:sz w:val="20"/>
                <w:szCs w:val="20"/>
              </w:rPr>
            </w:pPr>
          </w:p>
        </w:tc>
      </w:tr>
      <w:tr w:rsidR="00387142" w:rsidRPr="008B6A75" w14:paraId="2E77169B" w14:textId="77777777" w:rsidTr="00387142">
        <w:trPr>
          <w:trHeight w:val="300"/>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14:paraId="4F2735A3" w14:textId="77777777" w:rsidR="00387142" w:rsidRPr="008B6A75" w:rsidRDefault="00387142" w:rsidP="00387142">
            <w:pPr>
              <w:jc w:val="right"/>
              <w:rPr>
                <w:color w:val="000000"/>
                <w:sz w:val="20"/>
                <w:szCs w:val="20"/>
              </w:rPr>
            </w:pPr>
            <w:r w:rsidRPr="008B6A75">
              <w:rPr>
                <w:color w:val="000000"/>
                <w:sz w:val="20"/>
                <w:szCs w:val="20"/>
              </w:rPr>
              <w:t>16</w:t>
            </w:r>
          </w:p>
        </w:tc>
        <w:tc>
          <w:tcPr>
            <w:tcW w:w="426" w:type="dxa"/>
            <w:tcBorders>
              <w:top w:val="nil"/>
              <w:left w:val="nil"/>
              <w:bottom w:val="single" w:sz="4" w:space="0" w:color="auto"/>
              <w:right w:val="single" w:sz="4" w:space="0" w:color="auto"/>
            </w:tcBorders>
            <w:shd w:val="clear" w:color="auto" w:fill="auto"/>
            <w:noWrap/>
            <w:vAlign w:val="bottom"/>
            <w:hideMark/>
          </w:tcPr>
          <w:p w14:paraId="2E4186C8" w14:textId="77777777" w:rsidR="00387142" w:rsidRPr="008B6A75" w:rsidRDefault="00387142" w:rsidP="00387142">
            <w:pPr>
              <w:rPr>
                <w:color w:val="000000"/>
                <w:sz w:val="20"/>
                <w:szCs w:val="20"/>
              </w:rPr>
            </w:pPr>
            <w:proofErr w:type="spellStart"/>
            <w:r w:rsidRPr="008B6A75">
              <w:rPr>
                <w:color w:val="000000"/>
                <w:sz w:val="20"/>
                <w:szCs w:val="20"/>
              </w:rPr>
              <w:t>Сергинский</w:t>
            </w:r>
            <w:proofErr w:type="spellEnd"/>
          </w:p>
        </w:tc>
        <w:tc>
          <w:tcPr>
            <w:tcW w:w="567" w:type="dxa"/>
            <w:tcBorders>
              <w:top w:val="nil"/>
              <w:left w:val="nil"/>
              <w:bottom w:val="single" w:sz="4" w:space="0" w:color="auto"/>
              <w:right w:val="single" w:sz="4" w:space="0" w:color="auto"/>
            </w:tcBorders>
            <w:shd w:val="clear" w:color="auto" w:fill="auto"/>
            <w:noWrap/>
            <w:vAlign w:val="bottom"/>
            <w:hideMark/>
          </w:tcPr>
          <w:p w14:paraId="22DC74F5" w14:textId="77777777" w:rsidR="00387142" w:rsidRPr="008B6A75" w:rsidRDefault="00387142" w:rsidP="00387142">
            <w:pPr>
              <w:jc w:val="right"/>
              <w:rPr>
                <w:bCs/>
                <w:color w:val="000000"/>
                <w:sz w:val="20"/>
                <w:szCs w:val="20"/>
              </w:rPr>
            </w:pPr>
            <w:r w:rsidRPr="008B6A75">
              <w:rPr>
                <w:bCs/>
                <w:color w:val="000000"/>
                <w:sz w:val="20"/>
                <w:szCs w:val="20"/>
              </w:rPr>
              <w:t>36 146,00</w:t>
            </w:r>
          </w:p>
        </w:tc>
        <w:tc>
          <w:tcPr>
            <w:tcW w:w="850" w:type="dxa"/>
            <w:tcBorders>
              <w:top w:val="nil"/>
              <w:left w:val="nil"/>
              <w:bottom w:val="single" w:sz="4" w:space="0" w:color="auto"/>
              <w:right w:val="single" w:sz="4" w:space="0" w:color="auto"/>
            </w:tcBorders>
            <w:shd w:val="clear" w:color="auto" w:fill="auto"/>
            <w:noWrap/>
            <w:vAlign w:val="bottom"/>
            <w:hideMark/>
          </w:tcPr>
          <w:p w14:paraId="7E7FADB9" w14:textId="77777777" w:rsidR="00387142" w:rsidRPr="008B6A75" w:rsidRDefault="00387142" w:rsidP="00387142">
            <w:pPr>
              <w:rPr>
                <w:color w:val="000000"/>
                <w:sz w:val="20"/>
                <w:szCs w:val="20"/>
              </w:rPr>
            </w:pPr>
            <w:r w:rsidRPr="008B6A75">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14:paraId="0338806E" w14:textId="77777777" w:rsidR="00387142" w:rsidRPr="008B6A75" w:rsidRDefault="00387142" w:rsidP="00387142">
            <w:pPr>
              <w:rPr>
                <w:color w:val="000000"/>
                <w:sz w:val="20"/>
                <w:szCs w:val="20"/>
              </w:rPr>
            </w:pPr>
            <w:r w:rsidRPr="008B6A75">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14:paraId="29A3B6EE" w14:textId="77777777" w:rsidR="00387142" w:rsidRPr="008B6A75" w:rsidRDefault="00387142" w:rsidP="00387142">
            <w:pPr>
              <w:rPr>
                <w:color w:val="000000"/>
                <w:sz w:val="20"/>
                <w:szCs w:val="20"/>
              </w:rPr>
            </w:pPr>
            <w:r w:rsidRPr="008B6A75">
              <w:rPr>
                <w:color w:val="000000"/>
                <w:sz w:val="20"/>
                <w:szCs w:val="20"/>
              </w:rPr>
              <w:t> </w:t>
            </w:r>
          </w:p>
        </w:tc>
        <w:tc>
          <w:tcPr>
            <w:tcW w:w="851" w:type="dxa"/>
            <w:tcBorders>
              <w:top w:val="nil"/>
              <w:left w:val="nil"/>
              <w:bottom w:val="single" w:sz="4" w:space="0" w:color="auto"/>
              <w:right w:val="single" w:sz="4" w:space="0" w:color="auto"/>
            </w:tcBorders>
            <w:shd w:val="clear" w:color="auto" w:fill="auto"/>
            <w:noWrap/>
            <w:vAlign w:val="bottom"/>
            <w:hideMark/>
          </w:tcPr>
          <w:p w14:paraId="08ADA06F" w14:textId="77777777" w:rsidR="00387142" w:rsidRPr="008B6A75" w:rsidRDefault="00387142" w:rsidP="00387142">
            <w:pPr>
              <w:rPr>
                <w:color w:val="000000"/>
                <w:sz w:val="20"/>
                <w:szCs w:val="20"/>
              </w:rPr>
            </w:pPr>
            <w:r w:rsidRPr="008B6A75">
              <w:rPr>
                <w:color w:val="000000"/>
                <w:sz w:val="20"/>
                <w:szCs w:val="20"/>
              </w:rPr>
              <w:t> </w:t>
            </w:r>
          </w:p>
        </w:tc>
        <w:tc>
          <w:tcPr>
            <w:tcW w:w="1215" w:type="dxa"/>
            <w:tcBorders>
              <w:top w:val="nil"/>
              <w:left w:val="nil"/>
              <w:bottom w:val="single" w:sz="4" w:space="0" w:color="auto"/>
              <w:right w:val="single" w:sz="4" w:space="0" w:color="auto"/>
            </w:tcBorders>
            <w:shd w:val="clear" w:color="auto" w:fill="auto"/>
            <w:noWrap/>
            <w:vAlign w:val="bottom"/>
            <w:hideMark/>
          </w:tcPr>
          <w:p w14:paraId="07F06FE2" w14:textId="77777777" w:rsidR="00387142" w:rsidRPr="008B6A75" w:rsidRDefault="00387142" w:rsidP="00387142">
            <w:pPr>
              <w:rPr>
                <w:color w:val="000000"/>
                <w:sz w:val="20"/>
                <w:szCs w:val="20"/>
              </w:rPr>
            </w:pPr>
            <w:r w:rsidRPr="008B6A75">
              <w:rPr>
                <w:color w:val="000000"/>
                <w:sz w:val="20"/>
                <w:szCs w:val="20"/>
              </w:rPr>
              <w:t> </w:t>
            </w:r>
          </w:p>
        </w:tc>
        <w:tc>
          <w:tcPr>
            <w:tcW w:w="769" w:type="dxa"/>
            <w:tcBorders>
              <w:top w:val="nil"/>
              <w:left w:val="nil"/>
              <w:bottom w:val="single" w:sz="4" w:space="0" w:color="auto"/>
              <w:right w:val="single" w:sz="4" w:space="0" w:color="auto"/>
            </w:tcBorders>
            <w:shd w:val="clear" w:color="auto" w:fill="auto"/>
            <w:noWrap/>
            <w:vAlign w:val="bottom"/>
            <w:hideMark/>
          </w:tcPr>
          <w:p w14:paraId="2E00F55D" w14:textId="77777777" w:rsidR="00387142" w:rsidRPr="008B6A75" w:rsidRDefault="00387142" w:rsidP="00387142">
            <w:pPr>
              <w:rPr>
                <w:color w:val="000000"/>
                <w:sz w:val="20"/>
                <w:szCs w:val="20"/>
              </w:rPr>
            </w:pPr>
            <w:r w:rsidRPr="008B6A75">
              <w:rPr>
                <w:color w:val="000000"/>
                <w:sz w:val="20"/>
                <w:szCs w:val="20"/>
              </w:rPr>
              <w:t> </w:t>
            </w:r>
          </w:p>
        </w:tc>
        <w:tc>
          <w:tcPr>
            <w:tcW w:w="709" w:type="dxa"/>
            <w:tcBorders>
              <w:top w:val="nil"/>
              <w:left w:val="nil"/>
              <w:bottom w:val="single" w:sz="4" w:space="0" w:color="auto"/>
              <w:right w:val="single" w:sz="4" w:space="0" w:color="auto"/>
            </w:tcBorders>
            <w:shd w:val="clear" w:color="auto" w:fill="auto"/>
            <w:noWrap/>
            <w:vAlign w:val="bottom"/>
            <w:hideMark/>
          </w:tcPr>
          <w:p w14:paraId="75D1B677" w14:textId="77777777" w:rsidR="00387142" w:rsidRPr="008B6A75" w:rsidRDefault="00387142" w:rsidP="00387142">
            <w:pPr>
              <w:rPr>
                <w:color w:val="000000"/>
                <w:sz w:val="20"/>
                <w:szCs w:val="20"/>
              </w:rPr>
            </w:pPr>
            <w:r w:rsidRPr="008B6A75">
              <w:rPr>
                <w:color w:val="000000"/>
                <w:sz w:val="20"/>
                <w:szCs w:val="20"/>
              </w:rPr>
              <w:t> </w:t>
            </w:r>
          </w:p>
        </w:tc>
        <w:tc>
          <w:tcPr>
            <w:tcW w:w="850" w:type="dxa"/>
            <w:tcBorders>
              <w:top w:val="nil"/>
              <w:left w:val="nil"/>
              <w:bottom w:val="single" w:sz="4" w:space="0" w:color="auto"/>
              <w:right w:val="single" w:sz="4" w:space="0" w:color="auto"/>
            </w:tcBorders>
            <w:shd w:val="clear" w:color="auto" w:fill="auto"/>
            <w:noWrap/>
            <w:vAlign w:val="bottom"/>
            <w:hideMark/>
          </w:tcPr>
          <w:p w14:paraId="0951F097" w14:textId="77777777" w:rsidR="00387142" w:rsidRPr="008B6A75" w:rsidRDefault="00387142" w:rsidP="00387142">
            <w:pPr>
              <w:jc w:val="right"/>
              <w:rPr>
                <w:color w:val="000000"/>
                <w:sz w:val="20"/>
                <w:szCs w:val="20"/>
              </w:rPr>
            </w:pPr>
            <w:r w:rsidRPr="008B6A75">
              <w:rPr>
                <w:color w:val="000000"/>
                <w:sz w:val="20"/>
                <w:szCs w:val="20"/>
              </w:rPr>
              <w:t>3 546,00</w:t>
            </w:r>
          </w:p>
        </w:tc>
        <w:tc>
          <w:tcPr>
            <w:tcW w:w="1701" w:type="dxa"/>
            <w:tcBorders>
              <w:top w:val="nil"/>
              <w:left w:val="nil"/>
              <w:bottom w:val="single" w:sz="4" w:space="0" w:color="auto"/>
              <w:right w:val="single" w:sz="4" w:space="0" w:color="auto"/>
            </w:tcBorders>
            <w:shd w:val="clear" w:color="auto" w:fill="auto"/>
            <w:noWrap/>
            <w:vAlign w:val="bottom"/>
            <w:hideMark/>
          </w:tcPr>
          <w:p w14:paraId="27877FFD" w14:textId="77777777" w:rsidR="00387142" w:rsidRPr="008B6A75" w:rsidRDefault="00387142" w:rsidP="00387142">
            <w:pPr>
              <w:rPr>
                <w:color w:val="000000"/>
                <w:sz w:val="20"/>
                <w:szCs w:val="20"/>
              </w:rPr>
            </w:pPr>
            <w:r w:rsidRPr="008B6A75">
              <w:rPr>
                <w:color w:val="000000"/>
                <w:sz w:val="20"/>
                <w:szCs w:val="20"/>
              </w:rPr>
              <w:t> </w:t>
            </w:r>
          </w:p>
        </w:tc>
        <w:tc>
          <w:tcPr>
            <w:tcW w:w="851" w:type="dxa"/>
            <w:tcBorders>
              <w:top w:val="nil"/>
              <w:left w:val="nil"/>
              <w:bottom w:val="single" w:sz="4" w:space="0" w:color="auto"/>
              <w:right w:val="single" w:sz="4" w:space="0" w:color="auto"/>
            </w:tcBorders>
            <w:shd w:val="clear" w:color="auto" w:fill="auto"/>
            <w:noWrap/>
            <w:vAlign w:val="bottom"/>
            <w:hideMark/>
          </w:tcPr>
          <w:p w14:paraId="1445CA0E" w14:textId="77777777" w:rsidR="00387142" w:rsidRPr="008B6A75" w:rsidRDefault="00387142" w:rsidP="00387142">
            <w:pPr>
              <w:rPr>
                <w:color w:val="000000"/>
                <w:sz w:val="20"/>
                <w:szCs w:val="20"/>
              </w:rPr>
            </w:pPr>
            <w:r w:rsidRPr="008B6A75">
              <w:rPr>
                <w:color w:val="000000"/>
                <w:sz w:val="20"/>
                <w:szCs w:val="20"/>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14:paraId="546536F4" w14:textId="77777777" w:rsidR="00387142" w:rsidRPr="008B6A75" w:rsidRDefault="00387142" w:rsidP="00387142">
            <w:pPr>
              <w:rPr>
                <w:color w:val="000000"/>
                <w:sz w:val="20"/>
                <w:szCs w:val="20"/>
              </w:rPr>
            </w:pPr>
            <w:r w:rsidRPr="008B6A75">
              <w:rPr>
                <w:color w:val="000000"/>
                <w:sz w:val="20"/>
                <w:szCs w:val="20"/>
              </w:rPr>
              <w:t> </w:t>
            </w:r>
          </w:p>
        </w:tc>
        <w:tc>
          <w:tcPr>
            <w:tcW w:w="568" w:type="dxa"/>
            <w:gridSpan w:val="2"/>
            <w:tcBorders>
              <w:top w:val="nil"/>
              <w:left w:val="nil"/>
              <w:bottom w:val="single" w:sz="4" w:space="0" w:color="auto"/>
              <w:right w:val="single" w:sz="4" w:space="0" w:color="auto"/>
            </w:tcBorders>
            <w:shd w:val="clear" w:color="auto" w:fill="auto"/>
            <w:noWrap/>
            <w:vAlign w:val="bottom"/>
            <w:hideMark/>
          </w:tcPr>
          <w:p w14:paraId="49FA0D80" w14:textId="77777777" w:rsidR="00387142" w:rsidRPr="008B6A75" w:rsidRDefault="00387142" w:rsidP="00387142">
            <w:pPr>
              <w:rPr>
                <w:color w:val="000000"/>
                <w:sz w:val="20"/>
                <w:szCs w:val="20"/>
              </w:rPr>
            </w:pPr>
            <w:r w:rsidRPr="008B6A75">
              <w:rPr>
                <w:color w:val="000000"/>
                <w:sz w:val="20"/>
                <w:szCs w:val="20"/>
              </w:rPr>
              <w:t> </w:t>
            </w:r>
          </w:p>
        </w:tc>
        <w:tc>
          <w:tcPr>
            <w:tcW w:w="566" w:type="dxa"/>
            <w:gridSpan w:val="2"/>
            <w:tcBorders>
              <w:top w:val="nil"/>
              <w:left w:val="nil"/>
              <w:bottom w:val="single" w:sz="4" w:space="0" w:color="auto"/>
              <w:right w:val="single" w:sz="4" w:space="0" w:color="auto"/>
            </w:tcBorders>
            <w:shd w:val="clear" w:color="auto" w:fill="auto"/>
            <w:noWrap/>
            <w:vAlign w:val="bottom"/>
            <w:hideMark/>
          </w:tcPr>
          <w:p w14:paraId="18E4BFB1" w14:textId="77777777" w:rsidR="00387142" w:rsidRPr="008B6A75" w:rsidRDefault="00387142" w:rsidP="00387142">
            <w:pPr>
              <w:rPr>
                <w:color w:val="000000"/>
                <w:sz w:val="20"/>
                <w:szCs w:val="20"/>
              </w:rPr>
            </w:pPr>
            <w:r w:rsidRPr="008B6A75">
              <w:rPr>
                <w:color w:val="000000"/>
                <w:sz w:val="20"/>
                <w:szCs w:val="20"/>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14:paraId="1A9ABB20" w14:textId="77777777" w:rsidR="00387142" w:rsidRPr="008B6A75" w:rsidRDefault="00387142" w:rsidP="00387142">
            <w:pPr>
              <w:rPr>
                <w:color w:val="000000"/>
                <w:sz w:val="20"/>
                <w:szCs w:val="20"/>
              </w:rPr>
            </w:pPr>
            <w:r w:rsidRPr="008B6A75">
              <w:rPr>
                <w:color w:val="000000"/>
                <w:sz w:val="20"/>
                <w:szCs w:val="20"/>
              </w:rPr>
              <w:t> </w:t>
            </w:r>
          </w:p>
        </w:tc>
        <w:tc>
          <w:tcPr>
            <w:tcW w:w="850" w:type="dxa"/>
            <w:tcBorders>
              <w:top w:val="nil"/>
              <w:left w:val="nil"/>
              <w:bottom w:val="single" w:sz="4" w:space="0" w:color="auto"/>
              <w:right w:val="single" w:sz="4" w:space="0" w:color="auto"/>
            </w:tcBorders>
            <w:shd w:val="clear" w:color="000000" w:fill="FFFFFF"/>
            <w:noWrap/>
            <w:vAlign w:val="bottom"/>
            <w:hideMark/>
          </w:tcPr>
          <w:p w14:paraId="3D097B97" w14:textId="77777777" w:rsidR="00387142" w:rsidRPr="008B6A75" w:rsidRDefault="00387142" w:rsidP="00387142">
            <w:pPr>
              <w:rPr>
                <w:sz w:val="20"/>
                <w:szCs w:val="20"/>
              </w:rPr>
            </w:pPr>
            <w:r w:rsidRPr="008B6A75">
              <w:rPr>
                <w:sz w:val="20"/>
                <w:szCs w:val="20"/>
              </w:rPr>
              <w:t> </w:t>
            </w:r>
          </w:p>
        </w:tc>
        <w:tc>
          <w:tcPr>
            <w:tcW w:w="851" w:type="dxa"/>
            <w:tcBorders>
              <w:top w:val="nil"/>
              <w:left w:val="nil"/>
              <w:bottom w:val="single" w:sz="4" w:space="0" w:color="auto"/>
              <w:right w:val="single" w:sz="4" w:space="0" w:color="auto"/>
            </w:tcBorders>
            <w:shd w:val="clear" w:color="000000" w:fill="FFFFFF"/>
            <w:noWrap/>
            <w:vAlign w:val="bottom"/>
            <w:hideMark/>
          </w:tcPr>
          <w:p w14:paraId="2FD715D7" w14:textId="77777777" w:rsidR="00387142" w:rsidRPr="008B6A75" w:rsidRDefault="00387142" w:rsidP="00387142">
            <w:pPr>
              <w:jc w:val="right"/>
              <w:rPr>
                <w:sz w:val="20"/>
                <w:szCs w:val="20"/>
              </w:rPr>
            </w:pPr>
            <w:r w:rsidRPr="008B6A75">
              <w:rPr>
                <w:sz w:val="20"/>
                <w:szCs w:val="20"/>
              </w:rPr>
              <w:t>32 600,00</w:t>
            </w:r>
          </w:p>
        </w:tc>
        <w:tc>
          <w:tcPr>
            <w:tcW w:w="553" w:type="dxa"/>
            <w:gridSpan w:val="2"/>
            <w:vAlign w:val="center"/>
            <w:hideMark/>
          </w:tcPr>
          <w:p w14:paraId="696DA59B" w14:textId="77777777" w:rsidR="00387142" w:rsidRPr="008B6A75" w:rsidRDefault="00387142" w:rsidP="00387142">
            <w:pPr>
              <w:rPr>
                <w:sz w:val="20"/>
                <w:szCs w:val="20"/>
              </w:rPr>
            </w:pPr>
          </w:p>
        </w:tc>
      </w:tr>
      <w:tr w:rsidR="00387142" w:rsidRPr="008B6A75" w14:paraId="449AE993" w14:textId="77777777" w:rsidTr="00387142">
        <w:trPr>
          <w:trHeight w:val="300"/>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14:paraId="29AB1658" w14:textId="77777777" w:rsidR="00387142" w:rsidRPr="008B6A75" w:rsidRDefault="00387142" w:rsidP="00387142">
            <w:pPr>
              <w:jc w:val="right"/>
              <w:rPr>
                <w:color w:val="000000"/>
                <w:sz w:val="20"/>
                <w:szCs w:val="20"/>
              </w:rPr>
            </w:pPr>
            <w:r w:rsidRPr="008B6A75">
              <w:rPr>
                <w:color w:val="000000"/>
                <w:sz w:val="20"/>
                <w:szCs w:val="20"/>
              </w:rPr>
              <w:t>17</w:t>
            </w:r>
          </w:p>
        </w:tc>
        <w:tc>
          <w:tcPr>
            <w:tcW w:w="426" w:type="dxa"/>
            <w:tcBorders>
              <w:top w:val="nil"/>
              <w:left w:val="nil"/>
              <w:bottom w:val="single" w:sz="4" w:space="0" w:color="auto"/>
              <w:right w:val="single" w:sz="4" w:space="0" w:color="auto"/>
            </w:tcBorders>
            <w:shd w:val="clear" w:color="auto" w:fill="auto"/>
            <w:noWrap/>
            <w:vAlign w:val="bottom"/>
            <w:hideMark/>
          </w:tcPr>
          <w:p w14:paraId="2385063D" w14:textId="77777777" w:rsidR="00387142" w:rsidRPr="008B6A75" w:rsidRDefault="00387142" w:rsidP="00387142">
            <w:pPr>
              <w:rPr>
                <w:color w:val="000000"/>
                <w:sz w:val="20"/>
                <w:szCs w:val="20"/>
              </w:rPr>
            </w:pPr>
            <w:proofErr w:type="spellStart"/>
            <w:r w:rsidRPr="008B6A75">
              <w:rPr>
                <w:color w:val="000000"/>
                <w:sz w:val="20"/>
                <w:szCs w:val="20"/>
              </w:rPr>
              <w:t>Чум</w:t>
            </w:r>
            <w:r w:rsidRPr="008B6A75">
              <w:rPr>
                <w:color w:val="000000"/>
                <w:sz w:val="20"/>
                <w:szCs w:val="20"/>
              </w:rPr>
              <w:lastRenderedPageBreak/>
              <w:t>аковский</w:t>
            </w:r>
            <w:proofErr w:type="spellEnd"/>
          </w:p>
        </w:tc>
        <w:tc>
          <w:tcPr>
            <w:tcW w:w="567" w:type="dxa"/>
            <w:tcBorders>
              <w:top w:val="nil"/>
              <w:left w:val="nil"/>
              <w:bottom w:val="single" w:sz="4" w:space="0" w:color="auto"/>
              <w:right w:val="single" w:sz="4" w:space="0" w:color="auto"/>
            </w:tcBorders>
            <w:shd w:val="clear" w:color="auto" w:fill="auto"/>
            <w:noWrap/>
            <w:vAlign w:val="bottom"/>
            <w:hideMark/>
          </w:tcPr>
          <w:p w14:paraId="414D0496" w14:textId="77777777" w:rsidR="00387142" w:rsidRPr="008B6A75" w:rsidRDefault="00387142" w:rsidP="00387142">
            <w:pPr>
              <w:jc w:val="right"/>
              <w:rPr>
                <w:bCs/>
                <w:color w:val="000000"/>
                <w:sz w:val="20"/>
                <w:szCs w:val="20"/>
              </w:rPr>
            </w:pPr>
            <w:r w:rsidRPr="008B6A75">
              <w:rPr>
                <w:bCs/>
                <w:color w:val="000000"/>
                <w:sz w:val="20"/>
                <w:szCs w:val="20"/>
              </w:rPr>
              <w:lastRenderedPageBreak/>
              <w:t>536 289,08</w:t>
            </w:r>
          </w:p>
        </w:tc>
        <w:tc>
          <w:tcPr>
            <w:tcW w:w="850" w:type="dxa"/>
            <w:tcBorders>
              <w:top w:val="nil"/>
              <w:left w:val="nil"/>
              <w:bottom w:val="single" w:sz="4" w:space="0" w:color="auto"/>
              <w:right w:val="single" w:sz="4" w:space="0" w:color="auto"/>
            </w:tcBorders>
            <w:shd w:val="clear" w:color="auto" w:fill="auto"/>
            <w:noWrap/>
            <w:vAlign w:val="bottom"/>
            <w:hideMark/>
          </w:tcPr>
          <w:p w14:paraId="42B5D1B3" w14:textId="77777777" w:rsidR="00387142" w:rsidRPr="008B6A75" w:rsidRDefault="00387142" w:rsidP="00387142">
            <w:pPr>
              <w:rPr>
                <w:color w:val="000000"/>
                <w:sz w:val="20"/>
                <w:szCs w:val="20"/>
              </w:rPr>
            </w:pPr>
            <w:r w:rsidRPr="008B6A75">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14:paraId="543A8662" w14:textId="77777777" w:rsidR="00387142" w:rsidRPr="008B6A75" w:rsidRDefault="00387142" w:rsidP="00387142">
            <w:pPr>
              <w:rPr>
                <w:color w:val="000000"/>
                <w:sz w:val="20"/>
                <w:szCs w:val="20"/>
              </w:rPr>
            </w:pPr>
            <w:r w:rsidRPr="008B6A75">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14:paraId="64424CF1" w14:textId="77777777" w:rsidR="00387142" w:rsidRPr="008B6A75" w:rsidRDefault="00387142" w:rsidP="00387142">
            <w:pPr>
              <w:rPr>
                <w:color w:val="000000"/>
                <w:sz w:val="20"/>
                <w:szCs w:val="20"/>
              </w:rPr>
            </w:pPr>
            <w:r w:rsidRPr="008B6A75">
              <w:rPr>
                <w:color w:val="000000"/>
                <w:sz w:val="20"/>
                <w:szCs w:val="20"/>
              </w:rPr>
              <w:t> </w:t>
            </w:r>
          </w:p>
        </w:tc>
        <w:tc>
          <w:tcPr>
            <w:tcW w:w="851" w:type="dxa"/>
            <w:tcBorders>
              <w:top w:val="nil"/>
              <w:left w:val="nil"/>
              <w:bottom w:val="single" w:sz="4" w:space="0" w:color="auto"/>
              <w:right w:val="single" w:sz="4" w:space="0" w:color="auto"/>
            </w:tcBorders>
            <w:shd w:val="clear" w:color="auto" w:fill="auto"/>
            <w:noWrap/>
            <w:vAlign w:val="bottom"/>
            <w:hideMark/>
          </w:tcPr>
          <w:p w14:paraId="5E8EB69B" w14:textId="77777777" w:rsidR="00387142" w:rsidRPr="008B6A75" w:rsidRDefault="00387142" w:rsidP="00387142">
            <w:pPr>
              <w:rPr>
                <w:color w:val="000000"/>
                <w:sz w:val="20"/>
                <w:szCs w:val="20"/>
              </w:rPr>
            </w:pPr>
            <w:r w:rsidRPr="008B6A75">
              <w:rPr>
                <w:color w:val="000000"/>
                <w:sz w:val="20"/>
                <w:szCs w:val="20"/>
              </w:rPr>
              <w:t> </w:t>
            </w:r>
          </w:p>
        </w:tc>
        <w:tc>
          <w:tcPr>
            <w:tcW w:w="1215" w:type="dxa"/>
            <w:tcBorders>
              <w:top w:val="nil"/>
              <w:left w:val="nil"/>
              <w:bottom w:val="single" w:sz="4" w:space="0" w:color="auto"/>
              <w:right w:val="single" w:sz="4" w:space="0" w:color="auto"/>
            </w:tcBorders>
            <w:shd w:val="clear" w:color="auto" w:fill="auto"/>
            <w:noWrap/>
            <w:vAlign w:val="bottom"/>
            <w:hideMark/>
          </w:tcPr>
          <w:p w14:paraId="24003838" w14:textId="77777777" w:rsidR="00387142" w:rsidRPr="008B6A75" w:rsidRDefault="00387142" w:rsidP="00387142">
            <w:pPr>
              <w:rPr>
                <w:color w:val="000000"/>
                <w:sz w:val="20"/>
                <w:szCs w:val="20"/>
              </w:rPr>
            </w:pPr>
            <w:r w:rsidRPr="008B6A75">
              <w:rPr>
                <w:color w:val="000000"/>
                <w:sz w:val="20"/>
                <w:szCs w:val="20"/>
              </w:rPr>
              <w:t> </w:t>
            </w:r>
          </w:p>
        </w:tc>
        <w:tc>
          <w:tcPr>
            <w:tcW w:w="769" w:type="dxa"/>
            <w:tcBorders>
              <w:top w:val="nil"/>
              <w:left w:val="nil"/>
              <w:bottom w:val="single" w:sz="4" w:space="0" w:color="auto"/>
              <w:right w:val="single" w:sz="4" w:space="0" w:color="auto"/>
            </w:tcBorders>
            <w:shd w:val="clear" w:color="auto" w:fill="auto"/>
            <w:noWrap/>
            <w:vAlign w:val="bottom"/>
            <w:hideMark/>
          </w:tcPr>
          <w:p w14:paraId="37798301" w14:textId="77777777" w:rsidR="00387142" w:rsidRPr="008B6A75" w:rsidRDefault="00387142" w:rsidP="00387142">
            <w:pPr>
              <w:rPr>
                <w:color w:val="000000"/>
                <w:sz w:val="20"/>
                <w:szCs w:val="20"/>
              </w:rPr>
            </w:pPr>
            <w:r w:rsidRPr="008B6A75">
              <w:rPr>
                <w:color w:val="000000"/>
                <w:sz w:val="20"/>
                <w:szCs w:val="20"/>
              </w:rPr>
              <w:t> </w:t>
            </w:r>
          </w:p>
        </w:tc>
        <w:tc>
          <w:tcPr>
            <w:tcW w:w="709" w:type="dxa"/>
            <w:tcBorders>
              <w:top w:val="nil"/>
              <w:left w:val="nil"/>
              <w:bottom w:val="single" w:sz="4" w:space="0" w:color="auto"/>
              <w:right w:val="single" w:sz="4" w:space="0" w:color="auto"/>
            </w:tcBorders>
            <w:shd w:val="clear" w:color="auto" w:fill="auto"/>
            <w:noWrap/>
            <w:vAlign w:val="bottom"/>
            <w:hideMark/>
          </w:tcPr>
          <w:p w14:paraId="4BA37BDA" w14:textId="77777777" w:rsidR="00387142" w:rsidRPr="008B6A75" w:rsidRDefault="00387142" w:rsidP="00387142">
            <w:pPr>
              <w:rPr>
                <w:color w:val="000000"/>
                <w:sz w:val="20"/>
                <w:szCs w:val="20"/>
              </w:rPr>
            </w:pPr>
            <w:r w:rsidRPr="008B6A75">
              <w:rPr>
                <w:color w:val="000000"/>
                <w:sz w:val="20"/>
                <w:szCs w:val="20"/>
              </w:rPr>
              <w:t> </w:t>
            </w:r>
          </w:p>
        </w:tc>
        <w:tc>
          <w:tcPr>
            <w:tcW w:w="850" w:type="dxa"/>
            <w:tcBorders>
              <w:top w:val="nil"/>
              <w:left w:val="nil"/>
              <w:bottom w:val="single" w:sz="4" w:space="0" w:color="auto"/>
              <w:right w:val="single" w:sz="4" w:space="0" w:color="auto"/>
            </w:tcBorders>
            <w:shd w:val="clear" w:color="auto" w:fill="auto"/>
            <w:noWrap/>
            <w:vAlign w:val="bottom"/>
            <w:hideMark/>
          </w:tcPr>
          <w:p w14:paraId="59D346C4" w14:textId="77777777" w:rsidR="00387142" w:rsidRPr="008B6A75" w:rsidRDefault="00387142" w:rsidP="00387142">
            <w:pPr>
              <w:jc w:val="right"/>
              <w:rPr>
                <w:color w:val="000000"/>
                <w:sz w:val="20"/>
                <w:szCs w:val="20"/>
              </w:rPr>
            </w:pPr>
            <w:r w:rsidRPr="008B6A75">
              <w:rPr>
                <w:color w:val="000000"/>
                <w:sz w:val="20"/>
                <w:szCs w:val="20"/>
              </w:rPr>
              <w:t>8 865,00</w:t>
            </w:r>
          </w:p>
        </w:tc>
        <w:tc>
          <w:tcPr>
            <w:tcW w:w="1701" w:type="dxa"/>
            <w:tcBorders>
              <w:top w:val="nil"/>
              <w:left w:val="nil"/>
              <w:bottom w:val="single" w:sz="4" w:space="0" w:color="auto"/>
              <w:right w:val="single" w:sz="4" w:space="0" w:color="auto"/>
            </w:tcBorders>
            <w:shd w:val="clear" w:color="auto" w:fill="auto"/>
            <w:noWrap/>
            <w:vAlign w:val="bottom"/>
            <w:hideMark/>
          </w:tcPr>
          <w:p w14:paraId="194EAE9D" w14:textId="77777777" w:rsidR="00387142" w:rsidRPr="008B6A75" w:rsidRDefault="00387142" w:rsidP="00387142">
            <w:pPr>
              <w:rPr>
                <w:color w:val="000000"/>
                <w:sz w:val="20"/>
                <w:szCs w:val="20"/>
              </w:rPr>
            </w:pPr>
            <w:r w:rsidRPr="008B6A75">
              <w:rPr>
                <w:color w:val="000000"/>
                <w:sz w:val="20"/>
                <w:szCs w:val="20"/>
              </w:rPr>
              <w:t> </w:t>
            </w:r>
          </w:p>
        </w:tc>
        <w:tc>
          <w:tcPr>
            <w:tcW w:w="851" w:type="dxa"/>
            <w:tcBorders>
              <w:top w:val="nil"/>
              <w:left w:val="nil"/>
              <w:bottom w:val="single" w:sz="4" w:space="0" w:color="auto"/>
              <w:right w:val="single" w:sz="4" w:space="0" w:color="auto"/>
            </w:tcBorders>
            <w:shd w:val="clear" w:color="auto" w:fill="auto"/>
            <w:noWrap/>
            <w:vAlign w:val="bottom"/>
            <w:hideMark/>
          </w:tcPr>
          <w:p w14:paraId="7A8D759A" w14:textId="77777777" w:rsidR="00387142" w:rsidRPr="008B6A75" w:rsidRDefault="00387142" w:rsidP="00387142">
            <w:pPr>
              <w:rPr>
                <w:color w:val="000000"/>
                <w:sz w:val="20"/>
                <w:szCs w:val="20"/>
              </w:rPr>
            </w:pPr>
            <w:r w:rsidRPr="008B6A75">
              <w:rPr>
                <w:color w:val="000000"/>
                <w:sz w:val="20"/>
                <w:szCs w:val="20"/>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14:paraId="1FE59A78" w14:textId="77777777" w:rsidR="00387142" w:rsidRPr="008B6A75" w:rsidRDefault="00387142" w:rsidP="00387142">
            <w:pPr>
              <w:rPr>
                <w:color w:val="000000"/>
                <w:sz w:val="20"/>
                <w:szCs w:val="20"/>
              </w:rPr>
            </w:pPr>
            <w:r w:rsidRPr="008B6A75">
              <w:rPr>
                <w:color w:val="000000"/>
                <w:sz w:val="20"/>
                <w:szCs w:val="20"/>
              </w:rPr>
              <w:t> </w:t>
            </w:r>
          </w:p>
        </w:tc>
        <w:tc>
          <w:tcPr>
            <w:tcW w:w="568" w:type="dxa"/>
            <w:gridSpan w:val="2"/>
            <w:tcBorders>
              <w:top w:val="nil"/>
              <w:left w:val="nil"/>
              <w:bottom w:val="single" w:sz="4" w:space="0" w:color="auto"/>
              <w:right w:val="single" w:sz="4" w:space="0" w:color="auto"/>
            </w:tcBorders>
            <w:shd w:val="clear" w:color="auto" w:fill="auto"/>
            <w:noWrap/>
            <w:vAlign w:val="bottom"/>
            <w:hideMark/>
          </w:tcPr>
          <w:p w14:paraId="4663BB72" w14:textId="77777777" w:rsidR="00387142" w:rsidRPr="008B6A75" w:rsidRDefault="00387142" w:rsidP="00387142">
            <w:pPr>
              <w:jc w:val="right"/>
              <w:rPr>
                <w:color w:val="000000"/>
                <w:sz w:val="20"/>
                <w:szCs w:val="20"/>
              </w:rPr>
            </w:pPr>
            <w:r w:rsidRPr="008B6A75">
              <w:rPr>
                <w:color w:val="000000"/>
                <w:sz w:val="20"/>
                <w:szCs w:val="20"/>
              </w:rPr>
              <w:t>373 300,00</w:t>
            </w:r>
          </w:p>
        </w:tc>
        <w:tc>
          <w:tcPr>
            <w:tcW w:w="566" w:type="dxa"/>
            <w:gridSpan w:val="2"/>
            <w:tcBorders>
              <w:top w:val="nil"/>
              <w:left w:val="nil"/>
              <w:bottom w:val="single" w:sz="4" w:space="0" w:color="auto"/>
              <w:right w:val="single" w:sz="4" w:space="0" w:color="auto"/>
            </w:tcBorders>
            <w:shd w:val="clear" w:color="auto" w:fill="auto"/>
            <w:noWrap/>
            <w:vAlign w:val="bottom"/>
            <w:hideMark/>
          </w:tcPr>
          <w:p w14:paraId="7B1AD3AF" w14:textId="77777777" w:rsidR="00387142" w:rsidRPr="008B6A75" w:rsidRDefault="00387142" w:rsidP="00387142">
            <w:pPr>
              <w:rPr>
                <w:color w:val="000000"/>
                <w:sz w:val="20"/>
                <w:szCs w:val="20"/>
              </w:rPr>
            </w:pPr>
            <w:r w:rsidRPr="008B6A75">
              <w:rPr>
                <w:color w:val="000000"/>
                <w:sz w:val="20"/>
                <w:szCs w:val="20"/>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14:paraId="4F37E785" w14:textId="77777777" w:rsidR="00387142" w:rsidRPr="008B6A75" w:rsidRDefault="00387142" w:rsidP="00387142">
            <w:pPr>
              <w:jc w:val="right"/>
              <w:rPr>
                <w:color w:val="000000"/>
                <w:sz w:val="20"/>
                <w:szCs w:val="20"/>
              </w:rPr>
            </w:pPr>
            <w:r w:rsidRPr="008B6A75">
              <w:rPr>
                <w:color w:val="000000"/>
                <w:sz w:val="20"/>
                <w:szCs w:val="20"/>
              </w:rPr>
              <w:t>33 555,08</w:t>
            </w:r>
          </w:p>
        </w:tc>
        <w:tc>
          <w:tcPr>
            <w:tcW w:w="850" w:type="dxa"/>
            <w:tcBorders>
              <w:top w:val="nil"/>
              <w:left w:val="nil"/>
              <w:bottom w:val="single" w:sz="4" w:space="0" w:color="auto"/>
              <w:right w:val="single" w:sz="4" w:space="0" w:color="auto"/>
            </w:tcBorders>
            <w:shd w:val="clear" w:color="000000" w:fill="FFFFFF"/>
            <w:noWrap/>
            <w:vAlign w:val="bottom"/>
            <w:hideMark/>
          </w:tcPr>
          <w:p w14:paraId="2EB9B867" w14:textId="77777777" w:rsidR="00387142" w:rsidRPr="008B6A75" w:rsidRDefault="00387142" w:rsidP="00387142">
            <w:pPr>
              <w:rPr>
                <w:sz w:val="20"/>
                <w:szCs w:val="20"/>
              </w:rPr>
            </w:pPr>
            <w:r w:rsidRPr="008B6A75">
              <w:rPr>
                <w:sz w:val="20"/>
                <w:szCs w:val="20"/>
              </w:rPr>
              <w:t> </w:t>
            </w:r>
          </w:p>
        </w:tc>
        <w:tc>
          <w:tcPr>
            <w:tcW w:w="851" w:type="dxa"/>
            <w:tcBorders>
              <w:top w:val="nil"/>
              <w:left w:val="nil"/>
              <w:bottom w:val="single" w:sz="4" w:space="0" w:color="auto"/>
              <w:right w:val="single" w:sz="4" w:space="0" w:color="auto"/>
            </w:tcBorders>
            <w:shd w:val="clear" w:color="000000" w:fill="FFFFFF"/>
            <w:noWrap/>
            <w:vAlign w:val="bottom"/>
            <w:hideMark/>
          </w:tcPr>
          <w:p w14:paraId="25E40E27" w14:textId="77777777" w:rsidR="00387142" w:rsidRPr="008B6A75" w:rsidRDefault="00387142" w:rsidP="00387142">
            <w:pPr>
              <w:jc w:val="right"/>
              <w:rPr>
                <w:sz w:val="20"/>
                <w:szCs w:val="20"/>
              </w:rPr>
            </w:pPr>
            <w:r w:rsidRPr="008B6A75">
              <w:rPr>
                <w:sz w:val="20"/>
                <w:szCs w:val="20"/>
              </w:rPr>
              <w:t>120 569,00</w:t>
            </w:r>
          </w:p>
        </w:tc>
        <w:tc>
          <w:tcPr>
            <w:tcW w:w="553" w:type="dxa"/>
            <w:gridSpan w:val="2"/>
            <w:vAlign w:val="center"/>
            <w:hideMark/>
          </w:tcPr>
          <w:p w14:paraId="38FFB3A1" w14:textId="77777777" w:rsidR="00387142" w:rsidRPr="008B6A75" w:rsidRDefault="00387142" w:rsidP="00387142">
            <w:pPr>
              <w:rPr>
                <w:sz w:val="20"/>
                <w:szCs w:val="20"/>
              </w:rPr>
            </w:pPr>
          </w:p>
        </w:tc>
      </w:tr>
      <w:tr w:rsidR="00387142" w:rsidRPr="008B6A75" w14:paraId="51175656" w14:textId="77777777" w:rsidTr="00387142">
        <w:trPr>
          <w:trHeight w:val="300"/>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14:paraId="05FF8E30" w14:textId="77777777" w:rsidR="00387142" w:rsidRPr="008B6A75" w:rsidRDefault="00387142" w:rsidP="00387142">
            <w:pPr>
              <w:jc w:val="right"/>
              <w:rPr>
                <w:color w:val="000000"/>
                <w:sz w:val="20"/>
                <w:szCs w:val="20"/>
              </w:rPr>
            </w:pPr>
            <w:r w:rsidRPr="008B6A75">
              <w:rPr>
                <w:color w:val="000000"/>
                <w:sz w:val="20"/>
                <w:szCs w:val="20"/>
              </w:rPr>
              <w:t>18</w:t>
            </w:r>
          </w:p>
        </w:tc>
        <w:tc>
          <w:tcPr>
            <w:tcW w:w="426" w:type="dxa"/>
            <w:tcBorders>
              <w:top w:val="nil"/>
              <w:left w:val="nil"/>
              <w:bottom w:val="single" w:sz="4" w:space="0" w:color="auto"/>
              <w:right w:val="single" w:sz="4" w:space="0" w:color="auto"/>
            </w:tcBorders>
            <w:shd w:val="clear" w:color="auto" w:fill="auto"/>
            <w:noWrap/>
            <w:vAlign w:val="bottom"/>
            <w:hideMark/>
          </w:tcPr>
          <w:p w14:paraId="37FE7C7D" w14:textId="77777777" w:rsidR="00387142" w:rsidRPr="008B6A75" w:rsidRDefault="00387142" w:rsidP="00387142">
            <w:pPr>
              <w:rPr>
                <w:color w:val="000000"/>
                <w:sz w:val="20"/>
                <w:szCs w:val="20"/>
              </w:rPr>
            </w:pPr>
            <w:proofErr w:type="spellStart"/>
            <w:r w:rsidRPr="008B6A75">
              <w:rPr>
                <w:color w:val="000000"/>
                <w:sz w:val="20"/>
                <w:szCs w:val="20"/>
              </w:rPr>
              <w:t>г.Куйбышев</w:t>
            </w:r>
            <w:proofErr w:type="spellEnd"/>
          </w:p>
        </w:tc>
        <w:tc>
          <w:tcPr>
            <w:tcW w:w="567" w:type="dxa"/>
            <w:tcBorders>
              <w:top w:val="nil"/>
              <w:left w:val="nil"/>
              <w:bottom w:val="single" w:sz="4" w:space="0" w:color="auto"/>
              <w:right w:val="single" w:sz="4" w:space="0" w:color="auto"/>
            </w:tcBorders>
            <w:shd w:val="clear" w:color="auto" w:fill="auto"/>
            <w:noWrap/>
            <w:vAlign w:val="bottom"/>
            <w:hideMark/>
          </w:tcPr>
          <w:p w14:paraId="38FA91F7" w14:textId="77777777" w:rsidR="00387142" w:rsidRPr="008B6A75" w:rsidRDefault="00387142" w:rsidP="00387142">
            <w:pPr>
              <w:jc w:val="right"/>
              <w:rPr>
                <w:bCs/>
                <w:color w:val="000000"/>
                <w:sz w:val="20"/>
                <w:szCs w:val="20"/>
              </w:rPr>
            </w:pPr>
            <w:r w:rsidRPr="008B6A75">
              <w:rPr>
                <w:bCs/>
                <w:color w:val="000000"/>
                <w:sz w:val="20"/>
                <w:szCs w:val="20"/>
              </w:rPr>
              <w:t>18 269 003,56</w:t>
            </w:r>
          </w:p>
        </w:tc>
        <w:tc>
          <w:tcPr>
            <w:tcW w:w="850" w:type="dxa"/>
            <w:tcBorders>
              <w:top w:val="nil"/>
              <w:left w:val="nil"/>
              <w:bottom w:val="single" w:sz="4" w:space="0" w:color="auto"/>
              <w:right w:val="single" w:sz="4" w:space="0" w:color="auto"/>
            </w:tcBorders>
            <w:shd w:val="clear" w:color="auto" w:fill="auto"/>
            <w:noWrap/>
            <w:vAlign w:val="bottom"/>
            <w:hideMark/>
          </w:tcPr>
          <w:p w14:paraId="7FBE804D" w14:textId="77777777" w:rsidR="00387142" w:rsidRPr="008B6A75" w:rsidRDefault="00387142" w:rsidP="00387142">
            <w:pPr>
              <w:jc w:val="right"/>
              <w:rPr>
                <w:color w:val="000000"/>
                <w:sz w:val="20"/>
                <w:szCs w:val="20"/>
              </w:rPr>
            </w:pPr>
            <w:r w:rsidRPr="008B6A75">
              <w:rPr>
                <w:color w:val="000000"/>
                <w:sz w:val="20"/>
                <w:szCs w:val="20"/>
              </w:rPr>
              <w:t>10 273 011,60</w:t>
            </w:r>
          </w:p>
        </w:tc>
        <w:tc>
          <w:tcPr>
            <w:tcW w:w="1134" w:type="dxa"/>
            <w:tcBorders>
              <w:top w:val="nil"/>
              <w:left w:val="nil"/>
              <w:bottom w:val="single" w:sz="4" w:space="0" w:color="auto"/>
              <w:right w:val="single" w:sz="4" w:space="0" w:color="auto"/>
            </w:tcBorders>
            <w:shd w:val="clear" w:color="auto" w:fill="auto"/>
            <w:noWrap/>
            <w:vAlign w:val="bottom"/>
            <w:hideMark/>
          </w:tcPr>
          <w:p w14:paraId="4A4D066E" w14:textId="77777777" w:rsidR="00387142" w:rsidRPr="008B6A75" w:rsidRDefault="00387142" w:rsidP="00387142">
            <w:pPr>
              <w:jc w:val="right"/>
              <w:rPr>
                <w:color w:val="000000"/>
                <w:sz w:val="20"/>
                <w:szCs w:val="20"/>
              </w:rPr>
            </w:pPr>
            <w:r w:rsidRPr="008B6A75">
              <w:rPr>
                <w:color w:val="000000"/>
                <w:sz w:val="20"/>
                <w:szCs w:val="20"/>
              </w:rPr>
              <w:t>506 861,96</w:t>
            </w:r>
          </w:p>
        </w:tc>
        <w:tc>
          <w:tcPr>
            <w:tcW w:w="1134" w:type="dxa"/>
            <w:tcBorders>
              <w:top w:val="nil"/>
              <w:left w:val="nil"/>
              <w:bottom w:val="single" w:sz="4" w:space="0" w:color="auto"/>
              <w:right w:val="single" w:sz="4" w:space="0" w:color="auto"/>
            </w:tcBorders>
            <w:shd w:val="clear" w:color="auto" w:fill="auto"/>
            <w:noWrap/>
            <w:vAlign w:val="bottom"/>
            <w:hideMark/>
          </w:tcPr>
          <w:p w14:paraId="07FC7891" w14:textId="77777777" w:rsidR="00387142" w:rsidRPr="008B6A75" w:rsidRDefault="00387142" w:rsidP="00387142">
            <w:pPr>
              <w:rPr>
                <w:color w:val="000000"/>
                <w:sz w:val="20"/>
                <w:szCs w:val="20"/>
              </w:rPr>
            </w:pPr>
            <w:r w:rsidRPr="008B6A75">
              <w:rPr>
                <w:color w:val="000000"/>
                <w:sz w:val="20"/>
                <w:szCs w:val="20"/>
              </w:rPr>
              <w:t> </w:t>
            </w:r>
          </w:p>
        </w:tc>
        <w:tc>
          <w:tcPr>
            <w:tcW w:w="851" w:type="dxa"/>
            <w:tcBorders>
              <w:top w:val="nil"/>
              <w:left w:val="nil"/>
              <w:bottom w:val="single" w:sz="4" w:space="0" w:color="auto"/>
              <w:right w:val="single" w:sz="4" w:space="0" w:color="auto"/>
            </w:tcBorders>
            <w:shd w:val="clear" w:color="auto" w:fill="auto"/>
            <w:noWrap/>
            <w:vAlign w:val="bottom"/>
            <w:hideMark/>
          </w:tcPr>
          <w:p w14:paraId="7BA9F48A" w14:textId="77777777" w:rsidR="00387142" w:rsidRPr="008B6A75" w:rsidRDefault="00387142" w:rsidP="00387142">
            <w:pPr>
              <w:rPr>
                <w:color w:val="000000"/>
                <w:sz w:val="20"/>
                <w:szCs w:val="20"/>
              </w:rPr>
            </w:pPr>
            <w:r w:rsidRPr="008B6A75">
              <w:rPr>
                <w:color w:val="000000"/>
                <w:sz w:val="20"/>
                <w:szCs w:val="20"/>
              </w:rPr>
              <w:t> </w:t>
            </w:r>
          </w:p>
        </w:tc>
        <w:tc>
          <w:tcPr>
            <w:tcW w:w="1215" w:type="dxa"/>
            <w:tcBorders>
              <w:top w:val="nil"/>
              <w:left w:val="nil"/>
              <w:bottom w:val="single" w:sz="4" w:space="0" w:color="auto"/>
              <w:right w:val="single" w:sz="4" w:space="0" w:color="auto"/>
            </w:tcBorders>
            <w:shd w:val="clear" w:color="auto" w:fill="auto"/>
            <w:noWrap/>
            <w:vAlign w:val="bottom"/>
            <w:hideMark/>
          </w:tcPr>
          <w:p w14:paraId="4217563B" w14:textId="77777777" w:rsidR="00387142" w:rsidRPr="008B6A75" w:rsidRDefault="00387142" w:rsidP="00387142">
            <w:pPr>
              <w:jc w:val="right"/>
              <w:rPr>
                <w:color w:val="000000"/>
                <w:sz w:val="20"/>
                <w:szCs w:val="20"/>
              </w:rPr>
            </w:pPr>
            <w:r w:rsidRPr="008B6A75">
              <w:rPr>
                <w:color w:val="000000"/>
                <w:sz w:val="20"/>
                <w:szCs w:val="20"/>
              </w:rPr>
              <w:t>1 104 100,00</w:t>
            </w:r>
          </w:p>
        </w:tc>
        <w:tc>
          <w:tcPr>
            <w:tcW w:w="769" w:type="dxa"/>
            <w:tcBorders>
              <w:top w:val="nil"/>
              <w:left w:val="nil"/>
              <w:bottom w:val="single" w:sz="4" w:space="0" w:color="auto"/>
              <w:right w:val="single" w:sz="4" w:space="0" w:color="auto"/>
            </w:tcBorders>
            <w:shd w:val="clear" w:color="auto" w:fill="auto"/>
            <w:noWrap/>
            <w:vAlign w:val="bottom"/>
            <w:hideMark/>
          </w:tcPr>
          <w:p w14:paraId="1453F844" w14:textId="77777777" w:rsidR="00387142" w:rsidRPr="008B6A75" w:rsidRDefault="00387142" w:rsidP="00387142">
            <w:pPr>
              <w:jc w:val="right"/>
              <w:rPr>
                <w:color w:val="000000"/>
                <w:sz w:val="20"/>
                <w:szCs w:val="20"/>
              </w:rPr>
            </w:pPr>
            <w:r w:rsidRPr="008B6A75">
              <w:rPr>
                <w:color w:val="000000"/>
                <w:sz w:val="20"/>
                <w:szCs w:val="20"/>
              </w:rPr>
              <w:t>100 000,00</w:t>
            </w:r>
          </w:p>
        </w:tc>
        <w:tc>
          <w:tcPr>
            <w:tcW w:w="709" w:type="dxa"/>
            <w:tcBorders>
              <w:top w:val="nil"/>
              <w:left w:val="nil"/>
              <w:bottom w:val="single" w:sz="4" w:space="0" w:color="auto"/>
              <w:right w:val="single" w:sz="4" w:space="0" w:color="auto"/>
            </w:tcBorders>
            <w:shd w:val="clear" w:color="auto" w:fill="auto"/>
            <w:noWrap/>
            <w:vAlign w:val="bottom"/>
            <w:hideMark/>
          </w:tcPr>
          <w:p w14:paraId="74681294" w14:textId="77777777" w:rsidR="00387142" w:rsidRPr="008B6A75" w:rsidRDefault="00387142" w:rsidP="00387142">
            <w:pPr>
              <w:jc w:val="right"/>
              <w:rPr>
                <w:color w:val="000000"/>
                <w:sz w:val="20"/>
                <w:szCs w:val="20"/>
              </w:rPr>
            </w:pPr>
            <w:r w:rsidRPr="008B6A75">
              <w:rPr>
                <w:color w:val="000000"/>
                <w:sz w:val="20"/>
                <w:szCs w:val="20"/>
              </w:rPr>
              <w:t>30 000,00</w:t>
            </w:r>
          </w:p>
        </w:tc>
        <w:tc>
          <w:tcPr>
            <w:tcW w:w="850" w:type="dxa"/>
            <w:tcBorders>
              <w:top w:val="nil"/>
              <w:left w:val="nil"/>
              <w:bottom w:val="single" w:sz="4" w:space="0" w:color="auto"/>
              <w:right w:val="single" w:sz="4" w:space="0" w:color="auto"/>
            </w:tcBorders>
            <w:shd w:val="clear" w:color="auto" w:fill="auto"/>
            <w:noWrap/>
            <w:vAlign w:val="bottom"/>
            <w:hideMark/>
          </w:tcPr>
          <w:p w14:paraId="579DBBB7" w14:textId="77777777" w:rsidR="00387142" w:rsidRPr="008B6A75" w:rsidRDefault="00387142" w:rsidP="00387142">
            <w:pPr>
              <w:jc w:val="right"/>
              <w:rPr>
                <w:color w:val="000000"/>
                <w:sz w:val="20"/>
                <w:szCs w:val="20"/>
              </w:rPr>
            </w:pPr>
            <w:r w:rsidRPr="008B6A75">
              <w:rPr>
                <w:color w:val="000000"/>
                <w:sz w:val="20"/>
                <w:szCs w:val="20"/>
              </w:rPr>
              <w:t>42 730,00</w:t>
            </w:r>
          </w:p>
        </w:tc>
        <w:tc>
          <w:tcPr>
            <w:tcW w:w="1701" w:type="dxa"/>
            <w:tcBorders>
              <w:top w:val="nil"/>
              <w:left w:val="nil"/>
              <w:bottom w:val="single" w:sz="4" w:space="0" w:color="auto"/>
              <w:right w:val="single" w:sz="4" w:space="0" w:color="auto"/>
            </w:tcBorders>
            <w:shd w:val="clear" w:color="auto" w:fill="auto"/>
            <w:noWrap/>
            <w:vAlign w:val="bottom"/>
            <w:hideMark/>
          </w:tcPr>
          <w:p w14:paraId="5937305F" w14:textId="77777777" w:rsidR="00387142" w:rsidRPr="008B6A75" w:rsidRDefault="00387142" w:rsidP="00387142">
            <w:pPr>
              <w:rPr>
                <w:color w:val="000000"/>
                <w:sz w:val="20"/>
                <w:szCs w:val="20"/>
              </w:rPr>
            </w:pPr>
            <w:r w:rsidRPr="008B6A75">
              <w:rPr>
                <w:color w:val="000000"/>
                <w:sz w:val="20"/>
                <w:szCs w:val="20"/>
              </w:rPr>
              <w:t> </w:t>
            </w:r>
          </w:p>
        </w:tc>
        <w:tc>
          <w:tcPr>
            <w:tcW w:w="851" w:type="dxa"/>
            <w:tcBorders>
              <w:top w:val="nil"/>
              <w:left w:val="nil"/>
              <w:bottom w:val="single" w:sz="4" w:space="0" w:color="auto"/>
              <w:right w:val="single" w:sz="4" w:space="0" w:color="auto"/>
            </w:tcBorders>
            <w:shd w:val="clear" w:color="auto" w:fill="auto"/>
            <w:noWrap/>
            <w:vAlign w:val="bottom"/>
            <w:hideMark/>
          </w:tcPr>
          <w:p w14:paraId="3547A4FF" w14:textId="77777777" w:rsidR="00387142" w:rsidRPr="008B6A75" w:rsidRDefault="00387142" w:rsidP="00387142">
            <w:pPr>
              <w:jc w:val="right"/>
              <w:rPr>
                <w:color w:val="000000"/>
                <w:sz w:val="20"/>
                <w:szCs w:val="20"/>
              </w:rPr>
            </w:pPr>
            <w:r w:rsidRPr="008B6A75">
              <w:rPr>
                <w:color w:val="000000"/>
                <w:sz w:val="20"/>
                <w:szCs w:val="20"/>
              </w:rPr>
              <w:t>3 204 000,00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14:paraId="1891A77A" w14:textId="77777777" w:rsidR="00387142" w:rsidRPr="008B6A75" w:rsidRDefault="00387142" w:rsidP="00387142">
            <w:pPr>
              <w:rPr>
                <w:color w:val="000000"/>
                <w:sz w:val="20"/>
                <w:szCs w:val="20"/>
              </w:rPr>
            </w:pPr>
            <w:r w:rsidRPr="008B6A75">
              <w:rPr>
                <w:color w:val="000000"/>
                <w:sz w:val="20"/>
                <w:szCs w:val="20"/>
              </w:rPr>
              <w:t> </w:t>
            </w:r>
          </w:p>
        </w:tc>
        <w:tc>
          <w:tcPr>
            <w:tcW w:w="568" w:type="dxa"/>
            <w:gridSpan w:val="2"/>
            <w:tcBorders>
              <w:top w:val="nil"/>
              <w:left w:val="nil"/>
              <w:bottom w:val="single" w:sz="4" w:space="0" w:color="auto"/>
              <w:right w:val="single" w:sz="4" w:space="0" w:color="auto"/>
            </w:tcBorders>
            <w:shd w:val="clear" w:color="auto" w:fill="auto"/>
            <w:noWrap/>
            <w:vAlign w:val="bottom"/>
            <w:hideMark/>
          </w:tcPr>
          <w:p w14:paraId="26D2A8D2" w14:textId="77777777" w:rsidR="00387142" w:rsidRPr="008B6A75" w:rsidRDefault="00387142" w:rsidP="00387142">
            <w:pPr>
              <w:rPr>
                <w:color w:val="000000"/>
                <w:sz w:val="20"/>
                <w:szCs w:val="20"/>
              </w:rPr>
            </w:pPr>
            <w:r w:rsidRPr="008B6A75">
              <w:rPr>
                <w:color w:val="000000"/>
                <w:sz w:val="20"/>
                <w:szCs w:val="20"/>
              </w:rPr>
              <w:t> </w:t>
            </w:r>
          </w:p>
        </w:tc>
        <w:tc>
          <w:tcPr>
            <w:tcW w:w="566" w:type="dxa"/>
            <w:gridSpan w:val="2"/>
            <w:tcBorders>
              <w:top w:val="nil"/>
              <w:left w:val="nil"/>
              <w:bottom w:val="single" w:sz="4" w:space="0" w:color="auto"/>
              <w:right w:val="single" w:sz="4" w:space="0" w:color="auto"/>
            </w:tcBorders>
            <w:shd w:val="clear" w:color="auto" w:fill="auto"/>
            <w:noWrap/>
            <w:vAlign w:val="bottom"/>
            <w:hideMark/>
          </w:tcPr>
          <w:p w14:paraId="7AA34E49" w14:textId="77777777" w:rsidR="00387142" w:rsidRPr="008B6A75" w:rsidRDefault="00387142" w:rsidP="00387142">
            <w:pPr>
              <w:jc w:val="right"/>
              <w:rPr>
                <w:color w:val="000000"/>
                <w:sz w:val="20"/>
                <w:szCs w:val="20"/>
              </w:rPr>
            </w:pPr>
            <w:r w:rsidRPr="008B6A75">
              <w:rPr>
                <w:color w:val="000000"/>
                <w:sz w:val="20"/>
                <w:szCs w:val="20"/>
              </w:rPr>
              <w:t>6 000,00</w:t>
            </w:r>
          </w:p>
        </w:tc>
        <w:tc>
          <w:tcPr>
            <w:tcW w:w="709" w:type="dxa"/>
            <w:gridSpan w:val="2"/>
            <w:tcBorders>
              <w:top w:val="nil"/>
              <w:left w:val="nil"/>
              <w:bottom w:val="single" w:sz="4" w:space="0" w:color="auto"/>
              <w:right w:val="single" w:sz="4" w:space="0" w:color="auto"/>
            </w:tcBorders>
            <w:shd w:val="clear" w:color="auto" w:fill="auto"/>
            <w:noWrap/>
            <w:vAlign w:val="bottom"/>
            <w:hideMark/>
          </w:tcPr>
          <w:p w14:paraId="65FF4A17" w14:textId="77777777" w:rsidR="00387142" w:rsidRPr="008B6A75" w:rsidRDefault="00387142" w:rsidP="00387142">
            <w:pPr>
              <w:rPr>
                <w:color w:val="000000"/>
                <w:sz w:val="20"/>
                <w:szCs w:val="20"/>
              </w:rPr>
            </w:pPr>
            <w:r w:rsidRPr="008B6A75">
              <w:rPr>
                <w:color w:val="000000"/>
                <w:sz w:val="20"/>
                <w:szCs w:val="20"/>
              </w:rPr>
              <w:t> </w:t>
            </w:r>
          </w:p>
        </w:tc>
        <w:tc>
          <w:tcPr>
            <w:tcW w:w="850" w:type="dxa"/>
            <w:tcBorders>
              <w:top w:val="nil"/>
              <w:left w:val="nil"/>
              <w:bottom w:val="single" w:sz="4" w:space="0" w:color="auto"/>
              <w:right w:val="single" w:sz="4" w:space="0" w:color="auto"/>
            </w:tcBorders>
            <w:shd w:val="clear" w:color="000000" w:fill="FFFFFF"/>
            <w:noWrap/>
            <w:vAlign w:val="bottom"/>
            <w:hideMark/>
          </w:tcPr>
          <w:p w14:paraId="0DCA5310" w14:textId="77777777" w:rsidR="00387142" w:rsidRPr="008B6A75" w:rsidRDefault="00387142" w:rsidP="00387142">
            <w:pPr>
              <w:jc w:val="right"/>
              <w:rPr>
                <w:sz w:val="20"/>
                <w:szCs w:val="20"/>
              </w:rPr>
            </w:pPr>
            <w:r w:rsidRPr="008B6A75">
              <w:rPr>
                <w:sz w:val="20"/>
                <w:szCs w:val="20"/>
              </w:rPr>
              <w:t>3 002 300,00</w:t>
            </w:r>
          </w:p>
        </w:tc>
        <w:tc>
          <w:tcPr>
            <w:tcW w:w="851" w:type="dxa"/>
            <w:tcBorders>
              <w:top w:val="nil"/>
              <w:left w:val="nil"/>
              <w:bottom w:val="single" w:sz="4" w:space="0" w:color="auto"/>
              <w:right w:val="single" w:sz="4" w:space="0" w:color="auto"/>
            </w:tcBorders>
            <w:shd w:val="clear" w:color="000000" w:fill="FFFFFF"/>
            <w:noWrap/>
            <w:vAlign w:val="bottom"/>
            <w:hideMark/>
          </w:tcPr>
          <w:p w14:paraId="25E14636" w14:textId="77777777" w:rsidR="00387142" w:rsidRPr="008B6A75" w:rsidRDefault="00387142" w:rsidP="00387142">
            <w:pPr>
              <w:rPr>
                <w:sz w:val="20"/>
                <w:szCs w:val="20"/>
              </w:rPr>
            </w:pPr>
            <w:r w:rsidRPr="008B6A75">
              <w:rPr>
                <w:sz w:val="20"/>
                <w:szCs w:val="20"/>
              </w:rPr>
              <w:t> </w:t>
            </w:r>
          </w:p>
        </w:tc>
        <w:tc>
          <w:tcPr>
            <w:tcW w:w="553" w:type="dxa"/>
            <w:gridSpan w:val="2"/>
            <w:vAlign w:val="center"/>
            <w:hideMark/>
          </w:tcPr>
          <w:p w14:paraId="4E4F3E56" w14:textId="77777777" w:rsidR="00387142" w:rsidRPr="008B6A75" w:rsidRDefault="00387142" w:rsidP="00387142">
            <w:pPr>
              <w:rPr>
                <w:sz w:val="20"/>
                <w:szCs w:val="20"/>
              </w:rPr>
            </w:pPr>
          </w:p>
        </w:tc>
      </w:tr>
      <w:tr w:rsidR="00387142" w:rsidRPr="008B6A75" w14:paraId="56424A7B" w14:textId="77777777" w:rsidTr="00387142">
        <w:trPr>
          <w:trHeight w:val="300"/>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14:paraId="07580D11" w14:textId="77777777" w:rsidR="00387142" w:rsidRPr="008B6A75" w:rsidRDefault="00387142" w:rsidP="00387142">
            <w:pPr>
              <w:rPr>
                <w:color w:val="000000"/>
                <w:sz w:val="20"/>
                <w:szCs w:val="20"/>
              </w:rPr>
            </w:pPr>
            <w:r w:rsidRPr="008B6A75">
              <w:rPr>
                <w:color w:val="000000"/>
                <w:sz w:val="20"/>
                <w:szCs w:val="20"/>
              </w:rPr>
              <w:t> </w:t>
            </w:r>
          </w:p>
        </w:tc>
        <w:tc>
          <w:tcPr>
            <w:tcW w:w="426" w:type="dxa"/>
            <w:tcBorders>
              <w:top w:val="nil"/>
              <w:left w:val="nil"/>
              <w:bottom w:val="single" w:sz="4" w:space="0" w:color="auto"/>
              <w:right w:val="single" w:sz="4" w:space="0" w:color="auto"/>
            </w:tcBorders>
            <w:shd w:val="clear" w:color="auto" w:fill="auto"/>
            <w:noWrap/>
            <w:vAlign w:val="bottom"/>
            <w:hideMark/>
          </w:tcPr>
          <w:p w14:paraId="57FA0743" w14:textId="77777777" w:rsidR="00387142" w:rsidRPr="008B6A75" w:rsidRDefault="00387142" w:rsidP="00387142">
            <w:pPr>
              <w:rPr>
                <w:color w:val="000000"/>
                <w:sz w:val="20"/>
                <w:szCs w:val="20"/>
              </w:rPr>
            </w:pPr>
            <w:r w:rsidRPr="008B6A75">
              <w:rPr>
                <w:color w:val="000000"/>
                <w:sz w:val="20"/>
                <w:szCs w:val="20"/>
              </w:rPr>
              <w:t>Итого</w:t>
            </w:r>
          </w:p>
        </w:tc>
        <w:tc>
          <w:tcPr>
            <w:tcW w:w="567" w:type="dxa"/>
            <w:tcBorders>
              <w:top w:val="nil"/>
              <w:left w:val="nil"/>
              <w:bottom w:val="single" w:sz="4" w:space="0" w:color="auto"/>
              <w:right w:val="single" w:sz="4" w:space="0" w:color="auto"/>
            </w:tcBorders>
            <w:shd w:val="clear" w:color="auto" w:fill="auto"/>
            <w:noWrap/>
            <w:vAlign w:val="bottom"/>
            <w:hideMark/>
          </w:tcPr>
          <w:p w14:paraId="2DF5771F" w14:textId="77777777" w:rsidR="00387142" w:rsidRPr="008B6A75" w:rsidRDefault="00387142" w:rsidP="00387142">
            <w:pPr>
              <w:jc w:val="right"/>
              <w:rPr>
                <w:bCs/>
                <w:color w:val="000000"/>
                <w:sz w:val="20"/>
                <w:szCs w:val="20"/>
              </w:rPr>
            </w:pPr>
            <w:r w:rsidRPr="008B6A75">
              <w:rPr>
                <w:bCs/>
                <w:color w:val="000000"/>
                <w:sz w:val="20"/>
                <w:szCs w:val="20"/>
              </w:rPr>
              <w:t>37 795 627,10</w:t>
            </w:r>
          </w:p>
        </w:tc>
        <w:tc>
          <w:tcPr>
            <w:tcW w:w="850" w:type="dxa"/>
            <w:tcBorders>
              <w:top w:val="nil"/>
              <w:left w:val="nil"/>
              <w:bottom w:val="single" w:sz="4" w:space="0" w:color="auto"/>
              <w:right w:val="single" w:sz="4" w:space="0" w:color="auto"/>
            </w:tcBorders>
            <w:shd w:val="clear" w:color="auto" w:fill="auto"/>
            <w:noWrap/>
            <w:vAlign w:val="bottom"/>
            <w:hideMark/>
          </w:tcPr>
          <w:p w14:paraId="3CE7BBAD" w14:textId="77777777" w:rsidR="00387142" w:rsidRPr="008B6A75" w:rsidRDefault="00387142" w:rsidP="00387142">
            <w:pPr>
              <w:jc w:val="right"/>
              <w:rPr>
                <w:bCs/>
                <w:color w:val="000000"/>
                <w:sz w:val="20"/>
                <w:szCs w:val="20"/>
              </w:rPr>
            </w:pPr>
            <w:r w:rsidRPr="008B6A75">
              <w:rPr>
                <w:bCs/>
                <w:color w:val="000000"/>
                <w:sz w:val="20"/>
                <w:szCs w:val="20"/>
              </w:rPr>
              <w:t>16 244 211,60</w:t>
            </w:r>
          </w:p>
        </w:tc>
        <w:tc>
          <w:tcPr>
            <w:tcW w:w="1134" w:type="dxa"/>
            <w:tcBorders>
              <w:top w:val="nil"/>
              <w:left w:val="nil"/>
              <w:bottom w:val="single" w:sz="4" w:space="0" w:color="auto"/>
              <w:right w:val="single" w:sz="4" w:space="0" w:color="auto"/>
            </w:tcBorders>
            <w:shd w:val="clear" w:color="auto" w:fill="auto"/>
            <w:noWrap/>
            <w:vAlign w:val="bottom"/>
            <w:hideMark/>
          </w:tcPr>
          <w:p w14:paraId="2117A667" w14:textId="77777777" w:rsidR="00387142" w:rsidRPr="008B6A75" w:rsidRDefault="00387142" w:rsidP="00387142">
            <w:pPr>
              <w:jc w:val="right"/>
              <w:rPr>
                <w:bCs/>
                <w:color w:val="000000"/>
                <w:sz w:val="20"/>
                <w:szCs w:val="20"/>
              </w:rPr>
            </w:pPr>
            <w:r w:rsidRPr="008B6A75">
              <w:rPr>
                <w:bCs/>
                <w:color w:val="000000"/>
                <w:sz w:val="20"/>
                <w:szCs w:val="20"/>
              </w:rPr>
              <w:t>2 517 882,50</w:t>
            </w:r>
          </w:p>
        </w:tc>
        <w:tc>
          <w:tcPr>
            <w:tcW w:w="1134" w:type="dxa"/>
            <w:tcBorders>
              <w:top w:val="nil"/>
              <w:left w:val="nil"/>
              <w:bottom w:val="single" w:sz="4" w:space="0" w:color="auto"/>
              <w:right w:val="single" w:sz="4" w:space="0" w:color="auto"/>
            </w:tcBorders>
            <w:shd w:val="clear" w:color="auto" w:fill="auto"/>
            <w:noWrap/>
            <w:vAlign w:val="bottom"/>
            <w:hideMark/>
          </w:tcPr>
          <w:p w14:paraId="23578CFE" w14:textId="77777777" w:rsidR="00387142" w:rsidRPr="008B6A75" w:rsidRDefault="00387142" w:rsidP="00387142">
            <w:pPr>
              <w:jc w:val="right"/>
              <w:rPr>
                <w:bCs/>
                <w:color w:val="000000"/>
                <w:sz w:val="20"/>
                <w:szCs w:val="20"/>
              </w:rPr>
            </w:pPr>
            <w:r w:rsidRPr="008B6A75">
              <w:rPr>
                <w:bCs/>
                <w:color w:val="000000"/>
                <w:sz w:val="20"/>
                <w:szCs w:val="20"/>
              </w:rPr>
              <w:t>115 600,00</w:t>
            </w:r>
          </w:p>
        </w:tc>
        <w:tc>
          <w:tcPr>
            <w:tcW w:w="851" w:type="dxa"/>
            <w:tcBorders>
              <w:top w:val="nil"/>
              <w:left w:val="nil"/>
              <w:bottom w:val="single" w:sz="4" w:space="0" w:color="auto"/>
              <w:right w:val="single" w:sz="4" w:space="0" w:color="auto"/>
            </w:tcBorders>
            <w:shd w:val="clear" w:color="auto" w:fill="auto"/>
            <w:noWrap/>
            <w:vAlign w:val="bottom"/>
            <w:hideMark/>
          </w:tcPr>
          <w:p w14:paraId="70C8C25D" w14:textId="77777777" w:rsidR="00387142" w:rsidRPr="008B6A75" w:rsidRDefault="00387142" w:rsidP="00387142">
            <w:pPr>
              <w:jc w:val="right"/>
              <w:rPr>
                <w:bCs/>
                <w:color w:val="000000"/>
                <w:sz w:val="20"/>
                <w:szCs w:val="20"/>
              </w:rPr>
            </w:pPr>
            <w:r w:rsidRPr="008B6A75">
              <w:rPr>
                <w:bCs/>
                <w:color w:val="000000"/>
                <w:sz w:val="20"/>
                <w:szCs w:val="20"/>
              </w:rPr>
              <w:t>43 473,54</w:t>
            </w:r>
          </w:p>
        </w:tc>
        <w:tc>
          <w:tcPr>
            <w:tcW w:w="1215" w:type="dxa"/>
            <w:tcBorders>
              <w:top w:val="nil"/>
              <w:left w:val="nil"/>
              <w:bottom w:val="single" w:sz="4" w:space="0" w:color="auto"/>
              <w:right w:val="single" w:sz="4" w:space="0" w:color="auto"/>
            </w:tcBorders>
            <w:shd w:val="clear" w:color="auto" w:fill="auto"/>
            <w:noWrap/>
            <w:vAlign w:val="bottom"/>
            <w:hideMark/>
          </w:tcPr>
          <w:p w14:paraId="60D55EAC" w14:textId="77777777" w:rsidR="00387142" w:rsidRPr="008B6A75" w:rsidRDefault="00387142" w:rsidP="00387142">
            <w:pPr>
              <w:jc w:val="right"/>
              <w:rPr>
                <w:bCs/>
                <w:color w:val="000000"/>
                <w:sz w:val="20"/>
                <w:szCs w:val="20"/>
              </w:rPr>
            </w:pPr>
            <w:r w:rsidRPr="008B6A75">
              <w:rPr>
                <w:bCs/>
                <w:color w:val="000000"/>
                <w:sz w:val="20"/>
                <w:szCs w:val="20"/>
              </w:rPr>
              <w:t>1 104 100,00</w:t>
            </w:r>
          </w:p>
        </w:tc>
        <w:tc>
          <w:tcPr>
            <w:tcW w:w="769" w:type="dxa"/>
            <w:tcBorders>
              <w:top w:val="nil"/>
              <w:left w:val="nil"/>
              <w:bottom w:val="single" w:sz="4" w:space="0" w:color="auto"/>
              <w:right w:val="single" w:sz="4" w:space="0" w:color="auto"/>
            </w:tcBorders>
            <w:shd w:val="clear" w:color="auto" w:fill="auto"/>
            <w:noWrap/>
            <w:vAlign w:val="bottom"/>
            <w:hideMark/>
          </w:tcPr>
          <w:p w14:paraId="749DD41B" w14:textId="77777777" w:rsidR="00387142" w:rsidRPr="008B6A75" w:rsidRDefault="00387142" w:rsidP="00387142">
            <w:pPr>
              <w:jc w:val="right"/>
              <w:rPr>
                <w:bCs/>
                <w:color w:val="000000"/>
                <w:sz w:val="20"/>
                <w:szCs w:val="20"/>
              </w:rPr>
            </w:pPr>
            <w:r w:rsidRPr="008B6A75">
              <w:rPr>
                <w:bCs/>
                <w:color w:val="000000"/>
                <w:sz w:val="20"/>
                <w:szCs w:val="20"/>
              </w:rPr>
              <w:t>100 000,00</w:t>
            </w:r>
          </w:p>
        </w:tc>
        <w:tc>
          <w:tcPr>
            <w:tcW w:w="709" w:type="dxa"/>
            <w:tcBorders>
              <w:top w:val="nil"/>
              <w:left w:val="nil"/>
              <w:bottom w:val="single" w:sz="4" w:space="0" w:color="auto"/>
              <w:right w:val="single" w:sz="4" w:space="0" w:color="auto"/>
            </w:tcBorders>
            <w:shd w:val="clear" w:color="auto" w:fill="auto"/>
            <w:noWrap/>
            <w:vAlign w:val="bottom"/>
            <w:hideMark/>
          </w:tcPr>
          <w:p w14:paraId="65DF1807" w14:textId="77777777" w:rsidR="00387142" w:rsidRPr="008B6A75" w:rsidRDefault="00387142" w:rsidP="00387142">
            <w:pPr>
              <w:jc w:val="right"/>
              <w:rPr>
                <w:bCs/>
                <w:color w:val="000000"/>
                <w:sz w:val="20"/>
                <w:szCs w:val="20"/>
              </w:rPr>
            </w:pPr>
            <w:r w:rsidRPr="008B6A75">
              <w:rPr>
                <w:bCs/>
                <w:color w:val="000000"/>
                <w:sz w:val="20"/>
                <w:szCs w:val="20"/>
              </w:rPr>
              <w:t>30 000,00</w:t>
            </w:r>
          </w:p>
        </w:tc>
        <w:tc>
          <w:tcPr>
            <w:tcW w:w="850" w:type="dxa"/>
            <w:tcBorders>
              <w:top w:val="nil"/>
              <w:left w:val="nil"/>
              <w:bottom w:val="single" w:sz="4" w:space="0" w:color="auto"/>
              <w:right w:val="single" w:sz="4" w:space="0" w:color="auto"/>
            </w:tcBorders>
            <w:shd w:val="clear" w:color="auto" w:fill="auto"/>
            <w:noWrap/>
            <w:vAlign w:val="bottom"/>
            <w:hideMark/>
          </w:tcPr>
          <w:p w14:paraId="3AA9A713" w14:textId="77777777" w:rsidR="00387142" w:rsidRPr="008B6A75" w:rsidRDefault="00387142" w:rsidP="00387142">
            <w:pPr>
              <w:jc w:val="right"/>
              <w:rPr>
                <w:bCs/>
                <w:color w:val="000000"/>
                <w:sz w:val="20"/>
                <w:szCs w:val="20"/>
              </w:rPr>
            </w:pPr>
            <w:r w:rsidRPr="008B6A75">
              <w:rPr>
                <w:bCs/>
                <w:color w:val="000000"/>
                <w:sz w:val="20"/>
                <w:szCs w:val="20"/>
              </w:rPr>
              <w:t>143 791,00</w:t>
            </w:r>
          </w:p>
        </w:tc>
        <w:tc>
          <w:tcPr>
            <w:tcW w:w="1701" w:type="dxa"/>
            <w:tcBorders>
              <w:top w:val="nil"/>
              <w:left w:val="nil"/>
              <w:bottom w:val="single" w:sz="4" w:space="0" w:color="auto"/>
              <w:right w:val="single" w:sz="4" w:space="0" w:color="auto"/>
            </w:tcBorders>
            <w:shd w:val="clear" w:color="auto" w:fill="auto"/>
            <w:noWrap/>
            <w:vAlign w:val="bottom"/>
            <w:hideMark/>
          </w:tcPr>
          <w:p w14:paraId="197B5846" w14:textId="77777777" w:rsidR="00387142" w:rsidRPr="008B6A75" w:rsidRDefault="00387142" w:rsidP="00387142">
            <w:pPr>
              <w:jc w:val="right"/>
              <w:rPr>
                <w:bCs/>
                <w:color w:val="000000"/>
                <w:sz w:val="20"/>
                <w:szCs w:val="20"/>
              </w:rPr>
            </w:pPr>
            <w:r w:rsidRPr="008B6A75">
              <w:rPr>
                <w:bCs/>
                <w:color w:val="000000"/>
                <w:sz w:val="20"/>
                <w:szCs w:val="20"/>
              </w:rPr>
              <w:t>1 601 329,78</w:t>
            </w:r>
          </w:p>
        </w:tc>
        <w:tc>
          <w:tcPr>
            <w:tcW w:w="851" w:type="dxa"/>
            <w:tcBorders>
              <w:top w:val="nil"/>
              <w:left w:val="nil"/>
              <w:bottom w:val="single" w:sz="4" w:space="0" w:color="auto"/>
              <w:right w:val="single" w:sz="4" w:space="0" w:color="auto"/>
            </w:tcBorders>
            <w:shd w:val="clear" w:color="auto" w:fill="auto"/>
            <w:noWrap/>
            <w:vAlign w:val="bottom"/>
            <w:hideMark/>
          </w:tcPr>
          <w:p w14:paraId="2BF63D23" w14:textId="77777777" w:rsidR="00387142" w:rsidRPr="008B6A75" w:rsidRDefault="00387142" w:rsidP="00387142">
            <w:pPr>
              <w:jc w:val="right"/>
              <w:rPr>
                <w:bCs/>
                <w:color w:val="000000"/>
                <w:sz w:val="20"/>
                <w:szCs w:val="20"/>
              </w:rPr>
            </w:pPr>
            <w:r w:rsidRPr="008B6A75">
              <w:rPr>
                <w:bCs/>
                <w:color w:val="000000"/>
                <w:sz w:val="20"/>
                <w:szCs w:val="20"/>
              </w:rPr>
              <w:t>9 926 172,46</w:t>
            </w:r>
          </w:p>
        </w:tc>
        <w:tc>
          <w:tcPr>
            <w:tcW w:w="567" w:type="dxa"/>
            <w:gridSpan w:val="2"/>
            <w:tcBorders>
              <w:top w:val="nil"/>
              <w:left w:val="nil"/>
              <w:bottom w:val="single" w:sz="4" w:space="0" w:color="auto"/>
              <w:right w:val="single" w:sz="4" w:space="0" w:color="auto"/>
            </w:tcBorders>
            <w:shd w:val="clear" w:color="auto" w:fill="auto"/>
            <w:noWrap/>
            <w:vAlign w:val="bottom"/>
            <w:hideMark/>
          </w:tcPr>
          <w:p w14:paraId="20943B0A" w14:textId="77777777" w:rsidR="00387142" w:rsidRPr="008B6A75" w:rsidRDefault="00387142" w:rsidP="00387142">
            <w:pPr>
              <w:jc w:val="right"/>
              <w:rPr>
                <w:bCs/>
                <w:color w:val="000000"/>
                <w:sz w:val="20"/>
                <w:szCs w:val="20"/>
              </w:rPr>
            </w:pPr>
            <w:r w:rsidRPr="008B6A75">
              <w:rPr>
                <w:bCs/>
                <w:color w:val="000000"/>
                <w:sz w:val="20"/>
                <w:szCs w:val="20"/>
              </w:rPr>
              <w:t>200 000,00</w:t>
            </w:r>
          </w:p>
        </w:tc>
        <w:tc>
          <w:tcPr>
            <w:tcW w:w="568" w:type="dxa"/>
            <w:gridSpan w:val="2"/>
            <w:tcBorders>
              <w:top w:val="nil"/>
              <w:left w:val="nil"/>
              <w:bottom w:val="single" w:sz="4" w:space="0" w:color="auto"/>
              <w:right w:val="single" w:sz="4" w:space="0" w:color="auto"/>
            </w:tcBorders>
            <w:shd w:val="clear" w:color="auto" w:fill="auto"/>
            <w:noWrap/>
            <w:vAlign w:val="bottom"/>
            <w:hideMark/>
          </w:tcPr>
          <w:p w14:paraId="71A9A182" w14:textId="77777777" w:rsidR="00387142" w:rsidRPr="008B6A75" w:rsidRDefault="00387142" w:rsidP="00387142">
            <w:pPr>
              <w:jc w:val="right"/>
              <w:rPr>
                <w:bCs/>
                <w:color w:val="000000"/>
                <w:sz w:val="20"/>
                <w:szCs w:val="20"/>
              </w:rPr>
            </w:pPr>
            <w:r w:rsidRPr="008B6A75">
              <w:rPr>
                <w:bCs/>
                <w:color w:val="000000"/>
                <w:sz w:val="20"/>
                <w:szCs w:val="20"/>
              </w:rPr>
              <w:t>873 300,00</w:t>
            </w:r>
          </w:p>
        </w:tc>
        <w:tc>
          <w:tcPr>
            <w:tcW w:w="566" w:type="dxa"/>
            <w:gridSpan w:val="2"/>
            <w:tcBorders>
              <w:top w:val="nil"/>
              <w:left w:val="nil"/>
              <w:bottom w:val="single" w:sz="4" w:space="0" w:color="auto"/>
              <w:right w:val="single" w:sz="4" w:space="0" w:color="auto"/>
            </w:tcBorders>
            <w:shd w:val="clear" w:color="auto" w:fill="auto"/>
            <w:noWrap/>
            <w:vAlign w:val="bottom"/>
            <w:hideMark/>
          </w:tcPr>
          <w:p w14:paraId="13A5DEE2" w14:textId="77777777" w:rsidR="00387142" w:rsidRPr="008B6A75" w:rsidRDefault="00387142" w:rsidP="00387142">
            <w:pPr>
              <w:jc w:val="right"/>
              <w:rPr>
                <w:bCs/>
                <w:color w:val="000000"/>
                <w:sz w:val="20"/>
                <w:szCs w:val="20"/>
              </w:rPr>
            </w:pPr>
            <w:r w:rsidRPr="008B6A75">
              <w:rPr>
                <w:bCs/>
                <w:color w:val="000000"/>
                <w:sz w:val="20"/>
                <w:szCs w:val="20"/>
              </w:rPr>
              <w:t>6 000,00</w:t>
            </w:r>
          </w:p>
        </w:tc>
        <w:tc>
          <w:tcPr>
            <w:tcW w:w="709" w:type="dxa"/>
            <w:gridSpan w:val="2"/>
            <w:tcBorders>
              <w:top w:val="nil"/>
              <w:left w:val="nil"/>
              <w:bottom w:val="single" w:sz="4" w:space="0" w:color="auto"/>
              <w:right w:val="single" w:sz="4" w:space="0" w:color="auto"/>
            </w:tcBorders>
            <w:shd w:val="clear" w:color="auto" w:fill="auto"/>
            <w:noWrap/>
            <w:vAlign w:val="bottom"/>
            <w:hideMark/>
          </w:tcPr>
          <w:p w14:paraId="5D6431E2" w14:textId="77777777" w:rsidR="00387142" w:rsidRPr="008B6A75" w:rsidRDefault="00387142" w:rsidP="00387142">
            <w:pPr>
              <w:jc w:val="right"/>
              <w:rPr>
                <w:bCs/>
                <w:color w:val="000000"/>
                <w:sz w:val="20"/>
                <w:szCs w:val="20"/>
              </w:rPr>
            </w:pPr>
            <w:r w:rsidRPr="008B6A75">
              <w:rPr>
                <w:bCs/>
                <w:color w:val="000000"/>
                <w:sz w:val="20"/>
                <w:szCs w:val="20"/>
              </w:rPr>
              <w:t>167 666,22</w:t>
            </w:r>
          </w:p>
        </w:tc>
        <w:tc>
          <w:tcPr>
            <w:tcW w:w="850" w:type="dxa"/>
            <w:tcBorders>
              <w:top w:val="nil"/>
              <w:left w:val="nil"/>
              <w:bottom w:val="single" w:sz="4" w:space="0" w:color="auto"/>
              <w:right w:val="single" w:sz="4" w:space="0" w:color="auto"/>
            </w:tcBorders>
            <w:shd w:val="clear" w:color="auto" w:fill="auto"/>
            <w:noWrap/>
            <w:vAlign w:val="bottom"/>
            <w:hideMark/>
          </w:tcPr>
          <w:p w14:paraId="67DA8444" w14:textId="77777777" w:rsidR="00387142" w:rsidRPr="008B6A75" w:rsidRDefault="00387142" w:rsidP="00387142">
            <w:pPr>
              <w:jc w:val="right"/>
              <w:rPr>
                <w:bCs/>
                <w:color w:val="000000"/>
                <w:sz w:val="20"/>
                <w:szCs w:val="20"/>
              </w:rPr>
            </w:pPr>
            <w:r w:rsidRPr="008B6A75">
              <w:rPr>
                <w:bCs/>
                <w:color w:val="000000"/>
                <w:sz w:val="20"/>
                <w:szCs w:val="20"/>
              </w:rPr>
              <w:t>3 553 300,00</w:t>
            </w:r>
          </w:p>
        </w:tc>
        <w:tc>
          <w:tcPr>
            <w:tcW w:w="851" w:type="dxa"/>
            <w:tcBorders>
              <w:top w:val="nil"/>
              <w:left w:val="nil"/>
              <w:bottom w:val="single" w:sz="4" w:space="0" w:color="auto"/>
              <w:right w:val="single" w:sz="4" w:space="0" w:color="auto"/>
            </w:tcBorders>
            <w:shd w:val="clear" w:color="auto" w:fill="auto"/>
            <w:noWrap/>
            <w:vAlign w:val="bottom"/>
            <w:hideMark/>
          </w:tcPr>
          <w:p w14:paraId="45110463" w14:textId="77777777" w:rsidR="00387142" w:rsidRPr="008B6A75" w:rsidRDefault="00387142" w:rsidP="00387142">
            <w:pPr>
              <w:jc w:val="right"/>
              <w:rPr>
                <w:bCs/>
                <w:color w:val="000000"/>
                <w:sz w:val="20"/>
                <w:szCs w:val="20"/>
              </w:rPr>
            </w:pPr>
            <w:r w:rsidRPr="008B6A75">
              <w:rPr>
                <w:bCs/>
                <w:color w:val="000000"/>
                <w:sz w:val="20"/>
                <w:szCs w:val="20"/>
              </w:rPr>
              <w:t>1 168 800,00</w:t>
            </w:r>
          </w:p>
        </w:tc>
        <w:tc>
          <w:tcPr>
            <w:tcW w:w="553" w:type="dxa"/>
            <w:gridSpan w:val="2"/>
            <w:vAlign w:val="center"/>
            <w:hideMark/>
          </w:tcPr>
          <w:p w14:paraId="38E22215" w14:textId="77777777" w:rsidR="00387142" w:rsidRPr="008B6A75" w:rsidRDefault="00387142" w:rsidP="00387142">
            <w:pPr>
              <w:rPr>
                <w:sz w:val="20"/>
                <w:szCs w:val="20"/>
              </w:rPr>
            </w:pPr>
          </w:p>
        </w:tc>
      </w:tr>
    </w:tbl>
    <w:p w14:paraId="48303C21" w14:textId="77777777" w:rsidR="00387142" w:rsidRPr="008B6A75" w:rsidRDefault="00387142" w:rsidP="00387142">
      <w:pPr>
        <w:rPr>
          <w:sz w:val="20"/>
          <w:szCs w:val="20"/>
        </w:rPr>
      </w:pPr>
    </w:p>
    <w:p w14:paraId="7D7FA9F5" w14:textId="77777777" w:rsidR="00387142" w:rsidRPr="008B6A75" w:rsidRDefault="00387142" w:rsidP="00387142">
      <w:pPr>
        <w:rPr>
          <w:sz w:val="20"/>
          <w:szCs w:val="20"/>
        </w:rPr>
        <w:sectPr w:rsidR="00387142" w:rsidRPr="008B6A75" w:rsidSect="00387142">
          <w:pgSz w:w="16838" w:h="11906" w:orient="landscape"/>
          <w:pgMar w:top="993" w:right="1134" w:bottom="567" w:left="1134" w:header="397" w:footer="397" w:gutter="0"/>
          <w:cols w:space="708"/>
          <w:titlePg/>
          <w:docGrid w:linePitch="360"/>
        </w:sectPr>
      </w:pPr>
    </w:p>
    <w:tbl>
      <w:tblPr>
        <w:tblW w:w="9586" w:type="dxa"/>
        <w:tblInd w:w="567" w:type="dxa"/>
        <w:tblLook w:val="04A0" w:firstRow="1" w:lastRow="0" w:firstColumn="1" w:lastColumn="0" w:noHBand="0" w:noVBand="1"/>
      </w:tblPr>
      <w:tblGrid>
        <w:gridCol w:w="677"/>
        <w:gridCol w:w="2923"/>
        <w:gridCol w:w="4023"/>
        <w:gridCol w:w="1963"/>
      </w:tblGrid>
      <w:tr w:rsidR="00387142" w:rsidRPr="008B6A75" w14:paraId="36BE73A1" w14:textId="77777777" w:rsidTr="00387142">
        <w:trPr>
          <w:trHeight w:val="315"/>
        </w:trPr>
        <w:tc>
          <w:tcPr>
            <w:tcW w:w="677" w:type="dxa"/>
            <w:tcBorders>
              <w:top w:val="nil"/>
              <w:left w:val="nil"/>
              <w:bottom w:val="nil"/>
              <w:right w:val="nil"/>
            </w:tcBorders>
            <w:shd w:val="clear" w:color="auto" w:fill="auto"/>
            <w:noWrap/>
            <w:vAlign w:val="bottom"/>
            <w:hideMark/>
          </w:tcPr>
          <w:p w14:paraId="25A81264" w14:textId="77777777" w:rsidR="00387142" w:rsidRPr="008B6A75" w:rsidRDefault="00387142" w:rsidP="00387142">
            <w:pPr>
              <w:rPr>
                <w:sz w:val="20"/>
                <w:szCs w:val="20"/>
              </w:rPr>
            </w:pPr>
          </w:p>
        </w:tc>
        <w:tc>
          <w:tcPr>
            <w:tcW w:w="2923" w:type="dxa"/>
            <w:tcBorders>
              <w:top w:val="nil"/>
              <w:left w:val="nil"/>
              <w:bottom w:val="nil"/>
              <w:right w:val="nil"/>
            </w:tcBorders>
            <w:shd w:val="clear" w:color="auto" w:fill="auto"/>
            <w:noWrap/>
            <w:vAlign w:val="bottom"/>
            <w:hideMark/>
          </w:tcPr>
          <w:p w14:paraId="3BD65FDE" w14:textId="77777777" w:rsidR="00387142" w:rsidRPr="008B6A75" w:rsidRDefault="00387142" w:rsidP="00387142">
            <w:pPr>
              <w:rPr>
                <w:sz w:val="20"/>
                <w:szCs w:val="20"/>
              </w:rPr>
            </w:pPr>
          </w:p>
        </w:tc>
        <w:tc>
          <w:tcPr>
            <w:tcW w:w="4023" w:type="dxa"/>
            <w:tcBorders>
              <w:top w:val="nil"/>
              <w:left w:val="nil"/>
              <w:bottom w:val="nil"/>
              <w:right w:val="nil"/>
            </w:tcBorders>
            <w:shd w:val="clear" w:color="auto" w:fill="auto"/>
            <w:noWrap/>
            <w:vAlign w:val="bottom"/>
            <w:hideMark/>
          </w:tcPr>
          <w:p w14:paraId="2A28A3D0" w14:textId="77777777" w:rsidR="00387142" w:rsidRPr="008B6A75" w:rsidRDefault="00387142" w:rsidP="00387142">
            <w:pPr>
              <w:jc w:val="right"/>
              <w:rPr>
                <w:color w:val="000000"/>
                <w:sz w:val="20"/>
                <w:szCs w:val="20"/>
              </w:rPr>
            </w:pPr>
            <w:r w:rsidRPr="008B6A75">
              <w:rPr>
                <w:color w:val="000000"/>
                <w:sz w:val="20"/>
                <w:szCs w:val="20"/>
              </w:rPr>
              <w:t>таблица 3</w:t>
            </w:r>
          </w:p>
        </w:tc>
        <w:tc>
          <w:tcPr>
            <w:tcW w:w="1963" w:type="dxa"/>
            <w:tcBorders>
              <w:top w:val="nil"/>
              <w:left w:val="nil"/>
              <w:bottom w:val="nil"/>
              <w:right w:val="nil"/>
            </w:tcBorders>
            <w:shd w:val="clear" w:color="auto" w:fill="auto"/>
            <w:noWrap/>
            <w:vAlign w:val="bottom"/>
            <w:hideMark/>
          </w:tcPr>
          <w:p w14:paraId="74212612" w14:textId="77777777" w:rsidR="00387142" w:rsidRPr="008B6A75" w:rsidRDefault="00387142" w:rsidP="00387142">
            <w:pPr>
              <w:jc w:val="right"/>
              <w:rPr>
                <w:color w:val="000000"/>
                <w:sz w:val="20"/>
                <w:szCs w:val="20"/>
              </w:rPr>
            </w:pPr>
          </w:p>
        </w:tc>
      </w:tr>
      <w:tr w:rsidR="00387142" w:rsidRPr="008B6A75" w14:paraId="3380F047" w14:textId="77777777" w:rsidTr="00387142">
        <w:trPr>
          <w:trHeight w:val="315"/>
        </w:trPr>
        <w:tc>
          <w:tcPr>
            <w:tcW w:w="677" w:type="dxa"/>
            <w:tcBorders>
              <w:top w:val="nil"/>
              <w:left w:val="nil"/>
              <w:bottom w:val="nil"/>
              <w:right w:val="nil"/>
            </w:tcBorders>
            <w:shd w:val="clear" w:color="auto" w:fill="auto"/>
            <w:noWrap/>
            <w:vAlign w:val="bottom"/>
            <w:hideMark/>
          </w:tcPr>
          <w:p w14:paraId="4366C154" w14:textId="77777777" w:rsidR="00387142" w:rsidRPr="008B6A75" w:rsidRDefault="00387142" w:rsidP="00387142">
            <w:pPr>
              <w:rPr>
                <w:sz w:val="20"/>
                <w:szCs w:val="20"/>
              </w:rPr>
            </w:pPr>
          </w:p>
        </w:tc>
        <w:tc>
          <w:tcPr>
            <w:tcW w:w="2923" w:type="dxa"/>
            <w:tcBorders>
              <w:top w:val="nil"/>
              <w:left w:val="nil"/>
              <w:bottom w:val="nil"/>
              <w:right w:val="nil"/>
            </w:tcBorders>
            <w:shd w:val="clear" w:color="auto" w:fill="auto"/>
            <w:noWrap/>
            <w:vAlign w:val="bottom"/>
            <w:hideMark/>
          </w:tcPr>
          <w:p w14:paraId="58138530" w14:textId="77777777" w:rsidR="00387142" w:rsidRPr="008B6A75" w:rsidRDefault="00387142" w:rsidP="00387142">
            <w:pPr>
              <w:rPr>
                <w:sz w:val="20"/>
                <w:szCs w:val="20"/>
              </w:rPr>
            </w:pPr>
          </w:p>
        </w:tc>
        <w:tc>
          <w:tcPr>
            <w:tcW w:w="4023" w:type="dxa"/>
            <w:tcBorders>
              <w:top w:val="nil"/>
              <w:left w:val="nil"/>
              <w:bottom w:val="nil"/>
              <w:right w:val="nil"/>
            </w:tcBorders>
            <w:shd w:val="clear" w:color="auto" w:fill="auto"/>
            <w:noWrap/>
            <w:vAlign w:val="bottom"/>
            <w:hideMark/>
          </w:tcPr>
          <w:p w14:paraId="7FE95BD3" w14:textId="77777777" w:rsidR="00387142" w:rsidRPr="008B6A75" w:rsidRDefault="00387142" w:rsidP="00387142">
            <w:pPr>
              <w:jc w:val="right"/>
              <w:rPr>
                <w:color w:val="000000"/>
                <w:sz w:val="20"/>
                <w:szCs w:val="20"/>
              </w:rPr>
            </w:pPr>
            <w:r w:rsidRPr="008B6A75">
              <w:rPr>
                <w:color w:val="000000"/>
                <w:sz w:val="20"/>
                <w:szCs w:val="20"/>
              </w:rPr>
              <w:t>приложения 13</w:t>
            </w:r>
          </w:p>
        </w:tc>
        <w:tc>
          <w:tcPr>
            <w:tcW w:w="1963" w:type="dxa"/>
            <w:tcBorders>
              <w:top w:val="nil"/>
              <w:left w:val="nil"/>
              <w:bottom w:val="nil"/>
              <w:right w:val="nil"/>
            </w:tcBorders>
            <w:shd w:val="clear" w:color="auto" w:fill="auto"/>
            <w:noWrap/>
            <w:vAlign w:val="bottom"/>
            <w:hideMark/>
          </w:tcPr>
          <w:p w14:paraId="3674A23E" w14:textId="77777777" w:rsidR="00387142" w:rsidRPr="008B6A75" w:rsidRDefault="00387142" w:rsidP="00387142">
            <w:pPr>
              <w:jc w:val="right"/>
              <w:rPr>
                <w:color w:val="000000"/>
                <w:sz w:val="20"/>
                <w:szCs w:val="20"/>
              </w:rPr>
            </w:pPr>
          </w:p>
        </w:tc>
      </w:tr>
      <w:tr w:rsidR="00387142" w:rsidRPr="008B6A75" w14:paraId="09F70496" w14:textId="77777777" w:rsidTr="00387142">
        <w:trPr>
          <w:trHeight w:val="315"/>
        </w:trPr>
        <w:tc>
          <w:tcPr>
            <w:tcW w:w="677" w:type="dxa"/>
            <w:tcBorders>
              <w:top w:val="nil"/>
              <w:left w:val="nil"/>
              <w:bottom w:val="nil"/>
              <w:right w:val="nil"/>
            </w:tcBorders>
            <w:shd w:val="clear" w:color="auto" w:fill="auto"/>
            <w:noWrap/>
            <w:vAlign w:val="bottom"/>
            <w:hideMark/>
          </w:tcPr>
          <w:p w14:paraId="748E9FC4" w14:textId="77777777" w:rsidR="00387142" w:rsidRPr="008B6A75" w:rsidRDefault="00387142" w:rsidP="00387142">
            <w:pPr>
              <w:rPr>
                <w:sz w:val="20"/>
                <w:szCs w:val="20"/>
              </w:rPr>
            </w:pPr>
          </w:p>
        </w:tc>
        <w:tc>
          <w:tcPr>
            <w:tcW w:w="2923" w:type="dxa"/>
            <w:tcBorders>
              <w:top w:val="nil"/>
              <w:left w:val="nil"/>
              <w:bottom w:val="nil"/>
              <w:right w:val="nil"/>
            </w:tcBorders>
            <w:shd w:val="clear" w:color="auto" w:fill="auto"/>
            <w:noWrap/>
            <w:vAlign w:val="bottom"/>
            <w:hideMark/>
          </w:tcPr>
          <w:p w14:paraId="1E942973" w14:textId="77777777" w:rsidR="00387142" w:rsidRPr="008B6A75" w:rsidRDefault="00387142" w:rsidP="00387142">
            <w:pPr>
              <w:rPr>
                <w:sz w:val="20"/>
                <w:szCs w:val="20"/>
              </w:rPr>
            </w:pPr>
          </w:p>
        </w:tc>
        <w:tc>
          <w:tcPr>
            <w:tcW w:w="4023" w:type="dxa"/>
            <w:tcBorders>
              <w:top w:val="nil"/>
              <w:left w:val="nil"/>
              <w:bottom w:val="nil"/>
              <w:right w:val="nil"/>
            </w:tcBorders>
            <w:shd w:val="clear" w:color="auto" w:fill="auto"/>
            <w:noWrap/>
            <w:vAlign w:val="bottom"/>
            <w:hideMark/>
          </w:tcPr>
          <w:p w14:paraId="3506F55F" w14:textId="77777777" w:rsidR="00387142" w:rsidRPr="008B6A75" w:rsidRDefault="00387142" w:rsidP="00387142">
            <w:pPr>
              <w:rPr>
                <w:sz w:val="20"/>
                <w:szCs w:val="20"/>
              </w:rPr>
            </w:pPr>
          </w:p>
        </w:tc>
        <w:tc>
          <w:tcPr>
            <w:tcW w:w="1963" w:type="dxa"/>
            <w:tcBorders>
              <w:top w:val="nil"/>
              <w:left w:val="nil"/>
              <w:bottom w:val="nil"/>
              <w:right w:val="nil"/>
            </w:tcBorders>
            <w:shd w:val="clear" w:color="auto" w:fill="auto"/>
            <w:noWrap/>
            <w:vAlign w:val="bottom"/>
            <w:hideMark/>
          </w:tcPr>
          <w:p w14:paraId="67001A1F" w14:textId="77777777" w:rsidR="00387142" w:rsidRPr="008B6A75" w:rsidRDefault="00387142" w:rsidP="00387142">
            <w:pPr>
              <w:rPr>
                <w:sz w:val="20"/>
                <w:szCs w:val="20"/>
              </w:rPr>
            </w:pPr>
          </w:p>
        </w:tc>
      </w:tr>
      <w:tr w:rsidR="00387142" w:rsidRPr="008B6A75" w14:paraId="5CA197DC" w14:textId="77777777" w:rsidTr="00387142">
        <w:trPr>
          <w:trHeight w:val="1650"/>
        </w:trPr>
        <w:tc>
          <w:tcPr>
            <w:tcW w:w="9586" w:type="dxa"/>
            <w:gridSpan w:val="4"/>
            <w:tcBorders>
              <w:top w:val="nil"/>
              <w:left w:val="nil"/>
              <w:bottom w:val="nil"/>
              <w:right w:val="nil"/>
            </w:tcBorders>
            <w:shd w:val="clear" w:color="auto" w:fill="auto"/>
            <w:vAlign w:val="center"/>
            <w:hideMark/>
          </w:tcPr>
          <w:p w14:paraId="6477A27E" w14:textId="77777777" w:rsidR="00387142" w:rsidRPr="008B6A75" w:rsidRDefault="00387142" w:rsidP="00387142">
            <w:pPr>
              <w:jc w:val="center"/>
              <w:rPr>
                <w:color w:val="000000"/>
                <w:sz w:val="20"/>
                <w:szCs w:val="20"/>
              </w:rPr>
            </w:pPr>
            <w:r w:rsidRPr="008B6A75">
              <w:rPr>
                <w:color w:val="000000"/>
                <w:sz w:val="20"/>
                <w:szCs w:val="20"/>
              </w:rPr>
              <w:t xml:space="preserve">Иные межбюджетные трансферты на реализацию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  </w:t>
            </w:r>
          </w:p>
        </w:tc>
      </w:tr>
      <w:tr w:rsidR="00387142" w:rsidRPr="008B6A75" w14:paraId="528A5A5C" w14:textId="77777777" w:rsidTr="00387142">
        <w:trPr>
          <w:trHeight w:val="420"/>
        </w:trPr>
        <w:tc>
          <w:tcPr>
            <w:tcW w:w="677" w:type="dxa"/>
            <w:tcBorders>
              <w:top w:val="nil"/>
              <w:left w:val="nil"/>
              <w:bottom w:val="nil"/>
              <w:right w:val="nil"/>
            </w:tcBorders>
            <w:shd w:val="clear" w:color="auto" w:fill="auto"/>
            <w:vAlign w:val="center"/>
            <w:hideMark/>
          </w:tcPr>
          <w:p w14:paraId="3E4BB5D4" w14:textId="77777777" w:rsidR="00387142" w:rsidRPr="008B6A75" w:rsidRDefault="00387142" w:rsidP="00387142">
            <w:pPr>
              <w:jc w:val="center"/>
              <w:rPr>
                <w:color w:val="000000"/>
                <w:sz w:val="20"/>
                <w:szCs w:val="20"/>
              </w:rPr>
            </w:pPr>
          </w:p>
        </w:tc>
        <w:tc>
          <w:tcPr>
            <w:tcW w:w="2923" w:type="dxa"/>
            <w:tcBorders>
              <w:top w:val="nil"/>
              <w:left w:val="nil"/>
              <w:bottom w:val="nil"/>
              <w:right w:val="nil"/>
            </w:tcBorders>
            <w:shd w:val="clear" w:color="auto" w:fill="auto"/>
            <w:vAlign w:val="center"/>
            <w:hideMark/>
          </w:tcPr>
          <w:p w14:paraId="798B56DC" w14:textId="77777777" w:rsidR="00387142" w:rsidRPr="008B6A75" w:rsidRDefault="00387142" w:rsidP="00387142">
            <w:pPr>
              <w:rPr>
                <w:sz w:val="20"/>
                <w:szCs w:val="20"/>
              </w:rPr>
            </w:pPr>
          </w:p>
        </w:tc>
        <w:tc>
          <w:tcPr>
            <w:tcW w:w="4023" w:type="dxa"/>
            <w:tcBorders>
              <w:top w:val="nil"/>
              <w:left w:val="nil"/>
              <w:bottom w:val="nil"/>
              <w:right w:val="nil"/>
            </w:tcBorders>
            <w:shd w:val="clear" w:color="auto" w:fill="auto"/>
            <w:vAlign w:val="center"/>
            <w:hideMark/>
          </w:tcPr>
          <w:p w14:paraId="719035BF" w14:textId="77777777" w:rsidR="00387142" w:rsidRPr="008B6A75" w:rsidRDefault="00387142" w:rsidP="00387142">
            <w:pPr>
              <w:rPr>
                <w:sz w:val="20"/>
                <w:szCs w:val="20"/>
              </w:rPr>
            </w:pPr>
          </w:p>
        </w:tc>
        <w:tc>
          <w:tcPr>
            <w:tcW w:w="1963" w:type="dxa"/>
            <w:tcBorders>
              <w:top w:val="nil"/>
              <w:left w:val="nil"/>
              <w:bottom w:val="nil"/>
              <w:right w:val="nil"/>
            </w:tcBorders>
            <w:shd w:val="clear" w:color="auto" w:fill="auto"/>
            <w:noWrap/>
            <w:vAlign w:val="bottom"/>
            <w:hideMark/>
          </w:tcPr>
          <w:p w14:paraId="446ADC18" w14:textId="77777777" w:rsidR="00387142" w:rsidRPr="008B6A75" w:rsidRDefault="00387142" w:rsidP="00387142">
            <w:pPr>
              <w:rPr>
                <w:sz w:val="20"/>
                <w:szCs w:val="20"/>
              </w:rPr>
            </w:pPr>
          </w:p>
        </w:tc>
      </w:tr>
      <w:tr w:rsidR="00387142" w:rsidRPr="008B6A75" w14:paraId="22B9E0B5" w14:textId="77777777" w:rsidTr="00387142">
        <w:trPr>
          <w:trHeight w:val="315"/>
        </w:trPr>
        <w:tc>
          <w:tcPr>
            <w:tcW w:w="677" w:type="dxa"/>
            <w:tcBorders>
              <w:top w:val="nil"/>
              <w:left w:val="nil"/>
              <w:bottom w:val="single" w:sz="4" w:space="0" w:color="auto"/>
              <w:right w:val="nil"/>
            </w:tcBorders>
            <w:shd w:val="clear" w:color="auto" w:fill="auto"/>
            <w:vAlign w:val="bottom"/>
            <w:hideMark/>
          </w:tcPr>
          <w:p w14:paraId="20B96CDE" w14:textId="77777777" w:rsidR="00387142" w:rsidRPr="008B6A75" w:rsidRDefault="00387142" w:rsidP="00387142">
            <w:pPr>
              <w:jc w:val="center"/>
              <w:rPr>
                <w:color w:val="000000"/>
                <w:sz w:val="20"/>
                <w:szCs w:val="20"/>
              </w:rPr>
            </w:pPr>
            <w:r w:rsidRPr="008B6A75">
              <w:rPr>
                <w:color w:val="000000"/>
                <w:sz w:val="20"/>
                <w:szCs w:val="20"/>
              </w:rPr>
              <w:t> </w:t>
            </w:r>
          </w:p>
        </w:tc>
        <w:tc>
          <w:tcPr>
            <w:tcW w:w="2923" w:type="dxa"/>
            <w:tcBorders>
              <w:top w:val="nil"/>
              <w:left w:val="nil"/>
              <w:bottom w:val="single" w:sz="4" w:space="0" w:color="auto"/>
              <w:right w:val="nil"/>
            </w:tcBorders>
            <w:shd w:val="clear" w:color="auto" w:fill="auto"/>
            <w:vAlign w:val="bottom"/>
            <w:hideMark/>
          </w:tcPr>
          <w:p w14:paraId="04923447" w14:textId="77777777" w:rsidR="00387142" w:rsidRPr="008B6A75" w:rsidRDefault="00387142" w:rsidP="00387142">
            <w:pPr>
              <w:jc w:val="center"/>
              <w:rPr>
                <w:color w:val="000000"/>
                <w:sz w:val="20"/>
                <w:szCs w:val="20"/>
              </w:rPr>
            </w:pPr>
            <w:r w:rsidRPr="008B6A75">
              <w:rPr>
                <w:color w:val="000000"/>
                <w:sz w:val="20"/>
                <w:szCs w:val="20"/>
              </w:rPr>
              <w:t> </w:t>
            </w:r>
          </w:p>
        </w:tc>
        <w:tc>
          <w:tcPr>
            <w:tcW w:w="4023" w:type="dxa"/>
            <w:tcBorders>
              <w:top w:val="nil"/>
              <w:left w:val="nil"/>
              <w:bottom w:val="single" w:sz="4" w:space="0" w:color="auto"/>
              <w:right w:val="nil"/>
            </w:tcBorders>
            <w:shd w:val="clear" w:color="auto" w:fill="auto"/>
            <w:vAlign w:val="bottom"/>
            <w:hideMark/>
          </w:tcPr>
          <w:p w14:paraId="77EC4109" w14:textId="77777777" w:rsidR="00387142" w:rsidRPr="008B6A75" w:rsidRDefault="00387142" w:rsidP="00387142">
            <w:pPr>
              <w:jc w:val="center"/>
              <w:rPr>
                <w:color w:val="000000"/>
                <w:sz w:val="20"/>
                <w:szCs w:val="20"/>
              </w:rPr>
            </w:pPr>
            <w:r w:rsidRPr="008B6A75">
              <w:rPr>
                <w:color w:val="000000"/>
                <w:sz w:val="20"/>
                <w:szCs w:val="20"/>
              </w:rPr>
              <w:t> </w:t>
            </w:r>
          </w:p>
        </w:tc>
        <w:tc>
          <w:tcPr>
            <w:tcW w:w="1963" w:type="dxa"/>
            <w:tcBorders>
              <w:top w:val="nil"/>
              <w:left w:val="nil"/>
              <w:bottom w:val="nil"/>
              <w:right w:val="nil"/>
            </w:tcBorders>
            <w:shd w:val="clear" w:color="auto" w:fill="auto"/>
            <w:noWrap/>
            <w:vAlign w:val="bottom"/>
            <w:hideMark/>
          </w:tcPr>
          <w:p w14:paraId="3D87EDC8" w14:textId="77777777" w:rsidR="00387142" w:rsidRPr="008B6A75" w:rsidRDefault="00387142" w:rsidP="00387142">
            <w:pPr>
              <w:jc w:val="center"/>
              <w:rPr>
                <w:color w:val="000000"/>
                <w:sz w:val="20"/>
                <w:szCs w:val="20"/>
              </w:rPr>
            </w:pPr>
          </w:p>
        </w:tc>
      </w:tr>
      <w:tr w:rsidR="00387142" w:rsidRPr="008B6A75" w14:paraId="22389B21" w14:textId="77777777" w:rsidTr="00387142">
        <w:trPr>
          <w:trHeight w:val="690"/>
        </w:trPr>
        <w:tc>
          <w:tcPr>
            <w:tcW w:w="677" w:type="dxa"/>
            <w:vMerge w:val="restart"/>
            <w:tcBorders>
              <w:top w:val="nil"/>
              <w:left w:val="single" w:sz="4" w:space="0" w:color="auto"/>
              <w:bottom w:val="single" w:sz="4" w:space="0" w:color="000000"/>
              <w:right w:val="single" w:sz="4" w:space="0" w:color="auto"/>
            </w:tcBorders>
            <w:shd w:val="clear" w:color="auto" w:fill="auto"/>
            <w:vAlign w:val="center"/>
            <w:hideMark/>
          </w:tcPr>
          <w:p w14:paraId="4FEE4B6E" w14:textId="77777777" w:rsidR="00387142" w:rsidRPr="008B6A75" w:rsidRDefault="00387142" w:rsidP="00387142">
            <w:pPr>
              <w:jc w:val="center"/>
              <w:rPr>
                <w:color w:val="000000"/>
                <w:sz w:val="20"/>
                <w:szCs w:val="20"/>
              </w:rPr>
            </w:pPr>
            <w:r w:rsidRPr="008B6A75">
              <w:rPr>
                <w:color w:val="000000"/>
                <w:sz w:val="20"/>
                <w:szCs w:val="20"/>
              </w:rPr>
              <w:t>№п/п</w:t>
            </w:r>
          </w:p>
        </w:tc>
        <w:tc>
          <w:tcPr>
            <w:tcW w:w="2923" w:type="dxa"/>
            <w:vMerge w:val="restart"/>
            <w:tcBorders>
              <w:top w:val="nil"/>
              <w:left w:val="single" w:sz="4" w:space="0" w:color="auto"/>
              <w:bottom w:val="single" w:sz="4" w:space="0" w:color="000000"/>
              <w:right w:val="single" w:sz="4" w:space="0" w:color="auto"/>
            </w:tcBorders>
            <w:shd w:val="clear" w:color="auto" w:fill="auto"/>
            <w:vAlign w:val="center"/>
            <w:hideMark/>
          </w:tcPr>
          <w:p w14:paraId="03D0A656" w14:textId="77777777" w:rsidR="00387142" w:rsidRPr="008B6A75" w:rsidRDefault="00387142" w:rsidP="00387142">
            <w:pPr>
              <w:jc w:val="center"/>
              <w:rPr>
                <w:color w:val="000000"/>
                <w:sz w:val="20"/>
                <w:szCs w:val="20"/>
              </w:rPr>
            </w:pPr>
            <w:r w:rsidRPr="008B6A75">
              <w:rPr>
                <w:color w:val="000000"/>
                <w:sz w:val="20"/>
                <w:szCs w:val="20"/>
              </w:rPr>
              <w:t>Наименование поселений</w:t>
            </w:r>
          </w:p>
        </w:tc>
        <w:tc>
          <w:tcPr>
            <w:tcW w:w="4023" w:type="dxa"/>
            <w:tcBorders>
              <w:top w:val="nil"/>
              <w:left w:val="nil"/>
              <w:bottom w:val="nil"/>
              <w:right w:val="single" w:sz="4" w:space="0" w:color="auto"/>
            </w:tcBorders>
            <w:shd w:val="clear" w:color="auto" w:fill="auto"/>
            <w:vAlign w:val="center"/>
            <w:hideMark/>
          </w:tcPr>
          <w:p w14:paraId="7689EFE1" w14:textId="77777777" w:rsidR="00387142" w:rsidRPr="008B6A75" w:rsidRDefault="00387142" w:rsidP="00387142">
            <w:pPr>
              <w:jc w:val="center"/>
              <w:rPr>
                <w:color w:val="000000"/>
                <w:sz w:val="20"/>
                <w:szCs w:val="20"/>
              </w:rPr>
            </w:pPr>
            <w:r w:rsidRPr="008B6A75">
              <w:rPr>
                <w:color w:val="000000"/>
                <w:sz w:val="20"/>
                <w:szCs w:val="20"/>
              </w:rPr>
              <w:t>Сумма в рублях</w:t>
            </w:r>
          </w:p>
        </w:tc>
        <w:tc>
          <w:tcPr>
            <w:tcW w:w="1963" w:type="dxa"/>
            <w:tcBorders>
              <w:top w:val="single" w:sz="4" w:space="0" w:color="auto"/>
              <w:left w:val="nil"/>
              <w:bottom w:val="single" w:sz="4" w:space="0" w:color="auto"/>
              <w:right w:val="single" w:sz="4" w:space="0" w:color="auto"/>
            </w:tcBorders>
            <w:shd w:val="clear" w:color="auto" w:fill="auto"/>
            <w:vAlign w:val="center"/>
            <w:hideMark/>
          </w:tcPr>
          <w:p w14:paraId="24C4853F" w14:textId="77777777" w:rsidR="00387142" w:rsidRPr="008B6A75" w:rsidRDefault="00387142" w:rsidP="00387142">
            <w:pPr>
              <w:jc w:val="center"/>
              <w:rPr>
                <w:color w:val="000000"/>
                <w:sz w:val="20"/>
                <w:szCs w:val="20"/>
              </w:rPr>
            </w:pPr>
            <w:r w:rsidRPr="008B6A75">
              <w:rPr>
                <w:color w:val="000000"/>
                <w:sz w:val="20"/>
                <w:szCs w:val="20"/>
              </w:rPr>
              <w:t xml:space="preserve">в том числе </w:t>
            </w:r>
          </w:p>
        </w:tc>
      </w:tr>
      <w:tr w:rsidR="00387142" w:rsidRPr="008B6A75" w14:paraId="5BA10AD6" w14:textId="77777777" w:rsidTr="00387142">
        <w:trPr>
          <w:trHeight w:val="1350"/>
        </w:trPr>
        <w:tc>
          <w:tcPr>
            <w:tcW w:w="677" w:type="dxa"/>
            <w:vMerge/>
            <w:tcBorders>
              <w:top w:val="nil"/>
              <w:left w:val="single" w:sz="4" w:space="0" w:color="auto"/>
              <w:bottom w:val="single" w:sz="4" w:space="0" w:color="000000"/>
              <w:right w:val="single" w:sz="4" w:space="0" w:color="auto"/>
            </w:tcBorders>
            <w:vAlign w:val="center"/>
            <w:hideMark/>
          </w:tcPr>
          <w:p w14:paraId="70A40146" w14:textId="77777777" w:rsidR="00387142" w:rsidRPr="008B6A75" w:rsidRDefault="00387142" w:rsidP="00387142">
            <w:pPr>
              <w:rPr>
                <w:color w:val="000000"/>
                <w:sz w:val="20"/>
                <w:szCs w:val="20"/>
              </w:rPr>
            </w:pPr>
          </w:p>
        </w:tc>
        <w:tc>
          <w:tcPr>
            <w:tcW w:w="2923" w:type="dxa"/>
            <w:vMerge/>
            <w:tcBorders>
              <w:top w:val="nil"/>
              <w:left w:val="single" w:sz="4" w:space="0" w:color="auto"/>
              <w:bottom w:val="single" w:sz="4" w:space="0" w:color="000000"/>
              <w:right w:val="single" w:sz="4" w:space="0" w:color="auto"/>
            </w:tcBorders>
            <w:vAlign w:val="center"/>
            <w:hideMark/>
          </w:tcPr>
          <w:p w14:paraId="5ED1D4C9" w14:textId="77777777" w:rsidR="00387142" w:rsidRPr="008B6A75" w:rsidRDefault="00387142" w:rsidP="00387142">
            <w:pPr>
              <w:rPr>
                <w:color w:val="000000"/>
                <w:sz w:val="20"/>
                <w:szCs w:val="20"/>
              </w:rPr>
            </w:pPr>
          </w:p>
        </w:tc>
        <w:tc>
          <w:tcPr>
            <w:tcW w:w="4023" w:type="dxa"/>
            <w:tcBorders>
              <w:top w:val="single" w:sz="4" w:space="0" w:color="auto"/>
              <w:left w:val="nil"/>
              <w:bottom w:val="single" w:sz="4" w:space="0" w:color="auto"/>
              <w:right w:val="single" w:sz="4" w:space="0" w:color="auto"/>
            </w:tcBorders>
            <w:shd w:val="clear" w:color="auto" w:fill="auto"/>
            <w:vAlign w:val="center"/>
            <w:hideMark/>
          </w:tcPr>
          <w:p w14:paraId="32DD14B0" w14:textId="77777777" w:rsidR="00387142" w:rsidRPr="008B6A75" w:rsidRDefault="00387142" w:rsidP="00387142">
            <w:pPr>
              <w:jc w:val="center"/>
              <w:rPr>
                <w:color w:val="000000"/>
                <w:sz w:val="20"/>
                <w:szCs w:val="20"/>
              </w:rPr>
            </w:pPr>
            <w:r w:rsidRPr="008B6A75">
              <w:rPr>
                <w:color w:val="000000"/>
                <w:sz w:val="20"/>
                <w:szCs w:val="20"/>
              </w:rPr>
              <w:t>2022 год</w:t>
            </w:r>
          </w:p>
        </w:tc>
        <w:tc>
          <w:tcPr>
            <w:tcW w:w="1963" w:type="dxa"/>
            <w:tcBorders>
              <w:top w:val="nil"/>
              <w:left w:val="nil"/>
              <w:bottom w:val="single" w:sz="4" w:space="0" w:color="auto"/>
              <w:right w:val="single" w:sz="4" w:space="0" w:color="auto"/>
            </w:tcBorders>
            <w:shd w:val="clear" w:color="auto" w:fill="auto"/>
            <w:vAlign w:val="center"/>
            <w:hideMark/>
          </w:tcPr>
          <w:p w14:paraId="666F6C77" w14:textId="77777777" w:rsidR="00387142" w:rsidRPr="008B6A75" w:rsidRDefault="00387142" w:rsidP="00387142">
            <w:pPr>
              <w:jc w:val="center"/>
              <w:rPr>
                <w:color w:val="000000"/>
                <w:sz w:val="20"/>
                <w:szCs w:val="20"/>
              </w:rPr>
            </w:pPr>
            <w:r w:rsidRPr="008B6A75">
              <w:rPr>
                <w:color w:val="000000"/>
                <w:sz w:val="20"/>
                <w:szCs w:val="20"/>
              </w:rPr>
              <w:t>наказы избирателей</w:t>
            </w:r>
          </w:p>
        </w:tc>
      </w:tr>
      <w:tr w:rsidR="00387142" w:rsidRPr="008B6A75" w14:paraId="1F919D00" w14:textId="77777777" w:rsidTr="00387142">
        <w:trPr>
          <w:trHeight w:val="315"/>
        </w:trPr>
        <w:tc>
          <w:tcPr>
            <w:tcW w:w="677" w:type="dxa"/>
            <w:tcBorders>
              <w:top w:val="nil"/>
              <w:left w:val="single" w:sz="4" w:space="0" w:color="auto"/>
              <w:bottom w:val="single" w:sz="4" w:space="0" w:color="auto"/>
              <w:right w:val="single" w:sz="4" w:space="0" w:color="auto"/>
            </w:tcBorders>
            <w:shd w:val="clear" w:color="auto" w:fill="auto"/>
            <w:vAlign w:val="bottom"/>
            <w:hideMark/>
          </w:tcPr>
          <w:p w14:paraId="4C29AC60" w14:textId="77777777" w:rsidR="00387142" w:rsidRPr="008B6A75" w:rsidRDefault="00387142" w:rsidP="00387142">
            <w:pPr>
              <w:jc w:val="right"/>
              <w:rPr>
                <w:color w:val="000000"/>
                <w:sz w:val="20"/>
                <w:szCs w:val="20"/>
              </w:rPr>
            </w:pPr>
            <w:r w:rsidRPr="008B6A75">
              <w:rPr>
                <w:color w:val="000000"/>
                <w:sz w:val="20"/>
                <w:szCs w:val="20"/>
              </w:rPr>
              <w:t>1</w:t>
            </w:r>
          </w:p>
        </w:tc>
        <w:tc>
          <w:tcPr>
            <w:tcW w:w="2923" w:type="dxa"/>
            <w:tcBorders>
              <w:top w:val="nil"/>
              <w:left w:val="nil"/>
              <w:bottom w:val="single" w:sz="4" w:space="0" w:color="auto"/>
              <w:right w:val="single" w:sz="4" w:space="0" w:color="auto"/>
            </w:tcBorders>
            <w:shd w:val="clear" w:color="auto" w:fill="auto"/>
            <w:vAlign w:val="bottom"/>
            <w:hideMark/>
          </w:tcPr>
          <w:p w14:paraId="75C6C9A5" w14:textId="77777777" w:rsidR="00387142" w:rsidRPr="008B6A75" w:rsidRDefault="00387142" w:rsidP="00387142">
            <w:pPr>
              <w:rPr>
                <w:color w:val="000000"/>
                <w:sz w:val="20"/>
                <w:szCs w:val="20"/>
              </w:rPr>
            </w:pPr>
            <w:proofErr w:type="spellStart"/>
            <w:r w:rsidRPr="008B6A75">
              <w:rPr>
                <w:color w:val="000000"/>
                <w:sz w:val="20"/>
                <w:szCs w:val="20"/>
              </w:rPr>
              <w:t>Абрамовский</w:t>
            </w:r>
            <w:proofErr w:type="spellEnd"/>
          </w:p>
        </w:tc>
        <w:tc>
          <w:tcPr>
            <w:tcW w:w="4023" w:type="dxa"/>
            <w:tcBorders>
              <w:top w:val="nil"/>
              <w:left w:val="nil"/>
              <w:bottom w:val="single" w:sz="4" w:space="0" w:color="auto"/>
              <w:right w:val="single" w:sz="4" w:space="0" w:color="auto"/>
            </w:tcBorders>
            <w:shd w:val="clear" w:color="auto" w:fill="auto"/>
            <w:noWrap/>
            <w:vAlign w:val="bottom"/>
            <w:hideMark/>
          </w:tcPr>
          <w:p w14:paraId="6632B8EC" w14:textId="77777777" w:rsidR="00387142" w:rsidRPr="008B6A75" w:rsidRDefault="00387142" w:rsidP="00387142">
            <w:pPr>
              <w:jc w:val="right"/>
              <w:rPr>
                <w:color w:val="000000"/>
                <w:sz w:val="20"/>
                <w:szCs w:val="20"/>
              </w:rPr>
            </w:pPr>
            <w:r w:rsidRPr="008B6A75">
              <w:rPr>
                <w:color w:val="000000"/>
                <w:sz w:val="20"/>
                <w:szCs w:val="20"/>
              </w:rPr>
              <w:t>2 060 600,00</w:t>
            </w:r>
          </w:p>
        </w:tc>
        <w:tc>
          <w:tcPr>
            <w:tcW w:w="1963" w:type="dxa"/>
            <w:tcBorders>
              <w:top w:val="nil"/>
              <w:left w:val="nil"/>
              <w:bottom w:val="single" w:sz="4" w:space="0" w:color="auto"/>
              <w:right w:val="single" w:sz="4" w:space="0" w:color="auto"/>
            </w:tcBorders>
            <w:shd w:val="clear" w:color="auto" w:fill="auto"/>
            <w:noWrap/>
            <w:vAlign w:val="bottom"/>
            <w:hideMark/>
          </w:tcPr>
          <w:p w14:paraId="42ED2AD9" w14:textId="77777777" w:rsidR="00387142" w:rsidRPr="008B6A75" w:rsidRDefault="00387142" w:rsidP="00387142">
            <w:pPr>
              <w:rPr>
                <w:color w:val="000000"/>
                <w:sz w:val="20"/>
                <w:szCs w:val="20"/>
              </w:rPr>
            </w:pPr>
            <w:r w:rsidRPr="008B6A75">
              <w:rPr>
                <w:color w:val="000000"/>
                <w:sz w:val="20"/>
                <w:szCs w:val="20"/>
              </w:rPr>
              <w:t> </w:t>
            </w:r>
          </w:p>
        </w:tc>
      </w:tr>
      <w:tr w:rsidR="00387142" w:rsidRPr="008B6A75" w14:paraId="0E8135D4" w14:textId="77777777" w:rsidTr="00387142">
        <w:trPr>
          <w:trHeight w:val="315"/>
        </w:trPr>
        <w:tc>
          <w:tcPr>
            <w:tcW w:w="677" w:type="dxa"/>
            <w:tcBorders>
              <w:top w:val="nil"/>
              <w:left w:val="single" w:sz="4" w:space="0" w:color="auto"/>
              <w:bottom w:val="single" w:sz="4" w:space="0" w:color="auto"/>
              <w:right w:val="single" w:sz="4" w:space="0" w:color="auto"/>
            </w:tcBorders>
            <w:shd w:val="clear" w:color="auto" w:fill="auto"/>
            <w:vAlign w:val="bottom"/>
            <w:hideMark/>
          </w:tcPr>
          <w:p w14:paraId="3040DE7F" w14:textId="77777777" w:rsidR="00387142" w:rsidRPr="008B6A75" w:rsidRDefault="00387142" w:rsidP="00387142">
            <w:pPr>
              <w:jc w:val="right"/>
              <w:rPr>
                <w:color w:val="000000"/>
                <w:sz w:val="20"/>
                <w:szCs w:val="20"/>
              </w:rPr>
            </w:pPr>
            <w:r w:rsidRPr="008B6A75">
              <w:rPr>
                <w:color w:val="000000"/>
                <w:sz w:val="20"/>
                <w:szCs w:val="20"/>
              </w:rPr>
              <w:t>2</w:t>
            </w:r>
          </w:p>
        </w:tc>
        <w:tc>
          <w:tcPr>
            <w:tcW w:w="2923" w:type="dxa"/>
            <w:tcBorders>
              <w:top w:val="nil"/>
              <w:left w:val="nil"/>
              <w:bottom w:val="single" w:sz="4" w:space="0" w:color="auto"/>
              <w:right w:val="single" w:sz="4" w:space="0" w:color="auto"/>
            </w:tcBorders>
            <w:shd w:val="clear" w:color="auto" w:fill="auto"/>
            <w:vAlign w:val="bottom"/>
            <w:hideMark/>
          </w:tcPr>
          <w:p w14:paraId="43A46B47" w14:textId="77777777" w:rsidR="00387142" w:rsidRPr="008B6A75" w:rsidRDefault="00387142" w:rsidP="00387142">
            <w:pPr>
              <w:rPr>
                <w:color w:val="000000"/>
                <w:sz w:val="20"/>
                <w:szCs w:val="20"/>
              </w:rPr>
            </w:pPr>
            <w:proofErr w:type="spellStart"/>
            <w:r w:rsidRPr="008B6A75">
              <w:rPr>
                <w:color w:val="000000"/>
                <w:sz w:val="20"/>
                <w:szCs w:val="20"/>
              </w:rPr>
              <w:t>Балманский</w:t>
            </w:r>
            <w:proofErr w:type="spellEnd"/>
          </w:p>
        </w:tc>
        <w:tc>
          <w:tcPr>
            <w:tcW w:w="4023" w:type="dxa"/>
            <w:tcBorders>
              <w:top w:val="nil"/>
              <w:left w:val="nil"/>
              <w:bottom w:val="single" w:sz="4" w:space="0" w:color="auto"/>
              <w:right w:val="single" w:sz="4" w:space="0" w:color="auto"/>
            </w:tcBorders>
            <w:shd w:val="clear" w:color="auto" w:fill="auto"/>
            <w:noWrap/>
            <w:vAlign w:val="bottom"/>
            <w:hideMark/>
          </w:tcPr>
          <w:p w14:paraId="15B46507" w14:textId="77777777" w:rsidR="00387142" w:rsidRPr="008B6A75" w:rsidRDefault="00387142" w:rsidP="00387142">
            <w:pPr>
              <w:jc w:val="right"/>
              <w:rPr>
                <w:color w:val="000000"/>
                <w:sz w:val="20"/>
                <w:szCs w:val="20"/>
              </w:rPr>
            </w:pPr>
            <w:r w:rsidRPr="008B6A75">
              <w:rPr>
                <w:color w:val="000000"/>
                <w:sz w:val="20"/>
                <w:szCs w:val="20"/>
              </w:rPr>
              <w:t>508 800,00</w:t>
            </w:r>
          </w:p>
        </w:tc>
        <w:tc>
          <w:tcPr>
            <w:tcW w:w="1963" w:type="dxa"/>
            <w:tcBorders>
              <w:top w:val="nil"/>
              <w:left w:val="nil"/>
              <w:bottom w:val="single" w:sz="4" w:space="0" w:color="auto"/>
              <w:right w:val="single" w:sz="4" w:space="0" w:color="auto"/>
            </w:tcBorders>
            <w:shd w:val="clear" w:color="auto" w:fill="auto"/>
            <w:noWrap/>
            <w:vAlign w:val="bottom"/>
            <w:hideMark/>
          </w:tcPr>
          <w:p w14:paraId="4494760A" w14:textId="77777777" w:rsidR="00387142" w:rsidRPr="008B6A75" w:rsidRDefault="00387142" w:rsidP="00387142">
            <w:pPr>
              <w:rPr>
                <w:color w:val="000000"/>
                <w:sz w:val="20"/>
                <w:szCs w:val="20"/>
              </w:rPr>
            </w:pPr>
            <w:r w:rsidRPr="008B6A75">
              <w:rPr>
                <w:color w:val="000000"/>
                <w:sz w:val="20"/>
                <w:szCs w:val="20"/>
              </w:rPr>
              <w:t> </w:t>
            </w:r>
          </w:p>
        </w:tc>
      </w:tr>
      <w:tr w:rsidR="00387142" w:rsidRPr="008B6A75" w14:paraId="642D6C15" w14:textId="77777777" w:rsidTr="00387142">
        <w:trPr>
          <w:trHeight w:val="315"/>
        </w:trPr>
        <w:tc>
          <w:tcPr>
            <w:tcW w:w="677" w:type="dxa"/>
            <w:tcBorders>
              <w:top w:val="nil"/>
              <w:left w:val="single" w:sz="4" w:space="0" w:color="auto"/>
              <w:bottom w:val="single" w:sz="4" w:space="0" w:color="auto"/>
              <w:right w:val="single" w:sz="4" w:space="0" w:color="auto"/>
            </w:tcBorders>
            <w:shd w:val="clear" w:color="auto" w:fill="auto"/>
            <w:vAlign w:val="bottom"/>
            <w:hideMark/>
          </w:tcPr>
          <w:p w14:paraId="0DFAB17A" w14:textId="77777777" w:rsidR="00387142" w:rsidRPr="008B6A75" w:rsidRDefault="00387142" w:rsidP="00387142">
            <w:pPr>
              <w:jc w:val="right"/>
              <w:rPr>
                <w:color w:val="000000"/>
                <w:sz w:val="20"/>
                <w:szCs w:val="20"/>
              </w:rPr>
            </w:pPr>
            <w:r w:rsidRPr="008B6A75">
              <w:rPr>
                <w:color w:val="000000"/>
                <w:sz w:val="20"/>
                <w:szCs w:val="20"/>
              </w:rPr>
              <w:t>3</w:t>
            </w:r>
          </w:p>
        </w:tc>
        <w:tc>
          <w:tcPr>
            <w:tcW w:w="2923" w:type="dxa"/>
            <w:tcBorders>
              <w:top w:val="nil"/>
              <w:left w:val="nil"/>
              <w:bottom w:val="single" w:sz="4" w:space="0" w:color="auto"/>
              <w:right w:val="single" w:sz="4" w:space="0" w:color="auto"/>
            </w:tcBorders>
            <w:shd w:val="clear" w:color="auto" w:fill="auto"/>
            <w:vAlign w:val="bottom"/>
            <w:hideMark/>
          </w:tcPr>
          <w:p w14:paraId="65775648" w14:textId="77777777" w:rsidR="00387142" w:rsidRPr="008B6A75" w:rsidRDefault="00387142" w:rsidP="00387142">
            <w:pPr>
              <w:rPr>
                <w:color w:val="000000"/>
                <w:sz w:val="20"/>
                <w:szCs w:val="20"/>
              </w:rPr>
            </w:pPr>
            <w:proofErr w:type="spellStart"/>
            <w:r w:rsidRPr="008B6A75">
              <w:rPr>
                <w:color w:val="000000"/>
                <w:sz w:val="20"/>
                <w:szCs w:val="20"/>
              </w:rPr>
              <w:t>Булатовский</w:t>
            </w:r>
            <w:proofErr w:type="spellEnd"/>
          </w:p>
        </w:tc>
        <w:tc>
          <w:tcPr>
            <w:tcW w:w="4023" w:type="dxa"/>
            <w:tcBorders>
              <w:top w:val="nil"/>
              <w:left w:val="nil"/>
              <w:bottom w:val="single" w:sz="4" w:space="0" w:color="auto"/>
              <w:right w:val="single" w:sz="4" w:space="0" w:color="auto"/>
            </w:tcBorders>
            <w:shd w:val="clear" w:color="auto" w:fill="auto"/>
            <w:noWrap/>
            <w:vAlign w:val="bottom"/>
            <w:hideMark/>
          </w:tcPr>
          <w:p w14:paraId="2E35F481" w14:textId="77777777" w:rsidR="00387142" w:rsidRPr="008B6A75" w:rsidRDefault="00387142" w:rsidP="00387142">
            <w:pPr>
              <w:jc w:val="right"/>
              <w:rPr>
                <w:color w:val="000000"/>
                <w:sz w:val="20"/>
                <w:szCs w:val="20"/>
              </w:rPr>
            </w:pPr>
            <w:r w:rsidRPr="008B6A75">
              <w:rPr>
                <w:color w:val="000000"/>
                <w:sz w:val="20"/>
                <w:szCs w:val="20"/>
              </w:rPr>
              <w:t>1 110 000,00</w:t>
            </w:r>
          </w:p>
        </w:tc>
        <w:tc>
          <w:tcPr>
            <w:tcW w:w="1963" w:type="dxa"/>
            <w:tcBorders>
              <w:top w:val="nil"/>
              <w:left w:val="nil"/>
              <w:bottom w:val="single" w:sz="4" w:space="0" w:color="auto"/>
              <w:right w:val="single" w:sz="4" w:space="0" w:color="auto"/>
            </w:tcBorders>
            <w:shd w:val="clear" w:color="auto" w:fill="auto"/>
            <w:noWrap/>
            <w:vAlign w:val="bottom"/>
            <w:hideMark/>
          </w:tcPr>
          <w:p w14:paraId="66F1C55D" w14:textId="77777777" w:rsidR="00387142" w:rsidRPr="008B6A75" w:rsidRDefault="00387142" w:rsidP="00387142">
            <w:pPr>
              <w:rPr>
                <w:color w:val="000000"/>
                <w:sz w:val="20"/>
                <w:szCs w:val="20"/>
              </w:rPr>
            </w:pPr>
            <w:r w:rsidRPr="008B6A75">
              <w:rPr>
                <w:color w:val="000000"/>
                <w:sz w:val="20"/>
                <w:szCs w:val="20"/>
              </w:rPr>
              <w:t> </w:t>
            </w:r>
          </w:p>
        </w:tc>
      </w:tr>
      <w:tr w:rsidR="00387142" w:rsidRPr="008B6A75" w14:paraId="07B94056" w14:textId="77777777" w:rsidTr="00387142">
        <w:trPr>
          <w:trHeight w:val="315"/>
        </w:trPr>
        <w:tc>
          <w:tcPr>
            <w:tcW w:w="677" w:type="dxa"/>
            <w:tcBorders>
              <w:top w:val="nil"/>
              <w:left w:val="single" w:sz="4" w:space="0" w:color="auto"/>
              <w:bottom w:val="single" w:sz="4" w:space="0" w:color="auto"/>
              <w:right w:val="single" w:sz="4" w:space="0" w:color="auto"/>
            </w:tcBorders>
            <w:shd w:val="clear" w:color="auto" w:fill="auto"/>
            <w:vAlign w:val="bottom"/>
            <w:hideMark/>
          </w:tcPr>
          <w:p w14:paraId="3D983FAA" w14:textId="77777777" w:rsidR="00387142" w:rsidRPr="008B6A75" w:rsidRDefault="00387142" w:rsidP="00387142">
            <w:pPr>
              <w:jc w:val="right"/>
              <w:rPr>
                <w:color w:val="000000"/>
                <w:sz w:val="20"/>
                <w:szCs w:val="20"/>
              </w:rPr>
            </w:pPr>
            <w:r w:rsidRPr="008B6A75">
              <w:rPr>
                <w:color w:val="000000"/>
                <w:sz w:val="20"/>
                <w:szCs w:val="20"/>
              </w:rPr>
              <w:t>4</w:t>
            </w:r>
          </w:p>
        </w:tc>
        <w:tc>
          <w:tcPr>
            <w:tcW w:w="2923" w:type="dxa"/>
            <w:tcBorders>
              <w:top w:val="nil"/>
              <w:left w:val="nil"/>
              <w:bottom w:val="single" w:sz="4" w:space="0" w:color="auto"/>
              <w:right w:val="single" w:sz="4" w:space="0" w:color="auto"/>
            </w:tcBorders>
            <w:shd w:val="clear" w:color="auto" w:fill="auto"/>
            <w:vAlign w:val="bottom"/>
            <w:hideMark/>
          </w:tcPr>
          <w:p w14:paraId="14CF3507" w14:textId="77777777" w:rsidR="00387142" w:rsidRPr="008B6A75" w:rsidRDefault="00387142" w:rsidP="00387142">
            <w:pPr>
              <w:rPr>
                <w:color w:val="000000"/>
                <w:sz w:val="20"/>
                <w:szCs w:val="20"/>
              </w:rPr>
            </w:pPr>
            <w:r w:rsidRPr="008B6A75">
              <w:rPr>
                <w:color w:val="000000"/>
                <w:sz w:val="20"/>
                <w:szCs w:val="20"/>
              </w:rPr>
              <w:t>Верх-</w:t>
            </w:r>
            <w:proofErr w:type="spellStart"/>
            <w:r w:rsidRPr="008B6A75">
              <w:rPr>
                <w:color w:val="000000"/>
                <w:sz w:val="20"/>
                <w:szCs w:val="20"/>
              </w:rPr>
              <w:t>ичинский</w:t>
            </w:r>
            <w:proofErr w:type="spellEnd"/>
          </w:p>
        </w:tc>
        <w:tc>
          <w:tcPr>
            <w:tcW w:w="4023" w:type="dxa"/>
            <w:tcBorders>
              <w:top w:val="nil"/>
              <w:left w:val="nil"/>
              <w:bottom w:val="single" w:sz="4" w:space="0" w:color="auto"/>
              <w:right w:val="single" w:sz="4" w:space="0" w:color="auto"/>
            </w:tcBorders>
            <w:shd w:val="clear" w:color="auto" w:fill="auto"/>
            <w:noWrap/>
            <w:vAlign w:val="bottom"/>
            <w:hideMark/>
          </w:tcPr>
          <w:p w14:paraId="6C31FFF8" w14:textId="77777777" w:rsidR="00387142" w:rsidRPr="008B6A75" w:rsidRDefault="00387142" w:rsidP="00387142">
            <w:pPr>
              <w:jc w:val="right"/>
              <w:rPr>
                <w:color w:val="000000"/>
                <w:sz w:val="20"/>
                <w:szCs w:val="20"/>
              </w:rPr>
            </w:pPr>
            <w:r w:rsidRPr="008B6A75">
              <w:rPr>
                <w:color w:val="000000"/>
                <w:sz w:val="20"/>
                <w:szCs w:val="20"/>
              </w:rPr>
              <w:t>582 300,00</w:t>
            </w:r>
          </w:p>
        </w:tc>
        <w:tc>
          <w:tcPr>
            <w:tcW w:w="1963" w:type="dxa"/>
            <w:tcBorders>
              <w:top w:val="nil"/>
              <w:left w:val="nil"/>
              <w:bottom w:val="single" w:sz="4" w:space="0" w:color="auto"/>
              <w:right w:val="single" w:sz="4" w:space="0" w:color="auto"/>
            </w:tcBorders>
            <w:shd w:val="clear" w:color="auto" w:fill="auto"/>
            <w:noWrap/>
            <w:vAlign w:val="bottom"/>
            <w:hideMark/>
          </w:tcPr>
          <w:p w14:paraId="5535B04C" w14:textId="77777777" w:rsidR="00387142" w:rsidRPr="008B6A75" w:rsidRDefault="00387142" w:rsidP="00387142">
            <w:pPr>
              <w:rPr>
                <w:color w:val="000000"/>
                <w:sz w:val="20"/>
                <w:szCs w:val="20"/>
              </w:rPr>
            </w:pPr>
            <w:r w:rsidRPr="008B6A75">
              <w:rPr>
                <w:color w:val="000000"/>
                <w:sz w:val="20"/>
                <w:szCs w:val="20"/>
              </w:rPr>
              <w:t> </w:t>
            </w:r>
          </w:p>
        </w:tc>
      </w:tr>
      <w:tr w:rsidR="00387142" w:rsidRPr="008B6A75" w14:paraId="5CFF58E4" w14:textId="77777777" w:rsidTr="00387142">
        <w:trPr>
          <w:trHeight w:val="315"/>
        </w:trPr>
        <w:tc>
          <w:tcPr>
            <w:tcW w:w="677" w:type="dxa"/>
            <w:tcBorders>
              <w:top w:val="nil"/>
              <w:left w:val="single" w:sz="4" w:space="0" w:color="auto"/>
              <w:bottom w:val="single" w:sz="4" w:space="0" w:color="auto"/>
              <w:right w:val="single" w:sz="4" w:space="0" w:color="auto"/>
            </w:tcBorders>
            <w:shd w:val="clear" w:color="auto" w:fill="auto"/>
            <w:vAlign w:val="bottom"/>
            <w:hideMark/>
          </w:tcPr>
          <w:p w14:paraId="68E5C5DB" w14:textId="77777777" w:rsidR="00387142" w:rsidRPr="008B6A75" w:rsidRDefault="00387142" w:rsidP="00387142">
            <w:pPr>
              <w:jc w:val="right"/>
              <w:rPr>
                <w:color w:val="000000"/>
                <w:sz w:val="20"/>
                <w:szCs w:val="20"/>
              </w:rPr>
            </w:pPr>
            <w:r w:rsidRPr="008B6A75">
              <w:rPr>
                <w:color w:val="000000"/>
                <w:sz w:val="20"/>
                <w:szCs w:val="20"/>
              </w:rPr>
              <w:t>5</w:t>
            </w:r>
          </w:p>
        </w:tc>
        <w:tc>
          <w:tcPr>
            <w:tcW w:w="2923" w:type="dxa"/>
            <w:tcBorders>
              <w:top w:val="nil"/>
              <w:left w:val="nil"/>
              <w:bottom w:val="single" w:sz="4" w:space="0" w:color="auto"/>
              <w:right w:val="single" w:sz="4" w:space="0" w:color="auto"/>
            </w:tcBorders>
            <w:shd w:val="clear" w:color="auto" w:fill="auto"/>
            <w:vAlign w:val="bottom"/>
            <w:hideMark/>
          </w:tcPr>
          <w:p w14:paraId="51E45F9D" w14:textId="77777777" w:rsidR="00387142" w:rsidRPr="008B6A75" w:rsidRDefault="00387142" w:rsidP="00387142">
            <w:pPr>
              <w:rPr>
                <w:color w:val="000000"/>
                <w:sz w:val="20"/>
                <w:szCs w:val="20"/>
              </w:rPr>
            </w:pPr>
            <w:proofErr w:type="spellStart"/>
            <w:r w:rsidRPr="008B6A75">
              <w:rPr>
                <w:color w:val="000000"/>
                <w:sz w:val="20"/>
                <w:szCs w:val="20"/>
              </w:rPr>
              <w:t>Веснянский</w:t>
            </w:r>
            <w:proofErr w:type="spellEnd"/>
          </w:p>
        </w:tc>
        <w:tc>
          <w:tcPr>
            <w:tcW w:w="4023" w:type="dxa"/>
            <w:tcBorders>
              <w:top w:val="nil"/>
              <w:left w:val="nil"/>
              <w:bottom w:val="single" w:sz="4" w:space="0" w:color="auto"/>
              <w:right w:val="single" w:sz="4" w:space="0" w:color="auto"/>
            </w:tcBorders>
            <w:shd w:val="clear" w:color="auto" w:fill="auto"/>
            <w:noWrap/>
            <w:vAlign w:val="bottom"/>
            <w:hideMark/>
          </w:tcPr>
          <w:p w14:paraId="4134E9F2" w14:textId="77777777" w:rsidR="00387142" w:rsidRPr="008B6A75" w:rsidRDefault="00387142" w:rsidP="00387142">
            <w:pPr>
              <w:jc w:val="right"/>
              <w:rPr>
                <w:color w:val="000000"/>
                <w:sz w:val="20"/>
                <w:szCs w:val="20"/>
              </w:rPr>
            </w:pPr>
            <w:r w:rsidRPr="008B6A75">
              <w:rPr>
                <w:color w:val="000000"/>
                <w:sz w:val="20"/>
                <w:szCs w:val="20"/>
              </w:rPr>
              <w:t>339 200,00</w:t>
            </w:r>
          </w:p>
        </w:tc>
        <w:tc>
          <w:tcPr>
            <w:tcW w:w="1963" w:type="dxa"/>
            <w:tcBorders>
              <w:top w:val="nil"/>
              <w:left w:val="nil"/>
              <w:bottom w:val="single" w:sz="4" w:space="0" w:color="auto"/>
              <w:right w:val="single" w:sz="4" w:space="0" w:color="auto"/>
            </w:tcBorders>
            <w:shd w:val="clear" w:color="auto" w:fill="auto"/>
            <w:noWrap/>
            <w:vAlign w:val="bottom"/>
            <w:hideMark/>
          </w:tcPr>
          <w:p w14:paraId="25FFAF93" w14:textId="77777777" w:rsidR="00387142" w:rsidRPr="008B6A75" w:rsidRDefault="00387142" w:rsidP="00387142">
            <w:pPr>
              <w:rPr>
                <w:color w:val="000000"/>
                <w:sz w:val="20"/>
                <w:szCs w:val="20"/>
              </w:rPr>
            </w:pPr>
            <w:r w:rsidRPr="008B6A75">
              <w:rPr>
                <w:color w:val="000000"/>
                <w:sz w:val="20"/>
                <w:szCs w:val="20"/>
              </w:rPr>
              <w:t> </w:t>
            </w:r>
          </w:p>
        </w:tc>
      </w:tr>
      <w:tr w:rsidR="00387142" w:rsidRPr="008B6A75" w14:paraId="158EB58E" w14:textId="77777777" w:rsidTr="00387142">
        <w:trPr>
          <w:trHeight w:val="315"/>
        </w:trPr>
        <w:tc>
          <w:tcPr>
            <w:tcW w:w="677" w:type="dxa"/>
            <w:tcBorders>
              <w:top w:val="nil"/>
              <w:left w:val="single" w:sz="4" w:space="0" w:color="auto"/>
              <w:bottom w:val="single" w:sz="4" w:space="0" w:color="auto"/>
              <w:right w:val="single" w:sz="4" w:space="0" w:color="auto"/>
            </w:tcBorders>
            <w:shd w:val="clear" w:color="auto" w:fill="auto"/>
            <w:vAlign w:val="bottom"/>
            <w:hideMark/>
          </w:tcPr>
          <w:p w14:paraId="4B020F66" w14:textId="77777777" w:rsidR="00387142" w:rsidRPr="008B6A75" w:rsidRDefault="00387142" w:rsidP="00387142">
            <w:pPr>
              <w:jc w:val="right"/>
              <w:rPr>
                <w:color w:val="000000"/>
                <w:sz w:val="20"/>
                <w:szCs w:val="20"/>
              </w:rPr>
            </w:pPr>
            <w:r w:rsidRPr="008B6A75">
              <w:rPr>
                <w:color w:val="000000"/>
                <w:sz w:val="20"/>
                <w:szCs w:val="20"/>
              </w:rPr>
              <w:t>6</w:t>
            </w:r>
          </w:p>
        </w:tc>
        <w:tc>
          <w:tcPr>
            <w:tcW w:w="2923" w:type="dxa"/>
            <w:tcBorders>
              <w:top w:val="nil"/>
              <w:left w:val="nil"/>
              <w:bottom w:val="single" w:sz="4" w:space="0" w:color="auto"/>
              <w:right w:val="single" w:sz="4" w:space="0" w:color="auto"/>
            </w:tcBorders>
            <w:shd w:val="clear" w:color="auto" w:fill="auto"/>
            <w:vAlign w:val="bottom"/>
            <w:hideMark/>
          </w:tcPr>
          <w:p w14:paraId="29159D77" w14:textId="77777777" w:rsidR="00387142" w:rsidRPr="008B6A75" w:rsidRDefault="00387142" w:rsidP="00387142">
            <w:pPr>
              <w:rPr>
                <w:color w:val="000000"/>
                <w:sz w:val="20"/>
                <w:szCs w:val="20"/>
              </w:rPr>
            </w:pPr>
            <w:proofErr w:type="spellStart"/>
            <w:r w:rsidRPr="008B6A75">
              <w:rPr>
                <w:color w:val="000000"/>
                <w:sz w:val="20"/>
                <w:szCs w:val="20"/>
              </w:rPr>
              <w:t>Гжатский</w:t>
            </w:r>
            <w:proofErr w:type="spellEnd"/>
          </w:p>
        </w:tc>
        <w:tc>
          <w:tcPr>
            <w:tcW w:w="4023" w:type="dxa"/>
            <w:tcBorders>
              <w:top w:val="nil"/>
              <w:left w:val="nil"/>
              <w:bottom w:val="single" w:sz="4" w:space="0" w:color="auto"/>
              <w:right w:val="single" w:sz="4" w:space="0" w:color="auto"/>
            </w:tcBorders>
            <w:shd w:val="clear" w:color="auto" w:fill="auto"/>
            <w:noWrap/>
            <w:vAlign w:val="bottom"/>
            <w:hideMark/>
          </w:tcPr>
          <w:p w14:paraId="3D4696CD" w14:textId="77777777" w:rsidR="00387142" w:rsidRPr="008B6A75" w:rsidRDefault="00387142" w:rsidP="00387142">
            <w:pPr>
              <w:jc w:val="right"/>
              <w:rPr>
                <w:color w:val="000000"/>
                <w:sz w:val="20"/>
                <w:szCs w:val="20"/>
              </w:rPr>
            </w:pPr>
            <w:r w:rsidRPr="008B6A75">
              <w:rPr>
                <w:color w:val="000000"/>
                <w:sz w:val="20"/>
                <w:szCs w:val="20"/>
              </w:rPr>
              <w:t>868 900,00</w:t>
            </w:r>
          </w:p>
        </w:tc>
        <w:tc>
          <w:tcPr>
            <w:tcW w:w="1963" w:type="dxa"/>
            <w:tcBorders>
              <w:top w:val="nil"/>
              <w:left w:val="nil"/>
              <w:bottom w:val="single" w:sz="4" w:space="0" w:color="auto"/>
              <w:right w:val="single" w:sz="4" w:space="0" w:color="auto"/>
            </w:tcBorders>
            <w:shd w:val="clear" w:color="auto" w:fill="auto"/>
            <w:noWrap/>
            <w:vAlign w:val="bottom"/>
            <w:hideMark/>
          </w:tcPr>
          <w:p w14:paraId="581415A1" w14:textId="77777777" w:rsidR="00387142" w:rsidRPr="008B6A75" w:rsidRDefault="00387142" w:rsidP="00387142">
            <w:pPr>
              <w:rPr>
                <w:color w:val="000000"/>
                <w:sz w:val="20"/>
                <w:szCs w:val="20"/>
              </w:rPr>
            </w:pPr>
            <w:r w:rsidRPr="008B6A75">
              <w:rPr>
                <w:color w:val="000000"/>
                <w:sz w:val="20"/>
                <w:szCs w:val="20"/>
              </w:rPr>
              <w:t> </w:t>
            </w:r>
          </w:p>
        </w:tc>
      </w:tr>
      <w:tr w:rsidR="00387142" w:rsidRPr="008B6A75" w14:paraId="6F5AEB06" w14:textId="77777777" w:rsidTr="00387142">
        <w:trPr>
          <w:trHeight w:val="315"/>
        </w:trPr>
        <w:tc>
          <w:tcPr>
            <w:tcW w:w="677" w:type="dxa"/>
            <w:tcBorders>
              <w:top w:val="nil"/>
              <w:left w:val="single" w:sz="4" w:space="0" w:color="auto"/>
              <w:bottom w:val="single" w:sz="4" w:space="0" w:color="auto"/>
              <w:right w:val="single" w:sz="4" w:space="0" w:color="auto"/>
            </w:tcBorders>
            <w:shd w:val="clear" w:color="auto" w:fill="auto"/>
            <w:vAlign w:val="bottom"/>
            <w:hideMark/>
          </w:tcPr>
          <w:p w14:paraId="1ED7C9ED" w14:textId="77777777" w:rsidR="00387142" w:rsidRPr="008B6A75" w:rsidRDefault="00387142" w:rsidP="00387142">
            <w:pPr>
              <w:jc w:val="right"/>
              <w:rPr>
                <w:color w:val="000000"/>
                <w:sz w:val="20"/>
                <w:szCs w:val="20"/>
              </w:rPr>
            </w:pPr>
            <w:r w:rsidRPr="008B6A75">
              <w:rPr>
                <w:color w:val="000000"/>
                <w:sz w:val="20"/>
                <w:szCs w:val="20"/>
              </w:rPr>
              <w:t>7</w:t>
            </w:r>
          </w:p>
        </w:tc>
        <w:tc>
          <w:tcPr>
            <w:tcW w:w="2923" w:type="dxa"/>
            <w:tcBorders>
              <w:top w:val="nil"/>
              <w:left w:val="nil"/>
              <w:bottom w:val="single" w:sz="4" w:space="0" w:color="auto"/>
              <w:right w:val="single" w:sz="4" w:space="0" w:color="auto"/>
            </w:tcBorders>
            <w:shd w:val="clear" w:color="auto" w:fill="auto"/>
            <w:vAlign w:val="bottom"/>
            <w:hideMark/>
          </w:tcPr>
          <w:p w14:paraId="576A4B8F" w14:textId="77777777" w:rsidR="00387142" w:rsidRPr="008B6A75" w:rsidRDefault="00387142" w:rsidP="00387142">
            <w:pPr>
              <w:rPr>
                <w:color w:val="000000"/>
                <w:sz w:val="20"/>
                <w:szCs w:val="20"/>
              </w:rPr>
            </w:pPr>
            <w:proofErr w:type="spellStart"/>
            <w:r w:rsidRPr="008B6A75">
              <w:rPr>
                <w:color w:val="000000"/>
                <w:sz w:val="20"/>
                <w:szCs w:val="20"/>
              </w:rPr>
              <w:t>Горбуновский</w:t>
            </w:r>
            <w:proofErr w:type="spellEnd"/>
          </w:p>
        </w:tc>
        <w:tc>
          <w:tcPr>
            <w:tcW w:w="4023" w:type="dxa"/>
            <w:tcBorders>
              <w:top w:val="nil"/>
              <w:left w:val="nil"/>
              <w:bottom w:val="single" w:sz="4" w:space="0" w:color="auto"/>
              <w:right w:val="single" w:sz="4" w:space="0" w:color="auto"/>
            </w:tcBorders>
            <w:shd w:val="clear" w:color="auto" w:fill="auto"/>
            <w:noWrap/>
            <w:vAlign w:val="bottom"/>
            <w:hideMark/>
          </w:tcPr>
          <w:p w14:paraId="23E18B36" w14:textId="77777777" w:rsidR="00387142" w:rsidRPr="008B6A75" w:rsidRDefault="00387142" w:rsidP="00387142">
            <w:pPr>
              <w:jc w:val="right"/>
              <w:rPr>
                <w:color w:val="000000"/>
                <w:sz w:val="20"/>
                <w:szCs w:val="20"/>
              </w:rPr>
            </w:pPr>
            <w:r w:rsidRPr="008B6A75">
              <w:rPr>
                <w:color w:val="000000"/>
                <w:sz w:val="20"/>
                <w:szCs w:val="20"/>
              </w:rPr>
              <w:t>1 218 700,00</w:t>
            </w:r>
          </w:p>
        </w:tc>
        <w:tc>
          <w:tcPr>
            <w:tcW w:w="1963" w:type="dxa"/>
            <w:tcBorders>
              <w:top w:val="nil"/>
              <w:left w:val="nil"/>
              <w:bottom w:val="single" w:sz="4" w:space="0" w:color="auto"/>
              <w:right w:val="single" w:sz="4" w:space="0" w:color="auto"/>
            </w:tcBorders>
            <w:shd w:val="clear" w:color="auto" w:fill="auto"/>
            <w:noWrap/>
            <w:vAlign w:val="bottom"/>
            <w:hideMark/>
          </w:tcPr>
          <w:p w14:paraId="1EA65D6D" w14:textId="77777777" w:rsidR="00387142" w:rsidRPr="008B6A75" w:rsidRDefault="00387142" w:rsidP="00387142">
            <w:pPr>
              <w:rPr>
                <w:color w:val="000000"/>
                <w:sz w:val="20"/>
                <w:szCs w:val="20"/>
              </w:rPr>
            </w:pPr>
            <w:r w:rsidRPr="008B6A75">
              <w:rPr>
                <w:color w:val="000000"/>
                <w:sz w:val="20"/>
                <w:szCs w:val="20"/>
              </w:rPr>
              <w:t> </w:t>
            </w:r>
          </w:p>
        </w:tc>
      </w:tr>
      <w:tr w:rsidR="00387142" w:rsidRPr="008B6A75" w14:paraId="72F1BCA4" w14:textId="77777777" w:rsidTr="00387142">
        <w:trPr>
          <w:trHeight w:val="315"/>
        </w:trPr>
        <w:tc>
          <w:tcPr>
            <w:tcW w:w="677" w:type="dxa"/>
            <w:tcBorders>
              <w:top w:val="nil"/>
              <w:left w:val="single" w:sz="4" w:space="0" w:color="auto"/>
              <w:bottom w:val="single" w:sz="4" w:space="0" w:color="auto"/>
              <w:right w:val="single" w:sz="4" w:space="0" w:color="auto"/>
            </w:tcBorders>
            <w:shd w:val="clear" w:color="auto" w:fill="auto"/>
            <w:vAlign w:val="bottom"/>
            <w:hideMark/>
          </w:tcPr>
          <w:p w14:paraId="0DF72983" w14:textId="77777777" w:rsidR="00387142" w:rsidRPr="008B6A75" w:rsidRDefault="00387142" w:rsidP="00387142">
            <w:pPr>
              <w:jc w:val="right"/>
              <w:rPr>
                <w:color w:val="000000"/>
                <w:sz w:val="20"/>
                <w:szCs w:val="20"/>
              </w:rPr>
            </w:pPr>
            <w:r w:rsidRPr="008B6A75">
              <w:rPr>
                <w:color w:val="000000"/>
                <w:sz w:val="20"/>
                <w:szCs w:val="20"/>
              </w:rPr>
              <w:t>8</w:t>
            </w:r>
          </w:p>
        </w:tc>
        <w:tc>
          <w:tcPr>
            <w:tcW w:w="2923" w:type="dxa"/>
            <w:tcBorders>
              <w:top w:val="nil"/>
              <w:left w:val="nil"/>
              <w:bottom w:val="single" w:sz="4" w:space="0" w:color="auto"/>
              <w:right w:val="single" w:sz="4" w:space="0" w:color="auto"/>
            </w:tcBorders>
            <w:shd w:val="clear" w:color="auto" w:fill="auto"/>
            <w:vAlign w:val="bottom"/>
            <w:hideMark/>
          </w:tcPr>
          <w:p w14:paraId="5E004275" w14:textId="77777777" w:rsidR="00387142" w:rsidRPr="008B6A75" w:rsidRDefault="00387142" w:rsidP="00387142">
            <w:pPr>
              <w:rPr>
                <w:color w:val="000000"/>
                <w:sz w:val="20"/>
                <w:szCs w:val="20"/>
              </w:rPr>
            </w:pPr>
            <w:proofErr w:type="spellStart"/>
            <w:r w:rsidRPr="008B6A75">
              <w:rPr>
                <w:color w:val="000000"/>
                <w:sz w:val="20"/>
                <w:szCs w:val="20"/>
              </w:rPr>
              <w:t>Зоновский</w:t>
            </w:r>
            <w:proofErr w:type="spellEnd"/>
          </w:p>
        </w:tc>
        <w:tc>
          <w:tcPr>
            <w:tcW w:w="4023" w:type="dxa"/>
            <w:tcBorders>
              <w:top w:val="nil"/>
              <w:left w:val="nil"/>
              <w:bottom w:val="single" w:sz="4" w:space="0" w:color="auto"/>
              <w:right w:val="single" w:sz="4" w:space="0" w:color="auto"/>
            </w:tcBorders>
            <w:shd w:val="clear" w:color="auto" w:fill="auto"/>
            <w:noWrap/>
            <w:vAlign w:val="bottom"/>
            <w:hideMark/>
          </w:tcPr>
          <w:p w14:paraId="4B02615D" w14:textId="77777777" w:rsidR="00387142" w:rsidRPr="008B6A75" w:rsidRDefault="00387142" w:rsidP="00387142">
            <w:pPr>
              <w:jc w:val="right"/>
              <w:rPr>
                <w:color w:val="000000"/>
                <w:sz w:val="20"/>
                <w:szCs w:val="20"/>
              </w:rPr>
            </w:pPr>
            <w:r w:rsidRPr="008B6A75">
              <w:rPr>
                <w:color w:val="000000"/>
                <w:sz w:val="20"/>
                <w:szCs w:val="20"/>
              </w:rPr>
              <w:t>800 600,00</w:t>
            </w:r>
          </w:p>
        </w:tc>
        <w:tc>
          <w:tcPr>
            <w:tcW w:w="1963" w:type="dxa"/>
            <w:tcBorders>
              <w:top w:val="nil"/>
              <w:left w:val="nil"/>
              <w:bottom w:val="single" w:sz="4" w:space="0" w:color="auto"/>
              <w:right w:val="single" w:sz="4" w:space="0" w:color="auto"/>
            </w:tcBorders>
            <w:shd w:val="clear" w:color="auto" w:fill="auto"/>
            <w:noWrap/>
            <w:vAlign w:val="bottom"/>
            <w:hideMark/>
          </w:tcPr>
          <w:p w14:paraId="355E04FA" w14:textId="77777777" w:rsidR="00387142" w:rsidRPr="008B6A75" w:rsidRDefault="00387142" w:rsidP="00387142">
            <w:pPr>
              <w:rPr>
                <w:color w:val="000000"/>
                <w:sz w:val="20"/>
                <w:szCs w:val="20"/>
              </w:rPr>
            </w:pPr>
            <w:r w:rsidRPr="008B6A75">
              <w:rPr>
                <w:color w:val="000000"/>
                <w:sz w:val="20"/>
                <w:szCs w:val="20"/>
              </w:rPr>
              <w:t> </w:t>
            </w:r>
          </w:p>
        </w:tc>
      </w:tr>
      <w:tr w:rsidR="00387142" w:rsidRPr="008B6A75" w14:paraId="28077AAD" w14:textId="77777777" w:rsidTr="00387142">
        <w:trPr>
          <w:trHeight w:val="315"/>
        </w:trPr>
        <w:tc>
          <w:tcPr>
            <w:tcW w:w="677" w:type="dxa"/>
            <w:tcBorders>
              <w:top w:val="nil"/>
              <w:left w:val="single" w:sz="4" w:space="0" w:color="auto"/>
              <w:bottom w:val="single" w:sz="4" w:space="0" w:color="auto"/>
              <w:right w:val="single" w:sz="4" w:space="0" w:color="auto"/>
            </w:tcBorders>
            <w:shd w:val="clear" w:color="auto" w:fill="auto"/>
            <w:vAlign w:val="bottom"/>
            <w:hideMark/>
          </w:tcPr>
          <w:p w14:paraId="3EDEC6E8" w14:textId="77777777" w:rsidR="00387142" w:rsidRPr="008B6A75" w:rsidRDefault="00387142" w:rsidP="00387142">
            <w:pPr>
              <w:jc w:val="right"/>
              <w:rPr>
                <w:color w:val="000000"/>
                <w:sz w:val="20"/>
                <w:szCs w:val="20"/>
              </w:rPr>
            </w:pPr>
            <w:r w:rsidRPr="008B6A75">
              <w:rPr>
                <w:color w:val="000000"/>
                <w:sz w:val="20"/>
                <w:szCs w:val="20"/>
              </w:rPr>
              <w:t>9</w:t>
            </w:r>
          </w:p>
        </w:tc>
        <w:tc>
          <w:tcPr>
            <w:tcW w:w="2923" w:type="dxa"/>
            <w:tcBorders>
              <w:top w:val="nil"/>
              <w:left w:val="nil"/>
              <w:bottom w:val="single" w:sz="4" w:space="0" w:color="auto"/>
              <w:right w:val="single" w:sz="4" w:space="0" w:color="auto"/>
            </w:tcBorders>
            <w:shd w:val="clear" w:color="auto" w:fill="auto"/>
            <w:vAlign w:val="bottom"/>
            <w:hideMark/>
          </w:tcPr>
          <w:p w14:paraId="03817858" w14:textId="77777777" w:rsidR="00387142" w:rsidRPr="008B6A75" w:rsidRDefault="00387142" w:rsidP="00387142">
            <w:pPr>
              <w:rPr>
                <w:color w:val="000000"/>
                <w:sz w:val="20"/>
                <w:szCs w:val="20"/>
              </w:rPr>
            </w:pPr>
            <w:r w:rsidRPr="008B6A75">
              <w:rPr>
                <w:color w:val="000000"/>
                <w:sz w:val="20"/>
                <w:szCs w:val="20"/>
              </w:rPr>
              <w:t>Камский</w:t>
            </w:r>
          </w:p>
        </w:tc>
        <w:tc>
          <w:tcPr>
            <w:tcW w:w="4023" w:type="dxa"/>
            <w:tcBorders>
              <w:top w:val="nil"/>
              <w:left w:val="nil"/>
              <w:bottom w:val="single" w:sz="4" w:space="0" w:color="auto"/>
              <w:right w:val="single" w:sz="4" w:space="0" w:color="auto"/>
            </w:tcBorders>
            <w:shd w:val="clear" w:color="auto" w:fill="auto"/>
            <w:noWrap/>
            <w:vAlign w:val="bottom"/>
            <w:hideMark/>
          </w:tcPr>
          <w:p w14:paraId="18F27514" w14:textId="77777777" w:rsidR="00387142" w:rsidRPr="008B6A75" w:rsidRDefault="00387142" w:rsidP="00387142">
            <w:pPr>
              <w:jc w:val="right"/>
              <w:rPr>
                <w:color w:val="000000"/>
                <w:sz w:val="20"/>
                <w:szCs w:val="20"/>
              </w:rPr>
            </w:pPr>
            <w:r w:rsidRPr="008B6A75">
              <w:rPr>
                <w:color w:val="000000"/>
                <w:sz w:val="20"/>
                <w:szCs w:val="20"/>
              </w:rPr>
              <w:t>1 683 200,00</w:t>
            </w:r>
          </w:p>
        </w:tc>
        <w:tc>
          <w:tcPr>
            <w:tcW w:w="1963" w:type="dxa"/>
            <w:tcBorders>
              <w:top w:val="nil"/>
              <w:left w:val="nil"/>
              <w:bottom w:val="single" w:sz="4" w:space="0" w:color="auto"/>
              <w:right w:val="single" w:sz="4" w:space="0" w:color="auto"/>
            </w:tcBorders>
            <w:shd w:val="clear" w:color="auto" w:fill="auto"/>
            <w:noWrap/>
            <w:vAlign w:val="bottom"/>
            <w:hideMark/>
          </w:tcPr>
          <w:p w14:paraId="28824115" w14:textId="77777777" w:rsidR="00387142" w:rsidRPr="008B6A75" w:rsidRDefault="00387142" w:rsidP="00387142">
            <w:pPr>
              <w:rPr>
                <w:color w:val="000000"/>
                <w:sz w:val="20"/>
                <w:szCs w:val="20"/>
              </w:rPr>
            </w:pPr>
            <w:r w:rsidRPr="008B6A75">
              <w:rPr>
                <w:color w:val="000000"/>
                <w:sz w:val="20"/>
                <w:szCs w:val="20"/>
              </w:rPr>
              <w:t> </w:t>
            </w:r>
          </w:p>
        </w:tc>
      </w:tr>
      <w:tr w:rsidR="00387142" w:rsidRPr="008B6A75" w14:paraId="48B8114B" w14:textId="77777777" w:rsidTr="00387142">
        <w:trPr>
          <w:trHeight w:val="315"/>
        </w:trPr>
        <w:tc>
          <w:tcPr>
            <w:tcW w:w="677" w:type="dxa"/>
            <w:tcBorders>
              <w:top w:val="nil"/>
              <w:left w:val="single" w:sz="4" w:space="0" w:color="auto"/>
              <w:bottom w:val="single" w:sz="4" w:space="0" w:color="auto"/>
              <w:right w:val="single" w:sz="4" w:space="0" w:color="auto"/>
            </w:tcBorders>
            <w:shd w:val="clear" w:color="auto" w:fill="auto"/>
            <w:vAlign w:val="bottom"/>
            <w:hideMark/>
          </w:tcPr>
          <w:p w14:paraId="41FA1397" w14:textId="77777777" w:rsidR="00387142" w:rsidRPr="008B6A75" w:rsidRDefault="00387142" w:rsidP="00387142">
            <w:pPr>
              <w:jc w:val="right"/>
              <w:rPr>
                <w:color w:val="000000"/>
                <w:sz w:val="20"/>
                <w:szCs w:val="20"/>
              </w:rPr>
            </w:pPr>
            <w:r w:rsidRPr="008B6A75">
              <w:rPr>
                <w:color w:val="000000"/>
                <w:sz w:val="20"/>
                <w:szCs w:val="20"/>
              </w:rPr>
              <w:t>10</w:t>
            </w:r>
          </w:p>
        </w:tc>
        <w:tc>
          <w:tcPr>
            <w:tcW w:w="2923" w:type="dxa"/>
            <w:tcBorders>
              <w:top w:val="nil"/>
              <w:left w:val="nil"/>
              <w:bottom w:val="single" w:sz="4" w:space="0" w:color="auto"/>
              <w:right w:val="single" w:sz="4" w:space="0" w:color="auto"/>
            </w:tcBorders>
            <w:shd w:val="clear" w:color="auto" w:fill="auto"/>
            <w:vAlign w:val="bottom"/>
            <w:hideMark/>
          </w:tcPr>
          <w:p w14:paraId="31CE7268" w14:textId="77777777" w:rsidR="00387142" w:rsidRPr="008B6A75" w:rsidRDefault="00387142" w:rsidP="00387142">
            <w:pPr>
              <w:rPr>
                <w:color w:val="000000"/>
                <w:sz w:val="20"/>
                <w:szCs w:val="20"/>
              </w:rPr>
            </w:pPr>
            <w:r w:rsidRPr="008B6A75">
              <w:rPr>
                <w:color w:val="000000"/>
                <w:sz w:val="20"/>
                <w:szCs w:val="20"/>
              </w:rPr>
              <w:t>Куйбышевский</w:t>
            </w:r>
          </w:p>
        </w:tc>
        <w:tc>
          <w:tcPr>
            <w:tcW w:w="4023" w:type="dxa"/>
            <w:tcBorders>
              <w:top w:val="nil"/>
              <w:left w:val="nil"/>
              <w:bottom w:val="single" w:sz="4" w:space="0" w:color="auto"/>
              <w:right w:val="single" w:sz="4" w:space="0" w:color="auto"/>
            </w:tcBorders>
            <w:shd w:val="clear" w:color="auto" w:fill="auto"/>
            <w:noWrap/>
            <w:vAlign w:val="bottom"/>
            <w:hideMark/>
          </w:tcPr>
          <w:p w14:paraId="5807BE7F" w14:textId="77777777" w:rsidR="00387142" w:rsidRPr="008B6A75" w:rsidRDefault="00387142" w:rsidP="00387142">
            <w:pPr>
              <w:jc w:val="right"/>
              <w:rPr>
                <w:color w:val="000000"/>
                <w:sz w:val="20"/>
                <w:szCs w:val="20"/>
              </w:rPr>
            </w:pPr>
            <w:r w:rsidRPr="008B6A75">
              <w:rPr>
                <w:color w:val="000000"/>
                <w:sz w:val="20"/>
                <w:szCs w:val="20"/>
              </w:rPr>
              <w:t>1 420 400,00</w:t>
            </w:r>
          </w:p>
        </w:tc>
        <w:tc>
          <w:tcPr>
            <w:tcW w:w="1963" w:type="dxa"/>
            <w:tcBorders>
              <w:top w:val="nil"/>
              <w:left w:val="nil"/>
              <w:bottom w:val="single" w:sz="4" w:space="0" w:color="auto"/>
              <w:right w:val="single" w:sz="4" w:space="0" w:color="auto"/>
            </w:tcBorders>
            <w:shd w:val="clear" w:color="auto" w:fill="auto"/>
            <w:noWrap/>
            <w:vAlign w:val="bottom"/>
            <w:hideMark/>
          </w:tcPr>
          <w:p w14:paraId="3C23E940" w14:textId="77777777" w:rsidR="00387142" w:rsidRPr="008B6A75" w:rsidRDefault="00387142" w:rsidP="00387142">
            <w:pPr>
              <w:rPr>
                <w:color w:val="000000"/>
                <w:sz w:val="20"/>
                <w:szCs w:val="20"/>
              </w:rPr>
            </w:pPr>
            <w:r w:rsidRPr="008B6A75">
              <w:rPr>
                <w:color w:val="000000"/>
                <w:sz w:val="20"/>
                <w:szCs w:val="20"/>
              </w:rPr>
              <w:t> </w:t>
            </w:r>
          </w:p>
        </w:tc>
      </w:tr>
      <w:tr w:rsidR="00387142" w:rsidRPr="008B6A75" w14:paraId="2112924A" w14:textId="77777777" w:rsidTr="00387142">
        <w:trPr>
          <w:trHeight w:val="315"/>
        </w:trPr>
        <w:tc>
          <w:tcPr>
            <w:tcW w:w="677" w:type="dxa"/>
            <w:tcBorders>
              <w:top w:val="nil"/>
              <w:left w:val="single" w:sz="4" w:space="0" w:color="auto"/>
              <w:bottom w:val="single" w:sz="4" w:space="0" w:color="auto"/>
              <w:right w:val="single" w:sz="4" w:space="0" w:color="auto"/>
            </w:tcBorders>
            <w:shd w:val="clear" w:color="auto" w:fill="auto"/>
            <w:vAlign w:val="bottom"/>
            <w:hideMark/>
          </w:tcPr>
          <w:p w14:paraId="587C4A4E" w14:textId="77777777" w:rsidR="00387142" w:rsidRPr="008B6A75" w:rsidRDefault="00387142" w:rsidP="00387142">
            <w:pPr>
              <w:jc w:val="right"/>
              <w:rPr>
                <w:color w:val="000000"/>
                <w:sz w:val="20"/>
                <w:szCs w:val="20"/>
              </w:rPr>
            </w:pPr>
            <w:r w:rsidRPr="008B6A75">
              <w:rPr>
                <w:color w:val="000000"/>
                <w:sz w:val="20"/>
                <w:szCs w:val="20"/>
              </w:rPr>
              <w:t>11</w:t>
            </w:r>
          </w:p>
        </w:tc>
        <w:tc>
          <w:tcPr>
            <w:tcW w:w="2923" w:type="dxa"/>
            <w:tcBorders>
              <w:top w:val="nil"/>
              <w:left w:val="nil"/>
              <w:bottom w:val="single" w:sz="4" w:space="0" w:color="auto"/>
              <w:right w:val="single" w:sz="4" w:space="0" w:color="auto"/>
            </w:tcBorders>
            <w:shd w:val="clear" w:color="auto" w:fill="auto"/>
            <w:vAlign w:val="bottom"/>
            <w:hideMark/>
          </w:tcPr>
          <w:p w14:paraId="333B66EE" w14:textId="77777777" w:rsidR="00387142" w:rsidRPr="008B6A75" w:rsidRDefault="00387142" w:rsidP="00387142">
            <w:pPr>
              <w:rPr>
                <w:color w:val="000000"/>
                <w:sz w:val="20"/>
                <w:szCs w:val="20"/>
              </w:rPr>
            </w:pPr>
            <w:r w:rsidRPr="008B6A75">
              <w:rPr>
                <w:color w:val="000000"/>
                <w:sz w:val="20"/>
                <w:szCs w:val="20"/>
              </w:rPr>
              <w:t>Михайловский</w:t>
            </w:r>
          </w:p>
        </w:tc>
        <w:tc>
          <w:tcPr>
            <w:tcW w:w="4023" w:type="dxa"/>
            <w:tcBorders>
              <w:top w:val="nil"/>
              <w:left w:val="nil"/>
              <w:bottom w:val="single" w:sz="4" w:space="0" w:color="auto"/>
              <w:right w:val="single" w:sz="4" w:space="0" w:color="auto"/>
            </w:tcBorders>
            <w:shd w:val="clear" w:color="auto" w:fill="auto"/>
            <w:noWrap/>
            <w:vAlign w:val="bottom"/>
            <w:hideMark/>
          </w:tcPr>
          <w:p w14:paraId="08E89513" w14:textId="77777777" w:rsidR="00387142" w:rsidRPr="008B6A75" w:rsidRDefault="00387142" w:rsidP="00387142">
            <w:pPr>
              <w:jc w:val="right"/>
              <w:rPr>
                <w:color w:val="000000"/>
                <w:sz w:val="20"/>
                <w:szCs w:val="20"/>
              </w:rPr>
            </w:pPr>
            <w:r w:rsidRPr="008B6A75">
              <w:rPr>
                <w:color w:val="000000"/>
                <w:sz w:val="20"/>
                <w:szCs w:val="20"/>
              </w:rPr>
              <w:t>0,00</w:t>
            </w:r>
          </w:p>
        </w:tc>
        <w:tc>
          <w:tcPr>
            <w:tcW w:w="1963" w:type="dxa"/>
            <w:tcBorders>
              <w:top w:val="nil"/>
              <w:left w:val="nil"/>
              <w:bottom w:val="single" w:sz="4" w:space="0" w:color="auto"/>
              <w:right w:val="single" w:sz="4" w:space="0" w:color="auto"/>
            </w:tcBorders>
            <w:shd w:val="clear" w:color="auto" w:fill="auto"/>
            <w:noWrap/>
            <w:vAlign w:val="bottom"/>
            <w:hideMark/>
          </w:tcPr>
          <w:p w14:paraId="5DABC0DC" w14:textId="77777777" w:rsidR="00387142" w:rsidRPr="008B6A75" w:rsidRDefault="00387142" w:rsidP="00387142">
            <w:pPr>
              <w:rPr>
                <w:color w:val="000000"/>
                <w:sz w:val="20"/>
                <w:szCs w:val="20"/>
              </w:rPr>
            </w:pPr>
            <w:r w:rsidRPr="008B6A75">
              <w:rPr>
                <w:color w:val="000000"/>
                <w:sz w:val="20"/>
                <w:szCs w:val="20"/>
              </w:rPr>
              <w:t> </w:t>
            </w:r>
          </w:p>
        </w:tc>
      </w:tr>
      <w:tr w:rsidR="00387142" w:rsidRPr="008B6A75" w14:paraId="2EEDEEE1" w14:textId="77777777" w:rsidTr="00387142">
        <w:trPr>
          <w:trHeight w:val="315"/>
        </w:trPr>
        <w:tc>
          <w:tcPr>
            <w:tcW w:w="677" w:type="dxa"/>
            <w:tcBorders>
              <w:top w:val="nil"/>
              <w:left w:val="single" w:sz="4" w:space="0" w:color="auto"/>
              <w:bottom w:val="single" w:sz="4" w:space="0" w:color="auto"/>
              <w:right w:val="single" w:sz="4" w:space="0" w:color="auto"/>
            </w:tcBorders>
            <w:shd w:val="clear" w:color="auto" w:fill="auto"/>
            <w:vAlign w:val="bottom"/>
            <w:hideMark/>
          </w:tcPr>
          <w:p w14:paraId="6082D69B" w14:textId="77777777" w:rsidR="00387142" w:rsidRPr="008B6A75" w:rsidRDefault="00387142" w:rsidP="00387142">
            <w:pPr>
              <w:jc w:val="right"/>
              <w:rPr>
                <w:color w:val="000000"/>
                <w:sz w:val="20"/>
                <w:szCs w:val="20"/>
              </w:rPr>
            </w:pPr>
            <w:r w:rsidRPr="008B6A75">
              <w:rPr>
                <w:color w:val="000000"/>
                <w:sz w:val="20"/>
                <w:szCs w:val="20"/>
              </w:rPr>
              <w:t>12</w:t>
            </w:r>
          </w:p>
        </w:tc>
        <w:tc>
          <w:tcPr>
            <w:tcW w:w="2923" w:type="dxa"/>
            <w:tcBorders>
              <w:top w:val="nil"/>
              <w:left w:val="nil"/>
              <w:bottom w:val="single" w:sz="4" w:space="0" w:color="auto"/>
              <w:right w:val="single" w:sz="4" w:space="0" w:color="auto"/>
            </w:tcBorders>
            <w:shd w:val="clear" w:color="auto" w:fill="auto"/>
            <w:vAlign w:val="bottom"/>
            <w:hideMark/>
          </w:tcPr>
          <w:p w14:paraId="166FDB38" w14:textId="77777777" w:rsidR="00387142" w:rsidRPr="008B6A75" w:rsidRDefault="00387142" w:rsidP="00387142">
            <w:pPr>
              <w:rPr>
                <w:color w:val="000000"/>
                <w:sz w:val="20"/>
                <w:szCs w:val="20"/>
              </w:rPr>
            </w:pPr>
            <w:proofErr w:type="spellStart"/>
            <w:r w:rsidRPr="008B6A75">
              <w:rPr>
                <w:color w:val="000000"/>
                <w:sz w:val="20"/>
                <w:szCs w:val="20"/>
              </w:rPr>
              <w:t>Новоичинский</w:t>
            </w:r>
            <w:proofErr w:type="spellEnd"/>
          </w:p>
        </w:tc>
        <w:tc>
          <w:tcPr>
            <w:tcW w:w="4023" w:type="dxa"/>
            <w:tcBorders>
              <w:top w:val="nil"/>
              <w:left w:val="nil"/>
              <w:bottom w:val="single" w:sz="4" w:space="0" w:color="auto"/>
              <w:right w:val="single" w:sz="4" w:space="0" w:color="auto"/>
            </w:tcBorders>
            <w:shd w:val="clear" w:color="auto" w:fill="auto"/>
            <w:noWrap/>
            <w:vAlign w:val="bottom"/>
            <w:hideMark/>
          </w:tcPr>
          <w:p w14:paraId="5C399DD4" w14:textId="77777777" w:rsidR="00387142" w:rsidRPr="008B6A75" w:rsidRDefault="00387142" w:rsidP="00387142">
            <w:pPr>
              <w:jc w:val="right"/>
              <w:rPr>
                <w:color w:val="000000"/>
                <w:sz w:val="20"/>
                <w:szCs w:val="20"/>
              </w:rPr>
            </w:pPr>
            <w:r w:rsidRPr="008B6A75">
              <w:rPr>
                <w:color w:val="000000"/>
                <w:sz w:val="20"/>
                <w:szCs w:val="20"/>
              </w:rPr>
              <w:t>618 800,00</w:t>
            </w:r>
          </w:p>
        </w:tc>
        <w:tc>
          <w:tcPr>
            <w:tcW w:w="1963" w:type="dxa"/>
            <w:tcBorders>
              <w:top w:val="nil"/>
              <w:left w:val="nil"/>
              <w:bottom w:val="single" w:sz="4" w:space="0" w:color="auto"/>
              <w:right w:val="single" w:sz="4" w:space="0" w:color="auto"/>
            </w:tcBorders>
            <w:shd w:val="clear" w:color="auto" w:fill="auto"/>
            <w:noWrap/>
            <w:vAlign w:val="bottom"/>
            <w:hideMark/>
          </w:tcPr>
          <w:p w14:paraId="2968A77B" w14:textId="77777777" w:rsidR="00387142" w:rsidRPr="008B6A75" w:rsidRDefault="00387142" w:rsidP="00387142">
            <w:pPr>
              <w:rPr>
                <w:color w:val="000000"/>
                <w:sz w:val="20"/>
                <w:szCs w:val="20"/>
              </w:rPr>
            </w:pPr>
            <w:r w:rsidRPr="008B6A75">
              <w:rPr>
                <w:color w:val="000000"/>
                <w:sz w:val="20"/>
                <w:szCs w:val="20"/>
              </w:rPr>
              <w:t> </w:t>
            </w:r>
          </w:p>
        </w:tc>
      </w:tr>
      <w:tr w:rsidR="00387142" w:rsidRPr="008B6A75" w14:paraId="7F15E59E" w14:textId="77777777" w:rsidTr="00387142">
        <w:trPr>
          <w:trHeight w:val="315"/>
        </w:trPr>
        <w:tc>
          <w:tcPr>
            <w:tcW w:w="677" w:type="dxa"/>
            <w:tcBorders>
              <w:top w:val="nil"/>
              <w:left w:val="single" w:sz="4" w:space="0" w:color="auto"/>
              <w:bottom w:val="single" w:sz="4" w:space="0" w:color="auto"/>
              <w:right w:val="single" w:sz="4" w:space="0" w:color="auto"/>
            </w:tcBorders>
            <w:shd w:val="clear" w:color="auto" w:fill="auto"/>
            <w:vAlign w:val="bottom"/>
            <w:hideMark/>
          </w:tcPr>
          <w:p w14:paraId="78F1F55E" w14:textId="77777777" w:rsidR="00387142" w:rsidRPr="008B6A75" w:rsidRDefault="00387142" w:rsidP="00387142">
            <w:pPr>
              <w:jc w:val="right"/>
              <w:rPr>
                <w:color w:val="000000"/>
                <w:sz w:val="20"/>
                <w:szCs w:val="20"/>
              </w:rPr>
            </w:pPr>
            <w:r w:rsidRPr="008B6A75">
              <w:rPr>
                <w:color w:val="000000"/>
                <w:sz w:val="20"/>
                <w:szCs w:val="20"/>
              </w:rPr>
              <w:t>13</w:t>
            </w:r>
          </w:p>
        </w:tc>
        <w:tc>
          <w:tcPr>
            <w:tcW w:w="2923" w:type="dxa"/>
            <w:tcBorders>
              <w:top w:val="nil"/>
              <w:left w:val="nil"/>
              <w:bottom w:val="single" w:sz="4" w:space="0" w:color="auto"/>
              <w:right w:val="single" w:sz="4" w:space="0" w:color="auto"/>
            </w:tcBorders>
            <w:shd w:val="clear" w:color="auto" w:fill="auto"/>
            <w:vAlign w:val="bottom"/>
            <w:hideMark/>
          </w:tcPr>
          <w:p w14:paraId="755F09DC" w14:textId="77777777" w:rsidR="00387142" w:rsidRPr="008B6A75" w:rsidRDefault="00387142" w:rsidP="00387142">
            <w:pPr>
              <w:rPr>
                <w:color w:val="000000"/>
                <w:sz w:val="20"/>
                <w:szCs w:val="20"/>
              </w:rPr>
            </w:pPr>
            <w:r w:rsidRPr="008B6A75">
              <w:rPr>
                <w:color w:val="000000"/>
                <w:sz w:val="20"/>
                <w:szCs w:val="20"/>
              </w:rPr>
              <w:t>Октябрьский</w:t>
            </w:r>
          </w:p>
        </w:tc>
        <w:tc>
          <w:tcPr>
            <w:tcW w:w="4023" w:type="dxa"/>
            <w:tcBorders>
              <w:top w:val="nil"/>
              <w:left w:val="nil"/>
              <w:bottom w:val="single" w:sz="4" w:space="0" w:color="auto"/>
              <w:right w:val="single" w:sz="4" w:space="0" w:color="auto"/>
            </w:tcBorders>
            <w:shd w:val="clear" w:color="auto" w:fill="auto"/>
            <w:noWrap/>
            <w:vAlign w:val="bottom"/>
            <w:hideMark/>
          </w:tcPr>
          <w:p w14:paraId="5A0A40B8" w14:textId="77777777" w:rsidR="00387142" w:rsidRPr="008B6A75" w:rsidRDefault="00387142" w:rsidP="00387142">
            <w:pPr>
              <w:jc w:val="right"/>
              <w:rPr>
                <w:color w:val="000000"/>
                <w:sz w:val="20"/>
                <w:szCs w:val="20"/>
              </w:rPr>
            </w:pPr>
            <w:r w:rsidRPr="008B6A75">
              <w:rPr>
                <w:color w:val="000000"/>
                <w:sz w:val="20"/>
                <w:szCs w:val="20"/>
              </w:rPr>
              <w:t>5 594 800,00</w:t>
            </w:r>
          </w:p>
        </w:tc>
        <w:tc>
          <w:tcPr>
            <w:tcW w:w="1963" w:type="dxa"/>
            <w:tcBorders>
              <w:top w:val="nil"/>
              <w:left w:val="nil"/>
              <w:bottom w:val="single" w:sz="4" w:space="0" w:color="auto"/>
              <w:right w:val="single" w:sz="4" w:space="0" w:color="auto"/>
            </w:tcBorders>
            <w:shd w:val="clear" w:color="auto" w:fill="auto"/>
            <w:noWrap/>
            <w:vAlign w:val="bottom"/>
            <w:hideMark/>
          </w:tcPr>
          <w:p w14:paraId="5661C02A" w14:textId="77777777" w:rsidR="00387142" w:rsidRPr="008B6A75" w:rsidRDefault="00387142" w:rsidP="00387142">
            <w:pPr>
              <w:rPr>
                <w:color w:val="000000"/>
                <w:sz w:val="20"/>
                <w:szCs w:val="20"/>
              </w:rPr>
            </w:pPr>
            <w:r w:rsidRPr="008B6A75">
              <w:rPr>
                <w:color w:val="000000"/>
                <w:sz w:val="20"/>
                <w:szCs w:val="20"/>
              </w:rPr>
              <w:t> </w:t>
            </w:r>
          </w:p>
        </w:tc>
      </w:tr>
      <w:tr w:rsidR="00387142" w:rsidRPr="008B6A75" w14:paraId="26F58DB4" w14:textId="77777777" w:rsidTr="00387142">
        <w:trPr>
          <w:trHeight w:val="315"/>
        </w:trPr>
        <w:tc>
          <w:tcPr>
            <w:tcW w:w="677" w:type="dxa"/>
            <w:tcBorders>
              <w:top w:val="nil"/>
              <w:left w:val="single" w:sz="4" w:space="0" w:color="auto"/>
              <w:bottom w:val="single" w:sz="4" w:space="0" w:color="auto"/>
              <w:right w:val="single" w:sz="4" w:space="0" w:color="auto"/>
            </w:tcBorders>
            <w:shd w:val="clear" w:color="auto" w:fill="auto"/>
            <w:vAlign w:val="bottom"/>
            <w:hideMark/>
          </w:tcPr>
          <w:p w14:paraId="0616E0DA" w14:textId="77777777" w:rsidR="00387142" w:rsidRPr="008B6A75" w:rsidRDefault="00387142" w:rsidP="00387142">
            <w:pPr>
              <w:jc w:val="right"/>
              <w:rPr>
                <w:color w:val="000000"/>
                <w:sz w:val="20"/>
                <w:szCs w:val="20"/>
              </w:rPr>
            </w:pPr>
            <w:r w:rsidRPr="008B6A75">
              <w:rPr>
                <w:color w:val="000000"/>
                <w:sz w:val="20"/>
                <w:szCs w:val="20"/>
              </w:rPr>
              <w:t>14</w:t>
            </w:r>
          </w:p>
        </w:tc>
        <w:tc>
          <w:tcPr>
            <w:tcW w:w="2923" w:type="dxa"/>
            <w:tcBorders>
              <w:top w:val="nil"/>
              <w:left w:val="nil"/>
              <w:bottom w:val="single" w:sz="4" w:space="0" w:color="auto"/>
              <w:right w:val="single" w:sz="4" w:space="0" w:color="auto"/>
            </w:tcBorders>
            <w:shd w:val="clear" w:color="auto" w:fill="auto"/>
            <w:vAlign w:val="bottom"/>
            <w:hideMark/>
          </w:tcPr>
          <w:p w14:paraId="36BCC7D0" w14:textId="77777777" w:rsidR="00387142" w:rsidRPr="008B6A75" w:rsidRDefault="00387142" w:rsidP="00387142">
            <w:pPr>
              <w:rPr>
                <w:color w:val="000000"/>
                <w:sz w:val="20"/>
                <w:szCs w:val="20"/>
              </w:rPr>
            </w:pPr>
            <w:proofErr w:type="spellStart"/>
            <w:r w:rsidRPr="008B6A75">
              <w:rPr>
                <w:color w:val="000000"/>
                <w:sz w:val="20"/>
                <w:szCs w:val="20"/>
              </w:rPr>
              <w:t>Осиновский</w:t>
            </w:r>
            <w:proofErr w:type="spellEnd"/>
          </w:p>
        </w:tc>
        <w:tc>
          <w:tcPr>
            <w:tcW w:w="4023" w:type="dxa"/>
            <w:tcBorders>
              <w:top w:val="nil"/>
              <w:left w:val="nil"/>
              <w:bottom w:val="single" w:sz="4" w:space="0" w:color="auto"/>
              <w:right w:val="single" w:sz="4" w:space="0" w:color="auto"/>
            </w:tcBorders>
            <w:shd w:val="clear" w:color="auto" w:fill="auto"/>
            <w:noWrap/>
            <w:vAlign w:val="bottom"/>
            <w:hideMark/>
          </w:tcPr>
          <w:p w14:paraId="034A4E62" w14:textId="77777777" w:rsidR="00387142" w:rsidRPr="008B6A75" w:rsidRDefault="00387142" w:rsidP="00387142">
            <w:pPr>
              <w:jc w:val="right"/>
              <w:rPr>
                <w:color w:val="000000"/>
                <w:sz w:val="20"/>
                <w:szCs w:val="20"/>
              </w:rPr>
            </w:pPr>
            <w:r w:rsidRPr="008B6A75">
              <w:rPr>
                <w:color w:val="000000"/>
                <w:sz w:val="20"/>
                <w:szCs w:val="20"/>
              </w:rPr>
              <w:t>1 719 100,00</w:t>
            </w:r>
          </w:p>
        </w:tc>
        <w:tc>
          <w:tcPr>
            <w:tcW w:w="1963" w:type="dxa"/>
            <w:tcBorders>
              <w:top w:val="nil"/>
              <w:left w:val="nil"/>
              <w:bottom w:val="single" w:sz="4" w:space="0" w:color="auto"/>
              <w:right w:val="single" w:sz="4" w:space="0" w:color="auto"/>
            </w:tcBorders>
            <w:shd w:val="clear" w:color="auto" w:fill="auto"/>
            <w:noWrap/>
            <w:vAlign w:val="bottom"/>
            <w:hideMark/>
          </w:tcPr>
          <w:p w14:paraId="54ADB495" w14:textId="77777777" w:rsidR="00387142" w:rsidRPr="008B6A75" w:rsidRDefault="00387142" w:rsidP="00387142">
            <w:pPr>
              <w:rPr>
                <w:color w:val="000000"/>
                <w:sz w:val="20"/>
                <w:szCs w:val="20"/>
              </w:rPr>
            </w:pPr>
            <w:r w:rsidRPr="008B6A75">
              <w:rPr>
                <w:color w:val="000000"/>
                <w:sz w:val="20"/>
                <w:szCs w:val="20"/>
              </w:rPr>
              <w:t> </w:t>
            </w:r>
          </w:p>
        </w:tc>
      </w:tr>
      <w:tr w:rsidR="00387142" w:rsidRPr="008B6A75" w14:paraId="489957F4" w14:textId="77777777" w:rsidTr="00387142">
        <w:trPr>
          <w:trHeight w:val="315"/>
        </w:trPr>
        <w:tc>
          <w:tcPr>
            <w:tcW w:w="677" w:type="dxa"/>
            <w:tcBorders>
              <w:top w:val="nil"/>
              <w:left w:val="single" w:sz="4" w:space="0" w:color="auto"/>
              <w:bottom w:val="single" w:sz="4" w:space="0" w:color="auto"/>
              <w:right w:val="single" w:sz="4" w:space="0" w:color="auto"/>
            </w:tcBorders>
            <w:shd w:val="clear" w:color="auto" w:fill="auto"/>
            <w:vAlign w:val="bottom"/>
            <w:hideMark/>
          </w:tcPr>
          <w:p w14:paraId="3549E724" w14:textId="77777777" w:rsidR="00387142" w:rsidRPr="008B6A75" w:rsidRDefault="00387142" w:rsidP="00387142">
            <w:pPr>
              <w:jc w:val="right"/>
              <w:rPr>
                <w:color w:val="000000"/>
                <w:sz w:val="20"/>
                <w:szCs w:val="20"/>
              </w:rPr>
            </w:pPr>
            <w:r w:rsidRPr="008B6A75">
              <w:rPr>
                <w:color w:val="000000"/>
                <w:sz w:val="20"/>
                <w:szCs w:val="20"/>
              </w:rPr>
              <w:t>15</w:t>
            </w:r>
          </w:p>
        </w:tc>
        <w:tc>
          <w:tcPr>
            <w:tcW w:w="2923" w:type="dxa"/>
            <w:tcBorders>
              <w:top w:val="nil"/>
              <w:left w:val="nil"/>
              <w:bottom w:val="single" w:sz="4" w:space="0" w:color="auto"/>
              <w:right w:val="single" w:sz="4" w:space="0" w:color="auto"/>
            </w:tcBorders>
            <w:shd w:val="clear" w:color="auto" w:fill="auto"/>
            <w:vAlign w:val="bottom"/>
            <w:hideMark/>
          </w:tcPr>
          <w:p w14:paraId="6F35251F" w14:textId="77777777" w:rsidR="00387142" w:rsidRPr="008B6A75" w:rsidRDefault="00387142" w:rsidP="00387142">
            <w:pPr>
              <w:rPr>
                <w:color w:val="000000"/>
                <w:sz w:val="20"/>
                <w:szCs w:val="20"/>
              </w:rPr>
            </w:pPr>
            <w:proofErr w:type="spellStart"/>
            <w:r w:rsidRPr="008B6A75">
              <w:rPr>
                <w:color w:val="000000"/>
                <w:sz w:val="20"/>
                <w:szCs w:val="20"/>
              </w:rPr>
              <w:t>Отрадненский</w:t>
            </w:r>
            <w:proofErr w:type="spellEnd"/>
          </w:p>
        </w:tc>
        <w:tc>
          <w:tcPr>
            <w:tcW w:w="4023" w:type="dxa"/>
            <w:tcBorders>
              <w:top w:val="nil"/>
              <w:left w:val="nil"/>
              <w:bottom w:val="single" w:sz="4" w:space="0" w:color="auto"/>
              <w:right w:val="single" w:sz="4" w:space="0" w:color="auto"/>
            </w:tcBorders>
            <w:shd w:val="clear" w:color="auto" w:fill="auto"/>
            <w:noWrap/>
            <w:vAlign w:val="bottom"/>
            <w:hideMark/>
          </w:tcPr>
          <w:p w14:paraId="64DDF651" w14:textId="77777777" w:rsidR="00387142" w:rsidRPr="008B6A75" w:rsidRDefault="00387142" w:rsidP="00387142">
            <w:pPr>
              <w:jc w:val="right"/>
              <w:rPr>
                <w:color w:val="000000"/>
                <w:sz w:val="20"/>
                <w:szCs w:val="20"/>
              </w:rPr>
            </w:pPr>
            <w:r w:rsidRPr="008B6A75">
              <w:rPr>
                <w:color w:val="000000"/>
                <w:sz w:val="20"/>
                <w:szCs w:val="20"/>
              </w:rPr>
              <w:t>1 469 600,00</w:t>
            </w:r>
          </w:p>
        </w:tc>
        <w:tc>
          <w:tcPr>
            <w:tcW w:w="1963" w:type="dxa"/>
            <w:tcBorders>
              <w:top w:val="nil"/>
              <w:left w:val="nil"/>
              <w:bottom w:val="single" w:sz="4" w:space="0" w:color="auto"/>
              <w:right w:val="single" w:sz="4" w:space="0" w:color="auto"/>
            </w:tcBorders>
            <w:shd w:val="clear" w:color="auto" w:fill="auto"/>
            <w:noWrap/>
            <w:vAlign w:val="bottom"/>
            <w:hideMark/>
          </w:tcPr>
          <w:p w14:paraId="323F7C89" w14:textId="77777777" w:rsidR="00387142" w:rsidRPr="008B6A75" w:rsidRDefault="00387142" w:rsidP="00387142">
            <w:pPr>
              <w:rPr>
                <w:color w:val="000000"/>
                <w:sz w:val="20"/>
                <w:szCs w:val="20"/>
              </w:rPr>
            </w:pPr>
            <w:r w:rsidRPr="008B6A75">
              <w:rPr>
                <w:color w:val="000000"/>
                <w:sz w:val="20"/>
                <w:szCs w:val="20"/>
              </w:rPr>
              <w:t> </w:t>
            </w:r>
          </w:p>
        </w:tc>
      </w:tr>
      <w:tr w:rsidR="00387142" w:rsidRPr="008B6A75" w14:paraId="207E5657" w14:textId="77777777" w:rsidTr="00387142">
        <w:trPr>
          <w:trHeight w:val="315"/>
        </w:trPr>
        <w:tc>
          <w:tcPr>
            <w:tcW w:w="677" w:type="dxa"/>
            <w:tcBorders>
              <w:top w:val="nil"/>
              <w:left w:val="single" w:sz="4" w:space="0" w:color="auto"/>
              <w:bottom w:val="single" w:sz="4" w:space="0" w:color="auto"/>
              <w:right w:val="single" w:sz="4" w:space="0" w:color="auto"/>
            </w:tcBorders>
            <w:shd w:val="clear" w:color="auto" w:fill="auto"/>
            <w:vAlign w:val="bottom"/>
            <w:hideMark/>
          </w:tcPr>
          <w:p w14:paraId="3DD010B8" w14:textId="77777777" w:rsidR="00387142" w:rsidRPr="008B6A75" w:rsidRDefault="00387142" w:rsidP="00387142">
            <w:pPr>
              <w:jc w:val="right"/>
              <w:rPr>
                <w:color w:val="000000"/>
                <w:sz w:val="20"/>
                <w:szCs w:val="20"/>
              </w:rPr>
            </w:pPr>
            <w:r w:rsidRPr="008B6A75">
              <w:rPr>
                <w:color w:val="000000"/>
                <w:sz w:val="20"/>
                <w:szCs w:val="20"/>
              </w:rPr>
              <w:t>16</w:t>
            </w:r>
          </w:p>
        </w:tc>
        <w:tc>
          <w:tcPr>
            <w:tcW w:w="2923" w:type="dxa"/>
            <w:tcBorders>
              <w:top w:val="nil"/>
              <w:left w:val="nil"/>
              <w:bottom w:val="single" w:sz="4" w:space="0" w:color="auto"/>
              <w:right w:val="single" w:sz="4" w:space="0" w:color="auto"/>
            </w:tcBorders>
            <w:shd w:val="clear" w:color="auto" w:fill="auto"/>
            <w:vAlign w:val="bottom"/>
            <w:hideMark/>
          </w:tcPr>
          <w:p w14:paraId="721E3DF4" w14:textId="77777777" w:rsidR="00387142" w:rsidRPr="008B6A75" w:rsidRDefault="00387142" w:rsidP="00387142">
            <w:pPr>
              <w:rPr>
                <w:color w:val="000000"/>
                <w:sz w:val="20"/>
                <w:szCs w:val="20"/>
              </w:rPr>
            </w:pPr>
            <w:proofErr w:type="spellStart"/>
            <w:r w:rsidRPr="008B6A75">
              <w:rPr>
                <w:color w:val="000000"/>
                <w:sz w:val="20"/>
                <w:szCs w:val="20"/>
              </w:rPr>
              <w:t>Сергинский</w:t>
            </w:r>
            <w:proofErr w:type="spellEnd"/>
          </w:p>
        </w:tc>
        <w:tc>
          <w:tcPr>
            <w:tcW w:w="4023" w:type="dxa"/>
            <w:tcBorders>
              <w:top w:val="nil"/>
              <w:left w:val="nil"/>
              <w:bottom w:val="single" w:sz="4" w:space="0" w:color="auto"/>
              <w:right w:val="single" w:sz="4" w:space="0" w:color="auto"/>
            </w:tcBorders>
            <w:shd w:val="clear" w:color="auto" w:fill="auto"/>
            <w:noWrap/>
            <w:vAlign w:val="bottom"/>
            <w:hideMark/>
          </w:tcPr>
          <w:p w14:paraId="0D3BB50D" w14:textId="77777777" w:rsidR="00387142" w:rsidRPr="008B6A75" w:rsidRDefault="00387142" w:rsidP="00387142">
            <w:pPr>
              <w:jc w:val="right"/>
              <w:rPr>
                <w:color w:val="000000"/>
                <w:sz w:val="20"/>
                <w:szCs w:val="20"/>
              </w:rPr>
            </w:pPr>
            <w:r w:rsidRPr="008B6A75">
              <w:rPr>
                <w:color w:val="000000"/>
                <w:sz w:val="20"/>
                <w:szCs w:val="20"/>
              </w:rPr>
              <w:t>505 600,00</w:t>
            </w:r>
          </w:p>
        </w:tc>
        <w:tc>
          <w:tcPr>
            <w:tcW w:w="1963" w:type="dxa"/>
            <w:tcBorders>
              <w:top w:val="nil"/>
              <w:left w:val="nil"/>
              <w:bottom w:val="single" w:sz="4" w:space="0" w:color="auto"/>
              <w:right w:val="single" w:sz="4" w:space="0" w:color="auto"/>
            </w:tcBorders>
            <w:shd w:val="clear" w:color="auto" w:fill="auto"/>
            <w:noWrap/>
            <w:vAlign w:val="bottom"/>
            <w:hideMark/>
          </w:tcPr>
          <w:p w14:paraId="469D6D7E" w14:textId="77777777" w:rsidR="00387142" w:rsidRPr="008B6A75" w:rsidRDefault="00387142" w:rsidP="00387142">
            <w:pPr>
              <w:rPr>
                <w:color w:val="000000"/>
                <w:sz w:val="20"/>
                <w:szCs w:val="20"/>
              </w:rPr>
            </w:pPr>
            <w:r w:rsidRPr="008B6A75">
              <w:rPr>
                <w:color w:val="000000"/>
                <w:sz w:val="20"/>
                <w:szCs w:val="20"/>
              </w:rPr>
              <w:t> </w:t>
            </w:r>
          </w:p>
        </w:tc>
      </w:tr>
      <w:tr w:rsidR="00387142" w:rsidRPr="008B6A75" w14:paraId="19599934" w14:textId="77777777" w:rsidTr="00387142">
        <w:trPr>
          <w:trHeight w:val="315"/>
        </w:trPr>
        <w:tc>
          <w:tcPr>
            <w:tcW w:w="677" w:type="dxa"/>
            <w:tcBorders>
              <w:top w:val="nil"/>
              <w:left w:val="single" w:sz="4" w:space="0" w:color="auto"/>
              <w:bottom w:val="single" w:sz="4" w:space="0" w:color="auto"/>
              <w:right w:val="single" w:sz="4" w:space="0" w:color="auto"/>
            </w:tcBorders>
            <w:shd w:val="clear" w:color="auto" w:fill="auto"/>
            <w:vAlign w:val="bottom"/>
            <w:hideMark/>
          </w:tcPr>
          <w:p w14:paraId="29C2F9BC" w14:textId="77777777" w:rsidR="00387142" w:rsidRPr="008B6A75" w:rsidRDefault="00387142" w:rsidP="00387142">
            <w:pPr>
              <w:jc w:val="right"/>
              <w:rPr>
                <w:color w:val="000000"/>
                <w:sz w:val="20"/>
                <w:szCs w:val="20"/>
              </w:rPr>
            </w:pPr>
            <w:r w:rsidRPr="008B6A75">
              <w:rPr>
                <w:color w:val="000000"/>
                <w:sz w:val="20"/>
                <w:szCs w:val="20"/>
              </w:rPr>
              <w:t>17</w:t>
            </w:r>
          </w:p>
        </w:tc>
        <w:tc>
          <w:tcPr>
            <w:tcW w:w="2923" w:type="dxa"/>
            <w:tcBorders>
              <w:top w:val="nil"/>
              <w:left w:val="nil"/>
              <w:bottom w:val="single" w:sz="4" w:space="0" w:color="auto"/>
              <w:right w:val="single" w:sz="4" w:space="0" w:color="auto"/>
            </w:tcBorders>
            <w:shd w:val="clear" w:color="auto" w:fill="auto"/>
            <w:vAlign w:val="bottom"/>
            <w:hideMark/>
          </w:tcPr>
          <w:p w14:paraId="37F368A1" w14:textId="77777777" w:rsidR="00387142" w:rsidRPr="008B6A75" w:rsidRDefault="00387142" w:rsidP="00387142">
            <w:pPr>
              <w:rPr>
                <w:color w:val="000000"/>
                <w:sz w:val="20"/>
                <w:szCs w:val="20"/>
              </w:rPr>
            </w:pPr>
            <w:proofErr w:type="spellStart"/>
            <w:r w:rsidRPr="008B6A75">
              <w:rPr>
                <w:color w:val="000000"/>
                <w:sz w:val="20"/>
                <w:szCs w:val="20"/>
              </w:rPr>
              <w:t>Чумаковский</w:t>
            </w:r>
            <w:proofErr w:type="spellEnd"/>
          </w:p>
        </w:tc>
        <w:tc>
          <w:tcPr>
            <w:tcW w:w="4023" w:type="dxa"/>
            <w:tcBorders>
              <w:top w:val="nil"/>
              <w:left w:val="nil"/>
              <w:bottom w:val="single" w:sz="4" w:space="0" w:color="auto"/>
              <w:right w:val="single" w:sz="4" w:space="0" w:color="auto"/>
            </w:tcBorders>
            <w:shd w:val="clear" w:color="auto" w:fill="auto"/>
            <w:noWrap/>
            <w:vAlign w:val="bottom"/>
            <w:hideMark/>
          </w:tcPr>
          <w:p w14:paraId="1001BF55" w14:textId="77777777" w:rsidR="00387142" w:rsidRPr="008B6A75" w:rsidRDefault="00387142" w:rsidP="00387142">
            <w:pPr>
              <w:jc w:val="right"/>
              <w:rPr>
                <w:color w:val="000000"/>
                <w:sz w:val="20"/>
                <w:szCs w:val="20"/>
              </w:rPr>
            </w:pPr>
            <w:r w:rsidRPr="008B6A75">
              <w:rPr>
                <w:color w:val="000000"/>
                <w:sz w:val="20"/>
                <w:szCs w:val="20"/>
              </w:rPr>
              <w:t>1 953 400,00</w:t>
            </w:r>
          </w:p>
        </w:tc>
        <w:tc>
          <w:tcPr>
            <w:tcW w:w="1963" w:type="dxa"/>
            <w:tcBorders>
              <w:top w:val="nil"/>
              <w:left w:val="nil"/>
              <w:bottom w:val="single" w:sz="4" w:space="0" w:color="auto"/>
              <w:right w:val="single" w:sz="4" w:space="0" w:color="auto"/>
            </w:tcBorders>
            <w:shd w:val="clear" w:color="auto" w:fill="auto"/>
            <w:noWrap/>
            <w:vAlign w:val="bottom"/>
            <w:hideMark/>
          </w:tcPr>
          <w:p w14:paraId="2E15E75D" w14:textId="77777777" w:rsidR="00387142" w:rsidRPr="008B6A75" w:rsidRDefault="00387142" w:rsidP="00387142">
            <w:pPr>
              <w:rPr>
                <w:color w:val="000000"/>
                <w:sz w:val="20"/>
                <w:szCs w:val="20"/>
              </w:rPr>
            </w:pPr>
            <w:r w:rsidRPr="008B6A75">
              <w:rPr>
                <w:color w:val="000000"/>
                <w:sz w:val="20"/>
                <w:szCs w:val="20"/>
              </w:rPr>
              <w:t> </w:t>
            </w:r>
          </w:p>
        </w:tc>
      </w:tr>
      <w:tr w:rsidR="00387142" w:rsidRPr="008B6A75" w14:paraId="189A0560" w14:textId="77777777" w:rsidTr="00387142">
        <w:trPr>
          <w:trHeight w:val="315"/>
        </w:trPr>
        <w:tc>
          <w:tcPr>
            <w:tcW w:w="677" w:type="dxa"/>
            <w:tcBorders>
              <w:top w:val="nil"/>
              <w:left w:val="single" w:sz="4" w:space="0" w:color="auto"/>
              <w:bottom w:val="single" w:sz="4" w:space="0" w:color="auto"/>
              <w:right w:val="single" w:sz="4" w:space="0" w:color="auto"/>
            </w:tcBorders>
            <w:shd w:val="clear" w:color="auto" w:fill="auto"/>
            <w:vAlign w:val="bottom"/>
            <w:hideMark/>
          </w:tcPr>
          <w:p w14:paraId="1D571F22" w14:textId="77777777" w:rsidR="00387142" w:rsidRPr="008B6A75" w:rsidRDefault="00387142" w:rsidP="00387142">
            <w:pPr>
              <w:jc w:val="right"/>
              <w:rPr>
                <w:color w:val="000000"/>
                <w:sz w:val="20"/>
                <w:szCs w:val="20"/>
              </w:rPr>
            </w:pPr>
            <w:r w:rsidRPr="008B6A75">
              <w:rPr>
                <w:color w:val="000000"/>
                <w:sz w:val="20"/>
                <w:szCs w:val="20"/>
              </w:rPr>
              <w:t>18</w:t>
            </w:r>
          </w:p>
        </w:tc>
        <w:tc>
          <w:tcPr>
            <w:tcW w:w="2923" w:type="dxa"/>
            <w:tcBorders>
              <w:top w:val="nil"/>
              <w:left w:val="nil"/>
              <w:bottom w:val="single" w:sz="4" w:space="0" w:color="auto"/>
              <w:right w:val="single" w:sz="4" w:space="0" w:color="auto"/>
            </w:tcBorders>
            <w:shd w:val="clear" w:color="auto" w:fill="auto"/>
            <w:vAlign w:val="bottom"/>
            <w:hideMark/>
          </w:tcPr>
          <w:p w14:paraId="32521A84" w14:textId="77777777" w:rsidR="00387142" w:rsidRPr="008B6A75" w:rsidRDefault="00387142" w:rsidP="00387142">
            <w:pPr>
              <w:rPr>
                <w:color w:val="000000"/>
                <w:sz w:val="20"/>
                <w:szCs w:val="20"/>
              </w:rPr>
            </w:pPr>
            <w:proofErr w:type="spellStart"/>
            <w:r w:rsidRPr="008B6A75">
              <w:rPr>
                <w:color w:val="000000"/>
                <w:sz w:val="20"/>
                <w:szCs w:val="20"/>
              </w:rPr>
              <w:t>г.Куйбышев</w:t>
            </w:r>
            <w:proofErr w:type="spellEnd"/>
          </w:p>
        </w:tc>
        <w:tc>
          <w:tcPr>
            <w:tcW w:w="4023" w:type="dxa"/>
            <w:tcBorders>
              <w:top w:val="nil"/>
              <w:left w:val="nil"/>
              <w:bottom w:val="single" w:sz="4" w:space="0" w:color="auto"/>
              <w:right w:val="single" w:sz="4" w:space="0" w:color="auto"/>
            </w:tcBorders>
            <w:shd w:val="clear" w:color="auto" w:fill="auto"/>
            <w:noWrap/>
            <w:vAlign w:val="bottom"/>
            <w:hideMark/>
          </w:tcPr>
          <w:p w14:paraId="12D01884" w14:textId="77777777" w:rsidR="00387142" w:rsidRPr="008B6A75" w:rsidRDefault="00387142" w:rsidP="00387142">
            <w:pPr>
              <w:jc w:val="right"/>
              <w:rPr>
                <w:color w:val="000000"/>
                <w:sz w:val="20"/>
                <w:szCs w:val="20"/>
              </w:rPr>
            </w:pPr>
            <w:r w:rsidRPr="008B6A75">
              <w:rPr>
                <w:color w:val="000000"/>
                <w:sz w:val="20"/>
                <w:szCs w:val="20"/>
              </w:rPr>
              <w:t>65 114 872,00</w:t>
            </w:r>
          </w:p>
        </w:tc>
        <w:tc>
          <w:tcPr>
            <w:tcW w:w="1963" w:type="dxa"/>
            <w:tcBorders>
              <w:top w:val="nil"/>
              <w:left w:val="nil"/>
              <w:bottom w:val="single" w:sz="4" w:space="0" w:color="auto"/>
              <w:right w:val="single" w:sz="4" w:space="0" w:color="auto"/>
            </w:tcBorders>
            <w:shd w:val="clear" w:color="auto" w:fill="auto"/>
            <w:noWrap/>
            <w:vAlign w:val="bottom"/>
            <w:hideMark/>
          </w:tcPr>
          <w:p w14:paraId="54493C45" w14:textId="77777777" w:rsidR="00387142" w:rsidRPr="008B6A75" w:rsidRDefault="00387142" w:rsidP="00387142">
            <w:pPr>
              <w:jc w:val="right"/>
              <w:rPr>
                <w:color w:val="000000"/>
                <w:sz w:val="20"/>
                <w:szCs w:val="20"/>
              </w:rPr>
            </w:pPr>
            <w:r w:rsidRPr="008B6A75">
              <w:rPr>
                <w:color w:val="000000"/>
                <w:sz w:val="20"/>
                <w:szCs w:val="20"/>
              </w:rPr>
              <w:t>7 347 672,0</w:t>
            </w:r>
          </w:p>
        </w:tc>
      </w:tr>
      <w:tr w:rsidR="00387142" w:rsidRPr="008B6A75" w14:paraId="7C790036" w14:textId="77777777" w:rsidTr="00387142">
        <w:trPr>
          <w:trHeight w:val="315"/>
        </w:trPr>
        <w:tc>
          <w:tcPr>
            <w:tcW w:w="677" w:type="dxa"/>
            <w:tcBorders>
              <w:top w:val="nil"/>
              <w:left w:val="single" w:sz="4" w:space="0" w:color="auto"/>
              <w:bottom w:val="single" w:sz="4" w:space="0" w:color="auto"/>
              <w:right w:val="single" w:sz="4" w:space="0" w:color="auto"/>
            </w:tcBorders>
            <w:shd w:val="clear" w:color="auto" w:fill="auto"/>
            <w:vAlign w:val="bottom"/>
            <w:hideMark/>
          </w:tcPr>
          <w:p w14:paraId="67CCF356" w14:textId="77777777" w:rsidR="00387142" w:rsidRPr="008B6A75" w:rsidRDefault="00387142" w:rsidP="00387142">
            <w:pPr>
              <w:rPr>
                <w:color w:val="000000"/>
                <w:sz w:val="20"/>
                <w:szCs w:val="20"/>
              </w:rPr>
            </w:pPr>
            <w:r w:rsidRPr="008B6A75">
              <w:rPr>
                <w:color w:val="000000"/>
                <w:sz w:val="20"/>
                <w:szCs w:val="20"/>
              </w:rPr>
              <w:t> </w:t>
            </w:r>
          </w:p>
        </w:tc>
        <w:tc>
          <w:tcPr>
            <w:tcW w:w="2923" w:type="dxa"/>
            <w:tcBorders>
              <w:top w:val="nil"/>
              <w:left w:val="nil"/>
              <w:bottom w:val="single" w:sz="4" w:space="0" w:color="auto"/>
              <w:right w:val="single" w:sz="4" w:space="0" w:color="auto"/>
            </w:tcBorders>
            <w:shd w:val="clear" w:color="auto" w:fill="auto"/>
            <w:vAlign w:val="bottom"/>
            <w:hideMark/>
          </w:tcPr>
          <w:p w14:paraId="3CA024AD" w14:textId="77777777" w:rsidR="00387142" w:rsidRPr="008B6A75" w:rsidRDefault="00387142" w:rsidP="00387142">
            <w:pPr>
              <w:rPr>
                <w:color w:val="000000"/>
                <w:sz w:val="20"/>
                <w:szCs w:val="20"/>
              </w:rPr>
            </w:pPr>
            <w:r w:rsidRPr="008B6A75">
              <w:rPr>
                <w:color w:val="000000"/>
                <w:sz w:val="20"/>
                <w:szCs w:val="20"/>
              </w:rPr>
              <w:t>Итого</w:t>
            </w:r>
          </w:p>
        </w:tc>
        <w:tc>
          <w:tcPr>
            <w:tcW w:w="4023" w:type="dxa"/>
            <w:tcBorders>
              <w:top w:val="nil"/>
              <w:left w:val="nil"/>
              <w:bottom w:val="single" w:sz="4" w:space="0" w:color="auto"/>
              <w:right w:val="single" w:sz="4" w:space="0" w:color="auto"/>
            </w:tcBorders>
            <w:shd w:val="clear" w:color="auto" w:fill="auto"/>
            <w:vAlign w:val="bottom"/>
            <w:hideMark/>
          </w:tcPr>
          <w:p w14:paraId="66ABD30B" w14:textId="77777777" w:rsidR="00387142" w:rsidRPr="008B6A75" w:rsidRDefault="00387142" w:rsidP="00387142">
            <w:pPr>
              <w:jc w:val="right"/>
              <w:rPr>
                <w:color w:val="000000"/>
                <w:sz w:val="20"/>
                <w:szCs w:val="20"/>
              </w:rPr>
            </w:pPr>
            <w:r w:rsidRPr="008B6A75">
              <w:rPr>
                <w:color w:val="000000"/>
                <w:sz w:val="20"/>
                <w:szCs w:val="20"/>
              </w:rPr>
              <w:t>87 568 872,00</w:t>
            </w:r>
          </w:p>
        </w:tc>
        <w:tc>
          <w:tcPr>
            <w:tcW w:w="1963" w:type="dxa"/>
            <w:tcBorders>
              <w:top w:val="nil"/>
              <w:left w:val="nil"/>
              <w:bottom w:val="single" w:sz="4" w:space="0" w:color="auto"/>
              <w:right w:val="single" w:sz="4" w:space="0" w:color="auto"/>
            </w:tcBorders>
            <w:shd w:val="clear" w:color="auto" w:fill="auto"/>
            <w:vAlign w:val="bottom"/>
            <w:hideMark/>
          </w:tcPr>
          <w:p w14:paraId="68CC30CC" w14:textId="77777777" w:rsidR="00387142" w:rsidRPr="008B6A75" w:rsidRDefault="00387142" w:rsidP="00387142">
            <w:pPr>
              <w:jc w:val="right"/>
              <w:rPr>
                <w:color w:val="000000"/>
                <w:sz w:val="20"/>
                <w:szCs w:val="20"/>
              </w:rPr>
            </w:pPr>
            <w:r w:rsidRPr="008B6A75">
              <w:rPr>
                <w:color w:val="000000"/>
                <w:sz w:val="20"/>
                <w:szCs w:val="20"/>
              </w:rPr>
              <w:t>7 347 672,0</w:t>
            </w:r>
          </w:p>
        </w:tc>
      </w:tr>
    </w:tbl>
    <w:p w14:paraId="490A0C5B" w14:textId="77777777" w:rsidR="00387142" w:rsidRPr="008B6A75" w:rsidRDefault="00387142" w:rsidP="00387142">
      <w:pPr>
        <w:rPr>
          <w:sz w:val="20"/>
          <w:szCs w:val="20"/>
        </w:rPr>
      </w:pPr>
    </w:p>
    <w:tbl>
      <w:tblPr>
        <w:tblW w:w="10754" w:type="dxa"/>
        <w:tblInd w:w="-709" w:type="dxa"/>
        <w:tblLook w:val="04A0" w:firstRow="1" w:lastRow="0" w:firstColumn="1" w:lastColumn="0" w:noHBand="0" w:noVBand="1"/>
      </w:tblPr>
      <w:tblGrid>
        <w:gridCol w:w="3686"/>
        <w:gridCol w:w="2126"/>
        <w:gridCol w:w="2360"/>
        <w:gridCol w:w="2360"/>
        <w:gridCol w:w="9"/>
        <w:gridCol w:w="213"/>
      </w:tblGrid>
      <w:tr w:rsidR="00387142" w:rsidRPr="008B6A75" w14:paraId="3011EC79" w14:textId="77777777" w:rsidTr="00387142">
        <w:trPr>
          <w:gridAfter w:val="2"/>
          <w:wAfter w:w="222" w:type="dxa"/>
          <w:trHeight w:val="300"/>
        </w:trPr>
        <w:tc>
          <w:tcPr>
            <w:tcW w:w="3686" w:type="dxa"/>
            <w:tcBorders>
              <w:top w:val="nil"/>
              <w:left w:val="nil"/>
              <w:bottom w:val="nil"/>
              <w:right w:val="nil"/>
            </w:tcBorders>
            <w:shd w:val="clear" w:color="auto" w:fill="auto"/>
            <w:noWrap/>
            <w:vAlign w:val="bottom"/>
            <w:hideMark/>
          </w:tcPr>
          <w:p w14:paraId="2188D8E6" w14:textId="77777777" w:rsidR="00387142" w:rsidRPr="008B6A75" w:rsidRDefault="00387142" w:rsidP="00387142">
            <w:pPr>
              <w:rPr>
                <w:sz w:val="20"/>
                <w:szCs w:val="20"/>
              </w:rPr>
            </w:pPr>
          </w:p>
        </w:tc>
        <w:tc>
          <w:tcPr>
            <w:tcW w:w="2126" w:type="dxa"/>
            <w:tcBorders>
              <w:top w:val="nil"/>
              <w:left w:val="nil"/>
              <w:bottom w:val="nil"/>
              <w:right w:val="nil"/>
            </w:tcBorders>
            <w:shd w:val="clear" w:color="auto" w:fill="auto"/>
            <w:noWrap/>
            <w:vAlign w:val="bottom"/>
            <w:hideMark/>
          </w:tcPr>
          <w:p w14:paraId="19F5C13B" w14:textId="77777777" w:rsidR="00387142" w:rsidRPr="008B6A75" w:rsidRDefault="00387142" w:rsidP="00387142">
            <w:pPr>
              <w:rPr>
                <w:sz w:val="20"/>
                <w:szCs w:val="20"/>
              </w:rPr>
            </w:pPr>
          </w:p>
        </w:tc>
        <w:tc>
          <w:tcPr>
            <w:tcW w:w="2360" w:type="dxa"/>
            <w:tcBorders>
              <w:top w:val="nil"/>
              <w:left w:val="nil"/>
              <w:bottom w:val="nil"/>
              <w:right w:val="nil"/>
            </w:tcBorders>
            <w:shd w:val="clear" w:color="auto" w:fill="auto"/>
            <w:noWrap/>
            <w:vAlign w:val="bottom"/>
            <w:hideMark/>
          </w:tcPr>
          <w:p w14:paraId="0402A777" w14:textId="77777777" w:rsidR="00387142" w:rsidRPr="008B6A75" w:rsidRDefault="00387142" w:rsidP="00387142">
            <w:pPr>
              <w:rPr>
                <w:sz w:val="20"/>
                <w:szCs w:val="20"/>
              </w:rPr>
            </w:pPr>
          </w:p>
        </w:tc>
        <w:tc>
          <w:tcPr>
            <w:tcW w:w="2360" w:type="dxa"/>
            <w:tcBorders>
              <w:top w:val="nil"/>
              <w:left w:val="nil"/>
              <w:bottom w:val="nil"/>
              <w:right w:val="nil"/>
            </w:tcBorders>
            <w:shd w:val="clear" w:color="auto" w:fill="auto"/>
            <w:noWrap/>
            <w:vAlign w:val="bottom"/>
            <w:hideMark/>
          </w:tcPr>
          <w:p w14:paraId="74DF2817" w14:textId="77777777" w:rsidR="00387142" w:rsidRPr="008B6A75" w:rsidRDefault="00387142" w:rsidP="00387142">
            <w:pPr>
              <w:jc w:val="right"/>
              <w:rPr>
                <w:color w:val="000000"/>
                <w:sz w:val="20"/>
                <w:szCs w:val="20"/>
              </w:rPr>
            </w:pPr>
            <w:r w:rsidRPr="008B6A75">
              <w:rPr>
                <w:color w:val="000000"/>
                <w:sz w:val="20"/>
                <w:szCs w:val="20"/>
              </w:rPr>
              <w:t>Приложение 14</w:t>
            </w:r>
          </w:p>
        </w:tc>
      </w:tr>
      <w:tr w:rsidR="00387142" w:rsidRPr="008B6A75" w14:paraId="415F8D47" w14:textId="77777777" w:rsidTr="00387142">
        <w:trPr>
          <w:gridAfter w:val="2"/>
          <w:wAfter w:w="222" w:type="dxa"/>
          <w:trHeight w:val="1860"/>
        </w:trPr>
        <w:tc>
          <w:tcPr>
            <w:tcW w:w="3686" w:type="dxa"/>
            <w:tcBorders>
              <w:top w:val="nil"/>
              <w:left w:val="nil"/>
              <w:bottom w:val="nil"/>
              <w:right w:val="nil"/>
            </w:tcBorders>
            <w:shd w:val="clear" w:color="auto" w:fill="auto"/>
            <w:noWrap/>
            <w:vAlign w:val="bottom"/>
            <w:hideMark/>
          </w:tcPr>
          <w:p w14:paraId="3AA9AA03" w14:textId="77777777" w:rsidR="00387142" w:rsidRPr="008B6A75" w:rsidRDefault="00387142" w:rsidP="00387142">
            <w:pPr>
              <w:jc w:val="right"/>
              <w:rPr>
                <w:color w:val="000000"/>
                <w:sz w:val="20"/>
                <w:szCs w:val="20"/>
              </w:rPr>
            </w:pPr>
          </w:p>
        </w:tc>
        <w:tc>
          <w:tcPr>
            <w:tcW w:w="2126" w:type="dxa"/>
            <w:tcBorders>
              <w:top w:val="nil"/>
              <w:left w:val="nil"/>
              <w:bottom w:val="nil"/>
              <w:right w:val="nil"/>
            </w:tcBorders>
            <w:shd w:val="clear" w:color="auto" w:fill="auto"/>
            <w:noWrap/>
            <w:vAlign w:val="bottom"/>
            <w:hideMark/>
          </w:tcPr>
          <w:p w14:paraId="19EBF694" w14:textId="77777777" w:rsidR="00387142" w:rsidRPr="008B6A75" w:rsidRDefault="00387142" w:rsidP="00387142">
            <w:pPr>
              <w:rPr>
                <w:sz w:val="20"/>
                <w:szCs w:val="20"/>
              </w:rPr>
            </w:pPr>
          </w:p>
        </w:tc>
        <w:tc>
          <w:tcPr>
            <w:tcW w:w="4720" w:type="dxa"/>
            <w:gridSpan w:val="2"/>
            <w:tcBorders>
              <w:top w:val="nil"/>
              <w:left w:val="nil"/>
              <w:bottom w:val="nil"/>
              <w:right w:val="nil"/>
            </w:tcBorders>
            <w:shd w:val="clear" w:color="auto" w:fill="auto"/>
            <w:vAlign w:val="bottom"/>
            <w:hideMark/>
          </w:tcPr>
          <w:p w14:paraId="0C5F5C2B" w14:textId="77777777" w:rsidR="00387142" w:rsidRPr="008B6A75" w:rsidRDefault="00387142" w:rsidP="00387142">
            <w:pPr>
              <w:jc w:val="right"/>
              <w:rPr>
                <w:color w:val="000000"/>
                <w:sz w:val="20"/>
                <w:szCs w:val="20"/>
              </w:rPr>
            </w:pPr>
            <w:r w:rsidRPr="008B6A75">
              <w:rPr>
                <w:color w:val="000000"/>
                <w:sz w:val="20"/>
                <w:szCs w:val="20"/>
              </w:rPr>
              <w:t xml:space="preserve">к решению сессии Совета депутатов Куйбышевского муниципального района Новосибирской области "О бюджете Куйбышевского муниципального района Новосибирской области на 2022 </w:t>
            </w:r>
            <w:proofErr w:type="gramStart"/>
            <w:r w:rsidRPr="008B6A75">
              <w:rPr>
                <w:color w:val="000000"/>
                <w:sz w:val="20"/>
                <w:szCs w:val="20"/>
              </w:rPr>
              <w:t>год  и</w:t>
            </w:r>
            <w:proofErr w:type="gramEnd"/>
            <w:r w:rsidRPr="008B6A75">
              <w:rPr>
                <w:color w:val="000000"/>
                <w:sz w:val="20"/>
                <w:szCs w:val="20"/>
              </w:rPr>
              <w:t xml:space="preserve">  плановый период 2023 и 2024 годов"</w:t>
            </w:r>
          </w:p>
        </w:tc>
      </w:tr>
      <w:tr w:rsidR="00387142" w:rsidRPr="008B6A75" w14:paraId="1D0530CB" w14:textId="77777777" w:rsidTr="00387142">
        <w:trPr>
          <w:gridAfter w:val="2"/>
          <w:wAfter w:w="222" w:type="dxa"/>
          <w:trHeight w:val="255"/>
        </w:trPr>
        <w:tc>
          <w:tcPr>
            <w:tcW w:w="3686" w:type="dxa"/>
            <w:tcBorders>
              <w:top w:val="nil"/>
              <w:left w:val="nil"/>
              <w:bottom w:val="nil"/>
              <w:right w:val="nil"/>
            </w:tcBorders>
            <w:shd w:val="clear" w:color="auto" w:fill="auto"/>
            <w:noWrap/>
            <w:vAlign w:val="bottom"/>
            <w:hideMark/>
          </w:tcPr>
          <w:p w14:paraId="09BBA45A" w14:textId="77777777" w:rsidR="00387142" w:rsidRPr="008B6A75" w:rsidRDefault="00387142" w:rsidP="00387142">
            <w:pPr>
              <w:jc w:val="right"/>
              <w:rPr>
                <w:color w:val="000000"/>
                <w:sz w:val="20"/>
                <w:szCs w:val="20"/>
              </w:rPr>
            </w:pPr>
          </w:p>
        </w:tc>
        <w:tc>
          <w:tcPr>
            <w:tcW w:w="2126" w:type="dxa"/>
            <w:tcBorders>
              <w:top w:val="nil"/>
              <w:left w:val="nil"/>
              <w:bottom w:val="nil"/>
              <w:right w:val="nil"/>
            </w:tcBorders>
            <w:shd w:val="clear" w:color="auto" w:fill="auto"/>
            <w:noWrap/>
            <w:vAlign w:val="bottom"/>
            <w:hideMark/>
          </w:tcPr>
          <w:p w14:paraId="7E9CD613" w14:textId="77777777" w:rsidR="00387142" w:rsidRPr="008B6A75" w:rsidRDefault="00387142" w:rsidP="00387142">
            <w:pPr>
              <w:rPr>
                <w:sz w:val="20"/>
                <w:szCs w:val="20"/>
              </w:rPr>
            </w:pPr>
          </w:p>
        </w:tc>
        <w:tc>
          <w:tcPr>
            <w:tcW w:w="2360" w:type="dxa"/>
            <w:tcBorders>
              <w:top w:val="nil"/>
              <w:left w:val="nil"/>
              <w:bottom w:val="nil"/>
              <w:right w:val="nil"/>
            </w:tcBorders>
            <w:shd w:val="clear" w:color="auto" w:fill="auto"/>
            <w:noWrap/>
            <w:vAlign w:val="bottom"/>
            <w:hideMark/>
          </w:tcPr>
          <w:p w14:paraId="61CD9EBF" w14:textId="77777777" w:rsidR="00387142" w:rsidRPr="008B6A75" w:rsidRDefault="00387142" w:rsidP="00387142">
            <w:pPr>
              <w:rPr>
                <w:sz w:val="20"/>
                <w:szCs w:val="20"/>
              </w:rPr>
            </w:pPr>
          </w:p>
        </w:tc>
        <w:tc>
          <w:tcPr>
            <w:tcW w:w="2360" w:type="dxa"/>
            <w:tcBorders>
              <w:top w:val="nil"/>
              <w:left w:val="nil"/>
              <w:bottom w:val="nil"/>
              <w:right w:val="nil"/>
            </w:tcBorders>
            <w:shd w:val="clear" w:color="auto" w:fill="auto"/>
            <w:noWrap/>
            <w:vAlign w:val="bottom"/>
            <w:hideMark/>
          </w:tcPr>
          <w:p w14:paraId="284FEB5E" w14:textId="77777777" w:rsidR="00387142" w:rsidRPr="008B6A75" w:rsidRDefault="00387142" w:rsidP="00387142">
            <w:pPr>
              <w:rPr>
                <w:sz w:val="20"/>
                <w:szCs w:val="20"/>
              </w:rPr>
            </w:pPr>
          </w:p>
        </w:tc>
      </w:tr>
      <w:tr w:rsidR="00387142" w:rsidRPr="008B6A75" w14:paraId="71CF61B6" w14:textId="77777777" w:rsidTr="00387142">
        <w:trPr>
          <w:gridAfter w:val="2"/>
          <w:wAfter w:w="222" w:type="dxa"/>
          <w:trHeight w:val="255"/>
        </w:trPr>
        <w:tc>
          <w:tcPr>
            <w:tcW w:w="3686" w:type="dxa"/>
            <w:tcBorders>
              <w:top w:val="nil"/>
              <w:left w:val="nil"/>
              <w:bottom w:val="nil"/>
              <w:right w:val="nil"/>
            </w:tcBorders>
            <w:shd w:val="clear" w:color="auto" w:fill="auto"/>
            <w:noWrap/>
            <w:vAlign w:val="bottom"/>
            <w:hideMark/>
          </w:tcPr>
          <w:p w14:paraId="6B2DA5B3" w14:textId="77777777" w:rsidR="00387142" w:rsidRPr="008B6A75" w:rsidRDefault="00387142" w:rsidP="00387142">
            <w:pPr>
              <w:rPr>
                <w:sz w:val="20"/>
                <w:szCs w:val="20"/>
              </w:rPr>
            </w:pPr>
          </w:p>
        </w:tc>
        <w:tc>
          <w:tcPr>
            <w:tcW w:w="2126" w:type="dxa"/>
            <w:tcBorders>
              <w:top w:val="nil"/>
              <w:left w:val="nil"/>
              <w:bottom w:val="nil"/>
              <w:right w:val="nil"/>
            </w:tcBorders>
            <w:shd w:val="clear" w:color="auto" w:fill="auto"/>
            <w:noWrap/>
            <w:vAlign w:val="bottom"/>
            <w:hideMark/>
          </w:tcPr>
          <w:p w14:paraId="513AA895" w14:textId="77777777" w:rsidR="00387142" w:rsidRPr="008B6A75" w:rsidRDefault="00387142" w:rsidP="00387142">
            <w:pPr>
              <w:rPr>
                <w:sz w:val="20"/>
                <w:szCs w:val="20"/>
              </w:rPr>
            </w:pPr>
          </w:p>
        </w:tc>
        <w:tc>
          <w:tcPr>
            <w:tcW w:w="2360" w:type="dxa"/>
            <w:tcBorders>
              <w:top w:val="nil"/>
              <w:left w:val="nil"/>
              <w:bottom w:val="nil"/>
              <w:right w:val="nil"/>
            </w:tcBorders>
            <w:shd w:val="clear" w:color="auto" w:fill="auto"/>
            <w:noWrap/>
            <w:vAlign w:val="bottom"/>
            <w:hideMark/>
          </w:tcPr>
          <w:p w14:paraId="52622CFA" w14:textId="77777777" w:rsidR="00387142" w:rsidRPr="008B6A75" w:rsidRDefault="00387142" w:rsidP="00387142">
            <w:pPr>
              <w:rPr>
                <w:sz w:val="20"/>
                <w:szCs w:val="20"/>
              </w:rPr>
            </w:pPr>
          </w:p>
        </w:tc>
        <w:tc>
          <w:tcPr>
            <w:tcW w:w="2360" w:type="dxa"/>
            <w:tcBorders>
              <w:top w:val="nil"/>
              <w:left w:val="nil"/>
              <w:bottom w:val="nil"/>
              <w:right w:val="nil"/>
            </w:tcBorders>
            <w:shd w:val="clear" w:color="auto" w:fill="auto"/>
            <w:noWrap/>
            <w:vAlign w:val="bottom"/>
            <w:hideMark/>
          </w:tcPr>
          <w:p w14:paraId="1B644C4A" w14:textId="77777777" w:rsidR="00387142" w:rsidRPr="008B6A75" w:rsidRDefault="00387142" w:rsidP="00387142">
            <w:pPr>
              <w:rPr>
                <w:sz w:val="20"/>
                <w:szCs w:val="20"/>
              </w:rPr>
            </w:pPr>
          </w:p>
        </w:tc>
      </w:tr>
      <w:tr w:rsidR="00387142" w:rsidRPr="008B6A75" w14:paraId="45D431E3" w14:textId="77777777" w:rsidTr="00387142">
        <w:trPr>
          <w:gridAfter w:val="1"/>
          <w:wAfter w:w="213" w:type="dxa"/>
          <w:trHeight w:val="975"/>
        </w:trPr>
        <w:tc>
          <w:tcPr>
            <w:tcW w:w="10541" w:type="dxa"/>
            <w:gridSpan w:val="5"/>
            <w:tcBorders>
              <w:top w:val="nil"/>
              <w:left w:val="nil"/>
              <w:bottom w:val="nil"/>
              <w:right w:val="nil"/>
            </w:tcBorders>
            <w:shd w:val="clear" w:color="auto" w:fill="auto"/>
            <w:vAlign w:val="center"/>
            <w:hideMark/>
          </w:tcPr>
          <w:p w14:paraId="3BE4711D" w14:textId="77777777" w:rsidR="00387142" w:rsidRPr="008B6A75" w:rsidRDefault="00387142" w:rsidP="00387142">
            <w:pPr>
              <w:jc w:val="center"/>
              <w:rPr>
                <w:bCs/>
                <w:sz w:val="20"/>
                <w:szCs w:val="20"/>
              </w:rPr>
            </w:pPr>
            <w:r w:rsidRPr="008B6A75">
              <w:rPr>
                <w:bCs/>
                <w:sz w:val="20"/>
                <w:szCs w:val="20"/>
              </w:rPr>
              <w:lastRenderedPageBreak/>
              <w:t xml:space="preserve">Перечень </w:t>
            </w:r>
            <w:proofErr w:type="gramStart"/>
            <w:r w:rsidRPr="008B6A75">
              <w:rPr>
                <w:bCs/>
                <w:sz w:val="20"/>
                <w:szCs w:val="20"/>
              </w:rPr>
              <w:t>муниципальных  программ</w:t>
            </w:r>
            <w:proofErr w:type="gramEnd"/>
            <w:r w:rsidRPr="008B6A75">
              <w:rPr>
                <w:bCs/>
                <w:sz w:val="20"/>
                <w:szCs w:val="20"/>
              </w:rPr>
              <w:t xml:space="preserve"> Куйбышевского муниципального района, предусмотренных к финансированию в 2022 году и плановом периоде 2023 и 2024 годах</w:t>
            </w:r>
          </w:p>
        </w:tc>
      </w:tr>
      <w:tr w:rsidR="00387142" w:rsidRPr="008B6A75" w14:paraId="5B075F8E" w14:textId="77777777" w:rsidTr="00387142">
        <w:trPr>
          <w:gridAfter w:val="2"/>
          <w:wAfter w:w="222" w:type="dxa"/>
          <w:trHeight w:val="255"/>
        </w:trPr>
        <w:tc>
          <w:tcPr>
            <w:tcW w:w="3686" w:type="dxa"/>
            <w:tcBorders>
              <w:top w:val="nil"/>
              <w:left w:val="nil"/>
              <w:bottom w:val="nil"/>
              <w:right w:val="nil"/>
            </w:tcBorders>
            <w:shd w:val="clear" w:color="auto" w:fill="auto"/>
            <w:noWrap/>
            <w:vAlign w:val="bottom"/>
            <w:hideMark/>
          </w:tcPr>
          <w:p w14:paraId="788AAED3" w14:textId="77777777" w:rsidR="00387142" w:rsidRPr="008B6A75" w:rsidRDefault="00387142" w:rsidP="00387142">
            <w:pPr>
              <w:jc w:val="center"/>
              <w:rPr>
                <w:bCs/>
                <w:sz w:val="20"/>
                <w:szCs w:val="20"/>
              </w:rPr>
            </w:pPr>
          </w:p>
        </w:tc>
        <w:tc>
          <w:tcPr>
            <w:tcW w:w="2126" w:type="dxa"/>
            <w:tcBorders>
              <w:top w:val="nil"/>
              <w:left w:val="nil"/>
              <w:bottom w:val="nil"/>
              <w:right w:val="nil"/>
            </w:tcBorders>
            <w:shd w:val="clear" w:color="auto" w:fill="auto"/>
            <w:noWrap/>
            <w:vAlign w:val="bottom"/>
            <w:hideMark/>
          </w:tcPr>
          <w:p w14:paraId="7B61BAED" w14:textId="77777777" w:rsidR="00387142" w:rsidRPr="008B6A75" w:rsidRDefault="00387142" w:rsidP="00387142">
            <w:pPr>
              <w:rPr>
                <w:sz w:val="20"/>
                <w:szCs w:val="20"/>
              </w:rPr>
            </w:pPr>
          </w:p>
        </w:tc>
        <w:tc>
          <w:tcPr>
            <w:tcW w:w="2360" w:type="dxa"/>
            <w:tcBorders>
              <w:top w:val="nil"/>
              <w:left w:val="nil"/>
              <w:bottom w:val="nil"/>
              <w:right w:val="nil"/>
            </w:tcBorders>
            <w:shd w:val="clear" w:color="auto" w:fill="auto"/>
            <w:noWrap/>
            <w:vAlign w:val="bottom"/>
            <w:hideMark/>
          </w:tcPr>
          <w:p w14:paraId="6F4D140D" w14:textId="77777777" w:rsidR="00387142" w:rsidRPr="008B6A75" w:rsidRDefault="00387142" w:rsidP="00387142">
            <w:pPr>
              <w:rPr>
                <w:sz w:val="20"/>
                <w:szCs w:val="20"/>
              </w:rPr>
            </w:pPr>
          </w:p>
        </w:tc>
        <w:tc>
          <w:tcPr>
            <w:tcW w:w="2360" w:type="dxa"/>
            <w:tcBorders>
              <w:top w:val="nil"/>
              <w:left w:val="nil"/>
              <w:bottom w:val="nil"/>
              <w:right w:val="nil"/>
            </w:tcBorders>
            <w:shd w:val="clear" w:color="auto" w:fill="auto"/>
            <w:noWrap/>
            <w:vAlign w:val="bottom"/>
            <w:hideMark/>
          </w:tcPr>
          <w:p w14:paraId="7B071D99" w14:textId="77777777" w:rsidR="00387142" w:rsidRPr="008B6A75" w:rsidRDefault="00387142" w:rsidP="00387142">
            <w:pPr>
              <w:jc w:val="right"/>
              <w:rPr>
                <w:sz w:val="20"/>
                <w:szCs w:val="20"/>
              </w:rPr>
            </w:pPr>
            <w:r w:rsidRPr="008B6A75">
              <w:rPr>
                <w:sz w:val="20"/>
                <w:szCs w:val="20"/>
              </w:rPr>
              <w:t>руб.</w:t>
            </w:r>
          </w:p>
        </w:tc>
      </w:tr>
      <w:tr w:rsidR="00387142" w:rsidRPr="008B6A75" w14:paraId="3EEA5B76" w14:textId="77777777" w:rsidTr="00387142">
        <w:trPr>
          <w:gridAfter w:val="2"/>
          <w:wAfter w:w="222" w:type="dxa"/>
          <w:trHeight w:val="408"/>
        </w:trPr>
        <w:tc>
          <w:tcPr>
            <w:tcW w:w="3686" w:type="dxa"/>
            <w:vMerge w:val="restart"/>
            <w:tcBorders>
              <w:top w:val="single" w:sz="4" w:space="0" w:color="auto"/>
              <w:left w:val="single" w:sz="4" w:space="0" w:color="auto"/>
              <w:bottom w:val="single" w:sz="4" w:space="0" w:color="auto"/>
              <w:right w:val="nil"/>
            </w:tcBorders>
            <w:shd w:val="clear" w:color="auto" w:fill="auto"/>
            <w:noWrap/>
            <w:vAlign w:val="center"/>
            <w:hideMark/>
          </w:tcPr>
          <w:p w14:paraId="44E9B6DB" w14:textId="77777777" w:rsidR="00387142" w:rsidRPr="008B6A75" w:rsidRDefault="00387142" w:rsidP="00387142">
            <w:pPr>
              <w:jc w:val="center"/>
              <w:rPr>
                <w:bCs/>
                <w:sz w:val="20"/>
                <w:szCs w:val="20"/>
              </w:rPr>
            </w:pPr>
            <w:r w:rsidRPr="008B6A75">
              <w:rPr>
                <w:bCs/>
                <w:sz w:val="20"/>
                <w:szCs w:val="20"/>
              </w:rPr>
              <w:t>Наименование</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518DB74" w14:textId="77777777" w:rsidR="00387142" w:rsidRPr="008B6A75" w:rsidRDefault="00387142" w:rsidP="00387142">
            <w:pPr>
              <w:jc w:val="center"/>
              <w:rPr>
                <w:bCs/>
                <w:sz w:val="20"/>
                <w:szCs w:val="20"/>
              </w:rPr>
            </w:pPr>
            <w:r w:rsidRPr="008B6A75">
              <w:rPr>
                <w:bCs/>
                <w:sz w:val="20"/>
                <w:szCs w:val="20"/>
              </w:rPr>
              <w:t>Сумма на 2022 год</w:t>
            </w:r>
          </w:p>
        </w:tc>
        <w:tc>
          <w:tcPr>
            <w:tcW w:w="2360" w:type="dxa"/>
            <w:vMerge w:val="restart"/>
            <w:tcBorders>
              <w:top w:val="single" w:sz="4" w:space="0" w:color="auto"/>
              <w:left w:val="nil"/>
              <w:bottom w:val="single" w:sz="4" w:space="0" w:color="auto"/>
              <w:right w:val="nil"/>
            </w:tcBorders>
            <w:shd w:val="clear" w:color="auto" w:fill="auto"/>
            <w:vAlign w:val="center"/>
            <w:hideMark/>
          </w:tcPr>
          <w:p w14:paraId="35A7E08F" w14:textId="77777777" w:rsidR="00387142" w:rsidRPr="008B6A75" w:rsidRDefault="00387142" w:rsidP="00387142">
            <w:pPr>
              <w:jc w:val="center"/>
              <w:rPr>
                <w:bCs/>
                <w:sz w:val="20"/>
                <w:szCs w:val="20"/>
              </w:rPr>
            </w:pPr>
            <w:r w:rsidRPr="008B6A75">
              <w:rPr>
                <w:bCs/>
                <w:sz w:val="20"/>
                <w:szCs w:val="20"/>
              </w:rPr>
              <w:t>Сумма на 2023 год</w:t>
            </w:r>
          </w:p>
        </w:tc>
        <w:tc>
          <w:tcPr>
            <w:tcW w:w="23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45EAB9D" w14:textId="77777777" w:rsidR="00387142" w:rsidRPr="008B6A75" w:rsidRDefault="00387142" w:rsidP="00387142">
            <w:pPr>
              <w:jc w:val="center"/>
              <w:rPr>
                <w:bCs/>
                <w:sz w:val="20"/>
                <w:szCs w:val="20"/>
              </w:rPr>
            </w:pPr>
            <w:r w:rsidRPr="008B6A75">
              <w:rPr>
                <w:bCs/>
                <w:sz w:val="20"/>
                <w:szCs w:val="20"/>
              </w:rPr>
              <w:t xml:space="preserve">Сумма на </w:t>
            </w:r>
            <w:proofErr w:type="gramStart"/>
            <w:r w:rsidRPr="008B6A75">
              <w:rPr>
                <w:bCs/>
                <w:sz w:val="20"/>
                <w:szCs w:val="20"/>
              </w:rPr>
              <w:t>2024  год</w:t>
            </w:r>
            <w:proofErr w:type="gramEnd"/>
          </w:p>
        </w:tc>
      </w:tr>
      <w:tr w:rsidR="00387142" w:rsidRPr="008B6A75" w14:paraId="1E9ABA0F" w14:textId="77777777" w:rsidTr="00387142">
        <w:trPr>
          <w:trHeight w:val="360"/>
        </w:trPr>
        <w:tc>
          <w:tcPr>
            <w:tcW w:w="3686" w:type="dxa"/>
            <w:vMerge/>
            <w:tcBorders>
              <w:top w:val="single" w:sz="4" w:space="0" w:color="auto"/>
              <w:left w:val="single" w:sz="4" w:space="0" w:color="auto"/>
              <w:bottom w:val="single" w:sz="4" w:space="0" w:color="auto"/>
              <w:right w:val="nil"/>
            </w:tcBorders>
            <w:vAlign w:val="center"/>
            <w:hideMark/>
          </w:tcPr>
          <w:p w14:paraId="3FC384E6" w14:textId="77777777" w:rsidR="00387142" w:rsidRPr="008B6A75" w:rsidRDefault="00387142" w:rsidP="00387142">
            <w:pPr>
              <w:rPr>
                <w:bCs/>
                <w:sz w:val="20"/>
                <w:szCs w:val="20"/>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4ACE4CE3" w14:textId="77777777" w:rsidR="00387142" w:rsidRPr="008B6A75" w:rsidRDefault="00387142" w:rsidP="00387142">
            <w:pPr>
              <w:rPr>
                <w:bCs/>
                <w:sz w:val="20"/>
                <w:szCs w:val="20"/>
              </w:rPr>
            </w:pPr>
          </w:p>
        </w:tc>
        <w:tc>
          <w:tcPr>
            <w:tcW w:w="2360" w:type="dxa"/>
            <w:vMerge/>
            <w:tcBorders>
              <w:top w:val="single" w:sz="4" w:space="0" w:color="auto"/>
              <w:left w:val="nil"/>
              <w:bottom w:val="single" w:sz="4" w:space="0" w:color="auto"/>
              <w:right w:val="nil"/>
            </w:tcBorders>
            <w:vAlign w:val="center"/>
            <w:hideMark/>
          </w:tcPr>
          <w:p w14:paraId="6768786E" w14:textId="77777777" w:rsidR="00387142" w:rsidRPr="008B6A75" w:rsidRDefault="00387142" w:rsidP="00387142">
            <w:pPr>
              <w:rPr>
                <w:bCs/>
                <w:sz w:val="20"/>
                <w:szCs w:val="20"/>
              </w:rPr>
            </w:pPr>
          </w:p>
        </w:tc>
        <w:tc>
          <w:tcPr>
            <w:tcW w:w="2360" w:type="dxa"/>
            <w:vMerge/>
            <w:tcBorders>
              <w:top w:val="single" w:sz="4" w:space="0" w:color="auto"/>
              <w:left w:val="single" w:sz="4" w:space="0" w:color="auto"/>
              <w:bottom w:val="single" w:sz="4" w:space="0" w:color="auto"/>
              <w:right w:val="single" w:sz="4" w:space="0" w:color="auto"/>
            </w:tcBorders>
            <w:vAlign w:val="center"/>
            <w:hideMark/>
          </w:tcPr>
          <w:p w14:paraId="2DE0F73E" w14:textId="77777777" w:rsidR="00387142" w:rsidRPr="008B6A75" w:rsidRDefault="00387142" w:rsidP="00387142">
            <w:pPr>
              <w:rPr>
                <w:bCs/>
                <w:sz w:val="20"/>
                <w:szCs w:val="20"/>
              </w:rPr>
            </w:pPr>
          </w:p>
        </w:tc>
        <w:tc>
          <w:tcPr>
            <w:tcW w:w="222" w:type="dxa"/>
            <w:gridSpan w:val="2"/>
            <w:tcBorders>
              <w:top w:val="nil"/>
              <w:left w:val="nil"/>
              <w:bottom w:val="nil"/>
              <w:right w:val="nil"/>
            </w:tcBorders>
            <w:shd w:val="clear" w:color="auto" w:fill="auto"/>
            <w:noWrap/>
            <w:vAlign w:val="bottom"/>
            <w:hideMark/>
          </w:tcPr>
          <w:p w14:paraId="2A79D2DA" w14:textId="77777777" w:rsidR="00387142" w:rsidRPr="008B6A75" w:rsidRDefault="00387142" w:rsidP="00387142">
            <w:pPr>
              <w:jc w:val="center"/>
              <w:rPr>
                <w:bCs/>
                <w:sz w:val="20"/>
                <w:szCs w:val="20"/>
              </w:rPr>
            </w:pPr>
          </w:p>
        </w:tc>
      </w:tr>
      <w:tr w:rsidR="00387142" w:rsidRPr="008B6A75" w14:paraId="0E2364E1" w14:textId="77777777" w:rsidTr="00387142">
        <w:trPr>
          <w:trHeight w:val="300"/>
        </w:trPr>
        <w:tc>
          <w:tcPr>
            <w:tcW w:w="3686" w:type="dxa"/>
            <w:tcBorders>
              <w:top w:val="single" w:sz="4" w:space="0" w:color="auto"/>
              <w:left w:val="single" w:sz="4" w:space="0" w:color="auto"/>
              <w:bottom w:val="single" w:sz="4" w:space="0" w:color="auto"/>
              <w:right w:val="nil"/>
            </w:tcBorders>
            <w:shd w:val="clear" w:color="auto" w:fill="auto"/>
            <w:noWrap/>
            <w:vAlign w:val="center"/>
            <w:hideMark/>
          </w:tcPr>
          <w:p w14:paraId="30E08227" w14:textId="77777777" w:rsidR="00387142" w:rsidRPr="008B6A75" w:rsidRDefault="00387142" w:rsidP="00387142">
            <w:pPr>
              <w:jc w:val="center"/>
              <w:rPr>
                <w:bCs/>
                <w:sz w:val="20"/>
                <w:szCs w:val="20"/>
              </w:rPr>
            </w:pPr>
            <w:r w:rsidRPr="008B6A75">
              <w:rPr>
                <w:bCs/>
                <w:sz w:val="20"/>
                <w:szCs w:val="20"/>
              </w:rPr>
              <w:t>1</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EDEE8E" w14:textId="77777777" w:rsidR="00387142" w:rsidRPr="008B6A75" w:rsidRDefault="00387142" w:rsidP="00387142">
            <w:pPr>
              <w:jc w:val="center"/>
              <w:rPr>
                <w:bCs/>
                <w:sz w:val="20"/>
                <w:szCs w:val="20"/>
              </w:rPr>
            </w:pPr>
            <w:r w:rsidRPr="008B6A75">
              <w:rPr>
                <w:bCs/>
                <w:sz w:val="20"/>
                <w:szCs w:val="20"/>
              </w:rPr>
              <w:t>6</w:t>
            </w:r>
          </w:p>
        </w:tc>
        <w:tc>
          <w:tcPr>
            <w:tcW w:w="2360" w:type="dxa"/>
            <w:tcBorders>
              <w:top w:val="single" w:sz="4" w:space="0" w:color="auto"/>
              <w:left w:val="nil"/>
              <w:bottom w:val="single" w:sz="4" w:space="0" w:color="auto"/>
              <w:right w:val="single" w:sz="4" w:space="0" w:color="auto"/>
            </w:tcBorders>
            <w:shd w:val="clear" w:color="auto" w:fill="auto"/>
            <w:vAlign w:val="center"/>
            <w:hideMark/>
          </w:tcPr>
          <w:p w14:paraId="55E59600" w14:textId="77777777" w:rsidR="00387142" w:rsidRPr="008B6A75" w:rsidRDefault="00387142" w:rsidP="00387142">
            <w:pPr>
              <w:jc w:val="center"/>
              <w:rPr>
                <w:bCs/>
                <w:sz w:val="20"/>
                <w:szCs w:val="20"/>
              </w:rPr>
            </w:pPr>
            <w:r w:rsidRPr="008B6A75">
              <w:rPr>
                <w:bCs/>
                <w:sz w:val="20"/>
                <w:szCs w:val="20"/>
              </w:rPr>
              <w:t>7</w:t>
            </w:r>
          </w:p>
        </w:tc>
        <w:tc>
          <w:tcPr>
            <w:tcW w:w="2360" w:type="dxa"/>
            <w:tcBorders>
              <w:top w:val="single" w:sz="4" w:space="0" w:color="auto"/>
              <w:left w:val="nil"/>
              <w:bottom w:val="single" w:sz="4" w:space="0" w:color="auto"/>
              <w:right w:val="single" w:sz="4" w:space="0" w:color="auto"/>
            </w:tcBorders>
            <w:shd w:val="clear" w:color="auto" w:fill="auto"/>
            <w:vAlign w:val="center"/>
            <w:hideMark/>
          </w:tcPr>
          <w:p w14:paraId="63B864BA" w14:textId="77777777" w:rsidR="00387142" w:rsidRPr="008B6A75" w:rsidRDefault="00387142" w:rsidP="00387142">
            <w:pPr>
              <w:jc w:val="center"/>
              <w:rPr>
                <w:bCs/>
                <w:sz w:val="20"/>
                <w:szCs w:val="20"/>
              </w:rPr>
            </w:pPr>
            <w:r w:rsidRPr="008B6A75">
              <w:rPr>
                <w:bCs/>
                <w:sz w:val="20"/>
                <w:szCs w:val="20"/>
              </w:rPr>
              <w:t>8</w:t>
            </w:r>
          </w:p>
        </w:tc>
        <w:tc>
          <w:tcPr>
            <w:tcW w:w="222" w:type="dxa"/>
            <w:gridSpan w:val="2"/>
            <w:vAlign w:val="center"/>
            <w:hideMark/>
          </w:tcPr>
          <w:p w14:paraId="33FD0E89" w14:textId="77777777" w:rsidR="00387142" w:rsidRPr="008B6A75" w:rsidRDefault="00387142" w:rsidP="00387142">
            <w:pPr>
              <w:rPr>
                <w:sz w:val="20"/>
                <w:szCs w:val="20"/>
              </w:rPr>
            </w:pPr>
          </w:p>
        </w:tc>
      </w:tr>
      <w:tr w:rsidR="00387142" w:rsidRPr="008B6A75" w14:paraId="2392DFD0" w14:textId="77777777" w:rsidTr="00387142">
        <w:trPr>
          <w:trHeight w:val="585"/>
        </w:trPr>
        <w:tc>
          <w:tcPr>
            <w:tcW w:w="3686" w:type="dxa"/>
            <w:tcBorders>
              <w:top w:val="nil"/>
              <w:left w:val="single" w:sz="4" w:space="0" w:color="auto"/>
              <w:bottom w:val="single" w:sz="4" w:space="0" w:color="auto"/>
              <w:right w:val="nil"/>
            </w:tcBorders>
            <w:shd w:val="clear" w:color="auto" w:fill="auto"/>
            <w:vAlign w:val="center"/>
            <w:hideMark/>
          </w:tcPr>
          <w:p w14:paraId="7EE1CDAC" w14:textId="77777777" w:rsidR="00387142" w:rsidRPr="008B6A75" w:rsidRDefault="00387142" w:rsidP="00387142">
            <w:pPr>
              <w:rPr>
                <w:bCs/>
                <w:sz w:val="20"/>
                <w:szCs w:val="20"/>
              </w:rPr>
            </w:pPr>
            <w:r w:rsidRPr="008B6A75">
              <w:rPr>
                <w:bCs/>
                <w:sz w:val="20"/>
                <w:szCs w:val="20"/>
              </w:rPr>
              <w:t>Муниципальная программа "Содействие занятости населения Куйбышевского района"</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14:paraId="379C39B1" w14:textId="77777777" w:rsidR="00387142" w:rsidRPr="008B6A75" w:rsidRDefault="00387142" w:rsidP="00387142">
            <w:pPr>
              <w:jc w:val="right"/>
              <w:rPr>
                <w:bCs/>
                <w:sz w:val="20"/>
                <w:szCs w:val="20"/>
              </w:rPr>
            </w:pPr>
            <w:r w:rsidRPr="008B6A75">
              <w:rPr>
                <w:bCs/>
                <w:sz w:val="20"/>
                <w:szCs w:val="20"/>
              </w:rPr>
              <w:t>4 813 122,23</w:t>
            </w:r>
          </w:p>
        </w:tc>
        <w:tc>
          <w:tcPr>
            <w:tcW w:w="2360" w:type="dxa"/>
            <w:tcBorders>
              <w:top w:val="nil"/>
              <w:left w:val="single" w:sz="4" w:space="0" w:color="auto"/>
              <w:bottom w:val="single" w:sz="4" w:space="0" w:color="auto"/>
              <w:right w:val="nil"/>
            </w:tcBorders>
            <w:shd w:val="clear" w:color="auto" w:fill="auto"/>
            <w:noWrap/>
            <w:vAlign w:val="center"/>
            <w:hideMark/>
          </w:tcPr>
          <w:p w14:paraId="7F5E1F07" w14:textId="77777777" w:rsidR="00387142" w:rsidRPr="008B6A75" w:rsidRDefault="00387142" w:rsidP="00387142">
            <w:pPr>
              <w:jc w:val="right"/>
              <w:rPr>
                <w:bCs/>
                <w:sz w:val="20"/>
                <w:szCs w:val="20"/>
              </w:rPr>
            </w:pPr>
            <w:r w:rsidRPr="008B6A75">
              <w:rPr>
                <w:bCs/>
                <w:sz w:val="20"/>
                <w:szCs w:val="20"/>
              </w:rPr>
              <w:t>0,00</w:t>
            </w:r>
          </w:p>
        </w:tc>
        <w:tc>
          <w:tcPr>
            <w:tcW w:w="2360" w:type="dxa"/>
            <w:tcBorders>
              <w:top w:val="nil"/>
              <w:left w:val="single" w:sz="4" w:space="0" w:color="auto"/>
              <w:bottom w:val="single" w:sz="4" w:space="0" w:color="auto"/>
              <w:right w:val="single" w:sz="4" w:space="0" w:color="auto"/>
            </w:tcBorders>
            <w:shd w:val="clear" w:color="auto" w:fill="auto"/>
            <w:noWrap/>
            <w:vAlign w:val="center"/>
            <w:hideMark/>
          </w:tcPr>
          <w:p w14:paraId="58D946AE" w14:textId="77777777" w:rsidR="00387142" w:rsidRPr="008B6A75" w:rsidRDefault="00387142" w:rsidP="00387142">
            <w:pPr>
              <w:jc w:val="right"/>
              <w:rPr>
                <w:bCs/>
                <w:sz w:val="20"/>
                <w:szCs w:val="20"/>
              </w:rPr>
            </w:pPr>
            <w:r w:rsidRPr="008B6A75">
              <w:rPr>
                <w:bCs/>
                <w:sz w:val="20"/>
                <w:szCs w:val="20"/>
              </w:rPr>
              <w:t>0,00</w:t>
            </w:r>
          </w:p>
        </w:tc>
        <w:tc>
          <w:tcPr>
            <w:tcW w:w="222" w:type="dxa"/>
            <w:gridSpan w:val="2"/>
            <w:vAlign w:val="center"/>
            <w:hideMark/>
          </w:tcPr>
          <w:p w14:paraId="227953DC" w14:textId="77777777" w:rsidR="00387142" w:rsidRPr="008B6A75" w:rsidRDefault="00387142" w:rsidP="00387142">
            <w:pPr>
              <w:rPr>
                <w:sz w:val="20"/>
                <w:szCs w:val="20"/>
              </w:rPr>
            </w:pPr>
          </w:p>
        </w:tc>
      </w:tr>
      <w:tr w:rsidR="00387142" w:rsidRPr="008B6A75" w14:paraId="169CCFEF" w14:textId="77777777" w:rsidTr="00387142">
        <w:trPr>
          <w:trHeight w:val="1155"/>
        </w:trPr>
        <w:tc>
          <w:tcPr>
            <w:tcW w:w="3686" w:type="dxa"/>
            <w:tcBorders>
              <w:top w:val="nil"/>
              <w:left w:val="single" w:sz="4" w:space="0" w:color="auto"/>
              <w:bottom w:val="single" w:sz="4" w:space="0" w:color="auto"/>
              <w:right w:val="nil"/>
            </w:tcBorders>
            <w:shd w:val="clear" w:color="auto" w:fill="auto"/>
            <w:vAlign w:val="center"/>
            <w:hideMark/>
          </w:tcPr>
          <w:p w14:paraId="54A0ED94" w14:textId="77777777" w:rsidR="00387142" w:rsidRPr="008B6A75" w:rsidRDefault="00387142" w:rsidP="00387142">
            <w:pPr>
              <w:rPr>
                <w:bCs/>
                <w:sz w:val="20"/>
                <w:szCs w:val="20"/>
              </w:rPr>
            </w:pPr>
            <w:r w:rsidRPr="008B6A75">
              <w:rPr>
                <w:bCs/>
                <w:sz w:val="20"/>
                <w:szCs w:val="20"/>
              </w:rPr>
              <w:t>Муниципальная программа "Развитие и поддержка малого и среднего предпринимательства в Куйбышевском районе"</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14:paraId="3CC71764" w14:textId="77777777" w:rsidR="00387142" w:rsidRPr="008B6A75" w:rsidRDefault="00387142" w:rsidP="00387142">
            <w:pPr>
              <w:jc w:val="right"/>
              <w:rPr>
                <w:bCs/>
                <w:sz w:val="20"/>
                <w:szCs w:val="20"/>
              </w:rPr>
            </w:pPr>
            <w:r w:rsidRPr="008B6A75">
              <w:rPr>
                <w:bCs/>
                <w:sz w:val="20"/>
                <w:szCs w:val="20"/>
              </w:rPr>
              <w:t>1 904 200,00</w:t>
            </w:r>
          </w:p>
        </w:tc>
        <w:tc>
          <w:tcPr>
            <w:tcW w:w="2360" w:type="dxa"/>
            <w:tcBorders>
              <w:top w:val="nil"/>
              <w:left w:val="single" w:sz="4" w:space="0" w:color="auto"/>
              <w:bottom w:val="single" w:sz="4" w:space="0" w:color="auto"/>
              <w:right w:val="nil"/>
            </w:tcBorders>
            <w:shd w:val="clear" w:color="auto" w:fill="auto"/>
            <w:noWrap/>
            <w:vAlign w:val="center"/>
            <w:hideMark/>
          </w:tcPr>
          <w:p w14:paraId="3CD91BE3" w14:textId="77777777" w:rsidR="00387142" w:rsidRPr="008B6A75" w:rsidRDefault="00387142" w:rsidP="00387142">
            <w:pPr>
              <w:jc w:val="right"/>
              <w:rPr>
                <w:bCs/>
                <w:sz w:val="20"/>
                <w:szCs w:val="20"/>
              </w:rPr>
            </w:pPr>
            <w:r w:rsidRPr="008B6A75">
              <w:rPr>
                <w:bCs/>
                <w:sz w:val="20"/>
                <w:szCs w:val="20"/>
              </w:rPr>
              <w:t>204 200,00</w:t>
            </w:r>
          </w:p>
        </w:tc>
        <w:tc>
          <w:tcPr>
            <w:tcW w:w="2360" w:type="dxa"/>
            <w:tcBorders>
              <w:top w:val="nil"/>
              <w:left w:val="single" w:sz="4" w:space="0" w:color="auto"/>
              <w:bottom w:val="single" w:sz="4" w:space="0" w:color="auto"/>
              <w:right w:val="single" w:sz="4" w:space="0" w:color="auto"/>
            </w:tcBorders>
            <w:shd w:val="clear" w:color="auto" w:fill="auto"/>
            <w:noWrap/>
            <w:vAlign w:val="center"/>
            <w:hideMark/>
          </w:tcPr>
          <w:p w14:paraId="700FB505" w14:textId="77777777" w:rsidR="00387142" w:rsidRPr="008B6A75" w:rsidRDefault="00387142" w:rsidP="00387142">
            <w:pPr>
              <w:jc w:val="right"/>
              <w:rPr>
                <w:bCs/>
                <w:sz w:val="20"/>
                <w:szCs w:val="20"/>
              </w:rPr>
            </w:pPr>
            <w:r w:rsidRPr="008B6A75">
              <w:rPr>
                <w:bCs/>
                <w:sz w:val="20"/>
                <w:szCs w:val="20"/>
              </w:rPr>
              <w:t>204 200,00</w:t>
            </w:r>
          </w:p>
        </w:tc>
        <w:tc>
          <w:tcPr>
            <w:tcW w:w="222" w:type="dxa"/>
            <w:gridSpan w:val="2"/>
            <w:vAlign w:val="center"/>
            <w:hideMark/>
          </w:tcPr>
          <w:p w14:paraId="25A06DB0" w14:textId="77777777" w:rsidR="00387142" w:rsidRPr="008B6A75" w:rsidRDefault="00387142" w:rsidP="00387142">
            <w:pPr>
              <w:rPr>
                <w:sz w:val="20"/>
                <w:szCs w:val="20"/>
              </w:rPr>
            </w:pPr>
          </w:p>
        </w:tc>
      </w:tr>
      <w:tr w:rsidR="00387142" w:rsidRPr="008B6A75" w14:paraId="1CB3C7D0" w14:textId="77777777" w:rsidTr="00387142">
        <w:trPr>
          <w:trHeight w:val="585"/>
        </w:trPr>
        <w:tc>
          <w:tcPr>
            <w:tcW w:w="3686" w:type="dxa"/>
            <w:tcBorders>
              <w:top w:val="nil"/>
              <w:left w:val="single" w:sz="4" w:space="0" w:color="auto"/>
              <w:bottom w:val="single" w:sz="4" w:space="0" w:color="auto"/>
              <w:right w:val="nil"/>
            </w:tcBorders>
            <w:shd w:val="clear" w:color="auto" w:fill="auto"/>
            <w:vAlign w:val="center"/>
            <w:hideMark/>
          </w:tcPr>
          <w:p w14:paraId="18E1B2E2" w14:textId="77777777" w:rsidR="00387142" w:rsidRPr="008B6A75" w:rsidRDefault="00387142" w:rsidP="00387142">
            <w:pPr>
              <w:rPr>
                <w:bCs/>
                <w:sz w:val="20"/>
                <w:szCs w:val="20"/>
              </w:rPr>
            </w:pPr>
            <w:r w:rsidRPr="008B6A75">
              <w:rPr>
                <w:bCs/>
                <w:sz w:val="20"/>
                <w:szCs w:val="20"/>
              </w:rPr>
              <w:t>Муниципальная программа "Патриотическое воспитание граждан Куйбышевского района"</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14:paraId="25983E47" w14:textId="77777777" w:rsidR="00387142" w:rsidRPr="008B6A75" w:rsidRDefault="00387142" w:rsidP="00387142">
            <w:pPr>
              <w:jc w:val="right"/>
              <w:rPr>
                <w:bCs/>
                <w:sz w:val="20"/>
                <w:szCs w:val="20"/>
              </w:rPr>
            </w:pPr>
            <w:r w:rsidRPr="008B6A75">
              <w:rPr>
                <w:bCs/>
                <w:sz w:val="20"/>
                <w:szCs w:val="20"/>
              </w:rPr>
              <w:t>1 000 000,00</w:t>
            </w:r>
          </w:p>
        </w:tc>
        <w:tc>
          <w:tcPr>
            <w:tcW w:w="2360" w:type="dxa"/>
            <w:tcBorders>
              <w:top w:val="nil"/>
              <w:left w:val="single" w:sz="4" w:space="0" w:color="auto"/>
              <w:bottom w:val="single" w:sz="4" w:space="0" w:color="auto"/>
              <w:right w:val="nil"/>
            </w:tcBorders>
            <w:shd w:val="clear" w:color="auto" w:fill="auto"/>
            <w:noWrap/>
            <w:vAlign w:val="center"/>
            <w:hideMark/>
          </w:tcPr>
          <w:p w14:paraId="5C99E9C8" w14:textId="77777777" w:rsidR="00387142" w:rsidRPr="008B6A75" w:rsidRDefault="00387142" w:rsidP="00387142">
            <w:pPr>
              <w:jc w:val="right"/>
              <w:rPr>
                <w:bCs/>
                <w:sz w:val="20"/>
                <w:szCs w:val="20"/>
              </w:rPr>
            </w:pPr>
            <w:r w:rsidRPr="008B6A75">
              <w:rPr>
                <w:bCs/>
                <w:sz w:val="20"/>
                <w:szCs w:val="20"/>
              </w:rPr>
              <w:t>0,00</w:t>
            </w:r>
          </w:p>
        </w:tc>
        <w:tc>
          <w:tcPr>
            <w:tcW w:w="2360" w:type="dxa"/>
            <w:tcBorders>
              <w:top w:val="nil"/>
              <w:left w:val="single" w:sz="4" w:space="0" w:color="auto"/>
              <w:bottom w:val="single" w:sz="4" w:space="0" w:color="auto"/>
              <w:right w:val="single" w:sz="4" w:space="0" w:color="auto"/>
            </w:tcBorders>
            <w:shd w:val="clear" w:color="auto" w:fill="auto"/>
            <w:noWrap/>
            <w:vAlign w:val="center"/>
            <w:hideMark/>
          </w:tcPr>
          <w:p w14:paraId="17AA7C25" w14:textId="77777777" w:rsidR="00387142" w:rsidRPr="008B6A75" w:rsidRDefault="00387142" w:rsidP="00387142">
            <w:pPr>
              <w:jc w:val="right"/>
              <w:rPr>
                <w:bCs/>
                <w:sz w:val="20"/>
                <w:szCs w:val="20"/>
              </w:rPr>
            </w:pPr>
            <w:r w:rsidRPr="008B6A75">
              <w:rPr>
                <w:bCs/>
                <w:sz w:val="20"/>
                <w:szCs w:val="20"/>
              </w:rPr>
              <w:t>0,00</w:t>
            </w:r>
          </w:p>
        </w:tc>
        <w:tc>
          <w:tcPr>
            <w:tcW w:w="222" w:type="dxa"/>
            <w:gridSpan w:val="2"/>
            <w:vAlign w:val="center"/>
            <w:hideMark/>
          </w:tcPr>
          <w:p w14:paraId="02694CCB" w14:textId="77777777" w:rsidR="00387142" w:rsidRPr="008B6A75" w:rsidRDefault="00387142" w:rsidP="00387142">
            <w:pPr>
              <w:rPr>
                <w:sz w:val="20"/>
                <w:szCs w:val="20"/>
              </w:rPr>
            </w:pPr>
          </w:p>
        </w:tc>
      </w:tr>
      <w:tr w:rsidR="00387142" w:rsidRPr="008B6A75" w14:paraId="6AA1C0C8" w14:textId="77777777" w:rsidTr="00387142">
        <w:trPr>
          <w:trHeight w:val="870"/>
        </w:trPr>
        <w:tc>
          <w:tcPr>
            <w:tcW w:w="3686" w:type="dxa"/>
            <w:tcBorders>
              <w:top w:val="nil"/>
              <w:left w:val="single" w:sz="4" w:space="0" w:color="auto"/>
              <w:bottom w:val="single" w:sz="4" w:space="0" w:color="auto"/>
              <w:right w:val="nil"/>
            </w:tcBorders>
            <w:shd w:val="clear" w:color="auto" w:fill="auto"/>
            <w:vAlign w:val="center"/>
            <w:hideMark/>
          </w:tcPr>
          <w:p w14:paraId="380535A8" w14:textId="77777777" w:rsidR="00387142" w:rsidRPr="008B6A75" w:rsidRDefault="00387142" w:rsidP="00387142">
            <w:pPr>
              <w:rPr>
                <w:bCs/>
                <w:sz w:val="20"/>
                <w:szCs w:val="20"/>
              </w:rPr>
            </w:pPr>
            <w:r w:rsidRPr="008B6A75">
              <w:rPr>
                <w:bCs/>
                <w:sz w:val="20"/>
                <w:szCs w:val="20"/>
              </w:rPr>
              <w:t>Муниципальная программа "Развитие молодёжной политики в Куйбышевском районе Новосибирской области"</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14:paraId="3AE83643" w14:textId="77777777" w:rsidR="00387142" w:rsidRPr="008B6A75" w:rsidRDefault="00387142" w:rsidP="00387142">
            <w:pPr>
              <w:jc w:val="right"/>
              <w:rPr>
                <w:bCs/>
                <w:sz w:val="20"/>
                <w:szCs w:val="20"/>
              </w:rPr>
            </w:pPr>
            <w:r w:rsidRPr="008B6A75">
              <w:rPr>
                <w:bCs/>
                <w:sz w:val="20"/>
                <w:szCs w:val="20"/>
              </w:rPr>
              <w:t>25 774 110,12</w:t>
            </w:r>
          </w:p>
        </w:tc>
        <w:tc>
          <w:tcPr>
            <w:tcW w:w="2360" w:type="dxa"/>
            <w:tcBorders>
              <w:top w:val="nil"/>
              <w:left w:val="single" w:sz="4" w:space="0" w:color="auto"/>
              <w:bottom w:val="single" w:sz="4" w:space="0" w:color="auto"/>
              <w:right w:val="nil"/>
            </w:tcBorders>
            <w:shd w:val="clear" w:color="auto" w:fill="auto"/>
            <w:noWrap/>
            <w:vAlign w:val="center"/>
            <w:hideMark/>
          </w:tcPr>
          <w:p w14:paraId="79768612" w14:textId="77777777" w:rsidR="00387142" w:rsidRPr="008B6A75" w:rsidRDefault="00387142" w:rsidP="00387142">
            <w:pPr>
              <w:jc w:val="right"/>
              <w:rPr>
                <w:bCs/>
                <w:sz w:val="20"/>
                <w:szCs w:val="20"/>
              </w:rPr>
            </w:pPr>
            <w:r w:rsidRPr="008B6A75">
              <w:rPr>
                <w:bCs/>
                <w:sz w:val="20"/>
                <w:szCs w:val="20"/>
              </w:rPr>
              <w:t>17 000 000,00</w:t>
            </w:r>
          </w:p>
        </w:tc>
        <w:tc>
          <w:tcPr>
            <w:tcW w:w="2360" w:type="dxa"/>
            <w:tcBorders>
              <w:top w:val="nil"/>
              <w:left w:val="single" w:sz="4" w:space="0" w:color="auto"/>
              <w:bottom w:val="single" w:sz="4" w:space="0" w:color="auto"/>
              <w:right w:val="single" w:sz="4" w:space="0" w:color="auto"/>
            </w:tcBorders>
            <w:shd w:val="clear" w:color="auto" w:fill="auto"/>
            <w:noWrap/>
            <w:vAlign w:val="center"/>
            <w:hideMark/>
          </w:tcPr>
          <w:p w14:paraId="530269A8" w14:textId="77777777" w:rsidR="00387142" w:rsidRPr="008B6A75" w:rsidRDefault="00387142" w:rsidP="00387142">
            <w:pPr>
              <w:jc w:val="right"/>
              <w:rPr>
                <w:bCs/>
                <w:sz w:val="20"/>
                <w:szCs w:val="20"/>
              </w:rPr>
            </w:pPr>
            <w:r w:rsidRPr="008B6A75">
              <w:rPr>
                <w:bCs/>
                <w:sz w:val="20"/>
                <w:szCs w:val="20"/>
              </w:rPr>
              <w:t>17 000 000,00</w:t>
            </w:r>
          </w:p>
        </w:tc>
        <w:tc>
          <w:tcPr>
            <w:tcW w:w="222" w:type="dxa"/>
            <w:gridSpan w:val="2"/>
            <w:vAlign w:val="center"/>
            <w:hideMark/>
          </w:tcPr>
          <w:p w14:paraId="1E9C3B75" w14:textId="77777777" w:rsidR="00387142" w:rsidRPr="008B6A75" w:rsidRDefault="00387142" w:rsidP="00387142">
            <w:pPr>
              <w:rPr>
                <w:sz w:val="20"/>
                <w:szCs w:val="20"/>
              </w:rPr>
            </w:pPr>
          </w:p>
        </w:tc>
      </w:tr>
      <w:tr w:rsidR="00387142" w:rsidRPr="008B6A75" w14:paraId="318617B5" w14:textId="77777777" w:rsidTr="00387142">
        <w:trPr>
          <w:trHeight w:val="585"/>
        </w:trPr>
        <w:tc>
          <w:tcPr>
            <w:tcW w:w="3686" w:type="dxa"/>
            <w:tcBorders>
              <w:top w:val="nil"/>
              <w:left w:val="single" w:sz="4" w:space="0" w:color="auto"/>
              <w:bottom w:val="single" w:sz="4" w:space="0" w:color="auto"/>
              <w:right w:val="nil"/>
            </w:tcBorders>
            <w:shd w:val="clear" w:color="auto" w:fill="auto"/>
            <w:vAlign w:val="center"/>
            <w:hideMark/>
          </w:tcPr>
          <w:p w14:paraId="5A6DAB38" w14:textId="77777777" w:rsidR="00387142" w:rsidRPr="008B6A75" w:rsidRDefault="00387142" w:rsidP="00387142">
            <w:pPr>
              <w:rPr>
                <w:bCs/>
                <w:sz w:val="20"/>
                <w:szCs w:val="20"/>
              </w:rPr>
            </w:pPr>
            <w:r w:rsidRPr="008B6A75">
              <w:rPr>
                <w:bCs/>
                <w:sz w:val="20"/>
                <w:szCs w:val="20"/>
              </w:rPr>
              <w:t>Муниципальная программа "Развитие туризма в Куйбышевском районе"</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14:paraId="3C4E7922" w14:textId="77777777" w:rsidR="00387142" w:rsidRPr="008B6A75" w:rsidRDefault="00387142" w:rsidP="00387142">
            <w:pPr>
              <w:jc w:val="right"/>
              <w:rPr>
                <w:bCs/>
                <w:sz w:val="20"/>
                <w:szCs w:val="20"/>
              </w:rPr>
            </w:pPr>
            <w:r w:rsidRPr="008B6A75">
              <w:rPr>
                <w:bCs/>
                <w:sz w:val="20"/>
                <w:szCs w:val="20"/>
              </w:rPr>
              <w:t>600 000,00</w:t>
            </w:r>
          </w:p>
        </w:tc>
        <w:tc>
          <w:tcPr>
            <w:tcW w:w="2360" w:type="dxa"/>
            <w:tcBorders>
              <w:top w:val="nil"/>
              <w:left w:val="single" w:sz="4" w:space="0" w:color="auto"/>
              <w:bottom w:val="single" w:sz="4" w:space="0" w:color="auto"/>
              <w:right w:val="nil"/>
            </w:tcBorders>
            <w:shd w:val="clear" w:color="auto" w:fill="auto"/>
            <w:noWrap/>
            <w:vAlign w:val="center"/>
            <w:hideMark/>
          </w:tcPr>
          <w:p w14:paraId="2989D582" w14:textId="77777777" w:rsidR="00387142" w:rsidRPr="008B6A75" w:rsidRDefault="00387142" w:rsidP="00387142">
            <w:pPr>
              <w:jc w:val="right"/>
              <w:rPr>
                <w:bCs/>
                <w:sz w:val="20"/>
                <w:szCs w:val="20"/>
              </w:rPr>
            </w:pPr>
            <w:r w:rsidRPr="008B6A75">
              <w:rPr>
                <w:bCs/>
                <w:sz w:val="20"/>
                <w:szCs w:val="20"/>
              </w:rPr>
              <w:t>0,00</w:t>
            </w:r>
          </w:p>
        </w:tc>
        <w:tc>
          <w:tcPr>
            <w:tcW w:w="2360" w:type="dxa"/>
            <w:tcBorders>
              <w:top w:val="nil"/>
              <w:left w:val="single" w:sz="4" w:space="0" w:color="auto"/>
              <w:bottom w:val="single" w:sz="4" w:space="0" w:color="auto"/>
              <w:right w:val="single" w:sz="4" w:space="0" w:color="auto"/>
            </w:tcBorders>
            <w:shd w:val="clear" w:color="auto" w:fill="auto"/>
            <w:noWrap/>
            <w:vAlign w:val="center"/>
            <w:hideMark/>
          </w:tcPr>
          <w:p w14:paraId="27D0B2FF" w14:textId="77777777" w:rsidR="00387142" w:rsidRPr="008B6A75" w:rsidRDefault="00387142" w:rsidP="00387142">
            <w:pPr>
              <w:jc w:val="right"/>
              <w:rPr>
                <w:bCs/>
                <w:sz w:val="20"/>
                <w:szCs w:val="20"/>
              </w:rPr>
            </w:pPr>
            <w:r w:rsidRPr="008B6A75">
              <w:rPr>
                <w:bCs/>
                <w:sz w:val="20"/>
                <w:szCs w:val="20"/>
              </w:rPr>
              <w:t>0,00</w:t>
            </w:r>
          </w:p>
        </w:tc>
        <w:tc>
          <w:tcPr>
            <w:tcW w:w="222" w:type="dxa"/>
            <w:gridSpan w:val="2"/>
            <w:vAlign w:val="center"/>
            <w:hideMark/>
          </w:tcPr>
          <w:p w14:paraId="0C6FA127" w14:textId="77777777" w:rsidR="00387142" w:rsidRPr="008B6A75" w:rsidRDefault="00387142" w:rsidP="00387142">
            <w:pPr>
              <w:rPr>
                <w:sz w:val="20"/>
                <w:szCs w:val="20"/>
              </w:rPr>
            </w:pPr>
          </w:p>
        </w:tc>
      </w:tr>
      <w:tr w:rsidR="00387142" w:rsidRPr="008B6A75" w14:paraId="290C842D" w14:textId="77777777" w:rsidTr="00387142">
        <w:trPr>
          <w:trHeight w:val="870"/>
        </w:trPr>
        <w:tc>
          <w:tcPr>
            <w:tcW w:w="3686" w:type="dxa"/>
            <w:tcBorders>
              <w:top w:val="nil"/>
              <w:left w:val="single" w:sz="4" w:space="0" w:color="auto"/>
              <w:bottom w:val="single" w:sz="4" w:space="0" w:color="auto"/>
              <w:right w:val="nil"/>
            </w:tcBorders>
            <w:shd w:val="clear" w:color="auto" w:fill="auto"/>
            <w:vAlign w:val="center"/>
            <w:hideMark/>
          </w:tcPr>
          <w:p w14:paraId="0048399F" w14:textId="77777777" w:rsidR="00387142" w:rsidRPr="008B6A75" w:rsidRDefault="00387142" w:rsidP="00387142">
            <w:pPr>
              <w:rPr>
                <w:bCs/>
                <w:sz w:val="20"/>
                <w:szCs w:val="20"/>
              </w:rPr>
            </w:pPr>
            <w:r w:rsidRPr="008B6A75">
              <w:rPr>
                <w:bCs/>
                <w:sz w:val="20"/>
                <w:szCs w:val="20"/>
              </w:rPr>
              <w:t>Муниципальная программа "Комплексное развитие сельских территорий в Куйбышевском районе"</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14:paraId="6DD74B72" w14:textId="77777777" w:rsidR="00387142" w:rsidRPr="008B6A75" w:rsidRDefault="00387142" w:rsidP="00387142">
            <w:pPr>
              <w:jc w:val="right"/>
              <w:rPr>
                <w:bCs/>
                <w:sz w:val="20"/>
                <w:szCs w:val="20"/>
              </w:rPr>
            </w:pPr>
            <w:r w:rsidRPr="008B6A75">
              <w:rPr>
                <w:bCs/>
                <w:sz w:val="20"/>
                <w:szCs w:val="20"/>
              </w:rPr>
              <w:t>56 344 567,69</w:t>
            </w:r>
          </w:p>
        </w:tc>
        <w:tc>
          <w:tcPr>
            <w:tcW w:w="2360" w:type="dxa"/>
            <w:tcBorders>
              <w:top w:val="nil"/>
              <w:left w:val="single" w:sz="4" w:space="0" w:color="auto"/>
              <w:bottom w:val="single" w:sz="4" w:space="0" w:color="auto"/>
              <w:right w:val="nil"/>
            </w:tcBorders>
            <w:shd w:val="clear" w:color="auto" w:fill="auto"/>
            <w:noWrap/>
            <w:vAlign w:val="center"/>
            <w:hideMark/>
          </w:tcPr>
          <w:p w14:paraId="77764794" w14:textId="77777777" w:rsidR="00387142" w:rsidRPr="008B6A75" w:rsidRDefault="00387142" w:rsidP="00387142">
            <w:pPr>
              <w:jc w:val="right"/>
              <w:rPr>
                <w:bCs/>
                <w:sz w:val="20"/>
                <w:szCs w:val="20"/>
              </w:rPr>
            </w:pPr>
            <w:r w:rsidRPr="008B6A75">
              <w:rPr>
                <w:bCs/>
                <w:sz w:val="20"/>
                <w:szCs w:val="20"/>
              </w:rPr>
              <w:t>1 663 114,52</w:t>
            </w:r>
          </w:p>
        </w:tc>
        <w:tc>
          <w:tcPr>
            <w:tcW w:w="2360" w:type="dxa"/>
            <w:tcBorders>
              <w:top w:val="nil"/>
              <w:left w:val="single" w:sz="4" w:space="0" w:color="auto"/>
              <w:bottom w:val="single" w:sz="4" w:space="0" w:color="auto"/>
              <w:right w:val="single" w:sz="4" w:space="0" w:color="auto"/>
            </w:tcBorders>
            <w:shd w:val="clear" w:color="auto" w:fill="auto"/>
            <w:noWrap/>
            <w:vAlign w:val="center"/>
            <w:hideMark/>
          </w:tcPr>
          <w:p w14:paraId="0FA4E80A" w14:textId="77777777" w:rsidR="00387142" w:rsidRPr="008B6A75" w:rsidRDefault="00387142" w:rsidP="00387142">
            <w:pPr>
              <w:jc w:val="right"/>
              <w:rPr>
                <w:bCs/>
                <w:sz w:val="20"/>
                <w:szCs w:val="20"/>
              </w:rPr>
            </w:pPr>
            <w:r w:rsidRPr="008B6A75">
              <w:rPr>
                <w:bCs/>
                <w:sz w:val="20"/>
                <w:szCs w:val="20"/>
              </w:rPr>
              <w:t>500 000,00</w:t>
            </w:r>
          </w:p>
        </w:tc>
        <w:tc>
          <w:tcPr>
            <w:tcW w:w="222" w:type="dxa"/>
            <w:gridSpan w:val="2"/>
            <w:vAlign w:val="center"/>
            <w:hideMark/>
          </w:tcPr>
          <w:p w14:paraId="44667111" w14:textId="77777777" w:rsidR="00387142" w:rsidRPr="008B6A75" w:rsidRDefault="00387142" w:rsidP="00387142">
            <w:pPr>
              <w:rPr>
                <w:sz w:val="20"/>
                <w:szCs w:val="20"/>
              </w:rPr>
            </w:pPr>
          </w:p>
        </w:tc>
      </w:tr>
      <w:tr w:rsidR="00387142" w:rsidRPr="008B6A75" w14:paraId="56216701" w14:textId="77777777" w:rsidTr="00387142">
        <w:trPr>
          <w:trHeight w:val="585"/>
        </w:trPr>
        <w:tc>
          <w:tcPr>
            <w:tcW w:w="3686" w:type="dxa"/>
            <w:tcBorders>
              <w:top w:val="nil"/>
              <w:left w:val="single" w:sz="4" w:space="0" w:color="auto"/>
              <w:bottom w:val="single" w:sz="4" w:space="0" w:color="auto"/>
              <w:right w:val="nil"/>
            </w:tcBorders>
            <w:shd w:val="clear" w:color="auto" w:fill="auto"/>
            <w:vAlign w:val="center"/>
            <w:hideMark/>
          </w:tcPr>
          <w:p w14:paraId="60377482" w14:textId="77777777" w:rsidR="00387142" w:rsidRPr="008B6A75" w:rsidRDefault="00387142" w:rsidP="00387142">
            <w:pPr>
              <w:rPr>
                <w:bCs/>
                <w:sz w:val="20"/>
                <w:szCs w:val="20"/>
              </w:rPr>
            </w:pPr>
            <w:r w:rsidRPr="008B6A75">
              <w:rPr>
                <w:bCs/>
                <w:sz w:val="20"/>
                <w:szCs w:val="20"/>
              </w:rPr>
              <w:t>Муниципальная программа "Развитие системы образования Куйбышевского района"</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14:paraId="4A7D87FA" w14:textId="77777777" w:rsidR="00387142" w:rsidRPr="008B6A75" w:rsidRDefault="00387142" w:rsidP="00387142">
            <w:pPr>
              <w:jc w:val="right"/>
              <w:rPr>
                <w:bCs/>
                <w:sz w:val="20"/>
                <w:szCs w:val="20"/>
              </w:rPr>
            </w:pPr>
            <w:r w:rsidRPr="008B6A75">
              <w:rPr>
                <w:bCs/>
                <w:sz w:val="20"/>
                <w:szCs w:val="20"/>
              </w:rPr>
              <w:t>1 682 319 434,11</w:t>
            </w:r>
          </w:p>
        </w:tc>
        <w:tc>
          <w:tcPr>
            <w:tcW w:w="2360" w:type="dxa"/>
            <w:tcBorders>
              <w:top w:val="nil"/>
              <w:left w:val="single" w:sz="4" w:space="0" w:color="auto"/>
              <w:bottom w:val="single" w:sz="4" w:space="0" w:color="auto"/>
              <w:right w:val="nil"/>
            </w:tcBorders>
            <w:shd w:val="clear" w:color="auto" w:fill="auto"/>
            <w:noWrap/>
            <w:vAlign w:val="center"/>
            <w:hideMark/>
          </w:tcPr>
          <w:p w14:paraId="4CD6591C" w14:textId="77777777" w:rsidR="00387142" w:rsidRPr="008B6A75" w:rsidRDefault="00387142" w:rsidP="00387142">
            <w:pPr>
              <w:jc w:val="right"/>
              <w:rPr>
                <w:bCs/>
                <w:sz w:val="20"/>
                <w:szCs w:val="20"/>
              </w:rPr>
            </w:pPr>
            <w:r w:rsidRPr="008B6A75">
              <w:rPr>
                <w:bCs/>
                <w:sz w:val="20"/>
                <w:szCs w:val="20"/>
              </w:rPr>
              <w:t>1 241 908 400,00</w:t>
            </w:r>
          </w:p>
        </w:tc>
        <w:tc>
          <w:tcPr>
            <w:tcW w:w="2360" w:type="dxa"/>
            <w:tcBorders>
              <w:top w:val="nil"/>
              <w:left w:val="single" w:sz="4" w:space="0" w:color="auto"/>
              <w:bottom w:val="single" w:sz="4" w:space="0" w:color="auto"/>
              <w:right w:val="single" w:sz="4" w:space="0" w:color="auto"/>
            </w:tcBorders>
            <w:shd w:val="clear" w:color="auto" w:fill="auto"/>
            <w:noWrap/>
            <w:vAlign w:val="center"/>
            <w:hideMark/>
          </w:tcPr>
          <w:p w14:paraId="56257876" w14:textId="77777777" w:rsidR="00387142" w:rsidRPr="008B6A75" w:rsidRDefault="00387142" w:rsidP="00387142">
            <w:pPr>
              <w:jc w:val="right"/>
              <w:rPr>
                <w:bCs/>
                <w:sz w:val="20"/>
                <w:szCs w:val="20"/>
              </w:rPr>
            </w:pPr>
            <w:r w:rsidRPr="008B6A75">
              <w:rPr>
                <w:bCs/>
                <w:sz w:val="20"/>
                <w:szCs w:val="20"/>
              </w:rPr>
              <w:t>1 259 226 900,00</w:t>
            </w:r>
          </w:p>
        </w:tc>
        <w:tc>
          <w:tcPr>
            <w:tcW w:w="222" w:type="dxa"/>
            <w:gridSpan w:val="2"/>
            <w:vAlign w:val="center"/>
            <w:hideMark/>
          </w:tcPr>
          <w:p w14:paraId="768B3948" w14:textId="77777777" w:rsidR="00387142" w:rsidRPr="008B6A75" w:rsidRDefault="00387142" w:rsidP="00387142">
            <w:pPr>
              <w:rPr>
                <w:sz w:val="20"/>
                <w:szCs w:val="20"/>
              </w:rPr>
            </w:pPr>
          </w:p>
        </w:tc>
      </w:tr>
      <w:tr w:rsidR="00387142" w:rsidRPr="008B6A75" w14:paraId="16D3CBD9" w14:textId="77777777" w:rsidTr="00387142">
        <w:trPr>
          <w:trHeight w:val="585"/>
        </w:trPr>
        <w:tc>
          <w:tcPr>
            <w:tcW w:w="3686" w:type="dxa"/>
            <w:tcBorders>
              <w:top w:val="nil"/>
              <w:left w:val="single" w:sz="4" w:space="0" w:color="auto"/>
              <w:bottom w:val="single" w:sz="4" w:space="0" w:color="auto"/>
              <w:right w:val="nil"/>
            </w:tcBorders>
            <w:shd w:val="clear" w:color="auto" w:fill="auto"/>
            <w:vAlign w:val="center"/>
            <w:hideMark/>
          </w:tcPr>
          <w:p w14:paraId="5A798846" w14:textId="77777777" w:rsidR="00387142" w:rsidRPr="008B6A75" w:rsidRDefault="00387142" w:rsidP="00387142">
            <w:pPr>
              <w:rPr>
                <w:bCs/>
                <w:sz w:val="20"/>
                <w:szCs w:val="20"/>
              </w:rPr>
            </w:pPr>
            <w:r w:rsidRPr="008B6A75">
              <w:rPr>
                <w:bCs/>
                <w:sz w:val="20"/>
                <w:szCs w:val="20"/>
              </w:rPr>
              <w:t>Подпрограмма "Развитие дошкольного, общего и дополнительного образования детей"</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14:paraId="036DC963" w14:textId="77777777" w:rsidR="00387142" w:rsidRPr="008B6A75" w:rsidRDefault="00387142" w:rsidP="00387142">
            <w:pPr>
              <w:jc w:val="right"/>
              <w:rPr>
                <w:bCs/>
                <w:sz w:val="20"/>
                <w:szCs w:val="20"/>
              </w:rPr>
            </w:pPr>
            <w:r w:rsidRPr="008B6A75">
              <w:rPr>
                <w:bCs/>
                <w:sz w:val="20"/>
                <w:szCs w:val="20"/>
              </w:rPr>
              <w:t>1 669 159 312,45</w:t>
            </w:r>
          </w:p>
        </w:tc>
        <w:tc>
          <w:tcPr>
            <w:tcW w:w="2360" w:type="dxa"/>
            <w:tcBorders>
              <w:top w:val="nil"/>
              <w:left w:val="single" w:sz="4" w:space="0" w:color="auto"/>
              <w:bottom w:val="single" w:sz="4" w:space="0" w:color="auto"/>
              <w:right w:val="nil"/>
            </w:tcBorders>
            <w:shd w:val="clear" w:color="auto" w:fill="auto"/>
            <w:noWrap/>
            <w:vAlign w:val="center"/>
            <w:hideMark/>
          </w:tcPr>
          <w:p w14:paraId="25D39A48" w14:textId="77777777" w:rsidR="00387142" w:rsidRPr="008B6A75" w:rsidRDefault="00387142" w:rsidP="00387142">
            <w:pPr>
              <w:jc w:val="right"/>
              <w:rPr>
                <w:bCs/>
                <w:sz w:val="20"/>
                <w:szCs w:val="20"/>
              </w:rPr>
            </w:pPr>
            <w:r w:rsidRPr="008B6A75">
              <w:rPr>
                <w:bCs/>
                <w:sz w:val="20"/>
                <w:szCs w:val="20"/>
              </w:rPr>
              <w:t>1 239 068 791,00</w:t>
            </w:r>
          </w:p>
        </w:tc>
        <w:tc>
          <w:tcPr>
            <w:tcW w:w="2360" w:type="dxa"/>
            <w:tcBorders>
              <w:top w:val="nil"/>
              <w:left w:val="single" w:sz="4" w:space="0" w:color="auto"/>
              <w:bottom w:val="single" w:sz="4" w:space="0" w:color="auto"/>
              <w:right w:val="single" w:sz="4" w:space="0" w:color="auto"/>
            </w:tcBorders>
            <w:shd w:val="clear" w:color="auto" w:fill="auto"/>
            <w:noWrap/>
            <w:vAlign w:val="center"/>
            <w:hideMark/>
          </w:tcPr>
          <w:p w14:paraId="41D2824A" w14:textId="77777777" w:rsidR="00387142" w:rsidRPr="008B6A75" w:rsidRDefault="00387142" w:rsidP="00387142">
            <w:pPr>
              <w:jc w:val="right"/>
              <w:rPr>
                <w:bCs/>
                <w:sz w:val="20"/>
                <w:szCs w:val="20"/>
              </w:rPr>
            </w:pPr>
            <w:r w:rsidRPr="008B6A75">
              <w:rPr>
                <w:bCs/>
                <w:sz w:val="20"/>
                <w:szCs w:val="20"/>
              </w:rPr>
              <w:t>1 256 513 900,00</w:t>
            </w:r>
          </w:p>
        </w:tc>
        <w:tc>
          <w:tcPr>
            <w:tcW w:w="222" w:type="dxa"/>
            <w:gridSpan w:val="2"/>
            <w:vAlign w:val="center"/>
            <w:hideMark/>
          </w:tcPr>
          <w:p w14:paraId="43DD2B52" w14:textId="77777777" w:rsidR="00387142" w:rsidRPr="008B6A75" w:rsidRDefault="00387142" w:rsidP="00387142">
            <w:pPr>
              <w:rPr>
                <w:sz w:val="20"/>
                <w:szCs w:val="20"/>
              </w:rPr>
            </w:pPr>
          </w:p>
        </w:tc>
      </w:tr>
      <w:tr w:rsidR="00387142" w:rsidRPr="008B6A75" w14:paraId="6F8796DB" w14:textId="77777777" w:rsidTr="00387142">
        <w:trPr>
          <w:trHeight w:val="870"/>
        </w:trPr>
        <w:tc>
          <w:tcPr>
            <w:tcW w:w="3686" w:type="dxa"/>
            <w:tcBorders>
              <w:top w:val="nil"/>
              <w:left w:val="single" w:sz="4" w:space="0" w:color="auto"/>
              <w:bottom w:val="single" w:sz="4" w:space="0" w:color="auto"/>
              <w:right w:val="nil"/>
            </w:tcBorders>
            <w:shd w:val="clear" w:color="auto" w:fill="auto"/>
            <w:vAlign w:val="center"/>
            <w:hideMark/>
          </w:tcPr>
          <w:p w14:paraId="563FFC41" w14:textId="77777777" w:rsidR="00387142" w:rsidRPr="008B6A75" w:rsidRDefault="00387142" w:rsidP="00387142">
            <w:pPr>
              <w:rPr>
                <w:bCs/>
                <w:sz w:val="20"/>
                <w:szCs w:val="20"/>
              </w:rPr>
            </w:pPr>
            <w:r w:rsidRPr="008B6A75">
              <w:rPr>
                <w:bCs/>
                <w:sz w:val="20"/>
                <w:szCs w:val="20"/>
              </w:rPr>
              <w:t>Подпрограмма "Выявление и поддержка одаренных детей и талантливой молодежи Куйбышевского района"</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14:paraId="6FBD1AD5" w14:textId="77777777" w:rsidR="00387142" w:rsidRPr="008B6A75" w:rsidRDefault="00387142" w:rsidP="00387142">
            <w:pPr>
              <w:jc w:val="right"/>
              <w:rPr>
                <w:bCs/>
                <w:sz w:val="20"/>
                <w:szCs w:val="20"/>
              </w:rPr>
            </w:pPr>
            <w:r w:rsidRPr="008B6A75">
              <w:rPr>
                <w:bCs/>
                <w:sz w:val="20"/>
                <w:szCs w:val="20"/>
              </w:rPr>
              <w:t>1 190 943,80</w:t>
            </w:r>
          </w:p>
        </w:tc>
        <w:tc>
          <w:tcPr>
            <w:tcW w:w="2360" w:type="dxa"/>
            <w:tcBorders>
              <w:top w:val="nil"/>
              <w:left w:val="single" w:sz="4" w:space="0" w:color="auto"/>
              <w:bottom w:val="single" w:sz="4" w:space="0" w:color="auto"/>
              <w:right w:val="nil"/>
            </w:tcBorders>
            <w:shd w:val="clear" w:color="auto" w:fill="auto"/>
            <w:noWrap/>
            <w:vAlign w:val="center"/>
            <w:hideMark/>
          </w:tcPr>
          <w:p w14:paraId="44BB59AF" w14:textId="77777777" w:rsidR="00387142" w:rsidRPr="008B6A75" w:rsidRDefault="00387142" w:rsidP="00387142">
            <w:pPr>
              <w:jc w:val="right"/>
              <w:rPr>
                <w:bCs/>
                <w:sz w:val="20"/>
                <w:szCs w:val="20"/>
              </w:rPr>
            </w:pPr>
            <w:r w:rsidRPr="008B6A75">
              <w:rPr>
                <w:bCs/>
                <w:sz w:val="20"/>
                <w:szCs w:val="20"/>
              </w:rPr>
              <w:t>0,00</w:t>
            </w:r>
          </w:p>
        </w:tc>
        <w:tc>
          <w:tcPr>
            <w:tcW w:w="2360" w:type="dxa"/>
            <w:tcBorders>
              <w:top w:val="nil"/>
              <w:left w:val="single" w:sz="4" w:space="0" w:color="auto"/>
              <w:bottom w:val="single" w:sz="4" w:space="0" w:color="auto"/>
              <w:right w:val="single" w:sz="4" w:space="0" w:color="auto"/>
            </w:tcBorders>
            <w:shd w:val="clear" w:color="auto" w:fill="auto"/>
            <w:noWrap/>
            <w:vAlign w:val="center"/>
            <w:hideMark/>
          </w:tcPr>
          <w:p w14:paraId="626C7599" w14:textId="77777777" w:rsidR="00387142" w:rsidRPr="008B6A75" w:rsidRDefault="00387142" w:rsidP="00387142">
            <w:pPr>
              <w:jc w:val="right"/>
              <w:rPr>
                <w:bCs/>
                <w:sz w:val="20"/>
                <w:szCs w:val="20"/>
              </w:rPr>
            </w:pPr>
            <w:r w:rsidRPr="008B6A75">
              <w:rPr>
                <w:bCs/>
                <w:sz w:val="20"/>
                <w:szCs w:val="20"/>
              </w:rPr>
              <w:t>0,00</w:t>
            </w:r>
          </w:p>
        </w:tc>
        <w:tc>
          <w:tcPr>
            <w:tcW w:w="222" w:type="dxa"/>
            <w:gridSpan w:val="2"/>
            <w:vAlign w:val="center"/>
            <w:hideMark/>
          </w:tcPr>
          <w:p w14:paraId="75E8656A" w14:textId="77777777" w:rsidR="00387142" w:rsidRPr="008B6A75" w:rsidRDefault="00387142" w:rsidP="00387142">
            <w:pPr>
              <w:rPr>
                <w:sz w:val="20"/>
                <w:szCs w:val="20"/>
              </w:rPr>
            </w:pPr>
          </w:p>
        </w:tc>
      </w:tr>
      <w:tr w:rsidR="00387142" w:rsidRPr="008B6A75" w14:paraId="7E10F5C7" w14:textId="77777777" w:rsidTr="00387142">
        <w:trPr>
          <w:trHeight w:val="870"/>
        </w:trPr>
        <w:tc>
          <w:tcPr>
            <w:tcW w:w="3686" w:type="dxa"/>
            <w:tcBorders>
              <w:top w:val="nil"/>
              <w:left w:val="single" w:sz="4" w:space="0" w:color="auto"/>
              <w:bottom w:val="single" w:sz="4" w:space="0" w:color="auto"/>
              <w:right w:val="nil"/>
            </w:tcBorders>
            <w:shd w:val="clear" w:color="auto" w:fill="auto"/>
            <w:vAlign w:val="center"/>
            <w:hideMark/>
          </w:tcPr>
          <w:p w14:paraId="3FB3396F" w14:textId="77777777" w:rsidR="00387142" w:rsidRPr="008B6A75" w:rsidRDefault="00387142" w:rsidP="00387142">
            <w:pPr>
              <w:rPr>
                <w:bCs/>
                <w:sz w:val="20"/>
                <w:szCs w:val="20"/>
              </w:rPr>
            </w:pPr>
            <w:proofErr w:type="spellStart"/>
            <w:r w:rsidRPr="008B6A75">
              <w:rPr>
                <w:bCs/>
                <w:sz w:val="20"/>
                <w:szCs w:val="20"/>
              </w:rPr>
              <w:t>Подпрограмма"Развитие</w:t>
            </w:r>
            <w:proofErr w:type="spellEnd"/>
            <w:r w:rsidRPr="008B6A75">
              <w:rPr>
                <w:bCs/>
                <w:sz w:val="20"/>
                <w:szCs w:val="20"/>
              </w:rPr>
              <w:t xml:space="preserve"> кадрового потенциала системы дошкольного, общего и дополнительного образования детей"</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14:paraId="59AF2420" w14:textId="77777777" w:rsidR="00387142" w:rsidRPr="008B6A75" w:rsidRDefault="00387142" w:rsidP="00387142">
            <w:pPr>
              <w:jc w:val="right"/>
              <w:rPr>
                <w:bCs/>
                <w:sz w:val="20"/>
                <w:szCs w:val="20"/>
              </w:rPr>
            </w:pPr>
            <w:r w:rsidRPr="008B6A75">
              <w:rPr>
                <w:bCs/>
                <w:sz w:val="20"/>
                <w:szCs w:val="20"/>
              </w:rPr>
              <w:t>991 616,20</w:t>
            </w:r>
          </w:p>
        </w:tc>
        <w:tc>
          <w:tcPr>
            <w:tcW w:w="2360" w:type="dxa"/>
            <w:tcBorders>
              <w:top w:val="nil"/>
              <w:left w:val="single" w:sz="4" w:space="0" w:color="auto"/>
              <w:bottom w:val="single" w:sz="4" w:space="0" w:color="auto"/>
              <w:right w:val="nil"/>
            </w:tcBorders>
            <w:shd w:val="clear" w:color="auto" w:fill="auto"/>
            <w:noWrap/>
            <w:vAlign w:val="center"/>
            <w:hideMark/>
          </w:tcPr>
          <w:p w14:paraId="2F09C06F" w14:textId="77777777" w:rsidR="00387142" w:rsidRPr="008B6A75" w:rsidRDefault="00387142" w:rsidP="00387142">
            <w:pPr>
              <w:jc w:val="right"/>
              <w:rPr>
                <w:bCs/>
                <w:sz w:val="20"/>
                <w:szCs w:val="20"/>
              </w:rPr>
            </w:pPr>
            <w:r w:rsidRPr="008B6A75">
              <w:rPr>
                <w:bCs/>
                <w:sz w:val="20"/>
                <w:szCs w:val="20"/>
              </w:rPr>
              <w:t>0,00</w:t>
            </w:r>
          </w:p>
        </w:tc>
        <w:tc>
          <w:tcPr>
            <w:tcW w:w="2360" w:type="dxa"/>
            <w:tcBorders>
              <w:top w:val="nil"/>
              <w:left w:val="single" w:sz="4" w:space="0" w:color="auto"/>
              <w:bottom w:val="single" w:sz="4" w:space="0" w:color="auto"/>
              <w:right w:val="single" w:sz="4" w:space="0" w:color="auto"/>
            </w:tcBorders>
            <w:shd w:val="clear" w:color="auto" w:fill="auto"/>
            <w:noWrap/>
            <w:vAlign w:val="center"/>
            <w:hideMark/>
          </w:tcPr>
          <w:p w14:paraId="24282FE1" w14:textId="77777777" w:rsidR="00387142" w:rsidRPr="008B6A75" w:rsidRDefault="00387142" w:rsidP="00387142">
            <w:pPr>
              <w:jc w:val="right"/>
              <w:rPr>
                <w:bCs/>
                <w:sz w:val="20"/>
                <w:szCs w:val="20"/>
              </w:rPr>
            </w:pPr>
            <w:r w:rsidRPr="008B6A75">
              <w:rPr>
                <w:bCs/>
                <w:sz w:val="20"/>
                <w:szCs w:val="20"/>
              </w:rPr>
              <w:t>0,00</w:t>
            </w:r>
          </w:p>
        </w:tc>
        <w:tc>
          <w:tcPr>
            <w:tcW w:w="222" w:type="dxa"/>
            <w:gridSpan w:val="2"/>
            <w:vAlign w:val="center"/>
            <w:hideMark/>
          </w:tcPr>
          <w:p w14:paraId="34C17E24" w14:textId="77777777" w:rsidR="00387142" w:rsidRPr="008B6A75" w:rsidRDefault="00387142" w:rsidP="00387142">
            <w:pPr>
              <w:rPr>
                <w:sz w:val="20"/>
                <w:szCs w:val="20"/>
              </w:rPr>
            </w:pPr>
          </w:p>
        </w:tc>
      </w:tr>
      <w:tr w:rsidR="00387142" w:rsidRPr="008B6A75" w14:paraId="067F2433" w14:textId="77777777" w:rsidTr="00387142">
        <w:trPr>
          <w:trHeight w:val="585"/>
        </w:trPr>
        <w:tc>
          <w:tcPr>
            <w:tcW w:w="3686" w:type="dxa"/>
            <w:tcBorders>
              <w:top w:val="nil"/>
              <w:left w:val="single" w:sz="4" w:space="0" w:color="auto"/>
              <w:bottom w:val="single" w:sz="4" w:space="0" w:color="auto"/>
              <w:right w:val="nil"/>
            </w:tcBorders>
            <w:shd w:val="clear" w:color="auto" w:fill="auto"/>
            <w:vAlign w:val="center"/>
            <w:hideMark/>
          </w:tcPr>
          <w:p w14:paraId="6BB1D72A" w14:textId="77777777" w:rsidR="00387142" w:rsidRPr="008B6A75" w:rsidRDefault="00387142" w:rsidP="00387142">
            <w:pPr>
              <w:rPr>
                <w:bCs/>
                <w:sz w:val="20"/>
                <w:szCs w:val="20"/>
              </w:rPr>
            </w:pPr>
            <w:r w:rsidRPr="008B6A75">
              <w:rPr>
                <w:bCs/>
                <w:sz w:val="20"/>
                <w:szCs w:val="20"/>
              </w:rPr>
              <w:t>Подпрограмма "Организация отдыха и оздоровления детей и подростков"</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14:paraId="20985A79" w14:textId="77777777" w:rsidR="00387142" w:rsidRPr="008B6A75" w:rsidRDefault="00387142" w:rsidP="00387142">
            <w:pPr>
              <w:jc w:val="right"/>
              <w:rPr>
                <w:bCs/>
                <w:sz w:val="20"/>
                <w:szCs w:val="20"/>
              </w:rPr>
            </w:pPr>
            <w:r w:rsidRPr="008B6A75">
              <w:rPr>
                <w:bCs/>
                <w:sz w:val="20"/>
                <w:szCs w:val="20"/>
              </w:rPr>
              <w:t>10 977 561,66</w:t>
            </w:r>
          </w:p>
        </w:tc>
        <w:tc>
          <w:tcPr>
            <w:tcW w:w="2360" w:type="dxa"/>
            <w:tcBorders>
              <w:top w:val="nil"/>
              <w:left w:val="single" w:sz="4" w:space="0" w:color="auto"/>
              <w:bottom w:val="single" w:sz="4" w:space="0" w:color="auto"/>
              <w:right w:val="nil"/>
            </w:tcBorders>
            <w:shd w:val="clear" w:color="auto" w:fill="auto"/>
            <w:noWrap/>
            <w:vAlign w:val="center"/>
            <w:hideMark/>
          </w:tcPr>
          <w:p w14:paraId="0FD3A34F" w14:textId="77777777" w:rsidR="00387142" w:rsidRPr="008B6A75" w:rsidRDefault="00387142" w:rsidP="00387142">
            <w:pPr>
              <w:jc w:val="right"/>
              <w:rPr>
                <w:bCs/>
                <w:sz w:val="20"/>
                <w:szCs w:val="20"/>
              </w:rPr>
            </w:pPr>
            <w:r w:rsidRPr="008B6A75">
              <w:rPr>
                <w:bCs/>
                <w:sz w:val="20"/>
                <w:szCs w:val="20"/>
              </w:rPr>
              <w:t>2 839 609,00</w:t>
            </w:r>
          </w:p>
        </w:tc>
        <w:tc>
          <w:tcPr>
            <w:tcW w:w="2360" w:type="dxa"/>
            <w:tcBorders>
              <w:top w:val="nil"/>
              <w:left w:val="single" w:sz="4" w:space="0" w:color="auto"/>
              <w:bottom w:val="single" w:sz="4" w:space="0" w:color="auto"/>
              <w:right w:val="single" w:sz="4" w:space="0" w:color="auto"/>
            </w:tcBorders>
            <w:shd w:val="clear" w:color="auto" w:fill="auto"/>
            <w:noWrap/>
            <w:vAlign w:val="center"/>
            <w:hideMark/>
          </w:tcPr>
          <w:p w14:paraId="452CCEE3" w14:textId="77777777" w:rsidR="00387142" w:rsidRPr="008B6A75" w:rsidRDefault="00387142" w:rsidP="00387142">
            <w:pPr>
              <w:jc w:val="right"/>
              <w:rPr>
                <w:bCs/>
                <w:sz w:val="20"/>
                <w:szCs w:val="20"/>
              </w:rPr>
            </w:pPr>
            <w:r w:rsidRPr="008B6A75">
              <w:rPr>
                <w:bCs/>
                <w:sz w:val="20"/>
                <w:szCs w:val="20"/>
              </w:rPr>
              <w:t>2 713 000,00</w:t>
            </w:r>
          </w:p>
        </w:tc>
        <w:tc>
          <w:tcPr>
            <w:tcW w:w="222" w:type="dxa"/>
            <w:gridSpan w:val="2"/>
            <w:vAlign w:val="center"/>
            <w:hideMark/>
          </w:tcPr>
          <w:p w14:paraId="6309B55A" w14:textId="77777777" w:rsidR="00387142" w:rsidRPr="008B6A75" w:rsidRDefault="00387142" w:rsidP="00387142">
            <w:pPr>
              <w:rPr>
                <w:sz w:val="20"/>
                <w:szCs w:val="20"/>
              </w:rPr>
            </w:pPr>
          </w:p>
        </w:tc>
      </w:tr>
      <w:tr w:rsidR="00387142" w:rsidRPr="008B6A75" w14:paraId="383B7ECE" w14:textId="77777777" w:rsidTr="00387142">
        <w:trPr>
          <w:trHeight w:val="585"/>
        </w:trPr>
        <w:tc>
          <w:tcPr>
            <w:tcW w:w="3686" w:type="dxa"/>
            <w:tcBorders>
              <w:top w:val="nil"/>
              <w:left w:val="single" w:sz="4" w:space="0" w:color="auto"/>
              <w:bottom w:val="single" w:sz="4" w:space="0" w:color="auto"/>
              <w:right w:val="nil"/>
            </w:tcBorders>
            <w:shd w:val="clear" w:color="auto" w:fill="auto"/>
            <w:vAlign w:val="center"/>
            <w:hideMark/>
          </w:tcPr>
          <w:p w14:paraId="569C7E96" w14:textId="77777777" w:rsidR="00387142" w:rsidRPr="008B6A75" w:rsidRDefault="00387142" w:rsidP="00387142">
            <w:pPr>
              <w:rPr>
                <w:bCs/>
                <w:sz w:val="20"/>
                <w:szCs w:val="20"/>
              </w:rPr>
            </w:pPr>
            <w:r w:rsidRPr="008B6A75">
              <w:rPr>
                <w:bCs/>
                <w:sz w:val="20"/>
                <w:szCs w:val="20"/>
              </w:rPr>
              <w:t>Муниципальная программа "Развитие культуры в Куйбышевском районе"</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14:paraId="4CB113F6" w14:textId="77777777" w:rsidR="00387142" w:rsidRPr="008B6A75" w:rsidRDefault="00387142" w:rsidP="00387142">
            <w:pPr>
              <w:jc w:val="right"/>
              <w:rPr>
                <w:bCs/>
                <w:sz w:val="20"/>
                <w:szCs w:val="20"/>
              </w:rPr>
            </w:pPr>
            <w:r w:rsidRPr="008B6A75">
              <w:rPr>
                <w:bCs/>
                <w:sz w:val="20"/>
                <w:szCs w:val="20"/>
              </w:rPr>
              <w:t>124 914 309,59</w:t>
            </w:r>
          </w:p>
        </w:tc>
        <w:tc>
          <w:tcPr>
            <w:tcW w:w="2360" w:type="dxa"/>
            <w:tcBorders>
              <w:top w:val="nil"/>
              <w:left w:val="single" w:sz="4" w:space="0" w:color="auto"/>
              <w:bottom w:val="single" w:sz="4" w:space="0" w:color="auto"/>
              <w:right w:val="nil"/>
            </w:tcBorders>
            <w:shd w:val="clear" w:color="auto" w:fill="auto"/>
            <w:noWrap/>
            <w:vAlign w:val="center"/>
            <w:hideMark/>
          </w:tcPr>
          <w:p w14:paraId="4057AB8B" w14:textId="77777777" w:rsidR="00387142" w:rsidRPr="008B6A75" w:rsidRDefault="00387142" w:rsidP="00387142">
            <w:pPr>
              <w:jc w:val="right"/>
              <w:rPr>
                <w:bCs/>
                <w:sz w:val="20"/>
                <w:szCs w:val="20"/>
              </w:rPr>
            </w:pPr>
            <w:r w:rsidRPr="008B6A75">
              <w:rPr>
                <w:bCs/>
                <w:sz w:val="20"/>
                <w:szCs w:val="20"/>
              </w:rPr>
              <w:t>50 317 100,00</w:t>
            </w:r>
          </w:p>
        </w:tc>
        <w:tc>
          <w:tcPr>
            <w:tcW w:w="2360" w:type="dxa"/>
            <w:tcBorders>
              <w:top w:val="nil"/>
              <w:left w:val="single" w:sz="4" w:space="0" w:color="auto"/>
              <w:bottom w:val="single" w:sz="4" w:space="0" w:color="auto"/>
              <w:right w:val="single" w:sz="4" w:space="0" w:color="auto"/>
            </w:tcBorders>
            <w:shd w:val="clear" w:color="auto" w:fill="auto"/>
            <w:noWrap/>
            <w:vAlign w:val="center"/>
            <w:hideMark/>
          </w:tcPr>
          <w:p w14:paraId="7E5CD1E7" w14:textId="77777777" w:rsidR="00387142" w:rsidRPr="008B6A75" w:rsidRDefault="00387142" w:rsidP="00387142">
            <w:pPr>
              <w:jc w:val="right"/>
              <w:rPr>
                <w:bCs/>
                <w:sz w:val="20"/>
                <w:szCs w:val="20"/>
              </w:rPr>
            </w:pPr>
            <w:r w:rsidRPr="008B6A75">
              <w:rPr>
                <w:bCs/>
                <w:sz w:val="20"/>
                <w:szCs w:val="20"/>
              </w:rPr>
              <w:t>50 969 900,00</w:t>
            </w:r>
          </w:p>
        </w:tc>
        <w:tc>
          <w:tcPr>
            <w:tcW w:w="222" w:type="dxa"/>
            <w:gridSpan w:val="2"/>
            <w:vAlign w:val="center"/>
            <w:hideMark/>
          </w:tcPr>
          <w:p w14:paraId="49ED8606" w14:textId="77777777" w:rsidR="00387142" w:rsidRPr="008B6A75" w:rsidRDefault="00387142" w:rsidP="00387142">
            <w:pPr>
              <w:rPr>
                <w:sz w:val="20"/>
                <w:szCs w:val="20"/>
              </w:rPr>
            </w:pPr>
          </w:p>
        </w:tc>
      </w:tr>
      <w:tr w:rsidR="00387142" w:rsidRPr="008B6A75" w14:paraId="49C5F97B" w14:textId="77777777" w:rsidTr="00387142">
        <w:trPr>
          <w:trHeight w:val="870"/>
        </w:trPr>
        <w:tc>
          <w:tcPr>
            <w:tcW w:w="3686" w:type="dxa"/>
            <w:tcBorders>
              <w:top w:val="nil"/>
              <w:left w:val="single" w:sz="4" w:space="0" w:color="auto"/>
              <w:bottom w:val="single" w:sz="4" w:space="0" w:color="auto"/>
              <w:right w:val="nil"/>
            </w:tcBorders>
            <w:shd w:val="clear" w:color="auto" w:fill="auto"/>
            <w:vAlign w:val="center"/>
            <w:hideMark/>
          </w:tcPr>
          <w:p w14:paraId="5D7C6A85" w14:textId="77777777" w:rsidR="00387142" w:rsidRPr="008B6A75" w:rsidRDefault="00387142" w:rsidP="00387142">
            <w:pPr>
              <w:rPr>
                <w:bCs/>
                <w:sz w:val="20"/>
                <w:szCs w:val="20"/>
              </w:rPr>
            </w:pPr>
            <w:r w:rsidRPr="008B6A75">
              <w:rPr>
                <w:bCs/>
                <w:sz w:val="20"/>
                <w:szCs w:val="20"/>
              </w:rPr>
              <w:t>Муниципальная программа "Развитие автомобильных дорог местного значения в Куйбышевском районе "</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14:paraId="090F4750" w14:textId="77777777" w:rsidR="00387142" w:rsidRPr="008B6A75" w:rsidRDefault="00387142" w:rsidP="00387142">
            <w:pPr>
              <w:jc w:val="right"/>
              <w:rPr>
                <w:bCs/>
                <w:sz w:val="20"/>
                <w:szCs w:val="20"/>
              </w:rPr>
            </w:pPr>
            <w:r w:rsidRPr="008B6A75">
              <w:rPr>
                <w:bCs/>
                <w:sz w:val="20"/>
                <w:szCs w:val="20"/>
              </w:rPr>
              <w:t>51 995 805,58</w:t>
            </w:r>
          </w:p>
        </w:tc>
        <w:tc>
          <w:tcPr>
            <w:tcW w:w="2360" w:type="dxa"/>
            <w:tcBorders>
              <w:top w:val="nil"/>
              <w:left w:val="single" w:sz="4" w:space="0" w:color="auto"/>
              <w:bottom w:val="single" w:sz="4" w:space="0" w:color="auto"/>
              <w:right w:val="nil"/>
            </w:tcBorders>
            <w:shd w:val="clear" w:color="auto" w:fill="auto"/>
            <w:noWrap/>
            <w:vAlign w:val="center"/>
            <w:hideMark/>
          </w:tcPr>
          <w:p w14:paraId="2A2F771E" w14:textId="77777777" w:rsidR="00387142" w:rsidRPr="008B6A75" w:rsidRDefault="00387142" w:rsidP="00387142">
            <w:pPr>
              <w:jc w:val="right"/>
              <w:rPr>
                <w:bCs/>
                <w:sz w:val="20"/>
                <w:szCs w:val="20"/>
              </w:rPr>
            </w:pPr>
            <w:r w:rsidRPr="008B6A75">
              <w:rPr>
                <w:bCs/>
                <w:sz w:val="20"/>
                <w:szCs w:val="20"/>
              </w:rPr>
              <w:t>53 076 420,00</w:t>
            </w:r>
          </w:p>
        </w:tc>
        <w:tc>
          <w:tcPr>
            <w:tcW w:w="2360" w:type="dxa"/>
            <w:tcBorders>
              <w:top w:val="nil"/>
              <w:left w:val="single" w:sz="4" w:space="0" w:color="auto"/>
              <w:bottom w:val="single" w:sz="4" w:space="0" w:color="auto"/>
              <w:right w:val="single" w:sz="4" w:space="0" w:color="auto"/>
            </w:tcBorders>
            <w:shd w:val="clear" w:color="auto" w:fill="auto"/>
            <w:noWrap/>
            <w:vAlign w:val="center"/>
            <w:hideMark/>
          </w:tcPr>
          <w:p w14:paraId="79F9966F" w14:textId="77777777" w:rsidR="00387142" w:rsidRPr="008B6A75" w:rsidRDefault="00387142" w:rsidP="00387142">
            <w:pPr>
              <w:jc w:val="right"/>
              <w:rPr>
                <w:bCs/>
                <w:sz w:val="20"/>
                <w:szCs w:val="20"/>
              </w:rPr>
            </w:pPr>
            <w:r w:rsidRPr="008B6A75">
              <w:rPr>
                <w:bCs/>
                <w:sz w:val="20"/>
                <w:szCs w:val="20"/>
              </w:rPr>
              <w:t>59 506 590,00</w:t>
            </w:r>
          </w:p>
        </w:tc>
        <w:tc>
          <w:tcPr>
            <w:tcW w:w="222" w:type="dxa"/>
            <w:gridSpan w:val="2"/>
            <w:vAlign w:val="center"/>
            <w:hideMark/>
          </w:tcPr>
          <w:p w14:paraId="770D06AC" w14:textId="77777777" w:rsidR="00387142" w:rsidRPr="008B6A75" w:rsidRDefault="00387142" w:rsidP="00387142">
            <w:pPr>
              <w:rPr>
                <w:sz w:val="20"/>
                <w:szCs w:val="20"/>
              </w:rPr>
            </w:pPr>
          </w:p>
        </w:tc>
      </w:tr>
      <w:tr w:rsidR="00387142" w:rsidRPr="008B6A75" w14:paraId="1243A41E" w14:textId="77777777" w:rsidTr="00387142">
        <w:trPr>
          <w:trHeight w:val="1155"/>
        </w:trPr>
        <w:tc>
          <w:tcPr>
            <w:tcW w:w="3686" w:type="dxa"/>
            <w:tcBorders>
              <w:top w:val="nil"/>
              <w:left w:val="single" w:sz="4" w:space="0" w:color="auto"/>
              <w:bottom w:val="single" w:sz="4" w:space="0" w:color="auto"/>
              <w:right w:val="nil"/>
            </w:tcBorders>
            <w:shd w:val="clear" w:color="auto" w:fill="auto"/>
            <w:vAlign w:val="center"/>
            <w:hideMark/>
          </w:tcPr>
          <w:p w14:paraId="4B00CD68" w14:textId="77777777" w:rsidR="00387142" w:rsidRPr="008B6A75" w:rsidRDefault="00387142" w:rsidP="00387142">
            <w:pPr>
              <w:rPr>
                <w:bCs/>
                <w:sz w:val="20"/>
                <w:szCs w:val="20"/>
              </w:rPr>
            </w:pPr>
            <w:r w:rsidRPr="008B6A75">
              <w:rPr>
                <w:bCs/>
                <w:sz w:val="20"/>
                <w:szCs w:val="20"/>
              </w:rPr>
              <w:t>Муниципальная программа "Развитие физической культуры и спорта в Куйбышевском районе Новосибирской области"</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14:paraId="78D4F3EE" w14:textId="77777777" w:rsidR="00387142" w:rsidRPr="008B6A75" w:rsidRDefault="00387142" w:rsidP="00387142">
            <w:pPr>
              <w:jc w:val="right"/>
              <w:rPr>
                <w:bCs/>
                <w:sz w:val="20"/>
                <w:szCs w:val="20"/>
              </w:rPr>
            </w:pPr>
            <w:r w:rsidRPr="008B6A75">
              <w:rPr>
                <w:bCs/>
                <w:sz w:val="20"/>
                <w:szCs w:val="20"/>
              </w:rPr>
              <w:t>100 946 075,20</w:t>
            </w:r>
          </w:p>
        </w:tc>
        <w:tc>
          <w:tcPr>
            <w:tcW w:w="2360" w:type="dxa"/>
            <w:tcBorders>
              <w:top w:val="nil"/>
              <w:left w:val="single" w:sz="4" w:space="0" w:color="auto"/>
              <w:bottom w:val="single" w:sz="4" w:space="0" w:color="auto"/>
              <w:right w:val="nil"/>
            </w:tcBorders>
            <w:shd w:val="clear" w:color="auto" w:fill="auto"/>
            <w:noWrap/>
            <w:vAlign w:val="center"/>
            <w:hideMark/>
          </w:tcPr>
          <w:p w14:paraId="1C9EF9E8" w14:textId="77777777" w:rsidR="00387142" w:rsidRPr="008B6A75" w:rsidRDefault="00387142" w:rsidP="00387142">
            <w:pPr>
              <w:jc w:val="right"/>
              <w:rPr>
                <w:bCs/>
                <w:sz w:val="20"/>
                <w:szCs w:val="20"/>
              </w:rPr>
            </w:pPr>
            <w:r w:rsidRPr="008B6A75">
              <w:rPr>
                <w:bCs/>
                <w:sz w:val="20"/>
                <w:szCs w:val="20"/>
              </w:rPr>
              <w:t>33 728 500,00</w:t>
            </w:r>
          </w:p>
        </w:tc>
        <w:tc>
          <w:tcPr>
            <w:tcW w:w="2360" w:type="dxa"/>
            <w:tcBorders>
              <w:top w:val="nil"/>
              <w:left w:val="single" w:sz="4" w:space="0" w:color="auto"/>
              <w:bottom w:val="single" w:sz="4" w:space="0" w:color="auto"/>
              <w:right w:val="single" w:sz="4" w:space="0" w:color="auto"/>
            </w:tcBorders>
            <w:shd w:val="clear" w:color="auto" w:fill="auto"/>
            <w:noWrap/>
            <w:vAlign w:val="center"/>
            <w:hideMark/>
          </w:tcPr>
          <w:p w14:paraId="19E60A48" w14:textId="77777777" w:rsidR="00387142" w:rsidRPr="008B6A75" w:rsidRDefault="00387142" w:rsidP="00387142">
            <w:pPr>
              <w:jc w:val="right"/>
              <w:rPr>
                <w:bCs/>
                <w:sz w:val="20"/>
                <w:szCs w:val="20"/>
              </w:rPr>
            </w:pPr>
            <w:r w:rsidRPr="008B6A75">
              <w:rPr>
                <w:bCs/>
                <w:sz w:val="20"/>
                <w:szCs w:val="20"/>
              </w:rPr>
              <w:t>32 000 000,00</w:t>
            </w:r>
          </w:p>
        </w:tc>
        <w:tc>
          <w:tcPr>
            <w:tcW w:w="222" w:type="dxa"/>
            <w:gridSpan w:val="2"/>
            <w:vAlign w:val="center"/>
            <w:hideMark/>
          </w:tcPr>
          <w:p w14:paraId="29252D32" w14:textId="77777777" w:rsidR="00387142" w:rsidRPr="008B6A75" w:rsidRDefault="00387142" w:rsidP="00387142">
            <w:pPr>
              <w:rPr>
                <w:sz w:val="20"/>
                <w:szCs w:val="20"/>
              </w:rPr>
            </w:pPr>
          </w:p>
        </w:tc>
      </w:tr>
      <w:tr w:rsidR="00387142" w:rsidRPr="008B6A75" w14:paraId="03D406C8" w14:textId="77777777" w:rsidTr="00387142">
        <w:trPr>
          <w:trHeight w:val="870"/>
        </w:trPr>
        <w:tc>
          <w:tcPr>
            <w:tcW w:w="3686" w:type="dxa"/>
            <w:tcBorders>
              <w:top w:val="nil"/>
              <w:left w:val="single" w:sz="4" w:space="0" w:color="auto"/>
              <w:bottom w:val="single" w:sz="4" w:space="0" w:color="auto"/>
              <w:right w:val="nil"/>
            </w:tcBorders>
            <w:shd w:val="clear" w:color="auto" w:fill="auto"/>
            <w:vAlign w:val="center"/>
            <w:hideMark/>
          </w:tcPr>
          <w:p w14:paraId="47FBDB47" w14:textId="77777777" w:rsidR="00387142" w:rsidRPr="008B6A75" w:rsidRDefault="00387142" w:rsidP="00387142">
            <w:pPr>
              <w:rPr>
                <w:bCs/>
                <w:sz w:val="20"/>
                <w:szCs w:val="20"/>
              </w:rPr>
            </w:pPr>
            <w:r w:rsidRPr="008B6A75">
              <w:rPr>
                <w:bCs/>
                <w:sz w:val="20"/>
                <w:szCs w:val="20"/>
              </w:rPr>
              <w:t>Муниципальная программа "Охрана окружающей среды Куйбышевского района Новосибирской области"</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14:paraId="24181E78" w14:textId="77777777" w:rsidR="00387142" w:rsidRPr="008B6A75" w:rsidRDefault="00387142" w:rsidP="00387142">
            <w:pPr>
              <w:jc w:val="right"/>
              <w:rPr>
                <w:bCs/>
                <w:sz w:val="20"/>
                <w:szCs w:val="20"/>
              </w:rPr>
            </w:pPr>
            <w:r w:rsidRPr="008B6A75">
              <w:rPr>
                <w:bCs/>
                <w:sz w:val="20"/>
                <w:szCs w:val="20"/>
              </w:rPr>
              <w:t>2 200 000,00</w:t>
            </w:r>
          </w:p>
        </w:tc>
        <w:tc>
          <w:tcPr>
            <w:tcW w:w="2360" w:type="dxa"/>
            <w:tcBorders>
              <w:top w:val="nil"/>
              <w:left w:val="single" w:sz="4" w:space="0" w:color="auto"/>
              <w:bottom w:val="single" w:sz="4" w:space="0" w:color="auto"/>
              <w:right w:val="nil"/>
            </w:tcBorders>
            <w:shd w:val="clear" w:color="auto" w:fill="auto"/>
            <w:noWrap/>
            <w:vAlign w:val="center"/>
            <w:hideMark/>
          </w:tcPr>
          <w:p w14:paraId="4C5595BE" w14:textId="77777777" w:rsidR="00387142" w:rsidRPr="008B6A75" w:rsidRDefault="00387142" w:rsidP="00387142">
            <w:pPr>
              <w:jc w:val="right"/>
              <w:rPr>
                <w:bCs/>
                <w:sz w:val="20"/>
                <w:szCs w:val="20"/>
              </w:rPr>
            </w:pPr>
            <w:r w:rsidRPr="008B6A75">
              <w:rPr>
                <w:bCs/>
                <w:sz w:val="20"/>
                <w:szCs w:val="20"/>
              </w:rPr>
              <w:t>0,00</w:t>
            </w:r>
          </w:p>
        </w:tc>
        <w:tc>
          <w:tcPr>
            <w:tcW w:w="2360" w:type="dxa"/>
            <w:tcBorders>
              <w:top w:val="nil"/>
              <w:left w:val="single" w:sz="4" w:space="0" w:color="auto"/>
              <w:bottom w:val="single" w:sz="4" w:space="0" w:color="auto"/>
              <w:right w:val="single" w:sz="4" w:space="0" w:color="auto"/>
            </w:tcBorders>
            <w:shd w:val="clear" w:color="auto" w:fill="auto"/>
            <w:noWrap/>
            <w:vAlign w:val="center"/>
            <w:hideMark/>
          </w:tcPr>
          <w:p w14:paraId="0A5E840D" w14:textId="77777777" w:rsidR="00387142" w:rsidRPr="008B6A75" w:rsidRDefault="00387142" w:rsidP="00387142">
            <w:pPr>
              <w:jc w:val="right"/>
              <w:rPr>
                <w:bCs/>
                <w:sz w:val="20"/>
                <w:szCs w:val="20"/>
              </w:rPr>
            </w:pPr>
            <w:r w:rsidRPr="008B6A75">
              <w:rPr>
                <w:bCs/>
                <w:sz w:val="20"/>
                <w:szCs w:val="20"/>
              </w:rPr>
              <w:t>0,00</w:t>
            </w:r>
          </w:p>
        </w:tc>
        <w:tc>
          <w:tcPr>
            <w:tcW w:w="222" w:type="dxa"/>
            <w:gridSpan w:val="2"/>
            <w:vAlign w:val="center"/>
            <w:hideMark/>
          </w:tcPr>
          <w:p w14:paraId="66FC9B05" w14:textId="77777777" w:rsidR="00387142" w:rsidRPr="008B6A75" w:rsidRDefault="00387142" w:rsidP="00387142">
            <w:pPr>
              <w:rPr>
                <w:sz w:val="20"/>
                <w:szCs w:val="20"/>
              </w:rPr>
            </w:pPr>
          </w:p>
        </w:tc>
      </w:tr>
      <w:tr w:rsidR="00387142" w:rsidRPr="008B6A75" w14:paraId="41B74EF2" w14:textId="77777777" w:rsidTr="00387142">
        <w:trPr>
          <w:trHeight w:val="870"/>
        </w:trPr>
        <w:tc>
          <w:tcPr>
            <w:tcW w:w="3686" w:type="dxa"/>
            <w:tcBorders>
              <w:top w:val="nil"/>
              <w:left w:val="single" w:sz="4" w:space="0" w:color="auto"/>
              <w:bottom w:val="single" w:sz="4" w:space="0" w:color="auto"/>
              <w:right w:val="nil"/>
            </w:tcBorders>
            <w:shd w:val="clear" w:color="auto" w:fill="auto"/>
            <w:vAlign w:val="center"/>
            <w:hideMark/>
          </w:tcPr>
          <w:p w14:paraId="7814D2B6" w14:textId="77777777" w:rsidR="00387142" w:rsidRPr="008B6A75" w:rsidRDefault="00387142" w:rsidP="00387142">
            <w:pPr>
              <w:rPr>
                <w:bCs/>
                <w:sz w:val="20"/>
                <w:szCs w:val="20"/>
              </w:rPr>
            </w:pPr>
            <w:r w:rsidRPr="008B6A75">
              <w:rPr>
                <w:bCs/>
                <w:sz w:val="20"/>
                <w:szCs w:val="20"/>
              </w:rPr>
              <w:lastRenderedPageBreak/>
              <w:t>Муниципальная программа "Комплексные меры профилактики наркомании в Куйбышевском районе"</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14:paraId="51E488D3" w14:textId="77777777" w:rsidR="00387142" w:rsidRPr="008B6A75" w:rsidRDefault="00387142" w:rsidP="00387142">
            <w:pPr>
              <w:jc w:val="right"/>
              <w:rPr>
                <w:bCs/>
                <w:sz w:val="20"/>
                <w:szCs w:val="20"/>
              </w:rPr>
            </w:pPr>
            <w:r w:rsidRPr="008B6A75">
              <w:rPr>
                <w:bCs/>
                <w:sz w:val="20"/>
                <w:szCs w:val="20"/>
              </w:rPr>
              <w:t>372 065,00</w:t>
            </w:r>
          </w:p>
        </w:tc>
        <w:tc>
          <w:tcPr>
            <w:tcW w:w="2360" w:type="dxa"/>
            <w:tcBorders>
              <w:top w:val="nil"/>
              <w:left w:val="single" w:sz="4" w:space="0" w:color="auto"/>
              <w:bottom w:val="single" w:sz="4" w:space="0" w:color="auto"/>
              <w:right w:val="nil"/>
            </w:tcBorders>
            <w:shd w:val="clear" w:color="auto" w:fill="auto"/>
            <w:noWrap/>
            <w:vAlign w:val="center"/>
            <w:hideMark/>
          </w:tcPr>
          <w:p w14:paraId="4761F878" w14:textId="77777777" w:rsidR="00387142" w:rsidRPr="008B6A75" w:rsidRDefault="00387142" w:rsidP="00387142">
            <w:pPr>
              <w:jc w:val="right"/>
              <w:rPr>
                <w:bCs/>
                <w:sz w:val="20"/>
                <w:szCs w:val="20"/>
              </w:rPr>
            </w:pPr>
            <w:r w:rsidRPr="008B6A75">
              <w:rPr>
                <w:bCs/>
                <w:sz w:val="20"/>
                <w:szCs w:val="20"/>
              </w:rPr>
              <w:t>0,00</w:t>
            </w:r>
          </w:p>
        </w:tc>
        <w:tc>
          <w:tcPr>
            <w:tcW w:w="2360" w:type="dxa"/>
            <w:tcBorders>
              <w:top w:val="nil"/>
              <w:left w:val="single" w:sz="4" w:space="0" w:color="auto"/>
              <w:bottom w:val="single" w:sz="4" w:space="0" w:color="auto"/>
              <w:right w:val="single" w:sz="4" w:space="0" w:color="auto"/>
            </w:tcBorders>
            <w:shd w:val="clear" w:color="auto" w:fill="auto"/>
            <w:noWrap/>
            <w:vAlign w:val="center"/>
            <w:hideMark/>
          </w:tcPr>
          <w:p w14:paraId="1485EA10" w14:textId="77777777" w:rsidR="00387142" w:rsidRPr="008B6A75" w:rsidRDefault="00387142" w:rsidP="00387142">
            <w:pPr>
              <w:jc w:val="right"/>
              <w:rPr>
                <w:bCs/>
                <w:sz w:val="20"/>
                <w:szCs w:val="20"/>
              </w:rPr>
            </w:pPr>
            <w:r w:rsidRPr="008B6A75">
              <w:rPr>
                <w:bCs/>
                <w:sz w:val="20"/>
                <w:szCs w:val="20"/>
              </w:rPr>
              <w:t>0,00</w:t>
            </w:r>
          </w:p>
        </w:tc>
        <w:tc>
          <w:tcPr>
            <w:tcW w:w="222" w:type="dxa"/>
            <w:gridSpan w:val="2"/>
            <w:vAlign w:val="center"/>
            <w:hideMark/>
          </w:tcPr>
          <w:p w14:paraId="707132D0" w14:textId="77777777" w:rsidR="00387142" w:rsidRPr="008B6A75" w:rsidRDefault="00387142" w:rsidP="00387142">
            <w:pPr>
              <w:rPr>
                <w:sz w:val="20"/>
                <w:szCs w:val="20"/>
              </w:rPr>
            </w:pPr>
          </w:p>
        </w:tc>
      </w:tr>
      <w:tr w:rsidR="00387142" w:rsidRPr="008B6A75" w14:paraId="0ADD5A56" w14:textId="77777777" w:rsidTr="00387142">
        <w:trPr>
          <w:trHeight w:val="1155"/>
        </w:trPr>
        <w:tc>
          <w:tcPr>
            <w:tcW w:w="3686" w:type="dxa"/>
            <w:tcBorders>
              <w:top w:val="nil"/>
              <w:left w:val="single" w:sz="4" w:space="0" w:color="auto"/>
              <w:bottom w:val="single" w:sz="4" w:space="0" w:color="auto"/>
              <w:right w:val="nil"/>
            </w:tcBorders>
            <w:shd w:val="clear" w:color="auto" w:fill="auto"/>
            <w:vAlign w:val="center"/>
            <w:hideMark/>
          </w:tcPr>
          <w:p w14:paraId="305C7DA5" w14:textId="77777777" w:rsidR="00387142" w:rsidRPr="008B6A75" w:rsidRDefault="00387142" w:rsidP="00387142">
            <w:pPr>
              <w:rPr>
                <w:bCs/>
                <w:sz w:val="20"/>
                <w:szCs w:val="20"/>
              </w:rPr>
            </w:pPr>
            <w:r w:rsidRPr="008B6A75">
              <w:rPr>
                <w:bCs/>
                <w:sz w:val="20"/>
                <w:szCs w:val="20"/>
              </w:rPr>
              <w:t>Муниципальная программа "Развитие и поддержка территориального общественного самоуправления в Куйбышевском районе Новосибирской области "</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14:paraId="674CF3B6" w14:textId="77777777" w:rsidR="00387142" w:rsidRPr="008B6A75" w:rsidRDefault="00387142" w:rsidP="00387142">
            <w:pPr>
              <w:jc w:val="right"/>
              <w:rPr>
                <w:bCs/>
                <w:sz w:val="20"/>
                <w:szCs w:val="20"/>
              </w:rPr>
            </w:pPr>
            <w:r w:rsidRPr="008B6A75">
              <w:rPr>
                <w:bCs/>
                <w:sz w:val="20"/>
                <w:szCs w:val="20"/>
              </w:rPr>
              <w:t>945 900,00</w:t>
            </w:r>
          </w:p>
        </w:tc>
        <w:tc>
          <w:tcPr>
            <w:tcW w:w="2360" w:type="dxa"/>
            <w:tcBorders>
              <w:top w:val="nil"/>
              <w:left w:val="single" w:sz="4" w:space="0" w:color="auto"/>
              <w:bottom w:val="single" w:sz="4" w:space="0" w:color="auto"/>
              <w:right w:val="nil"/>
            </w:tcBorders>
            <w:shd w:val="clear" w:color="auto" w:fill="auto"/>
            <w:noWrap/>
            <w:vAlign w:val="center"/>
            <w:hideMark/>
          </w:tcPr>
          <w:p w14:paraId="0E2E85FB" w14:textId="77777777" w:rsidR="00387142" w:rsidRPr="008B6A75" w:rsidRDefault="00387142" w:rsidP="00387142">
            <w:pPr>
              <w:jc w:val="right"/>
              <w:rPr>
                <w:bCs/>
                <w:sz w:val="20"/>
                <w:szCs w:val="20"/>
              </w:rPr>
            </w:pPr>
            <w:r w:rsidRPr="008B6A75">
              <w:rPr>
                <w:bCs/>
                <w:sz w:val="20"/>
                <w:szCs w:val="20"/>
              </w:rPr>
              <w:t>927 000,00</w:t>
            </w:r>
          </w:p>
        </w:tc>
        <w:tc>
          <w:tcPr>
            <w:tcW w:w="2360" w:type="dxa"/>
            <w:tcBorders>
              <w:top w:val="nil"/>
              <w:left w:val="single" w:sz="4" w:space="0" w:color="auto"/>
              <w:bottom w:val="single" w:sz="4" w:space="0" w:color="auto"/>
              <w:right w:val="single" w:sz="4" w:space="0" w:color="auto"/>
            </w:tcBorders>
            <w:shd w:val="clear" w:color="auto" w:fill="auto"/>
            <w:noWrap/>
            <w:vAlign w:val="center"/>
            <w:hideMark/>
          </w:tcPr>
          <w:p w14:paraId="29D6A123" w14:textId="77777777" w:rsidR="00387142" w:rsidRPr="008B6A75" w:rsidRDefault="00387142" w:rsidP="00387142">
            <w:pPr>
              <w:jc w:val="right"/>
              <w:rPr>
                <w:bCs/>
                <w:sz w:val="20"/>
                <w:szCs w:val="20"/>
              </w:rPr>
            </w:pPr>
            <w:r w:rsidRPr="008B6A75">
              <w:rPr>
                <w:bCs/>
                <w:sz w:val="20"/>
                <w:szCs w:val="20"/>
              </w:rPr>
              <w:t>927 000,00</w:t>
            </w:r>
          </w:p>
        </w:tc>
        <w:tc>
          <w:tcPr>
            <w:tcW w:w="222" w:type="dxa"/>
            <w:gridSpan w:val="2"/>
            <w:vAlign w:val="center"/>
            <w:hideMark/>
          </w:tcPr>
          <w:p w14:paraId="29F082F9" w14:textId="77777777" w:rsidR="00387142" w:rsidRPr="008B6A75" w:rsidRDefault="00387142" w:rsidP="00387142">
            <w:pPr>
              <w:rPr>
                <w:sz w:val="20"/>
                <w:szCs w:val="20"/>
              </w:rPr>
            </w:pPr>
          </w:p>
        </w:tc>
      </w:tr>
      <w:tr w:rsidR="00387142" w:rsidRPr="008B6A75" w14:paraId="56A3BF33" w14:textId="77777777" w:rsidTr="00387142">
        <w:trPr>
          <w:trHeight w:val="870"/>
        </w:trPr>
        <w:tc>
          <w:tcPr>
            <w:tcW w:w="3686" w:type="dxa"/>
            <w:tcBorders>
              <w:top w:val="nil"/>
              <w:left w:val="single" w:sz="4" w:space="0" w:color="auto"/>
              <w:bottom w:val="single" w:sz="4" w:space="0" w:color="auto"/>
              <w:right w:val="nil"/>
            </w:tcBorders>
            <w:shd w:val="clear" w:color="auto" w:fill="auto"/>
            <w:vAlign w:val="center"/>
            <w:hideMark/>
          </w:tcPr>
          <w:p w14:paraId="68DF3A7B" w14:textId="77777777" w:rsidR="00387142" w:rsidRPr="008B6A75" w:rsidRDefault="00387142" w:rsidP="00387142">
            <w:pPr>
              <w:rPr>
                <w:bCs/>
                <w:sz w:val="20"/>
                <w:szCs w:val="20"/>
              </w:rPr>
            </w:pPr>
            <w:r w:rsidRPr="008B6A75">
              <w:rPr>
                <w:bCs/>
                <w:sz w:val="20"/>
                <w:szCs w:val="20"/>
              </w:rPr>
              <w:t>Муниципальная программа "Профилактика правонарушений, терроризма и экстремизма на территории Куйбышевского района"</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14:paraId="56D36516" w14:textId="77777777" w:rsidR="00387142" w:rsidRPr="008B6A75" w:rsidRDefault="00387142" w:rsidP="00387142">
            <w:pPr>
              <w:jc w:val="right"/>
              <w:rPr>
                <w:bCs/>
                <w:sz w:val="20"/>
                <w:szCs w:val="20"/>
              </w:rPr>
            </w:pPr>
            <w:r w:rsidRPr="008B6A75">
              <w:rPr>
                <w:bCs/>
                <w:sz w:val="20"/>
                <w:szCs w:val="20"/>
              </w:rPr>
              <w:t>1 025 990,00</w:t>
            </w:r>
          </w:p>
        </w:tc>
        <w:tc>
          <w:tcPr>
            <w:tcW w:w="2360" w:type="dxa"/>
            <w:tcBorders>
              <w:top w:val="nil"/>
              <w:left w:val="single" w:sz="4" w:space="0" w:color="auto"/>
              <w:bottom w:val="single" w:sz="4" w:space="0" w:color="auto"/>
              <w:right w:val="nil"/>
            </w:tcBorders>
            <w:shd w:val="clear" w:color="auto" w:fill="auto"/>
            <w:noWrap/>
            <w:vAlign w:val="center"/>
            <w:hideMark/>
          </w:tcPr>
          <w:p w14:paraId="06D9E61F" w14:textId="77777777" w:rsidR="00387142" w:rsidRPr="008B6A75" w:rsidRDefault="00387142" w:rsidP="00387142">
            <w:pPr>
              <w:jc w:val="right"/>
              <w:rPr>
                <w:bCs/>
                <w:sz w:val="20"/>
                <w:szCs w:val="20"/>
              </w:rPr>
            </w:pPr>
            <w:r w:rsidRPr="008B6A75">
              <w:rPr>
                <w:bCs/>
                <w:sz w:val="20"/>
                <w:szCs w:val="20"/>
              </w:rPr>
              <w:t>0,00</w:t>
            </w:r>
          </w:p>
        </w:tc>
        <w:tc>
          <w:tcPr>
            <w:tcW w:w="2360" w:type="dxa"/>
            <w:tcBorders>
              <w:top w:val="nil"/>
              <w:left w:val="single" w:sz="4" w:space="0" w:color="auto"/>
              <w:bottom w:val="single" w:sz="4" w:space="0" w:color="auto"/>
              <w:right w:val="single" w:sz="4" w:space="0" w:color="auto"/>
            </w:tcBorders>
            <w:shd w:val="clear" w:color="auto" w:fill="auto"/>
            <w:noWrap/>
            <w:vAlign w:val="center"/>
            <w:hideMark/>
          </w:tcPr>
          <w:p w14:paraId="705DE0AA" w14:textId="77777777" w:rsidR="00387142" w:rsidRPr="008B6A75" w:rsidRDefault="00387142" w:rsidP="00387142">
            <w:pPr>
              <w:jc w:val="right"/>
              <w:rPr>
                <w:bCs/>
                <w:sz w:val="20"/>
                <w:szCs w:val="20"/>
              </w:rPr>
            </w:pPr>
            <w:r w:rsidRPr="008B6A75">
              <w:rPr>
                <w:bCs/>
                <w:sz w:val="20"/>
                <w:szCs w:val="20"/>
              </w:rPr>
              <w:t>0,00</w:t>
            </w:r>
          </w:p>
        </w:tc>
        <w:tc>
          <w:tcPr>
            <w:tcW w:w="222" w:type="dxa"/>
            <w:gridSpan w:val="2"/>
            <w:vAlign w:val="center"/>
            <w:hideMark/>
          </w:tcPr>
          <w:p w14:paraId="5C80DCCE" w14:textId="77777777" w:rsidR="00387142" w:rsidRPr="008B6A75" w:rsidRDefault="00387142" w:rsidP="00387142">
            <w:pPr>
              <w:rPr>
                <w:sz w:val="20"/>
                <w:szCs w:val="20"/>
              </w:rPr>
            </w:pPr>
          </w:p>
        </w:tc>
      </w:tr>
      <w:tr w:rsidR="00387142" w:rsidRPr="008B6A75" w14:paraId="342D63D2" w14:textId="77777777" w:rsidTr="00387142">
        <w:trPr>
          <w:trHeight w:val="870"/>
        </w:trPr>
        <w:tc>
          <w:tcPr>
            <w:tcW w:w="3686" w:type="dxa"/>
            <w:tcBorders>
              <w:top w:val="nil"/>
              <w:left w:val="single" w:sz="4" w:space="0" w:color="auto"/>
              <w:bottom w:val="single" w:sz="4" w:space="0" w:color="auto"/>
              <w:right w:val="nil"/>
            </w:tcBorders>
            <w:shd w:val="clear" w:color="auto" w:fill="auto"/>
            <w:vAlign w:val="center"/>
            <w:hideMark/>
          </w:tcPr>
          <w:p w14:paraId="62EAE4BD" w14:textId="77777777" w:rsidR="00387142" w:rsidRPr="008B6A75" w:rsidRDefault="00387142" w:rsidP="00387142">
            <w:pPr>
              <w:rPr>
                <w:bCs/>
                <w:sz w:val="20"/>
                <w:szCs w:val="20"/>
              </w:rPr>
            </w:pPr>
            <w:r w:rsidRPr="008B6A75">
              <w:rPr>
                <w:bCs/>
                <w:sz w:val="20"/>
                <w:szCs w:val="20"/>
              </w:rPr>
              <w:t>Муниципальная программа "Жилищно-коммунальное хозяйство Куйбышевского района"</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14:paraId="6855FF00" w14:textId="77777777" w:rsidR="00387142" w:rsidRPr="008B6A75" w:rsidRDefault="00387142" w:rsidP="00387142">
            <w:pPr>
              <w:jc w:val="right"/>
              <w:rPr>
                <w:bCs/>
                <w:sz w:val="20"/>
                <w:szCs w:val="20"/>
              </w:rPr>
            </w:pPr>
            <w:r w:rsidRPr="008B6A75">
              <w:rPr>
                <w:bCs/>
                <w:sz w:val="20"/>
                <w:szCs w:val="20"/>
              </w:rPr>
              <w:t>154 634 732,76</w:t>
            </w:r>
          </w:p>
        </w:tc>
        <w:tc>
          <w:tcPr>
            <w:tcW w:w="2360" w:type="dxa"/>
            <w:tcBorders>
              <w:top w:val="nil"/>
              <w:left w:val="single" w:sz="4" w:space="0" w:color="auto"/>
              <w:bottom w:val="single" w:sz="4" w:space="0" w:color="auto"/>
              <w:right w:val="nil"/>
            </w:tcBorders>
            <w:shd w:val="clear" w:color="auto" w:fill="auto"/>
            <w:noWrap/>
            <w:vAlign w:val="center"/>
            <w:hideMark/>
          </w:tcPr>
          <w:p w14:paraId="462482C2" w14:textId="77777777" w:rsidR="00387142" w:rsidRPr="008B6A75" w:rsidRDefault="00387142" w:rsidP="00387142">
            <w:pPr>
              <w:jc w:val="right"/>
              <w:rPr>
                <w:bCs/>
                <w:sz w:val="20"/>
                <w:szCs w:val="20"/>
              </w:rPr>
            </w:pPr>
            <w:r w:rsidRPr="008B6A75">
              <w:rPr>
                <w:bCs/>
                <w:sz w:val="20"/>
                <w:szCs w:val="20"/>
              </w:rPr>
              <w:t>117 509 074,29</w:t>
            </w:r>
          </w:p>
        </w:tc>
        <w:tc>
          <w:tcPr>
            <w:tcW w:w="2360" w:type="dxa"/>
            <w:tcBorders>
              <w:top w:val="nil"/>
              <w:left w:val="single" w:sz="4" w:space="0" w:color="auto"/>
              <w:bottom w:val="single" w:sz="4" w:space="0" w:color="auto"/>
              <w:right w:val="single" w:sz="4" w:space="0" w:color="auto"/>
            </w:tcBorders>
            <w:shd w:val="clear" w:color="auto" w:fill="auto"/>
            <w:noWrap/>
            <w:vAlign w:val="center"/>
            <w:hideMark/>
          </w:tcPr>
          <w:p w14:paraId="01B92B91" w14:textId="77777777" w:rsidR="00387142" w:rsidRPr="008B6A75" w:rsidRDefault="00387142" w:rsidP="00387142">
            <w:pPr>
              <w:jc w:val="right"/>
              <w:rPr>
                <w:bCs/>
                <w:sz w:val="20"/>
                <w:szCs w:val="20"/>
              </w:rPr>
            </w:pPr>
            <w:r w:rsidRPr="008B6A75">
              <w:rPr>
                <w:bCs/>
                <w:sz w:val="20"/>
                <w:szCs w:val="20"/>
              </w:rPr>
              <w:t>54 966 060,00</w:t>
            </w:r>
          </w:p>
        </w:tc>
        <w:tc>
          <w:tcPr>
            <w:tcW w:w="222" w:type="dxa"/>
            <w:gridSpan w:val="2"/>
            <w:vAlign w:val="center"/>
            <w:hideMark/>
          </w:tcPr>
          <w:p w14:paraId="37C8FA0C" w14:textId="77777777" w:rsidR="00387142" w:rsidRPr="008B6A75" w:rsidRDefault="00387142" w:rsidP="00387142">
            <w:pPr>
              <w:rPr>
                <w:sz w:val="20"/>
                <w:szCs w:val="20"/>
              </w:rPr>
            </w:pPr>
          </w:p>
        </w:tc>
      </w:tr>
      <w:tr w:rsidR="00387142" w:rsidRPr="008B6A75" w14:paraId="5902477D" w14:textId="77777777" w:rsidTr="00387142">
        <w:trPr>
          <w:trHeight w:val="585"/>
        </w:trPr>
        <w:tc>
          <w:tcPr>
            <w:tcW w:w="3686" w:type="dxa"/>
            <w:tcBorders>
              <w:top w:val="nil"/>
              <w:left w:val="single" w:sz="4" w:space="0" w:color="auto"/>
              <w:bottom w:val="single" w:sz="4" w:space="0" w:color="auto"/>
              <w:right w:val="nil"/>
            </w:tcBorders>
            <w:shd w:val="clear" w:color="auto" w:fill="auto"/>
            <w:vAlign w:val="center"/>
            <w:hideMark/>
          </w:tcPr>
          <w:p w14:paraId="4C5B4861" w14:textId="77777777" w:rsidR="00387142" w:rsidRPr="008B6A75" w:rsidRDefault="00387142" w:rsidP="00387142">
            <w:pPr>
              <w:rPr>
                <w:bCs/>
                <w:sz w:val="20"/>
                <w:szCs w:val="20"/>
              </w:rPr>
            </w:pPr>
            <w:r w:rsidRPr="008B6A75">
              <w:rPr>
                <w:bCs/>
                <w:sz w:val="20"/>
                <w:szCs w:val="20"/>
              </w:rPr>
              <w:t>Подпрограмма "Чистая вода Куйбышевского района"</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14:paraId="64F489F4" w14:textId="77777777" w:rsidR="00387142" w:rsidRPr="008B6A75" w:rsidRDefault="00387142" w:rsidP="00387142">
            <w:pPr>
              <w:jc w:val="right"/>
              <w:rPr>
                <w:bCs/>
                <w:sz w:val="20"/>
                <w:szCs w:val="20"/>
              </w:rPr>
            </w:pPr>
            <w:r w:rsidRPr="008B6A75">
              <w:rPr>
                <w:bCs/>
                <w:sz w:val="20"/>
                <w:szCs w:val="20"/>
              </w:rPr>
              <w:t>81 165 314,29</w:t>
            </w:r>
          </w:p>
        </w:tc>
        <w:tc>
          <w:tcPr>
            <w:tcW w:w="2360" w:type="dxa"/>
            <w:tcBorders>
              <w:top w:val="nil"/>
              <w:left w:val="single" w:sz="4" w:space="0" w:color="auto"/>
              <w:bottom w:val="single" w:sz="4" w:space="0" w:color="auto"/>
              <w:right w:val="nil"/>
            </w:tcBorders>
            <w:shd w:val="clear" w:color="auto" w:fill="auto"/>
            <w:noWrap/>
            <w:vAlign w:val="center"/>
            <w:hideMark/>
          </w:tcPr>
          <w:p w14:paraId="145D31E1" w14:textId="77777777" w:rsidR="00387142" w:rsidRPr="008B6A75" w:rsidRDefault="00387142" w:rsidP="00387142">
            <w:pPr>
              <w:jc w:val="right"/>
              <w:rPr>
                <w:bCs/>
                <w:sz w:val="20"/>
                <w:szCs w:val="20"/>
              </w:rPr>
            </w:pPr>
            <w:r w:rsidRPr="008B6A75">
              <w:rPr>
                <w:bCs/>
                <w:sz w:val="20"/>
                <w:szCs w:val="20"/>
              </w:rPr>
              <w:t>64 976 714,29</w:t>
            </w:r>
          </w:p>
        </w:tc>
        <w:tc>
          <w:tcPr>
            <w:tcW w:w="2360" w:type="dxa"/>
            <w:tcBorders>
              <w:top w:val="nil"/>
              <w:left w:val="single" w:sz="4" w:space="0" w:color="auto"/>
              <w:bottom w:val="single" w:sz="4" w:space="0" w:color="auto"/>
              <w:right w:val="single" w:sz="4" w:space="0" w:color="auto"/>
            </w:tcBorders>
            <w:shd w:val="clear" w:color="auto" w:fill="auto"/>
            <w:noWrap/>
            <w:vAlign w:val="center"/>
            <w:hideMark/>
          </w:tcPr>
          <w:p w14:paraId="564F4F37" w14:textId="77777777" w:rsidR="00387142" w:rsidRPr="008B6A75" w:rsidRDefault="00387142" w:rsidP="00387142">
            <w:pPr>
              <w:jc w:val="right"/>
              <w:rPr>
                <w:bCs/>
                <w:sz w:val="20"/>
                <w:szCs w:val="20"/>
              </w:rPr>
            </w:pPr>
            <w:r w:rsidRPr="008B6A75">
              <w:rPr>
                <w:bCs/>
                <w:sz w:val="20"/>
                <w:szCs w:val="20"/>
              </w:rPr>
              <w:t>0,00</w:t>
            </w:r>
          </w:p>
        </w:tc>
        <w:tc>
          <w:tcPr>
            <w:tcW w:w="222" w:type="dxa"/>
            <w:gridSpan w:val="2"/>
            <w:vAlign w:val="center"/>
            <w:hideMark/>
          </w:tcPr>
          <w:p w14:paraId="3B9EDFF3" w14:textId="77777777" w:rsidR="00387142" w:rsidRPr="008B6A75" w:rsidRDefault="00387142" w:rsidP="00387142">
            <w:pPr>
              <w:rPr>
                <w:sz w:val="20"/>
                <w:szCs w:val="20"/>
              </w:rPr>
            </w:pPr>
          </w:p>
        </w:tc>
      </w:tr>
      <w:tr w:rsidR="00387142" w:rsidRPr="008B6A75" w14:paraId="78D21AF2" w14:textId="77777777" w:rsidTr="00387142">
        <w:trPr>
          <w:trHeight w:val="585"/>
        </w:trPr>
        <w:tc>
          <w:tcPr>
            <w:tcW w:w="3686" w:type="dxa"/>
            <w:tcBorders>
              <w:top w:val="nil"/>
              <w:left w:val="single" w:sz="4" w:space="0" w:color="auto"/>
              <w:bottom w:val="single" w:sz="4" w:space="0" w:color="auto"/>
              <w:right w:val="nil"/>
            </w:tcBorders>
            <w:shd w:val="clear" w:color="auto" w:fill="auto"/>
            <w:vAlign w:val="center"/>
            <w:hideMark/>
          </w:tcPr>
          <w:p w14:paraId="477D7AEC" w14:textId="77777777" w:rsidR="00387142" w:rsidRPr="008B6A75" w:rsidRDefault="00387142" w:rsidP="00387142">
            <w:pPr>
              <w:rPr>
                <w:bCs/>
                <w:sz w:val="20"/>
                <w:szCs w:val="20"/>
              </w:rPr>
            </w:pPr>
            <w:r w:rsidRPr="008B6A75">
              <w:rPr>
                <w:bCs/>
                <w:sz w:val="20"/>
                <w:szCs w:val="20"/>
              </w:rPr>
              <w:t>Подпрограмма "Благоустройство территории населённых пунктов Куйбышевского района"</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14:paraId="33E19AE2" w14:textId="77777777" w:rsidR="00387142" w:rsidRPr="008B6A75" w:rsidRDefault="00387142" w:rsidP="00387142">
            <w:pPr>
              <w:jc w:val="right"/>
              <w:rPr>
                <w:bCs/>
                <w:sz w:val="20"/>
                <w:szCs w:val="20"/>
              </w:rPr>
            </w:pPr>
            <w:r w:rsidRPr="008B6A75">
              <w:rPr>
                <w:bCs/>
                <w:sz w:val="20"/>
                <w:szCs w:val="20"/>
              </w:rPr>
              <w:t>33 432 073,54</w:t>
            </w:r>
          </w:p>
        </w:tc>
        <w:tc>
          <w:tcPr>
            <w:tcW w:w="2360" w:type="dxa"/>
            <w:tcBorders>
              <w:top w:val="nil"/>
              <w:left w:val="single" w:sz="4" w:space="0" w:color="auto"/>
              <w:bottom w:val="single" w:sz="4" w:space="0" w:color="auto"/>
              <w:right w:val="nil"/>
            </w:tcBorders>
            <w:shd w:val="clear" w:color="auto" w:fill="auto"/>
            <w:noWrap/>
            <w:vAlign w:val="center"/>
            <w:hideMark/>
          </w:tcPr>
          <w:p w14:paraId="70FFA032" w14:textId="77777777" w:rsidR="00387142" w:rsidRPr="008B6A75" w:rsidRDefault="00387142" w:rsidP="00387142">
            <w:pPr>
              <w:jc w:val="right"/>
              <w:rPr>
                <w:bCs/>
                <w:sz w:val="20"/>
                <w:szCs w:val="20"/>
              </w:rPr>
            </w:pPr>
            <w:r w:rsidRPr="008B6A75">
              <w:rPr>
                <w:bCs/>
                <w:sz w:val="20"/>
                <w:szCs w:val="20"/>
              </w:rPr>
              <w:t>16 928 200,00</w:t>
            </w:r>
          </w:p>
        </w:tc>
        <w:tc>
          <w:tcPr>
            <w:tcW w:w="2360" w:type="dxa"/>
            <w:tcBorders>
              <w:top w:val="nil"/>
              <w:left w:val="single" w:sz="4" w:space="0" w:color="auto"/>
              <w:bottom w:val="single" w:sz="4" w:space="0" w:color="auto"/>
              <w:right w:val="single" w:sz="4" w:space="0" w:color="auto"/>
            </w:tcBorders>
            <w:shd w:val="clear" w:color="auto" w:fill="auto"/>
            <w:noWrap/>
            <w:vAlign w:val="center"/>
            <w:hideMark/>
          </w:tcPr>
          <w:p w14:paraId="19B1A50A" w14:textId="77777777" w:rsidR="00387142" w:rsidRPr="008B6A75" w:rsidRDefault="00387142" w:rsidP="00387142">
            <w:pPr>
              <w:jc w:val="right"/>
              <w:rPr>
                <w:bCs/>
                <w:sz w:val="20"/>
                <w:szCs w:val="20"/>
              </w:rPr>
            </w:pPr>
            <w:r w:rsidRPr="008B6A75">
              <w:rPr>
                <w:bCs/>
                <w:sz w:val="20"/>
                <w:szCs w:val="20"/>
              </w:rPr>
              <w:t>19 361 900,00</w:t>
            </w:r>
          </w:p>
        </w:tc>
        <w:tc>
          <w:tcPr>
            <w:tcW w:w="222" w:type="dxa"/>
            <w:gridSpan w:val="2"/>
            <w:vAlign w:val="center"/>
            <w:hideMark/>
          </w:tcPr>
          <w:p w14:paraId="4F15224F" w14:textId="77777777" w:rsidR="00387142" w:rsidRPr="008B6A75" w:rsidRDefault="00387142" w:rsidP="00387142">
            <w:pPr>
              <w:rPr>
                <w:sz w:val="20"/>
                <w:szCs w:val="20"/>
              </w:rPr>
            </w:pPr>
          </w:p>
        </w:tc>
      </w:tr>
      <w:tr w:rsidR="00387142" w:rsidRPr="008B6A75" w14:paraId="63F968EA" w14:textId="77777777" w:rsidTr="00387142">
        <w:trPr>
          <w:trHeight w:val="870"/>
        </w:trPr>
        <w:tc>
          <w:tcPr>
            <w:tcW w:w="3686" w:type="dxa"/>
            <w:tcBorders>
              <w:top w:val="nil"/>
              <w:left w:val="single" w:sz="4" w:space="0" w:color="auto"/>
              <w:bottom w:val="single" w:sz="4" w:space="0" w:color="auto"/>
              <w:right w:val="nil"/>
            </w:tcBorders>
            <w:shd w:val="clear" w:color="auto" w:fill="auto"/>
            <w:vAlign w:val="center"/>
            <w:hideMark/>
          </w:tcPr>
          <w:p w14:paraId="2F60A57C" w14:textId="77777777" w:rsidR="00387142" w:rsidRPr="008B6A75" w:rsidRDefault="00387142" w:rsidP="00387142">
            <w:pPr>
              <w:rPr>
                <w:bCs/>
                <w:sz w:val="20"/>
                <w:szCs w:val="20"/>
              </w:rPr>
            </w:pPr>
            <w:r w:rsidRPr="008B6A75">
              <w:rPr>
                <w:bCs/>
                <w:sz w:val="20"/>
                <w:szCs w:val="20"/>
              </w:rPr>
              <w:t>Подпрограмма "Безопасность жилищно-коммунального хозяйства Куйбышевского района"</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14:paraId="29B94B5B" w14:textId="77777777" w:rsidR="00387142" w:rsidRPr="008B6A75" w:rsidRDefault="00387142" w:rsidP="00387142">
            <w:pPr>
              <w:jc w:val="right"/>
              <w:rPr>
                <w:bCs/>
                <w:sz w:val="20"/>
                <w:szCs w:val="20"/>
              </w:rPr>
            </w:pPr>
            <w:r w:rsidRPr="008B6A75">
              <w:rPr>
                <w:bCs/>
                <w:sz w:val="20"/>
                <w:szCs w:val="20"/>
              </w:rPr>
              <w:t>40 037 344,93</w:t>
            </w:r>
          </w:p>
        </w:tc>
        <w:tc>
          <w:tcPr>
            <w:tcW w:w="2360" w:type="dxa"/>
            <w:tcBorders>
              <w:top w:val="nil"/>
              <w:left w:val="single" w:sz="4" w:space="0" w:color="auto"/>
              <w:bottom w:val="single" w:sz="4" w:space="0" w:color="auto"/>
              <w:right w:val="nil"/>
            </w:tcBorders>
            <w:shd w:val="clear" w:color="auto" w:fill="auto"/>
            <w:noWrap/>
            <w:vAlign w:val="center"/>
            <w:hideMark/>
          </w:tcPr>
          <w:p w14:paraId="448CBC92" w14:textId="77777777" w:rsidR="00387142" w:rsidRPr="008B6A75" w:rsidRDefault="00387142" w:rsidP="00387142">
            <w:pPr>
              <w:jc w:val="right"/>
              <w:rPr>
                <w:bCs/>
                <w:sz w:val="20"/>
                <w:szCs w:val="20"/>
              </w:rPr>
            </w:pPr>
            <w:r w:rsidRPr="008B6A75">
              <w:rPr>
                <w:bCs/>
                <w:sz w:val="20"/>
                <w:szCs w:val="20"/>
              </w:rPr>
              <w:t>35 604 160,00</w:t>
            </w:r>
          </w:p>
        </w:tc>
        <w:tc>
          <w:tcPr>
            <w:tcW w:w="2360" w:type="dxa"/>
            <w:tcBorders>
              <w:top w:val="nil"/>
              <w:left w:val="single" w:sz="4" w:space="0" w:color="auto"/>
              <w:bottom w:val="single" w:sz="4" w:space="0" w:color="auto"/>
              <w:right w:val="single" w:sz="4" w:space="0" w:color="auto"/>
            </w:tcBorders>
            <w:shd w:val="clear" w:color="auto" w:fill="auto"/>
            <w:noWrap/>
            <w:vAlign w:val="center"/>
            <w:hideMark/>
          </w:tcPr>
          <w:p w14:paraId="662B1710" w14:textId="77777777" w:rsidR="00387142" w:rsidRPr="008B6A75" w:rsidRDefault="00387142" w:rsidP="00387142">
            <w:pPr>
              <w:jc w:val="right"/>
              <w:rPr>
                <w:bCs/>
                <w:sz w:val="20"/>
                <w:szCs w:val="20"/>
              </w:rPr>
            </w:pPr>
            <w:r w:rsidRPr="008B6A75">
              <w:rPr>
                <w:bCs/>
                <w:sz w:val="20"/>
                <w:szCs w:val="20"/>
              </w:rPr>
              <w:t>35 604 160,00</w:t>
            </w:r>
          </w:p>
        </w:tc>
        <w:tc>
          <w:tcPr>
            <w:tcW w:w="222" w:type="dxa"/>
            <w:gridSpan w:val="2"/>
            <w:vAlign w:val="center"/>
            <w:hideMark/>
          </w:tcPr>
          <w:p w14:paraId="1E209B7A" w14:textId="77777777" w:rsidR="00387142" w:rsidRPr="008B6A75" w:rsidRDefault="00387142" w:rsidP="00387142">
            <w:pPr>
              <w:rPr>
                <w:sz w:val="20"/>
                <w:szCs w:val="20"/>
              </w:rPr>
            </w:pPr>
          </w:p>
        </w:tc>
      </w:tr>
      <w:tr w:rsidR="00387142" w:rsidRPr="008B6A75" w14:paraId="31D4E434" w14:textId="77777777" w:rsidTr="00387142">
        <w:trPr>
          <w:trHeight w:val="870"/>
        </w:trPr>
        <w:tc>
          <w:tcPr>
            <w:tcW w:w="3686" w:type="dxa"/>
            <w:tcBorders>
              <w:top w:val="nil"/>
              <w:left w:val="single" w:sz="4" w:space="0" w:color="auto"/>
              <w:bottom w:val="single" w:sz="4" w:space="0" w:color="auto"/>
              <w:right w:val="nil"/>
            </w:tcBorders>
            <w:shd w:val="clear" w:color="auto" w:fill="auto"/>
            <w:vAlign w:val="center"/>
            <w:hideMark/>
          </w:tcPr>
          <w:p w14:paraId="723AD1CA" w14:textId="77777777" w:rsidR="00387142" w:rsidRPr="008B6A75" w:rsidRDefault="00387142" w:rsidP="00387142">
            <w:pPr>
              <w:rPr>
                <w:bCs/>
                <w:sz w:val="20"/>
                <w:szCs w:val="20"/>
              </w:rPr>
            </w:pPr>
            <w:r w:rsidRPr="008B6A75">
              <w:rPr>
                <w:bCs/>
                <w:sz w:val="20"/>
                <w:szCs w:val="20"/>
              </w:rPr>
              <w:t>Муниципальная программа «Обеспечение безопасности жизнедеятельности населения Куйбышевского района»</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14:paraId="558F2B17" w14:textId="77777777" w:rsidR="00387142" w:rsidRPr="008B6A75" w:rsidRDefault="00387142" w:rsidP="00387142">
            <w:pPr>
              <w:jc w:val="right"/>
              <w:rPr>
                <w:bCs/>
                <w:sz w:val="20"/>
                <w:szCs w:val="20"/>
              </w:rPr>
            </w:pPr>
            <w:r w:rsidRPr="008B6A75">
              <w:rPr>
                <w:bCs/>
                <w:sz w:val="20"/>
                <w:szCs w:val="20"/>
              </w:rPr>
              <w:t>18 530 883,36</w:t>
            </w:r>
          </w:p>
        </w:tc>
        <w:tc>
          <w:tcPr>
            <w:tcW w:w="2360" w:type="dxa"/>
            <w:tcBorders>
              <w:top w:val="nil"/>
              <w:left w:val="single" w:sz="4" w:space="0" w:color="auto"/>
              <w:bottom w:val="single" w:sz="4" w:space="0" w:color="auto"/>
              <w:right w:val="nil"/>
            </w:tcBorders>
            <w:shd w:val="clear" w:color="auto" w:fill="auto"/>
            <w:noWrap/>
            <w:vAlign w:val="center"/>
            <w:hideMark/>
          </w:tcPr>
          <w:p w14:paraId="7075032B" w14:textId="77777777" w:rsidR="00387142" w:rsidRPr="008B6A75" w:rsidRDefault="00387142" w:rsidP="00387142">
            <w:pPr>
              <w:jc w:val="right"/>
              <w:rPr>
                <w:bCs/>
                <w:sz w:val="20"/>
                <w:szCs w:val="20"/>
              </w:rPr>
            </w:pPr>
            <w:r w:rsidRPr="008B6A75">
              <w:rPr>
                <w:bCs/>
                <w:sz w:val="20"/>
                <w:szCs w:val="20"/>
              </w:rPr>
              <w:t>6 650 000,00</w:t>
            </w:r>
          </w:p>
        </w:tc>
        <w:tc>
          <w:tcPr>
            <w:tcW w:w="2360" w:type="dxa"/>
            <w:tcBorders>
              <w:top w:val="nil"/>
              <w:left w:val="single" w:sz="4" w:space="0" w:color="auto"/>
              <w:bottom w:val="single" w:sz="4" w:space="0" w:color="auto"/>
              <w:right w:val="single" w:sz="4" w:space="0" w:color="auto"/>
            </w:tcBorders>
            <w:shd w:val="clear" w:color="auto" w:fill="auto"/>
            <w:noWrap/>
            <w:vAlign w:val="center"/>
            <w:hideMark/>
          </w:tcPr>
          <w:p w14:paraId="54078573" w14:textId="77777777" w:rsidR="00387142" w:rsidRPr="008B6A75" w:rsidRDefault="00387142" w:rsidP="00387142">
            <w:pPr>
              <w:jc w:val="right"/>
              <w:rPr>
                <w:bCs/>
                <w:sz w:val="20"/>
                <w:szCs w:val="20"/>
              </w:rPr>
            </w:pPr>
            <w:r w:rsidRPr="008B6A75">
              <w:rPr>
                <w:bCs/>
                <w:sz w:val="20"/>
                <w:szCs w:val="20"/>
              </w:rPr>
              <w:t>6 650 000,00</w:t>
            </w:r>
          </w:p>
        </w:tc>
        <w:tc>
          <w:tcPr>
            <w:tcW w:w="222" w:type="dxa"/>
            <w:gridSpan w:val="2"/>
            <w:vAlign w:val="center"/>
            <w:hideMark/>
          </w:tcPr>
          <w:p w14:paraId="3F977E4B" w14:textId="77777777" w:rsidR="00387142" w:rsidRPr="008B6A75" w:rsidRDefault="00387142" w:rsidP="00387142">
            <w:pPr>
              <w:rPr>
                <w:sz w:val="20"/>
                <w:szCs w:val="20"/>
              </w:rPr>
            </w:pPr>
          </w:p>
        </w:tc>
      </w:tr>
      <w:tr w:rsidR="00387142" w:rsidRPr="008B6A75" w14:paraId="0E5FCE12" w14:textId="77777777" w:rsidTr="00387142">
        <w:trPr>
          <w:trHeight w:val="870"/>
        </w:trPr>
        <w:tc>
          <w:tcPr>
            <w:tcW w:w="3686" w:type="dxa"/>
            <w:tcBorders>
              <w:top w:val="nil"/>
              <w:left w:val="single" w:sz="4" w:space="0" w:color="auto"/>
              <w:bottom w:val="single" w:sz="4" w:space="0" w:color="auto"/>
              <w:right w:val="nil"/>
            </w:tcBorders>
            <w:shd w:val="clear" w:color="auto" w:fill="auto"/>
            <w:vAlign w:val="center"/>
            <w:hideMark/>
          </w:tcPr>
          <w:p w14:paraId="4F437A61" w14:textId="77777777" w:rsidR="00387142" w:rsidRPr="008B6A75" w:rsidRDefault="00387142" w:rsidP="00387142">
            <w:pPr>
              <w:rPr>
                <w:bCs/>
                <w:sz w:val="20"/>
                <w:szCs w:val="20"/>
              </w:rPr>
            </w:pPr>
            <w:r w:rsidRPr="008B6A75">
              <w:rPr>
                <w:bCs/>
                <w:sz w:val="20"/>
                <w:szCs w:val="20"/>
              </w:rPr>
              <w:t>Муниципальная программа "Организация социально-значимых мероприятий на территории Куйбышевского района"</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14:paraId="6ABAACC2" w14:textId="77777777" w:rsidR="00387142" w:rsidRPr="008B6A75" w:rsidRDefault="00387142" w:rsidP="00387142">
            <w:pPr>
              <w:jc w:val="right"/>
              <w:rPr>
                <w:bCs/>
                <w:sz w:val="20"/>
                <w:szCs w:val="20"/>
              </w:rPr>
            </w:pPr>
            <w:r w:rsidRPr="008B6A75">
              <w:rPr>
                <w:bCs/>
                <w:sz w:val="20"/>
                <w:szCs w:val="20"/>
              </w:rPr>
              <w:t>420 500,00</w:t>
            </w:r>
          </w:p>
        </w:tc>
        <w:tc>
          <w:tcPr>
            <w:tcW w:w="2360" w:type="dxa"/>
            <w:tcBorders>
              <w:top w:val="nil"/>
              <w:left w:val="single" w:sz="4" w:space="0" w:color="auto"/>
              <w:bottom w:val="single" w:sz="4" w:space="0" w:color="auto"/>
              <w:right w:val="nil"/>
            </w:tcBorders>
            <w:shd w:val="clear" w:color="auto" w:fill="auto"/>
            <w:noWrap/>
            <w:vAlign w:val="center"/>
            <w:hideMark/>
          </w:tcPr>
          <w:p w14:paraId="1682804C" w14:textId="77777777" w:rsidR="00387142" w:rsidRPr="008B6A75" w:rsidRDefault="00387142" w:rsidP="00387142">
            <w:pPr>
              <w:jc w:val="right"/>
              <w:rPr>
                <w:bCs/>
                <w:sz w:val="20"/>
                <w:szCs w:val="20"/>
              </w:rPr>
            </w:pPr>
            <w:r w:rsidRPr="008B6A75">
              <w:rPr>
                <w:bCs/>
                <w:sz w:val="20"/>
                <w:szCs w:val="20"/>
              </w:rPr>
              <w:t>0,00</w:t>
            </w:r>
          </w:p>
        </w:tc>
        <w:tc>
          <w:tcPr>
            <w:tcW w:w="2360" w:type="dxa"/>
            <w:tcBorders>
              <w:top w:val="nil"/>
              <w:left w:val="single" w:sz="4" w:space="0" w:color="auto"/>
              <w:bottom w:val="single" w:sz="4" w:space="0" w:color="auto"/>
              <w:right w:val="single" w:sz="4" w:space="0" w:color="auto"/>
            </w:tcBorders>
            <w:shd w:val="clear" w:color="auto" w:fill="auto"/>
            <w:noWrap/>
            <w:vAlign w:val="center"/>
            <w:hideMark/>
          </w:tcPr>
          <w:p w14:paraId="278093B7" w14:textId="77777777" w:rsidR="00387142" w:rsidRPr="008B6A75" w:rsidRDefault="00387142" w:rsidP="00387142">
            <w:pPr>
              <w:jc w:val="right"/>
              <w:rPr>
                <w:bCs/>
                <w:sz w:val="20"/>
                <w:szCs w:val="20"/>
              </w:rPr>
            </w:pPr>
            <w:r w:rsidRPr="008B6A75">
              <w:rPr>
                <w:bCs/>
                <w:sz w:val="20"/>
                <w:szCs w:val="20"/>
              </w:rPr>
              <w:t>0,00</w:t>
            </w:r>
          </w:p>
        </w:tc>
        <w:tc>
          <w:tcPr>
            <w:tcW w:w="222" w:type="dxa"/>
            <w:gridSpan w:val="2"/>
            <w:vAlign w:val="center"/>
            <w:hideMark/>
          </w:tcPr>
          <w:p w14:paraId="0AAF9E7D" w14:textId="77777777" w:rsidR="00387142" w:rsidRPr="008B6A75" w:rsidRDefault="00387142" w:rsidP="00387142">
            <w:pPr>
              <w:rPr>
                <w:sz w:val="20"/>
                <w:szCs w:val="20"/>
              </w:rPr>
            </w:pPr>
          </w:p>
        </w:tc>
      </w:tr>
      <w:tr w:rsidR="00387142" w:rsidRPr="008B6A75" w14:paraId="1BFF3E1F" w14:textId="77777777" w:rsidTr="00387142">
        <w:trPr>
          <w:trHeight w:val="1440"/>
        </w:trPr>
        <w:tc>
          <w:tcPr>
            <w:tcW w:w="3686" w:type="dxa"/>
            <w:tcBorders>
              <w:top w:val="nil"/>
              <w:left w:val="single" w:sz="4" w:space="0" w:color="auto"/>
              <w:bottom w:val="single" w:sz="4" w:space="0" w:color="auto"/>
              <w:right w:val="nil"/>
            </w:tcBorders>
            <w:shd w:val="clear" w:color="auto" w:fill="auto"/>
            <w:vAlign w:val="center"/>
            <w:hideMark/>
          </w:tcPr>
          <w:p w14:paraId="0C7145E9" w14:textId="77777777" w:rsidR="00387142" w:rsidRPr="008B6A75" w:rsidRDefault="00387142" w:rsidP="00387142">
            <w:pPr>
              <w:rPr>
                <w:bCs/>
                <w:sz w:val="20"/>
                <w:szCs w:val="20"/>
              </w:rPr>
            </w:pPr>
            <w:r w:rsidRPr="008B6A75">
              <w:rPr>
                <w:bCs/>
                <w:sz w:val="20"/>
                <w:szCs w:val="20"/>
              </w:rPr>
              <w:t>Муниципальная программа "Муниципальная поддержка социально ориентированных некоммерческих организаций, общественных объединений и гражданских инициатив в Куйбышевском районе"</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14:paraId="7093A60D" w14:textId="77777777" w:rsidR="00387142" w:rsidRPr="008B6A75" w:rsidRDefault="00387142" w:rsidP="00387142">
            <w:pPr>
              <w:jc w:val="right"/>
              <w:rPr>
                <w:bCs/>
                <w:sz w:val="20"/>
                <w:szCs w:val="20"/>
              </w:rPr>
            </w:pPr>
            <w:r w:rsidRPr="008B6A75">
              <w:rPr>
                <w:bCs/>
                <w:sz w:val="20"/>
                <w:szCs w:val="20"/>
              </w:rPr>
              <w:t>100 000,00</w:t>
            </w:r>
          </w:p>
        </w:tc>
        <w:tc>
          <w:tcPr>
            <w:tcW w:w="2360" w:type="dxa"/>
            <w:tcBorders>
              <w:top w:val="nil"/>
              <w:left w:val="single" w:sz="4" w:space="0" w:color="auto"/>
              <w:bottom w:val="single" w:sz="4" w:space="0" w:color="auto"/>
              <w:right w:val="nil"/>
            </w:tcBorders>
            <w:shd w:val="clear" w:color="auto" w:fill="auto"/>
            <w:noWrap/>
            <w:vAlign w:val="center"/>
            <w:hideMark/>
          </w:tcPr>
          <w:p w14:paraId="6B563994" w14:textId="77777777" w:rsidR="00387142" w:rsidRPr="008B6A75" w:rsidRDefault="00387142" w:rsidP="00387142">
            <w:pPr>
              <w:jc w:val="right"/>
              <w:rPr>
                <w:bCs/>
                <w:sz w:val="20"/>
                <w:szCs w:val="20"/>
              </w:rPr>
            </w:pPr>
            <w:r w:rsidRPr="008B6A75">
              <w:rPr>
                <w:bCs/>
                <w:sz w:val="20"/>
                <w:szCs w:val="20"/>
              </w:rPr>
              <w:t>0,00</w:t>
            </w:r>
          </w:p>
        </w:tc>
        <w:tc>
          <w:tcPr>
            <w:tcW w:w="2360" w:type="dxa"/>
            <w:tcBorders>
              <w:top w:val="nil"/>
              <w:left w:val="single" w:sz="4" w:space="0" w:color="auto"/>
              <w:bottom w:val="single" w:sz="4" w:space="0" w:color="auto"/>
              <w:right w:val="single" w:sz="4" w:space="0" w:color="auto"/>
            </w:tcBorders>
            <w:shd w:val="clear" w:color="auto" w:fill="auto"/>
            <w:noWrap/>
            <w:vAlign w:val="center"/>
            <w:hideMark/>
          </w:tcPr>
          <w:p w14:paraId="65EBE284" w14:textId="77777777" w:rsidR="00387142" w:rsidRPr="008B6A75" w:rsidRDefault="00387142" w:rsidP="00387142">
            <w:pPr>
              <w:jc w:val="right"/>
              <w:rPr>
                <w:bCs/>
                <w:sz w:val="20"/>
                <w:szCs w:val="20"/>
              </w:rPr>
            </w:pPr>
            <w:r w:rsidRPr="008B6A75">
              <w:rPr>
                <w:bCs/>
                <w:sz w:val="20"/>
                <w:szCs w:val="20"/>
              </w:rPr>
              <w:t>0,00</w:t>
            </w:r>
          </w:p>
        </w:tc>
        <w:tc>
          <w:tcPr>
            <w:tcW w:w="222" w:type="dxa"/>
            <w:gridSpan w:val="2"/>
            <w:vAlign w:val="center"/>
            <w:hideMark/>
          </w:tcPr>
          <w:p w14:paraId="255DD69E" w14:textId="77777777" w:rsidR="00387142" w:rsidRPr="008B6A75" w:rsidRDefault="00387142" w:rsidP="00387142">
            <w:pPr>
              <w:rPr>
                <w:sz w:val="20"/>
                <w:szCs w:val="20"/>
              </w:rPr>
            </w:pPr>
          </w:p>
        </w:tc>
      </w:tr>
      <w:tr w:rsidR="00387142" w:rsidRPr="008B6A75" w14:paraId="38000C88" w14:textId="77777777" w:rsidTr="00387142">
        <w:trPr>
          <w:trHeight w:val="1440"/>
        </w:trPr>
        <w:tc>
          <w:tcPr>
            <w:tcW w:w="3686" w:type="dxa"/>
            <w:tcBorders>
              <w:top w:val="nil"/>
              <w:left w:val="single" w:sz="4" w:space="0" w:color="auto"/>
              <w:bottom w:val="single" w:sz="4" w:space="0" w:color="auto"/>
              <w:right w:val="nil"/>
            </w:tcBorders>
            <w:shd w:val="clear" w:color="auto" w:fill="auto"/>
            <w:vAlign w:val="center"/>
            <w:hideMark/>
          </w:tcPr>
          <w:p w14:paraId="29FEF31F" w14:textId="77777777" w:rsidR="00387142" w:rsidRPr="008B6A75" w:rsidRDefault="00387142" w:rsidP="00387142">
            <w:pPr>
              <w:rPr>
                <w:bCs/>
                <w:sz w:val="20"/>
                <w:szCs w:val="20"/>
              </w:rPr>
            </w:pPr>
            <w:r w:rsidRPr="008B6A75">
              <w:rPr>
                <w:bCs/>
                <w:sz w:val="20"/>
                <w:szCs w:val="20"/>
              </w:rPr>
              <w:t>Муниципальная программа «Обеспечение доступности услуг автобусного пассажирского транспорта, осуществляющего перевозки по муниципальным маршрутам внутрирайонного сообщения в Куйбышевском районе»</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14:paraId="34C1A728" w14:textId="77777777" w:rsidR="00387142" w:rsidRPr="008B6A75" w:rsidRDefault="00387142" w:rsidP="00387142">
            <w:pPr>
              <w:jc w:val="right"/>
              <w:rPr>
                <w:bCs/>
                <w:sz w:val="20"/>
                <w:szCs w:val="20"/>
              </w:rPr>
            </w:pPr>
            <w:r w:rsidRPr="008B6A75">
              <w:rPr>
                <w:bCs/>
                <w:sz w:val="20"/>
                <w:szCs w:val="20"/>
              </w:rPr>
              <w:t>18 337 577,00</w:t>
            </w:r>
          </w:p>
        </w:tc>
        <w:tc>
          <w:tcPr>
            <w:tcW w:w="2360" w:type="dxa"/>
            <w:tcBorders>
              <w:top w:val="nil"/>
              <w:left w:val="single" w:sz="4" w:space="0" w:color="auto"/>
              <w:bottom w:val="single" w:sz="4" w:space="0" w:color="auto"/>
              <w:right w:val="nil"/>
            </w:tcBorders>
            <w:shd w:val="clear" w:color="auto" w:fill="auto"/>
            <w:noWrap/>
            <w:vAlign w:val="center"/>
            <w:hideMark/>
          </w:tcPr>
          <w:p w14:paraId="04367A88" w14:textId="77777777" w:rsidR="00387142" w:rsidRPr="008B6A75" w:rsidRDefault="00387142" w:rsidP="00387142">
            <w:pPr>
              <w:jc w:val="right"/>
              <w:rPr>
                <w:bCs/>
                <w:sz w:val="20"/>
                <w:szCs w:val="20"/>
              </w:rPr>
            </w:pPr>
            <w:r w:rsidRPr="008B6A75">
              <w:rPr>
                <w:bCs/>
                <w:sz w:val="20"/>
                <w:szCs w:val="20"/>
              </w:rPr>
              <w:t>15 208 707,00</w:t>
            </w:r>
          </w:p>
        </w:tc>
        <w:tc>
          <w:tcPr>
            <w:tcW w:w="2360" w:type="dxa"/>
            <w:tcBorders>
              <w:top w:val="nil"/>
              <w:left w:val="single" w:sz="4" w:space="0" w:color="auto"/>
              <w:bottom w:val="single" w:sz="4" w:space="0" w:color="auto"/>
              <w:right w:val="single" w:sz="4" w:space="0" w:color="auto"/>
            </w:tcBorders>
            <w:shd w:val="clear" w:color="auto" w:fill="auto"/>
            <w:noWrap/>
            <w:vAlign w:val="center"/>
            <w:hideMark/>
          </w:tcPr>
          <w:p w14:paraId="39077472" w14:textId="77777777" w:rsidR="00387142" w:rsidRPr="008B6A75" w:rsidRDefault="00387142" w:rsidP="00387142">
            <w:pPr>
              <w:jc w:val="right"/>
              <w:rPr>
                <w:bCs/>
                <w:sz w:val="20"/>
                <w:szCs w:val="20"/>
              </w:rPr>
            </w:pPr>
            <w:r w:rsidRPr="008B6A75">
              <w:rPr>
                <w:bCs/>
                <w:sz w:val="20"/>
                <w:szCs w:val="20"/>
              </w:rPr>
              <w:t>15 208 707,00</w:t>
            </w:r>
          </w:p>
        </w:tc>
        <w:tc>
          <w:tcPr>
            <w:tcW w:w="222" w:type="dxa"/>
            <w:gridSpan w:val="2"/>
            <w:vAlign w:val="center"/>
            <w:hideMark/>
          </w:tcPr>
          <w:p w14:paraId="6E0B065D" w14:textId="77777777" w:rsidR="00387142" w:rsidRPr="008B6A75" w:rsidRDefault="00387142" w:rsidP="00387142">
            <w:pPr>
              <w:rPr>
                <w:sz w:val="20"/>
                <w:szCs w:val="20"/>
              </w:rPr>
            </w:pPr>
          </w:p>
        </w:tc>
      </w:tr>
      <w:tr w:rsidR="00387142" w:rsidRPr="008B6A75" w14:paraId="7E2C87EC" w14:textId="77777777" w:rsidTr="00387142">
        <w:trPr>
          <w:trHeight w:val="15"/>
        </w:trPr>
        <w:tc>
          <w:tcPr>
            <w:tcW w:w="3686" w:type="dxa"/>
            <w:tcBorders>
              <w:top w:val="nil"/>
              <w:left w:val="single" w:sz="4" w:space="0" w:color="auto"/>
              <w:bottom w:val="nil"/>
              <w:right w:val="nil"/>
            </w:tcBorders>
            <w:shd w:val="clear" w:color="auto" w:fill="auto"/>
            <w:noWrap/>
            <w:vAlign w:val="center"/>
            <w:hideMark/>
          </w:tcPr>
          <w:p w14:paraId="74ED82DD" w14:textId="77777777" w:rsidR="00387142" w:rsidRPr="008B6A75" w:rsidRDefault="00387142" w:rsidP="00387142">
            <w:pPr>
              <w:rPr>
                <w:bCs/>
                <w:sz w:val="20"/>
                <w:szCs w:val="20"/>
              </w:rPr>
            </w:pPr>
            <w:r w:rsidRPr="008B6A75">
              <w:rPr>
                <w:bCs/>
                <w:sz w:val="20"/>
                <w:szCs w:val="20"/>
              </w:rPr>
              <w:t>Итого расходов</w:t>
            </w:r>
          </w:p>
        </w:tc>
        <w:tc>
          <w:tcPr>
            <w:tcW w:w="2126" w:type="dxa"/>
            <w:tcBorders>
              <w:top w:val="nil"/>
              <w:left w:val="single" w:sz="4" w:space="0" w:color="auto"/>
              <w:bottom w:val="nil"/>
              <w:right w:val="single" w:sz="4" w:space="0" w:color="auto"/>
            </w:tcBorders>
            <w:shd w:val="clear" w:color="auto" w:fill="auto"/>
            <w:noWrap/>
            <w:vAlign w:val="center"/>
            <w:hideMark/>
          </w:tcPr>
          <w:p w14:paraId="56C240BC" w14:textId="77777777" w:rsidR="00387142" w:rsidRPr="008B6A75" w:rsidRDefault="00387142" w:rsidP="00387142">
            <w:pPr>
              <w:jc w:val="right"/>
              <w:rPr>
                <w:bCs/>
                <w:sz w:val="20"/>
                <w:szCs w:val="20"/>
              </w:rPr>
            </w:pPr>
            <w:r w:rsidRPr="008B6A75">
              <w:rPr>
                <w:bCs/>
                <w:sz w:val="20"/>
                <w:szCs w:val="20"/>
              </w:rPr>
              <w:t>2 247 179 272,6</w:t>
            </w:r>
          </w:p>
        </w:tc>
        <w:tc>
          <w:tcPr>
            <w:tcW w:w="2360" w:type="dxa"/>
            <w:tcBorders>
              <w:top w:val="nil"/>
              <w:left w:val="nil"/>
              <w:bottom w:val="single" w:sz="4" w:space="0" w:color="auto"/>
              <w:right w:val="single" w:sz="4" w:space="0" w:color="auto"/>
            </w:tcBorders>
            <w:shd w:val="clear" w:color="auto" w:fill="auto"/>
            <w:noWrap/>
            <w:vAlign w:val="center"/>
            <w:hideMark/>
          </w:tcPr>
          <w:p w14:paraId="753A4E3A" w14:textId="77777777" w:rsidR="00387142" w:rsidRPr="008B6A75" w:rsidRDefault="00387142" w:rsidP="00387142">
            <w:pPr>
              <w:jc w:val="right"/>
              <w:rPr>
                <w:bCs/>
                <w:sz w:val="20"/>
                <w:szCs w:val="20"/>
              </w:rPr>
            </w:pPr>
            <w:r w:rsidRPr="008B6A75">
              <w:rPr>
                <w:bCs/>
                <w:sz w:val="20"/>
                <w:szCs w:val="20"/>
              </w:rPr>
              <w:t>1 538 192 515,8</w:t>
            </w:r>
          </w:p>
        </w:tc>
        <w:tc>
          <w:tcPr>
            <w:tcW w:w="2360" w:type="dxa"/>
            <w:tcBorders>
              <w:top w:val="nil"/>
              <w:left w:val="nil"/>
              <w:bottom w:val="single" w:sz="4" w:space="0" w:color="auto"/>
              <w:right w:val="single" w:sz="4" w:space="0" w:color="auto"/>
            </w:tcBorders>
            <w:shd w:val="clear" w:color="auto" w:fill="auto"/>
            <w:noWrap/>
            <w:vAlign w:val="center"/>
            <w:hideMark/>
          </w:tcPr>
          <w:p w14:paraId="58D7F06B" w14:textId="77777777" w:rsidR="00387142" w:rsidRPr="008B6A75" w:rsidRDefault="00387142" w:rsidP="00387142">
            <w:pPr>
              <w:jc w:val="right"/>
              <w:rPr>
                <w:bCs/>
                <w:sz w:val="20"/>
                <w:szCs w:val="20"/>
              </w:rPr>
            </w:pPr>
            <w:r w:rsidRPr="008B6A75">
              <w:rPr>
                <w:bCs/>
                <w:sz w:val="20"/>
                <w:szCs w:val="20"/>
              </w:rPr>
              <w:t>1 497 159 357,0</w:t>
            </w:r>
          </w:p>
        </w:tc>
        <w:tc>
          <w:tcPr>
            <w:tcW w:w="222" w:type="dxa"/>
            <w:gridSpan w:val="2"/>
            <w:vAlign w:val="center"/>
            <w:hideMark/>
          </w:tcPr>
          <w:p w14:paraId="6F2F21B1" w14:textId="77777777" w:rsidR="00387142" w:rsidRPr="008B6A75" w:rsidRDefault="00387142" w:rsidP="00387142">
            <w:pPr>
              <w:rPr>
                <w:sz w:val="20"/>
                <w:szCs w:val="20"/>
              </w:rPr>
            </w:pPr>
          </w:p>
        </w:tc>
      </w:tr>
      <w:tr w:rsidR="00387142" w:rsidRPr="008B6A75" w14:paraId="3C3F5623" w14:textId="77777777" w:rsidTr="00387142">
        <w:trPr>
          <w:trHeight w:val="360"/>
        </w:trPr>
        <w:tc>
          <w:tcPr>
            <w:tcW w:w="3686" w:type="dxa"/>
            <w:tcBorders>
              <w:top w:val="single" w:sz="4" w:space="0" w:color="auto"/>
              <w:left w:val="single" w:sz="4" w:space="0" w:color="auto"/>
              <w:bottom w:val="single" w:sz="4" w:space="0" w:color="auto"/>
              <w:right w:val="nil"/>
            </w:tcBorders>
            <w:shd w:val="clear" w:color="auto" w:fill="auto"/>
            <w:noWrap/>
            <w:vAlign w:val="center"/>
            <w:hideMark/>
          </w:tcPr>
          <w:p w14:paraId="0D67560F" w14:textId="77777777" w:rsidR="00387142" w:rsidRPr="008B6A75" w:rsidRDefault="00387142" w:rsidP="00387142">
            <w:pPr>
              <w:rPr>
                <w:bCs/>
                <w:sz w:val="20"/>
                <w:szCs w:val="20"/>
              </w:rPr>
            </w:pPr>
            <w:r w:rsidRPr="008B6A75">
              <w:rPr>
                <w:bCs/>
                <w:sz w:val="20"/>
                <w:szCs w:val="20"/>
              </w:rPr>
              <w:t>Итого расходов</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5D3186" w14:textId="77777777" w:rsidR="00387142" w:rsidRPr="008B6A75" w:rsidRDefault="00387142" w:rsidP="00387142">
            <w:pPr>
              <w:jc w:val="right"/>
              <w:rPr>
                <w:bCs/>
                <w:sz w:val="20"/>
                <w:szCs w:val="20"/>
              </w:rPr>
            </w:pPr>
            <w:r w:rsidRPr="008B6A75">
              <w:rPr>
                <w:bCs/>
                <w:sz w:val="20"/>
                <w:szCs w:val="20"/>
              </w:rPr>
              <w:t>2 247 179 272,64</w:t>
            </w:r>
          </w:p>
        </w:tc>
        <w:tc>
          <w:tcPr>
            <w:tcW w:w="2360" w:type="dxa"/>
            <w:tcBorders>
              <w:top w:val="nil"/>
              <w:left w:val="nil"/>
              <w:bottom w:val="single" w:sz="4" w:space="0" w:color="auto"/>
              <w:right w:val="single" w:sz="4" w:space="0" w:color="auto"/>
            </w:tcBorders>
            <w:shd w:val="clear" w:color="auto" w:fill="auto"/>
            <w:noWrap/>
            <w:vAlign w:val="center"/>
            <w:hideMark/>
          </w:tcPr>
          <w:p w14:paraId="2241C4BD" w14:textId="77777777" w:rsidR="00387142" w:rsidRPr="008B6A75" w:rsidRDefault="00387142" w:rsidP="00387142">
            <w:pPr>
              <w:jc w:val="right"/>
              <w:rPr>
                <w:bCs/>
                <w:sz w:val="20"/>
                <w:szCs w:val="20"/>
              </w:rPr>
            </w:pPr>
            <w:r w:rsidRPr="008B6A75">
              <w:rPr>
                <w:bCs/>
                <w:sz w:val="20"/>
                <w:szCs w:val="20"/>
              </w:rPr>
              <w:t>1 538 192 515,81</w:t>
            </w:r>
          </w:p>
        </w:tc>
        <w:tc>
          <w:tcPr>
            <w:tcW w:w="2360" w:type="dxa"/>
            <w:tcBorders>
              <w:top w:val="nil"/>
              <w:left w:val="nil"/>
              <w:bottom w:val="single" w:sz="4" w:space="0" w:color="auto"/>
              <w:right w:val="single" w:sz="4" w:space="0" w:color="auto"/>
            </w:tcBorders>
            <w:shd w:val="clear" w:color="auto" w:fill="auto"/>
            <w:noWrap/>
            <w:vAlign w:val="center"/>
            <w:hideMark/>
          </w:tcPr>
          <w:p w14:paraId="50253F15" w14:textId="77777777" w:rsidR="00387142" w:rsidRPr="008B6A75" w:rsidRDefault="00387142" w:rsidP="00387142">
            <w:pPr>
              <w:jc w:val="right"/>
              <w:rPr>
                <w:bCs/>
                <w:sz w:val="20"/>
                <w:szCs w:val="20"/>
              </w:rPr>
            </w:pPr>
            <w:r w:rsidRPr="008B6A75">
              <w:rPr>
                <w:bCs/>
                <w:sz w:val="20"/>
                <w:szCs w:val="20"/>
              </w:rPr>
              <w:t>1 497 159 357,00</w:t>
            </w:r>
          </w:p>
        </w:tc>
        <w:tc>
          <w:tcPr>
            <w:tcW w:w="222" w:type="dxa"/>
            <w:gridSpan w:val="2"/>
            <w:vAlign w:val="center"/>
            <w:hideMark/>
          </w:tcPr>
          <w:p w14:paraId="3FF1D9DA" w14:textId="77777777" w:rsidR="00387142" w:rsidRPr="008B6A75" w:rsidRDefault="00387142" w:rsidP="00387142">
            <w:pPr>
              <w:rPr>
                <w:sz w:val="20"/>
                <w:szCs w:val="20"/>
              </w:rPr>
            </w:pPr>
          </w:p>
        </w:tc>
      </w:tr>
    </w:tbl>
    <w:p w14:paraId="64D863AA" w14:textId="77777777" w:rsidR="00387142" w:rsidRPr="008B6A75" w:rsidRDefault="00387142" w:rsidP="00387142">
      <w:pPr>
        <w:rPr>
          <w:sz w:val="20"/>
          <w:szCs w:val="20"/>
        </w:rPr>
      </w:pPr>
    </w:p>
    <w:tbl>
      <w:tblPr>
        <w:tblW w:w="10448" w:type="dxa"/>
        <w:tblInd w:w="-851" w:type="dxa"/>
        <w:tblLayout w:type="fixed"/>
        <w:tblLook w:val="04A0" w:firstRow="1" w:lastRow="0" w:firstColumn="1" w:lastColumn="0" w:noHBand="0" w:noVBand="1"/>
      </w:tblPr>
      <w:tblGrid>
        <w:gridCol w:w="1985"/>
        <w:gridCol w:w="1134"/>
        <w:gridCol w:w="500"/>
        <w:gridCol w:w="500"/>
        <w:gridCol w:w="500"/>
        <w:gridCol w:w="500"/>
        <w:gridCol w:w="416"/>
        <w:gridCol w:w="750"/>
        <w:gridCol w:w="700"/>
        <w:gridCol w:w="9"/>
        <w:gridCol w:w="1148"/>
        <w:gridCol w:w="1276"/>
        <w:gridCol w:w="1021"/>
        <w:gridCol w:w="9"/>
      </w:tblGrid>
      <w:tr w:rsidR="00387142" w:rsidRPr="008B6A75" w14:paraId="078FF436" w14:textId="77777777" w:rsidTr="00387142">
        <w:trPr>
          <w:gridAfter w:val="1"/>
          <w:wAfter w:w="9" w:type="dxa"/>
          <w:trHeight w:val="315"/>
        </w:trPr>
        <w:tc>
          <w:tcPr>
            <w:tcW w:w="1985" w:type="dxa"/>
            <w:tcBorders>
              <w:top w:val="nil"/>
              <w:left w:val="nil"/>
              <w:bottom w:val="nil"/>
              <w:right w:val="nil"/>
            </w:tcBorders>
            <w:shd w:val="clear" w:color="auto" w:fill="auto"/>
            <w:noWrap/>
            <w:vAlign w:val="bottom"/>
            <w:hideMark/>
          </w:tcPr>
          <w:p w14:paraId="5C7460A0" w14:textId="77777777" w:rsidR="00387142" w:rsidRPr="008B6A75" w:rsidRDefault="00387142" w:rsidP="00387142">
            <w:pPr>
              <w:rPr>
                <w:sz w:val="20"/>
                <w:szCs w:val="20"/>
              </w:rPr>
            </w:pPr>
          </w:p>
        </w:tc>
        <w:tc>
          <w:tcPr>
            <w:tcW w:w="1134" w:type="dxa"/>
            <w:tcBorders>
              <w:top w:val="nil"/>
              <w:left w:val="nil"/>
              <w:bottom w:val="nil"/>
              <w:right w:val="nil"/>
            </w:tcBorders>
            <w:shd w:val="clear" w:color="auto" w:fill="auto"/>
            <w:noWrap/>
            <w:vAlign w:val="bottom"/>
            <w:hideMark/>
          </w:tcPr>
          <w:p w14:paraId="77ABBB3B" w14:textId="77777777" w:rsidR="00387142" w:rsidRPr="008B6A75" w:rsidRDefault="00387142" w:rsidP="00387142">
            <w:pPr>
              <w:rPr>
                <w:sz w:val="20"/>
                <w:szCs w:val="20"/>
              </w:rPr>
            </w:pPr>
          </w:p>
        </w:tc>
        <w:tc>
          <w:tcPr>
            <w:tcW w:w="500" w:type="dxa"/>
            <w:tcBorders>
              <w:top w:val="nil"/>
              <w:left w:val="nil"/>
              <w:bottom w:val="nil"/>
              <w:right w:val="nil"/>
            </w:tcBorders>
            <w:shd w:val="clear" w:color="auto" w:fill="auto"/>
            <w:noWrap/>
            <w:vAlign w:val="bottom"/>
            <w:hideMark/>
          </w:tcPr>
          <w:p w14:paraId="123AAFDC" w14:textId="77777777" w:rsidR="00387142" w:rsidRPr="008B6A75" w:rsidRDefault="00387142" w:rsidP="00387142">
            <w:pPr>
              <w:jc w:val="right"/>
              <w:rPr>
                <w:sz w:val="20"/>
                <w:szCs w:val="20"/>
              </w:rPr>
            </w:pPr>
          </w:p>
        </w:tc>
        <w:tc>
          <w:tcPr>
            <w:tcW w:w="500" w:type="dxa"/>
            <w:tcBorders>
              <w:top w:val="nil"/>
              <w:left w:val="nil"/>
              <w:bottom w:val="nil"/>
              <w:right w:val="nil"/>
            </w:tcBorders>
            <w:shd w:val="clear" w:color="auto" w:fill="auto"/>
            <w:noWrap/>
            <w:vAlign w:val="bottom"/>
            <w:hideMark/>
          </w:tcPr>
          <w:p w14:paraId="70795446" w14:textId="77777777" w:rsidR="00387142" w:rsidRPr="008B6A75" w:rsidRDefault="00387142" w:rsidP="00387142">
            <w:pPr>
              <w:jc w:val="right"/>
              <w:rPr>
                <w:sz w:val="20"/>
                <w:szCs w:val="20"/>
              </w:rPr>
            </w:pPr>
          </w:p>
        </w:tc>
        <w:tc>
          <w:tcPr>
            <w:tcW w:w="500" w:type="dxa"/>
            <w:tcBorders>
              <w:top w:val="nil"/>
              <w:left w:val="nil"/>
              <w:bottom w:val="nil"/>
              <w:right w:val="nil"/>
            </w:tcBorders>
            <w:shd w:val="clear" w:color="auto" w:fill="auto"/>
            <w:noWrap/>
            <w:vAlign w:val="bottom"/>
            <w:hideMark/>
          </w:tcPr>
          <w:p w14:paraId="79A2FAF6" w14:textId="77777777" w:rsidR="00387142" w:rsidRPr="008B6A75" w:rsidRDefault="00387142" w:rsidP="00387142">
            <w:pPr>
              <w:rPr>
                <w:sz w:val="20"/>
                <w:szCs w:val="20"/>
              </w:rPr>
            </w:pPr>
          </w:p>
        </w:tc>
        <w:tc>
          <w:tcPr>
            <w:tcW w:w="500" w:type="dxa"/>
            <w:tcBorders>
              <w:top w:val="nil"/>
              <w:left w:val="nil"/>
              <w:bottom w:val="nil"/>
              <w:right w:val="nil"/>
            </w:tcBorders>
            <w:shd w:val="clear" w:color="auto" w:fill="auto"/>
            <w:noWrap/>
            <w:vAlign w:val="bottom"/>
            <w:hideMark/>
          </w:tcPr>
          <w:p w14:paraId="7C82A12E" w14:textId="77777777" w:rsidR="00387142" w:rsidRPr="008B6A75" w:rsidRDefault="00387142" w:rsidP="00387142">
            <w:pPr>
              <w:rPr>
                <w:sz w:val="20"/>
                <w:szCs w:val="20"/>
              </w:rPr>
            </w:pPr>
          </w:p>
        </w:tc>
        <w:tc>
          <w:tcPr>
            <w:tcW w:w="416" w:type="dxa"/>
            <w:tcBorders>
              <w:top w:val="nil"/>
              <w:left w:val="nil"/>
              <w:bottom w:val="nil"/>
              <w:right w:val="nil"/>
            </w:tcBorders>
            <w:shd w:val="clear" w:color="auto" w:fill="auto"/>
            <w:noWrap/>
            <w:vAlign w:val="bottom"/>
            <w:hideMark/>
          </w:tcPr>
          <w:p w14:paraId="3A6E5E9E" w14:textId="77777777" w:rsidR="00387142" w:rsidRPr="008B6A75" w:rsidRDefault="00387142" w:rsidP="00387142">
            <w:pPr>
              <w:rPr>
                <w:sz w:val="20"/>
                <w:szCs w:val="20"/>
              </w:rPr>
            </w:pPr>
          </w:p>
        </w:tc>
        <w:tc>
          <w:tcPr>
            <w:tcW w:w="750" w:type="dxa"/>
            <w:tcBorders>
              <w:top w:val="nil"/>
              <w:left w:val="nil"/>
              <w:bottom w:val="nil"/>
              <w:right w:val="nil"/>
            </w:tcBorders>
            <w:shd w:val="clear" w:color="auto" w:fill="auto"/>
            <w:noWrap/>
            <w:vAlign w:val="bottom"/>
            <w:hideMark/>
          </w:tcPr>
          <w:p w14:paraId="3730A572" w14:textId="77777777" w:rsidR="00387142" w:rsidRPr="008B6A75" w:rsidRDefault="00387142" w:rsidP="00387142">
            <w:pPr>
              <w:rPr>
                <w:sz w:val="20"/>
                <w:szCs w:val="20"/>
              </w:rPr>
            </w:pPr>
          </w:p>
        </w:tc>
        <w:tc>
          <w:tcPr>
            <w:tcW w:w="700" w:type="dxa"/>
            <w:tcBorders>
              <w:top w:val="nil"/>
              <w:left w:val="nil"/>
              <w:bottom w:val="nil"/>
              <w:right w:val="nil"/>
            </w:tcBorders>
            <w:shd w:val="clear" w:color="auto" w:fill="auto"/>
            <w:noWrap/>
            <w:vAlign w:val="bottom"/>
            <w:hideMark/>
          </w:tcPr>
          <w:p w14:paraId="6047DC48" w14:textId="77777777" w:rsidR="00387142" w:rsidRPr="008B6A75" w:rsidRDefault="00387142" w:rsidP="00387142">
            <w:pPr>
              <w:rPr>
                <w:sz w:val="20"/>
                <w:szCs w:val="20"/>
              </w:rPr>
            </w:pPr>
          </w:p>
        </w:tc>
        <w:tc>
          <w:tcPr>
            <w:tcW w:w="1157" w:type="dxa"/>
            <w:gridSpan w:val="2"/>
            <w:tcBorders>
              <w:top w:val="nil"/>
              <w:left w:val="nil"/>
              <w:bottom w:val="nil"/>
              <w:right w:val="nil"/>
            </w:tcBorders>
            <w:shd w:val="clear" w:color="auto" w:fill="auto"/>
            <w:noWrap/>
            <w:vAlign w:val="bottom"/>
            <w:hideMark/>
          </w:tcPr>
          <w:p w14:paraId="3FDA9624" w14:textId="77777777" w:rsidR="00387142" w:rsidRPr="008B6A75" w:rsidRDefault="00387142" w:rsidP="00387142">
            <w:pPr>
              <w:rPr>
                <w:sz w:val="20"/>
                <w:szCs w:val="20"/>
              </w:rPr>
            </w:pPr>
          </w:p>
        </w:tc>
        <w:tc>
          <w:tcPr>
            <w:tcW w:w="1276" w:type="dxa"/>
            <w:tcBorders>
              <w:top w:val="nil"/>
              <w:left w:val="nil"/>
              <w:bottom w:val="nil"/>
              <w:right w:val="nil"/>
            </w:tcBorders>
            <w:shd w:val="clear" w:color="auto" w:fill="auto"/>
            <w:noWrap/>
            <w:vAlign w:val="bottom"/>
            <w:hideMark/>
          </w:tcPr>
          <w:p w14:paraId="3FBEB0B4" w14:textId="77777777" w:rsidR="00387142" w:rsidRPr="008B6A75" w:rsidRDefault="00387142" w:rsidP="00387142">
            <w:pPr>
              <w:rPr>
                <w:sz w:val="20"/>
                <w:szCs w:val="20"/>
              </w:rPr>
            </w:pPr>
          </w:p>
        </w:tc>
        <w:tc>
          <w:tcPr>
            <w:tcW w:w="1021" w:type="dxa"/>
            <w:tcBorders>
              <w:top w:val="nil"/>
              <w:left w:val="nil"/>
              <w:bottom w:val="nil"/>
              <w:right w:val="nil"/>
            </w:tcBorders>
            <w:shd w:val="clear" w:color="auto" w:fill="auto"/>
            <w:noWrap/>
            <w:vAlign w:val="bottom"/>
            <w:hideMark/>
          </w:tcPr>
          <w:p w14:paraId="118DCA20" w14:textId="77777777" w:rsidR="00387142" w:rsidRPr="008B6A75" w:rsidRDefault="00387142" w:rsidP="00387142">
            <w:pPr>
              <w:jc w:val="right"/>
              <w:rPr>
                <w:color w:val="000000"/>
                <w:sz w:val="20"/>
                <w:szCs w:val="20"/>
              </w:rPr>
            </w:pPr>
            <w:r w:rsidRPr="008B6A75">
              <w:rPr>
                <w:color w:val="000000"/>
                <w:sz w:val="20"/>
                <w:szCs w:val="20"/>
              </w:rPr>
              <w:t>Приложение 15</w:t>
            </w:r>
          </w:p>
        </w:tc>
      </w:tr>
      <w:tr w:rsidR="00387142" w:rsidRPr="008B6A75" w14:paraId="66412D3A" w14:textId="77777777" w:rsidTr="00387142">
        <w:trPr>
          <w:gridAfter w:val="1"/>
          <w:wAfter w:w="9" w:type="dxa"/>
          <w:trHeight w:val="1965"/>
        </w:trPr>
        <w:tc>
          <w:tcPr>
            <w:tcW w:w="1985" w:type="dxa"/>
            <w:tcBorders>
              <w:top w:val="nil"/>
              <w:left w:val="nil"/>
              <w:bottom w:val="nil"/>
              <w:right w:val="nil"/>
            </w:tcBorders>
            <w:shd w:val="clear" w:color="auto" w:fill="auto"/>
            <w:noWrap/>
            <w:vAlign w:val="bottom"/>
            <w:hideMark/>
          </w:tcPr>
          <w:p w14:paraId="38987324" w14:textId="77777777" w:rsidR="00387142" w:rsidRPr="008B6A75" w:rsidRDefault="00387142" w:rsidP="00387142">
            <w:pPr>
              <w:jc w:val="right"/>
              <w:rPr>
                <w:color w:val="000000"/>
                <w:sz w:val="20"/>
                <w:szCs w:val="20"/>
              </w:rPr>
            </w:pPr>
          </w:p>
        </w:tc>
        <w:tc>
          <w:tcPr>
            <w:tcW w:w="1134" w:type="dxa"/>
            <w:tcBorders>
              <w:top w:val="nil"/>
              <w:left w:val="nil"/>
              <w:bottom w:val="nil"/>
              <w:right w:val="nil"/>
            </w:tcBorders>
            <w:shd w:val="clear" w:color="auto" w:fill="auto"/>
            <w:noWrap/>
            <w:vAlign w:val="bottom"/>
            <w:hideMark/>
          </w:tcPr>
          <w:p w14:paraId="4B85F668" w14:textId="77777777" w:rsidR="00387142" w:rsidRPr="008B6A75" w:rsidRDefault="00387142" w:rsidP="00387142">
            <w:pPr>
              <w:rPr>
                <w:sz w:val="20"/>
                <w:szCs w:val="20"/>
              </w:rPr>
            </w:pPr>
          </w:p>
        </w:tc>
        <w:tc>
          <w:tcPr>
            <w:tcW w:w="500" w:type="dxa"/>
            <w:tcBorders>
              <w:top w:val="nil"/>
              <w:left w:val="nil"/>
              <w:bottom w:val="nil"/>
              <w:right w:val="nil"/>
            </w:tcBorders>
            <w:shd w:val="clear" w:color="auto" w:fill="auto"/>
            <w:noWrap/>
            <w:vAlign w:val="bottom"/>
            <w:hideMark/>
          </w:tcPr>
          <w:p w14:paraId="6D4AD4D0" w14:textId="77777777" w:rsidR="00387142" w:rsidRPr="008B6A75" w:rsidRDefault="00387142" w:rsidP="00387142">
            <w:pPr>
              <w:rPr>
                <w:sz w:val="20"/>
                <w:szCs w:val="20"/>
              </w:rPr>
            </w:pPr>
          </w:p>
        </w:tc>
        <w:tc>
          <w:tcPr>
            <w:tcW w:w="500" w:type="dxa"/>
            <w:tcBorders>
              <w:top w:val="nil"/>
              <w:left w:val="nil"/>
              <w:bottom w:val="nil"/>
              <w:right w:val="nil"/>
            </w:tcBorders>
            <w:shd w:val="clear" w:color="auto" w:fill="auto"/>
            <w:noWrap/>
            <w:vAlign w:val="bottom"/>
            <w:hideMark/>
          </w:tcPr>
          <w:p w14:paraId="6AD31204" w14:textId="77777777" w:rsidR="00387142" w:rsidRPr="008B6A75" w:rsidRDefault="00387142" w:rsidP="00387142">
            <w:pPr>
              <w:rPr>
                <w:sz w:val="20"/>
                <w:szCs w:val="20"/>
              </w:rPr>
            </w:pPr>
          </w:p>
        </w:tc>
        <w:tc>
          <w:tcPr>
            <w:tcW w:w="500" w:type="dxa"/>
            <w:tcBorders>
              <w:top w:val="nil"/>
              <w:left w:val="nil"/>
              <w:bottom w:val="nil"/>
              <w:right w:val="nil"/>
            </w:tcBorders>
            <w:shd w:val="clear" w:color="auto" w:fill="auto"/>
            <w:noWrap/>
            <w:vAlign w:val="bottom"/>
            <w:hideMark/>
          </w:tcPr>
          <w:p w14:paraId="3E67175E" w14:textId="77777777" w:rsidR="00387142" w:rsidRPr="008B6A75" w:rsidRDefault="00387142" w:rsidP="00387142">
            <w:pPr>
              <w:rPr>
                <w:sz w:val="20"/>
                <w:szCs w:val="20"/>
              </w:rPr>
            </w:pPr>
          </w:p>
        </w:tc>
        <w:tc>
          <w:tcPr>
            <w:tcW w:w="500" w:type="dxa"/>
            <w:tcBorders>
              <w:top w:val="nil"/>
              <w:left w:val="nil"/>
              <w:bottom w:val="nil"/>
              <w:right w:val="nil"/>
            </w:tcBorders>
            <w:shd w:val="clear" w:color="auto" w:fill="auto"/>
            <w:noWrap/>
            <w:vAlign w:val="bottom"/>
            <w:hideMark/>
          </w:tcPr>
          <w:p w14:paraId="13F84AFE" w14:textId="77777777" w:rsidR="00387142" w:rsidRPr="008B6A75" w:rsidRDefault="00387142" w:rsidP="00387142">
            <w:pPr>
              <w:rPr>
                <w:sz w:val="20"/>
                <w:szCs w:val="20"/>
              </w:rPr>
            </w:pPr>
          </w:p>
        </w:tc>
        <w:tc>
          <w:tcPr>
            <w:tcW w:w="416" w:type="dxa"/>
            <w:tcBorders>
              <w:top w:val="nil"/>
              <w:left w:val="nil"/>
              <w:bottom w:val="nil"/>
              <w:right w:val="nil"/>
            </w:tcBorders>
            <w:shd w:val="clear" w:color="auto" w:fill="auto"/>
            <w:noWrap/>
            <w:vAlign w:val="bottom"/>
            <w:hideMark/>
          </w:tcPr>
          <w:p w14:paraId="37619D95" w14:textId="77777777" w:rsidR="00387142" w:rsidRPr="008B6A75" w:rsidRDefault="00387142" w:rsidP="00387142">
            <w:pPr>
              <w:rPr>
                <w:sz w:val="20"/>
                <w:szCs w:val="20"/>
              </w:rPr>
            </w:pPr>
          </w:p>
        </w:tc>
        <w:tc>
          <w:tcPr>
            <w:tcW w:w="750" w:type="dxa"/>
            <w:tcBorders>
              <w:top w:val="nil"/>
              <w:left w:val="nil"/>
              <w:bottom w:val="nil"/>
              <w:right w:val="nil"/>
            </w:tcBorders>
            <w:shd w:val="clear" w:color="auto" w:fill="auto"/>
            <w:noWrap/>
            <w:vAlign w:val="bottom"/>
            <w:hideMark/>
          </w:tcPr>
          <w:p w14:paraId="36E73685" w14:textId="77777777" w:rsidR="00387142" w:rsidRPr="008B6A75" w:rsidRDefault="00387142" w:rsidP="00387142">
            <w:pPr>
              <w:rPr>
                <w:sz w:val="20"/>
                <w:szCs w:val="20"/>
              </w:rPr>
            </w:pPr>
          </w:p>
        </w:tc>
        <w:tc>
          <w:tcPr>
            <w:tcW w:w="700" w:type="dxa"/>
            <w:tcBorders>
              <w:top w:val="nil"/>
              <w:left w:val="nil"/>
              <w:bottom w:val="nil"/>
              <w:right w:val="nil"/>
            </w:tcBorders>
            <w:shd w:val="clear" w:color="auto" w:fill="auto"/>
            <w:noWrap/>
            <w:vAlign w:val="bottom"/>
            <w:hideMark/>
          </w:tcPr>
          <w:p w14:paraId="5F235A8A" w14:textId="77777777" w:rsidR="00387142" w:rsidRPr="008B6A75" w:rsidRDefault="00387142" w:rsidP="00387142">
            <w:pPr>
              <w:rPr>
                <w:sz w:val="20"/>
                <w:szCs w:val="20"/>
              </w:rPr>
            </w:pPr>
          </w:p>
        </w:tc>
        <w:tc>
          <w:tcPr>
            <w:tcW w:w="3454" w:type="dxa"/>
            <w:gridSpan w:val="4"/>
            <w:tcBorders>
              <w:top w:val="nil"/>
              <w:left w:val="nil"/>
              <w:bottom w:val="nil"/>
              <w:right w:val="nil"/>
            </w:tcBorders>
            <w:shd w:val="clear" w:color="auto" w:fill="auto"/>
            <w:vAlign w:val="center"/>
            <w:hideMark/>
          </w:tcPr>
          <w:p w14:paraId="6A55523F" w14:textId="77777777" w:rsidR="00387142" w:rsidRPr="008B6A75" w:rsidRDefault="00387142" w:rsidP="00387142">
            <w:pPr>
              <w:jc w:val="right"/>
              <w:rPr>
                <w:color w:val="000000"/>
                <w:sz w:val="20"/>
                <w:szCs w:val="20"/>
              </w:rPr>
            </w:pPr>
            <w:r w:rsidRPr="008B6A75">
              <w:rPr>
                <w:color w:val="000000"/>
                <w:sz w:val="20"/>
                <w:szCs w:val="20"/>
              </w:rPr>
              <w:t>к решению сессии Совета депутатов Куйбышевского муниципального района Новосибирской области "О бюджете Куйбышевского муниципального района Новосибирской области на 2022 год и плановый период 2023 и 2024 годов"</w:t>
            </w:r>
          </w:p>
        </w:tc>
      </w:tr>
      <w:tr w:rsidR="00387142" w:rsidRPr="008B6A75" w14:paraId="2628F4CF" w14:textId="77777777" w:rsidTr="00387142">
        <w:trPr>
          <w:gridAfter w:val="1"/>
          <w:wAfter w:w="9" w:type="dxa"/>
          <w:trHeight w:val="315"/>
        </w:trPr>
        <w:tc>
          <w:tcPr>
            <w:tcW w:w="1985" w:type="dxa"/>
            <w:tcBorders>
              <w:top w:val="nil"/>
              <w:left w:val="nil"/>
              <w:bottom w:val="nil"/>
              <w:right w:val="nil"/>
            </w:tcBorders>
            <w:shd w:val="clear" w:color="auto" w:fill="auto"/>
            <w:noWrap/>
            <w:vAlign w:val="bottom"/>
            <w:hideMark/>
          </w:tcPr>
          <w:p w14:paraId="6D70EAF3" w14:textId="77777777" w:rsidR="00387142" w:rsidRPr="008B6A75" w:rsidRDefault="00387142" w:rsidP="00387142">
            <w:pPr>
              <w:jc w:val="right"/>
              <w:rPr>
                <w:color w:val="000000"/>
                <w:sz w:val="20"/>
                <w:szCs w:val="20"/>
              </w:rPr>
            </w:pPr>
          </w:p>
        </w:tc>
        <w:tc>
          <w:tcPr>
            <w:tcW w:w="1134" w:type="dxa"/>
            <w:tcBorders>
              <w:top w:val="nil"/>
              <w:left w:val="nil"/>
              <w:bottom w:val="nil"/>
              <w:right w:val="nil"/>
            </w:tcBorders>
            <w:shd w:val="clear" w:color="auto" w:fill="auto"/>
            <w:noWrap/>
            <w:vAlign w:val="bottom"/>
            <w:hideMark/>
          </w:tcPr>
          <w:p w14:paraId="1FF26729" w14:textId="77777777" w:rsidR="00387142" w:rsidRPr="008B6A75" w:rsidRDefault="00387142" w:rsidP="00387142">
            <w:pPr>
              <w:rPr>
                <w:sz w:val="20"/>
                <w:szCs w:val="20"/>
              </w:rPr>
            </w:pPr>
          </w:p>
        </w:tc>
        <w:tc>
          <w:tcPr>
            <w:tcW w:w="500" w:type="dxa"/>
            <w:tcBorders>
              <w:top w:val="nil"/>
              <w:left w:val="nil"/>
              <w:bottom w:val="nil"/>
              <w:right w:val="nil"/>
            </w:tcBorders>
            <w:shd w:val="clear" w:color="auto" w:fill="auto"/>
            <w:noWrap/>
            <w:vAlign w:val="bottom"/>
            <w:hideMark/>
          </w:tcPr>
          <w:p w14:paraId="316C658A" w14:textId="77777777" w:rsidR="00387142" w:rsidRPr="008B6A75" w:rsidRDefault="00387142" w:rsidP="00387142">
            <w:pPr>
              <w:rPr>
                <w:sz w:val="20"/>
                <w:szCs w:val="20"/>
              </w:rPr>
            </w:pPr>
          </w:p>
        </w:tc>
        <w:tc>
          <w:tcPr>
            <w:tcW w:w="500" w:type="dxa"/>
            <w:tcBorders>
              <w:top w:val="nil"/>
              <w:left w:val="nil"/>
              <w:bottom w:val="nil"/>
              <w:right w:val="nil"/>
            </w:tcBorders>
            <w:shd w:val="clear" w:color="auto" w:fill="auto"/>
            <w:noWrap/>
            <w:vAlign w:val="bottom"/>
            <w:hideMark/>
          </w:tcPr>
          <w:p w14:paraId="26802A36" w14:textId="77777777" w:rsidR="00387142" w:rsidRPr="008B6A75" w:rsidRDefault="00387142" w:rsidP="00387142">
            <w:pPr>
              <w:rPr>
                <w:sz w:val="20"/>
                <w:szCs w:val="20"/>
              </w:rPr>
            </w:pPr>
          </w:p>
        </w:tc>
        <w:tc>
          <w:tcPr>
            <w:tcW w:w="500" w:type="dxa"/>
            <w:tcBorders>
              <w:top w:val="nil"/>
              <w:left w:val="nil"/>
              <w:bottom w:val="nil"/>
              <w:right w:val="nil"/>
            </w:tcBorders>
            <w:shd w:val="clear" w:color="auto" w:fill="auto"/>
            <w:noWrap/>
            <w:vAlign w:val="bottom"/>
            <w:hideMark/>
          </w:tcPr>
          <w:p w14:paraId="1DE0339C" w14:textId="77777777" w:rsidR="00387142" w:rsidRPr="008B6A75" w:rsidRDefault="00387142" w:rsidP="00387142">
            <w:pPr>
              <w:rPr>
                <w:sz w:val="20"/>
                <w:szCs w:val="20"/>
              </w:rPr>
            </w:pPr>
          </w:p>
        </w:tc>
        <w:tc>
          <w:tcPr>
            <w:tcW w:w="500" w:type="dxa"/>
            <w:tcBorders>
              <w:top w:val="nil"/>
              <w:left w:val="nil"/>
              <w:bottom w:val="nil"/>
              <w:right w:val="nil"/>
            </w:tcBorders>
            <w:shd w:val="clear" w:color="auto" w:fill="auto"/>
            <w:noWrap/>
            <w:vAlign w:val="bottom"/>
            <w:hideMark/>
          </w:tcPr>
          <w:p w14:paraId="3D28A0EB" w14:textId="77777777" w:rsidR="00387142" w:rsidRPr="008B6A75" w:rsidRDefault="00387142" w:rsidP="00387142">
            <w:pPr>
              <w:rPr>
                <w:sz w:val="20"/>
                <w:szCs w:val="20"/>
              </w:rPr>
            </w:pPr>
          </w:p>
        </w:tc>
        <w:tc>
          <w:tcPr>
            <w:tcW w:w="416" w:type="dxa"/>
            <w:tcBorders>
              <w:top w:val="nil"/>
              <w:left w:val="nil"/>
              <w:bottom w:val="nil"/>
              <w:right w:val="nil"/>
            </w:tcBorders>
            <w:shd w:val="clear" w:color="auto" w:fill="auto"/>
            <w:noWrap/>
            <w:vAlign w:val="bottom"/>
            <w:hideMark/>
          </w:tcPr>
          <w:p w14:paraId="5AB22884" w14:textId="77777777" w:rsidR="00387142" w:rsidRPr="008B6A75" w:rsidRDefault="00387142" w:rsidP="00387142">
            <w:pPr>
              <w:rPr>
                <w:sz w:val="20"/>
                <w:szCs w:val="20"/>
              </w:rPr>
            </w:pPr>
          </w:p>
        </w:tc>
        <w:tc>
          <w:tcPr>
            <w:tcW w:w="750" w:type="dxa"/>
            <w:tcBorders>
              <w:top w:val="nil"/>
              <w:left w:val="nil"/>
              <w:bottom w:val="nil"/>
              <w:right w:val="nil"/>
            </w:tcBorders>
            <w:shd w:val="clear" w:color="auto" w:fill="auto"/>
            <w:noWrap/>
            <w:vAlign w:val="bottom"/>
            <w:hideMark/>
          </w:tcPr>
          <w:p w14:paraId="7FC9454A" w14:textId="77777777" w:rsidR="00387142" w:rsidRPr="008B6A75" w:rsidRDefault="00387142" w:rsidP="00387142">
            <w:pPr>
              <w:rPr>
                <w:sz w:val="20"/>
                <w:szCs w:val="20"/>
              </w:rPr>
            </w:pPr>
          </w:p>
        </w:tc>
        <w:tc>
          <w:tcPr>
            <w:tcW w:w="700" w:type="dxa"/>
            <w:tcBorders>
              <w:top w:val="nil"/>
              <w:left w:val="nil"/>
              <w:bottom w:val="nil"/>
              <w:right w:val="nil"/>
            </w:tcBorders>
            <w:shd w:val="clear" w:color="auto" w:fill="auto"/>
            <w:noWrap/>
            <w:vAlign w:val="bottom"/>
            <w:hideMark/>
          </w:tcPr>
          <w:p w14:paraId="677412F4" w14:textId="77777777" w:rsidR="00387142" w:rsidRPr="008B6A75" w:rsidRDefault="00387142" w:rsidP="00387142">
            <w:pPr>
              <w:rPr>
                <w:sz w:val="20"/>
                <w:szCs w:val="20"/>
              </w:rPr>
            </w:pPr>
          </w:p>
        </w:tc>
        <w:tc>
          <w:tcPr>
            <w:tcW w:w="1157" w:type="dxa"/>
            <w:gridSpan w:val="2"/>
            <w:tcBorders>
              <w:top w:val="nil"/>
              <w:left w:val="nil"/>
              <w:bottom w:val="nil"/>
              <w:right w:val="nil"/>
            </w:tcBorders>
            <w:shd w:val="clear" w:color="auto" w:fill="auto"/>
            <w:noWrap/>
            <w:vAlign w:val="bottom"/>
            <w:hideMark/>
          </w:tcPr>
          <w:p w14:paraId="6B080A35" w14:textId="77777777" w:rsidR="00387142" w:rsidRPr="008B6A75" w:rsidRDefault="00387142" w:rsidP="00387142">
            <w:pPr>
              <w:rPr>
                <w:sz w:val="20"/>
                <w:szCs w:val="20"/>
              </w:rPr>
            </w:pPr>
          </w:p>
        </w:tc>
        <w:tc>
          <w:tcPr>
            <w:tcW w:w="1276" w:type="dxa"/>
            <w:tcBorders>
              <w:top w:val="nil"/>
              <w:left w:val="nil"/>
              <w:bottom w:val="nil"/>
              <w:right w:val="nil"/>
            </w:tcBorders>
            <w:shd w:val="clear" w:color="auto" w:fill="auto"/>
            <w:noWrap/>
            <w:vAlign w:val="bottom"/>
            <w:hideMark/>
          </w:tcPr>
          <w:p w14:paraId="2E7C7EDA" w14:textId="77777777" w:rsidR="00387142" w:rsidRPr="008B6A75" w:rsidRDefault="00387142" w:rsidP="00387142">
            <w:pPr>
              <w:rPr>
                <w:sz w:val="20"/>
                <w:szCs w:val="20"/>
              </w:rPr>
            </w:pPr>
          </w:p>
        </w:tc>
        <w:tc>
          <w:tcPr>
            <w:tcW w:w="1021" w:type="dxa"/>
            <w:tcBorders>
              <w:top w:val="nil"/>
              <w:left w:val="nil"/>
              <w:bottom w:val="nil"/>
              <w:right w:val="nil"/>
            </w:tcBorders>
            <w:shd w:val="clear" w:color="auto" w:fill="auto"/>
            <w:noWrap/>
            <w:vAlign w:val="bottom"/>
            <w:hideMark/>
          </w:tcPr>
          <w:p w14:paraId="791B44BD" w14:textId="77777777" w:rsidR="00387142" w:rsidRPr="008B6A75" w:rsidRDefault="00387142" w:rsidP="00387142">
            <w:pPr>
              <w:rPr>
                <w:sz w:val="20"/>
                <w:szCs w:val="20"/>
              </w:rPr>
            </w:pPr>
          </w:p>
        </w:tc>
      </w:tr>
      <w:tr w:rsidR="00387142" w:rsidRPr="008B6A75" w14:paraId="35BB297C" w14:textId="77777777" w:rsidTr="00387142">
        <w:trPr>
          <w:trHeight w:val="930"/>
        </w:trPr>
        <w:tc>
          <w:tcPr>
            <w:tcW w:w="10448" w:type="dxa"/>
            <w:gridSpan w:val="14"/>
            <w:tcBorders>
              <w:top w:val="nil"/>
              <w:left w:val="nil"/>
              <w:bottom w:val="nil"/>
              <w:right w:val="nil"/>
            </w:tcBorders>
            <w:shd w:val="clear" w:color="auto" w:fill="auto"/>
            <w:vAlign w:val="center"/>
            <w:hideMark/>
          </w:tcPr>
          <w:p w14:paraId="0C445D47" w14:textId="77777777" w:rsidR="00387142" w:rsidRPr="008B6A75" w:rsidRDefault="00387142" w:rsidP="00387142">
            <w:pPr>
              <w:jc w:val="center"/>
              <w:rPr>
                <w:bCs/>
                <w:color w:val="000000"/>
                <w:sz w:val="20"/>
                <w:szCs w:val="20"/>
              </w:rPr>
            </w:pPr>
            <w:r w:rsidRPr="008B6A75">
              <w:rPr>
                <w:bCs/>
                <w:color w:val="000000"/>
                <w:sz w:val="20"/>
                <w:szCs w:val="20"/>
              </w:rPr>
              <w:lastRenderedPageBreak/>
              <w:t>РАСПРЕДЕЛЕНИЕ АССИГНОВАНИЙ НА КАПИТАЛЬНЫЕ ВЛОЖЕНИЯ ИЗ РАЙОННОГО БЮДЖЕТА ПО НАПРАВЛЕНИЯМ И ОБЪЕКТАМ В 2022 ГОДУ И ПЛАНОВОМ ПЕРИОДЕ 2023 И 2024 ГОДОВ</w:t>
            </w:r>
          </w:p>
        </w:tc>
      </w:tr>
      <w:tr w:rsidR="00387142" w:rsidRPr="008B6A75" w14:paraId="09BE588F" w14:textId="77777777" w:rsidTr="00387142">
        <w:trPr>
          <w:gridAfter w:val="1"/>
          <w:wAfter w:w="9" w:type="dxa"/>
          <w:trHeight w:val="315"/>
        </w:trPr>
        <w:tc>
          <w:tcPr>
            <w:tcW w:w="1985" w:type="dxa"/>
            <w:tcBorders>
              <w:top w:val="nil"/>
              <w:left w:val="nil"/>
              <w:bottom w:val="nil"/>
              <w:right w:val="nil"/>
            </w:tcBorders>
            <w:shd w:val="clear" w:color="auto" w:fill="auto"/>
            <w:noWrap/>
            <w:vAlign w:val="bottom"/>
            <w:hideMark/>
          </w:tcPr>
          <w:p w14:paraId="683358D4" w14:textId="77777777" w:rsidR="00387142" w:rsidRPr="008B6A75" w:rsidRDefault="00387142" w:rsidP="00387142">
            <w:pPr>
              <w:jc w:val="center"/>
              <w:rPr>
                <w:bCs/>
                <w:color w:val="000000"/>
                <w:sz w:val="20"/>
                <w:szCs w:val="20"/>
              </w:rPr>
            </w:pPr>
          </w:p>
        </w:tc>
        <w:tc>
          <w:tcPr>
            <w:tcW w:w="1134" w:type="dxa"/>
            <w:tcBorders>
              <w:top w:val="nil"/>
              <w:left w:val="nil"/>
              <w:bottom w:val="nil"/>
              <w:right w:val="nil"/>
            </w:tcBorders>
            <w:shd w:val="clear" w:color="auto" w:fill="auto"/>
            <w:noWrap/>
            <w:vAlign w:val="bottom"/>
            <w:hideMark/>
          </w:tcPr>
          <w:p w14:paraId="14E3B49B" w14:textId="77777777" w:rsidR="00387142" w:rsidRPr="008B6A75" w:rsidRDefault="00387142" w:rsidP="00387142">
            <w:pPr>
              <w:rPr>
                <w:sz w:val="20"/>
                <w:szCs w:val="20"/>
              </w:rPr>
            </w:pPr>
          </w:p>
        </w:tc>
        <w:tc>
          <w:tcPr>
            <w:tcW w:w="500" w:type="dxa"/>
            <w:tcBorders>
              <w:top w:val="nil"/>
              <w:left w:val="nil"/>
              <w:bottom w:val="nil"/>
              <w:right w:val="nil"/>
            </w:tcBorders>
            <w:shd w:val="clear" w:color="auto" w:fill="auto"/>
            <w:noWrap/>
            <w:vAlign w:val="bottom"/>
            <w:hideMark/>
          </w:tcPr>
          <w:p w14:paraId="7E944DE2" w14:textId="77777777" w:rsidR="00387142" w:rsidRPr="008B6A75" w:rsidRDefault="00387142" w:rsidP="00387142">
            <w:pPr>
              <w:rPr>
                <w:sz w:val="20"/>
                <w:szCs w:val="20"/>
              </w:rPr>
            </w:pPr>
          </w:p>
        </w:tc>
        <w:tc>
          <w:tcPr>
            <w:tcW w:w="500" w:type="dxa"/>
            <w:tcBorders>
              <w:top w:val="nil"/>
              <w:left w:val="nil"/>
              <w:bottom w:val="nil"/>
              <w:right w:val="nil"/>
            </w:tcBorders>
            <w:shd w:val="clear" w:color="auto" w:fill="auto"/>
            <w:noWrap/>
            <w:vAlign w:val="bottom"/>
            <w:hideMark/>
          </w:tcPr>
          <w:p w14:paraId="1A7CE46B" w14:textId="77777777" w:rsidR="00387142" w:rsidRPr="008B6A75" w:rsidRDefault="00387142" w:rsidP="00387142">
            <w:pPr>
              <w:rPr>
                <w:sz w:val="20"/>
                <w:szCs w:val="20"/>
              </w:rPr>
            </w:pPr>
          </w:p>
        </w:tc>
        <w:tc>
          <w:tcPr>
            <w:tcW w:w="500" w:type="dxa"/>
            <w:tcBorders>
              <w:top w:val="nil"/>
              <w:left w:val="nil"/>
              <w:bottom w:val="nil"/>
              <w:right w:val="nil"/>
            </w:tcBorders>
            <w:shd w:val="clear" w:color="auto" w:fill="auto"/>
            <w:noWrap/>
            <w:vAlign w:val="bottom"/>
            <w:hideMark/>
          </w:tcPr>
          <w:p w14:paraId="4453A687" w14:textId="77777777" w:rsidR="00387142" w:rsidRPr="008B6A75" w:rsidRDefault="00387142" w:rsidP="00387142">
            <w:pPr>
              <w:rPr>
                <w:sz w:val="20"/>
                <w:szCs w:val="20"/>
              </w:rPr>
            </w:pPr>
          </w:p>
        </w:tc>
        <w:tc>
          <w:tcPr>
            <w:tcW w:w="500" w:type="dxa"/>
            <w:tcBorders>
              <w:top w:val="nil"/>
              <w:left w:val="nil"/>
              <w:bottom w:val="nil"/>
              <w:right w:val="nil"/>
            </w:tcBorders>
            <w:shd w:val="clear" w:color="auto" w:fill="auto"/>
            <w:noWrap/>
            <w:vAlign w:val="bottom"/>
            <w:hideMark/>
          </w:tcPr>
          <w:p w14:paraId="582851B9" w14:textId="77777777" w:rsidR="00387142" w:rsidRPr="008B6A75" w:rsidRDefault="00387142" w:rsidP="00387142">
            <w:pPr>
              <w:rPr>
                <w:sz w:val="20"/>
                <w:szCs w:val="20"/>
              </w:rPr>
            </w:pPr>
          </w:p>
        </w:tc>
        <w:tc>
          <w:tcPr>
            <w:tcW w:w="416" w:type="dxa"/>
            <w:tcBorders>
              <w:top w:val="nil"/>
              <w:left w:val="nil"/>
              <w:bottom w:val="nil"/>
              <w:right w:val="nil"/>
            </w:tcBorders>
            <w:shd w:val="clear" w:color="auto" w:fill="auto"/>
            <w:noWrap/>
            <w:vAlign w:val="bottom"/>
            <w:hideMark/>
          </w:tcPr>
          <w:p w14:paraId="1DD40764" w14:textId="77777777" w:rsidR="00387142" w:rsidRPr="008B6A75" w:rsidRDefault="00387142" w:rsidP="00387142">
            <w:pPr>
              <w:rPr>
                <w:sz w:val="20"/>
                <w:szCs w:val="20"/>
              </w:rPr>
            </w:pPr>
          </w:p>
        </w:tc>
        <w:tc>
          <w:tcPr>
            <w:tcW w:w="750" w:type="dxa"/>
            <w:tcBorders>
              <w:top w:val="nil"/>
              <w:left w:val="nil"/>
              <w:bottom w:val="nil"/>
              <w:right w:val="nil"/>
            </w:tcBorders>
            <w:shd w:val="clear" w:color="auto" w:fill="auto"/>
            <w:noWrap/>
            <w:vAlign w:val="bottom"/>
            <w:hideMark/>
          </w:tcPr>
          <w:p w14:paraId="6A2C515B" w14:textId="77777777" w:rsidR="00387142" w:rsidRPr="008B6A75" w:rsidRDefault="00387142" w:rsidP="00387142">
            <w:pPr>
              <w:rPr>
                <w:sz w:val="20"/>
                <w:szCs w:val="20"/>
              </w:rPr>
            </w:pPr>
          </w:p>
        </w:tc>
        <w:tc>
          <w:tcPr>
            <w:tcW w:w="700" w:type="dxa"/>
            <w:tcBorders>
              <w:top w:val="nil"/>
              <w:left w:val="nil"/>
              <w:bottom w:val="nil"/>
              <w:right w:val="nil"/>
            </w:tcBorders>
            <w:shd w:val="clear" w:color="auto" w:fill="auto"/>
            <w:noWrap/>
            <w:vAlign w:val="bottom"/>
            <w:hideMark/>
          </w:tcPr>
          <w:p w14:paraId="4139FB95" w14:textId="77777777" w:rsidR="00387142" w:rsidRPr="008B6A75" w:rsidRDefault="00387142" w:rsidP="00387142">
            <w:pPr>
              <w:rPr>
                <w:sz w:val="20"/>
                <w:szCs w:val="20"/>
              </w:rPr>
            </w:pPr>
          </w:p>
        </w:tc>
        <w:tc>
          <w:tcPr>
            <w:tcW w:w="1157" w:type="dxa"/>
            <w:gridSpan w:val="2"/>
            <w:tcBorders>
              <w:top w:val="nil"/>
              <w:left w:val="nil"/>
              <w:bottom w:val="nil"/>
              <w:right w:val="nil"/>
            </w:tcBorders>
            <w:shd w:val="clear" w:color="auto" w:fill="auto"/>
            <w:noWrap/>
            <w:vAlign w:val="bottom"/>
            <w:hideMark/>
          </w:tcPr>
          <w:p w14:paraId="68754FB4" w14:textId="77777777" w:rsidR="00387142" w:rsidRPr="008B6A75" w:rsidRDefault="00387142" w:rsidP="00387142">
            <w:pPr>
              <w:rPr>
                <w:sz w:val="20"/>
                <w:szCs w:val="20"/>
              </w:rPr>
            </w:pPr>
          </w:p>
        </w:tc>
        <w:tc>
          <w:tcPr>
            <w:tcW w:w="1276" w:type="dxa"/>
            <w:tcBorders>
              <w:top w:val="nil"/>
              <w:left w:val="nil"/>
              <w:bottom w:val="nil"/>
              <w:right w:val="nil"/>
            </w:tcBorders>
            <w:shd w:val="clear" w:color="auto" w:fill="auto"/>
            <w:noWrap/>
            <w:vAlign w:val="bottom"/>
            <w:hideMark/>
          </w:tcPr>
          <w:p w14:paraId="777F9EA7" w14:textId="77777777" w:rsidR="00387142" w:rsidRPr="008B6A75" w:rsidRDefault="00387142" w:rsidP="00387142">
            <w:pPr>
              <w:rPr>
                <w:sz w:val="20"/>
                <w:szCs w:val="20"/>
              </w:rPr>
            </w:pPr>
          </w:p>
        </w:tc>
        <w:tc>
          <w:tcPr>
            <w:tcW w:w="1021" w:type="dxa"/>
            <w:tcBorders>
              <w:top w:val="nil"/>
              <w:left w:val="nil"/>
              <w:bottom w:val="nil"/>
              <w:right w:val="nil"/>
            </w:tcBorders>
            <w:shd w:val="clear" w:color="auto" w:fill="auto"/>
            <w:noWrap/>
            <w:vAlign w:val="bottom"/>
            <w:hideMark/>
          </w:tcPr>
          <w:p w14:paraId="75F66CF1" w14:textId="77777777" w:rsidR="00387142" w:rsidRPr="008B6A75" w:rsidRDefault="00387142" w:rsidP="00387142">
            <w:pPr>
              <w:rPr>
                <w:sz w:val="20"/>
                <w:szCs w:val="20"/>
              </w:rPr>
            </w:pPr>
          </w:p>
        </w:tc>
      </w:tr>
      <w:tr w:rsidR="00387142" w:rsidRPr="008B6A75" w14:paraId="520B90C8" w14:textId="77777777" w:rsidTr="00387142">
        <w:trPr>
          <w:gridAfter w:val="1"/>
          <w:wAfter w:w="9" w:type="dxa"/>
          <w:trHeight w:val="315"/>
        </w:trPr>
        <w:tc>
          <w:tcPr>
            <w:tcW w:w="1985" w:type="dxa"/>
            <w:tcBorders>
              <w:top w:val="nil"/>
              <w:left w:val="nil"/>
              <w:bottom w:val="nil"/>
              <w:right w:val="nil"/>
            </w:tcBorders>
            <w:shd w:val="clear" w:color="auto" w:fill="auto"/>
            <w:noWrap/>
            <w:vAlign w:val="bottom"/>
            <w:hideMark/>
          </w:tcPr>
          <w:p w14:paraId="665814ED" w14:textId="77777777" w:rsidR="00387142" w:rsidRPr="008B6A75" w:rsidRDefault="00387142" w:rsidP="00387142">
            <w:pPr>
              <w:rPr>
                <w:sz w:val="20"/>
                <w:szCs w:val="20"/>
              </w:rPr>
            </w:pPr>
          </w:p>
        </w:tc>
        <w:tc>
          <w:tcPr>
            <w:tcW w:w="1134" w:type="dxa"/>
            <w:tcBorders>
              <w:top w:val="nil"/>
              <w:left w:val="nil"/>
              <w:bottom w:val="nil"/>
              <w:right w:val="nil"/>
            </w:tcBorders>
            <w:shd w:val="clear" w:color="auto" w:fill="auto"/>
            <w:noWrap/>
            <w:vAlign w:val="center"/>
            <w:hideMark/>
          </w:tcPr>
          <w:p w14:paraId="5C27C407" w14:textId="77777777" w:rsidR="00387142" w:rsidRPr="008B6A75" w:rsidRDefault="00387142" w:rsidP="00387142">
            <w:pPr>
              <w:rPr>
                <w:sz w:val="20"/>
                <w:szCs w:val="20"/>
              </w:rPr>
            </w:pPr>
          </w:p>
        </w:tc>
        <w:tc>
          <w:tcPr>
            <w:tcW w:w="500" w:type="dxa"/>
            <w:tcBorders>
              <w:top w:val="nil"/>
              <w:left w:val="nil"/>
              <w:bottom w:val="nil"/>
              <w:right w:val="nil"/>
            </w:tcBorders>
            <w:shd w:val="clear" w:color="auto" w:fill="auto"/>
            <w:noWrap/>
            <w:vAlign w:val="center"/>
            <w:hideMark/>
          </w:tcPr>
          <w:p w14:paraId="7C982B03" w14:textId="77777777" w:rsidR="00387142" w:rsidRPr="008B6A75" w:rsidRDefault="00387142" w:rsidP="00387142">
            <w:pPr>
              <w:jc w:val="center"/>
              <w:rPr>
                <w:sz w:val="20"/>
                <w:szCs w:val="20"/>
              </w:rPr>
            </w:pPr>
          </w:p>
        </w:tc>
        <w:tc>
          <w:tcPr>
            <w:tcW w:w="500" w:type="dxa"/>
            <w:tcBorders>
              <w:top w:val="nil"/>
              <w:left w:val="nil"/>
              <w:bottom w:val="nil"/>
              <w:right w:val="nil"/>
            </w:tcBorders>
            <w:shd w:val="clear" w:color="auto" w:fill="auto"/>
            <w:vAlign w:val="center"/>
            <w:hideMark/>
          </w:tcPr>
          <w:p w14:paraId="74B7168F" w14:textId="77777777" w:rsidR="00387142" w:rsidRPr="008B6A75" w:rsidRDefault="00387142" w:rsidP="00387142">
            <w:pPr>
              <w:jc w:val="center"/>
              <w:rPr>
                <w:sz w:val="20"/>
                <w:szCs w:val="20"/>
              </w:rPr>
            </w:pPr>
          </w:p>
        </w:tc>
        <w:tc>
          <w:tcPr>
            <w:tcW w:w="500" w:type="dxa"/>
            <w:tcBorders>
              <w:top w:val="nil"/>
              <w:left w:val="nil"/>
              <w:bottom w:val="nil"/>
              <w:right w:val="nil"/>
            </w:tcBorders>
            <w:shd w:val="clear" w:color="auto" w:fill="auto"/>
            <w:vAlign w:val="center"/>
            <w:hideMark/>
          </w:tcPr>
          <w:p w14:paraId="2EE9718C" w14:textId="77777777" w:rsidR="00387142" w:rsidRPr="008B6A75" w:rsidRDefault="00387142" w:rsidP="00387142">
            <w:pPr>
              <w:jc w:val="center"/>
              <w:rPr>
                <w:sz w:val="20"/>
                <w:szCs w:val="20"/>
              </w:rPr>
            </w:pPr>
          </w:p>
        </w:tc>
        <w:tc>
          <w:tcPr>
            <w:tcW w:w="500" w:type="dxa"/>
            <w:tcBorders>
              <w:top w:val="nil"/>
              <w:left w:val="nil"/>
              <w:bottom w:val="nil"/>
              <w:right w:val="nil"/>
            </w:tcBorders>
            <w:shd w:val="clear" w:color="auto" w:fill="auto"/>
            <w:vAlign w:val="center"/>
            <w:hideMark/>
          </w:tcPr>
          <w:p w14:paraId="4CB5DC9A" w14:textId="77777777" w:rsidR="00387142" w:rsidRPr="008B6A75" w:rsidRDefault="00387142" w:rsidP="00387142">
            <w:pPr>
              <w:jc w:val="center"/>
              <w:rPr>
                <w:sz w:val="20"/>
                <w:szCs w:val="20"/>
              </w:rPr>
            </w:pPr>
          </w:p>
        </w:tc>
        <w:tc>
          <w:tcPr>
            <w:tcW w:w="416" w:type="dxa"/>
            <w:tcBorders>
              <w:top w:val="nil"/>
              <w:left w:val="nil"/>
              <w:bottom w:val="nil"/>
              <w:right w:val="nil"/>
            </w:tcBorders>
            <w:shd w:val="clear" w:color="auto" w:fill="auto"/>
            <w:vAlign w:val="center"/>
            <w:hideMark/>
          </w:tcPr>
          <w:p w14:paraId="77DCEA7E" w14:textId="77777777" w:rsidR="00387142" w:rsidRPr="008B6A75" w:rsidRDefault="00387142" w:rsidP="00387142">
            <w:pPr>
              <w:jc w:val="center"/>
              <w:rPr>
                <w:sz w:val="20"/>
                <w:szCs w:val="20"/>
              </w:rPr>
            </w:pPr>
          </w:p>
        </w:tc>
        <w:tc>
          <w:tcPr>
            <w:tcW w:w="750" w:type="dxa"/>
            <w:tcBorders>
              <w:top w:val="nil"/>
              <w:left w:val="nil"/>
              <w:bottom w:val="nil"/>
              <w:right w:val="nil"/>
            </w:tcBorders>
            <w:shd w:val="clear" w:color="auto" w:fill="auto"/>
            <w:noWrap/>
            <w:vAlign w:val="bottom"/>
            <w:hideMark/>
          </w:tcPr>
          <w:p w14:paraId="711CC8D9" w14:textId="77777777" w:rsidR="00387142" w:rsidRPr="008B6A75" w:rsidRDefault="00387142" w:rsidP="00387142">
            <w:pPr>
              <w:jc w:val="center"/>
              <w:rPr>
                <w:sz w:val="20"/>
                <w:szCs w:val="20"/>
              </w:rPr>
            </w:pPr>
          </w:p>
        </w:tc>
        <w:tc>
          <w:tcPr>
            <w:tcW w:w="700" w:type="dxa"/>
            <w:tcBorders>
              <w:top w:val="nil"/>
              <w:left w:val="nil"/>
              <w:bottom w:val="nil"/>
              <w:right w:val="nil"/>
            </w:tcBorders>
            <w:shd w:val="clear" w:color="auto" w:fill="auto"/>
            <w:noWrap/>
            <w:vAlign w:val="bottom"/>
            <w:hideMark/>
          </w:tcPr>
          <w:p w14:paraId="78522E61" w14:textId="77777777" w:rsidR="00387142" w:rsidRPr="008B6A75" w:rsidRDefault="00387142" w:rsidP="00387142">
            <w:pPr>
              <w:rPr>
                <w:sz w:val="20"/>
                <w:szCs w:val="20"/>
              </w:rPr>
            </w:pPr>
          </w:p>
        </w:tc>
        <w:tc>
          <w:tcPr>
            <w:tcW w:w="1157" w:type="dxa"/>
            <w:gridSpan w:val="2"/>
            <w:tcBorders>
              <w:top w:val="nil"/>
              <w:left w:val="nil"/>
              <w:bottom w:val="nil"/>
              <w:right w:val="nil"/>
            </w:tcBorders>
            <w:shd w:val="clear" w:color="auto" w:fill="auto"/>
            <w:noWrap/>
            <w:vAlign w:val="bottom"/>
            <w:hideMark/>
          </w:tcPr>
          <w:p w14:paraId="03CA41B1" w14:textId="77777777" w:rsidR="00387142" w:rsidRPr="008B6A75" w:rsidRDefault="00387142" w:rsidP="00387142">
            <w:pPr>
              <w:rPr>
                <w:sz w:val="20"/>
                <w:szCs w:val="20"/>
              </w:rPr>
            </w:pPr>
          </w:p>
        </w:tc>
        <w:tc>
          <w:tcPr>
            <w:tcW w:w="1276" w:type="dxa"/>
            <w:tcBorders>
              <w:top w:val="nil"/>
              <w:left w:val="nil"/>
              <w:bottom w:val="nil"/>
              <w:right w:val="nil"/>
            </w:tcBorders>
            <w:shd w:val="clear" w:color="auto" w:fill="auto"/>
            <w:noWrap/>
            <w:vAlign w:val="bottom"/>
            <w:hideMark/>
          </w:tcPr>
          <w:p w14:paraId="0146DFEC" w14:textId="77777777" w:rsidR="00387142" w:rsidRPr="008B6A75" w:rsidRDefault="00387142" w:rsidP="00387142">
            <w:pPr>
              <w:rPr>
                <w:sz w:val="20"/>
                <w:szCs w:val="20"/>
              </w:rPr>
            </w:pPr>
          </w:p>
        </w:tc>
        <w:tc>
          <w:tcPr>
            <w:tcW w:w="1021" w:type="dxa"/>
            <w:tcBorders>
              <w:top w:val="nil"/>
              <w:left w:val="nil"/>
              <w:bottom w:val="nil"/>
              <w:right w:val="nil"/>
            </w:tcBorders>
            <w:shd w:val="clear" w:color="auto" w:fill="auto"/>
            <w:vAlign w:val="center"/>
            <w:hideMark/>
          </w:tcPr>
          <w:p w14:paraId="17091231" w14:textId="77777777" w:rsidR="00387142" w:rsidRPr="008B6A75" w:rsidRDefault="00387142" w:rsidP="00387142">
            <w:pPr>
              <w:jc w:val="right"/>
              <w:rPr>
                <w:color w:val="000000"/>
                <w:sz w:val="20"/>
                <w:szCs w:val="20"/>
              </w:rPr>
            </w:pPr>
            <w:r w:rsidRPr="008B6A75">
              <w:rPr>
                <w:color w:val="000000"/>
                <w:sz w:val="20"/>
                <w:szCs w:val="20"/>
              </w:rPr>
              <w:t>тыс. рублей</w:t>
            </w:r>
          </w:p>
        </w:tc>
      </w:tr>
      <w:tr w:rsidR="00387142" w:rsidRPr="008B6A75" w14:paraId="2EA526B4" w14:textId="77777777" w:rsidTr="00387142">
        <w:trPr>
          <w:trHeight w:val="315"/>
        </w:trPr>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0BE29BA" w14:textId="77777777" w:rsidR="00387142" w:rsidRPr="008B6A75" w:rsidRDefault="00387142" w:rsidP="00387142">
            <w:pPr>
              <w:jc w:val="center"/>
              <w:rPr>
                <w:color w:val="000000"/>
                <w:sz w:val="20"/>
                <w:szCs w:val="20"/>
              </w:rPr>
            </w:pPr>
            <w:r w:rsidRPr="008B6A75">
              <w:rPr>
                <w:color w:val="000000"/>
                <w:sz w:val="20"/>
                <w:szCs w:val="20"/>
              </w:rPr>
              <w:t>Наименование направлений и объектов</w:t>
            </w:r>
          </w:p>
        </w:tc>
        <w:tc>
          <w:tcPr>
            <w:tcW w:w="5009" w:type="dxa"/>
            <w:gridSpan w:val="9"/>
            <w:tcBorders>
              <w:top w:val="single" w:sz="4" w:space="0" w:color="auto"/>
              <w:left w:val="nil"/>
              <w:bottom w:val="single" w:sz="4" w:space="0" w:color="auto"/>
              <w:right w:val="single" w:sz="4" w:space="0" w:color="auto"/>
            </w:tcBorders>
            <w:shd w:val="clear" w:color="auto" w:fill="auto"/>
            <w:vAlign w:val="center"/>
            <w:hideMark/>
          </w:tcPr>
          <w:p w14:paraId="3A53974B" w14:textId="77777777" w:rsidR="00387142" w:rsidRPr="008B6A75" w:rsidRDefault="00387142" w:rsidP="00387142">
            <w:pPr>
              <w:jc w:val="center"/>
              <w:rPr>
                <w:color w:val="000000"/>
                <w:sz w:val="20"/>
                <w:szCs w:val="20"/>
              </w:rPr>
            </w:pPr>
            <w:r w:rsidRPr="008B6A75">
              <w:rPr>
                <w:color w:val="000000"/>
                <w:sz w:val="20"/>
                <w:szCs w:val="20"/>
              </w:rPr>
              <w:t>Бюджетная классификация</w:t>
            </w:r>
          </w:p>
        </w:tc>
        <w:tc>
          <w:tcPr>
            <w:tcW w:w="3454"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DFE01A" w14:textId="77777777" w:rsidR="00387142" w:rsidRPr="008B6A75" w:rsidRDefault="00387142" w:rsidP="00387142">
            <w:pPr>
              <w:jc w:val="center"/>
              <w:rPr>
                <w:color w:val="000000"/>
                <w:sz w:val="20"/>
                <w:szCs w:val="20"/>
              </w:rPr>
            </w:pPr>
            <w:r w:rsidRPr="008B6A75">
              <w:rPr>
                <w:color w:val="000000"/>
                <w:sz w:val="20"/>
                <w:szCs w:val="20"/>
              </w:rPr>
              <w:t>Лимиты капитальных вложений</w:t>
            </w:r>
          </w:p>
        </w:tc>
      </w:tr>
      <w:tr w:rsidR="00387142" w:rsidRPr="008B6A75" w14:paraId="26489621" w14:textId="77777777" w:rsidTr="00387142">
        <w:trPr>
          <w:gridAfter w:val="1"/>
          <w:wAfter w:w="9" w:type="dxa"/>
          <w:trHeight w:val="315"/>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10CA9864" w14:textId="77777777" w:rsidR="00387142" w:rsidRPr="008B6A75" w:rsidRDefault="00387142" w:rsidP="00387142">
            <w:pPr>
              <w:rPr>
                <w:color w:val="000000"/>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14:paraId="4744F55E" w14:textId="77777777" w:rsidR="00387142" w:rsidRPr="008B6A75" w:rsidRDefault="00387142" w:rsidP="00387142">
            <w:pPr>
              <w:jc w:val="center"/>
              <w:rPr>
                <w:color w:val="000000"/>
                <w:sz w:val="20"/>
                <w:szCs w:val="20"/>
              </w:rPr>
            </w:pPr>
            <w:r w:rsidRPr="008B6A75">
              <w:rPr>
                <w:color w:val="000000"/>
                <w:sz w:val="20"/>
                <w:szCs w:val="20"/>
              </w:rPr>
              <w:t>ГРБС</w:t>
            </w:r>
          </w:p>
        </w:tc>
        <w:tc>
          <w:tcPr>
            <w:tcW w:w="500" w:type="dxa"/>
            <w:tcBorders>
              <w:top w:val="nil"/>
              <w:left w:val="nil"/>
              <w:bottom w:val="single" w:sz="4" w:space="0" w:color="auto"/>
              <w:right w:val="single" w:sz="4" w:space="0" w:color="auto"/>
            </w:tcBorders>
            <w:shd w:val="clear" w:color="auto" w:fill="auto"/>
            <w:vAlign w:val="center"/>
            <w:hideMark/>
          </w:tcPr>
          <w:p w14:paraId="3B85E41A" w14:textId="77777777" w:rsidR="00387142" w:rsidRPr="008B6A75" w:rsidRDefault="00387142" w:rsidP="00387142">
            <w:pPr>
              <w:jc w:val="center"/>
              <w:rPr>
                <w:color w:val="000000"/>
                <w:sz w:val="20"/>
                <w:szCs w:val="20"/>
              </w:rPr>
            </w:pPr>
            <w:r w:rsidRPr="008B6A75">
              <w:rPr>
                <w:color w:val="000000"/>
                <w:sz w:val="20"/>
                <w:szCs w:val="20"/>
              </w:rPr>
              <w:t>РЗ</w:t>
            </w:r>
          </w:p>
        </w:tc>
        <w:tc>
          <w:tcPr>
            <w:tcW w:w="500" w:type="dxa"/>
            <w:tcBorders>
              <w:top w:val="nil"/>
              <w:left w:val="nil"/>
              <w:bottom w:val="single" w:sz="4" w:space="0" w:color="auto"/>
              <w:right w:val="single" w:sz="4" w:space="0" w:color="auto"/>
            </w:tcBorders>
            <w:shd w:val="clear" w:color="auto" w:fill="auto"/>
            <w:vAlign w:val="center"/>
            <w:hideMark/>
          </w:tcPr>
          <w:p w14:paraId="1A8C81D4" w14:textId="77777777" w:rsidR="00387142" w:rsidRPr="008B6A75" w:rsidRDefault="00387142" w:rsidP="00387142">
            <w:pPr>
              <w:jc w:val="center"/>
              <w:rPr>
                <w:color w:val="000000"/>
                <w:sz w:val="20"/>
                <w:szCs w:val="20"/>
              </w:rPr>
            </w:pPr>
            <w:r w:rsidRPr="008B6A75">
              <w:rPr>
                <w:color w:val="000000"/>
                <w:sz w:val="20"/>
                <w:szCs w:val="20"/>
              </w:rPr>
              <w:t>ПР</w:t>
            </w:r>
          </w:p>
        </w:tc>
        <w:tc>
          <w:tcPr>
            <w:tcW w:w="2166" w:type="dxa"/>
            <w:gridSpan w:val="4"/>
            <w:tcBorders>
              <w:top w:val="single" w:sz="4" w:space="0" w:color="auto"/>
              <w:left w:val="nil"/>
              <w:bottom w:val="single" w:sz="4" w:space="0" w:color="auto"/>
              <w:right w:val="single" w:sz="4" w:space="0" w:color="auto"/>
            </w:tcBorders>
            <w:shd w:val="clear" w:color="auto" w:fill="auto"/>
            <w:vAlign w:val="center"/>
            <w:hideMark/>
          </w:tcPr>
          <w:p w14:paraId="1B5D6754" w14:textId="77777777" w:rsidR="00387142" w:rsidRPr="008B6A75" w:rsidRDefault="00387142" w:rsidP="00387142">
            <w:pPr>
              <w:jc w:val="center"/>
              <w:rPr>
                <w:color w:val="000000"/>
                <w:sz w:val="20"/>
                <w:szCs w:val="20"/>
              </w:rPr>
            </w:pPr>
            <w:r w:rsidRPr="008B6A75">
              <w:rPr>
                <w:color w:val="000000"/>
                <w:sz w:val="20"/>
                <w:szCs w:val="20"/>
              </w:rPr>
              <w:t>ЦСР</w:t>
            </w:r>
          </w:p>
        </w:tc>
        <w:tc>
          <w:tcPr>
            <w:tcW w:w="700" w:type="dxa"/>
            <w:tcBorders>
              <w:top w:val="nil"/>
              <w:left w:val="nil"/>
              <w:bottom w:val="single" w:sz="4" w:space="0" w:color="auto"/>
              <w:right w:val="nil"/>
            </w:tcBorders>
            <w:shd w:val="clear" w:color="auto" w:fill="auto"/>
            <w:vAlign w:val="center"/>
            <w:hideMark/>
          </w:tcPr>
          <w:p w14:paraId="6951B5AA" w14:textId="77777777" w:rsidR="00387142" w:rsidRPr="008B6A75" w:rsidRDefault="00387142" w:rsidP="00387142">
            <w:pPr>
              <w:jc w:val="center"/>
              <w:rPr>
                <w:color w:val="000000"/>
                <w:sz w:val="20"/>
                <w:szCs w:val="20"/>
              </w:rPr>
            </w:pPr>
            <w:r w:rsidRPr="008B6A75">
              <w:rPr>
                <w:color w:val="000000"/>
                <w:sz w:val="20"/>
                <w:szCs w:val="20"/>
              </w:rPr>
              <w:t>ВР</w:t>
            </w:r>
          </w:p>
        </w:tc>
        <w:tc>
          <w:tcPr>
            <w:tcW w:w="1157" w:type="dxa"/>
            <w:gridSpan w:val="2"/>
            <w:tcBorders>
              <w:top w:val="nil"/>
              <w:left w:val="single" w:sz="4" w:space="0" w:color="auto"/>
              <w:bottom w:val="single" w:sz="4" w:space="0" w:color="auto"/>
              <w:right w:val="nil"/>
            </w:tcBorders>
            <w:shd w:val="clear" w:color="auto" w:fill="auto"/>
            <w:vAlign w:val="center"/>
            <w:hideMark/>
          </w:tcPr>
          <w:p w14:paraId="7EB324C7" w14:textId="77777777" w:rsidR="00387142" w:rsidRPr="008B6A75" w:rsidRDefault="00387142" w:rsidP="00387142">
            <w:pPr>
              <w:jc w:val="center"/>
              <w:rPr>
                <w:color w:val="000000"/>
                <w:sz w:val="20"/>
                <w:szCs w:val="20"/>
              </w:rPr>
            </w:pPr>
            <w:r w:rsidRPr="008B6A75">
              <w:rPr>
                <w:color w:val="000000"/>
                <w:sz w:val="20"/>
                <w:szCs w:val="20"/>
              </w:rPr>
              <w:t xml:space="preserve"> 2022 год</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3996E752" w14:textId="77777777" w:rsidR="00387142" w:rsidRPr="008B6A75" w:rsidRDefault="00387142" w:rsidP="00387142">
            <w:pPr>
              <w:jc w:val="center"/>
              <w:rPr>
                <w:color w:val="000000"/>
                <w:sz w:val="20"/>
                <w:szCs w:val="20"/>
              </w:rPr>
            </w:pPr>
            <w:r w:rsidRPr="008B6A75">
              <w:rPr>
                <w:color w:val="000000"/>
                <w:sz w:val="20"/>
                <w:szCs w:val="20"/>
              </w:rPr>
              <w:t>2023 год</w:t>
            </w:r>
          </w:p>
        </w:tc>
        <w:tc>
          <w:tcPr>
            <w:tcW w:w="1021" w:type="dxa"/>
            <w:tcBorders>
              <w:top w:val="nil"/>
              <w:left w:val="nil"/>
              <w:bottom w:val="single" w:sz="4" w:space="0" w:color="auto"/>
              <w:right w:val="single" w:sz="4" w:space="0" w:color="auto"/>
            </w:tcBorders>
            <w:shd w:val="clear" w:color="auto" w:fill="auto"/>
            <w:vAlign w:val="center"/>
            <w:hideMark/>
          </w:tcPr>
          <w:p w14:paraId="6D350689" w14:textId="77777777" w:rsidR="00387142" w:rsidRPr="008B6A75" w:rsidRDefault="00387142" w:rsidP="00387142">
            <w:pPr>
              <w:jc w:val="center"/>
              <w:rPr>
                <w:color w:val="000000"/>
                <w:sz w:val="20"/>
                <w:szCs w:val="20"/>
              </w:rPr>
            </w:pPr>
            <w:r w:rsidRPr="008B6A75">
              <w:rPr>
                <w:color w:val="000000"/>
                <w:sz w:val="20"/>
                <w:szCs w:val="20"/>
              </w:rPr>
              <w:t>2024 год</w:t>
            </w:r>
          </w:p>
        </w:tc>
      </w:tr>
      <w:tr w:rsidR="00387142" w:rsidRPr="008B6A75" w14:paraId="58C8FA0D" w14:textId="77777777" w:rsidTr="00387142">
        <w:trPr>
          <w:gridAfter w:val="1"/>
          <w:wAfter w:w="9" w:type="dxa"/>
          <w:trHeight w:val="315"/>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49B43A3E" w14:textId="77777777" w:rsidR="00387142" w:rsidRPr="008B6A75" w:rsidRDefault="00387142" w:rsidP="00387142">
            <w:pPr>
              <w:rPr>
                <w:bCs/>
                <w:color w:val="000000"/>
                <w:sz w:val="20"/>
                <w:szCs w:val="20"/>
              </w:rPr>
            </w:pPr>
            <w:r w:rsidRPr="008B6A75">
              <w:rPr>
                <w:bCs/>
                <w:color w:val="000000"/>
                <w:sz w:val="20"/>
                <w:szCs w:val="20"/>
              </w:rPr>
              <w:t>ВСЕГО:</w:t>
            </w:r>
          </w:p>
        </w:tc>
        <w:tc>
          <w:tcPr>
            <w:tcW w:w="1134" w:type="dxa"/>
            <w:tcBorders>
              <w:top w:val="nil"/>
              <w:left w:val="nil"/>
              <w:bottom w:val="single" w:sz="4" w:space="0" w:color="auto"/>
              <w:right w:val="single" w:sz="4" w:space="0" w:color="auto"/>
            </w:tcBorders>
            <w:shd w:val="clear" w:color="auto" w:fill="auto"/>
            <w:vAlign w:val="center"/>
            <w:hideMark/>
          </w:tcPr>
          <w:p w14:paraId="222B3697" w14:textId="77777777" w:rsidR="00387142" w:rsidRPr="008B6A75" w:rsidRDefault="00387142" w:rsidP="00387142">
            <w:pPr>
              <w:jc w:val="center"/>
              <w:rPr>
                <w:bCs/>
                <w:color w:val="000000"/>
                <w:sz w:val="20"/>
                <w:szCs w:val="20"/>
              </w:rPr>
            </w:pPr>
            <w:r w:rsidRPr="008B6A75">
              <w:rPr>
                <w:bCs/>
                <w:color w:val="000000"/>
                <w:sz w:val="20"/>
                <w:szCs w:val="20"/>
              </w:rPr>
              <w:t> </w:t>
            </w:r>
          </w:p>
        </w:tc>
        <w:tc>
          <w:tcPr>
            <w:tcW w:w="500" w:type="dxa"/>
            <w:tcBorders>
              <w:top w:val="nil"/>
              <w:left w:val="nil"/>
              <w:bottom w:val="single" w:sz="4" w:space="0" w:color="auto"/>
              <w:right w:val="single" w:sz="4" w:space="0" w:color="auto"/>
            </w:tcBorders>
            <w:shd w:val="clear" w:color="auto" w:fill="auto"/>
            <w:vAlign w:val="center"/>
            <w:hideMark/>
          </w:tcPr>
          <w:p w14:paraId="6ED9FF11" w14:textId="77777777" w:rsidR="00387142" w:rsidRPr="008B6A75" w:rsidRDefault="00387142" w:rsidP="00387142">
            <w:pPr>
              <w:jc w:val="center"/>
              <w:rPr>
                <w:bCs/>
                <w:color w:val="000000"/>
                <w:sz w:val="20"/>
                <w:szCs w:val="20"/>
              </w:rPr>
            </w:pPr>
            <w:r w:rsidRPr="008B6A75">
              <w:rPr>
                <w:bCs/>
                <w:color w:val="000000"/>
                <w:sz w:val="20"/>
                <w:szCs w:val="20"/>
              </w:rPr>
              <w:t> </w:t>
            </w:r>
          </w:p>
        </w:tc>
        <w:tc>
          <w:tcPr>
            <w:tcW w:w="500" w:type="dxa"/>
            <w:tcBorders>
              <w:top w:val="nil"/>
              <w:left w:val="nil"/>
              <w:bottom w:val="single" w:sz="4" w:space="0" w:color="auto"/>
              <w:right w:val="single" w:sz="4" w:space="0" w:color="auto"/>
            </w:tcBorders>
            <w:shd w:val="clear" w:color="auto" w:fill="auto"/>
            <w:vAlign w:val="center"/>
            <w:hideMark/>
          </w:tcPr>
          <w:p w14:paraId="3C1B2291" w14:textId="77777777" w:rsidR="00387142" w:rsidRPr="008B6A75" w:rsidRDefault="00387142" w:rsidP="00387142">
            <w:pPr>
              <w:jc w:val="center"/>
              <w:rPr>
                <w:bCs/>
                <w:color w:val="000000"/>
                <w:sz w:val="20"/>
                <w:szCs w:val="20"/>
              </w:rPr>
            </w:pPr>
            <w:r w:rsidRPr="008B6A75">
              <w:rPr>
                <w:bCs/>
                <w:color w:val="000000"/>
                <w:sz w:val="20"/>
                <w:szCs w:val="20"/>
              </w:rPr>
              <w:t> </w:t>
            </w:r>
          </w:p>
        </w:tc>
        <w:tc>
          <w:tcPr>
            <w:tcW w:w="500" w:type="dxa"/>
            <w:tcBorders>
              <w:top w:val="nil"/>
              <w:left w:val="nil"/>
              <w:bottom w:val="single" w:sz="4" w:space="0" w:color="auto"/>
              <w:right w:val="single" w:sz="4" w:space="0" w:color="auto"/>
            </w:tcBorders>
            <w:shd w:val="clear" w:color="auto" w:fill="auto"/>
            <w:vAlign w:val="center"/>
            <w:hideMark/>
          </w:tcPr>
          <w:p w14:paraId="7809E406" w14:textId="77777777" w:rsidR="00387142" w:rsidRPr="008B6A75" w:rsidRDefault="00387142" w:rsidP="00387142">
            <w:pPr>
              <w:jc w:val="center"/>
              <w:rPr>
                <w:bCs/>
                <w:color w:val="000000"/>
                <w:sz w:val="20"/>
                <w:szCs w:val="20"/>
              </w:rPr>
            </w:pPr>
            <w:r w:rsidRPr="008B6A75">
              <w:rPr>
                <w:bCs/>
                <w:color w:val="000000"/>
                <w:sz w:val="20"/>
                <w:szCs w:val="20"/>
              </w:rPr>
              <w:t> </w:t>
            </w:r>
          </w:p>
        </w:tc>
        <w:tc>
          <w:tcPr>
            <w:tcW w:w="500" w:type="dxa"/>
            <w:tcBorders>
              <w:top w:val="nil"/>
              <w:left w:val="nil"/>
              <w:bottom w:val="single" w:sz="4" w:space="0" w:color="auto"/>
              <w:right w:val="single" w:sz="4" w:space="0" w:color="auto"/>
            </w:tcBorders>
            <w:shd w:val="clear" w:color="auto" w:fill="auto"/>
            <w:vAlign w:val="center"/>
            <w:hideMark/>
          </w:tcPr>
          <w:p w14:paraId="2E7DA1BB" w14:textId="77777777" w:rsidR="00387142" w:rsidRPr="008B6A75" w:rsidRDefault="00387142" w:rsidP="00387142">
            <w:pPr>
              <w:jc w:val="center"/>
              <w:rPr>
                <w:bCs/>
                <w:color w:val="000000"/>
                <w:sz w:val="20"/>
                <w:szCs w:val="20"/>
              </w:rPr>
            </w:pPr>
            <w:r w:rsidRPr="008B6A75">
              <w:rPr>
                <w:bCs/>
                <w:color w:val="000000"/>
                <w:sz w:val="20"/>
                <w:szCs w:val="20"/>
              </w:rPr>
              <w:t> </w:t>
            </w:r>
          </w:p>
        </w:tc>
        <w:tc>
          <w:tcPr>
            <w:tcW w:w="416" w:type="dxa"/>
            <w:tcBorders>
              <w:top w:val="nil"/>
              <w:left w:val="nil"/>
              <w:bottom w:val="single" w:sz="4" w:space="0" w:color="auto"/>
              <w:right w:val="single" w:sz="4" w:space="0" w:color="auto"/>
            </w:tcBorders>
            <w:shd w:val="clear" w:color="auto" w:fill="auto"/>
            <w:vAlign w:val="center"/>
            <w:hideMark/>
          </w:tcPr>
          <w:p w14:paraId="24B25DF9" w14:textId="77777777" w:rsidR="00387142" w:rsidRPr="008B6A75" w:rsidRDefault="00387142" w:rsidP="00387142">
            <w:pPr>
              <w:jc w:val="center"/>
              <w:rPr>
                <w:bCs/>
                <w:color w:val="000000"/>
                <w:sz w:val="20"/>
                <w:szCs w:val="20"/>
              </w:rPr>
            </w:pPr>
            <w:r w:rsidRPr="008B6A75">
              <w:rPr>
                <w:bCs/>
                <w:color w:val="000000"/>
                <w:sz w:val="20"/>
                <w:szCs w:val="20"/>
              </w:rPr>
              <w:t> </w:t>
            </w:r>
          </w:p>
        </w:tc>
        <w:tc>
          <w:tcPr>
            <w:tcW w:w="750" w:type="dxa"/>
            <w:tcBorders>
              <w:top w:val="nil"/>
              <w:left w:val="nil"/>
              <w:bottom w:val="single" w:sz="4" w:space="0" w:color="auto"/>
              <w:right w:val="single" w:sz="4" w:space="0" w:color="auto"/>
            </w:tcBorders>
            <w:shd w:val="clear" w:color="auto" w:fill="auto"/>
            <w:vAlign w:val="center"/>
            <w:hideMark/>
          </w:tcPr>
          <w:p w14:paraId="69CBE788" w14:textId="77777777" w:rsidR="00387142" w:rsidRPr="008B6A75" w:rsidRDefault="00387142" w:rsidP="00387142">
            <w:pPr>
              <w:jc w:val="center"/>
              <w:rPr>
                <w:bCs/>
                <w:color w:val="000000"/>
                <w:sz w:val="20"/>
                <w:szCs w:val="20"/>
              </w:rPr>
            </w:pPr>
            <w:r w:rsidRPr="008B6A75">
              <w:rPr>
                <w:bCs/>
                <w:color w:val="000000"/>
                <w:sz w:val="20"/>
                <w:szCs w:val="20"/>
              </w:rPr>
              <w:t> </w:t>
            </w:r>
          </w:p>
        </w:tc>
        <w:tc>
          <w:tcPr>
            <w:tcW w:w="700" w:type="dxa"/>
            <w:tcBorders>
              <w:top w:val="nil"/>
              <w:left w:val="nil"/>
              <w:bottom w:val="single" w:sz="4" w:space="0" w:color="auto"/>
              <w:right w:val="single" w:sz="4" w:space="0" w:color="auto"/>
            </w:tcBorders>
            <w:shd w:val="clear" w:color="auto" w:fill="auto"/>
            <w:noWrap/>
            <w:vAlign w:val="center"/>
            <w:hideMark/>
          </w:tcPr>
          <w:p w14:paraId="4E7E3096" w14:textId="77777777" w:rsidR="00387142" w:rsidRPr="008B6A75" w:rsidRDefault="00387142" w:rsidP="00387142">
            <w:pPr>
              <w:jc w:val="center"/>
              <w:rPr>
                <w:bCs/>
                <w:color w:val="000000"/>
                <w:sz w:val="20"/>
                <w:szCs w:val="20"/>
              </w:rPr>
            </w:pPr>
            <w:r w:rsidRPr="008B6A75">
              <w:rPr>
                <w:bCs/>
                <w:color w:val="000000"/>
                <w:sz w:val="20"/>
                <w:szCs w:val="20"/>
              </w:rPr>
              <w:t> </w:t>
            </w:r>
          </w:p>
        </w:tc>
        <w:tc>
          <w:tcPr>
            <w:tcW w:w="1157" w:type="dxa"/>
            <w:gridSpan w:val="2"/>
            <w:tcBorders>
              <w:top w:val="nil"/>
              <w:left w:val="nil"/>
              <w:bottom w:val="single" w:sz="4" w:space="0" w:color="auto"/>
              <w:right w:val="single" w:sz="4" w:space="0" w:color="auto"/>
            </w:tcBorders>
            <w:shd w:val="clear" w:color="auto" w:fill="auto"/>
            <w:noWrap/>
            <w:vAlign w:val="center"/>
            <w:hideMark/>
          </w:tcPr>
          <w:p w14:paraId="5A1ABEB6" w14:textId="77777777" w:rsidR="00387142" w:rsidRPr="008B6A75" w:rsidRDefault="00387142" w:rsidP="00387142">
            <w:pPr>
              <w:jc w:val="right"/>
              <w:rPr>
                <w:bCs/>
                <w:color w:val="000000"/>
                <w:sz w:val="20"/>
                <w:szCs w:val="20"/>
              </w:rPr>
            </w:pPr>
            <w:r w:rsidRPr="008B6A75">
              <w:rPr>
                <w:bCs/>
                <w:color w:val="000000"/>
                <w:sz w:val="20"/>
                <w:szCs w:val="20"/>
              </w:rPr>
              <w:t xml:space="preserve">268 248 999,96 </w:t>
            </w:r>
          </w:p>
        </w:tc>
        <w:tc>
          <w:tcPr>
            <w:tcW w:w="1276" w:type="dxa"/>
            <w:tcBorders>
              <w:top w:val="nil"/>
              <w:left w:val="nil"/>
              <w:bottom w:val="single" w:sz="4" w:space="0" w:color="auto"/>
              <w:right w:val="single" w:sz="4" w:space="0" w:color="auto"/>
            </w:tcBorders>
            <w:shd w:val="clear" w:color="auto" w:fill="auto"/>
            <w:noWrap/>
            <w:vAlign w:val="center"/>
            <w:hideMark/>
          </w:tcPr>
          <w:p w14:paraId="4F132C40" w14:textId="77777777" w:rsidR="00387142" w:rsidRPr="008B6A75" w:rsidRDefault="00387142" w:rsidP="00387142">
            <w:pPr>
              <w:jc w:val="right"/>
              <w:rPr>
                <w:bCs/>
                <w:color w:val="000000"/>
                <w:sz w:val="20"/>
                <w:szCs w:val="20"/>
              </w:rPr>
            </w:pPr>
            <w:r w:rsidRPr="008B6A75">
              <w:rPr>
                <w:bCs/>
                <w:color w:val="000000"/>
                <w:sz w:val="20"/>
                <w:szCs w:val="20"/>
              </w:rPr>
              <w:t xml:space="preserve">192 856 709,03 </w:t>
            </w:r>
          </w:p>
        </w:tc>
        <w:tc>
          <w:tcPr>
            <w:tcW w:w="1021" w:type="dxa"/>
            <w:tcBorders>
              <w:top w:val="nil"/>
              <w:left w:val="nil"/>
              <w:bottom w:val="single" w:sz="4" w:space="0" w:color="auto"/>
              <w:right w:val="single" w:sz="4" w:space="0" w:color="auto"/>
            </w:tcBorders>
            <w:shd w:val="clear" w:color="auto" w:fill="auto"/>
            <w:noWrap/>
            <w:vAlign w:val="center"/>
            <w:hideMark/>
          </w:tcPr>
          <w:p w14:paraId="2D956ED0" w14:textId="77777777" w:rsidR="00387142" w:rsidRPr="008B6A75" w:rsidRDefault="00387142" w:rsidP="00387142">
            <w:pPr>
              <w:jc w:val="right"/>
              <w:rPr>
                <w:bCs/>
                <w:color w:val="000000"/>
                <w:sz w:val="20"/>
                <w:szCs w:val="20"/>
              </w:rPr>
            </w:pPr>
            <w:r w:rsidRPr="008B6A75">
              <w:rPr>
                <w:bCs/>
                <w:color w:val="000000"/>
                <w:sz w:val="20"/>
                <w:szCs w:val="20"/>
              </w:rPr>
              <w:t xml:space="preserve">86 696 036,84 </w:t>
            </w:r>
          </w:p>
        </w:tc>
      </w:tr>
      <w:tr w:rsidR="00387142" w:rsidRPr="008B6A75" w14:paraId="677D9365" w14:textId="77777777" w:rsidTr="00387142">
        <w:trPr>
          <w:gridAfter w:val="1"/>
          <w:wAfter w:w="9" w:type="dxa"/>
          <w:trHeight w:val="126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312DB26B" w14:textId="77777777" w:rsidR="00387142" w:rsidRPr="008B6A75" w:rsidRDefault="00387142" w:rsidP="00387142">
            <w:pPr>
              <w:rPr>
                <w:color w:val="000000"/>
                <w:sz w:val="20"/>
                <w:szCs w:val="20"/>
              </w:rPr>
            </w:pPr>
            <w:r w:rsidRPr="008B6A75">
              <w:rPr>
                <w:color w:val="000000"/>
                <w:sz w:val="20"/>
                <w:szCs w:val="20"/>
              </w:rPr>
              <w:t xml:space="preserve">Работы по строительству </w:t>
            </w:r>
            <w:proofErr w:type="spellStart"/>
            <w:r w:rsidRPr="008B6A75">
              <w:rPr>
                <w:color w:val="000000"/>
                <w:sz w:val="20"/>
                <w:szCs w:val="20"/>
              </w:rPr>
              <w:t>внеплощадных</w:t>
            </w:r>
            <w:proofErr w:type="spellEnd"/>
            <w:r w:rsidRPr="008B6A75">
              <w:rPr>
                <w:color w:val="000000"/>
                <w:sz w:val="20"/>
                <w:szCs w:val="20"/>
              </w:rPr>
              <w:t xml:space="preserve"> сетей и объектов благоустройства </w:t>
            </w:r>
            <w:proofErr w:type="gramStart"/>
            <w:r w:rsidRPr="008B6A75">
              <w:rPr>
                <w:color w:val="000000"/>
                <w:sz w:val="20"/>
                <w:szCs w:val="20"/>
              </w:rPr>
              <w:t>МКД:  4</w:t>
            </w:r>
            <w:proofErr w:type="gramEnd"/>
            <w:r w:rsidRPr="008B6A75">
              <w:rPr>
                <w:color w:val="000000"/>
                <w:sz w:val="20"/>
                <w:szCs w:val="20"/>
              </w:rPr>
              <w:t xml:space="preserve"> и 5-квартирных блокированной застройки и 12-квартирного</w:t>
            </w:r>
          </w:p>
        </w:tc>
        <w:tc>
          <w:tcPr>
            <w:tcW w:w="1134" w:type="dxa"/>
            <w:tcBorders>
              <w:top w:val="nil"/>
              <w:left w:val="nil"/>
              <w:bottom w:val="single" w:sz="4" w:space="0" w:color="auto"/>
              <w:right w:val="single" w:sz="4" w:space="0" w:color="auto"/>
            </w:tcBorders>
            <w:shd w:val="clear" w:color="auto" w:fill="auto"/>
            <w:vAlign w:val="center"/>
            <w:hideMark/>
          </w:tcPr>
          <w:p w14:paraId="412289B7" w14:textId="77777777" w:rsidR="00387142" w:rsidRPr="008B6A75" w:rsidRDefault="00387142" w:rsidP="00387142">
            <w:pPr>
              <w:jc w:val="center"/>
              <w:rPr>
                <w:color w:val="000000"/>
                <w:sz w:val="20"/>
                <w:szCs w:val="20"/>
              </w:rPr>
            </w:pPr>
            <w:r w:rsidRPr="008B6A75">
              <w:rPr>
                <w:color w:val="000000"/>
                <w:sz w:val="20"/>
                <w:szCs w:val="20"/>
              </w:rPr>
              <w:t>444</w:t>
            </w:r>
          </w:p>
        </w:tc>
        <w:tc>
          <w:tcPr>
            <w:tcW w:w="500" w:type="dxa"/>
            <w:tcBorders>
              <w:top w:val="nil"/>
              <w:left w:val="nil"/>
              <w:bottom w:val="single" w:sz="4" w:space="0" w:color="auto"/>
              <w:right w:val="single" w:sz="4" w:space="0" w:color="auto"/>
            </w:tcBorders>
            <w:shd w:val="clear" w:color="auto" w:fill="auto"/>
            <w:vAlign w:val="center"/>
            <w:hideMark/>
          </w:tcPr>
          <w:p w14:paraId="6509F8F6" w14:textId="77777777" w:rsidR="00387142" w:rsidRPr="008B6A75" w:rsidRDefault="00387142" w:rsidP="00387142">
            <w:pPr>
              <w:jc w:val="center"/>
              <w:rPr>
                <w:color w:val="000000"/>
                <w:sz w:val="20"/>
                <w:szCs w:val="20"/>
              </w:rPr>
            </w:pPr>
            <w:r w:rsidRPr="008B6A75">
              <w:rPr>
                <w:color w:val="000000"/>
                <w:sz w:val="20"/>
                <w:szCs w:val="20"/>
              </w:rPr>
              <w:t>01</w:t>
            </w:r>
          </w:p>
        </w:tc>
        <w:tc>
          <w:tcPr>
            <w:tcW w:w="500" w:type="dxa"/>
            <w:tcBorders>
              <w:top w:val="nil"/>
              <w:left w:val="nil"/>
              <w:bottom w:val="single" w:sz="4" w:space="0" w:color="auto"/>
              <w:right w:val="single" w:sz="4" w:space="0" w:color="auto"/>
            </w:tcBorders>
            <w:shd w:val="clear" w:color="auto" w:fill="auto"/>
            <w:vAlign w:val="center"/>
            <w:hideMark/>
          </w:tcPr>
          <w:p w14:paraId="4AA0DA25" w14:textId="77777777" w:rsidR="00387142" w:rsidRPr="008B6A75" w:rsidRDefault="00387142" w:rsidP="00387142">
            <w:pPr>
              <w:jc w:val="center"/>
              <w:rPr>
                <w:color w:val="000000"/>
                <w:sz w:val="20"/>
                <w:szCs w:val="20"/>
              </w:rPr>
            </w:pPr>
            <w:r w:rsidRPr="008B6A75">
              <w:rPr>
                <w:color w:val="000000"/>
                <w:sz w:val="20"/>
                <w:szCs w:val="20"/>
              </w:rPr>
              <w:t>13</w:t>
            </w:r>
          </w:p>
        </w:tc>
        <w:tc>
          <w:tcPr>
            <w:tcW w:w="500" w:type="dxa"/>
            <w:tcBorders>
              <w:top w:val="nil"/>
              <w:left w:val="nil"/>
              <w:bottom w:val="single" w:sz="4" w:space="0" w:color="auto"/>
              <w:right w:val="single" w:sz="4" w:space="0" w:color="auto"/>
            </w:tcBorders>
            <w:shd w:val="clear" w:color="auto" w:fill="auto"/>
            <w:vAlign w:val="center"/>
            <w:hideMark/>
          </w:tcPr>
          <w:p w14:paraId="17DDA30C" w14:textId="77777777" w:rsidR="00387142" w:rsidRPr="008B6A75" w:rsidRDefault="00387142" w:rsidP="00387142">
            <w:pPr>
              <w:jc w:val="center"/>
              <w:rPr>
                <w:color w:val="000000"/>
                <w:sz w:val="20"/>
                <w:szCs w:val="20"/>
              </w:rPr>
            </w:pPr>
            <w:r w:rsidRPr="008B6A75">
              <w:rPr>
                <w:color w:val="000000"/>
                <w:sz w:val="20"/>
                <w:szCs w:val="20"/>
              </w:rPr>
              <w:t>99</w:t>
            </w:r>
          </w:p>
        </w:tc>
        <w:tc>
          <w:tcPr>
            <w:tcW w:w="500" w:type="dxa"/>
            <w:tcBorders>
              <w:top w:val="nil"/>
              <w:left w:val="nil"/>
              <w:bottom w:val="single" w:sz="4" w:space="0" w:color="auto"/>
              <w:right w:val="single" w:sz="4" w:space="0" w:color="auto"/>
            </w:tcBorders>
            <w:shd w:val="clear" w:color="auto" w:fill="auto"/>
            <w:vAlign w:val="center"/>
            <w:hideMark/>
          </w:tcPr>
          <w:p w14:paraId="2CC4C287" w14:textId="77777777" w:rsidR="00387142" w:rsidRPr="008B6A75" w:rsidRDefault="00387142" w:rsidP="00387142">
            <w:pPr>
              <w:jc w:val="center"/>
              <w:rPr>
                <w:color w:val="000000"/>
                <w:sz w:val="20"/>
                <w:szCs w:val="20"/>
              </w:rPr>
            </w:pPr>
            <w:r w:rsidRPr="008B6A75">
              <w:rPr>
                <w:color w:val="000000"/>
                <w:sz w:val="20"/>
                <w:szCs w:val="20"/>
              </w:rPr>
              <w:t>0</w:t>
            </w:r>
          </w:p>
        </w:tc>
        <w:tc>
          <w:tcPr>
            <w:tcW w:w="416" w:type="dxa"/>
            <w:tcBorders>
              <w:top w:val="nil"/>
              <w:left w:val="nil"/>
              <w:bottom w:val="single" w:sz="4" w:space="0" w:color="auto"/>
              <w:right w:val="single" w:sz="4" w:space="0" w:color="auto"/>
            </w:tcBorders>
            <w:shd w:val="clear" w:color="auto" w:fill="auto"/>
            <w:vAlign w:val="center"/>
            <w:hideMark/>
          </w:tcPr>
          <w:p w14:paraId="13676D3E" w14:textId="77777777" w:rsidR="00387142" w:rsidRPr="008B6A75" w:rsidRDefault="00387142" w:rsidP="00387142">
            <w:pPr>
              <w:jc w:val="center"/>
              <w:rPr>
                <w:color w:val="000000"/>
                <w:sz w:val="20"/>
                <w:szCs w:val="20"/>
              </w:rPr>
            </w:pPr>
            <w:r w:rsidRPr="008B6A75">
              <w:rPr>
                <w:color w:val="000000"/>
                <w:sz w:val="20"/>
                <w:szCs w:val="20"/>
              </w:rPr>
              <w:t>00</w:t>
            </w:r>
          </w:p>
        </w:tc>
        <w:tc>
          <w:tcPr>
            <w:tcW w:w="750" w:type="dxa"/>
            <w:tcBorders>
              <w:top w:val="nil"/>
              <w:left w:val="nil"/>
              <w:bottom w:val="single" w:sz="4" w:space="0" w:color="auto"/>
              <w:right w:val="single" w:sz="4" w:space="0" w:color="auto"/>
            </w:tcBorders>
            <w:shd w:val="clear" w:color="auto" w:fill="auto"/>
            <w:vAlign w:val="center"/>
            <w:hideMark/>
          </w:tcPr>
          <w:p w14:paraId="01D69FD8" w14:textId="77777777" w:rsidR="00387142" w:rsidRPr="008B6A75" w:rsidRDefault="00387142" w:rsidP="00387142">
            <w:pPr>
              <w:jc w:val="center"/>
              <w:rPr>
                <w:color w:val="000000"/>
                <w:sz w:val="20"/>
                <w:szCs w:val="20"/>
              </w:rPr>
            </w:pPr>
            <w:r w:rsidRPr="008B6A75">
              <w:rPr>
                <w:color w:val="000000"/>
                <w:sz w:val="20"/>
                <w:szCs w:val="20"/>
              </w:rPr>
              <w:t>01620</w:t>
            </w:r>
          </w:p>
        </w:tc>
        <w:tc>
          <w:tcPr>
            <w:tcW w:w="700" w:type="dxa"/>
            <w:tcBorders>
              <w:top w:val="nil"/>
              <w:left w:val="nil"/>
              <w:bottom w:val="single" w:sz="4" w:space="0" w:color="auto"/>
              <w:right w:val="single" w:sz="4" w:space="0" w:color="auto"/>
            </w:tcBorders>
            <w:shd w:val="clear" w:color="auto" w:fill="auto"/>
            <w:vAlign w:val="center"/>
            <w:hideMark/>
          </w:tcPr>
          <w:p w14:paraId="21BEDD6A" w14:textId="77777777" w:rsidR="00387142" w:rsidRPr="008B6A75" w:rsidRDefault="00387142" w:rsidP="00387142">
            <w:pPr>
              <w:jc w:val="center"/>
              <w:rPr>
                <w:color w:val="000000"/>
                <w:sz w:val="20"/>
                <w:szCs w:val="20"/>
              </w:rPr>
            </w:pPr>
            <w:r w:rsidRPr="008B6A75">
              <w:rPr>
                <w:color w:val="000000"/>
                <w:sz w:val="20"/>
                <w:szCs w:val="20"/>
              </w:rPr>
              <w:t>410</w:t>
            </w:r>
          </w:p>
        </w:tc>
        <w:tc>
          <w:tcPr>
            <w:tcW w:w="1157" w:type="dxa"/>
            <w:gridSpan w:val="2"/>
            <w:tcBorders>
              <w:top w:val="nil"/>
              <w:left w:val="nil"/>
              <w:bottom w:val="single" w:sz="4" w:space="0" w:color="auto"/>
              <w:right w:val="single" w:sz="4" w:space="0" w:color="auto"/>
            </w:tcBorders>
            <w:shd w:val="clear" w:color="auto" w:fill="auto"/>
            <w:noWrap/>
            <w:vAlign w:val="center"/>
            <w:hideMark/>
          </w:tcPr>
          <w:p w14:paraId="3240EAFA" w14:textId="77777777" w:rsidR="00387142" w:rsidRPr="008B6A75" w:rsidRDefault="00387142" w:rsidP="00387142">
            <w:pPr>
              <w:jc w:val="right"/>
              <w:rPr>
                <w:color w:val="000000"/>
                <w:sz w:val="20"/>
                <w:szCs w:val="20"/>
              </w:rPr>
            </w:pPr>
            <w:r w:rsidRPr="008B6A75">
              <w:rPr>
                <w:color w:val="000000"/>
                <w:sz w:val="20"/>
                <w:szCs w:val="20"/>
              </w:rPr>
              <w:t xml:space="preserve">5 241 686,08 </w:t>
            </w:r>
          </w:p>
        </w:tc>
        <w:tc>
          <w:tcPr>
            <w:tcW w:w="1276" w:type="dxa"/>
            <w:tcBorders>
              <w:top w:val="nil"/>
              <w:left w:val="nil"/>
              <w:bottom w:val="single" w:sz="4" w:space="0" w:color="auto"/>
              <w:right w:val="single" w:sz="4" w:space="0" w:color="auto"/>
            </w:tcBorders>
            <w:shd w:val="clear" w:color="auto" w:fill="auto"/>
            <w:noWrap/>
            <w:vAlign w:val="center"/>
            <w:hideMark/>
          </w:tcPr>
          <w:p w14:paraId="7F833D87" w14:textId="77777777" w:rsidR="00387142" w:rsidRPr="008B6A75" w:rsidRDefault="00387142" w:rsidP="00387142">
            <w:pPr>
              <w:jc w:val="right"/>
              <w:rPr>
                <w:color w:val="000000"/>
                <w:sz w:val="20"/>
                <w:szCs w:val="20"/>
              </w:rPr>
            </w:pPr>
            <w:r w:rsidRPr="008B6A75">
              <w:rPr>
                <w:color w:val="000000"/>
                <w:sz w:val="20"/>
                <w:szCs w:val="20"/>
              </w:rPr>
              <w:t> </w:t>
            </w:r>
          </w:p>
        </w:tc>
        <w:tc>
          <w:tcPr>
            <w:tcW w:w="1021" w:type="dxa"/>
            <w:tcBorders>
              <w:top w:val="nil"/>
              <w:left w:val="nil"/>
              <w:bottom w:val="single" w:sz="4" w:space="0" w:color="auto"/>
              <w:right w:val="single" w:sz="4" w:space="0" w:color="auto"/>
            </w:tcBorders>
            <w:shd w:val="clear" w:color="auto" w:fill="auto"/>
            <w:noWrap/>
            <w:vAlign w:val="center"/>
            <w:hideMark/>
          </w:tcPr>
          <w:p w14:paraId="68DC5389" w14:textId="77777777" w:rsidR="00387142" w:rsidRPr="008B6A75" w:rsidRDefault="00387142" w:rsidP="00387142">
            <w:pPr>
              <w:jc w:val="right"/>
              <w:rPr>
                <w:color w:val="000000"/>
                <w:sz w:val="20"/>
                <w:szCs w:val="20"/>
              </w:rPr>
            </w:pPr>
            <w:r w:rsidRPr="008B6A75">
              <w:rPr>
                <w:color w:val="000000"/>
                <w:sz w:val="20"/>
                <w:szCs w:val="20"/>
              </w:rPr>
              <w:t> </w:t>
            </w:r>
          </w:p>
        </w:tc>
      </w:tr>
      <w:tr w:rsidR="00387142" w:rsidRPr="008B6A75" w14:paraId="1E3B94EE" w14:textId="77777777" w:rsidTr="00387142">
        <w:trPr>
          <w:gridAfter w:val="1"/>
          <w:wAfter w:w="9" w:type="dxa"/>
          <w:trHeight w:val="189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578C87B8" w14:textId="77777777" w:rsidR="00387142" w:rsidRPr="008B6A75" w:rsidRDefault="00387142" w:rsidP="00387142">
            <w:pPr>
              <w:rPr>
                <w:color w:val="000000"/>
                <w:sz w:val="20"/>
                <w:szCs w:val="20"/>
              </w:rPr>
            </w:pPr>
            <w:r w:rsidRPr="008B6A75">
              <w:rPr>
                <w:color w:val="000000"/>
                <w:sz w:val="20"/>
                <w:szCs w:val="20"/>
              </w:rPr>
              <w:t xml:space="preserve">Мероприятия в области строительства муниципального жилого фонда (строительство двухквартирных жилых домов в </w:t>
            </w:r>
            <w:proofErr w:type="spellStart"/>
            <w:r w:rsidRPr="008B6A75">
              <w:rPr>
                <w:color w:val="000000"/>
                <w:sz w:val="20"/>
                <w:szCs w:val="20"/>
              </w:rPr>
              <w:t>п.Энергетик</w:t>
            </w:r>
            <w:proofErr w:type="spellEnd"/>
            <w:r w:rsidRPr="008B6A75">
              <w:rPr>
                <w:color w:val="000000"/>
                <w:sz w:val="20"/>
                <w:szCs w:val="20"/>
              </w:rPr>
              <w:t>(внеплощадочные сети водопровода, канализации, тепловой сети, а также благоустройство)</w:t>
            </w:r>
          </w:p>
        </w:tc>
        <w:tc>
          <w:tcPr>
            <w:tcW w:w="1134" w:type="dxa"/>
            <w:tcBorders>
              <w:top w:val="nil"/>
              <w:left w:val="nil"/>
              <w:bottom w:val="single" w:sz="4" w:space="0" w:color="auto"/>
              <w:right w:val="single" w:sz="4" w:space="0" w:color="auto"/>
            </w:tcBorders>
            <w:shd w:val="clear" w:color="auto" w:fill="auto"/>
            <w:vAlign w:val="center"/>
            <w:hideMark/>
          </w:tcPr>
          <w:p w14:paraId="453F8B9D" w14:textId="77777777" w:rsidR="00387142" w:rsidRPr="008B6A75" w:rsidRDefault="00387142" w:rsidP="00387142">
            <w:pPr>
              <w:jc w:val="center"/>
              <w:rPr>
                <w:color w:val="000000"/>
                <w:sz w:val="20"/>
                <w:szCs w:val="20"/>
              </w:rPr>
            </w:pPr>
            <w:r w:rsidRPr="008B6A75">
              <w:rPr>
                <w:color w:val="000000"/>
                <w:sz w:val="20"/>
                <w:szCs w:val="20"/>
              </w:rPr>
              <w:t>444</w:t>
            </w:r>
          </w:p>
        </w:tc>
        <w:tc>
          <w:tcPr>
            <w:tcW w:w="500" w:type="dxa"/>
            <w:tcBorders>
              <w:top w:val="nil"/>
              <w:left w:val="nil"/>
              <w:bottom w:val="single" w:sz="4" w:space="0" w:color="auto"/>
              <w:right w:val="single" w:sz="4" w:space="0" w:color="auto"/>
            </w:tcBorders>
            <w:shd w:val="clear" w:color="auto" w:fill="auto"/>
            <w:vAlign w:val="center"/>
            <w:hideMark/>
          </w:tcPr>
          <w:p w14:paraId="31DBE3D9" w14:textId="77777777" w:rsidR="00387142" w:rsidRPr="008B6A75" w:rsidRDefault="00387142" w:rsidP="00387142">
            <w:pPr>
              <w:jc w:val="center"/>
              <w:rPr>
                <w:color w:val="000000"/>
                <w:sz w:val="20"/>
                <w:szCs w:val="20"/>
              </w:rPr>
            </w:pPr>
            <w:r w:rsidRPr="008B6A75">
              <w:rPr>
                <w:color w:val="000000"/>
                <w:sz w:val="20"/>
                <w:szCs w:val="20"/>
              </w:rPr>
              <w:t>05</w:t>
            </w:r>
          </w:p>
        </w:tc>
        <w:tc>
          <w:tcPr>
            <w:tcW w:w="500" w:type="dxa"/>
            <w:tcBorders>
              <w:top w:val="nil"/>
              <w:left w:val="nil"/>
              <w:bottom w:val="single" w:sz="4" w:space="0" w:color="auto"/>
              <w:right w:val="single" w:sz="4" w:space="0" w:color="auto"/>
            </w:tcBorders>
            <w:shd w:val="clear" w:color="auto" w:fill="auto"/>
            <w:vAlign w:val="center"/>
            <w:hideMark/>
          </w:tcPr>
          <w:p w14:paraId="5BC0BF31" w14:textId="77777777" w:rsidR="00387142" w:rsidRPr="008B6A75" w:rsidRDefault="00387142" w:rsidP="00387142">
            <w:pPr>
              <w:jc w:val="center"/>
              <w:rPr>
                <w:color w:val="000000"/>
                <w:sz w:val="20"/>
                <w:szCs w:val="20"/>
              </w:rPr>
            </w:pPr>
            <w:r w:rsidRPr="008B6A75">
              <w:rPr>
                <w:color w:val="000000"/>
                <w:sz w:val="20"/>
                <w:szCs w:val="20"/>
              </w:rPr>
              <w:t>01</w:t>
            </w:r>
          </w:p>
        </w:tc>
        <w:tc>
          <w:tcPr>
            <w:tcW w:w="500" w:type="dxa"/>
            <w:tcBorders>
              <w:top w:val="nil"/>
              <w:left w:val="nil"/>
              <w:bottom w:val="single" w:sz="4" w:space="0" w:color="auto"/>
              <w:right w:val="single" w:sz="4" w:space="0" w:color="auto"/>
            </w:tcBorders>
            <w:shd w:val="clear" w:color="auto" w:fill="auto"/>
            <w:vAlign w:val="center"/>
            <w:hideMark/>
          </w:tcPr>
          <w:p w14:paraId="0C739FF5" w14:textId="77777777" w:rsidR="00387142" w:rsidRPr="008B6A75" w:rsidRDefault="00387142" w:rsidP="00387142">
            <w:pPr>
              <w:jc w:val="center"/>
              <w:rPr>
                <w:color w:val="000000"/>
                <w:sz w:val="20"/>
                <w:szCs w:val="20"/>
              </w:rPr>
            </w:pPr>
            <w:r w:rsidRPr="008B6A75">
              <w:rPr>
                <w:color w:val="000000"/>
                <w:sz w:val="20"/>
                <w:szCs w:val="20"/>
              </w:rPr>
              <w:t>99</w:t>
            </w:r>
          </w:p>
        </w:tc>
        <w:tc>
          <w:tcPr>
            <w:tcW w:w="500" w:type="dxa"/>
            <w:tcBorders>
              <w:top w:val="nil"/>
              <w:left w:val="nil"/>
              <w:bottom w:val="single" w:sz="4" w:space="0" w:color="auto"/>
              <w:right w:val="single" w:sz="4" w:space="0" w:color="auto"/>
            </w:tcBorders>
            <w:shd w:val="clear" w:color="auto" w:fill="auto"/>
            <w:vAlign w:val="center"/>
            <w:hideMark/>
          </w:tcPr>
          <w:p w14:paraId="4ACC35B9" w14:textId="77777777" w:rsidR="00387142" w:rsidRPr="008B6A75" w:rsidRDefault="00387142" w:rsidP="00387142">
            <w:pPr>
              <w:jc w:val="center"/>
              <w:rPr>
                <w:color w:val="000000"/>
                <w:sz w:val="20"/>
                <w:szCs w:val="20"/>
              </w:rPr>
            </w:pPr>
            <w:r w:rsidRPr="008B6A75">
              <w:rPr>
                <w:color w:val="000000"/>
                <w:sz w:val="20"/>
                <w:szCs w:val="20"/>
              </w:rPr>
              <w:t>0</w:t>
            </w:r>
          </w:p>
        </w:tc>
        <w:tc>
          <w:tcPr>
            <w:tcW w:w="416" w:type="dxa"/>
            <w:tcBorders>
              <w:top w:val="nil"/>
              <w:left w:val="nil"/>
              <w:bottom w:val="single" w:sz="4" w:space="0" w:color="auto"/>
              <w:right w:val="single" w:sz="4" w:space="0" w:color="auto"/>
            </w:tcBorders>
            <w:shd w:val="clear" w:color="auto" w:fill="auto"/>
            <w:vAlign w:val="center"/>
            <w:hideMark/>
          </w:tcPr>
          <w:p w14:paraId="1735CB22" w14:textId="77777777" w:rsidR="00387142" w:rsidRPr="008B6A75" w:rsidRDefault="00387142" w:rsidP="00387142">
            <w:pPr>
              <w:jc w:val="center"/>
              <w:rPr>
                <w:color w:val="000000"/>
                <w:sz w:val="20"/>
                <w:szCs w:val="20"/>
              </w:rPr>
            </w:pPr>
            <w:r w:rsidRPr="008B6A75">
              <w:rPr>
                <w:color w:val="000000"/>
                <w:sz w:val="20"/>
                <w:szCs w:val="20"/>
              </w:rPr>
              <w:t>00</w:t>
            </w:r>
          </w:p>
        </w:tc>
        <w:tc>
          <w:tcPr>
            <w:tcW w:w="750" w:type="dxa"/>
            <w:tcBorders>
              <w:top w:val="nil"/>
              <w:left w:val="nil"/>
              <w:bottom w:val="single" w:sz="4" w:space="0" w:color="auto"/>
              <w:right w:val="single" w:sz="4" w:space="0" w:color="auto"/>
            </w:tcBorders>
            <w:shd w:val="clear" w:color="auto" w:fill="auto"/>
            <w:vAlign w:val="center"/>
            <w:hideMark/>
          </w:tcPr>
          <w:p w14:paraId="05BE916D" w14:textId="77777777" w:rsidR="00387142" w:rsidRPr="008B6A75" w:rsidRDefault="00387142" w:rsidP="00387142">
            <w:pPr>
              <w:jc w:val="center"/>
              <w:rPr>
                <w:color w:val="000000"/>
                <w:sz w:val="20"/>
                <w:szCs w:val="20"/>
              </w:rPr>
            </w:pPr>
            <w:r w:rsidRPr="008B6A75">
              <w:rPr>
                <w:color w:val="000000"/>
                <w:sz w:val="20"/>
                <w:szCs w:val="20"/>
              </w:rPr>
              <w:t>05130</w:t>
            </w:r>
          </w:p>
        </w:tc>
        <w:tc>
          <w:tcPr>
            <w:tcW w:w="700" w:type="dxa"/>
            <w:tcBorders>
              <w:top w:val="nil"/>
              <w:left w:val="nil"/>
              <w:bottom w:val="single" w:sz="4" w:space="0" w:color="auto"/>
              <w:right w:val="single" w:sz="4" w:space="0" w:color="auto"/>
            </w:tcBorders>
            <w:shd w:val="clear" w:color="auto" w:fill="auto"/>
            <w:vAlign w:val="center"/>
            <w:hideMark/>
          </w:tcPr>
          <w:p w14:paraId="7ADDAD4E" w14:textId="77777777" w:rsidR="00387142" w:rsidRPr="008B6A75" w:rsidRDefault="00387142" w:rsidP="00387142">
            <w:pPr>
              <w:jc w:val="center"/>
              <w:rPr>
                <w:color w:val="000000"/>
                <w:sz w:val="20"/>
                <w:szCs w:val="20"/>
              </w:rPr>
            </w:pPr>
            <w:r w:rsidRPr="008B6A75">
              <w:rPr>
                <w:color w:val="000000"/>
                <w:sz w:val="20"/>
                <w:szCs w:val="20"/>
              </w:rPr>
              <w:t>410</w:t>
            </w:r>
          </w:p>
        </w:tc>
        <w:tc>
          <w:tcPr>
            <w:tcW w:w="1157" w:type="dxa"/>
            <w:gridSpan w:val="2"/>
            <w:tcBorders>
              <w:top w:val="nil"/>
              <w:left w:val="nil"/>
              <w:bottom w:val="single" w:sz="4" w:space="0" w:color="auto"/>
              <w:right w:val="single" w:sz="4" w:space="0" w:color="auto"/>
            </w:tcBorders>
            <w:shd w:val="clear" w:color="auto" w:fill="auto"/>
            <w:noWrap/>
            <w:vAlign w:val="center"/>
            <w:hideMark/>
          </w:tcPr>
          <w:p w14:paraId="254E77B5" w14:textId="77777777" w:rsidR="00387142" w:rsidRPr="008B6A75" w:rsidRDefault="00387142" w:rsidP="00387142">
            <w:pPr>
              <w:jc w:val="right"/>
              <w:rPr>
                <w:color w:val="000000"/>
                <w:sz w:val="20"/>
                <w:szCs w:val="20"/>
              </w:rPr>
            </w:pPr>
            <w:r w:rsidRPr="008B6A75">
              <w:rPr>
                <w:color w:val="000000"/>
                <w:sz w:val="20"/>
                <w:szCs w:val="20"/>
              </w:rPr>
              <w:t xml:space="preserve">2 000 000,00 </w:t>
            </w:r>
          </w:p>
        </w:tc>
        <w:tc>
          <w:tcPr>
            <w:tcW w:w="1276" w:type="dxa"/>
            <w:tcBorders>
              <w:top w:val="nil"/>
              <w:left w:val="nil"/>
              <w:bottom w:val="single" w:sz="4" w:space="0" w:color="auto"/>
              <w:right w:val="single" w:sz="4" w:space="0" w:color="auto"/>
            </w:tcBorders>
            <w:shd w:val="clear" w:color="auto" w:fill="auto"/>
            <w:noWrap/>
            <w:vAlign w:val="center"/>
            <w:hideMark/>
          </w:tcPr>
          <w:p w14:paraId="4E5323A9" w14:textId="77777777" w:rsidR="00387142" w:rsidRPr="008B6A75" w:rsidRDefault="00387142" w:rsidP="00387142">
            <w:pPr>
              <w:jc w:val="right"/>
              <w:rPr>
                <w:color w:val="000000"/>
                <w:sz w:val="20"/>
                <w:szCs w:val="20"/>
              </w:rPr>
            </w:pPr>
            <w:r w:rsidRPr="008B6A75">
              <w:rPr>
                <w:color w:val="000000"/>
                <w:sz w:val="20"/>
                <w:szCs w:val="20"/>
              </w:rPr>
              <w:t xml:space="preserve">5 000 000,00 </w:t>
            </w:r>
          </w:p>
        </w:tc>
        <w:tc>
          <w:tcPr>
            <w:tcW w:w="1021" w:type="dxa"/>
            <w:tcBorders>
              <w:top w:val="nil"/>
              <w:left w:val="nil"/>
              <w:bottom w:val="single" w:sz="4" w:space="0" w:color="auto"/>
              <w:right w:val="single" w:sz="4" w:space="0" w:color="auto"/>
            </w:tcBorders>
            <w:shd w:val="clear" w:color="auto" w:fill="auto"/>
            <w:noWrap/>
            <w:vAlign w:val="center"/>
            <w:hideMark/>
          </w:tcPr>
          <w:p w14:paraId="668BDA1E" w14:textId="77777777" w:rsidR="00387142" w:rsidRPr="008B6A75" w:rsidRDefault="00387142" w:rsidP="00387142">
            <w:pPr>
              <w:jc w:val="right"/>
              <w:rPr>
                <w:color w:val="000000"/>
                <w:sz w:val="20"/>
                <w:szCs w:val="20"/>
              </w:rPr>
            </w:pPr>
            <w:r w:rsidRPr="008B6A75">
              <w:rPr>
                <w:color w:val="000000"/>
                <w:sz w:val="20"/>
                <w:szCs w:val="20"/>
              </w:rPr>
              <w:t> </w:t>
            </w:r>
          </w:p>
        </w:tc>
      </w:tr>
      <w:tr w:rsidR="00387142" w:rsidRPr="008B6A75" w14:paraId="233AA4A2" w14:textId="77777777" w:rsidTr="00387142">
        <w:trPr>
          <w:gridAfter w:val="1"/>
          <w:wAfter w:w="9" w:type="dxa"/>
          <w:trHeight w:val="141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6ECD34BE" w14:textId="77777777" w:rsidR="00387142" w:rsidRPr="008B6A75" w:rsidRDefault="00387142" w:rsidP="00387142">
            <w:pPr>
              <w:rPr>
                <w:color w:val="000000"/>
                <w:sz w:val="20"/>
                <w:szCs w:val="20"/>
              </w:rPr>
            </w:pPr>
            <w:r w:rsidRPr="008B6A75">
              <w:rPr>
                <w:color w:val="000000"/>
                <w:sz w:val="20"/>
                <w:szCs w:val="2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134" w:type="dxa"/>
            <w:tcBorders>
              <w:top w:val="nil"/>
              <w:left w:val="nil"/>
              <w:bottom w:val="single" w:sz="4" w:space="0" w:color="auto"/>
              <w:right w:val="single" w:sz="4" w:space="0" w:color="auto"/>
            </w:tcBorders>
            <w:shd w:val="clear" w:color="auto" w:fill="auto"/>
            <w:noWrap/>
            <w:vAlign w:val="center"/>
            <w:hideMark/>
          </w:tcPr>
          <w:p w14:paraId="516D4566" w14:textId="77777777" w:rsidR="00387142" w:rsidRPr="008B6A75" w:rsidRDefault="00387142" w:rsidP="00387142">
            <w:pPr>
              <w:jc w:val="center"/>
              <w:rPr>
                <w:color w:val="000000"/>
                <w:sz w:val="20"/>
                <w:szCs w:val="20"/>
              </w:rPr>
            </w:pPr>
            <w:r w:rsidRPr="008B6A75">
              <w:rPr>
                <w:color w:val="000000"/>
                <w:sz w:val="20"/>
                <w:szCs w:val="20"/>
              </w:rPr>
              <w:t>444</w:t>
            </w:r>
          </w:p>
        </w:tc>
        <w:tc>
          <w:tcPr>
            <w:tcW w:w="500" w:type="dxa"/>
            <w:tcBorders>
              <w:top w:val="nil"/>
              <w:left w:val="nil"/>
              <w:bottom w:val="single" w:sz="4" w:space="0" w:color="auto"/>
              <w:right w:val="single" w:sz="4" w:space="0" w:color="auto"/>
            </w:tcBorders>
            <w:shd w:val="clear" w:color="auto" w:fill="auto"/>
            <w:noWrap/>
            <w:vAlign w:val="center"/>
            <w:hideMark/>
          </w:tcPr>
          <w:p w14:paraId="680C34F1" w14:textId="77777777" w:rsidR="00387142" w:rsidRPr="008B6A75" w:rsidRDefault="00387142" w:rsidP="00387142">
            <w:pPr>
              <w:jc w:val="center"/>
              <w:rPr>
                <w:color w:val="000000"/>
                <w:sz w:val="20"/>
                <w:szCs w:val="20"/>
              </w:rPr>
            </w:pPr>
            <w:r w:rsidRPr="008B6A75">
              <w:rPr>
                <w:color w:val="000000"/>
                <w:sz w:val="20"/>
                <w:szCs w:val="20"/>
              </w:rPr>
              <w:t>05</w:t>
            </w:r>
          </w:p>
        </w:tc>
        <w:tc>
          <w:tcPr>
            <w:tcW w:w="500" w:type="dxa"/>
            <w:tcBorders>
              <w:top w:val="nil"/>
              <w:left w:val="nil"/>
              <w:bottom w:val="single" w:sz="4" w:space="0" w:color="auto"/>
              <w:right w:val="single" w:sz="4" w:space="0" w:color="auto"/>
            </w:tcBorders>
            <w:shd w:val="clear" w:color="auto" w:fill="auto"/>
            <w:noWrap/>
            <w:vAlign w:val="center"/>
            <w:hideMark/>
          </w:tcPr>
          <w:p w14:paraId="3757E80E" w14:textId="77777777" w:rsidR="00387142" w:rsidRPr="008B6A75" w:rsidRDefault="00387142" w:rsidP="00387142">
            <w:pPr>
              <w:jc w:val="center"/>
              <w:rPr>
                <w:color w:val="000000"/>
                <w:sz w:val="20"/>
                <w:szCs w:val="20"/>
              </w:rPr>
            </w:pPr>
            <w:r w:rsidRPr="008B6A75">
              <w:rPr>
                <w:color w:val="000000"/>
                <w:sz w:val="20"/>
                <w:szCs w:val="20"/>
              </w:rPr>
              <w:t>01</w:t>
            </w:r>
          </w:p>
        </w:tc>
        <w:tc>
          <w:tcPr>
            <w:tcW w:w="500" w:type="dxa"/>
            <w:tcBorders>
              <w:top w:val="nil"/>
              <w:left w:val="nil"/>
              <w:bottom w:val="single" w:sz="4" w:space="0" w:color="auto"/>
              <w:right w:val="single" w:sz="4" w:space="0" w:color="auto"/>
            </w:tcBorders>
            <w:shd w:val="clear" w:color="auto" w:fill="auto"/>
            <w:noWrap/>
            <w:vAlign w:val="center"/>
            <w:hideMark/>
          </w:tcPr>
          <w:p w14:paraId="426E2725" w14:textId="77777777" w:rsidR="00387142" w:rsidRPr="008B6A75" w:rsidRDefault="00387142" w:rsidP="00387142">
            <w:pPr>
              <w:jc w:val="center"/>
              <w:rPr>
                <w:color w:val="000000"/>
                <w:sz w:val="20"/>
                <w:szCs w:val="20"/>
              </w:rPr>
            </w:pPr>
            <w:r w:rsidRPr="008B6A75">
              <w:rPr>
                <w:color w:val="000000"/>
                <w:sz w:val="20"/>
                <w:szCs w:val="20"/>
              </w:rPr>
              <w:t>99</w:t>
            </w:r>
          </w:p>
        </w:tc>
        <w:tc>
          <w:tcPr>
            <w:tcW w:w="500" w:type="dxa"/>
            <w:tcBorders>
              <w:top w:val="nil"/>
              <w:left w:val="nil"/>
              <w:bottom w:val="single" w:sz="4" w:space="0" w:color="auto"/>
              <w:right w:val="single" w:sz="4" w:space="0" w:color="auto"/>
            </w:tcBorders>
            <w:shd w:val="clear" w:color="auto" w:fill="auto"/>
            <w:noWrap/>
            <w:vAlign w:val="center"/>
            <w:hideMark/>
          </w:tcPr>
          <w:p w14:paraId="16E089EA" w14:textId="77777777" w:rsidR="00387142" w:rsidRPr="008B6A75" w:rsidRDefault="00387142" w:rsidP="00387142">
            <w:pPr>
              <w:jc w:val="center"/>
              <w:rPr>
                <w:color w:val="000000"/>
                <w:sz w:val="20"/>
                <w:szCs w:val="20"/>
              </w:rPr>
            </w:pPr>
            <w:r w:rsidRPr="008B6A75">
              <w:rPr>
                <w:color w:val="000000"/>
                <w:sz w:val="20"/>
                <w:szCs w:val="20"/>
              </w:rPr>
              <w:t>0</w:t>
            </w:r>
          </w:p>
        </w:tc>
        <w:tc>
          <w:tcPr>
            <w:tcW w:w="416" w:type="dxa"/>
            <w:tcBorders>
              <w:top w:val="nil"/>
              <w:left w:val="nil"/>
              <w:bottom w:val="single" w:sz="4" w:space="0" w:color="auto"/>
              <w:right w:val="single" w:sz="4" w:space="0" w:color="auto"/>
            </w:tcBorders>
            <w:shd w:val="clear" w:color="auto" w:fill="auto"/>
            <w:noWrap/>
            <w:vAlign w:val="center"/>
            <w:hideMark/>
          </w:tcPr>
          <w:p w14:paraId="3F1796D2" w14:textId="77777777" w:rsidR="00387142" w:rsidRPr="008B6A75" w:rsidRDefault="00387142" w:rsidP="00387142">
            <w:pPr>
              <w:jc w:val="center"/>
              <w:rPr>
                <w:color w:val="000000"/>
                <w:sz w:val="20"/>
                <w:szCs w:val="20"/>
              </w:rPr>
            </w:pPr>
            <w:r w:rsidRPr="008B6A75">
              <w:rPr>
                <w:color w:val="000000"/>
                <w:sz w:val="20"/>
                <w:szCs w:val="20"/>
              </w:rPr>
              <w:t>00</w:t>
            </w:r>
          </w:p>
        </w:tc>
        <w:tc>
          <w:tcPr>
            <w:tcW w:w="750" w:type="dxa"/>
            <w:tcBorders>
              <w:top w:val="nil"/>
              <w:left w:val="nil"/>
              <w:bottom w:val="single" w:sz="4" w:space="0" w:color="auto"/>
              <w:right w:val="single" w:sz="4" w:space="0" w:color="auto"/>
            </w:tcBorders>
            <w:shd w:val="clear" w:color="auto" w:fill="auto"/>
            <w:noWrap/>
            <w:vAlign w:val="center"/>
            <w:hideMark/>
          </w:tcPr>
          <w:p w14:paraId="0701D4B4" w14:textId="77777777" w:rsidR="00387142" w:rsidRPr="008B6A75" w:rsidRDefault="00387142" w:rsidP="00387142">
            <w:pPr>
              <w:jc w:val="center"/>
              <w:rPr>
                <w:color w:val="000000"/>
                <w:sz w:val="20"/>
                <w:szCs w:val="20"/>
              </w:rPr>
            </w:pPr>
            <w:r w:rsidRPr="008B6A75">
              <w:rPr>
                <w:color w:val="000000"/>
                <w:sz w:val="20"/>
                <w:szCs w:val="20"/>
              </w:rPr>
              <w:t>70139</w:t>
            </w:r>
          </w:p>
        </w:tc>
        <w:tc>
          <w:tcPr>
            <w:tcW w:w="700" w:type="dxa"/>
            <w:tcBorders>
              <w:top w:val="nil"/>
              <w:left w:val="nil"/>
              <w:bottom w:val="single" w:sz="4" w:space="0" w:color="auto"/>
              <w:right w:val="single" w:sz="4" w:space="0" w:color="auto"/>
            </w:tcBorders>
            <w:shd w:val="clear" w:color="auto" w:fill="auto"/>
            <w:noWrap/>
            <w:vAlign w:val="center"/>
            <w:hideMark/>
          </w:tcPr>
          <w:p w14:paraId="6C49ABC5" w14:textId="77777777" w:rsidR="00387142" w:rsidRPr="008B6A75" w:rsidRDefault="00387142" w:rsidP="00387142">
            <w:pPr>
              <w:jc w:val="center"/>
              <w:rPr>
                <w:color w:val="000000"/>
                <w:sz w:val="20"/>
                <w:szCs w:val="20"/>
              </w:rPr>
            </w:pPr>
            <w:r w:rsidRPr="008B6A75">
              <w:rPr>
                <w:color w:val="000000"/>
                <w:sz w:val="20"/>
                <w:szCs w:val="20"/>
              </w:rPr>
              <w:t>410</w:t>
            </w:r>
          </w:p>
        </w:tc>
        <w:tc>
          <w:tcPr>
            <w:tcW w:w="1157" w:type="dxa"/>
            <w:gridSpan w:val="2"/>
            <w:tcBorders>
              <w:top w:val="nil"/>
              <w:left w:val="nil"/>
              <w:bottom w:val="single" w:sz="4" w:space="0" w:color="auto"/>
              <w:right w:val="single" w:sz="4" w:space="0" w:color="auto"/>
            </w:tcBorders>
            <w:shd w:val="clear" w:color="auto" w:fill="auto"/>
            <w:noWrap/>
            <w:vAlign w:val="center"/>
            <w:hideMark/>
          </w:tcPr>
          <w:p w14:paraId="614F8F1D" w14:textId="77777777" w:rsidR="00387142" w:rsidRPr="008B6A75" w:rsidRDefault="00387142" w:rsidP="00387142">
            <w:pPr>
              <w:jc w:val="right"/>
              <w:rPr>
                <w:color w:val="000000"/>
                <w:sz w:val="20"/>
                <w:szCs w:val="20"/>
              </w:rPr>
            </w:pPr>
            <w:r w:rsidRPr="008B6A75">
              <w:rPr>
                <w:color w:val="000000"/>
                <w:sz w:val="20"/>
                <w:szCs w:val="20"/>
              </w:rPr>
              <w:t xml:space="preserve">3 405 123,00 </w:t>
            </w:r>
          </w:p>
        </w:tc>
        <w:tc>
          <w:tcPr>
            <w:tcW w:w="1276" w:type="dxa"/>
            <w:tcBorders>
              <w:top w:val="nil"/>
              <w:left w:val="nil"/>
              <w:bottom w:val="single" w:sz="4" w:space="0" w:color="auto"/>
              <w:right w:val="single" w:sz="4" w:space="0" w:color="auto"/>
            </w:tcBorders>
            <w:shd w:val="clear" w:color="auto" w:fill="auto"/>
            <w:noWrap/>
            <w:vAlign w:val="center"/>
            <w:hideMark/>
          </w:tcPr>
          <w:p w14:paraId="443230C3" w14:textId="77777777" w:rsidR="00387142" w:rsidRPr="008B6A75" w:rsidRDefault="00387142" w:rsidP="00387142">
            <w:pPr>
              <w:jc w:val="right"/>
              <w:rPr>
                <w:color w:val="000000"/>
                <w:sz w:val="20"/>
                <w:szCs w:val="20"/>
              </w:rPr>
            </w:pPr>
            <w:r w:rsidRPr="008B6A75">
              <w:rPr>
                <w:color w:val="000000"/>
                <w:sz w:val="20"/>
                <w:szCs w:val="20"/>
              </w:rPr>
              <w:t xml:space="preserve">2 305 300,00 </w:t>
            </w:r>
          </w:p>
        </w:tc>
        <w:tc>
          <w:tcPr>
            <w:tcW w:w="1021" w:type="dxa"/>
            <w:tcBorders>
              <w:top w:val="nil"/>
              <w:left w:val="nil"/>
              <w:bottom w:val="single" w:sz="4" w:space="0" w:color="auto"/>
              <w:right w:val="single" w:sz="4" w:space="0" w:color="auto"/>
            </w:tcBorders>
            <w:shd w:val="clear" w:color="auto" w:fill="auto"/>
            <w:noWrap/>
            <w:vAlign w:val="center"/>
            <w:hideMark/>
          </w:tcPr>
          <w:p w14:paraId="548591E3" w14:textId="77777777" w:rsidR="00387142" w:rsidRPr="008B6A75" w:rsidRDefault="00387142" w:rsidP="00387142">
            <w:pPr>
              <w:jc w:val="right"/>
              <w:rPr>
                <w:color w:val="000000"/>
                <w:sz w:val="20"/>
                <w:szCs w:val="20"/>
              </w:rPr>
            </w:pPr>
            <w:r w:rsidRPr="008B6A75">
              <w:rPr>
                <w:color w:val="000000"/>
                <w:sz w:val="20"/>
                <w:szCs w:val="20"/>
              </w:rPr>
              <w:t xml:space="preserve">0,00 </w:t>
            </w:r>
          </w:p>
        </w:tc>
      </w:tr>
      <w:tr w:rsidR="00387142" w:rsidRPr="008B6A75" w14:paraId="016EBAF2" w14:textId="77777777" w:rsidTr="00387142">
        <w:trPr>
          <w:gridAfter w:val="1"/>
          <w:wAfter w:w="9" w:type="dxa"/>
          <w:trHeight w:val="141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1BCA954C" w14:textId="77777777" w:rsidR="00387142" w:rsidRPr="008B6A75" w:rsidRDefault="00387142" w:rsidP="00387142">
            <w:pPr>
              <w:rPr>
                <w:color w:val="000000"/>
                <w:sz w:val="20"/>
                <w:szCs w:val="20"/>
              </w:rPr>
            </w:pPr>
            <w:r w:rsidRPr="008B6A75">
              <w:rPr>
                <w:color w:val="000000"/>
                <w:sz w:val="20"/>
                <w:szCs w:val="2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134" w:type="dxa"/>
            <w:tcBorders>
              <w:top w:val="nil"/>
              <w:left w:val="nil"/>
              <w:bottom w:val="single" w:sz="4" w:space="0" w:color="auto"/>
              <w:right w:val="single" w:sz="4" w:space="0" w:color="auto"/>
            </w:tcBorders>
            <w:shd w:val="clear" w:color="auto" w:fill="auto"/>
            <w:noWrap/>
            <w:vAlign w:val="center"/>
            <w:hideMark/>
          </w:tcPr>
          <w:p w14:paraId="45CE5229" w14:textId="77777777" w:rsidR="00387142" w:rsidRPr="008B6A75" w:rsidRDefault="00387142" w:rsidP="00387142">
            <w:pPr>
              <w:jc w:val="center"/>
              <w:rPr>
                <w:color w:val="000000"/>
                <w:sz w:val="20"/>
                <w:szCs w:val="20"/>
              </w:rPr>
            </w:pPr>
            <w:r w:rsidRPr="008B6A75">
              <w:rPr>
                <w:color w:val="000000"/>
                <w:sz w:val="20"/>
                <w:szCs w:val="20"/>
              </w:rPr>
              <w:t>444</w:t>
            </w:r>
          </w:p>
        </w:tc>
        <w:tc>
          <w:tcPr>
            <w:tcW w:w="500" w:type="dxa"/>
            <w:tcBorders>
              <w:top w:val="nil"/>
              <w:left w:val="nil"/>
              <w:bottom w:val="single" w:sz="4" w:space="0" w:color="auto"/>
              <w:right w:val="single" w:sz="4" w:space="0" w:color="auto"/>
            </w:tcBorders>
            <w:shd w:val="clear" w:color="auto" w:fill="auto"/>
            <w:noWrap/>
            <w:vAlign w:val="center"/>
            <w:hideMark/>
          </w:tcPr>
          <w:p w14:paraId="1732C8A9" w14:textId="77777777" w:rsidR="00387142" w:rsidRPr="008B6A75" w:rsidRDefault="00387142" w:rsidP="00387142">
            <w:pPr>
              <w:jc w:val="center"/>
              <w:rPr>
                <w:color w:val="000000"/>
                <w:sz w:val="20"/>
                <w:szCs w:val="20"/>
              </w:rPr>
            </w:pPr>
            <w:r w:rsidRPr="008B6A75">
              <w:rPr>
                <w:color w:val="000000"/>
                <w:sz w:val="20"/>
                <w:szCs w:val="20"/>
              </w:rPr>
              <w:t>05</w:t>
            </w:r>
          </w:p>
        </w:tc>
        <w:tc>
          <w:tcPr>
            <w:tcW w:w="500" w:type="dxa"/>
            <w:tcBorders>
              <w:top w:val="nil"/>
              <w:left w:val="nil"/>
              <w:bottom w:val="single" w:sz="4" w:space="0" w:color="auto"/>
              <w:right w:val="single" w:sz="4" w:space="0" w:color="auto"/>
            </w:tcBorders>
            <w:shd w:val="clear" w:color="auto" w:fill="auto"/>
            <w:noWrap/>
            <w:vAlign w:val="center"/>
            <w:hideMark/>
          </w:tcPr>
          <w:p w14:paraId="1248C61A" w14:textId="77777777" w:rsidR="00387142" w:rsidRPr="008B6A75" w:rsidRDefault="00387142" w:rsidP="00387142">
            <w:pPr>
              <w:jc w:val="center"/>
              <w:rPr>
                <w:color w:val="000000"/>
                <w:sz w:val="20"/>
                <w:szCs w:val="20"/>
              </w:rPr>
            </w:pPr>
            <w:r w:rsidRPr="008B6A75">
              <w:rPr>
                <w:color w:val="000000"/>
                <w:sz w:val="20"/>
                <w:szCs w:val="20"/>
              </w:rPr>
              <w:t>01</w:t>
            </w:r>
          </w:p>
        </w:tc>
        <w:tc>
          <w:tcPr>
            <w:tcW w:w="500" w:type="dxa"/>
            <w:tcBorders>
              <w:top w:val="nil"/>
              <w:left w:val="nil"/>
              <w:bottom w:val="single" w:sz="4" w:space="0" w:color="auto"/>
              <w:right w:val="single" w:sz="4" w:space="0" w:color="auto"/>
            </w:tcBorders>
            <w:shd w:val="clear" w:color="auto" w:fill="auto"/>
            <w:noWrap/>
            <w:vAlign w:val="center"/>
            <w:hideMark/>
          </w:tcPr>
          <w:p w14:paraId="0CE48A99" w14:textId="77777777" w:rsidR="00387142" w:rsidRPr="008B6A75" w:rsidRDefault="00387142" w:rsidP="00387142">
            <w:pPr>
              <w:jc w:val="center"/>
              <w:rPr>
                <w:color w:val="000000"/>
                <w:sz w:val="20"/>
                <w:szCs w:val="20"/>
              </w:rPr>
            </w:pPr>
            <w:r w:rsidRPr="008B6A75">
              <w:rPr>
                <w:color w:val="000000"/>
                <w:sz w:val="20"/>
                <w:szCs w:val="20"/>
              </w:rPr>
              <w:t>99</w:t>
            </w:r>
          </w:p>
        </w:tc>
        <w:tc>
          <w:tcPr>
            <w:tcW w:w="500" w:type="dxa"/>
            <w:tcBorders>
              <w:top w:val="nil"/>
              <w:left w:val="nil"/>
              <w:bottom w:val="single" w:sz="4" w:space="0" w:color="auto"/>
              <w:right w:val="single" w:sz="4" w:space="0" w:color="auto"/>
            </w:tcBorders>
            <w:shd w:val="clear" w:color="auto" w:fill="auto"/>
            <w:noWrap/>
            <w:vAlign w:val="center"/>
            <w:hideMark/>
          </w:tcPr>
          <w:p w14:paraId="36A5B712" w14:textId="77777777" w:rsidR="00387142" w:rsidRPr="008B6A75" w:rsidRDefault="00387142" w:rsidP="00387142">
            <w:pPr>
              <w:jc w:val="center"/>
              <w:rPr>
                <w:color w:val="000000"/>
                <w:sz w:val="20"/>
                <w:szCs w:val="20"/>
              </w:rPr>
            </w:pPr>
            <w:r w:rsidRPr="008B6A75">
              <w:rPr>
                <w:color w:val="000000"/>
                <w:sz w:val="20"/>
                <w:szCs w:val="20"/>
              </w:rPr>
              <w:t>0</w:t>
            </w:r>
          </w:p>
        </w:tc>
        <w:tc>
          <w:tcPr>
            <w:tcW w:w="416" w:type="dxa"/>
            <w:tcBorders>
              <w:top w:val="nil"/>
              <w:left w:val="nil"/>
              <w:bottom w:val="single" w:sz="4" w:space="0" w:color="auto"/>
              <w:right w:val="single" w:sz="4" w:space="0" w:color="auto"/>
            </w:tcBorders>
            <w:shd w:val="clear" w:color="auto" w:fill="auto"/>
            <w:noWrap/>
            <w:vAlign w:val="center"/>
            <w:hideMark/>
          </w:tcPr>
          <w:p w14:paraId="0E6CFCD1" w14:textId="77777777" w:rsidR="00387142" w:rsidRPr="008B6A75" w:rsidRDefault="00387142" w:rsidP="00387142">
            <w:pPr>
              <w:jc w:val="center"/>
              <w:rPr>
                <w:color w:val="000000"/>
                <w:sz w:val="20"/>
                <w:szCs w:val="20"/>
              </w:rPr>
            </w:pPr>
            <w:r w:rsidRPr="008B6A75">
              <w:rPr>
                <w:color w:val="000000"/>
                <w:sz w:val="20"/>
                <w:szCs w:val="20"/>
              </w:rPr>
              <w:t>00</w:t>
            </w:r>
          </w:p>
        </w:tc>
        <w:tc>
          <w:tcPr>
            <w:tcW w:w="750" w:type="dxa"/>
            <w:tcBorders>
              <w:top w:val="nil"/>
              <w:left w:val="nil"/>
              <w:bottom w:val="single" w:sz="4" w:space="0" w:color="auto"/>
              <w:right w:val="single" w:sz="4" w:space="0" w:color="auto"/>
            </w:tcBorders>
            <w:shd w:val="clear" w:color="auto" w:fill="auto"/>
            <w:noWrap/>
            <w:vAlign w:val="center"/>
            <w:hideMark/>
          </w:tcPr>
          <w:p w14:paraId="062B9826" w14:textId="77777777" w:rsidR="00387142" w:rsidRPr="008B6A75" w:rsidRDefault="00387142" w:rsidP="00387142">
            <w:pPr>
              <w:jc w:val="center"/>
              <w:rPr>
                <w:color w:val="000000"/>
                <w:sz w:val="20"/>
                <w:szCs w:val="20"/>
              </w:rPr>
            </w:pPr>
            <w:r w:rsidRPr="008B6A75">
              <w:rPr>
                <w:color w:val="000000"/>
                <w:sz w:val="20"/>
                <w:szCs w:val="20"/>
              </w:rPr>
              <w:t>R0829</w:t>
            </w:r>
          </w:p>
        </w:tc>
        <w:tc>
          <w:tcPr>
            <w:tcW w:w="700" w:type="dxa"/>
            <w:tcBorders>
              <w:top w:val="nil"/>
              <w:left w:val="nil"/>
              <w:bottom w:val="single" w:sz="4" w:space="0" w:color="auto"/>
              <w:right w:val="single" w:sz="4" w:space="0" w:color="auto"/>
            </w:tcBorders>
            <w:shd w:val="clear" w:color="auto" w:fill="auto"/>
            <w:noWrap/>
            <w:vAlign w:val="center"/>
            <w:hideMark/>
          </w:tcPr>
          <w:p w14:paraId="5178A273" w14:textId="77777777" w:rsidR="00387142" w:rsidRPr="008B6A75" w:rsidRDefault="00387142" w:rsidP="00387142">
            <w:pPr>
              <w:jc w:val="center"/>
              <w:rPr>
                <w:color w:val="000000"/>
                <w:sz w:val="20"/>
                <w:szCs w:val="20"/>
              </w:rPr>
            </w:pPr>
            <w:r w:rsidRPr="008B6A75">
              <w:rPr>
                <w:color w:val="000000"/>
                <w:sz w:val="20"/>
                <w:szCs w:val="20"/>
              </w:rPr>
              <w:t>410</w:t>
            </w:r>
          </w:p>
        </w:tc>
        <w:tc>
          <w:tcPr>
            <w:tcW w:w="1157" w:type="dxa"/>
            <w:gridSpan w:val="2"/>
            <w:tcBorders>
              <w:top w:val="nil"/>
              <w:left w:val="nil"/>
              <w:bottom w:val="single" w:sz="4" w:space="0" w:color="auto"/>
              <w:right w:val="single" w:sz="4" w:space="0" w:color="auto"/>
            </w:tcBorders>
            <w:shd w:val="clear" w:color="auto" w:fill="auto"/>
            <w:noWrap/>
            <w:vAlign w:val="center"/>
            <w:hideMark/>
          </w:tcPr>
          <w:p w14:paraId="1BFCFBE8" w14:textId="77777777" w:rsidR="00387142" w:rsidRPr="008B6A75" w:rsidRDefault="00387142" w:rsidP="00387142">
            <w:pPr>
              <w:jc w:val="right"/>
              <w:rPr>
                <w:color w:val="000000"/>
                <w:sz w:val="20"/>
                <w:szCs w:val="20"/>
              </w:rPr>
            </w:pPr>
            <w:r w:rsidRPr="008B6A75">
              <w:rPr>
                <w:color w:val="000000"/>
                <w:sz w:val="20"/>
                <w:szCs w:val="20"/>
              </w:rPr>
              <w:t xml:space="preserve">22 484 447,44 </w:t>
            </w:r>
          </w:p>
        </w:tc>
        <w:tc>
          <w:tcPr>
            <w:tcW w:w="1276" w:type="dxa"/>
            <w:tcBorders>
              <w:top w:val="nil"/>
              <w:left w:val="nil"/>
              <w:bottom w:val="single" w:sz="4" w:space="0" w:color="auto"/>
              <w:right w:val="single" w:sz="4" w:space="0" w:color="auto"/>
            </w:tcBorders>
            <w:shd w:val="clear" w:color="auto" w:fill="auto"/>
            <w:noWrap/>
            <w:vAlign w:val="center"/>
            <w:hideMark/>
          </w:tcPr>
          <w:p w14:paraId="5358BCDC" w14:textId="77777777" w:rsidR="00387142" w:rsidRPr="008B6A75" w:rsidRDefault="00387142" w:rsidP="00387142">
            <w:pPr>
              <w:jc w:val="right"/>
              <w:rPr>
                <w:color w:val="000000"/>
                <w:sz w:val="20"/>
                <w:szCs w:val="20"/>
              </w:rPr>
            </w:pPr>
            <w:r w:rsidRPr="008B6A75">
              <w:rPr>
                <w:color w:val="000000"/>
                <w:sz w:val="20"/>
                <w:szCs w:val="20"/>
              </w:rPr>
              <w:t xml:space="preserve">10 681 700,00 </w:t>
            </w:r>
          </w:p>
        </w:tc>
        <w:tc>
          <w:tcPr>
            <w:tcW w:w="1021" w:type="dxa"/>
            <w:tcBorders>
              <w:top w:val="nil"/>
              <w:left w:val="nil"/>
              <w:bottom w:val="single" w:sz="4" w:space="0" w:color="auto"/>
              <w:right w:val="single" w:sz="4" w:space="0" w:color="auto"/>
            </w:tcBorders>
            <w:shd w:val="clear" w:color="auto" w:fill="auto"/>
            <w:noWrap/>
            <w:vAlign w:val="center"/>
            <w:hideMark/>
          </w:tcPr>
          <w:p w14:paraId="0E522C00" w14:textId="77777777" w:rsidR="00387142" w:rsidRPr="008B6A75" w:rsidRDefault="00387142" w:rsidP="00387142">
            <w:pPr>
              <w:jc w:val="right"/>
              <w:rPr>
                <w:color w:val="000000"/>
                <w:sz w:val="20"/>
                <w:szCs w:val="20"/>
              </w:rPr>
            </w:pPr>
            <w:r w:rsidRPr="008B6A75">
              <w:rPr>
                <w:color w:val="000000"/>
                <w:sz w:val="20"/>
                <w:szCs w:val="20"/>
              </w:rPr>
              <w:t xml:space="preserve">16 022 600,00 </w:t>
            </w:r>
          </w:p>
        </w:tc>
      </w:tr>
      <w:tr w:rsidR="00387142" w:rsidRPr="008B6A75" w14:paraId="704BF60C" w14:textId="77777777" w:rsidTr="00387142">
        <w:trPr>
          <w:gridAfter w:val="1"/>
          <w:wAfter w:w="9" w:type="dxa"/>
          <w:trHeight w:val="63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10067935" w14:textId="77777777" w:rsidR="00387142" w:rsidRPr="008B6A75" w:rsidRDefault="00387142" w:rsidP="00387142">
            <w:pPr>
              <w:rPr>
                <w:color w:val="000000"/>
                <w:sz w:val="20"/>
                <w:szCs w:val="20"/>
              </w:rPr>
            </w:pPr>
            <w:r w:rsidRPr="008B6A75">
              <w:rPr>
                <w:color w:val="000000"/>
                <w:sz w:val="20"/>
                <w:szCs w:val="20"/>
              </w:rPr>
              <w:t xml:space="preserve">Строительство 12-ти квартирного жилого дома в </w:t>
            </w:r>
            <w:proofErr w:type="spellStart"/>
            <w:r w:rsidRPr="008B6A75">
              <w:rPr>
                <w:color w:val="000000"/>
                <w:sz w:val="20"/>
                <w:szCs w:val="20"/>
              </w:rPr>
              <w:t>п.Энергетик</w:t>
            </w:r>
            <w:proofErr w:type="spellEnd"/>
          </w:p>
        </w:tc>
        <w:tc>
          <w:tcPr>
            <w:tcW w:w="1134" w:type="dxa"/>
            <w:tcBorders>
              <w:top w:val="nil"/>
              <w:left w:val="nil"/>
              <w:bottom w:val="single" w:sz="4" w:space="0" w:color="auto"/>
              <w:right w:val="single" w:sz="4" w:space="0" w:color="auto"/>
            </w:tcBorders>
            <w:shd w:val="clear" w:color="auto" w:fill="auto"/>
            <w:noWrap/>
            <w:vAlign w:val="center"/>
            <w:hideMark/>
          </w:tcPr>
          <w:p w14:paraId="6364AEEF" w14:textId="77777777" w:rsidR="00387142" w:rsidRPr="008B6A75" w:rsidRDefault="00387142" w:rsidP="00387142">
            <w:pPr>
              <w:jc w:val="center"/>
              <w:rPr>
                <w:color w:val="000000"/>
                <w:sz w:val="20"/>
                <w:szCs w:val="20"/>
              </w:rPr>
            </w:pPr>
            <w:r w:rsidRPr="008B6A75">
              <w:rPr>
                <w:color w:val="000000"/>
                <w:sz w:val="20"/>
                <w:szCs w:val="20"/>
              </w:rPr>
              <w:t>444</w:t>
            </w:r>
          </w:p>
        </w:tc>
        <w:tc>
          <w:tcPr>
            <w:tcW w:w="500" w:type="dxa"/>
            <w:tcBorders>
              <w:top w:val="nil"/>
              <w:left w:val="nil"/>
              <w:bottom w:val="single" w:sz="4" w:space="0" w:color="auto"/>
              <w:right w:val="single" w:sz="4" w:space="0" w:color="auto"/>
            </w:tcBorders>
            <w:shd w:val="clear" w:color="auto" w:fill="auto"/>
            <w:noWrap/>
            <w:vAlign w:val="center"/>
            <w:hideMark/>
          </w:tcPr>
          <w:p w14:paraId="2897F382" w14:textId="77777777" w:rsidR="00387142" w:rsidRPr="008B6A75" w:rsidRDefault="00387142" w:rsidP="00387142">
            <w:pPr>
              <w:jc w:val="center"/>
              <w:rPr>
                <w:color w:val="000000"/>
                <w:sz w:val="20"/>
                <w:szCs w:val="20"/>
              </w:rPr>
            </w:pPr>
            <w:r w:rsidRPr="008B6A75">
              <w:rPr>
                <w:color w:val="000000"/>
                <w:sz w:val="20"/>
                <w:szCs w:val="20"/>
              </w:rPr>
              <w:t>05</w:t>
            </w:r>
          </w:p>
        </w:tc>
        <w:tc>
          <w:tcPr>
            <w:tcW w:w="500" w:type="dxa"/>
            <w:tcBorders>
              <w:top w:val="nil"/>
              <w:left w:val="nil"/>
              <w:bottom w:val="single" w:sz="4" w:space="0" w:color="auto"/>
              <w:right w:val="single" w:sz="4" w:space="0" w:color="auto"/>
            </w:tcBorders>
            <w:shd w:val="clear" w:color="auto" w:fill="auto"/>
            <w:noWrap/>
            <w:vAlign w:val="center"/>
            <w:hideMark/>
          </w:tcPr>
          <w:p w14:paraId="68659AF1" w14:textId="77777777" w:rsidR="00387142" w:rsidRPr="008B6A75" w:rsidRDefault="00387142" w:rsidP="00387142">
            <w:pPr>
              <w:jc w:val="center"/>
              <w:rPr>
                <w:color w:val="000000"/>
                <w:sz w:val="20"/>
                <w:szCs w:val="20"/>
              </w:rPr>
            </w:pPr>
            <w:r w:rsidRPr="008B6A75">
              <w:rPr>
                <w:color w:val="000000"/>
                <w:sz w:val="20"/>
                <w:szCs w:val="20"/>
              </w:rPr>
              <w:t>01</w:t>
            </w:r>
          </w:p>
        </w:tc>
        <w:tc>
          <w:tcPr>
            <w:tcW w:w="500" w:type="dxa"/>
            <w:tcBorders>
              <w:top w:val="nil"/>
              <w:left w:val="nil"/>
              <w:bottom w:val="single" w:sz="4" w:space="0" w:color="auto"/>
              <w:right w:val="single" w:sz="4" w:space="0" w:color="auto"/>
            </w:tcBorders>
            <w:shd w:val="clear" w:color="auto" w:fill="auto"/>
            <w:noWrap/>
            <w:vAlign w:val="center"/>
            <w:hideMark/>
          </w:tcPr>
          <w:p w14:paraId="1CF5EBCA" w14:textId="77777777" w:rsidR="00387142" w:rsidRPr="008B6A75" w:rsidRDefault="00387142" w:rsidP="00387142">
            <w:pPr>
              <w:jc w:val="center"/>
              <w:rPr>
                <w:color w:val="000000"/>
                <w:sz w:val="20"/>
                <w:szCs w:val="20"/>
              </w:rPr>
            </w:pPr>
            <w:r w:rsidRPr="008B6A75">
              <w:rPr>
                <w:color w:val="000000"/>
                <w:sz w:val="20"/>
                <w:szCs w:val="20"/>
              </w:rPr>
              <w:t>99</w:t>
            </w:r>
          </w:p>
        </w:tc>
        <w:tc>
          <w:tcPr>
            <w:tcW w:w="500" w:type="dxa"/>
            <w:tcBorders>
              <w:top w:val="nil"/>
              <w:left w:val="nil"/>
              <w:bottom w:val="single" w:sz="4" w:space="0" w:color="auto"/>
              <w:right w:val="single" w:sz="4" w:space="0" w:color="auto"/>
            </w:tcBorders>
            <w:shd w:val="clear" w:color="auto" w:fill="auto"/>
            <w:noWrap/>
            <w:vAlign w:val="center"/>
            <w:hideMark/>
          </w:tcPr>
          <w:p w14:paraId="21636EDD" w14:textId="77777777" w:rsidR="00387142" w:rsidRPr="008B6A75" w:rsidRDefault="00387142" w:rsidP="00387142">
            <w:pPr>
              <w:jc w:val="center"/>
              <w:rPr>
                <w:color w:val="000000"/>
                <w:sz w:val="20"/>
                <w:szCs w:val="20"/>
              </w:rPr>
            </w:pPr>
            <w:r w:rsidRPr="008B6A75">
              <w:rPr>
                <w:color w:val="000000"/>
                <w:sz w:val="20"/>
                <w:szCs w:val="20"/>
              </w:rPr>
              <w:t>0</w:t>
            </w:r>
          </w:p>
        </w:tc>
        <w:tc>
          <w:tcPr>
            <w:tcW w:w="416" w:type="dxa"/>
            <w:tcBorders>
              <w:top w:val="nil"/>
              <w:left w:val="nil"/>
              <w:bottom w:val="single" w:sz="4" w:space="0" w:color="auto"/>
              <w:right w:val="single" w:sz="4" w:space="0" w:color="auto"/>
            </w:tcBorders>
            <w:shd w:val="clear" w:color="auto" w:fill="auto"/>
            <w:noWrap/>
            <w:vAlign w:val="center"/>
            <w:hideMark/>
          </w:tcPr>
          <w:p w14:paraId="7EA0DCE3" w14:textId="77777777" w:rsidR="00387142" w:rsidRPr="008B6A75" w:rsidRDefault="00387142" w:rsidP="00387142">
            <w:pPr>
              <w:jc w:val="center"/>
              <w:rPr>
                <w:color w:val="000000"/>
                <w:sz w:val="20"/>
                <w:szCs w:val="20"/>
              </w:rPr>
            </w:pPr>
            <w:r w:rsidRPr="008B6A75">
              <w:rPr>
                <w:color w:val="000000"/>
                <w:sz w:val="20"/>
                <w:szCs w:val="20"/>
              </w:rPr>
              <w:t>00</w:t>
            </w:r>
          </w:p>
        </w:tc>
        <w:tc>
          <w:tcPr>
            <w:tcW w:w="750" w:type="dxa"/>
            <w:tcBorders>
              <w:top w:val="nil"/>
              <w:left w:val="nil"/>
              <w:bottom w:val="single" w:sz="4" w:space="0" w:color="auto"/>
              <w:right w:val="single" w:sz="4" w:space="0" w:color="auto"/>
            </w:tcBorders>
            <w:shd w:val="clear" w:color="auto" w:fill="auto"/>
            <w:noWrap/>
            <w:vAlign w:val="center"/>
            <w:hideMark/>
          </w:tcPr>
          <w:p w14:paraId="7C46F10A" w14:textId="77777777" w:rsidR="00387142" w:rsidRPr="008B6A75" w:rsidRDefault="00387142" w:rsidP="00387142">
            <w:pPr>
              <w:jc w:val="center"/>
              <w:rPr>
                <w:color w:val="000000"/>
                <w:sz w:val="20"/>
                <w:szCs w:val="20"/>
              </w:rPr>
            </w:pPr>
            <w:r w:rsidRPr="008B6A75">
              <w:rPr>
                <w:color w:val="000000"/>
                <w:sz w:val="20"/>
                <w:szCs w:val="20"/>
              </w:rPr>
              <w:t>70650</w:t>
            </w:r>
          </w:p>
        </w:tc>
        <w:tc>
          <w:tcPr>
            <w:tcW w:w="700" w:type="dxa"/>
            <w:tcBorders>
              <w:top w:val="nil"/>
              <w:left w:val="nil"/>
              <w:bottom w:val="single" w:sz="4" w:space="0" w:color="auto"/>
              <w:right w:val="single" w:sz="4" w:space="0" w:color="auto"/>
            </w:tcBorders>
            <w:shd w:val="clear" w:color="auto" w:fill="auto"/>
            <w:noWrap/>
            <w:vAlign w:val="center"/>
            <w:hideMark/>
          </w:tcPr>
          <w:p w14:paraId="489A0125" w14:textId="77777777" w:rsidR="00387142" w:rsidRPr="008B6A75" w:rsidRDefault="00387142" w:rsidP="00387142">
            <w:pPr>
              <w:jc w:val="center"/>
              <w:rPr>
                <w:color w:val="000000"/>
                <w:sz w:val="20"/>
                <w:szCs w:val="20"/>
              </w:rPr>
            </w:pPr>
            <w:r w:rsidRPr="008B6A75">
              <w:rPr>
                <w:color w:val="000000"/>
                <w:sz w:val="20"/>
                <w:szCs w:val="20"/>
              </w:rPr>
              <w:t>410</w:t>
            </w:r>
          </w:p>
        </w:tc>
        <w:tc>
          <w:tcPr>
            <w:tcW w:w="1157" w:type="dxa"/>
            <w:gridSpan w:val="2"/>
            <w:tcBorders>
              <w:top w:val="nil"/>
              <w:left w:val="nil"/>
              <w:bottom w:val="single" w:sz="4" w:space="0" w:color="auto"/>
              <w:right w:val="single" w:sz="4" w:space="0" w:color="auto"/>
            </w:tcBorders>
            <w:shd w:val="clear" w:color="auto" w:fill="auto"/>
            <w:noWrap/>
            <w:vAlign w:val="center"/>
            <w:hideMark/>
          </w:tcPr>
          <w:p w14:paraId="572AD3AA" w14:textId="77777777" w:rsidR="00387142" w:rsidRPr="008B6A75" w:rsidRDefault="00387142" w:rsidP="00387142">
            <w:pPr>
              <w:jc w:val="right"/>
              <w:rPr>
                <w:color w:val="000000"/>
                <w:sz w:val="20"/>
                <w:szCs w:val="20"/>
              </w:rPr>
            </w:pPr>
            <w:r w:rsidRPr="008B6A75">
              <w:rPr>
                <w:color w:val="000000"/>
                <w:sz w:val="20"/>
                <w:szCs w:val="20"/>
              </w:rPr>
              <w:t xml:space="preserve">48 431 800,00 </w:t>
            </w:r>
          </w:p>
        </w:tc>
        <w:tc>
          <w:tcPr>
            <w:tcW w:w="1276" w:type="dxa"/>
            <w:tcBorders>
              <w:top w:val="nil"/>
              <w:left w:val="nil"/>
              <w:bottom w:val="single" w:sz="4" w:space="0" w:color="auto"/>
              <w:right w:val="single" w:sz="4" w:space="0" w:color="auto"/>
            </w:tcBorders>
            <w:shd w:val="clear" w:color="auto" w:fill="auto"/>
            <w:noWrap/>
            <w:vAlign w:val="center"/>
            <w:hideMark/>
          </w:tcPr>
          <w:p w14:paraId="2106F7D4" w14:textId="77777777" w:rsidR="00387142" w:rsidRPr="008B6A75" w:rsidRDefault="00387142" w:rsidP="00387142">
            <w:pPr>
              <w:jc w:val="right"/>
              <w:rPr>
                <w:color w:val="000000"/>
                <w:sz w:val="20"/>
                <w:szCs w:val="20"/>
              </w:rPr>
            </w:pPr>
            <w:r w:rsidRPr="008B6A75">
              <w:rPr>
                <w:color w:val="000000"/>
                <w:sz w:val="20"/>
                <w:szCs w:val="20"/>
              </w:rPr>
              <w:t xml:space="preserve">0,00 </w:t>
            </w:r>
          </w:p>
        </w:tc>
        <w:tc>
          <w:tcPr>
            <w:tcW w:w="1021" w:type="dxa"/>
            <w:tcBorders>
              <w:top w:val="nil"/>
              <w:left w:val="nil"/>
              <w:bottom w:val="single" w:sz="4" w:space="0" w:color="auto"/>
              <w:right w:val="single" w:sz="4" w:space="0" w:color="auto"/>
            </w:tcBorders>
            <w:shd w:val="clear" w:color="auto" w:fill="auto"/>
            <w:noWrap/>
            <w:vAlign w:val="center"/>
            <w:hideMark/>
          </w:tcPr>
          <w:p w14:paraId="235E360A" w14:textId="77777777" w:rsidR="00387142" w:rsidRPr="008B6A75" w:rsidRDefault="00387142" w:rsidP="00387142">
            <w:pPr>
              <w:jc w:val="right"/>
              <w:rPr>
                <w:color w:val="000000"/>
                <w:sz w:val="20"/>
                <w:szCs w:val="20"/>
              </w:rPr>
            </w:pPr>
            <w:r w:rsidRPr="008B6A75">
              <w:rPr>
                <w:color w:val="000000"/>
                <w:sz w:val="20"/>
                <w:szCs w:val="20"/>
              </w:rPr>
              <w:t xml:space="preserve">0,00 </w:t>
            </w:r>
          </w:p>
        </w:tc>
      </w:tr>
      <w:tr w:rsidR="00387142" w:rsidRPr="008B6A75" w14:paraId="446A5CA5" w14:textId="77777777" w:rsidTr="00387142">
        <w:trPr>
          <w:gridAfter w:val="1"/>
          <w:wAfter w:w="9" w:type="dxa"/>
          <w:trHeight w:val="63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2D2B1116" w14:textId="77777777" w:rsidR="00387142" w:rsidRPr="008B6A75" w:rsidRDefault="00387142" w:rsidP="00387142">
            <w:pPr>
              <w:rPr>
                <w:color w:val="000000"/>
                <w:sz w:val="20"/>
                <w:szCs w:val="20"/>
              </w:rPr>
            </w:pPr>
            <w:r w:rsidRPr="008B6A75">
              <w:rPr>
                <w:color w:val="000000"/>
                <w:sz w:val="20"/>
                <w:szCs w:val="20"/>
              </w:rPr>
              <w:lastRenderedPageBreak/>
              <w:t xml:space="preserve">Строительство 12-ти квартирного жилого дома в </w:t>
            </w:r>
            <w:proofErr w:type="spellStart"/>
            <w:r w:rsidRPr="008B6A75">
              <w:rPr>
                <w:color w:val="000000"/>
                <w:sz w:val="20"/>
                <w:szCs w:val="20"/>
              </w:rPr>
              <w:t>п.Энергетик</w:t>
            </w:r>
            <w:proofErr w:type="spellEnd"/>
          </w:p>
        </w:tc>
        <w:tc>
          <w:tcPr>
            <w:tcW w:w="1134" w:type="dxa"/>
            <w:tcBorders>
              <w:top w:val="nil"/>
              <w:left w:val="nil"/>
              <w:bottom w:val="single" w:sz="4" w:space="0" w:color="auto"/>
              <w:right w:val="single" w:sz="4" w:space="0" w:color="auto"/>
            </w:tcBorders>
            <w:shd w:val="clear" w:color="auto" w:fill="auto"/>
            <w:noWrap/>
            <w:vAlign w:val="center"/>
            <w:hideMark/>
          </w:tcPr>
          <w:p w14:paraId="683B5407" w14:textId="77777777" w:rsidR="00387142" w:rsidRPr="008B6A75" w:rsidRDefault="00387142" w:rsidP="00387142">
            <w:pPr>
              <w:jc w:val="center"/>
              <w:rPr>
                <w:color w:val="000000"/>
                <w:sz w:val="20"/>
                <w:szCs w:val="20"/>
              </w:rPr>
            </w:pPr>
            <w:r w:rsidRPr="008B6A75">
              <w:rPr>
                <w:color w:val="000000"/>
                <w:sz w:val="20"/>
                <w:szCs w:val="20"/>
              </w:rPr>
              <w:t>444</w:t>
            </w:r>
          </w:p>
        </w:tc>
        <w:tc>
          <w:tcPr>
            <w:tcW w:w="500" w:type="dxa"/>
            <w:tcBorders>
              <w:top w:val="nil"/>
              <w:left w:val="nil"/>
              <w:bottom w:val="single" w:sz="4" w:space="0" w:color="auto"/>
              <w:right w:val="single" w:sz="4" w:space="0" w:color="auto"/>
            </w:tcBorders>
            <w:shd w:val="clear" w:color="auto" w:fill="auto"/>
            <w:noWrap/>
            <w:vAlign w:val="center"/>
            <w:hideMark/>
          </w:tcPr>
          <w:p w14:paraId="471384FB" w14:textId="77777777" w:rsidR="00387142" w:rsidRPr="008B6A75" w:rsidRDefault="00387142" w:rsidP="00387142">
            <w:pPr>
              <w:jc w:val="center"/>
              <w:rPr>
                <w:color w:val="000000"/>
                <w:sz w:val="20"/>
                <w:szCs w:val="20"/>
              </w:rPr>
            </w:pPr>
            <w:r w:rsidRPr="008B6A75">
              <w:rPr>
                <w:color w:val="000000"/>
                <w:sz w:val="20"/>
                <w:szCs w:val="20"/>
              </w:rPr>
              <w:t>05</w:t>
            </w:r>
          </w:p>
        </w:tc>
        <w:tc>
          <w:tcPr>
            <w:tcW w:w="500" w:type="dxa"/>
            <w:tcBorders>
              <w:top w:val="nil"/>
              <w:left w:val="nil"/>
              <w:bottom w:val="single" w:sz="4" w:space="0" w:color="auto"/>
              <w:right w:val="single" w:sz="4" w:space="0" w:color="auto"/>
            </w:tcBorders>
            <w:shd w:val="clear" w:color="auto" w:fill="auto"/>
            <w:noWrap/>
            <w:vAlign w:val="center"/>
            <w:hideMark/>
          </w:tcPr>
          <w:p w14:paraId="52E1755D" w14:textId="77777777" w:rsidR="00387142" w:rsidRPr="008B6A75" w:rsidRDefault="00387142" w:rsidP="00387142">
            <w:pPr>
              <w:jc w:val="center"/>
              <w:rPr>
                <w:color w:val="000000"/>
                <w:sz w:val="20"/>
                <w:szCs w:val="20"/>
              </w:rPr>
            </w:pPr>
            <w:r w:rsidRPr="008B6A75">
              <w:rPr>
                <w:color w:val="000000"/>
                <w:sz w:val="20"/>
                <w:szCs w:val="20"/>
              </w:rPr>
              <w:t>01</w:t>
            </w:r>
          </w:p>
        </w:tc>
        <w:tc>
          <w:tcPr>
            <w:tcW w:w="500" w:type="dxa"/>
            <w:tcBorders>
              <w:top w:val="nil"/>
              <w:left w:val="nil"/>
              <w:bottom w:val="single" w:sz="4" w:space="0" w:color="auto"/>
              <w:right w:val="single" w:sz="4" w:space="0" w:color="auto"/>
            </w:tcBorders>
            <w:shd w:val="clear" w:color="auto" w:fill="auto"/>
            <w:noWrap/>
            <w:vAlign w:val="center"/>
            <w:hideMark/>
          </w:tcPr>
          <w:p w14:paraId="2E604502" w14:textId="77777777" w:rsidR="00387142" w:rsidRPr="008B6A75" w:rsidRDefault="00387142" w:rsidP="00387142">
            <w:pPr>
              <w:jc w:val="center"/>
              <w:rPr>
                <w:color w:val="000000"/>
                <w:sz w:val="20"/>
                <w:szCs w:val="20"/>
              </w:rPr>
            </w:pPr>
            <w:r w:rsidRPr="008B6A75">
              <w:rPr>
                <w:color w:val="000000"/>
                <w:sz w:val="20"/>
                <w:szCs w:val="20"/>
              </w:rPr>
              <w:t>99</w:t>
            </w:r>
          </w:p>
        </w:tc>
        <w:tc>
          <w:tcPr>
            <w:tcW w:w="500" w:type="dxa"/>
            <w:tcBorders>
              <w:top w:val="nil"/>
              <w:left w:val="nil"/>
              <w:bottom w:val="single" w:sz="4" w:space="0" w:color="auto"/>
              <w:right w:val="single" w:sz="4" w:space="0" w:color="auto"/>
            </w:tcBorders>
            <w:shd w:val="clear" w:color="auto" w:fill="auto"/>
            <w:noWrap/>
            <w:vAlign w:val="center"/>
            <w:hideMark/>
          </w:tcPr>
          <w:p w14:paraId="3E44177F" w14:textId="77777777" w:rsidR="00387142" w:rsidRPr="008B6A75" w:rsidRDefault="00387142" w:rsidP="00387142">
            <w:pPr>
              <w:jc w:val="center"/>
              <w:rPr>
                <w:color w:val="000000"/>
                <w:sz w:val="20"/>
                <w:szCs w:val="20"/>
              </w:rPr>
            </w:pPr>
            <w:r w:rsidRPr="008B6A75">
              <w:rPr>
                <w:color w:val="000000"/>
                <w:sz w:val="20"/>
                <w:szCs w:val="20"/>
              </w:rPr>
              <w:t>0</w:t>
            </w:r>
          </w:p>
        </w:tc>
        <w:tc>
          <w:tcPr>
            <w:tcW w:w="416" w:type="dxa"/>
            <w:tcBorders>
              <w:top w:val="nil"/>
              <w:left w:val="nil"/>
              <w:bottom w:val="single" w:sz="4" w:space="0" w:color="auto"/>
              <w:right w:val="single" w:sz="4" w:space="0" w:color="auto"/>
            </w:tcBorders>
            <w:shd w:val="clear" w:color="auto" w:fill="auto"/>
            <w:noWrap/>
            <w:vAlign w:val="center"/>
            <w:hideMark/>
          </w:tcPr>
          <w:p w14:paraId="55463EB3" w14:textId="77777777" w:rsidR="00387142" w:rsidRPr="008B6A75" w:rsidRDefault="00387142" w:rsidP="00387142">
            <w:pPr>
              <w:jc w:val="center"/>
              <w:rPr>
                <w:color w:val="000000"/>
                <w:sz w:val="20"/>
                <w:szCs w:val="20"/>
              </w:rPr>
            </w:pPr>
            <w:r w:rsidRPr="008B6A75">
              <w:rPr>
                <w:color w:val="000000"/>
                <w:sz w:val="20"/>
                <w:szCs w:val="20"/>
              </w:rPr>
              <w:t>00</w:t>
            </w:r>
          </w:p>
        </w:tc>
        <w:tc>
          <w:tcPr>
            <w:tcW w:w="750" w:type="dxa"/>
            <w:tcBorders>
              <w:top w:val="nil"/>
              <w:left w:val="nil"/>
              <w:bottom w:val="single" w:sz="4" w:space="0" w:color="auto"/>
              <w:right w:val="single" w:sz="4" w:space="0" w:color="auto"/>
            </w:tcBorders>
            <w:shd w:val="clear" w:color="auto" w:fill="auto"/>
            <w:noWrap/>
            <w:vAlign w:val="center"/>
            <w:hideMark/>
          </w:tcPr>
          <w:p w14:paraId="02E03186" w14:textId="77777777" w:rsidR="00387142" w:rsidRPr="008B6A75" w:rsidRDefault="00387142" w:rsidP="00387142">
            <w:pPr>
              <w:jc w:val="center"/>
              <w:rPr>
                <w:color w:val="000000"/>
                <w:sz w:val="20"/>
                <w:szCs w:val="20"/>
              </w:rPr>
            </w:pPr>
            <w:r w:rsidRPr="008B6A75">
              <w:rPr>
                <w:color w:val="000000"/>
                <w:sz w:val="20"/>
                <w:szCs w:val="20"/>
              </w:rPr>
              <w:t>S0650</w:t>
            </w:r>
          </w:p>
        </w:tc>
        <w:tc>
          <w:tcPr>
            <w:tcW w:w="700" w:type="dxa"/>
            <w:tcBorders>
              <w:top w:val="nil"/>
              <w:left w:val="nil"/>
              <w:bottom w:val="single" w:sz="4" w:space="0" w:color="auto"/>
              <w:right w:val="single" w:sz="4" w:space="0" w:color="auto"/>
            </w:tcBorders>
            <w:shd w:val="clear" w:color="auto" w:fill="auto"/>
            <w:noWrap/>
            <w:vAlign w:val="center"/>
            <w:hideMark/>
          </w:tcPr>
          <w:p w14:paraId="6DD882A5" w14:textId="77777777" w:rsidR="00387142" w:rsidRPr="008B6A75" w:rsidRDefault="00387142" w:rsidP="00387142">
            <w:pPr>
              <w:jc w:val="center"/>
              <w:rPr>
                <w:color w:val="000000"/>
                <w:sz w:val="20"/>
                <w:szCs w:val="20"/>
              </w:rPr>
            </w:pPr>
            <w:r w:rsidRPr="008B6A75">
              <w:rPr>
                <w:color w:val="000000"/>
                <w:sz w:val="20"/>
                <w:szCs w:val="20"/>
              </w:rPr>
              <w:t>410</w:t>
            </w:r>
          </w:p>
        </w:tc>
        <w:tc>
          <w:tcPr>
            <w:tcW w:w="1157" w:type="dxa"/>
            <w:gridSpan w:val="2"/>
            <w:tcBorders>
              <w:top w:val="nil"/>
              <w:left w:val="nil"/>
              <w:bottom w:val="single" w:sz="4" w:space="0" w:color="auto"/>
              <w:right w:val="single" w:sz="4" w:space="0" w:color="auto"/>
            </w:tcBorders>
            <w:shd w:val="clear" w:color="auto" w:fill="auto"/>
            <w:noWrap/>
            <w:vAlign w:val="center"/>
            <w:hideMark/>
          </w:tcPr>
          <w:p w14:paraId="2618F127" w14:textId="77777777" w:rsidR="00387142" w:rsidRPr="008B6A75" w:rsidRDefault="00387142" w:rsidP="00387142">
            <w:pPr>
              <w:jc w:val="right"/>
              <w:rPr>
                <w:color w:val="000000"/>
                <w:sz w:val="20"/>
                <w:szCs w:val="20"/>
              </w:rPr>
            </w:pPr>
            <w:r w:rsidRPr="008B6A75">
              <w:rPr>
                <w:color w:val="000000"/>
                <w:sz w:val="20"/>
                <w:szCs w:val="20"/>
              </w:rPr>
              <w:t xml:space="preserve">2 315 978,95 </w:t>
            </w:r>
          </w:p>
        </w:tc>
        <w:tc>
          <w:tcPr>
            <w:tcW w:w="1276" w:type="dxa"/>
            <w:tcBorders>
              <w:top w:val="nil"/>
              <w:left w:val="nil"/>
              <w:bottom w:val="single" w:sz="4" w:space="0" w:color="auto"/>
              <w:right w:val="single" w:sz="4" w:space="0" w:color="auto"/>
            </w:tcBorders>
            <w:shd w:val="clear" w:color="auto" w:fill="auto"/>
            <w:noWrap/>
            <w:vAlign w:val="center"/>
            <w:hideMark/>
          </w:tcPr>
          <w:p w14:paraId="25E81D4B" w14:textId="77777777" w:rsidR="00387142" w:rsidRPr="008B6A75" w:rsidRDefault="00387142" w:rsidP="00387142">
            <w:pPr>
              <w:jc w:val="right"/>
              <w:rPr>
                <w:color w:val="000000"/>
                <w:sz w:val="20"/>
                <w:szCs w:val="20"/>
              </w:rPr>
            </w:pPr>
            <w:r w:rsidRPr="008B6A75">
              <w:rPr>
                <w:color w:val="000000"/>
                <w:sz w:val="20"/>
                <w:szCs w:val="20"/>
              </w:rPr>
              <w:t> </w:t>
            </w:r>
          </w:p>
        </w:tc>
        <w:tc>
          <w:tcPr>
            <w:tcW w:w="1021" w:type="dxa"/>
            <w:tcBorders>
              <w:top w:val="nil"/>
              <w:left w:val="nil"/>
              <w:bottom w:val="single" w:sz="4" w:space="0" w:color="auto"/>
              <w:right w:val="single" w:sz="4" w:space="0" w:color="auto"/>
            </w:tcBorders>
            <w:shd w:val="clear" w:color="auto" w:fill="auto"/>
            <w:noWrap/>
            <w:vAlign w:val="center"/>
            <w:hideMark/>
          </w:tcPr>
          <w:p w14:paraId="54B87B98" w14:textId="77777777" w:rsidR="00387142" w:rsidRPr="008B6A75" w:rsidRDefault="00387142" w:rsidP="00387142">
            <w:pPr>
              <w:jc w:val="right"/>
              <w:rPr>
                <w:color w:val="000000"/>
                <w:sz w:val="20"/>
                <w:szCs w:val="20"/>
              </w:rPr>
            </w:pPr>
            <w:r w:rsidRPr="008B6A75">
              <w:rPr>
                <w:color w:val="000000"/>
                <w:sz w:val="20"/>
                <w:szCs w:val="20"/>
              </w:rPr>
              <w:t> </w:t>
            </w:r>
          </w:p>
        </w:tc>
      </w:tr>
      <w:tr w:rsidR="00387142" w:rsidRPr="008B6A75" w14:paraId="374BA762" w14:textId="77777777" w:rsidTr="00387142">
        <w:trPr>
          <w:gridAfter w:val="1"/>
          <w:wAfter w:w="9" w:type="dxa"/>
          <w:trHeight w:val="900"/>
        </w:trPr>
        <w:tc>
          <w:tcPr>
            <w:tcW w:w="1985" w:type="dxa"/>
            <w:tcBorders>
              <w:top w:val="nil"/>
              <w:left w:val="single" w:sz="4" w:space="0" w:color="auto"/>
              <w:bottom w:val="single" w:sz="4" w:space="0" w:color="auto"/>
              <w:right w:val="single" w:sz="4" w:space="0" w:color="auto"/>
            </w:tcBorders>
            <w:shd w:val="clear" w:color="000000" w:fill="FFFFFF"/>
            <w:vAlign w:val="center"/>
            <w:hideMark/>
          </w:tcPr>
          <w:p w14:paraId="3F710B65" w14:textId="77777777" w:rsidR="00387142" w:rsidRPr="008B6A75" w:rsidRDefault="00387142" w:rsidP="00387142">
            <w:pPr>
              <w:rPr>
                <w:color w:val="000000"/>
                <w:sz w:val="20"/>
                <w:szCs w:val="20"/>
              </w:rPr>
            </w:pPr>
            <w:r w:rsidRPr="008B6A75">
              <w:rPr>
                <w:color w:val="000000"/>
                <w:sz w:val="20"/>
                <w:szCs w:val="20"/>
              </w:rPr>
              <w:t>Расходы, связанных со строительством специализированного жилищного фонда для предоставления отдельным категориям граждан</w:t>
            </w:r>
          </w:p>
        </w:tc>
        <w:tc>
          <w:tcPr>
            <w:tcW w:w="1134" w:type="dxa"/>
            <w:tcBorders>
              <w:top w:val="nil"/>
              <w:left w:val="nil"/>
              <w:bottom w:val="single" w:sz="4" w:space="0" w:color="auto"/>
              <w:right w:val="single" w:sz="4" w:space="0" w:color="auto"/>
            </w:tcBorders>
            <w:shd w:val="clear" w:color="auto" w:fill="auto"/>
            <w:noWrap/>
            <w:vAlign w:val="center"/>
            <w:hideMark/>
          </w:tcPr>
          <w:p w14:paraId="6ECEF948" w14:textId="77777777" w:rsidR="00387142" w:rsidRPr="008B6A75" w:rsidRDefault="00387142" w:rsidP="00387142">
            <w:pPr>
              <w:jc w:val="center"/>
              <w:rPr>
                <w:color w:val="000000"/>
                <w:sz w:val="20"/>
                <w:szCs w:val="20"/>
              </w:rPr>
            </w:pPr>
            <w:r w:rsidRPr="008B6A75">
              <w:rPr>
                <w:color w:val="000000"/>
                <w:sz w:val="20"/>
                <w:szCs w:val="20"/>
              </w:rPr>
              <w:t>444</w:t>
            </w:r>
          </w:p>
        </w:tc>
        <w:tc>
          <w:tcPr>
            <w:tcW w:w="500" w:type="dxa"/>
            <w:tcBorders>
              <w:top w:val="nil"/>
              <w:left w:val="nil"/>
              <w:bottom w:val="single" w:sz="4" w:space="0" w:color="auto"/>
              <w:right w:val="single" w:sz="4" w:space="0" w:color="auto"/>
            </w:tcBorders>
            <w:shd w:val="clear" w:color="auto" w:fill="auto"/>
            <w:noWrap/>
            <w:vAlign w:val="center"/>
            <w:hideMark/>
          </w:tcPr>
          <w:p w14:paraId="153E25F6" w14:textId="77777777" w:rsidR="00387142" w:rsidRPr="008B6A75" w:rsidRDefault="00387142" w:rsidP="00387142">
            <w:pPr>
              <w:jc w:val="center"/>
              <w:rPr>
                <w:color w:val="000000"/>
                <w:sz w:val="20"/>
                <w:szCs w:val="20"/>
              </w:rPr>
            </w:pPr>
            <w:r w:rsidRPr="008B6A75">
              <w:rPr>
                <w:color w:val="000000"/>
                <w:sz w:val="20"/>
                <w:szCs w:val="20"/>
              </w:rPr>
              <w:t>05</w:t>
            </w:r>
          </w:p>
        </w:tc>
        <w:tc>
          <w:tcPr>
            <w:tcW w:w="500" w:type="dxa"/>
            <w:tcBorders>
              <w:top w:val="nil"/>
              <w:left w:val="nil"/>
              <w:bottom w:val="single" w:sz="4" w:space="0" w:color="auto"/>
              <w:right w:val="single" w:sz="4" w:space="0" w:color="auto"/>
            </w:tcBorders>
            <w:shd w:val="clear" w:color="auto" w:fill="auto"/>
            <w:noWrap/>
            <w:vAlign w:val="center"/>
            <w:hideMark/>
          </w:tcPr>
          <w:p w14:paraId="0C4309F0" w14:textId="77777777" w:rsidR="00387142" w:rsidRPr="008B6A75" w:rsidRDefault="00387142" w:rsidP="00387142">
            <w:pPr>
              <w:jc w:val="center"/>
              <w:rPr>
                <w:color w:val="000000"/>
                <w:sz w:val="20"/>
                <w:szCs w:val="20"/>
              </w:rPr>
            </w:pPr>
            <w:r w:rsidRPr="008B6A75">
              <w:rPr>
                <w:color w:val="000000"/>
                <w:sz w:val="20"/>
                <w:szCs w:val="20"/>
              </w:rPr>
              <w:t>01</w:t>
            </w:r>
          </w:p>
        </w:tc>
        <w:tc>
          <w:tcPr>
            <w:tcW w:w="500" w:type="dxa"/>
            <w:tcBorders>
              <w:top w:val="nil"/>
              <w:left w:val="nil"/>
              <w:bottom w:val="single" w:sz="4" w:space="0" w:color="auto"/>
              <w:right w:val="single" w:sz="4" w:space="0" w:color="auto"/>
            </w:tcBorders>
            <w:shd w:val="clear" w:color="auto" w:fill="auto"/>
            <w:noWrap/>
            <w:vAlign w:val="center"/>
            <w:hideMark/>
          </w:tcPr>
          <w:p w14:paraId="02E0FF2D" w14:textId="77777777" w:rsidR="00387142" w:rsidRPr="008B6A75" w:rsidRDefault="00387142" w:rsidP="00387142">
            <w:pPr>
              <w:jc w:val="center"/>
              <w:rPr>
                <w:color w:val="000000"/>
                <w:sz w:val="20"/>
                <w:szCs w:val="20"/>
              </w:rPr>
            </w:pPr>
            <w:r w:rsidRPr="008B6A75">
              <w:rPr>
                <w:color w:val="000000"/>
                <w:sz w:val="20"/>
                <w:szCs w:val="20"/>
              </w:rPr>
              <w:t>99</w:t>
            </w:r>
          </w:p>
        </w:tc>
        <w:tc>
          <w:tcPr>
            <w:tcW w:w="500" w:type="dxa"/>
            <w:tcBorders>
              <w:top w:val="nil"/>
              <w:left w:val="nil"/>
              <w:bottom w:val="single" w:sz="4" w:space="0" w:color="auto"/>
              <w:right w:val="single" w:sz="4" w:space="0" w:color="auto"/>
            </w:tcBorders>
            <w:shd w:val="clear" w:color="auto" w:fill="auto"/>
            <w:noWrap/>
            <w:vAlign w:val="center"/>
            <w:hideMark/>
          </w:tcPr>
          <w:p w14:paraId="0CAA23AA" w14:textId="77777777" w:rsidR="00387142" w:rsidRPr="008B6A75" w:rsidRDefault="00387142" w:rsidP="00387142">
            <w:pPr>
              <w:jc w:val="center"/>
              <w:rPr>
                <w:color w:val="000000"/>
                <w:sz w:val="20"/>
                <w:szCs w:val="20"/>
              </w:rPr>
            </w:pPr>
            <w:r w:rsidRPr="008B6A75">
              <w:rPr>
                <w:color w:val="000000"/>
                <w:sz w:val="20"/>
                <w:szCs w:val="20"/>
              </w:rPr>
              <w:t>0</w:t>
            </w:r>
          </w:p>
        </w:tc>
        <w:tc>
          <w:tcPr>
            <w:tcW w:w="416" w:type="dxa"/>
            <w:tcBorders>
              <w:top w:val="nil"/>
              <w:left w:val="nil"/>
              <w:bottom w:val="single" w:sz="4" w:space="0" w:color="auto"/>
              <w:right w:val="single" w:sz="4" w:space="0" w:color="auto"/>
            </w:tcBorders>
            <w:shd w:val="clear" w:color="auto" w:fill="auto"/>
            <w:noWrap/>
            <w:vAlign w:val="center"/>
            <w:hideMark/>
          </w:tcPr>
          <w:p w14:paraId="7626DAB8" w14:textId="77777777" w:rsidR="00387142" w:rsidRPr="008B6A75" w:rsidRDefault="00387142" w:rsidP="00387142">
            <w:pPr>
              <w:jc w:val="center"/>
              <w:rPr>
                <w:color w:val="000000"/>
                <w:sz w:val="20"/>
                <w:szCs w:val="20"/>
              </w:rPr>
            </w:pPr>
            <w:r w:rsidRPr="008B6A75">
              <w:rPr>
                <w:color w:val="000000"/>
                <w:sz w:val="20"/>
                <w:szCs w:val="20"/>
              </w:rPr>
              <w:t>00</w:t>
            </w:r>
          </w:p>
        </w:tc>
        <w:tc>
          <w:tcPr>
            <w:tcW w:w="750" w:type="dxa"/>
            <w:tcBorders>
              <w:top w:val="nil"/>
              <w:left w:val="nil"/>
              <w:bottom w:val="single" w:sz="4" w:space="0" w:color="auto"/>
              <w:right w:val="single" w:sz="4" w:space="0" w:color="auto"/>
            </w:tcBorders>
            <w:shd w:val="clear" w:color="auto" w:fill="auto"/>
            <w:noWrap/>
            <w:vAlign w:val="center"/>
            <w:hideMark/>
          </w:tcPr>
          <w:p w14:paraId="4BA1AAE3" w14:textId="77777777" w:rsidR="00387142" w:rsidRPr="008B6A75" w:rsidRDefault="00387142" w:rsidP="00387142">
            <w:pPr>
              <w:jc w:val="center"/>
              <w:rPr>
                <w:color w:val="000000"/>
                <w:sz w:val="20"/>
                <w:szCs w:val="20"/>
              </w:rPr>
            </w:pPr>
            <w:r w:rsidRPr="008B6A75">
              <w:rPr>
                <w:color w:val="000000"/>
                <w:sz w:val="20"/>
                <w:szCs w:val="20"/>
              </w:rPr>
              <w:t>70830</w:t>
            </w:r>
          </w:p>
        </w:tc>
        <w:tc>
          <w:tcPr>
            <w:tcW w:w="700" w:type="dxa"/>
            <w:tcBorders>
              <w:top w:val="nil"/>
              <w:left w:val="nil"/>
              <w:bottom w:val="single" w:sz="4" w:space="0" w:color="auto"/>
              <w:right w:val="single" w:sz="4" w:space="0" w:color="auto"/>
            </w:tcBorders>
            <w:shd w:val="clear" w:color="auto" w:fill="auto"/>
            <w:noWrap/>
            <w:vAlign w:val="center"/>
            <w:hideMark/>
          </w:tcPr>
          <w:p w14:paraId="1425A04F" w14:textId="77777777" w:rsidR="00387142" w:rsidRPr="008B6A75" w:rsidRDefault="00387142" w:rsidP="00387142">
            <w:pPr>
              <w:jc w:val="center"/>
              <w:rPr>
                <w:color w:val="000000"/>
                <w:sz w:val="20"/>
                <w:szCs w:val="20"/>
              </w:rPr>
            </w:pPr>
            <w:r w:rsidRPr="008B6A75">
              <w:rPr>
                <w:color w:val="000000"/>
                <w:sz w:val="20"/>
                <w:szCs w:val="20"/>
              </w:rPr>
              <w:t>410</w:t>
            </w:r>
          </w:p>
        </w:tc>
        <w:tc>
          <w:tcPr>
            <w:tcW w:w="1157" w:type="dxa"/>
            <w:gridSpan w:val="2"/>
            <w:tcBorders>
              <w:top w:val="nil"/>
              <w:left w:val="nil"/>
              <w:bottom w:val="single" w:sz="4" w:space="0" w:color="auto"/>
              <w:right w:val="single" w:sz="4" w:space="0" w:color="auto"/>
            </w:tcBorders>
            <w:shd w:val="clear" w:color="auto" w:fill="auto"/>
            <w:noWrap/>
            <w:vAlign w:val="center"/>
            <w:hideMark/>
          </w:tcPr>
          <w:p w14:paraId="0283A203" w14:textId="77777777" w:rsidR="00387142" w:rsidRPr="008B6A75" w:rsidRDefault="00387142" w:rsidP="00387142">
            <w:pPr>
              <w:jc w:val="right"/>
              <w:rPr>
                <w:color w:val="000000"/>
                <w:sz w:val="20"/>
                <w:szCs w:val="20"/>
              </w:rPr>
            </w:pPr>
            <w:r w:rsidRPr="008B6A75">
              <w:rPr>
                <w:color w:val="000000"/>
                <w:sz w:val="20"/>
                <w:szCs w:val="20"/>
              </w:rPr>
              <w:t xml:space="preserve">15 781 000,00 </w:t>
            </w:r>
          </w:p>
        </w:tc>
        <w:tc>
          <w:tcPr>
            <w:tcW w:w="1276" w:type="dxa"/>
            <w:tcBorders>
              <w:top w:val="nil"/>
              <w:left w:val="nil"/>
              <w:bottom w:val="single" w:sz="4" w:space="0" w:color="auto"/>
              <w:right w:val="single" w:sz="4" w:space="0" w:color="auto"/>
            </w:tcBorders>
            <w:shd w:val="clear" w:color="auto" w:fill="auto"/>
            <w:noWrap/>
            <w:vAlign w:val="center"/>
            <w:hideMark/>
          </w:tcPr>
          <w:p w14:paraId="0EEB001F" w14:textId="77777777" w:rsidR="00387142" w:rsidRPr="008B6A75" w:rsidRDefault="00387142" w:rsidP="00387142">
            <w:pPr>
              <w:jc w:val="right"/>
              <w:rPr>
                <w:color w:val="000000"/>
                <w:sz w:val="20"/>
                <w:szCs w:val="20"/>
              </w:rPr>
            </w:pPr>
            <w:r w:rsidRPr="008B6A75">
              <w:rPr>
                <w:color w:val="000000"/>
                <w:sz w:val="20"/>
                <w:szCs w:val="20"/>
              </w:rPr>
              <w:t xml:space="preserve">7 590 400,00 </w:t>
            </w:r>
          </w:p>
        </w:tc>
        <w:tc>
          <w:tcPr>
            <w:tcW w:w="1021" w:type="dxa"/>
            <w:tcBorders>
              <w:top w:val="nil"/>
              <w:left w:val="nil"/>
              <w:bottom w:val="single" w:sz="4" w:space="0" w:color="auto"/>
              <w:right w:val="single" w:sz="4" w:space="0" w:color="auto"/>
            </w:tcBorders>
            <w:shd w:val="clear" w:color="auto" w:fill="auto"/>
            <w:noWrap/>
            <w:vAlign w:val="center"/>
            <w:hideMark/>
          </w:tcPr>
          <w:p w14:paraId="68704D20" w14:textId="77777777" w:rsidR="00387142" w:rsidRPr="008B6A75" w:rsidRDefault="00387142" w:rsidP="00387142">
            <w:pPr>
              <w:jc w:val="right"/>
              <w:rPr>
                <w:color w:val="000000"/>
                <w:sz w:val="20"/>
                <w:szCs w:val="20"/>
              </w:rPr>
            </w:pPr>
            <w:r w:rsidRPr="008B6A75">
              <w:rPr>
                <w:color w:val="000000"/>
                <w:sz w:val="20"/>
                <w:szCs w:val="20"/>
              </w:rPr>
              <w:t xml:space="preserve">5 290 300,00 </w:t>
            </w:r>
          </w:p>
        </w:tc>
      </w:tr>
      <w:tr w:rsidR="00387142" w:rsidRPr="008B6A75" w14:paraId="7A43088F" w14:textId="77777777" w:rsidTr="00387142">
        <w:trPr>
          <w:gridAfter w:val="1"/>
          <w:wAfter w:w="9" w:type="dxa"/>
          <w:trHeight w:val="900"/>
        </w:trPr>
        <w:tc>
          <w:tcPr>
            <w:tcW w:w="1985" w:type="dxa"/>
            <w:tcBorders>
              <w:top w:val="nil"/>
              <w:left w:val="single" w:sz="4" w:space="0" w:color="auto"/>
              <w:bottom w:val="nil"/>
              <w:right w:val="single" w:sz="4" w:space="0" w:color="auto"/>
            </w:tcBorders>
            <w:shd w:val="clear" w:color="000000" w:fill="FFFFFF"/>
            <w:vAlign w:val="center"/>
            <w:hideMark/>
          </w:tcPr>
          <w:p w14:paraId="6C611D83" w14:textId="77777777" w:rsidR="00387142" w:rsidRPr="008B6A75" w:rsidRDefault="00387142" w:rsidP="00387142">
            <w:pPr>
              <w:rPr>
                <w:color w:val="000000"/>
                <w:sz w:val="20"/>
                <w:szCs w:val="20"/>
              </w:rPr>
            </w:pPr>
            <w:r w:rsidRPr="008B6A75">
              <w:rPr>
                <w:color w:val="000000"/>
                <w:sz w:val="20"/>
                <w:szCs w:val="20"/>
              </w:rPr>
              <w:t>Расходы, связанных со строительством специализированного жилищного фонда для предоставления отдельным категориям граждан</w:t>
            </w:r>
          </w:p>
        </w:tc>
        <w:tc>
          <w:tcPr>
            <w:tcW w:w="1134" w:type="dxa"/>
            <w:tcBorders>
              <w:top w:val="nil"/>
              <w:left w:val="nil"/>
              <w:bottom w:val="single" w:sz="4" w:space="0" w:color="auto"/>
              <w:right w:val="single" w:sz="4" w:space="0" w:color="auto"/>
            </w:tcBorders>
            <w:shd w:val="clear" w:color="auto" w:fill="auto"/>
            <w:noWrap/>
            <w:vAlign w:val="center"/>
            <w:hideMark/>
          </w:tcPr>
          <w:p w14:paraId="64B60C4B" w14:textId="77777777" w:rsidR="00387142" w:rsidRPr="008B6A75" w:rsidRDefault="00387142" w:rsidP="00387142">
            <w:pPr>
              <w:jc w:val="center"/>
              <w:rPr>
                <w:color w:val="000000"/>
                <w:sz w:val="20"/>
                <w:szCs w:val="20"/>
              </w:rPr>
            </w:pPr>
            <w:r w:rsidRPr="008B6A75">
              <w:rPr>
                <w:color w:val="000000"/>
                <w:sz w:val="20"/>
                <w:szCs w:val="20"/>
              </w:rPr>
              <w:t>444</w:t>
            </w:r>
          </w:p>
        </w:tc>
        <w:tc>
          <w:tcPr>
            <w:tcW w:w="500" w:type="dxa"/>
            <w:tcBorders>
              <w:top w:val="nil"/>
              <w:left w:val="nil"/>
              <w:bottom w:val="single" w:sz="4" w:space="0" w:color="auto"/>
              <w:right w:val="single" w:sz="4" w:space="0" w:color="auto"/>
            </w:tcBorders>
            <w:shd w:val="clear" w:color="auto" w:fill="auto"/>
            <w:noWrap/>
            <w:vAlign w:val="center"/>
            <w:hideMark/>
          </w:tcPr>
          <w:p w14:paraId="3702940E" w14:textId="77777777" w:rsidR="00387142" w:rsidRPr="008B6A75" w:rsidRDefault="00387142" w:rsidP="00387142">
            <w:pPr>
              <w:jc w:val="center"/>
              <w:rPr>
                <w:color w:val="000000"/>
                <w:sz w:val="20"/>
                <w:szCs w:val="20"/>
              </w:rPr>
            </w:pPr>
            <w:r w:rsidRPr="008B6A75">
              <w:rPr>
                <w:color w:val="000000"/>
                <w:sz w:val="20"/>
                <w:szCs w:val="20"/>
              </w:rPr>
              <w:t>05</w:t>
            </w:r>
          </w:p>
        </w:tc>
        <w:tc>
          <w:tcPr>
            <w:tcW w:w="500" w:type="dxa"/>
            <w:tcBorders>
              <w:top w:val="nil"/>
              <w:left w:val="nil"/>
              <w:bottom w:val="single" w:sz="4" w:space="0" w:color="auto"/>
              <w:right w:val="single" w:sz="4" w:space="0" w:color="auto"/>
            </w:tcBorders>
            <w:shd w:val="clear" w:color="auto" w:fill="auto"/>
            <w:noWrap/>
            <w:vAlign w:val="center"/>
            <w:hideMark/>
          </w:tcPr>
          <w:p w14:paraId="78F6ABC2" w14:textId="77777777" w:rsidR="00387142" w:rsidRPr="008B6A75" w:rsidRDefault="00387142" w:rsidP="00387142">
            <w:pPr>
              <w:jc w:val="center"/>
              <w:rPr>
                <w:color w:val="000000"/>
                <w:sz w:val="20"/>
                <w:szCs w:val="20"/>
              </w:rPr>
            </w:pPr>
            <w:r w:rsidRPr="008B6A75">
              <w:rPr>
                <w:color w:val="000000"/>
                <w:sz w:val="20"/>
                <w:szCs w:val="20"/>
              </w:rPr>
              <w:t>01</w:t>
            </w:r>
          </w:p>
        </w:tc>
        <w:tc>
          <w:tcPr>
            <w:tcW w:w="500" w:type="dxa"/>
            <w:tcBorders>
              <w:top w:val="nil"/>
              <w:left w:val="nil"/>
              <w:bottom w:val="single" w:sz="4" w:space="0" w:color="auto"/>
              <w:right w:val="single" w:sz="4" w:space="0" w:color="auto"/>
            </w:tcBorders>
            <w:shd w:val="clear" w:color="auto" w:fill="auto"/>
            <w:noWrap/>
            <w:vAlign w:val="center"/>
            <w:hideMark/>
          </w:tcPr>
          <w:p w14:paraId="2A28270A" w14:textId="77777777" w:rsidR="00387142" w:rsidRPr="008B6A75" w:rsidRDefault="00387142" w:rsidP="00387142">
            <w:pPr>
              <w:jc w:val="center"/>
              <w:rPr>
                <w:color w:val="000000"/>
                <w:sz w:val="20"/>
                <w:szCs w:val="20"/>
              </w:rPr>
            </w:pPr>
            <w:r w:rsidRPr="008B6A75">
              <w:rPr>
                <w:color w:val="000000"/>
                <w:sz w:val="20"/>
                <w:szCs w:val="20"/>
              </w:rPr>
              <w:t>99</w:t>
            </w:r>
          </w:p>
        </w:tc>
        <w:tc>
          <w:tcPr>
            <w:tcW w:w="500" w:type="dxa"/>
            <w:tcBorders>
              <w:top w:val="nil"/>
              <w:left w:val="nil"/>
              <w:bottom w:val="single" w:sz="4" w:space="0" w:color="auto"/>
              <w:right w:val="single" w:sz="4" w:space="0" w:color="auto"/>
            </w:tcBorders>
            <w:shd w:val="clear" w:color="auto" w:fill="auto"/>
            <w:noWrap/>
            <w:vAlign w:val="center"/>
            <w:hideMark/>
          </w:tcPr>
          <w:p w14:paraId="616E8452" w14:textId="77777777" w:rsidR="00387142" w:rsidRPr="008B6A75" w:rsidRDefault="00387142" w:rsidP="00387142">
            <w:pPr>
              <w:jc w:val="center"/>
              <w:rPr>
                <w:color w:val="000000"/>
                <w:sz w:val="20"/>
                <w:szCs w:val="20"/>
              </w:rPr>
            </w:pPr>
            <w:r w:rsidRPr="008B6A75">
              <w:rPr>
                <w:color w:val="000000"/>
                <w:sz w:val="20"/>
                <w:szCs w:val="20"/>
              </w:rPr>
              <w:t>0</w:t>
            </w:r>
          </w:p>
        </w:tc>
        <w:tc>
          <w:tcPr>
            <w:tcW w:w="416" w:type="dxa"/>
            <w:tcBorders>
              <w:top w:val="nil"/>
              <w:left w:val="nil"/>
              <w:bottom w:val="single" w:sz="4" w:space="0" w:color="auto"/>
              <w:right w:val="single" w:sz="4" w:space="0" w:color="auto"/>
            </w:tcBorders>
            <w:shd w:val="clear" w:color="auto" w:fill="auto"/>
            <w:noWrap/>
            <w:vAlign w:val="center"/>
            <w:hideMark/>
          </w:tcPr>
          <w:p w14:paraId="67D727E3" w14:textId="77777777" w:rsidR="00387142" w:rsidRPr="008B6A75" w:rsidRDefault="00387142" w:rsidP="00387142">
            <w:pPr>
              <w:jc w:val="center"/>
              <w:rPr>
                <w:color w:val="000000"/>
                <w:sz w:val="20"/>
                <w:szCs w:val="20"/>
              </w:rPr>
            </w:pPr>
            <w:r w:rsidRPr="008B6A75">
              <w:rPr>
                <w:color w:val="000000"/>
                <w:sz w:val="20"/>
                <w:szCs w:val="20"/>
              </w:rPr>
              <w:t>00</w:t>
            </w:r>
          </w:p>
        </w:tc>
        <w:tc>
          <w:tcPr>
            <w:tcW w:w="750" w:type="dxa"/>
            <w:tcBorders>
              <w:top w:val="nil"/>
              <w:left w:val="nil"/>
              <w:bottom w:val="single" w:sz="4" w:space="0" w:color="auto"/>
              <w:right w:val="single" w:sz="4" w:space="0" w:color="auto"/>
            </w:tcBorders>
            <w:shd w:val="clear" w:color="auto" w:fill="auto"/>
            <w:noWrap/>
            <w:vAlign w:val="center"/>
            <w:hideMark/>
          </w:tcPr>
          <w:p w14:paraId="44221119" w14:textId="77777777" w:rsidR="00387142" w:rsidRPr="008B6A75" w:rsidRDefault="00387142" w:rsidP="00387142">
            <w:pPr>
              <w:jc w:val="center"/>
              <w:rPr>
                <w:color w:val="000000"/>
                <w:sz w:val="20"/>
                <w:szCs w:val="20"/>
              </w:rPr>
            </w:pPr>
            <w:r w:rsidRPr="008B6A75">
              <w:rPr>
                <w:color w:val="000000"/>
                <w:sz w:val="20"/>
                <w:szCs w:val="20"/>
              </w:rPr>
              <w:t>S0830</w:t>
            </w:r>
          </w:p>
        </w:tc>
        <w:tc>
          <w:tcPr>
            <w:tcW w:w="700" w:type="dxa"/>
            <w:tcBorders>
              <w:top w:val="nil"/>
              <w:left w:val="nil"/>
              <w:bottom w:val="single" w:sz="4" w:space="0" w:color="auto"/>
              <w:right w:val="single" w:sz="4" w:space="0" w:color="auto"/>
            </w:tcBorders>
            <w:shd w:val="clear" w:color="auto" w:fill="auto"/>
            <w:noWrap/>
            <w:vAlign w:val="center"/>
            <w:hideMark/>
          </w:tcPr>
          <w:p w14:paraId="69F6B98E" w14:textId="77777777" w:rsidR="00387142" w:rsidRPr="008B6A75" w:rsidRDefault="00387142" w:rsidP="00387142">
            <w:pPr>
              <w:jc w:val="center"/>
              <w:rPr>
                <w:color w:val="000000"/>
                <w:sz w:val="20"/>
                <w:szCs w:val="20"/>
              </w:rPr>
            </w:pPr>
            <w:r w:rsidRPr="008B6A75">
              <w:rPr>
                <w:color w:val="000000"/>
                <w:sz w:val="20"/>
                <w:szCs w:val="20"/>
              </w:rPr>
              <w:t>410</w:t>
            </w:r>
          </w:p>
        </w:tc>
        <w:tc>
          <w:tcPr>
            <w:tcW w:w="1157" w:type="dxa"/>
            <w:gridSpan w:val="2"/>
            <w:tcBorders>
              <w:top w:val="nil"/>
              <w:left w:val="nil"/>
              <w:bottom w:val="single" w:sz="4" w:space="0" w:color="auto"/>
              <w:right w:val="single" w:sz="4" w:space="0" w:color="auto"/>
            </w:tcBorders>
            <w:shd w:val="clear" w:color="auto" w:fill="auto"/>
            <w:noWrap/>
            <w:vAlign w:val="center"/>
            <w:hideMark/>
          </w:tcPr>
          <w:p w14:paraId="393975BF" w14:textId="77777777" w:rsidR="00387142" w:rsidRPr="008B6A75" w:rsidRDefault="00387142" w:rsidP="00387142">
            <w:pPr>
              <w:jc w:val="right"/>
              <w:rPr>
                <w:color w:val="000000"/>
                <w:sz w:val="20"/>
                <w:szCs w:val="20"/>
              </w:rPr>
            </w:pPr>
            <w:r w:rsidRPr="008B6A75">
              <w:rPr>
                <w:color w:val="000000"/>
                <w:sz w:val="20"/>
                <w:szCs w:val="20"/>
              </w:rPr>
              <w:t xml:space="preserve">709 715,79 </w:t>
            </w:r>
          </w:p>
        </w:tc>
        <w:tc>
          <w:tcPr>
            <w:tcW w:w="1276" w:type="dxa"/>
            <w:tcBorders>
              <w:top w:val="nil"/>
              <w:left w:val="nil"/>
              <w:bottom w:val="single" w:sz="4" w:space="0" w:color="auto"/>
              <w:right w:val="single" w:sz="4" w:space="0" w:color="auto"/>
            </w:tcBorders>
            <w:shd w:val="clear" w:color="auto" w:fill="auto"/>
            <w:noWrap/>
            <w:vAlign w:val="center"/>
            <w:hideMark/>
          </w:tcPr>
          <w:p w14:paraId="6C66EF35" w14:textId="77777777" w:rsidR="00387142" w:rsidRPr="008B6A75" w:rsidRDefault="00387142" w:rsidP="00387142">
            <w:pPr>
              <w:jc w:val="right"/>
              <w:rPr>
                <w:color w:val="000000"/>
                <w:sz w:val="20"/>
                <w:szCs w:val="20"/>
              </w:rPr>
            </w:pPr>
            <w:r w:rsidRPr="008B6A75">
              <w:rPr>
                <w:color w:val="000000"/>
                <w:sz w:val="20"/>
                <w:szCs w:val="20"/>
              </w:rPr>
              <w:t xml:space="preserve">399 494,74 </w:t>
            </w:r>
          </w:p>
        </w:tc>
        <w:tc>
          <w:tcPr>
            <w:tcW w:w="1021" w:type="dxa"/>
            <w:tcBorders>
              <w:top w:val="nil"/>
              <w:left w:val="nil"/>
              <w:bottom w:val="single" w:sz="4" w:space="0" w:color="auto"/>
              <w:right w:val="single" w:sz="4" w:space="0" w:color="auto"/>
            </w:tcBorders>
            <w:shd w:val="clear" w:color="auto" w:fill="auto"/>
            <w:noWrap/>
            <w:vAlign w:val="center"/>
            <w:hideMark/>
          </w:tcPr>
          <w:p w14:paraId="43F3C7C1" w14:textId="77777777" w:rsidR="00387142" w:rsidRPr="008B6A75" w:rsidRDefault="00387142" w:rsidP="00387142">
            <w:pPr>
              <w:jc w:val="right"/>
              <w:rPr>
                <w:color w:val="000000"/>
                <w:sz w:val="20"/>
                <w:szCs w:val="20"/>
              </w:rPr>
            </w:pPr>
            <w:r w:rsidRPr="008B6A75">
              <w:rPr>
                <w:color w:val="000000"/>
                <w:sz w:val="20"/>
                <w:szCs w:val="20"/>
              </w:rPr>
              <w:t xml:space="preserve">278 436,84 </w:t>
            </w:r>
          </w:p>
        </w:tc>
      </w:tr>
      <w:tr w:rsidR="00387142" w:rsidRPr="008B6A75" w14:paraId="4D814338" w14:textId="77777777" w:rsidTr="00387142">
        <w:trPr>
          <w:gridAfter w:val="1"/>
          <w:wAfter w:w="9" w:type="dxa"/>
          <w:trHeight w:val="480"/>
        </w:trPr>
        <w:tc>
          <w:tcPr>
            <w:tcW w:w="198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8AC40CB" w14:textId="77777777" w:rsidR="00387142" w:rsidRPr="008B6A75" w:rsidRDefault="00387142" w:rsidP="00387142">
            <w:pPr>
              <w:rPr>
                <w:color w:val="000000"/>
                <w:sz w:val="20"/>
                <w:szCs w:val="20"/>
              </w:rPr>
            </w:pPr>
            <w:r w:rsidRPr="008B6A75">
              <w:rPr>
                <w:color w:val="000000"/>
                <w:sz w:val="20"/>
                <w:szCs w:val="20"/>
              </w:rPr>
              <w:t xml:space="preserve">Строительство и реконструкция объектов централизованных систем холодного водоснабжения и водоотведения (строительство станций водоподготовки в населенных пунктах </w:t>
            </w:r>
            <w:proofErr w:type="spellStart"/>
            <w:r w:rsidRPr="008B6A75">
              <w:rPr>
                <w:color w:val="000000"/>
                <w:sz w:val="20"/>
                <w:szCs w:val="20"/>
              </w:rPr>
              <w:t>Бурундоково</w:t>
            </w:r>
            <w:proofErr w:type="spellEnd"/>
            <w:r w:rsidRPr="008B6A75">
              <w:rPr>
                <w:color w:val="000000"/>
                <w:sz w:val="20"/>
                <w:szCs w:val="20"/>
              </w:rPr>
              <w:t xml:space="preserve">, </w:t>
            </w:r>
            <w:proofErr w:type="spellStart"/>
            <w:r w:rsidRPr="008B6A75">
              <w:rPr>
                <w:color w:val="000000"/>
                <w:sz w:val="20"/>
                <w:szCs w:val="20"/>
              </w:rPr>
              <w:t>Ивушка</w:t>
            </w:r>
            <w:proofErr w:type="spellEnd"/>
            <w:r w:rsidRPr="008B6A75">
              <w:rPr>
                <w:color w:val="000000"/>
                <w:sz w:val="20"/>
                <w:szCs w:val="20"/>
              </w:rPr>
              <w:t xml:space="preserve">, </w:t>
            </w:r>
            <w:proofErr w:type="spellStart"/>
            <w:r w:rsidRPr="008B6A75">
              <w:rPr>
                <w:color w:val="000000"/>
                <w:sz w:val="20"/>
                <w:szCs w:val="20"/>
              </w:rPr>
              <w:t>Помельцево</w:t>
            </w:r>
            <w:proofErr w:type="spellEnd"/>
            <w:r w:rsidRPr="008B6A75">
              <w:rPr>
                <w:color w:val="000000"/>
                <w:sz w:val="20"/>
                <w:szCs w:val="20"/>
              </w:rPr>
              <w:t xml:space="preserve">, </w:t>
            </w:r>
            <w:proofErr w:type="spellStart"/>
            <w:r w:rsidRPr="008B6A75">
              <w:rPr>
                <w:color w:val="000000"/>
                <w:sz w:val="20"/>
                <w:szCs w:val="20"/>
              </w:rPr>
              <w:t>Горбуново</w:t>
            </w:r>
            <w:proofErr w:type="spellEnd"/>
            <w:r w:rsidRPr="008B6A75">
              <w:rPr>
                <w:color w:val="000000"/>
                <w:sz w:val="20"/>
                <w:szCs w:val="20"/>
              </w:rPr>
              <w:t xml:space="preserve">, </w:t>
            </w:r>
            <w:proofErr w:type="spellStart"/>
            <w:r w:rsidRPr="008B6A75">
              <w:rPr>
                <w:color w:val="000000"/>
                <w:sz w:val="20"/>
                <w:szCs w:val="20"/>
              </w:rPr>
              <w:t>Кульча</w:t>
            </w:r>
            <w:proofErr w:type="spellEnd"/>
            <w:r w:rsidRPr="008B6A75">
              <w:rPr>
                <w:color w:val="000000"/>
                <w:sz w:val="20"/>
                <w:szCs w:val="20"/>
              </w:rPr>
              <w:t>)</w:t>
            </w:r>
          </w:p>
        </w:tc>
        <w:tc>
          <w:tcPr>
            <w:tcW w:w="1134" w:type="dxa"/>
            <w:tcBorders>
              <w:top w:val="nil"/>
              <w:left w:val="nil"/>
              <w:bottom w:val="single" w:sz="4" w:space="0" w:color="auto"/>
              <w:right w:val="single" w:sz="4" w:space="0" w:color="auto"/>
            </w:tcBorders>
            <w:shd w:val="clear" w:color="auto" w:fill="auto"/>
            <w:noWrap/>
            <w:vAlign w:val="center"/>
            <w:hideMark/>
          </w:tcPr>
          <w:p w14:paraId="033EACDA" w14:textId="77777777" w:rsidR="00387142" w:rsidRPr="008B6A75" w:rsidRDefault="00387142" w:rsidP="00387142">
            <w:pPr>
              <w:jc w:val="center"/>
              <w:rPr>
                <w:color w:val="000000"/>
                <w:sz w:val="20"/>
                <w:szCs w:val="20"/>
              </w:rPr>
            </w:pPr>
            <w:r w:rsidRPr="008B6A75">
              <w:rPr>
                <w:color w:val="000000"/>
                <w:sz w:val="20"/>
                <w:szCs w:val="20"/>
              </w:rPr>
              <w:t>444</w:t>
            </w:r>
          </w:p>
        </w:tc>
        <w:tc>
          <w:tcPr>
            <w:tcW w:w="500" w:type="dxa"/>
            <w:tcBorders>
              <w:top w:val="nil"/>
              <w:left w:val="nil"/>
              <w:bottom w:val="single" w:sz="4" w:space="0" w:color="auto"/>
              <w:right w:val="single" w:sz="4" w:space="0" w:color="auto"/>
            </w:tcBorders>
            <w:shd w:val="clear" w:color="auto" w:fill="auto"/>
            <w:noWrap/>
            <w:vAlign w:val="center"/>
            <w:hideMark/>
          </w:tcPr>
          <w:p w14:paraId="1679D97A" w14:textId="77777777" w:rsidR="00387142" w:rsidRPr="008B6A75" w:rsidRDefault="00387142" w:rsidP="00387142">
            <w:pPr>
              <w:jc w:val="center"/>
              <w:rPr>
                <w:color w:val="000000"/>
                <w:sz w:val="20"/>
                <w:szCs w:val="20"/>
              </w:rPr>
            </w:pPr>
            <w:r w:rsidRPr="008B6A75">
              <w:rPr>
                <w:color w:val="000000"/>
                <w:sz w:val="20"/>
                <w:szCs w:val="20"/>
              </w:rPr>
              <w:t>05</w:t>
            </w:r>
          </w:p>
        </w:tc>
        <w:tc>
          <w:tcPr>
            <w:tcW w:w="500" w:type="dxa"/>
            <w:tcBorders>
              <w:top w:val="nil"/>
              <w:left w:val="nil"/>
              <w:bottom w:val="single" w:sz="4" w:space="0" w:color="auto"/>
              <w:right w:val="single" w:sz="4" w:space="0" w:color="auto"/>
            </w:tcBorders>
            <w:shd w:val="clear" w:color="auto" w:fill="auto"/>
            <w:noWrap/>
            <w:vAlign w:val="center"/>
            <w:hideMark/>
          </w:tcPr>
          <w:p w14:paraId="5B98CC3A" w14:textId="77777777" w:rsidR="00387142" w:rsidRPr="008B6A75" w:rsidRDefault="00387142" w:rsidP="00387142">
            <w:pPr>
              <w:jc w:val="center"/>
              <w:rPr>
                <w:color w:val="000000"/>
                <w:sz w:val="20"/>
                <w:szCs w:val="20"/>
              </w:rPr>
            </w:pPr>
            <w:r w:rsidRPr="008B6A75">
              <w:rPr>
                <w:color w:val="000000"/>
                <w:sz w:val="20"/>
                <w:szCs w:val="20"/>
              </w:rPr>
              <w:t>02</w:t>
            </w:r>
          </w:p>
        </w:tc>
        <w:tc>
          <w:tcPr>
            <w:tcW w:w="500" w:type="dxa"/>
            <w:tcBorders>
              <w:top w:val="nil"/>
              <w:left w:val="nil"/>
              <w:bottom w:val="single" w:sz="4" w:space="0" w:color="auto"/>
              <w:right w:val="single" w:sz="4" w:space="0" w:color="auto"/>
            </w:tcBorders>
            <w:shd w:val="clear" w:color="auto" w:fill="auto"/>
            <w:noWrap/>
            <w:vAlign w:val="center"/>
            <w:hideMark/>
          </w:tcPr>
          <w:p w14:paraId="0FDFB2AD" w14:textId="77777777" w:rsidR="00387142" w:rsidRPr="008B6A75" w:rsidRDefault="00387142" w:rsidP="00387142">
            <w:pPr>
              <w:jc w:val="center"/>
              <w:rPr>
                <w:color w:val="000000"/>
                <w:sz w:val="20"/>
                <w:szCs w:val="20"/>
              </w:rPr>
            </w:pPr>
            <w:r w:rsidRPr="008B6A75">
              <w:rPr>
                <w:color w:val="000000"/>
                <w:sz w:val="20"/>
                <w:szCs w:val="20"/>
              </w:rPr>
              <w:t>17</w:t>
            </w:r>
          </w:p>
        </w:tc>
        <w:tc>
          <w:tcPr>
            <w:tcW w:w="500" w:type="dxa"/>
            <w:tcBorders>
              <w:top w:val="nil"/>
              <w:left w:val="nil"/>
              <w:bottom w:val="single" w:sz="4" w:space="0" w:color="auto"/>
              <w:right w:val="single" w:sz="4" w:space="0" w:color="auto"/>
            </w:tcBorders>
            <w:shd w:val="clear" w:color="auto" w:fill="auto"/>
            <w:noWrap/>
            <w:vAlign w:val="center"/>
            <w:hideMark/>
          </w:tcPr>
          <w:p w14:paraId="13D65604" w14:textId="77777777" w:rsidR="00387142" w:rsidRPr="008B6A75" w:rsidRDefault="00387142" w:rsidP="00387142">
            <w:pPr>
              <w:jc w:val="center"/>
              <w:rPr>
                <w:color w:val="000000"/>
                <w:sz w:val="20"/>
                <w:szCs w:val="20"/>
              </w:rPr>
            </w:pPr>
            <w:r w:rsidRPr="008B6A75">
              <w:rPr>
                <w:color w:val="000000"/>
                <w:sz w:val="20"/>
                <w:szCs w:val="20"/>
              </w:rPr>
              <w:t>1</w:t>
            </w:r>
          </w:p>
        </w:tc>
        <w:tc>
          <w:tcPr>
            <w:tcW w:w="416" w:type="dxa"/>
            <w:tcBorders>
              <w:top w:val="nil"/>
              <w:left w:val="nil"/>
              <w:bottom w:val="single" w:sz="4" w:space="0" w:color="auto"/>
              <w:right w:val="single" w:sz="4" w:space="0" w:color="auto"/>
            </w:tcBorders>
            <w:shd w:val="clear" w:color="auto" w:fill="auto"/>
            <w:noWrap/>
            <w:vAlign w:val="center"/>
            <w:hideMark/>
          </w:tcPr>
          <w:p w14:paraId="20AE8FA7" w14:textId="77777777" w:rsidR="00387142" w:rsidRPr="008B6A75" w:rsidRDefault="00387142" w:rsidP="00387142">
            <w:pPr>
              <w:jc w:val="center"/>
              <w:rPr>
                <w:color w:val="000000"/>
                <w:sz w:val="20"/>
                <w:szCs w:val="20"/>
              </w:rPr>
            </w:pPr>
            <w:r w:rsidRPr="008B6A75">
              <w:rPr>
                <w:color w:val="000000"/>
                <w:sz w:val="20"/>
                <w:szCs w:val="20"/>
              </w:rPr>
              <w:t>00</w:t>
            </w:r>
          </w:p>
        </w:tc>
        <w:tc>
          <w:tcPr>
            <w:tcW w:w="750" w:type="dxa"/>
            <w:tcBorders>
              <w:top w:val="nil"/>
              <w:left w:val="nil"/>
              <w:bottom w:val="single" w:sz="4" w:space="0" w:color="auto"/>
              <w:right w:val="single" w:sz="4" w:space="0" w:color="auto"/>
            </w:tcBorders>
            <w:shd w:val="clear" w:color="auto" w:fill="auto"/>
            <w:noWrap/>
            <w:vAlign w:val="center"/>
            <w:hideMark/>
          </w:tcPr>
          <w:p w14:paraId="63C9B5FC" w14:textId="77777777" w:rsidR="00387142" w:rsidRPr="008B6A75" w:rsidRDefault="00387142" w:rsidP="00387142">
            <w:pPr>
              <w:jc w:val="center"/>
              <w:rPr>
                <w:color w:val="000000"/>
                <w:sz w:val="20"/>
                <w:szCs w:val="20"/>
              </w:rPr>
            </w:pPr>
            <w:r w:rsidRPr="008B6A75">
              <w:rPr>
                <w:color w:val="000000"/>
                <w:sz w:val="20"/>
                <w:szCs w:val="20"/>
              </w:rPr>
              <w:t>70640</w:t>
            </w:r>
          </w:p>
        </w:tc>
        <w:tc>
          <w:tcPr>
            <w:tcW w:w="700" w:type="dxa"/>
            <w:tcBorders>
              <w:top w:val="nil"/>
              <w:left w:val="nil"/>
              <w:bottom w:val="single" w:sz="4" w:space="0" w:color="auto"/>
              <w:right w:val="single" w:sz="4" w:space="0" w:color="auto"/>
            </w:tcBorders>
            <w:shd w:val="clear" w:color="auto" w:fill="auto"/>
            <w:noWrap/>
            <w:vAlign w:val="center"/>
            <w:hideMark/>
          </w:tcPr>
          <w:p w14:paraId="4C5766DA" w14:textId="77777777" w:rsidR="00387142" w:rsidRPr="008B6A75" w:rsidRDefault="00387142" w:rsidP="00387142">
            <w:pPr>
              <w:jc w:val="center"/>
              <w:rPr>
                <w:color w:val="000000"/>
                <w:sz w:val="20"/>
                <w:szCs w:val="20"/>
              </w:rPr>
            </w:pPr>
            <w:r w:rsidRPr="008B6A75">
              <w:rPr>
                <w:color w:val="000000"/>
                <w:sz w:val="20"/>
                <w:szCs w:val="20"/>
              </w:rPr>
              <w:t>410</w:t>
            </w:r>
          </w:p>
        </w:tc>
        <w:tc>
          <w:tcPr>
            <w:tcW w:w="1157" w:type="dxa"/>
            <w:gridSpan w:val="2"/>
            <w:tcBorders>
              <w:top w:val="nil"/>
              <w:left w:val="nil"/>
              <w:bottom w:val="single" w:sz="4" w:space="0" w:color="auto"/>
              <w:right w:val="single" w:sz="4" w:space="0" w:color="auto"/>
            </w:tcBorders>
            <w:shd w:val="clear" w:color="auto" w:fill="auto"/>
            <w:noWrap/>
            <w:vAlign w:val="center"/>
            <w:hideMark/>
          </w:tcPr>
          <w:p w14:paraId="50119F06" w14:textId="77777777" w:rsidR="00387142" w:rsidRPr="008B6A75" w:rsidRDefault="00387142" w:rsidP="00387142">
            <w:pPr>
              <w:jc w:val="right"/>
              <w:rPr>
                <w:color w:val="000000"/>
                <w:sz w:val="20"/>
                <w:szCs w:val="20"/>
              </w:rPr>
            </w:pPr>
            <w:r w:rsidRPr="008B6A75">
              <w:rPr>
                <w:color w:val="000000"/>
                <w:sz w:val="20"/>
                <w:szCs w:val="20"/>
              </w:rPr>
              <w:t xml:space="preserve">79 541 980,00 </w:t>
            </w:r>
          </w:p>
        </w:tc>
        <w:tc>
          <w:tcPr>
            <w:tcW w:w="1276" w:type="dxa"/>
            <w:tcBorders>
              <w:top w:val="nil"/>
              <w:left w:val="nil"/>
              <w:bottom w:val="single" w:sz="4" w:space="0" w:color="auto"/>
              <w:right w:val="single" w:sz="4" w:space="0" w:color="auto"/>
            </w:tcBorders>
            <w:shd w:val="clear" w:color="auto" w:fill="auto"/>
            <w:noWrap/>
            <w:vAlign w:val="center"/>
            <w:hideMark/>
          </w:tcPr>
          <w:p w14:paraId="4F0E7D40" w14:textId="77777777" w:rsidR="00387142" w:rsidRPr="008B6A75" w:rsidRDefault="00387142" w:rsidP="00387142">
            <w:pPr>
              <w:jc w:val="right"/>
              <w:rPr>
                <w:color w:val="000000"/>
                <w:sz w:val="20"/>
                <w:szCs w:val="20"/>
              </w:rPr>
            </w:pPr>
            <w:r w:rsidRPr="008B6A75">
              <w:rPr>
                <w:color w:val="000000"/>
                <w:sz w:val="20"/>
                <w:szCs w:val="20"/>
              </w:rPr>
              <w:t xml:space="preserve">63 677 180,00 </w:t>
            </w:r>
          </w:p>
        </w:tc>
        <w:tc>
          <w:tcPr>
            <w:tcW w:w="1021" w:type="dxa"/>
            <w:tcBorders>
              <w:top w:val="nil"/>
              <w:left w:val="nil"/>
              <w:bottom w:val="single" w:sz="4" w:space="0" w:color="auto"/>
              <w:right w:val="single" w:sz="4" w:space="0" w:color="auto"/>
            </w:tcBorders>
            <w:shd w:val="clear" w:color="auto" w:fill="auto"/>
            <w:noWrap/>
            <w:vAlign w:val="center"/>
            <w:hideMark/>
          </w:tcPr>
          <w:p w14:paraId="79E7D271" w14:textId="77777777" w:rsidR="00387142" w:rsidRPr="008B6A75" w:rsidRDefault="00387142" w:rsidP="00387142">
            <w:pPr>
              <w:jc w:val="right"/>
              <w:rPr>
                <w:color w:val="000000"/>
                <w:sz w:val="20"/>
                <w:szCs w:val="20"/>
              </w:rPr>
            </w:pPr>
            <w:r w:rsidRPr="008B6A75">
              <w:rPr>
                <w:color w:val="000000"/>
                <w:sz w:val="20"/>
                <w:szCs w:val="20"/>
              </w:rPr>
              <w:t xml:space="preserve">0,00 </w:t>
            </w:r>
          </w:p>
        </w:tc>
      </w:tr>
      <w:tr w:rsidR="00387142" w:rsidRPr="008B6A75" w14:paraId="2FD9859B" w14:textId="77777777" w:rsidTr="00387142">
        <w:trPr>
          <w:gridAfter w:val="1"/>
          <w:wAfter w:w="9" w:type="dxa"/>
          <w:trHeight w:val="1305"/>
        </w:trPr>
        <w:tc>
          <w:tcPr>
            <w:tcW w:w="1985" w:type="dxa"/>
            <w:vMerge/>
            <w:tcBorders>
              <w:top w:val="single" w:sz="4" w:space="0" w:color="auto"/>
              <w:left w:val="single" w:sz="4" w:space="0" w:color="auto"/>
              <w:bottom w:val="single" w:sz="4" w:space="0" w:color="000000"/>
              <w:right w:val="single" w:sz="4" w:space="0" w:color="auto"/>
            </w:tcBorders>
            <w:vAlign w:val="center"/>
            <w:hideMark/>
          </w:tcPr>
          <w:p w14:paraId="72FC9315" w14:textId="77777777" w:rsidR="00387142" w:rsidRPr="008B6A75" w:rsidRDefault="00387142" w:rsidP="00387142">
            <w:pPr>
              <w:rPr>
                <w:color w:val="000000"/>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14:paraId="5EA3815E" w14:textId="77777777" w:rsidR="00387142" w:rsidRPr="008B6A75" w:rsidRDefault="00387142" w:rsidP="00387142">
            <w:pPr>
              <w:jc w:val="center"/>
              <w:rPr>
                <w:color w:val="000000"/>
                <w:sz w:val="20"/>
                <w:szCs w:val="20"/>
              </w:rPr>
            </w:pPr>
            <w:r w:rsidRPr="008B6A75">
              <w:rPr>
                <w:color w:val="000000"/>
                <w:sz w:val="20"/>
                <w:szCs w:val="20"/>
              </w:rPr>
              <w:t>444</w:t>
            </w:r>
          </w:p>
        </w:tc>
        <w:tc>
          <w:tcPr>
            <w:tcW w:w="500" w:type="dxa"/>
            <w:tcBorders>
              <w:top w:val="nil"/>
              <w:left w:val="nil"/>
              <w:bottom w:val="single" w:sz="4" w:space="0" w:color="auto"/>
              <w:right w:val="single" w:sz="4" w:space="0" w:color="auto"/>
            </w:tcBorders>
            <w:shd w:val="clear" w:color="auto" w:fill="auto"/>
            <w:noWrap/>
            <w:vAlign w:val="center"/>
            <w:hideMark/>
          </w:tcPr>
          <w:p w14:paraId="41A6CCFD" w14:textId="77777777" w:rsidR="00387142" w:rsidRPr="008B6A75" w:rsidRDefault="00387142" w:rsidP="00387142">
            <w:pPr>
              <w:jc w:val="center"/>
              <w:rPr>
                <w:color w:val="000000"/>
                <w:sz w:val="20"/>
                <w:szCs w:val="20"/>
              </w:rPr>
            </w:pPr>
            <w:r w:rsidRPr="008B6A75">
              <w:rPr>
                <w:color w:val="000000"/>
                <w:sz w:val="20"/>
                <w:szCs w:val="20"/>
              </w:rPr>
              <w:t>05</w:t>
            </w:r>
          </w:p>
        </w:tc>
        <w:tc>
          <w:tcPr>
            <w:tcW w:w="500" w:type="dxa"/>
            <w:tcBorders>
              <w:top w:val="nil"/>
              <w:left w:val="nil"/>
              <w:bottom w:val="single" w:sz="4" w:space="0" w:color="auto"/>
              <w:right w:val="single" w:sz="4" w:space="0" w:color="auto"/>
            </w:tcBorders>
            <w:shd w:val="clear" w:color="auto" w:fill="auto"/>
            <w:noWrap/>
            <w:vAlign w:val="center"/>
            <w:hideMark/>
          </w:tcPr>
          <w:p w14:paraId="3712D795" w14:textId="77777777" w:rsidR="00387142" w:rsidRPr="008B6A75" w:rsidRDefault="00387142" w:rsidP="00387142">
            <w:pPr>
              <w:jc w:val="center"/>
              <w:rPr>
                <w:color w:val="000000"/>
                <w:sz w:val="20"/>
                <w:szCs w:val="20"/>
              </w:rPr>
            </w:pPr>
            <w:r w:rsidRPr="008B6A75">
              <w:rPr>
                <w:color w:val="000000"/>
                <w:sz w:val="20"/>
                <w:szCs w:val="20"/>
              </w:rPr>
              <w:t>02</w:t>
            </w:r>
          </w:p>
        </w:tc>
        <w:tc>
          <w:tcPr>
            <w:tcW w:w="500" w:type="dxa"/>
            <w:tcBorders>
              <w:top w:val="nil"/>
              <w:left w:val="nil"/>
              <w:bottom w:val="single" w:sz="4" w:space="0" w:color="auto"/>
              <w:right w:val="single" w:sz="4" w:space="0" w:color="auto"/>
            </w:tcBorders>
            <w:shd w:val="clear" w:color="auto" w:fill="auto"/>
            <w:noWrap/>
            <w:vAlign w:val="center"/>
            <w:hideMark/>
          </w:tcPr>
          <w:p w14:paraId="68E54884" w14:textId="77777777" w:rsidR="00387142" w:rsidRPr="008B6A75" w:rsidRDefault="00387142" w:rsidP="00387142">
            <w:pPr>
              <w:jc w:val="center"/>
              <w:rPr>
                <w:color w:val="000000"/>
                <w:sz w:val="20"/>
                <w:szCs w:val="20"/>
              </w:rPr>
            </w:pPr>
            <w:r w:rsidRPr="008B6A75">
              <w:rPr>
                <w:color w:val="000000"/>
                <w:sz w:val="20"/>
                <w:szCs w:val="20"/>
              </w:rPr>
              <w:t>17</w:t>
            </w:r>
          </w:p>
        </w:tc>
        <w:tc>
          <w:tcPr>
            <w:tcW w:w="500" w:type="dxa"/>
            <w:tcBorders>
              <w:top w:val="nil"/>
              <w:left w:val="nil"/>
              <w:bottom w:val="single" w:sz="4" w:space="0" w:color="auto"/>
              <w:right w:val="single" w:sz="4" w:space="0" w:color="auto"/>
            </w:tcBorders>
            <w:shd w:val="clear" w:color="auto" w:fill="auto"/>
            <w:noWrap/>
            <w:vAlign w:val="center"/>
            <w:hideMark/>
          </w:tcPr>
          <w:p w14:paraId="3F1BE48B" w14:textId="77777777" w:rsidR="00387142" w:rsidRPr="008B6A75" w:rsidRDefault="00387142" w:rsidP="00387142">
            <w:pPr>
              <w:jc w:val="center"/>
              <w:rPr>
                <w:color w:val="000000"/>
                <w:sz w:val="20"/>
                <w:szCs w:val="20"/>
              </w:rPr>
            </w:pPr>
            <w:r w:rsidRPr="008B6A75">
              <w:rPr>
                <w:color w:val="000000"/>
                <w:sz w:val="20"/>
                <w:szCs w:val="20"/>
              </w:rPr>
              <w:t>1</w:t>
            </w:r>
          </w:p>
        </w:tc>
        <w:tc>
          <w:tcPr>
            <w:tcW w:w="416" w:type="dxa"/>
            <w:tcBorders>
              <w:top w:val="nil"/>
              <w:left w:val="nil"/>
              <w:bottom w:val="single" w:sz="4" w:space="0" w:color="auto"/>
              <w:right w:val="single" w:sz="4" w:space="0" w:color="auto"/>
            </w:tcBorders>
            <w:shd w:val="clear" w:color="auto" w:fill="auto"/>
            <w:noWrap/>
            <w:vAlign w:val="center"/>
            <w:hideMark/>
          </w:tcPr>
          <w:p w14:paraId="2C1B7440" w14:textId="77777777" w:rsidR="00387142" w:rsidRPr="008B6A75" w:rsidRDefault="00387142" w:rsidP="00387142">
            <w:pPr>
              <w:jc w:val="center"/>
              <w:rPr>
                <w:color w:val="000000"/>
                <w:sz w:val="20"/>
                <w:szCs w:val="20"/>
              </w:rPr>
            </w:pPr>
            <w:r w:rsidRPr="008B6A75">
              <w:rPr>
                <w:color w:val="000000"/>
                <w:sz w:val="20"/>
                <w:szCs w:val="20"/>
              </w:rPr>
              <w:t>00</w:t>
            </w:r>
          </w:p>
        </w:tc>
        <w:tc>
          <w:tcPr>
            <w:tcW w:w="750" w:type="dxa"/>
            <w:tcBorders>
              <w:top w:val="nil"/>
              <w:left w:val="nil"/>
              <w:bottom w:val="single" w:sz="4" w:space="0" w:color="auto"/>
              <w:right w:val="single" w:sz="4" w:space="0" w:color="auto"/>
            </w:tcBorders>
            <w:shd w:val="clear" w:color="auto" w:fill="auto"/>
            <w:noWrap/>
            <w:vAlign w:val="center"/>
            <w:hideMark/>
          </w:tcPr>
          <w:p w14:paraId="3447873A" w14:textId="77777777" w:rsidR="00387142" w:rsidRPr="008B6A75" w:rsidRDefault="00387142" w:rsidP="00387142">
            <w:pPr>
              <w:jc w:val="center"/>
              <w:rPr>
                <w:color w:val="000000"/>
                <w:sz w:val="20"/>
                <w:szCs w:val="20"/>
              </w:rPr>
            </w:pPr>
            <w:r w:rsidRPr="008B6A75">
              <w:rPr>
                <w:color w:val="000000"/>
                <w:sz w:val="20"/>
                <w:szCs w:val="20"/>
              </w:rPr>
              <w:t>S0640</w:t>
            </w:r>
          </w:p>
        </w:tc>
        <w:tc>
          <w:tcPr>
            <w:tcW w:w="700" w:type="dxa"/>
            <w:tcBorders>
              <w:top w:val="nil"/>
              <w:left w:val="nil"/>
              <w:bottom w:val="single" w:sz="4" w:space="0" w:color="auto"/>
              <w:right w:val="single" w:sz="4" w:space="0" w:color="auto"/>
            </w:tcBorders>
            <w:shd w:val="clear" w:color="auto" w:fill="auto"/>
            <w:noWrap/>
            <w:vAlign w:val="center"/>
            <w:hideMark/>
          </w:tcPr>
          <w:p w14:paraId="371B9CF4" w14:textId="77777777" w:rsidR="00387142" w:rsidRPr="008B6A75" w:rsidRDefault="00387142" w:rsidP="00387142">
            <w:pPr>
              <w:jc w:val="center"/>
              <w:rPr>
                <w:color w:val="000000"/>
                <w:sz w:val="20"/>
                <w:szCs w:val="20"/>
              </w:rPr>
            </w:pPr>
            <w:r w:rsidRPr="008B6A75">
              <w:rPr>
                <w:color w:val="000000"/>
                <w:sz w:val="20"/>
                <w:szCs w:val="20"/>
              </w:rPr>
              <w:t>410</w:t>
            </w:r>
          </w:p>
        </w:tc>
        <w:tc>
          <w:tcPr>
            <w:tcW w:w="1157" w:type="dxa"/>
            <w:gridSpan w:val="2"/>
            <w:tcBorders>
              <w:top w:val="nil"/>
              <w:left w:val="nil"/>
              <w:bottom w:val="single" w:sz="4" w:space="0" w:color="auto"/>
              <w:right w:val="single" w:sz="4" w:space="0" w:color="auto"/>
            </w:tcBorders>
            <w:shd w:val="clear" w:color="auto" w:fill="auto"/>
            <w:noWrap/>
            <w:vAlign w:val="center"/>
            <w:hideMark/>
          </w:tcPr>
          <w:p w14:paraId="39611129" w14:textId="77777777" w:rsidR="00387142" w:rsidRPr="008B6A75" w:rsidRDefault="00387142" w:rsidP="00387142">
            <w:pPr>
              <w:jc w:val="right"/>
              <w:rPr>
                <w:color w:val="000000"/>
                <w:sz w:val="20"/>
                <w:szCs w:val="20"/>
              </w:rPr>
            </w:pPr>
            <w:r w:rsidRPr="008B6A75">
              <w:rPr>
                <w:color w:val="000000"/>
                <w:sz w:val="20"/>
                <w:szCs w:val="20"/>
              </w:rPr>
              <w:t xml:space="preserve">1 623 334,29 </w:t>
            </w:r>
          </w:p>
        </w:tc>
        <w:tc>
          <w:tcPr>
            <w:tcW w:w="1276" w:type="dxa"/>
            <w:tcBorders>
              <w:top w:val="nil"/>
              <w:left w:val="nil"/>
              <w:bottom w:val="single" w:sz="4" w:space="0" w:color="auto"/>
              <w:right w:val="single" w:sz="4" w:space="0" w:color="auto"/>
            </w:tcBorders>
            <w:shd w:val="clear" w:color="auto" w:fill="auto"/>
            <w:noWrap/>
            <w:vAlign w:val="center"/>
            <w:hideMark/>
          </w:tcPr>
          <w:p w14:paraId="5BDC2789" w14:textId="77777777" w:rsidR="00387142" w:rsidRPr="008B6A75" w:rsidRDefault="00387142" w:rsidP="00387142">
            <w:pPr>
              <w:jc w:val="right"/>
              <w:rPr>
                <w:color w:val="000000"/>
                <w:sz w:val="20"/>
                <w:szCs w:val="20"/>
              </w:rPr>
            </w:pPr>
            <w:r w:rsidRPr="008B6A75">
              <w:rPr>
                <w:color w:val="000000"/>
                <w:sz w:val="20"/>
                <w:szCs w:val="20"/>
              </w:rPr>
              <w:t xml:space="preserve">1 299 534,29 </w:t>
            </w:r>
          </w:p>
        </w:tc>
        <w:tc>
          <w:tcPr>
            <w:tcW w:w="1021" w:type="dxa"/>
            <w:tcBorders>
              <w:top w:val="nil"/>
              <w:left w:val="nil"/>
              <w:bottom w:val="single" w:sz="4" w:space="0" w:color="auto"/>
              <w:right w:val="single" w:sz="4" w:space="0" w:color="auto"/>
            </w:tcBorders>
            <w:shd w:val="clear" w:color="auto" w:fill="auto"/>
            <w:noWrap/>
            <w:vAlign w:val="center"/>
            <w:hideMark/>
          </w:tcPr>
          <w:p w14:paraId="27E5A436" w14:textId="77777777" w:rsidR="00387142" w:rsidRPr="008B6A75" w:rsidRDefault="00387142" w:rsidP="00387142">
            <w:pPr>
              <w:jc w:val="right"/>
              <w:rPr>
                <w:color w:val="000000"/>
                <w:sz w:val="20"/>
                <w:szCs w:val="20"/>
              </w:rPr>
            </w:pPr>
            <w:r w:rsidRPr="008B6A75">
              <w:rPr>
                <w:color w:val="000000"/>
                <w:sz w:val="20"/>
                <w:szCs w:val="20"/>
              </w:rPr>
              <w:t xml:space="preserve">0,00 </w:t>
            </w:r>
          </w:p>
        </w:tc>
      </w:tr>
      <w:tr w:rsidR="00387142" w:rsidRPr="008B6A75" w14:paraId="3CA1BAB9" w14:textId="77777777" w:rsidTr="00387142">
        <w:trPr>
          <w:gridAfter w:val="1"/>
          <w:wAfter w:w="9" w:type="dxa"/>
          <w:trHeight w:val="1875"/>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46E76AEB" w14:textId="77777777" w:rsidR="00387142" w:rsidRPr="008B6A75" w:rsidRDefault="00387142" w:rsidP="00387142">
            <w:pPr>
              <w:rPr>
                <w:color w:val="000000"/>
                <w:sz w:val="20"/>
                <w:szCs w:val="20"/>
              </w:rPr>
            </w:pPr>
            <w:r w:rsidRPr="008B6A75">
              <w:rPr>
                <w:color w:val="000000"/>
                <w:sz w:val="20"/>
                <w:szCs w:val="20"/>
              </w:rPr>
              <w:t xml:space="preserve">Строительство станций водоподготовки (технические условия и технические присоединения проектируемых установок </w:t>
            </w:r>
            <w:proofErr w:type="spellStart"/>
            <w:r w:rsidRPr="008B6A75">
              <w:rPr>
                <w:color w:val="000000"/>
                <w:sz w:val="20"/>
                <w:szCs w:val="20"/>
              </w:rPr>
              <w:t>водоводготовки</w:t>
            </w:r>
            <w:proofErr w:type="spellEnd"/>
            <w:r w:rsidRPr="008B6A75">
              <w:rPr>
                <w:color w:val="000000"/>
                <w:sz w:val="20"/>
                <w:szCs w:val="20"/>
              </w:rPr>
              <w:t xml:space="preserve"> </w:t>
            </w:r>
            <w:proofErr w:type="spellStart"/>
            <w:r w:rsidRPr="008B6A75">
              <w:rPr>
                <w:color w:val="000000"/>
                <w:sz w:val="20"/>
                <w:szCs w:val="20"/>
              </w:rPr>
              <w:t>с.Гжатск</w:t>
            </w:r>
            <w:proofErr w:type="spellEnd"/>
            <w:r w:rsidRPr="008B6A75">
              <w:rPr>
                <w:color w:val="000000"/>
                <w:sz w:val="20"/>
                <w:szCs w:val="20"/>
              </w:rPr>
              <w:t xml:space="preserve">, </w:t>
            </w:r>
            <w:proofErr w:type="spellStart"/>
            <w:r w:rsidRPr="008B6A75">
              <w:rPr>
                <w:color w:val="000000"/>
                <w:sz w:val="20"/>
                <w:szCs w:val="20"/>
              </w:rPr>
              <w:t>п.Николаевка</w:t>
            </w:r>
            <w:proofErr w:type="spellEnd"/>
            <w:r w:rsidRPr="008B6A75">
              <w:rPr>
                <w:color w:val="000000"/>
                <w:sz w:val="20"/>
                <w:szCs w:val="20"/>
              </w:rPr>
              <w:t xml:space="preserve">, </w:t>
            </w:r>
            <w:proofErr w:type="spellStart"/>
            <w:r w:rsidRPr="008B6A75">
              <w:rPr>
                <w:color w:val="000000"/>
                <w:sz w:val="20"/>
                <w:szCs w:val="20"/>
              </w:rPr>
              <w:t>с.Осиново</w:t>
            </w:r>
            <w:proofErr w:type="spellEnd"/>
            <w:r w:rsidRPr="008B6A75">
              <w:rPr>
                <w:color w:val="000000"/>
                <w:sz w:val="20"/>
                <w:szCs w:val="20"/>
              </w:rPr>
              <w:t xml:space="preserve">, </w:t>
            </w:r>
            <w:proofErr w:type="spellStart"/>
            <w:r w:rsidRPr="008B6A75">
              <w:rPr>
                <w:color w:val="000000"/>
                <w:sz w:val="20"/>
                <w:szCs w:val="20"/>
              </w:rPr>
              <w:t>д.Сергино</w:t>
            </w:r>
            <w:proofErr w:type="spellEnd"/>
            <w:r w:rsidRPr="008B6A75">
              <w:rPr>
                <w:color w:val="000000"/>
                <w:sz w:val="20"/>
                <w:szCs w:val="20"/>
              </w:rPr>
              <w:t xml:space="preserve">, </w:t>
            </w:r>
            <w:proofErr w:type="spellStart"/>
            <w:r w:rsidRPr="008B6A75">
              <w:rPr>
                <w:color w:val="000000"/>
                <w:sz w:val="20"/>
                <w:szCs w:val="20"/>
              </w:rPr>
              <w:t>аул.Шагир</w:t>
            </w:r>
            <w:proofErr w:type="spellEnd"/>
            <w:r w:rsidRPr="008B6A75">
              <w:rPr>
                <w:color w:val="000000"/>
                <w:sz w:val="20"/>
                <w:szCs w:val="20"/>
              </w:rPr>
              <w:t xml:space="preserve">, с Чумаково, </w:t>
            </w:r>
            <w:proofErr w:type="spellStart"/>
            <w:r w:rsidRPr="008B6A75">
              <w:rPr>
                <w:color w:val="000000"/>
                <w:sz w:val="20"/>
                <w:szCs w:val="20"/>
              </w:rPr>
              <w:t>с.Абрамово</w:t>
            </w:r>
            <w:proofErr w:type="spellEnd"/>
            <w:r w:rsidRPr="008B6A75">
              <w:rPr>
                <w:color w:val="000000"/>
                <w:sz w:val="20"/>
                <w:szCs w:val="20"/>
              </w:rPr>
              <w:t>)</w:t>
            </w:r>
          </w:p>
        </w:tc>
        <w:tc>
          <w:tcPr>
            <w:tcW w:w="1134" w:type="dxa"/>
            <w:tcBorders>
              <w:top w:val="nil"/>
              <w:left w:val="nil"/>
              <w:bottom w:val="single" w:sz="4" w:space="0" w:color="auto"/>
              <w:right w:val="single" w:sz="4" w:space="0" w:color="auto"/>
            </w:tcBorders>
            <w:shd w:val="clear" w:color="auto" w:fill="auto"/>
            <w:noWrap/>
            <w:vAlign w:val="center"/>
            <w:hideMark/>
          </w:tcPr>
          <w:p w14:paraId="36FD8A85" w14:textId="77777777" w:rsidR="00387142" w:rsidRPr="008B6A75" w:rsidRDefault="00387142" w:rsidP="00387142">
            <w:pPr>
              <w:jc w:val="center"/>
              <w:rPr>
                <w:color w:val="000000"/>
                <w:sz w:val="20"/>
                <w:szCs w:val="20"/>
              </w:rPr>
            </w:pPr>
            <w:r w:rsidRPr="008B6A75">
              <w:rPr>
                <w:color w:val="000000"/>
                <w:sz w:val="20"/>
                <w:szCs w:val="20"/>
              </w:rPr>
              <w:t>444</w:t>
            </w:r>
          </w:p>
        </w:tc>
        <w:tc>
          <w:tcPr>
            <w:tcW w:w="500" w:type="dxa"/>
            <w:tcBorders>
              <w:top w:val="nil"/>
              <w:left w:val="nil"/>
              <w:bottom w:val="single" w:sz="4" w:space="0" w:color="auto"/>
              <w:right w:val="single" w:sz="4" w:space="0" w:color="auto"/>
            </w:tcBorders>
            <w:shd w:val="clear" w:color="auto" w:fill="auto"/>
            <w:noWrap/>
            <w:vAlign w:val="center"/>
            <w:hideMark/>
          </w:tcPr>
          <w:p w14:paraId="37B7DF4B" w14:textId="77777777" w:rsidR="00387142" w:rsidRPr="008B6A75" w:rsidRDefault="00387142" w:rsidP="00387142">
            <w:pPr>
              <w:jc w:val="center"/>
              <w:rPr>
                <w:color w:val="000000"/>
                <w:sz w:val="20"/>
                <w:szCs w:val="20"/>
              </w:rPr>
            </w:pPr>
            <w:r w:rsidRPr="008B6A75">
              <w:rPr>
                <w:color w:val="000000"/>
                <w:sz w:val="20"/>
                <w:szCs w:val="20"/>
              </w:rPr>
              <w:t>05</w:t>
            </w:r>
          </w:p>
        </w:tc>
        <w:tc>
          <w:tcPr>
            <w:tcW w:w="500" w:type="dxa"/>
            <w:tcBorders>
              <w:top w:val="nil"/>
              <w:left w:val="nil"/>
              <w:bottom w:val="single" w:sz="4" w:space="0" w:color="auto"/>
              <w:right w:val="single" w:sz="4" w:space="0" w:color="auto"/>
            </w:tcBorders>
            <w:shd w:val="clear" w:color="auto" w:fill="auto"/>
            <w:noWrap/>
            <w:vAlign w:val="center"/>
            <w:hideMark/>
          </w:tcPr>
          <w:p w14:paraId="23FE04F5" w14:textId="77777777" w:rsidR="00387142" w:rsidRPr="008B6A75" w:rsidRDefault="00387142" w:rsidP="00387142">
            <w:pPr>
              <w:jc w:val="center"/>
              <w:rPr>
                <w:color w:val="000000"/>
                <w:sz w:val="20"/>
                <w:szCs w:val="20"/>
              </w:rPr>
            </w:pPr>
            <w:r w:rsidRPr="008B6A75">
              <w:rPr>
                <w:color w:val="000000"/>
                <w:sz w:val="20"/>
                <w:szCs w:val="20"/>
              </w:rPr>
              <w:t>02</w:t>
            </w:r>
          </w:p>
        </w:tc>
        <w:tc>
          <w:tcPr>
            <w:tcW w:w="500" w:type="dxa"/>
            <w:tcBorders>
              <w:top w:val="nil"/>
              <w:left w:val="nil"/>
              <w:bottom w:val="single" w:sz="4" w:space="0" w:color="auto"/>
              <w:right w:val="single" w:sz="4" w:space="0" w:color="auto"/>
            </w:tcBorders>
            <w:shd w:val="clear" w:color="auto" w:fill="auto"/>
            <w:noWrap/>
            <w:vAlign w:val="center"/>
            <w:hideMark/>
          </w:tcPr>
          <w:p w14:paraId="6310F422" w14:textId="77777777" w:rsidR="00387142" w:rsidRPr="008B6A75" w:rsidRDefault="00387142" w:rsidP="00387142">
            <w:pPr>
              <w:jc w:val="center"/>
              <w:rPr>
                <w:color w:val="000000"/>
                <w:sz w:val="20"/>
                <w:szCs w:val="20"/>
              </w:rPr>
            </w:pPr>
            <w:r w:rsidRPr="008B6A75">
              <w:rPr>
                <w:color w:val="000000"/>
                <w:sz w:val="20"/>
                <w:szCs w:val="20"/>
              </w:rPr>
              <w:t>99</w:t>
            </w:r>
          </w:p>
        </w:tc>
        <w:tc>
          <w:tcPr>
            <w:tcW w:w="500" w:type="dxa"/>
            <w:tcBorders>
              <w:top w:val="nil"/>
              <w:left w:val="nil"/>
              <w:bottom w:val="single" w:sz="4" w:space="0" w:color="auto"/>
              <w:right w:val="single" w:sz="4" w:space="0" w:color="auto"/>
            </w:tcBorders>
            <w:shd w:val="clear" w:color="auto" w:fill="auto"/>
            <w:noWrap/>
            <w:vAlign w:val="center"/>
            <w:hideMark/>
          </w:tcPr>
          <w:p w14:paraId="1C72A0FC" w14:textId="77777777" w:rsidR="00387142" w:rsidRPr="008B6A75" w:rsidRDefault="00387142" w:rsidP="00387142">
            <w:pPr>
              <w:jc w:val="center"/>
              <w:rPr>
                <w:color w:val="000000"/>
                <w:sz w:val="20"/>
                <w:szCs w:val="20"/>
              </w:rPr>
            </w:pPr>
            <w:r w:rsidRPr="008B6A75">
              <w:rPr>
                <w:color w:val="000000"/>
                <w:sz w:val="20"/>
                <w:szCs w:val="20"/>
              </w:rPr>
              <w:t>0</w:t>
            </w:r>
          </w:p>
        </w:tc>
        <w:tc>
          <w:tcPr>
            <w:tcW w:w="416" w:type="dxa"/>
            <w:tcBorders>
              <w:top w:val="nil"/>
              <w:left w:val="nil"/>
              <w:bottom w:val="single" w:sz="4" w:space="0" w:color="auto"/>
              <w:right w:val="single" w:sz="4" w:space="0" w:color="auto"/>
            </w:tcBorders>
            <w:shd w:val="clear" w:color="auto" w:fill="auto"/>
            <w:noWrap/>
            <w:vAlign w:val="center"/>
            <w:hideMark/>
          </w:tcPr>
          <w:p w14:paraId="749694D9" w14:textId="77777777" w:rsidR="00387142" w:rsidRPr="008B6A75" w:rsidRDefault="00387142" w:rsidP="00387142">
            <w:pPr>
              <w:jc w:val="center"/>
              <w:rPr>
                <w:color w:val="000000"/>
                <w:sz w:val="20"/>
                <w:szCs w:val="20"/>
              </w:rPr>
            </w:pPr>
            <w:r w:rsidRPr="008B6A75">
              <w:rPr>
                <w:color w:val="000000"/>
                <w:sz w:val="20"/>
                <w:szCs w:val="20"/>
              </w:rPr>
              <w:t>00</w:t>
            </w:r>
          </w:p>
        </w:tc>
        <w:tc>
          <w:tcPr>
            <w:tcW w:w="750" w:type="dxa"/>
            <w:tcBorders>
              <w:top w:val="nil"/>
              <w:left w:val="nil"/>
              <w:bottom w:val="single" w:sz="4" w:space="0" w:color="auto"/>
              <w:right w:val="single" w:sz="4" w:space="0" w:color="auto"/>
            </w:tcBorders>
            <w:shd w:val="clear" w:color="auto" w:fill="auto"/>
            <w:noWrap/>
            <w:vAlign w:val="center"/>
            <w:hideMark/>
          </w:tcPr>
          <w:p w14:paraId="4FD9369A" w14:textId="77777777" w:rsidR="00387142" w:rsidRPr="008B6A75" w:rsidRDefault="00387142" w:rsidP="00387142">
            <w:pPr>
              <w:jc w:val="center"/>
              <w:rPr>
                <w:color w:val="000000"/>
                <w:sz w:val="20"/>
                <w:szCs w:val="20"/>
              </w:rPr>
            </w:pPr>
            <w:r w:rsidRPr="008B6A75">
              <w:rPr>
                <w:color w:val="000000"/>
                <w:sz w:val="20"/>
                <w:szCs w:val="20"/>
              </w:rPr>
              <w:t>05240</w:t>
            </w:r>
          </w:p>
        </w:tc>
        <w:tc>
          <w:tcPr>
            <w:tcW w:w="700" w:type="dxa"/>
            <w:tcBorders>
              <w:top w:val="nil"/>
              <w:left w:val="nil"/>
              <w:bottom w:val="single" w:sz="4" w:space="0" w:color="auto"/>
              <w:right w:val="single" w:sz="4" w:space="0" w:color="auto"/>
            </w:tcBorders>
            <w:shd w:val="clear" w:color="auto" w:fill="auto"/>
            <w:noWrap/>
            <w:vAlign w:val="center"/>
            <w:hideMark/>
          </w:tcPr>
          <w:p w14:paraId="5B108FD4" w14:textId="77777777" w:rsidR="00387142" w:rsidRPr="008B6A75" w:rsidRDefault="00387142" w:rsidP="00387142">
            <w:pPr>
              <w:jc w:val="center"/>
              <w:rPr>
                <w:color w:val="000000"/>
                <w:sz w:val="20"/>
                <w:szCs w:val="20"/>
              </w:rPr>
            </w:pPr>
            <w:r w:rsidRPr="008B6A75">
              <w:rPr>
                <w:color w:val="000000"/>
                <w:sz w:val="20"/>
                <w:szCs w:val="20"/>
              </w:rPr>
              <w:t>410</w:t>
            </w:r>
          </w:p>
        </w:tc>
        <w:tc>
          <w:tcPr>
            <w:tcW w:w="1157" w:type="dxa"/>
            <w:gridSpan w:val="2"/>
            <w:tcBorders>
              <w:top w:val="nil"/>
              <w:left w:val="nil"/>
              <w:bottom w:val="single" w:sz="4" w:space="0" w:color="auto"/>
              <w:right w:val="single" w:sz="4" w:space="0" w:color="auto"/>
            </w:tcBorders>
            <w:shd w:val="clear" w:color="auto" w:fill="auto"/>
            <w:noWrap/>
            <w:vAlign w:val="center"/>
            <w:hideMark/>
          </w:tcPr>
          <w:p w14:paraId="256AA8B6" w14:textId="77777777" w:rsidR="00387142" w:rsidRPr="008B6A75" w:rsidRDefault="00387142" w:rsidP="00387142">
            <w:pPr>
              <w:jc w:val="right"/>
              <w:rPr>
                <w:color w:val="000000"/>
                <w:sz w:val="20"/>
                <w:szCs w:val="20"/>
              </w:rPr>
            </w:pPr>
            <w:r w:rsidRPr="008B6A75">
              <w:rPr>
                <w:color w:val="000000"/>
                <w:sz w:val="20"/>
                <w:szCs w:val="20"/>
              </w:rPr>
              <w:t xml:space="preserve">993 234,41 </w:t>
            </w:r>
          </w:p>
        </w:tc>
        <w:tc>
          <w:tcPr>
            <w:tcW w:w="1276" w:type="dxa"/>
            <w:tcBorders>
              <w:top w:val="nil"/>
              <w:left w:val="nil"/>
              <w:bottom w:val="single" w:sz="4" w:space="0" w:color="auto"/>
              <w:right w:val="single" w:sz="4" w:space="0" w:color="auto"/>
            </w:tcBorders>
            <w:shd w:val="clear" w:color="auto" w:fill="auto"/>
            <w:noWrap/>
            <w:vAlign w:val="center"/>
            <w:hideMark/>
          </w:tcPr>
          <w:p w14:paraId="07D708CA" w14:textId="77777777" w:rsidR="00387142" w:rsidRPr="008B6A75" w:rsidRDefault="00387142" w:rsidP="00387142">
            <w:pPr>
              <w:jc w:val="right"/>
              <w:rPr>
                <w:color w:val="000000"/>
                <w:sz w:val="20"/>
                <w:szCs w:val="20"/>
              </w:rPr>
            </w:pPr>
            <w:r w:rsidRPr="008B6A75">
              <w:rPr>
                <w:color w:val="000000"/>
                <w:sz w:val="20"/>
                <w:szCs w:val="20"/>
              </w:rPr>
              <w:t xml:space="preserve">0,00 </w:t>
            </w:r>
          </w:p>
        </w:tc>
        <w:tc>
          <w:tcPr>
            <w:tcW w:w="1021" w:type="dxa"/>
            <w:tcBorders>
              <w:top w:val="nil"/>
              <w:left w:val="nil"/>
              <w:bottom w:val="single" w:sz="4" w:space="0" w:color="auto"/>
              <w:right w:val="single" w:sz="4" w:space="0" w:color="auto"/>
            </w:tcBorders>
            <w:shd w:val="clear" w:color="auto" w:fill="auto"/>
            <w:noWrap/>
            <w:vAlign w:val="center"/>
            <w:hideMark/>
          </w:tcPr>
          <w:p w14:paraId="5F78E979" w14:textId="77777777" w:rsidR="00387142" w:rsidRPr="008B6A75" w:rsidRDefault="00387142" w:rsidP="00387142">
            <w:pPr>
              <w:jc w:val="right"/>
              <w:rPr>
                <w:color w:val="000000"/>
                <w:sz w:val="20"/>
                <w:szCs w:val="20"/>
              </w:rPr>
            </w:pPr>
            <w:r w:rsidRPr="008B6A75">
              <w:rPr>
                <w:color w:val="000000"/>
                <w:sz w:val="20"/>
                <w:szCs w:val="20"/>
              </w:rPr>
              <w:t xml:space="preserve">0,00 </w:t>
            </w:r>
          </w:p>
        </w:tc>
      </w:tr>
      <w:tr w:rsidR="00387142" w:rsidRPr="008B6A75" w14:paraId="594C37F3" w14:textId="77777777" w:rsidTr="00387142">
        <w:trPr>
          <w:gridAfter w:val="1"/>
          <w:wAfter w:w="9" w:type="dxa"/>
          <w:trHeight w:val="120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23851709" w14:textId="77777777" w:rsidR="00387142" w:rsidRPr="008B6A75" w:rsidRDefault="00387142" w:rsidP="00387142">
            <w:pPr>
              <w:rPr>
                <w:color w:val="000000"/>
                <w:sz w:val="20"/>
                <w:szCs w:val="20"/>
              </w:rPr>
            </w:pPr>
            <w:r w:rsidRPr="008B6A75">
              <w:rPr>
                <w:color w:val="000000"/>
                <w:sz w:val="20"/>
                <w:szCs w:val="2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134" w:type="dxa"/>
            <w:tcBorders>
              <w:top w:val="nil"/>
              <w:left w:val="nil"/>
              <w:bottom w:val="single" w:sz="4" w:space="0" w:color="auto"/>
              <w:right w:val="single" w:sz="4" w:space="0" w:color="auto"/>
            </w:tcBorders>
            <w:shd w:val="clear" w:color="auto" w:fill="auto"/>
            <w:noWrap/>
            <w:vAlign w:val="center"/>
            <w:hideMark/>
          </w:tcPr>
          <w:p w14:paraId="43D18737" w14:textId="77777777" w:rsidR="00387142" w:rsidRPr="008B6A75" w:rsidRDefault="00387142" w:rsidP="00387142">
            <w:pPr>
              <w:jc w:val="center"/>
              <w:rPr>
                <w:color w:val="000000"/>
                <w:sz w:val="20"/>
                <w:szCs w:val="20"/>
              </w:rPr>
            </w:pPr>
            <w:r w:rsidRPr="008B6A75">
              <w:rPr>
                <w:color w:val="000000"/>
                <w:sz w:val="20"/>
                <w:szCs w:val="20"/>
              </w:rPr>
              <w:t>444</w:t>
            </w:r>
          </w:p>
        </w:tc>
        <w:tc>
          <w:tcPr>
            <w:tcW w:w="500" w:type="dxa"/>
            <w:tcBorders>
              <w:top w:val="nil"/>
              <w:left w:val="nil"/>
              <w:bottom w:val="single" w:sz="4" w:space="0" w:color="auto"/>
              <w:right w:val="single" w:sz="4" w:space="0" w:color="auto"/>
            </w:tcBorders>
            <w:shd w:val="clear" w:color="auto" w:fill="auto"/>
            <w:noWrap/>
            <w:vAlign w:val="center"/>
            <w:hideMark/>
          </w:tcPr>
          <w:p w14:paraId="583D25BE" w14:textId="77777777" w:rsidR="00387142" w:rsidRPr="008B6A75" w:rsidRDefault="00387142" w:rsidP="00387142">
            <w:pPr>
              <w:jc w:val="center"/>
              <w:rPr>
                <w:color w:val="000000"/>
                <w:sz w:val="20"/>
                <w:szCs w:val="20"/>
              </w:rPr>
            </w:pPr>
            <w:r w:rsidRPr="008B6A75">
              <w:rPr>
                <w:color w:val="000000"/>
                <w:sz w:val="20"/>
                <w:szCs w:val="20"/>
              </w:rPr>
              <w:t>10</w:t>
            </w:r>
          </w:p>
        </w:tc>
        <w:tc>
          <w:tcPr>
            <w:tcW w:w="500" w:type="dxa"/>
            <w:tcBorders>
              <w:top w:val="nil"/>
              <w:left w:val="nil"/>
              <w:bottom w:val="single" w:sz="4" w:space="0" w:color="auto"/>
              <w:right w:val="single" w:sz="4" w:space="0" w:color="auto"/>
            </w:tcBorders>
            <w:shd w:val="clear" w:color="auto" w:fill="auto"/>
            <w:noWrap/>
            <w:vAlign w:val="center"/>
            <w:hideMark/>
          </w:tcPr>
          <w:p w14:paraId="3CDDBEEB" w14:textId="77777777" w:rsidR="00387142" w:rsidRPr="008B6A75" w:rsidRDefault="00387142" w:rsidP="00387142">
            <w:pPr>
              <w:jc w:val="center"/>
              <w:rPr>
                <w:color w:val="000000"/>
                <w:sz w:val="20"/>
                <w:szCs w:val="20"/>
              </w:rPr>
            </w:pPr>
            <w:r w:rsidRPr="008B6A75">
              <w:rPr>
                <w:color w:val="000000"/>
                <w:sz w:val="20"/>
                <w:szCs w:val="20"/>
              </w:rPr>
              <w:t>04</w:t>
            </w:r>
          </w:p>
        </w:tc>
        <w:tc>
          <w:tcPr>
            <w:tcW w:w="500" w:type="dxa"/>
            <w:tcBorders>
              <w:top w:val="nil"/>
              <w:left w:val="nil"/>
              <w:bottom w:val="single" w:sz="4" w:space="0" w:color="auto"/>
              <w:right w:val="single" w:sz="4" w:space="0" w:color="auto"/>
            </w:tcBorders>
            <w:shd w:val="clear" w:color="auto" w:fill="auto"/>
            <w:noWrap/>
            <w:vAlign w:val="center"/>
            <w:hideMark/>
          </w:tcPr>
          <w:p w14:paraId="21F20F7F" w14:textId="77777777" w:rsidR="00387142" w:rsidRPr="008B6A75" w:rsidRDefault="00387142" w:rsidP="00387142">
            <w:pPr>
              <w:jc w:val="center"/>
              <w:rPr>
                <w:color w:val="000000"/>
                <w:sz w:val="20"/>
                <w:szCs w:val="20"/>
              </w:rPr>
            </w:pPr>
            <w:r w:rsidRPr="008B6A75">
              <w:rPr>
                <w:color w:val="000000"/>
                <w:sz w:val="20"/>
                <w:szCs w:val="20"/>
              </w:rPr>
              <w:t>99</w:t>
            </w:r>
          </w:p>
        </w:tc>
        <w:tc>
          <w:tcPr>
            <w:tcW w:w="500" w:type="dxa"/>
            <w:tcBorders>
              <w:top w:val="nil"/>
              <w:left w:val="nil"/>
              <w:bottom w:val="single" w:sz="4" w:space="0" w:color="auto"/>
              <w:right w:val="single" w:sz="4" w:space="0" w:color="auto"/>
            </w:tcBorders>
            <w:shd w:val="clear" w:color="auto" w:fill="auto"/>
            <w:noWrap/>
            <w:vAlign w:val="center"/>
            <w:hideMark/>
          </w:tcPr>
          <w:p w14:paraId="5E49319C" w14:textId="77777777" w:rsidR="00387142" w:rsidRPr="008B6A75" w:rsidRDefault="00387142" w:rsidP="00387142">
            <w:pPr>
              <w:jc w:val="center"/>
              <w:rPr>
                <w:color w:val="000000"/>
                <w:sz w:val="20"/>
                <w:szCs w:val="20"/>
              </w:rPr>
            </w:pPr>
            <w:r w:rsidRPr="008B6A75">
              <w:rPr>
                <w:color w:val="000000"/>
                <w:sz w:val="20"/>
                <w:szCs w:val="20"/>
              </w:rPr>
              <w:t>0</w:t>
            </w:r>
          </w:p>
        </w:tc>
        <w:tc>
          <w:tcPr>
            <w:tcW w:w="416" w:type="dxa"/>
            <w:tcBorders>
              <w:top w:val="nil"/>
              <w:left w:val="nil"/>
              <w:bottom w:val="single" w:sz="4" w:space="0" w:color="auto"/>
              <w:right w:val="single" w:sz="4" w:space="0" w:color="auto"/>
            </w:tcBorders>
            <w:shd w:val="clear" w:color="auto" w:fill="auto"/>
            <w:noWrap/>
            <w:vAlign w:val="center"/>
            <w:hideMark/>
          </w:tcPr>
          <w:p w14:paraId="39010989" w14:textId="77777777" w:rsidR="00387142" w:rsidRPr="008B6A75" w:rsidRDefault="00387142" w:rsidP="00387142">
            <w:pPr>
              <w:jc w:val="center"/>
              <w:rPr>
                <w:color w:val="000000"/>
                <w:sz w:val="20"/>
                <w:szCs w:val="20"/>
              </w:rPr>
            </w:pPr>
            <w:r w:rsidRPr="008B6A75">
              <w:rPr>
                <w:color w:val="000000"/>
                <w:sz w:val="20"/>
                <w:szCs w:val="20"/>
              </w:rPr>
              <w:t>00</w:t>
            </w:r>
          </w:p>
        </w:tc>
        <w:tc>
          <w:tcPr>
            <w:tcW w:w="750" w:type="dxa"/>
            <w:tcBorders>
              <w:top w:val="nil"/>
              <w:left w:val="nil"/>
              <w:bottom w:val="single" w:sz="4" w:space="0" w:color="auto"/>
              <w:right w:val="single" w:sz="4" w:space="0" w:color="auto"/>
            </w:tcBorders>
            <w:shd w:val="clear" w:color="auto" w:fill="auto"/>
            <w:noWrap/>
            <w:vAlign w:val="center"/>
            <w:hideMark/>
          </w:tcPr>
          <w:p w14:paraId="77D79AC4" w14:textId="77777777" w:rsidR="00387142" w:rsidRPr="008B6A75" w:rsidRDefault="00387142" w:rsidP="00387142">
            <w:pPr>
              <w:jc w:val="center"/>
              <w:rPr>
                <w:color w:val="000000"/>
                <w:sz w:val="20"/>
                <w:szCs w:val="20"/>
              </w:rPr>
            </w:pPr>
            <w:r w:rsidRPr="008B6A75">
              <w:rPr>
                <w:color w:val="000000"/>
                <w:sz w:val="20"/>
                <w:szCs w:val="20"/>
              </w:rPr>
              <w:t>70399</w:t>
            </w:r>
          </w:p>
        </w:tc>
        <w:tc>
          <w:tcPr>
            <w:tcW w:w="700" w:type="dxa"/>
            <w:tcBorders>
              <w:top w:val="nil"/>
              <w:left w:val="nil"/>
              <w:bottom w:val="single" w:sz="4" w:space="0" w:color="auto"/>
              <w:right w:val="single" w:sz="4" w:space="0" w:color="auto"/>
            </w:tcBorders>
            <w:shd w:val="clear" w:color="auto" w:fill="auto"/>
            <w:noWrap/>
            <w:vAlign w:val="center"/>
            <w:hideMark/>
          </w:tcPr>
          <w:p w14:paraId="255954C7" w14:textId="77777777" w:rsidR="00387142" w:rsidRPr="008B6A75" w:rsidRDefault="00387142" w:rsidP="00387142">
            <w:pPr>
              <w:jc w:val="center"/>
              <w:rPr>
                <w:color w:val="000000"/>
                <w:sz w:val="20"/>
                <w:szCs w:val="20"/>
              </w:rPr>
            </w:pPr>
            <w:r w:rsidRPr="008B6A75">
              <w:rPr>
                <w:color w:val="000000"/>
                <w:sz w:val="20"/>
                <w:szCs w:val="20"/>
              </w:rPr>
              <w:t>410</w:t>
            </w:r>
          </w:p>
        </w:tc>
        <w:tc>
          <w:tcPr>
            <w:tcW w:w="1157" w:type="dxa"/>
            <w:gridSpan w:val="2"/>
            <w:tcBorders>
              <w:top w:val="nil"/>
              <w:left w:val="nil"/>
              <w:bottom w:val="single" w:sz="4" w:space="0" w:color="auto"/>
              <w:right w:val="single" w:sz="4" w:space="0" w:color="auto"/>
            </w:tcBorders>
            <w:shd w:val="clear" w:color="auto" w:fill="auto"/>
            <w:noWrap/>
            <w:vAlign w:val="center"/>
            <w:hideMark/>
          </w:tcPr>
          <w:p w14:paraId="6F162EA2" w14:textId="77777777" w:rsidR="00387142" w:rsidRPr="008B6A75" w:rsidRDefault="00387142" w:rsidP="00387142">
            <w:pPr>
              <w:jc w:val="right"/>
              <w:rPr>
                <w:color w:val="000000"/>
                <w:sz w:val="20"/>
                <w:szCs w:val="20"/>
              </w:rPr>
            </w:pPr>
            <w:r w:rsidRPr="008B6A75">
              <w:rPr>
                <w:color w:val="000000"/>
                <w:sz w:val="20"/>
                <w:szCs w:val="20"/>
              </w:rPr>
              <w:t xml:space="preserve">85 720 700,00 </w:t>
            </w:r>
          </w:p>
        </w:tc>
        <w:tc>
          <w:tcPr>
            <w:tcW w:w="1276" w:type="dxa"/>
            <w:tcBorders>
              <w:top w:val="nil"/>
              <w:left w:val="nil"/>
              <w:bottom w:val="single" w:sz="4" w:space="0" w:color="auto"/>
              <w:right w:val="single" w:sz="4" w:space="0" w:color="auto"/>
            </w:tcBorders>
            <w:shd w:val="clear" w:color="auto" w:fill="auto"/>
            <w:noWrap/>
            <w:vAlign w:val="center"/>
            <w:hideMark/>
          </w:tcPr>
          <w:p w14:paraId="4107DC9C" w14:textId="77777777" w:rsidR="00387142" w:rsidRPr="008B6A75" w:rsidRDefault="00387142" w:rsidP="00387142">
            <w:pPr>
              <w:jc w:val="right"/>
              <w:rPr>
                <w:color w:val="000000"/>
                <w:sz w:val="20"/>
                <w:szCs w:val="20"/>
              </w:rPr>
            </w:pPr>
            <w:r w:rsidRPr="008B6A75">
              <w:rPr>
                <w:color w:val="000000"/>
                <w:sz w:val="20"/>
                <w:szCs w:val="20"/>
              </w:rPr>
              <w:t xml:space="preserve">101 903 100,00 </w:t>
            </w:r>
          </w:p>
        </w:tc>
        <w:tc>
          <w:tcPr>
            <w:tcW w:w="1021" w:type="dxa"/>
            <w:tcBorders>
              <w:top w:val="nil"/>
              <w:left w:val="nil"/>
              <w:bottom w:val="single" w:sz="4" w:space="0" w:color="auto"/>
              <w:right w:val="single" w:sz="4" w:space="0" w:color="auto"/>
            </w:tcBorders>
            <w:shd w:val="clear" w:color="auto" w:fill="auto"/>
            <w:noWrap/>
            <w:vAlign w:val="center"/>
            <w:hideMark/>
          </w:tcPr>
          <w:p w14:paraId="65A72BE7" w14:textId="77777777" w:rsidR="00387142" w:rsidRPr="008B6A75" w:rsidRDefault="00387142" w:rsidP="00387142">
            <w:pPr>
              <w:jc w:val="right"/>
              <w:rPr>
                <w:color w:val="000000"/>
                <w:sz w:val="20"/>
                <w:szCs w:val="20"/>
              </w:rPr>
            </w:pPr>
            <w:r w:rsidRPr="008B6A75">
              <w:rPr>
                <w:color w:val="000000"/>
                <w:sz w:val="20"/>
                <w:szCs w:val="20"/>
              </w:rPr>
              <w:t xml:space="preserve">65 104 700,00 </w:t>
            </w:r>
          </w:p>
        </w:tc>
      </w:tr>
    </w:tbl>
    <w:p w14:paraId="5C0B48DB" w14:textId="77777777" w:rsidR="00387142" w:rsidRPr="008B6A75" w:rsidRDefault="00387142" w:rsidP="00387142">
      <w:pPr>
        <w:rPr>
          <w:sz w:val="20"/>
          <w:szCs w:val="20"/>
        </w:rPr>
      </w:pPr>
    </w:p>
    <w:tbl>
      <w:tblPr>
        <w:tblW w:w="10884" w:type="dxa"/>
        <w:tblInd w:w="-567" w:type="dxa"/>
        <w:tblLook w:val="04A0" w:firstRow="1" w:lastRow="0" w:firstColumn="1" w:lastColumn="0" w:noHBand="0" w:noVBand="1"/>
      </w:tblPr>
      <w:tblGrid>
        <w:gridCol w:w="1985"/>
        <w:gridCol w:w="2977"/>
        <w:gridCol w:w="1900"/>
        <w:gridCol w:w="1900"/>
        <w:gridCol w:w="1900"/>
        <w:gridCol w:w="8"/>
        <w:gridCol w:w="214"/>
      </w:tblGrid>
      <w:tr w:rsidR="00387142" w:rsidRPr="008B6A75" w14:paraId="7F542640" w14:textId="77777777" w:rsidTr="00387142">
        <w:trPr>
          <w:gridAfter w:val="2"/>
          <w:wAfter w:w="222" w:type="dxa"/>
          <w:trHeight w:val="315"/>
        </w:trPr>
        <w:tc>
          <w:tcPr>
            <w:tcW w:w="1985" w:type="dxa"/>
            <w:tcBorders>
              <w:top w:val="nil"/>
              <w:left w:val="nil"/>
              <w:bottom w:val="nil"/>
              <w:right w:val="nil"/>
            </w:tcBorders>
            <w:shd w:val="clear" w:color="auto" w:fill="auto"/>
            <w:noWrap/>
            <w:vAlign w:val="bottom"/>
            <w:hideMark/>
          </w:tcPr>
          <w:p w14:paraId="37F6E2C2" w14:textId="77777777" w:rsidR="00387142" w:rsidRPr="008B6A75" w:rsidRDefault="00387142" w:rsidP="00387142">
            <w:pPr>
              <w:rPr>
                <w:sz w:val="20"/>
                <w:szCs w:val="20"/>
              </w:rPr>
            </w:pPr>
          </w:p>
        </w:tc>
        <w:tc>
          <w:tcPr>
            <w:tcW w:w="2977" w:type="dxa"/>
            <w:tcBorders>
              <w:top w:val="nil"/>
              <w:left w:val="nil"/>
              <w:bottom w:val="nil"/>
              <w:right w:val="nil"/>
            </w:tcBorders>
            <w:shd w:val="clear" w:color="auto" w:fill="auto"/>
            <w:noWrap/>
            <w:vAlign w:val="bottom"/>
            <w:hideMark/>
          </w:tcPr>
          <w:p w14:paraId="15660738" w14:textId="77777777" w:rsidR="00387142" w:rsidRPr="008B6A75" w:rsidRDefault="00387142" w:rsidP="00387142">
            <w:pPr>
              <w:rPr>
                <w:sz w:val="20"/>
                <w:szCs w:val="20"/>
              </w:rPr>
            </w:pPr>
          </w:p>
        </w:tc>
        <w:tc>
          <w:tcPr>
            <w:tcW w:w="1900" w:type="dxa"/>
            <w:tcBorders>
              <w:top w:val="nil"/>
              <w:left w:val="nil"/>
              <w:bottom w:val="nil"/>
              <w:right w:val="nil"/>
            </w:tcBorders>
            <w:shd w:val="clear" w:color="auto" w:fill="auto"/>
            <w:noWrap/>
            <w:vAlign w:val="bottom"/>
            <w:hideMark/>
          </w:tcPr>
          <w:p w14:paraId="062FA18D" w14:textId="77777777" w:rsidR="00387142" w:rsidRPr="008B6A75" w:rsidRDefault="00387142" w:rsidP="00387142">
            <w:pPr>
              <w:rPr>
                <w:sz w:val="20"/>
                <w:szCs w:val="20"/>
              </w:rPr>
            </w:pPr>
          </w:p>
        </w:tc>
        <w:tc>
          <w:tcPr>
            <w:tcW w:w="1900" w:type="dxa"/>
            <w:tcBorders>
              <w:top w:val="nil"/>
              <w:left w:val="nil"/>
              <w:bottom w:val="nil"/>
              <w:right w:val="nil"/>
            </w:tcBorders>
            <w:shd w:val="clear" w:color="auto" w:fill="auto"/>
            <w:noWrap/>
            <w:vAlign w:val="bottom"/>
            <w:hideMark/>
          </w:tcPr>
          <w:p w14:paraId="6C554628" w14:textId="77777777" w:rsidR="00387142" w:rsidRPr="008B6A75" w:rsidRDefault="00387142" w:rsidP="00387142">
            <w:pPr>
              <w:rPr>
                <w:sz w:val="20"/>
                <w:szCs w:val="20"/>
              </w:rPr>
            </w:pPr>
          </w:p>
        </w:tc>
        <w:tc>
          <w:tcPr>
            <w:tcW w:w="1900" w:type="dxa"/>
            <w:tcBorders>
              <w:top w:val="nil"/>
              <w:left w:val="nil"/>
              <w:bottom w:val="nil"/>
              <w:right w:val="nil"/>
            </w:tcBorders>
            <w:shd w:val="clear" w:color="auto" w:fill="auto"/>
            <w:noWrap/>
            <w:vAlign w:val="center"/>
            <w:hideMark/>
          </w:tcPr>
          <w:p w14:paraId="1E71659E" w14:textId="77777777" w:rsidR="00387142" w:rsidRPr="008B6A75" w:rsidRDefault="00387142" w:rsidP="00387142">
            <w:pPr>
              <w:jc w:val="right"/>
              <w:rPr>
                <w:sz w:val="20"/>
                <w:szCs w:val="20"/>
              </w:rPr>
            </w:pPr>
            <w:r w:rsidRPr="008B6A75">
              <w:rPr>
                <w:sz w:val="20"/>
                <w:szCs w:val="20"/>
              </w:rPr>
              <w:t>Приложение 16</w:t>
            </w:r>
          </w:p>
        </w:tc>
      </w:tr>
      <w:tr w:rsidR="00387142" w:rsidRPr="008B6A75" w14:paraId="74D0B856" w14:textId="77777777" w:rsidTr="00387142">
        <w:trPr>
          <w:gridAfter w:val="2"/>
          <w:wAfter w:w="222" w:type="dxa"/>
          <w:trHeight w:val="2100"/>
        </w:trPr>
        <w:tc>
          <w:tcPr>
            <w:tcW w:w="1985" w:type="dxa"/>
            <w:tcBorders>
              <w:top w:val="nil"/>
              <w:left w:val="nil"/>
              <w:bottom w:val="nil"/>
              <w:right w:val="nil"/>
            </w:tcBorders>
            <w:shd w:val="clear" w:color="auto" w:fill="auto"/>
            <w:noWrap/>
            <w:vAlign w:val="bottom"/>
            <w:hideMark/>
          </w:tcPr>
          <w:p w14:paraId="5A4C6CDE" w14:textId="77777777" w:rsidR="00387142" w:rsidRPr="008B6A75" w:rsidRDefault="00387142" w:rsidP="00387142">
            <w:pPr>
              <w:jc w:val="right"/>
              <w:rPr>
                <w:sz w:val="20"/>
                <w:szCs w:val="20"/>
              </w:rPr>
            </w:pPr>
          </w:p>
        </w:tc>
        <w:tc>
          <w:tcPr>
            <w:tcW w:w="2977" w:type="dxa"/>
            <w:tcBorders>
              <w:top w:val="nil"/>
              <w:left w:val="nil"/>
              <w:bottom w:val="nil"/>
              <w:right w:val="nil"/>
            </w:tcBorders>
            <w:shd w:val="clear" w:color="auto" w:fill="auto"/>
            <w:noWrap/>
            <w:vAlign w:val="bottom"/>
            <w:hideMark/>
          </w:tcPr>
          <w:p w14:paraId="40F97829" w14:textId="77777777" w:rsidR="00387142" w:rsidRPr="008B6A75" w:rsidRDefault="00387142" w:rsidP="00387142">
            <w:pPr>
              <w:rPr>
                <w:sz w:val="20"/>
                <w:szCs w:val="20"/>
              </w:rPr>
            </w:pPr>
          </w:p>
        </w:tc>
        <w:tc>
          <w:tcPr>
            <w:tcW w:w="1900" w:type="dxa"/>
            <w:tcBorders>
              <w:top w:val="nil"/>
              <w:left w:val="nil"/>
              <w:bottom w:val="nil"/>
              <w:right w:val="nil"/>
            </w:tcBorders>
            <w:shd w:val="clear" w:color="auto" w:fill="auto"/>
            <w:noWrap/>
            <w:vAlign w:val="bottom"/>
            <w:hideMark/>
          </w:tcPr>
          <w:p w14:paraId="3D838BDF" w14:textId="77777777" w:rsidR="00387142" w:rsidRPr="008B6A75" w:rsidRDefault="00387142" w:rsidP="00387142">
            <w:pPr>
              <w:rPr>
                <w:sz w:val="20"/>
                <w:szCs w:val="20"/>
              </w:rPr>
            </w:pPr>
          </w:p>
        </w:tc>
        <w:tc>
          <w:tcPr>
            <w:tcW w:w="3800" w:type="dxa"/>
            <w:gridSpan w:val="2"/>
            <w:tcBorders>
              <w:top w:val="nil"/>
              <w:left w:val="nil"/>
              <w:bottom w:val="nil"/>
              <w:right w:val="nil"/>
            </w:tcBorders>
            <w:shd w:val="clear" w:color="auto" w:fill="auto"/>
            <w:vAlign w:val="bottom"/>
            <w:hideMark/>
          </w:tcPr>
          <w:p w14:paraId="7A99AEB8" w14:textId="77777777" w:rsidR="00387142" w:rsidRPr="008B6A75" w:rsidRDefault="00387142" w:rsidP="00387142">
            <w:pPr>
              <w:jc w:val="right"/>
              <w:rPr>
                <w:sz w:val="20"/>
                <w:szCs w:val="20"/>
              </w:rPr>
            </w:pPr>
            <w:r w:rsidRPr="008B6A75">
              <w:rPr>
                <w:sz w:val="20"/>
                <w:szCs w:val="20"/>
              </w:rPr>
              <w:t>к решению сессии Совета депутатов Куйбышевского муниципального района Новосибирской области "О бюджете Куйбышевского муниципального района Новосибирской области на 2022 год и плановый период 2023 и 2024 годов"</w:t>
            </w:r>
          </w:p>
        </w:tc>
      </w:tr>
      <w:tr w:rsidR="00387142" w:rsidRPr="008B6A75" w14:paraId="0A59DF59" w14:textId="77777777" w:rsidTr="00387142">
        <w:trPr>
          <w:gridAfter w:val="2"/>
          <w:wAfter w:w="222" w:type="dxa"/>
          <w:trHeight w:val="315"/>
        </w:trPr>
        <w:tc>
          <w:tcPr>
            <w:tcW w:w="1985" w:type="dxa"/>
            <w:tcBorders>
              <w:top w:val="nil"/>
              <w:left w:val="nil"/>
              <w:bottom w:val="nil"/>
              <w:right w:val="nil"/>
            </w:tcBorders>
            <w:shd w:val="clear" w:color="auto" w:fill="auto"/>
            <w:noWrap/>
            <w:vAlign w:val="bottom"/>
            <w:hideMark/>
          </w:tcPr>
          <w:p w14:paraId="063C9FE0" w14:textId="77777777" w:rsidR="00387142" w:rsidRPr="008B6A75" w:rsidRDefault="00387142" w:rsidP="00387142">
            <w:pPr>
              <w:jc w:val="right"/>
              <w:rPr>
                <w:sz w:val="20"/>
                <w:szCs w:val="20"/>
              </w:rPr>
            </w:pPr>
          </w:p>
        </w:tc>
        <w:tc>
          <w:tcPr>
            <w:tcW w:w="2977" w:type="dxa"/>
            <w:tcBorders>
              <w:top w:val="nil"/>
              <w:left w:val="nil"/>
              <w:bottom w:val="nil"/>
              <w:right w:val="nil"/>
            </w:tcBorders>
            <w:shd w:val="clear" w:color="auto" w:fill="auto"/>
            <w:noWrap/>
            <w:vAlign w:val="bottom"/>
            <w:hideMark/>
          </w:tcPr>
          <w:p w14:paraId="5ECE05C0" w14:textId="77777777" w:rsidR="00387142" w:rsidRPr="008B6A75" w:rsidRDefault="00387142" w:rsidP="00387142">
            <w:pPr>
              <w:jc w:val="center"/>
              <w:rPr>
                <w:sz w:val="20"/>
                <w:szCs w:val="20"/>
              </w:rPr>
            </w:pPr>
          </w:p>
        </w:tc>
        <w:tc>
          <w:tcPr>
            <w:tcW w:w="1900" w:type="dxa"/>
            <w:tcBorders>
              <w:top w:val="nil"/>
              <w:left w:val="nil"/>
              <w:bottom w:val="nil"/>
              <w:right w:val="nil"/>
            </w:tcBorders>
            <w:shd w:val="clear" w:color="auto" w:fill="auto"/>
            <w:noWrap/>
            <w:vAlign w:val="center"/>
            <w:hideMark/>
          </w:tcPr>
          <w:p w14:paraId="20BF8B7E" w14:textId="77777777" w:rsidR="00387142" w:rsidRPr="008B6A75" w:rsidRDefault="00387142" w:rsidP="00387142">
            <w:pPr>
              <w:jc w:val="center"/>
              <w:rPr>
                <w:sz w:val="20"/>
                <w:szCs w:val="20"/>
              </w:rPr>
            </w:pPr>
          </w:p>
        </w:tc>
        <w:tc>
          <w:tcPr>
            <w:tcW w:w="1900" w:type="dxa"/>
            <w:tcBorders>
              <w:top w:val="nil"/>
              <w:left w:val="nil"/>
              <w:bottom w:val="nil"/>
              <w:right w:val="nil"/>
            </w:tcBorders>
            <w:shd w:val="clear" w:color="auto" w:fill="auto"/>
            <w:noWrap/>
            <w:vAlign w:val="bottom"/>
            <w:hideMark/>
          </w:tcPr>
          <w:p w14:paraId="6F571419" w14:textId="77777777" w:rsidR="00387142" w:rsidRPr="008B6A75" w:rsidRDefault="00387142" w:rsidP="00387142">
            <w:pPr>
              <w:jc w:val="center"/>
              <w:rPr>
                <w:sz w:val="20"/>
                <w:szCs w:val="20"/>
              </w:rPr>
            </w:pPr>
          </w:p>
        </w:tc>
        <w:tc>
          <w:tcPr>
            <w:tcW w:w="1900" w:type="dxa"/>
            <w:tcBorders>
              <w:top w:val="nil"/>
              <w:left w:val="nil"/>
              <w:bottom w:val="nil"/>
              <w:right w:val="nil"/>
            </w:tcBorders>
            <w:shd w:val="clear" w:color="auto" w:fill="auto"/>
            <w:noWrap/>
            <w:vAlign w:val="bottom"/>
            <w:hideMark/>
          </w:tcPr>
          <w:p w14:paraId="7AAAED2D" w14:textId="77777777" w:rsidR="00387142" w:rsidRPr="008B6A75" w:rsidRDefault="00387142" w:rsidP="00387142">
            <w:pPr>
              <w:rPr>
                <w:sz w:val="20"/>
                <w:szCs w:val="20"/>
              </w:rPr>
            </w:pPr>
          </w:p>
        </w:tc>
      </w:tr>
      <w:tr w:rsidR="00387142" w:rsidRPr="008B6A75" w14:paraId="2A52C815" w14:textId="77777777" w:rsidTr="00387142">
        <w:trPr>
          <w:gridAfter w:val="1"/>
          <w:wAfter w:w="214" w:type="dxa"/>
          <w:trHeight w:val="375"/>
        </w:trPr>
        <w:tc>
          <w:tcPr>
            <w:tcW w:w="10670" w:type="dxa"/>
            <w:gridSpan w:val="6"/>
            <w:tcBorders>
              <w:top w:val="nil"/>
              <w:left w:val="nil"/>
              <w:bottom w:val="nil"/>
              <w:right w:val="nil"/>
            </w:tcBorders>
            <w:shd w:val="clear" w:color="auto" w:fill="auto"/>
            <w:noWrap/>
            <w:vAlign w:val="bottom"/>
            <w:hideMark/>
          </w:tcPr>
          <w:p w14:paraId="34DA0085" w14:textId="77777777" w:rsidR="00387142" w:rsidRPr="008B6A75" w:rsidRDefault="00387142" w:rsidP="00387142">
            <w:pPr>
              <w:jc w:val="center"/>
              <w:rPr>
                <w:bCs/>
                <w:sz w:val="20"/>
                <w:szCs w:val="20"/>
              </w:rPr>
            </w:pPr>
            <w:r w:rsidRPr="008B6A75">
              <w:rPr>
                <w:bCs/>
                <w:sz w:val="20"/>
                <w:szCs w:val="20"/>
              </w:rPr>
              <w:t>Источники финансирования дефицита бюджета на 2022 год и плановый период 2023 и 2024 годов</w:t>
            </w:r>
          </w:p>
        </w:tc>
      </w:tr>
      <w:tr w:rsidR="00387142" w:rsidRPr="008B6A75" w14:paraId="723C53FF" w14:textId="77777777" w:rsidTr="00387142">
        <w:trPr>
          <w:gridAfter w:val="2"/>
          <w:wAfter w:w="222" w:type="dxa"/>
          <w:trHeight w:val="315"/>
        </w:trPr>
        <w:tc>
          <w:tcPr>
            <w:tcW w:w="1985" w:type="dxa"/>
            <w:tcBorders>
              <w:top w:val="nil"/>
              <w:left w:val="nil"/>
              <w:bottom w:val="nil"/>
              <w:right w:val="nil"/>
            </w:tcBorders>
            <w:shd w:val="clear" w:color="auto" w:fill="auto"/>
            <w:noWrap/>
            <w:vAlign w:val="bottom"/>
            <w:hideMark/>
          </w:tcPr>
          <w:p w14:paraId="44D29855" w14:textId="77777777" w:rsidR="00387142" w:rsidRPr="008B6A75" w:rsidRDefault="00387142" w:rsidP="00387142">
            <w:pPr>
              <w:jc w:val="center"/>
              <w:rPr>
                <w:bCs/>
                <w:sz w:val="20"/>
                <w:szCs w:val="20"/>
              </w:rPr>
            </w:pPr>
          </w:p>
        </w:tc>
        <w:tc>
          <w:tcPr>
            <w:tcW w:w="2977" w:type="dxa"/>
            <w:tcBorders>
              <w:top w:val="nil"/>
              <w:left w:val="nil"/>
              <w:bottom w:val="nil"/>
              <w:right w:val="nil"/>
            </w:tcBorders>
            <w:shd w:val="clear" w:color="auto" w:fill="auto"/>
            <w:noWrap/>
            <w:vAlign w:val="bottom"/>
            <w:hideMark/>
          </w:tcPr>
          <w:p w14:paraId="5E2AD263" w14:textId="77777777" w:rsidR="00387142" w:rsidRPr="008B6A75" w:rsidRDefault="00387142" w:rsidP="00387142">
            <w:pPr>
              <w:rPr>
                <w:sz w:val="20"/>
                <w:szCs w:val="20"/>
              </w:rPr>
            </w:pPr>
          </w:p>
        </w:tc>
        <w:tc>
          <w:tcPr>
            <w:tcW w:w="1900" w:type="dxa"/>
            <w:tcBorders>
              <w:top w:val="nil"/>
              <w:left w:val="nil"/>
              <w:bottom w:val="nil"/>
              <w:right w:val="nil"/>
            </w:tcBorders>
            <w:shd w:val="clear" w:color="auto" w:fill="auto"/>
            <w:noWrap/>
            <w:vAlign w:val="bottom"/>
            <w:hideMark/>
          </w:tcPr>
          <w:p w14:paraId="2BD6142E" w14:textId="77777777" w:rsidR="00387142" w:rsidRPr="008B6A75" w:rsidRDefault="00387142" w:rsidP="00387142">
            <w:pPr>
              <w:rPr>
                <w:sz w:val="20"/>
                <w:szCs w:val="20"/>
              </w:rPr>
            </w:pPr>
          </w:p>
        </w:tc>
        <w:tc>
          <w:tcPr>
            <w:tcW w:w="1900" w:type="dxa"/>
            <w:tcBorders>
              <w:top w:val="nil"/>
              <w:left w:val="nil"/>
              <w:bottom w:val="nil"/>
              <w:right w:val="nil"/>
            </w:tcBorders>
            <w:shd w:val="clear" w:color="auto" w:fill="auto"/>
            <w:noWrap/>
            <w:vAlign w:val="bottom"/>
            <w:hideMark/>
          </w:tcPr>
          <w:p w14:paraId="4ED0F7FC" w14:textId="77777777" w:rsidR="00387142" w:rsidRPr="008B6A75" w:rsidRDefault="00387142" w:rsidP="00387142">
            <w:pPr>
              <w:jc w:val="right"/>
              <w:rPr>
                <w:sz w:val="20"/>
                <w:szCs w:val="20"/>
              </w:rPr>
            </w:pPr>
          </w:p>
        </w:tc>
        <w:tc>
          <w:tcPr>
            <w:tcW w:w="1900" w:type="dxa"/>
            <w:tcBorders>
              <w:top w:val="nil"/>
              <w:left w:val="nil"/>
              <w:bottom w:val="nil"/>
              <w:right w:val="nil"/>
            </w:tcBorders>
            <w:shd w:val="clear" w:color="auto" w:fill="auto"/>
            <w:noWrap/>
            <w:vAlign w:val="bottom"/>
            <w:hideMark/>
          </w:tcPr>
          <w:p w14:paraId="41C65F21" w14:textId="77777777" w:rsidR="00387142" w:rsidRPr="008B6A75" w:rsidRDefault="00387142" w:rsidP="00387142">
            <w:pPr>
              <w:rPr>
                <w:sz w:val="20"/>
                <w:szCs w:val="20"/>
              </w:rPr>
            </w:pPr>
          </w:p>
        </w:tc>
      </w:tr>
      <w:tr w:rsidR="00387142" w:rsidRPr="008B6A75" w14:paraId="03686C22" w14:textId="77777777" w:rsidTr="00387142">
        <w:trPr>
          <w:gridAfter w:val="2"/>
          <w:wAfter w:w="222" w:type="dxa"/>
          <w:trHeight w:val="408"/>
        </w:trPr>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F6F43C4" w14:textId="77777777" w:rsidR="00387142" w:rsidRPr="008B6A75" w:rsidRDefault="00387142" w:rsidP="00387142">
            <w:pPr>
              <w:ind w:left="-252"/>
              <w:jc w:val="center"/>
              <w:rPr>
                <w:sz w:val="20"/>
                <w:szCs w:val="20"/>
              </w:rPr>
            </w:pPr>
            <w:r w:rsidRPr="008B6A75">
              <w:rPr>
                <w:sz w:val="20"/>
                <w:szCs w:val="20"/>
              </w:rPr>
              <w:t xml:space="preserve">Код источника финансирования по КИВФ, </w:t>
            </w:r>
            <w:proofErr w:type="spellStart"/>
            <w:r w:rsidRPr="008B6A75">
              <w:rPr>
                <w:sz w:val="20"/>
                <w:szCs w:val="20"/>
              </w:rPr>
              <w:t>КИВнФ</w:t>
            </w:r>
            <w:proofErr w:type="spellEnd"/>
          </w:p>
        </w:tc>
        <w:tc>
          <w:tcPr>
            <w:tcW w:w="29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A877FDC" w14:textId="77777777" w:rsidR="00387142" w:rsidRPr="008B6A75" w:rsidRDefault="00387142" w:rsidP="00387142">
            <w:pPr>
              <w:jc w:val="center"/>
              <w:rPr>
                <w:sz w:val="20"/>
                <w:szCs w:val="20"/>
              </w:rPr>
            </w:pPr>
            <w:r w:rsidRPr="008B6A75">
              <w:rPr>
                <w:sz w:val="20"/>
                <w:szCs w:val="20"/>
              </w:rPr>
              <w:t xml:space="preserve"> Наименование показателя</w:t>
            </w:r>
          </w:p>
        </w:tc>
        <w:tc>
          <w:tcPr>
            <w:tcW w:w="5700"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7B40E399" w14:textId="77777777" w:rsidR="00387142" w:rsidRPr="008B6A75" w:rsidRDefault="00387142" w:rsidP="00387142">
            <w:pPr>
              <w:jc w:val="center"/>
              <w:rPr>
                <w:sz w:val="20"/>
                <w:szCs w:val="20"/>
              </w:rPr>
            </w:pPr>
            <w:r w:rsidRPr="008B6A75">
              <w:rPr>
                <w:sz w:val="20"/>
                <w:szCs w:val="20"/>
              </w:rPr>
              <w:t xml:space="preserve">сумма в рублях </w:t>
            </w:r>
          </w:p>
        </w:tc>
      </w:tr>
      <w:tr w:rsidR="00387142" w:rsidRPr="008B6A75" w14:paraId="766C3328" w14:textId="77777777" w:rsidTr="00387142">
        <w:trPr>
          <w:trHeight w:val="105"/>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5808F817" w14:textId="77777777" w:rsidR="00387142" w:rsidRPr="008B6A75" w:rsidRDefault="00387142" w:rsidP="00387142">
            <w:pPr>
              <w:rPr>
                <w:sz w:val="20"/>
                <w:szCs w:val="20"/>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6B227CD8" w14:textId="77777777" w:rsidR="00387142" w:rsidRPr="008B6A75" w:rsidRDefault="00387142" w:rsidP="00387142">
            <w:pPr>
              <w:rPr>
                <w:sz w:val="20"/>
                <w:szCs w:val="20"/>
              </w:rPr>
            </w:pPr>
          </w:p>
        </w:tc>
        <w:tc>
          <w:tcPr>
            <w:tcW w:w="5700" w:type="dxa"/>
            <w:gridSpan w:val="3"/>
            <w:vMerge/>
            <w:tcBorders>
              <w:top w:val="single" w:sz="4" w:space="0" w:color="auto"/>
              <w:left w:val="single" w:sz="4" w:space="0" w:color="auto"/>
              <w:bottom w:val="single" w:sz="4" w:space="0" w:color="000000"/>
              <w:right w:val="single" w:sz="4" w:space="0" w:color="000000"/>
            </w:tcBorders>
            <w:vAlign w:val="center"/>
            <w:hideMark/>
          </w:tcPr>
          <w:p w14:paraId="251C594A" w14:textId="77777777" w:rsidR="00387142" w:rsidRPr="008B6A75" w:rsidRDefault="00387142" w:rsidP="00387142">
            <w:pPr>
              <w:rPr>
                <w:sz w:val="20"/>
                <w:szCs w:val="20"/>
              </w:rPr>
            </w:pPr>
          </w:p>
        </w:tc>
        <w:tc>
          <w:tcPr>
            <w:tcW w:w="222" w:type="dxa"/>
            <w:gridSpan w:val="2"/>
            <w:tcBorders>
              <w:top w:val="nil"/>
              <w:left w:val="nil"/>
              <w:bottom w:val="nil"/>
              <w:right w:val="nil"/>
            </w:tcBorders>
            <w:shd w:val="clear" w:color="auto" w:fill="auto"/>
            <w:noWrap/>
            <w:vAlign w:val="bottom"/>
            <w:hideMark/>
          </w:tcPr>
          <w:p w14:paraId="4B9A383C" w14:textId="77777777" w:rsidR="00387142" w:rsidRPr="008B6A75" w:rsidRDefault="00387142" w:rsidP="00387142">
            <w:pPr>
              <w:jc w:val="center"/>
              <w:rPr>
                <w:sz w:val="20"/>
                <w:szCs w:val="20"/>
              </w:rPr>
            </w:pPr>
          </w:p>
        </w:tc>
      </w:tr>
      <w:tr w:rsidR="00387142" w:rsidRPr="008B6A75" w14:paraId="045C5BB7" w14:textId="77777777" w:rsidTr="00387142">
        <w:trPr>
          <w:trHeight w:val="90"/>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2FF36BCF" w14:textId="77777777" w:rsidR="00387142" w:rsidRPr="008B6A75" w:rsidRDefault="00387142" w:rsidP="00387142">
            <w:pPr>
              <w:rPr>
                <w:sz w:val="20"/>
                <w:szCs w:val="20"/>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287BBBCB" w14:textId="77777777" w:rsidR="00387142" w:rsidRPr="008B6A75" w:rsidRDefault="00387142" w:rsidP="00387142">
            <w:pPr>
              <w:rPr>
                <w:sz w:val="20"/>
                <w:szCs w:val="20"/>
              </w:rPr>
            </w:pPr>
          </w:p>
        </w:tc>
        <w:tc>
          <w:tcPr>
            <w:tcW w:w="5700" w:type="dxa"/>
            <w:gridSpan w:val="3"/>
            <w:vMerge/>
            <w:tcBorders>
              <w:top w:val="single" w:sz="4" w:space="0" w:color="auto"/>
              <w:left w:val="single" w:sz="4" w:space="0" w:color="auto"/>
              <w:bottom w:val="single" w:sz="4" w:space="0" w:color="000000"/>
              <w:right w:val="single" w:sz="4" w:space="0" w:color="000000"/>
            </w:tcBorders>
            <w:vAlign w:val="center"/>
            <w:hideMark/>
          </w:tcPr>
          <w:p w14:paraId="2DE01B30" w14:textId="77777777" w:rsidR="00387142" w:rsidRPr="008B6A75" w:rsidRDefault="00387142" w:rsidP="00387142">
            <w:pPr>
              <w:rPr>
                <w:sz w:val="20"/>
                <w:szCs w:val="20"/>
              </w:rPr>
            </w:pPr>
          </w:p>
        </w:tc>
        <w:tc>
          <w:tcPr>
            <w:tcW w:w="222" w:type="dxa"/>
            <w:gridSpan w:val="2"/>
            <w:tcBorders>
              <w:top w:val="nil"/>
              <w:left w:val="nil"/>
              <w:bottom w:val="nil"/>
              <w:right w:val="nil"/>
            </w:tcBorders>
            <w:shd w:val="clear" w:color="auto" w:fill="auto"/>
            <w:noWrap/>
            <w:vAlign w:val="bottom"/>
            <w:hideMark/>
          </w:tcPr>
          <w:p w14:paraId="097FBC02" w14:textId="77777777" w:rsidR="00387142" w:rsidRPr="008B6A75" w:rsidRDefault="00387142" w:rsidP="00387142">
            <w:pPr>
              <w:rPr>
                <w:sz w:val="20"/>
                <w:szCs w:val="20"/>
              </w:rPr>
            </w:pPr>
          </w:p>
        </w:tc>
      </w:tr>
      <w:tr w:rsidR="00387142" w:rsidRPr="008B6A75" w14:paraId="38CFAABA" w14:textId="77777777" w:rsidTr="00387142">
        <w:trPr>
          <w:trHeight w:val="285"/>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66373DCA" w14:textId="77777777" w:rsidR="00387142" w:rsidRPr="008B6A75" w:rsidRDefault="00387142" w:rsidP="00387142">
            <w:pPr>
              <w:rPr>
                <w:sz w:val="20"/>
                <w:szCs w:val="20"/>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704A6511" w14:textId="77777777" w:rsidR="00387142" w:rsidRPr="008B6A75" w:rsidRDefault="00387142" w:rsidP="00387142">
            <w:pPr>
              <w:rPr>
                <w:sz w:val="20"/>
                <w:szCs w:val="20"/>
              </w:rPr>
            </w:pPr>
          </w:p>
        </w:tc>
        <w:tc>
          <w:tcPr>
            <w:tcW w:w="5700" w:type="dxa"/>
            <w:gridSpan w:val="3"/>
            <w:vMerge/>
            <w:tcBorders>
              <w:top w:val="single" w:sz="4" w:space="0" w:color="auto"/>
              <w:left w:val="single" w:sz="4" w:space="0" w:color="auto"/>
              <w:bottom w:val="single" w:sz="4" w:space="0" w:color="000000"/>
              <w:right w:val="single" w:sz="4" w:space="0" w:color="000000"/>
            </w:tcBorders>
            <w:vAlign w:val="center"/>
            <w:hideMark/>
          </w:tcPr>
          <w:p w14:paraId="71143296" w14:textId="77777777" w:rsidR="00387142" w:rsidRPr="008B6A75" w:rsidRDefault="00387142" w:rsidP="00387142">
            <w:pPr>
              <w:rPr>
                <w:sz w:val="20"/>
                <w:szCs w:val="20"/>
              </w:rPr>
            </w:pPr>
          </w:p>
        </w:tc>
        <w:tc>
          <w:tcPr>
            <w:tcW w:w="222" w:type="dxa"/>
            <w:gridSpan w:val="2"/>
            <w:tcBorders>
              <w:top w:val="nil"/>
              <w:left w:val="nil"/>
              <w:bottom w:val="nil"/>
              <w:right w:val="nil"/>
            </w:tcBorders>
            <w:shd w:val="clear" w:color="auto" w:fill="auto"/>
            <w:noWrap/>
            <w:vAlign w:val="bottom"/>
            <w:hideMark/>
          </w:tcPr>
          <w:p w14:paraId="2EE5969C" w14:textId="77777777" w:rsidR="00387142" w:rsidRPr="008B6A75" w:rsidRDefault="00387142" w:rsidP="00387142">
            <w:pPr>
              <w:rPr>
                <w:sz w:val="20"/>
                <w:szCs w:val="20"/>
              </w:rPr>
            </w:pPr>
          </w:p>
        </w:tc>
      </w:tr>
      <w:tr w:rsidR="00387142" w:rsidRPr="008B6A75" w14:paraId="23B3E380" w14:textId="77777777" w:rsidTr="00387142">
        <w:trPr>
          <w:trHeight w:val="60"/>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11D56310" w14:textId="77777777" w:rsidR="00387142" w:rsidRPr="008B6A75" w:rsidRDefault="00387142" w:rsidP="00387142">
            <w:pPr>
              <w:rPr>
                <w:sz w:val="20"/>
                <w:szCs w:val="20"/>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424606D9" w14:textId="77777777" w:rsidR="00387142" w:rsidRPr="008B6A75" w:rsidRDefault="00387142" w:rsidP="00387142">
            <w:pPr>
              <w:rPr>
                <w:sz w:val="20"/>
                <w:szCs w:val="20"/>
              </w:rPr>
            </w:pPr>
          </w:p>
        </w:tc>
        <w:tc>
          <w:tcPr>
            <w:tcW w:w="5700" w:type="dxa"/>
            <w:gridSpan w:val="3"/>
            <w:vMerge/>
            <w:tcBorders>
              <w:top w:val="single" w:sz="4" w:space="0" w:color="auto"/>
              <w:left w:val="single" w:sz="4" w:space="0" w:color="auto"/>
              <w:bottom w:val="single" w:sz="4" w:space="0" w:color="000000"/>
              <w:right w:val="single" w:sz="4" w:space="0" w:color="000000"/>
            </w:tcBorders>
            <w:vAlign w:val="center"/>
            <w:hideMark/>
          </w:tcPr>
          <w:p w14:paraId="138188DA" w14:textId="77777777" w:rsidR="00387142" w:rsidRPr="008B6A75" w:rsidRDefault="00387142" w:rsidP="00387142">
            <w:pPr>
              <w:rPr>
                <w:sz w:val="20"/>
                <w:szCs w:val="20"/>
              </w:rPr>
            </w:pPr>
          </w:p>
        </w:tc>
        <w:tc>
          <w:tcPr>
            <w:tcW w:w="222" w:type="dxa"/>
            <w:gridSpan w:val="2"/>
            <w:tcBorders>
              <w:top w:val="nil"/>
              <w:left w:val="nil"/>
              <w:bottom w:val="nil"/>
              <w:right w:val="nil"/>
            </w:tcBorders>
            <w:shd w:val="clear" w:color="auto" w:fill="auto"/>
            <w:noWrap/>
            <w:vAlign w:val="bottom"/>
            <w:hideMark/>
          </w:tcPr>
          <w:p w14:paraId="6B6BDAC0" w14:textId="77777777" w:rsidR="00387142" w:rsidRPr="008B6A75" w:rsidRDefault="00387142" w:rsidP="00387142">
            <w:pPr>
              <w:rPr>
                <w:sz w:val="20"/>
                <w:szCs w:val="20"/>
              </w:rPr>
            </w:pPr>
          </w:p>
        </w:tc>
      </w:tr>
      <w:tr w:rsidR="00387142" w:rsidRPr="008B6A75" w14:paraId="691C072C" w14:textId="77777777" w:rsidTr="00387142">
        <w:trPr>
          <w:trHeight w:val="60"/>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472B60C5" w14:textId="77777777" w:rsidR="00387142" w:rsidRPr="008B6A75" w:rsidRDefault="00387142" w:rsidP="00387142">
            <w:pPr>
              <w:rPr>
                <w:sz w:val="20"/>
                <w:szCs w:val="20"/>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662C330A" w14:textId="77777777" w:rsidR="00387142" w:rsidRPr="008B6A75" w:rsidRDefault="00387142" w:rsidP="00387142">
            <w:pPr>
              <w:rPr>
                <w:sz w:val="20"/>
                <w:szCs w:val="20"/>
              </w:rPr>
            </w:pPr>
          </w:p>
        </w:tc>
        <w:tc>
          <w:tcPr>
            <w:tcW w:w="5700" w:type="dxa"/>
            <w:gridSpan w:val="3"/>
            <w:vMerge/>
            <w:tcBorders>
              <w:top w:val="single" w:sz="4" w:space="0" w:color="auto"/>
              <w:left w:val="single" w:sz="4" w:space="0" w:color="auto"/>
              <w:bottom w:val="single" w:sz="4" w:space="0" w:color="000000"/>
              <w:right w:val="single" w:sz="4" w:space="0" w:color="000000"/>
            </w:tcBorders>
            <w:vAlign w:val="center"/>
            <w:hideMark/>
          </w:tcPr>
          <w:p w14:paraId="48AEFFCB" w14:textId="77777777" w:rsidR="00387142" w:rsidRPr="008B6A75" w:rsidRDefault="00387142" w:rsidP="00387142">
            <w:pPr>
              <w:rPr>
                <w:sz w:val="20"/>
                <w:szCs w:val="20"/>
              </w:rPr>
            </w:pPr>
          </w:p>
        </w:tc>
        <w:tc>
          <w:tcPr>
            <w:tcW w:w="222" w:type="dxa"/>
            <w:gridSpan w:val="2"/>
            <w:tcBorders>
              <w:top w:val="nil"/>
              <w:left w:val="nil"/>
              <w:bottom w:val="nil"/>
              <w:right w:val="nil"/>
            </w:tcBorders>
            <w:shd w:val="clear" w:color="auto" w:fill="auto"/>
            <w:noWrap/>
            <w:vAlign w:val="bottom"/>
            <w:hideMark/>
          </w:tcPr>
          <w:p w14:paraId="7C97DD91" w14:textId="77777777" w:rsidR="00387142" w:rsidRPr="008B6A75" w:rsidRDefault="00387142" w:rsidP="00387142">
            <w:pPr>
              <w:rPr>
                <w:sz w:val="20"/>
                <w:szCs w:val="20"/>
              </w:rPr>
            </w:pPr>
          </w:p>
        </w:tc>
      </w:tr>
      <w:tr w:rsidR="00387142" w:rsidRPr="008B6A75" w14:paraId="06F71560" w14:textId="77777777" w:rsidTr="00387142">
        <w:trPr>
          <w:trHeight w:val="360"/>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734C1ACB" w14:textId="77777777" w:rsidR="00387142" w:rsidRPr="008B6A75" w:rsidRDefault="00387142" w:rsidP="00387142">
            <w:pPr>
              <w:rPr>
                <w:sz w:val="20"/>
                <w:szCs w:val="20"/>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49ACC898" w14:textId="77777777" w:rsidR="00387142" w:rsidRPr="008B6A75" w:rsidRDefault="00387142" w:rsidP="00387142">
            <w:pPr>
              <w:rPr>
                <w:sz w:val="20"/>
                <w:szCs w:val="20"/>
              </w:rPr>
            </w:pPr>
          </w:p>
        </w:tc>
        <w:tc>
          <w:tcPr>
            <w:tcW w:w="1900" w:type="dxa"/>
            <w:tcBorders>
              <w:top w:val="nil"/>
              <w:left w:val="nil"/>
              <w:bottom w:val="single" w:sz="4" w:space="0" w:color="auto"/>
              <w:right w:val="single" w:sz="4" w:space="0" w:color="auto"/>
            </w:tcBorders>
            <w:shd w:val="clear" w:color="auto" w:fill="auto"/>
            <w:noWrap/>
            <w:vAlign w:val="bottom"/>
            <w:hideMark/>
          </w:tcPr>
          <w:p w14:paraId="049849F6" w14:textId="77777777" w:rsidR="00387142" w:rsidRPr="008B6A75" w:rsidRDefault="00387142" w:rsidP="00387142">
            <w:pPr>
              <w:jc w:val="center"/>
              <w:rPr>
                <w:sz w:val="20"/>
                <w:szCs w:val="20"/>
              </w:rPr>
            </w:pPr>
            <w:r w:rsidRPr="008B6A75">
              <w:rPr>
                <w:sz w:val="20"/>
                <w:szCs w:val="20"/>
              </w:rPr>
              <w:t>2022 год</w:t>
            </w:r>
          </w:p>
        </w:tc>
        <w:tc>
          <w:tcPr>
            <w:tcW w:w="1900" w:type="dxa"/>
            <w:tcBorders>
              <w:top w:val="nil"/>
              <w:left w:val="nil"/>
              <w:bottom w:val="single" w:sz="4" w:space="0" w:color="auto"/>
              <w:right w:val="single" w:sz="4" w:space="0" w:color="auto"/>
            </w:tcBorders>
            <w:shd w:val="clear" w:color="auto" w:fill="auto"/>
            <w:vAlign w:val="center"/>
            <w:hideMark/>
          </w:tcPr>
          <w:p w14:paraId="615A1491" w14:textId="77777777" w:rsidR="00387142" w:rsidRPr="008B6A75" w:rsidRDefault="00387142" w:rsidP="00387142">
            <w:pPr>
              <w:jc w:val="center"/>
              <w:rPr>
                <w:sz w:val="20"/>
                <w:szCs w:val="20"/>
              </w:rPr>
            </w:pPr>
            <w:r w:rsidRPr="008B6A75">
              <w:rPr>
                <w:sz w:val="20"/>
                <w:szCs w:val="20"/>
              </w:rPr>
              <w:t>2023 год</w:t>
            </w:r>
          </w:p>
        </w:tc>
        <w:tc>
          <w:tcPr>
            <w:tcW w:w="1900" w:type="dxa"/>
            <w:tcBorders>
              <w:top w:val="nil"/>
              <w:left w:val="nil"/>
              <w:bottom w:val="single" w:sz="4" w:space="0" w:color="auto"/>
              <w:right w:val="single" w:sz="4" w:space="0" w:color="auto"/>
            </w:tcBorders>
            <w:shd w:val="clear" w:color="auto" w:fill="auto"/>
            <w:noWrap/>
            <w:vAlign w:val="bottom"/>
            <w:hideMark/>
          </w:tcPr>
          <w:p w14:paraId="57D3F357" w14:textId="77777777" w:rsidR="00387142" w:rsidRPr="008B6A75" w:rsidRDefault="00387142" w:rsidP="00387142">
            <w:pPr>
              <w:jc w:val="center"/>
              <w:rPr>
                <w:sz w:val="20"/>
                <w:szCs w:val="20"/>
              </w:rPr>
            </w:pPr>
            <w:r w:rsidRPr="008B6A75">
              <w:rPr>
                <w:sz w:val="20"/>
                <w:szCs w:val="20"/>
              </w:rPr>
              <w:t>2024 год</w:t>
            </w:r>
          </w:p>
        </w:tc>
        <w:tc>
          <w:tcPr>
            <w:tcW w:w="222" w:type="dxa"/>
            <w:gridSpan w:val="2"/>
            <w:vAlign w:val="center"/>
            <w:hideMark/>
          </w:tcPr>
          <w:p w14:paraId="792B2353" w14:textId="77777777" w:rsidR="00387142" w:rsidRPr="008B6A75" w:rsidRDefault="00387142" w:rsidP="00387142">
            <w:pPr>
              <w:rPr>
                <w:sz w:val="20"/>
                <w:szCs w:val="20"/>
              </w:rPr>
            </w:pPr>
          </w:p>
        </w:tc>
      </w:tr>
      <w:tr w:rsidR="00387142" w:rsidRPr="008B6A75" w14:paraId="0E3E1F7C" w14:textId="77777777" w:rsidTr="00387142">
        <w:trPr>
          <w:trHeight w:val="315"/>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4FFBBED8" w14:textId="77777777" w:rsidR="00387142" w:rsidRPr="008B6A75" w:rsidRDefault="00387142" w:rsidP="00387142">
            <w:pPr>
              <w:jc w:val="center"/>
              <w:rPr>
                <w:sz w:val="20"/>
                <w:szCs w:val="20"/>
              </w:rPr>
            </w:pPr>
            <w:r w:rsidRPr="008B6A75">
              <w:rPr>
                <w:sz w:val="20"/>
                <w:szCs w:val="20"/>
              </w:rPr>
              <w:t>1</w:t>
            </w:r>
          </w:p>
        </w:tc>
        <w:tc>
          <w:tcPr>
            <w:tcW w:w="2977" w:type="dxa"/>
            <w:tcBorders>
              <w:top w:val="nil"/>
              <w:left w:val="nil"/>
              <w:bottom w:val="single" w:sz="4" w:space="0" w:color="auto"/>
              <w:right w:val="single" w:sz="4" w:space="0" w:color="auto"/>
            </w:tcBorders>
            <w:shd w:val="clear" w:color="auto" w:fill="auto"/>
            <w:vAlign w:val="center"/>
            <w:hideMark/>
          </w:tcPr>
          <w:p w14:paraId="07D53C70" w14:textId="77777777" w:rsidR="00387142" w:rsidRPr="008B6A75" w:rsidRDefault="00387142" w:rsidP="00387142">
            <w:pPr>
              <w:jc w:val="center"/>
              <w:rPr>
                <w:sz w:val="20"/>
                <w:szCs w:val="20"/>
              </w:rPr>
            </w:pPr>
            <w:r w:rsidRPr="008B6A75">
              <w:rPr>
                <w:sz w:val="20"/>
                <w:szCs w:val="20"/>
              </w:rPr>
              <w:t>2</w:t>
            </w:r>
          </w:p>
        </w:tc>
        <w:tc>
          <w:tcPr>
            <w:tcW w:w="1900" w:type="dxa"/>
            <w:tcBorders>
              <w:top w:val="nil"/>
              <w:left w:val="nil"/>
              <w:bottom w:val="single" w:sz="4" w:space="0" w:color="auto"/>
              <w:right w:val="single" w:sz="4" w:space="0" w:color="auto"/>
            </w:tcBorders>
            <w:shd w:val="clear" w:color="auto" w:fill="auto"/>
            <w:vAlign w:val="center"/>
            <w:hideMark/>
          </w:tcPr>
          <w:p w14:paraId="1A7C519B" w14:textId="77777777" w:rsidR="00387142" w:rsidRPr="008B6A75" w:rsidRDefault="00387142" w:rsidP="00387142">
            <w:pPr>
              <w:jc w:val="center"/>
              <w:rPr>
                <w:sz w:val="20"/>
                <w:szCs w:val="20"/>
              </w:rPr>
            </w:pPr>
            <w:r w:rsidRPr="008B6A75">
              <w:rPr>
                <w:sz w:val="20"/>
                <w:szCs w:val="20"/>
              </w:rPr>
              <w:t>3</w:t>
            </w:r>
          </w:p>
        </w:tc>
        <w:tc>
          <w:tcPr>
            <w:tcW w:w="1900" w:type="dxa"/>
            <w:tcBorders>
              <w:top w:val="nil"/>
              <w:left w:val="nil"/>
              <w:bottom w:val="single" w:sz="4" w:space="0" w:color="auto"/>
              <w:right w:val="single" w:sz="4" w:space="0" w:color="auto"/>
            </w:tcBorders>
            <w:shd w:val="clear" w:color="auto" w:fill="auto"/>
            <w:vAlign w:val="center"/>
            <w:hideMark/>
          </w:tcPr>
          <w:p w14:paraId="2E5374A3" w14:textId="77777777" w:rsidR="00387142" w:rsidRPr="008B6A75" w:rsidRDefault="00387142" w:rsidP="00387142">
            <w:pPr>
              <w:jc w:val="center"/>
              <w:rPr>
                <w:sz w:val="20"/>
                <w:szCs w:val="20"/>
              </w:rPr>
            </w:pPr>
            <w:r w:rsidRPr="008B6A75">
              <w:rPr>
                <w:sz w:val="20"/>
                <w:szCs w:val="20"/>
              </w:rPr>
              <w:t>4</w:t>
            </w:r>
          </w:p>
        </w:tc>
        <w:tc>
          <w:tcPr>
            <w:tcW w:w="1900" w:type="dxa"/>
            <w:tcBorders>
              <w:top w:val="nil"/>
              <w:left w:val="nil"/>
              <w:bottom w:val="single" w:sz="4" w:space="0" w:color="auto"/>
              <w:right w:val="single" w:sz="4" w:space="0" w:color="auto"/>
            </w:tcBorders>
            <w:shd w:val="clear" w:color="auto" w:fill="auto"/>
            <w:vAlign w:val="center"/>
            <w:hideMark/>
          </w:tcPr>
          <w:p w14:paraId="52AE5613" w14:textId="77777777" w:rsidR="00387142" w:rsidRPr="008B6A75" w:rsidRDefault="00387142" w:rsidP="00387142">
            <w:pPr>
              <w:jc w:val="center"/>
              <w:rPr>
                <w:sz w:val="20"/>
                <w:szCs w:val="20"/>
              </w:rPr>
            </w:pPr>
            <w:r w:rsidRPr="008B6A75">
              <w:rPr>
                <w:sz w:val="20"/>
                <w:szCs w:val="20"/>
              </w:rPr>
              <w:t>5</w:t>
            </w:r>
          </w:p>
        </w:tc>
        <w:tc>
          <w:tcPr>
            <w:tcW w:w="222" w:type="dxa"/>
            <w:gridSpan w:val="2"/>
            <w:vAlign w:val="center"/>
            <w:hideMark/>
          </w:tcPr>
          <w:p w14:paraId="0528EDF9" w14:textId="77777777" w:rsidR="00387142" w:rsidRPr="008B6A75" w:rsidRDefault="00387142" w:rsidP="00387142">
            <w:pPr>
              <w:rPr>
                <w:sz w:val="20"/>
                <w:szCs w:val="20"/>
              </w:rPr>
            </w:pPr>
          </w:p>
        </w:tc>
      </w:tr>
      <w:tr w:rsidR="00387142" w:rsidRPr="008B6A75" w14:paraId="5FC76C54" w14:textId="77777777" w:rsidTr="00387142">
        <w:trPr>
          <w:trHeight w:val="63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004A8A1A" w14:textId="77777777" w:rsidR="00387142" w:rsidRPr="008B6A75" w:rsidRDefault="00387142" w:rsidP="00387142">
            <w:pPr>
              <w:jc w:val="right"/>
              <w:rPr>
                <w:sz w:val="20"/>
                <w:szCs w:val="20"/>
              </w:rPr>
            </w:pPr>
            <w:r w:rsidRPr="008B6A75">
              <w:rPr>
                <w:sz w:val="20"/>
                <w:szCs w:val="20"/>
              </w:rPr>
              <w:t>444 01 00 00 00 00 0000 000</w:t>
            </w:r>
          </w:p>
        </w:tc>
        <w:tc>
          <w:tcPr>
            <w:tcW w:w="2977" w:type="dxa"/>
            <w:tcBorders>
              <w:top w:val="nil"/>
              <w:left w:val="nil"/>
              <w:bottom w:val="single" w:sz="4" w:space="0" w:color="auto"/>
              <w:right w:val="single" w:sz="4" w:space="0" w:color="auto"/>
            </w:tcBorders>
            <w:shd w:val="clear" w:color="auto" w:fill="auto"/>
            <w:vAlign w:val="center"/>
            <w:hideMark/>
          </w:tcPr>
          <w:p w14:paraId="46A0C7CF" w14:textId="77777777" w:rsidR="00387142" w:rsidRPr="008B6A75" w:rsidRDefault="00387142" w:rsidP="00387142">
            <w:pPr>
              <w:rPr>
                <w:sz w:val="20"/>
                <w:szCs w:val="20"/>
              </w:rPr>
            </w:pPr>
            <w:r w:rsidRPr="008B6A75">
              <w:rPr>
                <w:sz w:val="20"/>
                <w:szCs w:val="20"/>
              </w:rPr>
              <w:t>ИСТОЧНИКИ ВНУТРЕННЕГО ФИНАНСИРОВАНИЯ ДЕФИЦИТОВ БЮДЖЕТОВ</w:t>
            </w:r>
          </w:p>
        </w:tc>
        <w:tc>
          <w:tcPr>
            <w:tcW w:w="1900" w:type="dxa"/>
            <w:tcBorders>
              <w:top w:val="nil"/>
              <w:left w:val="nil"/>
              <w:bottom w:val="single" w:sz="4" w:space="0" w:color="auto"/>
              <w:right w:val="single" w:sz="4" w:space="0" w:color="auto"/>
            </w:tcBorders>
            <w:shd w:val="clear" w:color="auto" w:fill="auto"/>
            <w:vAlign w:val="center"/>
            <w:hideMark/>
          </w:tcPr>
          <w:p w14:paraId="211E2B2A" w14:textId="77777777" w:rsidR="00387142" w:rsidRPr="008B6A75" w:rsidRDefault="00387142" w:rsidP="00387142">
            <w:pPr>
              <w:jc w:val="right"/>
              <w:rPr>
                <w:sz w:val="20"/>
                <w:szCs w:val="20"/>
              </w:rPr>
            </w:pPr>
            <w:r w:rsidRPr="008B6A75">
              <w:rPr>
                <w:sz w:val="20"/>
                <w:szCs w:val="20"/>
              </w:rPr>
              <w:t>73 792 596,69</w:t>
            </w:r>
          </w:p>
        </w:tc>
        <w:tc>
          <w:tcPr>
            <w:tcW w:w="1900" w:type="dxa"/>
            <w:tcBorders>
              <w:top w:val="nil"/>
              <w:left w:val="nil"/>
              <w:bottom w:val="single" w:sz="4" w:space="0" w:color="auto"/>
              <w:right w:val="single" w:sz="4" w:space="0" w:color="auto"/>
            </w:tcBorders>
            <w:shd w:val="clear" w:color="auto" w:fill="auto"/>
            <w:vAlign w:val="center"/>
            <w:hideMark/>
          </w:tcPr>
          <w:p w14:paraId="1D6ABFC1" w14:textId="77777777" w:rsidR="00387142" w:rsidRPr="008B6A75" w:rsidRDefault="00387142" w:rsidP="00387142">
            <w:pPr>
              <w:jc w:val="right"/>
              <w:rPr>
                <w:sz w:val="20"/>
                <w:szCs w:val="20"/>
              </w:rPr>
            </w:pPr>
            <w:r w:rsidRPr="008B6A75">
              <w:rPr>
                <w:sz w:val="20"/>
                <w:szCs w:val="20"/>
              </w:rPr>
              <w:t>0,00</w:t>
            </w:r>
          </w:p>
        </w:tc>
        <w:tc>
          <w:tcPr>
            <w:tcW w:w="1900" w:type="dxa"/>
            <w:tcBorders>
              <w:top w:val="nil"/>
              <w:left w:val="nil"/>
              <w:bottom w:val="single" w:sz="4" w:space="0" w:color="auto"/>
              <w:right w:val="single" w:sz="4" w:space="0" w:color="auto"/>
            </w:tcBorders>
            <w:shd w:val="clear" w:color="auto" w:fill="auto"/>
            <w:vAlign w:val="center"/>
            <w:hideMark/>
          </w:tcPr>
          <w:p w14:paraId="234B0C42" w14:textId="77777777" w:rsidR="00387142" w:rsidRPr="008B6A75" w:rsidRDefault="00387142" w:rsidP="00387142">
            <w:pPr>
              <w:jc w:val="right"/>
              <w:rPr>
                <w:sz w:val="20"/>
                <w:szCs w:val="20"/>
              </w:rPr>
            </w:pPr>
            <w:r w:rsidRPr="008B6A75">
              <w:rPr>
                <w:sz w:val="20"/>
                <w:szCs w:val="20"/>
              </w:rPr>
              <w:t>0,00</w:t>
            </w:r>
          </w:p>
        </w:tc>
        <w:tc>
          <w:tcPr>
            <w:tcW w:w="222" w:type="dxa"/>
            <w:gridSpan w:val="2"/>
            <w:vAlign w:val="center"/>
            <w:hideMark/>
          </w:tcPr>
          <w:p w14:paraId="1121FBD9" w14:textId="77777777" w:rsidR="00387142" w:rsidRPr="008B6A75" w:rsidRDefault="00387142" w:rsidP="00387142">
            <w:pPr>
              <w:rPr>
                <w:sz w:val="20"/>
                <w:szCs w:val="20"/>
              </w:rPr>
            </w:pPr>
          </w:p>
        </w:tc>
      </w:tr>
      <w:tr w:rsidR="00387142" w:rsidRPr="008B6A75" w14:paraId="2A6338C2" w14:textId="77777777" w:rsidTr="00387142">
        <w:trPr>
          <w:trHeight w:val="945"/>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0093AAB6" w14:textId="77777777" w:rsidR="00387142" w:rsidRPr="008B6A75" w:rsidRDefault="00387142" w:rsidP="00387142">
            <w:pPr>
              <w:jc w:val="right"/>
              <w:rPr>
                <w:sz w:val="20"/>
                <w:szCs w:val="20"/>
              </w:rPr>
            </w:pPr>
            <w:r w:rsidRPr="008B6A75">
              <w:rPr>
                <w:sz w:val="20"/>
                <w:szCs w:val="20"/>
              </w:rPr>
              <w:t>444 01 02 00 00 00 0000 000</w:t>
            </w:r>
          </w:p>
        </w:tc>
        <w:tc>
          <w:tcPr>
            <w:tcW w:w="2977" w:type="dxa"/>
            <w:tcBorders>
              <w:top w:val="nil"/>
              <w:left w:val="nil"/>
              <w:bottom w:val="single" w:sz="4" w:space="0" w:color="auto"/>
              <w:right w:val="single" w:sz="4" w:space="0" w:color="auto"/>
            </w:tcBorders>
            <w:shd w:val="clear" w:color="auto" w:fill="auto"/>
            <w:vAlign w:val="center"/>
            <w:hideMark/>
          </w:tcPr>
          <w:p w14:paraId="3C08B393" w14:textId="77777777" w:rsidR="00387142" w:rsidRPr="008B6A75" w:rsidRDefault="00387142" w:rsidP="00387142">
            <w:pPr>
              <w:rPr>
                <w:sz w:val="20"/>
                <w:szCs w:val="20"/>
              </w:rPr>
            </w:pPr>
            <w:r w:rsidRPr="008B6A75">
              <w:rPr>
                <w:sz w:val="20"/>
                <w:szCs w:val="20"/>
              </w:rPr>
              <w:t>Кредиты кредитных организаций в валюте Российской Федерации</w:t>
            </w:r>
          </w:p>
        </w:tc>
        <w:tc>
          <w:tcPr>
            <w:tcW w:w="1900" w:type="dxa"/>
            <w:tcBorders>
              <w:top w:val="nil"/>
              <w:left w:val="nil"/>
              <w:bottom w:val="single" w:sz="4" w:space="0" w:color="auto"/>
              <w:right w:val="single" w:sz="4" w:space="0" w:color="auto"/>
            </w:tcBorders>
            <w:shd w:val="clear" w:color="auto" w:fill="auto"/>
            <w:vAlign w:val="center"/>
            <w:hideMark/>
          </w:tcPr>
          <w:p w14:paraId="34DDF5BB" w14:textId="77777777" w:rsidR="00387142" w:rsidRPr="008B6A75" w:rsidRDefault="00387142" w:rsidP="00387142">
            <w:pPr>
              <w:jc w:val="right"/>
              <w:rPr>
                <w:sz w:val="20"/>
                <w:szCs w:val="20"/>
              </w:rPr>
            </w:pPr>
            <w:r w:rsidRPr="008B6A75">
              <w:rPr>
                <w:sz w:val="20"/>
                <w:szCs w:val="20"/>
              </w:rPr>
              <w:t>0,00</w:t>
            </w:r>
          </w:p>
        </w:tc>
        <w:tc>
          <w:tcPr>
            <w:tcW w:w="1900" w:type="dxa"/>
            <w:tcBorders>
              <w:top w:val="nil"/>
              <w:left w:val="nil"/>
              <w:bottom w:val="single" w:sz="4" w:space="0" w:color="auto"/>
              <w:right w:val="single" w:sz="4" w:space="0" w:color="auto"/>
            </w:tcBorders>
            <w:shd w:val="clear" w:color="auto" w:fill="auto"/>
            <w:vAlign w:val="center"/>
            <w:hideMark/>
          </w:tcPr>
          <w:p w14:paraId="4228D861" w14:textId="77777777" w:rsidR="00387142" w:rsidRPr="008B6A75" w:rsidRDefault="00387142" w:rsidP="00387142">
            <w:pPr>
              <w:jc w:val="right"/>
              <w:rPr>
                <w:sz w:val="20"/>
                <w:szCs w:val="20"/>
              </w:rPr>
            </w:pPr>
            <w:r w:rsidRPr="008B6A75">
              <w:rPr>
                <w:sz w:val="20"/>
                <w:szCs w:val="20"/>
              </w:rPr>
              <w:t>0,00</w:t>
            </w:r>
          </w:p>
        </w:tc>
        <w:tc>
          <w:tcPr>
            <w:tcW w:w="1900" w:type="dxa"/>
            <w:tcBorders>
              <w:top w:val="nil"/>
              <w:left w:val="nil"/>
              <w:bottom w:val="single" w:sz="4" w:space="0" w:color="auto"/>
              <w:right w:val="single" w:sz="4" w:space="0" w:color="auto"/>
            </w:tcBorders>
            <w:shd w:val="clear" w:color="auto" w:fill="auto"/>
            <w:vAlign w:val="center"/>
            <w:hideMark/>
          </w:tcPr>
          <w:p w14:paraId="3401EC16" w14:textId="77777777" w:rsidR="00387142" w:rsidRPr="008B6A75" w:rsidRDefault="00387142" w:rsidP="00387142">
            <w:pPr>
              <w:jc w:val="right"/>
              <w:rPr>
                <w:sz w:val="20"/>
                <w:szCs w:val="20"/>
              </w:rPr>
            </w:pPr>
            <w:r w:rsidRPr="008B6A75">
              <w:rPr>
                <w:sz w:val="20"/>
                <w:szCs w:val="20"/>
              </w:rPr>
              <w:t>0,00</w:t>
            </w:r>
          </w:p>
        </w:tc>
        <w:tc>
          <w:tcPr>
            <w:tcW w:w="222" w:type="dxa"/>
            <w:gridSpan w:val="2"/>
            <w:vAlign w:val="center"/>
            <w:hideMark/>
          </w:tcPr>
          <w:p w14:paraId="48CAE295" w14:textId="77777777" w:rsidR="00387142" w:rsidRPr="008B6A75" w:rsidRDefault="00387142" w:rsidP="00387142">
            <w:pPr>
              <w:rPr>
                <w:sz w:val="20"/>
                <w:szCs w:val="20"/>
              </w:rPr>
            </w:pPr>
          </w:p>
        </w:tc>
      </w:tr>
      <w:tr w:rsidR="00387142" w:rsidRPr="008B6A75" w14:paraId="644D79DE" w14:textId="77777777" w:rsidTr="00387142">
        <w:trPr>
          <w:trHeight w:val="945"/>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3B854105" w14:textId="77777777" w:rsidR="00387142" w:rsidRPr="008B6A75" w:rsidRDefault="00387142" w:rsidP="00387142">
            <w:pPr>
              <w:jc w:val="right"/>
              <w:rPr>
                <w:sz w:val="20"/>
                <w:szCs w:val="20"/>
              </w:rPr>
            </w:pPr>
            <w:r w:rsidRPr="008B6A75">
              <w:rPr>
                <w:sz w:val="20"/>
                <w:szCs w:val="20"/>
              </w:rPr>
              <w:t>444 01 02 00 00 00 0000 700</w:t>
            </w:r>
          </w:p>
        </w:tc>
        <w:tc>
          <w:tcPr>
            <w:tcW w:w="2977" w:type="dxa"/>
            <w:tcBorders>
              <w:top w:val="nil"/>
              <w:left w:val="nil"/>
              <w:bottom w:val="single" w:sz="4" w:space="0" w:color="auto"/>
              <w:right w:val="single" w:sz="4" w:space="0" w:color="auto"/>
            </w:tcBorders>
            <w:shd w:val="clear" w:color="auto" w:fill="auto"/>
            <w:vAlign w:val="center"/>
            <w:hideMark/>
          </w:tcPr>
          <w:p w14:paraId="021C2ECB" w14:textId="77777777" w:rsidR="00387142" w:rsidRPr="008B6A75" w:rsidRDefault="00387142" w:rsidP="00387142">
            <w:pPr>
              <w:rPr>
                <w:sz w:val="20"/>
                <w:szCs w:val="20"/>
              </w:rPr>
            </w:pPr>
            <w:r w:rsidRPr="008B6A75">
              <w:rPr>
                <w:sz w:val="20"/>
                <w:szCs w:val="20"/>
              </w:rPr>
              <w:t>Получение кредитов от кредитных организаций в валюте Российской Федерации</w:t>
            </w:r>
          </w:p>
        </w:tc>
        <w:tc>
          <w:tcPr>
            <w:tcW w:w="1900" w:type="dxa"/>
            <w:tcBorders>
              <w:top w:val="nil"/>
              <w:left w:val="nil"/>
              <w:bottom w:val="single" w:sz="4" w:space="0" w:color="auto"/>
              <w:right w:val="single" w:sz="4" w:space="0" w:color="auto"/>
            </w:tcBorders>
            <w:shd w:val="clear" w:color="auto" w:fill="auto"/>
            <w:vAlign w:val="center"/>
            <w:hideMark/>
          </w:tcPr>
          <w:p w14:paraId="0E3BCA49" w14:textId="77777777" w:rsidR="00387142" w:rsidRPr="008B6A75" w:rsidRDefault="00387142" w:rsidP="00387142">
            <w:pPr>
              <w:jc w:val="right"/>
              <w:rPr>
                <w:sz w:val="20"/>
                <w:szCs w:val="20"/>
              </w:rPr>
            </w:pPr>
            <w:r w:rsidRPr="008B6A75">
              <w:rPr>
                <w:sz w:val="20"/>
                <w:szCs w:val="20"/>
              </w:rPr>
              <w:t>0,00</w:t>
            </w:r>
          </w:p>
        </w:tc>
        <w:tc>
          <w:tcPr>
            <w:tcW w:w="1900" w:type="dxa"/>
            <w:tcBorders>
              <w:top w:val="nil"/>
              <w:left w:val="nil"/>
              <w:bottom w:val="single" w:sz="4" w:space="0" w:color="auto"/>
              <w:right w:val="single" w:sz="4" w:space="0" w:color="auto"/>
            </w:tcBorders>
            <w:shd w:val="clear" w:color="auto" w:fill="auto"/>
            <w:vAlign w:val="center"/>
            <w:hideMark/>
          </w:tcPr>
          <w:p w14:paraId="26CC1044" w14:textId="77777777" w:rsidR="00387142" w:rsidRPr="008B6A75" w:rsidRDefault="00387142" w:rsidP="00387142">
            <w:pPr>
              <w:jc w:val="right"/>
              <w:rPr>
                <w:sz w:val="20"/>
                <w:szCs w:val="20"/>
              </w:rPr>
            </w:pPr>
            <w:r w:rsidRPr="008B6A75">
              <w:rPr>
                <w:sz w:val="20"/>
                <w:szCs w:val="20"/>
              </w:rPr>
              <w:t>0,00</w:t>
            </w:r>
          </w:p>
        </w:tc>
        <w:tc>
          <w:tcPr>
            <w:tcW w:w="1900" w:type="dxa"/>
            <w:tcBorders>
              <w:top w:val="nil"/>
              <w:left w:val="nil"/>
              <w:bottom w:val="single" w:sz="4" w:space="0" w:color="auto"/>
              <w:right w:val="single" w:sz="4" w:space="0" w:color="auto"/>
            </w:tcBorders>
            <w:shd w:val="clear" w:color="auto" w:fill="auto"/>
            <w:vAlign w:val="center"/>
            <w:hideMark/>
          </w:tcPr>
          <w:p w14:paraId="7D98BE97" w14:textId="77777777" w:rsidR="00387142" w:rsidRPr="008B6A75" w:rsidRDefault="00387142" w:rsidP="00387142">
            <w:pPr>
              <w:jc w:val="right"/>
              <w:rPr>
                <w:sz w:val="20"/>
                <w:szCs w:val="20"/>
              </w:rPr>
            </w:pPr>
            <w:r w:rsidRPr="008B6A75">
              <w:rPr>
                <w:sz w:val="20"/>
                <w:szCs w:val="20"/>
              </w:rPr>
              <w:t>0,00</w:t>
            </w:r>
          </w:p>
        </w:tc>
        <w:tc>
          <w:tcPr>
            <w:tcW w:w="222" w:type="dxa"/>
            <w:gridSpan w:val="2"/>
            <w:vAlign w:val="center"/>
            <w:hideMark/>
          </w:tcPr>
          <w:p w14:paraId="67D4A868" w14:textId="77777777" w:rsidR="00387142" w:rsidRPr="008B6A75" w:rsidRDefault="00387142" w:rsidP="00387142">
            <w:pPr>
              <w:rPr>
                <w:sz w:val="20"/>
                <w:szCs w:val="20"/>
              </w:rPr>
            </w:pPr>
          </w:p>
        </w:tc>
      </w:tr>
      <w:tr w:rsidR="00387142" w:rsidRPr="008B6A75" w14:paraId="0E8B5225" w14:textId="77777777" w:rsidTr="00387142">
        <w:trPr>
          <w:trHeight w:val="126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0B491C8F" w14:textId="77777777" w:rsidR="00387142" w:rsidRPr="008B6A75" w:rsidRDefault="00387142" w:rsidP="00387142">
            <w:pPr>
              <w:jc w:val="right"/>
              <w:rPr>
                <w:sz w:val="20"/>
                <w:szCs w:val="20"/>
              </w:rPr>
            </w:pPr>
            <w:r w:rsidRPr="008B6A75">
              <w:rPr>
                <w:sz w:val="20"/>
                <w:szCs w:val="20"/>
              </w:rPr>
              <w:t>444 01 02 00 00 05 0000 710</w:t>
            </w:r>
          </w:p>
        </w:tc>
        <w:tc>
          <w:tcPr>
            <w:tcW w:w="2977" w:type="dxa"/>
            <w:tcBorders>
              <w:top w:val="nil"/>
              <w:left w:val="nil"/>
              <w:bottom w:val="single" w:sz="4" w:space="0" w:color="auto"/>
              <w:right w:val="single" w:sz="4" w:space="0" w:color="auto"/>
            </w:tcBorders>
            <w:shd w:val="clear" w:color="auto" w:fill="auto"/>
            <w:vAlign w:val="center"/>
            <w:hideMark/>
          </w:tcPr>
          <w:p w14:paraId="0ED94470" w14:textId="77777777" w:rsidR="00387142" w:rsidRPr="008B6A75" w:rsidRDefault="00387142" w:rsidP="00387142">
            <w:pPr>
              <w:rPr>
                <w:sz w:val="20"/>
                <w:szCs w:val="20"/>
              </w:rPr>
            </w:pPr>
            <w:r w:rsidRPr="008B6A75">
              <w:rPr>
                <w:sz w:val="20"/>
                <w:szCs w:val="20"/>
              </w:rPr>
              <w:t>Получение кредитов от кредитных организаций бюджетами муниципальных районов в валюте Российской Федерации</w:t>
            </w:r>
          </w:p>
        </w:tc>
        <w:tc>
          <w:tcPr>
            <w:tcW w:w="1900" w:type="dxa"/>
            <w:tcBorders>
              <w:top w:val="nil"/>
              <w:left w:val="nil"/>
              <w:bottom w:val="single" w:sz="4" w:space="0" w:color="auto"/>
              <w:right w:val="single" w:sz="4" w:space="0" w:color="auto"/>
            </w:tcBorders>
            <w:shd w:val="clear" w:color="auto" w:fill="auto"/>
            <w:vAlign w:val="center"/>
            <w:hideMark/>
          </w:tcPr>
          <w:p w14:paraId="40232FCA" w14:textId="77777777" w:rsidR="00387142" w:rsidRPr="008B6A75" w:rsidRDefault="00387142" w:rsidP="00387142">
            <w:pPr>
              <w:jc w:val="right"/>
              <w:rPr>
                <w:sz w:val="20"/>
                <w:szCs w:val="20"/>
              </w:rPr>
            </w:pPr>
            <w:r w:rsidRPr="008B6A75">
              <w:rPr>
                <w:sz w:val="20"/>
                <w:szCs w:val="20"/>
              </w:rPr>
              <w:t>0,00</w:t>
            </w:r>
          </w:p>
        </w:tc>
        <w:tc>
          <w:tcPr>
            <w:tcW w:w="1900" w:type="dxa"/>
            <w:tcBorders>
              <w:top w:val="nil"/>
              <w:left w:val="nil"/>
              <w:bottom w:val="single" w:sz="4" w:space="0" w:color="auto"/>
              <w:right w:val="single" w:sz="4" w:space="0" w:color="auto"/>
            </w:tcBorders>
            <w:shd w:val="clear" w:color="auto" w:fill="auto"/>
            <w:vAlign w:val="center"/>
            <w:hideMark/>
          </w:tcPr>
          <w:p w14:paraId="20ED2D94" w14:textId="77777777" w:rsidR="00387142" w:rsidRPr="008B6A75" w:rsidRDefault="00387142" w:rsidP="00387142">
            <w:pPr>
              <w:jc w:val="right"/>
              <w:rPr>
                <w:sz w:val="20"/>
                <w:szCs w:val="20"/>
              </w:rPr>
            </w:pPr>
            <w:r w:rsidRPr="008B6A75">
              <w:rPr>
                <w:sz w:val="20"/>
                <w:szCs w:val="20"/>
              </w:rPr>
              <w:t> </w:t>
            </w:r>
          </w:p>
        </w:tc>
        <w:tc>
          <w:tcPr>
            <w:tcW w:w="1900" w:type="dxa"/>
            <w:tcBorders>
              <w:top w:val="nil"/>
              <w:left w:val="nil"/>
              <w:bottom w:val="single" w:sz="4" w:space="0" w:color="auto"/>
              <w:right w:val="single" w:sz="4" w:space="0" w:color="auto"/>
            </w:tcBorders>
            <w:shd w:val="clear" w:color="auto" w:fill="auto"/>
            <w:vAlign w:val="center"/>
            <w:hideMark/>
          </w:tcPr>
          <w:p w14:paraId="45FA4E66" w14:textId="77777777" w:rsidR="00387142" w:rsidRPr="008B6A75" w:rsidRDefault="00387142" w:rsidP="00387142">
            <w:pPr>
              <w:jc w:val="right"/>
              <w:rPr>
                <w:sz w:val="20"/>
                <w:szCs w:val="20"/>
              </w:rPr>
            </w:pPr>
            <w:r w:rsidRPr="008B6A75">
              <w:rPr>
                <w:sz w:val="20"/>
                <w:szCs w:val="20"/>
              </w:rPr>
              <w:t>0,00</w:t>
            </w:r>
          </w:p>
        </w:tc>
        <w:tc>
          <w:tcPr>
            <w:tcW w:w="222" w:type="dxa"/>
            <w:gridSpan w:val="2"/>
            <w:vAlign w:val="center"/>
            <w:hideMark/>
          </w:tcPr>
          <w:p w14:paraId="2E9E6B68" w14:textId="77777777" w:rsidR="00387142" w:rsidRPr="008B6A75" w:rsidRDefault="00387142" w:rsidP="00387142">
            <w:pPr>
              <w:rPr>
                <w:sz w:val="20"/>
                <w:szCs w:val="20"/>
              </w:rPr>
            </w:pPr>
          </w:p>
        </w:tc>
      </w:tr>
      <w:tr w:rsidR="00387142" w:rsidRPr="008B6A75" w14:paraId="170170D6" w14:textId="77777777" w:rsidTr="00387142">
        <w:trPr>
          <w:trHeight w:val="84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11DB155C" w14:textId="77777777" w:rsidR="00387142" w:rsidRPr="008B6A75" w:rsidRDefault="00387142" w:rsidP="00387142">
            <w:pPr>
              <w:jc w:val="right"/>
              <w:rPr>
                <w:sz w:val="20"/>
                <w:szCs w:val="20"/>
              </w:rPr>
            </w:pPr>
            <w:r w:rsidRPr="008B6A75">
              <w:rPr>
                <w:sz w:val="20"/>
                <w:szCs w:val="20"/>
              </w:rPr>
              <w:t>444 01 02 00 00 00 0000 800</w:t>
            </w:r>
          </w:p>
        </w:tc>
        <w:tc>
          <w:tcPr>
            <w:tcW w:w="2977" w:type="dxa"/>
            <w:tcBorders>
              <w:top w:val="nil"/>
              <w:left w:val="nil"/>
              <w:bottom w:val="single" w:sz="4" w:space="0" w:color="auto"/>
              <w:right w:val="single" w:sz="4" w:space="0" w:color="auto"/>
            </w:tcBorders>
            <w:shd w:val="clear" w:color="auto" w:fill="auto"/>
            <w:vAlign w:val="center"/>
            <w:hideMark/>
          </w:tcPr>
          <w:p w14:paraId="1CCF1B94" w14:textId="77777777" w:rsidR="00387142" w:rsidRPr="008B6A75" w:rsidRDefault="00387142" w:rsidP="00387142">
            <w:pPr>
              <w:rPr>
                <w:sz w:val="20"/>
                <w:szCs w:val="20"/>
              </w:rPr>
            </w:pPr>
            <w:r w:rsidRPr="008B6A75">
              <w:rPr>
                <w:sz w:val="20"/>
                <w:szCs w:val="20"/>
              </w:rPr>
              <w:t>Погашение кредитов, предоставленных кредитными организациями в валюте Российской Федерации</w:t>
            </w:r>
          </w:p>
        </w:tc>
        <w:tc>
          <w:tcPr>
            <w:tcW w:w="1900" w:type="dxa"/>
            <w:tcBorders>
              <w:top w:val="nil"/>
              <w:left w:val="nil"/>
              <w:bottom w:val="single" w:sz="4" w:space="0" w:color="auto"/>
              <w:right w:val="single" w:sz="4" w:space="0" w:color="auto"/>
            </w:tcBorders>
            <w:shd w:val="clear" w:color="auto" w:fill="auto"/>
            <w:vAlign w:val="center"/>
            <w:hideMark/>
          </w:tcPr>
          <w:p w14:paraId="5061B63C" w14:textId="77777777" w:rsidR="00387142" w:rsidRPr="008B6A75" w:rsidRDefault="00387142" w:rsidP="00387142">
            <w:pPr>
              <w:jc w:val="right"/>
              <w:rPr>
                <w:sz w:val="20"/>
                <w:szCs w:val="20"/>
              </w:rPr>
            </w:pPr>
            <w:r w:rsidRPr="008B6A75">
              <w:rPr>
                <w:sz w:val="20"/>
                <w:szCs w:val="20"/>
              </w:rPr>
              <w:t>0,00</w:t>
            </w:r>
          </w:p>
        </w:tc>
        <w:tc>
          <w:tcPr>
            <w:tcW w:w="1900" w:type="dxa"/>
            <w:tcBorders>
              <w:top w:val="nil"/>
              <w:left w:val="nil"/>
              <w:bottom w:val="single" w:sz="4" w:space="0" w:color="auto"/>
              <w:right w:val="single" w:sz="4" w:space="0" w:color="auto"/>
            </w:tcBorders>
            <w:shd w:val="clear" w:color="auto" w:fill="auto"/>
            <w:vAlign w:val="center"/>
            <w:hideMark/>
          </w:tcPr>
          <w:p w14:paraId="4F9901D9" w14:textId="77777777" w:rsidR="00387142" w:rsidRPr="008B6A75" w:rsidRDefault="00387142" w:rsidP="00387142">
            <w:pPr>
              <w:jc w:val="right"/>
              <w:rPr>
                <w:sz w:val="20"/>
                <w:szCs w:val="20"/>
              </w:rPr>
            </w:pPr>
            <w:r w:rsidRPr="008B6A75">
              <w:rPr>
                <w:sz w:val="20"/>
                <w:szCs w:val="20"/>
              </w:rPr>
              <w:t>0,00</w:t>
            </w:r>
          </w:p>
        </w:tc>
        <w:tc>
          <w:tcPr>
            <w:tcW w:w="1900" w:type="dxa"/>
            <w:tcBorders>
              <w:top w:val="nil"/>
              <w:left w:val="nil"/>
              <w:bottom w:val="single" w:sz="4" w:space="0" w:color="auto"/>
              <w:right w:val="single" w:sz="4" w:space="0" w:color="auto"/>
            </w:tcBorders>
            <w:shd w:val="clear" w:color="auto" w:fill="auto"/>
            <w:vAlign w:val="center"/>
            <w:hideMark/>
          </w:tcPr>
          <w:p w14:paraId="3BE8CACF" w14:textId="77777777" w:rsidR="00387142" w:rsidRPr="008B6A75" w:rsidRDefault="00387142" w:rsidP="00387142">
            <w:pPr>
              <w:jc w:val="right"/>
              <w:rPr>
                <w:sz w:val="20"/>
                <w:szCs w:val="20"/>
              </w:rPr>
            </w:pPr>
            <w:r w:rsidRPr="008B6A75">
              <w:rPr>
                <w:sz w:val="20"/>
                <w:szCs w:val="20"/>
              </w:rPr>
              <w:t>0,00</w:t>
            </w:r>
          </w:p>
        </w:tc>
        <w:tc>
          <w:tcPr>
            <w:tcW w:w="222" w:type="dxa"/>
            <w:gridSpan w:val="2"/>
            <w:vAlign w:val="center"/>
            <w:hideMark/>
          </w:tcPr>
          <w:p w14:paraId="6CB92D08" w14:textId="77777777" w:rsidR="00387142" w:rsidRPr="008B6A75" w:rsidRDefault="00387142" w:rsidP="00387142">
            <w:pPr>
              <w:rPr>
                <w:sz w:val="20"/>
                <w:szCs w:val="20"/>
              </w:rPr>
            </w:pPr>
          </w:p>
        </w:tc>
      </w:tr>
      <w:tr w:rsidR="00387142" w:rsidRPr="008B6A75" w14:paraId="02182FDA" w14:textId="77777777" w:rsidTr="00387142">
        <w:trPr>
          <w:trHeight w:val="945"/>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2D528EFF" w14:textId="77777777" w:rsidR="00387142" w:rsidRPr="008B6A75" w:rsidRDefault="00387142" w:rsidP="00387142">
            <w:pPr>
              <w:jc w:val="right"/>
              <w:rPr>
                <w:sz w:val="20"/>
                <w:szCs w:val="20"/>
              </w:rPr>
            </w:pPr>
            <w:r w:rsidRPr="008B6A75">
              <w:rPr>
                <w:sz w:val="20"/>
                <w:szCs w:val="20"/>
              </w:rPr>
              <w:t>444 01 02 00 00 05 0000 810</w:t>
            </w:r>
          </w:p>
        </w:tc>
        <w:tc>
          <w:tcPr>
            <w:tcW w:w="2977" w:type="dxa"/>
            <w:tcBorders>
              <w:top w:val="nil"/>
              <w:left w:val="nil"/>
              <w:bottom w:val="single" w:sz="4" w:space="0" w:color="auto"/>
              <w:right w:val="single" w:sz="4" w:space="0" w:color="auto"/>
            </w:tcBorders>
            <w:shd w:val="clear" w:color="auto" w:fill="auto"/>
            <w:vAlign w:val="center"/>
            <w:hideMark/>
          </w:tcPr>
          <w:p w14:paraId="53448A87" w14:textId="77777777" w:rsidR="00387142" w:rsidRPr="008B6A75" w:rsidRDefault="00387142" w:rsidP="00387142">
            <w:pPr>
              <w:rPr>
                <w:sz w:val="20"/>
                <w:szCs w:val="20"/>
              </w:rPr>
            </w:pPr>
            <w:r w:rsidRPr="008B6A75">
              <w:rPr>
                <w:sz w:val="20"/>
                <w:szCs w:val="20"/>
              </w:rPr>
              <w:t>Погашение бюджетами муниципальных районов кредитов от кредитных организаций в валюте Российской Федерации</w:t>
            </w:r>
          </w:p>
        </w:tc>
        <w:tc>
          <w:tcPr>
            <w:tcW w:w="1900" w:type="dxa"/>
            <w:tcBorders>
              <w:top w:val="nil"/>
              <w:left w:val="nil"/>
              <w:bottom w:val="single" w:sz="4" w:space="0" w:color="auto"/>
              <w:right w:val="single" w:sz="4" w:space="0" w:color="auto"/>
            </w:tcBorders>
            <w:shd w:val="clear" w:color="auto" w:fill="auto"/>
            <w:vAlign w:val="center"/>
            <w:hideMark/>
          </w:tcPr>
          <w:p w14:paraId="0783383C" w14:textId="77777777" w:rsidR="00387142" w:rsidRPr="008B6A75" w:rsidRDefault="00387142" w:rsidP="00387142">
            <w:pPr>
              <w:jc w:val="right"/>
              <w:rPr>
                <w:sz w:val="20"/>
                <w:szCs w:val="20"/>
              </w:rPr>
            </w:pPr>
            <w:r w:rsidRPr="008B6A75">
              <w:rPr>
                <w:sz w:val="20"/>
                <w:szCs w:val="20"/>
              </w:rPr>
              <w:t> </w:t>
            </w:r>
          </w:p>
        </w:tc>
        <w:tc>
          <w:tcPr>
            <w:tcW w:w="1900" w:type="dxa"/>
            <w:tcBorders>
              <w:top w:val="nil"/>
              <w:left w:val="nil"/>
              <w:bottom w:val="single" w:sz="4" w:space="0" w:color="auto"/>
              <w:right w:val="single" w:sz="4" w:space="0" w:color="auto"/>
            </w:tcBorders>
            <w:shd w:val="clear" w:color="auto" w:fill="auto"/>
            <w:vAlign w:val="center"/>
            <w:hideMark/>
          </w:tcPr>
          <w:p w14:paraId="50110B72" w14:textId="77777777" w:rsidR="00387142" w:rsidRPr="008B6A75" w:rsidRDefault="00387142" w:rsidP="00387142">
            <w:pPr>
              <w:jc w:val="right"/>
              <w:rPr>
                <w:sz w:val="20"/>
                <w:szCs w:val="20"/>
              </w:rPr>
            </w:pPr>
            <w:r w:rsidRPr="008B6A75">
              <w:rPr>
                <w:sz w:val="20"/>
                <w:szCs w:val="20"/>
              </w:rPr>
              <w:t>0,00</w:t>
            </w:r>
          </w:p>
        </w:tc>
        <w:tc>
          <w:tcPr>
            <w:tcW w:w="1900" w:type="dxa"/>
            <w:tcBorders>
              <w:top w:val="nil"/>
              <w:left w:val="nil"/>
              <w:bottom w:val="single" w:sz="4" w:space="0" w:color="auto"/>
              <w:right w:val="single" w:sz="4" w:space="0" w:color="auto"/>
            </w:tcBorders>
            <w:shd w:val="clear" w:color="auto" w:fill="auto"/>
            <w:vAlign w:val="center"/>
            <w:hideMark/>
          </w:tcPr>
          <w:p w14:paraId="38F0F05A" w14:textId="77777777" w:rsidR="00387142" w:rsidRPr="008B6A75" w:rsidRDefault="00387142" w:rsidP="00387142">
            <w:pPr>
              <w:jc w:val="right"/>
              <w:rPr>
                <w:sz w:val="20"/>
                <w:szCs w:val="20"/>
              </w:rPr>
            </w:pPr>
            <w:r w:rsidRPr="008B6A75">
              <w:rPr>
                <w:sz w:val="20"/>
                <w:szCs w:val="20"/>
              </w:rPr>
              <w:t> </w:t>
            </w:r>
          </w:p>
        </w:tc>
        <w:tc>
          <w:tcPr>
            <w:tcW w:w="222" w:type="dxa"/>
            <w:gridSpan w:val="2"/>
            <w:vAlign w:val="center"/>
            <w:hideMark/>
          </w:tcPr>
          <w:p w14:paraId="0E4181AB" w14:textId="77777777" w:rsidR="00387142" w:rsidRPr="008B6A75" w:rsidRDefault="00387142" w:rsidP="00387142">
            <w:pPr>
              <w:rPr>
                <w:sz w:val="20"/>
                <w:szCs w:val="20"/>
              </w:rPr>
            </w:pPr>
          </w:p>
        </w:tc>
      </w:tr>
      <w:tr w:rsidR="00387142" w:rsidRPr="008B6A75" w14:paraId="4EB0E602" w14:textId="77777777" w:rsidTr="00387142">
        <w:trPr>
          <w:trHeight w:val="945"/>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74F0708B" w14:textId="77777777" w:rsidR="00387142" w:rsidRPr="008B6A75" w:rsidRDefault="00387142" w:rsidP="00387142">
            <w:pPr>
              <w:jc w:val="right"/>
              <w:rPr>
                <w:sz w:val="20"/>
                <w:szCs w:val="20"/>
              </w:rPr>
            </w:pPr>
            <w:r w:rsidRPr="008B6A75">
              <w:rPr>
                <w:sz w:val="20"/>
                <w:szCs w:val="20"/>
              </w:rPr>
              <w:t>444 01 05 00 00 00 0000 000</w:t>
            </w:r>
          </w:p>
        </w:tc>
        <w:tc>
          <w:tcPr>
            <w:tcW w:w="2977" w:type="dxa"/>
            <w:tcBorders>
              <w:top w:val="nil"/>
              <w:left w:val="nil"/>
              <w:bottom w:val="single" w:sz="4" w:space="0" w:color="auto"/>
              <w:right w:val="single" w:sz="4" w:space="0" w:color="auto"/>
            </w:tcBorders>
            <w:shd w:val="clear" w:color="auto" w:fill="auto"/>
            <w:vAlign w:val="center"/>
            <w:hideMark/>
          </w:tcPr>
          <w:p w14:paraId="471A8719" w14:textId="77777777" w:rsidR="00387142" w:rsidRPr="008B6A75" w:rsidRDefault="00387142" w:rsidP="00387142">
            <w:pPr>
              <w:rPr>
                <w:sz w:val="20"/>
                <w:szCs w:val="20"/>
              </w:rPr>
            </w:pPr>
            <w:r w:rsidRPr="008B6A75">
              <w:rPr>
                <w:sz w:val="20"/>
                <w:szCs w:val="20"/>
              </w:rPr>
              <w:t>Изменение остатков средств на счетах по учету средств бюджетов</w:t>
            </w:r>
          </w:p>
        </w:tc>
        <w:tc>
          <w:tcPr>
            <w:tcW w:w="1900" w:type="dxa"/>
            <w:tcBorders>
              <w:top w:val="nil"/>
              <w:left w:val="nil"/>
              <w:bottom w:val="single" w:sz="4" w:space="0" w:color="auto"/>
              <w:right w:val="single" w:sz="4" w:space="0" w:color="auto"/>
            </w:tcBorders>
            <w:shd w:val="clear" w:color="auto" w:fill="auto"/>
            <w:vAlign w:val="center"/>
            <w:hideMark/>
          </w:tcPr>
          <w:p w14:paraId="5FBDAB90" w14:textId="77777777" w:rsidR="00387142" w:rsidRPr="008B6A75" w:rsidRDefault="00387142" w:rsidP="00387142">
            <w:pPr>
              <w:jc w:val="right"/>
              <w:rPr>
                <w:sz w:val="20"/>
                <w:szCs w:val="20"/>
              </w:rPr>
            </w:pPr>
            <w:r w:rsidRPr="008B6A75">
              <w:rPr>
                <w:sz w:val="20"/>
                <w:szCs w:val="20"/>
              </w:rPr>
              <w:t>73 792 596,69</w:t>
            </w:r>
          </w:p>
        </w:tc>
        <w:tc>
          <w:tcPr>
            <w:tcW w:w="1900" w:type="dxa"/>
            <w:tcBorders>
              <w:top w:val="nil"/>
              <w:left w:val="nil"/>
              <w:bottom w:val="single" w:sz="4" w:space="0" w:color="auto"/>
              <w:right w:val="single" w:sz="4" w:space="0" w:color="auto"/>
            </w:tcBorders>
            <w:shd w:val="clear" w:color="auto" w:fill="auto"/>
            <w:vAlign w:val="center"/>
            <w:hideMark/>
          </w:tcPr>
          <w:p w14:paraId="0A6B9938" w14:textId="77777777" w:rsidR="00387142" w:rsidRPr="008B6A75" w:rsidRDefault="00387142" w:rsidP="00387142">
            <w:pPr>
              <w:jc w:val="right"/>
              <w:rPr>
                <w:sz w:val="20"/>
                <w:szCs w:val="20"/>
              </w:rPr>
            </w:pPr>
            <w:r w:rsidRPr="008B6A75">
              <w:rPr>
                <w:sz w:val="20"/>
                <w:szCs w:val="20"/>
              </w:rPr>
              <w:t>0,00</w:t>
            </w:r>
          </w:p>
        </w:tc>
        <w:tc>
          <w:tcPr>
            <w:tcW w:w="1900" w:type="dxa"/>
            <w:tcBorders>
              <w:top w:val="nil"/>
              <w:left w:val="nil"/>
              <w:bottom w:val="single" w:sz="4" w:space="0" w:color="auto"/>
              <w:right w:val="single" w:sz="4" w:space="0" w:color="auto"/>
            </w:tcBorders>
            <w:shd w:val="clear" w:color="auto" w:fill="auto"/>
            <w:vAlign w:val="center"/>
            <w:hideMark/>
          </w:tcPr>
          <w:p w14:paraId="5CE1AE04" w14:textId="77777777" w:rsidR="00387142" w:rsidRPr="008B6A75" w:rsidRDefault="00387142" w:rsidP="00387142">
            <w:pPr>
              <w:jc w:val="right"/>
              <w:rPr>
                <w:sz w:val="20"/>
                <w:szCs w:val="20"/>
              </w:rPr>
            </w:pPr>
            <w:r w:rsidRPr="008B6A75">
              <w:rPr>
                <w:sz w:val="20"/>
                <w:szCs w:val="20"/>
              </w:rPr>
              <w:t>0,00</w:t>
            </w:r>
          </w:p>
        </w:tc>
        <w:tc>
          <w:tcPr>
            <w:tcW w:w="222" w:type="dxa"/>
            <w:gridSpan w:val="2"/>
            <w:vAlign w:val="center"/>
            <w:hideMark/>
          </w:tcPr>
          <w:p w14:paraId="58DDC3E4" w14:textId="77777777" w:rsidR="00387142" w:rsidRPr="008B6A75" w:rsidRDefault="00387142" w:rsidP="00387142">
            <w:pPr>
              <w:rPr>
                <w:sz w:val="20"/>
                <w:szCs w:val="20"/>
              </w:rPr>
            </w:pPr>
          </w:p>
        </w:tc>
      </w:tr>
      <w:tr w:rsidR="00387142" w:rsidRPr="008B6A75" w14:paraId="17D2E610" w14:textId="77777777" w:rsidTr="00387142">
        <w:trPr>
          <w:trHeight w:val="63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7374AEF1" w14:textId="77777777" w:rsidR="00387142" w:rsidRPr="008B6A75" w:rsidRDefault="00387142" w:rsidP="00387142">
            <w:pPr>
              <w:jc w:val="right"/>
              <w:rPr>
                <w:sz w:val="20"/>
                <w:szCs w:val="20"/>
              </w:rPr>
            </w:pPr>
            <w:r w:rsidRPr="008B6A75">
              <w:rPr>
                <w:sz w:val="20"/>
                <w:szCs w:val="20"/>
              </w:rPr>
              <w:t>444 01 05 00 00 00 0000 500</w:t>
            </w:r>
          </w:p>
        </w:tc>
        <w:tc>
          <w:tcPr>
            <w:tcW w:w="2977" w:type="dxa"/>
            <w:tcBorders>
              <w:top w:val="nil"/>
              <w:left w:val="nil"/>
              <w:bottom w:val="single" w:sz="4" w:space="0" w:color="auto"/>
              <w:right w:val="single" w:sz="4" w:space="0" w:color="auto"/>
            </w:tcBorders>
            <w:shd w:val="clear" w:color="auto" w:fill="auto"/>
            <w:vAlign w:val="center"/>
            <w:hideMark/>
          </w:tcPr>
          <w:p w14:paraId="5E685A0C" w14:textId="77777777" w:rsidR="00387142" w:rsidRPr="008B6A75" w:rsidRDefault="00387142" w:rsidP="00387142">
            <w:pPr>
              <w:rPr>
                <w:sz w:val="20"/>
                <w:szCs w:val="20"/>
              </w:rPr>
            </w:pPr>
            <w:r w:rsidRPr="008B6A75">
              <w:rPr>
                <w:sz w:val="20"/>
                <w:szCs w:val="20"/>
              </w:rPr>
              <w:t>Увеличение остатков средств бюджетов</w:t>
            </w:r>
          </w:p>
        </w:tc>
        <w:tc>
          <w:tcPr>
            <w:tcW w:w="1900" w:type="dxa"/>
            <w:tcBorders>
              <w:top w:val="nil"/>
              <w:left w:val="nil"/>
              <w:bottom w:val="single" w:sz="4" w:space="0" w:color="auto"/>
              <w:right w:val="single" w:sz="4" w:space="0" w:color="auto"/>
            </w:tcBorders>
            <w:shd w:val="clear" w:color="auto" w:fill="auto"/>
            <w:vAlign w:val="center"/>
            <w:hideMark/>
          </w:tcPr>
          <w:p w14:paraId="645359FF" w14:textId="77777777" w:rsidR="00387142" w:rsidRPr="008B6A75" w:rsidRDefault="00387142" w:rsidP="00387142">
            <w:pPr>
              <w:jc w:val="right"/>
              <w:rPr>
                <w:sz w:val="20"/>
                <w:szCs w:val="20"/>
              </w:rPr>
            </w:pPr>
            <w:r w:rsidRPr="008B6A75">
              <w:rPr>
                <w:sz w:val="20"/>
                <w:szCs w:val="20"/>
              </w:rPr>
              <w:t>-2 854 295 578,63</w:t>
            </w:r>
          </w:p>
        </w:tc>
        <w:tc>
          <w:tcPr>
            <w:tcW w:w="1900" w:type="dxa"/>
            <w:tcBorders>
              <w:top w:val="nil"/>
              <w:left w:val="nil"/>
              <w:bottom w:val="single" w:sz="4" w:space="0" w:color="auto"/>
              <w:right w:val="single" w:sz="4" w:space="0" w:color="auto"/>
            </w:tcBorders>
            <w:shd w:val="clear" w:color="auto" w:fill="auto"/>
            <w:vAlign w:val="center"/>
            <w:hideMark/>
          </w:tcPr>
          <w:p w14:paraId="6CB06B18" w14:textId="77777777" w:rsidR="00387142" w:rsidRPr="008B6A75" w:rsidRDefault="00387142" w:rsidP="00387142">
            <w:pPr>
              <w:jc w:val="right"/>
              <w:rPr>
                <w:sz w:val="20"/>
                <w:szCs w:val="20"/>
              </w:rPr>
            </w:pPr>
            <w:r w:rsidRPr="008B6A75">
              <w:rPr>
                <w:sz w:val="20"/>
                <w:szCs w:val="20"/>
              </w:rPr>
              <w:t>-1 950 517 508,60</w:t>
            </w:r>
          </w:p>
        </w:tc>
        <w:tc>
          <w:tcPr>
            <w:tcW w:w="1900" w:type="dxa"/>
            <w:tcBorders>
              <w:top w:val="nil"/>
              <w:left w:val="nil"/>
              <w:bottom w:val="single" w:sz="4" w:space="0" w:color="auto"/>
              <w:right w:val="single" w:sz="4" w:space="0" w:color="auto"/>
            </w:tcBorders>
            <w:shd w:val="clear" w:color="auto" w:fill="auto"/>
            <w:vAlign w:val="center"/>
            <w:hideMark/>
          </w:tcPr>
          <w:p w14:paraId="4709614B" w14:textId="77777777" w:rsidR="00387142" w:rsidRPr="008B6A75" w:rsidRDefault="00387142" w:rsidP="00387142">
            <w:pPr>
              <w:jc w:val="right"/>
              <w:rPr>
                <w:sz w:val="20"/>
                <w:szCs w:val="20"/>
              </w:rPr>
            </w:pPr>
            <w:r w:rsidRPr="008B6A75">
              <w:rPr>
                <w:sz w:val="20"/>
                <w:szCs w:val="20"/>
              </w:rPr>
              <w:t>-1 844 646 600,06</w:t>
            </w:r>
          </w:p>
        </w:tc>
        <w:tc>
          <w:tcPr>
            <w:tcW w:w="222" w:type="dxa"/>
            <w:gridSpan w:val="2"/>
            <w:vAlign w:val="center"/>
            <w:hideMark/>
          </w:tcPr>
          <w:p w14:paraId="4DE65189" w14:textId="77777777" w:rsidR="00387142" w:rsidRPr="008B6A75" w:rsidRDefault="00387142" w:rsidP="00387142">
            <w:pPr>
              <w:rPr>
                <w:sz w:val="20"/>
                <w:szCs w:val="20"/>
              </w:rPr>
            </w:pPr>
          </w:p>
        </w:tc>
      </w:tr>
      <w:tr w:rsidR="00387142" w:rsidRPr="008B6A75" w14:paraId="6C27B122" w14:textId="77777777" w:rsidTr="00387142">
        <w:trPr>
          <w:trHeight w:val="63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10D0BFDE" w14:textId="77777777" w:rsidR="00387142" w:rsidRPr="008B6A75" w:rsidRDefault="00387142" w:rsidP="00387142">
            <w:pPr>
              <w:jc w:val="right"/>
              <w:rPr>
                <w:sz w:val="20"/>
                <w:szCs w:val="20"/>
              </w:rPr>
            </w:pPr>
            <w:r w:rsidRPr="008B6A75">
              <w:rPr>
                <w:sz w:val="20"/>
                <w:szCs w:val="20"/>
              </w:rPr>
              <w:t>444 01 05 02 00 00 0000 500</w:t>
            </w:r>
          </w:p>
        </w:tc>
        <w:tc>
          <w:tcPr>
            <w:tcW w:w="2977" w:type="dxa"/>
            <w:tcBorders>
              <w:top w:val="nil"/>
              <w:left w:val="nil"/>
              <w:bottom w:val="single" w:sz="4" w:space="0" w:color="auto"/>
              <w:right w:val="single" w:sz="4" w:space="0" w:color="auto"/>
            </w:tcBorders>
            <w:shd w:val="clear" w:color="auto" w:fill="auto"/>
            <w:vAlign w:val="center"/>
            <w:hideMark/>
          </w:tcPr>
          <w:p w14:paraId="335D6923" w14:textId="77777777" w:rsidR="00387142" w:rsidRPr="008B6A75" w:rsidRDefault="00387142" w:rsidP="00387142">
            <w:pPr>
              <w:rPr>
                <w:sz w:val="20"/>
                <w:szCs w:val="20"/>
              </w:rPr>
            </w:pPr>
            <w:r w:rsidRPr="008B6A75">
              <w:rPr>
                <w:sz w:val="20"/>
                <w:szCs w:val="20"/>
              </w:rPr>
              <w:t>Увеличение прочих остатков средств бюджетов</w:t>
            </w:r>
          </w:p>
        </w:tc>
        <w:tc>
          <w:tcPr>
            <w:tcW w:w="1900" w:type="dxa"/>
            <w:tcBorders>
              <w:top w:val="nil"/>
              <w:left w:val="nil"/>
              <w:bottom w:val="single" w:sz="4" w:space="0" w:color="auto"/>
              <w:right w:val="single" w:sz="4" w:space="0" w:color="auto"/>
            </w:tcBorders>
            <w:shd w:val="clear" w:color="auto" w:fill="auto"/>
            <w:vAlign w:val="center"/>
            <w:hideMark/>
          </w:tcPr>
          <w:p w14:paraId="2197341D" w14:textId="77777777" w:rsidR="00387142" w:rsidRPr="008B6A75" w:rsidRDefault="00387142" w:rsidP="00387142">
            <w:pPr>
              <w:jc w:val="right"/>
              <w:rPr>
                <w:sz w:val="20"/>
                <w:szCs w:val="20"/>
              </w:rPr>
            </w:pPr>
            <w:r w:rsidRPr="008B6A75">
              <w:rPr>
                <w:sz w:val="20"/>
                <w:szCs w:val="20"/>
              </w:rPr>
              <w:t>-2 854 295 578,63</w:t>
            </w:r>
          </w:p>
        </w:tc>
        <w:tc>
          <w:tcPr>
            <w:tcW w:w="1900" w:type="dxa"/>
            <w:tcBorders>
              <w:top w:val="nil"/>
              <w:left w:val="nil"/>
              <w:bottom w:val="single" w:sz="4" w:space="0" w:color="auto"/>
              <w:right w:val="single" w:sz="4" w:space="0" w:color="auto"/>
            </w:tcBorders>
            <w:shd w:val="clear" w:color="auto" w:fill="auto"/>
            <w:vAlign w:val="center"/>
            <w:hideMark/>
          </w:tcPr>
          <w:p w14:paraId="40B7128E" w14:textId="77777777" w:rsidR="00387142" w:rsidRPr="008B6A75" w:rsidRDefault="00387142" w:rsidP="00387142">
            <w:pPr>
              <w:jc w:val="right"/>
              <w:rPr>
                <w:sz w:val="20"/>
                <w:szCs w:val="20"/>
              </w:rPr>
            </w:pPr>
            <w:r w:rsidRPr="008B6A75">
              <w:rPr>
                <w:sz w:val="20"/>
                <w:szCs w:val="20"/>
              </w:rPr>
              <w:t>-1 950 517 508,60</w:t>
            </w:r>
          </w:p>
        </w:tc>
        <w:tc>
          <w:tcPr>
            <w:tcW w:w="1900" w:type="dxa"/>
            <w:tcBorders>
              <w:top w:val="nil"/>
              <w:left w:val="nil"/>
              <w:bottom w:val="single" w:sz="4" w:space="0" w:color="auto"/>
              <w:right w:val="single" w:sz="4" w:space="0" w:color="auto"/>
            </w:tcBorders>
            <w:shd w:val="clear" w:color="auto" w:fill="auto"/>
            <w:vAlign w:val="center"/>
            <w:hideMark/>
          </w:tcPr>
          <w:p w14:paraId="4A4F9924" w14:textId="77777777" w:rsidR="00387142" w:rsidRPr="008B6A75" w:rsidRDefault="00387142" w:rsidP="00387142">
            <w:pPr>
              <w:jc w:val="right"/>
              <w:rPr>
                <w:sz w:val="20"/>
                <w:szCs w:val="20"/>
              </w:rPr>
            </w:pPr>
            <w:r w:rsidRPr="008B6A75">
              <w:rPr>
                <w:sz w:val="20"/>
                <w:szCs w:val="20"/>
              </w:rPr>
              <w:t>-1 844 646 600,06</w:t>
            </w:r>
          </w:p>
        </w:tc>
        <w:tc>
          <w:tcPr>
            <w:tcW w:w="222" w:type="dxa"/>
            <w:gridSpan w:val="2"/>
            <w:vAlign w:val="center"/>
            <w:hideMark/>
          </w:tcPr>
          <w:p w14:paraId="6AB2E5D3" w14:textId="77777777" w:rsidR="00387142" w:rsidRPr="008B6A75" w:rsidRDefault="00387142" w:rsidP="00387142">
            <w:pPr>
              <w:rPr>
                <w:sz w:val="20"/>
                <w:szCs w:val="20"/>
              </w:rPr>
            </w:pPr>
          </w:p>
        </w:tc>
      </w:tr>
      <w:tr w:rsidR="00387142" w:rsidRPr="008B6A75" w14:paraId="4BBDDCE6" w14:textId="77777777" w:rsidTr="00387142">
        <w:trPr>
          <w:trHeight w:val="945"/>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49C34B41" w14:textId="77777777" w:rsidR="00387142" w:rsidRPr="008B6A75" w:rsidRDefault="00387142" w:rsidP="00387142">
            <w:pPr>
              <w:jc w:val="right"/>
              <w:rPr>
                <w:sz w:val="20"/>
                <w:szCs w:val="20"/>
              </w:rPr>
            </w:pPr>
            <w:r w:rsidRPr="008B6A75">
              <w:rPr>
                <w:sz w:val="20"/>
                <w:szCs w:val="20"/>
              </w:rPr>
              <w:t>444 01 05 02 01 00 0000 510</w:t>
            </w:r>
          </w:p>
        </w:tc>
        <w:tc>
          <w:tcPr>
            <w:tcW w:w="2977" w:type="dxa"/>
            <w:tcBorders>
              <w:top w:val="nil"/>
              <w:left w:val="nil"/>
              <w:bottom w:val="single" w:sz="4" w:space="0" w:color="auto"/>
              <w:right w:val="single" w:sz="4" w:space="0" w:color="auto"/>
            </w:tcBorders>
            <w:shd w:val="clear" w:color="auto" w:fill="auto"/>
            <w:vAlign w:val="center"/>
            <w:hideMark/>
          </w:tcPr>
          <w:p w14:paraId="642AD7A6" w14:textId="77777777" w:rsidR="00387142" w:rsidRPr="008B6A75" w:rsidRDefault="00387142" w:rsidP="00387142">
            <w:pPr>
              <w:rPr>
                <w:sz w:val="20"/>
                <w:szCs w:val="20"/>
              </w:rPr>
            </w:pPr>
            <w:r w:rsidRPr="008B6A75">
              <w:rPr>
                <w:sz w:val="20"/>
                <w:szCs w:val="20"/>
              </w:rPr>
              <w:t>Увеличение прочих остатков денежных средств бюджетов</w:t>
            </w:r>
          </w:p>
        </w:tc>
        <w:tc>
          <w:tcPr>
            <w:tcW w:w="1900" w:type="dxa"/>
            <w:tcBorders>
              <w:top w:val="nil"/>
              <w:left w:val="nil"/>
              <w:bottom w:val="single" w:sz="4" w:space="0" w:color="auto"/>
              <w:right w:val="single" w:sz="4" w:space="0" w:color="auto"/>
            </w:tcBorders>
            <w:shd w:val="clear" w:color="auto" w:fill="auto"/>
            <w:vAlign w:val="center"/>
            <w:hideMark/>
          </w:tcPr>
          <w:p w14:paraId="5A9FEFBE" w14:textId="77777777" w:rsidR="00387142" w:rsidRPr="008B6A75" w:rsidRDefault="00387142" w:rsidP="00387142">
            <w:pPr>
              <w:jc w:val="right"/>
              <w:rPr>
                <w:sz w:val="20"/>
                <w:szCs w:val="20"/>
              </w:rPr>
            </w:pPr>
            <w:r w:rsidRPr="008B6A75">
              <w:rPr>
                <w:sz w:val="20"/>
                <w:szCs w:val="20"/>
              </w:rPr>
              <w:t>-2 854 295 578,63</w:t>
            </w:r>
          </w:p>
        </w:tc>
        <w:tc>
          <w:tcPr>
            <w:tcW w:w="1900" w:type="dxa"/>
            <w:tcBorders>
              <w:top w:val="nil"/>
              <w:left w:val="nil"/>
              <w:bottom w:val="single" w:sz="4" w:space="0" w:color="auto"/>
              <w:right w:val="single" w:sz="4" w:space="0" w:color="auto"/>
            </w:tcBorders>
            <w:shd w:val="clear" w:color="auto" w:fill="auto"/>
            <w:vAlign w:val="center"/>
            <w:hideMark/>
          </w:tcPr>
          <w:p w14:paraId="44BD3034" w14:textId="77777777" w:rsidR="00387142" w:rsidRPr="008B6A75" w:rsidRDefault="00387142" w:rsidP="00387142">
            <w:pPr>
              <w:jc w:val="right"/>
              <w:rPr>
                <w:sz w:val="20"/>
                <w:szCs w:val="20"/>
              </w:rPr>
            </w:pPr>
            <w:r w:rsidRPr="008B6A75">
              <w:rPr>
                <w:sz w:val="20"/>
                <w:szCs w:val="20"/>
              </w:rPr>
              <w:t>-1 950 517 508,60</w:t>
            </w:r>
          </w:p>
        </w:tc>
        <w:tc>
          <w:tcPr>
            <w:tcW w:w="1900" w:type="dxa"/>
            <w:tcBorders>
              <w:top w:val="nil"/>
              <w:left w:val="nil"/>
              <w:bottom w:val="single" w:sz="4" w:space="0" w:color="auto"/>
              <w:right w:val="single" w:sz="4" w:space="0" w:color="auto"/>
            </w:tcBorders>
            <w:shd w:val="clear" w:color="auto" w:fill="auto"/>
            <w:vAlign w:val="center"/>
            <w:hideMark/>
          </w:tcPr>
          <w:p w14:paraId="28EF0F1D" w14:textId="77777777" w:rsidR="00387142" w:rsidRPr="008B6A75" w:rsidRDefault="00387142" w:rsidP="00387142">
            <w:pPr>
              <w:jc w:val="right"/>
              <w:rPr>
                <w:sz w:val="20"/>
                <w:szCs w:val="20"/>
              </w:rPr>
            </w:pPr>
            <w:r w:rsidRPr="008B6A75">
              <w:rPr>
                <w:sz w:val="20"/>
                <w:szCs w:val="20"/>
              </w:rPr>
              <w:t>-1 844 646 600,06</w:t>
            </w:r>
          </w:p>
        </w:tc>
        <w:tc>
          <w:tcPr>
            <w:tcW w:w="222" w:type="dxa"/>
            <w:gridSpan w:val="2"/>
            <w:vAlign w:val="center"/>
            <w:hideMark/>
          </w:tcPr>
          <w:p w14:paraId="7623854D" w14:textId="77777777" w:rsidR="00387142" w:rsidRPr="008B6A75" w:rsidRDefault="00387142" w:rsidP="00387142">
            <w:pPr>
              <w:rPr>
                <w:sz w:val="20"/>
                <w:szCs w:val="20"/>
              </w:rPr>
            </w:pPr>
          </w:p>
        </w:tc>
      </w:tr>
      <w:tr w:rsidR="00387142" w:rsidRPr="008B6A75" w14:paraId="273814A4" w14:textId="77777777" w:rsidTr="00387142">
        <w:trPr>
          <w:trHeight w:val="945"/>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4DD03C32" w14:textId="77777777" w:rsidR="00387142" w:rsidRPr="008B6A75" w:rsidRDefault="00387142" w:rsidP="00387142">
            <w:pPr>
              <w:jc w:val="right"/>
              <w:rPr>
                <w:sz w:val="20"/>
                <w:szCs w:val="20"/>
              </w:rPr>
            </w:pPr>
            <w:r w:rsidRPr="008B6A75">
              <w:rPr>
                <w:sz w:val="20"/>
                <w:szCs w:val="20"/>
              </w:rPr>
              <w:lastRenderedPageBreak/>
              <w:t>444 01 05 02 01 05 0000 510</w:t>
            </w:r>
          </w:p>
        </w:tc>
        <w:tc>
          <w:tcPr>
            <w:tcW w:w="2977" w:type="dxa"/>
            <w:tcBorders>
              <w:top w:val="nil"/>
              <w:left w:val="nil"/>
              <w:bottom w:val="single" w:sz="4" w:space="0" w:color="auto"/>
              <w:right w:val="single" w:sz="4" w:space="0" w:color="auto"/>
            </w:tcBorders>
            <w:shd w:val="clear" w:color="auto" w:fill="auto"/>
            <w:vAlign w:val="center"/>
            <w:hideMark/>
          </w:tcPr>
          <w:p w14:paraId="48A21F6F" w14:textId="77777777" w:rsidR="00387142" w:rsidRPr="008B6A75" w:rsidRDefault="00387142" w:rsidP="00387142">
            <w:pPr>
              <w:rPr>
                <w:sz w:val="20"/>
                <w:szCs w:val="20"/>
              </w:rPr>
            </w:pPr>
            <w:r w:rsidRPr="008B6A75">
              <w:rPr>
                <w:sz w:val="20"/>
                <w:szCs w:val="20"/>
              </w:rPr>
              <w:t>Увеличение прочих остатков денежных средств бюджетов муниципальных районов</w:t>
            </w:r>
          </w:p>
        </w:tc>
        <w:tc>
          <w:tcPr>
            <w:tcW w:w="1900" w:type="dxa"/>
            <w:tcBorders>
              <w:top w:val="nil"/>
              <w:left w:val="nil"/>
              <w:bottom w:val="single" w:sz="4" w:space="0" w:color="auto"/>
              <w:right w:val="single" w:sz="4" w:space="0" w:color="auto"/>
            </w:tcBorders>
            <w:shd w:val="clear" w:color="auto" w:fill="auto"/>
            <w:vAlign w:val="center"/>
            <w:hideMark/>
          </w:tcPr>
          <w:p w14:paraId="0E9CB3ED" w14:textId="77777777" w:rsidR="00387142" w:rsidRPr="008B6A75" w:rsidRDefault="00387142" w:rsidP="00387142">
            <w:pPr>
              <w:jc w:val="right"/>
              <w:rPr>
                <w:sz w:val="20"/>
                <w:szCs w:val="20"/>
              </w:rPr>
            </w:pPr>
            <w:r w:rsidRPr="008B6A75">
              <w:rPr>
                <w:sz w:val="20"/>
                <w:szCs w:val="20"/>
              </w:rPr>
              <w:t>-2 854 295 578,63</w:t>
            </w:r>
          </w:p>
        </w:tc>
        <w:tc>
          <w:tcPr>
            <w:tcW w:w="1900" w:type="dxa"/>
            <w:tcBorders>
              <w:top w:val="nil"/>
              <w:left w:val="nil"/>
              <w:bottom w:val="single" w:sz="4" w:space="0" w:color="auto"/>
              <w:right w:val="single" w:sz="4" w:space="0" w:color="auto"/>
            </w:tcBorders>
            <w:shd w:val="clear" w:color="auto" w:fill="auto"/>
            <w:vAlign w:val="center"/>
            <w:hideMark/>
          </w:tcPr>
          <w:p w14:paraId="2CAF5354" w14:textId="77777777" w:rsidR="00387142" w:rsidRPr="008B6A75" w:rsidRDefault="00387142" w:rsidP="00387142">
            <w:pPr>
              <w:jc w:val="right"/>
              <w:rPr>
                <w:sz w:val="20"/>
                <w:szCs w:val="20"/>
              </w:rPr>
            </w:pPr>
            <w:r w:rsidRPr="008B6A75">
              <w:rPr>
                <w:sz w:val="20"/>
                <w:szCs w:val="20"/>
              </w:rPr>
              <w:t>-1 950 517 508,60</w:t>
            </w:r>
          </w:p>
        </w:tc>
        <w:tc>
          <w:tcPr>
            <w:tcW w:w="1900" w:type="dxa"/>
            <w:tcBorders>
              <w:top w:val="nil"/>
              <w:left w:val="nil"/>
              <w:bottom w:val="single" w:sz="4" w:space="0" w:color="auto"/>
              <w:right w:val="single" w:sz="4" w:space="0" w:color="auto"/>
            </w:tcBorders>
            <w:shd w:val="clear" w:color="auto" w:fill="auto"/>
            <w:vAlign w:val="center"/>
            <w:hideMark/>
          </w:tcPr>
          <w:p w14:paraId="5D1C9B40" w14:textId="77777777" w:rsidR="00387142" w:rsidRPr="008B6A75" w:rsidRDefault="00387142" w:rsidP="00387142">
            <w:pPr>
              <w:jc w:val="right"/>
              <w:rPr>
                <w:sz w:val="20"/>
                <w:szCs w:val="20"/>
              </w:rPr>
            </w:pPr>
            <w:r w:rsidRPr="008B6A75">
              <w:rPr>
                <w:sz w:val="20"/>
                <w:szCs w:val="20"/>
              </w:rPr>
              <w:t>-1 844 646 600,06</w:t>
            </w:r>
          </w:p>
        </w:tc>
        <w:tc>
          <w:tcPr>
            <w:tcW w:w="222" w:type="dxa"/>
            <w:gridSpan w:val="2"/>
            <w:vAlign w:val="center"/>
            <w:hideMark/>
          </w:tcPr>
          <w:p w14:paraId="2D7CC902" w14:textId="77777777" w:rsidR="00387142" w:rsidRPr="008B6A75" w:rsidRDefault="00387142" w:rsidP="00387142">
            <w:pPr>
              <w:rPr>
                <w:sz w:val="20"/>
                <w:szCs w:val="20"/>
              </w:rPr>
            </w:pPr>
          </w:p>
        </w:tc>
      </w:tr>
      <w:tr w:rsidR="00387142" w:rsidRPr="008B6A75" w14:paraId="2FC0CCD5" w14:textId="77777777" w:rsidTr="00387142">
        <w:trPr>
          <w:trHeight w:val="63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2D7C92EC" w14:textId="77777777" w:rsidR="00387142" w:rsidRPr="008B6A75" w:rsidRDefault="00387142" w:rsidP="00387142">
            <w:pPr>
              <w:jc w:val="right"/>
              <w:rPr>
                <w:sz w:val="20"/>
                <w:szCs w:val="20"/>
              </w:rPr>
            </w:pPr>
            <w:r w:rsidRPr="008B6A75">
              <w:rPr>
                <w:sz w:val="20"/>
                <w:szCs w:val="20"/>
              </w:rPr>
              <w:t>444 01 05 00 00 00 0000 600</w:t>
            </w:r>
          </w:p>
        </w:tc>
        <w:tc>
          <w:tcPr>
            <w:tcW w:w="2977" w:type="dxa"/>
            <w:tcBorders>
              <w:top w:val="nil"/>
              <w:left w:val="nil"/>
              <w:bottom w:val="single" w:sz="4" w:space="0" w:color="auto"/>
              <w:right w:val="single" w:sz="4" w:space="0" w:color="auto"/>
            </w:tcBorders>
            <w:shd w:val="clear" w:color="auto" w:fill="auto"/>
            <w:vAlign w:val="center"/>
            <w:hideMark/>
          </w:tcPr>
          <w:p w14:paraId="1F1D3C2E" w14:textId="77777777" w:rsidR="00387142" w:rsidRPr="008B6A75" w:rsidRDefault="00387142" w:rsidP="00387142">
            <w:pPr>
              <w:rPr>
                <w:sz w:val="20"/>
                <w:szCs w:val="20"/>
              </w:rPr>
            </w:pPr>
            <w:r w:rsidRPr="008B6A75">
              <w:rPr>
                <w:sz w:val="20"/>
                <w:szCs w:val="20"/>
              </w:rPr>
              <w:t>Уменьшение остатков средств бюджетов</w:t>
            </w:r>
          </w:p>
        </w:tc>
        <w:tc>
          <w:tcPr>
            <w:tcW w:w="1900" w:type="dxa"/>
            <w:tcBorders>
              <w:top w:val="nil"/>
              <w:left w:val="nil"/>
              <w:bottom w:val="single" w:sz="4" w:space="0" w:color="auto"/>
              <w:right w:val="single" w:sz="4" w:space="0" w:color="auto"/>
            </w:tcBorders>
            <w:shd w:val="clear" w:color="auto" w:fill="auto"/>
            <w:vAlign w:val="center"/>
            <w:hideMark/>
          </w:tcPr>
          <w:p w14:paraId="3F9A7F63" w14:textId="77777777" w:rsidR="00387142" w:rsidRPr="008B6A75" w:rsidRDefault="00387142" w:rsidP="00387142">
            <w:pPr>
              <w:jc w:val="right"/>
              <w:rPr>
                <w:sz w:val="20"/>
                <w:szCs w:val="20"/>
              </w:rPr>
            </w:pPr>
            <w:r w:rsidRPr="008B6A75">
              <w:rPr>
                <w:sz w:val="20"/>
                <w:szCs w:val="20"/>
              </w:rPr>
              <w:t>2 928 088 175,32</w:t>
            </w:r>
          </w:p>
        </w:tc>
        <w:tc>
          <w:tcPr>
            <w:tcW w:w="1900" w:type="dxa"/>
            <w:tcBorders>
              <w:top w:val="nil"/>
              <w:left w:val="nil"/>
              <w:bottom w:val="single" w:sz="4" w:space="0" w:color="auto"/>
              <w:right w:val="single" w:sz="4" w:space="0" w:color="auto"/>
            </w:tcBorders>
            <w:shd w:val="clear" w:color="auto" w:fill="auto"/>
            <w:vAlign w:val="center"/>
            <w:hideMark/>
          </w:tcPr>
          <w:p w14:paraId="2515C82B" w14:textId="77777777" w:rsidR="00387142" w:rsidRPr="008B6A75" w:rsidRDefault="00387142" w:rsidP="00387142">
            <w:pPr>
              <w:jc w:val="right"/>
              <w:rPr>
                <w:sz w:val="20"/>
                <w:szCs w:val="20"/>
              </w:rPr>
            </w:pPr>
            <w:r w:rsidRPr="008B6A75">
              <w:rPr>
                <w:sz w:val="20"/>
                <w:szCs w:val="20"/>
              </w:rPr>
              <w:t>1 950 517 508,60</w:t>
            </w:r>
          </w:p>
        </w:tc>
        <w:tc>
          <w:tcPr>
            <w:tcW w:w="1900" w:type="dxa"/>
            <w:tcBorders>
              <w:top w:val="nil"/>
              <w:left w:val="nil"/>
              <w:bottom w:val="single" w:sz="4" w:space="0" w:color="auto"/>
              <w:right w:val="single" w:sz="4" w:space="0" w:color="auto"/>
            </w:tcBorders>
            <w:shd w:val="clear" w:color="auto" w:fill="auto"/>
            <w:vAlign w:val="center"/>
            <w:hideMark/>
          </w:tcPr>
          <w:p w14:paraId="4FACCCDF" w14:textId="77777777" w:rsidR="00387142" w:rsidRPr="008B6A75" w:rsidRDefault="00387142" w:rsidP="00387142">
            <w:pPr>
              <w:jc w:val="right"/>
              <w:rPr>
                <w:sz w:val="20"/>
                <w:szCs w:val="20"/>
              </w:rPr>
            </w:pPr>
            <w:r w:rsidRPr="008B6A75">
              <w:rPr>
                <w:sz w:val="20"/>
                <w:szCs w:val="20"/>
              </w:rPr>
              <w:t>1 844 646 600,06</w:t>
            </w:r>
          </w:p>
        </w:tc>
        <w:tc>
          <w:tcPr>
            <w:tcW w:w="222" w:type="dxa"/>
            <w:gridSpan w:val="2"/>
            <w:vAlign w:val="center"/>
            <w:hideMark/>
          </w:tcPr>
          <w:p w14:paraId="333C6A25" w14:textId="77777777" w:rsidR="00387142" w:rsidRPr="008B6A75" w:rsidRDefault="00387142" w:rsidP="00387142">
            <w:pPr>
              <w:rPr>
                <w:sz w:val="20"/>
                <w:szCs w:val="20"/>
              </w:rPr>
            </w:pPr>
          </w:p>
        </w:tc>
      </w:tr>
      <w:tr w:rsidR="00387142" w:rsidRPr="008B6A75" w14:paraId="5411C03D" w14:textId="77777777" w:rsidTr="00387142">
        <w:trPr>
          <w:trHeight w:val="780"/>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127ED47C" w14:textId="77777777" w:rsidR="00387142" w:rsidRPr="008B6A75" w:rsidRDefault="00387142" w:rsidP="00387142">
            <w:pPr>
              <w:spacing w:after="240"/>
              <w:rPr>
                <w:sz w:val="20"/>
                <w:szCs w:val="20"/>
              </w:rPr>
            </w:pPr>
            <w:r w:rsidRPr="008B6A75">
              <w:rPr>
                <w:sz w:val="20"/>
                <w:szCs w:val="20"/>
              </w:rPr>
              <w:t>444 01 05 02 00 00 0000 600</w:t>
            </w:r>
          </w:p>
        </w:tc>
        <w:tc>
          <w:tcPr>
            <w:tcW w:w="2977" w:type="dxa"/>
            <w:tcBorders>
              <w:top w:val="nil"/>
              <w:left w:val="nil"/>
              <w:bottom w:val="single" w:sz="4" w:space="0" w:color="auto"/>
              <w:right w:val="single" w:sz="4" w:space="0" w:color="auto"/>
            </w:tcBorders>
            <w:shd w:val="clear" w:color="auto" w:fill="auto"/>
            <w:vAlign w:val="center"/>
            <w:hideMark/>
          </w:tcPr>
          <w:p w14:paraId="26AA4901" w14:textId="77777777" w:rsidR="00387142" w:rsidRPr="008B6A75" w:rsidRDefault="00387142" w:rsidP="00387142">
            <w:pPr>
              <w:rPr>
                <w:sz w:val="20"/>
                <w:szCs w:val="20"/>
              </w:rPr>
            </w:pPr>
            <w:r w:rsidRPr="008B6A75">
              <w:rPr>
                <w:sz w:val="20"/>
                <w:szCs w:val="20"/>
              </w:rPr>
              <w:t>Уменьшение прочих остатков денежных средств бюджетов</w:t>
            </w:r>
          </w:p>
        </w:tc>
        <w:tc>
          <w:tcPr>
            <w:tcW w:w="1900" w:type="dxa"/>
            <w:tcBorders>
              <w:top w:val="nil"/>
              <w:left w:val="nil"/>
              <w:bottom w:val="single" w:sz="4" w:space="0" w:color="auto"/>
              <w:right w:val="single" w:sz="4" w:space="0" w:color="auto"/>
            </w:tcBorders>
            <w:shd w:val="clear" w:color="auto" w:fill="auto"/>
            <w:vAlign w:val="center"/>
            <w:hideMark/>
          </w:tcPr>
          <w:p w14:paraId="6DBF686D" w14:textId="77777777" w:rsidR="00387142" w:rsidRPr="008B6A75" w:rsidRDefault="00387142" w:rsidP="00387142">
            <w:pPr>
              <w:jc w:val="right"/>
              <w:rPr>
                <w:sz w:val="20"/>
                <w:szCs w:val="20"/>
              </w:rPr>
            </w:pPr>
            <w:r w:rsidRPr="008B6A75">
              <w:rPr>
                <w:sz w:val="20"/>
                <w:szCs w:val="20"/>
              </w:rPr>
              <w:t>2 928 088 175,32</w:t>
            </w:r>
          </w:p>
        </w:tc>
        <w:tc>
          <w:tcPr>
            <w:tcW w:w="1900" w:type="dxa"/>
            <w:tcBorders>
              <w:top w:val="nil"/>
              <w:left w:val="nil"/>
              <w:bottom w:val="single" w:sz="4" w:space="0" w:color="auto"/>
              <w:right w:val="single" w:sz="4" w:space="0" w:color="auto"/>
            </w:tcBorders>
            <w:shd w:val="clear" w:color="auto" w:fill="auto"/>
            <w:vAlign w:val="center"/>
            <w:hideMark/>
          </w:tcPr>
          <w:p w14:paraId="63161F39" w14:textId="77777777" w:rsidR="00387142" w:rsidRPr="008B6A75" w:rsidRDefault="00387142" w:rsidP="00387142">
            <w:pPr>
              <w:jc w:val="right"/>
              <w:rPr>
                <w:sz w:val="20"/>
                <w:szCs w:val="20"/>
              </w:rPr>
            </w:pPr>
            <w:r w:rsidRPr="008B6A75">
              <w:rPr>
                <w:sz w:val="20"/>
                <w:szCs w:val="20"/>
              </w:rPr>
              <w:t>1 950 517 508,60</w:t>
            </w:r>
          </w:p>
        </w:tc>
        <w:tc>
          <w:tcPr>
            <w:tcW w:w="1900" w:type="dxa"/>
            <w:tcBorders>
              <w:top w:val="nil"/>
              <w:left w:val="nil"/>
              <w:bottom w:val="single" w:sz="4" w:space="0" w:color="auto"/>
              <w:right w:val="single" w:sz="4" w:space="0" w:color="auto"/>
            </w:tcBorders>
            <w:shd w:val="clear" w:color="auto" w:fill="auto"/>
            <w:vAlign w:val="center"/>
            <w:hideMark/>
          </w:tcPr>
          <w:p w14:paraId="62B8B0D6" w14:textId="77777777" w:rsidR="00387142" w:rsidRPr="008B6A75" w:rsidRDefault="00387142" w:rsidP="00387142">
            <w:pPr>
              <w:jc w:val="right"/>
              <w:rPr>
                <w:sz w:val="20"/>
                <w:szCs w:val="20"/>
              </w:rPr>
            </w:pPr>
            <w:r w:rsidRPr="008B6A75">
              <w:rPr>
                <w:sz w:val="20"/>
                <w:szCs w:val="20"/>
              </w:rPr>
              <w:t>1 844 646 600,06</w:t>
            </w:r>
          </w:p>
        </w:tc>
        <w:tc>
          <w:tcPr>
            <w:tcW w:w="222" w:type="dxa"/>
            <w:gridSpan w:val="2"/>
            <w:vAlign w:val="center"/>
            <w:hideMark/>
          </w:tcPr>
          <w:p w14:paraId="6264E77E" w14:textId="77777777" w:rsidR="00387142" w:rsidRPr="008B6A75" w:rsidRDefault="00387142" w:rsidP="00387142">
            <w:pPr>
              <w:rPr>
                <w:sz w:val="20"/>
                <w:szCs w:val="20"/>
              </w:rPr>
            </w:pPr>
          </w:p>
        </w:tc>
      </w:tr>
      <w:tr w:rsidR="00387142" w:rsidRPr="008B6A75" w14:paraId="6C3E4F0F" w14:textId="77777777" w:rsidTr="00387142">
        <w:trPr>
          <w:trHeight w:val="735"/>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4808BA7A" w14:textId="77777777" w:rsidR="00387142" w:rsidRPr="008B6A75" w:rsidRDefault="00387142" w:rsidP="00387142">
            <w:pPr>
              <w:jc w:val="center"/>
              <w:rPr>
                <w:sz w:val="20"/>
                <w:szCs w:val="20"/>
              </w:rPr>
            </w:pPr>
            <w:r w:rsidRPr="008B6A75">
              <w:rPr>
                <w:sz w:val="20"/>
                <w:szCs w:val="20"/>
              </w:rPr>
              <w:t>444 01 05 02 01 00 0000 610</w:t>
            </w:r>
          </w:p>
        </w:tc>
        <w:tc>
          <w:tcPr>
            <w:tcW w:w="2977" w:type="dxa"/>
            <w:tcBorders>
              <w:top w:val="nil"/>
              <w:left w:val="nil"/>
              <w:bottom w:val="single" w:sz="4" w:space="0" w:color="auto"/>
              <w:right w:val="single" w:sz="4" w:space="0" w:color="auto"/>
            </w:tcBorders>
            <w:shd w:val="clear" w:color="auto" w:fill="auto"/>
            <w:vAlign w:val="center"/>
            <w:hideMark/>
          </w:tcPr>
          <w:p w14:paraId="11E6BDC1" w14:textId="77777777" w:rsidR="00387142" w:rsidRPr="008B6A75" w:rsidRDefault="00387142" w:rsidP="00387142">
            <w:pPr>
              <w:rPr>
                <w:sz w:val="20"/>
                <w:szCs w:val="20"/>
              </w:rPr>
            </w:pPr>
            <w:r w:rsidRPr="008B6A75">
              <w:rPr>
                <w:sz w:val="20"/>
                <w:szCs w:val="20"/>
              </w:rPr>
              <w:t>Уменьшение прочих остатков денежных средств бюджетов</w:t>
            </w:r>
          </w:p>
        </w:tc>
        <w:tc>
          <w:tcPr>
            <w:tcW w:w="1900" w:type="dxa"/>
            <w:tcBorders>
              <w:top w:val="nil"/>
              <w:left w:val="nil"/>
              <w:bottom w:val="single" w:sz="4" w:space="0" w:color="auto"/>
              <w:right w:val="single" w:sz="4" w:space="0" w:color="auto"/>
            </w:tcBorders>
            <w:shd w:val="clear" w:color="auto" w:fill="auto"/>
            <w:vAlign w:val="center"/>
            <w:hideMark/>
          </w:tcPr>
          <w:p w14:paraId="5C0A4A03" w14:textId="77777777" w:rsidR="00387142" w:rsidRPr="008B6A75" w:rsidRDefault="00387142" w:rsidP="00387142">
            <w:pPr>
              <w:jc w:val="right"/>
              <w:rPr>
                <w:sz w:val="20"/>
                <w:szCs w:val="20"/>
              </w:rPr>
            </w:pPr>
            <w:r w:rsidRPr="008B6A75">
              <w:rPr>
                <w:sz w:val="20"/>
                <w:szCs w:val="20"/>
              </w:rPr>
              <w:t>2 928 088 175,32</w:t>
            </w:r>
          </w:p>
        </w:tc>
        <w:tc>
          <w:tcPr>
            <w:tcW w:w="1900" w:type="dxa"/>
            <w:tcBorders>
              <w:top w:val="nil"/>
              <w:left w:val="nil"/>
              <w:bottom w:val="single" w:sz="4" w:space="0" w:color="auto"/>
              <w:right w:val="single" w:sz="4" w:space="0" w:color="auto"/>
            </w:tcBorders>
            <w:shd w:val="clear" w:color="auto" w:fill="auto"/>
            <w:vAlign w:val="center"/>
            <w:hideMark/>
          </w:tcPr>
          <w:p w14:paraId="11C63813" w14:textId="77777777" w:rsidR="00387142" w:rsidRPr="008B6A75" w:rsidRDefault="00387142" w:rsidP="00387142">
            <w:pPr>
              <w:jc w:val="right"/>
              <w:rPr>
                <w:sz w:val="20"/>
                <w:szCs w:val="20"/>
              </w:rPr>
            </w:pPr>
            <w:r w:rsidRPr="008B6A75">
              <w:rPr>
                <w:sz w:val="20"/>
                <w:szCs w:val="20"/>
              </w:rPr>
              <w:t>1 950 517 508,60</w:t>
            </w:r>
          </w:p>
        </w:tc>
        <w:tc>
          <w:tcPr>
            <w:tcW w:w="1900" w:type="dxa"/>
            <w:tcBorders>
              <w:top w:val="nil"/>
              <w:left w:val="nil"/>
              <w:bottom w:val="single" w:sz="4" w:space="0" w:color="auto"/>
              <w:right w:val="single" w:sz="4" w:space="0" w:color="auto"/>
            </w:tcBorders>
            <w:shd w:val="clear" w:color="auto" w:fill="auto"/>
            <w:vAlign w:val="center"/>
            <w:hideMark/>
          </w:tcPr>
          <w:p w14:paraId="7C61E25A" w14:textId="77777777" w:rsidR="00387142" w:rsidRPr="008B6A75" w:rsidRDefault="00387142" w:rsidP="00387142">
            <w:pPr>
              <w:jc w:val="right"/>
              <w:rPr>
                <w:sz w:val="20"/>
                <w:szCs w:val="20"/>
              </w:rPr>
            </w:pPr>
            <w:r w:rsidRPr="008B6A75">
              <w:rPr>
                <w:sz w:val="20"/>
                <w:szCs w:val="20"/>
              </w:rPr>
              <w:t>1 844 646 600,06</w:t>
            </w:r>
          </w:p>
        </w:tc>
        <w:tc>
          <w:tcPr>
            <w:tcW w:w="222" w:type="dxa"/>
            <w:gridSpan w:val="2"/>
            <w:vAlign w:val="center"/>
            <w:hideMark/>
          </w:tcPr>
          <w:p w14:paraId="52359267" w14:textId="77777777" w:rsidR="00387142" w:rsidRPr="008B6A75" w:rsidRDefault="00387142" w:rsidP="00387142">
            <w:pPr>
              <w:rPr>
                <w:sz w:val="20"/>
                <w:szCs w:val="20"/>
              </w:rPr>
            </w:pPr>
          </w:p>
        </w:tc>
      </w:tr>
      <w:tr w:rsidR="00387142" w:rsidRPr="008B6A75" w14:paraId="4F1D11F0" w14:textId="77777777" w:rsidTr="00387142">
        <w:trPr>
          <w:trHeight w:val="765"/>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2D6BE3E4" w14:textId="77777777" w:rsidR="00387142" w:rsidRPr="008B6A75" w:rsidRDefault="00387142" w:rsidP="00387142">
            <w:pPr>
              <w:jc w:val="center"/>
              <w:rPr>
                <w:sz w:val="20"/>
                <w:szCs w:val="20"/>
              </w:rPr>
            </w:pPr>
            <w:r w:rsidRPr="008B6A75">
              <w:rPr>
                <w:sz w:val="20"/>
                <w:szCs w:val="20"/>
              </w:rPr>
              <w:t>444 01 05 02 01 05 0000 610</w:t>
            </w:r>
          </w:p>
        </w:tc>
        <w:tc>
          <w:tcPr>
            <w:tcW w:w="2977" w:type="dxa"/>
            <w:tcBorders>
              <w:top w:val="nil"/>
              <w:left w:val="nil"/>
              <w:bottom w:val="single" w:sz="4" w:space="0" w:color="auto"/>
              <w:right w:val="single" w:sz="4" w:space="0" w:color="auto"/>
            </w:tcBorders>
            <w:shd w:val="clear" w:color="auto" w:fill="auto"/>
            <w:vAlign w:val="center"/>
            <w:hideMark/>
          </w:tcPr>
          <w:p w14:paraId="1F127BF8" w14:textId="77777777" w:rsidR="00387142" w:rsidRPr="008B6A75" w:rsidRDefault="00387142" w:rsidP="00387142">
            <w:pPr>
              <w:rPr>
                <w:sz w:val="20"/>
                <w:szCs w:val="20"/>
              </w:rPr>
            </w:pPr>
            <w:r w:rsidRPr="008B6A75">
              <w:rPr>
                <w:sz w:val="20"/>
                <w:szCs w:val="20"/>
              </w:rPr>
              <w:t>Уменьшение прочих остатков денежных средств бюджетов муниципальных районов</w:t>
            </w:r>
          </w:p>
        </w:tc>
        <w:tc>
          <w:tcPr>
            <w:tcW w:w="1900" w:type="dxa"/>
            <w:tcBorders>
              <w:top w:val="nil"/>
              <w:left w:val="nil"/>
              <w:bottom w:val="single" w:sz="4" w:space="0" w:color="auto"/>
              <w:right w:val="single" w:sz="4" w:space="0" w:color="auto"/>
            </w:tcBorders>
            <w:shd w:val="clear" w:color="auto" w:fill="auto"/>
            <w:vAlign w:val="center"/>
            <w:hideMark/>
          </w:tcPr>
          <w:p w14:paraId="232AA047" w14:textId="77777777" w:rsidR="00387142" w:rsidRPr="008B6A75" w:rsidRDefault="00387142" w:rsidP="00387142">
            <w:pPr>
              <w:jc w:val="right"/>
              <w:rPr>
                <w:sz w:val="20"/>
                <w:szCs w:val="20"/>
              </w:rPr>
            </w:pPr>
            <w:r w:rsidRPr="008B6A75">
              <w:rPr>
                <w:sz w:val="20"/>
                <w:szCs w:val="20"/>
              </w:rPr>
              <w:t>2 928 088 175,32</w:t>
            </w:r>
          </w:p>
        </w:tc>
        <w:tc>
          <w:tcPr>
            <w:tcW w:w="1900" w:type="dxa"/>
            <w:tcBorders>
              <w:top w:val="nil"/>
              <w:left w:val="nil"/>
              <w:bottom w:val="single" w:sz="4" w:space="0" w:color="auto"/>
              <w:right w:val="single" w:sz="4" w:space="0" w:color="auto"/>
            </w:tcBorders>
            <w:shd w:val="clear" w:color="auto" w:fill="auto"/>
            <w:vAlign w:val="center"/>
            <w:hideMark/>
          </w:tcPr>
          <w:p w14:paraId="35538CB3" w14:textId="77777777" w:rsidR="00387142" w:rsidRPr="008B6A75" w:rsidRDefault="00387142" w:rsidP="00387142">
            <w:pPr>
              <w:jc w:val="right"/>
              <w:rPr>
                <w:sz w:val="20"/>
                <w:szCs w:val="20"/>
              </w:rPr>
            </w:pPr>
            <w:r w:rsidRPr="008B6A75">
              <w:rPr>
                <w:sz w:val="20"/>
                <w:szCs w:val="20"/>
              </w:rPr>
              <w:t>1 950 517 508,60</w:t>
            </w:r>
          </w:p>
        </w:tc>
        <w:tc>
          <w:tcPr>
            <w:tcW w:w="1900" w:type="dxa"/>
            <w:tcBorders>
              <w:top w:val="nil"/>
              <w:left w:val="nil"/>
              <w:bottom w:val="single" w:sz="4" w:space="0" w:color="auto"/>
              <w:right w:val="single" w:sz="4" w:space="0" w:color="auto"/>
            </w:tcBorders>
            <w:shd w:val="clear" w:color="auto" w:fill="auto"/>
            <w:vAlign w:val="center"/>
            <w:hideMark/>
          </w:tcPr>
          <w:p w14:paraId="61497EC0" w14:textId="77777777" w:rsidR="00387142" w:rsidRPr="008B6A75" w:rsidRDefault="00387142" w:rsidP="00387142">
            <w:pPr>
              <w:jc w:val="right"/>
              <w:rPr>
                <w:sz w:val="20"/>
                <w:szCs w:val="20"/>
              </w:rPr>
            </w:pPr>
            <w:r w:rsidRPr="008B6A75">
              <w:rPr>
                <w:sz w:val="20"/>
                <w:szCs w:val="20"/>
              </w:rPr>
              <w:t>1 844 646 600,06</w:t>
            </w:r>
          </w:p>
        </w:tc>
        <w:tc>
          <w:tcPr>
            <w:tcW w:w="222" w:type="dxa"/>
            <w:gridSpan w:val="2"/>
            <w:vAlign w:val="center"/>
            <w:hideMark/>
          </w:tcPr>
          <w:p w14:paraId="5B906FC7" w14:textId="77777777" w:rsidR="00387142" w:rsidRPr="008B6A75" w:rsidRDefault="00387142" w:rsidP="00387142">
            <w:pPr>
              <w:rPr>
                <w:sz w:val="20"/>
                <w:szCs w:val="20"/>
              </w:rPr>
            </w:pPr>
          </w:p>
        </w:tc>
      </w:tr>
      <w:tr w:rsidR="00387142" w:rsidRPr="008B6A75" w14:paraId="68B7752B" w14:textId="77777777" w:rsidTr="00387142">
        <w:trPr>
          <w:trHeight w:val="630"/>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29460C90" w14:textId="77777777" w:rsidR="00387142" w:rsidRPr="008B6A75" w:rsidRDefault="00387142" w:rsidP="00387142">
            <w:pPr>
              <w:jc w:val="center"/>
              <w:rPr>
                <w:sz w:val="20"/>
                <w:szCs w:val="20"/>
              </w:rPr>
            </w:pPr>
            <w:r w:rsidRPr="008B6A75">
              <w:rPr>
                <w:sz w:val="20"/>
                <w:szCs w:val="20"/>
              </w:rPr>
              <w:t>444 01 06 10 00 00 0000 000</w:t>
            </w:r>
          </w:p>
        </w:tc>
        <w:tc>
          <w:tcPr>
            <w:tcW w:w="2977" w:type="dxa"/>
            <w:tcBorders>
              <w:top w:val="nil"/>
              <w:left w:val="nil"/>
              <w:bottom w:val="single" w:sz="4" w:space="0" w:color="auto"/>
              <w:right w:val="single" w:sz="4" w:space="0" w:color="auto"/>
            </w:tcBorders>
            <w:shd w:val="clear" w:color="auto" w:fill="auto"/>
            <w:vAlign w:val="bottom"/>
            <w:hideMark/>
          </w:tcPr>
          <w:p w14:paraId="7F5CCB1F" w14:textId="77777777" w:rsidR="00387142" w:rsidRPr="008B6A75" w:rsidRDefault="00387142" w:rsidP="00387142">
            <w:pPr>
              <w:rPr>
                <w:sz w:val="20"/>
                <w:szCs w:val="20"/>
              </w:rPr>
            </w:pPr>
            <w:r w:rsidRPr="008B6A75">
              <w:rPr>
                <w:sz w:val="20"/>
                <w:szCs w:val="20"/>
              </w:rPr>
              <w:t>Операции по управлению остатками средств на единых счетах бюджетов</w:t>
            </w:r>
          </w:p>
        </w:tc>
        <w:tc>
          <w:tcPr>
            <w:tcW w:w="1900" w:type="dxa"/>
            <w:tcBorders>
              <w:top w:val="nil"/>
              <w:left w:val="nil"/>
              <w:bottom w:val="single" w:sz="4" w:space="0" w:color="auto"/>
              <w:right w:val="single" w:sz="4" w:space="0" w:color="auto"/>
            </w:tcBorders>
            <w:shd w:val="clear" w:color="auto" w:fill="auto"/>
            <w:noWrap/>
            <w:vAlign w:val="bottom"/>
            <w:hideMark/>
          </w:tcPr>
          <w:p w14:paraId="25E96A29" w14:textId="77777777" w:rsidR="00387142" w:rsidRPr="008B6A75" w:rsidRDefault="00387142" w:rsidP="00387142">
            <w:pPr>
              <w:jc w:val="right"/>
              <w:rPr>
                <w:sz w:val="20"/>
                <w:szCs w:val="20"/>
              </w:rPr>
            </w:pPr>
            <w:r w:rsidRPr="008B6A75">
              <w:rPr>
                <w:sz w:val="20"/>
                <w:szCs w:val="20"/>
              </w:rPr>
              <w:t>0,00</w:t>
            </w:r>
          </w:p>
        </w:tc>
        <w:tc>
          <w:tcPr>
            <w:tcW w:w="1900" w:type="dxa"/>
            <w:tcBorders>
              <w:top w:val="nil"/>
              <w:left w:val="nil"/>
              <w:bottom w:val="single" w:sz="4" w:space="0" w:color="auto"/>
              <w:right w:val="single" w:sz="4" w:space="0" w:color="auto"/>
            </w:tcBorders>
            <w:shd w:val="clear" w:color="auto" w:fill="auto"/>
            <w:vAlign w:val="center"/>
            <w:hideMark/>
          </w:tcPr>
          <w:p w14:paraId="069A7127" w14:textId="77777777" w:rsidR="00387142" w:rsidRPr="008B6A75" w:rsidRDefault="00387142" w:rsidP="00387142">
            <w:pPr>
              <w:jc w:val="right"/>
              <w:rPr>
                <w:sz w:val="20"/>
                <w:szCs w:val="20"/>
              </w:rPr>
            </w:pPr>
            <w:r w:rsidRPr="008B6A75">
              <w:rPr>
                <w:sz w:val="20"/>
                <w:szCs w:val="20"/>
              </w:rPr>
              <w:t> </w:t>
            </w:r>
          </w:p>
        </w:tc>
        <w:tc>
          <w:tcPr>
            <w:tcW w:w="1900" w:type="dxa"/>
            <w:tcBorders>
              <w:top w:val="nil"/>
              <w:left w:val="nil"/>
              <w:bottom w:val="single" w:sz="4" w:space="0" w:color="auto"/>
              <w:right w:val="single" w:sz="4" w:space="0" w:color="auto"/>
            </w:tcBorders>
            <w:shd w:val="clear" w:color="auto" w:fill="auto"/>
            <w:vAlign w:val="center"/>
            <w:hideMark/>
          </w:tcPr>
          <w:p w14:paraId="6DF398DE" w14:textId="77777777" w:rsidR="00387142" w:rsidRPr="008B6A75" w:rsidRDefault="00387142" w:rsidP="00387142">
            <w:pPr>
              <w:jc w:val="right"/>
              <w:rPr>
                <w:sz w:val="20"/>
                <w:szCs w:val="20"/>
              </w:rPr>
            </w:pPr>
            <w:r w:rsidRPr="008B6A75">
              <w:rPr>
                <w:sz w:val="20"/>
                <w:szCs w:val="20"/>
              </w:rPr>
              <w:t> </w:t>
            </w:r>
          </w:p>
        </w:tc>
        <w:tc>
          <w:tcPr>
            <w:tcW w:w="222" w:type="dxa"/>
            <w:gridSpan w:val="2"/>
            <w:vAlign w:val="center"/>
            <w:hideMark/>
          </w:tcPr>
          <w:p w14:paraId="353C633A" w14:textId="77777777" w:rsidR="00387142" w:rsidRPr="008B6A75" w:rsidRDefault="00387142" w:rsidP="00387142">
            <w:pPr>
              <w:rPr>
                <w:sz w:val="20"/>
                <w:szCs w:val="20"/>
              </w:rPr>
            </w:pPr>
          </w:p>
        </w:tc>
      </w:tr>
      <w:tr w:rsidR="00387142" w:rsidRPr="008B6A75" w14:paraId="7F2BE7AA" w14:textId="77777777" w:rsidTr="00387142">
        <w:trPr>
          <w:trHeight w:val="2520"/>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6116EF4D" w14:textId="77777777" w:rsidR="00387142" w:rsidRPr="008B6A75" w:rsidRDefault="00387142" w:rsidP="00387142">
            <w:pPr>
              <w:jc w:val="center"/>
              <w:rPr>
                <w:sz w:val="20"/>
                <w:szCs w:val="20"/>
              </w:rPr>
            </w:pPr>
            <w:r w:rsidRPr="008B6A75">
              <w:rPr>
                <w:sz w:val="20"/>
                <w:szCs w:val="20"/>
              </w:rPr>
              <w:t>444 01 06 10 02 00 0000 500</w:t>
            </w:r>
          </w:p>
        </w:tc>
        <w:tc>
          <w:tcPr>
            <w:tcW w:w="2977" w:type="dxa"/>
            <w:tcBorders>
              <w:top w:val="nil"/>
              <w:left w:val="nil"/>
              <w:bottom w:val="single" w:sz="4" w:space="0" w:color="auto"/>
              <w:right w:val="single" w:sz="4" w:space="0" w:color="auto"/>
            </w:tcBorders>
            <w:shd w:val="clear" w:color="auto" w:fill="auto"/>
            <w:vAlign w:val="bottom"/>
            <w:hideMark/>
          </w:tcPr>
          <w:p w14:paraId="47E74067" w14:textId="77777777" w:rsidR="00387142" w:rsidRPr="008B6A75" w:rsidRDefault="00387142" w:rsidP="00387142">
            <w:pPr>
              <w:rPr>
                <w:sz w:val="20"/>
                <w:szCs w:val="20"/>
              </w:rPr>
            </w:pPr>
            <w:r w:rsidRPr="008B6A75">
              <w:rPr>
                <w:sz w:val="20"/>
                <w:szCs w:val="20"/>
              </w:rPr>
              <w:t>Увеличение финансовых активов в государственной (муниципальной) собственности за счет средств организаций, лицевые счета которым открыты в территориальных органах Федерального казначейства или в финансовых органах в соответствии с законодательством Российской Федерации</w:t>
            </w:r>
          </w:p>
        </w:tc>
        <w:tc>
          <w:tcPr>
            <w:tcW w:w="1900" w:type="dxa"/>
            <w:tcBorders>
              <w:top w:val="nil"/>
              <w:left w:val="nil"/>
              <w:bottom w:val="single" w:sz="4" w:space="0" w:color="auto"/>
              <w:right w:val="single" w:sz="4" w:space="0" w:color="auto"/>
            </w:tcBorders>
            <w:shd w:val="clear" w:color="auto" w:fill="auto"/>
            <w:noWrap/>
            <w:vAlign w:val="bottom"/>
            <w:hideMark/>
          </w:tcPr>
          <w:p w14:paraId="0D9E8AAF" w14:textId="77777777" w:rsidR="00387142" w:rsidRPr="008B6A75" w:rsidRDefault="00387142" w:rsidP="00387142">
            <w:pPr>
              <w:jc w:val="right"/>
              <w:rPr>
                <w:sz w:val="20"/>
                <w:szCs w:val="20"/>
              </w:rPr>
            </w:pPr>
            <w:r w:rsidRPr="008B6A75">
              <w:rPr>
                <w:sz w:val="20"/>
                <w:szCs w:val="20"/>
              </w:rPr>
              <w:t>0,00</w:t>
            </w:r>
          </w:p>
        </w:tc>
        <w:tc>
          <w:tcPr>
            <w:tcW w:w="1900" w:type="dxa"/>
            <w:tcBorders>
              <w:top w:val="nil"/>
              <w:left w:val="nil"/>
              <w:bottom w:val="single" w:sz="4" w:space="0" w:color="auto"/>
              <w:right w:val="single" w:sz="4" w:space="0" w:color="auto"/>
            </w:tcBorders>
            <w:shd w:val="clear" w:color="auto" w:fill="auto"/>
            <w:vAlign w:val="center"/>
            <w:hideMark/>
          </w:tcPr>
          <w:p w14:paraId="163B1832" w14:textId="77777777" w:rsidR="00387142" w:rsidRPr="008B6A75" w:rsidRDefault="00387142" w:rsidP="00387142">
            <w:pPr>
              <w:jc w:val="right"/>
              <w:rPr>
                <w:sz w:val="20"/>
                <w:szCs w:val="20"/>
              </w:rPr>
            </w:pPr>
            <w:r w:rsidRPr="008B6A75">
              <w:rPr>
                <w:sz w:val="20"/>
                <w:szCs w:val="20"/>
              </w:rPr>
              <w:t> </w:t>
            </w:r>
          </w:p>
        </w:tc>
        <w:tc>
          <w:tcPr>
            <w:tcW w:w="1900" w:type="dxa"/>
            <w:tcBorders>
              <w:top w:val="nil"/>
              <w:left w:val="nil"/>
              <w:bottom w:val="single" w:sz="4" w:space="0" w:color="auto"/>
              <w:right w:val="single" w:sz="4" w:space="0" w:color="auto"/>
            </w:tcBorders>
            <w:shd w:val="clear" w:color="auto" w:fill="auto"/>
            <w:vAlign w:val="center"/>
            <w:hideMark/>
          </w:tcPr>
          <w:p w14:paraId="741BE79D" w14:textId="77777777" w:rsidR="00387142" w:rsidRPr="008B6A75" w:rsidRDefault="00387142" w:rsidP="00387142">
            <w:pPr>
              <w:jc w:val="right"/>
              <w:rPr>
                <w:sz w:val="20"/>
                <w:szCs w:val="20"/>
              </w:rPr>
            </w:pPr>
            <w:r w:rsidRPr="008B6A75">
              <w:rPr>
                <w:sz w:val="20"/>
                <w:szCs w:val="20"/>
              </w:rPr>
              <w:t> </w:t>
            </w:r>
          </w:p>
        </w:tc>
        <w:tc>
          <w:tcPr>
            <w:tcW w:w="222" w:type="dxa"/>
            <w:gridSpan w:val="2"/>
            <w:vAlign w:val="center"/>
            <w:hideMark/>
          </w:tcPr>
          <w:p w14:paraId="6D916DBD" w14:textId="77777777" w:rsidR="00387142" w:rsidRPr="008B6A75" w:rsidRDefault="00387142" w:rsidP="00387142">
            <w:pPr>
              <w:rPr>
                <w:sz w:val="20"/>
                <w:szCs w:val="20"/>
              </w:rPr>
            </w:pPr>
          </w:p>
        </w:tc>
      </w:tr>
      <w:tr w:rsidR="00387142" w:rsidRPr="008B6A75" w14:paraId="01E0E8FB" w14:textId="77777777" w:rsidTr="00387142">
        <w:trPr>
          <w:trHeight w:val="2835"/>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52635646" w14:textId="77777777" w:rsidR="00387142" w:rsidRPr="008B6A75" w:rsidRDefault="00387142" w:rsidP="00387142">
            <w:pPr>
              <w:jc w:val="center"/>
              <w:rPr>
                <w:sz w:val="20"/>
                <w:szCs w:val="20"/>
              </w:rPr>
            </w:pPr>
            <w:r w:rsidRPr="008B6A75">
              <w:rPr>
                <w:sz w:val="20"/>
                <w:szCs w:val="20"/>
              </w:rPr>
              <w:t>444 01 06 10 02 05 0000 550</w:t>
            </w:r>
          </w:p>
        </w:tc>
        <w:tc>
          <w:tcPr>
            <w:tcW w:w="2977" w:type="dxa"/>
            <w:tcBorders>
              <w:top w:val="nil"/>
              <w:left w:val="nil"/>
              <w:bottom w:val="single" w:sz="4" w:space="0" w:color="auto"/>
              <w:right w:val="single" w:sz="4" w:space="0" w:color="auto"/>
            </w:tcBorders>
            <w:shd w:val="clear" w:color="auto" w:fill="auto"/>
            <w:vAlign w:val="bottom"/>
            <w:hideMark/>
          </w:tcPr>
          <w:p w14:paraId="47F19C76" w14:textId="77777777" w:rsidR="00387142" w:rsidRPr="008B6A75" w:rsidRDefault="00387142" w:rsidP="00387142">
            <w:pPr>
              <w:rPr>
                <w:sz w:val="20"/>
                <w:szCs w:val="20"/>
              </w:rPr>
            </w:pPr>
            <w:r w:rsidRPr="008B6A75">
              <w:rPr>
                <w:sz w:val="20"/>
                <w:szCs w:val="20"/>
              </w:rPr>
              <w:t>Увеличение финансовых активов в собственности муниципальных районов за счет средств организаций, учредителями которых являются муниципальные районы и лицевые счета которым открыты в территориальных органах Федерального казначейства или в финансовых органах муниципальных образований в соответствии с законодательством Российской Федерации</w:t>
            </w:r>
          </w:p>
        </w:tc>
        <w:tc>
          <w:tcPr>
            <w:tcW w:w="1900" w:type="dxa"/>
            <w:tcBorders>
              <w:top w:val="nil"/>
              <w:left w:val="nil"/>
              <w:bottom w:val="single" w:sz="4" w:space="0" w:color="auto"/>
              <w:right w:val="single" w:sz="4" w:space="0" w:color="auto"/>
            </w:tcBorders>
            <w:shd w:val="clear" w:color="auto" w:fill="auto"/>
            <w:noWrap/>
            <w:vAlign w:val="bottom"/>
            <w:hideMark/>
          </w:tcPr>
          <w:p w14:paraId="1B0C3D53" w14:textId="77777777" w:rsidR="00387142" w:rsidRPr="008B6A75" w:rsidRDefault="00387142" w:rsidP="00387142">
            <w:pPr>
              <w:jc w:val="right"/>
              <w:rPr>
                <w:sz w:val="20"/>
                <w:szCs w:val="20"/>
              </w:rPr>
            </w:pPr>
            <w:r w:rsidRPr="008B6A75">
              <w:rPr>
                <w:sz w:val="20"/>
                <w:szCs w:val="20"/>
              </w:rPr>
              <w:t>0,00</w:t>
            </w:r>
          </w:p>
        </w:tc>
        <w:tc>
          <w:tcPr>
            <w:tcW w:w="1900" w:type="dxa"/>
            <w:tcBorders>
              <w:top w:val="nil"/>
              <w:left w:val="nil"/>
              <w:bottom w:val="single" w:sz="4" w:space="0" w:color="auto"/>
              <w:right w:val="single" w:sz="4" w:space="0" w:color="auto"/>
            </w:tcBorders>
            <w:shd w:val="clear" w:color="auto" w:fill="auto"/>
            <w:vAlign w:val="center"/>
            <w:hideMark/>
          </w:tcPr>
          <w:p w14:paraId="3F99668E" w14:textId="77777777" w:rsidR="00387142" w:rsidRPr="008B6A75" w:rsidRDefault="00387142" w:rsidP="00387142">
            <w:pPr>
              <w:jc w:val="right"/>
              <w:rPr>
                <w:sz w:val="20"/>
                <w:szCs w:val="20"/>
              </w:rPr>
            </w:pPr>
            <w:r w:rsidRPr="008B6A75">
              <w:rPr>
                <w:sz w:val="20"/>
                <w:szCs w:val="20"/>
              </w:rPr>
              <w:t> </w:t>
            </w:r>
          </w:p>
        </w:tc>
        <w:tc>
          <w:tcPr>
            <w:tcW w:w="1900" w:type="dxa"/>
            <w:tcBorders>
              <w:top w:val="nil"/>
              <w:left w:val="nil"/>
              <w:bottom w:val="single" w:sz="4" w:space="0" w:color="auto"/>
              <w:right w:val="single" w:sz="4" w:space="0" w:color="auto"/>
            </w:tcBorders>
            <w:shd w:val="clear" w:color="auto" w:fill="auto"/>
            <w:vAlign w:val="center"/>
            <w:hideMark/>
          </w:tcPr>
          <w:p w14:paraId="7B002169" w14:textId="77777777" w:rsidR="00387142" w:rsidRPr="008B6A75" w:rsidRDefault="00387142" w:rsidP="00387142">
            <w:pPr>
              <w:jc w:val="right"/>
              <w:rPr>
                <w:sz w:val="20"/>
                <w:szCs w:val="20"/>
              </w:rPr>
            </w:pPr>
            <w:r w:rsidRPr="008B6A75">
              <w:rPr>
                <w:sz w:val="20"/>
                <w:szCs w:val="20"/>
              </w:rPr>
              <w:t> </w:t>
            </w:r>
          </w:p>
        </w:tc>
        <w:tc>
          <w:tcPr>
            <w:tcW w:w="222" w:type="dxa"/>
            <w:gridSpan w:val="2"/>
            <w:vAlign w:val="center"/>
            <w:hideMark/>
          </w:tcPr>
          <w:p w14:paraId="4F0EB274" w14:textId="77777777" w:rsidR="00387142" w:rsidRPr="008B6A75" w:rsidRDefault="00387142" w:rsidP="00387142">
            <w:pPr>
              <w:rPr>
                <w:sz w:val="20"/>
                <w:szCs w:val="20"/>
              </w:rPr>
            </w:pPr>
          </w:p>
        </w:tc>
      </w:tr>
    </w:tbl>
    <w:p w14:paraId="2C569AAF" w14:textId="77777777" w:rsidR="00387142" w:rsidRPr="008B6A75" w:rsidRDefault="00387142" w:rsidP="00387142">
      <w:pPr>
        <w:rPr>
          <w:sz w:val="20"/>
          <w:szCs w:val="20"/>
        </w:rPr>
      </w:pPr>
    </w:p>
    <w:p w14:paraId="1178F995" w14:textId="77777777" w:rsidR="00387142" w:rsidRPr="008B6A75" w:rsidRDefault="00387142" w:rsidP="00387142">
      <w:pPr>
        <w:spacing w:line="240" w:lineRule="atLeast"/>
        <w:jc w:val="center"/>
        <w:rPr>
          <w:sz w:val="20"/>
          <w:szCs w:val="20"/>
        </w:rPr>
      </w:pPr>
      <w:r w:rsidRPr="008B6A75">
        <w:rPr>
          <w:noProof/>
          <w:sz w:val="20"/>
          <w:szCs w:val="20"/>
        </w:rPr>
        <w:drawing>
          <wp:inline distT="0" distB="0" distL="0" distR="0" wp14:anchorId="770CB633" wp14:editId="3DB6C7D3">
            <wp:extent cx="378417" cy="454559"/>
            <wp:effectExtent l="0" t="0" r="3175" b="317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0870" cy="457505"/>
                    </a:xfrm>
                    <a:prstGeom prst="rect">
                      <a:avLst/>
                    </a:prstGeom>
                    <a:noFill/>
                    <a:ln>
                      <a:noFill/>
                    </a:ln>
                  </pic:spPr>
                </pic:pic>
              </a:graphicData>
            </a:graphic>
          </wp:inline>
        </w:drawing>
      </w:r>
    </w:p>
    <w:p w14:paraId="690B709D" w14:textId="77777777" w:rsidR="00387142" w:rsidRPr="008B6A75" w:rsidRDefault="00387142" w:rsidP="00387142">
      <w:pPr>
        <w:widowControl w:val="0"/>
        <w:autoSpaceDE w:val="0"/>
        <w:autoSpaceDN w:val="0"/>
        <w:adjustRightInd w:val="0"/>
        <w:spacing w:line="240" w:lineRule="atLeast"/>
        <w:jc w:val="center"/>
        <w:rPr>
          <w:bCs/>
          <w:sz w:val="20"/>
          <w:szCs w:val="20"/>
        </w:rPr>
      </w:pPr>
    </w:p>
    <w:p w14:paraId="76EC2CAB" w14:textId="77777777" w:rsidR="00387142" w:rsidRPr="008B6A75" w:rsidRDefault="00387142" w:rsidP="00387142">
      <w:pPr>
        <w:widowControl w:val="0"/>
        <w:autoSpaceDE w:val="0"/>
        <w:autoSpaceDN w:val="0"/>
        <w:adjustRightInd w:val="0"/>
        <w:spacing w:line="240" w:lineRule="atLeast"/>
        <w:jc w:val="center"/>
        <w:rPr>
          <w:bCs/>
          <w:sz w:val="20"/>
          <w:szCs w:val="20"/>
        </w:rPr>
      </w:pPr>
      <w:r w:rsidRPr="008B6A75">
        <w:rPr>
          <w:bCs/>
          <w:sz w:val="20"/>
          <w:szCs w:val="20"/>
        </w:rPr>
        <w:t>СОВЕТ ДЕПУТАТОВ</w:t>
      </w:r>
    </w:p>
    <w:p w14:paraId="5D7AA311" w14:textId="77777777" w:rsidR="00387142" w:rsidRPr="008B6A75" w:rsidRDefault="00387142" w:rsidP="00387142">
      <w:pPr>
        <w:widowControl w:val="0"/>
        <w:autoSpaceDE w:val="0"/>
        <w:autoSpaceDN w:val="0"/>
        <w:adjustRightInd w:val="0"/>
        <w:spacing w:line="240" w:lineRule="atLeast"/>
        <w:jc w:val="center"/>
        <w:rPr>
          <w:bCs/>
          <w:sz w:val="20"/>
          <w:szCs w:val="20"/>
        </w:rPr>
      </w:pPr>
      <w:r w:rsidRPr="008B6A75">
        <w:rPr>
          <w:bCs/>
          <w:sz w:val="20"/>
          <w:szCs w:val="20"/>
        </w:rPr>
        <w:t>КУЙБЫШЕВСКОГО МУНИЦИПАЛЬНОГО РАЙОНА</w:t>
      </w:r>
    </w:p>
    <w:p w14:paraId="44CEA243" w14:textId="77777777" w:rsidR="00387142" w:rsidRPr="008B6A75" w:rsidRDefault="00387142" w:rsidP="00387142">
      <w:pPr>
        <w:widowControl w:val="0"/>
        <w:autoSpaceDE w:val="0"/>
        <w:autoSpaceDN w:val="0"/>
        <w:adjustRightInd w:val="0"/>
        <w:spacing w:line="240" w:lineRule="atLeast"/>
        <w:jc w:val="center"/>
        <w:rPr>
          <w:bCs/>
          <w:sz w:val="20"/>
          <w:szCs w:val="20"/>
        </w:rPr>
      </w:pPr>
      <w:r w:rsidRPr="008B6A75">
        <w:rPr>
          <w:bCs/>
          <w:sz w:val="20"/>
          <w:szCs w:val="20"/>
        </w:rPr>
        <w:t xml:space="preserve">НОВОСИБИРСКОЙ ОБЛАСТИ </w:t>
      </w:r>
    </w:p>
    <w:p w14:paraId="4633AB12" w14:textId="77777777" w:rsidR="00387142" w:rsidRPr="008B6A75" w:rsidRDefault="00387142" w:rsidP="00387142">
      <w:pPr>
        <w:widowControl w:val="0"/>
        <w:autoSpaceDE w:val="0"/>
        <w:autoSpaceDN w:val="0"/>
        <w:adjustRightInd w:val="0"/>
        <w:spacing w:line="240" w:lineRule="atLeast"/>
        <w:jc w:val="center"/>
        <w:rPr>
          <w:bCs/>
          <w:sz w:val="20"/>
          <w:szCs w:val="20"/>
        </w:rPr>
      </w:pPr>
      <w:r w:rsidRPr="008B6A75">
        <w:rPr>
          <w:bCs/>
          <w:sz w:val="20"/>
          <w:szCs w:val="20"/>
        </w:rPr>
        <w:t>ЧЕТВЕРТОГО СОЗЫВА</w:t>
      </w:r>
    </w:p>
    <w:p w14:paraId="4736BD5C" w14:textId="77777777" w:rsidR="00387142" w:rsidRPr="008B6A75" w:rsidRDefault="00387142" w:rsidP="00387142">
      <w:pPr>
        <w:widowControl w:val="0"/>
        <w:autoSpaceDE w:val="0"/>
        <w:autoSpaceDN w:val="0"/>
        <w:adjustRightInd w:val="0"/>
        <w:spacing w:line="240" w:lineRule="atLeast"/>
        <w:jc w:val="center"/>
        <w:rPr>
          <w:bCs/>
          <w:sz w:val="20"/>
          <w:szCs w:val="20"/>
        </w:rPr>
      </w:pPr>
    </w:p>
    <w:p w14:paraId="1A0B5AE0" w14:textId="77777777" w:rsidR="00387142" w:rsidRPr="008B6A75" w:rsidRDefault="00387142" w:rsidP="00387142">
      <w:pPr>
        <w:widowControl w:val="0"/>
        <w:autoSpaceDE w:val="0"/>
        <w:autoSpaceDN w:val="0"/>
        <w:adjustRightInd w:val="0"/>
        <w:spacing w:line="240" w:lineRule="atLeast"/>
        <w:jc w:val="center"/>
        <w:rPr>
          <w:bCs/>
          <w:sz w:val="20"/>
          <w:szCs w:val="20"/>
        </w:rPr>
      </w:pPr>
      <w:r w:rsidRPr="008B6A75">
        <w:rPr>
          <w:bCs/>
          <w:sz w:val="20"/>
          <w:szCs w:val="20"/>
        </w:rPr>
        <w:t>РЕШЕНИЕ</w:t>
      </w:r>
    </w:p>
    <w:p w14:paraId="40A9FECB" w14:textId="77777777" w:rsidR="00387142" w:rsidRPr="008B6A75" w:rsidRDefault="00387142" w:rsidP="00387142">
      <w:pPr>
        <w:widowControl w:val="0"/>
        <w:autoSpaceDE w:val="0"/>
        <w:autoSpaceDN w:val="0"/>
        <w:adjustRightInd w:val="0"/>
        <w:spacing w:line="240" w:lineRule="atLeast"/>
        <w:jc w:val="center"/>
        <w:rPr>
          <w:bCs/>
          <w:sz w:val="20"/>
          <w:szCs w:val="20"/>
        </w:rPr>
      </w:pPr>
      <w:r w:rsidRPr="008B6A75">
        <w:rPr>
          <w:bCs/>
          <w:sz w:val="20"/>
          <w:szCs w:val="20"/>
        </w:rPr>
        <w:t>двадцать третьей сессии</w:t>
      </w:r>
    </w:p>
    <w:p w14:paraId="54A08D28" w14:textId="77777777" w:rsidR="00387142" w:rsidRPr="008B6A75" w:rsidRDefault="00387142" w:rsidP="00387142">
      <w:pPr>
        <w:widowControl w:val="0"/>
        <w:autoSpaceDE w:val="0"/>
        <w:autoSpaceDN w:val="0"/>
        <w:adjustRightInd w:val="0"/>
        <w:spacing w:line="240" w:lineRule="atLeast"/>
        <w:jc w:val="center"/>
        <w:rPr>
          <w:bCs/>
          <w:sz w:val="20"/>
          <w:szCs w:val="20"/>
        </w:rPr>
      </w:pPr>
    </w:p>
    <w:p w14:paraId="2E542873" w14:textId="77777777" w:rsidR="00387142" w:rsidRPr="008B6A75" w:rsidRDefault="00387142" w:rsidP="00387142">
      <w:pPr>
        <w:autoSpaceDE w:val="0"/>
        <w:autoSpaceDN w:val="0"/>
        <w:adjustRightInd w:val="0"/>
        <w:spacing w:line="240" w:lineRule="atLeast"/>
        <w:jc w:val="center"/>
        <w:rPr>
          <w:sz w:val="20"/>
          <w:szCs w:val="20"/>
        </w:rPr>
      </w:pPr>
      <w:r w:rsidRPr="008B6A75">
        <w:rPr>
          <w:sz w:val="20"/>
          <w:szCs w:val="20"/>
        </w:rPr>
        <w:t>03.11.2022 № 6</w:t>
      </w:r>
    </w:p>
    <w:p w14:paraId="6DA09359" w14:textId="77777777" w:rsidR="00387142" w:rsidRPr="008B6A75" w:rsidRDefault="00387142" w:rsidP="00387142">
      <w:pPr>
        <w:jc w:val="center"/>
        <w:rPr>
          <w:bCs/>
          <w:sz w:val="20"/>
          <w:szCs w:val="20"/>
        </w:rPr>
      </w:pPr>
    </w:p>
    <w:p w14:paraId="4441B9CA" w14:textId="77777777" w:rsidR="00387142" w:rsidRPr="008B6A75" w:rsidRDefault="00387142" w:rsidP="00387142">
      <w:pPr>
        <w:ind w:right="-144"/>
        <w:jc w:val="center"/>
        <w:rPr>
          <w:sz w:val="20"/>
          <w:szCs w:val="20"/>
        </w:rPr>
      </w:pPr>
      <w:r w:rsidRPr="008B6A75">
        <w:rPr>
          <w:sz w:val="20"/>
          <w:szCs w:val="20"/>
        </w:rPr>
        <w:t>О внесении изменений в Устав Куйбышевского муниципального района Новосибирской области</w:t>
      </w:r>
    </w:p>
    <w:p w14:paraId="288148FC" w14:textId="77777777" w:rsidR="00387142" w:rsidRPr="008B6A75" w:rsidRDefault="00387142" w:rsidP="00387142">
      <w:pPr>
        <w:ind w:right="-144"/>
        <w:jc w:val="both"/>
        <w:rPr>
          <w:sz w:val="20"/>
          <w:szCs w:val="20"/>
        </w:rPr>
      </w:pPr>
    </w:p>
    <w:p w14:paraId="02D9B3C8" w14:textId="77777777" w:rsidR="00387142" w:rsidRPr="008B6A75" w:rsidRDefault="00387142" w:rsidP="00387142">
      <w:pPr>
        <w:autoSpaceDE w:val="0"/>
        <w:autoSpaceDN w:val="0"/>
        <w:adjustRightInd w:val="0"/>
        <w:ind w:right="-427" w:firstLine="709"/>
        <w:jc w:val="both"/>
        <w:rPr>
          <w:sz w:val="20"/>
          <w:szCs w:val="20"/>
        </w:rPr>
      </w:pPr>
      <w:r w:rsidRPr="008B6A75">
        <w:rPr>
          <w:sz w:val="20"/>
          <w:szCs w:val="20"/>
        </w:rPr>
        <w:t>В соответствии с Федеральным законом от 06.10.2003 № 131-ФЗ «Об общих принципах организации местного самоуправления в Российской Федерации» и в целях приведения Устава Куйбышевского муниципального района Новосибирской области в соответствие с действующим законодательством, Совет депутатов Куйбышевского муниципального района Новосибирской области</w:t>
      </w:r>
    </w:p>
    <w:p w14:paraId="74D2B706" w14:textId="77777777" w:rsidR="00387142" w:rsidRPr="008B6A75" w:rsidRDefault="00387142" w:rsidP="00387142">
      <w:pPr>
        <w:autoSpaceDE w:val="0"/>
        <w:autoSpaceDN w:val="0"/>
        <w:adjustRightInd w:val="0"/>
        <w:ind w:right="-427" w:firstLine="709"/>
        <w:jc w:val="both"/>
        <w:rPr>
          <w:sz w:val="20"/>
          <w:szCs w:val="20"/>
        </w:rPr>
      </w:pPr>
      <w:r w:rsidRPr="008B6A75">
        <w:rPr>
          <w:sz w:val="20"/>
          <w:szCs w:val="20"/>
        </w:rPr>
        <w:t>РЕШИЛ:</w:t>
      </w:r>
    </w:p>
    <w:p w14:paraId="52C46A4D" w14:textId="77777777" w:rsidR="00387142" w:rsidRPr="008B6A75" w:rsidRDefault="00387142" w:rsidP="00387142">
      <w:pPr>
        <w:ind w:right="-427" w:firstLine="709"/>
        <w:jc w:val="both"/>
        <w:rPr>
          <w:sz w:val="20"/>
          <w:szCs w:val="20"/>
        </w:rPr>
      </w:pPr>
      <w:r w:rsidRPr="008B6A75">
        <w:rPr>
          <w:sz w:val="20"/>
          <w:szCs w:val="20"/>
        </w:rPr>
        <w:t>1. Внести в Устав Куйбышевского муниципального района Новосибирской области изменения согласно приложению.</w:t>
      </w:r>
    </w:p>
    <w:p w14:paraId="542EE5F6" w14:textId="77777777" w:rsidR="00387142" w:rsidRPr="008B6A75" w:rsidRDefault="00387142" w:rsidP="00387142">
      <w:pPr>
        <w:ind w:right="-427" w:firstLine="709"/>
        <w:jc w:val="both"/>
        <w:rPr>
          <w:sz w:val="20"/>
          <w:szCs w:val="20"/>
        </w:rPr>
      </w:pPr>
      <w:r w:rsidRPr="008B6A75">
        <w:rPr>
          <w:sz w:val="20"/>
          <w:szCs w:val="20"/>
        </w:rPr>
        <w:t>2. </w:t>
      </w:r>
      <w:r w:rsidRPr="008B6A75">
        <w:rPr>
          <w:color w:val="000000"/>
          <w:sz w:val="20"/>
          <w:szCs w:val="20"/>
        </w:rPr>
        <w:t>В порядке, установленном Федеральным законом от 21.07.2005 № 97-ФЗ «О государственной регистрации Уставов муниципальных образований», п</w:t>
      </w:r>
      <w:r w:rsidRPr="008B6A75">
        <w:rPr>
          <w:color w:val="000000"/>
          <w:spacing w:val="3"/>
          <w:sz w:val="20"/>
          <w:szCs w:val="20"/>
        </w:rPr>
        <w:t xml:space="preserve">редоставить муниципальный правовой акт о внесении изменений в Устав </w:t>
      </w:r>
      <w:r w:rsidRPr="008B6A75">
        <w:rPr>
          <w:sz w:val="20"/>
          <w:szCs w:val="20"/>
        </w:rPr>
        <w:t>Куйбышевского муниципального района</w:t>
      </w:r>
      <w:r w:rsidRPr="008B6A75">
        <w:rPr>
          <w:color w:val="000000"/>
          <w:spacing w:val="3"/>
          <w:sz w:val="20"/>
          <w:szCs w:val="20"/>
        </w:rPr>
        <w:t xml:space="preserve"> Новосибирской области на государственную регистрацию в Главное управление Министерства юстиции Российской Федерации по Новосибирской области.</w:t>
      </w:r>
    </w:p>
    <w:p w14:paraId="2638EDFA" w14:textId="77777777" w:rsidR="00387142" w:rsidRPr="008B6A75" w:rsidRDefault="00387142" w:rsidP="00387142">
      <w:pPr>
        <w:ind w:right="-427" w:firstLine="709"/>
        <w:jc w:val="both"/>
        <w:rPr>
          <w:sz w:val="20"/>
          <w:szCs w:val="20"/>
        </w:rPr>
      </w:pPr>
      <w:r w:rsidRPr="008B6A75">
        <w:rPr>
          <w:sz w:val="20"/>
          <w:szCs w:val="20"/>
        </w:rPr>
        <w:t>3. Опубликовать настоящее решение в</w:t>
      </w:r>
      <w:r w:rsidRPr="008B6A75">
        <w:rPr>
          <w:color w:val="000000"/>
          <w:spacing w:val="1"/>
          <w:sz w:val="20"/>
          <w:szCs w:val="20"/>
        </w:rPr>
        <w:t xml:space="preserve"> </w:t>
      </w:r>
      <w:r w:rsidRPr="008B6A75">
        <w:rPr>
          <w:sz w:val="20"/>
          <w:szCs w:val="20"/>
        </w:rPr>
        <w:t>периодическом печатном издании органов местного самоуправления Куйбышевского муниципального района Новосибирской области «Информационный вестник» после государственной регистрации.</w:t>
      </w:r>
    </w:p>
    <w:p w14:paraId="710E60F7" w14:textId="77777777" w:rsidR="00387142" w:rsidRPr="008B6A75" w:rsidRDefault="00387142" w:rsidP="00387142">
      <w:pPr>
        <w:ind w:right="-427" w:firstLine="709"/>
        <w:jc w:val="both"/>
        <w:rPr>
          <w:sz w:val="20"/>
          <w:szCs w:val="20"/>
        </w:rPr>
      </w:pPr>
      <w:r w:rsidRPr="008B6A75">
        <w:rPr>
          <w:sz w:val="20"/>
          <w:szCs w:val="20"/>
        </w:rPr>
        <w:t>4. Настоящее решение вступает в силу после опубликования.</w:t>
      </w:r>
    </w:p>
    <w:p w14:paraId="4FAAD911" w14:textId="77777777" w:rsidR="00387142" w:rsidRPr="008B6A75" w:rsidRDefault="00387142" w:rsidP="00387142">
      <w:pPr>
        <w:autoSpaceDE w:val="0"/>
        <w:autoSpaceDN w:val="0"/>
        <w:adjustRightInd w:val="0"/>
        <w:ind w:right="-427" w:firstLine="709"/>
        <w:jc w:val="both"/>
        <w:outlineLvl w:val="0"/>
        <w:rPr>
          <w:bCs/>
          <w:iCs/>
          <w:sz w:val="20"/>
          <w:szCs w:val="20"/>
        </w:rPr>
      </w:pPr>
      <w:r w:rsidRPr="008B6A75">
        <w:rPr>
          <w:sz w:val="20"/>
          <w:szCs w:val="20"/>
        </w:rPr>
        <w:t xml:space="preserve">5. Главе Куйбышевского муниципального района Новосибирской области в течение 10 дней со дня официального опубликования (обнародования) настоящего решения </w:t>
      </w:r>
      <w:r w:rsidRPr="008B6A75">
        <w:rPr>
          <w:bCs/>
          <w:iCs/>
          <w:sz w:val="20"/>
          <w:szCs w:val="20"/>
        </w:rPr>
        <w:t>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(обнародования) решения, прошедшего государственную регистрацию, для включения указанных сведений в государственный реестр уставов муниципальных образований Новосибирской области.</w:t>
      </w:r>
    </w:p>
    <w:p w14:paraId="68564C65" w14:textId="77777777" w:rsidR="00387142" w:rsidRPr="008B6A75" w:rsidRDefault="00387142" w:rsidP="00387142">
      <w:pPr>
        <w:autoSpaceDE w:val="0"/>
        <w:autoSpaceDN w:val="0"/>
        <w:adjustRightInd w:val="0"/>
        <w:ind w:right="-427" w:firstLine="709"/>
        <w:jc w:val="both"/>
        <w:outlineLvl w:val="0"/>
        <w:rPr>
          <w:bCs/>
          <w:iCs/>
          <w:sz w:val="20"/>
          <w:szCs w:val="20"/>
        </w:rPr>
      </w:pPr>
    </w:p>
    <w:p w14:paraId="51BDBC1F" w14:textId="77777777" w:rsidR="00387142" w:rsidRPr="008B6A75" w:rsidRDefault="00387142" w:rsidP="00387142">
      <w:pPr>
        <w:ind w:right="-427"/>
        <w:jc w:val="both"/>
        <w:rPr>
          <w:color w:val="000000"/>
          <w:sz w:val="20"/>
          <w:szCs w:val="20"/>
        </w:rPr>
      </w:pPr>
      <w:r w:rsidRPr="008B6A75">
        <w:rPr>
          <w:color w:val="000000"/>
          <w:sz w:val="20"/>
          <w:szCs w:val="20"/>
        </w:rPr>
        <w:t>Председатель Совета депутатов</w:t>
      </w:r>
    </w:p>
    <w:p w14:paraId="76E6CDA5" w14:textId="77777777" w:rsidR="00387142" w:rsidRPr="008B6A75" w:rsidRDefault="00387142" w:rsidP="00387142">
      <w:pPr>
        <w:ind w:right="-427"/>
        <w:jc w:val="both"/>
        <w:rPr>
          <w:color w:val="000000"/>
          <w:sz w:val="20"/>
          <w:szCs w:val="20"/>
        </w:rPr>
      </w:pPr>
      <w:r w:rsidRPr="008B6A75">
        <w:rPr>
          <w:color w:val="000000"/>
          <w:sz w:val="20"/>
          <w:szCs w:val="20"/>
        </w:rPr>
        <w:t xml:space="preserve">Куйбышевского муниципального района                                                                                                                   Р.В. </w:t>
      </w:r>
      <w:proofErr w:type="spellStart"/>
      <w:r w:rsidRPr="008B6A75">
        <w:rPr>
          <w:color w:val="000000"/>
          <w:sz w:val="20"/>
          <w:szCs w:val="20"/>
        </w:rPr>
        <w:t>Булюктов</w:t>
      </w:r>
      <w:proofErr w:type="spellEnd"/>
    </w:p>
    <w:p w14:paraId="0F6C31B9" w14:textId="77777777" w:rsidR="00387142" w:rsidRPr="008B6A75" w:rsidRDefault="00387142" w:rsidP="00387142">
      <w:pPr>
        <w:ind w:right="-427"/>
        <w:jc w:val="both"/>
        <w:rPr>
          <w:color w:val="000000"/>
          <w:sz w:val="20"/>
          <w:szCs w:val="20"/>
        </w:rPr>
      </w:pPr>
    </w:p>
    <w:p w14:paraId="44BC4692" w14:textId="77777777" w:rsidR="00387142" w:rsidRPr="008B6A75" w:rsidRDefault="00387142" w:rsidP="00387142">
      <w:pPr>
        <w:autoSpaceDE w:val="0"/>
        <w:autoSpaceDN w:val="0"/>
        <w:adjustRightInd w:val="0"/>
        <w:ind w:right="-427"/>
        <w:jc w:val="both"/>
        <w:outlineLvl w:val="0"/>
        <w:rPr>
          <w:color w:val="000000"/>
          <w:spacing w:val="-2"/>
          <w:sz w:val="20"/>
          <w:szCs w:val="20"/>
        </w:rPr>
      </w:pPr>
      <w:r w:rsidRPr="008B6A75">
        <w:rPr>
          <w:color w:val="000000"/>
          <w:sz w:val="20"/>
          <w:szCs w:val="20"/>
        </w:rPr>
        <w:t xml:space="preserve">Глава </w:t>
      </w:r>
      <w:r w:rsidRPr="008B6A75">
        <w:rPr>
          <w:color w:val="000000"/>
          <w:spacing w:val="-2"/>
          <w:sz w:val="20"/>
          <w:szCs w:val="20"/>
        </w:rPr>
        <w:t>Куйбышевского муниципального</w:t>
      </w:r>
    </w:p>
    <w:p w14:paraId="05EC2A02" w14:textId="77777777" w:rsidR="00387142" w:rsidRPr="008B6A75" w:rsidRDefault="00387142" w:rsidP="00387142">
      <w:pPr>
        <w:autoSpaceDE w:val="0"/>
        <w:autoSpaceDN w:val="0"/>
        <w:adjustRightInd w:val="0"/>
        <w:ind w:right="-427"/>
        <w:jc w:val="both"/>
        <w:outlineLvl w:val="0"/>
        <w:rPr>
          <w:sz w:val="20"/>
          <w:szCs w:val="20"/>
        </w:rPr>
      </w:pPr>
      <w:r w:rsidRPr="008B6A75">
        <w:rPr>
          <w:color w:val="000000"/>
          <w:spacing w:val="-2"/>
          <w:sz w:val="20"/>
          <w:szCs w:val="20"/>
        </w:rPr>
        <w:t>района Новосибирской области                                                                                                                                         О.В. Караваев</w:t>
      </w:r>
    </w:p>
    <w:p w14:paraId="50142F78" w14:textId="77777777" w:rsidR="00387142" w:rsidRPr="008B6A75" w:rsidRDefault="00387142" w:rsidP="00387142">
      <w:pPr>
        <w:ind w:right="-427"/>
        <w:rPr>
          <w:bCs/>
          <w:sz w:val="20"/>
          <w:szCs w:val="20"/>
        </w:rPr>
      </w:pPr>
      <w:r w:rsidRPr="008B6A75">
        <w:rPr>
          <w:sz w:val="20"/>
          <w:szCs w:val="20"/>
        </w:rPr>
        <w:t xml:space="preserve">                                                                                                                                      </w:t>
      </w:r>
      <w:r w:rsidRPr="008B6A75">
        <w:rPr>
          <w:bCs/>
          <w:sz w:val="20"/>
          <w:szCs w:val="20"/>
        </w:rPr>
        <w:t>ПРИЛОЖЕНИЕ</w:t>
      </w:r>
    </w:p>
    <w:p w14:paraId="316DF6E5" w14:textId="77777777" w:rsidR="00387142" w:rsidRPr="008B6A75" w:rsidRDefault="00387142" w:rsidP="00387142">
      <w:pPr>
        <w:ind w:left="4395" w:right="-427"/>
        <w:jc w:val="center"/>
        <w:outlineLvl w:val="0"/>
        <w:rPr>
          <w:bCs/>
          <w:sz w:val="20"/>
          <w:szCs w:val="20"/>
        </w:rPr>
      </w:pPr>
      <w:r w:rsidRPr="008B6A75">
        <w:rPr>
          <w:bCs/>
          <w:sz w:val="20"/>
          <w:szCs w:val="20"/>
        </w:rPr>
        <w:t>к решению 23 сессии Совета депутатов Куйбышевского муниципального района Новосибирской области четвертого созыва</w:t>
      </w:r>
    </w:p>
    <w:p w14:paraId="62A58309" w14:textId="77777777" w:rsidR="00387142" w:rsidRPr="008B6A75" w:rsidRDefault="00387142" w:rsidP="00387142">
      <w:pPr>
        <w:ind w:left="4395" w:right="-427"/>
        <w:jc w:val="center"/>
        <w:outlineLvl w:val="0"/>
        <w:rPr>
          <w:sz w:val="20"/>
          <w:szCs w:val="20"/>
        </w:rPr>
      </w:pPr>
      <w:r w:rsidRPr="008B6A75">
        <w:rPr>
          <w:bCs/>
          <w:sz w:val="20"/>
          <w:szCs w:val="20"/>
        </w:rPr>
        <w:t>от 03.11.2022 № 6</w:t>
      </w:r>
    </w:p>
    <w:p w14:paraId="02A0D3EE" w14:textId="77777777" w:rsidR="00387142" w:rsidRPr="008B6A75" w:rsidRDefault="00387142" w:rsidP="00387142">
      <w:pPr>
        <w:ind w:right="-427"/>
        <w:jc w:val="center"/>
        <w:rPr>
          <w:sz w:val="20"/>
          <w:szCs w:val="20"/>
        </w:rPr>
      </w:pPr>
    </w:p>
    <w:p w14:paraId="6EEEF4E6" w14:textId="77777777" w:rsidR="00387142" w:rsidRPr="008B6A75" w:rsidRDefault="00387142" w:rsidP="00387142">
      <w:pPr>
        <w:ind w:right="-427"/>
        <w:jc w:val="center"/>
        <w:rPr>
          <w:sz w:val="20"/>
          <w:szCs w:val="20"/>
        </w:rPr>
      </w:pPr>
      <w:r w:rsidRPr="008B6A75">
        <w:rPr>
          <w:sz w:val="20"/>
          <w:szCs w:val="20"/>
        </w:rPr>
        <w:t xml:space="preserve">Изменения в Устав Куйбышевского муниципального </w:t>
      </w:r>
    </w:p>
    <w:p w14:paraId="60361889" w14:textId="77777777" w:rsidR="00387142" w:rsidRPr="008B6A75" w:rsidRDefault="00387142" w:rsidP="00387142">
      <w:pPr>
        <w:ind w:right="-427"/>
        <w:jc w:val="center"/>
        <w:rPr>
          <w:sz w:val="20"/>
          <w:szCs w:val="20"/>
        </w:rPr>
      </w:pPr>
      <w:r w:rsidRPr="008B6A75">
        <w:rPr>
          <w:sz w:val="20"/>
          <w:szCs w:val="20"/>
        </w:rPr>
        <w:t>района Новосибирской области</w:t>
      </w:r>
    </w:p>
    <w:p w14:paraId="16582FCA" w14:textId="77777777" w:rsidR="00387142" w:rsidRPr="008B6A75" w:rsidRDefault="00387142" w:rsidP="00387142">
      <w:pPr>
        <w:ind w:right="-427"/>
        <w:jc w:val="center"/>
        <w:rPr>
          <w:sz w:val="20"/>
          <w:szCs w:val="20"/>
        </w:rPr>
      </w:pPr>
    </w:p>
    <w:p w14:paraId="502E2110" w14:textId="77777777" w:rsidR="00387142" w:rsidRPr="008B6A75" w:rsidRDefault="00387142" w:rsidP="00387142">
      <w:pPr>
        <w:autoSpaceDE w:val="0"/>
        <w:autoSpaceDN w:val="0"/>
        <w:adjustRightInd w:val="0"/>
        <w:ind w:right="-427" w:firstLine="709"/>
        <w:jc w:val="both"/>
        <w:rPr>
          <w:sz w:val="20"/>
          <w:szCs w:val="20"/>
        </w:rPr>
      </w:pPr>
      <w:r w:rsidRPr="008B6A75">
        <w:rPr>
          <w:sz w:val="20"/>
          <w:szCs w:val="20"/>
        </w:rPr>
        <w:t>1. Абзац 1 части 3 статьи 3 «Муниципальные правовые акты» изложить в следующей редакции:</w:t>
      </w:r>
    </w:p>
    <w:p w14:paraId="14B743FF" w14:textId="77777777" w:rsidR="00387142" w:rsidRPr="008B6A75" w:rsidRDefault="00387142" w:rsidP="00387142">
      <w:pPr>
        <w:ind w:right="-427" w:firstLine="709"/>
        <w:jc w:val="both"/>
        <w:rPr>
          <w:sz w:val="20"/>
          <w:szCs w:val="20"/>
        </w:rPr>
      </w:pPr>
      <w:r w:rsidRPr="008B6A75">
        <w:rPr>
          <w:sz w:val="20"/>
          <w:szCs w:val="20"/>
        </w:rPr>
        <w:t>«3.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Куйбышевский район, а также соглашения, заключаемые между органами местного самоуправления, вступают в силу после их официального опубликования в периодическом печатном издании органов местного самоуправления Куйбышевского района «Информационный вестник».».</w:t>
      </w:r>
    </w:p>
    <w:p w14:paraId="55B857AA" w14:textId="77777777" w:rsidR="00387142" w:rsidRPr="008B6A75" w:rsidRDefault="00387142" w:rsidP="00387142">
      <w:pPr>
        <w:ind w:right="-427" w:firstLine="709"/>
        <w:jc w:val="both"/>
        <w:rPr>
          <w:sz w:val="20"/>
          <w:szCs w:val="20"/>
        </w:rPr>
      </w:pPr>
    </w:p>
    <w:p w14:paraId="1C080048" w14:textId="77777777" w:rsidR="00387142" w:rsidRPr="008B6A75" w:rsidRDefault="00387142" w:rsidP="00387142">
      <w:pPr>
        <w:ind w:right="-427" w:firstLine="709"/>
        <w:jc w:val="both"/>
        <w:rPr>
          <w:sz w:val="20"/>
          <w:szCs w:val="20"/>
        </w:rPr>
      </w:pPr>
      <w:r w:rsidRPr="008B6A75">
        <w:rPr>
          <w:sz w:val="20"/>
          <w:szCs w:val="20"/>
        </w:rPr>
        <w:t>2. В части 1 статьи 5 «Вопросы местного значения Куйбышевского района»:</w:t>
      </w:r>
    </w:p>
    <w:p w14:paraId="79FF96BB" w14:textId="77777777" w:rsidR="00387142" w:rsidRPr="008B6A75" w:rsidRDefault="00387142" w:rsidP="00387142">
      <w:pPr>
        <w:ind w:right="-427" w:firstLine="709"/>
        <w:jc w:val="both"/>
        <w:rPr>
          <w:sz w:val="20"/>
          <w:szCs w:val="20"/>
        </w:rPr>
      </w:pPr>
      <w:r w:rsidRPr="008B6A75">
        <w:rPr>
          <w:sz w:val="20"/>
          <w:szCs w:val="20"/>
        </w:rPr>
        <w:t>1) дополнить пунктом 10.1 следующего содержания:</w:t>
      </w:r>
    </w:p>
    <w:p w14:paraId="5D467633" w14:textId="77777777" w:rsidR="00387142" w:rsidRPr="008B6A75" w:rsidRDefault="00387142" w:rsidP="00387142">
      <w:pPr>
        <w:ind w:right="-427" w:firstLine="709"/>
        <w:jc w:val="both"/>
        <w:rPr>
          <w:sz w:val="20"/>
          <w:szCs w:val="20"/>
        </w:rPr>
      </w:pPr>
      <w:r w:rsidRPr="008B6A75">
        <w:rPr>
          <w:sz w:val="20"/>
          <w:szCs w:val="20"/>
        </w:rPr>
        <w:t>«10.1) обеспечение первичных мер пожарной безопасности в границах Куйбышевского муниципального района за границами городского и сельских населенных пунктов;»;</w:t>
      </w:r>
    </w:p>
    <w:p w14:paraId="73315C83" w14:textId="77777777" w:rsidR="00387142" w:rsidRPr="008B6A75" w:rsidRDefault="00387142" w:rsidP="00387142">
      <w:pPr>
        <w:ind w:right="-427" w:firstLine="709"/>
        <w:jc w:val="both"/>
        <w:rPr>
          <w:sz w:val="20"/>
          <w:szCs w:val="20"/>
        </w:rPr>
      </w:pPr>
      <w:r w:rsidRPr="008B6A75">
        <w:rPr>
          <w:sz w:val="20"/>
          <w:szCs w:val="20"/>
        </w:rPr>
        <w:t>2) пункт 36 изложить в следующей редакции:</w:t>
      </w:r>
    </w:p>
    <w:p w14:paraId="47B71390" w14:textId="77777777" w:rsidR="00387142" w:rsidRPr="008B6A75" w:rsidRDefault="00387142" w:rsidP="00387142">
      <w:pPr>
        <w:ind w:right="-427" w:firstLine="709"/>
        <w:jc w:val="both"/>
        <w:rPr>
          <w:sz w:val="20"/>
          <w:szCs w:val="20"/>
        </w:rPr>
      </w:pPr>
      <w:r w:rsidRPr="008B6A75">
        <w:rPr>
          <w:sz w:val="20"/>
          <w:szCs w:val="20"/>
        </w:rPr>
        <w:t>«36)</w:t>
      </w:r>
      <w:r w:rsidRPr="008B6A75">
        <w:rPr>
          <w:color w:val="000000"/>
          <w:sz w:val="20"/>
          <w:szCs w:val="20"/>
        </w:rPr>
        <w:t xml:space="preserve"> обеспечение выполнения работ, необходимых для создания искусственных земельных участков для нужд муниципального района в соответствии с федеральным </w:t>
      </w:r>
      <w:hyperlink r:id="rId13" w:history="1">
        <w:r w:rsidRPr="008B6A75">
          <w:rPr>
            <w:color w:val="000000"/>
            <w:sz w:val="20"/>
            <w:szCs w:val="20"/>
          </w:rPr>
          <w:t>законом</w:t>
        </w:r>
      </w:hyperlink>
      <w:r w:rsidRPr="008B6A75">
        <w:rPr>
          <w:color w:val="000000"/>
          <w:sz w:val="20"/>
          <w:szCs w:val="20"/>
        </w:rPr>
        <w:t>;»</w:t>
      </w:r>
      <w:r w:rsidRPr="008B6A75">
        <w:rPr>
          <w:sz w:val="20"/>
          <w:szCs w:val="20"/>
        </w:rPr>
        <w:t>;</w:t>
      </w:r>
    </w:p>
    <w:p w14:paraId="55764C75" w14:textId="77777777" w:rsidR="00387142" w:rsidRPr="008B6A75" w:rsidRDefault="00387142" w:rsidP="00387142">
      <w:pPr>
        <w:autoSpaceDE w:val="0"/>
        <w:autoSpaceDN w:val="0"/>
        <w:adjustRightInd w:val="0"/>
        <w:ind w:right="-427" w:firstLine="709"/>
        <w:jc w:val="both"/>
        <w:rPr>
          <w:sz w:val="20"/>
          <w:szCs w:val="20"/>
        </w:rPr>
      </w:pPr>
      <w:r w:rsidRPr="008B6A75">
        <w:rPr>
          <w:sz w:val="20"/>
          <w:szCs w:val="20"/>
        </w:rPr>
        <w:t>3) дополнить пунктами 45 и 46 следующего содержания:</w:t>
      </w:r>
    </w:p>
    <w:p w14:paraId="366019D8" w14:textId="77777777" w:rsidR="00387142" w:rsidRPr="008B6A75" w:rsidRDefault="00387142" w:rsidP="00387142">
      <w:pPr>
        <w:autoSpaceDE w:val="0"/>
        <w:autoSpaceDN w:val="0"/>
        <w:adjustRightInd w:val="0"/>
        <w:ind w:right="-427" w:firstLine="709"/>
        <w:jc w:val="both"/>
        <w:rPr>
          <w:sz w:val="20"/>
          <w:szCs w:val="20"/>
        </w:rPr>
      </w:pPr>
      <w:r w:rsidRPr="008B6A75">
        <w:rPr>
          <w:sz w:val="20"/>
          <w:szCs w:val="20"/>
        </w:rPr>
        <w:t>«45) принятие решений о создании, об упразднении лесничеств, создаваемых в их составе участковых лесничеств, расположенных на землях населенных пунктов сельских поселений,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сельских поселений;</w:t>
      </w:r>
    </w:p>
    <w:p w14:paraId="1FCC382E" w14:textId="77777777" w:rsidR="00387142" w:rsidRPr="008B6A75" w:rsidRDefault="00387142" w:rsidP="00387142">
      <w:pPr>
        <w:autoSpaceDE w:val="0"/>
        <w:autoSpaceDN w:val="0"/>
        <w:adjustRightInd w:val="0"/>
        <w:ind w:right="-427" w:firstLine="709"/>
        <w:jc w:val="both"/>
        <w:rPr>
          <w:sz w:val="20"/>
          <w:szCs w:val="20"/>
        </w:rPr>
      </w:pPr>
      <w:r w:rsidRPr="008B6A75">
        <w:rPr>
          <w:sz w:val="20"/>
          <w:szCs w:val="20"/>
        </w:rPr>
        <w:t>46) осуществление мероприятий по лесоустройству в отношении лесов, расположенных на землях населенных пунктов сельских поселений.».</w:t>
      </w:r>
    </w:p>
    <w:p w14:paraId="789405D6" w14:textId="77777777" w:rsidR="00387142" w:rsidRPr="008B6A75" w:rsidRDefault="00387142" w:rsidP="00387142">
      <w:pPr>
        <w:autoSpaceDE w:val="0"/>
        <w:autoSpaceDN w:val="0"/>
        <w:adjustRightInd w:val="0"/>
        <w:ind w:right="-427" w:firstLine="709"/>
        <w:jc w:val="both"/>
        <w:rPr>
          <w:sz w:val="20"/>
          <w:szCs w:val="20"/>
        </w:rPr>
      </w:pPr>
    </w:p>
    <w:p w14:paraId="61B0EDBC" w14:textId="77777777" w:rsidR="00387142" w:rsidRPr="008B6A75" w:rsidRDefault="00387142" w:rsidP="00387142">
      <w:pPr>
        <w:ind w:right="-427" w:firstLine="709"/>
        <w:jc w:val="both"/>
        <w:rPr>
          <w:sz w:val="20"/>
          <w:szCs w:val="20"/>
        </w:rPr>
      </w:pPr>
      <w:r w:rsidRPr="008B6A75">
        <w:rPr>
          <w:sz w:val="20"/>
          <w:szCs w:val="20"/>
        </w:rPr>
        <w:t>3. Часть 1 статьи 6 «Права органов местного самоуправления Куйбышевского района на решение вопросов, не отнесенных к вопросам местного значения Куйбышевского района» дополнить пунктом 16 следующего содержания:</w:t>
      </w:r>
    </w:p>
    <w:p w14:paraId="5B9D1D09" w14:textId="77777777" w:rsidR="00387142" w:rsidRPr="008B6A75" w:rsidRDefault="00387142" w:rsidP="00387142">
      <w:pPr>
        <w:ind w:right="-427" w:firstLine="709"/>
        <w:jc w:val="both"/>
        <w:rPr>
          <w:sz w:val="20"/>
          <w:szCs w:val="20"/>
        </w:rPr>
      </w:pPr>
      <w:r w:rsidRPr="008B6A75">
        <w:rPr>
          <w:sz w:val="20"/>
          <w:szCs w:val="20"/>
        </w:rPr>
        <w:t>«16) создание муниципальной пожарной охраны.».</w:t>
      </w:r>
    </w:p>
    <w:p w14:paraId="356FD702" w14:textId="77777777" w:rsidR="00387142" w:rsidRPr="008B6A75" w:rsidRDefault="00387142" w:rsidP="00387142">
      <w:pPr>
        <w:ind w:right="-427" w:firstLine="709"/>
        <w:jc w:val="both"/>
        <w:rPr>
          <w:sz w:val="20"/>
          <w:szCs w:val="20"/>
        </w:rPr>
      </w:pPr>
    </w:p>
    <w:p w14:paraId="1E98416B" w14:textId="77777777" w:rsidR="00387142" w:rsidRPr="008B6A75" w:rsidRDefault="00387142" w:rsidP="00387142">
      <w:pPr>
        <w:autoSpaceDE w:val="0"/>
        <w:autoSpaceDN w:val="0"/>
        <w:adjustRightInd w:val="0"/>
        <w:ind w:right="-427" w:firstLine="709"/>
        <w:jc w:val="both"/>
        <w:outlineLvl w:val="0"/>
        <w:rPr>
          <w:color w:val="000000"/>
          <w:spacing w:val="-2"/>
          <w:sz w:val="20"/>
          <w:szCs w:val="20"/>
        </w:rPr>
      </w:pPr>
      <w:r w:rsidRPr="008B6A75">
        <w:rPr>
          <w:sz w:val="20"/>
          <w:szCs w:val="20"/>
        </w:rPr>
        <w:lastRenderedPageBreak/>
        <w:t>4. </w:t>
      </w:r>
      <w:r w:rsidRPr="008B6A75">
        <w:rPr>
          <w:color w:val="000000"/>
          <w:spacing w:val="-2"/>
          <w:sz w:val="20"/>
          <w:szCs w:val="20"/>
        </w:rPr>
        <w:t>В абзаце 2 части 2 с</w:t>
      </w:r>
      <w:r w:rsidRPr="008B6A75">
        <w:rPr>
          <w:sz w:val="20"/>
          <w:szCs w:val="20"/>
        </w:rPr>
        <w:t>татьи 7 «Местный референдум»</w:t>
      </w:r>
      <w:r w:rsidRPr="008B6A75">
        <w:rPr>
          <w:color w:val="000000"/>
          <w:spacing w:val="-2"/>
          <w:sz w:val="20"/>
          <w:szCs w:val="20"/>
        </w:rPr>
        <w:t xml:space="preserve"> слова «</w:t>
      </w:r>
      <w:r w:rsidRPr="008B6A75">
        <w:rPr>
          <w:sz w:val="20"/>
          <w:szCs w:val="20"/>
        </w:rPr>
        <w:t>избирательной комиссией Куйбышевского района» заменить словами «</w:t>
      </w:r>
      <w:r w:rsidRPr="008B6A75">
        <w:rPr>
          <w:color w:val="000000"/>
          <w:spacing w:val="-2"/>
          <w:sz w:val="20"/>
          <w:szCs w:val="20"/>
        </w:rPr>
        <w:t>комиссией, организующей подготовку и проведение местного референдума».</w:t>
      </w:r>
    </w:p>
    <w:p w14:paraId="5212699B" w14:textId="77777777" w:rsidR="00387142" w:rsidRPr="008B6A75" w:rsidRDefault="00387142" w:rsidP="00387142">
      <w:pPr>
        <w:autoSpaceDE w:val="0"/>
        <w:autoSpaceDN w:val="0"/>
        <w:adjustRightInd w:val="0"/>
        <w:ind w:right="-427"/>
        <w:jc w:val="both"/>
        <w:outlineLvl w:val="0"/>
        <w:rPr>
          <w:color w:val="000000"/>
          <w:spacing w:val="-2"/>
          <w:sz w:val="20"/>
          <w:szCs w:val="20"/>
        </w:rPr>
      </w:pPr>
    </w:p>
    <w:p w14:paraId="276A40F1" w14:textId="77777777" w:rsidR="00387142" w:rsidRPr="008B6A75" w:rsidRDefault="00387142" w:rsidP="00387142">
      <w:pPr>
        <w:autoSpaceDE w:val="0"/>
        <w:autoSpaceDN w:val="0"/>
        <w:adjustRightInd w:val="0"/>
        <w:ind w:right="-427" w:firstLine="709"/>
        <w:jc w:val="both"/>
        <w:outlineLvl w:val="0"/>
        <w:rPr>
          <w:color w:val="000000"/>
          <w:spacing w:val="-2"/>
          <w:sz w:val="20"/>
          <w:szCs w:val="20"/>
        </w:rPr>
      </w:pPr>
      <w:r w:rsidRPr="008B6A75">
        <w:rPr>
          <w:color w:val="000000"/>
          <w:spacing w:val="-2"/>
          <w:sz w:val="20"/>
          <w:szCs w:val="20"/>
        </w:rPr>
        <w:t>5. В статье 9 «Голосование по отзыву депутата Совета депутатов, Главы Куйбышевского района»:</w:t>
      </w:r>
    </w:p>
    <w:p w14:paraId="324A2B07" w14:textId="77777777" w:rsidR="00387142" w:rsidRPr="008B6A75" w:rsidRDefault="00387142" w:rsidP="00387142">
      <w:pPr>
        <w:autoSpaceDE w:val="0"/>
        <w:autoSpaceDN w:val="0"/>
        <w:adjustRightInd w:val="0"/>
        <w:ind w:right="-427" w:firstLine="709"/>
        <w:jc w:val="both"/>
        <w:outlineLvl w:val="0"/>
        <w:rPr>
          <w:color w:val="000000"/>
          <w:spacing w:val="-2"/>
          <w:sz w:val="20"/>
          <w:szCs w:val="20"/>
        </w:rPr>
      </w:pPr>
      <w:r w:rsidRPr="008B6A75">
        <w:rPr>
          <w:color w:val="000000"/>
          <w:spacing w:val="-2"/>
          <w:sz w:val="20"/>
          <w:szCs w:val="20"/>
        </w:rPr>
        <w:t>1) в абзаце 2 части 4 слова «</w:t>
      </w:r>
      <w:r w:rsidRPr="008B6A75">
        <w:rPr>
          <w:color w:val="000000"/>
          <w:sz w:val="20"/>
          <w:szCs w:val="20"/>
        </w:rPr>
        <w:t>избирательную комиссию Куйбышевского района</w:t>
      </w:r>
      <w:r w:rsidRPr="008B6A75">
        <w:rPr>
          <w:color w:val="000000"/>
          <w:spacing w:val="-2"/>
          <w:sz w:val="20"/>
          <w:szCs w:val="20"/>
        </w:rPr>
        <w:t>» заменить словами «комиссию, организующую подготовку и проведение местного референдума,»;</w:t>
      </w:r>
    </w:p>
    <w:p w14:paraId="62617E56" w14:textId="77777777" w:rsidR="00387142" w:rsidRPr="008B6A75" w:rsidRDefault="00387142" w:rsidP="00387142">
      <w:pPr>
        <w:autoSpaceDE w:val="0"/>
        <w:autoSpaceDN w:val="0"/>
        <w:adjustRightInd w:val="0"/>
        <w:ind w:right="-427" w:firstLine="709"/>
        <w:jc w:val="both"/>
        <w:outlineLvl w:val="0"/>
        <w:rPr>
          <w:color w:val="000000"/>
          <w:spacing w:val="-2"/>
          <w:sz w:val="20"/>
          <w:szCs w:val="20"/>
        </w:rPr>
      </w:pPr>
      <w:r w:rsidRPr="008B6A75">
        <w:rPr>
          <w:color w:val="000000"/>
          <w:spacing w:val="-2"/>
          <w:sz w:val="20"/>
          <w:szCs w:val="20"/>
        </w:rPr>
        <w:t>2) в части 5:</w:t>
      </w:r>
    </w:p>
    <w:p w14:paraId="51389E6E" w14:textId="77777777" w:rsidR="00387142" w:rsidRPr="008B6A75" w:rsidRDefault="00387142" w:rsidP="00387142">
      <w:pPr>
        <w:autoSpaceDE w:val="0"/>
        <w:autoSpaceDN w:val="0"/>
        <w:adjustRightInd w:val="0"/>
        <w:ind w:right="-427" w:firstLine="709"/>
        <w:jc w:val="both"/>
        <w:outlineLvl w:val="0"/>
        <w:rPr>
          <w:color w:val="000000"/>
          <w:spacing w:val="-2"/>
          <w:sz w:val="20"/>
          <w:szCs w:val="20"/>
        </w:rPr>
      </w:pPr>
      <w:r w:rsidRPr="008B6A75">
        <w:rPr>
          <w:color w:val="000000"/>
          <w:spacing w:val="-2"/>
          <w:sz w:val="20"/>
          <w:szCs w:val="20"/>
        </w:rPr>
        <w:t>а) в абзаце 1 слова «избирательную комиссию Куйбышевского района» заменить словами «комиссию, организующую подготовку и проведение местного референдума,»;</w:t>
      </w:r>
    </w:p>
    <w:p w14:paraId="0422BF1A" w14:textId="77777777" w:rsidR="00387142" w:rsidRPr="008B6A75" w:rsidRDefault="00387142" w:rsidP="00387142">
      <w:pPr>
        <w:autoSpaceDE w:val="0"/>
        <w:autoSpaceDN w:val="0"/>
        <w:adjustRightInd w:val="0"/>
        <w:ind w:right="-427" w:firstLine="709"/>
        <w:jc w:val="both"/>
        <w:outlineLvl w:val="0"/>
        <w:rPr>
          <w:color w:val="000000"/>
          <w:spacing w:val="-2"/>
          <w:sz w:val="20"/>
          <w:szCs w:val="20"/>
        </w:rPr>
      </w:pPr>
      <w:r w:rsidRPr="008B6A75">
        <w:rPr>
          <w:color w:val="000000"/>
          <w:spacing w:val="-2"/>
          <w:sz w:val="20"/>
          <w:szCs w:val="20"/>
          <w:u w:val="single"/>
        </w:rPr>
        <w:t>б) в абзаце 4</w:t>
      </w:r>
      <w:r w:rsidRPr="008B6A75">
        <w:rPr>
          <w:color w:val="000000"/>
          <w:spacing w:val="-2"/>
          <w:sz w:val="20"/>
          <w:szCs w:val="20"/>
        </w:rPr>
        <w:t xml:space="preserve"> слова «</w:t>
      </w:r>
      <w:r w:rsidRPr="008B6A75">
        <w:rPr>
          <w:color w:val="000000"/>
          <w:sz w:val="20"/>
          <w:szCs w:val="20"/>
        </w:rPr>
        <w:t>Избирательная комиссия Куйбышевского района» заменить словами «К</w:t>
      </w:r>
      <w:r w:rsidRPr="008B6A75">
        <w:rPr>
          <w:color w:val="000000"/>
          <w:spacing w:val="-2"/>
          <w:sz w:val="20"/>
          <w:szCs w:val="20"/>
        </w:rPr>
        <w:t>омиссия, организующая подготовку и проведение местного референдума,»;</w:t>
      </w:r>
    </w:p>
    <w:p w14:paraId="4409F374" w14:textId="77777777" w:rsidR="00387142" w:rsidRPr="008B6A75" w:rsidRDefault="00387142" w:rsidP="00387142">
      <w:pPr>
        <w:autoSpaceDE w:val="0"/>
        <w:autoSpaceDN w:val="0"/>
        <w:adjustRightInd w:val="0"/>
        <w:ind w:right="-427" w:firstLine="709"/>
        <w:jc w:val="both"/>
        <w:outlineLvl w:val="0"/>
        <w:rPr>
          <w:color w:val="000000"/>
          <w:spacing w:val="-2"/>
          <w:sz w:val="20"/>
          <w:szCs w:val="20"/>
          <w:u w:val="single"/>
        </w:rPr>
      </w:pPr>
      <w:r w:rsidRPr="008B6A75">
        <w:rPr>
          <w:color w:val="000000"/>
          <w:spacing w:val="-2"/>
          <w:sz w:val="20"/>
          <w:szCs w:val="20"/>
          <w:u w:val="single"/>
        </w:rPr>
        <w:t>в) в абзаце 7:</w:t>
      </w:r>
    </w:p>
    <w:p w14:paraId="4CCD8D05" w14:textId="77777777" w:rsidR="00387142" w:rsidRPr="008B6A75" w:rsidRDefault="00387142" w:rsidP="00387142">
      <w:pPr>
        <w:autoSpaceDE w:val="0"/>
        <w:autoSpaceDN w:val="0"/>
        <w:adjustRightInd w:val="0"/>
        <w:ind w:right="-427" w:firstLine="709"/>
        <w:jc w:val="both"/>
        <w:outlineLvl w:val="0"/>
        <w:rPr>
          <w:color w:val="000000"/>
          <w:sz w:val="20"/>
          <w:szCs w:val="20"/>
        </w:rPr>
      </w:pPr>
      <w:r w:rsidRPr="008B6A75">
        <w:rPr>
          <w:color w:val="000000"/>
          <w:spacing w:val="-2"/>
          <w:sz w:val="20"/>
          <w:szCs w:val="20"/>
        </w:rPr>
        <w:t>- слова «</w:t>
      </w:r>
      <w:r w:rsidRPr="008B6A75">
        <w:rPr>
          <w:color w:val="000000"/>
          <w:sz w:val="20"/>
          <w:szCs w:val="20"/>
        </w:rPr>
        <w:t>После принятия решения о регистрации инициативной группы избирательная комиссия Куйбышевского района» заменить словами «После принятия решения о регистрации инициативной группы комиссия, организующая подготовку и проведение местного референдума,»;</w:t>
      </w:r>
    </w:p>
    <w:p w14:paraId="04A7D788" w14:textId="77777777" w:rsidR="00387142" w:rsidRPr="008B6A75" w:rsidRDefault="00387142" w:rsidP="00387142">
      <w:pPr>
        <w:autoSpaceDE w:val="0"/>
        <w:autoSpaceDN w:val="0"/>
        <w:adjustRightInd w:val="0"/>
        <w:ind w:right="-427" w:firstLine="709"/>
        <w:jc w:val="both"/>
        <w:outlineLvl w:val="0"/>
        <w:rPr>
          <w:color w:val="000000"/>
          <w:sz w:val="20"/>
          <w:szCs w:val="20"/>
        </w:rPr>
      </w:pPr>
      <w:r w:rsidRPr="008B6A75">
        <w:rPr>
          <w:color w:val="000000"/>
          <w:sz w:val="20"/>
          <w:szCs w:val="20"/>
        </w:rPr>
        <w:t>- слова «форма которого утверждается избирательной комиссией Куйбышевского района,» заменить словами «форма которого утверждается к</w:t>
      </w:r>
      <w:r w:rsidRPr="008B6A75">
        <w:rPr>
          <w:color w:val="000000"/>
          <w:spacing w:val="-2"/>
          <w:sz w:val="20"/>
          <w:szCs w:val="20"/>
        </w:rPr>
        <w:t>омиссией, организующей подготовку и проведение местного референдума</w:t>
      </w:r>
      <w:r w:rsidRPr="008B6A75">
        <w:rPr>
          <w:color w:val="000000"/>
          <w:sz w:val="20"/>
          <w:szCs w:val="20"/>
        </w:rPr>
        <w:t>»;</w:t>
      </w:r>
    </w:p>
    <w:p w14:paraId="3604204C" w14:textId="77777777" w:rsidR="00387142" w:rsidRPr="008B6A75" w:rsidRDefault="00387142" w:rsidP="00387142">
      <w:pPr>
        <w:autoSpaceDE w:val="0"/>
        <w:autoSpaceDN w:val="0"/>
        <w:adjustRightInd w:val="0"/>
        <w:ind w:right="-427" w:firstLine="709"/>
        <w:jc w:val="both"/>
        <w:outlineLvl w:val="0"/>
        <w:rPr>
          <w:color w:val="000000"/>
          <w:spacing w:val="-2"/>
          <w:sz w:val="20"/>
          <w:szCs w:val="20"/>
        </w:rPr>
      </w:pPr>
      <w:r w:rsidRPr="008B6A75">
        <w:rPr>
          <w:color w:val="000000"/>
          <w:spacing w:val="-2"/>
          <w:sz w:val="20"/>
          <w:szCs w:val="20"/>
        </w:rPr>
        <w:t>3) в части 6:</w:t>
      </w:r>
    </w:p>
    <w:p w14:paraId="5757DDAC" w14:textId="77777777" w:rsidR="00387142" w:rsidRPr="008B6A75" w:rsidRDefault="00387142" w:rsidP="00387142">
      <w:pPr>
        <w:autoSpaceDE w:val="0"/>
        <w:autoSpaceDN w:val="0"/>
        <w:adjustRightInd w:val="0"/>
        <w:ind w:right="-427" w:firstLine="709"/>
        <w:jc w:val="both"/>
        <w:outlineLvl w:val="0"/>
        <w:rPr>
          <w:color w:val="000000"/>
          <w:spacing w:val="-2"/>
          <w:sz w:val="20"/>
          <w:szCs w:val="20"/>
        </w:rPr>
      </w:pPr>
      <w:r w:rsidRPr="008B6A75">
        <w:rPr>
          <w:color w:val="000000"/>
          <w:spacing w:val="-2"/>
          <w:sz w:val="20"/>
          <w:szCs w:val="20"/>
        </w:rPr>
        <w:t>а) в абзаце 1 слова «избирательную комиссию Куйбышевского района» заменить словами «комиссию, организующую подготовку и проведение местного референдума»;</w:t>
      </w:r>
    </w:p>
    <w:p w14:paraId="60DFF60F" w14:textId="77777777" w:rsidR="00387142" w:rsidRPr="008B6A75" w:rsidRDefault="00387142" w:rsidP="00387142">
      <w:pPr>
        <w:autoSpaceDE w:val="0"/>
        <w:autoSpaceDN w:val="0"/>
        <w:adjustRightInd w:val="0"/>
        <w:ind w:right="-427" w:firstLine="709"/>
        <w:jc w:val="both"/>
        <w:outlineLvl w:val="0"/>
        <w:rPr>
          <w:color w:val="000000"/>
          <w:spacing w:val="-2"/>
          <w:sz w:val="20"/>
          <w:szCs w:val="20"/>
          <w:u w:val="single"/>
        </w:rPr>
      </w:pPr>
      <w:r w:rsidRPr="008B6A75">
        <w:rPr>
          <w:color w:val="000000"/>
          <w:spacing w:val="-2"/>
          <w:sz w:val="20"/>
          <w:szCs w:val="20"/>
          <w:u w:val="single"/>
        </w:rPr>
        <w:t>б) в абзаце 3:</w:t>
      </w:r>
    </w:p>
    <w:p w14:paraId="0AEF90D8" w14:textId="77777777" w:rsidR="00387142" w:rsidRPr="008B6A75" w:rsidRDefault="00387142" w:rsidP="00387142">
      <w:pPr>
        <w:autoSpaceDE w:val="0"/>
        <w:autoSpaceDN w:val="0"/>
        <w:adjustRightInd w:val="0"/>
        <w:ind w:right="-427" w:firstLine="709"/>
        <w:jc w:val="both"/>
        <w:outlineLvl w:val="0"/>
        <w:rPr>
          <w:color w:val="000000"/>
          <w:spacing w:val="-2"/>
          <w:sz w:val="20"/>
          <w:szCs w:val="20"/>
        </w:rPr>
      </w:pPr>
      <w:r w:rsidRPr="008B6A75">
        <w:rPr>
          <w:color w:val="000000"/>
          <w:spacing w:val="-2"/>
          <w:sz w:val="20"/>
          <w:szCs w:val="20"/>
        </w:rPr>
        <w:t>- слова «</w:t>
      </w:r>
      <w:r w:rsidRPr="008B6A75">
        <w:rPr>
          <w:color w:val="000000"/>
          <w:sz w:val="20"/>
          <w:szCs w:val="20"/>
        </w:rPr>
        <w:t>Избирательная комиссия Куйбышевского района» заменить словами «К</w:t>
      </w:r>
      <w:r w:rsidRPr="008B6A75">
        <w:rPr>
          <w:color w:val="000000"/>
          <w:spacing w:val="-2"/>
          <w:sz w:val="20"/>
          <w:szCs w:val="20"/>
        </w:rPr>
        <w:t>омиссия, организующая подготовку и проведение местного референдума,»;</w:t>
      </w:r>
    </w:p>
    <w:p w14:paraId="23945775" w14:textId="77777777" w:rsidR="00387142" w:rsidRPr="008B6A75" w:rsidRDefault="00387142" w:rsidP="00387142">
      <w:pPr>
        <w:autoSpaceDE w:val="0"/>
        <w:autoSpaceDN w:val="0"/>
        <w:adjustRightInd w:val="0"/>
        <w:ind w:right="-427" w:firstLine="709"/>
        <w:jc w:val="both"/>
        <w:outlineLvl w:val="0"/>
        <w:rPr>
          <w:color w:val="000000"/>
          <w:sz w:val="20"/>
          <w:szCs w:val="20"/>
        </w:rPr>
      </w:pPr>
      <w:r w:rsidRPr="008B6A75">
        <w:rPr>
          <w:color w:val="000000"/>
          <w:sz w:val="20"/>
          <w:szCs w:val="20"/>
        </w:rPr>
        <w:t>- слова «оформляются итоговым протоколом избирательной комиссии Куйбышевского района» заменить словами «оформляются итоговым протоколом к</w:t>
      </w:r>
      <w:r w:rsidRPr="008B6A75">
        <w:rPr>
          <w:color w:val="000000"/>
          <w:spacing w:val="-2"/>
          <w:sz w:val="20"/>
          <w:szCs w:val="20"/>
        </w:rPr>
        <w:t>омиссии, организующей подготовку и проведение местного референдума</w:t>
      </w:r>
      <w:r w:rsidRPr="008B6A75">
        <w:rPr>
          <w:color w:val="000000"/>
          <w:sz w:val="20"/>
          <w:szCs w:val="20"/>
        </w:rPr>
        <w:t>»;</w:t>
      </w:r>
    </w:p>
    <w:p w14:paraId="0CEBE4B2" w14:textId="77777777" w:rsidR="00387142" w:rsidRPr="008B6A75" w:rsidRDefault="00387142" w:rsidP="00387142">
      <w:pPr>
        <w:autoSpaceDE w:val="0"/>
        <w:autoSpaceDN w:val="0"/>
        <w:adjustRightInd w:val="0"/>
        <w:ind w:right="-427" w:firstLine="709"/>
        <w:jc w:val="both"/>
        <w:outlineLvl w:val="0"/>
        <w:rPr>
          <w:color w:val="000000"/>
          <w:spacing w:val="-2"/>
          <w:sz w:val="20"/>
          <w:szCs w:val="20"/>
          <w:u w:val="single"/>
        </w:rPr>
      </w:pPr>
      <w:r w:rsidRPr="008B6A75">
        <w:rPr>
          <w:color w:val="000000"/>
          <w:spacing w:val="-2"/>
          <w:sz w:val="20"/>
          <w:szCs w:val="20"/>
          <w:u w:val="single"/>
        </w:rPr>
        <w:t>в) в абзаце 4:</w:t>
      </w:r>
    </w:p>
    <w:p w14:paraId="50B13530" w14:textId="77777777" w:rsidR="00387142" w:rsidRPr="008B6A75" w:rsidRDefault="00387142" w:rsidP="00387142">
      <w:pPr>
        <w:autoSpaceDE w:val="0"/>
        <w:autoSpaceDN w:val="0"/>
        <w:adjustRightInd w:val="0"/>
        <w:ind w:right="-427" w:firstLine="709"/>
        <w:jc w:val="both"/>
        <w:outlineLvl w:val="0"/>
        <w:rPr>
          <w:color w:val="000000"/>
          <w:spacing w:val="-2"/>
          <w:sz w:val="20"/>
          <w:szCs w:val="20"/>
        </w:rPr>
      </w:pPr>
      <w:r w:rsidRPr="008B6A75">
        <w:rPr>
          <w:color w:val="000000"/>
          <w:spacing w:val="-2"/>
          <w:sz w:val="20"/>
          <w:szCs w:val="20"/>
        </w:rPr>
        <w:t>- слова «</w:t>
      </w:r>
      <w:r w:rsidRPr="008B6A75">
        <w:rPr>
          <w:color w:val="000000"/>
          <w:sz w:val="20"/>
          <w:szCs w:val="20"/>
        </w:rPr>
        <w:t>избирательная комиссия Куйбышевского района» заменить словами «к</w:t>
      </w:r>
      <w:r w:rsidRPr="008B6A75">
        <w:rPr>
          <w:color w:val="000000"/>
          <w:spacing w:val="-2"/>
          <w:sz w:val="20"/>
          <w:szCs w:val="20"/>
        </w:rPr>
        <w:t>омиссия, организующая подготовку и проведение местного референдума,»;</w:t>
      </w:r>
    </w:p>
    <w:p w14:paraId="395258F1" w14:textId="77777777" w:rsidR="00387142" w:rsidRPr="008B6A75" w:rsidRDefault="00387142" w:rsidP="00387142">
      <w:pPr>
        <w:autoSpaceDE w:val="0"/>
        <w:autoSpaceDN w:val="0"/>
        <w:adjustRightInd w:val="0"/>
        <w:ind w:right="-427" w:firstLine="709"/>
        <w:jc w:val="both"/>
        <w:outlineLvl w:val="0"/>
        <w:rPr>
          <w:color w:val="000000"/>
          <w:sz w:val="20"/>
          <w:szCs w:val="20"/>
        </w:rPr>
      </w:pPr>
      <w:r w:rsidRPr="008B6A75">
        <w:rPr>
          <w:color w:val="000000"/>
          <w:spacing w:val="-2"/>
          <w:sz w:val="20"/>
          <w:szCs w:val="20"/>
        </w:rPr>
        <w:t>- слова «</w:t>
      </w:r>
      <w:r w:rsidRPr="008B6A75">
        <w:rPr>
          <w:color w:val="000000"/>
          <w:sz w:val="20"/>
          <w:szCs w:val="20"/>
        </w:rPr>
        <w:t>копию решения избирательной комиссии с изложением оснований отказа.» заменить словами «копию решения к</w:t>
      </w:r>
      <w:r w:rsidRPr="008B6A75">
        <w:rPr>
          <w:color w:val="000000"/>
          <w:spacing w:val="-2"/>
          <w:sz w:val="20"/>
          <w:szCs w:val="20"/>
        </w:rPr>
        <w:t>омиссии, организующей подготовку и проведение местного референдума,</w:t>
      </w:r>
      <w:r w:rsidRPr="008B6A75">
        <w:rPr>
          <w:color w:val="000000"/>
          <w:sz w:val="20"/>
          <w:szCs w:val="20"/>
        </w:rPr>
        <w:t xml:space="preserve"> с изложением оснований отказа.»;</w:t>
      </w:r>
    </w:p>
    <w:p w14:paraId="272ADB9C" w14:textId="77777777" w:rsidR="00387142" w:rsidRPr="008B6A75" w:rsidRDefault="00387142" w:rsidP="00387142">
      <w:pPr>
        <w:autoSpaceDE w:val="0"/>
        <w:autoSpaceDN w:val="0"/>
        <w:adjustRightInd w:val="0"/>
        <w:ind w:right="-427" w:firstLine="709"/>
        <w:jc w:val="both"/>
        <w:outlineLvl w:val="0"/>
        <w:rPr>
          <w:color w:val="000000"/>
          <w:sz w:val="20"/>
          <w:szCs w:val="20"/>
          <w:u w:val="single"/>
        </w:rPr>
      </w:pPr>
      <w:r w:rsidRPr="008B6A75">
        <w:rPr>
          <w:color w:val="000000"/>
          <w:sz w:val="20"/>
          <w:szCs w:val="20"/>
          <w:u w:val="single"/>
        </w:rPr>
        <w:t>г) в абзаце 5:</w:t>
      </w:r>
    </w:p>
    <w:p w14:paraId="3237C325" w14:textId="77777777" w:rsidR="00387142" w:rsidRPr="008B6A75" w:rsidRDefault="00387142" w:rsidP="00387142">
      <w:pPr>
        <w:autoSpaceDE w:val="0"/>
        <w:autoSpaceDN w:val="0"/>
        <w:adjustRightInd w:val="0"/>
        <w:ind w:right="-427" w:firstLine="709"/>
        <w:jc w:val="both"/>
        <w:outlineLvl w:val="0"/>
        <w:rPr>
          <w:color w:val="000000"/>
          <w:sz w:val="20"/>
          <w:szCs w:val="20"/>
        </w:rPr>
      </w:pPr>
      <w:r w:rsidRPr="008B6A75">
        <w:rPr>
          <w:color w:val="000000"/>
          <w:sz w:val="20"/>
          <w:szCs w:val="20"/>
        </w:rPr>
        <w:t>- слова «избирательная комиссия Куйбышевского района принимает соответствующее решение» заменить словами «к</w:t>
      </w:r>
      <w:r w:rsidRPr="008B6A75">
        <w:rPr>
          <w:color w:val="000000"/>
          <w:spacing w:val="-2"/>
          <w:sz w:val="20"/>
          <w:szCs w:val="20"/>
        </w:rPr>
        <w:t>омиссия, организующая подготовку и проведение местного референдума,</w:t>
      </w:r>
      <w:r w:rsidRPr="008B6A75">
        <w:rPr>
          <w:color w:val="000000"/>
          <w:sz w:val="20"/>
          <w:szCs w:val="20"/>
        </w:rPr>
        <w:t xml:space="preserve"> принимает соответствующее решение»;</w:t>
      </w:r>
    </w:p>
    <w:p w14:paraId="20462342" w14:textId="77777777" w:rsidR="00387142" w:rsidRPr="008B6A75" w:rsidRDefault="00387142" w:rsidP="00387142">
      <w:pPr>
        <w:autoSpaceDE w:val="0"/>
        <w:autoSpaceDN w:val="0"/>
        <w:adjustRightInd w:val="0"/>
        <w:ind w:right="-427" w:firstLine="709"/>
        <w:jc w:val="both"/>
        <w:outlineLvl w:val="0"/>
        <w:rPr>
          <w:color w:val="000000"/>
          <w:sz w:val="20"/>
          <w:szCs w:val="20"/>
        </w:rPr>
      </w:pPr>
      <w:r w:rsidRPr="008B6A75">
        <w:rPr>
          <w:color w:val="000000"/>
          <w:sz w:val="20"/>
          <w:szCs w:val="20"/>
        </w:rPr>
        <w:t>- слова «В течение 15 дней со дня поступления копии решения избирательной комиссии Куйбышевского района» заменить словами «В течение 15 дней со дня поступления копии решения комиссия, организующая подготовку и проведение местного референдума,»;</w:t>
      </w:r>
    </w:p>
    <w:p w14:paraId="3DC35306" w14:textId="77777777" w:rsidR="00387142" w:rsidRPr="008B6A75" w:rsidRDefault="00387142" w:rsidP="00387142">
      <w:pPr>
        <w:autoSpaceDE w:val="0"/>
        <w:autoSpaceDN w:val="0"/>
        <w:adjustRightInd w:val="0"/>
        <w:ind w:right="-427" w:firstLine="709"/>
        <w:jc w:val="both"/>
        <w:outlineLvl w:val="0"/>
        <w:rPr>
          <w:color w:val="000000"/>
          <w:sz w:val="20"/>
          <w:szCs w:val="20"/>
        </w:rPr>
      </w:pPr>
      <w:r w:rsidRPr="008B6A75">
        <w:rPr>
          <w:color w:val="000000"/>
          <w:spacing w:val="-2"/>
          <w:sz w:val="20"/>
          <w:szCs w:val="20"/>
        </w:rPr>
        <w:t>4) в части 7 слова «</w:t>
      </w:r>
      <w:r w:rsidRPr="008B6A75">
        <w:rPr>
          <w:color w:val="000000"/>
          <w:sz w:val="20"/>
          <w:szCs w:val="20"/>
        </w:rPr>
        <w:t>избирательной комиссии Куйбышевского района» заменить словами «к</w:t>
      </w:r>
      <w:r w:rsidRPr="008B6A75">
        <w:rPr>
          <w:color w:val="000000"/>
          <w:spacing w:val="-2"/>
          <w:sz w:val="20"/>
          <w:szCs w:val="20"/>
        </w:rPr>
        <w:t>омиссии, организующей подготовку и проведение местного референдума,</w:t>
      </w:r>
      <w:r w:rsidRPr="008B6A75">
        <w:rPr>
          <w:color w:val="000000"/>
          <w:sz w:val="20"/>
          <w:szCs w:val="20"/>
        </w:rPr>
        <w:t>»;</w:t>
      </w:r>
    </w:p>
    <w:p w14:paraId="0954E1ED" w14:textId="77777777" w:rsidR="00387142" w:rsidRPr="008B6A75" w:rsidRDefault="00387142" w:rsidP="00387142">
      <w:pPr>
        <w:autoSpaceDE w:val="0"/>
        <w:autoSpaceDN w:val="0"/>
        <w:adjustRightInd w:val="0"/>
        <w:ind w:right="-427" w:firstLine="709"/>
        <w:jc w:val="both"/>
        <w:outlineLvl w:val="0"/>
        <w:rPr>
          <w:color w:val="000000"/>
          <w:spacing w:val="-2"/>
          <w:sz w:val="20"/>
          <w:szCs w:val="20"/>
        </w:rPr>
      </w:pPr>
      <w:r w:rsidRPr="008B6A75">
        <w:rPr>
          <w:color w:val="000000"/>
          <w:sz w:val="20"/>
          <w:szCs w:val="20"/>
        </w:rPr>
        <w:t>5) в части 9 слова «(обнародованию)» исключить.</w:t>
      </w:r>
    </w:p>
    <w:p w14:paraId="186C0549" w14:textId="77777777" w:rsidR="00387142" w:rsidRPr="008B6A75" w:rsidRDefault="00387142" w:rsidP="00387142">
      <w:pPr>
        <w:autoSpaceDE w:val="0"/>
        <w:autoSpaceDN w:val="0"/>
        <w:adjustRightInd w:val="0"/>
        <w:ind w:right="-427" w:firstLine="709"/>
        <w:jc w:val="both"/>
        <w:outlineLvl w:val="0"/>
        <w:rPr>
          <w:color w:val="000000"/>
          <w:spacing w:val="-2"/>
          <w:sz w:val="20"/>
          <w:szCs w:val="20"/>
        </w:rPr>
      </w:pPr>
    </w:p>
    <w:p w14:paraId="0313803D" w14:textId="77777777" w:rsidR="00387142" w:rsidRPr="008B6A75" w:rsidRDefault="00387142" w:rsidP="00387142">
      <w:pPr>
        <w:autoSpaceDE w:val="0"/>
        <w:autoSpaceDN w:val="0"/>
        <w:adjustRightInd w:val="0"/>
        <w:ind w:right="-427" w:firstLine="709"/>
        <w:jc w:val="both"/>
        <w:outlineLvl w:val="0"/>
        <w:rPr>
          <w:color w:val="000000"/>
          <w:spacing w:val="-2"/>
          <w:sz w:val="20"/>
          <w:szCs w:val="20"/>
        </w:rPr>
      </w:pPr>
      <w:r w:rsidRPr="008B6A75">
        <w:rPr>
          <w:color w:val="000000"/>
          <w:sz w:val="20"/>
          <w:szCs w:val="20"/>
        </w:rPr>
        <w:t xml:space="preserve">6. В статье 10 «Голосование по вопросам изменения границ </w:t>
      </w:r>
      <w:r w:rsidRPr="008B6A75">
        <w:rPr>
          <w:bCs/>
          <w:color w:val="000000"/>
          <w:sz w:val="20"/>
          <w:szCs w:val="20"/>
        </w:rPr>
        <w:t>Куйбышевского</w:t>
      </w:r>
      <w:r w:rsidRPr="008B6A75">
        <w:rPr>
          <w:color w:val="000000"/>
          <w:sz w:val="20"/>
          <w:szCs w:val="20"/>
        </w:rPr>
        <w:t xml:space="preserve"> района, преобразования </w:t>
      </w:r>
      <w:r w:rsidRPr="008B6A75">
        <w:rPr>
          <w:bCs/>
          <w:color w:val="000000"/>
          <w:sz w:val="20"/>
          <w:szCs w:val="20"/>
        </w:rPr>
        <w:t>Куйбышевского</w:t>
      </w:r>
      <w:r w:rsidRPr="008B6A75">
        <w:rPr>
          <w:color w:val="000000"/>
          <w:sz w:val="20"/>
          <w:szCs w:val="20"/>
        </w:rPr>
        <w:t xml:space="preserve"> района»:</w:t>
      </w:r>
    </w:p>
    <w:p w14:paraId="1E2B58E9" w14:textId="77777777" w:rsidR="00387142" w:rsidRPr="008B6A75" w:rsidRDefault="00387142" w:rsidP="00387142">
      <w:pPr>
        <w:autoSpaceDE w:val="0"/>
        <w:autoSpaceDN w:val="0"/>
        <w:adjustRightInd w:val="0"/>
        <w:ind w:right="-427" w:firstLine="709"/>
        <w:jc w:val="both"/>
        <w:outlineLvl w:val="0"/>
        <w:rPr>
          <w:color w:val="000000"/>
          <w:spacing w:val="-2"/>
          <w:sz w:val="20"/>
          <w:szCs w:val="20"/>
        </w:rPr>
      </w:pPr>
      <w:r w:rsidRPr="008B6A75">
        <w:rPr>
          <w:color w:val="000000"/>
          <w:sz w:val="20"/>
          <w:szCs w:val="20"/>
        </w:rPr>
        <w:t xml:space="preserve">1) в абзаце 1 части 3 слова «в избирательную комиссию </w:t>
      </w:r>
      <w:r w:rsidRPr="008B6A75">
        <w:rPr>
          <w:bCs/>
          <w:color w:val="000000"/>
          <w:sz w:val="20"/>
          <w:szCs w:val="20"/>
        </w:rPr>
        <w:t>Куйбышевского</w:t>
      </w:r>
      <w:r w:rsidRPr="008B6A75">
        <w:rPr>
          <w:color w:val="000000"/>
          <w:sz w:val="20"/>
          <w:szCs w:val="20"/>
        </w:rPr>
        <w:t xml:space="preserve"> района» заменить словами «в к</w:t>
      </w:r>
      <w:r w:rsidRPr="008B6A75">
        <w:rPr>
          <w:color w:val="000000"/>
          <w:spacing w:val="-2"/>
          <w:sz w:val="20"/>
          <w:szCs w:val="20"/>
        </w:rPr>
        <w:t>омиссию, организующую подготовку и проведение местного референдума,»;</w:t>
      </w:r>
    </w:p>
    <w:p w14:paraId="7FFEB7B0" w14:textId="77777777" w:rsidR="00387142" w:rsidRPr="008B6A75" w:rsidRDefault="00387142" w:rsidP="00387142">
      <w:pPr>
        <w:autoSpaceDE w:val="0"/>
        <w:autoSpaceDN w:val="0"/>
        <w:adjustRightInd w:val="0"/>
        <w:ind w:right="-427" w:firstLine="709"/>
        <w:jc w:val="both"/>
        <w:outlineLvl w:val="0"/>
        <w:rPr>
          <w:color w:val="000000"/>
          <w:spacing w:val="-2"/>
          <w:sz w:val="20"/>
          <w:szCs w:val="20"/>
        </w:rPr>
      </w:pPr>
      <w:r w:rsidRPr="008B6A75">
        <w:rPr>
          <w:color w:val="000000"/>
          <w:sz w:val="20"/>
          <w:szCs w:val="20"/>
        </w:rPr>
        <w:t xml:space="preserve">2) в части 4 слова «избирательная комиссия </w:t>
      </w:r>
      <w:r w:rsidRPr="008B6A75">
        <w:rPr>
          <w:bCs/>
          <w:color w:val="000000"/>
          <w:sz w:val="20"/>
          <w:szCs w:val="20"/>
        </w:rPr>
        <w:t>Куйбышевского</w:t>
      </w:r>
      <w:r w:rsidRPr="008B6A75">
        <w:rPr>
          <w:color w:val="000000"/>
          <w:sz w:val="20"/>
          <w:szCs w:val="20"/>
        </w:rPr>
        <w:t xml:space="preserve"> района» заменить словами «к</w:t>
      </w:r>
      <w:r w:rsidRPr="008B6A75">
        <w:rPr>
          <w:color w:val="000000"/>
          <w:spacing w:val="-2"/>
          <w:sz w:val="20"/>
          <w:szCs w:val="20"/>
        </w:rPr>
        <w:t>омиссия, организующая подготовку и проведение местного референдума».</w:t>
      </w:r>
    </w:p>
    <w:p w14:paraId="69D9D1FF" w14:textId="77777777" w:rsidR="00387142" w:rsidRPr="008B6A75" w:rsidRDefault="00387142" w:rsidP="00387142">
      <w:pPr>
        <w:autoSpaceDE w:val="0"/>
        <w:autoSpaceDN w:val="0"/>
        <w:adjustRightInd w:val="0"/>
        <w:ind w:right="-427" w:firstLine="709"/>
        <w:jc w:val="both"/>
        <w:outlineLvl w:val="0"/>
        <w:rPr>
          <w:color w:val="000000"/>
          <w:spacing w:val="-2"/>
          <w:sz w:val="20"/>
          <w:szCs w:val="20"/>
        </w:rPr>
      </w:pPr>
    </w:p>
    <w:p w14:paraId="645A159A" w14:textId="77777777" w:rsidR="00387142" w:rsidRPr="008B6A75" w:rsidRDefault="00387142" w:rsidP="00387142">
      <w:pPr>
        <w:autoSpaceDE w:val="0"/>
        <w:autoSpaceDN w:val="0"/>
        <w:adjustRightInd w:val="0"/>
        <w:ind w:right="-427" w:firstLine="709"/>
        <w:jc w:val="both"/>
        <w:outlineLvl w:val="0"/>
        <w:rPr>
          <w:sz w:val="20"/>
          <w:szCs w:val="20"/>
        </w:rPr>
      </w:pPr>
      <w:r w:rsidRPr="008B6A75">
        <w:rPr>
          <w:sz w:val="20"/>
          <w:szCs w:val="20"/>
        </w:rPr>
        <w:t xml:space="preserve">7. Часть 5 статьи 22.1. «Порядок самороспуска Совета депутатов» изложить в следующей редакции: </w:t>
      </w:r>
    </w:p>
    <w:p w14:paraId="6EFB9959" w14:textId="77777777" w:rsidR="00387142" w:rsidRPr="008B6A75" w:rsidRDefault="00387142" w:rsidP="00387142">
      <w:pPr>
        <w:autoSpaceDE w:val="0"/>
        <w:autoSpaceDN w:val="0"/>
        <w:adjustRightInd w:val="0"/>
        <w:ind w:right="-427" w:firstLine="709"/>
        <w:jc w:val="both"/>
        <w:outlineLvl w:val="0"/>
        <w:rPr>
          <w:sz w:val="20"/>
          <w:szCs w:val="20"/>
        </w:rPr>
      </w:pPr>
      <w:r w:rsidRPr="008B6A75">
        <w:rPr>
          <w:sz w:val="20"/>
          <w:szCs w:val="20"/>
        </w:rPr>
        <w:t xml:space="preserve">«5. Решение о самороспуске Совета депутатов не позднее трех дней со дня его принятия должно быть доведено до сведения </w:t>
      </w:r>
      <w:r w:rsidRPr="008B6A75">
        <w:rPr>
          <w:color w:val="000000"/>
          <w:sz w:val="20"/>
          <w:szCs w:val="20"/>
        </w:rPr>
        <w:t>к</w:t>
      </w:r>
      <w:r w:rsidRPr="008B6A75">
        <w:rPr>
          <w:color w:val="000000"/>
          <w:spacing w:val="-2"/>
          <w:sz w:val="20"/>
          <w:szCs w:val="20"/>
        </w:rPr>
        <w:t>омиссии, организующей подготовку и проведение местного референдума,</w:t>
      </w:r>
      <w:r w:rsidRPr="008B6A75">
        <w:rPr>
          <w:sz w:val="20"/>
          <w:szCs w:val="20"/>
        </w:rPr>
        <w:t xml:space="preserve"> проводившей выборы на территории Куйбышевского района.».</w:t>
      </w:r>
    </w:p>
    <w:p w14:paraId="4536D475" w14:textId="77777777" w:rsidR="00387142" w:rsidRPr="008B6A75" w:rsidRDefault="00387142" w:rsidP="00387142">
      <w:pPr>
        <w:autoSpaceDE w:val="0"/>
        <w:autoSpaceDN w:val="0"/>
        <w:adjustRightInd w:val="0"/>
        <w:ind w:right="-427" w:firstLine="709"/>
        <w:jc w:val="both"/>
        <w:outlineLvl w:val="0"/>
        <w:rPr>
          <w:sz w:val="20"/>
          <w:szCs w:val="20"/>
          <w:highlight w:val="yellow"/>
        </w:rPr>
      </w:pPr>
    </w:p>
    <w:p w14:paraId="63816059" w14:textId="77777777" w:rsidR="00387142" w:rsidRPr="008B6A75" w:rsidRDefault="00387142" w:rsidP="00387142">
      <w:pPr>
        <w:ind w:right="-427" w:firstLine="709"/>
        <w:jc w:val="both"/>
        <w:rPr>
          <w:sz w:val="20"/>
          <w:szCs w:val="20"/>
        </w:rPr>
      </w:pPr>
      <w:r w:rsidRPr="008B6A75">
        <w:rPr>
          <w:sz w:val="20"/>
          <w:szCs w:val="20"/>
        </w:rPr>
        <w:t>8. В статье 28 «Полномочия администрации»:</w:t>
      </w:r>
    </w:p>
    <w:p w14:paraId="755A19FC" w14:textId="77777777" w:rsidR="00387142" w:rsidRPr="008B6A75" w:rsidRDefault="00387142" w:rsidP="00387142">
      <w:pPr>
        <w:ind w:right="-427" w:firstLine="709"/>
        <w:jc w:val="both"/>
        <w:rPr>
          <w:sz w:val="20"/>
          <w:szCs w:val="20"/>
        </w:rPr>
      </w:pPr>
      <w:r w:rsidRPr="008B6A75">
        <w:rPr>
          <w:sz w:val="20"/>
          <w:szCs w:val="20"/>
        </w:rPr>
        <w:t>1) дополнить пунктом 13.1 следующего содержания:</w:t>
      </w:r>
    </w:p>
    <w:p w14:paraId="1CA3C8B8" w14:textId="77777777" w:rsidR="00387142" w:rsidRPr="008B6A75" w:rsidRDefault="00387142" w:rsidP="00387142">
      <w:pPr>
        <w:ind w:right="-427" w:firstLine="709"/>
        <w:jc w:val="both"/>
        <w:rPr>
          <w:sz w:val="20"/>
          <w:szCs w:val="20"/>
        </w:rPr>
      </w:pPr>
      <w:r w:rsidRPr="008B6A75">
        <w:rPr>
          <w:sz w:val="20"/>
          <w:szCs w:val="20"/>
        </w:rPr>
        <w:t>«13.1) обеспечение первичных мер пожарной безопасности в границах Куйбышевского муниципального района за границами городского и сельских населенных пунктов;»;</w:t>
      </w:r>
    </w:p>
    <w:p w14:paraId="5257EB2C" w14:textId="77777777" w:rsidR="00387142" w:rsidRPr="008B6A75" w:rsidRDefault="00387142" w:rsidP="00387142">
      <w:pPr>
        <w:ind w:right="-427" w:firstLine="709"/>
        <w:jc w:val="both"/>
        <w:rPr>
          <w:sz w:val="20"/>
          <w:szCs w:val="20"/>
        </w:rPr>
      </w:pPr>
      <w:r w:rsidRPr="008B6A75">
        <w:rPr>
          <w:sz w:val="20"/>
          <w:szCs w:val="20"/>
        </w:rPr>
        <w:t>2) пункт 48 изложить в следующей редакции:</w:t>
      </w:r>
    </w:p>
    <w:p w14:paraId="11E5D6E5" w14:textId="77777777" w:rsidR="00387142" w:rsidRPr="008B6A75" w:rsidRDefault="00387142" w:rsidP="00387142">
      <w:pPr>
        <w:ind w:right="-427" w:firstLine="709"/>
        <w:jc w:val="both"/>
        <w:rPr>
          <w:sz w:val="20"/>
          <w:szCs w:val="20"/>
        </w:rPr>
      </w:pPr>
      <w:r w:rsidRPr="008B6A75">
        <w:rPr>
          <w:sz w:val="20"/>
          <w:szCs w:val="20"/>
        </w:rPr>
        <w:t>«48)</w:t>
      </w:r>
      <w:r w:rsidRPr="008B6A75">
        <w:rPr>
          <w:color w:val="000000"/>
          <w:sz w:val="20"/>
          <w:szCs w:val="20"/>
        </w:rPr>
        <w:t xml:space="preserve"> обеспечение выполнения работ, необходимых для создания искусственных земельных участков для нужд муниципального района в соответствии с федеральным </w:t>
      </w:r>
      <w:hyperlink r:id="rId14" w:history="1">
        <w:r w:rsidRPr="008B6A75">
          <w:rPr>
            <w:color w:val="000000"/>
            <w:sz w:val="20"/>
            <w:szCs w:val="20"/>
          </w:rPr>
          <w:t>законом</w:t>
        </w:r>
      </w:hyperlink>
      <w:r w:rsidRPr="008B6A75">
        <w:rPr>
          <w:color w:val="000000"/>
          <w:sz w:val="20"/>
          <w:szCs w:val="20"/>
        </w:rPr>
        <w:t>;»</w:t>
      </w:r>
      <w:r w:rsidRPr="008B6A75">
        <w:rPr>
          <w:sz w:val="20"/>
          <w:szCs w:val="20"/>
        </w:rPr>
        <w:t>.</w:t>
      </w:r>
    </w:p>
    <w:p w14:paraId="3971D5D9" w14:textId="77777777" w:rsidR="00387142" w:rsidRPr="008B6A75" w:rsidRDefault="00387142" w:rsidP="00387142">
      <w:pPr>
        <w:autoSpaceDE w:val="0"/>
        <w:autoSpaceDN w:val="0"/>
        <w:adjustRightInd w:val="0"/>
        <w:ind w:right="-427" w:firstLine="709"/>
        <w:jc w:val="both"/>
        <w:rPr>
          <w:sz w:val="20"/>
          <w:szCs w:val="20"/>
        </w:rPr>
      </w:pPr>
      <w:r w:rsidRPr="008B6A75">
        <w:rPr>
          <w:sz w:val="20"/>
          <w:szCs w:val="20"/>
        </w:rPr>
        <w:t>3) дополнить пунктами 75.4, 75.5 и 75.6 следующего содержания:</w:t>
      </w:r>
    </w:p>
    <w:p w14:paraId="5F25CAAF" w14:textId="77777777" w:rsidR="00387142" w:rsidRPr="008B6A75" w:rsidRDefault="00387142" w:rsidP="00387142">
      <w:pPr>
        <w:autoSpaceDE w:val="0"/>
        <w:autoSpaceDN w:val="0"/>
        <w:adjustRightInd w:val="0"/>
        <w:ind w:right="-427" w:firstLine="709"/>
        <w:jc w:val="both"/>
        <w:rPr>
          <w:sz w:val="20"/>
          <w:szCs w:val="20"/>
        </w:rPr>
      </w:pPr>
      <w:r w:rsidRPr="008B6A75">
        <w:rPr>
          <w:sz w:val="20"/>
          <w:szCs w:val="20"/>
        </w:rPr>
        <w:lastRenderedPageBreak/>
        <w:t>«75.4) принятие решений о создании, об упразднении лесничеств, создаваемых в их составе участковых лесничеств, расположенных на землях населенных пунктов сельских поселений,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сельских поселений;</w:t>
      </w:r>
    </w:p>
    <w:p w14:paraId="47DD8825" w14:textId="77777777" w:rsidR="00387142" w:rsidRPr="008B6A75" w:rsidRDefault="00387142" w:rsidP="00387142">
      <w:pPr>
        <w:autoSpaceDE w:val="0"/>
        <w:autoSpaceDN w:val="0"/>
        <w:adjustRightInd w:val="0"/>
        <w:ind w:right="-427" w:firstLine="709"/>
        <w:jc w:val="both"/>
        <w:rPr>
          <w:sz w:val="20"/>
          <w:szCs w:val="20"/>
        </w:rPr>
      </w:pPr>
      <w:r w:rsidRPr="008B6A75">
        <w:rPr>
          <w:sz w:val="20"/>
          <w:szCs w:val="20"/>
        </w:rPr>
        <w:t>75.5) осуществление мероприятий по лесоустройству в отношении лесов, расположенных на землях населенных пунктов сельских поселений;</w:t>
      </w:r>
    </w:p>
    <w:p w14:paraId="18BCD4DA" w14:textId="77777777" w:rsidR="00387142" w:rsidRPr="008B6A75" w:rsidRDefault="00387142" w:rsidP="00387142">
      <w:pPr>
        <w:autoSpaceDE w:val="0"/>
        <w:autoSpaceDN w:val="0"/>
        <w:adjustRightInd w:val="0"/>
        <w:ind w:right="-427" w:firstLine="709"/>
        <w:jc w:val="both"/>
        <w:rPr>
          <w:sz w:val="20"/>
          <w:szCs w:val="20"/>
        </w:rPr>
      </w:pPr>
      <w:r w:rsidRPr="008B6A75">
        <w:rPr>
          <w:sz w:val="20"/>
          <w:szCs w:val="20"/>
        </w:rPr>
        <w:t>75.6) создание муниципальной пожарной охраны.».</w:t>
      </w:r>
    </w:p>
    <w:p w14:paraId="1F3E67C5" w14:textId="77777777" w:rsidR="00387142" w:rsidRPr="008B6A75" w:rsidRDefault="00387142" w:rsidP="00387142">
      <w:pPr>
        <w:autoSpaceDE w:val="0"/>
        <w:autoSpaceDN w:val="0"/>
        <w:adjustRightInd w:val="0"/>
        <w:ind w:right="-427" w:firstLine="709"/>
        <w:jc w:val="both"/>
        <w:rPr>
          <w:sz w:val="20"/>
          <w:szCs w:val="20"/>
        </w:rPr>
      </w:pPr>
    </w:p>
    <w:p w14:paraId="381FA95D" w14:textId="77777777" w:rsidR="00387142" w:rsidRPr="008B6A75" w:rsidRDefault="00387142" w:rsidP="00387142">
      <w:pPr>
        <w:autoSpaceDE w:val="0"/>
        <w:autoSpaceDN w:val="0"/>
        <w:adjustRightInd w:val="0"/>
        <w:ind w:right="-427" w:firstLine="709"/>
        <w:jc w:val="both"/>
        <w:rPr>
          <w:sz w:val="20"/>
          <w:szCs w:val="20"/>
        </w:rPr>
      </w:pPr>
      <w:r w:rsidRPr="008B6A75">
        <w:rPr>
          <w:sz w:val="20"/>
          <w:szCs w:val="20"/>
        </w:rPr>
        <w:t>9. Часть 1 статьи 29.1 «</w:t>
      </w:r>
      <w:r w:rsidRPr="008B6A75">
        <w:rPr>
          <w:bCs/>
          <w:sz w:val="20"/>
          <w:szCs w:val="20"/>
        </w:rPr>
        <w:t>Гарантии осуществления полномочий председателя, заместителя председателя и аудитора Контрольного органа»</w:t>
      </w:r>
      <w:r w:rsidRPr="008B6A75">
        <w:rPr>
          <w:sz w:val="20"/>
          <w:szCs w:val="20"/>
        </w:rPr>
        <w:t xml:space="preserve"> дополнить пунктом 4.1 следующего содержания:</w:t>
      </w:r>
    </w:p>
    <w:p w14:paraId="31B1227D" w14:textId="77777777" w:rsidR="00387142" w:rsidRPr="008B6A75" w:rsidRDefault="00387142" w:rsidP="00387142">
      <w:pPr>
        <w:autoSpaceDE w:val="0"/>
        <w:autoSpaceDN w:val="0"/>
        <w:adjustRightInd w:val="0"/>
        <w:ind w:right="-427" w:firstLine="709"/>
        <w:jc w:val="both"/>
        <w:rPr>
          <w:sz w:val="20"/>
          <w:szCs w:val="20"/>
        </w:rPr>
      </w:pPr>
      <w:r w:rsidRPr="008B6A75">
        <w:rPr>
          <w:sz w:val="20"/>
          <w:szCs w:val="20"/>
        </w:rPr>
        <w:t>«4.1) профессиональное развитие, в том числе получение дополнительного профессионального образования;».</w:t>
      </w:r>
    </w:p>
    <w:p w14:paraId="7384D6BF" w14:textId="77777777" w:rsidR="00387142" w:rsidRPr="008B6A75" w:rsidRDefault="00387142" w:rsidP="00387142">
      <w:pPr>
        <w:autoSpaceDE w:val="0"/>
        <w:autoSpaceDN w:val="0"/>
        <w:adjustRightInd w:val="0"/>
        <w:ind w:right="-427" w:firstLine="709"/>
        <w:jc w:val="both"/>
        <w:rPr>
          <w:sz w:val="20"/>
          <w:szCs w:val="20"/>
        </w:rPr>
      </w:pPr>
    </w:p>
    <w:p w14:paraId="4A2F4636" w14:textId="77777777" w:rsidR="00387142" w:rsidRPr="008B6A75" w:rsidRDefault="00387142" w:rsidP="00387142">
      <w:pPr>
        <w:widowControl w:val="0"/>
        <w:autoSpaceDE w:val="0"/>
        <w:autoSpaceDN w:val="0"/>
        <w:adjustRightInd w:val="0"/>
        <w:ind w:right="-427" w:firstLine="709"/>
        <w:jc w:val="both"/>
        <w:rPr>
          <w:sz w:val="20"/>
          <w:szCs w:val="20"/>
        </w:rPr>
      </w:pPr>
      <w:r w:rsidRPr="008B6A75">
        <w:rPr>
          <w:sz w:val="20"/>
          <w:szCs w:val="20"/>
        </w:rPr>
        <w:t>10. Статью 30. «Избирательная комиссия» признать утратившей силу.</w:t>
      </w:r>
    </w:p>
    <w:p w14:paraId="12A563F4" w14:textId="77777777" w:rsidR="00387142" w:rsidRPr="008B6A75" w:rsidRDefault="00387142" w:rsidP="00387142">
      <w:pPr>
        <w:widowControl w:val="0"/>
        <w:autoSpaceDE w:val="0"/>
        <w:autoSpaceDN w:val="0"/>
        <w:adjustRightInd w:val="0"/>
        <w:ind w:right="-427" w:firstLine="709"/>
        <w:jc w:val="both"/>
        <w:rPr>
          <w:sz w:val="20"/>
          <w:szCs w:val="20"/>
        </w:rPr>
      </w:pPr>
    </w:p>
    <w:p w14:paraId="6DF8556A" w14:textId="77777777" w:rsidR="00387142" w:rsidRPr="008B6A75" w:rsidRDefault="00387142" w:rsidP="00387142">
      <w:pPr>
        <w:autoSpaceDE w:val="0"/>
        <w:autoSpaceDN w:val="0"/>
        <w:adjustRightInd w:val="0"/>
        <w:ind w:right="-427" w:firstLine="709"/>
        <w:jc w:val="both"/>
        <w:rPr>
          <w:sz w:val="20"/>
          <w:szCs w:val="20"/>
        </w:rPr>
      </w:pPr>
      <w:r w:rsidRPr="008B6A75">
        <w:rPr>
          <w:sz w:val="20"/>
          <w:szCs w:val="20"/>
        </w:rPr>
        <w:t>11. Часть 1 статьи 41 «Внесение изменений и дополнений в Устав» изложить в следующей редакции:</w:t>
      </w:r>
    </w:p>
    <w:p w14:paraId="6AF1B22D" w14:textId="77777777" w:rsidR="00387142" w:rsidRPr="008B6A75" w:rsidRDefault="00387142" w:rsidP="00387142">
      <w:pPr>
        <w:ind w:right="-427" w:firstLine="709"/>
        <w:jc w:val="both"/>
        <w:rPr>
          <w:sz w:val="20"/>
          <w:szCs w:val="20"/>
        </w:rPr>
      </w:pPr>
      <w:r w:rsidRPr="008B6A75">
        <w:rPr>
          <w:sz w:val="20"/>
          <w:szCs w:val="20"/>
        </w:rPr>
        <w:t>«1.</w:t>
      </w:r>
      <w:r w:rsidRPr="008B6A75">
        <w:rPr>
          <w:sz w:val="20"/>
          <w:szCs w:val="20"/>
          <w:lang w:val="en-US"/>
        </w:rPr>
        <w:t> </w:t>
      </w:r>
      <w:r w:rsidRPr="008B6A75">
        <w:rPr>
          <w:sz w:val="20"/>
          <w:szCs w:val="20"/>
        </w:rPr>
        <w:t>Проект Устава Куйбышевского района, проект муниципального правового акта о внесении изменений и дополнений в Устав Куйбышевского района не позднее чем за 30 дней до дня рассмотрения вопроса о принятии Устава Куйбышевского района, внесении изменений и дополнений в Устав Куйбышевского района подлежат официальному опубликованию с одновременным опубликованием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порядка учета предложений по проекту муниципального правового акта о внесении изменений и дополнений в Устав Куйбышевского района, а также порядка участия граждан в его обсуждении в случае, когда в Устав Куйбышевского района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14:paraId="554D4D20" w14:textId="77777777" w:rsidR="00387142" w:rsidRPr="008B6A75" w:rsidRDefault="00387142" w:rsidP="00387142">
      <w:pPr>
        <w:autoSpaceDE w:val="0"/>
        <w:autoSpaceDN w:val="0"/>
        <w:adjustRightInd w:val="0"/>
        <w:ind w:right="-427" w:firstLine="709"/>
        <w:jc w:val="both"/>
        <w:rPr>
          <w:sz w:val="20"/>
          <w:szCs w:val="20"/>
        </w:rPr>
      </w:pPr>
    </w:p>
    <w:p w14:paraId="1194AA4E" w14:textId="77777777" w:rsidR="00387142" w:rsidRPr="008B6A75" w:rsidRDefault="00387142" w:rsidP="00387142">
      <w:pPr>
        <w:ind w:right="-427"/>
        <w:jc w:val="both"/>
        <w:rPr>
          <w:color w:val="000000"/>
          <w:sz w:val="20"/>
          <w:szCs w:val="20"/>
        </w:rPr>
      </w:pPr>
      <w:r w:rsidRPr="008B6A75">
        <w:rPr>
          <w:color w:val="000000"/>
          <w:sz w:val="20"/>
          <w:szCs w:val="20"/>
        </w:rPr>
        <w:t>Председатель Совета депутатов Куйбышевского</w:t>
      </w:r>
    </w:p>
    <w:p w14:paraId="0F563879" w14:textId="77777777" w:rsidR="00387142" w:rsidRPr="008B6A75" w:rsidRDefault="00387142" w:rsidP="00387142">
      <w:pPr>
        <w:ind w:right="-427"/>
        <w:jc w:val="both"/>
        <w:rPr>
          <w:color w:val="000000"/>
          <w:spacing w:val="-2"/>
          <w:sz w:val="20"/>
          <w:szCs w:val="20"/>
        </w:rPr>
      </w:pPr>
      <w:r w:rsidRPr="008B6A75">
        <w:rPr>
          <w:color w:val="000000"/>
          <w:sz w:val="20"/>
          <w:szCs w:val="20"/>
        </w:rPr>
        <w:t xml:space="preserve">муниципального района Новосибирской области                                                                                                    Р.В. </w:t>
      </w:r>
      <w:proofErr w:type="spellStart"/>
      <w:r w:rsidRPr="008B6A75">
        <w:rPr>
          <w:color w:val="000000"/>
          <w:sz w:val="20"/>
          <w:szCs w:val="20"/>
        </w:rPr>
        <w:t>Булюктов</w:t>
      </w:r>
      <w:proofErr w:type="spellEnd"/>
    </w:p>
    <w:p w14:paraId="79C12E07" w14:textId="77777777" w:rsidR="00387142" w:rsidRPr="008B6A75" w:rsidRDefault="00387142" w:rsidP="00387142">
      <w:pPr>
        <w:autoSpaceDE w:val="0"/>
        <w:autoSpaceDN w:val="0"/>
        <w:adjustRightInd w:val="0"/>
        <w:ind w:right="-427"/>
        <w:outlineLvl w:val="0"/>
        <w:rPr>
          <w:sz w:val="20"/>
          <w:szCs w:val="20"/>
        </w:rPr>
      </w:pPr>
    </w:p>
    <w:p w14:paraId="030FCBF7" w14:textId="77777777" w:rsidR="00387142" w:rsidRPr="008B6A75" w:rsidRDefault="00387142" w:rsidP="00387142">
      <w:pPr>
        <w:autoSpaceDE w:val="0"/>
        <w:autoSpaceDN w:val="0"/>
        <w:adjustRightInd w:val="0"/>
        <w:ind w:right="-427"/>
        <w:jc w:val="both"/>
        <w:outlineLvl w:val="0"/>
        <w:rPr>
          <w:color w:val="000000"/>
          <w:spacing w:val="-2"/>
          <w:sz w:val="20"/>
          <w:szCs w:val="20"/>
        </w:rPr>
      </w:pPr>
      <w:r w:rsidRPr="008B6A75">
        <w:rPr>
          <w:color w:val="000000"/>
          <w:sz w:val="20"/>
          <w:szCs w:val="20"/>
        </w:rPr>
        <w:t xml:space="preserve">Глава </w:t>
      </w:r>
      <w:r w:rsidRPr="008B6A75">
        <w:rPr>
          <w:color w:val="000000"/>
          <w:spacing w:val="-2"/>
          <w:sz w:val="20"/>
          <w:szCs w:val="20"/>
        </w:rPr>
        <w:t>Куйбышевского муниципального</w:t>
      </w:r>
    </w:p>
    <w:p w14:paraId="10107B4E" w14:textId="77777777" w:rsidR="00387142" w:rsidRPr="008B6A75" w:rsidRDefault="00387142" w:rsidP="00387142">
      <w:pPr>
        <w:autoSpaceDE w:val="0"/>
        <w:autoSpaceDN w:val="0"/>
        <w:adjustRightInd w:val="0"/>
        <w:ind w:right="-427"/>
        <w:jc w:val="both"/>
        <w:outlineLvl w:val="0"/>
        <w:rPr>
          <w:color w:val="000000"/>
          <w:spacing w:val="-2"/>
          <w:sz w:val="20"/>
          <w:szCs w:val="20"/>
        </w:rPr>
      </w:pPr>
      <w:r w:rsidRPr="008B6A75">
        <w:rPr>
          <w:color w:val="000000"/>
          <w:spacing w:val="-2"/>
          <w:sz w:val="20"/>
          <w:szCs w:val="20"/>
        </w:rPr>
        <w:t>района Новосибирской области                                                                                                                                         О.В. Караваев</w:t>
      </w:r>
    </w:p>
    <w:p w14:paraId="63571822" w14:textId="77777777" w:rsidR="00387142" w:rsidRPr="008B6A75" w:rsidRDefault="00387142" w:rsidP="00387142">
      <w:pPr>
        <w:ind w:right="-427"/>
        <w:rPr>
          <w:sz w:val="20"/>
          <w:szCs w:val="20"/>
        </w:rPr>
      </w:pPr>
    </w:p>
    <w:p w14:paraId="1F45B50F" w14:textId="77777777" w:rsidR="00387142" w:rsidRPr="008B6A75" w:rsidRDefault="00387142" w:rsidP="00387142">
      <w:pPr>
        <w:spacing w:line="240" w:lineRule="atLeast"/>
        <w:jc w:val="center"/>
        <w:rPr>
          <w:sz w:val="20"/>
          <w:szCs w:val="20"/>
        </w:rPr>
      </w:pPr>
      <w:r w:rsidRPr="008B6A75">
        <w:rPr>
          <w:noProof/>
          <w:sz w:val="20"/>
          <w:szCs w:val="20"/>
        </w:rPr>
        <w:drawing>
          <wp:inline distT="0" distB="0" distL="0" distR="0" wp14:anchorId="281CC8E3" wp14:editId="73538122">
            <wp:extent cx="349452" cy="417989"/>
            <wp:effectExtent l="0" t="0" r="0" b="127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2989" cy="422220"/>
                    </a:xfrm>
                    <a:prstGeom prst="rect">
                      <a:avLst/>
                    </a:prstGeom>
                    <a:noFill/>
                    <a:ln>
                      <a:noFill/>
                    </a:ln>
                  </pic:spPr>
                </pic:pic>
              </a:graphicData>
            </a:graphic>
          </wp:inline>
        </w:drawing>
      </w:r>
    </w:p>
    <w:p w14:paraId="503FB8B8" w14:textId="77777777" w:rsidR="00387142" w:rsidRPr="008B6A75" w:rsidRDefault="00387142" w:rsidP="00387142">
      <w:pPr>
        <w:widowControl w:val="0"/>
        <w:autoSpaceDE w:val="0"/>
        <w:autoSpaceDN w:val="0"/>
        <w:adjustRightInd w:val="0"/>
        <w:spacing w:line="240" w:lineRule="atLeast"/>
        <w:jc w:val="center"/>
        <w:rPr>
          <w:bCs/>
          <w:sz w:val="20"/>
          <w:szCs w:val="20"/>
        </w:rPr>
      </w:pPr>
      <w:r w:rsidRPr="008B6A75">
        <w:rPr>
          <w:bCs/>
          <w:sz w:val="20"/>
          <w:szCs w:val="20"/>
        </w:rPr>
        <w:t>СОВЕТ ДЕПУТАТОВ</w:t>
      </w:r>
    </w:p>
    <w:p w14:paraId="379E547E" w14:textId="77777777" w:rsidR="00387142" w:rsidRPr="008B6A75" w:rsidRDefault="00387142" w:rsidP="00387142">
      <w:pPr>
        <w:widowControl w:val="0"/>
        <w:autoSpaceDE w:val="0"/>
        <w:autoSpaceDN w:val="0"/>
        <w:adjustRightInd w:val="0"/>
        <w:spacing w:line="240" w:lineRule="atLeast"/>
        <w:jc w:val="center"/>
        <w:rPr>
          <w:bCs/>
          <w:sz w:val="20"/>
          <w:szCs w:val="20"/>
        </w:rPr>
      </w:pPr>
      <w:r w:rsidRPr="008B6A75">
        <w:rPr>
          <w:bCs/>
          <w:sz w:val="20"/>
          <w:szCs w:val="20"/>
        </w:rPr>
        <w:t>КУЙБЫШЕВСКОГО МУНИЦИПАЛЬНОГО РАЙОНА</w:t>
      </w:r>
    </w:p>
    <w:p w14:paraId="501C43F5" w14:textId="77777777" w:rsidR="00387142" w:rsidRPr="008B6A75" w:rsidRDefault="00387142" w:rsidP="00387142">
      <w:pPr>
        <w:widowControl w:val="0"/>
        <w:autoSpaceDE w:val="0"/>
        <w:autoSpaceDN w:val="0"/>
        <w:adjustRightInd w:val="0"/>
        <w:spacing w:line="240" w:lineRule="atLeast"/>
        <w:jc w:val="center"/>
        <w:rPr>
          <w:bCs/>
          <w:sz w:val="20"/>
          <w:szCs w:val="20"/>
        </w:rPr>
      </w:pPr>
      <w:r w:rsidRPr="008B6A75">
        <w:rPr>
          <w:bCs/>
          <w:sz w:val="20"/>
          <w:szCs w:val="20"/>
        </w:rPr>
        <w:t xml:space="preserve">НОВОСИБИРСКОЙ ОБЛАСТИ </w:t>
      </w:r>
    </w:p>
    <w:p w14:paraId="6767F434" w14:textId="77777777" w:rsidR="00387142" w:rsidRPr="008B6A75" w:rsidRDefault="00387142" w:rsidP="00387142">
      <w:pPr>
        <w:widowControl w:val="0"/>
        <w:autoSpaceDE w:val="0"/>
        <w:autoSpaceDN w:val="0"/>
        <w:adjustRightInd w:val="0"/>
        <w:spacing w:line="240" w:lineRule="atLeast"/>
        <w:jc w:val="center"/>
        <w:rPr>
          <w:bCs/>
          <w:sz w:val="20"/>
          <w:szCs w:val="20"/>
        </w:rPr>
      </w:pPr>
      <w:r w:rsidRPr="008B6A75">
        <w:rPr>
          <w:bCs/>
          <w:sz w:val="20"/>
          <w:szCs w:val="20"/>
        </w:rPr>
        <w:t>ЧЕТВЕРТОГО СОЗЫВА</w:t>
      </w:r>
    </w:p>
    <w:p w14:paraId="1A1065CE" w14:textId="77777777" w:rsidR="00387142" w:rsidRPr="008B6A75" w:rsidRDefault="00387142" w:rsidP="00387142">
      <w:pPr>
        <w:widowControl w:val="0"/>
        <w:autoSpaceDE w:val="0"/>
        <w:autoSpaceDN w:val="0"/>
        <w:adjustRightInd w:val="0"/>
        <w:spacing w:line="240" w:lineRule="atLeast"/>
        <w:jc w:val="center"/>
        <w:rPr>
          <w:bCs/>
          <w:sz w:val="20"/>
          <w:szCs w:val="20"/>
        </w:rPr>
      </w:pPr>
      <w:r w:rsidRPr="008B6A75">
        <w:rPr>
          <w:bCs/>
          <w:sz w:val="20"/>
          <w:szCs w:val="20"/>
        </w:rPr>
        <w:t>РЕШЕНИЕ</w:t>
      </w:r>
    </w:p>
    <w:p w14:paraId="021E4D6E" w14:textId="77777777" w:rsidR="00387142" w:rsidRPr="008B6A75" w:rsidRDefault="00387142" w:rsidP="00387142">
      <w:pPr>
        <w:widowControl w:val="0"/>
        <w:autoSpaceDE w:val="0"/>
        <w:autoSpaceDN w:val="0"/>
        <w:adjustRightInd w:val="0"/>
        <w:spacing w:line="240" w:lineRule="atLeast"/>
        <w:jc w:val="center"/>
        <w:rPr>
          <w:bCs/>
          <w:sz w:val="20"/>
          <w:szCs w:val="20"/>
        </w:rPr>
      </w:pPr>
    </w:p>
    <w:p w14:paraId="5F8D3446" w14:textId="77777777" w:rsidR="00387142" w:rsidRPr="008B6A75" w:rsidRDefault="00387142" w:rsidP="00387142">
      <w:pPr>
        <w:widowControl w:val="0"/>
        <w:autoSpaceDE w:val="0"/>
        <w:autoSpaceDN w:val="0"/>
        <w:adjustRightInd w:val="0"/>
        <w:spacing w:line="240" w:lineRule="atLeast"/>
        <w:jc w:val="center"/>
        <w:rPr>
          <w:bCs/>
          <w:sz w:val="20"/>
          <w:szCs w:val="20"/>
        </w:rPr>
      </w:pPr>
      <w:r w:rsidRPr="008B6A75">
        <w:rPr>
          <w:bCs/>
          <w:sz w:val="20"/>
          <w:szCs w:val="20"/>
        </w:rPr>
        <w:t>двадцать третьей сессии</w:t>
      </w:r>
    </w:p>
    <w:p w14:paraId="471B4DEE" w14:textId="77777777" w:rsidR="00387142" w:rsidRPr="008B6A75" w:rsidRDefault="00387142" w:rsidP="00387142">
      <w:pPr>
        <w:autoSpaceDE w:val="0"/>
        <w:autoSpaceDN w:val="0"/>
        <w:adjustRightInd w:val="0"/>
        <w:spacing w:line="240" w:lineRule="atLeast"/>
        <w:jc w:val="center"/>
        <w:rPr>
          <w:rStyle w:val="FontStyle57"/>
        </w:rPr>
      </w:pPr>
      <w:r w:rsidRPr="008B6A75">
        <w:rPr>
          <w:sz w:val="20"/>
          <w:szCs w:val="20"/>
        </w:rPr>
        <w:t>03.11.2022 № 7</w:t>
      </w:r>
    </w:p>
    <w:p w14:paraId="7D896E89" w14:textId="77777777" w:rsidR="00387142" w:rsidRPr="008B6A75" w:rsidRDefault="00387142" w:rsidP="00387142">
      <w:pPr>
        <w:jc w:val="center"/>
        <w:rPr>
          <w:sz w:val="20"/>
          <w:szCs w:val="20"/>
        </w:rPr>
      </w:pPr>
      <w:r w:rsidRPr="008B6A75">
        <w:rPr>
          <w:sz w:val="20"/>
          <w:szCs w:val="20"/>
        </w:rPr>
        <w:t>О внесении изменений в решение восемнадцатой сессии</w:t>
      </w:r>
    </w:p>
    <w:p w14:paraId="1C627E20" w14:textId="77777777" w:rsidR="00387142" w:rsidRPr="008B6A75" w:rsidRDefault="00387142" w:rsidP="00387142">
      <w:pPr>
        <w:jc w:val="center"/>
        <w:rPr>
          <w:sz w:val="20"/>
          <w:szCs w:val="20"/>
        </w:rPr>
      </w:pPr>
      <w:r w:rsidRPr="008B6A75">
        <w:rPr>
          <w:sz w:val="20"/>
          <w:szCs w:val="20"/>
        </w:rPr>
        <w:t xml:space="preserve">Совета депутатов Куйбышевского района третьего созыва </w:t>
      </w:r>
    </w:p>
    <w:p w14:paraId="098D4AF3" w14:textId="77777777" w:rsidR="00387142" w:rsidRPr="008B6A75" w:rsidRDefault="00387142" w:rsidP="00387142">
      <w:pPr>
        <w:jc w:val="center"/>
        <w:rPr>
          <w:sz w:val="20"/>
          <w:szCs w:val="20"/>
        </w:rPr>
      </w:pPr>
      <w:r w:rsidRPr="008B6A75">
        <w:rPr>
          <w:sz w:val="20"/>
          <w:szCs w:val="20"/>
        </w:rPr>
        <w:t>от 14.07.2017 № 5</w:t>
      </w:r>
    </w:p>
    <w:p w14:paraId="0C80FE08" w14:textId="77777777" w:rsidR="00387142" w:rsidRPr="008B6A75" w:rsidRDefault="00387142" w:rsidP="00387142">
      <w:pPr>
        <w:jc w:val="center"/>
        <w:rPr>
          <w:sz w:val="20"/>
          <w:szCs w:val="20"/>
        </w:rPr>
      </w:pPr>
    </w:p>
    <w:p w14:paraId="4B9E43C2" w14:textId="77777777" w:rsidR="00387142" w:rsidRPr="008B6A75" w:rsidRDefault="00387142" w:rsidP="00387142">
      <w:pPr>
        <w:ind w:firstLine="709"/>
        <w:jc w:val="both"/>
        <w:rPr>
          <w:sz w:val="20"/>
          <w:szCs w:val="20"/>
        </w:rPr>
      </w:pPr>
      <w:r w:rsidRPr="008B6A75">
        <w:rPr>
          <w:sz w:val="20"/>
          <w:szCs w:val="20"/>
        </w:rPr>
        <w:t xml:space="preserve">В соответствии с Федеральным законом от 06.10.2003 № 131-ФЗ «Об общих принципах организации местного самоуправления в Российской Федерации» </w:t>
      </w:r>
      <w:r w:rsidRPr="008B6A75">
        <w:rPr>
          <w:rStyle w:val="24"/>
          <w:color w:val="000000"/>
          <w:sz w:val="20"/>
          <w:szCs w:val="20"/>
        </w:rPr>
        <w:t xml:space="preserve">Федеральным законом от 02.03.2007 № 25-ФЗ «О муниципальной службе в Российской Федерации», Федеральным законом от 15.12.2001 № 166-ФЗ «О государственном пенсионном обеспечении в Российской Федерации», </w:t>
      </w:r>
      <w:r w:rsidRPr="008B6A75">
        <w:rPr>
          <w:sz w:val="20"/>
          <w:szCs w:val="20"/>
        </w:rPr>
        <w:t>Законом Новосибирской области от 01.02.2005 № 265-ОЗ «О государственной гражданской службе Новосибирской области», Законом Новосибирской области от 30.10.2007 № 157-ОЗ «О муниципальной службе в Новосибирской области», Законом Новосибирской области от 07.10.2011 № 111-ОЗ «Об отдельных вопросах организации и деятельности контрольно-счетных органов муниципальных образований Новосибирской области», Законом Новосибирской области от 06.07.2018 № 275-ОЗ «О гарантиях осуществления полномочий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в Новосибирской области»,</w:t>
      </w:r>
      <w:r w:rsidRPr="008B6A75">
        <w:rPr>
          <w:color w:val="FF0000"/>
          <w:sz w:val="20"/>
          <w:szCs w:val="20"/>
        </w:rPr>
        <w:t xml:space="preserve"> </w:t>
      </w:r>
      <w:r w:rsidRPr="008B6A75">
        <w:rPr>
          <w:sz w:val="20"/>
          <w:szCs w:val="20"/>
        </w:rPr>
        <w:t xml:space="preserve">Уставом Куйбышевского муниципального района Новосибирской области, Совет депутатов Куйбышевского муниципального района Новосибирской области </w:t>
      </w:r>
    </w:p>
    <w:p w14:paraId="119A54ED" w14:textId="77777777" w:rsidR="00387142" w:rsidRPr="008B6A75" w:rsidRDefault="00387142" w:rsidP="00387142">
      <w:pPr>
        <w:ind w:firstLine="708"/>
        <w:jc w:val="both"/>
        <w:outlineLvl w:val="0"/>
        <w:rPr>
          <w:bCs/>
          <w:sz w:val="20"/>
          <w:szCs w:val="20"/>
        </w:rPr>
      </w:pPr>
      <w:r w:rsidRPr="008B6A75">
        <w:rPr>
          <w:bCs/>
          <w:sz w:val="20"/>
          <w:szCs w:val="20"/>
        </w:rPr>
        <w:t>РЕШИЛ:</w:t>
      </w:r>
    </w:p>
    <w:p w14:paraId="68B8CDB4" w14:textId="77777777" w:rsidR="00387142" w:rsidRPr="008B6A75" w:rsidRDefault="00387142" w:rsidP="00387142">
      <w:pPr>
        <w:ind w:firstLine="709"/>
        <w:jc w:val="both"/>
        <w:rPr>
          <w:i/>
          <w:color w:val="FF0000"/>
          <w:sz w:val="20"/>
          <w:szCs w:val="20"/>
        </w:rPr>
      </w:pPr>
      <w:r w:rsidRPr="008B6A75">
        <w:rPr>
          <w:bCs/>
          <w:sz w:val="20"/>
          <w:szCs w:val="20"/>
        </w:rPr>
        <w:lastRenderedPageBreak/>
        <w:t xml:space="preserve">1. Внести в решение восемнадцатой сессии Совета депутатов Куйбышевского района третьего созыва от 14.07.2017 № 5 «Об утверждении Положения об условиях и порядке назначения, выплаты и перерасчета пенсии за выслугу лет муниципальным служащим в органах местного самоуправления Куйбышевского района и Положения </w:t>
      </w:r>
      <w:r w:rsidRPr="008B6A75">
        <w:rPr>
          <w:sz w:val="20"/>
          <w:szCs w:val="20"/>
        </w:rPr>
        <w:t>о ежемесячной доплате к страховой пенсии по старости (инвалидности) депутату, члену выборного органа местного самоуправления, выборному должностному лицу местного самоуправления в Куйбышевском районе» (</w:t>
      </w:r>
      <w:r w:rsidRPr="008B6A75">
        <w:rPr>
          <w:bCs/>
          <w:sz w:val="20"/>
          <w:szCs w:val="20"/>
        </w:rPr>
        <w:t>далее – решение) следующие изменения:</w:t>
      </w:r>
    </w:p>
    <w:p w14:paraId="14B868C8" w14:textId="77777777" w:rsidR="00387142" w:rsidRPr="008B6A75" w:rsidRDefault="00387142" w:rsidP="00387142">
      <w:pPr>
        <w:ind w:firstLine="709"/>
        <w:jc w:val="both"/>
        <w:rPr>
          <w:i/>
          <w:color w:val="FF0000"/>
          <w:sz w:val="20"/>
          <w:szCs w:val="20"/>
          <w:u w:val="single"/>
        </w:rPr>
      </w:pPr>
      <w:r w:rsidRPr="008B6A75">
        <w:rPr>
          <w:bCs/>
          <w:sz w:val="20"/>
          <w:szCs w:val="20"/>
        </w:rPr>
        <w:t xml:space="preserve">1) заголовок решения изложить в следующей редакции: «Об утверждении Положения об условиях и порядке назначения, выплаты, перерасчета и индексации пенсии за выслугу лет муниципальным служащим в органах местного самоуправления Куйбышевского муниципального района Новосибирской области и Положения </w:t>
      </w:r>
      <w:r w:rsidRPr="008B6A75">
        <w:rPr>
          <w:rFonts w:eastAsia="Arial Unicode MS"/>
          <w:bCs/>
          <w:sz w:val="20"/>
          <w:szCs w:val="20"/>
          <w:shd w:val="clear" w:color="auto" w:fill="FFFFFF"/>
        </w:rPr>
        <w:t>о ежемесячной доплате к страховой пенсии по старости (инвалидности) депутату, члену выборного органа местного самоуправления, выборному должностному лицу местного самоуправления, председателю, заместителю председателя, аудитору контрольно-счетного органа в Куйбышевском муниципальном районе Новосибирской области»</w:t>
      </w:r>
      <w:r w:rsidRPr="008B6A75">
        <w:rPr>
          <w:i/>
          <w:sz w:val="20"/>
          <w:szCs w:val="20"/>
        </w:rPr>
        <w:t>.</w:t>
      </w:r>
    </w:p>
    <w:p w14:paraId="019873D6" w14:textId="77777777" w:rsidR="00387142" w:rsidRPr="008B6A75" w:rsidRDefault="00387142" w:rsidP="00387142">
      <w:pPr>
        <w:ind w:firstLine="709"/>
        <w:jc w:val="both"/>
        <w:rPr>
          <w:sz w:val="20"/>
          <w:szCs w:val="20"/>
        </w:rPr>
      </w:pPr>
      <w:r w:rsidRPr="008B6A75">
        <w:rPr>
          <w:sz w:val="20"/>
          <w:szCs w:val="20"/>
        </w:rPr>
        <w:t>2) пункт 1 решения изложить в следующей редакции:</w:t>
      </w:r>
    </w:p>
    <w:p w14:paraId="50A08E8A" w14:textId="77777777" w:rsidR="00387142" w:rsidRPr="008B6A75" w:rsidRDefault="00387142" w:rsidP="00387142">
      <w:pPr>
        <w:ind w:firstLine="709"/>
        <w:jc w:val="both"/>
        <w:rPr>
          <w:sz w:val="20"/>
          <w:szCs w:val="20"/>
        </w:rPr>
      </w:pPr>
      <w:r w:rsidRPr="008B6A75">
        <w:rPr>
          <w:sz w:val="20"/>
          <w:szCs w:val="20"/>
        </w:rPr>
        <w:t>«1. Утвердить прилагаемые:</w:t>
      </w:r>
    </w:p>
    <w:p w14:paraId="3A892E02" w14:textId="77777777" w:rsidR="00387142" w:rsidRPr="008B6A75" w:rsidRDefault="00387142" w:rsidP="00387142">
      <w:pPr>
        <w:ind w:firstLine="709"/>
        <w:jc w:val="both"/>
        <w:rPr>
          <w:sz w:val="20"/>
          <w:szCs w:val="20"/>
        </w:rPr>
      </w:pPr>
      <w:r w:rsidRPr="008B6A75">
        <w:rPr>
          <w:sz w:val="20"/>
          <w:szCs w:val="20"/>
        </w:rPr>
        <w:t xml:space="preserve">1) Положение </w:t>
      </w:r>
      <w:r w:rsidRPr="008B6A75">
        <w:rPr>
          <w:bCs/>
          <w:sz w:val="20"/>
          <w:szCs w:val="20"/>
        </w:rPr>
        <w:t>об условиях и порядке назначения, выплаты, перерасчета и индексации пенсии за выслугу лет муниципальным служащим в органах местного самоуправления Куйбышевского муниципального района Новосибирской области</w:t>
      </w:r>
      <w:r w:rsidRPr="008B6A75">
        <w:rPr>
          <w:sz w:val="20"/>
          <w:szCs w:val="20"/>
        </w:rPr>
        <w:t>;</w:t>
      </w:r>
    </w:p>
    <w:p w14:paraId="3BB6DAEB" w14:textId="77777777" w:rsidR="00387142" w:rsidRPr="008B6A75" w:rsidRDefault="00387142" w:rsidP="00387142">
      <w:pPr>
        <w:ind w:firstLine="709"/>
        <w:jc w:val="both"/>
        <w:rPr>
          <w:sz w:val="20"/>
          <w:szCs w:val="20"/>
        </w:rPr>
      </w:pPr>
      <w:r w:rsidRPr="008B6A75">
        <w:rPr>
          <w:sz w:val="20"/>
          <w:szCs w:val="20"/>
        </w:rPr>
        <w:t xml:space="preserve">2) Положение </w:t>
      </w:r>
      <w:r w:rsidRPr="008B6A75">
        <w:rPr>
          <w:rFonts w:eastAsia="Arial Unicode MS"/>
          <w:bCs/>
          <w:sz w:val="20"/>
          <w:szCs w:val="20"/>
          <w:shd w:val="clear" w:color="auto" w:fill="FFFFFF"/>
        </w:rPr>
        <w:t>о ежемесячной доплате к страховой пенсии по старости (инвалидности) депутату, члену выборного органа местного самоуправления, выборному должностному лицу местного самоуправления, председателю, заместителю председателя, аудитору контрольно-счетного органа в Куйбышевском муниципальном районе Новосибирской области</w:t>
      </w:r>
      <w:r w:rsidRPr="008B6A75">
        <w:rPr>
          <w:sz w:val="20"/>
          <w:szCs w:val="20"/>
        </w:rPr>
        <w:t>.».</w:t>
      </w:r>
    </w:p>
    <w:p w14:paraId="70F93B31" w14:textId="77777777" w:rsidR="00387142" w:rsidRPr="008B6A75" w:rsidRDefault="00387142" w:rsidP="00387142">
      <w:pPr>
        <w:keepNext/>
        <w:keepLines/>
        <w:widowControl w:val="0"/>
        <w:tabs>
          <w:tab w:val="left" w:pos="1276"/>
        </w:tabs>
        <w:ind w:firstLine="724"/>
        <w:jc w:val="both"/>
        <w:outlineLvl w:val="0"/>
        <w:rPr>
          <w:sz w:val="20"/>
          <w:szCs w:val="20"/>
        </w:rPr>
      </w:pPr>
      <w:r w:rsidRPr="008B6A75">
        <w:rPr>
          <w:sz w:val="20"/>
          <w:szCs w:val="20"/>
        </w:rPr>
        <w:t xml:space="preserve">2. Положение об условиях и порядке назначения, выплаты и перерасчета пенсии за выслугу лет муниципальным служащим в органах местного самоуправления Куйбышевского района, </w:t>
      </w:r>
      <w:r w:rsidRPr="008B6A75">
        <w:rPr>
          <w:rFonts w:eastAsia="Arial Unicode MS"/>
          <w:bCs/>
          <w:color w:val="000000"/>
          <w:sz w:val="20"/>
          <w:szCs w:val="20"/>
          <w:shd w:val="clear" w:color="auto" w:fill="FFFFFF"/>
        </w:rPr>
        <w:t xml:space="preserve">утвержденное </w:t>
      </w:r>
      <w:r w:rsidRPr="008B6A75">
        <w:rPr>
          <w:bCs/>
          <w:sz w:val="20"/>
          <w:szCs w:val="20"/>
        </w:rPr>
        <w:t>решением восемнадцатой сессии Совета депутатов Куйбышевского района третьего созыва от 14.07.2017 № 5 изложить в редакции приложения 1 к настоящему решению.</w:t>
      </w:r>
    </w:p>
    <w:p w14:paraId="2460AE21" w14:textId="77777777" w:rsidR="00387142" w:rsidRPr="008B6A75" w:rsidRDefault="00387142" w:rsidP="00387142">
      <w:pPr>
        <w:keepNext/>
        <w:keepLines/>
        <w:widowControl w:val="0"/>
        <w:tabs>
          <w:tab w:val="left" w:pos="1276"/>
        </w:tabs>
        <w:ind w:firstLine="724"/>
        <w:jc w:val="both"/>
        <w:outlineLvl w:val="0"/>
        <w:rPr>
          <w:bCs/>
          <w:sz w:val="20"/>
          <w:szCs w:val="20"/>
        </w:rPr>
      </w:pPr>
      <w:r w:rsidRPr="008B6A75">
        <w:rPr>
          <w:rFonts w:eastAsia="Arial Unicode MS"/>
          <w:bCs/>
          <w:color w:val="000000"/>
          <w:sz w:val="20"/>
          <w:szCs w:val="20"/>
          <w:shd w:val="clear" w:color="auto" w:fill="FFFFFF"/>
        </w:rPr>
        <w:t xml:space="preserve">3. Положение о ежемесячной доплате к страховой пенсии по старости (инвалидности) депутату, члену выборного органа местного самоуправления, выборному должностному лицу местного самоуправления в Куйбышевском районе, утвержденное </w:t>
      </w:r>
      <w:r w:rsidRPr="008B6A75">
        <w:rPr>
          <w:bCs/>
          <w:sz w:val="20"/>
          <w:szCs w:val="20"/>
        </w:rPr>
        <w:t>решением восемнадцатой сессии Совета депутатов Куйбышевского района третьего созыва от 14.07.2017 № 5 изложить в редакции приложения 2 к настоящему решению.</w:t>
      </w:r>
    </w:p>
    <w:p w14:paraId="2C04EE0C" w14:textId="77777777" w:rsidR="00387142" w:rsidRPr="008B6A75" w:rsidRDefault="00387142" w:rsidP="00387142">
      <w:pPr>
        <w:keepNext/>
        <w:keepLines/>
        <w:widowControl w:val="0"/>
        <w:tabs>
          <w:tab w:val="left" w:pos="1276"/>
        </w:tabs>
        <w:ind w:firstLine="724"/>
        <w:jc w:val="both"/>
        <w:outlineLvl w:val="0"/>
        <w:rPr>
          <w:rStyle w:val="24"/>
          <w:bCs/>
          <w:sz w:val="20"/>
          <w:szCs w:val="20"/>
        </w:rPr>
      </w:pPr>
      <w:r w:rsidRPr="008B6A75">
        <w:rPr>
          <w:bCs/>
          <w:sz w:val="20"/>
          <w:szCs w:val="20"/>
        </w:rPr>
        <w:t>4. Решение вступает в законную силу после официального опубликования.</w:t>
      </w:r>
    </w:p>
    <w:p w14:paraId="542D15D4" w14:textId="77777777" w:rsidR="00387142" w:rsidRPr="008B6A75" w:rsidRDefault="00387142" w:rsidP="00387142">
      <w:pPr>
        <w:pStyle w:val="25"/>
        <w:shd w:val="clear" w:color="auto" w:fill="auto"/>
        <w:tabs>
          <w:tab w:val="left" w:pos="305"/>
        </w:tabs>
        <w:spacing w:after="0" w:line="240" w:lineRule="auto"/>
        <w:jc w:val="left"/>
        <w:rPr>
          <w:rStyle w:val="24"/>
          <w:rFonts w:ascii="Times New Roman" w:hAnsi="Times New Roman" w:cs="Times New Roman"/>
          <w:color w:val="000000"/>
          <w:sz w:val="20"/>
          <w:szCs w:val="20"/>
        </w:rPr>
      </w:pPr>
    </w:p>
    <w:p w14:paraId="60AB4D31" w14:textId="77777777" w:rsidR="00387142" w:rsidRPr="008B6A75" w:rsidRDefault="00387142" w:rsidP="00387142">
      <w:pPr>
        <w:jc w:val="both"/>
        <w:rPr>
          <w:sz w:val="20"/>
          <w:szCs w:val="20"/>
        </w:rPr>
      </w:pPr>
      <w:r w:rsidRPr="008B6A75">
        <w:rPr>
          <w:sz w:val="20"/>
          <w:szCs w:val="20"/>
        </w:rPr>
        <w:t xml:space="preserve">Председатель Совета депутатов Куйбышевского </w:t>
      </w:r>
    </w:p>
    <w:p w14:paraId="26BD2F36" w14:textId="77777777" w:rsidR="00387142" w:rsidRPr="008B6A75" w:rsidRDefault="00387142" w:rsidP="00387142">
      <w:pPr>
        <w:jc w:val="both"/>
        <w:rPr>
          <w:sz w:val="20"/>
          <w:szCs w:val="20"/>
        </w:rPr>
      </w:pPr>
      <w:r w:rsidRPr="008B6A75">
        <w:rPr>
          <w:sz w:val="20"/>
          <w:szCs w:val="20"/>
        </w:rPr>
        <w:t xml:space="preserve">муниципального района Новосибирской области                                                                                         Р.В. </w:t>
      </w:r>
      <w:proofErr w:type="spellStart"/>
      <w:r w:rsidRPr="008B6A75">
        <w:rPr>
          <w:sz w:val="20"/>
          <w:szCs w:val="20"/>
        </w:rPr>
        <w:t>Булюктов</w:t>
      </w:r>
      <w:proofErr w:type="spellEnd"/>
      <w:r w:rsidRPr="008B6A75">
        <w:rPr>
          <w:sz w:val="20"/>
          <w:szCs w:val="20"/>
        </w:rPr>
        <w:t xml:space="preserve">    </w:t>
      </w:r>
    </w:p>
    <w:p w14:paraId="42C8FF5C" w14:textId="77777777" w:rsidR="00387142" w:rsidRPr="008B6A75" w:rsidRDefault="00387142" w:rsidP="00387142">
      <w:pPr>
        <w:jc w:val="both"/>
        <w:rPr>
          <w:sz w:val="20"/>
          <w:szCs w:val="20"/>
        </w:rPr>
      </w:pPr>
      <w:r w:rsidRPr="008B6A75">
        <w:rPr>
          <w:sz w:val="20"/>
          <w:szCs w:val="20"/>
        </w:rPr>
        <w:t xml:space="preserve">                                                                       </w:t>
      </w:r>
    </w:p>
    <w:p w14:paraId="33F956F9" w14:textId="77777777" w:rsidR="00387142" w:rsidRPr="008B6A75" w:rsidRDefault="00387142" w:rsidP="00387142">
      <w:pPr>
        <w:pStyle w:val="ConsPlusNormal"/>
        <w:ind w:firstLine="0"/>
        <w:jc w:val="both"/>
        <w:outlineLvl w:val="0"/>
        <w:rPr>
          <w:rFonts w:ascii="Times New Roman" w:hAnsi="Times New Roman" w:cs="Times New Roman"/>
          <w:color w:val="000000"/>
          <w:spacing w:val="-2"/>
        </w:rPr>
      </w:pPr>
      <w:r w:rsidRPr="008B6A75">
        <w:rPr>
          <w:rFonts w:ascii="Times New Roman" w:hAnsi="Times New Roman" w:cs="Times New Roman"/>
          <w:color w:val="000000"/>
        </w:rPr>
        <w:t xml:space="preserve">Глава </w:t>
      </w:r>
      <w:r w:rsidRPr="008B6A75">
        <w:rPr>
          <w:rFonts w:ascii="Times New Roman" w:hAnsi="Times New Roman" w:cs="Times New Roman"/>
          <w:color w:val="000000"/>
          <w:spacing w:val="-2"/>
        </w:rPr>
        <w:t>Куйбышевского муниципального</w:t>
      </w:r>
    </w:p>
    <w:p w14:paraId="7F8A4D2B" w14:textId="77777777" w:rsidR="00387142" w:rsidRPr="008B6A75" w:rsidRDefault="00387142" w:rsidP="00387142">
      <w:pPr>
        <w:pStyle w:val="ConsPlusNormal"/>
        <w:ind w:firstLine="0"/>
        <w:jc w:val="both"/>
        <w:outlineLvl w:val="0"/>
        <w:rPr>
          <w:rFonts w:ascii="Times New Roman" w:hAnsi="Times New Roman" w:cs="Times New Roman"/>
        </w:rPr>
      </w:pPr>
      <w:r w:rsidRPr="008B6A75">
        <w:rPr>
          <w:rFonts w:ascii="Times New Roman" w:hAnsi="Times New Roman" w:cs="Times New Roman"/>
          <w:color w:val="000000"/>
          <w:spacing w:val="-2"/>
        </w:rPr>
        <w:t>района Новосибирской области                                                                                                                            О.В. Караваев</w:t>
      </w:r>
    </w:p>
    <w:p w14:paraId="77BF6C18" w14:textId="77777777" w:rsidR="00387142" w:rsidRPr="008B6A75" w:rsidRDefault="00387142" w:rsidP="00387142">
      <w:pPr>
        <w:rPr>
          <w:sz w:val="20"/>
          <w:szCs w:val="20"/>
        </w:rPr>
      </w:pPr>
    </w:p>
    <w:p w14:paraId="05A2D021" w14:textId="77777777" w:rsidR="00387142" w:rsidRPr="008B6A75" w:rsidRDefault="00387142" w:rsidP="00387142">
      <w:pPr>
        <w:rPr>
          <w:rStyle w:val="24"/>
          <w:sz w:val="20"/>
          <w:szCs w:val="20"/>
        </w:rPr>
      </w:pPr>
      <w:bookmarkStart w:id="1" w:name="bookmark0"/>
      <w:r w:rsidRPr="008B6A75">
        <w:rPr>
          <w:sz w:val="20"/>
          <w:szCs w:val="20"/>
        </w:rPr>
        <w:t xml:space="preserve">                                                                                                                                   ПРИЛОЖЕНИЕ 1</w:t>
      </w:r>
    </w:p>
    <w:p w14:paraId="52173BC2" w14:textId="77777777" w:rsidR="00387142" w:rsidRPr="008B6A75" w:rsidRDefault="00387142" w:rsidP="00387142">
      <w:pPr>
        <w:ind w:left="5103"/>
        <w:jc w:val="center"/>
        <w:outlineLvl w:val="0"/>
        <w:rPr>
          <w:sz w:val="20"/>
          <w:szCs w:val="20"/>
        </w:rPr>
      </w:pPr>
      <w:r w:rsidRPr="008B6A75">
        <w:rPr>
          <w:sz w:val="20"/>
          <w:szCs w:val="20"/>
        </w:rPr>
        <w:t>к решению Совета депутатов Куйбышевского муниципального района Новосибирской области четвертого созыва от 03.11.2022 №7</w:t>
      </w:r>
    </w:p>
    <w:p w14:paraId="605C5D0A" w14:textId="77777777" w:rsidR="00387142" w:rsidRPr="008B6A75" w:rsidRDefault="00387142" w:rsidP="00387142">
      <w:pPr>
        <w:pStyle w:val="17"/>
        <w:keepNext/>
        <w:keepLines/>
        <w:shd w:val="clear" w:color="auto" w:fill="auto"/>
        <w:spacing w:before="0" w:line="240" w:lineRule="auto"/>
        <w:ind w:left="20"/>
        <w:rPr>
          <w:rStyle w:val="16"/>
          <w:rFonts w:ascii="Times New Roman" w:hAnsi="Times New Roman" w:cs="Times New Roman"/>
          <w:color w:val="000000"/>
          <w:sz w:val="20"/>
          <w:szCs w:val="20"/>
        </w:rPr>
      </w:pPr>
    </w:p>
    <w:p w14:paraId="526A211F" w14:textId="77777777" w:rsidR="00387142" w:rsidRPr="008B6A75" w:rsidRDefault="00387142" w:rsidP="00387142">
      <w:pPr>
        <w:pStyle w:val="17"/>
        <w:keepNext/>
        <w:keepLines/>
        <w:shd w:val="clear" w:color="auto" w:fill="auto"/>
        <w:spacing w:before="0" w:line="240" w:lineRule="auto"/>
        <w:ind w:left="20"/>
        <w:rPr>
          <w:rStyle w:val="16"/>
          <w:rFonts w:ascii="Times New Roman" w:hAnsi="Times New Roman" w:cs="Times New Roman"/>
          <w:color w:val="000000"/>
          <w:sz w:val="20"/>
          <w:szCs w:val="20"/>
        </w:rPr>
      </w:pPr>
    </w:p>
    <w:p w14:paraId="4C858FF5" w14:textId="77777777" w:rsidR="00387142" w:rsidRPr="008B6A75" w:rsidRDefault="00387142" w:rsidP="00387142">
      <w:pPr>
        <w:pStyle w:val="17"/>
        <w:keepNext/>
        <w:keepLines/>
        <w:shd w:val="clear" w:color="auto" w:fill="auto"/>
        <w:spacing w:before="0" w:line="240" w:lineRule="auto"/>
        <w:ind w:left="20"/>
        <w:rPr>
          <w:rStyle w:val="16"/>
          <w:rFonts w:ascii="Times New Roman" w:hAnsi="Times New Roman" w:cs="Times New Roman"/>
          <w:color w:val="000000"/>
          <w:sz w:val="20"/>
          <w:szCs w:val="20"/>
        </w:rPr>
      </w:pPr>
    </w:p>
    <w:p w14:paraId="3AF080D9" w14:textId="77777777" w:rsidR="00387142" w:rsidRPr="008B6A75" w:rsidRDefault="00387142" w:rsidP="00387142">
      <w:pPr>
        <w:pStyle w:val="17"/>
        <w:keepNext/>
        <w:keepLines/>
        <w:shd w:val="clear" w:color="auto" w:fill="auto"/>
        <w:spacing w:before="0" w:line="240" w:lineRule="auto"/>
        <w:ind w:left="20"/>
        <w:rPr>
          <w:rFonts w:ascii="Times New Roman" w:hAnsi="Times New Roman" w:cs="Times New Roman"/>
          <w:b w:val="0"/>
          <w:sz w:val="20"/>
          <w:szCs w:val="20"/>
        </w:rPr>
      </w:pPr>
      <w:r w:rsidRPr="008B6A75">
        <w:rPr>
          <w:rStyle w:val="16"/>
          <w:rFonts w:ascii="Times New Roman" w:hAnsi="Times New Roman" w:cs="Times New Roman"/>
          <w:color w:val="000000"/>
          <w:sz w:val="20"/>
          <w:szCs w:val="20"/>
        </w:rPr>
        <w:t>П</w:t>
      </w:r>
      <w:bookmarkEnd w:id="1"/>
      <w:r w:rsidRPr="008B6A75">
        <w:rPr>
          <w:rStyle w:val="16"/>
          <w:rFonts w:ascii="Times New Roman" w:hAnsi="Times New Roman" w:cs="Times New Roman"/>
          <w:color w:val="000000"/>
          <w:sz w:val="20"/>
          <w:szCs w:val="20"/>
        </w:rPr>
        <w:t>ОЛОЖЕНИЕ</w:t>
      </w:r>
    </w:p>
    <w:p w14:paraId="378BCC51" w14:textId="77777777" w:rsidR="00387142" w:rsidRPr="008B6A75" w:rsidRDefault="00387142" w:rsidP="00387142">
      <w:pPr>
        <w:pStyle w:val="42"/>
        <w:shd w:val="clear" w:color="auto" w:fill="auto"/>
        <w:spacing w:before="0" w:after="0" w:line="240" w:lineRule="auto"/>
        <w:ind w:left="20"/>
        <w:rPr>
          <w:rStyle w:val="41"/>
          <w:rFonts w:ascii="Times New Roman" w:hAnsi="Times New Roman" w:cs="Times New Roman"/>
          <w:color w:val="000000"/>
          <w:sz w:val="20"/>
          <w:szCs w:val="20"/>
        </w:rPr>
      </w:pPr>
      <w:r w:rsidRPr="008B6A75">
        <w:rPr>
          <w:rStyle w:val="41"/>
          <w:rFonts w:ascii="Times New Roman" w:hAnsi="Times New Roman" w:cs="Times New Roman"/>
          <w:color w:val="000000"/>
          <w:sz w:val="20"/>
          <w:szCs w:val="20"/>
        </w:rPr>
        <w:t>об условиях и порядке назначения, выплаты, перерасчета и индексации пенсии за выслугу лет муниципальным служащим в органах местного самоуправления Куйбышевского муниципального района Новосибирской области</w:t>
      </w:r>
    </w:p>
    <w:p w14:paraId="0929FDD8" w14:textId="77777777" w:rsidR="00387142" w:rsidRPr="008B6A75" w:rsidRDefault="00387142" w:rsidP="00387142">
      <w:pPr>
        <w:pStyle w:val="42"/>
        <w:shd w:val="clear" w:color="auto" w:fill="auto"/>
        <w:spacing w:before="0" w:after="0" w:line="240" w:lineRule="auto"/>
        <w:ind w:left="20"/>
        <w:rPr>
          <w:rFonts w:ascii="Times New Roman" w:hAnsi="Times New Roman" w:cs="Times New Roman"/>
          <w:b w:val="0"/>
          <w:sz w:val="20"/>
          <w:szCs w:val="20"/>
        </w:rPr>
      </w:pPr>
    </w:p>
    <w:p w14:paraId="2AFC06B6" w14:textId="77777777" w:rsidR="00387142" w:rsidRPr="008B6A75" w:rsidRDefault="00387142" w:rsidP="00387142">
      <w:pPr>
        <w:pStyle w:val="17"/>
        <w:keepNext/>
        <w:keepLines/>
        <w:shd w:val="clear" w:color="auto" w:fill="auto"/>
        <w:spacing w:before="0" w:line="240" w:lineRule="auto"/>
        <w:ind w:left="20"/>
        <w:rPr>
          <w:rStyle w:val="16"/>
          <w:rFonts w:ascii="Times New Roman" w:hAnsi="Times New Roman" w:cs="Times New Roman"/>
          <w:color w:val="000000"/>
          <w:sz w:val="20"/>
          <w:szCs w:val="20"/>
        </w:rPr>
      </w:pPr>
      <w:bookmarkStart w:id="2" w:name="bookmark1"/>
    </w:p>
    <w:p w14:paraId="219A3349" w14:textId="77777777" w:rsidR="00387142" w:rsidRPr="008B6A75" w:rsidRDefault="00387142" w:rsidP="00387142">
      <w:pPr>
        <w:pStyle w:val="17"/>
        <w:keepNext/>
        <w:keepLines/>
        <w:shd w:val="clear" w:color="auto" w:fill="auto"/>
        <w:spacing w:before="0" w:line="240" w:lineRule="auto"/>
        <w:ind w:left="20"/>
        <w:rPr>
          <w:rFonts w:ascii="Times New Roman" w:hAnsi="Times New Roman" w:cs="Times New Roman"/>
          <w:b w:val="0"/>
          <w:sz w:val="20"/>
          <w:szCs w:val="20"/>
        </w:rPr>
      </w:pPr>
      <w:r w:rsidRPr="008B6A75">
        <w:rPr>
          <w:rStyle w:val="16"/>
          <w:rFonts w:ascii="Times New Roman" w:hAnsi="Times New Roman" w:cs="Times New Roman"/>
          <w:color w:val="000000"/>
          <w:sz w:val="20"/>
          <w:szCs w:val="20"/>
          <w:lang w:val="en-US"/>
        </w:rPr>
        <w:t>I</w:t>
      </w:r>
      <w:r w:rsidRPr="008B6A75">
        <w:rPr>
          <w:rStyle w:val="16"/>
          <w:rFonts w:ascii="Times New Roman" w:hAnsi="Times New Roman" w:cs="Times New Roman"/>
          <w:color w:val="000000"/>
          <w:sz w:val="20"/>
          <w:szCs w:val="20"/>
        </w:rPr>
        <w:t>.</w:t>
      </w:r>
      <w:r w:rsidRPr="008B6A75">
        <w:rPr>
          <w:rStyle w:val="16"/>
          <w:rFonts w:ascii="Times New Roman" w:hAnsi="Times New Roman" w:cs="Times New Roman"/>
          <w:color w:val="000000"/>
          <w:sz w:val="20"/>
          <w:szCs w:val="20"/>
          <w:lang w:val="en-US"/>
        </w:rPr>
        <w:t> </w:t>
      </w:r>
      <w:r w:rsidRPr="008B6A75">
        <w:rPr>
          <w:rStyle w:val="16"/>
          <w:rFonts w:ascii="Times New Roman" w:hAnsi="Times New Roman" w:cs="Times New Roman"/>
          <w:color w:val="000000"/>
          <w:sz w:val="20"/>
          <w:szCs w:val="20"/>
        </w:rPr>
        <w:t>Общие положения</w:t>
      </w:r>
      <w:bookmarkEnd w:id="2"/>
    </w:p>
    <w:p w14:paraId="33AE2FB8" w14:textId="77777777" w:rsidR="00387142" w:rsidRPr="008B6A75" w:rsidRDefault="00387142" w:rsidP="00387142">
      <w:pPr>
        <w:pStyle w:val="25"/>
        <w:shd w:val="clear" w:color="auto" w:fill="auto"/>
        <w:tabs>
          <w:tab w:val="left" w:pos="1276"/>
        </w:tabs>
        <w:spacing w:after="0" w:line="240" w:lineRule="auto"/>
        <w:ind w:firstLine="709"/>
        <w:jc w:val="both"/>
        <w:rPr>
          <w:rFonts w:ascii="Times New Roman" w:hAnsi="Times New Roman" w:cs="Times New Roman"/>
          <w:sz w:val="20"/>
          <w:szCs w:val="20"/>
        </w:rPr>
      </w:pPr>
      <w:r w:rsidRPr="008B6A75">
        <w:rPr>
          <w:rStyle w:val="24"/>
          <w:rFonts w:ascii="Times New Roman" w:hAnsi="Times New Roman" w:cs="Times New Roman"/>
          <w:color w:val="000000"/>
          <w:sz w:val="20"/>
          <w:szCs w:val="20"/>
        </w:rPr>
        <w:t>1. Положение об условиях и порядке назначения, выплаты, перерасчета и индексации пенсии за выслугу лет муниципальным служащим в органах местного самоуправления Куйбышевского муниципального района Новосибирской области (далее - Положение) разработано в соответствии со статьей 24 Федерального закона от 02.03.2007 № 25-ФЗ «О муниципальной службе в Российской Федерации», пунктом 4 статьи 7 Федерального закона от 15.12.2001 № 166-ФЗ «О государственном пенсионном обеспечении в Российской Федерации», статьей 9.1 Закона Новосибирской области от 01.02.2005 № 265-ОЗ «О государственной гражданской службе Новосибирской области».</w:t>
      </w:r>
    </w:p>
    <w:p w14:paraId="3C696229" w14:textId="77777777" w:rsidR="00387142" w:rsidRPr="008B6A75" w:rsidRDefault="00387142" w:rsidP="00387142">
      <w:pPr>
        <w:pStyle w:val="25"/>
        <w:shd w:val="clear" w:color="auto" w:fill="auto"/>
        <w:tabs>
          <w:tab w:val="left" w:pos="1086"/>
          <w:tab w:val="left" w:pos="1276"/>
        </w:tabs>
        <w:spacing w:after="0" w:line="240" w:lineRule="auto"/>
        <w:ind w:firstLine="709"/>
        <w:jc w:val="both"/>
        <w:rPr>
          <w:rFonts w:ascii="Times New Roman" w:hAnsi="Times New Roman" w:cs="Times New Roman"/>
          <w:sz w:val="20"/>
          <w:szCs w:val="20"/>
        </w:rPr>
      </w:pPr>
      <w:r w:rsidRPr="008B6A75">
        <w:rPr>
          <w:rStyle w:val="24"/>
          <w:rFonts w:ascii="Times New Roman" w:hAnsi="Times New Roman" w:cs="Times New Roman"/>
          <w:color w:val="000000"/>
          <w:sz w:val="20"/>
          <w:szCs w:val="20"/>
        </w:rPr>
        <w:t>2. Положение определяет условия предоставления права на пенсию, порядок назначения, выплаты, перерасчета и индексации пенсии за выслугу лет муниципальным служащим в органах местного самоуправления Куйбышевского муниципального района Новосибирской области</w:t>
      </w:r>
      <w:r w:rsidRPr="008B6A75">
        <w:rPr>
          <w:rStyle w:val="34"/>
          <w:rFonts w:ascii="Times New Roman" w:hAnsi="Times New Roman" w:cs="Times New Roman"/>
          <w:color w:val="000000"/>
          <w:sz w:val="20"/>
          <w:szCs w:val="20"/>
        </w:rPr>
        <w:t xml:space="preserve"> </w:t>
      </w:r>
      <w:r w:rsidRPr="008B6A75">
        <w:rPr>
          <w:rStyle w:val="311pt"/>
          <w:rFonts w:ascii="Times New Roman" w:hAnsi="Times New Roman" w:cs="Times New Roman"/>
          <w:color w:val="000000"/>
          <w:sz w:val="20"/>
          <w:szCs w:val="20"/>
        </w:rPr>
        <w:t>(далее - муниципальные служащие).</w:t>
      </w:r>
    </w:p>
    <w:p w14:paraId="31E7A134" w14:textId="77777777" w:rsidR="00387142" w:rsidRPr="008B6A75" w:rsidRDefault="00387142" w:rsidP="00387142">
      <w:pPr>
        <w:pStyle w:val="17"/>
        <w:keepNext/>
        <w:keepLines/>
        <w:shd w:val="clear" w:color="auto" w:fill="auto"/>
        <w:spacing w:before="0" w:line="240" w:lineRule="auto"/>
        <w:ind w:left="20"/>
        <w:rPr>
          <w:rFonts w:ascii="Times New Roman" w:hAnsi="Times New Roman" w:cs="Times New Roman"/>
          <w:b w:val="0"/>
          <w:sz w:val="20"/>
          <w:szCs w:val="20"/>
        </w:rPr>
      </w:pPr>
      <w:bookmarkStart w:id="3" w:name="bookmark2"/>
      <w:r w:rsidRPr="008B6A75">
        <w:rPr>
          <w:rStyle w:val="16"/>
          <w:rFonts w:ascii="Times New Roman" w:hAnsi="Times New Roman" w:cs="Times New Roman"/>
          <w:color w:val="000000"/>
          <w:sz w:val="20"/>
          <w:szCs w:val="20"/>
          <w:lang w:val="en-US"/>
        </w:rPr>
        <w:lastRenderedPageBreak/>
        <w:t>II</w:t>
      </w:r>
      <w:r w:rsidRPr="008B6A75">
        <w:rPr>
          <w:rStyle w:val="16"/>
          <w:rFonts w:ascii="Times New Roman" w:hAnsi="Times New Roman" w:cs="Times New Roman"/>
          <w:color w:val="000000"/>
          <w:sz w:val="20"/>
          <w:szCs w:val="20"/>
        </w:rPr>
        <w:t>. Условия назначения пенсии за выслугу лет</w:t>
      </w:r>
      <w:bookmarkEnd w:id="3"/>
    </w:p>
    <w:p w14:paraId="1E20075B" w14:textId="77777777" w:rsidR="00387142" w:rsidRPr="008B6A75" w:rsidRDefault="00387142" w:rsidP="00387142">
      <w:pPr>
        <w:autoSpaceDE w:val="0"/>
        <w:autoSpaceDN w:val="0"/>
        <w:adjustRightInd w:val="0"/>
        <w:ind w:firstLine="540"/>
        <w:jc w:val="both"/>
        <w:rPr>
          <w:sz w:val="20"/>
          <w:szCs w:val="20"/>
        </w:rPr>
      </w:pPr>
      <w:r w:rsidRPr="008B6A75">
        <w:rPr>
          <w:sz w:val="20"/>
          <w:szCs w:val="20"/>
        </w:rPr>
        <w:t>3.</w:t>
      </w:r>
      <w:r w:rsidRPr="008B6A75">
        <w:rPr>
          <w:sz w:val="20"/>
          <w:szCs w:val="20"/>
          <w:lang w:val="en-US"/>
        </w:rPr>
        <w:t> </w:t>
      </w:r>
      <w:r w:rsidRPr="008B6A75">
        <w:rPr>
          <w:sz w:val="20"/>
          <w:szCs w:val="20"/>
        </w:rPr>
        <w:t>Пенсия за выслугу лет назначается лицам, имеющим стаж муниципальной службы, минимальная продолжительность которого для назначения пенсии за выслугу лет в соответствующем году определяется в соответствии с приложением к Федеральному закону от 15.12.2001 № 166-ФЗ «О государственном пенсионном обеспечении в Российской Федерации», замещавшим должности муниципальной службы до увольнения не менее 12 полных месяцев (с учетом положений, предусмотренных пунктом 4 настоящего Положения) и уволенным с муниципальной службы в органах местного самоуправления</w:t>
      </w:r>
      <w:r w:rsidRPr="008B6A75">
        <w:rPr>
          <w:rStyle w:val="24"/>
          <w:sz w:val="20"/>
          <w:szCs w:val="20"/>
        </w:rPr>
        <w:t xml:space="preserve"> Куйбышевского муниципального района Новосибирской области (далее - муниципальная служба) по следующим основаниям:</w:t>
      </w:r>
    </w:p>
    <w:p w14:paraId="4DC70221" w14:textId="77777777" w:rsidR="00387142" w:rsidRPr="008B6A75" w:rsidRDefault="00387142" w:rsidP="00387142">
      <w:pPr>
        <w:pStyle w:val="25"/>
        <w:shd w:val="clear" w:color="auto" w:fill="auto"/>
        <w:tabs>
          <w:tab w:val="left" w:pos="1134"/>
        </w:tabs>
        <w:spacing w:after="0" w:line="240" w:lineRule="auto"/>
        <w:ind w:firstLine="709"/>
        <w:jc w:val="both"/>
        <w:rPr>
          <w:rFonts w:ascii="Times New Roman" w:hAnsi="Times New Roman" w:cs="Times New Roman"/>
          <w:sz w:val="20"/>
          <w:szCs w:val="20"/>
        </w:rPr>
      </w:pPr>
      <w:r w:rsidRPr="008B6A75">
        <w:rPr>
          <w:rStyle w:val="24"/>
          <w:rFonts w:ascii="Times New Roman" w:hAnsi="Times New Roman" w:cs="Times New Roman"/>
          <w:color w:val="000000"/>
          <w:sz w:val="20"/>
          <w:szCs w:val="20"/>
        </w:rPr>
        <w:t>1) соглашению сторон трудового договора;</w:t>
      </w:r>
    </w:p>
    <w:p w14:paraId="66A97E2F" w14:textId="77777777" w:rsidR="00387142" w:rsidRPr="008B6A75" w:rsidRDefault="00387142" w:rsidP="00387142">
      <w:pPr>
        <w:pStyle w:val="25"/>
        <w:shd w:val="clear" w:color="auto" w:fill="auto"/>
        <w:tabs>
          <w:tab w:val="left" w:pos="1134"/>
        </w:tabs>
        <w:spacing w:after="0" w:line="240" w:lineRule="auto"/>
        <w:ind w:firstLine="709"/>
        <w:jc w:val="both"/>
        <w:rPr>
          <w:rFonts w:ascii="Times New Roman" w:hAnsi="Times New Roman" w:cs="Times New Roman"/>
          <w:sz w:val="20"/>
          <w:szCs w:val="20"/>
        </w:rPr>
      </w:pPr>
      <w:r w:rsidRPr="008B6A75">
        <w:rPr>
          <w:rStyle w:val="24"/>
          <w:rFonts w:ascii="Times New Roman" w:hAnsi="Times New Roman" w:cs="Times New Roman"/>
          <w:color w:val="000000"/>
          <w:sz w:val="20"/>
          <w:szCs w:val="20"/>
        </w:rPr>
        <w:t>2) истечении срока трудового договора, за исключением истечения срока трудового договора лица, замещавшего должность муниципальной службы, учреждаемую для непосредственного обеспечения исполнения полномочий лица, замещавшего муниципальную должность;</w:t>
      </w:r>
    </w:p>
    <w:p w14:paraId="0F5AB4E2" w14:textId="77777777" w:rsidR="00387142" w:rsidRPr="008B6A75" w:rsidRDefault="00387142" w:rsidP="00387142">
      <w:pPr>
        <w:pStyle w:val="25"/>
        <w:shd w:val="clear" w:color="auto" w:fill="auto"/>
        <w:tabs>
          <w:tab w:val="left" w:pos="1134"/>
        </w:tabs>
        <w:spacing w:after="0" w:line="240" w:lineRule="auto"/>
        <w:ind w:firstLine="709"/>
        <w:jc w:val="both"/>
        <w:rPr>
          <w:rStyle w:val="24"/>
          <w:rFonts w:ascii="Times New Roman" w:hAnsi="Times New Roman" w:cs="Times New Roman"/>
          <w:sz w:val="20"/>
          <w:szCs w:val="20"/>
        </w:rPr>
      </w:pPr>
      <w:r w:rsidRPr="008B6A75">
        <w:rPr>
          <w:rStyle w:val="24"/>
          <w:rFonts w:ascii="Times New Roman" w:hAnsi="Times New Roman" w:cs="Times New Roman"/>
          <w:color w:val="000000"/>
          <w:sz w:val="20"/>
          <w:szCs w:val="20"/>
        </w:rPr>
        <w:t>4) истечении срока трудового договора муниципального служащего, замещавшего должность муниципальной службы, учреждаемую для непосредственного обеспечения исполнения полномочий лица, замещавшего муниципальную должность;</w:t>
      </w:r>
    </w:p>
    <w:p w14:paraId="25D9F37B" w14:textId="77777777" w:rsidR="00387142" w:rsidRPr="008B6A75" w:rsidRDefault="00387142" w:rsidP="00387142">
      <w:pPr>
        <w:pStyle w:val="25"/>
        <w:shd w:val="clear" w:color="auto" w:fill="auto"/>
        <w:tabs>
          <w:tab w:val="left" w:pos="1134"/>
        </w:tabs>
        <w:spacing w:after="0" w:line="240" w:lineRule="auto"/>
        <w:ind w:firstLine="709"/>
        <w:jc w:val="both"/>
        <w:rPr>
          <w:rFonts w:ascii="Times New Roman" w:hAnsi="Times New Roman" w:cs="Times New Roman"/>
          <w:sz w:val="20"/>
          <w:szCs w:val="20"/>
        </w:rPr>
      </w:pPr>
      <w:r w:rsidRPr="008B6A75">
        <w:rPr>
          <w:rStyle w:val="24"/>
          <w:rFonts w:ascii="Times New Roman" w:hAnsi="Times New Roman" w:cs="Times New Roman"/>
          <w:color w:val="000000"/>
          <w:sz w:val="20"/>
          <w:szCs w:val="20"/>
        </w:rPr>
        <w:t>5) по инициативе муниципального служащего;</w:t>
      </w:r>
    </w:p>
    <w:p w14:paraId="355E840F" w14:textId="77777777" w:rsidR="00387142" w:rsidRPr="008B6A75" w:rsidRDefault="00387142" w:rsidP="00387142">
      <w:pPr>
        <w:pStyle w:val="25"/>
        <w:shd w:val="clear" w:color="auto" w:fill="auto"/>
        <w:tabs>
          <w:tab w:val="left" w:pos="339"/>
          <w:tab w:val="left" w:pos="1134"/>
        </w:tabs>
        <w:spacing w:after="0" w:line="240" w:lineRule="auto"/>
        <w:ind w:firstLine="709"/>
        <w:jc w:val="both"/>
        <w:rPr>
          <w:rFonts w:ascii="Times New Roman" w:hAnsi="Times New Roman" w:cs="Times New Roman"/>
          <w:sz w:val="20"/>
          <w:szCs w:val="20"/>
        </w:rPr>
      </w:pPr>
      <w:r w:rsidRPr="008B6A75">
        <w:rPr>
          <w:rStyle w:val="24"/>
          <w:rFonts w:ascii="Times New Roman" w:hAnsi="Times New Roman" w:cs="Times New Roman"/>
          <w:color w:val="000000"/>
          <w:sz w:val="20"/>
          <w:szCs w:val="20"/>
        </w:rPr>
        <w:t>6) в связи с отказом муниципального служащего от предложенной для замещения иной должности муниципальной службы в связи с изменением существенных условий трудового договора;</w:t>
      </w:r>
    </w:p>
    <w:p w14:paraId="05FD0D24" w14:textId="77777777" w:rsidR="00387142" w:rsidRPr="008B6A75" w:rsidRDefault="00387142" w:rsidP="00387142">
      <w:pPr>
        <w:pStyle w:val="25"/>
        <w:shd w:val="clear" w:color="auto" w:fill="auto"/>
        <w:tabs>
          <w:tab w:val="left" w:pos="339"/>
          <w:tab w:val="left" w:pos="1134"/>
        </w:tabs>
        <w:spacing w:after="0" w:line="240" w:lineRule="auto"/>
        <w:ind w:firstLine="709"/>
        <w:jc w:val="both"/>
        <w:rPr>
          <w:rFonts w:ascii="Times New Roman" w:hAnsi="Times New Roman" w:cs="Times New Roman"/>
          <w:sz w:val="20"/>
          <w:szCs w:val="20"/>
        </w:rPr>
      </w:pPr>
      <w:r w:rsidRPr="008B6A75">
        <w:rPr>
          <w:rStyle w:val="24"/>
          <w:rFonts w:ascii="Times New Roman" w:hAnsi="Times New Roman" w:cs="Times New Roman"/>
          <w:color w:val="000000"/>
          <w:sz w:val="20"/>
          <w:szCs w:val="20"/>
        </w:rPr>
        <w:t>7) в связи с отказом муниципального служащего от перевода на иную должность муниципальной службы по состоянию здоровья в соответствии с медицинским заключением, либо отсутствием такой должности в том же органе местного самоуправления;</w:t>
      </w:r>
    </w:p>
    <w:p w14:paraId="57EDE1D0" w14:textId="77777777" w:rsidR="00387142" w:rsidRPr="008B6A75" w:rsidRDefault="00387142" w:rsidP="00387142">
      <w:pPr>
        <w:pStyle w:val="25"/>
        <w:shd w:val="clear" w:color="auto" w:fill="auto"/>
        <w:tabs>
          <w:tab w:val="left" w:pos="339"/>
          <w:tab w:val="left" w:pos="1134"/>
        </w:tabs>
        <w:spacing w:after="0" w:line="240" w:lineRule="auto"/>
        <w:ind w:firstLine="709"/>
        <w:jc w:val="both"/>
        <w:rPr>
          <w:rFonts w:ascii="Times New Roman" w:hAnsi="Times New Roman" w:cs="Times New Roman"/>
          <w:sz w:val="20"/>
          <w:szCs w:val="20"/>
        </w:rPr>
      </w:pPr>
      <w:r w:rsidRPr="008B6A75">
        <w:rPr>
          <w:rStyle w:val="24"/>
          <w:rFonts w:ascii="Times New Roman" w:hAnsi="Times New Roman" w:cs="Times New Roman"/>
          <w:color w:val="000000"/>
          <w:sz w:val="20"/>
          <w:szCs w:val="20"/>
        </w:rPr>
        <w:t>8) в связи с отказом муниципального служащего от перевода в другую местность вместе с органом местного самоуправления;</w:t>
      </w:r>
    </w:p>
    <w:p w14:paraId="5BFCCA31" w14:textId="77777777" w:rsidR="00387142" w:rsidRPr="008B6A75" w:rsidRDefault="00387142" w:rsidP="00387142">
      <w:pPr>
        <w:pStyle w:val="25"/>
        <w:shd w:val="clear" w:color="auto" w:fill="auto"/>
        <w:tabs>
          <w:tab w:val="left" w:pos="339"/>
          <w:tab w:val="left" w:pos="1134"/>
        </w:tabs>
        <w:spacing w:after="0" w:line="240" w:lineRule="auto"/>
        <w:ind w:firstLine="709"/>
        <w:jc w:val="both"/>
        <w:rPr>
          <w:rFonts w:ascii="Times New Roman" w:hAnsi="Times New Roman" w:cs="Times New Roman"/>
          <w:sz w:val="20"/>
          <w:szCs w:val="20"/>
        </w:rPr>
      </w:pPr>
      <w:r w:rsidRPr="008B6A75">
        <w:rPr>
          <w:rStyle w:val="24"/>
          <w:rFonts w:ascii="Times New Roman" w:hAnsi="Times New Roman" w:cs="Times New Roman"/>
          <w:color w:val="000000"/>
          <w:sz w:val="20"/>
          <w:szCs w:val="20"/>
        </w:rPr>
        <w:t>9) в связи с несоответствием муниципального служащего замещаемой должности муниципальной службы по состоянию здоровья в соответствии с медицинским заключением;</w:t>
      </w:r>
    </w:p>
    <w:p w14:paraId="0BE5ADA5" w14:textId="77777777" w:rsidR="00387142" w:rsidRPr="008B6A75" w:rsidRDefault="00387142" w:rsidP="00387142">
      <w:pPr>
        <w:pStyle w:val="25"/>
        <w:shd w:val="clear" w:color="auto" w:fill="auto"/>
        <w:tabs>
          <w:tab w:val="left" w:pos="339"/>
          <w:tab w:val="left" w:pos="1134"/>
        </w:tabs>
        <w:spacing w:after="0" w:line="240" w:lineRule="auto"/>
        <w:ind w:firstLine="709"/>
        <w:jc w:val="both"/>
        <w:rPr>
          <w:rFonts w:ascii="Times New Roman" w:hAnsi="Times New Roman" w:cs="Times New Roman"/>
          <w:sz w:val="20"/>
          <w:szCs w:val="20"/>
        </w:rPr>
      </w:pPr>
      <w:r w:rsidRPr="008B6A75">
        <w:rPr>
          <w:rStyle w:val="24"/>
          <w:rFonts w:ascii="Times New Roman" w:hAnsi="Times New Roman" w:cs="Times New Roman"/>
          <w:color w:val="000000"/>
          <w:sz w:val="20"/>
          <w:szCs w:val="20"/>
        </w:rPr>
        <w:t>10) в связи с несоответствием муниципального служащего замещаемой должности муниципальной службы вследствие недостаточной квалификации, подтвержденной результатами аттестации;</w:t>
      </w:r>
    </w:p>
    <w:p w14:paraId="05433F61" w14:textId="77777777" w:rsidR="00387142" w:rsidRPr="008B6A75" w:rsidRDefault="00387142" w:rsidP="00387142">
      <w:pPr>
        <w:pStyle w:val="25"/>
        <w:shd w:val="clear" w:color="auto" w:fill="auto"/>
        <w:tabs>
          <w:tab w:val="left" w:pos="428"/>
          <w:tab w:val="left" w:pos="1134"/>
        </w:tabs>
        <w:spacing w:after="0" w:line="240" w:lineRule="auto"/>
        <w:ind w:firstLine="709"/>
        <w:jc w:val="both"/>
        <w:rPr>
          <w:rFonts w:ascii="Times New Roman" w:hAnsi="Times New Roman" w:cs="Times New Roman"/>
          <w:sz w:val="20"/>
          <w:szCs w:val="20"/>
        </w:rPr>
      </w:pPr>
      <w:r w:rsidRPr="008B6A75">
        <w:rPr>
          <w:rStyle w:val="24"/>
          <w:rFonts w:ascii="Times New Roman" w:hAnsi="Times New Roman" w:cs="Times New Roman"/>
          <w:color w:val="000000"/>
          <w:sz w:val="20"/>
          <w:szCs w:val="20"/>
        </w:rPr>
        <w:t>11) в связи с восстановлением на службе муниципального служащего, ранее замещавшего эту должность муниципальной службы, по решению суда;</w:t>
      </w:r>
    </w:p>
    <w:p w14:paraId="7FE314B2" w14:textId="77777777" w:rsidR="00387142" w:rsidRPr="008B6A75" w:rsidRDefault="00387142" w:rsidP="00387142">
      <w:pPr>
        <w:pStyle w:val="25"/>
        <w:shd w:val="clear" w:color="auto" w:fill="auto"/>
        <w:tabs>
          <w:tab w:val="left" w:pos="433"/>
          <w:tab w:val="left" w:pos="1134"/>
        </w:tabs>
        <w:spacing w:after="0" w:line="240" w:lineRule="auto"/>
        <w:ind w:firstLine="709"/>
        <w:jc w:val="both"/>
        <w:rPr>
          <w:rFonts w:ascii="Times New Roman" w:hAnsi="Times New Roman" w:cs="Times New Roman"/>
          <w:sz w:val="20"/>
          <w:szCs w:val="20"/>
        </w:rPr>
      </w:pPr>
      <w:r w:rsidRPr="008B6A75">
        <w:rPr>
          <w:rStyle w:val="24"/>
          <w:rFonts w:ascii="Times New Roman" w:hAnsi="Times New Roman" w:cs="Times New Roman"/>
          <w:color w:val="000000"/>
          <w:sz w:val="20"/>
          <w:szCs w:val="20"/>
        </w:rPr>
        <w:t>12) в связи с избранием или назначением на государственную должность Российской Федерации, государственную должность субъекта Российской Федерации или муниципальную должность либо избранием муниципального служащего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w:t>
      </w:r>
    </w:p>
    <w:p w14:paraId="459DF42A" w14:textId="77777777" w:rsidR="00387142" w:rsidRPr="008B6A75" w:rsidRDefault="00387142" w:rsidP="00387142">
      <w:pPr>
        <w:pStyle w:val="25"/>
        <w:shd w:val="clear" w:color="auto" w:fill="auto"/>
        <w:tabs>
          <w:tab w:val="left" w:pos="433"/>
          <w:tab w:val="left" w:pos="1134"/>
        </w:tabs>
        <w:spacing w:after="0" w:line="240" w:lineRule="auto"/>
        <w:ind w:firstLine="709"/>
        <w:jc w:val="both"/>
        <w:rPr>
          <w:rFonts w:ascii="Times New Roman" w:hAnsi="Times New Roman" w:cs="Times New Roman"/>
          <w:sz w:val="20"/>
          <w:szCs w:val="20"/>
        </w:rPr>
      </w:pPr>
      <w:r w:rsidRPr="008B6A75">
        <w:rPr>
          <w:rStyle w:val="24"/>
          <w:rFonts w:ascii="Times New Roman" w:hAnsi="Times New Roman" w:cs="Times New Roman"/>
          <w:color w:val="000000"/>
          <w:sz w:val="20"/>
          <w:szCs w:val="20"/>
        </w:rPr>
        <w:t>13) в связи с наступлением чрезвычайных обстоятельств, препятствующих продолжению отношений, связанных с муниципальной службой (военных действий, катастрофы, стихийного бедствия, крупной аварии, эпидемии других чрезвычайных обстоятельств), если данное обстоятельство признано чрезвычайным решением Президента Российской Федерации или, органа государственной власти Новосибирской области;</w:t>
      </w:r>
    </w:p>
    <w:p w14:paraId="57ACC0B4" w14:textId="77777777" w:rsidR="00387142" w:rsidRPr="008B6A75" w:rsidRDefault="00387142" w:rsidP="00387142">
      <w:pPr>
        <w:pStyle w:val="25"/>
        <w:shd w:val="clear" w:color="auto" w:fill="auto"/>
        <w:tabs>
          <w:tab w:val="left" w:pos="433"/>
          <w:tab w:val="left" w:pos="1134"/>
        </w:tabs>
        <w:spacing w:after="0" w:line="240" w:lineRule="auto"/>
        <w:ind w:firstLine="709"/>
        <w:jc w:val="both"/>
        <w:rPr>
          <w:rFonts w:ascii="Times New Roman" w:hAnsi="Times New Roman" w:cs="Times New Roman"/>
          <w:sz w:val="20"/>
          <w:szCs w:val="20"/>
        </w:rPr>
      </w:pPr>
      <w:r w:rsidRPr="008B6A75">
        <w:rPr>
          <w:rStyle w:val="24"/>
          <w:rFonts w:ascii="Times New Roman" w:hAnsi="Times New Roman" w:cs="Times New Roman"/>
          <w:color w:val="000000"/>
          <w:sz w:val="20"/>
          <w:szCs w:val="20"/>
        </w:rPr>
        <w:t>14) в связи с признанием муниципального служащего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14:paraId="1969A43E" w14:textId="77777777" w:rsidR="00387142" w:rsidRPr="008B6A75" w:rsidRDefault="00387142" w:rsidP="00387142">
      <w:pPr>
        <w:pStyle w:val="25"/>
        <w:shd w:val="clear" w:color="auto" w:fill="auto"/>
        <w:tabs>
          <w:tab w:val="left" w:pos="433"/>
          <w:tab w:val="left" w:pos="1134"/>
        </w:tabs>
        <w:spacing w:after="0" w:line="240" w:lineRule="auto"/>
        <w:ind w:firstLine="709"/>
        <w:jc w:val="both"/>
        <w:rPr>
          <w:rFonts w:ascii="Times New Roman" w:hAnsi="Times New Roman" w:cs="Times New Roman"/>
          <w:sz w:val="20"/>
          <w:szCs w:val="20"/>
        </w:rPr>
      </w:pPr>
      <w:r w:rsidRPr="008B6A75">
        <w:rPr>
          <w:rStyle w:val="24"/>
          <w:rFonts w:ascii="Times New Roman" w:hAnsi="Times New Roman" w:cs="Times New Roman"/>
          <w:color w:val="000000"/>
          <w:sz w:val="20"/>
          <w:szCs w:val="20"/>
        </w:rPr>
        <w:t>15) в связи с признанием муниципального служащего недееспособным или ограниченно дееспособным решением суда, вступившим в законную силу;</w:t>
      </w:r>
    </w:p>
    <w:p w14:paraId="04CE92C1" w14:textId="77777777" w:rsidR="00387142" w:rsidRPr="008B6A75" w:rsidRDefault="00387142" w:rsidP="00387142">
      <w:pPr>
        <w:pStyle w:val="25"/>
        <w:shd w:val="clear" w:color="auto" w:fill="auto"/>
        <w:tabs>
          <w:tab w:val="left" w:pos="433"/>
          <w:tab w:val="left" w:pos="1134"/>
        </w:tabs>
        <w:spacing w:after="0" w:line="240" w:lineRule="auto"/>
        <w:ind w:firstLine="709"/>
        <w:jc w:val="both"/>
        <w:rPr>
          <w:rFonts w:ascii="Times New Roman" w:hAnsi="Times New Roman" w:cs="Times New Roman"/>
          <w:sz w:val="20"/>
          <w:szCs w:val="20"/>
        </w:rPr>
      </w:pPr>
      <w:r w:rsidRPr="008B6A75">
        <w:rPr>
          <w:rStyle w:val="24"/>
          <w:rFonts w:ascii="Times New Roman" w:hAnsi="Times New Roman" w:cs="Times New Roman"/>
          <w:color w:val="000000"/>
          <w:sz w:val="20"/>
          <w:szCs w:val="20"/>
        </w:rPr>
        <w:t>16) в связи с достижением муниципальным служащим предельного возраста пребывания на муниципальной службе, за исключением случаев, когда в соответствии с пунктом 2 статьей 19 Федерального закона от 02.03.2007 № 25-ФЗ «О муниципальной службе в Российской Федерации» срок муниципальной службы муниципальному служащему продлен сверх установленного предельного возраста пребывания на муниципальной службе;</w:t>
      </w:r>
    </w:p>
    <w:p w14:paraId="03E09A62" w14:textId="77777777" w:rsidR="00387142" w:rsidRPr="008B6A75" w:rsidRDefault="00387142" w:rsidP="00387142">
      <w:pPr>
        <w:pStyle w:val="25"/>
        <w:shd w:val="clear" w:color="auto" w:fill="auto"/>
        <w:tabs>
          <w:tab w:val="left" w:pos="433"/>
          <w:tab w:val="left" w:pos="1134"/>
        </w:tabs>
        <w:spacing w:after="0" w:line="240" w:lineRule="auto"/>
        <w:ind w:firstLine="709"/>
        <w:jc w:val="both"/>
        <w:rPr>
          <w:rStyle w:val="24"/>
          <w:rFonts w:ascii="Times New Roman" w:hAnsi="Times New Roman" w:cs="Times New Roman"/>
          <w:sz w:val="20"/>
          <w:szCs w:val="20"/>
        </w:rPr>
      </w:pPr>
      <w:r w:rsidRPr="008B6A75">
        <w:rPr>
          <w:rStyle w:val="24"/>
          <w:rFonts w:ascii="Times New Roman" w:hAnsi="Times New Roman" w:cs="Times New Roman"/>
          <w:color w:val="000000"/>
          <w:sz w:val="20"/>
          <w:szCs w:val="20"/>
        </w:rPr>
        <w:t>17) в случае сокращения должностей муниципальной службы в органе местного самоуправления;</w:t>
      </w:r>
    </w:p>
    <w:p w14:paraId="5A8F51C7" w14:textId="77777777" w:rsidR="00387142" w:rsidRPr="008B6A75" w:rsidRDefault="00387142" w:rsidP="00387142">
      <w:pPr>
        <w:pStyle w:val="25"/>
        <w:shd w:val="clear" w:color="auto" w:fill="auto"/>
        <w:tabs>
          <w:tab w:val="left" w:pos="433"/>
          <w:tab w:val="left" w:pos="1134"/>
        </w:tabs>
        <w:spacing w:after="0" w:line="240" w:lineRule="auto"/>
        <w:ind w:firstLine="709"/>
        <w:jc w:val="both"/>
        <w:rPr>
          <w:rFonts w:ascii="Times New Roman" w:hAnsi="Times New Roman" w:cs="Times New Roman"/>
          <w:sz w:val="20"/>
          <w:szCs w:val="20"/>
        </w:rPr>
      </w:pPr>
      <w:r w:rsidRPr="008B6A75">
        <w:rPr>
          <w:rStyle w:val="24"/>
          <w:rFonts w:ascii="Times New Roman" w:hAnsi="Times New Roman" w:cs="Times New Roman"/>
          <w:color w:val="000000"/>
          <w:sz w:val="20"/>
          <w:szCs w:val="20"/>
        </w:rPr>
        <w:t>18) в случае упразднения органа местного самоуправления.</w:t>
      </w:r>
    </w:p>
    <w:p w14:paraId="474137A1" w14:textId="77777777" w:rsidR="00387142" w:rsidRPr="008B6A75" w:rsidRDefault="00387142" w:rsidP="00387142">
      <w:pPr>
        <w:pStyle w:val="25"/>
        <w:shd w:val="clear" w:color="auto" w:fill="auto"/>
        <w:spacing w:after="0" w:line="240" w:lineRule="auto"/>
        <w:ind w:firstLine="709"/>
        <w:jc w:val="both"/>
        <w:rPr>
          <w:rFonts w:ascii="Times New Roman" w:hAnsi="Times New Roman" w:cs="Times New Roman"/>
          <w:sz w:val="20"/>
          <w:szCs w:val="20"/>
        </w:rPr>
      </w:pPr>
      <w:r w:rsidRPr="008B6A75">
        <w:rPr>
          <w:rStyle w:val="24"/>
          <w:rFonts w:ascii="Times New Roman" w:hAnsi="Times New Roman" w:cs="Times New Roman"/>
          <w:color w:val="000000"/>
          <w:sz w:val="20"/>
          <w:szCs w:val="20"/>
        </w:rPr>
        <w:t>4. Муниципальные служащие при увольнении с муниципальной службы по основаниям, предусмотренным подпунктами 1,2,4,5,9 и 15 пункта 3 настоящего Положения, имеют право на пенсию за выслугу лет, если на момент освобождения от должности они имели право на страховую пенсию по старости (инвалидности) и непосредственно перед увольнением замещали должности муниципальной службы не менее 12 полных месяцев.</w:t>
      </w:r>
    </w:p>
    <w:p w14:paraId="2BFFEA64" w14:textId="77777777" w:rsidR="00387142" w:rsidRPr="008B6A75" w:rsidRDefault="00387142" w:rsidP="00387142">
      <w:pPr>
        <w:pStyle w:val="25"/>
        <w:shd w:val="clear" w:color="auto" w:fill="auto"/>
        <w:tabs>
          <w:tab w:val="left" w:pos="1267"/>
        </w:tabs>
        <w:spacing w:after="0" w:line="240" w:lineRule="auto"/>
        <w:ind w:firstLine="709"/>
        <w:jc w:val="both"/>
        <w:rPr>
          <w:rFonts w:ascii="Times New Roman" w:hAnsi="Times New Roman" w:cs="Times New Roman"/>
          <w:sz w:val="20"/>
          <w:szCs w:val="20"/>
        </w:rPr>
      </w:pPr>
      <w:r w:rsidRPr="008B6A75">
        <w:rPr>
          <w:rStyle w:val="24"/>
          <w:rFonts w:ascii="Times New Roman" w:hAnsi="Times New Roman" w:cs="Times New Roman"/>
          <w:color w:val="000000"/>
          <w:sz w:val="20"/>
          <w:szCs w:val="20"/>
        </w:rPr>
        <w:t>Муниципальные служащие при увольнении с муниципальной службы по основаниям, предусмотренным подпунктами 3, 6-8, 10-14, 16 и 17 пункта 3 настоящего Положения, имеют право на пенсию за выслугу лет, если непосредственно перед увольнением они замещали должности муниципальной службы не менее одного полного месяца, при этом суммарная продолжительность замещения та</w:t>
      </w:r>
      <w:r w:rsidRPr="008B6A75">
        <w:rPr>
          <w:rStyle w:val="24"/>
          <w:rFonts w:ascii="Times New Roman" w:hAnsi="Times New Roman" w:cs="Times New Roman"/>
          <w:color w:val="000000"/>
          <w:sz w:val="20"/>
          <w:szCs w:val="20"/>
        </w:rPr>
        <w:softHyphen/>
        <w:t>ких должностей составляет не менее 12 полных месяцев.</w:t>
      </w:r>
    </w:p>
    <w:p w14:paraId="13CFBC12" w14:textId="77777777" w:rsidR="00387142" w:rsidRPr="008B6A75" w:rsidRDefault="00387142" w:rsidP="00387142">
      <w:pPr>
        <w:pStyle w:val="25"/>
        <w:shd w:val="clear" w:color="auto" w:fill="auto"/>
        <w:tabs>
          <w:tab w:val="left" w:pos="1267"/>
        </w:tabs>
        <w:spacing w:after="0" w:line="240" w:lineRule="auto"/>
        <w:ind w:firstLine="709"/>
        <w:jc w:val="both"/>
        <w:rPr>
          <w:rFonts w:ascii="Times New Roman" w:hAnsi="Times New Roman" w:cs="Times New Roman"/>
          <w:sz w:val="20"/>
          <w:szCs w:val="20"/>
        </w:rPr>
      </w:pPr>
      <w:r w:rsidRPr="008B6A75">
        <w:rPr>
          <w:rStyle w:val="24"/>
          <w:rFonts w:ascii="Times New Roman" w:hAnsi="Times New Roman" w:cs="Times New Roman"/>
          <w:color w:val="000000"/>
          <w:sz w:val="20"/>
          <w:szCs w:val="20"/>
        </w:rPr>
        <w:t xml:space="preserve">5. Пенсия за выслугу лет устанавливается к страховой пенсии по старости либо к страховой пенсии по инвалидности, назначенной в соответствии с Федеральным законом от 28.12.2013 № 400-ФЗ «О страховых пенсиях» (далее - Федеральный закон «О страховых пенсиях»), либо к страховой пенсии по старости, досрочно назначенной в соответствии с Законом Российской Федерации от 19.04.1991 № 1032-1 «О занятости населения в </w:t>
      </w:r>
      <w:r w:rsidRPr="008B6A75">
        <w:rPr>
          <w:rStyle w:val="24"/>
          <w:rFonts w:ascii="Times New Roman" w:hAnsi="Times New Roman" w:cs="Times New Roman"/>
          <w:color w:val="000000"/>
          <w:sz w:val="20"/>
          <w:szCs w:val="20"/>
        </w:rPr>
        <w:lastRenderedPageBreak/>
        <w:t>Российской Федерации».</w:t>
      </w:r>
    </w:p>
    <w:p w14:paraId="236ECBCB" w14:textId="77777777" w:rsidR="00387142" w:rsidRPr="008B6A75" w:rsidRDefault="00387142" w:rsidP="00387142">
      <w:pPr>
        <w:pStyle w:val="25"/>
        <w:shd w:val="clear" w:color="auto" w:fill="auto"/>
        <w:tabs>
          <w:tab w:val="left" w:pos="1267"/>
        </w:tabs>
        <w:spacing w:after="0" w:line="240" w:lineRule="auto"/>
        <w:ind w:firstLine="709"/>
        <w:jc w:val="both"/>
        <w:rPr>
          <w:rFonts w:ascii="Times New Roman" w:hAnsi="Times New Roman" w:cs="Times New Roman"/>
          <w:sz w:val="20"/>
          <w:szCs w:val="20"/>
        </w:rPr>
      </w:pPr>
      <w:r w:rsidRPr="008B6A75">
        <w:rPr>
          <w:rStyle w:val="24"/>
          <w:rFonts w:ascii="Times New Roman" w:hAnsi="Times New Roman" w:cs="Times New Roman"/>
          <w:color w:val="000000"/>
          <w:sz w:val="20"/>
          <w:szCs w:val="20"/>
        </w:rPr>
        <w:t>Лицам, имеющим одновременно право на пенсию за выслугу лет, предусмотренную настоящим Положением, ежемесячное пожизненное содержание или дополнительное (пожизненное) ежемесячное материальное обеспечение, назначаемые в соответствии с федеральными законами, актами Президента Российской Федерации и Правительства Российской Федерации, на предусмотренную федеральным законодательством, законодательством Новосибирской области ежемесячную доплату к пенсии, устанавливаемую лицам, замещавшим должности в органах государственной власти и управления Союза ССР и РСФСР, на ежемесячную доплату к пенсии (за исключением ежемесячной доплаты гражданам, награжденным знаком отличия «За заслуги перед Новосибирской областью»</w:t>
      </w:r>
      <w:r w:rsidRPr="008B6A75">
        <w:rPr>
          <w:rFonts w:ascii="Times New Roman" w:hAnsi="Times New Roman" w:cs="Times New Roman"/>
          <w:bCs/>
          <w:sz w:val="20"/>
          <w:szCs w:val="20"/>
        </w:rPr>
        <w:t xml:space="preserve"> и ежемесячной доплаты гражданам, удостоенным почетного звания «Почетный гражданин Новосибирской области»</w:t>
      </w:r>
      <w:r w:rsidRPr="008B6A75">
        <w:rPr>
          <w:rStyle w:val="24"/>
          <w:rFonts w:ascii="Times New Roman" w:hAnsi="Times New Roman" w:cs="Times New Roman"/>
          <w:color w:val="000000"/>
          <w:sz w:val="20"/>
          <w:szCs w:val="20"/>
        </w:rPr>
        <w:t>), пенсию за выслугу лет, назначаемые в соответствии с федеральным законодательством, законодательством Новосибирской области, муниципальными правовыми актами города Новосибирска в связи с замещением государственных должностей Российской Федерации, должностей государственной гражданской службы Российской Федерации, государственных должностей субъектов Российской Федерации, должностей государственной гражданской службы субъектов Российской Федерации, муниципальных должностей и должностей муниципальной службы, назначается пенсия за выслугу лет, предусмотренная настоящим Положением, или одна из указанных выплат по их выбору.</w:t>
      </w:r>
    </w:p>
    <w:p w14:paraId="6C8CE8A2" w14:textId="77777777" w:rsidR="00387142" w:rsidRPr="008B6A75" w:rsidRDefault="00387142" w:rsidP="00387142">
      <w:pPr>
        <w:pStyle w:val="25"/>
        <w:shd w:val="clear" w:color="auto" w:fill="auto"/>
        <w:tabs>
          <w:tab w:val="left" w:pos="1267"/>
        </w:tabs>
        <w:spacing w:after="0" w:line="240" w:lineRule="auto"/>
        <w:ind w:firstLine="709"/>
        <w:jc w:val="both"/>
        <w:rPr>
          <w:rStyle w:val="24"/>
          <w:rFonts w:ascii="Times New Roman" w:hAnsi="Times New Roman" w:cs="Times New Roman"/>
          <w:sz w:val="20"/>
          <w:szCs w:val="20"/>
        </w:rPr>
      </w:pPr>
      <w:r w:rsidRPr="008B6A75">
        <w:rPr>
          <w:rFonts w:ascii="Times New Roman" w:hAnsi="Times New Roman" w:cs="Times New Roman"/>
          <w:sz w:val="20"/>
          <w:szCs w:val="20"/>
        </w:rPr>
        <w:t>6. Пенсия за выслугу лет назначается при наличии стажа муниципальной службы не менее стажа, продолжительность которого для назначения пенсии за выслугу лет в соответствующем году определяется согласно приложению к Федеральному закону от 15.12.2001 № 166-ФЗ «О государственном пенсионном обеспечении в Российской Федерации», в размере 45 процентов среднемесячного денежного содержания муниципального служащего (далее - среднемесячное денежное содержание) за вычетом страховой пенсии по старости (инвалидности), фиксированной выплаты к страховой пенсии по старости (инвалидности) и повышений фиксированной выплаты к страховой пенсии по старости (инвалидности), установленных в соответствии с Федеральным законом «О страховых пенсиях». За каждый полный год стажа муниципальной службы сверх указанного стажа пенсия за выслугу лет увеличивается на 3 процента среднемесячного денежного содержания. При этом общая сумма пенсии за выслугу лет и страховой пенсии по старости (инвалидности), фиксированной выплаты к страховой пенсии по старости (инвалидности) и повышений фиксированной выплаты к страховой пенсии по старости (инвалидности) не может превышать 75 процентов среднемесячного денежного содержания муниципального служащего, определенного в соответствии с пунктом 8 настоящего Положения.</w:t>
      </w:r>
    </w:p>
    <w:p w14:paraId="74C59066" w14:textId="77777777" w:rsidR="00387142" w:rsidRPr="008B6A75" w:rsidRDefault="00387142" w:rsidP="00387142">
      <w:pPr>
        <w:pStyle w:val="25"/>
        <w:shd w:val="clear" w:color="auto" w:fill="auto"/>
        <w:tabs>
          <w:tab w:val="left" w:pos="1267"/>
        </w:tabs>
        <w:spacing w:after="0" w:line="240" w:lineRule="auto"/>
        <w:ind w:firstLine="709"/>
        <w:jc w:val="both"/>
        <w:rPr>
          <w:rFonts w:ascii="Times New Roman" w:hAnsi="Times New Roman" w:cs="Times New Roman"/>
          <w:sz w:val="20"/>
          <w:szCs w:val="20"/>
        </w:rPr>
      </w:pPr>
      <w:r w:rsidRPr="008B6A75">
        <w:rPr>
          <w:rStyle w:val="24"/>
          <w:rFonts w:ascii="Times New Roman" w:hAnsi="Times New Roman" w:cs="Times New Roman"/>
          <w:color w:val="000000"/>
          <w:sz w:val="20"/>
          <w:szCs w:val="20"/>
        </w:rPr>
        <w:t>7. В стаж муниципальной службы для назначения пенсии за выслугу лет включаются периоды службы (работы) в должностях, определенных Перечнем должностей, периоды службы (работы) в которых включаются в стаж муниципальной службы для назначения пенсии за выслугу лет муниципальных служащих, утвержденным постановлением Губернатора Новосибирской области 01.06.2011 № 134.</w:t>
      </w:r>
    </w:p>
    <w:p w14:paraId="5A419B81" w14:textId="77777777" w:rsidR="00387142" w:rsidRPr="008B6A75" w:rsidRDefault="00387142" w:rsidP="00387142">
      <w:pPr>
        <w:pStyle w:val="25"/>
        <w:shd w:val="clear" w:color="auto" w:fill="auto"/>
        <w:tabs>
          <w:tab w:val="left" w:pos="1267"/>
        </w:tabs>
        <w:spacing w:after="0" w:line="240" w:lineRule="auto"/>
        <w:ind w:firstLine="709"/>
        <w:jc w:val="both"/>
        <w:rPr>
          <w:rFonts w:ascii="Times New Roman" w:hAnsi="Times New Roman" w:cs="Times New Roman"/>
          <w:sz w:val="20"/>
          <w:szCs w:val="20"/>
        </w:rPr>
      </w:pPr>
      <w:r w:rsidRPr="008B6A75">
        <w:rPr>
          <w:rStyle w:val="24"/>
          <w:rFonts w:ascii="Times New Roman" w:hAnsi="Times New Roman" w:cs="Times New Roman"/>
          <w:color w:val="000000"/>
          <w:sz w:val="20"/>
          <w:szCs w:val="20"/>
        </w:rPr>
        <w:t>При определении размера пенсии за выслугу лет не учитываются суммы повышений фиксированной выплаты к страховой пенсии по старости (инвалидности), приходящиеся на нетрудоспособных членов семьи, в связи с достижением возраста 80 лет или наличием инвалидности 1 группы, суммы, полагающиеся в связи с валоризацией пенсионных прав в соответствии с Федеральным законом от 17.12.2001 № 173-ФЗ «О трудовых пенсиях в Российской Федерации», размер доли страховой пенсии по старости (инвалидности), установленной и исчисленной в соответствии с Федеральным законом «О страховых пенсиях», а также суммы повышений размеров страховой пенсии по старости и фиксированной выплаты при назначении страховой пенсии по старости впервые (в том числе досрочно) позднее возникновения права на нее, восстановлении выплаты указанной пенсии или назначении указанной пенсии вновь после отказа от получения установленной (в том числе досрочно) страховой пенсии по старости.</w:t>
      </w:r>
    </w:p>
    <w:p w14:paraId="21F786D9" w14:textId="77777777" w:rsidR="00387142" w:rsidRPr="008B6A75" w:rsidRDefault="00387142" w:rsidP="00387142">
      <w:pPr>
        <w:pStyle w:val="25"/>
        <w:shd w:val="clear" w:color="auto" w:fill="auto"/>
        <w:tabs>
          <w:tab w:val="left" w:pos="1267"/>
        </w:tabs>
        <w:spacing w:after="0" w:line="240" w:lineRule="auto"/>
        <w:ind w:firstLine="709"/>
        <w:jc w:val="both"/>
        <w:rPr>
          <w:rFonts w:ascii="Times New Roman" w:hAnsi="Times New Roman" w:cs="Times New Roman"/>
          <w:sz w:val="20"/>
          <w:szCs w:val="20"/>
        </w:rPr>
      </w:pPr>
      <w:r w:rsidRPr="008B6A75">
        <w:rPr>
          <w:rStyle w:val="24"/>
          <w:rFonts w:ascii="Times New Roman" w:hAnsi="Times New Roman" w:cs="Times New Roman"/>
          <w:color w:val="000000"/>
          <w:sz w:val="20"/>
          <w:szCs w:val="20"/>
        </w:rPr>
        <w:t>8. Размер пенсии за выслугу лет муниципальным служащим исчисляется по их выбору исходя из среднемесячного денежного содержания за последние 12 полных месяцев муниципальной службы, предшествовавших дню ее прекращения либо дню достижения ими возраста, дающего право па страховую пенсию по ста</w:t>
      </w:r>
      <w:r w:rsidRPr="008B6A75">
        <w:rPr>
          <w:rStyle w:val="24"/>
          <w:rFonts w:ascii="Times New Roman" w:hAnsi="Times New Roman" w:cs="Times New Roman"/>
          <w:color w:val="000000"/>
          <w:sz w:val="20"/>
          <w:szCs w:val="20"/>
        </w:rPr>
        <w:softHyphen/>
        <w:t>рости, предусмотренную Федеральным законом «О страховых пенсиях» (давав</w:t>
      </w:r>
      <w:r w:rsidRPr="008B6A75">
        <w:rPr>
          <w:rStyle w:val="24"/>
          <w:rFonts w:ascii="Times New Roman" w:hAnsi="Times New Roman" w:cs="Times New Roman"/>
          <w:color w:val="000000"/>
          <w:sz w:val="20"/>
          <w:szCs w:val="20"/>
        </w:rPr>
        <w:softHyphen/>
        <w:t>шего право на трудовую пенсию по старости в соответствии с Федеральным за</w:t>
      </w:r>
      <w:r w:rsidRPr="008B6A75">
        <w:rPr>
          <w:rStyle w:val="24"/>
          <w:rFonts w:ascii="Times New Roman" w:hAnsi="Times New Roman" w:cs="Times New Roman"/>
          <w:color w:val="000000"/>
          <w:sz w:val="20"/>
          <w:szCs w:val="20"/>
        </w:rPr>
        <w:softHyphen/>
        <w:t xml:space="preserve">коном от 17.12.2001 № 173-ФЗ «О трудовых пенсиях в Российской </w:t>
      </w:r>
      <w:r w:rsidRPr="008B6A75">
        <w:rPr>
          <w:rFonts w:ascii="Times New Roman" w:hAnsi="Times New Roman" w:cs="Times New Roman"/>
          <w:sz w:val="20"/>
          <w:szCs w:val="20"/>
        </w:rPr>
        <w:t>Федерации»).</w:t>
      </w:r>
      <w:r w:rsidRPr="008B6A75">
        <w:rPr>
          <w:rStyle w:val="212pt2"/>
          <w:b w:val="0"/>
          <w:color w:val="000000"/>
          <w:sz w:val="20"/>
          <w:szCs w:val="20"/>
        </w:rPr>
        <w:t xml:space="preserve"> </w:t>
      </w:r>
      <w:r w:rsidRPr="008B6A75">
        <w:rPr>
          <w:rStyle w:val="24"/>
          <w:rFonts w:ascii="Times New Roman" w:hAnsi="Times New Roman" w:cs="Times New Roman"/>
          <w:color w:val="000000"/>
          <w:sz w:val="20"/>
          <w:szCs w:val="20"/>
        </w:rPr>
        <w:t>Размер среднемесячного денежного содержания, исходя из которого муници</w:t>
      </w:r>
      <w:r w:rsidRPr="008B6A75">
        <w:rPr>
          <w:rStyle w:val="24"/>
          <w:rFonts w:ascii="Times New Roman" w:hAnsi="Times New Roman" w:cs="Times New Roman"/>
          <w:color w:val="000000"/>
          <w:sz w:val="20"/>
          <w:szCs w:val="20"/>
        </w:rPr>
        <w:softHyphen/>
        <w:t>пальному служащему исчисляется пенсия за выслугу лет, не может превышать 2,8 должностного оклада, установленного муниципальному служащему в соот</w:t>
      </w:r>
      <w:r w:rsidRPr="008B6A75">
        <w:rPr>
          <w:rStyle w:val="24"/>
          <w:rFonts w:ascii="Times New Roman" w:hAnsi="Times New Roman" w:cs="Times New Roman"/>
          <w:color w:val="000000"/>
          <w:sz w:val="20"/>
          <w:szCs w:val="20"/>
        </w:rPr>
        <w:softHyphen/>
        <w:t>ветствующем периоде либо сохраненного в соответствующем периоде в соответ</w:t>
      </w:r>
      <w:r w:rsidRPr="008B6A75">
        <w:rPr>
          <w:rStyle w:val="24"/>
          <w:rFonts w:ascii="Times New Roman" w:hAnsi="Times New Roman" w:cs="Times New Roman"/>
          <w:color w:val="000000"/>
          <w:sz w:val="20"/>
          <w:szCs w:val="20"/>
        </w:rPr>
        <w:softHyphen/>
        <w:t>ствии с законодательством Российской Федерации и Новосибирской области, с учетом районного коэффициента.</w:t>
      </w:r>
    </w:p>
    <w:p w14:paraId="2FFCE449" w14:textId="77777777" w:rsidR="00387142" w:rsidRPr="008B6A75" w:rsidRDefault="00387142" w:rsidP="00387142">
      <w:pPr>
        <w:pStyle w:val="25"/>
        <w:shd w:val="clear" w:color="auto" w:fill="auto"/>
        <w:tabs>
          <w:tab w:val="left" w:pos="1267"/>
        </w:tabs>
        <w:spacing w:after="0" w:line="240" w:lineRule="auto"/>
        <w:ind w:firstLine="709"/>
        <w:jc w:val="both"/>
        <w:rPr>
          <w:rFonts w:ascii="Times New Roman" w:hAnsi="Times New Roman" w:cs="Times New Roman"/>
          <w:sz w:val="20"/>
          <w:szCs w:val="20"/>
        </w:rPr>
      </w:pPr>
      <w:r w:rsidRPr="008B6A75">
        <w:rPr>
          <w:rStyle w:val="24"/>
          <w:rFonts w:ascii="Times New Roman" w:hAnsi="Times New Roman" w:cs="Times New Roman"/>
          <w:color w:val="000000"/>
          <w:sz w:val="20"/>
          <w:szCs w:val="20"/>
        </w:rPr>
        <w:t xml:space="preserve">9. Лицам при увольнении </w:t>
      </w:r>
      <w:r w:rsidRPr="008B6A75">
        <w:rPr>
          <w:rStyle w:val="27"/>
          <w:color w:val="000000"/>
          <w:sz w:val="20"/>
          <w:szCs w:val="20"/>
        </w:rPr>
        <w:t xml:space="preserve">с </w:t>
      </w:r>
      <w:r w:rsidRPr="008B6A75">
        <w:rPr>
          <w:rStyle w:val="24"/>
          <w:rFonts w:ascii="Times New Roman" w:hAnsi="Times New Roman" w:cs="Times New Roman"/>
          <w:color w:val="000000"/>
          <w:sz w:val="20"/>
          <w:szCs w:val="20"/>
        </w:rPr>
        <w:t>муниципальной службы 27.09.2012</w:t>
      </w:r>
      <w:r w:rsidRPr="008B6A75">
        <w:rPr>
          <w:rStyle w:val="29pt"/>
          <w:color w:val="000000"/>
          <w:sz w:val="20"/>
          <w:szCs w:val="20"/>
        </w:rPr>
        <w:t>,</w:t>
      </w:r>
      <w:r w:rsidRPr="008B6A75">
        <w:rPr>
          <w:rStyle w:val="27"/>
          <w:color w:val="000000"/>
          <w:sz w:val="20"/>
          <w:szCs w:val="20"/>
        </w:rPr>
        <w:t xml:space="preserve"> </w:t>
      </w:r>
      <w:r w:rsidRPr="008B6A75">
        <w:rPr>
          <w:rStyle w:val="24"/>
          <w:rFonts w:ascii="Times New Roman" w:hAnsi="Times New Roman" w:cs="Times New Roman"/>
          <w:color w:val="000000"/>
          <w:sz w:val="20"/>
          <w:szCs w:val="20"/>
        </w:rPr>
        <w:t xml:space="preserve">ограничение размера среднемесячного денежного содержания, исходя из которого определяется размер пенсии за выслугу лет, производится из месячных должностных окладов по аналогичным должностям, </w:t>
      </w:r>
      <w:r w:rsidRPr="008B6A75">
        <w:rPr>
          <w:rStyle w:val="311pt"/>
          <w:rFonts w:ascii="Times New Roman" w:hAnsi="Times New Roman" w:cs="Times New Roman"/>
          <w:color w:val="000000"/>
          <w:sz w:val="20"/>
          <w:szCs w:val="20"/>
        </w:rPr>
        <w:t>установленных Решением шестнадцатой сессии Совета депутатов Куйбышевского района второго созыва от 27.09.2012 № 6 «Об утверждении положения об оплате труда лиц, замещающих муниципальные должности, действующих на постоянной основе и муниципальных служащих в органах местного самоуправления Куйбышевского района</w:t>
      </w:r>
      <w:r w:rsidRPr="008B6A75">
        <w:rPr>
          <w:rStyle w:val="32"/>
          <w:rFonts w:ascii="Times New Roman" w:hAnsi="Times New Roman" w:cs="Times New Roman"/>
          <w:color w:val="000000"/>
          <w:sz w:val="20"/>
          <w:szCs w:val="20"/>
        </w:rPr>
        <w:t>.</w:t>
      </w:r>
    </w:p>
    <w:p w14:paraId="13CE99DE" w14:textId="77777777" w:rsidR="00387142" w:rsidRPr="008B6A75" w:rsidRDefault="00387142" w:rsidP="00387142">
      <w:pPr>
        <w:pStyle w:val="25"/>
        <w:shd w:val="clear" w:color="auto" w:fill="auto"/>
        <w:tabs>
          <w:tab w:val="left" w:pos="905"/>
          <w:tab w:val="left" w:pos="1267"/>
        </w:tabs>
        <w:spacing w:after="0" w:line="240" w:lineRule="auto"/>
        <w:ind w:firstLine="709"/>
        <w:jc w:val="both"/>
        <w:rPr>
          <w:rFonts w:ascii="Times New Roman" w:hAnsi="Times New Roman" w:cs="Times New Roman"/>
          <w:sz w:val="20"/>
          <w:szCs w:val="20"/>
        </w:rPr>
      </w:pPr>
      <w:r w:rsidRPr="008B6A75">
        <w:rPr>
          <w:rStyle w:val="24"/>
          <w:rFonts w:ascii="Times New Roman" w:hAnsi="Times New Roman" w:cs="Times New Roman"/>
          <w:color w:val="000000"/>
          <w:sz w:val="20"/>
          <w:szCs w:val="20"/>
        </w:rPr>
        <w:t>10. Размер пенсии за выслугу лет не может быть ниже установленного Федеральным законом «О страховых пенсиях» размера фиксированной выплаты к страховой пенсии по старости (инвалидности) (за исключением фиксированной выплаты к страховой пенсии по инвалидности и инвалидам III группы), с учетом районного коэффициента.</w:t>
      </w:r>
    </w:p>
    <w:p w14:paraId="77F188DA" w14:textId="77777777" w:rsidR="00387142" w:rsidRPr="008B6A75" w:rsidRDefault="00387142" w:rsidP="00387142">
      <w:pPr>
        <w:pStyle w:val="17"/>
        <w:keepNext/>
        <w:keepLines/>
        <w:shd w:val="clear" w:color="auto" w:fill="auto"/>
        <w:tabs>
          <w:tab w:val="left" w:pos="905"/>
          <w:tab w:val="left" w:pos="1267"/>
        </w:tabs>
        <w:spacing w:before="0" w:line="240" w:lineRule="auto"/>
        <w:ind w:left="40"/>
        <w:rPr>
          <w:rFonts w:ascii="Times New Roman" w:hAnsi="Times New Roman" w:cs="Times New Roman"/>
          <w:b w:val="0"/>
          <w:sz w:val="20"/>
          <w:szCs w:val="20"/>
        </w:rPr>
      </w:pPr>
      <w:bookmarkStart w:id="4" w:name="bookmark3"/>
      <w:r w:rsidRPr="008B6A75">
        <w:rPr>
          <w:rStyle w:val="16"/>
          <w:rFonts w:ascii="Times New Roman" w:hAnsi="Times New Roman" w:cs="Times New Roman"/>
          <w:color w:val="000000"/>
          <w:sz w:val="20"/>
          <w:szCs w:val="20"/>
          <w:lang w:val="en-US"/>
        </w:rPr>
        <w:lastRenderedPageBreak/>
        <w:t>III</w:t>
      </w:r>
      <w:r w:rsidRPr="008B6A75">
        <w:rPr>
          <w:rStyle w:val="16"/>
          <w:rFonts w:ascii="Times New Roman" w:hAnsi="Times New Roman" w:cs="Times New Roman"/>
          <w:color w:val="000000"/>
          <w:sz w:val="20"/>
          <w:szCs w:val="20"/>
        </w:rPr>
        <w:t>. Порядок назначения и выплаты пенсии за выслугу лет</w:t>
      </w:r>
      <w:bookmarkEnd w:id="4"/>
    </w:p>
    <w:p w14:paraId="081BFDAC" w14:textId="77777777" w:rsidR="00387142" w:rsidRPr="008B6A75" w:rsidRDefault="00387142" w:rsidP="00387142">
      <w:pPr>
        <w:pStyle w:val="25"/>
        <w:shd w:val="clear" w:color="auto" w:fill="auto"/>
        <w:tabs>
          <w:tab w:val="left" w:pos="905"/>
          <w:tab w:val="left" w:pos="1267"/>
        </w:tabs>
        <w:spacing w:after="0" w:line="240" w:lineRule="auto"/>
        <w:ind w:firstLine="709"/>
        <w:jc w:val="both"/>
        <w:rPr>
          <w:rFonts w:ascii="Times New Roman" w:hAnsi="Times New Roman" w:cs="Times New Roman"/>
          <w:sz w:val="20"/>
          <w:szCs w:val="20"/>
        </w:rPr>
      </w:pPr>
      <w:r w:rsidRPr="008B6A75">
        <w:rPr>
          <w:rStyle w:val="24"/>
          <w:rFonts w:ascii="Times New Roman" w:hAnsi="Times New Roman" w:cs="Times New Roman"/>
          <w:color w:val="000000"/>
          <w:sz w:val="20"/>
          <w:szCs w:val="20"/>
        </w:rPr>
        <w:t>11. Пенсия за выслугу лет назначается по заявлению муниципального служащего пожизненно с первого числа месяца подачи заявления, по не ранее дня, следующего за днем освобождения от должности по основаниям, указанным в пункте 3 настоящего Положения, и дня назначения страховой пенсии по старости (инвалидности) в соответствии с Федеральным законом «О страховых пенсиях» или страховой пенсии по старости в соответствии с Законом Российской Федерации от 19.04.1991 № 1032-1 «О занятости населения в Российской Федерации».</w:t>
      </w:r>
    </w:p>
    <w:p w14:paraId="34DF674F" w14:textId="77777777" w:rsidR="00387142" w:rsidRPr="008B6A75" w:rsidRDefault="00387142" w:rsidP="00387142">
      <w:pPr>
        <w:pStyle w:val="25"/>
        <w:shd w:val="clear" w:color="auto" w:fill="auto"/>
        <w:tabs>
          <w:tab w:val="left" w:pos="905"/>
          <w:tab w:val="left" w:pos="1267"/>
        </w:tabs>
        <w:spacing w:after="0" w:line="240" w:lineRule="auto"/>
        <w:ind w:firstLine="709"/>
        <w:jc w:val="both"/>
        <w:rPr>
          <w:rFonts w:ascii="Times New Roman" w:hAnsi="Times New Roman" w:cs="Times New Roman"/>
          <w:sz w:val="20"/>
          <w:szCs w:val="20"/>
        </w:rPr>
      </w:pPr>
      <w:r w:rsidRPr="008B6A75">
        <w:rPr>
          <w:rStyle w:val="24"/>
          <w:rFonts w:ascii="Times New Roman" w:hAnsi="Times New Roman" w:cs="Times New Roman"/>
          <w:color w:val="000000"/>
          <w:sz w:val="20"/>
          <w:szCs w:val="20"/>
        </w:rPr>
        <w:t>12. Решение о назначении пенсии за выслугу лет принимается Главой Куйбышевского муниципального района Новосибирской области (далее — Глава) на основании следующих документов:</w:t>
      </w:r>
    </w:p>
    <w:p w14:paraId="798B0189" w14:textId="77777777" w:rsidR="00387142" w:rsidRPr="008B6A75" w:rsidRDefault="00387142" w:rsidP="00387142">
      <w:pPr>
        <w:pStyle w:val="25"/>
        <w:shd w:val="clear" w:color="auto" w:fill="auto"/>
        <w:tabs>
          <w:tab w:val="left" w:pos="993"/>
        </w:tabs>
        <w:spacing w:after="0" w:line="240" w:lineRule="auto"/>
        <w:ind w:firstLine="709"/>
        <w:jc w:val="both"/>
        <w:rPr>
          <w:rFonts w:ascii="Times New Roman" w:hAnsi="Times New Roman" w:cs="Times New Roman"/>
          <w:sz w:val="20"/>
          <w:szCs w:val="20"/>
        </w:rPr>
      </w:pPr>
      <w:r w:rsidRPr="008B6A75">
        <w:rPr>
          <w:rStyle w:val="24"/>
          <w:rFonts w:ascii="Times New Roman" w:hAnsi="Times New Roman" w:cs="Times New Roman"/>
          <w:color w:val="000000"/>
          <w:sz w:val="20"/>
          <w:szCs w:val="20"/>
        </w:rPr>
        <w:t>1) личного заявления о назначении пенсии за выслугу лет по форме согласно Приложению 1 к настоящему Положению;</w:t>
      </w:r>
    </w:p>
    <w:p w14:paraId="64C6DBAE" w14:textId="77777777" w:rsidR="00387142" w:rsidRPr="008B6A75" w:rsidRDefault="00387142" w:rsidP="00387142">
      <w:pPr>
        <w:pStyle w:val="25"/>
        <w:shd w:val="clear" w:color="auto" w:fill="auto"/>
        <w:tabs>
          <w:tab w:val="left" w:pos="993"/>
        </w:tabs>
        <w:spacing w:after="0" w:line="240" w:lineRule="auto"/>
        <w:ind w:firstLine="709"/>
        <w:jc w:val="both"/>
        <w:rPr>
          <w:rFonts w:ascii="Times New Roman" w:hAnsi="Times New Roman" w:cs="Times New Roman"/>
          <w:sz w:val="20"/>
          <w:szCs w:val="20"/>
        </w:rPr>
      </w:pPr>
      <w:r w:rsidRPr="008B6A75">
        <w:rPr>
          <w:rStyle w:val="24"/>
          <w:rFonts w:ascii="Times New Roman" w:hAnsi="Times New Roman" w:cs="Times New Roman"/>
          <w:color w:val="000000"/>
          <w:sz w:val="20"/>
          <w:szCs w:val="20"/>
        </w:rPr>
        <w:t>2) представления непосредственного руководителя органа местного самоуправления, муниципального органа по форме согласно Приложению 2 к настоящему Положению;</w:t>
      </w:r>
    </w:p>
    <w:p w14:paraId="3BE6863E" w14:textId="77777777" w:rsidR="00387142" w:rsidRPr="008B6A75" w:rsidRDefault="00387142" w:rsidP="00387142">
      <w:pPr>
        <w:ind w:firstLine="709"/>
        <w:jc w:val="both"/>
        <w:rPr>
          <w:rFonts w:eastAsia="Arial Unicode MS"/>
          <w:sz w:val="20"/>
          <w:szCs w:val="20"/>
        </w:rPr>
      </w:pPr>
      <w:r w:rsidRPr="008B6A75">
        <w:rPr>
          <w:rStyle w:val="24"/>
          <w:color w:val="000000"/>
          <w:sz w:val="20"/>
          <w:szCs w:val="20"/>
        </w:rPr>
        <w:t>3) </w:t>
      </w:r>
      <w:r w:rsidRPr="008B6A75">
        <w:rPr>
          <w:sz w:val="20"/>
          <w:szCs w:val="20"/>
        </w:rPr>
        <w:t>копии трудовой книжки, заверенной надлежащим образом, и (или) сведений о трудовой деятельности, оформленных в установленном законодательством порядке</w:t>
      </w:r>
      <w:r w:rsidRPr="008B6A75">
        <w:rPr>
          <w:rFonts w:eastAsia="Arial Unicode MS"/>
          <w:color w:val="000000"/>
          <w:sz w:val="20"/>
          <w:szCs w:val="20"/>
        </w:rPr>
        <w:t>;</w:t>
      </w:r>
    </w:p>
    <w:p w14:paraId="15B8BECF" w14:textId="77777777" w:rsidR="00387142" w:rsidRPr="008B6A75" w:rsidRDefault="00387142" w:rsidP="00387142">
      <w:pPr>
        <w:pStyle w:val="25"/>
        <w:shd w:val="clear" w:color="auto" w:fill="auto"/>
        <w:tabs>
          <w:tab w:val="left" w:pos="993"/>
        </w:tabs>
        <w:spacing w:after="0" w:line="240" w:lineRule="auto"/>
        <w:ind w:firstLine="709"/>
        <w:jc w:val="both"/>
        <w:rPr>
          <w:rFonts w:ascii="Times New Roman" w:hAnsi="Times New Roman" w:cs="Times New Roman"/>
          <w:sz w:val="20"/>
          <w:szCs w:val="20"/>
        </w:rPr>
      </w:pPr>
      <w:r w:rsidRPr="008B6A75">
        <w:rPr>
          <w:rStyle w:val="24"/>
          <w:rFonts w:ascii="Times New Roman" w:hAnsi="Times New Roman" w:cs="Times New Roman"/>
          <w:color w:val="000000"/>
          <w:sz w:val="20"/>
          <w:szCs w:val="20"/>
        </w:rPr>
        <w:t>4) справки о периодах службы (работы), включаемых в стаж муниципальной службы для назначения пенсии за выслугу лет, по форме согласно Приложению 3 к настоящему Положению;</w:t>
      </w:r>
    </w:p>
    <w:p w14:paraId="6B7CCD35" w14:textId="77777777" w:rsidR="00387142" w:rsidRPr="008B6A75" w:rsidRDefault="00387142" w:rsidP="00387142">
      <w:pPr>
        <w:pStyle w:val="25"/>
        <w:shd w:val="clear" w:color="auto" w:fill="auto"/>
        <w:tabs>
          <w:tab w:val="left" w:pos="993"/>
        </w:tabs>
        <w:spacing w:after="0" w:line="240" w:lineRule="auto"/>
        <w:ind w:firstLine="709"/>
        <w:jc w:val="both"/>
        <w:rPr>
          <w:rFonts w:ascii="Times New Roman" w:hAnsi="Times New Roman" w:cs="Times New Roman"/>
          <w:sz w:val="20"/>
          <w:szCs w:val="20"/>
        </w:rPr>
      </w:pPr>
      <w:r w:rsidRPr="008B6A75">
        <w:rPr>
          <w:rStyle w:val="24"/>
          <w:rFonts w:ascii="Times New Roman" w:hAnsi="Times New Roman" w:cs="Times New Roman"/>
          <w:color w:val="000000"/>
          <w:sz w:val="20"/>
          <w:szCs w:val="20"/>
        </w:rPr>
        <w:t>5) справки о размере среднемесячного денежного содержания по форме согласно Приложению 4 к настоящему Положению;</w:t>
      </w:r>
    </w:p>
    <w:p w14:paraId="2DD96B6F" w14:textId="77777777" w:rsidR="00387142" w:rsidRPr="008B6A75" w:rsidRDefault="00387142" w:rsidP="00387142">
      <w:pPr>
        <w:pStyle w:val="25"/>
        <w:shd w:val="clear" w:color="auto" w:fill="auto"/>
        <w:tabs>
          <w:tab w:val="left" w:pos="993"/>
        </w:tabs>
        <w:spacing w:after="0" w:line="240" w:lineRule="auto"/>
        <w:ind w:firstLine="709"/>
        <w:jc w:val="both"/>
        <w:rPr>
          <w:rFonts w:ascii="Times New Roman" w:hAnsi="Times New Roman" w:cs="Times New Roman"/>
          <w:sz w:val="20"/>
          <w:szCs w:val="20"/>
        </w:rPr>
      </w:pPr>
      <w:r w:rsidRPr="008B6A75">
        <w:rPr>
          <w:rStyle w:val="24"/>
          <w:rFonts w:ascii="Times New Roman" w:hAnsi="Times New Roman" w:cs="Times New Roman"/>
          <w:color w:val="000000"/>
          <w:sz w:val="20"/>
          <w:szCs w:val="20"/>
        </w:rPr>
        <w:t>6) справки о размере страховой пенсии по старости (инвалидности), получаемой на момент подачи заявления о назначении пенсии за выслугу лет представляется заявителем, по форме согласно Приложению 5 к настоящему Положению;</w:t>
      </w:r>
    </w:p>
    <w:p w14:paraId="08FB3A80" w14:textId="77777777" w:rsidR="00387142" w:rsidRPr="008B6A75" w:rsidRDefault="00387142" w:rsidP="00387142">
      <w:pPr>
        <w:pStyle w:val="25"/>
        <w:shd w:val="clear" w:color="auto" w:fill="auto"/>
        <w:tabs>
          <w:tab w:val="left" w:pos="993"/>
        </w:tabs>
        <w:spacing w:after="0" w:line="240" w:lineRule="auto"/>
        <w:ind w:firstLine="709"/>
        <w:jc w:val="both"/>
        <w:rPr>
          <w:rFonts w:ascii="Times New Roman" w:hAnsi="Times New Roman" w:cs="Times New Roman"/>
          <w:sz w:val="20"/>
          <w:szCs w:val="20"/>
        </w:rPr>
      </w:pPr>
      <w:r w:rsidRPr="008B6A75">
        <w:rPr>
          <w:rStyle w:val="24"/>
          <w:rFonts w:ascii="Times New Roman" w:hAnsi="Times New Roman" w:cs="Times New Roman"/>
          <w:color w:val="000000"/>
          <w:sz w:val="20"/>
          <w:szCs w:val="20"/>
        </w:rPr>
        <w:t>7) заверенной копии распоряжения (приказа) об увольнении с муниципальной службы;</w:t>
      </w:r>
    </w:p>
    <w:p w14:paraId="28FFE451" w14:textId="77777777" w:rsidR="00387142" w:rsidRPr="008B6A75" w:rsidRDefault="00387142" w:rsidP="00387142">
      <w:pPr>
        <w:pStyle w:val="25"/>
        <w:shd w:val="clear" w:color="auto" w:fill="auto"/>
        <w:tabs>
          <w:tab w:val="left" w:pos="993"/>
        </w:tabs>
        <w:spacing w:after="0" w:line="240" w:lineRule="auto"/>
        <w:ind w:firstLine="709"/>
        <w:jc w:val="both"/>
        <w:rPr>
          <w:rFonts w:ascii="Times New Roman" w:hAnsi="Times New Roman" w:cs="Times New Roman"/>
          <w:sz w:val="20"/>
          <w:szCs w:val="20"/>
        </w:rPr>
      </w:pPr>
      <w:r w:rsidRPr="008B6A75">
        <w:rPr>
          <w:rStyle w:val="24"/>
          <w:rFonts w:ascii="Times New Roman" w:hAnsi="Times New Roman" w:cs="Times New Roman"/>
          <w:color w:val="000000"/>
          <w:sz w:val="20"/>
          <w:szCs w:val="20"/>
        </w:rPr>
        <w:t>8) заверенной копии военного билета (при наличии);</w:t>
      </w:r>
    </w:p>
    <w:p w14:paraId="7BE6CA85" w14:textId="77777777" w:rsidR="00387142" w:rsidRPr="008B6A75" w:rsidRDefault="00387142" w:rsidP="00387142">
      <w:pPr>
        <w:pStyle w:val="25"/>
        <w:shd w:val="clear" w:color="auto" w:fill="auto"/>
        <w:tabs>
          <w:tab w:val="left" w:pos="993"/>
        </w:tabs>
        <w:spacing w:after="0" w:line="240" w:lineRule="auto"/>
        <w:ind w:firstLine="709"/>
        <w:jc w:val="both"/>
        <w:rPr>
          <w:rStyle w:val="24"/>
          <w:rFonts w:ascii="Times New Roman" w:hAnsi="Times New Roman" w:cs="Times New Roman"/>
          <w:sz w:val="20"/>
          <w:szCs w:val="20"/>
        </w:rPr>
      </w:pPr>
      <w:r w:rsidRPr="008B6A75">
        <w:rPr>
          <w:rStyle w:val="24"/>
          <w:rFonts w:ascii="Times New Roman" w:hAnsi="Times New Roman" w:cs="Times New Roman"/>
          <w:color w:val="000000"/>
          <w:sz w:val="20"/>
          <w:szCs w:val="20"/>
        </w:rPr>
        <w:t>9) других документов, подтверждающих периоды, включаемые в стаж му</w:t>
      </w:r>
      <w:r w:rsidRPr="008B6A75">
        <w:rPr>
          <w:rStyle w:val="24"/>
          <w:rFonts w:ascii="Times New Roman" w:hAnsi="Times New Roman" w:cs="Times New Roman"/>
          <w:color w:val="000000"/>
          <w:sz w:val="20"/>
          <w:szCs w:val="20"/>
        </w:rPr>
        <w:softHyphen/>
        <w:t>ниципальной службы, в том числе заверенной копии решения комиссии по рассмотрению вопросов о включении в стаж муниципальной службы муниципального служащего иных периодов трудовой деятельности, опыт и знания по которой необходимы для выполнения должностных обязанностей по замещаемой должности муниципальной службы.</w:t>
      </w:r>
    </w:p>
    <w:p w14:paraId="5FF43B03" w14:textId="77777777" w:rsidR="00387142" w:rsidRPr="008B6A75" w:rsidRDefault="00387142" w:rsidP="00387142">
      <w:pPr>
        <w:pStyle w:val="25"/>
        <w:shd w:val="clear" w:color="auto" w:fill="auto"/>
        <w:spacing w:after="0" w:line="240" w:lineRule="auto"/>
        <w:ind w:firstLine="709"/>
        <w:jc w:val="both"/>
        <w:rPr>
          <w:rFonts w:ascii="Times New Roman" w:hAnsi="Times New Roman" w:cs="Times New Roman"/>
          <w:sz w:val="20"/>
          <w:szCs w:val="20"/>
        </w:rPr>
      </w:pPr>
      <w:r w:rsidRPr="008B6A75">
        <w:rPr>
          <w:rStyle w:val="24"/>
          <w:rFonts w:ascii="Times New Roman" w:hAnsi="Times New Roman" w:cs="Times New Roman"/>
          <w:color w:val="000000"/>
          <w:sz w:val="20"/>
          <w:szCs w:val="20"/>
        </w:rPr>
        <w:t>В случае представления копий документов, не заверенных в установленном законодательством Российской Федерации порядке, заявителем представляются их подлинники, которые после заверения соответствующих копий специалистом по кадровой работе управления делами администрации Куйбышевского муниципального района Новосибирской области</w:t>
      </w:r>
      <w:r w:rsidRPr="008B6A75">
        <w:rPr>
          <w:rStyle w:val="272"/>
          <w:color w:val="000000"/>
          <w:sz w:val="20"/>
          <w:szCs w:val="20"/>
        </w:rPr>
        <w:t xml:space="preserve"> </w:t>
      </w:r>
      <w:r w:rsidRPr="008B6A75">
        <w:rPr>
          <w:rStyle w:val="24"/>
          <w:rFonts w:ascii="Times New Roman" w:hAnsi="Times New Roman" w:cs="Times New Roman"/>
          <w:color w:val="000000"/>
          <w:sz w:val="20"/>
          <w:szCs w:val="20"/>
        </w:rPr>
        <w:t>возвращаются заявителю.</w:t>
      </w:r>
    </w:p>
    <w:p w14:paraId="3788D51B" w14:textId="77777777" w:rsidR="00387142" w:rsidRPr="008B6A75" w:rsidRDefault="00387142" w:rsidP="00387142">
      <w:pPr>
        <w:pStyle w:val="25"/>
        <w:shd w:val="clear" w:color="auto" w:fill="auto"/>
        <w:tabs>
          <w:tab w:val="left" w:pos="1267"/>
        </w:tabs>
        <w:spacing w:after="0" w:line="240" w:lineRule="auto"/>
        <w:ind w:firstLine="709"/>
        <w:jc w:val="both"/>
        <w:rPr>
          <w:rFonts w:ascii="Times New Roman" w:hAnsi="Times New Roman" w:cs="Times New Roman"/>
          <w:sz w:val="20"/>
          <w:szCs w:val="20"/>
        </w:rPr>
      </w:pPr>
      <w:r w:rsidRPr="008B6A75">
        <w:rPr>
          <w:rStyle w:val="24"/>
          <w:rFonts w:ascii="Times New Roman" w:hAnsi="Times New Roman" w:cs="Times New Roman"/>
          <w:color w:val="000000"/>
          <w:sz w:val="20"/>
          <w:szCs w:val="20"/>
        </w:rPr>
        <w:t>13. Перечисленные в пункте 12 настоящего Положения документы направляются в управление делами администрации Куйбышевского муниципального района Новосибирской области</w:t>
      </w:r>
      <w:r w:rsidRPr="008B6A75">
        <w:rPr>
          <w:rStyle w:val="212pt1"/>
          <w:b w:val="0"/>
          <w:color w:val="000000"/>
          <w:sz w:val="20"/>
          <w:szCs w:val="20"/>
        </w:rPr>
        <w:t>,</w:t>
      </w:r>
      <w:r w:rsidRPr="008B6A75">
        <w:rPr>
          <w:rStyle w:val="24"/>
          <w:rFonts w:ascii="Times New Roman" w:hAnsi="Times New Roman" w:cs="Times New Roman"/>
          <w:color w:val="000000"/>
          <w:sz w:val="20"/>
          <w:szCs w:val="20"/>
        </w:rPr>
        <w:t xml:space="preserve"> которое в течение десяти дней осуществляет их проверку, определяет размер пенсии за выслугу лет, после чего готовит проект распоряжения Главы и представляет его на рассмотрение либо письменно уведомляет заявителя об отказе в установлении пенсии за выслугу лет в случае несоблюдения указанных требований в разделе 2 настоящего Положения.</w:t>
      </w:r>
    </w:p>
    <w:p w14:paraId="17643FAF" w14:textId="77777777" w:rsidR="00387142" w:rsidRPr="008B6A75" w:rsidRDefault="00387142" w:rsidP="00387142">
      <w:pPr>
        <w:pStyle w:val="25"/>
        <w:shd w:val="clear" w:color="auto" w:fill="auto"/>
        <w:tabs>
          <w:tab w:val="left" w:pos="1267"/>
        </w:tabs>
        <w:spacing w:after="0" w:line="240" w:lineRule="auto"/>
        <w:ind w:firstLine="709"/>
        <w:jc w:val="both"/>
        <w:rPr>
          <w:rFonts w:ascii="Times New Roman" w:hAnsi="Times New Roman" w:cs="Times New Roman"/>
          <w:sz w:val="20"/>
          <w:szCs w:val="20"/>
        </w:rPr>
      </w:pPr>
      <w:r w:rsidRPr="008B6A75">
        <w:rPr>
          <w:rStyle w:val="24"/>
          <w:rFonts w:ascii="Times New Roman" w:hAnsi="Times New Roman" w:cs="Times New Roman"/>
          <w:color w:val="000000"/>
          <w:sz w:val="20"/>
          <w:szCs w:val="20"/>
        </w:rPr>
        <w:t>В 7-дневный срок после принятия Главой решения о назначении пенсии за выслугу лет заявителю направляется уведомление по форме согласно Приложению 6 к настоящему Положению.</w:t>
      </w:r>
    </w:p>
    <w:p w14:paraId="7BEBCC00" w14:textId="77777777" w:rsidR="00387142" w:rsidRPr="008B6A75" w:rsidRDefault="00387142" w:rsidP="00387142">
      <w:pPr>
        <w:pStyle w:val="25"/>
        <w:shd w:val="clear" w:color="auto" w:fill="auto"/>
        <w:tabs>
          <w:tab w:val="left" w:pos="1267"/>
        </w:tabs>
        <w:spacing w:after="0" w:line="240" w:lineRule="auto"/>
        <w:ind w:firstLine="709"/>
        <w:jc w:val="both"/>
        <w:rPr>
          <w:rFonts w:ascii="Times New Roman" w:hAnsi="Times New Roman" w:cs="Times New Roman"/>
          <w:sz w:val="20"/>
          <w:szCs w:val="20"/>
        </w:rPr>
      </w:pPr>
      <w:r w:rsidRPr="008B6A75">
        <w:rPr>
          <w:rStyle w:val="24"/>
          <w:rFonts w:ascii="Times New Roman" w:hAnsi="Times New Roman" w:cs="Times New Roman"/>
          <w:color w:val="000000"/>
          <w:sz w:val="20"/>
          <w:szCs w:val="20"/>
        </w:rPr>
        <w:t>14. Выплата пенсии за выслугу лет осуществляется ежемесячно администрацией Куйбышевского муниципального района Новосибирской области в 3-дневный срок после поступления средств на лицевой счет на эти цели.</w:t>
      </w:r>
    </w:p>
    <w:p w14:paraId="1FFE1B61" w14:textId="77777777" w:rsidR="00387142" w:rsidRPr="008B6A75" w:rsidRDefault="00387142" w:rsidP="00387142">
      <w:pPr>
        <w:pStyle w:val="25"/>
        <w:shd w:val="clear" w:color="auto" w:fill="auto"/>
        <w:tabs>
          <w:tab w:val="left" w:pos="1267"/>
        </w:tabs>
        <w:spacing w:after="0" w:line="240" w:lineRule="auto"/>
        <w:ind w:firstLine="709"/>
        <w:jc w:val="both"/>
        <w:rPr>
          <w:rFonts w:ascii="Times New Roman" w:hAnsi="Times New Roman" w:cs="Times New Roman"/>
          <w:sz w:val="20"/>
          <w:szCs w:val="20"/>
        </w:rPr>
      </w:pPr>
      <w:r w:rsidRPr="008B6A75">
        <w:rPr>
          <w:rStyle w:val="24"/>
          <w:rFonts w:ascii="Times New Roman" w:hAnsi="Times New Roman" w:cs="Times New Roman"/>
          <w:color w:val="000000"/>
          <w:sz w:val="20"/>
          <w:szCs w:val="20"/>
        </w:rPr>
        <w:t>При выезде получателя пенсии за выслугу лет за пределы муниципального образования пенсия за выслугу лет перечисляется на счет в банке либо по месту его фактического проживания на основании личного заявления.</w:t>
      </w:r>
    </w:p>
    <w:p w14:paraId="726D29FB" w14:textId="77777777" w:rsidR="00387142" w:rsidRPr="008B6A75" w:rsidRDefault="00387142" w:rsidP="00387142">
      <w:pPr>
        <w:pStyle w:val="17"/>
        <w:keepNext/>
        <w:keepLines/>
        <w:shd w:val="clear" w:color="auto" w:fill="auto"/>
        <w:tabs>
          <w:tab w:val="left" w:pos="1267"/>
        </w:tabs>
        <w:spacing w:before="0" w:line="240" w:lineRule="auto"/>
        <w:rPr>
          <w:rStyle w:val="16"/>
          <w:rFonts w:ascii="Times New Roman" w:hAnsi="Times New Roman" w:cs="Times New Roman"/>
          <w:color w:val="000000"/>
          <w:sz w:val="20"/>
          <w:szCs w:val="20"/>
        </w:rPr>
      </w:pPr>
      <w:bookmarkStart w:id="5" w:name="bookmark4"/>
      <w:r w:rsidRPr="008B6A75">
        <w:rPr>
          <w:rStyle w:val="16"/>
          <w:rFonts w:ascii="Times New Roman" w:hAnsi="Times New Roman" w:cs="Times New Roman"/>
          <w:color w:val="000000"/>
          <w:sz w:val="20"/>
          <w:szCs w:val="20"/>
          <w:lang w:val="en-US"/>
        </w:rPr>
        <w:t>IV</w:t>
      </w:r>
      <w:r w:rsidRPr="008B6A75">
        <w:rPr>
          <w:rStyle w:val="16"/>
          <w:rFonts w:ascii="Times New Roman" w:hAnsi="Times New Roman" w:cs="Times New Roman"/>
          <w:color w:val="000000"/>
          <w:sz w:val="20"/>
          <w:szCs w:val="20"/>
        </w:rPr>
        <w:t>. Порядок приостановления, возобновления</w:t>
      </w:r>
    </w:p>
    <w:p w14:paraId="60F088E7" w14:textId="77777777" w:rsidR="00387142" w:rsidRPr="008B6A75" w:rsidRDefault="00387142" w:rsidP="00387142">
      <w:pPr>
        <w:pStyle w:val="17"/>
        <w:keepNext/>
        <w:keepLines/>
        <w:shd w:val="clear" w:color="auto" w:fill="auto"/>
        <w:tabs>
          <w:tab w:val="left" w:pos="1267"/>
        </w:tabs>
        <w:spacing w:before="0" w:line="240" w:lineRule="auto"/>
        <w:rPr>
          <w:rFonts w:ascii="Times New Roman" w:hAnsi="Times New Roman" w:cs="Times New Roman"/>
          <w:b w:val="0"/>
          <w:sz w:val="20"/>
          <w:szCs w:val="20"/>
        </w:rPr>
      </w:pPr>
      <w:r w:rsidRPr="008B6A75">
        <w:rPr>
          <w:rStyle w:val="16"/>
          <w:rFonts w:ascii="Times New Roman" w:hAnsi="Times New Roman" w:cs="Times New Roman"/>
          <w:color w:val="000000"/>
          <w:sz w:val="20"/>
          <w:szCs w:val="20"/>
        </w:rPr>
        <w:t xml:space="preserve"> и прекращения выплаты пенсии за выслугу лет</w:t>
      </w:r>
      <w:bookmarkEnd w:id="5"/>
    </w:p>
    <w:p w14:paraId="06C0F68A" w14:textId="77777777" w:rsidR="00387142" w:rsidRPr="008B6A75" w:rsidRDefault="00387142" w:rsidP="00387142">
      <w:pPr>
        <w:pStyle w:val="25"/>
        <w:shd w:val="clear" w:color="auto" w:fill="auto"/>
        <w:spacing w:after="0" w:line="240" w:lineRule="auto"/>
        <w:ind w:firstLine="709"/>
        <w:jc w:val="both"/>
        <w:rPr>
          <w:rFonts w:ascii="Times New Roman" w:hAnsi="Times New Roman" w:cs="Times New Roman"/>
          <w:sz w:val="20"/>
          <w:szCs w:val="20"/>
        </w:rPr>
      </w:pPr>
      <w:r w:rsidRPr="008B6A75">
        <w:rPr>
          <w:rStyle w:val="24"/>
          <w:rFonts w:ascii="Times New Roman" w:hAnsi="Times New Roman" w:cs="Times New Roman"/>
          <w:color w:val="000000"/>
          <w:sz w:val="20"/>
          <w:szCs w:val="20"/>
        </w:rPr>
        <w:t xml:space="preserve">15. При замещении лицом, получающим пенсию за выслугу лет, государственной должности Российской Федерации, государственной должности субъекта Российской Федерации, выборной муниципальной должности, должности государственной службы, должности муниципальной службы выплата пенсии </w:t>
      </w:r>
      <w:r w:rsidRPr="008B6A75">
        <w:rPr>
          <w:rFonts w:ascii="Times New Roman" w:hAnsi="Times New Roman" w:cs="Times New Roman"/>
          <w:sz w:val="20"/>
          <w:szCs w:val="20"/>
        </w:rPr>
        <w:t>за</w:t>
      </w:r>
      <w:r w:rsidRPr="008B6A75">
        <w:rPr>
          <w:rStyle w:val="21pt"/>
          <w:color w:val="000000"/>
          <w:sz w:val="20"/>
          <w:szCs w:val="20"/>
        </w:rPr>
        <w:t xml:space="preserve"> </w:t>
      </w:r>
      <w:r w:rsidRPr="008B6A75">
        <w:rPr>
          <w:rStyle w:val="24"/>
          <w:rFonts w:ascii="Times New Roman" w:hAnsi="Times New Roman" w:cs="Times New Roman"/>
          <w:color w:val="000000"/>
          <w:sz w:val="20"/>
          <w:szCs w:val="20"/>
        </w:rPr>
        <w:t>выслугу лет приостанавливается со дня замещения одной из указанных должностей.</w:t>
      </w:r>
    </w:p>
    <w:p w14:paraId="33BEBFD6" w14:textId="77777777" w:rsidR="00387142" w:rsidRPr="008B6A75" w:rsidRDefault="00387142" w:rsidP="00387142">
      <w:pPr>
        <w:pStyle w:val="25"/>
        <w:shd w:val="clear" w:color="auto" w:fill="auto"/>
        <w:tabs>
          <w:tab w:val="left" w:pos="1267"/>
          <w:tab w:val="left" w:pos="4920"/>
        </w:tabs>
        <w:spacing w:after="0" w:line="240" w:lineRule="auto"/>
        <w:ind w:firstLine="709"/>
        <w:jc w:val="both"/>
        <w:rPr>
          <w:rFonts w:ascii="Times New Roman" w:hAnsi="Times New Roman" w:cs="Times New Roman"/>
          <w:sz w:val="20"/>
          <w:szCs w:val="20"/>
        </w:rPr>
      </w:pPr>
      <w:r w:rsidRPr="008B6A75">
        <w:rPr>
          <w:rStyle w:val="24"/>
          <w:rFonts w:ascii="Times New Roman" w:hAnsi="Times New Roman" w:cs="Times New Roman"/>
          <w:color w:val="000000"/>
          <w:sz w:val="20"/>
          <w:szCs w:val="20"/>
        </w:rPr>
        <w:t xml:space="preserve">Лицо, получающее пенсию за выслугу лет и назначенное на одну из указанных должностей, обязано в течение 5 дней с даты назначения на должность сообщить об </w:t>
      </w:r>
      <w:r w:rsidRPr="008B6A75">
        <w:rPr>
          <w:rStyle w:val="272"/>
          <w:color w:val="000000"/>
          <w:sz w:val="20"/>
          <w:szCs w:val="20"/>
        </w:rPr>
        <w:t xml:space="preserve">этом в </w:t>
      </w:r>
      <w:r w:rsidRPr="008B6A75">
        <w:rPr>
          <w:rStyle w:val="24"/>
          <w:rFonts w:ascii="Times New Roman" w:hAnsi="Times New Roman" w:cs="Times New Roman"/>
          <w:color w:val="000000"/>
          <w:sz w:val="20"/>
          <w:szCs w:val="20"/>
        </w:rPr>
        <w:t xml:space="preserve">письменной форме </w:t>
      </w:r>
      <w:r w:rsidRPr="008B6A75">
        <w:rPr>
          <w:rStyle w:val="272"/>
          <w:color w:val="000000"/>
          <w:sz w:val="20"/>
          <w:szCs w:val="20"/>
        </w:rPr>
        <w:t>в управление делами администрации Куйбышевского муниципального района Новосибирской области</w:t>
      </w:r>
      <w:r w:rsidRPr="008B6A75">
        <w:rPr>
          <w:rStyle w:val="32"/>
          <w:rFonts w:ascii="Times New Roman" w:hAnsi="Times New Roman" w:cs="Times New Roman"/>
          <w:color w:val="000000"/>
          <w:sz w:val="20"/>
          <w:szCs w:val="20"/>
        </w:rPr>
        <w:t>.</w:t>
      </w:r>
    </w:p>
    <w:p w14:paraId="37D234F5" w14:textId="77777777" w:rsidR="00387142" w:rsidRPr="008B6A75" w:rsidRDefault="00387142" w:rsidP="00387142">
      <w:pPr>
        <w:pStyle w:val="25"/>
        <w:shd w:val="clear" w:color="auto" w:fill="auto"/>
        <w:tabs>
          <w:tab w:val="left" w:pos="1267"/>
        </w:tabs>
        <w:spacing w:after="0" w:line="240" w:lineRule="auto"/>
        <w:ind w:firstLine="709"/>
        <w:jc w:val="both"/>
        <w:rPr>
          <w:rFonts w:ascii="Times New Roman" w:hAnsi="Times New Roman" w:cs="Times New Roman"/>
          <w:sz w:val="20"/>
          <w:szCs w:val="20"/>
        </w:rPr>
      </w:pPr>
      <w:r w:rsidRPr="008B6A75">
        <w:rPr>
          <w:rStyle w:val="24"/>
          <w:rFonts w:ascii="Times New Roman" w:hAnsi="Times New Roman" w:cs="Times New Roman"/>
          <w:color w:val="000000"/>
          <w:sz w:val="20"/>
          <w:szCs w:val="20"/>
        </w:rPr>
        <w:t>16. При освобождении от государственной должности Российской Федерации государственной должности субъекта Российской Федерации, выборной муниципальной должности, должности государственной службы, должности муниципальной службы выплата пенсии за выслугу лет возобновляется со дня, следующего за днем освобождения от указанных должностей, в соответствие с порядком, которым она назначается.</w:t>
      </w:r>
    </w:p>
    <w:p w14:paraId="16466808" w14:textId="77777777" w:rsidR="00387142" w:rsidRPr="008B6A75" w:rsidRDefault="00387142" w:rsidP="00387142">
      <w:pPr>
        <w:pStyle w:val="25"/>
        <w:shd w:val="clear" w:color="auto" w:fill="auto"/>
        <w:tabs>
          <w:tab w:val="left" w:pos="543"/>
          <w:tab w:val="left" w:pos="1086"/>
          <w:tab w:val="left" w:pos="1267"/>
          <w:tab w:val="left" w:pos="1448"/>
        </w:tabs>
        <w:spacing w:after="0" w:line="240" w:lineRule="auto"/>
        <w:ind w:firstLine="709"/>
        <w:jc w:val="both"/>
        <w:rPr>
          <w:rFonts w:ascii="Times New Roman" w:hAnsi="Times New Roman" w:cs="Times New Roman"/>
          <w:sz w:val="20"/>
          <w:szCs w:val="20"/>
        </w:rPr>
      </w:pPr>
      <w:r w:rsidRPr="008B6A75">
        <w:rPr>
          <w:rStyle w:val="24"/>
          <w:rFonts w:ascii="Times New Roman" w:hAnsi="Times New Roman" w:cs="Times New Roman"/>
          <w:color w:val="000000"/>
          <w:sz w:val="20"/>
          <w:szCs w:val="20"/>
        </w:rPr>
        <w:t xml:space="preserve">17. Выплата пенсии за выслугу лет прекращается в случаях назначения ежемесячного пожизненного содержания или дополнительного (пожизненного) ежемесячного материального обеспечения в соответствии с федеральными </w:t>
      </w:r>
      <w:r w:rsidRPr="008B6A75">
        <w:rPr>
          <w:rStyle w:val="29pt1"/>
          <w:color w:val="000000"/>
          <w:sz w:val="20"/>
          <w:szCs w:val="20"/>
        </w:rPr>
        <w:t>зако</w:t>
      </w:r>
      <w:r w:rsidRPr="008B6A75">
        <w:rPr>
          <w:rStyle w:val="24"/>
          <w:rFonts w:ascii="Times New Roman" w:hAnsi="Times New Roman" w:cs="Times New Roman"/>
          <w:color w:val="000000"/>
          <w:sz w:val="20"/>
          <w:szCs w:val="20"/>
        </w:rPr>
        <w:t xml:space="preserve">нами, актами Президента Российской Федерации и Правительства Российской Федерации, ежемесячной доплаты к пенсии (за исключением ежемесячной доплаты гражданам, награжденным знаком отличия «За заслуги перед Новосибирской областью», и ежемесячной доплаты гражданам, удостоенным </w:t>
      </w:r>
      <w:r w:rsidRPr="008B6A75">
        <w:rPr>
          <w:rStyle w:val="24"/>
          <w:rFonts w:ascii="Times New Roman" w:hAnsi="Times New Roman" w:cs="Times New Roman"/>
          <w:color w:val="000000"/>
          <w:sz w:val="20"/>
          <w:szCs w:val="20"/>
        </w:rPr>
        <w:lastRenderedPageBreak/>
        <w:t>почетного звания «Почетный гражданин Новосибирской области»), пенсии за выслугу лет в соответствии с федеральным законодательством, законодательством субъектов Российской Федерации, законодательством Новосибирской области, актами органов местного самоуправления в связи с замещением государственных должностей Российской Федерации, государственных должностей субъектов Российской Федерации, должностей государственной гражданской службы Российской Федерации, должностей государственной гражданской службы субъектов Российской Федерации, муниципальных должностей и должностей муниципальной службы.</w:t>
      </w:r>
    </w:p>
    <w:p w14:paraId="2611CA42" w14:textId="77777777" w:rsidR="00387142" w:rsidRPr="008B6A75" w:rsidRDefault="00387142" w:rsidP="00387142">
      <w:pPr>
        <w:pStyle w:val="25"/>
        <w:shd w:val="clear" w:color="auto" w:fill="auto"/>
        <w:tabs>
          <w:tab w:val="left" w:pos="543"/>
          <w:tab w:val="left" w:pos="1086"/>
          <w:tab w:val="left" w:pos="1267"/>
          <w:tab w:val="left" w:pos="1448"/>
        </w:tabs>
        <w:spacing w:after="0" w:line="240" w:lineRule="auto"/>
        <w:ind w:firstLine="709"/>
        <w:jc w:val="both"/>
        <w:rPr>
          <w:rFonts w:ascii="Times New Roman" w:hAnsi="Times New Roman" w:cs="Times New Roman"/>
          <w:sz w:val="20"/>
          <w:szCs w:val="20"/>
        </w:rPr>
      </w:pPr>
      <w:r w:rsidRPr="008B6A75">
        <w:rPr>
          <w:rStyle w:val="24"/>
          <w:rFonts w:ascii="Times New Roman" w:hAnsi="Times New Roman" w:cs="Times New Roman"/>
          <w:color w:val="000000"/>
          <w:sz w:val="20"/>
          <w:szCs w:val="20"/>
        </w:rPr>
        <w:t>Выплата пенсии за выслугу лет прекращается по распоряжению Главы на основании письменного заявления гражданина со дня назначения выплат, указанных в абзаце первом настоящего пункта.</w:t>
      </w:r>
    </w:p>
    <w:p w14:paraId="1389072B" w14:textId="77777777" w:rsidR="00387142" w:rsidRPr="008B6A75" w:rsidRDefault="00387142" w:rsidP="00387142">
      <w:pPr>
        <w:pStyle w:val="25"/>
        <w:shd w:val="clear" w:color="auto" w:fill="auto"/>
        <w:spacing w:after="0" w:line="240" w:lineRule="auto"/>
        <w:ind w:firstLine="709"/>
        <w:jc w:val="both"/>
        <w:rPr>
          <w:rFonts w:ascii="Times New Roman" w:hAnsi="Times New Roman" w:cs="Times New Roman"/>
          <w:sz w:val="20"/>
          <w:szCs w:val="20"/>
        </w:rPr>
      </w:pPr>
      <w:r w:rsidRPr="008B6A75">
        <w:rPr>
          <w:rStyle w:val="24"/>
          <w:rFonts w:ascii="Times New Roman" w:hAnsi="Times New Roman" w:cs="Times New Roman"/>
          <w:color w:val="000000"/>
          <w:sz w:val="20"/>
          <w:szCs w:val="20"/>
        </w:rPr>
        <w:t>18. В случае смерти лица, получавшего пенсию за выслугу лет, ее выплата прекращается с 1 числа месяца, следующего за тем, в котором наступила смерть получателя.</w:t>
      </w:r>
    </w:p>
    <w:p w14:paraId="0AE4B126" w14:textId="77777777" w:rsidR="00387142" w:rsidRPr="008B6A75" w:rsidRDefault="00387142" w:rsidP="00387142">
      <w:pPr>
        <w:pStyle w:val="25"/>
        <w:shd w:val="clear" w:color="auto" w:fill="auto"/>
        <w:spacing w:after="0" w:line="240" w:lineRule="auto"/>
        <w:ind w:firstLine="709"/>
        <w:jc w:val="both"/>
        <w:rPr>
          <w:rFonts w:ascii="Times New Roman" w:hAnsi="Times New Roman" w:cs="Times New Roman"/>
          <w:sz w:val="20"/>
          <w:szCs w:val="20"/>
        </w:rPr>
      </w:pPr>
      <w:r w:rsidRPr="008B6A75">
        <w:rPr>
          <w:rStyle w:val="24"/>
          <w:rFonts w:ascii="Times New Roman" w:hAnsi="Times New Roman" w:cs="Times New Roman"/>
          <w:color w:val="000000"/>
          <w:sz w:val="20"/>
          <w:szCs w:val="20"/>
        </w:rPr>
        <w:t>19. Суммы пенсии за выслугу лет, излишне выплаченные лицу вследствие его злоупотребления доверием, возмещаются этим лицом, а в случае его несогласия взыскиваются в судебном порядке.</w:t>
      </w:r>
    </w:p>
    <w:p w14:paraId="026CBEF3" w14:textId="77777777" w:rsidR="00387142" w:rsidRPr="008B6A75" w:rsidRDefault="00387142" w:rsidP="00387142">
      <w:pPr>
        <w:pStyle w:val="17"/>
        <w:keepNext/>
        <w:keepLines/>
        <w:shd w:val="clear" w:color="auto" w:fill="auto"/>
        <w:tabs>
          <w:tab w:val="left" w:pos="543"/>
          <w:tab w:val="left" w:pos="1086"/>
          <w:tab w:val="left" w:pos="1267"/>
          <w:tab w:val="left" w:pos="1448"/>
        </w:tabs>
        <w:spacing w:before="0" w:line="240" w:lineRule="auto"/>
        <w:rPr>
          <w:rFonts w:ascii="Times New Roman" w:hAnsi="Times New Roman" w:cs="Times New Roman"/>
          <w:b w:val="0"/>
          <w:color w:val="000000"/>
          <w:sz w:val="20"/>
          <w:szCs w:val="20"/>
          <w:shd w:val="clear" w:color="auto" w:fill="FFFFFF"/>
        </w:rPr>
      </w:pPr>
      <w:bookmarkStart w:id="6" w:name="bookmark5"/>
      <w:r w:rsidRPr="008B6A75">
        <w:rPr>
          <w:rStyle w:val="111"/>
          <w:rFonts w:ascii="Times New Roman" w:hAnsi="Times New Roman" w:cs="Times New Roman"/>
          <w:color w:val="000000"/>
          <w:sz w:val="20"/>
          <w:szCs w:val="20"/>
          <w:lang w:val="en-US"/>
        </w:rPr>
        <w:t>V</w:t>
      </w:r>
      <w:r w:rsidRPr="008B6A75">
        <w:rPr>
          <w:rStyle w:val="1ArialNarrow"/>
          <w:rFonts w:ascii="Times New Roman" w:hAnsi="Times New Roman" w:cs="Times New Roman"/>
          <w:color w:val="000000"/>
          <w:sz w:val="20"/>
          <w:szCs w:val="20"/>
        </w:rPr>
        <w:t>.</w:t>
      </w:r>
      <w:bookmarkEnd w:id="6"/>
      <w:r w:rsidRPr="008B6A75">
        <w:rPr>
          <w:rStyle w:val="16"/>
          <w:rFonts w:ascii="Times New Roman" w:hAnsi="Times New Roman" w:cs="Times New Roman"/>
          <w:color w:val="000000"/>
          <w:sz w:val="20"/>
          <w:szCs w:val="20"/>
        </w:rPr>
        <w:t> </w:t>
      </w:r>
      <w:r w:rsidRPr="008B6A75">
        <w:rPr>
          <w:rFonts w:ascii="Times New Roman" w:hAnsi="Times New Roman" w:cs="Times New Roman"/>
          <w:b w:val="0"/>
          <w:color w:val="000000"/>
          <w:sz w:val="20"/>
          <w:szCs w:val="20"/>
          <w:shd w:val="clear" w:color="auto" w:fill="FFFFFF"/>
        </w:rPr>
        <w:t>Порядок перерасчета и индексации</w:t>
      </w:r>
    </w:p>
    <w:p w14:paraId="20E60FF9" w14:textId="77777777" w:rsidR="00387142" w:rsidRPr="008B6A75" w:rsidRDefault="00387142" w:rsidP="00387142">
      <w:pPr>
        <w:keepNext/>
        <w:keepLines/>
        <w:widowControl w:val="0"/>
        <w:tabs>
          <w:tab w:val="left" w:pos="543"/>
          <w:tab w:val="left" w:pos="1086"/>
          <w:tab w:val="left" w:pos="1267"/>
          <w:tab w:val="left" w:pos="1448"/>
        </w:tabs>
        <w:jc w:val="center"/>
        <w:outlineLvl w:val="0"/>
        <w:rPr>
          <w:bCs/>
          <w:sz w:val="20"/>
          <w:szCs w:val="20"/>
        </w:rPr>
      </w:pPr>
      <w:r w:rsidRPr="008B6A75">
        <w:rPr>
          <w:color w:val="000000"/>
          <w:sz w:val="20"/>
          <w:szCs w:val="20"/>
          <w:shd w:val="clear" w:color="auto" w:fill="FFFFFF"/>
        </w:rPr>
        <w:t>размера пенсии за выслугу лет</w:t>
      </w:r>
    </w:p>
    <w:p w14:paraId="34FF96EE" w14:textId="77777777" w:rsidR="00387142" w:rsidRPr="008B6A75" w:rsidRDefault="00387142" w:rsidP="00387142">
      <w:pPr>
        <w:widowControl w:val="0"/>
        <w:tabs>
          <w:tab w:val="left" w:pos="543"/>
          <w:tab w:val="left" w:pos="1086"/>
          <w:tab w:val="left" w:pos="1267"/>
          <w:tab w:val="left" w:pos="1448"/>
        </w:tabs>
        <w:ind w:firstLine="709"/>
        <w:jc w:val="both"/>
        <w:rPr>
          <w:sz w:val="20"/>
          <w:szCs w:val="20"/>
        </w:rPr>
      </w:pPr>
      <w:r w:rsidRPr="008B6A75">
        <w:rPr>
          <w:color w:val="000000"/>
          <w:sz w:val="20"/>
          <w:szCs w:val="20"/>
          <w:shd w:val="clear" w:color="auto" w:fill="FFFFFF"/>
        </w:rPr>
        <w:t>20. Перерасчет размера пенсии за выслугу лет производится в случае изменения размера страховой пенсии по старости (инвалидности).</w:t>
      </w:r>
    </w:p>
    <w:p w14:paraId="4C4E0047" w14:textId="77777777" w:rsidR="00387142" w:rsidRPr="008B6A75" w:rsidRDefault="00387142" w:rsidP="00387142">
      <w:pPr>
        <w:widowControl w:val="0"/>
        <w:tabs>
          <w:tab w:val="left" w:pos="543"/>
          <w:tab w:val="left" w:pos="1086"/>
          <w:tab w:val="left" w:pos="1267"/>
          <w:tab w:val="left" w:pos="1448"/>
        </w:tabs>
        <w:ind w:firstLine="709"/>
        <w:jc w:val="both"/>
        <w:rPr>
          <w:color w:val="000000"/>
          <w:sz w:val="20"/>
          <w:szCs w:val="20"/>
          <w:shd w:val="clear" w:color="auto" w:fill="FFFFFF"/>
        </w:rPr>
      </w:pPr>
      <w:r w:rsidRPr="008B6A75">
        <w:rPr>
          <w:color w:val="000000"/>
          <w:sz w:val="20"/>
          <w:szCs w:val="20"/>
          <w:shd w:val="clear" w:color="auto" w:fill="FFFFFF"/>
        </w:rPr>
        <w:t>21. Перерасчет размера пенсии за выслугу лет в случае изменения размера страховой пенсии по старости (инвалидности) производится на основании информации, получаемой управлением делами администрации Куйбышевского муниципального района Новосибирской области по межведомственному запросу из органов Пенсионного фонда Российской Федерации в рамках межведомственного информационного взаимодействия.</w:t>
      </w:r>
    </w:p>
    <w:p w14:paraId="676D7922" w14:textId="77777777" w:rsidR="00387142" w:rsidRPr="008B6A75" w:rsidRDefault="00387142" w:rsidP="00387142">
      <w:pPr>
        <w:ind w:firstLine="709"/>
        <w:jc w:val="both"/>
        <w:rPr>
          <w:sz w:val="20"/>
          <w:szCs w:val="20"/>
        </w:rPr>
      </w:pPr>
      <w:r w:rsidRPr="008B6A75">
        <w:rPr>
          <w:sz w:val="20"/>
          <w:szCs w:val="20"/>
        </w:rPr>
        <w:t>22. Индексация размера пенсии за выслугу лет производится при централизованном повышении денежного содержания (денежного вознаграждения) муниципальных служащих.</w:t>
      </w:r>
    </w:p>
    <w:p w14:paraId="6DCD0948" w14:textId="77777777" w:rsidR="00387142" w:rsidRPr="008B6A75" w:rsidRDefault="00387142" w:rsidP="00387142">
      <w:pPr>
        <w:widowControl w:val="0"/>
        <w:tabs>
          <w:tab w:val="left" w:pos="543"/>
          <w:tab w:val="left" w:pos="1086"/>
          <w:tab w:val="left" w:pos="1267"/>
          <w:tab w:val="left" w:pos="1448"/>
        </w:tabs>
        <w:ind w:firstLine="709"/>
        <w:jc w:val="both"/>
        <w:rPr>
          <w:sz w:val="20"/>
          <w:szCs w:val="20"/>
        </w:rPr>
      </w:pPr>
      <w:r w:rsidRPr="008B6A75">
        <w:rPr>
          <w:color w:val="000000"/>
          <w:sz w:val="20"/>
          <w:szCs w:val="20"/>
          <w:shd w:val="clear" w:color="auto" w:fill="FFFFFF"/>
        </w:rPr>
        <w:t xml:space="preserve">23. Индексация размера пенсии за выслугу лет при централизованном повышении денежного содержания (денежного вознаграждения) муниципальных служащих производится </w:t>
      </w:r>
      <w:r w:rsidRPr="008B6A75">
        <w:rPr>
          <w:rFonts w:eastAsia="Arial Unicode MS"/>
          <w:color w:val="000000"/>
          <w:sz w:val="20"/>
          <w:szCs w:val="20"/>
          <w:shd w:val="clear" w:color="auto" w:fill="FFFFFF"/>
        </w:rPr>
        <w:t>на основании постановления Губернатора Новосибирской области о повышении окладов месячного денежного содержания государственных гражданских служащих Новосибирской области, со дня повышения в централизованном порядке денежного содержания (вознаграждения).</w:t>
      </w:r>
    </w:p>
    <w:p w14:paraId="6DE9F9A0" w14:textId="77777777" w:rsidR="00387142" w:rsidRPr="008B6A75" w:rsidRDefault="00387142" w:rsidP="00387142">
      <w:pPr>
        <w:widowControl w:val="0"/>
        <w:tabs>
          <w:tab w:val="left" w:pos="543"/>
          <w:tab w:val="left" w:pos="1086"/>
          <w:tab w:val="left" w:pos="1267"/>
          <w:tab w:val="left" w:pos="1448"/>
        </w:tabs>
        <w:ind w:firstLine="709"/>
        <w:jc w:val="both"/>
        <w:rPr>
          <w:sz w:val="20"/>
          <w:szCs w:val="20"/>
        </w:rPr>
      </w:pPr>
      <w:r w:rsidRPr="008B6A75">
        <w:rPr>
          <w:color w:val="000000"/>
          <w:sz w:val="20"/>
          <w:szCs w:val="20"/>
          <w:shd w:val="clear" w:color="auto" w:fill="FFFFFF"/>
        </w:rPr>
        <w:t>24. Перерасчет размера пенсий за выслугу лет муниципальным служащим, замещавшим государственные должности Российской Федерации, государственные должности субъекта Российской Федерации, выборные муниципальные должности, должности государственной службы, должности муниципальной службы после назначения им пенсии за выслугу лет, в связи с чем ее выплата приостанавливалась, производится в соответствии с пунктами 6 и 8 настоящего Положения, с учетом увеличения продолжительности стажа муниципальной службы и (или) замещения должности муниципальной службы не менее 12 полных месяцев с более высоким должностным окладом.</w:t>
      </w:r>
    </w:p>
    <w:p w14:paraId="441A73AC" w14:textId="77777777" w:rsidR="00387142" w:rsidRPr="008B6A75" w:rsidRDefault="00387142" w:rsidP="00387142">
      <w:pPr>
        <w:widowControl w:val="0"/>
        <w:tabs>
          <w:tab w:val="left" w:pos="1086"/>
          <w:tab w:val="left" w:leader="underscore" w:pos="1220"/>
          <w:tab w:val="left" w:pos="1267"/>
          <w:tab w:val="left" w:leader="underscore" w:pos="2362"/>
        </w:tabs>
        <w:ind w:firstLine="709"/>
        <w:jc w:val="both"/>
        <w:rPr>
          <w:sz w:val="20"/>
          <w:szCs w:val="20"/>
        </w:rPr>
      </w:pPr>
      <w:r w:rsidRPr="008B6A75">
        <w:rPr>
          <w:color w:val="000000"/>
          <w:sz w:val="20"/>
          <w:szCs w:val="20"/>
          <w:shd w:val="clear" w:color="auto" w:fill="FFFFFF"/>
        </w:rPr>
        <w:t>25. В случае принятия комиссией по рассмотрению вопросов о включении в стаж муниципальной службы для назначения пенсии за выслугу лет муниципальных служащих</w:t>
      </w:r>
      <w:r w:rsidRPr="008B6A75">
        <w:rPr>
          <w:i/>
          <w:iCs/>
          <w:color w:val="000000"/>
          <w:sz w:val="20"/>
          <w:szCs w:val="20"/>
          <w:shd w:val="clear" w:color="auto" w:fill="FFFFFF"/>
        </w:rPr>
        <w:t xml:space="preserve"> </w:t>
      </w:r>
      <w:r w:rsidRPr="008B6A75">
        <w:rPr>
          <w:iCs/>
          <w:color w:val="000000"/>
          <w:sz w:val="20"/>
          <w:szCs w:val="20"/>
          <w:shd w:val="clear" w:color="auto" w:fill="FFFFFF"/>
        </w:rPr>
        <w:t>Куйбышевского муниципального района Новосибирской области</w:t>
      </w:r>
      <w:r w:rsidRPr="008B6A75">
        <w:rPr>
          <w:i/>
          <w:iCs/>
          <w:color w:val="000000"/>
          <w:sz w:val="20"/>
          <w:szCs w:val="20"/>
          <w:shd w:val="clear" w:color="auto" w:fill="FFFFFF"/>
        </w:rPr>
        <w:t xml:space="preserve"> </w:t>
      </w:r>
      <w:r w:rsidRPr="008B6A75">
        <w:rPr>
          <w:color w:val="000000"/>
          <w:sz w:val="20"/>
          <w:szCs w:val="20"/>
          <w:shd w:val="clear" w:color="auto" w:fill="FFFFFF"/>
        </w:rPr>
        <w:t>периодов работы</w:t>
      </w:r>
      <w:r w:rsidRPr="008B6A75">
        <w:rPr>
          <w:i/>
          <w:iCs/>
          <w:color w:val="000000"/>
          <w:sz w:val="20"/>
          <w:szCs w:val="20"/>
          <w:shd w:val="clear" w:color="auto" w:fill="FFFFFF"/>
        </w:rPr>
        <w:t xml:space="preserve"> </w:t>
      </w:r>
      <w:r w:rsidRPr="008B6A75">
        <w:rPr>
          <w:color w:val="000000"/>
          <w:sz w:val="20"/>
          <w:szCs w:val="20"/>
          <w:shd w:val="clear" w:color="auto" w:fill="FFFFFF"/>
        </w:rPr>
        <w:t>на отдельных должностях руководителей и специалистов в организациях решения о включении в стаж муниципальной службы периодов работы на отдельных должностях руководителей и специалистов в организациях, перерасчет размер пенсии за выслугу лет производится с первого числа месяца подачи заявления о перерасчете размера пенсии за выслугу лет, но не ранее дня принятия комиссией по вопросам муниципальной службы решения.</w:t>
      </w:r>
    </w:p>
    <w:p w14:paraId="45D473C3" w14:textId="77777777" w:rsidR="00387142" w:rsidRPr="008B6A75" w:rsidRDefault="00387142" w:rsidP="00387142">
      <w:pPr>
        <w:widowControl w:val="0"/>
        <w:tabs>
          <w:tab w:val="left" w:pos="1086"/>
          <w:tab w:val="left" w:pos="1267"/>
        </w:tabs>
        <w:ind w:firstLine="709"/>
        <w:jc w:val="both"/>
        <w:rPr>
          <w:sz w:val="20"/>
          <w:szCs w:val="20"/>
        </w:rPr>
      </w:pPr>
      <w:r w:rsidRPr="008B6A75">
        <w:rPr>
          <w:color w:val="000000"/>
          <w:sz w:val="20"/>
          <w:szCs w:val="20"/>
          <w:shd w:val="clear" w:color="auto" w:fill="FFFFFF"/>
        </w:rPr>
        <w:t>26. Перерасчет размера пенсии за выслугу лет в случаях, предусмотренных пунктами 24 и 25 настоящего Положения производится на основании личного заявления получателей пенсии за выслугу лет.</w:t>
      </w:r>
    </w:p>
    <w:p w14:paraId="0269D75C" w14:textId="77777777" w:rsidR="00387142" w:rsidRPr="008B6A75" w:rsidRDefault="00387142" w:rsidP="00387142">
      <w:pPr>
        <w:pStyle w:val="25"/>
        <w:shd w:val="clear" w:color="auto" w:fill="auto"/>
        <w:spacing w:after="0" w:line="240" w:lineRule="auto"/>
        <w:ind w:firstLine="709"/>
        <w:jc w:val="both"/>
        <w:rPr>
          <w:rStyle w:val="24"/>
          <w:rFonts w:ascii="Times New Roman" w:hAnsi="Times New Roman" w:cs="Times New Roman"/>
          <w:color w:val="000000"/>
          <w:sz w:val="20"/>
          <w:szCs w:val="20"/>
        </w:rPr>
      </w:pPr>
      <w:r w:rsidRPr="008B6A75">
        <w:rPr>
          <w:rFonts w:ascii="Times New Roman" w:hAnsi="Times New Roman" w:cs="Times New Roman"/>
          <w:color w:val="000000"/>
          <w:sz w:val="20"/>
          <w:szCs w:val="20"/>
          <w:shd w:val="clear" w:color="auto" w:fill="FFFFFF"/>
        </w:rPr>
        <w:t>28. Перерасчет и индексация размера пенсии за выслугу лет во всех случаях, предусмотренных разделом 5 настоящего Положения, осуществляет управление делами администрации Куйбышевского муниципального района Новосибирской области.</w:t>
      </w:r>
    </w:p>
    <w:p w14:paraId="31779DE5" w14:textId="77777777" w:rsidR="00387142" w:rsidRPr="008B6A75" w:rsidRDefault="00387142" w:rsidP="00387142">
      <w:pPr>
        <w:pStyle w:val="25"/>
        <w:shd w:val="clear" w:color="auto" w:fill="auto"/>
        <w:spacing w:after="0" w:line="240" w:lineRule="auto"/>
        <w:ind w:firstLine="709"/>
        <w:jc w:val="both"/>
        <w:rPr>
          <w:rStyle w:val="24"/>
          <w:rFonts w:ascii="Times New Roman" w:hAnsi="Times New Roman" w:cs="Times New Roman"/>
          <w:color w:val="000000"/>
          <w:sz w:val="20"/>
          <w:szCs w:val="20"/>
        </w:rPr>
      </w:pPr>
    </w:p>
    <w:p w14:paraId="54F119E2" w14:textId="77777777" w:rsidR="00387142" w:rsidRPr="008B6A75" w:rsidRDefault="00387142" w:rsidP="00387142">
      <w:pPr>
        <w:pStyle w:val="25"/>
        <w:shd w:val="clear" w:color="auto" w:fill="auto"/>
        <w:spacing w:after="0" w:line="240" w:lineRule="auto"/>
        <w:ind w:firstLine="709"/>
        <w:jc w:val="both"/>
        <w:rPr>
          <w:rStyle w:val="24"/>
          <w:rFonts w:ascii="Times New Roman" w:hAnsi="Times New Roman" w:cs="Times New Roman"/>
          <w:color w:val="000000"/>
          <w:sz w:val="20"/>
          <w:szCs w:val="20"/>
        </w:rPr>
      </w:pPr>
    </w:p>
    <w:p w14:paraId="407ACCB7" w14:textId="77777777" w:rsidR="00387142" w:rsidRPr="008B6A75" w:rsidRDefault="00387142" w:rsidP="00387142">
      <w:pPr>
        <w:pStyle w:val="25"/>
        <w:shd w:val="clear" w:color="auto" w:fill="auto"/>
        <w:spacing w:after="0" w:line="240" w:lineRule="auto"/>
        <w:ind w:firstLine="0"/>
        <w:rPr>
          <w:rStyle w:val="32"/>
          <w:rFonts w:ascii="Times New Roman" w:hAnsi="Times New Roman" w:cs="Times New Roman"/>
          <w:i w:val="0"/>
          <w:iCs w:val="0"/>
          <w:color w:val="000000"/>
          <w:sz w:val="20"/>
          <w:szCs w:val="20"/>
        </w:rPr>
      </w:pPr>
      <w:r w:rsidRPr="008B6A75">
        <w:rPr>
          <w:rStyle w:val="24"/>
          <w:rFonts w:ascii="Times New Roman" w:hAnsi="Times New Roman" w:cs="Times New Roman"/>
          <w:color w:val="000000"/>
          <w:sz w:val="20"/>
          <w:szCs w:val="20"/>
        </w:rPr>
        <w:t>________________</w:t>
      </w:r>
    </w:p>
    <w:p w14:paraId="420C6B9C" w14:textId="77777777" w:rsidR="00387142" w:rsidRPr="008B6A75" w:rsidRDefault="00387142" w:rsidP="00372B96">
      <w:pPr>
        <w:pStyle w:val="25"/>
        <w:numPr>
          <w:ilvl w:val="0"/>
          <w:numId w:val="28"/>
        </w:numPr>
        <w:shd w:val="clear" w:color="auto" w:fill="auto"/>
        <w:tabs>
          <w:tab w:val="left" w:pos="1086"/>
          <w:tab w:val="left" w:pos="1267"/>
        </w:tabs>
        <w:spacing w:after="0" w:line="240" w:lineRule="auto"/>
        <w:ind w:firstLine="709"/>
        <w:jc w:val="both"/>
        <w:rPr>
          <w:rFonts w:ascii="Times New Roman" w:hAnsi="Times New Roman" w:cs="Times New Roman"/>
          <w:sz w:val="20"/>
          <w:szCs w:val="20"/>
        </w:rPr>
        <w:sectPr w:rsidR="00387142" w:rsidRPr="008B6A75" w:rsidSect="00387142">
          <w:pgSz w:w="11900" w:h="16840"/>
          <w:pgMar w:top="1276" w:right="701" w:bottom="851" w:left="1418" w:header="0" w:footer="3" w:gutter="0"/>
          <w:cols w:space="720"/>
          <w:noEndnote/>
          <w:docGrid w:linePitch="360"/>
        </w:sectPr>
      </w:pPr>
    </w:p>
    <w:p w14:paraId="7189256C" w14:textId="77777777" w:rsidR="00387142" w:rsidRPr="008B6A75" w:rsidRDefault="00387142" w:rsidP="00387142">
      <w:pPr>
        <w:ind w:left="4820" w:right="-381"/>
        <w:jc w:val="center"/>
        <w:rPr>
          <w:rStyle w:val="24"/>
          <w:sz w:val="20"/>
          <w:szCs w:val="20"/>
        </w:rPr>
      </w:pPr>
      <w:r w:rsidRPr="008B6A75">
        <w:rPr>
          <w:rStyle w:val="24"/>
          <w:sz w:val="20"/>
          <w:szCs w:val="20"/>
        </w:rPr>
        <w:lastRenderedPageBreak/>
        <w:t>ПРИЛОЖЕНИЕ 1</w:t>
      </w:r>
    </w:p>
    <w:p w14:paraId="356D93B3" w14:textId="77777777" w:rsidR="00387142" w:rsidRPr="008B6A75" w:rsidRDefault="00387142" w:rsidP="00387142">
      <w:pPr>
        <w:ind w:left="4820" w:right="-42"/>
        <w:jc w:val="center"/>
        <w:rPr>
          <w:rStyle w:val="24"/>
          <w:sz w:val="20"/>
          <w:szCs w:val="20"/>
        </w:rPr>
      </w:pPr>
      <w:r w:rsidRPr="008B6A75">
        <w:rPr>
          <w:rStyle w:val="24"/>
          <w:sz w:val="20"/>
          <w:szCs w:val="20"/>
        </w:rPr>
        <w:t xml:space="preserve">к Положению </w:t>
      </w:r>
      <w:r w:rsidRPr="008B6A75">
        <w:rPr>
          <w:rStyle w:val="41"/>
          <w:b w:val="0"/>
          <w:color w:val="000000"/>
          <w:sz w:val="20"/>
          <w:szCs w:val="20"/>
        </w:rPr>
        <w:t>об условиях и порядке назначения, выплаты, перерасчета и индексации пенсии за выслугу лет муниципальным служащим в органах местного самоуправления Куйбышевского муниципального района Новосибирской области</w:t>
      </w:r>
    </w:p>
    <w:p w14:paraId="47C8106B" w14:textId="77777777" w:rsidR="00387142" w:rsidRPr="008B6A75" w:rsidRDefault="00387142" w:rsidP="00387142">
      <w:pPr>
        <w:spacing w:line="360" w:lineRule="auto"/>
        <w:ind w:right="-381"/>
        <w:jc w:val="right"/>
        <w:rPr>
          <w:rStyle w:val="24"/>
          <w:sz w:val="20"/>
          <w:szCs w:val="20"/>
        </w:rPr>
      </w:pPr>
    </w:p>
    <w:p w14:paraId="612AC344" w14:textId="77777777" w:rsidR="00387142" w:rsidRPr="008B6A75" w:rsidRDefault="00387142" w:rsidP="00387142">
      <w:pPr>
        <w:ind w:left="4820" w:right="-381"/>
        <w:rPr>
          <w:rStyle w:val="24"/>
          <w:sz w:val="20"/>
          <w:szCs w:val="20"/>
        </w:rPr>
      </w:pPr>
      <w:r w:rsidRPr="008B6A75">
        <w:rPr>
          <w:rStyle w:val="24"/>
          <w:sz w:val="20"/>
          <w:szCs w:val="20"/>
        </w:rPr>
        <w:t>Главе Куйбышевского муниципального района Новосибирской области</w:t>
      </w:r>
    </w:p>
    <w:p w14:paraId="40920535" w14:textId="77777777" w:rsidR="00387142" w:rsidRPr="008B6A75" w:rsidRDefault="00387142" w:rsidP="00387142">
      <w:pPr>
        <w:ind w:left="4820" w:right="-381"/>
        <w:rPr>
          <w:rStyle w:val="24"/>
          <w:sz w:val="20"/>
          <w:szCs w:val="20"/>
        </w:rPr>
      </w:pPr>
      <w:r w:rsidRPr="008B6A75">
        <w:rPr>
          <w:rStyle w:val="24"/>
          <w:sz w:val="20"/>
          <w:szCs w:val="20"/>
        </w:rPr>
        <w:t>От _________________________________,</w:t>
      </w:r>
    </w:p>
    <w:p w14:paraId="3CDEA59C" w14:textId="77777777" w:rsidR="00387142" w:rsidRPr="008B6A75" w:rsidRDefault="00387142" w:rsidP="00387142">
      <w:pPr>
        <w:ind w:left="4820" w:right="-381"/>
        <w:rPr>
          <w:i/>
          <w:iCs/>
          <w:sz w:val="20"/>
          <w:szCs w:val="20"/>
        </w:rPr>
      </w:pPr>
      <w:r w:rsidRPr="008B6A75">
        <w:rPr>
          <w:sz w:val="20"/>
          <w:szCs w:val="20"/>
        </w:rPr>
        <w:t xml:space="preserve">         </w:t>
      </w:r>
      <w:r w:rsidRPr="008B6A75">
        <w:rPr>
          <w:i/>
          <w:iCs/>
          <w:sz w:val="20"/>
          <w:szCs w:val="20"/>
        </w:rPr>
        <w:t>(фамилия, имя, отчество)</w:t>
      </w:r>
    </w:p>
    <w:p w14:paraId="448425F7" w14:textId="77777777" w:rsidR="00387142" w:rsidRPr="008B6A75" w:rsidRDefault="00387142" w:rsidP="00387142">
      <w:pPr>
        <w:ind w:left="4820" w:right="-381"/>
        <w:rPr>
          <w:sz w:val="20"/>
          <w:szCs w:val="20"/>
        </w:rPr>
      </w:pPr>
      <w:r w:rsidRPr="008B6A75">
        <w:rPr>
          <w:sz w:val="20"/>
          <w:szCs w:val="20"/>
        </w:rPr>
        <w:t>проживающего по адресу: ______________ ____________________________________,</w:t>
      </w:r>
    </w:p>
    <w:p w14:paraId="1CB15BD6" w14:textId="77777777" w:rsidR="00387142" w:rsidRPr="008B6A75" w:rsidRDefault="00387142" w:rsidP="00387142">
      <w:pPr>
        <w:ind w:left="4820" w:right="-381"/>
        <w:rPr>
          <w:sz w:val="20"/>
          <w:szCs w:val="20"/>
        </w:rPr>
      </w:pPr>
      <w:r w:rsidRPr="008B6A75">
        <w:rPr>
          <w:sz w:val="20"/>
          <w:szCs w:val="20"/>
        </w:rPr>
        <w:t>контактный телефон: ________________________</w:t>
      </w:r>
    </w:p>
    <w:p w14:paraId="5B1CD1D2" w14:textId="77777777" w:rsidR="00387142" w:rsidRPr="008B6A75" w:rsidRDefault="00387142" w:rsidP="00387142">
      <w:pPr>
        <w:pStyle w:val="25"/>
        <w:shd w:val="clear" w:color="auto" w:fill="auto"/>
        <w:spacing w:after="0" w:line="220" w:lineRule="exact"/>
        <w:ind w:right="-381"/>
        <w:jc w:val="right"/>
        <w:rPr>
          <w:rFonts w:ascii="Times New Roman" w:hAnsi="Times New Roman" w:cs="Times New Roman"/>
          <w:sz w:val="20"/>
          <w:szCs w:val="20"/>
        </w:rPr>
      </w:pPr>
    </w:p>
    <w:p w14:paraId="7BAA3E27" w14:textId="77777777" w:rsidR="00387142" w:rsidRPr="008B6A75" w:rsidRDefault="00387142" w:rsidP="00387142">
      <w:pPr>
        <w:pStyle w:val="25"/>
        <w:shd w:val="clear" w:color="auto" w:fill="auto"/>
        <w:spacing w:after="0" w:line="220" w:lineRule="exact"/>
        <w:jc w:val="right"/>
        <w:rPr>
          <w:rFonts w:ascii="Times New Roman" w:hAnsi="Times New Roman" w:cs="Times New Roman"/>
          <w:sz w:val="20"/>
          <w:szCs w:val="20"/>
        </w:rPr>
      </w:pPr>
    </w:p>
    <w:p w14:paraId="4D1F4857" w14:textId="77777777" w:rsidR="00387142" w:rsidRPr="008B6A75" w:rsidRDefault="00387142" w:rsidP="00387142">
      <w:pPr>
        <w:pStyle w:val="25"/>
        <w:shd w:val="clear" w:color="auto" w:fill="auto"/>
        <w:spacing w:after="333" w:line="360" w:lineRule="auto"/>
        <w:ind w:right="-1" w:firstLine="0"/>
        <w:rPr>
          <w:rFonts w:ascii="Times New Roman" w:hAnsi="Times New Roman" w:cs="Times New Roman"/>
          <w:sz w:val="20"/>
          <w:szCs w:val="20"/>
        </w:rPr>
      </w:pPr>
      <w:r w:rsidRPr="008B6A75">
        <w:rPr>
          <w:rStyle w:val="24"/>
          <w:rFonts w:ascii="Times New Roman" w:hAnsi="Times New Roman" w:cs="Times New Roman"/>
          <w:color w:val="000000"/>
          <w:sz w:val="20"/>
          <w:szCs w:val="20"/>
        </w:rPr>
        <w:t>ЗАЯВЛЕНИЕ</w:t>
      </w:r>
    </w:p>
    <w:p w14:paraId="44271A48" w14:textId="77777777" w:rsidR="00387142" w:rsidRPr="008B6A75" w:rsidRDefault="00387142" w:rsidP="00387142">
      <w:pPr>
        <w:pStyle w:val="25"/>
        <w:shd w:val="clear" w:color="auto" w:fill="auto"/>
        <w:tabs>
          <w:tab w:val="left" w:leader="underscore" w:pos="5256"/>
        </w:tabs>
        <w:spacing w:after="0" w:line="240" w:lineRule="auto"/>
        <w:ind w:right="-1" w:firstLine="709"/>
        <w:jc w:val="both"/>
        <w:rPr>
          <w:rFonts w:ascii="Times New Roman" w:hAnsi="Times New Roman" w:cs="Times New Roman"/>
          <w:sz w:val="20"/>
          <w:szCs w:val="20"/>
        </w:rPr>
      </w:pPr>
      <w:r w:rsidRPr="008B6A75">
        <w:rPr>
          <w:rStyle w:val="24"/>
          <w:rFonts w:ascii="Times New Roman" w:hAnsi="Times New Roman" w:cs="Times New Roman"/>
          <w:color w:val="000000"/>
          <w:sz w:val="20"/>
          <w:szCs w:val="20"/>
        </w:rPr>
        <w:t xml:space="preserve">В соответствии с Федеральным законом от 02.03.2007 № 25-ФЗ «О муниципальной службе в Российской Федерации», прошу назначить мне, замещавшему </w:t>
      </w:r>
      <w:r w:rsidRPr="008B6A75">
        <w:rPr>
          <w:rStyle w:val="27"/>
          <w:color w:val="000000"/>
          <w:sz w:val="20"/>
          <w:szCs w:val="20"/>
        </w:rPr>
        <w:t xml:space="preserve">должность </w:t>
      </w:r>
      <w:r w:rsidRPr="008B6A75">
        <w:rPr>
          <w:rStyle w:val="24"/>
          <w:rFonts w:ascii="Times New Roman" w:hAnsi="Times New Roman" w:cs="Times New Roman"/>
          <w:color w:val="000000"/>
          <w:sz w:val="20"/>
          <w:szCs w:val="20"/>
        </w:rPr>
        <w:t>муниципальной службы ____________________________ ______________</w:t>
      </w:r>
      <w:r w:rsidRPr="008B6A75">
        <w:rPr>
          <w:rStyle w:val="29pt"/>
          <w:color w:val="000000"/>
          <w:sz w:val="20"/>
          <w:szCs w:val="20"/>
        </w:rPr>
        <w:t>(наименование должности)</w:t>
      </w:r>
      <w:r w:rsidRPr="008B6A75">
        <w:rPr>
          <w:rStyle w:val="27"/>
          <w:color w:val="000000"/>
          <w:sz w:val="20"/>
          <w:szCs w:val="20"/>
        </w:rPr>
        <w:t xml:space="preserve"> </w:t>
      </w:r>
      <w:r w:rsidRPr="008B6A75">
        <w:rPr>
          <w:rStyle w:val="24"/>
          <w:rFonts w:ascii="Times New Roman" w:hAnsi="Times New Roman" w:cs="Times New Roman"/>
          <w:color w:val="000000"/>
          <w:sz w:val="20"/>
          <w:szCs w:val="20"/>
        </w:rPr>
        <w:t>на</w:t>
      </w:r>
      <w:r w:rsidRPr="008B6A75">
        <w:rPr>
          <w:rFonts w:ascii="Times New Roman" w:hAnsi="Times New Roman" w:cs="Times New Roman"/>
          <w:sz w:val="20"/>
          <w:szCs w:val="20"/>
        </w:rPr>
        <w:t xml:space="preserve"> </w:t>
      </w:r>
      <w:r w:rsidRPr="008B6A75">
        <w:rPr>
          <w:rStyle w:val="24"/>
          <w:rFonts w:ascii="Times New Roman" w:hAnsi="Times New Roman" w:cs="Times New Roman"/>
          <w:color w:val="000000"/>
          <w:sz w:val="20"/>
          <w:szCs w:val="20"/>
        </w:rPr>
        <w:t xml:space="preserve">день прекращения муниципальной службы или на день достижения возраста, дающего право на страховую пенсию по старости (дававшего право на трудовую пенсию по старости в соответствии с Федеральным законом от 17.12.2001 № 173-ФЗ «О трудовых пенсиях в Российской Федерации»), ___________________ </w:t>
      </w:r>
      <w:r w:rsidRPr="008B6A75">
        <w:rPr>
          <w:rStyle w:val="29pt"/>
          <w:color w:val="000000"/>
          <w:sz w:val="20"/>
          <w:szCs w:val="20"/>
        </w:rPr>
        <w:t>(указать нужное),</w:t>
      </w:r>
      <w:r w:rsidRPr="008B6A75">
        <w:rPr>
          <w:rStyle w:val="27"/>
          <w:color w:val="000000"/>
          <w:sz w:val="20"/>
          <w:szCs w:val="20"/>
        </w:rPr>
        <w:t xml:space="preserve"> </w:t>
      </w:r>
      <w:r w:rsidRPr="008B6A75">
        <w:rPr>
          <w:rStyle w:val="24"/>
          <w:rFonts w:ascii="Times New Roman" w:hAnsi="Times New Roman" w:cs="Times New Roman"/>
          <w:color w:val="000000"/>
          <w:sz w:val="20"/>
          <w:szCs w:val="20"/>
        </w:rPr>
        <w:t>пенсию за выслугу лет к назначенной в соответствии с Федеральным законом «О страховых пенсиях» или Законом Российской Федерации «О занятости населения в Российской Федерации» ___________________________</w:t>
      </w:r>
      <w:r w:rsidRPr="008B6A75">
        <w:rPr>
          <w:rStyle w:val="29pt"/>
          <w:color w:val="000000"/>
          <w:sz w:val="20"/>
          <w:szCs w:val="20"/>
        </w:rPr>
        <w:t xml:space="preserve">(вид страховой пенсии и дата </w:t>
      </w:r>
      <w:r w:rsidRPr="008B6A75">
        <w:rPr>
          <w:rStyle w:val="32"/>
          <w:rFonts w:ascii="Times New Roman" w:hAnsi="Times New Roman" w:cs="Times New Roman"/>
          <w:color w:val="000000"/>
          <w:sz w:val="20"/>
          <w:szCs w:val="20"/>
        </w:rPr>
        <w:t>ее назначения).</w:t>
      </w:r>
    </w:p>
    <w:p w14:paraId="2B280C7B" w14:textId="77777777" w:rsidR="00387142" w:rsidRPr="008B6A75" w:rsidRDefault="00387142" w:rsidP="00387142">
      <w:pPr>
        <w:pStyle w:val="25"/>
        <w:shd w:val="clear" w:color="auto" w:fill="auto"/>
        <w:spacing w:after="0" w:line="240" w:lineRule="auto"/>
        <w:ind w:right="-1" w:firstLine="709"/>
        <w:jc w:val="both"/>
        <w:rPr>
          <w:rFonts w:ascii="Times New Roman" w:hAnsi="Times New Roman" w:cs="Times New Roman"/>
          <w:sz w:val="20"/>
          <w:szCs w:val="20"/>
        </w:rPr>
      </w:pPr>
      <w:r w:rsidRPr="008B6A75">
        <w:rPr>
          <w:rStyle w:val="24"/>
          <w:rFonts w:ascii="Times New Roman" w:hAnsi="Times New Roman" w:cs="Times New Roman"/>
          <w:color w:val="000000"/>
          <w:sz w:val="20"/>
          <w:szCs w:val="20"/>
        </w:rPr>
        <w:t xml:space="preserve">Прошу назначенную мне пенсию за выслугу лет перечислять на лицевой счет </w:t>
      </w:r>
      <w:r w:rsidRPr="008B6A75">
        <w:rPr>
          <w:rStyle w:val="372"/>
          <w:rFonts w:ascii="Times New Roman" w:hAnsi="Times New Roman" w:cs="Times New Roman"/>
          <w:color w:val="000000"/>
          <w:sz w:val="20"/>
          <w:szCs w:val="20"/>
        </w:rPr>
        <w:t xml:space="preserve">№ __________ в _______________________ </w:t>
      </w:r>
      <w:r w:rsidRPr="008B6A75">
        <w:rPr>
          <w:rStyle w:val="32"/>
          <w:rFonts w:ascii="Times New Roman" w:hAnsi="Times New Roman" w:cs="Times New Roman"/>
          <w:color w:val="000000"/>
          <w:sz w:val="20"/>
          <w:szCs w:val="20"/>
        </w:rPr>
        <w:t>(наименование банка).</w:t>
      </w:r>
    </w:p>
    <w:p w14:paraId="3A7399BC" w14:textId="77777777" w:rsidR="00387142" w:rsidRPr="008B6A75" w:rsidRDefault="00387142" w:rsidP="00387142">
      <w:pPr>
        <w:pStyle w:val="25"/>
        <w:shd w:val="clear" w:color="auto" w:fill="auto"/>
        <w:tabs>
          <w:tab w:val="left" w:leader="underscore" w:pos="5066"/>
          <w:tab w:val="left" w:leader="underscore" w:pos="5508"/>
        </w:tabs>
        <w:spacing w:after="0" w:line="240" w:lineRule="auto"/>
        <w:ind w:right="-1" w:firstLine="709"/>
        <w:jc w:val="both"/>
        <w:rPr>
          <w:rStyle w:val="32"/>
          <w:rFonts w:ascii="Times New Roman" w:hAnsi="Times New Roman" w:cs="Times New Roman"/>
          <w:i w:val="0"/>
          <w:iCs w:val="0"/>
          <w:color w:val="000000"/>
          <w:sz w:val="20"/>
          <w:szCs w:val="20"/>
        </w:rPr>
      </w:pPr>
      <w:r w:rsidRPr="008B6A75">
        <w:rPr>
          <w:rStyle w:val="24"/>
          <w:rFonts w:ascii="Times New Roman" w:hAnsi="Times New Roman" w:cs="Times New Roman"/>
          <w:color w:val="000000"/>
          <w:sz w:val="20"/>
          <w:szCs w:val="20"/>
        </w:rPr>
        <w:t xml:space="preserve">При замещении должности государственной службы Российской Федерации, государственной должности Российской Федерации, государственной должности субъекта Российской Федерации, должности государственной гражданской службы субъекта Российской Федерации, муниципальной должности, должности муниципальной службы, а также при изменении места проживания, обязуюсь </w:t>
      </w:r>
      <w:r w:rsidRPr="008B6A75">
        <w:rPr>
          <w:rStyle w:val="27"/>
          <w:color w:val="000000"/>
          <w:sz w:val="20"/>
          <w:szCs w:val="20"/>
        </w:rPr>
        <w:t xml:space="preserve">в </w:t>
      </w:r>
      <w:r w:rsidRPr="008B6A75">
        <w:rPr>
          <w:rStyle w:val="24"/>
          <w:rFonts w:ascii="Times New Roman" w:hAnsi="Times New Roman" w:cs="Times New Roman"/>
          <w:color w:val="000000"/>
          <w:sz w:val="20"/>
          <w:szCs w:val="20"/>
        </w:rPr>
        <w:t xml:space="preserve">5-дневный срок сообщить об </w:t>
      </w:r>
      <w:r w:rsidRPr="008B6A75">
        <w:rPr>
          <w:rStyle w:val="27"/>
          <w:color w:val="000000"/>
          <w:sz w:val="20"/>
          <w:szCs w:val="20"/>
        </w:rPr>
        <w:t xml:space="preserve">этом в _____________________________ </w:t>
      </w:r>
      <w:r w:rsidRPr="008B6A75">
        <w:rPr>
          <w:rStyle w:val="29pt"/>
          <w:color w:val="000000"/>
          <w:sz w:val="20"/>
          <w:szCs w:val="20"/>
        </w:rPr>
        <w:t xml:space="preserve">(структурное подразделение, </w:t>
      </w:r>
      <w:r w:rsidRPr="008B6A75">
        <w:rPr>
          <w:rStyle w:val="32"/>
          <w:rFonts w:ascii="Times New Roman" w:hAnsi="Times New Roman" w:cs="Times New Roman"/>
          <w:color w:val="000000"/>
          <w:sz w:val="20"/>
          <w:szCs w:val="20"/>
        </w:rPr>
        <w:t>занимающееся вопросами кадровой работы).</w:t>
      </w:r>
    </w:p>
    <w:p w14:paraId="7FDD8CF9" w14:textId="77777777" w:rsidR="00387142" w:rsidRPr="008B6A75" w:rsidRDefault="00387142" w:rsidP="00387142">
      <w:pPr>
        <w:pStyle w:val="25"/>
        <w:shd w:val="clear" w:color="auto" w:fill="auto"/>
        <w:tabs>
          <w:tab w:val="left" w:leader="underscore" w:pos="5066"/>
          <w:tab w:val="left" w:leader="underscore" w:pos="5508"/>
        </w:tabs>
        <w:spacing w:after="0" w:line="240" w:lineRule="auto"/>
        <w:ind w:right="-1" w:firstLine="709"/>
        <w:jc w:val="both"/>
        <w:rPr>
          <w:rStyle w:val="32"/>
          <w:rFonts w:ascii="Times New Roman" w:hAnsi="Times New Roman" w:cs="Times New Roman"/>
          <w:i w:val="0"/>
          <w:iCs w:val="0"/>
          <w:sz w:val="20"/>
          <w:szCs w:val="20"/>
        </w:rPr>
      </w:pPr>
    </w:p>
    <w:p w14:paraId="717617D4" w14:textId="77777777" w:rsidR="00387142" w:rsidRPr="008B6A75" w:rsidRDefault="00387142" w:rsidP="00387142">
      <w:pPr>
        <w:pStyle w:val="25"/>
        <w:shd w:val="clear" w:color="auto" w:fill="auto"/>
        <w:tabs>
          <w:tab w:val="left" w:leader="underscore" w:pos="5066"/>
          <w:tab w:val="left" w:leader="underscore" w:pos="5508"/>
        </w:tabs>
        <w:spacing w:after="0" w:line="240" w:lineRule="auto"/>
        <w:ind w:right="-1" w:firstLine="709"/>
        <w:jc w:val="both"/>
        <w:rPr>
          <w:rStyle w:val="32"/>
          <w:rFonts w:ascii="Times New Roman" w:hAnsi="Times New Roman" w:cs="Times New Roman"/>
          <w:i w:val="0"/>
          <w:iCs w:val="0"/>
          <w:sz w:val="20"/>
          <w:szCs w:val="20"/>
        </w:rPr>
      </w:pPr>
    </w:p>
    <w:p w14:paraId="5A7D0518" w14:textId="77777777" w:rsidR="00387142" w:rsidRPr="008B6A75" w:rsidRDefault="00387142" w:rsidP="00387142">
      <w:pPr>
        <w:pStyle w:val="25"/>
        <w:shd w:val="clear" w:color="auto" w:fill="auto"/>
        <w:tabs>
          <w:tab w:val="left" w:leader="underscore" w:pos="5066"/>
          <w:tab w:val="left" w:leader="underscore" w:pos="5508"/>
        </w:tabs>
        <w:spacing w:after="0" w:line="240" w:lineRule="auto"/>
        <w:ind w:right="-1" w:firstLine="0"/>
        <w:jc w:val="both"/>
        <w:rPr>
          <w:rStyle w:val="32"/>
          <w:rFonts w:ascii="Times New Roman" w:hAnsi="Times New Roman" w:cs="Times New Roman"/>
          <w:i w:val="0"/>
          <w:iCs w:val="0"/>
          <w:sz w:val="20"/>
          <w:szCs w:val="20"/>
        </w:rPr>
      </w:pPr>
      <w:r w:rsidRPr="008B6A75">
        <w:rPr>
          <w:rStyle w:val="32"/>
          <w:rFonts w:ascii="Times New Roman" w:hAnsi="Times New Roman" w:cs="Times New Roman"/>
          <w:sz w:val="20"/>
          <w:szCs w:val="20"/>
        </w:rPr>
        <w:t>_________________                                                                _____________________</w:t>
      </w:r>
    </w:p>
    <w:p w14:paraId="093944E9" w14:textId="77777777" w:rsidR="00387142" w:rsidRPr="008B6A75" w:rsidRDefault="00387142" w:rsidP="00387142">
      <w:pPr>
        <w:pStyle w:val="33"/>
        <w:shd w:val="clear" w:color="auto" w:fill="auto"/>
        <w:spacing w:before="0" w:after="331" w:line="240" w:lineRule="auto"/>
        <w:ind w:right="-1"/>
        <w:jc w:val="both"/>
        <w:rPr>
          <w:rStyle w:val="32"/>
          <w:rFonts w:ascii="Times New Roman" w:hAnsi="Times New Roman" w:cs="Times New Roman"/>
          <w:color w:val="000000"/>
          <w:sz w:val="20"/>
          <w:szCs w:val="20"/>
        </w:rPr>
      </w:pPr>
      <w:r w:rsidRPr="008B6A75">
        <w:rPr>
          <w:rStyle w:val="32"/>
          <w:rFonts w:ascii="Times New Roman" w:hAnsi="Times New Roman" w:cs="Times New Roman"/>
          <w:color w:val="000000"/>
          <w:sz w:val="20"/>
          <w:szCs w:val="20"/>
        </w:rPr>
        <w:t>Дата                                                                                               Подпись заявителя</w:t>
      </w:r>
    </w:p>
    <w:p w14:paraId="7515544A" w14:textId="77777777" w:rsidR="00387142" w:rsidRPr="008B6A75" w:rsidRDefault="00387142" w:rsidP="00387142">
      <w:pPr>
        <w:pStyle w:val="25"/>
        <w:shd w:val="clear" w:color="auto" w:fill="auto"/>
        <w:spacing w:after="0" w:line="240" w:lineRule="auto"/>
        <w:ind w:left="4678" w:right="-452" w:firstLine="0"/>
        <w:rPr>
          <w:rStyle w:val="24"/>
          <w:rFonts w:ascii="Times New Roman" w:hAnsi="Times New Roman" w:cs="Times New Roman"/>
          <w:color w:val="000000"/>
          <w:sz w:val="20"/>
          <w:szCs w:val="20"/>
        </w:rPr>
      </w:pPr>
      <w:r w:rsidRPr="008B6A75">
        <w:rPr>
          <w:rStyle w:val="24"/>
          <w:rFonts w:ascii="Times New Roman" w:hAnsi="Times New Roman" w:cs="Times New Roman"/>
          <w:color w:val="000000"/>
          <w:sz w:val="20"/>
          <w:szCs w:val="20"/>
        </w:rPr>
        <w:t>ПРИЛОЖЕНИЕ 2</w:t>
      </w:r>
    </w:p>
    <w:p w14:paraId="4E4F9D2F" w14:textId="77777777" w:rsidR="00387142" w:rsidRPr="008B6A75" w:rsidRDefault="00387142" w:rsidP="00387142">
      <w:pPr>
        <w:pStyle w:val="25"/>
        <w:shd w:val="clear" w:color="auto" w:fill="auto"/>
        <w:spacing w:after="0" w:line="240" w:lineRule="auto"/>
        <w:ind w:left="4678" w:right="-42" w:firstLine="0"/>
        <w:rPr>
          <w:rFonts w:ascii="Times New Roman" w:hAnsi="Times New Roman" w:cs="Times New Roman"/>
          <w:sz w:val="20"/>
          <w:szCs w:val="20"/>
        </w:rPr>
      </w:pPr>
      <w:r w:rsidRPr="008B6A75">
        <w:rPr>
          <w:rStyle w:val="24"/>
          <w:rFonts w:ascii="Times New Roman" w:hAnsi="Times New Roman" w:cs="Times New Roman"/>
          <w:color w:val="000000"/>
          <w:sz w:val="20"/>
          <w:szCs w:val="20"/>
        </w:rPr>
        <w:t xml:space="preserve">к Положению </w:t>
      </w:r>
      <w:r w:rsidRPr="008B6A75">
        <w:rPr>
          <w:rFonts w:ascii="Times New Roman" w:hAnsi="Times New Roman" w:cs="Times New Roman"/>
          <w:bCs/>
          <w:color w:val="000000"/>
          <w:sz w:val="20"/>
          <w:szCs w:val="20"/>
          <w:shd w:val="clear" w:color="auto" w:fill="FFFFFF"/>
        </w:rPr>
        <w:t>об условиях и порядке назначения, выплаты, перерасчета и индексации пенсии за выслугу лет муниципальным служащим в органах местного самоуправления Куйбышевского муниципального района Новосибирской области</w:t>
      </w:r>
    </w:p>
    <w:p w14:paraId="5F4DE91E" w14:textId="77777777" w:rsidR="00387142" w:rsidRPr="008B6A75" w:rsidRDefault="00387142" w:rsidP="00387142">
      <w:pPr>
        <w:pStyle w:val="25"/>
        <w:shd w:val="clear" w:color="auto" w:fill="auto"/>
        <w:spacing w:after="295" w:line="360" w:lineRule="auto"/>
        <w:ind w:left="-543" w:right="-452"/>
        <w:rPr>
          <w:rStyle w:val="24"/>
          <w:rFonts w:ascii="Times New Roman" w:hAnsi="Times New Roman" w:cs="Times New Roman"/>
          <w:color w:val="000000"/>
          <w:sz w:val="20"/>
          <w:szCs w:val="20"/>
        </w:rPr>
      </w:pPr>
    </w:p>
    <w:p w14:paraId="4AF503F5" w14:textId="77777777" w:rsidR="00387142" w:rsidRPr="008B6A75" w:rsidRDefault="00387142" w:rsidP="00387142">
      <w:pPr>
        <w:pStyle w:val="25"/>
        <w:shd w:val="clear" w:color="auto" w:fill="auto"/>
        <w:spacing w:after="295" w:line="240" w:lineRule="auto"/>
        <w:ind w:left="-543" w:right="-452"/>
        <w:rPr>
          <w:rFonts w:ascii="Times New Roman" w:hAnsi="Times New Roman" w:cs="Times New Roman"/>
          <w:sz w:val="20"/>
          <w:szCs w:val="20"/>
        </w:rPr>
      </w:pPr>
      <w:r w:rsidRPr="008B6A75">
        <w:rPr>
          <w:rStyle w:val="24"/>
          <w:rFonts w:ascii="Times New Roman" w:hAnsi="Times New Roman" w:cs="Times New Roman"/>
          <w:color w:val="000000"/>
          <w:sz w:val="20"/>
          <w:szCs w:val="20"/>
        </w:rPr>
        <w:t>ПРЕДСТАВЛЕНИЕ</w:t>
      </w:r>
    </w:p>
    <w:p w14:paraId="34A5A299" w14:textId="77777777" w:rsidR="00387142" w:rsidRPr="008B6A75" w:rsidRDefault="00387142" w:rsidP="00387142">
      <w:pPr>
        <w:pStyle w:val="33"/>
        <w:shd w:val="clear" w:color="auto" w:fill="auto"/>
        <w:spacing w:before="0" w:after="0" w:line="240" w:lineRule="auto"/>
        <w:jc w:val="both"/>
        <w:rPr>
          <w:rFonts w:ascii="Times New Roman" w:hAnsi="Times New Roman" w:cs="Times New Roman"/>
          <w:i w:val="0"/>
          <w:iCs w:val="0"/>
          <w:sz w:val="20"/>
          <w:szCs w:val="20"/>
        </w:rPr>
      </w:pPr>
      <w:r w:rsidRPr="008B6A75">
        <w:rPr>
          <w:rStyle w:val="32"/>
          <w:rFonts w:ascii="Times New Roman" w:hAnsi="Times New Roman" w:cs="Times New Roman"/>
          <w:color w:val="000000"/>
          <w:sz w:val="20"/>
          <w:szCs w:val="20"/>
        </w:rPr>
        <w:t>__________________________ (наименование органа местного самоуправления, муниципального органа муниципального образования)</w:t>
      </w:r>
      <w:r w:rsidRPr="008B6A75">
        <w:rPr>
          <w:rStyle w:val="371"/>
          <w:rFonts w:ascii="Times New Roman" w:hAnsi="Times New Roman" w:cs="Times New Roman"/>
          <w:color w:val="000000"/>
          <w:sz w:val="20"/>
          <w:szCs w:val="20"/>
        </w:rPr>
        <w:t xml:space="preserve"> </w:t>
      </w:r>
      <w:r w:rsidRPr="008B6A75">
        <w:rPr>
          <w:rStyle w:val="311pt"/>
          <w:rFonts w:ascii="Times New Roman" w:hAnsi="Times New Roman" w:cs="Times New Roman"/>
          <w:color w:val="000000"/>
          <w:sz w:val="20"/>
          <w:szCs w:val="20"/>
        </w:rPr>
        <w:t xml:space="preserve">вносит представление о назначении с «_____» ____________ </w:t>
      </w:r>
      <w:r w:rsidRPr="008B6A75">
        <w:rPr>
          <w:rStyle w:val="24"/>
          <w:rFonts w:ascii="Times New Roman" w:hAnsi="Times New Roman" w:cs="Times New Roman"/>
          <w:i w:val="0"/>
          <w:color w:val="000000"/>
          <w:sz w:val="20"/>
          <w:szCs w:val="20"/>
        </w:rPr>
        <w:t>20</w:t>
      </w:r>
      <w:r w:rsidRPr="008B6A75">
        <w:rPr>
          <w:rStyle w:val="24"/>
          <w:rFonts w:ascii="Times New Roman" w:hAnsi="Times New Roman" w:cs="Times New Roman"/>
          <w:color w:val="000000"/>
          <w:sz w:val="20"/>
          <w:szCs w:val="20"/>
        </w:rPr>
        <w:t xml:space="preserve">_____ </w:t>
      </w:r>
      <w:r w:rsidRPr="008B6A75">
        <w:rPr>
          <w:rStyle w:val="24"/>
          <w:rFonts w:ascii="Times New Roman" w:hAnsi="Times New Roman" w:cs="Times New Roman"/>
          <w:i w:val="0"/>
          <w:iCs w:val="0"/>
          <w:color w:val="000000"/>
          <w:sz w:val="20"/>
          <w:szCs w:val="20"/>
        </w:rPr>
        <w:t>г</w:t>
      </w:r>
      <w:r w:rsidRPr="008B6A75">
        <w:rPr>
          <w:rStyle w:val="24"/>
          <w:rFonts w:ascii="Times New Roman" w:hAnsi="Times New Roman" w:cs="Times New Roman"/>
          <w:color w:val="000000"/>
          <w:sz w:val="20"/>
          <w:szCs w:val="20"/>
        </w:rPr>
        <w:t>.</w:t>
      </w:r>
      <w:r w:rsidRPr="008B6A75">
        <w:rPr>
          <w:rStyle w:val="24"/>
          <w:rFonts w:ascii="Times New Roman" w:hAnsi="Times New Roman" w:cs="Times New Roman"/>
          <w:i w:val="0"/>
          <w:iCs w:val="0"/>
          <w:color w:val="000000"/>
          <w:sz w:val="20"/>
          <w:szCs w:val="20"/>
        </w:rPr>
        <w:t xml:space="preserve"> _____________________________ ______</w:t>
      </w:r>
      <w:r w:rsidRPr="008B6A75">
        <w:rPr>
          <w:rStyle w:val="24"/>
          <w:rFonts w:ascii="Times New Roman" w:hAnsi="Times New Roman" w:cs="Times New Roman"/>
          <w:color w:val="000000"/>
          <w:sz w:val="20"/>
          <w:szCs w:val="20"/>
        </w:rPr>
        <w:t xml:space="preserve">_________ </w:t>
      </w:r>
      <w:r w:rsidRPr="008B6A75">
        <w:rPr>
          <w:rStyle w:val="29pt"/>
          <w:color w:val="000000"/>
          <w:sz w:val="20"/>
          <w:szCs w:val="20"/>
        </w:rPr>
        <w:t>(фамилия, имя, отчество),</w:t>
      </w:r>
      <w:r w:rsidRPr="008B6A75">
        <w:rPr>
          <w:rStyle w:val="271"/>
          <w:color w:val="000000"/>
          <w:sz w:val="20"/>
          <w:szCs w:val="20"/>
        </w:rPr>
        <w:t xml:space="preserve"> </w:t>
      </w:r>
      <w:r w:rsidRPr="008B6A75">
        <w:rPr>
          <w:rStyle w:val="24"/>
          <w:rFonts w:ascii="Times New Roman" w:hAnsi="Times New Roman" w:cs="Times New Roman"/>
          <w:i w:val="0"/>
          <w:iCs w:val="0"/>
          <w:color w:val="000000"/>
          <w:sz w:val="20"/>
          <w:szCs w:val="20"/>
        </w:rPr>
        <w:t>замещавшему должность муниципальной службы _________________________________________________</w:t>
      </w:r>
      <w:r w:rsidRPr="008B6A75">
        <w:rPr>
          <w:rStyle w:val="24"/>
          <w:rFonts w:ascii="Times New Roman" w:hAnsi="Times New Roman" w:cs="Times New Roman"/>
          <w:color w:val="000000"/>
          <w:sz w:val="20"/>
          <w:szCs w:val="20"/>
        </w:rPr>
        <w:t xml:space="preserve"> </w:t>
      </w:r>
      <w:r w:rsidRPr="008B6A75">
        <w:rPr>
          <w:rStyle w:val="29pt"/>
          <w:color w:val="000000"/>
          <w:sz w:val="20"/>
          <w:szCs w:val="20"/>
        </w:rPr>
        <w:t>(наименование должности</w:t>
      </w:r>
      <w:r w:rsidRPr="008B6A75">
        <w:rPr>
          <w:rStyle w:val="271"/>
          <w:i w:val="0"/>
          <w:iCs w:val="0"/>
          <w:color w:val="000000"/>
          <w:sz w:val="20"/>
          <w:szCs w:val="20"/>
        </w:rPr>
        <w:t>)</w:t>
      </w:r>
      <w:r w:rsidRPr="008B6A75">
        <w:rPr>
          <w:rStyle w:val="271"/>
          <w:color w:val="000000"/>
          <w:sz w:val="20"/>
          <w:szCs w:val="20"/>
        </w:rPr>
        <w:t xml:space="preserve">, </w:t>
      </w:r>
      <w:r w:rsidRPr="008B6A75">
        <w:rPr>
          <w:rStyle w:val="271"/>
          <w:i w:val="0"/>
          <w:iCs w:val="0"/>
          <w:color w:val="000000"/>
          <w:sz w:val="20"/>
          <w:szCs w:val="20"/>
        </w:rPr>
        <w:t xml:space="preserve">исходя из </w:t>
      </w:r>
      <w:r w:rsidRPr="008B6A75">
        <w:rPr>
          <w:rStyle w:val="24"/>
          <w:rFonts w:ascii="Times New Roman" w:hAnsi="Times New Roman" w:cs="Times New Roman"/>
          <w:i w:val="0"/>
          <w:iCs w:val="0"/>
          <w:color w:val="000000"/>
          <w:sz w:val="20"/>
          <w:szCs w:val="20"/>
        </w:rPr>
        <w:t xml:space="preserve">стажа муниципальной службы _______лет, пенсии за выслугу лет, составляющей суммарно с </w:t>
      </w:r>
      <w:r w:rsidRPr="008B6A75">
        <w:rPr>
          <w:rStyle w:val="311pt"/>
          <w:rFonts w:ascii="Times New Roman" w:hAnsi="Times New Roman" w:cs="Times New Roman"/>
          <w:color w:val="000000"/>
          <w:sz w:val="20"/>
          <w:szCs w:val="20"/>
        </w:rPr>
        <w:t>учетом назначенной______________</w:t>
      </w:r>
      <w:r w:rsidRPr="008B6A75">
        <w:rPr>
          <w:rStyle w:val="32"/>
          <w:rFonts w:ascii="Times New Roman" w:hAnsi="Times New Roman" w:cs="Times New Roman"/>
          <w:color w:val="000000"/>
          <w:sz w:val="20"/>
          <w:szCs w:val="20"/>
        </w:rPr>
        <w:t>(вид страховой пенсии и дата ее назначения)</w:t>
      </w:r>
      <w:r w:rsidRPr="008B6A75">
        <w:rPr>
          <w:rStyle w:val="371"/>
          <w:rFonts w:ascii="Times New Roman" w:hAnsi="Times New Roman" w:cs="Times New Roman"/>
          <w:color w:val="000000"/>
          <w:sz w:val="20"/>
          <w:szCs w:val="20"/>
        </w:rPr>
        <w:t xml:space="preserve"> </w:t>
      </w:r>
      <w:r w:rsidRPr="008B6A75">
        <w:rPr>
          <w:rStyle w:val="311pt"/>
          <w:rFonts w:ascii="Times New Roman" w:hAnsi="Times New Roman" w:cs="Times New Roman"/>
          <w:color w:val="000000"/>
          <w:sz w:val="20"/>
          <w:szCs w:val="20"/>
        </w:rPr>
        <w:t>процен</w:t>
      </w:r>
      <w:r w:rsidRPr="008B6A75">
        <w:rPr>
          <w:rStyle w:val="24"/>
          <w:rFonts w:ascii="Times New Roman" w:hAnsi="Times New Roman" w:cs="Times New Roman"/>
          <w:i w:val="0"/>
          <w:iCs w:val="0"/>
          <w:color w:val="000000"/>
          <w:sz w:val="20"/>
          <w:szCs w:val="20"/>
        </w:rPr>
        <w:t>тов</w:t>
      </w:r>
      <w:r w:rsidRPr="008B6A75">
        <w:rPr>
          <w:rStyle w:val="24"/>
          <w:rFonts w:ascii="Times New Roman" w:hAnsi="Times New Roman" w:cs="Times New Roman"/>
          <w:color w:val="000000"/>
          <w:sz w:val="20"/>
          <w:szCs w:val="20"/>
        </w:rPr>
        <w:t xml:space="preserve"> </w:t>
      </w:r>
      <w:r w:rsidRPr="008B6A75">
        <w:rPr>
          <w:rStyle w:val="24"/>
          <w:rFonts w:ascii="Times New Roman" w:hAnsi="Times New Roman" w:cs="Times New Roman"/>
          <w:i w:val="0"/>
          <w:iCs w:val="0"/>
          <w:color w:val="000000"/>
          <w:sz w:val="20"/>
          <w:szCs w:val="20"/>
        </w:rPr>
        <w:t>среднемесячного денежного содержания</w:t>
      </w:r>
      <w:r w:rsidRPr="008B6A75">
        <w:rPr>
          <w:rStyle w:val="24"/>
          <w:rFonts w:ascii="Times New Roman" w:hAnsi="Times New Roman" w:cs="Times New Roman"/>
          <w:color w:val="000000"/>
          <w:sz w:val="20"/>
          <w:szCs w:val="20"/>
        </w:rPr>
        <w:t>.</w:t>
      </w:r>
    </w:p>
    <w:p w14:paraId="515BA431" w14:textId="77777777" w:rsidR="00387142" w:rsidRPr="008B6A75" w:rsidRDefault="00387142" w:rsidP="00387142">
      <w:pPr>
        <w:pStyle w:val="25"/>
        <w:shd w:val="clear" w:color="auto" w:fill="auto"/>
        <w:tabs>
          <w:tab w:val="left" w:pos="4080"/>
        </w:tabs>
        <w:spacing w:after="0" w:line="240" w:lineRule="auto"/>
        <w:ind w:firstLine="680"/>
        <w:jc w:val="both"/>
        <w:rPr>
          <w:rFonts w:ascii="Times New Roman" w:hAnsi="Times New Roman" w:cs="Times New Roman"/>
          <w:sz w:val="20"/>
          <w:szCs w:val="20"/>
        </w:rPr>
      </w:pPr>
      <w:r w:rsidRPr="008B6A75">
        <w:rPr>
          <w:rStyle w:val="24"/>
          <w:rFonts w:ascii="Times New Roman" w:hAnsi="Times New Roman" w:cs="Times New Roman"/>
          <w:color w:val="000000"/>
          <w:sz w:val="20"/>
          <w:szCs w:val="20"/>
        </w:rPr>
        <w:t>Среднемесячное денежное содержание по указанной должности, включая районный коэффициент, составляет ________________ рублей, должностной оклад без учета</w:t>
      </w:r>
      <w:r w:rsidRPr="008B6A75">
        <w:rPr>
          <w:rFonts w:ascii="Times New Roman" w:hAnsi="Times New Roman" w:cs="Times New Roman"/>
          <w:sz w:val="20"/>
          <w:szCs w:val="20"/>
        </w:rPr>
        <w:t xml:space="preserve"> </w:t>
      </w:r>
      <w:r w:rsidRPr="008B6A75">
        <w:rPr>
          <w:rStyle w:val="24"/>
          <w:rFonts w:ascii="Times New Roman" w:hAnsi="Times New Roman" w:cs="Times New Roman"/>
          <w:color w:val="000000"/>
          <w:sz w:val="20"/>
          <w:szCs w:val="20"/>
        </w:rPr>
        <w:t>районного коэффициента ____________ рублей.</w:t>
      </w:r>
    </w:p>
    <w:p w14:paraId="43B6D91F" w14:textId="77777777" w:rsidR="00387142" w:rsidRPr="008B6A75" w:rsidRDefault="00387142" w:rsidP="00387142">
      <w:pPr>
        <w:pStyle w:val="25"/>
        <w:shd w:val="clear" w:color="auto" w:fill="auto"/>
        <w:spacing w:after="0" w:line="240" w:lineRule="auto"/>
        <w:jc w:val="left"/>
        <w:rPr>
          <w:rStyle w:val="24"/>
          <w:rFonts w:ascii="Times New Roman" w:hAnsi="Times New Roman" w:cs="Times New Roman"/>
          <w:color w:val="000000"/>
          <w:sz w:val="20"/>
          <w:szCs w:val="20"/>
        </w:rPr>
      </w:pPr>
    </w:p>
    <w:p w14:paraId="58B454A0" w14:textId="77777777" w:rsidR="00387142" w:rsidRPr="008B6A75" w:rsidRDefault="00387142" w:rsidP="00387142">
      <w:pPr>
        <w:pStyle w:val="25"/>
        <w:shd w:val="clear" w:color="auto" w:fill="auto"/>
        <w:spacing w:after="0" w:line="240" w:lineRule="auto"/>
        <w:jc w:val="left"/>
        <w:rPr>
          <w:rStyle w:val="24"/>
          <w:rFonts w:ascii="Times New Roman" w:hAnsi="Times New Roman" w:cs="Times New Roman"/>
          <w:color w:val="000000"/>
          <w:sz w:val="20"/>
          <w:szCs w:val="20"/>
        </w:rPr>
      </w:pPr>
    </w:p>
    <w:p w14:paraId="191F5A37" w14:textId="77777777" w:rsidR="00387142" w:rsidRPr="008B6A75" w:rsidRDefault="00387142" w:rsidP="00387142">
      <w:pPr>
        <w:pStyle w:val="25"/>
        <w:shd w:val="clear" w:color="auto" w:fill="auto"/>
        <w:spacing w:after="0" w:line="240" w:lineRule="auto"/>
        <w:jc w:val="left"/>
        <w:rPr>
          <w:rStyle w:val="24"/>
          <w:rFonts w:ascii="Times New Roman" w:hAnsi="Times New Roman" w:cs="Times New Roman"/>
          <w:color w:val="000000"/>
          <w:sz w:val="20"/>
          <w:szCs w:val="20"/>
        </w:rPr>
      </w:pPr>
    </w:p>
    <w:p w14:paraId="62D4AC85" w14:textId="77777777" w:rsidR="00387142" w:rsidRPr="008B6A75" w:rsidRDefault="00387142" w:rsidP="00387142">
      <w:pPr>
        <w:pStyle w:val="25"/>
        <w:shd w:val="clear" w:color="auto" w:fill="auto"/>
        <w:spacing w:after="0" w:line="240" w:lineRule="auto"/>
        <w:ind w:firstLine="0"/>
        <w:jc w:val="left"/>
        <w:rPr>
          <w:rStyle w:val="24"/>
          <w:rFonts w:ascii="Times New Roman" w:hAnsi="Times New Roman" w:cs="Times New Roman"/>
          <w:color w:val="000000"/>
          <w:sz w:val="20"/>
          <w:szCs w:val="20"/>
        </w:rPr>
      </w:pPr>
      <w:r w:rsidRPr="008B6A75">
        <w:rPr>
          <w:rStyle w:val="24"/>
          <w:rFonts w:ascii="Times New Roman" w:hAnsi="Times New Roman" w:cs="Times New Roman"/>
          <w:color w:val="000000"/>
          <w:sz w:val="20"/>
          <w:szCs w:val="20"/>
        </w:rPr>
        <w:lastRenderedPageBreak/>
        <w:t xml:space="preserve">Должность руководителя </w:t>
      </w:r>
    </w:p>
    <w:p w14:paraId="13EB6188" w14:textId="77777777" w:rsidR="00387142" w:rsidRPr="008B6A75" w:rsidRDefault="00387142" w:rsidP="00387142">
      <w:pPr>
        <w:pStyle w:val="25"/>
        <w:shd w:val="clear" w:color="auto" w:fill="auto"/>
        <w:spacing w:after="0" w:line="240" w:lineRule="auto"/>
        <w:ind w:firstLine="0"/>
        <w:jc w:val="left"/>
        <w:rPr>
          <w:rStyle w:val="24"/>
          <w:rFonts w:ascii="Times New Roman" w:hAnsi="Times New Roman" w:cs="Times New Roman"/>
          <w:color w:val="000000"/>
          <w:sz w:val="20"/>
          <w:szCs w:val="20"/>
        </w:rPr>
      </w:pPr>
      <w:r w:rsidRPr="008B6A75">
        <w:rPr>
          <w:rStyle w:val="24"/>
          <w:rFonts w:ascii="Times New Roman" w:hAnsi="Times New Roman" w:cs="Times New Roman"/>
          <w:color w:val="000000"/>
          <w:sz w:val="20"/>
          <w:szCs w:val="20"/>
        </w:rPr>
        <w:t>органа местного самоуправления</w:t>
      </w:r>
    </w:p>
    <w:p w14:paraId="48095182" w14:textId="77777777" w:rsidR="00387142" w:rsidRPr="008B6A75" w:rsidRDefault="00387142" w:rsidP="00387142">
      <w:pPr>
        <w:pStyle w:val="25"/>
        <w:shd w:val="clear" w:color="auto" w:fill="auto"/>
        <w:spacing w:after="0" w:line="240" w:lineRule="auto"/>
        <w:ind w:firstLine="0"/>
        <w:jc w:val="left"/>
        <w:rPr>
          <w:rStyle w:val="24"/>
          <w:rFonts w:ascii="Times New Roman" w:hAnsi="Times New Roman" w:cs="Times New Roman"/>
          <w:color w:val="000000"/>
          <w:sz w:val="20"/>
          <w:szCs w:val="20"/>
        </w:rPr>
      </w:pPr>
      <w:r w:rsidRPr="008B6A75">
        <w:rPr>
          <w:rStyle w:val="24"/>
          <w:rFonts w:ascii="Times New Roman" w:hAnsi="Times New Roman" w:cs="Times New Roman"/>
          <w:color w:val="000000"/>
          <w:sz w:val="20"/>
          <w:szCs w:val="20"/>
        </w:rPr>
        <w:t>Куйбышевского района                                     _______________________________</w:t>
      </w:r>
    </w:p>
    <w:p w14:paraId="2888BD6C" w14:textId="77777777" w:rsidR="00387142" w:rsidRPr="008B6A75" w:rsidRDefault="00387142" w:rsidP="00387142">
      <w:pPr>
        <w:pStyle w:val="25"/>
        <w:shd w:val="clear" w:color="auto" w:fill="auto"/>
        <w:spacing w:after="0" w:line="240" w:lineRule="auto"/>
        <w:ind w:left="-362" w:right="-452" w:firstLine="181"/>
        <w:jc w:val="left"/>
        <w:rPr>
          <w:rStyle w:val="24"/>
          <w:rFonts w:ascii="Times New Roman" w:hAnsi="Times New Roman" w:cs="Times New Roman"/>
          <w:color w:val="000000"/>
          <w:sz w:val="20"/>
          <w:szCs w:val="20"/>
        </w:rPr>
      </w:pPr>
      <w:r w:rsidRPr="008B6A75">
        <w:rPr>
          <w:rStyle w:val="24"/>
          <w:rFonts w:ascii="Times New Roman" w:hAnsi="Times New Roman" w:cs="Times New Roman"/>
          <w:color w:val="000000"/>
          <w:sz w:val="20"/>
          <w:szCs w:val="20"/>
        </w:rPr>
        <w:t xml:space="preserve">                                                                                       </w:t>
      </w:r>
      <w:r w:rsidRPr="008B6A75">
        <w:rPr>
          <w:rStyle w:val="24"/>
          <w:rFonts w:ascii="Times New Roman" w:hAnsi="Times New Roman" w:cs="Times New Roman"/>
          <w:i/>
          <w:iCs/>
          <w:color w:val="000000"/>
          <w:sz w:val="20"/>
          <w:szCs w:val="20"/>
        </w:rPr>
        <w:t>(подпись, инициалы, фамилия)</w:t>
      </w:r>
    </w:p>
    <w:p w14:paraId="20D79FDE" w14:textId="77777777" w:rsidR="00387142" w:rsidRPr="008B6A75" w:rsidRDefault="00387142" w:rsidP="00387142">
      <w:pPr>
        <w:pStyle w:val="25"/>
        <w:shd w:val="clear" w:color="auto" w:fill="auto"/>
        <w:spacing w:after="247" w:line="240" w:lineRule="auto"/>
        <w:ind w:left="-362" w:right="-924" w:firstLine="181"/>
        <w:jc w:val="left"/>
        <w:rPr>
          <w:rStyle w:val="24"/>
          <w:rFonts w:ascii="Times New Roman" w:hAnsi="Times New Roman" w:cs="Times New Roman"/>
          <w:color w:val="000000"/>
          <w:sz w:val="20"/>
          <w:szCs w:val="20"/>
        </w:rPr>
      </w:pPr>
    </w:p>
    <w:p w14:paraId="0B1CD401" w14:textId="77777777" w:rsidR="00387142" w:rsidRPr="008B6A75" w:rsidRDefault="00387142" w:rsidP="00387142">
      <w:pPr>
        <w:pStyle w:val="25"/>
        <w:shd w:val="clear" w:color="auto" w:fill="auto"/>
        <w:spacing w:after="247" w:line="240" w:lineRule="auto"/>
        <w:ind w:right="-924" w:firstLine="181"/>
        <w:jc w:val="left"/>
        <w:rPr>
          <w:rStyle w:val="24"/>
          <w:rFonts w:ascii="Times New Roman" w:hAnsi="Times New Roman" w:cs="Times New Roman"/>
          <w:color w:val="000000"/>
          <w:sz w:val="20"/>
          <w:szCs w:val="20"/>
        </w:rPr>
      </w:pPr>
      <w:r w:rsidRPr="008B6A75">
        <w:rPr>
          <w:rStyle w:val="24"/>
          <w:rFonts w:ascii="Times New Roman" w:hAnsi="Times New Roman" w:cs="Times New Roman"/>
          <w:color w:val="000000"/>
          <w:sz w:val="20"/>
          <w:szCs w:val="20"/>
        </w:rPr>
        <w:t>М.П.</w:t>
      </w:r>
    </w:p>
    <w:p w14:paraId="6BFDE15C" w14:textId="77777777" w:rsidR="00387142" w:rsidRPr="008B6A75" w:rsidRDefault="00387142" w:rsidP="00387142">
      <w:pPr>
        <w:rPr>
          <w:rStyle w:val="24"/>
          <w:color w:val="000000"/>
          <w:sz w:val="20"/>
          <w:szCs w:val="20"/>
        </w:rPr>
      </w:pPr>
      <w:r w:rsidRPr="008B6A75">
        <w:rPr>
          <w:rStyle w:val="24"/>
          <w:color w:val="000000"/>
          <w:sz w:val="20"/>
          <w:szCs w:val="20"/>
        </w:rPr>
        <w:t xml:space="preserve">                                                                                                                                    ПРИЛОЖЕНИЕ 3</w:t>
      </w:r>
    </w:p>
    <w:p w14:paraId="05BB6CB4" w14:textId="77777777" w:rsidR="00387142" w:rsidRPr="008B6A75" w:rsidRDefault="00387142" w:rsidP="00387142">
      <w:pPr>
        <w:pStyle w:val="25"/>
        <w:shd w:val="clear" w:color="auto" w:fill="auto"/>
        <w:spacing w:after="0" w:line="240" w:lineRule="auto"/>
        <w:ind w:left="4962" w:firstLine="0"/>
        <w:rPr>
          <w:rFonts w:ascii="Times New Roman" w:hAnsi="Times New Roman" w:cs="Times New Roman"/>
          <w:sz w:val="20"/>
          <w:szCs w:val="20"/>
        </w:rPr>
      </w:pPr>
      <w:r w:rsidRPr="008B6A75">
        <w:rPr>
          <w:rStyle w:val="24"/>
          <w:rFonts w:ascii="Times New Roman" w:hAnsi="Times New Roman" w:cs="Times New Roman"/>
          <w:color w:val="000000"/>
          <w:sz w:val="20"/>
          <w:szCs w:val="20"/>
        </w:rPr>
        <w:t xml:space="preserve">к Положению </w:t>
      </w:r>
      <w:r w:rsidRPr="008B6A75">
        <w:rPr>
          <w:rFonts w:ascii="Times New Roman" w:hAnsi="Times New Roman" w:cs="Times New Roman"/>
          <w:bCs/>
          <w:color w:val="000000"/>
          <w:sz w:val="20"/>
          <w:szCs w:val="20"/>
          <w:shd w:val="clear" w:color="auto" w:fill="FFFFFF"/>
        </w:rPr>
        <w:t>об условиях и порядке назначения, выплаты, перерасчета и индексации пенсии за выслугу лет муниципальным служащим в органах местного самоуправления Куйбышевского муниципального района Новосибирской области</w:t>
      </w:r>
    </w:p>
    <w:p w14:paraId="0245E69F" w14:textId="77777777" w:rsidR="00387142" w:rsidRPr="008B6A75" w:rsidRDefault="00387142" w:rsidP="00387142">
      <w:pPr>
        <w:pStyle w:val="25"/>
        <w:shd w:val="clear" w:color="auto" w:fill="auto"/>
        <w:spacing w:after="0" w:line="360" w:lineRule="auto"/>
        <w:ind w:firstLine="0"/>
        <w:rPr>
          <w:rStyle w:val="24"/>
          <w:rFonts w:ascii="Times New Roman" w:hAnsi="Times New Roman" w:cs="Times New Roman"/>
          <w:color w:val="000000"/>
          <w:sz w:val="20"/>
          <w:szCs w:val="20"/>
        </w:rPr>
      </w:pPr>
    </w:p>
    <w:p w14:paraId="4EAD2233" w14:textId="77777777" w:rsidR="00387142" w:rsidRPr="008B6A75" w:rsidRDefault="00387142" w:rsidP="00387142">
      <w:pPr>
        <w:pStyle w:val="25"/>
        <w:shd w:val="clear" w:color="auto" w:fill="auto"/>
        <w:spacing w:after="0" w:line="240" w:lineRule="auto"/>
        <w:ind w:firstLine="0"/>
        <w:rPr>
          <w:rFonts w:ascii="Times New Roman" w:hAnsi="Times New Roman" w:cs="Times New Roman"/>
          <w:sz w:val="20"/>
          <w:szCs w:val="20"/>
        </w:rPr>
      </w:pPr>
      <w:r w:rsidRPr="008B6A75">
        <w:rPr>
          <w:rStyle w:val="24"/>
          <w:rFonts w:ascii="Times New Roman" w:hAnsi="Times New Roman" w:cs="Times New Roman"/>
          <w:color w:val="000000"/>
          <w:sz w:val="20"/>
          <w:szCs w:val="20"/>
        </w:rPr>
        <w:t>СПРАВКА</w:t>
      </w:r>
    </w:p>
    <w:p w14:paraId="6305E076" w14:textId="77777777" w:rsidR="00387142" w:rsidRPr="008B6A75" w:rsidRDefault="00387142" w:rsidP="00387142">
      <w:pPr>
        <w:pStyle w:val="25"/>
        <w:shd w:val="clear" w:color="auto" w:fill="auto"/>
        <w:spacing w:after="0" w:line="240" w:lineRule="auto"/>
        <w:ind w:firstLine="0"/>
        <w:rPr>
          <w:rStyle w:val="24"/>
          <w:rFonts w:ascii="Times New Roman" w:hAnsi="Times New Roman" w:cs="Times New Roman"/>
          <w:color w:val="000000"/>
          <w:sz w:val="20"/>
          <w:szCs w:val="20"/>
        </w:rPr>
      </w:pPr>
      <w:r w:rsidRPr="008B6A75">
        <w:rPr>
          <w:rStyle w:val="24"/>
          <w:rFonts w:ascii="Times New Roman" w:hAnsi="Times New Roman" w:cs="Times New Roman"/>
          <w:color w:val="000000"/>
          <w:sz w:val="20"/>
          <w:szCs w:val="20"/>
        </w:rPr>
        <w:t>о периодах службы (работы), включаемых в стаж муниципальной службы</w:t>
      </w:r>
    </w:p>
    <w:p w14:paraId="7380E8DA" w14:textId="77777777" w:rsidR="00387142" w:rsidRPr="008B6A75" w:rsidRDefault="00387142" w:rsidP="00387142">
      <w:pPr>
        <w:pStyle w:val="25"/>
        <w:shd w:val="clear" w:color="auto" w:fill="auto"/>
        <w:spacing w:after="0" w:line="240" w:lineRule="auto"/>
        <w:ind w:firstLine="0"/>
        <w:rPr>
          <w:rStyle w:val="24"/>
          <w:rFonts w:ascii="Times New Roman" w:hAnsi="Times New Roman" w:cs="Times New Roman"/>
          <w:color w:val="000000"/>
          <w:sz w:val="20"/>
          <w:szCs w:val="20"/>
        </w:rPr>
      </w:pPr>
      <w:r w:rsidRPr="008B6A75">
        <w:rPr>
          <w:rStyle w:val="24"/>
          <w:rFonts w:ascii="Times New Roman" w:hAnsi="Times New Roman" w:cs="Times New Roman"/>
          <w:color w:val="000000"/>
          <w:sz w:val="20"/>
          <w:szCs w:val="20"/>
        </w:rPr>
        <w:t>для назначения пенсии за выслугу лет</w:t>
      </w:r>
    </w:p>
    <w:p w14:paraId="3371F92B" w14:textId="77777777" w:rsidR="00387142" w:rsidRPr="008B6A75" w:rsidRDefault="00387142" w:rsidP="00387142">
      <w:pPr>
        <w:pStyle w:val="25"/>
        <w:shd w:val="clear" w:color="auto" w:fill="auto"/>
        <w:spacing w:after="0" w:line="240" w:lineRule="auto"/>
        <w:ind w:firstLine="0"/>
        <w:rPr>
          <w:rFonts w:ascii="Times New Roman" w:hAnsi="Times New Roman" w:cs="Times New Roman"/>
          <w:sz w:val="20"/>
          <w:szCs w:val="20"/>
        </w:rPr>
      </w:pPr>
      <w:r w:rsidRPr="008B6A75">
        <w:rPr>
          <w:rStyle w:val="24"/>
          <w:rFonts w:ascii="Times New Roman" w:hAnsi="Times New Roman" w:cs="Times New Roman"/>
          <w:color w:val="000000"/>
          <w:sz w:val="20"/>
          <w:szCs w:val="20"/>
        </w:rPr>
        <w:t>______________________________________________________________________,</w:t>
      </w:r>
    </w:p>
    <w:p w14:paraId="3670B7C5" w14:textId="77777777" w:rsidR="00387142" w:rsidRPr="008B6A75" w:rsidRDefault="00387142" w:rsidP="00387142">
      <w:pPr>
        <w:pStyle w:val="33"/>
        <w:shd w:val="clear" w:color="auto" w:fill="auto"/>
        <w:spacing w:before="0" w:after="0" w:line="240" w:lineRule="auto"/>
        <w:rPr>
          <w:rFonts w:ascii="Times New Roman" w:hAnsi="Times New Roman" w:cs="Times New Roman"/>
          <w:i w:val="0"/>
          <w:sz w:val="20"/>
          <w:szCs w:val="20"/>
        </w:rPr>
      </w:pPr>
      <w:r w:rsidRPr="008B6A75">
        <w:rPr>
          <w:rStyle w:val="32"/>
          <w:rFonts w:ascii="Times New Roman" w:hAnsi="Times New Roman" w:cs="Times New Roman"/>
          <w:color w:val="000000"/>
          <w:sz w:val="20"/>
          <w:szCs w:val="20"/>
        </w:rPr>
        <w:t>(фамилия, имя, отчество)</w:t>
      </w:r>
    </w:p>
    <w:p w14:paraId="1D46CF8B" w14:textId="77777777" w:rsidR="00387142" w:rsidRPr="008B6A75" w:rsidRDefault="00387142" w:rsidP="00387142">
      <w:pPr>
        <w:pStyle w:val="25"/>
        <w:shd w:val="clear" w:color="auto" w:fill="auto"/>
        <w:spacing w:after="0" w:line="240" w:lineRule="auto"/>
        <w:ind w:firstLine="0"/>
        <w:rPr>
          <w:rStyle w:val="24"/>
          <w:rFonts w:ascii="Times New Roman" w:hAnsi="Times New Roman" w:cs="Times New Roman"/>
          <w:color w:val="000000"/>
          <w:sz w:val="20"/>
          <w:szCs w:val="20"/>
        </w:rPr>
      </w:pPr>
      <w:r w:rsidRPr="008B6A75">
        <w:rPr>
          <w:rStyle w:val="24"/>
          <w:rFonts w:ascii="Times New Roman" w:hAnsi="Times New Roman" w:cs="Times New Roman"/>
          <w:color w:val="000000"/>
          <w:sz w:val="20"/>
          <w:szCs w:val="20"/>
        </w:rPr>
        <w:t>замещавшего должность муниципальной службы</w:t>
      </w:r>
    </w:p>
    <w:p w14:paraId="4094CC35" w14:textId="77777777" w:rsidR="00387142" w:rsidRPr="008B6A75" w:rsidRDefault="00387142" w:rsidP="00387142">
      <w:pPr>
        <w:pStyle w:val="25"/>
        <w:shd w:val="clear" w:color="auto" w:fill="auto"/>
        <w:spacing w:after="0" w:line="240" w:lineRule="auto"/>
        <w:ind w:firstLine="0"/>
        <w:rPr>
          <w:rStyle w:val="32"/>
          <w:rFonts w:ascii="Times New Roman" w:hAnsi="Times New Roman" w:cs="Times New Roman"/>
          <w:color w:val="000000"/>
          <w:sz w:val="20"/>
          <w:szCs w:val="20"/>
        </w:rPr>
      </w:pPr>
      <w:r w:rsidRPr="008B6A75">
        <w:rPr>
          <w:rStyle w:val="24"/>
          <w:rFonts w:ascii="Times New Roman" w:hAnsi="Times New Roman" w:cs="Times New Roman"/>
          <w:color w:val="000000"/>
          <w:sz w:val="20"/>
          <w:szCs w:val="20"/>
        </w:rPr>
        <w:t>______________________________________________________________________,</w:t>
      </w:r>
      <w:r w:rsidRPr="008B6A75">
        <w:rPr>
          <w:rStyle w:val="32"/>
          <w:rFonts w:ascii="Times New Roman" w:hAnsi="Times New Roman" w:cs="Times New Roman"/>
          <w:color w:val="000000"/>
          <w:sz w:val="20"/>
          <w:szCs w:val="20"/>
        </w:rPr>
        <w:t xml:space="preserve"> (наименование должности)</w:t>
      </w:r>
    </w:p>
    <w:p w14:paraId="276AD663" w14:textId="77777777" w:rsidR="00387142" w:rsidRPr="008B6A75" w:rsidRDefault="00387142" w:rsidP="00387142">
      <w:pPr>
        <w:pStyle w:val="62"/>
        <w:shd w:val="clear" w:color="auto" w:fill="auto"/>
        <w:spacing w:before="0" w:after="0" w:line="240" w:lineRule="auto"/>
        <w:jc w:val="both"/>
        <w:rPr>
          <w:rFonts w:ascii="Times New Roman" w:hAnsi="Times New Roman" w:cs="Times New Roman"/>
          <w:color w:val="000000"/>
          <w:sz w:val="20"/>
          <w:szCs w:val="20"/>
          <w:shd w:val="clear" w:color="auto" w:fill="FFFFFF"/>
        </w:rPr>
      </w:pPr>
      <w:r w:rsidRPr="008B6A75">
        <w:rPr>
          <w:rStyle w:val="61"/>
          <w:rFonts w:ascii="Times New Roman" w:hAnsi="Times New Roman" w:cs="Times New Roman"/>
          <w:color w:val="000000"/>
          <w:sz w:val="20"/>
          <w:szCs w:val="20"/>
        </w:rPr>
        <w:t>в _____________________________________________________________________</w:t>
      </w:r>
    </w:p>
    <w:p w14:paraId="48AF523B" w14:textId="77777777" w:rsidR="00387142" w:rsidRPr="008B6A75" w:rsidRDefault="00387142" w:rsidP="00387142">
      <w:pPr>
        <w:pStyle w:val="33"/>
        <w:shd w:val="clear" w:color="auto" w:fill="auto"/>
        <w:spacing w:before="0" w:after="0" w:line="240" w:lineRule="auto"/>
        <w:rPr>
          <w:rStyle w:val="136"/>
          <w:rFonts w:ascii="Times New Roman" w:hAnsi="Times New Roman" w:cs="Times New Roman"/>
          <w:color w:val="000000"/>
          <w:sz w:val="20"/>
          <w:szCs w:val="20"/>
        </w:rPr>
      </w:pPr>
      <w:r w:rsidRPr="008B6A75">
        <w:rPr>
          <w:rStyle w:val="32"/>
          <w:rFonts w:ascii="Times New Roman" w:hAnsi="Times New Roman" w:cs="Times New Roman"/>
          <w:color w:val="000000"/>
          <w:sz w:val="20"/>
          <w:szCs w:val="20"/>
        </w:rPr>
        <w:t>(наименование органа местного самоуправления, муниципального органа муниципального образования)</w:t>
      </w:r>
    </w:p>
    <w:tbl>
      <w:tblPr>
        <w:tblStyle w:val="affa"/>
        <w:tblW w:w="9918" w:type="dxa"/>
        <w:tblLayout w:type="fixed"/>
        <w:tblLook w:val="01E0" w:firstRow="1" w:lastRow="1" w:firstColumn="1" w:lastColumn="1" w:noHBand="0" w:noVBand="0"/>
      </w:tblPr>
      <w:tblGrid>
        <w:gridCol w:w="562"/>
        <w:gridCol w:w="851"/>
        <w:gridCol w:w="425"/>
        <w:gridCol w:w="567"/>
        <w:gridCol w:w="567"/>
        <w:gridCol w:w="851"/>
        <w:gridCol w:w="567"/>
        <w:gridCol w:w="708"/>
        <w:gridCol w:w="567"/>
        <w:gridCol w:w="567"/>
        <w:gridCol w:w="709"/>
        <w:gridCol w:w="567"/>
        <w:gridCol w:w="567"/>
        <w:gridCol w:w="851"/>
        <w:gridCol w:w="992"/>
      </w:tblGrid>
      <w:tr w:rsidR="00387142" w:rsidRPr="008B6A75" w14:paraId="3FF5F3CB" w14:textId="77777777" w:rsidTr="00387142">
        <w:trPr>
          <w:trHeight w:val="945"/>
        </w:trPr>
        <w:tc>
          <w:tcPr>
            <w:tcW w:w="562" w:type="dxa"/>
            <w:vMerge w:val="restart"/>
          </w:tcPr>
          <w:p w14:paraId="08F2791A" w14:textId="77777777" w:rsidR="00387142" w:rsidRPr="008B6A75" w:rsidRDefault="00387142" w:rsidP="00387142">
            <w:pPr>
              <w:pStyle w:val="131"/>
              <w:shd w:val="clear" w:color="auto" w:fill="auto"/>
              <w:spacing w:before="0" w:after="0" w:line="240" w:lineRule="auto"/>
              <w:rPr>
                <w:rStyle w:val="136"/>
                <w:rFonts w:ascii="Times New Roman" w:hAnsi="Times New Roman" w:cs="Times New Roman"/>
                <w:i w:val="0"/>
                <w:iCs w:val="0"/>
                <w:color w:val="000000"/>
                <w:sz w:val="20"/>
                <w:szCs w:val="20"/>
              </w:rPr>
            </w:pPr>
            <w:r w:rsidRPr="008B6A75">
              <w:rPr>
                <w:rStyle w:val="136"/>
                <w:rFonts w:ascii="Times New Roman" w:hAnsi="Times New Roman" w:cs="Times New Roman"/>
                <w:color w:val="000000"/>
                <w:sz w:val="20"/>
                <w:szCs w:val="20"/>
              </w:rPr>
              <w:t xml:space="preserve">№ </w:t>
            </w:r>
          </w:p>
          <w:p w14:paraId="591CA1DA" w14:textId="77777777" w:rsidR="00387142" w:rsidRPr="008B6A75" w:rsidRDefault="00387142" w:rsidP="00387142">
            <w:pPr>
              <w:pStyle w:val="131"/>
              <w:shd w:val="clear" w:color="auto" w:fill="auto"/>
              <w:spacing w:before="0" w:after="0" w:line="240" w:lineRule="auto"/>
              <w:rPr>
                <w:rStyle w:val="136"/>
                <w:rFonts w:ascii="Times New Roman" w:hAnsi="Times New Roman" w:cs="Times New Roman"/>
                <w:i w:val="0"/>
                <w:iCs w:val="0"/>
                <w:color w:val="000000"/>
                <w:sz w:val="20"/>
                <w:szCs w:val="20"/>
              </w:rPr>
            </w:pPr>
            <w:r w:rsidRPr="008B6A75">
              <w:rPr>
                <w:rStyle w:val="136"/>
                <w:rFonts w:ascii="Times New Roman" w:hAnsi="Times New Roman" w:cs="Times New Roman"/>
                <w:color w:val="000000"/>
                <w:sz w:val="20"/>
                <w:szCs w:val="20"/>
              </w:rPr>
              <w:t>п/п</w:t>
            </w:r>
          </w:p>
        </w:tc>
        <w:tc>
          <w:tcPr>
            <w:tcW w:w="851" w:type="dxa"/>
            <w:vMerge w:val="restart"/>
          </w:tcPr>
          <w:p w14:paraId="3A7A0602" w14:textId="77777777" w:rsidR="00387142" w:rsidRPr="008B6A75" w:rsidRDefault="00387142" w:rsidP="00387142">
            <w:pPr>
              <w:pStyle w:val="131"/>
              <w:shd w:val="clear" w:color="auto" w:fill="auto"/>
              <w:spacing w:before="0" w:after="0" w:line="240" w:lineRule="auto"/>
              <w:rPr>
                <w:rStyle w:val="136"/>
                <w:rFonts w:ascii="Times New Roman" w:hAnsi="Times New Roman" w:cs="Times New Roman"/>
                <w:i w:val="0"/>
                <w:iCs w:val="0"/>
                <w:color w:val="000000"/>
                <w:sz w:val="20"/>
                <w:szCs w:val="20"/>
              </w:rPr>
            </w:pPr>
            <w:r w:rsidRPr="008B6A75">
              <w:rPr>
                <w:rStyle w:val="136"/>
                <w:rFonts w:ascii="Times New Roman" w:hAnsi="Times New Roman" w:cs="Times New Roman"/>
                <w:color w:val="000000"/>
                <w:sz w:val="20"/>
                <w:szCs w:val="20"/>
              </w:rPr>
              <w:t xml:space="preserve">№ </w:t>
            </w:r>
          </w:p>
          <w:p w14:paraId="76453E16" w14:textId="77777777" w:rsidR="00387142" w:rsidRPr="008B6A75" w:rsidRDefault="00387142" w:rsidP="00387142">
            <w:pPr>
              <w:pStyle w:val="131"/>
              <w:shd w:val="clear" w:color="auto" w:fill="auto"/>
              <w:spacing w:before="0" w:after="0" w:line="240" w:lineRule="auto"/>
              <w:rPr>
                <w:rStyle w:val="136"/>
                <w:rFonts w:ascii="Times New Roman" w:hAnsi="Times New Roman" w:cs="Times New Roman"/>
                <w:i w:val="0"/>
                <w:iCs w:val="0"/>
                <w:color w:val="000000"/>
                <w:sz w:val="20"/>
                <w:szCs w:val="20"/>
              </w:rPr>
            </w:pPr>
            <w:r w:rsidRPr="008B6A75">
              <w:rPr>
                <w:rStyle w:val="136"/>
                <w:rFonts w:ascii="Times New Roman" w:hAnsi="Times New Roman" w:cs="Times New Roman"/>
                <w:color w:val="000000"/>
                <w:sz w:val="20"/>
                <w:szCs w:val="20"/>
              </w:rPr>
              <w:t>Записи в трудовой книжке</w:t>
            </w:r>
          </w:p>
        </w:tc>
        <w:tc>
          <w:tcPr>
            <w:tcW w:w="1559" w:type="dxa"/>
            <w:gridSpan w:val="3"/>
            <w:vMerge w:val="restart"/>
          </w:tcPr>
          <w:p w14:paraId="596BB725" w14:textId="77777777" w:rsidR="00387142" w:rsidRPr="008B6A75" w:rsidRDefault="00387142" w:rsidP="00387142">
            <w:pPr>
              <w:pStyle w:val="131"/>
              <w:shd w:val="clear" w:color="auto" w:fill="auto"/>
              <w:spacing w:before="0" w:after="0" w:line="240" w:lineRule="auto"/>
              <w:jc w:val="center"/>
              <w:rPr>
                <w:rStyle w:val="136"/>
                <w:rFonts w:ascii="Times New Roman" w:hAnsi="Times New Roman" w:cs="Times New Roman"/>
                <w:i w:val="0"/>
                <w:iCs w:val="0"/>
                <w:color w:val="000000"/>
                <w:sz w:val="20"/>
                <w:szCs w:val="20"/>
              </w:rPr>
            </w:pPr>
            <w:r w:rsidRPr="008B6A75">
              <w:rPr>
                <w:rStyle w:val="136"/>
                <w:rFonts w:ascii="Times New Roman" w:hAnsi="Times New Roman" w:cs="Times New Roman"/>
                <w:color w:val="000000"/>
                <w:sz w:val="20"/>
                <w:szCs w:val="20"/>
              </w:rPr>
              <w:t>Дата</w:t>
            </w:r>
          </w:p>
        </w:tc>
        <w:tc>
          <w:tcPr>
            <w:tcW w:w="851" w:type="dxa"/>
            <w:vMerge w:val="restart"/>
          </w:tcPr>
          <w:p w14:paraId="145DE8AD" w14:textId="77777777" w:rsidR="00387142" w:rsidRPr="008B6A75" w:rsidRDefault="00387142" w:rsidP="00387142">
            <w:pPr>
              <w:pStyle w:val="131"/>
              <w:shd w:val="clear" w:color="auto" w:fill="auto"/>
              <w:spacing w:before="0" w:after="0" w:line="240" w:lineRule="auto"/>
              <w:rPr>
                <w:rStyle w:val="136"/>
                <w:rFonts w:ascii="Times New Roman" w:hAnsi="Times New Roman" w:cs="Times New Roman"/>
                <w:i w:val="0"/>
                <w:iCs w:val="0"/>
                <w:color w:val="000000"/>
                <w:sz w:val="20"/>
                <w:szCs w:val="20"/>
              </w:rPr>
            </w:pPr>
            <w:r w:rsidRPr="008B6A75">
              <w:rPr>
                <w:rStyle w:val="136"/>
                <w:rFonts w:ascii="Times New Roman" w:hAnsi="Times New Roman" w:cs="Times New Roman"/>
                <w:color w:val="000000"/>
                <w:sz w:val="20"/>
                <w:szCs w:val="20"/>
              </w:rPr>
              <w:t xml:space="preserve">Наименование организации </w:t>
            </w:r>
          </w:p>
        </w:tc>
        <w:tc>
          <w:tcPr>
            <w:tcW w:w="3685" w:type="dxa"/>
            <w:gridSpan w:val="6"/>
          </w:tcPr>
          <w:p w14:paraId="71B3ED57" w14:textId="77777777" w:rsidR="00387142" w:rsidRPr="008B6A75" w:rsidRDefault="00387142" w:rsidP="00387142">
            <w:pPr>
              <w:pStyle w:val="131"/>
              <w:shd w:val="clear" w:color="auto" w:fill="auto"/>
              <w:spacing w:before="0" w:after="0" w:line="240" w:lineRule="auto"/>
              <w:jc w:val="center"/>
              <w:rPr>
                <w:rStyle w:val="136"/>
                <w:rFonts w:ascii="Times New Roman" w:hAnsi="Times New Roman" w:cs="Times New Roman"/>
                <w:i w:val="0"/>
                <w:iCs w:val="0"/>
                <w:color w:val="000000"/>
                <w:sz w:val="20"/>
                <w:szCs w:val="20"/>
              </w:rPr>
            </w:pPr>
            <w:r w:rsidRPr="008B6A75">
              <w:rPr>
                <w:rStyle w:val="136"/>
                <w:rFonts w:ascii="Times New Roman" w:hAnsi="Times New Roman" w:cs="Times New Roman"/>
                <w:color w:val="000000"/>
                <w:sz w:val="20"/>
                <w:szCs w:val="20"/>
              </w:rPr>
              <w:t>Продолжительность службы (работы)</w:t>
            </w:r>
          </w:p>
        </w:tc>
        <w:tc>
          <w:tcPr>
            <w:tcW w:w="2410" w:type="dxa"/>
            <w:gridSpan w:val="3"/>
            <w:vMerge w:val="restart"/>
          </w:tcPr>
          <w:p w14:paraId="1EA52129" w14:textId="77777777" w:rsidR="00387142" w:rsidRPr="008B6A75" w:rsidRDefault="00387142" w:rsidP="00387142">
            <w:pPr>
              <w:pStyle w:val="131"/>
              <w:shd w:val="clear" w:color="auto" w:fill="auto"/>
              <w:spacing w:before="0" w:after="0" w:line="240" w:lineRule="auto"/>
              <w:rPr>
                <w:rStyle w:val="136"/>
                <w:rFonts w:ascii="Times New Roman" w:hAnsi="Times New Roman" w:cs="Times New Roman"/>
                <w:i w:val="0"/>
                <w:iCs w:val="0"/>
                <w:color w:val="000000"/>
                <w:sz w:val="20"/>
                <w:szCs w:val="20"/>
              </w:rPr>
            </w:pPr>
            <w:r w:rsidRPr="008B6A75">
              <w:rPr>
                <w:rStyle w:val="136"/>
                <w:rFonts w:ascii="Times New Roman" w:hAnsi="Times New Roman" w:cs="Times New Roman"/>
                <w:color w:val="000000"/>
                <w:sz w:val="20"/>
                <w:szCs w:val="20"/>
              </w:rPr>
              <w:t>Стаж муниципальной службы, принимаемый для расчета размера пенсии за выслугу лет</w:t>
            </w:r>
          </w:p>
        </w:tc>
      </w:tr>
      <w:tr w:rsidR="00387142" w:rsidRPr="008B6A75" w14:paraId="734B3DD3" w14:textId="77777777" w:rsidTr="00387142">
        <w:tc>
          <w:tcPr>
            <w:tcW w:w="562" w:type="dxa"/>
            <w:vMerge/>
          </w:tcPr>
          <w:p w14:paraId="59967AAD" w14:textId="77777777" w:rsidR="00387142" w:rsidRPr="008B6A75" w:rsidRDefault="00387142" w:rsidP="00387142">
            <w:pPr>
              <w:pStyle w:val="131"/>
              <w:shd w:val="clear" w:color="auto" w:fill="auto"/>
              <w:spacing w:before="0" w:after="0" w:line="240" w:lineRule="auto"/>
              <w:rPr>
                <w:rStyle w:val="136"/>
                <w:rFonts w:ascii="Times New Roman" w:hAnsi="Times New Roman" w:cs="Times New Roman"/>
                <w:i w:val="0"/>
                <w:iCs w:val="0"/>
                <w:color w:val="000000"/>
                <w:sz w:val="20"/>
                <w:szCs w:val="20"/>
              </w:rPr>
            </w:pPr>
          </w:p>
        </w:tc>
        <w:tc>
          <w:tcPr>
            <w:tcW w:w="851" w:type="dxa"/>
            <w:vMerge/>
          </w:tcPr>
          <w:p w14:paraId="7CED2712" w14:textId="77777777" w:rsidR="00387142" w:rsidRPr="008B6A75" w:rsidRDefault="00387142" w:rsidP="00387142">
            <w:pPr>
              <w:pStyle w:val="131"/>
              <w:shd w:val="clear" w:color="auto" w:fill="auto"/>
              <w:spacing w:before="0" w:after="0" w:line="240" w:lineRule="auto"/>
              <w:rPr>
                <w:rStyle w:val="136"/>
                <w:rFonts w:ascii="Times New Roman" w:hAnsi="Times New Roman" w:cs="Times New Roman"/>
                <w:i w:val="0"/>
                <w:iCs w:val="0"/>
                <w:color w:val="000000"/>
                <w:sz w:val="20"/>
                <w:szCs w:val="20"/>
              </w:rPr>
            </w:pPr>
          </w:p>
        </w:tc>
        <w:tc>
          <w:tcPr>
            <w:tcW w:w="1559" w:type="dxa"/>
            <w:gridSpan w:val="3"/>
            <w:vMerge/>
          </w:tcPr>
          <w:p w14:paraId="3100D0C8" w14:textId="77777777" w:rsidR="00387142" w:rsidRPr="008B6A75" w:rsidRDefault="00387142" w:rsidP="00387142">
            <w:pPr>
              <w:pStyle w:val="131"/>
              <w:shd w:val="clear" w:color="auto" w:fill="auto"/>
              <w:spacing w:before="0" w:after="0" w:line="240" w:lineRule="auto"/>
              <w:rPr>
                <w:rStyle w:val="136"/>
                <w:rFonts w:ascii="Times New Roman" w:hAnsi="Times New Roman" w:cs="Times New Roman"/>
                <w:i w:val="0"/>
                <w:iCs w:val="0"/>
                <w:color w:val="000000"/>
                <w:sz w:val="20"/>
                <w:szCs w:val="20"/>
              </w:rPr>
            </w:pPr>
          </w:p>
        </w:tc>
        <w:tc>
          <w:tcPr>
            <w:tcW w:w="851" w:type="dxa"/>
            <w:vMerge/>
          </w:tcPr>
          <w:p w14:paraId="07564A39" w14:textId="77777777" w:rsidR="00387142" w:rsidRPr="008B6A75" w:rsidRDefault="00387142" w:rsidP="00387142">
            <w:pPr>
              <w:pStyle w:val="131"/>
              <w:shd w:val="clear" w:color="auto" w:fill="auto"/>
              <w:spacing w:before="0" w:after="0" w:line="240" w:lineRule="auto"/>
              <w:rPr>
                <w:rStyle w:val="136"/>
                <w:rFonts w:ascii="Times New Roman" w:hAnsi="Times New Roman" w:cs="Times New Roman"/>
                <w:i w:val="0"/>
                <w:iCs w:val="0"/>
                <w:color w:val="000000"/>
                <w:sz w:val="20"/>
                <w:szCs w:val="20"/>
              </w:rPr>
            </w:pPr>
          </w:p>
        </w:tc>
        <w:tc>
          <w:tcPr>
            <w:tcW w:w="1842" w:type="dxa"/>
            <w:gridSpan w:val="3"/>
          </w:tcPr>
          <w:p w14:paraId="146A1DB7" w14:textId="77777777" w:rsidR="00387142" w:rsidRPr="008B6A75" w:rsidRDefault="00387142" w:rsidP="00387142">
            <w:pPr>
              <w:pStyle w:val="131"/>
              <w:shd w:val="clear" w:color="auto" w:fill="auto"/>
              <w:spacing w:before="0" w:after="0" w:line="240" w:lineRule="auto"/>
              <w:rPr>
                <w:rStyle w:val="136"/>
                <w:rFonts w:ascii="Times New Roman" w:hAnsi="Times New Roman" w:cs="Times New Roman"/>
                <w:i w:val="0"/>
                <w:iCs w:val="0"/>
                <w:color w:val="000000"/>
                <w:sz w:val="20"/>
                <w:szCs w:val="20"/>
              </w:rPr>
            </w:pPr>
            <w:r w:rsidRPr="008B6A75">
              <w:rPr>
                <w:rStyle w:val="136"/>
                <w:rFonts w:ascii="Times New Roman" w:hAnsi="Times New Roman" w:cs="Times New Roman"/>
                <w:color w:val="000000"/>
                <w:sz w:val="20"/>
                <w:szCs w:val="20"/>
              </w:rPr>
              <w:t>в календарном исчислении</w:t>
            </w:r>
          </w:p>
        </w:tc>
        <w:tc>
          <w:tcPr>
            <w:tcW w:w="1843" w:type="dxa"/>
            <w:gridSpan w:val="3"/>
          </w:tcPr>
          <w:p w14:paraId="4602A104" w14:textId="77777777" w:rsidR="00387142" w:rsidRPr="008B6A75" w:rsidRDefault="00387142" w:rsidP="00387142">
            <w:pPr>
              <w:pStyle w:val="131"/>
              <w:shd w:val="clear" w:color="auto" w:fill="auto"/>
              <w:spacing w:before="0" w:after="0" w:line="240" w:lineRule="auto"/>
              <w:rPr>
                <w:rStyle w:val="136"/>
                <w:rFonts w:ascii="Times New Roman" w:hAnsi="Times New Roman" w:cs="Times New Roman"/>
                <w:i w:val="0"/>
                <w:iCs w:val="0"/>
                <w:color w:val="000000"/>
                <w:sz w:val="20"/>
                <w:szCs w:val="20"/>
              </w:rPr>
            </w:pPr>
            <w:r w:rsidRPr="008B6A75">
              <w:rPr>
                <w:rStyle w:val="136"/>
                <w:rFonts w:ascii="Times New Roman" w:hAnsi="Times New Roman" w:cs="Times New Roman"/>
                <w:color w:val="000000"/>
                <w:sz w:val="20"/>
                <w:szCs w:val="20"/>
              </w:rPr>
              <w:t>в льготном исчислении &lt;*&gt;</w:t>
            </w:r>
          </w:p>
        </w:tc>
        <w:tc>
          <w:tcPr>
            <w:tcW w:w="2410" w:type="dxa"/>
            <w:gridSpan w:val="3"/>
            <w:vMerge/>
          </w:tcPr>
          <w:p w14:paraId="6DE7DE62" w14:textId="77777777" w:rsidR="00387142" w:rsidRPr="008B6A75" w:rsidRDefault="00387142" w:rsidP="00387142">
            <w:pPr>
              <w:pStyle w:val="131"/>
              <w:shd w:val="clear" w:color="auto" w:fill="auto"/>
              <w:spacing w:before="0" w:after="0" w:line="240" w:lineRule="auto"/>
              <w:rPr>
                <w:rStyle w:val="136"/>
                <w:rFonts w:ascii="Times New Roman" w:hAnsi="Times New Roman" w:cs="Times New Roman"/>
                <w:i w:val="0"/>
                <w:iCs w:val="0"/>
                <w:color w:val="000000"/>
                <w:sz w:val="20"/>
                <w:szCs w:val="20"/>
              </w:rPr>
            </w:pPr>
          </w:p>
        </w:tc>
      </w:tr>
      <w:tr w:rsidR="00387142" w:rsidRPr="008B6A75" w14:paraId="45E47562" w14:textId="77777777" w:rsidTr="00387142">
        <w:tc>
          <w:tcPr>
            <w:tcW w:w="562" w:type="dxa"/>
          </w:tcPr>
          <w:p w14:paraId="288FBAF8" w14:textId="77777777" w:rsidR="00387142" w:rsidRPr="008B6A75" w:rsidRDefault="00387142" w:rsidP="00387142">
            <w:pPr>
              <w:pStyle w:val="131"/>
              <w:shd w:val="clear" w:color="auto" w:fill="auto"/>
              <w:spacing w:before="0" w:after="0" w:line="240" w:lineRule="auto"/>
              <w:rPr>
                <w:rStyle w:val="136"/>
                <w:rFonts w:ascii="Times New Roman" w:hAnsi="Times New Roman" w:cs="Times New Roman"/>
                <w:i w:val="0"/>
                <w:iCs w:val="0"/>
                <w:color w:val="000000"/>
                <w:sz w:val="20"/>
                <w:szCs w:val="20"/>
              </w:rPr>
            </w:pPr>
          </w:p>
        </w:tc>
        <w:tc>
          <w:tcPr>
            <w:tcW w:w="851" w:type="dxa"/>
          </w:tcPr>
          <w:p w14:paraId="2D04848D" w14:textId="77777777" w:rsidR="00387142" w:rsidRPr="008B6A75" w:rsidRDefault="00387142" w:rsidP="00387142">
            <w:pPr>
              <w:pStyle w:val="131"/>
              <w:shd w:val="clear" w:color="auto" w:fill="auto"/>
              <w:spacing w:before="0" w:after="0" w:line="240" w:lineRule="auto"/>
              <w:rPr>
                <w:rStyle w:val="136"/>
                <w:rFonts w:ascii="Times New Roman" w:hAnsi="Times New Roman" w:cs="Times New Roman"/>
                <w:i w:val="0"/>
                <w:iCs w:val="0"/>
                <w:color w:val="000000"/>
                <w:sz w:val="20"/>
                <w:szCs w:val="20"/>
              </w:rPr>
            </w:pPr>
          </w:p>
        </w:tc>
        <w:tc>
          <w:tcPr>
            <w:tcW w:w="425" w:type="dxa"/>
          </w:tcPr>
          <w:p w14:paraId="215DE180" w14:textId="77777777" w:rsidR="00387142" w:rsidRPr="008B6A75" w:rsidRDefault="00387142" w:rsidP="00387142">
            <w:pPr>
              <w:pStyle w:val="131"/>
              <w:shd w:val="clear" w:color="auto" w:fill="auto"/>
              <w:spacing w:before="0" w:after="0" w:line="240" w:lineRule="auto"/>
              <w:rPr>
                <w:rStyle w:val="136"/>
                <w:rFonts w:ascii="Times New Roman" w:hAnsi="Times New Roman" w:cs="Times New Roman"/>
                <w:i w:val="0"/>
                <w:iCs w:val="0"/>
                <w:color w:val="000000"/>
                <w:sz w:val="20"/>
                <w:szCs w:val="20"/>
              </w:rPr>
            </w:pPr>
            <w:r w:rsidRPr="008B6A75">
              <w:rPr>
                <w:rStyle w:val="136"/>
                <w:rFonts w:ascii="Times New Roman" w:hAnsi="Times New Roman" w:cs="Times New Roman"/>
                <w:color w:val="000000"/>
                <w:sz w:val="20"/>
                <w:szCs w:val="20"/>
              </w:rPr>
              <w:t>год</w:t>
            </w:r>
          </w:p>
        </w:tc>
        <w:tc>
          <w:tcPr>
            <w:tcW w:w="567" w:type="dxa"/>
          </w:tcPr>
          <w:p w14:paraId="29A0C1E5" w14:textId="77777777" w:rsidR="00387142" w:rsidRPr="008B6A75" w:rsidRDefault="00387142" w:rsidP="00387142">
            <w:pPr>
              <w:pStyle w:val="131"/>
              <w:shd w:val="clear" w:color="auto" w:fill="auto"/>
              <w:spacing w:before="0" w:after="0" w:line="240" w:lineRule="auto"/>
              <w:rPr>
                <w:rStyle w:val="136"/>
                <w:rFonts w:ascii="Times New Roman" w:hAnsi="Times New Roman" w:cs="Times New Roman"/>
                <w:i w:val="0"/>
                <w:iCs w:val="0"/>
                <w:color w:val="000000"/>
                <w:sz w:val="20"/>
                <w:szCs w:val="20"/>
              </w:rPr>
            </w:pPr>
            <w:r w:rsidRPr="008B6A75">
              <w:rPr>
                <w:rStyle w:val="136"/>
                <w:rFonts w:ascii="Times New Roman" w:hAnsi="Times New Roman" w:cs="Times New Roman"/>
                <w:color w:val="000000"/>
                <w:sz w:val="20"/>
                <w:szCs w:val="20"/>
              </w:rPr>
              <w:t>месяц</w:t>
            </w:r>
          </w:p>
        </w:tc>
        <w:tc>
          <w:tcPr>
            <w:tcW w:w="567" w:type="dxa"/>
          </w:tcPr>
          <w:p w14:paraId="173B323B" w14:textId="77777777" w:rsidR="00387142" w:rsidRPr="008B6A75" w:rsidRDefault="00387142" w:rsidP="00387142">
            <w:pPr>
              <w:pStyle w:val="131"/>
              <w:shd w:val="clear" w:color="auto" w:fill="auto"/>
              <w:spacing w:before="0" w:after="0" w:line="240" w:lineRule="auto"/>
              <w:rPr>
                <w:rStyle w:val="136"/>
                <w:rFonts w:ascii="Times New Roman" w:hAnsi="Times New Roman" w:cs="Times New Roman"/>
                <w:i w:val="0"/>
                <w:iCs w:val="0"/>
                <w:color w:val="000000"/>
                <w:sz w:val="20"/>
                <w:szCs w:val="20"/>
              </w:rPr>
            </w:pPr>
            <w:r w:rsidRPr="008B6A75">
              <w:rPr>
                <w:rStyle w:val="136"/>
                <w:rFonts w:ascii="Times New Roman" w:hAnsi="Times New Roman" w:cs="Times New Roman"/>
                <w:color w:val="000000"/>
                <w:sz w:val="20"/>
                <w:szCs w:val="20"/>
              </w:rPr>
              <w:t>число</w:t>
            </w:r>
          </w:p>
        </w:tc>
        <w:tc>
          <w:tcPr>
            <w:tcW w:w="851" w:type="dxa"/>
            <w:vMerge/>
          </w:tcPr>
          <w:p w14:paraId="5502B236" w14:textId="77777777" w:rsidR="00387142" w:rsidRPr="008B6A75" w:rsidRDefault="00387142" w:rsidP="00387142">
            <w:pPr>
              <w:pStyle w:val="131"/>
              <w:shd w:val="clear" w:color="auto" w:fill="auto"/>
              <w:spacing w:before="0" w:after="0" w:line="240" w:lineRule="auto"/>
              <w:rPr>
                <w:rStyle w:val="136"/>
                <w:rFonts w:ascii="Times New Roman" w:hAnsi="Times New Roman" w:cs="Times New Roman"/>
                <w:i w:val="0"/>
                <w:iCs w:val="0"/>
                <w:color w:val="000000"/>
                <w:sz w:val="20"/>
                <w:szCs w:val="20"/>
              </w:rPr>
            </w:pPr>
          </w:p>
        </w:tc>
        <w:tc>
          <w:tcPr>
            <w:tcW w:w="567" w:type="dxa"/>
          </w:tcPr>
          <w:p w14:paraId="637BA4F8" w14:textId="77777777" w:rsidR="00387142" w:rsidRPr="008B6A75" w:rsidRDefault="00387142" w:rsidP="00387142">
            <w:pPr>
              <w:pStyle w:val="131"/>
              <w:shd w:val="clear" w:color="auto" w:fill="auto"/>
              <w:spacing w:before="0" w:after="0" w:line="240" w:lineRule="auto"/>
              <w:rPr>
                <w:rStyle w:val="136"/>
                <w:rFonts w:ascii="Times New Roman" w:hAnsi="Times New Roman" w:cs="Times New Roman"/>
                <w:i w:val="0"/>
                <w:iCs w:val="0"/>
                <w:color w:val="000000"/>
                <w:sz w:val="20"/>
                <w:szCs w:val="20"/>
              </w:rPr>
            </w:pPr>
            <w:r w:rsidRPr="008B6A75">
              <w:rPr>
                <w:rStyle w:val="136"/>
                <w:rFonts w:ascii="Times New Roman" w:hAnsi="Times New Roman" w:cs="Times New Roman"/>
                <w:color w:val="000000"/>
                <w:sz w:val="20"/>
                <w:szCs w:val="20"/>
              </w:rPr>
              <w:t>лет</w:t>
            </w:r>
          </w:p>
        </w:tc>
        <w:tc>
          <w:tcPr>
            <w:tcW w:w="708" w:type="dxa"/>
          </w:tcPr>
          <w:p w14:paraId="1974B8C1" w14:textId="77777777" w:rsidR="00387142" w:rsidRPr="008B6A75" w:rsidRDefault="00387142" w:rsidP="00387142">
            <w:pPr>
              <w:pStyle w:val="131"/>
              <w:shd w:val="clear" w:color="auto" w:fill="auto"/>
              <w:spacing w:before="0" w:after="0" w:line="240" w:lineRule="auto"/>
              <w:rPr>
                <w:rStyle w:val="136"/>
                <w:rFonts w:ascii="Times New Roman" w:hAnsi="Times New Roman" w:cs="Times New Roman"/>
                <w:i w:val="0"/>
                <w:iCs w:val="0"/>
                <w:color w:val="000000"/>
                <w:sz w:val="20"/>
                <w:szCs w:val="20"/>
              </w:rPr>
            </w:pPr>
            <w:r w:rsidRPr="008B6A75">
              <w:rPr>
                <w:rStyle w:val="136"/>
                <w:rFonts w:ascii="Times New Roman" w:hAnsi="Times New Roman" w:cs="Times New Roman"/>
                <w:color w:val="000000"/>
                <w:sz w:val="20"/>
                <w:szCs w:val="20"/>
              </w:rPr>
              <w:t>месяцев</w:t>
            </w:r>
          </w:p>
        </w:tc>
        <w:tc>
          <w:tcPr>
            <w:tcW w:w="567" w:type="dxa"/>
          </w:tcPr>
          <w:p w14:paraId="2DE084DA" w14:textId="77777777" w:rsidR="00387142" w:rsidRPr="008B6A75" w:rsidRDefault="00387142" w:rsidP="00387142">
            <w:pPr>
              <w:pStyle w:val="131"/>
              <w:shd w:val="clear" w:color="auto" w:fill="auto"/>
              <w:spacing w:before="0" w:after="0" w:line="240" w:lineRule="auto"/>
              <w:rPr>
                <w:rStyle w:val="136"/>
                <w:rFonts w:ascii="Times New Roman" w:hAnsi="Times New Roman" w:cs="Times New Roman"/>
                <w:i w:val="0"/>
                <w:iCs w:val="0"/>
                <w:color w:val="000000"/>
                <w:sz w:val="20"/>
                <w:szCs w:val="20"/>
              </w:rPr>
            </w:pPr>
            <w:r w:rsidRPr="008B6A75">
              <w:rPr>
                <w:rStyle w:val="136"/>
                <w:rFonts w:ascii="Times New Roman" w:hAnsi="Times New Roman" w:cs="Times New Roman"/>
                <w:color w:val="000000"/>
                <w:sz w:val="20"/>
                <w:szCs w:val="20"/>
              </w:rPr>
              <w:t>дней</w:t>
            </w:r>
          </w:p>
        </w:tc>
        <w:tc>
          <w:tcPr>
            <w:tcW w:w="567" w:type="dxa"/>
          </w:tcPr>
          <w:p w14:paraId="195576A4" w14:textId="77777777" w:rsidR="00387142" w:rsidRPr="008B6A75" w:rsidRDefault="00387142" w:rsidP="00387142">
            <w:pPr>
              <w:pStyle w:val="131"/>
              <w:shd w:val="clear" w:color="auto" w:fill="auto"/>
              <w:spacing w:before="0" w:after="0" w:line="240" w:lineRule="auto"/>
              <w:rPr>
                <w:rStyle w:val="136"/>
                <w:rFonts w:ascii="Times New Roman" w:hAnsi="Times New Roman" w:cs="Times New Roman"/>
                <w:i w:val="0"/>
                <w:iCs w:val="0"/>
                <w:color w:val="000000"/>
                <w:sz w:val="20"/>
                <w:szCs w:val="20"/>
              </w:rPr>
            </w:pPr>
            <w:r w:rsidRPr="008B6A75">
              <w:rPr>
                <w:rStyle w:val="136"/>
                <w:rFonts w:ascii="Times New Roman" w:hAnsi="Times New Roman" w:cs="Times New Roman"/>
                <w:color w:val="000000"/>
                <w:sz w:val="20"/>
                <w:szCs w:val="20"/>
              </w:rPr>
              <w:t>лет</w:t>
            </w:r>
          </w:p>
        </w:tc>
        <w:tc>
          <w:tcPr>
            <w:tcW w:w="709" w:type="dxa"/>
          </w:tcPr>
          <w:p w14:paraId="7EB52414" w14:textId="77777777" w:rsidR="00387142" w:rsidRPr="008B6A75" w:rsidRDefault="00387142" w:rsidP="00387142">
            <w:pPr>
              <w:pStyle w:val="131"/>
              <w:shd w:val="clear" w:color="auto" w:fill="auto"/>
              <w:spacing w:before="0" w:after="0" w:line="240" w:lineRule="auto"/>
              <w:rPr>
                <w:rStyle w:val="136"/>
                <w:rFonts w:ascii="Times New Roman" w:hAnsi="Times New Roman" w:cs="Times New Roman"/>
                <w:i w:val="0"/>
                <w:iCs w:val="0"/>
                <w:color w:val="000000"/>
                <w:sz w:val="20"/>
                <w:szCs w:val="20"/>
              </w:rPr>
            </w:pPr>
            <w:r w:rsidRPr="008B6A75">
              <w:rPr>
                <w:rStyle w:val="136"/>
                <w:rFonts w:ascii="Times New Roman" w:hAnsi="Times New Roman" w:cs="Times New Roman"/>
                <w:color w:val="000000"/>
                <w:sz w:val="20"/>
                <w:szCs w:val="20"/>
              </w:rPr>
              <w:t>месяцев</w:t>
            </w:r>
          </w:p>
        </w:tc>
        <w:tc>
          <w:tcPr>
            <w:tcW w:w="567" w:type="dxa"/>
          </w:tcPr>
          <w:p w14:paraId="0635FD71" w14:textId="77777777" w:rsidR="00387142" w:rsidRPr="008B6A75" w:rsidRDefault="00387142" w:rsidP="00387142">
            <w:pPr>
              <w:pStyle w:val="131"/>
              <w:shd w:val="clear" w:color="auto" w:fill="auto"/>
              <w:spacing w:before="0" w:after="0" w:line="240" w:lineRule="auto"/>
              <w:rPr>
                <w:rStyle w:val="136"/>
                <w:rFonts w:ascii="Times New Roman" w:hAnsi="Times New Roman" w:cs="Times New Roman"/>
                <w:i w:val="0"/>
                <w:iCs w:val="0"/>
                <w:color w:val="000000"/>
                <w:sz w:val="20"/>
                <w:szCs w:val="20"/>
              </w:rPr>
            </w:pPr>
            <w:r w:rsidRPr="008B6A75">
              <w:rPr>
                <w:rStyle w:val="136"/>
                <w:rFonts w:ascii="Times New Roman" w:hAnsi="Times New Roman" w:cs="Times New Roman"/>
                <w:color w:val="000000"/>
                <w:sz w:val="20"/>
                <w:szCs w:val="20"/>
              </w:rPr>
              <w:t>дней</w:t>
            </w:r>
          </w:p>
        </w:tc>
        <w:tc>
          <w:tcPr>
            <w:tcW w:w="567" w:type="dxa"/>
          </w:tcPr>
          <w:p w14:paraId="60489A5C" w14:textId="77777777" w:rsidR="00387142" w:rsidRPr="008B6A75" w:rsidRDefault="00387142" w:rsidP="00387142">
            <w:pPr>
              <w:pStyle w:val="131"/>
              <w:shd w:val="clear" w:color="auto" w:fill="auto"/>
              <w:spacing w:before="0" w:after="0" w:line="240" w:lineRule="auto"/>
              <w:rPr>
                <w:rStyle w:val="136"/>
                <w:rFonts w:ascii="Times New Roman" w:hAnsi="Times New Roman" w:cs="Times New Roman"/>
                <w:i w:val="0"/>
                <w:iCs w:val="0"/>
                <w:color w:val="000000"/>
                <w:sz w:val="20"/>
                <w:szCs w:val="20"/>
              </w:rPr>
            </w:pPr>
            <w:r w:rsidRPr="008B6A75">
              <w:rPr>
                <w:rStyle w:val="136"/>
                <w:rFonts w:ascii="Times New Roman" w:hAnsi="Times New Roman" w:cs="Times New Roman"/>
                <w:color w:val="000000"/>
                <w:sz w:val="20"/>
                <w:szCs w:val="20"/>
              </w:rPr>
              <w:t>лет</w:t>
            </w:r>
          </w:p>
        </w:tc>
        <w:tc>
          <w:tcPr>
            <w:tcW w:w="851" w:type="dxa"/>
          </w:tcPr>
          <w:p w14:paraId="5C56B21B" w14:textId="77777777" w:rsidR="00387142" w:rsidRPr="008B6A75" w:rsidRDefault="00387142" w:rsidP="00387142">
            <w:pPr>
              <w:pStyle w:val="131"/>
              <w:shd w:val="clear" w:color="auto" w:fill="auto"/>
              <w:spacing w:before="0" w:after="0" w:line="240" w:lineRule="auto"/>
              <w:rPr>
                <w:rStyle w:val="136"/>
                <w:rFonts w:ascii="Times New Roman" w:hAnsi="Times New Roman" w:cs="Times New Roman"/>
                <w:i w:val="0"/>
                <w:iCs w:val="0"/>
                <w:color w:val="000000"/>
                <w:sz w:val="20"/>
                <w:szCs w:val="20"/>
              </w:rPr>
            </w:pPr>
            <w:r w:rsidRPr="008B6A75">
              <w:rPr>
                <w:rStyle w:val="136"/>
                <w:rFonts w:ascii="Times New Roman" w:hAnsi="Times New Roman" w:cs="Times New Roman"/>
                <w:color w:val="000000"/>
                <w:sz w:val="20"/>
                <w:szCs w:val="20"/>
              </w:rPr>
              <w:t>месяцев</w:t>
            </w:r>
          </w:p>
        </w:tc>
        <w:tc>
          <w:tcPr>
            <w:tcW w:w="992" w:type="dxa"/>
          </w:tcPr>
          <w:p w14:paraId="04FBAB3A" w14:textId="77777777" w:rsidR="00387142" w:rsidRPr="008B6A75" w:rsidRDefault="00387142" w:rsidP="00387142">
            <w:pPr>
              <w:pStyle w:val="131"/>
              <w:shd w:val="clear" w:color="auto" w:fill="auto"/>
              <w:spacing w:before="0" w:after="0" w:line="240" w:lineRule="auto"/>
              <w:rPr>
                <w:rStyle w:val="136"/>
                <w:rFonts w:ascii="Times New Roman" w:hAnsi="Times New Roman" w:cs="Times New Roman"/>
                <w:i w:val="0"/>
                <w:iCs w:val="0"/>
                <w:color w:val="000000"/>
                <w:sz w:val="20"/>
                <w:szCs w:val="20"/>
              </w:rPr>
            </w:pPr>
            <w:r w:rsidRPr="008B6A75">
              <w:rPr>
                <w:rStyle w:val="136"/>
                <w:rFonts w:ascii="Times New Roman" w:hAnsi="Times New Roman" w:cs="Times New Roman"/>
                <w:color w:val="000000"/>
                <w:sz w:val="20"/>
                <w:szCs w:val="20"/>
              </w:rPr>
              <w:t>дней</w:t>
            </w:r>
          </w:p>
        </w:tc>
      </w:tr>
      <w:tr w:rsidR="00387142" w:rsidRPr="008B6A75" w14:paraId="0030D117" w14:textId="77777777" w:rsidTr="00387142">
        <w:tc>
          <w:tcPr>
            <w:tcW w:w="562" w:type="dxa"/>
          </w:tcPr>
          <w:p w14:paraId="68781BF9" w14:textId="77777777" w:rsidR="00387142" w:rsidRPr="008B6A75" w:rsidRDefault="00387142" w:rsidP="00387142">
            <w:pPr>
              <w:pStyle w:val="131"/>
              <w:shd w:val="clear" w:color="auto" w:fill="auto"/>
              <w:spacing w:before="0" w:after="0" w:line="240" w:lineRule="auto"/>
              <w:jc w:val="center"/>
              <w:rPr>
                <w:rStyle w:val="136"/>
                <w:rFonts w:ascii="Times New Roman" w:hAnsi="Times New Roman" w:cs="Times New Roman"/>
                <w:i w:val="0"/>
                <w:iCs w:val="0"/>
                <w:color w:val="000000"/>
                <w:sz w:val="20"/>
                <w:szCs w:val="20"/>
              </w:rPr>
            </w:pPr>
            <w:r w:rsidRPr="008B6A75">
              <w:rPr>
                <w:rStyle w:val="136"/>
                <w:rFonts w:ascii="Times New Roman" w:hAnsi="Times New Roman" w:cs="Times New Roman"/>
                <w:color w:val="000000"/>
                <w:sz w:val="20"/>
                <w:szCs w:val="20"/>
              </w:rPr>
              <w:t>1</w:t>
            </w:r>
          </w:p>
        </w:tc>
        <w:tc>
          <w:tcPr>
            <w:tcW w:w="851" w:type="dxa"/>
          </w:tcPr>
          <w:p w14:paraId="62D60475" w14:textId="77777777" w:rsidR="00387142" w:rsidRPr="008B6A75" w:rsidRDefault="00387142" w:rsidP="00387142">
            <w:pPr>
              <w:pStyle w:val="131"/>
              <w:shd w:val="clear" w:color="auto" w:fill="auto"/>
              <w:spacing w:before="0" w:after="0" w:line="240" w:lineRule="auto"/>
              <w:jc w:val="center"/>
              <w:rPr>
                <w:rStyle w:val="136"/>
                <w:rFonts w:ascii="Times New Roman" w:hAnsi="Times New Roman" w:cs="Times New Roman"/>
                <w:i w:val="0"/>
                <w:iCs w:val="0"/>
                <w:color w:val="000000"/>
                <w:sz w:val="20"/>
                <w:szCs w:val="20"/>
              </w:rPr>
            </w:pPr>
            <w:r w:rsidRPr="008B6A75">
              <w:rPr>
                <w:rStyle w:val="136"/>
                <w:rFonts w:ascii="Times New Roman" w:hAnsi="Times New Roman" w:cs="Times New Roman"/>
                <w:color w:val="000000"/>
                <w:sz w:val="20"/>
                <w:szCs w:val="20"/>
              </w:rPr>
              <w:t>2</w:t>
            </w:r>
          </w:p>
        </w:tc>
        <w:tc>
          <w:tcPr>
            <w:tcW w:w="425" w:type="dxa"/>
          </w:tcPr>
          <w:p w14:paraId="4775F703" w14:textId="77777777" w:rsidR="00387142" w:rsidRPr="008B6A75" w:rsidRDefault="00387142" w:rsidP="00387142">
            <w:pPr>
              <w:pStyle w:val="131"/>
              <w:shd w:val="clear" w:color="auto" w:fill="auto"/>
              <w:spacing w:before="0" w:after="0" w:line="240" w:lineRule="auto"/>
              <w:jc w:val="center"/>
              <w:rPr>
                <w:rStyle w:val="136"/>
                <w:rFonts w:ascii="Times New Roman" w:hAnsi="Times New Roman" w:cs="Times New Roman"/>
                <w:i w:val="0"/>
                <w:iCs w:val="0"/>
                <w:color w:val="000000"/>
                <w:sz w:val="20"/>
                <w:szCs w:val="20"/>
              </w:rPr>
            </w:pPr>
            <w:r w:rsidRPr="008B6A75">
              <w:rPr>
                <w:rStyle w:val="136"/>
                <w:rFonts w:ascii="Times New Roman" w:hAnsi="Times New Roman" w:cs="Times New Roman"/>
                <w:color w:val="000000"/>
                <w:sz w:val="20"/>
                <w:szCs w:val="20"/>
              </w:rPr>
              <w:t>3</w:t>
            </w:r>
          </w:p>
        </w:tc>
        <w:tc>
          <w:tcPr>
            <w:tcW w:w="567" w:type="dxa"/>
          </w:tcPr>
          <w:p w14:paraId="13920742" w14:textId="77777777" w:rsidR="00387142" w:rsidRPr="008B6A75" w:rsidRDefault="00387142" w:rsidP="00387142">
            <w:pPr>
              <w:pStyle w:val="131"/>
              <w:shd w:val="clear" w:color="auto" w:fill="auto"/>
              <w:spacing w:before="0" w:after="0" w:line="240" w:lineRule="auto"/>
              <w:jc w:val="center"/>
              <w:rPr>
                <w:rStyle w:val="136"/>
                <w:rFonts w:ascii="Times New Roman" w:hAnsi="Times New Roman" w:cs="Times New Roman"/>
                <w:i w:val="0"/>
                <w:iCs w:val="0"/>
                <w:color w:val="000000"/>
                <w:sz w:val="20"/>
                <w:szCs w:val="20"/>
              </w:rPr>
            </w:pPr>
            <w:r w:rsidRPr="008B6A75">
              <w:rPr>
                <w:rStyle w:val="136"/>
                <w:rFonts w:ascii="Times New Roman" w:hAnsi="Times New Roman" w:cs="Times New Roman"/>
                <w:color w:val="000000"/>
                <w:sz w:val="20"/>
                <w:szCs w:val="20"/>
              </w:rPr>
              <w:t>4</w:t>
            </w:r>
          </w:p>
        </w:tc>
        <w:tc>
          <w:tcPr>
            <w:tcW w:w="567" w:type="dxa"/>
          </w:tcPr>
          <w:p w14:paraId="642D284B" w14:textId="77777777" w:rsidR="00387142" w:rsidRPr="008B6A75" w:rsidRDefault="00387142" w:rsidP="00387142">
            <w:pPr>
              <w:pStyle w:val="131"/>
              <w:shd w:val="clear" w:color="auto" w:fill="auto"/>
              <w:spacing w:before="0" w:after="0" w:line="240" w:lineRule="auto"/>
              <w:jc w:val="center"/>
              <w:rPr>
                <w:rStyle w:val="136"/>
                <w:rFonts w:ascii="Times New Roman" w:hAnsi="Times New Roman" w:cs="Times New Roman"/>
                <w:i w:val="0"/>
                <w:iCs w:val="0"/>
                <w:color w:val="000000"/>
                <w:sz w:val="20"/>
                <w:szCs w:val="20"/>
              </w:rPr>
            </w:pPr>
            <w:r w:rsidRPr="008B6A75">
              <w:rPr>
                <w:rStyle w:val="136"/>
                <w:rFonts w:ascii="Times New Roman" w:hAnsi="Times New Roman" w:cs="Times New Roman"/>
                <w:color w:val="000000"/>
                <w:sz w:val="20"/>
                <w:szCs w:val="20"/>
              </w:rPr>
              <w:t>5</w:t>
            </w:r>
          </w:p>
        </w:tc>
        <w:tc>
          <w:tcPr>
            <w:tcW w:w="851" w:type="dxa"/>
          </w:tcPr>
          <w:p w14:paraId="336FC3BA" w14:textId="77777777" w:rsidR="00387142" w:rsidRPr="008B6A75" w:rsidRDefault="00387142" w:rsidP="00387142">
            <w:pPr>
              <w:pStyle w:val="131"/>
              <w:shd w:val="clear" w:color="auto" w:fill="auto"/>
              <w:spacing w:before="0" w:after="0" w:line="240" w:lineRule="auto"/>
              <w:jc w:val="center"/>
              <w:rPr>
                <w:rStyle w:val="136"/>
                <w:rFonts w:ascii="Times New Roman" w:hAnsi="Times New Roman" w:cs="Times New Roman"/>
                <w:i w:val="0"/>
                <w:iCs w:val="0"/>
                <w:color w:val="000000"/>
                <w:sz w:val="20"/>
                <w:szCs w:val="20"/>
              </w:rPr>
            </w:pPr>
            <w:r w:rsidRPr="008B6A75">
              <w:rPr>
                <w:rStyle w:val="136"/>
                <w:rFonts w:ascii="Times New Roman" w:hAnsi="Times New Roman" w:cs="Times New Roman"/>
                <w:color w:val="000000"/>
                <w:sz w:val="20"/>
                <w:szCs w:val="20"/>
              </w:rPr>
              <w:t>6</w:t>
            </w:r>
          </w:p>
        </w:tc>
        <w:tc>
          <w:tcPr>
            <w:tcW w:w="567" w:type="dxa"/>
          </w:tcPr>
          <w:p w14:paraId="61B4816C" w14:textId="77777777" w:rsidR="00387142" w:rsidRPr="008B6A75" w:rsidRDefault="00387142" w:rsidP="00387142">
            <w:pPr>
              <w:pStyle w:val="131"/>
              <w:shd w:val="clear" w:color="auto" w:fill="auto"/>
              <w:spacing w:before="0" w:after="0" w:line="240" w:lineRule="auto"/>
              <w:jc w:val="center"/>
              <w:rPr>
                <w:rStyle w:val="136"/>
                <w:rFonts w:ascii="Times New Roman" w:hAnsi="Times New Roman" w:cs="Times New Roman"/>
                <w:i w:val="0"/>
                <w:iCs w:val="0"/>
                <w:color w:val="000000"/>
                <w:sz w:val="20"/>
                <w:szCs w:val="20"/>
              </w:rPr>
            </w:pPr>
            <w:r w:rsidRPr="008B6A75">
              <w:rPr>
                <w:rStyle w:val="136"/>
                <w:rFonts w:ascii="Times New Roman" w:hAnsi="Times New Roman" w:cs="Times New Roman"/>
                <w:color w:val="000000"/>
                <w:sz w:val="20"/>
                <w:szCs w:val="20"/>
              </w:rPr>
              <w:t>7</w:t>
            </w:r>
          </w:p>
        </w:tc>
        <w:tc>
          <w:tcPr>
            <w:tcW w:w="708" w:type="dxa"/>
          </w:tcPr>
          <w:p w14:paraId="64D5F7AE" w14:textId="77777777" w:rsidR="00387142" w:rsidRPr="008B6A75" w:rsidRDefault="00387142" w:rsidP="00387142">
            <w:pPr>
              <w:pStyle w:val="131"/>
              <w:shd w:val="clear" w:color="auto" w:fill="auto"/>
              <w:spacing w:before="0" w:after="0" w:line="240" w:lineRule="auto"/>
              <w:jc w:val="center"/>
              <w:rPr>
                <w:rStyle w:val="136"/>
                <w:rFonts w:ascii="Times New Roman" w:hAnsi="Times New Roman" w:cs="Times New Roman"/>
                <w:i w:val="0"/>
                <w:iCs w:val="0"/>
                <w:color w:val="000000"/>
                <w:sz w:val="20"/>
                <w:szCs w:val="20"/>
              </w:rPr>
            </w:pPr>
            <w:r w:rsidRPr="008B6A75">
              <w:rPr>
                <w:rStyle w:val="136"/>
                <w:rFonts w:ascii="Times New Roman" w:hAnsi="Times New Roman" w:cs="Times New Roman"/>
                <w:color w:val="000000"/>
                <w:sz w:val="20"/>
                <w:szCs w:val="20"/>
              </w:rPr>
              <w:t>8</w:t>
            </w:r>
          </w:p>
        </w:tc>
        <w:tc>
          <w:tcPr>
            <w:tcW w:w="567" w:type="dxa"/>
          </w:tcPr>
          <w:p w14:paraId="7F8BBA2E" w14:textId="77777777" w:rsidR="00387142" w:rsidRPr="008B6A75" w:rsidRDefault="00387142" w:rsidP="00387142">
            <w:pPr>
              <w:pStyle w:val="131"/>
              <w:shd w:val="clear" w:color="auto" w:fill="auto"/>
              <w:spacing w:before="0" w:after="0" w:line="240" w:lineRule="auto"/>
              <w:jc w:val="center"/>
              <w:rPr>
                <w:rStyle w:val="136"/>
                <w:rFonts w:ascii="Times New Roman" w:hAnsi="Times New Roman" w:cs="Times New Roman"/>
                <w:i w:val="0"/>
                <w:iCs w:val="0"/>
                <w:color w:val="000000"/>
                <w:sz w:val="20"/>
                <w:szCs w:val="20"/>
              </w:rPr>
            </w:pPr>
            <w:r w:rsidRPr="008B6A75">
              <w:rPr>
                <w:rStyle w:val="136"/>
                <w:rFonts w:ascii="Times New Roman" w:hAnsi="Times New Roman" w:cs="Times New Roman"/>
                <w:color w:val="000000"/>
                <w:sz w:val="20"/>
                <w:szCs w:val="20"/>
              </w:rPr>
              <w:t>9</w:t>
            </w:r>
          </w:p>
        </w:tc>
        <w:tc>
          <w:tcPr>
            <w:tcW w:w="567" w:type="dxa"/>
          </w:tcPr>
          <w:p w14:paraId="2E726D19" w14:textId="77777777" w:rsidR="00387142" w:rsidRPr="008B6A75" w:rsidRDefault="00387142" w:rsidP="00387142">
            <w:pPr>
              <w:pStyle w:val="131"/>
              <w:shd w:val="clear" w:color="auto" w:fill="auto"/>
              <w:spacing w:before="0" w:after="0" w:line="240" w:lineRule="auto"/>
              <w:jc w:val="center"/>
              <w:rPr>
                <w:rStyle w:val="136"/>
                <w:rFonts w:ascii="Times New Roman" w:hAnsi="Times New Roman" w:cs="Times New Roman"/>
                <w:i w:val="0"/>
                <w:iCs w:val="0"/>
                <w:color w:val="000000"/>
                <w:sz w:val="20"/>
                <w:szCs w:val="20"/>
              </w:rPr>
            </w:pPr>
            <w:r w:rsidRPr="008B6A75">
              <w:rPr>
                <w:rStyle w:val="136"/>
                <w:rFonts w:ascii="Times New Roman" w:hAnsi="Times New Roman" w:cs="Times New Roman"/>
                <w:color w:val="000000"/>
                <w:sz w:val="20"/>
                <w:szCs w:val="20"/>
              </w:rPr>
              <w:t>10</w:t>
            </w:r>
          </w:p>
        </w:tc>
        <w:tc>
          <w:tcPr>
            <w:tcW w:w="709" w:type="dxa"/>
          </w:tcPr>
          <w:p w14:paraId="76D0319E" w14:textId="77777777" w:rsidR="00387142" w:rsidRPr="008B6A75" w:rsidRDefault="00387142" w:rsidP="00387142">
            <w:pPr>
              <w:pStyle w:val="131"/>
              <w:shd w:val="clear" w:color="auto" w:fill="auto"/>
              <w:spacing w:before="0" w:after="0" w:line="240" w:lineRule="auto"/>
              <w:jc w:val="center"/>
              <w:rPr>
                <w:rStyle w:val="136"/>
                <w:rFonts w:ascii="Times New Roman" w:hAnsi="Times New Roman" w:cs="Times New Roman"/>
                <w:i w:val="0"/>
                <w:iCs w:val="0"/>
                <w:color w:val="000000"/>
                <w:sz w:val="20"/>
                <w:szCs w:val="20"/>
              </w:rPr>
            </w:pPr>
            <w:r w:rsidRPr="008B6A75">
              <w:rPr>
                <w:rStyle w:val="136"/>
                <w:rFonts w:ascii="Times New Roman" w:hAnsi="Times New Roman" w:cs="Times New Roman"/>
                <w:color w:val="000000"/>
                <w:sz w:val="20"/>
                <w:szCs w:val="20"/>
              </w:rPr>
              <w:t>11</w:t>
            </w:r>
          </w:p>
        </w:tc>
        <w:tc>
          <w:tcPr>
            <w:tcW w:w="567" w:type="dxa"/>
          </w:tcPr>
          <w:p w14:paraId="2C0C7CED" w14:textId="77777777" w:rsidR="00387142" w:rsidRPr="008B6A75" w:rsidRDefault="00387142" w:rsidP="00387142">
            <w:pPr>
              <w:pStyle w:val="131"/>
              <w:shd w:val="clear" w:color="auto" w:fill="auto"/>
              <w:spacing w:before="0" w:after="0" w:line="240" w:lineRule="auto"/>
              <w:jc w:val="center"/>
              <w:rPr>
                <w:rStyle w:val="136"/>
                <w:rFonts w:ascii="Times New Roman" w:hAnsi="Times New Roman" w:cs="Times New Roman"/>
                <w:i w:val="0"/>
                <w:iCs w:val="0"/>
                <w:color w:val="000000"/>
                <w:sz w:val="20"/>
                <w:szCs w:val="20"/>
              </w:rPr>
            </w:pPr>
            <w:r w:rsidRPr="008B6A75">
              <w:rPr>
                <w:rStyle w:val="136"/>
                <w:rFonts w:ascii="Times New Roman" w:hAnsi="Times New Roman" w:cs="Times New Roman"/>
                <w:color w:val="000000"/>
                <w:sz w:val="20"/>
                <w:szCs w:val="20"/>
              </w:rPr>
              <w:t>12</w:t>
            </w:r>
          </w:p>
        </w:tc>
        <w:tc>
          <w:tcPr>
            <w:tcW w:w="567" w:type="dxa"/>
          </w:tcPr>
          <w:p w14:paraId="762153C1" w14:textId="77777777" w:rsidR="00387142" w:rsidRPr="008B6A75" w:rsidRDefault="00387142" w:rsidP="00387142">
            <w:pPr>
              <w:pStyle w:val="131"/>
              <w:shd w:val="clear" w:color="auto" w:fill="auto"/>
              <w:spacing w:before="0" w:after="0" w:line="240" w:lineRule="auto"/>
              <w:jc w:val="center"/>
              <w:rPr>
                <w:rStyle w:val="136"/>
                <w:rFonts w:ascii="Times New Roman" w:hAnsi="Times New Roman" w:cs="Times New Roman"/>
                <w:i w:val="0"/>
                <w:iCs w:val="0"/>
                <w:color w:val="000000"/>
                <w:sz w:val="20"/>
                <w:szCs w:val="20"/>
              </w:rPr>
            </w:pPr>
            <w:r w:rsidRPr="008B6A75">
              <w:rPr>
                <w:rStyle w:val="136"/>
                <w:rFonts w:ascii="Times New Roman" w:hAnsi="Times New Roman" w:cs="Times New Roman"/>
                <w:color w:val="000000"/>
                <w:sz w:val="20"/>
                <w:szCs w:val="20"/>
              </w:rPr>
              <w:t>13</w:t>
            </w:r>
          </w:p>
        </w:tc>
        <w:tc>
          <w:tcPr>
            <w:tcW w:w="851" w:type="dxa"/>
          </w:tcPr>
          <w:p w14:paraId="77971423" w14:textId="77777777" w:rsidR="00387142" w:rsidRPr="008B6A75" w:rsidRDefault="00387142" w:rsidP="00387142">
            <w:pPr>
              <w:pStyle w:val="131"/>
              <w:shd w:val="clear" w:color="auto" w:fill="auto"/>
              <w:spacing w:before="0" w:after="0" w:line="240" w:lineRule="auto"/>
              <w:jc w:val="center"/>
              <w:rPr>
                <w:rStyle w:val="136"/>
                <w:rFonts w:ascii="Times New Roman" w:hAnsi="Times New Roman" w:cs="Times New Roman"/>
                <w:i w:val="0"/>
                <w:iCs w:val="0"/>
                <w:color w:val="000000"/>
                <w:sz w:val="20"/>
                <w:szCs w:val="20"/>
              </w:rPr>
            </w:pPr>
            <w:r w:rsidRPr="008B6A75">
              <w:rPr>
                <w:rStyle w:val="136"/>
                <w:rFonts w:ascii="Times New Roman" w:hAnsi="Times New Roman" w:cs="Times New Roman"/>
                <w:color w:val="000000"/>
                <w:sz w:val="20"/>
                <w:szCs w:val="20"/>
              </w:rPr>
              <w:t>14</w:t>
            </w:r>
          </w:p>
        </w:tc>
        <w:tc>
          <w:tcPr>
            <w:tcW w:w="992" w:type="dxa"/>
          </w:tcPr>
          <w:p w14:paraId="79EC7AD2" w14:textId="77777777" w:rsidR="00387142" w:rsidRPr="008B6A75" w:rsidRDefault="00387142" w:rsidP="00387142">
            <w:pPr>
              <w:pStyle w:val="131"/>
              <w:shd w:val="clear" w:color="auto" w:fill="auto"/>
              <w:spacing w:before="0" w:after="0" w:line="240" w:lineRule="auto"/>
              <w:jc w:val="center"/>
              <w:rPr>
                <w:rStyle w:val="136"/>
                <w:rFonts w:ascii="Times New Roman" w:hAnsi="Times New Roman" w:cs="Times New Roman"/>
                <w:i w:val="0"/>
                <w:iCs w:val="0"/>
                <w:color w:val="000000"/>
                <w:sz w:val="20"/>
                <w:szCs w:val="20"/>
              </w:rPr>
            </w:pPr>
            <w:r w:rsidRPr="008B6A75">
              <w:rPr>
                <w:rStyle w:val="136"/>
                <w:rFonts w:ascii="Times New Roman" w:hAnsi="Times New Roman" w:cs="Times New Roman"/>
                <w:color w:val="000000"/>
                <w:sz w:val="20"/>
                <w:szCs w:val="20"/>
              </w:rPr>
              <w:t>15</w:t>
            </w:r>
          </w:p>
        </w:tc>
      </w:tr>
      <w:tr w:rsidR="00387142" w:rsidRPr="008B6A75" w14:paraId="77BB0633" w14:textId="77777777" w:rsidTr="00387142">
        <w:tc>
          <w:tcPr>
            <w:tcW w:w="562" w:type="dxa"/>
          </w:tcPr>
          <w:p w14:paraId="6BD20A23" w14:textId="77777777" w:rsidR="00387142" w:rsidRPr="008B6A75" w:rsidRDefault="00387142" w:rsidP="00387142">
            <w:pPr>
              <w:pStyle w:val="131"/>
              <w:shd w:val="clear" w:color="auto" w:fill="auto"/>
              <w:spacing w:before="0" w:after="0" w:line="240" w:lineRule="auto"/>
              <w:rPr>
                <w:rStyle w:val="136"/>
                <w:rFonts w:ascii="Times New Roman" w:hAnsi="Times New Roman" w:cs="Times New Roman"/>
                <w:i w:val="0"/>
                <w:iCs w:val="0"/>
                <w:color w:val="000000"/>
                <w:sz w:val="20"/>
                <w:szCs w:val="20"/>
              </w:rPr>
            </w:pPr>
          </w:p>
        </w:tc>
        <w:tc>
          <w:tcPr>
            <w:tcW w:w="851" w:type="dxa"/>
          </w:tcPr>
          <w:p w14:paraId="73DBD60D" w14:textId="77777777" w:rsidR="00387142" w:rsidRPr="008B6A75" w:rsidRDefault="00387142" w:rsidP="00387142">
            <w:pPr>
              <w:pStyle w:val="131"/>
              <w:shd w:val="clear" w:color="auto" w:fill="auto"/>
              <w:spacing w:before="0" w:after="0" w:line="240" w:lineRule="auto"/>
              <w:rPr>
                <w:rStyle w:val="136"/>
                <w:rFonts w:ascii="Times New Roman" w:hAnsi="Times New Roman" w:cs="Times New Roman"/>
                <w:i w:val="0"/>
                <w:iCs w:val="0"/>
                <w:color w:val="000000"/>
                <w:sz w:val="20"/>
                <w:szCs w:val="20"/>
              </w:rPr>
            </w:pPr>
          </w:p>
        </w:tc>
        <w:tc>
          <w:tcPr>
            <w:tcW w:w="425" w:type="dxa"/>
          </w:tcPr>
          <w:p w14:paraId="53AFAA2E" w14:textId="77777777" w:rsidR="00387142" w:rsidRPr="008B6A75" w:rsidRDefault="00387142" w:rsidP="00387142">
            <w:pPr>
              <w:pStyle w:val="131"/>
              <w:shd w:val="clear" w:color="auto" w:fill="auto"/>
              <w:spacing w:before="0" w:after="0" w:line="240" w:lineRule="auto"/>
              <w:rPr>
                <w:rStyle w:val="136"/>
                <w:rFonts w:ascii="Times New Roman" w:hAnsi="Times New Roman" w:cs="Times New Roman"/>
                <w:i w:val="0"/>
                <w:iCs w:val="0"/>
                <w:color w:val="000000"/>
                <w:sz w:val="20"/>
                <w:szCs w:val="20"/>
              </w:rPr>
            </w:pPr>
          </w:p>
        </w:tc>
        <w:tc>
          <w:tcPr>
            <w:tcW w:w="567" w:type="dxa"/>
          </w:tcPr>
          <w:p w14:paraId="1520917D" w14:textId="77777777" w:rsidR="00387142" w:rsidRPr="008B6A75" w:rsidRDefault="00387142" w:rsidP="00387142">
            <w:pPr>
              <w:pStyle w:val="131"/>
              <w:shd w:val="clear" w:color="auto" w:fill="auto"/>
              <w:spacing w:before="0" w:after="0" w:line="240" w:lineRule="auto"/>
              <w:rPr>
                <w:rStyle w:val="136"/>
                <w:rFonts w:ascii="Times New Roman" w:hAnsi="Times New Roman" w:cs="Times New Roman"/>
                <w:i w:val="0"/>
                <w:iCs w:val="0"/>
                <w:color w:val="000000"/>
                <w:sz w:val="20"/>
                <w:szCs w:val="20"/>
              </w:rPr>
            </w:pPr>
          </w:p>
        </w:tc>
        <w:tc>
          <w:tcPr>
            <w:tcW w:w="567" w:type="dxa"/>
          </w:tcPr>
          <w:p w14:paraId="1D7A15AB" w14:textId="77777777" w:rsidR="00387142" w:rsidRPr="008B6A75" w:rsidRDefault="00387142" w:rsidP="00387142">
            <w:pPr>
              <w:pStyle w:val="131"/>
              <w:shd w:val="clear" w:color="auto" w:fill="auto"/>
              <w:spacing w:before="0" w:after="0" w:line="240" w:lineRule="auto"/>
              <w:rPr>
                <w:rStyle w:val="136"/>
                <w:rFonts w:ascii="Times New Roman" w:hAnsi="Times New Roman" w:cs="Times New Roman"/>
                <w:i w:val="0"/>
                <w:iCs w:val="0"/>
                <w:color w:val="000000"/>
                <w:sz w:val="20"/>
                <w:szCs w:val="20"/>
              </w:rPr>
            </w:pPr>
          </w:p>
        </w:tc>
        <w:tc>
          <w:tcPr>
            <w:tcW w:w="851" w:type="dxa"/>
          </w:tcPr>
          <w:p w14:paraId="6F9E0FDE" w14:textId="77777777" w:rsidR="00387142" w:rsidRPr="008B6A75" w:rsidRDefault="00387142" w:rsidP="00387142">
            <w:pPr>
              <w:pStyle w:val="131"/>
              <w:shd w:val="clear" w:color="auto" w:fill="auto"/>
              <w:spacing w:before="0" w:after="0" w:line="240" w:lineRule="auto"/>
              <w:rPr>
                <w:rStyle w:val="136"/>
                <w:rFonts w:ascii="Times New Roman" w:hAnsi="Times New Roman" w:cs="Times New Roman"/>
                <w:i w:val="0"/>
                <w:iCs w:val="0"/>
                <w:color w:val="000000"/>
                <w:sz w:val="20"/>
                <w:szCs w:val="20"/>
              </w:rPr>
            </w:pPr>
          </w:p>
        </w:tc>
        <w:tc>
          <w:tcPr>
            <w:tcW w:w="567" w:type="dxa"/>
          </w:tcPr>
          <w:p w14:paraId="1DD3B42F" w14:textId="77777777" w:rsidR="00387142" w:rsidRPr="008B6A75" w:rsidRDefault="00387142" w:rsidP="00387142">
            <w:pPr>
              <w:pStyle w:val="131"/>
              <w:shd w:val="clear" w:color="auto" w:fill="auto"/>
              <w:spacing w:before="0" w:after="0" w:line="240" w:lineRule="auto"/>
              <w:rPr>
                <w:rStyle w:val="136"/>
                <w:rFonts w:ascii="Times New Roman" w:hAnsi="Times New Roman" w:cs="Times New Roman"/>
                <w:i w:val="0"/>
                <w:iCs w:val="0"/>
                <w:color w:val="000000"/>
                <w:sz w:val="20"/>
                <w:szCs w:val="20"/>
              </w:rPr>
            </w:pPr>
          </w:p>
        </w:tc>
        <w:tc>
          <w:tcPr>
            <w:tcW w:w="708" w:type="dxa"/>
          </w:tcPr>
          <w:p w14:paraId="5DB41E5A" w14:textId="77777777" w:rsidR="00387142" w:rsidRPr="008B6A75" w:rsidRDefault="00387142" w:rsidP="00387142">
            <w:pPr>
              <w:pStyle w:val="131"/>
              <w:shd w:val="clear" w:color="auto" w:fill="auto"/>
              <w:spacing w:before="0" w:after="0" w:line="240" w:lineRule="auto"/>
              <w:rPr>
                <w:rStyle w:val="136"/>
                <w:rFonts w:ascii="Times New Roman" w:hAnsi="Times New Roman" w:cs="Times New Roman"/>
                <w:i w:val="0"/>
                <w:iCs w:val="0"/>
                <w:color w:val="000000"/>
                <w:sz w:val="20"/>
                <w:szCs w:val="20"/>
              </w:rPr>
            </w:pPr>
          </w:p>
        </w:tc>
        <w:tc>
          <w:tcPr>
            <w:tcW w:w="567" w:type="dxa"/>
          </w:tcPr>
          <w:p w14:paraId="61FD5423" w14:textId="77777777" w:rsidR="00387142" w:rsidRPr="008B6A75" w:rsidRDefault="00387142" w:rsidP="00387142">
            <w:pPr>
              <w:pStyle w:val="131"/>
              <w:shd w:val="clear" w:color="auto" w:fill="auto"/>
              <w:spacing w:before="0" w:after="0" w:line="240" w:lineRule="auto"/>
              <w:rPr>
                <w:rStyle w:val="136"/>
                <w:rFonts w:ascii="Times New Roman" w:hAnsi="Times New Roman" w:cs="Times New Roman"/>
                <w:i w:val="0"/>
                <w:iCs w:val="0"/>
                <w:color w:val="000000"/>
                <w:sz w:val="20"/>
                <w:szCs w:val="20"/>
              </w:rPr>
            </w:pPr>
          </w:p>
        </w:tc>
        <w:tc>
          <w:tcPr>
            <w:tcW w:w="567" w:type="dxa"/>
          </w:tcPr>
          <w:p w14:paraId="4E919CB4" w14:textId="77777777" w:rsidR="00387142" w:rsidRPr="008B6A75" w:rsidRDefault="00387142" w:rsidP="00387142">
            <w:pPr>
              <w:pStyle w:val="131"/>
              <w:shd w:val="clear" w:color="auto" w:fill="auto"/>
              <w:spacing w:before="0" w:after="0" w:line="240" w:lineRule="auto"/>
              <w:rPr>
                <w:rStyle w:val="136"/>
                <w:rFonts w:ascii="Times New Roman" w:hAnsi="Times New Roman" w:cs="Times New Roman"/>
                <w:i w:val="0"/>
                <w:iCs w:val="0"/>
                <w:color w:val="000000"/>
                <w:sz w:val="20"/>
                <w:szCs w:val="20"/>
              </w:rPr>
            </w:pPr>
          </w:p>
        </w:tc>
        <w:tc>
          <w:tcPr>
            <w:tcW w:w="709" w:type="dxa"/>
          </w:tcPr>
          <w:p w14:paraId="43358500" w14:textId="77777777" w:rsidR="00387142" w:rsidRPr="008B6A75" w:rsidRDefault="00387142" w:rsidP="00387142">
            <w:pPr>
              <w:pStyle w:val="131"/>
              <w:shd w:val="clear" w:color="auto" w:fill="auto"/>
              <w:spacing w:before="0" w:after="0" w:line="240" w:lineRule="auto"/>
              <w:rPr>
                <w:rStyle w:val="136"/>
                <w:rFonts w:ascii="Times New Roman" w:hAnsi="Times New Roman" w:cs="Times New Roman"/>
                <w:i w:val="0"/>
                <w:iCs w:val="0"/>
                <w:color w:val="000000"/>
                <w:sz w:val="20"/>
                <w:szCs w:val="20"/>
              </w:rPr>
            </w:pPr>
          </w:p>
        </w:tc>
        <w:tc>
          <w:tcPr>
            <w:tcW w:w="567" w:type="dxa"/>
          </w:tcPr>
          <w:p w14:paraId="773C2225" w14:textId="77777777" w:rsidR="00387142" w:rsidRPr="008B6A75" w:rsidRDefault="00387142" w:rsidP="00387142">
            <w:pPr>
              <w:pStyle w:val="131"/>
              <w:shd w:val="clear" w:color="auto" w:fill="auto"/>
              <w:spacing w:before="0" w:after="0" w:line="240" w:lineRule="auto"/>
              <w:rPr>
                <w:rStyle w:val="136"/>
                <w:rFonts w:ascii="Times New Roman" w:hAnsi="Times New Roman" w:cs="Times New Roman"/>
                <w:i w:val="0"/>
                <w:iCs w:val="0"/>
                <w:color w:val="000000"/>
                <w:sz w:val="20"/>
                <w:szCs w:val="20"/>
              </w:rPr>
            </w:pPr>
          </w:p>
        </w:tc>
        <w:tc>
          <w:tcPr>
            <w:tcW w:w="567" w:type="dxa"/>
          </w:tcPr>
          <w:p w14:paraId="58F6DAC7" w14:textId="77777777" w:rsidR="00387142" w:rsidRPr="008B6A75" w:rsidRDefault="00387142" w:rsidP="00387142">
            <w:pPr>
              <w:pStyle w:val="131"/>
              <w:shd w:val="clear" w:color="auto" w:fill="auto"/>
              <w:spacing w:before="0" w:after="0" w:line="240" w:lineRule="auto"/>
              <w:rPr>
                <w:rStyle w:val="136"/>
                <w:rFonts w:ascii="Times New Roman" w:hAnsi="Times New Roman" w:cs="Times New Roman"/>
                <w:i w:val="0"/>
                <w:iCs w:val="0"/>
                <w:color w:val="000000"/>
                <w:sz w:val="20"/>
                <w:szCs w:val="20"/>
              </w:rPr>
            </w:pPr>
          </w:p>
        </w:tc>
        <w:tc>
          <w:tcPr>
            <w:tcW w:w="851" w:type="dxa"/>
          </w:tcPr>
          <w:p w14:paraId="1133EF85" w14:textId="77777777" w:rsidR="00387142" w:rsidRPr="008B6A75" w:rsidRDefault="00387142" w:rsidP="00387142">
            <w:pPr>
              <w:pStyle w:val="131"/>
              <w:shd w:val="clear" w:color="auto" w:fill="auto"/>
              <w:spacing w:before="0" w:after="0" w:line="240" w:lineRule="auto"/>
              <w:rPr>
                <w:rStyle w:val="136"/>
                <w:rFonts w:ascii="Times New Roman" w:hAnsi="Times New Roman" w:cs="Times New Roman"/>
                <w:i w:val="0"/>
                <w:iCs w:val="0"/>
                <w:color w:val="000000"/>
                <w:sz w:val="20"/>
                <w:szCs w:val="20"/>
              </w:rPr>
            </w:pPr>
          </w:p>
        </w:tc>
        <w:tc>
          <w:tcPr>
            <w:tcW w:w="992" w:type="dxa"/>
          </w:tcPr>
          <w:p w14:paraId="10787206" w14:textId="77777777" w:rsidR="00387142" w:rsidRPr="008B6A75" w:rsidRDefault="00387142" w:rsidP="00387142">
            <w:pPr>
              <w:pStyle w:val="131"/>
              <w:shd w:val="clear" w:color="auto" w:fill="auto"/>
              <w:spacing w:before="0" w:after="0" w:line="240" w:lineRule="auto"/>
              <w:rPr>
                <w:rStyle w:val="136"/>
                <w:rFonts w:ascii="Times New Roman" w:hAnsi="Times New Roman" w:cs="Times New Roman"/>
                <w:i w:val="0"/>
                <w:iCs w:val="0"/>
                <w:color w:val="000000"/>
                <w:sz w:val="20"/>
                <w:szCs w:val="20"/>
              </w:rPr>
            </w:pPr>
          </w:p>
        </w:tc>
      </w:tr>
      <w:tr w:rsidR="00387142" w:rsidRPr="008B6A75" w14:paraId="522B1447" w14:textId="77777777" w:rsidTr="00387142">
        <w:tc>
          <w:tcPr>
            <w:tcW w:w="562" w:type="dxa"/>
          </w:tcPr>
          <w:p w14:paraId="5CE9D14E" w14:textId="77777777" w:rsidR="00387142" w:rsidRPr="008B6A75" w:rsidRDefault="00387142" w:rsidP="00387142">
            <w:pPr>
              <w:pStyle w:val="131"/>
              <w:shd w:val="clear" w:color="auto" w:fill="auto"/>
              <w:spacing w:before="0" w:after="0" w:line="240" w:lineRule="auto"/>
              <w:rPr>
                <w:rStyle w:val="136"/>
                <w:rFonts w:ascii="Times New Roman" w:hAnsi="Times New Roman" w:cs="Times New Roman"/>
                <w:i w:val="0"/>
                <w:iCs w:val="0"/>
                <w:color w:val="000000"/>
                <w:sz w:val="20"/>
                <w:szCs w:val="20"/>
              </w:rPr>
            </w:pPr>
          </w:p>
        </w:tc>
        <w:tc>
          <w:tcPr>
            <w:tcW w:w="851" w:type="dxa"/>
          </w:tcPr>
          <w:p w14:paraId="110F8411" w14:textId="77777777" w:rsidR="00387142" w:rsidRPr="008B6A75" w:rsidRDefault="00387142" w:rsidP="00387142">
            <w:pPr>
              <w:pStyle w:val="131"/>
              <w:shd w:val="clear" w:color="auto" w:fill="auto"/>
              <w:spacing w:before="0" w:after="0" w:line="240" w:lineRule="auto"/>
              <w:rPr>
                <w:rStyle w:val="136"/>
                <w:rFonts w:ascii="Times New Roman" w:hAnsi="Times New Roman" w:cs="Times New Roman"/>
                <w:i w:val="0"/>
                <w:iCs w:val="0"/>
                <w:color w:val="000000"/>
                <w:sz w:val="20"/>
                <w:szCs w:val="20"/>
              </w:rPr>
            </w:pPr>
          </w:p>
        </w:tc>
        <w:tc>
          <w:tcPr>
            <w:tcW w:w="425" w:type="dxa"/>
          </w:tcPr>
          <w:p w14:paraId="1B4A34C7" w14:textId="77777777" w:rsidR="00387142" w:rsidRPr="008B6A75" w:rsidRDefault="00387142" w:rsidP="00387142">
            <w:pPr>
              <w:pStyle w:val="131"/>
              <w:shd w:val="clear" w:color="auto" w:fill="auto"/>
              <w:spacing w:before="0" w:after="0" w:line="240" w:lineRule="auto"/>
              <w:rPr>
                <w:rStyle w:val="136"/>
                <w:rFonts w:ascii="Times New Roman" w:hAnsi="Times New Roman" w:cs="Times New Roman"/>
                <w:i w:val="0"/>
                <w:iCs w:val="0"/>
                <w:color w:val="000000"/>
                <w:sz w:val="20"/>
                <w:szCs w:val="20"/>
              </w:rPr>
            </w:pPr>
          </w:p>
        </w:tc>
        <w:tc>
          <w:tcPr>
            <w:tcW w:w="567" w:type="dxa"/>
          </w:tcPr>
          <w:p w14:paraId="08D77D67" w14:textId="77777777" w:rsidR="00387142" w:rsidRPr="008B6A75" w:rsidRDefault="00387142" w:rsidP="00387142">
            <w:pPr>
              <w:pStyle w:val="131"/>
              <w:shd w:val="clear" w:color="auto" w:fill="auto"/>
              <w:spacing w:before="0" w:after="0" w:line="240" w:lineRule="auto"/>
              <w:rPr>
                <w:rStyle w:val="136"/>
                <w:rFonts w:ascii="Times New Roman" w:hAnsi="Times New Roman" w:cs="Times New Roman"/>
                <w:i w:val="0"/>
                <w:iCs w:val="0"/>
                <w:color w:val="000000"/>
                <w:sz w:val="20"/>
                <w:szCs w:val="20"/>
              </w:rPr>
            </w:pPr>
          </w:p>
        </w:tc>
        <w:tc>
          <w:tcPr>
            <w:tcW w:w="567" w:type="dxa"/>
          </w:tcPr>
          <w:p w14:paraId="4DF29A5B" w14:textId="77777777" w:rsidR="00387142" w:rsidRPr="008B6A75" w:rsidRDefault="00387142" w:rsidP="00387142">
            <w:pPr>
              <w:pStyle w:val="131"/>
              <w:shd w:val="clear" w:color="auto" w:fill="auto"/>
              <w:spacing w:before="0" w:after="0" w:line="240" w:lineRule="auto"/>
              <w:rPr>
                <w:rStyle w:val="136"/>
                <w:rFonts w:ascii="Times New Roman" w:hAnsi="Times New Roman" w:cs="Times New Roman"/>
                <w:i w:val="0"/>
                <w:iCs w:val="0"/>
                <w:color w:val="000000"/>
                <w:sz w:val="20"/>
                <w:szCs w:val="20"/>
              </w:rPr>
            </w:pPr>
          </w:p>
        </w:tc>
        <w:tc>
          <w:tcPr>
            <w:tcW w:w="851" w:type="dxa"/>
          </w:tcPr>
          <w:p w14:paraId="6F1868E7" w14:textId="77777777" w:rsidR="00387142" w:rsidRPr="008B6A75" w:rsidRDefault="00387142" w:rsidP="00387142">
            <w:pPr>
              <w:pStyle w:val="131"/>
              <w:shd w:val="clear" w:color="auto" w:fill="auto"/>
              <w:spacing w:before="0" w:after="0" w:line="240" w:lineRule="auto"/>
              <w:rPr>
                <w:rStyle w:val="136"/>
                <w:rFonts w:ascii="Times New Roman" w:hAnsi="Times New Roman" w:cs="Times New Roman"/>
                <w:i w:val="0"/>
                <w:iCs w:val="0"/>
                <w:color w:val="000000"/>
                <w:sz w:val="20"/>
                <w:szCs w:val="20"/>
              </w:rPr>
            </w:pPr>
          </w:p>
        </w:tc>
        <w:tc>
          <w:tcPr>
            <w:tcW w:w="567" w:type="dxa"/>
          </w:tcPr>
          <w:p w14:paraId="167D4993" w14:textId="77777777" w:rsidR="00387142" w:rsidRPr="008B6A75" w:rsidRDefault="00387142" w:rsidP="00387142">
            <w:pPr>
              <w:pStyle w:val="131"/>
              <w:shd w:val="clear" w:color="auto" w:fill="auto"/>
              <w:spacing w:before="0" w:after="0" w:line="240" w:lineRule="auto"/>
              <w:rPr>
                <w:rStyle w:val="136"/>
                <w:rFonts w:ascii="Times New Roman" w:hAnsi="Times New Roman" w:cs="Times New Roman"/>
                <w:i w:val="0"/>
                <w:iCs w:val="0"/>
                <w:color w:val="000000"/>
                <w:sz w:val="20"/>
                <w:szCs w:val="20"/>
              </w:rPr>
            </w:pPr>
          </w:p>
        </w:tc>
        <w:tc>
          <w:tcPr>
            <w:tcW w:w="708" w:type="dxa"/>
          </w:tcPr>
          <w:p w14:paraId="5F7C565B" w14:textId="77777777" w:rsidR="00387142" w:rsidRPr="008B6A75" w:rsidRDefault="00387142" w:rsidP="00387142">
            <w:pPr>
              <w:pStyle w:val="131"/>
              <w:shd w:val="clear" w:color="auto" w:fill="auto"/>
              <w:spacing w:before="0" w:after="0" w:line="240" w:lineRule="auto"/>
              <w:rPr>
                <w:rStyle w:val="136"/>
                <w:rFonts w:ascii="Times New Roman" w:hAnsi="Times New Roman" w:cs="Times New Roman"/>
                <w:i w:val="0"/>
                <w:iCs w:val="0"/>
                <w:color w:val="000000"/>
                <w:sz w:val="20"/>
                <w:szCs w:val="20"/>
              </w:rPr>
            </w:pPr>
          </w:p>
        </w:tc>
        <w:tc>
          <w:tcPr>
            <w:tcW w:w="567" w:type="dxa"/>
          </w:tcPr>
          <w:p w14:paraId="4009C59D" w14:textId="77777777" w:rsidR="00387142" w:rsidRPr="008B6A75" w:rsidRDefault="00387142" w:rsidP="00387142">
            <w:pPr>
              <w:pStyle w:val="131"/>
              <w:shd w:val="clear" w:color="auto" w:fill="auto"/>
              <w:spacing w:before="0" w:after="0" w:line="240" w:lineRule="auto"/>
              <w:rPr>
                <w:rStyle w:val="136"/>
                <w:rFonts w:ascii="Times New Roman" w:hAnsi="Times New Roman" w:cs="Times New Roman"/>
                <w:i w:val="0"/>
                <w:iCs w:val="0"/>
                <w:color w:val="000000"/>
                <w:sz w:val="20"/>
                <w:szCs w:val="20"/>
              </w:rPr>
            </w:pPr>
          </w:p>
        </w:tc>
        <w:tc>
          <w:tcPr>
            <w:tcW w:w="567" w:type="dxa"/>
          </w:tcPr>
          <w:p w14:paraId="51EEE8BB" w14:textId="77777777" w:rsidR="00387142" w:rsidRPr="008B6A75" w:rsidRDefault="00387142" w:rsidP="00387142">
            <w:pPr>
              <w:pStyle w:val="131"/>
              <w:shd w:val="clear" w:color="auto" w:fill="auto"/>
              <w:spacing w:before="0" w:after="0" w:line="240" w:lineRule="auto"/>
              <w:rPr>
                <w:rStyle w:val="136"/>
                <w:rFonts w:ascii="Times New Roman" w:hAnsi="Times New Roman" w:cs="Times New Roman"/>
                <w:i w:val="0"/>
                <w:iCs w:val="0"/>
                <w:color w:val="000000"/>
                <w:sz w:val="20"/>
                <w:szCs w:val="20"/>
              </w:rPr>
            </w:pPr>
          </w:p>
        </w:tc>
        <w:tc>
          <w:tcPr>
            <w:tcW w:w="709" w:type="dxa"/>
          </w:tcPr>
          <w:p w14:paraId="55633FD3" w14:textId="77777777" w:rsidR="00387142" w:rsidRPr="008B6A75" w:rsidRDefault="00387142" w:rsidP="00387142">
            <w:pPr>
              <w:pStyle w:val="131"/>
              <w:shd w:val="clear" w:color="auto" w:fill="auto"/>
              <w:spacing w:before="0" w:after="0" w:line="240" w:lineRule="auto"/>
              <w:rPr>
                <w:rStyle w:val="136"/>
                <w:rFonts w:ascii="Times New Roman" w:hAnsi="Times New Roman" w:cs="Times New Roman"/>
                <w:i w:val="0"/>
                <w:iCs w:val="0"/>
                <w:color w:val="000000"/>
                <w:sz w:val="20"/>
                <w:szCs w:val="20"/>
              </w:rPr>
            </w:pPr>
          </w:p>
        </w:tc>
        <w:tc>
          <w:tcPr>
            <w:tcW w:w="567" w:type="dxa"/>
          </w:tcPr>
          <w:p w14:paraId="5B945F16" w14:textId="77777777" w:rsidR="00387142" w:rsidRPr="008B6A75" w:rsidRDefault="00387142" w:rsidP="00387142">
            <w:pPr>
              <w:pStyle w:val="131"/>
              <w:shd w:val="clear" w:color="auto" w:fill="auto"/>
              <w:spacing w:before="0" w:after="0" w:line="240" w:lineRule="auto"/>
              <w:rPr>
                <w:rStyle w:val="136"/>
                <w:rFonts w:ascii="Times New Roman" w:hAnsi="Times New Roman" w:cs="Times New Roman"/>
                <w:i w:val="0"/>
                <w:iCs w:val="0"/>
                <w:color w:val="000000"/>
                <w:sz w:val="20"/>
                <w:szCs w:val="20"/>
              </w:rPr>
            </w:pPr>
          </w:p>
        </w:tc>
        <w:tc>
          <w:tcPr>
            <w:tcW w:w="567" w:type="dxa"/>
          </w:tcPr>
          <w:p w14:paraId="6610BC3C" w14:textId="77777777" w:rsidR="00387142" w:rsidRPr="008B6A75" w:rsidRDefault="00387142" w:rsidP="00387142">
            <w:pPr>
              <w:pStyle w:val="131"/>
              <w:shd w:val="clear" w:color="auto" w:fill="auto"/>
              <w:spacing w:before="0" w:after="0" w:line="240" w:lineRule="auto"/>
              <w:rPr>
                <w:rStyle w:val="136"/>
                <w:rFonts w:ascii="Times New Roman" w:hAnsi="Times New Roman" w:cs="Times New Roman"/>
                <w:i w:val="0"/>
                <w:iCs w:val="0"/>
                <w:color w:val="000000"/>
                <w:sz w:val="20"/>
                <w:szCs w:val="20"/>
              </w:rPr>
            </w:pPr>
          </w:p>
        </w:tc>
        <w:tc>
          <w:tcPr>
            <w:tcW w:w="851" w:type="dxa"/>
          </w:tcPr>
          <w:p w14:paraId="2B12438F" w14:textId="77777777" w:rsidR="00387142" w:rsidRPr="008B6A75" w:rsidRDefault="00387142" w:rsidP="00387142">
            <w:pPr>
              <w:pStyle w:val="131"/>
              <w:shd w:val="clear" w:color="auto" w:fill="auto"/>
              <w:spacing w:before="0" w:after="0" w:line="240" w:lineRule="auto"/>
              <w:rPr>
                <w:rStyle w:val="136"/>
                <w:rFonts w:ascii="Times New Roman" w:hAnsi="Times New Roman" w:cs="Times New Roman"/>
                <w:i w:val="0"/>
                <w:iCs w:val="0"/>
                <w:color w:val="000000"/>
                <w:sz w:val="20"/>
                <w:szCs w:val="20"/>
              </w:rPr>
            </w:pPr>
          </w:p>
        </w:tc>
        <w:tc>
          <w:tcPr>
            <w:tcW w:w="992" w:type="dxa"/>
          </w:tcPr>
          <w:p w14:paraId="76B67ECA" w14:textId="77777777" w:rsidR="00387142" w:rsidRPr="008B6A75" w:rsidRDefault="00387142" w:rsidP="00387142">
            <w:pPr>
              <w:pStyle w:val="131"/>
              <w:shd w:val="clear" w:color="auto" w:fill="auto"/>
              <w:spacing w:before="0" w:after="0" w:line="240" w:lineRule="auto"/>
              <w:rPr>
                <w:rStyle w:val="136"/>
                <w:rFonts w:ascii="Times New Roman" w:hAnsi="Times New Roman" w:cs="Times New Roman"/>
                <w:i w:val="0"/>
                <w:iCs w:val="0"/>
                <w:color w:val="000000"/>
                <w:sz w:val="20"/>
                <w:szCs w:val="20"/>
              </w:rPr>
            </w:pPr>
          </w:p>
        </w:tc>
      </w:tr>
    </w:tbl>
    <w:p w14:paraId="59B5BC3C" w14:textId="77777777" w:rsidR="00387142" w:rsidRPr="008B6A75" w:rsidRDefault="00387142" w:rsidP="00387142">
      <w:pPr>
        <w:pStyle w:val="25"/>
        <w:shd w:val="clear" w:color="auto" w:fill="auto"/>
        <w:tabs>
          <w:tab w:val="left" w:pos="10136"/>
        </w:tabs>
        <w:spacing w:after="0" w:line="240" w:lineRule="auto"/>
        <w:ind w:firstLine="0"/>
        <w:jc w:val="left"/>
        <w:rPr>
          <w:rStyle w:val="24"/>
          <w:rFonts w:ascii="Times New Roman" w:hAnsi="Times New Roman" w:cs="Times New Roman"/>
          <w:color w:val="000000"/>
          <w:sz w:val="20"/>
          <w:szCs w:val="20"/>
        </w:rPr>
      </w:pPr>
    </w:p>
    <w:p w14:paraId="2C033ED6" w14:textId="77777777" w:rsidR="00387142" w:rsidRPr="008B6A75" w:rsidRDefault="00387142" w:rsidP="00387142">
      <w:pPr>
        <w:pStyle w:val="25"/>
        <w:shd w:val="clear" w:color="auto" w:fill="auto"/>
        <w:tabs>
          <w:tab w:val="left" w:pos="10136"/>
        </w:tabs>
        <w:spacing w:after="0" w:line="240" w:lineRule="auto"/>
        <w:ind w:firstLine="0"/>
        <w:jc w:val="left"/>
        <w:rPr>
          <w:rStyle w:val="24"/>
          <w:rFonts w:ascii="Times New Roman" w:hAnsi="Times New Roman" w:cs="Times New Roman"/>
          <w:color w:val="000000"/>
          <w:sz w:val="20"/>
          <w:szCs w:val="20"/>
        </w:rPr>
      </w:pPr>
      <w:r w:rsidRPr="008B6A75">
        <w:rPr>
          <w:rStyle w:val="24"/>
          <w:rFonts w:ascii="Times New Roman" w:hAnsi="Times New Roman" w:cs="Times New Roman"/>
          <w:color w:val="000000"/>
          <w:sz w:val="20"/>
          <w:szCs w:val="20"/>
        </w:rPr>
        <w:t xml:space="preserve">Должность руководителя </w:t>
      </w:r>
    </w:p>
    <w:p w14:paraId="138E66F2" w14:textId="77777777" w:rsidR="00387142" w:rsidRPr="008B6A75" w:rsidRDefault="00387142" w:rsidP="00387142">
      <w:pPr>
        <w:pStyle w:val="25"/>
        <w:shd w:val="clear" w:color="auto" w:fill="auto"/>
        <w:tabs>
          <w:tab w:val="left" w:pos="10136"/>
        </w:tabs>
        <w:spacing w:after="0" w:line="240" w:lineRule="auto"/>
        <w:ind w:firstLine="0"/>
        <w:jc w:val="left"/>
        <w:rPr>
          <w:rStyle w:val="24"/>
          <w:rFonts w:ascii="Times New Roman" w:hAnsi="Times New Roman" w:cs="Times New Roman"/>
          <w:color w:val="000000"/>
          <w:sz w:val="20"/>
          <w:szCs w:val="20"/>
        </w:rPr>
      </w:pPr>
      <w:r w:rsidRPr="008B6A75">
        <w:rPr>
          <w:rStyle w:val="24"/>
          <w:rFonts w:ascii="Times New Roman" w:hAnsi="Times New Roman" w:cs="Times New Roman"/>
          <w:color w:val="000000"/>
          <w:sz w:val="20"/>
          <w:szCs w:val="20"/>
        </w:rPr>
        <w:t xml:space="preserve">структурного подразделения, </w:t>
      </w:r>
    </w:p>
    <w:p w14:paraId="5910052A" w14:textId="77777777" w:rsidR="00387142" w:rsidRPr="008B6A75" w:rsidRDefault="00387142" w:rsidP="00387142">
      <w:pPr>
        <w:pStyle w:val="25"/>
        <w:shd w:val="clear" w:color="auto" w:fill="auto"/>
        <w:tabs>
          <w:tab w:val="left" w:pos="10136"/>
        </w:tabs>
        <w:spacing w:after="0" w:line="240" w:lineRule="auto"/>
        <w:ind w:firstLine="0"/>
        <w:jc w:val="left"/>
        <w:rPr>
          <w:rStyle w:val="24"/>
          <w:rFonts w:ascii="Times New Roman" w:hAnsi="Times New Roman" w:cs="Times New Roman"/>
          <w:color w:val="000000"/>
          <w:sz w:val="20"/>
          <w:szCs w:val="20"/>
        </w:rPr>
      </w:pPr>
      <w:r w:rsidRPr="008B6A75">
        <w:rPr>
          <w:rStyle w:val="24"/>
          <w:rFonts w:ascii="Times New Roman" w:hAnsi="Times New Roman" w:cs="Times New Roman"/>
          <w:color w:val="000000"/>
          <w:sz w:val="20"/>
          <w:szCs w:val="20"/>
        </w:rPr>
        <w:t xml:space="preserve">занимающегося вопросами кадровой работы </w:t>
      </w:r>
    </w:p>
    <w:p w14:paraId="56A2FF63" w14:textId="77777777" w:rsidR="00387142" w:rsidRPr="008B6A75" w:rsidRDefault="00387142" w:rsidP="00387142">
      <w:pPr>
        <w:pStyle w:val="25"/>
        <w:shd w:val="clear" w:color="auto" w:fill="auto"/>
        <w:tabs>
          <w:tab w:val="left" w:pos="10136"/>
        </w:tabs>
        <w:spacing w:after="0" w:line="240" w:lineRule="auto"/>
        <w:ind w:firstLine="0"/>
        <w:jc w:val="left"/>
        <w:rPr>
          <w:rStyle w:val="24"/>
          <w:rFonts w:ascii="Times New Roman" w:hAnsi="Times New Roman" w:cs="Times New Roman"/>
          <w:color w:val="000000"/>
          <w:sz w:val="20"/>
          <w:szCs w:val="20"/>
        </w:rPr>
      </w:pPr>
      <w:r w:rsidRPr="008B6A75">
        <w:rPr>
          <w:rStyle w:val="24"/>
          <w:rFonts w:ascii="Times New Roman" w:hAnsi="Times New Roman" w:cs="Times New Roman"/>
          <w:color w:val="000000"/>
          <w:sz w:val="20"/>
          <w:szCs w:val="20"/>
        </w:rPr>
        <w:t xml:space="preserve">органа местного самоуправления, </w:t>
      </w:r>
    </w:p>
    <w:p w14:paraId="462C5EB8" w14:textId="77777777" w:rsidR="00387142" w:rsidRPr="008B6A75" w:rsidRDefault="00387142" w:rsidP="00387142">
      <w:pPr>
        <w:pStyle w:val="25"/>
        <w:shd w:val="clear" w:color="auto" w:fill="auto"/>
        <w:tabs>
          <w:tab w:val="left" w:pos="10136"/>
        </w:tabs>
        <w:spacing w:after="0" w:line="240" w:lineRule="auto"/>
        <w:ind w:firstLine="0"/>
        <w:jc w:val="left"/>
        <w:rPr>
          <w:rStyle w:val="24"/>
          <w:rFonts w:ascii="Times New Roman" w:hAnsi="Times New Roman" w:cs="Times New Roman"/>
          <w:color w:val="000000"/>
          <w:sz w:val="20"/>
          <w:szCs w:val="20"/>
        </w:rPr>
      </w:pPr>
      <w:r w:rsidRPr="008B6A75">
        <w:rPr>
          <w:rStyle w:val="24"/>
          <w:rFonts w:ascii="Times New Roman" w:hAnsi="Times New Roman" w:cs="Times New Roman"/>
          <w:color w:val="000000"/>
          <w:sz w:val="20"/>
          <w:szCs w:val="20"/>
        </w:rPr>
        <w:t xml:space="preserve">муниципального органа </w:t>
      </w:r>
    </w:p>
    <w:p w14:paraId="2F3A85F2" w14:textId="77777777" w:rsidR="00387142" w:rsidRPr="008B6A75" w:rsidRDefault="00387142" w:rsidP="00387142">
      <w:pPr>
        <w:pStyle w:val="25"/>
        <w:shd w:val="clear" w:color="auto" w:fill="auto"/>
        <w:tabs>
          <w:tab w:val="left" w:pos="10136"/>
        </w:tabs>
        <w:spacing w:after="0" w:line="240" w:lineRule="auto"/>
        <w:ind w:firstLine="0"/>
        <w:jc w:val="left"/>
        <w:rPr>
          <w:rStyle w:val="24"/>
          <w:rFonts w:ascii="Times New Roman" w:hAnsi="Times New Roman" w:cs="Times New Roman"/>
          <w:color w:val="000000"/>
          <w:sz w:val="20"/>
          <w:szCs w:val="20"/>
        </w:rPr>
      </w:pPr>
      <w:r w:rsidRPr="008B6A75">
        <w:rPr>
          <w:rStyle w:val="24"/>
          <w:rFonts w:ascii="Times New Roman" w:hAnsi="Times New Roman" w:cs="Times New Roman"/>
          <w:color w:val="000000"/>
          <w:sz w:val="20"/>
          <w:szCs w:val="20"/>
        </w:rPr>
        <w:t>муниципального образования                 ____________________________________</w:t>
      </w:r>
    </w:p>
    <w:p w14:paraId="73316B3B" w14:textId="77777777" w:rsidR="00387142" w:rsidRPr="008B6A75" w:rsidRDefault="00387142" w:rsidP="00387142">
      <w:pPr>
        <w:pStyle w:val="25"/>
        <w:shd w:val="clear" w:color="auto" w:fill="auto"/>
        <w:tabs>
          <w:tab w:val="left" w:pos="10136"/>
        </w:tabs>
        <w:spacing w:after="0" w:line="240" w:lineRule="auto"/>
        <w:ind w:firstLine="0"/>
        <w:jc w:val="left"/>
        <w:rPr>
          <w:rFonts w:ascii="Times New Roman" w:hAnsi="Times New Roman" w:cs="Times New Roman"/>
          <w:i/>
          <w:iCs/>
          <w:sz w:val="20"/>
          <w:szCs w:val="20"/>
        </w:rPr>
      </w:pPr>
      <w:r w:rsidRPr="008B6A75">
        <w:rPr>
          <w:rStyle w:val="24"/>
          <w:rFonts w:ascii="Times New Roman" w:hAnsi="Times New Roman" w:cs="Times New Roman"/>
          <w:color w:val="000000"/>
          <w:sz w:val="20"/>
          <w:szCs w:val="20"/>
        </w:rPr>
        <w:t xml:space="preserve">                                                                                                </w:t>
      </w:r>
      <w:r w:rsidRPr="008B6A75">
        <w:rPr>
          <w:rStyle w:val="24"/>
          <w:rFonts w:ascii="Times New Roman" w:hAnsi="Times New Roman" w:cs="Times New Roman"/>
          <w:i/>
          <w:iCs/>
          <w:color w:val="000000"/>
          <w:sz w:val="20"/>
          <w:szCs w:val="20"/>
        </w:rPr>
        <w:t>(подпись, инициалы, фамилия)</w:t>
      </w:r>
    </w:p>
    <w:p w14:paraId="49EB99DD" w14:textId="77777777" w:rsidR="00387142" w:rsidRPr="008B6A75" w:rsidRDefault="00387142" w:rsidP="00387142">
      <w:pPr>
        <w:pStyle w:val="25"/>
        <w:shd w:val="clear" w:color="auto" w:fill="auto"/>
        <w:spacing w:after="0" w:line="360" w:lineRule="auto"/>
        <w:ind w:firstLine="0"/>
        <w:jc w:val="both"/>
        <w:rPr>
          <w:rStyle w:val="24"/>
          <w:rFonts w:ascii="Times New Roman" w:hAnsi="Times New Roman" w:cs="Times New Roman"/>
          <w:color w:val="000000"/>
          <w:sz w:val="20"/>
          <w:szCs w:val="20"/>
        </w:rPr>
      </w:pPr>
      <w:r w:rsidRPr="008B6A75">
        <w:rPr>
          <w:rStyle w:val="24"/>
          <w:rFonts w:ascii="Times New Roman" w:hAnsi="Times New Roman" w:cs="Times New Roman"/>
          <w:color w:val="000000"/>
          <w:sz w:val="20"/>
          <w:szCs w:val="20"/>
        </w:rPr>
        <w:t>М.П.</w:t>
      </w:r>
    </w:p>
    <w:p w14:paraId="6E7A8E9F" w14:textId="77777777" w:rsidR="00387142" w:rsidRPr="008B6A75" w:rsidRDefault="00387142" w:rsidP="00387142">
      <w:pPr>
        <w:pStyle w:val="131"/>
        <w:shd w:val="clear" w:color="auto" w:fill="auto"/>
        <w:spacing w:before="0" w:after="0" w:line="240" w:lineRule="auto"/>
        <w:rPr>
          <w:rFonts w:ascii="Times New Roman" w:hAnsi="Times New Roman" w:cs="Times New Roman"/>
          <w:color w:val="000000"/>
          <w:spacing w:val="-2"/>
          <w:sz w:val="20"/>
          <w:szCs w:val="20"/>
        </w:rPr>
      </w:pPr>
    </w:p>
    <w:p w14:paraId="6EBE53B5" w14:textId="77777777" w:rsidR="00387142" w:rsidRPr="008B6A75" w:rsidRDefault="00387142" w:rsidP="00387142">
      <w:pPr>
        <w:pStyle w:val="131"/>
        <w:shd w:val="clear" w:color="auto" w:fill="auto"/>
        <w:spacing w:before="0" w:after="0" w:line="240" w:lineRule="auto"/>
        <w:rPr>
          <w:rFonts w:ascii="Times New Roman" w:hAnsi="Times New Roman" w:cs="Times New Roman"/>
          <w:sz w:val="20"/>
          <w:szCs w:val="20"/>
        </w:rPr>
      </w:pPr>
      <w:r w:rsidRPr="008B6A75">
        <w:rPr>
          <w:rFonts w:ascii="Times New Roman" w:hAnsi="Times New Roman" w:cs="Times New Roman"/>
          <w:color w:val="000000"/>
          <w:spacing w:val="-2"/>
          <w:sz w:val="20"/>
          <w:szCs w:val="20"/>
        </w:rPr>
        <w:t xml:space="preserve">&lt;*&gt; В </w:t>
      </w:r>
      <w:r w:rsidRPr="008B6A75">
        <w:rPr>
          <w:rStyle w:val="130"/>
          <w:rFonts w:ascii="Times New Roman" w:hAnsi="Times New Roman" w:cs="Times New Roman"/>
          <w:color w:val="000000"/>
          <w:sz w:val="20"/>
          <w:szCs w:val="20"/>
        </w:rPr>
        <w:t>льготном исчислении указываются периоды, учтенные при определении стажа муниципальной службы, в течение которых один календарный год засчитывается за несколько лет (например, военная служба по призыву).</w:t>
      </w:r>
    </w:p>
    <w:p w14:paraId="169E40F7" w14:textId="77777777" w:rsidR="00387142" w:rsidRPr="008B6A75" w:rsidRDefault="00387142" w:rsidP="00387142">
      <w:pPr>
        <w:pStyle w:val="25"/>
        <w:shd w:val="clear" w:color="auto" w:fill="auto"/>
        <w:spacing w:after="0" w:line="360" w:lineRule="auto"/>
        <w:ind w:firstLine="0"/>
        <w:jc w:val="both"/>
        <w:rPr>
          <w:rFonts w:ascii="Times New Roman" w:hAnsi="Times New Roman" w:cs="Times New Roman"/>
          <w:sz w:val="20"/>
          <w:szCs w:val="20"/>
        </w:rPr>
        <w:sectPr w:rsidR="00387142" w:rsidRPr="008B6A75" w:rsidSect="00387142">
          <w:footerReference w:type="even" r:id="rId15"/>
          <w:footerReference w:type="first" r:id="rId16"/>
          <w:pgSz w:w="11900" w:h="16840"/>
          <w:pgMar w:top="1134" w:right="560" w:bottom="709" w:left="1418" w:header="0" w:footer="3" w:gutter="0"/>
          <w:cols w:space="720"/>
          <w:noEndnote/>
          <w:docGrid w:linePitch="360"/>
        </w:sectPr>
      </w:pPr>
      <w:r w:rsidRPr="008B6A75">
        <w:rPr>
          <w:rStyle w:val="24"/>
          <w:rFonts w:ascii="Times New Roman" w:hAnsi="Times New Roman" w:cs="Times New Roman"/>
          <w:color w:val="000000"/>
          <w:sz w:val="20"/>
          <w:szCs w:val="20"/>
        </w:rPr>
        <w:t xml:space="preserve">          </w:t>
      </w:r>
    </w:p>
    <w:p w14:paraId="502F0119" w14:textId="77777777" w:rsidR="00387142" w:rsidRPr="008B6A75" w:rsidRDefault="00387142" w:rsidP="00387142">
      <w:pPr>
        <w:pStyle w:val="25"/>
        <w:shd w:val="clear" w:color="auto" w:fill="auto"/>
        <w:spacing w:after="0" w:line="240" w:lineRule="auto"/>
        <w:ind w:right="-2" w:firstLine="0"/>
        <w:jc w:val="left"/>
        <w:rPr>
          <w:rStyle w:val="24"/>
          <w:rFonts w:ascii="Times New Roman" w:hAnsi="Times New Roman" w:cs="Times New Roman"/>
          <w:color w:val="000000"/>
          <w:sz w:val="20"/>
          <w:szCs w:val="20"/>
        </w:rPr>
      </w:pPr>
      <w:r w:rsidRPr="008B6A75">
        <w:rPr>
          <w:rStyle w:val="24"/>
          <w:rFonts w:ascii="Times New Roman" w:hAnsi="Times New Roman" w:cs="Times New Roman"/>
          <w:color w:val="000000"/>
          <w:sz w:val="20"/>
          <w:szCs w:val="20"/>
        </w:rPr>
        <w:lastRenderedPageBreak/>
        <w:t xml:space="preserve">                                                                                                                           ПРИЛОЖЕНИЕ 4</w:t>
      </w:r>
    </w:p>
    <w:p w14:paraId="3649ECDB" w14:textId="77777777" w:rsidR="00387142" w:rsidRPr="008B6A75" w:rsidRDefault="00387142" w:rsidP="00387142">
      <w:pPr>
        <w:pStyle w:val="25"/>
        <w:shd w:val="clear" w:color="auto" w:fill="auto"/>
        <w:spacing w:after="0" w:line="240" w:lineRule="auto"/>
        <w:ind w:left="4111" w:right="-2" w:firstLine="0"/>
        <w:rPr>
          <w:rFonts w:ascii="Times New Roman" w:hAnsi="Times New Roman" w:cs="Times New Roman"/>
          <w:bCs/>
          <w:color w:val="000000"/>
          <w:sz w:val="20"/>
          <w:szCs w:val="20"/>
          <w:shd w:val="clear" w:color="auto" w:fill="FFFFFF"/>
        </w:rPr>
      </w:pPr>
      <w:r w:rsidRPr="008B6A75">
        <w:rPr>
          <w:rStyle w:val="24"/>
          <w:rFonts w:ascii="Times New Roman" w:hAnsi="Times New Roman" w:cs="Times New Roman"/>
          <w:color w:val="000000"/>
          <w:sz w:val="20"/>
          <w:szCs w:val="20"/>
        </w:rPr>
        <w:t xml:space="preserve">к Положению </w:t>
      </w:r>
      <w:r w:rsidRPr="008B6A75">
        <w:rPr>
          <w:rFonts w:ascii="Times New Roman" w:hAnsi="Times New Roman" w:cs="Times New Roman"/>
          <w:bCs/>
          <w:color w:val="000000"/>
          <w:sz w:val="20"/>
          <w:szCs w:val="20"/>
          <w:shd w:val="clear" w:color="auto" w:fill="FFFFFF"/>
        </w:rPr>
        <w:t>об условиях и порядке назначения, выплаты, перерасчета и индексации пенсии за выслугу лет муниципальным служащим в органах местного самоуправления Куйбышевского муниципального района Новосибирской области</w:t>
      </w:r>
    </w:p>
    <w:p w14:paraId="4D10600E" w14:textId="77777777" w:rsidR="00387142" w:rsidRPr="008B6A75" w:rsidRDefault="00387142" w:rsidP="00387142">
      <w:pPr>
        <w:pStyle w:val="25"/>
        <w:shd w:val="clear" w:color="auto" w:fill="auto"/>
        <w:spacing w:after="0" w:line="240" w:lineRule="auto"/>
        <w:ind w:left="4111" w:right="-2" w:firstLine="0"/>
        <w:rPr>
          <w:rFonts w:ascii="Times New Roman" w:hAnsi="Times New Roman" w:cs="Times New Roman"/>
          <w:sz w:val="20"/>
          <w:szCs w:val="20"/>
        </w:rPr>
      </w:pPr>
    </w:p>
    <w:p w14:paraId="0841D267" w14:textId="77777777" w:rsidR="00387142" w:rsidRPr="008B6A75" w:rsidRDefault="00387142" w:rsidP="00387142">
      <w:pPr>
        <w:pStyle w:val="25"/>
        <w:shd w:val="clear" w:color="auto" w:fill="auto"/>
        <w:spacing w:after="15" w:line="220" w:lineRule="exact"/>
        <w:ind w:right="-2"/>
        <w:rPr>
          <w:rStyle w:val="24"/>
          <w:rFonts w:ascii="Times New Roman" w:hAnsi="Times New Roman" w:cs="Times New Roman"/>
          <w:color w:val="000000"/>
          <w:sz w:val="20"/>
          <w:szCs w:val="20"/>
        </w:rPr>
      </w:pPr>
    </w:p>
    <w:p w14:paraId="603180AC" w14:textId="77777777" w:rsidR="00387142" w:rsidRPr="008B6A75" w:rsidRDefault="00387142" w:rsidP="00387142">
      <w:pPr>
        <w:pStyle w:val="25"/>
        <w:shd w:val="clear" w:color="auto" w:fill="auto"/>
        <w:spacing w:after="15" w:line="240" w:lineRule="auto"/>
        <w:ind w:right="-2"/>
        <w:rPr>
          <w:rFonts w:ascii="Times New Roman" w:hAnsi="Times New Roman" w:cs="Times New Roman"/>
          <w:sz w:val="20"/>
          <w:szCs w:val="20"/>
        </w:rPr>
      </w:pPr>
      <w:r w:rsidRPr="008B6A75">
        <w:rPr>
          <w:rStyle w:val="24"/>
          <w:rFonts w:ascii="Times New Roman" w:hAnsi="Times New Roman" w:cs="Times New Roman"/>
          <w:color w:val="000000"/>
          <w:sz w:val="20"/>
          <w:szCs w:val="20"/>
        </w:rPr>
        <w:t>СПРАВКА</w:t>
      </w:r>
    </w:p>
    <w:p w14:paraId="66223CB8" w14:textId="77777777" w:rsidR="00387142" w:rsidRPr="008B6A75" w:rsidRDefault="00387142" w:rsidP="00387142">
      <w:pPr>
        <w:pStyle w:val="25"/>
        <w:shd w:val="clear" w:color="auto" w:fill="auto"/>
        <w:spacing w:after="327" w:line="240" w:lineRule="auto"/>
        <w:ind w:right="-2"/>
        <w:rPr>
          <w:rFonts w:ascii="Times New Roman" w:hAnsi="Times New Roman" w:cs="Times New Roman"/>
          <w:sz w:val="20"/>
          <w:szCs w:val="20"/>
        </w:rPr>
      </w:pPr>
      <w:r w:rsidRPr="008B6A75">
        <w:rPr>
          <w:rStyle w:val="24"/>
          <w:rFonts w:ascii="Times New Roman" w:hAnsi="Times New Roman" w:cs="Times New Roman"/>
          <w:color w:val="000000"/>
          <w:sz w:val="20"/>
          <w:szCs w:val="20"/>
        </w:rPr>
        <w:t>о размере среднемесячного денежного содержания</w:t>
      </w:r>
    </w:p>
    <w:p w14:paraId="4A8050CF" w14:textId="77777777" w:rsidR="00387142" w:rsidRPr="008B6A75" w:rsidRDefault="00387142" w:rsidP="00387142">
      <w:pPr>
        <w:pStyle w:val="33"/>
        <w:shd w:val="clear" w:color="auto" w:fill="auto"/>
        <w:tabs>
          <w:tab w:val="left" w:pos="5437"/>
          <w:tab w:val="left" w:pos="6067"/>
          <w:tab w:val="left" w:pos="6216"/>
          <w:tab w:val="left" w:pos="7810"/>
        </w:tabs>
        <w:spacing w:before="0" w:after="0" w:line="240" w:lineRule="auto"/>
        <w:ind w:right="-2"/>
        <w:jc w:val="both"/>
        <w:rPr>
          <w:rStyle w:val="311pt"/>
          <w:rFonts w:ascii="Times New Roman" w:hAnsi="Times New Roman" w:cs="Times New Roman"/>
          <w:color w:val="000000"/>
          <w:sz w:val="20"/>
          <w:szCs w:val="20"/>
        </w:rPr>
      </w:pPr>
    </w:p>
    <w:p w14:paraId="37A8F99B" w14:textId="77777777" w:rsidR="00387142" w:rsidRPr="008B6A75" w:rsidRDefault="00387142" w:rsidP="00387142">
      <w:pPr>
        <w:pStyle w:val="33"/>
        <w:shd w:val="clear" w:color="auto" w:fill="auto"/>
        <w:tabs>
          <w:tab w:val="left" w:pos="5437"/>
          <w:tab w:val="left" w:pos="6067"/>
          <w:tab w:val="left" w:pos="6216"/>
          <w:tab w:val="left" w:pos="7810"/>
        </w:tabs>
        <w:spacing w:before="0" w:after="0" w:line="240" w:lineRule="auto"/>
        <w:ind w:right="-2" w:firstLine="709"/>
        <w:jc w:val="both"/>
        <w:rPr>
          <w:rStyle w:val="32"/>
          <w:rFonts w:ascii="Times New Roman" w:hAnsi="Times New Roman" w:cs="Times New Roman"/>
          <w:color w:val="000000"/>
          <w:sz w:val="20"/>
          <w:szCs w:val="20"/>
        </w:rPr>
      </w:pPr>
      <w:r w:rsidRPr="008B6A75">
        <w:rPr>
          <w:rStyle w:val="311pt"/>
          <w:rFonts w:ascii="Times New Roman" w:hAnsi="Times New Roman" w:cs="Times New Roman"/>
          <w:color w:val="000000"/>
          <w:sz w:val="20"/>
          <w:szCs w:val="20"/>
        </w:rPr>
        <w:t>Среднемесячное денежное содержание</w:t>
      </w:r>
      <w:r w:rsidRPr="008B6A75">
        <w:rPr>
          <w:rStyle w:val="32"/>
          <w:rFonts w:ascii="Times New Roman" w:hAnsi="Times New Roman" w:cs="Times New Roman"/>
          <w:color w:val="000000"/>
          <w:sz w:val="20"/>
          <w:szCs w:val="20"/>
        </w:rPr>
        <w:t xml:space="preserve"> ________________________________</w:t>
      </w:r>
    </w:p>
    <w:p w14:paraId="687C7211" w14:textId="77777777" w:rsidR="00387142" w:rsidRPr="008B6A75" w:rsidRDefault="00387142" w:rsidP="00387142">
      <w:pPr>
        <w:pStyle w:val="33"/>
        <w:shd w:val="clear" w:color="auto" w:fill="auto"/>
        <w:tabs>
          <w:tab w:val="left" w:pos="5437"/>
          <w:tab w:val="left" w:pos="6067"/>
          <w:tab w:val="left" w:pos="6216"/>
          <w:tab w:val="left" w:pos="7810"/>
        </w:tabs>
        <w:spacing w:before="0" w:after="0" w:line="240" w:lineRule="auto"/>
        <w:ind w:right="-2" w:firstLine="709"/>
        <w:jc w:val="both"/>
        <w:rPr>
          <w:rStyle w:val="32"/>
          <w:rFonts w:ascii="Times New Roman" w:hAnsi="Times New Roman" w:cs="Times New Roman"/>
          <w:color w:val="000000"/>
          <w:sz w:val="20"/>
          <w:szCs w:val="20"/>
        </w:rPr>
      </w:pPr>
      <w:r w:rsidRPr="008B6A75">
        <w:rPr>
          <w:rStyle w:val="32"/>
          <w:rFonts w:ascii="Times New Roman" w:hAnsi="Times New Roman" w:cs="Times New Roman"/>
          <w:color w:val="000000"/>
          <w:sz w:val="20"/>
          <w:szCs w:val="20"/>
        </w:rPr>
        <w:t xml:space="preserve">                                                                            (фамилия, имя, отчество), </w:t>
      </w:r>
    </w:p>
    <w:p w14:paraId="0930F050" w14:textId="77777777" w:rsidR="00387142" w:rsidRPr="008B6A75" w:rsidRDefault="00387142" w:rsidP="00387142">
      <w:pPr>
        <w:pStyle w:val="33"/>
        <w:shd w:val="clear" w:color="auto" w:fill="auto"/>
        <w:tabs>
          <w:tab w:val="left" w:pos="5437"/>
          <w:tab w:val="left" w:pos="6067"/>
          <w:tab w:val="left" w:pos="6216"/>
          <w:tab w:val="left" w:pos="7810"/>
        </w:tabs>
        <w:spacing w:before="0" w:after="0" w:line="240" w:lineRule="auto"/>
        <w:ind w:right="-2"/>
        <w:jc w:val="both"/>
        <w:rPr>
          <w:rStyle w:val="32"/>
          <w:rFonts w:ascii="Times New Roman" w:hAnsi="Times New Roman" w:cs="Times New Roman"/>
          <w:color w:val="000000"/>
          <w:sz w:val="20"/>
          <w:szCs w:val="20"/>
        </w:rPr>
      </w:pPr>
      <w:r w:rsidRPr="008B6A75">
        <w:rPr>
          <w:rStyle w:val="32"/>
          <w:rFonts w:ascii="Times New Roman" w:hAnsi="Times New Roman" w:cs="Times New Roman"/>
          <w:color w:val="000000"/>
          <w:sz w:val="20"/>
          <w:szCs w:val="20"/>
        </w:rPr>
        <w:t>______________________________________________________________________</w:t>
      </w:r>
    </w:p>
    <w:p w14:paraId="357FE363" w14:textId="77777777" w:rsidR="00387142" w:rsidRPr="008B6A75" w:rsidRDefault="00387142" w:rsidP="00387142">
      <w:pPr>
        <w:pStyle w:val="33"/>
        <w:shd w:val="clear" w:color="auto" w:fill="auto"/>
        <w:tabs>
          <w:tab w:val="left" w:pos="5437"/>
          <w:tab w:val="left" w:pos="6067"/>
          <w:tab w:val="left" w:pos="6216"/>
          <w:tab w:val="left" w:pos="7810"/>
        </w:tabs>
        <w:spacing w:before="0" w:after="0" w:line="240" w:lineRule="auto"/>
        <w:ind w:right="-2" w:firstLine="709"/>
        <w:jc w:val="both"/>
        <w:rPr>
          <w:rStyle w:val="32"/>
          <w:rFonts w:ascii="Times New Roman" w:hAnsi="Times New Roman" w:cs="Times New Roman"/>
          <w:color w:val="000000"/>
          <w:sz w:val="20"/>
          <w:szCs w:val="20"/>
        </w:rPr>
      </w:pPr>
      <w:r w:rsidRPr="008B6A75">
        <w:rPr>
          <w:rStyle w:val="311pt"/>
          <w:rFonts w:ascii="Times New Roman" w:hAnsi="Times New Roman" w:cs="Times New Roman"/>
          <w:color w:val="000000"/>
          <w:sz w:val="20"/>
          <w:szCs w:val="20"/>
        </w:rPr>
        <w:t xml:space="preserve">замещавшего </w:t>
      </w:r>
      <w:r w:rsidRPr="008B6A75">
        <w:rPr>
          <w:rStyle w:val="372"/>
          <w:rFonts w:ascii="Times New Roman" w:hAnsi="Times New Roman" w:cs="Times New Roman"/>
          <w:color w:val="000000"/>
          <w:sz w:val="20"/>
          <w:szCs w:val="20"/>
        </w:rPr>
        <w:t xml:space="preserve">должность </w:t>
      </w:r>
      <w:r w:rsidRPr="008B6A75">
        <w:rPr>
          <w:rStyle w:val="311pt"/>
          <w:rFonts w:ascii="Times New Roman" w:hAnsi="Times New Roman" w:cs="Times New Roman"/>
          <w:color w:val="000000"/>
          <w:sz w:val="20"/>
          <w:szCs w:val="20"/>
        </w:rPr>
        <w:t>муниципальной службы</w:t>
      </w:r>
      <w:r w:rsidRPr="008B6A75">
        <w:rPr>
          <w:rStyle w:val="32"/>
          <w:rFonts w:ascii="Times New Roman" w:hAnsi="Times New Roman" w:cs="Times New Roman"/>
          <w:color w:val="000000"/>
          <w:sz w:val="20"/>
          <w:szCs w:val="20"/>
        </w:rPr>
        <w:t xml:space="preserve"> _______________________ </w:t>
      </w:r>
    </w:p>
    <w:p w14:paraId="06431AE5" w14:textId="77777777" w:rsidR="00387142" w:rsidRPr="008B6A75" w:rsidRDefault="00387142" w:rsidP="00387142">
      <w:pPr>
        <w:pStyle w:val="33"/>
        <w:shd w:val="clear" w:color="auto" w:fill="auto"/>
        <w:tabs>
          <w:tab w:val="left" w:pos="5437"/>
          <w:tab w:val="left" w:pos="6067"/>
          <w:tab w:val="left" w:pos="6216"/>
          <w:tab w:val="left" w:pos="7810"/>
        </w:tabs>
        <w:spacing w:before="0" w:after="0" w:line="240" w:lineRule="auto"/>
        <w:ind w:right="-2" w:firstLine="709"/>
        <w:jc w:val="both"/>
        <w:rPr>
          <w:rStyle w:val="32"/>
          <w:rFonts w:ascii="Times New Roman" w:hAnsi="Times New Roman" w:cs="Times New Roman"/>
          <w:color w:val="000000"/>
          <w:sz w:val="20"/>
          <w:szCs w:val="20"/>
        </w:rPr>
      </w:pPr>
      <w:r w:rsidRPr="008B6A75">
        <w:rPr>
          <w:rStyle w:val="32"/>
          <w:rFonts w:ascii="Times New Roman" w:hAnsi="Times New Roman" w:cs="Times New Roman"/>
          <w:color w:val="000000"/>
          <w:sz w:val="20"/>
          <w:szCs w:val="20"/>
        </w:rPr>
        <w:t xml:space="preserve">                                                                                      (наименование должности),</w:t>
      </w:r>
    </w:p>
    <w:p w14:paraId="576B7312" w14:textId="77777777" w:rsidR="00387142" w:rsidRPr="008B6A75" w:rsidRDefault="00387142" w:rsidP="00387142">
      <w:pPr>
        <w:pStyle w:val="33"/>
        <w:shd w:val="clear" w:color="auto" w:fill="auto"/>
        <w:tabs>
          <w:tab w:val="left" w:pos="5437"/>
          <w:tab w:val="left" w:pos="6067"/>
          <w:tab w:val="left" w:pos="6216"/>
          <w:tab w:val="left" w:pos="7810"/>
        </w:tabs>
        <w:spacing w:before="0" w:after="0" w:line="240" w:lineRule="auto"/>
        <w:ind w:right="-2"/>
        <w:jc w:val="both"/>
        <w:rPr>
          <w:rStyle w:val="372"/>
          <w:rFonts w:ascii="Times New Roman" w:hAnsi="Times New Roman" w:cs="Times New Roman"/>
          <w:color w:val="000000"/>
          <w:sz w:val="20"/>
          <w:szCs w:val="20"/>
        </w:rPr>
      </w:pPr>
      <w:r w:rsidRPr="008B6A75">
        <w:rPr>
          <w:rStyle w:val="372"/>
          <w:rFonts w:ascii="Times New Roman" w:hAnsi="Times New Roman" w:cs="Times New Roman"/>
          <w:color w:val="000000"/>
          <w:sz w:val="20"/>
          <w:szCs w:val="20"/>
        </w:rPr>
        <w:t>______________________________________________________________________</w:t>
      </w:r>
    </w:p>
    <w:p w14:paraId="502A5600" w14:textId="77777777" w:rsidR="00387142" w:rsidRPr="008B6A75" w:rsidRDefault="00387142" w:rsidP="00387142">
      <w:pPr>
        <w:pStyle w:val="33"/>
        <w:shd w:val="clear" w:color="auto" w:fill="auto"/>
        <w:tabs>
          <w:tab w:val="left" w:pos="5437"/>
          <w:tab w:val="left" w:pos="6067"/>
          <w:tab w:val="left" w:pos="6216"/>
          <w:tab w:val="left" w:pos="7810"/>
        </w:tabs>
        <w:spacing w:before="0" w:after="0" w:line="240" w:lineRule="auto"/>
        <w:ind w:right="-2"/>
        <w:jc w:val="both"/>
        <w:rPr>
          <w:rStyle w:val="372"/>
          <w:rFonts w:ascii="Times New Roman" w:hAnsi="Times New Roman" w:cs="Times New Roman"/>
          <w:color w:val="000000"/>
          <w:sz w:val="20"/>
          <w:szCs w:val="20"/>
        </w:rPr>
      </w:pPr>
      <w:r w:rsidRPr="008B6A75">
        <w:rPr>
          <w:rStyle w:val="372"/>
          <w:rFonts w:ascii="Times New Roman" w:hAnsi="Times New Roman" w:cs="Times New Roman"/>
          <w:color w:val="000000"/>
          <w:sz w:val="20"/>
          <w:szCs w:val="20"/>
        </w:rPr>
        <w:t xml:space="preserve">в администрации Куйбышевского муниципального района Новосибирской области за </w:t>
      </w:r>
      <w:r w:rsidRPr="008B6A75">
        <w:rPr>
          <w:rStyle w:val="311pt"/>
          <w:rFonts w:ascii="Times New Roman" w:hAnsi="Times New Roman" w:cs="Times New Roman"/>
          <w:color w:val="000000"/>
          <w:sz w:val="20"/>
          <w:szCs w:val="20"/>
        </w:rPr>
        <w:t xml:space="preserve">период </w:t>
      </w:r>
      <w:r w:rsidRPr="008B6A75">
        <w:rPr>
          <w:rStyle w:val="372"/>
          <w:rFonts w:ascii="Times New Roman" w:hAnsi="Times New Roman" w:cs="Times New Roman"/>
          <w:color w:val="000000"/>
          <w:sz w:val="20"/>
          <w:szCs w:val="20"/>
        </w:rPr>
        <w:t xml:space="preserve">с </w:t>
      </w:r>
      <w:r w:rsidRPr="008B6A75">
        <w:rPr>
          <w:rStyle w:val="311pt"/>
          <w:rFonts w:ascii="Times New Roman" w:hAnsi="Times New Roman" w:cs="Times New Roman"/>
          <w:color w:val="000000"/>
          <w:sz w:val="20"/>
          <w:szCs w:val="20"/>
        </w:rPr>
        <w:t>«______» __________20____</w:t>
      </w:r>
      <w:r w:rsidRPr="008B6A75">
        <w:rPr>
          <w:rStyle w:val="372"/>
          <w:rFonts w:ascii="Times New Roman" w:hAnsi="Times New Roman" w:cs="Times New Roman"/>
          <w:color w:val="000000"/>
          <w:sz w:val="20"/>
          <w:szCs w:val="20"/>
        </w:rPr>
        <w:t>г. по «____» ___________ 20_____ г. составило:</w:t>
      </w:r>
    </w:p>
    <w:p w14:paraId="03321D63" w14:textId="77777777" w:rsidR="00387142" w:rsidRPr="008B6A75" w:rsidRDefault="00387142" w:rsidP="00387142">
      <w:pPr>
        <w:pStyle w:val="33"/>
        <w:shd w:val="clear" w:color="auto" w:fill="auto"/>
        <w:tabs>
          <w:tab w:val="left" w:pos="5437"/>
          <w:tab w:val="left" w:pos="6067"/>
          <w:tab w:val="left" w:pos="6216"/>
          <w:tab w:val="left" w:pos="7810"/>
        </w:tabs>
        <w:spacing w:before="0" w:after="0" w:line="240" w:lineRule="auto"/>
        <w:ind w:right="-979"/>
        <w:jc w:val="both"/>
        <w:rPr>
          <w:rStyle w:val="372"/>
          <w:rFonts w:ascii="Times New Roman" w:hAnsi="Times New Roman" w:cs="Times New Roman"/>
          <w:color w:val="000000"/>
          <w:sz w:val="20"/>
          <w:szCs w:val="20"/>
        </w:rPr>
      </w:pPr>
    </w:p>
    <w:tbl>
      <w:tblPr>
        <w:tblStyle w:val="affa"/>
        <w:tblW w:w="5000" w:type="pct"/>
        <w:jc w:val="center"/>
        <w:tblLook w:val="01E0" w:firstRow="1" w:lastRow="1" w:firstColumn="1" w:lastColumn="1" w:noHBand="0" w:noVBand="0"/>
      </w:tblPr>
      <w:tblGrid>
        <w:gridCol w:w="3882"/>
        <w:gridCol w:w="1091"/>
        <w:gridCol w:w="2058"/>
        <w:gridCol w:w="3170"/>
      </w:tblGrid>
      <w:tr w:rsidR="00387142" w:rsidRPr="008B6A75" w14:paraId="6021FFD3" w14:textId="77777777" w:rsidTr="00387142">
        <w:trPr>
          <w:jc w:val="center"/>
        </w:trPr>
        <w:tc>
          <w:tcPr>
            <w:tcW w:w="3857" w:type="dxa"/>
            <w:vMerge w:val="restart"/>
          </w:tcPr>
          <w:p w14:paraId="349E1B35" w14:textId="77777777" w:rsidR="00387142" w:rsidRPr="008B6A75" w:rsidRDefault="00387142" w:rsidP="00387142">
            <w:pPr>
              <w:pStyle w:val="33"/>
              <w:shd w:val="clear" w:color="auto" w:fill="auto"/>
              <w:spacing w:before="0" w:after="0" w:line="240" w:lineRule="auto"/>
              <w:ind w:left="29" w:right="11"/>
              <w:jc w:val="left"/>
              <w:rPr>
                <w:rFonts w:ascii="Times New Roman" w:hAnsi="Times New Roman" w:cs="Times New Roman"/>
                <w:i w:val="0"/>
                <w:iCs w:val="0"/>
                <w:sz w:val="20"/>
                <w:szCs w:val="20"/>
              </w:rPr>
            </w:pPr>
          </w:p>
        </w:tc>
        <w:tc>
          <w:tcPr>
            <w:tcW w:w="1084" w:type="dxa"/>
            <w:vMerge w:val="restart"/>
          </w:tcPr>
          <w:p w14:paraId="30869B98" w14:textId="77777777" w:rsidR="00387142" w:rsidRPr="008B6A75" w:rsidRDefault="00387142" w:rsidP="00387142">
            <w:pPr>
              <w:pStyle w:val="33"/>
              <w:shd w:val="clear" w:color="auto" w:fill="auto"/>
              <w:tabs>
                <w:tab w:val="left" w:pos="5437"/>
                <w:tab w:val="left" w:pos="6067"/>
                <w:tab w:val="left" w:pos="6216"/>
                <w:tab w:val="left" w:pos="7810"/>
              </w:tabs>
              <w:spacing w:before="0" w:after="0" w:line="240" w:lineRule="auto"/>
              <w:jc w:val="both"/>
              <w:rPr>
                <w:rFonts w:ascii="Times New Roman" w:hAnsi="Times New Roman" w:cs="Times New Roman"/>
                <w:i w:val="0"/>
                <w:sz w:val="20"/>
                <w:szCs w:val="20"/>
              </w:rPr>
            </w:pPr>
            <w:r w:rsidRPr="008B6A75">
              <w:rPr>
                <w:rFonts w:ascii="Times New Roman" w:hAnsi="Times New Roman" w:cs="Times New Roman"/>
                <w:i w:val="0"/>
                <w:sz w:val="20"/>
                <w:szCs w:val="20"/>
              </w:rPr>
              <w:t xml:space="preserve">За 12 месяцев, рублей </w:t>
            </w:r>
          </w:p>
        </w:tc>
        <w:tc>
          <w:tcPr>
            <w:tcW w:w="5195" w:type="dxa"/>
            <w:gridSpan w:val="2"/>
          </w:tcPr>
          <w:p w14:paraId="370BF0CF" w14:textId="77777777" w:rsidR="00387142" w:rsidRPr="008B6A75" w:rsidRDefault="00387142" w:rsidP="00387142">
            <w:pPr>
              <w:pStyle w:val="33"/>
              <w:shd w:val="clear" w:color="auto" w:fill="auto"/>
              <w:tabs>
                <w:tab w:val="left" w:pos="5437"/>
                <w:tab w:val="left" w:pos="6067"/>
                <w:tab w:val="left" w:pos="6216"/>
                <w:tab w:val="left" w:pos="7810"/>
              </w:tabs>
              <w:spacing w:before="0" w:after="0" w:line="240" w:lineRule="auto"/>
              <w:ind w:left="170" w:right="169"/>
              <w:rPr>
                <w:rFonts w:ascii="Times New Roman" w:hAnsi="Times New Roman" w:cs="Times New Roman"/>
                <w:i w:val="0"/>
                <w:iCs w:val="0"/>
                <w:sz w:val="20"/>
                <w:szCs w:val="20"/>
              </w:rPr>
            </w:pPr>
            <w:r w:rsidRPr="008B6A75">
              <w:rPr>
                <w:rFonts w:ascii="Times New Roman" w:hAnsi="Times New Roman" w:cs="Times New Roman"/>
                <w:i w:val="0"/>
                <w:iCs w:val="0"/>
                <w:sz w:val="20"/>
                <w:szCs w:val="20"/>
              </w:rPr>
              <w:t>В месяц</w:t>
            </w:r>
          </w:p>
        </w:tc>
      </w:tr>
      <w:tr w:rsidR="00387142" w:rsidRPr="008B6A75" w14:paraId="39A70B20" w14:textId="77777777" w:rsidTr="00387142">
        <w:trPr>
          <w:trHeight w:val="549"/>
          <w:jc w:val="center"/>
        </w:trPr>
        <w:tc>
          <w:tcPr>
            <w:tcW w:w="3857" w:type="dxa"/>
            <w:vMerge/>
          </w:tcPr>
          <w:p w14:paraId="13603E90" w14:textId="77777777" w:rsidR="00387142" w:rsidRPr="008B6A75" w:rsidRDefault="00387142" w:rsidP="00387142">
            <w:pPr>
              <w:pStyle w:val="33"/>
              <w:shd w:val="clear" w:color="auto" w:fill="auto"/>
              <w:tabs>
                <w:tab w:val="left" w:pos="5437"/>
                <w:tab w:val="left" w:pos="6067"/>
                <w:tab w:val="left" w:pos="6216"/>
                <w:tab w:val="left" w:pos="7810"/>
              </w:tabs>
              <w:spacing w:before="0" w:after="0" w:line="240" w:lineRule="auto"/>
              <w:ind w:left="29" w:right="11"/>
              <w:jc w:val="left"/>
              <w:rPr>
                <w:rFonts w:ascii="Times New Roman" w:hAnsi="Times New Roman" w:cs="Times New Roman"/>
                <w:i w:val="0"/>
                <w:iCs w:val="0"/>
                <w:sz w:val="20"/>
                <w:szCs w:val="20"/>
              </w:rPr>
            </w:pPr>
          </w:p>
        </w:tc>
        <w:tc>
          <w:tcPr>
            <w:tcW w:w="1084" w:type="dxa"/>
            <w:vMerge/>
          </w:tcPr>
          <w:p w14:paraId="6E4CC5EB" w14:textId="77777777" w:rsidR="00387142" w:rsidRPr="008B6A75" w:rsidRDefault="00387142" w:rsidP="00387142">
            <w:pPr>
              <w:pStyle w:val="33"/>
              <w:shd w:val="clear" w:color="auto" w:fill="auto"/>
              <w:tabs>
                <w:tab w:val="left" w:pos="5437"/>
                <w:tab w:val="left" w:pos="6067"/>
                <w:tab w:val="left" w:pos="6216"/>
                <w:tab w:val="left" w:pos="7810"/>
              </w:tabs>
              <w:spacing w:before="0" w:after="0" w:line="240" w:lineRule="auto"/>
              <w:ind w:left="-567" w:right="-979"/>
              <w:jc w:val="both"/>
              <w:rPr>
                <w:rFonts w:ascii="Times New Roman" w:hAnsi="Times New Roman" w:cs="Times New Roman"/>
                <w:i w:val="0"/>
                <w:iCs w:val="0"/>
                <w:sz w:val="20"/>
                <w:szCs w:val="20"/>
                <w:lang w:val="en-US"/>
              </w:rPr>
            </w:pPr>
          </w:p>
        </w:tc>
        <w:tc>
          <w:tcPr>
            <w:tcW w:w="2045" w:type="dxa"/>
          </w:tcPr>
          <w:p w14:paraId="1251BDA3" w14:textId="77777777" w:rsidR="00387142" w:rsidRPr="008B6A75" w:rsidRDefault="00387142" w:rsidP="00387142">
            <w:pPr>
              <w:pStyle w:val="33"/>
              <w:shd w:val="clear" w:color="auto" w:fill="auto"/>
              <w:tabs>
                <w:tab w:val="left" w:pos="5437"/>
                <w:tab w:val="left" w:pos="6067"/>
                <w:tab w:val="left" w:pos="6216"/>
                <w:tab w:val="left" w:pos="7810"/>
              </w:tabs>
              <w:spacing w:before="0" w:after="0" w:line="240" w:lineRule="auto"/>
              <w:ind w:right="76"/>
              <w:rPr>
                <w:rFonts w:ascii="Times New Roman" w:hAnsi="Times New Roman" w:cs="Times New Roman"/>
                <w:i w:val="0"/>
                <w:iCs w:val="0"/>
                <w:sz w:val="20"/>
                <w:szCs w:val="20"/>
              </w:rPr>
            </w:pPr>
            <w:r w:rsidRPr="008B6A75">
              <w:rPr>
                <w:rFonts w:ascii="Times New Roman" w:hAnsi="Times New Roman" w:cs="Times New Roman"/>
                <w:i w:val="0"/>
                <w:iCs w:val="0"/>
                <w:sz w:val="20"/>
                <w:szCs w:val="20"/>
              </w:rPr>
              <w:t>процентов</w:t>
            </w:r>
          </w:p>
        </w:tc>
        <w:tc>
          <w:tcPr>
            <w:tcW w:w="3150" w:type="dxa"/>
          </w:tcPr>
          <w:p w14:paraId="64E4D407" w14:textId="77777777" w:rsidR="00387142" w:rsidRPr="008B6A75" w:rsidRDefault="00387142" w:rsidP="00387142">
            <w:pPr>
              <w:pStyle w:val="33"/>
              <w:shd w:val="clear" w:color="auto" w:fill="auto"/>
              <w:tabs>
                <w:tab w:val="left" w:pos="5437"/>
                <w:tab w:val="left" w:pos="6067"/>
                <w:tab w:val="left" w:pos="6216"/>
                <w:tab w:val="left" w:pos="7810"/>
              </w:tabs>
              <w:spacing w:before="0" w:after="0" w:line="240" w:lineRule="auto"/>
              <w:ind w:right="169"/>
              <w:rPr>
                <w:rFonts w:ascii="Times New Roman" w:hAnsi="Times New Roman" w:cs="Times New Roman"/>
                <w:i w:val="0"/>
                <w:iCs w:val="0"/>
                <w:sz w:val="20"/>
                <w:szCs w:val="20"/>
              </w:rPr>
            </w:pPr>
            <w:r w:rsidRPr="008B6A75">
              <w:rPr>
                <w:rFonts w:ascii="Times New Roman" w:hAnsi="Times New Roman" w:cs="Times New Roman"/>
                <w:i w:val="0"/>
                <w:iCs w:val="0"/>
                <w:sz w:val="20"/>
                <w:szCs w:val="20"/>
              </w:rPr>
              <w:t>рублей</w:t>
            </w:r>
          </w:p>
        </w:tc>
      </w:tr>
      <w:tr w:rsidR="00387142" w:rsidRPr="008B6A75" w14:paraId="182F1FD9" w14:textId="77777777" w:rsidTr="00387142">
        <w:trPr>
          <w:trHeight w:val="282"/>
          <w:jc w:val="center"/>
        </w:trPr>
        <w:tc>
          <w:tcPr>
            <w:tcW w:w="3857" w:type="dxa"/>
          </w:tcPr>
          <w:p w14:paraId="5862AAC2" w14:textId="77777777" w:rsidR="00387142" w:rsidRPr="008B6A75" w:rsidRDefault="00387142" w:rsidP="00387142">
            <w:pPr>
              <w:pStyle w:val="33"/>
              <w:shd w:val="clear" w:color="auto" w:fill="auto"/>
              <w:tabs>
                <w:tab w:val="left" w:pos="5437"/>
                <w:tab w:val="left" w:pos="6067"/>
                <w:tab w:val="left" w:pos="6216"/>
                <w:tab w:val="left" w:pos="7810"/>
              </w:tabs>
              <w:spacing w:before="0" w:after="0" w:line="240" w:lineRule="auto"/>
              <w:ind w:left="29" w:right="11"/>
              <w:jc w:val="left"/>
              <w:rPr>
                <w:rFonts w:ascii="Times New Roman" w:hAnsi="Times New Roman" w:cs="Times New Roman"/>
                <w:i w:val="0"/>
                <w:iCs w:val="0"/>
                <w:sz w:val="20"/>
                <w:szCs w:val="20"/>
                <w:lang w:val="en-US"/>
              </w:rPr>
            </w:pPr>
            <w:r w:rsidRPr="008B6A75">
              <w:rPr>
                <w:rFonts w:ascii="Times New Roman" w:hAnsi="Times New Roman" w:cs="Times New Roman"/>
                <w:i w:val="0"/>
                <w:iCs w:val="0"/>
                <w:sz w:val="20"/>
                <w:szCs w:val="20"/>
              </w:rPr>
              <w:t>Среднемесячное денежное содержание</w:t>
            </w:r>
            <w:r w:rsidRPr="008B6A75">
              <w:rPr>
                <w:rFonts w:ascii="Times New Roman" w:hAnsi="Times New Roman" w:cs="Times New Roman"/>
                <w:i w:val="0"/>
                <w:iCs w:val="0"/>
                <w:sz w:val="20"/>
                <w:szCs w:val="20"/>
                <w:lang w:val="en-US"/>
              </w:rPr>
              <w:t>:</w:t>
            </w:r>
          </w:p>
        </w:tc>
        <w:tc>
          <w:tcPr>
            <w:tcW w:w="1084" w:type="dxa"/>
          </w:tcPr>
          <w:p w14:paraId="5C3DB00A" w14:textId="77777777" w:rsidR="00387142" w:rsidRPr="008B6A75" w:rsidRDefault="00387142" w:rsidP="00387142">
            <w:pPr>
              <w:pStyle w:val="33"/>
              <w:shd w:val="clear" w:color="auto" w:fill="auto"/>
              <w:tabs>
                <w:tab w:val="left" w:pos="5437"/>
                <w:tab w:val="left" w:pos="6067"/>
                <w:tab w:val="left" w:pos="6216"/>
                <w:tab w:val="left" w:pos="7810"/>
              </w:tabs>
              <w:spacing w:before="0" w:after="0" w:line="240" w:lineRule="auto"/>
              <w:ind w:left="-567" w:right="-979"/>
              <w:jc w:val="both"/>
              <w:rPr>
                <w:rFonts w:ascii="Times New Roman" w:hAnsi="Times New Roman" w:cs="Times New Roman"/>
                <w:i w:val="0"/>
                <w:iCs w:val="0"/>
                <w:sz w:val="20"/>
                <w:szCs w:val="20"/>
                <w:lang w:val="en-US"/>
              </w:rPr>
            </w:pPr>
          </w:p>
        </w:tc>
        <w:tc>
          <w:tcPr>
            <w:tcW w:w="2045" w:type="dxa"/>
          </w:tcPr>
          <w:p w14:paraId="45974820" w14:textId="77777777" w:rsidR="00387142" w:rsidRPr="008B6A75" w:rsidRDefault="00387142" w:rsidP="00387142">
            <w:pPr>
              <w:pStyle w:val="33"/>
              <w:shd w:val="clear" w:color="auto" w:fill="auto"/>
              <w:tabs>
                <w:tab w:val="left" w:pos="5437"/>
                <w:tab w:val="left" w:pos="6067"/>
                <w:tab w:val="left" w:pos="6216"/>
                <w:tab w:val="left" w:pos="7810"/>
              </w:tabs>
              <w:spacing w:before="0" w:after="0" w:line="240" w:lineRule="auto"/>
              <w:ind w:left="-567" w:right="-979"/>
              <w:jc w:val="both"/>
              <w:rPr>
                <w:rFonts w:ascii="Times New Roman" w:hAnsi="Times New Roman" w:cs="Times New Roman"/>
                <w:i w:val="0"/>
                <w:iCs w:val="0"/>
                <w:sz w:val="20"/>
                <w:szCs w:val="20"/>
                <w:lang w:val="en-US"/>
              </w:rPr>
            </w:pPr>
          </w:p>
        </w:tc>
        <w:tc>
          <w:tcPr>
            <w:tcW w:w="3150" w:type="dxa"/>
          </w:tcPr>
          <w:p w14:paraId="57B6BAF5" w14:textId="77777777" w:rsidR="00387142" w:rsidRPr="008B6A75" w:rsidRDefault="00387142" w:rsidP="00387142">
            <w:pPr>
              <w:pStyle w:val="33"/>
              <w:shd w:val="clear" w:color="auto" w:fill="auto"/>
              <w:tabs>
                <w:tab w:val="left" w:pos="5437"/>
                <w:tab w:val="left" w:pos="6067"/>
                <w:tab w:val="left" w:pos="6216"/>
                <w:tab w:val="left" w:pos="7810"/>
              </w:tabs>
              <w:spacing w:before="0" w:after="0" w:line="240" w:lineRule="auto"/>
              <w:ind w:left="-567" w:right="-979"/>
              <w:jc w:val="both"/>
              <w:rPr>
                <w:rFonts w:ascii="Times New Roman" w:hAnsi="Times New Roman" w:cs="Times New Roman"/>
                <w:i w:val="0"/>
                <w:iCs w:val="0"/>
                <w:sz w:val="20"/>
                <w:szCs w:val="20"/>
                <w:lang w:val="en-US"/>
              </w:rPr>
            </w:pPr>
          </w:p>
        </w:tc>
      </w:tr>
      <w:tr w:rsidR="00387142" w:rsidRPr="008B6A75" w14:paraId="156B62CB" w14:textId="77777777" w:rsidTr="00387142">
        <w:trPr>
          <w:jc w:val="center"/>
        </w:trPr>
        <w:tc>
          <w:tcPr>
            <w:tcW w:w="3857" w:type="dxa"/>
          </w:tcPr>
          <w:p w14:paraId="62E58F50" w14:textId="77777777" w:rsidR="00387142" w:rsidRPr="008B6A75" w:rsidRDefault="00387142" w:rsidP="00387142">
            <w:pPr>
              <w:pStyle w:val="33"/>
              <w:shd w:val="clear" w:color="auto" w:fill="auto"/>
              <w:tabs>
                <w:tab w:val="left" w:pos="5437"/>
                <w:tab w:val="left" w:pos="6067"/>
                <w:tab w:val="left" w:pos="6216"/>
                <w:tab w:val="left" w:pos="7810"/>
              </w:tabs>
              <w:spacing w:before="0" w:after="0" w:line="240" w:lineRule="auto"/>
              <w:ind w:left="29" w:right="11"/>
              <w:jc w:val="left"/>
              <w:rPr>
                <w:rFonts w:ascii="Times New Roman" w:hAnsi="Times New Roman" w:cs="Times New Roman"/>
                <w:i w:val="0"/>
                <w:iCs w:val="0"/>
                <w:sz w:val="20"/>
                <w:szCs w:val="20"/>
              </w:rPr>
            </w:pPr>
            <w:r w:rsidRPr="008B6A75">
              <w:rPr>
                <w:rFonts w:ascii="Times New Roman" w:hAnsi="Times New Roman" w:cs="Times New Roman"/>
                <w:i w:val="0"/>
                <w:iCs w:val="0"/>
                <w:sz w:val="20"/>
                <w:szCs w:val="20"/>
              </w:rPr>
              <w:t>1) должностной оклад</w:t>
            </w:r>
          </w:p>
        </w:tc>
        <w:tc>
          <w:tcPr>
            <w:tcW w:w="1084" w:type="dxa"/>
          </w:tcPr>
          <w:p w14:paraId="1BB7D4D8" w14:textId="77777777" w:rsidR="00387142" w:rsidRPr="008B6A75" w:rsidRDefault="00387142" w:rsidP="00387142">
            <w:pPr>
              <w:pStyle w:val="33"/>
              <w:shd w:val="clear" w:color="auto" w:fill="auto"/>
              <w:tabs>
                <w:tab w:val="left" w:pos="5437"/>
                <w:tab w:val="left" w:pos="6067"/>
                <w:tab w:val="left" w:pos="6216"/>
                <w:tab w:val="left" w:pos="7810"/>
              </w:tabs>
              <w:spacing w:before="0" w:after="0" w:line="240" w:lineRule="auto"/>
              <w:ind w:left="-567" w:right="-979"/>
              <w:jc w:val="both"/>
              <w:rPr>
                <w:rFonts w:ascii="Times New Roman" w:hAnsi="Times New Roman" w:cs="Times New Roman"/>
                <w:i w:val="0"/>
                <w:iCs w:val="0"/>
                <w:sz w:val="20"/>
                <w:szCs w:val="20"/>
                <w:lang w:val="en-US"/>
              </w:rPr>
            </w:pPr>
          </w:p>
        </w:tc>
        <w:tc>
          <w:tcPr>
            <w:tcW w:w="2045" w:type="dxa"/>
          </w:tcPr>
          <w:p w14:paraId="766D21B5" w14:textId="77777777" w:rsidR="00387142" w:rsidRPr="008B6A75" w:rsidRDefault="00387142" w:rsidP="00387142">
            <w:pPr>
              <w:pStyle w:val="33"/>
              <w:shd w:val="clear" w:color="auto" w:fill="auto"/>
              <w:tabs>
                <w:tab w:val="left" w:pos="5437"/>
                <w:tab w:val="left" w:pos="6067"/>
                <w:tab w:val="left" w:pos="6216"/>
                <w:tab w:val="left" w:pos="7810"/>
              </w:tabs>
              <w:spacing w:before="0" w:after="0" w:line="240" w:lineRule="auto"/>
              <w:ind w:left="-567" w:right="-979"/>
              <w:jc w:val="both"/>
              <w:rPr>
                <w:rFonts w:ascii="Times New Roman" w:hAnsi="Times New Roman" w:cs="Times New Roman"/>
                <w:i w:val="0"/>
                <w:iCs w:val="0"/>
                <w:sz w:val="20"/>
                <w:szCs w:val="20"/>
                <w:lang w:val="en-US"/>
              </w:rPr>
            </w:pPr>
          </w:p>
        </w:tc>
        <w:tc>
          <w:tcPr>
            <w:tcW w:w="3150" w:type="dxa"/>
          </w:tcPr>
          <w:p w14:paraId="53B30248" w14:textId="77777777" w:rsidR="00387142" w:rsidRPr="008B6A75" w:rsidRDefault="00387142" w:rsidP="00387142">
            <w:pPr>
              <w:pStyle w:val="33"/>
              <w:shd w:val="clear" w:color="auto" w:fill="auto"/>
              <w:tabs>
                <w:tab w:val="left" w:pos="5437"/>
                <w:tab w:val="left" w:pos="6067"/>
                <w:tab w:val="left" w:pos="6216"/>
                <w:tab w:val="left" w:pos="7810"/>
              </w:tabs>
              <w:spacing w:before="0" w:after="0" w:line="240" w:lineRule="auto"/>
              <w:ind w:left="-567" w:right="-979"/>
              <w:jc w:val="both"/>
              <w:rPr>
                <w:rFonts w:ascii="Times New Roman" w:hAnsi="Times New Roman" w:cs="Times New Roman"/>
                <w:i w:val="0"/>
                <w:iCs w:val="0"/>
                <w:sz w:val="20"/>
                <w:szCs w:val="20"/>
                <w:lang w:val="en-US"/>
              </w:rPr>
            </w:pPr>
          </w:p>
        </w:tc>
      </w:tr>
      <w:tr w:rsidR="00387142" w:rsidRPr="008B6A75" w14:paraId="46ABF817" w14:textId="77777777" w:rsidTr="00387142">
        <w:trPr>
          <w:trHeight w:val="445"/>
          <w:jc w:val="center"/>
        </w:trPr>
        <w:tc>
          <w:tcPr>
            <w:tcW w:w="3857" w:type="dxa"/>
          </w:tcPr>
          <w:p w14:paraId="53B9C908" w14:textId="77777777" w:rsidR="00387142" w:rsidRPr="008B6A75" w:rsidRDefault="00387142" w:rsidP="00387142">
            <w:pPr>
              <w:pStyle w:val="33"/>
              <w:shd w:val="clear" w:color="auto" w:fill="auto"/>
              <w:tabs>
                <w:tab w:val="left" w:pos="5437"/>
                <w:tab w:val="left" w:pos="6067"/>
                <w:tab w:val="left" w:pos="6216"/>
                <w:tab w:val="left" w:pos="7810"/>
              </w:tabs>
              <w:spacing w:before="0" w:after="0" w:line="240" w:lineRule="auto"/>
              <w:ind w:left="29" w:right="11"/>
              <w:jc w:val="left"/>
              <w:rPr>
                <w:rFonts w:ascii="Times New Roman" w:hAnsi="Times New Roman" w:cs="Times New Roman"/>
                <w:i w:val="0"/>
                <w:iCs w:val="0"/>
                <w:sz w:val="20"/>
                <w:szCs w:val="20"/>
              </w:rPr>
            </w:pPr>
            <w:r w:rsidRPr="008B6A75">
              <w:rPr>
                <w:rFonts w:ascii="Times New Roman" w:hAnsi="Times New Roman" w:cs="Times New Roman"/>
                <w:i w:val="0"/>
                <w:iCs w:val="0"/>
                <w:sz w:val="20"/>
                <w:szCs w:val="20"/>
              </w:rPr>
              <w:t>2) ежемесячная надбавка к должностному окладу за классный чин муниципального служащего</w:t>
            </w:r>
          </w:p>
        </w:tc>
        <w:tc>
          <w:tcPr>
            <w:tcW w:w="1084" w:type="dxa"/>
          </w:tcPr>
          <w:p w14:paraId="19621618" w14:textId="77777777" w:rsidR="00387142" w:rsidRPr="008B6A75" w:rsidRDefault="00387142" w:rsidP="00387142">
            <w:pPr>
              <w:pStyle w:val="33"/>
              <w:shd w:val="clear" w:color="auto" w:fill="auto"/>
              <w:tabs>
                <w:tab w:val="left" w:pos="5437"/>
                <w:tab w:val="left" w:pos="6067"/>
                <w:tab w:val="left" w:pos="6216"/>
                <w:tab w:val="left" w:pos="7810"/>
              </w:tabs>
              <w:spacing w:before="0" w:after="0" w:line="240" w:lineRule="auto"/>
              <w:ind w:left="-567" w:right="-979"/>
              <w:jc w:val="both"/>
              <w:rPr>
                <w:rFonts w:ascii="Times New Roman" w:hAnsi="Times New Roman" w:cs="Times New Roman"/>
                <w:i w:val="0"/>
                <w:iCs w:val="0"/>
                <w:sz w:val="20"/>
                <w:szCs w:val="20"/>
              </w:rPr>
            </w:pPr>
          </w:p>
        </w:tc>
        <w:tc>
          <w:tcPr>
            <w:tcW w:w="2045" w:type="dxa"/>
          </w:tcPr>
          <w:p w14:paraId="62F6568E" w14:textId="77777777" w:rsidR="00387142" w:rsidRPr="008B6A75" w:rsidRDefault="00387142" w:rsidP="00387142">
            <w:pPr>
              <w:pStyle w:val="33"/>
              <w:shd w:val="clear" w:color="auto" w:fill="auto"/>
              <w:tabs>
                <w:tab w:val="left" w:pos="5437"/>
                <w:tab w:val="left" w:pos="6067"/>
                <w:tab w:val="left" w:pos="6216"/>
                <w:tab w:val="left" w:pos="7810"/>
              </w:tabs>
              <w:spacing w:before="0" w:after="0" w:line="240" w:lineRule="auto"/>
              <w:ind w:left="-567" w:right="-979"/>
              <w:jc w:val="both"/>
              <w:rPr>
                <w:rFonts w:ascii="Times New Roman" w:hAnsi="Times New Roman" w:cs="Times New Roman"/>
                <w:i w:val="0"/>
                <w:iCs w:val="0"/>
                <w:sz w:val="20"/>
                <w:szCs w:val="20"/>
              </w:rPr>
            </w:pPr>
          </w:p>
        </w:tc>
        <w:tc>
          <w:tcPr>
            <w:tcW w:w="3150" w:type="dxa"/>
          </w:tcPr>
          <w:p w14:paraId="1F637C80" w14:textId="77777777" w:rsidR="00387142" w:rsidRPr="008B6A75" w:rsidRDefault="00387142" w:rsidP="00387142">
            <w:pPr>
              <w:pStyle w:val="33"/>
              <w:shd w:val="clear" w:color="auto" w:fill="auto"/>
              <w:tabs>
                <w:tab w:val="left" w:pos="5437"/>
                <w:tab w:val="left" w:pos="6067"/>
                <w:tab w:val="left" w:pos="6216"/>
                <w:tab w:val="left" w:pos="7810"/>
              </w:tabs>
              <w:spacing w:before="0" w:after="0" w:line="240" w:lineRule="auto"/>
              <w:ind w:left="-567" w:right="-979"/>
              <w:jc w:val="both"/>
              <w:rPr>
                <w:rFonts w:ascii="Times New Roman" w:hAnsi="Times New Roman" w:cs="Times New Roman"/>
                <w:i w:val="0"/>
                <w:iCs w:val="0"/>
                <w:sz w:val="20"/>
                <w:szCs w:val="20"/>
              </w:rPr>
            </w:pPr>
          </w:p>
        </w:tc>
      </w:tr>
      <w:tr w:rsidR="00387142" w:rsidRPr="008B6A75" w14:paraId="752425D1" w14:textId="77777777" w:rsidTr="00387142">
        <w:trPr>
          <w:jc w:val="center"/>
        </w:trPr>
        <w:tc>
          <w:tcPr>
            <w:tcW w:w="3857" w:type="dxa"/>
          </w:tcPr>
          <w:p w14:paraId="4E597008" w14:textId="77777777" w:rsidR="00387142" w:rsidRPr="008B6A75" w:rsidRDefault="00387142" w:rsidP="00387142">
            <w:pPr>
              <w:pStyle w:val="33"/>
              <w:shd w:val="clear" w:color="auto" w:fill="auto"/>
              <w:tabs>
                <w:tab w:val="left" w:pos="5437"/>
                <w:tab w:val="left" w:pos="6067"/>
                <w:tab w:val="left" w:pos="6216"/>
                <w:tab w:val="left" w:pos="7810"/>
              </w:tabs>
              <w:spacing w:before="0" w:after="0" w:line="240" w:lineRule="auto"/>
              <w:ind w:left="29" w:right="11"/>
              <w:jc w:val="left"/>
              <w:rPr>
                <w:rFonts w:ascii="Times New Roman" w:hAnsi="Times New Roman" w:cs="Times New Roman"/>
                <w:i w:val="0"/>
                <w:iCs w:val="0"/>
                <w:sz w:val="20"/>
                <w:szCs w:val="20"/>
              </w:rPr>
            </w:pPr>
            <w:r w:rsidRPr="008B6A75">
              <w:rPr>
                <w:rFonts w:ascii="Times New Roman" w:hAnsi="Times New Roman" w:cs="Times New Roman"/>
                <w:i w:val="0"/>
                <w:iCs w:val="0"/>
                <w:sz w:val="20"/>
                <w:szCs w:val="20"/>
              </w:rPr>
              <w:t>3) ежемесячная надбавка к должностному окладу за выслугу лет на муниципальной службе</w:t>
            </w:r>
          </w:p>
        </w:tc>
        <w:tc>
          <w:tcPr>
            <w:tcW w:w="1084" w:type="dxa"/>
          </w:tcPr>
          <w:p w14:paraId="582BCF67" w14:textId="77777777" w:rsidR="00387142" w:rsidRPr="008B6A75" w:rsidRDefault="00387142" w:rsidP="00387142">
            <w:pPr>
              <w:pStyle w:val="33"/>
              <w:shd w:val="clear" w:color="auto" w:fill="auto"/>
              <w:tabs>
                <w:tab w:val="left" w:pos="5437"/>
                <w:tab w:val="left" w:pos="6067"/>
                <w:tab w:val="left" w:pos="6216"/>
                <w:tab w:val="left" w:pos="7810"/>
              </w:tabs>
              <w:spacing w:before="0" w:after="0" w:line="240" w:lineRule="auto"/>
              <w:ind w:left="-567" w:right="-979"/>
              <w:jc w:val="both"/>
              <w:rPr>
                <w:rFonts w:ascii="Times New Roman" w:hAnsi="Times New Roman" w:cs="Times New Roman"/>
                <w:i w:val="0"/>
                <w:iCs w:val="0"/>
                <w:sz w:val="20"/>
                <w:szCs w:val="20"/>
              </w:rPr>
            </w:pPr>
          </w:p>
        </w:tc>
        <w:tc>
          <w:tcPr>
            <w:tcW w:w="2045" w:type="dxa"/>
          </w:tcPr>
          <w:p w14:paraId="23C07CDC" w14:textId="77777777" w:rsidR="00387142" w:rsidRPr="008B6A75" w:rsidRDefault="00387142" w:rsidP="00387142">
            <w:pPr>
              <w:pStyle w:val="33"/>
              <w:shd w:val="clear" w:color="auto" w:fill="auto"/>
              <w:tabs>
                <w:tab w:val="left" w:pos="5437"/>
                <w:tab w:val="left" w:pos="6067"/>
                <w:tab w:val="left" w:pos="6216"/>
                <w:tab w:val="left" w:pos="7810"/>
              </w:tabs>
              <w:spacing w:before="0" w:after="0" w:line="240" w:lineRule="auto"/>
              <w:ind w:left="-567" w:right="-979"/>
              <w:jc w:val="both"/>
              <w:rPr>
                <w:rFonts w:ascii="Times New Roman" w:hAnsi="Times New Roman" w:cs="Times New Roman"/>
                <w:i w:val="0"/>
                <w:iCs w:val="0"/>
                <w:sz w:val="20"/>
                <w:szCs w:val="20"/>
              </w:rPr>
            </w:pPr>
          </w:p>
        </w:tc>
        <w:tc>
          <w:tcPr>
            <w:tcW w:w="3150" w:type="dxa"/>
          </w:tcPr>
          <w:p w14:paraId="2A82C09E" w14:textId="77777777" w:rsidR="00387142" w:rsidRPr="008B6A75" w:rsidRDefault="00387142" w:rsidP="00387142">
            <w:pPr>
              <w:pStyle w:val="33"/>
              <w:shd w:val="clear" w:color="auto" w:fill="auto"/>
              <w:tabs>
                <w:tab w:val="left" w:pos="5437"/>
                <w:tab w:val="left" w:pos="6067"/>
                <w:tab w:val="left" w:pos="6216"/>
                <w:tab w:val="left" w:pos="7810"/>
              </w:tabs>
              <w:spacing w:before="0" w:after="0" w:line="240" w:lineRule="auto"/>
              <w:ind w:left="-567" w:right="-979"/>
              <w:jc w:val="both"/>
              <w:rPr>
                <w:rFonts w:ascii="Times New Roman" w:hAnsi="Times New Roman" w:cs="Times New Roman"/>
                <w:i w:val="0"/>
                <w:iCs w:val="0"/>
                <w:sz w:val="20"/>
                <w:szCs w:val="20"/>
              </w:rPr>
            </w:pPr>
          </w:p>
        </w:tc>
      </w:tr>
      <w:tr w:rsidR="00387142" w:rsidRPr="008B6A75" w14:paraId="3A902435" w14:textId="77777777" w:rsidTr="00387142">
        <w:trPr>
          <w:jc w:val="center"/>
        </w:trPr>
        <w:tc>
          <w:tcPr>
            <w:tcW w:w="3857" w:type="dxa"/>
          </w:tcPr>
          <w:p w14:paraId="06CBBA84" w14:textId="77777777" w:rsidR="00387142" w:rsidRPr="008B6A75" w:rsidRDefault="00387142" w:rsidP="00387142">
            <w:pPr>
              <w:pStyle w:val="33"/>
              <w:shd w:val="clear" w:color="auto" w:fill="auto"/>
              <w:tabs>
                <w:tab w:val="left" w:pos="5437"/>
                <w:tab w:val="left" w:pos="6067"/>
                <w:tab w:val="left" w:pos="6216"/>
                <w:tab w:val="left" w:pos="7810"/>
              </w:tabs>
              <w:spacing w:before="0" w:after="0" w:line="240" w:lineRule="auto"/>
              <w:ind w:left="29" w:right="11"/>
              <w:jc w:val="left"/>
              <w:rPr>
                <w:rFonts w:ascii="Times New Roman" w:hAnsi="Times New Roman" w:cs="Times New Roman"/>
                <w:i w:val="0"/>
                <w:iCs w:val="0"/>
                <w:sz w:val="20"/>
                <w:szCs w:val="20"/>
              </w:rPr>
            </w:pPr>
            <w:r w:rsidRPr="008B6A75">
              <w:rPr>
                <w:rFonts w:ascii="Times New Roman" w:hAnsi="Times New Roman" w:cs="Times New Roman"/>
                <w:i w:val="0"/>
                <w:iCs w:val="0"/>
                <w:sz w:val="20"/>
                <w:szCs w:val="20"/>
              </w:rPr>
              <w:t>4) ежемесячная надбавка к должностному окладу за особые условия муниципальной службы</w:t>
            </w:r>
          </w:p>
        </w:tc>
        <w:tc>
          <w:tcPr>
            <w:tcW w:w="1084" w:type="dxa"/>
          </w:tcPr>
          <w:p w14:paraId="50BF0988" w14:textId="77777777" w:rsidR="00387142" w:rsidRPr="008B6A75" w:rsidRDefault="00387142" w:rsidP="00387142">
            <w:pPr>
              <w:pStyle w:val="33"/>
              <w:shd w:val="clear" w:color="auto" w:fill="auto"/>
              <w:tabs>
                <w:tab w:val="left" w:pos="5437"/>
                <w:tab w:val="left" w:pos="6067"/>
                <w:tab w:val="left" w:pos="6216"/>
                <w:tab w:val="left" w:pos="7810"/>
              </w:tabs>
              <w:spacing w:before="0" w:after="0" w:line="240" w:lineRule="auto"/>
              <w:ind w:left="-567" w:right="-979"/>
              <w:jc w:val="both"/>
              <w:rPr>
                <w:rFonts w:ascii="Times New Roman" w:hAnsi="Times New Roman" w:cs="Times New Roman"/>
                <w:i w:val="0"/>
                <w:iCs w:val="0"/>
                <w:sz w:val="20"/>
                <w:szCs w:val="20"/>
              </w:rPr>
            </w:pPr>
          </w:p>
        </w:tc>
        <w:tc>
          <w:tcPr>
            <w:tcW w:w="2045" w:type="dxa"/>
          </w:tcPr>
          <w:p w14:paraId="4BDD8D5B" w14:textId="77777777" w:rsidR="00387142" w:rsidRPr="008B6A75" w:rsidRDefault="00387142" w:rsidP="00387142">
            <w:pPr>
              <w:pStyle w:val="33"/>
              <w:shd w:val="clear" w:color="auto" w:fill="auto"/>
              <w:tabs>
                <w:tab w:val="left" w:pos="5437"/>
                <w:tab w:val="left" w:pos="6067"/>
                <w:tab w:val="left" w:pos="6216"/>
                <w:tab w:val="left" w:pos="7810"/>
              </w:tabs>
              <w:spacing w:before="0" w:after="0" w:line="240" w:lineRule="auto"/>
              <w:ind w:left="-567" w:right="-979"/>
              <w:jc w:val="both"/>
              <w:rPr>
                <w:rFonts w:ascii="Times New Roman" w:hAnsi="Times New Roman" w:cs="Times New Roman"/>
                <w:i w:val="0"/>
                <w:iCs w:val="0"/>
                <w:sz w:val="20"/>
                <w:szCs w:val="20"/>
              </w:rPr>
            </w:pPr>
          </w:p>
        </w:tc>
        <w:tc>
          <w:tcPr>
            <w:tcW w:w="3150" w:type="dxa"/>
          </w:tcPr>
          <w:p w14:paraId="0D84CBEE" w14:textId="77777777" w:rsidR="00387142" w:rsidRPr="008B6A75" w:rsidRDefault="00387142" w:rsidP="00387142">
            <w:pPr>
              <w:pStyle w:val="33"/>
              <w:shd w:val="clear" w:color="auto" w:fill="auto"/>
              <w:tabs>
                <w:tab w:val="left" w:pos="5437"/>
                <w:tab w:val="left" w:pos="6067"/>
                <w:tab w:val="left" w:pos="6216"/>
                <w:tab w:val="left" w:pos="7810"/>
              </w:tabs>
              <w:spacing w:before="0" w:after="0" w:line="240" w:lineRule="auto"/>
              <w:ind w:left="-567" w:right="-979"/>
              <w:jc w:val="both"/>
              <w:rPr>
                <w:rFonts w:ascii="Times New Roman" w:hAnsi="Times New Roman" w:cs="Times New Roman"/>
                <w:i w:val="0"/>
                <w:iCs w:val="0"/>
                <w:sz w:val="20"/>
                <w:szCs w:val="20"/>
              </w:rPr>
            </w:pPr>
          </w:p>
        </w:tc>
      </w:tr>
      <w:tr w:rsidR="00387142" w:rsidRPr="008B6A75" w14:paraId="73E6591D" w14:textId="77777777" w:rsidTr="00387142">
        <w:trPr>
          <w:jc w:val="center"/>
        </w:trPr>
        <w:tc>
          <w:tcPr>
            <w:tcW w:w="3857" w:type="dxa"/>
          </w:tcPr>
          <w:p w14:paraId="46C9C851" w14:textId="77777777" w:rsidR="00387142" w:rsidRPr="008B6A75" w:rsidRDefault="00387142" w:rsidP="00387142">
            <w:pPr>
              <w:pStyle w:val="33"/>
              <w:shd w:val="clear" w:color="auto" w:fill="auto"/>
              <w:tabs>
                <w:tab w:val="left" w:pos="5437"/>
                <w:tab w:val="left" w:pos="6067"/>
                <w:tab w:val="left" w:pos="6216"/>
                <w:tab w:val="left" w:pos="7810"/>
              </w:tabs>
              <w:spacing w:before="0" w:after="0" w:line="240" w:lineRule="auto"/>
              <w:ind w:left="29" w:right="11"/>
              <w:jc w:val="left"/>
              <w:rPr>
                <w:rFonts w:ascii="Times New Roman" w:hAnsi="Times New Roman" w:cs="Times New Roman"/>
                <w:i w:val="0"/>
                <w:iCs w:val="0"/>
                <w:sz w:val="20"/>
                <w:szCs w:val="20"/>
              </w:rPr>
            </w:pPr>
            <w:r w:rsidRPr="008B6A75">
              <w:rPr>
                <w:rFonts w:ascii="Times New Roman" w:hAnsi="Times New Roman" w:cs="Times New Roman"/>
                <w:i w:val="0"/>
                <w:iCs w:val="0"/>
                <w:sz w:val="20"/>
                <w:szCs w:val="20"/>
              </w:rPr>
              <w:t>5) ежемесячное денежное поощрение</w:t>
            </w:r>
          </w:p>
        </w:tc>
        <w:tc>
          <w:tcPr>
            <w:tcW w:w="1084" w:type="dxa"/>
          </w:tcPr>
          <w:p w14:paraId="461694B5" w14:textId="77777777" w:rsidR="00387142" w:rsidRPr="008B6A75" w:rsidRDefault="00387142" w:rsidP="00387142">
            <w:pPr>
              <w:pStyle w:val="33"/>
              <w:shd w:val="clear" w:color="auto" w:fill="auto"/>
              <w:tabs>
                <w:tab w:val="left" w:pos="5437"/>
                <w:tab w:val="left" w:pos="6067"/>
                <w:tab w:val="left" w:pos="6216"/>
                <w:tab w:val="left" w:pos="7810"/>
              </w:tabs>
              <w:spacing w:before="0" w:after="0" w:line="240" w:lineRule="auto"/>
              <w:ind w:left="-567" w:right="-979"/>
              <w:jc w:val="both"/>
              <w:rPr>
                <w:rFonts w:ascii="Times New Roman" w:hAnsi="Times New Roman" w:cs="Times New Roman"/>
                <w:i w:val="0"/>
                <w:iCs w:val="0"/>
                <w:sz w:val="20"/>
                <w:szCs w:val="20"/>
              </w:rPr>
            </w:pPr>
          </w:p>
        </w:tc>
        <w:tc>
          <w:tcPr>
            <w:tcW w:w="2045" w:type="dxa"/>
          </w:tcPr>
          <w:p w14:paraId="6B53AFF4" w14:textId="77777777" w:rsidR="00387142" w:rsidRPr="008B6A75" w:rsidRDefault="00387142" w:rsidP="00387142">
            <w:pPr>
              <w:pStyle w:val="33"/>
              <w:shd w:val="clear" w:color="auto" w:fill="auto"/>
              <w:tabs>
                <w:tab w:val="left" w:pos="5437"/>
                <w:tab w:val="left" w:pos="6067"/>
                <w:tab w:val="left" w:pos="6216"/>
                <w:tab w:val="left" w:pos="7810"/>
              </w:tabs>
              <w:spacing w:before="0" w:after="0" w:line="240" w:lineRule="auto"/>
              <w:ind w:left="-567" w:right="-979"/>
              <w:jc w:val="both"/>
              <w:rPr>
                <w:rFonts w:ascii="Times New Roman" w:hAnsi="Times New Roman" w:cs="Times New Roman"/>
                <w:i w:val="0"/>
                <w:iCs w:val="0"/>
                <w:sz w:val="20"/>
                <w:szCs w:val="20"/>
              </w:rPr>
            </w:pPr>
          </w:p>
        </w:tc>
        <w:tc>
          <w:tcPr>
            <w:tcW w:w="3150" w:type="dxa"/>
          </w:tcPr>
          <w:p w14:paraId="0492196F" w14:textId="77777777" w:rsidR="00387142" w:rsidRPr="008B6A75" w:rsidRDefault="00387142" w:rsidP="00387142">
            <w:pPr>
              <w:pStyle w:val="33"/>
              <w:shd w:val="clear" w:color="auto" w:fill="auto"/>
              <w:tabs>
                <w:tab w:val="left" w:pos="5437"/>
                <w:tab w:val="left" w:pos="6067"/>
                <w:tab w:val="left" w:pos="6216"/>
                <w:tab w:val="left" w:pos="7810"/>
              </w:tabs>
              <w:spacing w:before="0" w:after="0" w:line="240" w:lineRule="auto"/>
              <w:ind w:left="-567" w:right="-979"/>
              <w:jc w:val="both"/>
              <w:rPr>
                <w:rFonts w:ascii="Times New Roman" w:hAnsi="Times New Roman" w:cs="Times New Roman"/>
                <w:i w:val="0"/>
                <w:iCs w:val="0"/>
                <w:sz w:val="20"/>
                <w:szCs w:val="20"/>
              </w:rPr>
            </w:pPr>
          </w:p>
        </w:tc>
      </w:tr>
      <w:tr w:rsidR="00387142" w:rsidRPr="008B6A75" w14:paraId="4CCA1304" w14:textId="77777777" w:rsidTr="00387142">
        <w:trPr>
          <w:jc w:val="center"/>
        </w:trPr>
        <w:tc>
          <w:tcPr>
            <w:tcW w:w="3857" w:type="dxa"/>
          </w:tcPr>
          <w:p w14:paraId="66F5AAAA" w14:textId="77777777" w:rsidR="00387142" w:rsidRPr="008B6A75" w:rsidRDefault="00387142" w:rsidP="00387142">
            <w:pPr>
              <w:pStyle w:val="33"/>
              <w:shd w:val="clear" w:color="auto" w:fill="auto"/>
              <w:tabs>
                <w:tab w:val="left" w:pos="5437"/>
                <w:tab w:val="left" w:pos="6067"/>
                <w:tab w:val="left" w:pos="6216"/>
                <w:tab w:val="left" w:pos="7810"/>
              </w:tabs>
              <w:spacing w:before="0" w:after="0" w:line="240" w:lineRule="auto"/>
              <w:ind w:left="29" w:right="11"/>
              <w:jc w:val="left"/>
              <w:rPr>
                <w:rFonts w:ascii="Times New Roman" w:hAnsi="Times New Roman" w:cs="Times New Roman"/>
                <w:i w:val="0"/>
                <w:iCs w:val="0"/>
                <w:sz w:val="20"/>
                <w:szCs w:val="20"/>
              </w:rPr>
            </w:pPr>
            <w:r w:rsidRPr="008B6A75">
              <w:rPr>
                <w:rFonts w:ascii="Times New Roman" w:hAnsi="Times New Roman" w:cs="Times New Roman"/>
                <w:i w:val="0"/>
                <w:iCs w:val="0"/>
                <w:sz w:val="20"/>
                <w:szCs w:val="20"/>
              </w:rPr>
              <w:t>6) премии за выполнение особо важных заданий</w:t>
            </w:r>
          </w:p>
        </w:tc>
        <w:tc>
          <w:tcPr>
            <w:tcW w:w="1084" w:type="dxa"/>
          </w:tcPr>
          <w:p w14:paraId="79A122C8" w14:textId="77777777" w:rsidR="00387142" w:rsidRPr="008B6A75" w:rsidRDefault="00387142" w:rsidP="00387142">
            <w:pPr>
              <w:pStyle w:val="33"/>
              <w:shd w:val="clear" w:color="auto" w:fill="auto"/>
              <w:tabs>
                <w:tab w:val="left" w:pos="5437"/>
                <w:tab w:val="left" w:pos="6067"/>
                <w:tab w:val="left" w:pos="6216"/>
                <w:tab w:val="left" w:pos="7810"/>
              </w:tabs>
              <w:spacing w:before="0" w:after="0" w:line="240" w:lineRule="auto"/>
              <w:ind w:left="-567" w:right="-979"/>
              <w:jc w:val="both"/>
              <w:rPr>
                <w:rFonts w:ascii="Times New Roman" w:hAnsi="Times New Roman" w:cs="Times New Roman"/>
                <w:i w:val="0"/>
                <w:iCs w:val="0"/>
                <w:sz w:val="20"/>
                <w:szCs w:val="20"/>
              </w:rPr>
            </w:pPr>
          </w:p>
        </w:tc>
        <w:tc>
          <w:tcPr>
            <w:tcW w:w="2045" w:type="dxa"/>
          </w:tcPr>
          <w:p w14:paraId="35C0497E" w14:textId="77777777" w:rsidR="00387142" w:rsidRPr="008B6A75" w:rsidRDefault="00387142" w:rsidP="00387142">
            <w:pPr>
              <w:pStyle w:val="33"/>
              <w:shd w:val="clear" w:color="auto" w:fill="auto"/>
              <w:tabs>
                <w:tab w:val="left" w:pos="5437"/>
                <w:tab w:val="left" w:pos="6067"/>
                <w:tab w:val="left" w:pos="6216"/>
                <w:tab w:val="left" w:pos="7810"/>
              </w:tabs>
              <w:spacing w:before="0" w:after="0" w:line="240" w:lineRule="auto"/>
              <w:ind w:left="-567" w:right="-979"/>
              <w:jc w:val="both"/>
              <w:rPr>
                <w:rFonts w:ascii="Times New Roman" w:hAnsi="Times New Roman" w:cs="Times New Roman"/>
                <w:i w:val="0"/>
                <w:iCs w:val="0"/>
                <w:sz w:val="20"/>
                <w:szCs w:val="20"/>
              </w:rPr>
            </w:pPr>
          </w:p>
        </w:tc>
        <w:tc>
          <w:tcPr>
            <w:tcW w:w="3150" w:type="dxa"/>
          </w:tcPr>
          <w:p w14:paraId="2CD043E9" w14:textId="77777777" w:rsidR="00387142" w:rsidRPr="008B6A75" w:rsidRDefault="00387142" w:rsidP="00387142">
            <w:pPr>
              <w:pStyle w:val="33"/>
              <w:shd w:val="clear" w:color="auto" w:fill="auto"/>
              <w:tabs>
                <w:tab w:val="left" w:pos="5437"/>
                <w:tab w:val="left" w:pos="6067"/>
                <w:tab w:val="left" w:pos="6216"/>
                <w:tab w:val="left" w:pos="7810"/>
              </w:tabs>
              <w:spacing w:before="0" w:after="0" w:line="240" w:lineRule="auto"/>
              <w:ind w:left="-567" w:right="-979"/>
              <w:jc w:val="both"/>
              <w:rPr>
                <w:rFonts w:ascii="Times New Roman" w:hAnsi="Times New Roman" w:cs="Times New Roman"/>
                <w:i w:val="0"/>
                <w:iCs w:val="0"/>
                <w:sz w:val="20"/>
                <w:szCs w:val="20"/>
              </w:rPr>
            </w:pPr>
          </w:p>
        </w:tc>
      </w:tr>
      <w:tr w:rsidR="00387142" w:rsidRPr="008B6A75" w14:paraId="15CAEE60" w14:textId="77777777" w:rsidTr="00387142">
        <w:trPr>
          <w:jc w:val="center"/>
        </w:trPr>
        <w:tc>
          <w:tcPr>
            <w:tcW w:w="3857" w:type="dxa"/>
          </w:tcPr>
          <w:p w14:paraId="7F486454" w14:textId="77777777" w:rsidR="00387142" w:rsidRPr="008B6A75" w:rsidRDefault="00387142" w:rsidP="00387142">
            <w:pPr>
              <w:pStyle w:val="33"/>
              <w:shd w:val="clear" w:color="auto" w:fill="auto"/>
              <w:tabs>
                <w:tab w:val="left" w:pos="5437"/>
                <w:tab w:val="left" w:pos="6067"/>
                <w:tab w:val="left" w:pos="6216"/>
                <w:tab w:val="left" w:pos="7810"/>
              </w:tabs>
              <w:spacing w:before="0" w:after="0" w:line="240" w:lineRule="auto"/>
              <w:ind w:left="29" w:right="11"/>
              <w:jc w:val="left"/>
              <w:rPr>
                <w:rFonts w:ascii="Times New Roman" w:hAnsi="Times New Roman" w:cs="Times New Roman"/>
                <w:i w:val="0"/>
                <w:iCs w:val="0"/>
                <w:sz w:val="20"/>
                <w:szCs w:val="20"/>
              </w:rPr>
            </w:pPr>
            <w:r w:rsidRPr="008B6A75">
              <w:rPr>
                <w:rFonts w:ascii="Times New Roman" w:hAnsi="Times New Roman" w:cs="Times New Roman"/>
                <w:i w:val="0"/>
                <w:iCs w:val="0"/>
                <w:sz w:val="20"/>
                <w:szCs w:val="20"/>
              </w:rPr>
              <w:t>7) ежемесячная процентная надбавка к должностному окладу за работу со сведениями, составляющими государственную тайну</w:t>
            </w:r>
          </w:p>
        </w:tc>
        <w:tc>
          <w:tcPr>
            <w:tcW w:w="1084" w:type="dxa"/>
          </w:tcPr>
          <w:p w14:paraId="173DEF97" w14:textId="77777777" w:rsidR="00387142" w:rsidRPr="008B6A75" w:rsidRDefault="00387142" w:rsidP="00387142">
            <w:pPr>
              <w:pStyle w:val="33"/>
              <w:shd w:val="clear" w:color="auto" w:fill="auto"/>
              <w:tabs>
                <w:tab w:val="left" w:pos="5437"/>
                <w:tab w:val="left" w:pos="6067"/>
                <w:tab w:val="left" w:pos="6216"/>
                <w:tab w:val="left" w:pos="7810"/>
              </w:tabs>
              <w:spacing w:before="0" w:after="0" w:line="240" w:lineRule="auto"/>
              <w:ind w:left="-567" w:right="-979"/>
              <w:jc w:val="both"/>
              <w:rPr>
                <w:rFonts w:ascii="Times New Roman" w:hAnsi="Times New Roman" w:cs="Times New Roman"/>
                <w:i w:val="0"/>
                <w:iCs w:val="0"/>
                <w:sz w:val="20"/>
                <w:szCs w:val="20"/>
              </w:rPr>
            </w:pPr>
          </w:p>
        </w:tc>
        <w:tc>
          <w:tcPr>
            <w:tcW w:w="2045" w:type="dxa"/>
          </w:tcPr>
          <w:p w14:paraId="3E1D3E1C" w14:textId="77777777" w:rsidR="00387142" w:rsidRPr="008B6A75" w:rsidRDefault="00387142" w:rsidP="00387142">
            <w:pPr>
              <w:pStyle w:val="33"/>
              <w:shd w:val="clear" w:color="auto" w:fill="auto"/>
              <w:tabs>
                <w:tab w:val="left" w:pos="5437"/>
                <w:tab w:val="left" w:pos="6067"/>
                <w:tab w:val="left" w:pos="6216"/>
                <w:tab w:val="left" w:pos="7810"/>
              </w:tabs>
              <w:spacing w:before="0" w:after="0" w:line="240" w:lineRule="auto"/>
              <w:ind w:left="-567" w:right="-979"/>
              <w:jc w:val="both"/>
              <w:rPr>
                <w:rFonts w:ascii="Times New Roman" w:hAnsi="Times New Roman" w:cs="Times New Roman"/>
                <w:i w:val="0"/>
                <w:iCs w:val="0"/>
                <w:sz w:val="20"/>
                <w:szCs w:val="20"/>
              </w:rPr>
            </w:pPr>
          </w:p>
        </w:tc>
        <w:tc>
          <w:tcPr>
            <w:tcW w:w="3150" w:type="dxa"/>
          </w:tcPr>
          <w:p w14:paraId="02E4923D" w14:textId="77777777" w:rsidR="00387142" w:rsidRPr="008B6A75" w:rsidRDefault="00387142" w:rsidP="00387142">
            <w:pPr>
              <w:pStyle w:val="33"/>
              <w:shd w:val="clear" w:color="auto" w:fill="auto"/>
              <w:tabs>
                <w:tab w:val="left" w:pos="5437"/>
                <w:tab w:val="left" w:pos="6067"/>
                <w:tab w:val="left" w:pos="6216"/>
                <w:tab w:val="left" w:pos="7810"/>
              </w:tabs>
              <w:spacing w:before="0" w:after="0" w:line="240" w:lineRule="auto"/>
              <w:ind w:left="-567" w:right="-979"/>
              <w:jc w:val="both"/>
              <w:rPr>
                <w:rFonts w:ascii="Times New Roman" w:hAnsi="Times New Roman" w:cs="Times New Roman"/>
                <w:i w:val="0"/>
                <w:iCs w:val="0"/>
                <w:sz w:val="20"/>
                <w:szCs w:val="20"/>
              </w:rPr>
            </w:pPr>
          </w:p>
        </w:tc>
      </w:tr>
      <w:tr w:rsidR="00387142" w:rsidRPr="008B6A75" w14:paraId="501C091F" w14:textId="77777777" w:rsidTr="00387142">
        <w:trPr>
          <w:jc w:val="center"/>
        </w:trPr>
        <w:tc>
          <w:tcPr>
            <w:tcW w:w="3857" w:type="dxa"/>
          </w:tcPr>
          <w:p w14:paraId="2527A5E8" w14:textId="77777777" w:rsidR="00387142" w:rsidRPr="008B6A75" w:rsidRDefault="00387142" w:rsidP="00387142">
            <w:pPr>
              <w:pStyle w:val="33"/>
              <w:shd w:val="clear" w:color="auto" w:fill="auto"/>
              <w:tabs>
                <w:tab w:val="left" w:pos="5437"/>
                <w:tab w:val="left" w:pos="6067"/>
                <w:tab w:val="left" w:pos="6216"/>
                <w:tab w:val="left" w:pos="7810"/>
              </w:tabs>
              <w:spacing w:before="0" w:after="0" w:line="240" w:lineRule="auto"/>
              <w:ind w:left="29" w:right="11"/>
              <w:jc w:val="left"/>
              <w:rPr>
                <w:rFonts w:ascii="Times New Roman" w:hAnsi="Times New Roman" w:cs="Times New Roman"/>
                <w:i w:val="0"/>
                <w:iCs w:val="0"/>
                <w:sz w:val="20"/>
                <w:szCs w:val="20"/>
              </w:rPr>
            </w:pPr>
            <w:r w:rsidRPr="008B6A75">
              <w:rPr>
                <w:rFonts w:ascii="Times New Roman" w:hAnsi="Times New Roman" w:cs="Times New Roman"/>
                <w:i w:val="0"/>
                <w:iCs w:val="0"/>
                <w:sz w:val="20"/>
                <w:szCs w:val="20"/>
              </w:rPr>
              <w:t>8) единовременная выплата при предоставлении ежегодного оплачиваемого отпуска, материальная помощь</w:t>
            </w:r>
          </w:p>
        </w:tc>
        <w:tc>
          <w:tcPr>
            <w:tcW w:w="1084" w:type="dxa"/>
          </w:tcPr>
          <w:p w14:paraId="7D147544" w14:textId="77777777" w:rsidR="00387142" w:rsidRPr="008B6A75" w:rsidRDefault="00387142" w:rsidP="00387142">
            <w:pPr>
              <w:pStyle w:val="33"/>
              <w:shd w:val="clear" w:color="auto" w:fill="auto"/>
              <w:tabs>
                <w:tab w:val="left" w:pos="5437"/>
                <w:tab w:val="left" w:pos="6067"/>
                <w:tab w:val="left" w:pos="6216"/>
                <w:tab w:val="left" w:pos="7810"/>
              </w:tabs>
              <w:spacing w:before="0" w:after="0" w:line="240" w:lineRule="auto"/>
              <w:ind w:left="-567" w:right="-979"/>
              <w:jc w:val="both"/>
              <w:rPr>
                <w:rFonts w:ascii="Times New Roman" w:hAnsi="Times New Roman" w:cs="Times New Roman"/>
                <w:i w:val="0"/>
                <w:iCs w:val="0"/>
                <w:sz w:val="20"/>
                <w:szCs w:val="20"/>
              </w:rPr>
            </w:pPr>
          </w:p>
        </w:tc>
        <w:tc>
          <w:tcPr>
            <w:tcW w:w="2045" w:type="dxa"/>
          </w:tcPr>
          <w:p w14:paraId="14E3B68E" w14:textId="77777777" w:rsidR="00387142" w:rsidRPr="008B6A75" w:rsidRDefault="00387142" w:rsidP="00387142">
            <w:pPr>
              <w:pStyle w:val="33"/>
              <w:shd w:val="clear" w:color="auto" w:fill="auto"/>
              <w:tabs>
                <w:tab w:val="left" w:pos="5437"/>
                <w:tab w:val="left" w:pos="6067"/>
                <w:tab w:val="left" w:pos="6216"/>
                <w:tab w:val="left" w:pos="7810"/>
              </w:tabs>
              <w:spacing w:before="0" w:after="0" w:line="240" w:lineRule="auto"/>
              <w:ind w:left="-567" w:right="-979"/>
              <w:jc w:val="both"/>
              <w:rPr>
                <w:rFonts w:ascii="Times New Roman" w:hAnsi="Times New Roman" w:cs="Times New Roman"/>
                <w:i w:val="0"/>
                <w:iCs w:val="0"/>
                <w:sz w:val="20"/>
                <w:szCs w:val="20"/>
              </w:rPr>
            </w:pPr>
          </w:p>
        </w:tc>
        <w:tc>
          <w:tcPr>
            <w:tcW w:w="3150" w:type="dxa"/>
          </w:tcPr>
          <w:p w14:paraId="7EDF1B02" w14:textId="77777777" w:rsidR="00387142" w:rsidRPr="008B6A75" w:rsidRDefault="00387142" w:rsidP="00387142">
            <w:pPr>
              <w:pStyle w:val="33"/>
              <w:shd w:val="clear" w:color="auto" w:fill="auto"/>
              <w:tabs>
                <w:tab w:val="left" w:pos="5437"/>
                <w:tab w:val="left" w:pos="6067"/>
                <w:tab w:val="left" w:pos="6216"/>
                <w:tab w:val="left" w:pos="7810"/>
              </w:tabs>
              <w:spacing w:before="0" w:after="0" w:line="240" w:lineRule="auto"/>
              <w:ind w:left="-567" w:right="-979"/>
              <w:jc w:val="both"/>
              <w:rPr>
                <w:rFonts w:ascii="Times New Roman" w:hAnsi="Times New Roman" w:cs="Times New Roman"/>
                <w:i w:val="0"/>
                <w:iCs w:val="0"/>
                <w:sz w:val="20"/>
                <w:szCs w:val="20"/>
              </w:rPr>
            </w:pPr>
          </w:p>
        </w:tc>
      </w:tr>
      <w:tr w:rsidR="00387142" w:rsidRPr="008B6A75" w14:paraId="1964FED4" w14:textId="77777777" w:rsidTr="00387142">
        <w:trPr>
          <w:jc w:val="center"/>
        </w:trPr>
        <w:tc>
          <w:tcPr>
            <w:tcW w:w="3857" w:type="dxa"/>
          </w:tcPr>
          <w:p w14:paraId="5E96CB98" w14:textId="77777777" w:rsidR="00387142" w:rsidRPr="008B6A75" w:rsidRDefault="00387142" w:rsidP="00387142">
            <w:pPr>
              <w:pStyle w:val="33"/>
              <w:shd w:val="clear" w:color="auto" w:fill="auto"/>
              <w:tabs>
                <w:tab w:val="left" w:pos="5437"/>
                <w:tab w:val="left" w:pos="6067"/>
                <w:tab w:val="left" w:pos="6216"/>
                <w:tab w:val="left" w:pos="7810"/>
              </w:tabs>
              <w:spacing w:before="0" w:after="0" w:line="240" w:lineRule="auto"/>
              <w:ind w:left="29" w:right="11"/>
              <w:jc w:val="left"/>
              <w:rPr>
                <w:rFonts w:ascii="Times New Roman" w:hAnsi="Times New Roman" w:cs="Times New Roman"/>
                <w:i w:val="0"/>
                <w:iCs w:val="0"/>
                <w:sz w:val="20"/>
                <w:szCs w:val="20"/>
              </w:rPr>
            </w:pPr>
            <w:r w:rsidRPr="008B6A75">
              <w:rPr>
                <w:rFonts w:ascii="Times New Roman" w:hAnsi="Times New Roman" w:cs="Times New Roman"/>
                <w:i w:val="0"/>
                <w:iCs w:val="0"/>
                <w:sz w:val="20"/>
                <w:szCs w:val="20"/>
              </w:rPr>
              <w:t>9) районный коэффициент</w:t>
            </w:r>
          </w:p>
        </w:tc>
        <w:tc>
          <w:tcPr>
            <w:tcW w:w="1084" w:type="dxa"/>
          </w:tcPr>
          <w:p w14:paraId="5A0D5E2F" w14:textId="77777777" w:rsidR="00387142" w:rsidRPr="008B6A75" w:rsidRDefault="00387142" w:rsidP="00387142">
            <w:pPr>
              <w:pStyle w:val="33"/>
              <w:shd w:val="clear" w:color="auto" w:fill="auto"/>
              <w:tabs>
                <w:tab w:val="left" w:pos="5437"/>
                <w:tab w:val="left" w:pos="6067"/>
                <w:tab w:val="left" w:pos="6216"/>
                <w:tab w:val="left" w:pos="7810"/>
              </w:tabs>
              <w:spacing w:before="0" w:after="0" w:line="240" w:lineRule="auto"/>
              <w:ind w:left="-567" w:right="-979"/>
              <w:jc w:val="both"/>
              <w:rPr>
                <w:rFonts w:ascii="Times New Roman" w:hAnsi="Times New Roman" w:cs="Times New Roman"/>
                <w:i w:val="0"/>
                <w:iCs w:val="0"/>
                <w:sz w:val="20"/>
                <w:szCs w:val="20"/>
              </w:rPr>
            </w:pPr>
          </w:p>
        </w:tc>
        <w:tc>
          <w:tcPr>
            <w:tcW w:w="2045" w:type="dxa"/>
          </w:tcPr>
          <w:p w14:paraId="4DE3145B" w14:textId="77777777" w:rsidR="00387142" w:rsidRPr="008B6A75" w:rsidRDefault="00387142" w:rsidP="00387142">
            <w:pPr>
              <w:pStyle w:val="33"/>
              <w:shd w:val="clear" w:color="auto" w:fill="auto"/>
              <w:tabs>
                <w:tab w:val="left" w:pos="5437"/>
                <w:tab w:val="left" w:pos="6067"/>
                <w:tab w:val="left" w:pos="6216"/>
                <w:tab w:val="left" w:pos="7810"/>
              </w:tabs>
              <w:spacing w:before="0" w:after="0" w:line="240" w:lineRule="auto"/>
              <w:ind w:left="-567" w:right="-979"/>
              <w:jc w:val="both"/>
              <w:rPr>
                <w:rFonts w:ascii="Times New Roman" w:hAnsi="Times New Roman" w:cs="Times New Roman"/>
                <w:i w:val="0"/>
                <w:iCs w:val="0"/>
                <w:sz w:val="20"/>
                <w:szCs w:val="20"/>
              </w:rPr>
            </w:pPr>
          </w:p>
        </w:tc>
        <w:tc>
          <w:tcPr>
            <w:tcW w:w="3150" w:type="dxa"/>
          </w:tcPr>
          <w:p w14:paraId="1B90B463" w14:textId="77777777" w:rsidR="00387142" w:rsidRPr="008B6A75" w:rsidRDefault="00387142" w:rsidP="00387142">
            <w:pPr>
              <w:pStyle w:val="33"/>
              <w:shd w:val="clear" w:color="auto" w:fill="auto"/>
              <w:tabs>
                <w:tab w:val="left" w:pos="5437"/>
                <w:tab w:val="left" w:pos="6067"/>
                <w:tab w:val="left" w:pos="6216"/>
                <w:tab w:val="left" w:pos="7810"/>
              </w:tabs>
              <w:spacing w:before="0" w:after="0" w:line="240" w:lineRule="auto"/>
              <w:ind w:left="-567" w:right="-979"/>
              <w:jc w:val="both"/>
              <w:rPr>
                <w:rFonts w:ascii="Times New Roman" w:hAnsi="Times New Roman" w:cs="Times New Roman"/>
                <w:i w:val="0"/>
                <w:iCs w:val="0"/>
                <w:sz w:val="20"/>
                <w:szCs w:val="20"/>
              </w:rPr>
            </w:pPr>
          </w:p>
        </w:tc>
      </w:tr>
      <w:tr w:rsidR="00387142" w:rsidRPr="008B6A75" w14:paraId="2EA564EA" w14:textId="77777777" w:rsidTr="00387142">
        <w:trPr>
          <w:jc w:val="center"/>
        </w:trPr>
        <w:tc>
          <w:tcPr>
            <w:tcW w:w="3857" w:type="dxa"/>
          </w:tcPr>
          <w:p w14:paraId="5290BBB8" w14:textId="77777777" w:rsidR="00387142" w:rsidRPr="008B6A75" w:rsidRDefault="00387142" w:rsidP="00387142">
            <w:pPr>
              <w:pStyle w:val="33"/>
              <w:shd w:val="clear" w:color="auto" w:fill="auto"/>
              <w:tabs>
                <w:tab w:val="left" w:pos="5437"/>
                <w:tab w:val="left" w:pos="6067"/>
                <w:tab w:val="left" w:pos="6216"/>
                <w:tab w:val="left" w:pos="7810"/>
              </w:tabs>
              <w:spacing w:before="0" w:after="0" w:line="240" w:lineRule="auto"/>
              <w:ind w:left="29" w:right="11"/>
              <w:jc w:val="left"/>
              <w:rPr>
                <w:rFonts w:ascii="Times New Roman" w:hAnsi="Times New Roman" w:cs="Times New Roman"/>
                <w:i w:val="0"/>
                <w:iCs w:val="0"/>
                <w:sz w:val="20"/>
                <w:szCs w:val="20"/>
                <w:lang w:val="en-US"/>
              </w:rPr>
            </w:pPr>
            <w:r w:rsidRPr="008B6A75">
              <w:rPr>
                <w:rFonts w:ascii="Times New Roman" w:hAnsi="Times New Roman" w:cs="Times New Roman"/>
                <w:i w:val="0"/>
                <w:iCs w:val="0"/>
                <w:sz w:val="20"/>
                <w:szCs w:val="20"/>
              </w:rPr>
              <w:t>Итого:</w:t>
            </w:r>
          </w:p>
        </w:tc>
        <w:tc>
          <w:tcPr>
            <w:tcW w:w="1084" w:type="dxa"/>
          </w:tcPr>
          <w:p w14:paraId="157E5E3C" w14:textId="77777777" w:rsidR="00387142" w:rsidRPr="008B6A75" w:rsidRDefault="00387142" w:rsidP="00387142">
            <w:pPr>
              <w:pStyle w:val="33"/>
              <w:shd w:val="clear" w:color="auto" w:fill="auto"/>
              <w:tabs>
                <w:tab w:val="left" w:pos="5437"/>
                <w:tab w:val="left" w:pos="6067"/>
                <w:tab w:val="left" w:pos="6216"/>
                <w:tab w:val="left" w:pos="7810"/>
              </w:tabs>
              <w:spacing w:before="0" w:after="0" w:line="240" w:lineRule="auto"/>
              <w:ind w:left="-567" w:right="-979"/>
              <w:jc w:val="both"/>
              <w:rPr>
                <w:rFonts w:ascii="Times New Roman" w:hAnsi="Times New Roman" w:cs="Times New Roman"/>
                <w:i w:val="0"/>
                <w:iCs w:val="0"/>
                <w:sz w:val="20"/>
                <w:szCs w:val="20"/>
              </w:rPr>
            </w:pPr>
          </w:p>
        </w:tc>
        <w:tc>
          <w:tcPr>
            <w:tcW w:w="2045" w:type="dxa"/>
          </w:tcPr>
          <w:p w14:paraId="2BF1D5DA" w14:textId="77777777" w:rsidR="00387142" w:rsidRPr="008B6A75" w:rsidRDefault="00387142" w:rsidP="00387142">
            <w:pPr>
              <w:pStyle w:val="33"/>
              <w:shd w:val="clear" w:color="auto" w:fill="auto"/>
              <w:tabs>
                <w:tab w:val="left" w:pos="5437"/>
                <w:tab w:val="left" w:pos="6067"/>
                <w:tab w:val="left" w:pos="6216"/>
                <w:tab w:val="left" w:pos="7810"/>
              </w:tabs>
              <w:spacing w:before="0" w:after="0" w:line="240" w:lineRule="auto"/>
              <w:ind w:left="-567" w:right="-979"/>
              <w:jc w:val="both"/>
              <w:rPr>
                <w:rFonts w:ascii="Times New Roman" w:hAnsi="Times New Roman" w:cs="Times New Roman"/>
                <w:i w:val="0"/>
                <w:iCs w:val="0"/>
                <w:sz w:val="20"/>
                <w:szCs w:val="20"/>
              </w:rPr>
            </w:pPr>
          </w:p>
        </w:tc>
        <w:tc>
          <w:tcPr>
            <w:tcW w:w="3150" w:type="dxa"/>
          </w:tcPr>
          <w:p w14:paraId="77A5CC8E" w14:textId="77777777" w:rsidR="00387142" w:rsidRPr="008B6A75" w:rsidRDefault="00387142" w:rsidP="00387142">
            <w:pPr>
              <w:pStyle w:val="33"/>
              <w:shd w:val="clear" w:color="auto" w:fill="auto"/>
              <w:tabs>
                <w:tab w:val="left" w:pos="5437"/>
                <w:tab w:val="left" w:pos="6067"/>
                <w:tab w:val="left" w:pos="6216"/>
                <w:tab w:val="left" w:pos="7810"/>
              </w:tabs>
              <w:spacing w:before="0" w:after="0" w:line="240" w:lineRule="auto"/>
              <w:ind w:left="-567" w:right="-979"/>
              <w:jc w:val="both"/>
              <w:rPr>
                <w:rFonts w:ascii="Times New Roman" w:hAnsi="Times New Roman" w:cs="Times New Roman"/>
                <w:i w:val="0"/>
                <w:iCs w:val="0"/>
                <w:sz w:val="20"/>
                <w:szCs w:val="20"/>
              </w:rPr>
            </w:pPr>
          </w:p>
        </w:tc>
      </w:tr>
      <w:tr w:rsidR="00387142" w:rsidRPr="008B6A75" w14:paraId="6A502937" w14:textId="77777777" w:rsidTr="00387142">
        <w:trPr>
          <w:jc w:val="center"/>
        </w:trPr>
        <w:tc>
          <w:tcPr>
            <w:tcW w:w="3857" w:type="dxa"/>
          </w:tcPr>
          <w:p w14:paraId="1A1D2C44" w14:textId="77777777" w:rsidR="00387142" w:rsidRPr="008B6A75" w:rsidRDefault="00387142" w:rsidP="00387142">
            <w:pPr>
              <w:pStyle w:val="33"/>
              <w:shd w:val="clear" w:color="auto" w:fill="auto"/>
              <w:tabs>
                <w:tab w:val="left" w:pos="5437"/>
                <w:tab w:val="left" w:pos="6067"/>
                <w:tab w:val="left" w:pos="6216"/>
                <w:tab w:val="left" w:pos="7810"/>
              </w:tabs>
              <w:spacing w:before="0" w:after="0" w:line="240" w:lineRule="auto"/>
              <w:ind w:left="29" w:right="11"/>
              <w:jc w:val="left"/>
              <w:rPr>
                <w:rFonts w:ascii="Times New Roman" w:hAnsi="Times New Roman" w:cs="Times New Roman"/>
                <w:i w:val="0"/>
                <w:iCs w:val="0"/>
                <w:sz w:val="20"/>
                <w:szCs w:val="20"/>
              </w:rPr>
            </w:pPr>
            <w:r w:rsidRPr="008B6A75">
              <w:rPr>
                <w:rFonts w:ascii="Times New Roman" w:hAnsi="Times New Roman" w:cs="Times New Roman"/>
                <w:i w:val="0"/>
                <w:iCs w:val="0"/>
                <w:sz w:val="20"/>
                <w:szCs w:val="20"/>
              </w:rPr>
              <w:t>2. Среднемесячное денежное содержание, учитываемое для назначения пенсии за выслугу лет</w:t>
            </w:r>
          </w:p>
        </w:tc>
        <w:tc>
          <w:tcPr>
            <w:tcW w:w="1084" w:type="dxa"/>
          </w:tcPr>
          <w:p w14:paraId="6C37FC93" w14:textId="77777777" w:rsidR="00387142" w:rsidRPr="008B6A75" w:rsidRDefault="00387142" w:rsidP="00387142">
            <w:pPr>
              <w:pStyle w:val="33"/>
              <w:shd w:val="clear" w:color="auto" w:fill="auto"/>
              <w:tabs>
                <w:tab w:val="left" w:pos="5437"/>
                <w:tab w:val="left" w:pos="6067"/>
                <w:tab w:val="left" w:pos="6216"/>
                <w:tab w:val="left" w:pos="7810"/>
              </w:tabs>
              <w:spacing w:before="0" w:after="0" w:line="240" w:lineRule="auto"/>
              <w:ind w:left="-567" w:right="-979"/>
              <w:jc w:val="both"/>
              <w:rPr>
                <w:rFonts w:ascii="Times New Roman" w:hAnsi="Times New Roman" w:cs="Times New Roman"/>
                <w:i w:val="0"/>
                <w:iCs w:val="0"/>
                <w:sz w:val="20"/>
                <w:szCs w:val="20"/>
              </w:rPr>
            </w:pPr>
          </w:p>
        </w:tc>
        <w:tc>
          <w:tcPr>
            <w:tcW w:w="2045" w:type="dxa"/>
          </w:tcPr>
          <w:p w14:paraId="3AE1855E" w14:textId="77777777" w:rsidR="00387142" w:rsidRPr="008B6A75" w:rsidRDefault="00387142" w:rsidP="00387142">
            <w:pPr>
              <w:pStyle w:val="33"/>
              <w:shd w:val="clear" w:color="auto" w:fill="auto"/>
              <w:tabs>
                <w:tab w:val="left" w:pos="5437"/>
                <w:tab w:val="left" w:pos="6067"/>
                <w:tab w:val="left" w:pos="6216"/>
                <w:tab w:val="left" w:pos="7810"/>
              </w:tabs>
              <w:spacing w:before="0" w:after="0" w:line="240" w:lineRule="auto"/>
              <w:ind w:left="-567" w:right="-979"/>
              <w:jc w:val="both"/>
              <w:rPr>
                <w:rFonts w:ascii="Times New Roman" w:hAnsi="Times New Roman" w:cs="Times New Roman"/>
                <w:i w:val="0"/>
                <w:iCs w:val="0"/>
                <w:sz w:val="20"/>
                <w:szCs w:val="20"/>
              </w:rPr>
            </w:pPr>
          </w:p>
        </w:tc>
        <w:tc>
          <w:tcPr>
            <w:tcW w:w="3150" w:type="dxa"/>
          </w:tcPr>
          <w:p w14:paraId="78C64BA0" w14:textId="77777777" w:rsidR="00387142" w:rsidRPr="008B6A75" w:rsidRDefault="00387142" w:rsidP="00387142">
            <w:pPr>
              <w:pStyle w:val="33"/>
              <w:shd w:val="clear" w:color="auto" w:fill="auto"/>
              <w:tabs>
                <w:tab w:val="left" w:pos="5437"/>
                <w:tab w:val="left" w:pos="6067"/>
                <w:tab w:val="left" w:pos="6216"/>
                <w:tab w:val="left" w:pos="7810"/>
              </w:tabs>
              <w:spacing w:before="0" w:after="0" w:line="240" w:lineRule="auto"/>
              <w:ind w:left="-567" w:right="-979"/>
              <w:jc w:val="both"/>
              <w:rPr>
                <w:rFonts w:ascii="Times New Roman" w:hAnsi="Times New Roman" w:cs="Times New Roman"/>
                <w:i w:val="0"/>
                <w:iCs w:val="0"/>
                <w:sz w:val="20"/>
                <w:szCs w:val="20"/>
              </w:rPr>
            </w:pPr>
          </w:p>
        </w:tc>
      </w:tr>
    </w:tbl>
    <w:p w14:paraId="204A18FF" w14:textId="77777777" w:rsidR="00387142" w:rsidRPr="008B6A75" w:rsidRDefault="00387142" w:rsidP="00387142">
      <w:pPr>
        <w:pStyle w:val="131"/>
        <w:shd w:val="clear" w:color="auto" w:fill="auto"/>
        <w:tabs>
          <w:tab w:val="left" w:pos="5436"/>
        </w:tabs>
        <w:spacing w:before="0" w:after="0" w:line="240" w:lineRule="auto"/>
        <w:ind w:right="-979"/>
        <w:rPr>
          <w:rFonts w:ascii="Times New Roman" w:hAnsi="Times New Roman" w:cs="Times New Roman"/>
          <w:sz w:val="20"/>
          <w:szCs w:val="20"/>
        </w:rPr>
      </w:pPr>
    </w:p>
    <w:p w14:paraId="55ADA555" w14:textId="77777777" w:rsidR="00387142" w:rsidRPr="008B6A75" w:rsidRDefault="00387142" w:rsidP="00387142">
      <w:pPr>
        <w:pStyle w:val="131"/>
        <w:shd w:val="clear" w:color="auto" w:fill="auto"/>
        <w:tabs>
          <w:tab w:val="left" w:pos="5436"/>
        </w:tabs>
        <w:spacing w:before="0" w:after="0" w:line="240" w:lineRule="auto"/>
        <w:ind w:right="-979"/>
        <w:rPr>
          <w:rFonts w:ascii="Times New Roman" w:hAnsi="Times New Roman" w:cs="Times New Roman"/>
          <w:sz w:val="20"/>
          <w:szCs w:val="20"/>
        </w:rPr>
      </w:pPr>
    </w:p>
    <w:p w14:paraId="01AC9EA6" w14:textId="77777777" w:rsidR="00387142" w:rsidRPr="008B6A75" w:rsidRDefault="00387142" w:rsidP="00387142">
      <w:pPr>
        <w:pStyle w:val="131"/>
        <w:shd w:val="clear" w:color="auto" w:fill="auto"/>
        <w:tabs>
          <w:tab w:val="left" w:pos="5436"/>
        </w:tabs>
        <w:spacing w:before="0" w:after="0" w:line="240" w:lineRule="auto"/>
        <w:ind w:right="-979"/>
        <w:rPr>
          <w:rFonts w:ascii="Times New Roman" w:hAnsi="Times New Roman" w:cs="Times New Roman"/>
          <w:sz w:val="20"/>
          <w:szCs w:val="20"/>
        </w:rPr>
      </w:pPr>
    </w:p>
    <w:p w14:paraId="564F07F1" w14:textId="77777777" w:rsidR="00387142" w:rsidRPr="008B6A75" w:rsidRDefault="00387142" w:rsidP="00387142">
      <w:pPr>
        <w:pStyle w:val="131"/>
        <w:shd w:val="clear" w:color="auto" w:fill="auto"/>
        <w:tabs>
          <w:tab w:val="left" w:pos="5436"/>
        </w:tabs>
        <w:spacing w:before="0" w:after="0" w:line="240" w:lineRule="auto"/>
        <w:ind w:right="-2"/>
        <w:rPr>
          <w:rStyle w:val="130"/>
          <w:rFonts w:ascii="Times New Roman" w:hAnsi="Times New Roman" w:cs="Times New Roman"/>
          <w:color w:val="000000"/>
          <w:sz w:val="20"/>
          <w:szCs w:val="20"/>
        </w:rPr>
      </w:pPr>
      <w:r w:rsidRPr="008B6A75">
        <w:rPr>
          <w:rStyle w:val="130"/>
          <w:rFonts w:ascii="Times New Roman" w:hAnsi="Times New Roman" w:cs="Times New Roman"/>
          <w:color w:val="000000"/>
          <w:sz w:val="20"/>
          <w:szCs w:val="20"/>
        </w:rPr>
        <w:t>______________________________________                       ________________________</w:t>
      </w:r>
    </w:p>
    <w:p w14:paraId="30F086E4" w14:textId="77777777" w:rsidR="00387142" w:rsidRPr="008B6A75" w:rsidRDefault="00387142" w:rsidP="00387142">
      <w:pPr>
        <w:pStyle w:val="131"/>
        <w:shd w:val="clear" w:color="auto" w:fill="auto"/>
        <w:tabs>
          <w:tab w:val="left" w:pos="-724"/>
          <w:tab w:val="left" w:pos="5436"/>
        </w:tabs>
        <w:spacing w:before="0" w:after="0" w:line="240" w:lineRule="auto"/>
        <w:ind w:right="-2"/>
        <w:rPr>
          <w:rStyle w:val="130"/>
          <w:rFonts w:ascii="Times New Roman" w:hAnsi="Times New Roman" w:cs="Times New Roman"/>
          <w:color w:val="000000"/>
          <w:sz w:val="20"/>
          <w:szCs w:val="20"/>
        </w:rPr>
      </w:pPr>
      <w:r w:rsidRPr="008B6A75">
        <w:rPr>
          <w:rStyle w:val="130"/>
          <w:rFonts w:ascii="Times New Roman" w:hAnsi="Times New Roman" w:cs="Times New Roman"/>
          <w:color w:val="000000"/>
          <w:sz w:val="20"/>
          <w:szCs w:val="20"/>
        </w:rPr>
        <w:t xml:space="preserve"> (наименование должности руководителя                     </w:t>
      </w:r>
      <w:proofErr w:type="gramStart"/>
      <w:r w:rsidRPr="008B6A75">
        <w:rPr>
          <w:rStyle w:val="130"/>
          <w:rFonts w:ascii="Times New Roman" w:hAnsi="Times New Roman" w:cs="Times New Roman"/>
          <w:color w:val="000000"/>
          <w:sz w:val="20"/>
          <w:szCs w:val="20"/>
        </w:rPr>
        <w:t xml:space="preserve">   </w:t>
      </w:r>
      <w:r w:rsidRPr="008B6A75">
        <w:rPr>
          <w:rStyle w:val="130"/>
          <w:rFonts w:ascii="Times New Roman" w:hAnsi="Times New Roman" w:cs="Times New Roman"/>
          <w:i/>
          <w:iCs/>
          <w:color w:val="000000"/>
          <w:sz w:val="20"/>
          <w:szCs w:val="20"/>
        </w:rPr>
        <w:t>(</w:t>
      </w:r>
      <w:proofErr w:type="gramEnd"/>
      <w:r w:rsidRPr="008B6A75">
        <w:rPr>
          <w:rStyle w:val="130"/>
          <w:rFonts w:ascii="Times New Roman" w:hAnsi="Times New Roman" w:cs="Times New Roman"/>
          <w:i/>
          <w:iCs/>
          <w:color w:val="000000"/>
          <w:sz w:val="20"/>
          <w:szCs w:val="20"/>
        </w:rPr>
        <w:t>подпись, инициалы, фамилия)</w:t>
      </w:r>
    </w:p>
    <w:p w14:paraId="1673973F" w14:textId="77777777" w:rsidR="00387142" w:rsidRPr="008B6A75" w:rsidRDefault="00387142" w:rsidP="00387142">
      <w:pPr>
        <w:pStyle w:val="131"/>
        <w:shd w:val="clear" w:color="auto" w:fill="auto"/>
        <w:tabs>
          <w:tab w:val="left" w:pos="-724"/>
          <w:tab w:val="left" w:pos="5436"/>
        </w:tabs>
        <w:spacing w:before="0" w:after="0" w:line="240" w:lineRule="auto"/>
        <w:ind w:right="-2"/>
        <w:rPr>
          <w:rStyle w:val="130"/>
          <w:rFonts w:ascii="Times New Roman" w:hAnsi="Times New Roman" w:cs="Times New Roman"/>
          <w:color w:val="000000"/>
          <w:sz w:val="20"/>
          <w:szCs w:val="20"/>
        </w:rPr>
      </w:pPr>
      <w:r w:rsidRPr="008B6A75">
        <w:rPr>
          <w:rStyle w:val="130"/>
          <w:rFonts w:ascii="Times New Roman" w:hAnsi="Times New Roman" w:cs="Times New Roman"/>
          <w:color w:val="000000"/>
          <w:sz w:val="20"/>
          <w:szCs w:val="20"/>
        </w:rPr>
        <w:t xml:space="preserve">структурного подразделения, занимающегося </w:t>
      </w:r>
    </w:p>
    <w:p w14:paraId="6B7E0B20" w14:textId="77777777" w:rsidR="00387142" w:rsidRPr="008B6A75" w:rsidRDefault="00387142" w:rsidP="00387142">
      <w:pPr>
        <w:pStyle w:val="131"/>
        <w:shd w:val="clear" w:color="auto" w:fill="auto"/>
        <w:tabs>
          <w:tab w:val="left" w:pos="-724"/>
          <w:tab w:val="left" w:pos="5436"/>
        </w:tabs>
        <w:spacing w:before="0" w:after="0" w:line="240" w:lineRule="auto"/>
        <w:ind w:right="-979"/>
        <w:rPr>
          <w:rStyle w:val="130"/>
          <w:rFonts w:ascii="Times New Roman" w:hAnsi="Times New Roman" w:cs="Times New Roman"/>
          <w:color w:val="000000"/>
          <w:sz w:val="20"/>
          <w:szCs w:val="20"/>
        </w:rPr>
      </w:pPr>
      <w:r w:rsidRPr="008B6A75">
        <w:rPr>
          <w:rStyle w:val="130"/>
          <w:rFonts w:ascii="Times New Roman" w:hAnsi="Times New Roman" w:cs="Times New Roman"/>
          <w:color w:val="000000"/>
          <w:sz w:val="20"/>
          <w:szCs w:val="20"/>
        </w:rPr>
        <w:t xml:space="preserve">вопросами кадровой работы органа </w:t>
      </w:r>
    </w:p>
    <w:p w14:paraId="5D7DB027" w14:textId="77777777" w:rsidR="00387142" w:rsidRPr="008B6A75" w:rsidRDefault="00387142" w:rsidP="00387142">
      <w:pPr>
        <w:pStyle w:val="131"/>
        <w:shd w:val="clear" w:color="auto" w:fill="auto"/>
        <w:tabs>
          <w:tab w:val="left" w:pos="-724"/>
          <w:tab w:val="left" w:pos="5436"/>
        </w:tabs>
        <w:spacing w:before="0" w:after="0" w:line="240" w:lineRule="auto"/>
        <w:ind w:right="-979"/>
        <w:rPr>
          <w:rStyle w:val="130"/>
          <w:rFonts w:ascii="Times New Roman" w:hAnsi="Times New Roman" w:cs="Times New Roman"/>
          <w:color w:val="000000"/>
          <w:sz w:val="20"/>
          <w:szCs w:val="20"/>
        </w:rPr>
      </w:pPr>
      <w:r w:rsidRPr="008B6A75">
        <w:rPr>
          <w:rStyle w:val="130"/>
          <w:rFonts w:ascii="Times New Roman" w:hAnsi="Times New Roman" w:cs="Times New Roman"/>
          <w:color w:val="000000"/>
          <w:sz w:val="20"/>
          <w:szCs w:val="20"/>
        </w:rPr>
        <w:t xml:space="preserve">местного самоуправления, </w:t>
      </w:r>
    </w:p>
    <w:p w14:paraId="39DBA6CE" w14:textId="77777777" w:rsidR="00387142" w:rsidRPr="008B6A75" w:rsidRDefault="00387142" w:rsidP="00387142">
      <w:pPr>
        <w:pStyle w:val="131"/>
        <w:shd w:val="clear" w:color="auto" w:fill="auto"/>
        <w:tabs>
          <w:tab w:val="left" w:pos="-724"/>
          <w:tab w:val="left" w:pos="5436"/>
        </w:tabs>
        <w:spacing w:before="0" w:after="0" w:line="240" w:lineRule="auto"/>
        <w:ind w:right="-979"/>
        <w:rPr>
          <w:rStyle w:val="130"/>
          <w:rFonts w:ascii="Times New Roman" w:hAnsi="Times New Roman" w:cs="Times New Roman"/>
          <w:color w:val="000000"/>
          <w:sz w:val="20"/>
          <w:szCs w:val="20"/>
        </w:rPr>
      </w:pPr>
      <w:r w:rsidRPr="008B6A75">
        <w:rPr>
          <w:rStyle w:val="130"/>
          <w:rFonts w:ascii="Times New Roman" w:hAnsi="Times New Roman" w:cs="Times New Roman"/>
          <w:color w:val="000000"/>
          <w:sz w:val="20"/>
          <w:szCs w:val="20"/>
        </w:rPr>
        <w:t xml:space="preserve">муниципального органа </w:t>
      </w:r>
    </w:p>
    <w:p w14:paraId="3A9AF01F" w14:textId="77777777" w:rsidR="00387142" w:rsidRPr="008B6A75" w:rsidRDefault="00387142" w:rsidP="00387142">
      <w:pPr>
        <w:pStyle w:val="131"/>
        <w:shd w:val="clear" w:color="auto" w:fill="auto"/>
        <w:tabs>
          <w:tab w:val="left" w:pos="-724"/>
          <w:tab w:val="left" w:pos="5436"/>
        </w:tabs>
        <w:spacing w:before="0" w:after="0" w:line="240" w:lineRule="auto"/>
        <w:ind w:right="-979"/>
        <w:rPr>
          <w:rStyle w:val="24"/>
          <w:rFonts w:ascii="Times New Roman" w:hAnsi="Times New Roman" w:cs="Times New Roman"/>
          <w:color w:val="000000"/>
          <w:sz w:val="20"/>
          <w:szCs w:val="20"/>
        </w:rPr>
      </w:pPr>
      <w:r w:rsidRPr="008B6A75">
        <w:rPr>
          <w:rStyle w:val="130"/>
          <w:rFonts w:ascii="Times New Roman" w:hAnsi="Times New Roman" w:cs="Times New Roman"/>
          <w:color w:val="000000"/>
          <w:sz w:val="20"/>
          <w:szCs w:val="20"/>
        </w:rPr>
        <w:t>муниципального образования)</w:t>
      </w:r>
      <w:r w:rsidRPr="008B6A75">
        <w:rPr>
          <w:rStyle w:val="24"/>
          <w:rFonts w:ascii="Times New Roman" w:hAnsi="Times New Roman" w:cs="Times New Roman"/>
          <w:color w:val="000000"/>
          <w:sz w:val="20"/>
          <w:szCs w:val="20"/>
        </w:rPr>
        <w:t>.</w:t>
      </w:r>
    </w:p>
    <w:p w14:paraId="64FAB372" w14:textId="77777777" w:rsidR="00387142" w:rsidRPr="008B6A75" w:rsidRDefault="00387142" w:rsidP="00387142">
      <w:pPr>
        <w:pStyle w:val="131"/>
        <w:shd w:val="clear" w:color="auto" w:fill="auto"/>
        <w:tabs>
          <w:tab w:val="left" w:pos="-724"/>
          <w:tab w:val="left" w:pos="5436"/>
        </w:tabs>
        <w:spacing w:before="0" w:after="0" w:line="240" w:lineRule="auto"/>
        <w:ind w:right="-979"/>
        <w:rPr>
          <w:rStyle w:val="24"/>
          <w:rFonts w:ascii="Times New Roman" w:hAnsi="Times New Roman" w:cs="Times New Roman"/>
          <w:color w:val="000000"/>
          <w:sz w:val="20"/>
          <w:szCs w:val="20"/>
        </w:rPr>
      </w:pPr>
    </w:p>
    <w:p w14:paraId="00C3029F" w14:textId="77777777" w:rsidR="00387142" w:rsidRPr="008B6A75" w:rsidRDefault="00387142" w:rsidP="00387142">
      <w:pPr>
        <w:pStyle w:val="131"/>
        <w:shd w:val="clear" w:color="auto" w:fill="auto"/>
        <w:tabs>
          <w:tab w:val="left" w:pos="-724"/>
          <w:tab w:val="left" w:pos="5436"/>
        </w:tabs>
        <w:spacing w:before="0" w:after="0" w:line="240" w:lineRule="auto"/>
        <w:ind w:right="-979"/>
        <w:rPr>
          <w:rStyle w:val="24"/>
          <w:rFonts w:ascii="Times New Roman" w:hAnsi="Times New Roman" w:cs="Times New Roman"/>
          <w:color w:val="000000"/>
          <w:sz w:val="20"/>
          <w:szCs w:val="20"/>
        </w:rPr>
      </w:pPr>
    </w:p>
    <w:p w14:paraId="544837F2" w14:textId="77777777" w:rsidR="00387142" w:rsidRPr="008B6A75" w:rsidRDefault="00387142" w:rsidP="00387142">
      <w:pPr>
        <w:pStyle w:val="131"/>
        <w:shd w:val="clear" w:color="auto" w:fill="auto"/>
        <w:tabs>
          <w:tab w:val="left" w:pos="-724"/>
          <w:tab w:val="left" w:pos="5436"/>
        </w:tabs>
        <w:spacing w:before="0" w:after="0" w:line="240" w:lineRule="auto"/>
        <w:ind w:right="-979"/>
        <w:rPr>
          <w:rStyle w:val="24"/>
          <w:rFonts w:ascii="Times New Roman" w:hAnsi="Times New Roman" w:cs="Times New Roman"/>
          <w:color w:val="000000"/>
          <w:sz w:val="20"/>
          <w:szCs w:val="20"/>
        </w:rPr>
      </w:pPr>
    </w:p>
    <w:p w14:paraId="719722DE" w14:textId="77777777" w:rsidR="00387142" w:rsidRPr="008B6A75" w:rsidRDefault="00387142" w:rsidP="00387142">
      <w:pPr>
        <w:pStyle w:val="131"/>
        <w:shd w:val="clear" w:color="auto" w:fill="auto"/>
        <w:tabs>
          <w:tab w:val="left" w:pos="-724"/>
          <w:tab w:val="left" w:pos="5436"/>
        </w:tabs>
        <w:spacing w:before="0" w:after="0" w:line="240" w:lineRule="auto"/>
        <w:ind w:right="-979"/>
        <w:rPr>
          <w:rStyle w:val="24"/>
          <w:rFonts w:ascii="Times New Roman" w:hAnsi="Times New Roman" w:cs="Times New Roman"/>
          <w:color w:val="000000"/>
          <w:sz w:val="20"/>
          <w:szCs w:val="20"/>
        </w:rPr>
      </w:pPr>
      <w:r w:rsidRPr="008B6A75">
        <w:rPr>
          <w:rStyle w:val="24"/>
          <w:rFonts w:ascii="Times New Roman" w:hAnsi="Times New Roman" w:cs="Times New Roman"/>
          <w:color w:val="000000"/>
          <w:sz w:val="20"/>
          <w:szCs w:val="20"/>
        </w:rPr>
        <w:t>__________________________                                   ___________________________</w:t>
      </w:r>
    </w:p>
    <w:p w14:paraId="4E218FCA" w14:textId="77777777" w:rsidR="00387142" w:rsidRPr="008B6A75" w:rsidRDefault="00387142" w:rsidP="00387142">
      <w:pPr>
        <w:pStyle w:val="131"/>
        <w:shd w:val="clear" w:color="auto" w:fill="auto"/>
        <w:tabs>
          <w:tab w:val="left" w:pos="-724"/>
          <w:tab w:val="left" w:pos="5436"/>
        </w:tabs>
        <w:spacing w:before="0" w:after="0" w:line="240" w:lineRule="auto"/>
        <w:ind w:right="-979"/>
        <w:jc w:val="left"/>
        <w:rPr>
          <w:rStyle w:val="24"/>
          <w:rFonts w:ascii="Times New Roman" w:hAnsi="Times New Roman" w:cs="Times New Roman"/>
          <w:i/>
          <w:iCs/>
          <w:color w:val="000000"/>
          <w:sz w:val="20"/>
          <w:szCs w:val="20"/>
        </w:rPr>
      </w:pPr>
      <w:r w:rsidRPr="008B6A75">
        <w:rPr>
          <w:rStyle w:val="24"/>
          <w:rFonts w:ascii="Times New Roman" w:hAnsi="Times New Roman" w:cs="Times New Roman"/>
          <w:color w:val="000000"/>
          <w:sz w:val="20"/>
          <w:szCs w:val="20"/>
        </w:rPr>
        <w:t xml:space="preserve">                     (</w:t>
      </w:r>
      <w:proofErr w:type="gramStart"/>
      <w:r w:rsidRPr="008B6A75">
        <w:rPr>
          <w:rStyle w:val="24"/>
          <w:rFonts w:ascii="Times New Roman" w:hAnsi="Times New Roman" w:cs="Times New Roman"/>
          <w:color w:val="000000"/>
          <w:sz w:val="20"/>
          <w:szCs w:val="20"/>
        </w:rPr>
        <w:t xml:space="preserve">бухгалтер)   </w:t>
      </w:r>
      <w:proofErr w:type="gramEnd"/>
      <w:r w:rsidRPr="008B6A75">
        <w:rPr>
          <w:rStyle w:val="24"/>
          <w:rFonts w:ascii="Times New Roman" w:hAnsi="Times New Roman" w:cs="Times New Roman"/>
          <w:color w:val="000000"/>
          <w:sz w:val="20"/>
          <w:szCs w:val="20"/>
        </w:rPr>
        <w:t xml:space="preserve">                                                               </w:t>
      </w:r>
      <w:r w:rsidRPr="008B6A75">
        <w:rPr>
          <w:rStyle w:val="24"/>
          <w:rFonts w:ascii="Times New Roman" w:hAnsi="Times New Roman" w:cs="Times New Roman"/>
          <w:i/>
          <w:iCs/>
          <w:color w:val="000000"/>
          <w:sz w:val="20"/>
          <w:szCs w:val="20"/>
        </w:rPr>
        <w:t xml:space="preserve">(подпись, инициалы, фамилия) </w:t>
      </w:r>
    </w:p>
    <w:p w14:paraId="78961D02" w14:textId="77777777" w:rsidR="00387142" w:rsidRPr="008B6A75" w:rsidRDefault="00387142" w:rsidP="00387142">
      <w:pPr>
        <w:rPr>
          <w:sz w:val="20"/>
          <w:szCs w:val="20"/>
        </w:rPr>
      </w:pPr>
    </w:p>
    <w:p w14:paraId="31E3D3C2" w14:textId="77777777" w:rsidR="00387142" w:rsidRPr="008B6A75" w:rsidRDefault="00387142" w:rsidP="00387142">
      <w:pPr>
        <w:rPr>
          <w:rStyle w:val="24"/>
          <w:color w:val="000000"/>
          <w:sz w:val="20"/>
          <w:szCs w:val="20"/>
        </w:rPr>
      </w:pPr>
      <w:r w:rsidRPr="008B6A75">
        <w:rPr>
          <w:sz w:val="20"/>
          <w:szCs w:val="20"/>
        </w:rPr>
        <w:t xml:space="preserve">                                                                                                                           </w:t>
      </w:r>
      <w:r w:rsidRPr="008B6A75">
        <w:rPr>
          <w:rStyle w:val="24"/>
          <w:color w:val="000000"/>
          <w:sz w:val="20"/>
          <w:szCs w:val="20"/>
        </w:rPr>
        <w:t>ПРИЛОЖЕНИЕ 5</w:t>
      </w:r>
    </w:p>
    <w:p w14:paraId="0C3F8109" w14:textId="77777777" w:rsidR="00387142" w:rsidRPr="008B6A75" w:rsidRDefault="00387142" w:rsidP="00387142">
      <w:pPr>
        <w:pStyle w:val="25"/>
        <w:shd w:val="clear" w:color="auto" w:fill="auto"/>
        <w:spacing w:after="0" w:line="240" w:lineRule="auto"/>
        <w:ind w:left="4395" w:right="-2" w:firstLine="0"/>
        <w:rPr>
          <w:rStyle w:val="24"/>
          <w:rFonts w:ascii="Times New Roman" w:hAnsi="Times New Roman" w:cs="Times New Roman"/>
          <w:color w:val="000000"/>
          <w:sz w:val="20"/>
          <w:szCs w:val="20"/>
        </w:rPr>
      </w:pPr>
      <w:r w:rsidRPr="008B6A75">
        <w:rPr>
          <w:rStyle w:val="24"/>
          <w:rFonts w:ascii="Times New Roman" w:hAnsi="Times New Roman" w:cs="Times New Roman"/>
          <w:color w:val="000000"/>
          <w:sz w:val="20"/>
          <w:szCs w:val="20"/>
        </w:rPr>
        <w:t xml:space="preserve">к Положению </w:t>
      </w:r>
      <w:r w:rsidRPr="008B6A75">
        <w:rPr>
          <w:rFonts w:ascii="Times New Roman" w:hAnsi="Times New Roman" w:cs="Times New Roman"/>
          <w:bCs/>
          <w:color w:val="000000"/>
          <w:sz w:val="20"/>
          <w:szCs w:val="20"/>
          <w:shd w:val="clear" w:color="auto" w:fill="FFFFFF"/>
        </w:rPr>
        <w:t>об условиях и порядке назначения, выплаты, перерасчета и индексации пенсии за выслугу лет муниципальным служащим в органах местного самоуправления Куйбышевского муниципального района Новосибирской области</w:t>
      </w:r>
    </w:p>
    <w:p w14:paraId="7B45FBA6" w14:textId="77777777" w:rsidR="00387142" w:rsidRPr="008B6A75" w:rsidRDefault="00387142" w:rsidP="00387142">
      <w:pPr>
        <w:pStyle w:val="25"/>
        <w:shd w:val="clear" w:color="auto" w:fill="auto"/>
        <w:spacing w:after="0" w:line="240" w:lineRule="auto"/>
        <w:ind w:right="-1620"/>
        <w:jc w:val="right"/>
        <w:rPr>
          <w:rStyle w:val="24"/>
          <w:rFonts w:ascii="Times New Roman" w:hAnsi="Times New Roman" w:cs="Times New Roman"/>
          <w:color w:val="000000"/>
          <w:sz w:val="20"/>
          <w:szCs w:val="20"/>
        </w:rPr>
      </w:pPr>
      <w:r w:rsidRPr="008B6A75">
        <w:rPr>
          <w:rStyle w:val="24"/>
          <w:rFonts w:ascii="Times New Roman" w:hAnsi="Times New Roman" w:cs="Times New Roman"/>
          <w:color w:val="000000"/>
          <w:sz w:val="20"/>
          <w:szCs w:val="20"/>
        </w:rPr>
        <w:t xml:space="preserve"> </w:t>
      </w:r>
    </w:p>
    <w:p w14:paraId="46D41726" w14:textId="77777777" w:rsidR="00387142" w:rsidRPr="008B6A75" w:rsidRDefault="00387142" w:rsidP="00387142">
      <w:pPr>
        <w:pStyle w:val="25"/>
        <w:shd w:val="clear" w:color="auto" w:fill="auto"/>
        <w:spacing w:after="0" w:line="240" w:lineRule="auto"/>
        <w:ind w:right="-1620"/>
        <w:jc w:val="right"/>
        <w:rPr>
          <w:rStyle w:val="24"/>
          <w:rFonts w:ascii="Times New Roman" w:hAnsi="Times New Roman" w:cs="Times New Roman"/>
          <w:color w:val="000000"/>
          <w:sz w:val="20"/>
          <w:szCs w:val="20"/>
        </w:rPr>
      </w:pPr>
    </w:p>
    <w:p w14:paraId="5188F2C8" w14:textId="77777777" w:rsidR="00387142" w:rsidRPr="008B6A75" w:rsidRDefault="00387142" w:rsidP="00387142">
      <w:pPr>
        <w:pStyle w:val="25"/>
        <w:shd w:val="clear" w:color="auto" w:fill="auto"/>
        <w:spacing w:after="0" w:line="240" w:lineRule="auto"/>
        <w:ind w:right="62" w:firstLine="0"/>
        <w:rPr>
          <w:rFonts w:ascii="Times New Roman" w:hAnsi="Times New Roman" w:cs="Times New Roman"/>
          <w:sz w:val="20"/>
          <w:szCs w:val="20"/>
        </w:rPr>
      </w:pPr>
      <w:r w:rsidRPr="008B6A75">
        <w:rPr>
          <w:rStyle w:val="24"/>
          <w:rFonts w:ascii="Times New Roman" w:hAnsi="Times New Roman" w:cs="Times New Roman"/>
          <w:color w:val="000000"/>
          <w:sz w:val="20"/>
          <w:szCs w:val="20"/>
        </w:rPr>
        <w:t>____________________________________________________________________</w:t>
      </w:r>
    </w:p>
    <w:p w14:paraId="0DD6C4AA" w14:textId="77777777" w:rsidR="00387142" w:rsidRPr="008B6A75" w:rsidRDefault="00387142" w:rsidP="00387142">
      <w:pPr>
        <w:pStyle w:val="33"/>
        <w:shd w:val="clear" w:color="auto" w:fill="auto"/>
        <w:spacing w:before="0" w:after="0" w:line="240" w:lineRule="auto"/>
        <w:rPr>
          <w:rFonts w:ascii="Times New Roman" w:hAnsi="Times New Roman" w:cs="Times New Roman"/>
          <w:sz w:val="20"/>
          <w:szCs w:val="20"/>
        </w:rPr>
      </w:pPr>
      <w:r w:rsidRPr="008B6A75">
        <w:rPr>
          <w:rStyle w:val="32"/>
          <w:rFonts w:ascii="Times New Roman" w:hAnsi="Times New Roman" w:cs="Times New Roman"/>
          <w:color w:val="000000"/>
          <w:sz w:val="20"/>
          <w:szCs w:val="20"/>
        </w:rPr>
        <w:t>(наименование органа Пенсионного фонда Российской Федерации)</w:t>
      </w:r>
    </w:p>
    <w:p w14:paraId="034377B7" w14:textId="77777777" w:rsidR="00387142" w:rsidRPr="008B6A75" w:rsidRDefault="00387142" w:rsidP="00387142">
      <w:pPr>
        <w:pStyle w:val="25"/>
        <w:shd w:val="clear" w:color="auto" w:fill="auto"/>
        <w:spacing w:after="332" w:line="240" w:lineRule="auto"/>
        <w:ind w:left="-543" w:right="-1801"/>
        <w:rPr>
          <w:rStyle w:val="24"/>
          <w:rFonts w:ascii="Times New Roman" w:hAnsi="Times New Roman" w:cs="Times New Roman"/>
          <w:color w:val="000000"/>
          <w:sz w:val="20"/>
          <w:szCs w:val="20"/>
        </w:rPr>
      </w:pPr>
      <w:r w:rsidRPr="008B6A75">
        <w:rPr>
          <w:rStyle w:val="24"/>
          <w:rFonts w:ascii="Times New Roman" w:hAnsi="Times New Roman" w:cs="Times New Roman"/>
          <w:color w:val="000000"/>
          <w:sz w:val="20"/>
          <w:szCs w:val="20"/>
        </w:rPr>
        <w:t xml:space="preserve">  </w:t>
      </w:r>
    </w:p>
    <w:p w14:paraId="4E5465AC" w14:textId="77777777" w:rsidR="00387142" w:rsidRPr="008B6A75" w:rsidRDefault="00387142" w:rsidP="00387142">
      <w:pPr>
        <w:pStyle w:val="25"/>
        <w:shd w:val="clear" w:color="auto" w:fill="auto"/>
        <w:spacing w:after="332" w:line="240" w:lineRule="auto"/>
        <w:ind w:left="-543" w:right="-1801"/>
        <w:rPr>
          <w:rFonts w:ascii="Times New Roman" w:hAnsi="Times New Roman" w:cs="Times New Roman"/>
          <w:sz w:val="20"/>
          <w:szCs w:val="20"/>
        </w:rPr>
      </w:pPr>
      <w:r w:rsidRPr="008B6A75">
        <w:rPr>
          <w:rStyle w:val="24"/>
          <w:rFonts w:ascii="Times New Roman" w:hAnsi="Times New Roman" w:cs="Times New Roman"/>
          <w:color w:val="000000"/>
          <w:sz w:val="20"/>
          <w:szCs w:val="20"/>
        </w:rPr>
        <w:t>СПРАВКА</w:t>
      </w:r>
    </w:p>
    <w:p w14:paraId="16CD4830" w14:textId="77777777" w:rsidR="00387142" w:rsidRPr="008B6A75" w:rsidRDefault="00387142" w:rsidP="00387142">
      <w:pPr>
        <w:pStyle w:val="25"/>
        <w:shd w:val="clear" w:color="auto" w:fill="auto"/>
        <w:tabs>
          <w:tab w:val="left" w:leader="underscore" w:pos="1814"/>
        </w:tabs>
        <w:spacing w:after="0" w:line="240" w:lineRule="auto"/>
        <w:ind w:right="-2" w:firstLine="709"/>
        <w:jc w:val="both"/>
        <w:rPr>
          <w:rFonts w:ascii="Times New Roman" w:hAnsi="Times New Roman" w:cs="Times New Roman"/>
          <w:sz w:val="20"/>
          <w:szCs w:val="20"/>
        </w:rPr>
      </w:pPr>
      <w:r w:rsidRPr="008B6A75">
        <w:rPr>
          <w:rStyle w:val="24"/>
          <w:rFonts w:ascii="Times New Roman" w:hAnsi="Times New Roman" w:cs="Times New Roman"/>
          <w:color w:val="000000"/>
          <w:sz w:val="20"/>
          <w:szCs w:val="20"/>
        </w:rPr>
        <w:t>Дана ___________________</w:t>
      </w:r>
      <w:r w:rsidRPr="008B6A75">
        <w:rPr>
          <w:rStyle w:val="29pt"/>
          <w:color w:val="000000"/>
          <w:sz w:val="20"/>
          <w:szCs w:val="20"/>
        </w:rPr>
        <w:t xml:space="preserve"> (фамилия, имя, отчество</w:t>
      </w:r>
      <w:r w:rsidRPr="008B6A75">
        <w:rPr>
          <w:rStyle w:val="2SegoeUI"/>
          <w:rFonts w:ascii="Times New Roman" w:hAnsi="Times New Roman" w:cs="Times New Roman"/>
          <w:color w:val="000000"/>
          <w:sz w:val="20"/>
          <w:szCs w:val="20"/>
        </w:rPr>
        <w:t>)</w:t>
      </w:r>
      <w:r w:rsidRPr="008B6A75">
        <w:rPr>
          <w:rStyle w:val="24"/>
          <w:rFonts w:ascii="Times New Roman" w:hAnsi="Times New Roman" w:cs="Times New Roman"/>
          <w:color w:val="000000"/>
          <w:sz w:val="20"/>
          <w:szCs w:val="20"/>
        </w:rPr>
        <w:t xml:space="preserve"> в том, что в соответствии с Федеральным законом «О страховых пенсиях» или Законом Российской Федерации «О занятости населения в Российской Федерации» назначена страховая пенсия </w:t>
      </w:r>
      <w:r w:rsidRPr="008B6A75">
        <w:rPr>
          <w:rStyle w:val="371"/>
          <w:rFonts w:ascii="Times New Roman" w:hAnsi="Times New Roman" w:cs="Times New Roman"/>
          <w:color w:val="000000"/>
          <w:sz w:val="20"/>
          <w:szCs w:val="20"/>
        </w:rPr>
        <w:t xml:space="preserve">по </w:t>
      </w:r>
      <w:r w:rsidRPr="008B6A75">
        <w:rPr>
          <w:rStyle w:val="311pt"/>
          <w:rFonts w:ascii="Times New Roman" w:hAnsi="Times New Roman" w:cs="Times New Roman"/>
          <w:color w:val="000000"/>
          <w:sz w:val="20"/>
          <w:szCs w:val="20"/>
        </w:rPr>
        <w:t xml:space="preserve">старости (инвалидности) </w:t>
      </w:r>
      <w:r w:rsidRPr="008B6A75">
        <w:rPr>
          <w:rStyle w:val="371"/>
          <w:rFonts w:ascii="Times New Roman" w:hAnsi="Times New Roman" w:cs="Times New Roman"/>
          <w:color w:val="000000"/>
          <w:sz w:val="20"/>
          <w:szCs w:val="20"/>
        </w:rPr>
        <w:t>с ____________</w:t>
      </w:r>
      <w:r w:rsidRPr="008B6A75">
        <w:rPr>
          <w:rStyle w:val="32"/>
          <w:rFonts w:ascii="Times New Roman" w:hAnsi="Times New Roman" w:cs="Times New Roman"/>
          <w:color w:val="000000"/>
          <w:sz w:val="20"/>
          <w:szCs w:val="20"/>
        </w:rPr>
        <w:t xml:space="preserve"> (дата назначения страховой пенсии).</w:t>
      </w:r>
    </w:p>
    <w:p w14:paraId="5C57159B" w14:textId="77777777" w:rsidR="00387142" w:rsidRPr="008B6A75" w:rsidRDefault="00387142" w:rsidP="00387142">
      <w:pPr>
        <w:pStyle w:val="25"/>
        <w:shd w:val="clear" w:color="auto" w:fill="auto"/>
        <w:tabs>
          <w:tab w:val="left" w:pos="3130"/>
        </w:tabs>
        <w:spacing w:after="0" w:line="240" w:lineRule="auto"/>
        <w:ind w:right="-2" w:firstLine="709"/>
        <w:jc w:val="both"/>
        <w:rPr>
          <w:rFonts w:ascii="Times New Roman" w:hAnsi="Times New Roman" w:cs="Times New Roman"/>
          <w:sz w:val="20"/>
          <w:szCs w:val="20"/>
        </w:rPr>
      </w:pPr>
      <w:r w:rsidRPr="008B6A75">
        <w:rPr>
          <w:rStyle w:val="24"/>
          <w:rFonts w:ascii="Times New Roman" w:hAnsi="Times New Roman" w:cs="Times New Roman"/>
          <w:color w:val="000000"/>
          <w:sz w:val="20"/>
          <w:szCs w:val="20"/>
        </w:rPr>
        <w:t>По состоянию на _______________</w:t>
      </w:r>
      <w:r w:rsidRPr="008B6A75">
        <w:rPr>
          <w:rStyle w:val="29pt"/>
          <w:color w:val="000000"/>
          <w:sz w:val="20"/>
          <w:szCs w:val="20"/>
        </w:rPr>
        <w:t xml:space="preserve"> (дата)</w:t>
      </w:r>
      <w:r w:rsidRPr="008B6A75">
        <w:rPr>
          <w:rStyle w:val="271"/>
          <w:color w:val="000000"/>
          <w:sz w:val="20"/>
          <w:szCs w:val="20"/>
        </w:rPr>
        <w:t xml:space="preserve"> </w:t>
      </w:r>
      <w:r w:rsidRPr="008B6A75">
        <w:rPr>
          <w:rStyle w:val="24"/>
          <w:rFonts w:ascii="Times New Roman" w:hAnsi="Times New Roman" w:cs="Times New Roman"/>
          <w:color w:val="000000"/>
          <w:sz w:val="20"/>
          <w:szCs w:val="20"/>
        </w:rPr>
        <w:t xml:space="preserve">размер выплачиваемой страховой пенсии по старости (инвалидности) составляет___________ руб. ______ </w:t>
      </w:r>
      <w:proofErr w:type="gramStart"/>
      <w:r w:rsidRPr="008B6A75">
        <w:rPr>
          <w:rStyle w:val="24"/>
          <w:rFonts w:ascii="Times New Roman" w:hAnsi="Times New Roman" w:cs="Times New Roman"/>
          <w:color w:val="000000"/>
          <w:sz w:val="20"/>
          <w:szCs w:val="20"/>
        </w:rPr>
        <w:t>коп.,</w:t>
      </w:r>
      <w:proofErr w:type="gramEnd"/>
      <w:r w:rsidRPr="008B6A75">
        <w:rPr>
          <w:rStyle w:val="24"/>
          <w:rFonts w:ascii="Times New Roman" w:hAnsi="Times New Roman" w:cs="Times New Roman"/>
          <w:color w:val="000000"/>
          <w:sz w:val="20"/>
          <w:szCs w:val="20"/>
        </w:rPr>
        <w:t xml:space="preserve"> фиксированная выплата к страховой пенсии по старости (инвалидности) ________</w:t>
      </w:r>
      <w:proofErr w:type="spellStart"/>
      <w:r w:rsidRPr="008B6A75">
        <w:rPr>
          <w:rStyle w:val="24"/>
          <w:rFonts w:ascii="Times New Roman" w:hAnsi="Times New Roman" w:cs="Times New Roman"/>
          <w:color w:val="000000"/>
          <w:sz w:val="20"/>
          <w:szCs w:val="20"/>
        </w:rPr>
        <w:t>руб</w:t>
      </w:r>
      <w:proofErr w:type="spellEnd"/>
      <w:r w:rsidRPr="008B6A75">
        <w:rPr>
          <w:rStyle w:val="24"/>
          <w:rFonts w:ascii="Times New Roman" w:hAnsi="Times New Roman" w:cs="Times New Roman"/>
          <w:color w:val="000000"/>
          <w:sz w:val="20"/>
          <w:szCs w:val="20"/>
        </w:rPr>
        <w:t xml:space="preserve">.______коп., повышение фиксированной выплаты к страховой пенсии по старости (инвалидности)________ </w:t>
      </w:r>
      <w:proofErr w:type="spellStart"/>
      <w:r w:rsidRPr="008B6A75">
        <w:rPr>
          <w:rStyle w:val="24"/>
          <w:rFonts w:ascii="Times New Roman" w:hAnsi="Times New Roman" w:cs="Times New Roman"/>
          <w:color w:val="000000"/>
          <w:sz w:val="20"/>
          <w:szCs w:val="20"/>
        </w:rPr>
        <w:t>руб</w:t>
      </w:r>
      <w:proofErr w:type="spellEnd"/>
      <w:r w:rsidRPr="008B6A75">
        <w:rPr>
          <w:rStyle w:val="24"/>
          <w:rFonts w:ascii="Times New Roman" w:hAnsi="Times New Roman" w:cs="Times New Roman"/>
          <w:color w:val="000000"/>
          <w:sz w:val="20"/>
          <w:szCs w:val="20"/>
        </w:rPr>
        <w:t>._____коп., сумма, полагающаяся в связи с валоризацией пенсионных прав,___________ руб.________ коп.</w:t>
      </w:r>
    </w:p>
    <w:p w14:paraId="13E4AFAE" w14:textId="77777777" w:rsidR="00387142" w:rsidRPr="008B6A75" w:rsidRDefault="00387142" w:rsidP="00387142">
      <w:pPr>
        <w:pStyle w:val="33"/>
        <w:shd w:val="clear" w:color="auto" w:fill="auto"/>
        <w:spacing w:before="0" w:after="0" w:line="240" w:lineRule="auto"/>
        <w:ind w:right="-1801"/>
        <w:jc w:val="left"/>
        <w:rPr>
          <w:rStyle w:val="32"/>
          <w:rFonts w:ascii="Times New Roman" w:hAnsi="Times New Roman" w:cs="Times New Roman"/>
          <w:color w:val="000000"/>
          <w:sz w:val="20"/>
          <w:szCs w:val="20"/>
        </w:rPr>
      </w:pPr>
    </w:p>
    <w:p w14:paraId="47346DEB" w14:textId="77777777" w:rsidR="00387142" w:rsidRPr="008B6A75" w:rsidRDefault="00387142" w:rsidP="00387142">
      <w:pPr>
        <w:pStyle w:val="33"/>
        <w:shd w:val="clear" w:color="auto" w:fill="auto"/>
        <w:spacing w:before="0" w:after="0" w:line="240" w:lineRule="auto"/>
        <w:ind w:right="-1801"/>
        <w:jc w:val="left"/>
        <w:rPr>
          <w:rStyle w:val="32"/>
          <w:rFonts w:ascii="Times New Roman" w:hAnsi="Times New Roman" w:cs="Times New Roman"/>
          <w:color w:val="000000"/>
          <w:sz w:val="20"/>
          <w:szCs w:val="20"/>
        </w:rPr>
      </w:pPr>
    </w:p>
    <w:p w14:paraId="4169A3B1" w14:textId="77777777" w:rsidR="00387142" w:rsidRPr="008B6A75" w:rsidRDefault="00387142" w:rsidP="00387142">
      <w:pPr>
        <w:pStyle w:val="33"/>
        <w:shd w:val="clear" w:color="auto" w:fill="auto"/>
        <w:spacing w:before="0" w:after="0" w:line="240" w:lineRule="auto"/>
        <w:ind w:right="-1801"/>
        <w:jc w:val="left"/>
        <w:rPr>
          <w:rStyle w:val="32"/>
          <w:rFonts w:ascii="Times New Roman" w:hAnsi="Times New Roman" w:cs="Times New Roman"/>
          <w:color w:val="000000"/>
          <w:sz w:val="20"/>
          <w:szCs w:val="20"/>
        </w:rPr>
      </w:pPr>
    </w:p>
    <w:p w14:paraId="0CB9968B" w14:textId="77777777" w:rsidR="00387142" w:rsidRPr="008B6A75" w:rsidRDefault="00387142" w:rsidP="00387142">
      <w:pPr>
        <w:pStyle w:val="33"/>
        <w:shd w:val="clear" w:color="auto" w:fill="auto"/>
        <w:spacing w:before="0" w:after="0" w:line="240" w:lineRule="auto"/>
        <w:ind w:right="-1801"/>
        <w:jc w:val="left"/>
        <w:rPr>
          <w:rStyle w:val="32"/>
          <w:rFonts w:ascii="Times New Roman" w:hAnsi="Times New Roman" w:cs="Times New Roman"/>
          <w:color w:val="000000"/>
          <w:sz w:val="20"/>
          <w:szCs w:val="20"/>
        </w:rPr>
      </w:pPr>
    </w:p>
    <w:p w14:paraId="46D112C9" w14:textId="77777777" w:rsidR="00387142" w:rsidRPr="008B6A75" w:rsidRDefault="00387142" w:rsidP="00387142">
      <w:pPr>
        <w:pStyle w:val="33"/>
        <w:shd w:val="clear" w:color="auto" w:fill="auto"/>
        <w:spacing w:before="0" w:after="0" w:line="240" w:lineRule="auto"/>
        <w:ind w:right="-1801"/>
        <w:jc w:val="left"/>
        <w:rPr>
          <w:rStyle w:val="32"/>
          <w:rFonts w:ascii="Times New Roman" w:hAnsi="Times New Roman" w:cs="Times New Roman"/>
          <w:color w:val="000000"/>
          <w:sz w:val="20"/>
          <w:szCs w:val="20"/>
        </w:rPr>
      </w:pPr>
    </w:p>
    <w:p w14:paraId="5DCA7D03" w14:textId="77777777" w:rsidR="00387142" w:rsidRPr="008B6A75" w:rsidRDefault="00387142" w:rsidP="00387142">
      <w:pPr>
        <w:pStyle w:val="33"/>
        <w:shd w:val="clear" w:color="auto" w:fill="auto"/>
        <w:spacing w:before="0" w:after="0" w:line="240" w:lineRule="auto"/>
        <w:ind w:right="-1801"/>
        <w:jc w:val="left"/>
        <w:rPr>
          <w:rStyle w:val="32"/>
          <w:rFonts w:ascii="Times New Roman" w:hAnsi="Times New Roman" w:cs="Times New Roman"/>
          <w:color w:val="000000"/>
          <w:sz w:val="20"/>
          <w:szCs w:val="20"/>
        </w:rPr>
      </w:pPr>
    </w:p>
    <w:p w14:paraId="3C2ACDAF" w14:textId="77777777" w:rsidR="00387142" w:rsidRPr="008B6A75" w:rsidRDefault="00387142" w:rsidP="00387142">
      <w:pPr>
        <w:pStyle w:val="33"/>
        <w:shd w:val="clear" w:color="auto" w:fill="auto"/>
        <w:spacing w:before="0" w:after="0" w:line="240" w:lineRule="auto"/>
        <w:ind w:right="-1801"/>
        <w:jc w:val="left"/>
        <w:rPr>
          <w:rStyle w:val="32"/>
          <w:rFonts w:ascii="Times New Roman" w:hAnsi="Times New Roman" w:cs="Times New Roman"/>
          <w:color w:val="000000"/>
          <w:sz w:val="20"/>
          <w:szCs w:val="20"/>
        </w:rPr>
      </w:pPr>
      <w:r w:rsidRPr="008B6A75">
        <w:rPr>
          <w:rStyle w:val="32"/>
          <w:rFonts w:ascii="Times New Roman" w:hAnsi="Times New Roman" w:cs="Times New Roman"/>
          <w:color w:val="000000"/>
          <w:sz w:val="20"/>
          <w:szCs w:val="20"/>
        </w:rPr>
        <w:t xml:space="preserve"> Руководитель        _______________________________________</w:t>
      </w:r>
    </w:p>
    <w:p w14:paraId="51217423" w14:textId="77777777" w:rsidR="00387142" w:rsidRPr="008B6A75" w:rsidRDefault="00387142" w:rsidP="00387142">
      <w:pPr>
        <w:pStyle w:val="33"/>
        <w:shd w:val="clear" w:color="auto" w:fill="auto"/>
        <w:spacing w:before="0" w:after="0" w:line="240" w:lineRule="auto"/>
        <w:ind w:right="-1801"/>
        <w:jc w:val="left"/>
        <w:rPr>
          <w:rStyle w:val="32"/>
          <w:rFonts w:ascii="Times New Roman" w:hAnsi="Times New Roman" w:cs="Times New Roman"/>
          <w:color w:val="000000"/>
          <w:sz w:val="20"/>
          <w:szCs w:val="20"/>
        </w:rPr>
      </w:pPr>
      <w:r w:rsidRPr="008B6A75">
        <w:rPr>
          <w:rStyle w:val="32"/>
          <w:rFonts w:ascii="Times New Roman" w:hAnsi="Times New Roman" w:cs="Times New Roman"/>
          <w:color w:val="000000"/>
          <w:sz w:val="20"/>
          <w:szCs w:val="20"/>
        </w:rPr>
        <w:t xml:space="preserve">                                                          (подпись, инициалы, фамилия)</w:t>
      </w:r>
    </w:p>
    <w:p w14:paraId="0B713A16" w14:textId="77777777" w:rsidR="00387142" w:rsidRPr="008B6A75" w:rsidRDefault="00387142" w:rsidP="00387142">
      <w:pPr>
        <w:pStyle w:val="33"/>
        <w:shd w:val="clear" w:color="auto" w:fill="auto"/>
        <w:spacing w:before="0" w:after="0" w:line="240" w:lineRule="auto"/>
        <w:ind w:right="-1801"/>
        <w:jc w:val="left"/>
        <w:rPr>
          <w:rStyle w:val="32"/>
          <w:rFonts w:ascii="Times New Roman" w:hAnsi="Times New Roman" w:cs="Times New Roman"/>
          <w:color w:val="000000"/>
          <w:sz w:val="20"/>
          <w:szCs w:val="20"/>
        </w:rPr>
      </w:pPr>
    </w:p>
    <w:p w14:paraId="11CE0987" w14:textId="77777777" w:rsidR="00387142" w:rsidRPr="008B6A75" w:rsidRDefault="00387142" w:rsidP="00387142">
      <w:pPr>
        <w:pStyle w:val="33"/>
        <w:shd w:val="clear" w:color="auto" w:fill="auto"/>
        <w:spacing w:before="0" w:after="0" w:line="240" w:lineRule="auto"/>
        <w:ind w:right="-1801"/>
        <w:jc w:val="left"/>
        <w:rPr>
          <w:rStyle w:val="32"/>
          <w:rFonts w:ascii="Times New Roman" w:hAnsi="Times New Roman" w:cs="Times New Roman"/>
          <w:color w:val="000000"/>
          <w:sz w:val="20"/>
          <w:szCs w:val="20"/>
        </w:rPr>
      </w:pPr>
    </w:p>
    <w:p w14:paraId="285047FA" w14:textId="77777777" w:rsidR="00387142" w:rsidRPr="008B6A75" w:rsidRDefault="00387142" w:rsidP="00387142">
      <w:pPr>
        <w:pStyle w:val="33"/>
        <w:shd w:val="clear" w:color="auto" w:fill="auto"/>
        <w:spacing w:before="0" w:after="0" w:line="240" w:lineRule="auto"/>
        <w:ind w:right="-1801"/>
        <w:jc w:val="left"/>
        <w:rPr>
          <w:rFonts w:ascii="Times New Roman" w:hAnsi="Times New Roman" w:cs="Times New Roman"/>
          <w:sz w:val="20"/>
          <w:szCs w:val="20"/>
        </w:rPr>
      </w:pPr>
      <w:r w:rsidRPr="008B6A75">
        <w:rPr>
          <w:rStyle w:val="32"/>
          <w:rFonts w:ascii="Times New Roman" w:hAnsi="Times New Roman" w:cs="Times New Roman"/>
          <w:color w:val="000000"/>
          <w:sz w:val="20"/>
          <w:szCs w:val="20"/>
        </w:rPr>
        <w:t>М.П.</w:t>
      </w:r>
    </w:p>
    <w:p w14:paraId="2AE603AF" w14:textId="77777777" w:rsidR="00387142" w:rsidRPr="008B6A75" w:rsidRDefault="00387142" w:rsidP="00387142">
      <w:pPr>
        <w:rPr>
          <w:rStyle w:val="24"/>
          <w:sz w:val="20"/>
          <w:szCs w:val="20"/>
        </w:rPr>
      </w:pPr>
      <w:r w:rsidRPr="008B6A75">
        <w:rPr>
          <w:sz w:val="20"/>
          <w:szCs w:val="20"/>
        </w:rPr>
        <w:t xml:space="preserve">                                                                                                                                         </w:t>
      </w:r>
      <w:r w:rsidRPr="008B6A75">
        <w:rPr>
          <w:rStyle w:val="24"/>
          <w:color w:val="000000"/>
          <w:sz w:val="20"/>
          <w:szCs w:val="20"/>
        </w:rPr>
        <w:t>ПРИЛОЖЕНИЕ 6</w:t>
      </w:r>
    </w:p>
    <w:p w14:paraId="55281D73" w14:textId="77777777" w:rsidR="00387142" w:rsidRPr="008B6A75" w:rsidRDefault="00387142" w:rsidP="00387142">
      <w:pPr>
        <w:pStyle w:val="25"/>
        <w:shd w:val="clear" w:color="auto" w:fill="auto"/>
        <w:spacing w:after="0" w:line="240" w:lineRule="auto"/>
        <w:ind w:left="4962" w:right="-2" w:firstLine="0"/>
        <w:rPr>
          <w:rFonts w:ascii="Times New Roman" w:hAnsi="Times New Roman" w:cs="Times New Roman"/>
          <w:sz w:val="20"/>
          <w:szCs w:val="20"/>
        </w:rPr>
      </w:pPr>
      <w:r w:rsidRPr="008B6A75">
        <w:rPr>
          <w:rStyle w:val="24"/>
          <w:rFonts w:ascii="Times New Roman" w:hAnsi="Times New Roman" w:cs="Times New Roman"/>
          <w:color w:val="000000"/>
          <w:sz w:val="20"/>
          <w:szCs w:val="20"/>
        </w:rPr>
        <w:t xml:space="preserve">к Положению </w:t>
      </w:r>
      <w:r w:rsidRPr="008B6A75">
        <w:rPr>
          <w:rFonts w:ascii="Times New Roman" w:hAnsi="Times New Roman" w:cs="Times New Roman"/>
          <w:bCs/>
          <w:color w:val="000000"/>
          <w:sz w:val="20"/>
          <w:szCs w:val="20"/>
          <w:shd w:val="clear" w:color="auto" w:fill="FFFFFF"/>
        </w:rPr>
        <w:t>об условиях и порядке назначения, выплаты, перерасчета и индексации пенсии за выслугу лет муниципальным служащим в органах местного самоуправления Куйбышевского муниципального района Новосибирской области</w:t>
      </w:r>
    </w:p>
    <w:p w14:paraId="7EFEAC8D" w14:textId="77777777" w:rsidR="00387142" w:rsidRPr="008B6A75" w:rsidRDefault="00387142" w:rsidP="00387142">
      <w:pPr>
        <w:pStyle w:val="25"/>
        <w:shd w:val="clear" w:color="auto" w:fill="auto"/>
        <w:spacing w:after="0" w:line="240" w:lineRule="auto"/>
        <w:ind w:right="282"/>
        <w:jc w:val="right"/>
        <w:rPr>
          <w:rStyle w:val="24"/>
          <w:rFonts w:ascii="Times New Roman" w:hAnsi="Times New Roman" w:cs="Times New Roman"/>
          <w:color w:val="000000"/>
          <w:sz w:val="20"/>
          <w:szCs w:val="20"/>
        </w:rPr>
      </w:pPr>
    </w:p>
    <w:p w14:paraId="0B2E8D05" w14:textId="77777777" w:rsidR="00387142" w:rsidRPr="008B6A75" w:rsidRDefault="00387142" w:rsidP="00387142">
      <w:pPr>
        <w:pStyle w:val="25"/>
        <w:shd w:val="clear" w:color="auto" w:fill="auto"/>
        <w:spacing w:after="0" w:line="240" w:lineRule="auto"/>
        <w:ind w:right="20"/>
        <w:rPr>
          <w:rFonts w:ascii="Times New Roman" w:hAnsi="Times New Roman" w:cs="Times New Roman"/>
          <w:sz w:val="20"/>
          <w:szCs w:val="20"/>
        </w:rPr>
      </w:pPr>
      <w:r w:rsidRPr="008B6A75">
        <w:rPr>
          <w:rStyle w:val="24"/>
          <w:rFonts w:ascii="Times New Roman" w:hAnsi="Times New Roman" w:cs="Times New Roman"/>
          <w:color w:val="000000"/>
          <w:sz w:val="20"/>
          <w:szCs w:val="20"/>
        </w:rPr>
        <w:t>УВЕДОМЛЕНИЕ</w:t>
      </w:r>
    </w:p>
    <w:p w14:paraId="13E4AC98" w14:textId="77777777" w:rsidR="00387142" w:rsidRPr="008B6A75" w:rsidRDefault="00387142" w:rsidP="00387142">
      <w:pPr>
        <w:pStyle w:val="25"/>
        <w:shd w:val="clear" w:color="auto" w:fill="auto"/>
        <w:tabs>
          <w:tab w:val="left" w:pos="6450"/>
        </w:tabs>
        <w:spacing w:after="0" w:line="240" w:lineRule="auto"/>
        <w:ind w:right="-2" w:firstLine="0"/>
        <w:jc w:val="both"/>
        <w:rPr>
          <w:rStyle w:val="24"/>
          <w:rFonts w:ascii="Times New Roman" w:hAnsi="Times New Roman" w:cs="Times New Roman"/>
          <w:color w:val="000000"/>
          <w:sz w:val="20"/>
          <w:szCs w:val="20"/>
        </w:rPr>
      </w:pPr>
    </w:p>
    <w:p w14:paraId="46BE0A67" w14:textId="77777777" w:rsidR="00387142" w:rsidRPr="008B6A75" w:rsidRDefault="00387142" w:rsidP="00387142">
      <w:pPr>
        <w:pStyle w:val="25"/>
        <w:shd w:val="clear" w:color="auto" w:fill="auto"/>
        <w:tabs>
          <w:tab w:val="left" w:pos="6450"/>
        </w:tabs>
        <w:spacing w:after="0" w:line="240" w:lineRule="auto"/>
        <w:ind w:left="-905" w:right="-1438"/>
        <w:rPr>
          <w:rFonts w:ascii="Times New Roman" w:hAnsi="Times New Roman" w:cs="Times New Roman"/>
          <w:sz w:val="20"/>
          <w:szCs w:val="20"/>
        </w:rPr>
      </w:pPr>
      <w:r w:rsidRPr="008B6A75">
        <w:rPr>
          <w:rStyle w:val="24"/>
          <w:rFonts w:ascii="Times New Roman" w:hAnsi="Times New Roman" w:cs="Times New Roman"/>
          <w:color w:val="000000"/>
          <w:sz w:val="20"/>
          <w:szCs w:val="20"/>
        </w:rPr>
        <w:t>Уважаемый (-</w:t>
      </w:r>
      <w:proofErr w:type="spellStart"/>
      <w:r w:rsidRPr="008B6A75">
        <w:rPr>
          <w:rStyle w:val="24"/>
          <w:rFonts w:ascii="Times New Roman" w:hAnsi="Times New Roman" w:cs="Times New Roman"/>
          <w:color w:val="000000"/>
          <w:sz w:val="20"/>
          <w:szCs w:val="20"/>
        </w:rPr>
        <w:t>ая</w:t>
      </w:r>
      <w:proofErr w:type="spellEnd"/>
      <w:r w:rsidRPr="008B6A75">
        <w:rPr>
          <w:rStyle w:val="24"/>
          <w:rFonts w:ascii="Times New Roman" w:hAnsi="Times New Roman" w:cs="Times New Roman"/>
          <w:color w:val="000000"/>
          <w:sz w:val="20"/>
          <w:szCs w:val="20"/>
        </w:rPr>
        <w:t>) __________________________________!</w:t>
      </w:r>
    </w:p>
    <w:p w14:paraId="03A1DA54" w14:textId="77777777" w:rsidR="00387142" w:rsidRPr="008B6A75" w:rsidRDefault="00387142" w:rsidP="00387142">
      <w:pPr>
        <w:pStyle w:val="33"/>
        <w:shd w:val="clear" w:color="auto" w:fill="auto"/>
        <w:tabs>
          <w:tab w:val="left" w:leader="underscore" w:pos="1334"/>
        </w:tabs>
        <w:spacing w:before="0" w:after="0" w:line="240" w:lineRule="auto"/>
        <w:ind w:right="-1438"/>
        <w:jc w:val="both"/>
        <w:rPr>
          <w:rStyle w:val="372"/>
          <w:rFonts w:ascii="Times New Roman" w:hAnsi="Times New Roman" w:cs="Times New Roman"/>
          <w:color w:val="000000"/>
          <w:sz w:val="20"/>
          <w:szCs w:val="20"/>
        </w:rPr>
      </w:pPr>
    </w:p>
    <w:p w14:paraId="734171E0" w14:textId="77777777" w:rsidR="00387142" w:rsidRPr="008B6A75" w:rsidRDefault="00387142" w:rsidP="00387142">
      <w:pPr>
        <w:pStyle w:val="33"/>
        <w:shd w:val="clear" w:color="auto" w:fill="auto"/>
        <w:tabs>
          <w:tab w:val="left" w:leader="underscore" w:pos="1334"/>
        </w:tabs>
        <w:spacing w:before="0" w:after="0" w:line="240" w:lineRule="auto"/>
        <w:ind w:right="-2" w:firstLine="709"/>
        <w:jc w:val="both"/>
        <w:rPr>
          <w:rFonts w:ascii="Times New Roman" w:hAnsi="Times New Roman" w:cs="Times New Roman"/>
          <w:i w:val="0"/>
          <w:iCs w:val="0"/>
          <w:color w:val="000000"/>
          <w:sz w:val="20"/>
          <w:szCs w:val="20"/>
        </w:rPr>
      </w:pPr>
      <w:r w:rsidRPr="008B6A75">
        <w:rPr>
          <w:rStyle w:val="372"/>
          <w:rFonts w:ascii="Times New Roman" w:hAnsi="Times New Roman" w:cs="Times New Roman"/>
          <w:color w:val="000000"/>
          <w:sz w:val="20"/>
          <w:szCs w:val="20"/>
        </w:rPr>
        <w:t>____________________________</w:t>
      </w:r>
      <w:r w:rsidRPr="008B6A75">
        <w:rPr>
          <w:rStyle w:val="32"/>
          <w:rFonts w:ascii="Times New Roman" w:hAnsi="Times New Roman" w:cs="Times New Roman"/>
          <w:color w:val="000000"/>
          <w:sz w:val="20"/>
          <w:szCs w:val="20"/>
        </w:rPr>
        <w:t xml:space="preserve"> (наименование структурного подразделения / лицо, в должностные обязанности</w:t>
      </w:r>
      <w:r w:rsidRPr="008B6A75">
        <w:rPr>
          <w:rFonts w:ascii="Times New Roman" w:hAnsi="Times New Roman" w:cs="Times New Roman"/>
          <w:sz w:val="20"/>
          <w:szCs w:val="20"/>
        </w:rPr>
        <w:t xml:space="preserve"> </w:t>
      </w:r>
      <w:r w:rsidRPr="008B6A75">
        <w:rPr>
          <w:rStyle w:val="32"/>
          <w:rFonts w:ascii="Times New Roman" w:hAnsi="Times New Roman" w:cs="Times New Roman"/>
          <w:color w:val="000000"/>
          <w:sz w:val="20"/>
          <w:szCs w:val="20"/>
        </w:rPr>
        <w:t>которого входит кадровая работа)</w:t>
      </w:r>
      <w:r w:rsidRPr="008B6A75">
        <w:rPr>
          <w:rStyle w:val="372"/>
          <w:rFonts w:ascii="Times New Roman" w:hAnsi="Times New Roman" w:cs="Times New Roman"/>
          <w:color w:val="000000"/>
          <w:sz w:val="20"/>
          <w:szCs w:val="20"/>
        </w:rPr>
        <w:t xml:space="preserve"> ____________ </w:t>
      </w:r>
      <w:r w:rsidRPr="008B6A75">
        <w:rPr>
          <w:rStyle w:val="32"/>
          <w:rFonts w:ascii="Times New Roman" w:hAnsi="Times New Roman" w:cs="Times New Roman"/>
          <w:color w:val="000000"/>
          <w:sz w:val="20"/>
          <w:szCs w:val="20"/>
        </w:rPr>
        <w:t xml:space="preserve">(наименование муниципального образования) </w:t>
      </w:r>
      <w:r w:rsidRPr="008B6A75">
        <w:rPr>
          <w:rStyle w:val="24"/>
          <w:rFonts w:ascii="Times New Roman" w:hAnsi="Times New Roman" w:cs="Times New Roman"/>
          <w:i w:val="0"/>
          <w:iCs w:val="0"/>
          <w:color w:val="000000"/>
          <w:sz w:val="20"/>
          <w:szCs w:val="20"/>
        </w:rPr>
        <w:t xml:space="preserve">сообщает, что в соответствии с Федеральным законом от 02.03.2007 № 25-ФЗ «О муниципальной службе в Российской Федерации», Решением Совета депутатов от ___________№ _____ «Об утверждении Положения </w:t>
      </w:r>
      <w:r w:rsidRPr="008B6A75">
        <w:rPr>
          <w:rFonts w:ascii="Times New Roman" w:hAnsi="Times New Roman" w:cs="Times New Roman"/>
          <w:bCs/>
          <w:i w:val="0"/>
          <w:iCs w:val="0"/>
          <w:color w:val="000000"/>
          <w:sz w:val="20"/>
          <w:szCs w:val="20"/>
          <w:shd w:val="clear" w:color="auto" w:fill="FFFFFF"/>
        </w:rPr>
        <w:t>об условиях и порядке назначения, выплаты, перерасчета и индексации пенсии за выслугу лет муниципальным служащим в органах местного самоуправления Куйбышевского муниципального района Новосибирской области</w:t>
      </w:r>
      <w:r w:rsidRPr="008B6A75">
        <w:rPr>
          <w:rStyle w:val="24"/>
          <w:rFonts w:ascii="Times New Roman" w:hAnsi="Times New Roman" w:cs="Times New Roman"/>
          <w:i w:val="0"/>
          <w:iCs w:val="0"/>
          <w:color w:val="000000"/>
          <w:sz w:val="20"/>
          <w:szCs w:val="20"/>
        </w:rPr>
        <w:t>, муниципальном органе __________________________________________</w:t>
      </w:r>
      <w:r w:rsidRPr="008B6A75">
        <w:rPr>
          <w:rStyle w:val="24"/>
          <w:rFonts w:ascii="Times New Roman" w:hAnsi="Times New Roman" w:cs="Times New Roman"/>
          <w:color w:val="000000"/>
          <w:sz w:val="20"/>
          <w:szCs w:val="20"/>
        </w:rPr>
        <w:t xml:space="preserve"> </w:t>
      </w:r>
      <w:r w:rsidRPr="008B6A75">
        <w:rPr>
          <w:rStyle w:val="29pt"/>
          <w:color w:val="000000"/>
          <w:sz w:val="20"/>
          <w:szCs w:val="20"/>
        </w:rPr>
        <w:t>(наименование муниципального образования)»,</w:t>
      </w:r>
      <w:r w:rsidRPr="008B6A75">
        <w:rPr>
          <w:rStyle w:val="27"/>
          <w:color w:val="000000"/>
          <w:sz w:val="20"/>
          <w:szCs w:val="20"/>
        </w:rPr>
        <w:t xml:space="preserve"> </w:t>
      </w:r>
      <w:r w:rsidRPr="008B6A75">
        <w:rPr>
          <w:rStyle w:val="24"/>
          <w:rFonts w:ascii="Times New Roman" w:hAnsi="Times New Roman" w:cs="Times New Roman"/>
          <w:i w:val="0"/>
          <w:iCs w:val="0"/>
          <w:color w:val="000000"/>
          <w:sz w:val="20"/>
          <w:szCs w:val="20"/>
        </w:rPr>
        <w:t>Распоряжением Главы</w:t>
      </w:r>
      <w:r w:rsidRPr="008B6A75">
        <w:rPr>
          <w:rStyle w:val="24"/>
          <w:rFonts w:ascii="Times New Roman" w:hAnsi="Times New Roman" w:cs="Times New Roman"/>
          <w:color w:val="000000"/>
          <w:sz w:val="20"/>
          <w:szCs w:val="20"/>
        </w:rPr>
        <w:t xml:space="preserve"> </w:t>
      </w:r>
      <w:r w:rsidRPr="008B6A75">
        <w:rPr>
          <w:rStyle w:val="29pt"/>
          <w:color w:val="000000"/>
          <w:sz w:val="20"/>
          <w:szCs w:val="20"/>
        </w:rPr>
        <w:t>(наименование муниципального образования)</w:t>
      </w:r>
      <w:r w:rsidRPr="008B6A75">
        <w:rPr>
          <w:rStyle w:val="27"/>
          <w:color w:val="000000"/>
          <w:sz w:val="20"/>
          <w:szCs w:val="20"/>
        </w:rPr>
        <w:t xml:space="preserve"> </w:t>
      </w:r>
      <w:r w:rsidRPr="008B6A75">
        <w:rPr>
          <w:rStyle w:val="24"/>
          <w:rFonts w:ascii="Times New Roman" w:hAnsi="Times New Roman" w:cs="Times New Roman"/>
          <w:i w:val="0"/>
          <w:iCs w:val="0"/>
          <w:color w:val="000000"/>
          <w:sz w:val="20"/>
          <w:szCs w:val="20"/>
        </w:rPr>
        <w:t>Вам назначена пенсия за выслугу лет к страховой пенсии по старости (инвалидности) в размере___________ рублей с _____________</w:t>
      </w:r>
      <w:r w:rsidRPr="008B6A75">
        <w:rPr>
          <w:rStyle w:val="32"/>
          <w:rFonts w:ascii="Times New Roman" w:hAnsi="Times New Roman" w:cs="Times New Roman"/>
          <w:color w:val="000000"/>
          <w:sz w:val="20"/>
          <w:szCs w:val="20"/>
        </w:rPr>
        <w:t>(дата назначения).</w:t>
      </w:r>
    </w:p>
    <w:p w14:paraId="30BA8268" w14:textId="77777777" w:rsidR="00387142" w:rsidRPr="008B6A75" w:rsidRDefault="00387142" w:rsidP="00387142">
      <w:pPr>
        <w:pStyle w:val="25"/>
        <w:shd w:val="clear" w:color="auto" w:fill="auto"/>
        <w:spacing w:after="0" w:line="240" w:lineRule="auto"/>
        <w:ind w:right="-2" w:firstLine="709"/>
        <w:jc w:val="both"/>
        <w:rPr>
          <w:rFonts w:ascii="Times New Roman" w:hAnsi="Times New Roman" w:cs="Times New Roman"/>
          <w:sz w:val="20"/>
          <w:szCs w:val="20"/>
        </w:rPr>
      </w:pPr>
      <w:r w:rsidRPr="008B6A75">
        <w:rPr>
          <w:rStyle w:val="24"/>
          <w:rFonts w:ascii="Times New Roman" w:hAnsi="Times New Roman" w:cs="Times New Roman"/>
          <w:color w:val="000000"/>
          <w:sz w:val="20"/>
          <w:szCs w:val="20"/>
        </w:rPr>
        <w:t>При изменении размера страховой пенсии или среднемесячного денежного содержания по соответствующей должности размер пенсии за выслугу лет будет изменяться.</w:t>
      </w:r>
    </w:p>
    <w:p w14:paraId="7E299623" w14:textId="77777777" w:rsidR="00387142" w:rsidRPr="008B6A75" w:rsidRDefault="00387142" w:rsidP="00387142">
      <w:pPr>
        <w:pStyle w:val="25"/>
        <w:shd w:val="clear" w:color="auto" w:fill="auto"/>
        <w:tabs>
          <w:tab w:val="left" w:pos="3557"/>
        </w:tabs>
        <w:spacing w:after="0" w:line="240" w:lineRule="auto"/>
        <w:ind w:right="-2" w:firstLine="709"/>
        <w:jc w:val="both"/>
        <w:rPr>
          <w:rFonts w:ascii="Times New Roman" w:hAnsi="Times New Roman" w:cs="Times New Roman"/>
          <w:sz w:val="20"/>
          <w:szCs w:val="20"/>
        </w:rPr>
      </w:pPr>
      <w:r w:rsidRPr="008B6A75">
        <w:rPr>
          <w:rStyle w:val="24"/>
          <w:rFonts w:ascii="Times New Roman" w:hAnsi="Times New Roman" w:cs="Times New Roman"/>
          <w:color w:val="000000"/>
          <w:sz w:val="20"/>
          <w:szCs w:val="20"/>
        </w:rPr>
        <w:t>Об изменении размера страховой пенсии по старости (инвалидности) при по</w:t>
      </w:r>
      <w:r w:rsidRPr="008B6A75">
        <w:rPr>
          <w:rStyle w:val="24"/>
          <w:rFonts w:ascii="Times New Roman" w:hAnsi="Times New Roman" w:cs="Times New Roman"/>
          <w:color w:val="000000"/>
          <w:sz w:val="20"/>
          <w:szCs w:val="20"/>
        </w:rPr>
        <w:softHyphen/>
        <w:t xml:space="preserve">следующем замещении государственной должности, муниципальной должности, должности государственной службы, муниципальной службы, при перемене места жительства, во избежание задержек с выплатой пенсии за выслугу лет, прошу Вас </w:t>
      </w:r>
      <w:r w:rsidRPr="008B6A75">
        <w:rPr>
          <w:rStyle w:val="24"/>
          <w:rFonts w:ascii="Times New Roman" w:hAnsi="Times New Roman" w:cs="Times New Roman"/>
          <w:color w:val="000000"/>
          <w:sz w:val="20"/>
          <w:szCs w:val="20"/>
        </w:rPr>
        <w:lastRenderedPageBreak/>
        <w:t xml:space="preserve">сообщать </w:t>
      </w:r>
      <w:r w:rsidRPr="008B6A75">
        <w:rPr>
          <w:rStyle w:val="27"/>
          <w:color w:val="000000"/>
          <w:sz w:val="20"/>
          <w:szCs w:val="20"/>
        </w:rPr>
        <w:t>в ______________________________</w:t>
      </w:r>
      <w:r w:rsidRPr="008B6A75">
        <w:rPr>
          <w:rStyle w:val="29pt"/>
          <w:color w:val="000000"/>
          <w:sz w:val="20"/>
          <w:szCs w:val="20"/>
        </w:rPr>
        <w:t xml:space="preserve"> (структурное подразделение, занимающееся вопросами </w:t>
      </w:r>
      <w:r w:rsidRPr="008B6A75">
        <w:rPr>
          <w:rStyle w:val="32"/>
          <w:rFonts w:ascii="Times New Roman" w:hAnsi="Times New Roman" w:cs="Times New Roman"/>
          <w:color w:val="000000"/>
          <w:sz w:val="20"/>
          <w:szCs w:val="20"/>
        </w:rPr>
        <w:t>кадровой работы муниципального образования).</w:t>
      </w:r>
    </w:p>
    <w:p w14:paraId="1C71AC10" w14:textId="77777777" w:rsidR="00387142" w:rsidRPr="008B6A75" w:rsidRDefault="00387142" w:rsidP="00387142">
      <w:pPr>
        <w:pStyle w:val="25"/>
        <w:shd w:val="clear" w:color="auto" w:fill="auto"/>
        <w:spacing w:after="0" w:line="240" w:lineRule="auto"/>
        <w:ind w:right="-2" w:firstLine="0"/>
        <w:jc w:val="left"/>
        <w:rPr>
          <w:rStyle w:val="24"/>
          <w:rFonts w:ascii="Times New Roman" w:hAnsi="Times New Roman" w:cs="Times New Roman"/>
          <w:color w:val="000000"/>
          <w:sz w:val="20"/>
          <w:szCs w:val="20"/>
        </w:rPr>
      </w:pPr>
    </w:p>
    <w:p w14:paraId="4FE2924A" w14:textId="77777777" w:rsidR="00387142" w:rsidRPr="008B6A75" w:rsidRDefault="00387142" w:rsidP="00387142">
      <w:pPr>
        <w:pStyle w:val="25"/>
        <w:shd w:val="clear" w:color="auto" w:fill="auto"/>
        <w:spacing w:after="0" w:line="240" w:lineRule="auto"/>
        <w:ind w:right="-2" w:firstLine="0"/>
        <w:jc w:val="left"/>
        <w:rPr>
          <w:rStyle w:val="24"/>
          <w:rFonts w:ascii="Times New Roman" w:hAnsi="Times New Roman" w:cs="Times New Roman"/>
          <w:color w:val="000000"/>
          <w:sz w:val="20"/>
          <w:szCs w:val="20"/>
        </w:rPr>
      </w:pPr>
    </w:p>
    <w:p w14:paraId="42130EBA" w14:textId="77777777" w:rsidR="00387142" w:rsidRPr="008B6A75" w:rsidRDefault="00387142" w:rsidP="00387142">
      <w:pPr>
        <w:pStyle w:val="25"/>
        <w:shd w:val="clear" w:color="auto" w:fill="auto"/>
        <w:spacing w:after="0" w:line="240" w:lineRule="auto"/>
        <w:ind w:right="-2" w:firstLine="0"/>
        <w:jc w:val="left"/>
        <w:rPr>
          <w:rStyle w:val="24"/>
          <w:rFonts w:ascii="Times New Roman" w:hAnsi="Times New Roman" w:cs="Times New Roman"/>
          <w:color w:val="000000"/>
          <w:sz w:val="20"/>
          <w:szCs w:val="20"/>
        </w:rPr>
      </w:pPr>
      <w:r w:rsidRPr="008B6A75">
        <w:rPr>
          <w:rStyle w:val="24"/>
          <w:rFonts w:ascii="Times New Roman" w:hAnsi="Times New Roman" w:cs="Times New Roman"/>
          <w:color w:val="000000"/>
          <w:sz w:val="20"/>
          <w:szCs w:val="20"/>
        </w:rPr>
        <w:t xml:space="preserve">Начальник структурного </w:t>
      </w:r>
    </w:p>
    <w:p w14:paraId="7028DA59" w14:textId="77777777" w:rsidR="00387142" w:rsidRPr="008B6A75" w:rsidRDefault="00387142" w:rsidP="00387142">
      <w:pPr>
        <w:pStyle w:val="25"/>
        <w:shd w:val="clear" w:color="auto" w:fill="auto"/>
        <w:spacing w:after="0" w:line="240" w:lineRule="auto"/>
        <w:ind w:right="-2" w:firstLine="0"/>
        <w:jc w:val="left"/>
        <w:rPr>
          <w:rStyle w:val="24"/>
          <w:rFonts w:ascii="Times New Roman" w:hAnsi="Times New Roman" w:cs="Times New Roman"/>
          <w:color w:val="000000"/>
          <w:sz w:val="20"/>
          <w:szCs w:val="20"/>
        </w:rPr>
      </w:pPr>
      <w:r w:rsidRPr="008B6A75">
        <w:rPr>
          <w:rStyle w:val="24"/>
          <w:rFonts w:ascii="Times New Roman" w:hAnsi="Times New Roman" w:cs="Times New Roman"/>
          <w:color w:val="000000"/>
          <w:sz w:val="20"/>
          <w:szCs w:val="20"/>
        </w:rPr>
        <w:t xml:space="preserve">подразделения, занимающегося вопросами кадровой работы </w:t>
      </w:r>
    </w:p>
    <w:p w14:paraId="6A4D6DEF" w14:textId="77777777" w:rsidR="00387142" w:rsidRPr="008B6A75" w:rsidRDefault="00387142" w:rsidP="00387142">
      <w:pPr>
        <w:pStyle w:val="25"/>
        <w:shd w:val="clear" w:color="auto" w:fill="auto"/>
        <w:spacing w:after="0" w:line="240" w:lineRule="auto"/>
        <w:ind w:right="-2" w:firstLine="0"/>
        <w:jc w:val="left"/>
        <w:rPr>
          <w:rStyle w:val="24"/>
          <w:rFonts w:ascii="Times New Roman" w:hAnsi="Times New Roman" w:cs="Times New Roman"/>
          <w:color w:val="000000"/>
          <w:sz w:val="20"/>
          <w:szCs w:val="20"/>
        </w:rPr>
      </w:pPr>
      <w:r w:rsidRPr="008B6A75">
        <w:rPr>
          <w:rStyle w:val="24"/>
          <w:rFonts w:ascii="Times New Roman" w:hAnsi="Times New Roman" w:cs="Times New Roman"/>
          <w:color w:val="000000"/>
          <w:sz w:val="20"/>
          <w:szCs w:val="20"/>
        </w:rPr>
        <w:t>органа местного самоуправления,</w:t>
      </w:r>
    </w:p>
    <w:p w14:paraId="377F4F5A" w14:textId="77777777" w:rsidR="00387142" w:rsidRPr="008B6A75" w:rsidRDefault="00387142" w:rsidP="00387142">
      <w:pPr>
        <w:pStyle w:val="25"/>
        <w:shd w:val="clear" w:color="auto" w:fill="auto"/>
        <w:spacing w:after="0" w:line="240" w:lineRule="auto"/>
        <w:ind w:right="-2" w:firstLine="0"/>
        <w:jc w:val="left"/>
        <w:rPr>
          <w:rStyle w:val="24"/>
          <w:rFonts w:ascii="Times New Roman" w:hAnsi="Times New Roman" w:cs="Times New Roman"/>
          <w:color w:val="000000"/>
          <w:sz w:val="20"/>
          <w:szCs w:val="20"/>
        </w:rPr>
      </w:pPr>
      <w:r w:rsidRPr="008B6A75">
        <w:rPr>
          <w:rStyle w:val="24"/>
          <w:rFonts w:ascii="Times New Roman" w:hAnsi="Times New Roman" w:cs="Times New Roman"/>
          <w:color w:val="000000"/>
          <w:sz w:val="20"/>
          <w:szCs w:val="20"/>
        </w:rPr>
        <w:t xml:space="preserve"> муниципального органа </w:t>
      </w:r>
    </w:p>
    <w:p w14:paraId="2A140E42" w14:textId="77777777" w:rsidR="00387142" w:rsidRPr="008B6A75" w:rsidRDefault="00387142" w:rsidP="00387142">
      <w:pPr>
        <w:pStyle w:val="25"/>
        <w:shd w:val="clear" w:color="auto" w:fill="auto"/>
        <w:spacing w:after="0" w:line="240" w:lineRule="auto"/>
        <w:ind w:right="-2" w:firstLine="0"/>
        <w:jc w:val="left"/>
        <w:rPr>
          <w:rStyle w:val="24"/>
          <w:rFonts w:ascii="Times New Roman" w:hAnsi="Times New Roman" w:cs="Times New Roman"/>
          <w:color w:val="000000"/>
          <w:sz w:val="20"/>
          <w:szCs w:val="20"/>
        </w:rPr>
      </w:pPr>
      <w:r w:rsidRPr="008B6A75">
        <w:rPr>
          <w:rStyle w:val="24"/>
          <w:rFonts w:ascii="Times New Roman" w:hAnsi="Times New Roman" w:cs="Times New Roman"/>
          <w:color w:val="000000"/>
          <w:sz w:val="20"/>
          <w:szCs w:val="20"/>
        </w:rPr>
        <w:t>муниципального образования                           _______________________________</w:t>
      </w:r>
    </w:p>
    <w:p w14:paraId="5E73B64B" w14:textId="77777777" w:rsidR="00387142" w:rsidRPr="008B6A75" w:rsidRDefault="00387142" w:rsidP="00387142">
      <w:pPr>
        <w:pStyle w:val="25"/>
        <w:shd w:val="clear" w:color="auto" w:fill="auto"/>
        <w:spacing w:after="0" w:line="240" w:lineRule="auto"/>
        <w:ind w:right="-2" w:firstLine="0"/>
        <w:jc w:val="left"/>
        <w:rPr>
          <w:rFonts w:ascii="Times New Roman" w:hAnsi="Times New Roman" w:cs="Times New Roman"/>
          <w:i/>
          <w:iCs/>
          <w:sz w:val="20"/>
          <w:szCs w:val="20"/>
        </w:rPr>
      </w:pPr>
      <w:r w:rsidRPr="008B6A75">
        <w:rPr>
          <w:rStyle w:val="24"/>
          <w:rFonts w:ascii="Times New Roman" w:hAnsi="Times New Roman" w:cs="Times New Roman"/>
          <w:color w:val="000000"/>
          <w:sz w:val="20"/>
          <w:szCs w:val="20"/>
        </w:rPr>
        <w:t xml:space="preserve">                                                                                      </w:t>
      </w:r>
      <w:r w:rsidRPr="008B6A75">
        <w:rPr>
          <w:rStyle w:val="24"/>
          <w:rFonts w:ascii="Times New Roman" w:hAnsi="Times New Roman" w:cs="Times New Roman"/>
          <w:i/>
          <w:iCs/>
          <w:color w:val="000000"/>
          <w:sz w:val="20"/>
          <w:szCs w:val="20"/>
        </w:rPr>
        <w:t>(подпись, инициалы, фамилия)</w:t>
      </w:r>
    </w:p>
    <w:p w14:paraId="18253D8E" w14:textId="77777777" w:rsidR="00387142" w:rsidRPr="008B6A75" w:rsidRDefault="00387142" w:rsidP="00387142">
      <w:pPr>
        <w:pStyle w:val="25"/>
        <w:shd w:val="clear" w:color="auto" w:fill="auto"/>
        <w:spacing w:after="0" w:line="240" w:lineRule="auto"/>
        <w:ind w:right="-2" w:firstLine="0"/>
        <w:jc w:val="both"/>
        <w:rPr>
          <w:rStyle w:val="24"/>
          <w:rFonts w:ascii="Times New Roman" w:hAnsi="Times New Roman" w:cs="Times New Roman"/>
          <w:color w:val="000000"/>
          <w:sz w:val="20"/>
          <w:szCs w:val="20"/>
        </w:rPr>
      </w:pPr>
    </w:p>
    <w:p w14:paraId="67B7300C" w14:textId="77777777" w:rsidR="00387142" w:rsidRPr="008B6A75" w:rsidRDefault="00387142" w:rsidP="00387142">
      <w:pPr>
        <w:pStyle w:val="25"/>
        <w:shd w:val="clear" w:color="auto" w:fill="auto"/>
        <w:spacing w:after="0" w:line="240" w:lineRule="auto"/>
        <w:ind w:right="-2" w:firstLine="0"/>
        <w:jc w:val="both"/>
        <w:rPr>
          <w:rStyle w:val="24"/>
          <w:rFonts w:ascii="Times New Roman" w:hAnsi="Times New Roman" w:cs="Times New Roman"/>
          <w:color w:val="000000"/>
          <w:sz w:val="20"/>
          <w:szCs w:val="20"/>
        </w:rPr>
      </w:pPr>
    </w:p>
    <w:p w14:paraId="79BB36CA" w14:textId="77777777" w:rsidR="00387142" w:rsidRPr="008B6A75" w:rsidRDefault="00387142" w:rsidP="00387142">
      <w:pPr>
        <w:pStyle w:val="25"/>
        <w:shd w:val="clear" w:color="auto" w:fill="auto"/>
        <w:spacing w:after="0" w:line="240" w:lineRule="auto"/>
        <w:ind w:right="-2" w:firstLine="0"/>
        <w:jc w:val="both"/>
        <w:rPr>
          <w:rFonts w:ascii="Times New Roman" w:hAnsi="Times New Roman" w:cs="Times New Roman"/>
          <w:color w:val="000000"/>
          <w:sz w:val="20"/>
          <w:szCs w:val="20"/>
          <w:shd w:val="clear" w:color="auto" w:fill="FFFFFF"/>
        </w:rPr>
      </w:pPr>
      <w:r w:rsidRPr="008B6A75">
        <w:rPr>
          <w:rStyle w:val="24"/>
          <w:rFonts w:ascii="Times New Roman" w:hAnsi="Times New Roman" w:cs="Times New Roman"/>
          <w:color w:val="000000"/>
          <w:sz w:val="20"/>
          <w:szCs w:val="20"/>
        </w:rPr>
        <w:t xml:space="preserve">М.П.                                                                                                                           </w:t>
      </w:r>
      <w:r w:rsidRPr="008B6A75">
        <w:rPr>
          <w:rFonts w:ascii="Times New Roman" w:eastAsia="Arial Unicode MS" w:hAnsi="Times New Roman" w:cs="Times New Roman"/>
          <w:color w:val="000000"/>
          <w:sz w:val="20"/>
          <w:szCs w:val="20"/>
          <w:shd w:val="clear" w:color="auto" w:fill="FFFFFF"/>
        </w:rPr>
        <w:t>ПРИЛОЖЕНИЕ 2</w:t>
      </w:r>
    </w:p>
    <w:p w14:paraId="1E31DBF2" w14:textId="77777777" w:rsidR="00387142" w:rsidRPr="008B6A75" w:rsidRDefault="00387142" w:rsidP="00387142">
      <w:pPr>
        <w:widowControl w:val="0"/>
        <w:tabs>
          <w:tab w:val="left" w:pos="1276"/>
        </w:tabs>
        <w:ind w:left="5068"/>
        <w:jc w:val="center"/>
        <w:outlineLvl w:val="0"/>
        <w:rPr>
          <w:rFonts w:eastAsia="Arial Unicode MS"/>
          <w:color w:val="000000"/>
          <w:sz w:val="20"/>
          <w:szCs w:val="20"/>
        </w:rPr>
      </w:pPr>
      <w:r w:rsidRPr="008B6A75">
        <w:rPr>
          <w:rFonts w:eastAsia="Arial Unicode MS"/>
          <w:color w:val="000000"/>
          <w:sz w:val="20"/>
          <w:szCs w:val="20"/>
        </w:rPr>
        <w:t>к решению Совета депутатов Куйбышевского муниципального района Новосибирской области четвертого созыва</w:t>
      </w:r>
    </w:p>
    <w:p w14:paraId="79CF906D" w14:textId="77777777" w:rsidR="00387142" w:rsidRPr="008B6A75" w:rsidRDefault="00387142" w:rsidP="00387142">
      <w:pPr>
        <w:widowControl w:val="0"/>
        <w:tabs>
          <w:tab w:val="left" w:pos="1276"/>
        </w:tabs>
        <w:ind w:left="5068"/>
        <w:jc w:val="center"/>
        <w:outlineLvl w:val="0"/>
        <w:rPr>
          <w:rFonts w:eastAsia="Arial Unicode MS"/>
          <w:color w:val="000000"/>
          <w:sz w:val="20"/>
          <w:szCs w:val="20"/>
        </w:rPr>
      </w:pPr>
      <w:r w:rsidRPr="008B6A75">
        <w:rPr>
          <w:rFonts w:eastAsia="Arial Unicode MS"/>
          <w:color w:val="000000"/>
          <w:sz w:val="20"/>
          <w:szCs w:val="20"/>
        </w:rPr>
        <w:t>от 03.11.2022 № 7</w:t>
      </w:r>
    </w:p>
    <w:p w14:paraId="2AE4AAAC" w14:textId="77777777" w:rsidR="00387142" w:rsidRPr="008B6A75" w:rsidRDefault="00387142" w:rsidP="00387142">
      <w:pPr>
        <w:keepNext/>
        <w:keepLines/>
        <w:widowControl w:val="0"/>
        <w:tabs>
          <w:tab w:val="left" w:pos="1276"/>
        </w:tabs>
        <w:ind w:firstLine="724"/>
        <w:jc w:val="center"/>
        <w:outlineLvl w:val="0"/>
        <w:rPr>
          <w:rFonts w:eastAsia="Arial Unicode MS"/>
          <w:bCs/>
          <w:color w:val="000000"/>
          <w:sz w:val="20"/>
          <w:szCs w:val="20"/>
          <w:shd w:val="clear" w:color="auto" w:fill="FFFFFF"/>
        </w:rPr>
      </w:pPr>
    </w:p>
    <w:p w14:paraId="217452BE" w14:textId="77777777" w:rsidR="00387142" w:rsidRPr="008B6A75" w:rsidRDefault="00387142" w:rsidP="00387142">
      <w:pPr>
        <w:keepNext/>
        <w:keepLines/>
        <w:widowControl w:val="0"/>
        <w:tabs>
          <w:tab w:val="left" w:pos="1276"/>
        </w:tabs>
        <w:ind w:firstLine="724"/>
        <w:jc w:val="center"/>
        <w:outlineLvl w:val="0"/>
        <w:rPr>
          <w:rFonts w:eastAsia="Arial Unicode MS"/>
          <w:bCs/>
          <w:sz w:val="20"/>
          <w:szCs w:val="20"/>
        </w:rPr>
      </w:pPr>
      <w:r w:rsidRPr="008B6A75">
        <w:rPr>
          <w:rFonts w:eastAsia="Arial Unicode MS"/>
          <w:bCs/>
          <w:color w:val="000000"/>
          <w:sz w:val="20"/>
          <w:szCs w:val="20"/>
          <w:shd w:val="clear" w:color="auto" w:fill="FFFFFF"/>
        </w:rPr>
        <w:t>ПОЛОЖЕНИЕ</w:t>
      </w:r>
    </w:p>
    <w:p w14:paraId="0696F6BA" w14:textId="77777777" w:rsidR="00387142" w:rsidRPr="008B6A75" w:rsidRDefault="00387142" w:rsidP="00387142">
      <w:pPr>
        <w:widowControl w:val="0"/>
        <w:tabs>
          <w:tab w:val="left" w:pos="1276"/>
        </w:tabs>
        <w:ind w:firstLine="724"/>
        <w:jc w:val="center"/>
        <w:rPr>
          <w:rFonts w:eastAsia="Arial Unicode MS"/>
          <w:bCs/>
          <w:color w:val="000000"/>
          <w:sz w:val="20"/>
          <w:szCs w:val="20"/>
          <w:shd w:val="clear" w:color="auto" w:fill="FFFFFF"/>
        </w:rPr>
      </w:pPr>
      <w:r w:rsidRPr="008B6A75">
        <w:rPr>
          <w:rFonts w:eastAsia="Arial Unicode MS"/>
          <w:bCs/>
          <w:color w:val="000000"/>
          <w:sz w:val="20"/>
          <w:szCs w:val="20"/>
          <w:shd w:val="clear" w:color="auto" w:fill="FFFFFF"/>
        </w:rPr>
        <w:t>о ежемесячной доплате к страховой пенсии по старости (инвалидности) депутату, члену выборного органа местного самоуправления, выборному должностному лицу местного самоуправления, председателю, заместителю председателя, аудитору контрольно-счетного органа в Куйбышевском муниципальном районе Новосибирской области</w:t>
      </w:r>
    </w:p>
    <w:p w14:paraId="6883FDC8" w14:textId="77777777" w:rsidR="00387142" w:rsidRPr="008B6A75" w:rsidRDefault="00387142" w:rsidP="00387142">
      <w:pPr>
        <w:widowControl w:val="0"/>
        <w:tabs>
          <w:tab w:val="left" w:pos="1276"/>
        </w:tabs>
        <w:ind w:firstLine="724"/>
        <w:jc w:val="center"/>
        <w:rPr>
          <w:rFonts w:eastAsia="Arial Unicode MS"/>
          <w:bCs/>
          <w:color w:val="000000"/>
          <w:sz w:val="20"/>
          <w:szCs w:val="20"/>
          <w:shd w:val="clear" w:color="auto" w:fill="FFFFFF"/>
        </w:rPr>
      </w:pPr>
    </w:p>
    <w:p w14:paraId="2AABD50C" w14:textId="77777777" w:rsidR="00387142" w:rsidRPr="008B6A75" w:rsidRDefault="00387142" w:rsidP="00387142">
      <w:pPr>
        <w:keepNext/>
        <w:keepLines/>
        <w:widowControl w:val="0"/>
        <w:tabs>
          <w:tab w:val="left" w:pos="1276"/>
        </w:tabs>
        <w:ind w:firstLine="724"/>
        <w:jc w:val="center"/>
        <w:outlineLvl w:val="0"/>
        <w:rPr>
          <w:rFonts w:eastAsia="Arial Unicode MS"/>
          <w:bCs/>
          <w:sz w:val="20"/>
          <w:szCs w:val="20"/>
        </w:rPr>
      </w:pPr>
      <w:r w:rsidRPr="008B6A75">
        <w:rPr>
          <w:rFonts w:eastAsia="Arial Unicode MS"/>
          <w:bCs/>
          <w:color w:val="000000"/>
          <w:sz w:val="20"/>
          <w:szCs w:val="20"/>
          <w:shd w:val="clear" w:color="auto" w:fill="FFFFFF"/>
          <w:lang w:val="en-US"/>
        </w:rPr>
        <w:t>I</w:t>
      </w:r>
      <w:r w:rsidRPr="008B6A75">
        <w:rPr>
          <w:rFonts w:eastAsia="Arial Unicode MS"/>
          <w:bCs/>
          <w:color w:val="000000"/>
          <w:sz w:val="20"/>
          <w:szCs w:val="20"/>
          <w:shd w:val="clear" w:color="auto" w:fill="FFFFFF"/>
        </w:rPr>
        <w:t>. Общие положения</w:t>
      </w:r>
    </w:p>
    <w:p w14:paraId="1D18FCB6" w14:textId="77777777" w:rsidR="00387142" w:rsidRPr="008B6A75" w:rsidRDefault="00387142" w:rsidP="00387142">
      <w:pPr>
        <w:ind w:firstLine="709"/>
        <w:jc w:val="both"/>
        <w:rPr>
          <w:rFonts w:eastAsia="Arial Unicode MS"/>
          <w:sz w:val="20"/>
          <w:szCs w:val="20"/>
        </w:rPr>
      </w:pPr>
      <w:r w:rsidRPr="008B6A75">
        <w:rPr>
          <w:rFonts w:eastAsia="Arial Unicode MS"/>
          <w:color w:val="000000"/>
          <w:sz w:val="20"/>
          <w:szCs w:val="20"/>
          <w:shd w:val="clear" w:color="auto" w:fill="FFFFFF"/>
        </w:rPr>
        <w:t xml:space="preserve">1. Положение </w:t>
      </w:r>
      <w:r w:rsidRPr="008B6A75">
        <w:rPr>
          <w:rFonts w:eastAsia="Arial Unicode MS"/>
          <w:bCs/>
          <w:color w:val="000000"/>
          <w:sz w:val="20"/>
          <w:szCs w:val="20"/>
          <w:shd w:val="clear" w:color="auto" w:fill="FFFFFF"/>
        </w:rPr>
        <w:t>о ежемесячной доплате к страховой пенсии по старости (инвалидности) депутату, члену выборного органа местного самоуправления, выборному должностному лицу местного самоуправления, председателю, заместителю председателя, аудитору контрольно-счетного органа в Куйбышевском муниципальном районе Новосибирской области</w:t>
      </w:r>
      <w:r w:rsidRPr="008B6A75">
        <w:rPr>
          <w:rFonts w:eastAsia="Arial Unicode MS"/>
          <w:color w:val="000000"/>
          <w:sz w:val="20"/>
          <w:szCs w:val="20"/>
          <w:shd w:val="clear" w:color="auto" w:fill="FFFFFF"/>
        </w:rPr>
        <w:t xml:space="preserve"> (далее - Положение) разработано в соответствии с Федеральным законом от 06.10.2003 № 131-ФЗ «Об общих принципах организации местного самоуправления в Российской Федерации», Указом Президента Российской Федерации от 16.08.1995 № 854 «О некоторых социальных гарантиях лицам, замещавшим государственные должности Российской Федерации и должности федеральной государственной гражданской службы», </w:t>
      </w:r>
      <w:r w:rsidRPr="008B6A75">
        <w:rPr>
          <w:sz w:val="20"/>
          <w:szCs w:val="20"/>
        </w:rPr>
        <w:t xml:space="preserve">Законом Новосибирской области от 07.10.2011 № 111-ОЗ «Об отдельных вопросах организации и деятельности контрольно-счетных органов муниципальных образований Новосибирской области», </w:t>
      </w:r>
      <w:r w:rsidRPr="008B6A75">
        <w:rPr>
          <w:rFonts w:eastAsia="Arial Unicode MS"/>
          <w:color w:val="000000"/>
          <w:sz w:val="20"/>
          <w:szCs w:val="20"/>
          <w:shd w:val="clear" w:color="auto" w:fill="FFFFFF"/>
        </w:rPr>
        <w:t>Законом Новосибирской области от 06.07.2018 № 275-ОЗ «О гарантиях осуществления полномочий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в Новосибирской области», статьями 26 и 29.1 Устава Куйбышевского муниципального района Новосибирской области</w:t>
      </w:r>
      <w:r w:rsidRPr="008B6A75">
        <w:rPr>
          <w:rFonts w:eastAsia="Arial Unicode MS"/>
          <w:i/>
          <w:iCs/>
          <w:color w:val="000000"/>
          <w:sz w:val="20"/>
          <w:szCs w:val="20"/>
          <w:shd w:val="clear" w:color="auto" w:fill="FFFFFF"/>
        </w:rPr>
        <w:t>.</w:t>
      </w:r>
    </w:p>
    <w:p w14:paraId="62A3934E" w14:textId="77777777" w:rsidR="00387142" w:rsidRPr="008B6A75" w:rsidRDefault="00387142" w:rsidP="00387142">
      <w:pPr>
        <w:widowControl w:val="0"/>
        <w:tabs>
          <w:tab w:val="left" w:pos="1276"/>
        </w:tabs>
        <w:ind w:firstLine="724"/>
        <w:jc w:val="both"/>
        <w:rPr>
          <w:rFonts w:eastAsia="Arial Unicode MS"/>
          <w:sz w:val="20"/>
          <w:szCs w:val="20"/>
        </w:rPr>
      </w:pPr>
      <w:r w:rsidRPr="008B6A75">
        <w:rPr>
          <w:rFonts w:eastAsia="Arial Unicode MS"/>
          <w:color w:val="000000"/>
          <w:sz w:val="20"/>
          <w:szCs w:val="20"/>
          <w:shd w:val="clear" w:color="auto" w:fill="FFFFFF"/>
        </w:rPr>
        <w:t xml:space="preserve">2. Доплата к страховой пенсии по старости (инвалидности) назначается депутату, члену выборного органа местного самоуправления, </w:t>
      </w:r>
      <w:r w:rsidRPr="008B6A75">
        <w:rPr>
          <w:rFonts w:eastAsia="Arial Unicode MS"/>
          <w:bCs/>
          <w:color w:val="000000"/>
          <w:sz w:val="20"/>
          <w:szCs w:val="20"/>
          <w:shd w:val="clear" w:color="auto" w:fill="FFFFFF"/>
        </w:rPr>
        <w:t xml:space="preserve">выборному должностному лицу местного самоуправления, председателю, заместителю председателя, аудитору контрольно-счетного органа в Куйбышевском муниципальном районе Новосибирской области </w:t>
      </w:r>
      <w:r w:rsidRPr="008B6A75">
        <w:rPr>
          <w:rFonts w:eastAsia="Arial Unicode MS"/>
          <w:color w:val="000000"/>
          <w:sz w:val="20"/>
          <w:szCs w:val="20"/>
          <w:shd w:val="clear" w:color="auto" w:fill="FFFFFF"/>
        </w:rPr>
        <w:t>(далее - лица, замещавшие муниципальные должности), которые не менее четырех лет замещали указанные должности на постоянной основе, получали ежемесячное денежное содержание (вознаграждение) за счет средств бюджета Куйбышевского муниципального района</w:t>
      </w:r>
      <w:r w:rsidRPr="008B6A75">
        <w:rPr>
          <w:rFonts w:eastAsia="Arial Unicode MS"/>
          <w:i/>
          <w:iCs/>
          <w:color w:val="000000"/>
          <w:sz w:val="20"/>
          <w:szCs w:val="20"/>
          <w:shd w:val="clear" w:color="auto" w:fill="FFFFFF"/>
        </w:rPr>
        <w:t>,</w:t>
      </w:r>
      <w:r w:rsidRPr="008B6A75">
        <w:rPr>
          <w:rFonts w:eastAsia="Arial Unicode MS"/>
          <w:color w:val="000000"/>
          <w:sz w:val="20"/>
          <w:szCs w:val="20"/>
          <w:shd w:val="clear" w:color="auto" w:fill="FFFFFF"/>
        </w:rPr>
        <w:t xml:space="preserve"> и были освобождены от занимаемой должности в связи с прекращением полномочий по установленным действующим законодательством основаниям (в том числе досрочно), за исключением случаев прекращения полномочий, связанных с виновными действиями.</w:t>
      </w:r>
    </w:p>
    <w:p w14:paraId="3856F23A" w14:textId="77777777" w:rsidR="00387142" w:rsidRPr="008B6A75" w:rsidRDefault="00387142" w:rsidP="00387142">
      <w:pPr>
        <w:widowControl w:val="0"/>
        <w:tabs>
          <w:tab w:val="left" w:pos="1276"/>
        </w:tabs>
        <w:ind w:firstLine="724"/>
        <w:jc w:val="both"/>
        <w:rPr>
          <w:rFonts w:eastAsia="Arial Unicode MS"/>
          <w:sz w:val="20"/>
          <w:szCs w:val="20"/>
        </w:rPr>
      </w:pPr>
      <w:r w:rsidRPr="008B6A75">
        <w:rPr>
          <w:rFonts w:eastAsia="Arial Unicode MS"/>
          <w:color w:val="000000"/>
          <w:sz w:val="20"/>
          <w:szCs w:val="20"/>
          <w:shd w:val="clear" w:color="auto" w:fill="FFFFFF"/>
        </w:rPr>
        <w:t>Ежемесячная доплата к страховой пенсии по старости (инвалидности) устанавливается лицам, замещавшим муниципальные должности, которым назначена пенсия в соответствии с Федеральным законом от 28.12.2013 № 400-ФЗ «О страховых пенсиях» (далее - Федеральный закон «О страховых пенсиях») или Законом Российской Федерации от 19.04.1991 № 1032-1 «О занятости населения в Российской Федерации» и выплачивается ежемесячно.</w:t>
      </w:r>
    </w:p>
    <w:p w14:paraId="7A975B35" w14:textId="77777777" w:rsidR="00387142" w:rsidRPr="008B6A75" w:rsidRDefault="00387142" w:rsidP="00387142">
      <w:pPr>
        <w:keepNext/>
        <w:keepLines/>
        <w:widowControl w:val="0"/>
        <w:tabs>
          <w:tab w:val="left" w:pos="1276"/>
        </w:tabs>
        <w:ind w:firstLine="724"/>
        <w:jc w:val="center"/>
        <w:outlineLvl w:val="0"/>
        <w:rPr>
          <w:rFonts w:eastAsia="Arial Unicode MS"/>
          <w:bCs/>
          <w:color w:val="000000"/>
          <w:sz w:val="20"/>
          <w:szCs w:val="20"/>
          <w:shd w:val="clear" w:color="auto" w:fill="FFFFFF"/>
        </w:rPr>
      </w:pPr>
      <w:r w:rsidRPr="008B6A75">
        <w:rPr>
          <w:rFonts w:eastAsia="Arial Unicode MS"/>
          <w:bCs/>
          <w:color w:val="000000"/>
          <w:sz w:val="20"/>
          <w:szCs w:val="20"/>
          <w:shd w:val="clear" w:color="auto" w:fill="FFFFFF"/>
          <w:lang w:val="en-US"/>
        </w:rPr>
        <w:t>II</w:t>
      </w:r>
      <w:r w:rsidRPr="008B6A75">
        <w:rPr>
          <w:rFonts w:eastAsia="Arial Unicode MS"/>
          <w:bCs/>
          <w:color w:val="000000"/>
          <w:sz w:val="20"/>
          <w:szCs w:val="20"/>
          <w:shd w:val="clear" w:color="auto" w:fill="FFFFFF"/>
        </w:rPr>
        <w:t>. Порядок определения размера ежемесячной доплаты</w:t>
      </w:r>
    </w:p>
    <w:p w14:paraId="1B92ECAD" w14:textId="77777777" w:rsidR="00387142" w:rsidRPr="008B6A75" w:rsidRDefault="00387142" w:rsidP="00387142">
      <w:pPr>
        <w:keepNext/>
        <w:keepLines/>
        <w:widowControl w:val="0"/>
        <w:tabs>
          <w:tab w:val="left" w:pos="1276"/>
        </w:tabs>
        <w:ind w:firstLine="724"/>
        <w:jc w:val="center"/>
        <w:outlineLvl w:val="0"/>
        <w:rPr>
          <w:rFonts w:eastAsia="Arial Unicode MS"/>
          <w:bCs/>
          <w:sz w:val="20"/>
          <w:szCs w:val="20"/>
        </w:rPr>
      </w:pPr>
      <w:r w:rsidRPr="008B6A75">
        <w:rPr>
          <w:rFonts w:eastAsia="Arial Unicode MS"/>
          <w:bCs/>
          <w:color w:val="000000"/>
          <w:sz w:val="20"/>
          <w:szCs w:val="20"/>
          <w:shd w:val="clear" w:color="auto" w:fill="FFFFFF"/>
        </w:rPr>
        <w:t>к страховой пенсии</w:t>
      </w:r>
    </w:p>
    <w:p w14:paraId="6E8E7C64" w14:textId="77777777" w:rsidR="00387142" w:rsidRPr="008B6A75" w:rsidRDefault="00387142" w:rsidP="00387142">
      <w:pPr>
        <w:widowControl w:val="0"/>
        <w:tabs>
          <w:tab w:val="left" w:pos="1276"/>
        </w:tabs>
        <w:ind w:firstLine="724"/>
        <w:jc w:val="both"/>
        <w:rPr>
          <w:rFonts w:eastAsia="Arial Unicode MS"/>
          <w:sz w:val="20"/>
          <w:szCs w:val="20"/>
        </w:rPr>
      </w:pPr>
      <w:r w:rsidRPr="008B6A75">
        <w:rPr>
          <w:rFonts w:eastAsia="Arial Unicode MS"/>
          <w:color w:val="000000"/>
          <w:sz w:val="20"/>
          <w:szCs w:val="20"/>
          <w:shd w:val="clear" w:color="auto" w:fill="FFFFFF"/>
        </w:rPr>
        <w:t>3. Размер ежемесячной доплаты к страховой пенсии по старости (инвалидности) лицам, замещавшим муниципальные должности, указанные в пункте 2 настоящего Положения (далее – муниципальные должности), определяется в зависимости от периодов замещения данных муниципальных должностей.</w:t>
      </w:r>
    </w:p>
    <w:p w14:paraId="6B46F678" w14:textId="77777777" w:rsidR="00387142" w:rsidRPr="008B6A75" w:rsidRDefault="00387142" w:rsidP="00387142">
      <w:pPr>
        <w:widowControl w:val="0"/>
        <w:ind w:firstLine="724"/>
        <w:jc w:val="both"/>
        <w:rPr>
          <w:rFonts w:eastAsia="Arial Unicode MS"/>
          <w:sz w:val="20"/>
          <w:szCs w:val="20"/>
        </w:rPr>
      </w:pPr>
      <w:r w:rsidRPr="008B6A75">
        <w:rPr>
          <w:rFonts w:eastAsia="Arial Unicode MS"/>
          <w:color w:val="000000"/>
          <w:sz w:val="20"/>
          <w:szCs w:val="20"/>
          <w:shd w:val="clear" w:color="auto" w:fill="FFFFFF"/>
        </w:rPr>
        <w:t>При назначении ежемесячной доплаты к страховой пенсии по старости (инвалидности) лицам, замещавшим муниципальные должности (далее – ежемесячная доплата) периоды замещения муниципальных должностей суммируются.</w:t>
      </w:r>
    </w:p>
    <w:p w14:paraId="1C6A5A66" w14:textId="77777777" w:rsidR="00387142" w:rsidRPr="008B6A75" w:rsidRDefault="00387142" w:rsidP="00387142">
      <w:pPr>
        <w:widowControl w:val="0"/>
        <w:tabs>
          <w:tab w:val="left" w:pos="1267"/>
        </w:tabs>
        <w:ind w:firstLine="709"/>
        <w:jc w:val="both"/>
        <w:rPr>
          <w:rFonts w:eastAsia="Arial Unicode MS"/>
          <w:sz w:val="20"/>
          <w:szCs w:val="20"/>
        </w:rPr>
      </w:pPr>
      <w:r w:rsidRPr="008B6A75">
        <w:rPr>
          <w:rFonts w:eastAsia="Arial Unicode MS"/>
          <w:color w:val="000000"/>
          <w:sz w:val="20"/>
          <w:szCs w:val="20"/>
          <w:shd w:val="clear" w:color="auto" w:fill="FFFFFF"/>
        </w:rPr>
        <w:t>4. Ежемесячная доплата устанавливается в зависимости от продолжительности периодов замещения муниципальных должностей в следующих размерах:</w:t>
      </w:r>
    </w:p>
    <w:p w14:paraId="371AB7D3" w14:textId="77777777" w:rsidR="00387142" w:rsidRPr="008B6A75" w:rsidRDefault="00387142" w:rsidP="00387142">
      <w:pPr>
        <w:widowControl w:val="0"/>
        <w:tabs>
          <w:tab w:val="left" w:pos="905"/>
        </w:tabs>
        <w:ind w:firstLine="709"/>
        <w:jc w:val="both"/>
        <w:rPr>
          <w:rFonts w:eastAsia="Arial Unicode MS"/>
          <w:sz w:val="20"/>
          <w:szCs w:val="20"/>
        </w:rPr>
      </w:pPr>
      <w:r w:rsidRPr="008B6A75">
        <w:rPr>
          <w:rFonts w:eastAsia="Arial Unicode MS"/>
          <w:color w:val="000000"/>
          <w:sz w:val="20"/>
          <w:szCs w:val="20"/>
          <w:shd w:val="clear" w:color="auto" w:fill="FFFFFF"/>
        </w:rPr>
        <w:t>- от 4 до 9 лет - 55%;</w:t>
      </w:r>
    </w:p>
    <w:p w14:paraId="170AD90B" w14:textId="77777777" w:rsidR="00387142" w:rsidRPr="008B6A75" w:rsidRDefault="00387142" w:rsidP="00387142">
      <w:pPr>
        <w:widowControl w:val="0"/>
        <w:tabs>
          <w:tab w:val="left" w:pos="905"/>
        </w:tabs>
        <w:ind w:firstLine="709"/>
        <w:jc w:val="both"/>
        <w:rPr>
          <w:rFonts w:eastAsia="Arial Unicode MS"/>
          <w:sz w:val="20"/>
          <w:szCs w:val="20"/>
        </w:rPr>
      </w:pPr>
      <w:r w:rsidRPr="008B6A75">
        <w:rPr>
          <w:rFonts w:eastAsia="Arial Unicode MS"/>
          <w:color w:val="000000"/>
          <w:sz w:val="20"/>
          <w:szCs w:val="20"/>
          <w:shd w:val="clear" w:color="auto" w:fill="FFFFFF"/>
        </w:rPr>
        <w:t>- от 9 до 14 лет - 75%;</w:t>
      </w:r>
    </w:p>
    <w:p w14:paraId="1635481A" w14:textId="77777777" w:rsidR="00387142" w:rsidRPr="008B6A75" w:rsidRDefault="00387142" w:rsidP="00387142">
      <w:pPr>
        <w:widowControl w:val="0"/>
        <w:tabs>
          <w:tab w:val="left" w:pos="905"/>
        </w:tabs>
        <w:ind w:firstLine="709"/>
        <w:jc w:val="both"/>
        <w:rPr>
          <w:rFonts w:eastAsia="Arial Unicode MS"/>
          <w:sz w:val="20"/>
          <w:szCs w:val="20"/>
        </w:rPr>
      </w:pPr>
      <w:r w:rsidRPr="008B6A75">
        <w:rPr>
          <w:rFonts w:eastAsia="Arial Unicode MS"/>
          <w:color w:val="000000"/>
          <w:sz w:val="20"/>
          <w:szCs w:val="20"/>
          <w:shd w:val="clear" w:color="auto" w:fill="FFFFFF"/>
        </w:rPr>
        <w:t>- от 14 до 19 лет - 85%;</w:t>
      </w:r>
    </w:p>
    <w:p w14:paraId="151BBD67" w14:textId="77777777" w:rsidR="00387142" w:rsidRPr="008B6A75" w:rsidRDefault="00387142" w:rsidP="00387142">
      <w:pPr>
        <w:widowControl w:val="0"/>
        <w:tabs>
          <w:tab w:val="left" w:pos="567"/>
          <w:tab w:val="left" w:pos="905"/>
        </w:tabs>
        <w:ind w:firstLine="709"/>
        <w:jc w:val="both"/>
        <w:rPr>
          <w:rFonts w:eastAsia="Arial Unicode MS"/>
          <w:sz w:val="20"/>
          <w:szCs w:val="20"/>
        </w:rPr>
      </w:pPr>
      <w:r w:rsidRPr="008B6A75">
        <w:rPr>
          <w:rFonts w:eastAsia="Arial Unicode MS"/>
          <w:color w:val="000000"/>
          <w:sz w:val="20"/>
          <w:szCs w:val="20"/>
          <w:shd w:val="clear" w:color="auto" w:fill="FFFFFF"/>
        </w:rPr>
        <w:t xml:space="preserve">- свыше 19 лет – 95% месячного денежного содержания (вознаграждения) по соответствующей замещаемой муниципальной должности с учетом районного коэффициента, за вычетом размера фиксированной выплаты к </w:t>
      </w:r>
      <w:r w:rsidRPr="008B6A75">
        <w:rPr>
          <w:rFonts w:eastAsia="Arial Unicode MS"/>
          <w:color w:val="000000"/>
          <w:sz w:val="20"/>
          <w:szCs w:val="20"/>
          <w:shd w:val="clear" w:color="auto" w:fill="FFFFFF"/>
        </w:rPr>
        <w:lastRenderedPageBreak/>
        <w:t>страховой части пенсии по старости (инвалидности).</w:t>
      </w:r>
    </w:p>
    <w:p w14:paraId="643DD57C" w14:textId="77777777" w:rsidR="00387142" w:rsidRPr="008B6A75" w:rsidRDefault="00387142" w:rsidP="00387142">
      <w:pPr>
        <w:autoSpaceDE w:val="0"/>
        <w:autoSpaceDN w:val="0"/>
        <w:adjustRightInd w:val="0"/>
        <w:ind w:firstLine="709"/>
        <w:jc w:val="both"/>
        <w:rPr>
          <w:bCs/>
          <w:sz w:val="20"/>
          <w:szCs w:val="20"/>
        </w:rPr>
      </w:pPr>
      <w:r w:rsidRPr="008B6A75">
        <w:rPr>
          <w:bCs/>
          <w:sz w:val="20"/>
          <w:szCs w:val="20"/>
        </w:rPr>
        <w:t>При определении размера ежемесячной доплаты к страховой пенсии не учитываются суммы повышений фиксированной выплаты к страховой пенсии по старости (инвалидности), приходящиеся на нетрудоспособных членов семьи, в связи с достижением возраста 80 лет или наличием инвалидности 1 группы.</w:t>
      </w:r>
    </w:p>
    <w:p w14:paraId="3333D150" w14:textId="77777777" w:rsidR="00387142" w:rsidRPr="008B6A75" w:rsidRDefault="00387142" w:rsidP="00387142">
      <w:pPr>
        <w:widowControl w:val="0"/>
        <w:tabs>
          <w:tab w:val="left" w:pos="476"/>
        </w:tabs>
        <w:ind w:firstLine="709"/>
        <w:jc w:val="both"/>
        <w:rPr>
          <w:rFonts w:eastAsia="Arial Unicode MS"/>
          <w:sz w:val="20"/>
          <w:szCs w:val="20"/>
        </w:rPr>
      </w:pPr>
      <w:r w:rsidRPr="008B6A75">
        <w:rPr>
          <w:rFonts w:eastAsia="Arial Unicode MS"/>
          <w:color w:val="000000"/>
          <w:sz w:val="20"/>
          <w:szCs w:val="20"/>
          <w:shd w:val="clear" w:color="auto" w:fill="FFFFFF"/>
        </w:rPr>
        <w:t>5. Для исчисления ежемесячной доплаты месячное содержание (вознаграждение) определяется по выбору лиц, замещавших муниципальные должности, по должности, замещавшейся на день достижения ими возраста, дающего право на страховую пенсию по старости, предусмотренную Федеральным законом «О страховых пенсиях», либо по последней муниципальной должности, полномочия по которой были прекращены (в том числе досрочно).</w:t>
      </w:r>
    </w:p>
    <w:p w14:paraId="65F1A6AD" w14:textId="77777777" w:rsidR="00387142" w:rsidRPr="008B6A75" w:rsidRDefault="00387142" w:rsidP="00387142">
      <w:pPr>
        <w:widowControl w:val="0"/>
        <w:tabs>
          <w:tab w:val="left" w:pos="476"/>
        </w:tabs>
        <w:ind w:firstLine="709"/>
        <w:jc w:val="both"/>
        <w:rPr>
          <w:rFonts w:eastAsia="Arial Unicode MS"/>
          <w:sz w:val="20"/>
          <w:szCs w:val="20"/>
          <w:shd w:val="clear" w:color="auto" w:fill="FFFFFF"/>
        </w:rPr>
      </w:pPr>
      <w:r w:rsidRPr="008B6A75">
        <w:rPr>
          <w:rFonts w:eastAsia="Arial Unicode MS"/>
          <w:color w:val="000000"/>
          <w:sz w:val="20"/>
          <w:szCs w:val="20"/>
          <w:shd w:val="clear" w:color="auto" w:fill="FFFFFF"/>
        </w:rPr>
        <w:t>6. Лицам, имеющим одновременно право на ежемесячную доплату к страховой пенсии, предусмотренную настоящим Положением, ежемесячное пожизненное содержание или дополнительное (пожизненное) ежемесячное материальное обеспечение, назначаемые в соответствии с федеральными законами, актами Президента Российской Федерации и Правительства Российской Федерации, на предусмотренную федеральным законодательством, законодательством Новосибирской области ежемесячную доплату к пенсии, устанавливаемую лицам, замещавшим должности в органах государственной власти и управления СССР и РСФСР, на ежемесячную доплату к пенсии, пенсию за выслугу лет, назначаемые в соответствии с федеральным законодательством, законодательством Новосибирской области, актами органов местного самоуправления в связи с замещением государственных должностей Российской Федерации, должностей государственной гражданской службы Российской Федерации, государственных должностей субъектов Российской Федерации, должностей государственной гражданской службы субъектов Российской Федерации, муниципальных должностей и должностей муниципальной службы, может устанавливаться ежемесячная доплата к страховой пенсии, предусмотренная настоящим Положением, или одна из указанных в настоящей части выплат по их выбору.</w:t>
      </w:r>
    </w:p>
    <w:p w14:paraId="02943908" w14:textId="77777777" w:rsidR="00387142" w:rsidRPr="008B6A75" w:rsidRDefault="00387142" w:rsidP="00387142">
      <w:pPr>
        <w:widowControl w:val="0"/>
        <w:ind w:firstLine="724"/>
        <w:jc w:val="both"/>
        <w:rPr>
          <w:rFonts w:eastAsia="Arial Unicode MS"/>
          <w:color w:val="000000"/>
          <w:sz w:val="20"/>
          <w:szCs w:val="20"/>
          <w:shd w:val="clear" w:color="auto" w:fill="FFFFFF"/>
        </w:rPr>
      </w:pPr>
      <w:r w:rsidRPr="008B6A75">
        <w:rPr>
          <w:rFonts w:eastAsia="Arial Unicode MS"/>
          <w:color w:val="000000"/>
          <w:sz w:val="20"/>
          <w:szCs w:val="20"/>
          <w:shd w:val="clear" w:color="auto" w:fill="FFFFFF"/>
        </w:rPr>
        <w:t>7. Ежемесячная доплата к страховой пенсии не выплачивается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должности субъекта Российской Федерации, замещаемой на профессиональной постоянной основе, муниципальной должности, замещаемой на постоянной основе, должности муниципальной службы. При последующем увольнении с государственной службы Российской Федерации или освобождении от указанных должностей выплата ежемесячной доплаты к страховой пенсии возобновляется со дня, следующего за днем увольнения с указанной службы или освобождения от указанных должностей гражданина, обратившегося с заявлением о ее возобновлении.</w:t>
      </w:r>
    </w:p>
    <w:p w14:paraId="0B5C96E4" w14:textId="77777777" w:rsidR="00387142" w:rsidRPr="008B6A75" w:rsidRDefault="00387142" w:rsidP="00387142">
      <w:pPr>
        <w:widowControl w:val="0"/>
        <w:ind w:firstLine="724"/>
        <w:jc w:val="both"/>
        <w:rPr>
          <w:rFonts w:eastAsia="Arial Unicode MS"/>
          <w:color w:val="000000"/>
          <w:sz w:val="20"/>
          <w:szCs w:val="20"/>
        </w:rPr>
      </w:pPr>
      <w:r w:rsidRPr="008B6A75">
        <w:rPr>
          <w:rFonts w:eastAsia="Arial Unicode MS"/>
          <w:color w:val="000000"/>
          <w:sz w:val="20"/>
          <w:szCs w:val="20"/>
        </w:rPr>
        <w:t>8. Минимальный размер ежемесячной доплаты к страховой пенсии не может быть ниже размера фиксированной выплаты к страховой части пенсии по старости (инвалидности) с учетом районного коэффициента.</w:t>
      </w:r>
    </w:p>
    <w:p w14:paraId="7A155808" w14:textId="77777777" w:rsidR="00387142" w:rsidRPr="008B6A75" w:rsidRDefault="00387142" w:rsidP="00387142">
      <w:pPr>
        <w:keepNext/>
        <w:keepLines/>
        <w:widowControl w:val="0"/>
        <w:ind w:firstLine="724"/>
        <w:jc w:val="center"/>
        <w:outlineLvl w:val="0"/>
        <w:rPr>
          <w:rFonts w:eastAsia="Arial Unicode MS"/>
          <w:bCs/>
          <w:color w:val="000000"/>
          <w:sz w:val="20"/>
          <w:szCs w:val="20"/>
        </w:rPr>
      </w:pPr>
      <w:bookmarkStart w:id="7" w:name="bookmark7"/>
      <w:r w:rsidRPr="008B6A75">
        <w:rPr>
          <w:rFonts w:eastAsia="Arial Unicode MS"/>
          <w:bCs/>
          <w:color w:val="000000"/>
          <w:sz w:val="20"/>
          <w:szCs w:val="20"/>
          <w:lang w:val="en-US"/>
        </w:rPr>
        <w:t>III</w:t>
      </w:r>
      <w:r w:rsidRPr="008B6A75">
        <w:rPr>
          <w:rFonts w:eastAsia="Arial Unicode MS"/>
          <w:bCs/>
          <w:color w:val="000000"/>
          <w:sz w:val="20"/>
          <w:szCs w:val="20"/>
        </w:rPr>
        <w:t>. Порядок оформления документов для назначения ежемесячной</w:t>
      </w:r>
    </w:p>
    <w:p w14:paraId="1FDF2C60" w14:textId="77777777" w:rsidR="00387142" w:rsidRPr="008B6A75" w:rsidRDefault="00387142" w:rsidP="00387142">
      <w:pPr>
        <w:keepNext/>
        <w:keepLines/>
        <w:widowControl w:val="0"/>
        <w:ind w:firstLine="724"/>
        <w:jc w:val="center"/>
        <w:outlineLvl w:val="0"/>
        <w:rPr>
          <w:rFonts w:eastAsia="Arial Unicode MS"/>
          <w:bCs/>
          <w:sz w:val="20"/>
          <w:szCs w:val="20"/>
        </w:rPr>
      </w:pPr>
      <w:r w:rsidRPr="008B6A75">
        <w:rPr>
          <w:rFonts w:eastAsia="Arial Unicode MS"/>
          <w:bCs/>
          <w:color w:val="000000"/>
          <w:sz w:val="20"/>
          <w:szCs w:val="20"/>
        </w:rPr>
        <w:t>доплаты к страховой пенсии по старости (инвалидности)</w:t>
      </w:r>
      <w:bookmarkEnd w:id="7"/>
    </w:p>
    <w:p w14:paraId="4FB624C8" w14:textId="77777777" w:rsidR="00387142" w:rsidRPr="008B6A75" w:rsidRDefault="00387142" w:rsidP="00387142">
      <w:pPr>
        <w:widowControl w:val="0"/>
        <w:tabs>
          <w:tab w:val="left" w:pos="1276"/>
        </w:tabs>
        <w:ind w:firstLine="709"/>
        <w:jc w:val="both"/>
        <w:rPr>
          <w:rFonts w:eastAsia="Arial Unicode MS"/>
          <w:sz w:val="20"/>
          <w:szCs w:val="20"/>
        </w:rPr>
      </w:pPr>
      <w:r w:rsidRPr="008B6A75">
        <w:rPr>
          <w:rFonts w:eastAsia="Arial Unicode MS"/>
          <w:color w:val="000000"/>
          <w:sz w:val="20"/>
          <w:szCs w:val="20"/>
        </w:rPr>
        <w:t>9. Ежемесячная доплата назначается пожизненно с 1-го числа месяца, в котором гражданин обратился за ней, но не ранее дня, следующего за днем освобождения от должности и назначения страховой пенсии по старости (инвалидности).</w:t>
      </w:r>
    </w:p>
    <w:p w14:paraId="19ADF88E" w14:textId="77777777" w:rsidR="00387142" w:rsidRPr="008B6A75" w:rsidRDefault="00387142" w:rsidP="00387142">
      <w:pPr>
        <w:widowControl w:val="0"/>
        <w:tabs>
          <w:tab w:val="left" w:pos="432"/>
          <w:tab w:val="left" w:pos="1276"/>
        </w:tabs>
        <w:ind w:firstLine="709"/>
        <w:jc w:val="both"/>
        <w:rPr>
          <w:rFonts w:eastAsia="Arial Unicode MS"/>
          <w:sz w:val="20"/>
          <w:szCs w:val="20"/>
        </w:rPr>
      </w:pPr>
      <w:r w:rsidRPr="008B6A75">
        <w:rPr>
          <w:rFonts w:eastAsia="Arial Unicode MS"/>
          <w:color w:val="000000"/>
          <w:sz w:val="20"/>
          <w:szCs w:val="20"/>
        </w:rPr>
        <w:t>10.</w:t>
      </w:r>
      <w:r w:rsidRPr="008B6A75">
        <w:rPr>
          <w:rFonts w:eastAsia="Arial Unicode MS"/>
          <w:sz w:val="20"/>
          <w:szCs w:val="20"/>
        </w:rPr>
        <w:t> </w:t>
      </w:r>
      <w:r w:rsidRPr="008B6A75">
        <w:rPr>
          <w:rFonts w:eastAsia="Arial Unicode MS"/>
          <w:color w:val="000000"/>
          <w:sz w:val="20"/>
          <w:szCs w:val="20"/>
        </w:rPr>
        <w:t>Решение о назначении ежемесячной доплаты принимается Главой Куйбышевского муниципального района Новосибирской области</w:t>
      </w:r>
      <w:r w:rsidRPr="008B6A75">
        <w:rPr>
          <w:rFonts w:eastAsia="Arial Unicode MS"/>
          <w:color w:val="000000"/>
          <w:sz w:val="20"/>
          <w:szCs w:val="20"/>
          <w:shd w:val="clear" w:color="auto" w:fill="FFFFFF"/>
        </w:rPr>
        <w:t xml:space="preserve"> </w:t>
      </w:r>
      <w:r w:rsidRPr="008B6A75">
        <w:rPr>
          <w:rFonts w:eastAsia="Arial Unicode MS"/>
          <w:color w:val="000000"/>
          <w:sz w:val="20"/>
          <w:szCs w:val="20"/>
        </w:rPr>
        <w:t>(далее - Глава) на основании следующих документов:</w:t>
      </w:r>
    </w:p>
    <w:p w14:paraId="422528A4" w14:textId="77777777" w:rsidR="00387142" w:rsidRPr="008B6A75" w:rsidRDefault="00387142" w:rsidP="00387142">
      <w:pPr>
        <w:widowControl w:val="0"/>
        <w:tabs>
          <w:tab w:val="left" w:pos="905"/>
          <w:tab w:val="left" w:pos="1276"/>
        </w:tabs>
        <w:ind w:firstLine="709"/>
        <w:jc w:val="both"/>
        <w:rPr>
          <w:rFonts w:eastAsia="Arial Unicode MS"/>
          <w:sz w:val="20"/>
          <w:szCs w:val="20"/>
        </w:rPr>
      </w:pPr>
      <w:r w:rsidRPr="008B6A75">
        <w:rPr>
          <w:rFonts w:eastAsia="Arial Unicode MS"/>
          <w:color w:val="000000"/>
          <w:sz w:val="20"/>
          <w:szCs w:val="20"/>
        </w:rPr>
        <w:t>1) личного заявления о назначении (возобновлении) ежемесячной доплаты по форме согласно Приложению 1 к настоящему Положению;</w:t>
      </w:r>
    </w:p>
    <w:p w14:paraId="2694F93E" w14:textId="77777777" w:rsidR="00387142" w:rsidRPr="008B6A75" w:rsidRDefault="00387142" w:rsidP="00387142">
      <w:pPr>
        <w:widowControl w:val="0"/>
        <w:tabs>
          <w:tab w:val="left" w:pos="905"/>
          <w:tab w:val="left" w:pos="1276"/>
        </w:tabs>
        <w:ind w:firstLine="709"/>
        <w:jc w:val="both"/>
        <w:rPr>
          <w:rFonts w:eastAsia="Arial Unicode MS"/>
          <w:sz w:val="20"/>
          <w:szCs w:val="20"/>
        </w:rPr>
      </w:pPr>
      <w:r w:rsidRPr="008B6A75">
        <w:rPr>
          <w:rFonts w:eastAsia="Arial Unicode MS"/>
          <w:color w:val="000000"/>
          <w:sz w:val="20"/>
          <w:szCs w:val="20"/>
        </w:rPr>
        <w:t>2) справки о периодах замещения муниципальных должностей по форме согласно Приложению 2 к настоящему Положению;</w:t>
      </w:r>
    </w:p>
    <w:p w14:paraId="3C2A74F3" w14:textId="77777777" w:rsidR="00387142" w:rsidRPr="008B6A75" w:rsidRDefault="00387142" w:rsidP="00387142">
      <w:pPr>
        <w:widowControl w:val="0"/>
        <w:tabs>
          <w:tab w:val="left" w:pos="905"/>
          <w:tab w:val="left" w:pos="1276"/>
        </w:tabs>
        <w:ind w:firstLine="709"/>
        <w:jc w:val="both"/>
        <w:rPr>
          <w:rFonts w:eastAsia="Arial Unicode MS"/>
          <w:sz w:val="20"/>
          <w:szCs w:val="20"/>
        </w:rPr>
      </w:pPr>
      <w:r w:rsidRPr="008B6A75">
        <w:rPr>
          <w:rFonts w:eastAsia="Arial Unicode MS"/>
          <w:color w:val="000000"/>
          <w:sz w:val="20"/>
          <w:szCs w:val="20"/>
        </w:rPr>
        <w:t>3) справки о размере месячного денежного содержания (вознаграждения) по форме согласно Приложению 3 к настоящему Положению;</w:t>
      </w:r>
    </w:p>
    <w:p w14:paraId="43D5554F" w14:textId="77777777" w:rsidR="00387142" w:rsidRPr="008B6A75" w:rsidRDefault="00387142" w:rsidP="00387142">
      <w:pPr>
        <w:widowControl w:val="0"/>
        <w:tabs>
          <w:tab w:val="left" w:pos="905"/>
          <w:tab w:val="left" w:pos="1276"/>
        </w:tabs>
        <w:ind w:firstLine="709"/>
        <w:jc w:val="both"/>
        <w:rPr>
          <w:rFonts w:eastAsia="Arial Unicode MS"/>
          <w:sz w:val="20"/>
          <w:szCs w:val="20"/>
        </w:rPr>
      </w:pPr>
      <w:r w:rsidRPr="008B6A75">
        <w:rPr>
          <w:rFonts w:eastAsia="Arial Unicode MS"/>
          <w:color w:val="000000"/>
          <w:sz w:val="20"/>
          <w:szCs w:val="20"/>
        </w:rPr>
        <w:t>4) справки о размере страховой пенсий по старости (инвалидности), получаемой заявителем на момент подачи заявления, по форме согласно Приложению 4 к настоящему Положению;</w:t>
      </w:r>
    </w:p>
    <w:p w14:paraId="6A369907" w14:textId="77777777" w:rsidR="00387142" w:rsidRPr="008B6A75" w:rsidRDefault="00387142" w:rsidP="00387142">
      <w:pPr>
        <w:ind w:firstLine="709"/>
        <w:jc w:val="both"/>
        <w:rPr>
          <w:rFonts w:eastAsia="Arial Unicode MS"/>
          <w:sz w:val="20"/>
          <w:szCs w:val="20"/>
        </w:rPr>
      </w:pPr>
      <w:r w:rsidRPr="008B6A75">
        <w:rPr>
          <w:rFonts w:eastAsia="Arial Unicode MS"/>
          <w:color w:val="000000"/>
          <w:sz w:val="20"/>
          <w:szCs w:val="20"/>
        </w:rPr>
        <w:t>5) </w:t>
      </w:r>
      <w:r w:rsidRPr="008B6A75">
        <w:rPr>
          <w:sz w:val="20"/>
          <w:szCs w:val="20"/>
        </w:rPr>
        <w:t>копии трудовой книжки, заверенной надлежащим образом, и (или) сведений о трудовой деятельности, оформленных в установленном законодательством порядке</w:t>
      </w:r>
      <w:r w:rsidRPr="008B6A75">
        <w:rPr>
          <w:rFonts w:eastAsia="Arial Unicode MS"/>
          <w:color w:val="000000"/>
          <w:sz w:val="20"/>
          <w:szCs w:val="20"/>
        </w:rPr>
        <w:t>;</w:t>
      </w:r>
    </w:p>
    <w:p w14:paraId="4B999FDF" w14:textId="77777777" w:rsidR="00387142" w:rsidRPr="008B6A75" w:rsidRDefault="00387142" w:rsidP="00387142">
      <w:pPr>
        <w:widowControl w:val="0"/>
        <w:tabs>
          <w:tab w:val="left" w:pos="905"/>
          <w:tab w:val="left" w:pos="1276"/>
        </w:tabs>
        <w:ind w:firstLine="709"/>
        <w:jc w:val="both"/>
        <w:rPr>
          <w:rFonts w:eastAsia="Arial Unicode MS"/>
          <w:sz w:val="20"/>
          <w:szCs w:val="20"/>
        </w:rPr>
      </w:pPr>
      <w:r w:rsidRPr="008B6A75">
        <w:rPr>
          <w:rFonts w:eastAsia="Arial Unicode MS"/>
          <w:color w:val="000000"/>
          <w:sz w:val="20"/>
          <w:szCs w:val="20"/>
        </w:rPr>
        <w:t>6) заверенной копии правового акта об освобождении от должности.</w:t>
      </w:r>
    </w:p>
    <w:p w14:paraId="5F97114A" w14:textId="77777777" w:rsidR="00387142" w:rsidRPr="008B6A75" w:rsidRDefault="00387142" w:rsidP="00387142">
      <w:pPr>
        <w:widowControl w:val="0"/>
        <w:tabs>
          <w:tab w:val="left" w:pos="418"/>
          <w:tab w:val="left" w:pos="1276"/>
        </w:tabs>
        <w:ind w:firstLine="709"/>
        <w:jc w:val="both"/>
        <w:rPr>
          <w:rFonts w:eastAsia="Arial Unicode MS"/>
          <w:sz w:val="20"/>
          <w:szCs w:val="20"/>
        </w:rPr>
      </w:pPr>
      <w:r w:rsidRPr="008B6A75">
        <w:rPr>
          <w:rFonts w:eastAsia="Arial Unicode MS"/>
          <w:color w:val="000000"/>
          <w:sz w:val="20"/>
          <w:szCs w:val="20"/>
        </w:rPr>
        <w:t xml:space="preserve">11. Перечисленные в пункте 10 настоящего Положения документы направляются </w:t>
      </w:r>
      <w:r w:rsidRPr="008B6A75">
        <w:rPr>
          <w:rFonts w:eastAsia="Arial Unicode MS"/>
          <w:color w:val="000000"/>
          <w:sz w:val="20"/>
          <w:szCs w:val="20"/>
          <w:shd w:val="clear" w:color="auto" w:fill="FFFFFF"/>
        </w:rPr>
        <w:t xml:space="preserve">в </w:t>
      </w:r>
      <w:r w:rsidRPr="008B6A75">
        <w:rPr>
          <w:rFonts w:eastAsia="Arial Unicode MS"/>
          <w:color w:val="000000"/>
          <w:sz w:val="20"/>
          <w:szCs w:val="20"/>
        </w:rPr>
        <w:t>администрацию Куйбышевского муниципального района Новосибирской области</w:t>
      </w:r>
      <w:r w:rsidRPr="008B6A75">
        <w:rPr>
          <w:rFonts w:eastAsia="Arial Unicode MS"/>
          <w:color w:val="000000"/>
          <w:sz w:val="20"/>
          <w:szCs w:val="20"/>
          <w:shd w:val="clear" w:color="auto" w:fill="FFFFFF"/>
        </w:rPr>
        <w:t xml:space="preserve"> </w:t>
      </w:r>
      <w:r w:rsidRPr="008B6A75">
        <w:rPr>
          <w:rFonts w:eastAsia="Arial Unicode MS"/>
          <w:color w:val="000000"/>
          <w:sz w:val="20"/>
          <w:szCs w:val="20"/>
        </w:rPr>
        <w:t>(далее - администрация).</w:t>
      </w:r>
    </w:p>
    <w:p w14:paraId="417F3793" w14:textId="77777777" w:rsidR="00387142" w:rsidRPr="008B6A75" w:rsidRDefault="00387142" w:rsidP="00387142">
      <w:pPr>
        <w:widowControl w:val="0"/>
        <w:tabs>
          <w:tab w:val="left" w:pos="1276"/>
        </w:tabs>
        <w:ind w:firstLine="724"/>
        <w:jc w:val="both"/>
        <w:rPr>
          <w:rFonts w:eastAsia="Arial Unicode MS"/>
          <w:sz w:val="20"/>
          <w:szCs w:val="20"/>
        </w:rPr>
      </w:pPr>
      <w:r w:rsidRPr="008B6A75">
        <w:rPr>
          <w:rFonts w:eastAsia="Arial Unicode MS"/>
          <w:color w:val="000000"/>
          <w:sz w:val="20"/>
          <w:szCs w:val="20"/>
        </w:rPr>
        <w:t>Если справка о размере страховой пенсии по старости (инвалидности) не представлена заявителем по собственной инициативе, то администрация получает информацию по межведомственному запросу в рамках межведомственного информационного взаимодействия.</w:t>
      </w:r>
    </w:p>
    <w:p w14:paraId="4883C743" w14:textId="77777777" w:rsidR="00387142" w:rsidRPr="008B6A75" w:rsidRDefault="00387142" w:rsidP="00387142">
      <w:pPr>
        <w:widowControl w:val="0"/>
        <w:tabs>
          <w:tab w:val="left" w:pos="1276"/>
        </w:tabs>
        <w:ind w:firstLine="724"/>
        <w:jc w:val="both"/>
        <w:rPr>
          <w:rFonts w:eastAsia="Arial Unicode MS"/>
          <w:sz w:val="20"/>
          <w:szCs w:val="20"/>
        </w:rPr>
      </w:pPr>
      <w:r w:rsidRPr="008B6A75">
        <w:rPr>
          <w:rFonts w:eastAsia="Arial Unicode MS"/>
          <w:color w:val="000000"/>
          <w:sz w:val="20"/>
          <w:szCs w:val="20"/>
        </w:rPr>
        <w:t>В случае представления копий документов, не заверенных в установленном законодательством Российской Федерации порядке, заявителем представляются их подлинники, которые после заверения соответствующих копий в администрации возвращаются заявителю.</w:t>
      </w:r>
    </w:p>
    <w:p w14:paraId="02802C69" w14:textId="77777777" w:rsidR="00387142" w:rsidRPr="008B6A75" w:rsidRDefault="00387142" w:rsidP="00387142">
      <w:pPr>
        <w:widowControl w:val="0"/>
        <w:tabs>
          <w:tab w:val="left" w:pos="1276"/>
        </w:tabs>
        <w:ind w:firstLine="724"/>
        <w:jc w:val="both"/>
        <w:rPr>
          <w:rFonts w:eastAsia="Arial Unicode MS"/>
          <w:sz w:val="20"/>
          <w:szCs w:val="20"/>
        </w:rPr>
      </w:pPr>
      <w:r w:rsidRPr="008B6A75">
        <w:rPr>
          <w:rFonts w:eastAsia="Arial Unicode MS"/>
          <w:color w:val="000000"/>
          <w:sz w:val="20"/>
          <w:szCs w:val="20"/>
        </w:rPr>
        <w:t xml:space="preserve">Администрация в 10-дневный срок осуществляет проверку документов, определяет размер ежемесячной доплаты, готовит проект распоряжения и представляет его на рассмотрение Главе. </w:t>
      </w:r>
      <w:r w:rsidRPr="008B6A75">
        <w:rPr>
          <w:rFonts w:eastAsia="Arial Unicode MS"/>
          <w:color w:val="000000"/>
          <w:sz w:val="20"/>
          <w:szCs w:val="20"/>
          <w:shd w:val="clear" w:color="auto" w:fill="FFFFFF"/>
        </w:rPr>
        <w:t>После принятия Главой решения о назначении ежемесячной доплаты администрация направляет заявителю уведомление о размере назначенной ежемесячной доплаты по форме согласно Приложению 5 к настоящему Положению.</w:t>
      </w:r>
    </w:p>
    <w:p w14:paraId="0A346E2C" w14:textId="77777777" w:rsidR="00387142" w:rsidRPr="008B6A75" w:rsidRDefault="00387142" w:rsidP="00387142">
      <w:pPr>
        <w:widowControl w:val="0"/>
        <w:tabs>
          <w:tab w:val="left" w:pos="1276"/>
        </w:tabs>
        <w:ind w:firstLine="724"/>
        <w:jc w:val="both"/>
        <w:rPr>
          <w:rFonts w:eastAsia="Arial Unicode MS"/>
          <w:color w:val="000000"/>
          <w:sz w:val="20"/>
          <w:szCs w:val="20"/>
          <w:shd w:val="clear" w:color="auto" w:fill="FFFFFF"/>
        </w:rPr>
      </w:pPr>
      <w:r w:rsidRPr="008B6A75">
        <w:rPr>
          <w:rFonts w:eastAsia="Arial Unicode MS"/>
          <w:color w:val="000000"/>
          <w:sz w:val="20"/>
          <w:szCs w:val="20"/>
          <w:shd w:val="clear" w:color="auto" w:fill="FFFFFF"/>
        </w:rPr>
        <w:t xml:space="preserve">В случае отказа в назначении ежемесячной доплаты заявителю сообщается в письменной форме о его причине в 10-дневный срок со дня принятия решения. </w:t>
      </w:r>
    </w:p>
    <w:p w14:paraId="1873400B" w14:textId="77777777" w:rsidR="00387142" w:rsidRPr="008B6A75" w:rsidRDefault="00387142" w:rsidP="00387142">
      <w:pPr>
        <w:widowControl w:val="0"/>
        <w:tabs>
          <w:tab w:val="left" w:pos="1276"/>
        </w:tabs>
        <w:ind w:firstLine="724"/>
        <w:jc w:val="both"/>
        <w:rPr>
          <w:rFonts w:eastAsia="Arial Unicode MS"/>
          <w:sz w:val="20"/>
          <w:szCs w:val="20"/>
        </w:rPr>
      </w:pPr>
      <w:r w:rsidRPr="008B6A75">
        <w:rPr>
          <w:rFonts w:eastAsia="Arial Unicode MS"/>
          <w:color w:val="000000"/>
          <w:sz w:val="20"/>
          <w:szCs w:val="20"/>
          <w:shd w:val="clear" w:color="auto" w:fill="FFFFFF"/>
        </w:rPr>
        <w:t xml:space="preserve">12. Ежемесячная доплата выплачивается администрацией в трёхдневный срок после поступления средств </w:t>
      </w:r>
      <w:r w:rsidRPr="008B6A75">
        <w:rPr>
          <w:rFonts w:eastAsia="Arial Unicode MS"/>
          <w:color w:val="000000"/>
          <w:sz w:val="20"/>
          <w:szCs w:val="20"/>
          <w:shd w:val="clear" w:color="auto" w:fill="FFFFFF"/>
        </w:rPr>
        <w:lastRenderedPageBreak/>
        <w:t>на лицевой счет на эти цели.</w:t>
      </w:r>
    </w:p>
    <w:p w14:paraId="186C96FE" w14:textId="77777777" w:rsidR="00387142" w:rsidRPr="008B6A75" w:rsidRDefault="00387142" w:rsidP="00387142">
      <w:pPr>
        <w:keepNext/>
        <w:keepLines/>
        <w:widowControl w:val="0"/>
        <w:tabs>
          <w:tab w:val="left" w:pos="1276"/>
        </w:tabs>
        <w:jc w:val="center"/>
        <w:outlineLvl w:val="0"/>
        <w:rPr>
          <w:rFonts w:eastAsia="Arial Unicode MS"/>
          <w:bCs/>
          <w:color w:val="000000"/>
          <w:sz w:val="20"/>
          <w:szCs w:val="20"/>
          <w:shd w:val="clear" w:color="auto" w:fill="FFFFFF"/>
        </w:rPr>
      </w:pPr>
      <w:bookmarkStart w:id="8" w:name="bookmark8"/>
      <w:r w:rsidRPr="008B6A75">
        <w:rPr>
          <w:rFonts w:eastAsia="Arial Unicode MS"/>
          <w:bCs/>
          <w:color w:val="000000"/>
          <w:sz w:val="20"/>
          <w:szCs w:val="20"/>
          <w:shd w:val="clear" w:color="auto" w:fill="FFFFFF"/>
          <w:lang w:val="en-US"/>
        </w:rPr>
        <w:t>IV</w:t>
      </w:r>
      <w:r w:rsidRPr="008B6A75">
        <w:rPr>
          <w:rFonts w:eastAsia="Arial Unicode MS"/>
          <w:bCs/>
          <w:color w:val="000000"/>
          <w:sz w:val="20"/>
          <w:szCs w:val="20"/>
          <w:shd w:val="clear" w:color="auto" w:fill="FFFFFF"/>
        </w:rPr>
        <w:t xml:space="preserve">. </w:t>
      </w:r>
      <w:bookmarkEnd w:id="8"/>
      <w:r w:rsidRPr="008B6A75">
        <w:rPr>
          <w:rFonts w:eastAsia="Arial Unicode MS"/>
          <w:bCs/>
          <w:color w:val="000000"/>
          <w:sz w:val="20"/>
          <w:szCs w:val="20"/>
          <w:shd w:val="clear" w:color="auto" w:fill="FFFFFF"/>
        </w:rPr>
        <w:t>Порядок перерасчета и индексации</w:t>
      </w:r>
    </w:p>
    <w:p w14:paraId="18E950ED" w14:textId="77777777" w:rsidR="00387142" w:rsidRPr="008B6A75" w:rsidRDefault="00387142" w:rsidP="00387142">
      <w:pPr>
        <w:keepNext/>
        <w:keepLines/>
        <w:widowControl w:val="0"/>
        <w:tabs>
          <w:tab w:val="left" w:pos="1276"/>
        </w:tabs>
        <w:jc w:val="center"/>
        <w:outlineLvl w:val="0"/>
        <w:rPr>
          <w:rFonts w:eastAsia="Arial Unicode MS"/>
          <w:bCs/>
          <w:sz w:val="20"/>
          <w:szCs w:val="20"/>
        </w:rPr>
      </w:pPr>
      <w:r w:rsidRPr="008B6A75">
        <w:rPr>
          <w:rFonts w:eastAsia="Arial Unicode MS"/>
          <w:bCs/>
          <w:color w:val="000000"/>
          <w:sz w:val="20"/>
          <w:szCs w:val="20"/>
          <w:shd w:val="clear" w:color="auto" w:fill="FFFFFF"/>
        </w:rPr>
        <w:t>размера пенсии за выслугу лет</w:t>
      </w:r>
    </w:p>
    <w:p w14:paraId="49D24A3C" w14:textId="77777777" w:rsidR="00387142" w:rsidRPr="008B6A75" w:rsidRDefault="00387142" w:rsidP="00387142">
      <w:pPr>
        <w:widowControl w:val="0"/>
        <w:tabs>
          <w:tab w:val="left" w:pos="466"/>
          <w:tab w:val="left" w:pos="543"/>
          <w:tab w:val="left" w:pos="1276"/>
        </w:tabs>
        <w:ind w:firstLine="709"/>
        <w:jc w:val="both"/>
        <w:rPr>
          <w:rFonts w:eastAsia="Arial Unicode MS"/>
          <w:sz w:val="20"/>
          <w:szCs w:val="20"/>
        </w:rPr>
      </w:pPr>
      <w:r w:rsidRPr="008B6A75">
        <w:rPr>
          <w:rFonts w:eastAsia="Arial Unicode MS"/>
          <w:color w:val="000000"/>
          <w:sz w:val="20"/>
          <w:szCs w:val="20"/>
          <w:shd w:val="clear" w:color="auto" w:fill="FFFFFF"/>
        </w:rPr>
        <w:t>13. Перерасчет размера ежемесячной доплаты производится в случаях:</w:t>
      </w:r>
    </w:p>
    <w:p w14:paraId="2376AF7C" w14:textId="77777777" w:rsidR="00387142" w:rsidRPr="008B6A75" w:rsidRDefault="00387142" w:rsidP="00387142">
      <w:pPr>
        <w:widowControl w:val="0"/>
        <w:tabs>
          <w:tab w:val="left" w:pos="543"/>
          <w:tab w:val="left" w:pos="724"/>
          <w:tab w:val="left" w:pos="1276"/>
        </w:tabs>
        <w:ind w:firstLine="709"/>
        <w:jc w:val="both"/>
        <w:rPr>
          <w:rFonts w:eastAsia="Arial Unicode MS"/>
          <w:sz w:val="20"/>
          <w:szCs w:val="20"/>
        </w:rPr>
      </w:pPr>
      <w:r w:rsidRPr="008B6A75">
        <w:rPr>
          <w:rFonts w:eastAsia="Arial Unicode MS"/>
          <w:color w:val="000000"/>
          <w:sz w:val="20"/>
          <w:szCs w:val="20"/>
          <w:shd w:val="clear" w:color="auto" w:fill="FFFFFF"/>
        </w:rPr>
        <w:t>1) изменения размера страховой пенсии по старости (инвалидности);</w:t>
      </w:r>
    </w:p>
    <w:p w14:paraId="1B36F560" w14:textId="77777777" w:rsidR="00387142" w:rsidRPr="008B6A75" w:rsidRDefault="00387142" w:rsidP="00387142">
      <w:pPr>
        <w:widowControl w:val="0"/>
        <w:tabs>
          <w:tab w:val="left" w:pos="543"/>
          <w:tab w:val="left" w:pos="724"/>
          <w:tab w:val="left" w:pos="1276"/>
        </w:tabs>
        <w:ind w:firstLine="709"/>
        <w:jc w:val="both"/>
        <w:rPr>
          <w:rFonts w:eastAsia="Arial Unicode MS"/>
          <w:sz w:val="20"/>
          <w:szCs w:val="20"/>
        </w:rPr>
      </w:pPr>
      <w:r w:rsidRPr="008B6A75">
        <w:rPr>
          <w:rFonts w:eastAsia="Arial Unicode MS"/>
          <w:color w:val="000000"/>
          <w:sz w:val="20"/>
          <w:szCs w:val="20"/>
          <w:shd w:val="clear" w:color="auto" w:fill="FFFFFF"/>
        </w:rPr>
        <w:t>3) при увеличении продолжительности периодов замещения указанных муниципальных должностей с учетом периода по вновь замещавшейся муниципальной должности после назначения ежемесячной доплаты.</w:t>
      </w:r>
    </w:p>
    <w:p w14:paraId="267028BC" w14:textId="77777777" w:rsidR="00387142" w:rsidRPr="008B6A75" w:rsidRDefault="00387142" w:rsidP="00387142">
      <w:pPr>
        <w:widowControl w:val="0"/>
        <w:tabs>
          <w:tab w:val="left" w:pos="543"/>
          <w:tab w:val="left" w:pos="569"/>
          <w:tab w:val="left" w:pos="1276"/>
        </w:tabs>
        <w:ind w:firstLine="709"/>
        <w:jc w:val="both"/>
        <w:rPr>
          <w:rFonts w:eastAsia="Arial Unicode MS"/>
          <w:color w:val="000000"/>
          <w:sz w:val="20"/>
          <w:szCs w:val="20"/>
          <w:shd w:val="clear" w:color="auto" w:fill="FFFFFF"/>
        </w:rPr>
      </w:pPr>
      <w:r w:rsidRPr="008B6A75">
        <w:rPr>
          <w:rFonts w:eastAsia="Arial Unicode MS"/>
          <w:color w:val="000000"/>
          <w:sz w:val="20"/>
          <w:szCs w:val="20"/>
          <w:shd w:val="clear" w:color="auto" w:fill="FFFFFF"/>
        </w:rPr>
        <w:t>14. Перерасчет размера ежемесячной доплаты в случае изменения размера страховой пенсии по старости (инвалидности) производится на основании информации, получаемой администрацией по межведомственному запросу из органов Пенсионного фонда Российской Федерации в рамках межведомственного информационного взаимодействия.</w:t>
      </w:r>
    </w:p>
    <w:p w14:paraId="37D78B5D" w14:textId="77777777" w:rsidR="00387142" w:rsidRPr="008B6A75" w:rsidRDefault="00387142" w:rsidP="00387142">
      <w:pPr>
        <w:widowControl w:val="0"/>
        <w:ind w:firstLine="709"/>
        <w:jc w:val="both"/>
        <w:rPr>
          <w:rFonts w:eastAsia="Arial Unicode MS"/>
          <w:sz w:val="20"/>
          <w:szCs w:val="20"/>
          <w:shd w:val="clear" w:color="auto" w:fill="FFFFFF"/>
        </w:rPr>
      </w:pPr>
      <w:r w:rsidRPr="008B6A75">
        <w:rPr>
          <w:rFonts w:eastAsia="Arial Unicode MS"/>
          <w:color w:val="000000"/>
          <w:sz w:val="20"/>
          <w:szCs w:val="20"/>
          <w:shd w:val="clear" w:color="auto" w:fill="FFFFFF"/>
        </w:rPr>
        <w:t>15. Размер ежемесячной доплаты пересчитывается по заявлению лиц, замещавших муниципальные должности, при увеличении продолжительности периодов замещения муниципальных должностей с учетом периода по вновь замещавшейся муниципальной должности после назначения ежемесячной доплаты в соответствии с пунктом 5 настоящего Положения.</w:t>
      </w:r>
    </w:p>
    <w:p w14:paraId="630A4B2C" w14:textId="77777777" w:rsidR="00387142" w:rsidRPr="008B6A75" w:rsidRDefault="00387142" w:rsidP="00387142">
      <w:pPr>
        <w:widowControl w:val="0"/>
        <w:tabs>
          <w:tab w:val="left" w:pos="543"/>
          <w:tab w:val="left" w:pos="724"/>
          <w:tab w:val="left" w:pos="1276"/>
        </w:tabs>
        <w:ind w:firstLine="709"/>
        <w:jc w:val="both"/>
        <w:rPr>
          <w:rFonts w:eastAsia="Arial Unicode MS"/>
          <w:sz w:val="20"/>
          <w:szCs w:val="20"/>
          <w:shd w:val="clear" w:color="auto" w:fill="FFFFFF"/>
        </w:rPr>
      </w:pPr>
      <w:r w:rsidRPr="008B6A75">
        <w:rPr>
          <w:rFonts w:eastAsia="Arial Unicode MS"/>
          <w:sz w:val="20"/>
          <w:szCs w:val="20"/>
          <w:shd w:val="clear" w:color="auto" w:fill="FFFFFF"/>
        </w:rPr>
        <w:t>16. Индексация размера ежемесячной доплаты производится при централизованном повышении денежного содержания (вознаграждения) лиц, замещающих муниципальные должности.</w:t>
      </w:r>
    </w:p>
    <w:p w14:paraId="1CF2AF67" w14:textId="77777777" w:rsidR="00387142" w:rsidRPr="008B6A75" w:rsidRDefault="00387142" w:rsidP="00387142">
      <w:pPr>
        <w:widowControl w:val="0"/>
        <w:tabs>
          <w:tab w:val="left" w:pos="543"/>
          <w:tab w:val="left" w:pos="724"/>
          <w:tab w:val="left" w:pos="1276"/>
        </w:tabs>
        <w:ind w:firstLine="709"/>
        <w:jc w:val="both"/>
        <w:rPr>
          <w:rFonts w:eastAsia="Arial Unicode MS"/>
          <w:sz w:val="20"/>
          <w:szCs w:val="20"/>
          <w:shd w:val="clear" w:color="auto" w:fill="FFFFFF"/>
        </w:rPr>
      </w:pPr>
      <w:r w:rsidRPr="008B6A75">
        <w:rPr>
          <w:rFonts w:eastAsia="Arial Unicode MS"/>
          <w:sz w:val="20"/>
          <w:szCs w:val="20"/>
          <w:shd w:val="clear" w:color="auto" w:fill="FFFFFF"/>
        </w:rPr>
        <w:t>17. </w:t>
      </w:r>
      <w:r w:rsidRPr="008B6A75">
        <w:rPr>
          <w:rFonts w:eastAsia="Arial Unicode MS"/>
          <w:color w:val="000000"/>
          <w:sz w:val="20"/>
          <w:szCs w:val="20"/>
          <w:shd w:val="clear" w:color="auto" w:fill="FFFFFF"/>
        </w:rPr>
        <w:t>Индексация ежемесячной доплаты при централизованном повышении денежного содержания (вознаграждения) лиц, замещающих муниципальные должности, производится на основании постановления Губернатора Новосибирской области о повышении окладов месячного денежного содержания государственных гражданских служащих Новосибирской области, со дня повышения в централизованном порядке денежного содержания (вознаграждения).</w:t>
      </w:r>
    </w:p>
    <w:p w14:paraId="253FC2C9" w14:textId="77777777" w:rsidR="00387142" w:rsidRPr="008B6A75" w:rsidRDefault="00387142" w:rsidP="00387142">
      <w:pPr>
        <w:widowControl w:val="0"/>
        <w:ind w:firstLine="709"/>
        <w:jc w:val="both"/>
        <w:rPr>
          <w:rFonts w:eastAsia="Arial Unicode MS"/>
          <w:sz w:val="20"/>
          <w:szCs w:val="20"/>
        </w:rPr>
      </w:pPr>
      <w:r w:rsidRPr="008B6A75">
        <w:rPr>
          <w:rFonts w:eastAsia="Arial Unicode MS"/>
          <w:color w:val="000000"/>
          <w:sz w:val="20"/>
          <w:szCs w:val="20"/>
          <w:shd w:val="clear" w:color="auto" w:fill="FFFFFF"/>
        </w:rPr>
        <w:t>18. Перерасчет и индексация размера ежемесячной доплаты во всех предусмотренных настоящим разделом случаях осуществляет администрация.</w:t>
      </w:r>
    </w:p>
    <w:p w14:paraId="1A204D9F" w14:textId="77777777" w:rsidR="00387142" w:rsidRPr="008B6A75" w:rsidRDefault="00387142" w:rsidP="00387142">
      <w:pPr>
        <w:widowControl w:val="0"/>
        <w:tabs>
          <w:tab w:val="left" w:pos="471"/>
          <w:tab w:val="left" w:pos="543"/>
          <w:tab w:val="left" w:pos="1276"/>
        </w:tabs>
        <w:jc w:val="center"/>
        <w:rPr>
          <w:rFonts w:eastAsia="Arial Unicode MS"/>
          <w:sz w:val="20"/>
          <w:szCs w:val="20"/>
        </w:rPr>
      </w:pPr>
      <w:r w:rsidRPr="008B6A75">
        <w:rPr>
          <w:rFonts w:eastAsia="Arial Unicode MS"/>
          <w:sz w:val="20"/>
          <w:szCs w:val="20"/>
          <w:lang w:val="en-US"/>
        </w:rPr>
        <w:t>V</w:t>
      </w:r>
      <w:r w:rsidRPr="008B6A75">
        <w:rPr>
          <w:rFonts w:eastAsia="Arial Unicode MS"/>
          <w:sz w:val="20"/>
          <w:szCs w:val="20"/>
        </w:rPr>
        <w:t>. </w:t>
      </w:r>
      <w:r w:rsidRPr="008B6A75">
        <w:rPr>
          <w:rFonts w:eastAsia="Arial Unicode MS"/>
          <w:bCs/>
          <w:color w:val="000000"/>
          <w:sz w:val="20"/>
          <w:szCs w:val="20"/>
          <w:shd w:val="clear" w:color="auto" w:fill="FFFFFF"/>
        </w:rPr>
        <w:t>Заключительные положения</w:t>
      </w:r>
    </w:p>
    <w:p w14:paraId="644E93DE" w14:textId="77777777" w:rsidR="00387142" w:rsidRPr="008B6A75" w:rsidRDefault="00387142" w:rsidP="00387142">
      <w:pPr>
        <w:widowControl w:val="0"/>
        <w:tabs>
          <w:tab w:val="left" w:pos="471"/>
          <w:tab w:val="left" w:pos="543"/>
          <w:tab w:val="left" w:pos="1276"/>
        </w:tabs>
        <w:ind w:firstLine="709"/>
        <w:jc w:val="both"/>
        <w:rPr>
          <w:rFonts w:eastAsia="Arial Unicode MS"/>
          <w:sz w:val="20"/>
          <w:szCs w:val="20"/>
        </w:rPr>
      </w:pPr>
      <w:r w:rsidRPr="008B6A75">
        <w:rPr>
          <w:rFonts w:eastAsia="Arial Unicode MS"/>
          <w:color w:val="000000"/>
          <w:sz w:val="20"/>
          <w:szCs w:val="20"/>
          <w:shd w:val="clear" w:color="auto" w:fill="FFFFFF"/>
        </w:rPr>
        <w:t>19. Выплата ежемесячной доплаты прекращается в случае смерти получателя, а также в случае объявления его в установленном порядке умершим или признания его безвестно отсутствующим с 1-го числа месяца, следующего за месяцем, в котором наступила смерть получателя либо вступило в силу решение об объявлении его умершим или решение о признании его безвестно отсутствующим.</w:t>
      </w:r>
    </w:p>
    <w:p w14:paraId="358B93F3" w14:textId="77777777" w:rsidR="00387142" w:rsidRPr="008B6A75" w:rsidRDefault="00387142" w:rsidP="00387142">
      <w:pPr>
        <w:widowControl w:val="0"/>
        <w:tabs>
          <w:tab w:val="left" w:pos="466"/>
          <w:tab w:val="left" w:pos="543"/>
          <w:tab w:val="left" w:pos="1276"/>
        </w:tabs>
        <w:ind w:firstLine="709"/>
        <w:jc w:val="both"/>
        <w:rPr>
          <w:rFonts w:eastAsia="Arial Unicode MS"/>
          <w:sz w:val="20"/>
          <w:szCs w:val="20"/>
          <w:shd w:val="clear" w:color="auto" w:fill="FFFFFF"/>
        </w:rPr>
      </w:pPr>
      <w:r w:rsidRPr="008B6A75">
        <w:rPr>
          <w:rFonts w:eastAsia="Arial Unicode MS"/>
          <w:color w:val="000000"/>
          <w:sz w:val="20"/>
          <w:szCs w:val="20"/>
          <w:shd w:val="clear" w:color="auto" w:fill="FFFFFF"/>
        </w:rPr>
        <w:t>20. Суммы ежемесячной доплаты и пенсии за выслугу лет, излишне выплаченные получателю вследствие его злоупотребления, возмещаются получателем, а в случае его несогласия - взыскиваются в судебном порядке.</w:t>
      </w:r>
    </w:p>
    <w:p w14:paraId="46B7A51F" w14:textId="77777777" w:rsidR="00387142" w:rsidRPr="008B6A75" w:rsidRDefault="00387142" w:rsidP="00387142">
      <w:pPr>
        <w:widowControl w:val="0"/>
        <w:tabs>
          <w:tab w:val="left" w:pos="466"/>
          <w:tab w:val="left" w:pos="543"/>
          <w:tab w:val="left" w:pos="1276"/>
        </w:tabs>
        <w:jc w:val="both"/>
        <w:rPr>
          <w:rFonts w:eastAsia="Arial Unicode MS"/>
          <w:color w:val="000000"/>
          <w:sz w:val="20"/>
          <w:szCs w:val="20"/>
          <w:shd w:val="clear" w:color="auto" w:fill="FFFFFF"/>
        </w:rPr>
      </w:pPr>
    </w:p>
    <w:p w14:paraId="0E4679EB" w14:textId="77777777" w:rsidR="00387142" w:rsidRPr="008B6A75" w:rsidRDefault="00387142" w:rsidP="00387142">
      <w:pPr>
        <w:widowControl w:val="0"/>
        <w:tabs>
          <w:tab w:val="left" w:pos="466"/>
          <w:tab w:val="left" w:pos="543"/>
          <w:tab w:val="left" w:pos="1276"/>
        </w:tabs>
        <w:jc w:val="both"/>
        <w:rPr>
          <w:rFonts w:eastAsia="Arial Unicode MS"/>
          <w:color w:val="000000"/>
          <w:sz w:val="20"/>
          <w:szCs w:val="20"/>
          <w:shd w:val="clear" w:color="auto" w:fill="FFFFFF"/>
        </w:rPr>
      </w:pPr>
    </w:p>
    <w:p w14:paraId="40BFF62D" w14:textId="77777777" w:rsidR="00387142" w:rsidRPr="008B6A75" w:rsidRDefault="00387142" w:rsidP="00387142">
      <w:pPr>
        <w:widowControl w:val="0"/>
        <w:tabs>
          <w:tab w:val="left" w:pos="466"/>
          <w:tab w:val="left" w:pos="543"/>
          <w:tab w:val="left" w:pos="1276"/>
        </w:tabs>
        <w:jc w:val="center"/>
        <w:rPr>
          <w:rFonts w:eastAsia="Arial Unicode MS"/>
          <w:sz w:val="20"/>
          <w:szCs w:val="20"/>
          <w:shd w:val="clear" w:color="auto" w:fill="FFFFFF"/>
        </w:rPr>
      </w:pPr>
      <w:r w:rsidRPr="008B6A75">
        <w:rPr>
          <w:rFonts w:eastAsia="Arial Unicode MS"/>
          <w:sz w:val="20"/>
          <w:szCs w:val="20"/>
          <w:shd w:val="clear" w:color="auto" w:fill="FFFFFF"/>
        </w:rPr>
        <w:t>________________</w:t>
      </w:r>
    </w:p>
    <w:p w14:paraId="1F53F2F8" w14:textId="77777777" w:rsidR="00387142" w:rsidRPr="008B6A75" w:rsidRDefault="00387142" w:rsidP="00387142">
      <w:pPr>
        <w:widowControl w:val="0"/>
        <w:tabs>
          <w:tab w:val="left" w:pos="466"/>
          <w:tab w:val="left" w:pos="543"/>
          <w:tab w:val="left" w:pos="905"/>
        </w:tabs>
        <w:jc w:val="both"/>
        <w:rPr>
          <w:rFonts w:eastAsia="Arial Unicode MS"/>
          <w:sz w:val="20"/>
          <w:szCs w:val="20"/>
        </w:rPr>
        <w:sectPr w:rsidR="00387142" w:rsidRPr="008B6A75" w:rsidSect="00265078">
          <w:footerReference w:type="even" r:id="rId17"/>
          <w:footerReference w:type="default" r:id="rId18"/>
          <w:footerReference w:type="first" r:id="rId19"/>
          <w:pgSz w:w="11900" w:h="16840"/>
          <w:pgMar w:top="851" w:right="497" w:bottom="993" w:left="1418" w:header="0" w:footer="384" w:gutter="0"/>
          <w:cols w:space="720"/>
          <w:noEndnote/>
          <w:titlePg/>
          <w:docGrid w:linePitch="360"/>
        </w:sectPr>
      </w:pPr>
    </w:p>
    <w:p w14:paraId="729CC6AB" w14:textId="77777777" w:rsidR="00387142" w:rsidRPr="008B6A75" w:rsidRDefault="00387142" w:rsidP="00387142">
      <w:pPr>
        <w:widowControl w:val="0"/>
        <w:tabs>
          <w:tab w:val="left" w:pos="543"/>
          <w:tab w:val="left" w:pos="905"/>
        </w:tabs>
        <w:spacing w:line="259" w:lineRule="exact"/>
        <w:ind w:right="-42"/>
        <w:rPr>
          <w:rFonts w:eastAsia="Arial Unicode MS"/>
          <w:color w:val="000000"/>
          <w:sz w:val="20"/>
          <w:szCs w:val="20"/>
          <w:shd w:val="clear" w:color="auto" w:fill="FFFFFF"/>
        </w:rPr>
      </w:pPr>
    </w:p>
    <w:p w14:paraId="037E7F44" w14:textId="77777777" w:rsidR="00387142" w:rsidRPr="008B6A75" w:rsidRDefault="00387142" w:rsidP="00387142">
      <w:pPr>
        <w:widowControl w:val="0"/>
        <w:tabs>
          <w:tab w:val="left" w:pos="543"/>
          <w:tab w:val="left" w:pos="905"/>
        </w:tabs>
        <w:ind w:right="-42"/>
        <w:rPr>
          <w:rFonts w:eastAsia="Arial Unicode MS"/>
          <w:color w:val="000000"/>
          <w:sz w:val="20"/>
          <w:szCs w:val="20"/>
          <w:shd w:val="clear" w:color="auto" w:fill="FFFFFF"/>
        </w:rPr>
      </w:pPr>
      <w:r w:rsidRPr="008B6A75">
        <w:rPr>
          <w:rFonts w:eastAsia="Arial Unicode MS"/>
          <w:color w:val="000000"/>
          <w:sz w:val="20"/>
          <w:szCs w:val="20"/>
          <w:shd w:val="clear" w:color="auto" w:fill="FFFFFF"/>
        </w:rPr>
        <w:t xml:space="preserve">                                                                                                                           ПРИЛОЖЕНИЕ 1</w:t>
      </w:r>
    </w:p>
    <w:p w14:paraId="26E511F8" w14:textId="77777777" w:rsidR="00387142" w:rsidRPr="008B6A75" w:rsidRDefault="00387142" w:rsidP="00387142">
      <w:pPr>
        <w:widowControl w:val="0"/>
        <w:tabs>
          <w:tab w:val="left" w:pos="1276"/>
        </w:tabs>
        <w:ind w:left="4536"/>
        <w:jc w:val="center"/>
        <w:rPr>
          <w:rFonts w:eastAsia="Arial Unicode MS"/>
          <w:color w:val="000000"/>
          <w:sz w:val="20"/>
          <w:szCs w:val="20"/>
          <w:shd w:val="clear" w:color="auto" w:fill="FFFFFF"/>
        </w:rPr>
      </w:pPr>
      <w:r w:rsidRPr="008B6A75">
        <w:rPr>
          <w:rFonts w:eastAsia="Arial Unicode MS"/>
          <w:color w:val="000000"/>
          <w:sz w:val="20"/>
          <w:szCs w:val="20"/>
          <w:shd w:val="clear" w:color="auto" w:fill="FFFFFF"/>
        </w:rPr>
        <w:t xml:space="preserve">к Положению </w:t>
      </w:r>
      <w:r w:rsidRPr="008B6A75">
        <w:rPr>
          <w:rFonts w:eastAsia="Arial Unicode MS"/>
          <w:bCs/>
          <w:color w:val="000000"/>
          <w:sz w:val="20"/>
          <w:szCs w:val="20"/>
          <w:shd w:val="clear" w:color="auto" w:fill="FFFFFF"/>
        </w:rPr>
        <w:t>о ежемесячной доплате к страховой пенсии по старости (инвалидности) депутату, члену выборного органа местного самоуправления, выборному должностному лицу местного самоуправления, председателю, заместителю председателя, аудитору контрольно-счетного органа в Куйбышевском муниципальном районе Новосибирской области</w:t>
      </w:r>
    </w:p>
    <w:p w14:paraId="3CEF2EC3" w14:textId="77777777" w:rsidR="00387142" w:rsidRPr="008B6A75" w:rsidRDefault="00387142" w:rsidP="00387142">
      <w:pPr>
        <w:widowControl w:val="0"/>
        <w:spacing w:line="259" w:lineRule="exact"/>
        <w:ind w:left="4536" w:right="-42"/>
        <w:jc w:val="center"/>
        <w:rPr>
          <w:rFonts w:eastAsia="Arial Unicode MS"/>
          <w:color w:val="000000"/>
          <w:sz w:val="20"/>
          <w:szCs w:val="20"/>
          <w:shd w:val="clear" w:color="auto" w:fill="FFFFFF"/>
        </w:rPr>
      </w:pPr>
    </w:p>
    <w:p w14:paraId="3EE1B63F" w14:textId="77777777" w:rsidR="00387142" w:rsidRPr="008B6A75" w:rsidRDefault="00387142" w:rsidP="00387142">
      <w:pPr>
        <w:widowControl w:val="0"/>
        <w:ind w:left="4536" w:right="-42"/>
        <w:jc w:val="both"/>
        <w:rPr>
          <w:rFonts w:eastAsia="Arial Unicode MS"/>
          <w:sz w:val="20"/>
          <w:szCs w:val="20"/>
        </w:rPr>
      </w:pPr>
      <w:r w:rsidRPr="008B6A75">
        <w:rPr>
          <w:rFonts w:eastAsia="Arial Unicode MS"/>
          <w:color w:val="000000"/>
          <w:sz w:val="20"/>
          <w:szCs w:val="20"/>
          <w:shd w:val="clear" w:color="auto" w:fill="FFFFFF"/>
        </w:rPr>
        <w:t>Главе Куйбышевского муниципального района Новосибирской области</w:t>
      </w:r>
    </w:p>
    <w:p w14:paraId="74196CB2" w14:textId="77777777" w:rsidR="00387142" w:rsidRPr="008B6A75" w:rsidRDefault="00387142" w:rsidP="00387142">
      <w:pPr>
        <w:widowControl w:val="0"/>
        <w:ind w:left="4536" w:right="-42"/>
        <w:jc w:val="both"/>
        <w:rPr>
          <w:rFonts w:eastAsia="Arial Unicode MS"/>
          <w:sz w:val="20"/>
          <w:szCs w:val="20"/>
        </w:rPr>
      </w:pPr>
      <w:r w:rsidRPr="008B6A75">
        <w:rPr>
          <w:rFonts w:eastAsia="Arial Unicode MS"/>
          <w:color w:val="000000"/>
          <w:sz w:val="20"/>
          <w:szCs w:val="20"/>
          <w:shd w:val="clear" w:color="auto" w:fill="FFFFFF"/>
        </w:rPr>
        <w:t>от __________________________________</w:t>
      </w:r>
    </w:p>
    <w:p w14:paraId="0E6BD264" w14:textId="77777777" w:rsidR="00387142" w:rsidRPr="008B6A75" w:rsidRDefault="00387142" w:rsidP="00387142">
      <w:pPr>
        <w:widowControl w:val="0"/>
        <w:ind w:left="4536" w:right="-42"/>
        <w:jc w:val="both"/>
        <w:rPr>
          <w:rFonts w:eastAsia="Arial Unicode MS"/>
          <w:i/>
          <w:iCs/>
          <w:sz w:val="20"/>
          <w:szCs w:val="20"/>
        </w:rPr>
      </w:pPr>
      <w:r w:rsidRPr="008B6A75">
        <w:rPr>
          <w:rFonts w:eastAsia="Arial Unicode MS"/>
          <w:i/>
          <w:iCs/>
          <w:color w:val="000000"/>
          <w:sz w:val="20"/>
          <w:szCs w:val="20"/>
          <w:shd w:val="clear" w:color="auto" w:fill="FFFFFF"/>
        </w:rPr>
        <w:t>(фамилия, имя, отчество)</w:t>
      </w:r>
    </w:p>
    <w:p w14:paraId="59730531" w14:textId="77777777" w:rsidR="00387142" w:rsidRPr="008B6A75" w:rsidRDefault="00387142" w:rsidP="00387142">
      <w:pPr>
        <w:widowControl w:val="0"/>
        <w:tabs>
          <w:tab w:val="left" w:leader="underscore" w:pos="5593"/>
          <w:tab w:val="left" w:leader="underscore" w:pos="6654"/>
          <w:tab w:val="left" w:leader="underscore" w:pos="7758"/>
        </w:tabs>
        <w:ind w:left="4536" w:right="-42"/>
        <w:jc w:val="both"/>
        <w:rPr>
          <w:rFonts w:eastAsia="Arial Unicode MS"/>
          <w:sz w:val="20"/>
          <w:szCs w:val="20"/>
        </w:rPr>
      </w:pPr>
      <w:r w:rsidRPr="008B6A75">
        <w:rPr>
          <w:rFonts w:eastAsia="Arial Unicode MS"/>
          <w:color w:val="000000"/>
          <w:sz w:val="20"/>
          <w:szCs w:val="20"/>
          <w:shd w:val="clear" w:color="auto" w:fill="FFFFFF"/>
        </w:rPr>
        <w:t>замещавшего должность _____________ ____________________________________,</w:t>
      </w:r>
    </w:p>
    <w:p w14:paraId="2C9B11DA" w14:textId="77777777" w:rsidR="00387142" w:rsidRPr="008B6A75" w:rsidRDefault="00387142" w:rsidP="00387142">
      <w:pPr>
        <w:widowControl w:val="0"/>
        <w:ind w:left="4536" w:right="-42"/>
        <w:jc w:val="both"/>
        <w:rPr>
          <w:rFonts w:eastAsia="Arial Unicode MS"/>
          <w:i/>
          <w:iCs/>
          <w:sz w:val="20"/>
          <w:szCs w:val="20"/>
        </w:rPr>
      </w:pPr>
      <w:r w:rsidRPr="008B6A75">
        <w:rPr>
          <w:rFonts w:eastAsia="Arial Unicode MS"/>
          <w:i/>
          <w:iCs/>
          <w:color w:val="000000"/>
          <w:sz w:val="20"/>
          <w:szCs w:val="20"/>
          <w:shd w:val="clear" w:color="auto" w:fill="FFFFFF"/>
        </w:rPr>
        <w:t>(наименование муниципальной должности)</w:t>
      </w:r>
    </w:p>
    <w:p w14:paraId="5408A4FF" w14:textId="77777777" w:rsidR="00387142" w:rsidRPr="008B6A75" w:rsidRDefault="00387142" w:rsidP="00387142">
      <w:pPr>
        <w:widowControl w:val="0"/>
        <w:ind w:left="4536" w:right="-42"/>
        <w:jc w:val="both"/>
        <w:rPr>
          <w:rFonts w:eastAsia="Arial Unicode MS"/>
          <w:color w:val="000000"/>
          <w:sz w:val="20"/>
          <w:szCs w:val="20"/>
          <w:shd w:val="clear" w:color="auto" w:fill="FFFFFF"/>
        </w:rPr>
      </w:pPr>
      <w:r w:rsidRPr="008B6A75">
        <w:rPr>
          <w:rFonts w:eastAsia="Arial Unicode MS"/>
          <w:color w:val="000000"/>
          <w:sz w:val="20"/>
          <w:szCs w:val="20"/>
          <w:shd w:val="clear" w:color="auto" w:fill="FFFFFF"/>
        </w:rPr>
        <w:t>проживающего по адресу: ____________ ____________________________________,</w:t>
      </w:r>
    </w:p>
    <w:p w14:paraId="6AAEAB71" w14:textId="77777777" w:rsidR="00387142" w:rsidRPr="008B6A75" w:rsidRDefault="00387142" w:rsidP="00387142">
      <w:pPr>
        <w:widowControl w:val="0"/>
        <w:ind w:left="4536" w:right="-42"/>
        <w:jc w:val="both"/>
        <w:rPr>
          <w:rFonts w:eastAsia="Arial Unicode MS"/>
          <w:sz w:val="20"/>
          <w:szCs w:val="20"/>
        </w:rPr>
      </w:pPr>
      <w:r w:rsidRPr="008B6A75">
        <w:rPr>
          <w:rFonts w:eastAsia="Arial Unicode MS"/>
          <w:color w:val="000000"/>
          <w:sz w:val="20"/>
          <w:szCs w:val="20"/>
          <w:shd w:val="clear" w:color="auto" w:fill="FFFFFF"/>
        </w:rPr>
        <w:t>контактный телефон: _________________</w:t>
      </w:r>
    </w:p>
    <w:p w14:paraId="49F401F7" w14:textId="77777777" w:rsidR="00387142" w:rsidRPr="008B6A75" w:rsidRDefault="00387142" w:rsidP="00387142">
      <w:pPr>
        <w:widowControl w:val="0"/>
        <w:ind w:firstLine="724"/>
        <w:jc w:val="center"/>
        <w:rPr>
          <w:rFonts w:eastAsia="Arial Unicode MS"/>
          <w:color w:val="000000"/>
          <w:sz w:val="20"/>
          <w:szCs w:val="20"/>
          <w:shd w:val="clear" w:color="auto" w:fill="FFFFFF"/>
        </w:rPr>
      </w:pPr>
    </w:p>
    <w:p w14:paraId="30FC3A7F" w14:textId="77777777" w:rsidR="00387142" w:rsidRPr="008B6A75" w:rsidRDefault="00387142" w:rsidP="00387142">
      <w:pPr>
        <w:widowControl w:val="0"/>
        <w:jc w:val="center"/>
        <w:rPr>
          <w:rFonts w:eastAsia="Arial Unicode MS"/>
          <w:sz w:val="20"/>
          <w:szCs w:val="20"/>
        </w:rPr>
      </w:pPr>
      <w:r w:rsidRPr="008B6A75">
        <w:rPr>
          <w:rFonts w:eastAsia="Arial Unicode MS"/>
          <w:color w:val="000000"/>
          <w:sz w:val="20"/>
          <w:szCs w:val="20"/>
          <w:shd w:val="clear" w:color="auto" w:fill="FFFFFF"/>
        </w:rPr>
        <w:t>ЗАЯВЛЕНИЕ</w:t>
      </w:r>
    </w:p>
    <w:p w14:paraId="575CE4D7" w14:textId="77777777" w:rsidR="00387142" w:rsidRPr="008B6A75" w:rsidRDefault="00387142" w:rsidP="00387142">
      <w:pPr>
        <w:widowControl w:val="0"/>
        <w:ind w:firstLine="724"/>
        <w:jc w:val="both"/>
        <w:rPr>
          <w:rFonts w:eastAsia="Arial Unicode MS"/>
          <w:color w:val="000000"/>
          <w:sz w:val="20"/>
          <w:szCs w:val="20"/>
          <w:shd w:val="clear" w:color="auto" w:fill="FFFFFF"/>
        </w:rPr>
      </w:pPr>
    </w:p>
    <w:p w14:paraId="21C3E99E" w14:textId="77777777" w:rsidR="00387142" w:rsidRPr="008B6A75" w:rsidRDefault="00387142" w:rsidP="00387142">
      <w:pPr>
        <w:widowControl w:val="0"/>
        <w:tabs>
          <w:tab w:val="left" w:pos="1276"/>
        </w:tabs>
        <w:ind w:firstLine="709"/>
        <w:jc w:val="both"/>
        <w:rPr>
          <w:rFonts w:eastAsia="Arial Unicode MS"/>
          <w:sz w:val="20"/>
          <w:szCs w:val="20"/>
        </w:rPr>
      </w:pPr>
      <w:r w:rsidRPr="008B6A75">
        <w:rPr>
          <w:rFonts w:eastAsia="Arial Unicode MS"/>
          <w:color w:val="000000"/>
          <w:sz w:val="20"/>
          <w:szCs w:val="20"/>
          <w:shd w:val="clear" w:color="auto" w:fill="FFFFFF"/>
        </w:rPr>
        <w:t xml:space="preserve">В соответствии с Положением </w:t>
      </w:r>
      <w:r w:rsidRPr="008B6A75">
        <w:rPr>
          <w:rFonts w:eastAsia="Arial Unicode MS"/>
          <w:bCs/>
          <w:color w:val="000000"/>
          <w:sz w:val="20"/>
          <w:szCs w:val="20"/>
          <w:shd w:val="clear" w:color="auto" w:fill="FFFFFF"/>
        </w:rPr>
        <w:t>о ежемесячной доплате к страховой пенсии по старости (инвалидности) депутату, члену выборного органа местного самоуправления, выборному должностному лицу местного самоуправления, председателю, заместителю председателя, аудитору контрольно-счетного органа в Куйбышевском муниципальном районе Новосибирской области</w:t>
      </w:r>
      <w:r w:rsidRPr="008B6A75">
        <w:rPr>
          <w:rFonts w:eastAsia="Arial Unicode MS"/>
          <w:color w:val="000000"/>
          <w:sz w:val="20"/>
          <w:szCs w:val="20"/>
          <w:shd w:val="clear" w:color="auto" w:fill="FFFFFF"/>
        </w:rPr>
        <w:t xml:space="preserve"> прошу установить мне ежемесячную доплату к страховой пенсии по старости (инвалидности).</w:t>
      </w:r>
    </w:p>
    <w:p w14:paraId="73E6203F" w14:textId="77777777" w:rsidR="00387142" w:rsidRPr="008B6A75" w:rsidRDefault="00387142" w:rsidP="00387142">
      <w:pPr>
        <w:widowControl w:val="0"/>
        <w:ind w:firstLine="724"/>
        <w:jc w:val="both"/>
        <w:rPr>
          <w:rFonts w:eastAsia="Arial Unicode MS"/>
          <w:sz w:val="20"/>
          <w:szCs w:val="20"/>
        </w:rPr>
      </w:pPr>
      <w:r w:rsidRPr="008B6A75">
        <w:rPr>
          <w:rFonts w:eastAsia="Arial Unicode MS"/>
          <w:color w:val="000000"/>
          <w:sz w:val="20"/>
          <w:szCs w:val="20"/>
          <w:shd w:val="clear" w:color="auto" w:fill="FFFFFF"/>
        </w:rPr>
        <w:t xml:space="preserve">Прошу ежемесячную доплату к страховой пенсии по старости (инвалидности) перечислять на лицевой счет № _____________ в ______________ </w:t>
      </w:r>
      <w:r w:rsidRPr="008B6A75">
        <w:rPr>
          <w:rFonts w:eastAsia="Arial Unicode MS"/>
          <w:i/>
          <w:iCs/>
          <w:color w:val="000000"/>
          <w:sz w:val="20"/>
          <w:szCs w:val="20"/>
          <w:shd w:val="clear" w:color="auto" w:fill="FFFFFF"/>
        </w:rPr>
        <w:t>(наименование банка получателя).</w:t>
      </w:r>
    </w:p>
    <w:p w14:paraId="5E700686" w14:textId="77777777" w:rsidR="00387142" w:rsidRPr="008B6A75" w:rsidRDefault="00387142" w:rsidP="00387142">
      <w:pPr>
        <w:widowControl w:val="0"/>
        <w:ind w:firstLine="724"/>
        <w:jc w:val="both"/>
        <w:rPr>
          <w:rFonts w:eastAsia="Arial Unicode MS"/>
          <w:color w:val="000000"/>
          <w:sz w:val="20"/>
          <w:szCs w:val="20"/>
          <w:shd w:val="clear" w:color="auto" w:fill="FFFFFF"/>
        </w:rPr>
      </w:pPr>
      <w:r w:rsidRPr="008B6A75">
        <w:rPr>
          <w:rFonts w:eastAsia="Arial Unicode MS"/>
          <w:color w:val="000000"/>
          <w:sz w:val="20"/>
          <w:szCs w:val="20"/>
          <w:shd w:val="clear" w:color="auto" w:fill="FFFFFF"/>
        </w:rPr>
        <w:lastRenderedPageBreak/>
        <w:t>При замещении должности государственной службы Российской Федерации,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муниципальной службы, а также при изменении места проживания, обязуюсь в 5-дневный срок сообщать об этом в администрацию Куйбышевского муниципального района Новосибирской области.</w:t>
      </w:r>
    </w:p>
    <w:p w14:paraId="0AB7236A" w14:textId="77777777" w:rsidR="00387142" w:rsidRPr="008B6A75" w:rsidRDefault="00387142" w:rsidP="00387142">
      <w:pPr>
        <w:widowControl w:val="0"/>
        <w:ind w:firstLine="724"/>
        <w:jc w:val="both"/>
        <w:rPr>
          <w:rFonts w:eastAsia="Arial Unicode MS"/>
          <w:sz w:val="20"/>
          <w:szCs w:val="20"/>
        </w:rPr>
      </w:pPr>
    </w:p>
    <w:p w14:paraId="2ED66017" w14:textId="77777777" w:rsidR="00387142" w:rsidRPr="008B6A75" w:rsidRDefault="00387142" w:rsidP="00387142">
      <w:pPr>
        <w:widowControl w:val="0"/>
        <w:ind w:firstLine="724"/>
        <w:jc w:val="both"/>
        <w:rPr>
          <w:rFonts w:eastAsia="Arial Unicode MS"/>
          <w:sz w:val="20"/>
          <w:szCs w:val="20"/>
        </w:rPr>
      </w:pPr>
    </w:p>
    <w:p w14:paraId="7131303D" w14:textId="77777777" w:rsidR="00387142" w:rsidRPr="008B6A75" w:rsidRDefault="00387142" w:rsidP="00387142">
      <w:pPr>
        <w:widowControl w:val="0"/>
        <w:ind w:firstLine="724"/>
        <w:jc w:val="both"/>
        <w:rPr>
          <w:rFonts w:eastAsia="Arial Unicode MS"/>
          <w:sz w:val="20"/>
          <w:szCs w:val="20"/>
        </w:rPr>
        <w:sectPr w:rsidR="00387142" w:rsidRPr="008B6A75" w:rsidSect="00387142">
          <w:type w:val="continuous"/>
          <w:pgSz w:w="11900" w:h="16840"/>
          <w:pgMar w:top="1134" w:right="701" w:bottom="993" w:left="1460" w:header="0" w:footer="3" w:gutter="0"/>
          <w:cols w:space="720"/>
          <w:noEndnote/>
          <w:docGrid w:linePitch="360"/>
        </w:sectPr>
      </w:pPr>
      <w:r w:rsidRPr="008B6A75">
        <w:rPr>
          <w:rFonts w:eastAsia="Arial Unicode MS"/>
          <w:sz w:val="20"/>
          <w:szCs w:val="20"/>
        </w:rPr>
        <w:t>Дата</w:t>
      </w:r>
      <w:r w:rsidRPr="008B6A75">
        <w:rPr>
          <w:rFonts w:eastAsia="Arial Unicode MS"/>
          <w:sz w:val="20"/>
          <w:szCs w:val="20"/>
        </w:rPr>
        <w:tab/>
      </w:r>
      <w:r w:rsidRPr="008B6A75">
        <w:rPr>
          <w:rFonts w:eastAsia="Arial Unicode MS"/>
          <w:sz w:val="20"/>
          <w:szCs w:val="20"/>
        </w:rPr>
        <w:tab/>
      </w:r>
      <w:r w:rsidRPr="008B6A75">
        <w:rPr>
          <w:rFonts w:eastAsia="Arial Unicode MS"/>
          <w:sz w:val="20"/>
          <w:szCs w:val="20"/>
        </w:rPr>
        <w:tab/>
      </w:r>
      <w:r w:rsidRPr="008B6A75">
        <w:rPr>
          <w:rFonts w:eastAsia="Arial Unicode MS"/>
          <w:sz w:val="20"/>
          <w:szCs w:val="20"/>
        </w:rPr>
        <w:tab/>
      </w:r>
      <w:r w:rsidRPr="008B6A75">
        <w:rPr>
          <w:rFonts w:eastAsia="Arial Unicode MS"/>
          <w:sz w:val="20"/>
          <w:szCs w:val="20"/>
        </w:rPr>
        <w:tab/>
      </w:r>
      <w:r w:rsidRPr="008B6A75">
        <w:rPr>
          <w:rFonts w:eastAsia="Arial Unicode MS"/>
          <w:sz w:val="20"/>
          <w:szCs w:val="20"/>
        </w:rPr>
        <w:tab/>
      </w:r>
      <w:r w:rsidRPr="008B6A75">
        <w:rPr>
          <w:rFonts w:eastAsia="Arial Unicode MS"/>
          <w:sz w:val="20"/>
          <w:szCs w:val="20"/>
        </w:rPr>
        <w:tab/>
      </w:r>
      <w:r w:rsidRPr="008B6A75">
        <w:rPr>
          <w:rFonts w:eastAsia="Arial Unicode MS"/>
          <w:sz w:val="20"/>
          <w:szCs w:val="20"/>
        </w:rPr>
        <w:tab/>
        <w:t>Подпись заявителя</w:t>
      </w:r>
    </w:p>
    <w:p w14:paraId="071484DB" w14:textId="77777777" w:rsidR="00387142" w:rsidRPr="008B6A75" w:rsidRDefault="00387142" w:rsidP="00387142">
      <w:pPr>
        <w:widowControl w:val="0"/>
        <w:ind w:left="4962" w:right="-42"/>
        <w:jc w:val="center"/>
        <w:rPr>
          <w:rFonts w:eastAsia="Arial Unicode MS"/>
          <w:color w:val="000000"/>
          <w:sz w:val="20"/>
          <w:szCs w:val="20"/>
          <w:shd w:val="clear" w:color="auto" w:fill="FFFFFF"/>
        </w:rPr>
      </w:pPr>
      <w:r w:rsidRPr="008B6A75">
        <w:rPr>
          <w:rFonts w:eastAsia="Arial Unicode MS"/>
          <w:color w:val="000000"/>
          <w:sz w:val="20"/>
          <w:szCs w:val="20"/>
          <w:shd w:val="clear" w:color="auto" w:fill="FFFFFF"/>
        </w:rPr>
        <w:t>ПРИЛОЖЕНИЕ 2</w:t>
      </w:r>
    </w:p>
    <w:p w14:paraId="3939803A" w14:textId="77777777" w:rsidR="00387142" w:rsidRPr="008B6A75" w:rsidRDefault="00387142" w:rsidP="00387142">
      <w:pPr>
        <w:widowControl w:val="0"/>
        <w:tabs>
          <w:tab w:val="left" w:pos="1276"/>
        </w:tabs>
        <w:ind w:left="4536"/>
        <w:jc w:val="center"/>
        <w:rPr>
          <w:rFonts w:eastAsia="Arial Unicode MS"/>
          <w:color w:val="000000"/>
          <w:sz w:val="20"/>
          <w:szCs w:val="20"/>
          <w:shd w:val="clear" w:color="auto" w:fill="FFFFFF"/>
        </w:rPr>
      </w:pPr>
      <w:r w:rsidRPr="008B6A75">
        <w:rPr>
          <w:rFonts w:eastAsia="Arial Unicode MS"/>
          <w:color w:val="000000"/>
          <w:sz w:val="20"/>
          <w:szCs w:val="20"/>
          <w:shd w:val="clear" w:color="auto" w:fill="FFFFFF"/>
        </w:rPr>
        <w:t xml:space="preserve">к Положению </w:t>
      </w:r>
      <w:r w:rsidRPr="008B6A75">
        <w:rPr>
          <w:rFonts w:eastAsia="Arial Unicode MS"/>
          <w:bCs/>
          <w:color w:val="000000"/>
          <w:sz w:val="20"/>
          <w:szCs w:val="20"/>
          <w:shd w:val="clear" w:color="auto" w:fill="FFFFFF"/>
        </w:rPr>
        <w:t>о ежемесячной доплате к страховой пенсии по старости (инвалидности) депутату, члену выборного органа местного самоуправления, выборному должностному лицу местного самоуправления, председателю, заместителю председателя, аудитору контрольно-счетного органа в Куйбышевском муниципальном районе Новосибирской области</w:t>
      </w:r>
    </w:p>
    <w:p w14:paraId="6DF91386" w14:textId="77777777" w:rsidR="00387142" w:rsidRPr="008B6A75" w:rsidRDefault="00387142" w:rsidP="00387142">
      <w:pPr>
        <w:widowControl w:val="0"/>
        <w:spacing w:line="259" w:lineRule="exact"/>
        <w:ind w:firstLine="724"/>
        <w:jc w:val="right"/>
        <w:rPr>
          <w:rFonts w:eastAsia="Arial Unicode MS"/>
          <w:color w:val="000000"/>
          <w:sz w:val="20"/>
          <w:szCs w:val="20"/>
          <w:shd w:val="clear" w:color="auto" w:fill="FFFFFF"/>
        </w:rPr>
      </w:pPr>
    </w:p>
    <w:p w14:paraId="076EEF73" w14:textId="77777777" w:rsidR="00387142" w:rsidRPr="008B6A75" w:rsidRDefault="00387142" w:rsidP="00387142">
      <w:pPr>
        <w:widowControl w:val="0"/>
        <w:spacing w:line="259" w:lineRule="exact"/>
        <w:ind w:firstLine="724"/>
        <w:jc w:val="right"/>
        <w:rPr>
          <w:rFonts w:eastAsia="Arial Unicode MS"/>
          <w:color w:val="000000"/>
          <w:sz w:val="20"/>
          <w:szCs w:val="20"/>
          <w:shd w:val="clear" w:color="auto" w:fill="FFFFFF"/>
        </w:rPr>
      </w:pPr>
    </w:p>
    <w:p w14:paraId="45E4B451" w14:textId="77777777" w:rsidR="00387142" w:rsidRPr="008B6A75" w:rsidRDefault="00387142" w:rsidP="00387142">
      <w:pPr>
        <w:widowControl w:val="0"/>
        <w:spacing w:line="259" w:lineRule="exact"/>
        <w:ind w:firstLine="724"/>
        <w:jc w:val="center"/>
        <w:rPr>
          <w:rFonts w:eastAsia="Arial Unicode MS"/>
          <w:sz w:val="20"/>
          <w:szCs w:val="20"/>
        </w:rPr>
      </w:pPr>
      <w:r w:rsidRPr="008B6A75">
        <w:rPr>
          <w:rFonts w:eastAsia="Arial Unicode MS"/>
          <w:color w:val="000000"/>
          <w:sz w:val="20"/>
          <w:szCs w:val="20"/>
          <w:shd w:val="clear" w:color="auto" w:fill="FFFFFF"/>
        </w:rPr>
        <w:t>СПРАВКА</w:t>
      </w:r>
    </w:p>
    <w:p w14:paraId="71E66156" w14:textId="77777777" w:rsidR="00387142" w:rsidRPr="008B6A75" w:rsidRDefault="00387142" w:rsidP="00387142">
      <w:pPr>
        <w:widowControl w:val="0"/>
        <w:ind w:firstLine="724"/>
        <w:jc w:val="center"/>
        <w:rPr>
          <w:rFonts w:eastAsia="Arial Unicode MS"/>
          <w:i/>
          <w:iCs/>
          <w:color w:val="000000"/>
          <w:sz w:val="20"/>
          <w:szCs w:val="20"/>
          <w:shd w:val="clear" w:color="auto" w:fill="FFFFFF"/>
        </w:rPr>
      </w:pPr>
      <w:r w:rsidRPr="008B6A75">
        <w:rPr>
          <w:rFonts w:eastAsia="Arial Unicode MS"/>
          <w:color w:val="000000"/>
          <w:sz w:val="20"/>
          <w:szCs w:val="20"/>
          <w:shd w:val="clear" w:color="auto" w:fill="FFFFFF"/>
        </w:rPr>
        <w:t>о периодах замещения должности депутата, члена выборного органа местного</w:t>
      </w:r>
      <w:r w:rsidRPr="008B6A75">
        <w:rPr>
          <w:rFonts w:eastAsia="Arial Unicode MS"/>
          <w:color w:val="000000"/>
          <w:sz w:val="20"/>
          <w:szCs w:val="20"/>
          <w:shd w:val="clear" w:color="auto" w:fill="FFFFFF"/>
        </w:rPr>
        <w:br/>
        <w:t>самоуправления, выборного должностного лица местного самоуправления</w:t>
      </w:r>
      <w:r w:rsidRPr="008B6A75">
        <w:rPr>
          <w:rFonts w:eastAsia="Arial Unicode MS"/>
          <w:bCs/>
          <w:color w:val="000000"/>
          <w:sz w:val="20"/>
          <w:szCs w:val="20"/>
          <w:shd w:val="clear" w:color="auto" w:fill="FFFFFF"/>
        </w:rPr>
        <w:t xml:space="preserve"> председателя, заместителя председателя, аудитора контрольно-счетного органа в Куйбышевском муниципальном районе Новосибирской области</w:t>
      </w:r>
    </w:p>
    <w:p w14:paraId="2E311F3F" w14:textId="77777777" w:rsidR="00387142" w:rsidRPr="008B6A75" w:rsidRDefault="00387142" w:rsidP="00387142">
      <w:pPr>
        <w:widowControl w:val="0"/>
        <w:ind w:firstLine="724"/>
        <w:jc w:val="center"/>
        <w:rPr>
          <w:rFonts w:eastAsia="Arial Unicode MS"/>
          <w:i/>
          <w:iCs/>
          <w:color w:val="000000"/>
          <w:sz w:val="20"/>
          <w:szCs w:val="20"/>
          <w:shd w:val="clear" w:color="auto" w:fill="FFFFFF"/>
        </w:rPr>
      </w:pPr>
      <w:r w:rsidRPr="008B6A75">
        <w:rPr>
          <w:rFonts w:eastAsia="Arial Unicode MS"/>
          <w:i/>
          <w:iCs/>
          <w:color w:val="000000"/>
          <w:sz w:val="20"/>
          <w:szCs w:val="20"/>
          <w:shd w:val="clear" w:color="auto" w:fill="FFFFFF"/>
        </w:rPr>
        <w:t>__________________________________________________________,</w:t>
      </w:r>
    </w:p>
    <w:p w14:paraId="2D88893B" w14:textId="77777777" w:rsidR="00387142" w:rsidRPr="008B6A75" w:rsidRDefault="00387142" w:rsidP="00387142">
      <w:pPr>
        <w:widowControl w:val="0"/>
        <w:ind w:firstLine="724"/>
        <w:jc w:val="center"/>
        <w:rPr>
          <w:rFonts w:eastAsia="Arial Unicode MS"/>
          <w:i/>
          <w:iCs/>
          <w:color w:val="000000"/>
          <w:sz w:val="20"/>
          <w:szCs w:val="20"/>
          <w:shd w:val="clear" w:color="auto" w:fill="FFFFFF"/>
        </w:rPr>
      </w:pPr>
      <w:r w:rsidRPr="008B6A75">
        <w:rPr>
          <w:rFonts w:eastAsia="Arial Unicode MS"/>
          <w:i/>
          <w:iCs/>
          <w:color w:val="000000"/>
          <w:sz w:val="20"/>
          <w:szCs w:val="20"/>
          <w:shd w:val="clear" w:color="auto" w:fill="FFFFFF"/>
        </w:rPr>
        <w:t>(фамилия, имя, отчество)</w:t>
      </w:r>
    </w:p>
    <w:p w14:paraId="6A057200" w14:textId="77777777" w:rsidR="00387142" w:rsidRPr="008B6A75" w:rsidRDefault="00387142" w:rsidP="00387142">
      <w:pPr>
        <w:widowControl w:val="0"/>
        <w:ind w:firstLine="724"/>
        <w:jc w:val="center"/>
        <w:rPr>
          <w:rFonts w:eastAsia="Arial Unicode MS"/>
          <w:color w:val="000000"/>
          <w:sz w:val="20"/>
          <w:szCs w:val="20"/>
          <w:shd w:val="clear" w:color="auto" w:fill="FFFFFF"/>
        </w:rPr>
      </w:pPr>
      <w:r w:rsidRPr="008B6A75">
        <w:rPr>
          <w:rFonts w:eastAsia="Arial Unicode MS"/>
          <w:color w:val="000000"/>
          <w:sz w:val="20"/>
          <w:szCs w:val="20"/>
          <w:shd w:val="clear" w:color="auto" w:fill="FFFFFF"/>
        </w:rPr>
        <w:t>замещавшего должность</w:t>
      </w:r>
    </w:p>
    <w:p w14:paraId="6DF35478" w14:textId="77777777" w:rsidR="00387142" w:rsidRPr="008B6A75" w:rsidRDefault="00387142" w:rsidP="00387142">
      <w:pPr>
        <w:widowControl w:val="0"/>
        <w:ind w:firstLine="724"/>
        <w:jc w:val="center"/>
        <w:rPr>
          <w:rFonts w:eastAsia="Arial Unicode MS"/>
          <w:i/>
          <w:iCs/>
          <w:color w:val="000000"/>
          <w:sz w:val="20"/>
          <w:szCs w:val="20"/>
          <w:shd w:val="clear" w:color="auto" w:fill="FFFFFF"/>
        </w:rPr>
      </w:pPr>
      <w:r w:rsidRPr="008B6A75">
        <w:rPr>
          <w:rFonts w:eastAsia="Arial Unicode MS"/>
          <w:i/>
          <w:iCs/>
          <w:color w:val="000000"/>
          <w:sz w:val="20"/>
          <w:szCs w:val="20"/>
          <w:shd w:val="clear" w:color="auto" w:fill="FFFFFF"/>
        </w:rPr>
        <w:t>__________________________________________________________</w:t>
      </w:r>
    </w:p>
    <w:p w14:paraId="2AFC8412" w14:textId="77777777" w:rsidR="00387142" w:rsidRPr="008B6A75" w:rsidRDefault="00387142" w:rsidP="00387142">
      <w:pPr>
        <w:widowControl w:val="0"/>
        <w:ind w:firstLine="724"/>
        <w:jc w:val="center"/>
        <w:rPr>
          <w:rFonts w:eastAsia="Arial Unicode MS"/>
          <w:i/>
          <w:iCs/>
          <w:sz w:val="20"/>
          <w:szCs w:val="20"/>
        </w:rPr>
      </w:pPr>
      <w:r w:rsidRPr="008B6A75">
        <w:rPr>
          <w:rFonts w:eastAsia="Arial Unicode MS"/>
          <w:i/>
          <w:iCs/>
          <w:color w:val="000000"/>
          <w:sz w:val="20"/>
          <w:szCs w:val="20"/>
          <w:shd w:val="clear" w:color="auto" w:fill="FFFFFF"/>
        </w:rPr>
        <w:t>(наименование должности)</w:t>
      </w:r>
    </w:p>
    <w:p w14:paraId="34635F69" w14:textId="77777777" w:rsidR="00387142" w:rsidRPr="008B6A75" w:rsidRDefault="00387142" w:rsidP="00387142">
      <w:pPr>
        <w:widowControl w:val="0"/>
        <w:ind w:firstLine="724"/>
        <w:jc w:val="center"/>
        <w:rPr>
          <w:rFonts w:eastAsia="Arial Unicode MS"/>
          <w:i/>
          <w:iCs/>
          <w:sz w:val="20"/>
          <w:szCs w:val="20"/>
        </w:rPr>
      </w:pPr>
    </w:p>
    <w:p w14:paraId="635013D0" w14:textId="77777777" w:rsidR="00387142" w:rsidRPr="008B6A75" w:rsidRDefault="00387142" w:rsidP="00387142">
      <w:pPr>
        <w:widowControl w:val="0"/>
        <w:ind w:firstLine="724"/>
        <w:jc w:val="center"/>
        <w:rPr>
          <w:rFonts w:eastAsia="Arial Unicode MS"/>
          <w:i/>
          <w:iCs/>
          <w:sz w:val="20"/>
          <w:szCs w:val="20"/>
        </w:rPr>
      </w:pPr>
    </w:p>
    <w:tbl>
      <w:tblPr>
        <w:tblStyle w:val="18"/>
        <w:tblW w:w="0" w:type="auto"/>
        <w:tblLayout w:type="fixed"/>
        <w:tblLook w:val="01E0" w:firstRow="1" w:lastRow="1" w:firstColumn="1" w:lastColumn="1" w:noHBand="0" w:noVBand="0"/>
      </w:tblPr>
      <w:tblGrid>
        <w:gridCol w:w="642"/>
        <w:gridCol w:w="1629"/>
        <w:gridCol w:w="724"/>
        <w:gridCol w:w="1086"/>
        <w:gridCol w:w="1086"/>
        <w:gridCol w:w="2172"/>
        <w:gridCol w:w="905"/>
        <w:gridCol w:w="1222"/>
        <w:gridCol w:w="941"/>
      </w:tblGrid>
      <w:tr w:rsidR="00387142" w:rsidRPr="008B6A75" w14:paraId="55FE6262" w14:textId="77777777" w:rsidTr="00387142">
        <w:tc>
          <w:tcPr>
            <w:tcW w:w="642" w:type="dxa"/>
            <w:vMerge w:val="restart"/>
          </w:tcPr>
          <w:p w14:paraId="1214F625" w14:textId="77777777" w:rsidR="00387142" w:rsidRPr="008B6A75" w:rsidRDefault="00387142" w:rsidP="00387142">
            <w:pPr>
              <w:jc w:val="center"/>
              <w:rPr>
                <w:sz w:val="20"/>
                <w:szCs w:val="20"/>
              </w:rPr>
            </w:pPr>
            <w:r w:rsidRPr="008B6A75">
              <w:rPr>
                <w:sz w:val="20"/>
                <w:szCs w:val="20"/>
              </w:rPr>
              <w:t>№</w:t>
            </w:r>
          </w:p>
          <w:p w14:paraId="4933AC47" w14:textId="77777777" w:rsidR="00387142" w:rsidRPr="008B6A75" w:rsidRDefault="00387142" w:rsidP="00387142">
            <w:pPr>
              <w:jc w:val="center"/>
              <w:rPr>
                <w:sz w:val="20"/>
                <w:szCs w:val="20"/>
              </w:rPr>
            </w:pPr>
            <w:r w:rsidRPr="008B6A75">
              <w:rPr>
                <w:sz w:val="20"/>
                <w:szCs w:val="20"/>
              </w:rPr>
              <w:t>п/п</w:t>
            </w:r>
          </w:p>
        </w:tc>
        <w:tc>
          <w:tcPr>
            <w:tcW w:w="1629" w:type="dxa"/>
            <w:vMerge w:val="restart"/>
          </w:tcPr>
          <w:p w14:paraId="5E64FA88" w14:textId="77777777" w:rsidR="00387142" w:rsidRPr="008B6A75" w:rsidRDefault="00387142" w:rsidP="00387142">
            <w:pPr>
              <w:rPr>
                <w:sz w:val="20"/>
                <w:szCs w:val="20"/>
              </w:rPr>
            </w:pPr>
            <w:r w:rsidRPr="008B6A75">
              <w:rPr>
                <w:sz w:val="20"/>
                <w:szCs w:val="20"/>
              </w:rPr>
              <w:t>№ записи в трудовой книжке</w:t>
            </w:r>
          </w:p>
        </w:tc>
        <w:tc>
          <w:tcPr>
            <w:tcW w:w="2896" w:type="dxa"/>
            <w:gridSpan w:val="3"/>
          </w:tcPr>
          <w:p w14:paraId="62EC0BF8" w14:textId="77777777" w:rsidR="00387142" w:rsidRPr="008B6A75" w:rsidRDefault="00387142" w:rsidP="00387142">
            <w:pPr>
              <w:jc w:val="center"/>
              <w:rPr>
                <w:sz w:val="20"/>
                <w:szCs w:val="20"/>
              </w:rPr>
            </w:pPr>
            <w:r w:rsidRPr="008B6A75">
              <w:rPr>
                <w:sz w:val="20"/>
                <w:szCs w:val="20"/>
              </w:rPr>
              <w:t>Дата начала замещения должности и дата освобождения от должности</w:t>
            </w:r>
          </w:p>
        </w:tc>
        <w:tc>
          <w:tcPr>
            <w:tcW w:w="2172" w:type="dxa"/>
            <w:vMerge w:val="restart"/>
          </w:tcPr>
          <w:p w14:paraId="14941DC3" w14:textId="77777777" w:rsidR="00387142" w:rsidRPr="008B6A75" w:rsidRDefault="00387142" w:rsidP="00387142">
            <w:pPr>
              <w:jc w:val="center"/>
              <w:rPr>
                <w:sz w:val="20"/>
                <w:szCs w:val="20"/>
              </w:rPr>
            </w:pPr>
            <w:r w:rsidRPr="008B6A75">
              <w:rPr>
                <w:sz w:val="20"/>
                <w:szCs w:val="20"/>
              </w:rPr>
              <w:t>Наименование должности муниципального образования</w:t>
            </w:r>
          </w:p>
        </w:tc>
        <w:tc>
          <w:tcPr>
            <w:tcW w:w="3068" w:type="dxa"/>
            <w:gridSpan w:val="3"/>
          </w:tcPr>
          <w:p w14:paraId="11466E33" w14:textId="77777777" w:rsidR="00387142" w:rsidRPr="008B6A75" w:rsidRDefault="00387142" w:rsidP="00387142">
            <w:pPr>
              <w:rPr>
                <w:sz w:val="20"/>
                <w:szCs w:val="20"/>
              </w:rPr>
            </w:pPr>
            <w:r w:rsidRPr="008B6A75">
              <w:rPr>
                <w:sz w:val="20"/>
                <w:szCs w:val="20"/>
              </w:rPr>
              <w:t>Продолжительность замещения должности</w:t>
            </w:r>
          </w:p>
        </w:tc>
      </w:tr>
      <w:tr w:rsidR="00387142" w:rsidRPr="008B6A75" w14:paraId="376F1E1F" w14:textId="77777777" w:rsidTr="00387142">
        <w:tc>
          <w:tcPr>
            <w:tcW w:w="642" w:type="dxa"/>
            <w:vMerge/>
          </w:tcPr>
          <w:p w14:paraId="1B112ADC" w14:textId="77777777" w:rsidR="00387142" w:rsidRPr="008B6A75" w:rsidRDefault="00387142" w:rsidP="00387142">
            <w:pPr>
              <w:jc w:val="center"/>
              <w:rPr>
                <w:i/>
                <w:iCs/>
                <w:sz w:val="20"/>
                <w:szCs w:val="20"/>
              </w:rPr>
            </w:pPr>
          </w:p>
        </w:tc>
        <w:tc>
          <w:tcPr>
            <w:tcW w:w="1629" w:type="dxa"/>
            <w:vMerge/>
          </w:tcPr>
          <w:p w14:paraId="7CA60AEA" w14:textId="77777777" w:rsidR="00387142" w:rsidRPr="008B6A75" w:rsidRDefault="00387142" w:rsidP="00387142">
            <w:pPr>
              <w:jc w:val="center"/>
              <w:rPr>
                <w:i/>
                <w:iCs/>
                <w:sz w:val="20"/>
                <w:szCs w:val="20"/>
              </w:rPr>
            </w:pPr>
          </w:p>
        </w:tc>
        <w:tc>
          <w:tcPr>
            <w:tcW w:w="724" w:type="dxa"/>
          </w:tcPr>
          <w:p w14:paraId="08FDC0C7" w14:textId="77777777" w:rsidR="00387142" w:rsidRPr="008B6A75" w:rsidRDefault="00387142" w:rsidP="00387142">
            <w:pPr>
              <w:jc w:val="center"/>
              <w:rPr>
                <w:sz w:val="20"/>
                <w:szCs w:val="20"/>
              </w:rPr>
            </w:pPr>
            <w:r w:rsidRPr="008B6A75">
              <w:rPr>
                <w:sz w:val="20"/>
                <w:szCs w:val="20"/>
              </w:rPr>
              <w:t>год</w:t>
            </w:r>
          </w:p>
        </w:tc>
        <w:tc>
          <w:tcPr>
            <w:tcW w:w="1086" w:type="dxa"/>
          </w:tcPr>
          <w:p w14:paraId="09D938E2" w14:textId="77777777" w:rsidR="00387142" w:rsidRPr="008B6A75" w:rsidRDefault="00387142" w:rsidP="00387142">
            <w:pPr>
              <w:jc w:val="center"/>
              <w:rPr>
                <w:sz w:val="20"/>
                <w:szCs w:val="20"/>
              </w:rPr>
            </w:pPr>
            <w:r w:rsidRPr="008B6A75">
              <w:rPr>
                <w:sz w:val="20"/>
                <w:szCs w:val="20"/>
              </w:rPr>
              <w:t>месяц</w:t>
            </w:r>
          </w:p>
        </w:tc>
        <w:tc>
          <w:tcPr>
            <w:tcW w:w="1086" w:type="dxa"/>
          </w:tcPr>
          <w:p w14:paraId="6D67FE7B" w14:textId="77777777" w:rsidR="00387142" w:rsidRPr="008B6A75" w:rsidRDefault="00387142" w:rsidP="00387142">
            <w:pPr>
              <w:jc w:val="center"/>
              <w:rPr>
                <w:sz w:val="20"/>
                <w:szCs w:val="20"/>
              </w:rPr>
            </w:pPr>
            <w:r w:rsidRPr="008B6A75">
              <w:rPr>
                <w:sz w:val="20"/>
                <w:szCs w:val="20"/>
              </w:rPr>
              <w:t>число</w:t>
            </w:r>
          </w:p>
        </w:tc>
        <w:tc>
          <w:tcPr>
            <w:tcW w:w="2172" w:type="dxa"/>
            <w:vMerge/>
          </w:tcPr>
          <w:p w14:paraId="499AA05B" w14:textId="77777777" w:rsidR="00387142" w:rsidRPr="008B6A75" w:rsidRDefault="00387142" w:rsidP="00387142">
            <w:pPr>
              <w:jc w:val="center"/>
              <w:rPr>
                <w:i/>
                <w:iCs/>
                <w:sz w:val="20"/>
                <w:szCs w:val="20"/>
              </w:rPr>
            </w:pPr>
          </w:p>
        </w:tc>
        <w:tc>
          <w:tcPr>
            <w:tcW w:w="905" w:type="dxa"/>
          </w:tcPr>
          <w:p w14:paraId="4C069DA6" w14:textId="77777777" w:rsidR="00387142" w:rsidRPr="008B6A75" w:rsidRDefault="00387142" w:rsidP="00387142">
            <w:pPr>
              <w:jc w:val="center"/>
              <w:rPr>
                <w:sz w:val="20"/>
                <w:szCs w:val="20"/>
              </w:rPr>
            </w:pPr>
            <w:r w:rsidRPr="008B6A75">
              <w:rPr>
                <w:sz w:val="20"/>
                <w:szCs w:val="20"/>
              </w:rPr>
              <w:t>лет</w:t>
            </w:r>
          </w:p>
        </w:tc>
        <w:tc>
          <w:tcPr>
            <w:tcW w:w="1222" w:type="dxa"/>
          </w:tcPr>
          <w:p w14:paraId="34DAB3EF" w14:textId="77777777" w:rsidR="00387142" w:rsidRPr="008B6A75" w:rsidRDefault="00387142" w:rsidP="00387142">
            <w:pPr>
              <w:jc w:val="center"/>
              <w:rPr>
                <w:sz w:val="20"/>
                <w:szCs w:val="20"/>
              </w:rPr>
            </w:pPr>
            <w:r w:rsidRPr="008B6A75">
              <w:rPr>
                <w:sz w:val="20"/>
                <w:szCs w:val="20"/>
              </w:rPr>
              <w:t>месяцев</w:t>
            </w:r>
          </w:p>
        </w:tc>
        <w:tc>
          <w:tcPr>
            <w:tcW w:w="941" w:type="dxa"/>
          </w:tcPr>
          <w:p w14:paraId="4535AE5E" w14:textId="77777777" w:rsidR="00387142" w:rsidRPr="008B6A75" w:rsidRDefault="00387142" w:rsidP="00387142">
            <w:pPr>
              <w:jc w:val="center"/>
              <w:rPr>
                <w:sz w:val="20"/>
                <w:szCs w:val="20"/>
              </w:rPr>
            </w:pPr>
            <w:r w:rsidRPr="008B6A75">
              <w:rPr>
                <w:sz w:val="20"/>
                <w:szCs w:val="20"/>
              </w:rPr>
              <w:t>дней</w:t>
            </w:r>
          </w:p>
        </w:tc>
      </w:tr>
      <w:tr w:rsidR="00387142" w:rsidRPr="008B6A75" w14:paraId="6A89250F" w14:textId="77777777" w:rsidTr="00387142">
        <w:tc>
          <w:tcPr>
            <w:tcW w:w="642" w:type="dxa"/>
          </w:tcPr>
          <w:p w14:paraId="3CE35A29" w14:textId="77777777" w:rsidR="00387142" w:rsidRPr="008B6A75" w:rsidRDefault="00387142" w:rsidP="00387142">
            <w:pPr>
              <w:jc w:val="center"/>
              <w:rPr>
                <w:sz w:val="20"/>
                <w:szCs w:val="20"/>
              </w:rPr>
            </w:pPr>
            <w:r w:rsidRPr="008B6A75">
              <w:rPr>
                <w:sz w:val="20"/>
                <w:szCs w:val="20"/>
              </w:rPr>
              <w:t>1</w:t>
            </w:r>
          </w:p>
        </w:tc>
        <w:tc>
          <w:tcPr>
            <w:tcW w:w="1629" w:type="dxa"/>
          </w:tcPr>
          <w:p w14:paraId="7906BAFF" w14:textId="77777777" w:rsidR="00387142" w:rsidRPr="008B6A75" w:rsidRDefault="00387142" w:rsidP="00387142">
            <w:pPr>
              <w:jc w:val="center"/>
              <w:rPr>
                <w:sz w:val="20"/>
                <w:szCs w:val="20"/>
              </w:rPr>
            </w:pPr>
            <w:r w:rsidRPr="008B6A75">
              <w:rPr>
                <w:sz w:val="20"/>
                <w:szCs w:val="20"/>
              </w:rPr>
              <w:t>2</w:t>
            </w:r>
          </w:p>
        </w:tc>
        <w:tc>
          <w:tcPr>
            <w:tcW w:w="724" w:type="dxa"/>
          </w:tcPr>
          <w:p w14:paraId="1240BC41" w14:textId="77777777" w:rsidR="00387142" w:rsidRPr="008B6A75" w:rsidRDefault="00387142" w:rsidP="00387142">
            <w:pPr>
              <w:jc w:val="center"/>
              <w:rPr>
                <w:sz w:val="20"/>
                <w:szCs w:val="20"/>
              </w:rPr>
            </w:pPr>
            <w:r w:rsidRPr="008B6A75">
              <w:rPr>
                <w:sz w:val="20"/>
                <w:szCs w:val="20"/>
              </w:rPr>
              <w:t>3</w:t>
            </w:r>
          </w:p>
        </w:tc>
        <w:tc>
          <w:tcPr>
            <w:tcW w:w="1086" w:type="dxa"/>
          </w:tcPr>
          <w:p w14:paraId="5882C794" w14:textId="77777777" w:rsidR="00387142" w:rsidRPr="008B6A75" w:rsidRDefault="00387142" w:rsidP="00387142">
            <w:pPr>
              <w:jc w:val="center"/>
              <w:rPr>
                <w:sz w:val="20"/>
                <w:szCs w:val="20"/>
              </w:rPr>
            </w:pPr>
            <w:r w:rsidRPr="008B6A75">
              <w:rPr>
                <w:sz w:val="20"/>
                <w:szCs w:val="20"/>
              </w:rPr>
              <w:t>4</w:t>
            </w:r>
          </w:p>
        </w:tc>
        <w:tc>
          <w:tcPr>
            <w:tcW w:w="1086" w:type="dxa"/>
          </w:tcPr>
          <w:p w14:paraId="2C2F5AEC" w14:textId="77777777" w:rsidR="00387142" w:rsidRPr="008B6A75" w:rsidRDefault="00387142" w:rsidP="00387142">
            <w:pPr>
              <w:jc w:val="center"/>
              <w:rPr>
                <w:sz w:val="20"/>
                <w:szCs w:val="20"/>
              </w:rPr>
            </w:pPr>
            <w:r w:rsidRPr="008B6A75">
              <w:rPr>
                <w:sz w:val="20"/>
                <w:szCs w:val="20"/>
              </w:rPr>
              <w:t>5</w:t>
            </w:r>
          </w:p>
        </w:tc>
        <w:tc>
          <w:tcPr>
            <w:tcW w:w="2172" w:type="dxa"/>
          </w:tcPr>
          <w:p w14:paraId="2FBFE7A0" w14:textId="77777777" w:rsidR="00387142" w:rsidRPr="008B6A75" w:rsidRDefault="00387142" w:rsidP="00387142">
            <w:pPr>
              <w:jc w:val="center"/>
              <w:rPr>
                <w:sz w:val="20"/>
                <w:szCs w:val="20"/>
              </w:rPr>
            </w:pPr>
            <w:r w:rsidRPr="008B6A75">
              <w:rPr>
                <w:sz w:val="20"/>
                <w:szCs w:val="20"/>
              </w:rPr>
              <w:t>6</w:t>
            </w:r>
          </w:p>
        </w:tc>
        <w:tc>
          <w:tcPr>
            <w:tcW w:w="905" w:type="dxa"/>
          </w:tcPr>
          <w:p w14:paraId="7025C16F" w14:textId="77777777" w:rsidR="00387142" w:rsidRPr="008B6A75" w:rsidRDefault="00387142" w:rsidP="00387142">
            <w:pPr>
              <w:jc w:val="center"/>
              <w:rPr>
                <w:sz w:val="20"/>
                <w:szCs w:val="20"/>
              </w:rPr>
            </w:pPr>
            <w:r w:rsidRPr="008B6A75">
              <w:rPr>
                <w:sz w:val="20"/>
                <w:szCs w:val="20"/>
              </w:rPr>
              <w:t>7</w:t>
            </w:r>
          </w:p>
        </w:tc>
        <w:tc>
          <w:tcPr>
            <w:tcW w:w="1222" w:type="dxa"/>
          </w:tcPr>
          <w:p w14:paraId="737AB722" w14:textId="77777777" w:rsidR="00387142" w:rsidRPr="008B6A75" w:rsidRDefault="00387142" w:rsidP="00387142">
            <w:pPr>
              <w:jc w:val="center"/>
              <w:rPr>
                <w:sz w:val="20"/>
                <w:szCs w:val="20"/>
              </w:rPr>
            </w:pPr>
            <w:r w:rsidRPr="008B6A75">
              <w:rPr>
                <w:sz w:val="20"/>
                <w:szCs w:val="20"/>
              </w:rPr>
              <w:t>8</w:t>
            </w:r>
          </w:p>
        </w:tc>
        <w:tc>
          <w:tcPr>
            <w:tcW w:w="941" w:type="dxa"/>
          </w:tcPr>
          <w:p w14:paraId="45D07E46" w14:textId="77777777" w:rsidR="00387142" w:rsidRPr="008B6A75" w:rsidRDefault="00387142" w:rsidP="00387142">
            <w:pPr>
              <w:jc w:val="center"/>
              <w:rPr>
                <w:sz w:val="20"/>
                <w:szCs w:val="20"/>
              </w:rPr>
            </w:pPr>
            <w:r w:rsidRPr="008B6A75">
              <w:rPr>
                <w:sz w:val="20"/>
                <w:szCs w:val="20"/>
              </w:rPr>
              <w:t>9</w:t>
            </w:r>
          </w:p>
        </w:tc>
      </w:tr>
      <w:tr w:rsidR="00387142" w:rsidRPr="008B6A75" w14:paraId="14EDF036" w14:textId="77777777" w:rsidTr="00387142">
        <w:tc>
          <w:tcPr>
            <w:tcW w:w="642" w:type="dxa"/>
          </w:tcPr>
          <w:p w14:paraId="2A5FA44A" w14:textId="77777777" w:rsidR="00387142" w:rsidRPr="008B6A75" w:rsidRDefault="00387142" w:rsidP="00387142">
            <w:pPr>
              <w:jc w:val="center"/>
              <w:rPr>
                <w:i/>
                <w:iCs/>
                <w:sz w:val="20"/>
                <w:szCs w:val="20"/>
              </w:rPr>
            </w:pPr>
          </w:p>
        </w:tc>
        <w:tc>
          <w:tcPr>
            <w:tcW w:w="1629" w:type="dxa"/>
          </w:tcPr>
          <w:p w14:paraId="322E7DAE" w14:textId="77777777" w:rsidR="00387142" w:rsidRPr="008B6A75" w:rsidRDefault="00387142" w:rsidP="00387142">
            <w:pPr>
              <w:jc w:val="center"/>
              <w:rPr>
                <w:i/>
                <w:iCs/>
                <w:sz w:val="20"/>
                <w:szCs w:val="20"/>
              </w:rPr>
            </w:pPr>
          </w:p>
        </w:tc>
        <w:tc>
          <w:tcPr>
            <w:tcW w:w="724" w:type="dxa"/>
          </w:tcPr>
          <w:p w14:paraId="3C984B09" w14:textId="77777777" w:rsidR="00387142" w:rsidRPr="008B6A75" w:rsidRDefault="00387142" w:rsidP="00387142">
            <w:pPr>
              <w:jc w:val="center"/>
              <w:rPr>
                <w:i/>
                <w:iCs/>
                <w:sz w:val="20"/>
                <w:szCs w:val="20"/>
              </w:rPr>
            </w:pPr>
          </w:p>
        </w:tc>
        <w:tc>
          <w:tcPr>
            <w:tcW w:w="1086" w:type="dxa"/>
          </w:tcPr>
          <w:p w14:paraId="39837568" w14:textId="77777777" w:rsidR="00387142" w:rsidRPr="008B6A75" w:rsidRDefault="00387142" w:rsidP="00387142">
            <w:pPr>
              <w:jc w:val="center"/>
              <w:rPr>
                <w:i/>
                <w:iCs/>
                <w:sz w:val="20"/>
                <w:szCs w:val="20"/>
              </w:rPr>
            </w:pPr>
          </w:p>
        </w:tc>
        <w:tc>
          <w:tcPr>
            <w:tcW w:w="1086" w:type="dxa"/>
          </w:tcPr>
          <w:p w14:paraId="033BE828" w14:textId="77777777" w:rsidR="00387142" w:rsidRPr="008B6A75" w:rsidRDefault="00387142" w:rsidP="00387142">
            <w:pPr>
              <w:jc w:val="center"/>
              <w:rPr>
                <w:i/>
                <w:iCs/>
                <w:sz w:val="20"/>
                <w:szCs w:val="20"/>
              </w:rPr>
            </w:pPr>
          </w:p>
        </w:tc>
        <w:tc>
          <w:tcPr>
            <w:tcW w:w="2172" w:type="dxa"/>
          </w:tcPr>
          <w:p w14:paraId="2C46040D" w14:textId="77777777" w:rsidR="00387142" w:rsidRPr="008B6A75" w:rsidRDefault="00387142" w:rsidP="00387142">
            <w:pPr>
              <w:jc w:val="center"/>
              <w:rPr>
                <w:i/>
                <w:iCs/>
                <w:sz w:val="20"/>
                <w:szCs w:val="20"/>
              </w:rPr>
            </w:pPr>
          </w:p>
        </w:tc>
        <w:tc>
          <w:tcPr>
            <w:tcW w:w="905" w:type="dxa"/>
          </w:tcPr>
          <w:p w14:paraId="15161F13" w14:textId="77777777" w:rsidR="00387142" w:rsidRPr="008B6A75" w:rsidRDefault="00387142" w:rsidP="00387142">
            <w:pPr>
              <w:jc w:val="center"/>
              <w:rPr>
                <w:i/>
                <w:iCs/>
                <w:sz w:val="20"/>
                <w:szCs w:val="20"/>
              </w:rPr>
            </w:pPr>
          </w:p>
        </w:tc>
        <w:tc>
          <w:tcPr>
            <w:tcW w:w="1222" w:type="dxa"/>
          </w:tcPr>
          <w:p w14:paraId="0CB2D6CD" w14:textId="77777777" w:rsidR="00387142" w:rsidRPr="008B6A75" w:rsidRDefault="00387142" w:rsidP="00387142">
            <w:pPr>
              <w:jc w:val="center"/>
              <w:rPr>
                <w:i/>
                <w:iCs/>
                <w:sz w:val="20"/>
                <w:szCs w:val="20"/>
              </w:rPr>
            </w:pPr>
          </w:p>
        </w:tc>
        <w:tc>
          <w:tcPr>
            <w:tcW w:w="941" w:type="dxa"/>
          </w:tcPr>
          <w:p w14:paraId="43E7211B" w14:textId="77777777" w:rsidR="00387142" w:rsidRPr="008B6A75" w:rsidRDefault="00387142" w:rsidP="00387142">
            <w:pPr>
              <w:jc w:val="center"/>
              <w:rPr>
                <w:i/>
                <w:iCs/>
                <w:sz w:val="20"/>
                <w:szCs w:val="20"/>
              </w:rPr>
            </w:pPr>
          </w:p>
        </w:tc>
      </w:tr>
      <w:tr w:rsidR="00387142" w:rsidRPr="008B6A75" w14:paraId="3436C11C" w14:textId="77777777" w:rsidTr="00387142">
        <w:tc>
          <w:tcPr>
            <w:tcW w:w="642" w:type="dxa"/>
          </w:tcPr>
          <w:p w14:paraId="07251493" w14:textId="77777777" w:rsidR="00387142" w:rsidRPr="008B6A75" w:rsidRDefault="00387142" w:rsidP="00387142">
            <w:pPr>
              <w:jc w:val="center"/>
              <w:rPr>
                <w:i/>
                <w:iCs/>
                <w:sz w:val="20"/>
                <w:szCs w:val="20"/>
              </w:rPr>
            </w:pPr>
          </w:p>
        </w:tc>
        <w:tc>
          <w:tcPr>
            <w:tcW w:w="1629" w:type="dxa"/>
          </w:tcPr>
          <w:p w14:paraId="3492ED6C" w14:textId="77777777" w:rsidR="00387142" w:rsidRPr="008B6A75" w:rsidRDefault="00387142" w:rsidP="00387142">
            <w:pPr>
              <w:jc w:val="center"/>
              <w:rPr>
                <w:i/>
                <w:iCs/>
                <w:sz w:val="20"/>
                <w:szCs w:val="20"/>
              </w:rPr>
            </w:pPr>
          </w:p>
        </w:tc>
        <w:tc>
          <w:tcPr>
            <w:tcW w:w="724" w:type="dxa"/>
          </w:tcPr>
          <w:p w14:paraId="03AB0D8C" w14:textId="77777777" w:rsidR="00387142" w:rsidRPr="008B6A75" w:rsidRDefault="00387142" w:rsidP="00387142">
            <w:pPr>
              <w:jc w:val="center"/>
              <w:rPr>
                <w:i/>
                <w:iCs/>
                <w:sz w:val="20"/>
                <w:szCs w:val="20"/>
              </w:rPr>
            </w:pPr>
          </w:p>
        </w:tc>
        <w:tc>
          <w:tcPr>
            <w:tcW w:w="1086" w:type="dxa"/>
          </w:tcPr>
          <w:p w14:paraId="54336802" w14:textId="77777777" w:rsidR="00387142" w:rsidRPr="008B6A75" w:rsidRDefault="00387142" w:rsidP="00387142">
            <w:pPr>
              <w:jc w:val="center"/>
              <w:rPr>
                <w:i/>
                <w:iCs/>
                <w:sz w:val="20"/>
                <w:szCs w:val="20"/>
              </w:rPr>
            </w:pPr>
          </w:p>
        </w:tc>
        <w:tc>
          <w:tcPr>
            <w:tcW w:w="1086" w:type="dxa"/>
          </w:tcPr>
          <w:p w14:paraId="5329FEC0" w14:textId="77777777" w:rsidR="00387142" w:rsidRPr="008B6A75" w:rsidRDefault="00387142" w:rsidP="00387142">
            <w:pPr>
              <w:jc w:val="center"/>
              <w:rPr>
                <w:i/>
                <w:iCs/>
                <w:sz w:val="20"/>
                <w:szCs w:val="20"/>
              </w:rPr>
            </w:pPr>
          </w:p>
        </w:tc>
        <w:tc>
          <w:tcPr>
            <w:tcW w:w="2172" w:type="dxa"/>
          </w:tcPr>
          <w:p w14:paraId="0D1EE66B" w14:textId="77777777" w:rsidR="00387142" w:rsidRPr="008B6A75" w:rsidRDefault="00387142" w:rsidP="00387142">
            <w:pPr>
              <w:jc w:val="center"/>
              <w:rPr>
                <w:i/>
                <w:iCs/>
                <w:sz w:val="20"/>
                <w:szCs w:val="20"/>
              </w:rPr>
            </w:pPr>
          </w:p>
        </w:tc>
        <w:tc>
          <w:tcPr>
            <w:tcW w:w="905" w:type="dxa"/>
          </w:tcPr>
          <w:p w14:paraId="757A421A" w14:textId="77777777" w:rsidR="00387142" w:rsidRPr="008B6A75" w:rsidRDefault="00387142" w:rsidP="00387142">
            <w:pPr>
              <w:jc w:val="center"/>
              <w:rPr>
                <w:i/>
                <w:iCs/>
                <w:sz w:val="20"/>
                <w:szCs w:val="20"/>
              </w:rPr>
            </w:pPr>
          </w:p>
        </w:tc>
        <w:tc>
          <w:tcPr>
            <w:tcW w:w="1222" w:type="dxa"/>
          </w:tcPr>
          <w:p w14:paraId="6E46D83A" w14:textId="77777777" w:rsidR="00387142" w:rsidRPr="008B6A75" w:rsidRDefault="00387142" w:rsidP="00387142">
            <w:pPr>
              <w:jc w:val="center"/>
              <w:rPr>
                <w:i/>
                <w:iCs/>
                <w:sz w:val="20"/>
                <w:szCs w:val="20"/>
              </w:rPr>
            </w:pPr>
          </w:p>
        </w:tc>
        <w:tc>
          <w:tcPr>
            <w:tcW w:w="941" w:type="dxa"/>
          </w:tcPr>
          <w:p w14:paraId="2EE221C8" w14:textId="77777777" w:rsidR="00387142" w:rsidRPr="008B6A75" w:rsidRDefault="00387142" w:rsidP="00387142">
            <w:pPr>
              <w:jc w:val="center"/>
              <w:rPr>
                <w:i/>
                <w:iCs/>
                <w:sz w:val="20"/>
                <w:szCs w:val="20"/>
              </w:rPr>
            </w:pPr>
          </w:p>
        </w:tc>
      </w:tr>
      <w:tr w:rsidR="00387142" w:rsidRPr="008B6A75" w14:paraId="62CD9A94" w14:textId="77777777" w:rsidTr="00387142">
        <w:tc>
          <w:tcPr>
            <w:tcW w:w="642" w:type="dxa"/>
          </w:tcPr>
          <w:p w14:paraId="339B25A4" w14:textId="77777777" w:rsidR="00387142" w:rsidRPr="008B6A75" w:rsidRDefault="00387142" w:rsidP="00387142">
            <w:pPr>
              <w:jc w:val="center"/>
              <w:rPr>
                <w:i/>
                <w:iCs/>
                <w:sz w:val="20"/>
                <w:szCs w:val="20"/>
              </w:rPr>
            </w:pPr>
          </w:p>
        </w:tc>
        <w:tc>
          <w:tcPr>
            <w:tcW w:w="1629" w:type="dxa"/>
          </w:tcPr>
          <w:p w14:paraId="61FFCF94" w14:textId="77777777" w:rsidR="00387142" w:rsidRPr="008B6A75" w:rsidRDefault="00387142" w:rsidP="00387142">
            <w:pPr>
              <w:jc w:val="center"/>
              <w:rPr>
                <w:i/>
                <w:iCs/>
                <w:sz w:val="20"/>
                <w:szCs w:val="20"/>
              </w:rPr>
            </w:pPr>
          </w:p>
        </w:tc>
        <w:tc>
          <w:tcPr>
            <w:tcW w:w="724" w:type="dxa"/>
          </w:tcPr>
          <w:p w14:paraId="2DCB5A27" w14:textId="77777777" w:rsidR="00387142" w:rsidRPr="008B6A75" w:rsidRDefault="00387142" w:rsidP="00387142">
            <w:pPr>
              <w:jc w:val="center"/>
              <w:rPr>
                <w:i/>
                <w:iCs/>
                <w:sz w:val="20"/>
                <w:szCs w:val="20"/>
              </w:rPr>
            </w:pPr>
          </w:p>
        </w:tc>
        <w:tc>
          <w:tcPr>
            <w:tcW w:w="1086" w:type="dxa"/>
          </w:tcPr>
          <w:p w14:paraId="6D4E4788" w14:textId="77777777" w:rsidR="00387142" w:rsidRPr="008B6A75" w:rsidRDefault="00387142" w:rsidP="00387142">
            <w:pPr>
              <w:jc w:val="center"/>
              <w:rPr>
                <w:i/>
                <w:iCs/>
                <w:sz w:val="20"/>
                <w:szCs w:val="20"/>
              </w:rPr>
            </w:pPr>
          </w:p>
        </w:tc>
        <w:tc>
          <w:tcPr>
            <w:tcW w:w="1086" w:type="dxa"/>
          </w:tcPr>
          <w:p w14:paraId="6F1B238A" w14:textId="77777777" w:rsidR="00387142" w:rsidRPr="008B6A75" w:rsidRDefault="00387142" w:rsidP="00387142">
            <w:pPr>
              <w:jc w:val="center"/>
              <w:rPr>
                <w:i/>
                <w:iCs/>
                <w:sz w:val="20"/>
                <w:szCs w:val="20"/>
              </w:rPr>
            </w:pPr>
          </w:p>
        </w:tc>
        <w:tc>
          <w:tcPr>
            <w:tcW w:w="2172" w:type="dxa"/>
          </w:tcPr>
          <w:p w14:paraId="7F2F5E23" w14:textId="77777777" w:rsidR="00387142" w:rsidRPr="008B6A75" w:rsidRDefault="00387142" w:rsidP="00387142">
            <w:pPr>
              <w:jc w:val="center"/>
              <w:rPr>
                <w:i/>
                <w:iCs/>
                <w:sz w:val="20"/>
                <w:szCs w:val="20"/>
              </w:rPr>
            </w:pPr>
          </w:p>
        </w:tc>
        <w:tc>
          <w:tcPr>
            <w:tcW w:w="905" w:type="dxa"/>
          </w:tcPr>
          <w:p w14:paraId="573B7267" w14:textId="77777777" w:rsidR="00387142" w:rsidRPr="008B6A75" w:rsidRDefault="00387142" w:rsidP="00387142">
            <w:pPr>
              <w:jc w:val="center"/>
              <w:rPr>
                <w:i/>
                <w:iCs/>
                <w:sz w:val="20"/>
                <w:szCs w:val="20"/>
              </w:rPr>
            </w:pPr>
          </w:p>
        </w:tc>
        <w:tc>
          <w:tcPr>
            <w:tcW w:w="1222" w:type="dxa"/>
          </w:tcPr>
          <w:p w14:paraId="1EA0C5D7" w14:textId="77777777" w:rsidR="00387142" w:rsidRPr="008B6A75" w:rsidRDefault="00387142" w:rsidP="00387142">
            <w:pPr>
              <w:jc w:val="center"/>
              <w:rPr>
                <w:i/>
                <w:iCs/>
                <w:sz w:val="20"/>
                <w:szCs w:val="20"/>
              </w:rPr>
            </w:pPr>
          </w:p>
        </w:tc>
        <w:tc>
          <w:tcPr>
            <w:tcW w:w="941" w:type="dxa"/>
          </w:tcPr>
          <w:p w14:paraId="18D29C94" w14:textId="77777777" w:rsidR="00387142" w:rsidRPr="008B6A75" w:rsidRDefault="00387142" w:rsidP="00387142">
            <w:pPr>
              <w:jc w:val="center"/>
              <w:rPr>
                <w:i/>
                <w:iCs/>
                <w:sz w:val="20"/>
                <w:szCs w:val="20"/>
              </w:rPr>
            </w:pPr>
          </w:p>
        </w:tc>
      </w:tr>
    </w:tbl>
    <w:p w14:paraId="04AFFE2E" w14:textId="77777777" w:rsidR="00387142" w:rsidRPr="008B6A75" w:rsidRDefault="00387142" w:rsidP="00387142">
      <w:pPr>
        <w:widowControl w:val="0"/>
        <w:ind w:firstLine="724"/>
        <w:jc w:val="center"/>
        <w:rPr>
          <w:rFonts w:eastAsia="Arial Unicode MS"/>
          <w:i/>
          <w:iCs/>
          <w:sz w:val="20"/>
          <w:szCs w:val="20"/>
        </w:rPr>
      </w:pPr>
    </w:p>
    <w:p w14:paraId="6EB6D917" w14:textId="77777777" w:rsidR="00387142" w:rsidRPr="008B6A75" w:rsidRDefault="00387142" w:rsidP="00387142">
      <w:pPr>
        <w:widowControl w:val="0"/>
        <w:ind w:firstLine="724"/>
        <w:rPr>
          <w:rFonts w:eastAsia="Arial Unicode MS"/>
          <w:sz w:val="20"/>
          <w:szCs w:val="20"/>
        </w:rPr>
      </w:pPr>
    </w:p>
    <w:p w14:paraId="77B331E7" w14:textId="77777777" w:rsidR="00387142" w:rsidRPr="008B6A75" w:rsidRDefault="00387142" w:rsidP="00387142">
      <w:pPr>
        <w:widowControl w:val="0"/>
        <w:ind w:firstLine="724"/>
        <w:rPr>
          <w:rFonts w:eastAsia="Arial Unicode MS"/>
          <w:sz w:val="20"/>
          <w:szCs w:val="20"/>
        </w:rPr>
      </w:pPr>
      <w:r w:rsidRPr="008B6A75">
        <w:rPr>
          <w:rFonts w:eastAsia="Arial Unicode MS"/>
          <w:sz w:val="20"/>
          <w:szCs w:val="20"/>
        </w:rPr>
        <w:t>Руководитель органа</w:t>
      </w:r>
    </w:p>
    <w:p w14:paraId="308E5026" w14:textId="77777777" w:rsidR="00387142" w:rsidRPr="008B6A75" w:rsidRDefault="00387142" w:rsidP="00387142">
      <w:pPr>
        <w:widowControl w:val="0"/>
        <w:ind w:firstLine="724"/>
        <w:rPr>
          <w:rFonts w:eastAsia="Arial Unicode MS"/>
          <w:sz w:val="20"/>
          <w:szCs w:val="20"/>
        </w:rPr>
      </w:pPr>
      <w:r w:rsidRPr="008B6A75">
        <w:rPr>
          <w:rFonts w:eastAsia="Arial Unicode MS"/>
          <w:sz w:val="20"/>
          <w:szCs w:val="20"/>
        </w:rPr>
        <w:t xml:space="preserve">местного самоуправления </w:t>
      </w:r>
      <w:r w:rsidRPr="008B6A75">
        <w:rPr>
          <w:rFonts w:eastAsia="Arial Unicode MS"/>
          <w:sz w:val="20"/>
          <w:szCs w:val="20"/>
        </w:rPr>
        <w:tab/>
      </w:r>
      <w:r w:rsidRPr="008B6A75">
        <w:rPr>
          <w:rFonts w:eastAsia="Arial Unicode MS"/>
          <w:sz w:val="20"/>
          <w:szCs w:val="20"/>
        </w:rPr>
        <w:tab/>
      </w:r>
      <w:r w:rsidRPr="008B6A75">
        <w:rPr>
          <w:rFonts w:eastAsia="Arial Unicode MS"/>
          <w:sz w:val="20"/>
          <w:szCs w:val="20"/>
        </w:rPr>
        <w:tab/>
        <w:t>______________________________</w:t>
      </w:r>
    </w:p>
    <w:p w14:paraId="5EA58490" w14:textId="77777777" w:rsidR="00387142" w:rsidRPr="008B6A75" w:rsidRDefault="00387142" w:rsidP="00387142">
      <w:pPr>
        <w:widowControl w:val="0"/>
        <w:ind w:firstLine="724"/>
        <w:rPr>
          <w:rFonts w:eastAsia="Arial Unicode MS"/>
          <w:i/>
          <w:iCs/>
          <w:sz w:val="20"/>
          <w:szCs w:val="20"/>
        </w:rPr>
      </w:pPr>
      <w:r w:rsidRPr="008B6A75">
        <w:rPr>
          <w:rFonts w:eastAsia="Arial Unicode MS"/>
          <w:i/>
          <w:iCs/>
          <w:sz w:val="20"/>
          <w:szCs w:val="20"/>
        </w:rPr>
        <w:tab/>
      </w:r>
      <w:r w:rsidRPr="008B6A75">
        <w:rPr>
          <w:rFonts w:eastAsia="Arial Unicode MS"/>
          <w:i/>
          <w:iCs/>
          <w:sz w:val="20"/>
          <w:szCs w:val="20"/>
        </w:rPr>
        <w:tab/>
      </w:r>
      <w:r w:rsidRPr="008B6A75">
        <w:rPr>
          <w:rFonts w:eastAsia="Arial Unicode MS"/>
          <w:i/>
          <w:iCs/>
          <w:sz w:val="20"/>
          <w:szCs w:val="20"/>
        </w:rPr>
        <w:tab/>
      </w:r>
      <w:r w:rsidRPr="008B6A75">
        <w:rPr>
          <w:rFonts w:eastAsia="Arial Unicode MS"/>
          <w:i/>
          <w:iCs/>
          <w:sz w:val="20"/>
          <w:szCs w:val="20"/>
        </w:rPr>
        <w:tab/>
      </w:r>
      <w:r w:rsidRPr="008B6A75">
        <w:rPr>
          <w:rFonts w:eastAsia="Arial Unicode MS"/>
          <w:i/>
          <w:iCs/>
          <w:sz w:val="20"/>
          <w:szCs w:val="20"/>
        </w:rPr>
        <w:tab/>
      </w:r>
      <w:r w:rsidRPr="008B6A75">
        <w:rPr>
          <w:rFonts w:eastAsia="Arial Unicode MS"/>
          <w:i/>
          <w:iCs/>
          <w:sz w:val="20"/>
          <w:szCs w:val="20"/>
        </w:rPr>
        <w:tab/>
      </w:r>
      <w:r w:rsidRPr="008B6A75">
        <w:rPr>
          <w:rFonts w:eastAsia="Arial Unicode MS"/>
          <w:i/>
          <w:iCs/>
          <w:sz w:val="20"/>
          <w:szCs w:val="20"/>
        </w:rPr>
        <w:tab/>
      </w:r>
      <w:r w:rsidRPr="008B6A75">
        <w:rPr>
          <w:rFonts w:eastAsia="Arial Unicode MS"/>
          <w:i/>
          <w:iCs/>
          <w:sz w:val="20"/>
          <w:szCs w:val="20"/>
        </w:rPr>
        <w:tab/>
        <w:t>(подпись, инициалы, фамилия)</w:t>
      </w:r>
    </w:p>
    <w:p w14:paraId="0EDB8273" w14:textId="77777777" w:rsidR="00387142" w:rsidRPr="008B6A75" w:rsidRDefault="00387142" w:rsidP="00387142">
      <w:pPr>
        <w:widowControl w:val="0"/>
        <w:ind w:firstLine="724"/>
        <w:rPr>
          <w:rFonts w:eastAsia="Arial Unicode MS"/>
          <w:i/>
          <w:iCs/>
          <w:sz w:val="20"/>
          <w:szCs w:val="20"/>
        </w:rPr>
        <w:sectPr w:rsidR="00387142" w:rsidRPr="008B6A75" w:rsidSect="00387142">
          <w:type w:val="continuous"/>
          <w:pgSz w:w="11900" w:h="16840"/>
          <w:pgMar w:top="1134" w:right="497" w:bottom="851" w:left="1212" w:header="0" w:footer="3" w:gutter="0"/>
          <w:cols w:space="720"/>
          <w:noEndnote/>
          <w:docGrid w:linePitch="360"/>
        </w:sectPr>
      </w:pPr>
      <w:r w:rsidRPr="008B6A75">
        <w:rPr>
          <w:rFonts w:eastAsia="Arial Unicode MS"/>
          <w:sz w:val="20"/>
          <w:szCs w:val="20"/>
        </w:rPr>
        <w:t>М.П.</w:t>
      </w:r>
    </w:p>
    <w:p w14:paraId="16282C1A" w14:textId="77777777" w:rsidR="00387142" w:rsidRPr="008B6A75" w:rsidRDefault="00387142" w:rsidP="00387142">
      <w:pPr>
        <w:widowControl w:val="0"/>
        <w:ind w:right="-40"/>
        <w:rPr>
          <w:rFonts w:eastAsia="Arial Unicode MS"/>
          <w:color w:val="000000"/>
          <w:sz w:val="20"/>
          <w:szCs w:val="20"/>
          <w:shd w:val="clear" w:color="auto" w:fill="FFFFFF"/>
        </w:rPr>
      </w:pPr>
      <w:r w:rsidRPr="008B6A75">
        <w:rPr>
          <w:rFonts w:eastAsia="Arial Unicode MS"/>
          <w:color w:val="000000"/>
          <w:sz w:val="20"/>
          <w:szCs w:val="20"/>
          <w:shd w:val="clear" w:color="auto" w:fill="FFFFFF"/>
        </w:rPr>
        <w:lastRenderedPageBreak/>
        <w:t xml:space="preserve">                                                                                                                                ПРИЛОЖЕНИЕ 3</w:t>
      </w:r>
    </w:p>
    <w:p w14:paraId="1E30AF60" w14:textId="77777777" w:rsidR="00387142" w:rsidRPr="008B6A75" w:rsidRDefault="00387142" w:rsidP="00387142">
      <w:pPr>
        <w:widowControl w:val="0"/>
        <w:tabs>
          <w:tab w:val="left" w:pos="1276"/>
        </w:tabs>
        <w:ind w:left="4536"/>
        <w:jc w:val="center"/>
        <w:rPr>
          <w:rFonts w:eastAsia="Arial Unicode MS"/>
          <w:color w:val="000000"/>
          <w:sz w:val="20"/>
          <w:szCs w:val="20"/>
          <w:shd w:val="clear" w:color="auto" w:fill="FFFFFF"/>
        </w:rPr>
      </w:pPr>
      <w:r w:rsidRPr="008B6A75">
        <w:rPr>
          <w:rFonts w:eastAsia="Arial Unicode MS"/>
          <w:color w:val="000000"/>
          <w:sz w:val="20"/>
          <w:szCs w:val="20"/>
          <w:shd w:val="clear" w:color="auto" w:fill="FFFFFF"/>
        </w:rPr>
        <w:t xml:space="preserve">к Положению </w:t>
      </w:r>
      <w:r w:rsidRPr="008B6A75">
        <w:rPr>
          <w:rFonts w:eastAsia="Arial Unicode MS"/>
          <w:bCs/>
          <w:color w:val="000000"/>
          <w:sz w:val="20"/>
          <w:szCs w:val="20"/>
          <w:shd w:val="clear" w:color="auto" w:fill="FFFFFF"/>
        </w:rPr>
        <w:t>о ежемесячной доплате к страховой пенсии по старости (инвалидности) депутату, члену выборного органа местного самоуправления, выборному должностному лицу местного самоуправления, председателю, заместителю председателя, аудитору контрольно-счетного органа в Куйбышевском муниципальном районе Новосибирской области</w:t>
      </w:r>
    </w:p>
    <w:p w14:paraId="4CC4A5C1" w14:textId="77777777" w:rsidR="00387142" w:rsidRPr="008B6A75" w:rsidRDefault="00387142" w:rsidP="00387142">
      <w:pPr>
        <w:widowControl w:val="0"/>
        <w:ind w:left="4820" w:right="-40"/>
        <w:jc w:val="center"/>
        <w:rPr>
          <w:rFonts w:eastAsia="Arial Unicode MS"/>
          <w:color w:val="000000"/>
          <w:sz w:val="20"/>
          <w:szCs w:val="20"/>
          <w:shd w:val="clear" w:color="auto" w:fill="FFFFFF"/>
        </w:rPr>
      </w:pPr>
    </w:p>
    <w:p w14:paraId="2F17B993" w14:textId="77777777" w:rsidR="00387142" w:rsidRPr="008B6A75" w:rsidRDefault="00387142" w:rsidP="00387142">
      <w:pPr>
        <w:widowControl w:val="0"/>
        <w:ind w:firstLine="724"/>
        <w:jc w:val="center"/>
        <w:rPr>
          <w:rFonts w:eastAsia="Arial Unicode MS"/>
          <w:color w:val="000000"/>
          <w:sz w:val="20"/>
          <w:szCs w:val="20"/>
          <w:shd w:val="clear" w:color="auto" w:fill="FFFFFF"/>
        </w:rPr>
      </w:pPr>
    </w:p>
    <w:p w14:paraId="3C371BC9" w14:textId="77777777" w:rsidR="00387142" w:rsidRPr="008B6A75" w:rsidRDefault="00387142" w:rsidP="00387142">
      <w:pPr>
        <w:widowControl w:val="0"/>
        <w:ind w:firstLine="724"/>
        <w:jc w:val="center"/>
        <w:rPr>
          <w:rFonts w:eastAsia="Arial Unicode MS"/>
          <w:color w:val="000000"/>
          <w:sz w:val="20"/>
          <w:szCs w:val="20"/>
          <w:shd w:val="clear" w:color="auto" w:fill="FFFFFF"/>
        </w:rPr>
      </w:pPr>
    </w:p>
    <w:p w14:paraId="2931D0A0" w14:textId="77777777" w:rsidR="00387142" w:rsidRPr="008B6A75" w:rsidRDefault="00387142" w:rsidP="00387142">
      <w:pPr>
        <w:widowControl w:val="0"/>
        <w:ind w:firstLine="724"/>
        <w:jc w:val="center"/>
        <w:rPr>
          <w:rFonts w:eastAsia="Arial Unicode MS"/>
          <w:sz w:val="20"/>
          <w:szCs w:val="20"/>
        </w:rPr>
      </w:pPr>
      <w:r w:rsidRPr="008B6A75">
        <w:rPr>
          <w:rFonts w:eastAsia="Arial Unicode MS"/>
          <w:color w:val="000000"/>
          <w:sz w:val="20"/>
          <w:szCs w:val="20"/>
          <w:shd w:val="clear" w:color="auto" w:fill="FFFFFF"/>
        </w:rPr>
        <w:t>СПРАВКА</w:t>
      </w:r>
    </w:p>
    <w:p w14:paraId="771D6576" w14:textId="77777777" w:rsidR="00387142" w:rsidRPr="008B6A75" w:rsidRDefault="00387142" w:rsidP="00387142">
      <w:pPr>
        <w:widowControl w:val="0"/>
        <w:ind w:firstLine="724"/>
        <w:jc w:val="center"/>
        <w:rPr>
          <w:rFonts w:eastAsia="Arial Unicode MS"/>
          <w:color w:val="000000"/>
          <w:sz w:val="20"/>
          <w:szCs w:val="20"/>
          <w:shd w:val="clear" w:color="auto" w:fill="FFFFFF"/>
        </w:rPr>
      </w:pPr>
      <w:r w:rsidRPr="008B6A75">
        <w:rPr>
          <w:rFonts w:eastAsia="Arial Unicode MS"/>
          <w:color w:val="000000"/>
          <w:sz w:val="20"/>
          <w:szCs w:val="20"/>
          <w:shd w:val="clear" w:color="auto" w:fill="FFFFFF"/>
        </w:rPr>
        <w:t>о размере месячного денежного содержания (вознаграждения)</w:t>
      </w:r>
    </w:p>
    <w:p w14:paraId="3DCA49D1" w14:textId="77777777" w:rsidR="00387142" w:rsidRPr="008B6A75" w:rsidRDefault="00387142" w:rsidP="00387142">
      <w:pPr>
        <w:widowControl w:val="0"/>
        <w:ind w:firstLine="724"/>
        <w:jc w:val="center"/>
        <w:rPr>
          <w:rFonts w:eastAsia="Arial Unicode MS"/>
          <w:sz w:val="20"/>
          <w:szCs w:val="20"/>
        </w:rPr>
      </w:pPr>
    </w:p>
    <w:p w14:paraId="147EAAC6" w14:textId="77777777" w:rsidR="00387142" w:rsidRPr="008B6A75" w:rsidRDefault="00387142" w:rsidP="00387142">
      <w:pPr>
        <w:widowControl w:val="0"/>
        <w:tabs>
          <w:tab w:val="left" w:leader="underscore" w:pos="6385"/>
        </w:tabs>
        <w:ind w:firstLine="724"/>
        <w:jc w:val="both"/>
        <w:rPr>
          <w:rFonts w:eastAsia="Arial Unicode MS"/>
          <w:color w:val="000000"/>
          <w:sz w:val="20"/>
          <w:szCs w:val="20"/>
          <w:shd w:val="clear" w:color="auto" w:fill="FFFFFF"/>
        </w:rPr>
      </w:pPr>
      <w:r w:rsidRPr="008B6A75">
        <w:rPr>
          <w:rFonts w:eastAsia="Arial Unicode MS"/>
          <w:color w:val="000000"/>
          <w:sz w:val="20"/>
          <w:szCs w:val="20"/>
          <w:shd w:val="clear" w:color="auto" w:fill="FFFFFF"/>
        </w:rPr>
        <w:t>Месячное денежное содержание (вознаграждение) ____________________ __________________________________________________</w:t>
      </w:r>
      <w:proofErr w:type="gramStart"/>
      <w:r w:rsidRPr="008B6A75">
        <w:rPr>
          <w:rFonts w:eastAsia="Arial Unicode MS"/>
          <w:color w:val="000000"/>
          <w:sz w:val="20"/>
          <w:szCs w:val="20"/>
          <w:shd w:val="clear" w:color="auto" w:fill="FFFFFF"/>
        </w:rPr>
        <w:t>_</w:t>
      </w:r>
      <w:r w:rsidRPr="008B6A75">
        <w:rPr>
          <w:rFonts w:eastAsia="Arial Unicode MS"/>
          <w:i/>
          <w:iCs/>
          <w:color w:val="000000"/>
          <w:sz w:val="20"/>
          <w:szCs w:val="20"/>
          <w:shd w:val="clear" w:color="auto" w:fill="FFFFFF"/>
        </w:rPr>
        <w:t>(</w:t>
      </w:r>
      <w:proofErr w:type="gramEnd"/>
      <w:r w:rsidRPr="008B6A75">
        <w:rPr>
          <w:rFonts w:eastAsia="Arial Unicode MS"/>
          <w:i/>
          <w:iCs/>
          <w:color w:val="000000"/>
          <w:sz w:val="20"/>
          <w:szCs w:val="20"/>
          <w:shd w:val="clear" w:color="auto" w:fill="FFFFFF"/>
        </w:rPr>
        <w:t>фамилия, имя, отчество),</w:t>
      </w:r>
      <w:r w:rsidRPr="008B6A75">
        <w:rPr>
          <w:rFonts w:eastAsia="Arial Unicode MS"/>
          <w:color w:val="000000"/>
          <w:sz w:val="20"/>
          <w:szCs w:val="20"/>
          <w:shd w:val="clear" w:color="auto" w:fill="FFFFFF"/>
        </w:rPr>
        <w:t xml:space="preserve"> замещавшего должность _________________________________________________ ________________ </w:t>
      </w:r>
      <w:r w:rsidRPr="008B6A75">
        <w:rPr>
          <w:rFonts w:eastAsia="Arial Unicode MS"/>
          <w:i/>
          <w:iCs/>
          <w:color w:val="000000"/>
          <w:sz w:val="20"/>
          <w:szCs w:val="20"/>
          <w:shd w:val="clear" w:color="auto" w:fill="FFFFFF"/>
        </w:rPr>
        <w:t>(наименование должности),</w:t>
      </w:r>
      <w:r w:rsidRPr="008B6A75">
        <w:rPr>
          <w:rFonts w:eastAsia="Arial Unicode MS"/>
          <w:color w:val="000000"/>
          <w:sz w:val="20"/>
          <w:szCs w:val="20"/>
          <w:shd w:val="clear" w:color="auto" w:fill="FFFFFF"/>
        </w:rPr>
        <w:t xml:space="preserve"> составило:</w:t>
      </w:r>
    </w:p>
    <w:p w14:paraId="5A6A2B38" w14:textId="77777777" w:rsidR="00387142" w:rsidRPr="008B6A75" w:rsidRDefault="00387142" w:rsidP="00387142">
      <w:pPr>
        <w:widowControl w:val="0"/>
        <w:tabs>
          <w:tab w:val="left" w:leader="underscore" w:pos="6385"/>
        </w:tabs>
        <w:ind w:firstLine="724"/>
        <w:jc w:val="both"/>
        <w:rPr>
          <w:rFonts w:eastAsia="Arial Unicode MS"/>
          <w:color w:val="000000"/>
          <w:sz w:val="20"/>
          <w:szCs w:val="20"/>
          <w:shd w:val="clear" w:color="auto" w:fill="FFFFFF"/>
        </w:rPr>
      </w:pPr>
    </w:p>
    <w:tbl>
      <w:tblPr>
        <w:tblStyle w:val="18"/>
        <w:tblW w:w="0" w:type="auto"/>
        <w:tblLook w:val="00A0" w:firstRow="1" w:lastRow="0" w:firstColumn="1" w:lastColumn="0" w:noHBand="0" w:noVBand="0"/>
      </w:tblPr>
      <w:tblGrid>
        <w:gridCol w:w="6771"/>
        <w:gridCol w:w="3084"/>
      </w:tblGrid>
      <w:tr w:rsidR="00387142" w:rsidRPr="008B6A75" w14:paraId="1D1E2D32" w14:textId="77777777" w:rsidTr="00387142">
        <w:tc>
          <w:tcPr>
            <w:tcW w:w="6771" w:type="dxa"/>
          </w:tcPr>
          <w:p w14:paraId="3608F383" w14:textId="77777777" w:rsidR="00387142" w:rsidRPr="008B6A75" w:rsidRDefault="00387142" w:rsidP="00387142">
            <w:pPr>
              <w:tabs>
                <w:tab w:val="left" w:leader="underscore" w:pos="6385"/>
              </w:tabs>
              <w:ind w:firstLine="724"/>
              <w:jc w:val="both"/>
              <w:rPr>
                <w:sz w:val="20"/>
                <w:szCs w:val="20"/>
              </w:rPr>
            </w:pPr>
          </w:p>
        </w:tc>
        <w:tc>
          <w:tcPr>
            <w:tcW w:w="3084" w:type="dxa"/>
          </w:tcPr>
          <w:p w14:paraId="1072BF36" w14:textId="77777777" w:rsidR="00387142" w:rsidRPr="008B6A75" w:rsidRDefault="00387142" w:rsidP="00387142">
            <w:pPr>
              <w:tabs>
                <w:tab w:val="left" w:leader="underscore" w:pos="6385"/>
              </w:tabs>
              <w:ind w:firstLine="724"/>
              <w:jc w:val="center"/>
              <w:rPr>
                <w:sz w:val="20"/>
                <w:szCs w:val="20"/>
              </w:rPr>
            </w:pPr>
            <w:r w:rsidRPr="008B6A75">
              <w:rPr>
                <w:sz w:val="20"/>
                <w:szCs w:val="20"/>
              </w:rPr>
              <w:t>(руб.)</w:t>
            </w:r>
          </w:p>
        </w:tc>
      </w:tr>
      <w:tr w:rsidR="00387142" w:rsidRPr="008B6A75" w14:paraId="71FB1FA2" w14:textId="77777777" w:rsidTr="00387142">
        <w:tc>
          <w:tcPr>
            <w:tcW w:w="6771" w:type="dxa"/>
          </w:tcPr>
          <w:p w14:paraId="29B8A1F2" w14:textId="77777777" w:rsidR="00387142" w:rsidRPr="008B6A75" w:rsidRDefault="00387142" w:rsidP="00387142">
            <w:pPr>
              <w:tabs>
                <w:tab w:val="left" w:pos="181"/>
                <w:tab w:val="left" w:leader="underscore" w:pos="6385"/>
              </w:tabs>
              <w:ind w:left="181" w:hanging="181"/>
              <w:rPr>
                <w:sz w:val="20"/>
                <w:szCs w:val="20"/>
              </w:rPr>
            </w:pPr>
            <w:r w:rsidRPr="008B6A75">
              <w:rPr>
                <w:sz w:val="20"/>
                <w:szCs w:val="20"/>
              </w:rPr>
              <w:t>1. Месячное денежное содержание (вознаграждение):</w:t>
            </w:r>
          </w:p>
        </w:tc>
        <w:tc>
          <w:tcPr>
            <w:tcW w:w="3084" w:type="dxa"/>
          </w:tcPr>
          <w:p w14:paraId="2B297F08" w14:textId="77777777" w:rsidR="00387142" w:rsidRPr="008B6A75" w:rsidRDefault="00387142" w:rsidP="00387142">
            <w:pPr>
              <w:tabs>
                <w:tab w:val="left" w:leader="underscore" w:pos="6385"/>
              </w:tabs>
              <w:ind w:firstLine="724"/>
              <w:jc w:val="both"/>
              <w:rPr>
                <w:sz w:val="20"/>
                <w:szCs w:val="20"/>
              </w:rPr>
            </w:pPr>
          </w:p>
        </w:tc>
      </w:tr>
      <w:tr w:rsidR="00387142" w:rsidRPr="008B6A75" w14:paraId="56BAE69B" w14:textId="77777777" w:rsidTr="00387142">
        <w:tc>
          <w:tcPr>
            <w:tcW w:w="6771" w:type="dxa"/>
          </w:tcPr>
          <w:p w14:paraId="49F97FDD" w14:textId="77777777" w:rsidR="00387142" w:rsidRPr="008B6A75" w:rsidRDefault="00387142" w:rsidP="00387142">
            <w:pPr>
              <w:tabs>
                <w:tab w:val="left" w:pos="181"/>
                <w:tab w:val="left" w:leader="underscore" w:pos="6385"/>
              </w:tabs>
              <w:ind w:left="181" w:hanging="181"/>
              <w:rPr>
                <w:sz w:val="20"/>
                <w:szCs w:val="20"/>
              </w:rPr>
            </w:pPr>
            <w:r w:rsidRPr="008B6A75">
              <w:rPr>
                <w:sz w:val="20"/>
                <w:szCs w:val="20"/>
              </w:rPr>
              <w:t>а) сумма</w:t>
            </w:r>
          </w:p>
        </w:tc>
        <w:tc>
          <w:tcPr>
            <w:tcW w:w="3084" w:type="dxa"/>
          </w:tcPr>
          <w:p w14:paraId="03AB1E6D" w14:textId="77777777" w:rsidR="00387142" w:rsidRPr="008B6A75" w:rsidRDefault="00387142" w:rsidP="00387142">
            <w:pPr>
              <w:tabs>
                <w:tab w:val="left" w:leader="underscore" w:pos="6385"/>
              </w:tabs>
              <w:ind w:firstLine="724"/>
              <w:jc w:val="both"/>
              <w:rPr>
                <w:sz w:val="20"/>
                <w:szCs w:val="20"/>
              </w:rPr>
            </w:pPr>
          </w:p>
        </w:tc>
      </w:tr>
      <w:tr w:rsidR="00387142" w:rsidRPr="008B6A75" w14:paraId="0E945810" w14:textId="77777777" w:rsidTr="00387142">
        <w:tc>
          <w:tcPr>
            <w:tcW w:w="6771" w:type="dxa"/>
          </w:tcPr>
          <w:p w14:paraId="5B2DAC30" w14:textId="77777777" w:rsidR="00387142" w:rsidRPr="008B6A75" w:rsidRDefault="00387142" w:rsidP="00387142">
            <w:pPr>
              <w:tabs>
                <w:tab w:val="left" w:pos="181"/>
                <w:tab w:val="left" w:leader="underscore" w:pos="6385"/>
              </w:tabs>
              <w:ind w:left="181" w:hanging="181"/>
              <w:rPr>
                <w:sz w:val="20"/>
                <w:szCs w:val="20"/>
              </w:rPr>
            </w:pPr>
            <w:r w:rsidRPr="008B6A75">
              <w:rPr>
                <w:sz w:val="20"/>
                <w:szCs w:val="20"/>
              </w:rPr>
              <w:t>б) районный коэффициент</w:t>
            </w:r>
          </w:p>
        </w:tc>
        <w:tc>
          <w:tcPr>
            <w:tcW w:w="3084" w:type="dxa"/>
          </w:tcPr>
          <w:p w14:paraId="02338C27" w14:textId="77777777" w:rsidR="00387142" w:rsidRPr="008B6A75" w:rsidRDefault="00387142" w:rsidP="00387142">
            <w:pPr>
              <w:tabs>
                <w:tab w:val="left" w:leader="underscore" w:pos="6385"/>
              </w:tabs>
              <w:ind w:firstLine="724"/>
              <w:jc w:val="both"/>
              <w:rPr>
                <w:sz w:val="20"/>
                <w:szCs w:val="20"/>
              </w:rPr>
            </w:pPr>
          </w:p>
        </w:tc>
      </w:tr>
      <w:tr w:rsidR="00387142" w:rsidRPr="008B6A75" w14:paraId="0E7C77F3" w14:textId="77777777" w:rsidTr="00387142">
        <w:tc>
          <w:tcPr>
            <w:tcW w:w="6771" w:type="dxa"/>
          </w:tcPr>
          <w:p w14:paraId="6C031183" w14:textId="77777777" w:rsidR="00387142" w:rsidRPr="008B6A75" w:rsidRDefault="00387142" w:rsidP="00387142">
            <w:pPr>
              <w:tabs>
                <w:tab w:val="left" w:pos="181"/>
                <w:tab w:val="left" w:leader="underscore" w:pos="6385"/>
              </w:tabs>
              <w:ind w:left="181" w:hanging="181"/>
              <w:rPr>
                <w:sz w:val="20"/>
                <w:szCs w:val="20"/>
              </w:rPr>
            </w:pPr>
            <w:r w:rsidRPr="008B6A75">
              <w:rPr>
                <w:sz w:val="20"/>
                <w:szCs w:val="20"/>
              </w:rPr>
              <w:t>Итого</w:t>
            </w:r>
          </w:p>
        </w:tc>
        <w:tc>
          <w:tcPr>
            <w:tcW w:w="3084" w:type="dxa"/>
          </w:tcPr>
          <w:p w14:paraId="4CC3CC2B" w14:textId="77777777" w:rsidR="00387142" w:rsidRPr="008B6A75" w:rsidRDefault="00387142" w:rsidP="00387142">
            <w:pPr>
              <w:tabs>
                <w:tab w:val="left" w:leader="underscore" w:pos="6385"/>
              </w:tabs>
              <w:ind w:firstLine="724"/>
              <w:jc w:val="both"/>
              <w:rPr>
                <w:sz w:val="20"/>
                <w:szCs w:val="20"/>
              </w:rPr>
            </w:pPr>
          </w:p>
        </w:tc>
      </w:tr>
    </w:tbl>
    <w:p w14:paraId="58124F16" w14:textId="77777777" w:rsidR="00387142" w:rsidRPr="008B6A75" w:rsidRDefault="00387142" w:rsidP="00387142">
      <w:pPr>
        <w:widowControl w:val="0"/>
        <w:tabs>
          <w:tab w:val="left" w:leader="underscore" w:pos="6385"/>
        </w:tabs>
        <w:ind w:firstLine="724"/>
        <w:jc w:val="both"/>
        <w:rPr>
          <w:rFonts w:eastAsia="Arial Unicode MS"/>
          <w:sz w:val="20"/>
          <w:szCs w:val="20"/>
        </w:rPr>
      </w:pPr>
    </w:p>
    <w:p w14:paraId="5170E678" w14:textId="77777777" w:rsidR="00387142" w:rsidRPr="008B6A75" w:rsidRDefault="00387142" w:rsidP="00387142">
      <w:pPr>
        <w:widowControl w:val="0"/>
        <w:tabs>
          <w:tab w:val="left" w:leader="underscore" w:pos="6385"/>
        </w:tabs>
        <w:ind w:firstLine="724"/>
        <w:jc w:val="both"/>
        <w:rPr>
          <w:rFonts w:eastAsia="Arial Unicode MS"/>
          <w:sz w:val="20"/>
          <w:szCs w:val="20"/>
        </w:rPr>
      </w:pPr>
    </w:p>
    <w:p w14:paraId="73465D83" w14:textId="77777777" w:rsidR="00387142" w:rsidRPr="008B6A75" w:rsidRDefault="00387142" w:rsidP="00387142">
      <w:pPr>
        <w:widowControl w:val="0"/>
        <w:tabs>
          <w:tab w:val="left" w:leader="underscore" w:pos="6385"/>
        </w:tabs>
        <w:ind w:firstLine="724"/>
        <w:jc w:val="both"/>
        <w:rPr>
          <w:rFonts w:eastAsia="Arial Unicode MS"/>
          <w:sz w:val="20"/>
          <w:szCs w:val="20"/>
        </w:rPr>
      </w:pPr>
    </w:p>
    <w:p w14:paraId="6D7E5536" w14:textId="77777777" w:rsidR="00387142" w:rsidRPr="008B6A75" w:rsidRDefault="00387142" w:rsidP="00387142">
      <w:pPr>
        <w:widowControl w:val="0"/>
        <w:tabs>
          <w:tab w:val="left" w:leader="underscore" w:pos="6385"/>
        </w:tabs>
        <w:ind w:firstLine="724"/>
        <w:jc w:val="both"/>
        <w:rPr>
          <w:rFonts w:eastAsia="Arial Unicode MS"/>
          <w:sz w:val="20"/>
          <w:szCs w:val="20"/>
        </w:rPr>
      </w:pPr>
      <w:r w:rsidRPr="008B6A75">
        <w:rPr>
          <w:rFonts w:eastAsia="Arial Unicode MS"/>
          <w:sz w:val="20"/>
          <w:szCs w:val="20"/>
        </w:rPr>
        <w:t xml:space="preserve">Руководитель органа </w:t>
      </w:r>
    </w:p>
    <w:p w14:paraId="2297E4BE" w14:textId="77777777" w:rsidR="00387142" w:rsidRPr="008B6A75" w:rsidRDefault="00387142" w:rsidP="00387142">
      <w:pPr>
        <w:widowControl w:val="0"/>
        <w:ind w:firstLine="724"/>
        <w:jc w:val="both"/>
        <w:rPr>
          <w:rFonts w:eastAsia="Arial Unicode MS"/>
          <w:sz w:val="20"/>
          <w:szCs w:val="20"/>
          <w:u w:val="single"/>
        </w:rPr>
      </w:pPr>
      <w:r w:rsidRPr="008B6A75">
        <w:rPr>
          <w:rFonts w:eastAsia="Arial Unicode MS"/>
          <w:sz w:val="20"/>
          <w:szCs w:val="20"/>
        </w:rPr>
        <w:t>местного самоуправления</w:t>
      </w:r>
      <w:r w:rsidRPr="008B6A75">
        <w:rPr>
          <w:rFonts w:eastAsia="Arial Unicode MS"/>
          <w:sz w:val="20"/>
          <w:szCs w:val="20"/>
        </w:rPr>
        <w:tab/>
      </w:r>
      <w:r w:rsidRPr="008B6A75">
        <w:rPr>
          <w:rFonts w:eastAsia="Arial Unicode MS"/>
          <w:sz w:val="20"/>
          <w:szCs w:val="20"/>
        </w:rPr>
        <w:tab/>
        <w:t xml:space="preserve">           </w:t>
      </w:r>
      <w:r w:rsidRPr="008B6A75">
        <w:rPr>
          <w:rFonts w:eastAsia="Arial Unicode MS"/>
          <w:sz w:val="20"/>
          <w:szCs w:val="20"/>
          <w:u w:val="single"/>
        </w:rPr>
        <w:tab/>
      </w:r>
      <w:r w:rsidRPr="008B6A75">
        <w:rPr>
          <w:rFonts w:eastAsia="Arial Unicode MS"/>
          <w:sz w:val="20"/>
          <w:szCs w:val="20"/>
          <w:u w:val="single"/>
        </w:rPr>
        <w:tab/>
      </w:r>
      <w:r w:rsidRPr="008B6A75">
        <w:rPr>
          <w:rFonts w:eastAsia="Arial Unicode MS"/>
          <w:sz w:val="20"/>
          <w:szCs w:val="20"/>
          <w:u w:val="single"/>
        </w:rPr>
        <w:tab/>
      </w:r>
      <w:r w:rsidRPr="008B6A75">
        <w:rPr>
          <w:rFonts w:eastAsia="Arial Unicode MS"/>
          <w:sz w:val="20"/>
          <w:szCs w:val="20"/>
          <w:u w:val="single"/>
        </w:rPr>
        <w:tab/>
      </w:r>
      <w:r w:rsidRPr="008B6A75">
        <w:rPr>
          <w:rFonts w:eastAsia="Arial Unicode MS"/>
          <w:sz w:val="20"/>
          <w:szCs w:val="20"/>
          <w:u w:val="single"/>
        </w:rPr>
        <w:tab/>
      </w:r>
    </w:p>
    <w:p w14:paraId="382F04B2" w14:textId="77777777" w:rsidR="00387142" w:rsidRPr="008B6A75" w:rsidRDefault="00387142" w:rsidP="00387142">
      <w:pPr>
        <w:widowControl w:val="0"/>
        <w:ind w:firstLine="724"/>
        <w:jc w:val="both"/>
        <w:rPr>
          <w:rFonts w:eastAsia="Arial Unicode MS"/>
          <w:i/>
          <w:iCs/>
          <w:sz w:val="20"/>
          <w:szCs w:val="20"/>
        </w:rPr>
      </w:pPr>
      <w:r w:rsidRPr="008B6A75">
        <w:rPr>
          <w:rFonts w:eastAsia="Arial Unicode MS"/>
          <w:sz w:val="20"/>
          <w:szCs w:val="20"/>
        </w:rPr>
        <w:tab/>
      </w:r>
      <w:r w:rsidRPr="008B6A75">
        <w:rPr>
          <w:rFonts w:eastAsia="Arial Unicode MS"/>
          <w:sz w:val="20"/>
          <w:szCs w:val="20"/>
        </w:rPr>
        <w:tab/>
      </w:r>
      <w:r w:rsidRPr="008B6A75">
        <w:rPr>
          <w:rFonts w:eastAsia="Arial Unicode MS"/>
          <w:sz w:val="20"/>
          <w:szCs w:val="20"/>
        </w:rPr>
        <w:tab/>
      </w:r>
      <w:r w:rsidRPr="008B6A75">
        <w:rPr>
          <w:rFonts w:eastAsia="Arial Unicode MS"/>
          <w:sz w:val="20"/>
          <w:szCs w:val="20"/>
        </w:rPr>
        <w:tab/>
      </w:r>
      <w:r w:rsidRPr="008B6A75">
        <w:rPr>
          <w:rFonts w:eastAsia="Arial Unicode MS"/>
          <w:sz w:val="20"/>
          <w:szCs w:val="20"/>
        </w:rPr>
        <w:tab/>
      </w:r>
      <w:r w:rsidRPr="008B6A75">
        <w:rPr>
          <w:rFonts w:eastAsia="Arial Unicode MS"/>
          <w:sz w:val="20"/>
          <w:szCs w:val="20"/>
        </w:rPr>
        <w:tab/>
        <w:t xml:space="preserve">                </w:t>
      </w:r>
      <w:r w:rsidRPr="008B6A75">
        <w:rPr>
          <w:rFonts w:eastAsia="Arial Unicode MS"/>
          <w:i/>
          <w:iCs/>
          <w:sz w:val="20"/>
          <w:szCs w:val="20"/>
        </w:rPr>
        <w:t>(подпись, инициалы, фамилия)</w:t>
      </w:r>
    </w:p>
    <w:p w14:paraId="7ED3F8ED" w14:textId="77777777" w:rsidR="00387142" w:rsidRPr="008B6A75" w:rsidRDefault="00387142" w:rsidP="00387142">
      <w:pPr>
        <w:widowControl w:val="0"/>
        <w:ind w:firstLine="724"/>
        <w:jc w:val="both"/>
        <w:rPr>
          <w:rFonts w:eastAsia="Arial Unicode MS"/>
          <w:sz w:val="20"/>
          <w:szCs w:val="20"/>
        </w:rPr>
      </w:pPr>
    </w:p>
    <w:p w14:paraId="25019B41" w14:textId="77777777" w:rsidR="00387142" w:rsidRPr="008B6A75" w:rsidRDefault="00387142" w:rsidP="00387142">
      <w:pPr>
        <w:widowControl w:val="0"/>
        <w:ind w:firstLine="724"/>
        <w:jc w:val="both"/>
        <w:rPr>
          <w:rFonts w:eastAsia="Arial Unicode MS"/>
          <w:sz w:val="20"/>
          <w:szCs w:val="20"/>
          <w:u w:val="single"/>
        </w:rPr>
      </w:pPr>
      <w:r w:rsidRPr="008B6A75">
        <w:rPr>
          <w:rFonts w:eastAsia="Arial Unicode MS"/>
          <w:sz w:val="20"/>
          <w:szCs w:val="20"/>
        </w:rPr>
        <w:t>Главный бухгалтер</w:t>
      </w:r>
      <w:r w:rsidRPr="008B6A75">
        <w:rPr>
          <w:rFonts w:eastAsia="Arial Unicode MS"/>
          <w:sz w:val="20"/>
          <w:szCs w:val="20"/>
        </w:rPr>
        <w:tab/>
      </w:r>
      <w:r w:rsidRPr="008B6A75">
        <w:rPr>
          <w:rFonts w:eastAsia="Arial Unicode MS"/>
          <w:sz w:val="20"/>
          <w:szCs w:val="20"/>
        </w:rPr>
        <w:tab/>
      </w:r>
      <w:r w:rsidRPr="008B6A75">
        <w:rPr>
          <w:rFonts w:eastAsia="Arial Unicode MS"/>
          <w:sz w:val="20"/>
          <w:szCs w:val="20"/>
        </w:rPr>
        <w:tab/>
      </w:r>
      <w:r w:rsidRPr="008B6A75">
        <w:rPr>
          <w:rFonts w:eastAsia="Arial Unicode MS"/>
          <w:sz w:val="20"/>
          <w:szCs w:val="20"/>
        </w:rPr>
        <w:tab/>
      </w:r>
      <w:r w:rsidRPr="008B6A75">
        <w:rPr>
          <w:rFonts w:eastAsia="Arial Unicode MS"/>
          <w:sz w:val="20"/>
          <w:szCs w:val="20"/>
          <w:u w:val="single"/>
        </w:rPr>
        <w:tab/>
      </w:r>
      <w:r w:rsidRPr="008B6A75">
        <w:rPr>
          <w:rFonts w:eastAsia="Arial Unicode MS"/>
          <w:sz w:val="20"/>
          <w:szCs w:val="20"/>
          <w:u w:val="single"/>
        </w:rPr>
        <w:tab/>
      </w:r>
      <w:r w:rsidRPr="008B6A75">
        <w:rPr>
          <w:rFonts w:eastAsia="Arial Unicode MS"/>
          <w:sz w:val="20"/>
          <w:szCs w:val="20"/>
          <w:u w:val="single"/>
        </w:rPr>
        <w:tab/>
      </w:r>
      <w:r w:rsidRPr="008B6A75">
        <w:rPr>
          <w:rFonts w:eastAsia="Arial Unicode MS"/>
          <w:sz w:val="20"/>
          <w:szCs w:val="20"/>
          <w:u w:val="single"/>
        </w:rPr>
        <w:tab/>
      </w:r>
      <w:r w:rsidRPr="008B6A75">
        <w:rPr>
          <w:rFonts w:eastAsia="Arial Unicode MS"/>
          <w:sz w:val="20"/>
          <w:szCs w:val="20"/>
          <w:u w:val="single"/>
        </w:rPr>
        <w:tab/>
      </w:r>
    </w:p>
    <w:p w14:paraId="49ADC988" w14:textId="77777777" w:rsidR="00387142" w:rsidRPr="008B6A75" w:rsidRDefault="00387142" w:rsidP="00387142">
      <w:pPr>
        <w:widowControl w:val="0"/>
        <w:ind w:firstLine="724"/>
        <w:jc w:val="both"/>
        <w:rPr>
          <w:rFonts w:eastAsia="Arial Unicode MS"/>
          <w:i/>
          <w:iCs/>
          <w:sz w:val="20"/>
          <w:szCs w:val="20"/>
        </w:rPr>
      </w:pPr>
      <w:r w:rsidRPr="008B6A75">
        <w:rPr>
          <w:rFonts w:eastAsia="Arial Unicode MS"/>
          <w:sz w:val="20"/>
          <w:szCs w:val="20"/>
        </w:rPr>
        <w:tab/>
      </w:r>
      <w:r w:rsidRPr="008B6A75">
        <w:rPr>
          <w:rFonts w:eastAsia="Arial Unicode MS"/>
          <w:sz w:val="20"/>
          <w:szCs w:val="20"/>
        </w:rPr>
        <w:tab/>
      </w:r>
      <w:r w:rsidRPr="008B6A75">
        <w:rPr>
          <w:rFonts w:eastAsia="Arial Unicode MS"/>
          <w:sz w:val="20"/>
          <w:szCs w:val="20"/>
        </w:rPr>
        <w:tab/>
      </w:r>
      <w:r w:rsidRPr="008B6A75">
        <w:rPr>
          <w:rFonts w:eastAsia="Arial Unicode MS"/>
          <w:sz w:val="20"/>
          <w:szCs w:val="20"/>
        </w:rPr>
        <w:tab/>
      </w:r>
      <w:r w:rsidRPr="008B6A75">
        <w:rPr>
          <w:rFonts w:eastAsia="Arial Unicode MS"/>
          <w:sz w:val="20"/>
          <w:szCs w:val="20"/>
        </w:rPr>
        <w:tab/>
      </w:r>
      <w:r w:rsidRPr="008B6A75">
        <w:rPr>
          <w:rFonts w:eastAsia="Arial Unicode MS"/>
          <w:sz w:val="20"/>
          <w:szCs w:val="20"/>
        </w:rPr>
        <w:tab/>
      </w:r>
      <w:r w:rsidRPr="008B6A75">
        <w:rPr>
          <w:rFonts w:eastAsia="Arial Unicode MS"/>
          <w:sz w:val="20"/>
          <w:szCs w:val="20"/>
        </w:rPr>
        <w:tab/>
        <w:t xml:space="preserve">     </w:t>
      </w:r>
      <w:r w:rsidRPr="008B6A75">
        <w:rPr>
          <w:rFonts w:eastAsia="Arial Unicode MS"/>
          <w:i/>
          <w:iCs/>
          <w:sz w:val="20"/>
          <w:szCs w:val="20"/>
        </w:rPr>
        <w:t xml:space="preserve">(подпись, инициалы, фамилия) </w:t>
      </w:r>
    </w:p>
    <w:p w14:paraId="2B1933BC" w14:textId="77777777" w:rsidR="00387142" w:rsidRPr="008B6A75" w:rsidRDefault="00387142" w:rsidP="00387142">
      <w:pPr>
        <w:widowControl w:val="0"/>
        <w:ind w:firstLine="724"/>
        <w:jc w:val="both"/>
        <w:rPr>
          <w:rFonts w:eastAsia="Arial Unicode MS"/>
          <w:sz w:val="20"/>
          <w:szCs w:val="20"/>
        </w:rPr>
      </w:pPr>
    </w:p>
    <w:p w14:paraId="00E27829" w14:textId="77777777" w:rsidR="00387142" w:rsidRPr="008B6A75" w:rsidRDefault="00387142" w:rsidP="00387142">
      <w:pPr>
        <w:widowControl w:val="0"/>
        <w:ind w:firstLine="724"/>
        <w:jc w:val="both"/>
        <w:rPr>
          <w:rFonts w:eastAsia="Arial Unicode MS"/>
          <w:sz w:val="20"/>
          <w:szCs w:val="20"/>
        </w:rPr>
      </w:pPr>
      <w:r w:rsidRPr="008B6A75">
        <w:rPr>
          <w:rFonts w:eastAsia="Arial Unicode MS"/>
          <w:sz w:val="20"/>
          <w:szCs w:val="20"/>
        </w:rPr>
        <w:t>М.П.</w:t>
      </w:r>
    </w:p>
    <w:p w14:paraId="0B286D9A" w14:textId="77777777" w:rsidR="00387142" w:rsidRPr="008B6A75" w:rsidRDefault="00387142" w:rsidP="00387142">
      <w:pPr>
        <w:widowControl w:val="0"/>
        <w:ind w:firstLine="724"/>
        <w:jc w:val="both"/>
        <w:rPr>
          <w:rFonts w:eastAsia="Arial Unicode MS"/>
          <w:sz w:val="20"/>
          <w:szCs w:val="20"/>
        </w:rPr>
      </w:pPr>
    </w:p>
    <w:p w14:paraId="290162F9" w14:textId="77777777" w:rsidR="00387142" w:rsidRPr="008B6A75" w:rsidRDefault="00387142" w:rsidP="00387142">
      <w:pPr>
        <w:widowControl w:val="0"/>
        <w:ind w:firstLine="724"/>
        <w:jc w:val="both"/>
        <w:rPr>
          <w:rFonts w:eastAsia="Arial Unicode MS"/>
          <w:sz w:val="20"/>
          <w:szCs w:val="20"/>
        </w:rPr>
        <w:sectPr w:rsidR="00387142" w:rsidRPr="008B6A75" w:rsidSect="00265078">
          <w:footerReference w:type="even" r:id="rId20"/>
          <w:footerReference w:type="default" r:id="rId21"/>
          <w:footerReference w:type="first" r:id="rId22"/>
          <w:pgSz w:w="11900" w:h="16840"/>
          <w:pgMar w:top="1276" w:right="497" w:bottom="851" w:left="1418" w:header="0" w:footer="667" w:gutter="0"/>
          <w:cols w:space="720"/>
          <w:noEndnote/>
          <w:titlePg/>
          <w:docGrid w:linePitch="360"/>
        </w:sectPr>
      </w:pPr>
    </w:p>
    <w:p w14:paraId="353EA803" w14:textId="77777777" w:rsidR="00387142" w:rsidRPr="008B6A75" w:rsidRDefault="00387142" w:rsidP="00387142">
      <w:pPr>
        <w:widowControl w:val="0"/>
        <w:ind w:left="4678" w:right="-40"/>
        <w:jc w:val="center"/>
        <w:rPr>
          <w:rFonts w:eastAsia="Arial Unicode MS"/>
          <w:color w:val="000000"/>
          <w:sz w:val="20"/>
          <w:szCs w:val="20"/>
          <w:shd w:val="clear" w:color="auto" w:fill="FFFFFF"/>
        </w:rPr>
      </w:pPr>
      <w:r w:rsidRPr="008B6A75">
        <w:rPr>
          <w:rFonts w:eastAsia="Arial Unicode MS"/>
          <w:color w:val="000000"/>
          <w:sz w:val="20"/>
          <w:szCs w:val="20"/>
          <w:shd w:val="clear" w:color="auto" w:fill="FFFFFF"/>
        </w:rPr>
        <w:lastRenderedPageBreak/>
        <w:t>ПРИЛОЖЕНИЕ 4</w:t>
      </w:r>
    </w:p>
    <w:p w14:paraId="3FC04A1A" w14:textId="77777777" w:rsidR="00387142" w:rsidRPr="008B6A75" w:rsidRDefault="00387142" w:rsidP="00387142">
      <w:pPr>
        <w:widowControl w:val="0"/>
        <w:tabs>
          <w:tab w:val="left" w:pos="1276"/>
        </w:tabs>
        <w:ind w:left="4536"/>
        <w:jc w:val="center"/>
        <w:rPr>
          <w:rFonts w:eastAsia="Arial Unicode MS"/>
          <w:color w:val="000000"/>
          <w:sz w:val="20"/>
          <w:szCs w:val="20"/>
          <w:shd w:val="clear" w:color="auto" w:fill="FFFFFF"/>
        </w:rPr>
      </w:pPr>
      <w:r w:rsidRPr="008B6A75">
        <w:rPr>
          <w:rFonts w:eastAsia="Arial Unicode MS"/>
          <w:color w:val="000000"/>
          <w:sz w:val="20"/>
          <w:szCs w:val="20"/>
          <w:shd w:val="clear" w:color="auto" w:fill="FFFFFF"/>
        </w:rPr>
        <w:t xml:space="preserve">к Положению </w:t>
      </w:r>
      <w:r w:rsidRPr="008B6A75">
        <w:rPr>
          <w:rFonts w:eastAsia="Arial Unicode MS"/>
          <w:bCs/>
          <w:color w:val="000000"/>
          <w:sz w:val="20"/>
          <w:szCs w:val="20"/>
          <w:shd w:val="clear" w:color="auto" w:fill="FFFFFF"/>
        </w:rPr>
        <w:t>о ежемесячной доплате к страховой пенсии по старости (инвалидности) депутату, члену выборного органа местного самоуправления, выборному должностному лицу местного самоуправления, председателю, заместителю председателя, аудитору контрольно-счетного органа в Куйбышевском муниципальном районе Новосибирской области</w:t>
      </w:r>
    </w:p>
    <w:p w14:paraId="4EE7A2D2" w14:textId="77777777" w:rsidR="00387142" w:rsidRPr="008B6A75" w:rsidRDefault="00387142" w:rsidP="00387142">
      <w:pPr>
        <w:widowControl w:val="0"/>
        <w:ind w:firstLine="724"/>
        <w:jc w:val="right"/>
        <w:rPr>
          <w:rFonts w:eastAsia="Arial Unicode MS"/>
          <w:color w:val="000000"/>
          <w:sz w:val="20"/>
          <w:szCs w:val="20"/>
          <w:shd w:val="clear" w:color="auto" w:fill="FFFFFF"/>
        </w:rPr>
      </w:pPr>
    </w:p>
    <w:p w14:paraId="275E2C81" w14:textId="77777777" w:rsidR="00387142" w:rsidRPr="008B6A75" w:rsidRDefault="00387142" w:rsidP="00387142">
      <w:pPr>
        <w:widowControl w:val="0"/>
        <w:ind w:firstLine="724"/>
        <w:jc w:val="center"/>
        <w:rPr>
          <w:rFonts w:eastAsia="Arial Unicode MS"/>
          <w:sz w:val="20"/>
          <w:szCs w:val="20"/>
        </w:rPr>
      </w:pPr>
      <w:r w:rsidRPr="008B6A75">
        <w:rPr>
          <w:rFonts w:eastAsia="Arial Unicode MS"/>
          <w:color w:val="000000"/>
          <w:sz w:val="20"/>
          <w:szCs w:val="20"/>
          <w:shd w:val="clear" w:color="auto" w:fill="FFFFFF"/>
        </w:rPr>
        <w:t>СПРАВКА</w:t>
      </w:r>
    </w:p>
    <w:p w14:paraId="62DE1F03" w14:textId="77777777" w:rsidR="00387142" w:rsidRPr="008B6A75" w:rsidRDefault="00387142" w:rsidP="00387142">
      <w:pPr>
        <w:widowControl w:val="0"/>
        <w:ind w:firstLine="724"/>
        <w:jc w:val="center"/>
        <w:rPr>
          <w:rFonts w:eastAsia="Arial Unicode MS"/>
          <w:color w:val="000000"/>
          <w:sz w:val="20"/>
          <w:szCs w:val="20"/>
          <w:shd w:val="clear" w:color="auto" w:fill="FFFFFF"/>
        </w:rPr>
      </w:pPr>
      <w:r w:rsidRPr="008B6A75">
        <w:rPr>
          <w:rFonts w:eastAsia="Arial Unicode MS"/>
          <w:color w:val="000000"/>
          <w:sz w:val="20"/>
          <w:szCs w:val="20"/>
          <w:shd w:val="clear" w:color="auto" w:fill="FFFFFF"/>
        </w:rPr>
        <w:t>о размере страховой пенсии по старости (инвалидности)</w:t>
      </w:r>
    </w:p>
    <w:p w14:paraId="7E58A13C" w14:textId="77777777" w:rsidR="00387142" w:rsidRPr="008B6A75" w:rsidRDefault="00387142" w:rsidP="00387142">
      <w:pPr>
        <w:widowControl w:val="0"/>
        <w:ind w:firstLine="724"/>
        <w:jc w:val="center"/>
        <w:rPr>
          <w:rFonts w:eastAsia="Arial Unicode MS"/>
          <w:sz w:val="20"/>
          <w:szCs w:val="20"/>
        </w:rPr>
      </w:pPr>
    </w:p>
    <w:p w14:paraId="292E7143" w14:textId="77777777" w:rsidR="00387142" w:rsidRPr="008B6A75" w:rsidRDefault="00387142" w:rsidP="00387142">
      <w:pPr>
        <w:widowControl w:val="0"/>
        <w:tabs>
          <w:tab w:val="left" w:leader="underscore" w:pos="1486"/>
          <w:tab w:val="left" w:leader="underscore" w:pos="1838"/>
        </w:tabs>
        <w:ind w:firstLine="724"/>
        <w:jc w:val="both"/>
        <w:rPr>
          <w:rFonts w:eastAsia="Arial Unicode MS"/>
          <w:color w:val="000000"/>
          <w:sz w:val="20"/>
          <w:szCs w:val="20"/>
          <w:shd w:val="clear" w:color="auto" w:fill="FFFFFF"/>
        </w:rPr>
      </w:pPr>
    </w:p>
    <w:p w14:paraId="75BBD18E" w14:textId="77777777" w:rsidR="00387142" w:rsidRPr="008B6A75" w:rsidRDefault="00387142" w:rsidP="00387142">
      <w:pPr>
        <w:widowControl w:val="0"/>
        <w:tabs>
          <w:tab w:val="left" w:leader="underscore" w:pos="1486"/>
          <w:tab w:val="left" w:leader="underscore" w:pos="1838"/>
        </w:tabs>
        <w:ind w:firstLine="724"/>
        <w:jc w:val="both"/>
        <w:rPr>
          <w:rFonts w:eastAsia="Arial Unicode MS"/>
          <w:sz w:val="20"/>
          <w:szCs w:val="20"/>
        </w:rPr>
      </w:pPr>
      <w:r w:rsidRPr="008B6A75">
        <w:rPr>
          <w:rFonts w:eastAsia="Arial Unicode MS"/>
          <w:color w:val="000000"/>
          <w:sz w:val="20"/>
          <w:szCs w:val="20"/>
          <w:shd w:val="clear" w:color="auto" w:fill="FFFFFF"/>
        </w:rPr>
        <w:t>Дана _________________________________ (</w:t>
      </w:r>
      <w:r w:rsidRPr="008B6A75">
        <w:rPr>
          <w:rFonts w:eastAsia="Arial Unicode MS"/>
          <w:i/>
          <w:iCs/>
          <w:color w:val="000000"/>
          <w:sz w:val="20"/>
          <w:szCs w:val="20"/>
          <w:shd w:val="clear" w:color="auto" w:fill="FFFFFF"/>
        </w:rPr>
        <w:t>фамилия</w:t>
      </w:r>
      <w:r w:rsidRPr="008B6A75">
        <w:rPr>
          <w:rFonts w:eastAsia="Arial Unicode MS"/>
          <w:color w:val="000000"/>
          <w:sz w:val="20"/>
          <w:szCs w:val="20"/>
          <w:shd w:val="clear" w:color="auto" w:fill="FFFFFF"/>
        </w:rPr>
        <w:t xml:space="preserve">, </w:t>
      </w:r>
      <w:r w:rsidRPr="008B6A75">
        <w:rPr>
          <w:rFonts w:eastAsia="Arial Unicode MS"/>
          <w:i/>
          <w:iCs/>
          <w:color w:val="000000"/>
          <w:sz w:val="20"/>
          <w:szCs w:val="20"/>
          <w:shd w:val="clear" w:color="auto" w:fill="FFFFFF"/>
        </w:rPr>
        <w:t>имя, отчество)</w:t>
      </w:r>
      <w:r w:rsidRPr="008B6A75">
        <w:rPr>
          <w:rFonts w:eastAsia="Arial Unicode MS"/>
          <w:color w:val="000000"/>
          <w:sz w:val="20"/>
          <w:szCs w:val="20"/>
          <w:shd w:val="clear" w:color="auto" w:fill="FFFFFF"/>
        </w:rPr>
        <w:t xml:space="preserve"> в том, что в соответствии с Федеральным законом «О страховых пенсиях» или Законом Российской Федерации «О занятости населения в Российской Федерации» назначена страховая пенсия по старости (инвалидности) с ____________ </w:t>
      </w:r>
      <w:r w:rsidRPr="008B6A75">
        <w:rPr>
          <w:rFonts w:eastAsia="Arial Unicode MS"/>
          <w:i/>
          <w:iCs/>
          <w:color w:val="000000"/>
          <w:sz w:val="20"/>
          <w:szCs w:val="20"/>
          <w:shd w:val="clear" w:color="auto" w:fill="FFFFFF"/>
        </w:rPr>
        <w:t>(дата назначения страховой пенсии).</w:t>
      </w:r>
    </w:p>
    <w:p w14:paraId="416339F5" w14:textId="77777777" w:rsidR="00387142" w:rsidRPr="008B6A75" w:rsidRDefault="00387142" w:rsidP="00387142">
      <w:pPr>
        <w:widowControl w:val="0"/>
        <w:tabs>
          <w:tab w:val="left" w:leader="underscore" w:pos="3058"/>
        </w:tabs>
        <w:ind w:firstLine="724"/>
        <w:jc w:val="both"/>
        <w:rPr>
          <w:rFonts w:eastAsia="Arial Unicode MS"/>
          <w:sz w:val="20"/>
          <w:szCs w:val="20"/>
        </w:rPr>
      </w:pPr>
      <w:r w:rsidRPr="008B6A75">
        <w:rPr>
          <w:rFonts w:eastAsia="Arial Unicode MS"/>
          <w:color w:val="000000"/>
          <w:sz w:val="20"/>
          <w:szCs w:val="20"/>
          <w:shd w:val="clear" w:color="auto" w:fill="FFFFFF"/>
        </w:rPr>
        <w:t xml:space="preserve">По состоянию на __________ </w:t>
      </w:r>
      <w:r w:rsidRPr="008B6A75">
        <w:rPr>
          <w:rFonts w:eastAsia="Arial Unicode MS"/>
          <w:i/>
          <w:iCs/>
          <w:color w:val="000000"/>
          <w:sz w:val="20"/>
          <w:szCs w:val="20"/>
          <w:shd w:val="clear" w:color="auto" w:fill="FFFFFF"/>
        </w:rPr>
        <w:t>(дата)</w:t>
      </w:r>
      <w:r w:rsidRPr="008B6A75">
        <w:rPr>
          <w:rFonts w:eastAsia="Arial Unicode MS"/>
          <w:color w:val="000000"/>
          <w:sz w:val="20"/>
          <w:szCs w:val="20"/>
          <w:shd w:val="clear" w:color="auto" w:fill="FFFFFF"/>
        </w:rPr>
        <w:t xml:space="preserve"> размер выплачиваемой страховой пенсии по старости (инвалидности) составляет __________ руб. ___ </w:t>
      </w:r>
      <w:proofErr w:type="gramStart"/>
      <w:r w:rsidRPr="008B6A75">
        <w:rPr>
          <w:rFonts w:eastAsia="Arial Unicode MS"/>
          <w:color w:val="000000"/>
          <w:sz w:val="20"/>
          <w:szCs w:val="20"/>
          <w:shd w:val="clear" w:color="auto" w:fill="FFFFFF"/>
        </w:rPr>
        <w:t>коп.,</w:t>
      </w:r>
      <w:proofErr w:type="gramEnd"/>
      <w:r w:rsidRPr="008B6A75">
        <w:rPr>
          <w:rFonts w:eastAsia="Arial Unicode MS"/>
          <w:color w:val="000000"/>
          <w:sz w:val="20"/>
          <w:szCs w:val="20"/>
          <w:shd w:val="clear" w:color="auto" w:fill="FFFFFF"/>
        </w:rPr>
        <w:t xml:space="preserve"> фиксированная выплата к страховой пенсии по старости (инвалидности) руб. коп., повышение фиксированной выплаты к страховой пенсии по старости (инвалидности) __________ руб. ___ коп.</w:t>
      </w:r>
    </w:p>
    <w:p w14:paraId="16B35222" w14:textId="77777777" w:rsidR="00387142" w:rsidRPr="008B6A75" w:rsidRDefault="00387142" w:rsidP="00387142">
      <w:pPr>
        <w:widowControl w:val="0"/>
        <w:ind w:right="3960" w:firstLine="724"/>
        <w:rPr>
          <w:rFonts w:eastAsia="Arial Unicode MS"/>
          <w:color w:val="000000"/>
          <w:sz w:val="20"/>
          <w:szCs w:val="20"/>
          <w:shd w:val="clear" w:color="auto" w:fill="FFFFFF"/>
        </w:rPr>
      </w:pPr>
    </w:p>
    <w:p w14:paraId="7862ABEE" w14:textId="77777777" w:rsidR="00387142" w:rsidRPr="008B6A75" w:rsidRDefault="00387142" w:rsidP="00387142">
      <w:pPr>
        <w:widowControl w:val="0"/>
        <w:ind w:right="3960" w:firstLine="724"/>
        <w:rPr>
          <w:rFonts w:eastAsia="Arial Unicode MS"/>
          <w:color w:val="000000"/>
          <w:sz w:val="20"/>
          <w:szCs w:val="20"/>
          <w:shd w:val="clear" w:color="auto" w:fill="FFFFFF"/>
        </w:rPr>
      </w:pPr>
    </w:p>
    <w:p w14:paraId="7C6AB188" w14:textId="77777777" w:rsidR="00387142" w:rsidRPr="008B6A75" w:rsidRDefault="00387142" w:rsidP="00387142">
      <w:pPr>
        <w:widowControl w:val="0"/>
        <w:rPr>
          <w:rFonts w:eastAsia="Arial Unicode MS"/>
          <w:color w:val="000000"/>
          <w:sz w:val="20"/>
          <w:szCs w:val="20"/>
          <w:shd w:val="clear" w:color="auto" w:fill="FFFFFF"/>
        </w:rPr>
      </w:pPr>
    </w:p>
    <w:p w14:paraId="2429BA26" w14:textId="77777777" w:rsidR="00387142" w:rsidRPr="008B6A75" w:rsidRDefault="00387142" w:rsidP="00387142">
      <w:pPr>
        <w:widowControl w:val="0"/>
        <w:rPr>
          <w:rFonts w:eastAsia="Arial Unicode MS"/>
          <w:color w:val="000000"/>
          <w:sz w:val="20"/>
          <w:szCs w:val="20"/>
          <w:shd w:val="clear" w:color="auto" w:fill="FFFFFF"/>
        </w:rPr>
      </w:pPr>
      <w:r w:rsidRPr="008B6A75">
        <w:rPr>
          <w:rFonts w:eastAsia="Arial Unicode MS"/>
          <w:color w:val="000000"/>
          <w:sz w:val="20"/>
          <w:szCs w:val="20"/>
          <w:shd w:val="clear" w:color="auto" w:fill="FFFFFF"/>
        </w:rPr>
        <w:t>Руководитель органа, осуществляющего</w:t>
      </w:r>
    </w:p>
    <w:p w14:paraId="6FD71480" w14:textId="77777777" w:rsidR="00387142" w:rsidRPr="008B6A75" w:rsidRDefault="00387142" w:rsidP="00387142">
      <w:pPr>
        <w:widowControl w:val="0"/>
        <w:rPr>
          <w:rFonts w:eastAsia="Arial Unicode MS"/>
          <w:sz w:val="20"/>
          <w:szCs w:val="20"/>
          <w:u w:val="single"/>
        </w:rPr>
      </w:pPr>
      <w:r w:rsidRPr="008B6A75">
        <w:rPr>
          <w:rFonts w:eastAsia="Arial Unicode MS"/>
          <w:color w:val="000000"/>
          <w:sz w:val="20"/>
          <w:szCs w:val="20"/>
          <w:shd w:val="clear" w:color="auto" w:fill="FFFFFF"/>
        </w:rPr>
        <w:t>пенсионное обеспечение</w:t>
      </w:r>
      <w:r w:rsidRPr="008B6A75">
        <w:rPr>
          <w:rFonts w:eastAsia="Arial Unicode MS"/>
          <w:color w:val="000000"/>
          <w:sz w:val="20"/>
          <w:szCs w:val="20"/>
          <w:shd w:val="clear" w:color="auto" w:fill="FFFFFF"/>
        </w:rPr>
        <w:tab/>
      </w:r>
      <w:r w:rsidRPr="008B6A75">
        <w:rPr>
          <w:rFonts w:eastAsia="Arial Unicode MS"/>
          <w:color w:val="000000"/>
          <w:sz w:val="20"/>
          <w:szCs w:val="20"/>
          <w:shd w:val="clear" w:color="auto" w:fill="FFFFFF"/>
        </w:rPr>
        <w:tab/>
      </w:r>
      <w:r w:rsidRPr="008B6A75">
        <w:rPr>
          <w:rFonts w:eastAsia="Arial Unicode MS"/>
          <w:color w:val="000000"/>
          <w:sz w:val="20"/>
          <w:szCs w:val="20"/>
          <w:shd w:val="clear" w:color="auto" w:fill="FFFFFF"/>
        </w:rPr>
        <w:tab/>
        <w:t xml:space="preserve">                      ________________________</w:t>
      </w:r>
    </w:p>
    <w:p w14:paraId="293A6465" w14:textId="77777777" w:rsidR="00387142" w:rsidRPr="008B6A75" w:rsidRDefault="00387142" w:rsidP="00387142">
      <w:pPr>
        <w:widowControl w:val="0"/>
        <w:ind w:firstLine="724"/>
        <w:jc w:val="right"/>
        <w:rPr>
          <w:rFonts w:eastAsia="Arial Unicode MS"/>
          <w:i/>
          <w:iCs/>
          <w:sz w:val="20"/>
          <w:szCs w:val="20"/>
        </w:rPr>
      </w:pPr>
      <w:r w:rsidRPr="008B6A75">
        <w:rPr>
          <w:rFonts w:eastAsia="Arial Unicode MS"/>
          <w:i/>
          <w:iCs/>
          <w:color w:val="000000"/>
          <w:sz w:val="20"/>
          <w:szCs w:val="20"/>
          <w:shd w:val="clear" w:color="auto" w:fill="FFFFFF"/>
        </w:rPr>
        <w:t>(подпись, инициалы, фамилия)</w:t>
      </w:r>
    </w:p>
    <w:p w14:paraId="402A2DC4" w14:textId="77777777" w:rsidR="00387142" w:rsidRPr="008B6A75" w:rsidRDefault="00387142" w:rsidP="00387142">
      <w:pPr>
        <w:widowControl w:val="0"/>
        <w:ind w:firstLine="724"/>
        <w:jc w:val="both"/>
        <w:rPr>
          <w:rFonts w:eastAsia="Arial Unicode MS"/>
          <w:sz w:val="20"/>
          <w:szCs w:val="20"/>
        </w:rPr>
        <w:sectPr w:rsidR="00387142" w:rsidRPr="008B6A75" w:rsidSect="00265078">
          <w:pgSz w:w="11900" w:h="16840"/>
          <w:pgMar w:top="1134" w:right="497" w:bottom="2018" w:left="1418" w:header="0" w:footer="809" w:gutter="0"/>
          <w:cols w:space="720"/>
          <w:noEndnote/>
          <w:docGrid w:linePitch="360"/>
        </w:sectPr>
      </w:pPr>
      <w:r w:rsidRPr="008B6A75">
        <w:rPr>
          <w:rFonts w:eastAsia="Arial Unicode MS"/>
          <w:color w:val="000000"/>
          <w:sz w:val="20"/>
          <w:szCs w:val="20"/>
          <w:shd w:val="clear" w:color="auto" w:fill="FFFFFF"/>
        </w:rPr>
        <w:t>М.П.</w:t>
      </w:r>
    </w:p>
    <w:p w14:paraId="2D2A7F16" w14:textId="77777777" w:rsidR="00387142" w:rsidRPr="008B6A75" w:rsidRDefault="00387142" w:rsidP="00387142">
      <w:pPr>
        <w:widowControl w:val="0"/>
        <w:ind w:left="4820" w:right="-40"/>
        <w:jc w:val="center"/>
        <w:rPr>
          <w:rFonts w:eastAsia="Arial Unicode MS"/>
          <w:color w:val="000000"/>
          <w:sz w:val="20"/>
          <w:szCs w:val="20"/>
          <w:shd w:val="clear" w:color="auto" w:fill="FFFFFF"/>
        </w:rPr>
      </w:pPr>
      <w:r w:rsidRPr="008B6A75">
        <w:rPr>
          <w:rFonts w:eastAsia="Arial Unicode MS"/>
          <w:color w:val="000000"/>
          <w:sz w:val="20"/>
          <w:szCs w:val="20"/>
          <w:shd w:val="clear" w:color="auto" w:fill="FFFFFF"/>
        </w:rPr>
        <w:lastRenderedPageBreak/>
        <w:t>ПРИЛОЖЕНИЕ 5</w:t>
      </w:r>
    </w:p>
    <w:p w14:paraId="525A4263" w14:textId="77777777" w:rsidR="00387142" w:rsidRPr="008B6A75" w:rsidRDefault="00387142" w:rsidP="00387142">
      <w:pPr>
        <w:widowControl w:val="0"/>
        <w:tabs>
          <w:tab w:val="left" w:pos="1276"/>
        </w:tabs>
        <w:ind w:left="4536"/>
        <w:jc w:val="center"/>
        <w:rPr>
          <w:rFonts w:eastAsia="Arial Unicode MS"/>
          <w:color w:val="000000"/>
          <w:sz w:val="20"/>
          <w:szCs w:val="20"/>
          <w:shd w:val="clear" w:color="auto" w:fill="FFFFFF"/>
        </w:rPr>
      </w:pPr>
      <w:r w:rsidRPr="008B6A75">
        <w:rPr>
          <w:rFonts w:eastAsia="Arial Unicode MS"/>
          <w:color w:val="000000"/>
          <w:sz w:val="20"/>
          <w:szCs w:val="20"/>
          <w:shd w:val="clear" w:color="auto" w:fill="FFFFFF"/>
        </w:rPr>
        <w:t xml:space="preserve">к Положению </w:t>
      </w:r>
      <w:r w:rsidRPr="008B6A75">
        <w:rPr>
          <w:rFonts w:eastAsia="Arial Unicode MS"/>
          <w:bCs/>
          <w:color w:val="000000"/>
          <w:sz w:val="20"/>
          <w:szCs w:val="20"/>
          <w:shd w:val="clear" w:color="auto" w:fill="FFFFFF"/>
        </w:rPr>
        <w:t>о ежемесячной доплате к страховой пенсии по старости (инвалидности) депутату, члену выборного органа местного самоуправления, выборному должностному лицу местного самоуправления, председателю, заместителю председателя, аудитору контрольно-счетного органа в Куйбышевском муниципальном районе Новосибирской области</w:t>
      </w:r>
    </w:p>
    <w:p w14:paraId="6BB1B02C" w14:textId="77777777" w:rsidR="00387142" w:rsidRPr="008B6A75" w:rsidRDefault="00387142" w:rsidP="00387142">
      <w:pPr>
        <w:widowControl w:val="0"/>
        <w:ind w:firstLine="724"/>
        <w:jc w:val="center"/>
        <w:rPr>
          <w:rFonts w:eastAsia="Arial Unicode MS"/>
          <w:color w:val="000000"/>
          <w:sz w:val="20"/>
          <w:szCs w:val="20"/>
          <w:shd w:val="clear" w:color="auto" w:fill="FFFFFF"/>
        </w:rPr>
      </w:pPr>
    </w:p>
    <w:p w14:paraId="1AC06A85" w14:textId="77777777" w:rsidR="00387142" w:rsidRPr="008B6A75" w:rsidRDefault="00387142" w:rsidP="00387142">
      <w:pPr>
        <w:widowControl w:val="0"/>
        <w:ind w:firstLine="724"/>
        <w:jc w:val="center"/>
        <w:rPr>
          <w:rFonts w:eastAsia="Arial Unicode MS"/>
          <w:color w:val="000000"/>
          <w:sz w:val="20"/>
          <w:szCs w:val="20"/>
          <w:shd w:val="clear" w:color="auto" w:fill="FFFFFF"/>
        </w:rPr>
      </w:pPr>
    </w:p>
    <w:p w14:paraId="62C31E65" w14:textId="77777777" w:rsidR="00387142" w:rsidRPr="008B6A75" w:rsidRDefault="00387142" w:rsidP="00387142">
      <w:pPr>
        <w:widowControl w:val="0"/>
        <w:ind w:firstLine="724"/>
        <w:jc w:val="center"/>
        <w:rPr>
          <w:rFonts w:eastAsia="Arial Unicode MS"/>
          <w:color w:val="000000"/>
          <w:sz w:val="20"/>
          <w:szCs w:val="20"/>
          <w:shd w:val="clear" w:color="auto" w:fill="FFFFFF"/>
        </w:rPr>
      </w:pPr>
    </w:p>
    <w:p w14:paraId="7271FDBA" w14:textId="77777777" w:rsidR="00387142" w:rsidRPr="008B6A75" w:rsidRDefault="00387142" w:rsidP="00387142">
      <w:pPr>
        <w:widowControl w:val="0"/>
        <w:ind w:firstLine="724"/>
        <w:jc w:val="center"/>
        <w:rPr>
          <w:rFonts w:eastAsia="Arial Unicode MS"/>
          <w:color w:val="000000"/>
          <w:sz w:val="20"/>
          <w:szCs w:val="20"/>
          <w:shd w:val="clear" w:color="auto" w:fill="FFFFFF"/>
        </w:rPr>
      </w:pPr>
      <w:r w:rsidRPr="008B6A75">
        <w:rPr>
          <w:rFonts w:eastAsia="Arial Unicode MS"/>
          <w:color w:val="000000"/>
          <w:sz w:val="20"/>
          <w:szCs w:val="20"/>
          <w:shd w:val="clear" w:color="auto" w:fill="FFFFFF"/>
        </w:rPr>
        <w:t>УВЕДОМЛЕНИЕ</w:t>
      </w:r>
    </w:p>
    <w:p w14:paraId="1A1FBE23" w14:textId="77777777" w:rsidR="00387142" w:rsidRPr="008B6A75" w:rsidRDefault="00387142" w:rsidP="00387142">
      <w:pPr>
        <w:widowControl w:val="0"/>
        <w:ind w:firstLine="724"/>
        <w:jc w:val="center"/>
        <w:rPr>
          <w:rFonts w:eastAsia="Arial Unicode MS"/>
          <w:sz w:val="20"/>
          <w:szCs w:val="20"/>
        </w:rPr>
      </w:pPr>
    </w:p>
    <w:p w14:paraId="4ECDF80A" w14:textId="77777777" w:rsidR="00387142" w:rsidRPr="008B6A75" w:rsidRDefault="00387142" w:rsidP="00387142">
      <w:pPr>
        <w:widowControl w:val="0"/>
        <w:ind w:firstLine="724"/>
        <w:jc w:val="center"/>
        <w:rPr>
          <w:rFonts w:eastAsia="Arial Unicode MS"/>
          <w:color w:val="000000"/>
          <w:sz w:val="20"/>
          <w:szCs w:val="20"/>
          <w:shd w:val="clear" w:color="auto" w:fill="FFFFFF"/>
        </w:rPr>
      </w:pPr>
      <w:r w:rsidRPr="008B6A75">
        <w:rPr>
          <w:rFonts w:eastAsia="Arial Unicode MS"/>
          <w:color w:val="000000"/>
          <w:sz w:val="20"/>
          <w:szCs w:val="20"/>
          <w:shd w:val="clear" w:color="auto" w:fill="FFFFFF"/>
        </w:rPr>
        <w:t>Уважаемый (</w:t>
      </w:r>
      <w:proofErr w:type="spellStart"/>
      <w:r w:rsidRPr="008B6A75">
        <w:rPr>
          <w:rFonts w:eastAsia="Arial Unicode MS"/>
          <w:color w:val="000000"/>
          <w:sz w:val="20"/>
          <w:szCs w:val="20"/>
          <w:shd w:val="clear" w:color="auto" w:fill="FFFFFF"/>
        </w:rPr>
        <w:t>ая</w:t>
      </w:r>
      <w:proofErr w:type="spellEnd"/>
      <w:r w:rsidRPr="008B6A75">
        <w:rPr>
          <w:rFonts w:eastAsia="Arial Unicode MS"/>
          <w:color w:val="000000"/>
          <w:sz w:val="20"/>
          <w:szCs w:val="20"/>
          <w:shd w:val="clear" w:color="auto" w:fill="FFFFFF"/>
        </w:rPr>
        <w:t>) ______________________!</w:t>
      </w:r>
    </w:p>
    <w:p w14:paraId="4EB181BB" w14:textId="77777777" w:rsidR="00387142" w:rsidRPr="008B6A75" w:rsidRDefault="00387142" w:rsidP="00387142">
      <w:pPr>
        <w:widowControl w:val="0"/>
        <w:ind w:firstLine="724"/>
        <w:jc w:val="center"/>
        <w:rPr>
          <w:rFonts w:eastAsia="Arial Unicode MS"/>
          <w:sz w:val="20"/>
          <w:szCs w:val="20"/>
        </w:rPr>
      </w:pPr>
    </w:p>
    <w:p w14:paraId="0ACAC492" w14:textId="77777777" w:rsidR="00387142" w:rsidRPr="008B6A75" w:rsidRDefault="00387142" w:rsidP="00387142">
      <w:pPr>
        <w:widowControl w:val="0"/>
        <w:tabs>
          <w:tab w:val="left" w:pos="3067"/>
        </w:tabs>
        <w:ind w:firstLine="724"/>
        <w:jc w:val="both"/>
        <w:rPr>
          <w:rFonts w:eastAsia="Arial Unicode MS"/>
          <w:i/>
          <w:iCs/>
          <w:color w:val="000000"/>
          <w:sz w:val="20"/>
          <w:szCs w:val="20"/>
          <w:shd w:val="clear" w:color="auto" w:fill="FFFFFF"/>
        </w:rPr>
      </w:pPr>
      <w:r w:rsidRPr="008B6A75">
        <w:rPr>
          <w:rFonts w:eastAsia="Arial Unicode MS"/>
          <w:color w:val="000000"/>
          <w:sz w:val="20"/>
          <w:szCs w:val="20"/>
          <w:shd w:val="clear" w:color="auto" w:fill="FFFFFF"/>
        </w:rPr>
        <w:t>Администрация Куйбышевского муниципального района Новосибирской области сообщает</w:t>
      </w:r>
      <w:r w:rsidRPr="008B6A75">
        <w:rPr>
          <w:rFonts w:eastAsia="Arial Unicode MS"/>
          <w:i/>
          <w:iCs/>
          <w:color w:val="000000"/>
          <w:sz w:val="20"/>
          <w:szCs w:val="20"/>
          <w:shd w:val="clear" w:color="auto" w:fill="FFFFFF"/>
        </w:rPr>
        <w:t xml:space="preserve">, </w:t>
      </w:r>
      <w:r w:rsidRPr="008B6A75">
        <w:rPr>
          <w:rFonts w:eastAsia="Arial Unicode MS"/>
          <w:color w:val="000000"/>
          <w:sz w:val="20"/>
          <w:szCs w:val="20"/>
          <w:shd w:val="clear" w:color="auto" w:fill="FFFFFF"/>
        </w:rPr>
        <w:t xml:space="preserve">что в соответствии с Положением </w:t>
      </w:r>
      <w:r w:rsidRPr="008B6A75">
        <w:rPr>
          <w:rFonts w:eastAsia="Arial Unicode MS"/>
          <w:bCs/>
          <w:color w:val="000000"/>
          <w:sz w:val="20"/>
          <w:szCs w:val="20"/>
          <w:shd w:val="clear" w:color="auto" w:fill="FFFFFF"/>
        </w:rPr>
        <w:t>о ежемесячной доплате к страховой пенсии по старости (инвалидности) депутату, члену выборного органа местного самоуправления, выборному должностному лицу местного самоуправления, председателю, заместителю председателя, аудитору контрольно-счетного органа в Куйбышевском муниципальном районе Новосибирской области</w:t>
      </w:r>
      <w:r w:rsidRPr="008B6A75">
        <w:rPr>
          <w:rFonts w:eastAsia="Arial Unicode MS"/>
          <w:color w:val="000000"/>
          <w:sz w:val="20"/>
          <w:szCs w:val="20"/>
          <w:shd w:val="clear" w:color="auto" w:fill="FFFFFF"/>
        </w:rPr>
        <w:t xml:space="preserve"> распоряжением администрации Куйбышевского муниципального района Новосибирской области Вам установлена ежемесячная доплата к страховой пенсии по старости (инвалидности) в размере _________ рублей __________ копеек с ________________  </w:t>
      </w:r>
      <w:r w:rsidRPr="008B6A75">
        <w:rPr>
          <w:rFonts w:eastAsia="Arial Unicode MS"/>
          <w:i/>
          <w:iCs/>
          <w:color w:val="000000"/>
          <w:sz w:val="20"/>
          <w:szCs w:val="20"/>
          <w:shd w:val="clear" w:color="auto" w:fill="FFFFFF"/>
        </w:rPr>
        <w:t>(дата назначения)</w:t>
      </w:r>
      <w:r w:rsidRPr="008B6A75">
        <w:rPr>
          <w:rFonts w:eastAsia="Arial Unicode MS"/>
          <w:color w:val="000000"/>
          <w:sz w:val="20"/>
          <w:szCs w:val="20"/>
          <w:shd w:val="clear" w:color="auto" w:fill="FFFFFF"/>
        </w:rPr>
        <w:t>.</w:t>
      </w:r>
    </w:p>
    <w:p w14:paraId="1FE3BC27" w14:textId="77777777" w:rsidR="00387142" w:rsidRPr="008B6A75" w:rsidRDefault="00387142" w:rsidP="00387142">
      <w:pPr>
        <w:widowControl w:val="0"/>
        <w:tabs>
          <w:tab w:val="left" w:pos="3067"/>
        </w:tabs>
        <w:ind w:firstLine="724"/>
        <w:jc w:val="both"/>
        <w:rPr>
          <w:rFonts w:eastAsia="Arial Unicode MS"/>
          <w:i/>
          <w:iCs/>
          <w:color w:val="000000"/>
          <w:sz w:val="20"/>
          <w:szCs w:val="20"/>
          <w:shd w:val="clear" w:color="auto" w:fill="FFFFFF"/>
        </w:rPr>
      </w:pPr>
    </w:p>
    <w:p w14:paraId="7EB5F6F6" w14:textId="77777777" w:rsidR="00387142" w:rsidRPr="008B6A75" w:rsidRDefault="00387142" w:rsidP="00387142">
      <w:pPr>
        <w:widowControl w:val="0"/>
        <w:tabs>
          <w:tab w:val="left" w:pos="3067"/>
        </w:tabs>
        <w:ind w:firstLine="724"/>
        <w:jc w:val="both"/>
        <w:rPr>
          <w:rFonts w:eastAsia="Arial Unicode MS"/>
          <w:i/>
          <w:iCs/>
          <w:color w:val="000000"/>
          <w:sz w:val="20"/>
          <w:szCs w:val="20"/>
          <w:shd w:val="clear" w:color="auto" w:fill="FFFFFF"/>
        </w:rPr>
      </w:pPr>
    </w:p>
    <w:p w14:paraId="25D0308F" w14:textId="77777777" w:rsidR="00387142" w:rsidRPr="008B6A75" w:rsidRDefault="00387142" w:rsidP="00387142">
      <w:pPr>
        <w:widowControl w:val="0"/>
        <w:tabs>
          <w:tab w:val="left" w:pos="3067"/>
        </w:tabs>
        <w:ind w:firstLine="724"/>
        <w:jc w:val="both"/>
        <w:rPr>
          <w:rFonts w:eastAsia="Arial Unicode MS"/>
          <w:i/>
          <w:iCs/>
          <w:color w:val="000000"/>
          <w:sz w:val="20"/>
          <w:szCs w:val="20"/>
          <w:shd w:val="clear" w:color="auto" w:fill="FFFFFF"/>
        </w:rPr>
      </w:pPr>
    </w:p>
    <w:p w14:paraId="3EE394B9" w14:textId="77777777" w:rsidR="00387142" w:rsidRPr="008B6A75" w:rsidRDefault="00387142" w:rsidP="00387142">
      <w:pPr>
        <w:widowControl w:val="0"/>
        <w:ind w:firstLine="181"/>
        <w:jc w:val="both"/>
        <w:rPr>
          <w:rFonts w:eastAsia="Arial Unicode MS"/>
          <w:color w:val="000000"/>
          <w:sz w:val="20"/>
          <w:szCs w:val="20"/>
          <w:shd w:val="clear" w:color="auto" w:fill="FFFFFF"/>
        </w:rPr>
      </w:pPr>
    </w:p>
    <w:p w14:paraId="3BCD4E94" w14:textId="77777777" w:rsidR="00387142" w:rsidRPr="008B6A75" w:rsidRDefault="00387142" w:rsidP="00387142">
      <w:pPr>
        <w:widowControl w:val="0"/>
        <w:ind w:firstLine="181"/>
        <w:jc w:val="both"/>
        <w:rPr>
          <w:rFonts w:eastAsia="Arial Unicode MS"/>
          <w:color w:val="000000"/>
          <w:sz w:val="20"/>
          <w:szCs w:val="20"/>
          <w:shd w:val="clear" w:color="auto" w:fill="FFFFFF"/>
        </w:rPr>
      </w:pPr>
      <w:r w:rsidRPr="008B6A75">
        <w:rPr>
          <w:rFonts w:eastAsia="Arial Unicode MS"/>
          <w:color w:val="000000"/>
          <w:sz w:val="20"/>
          <w:szCs w:val="20"/>
          <w:shd w:val="clear" w:color="auto" w:fill="FFFFFF"/>
        </w:rPr>
        <w:t>Глава Куйбышевского муниципального</w:t>
      </w:r>
    </w:p>
    <w:p w14:paraId="4E4C67A5" w14:textId="77777777" w:rsidR="00387142" w:rsidRPr="008B6A75" w:rsidRDefault="00387142" w:rsidP="00387142">
      <w:pPr>
        <w:widowControl w:val="0"/>
        <w:ind w:firstLine="181"/>
        <w:jc w:val="both"/>
        <w:rPr>
          <w:rFonts w:eastAsia="Arial Unicode MS"/>
          <w:i/>
          <w:iCs/>
          <w:sz w:val="20"/>
          <w:szCs w:val="20"/>
          <w:u w:val="single"/>
        </w:rPr>
      </w:pPr>
      <w:r w:rsidRPr="008B6A75">
        <w:rPr>
          <w:rFonts w:eastAsia="Arial Unicode MS"/>
          <w:color w:val="000000"/>
          <w:sz w:val="20"/>
          <w:szCs w:val="20"/>
          <w:shd w:val="clear" w:color="auto" w:fill="FFFFFF"/>
        </w:rPr>
        <w:t>района Новосибирской области</w:t>
      </w:r>
      <w:r w:rsidRPr="008B6A75">
        <w:rPr>
          <w:rFonts w:eastAsia="Arial Unicode MS"/>
          <w:color w:val="000000"/>
          <w:sz w:val="20"/>
          <w:szCs w:val="20"/>
          <w:shd w:val="clear" w:color="auto" w:fill="FFFFFF"/>
        </w:rPr>
        <w:tab/>
      </w:r>
      <w:r w:rsidRPr="008B6A75">
        <w:rPr>
          <w:rFonts w:eastAsia="Arial Unicode MS"/>
          <w:color w:val="000000"/>
          <w:sz w:val="20"/>
          <w:szCs w:val="20"/>
          <w:shd w:val="clear" w:color="auto" w:fill="FFFFFF"/>
        </w:rPr>
        <w:tab/>
      </w:r>
      <w:r w:rsidRPr="008B6A75">
        <w:rPr>
          <w:rFonts w:eastAsia="Arial Unicode MS"/>
          <w:color w:val="000000"/>
          <w:sz w:val="20"/>
          <w:szCs w:val="20"/>
          <w:shd w:val="clear" w:color="auto" w:fill="FFFFFF"/>
        </w:rPr>
        <w:tab/>
      </w:r>
      <w:r w:rsidRPr="008B6A75">
        <w:rPr>
          <w:rFonts w:eastAsia="Arial Unicode MS"/>
          <w:color w:val="000000"/>
          <w:sz w:val="20"/>
          <w:szCs w:val="20"/>
          <w:shd w:val="clear" w:color="auto" w:fill="FFFFFF"/>
        </w:rPr>
        <w:tab/>
      </w:r>
      <w:r w:rsidRPr="008B6A75">
        <w:rPr>
          <w:rFonts w:eastAsia="Arial Unicode MS"/>
          <w:i/>
          <w:iCs/>
          <w:sz w:val="20"/>
          <w:szCs w:val="20"/>
          <w:u w:val="single"/>
        </w:rPr>
        <w:tab/>
      </w:r>
      <w:r w:rsidRPr="008B6A75">
        <w:rPr>
          <w:rFonts w:eastAsia="Arial Unicode MS"/>
          <w:i/>
          <w:iCs/>
          <w:sz w:val="20"/>
          <w:szCs w:val="20"/>
          <w:u w:val="single"/>
        </w:rPr>
        <w:tab/>
      </w:r>
      <w:r w:rsidRPr="008B6A75">
        <w:rPr>
          <w:rFonts w:eastAsia="Arial Unicode MS"/>
          <w:i/>
          <w:iCs/>
          <w:sz w:val="20"/>
          <w:szCs w:val="20"/>
          <w:u w:val="single"/>
        </w:rPr>
        <w:tab/>
      </w:r>
      <w:r w:rsidRPr="008B6A75">
        <w:rPr>
          <w:rFonts w:eastAsia="Arial Unicode MS"/>
          <w:i/>
          <w:iCs/>
          <w:sz w:val="20"/>
          <w:szCs w:val="20"/>
          <w:u w:val="single"/>
        </w:rPr>
        <w:tab/>
      </w:r>
      <w:r w:rsidRPr="008B6A75">
        <w:rPr>
          <w:rFonts w:eastAsia="Arial Unicode MS"/>
          <w:i/>
          <w:iCs/>
          <w:sz w:val="20"/>
          <w:szCs w:val="20"/>
          <w:u w:val="single"/>
        </w:rPr>
        <w:tab/>
      </w:r>
    </w:p>
    <w:p w14:paraId="643103A6" w14:textId="77777777" w:rsidR="00387142" w:rsidRPr="008B6A75" w:rsidRDefault="00387142" w:rsidP="00387142">
      <w:pPr>
        <w:widowControl w:val="0"/>
        <w:ind w:firstLine="724"/>
        <w:jc w:val="both"/>
        <w:rPr>
          <w:rFonts w:eastAsia="Arial Unicode MS"/>
          <w:i/>
          <w:iCs/>
          <w:sz w:val="20"/>
          <w:szCs w:val="20"/>
        </w:rPr>
      </w:pPr>
      <w:r w:rsidRPr="008B6A75">
        <w:rPr>
          <w:rFonts w:eastAsia="Arial Unicode MS"/>
          <w:sz w:val="20"/>
          <w:szCs w:val="20"/>
        </w:rPr>
        <w:tab/>
      </w:r>
      <w:r w:rsidRPr="008B6A75">
        <w:rPr>
          <w:rFonts w:eastAsia="Arial Unicode MS"/>
          <w:sz w:val="20"/>
          <w:szCs w:val="20"/>
        </w:rPr>
        <w:tab/>
      </w:r>
      <w:r w:rsidRPr="008B6A75">
        <w:rPr>
          <w:rFonts w:eastAsia="Arial Unicode MS"/>
          <w:sz w:val="20"/>
          <w:szCs w:val="20"/>
        </w:rPr>
        <w:tab/>
      </w:r>
      <w:r w:rsidRPr="008B6A75">
        <w:rPr>
          <w:rFonts w:eastAsia="Arial Unicode MS"/>
          <w:sz w:val="20"/>
          <w:szCs w:val="20"/>
        </w:rPr>
        <w:tab/>
      </w:r>
      <w:r w:rsidRPr="008B6A75">
        <w:rPr>
          <w:rFonts w:eastAsia="Arial Unicode MS"/>
          <w:sz w:val="20"/>
          <w:szCs w:val="20"/>
        </w:rPr>
        <w:tab/>
      </w:r>
      <w:r w:rsidRPr="008B6A75">
        <w:rPr>
          <w:rFonts w:eastAsia="Arial Unicode MS"/>
          <w:sz w:val="20"/>
          <w:szCs w:val="20"/>
        </w:rPr>
        <w:tab/>
      </w:r>
      <w:r w:rsidRPr="008B6A75">
        <w:rPr>
          <w:rFonts w:eastAsia="Arial Unicode MS"/>
          <w:sz w:val="20"/>
          <w:szCs w:val="20"/>
        </w:rPr>
        <w:tab/>
      </w:r>
      <w:r w:rsidRPr="008B6A75">
        <w:rPr>
          <w:rFonts w:eastAsia="Arial Unicode MS"/>
          <w:sz w:val="20"/>
          <w:szCs w:val="20"/>
        </w:rPr>
        <w:tab/>
      </w:r>
      <w:r w:rsidRPr="008B6A75">
        <w:rPr>
          <w:rFonts w:eastAsia="Arial Unicode MS"/>
          <w:i/>
          <w:iCs/>
          <w:sz w:val="20"/>
          <w:szCs w:val="20"/>
        </w:rPr>
        <w:t>(подпись, инициалы, фамилия)</w:t>
      </w:r>
    </w:p>
    <w:p w14:paraId="4765E7EC" w14:textId="77777777" w:rsidR="00387142" w:rsidRPr="008B6A75" w:rsidRDefault="00387142" w:rsidP="00387142">
      <w:pPr>
        <w:spacing w:line="240" w:lineRule="atLeast"/>
        <w:jc w:val="center"/>
        <w:rPr>
          <w:sz w:val="20"/>
          <w:szCs w:val="20"/>
        </w:rPr>
      </w:pPr>
      <w:r w:rsidRPr="008B6A75">
        <w:rPr>
          <w:noProof/>
          <w:sz w:val="20"/>
          <w:szCs w:val="20"/>
        </w:rPr>
        <w:drawing>
          <wp:inline distT="0" distB="0" distL="0" distR="0" wp14:anchorId="658DD8EE" wp14:editId="0DC80BBD">
            <wp:extent cx="354173" cy="425437"/>
            <wp:effectExtent l="0" t="0" r="825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7143" cy="429004"/>
                    </a:xfrm>
                    <a:prstGeom prst="rect">
                      <a:avLst/>
                    </a:prstGeom>
                    <a:noFill/>
                    <a:ln>
                      <a:noFill/>
                    </a:ln>
                  </pic:spPr>
                </pic:pic>
              </a:graphicData>
            </a:graphic>
          </wp:inline>
        </w:drawing>
      </w:r>
    </w:p>
    <w:p w14:paraId="2B7F22CD" w14:textId="77777777" w:rsidR="00387142" w:rsidRPr="008B6A75" w:rsidRDefault="00387142" w:rsidP="00387142">
      <w:pPr>
        <w:widowControl w:val="0"/>
        <w:autoSpaceDE w:val="0"/>
        <w:autoSpaceDN w:val="0"/>
        <w:adjustRightInd w:val="0"/>
        <w:spacing w:line="240" w:lineRule="atLeast"/>
        <w:jc w:val="center"/>
        <w:rPr>
          <w:bCs/>
          <w:sz w:val="20"/>
          <w:szCs w:val="20"/>
        </w:rPr>
      </w:pPr>
    </w:p>
    <w:p w14:paraId="4766D2B0" w14:textId="77777777" w:rsidR="00387142" w:rsidRPr="008B6A75" w:rsidRDefault="00387142" w:rsidP="00387142">
      <w:pPr>
        <w:widowControl w:val="0"/>
        <w:autoSpaceDE w:val="0"/>
        <w:autoSpaceDN w:val="0"/>
        <w:adjustRightInd w:val="0"/>
        <w:spacing w:line="240" w:lineRule="atLeast"/>
        <w:jc w:val="center"/>
        <w:rPr>
          <w:bCs/>
          <w:sz w:val="20"/>
          <w:szCs w:val="20"/>
        </w:rPr>
      </w:pPr>
      <w:r w:rsidRPr="008B6A75">
        <w:rPr>
          <w:bCs/>
          <w:sz w:val="20"/>
          <w:szCs w:val="20"/>
        </w:rPr>
        <w:t>СОВЕТ ДЕПУТАТОВ</w:t>
      </w:r>
    </w:p>
    <w:p w14:paraId="4EAD76F7" w14:textId="77777777" w:rsidR="00387142" w:rsidRPr="008B6A75" w:rsidRDefault="00387142" w:rsidP="00387142">
      <w:pPr>
        <w:widowControl w:val="0"/>
        <w:autoSpaceDE w:val="0"/>
        <w:autoSpaceDN w:val="0"/>
        <w:adjustRightInd w:val="0"/>
        <w:spacing w:line="240" w:lineRule="atLeast"/>
        <w:jc w:val="center"/>
        <w:rPr>
          <w:bCs/>
          <w:sz w:val="20"/>
          <w:szCs w:val="20"/>
        </w:rPr>
      </w:pPr>
      <w:r w:rsidRPr="008B6A75">
        <w:rPr>
          <w:bCs/>
          <w:sz w:val="20"/>
          <w:szCs w:val="20"/>
        </w:rPr>
        <w:t>КУЙБЫШЕВСКОГО МУНИЦИПАЛЬНОГО РАЙОНА</w:t>
      </w:r>
    </w:p>
    <w:p w14:paraId="6FB9B114" w14:textId="77777777" w:rsidR="00387142" w:rsidRPr="008B6A75" w:rsidRDefault="00387142" w:rsidP="00387142">
      <w:pPr>
        <w:widowControl w:val="0"/>
        <w:autoSpaceDE w:val="0"/>
        <w:autoSpaceDN w:val="0"/>
        <w:adjustRightInd w:val="0"/>
        <w:spacing w:line="240" w:lineRule="atLeast"/>
        <w:jc w:val="center"/>
        <w:rPr>
          <w:bCs/>
          <w:sz w:val="20"/>
          <w:szCs w:val="20"/>
        </w:rPr>
      </w:pPr>
      <w:r w:rsidRPr="008B6A75">
        <w:rPr>
          <w:bCs/>
          <w:sz w:val="20"/>
          <w:szCs w:val="20"/>
        </w:rPr>
        <w:t xml:space="preserve">НОВОСИБИРСКОЙ ОБЛАСТИ </w:t>
      </w:r>
    </w:p>
    <w:p w14:paraId="41CB33D1" w14:textId="77777777" w:rsidR="00387142" w:rsidRPr="008B6A75" w:rsidRDefault="00387142" w:rsidP="00387142">
      <w:pPr>
        <w:widowControl w:val="0"/>
        <w:autoSpaceDE w:val="0"/>
        <w:autoSpaceDN w:val="0"/>
        <w:adjustRightInd w:val="0"/>
        <w:spacing w:line="240" w:lineRule="atLeast"/>
        <w:jc w:val="center"/>
        <w:rPr>
          <w:bCs/>
          <w:sz w:val="20"/>
          <w:szCs w:val="20"/>
        </w:rPr>
      </w:pPr>
      <w:r w:rsidRPr="008B6A75">
        <w:rPr>
          <w:bCs/>
          <w:sz w:val="20"/>
          <w:szCs w:val="20"/>
        </w:rPr>
        <w:t>ЧЕТВЕРТОГО СОЗЫВА</w:t>
      </w:r>
    </w:p>
    <w:p w14:paraId="2B8FB3F7" w14:textId="77777777" w:rsidR="00387142" w:rsidRPr="008B6A75" w:rsidRDefault="00387142" w:rsidP="00387142">
      <w:pPr>
        <w:widowControl w:val="0"/>
        <w:autoSpaceDE w:val="0"/>
        <w:autoSpaceDN w:val="0"/>
        <w:adjustRightInd w:val="0"/>
        <w:spacing w:line="240" w:lineRule="atLeast"/>
        <w:jc w:val="center"/>
        <w:rPr>
          <w:bCs/>
          <w:sz w:val="20"/>
          <w:szCs w:val="20"/>
        </w:rPr>
      </w:pPr>
    </w:p>
    <w:p w14:paraId="42F7D8CE" w14:textId="77777777" w:rsidR="00387142" w:rsidRPr="008B6A75" w:rsidRDefault="00387142" w:rsidP="00387142">
      <w:pPr>
        <w:widowControl w:val="0"/>
        <w:autoSpaceDE w:val="0"/>
        <w:autoSpaceDN w:val="0"/>
        <w:adjustRightInd w:val="0"/>
        <w:spacing w:line="240" w:lineRule="atLeast"/>
        <w:jc w:val="center"/>
        <w:rPr>
          <w:bCs/>
          <w:sz w:val="20"/>
          <w:szCs w:val="20"/>
        </w:rPr>
      </w:pPr>
      <w:r w:rsidRPr="008B6A75">
        <w:rPr>
          <w:bCs/>
          <w:sz w:val="20"/>
          <w:szCs w:val="20"/>
        </w:rPr>
        <w:t>РЕШЕНИЕ</w:t>
      </w:r>
    </w:p>
    <w:p w14:paraId="39453B04" w14:textId="77777777" w:rsidR="00387142" w:rsidRPr="008B6A75" w:rsidRDefault="00387142" w:rsidP="00387142">
      <w:pPr>
        <w:widowControl w:val="0"/>
        <w:autoSpaceDE w:val="0"/>
        <w:autoSpaceDN w:val="0"/>
        <w:adjustRightInd w:val="0"/>
        <w:spacing w:line="240" w:lineRule="atLeast"/>
        <w:jc w:val="center"/>
        <w:rPr>
          <w:bCs/>
          <w:sz w:val="20"/>
          <w:szCs w:val="20"/>
        </w:rPr>
      </w:pPr>
      <w:r w:rsidRPr="008B6A75">
        <w:rPr>
          <w:bCs/>
          <w:sz w:val="20"/>
          <w:szCs w:val="20"/>
        </w:rPr>
        <w:t>двадцать третьей сессии</w:t>
      </w:r>
    </w:p>
    <w:p w14:paraId="2FF5DCAD" w14:textId="77777777" w:rsidR="00387142" w:rsidRPr="008B6A75" w:rsidRDefault="00387142" w:rsidP="00387142">
      <w:pPr>
        <w:widowControl w:val="0"/>
        <w:autoSpaceDE w:val="0"/>
        <w:autoSpaceDN w:val="0"/>
        <w:adjustRightInd w:val="0"/>
        <w:spacing w:line="240" w:lineRule="atLeast"/>
        <w:jc w:val="center"/>
        <w:rPr>
          <w:bCs/>
          <w:sz w:val="20"/>
          <w:szCs w:val="20"/>
        </w:rPr>
      </w:pPr>
    </w:p>
    <w:p w14:paraId="061F929F" w14:textId="77777777" w:rsidR="00387142" w:rsidRPr="008B6A75" w:rsidRDefault="00387142" w:rsidP="00387142">
      <w:pPr>
        <w:autoSpaceDE w:val="0"/>
        <w:autoSpaceDN w:val="0"/>
        <w:adjustRightInd w:val="0"/>
        <w:spacing w:line="240" w:lineRule="atLeast"/>
        <w:jc w:val="center"/>
        <w:rPr>
          <w:sz w:val="20"/>
          <w:szCs w:val="20"/>
        </w:rPr>
      </w:pPr>
      <w:r w:rsidRPr="008B6A75">
        <w:rPr>
          <w:sz w:val="20"/>
          <w:szCs w:val="20"/>
        </w:rPr>
        <w:t>03.11.2022 № 8</w:t>
      </w:r>
    </w:p>
    <w:p w14:paraId="044892F7" w14:textId="77777777" w:rsidR="00387142" w:rsidRPr="008B6A75" w:rsidRDefault="00387142" w:rsidP="00387142">
      <w:pPr>
        <w:jc w:val="center"/>
        <w:rPr>
          <w:bCs/>
          <w:sz w:val="20"/>
          <w:szCs w:val="20"/>
        </w:rPr>
      </w:pPr>
    </w:p>
    <w:p w14:paraId="6F3ABFDB" w14:textId="77777777" w:rsidR="00387142" w:rsidRPr="008B6A75" w:rsidRDefault="00387142" w:rsidP="00387142">
      <w:pPr>
        <w:ind w:firstLine="676"/>
        <w:jc w:val="center"/>
        <w:outlineLvl w:val="0"/>
        <w:rPr>
          <w:bCs/>
          <w:sz w:val="20"/>
          <w:szCs w:val="20"/>
        </w:rPr>
      </w:pPr>
      <w:r w:rsidRPr="008B6A75">
        <w:rPr>
          <w:bCs/>
          <w:sz w:val="20"/>
          <w:szCs w:val="20"/>
        </w:rPr>
        <w:t xml:space="preserve">Об утверждении прогнозного плана (программы) приватизации </w:t>
      </w:r>
    </w:p>
    <w:p w14:paraId="3BDF2241" w14:textId="77777777" w:rsidR="00387142" w:rsidRPr="008B6A75" w:rsidRDefault="00387142" w:rsidP="00387142">
      <w:pPr>
        <w:ind w:firstLine="676"/>
        <w:jc w:val="center"/>
        <w:rPr>
          <w:bCs/>
          <w:sz w:val="20"/>
          <w:szCs w:val="20"/>
        </w:rPr>
      </w:pPr>
      <w:r w:rsidRPr="008B6A75">
        <w:rPr>
          <w:bCs/>
          <w:sz w:val="20"/>
          <w:szCs w:val="20"/>
        </w:rPr>
        <w:t>муниципального имущества Куйбышевского муниципального района Новосибирской области на 2022 год</w:t>
      </w:r>
    </w:p>
    <w:p w14:paraId="7A31EE74" w14:textId="77777777" w:rsidR="00387142" w:rsidRPr="008B6A75" w:rsidRDefault="00387142" w:rsidP="00387142">
      <w:pPr>
        <w:ind w:firstLine="676"/>
        <w:jc w:val="both"/>
        <w:rPr>
          <w:sz w:val="20"/>
          <w:szCs w:val="20"/>
        </w:rPr>
      </w:pPr>
    </w:p>
    <w:p w14:paraId="6895C5FC" w14:textId="77777777" w:rsidR="00387142" w:rsidRPr="008B6A75" w:rsidRDefault="00387142" w:rsidP="00387142">
      <w:pPr>
        <w:ind w:firstLine="676"/>
        <w:jc w:val="both"/>
        <w:rPr>
          <w:sz w:val="20"/>
          <w:szCs w:val="20"/>
        </w:rPr>
      </w:pPr>
      <w:r w:rsidRPr="008B6A75">
        <w:rPr>
          <w:sz w:val="20"/>
          <w:szCs w:val="20"/>
        </w:rPr>
        <w:t xml:space="preserve">В соответствии с </w:t>
      </w:r>
      <w:r w:rsidRPr="008B6A75">
        <w:rPr>
          <w:sz w:val="20"/>
          <w:szCs w:val="20"/>
        </w:rPr>
        <w:tab/>
        <w:t>Федеральным законом от 21.12.2001 №178-ФЗ «О приватизации государственного и муниципального имущества», Федеральным законом от 06.10.2003 №131-ФЗ «Об общих принципах организации местного самоуправления в Российской Федерации», Уставом Куйбышевского муниципального района Новосибирской области, Положением об управлении и распоряжении муниципальной собственностью Куйбышевского муниципального района Новосибирской области, утвержденного решением второй сессии Совета депутатов Куйбышевского района второго созыва от 25.11.2010 №11, решением четырнадцатой сессии Совета депутатов Куйбышевского района третьего созыва от 31.03.2017 № 4 «Об утверждении Положения «О приватизации муниципального имущества Куйбышевского района», Совет депутатов Куйбышевского муниципального района Новосибирской области</w:t>
      </w:r>
    </w:p>
    <w:p w14:paraId="54D93979" w14:textId="77777777" w:rsidR="00387142" w:rsidRPr="008B6A75" w:rsidRDefault="00387142" w:rsidP="00387142">
      <w:pPr>
        <w:ind w:firstLine="676"/>
        <w:jc w:val="both"/>
        <w:outlineLvl w:val="0"/>
        <w:rPr>
          <w:sz w:val="20"/>
          <w:szCs w:val="20"/>
        </w:rPr>
      </w:pPr>
      <w:r w:rsidRPr="008B6A75">
        <w:rPr>
          <w:sz w:val="20"/>
          <w:szCs w:val="20"/>
        </w:rPr>
        <w:t>РЕШИЛ:</w:t>
      </w:r>
    </w:p>
    <w:p w14:paraId="2C7ECA7F" w14:textId="77777777" w:rsidR="00387142" w:rsidRPr="008B6A75" w:rsidRDefault="00387142" w:rsidP="00387142">
      <w:pPr>
        <w:ind w:firstLine="676"/>
        <w:jc w:val="both"/>
        <w:rPr>
          <w:sz w:val="20"/>
          <w:szCs w:val="20"/>
        </w:rPr>
      </w:pPr>
      <w:r w:rsidRPr="008B6A75">
        <w:rPr>
          <w:sz w:val="20"/>
          <w:szCs w:val="20"/>
        </w:rPr>
        <w:t>1. Утвердить прогнозный план (программу) приватизации муниципального имущества Куйбышевского муниципального района Новосибирской области на 2022 год.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1985"/>
        <w:gridCol w:w="4252"/>
        <w:gridCol w:w="1197"/>
        <w:gridCol w:w="1977"/>
      </w:tblGrid>
      <w:tr w:rsidR="00387142" w:rsidRPr="008B6A75" w14:paraId="34E7EB30" w14:textId="77777777" w:rsidTr="00387142">
        <w:tc>
          <w:tcPr>
            <w:tcW w:w="567" w:type="dxa"/>
          </w:tcPr>
          <w:p w14:paraId="172B476D" w14:textId="77777777" w:rsidR="00387142" w:rsidRPr="008B6A75" w:rsidRDefault="00387142" w:rsidP="00387142">
            <w:pPr>
              <w:jc w:val="both"/>
              <w:rPr>
                <w:sz w:val="20"/>
                <w:szCs w:val="20"/>
              </w:rPr>
            </w:pPr>
            <w:r w:rsidRPr="008B6A75">
              <w:rPr>
                <w:sz w:val="20"/>
                <w:szCs w:val="20"/>
              </w:rPr>
              <w:t>№ п/п</w:t>
            </w:r>
          </w:p>
        </w:tc>
        <w:tc>
          <w:tcPr>
            <w:tcW w:w="1985" w:type="dxa"/>
          </w:tcPr>
          <w:p w14:paraId="725FD98A" w14:textId="77777777" w:rsidR="00387142" w:rsidRPr="008B6A75" w:rsidRDefault="00387142" w:rsidP="00387142">
            <w:pPr>
              <w:jc w:val="both"/>
              <w:rPr>
                <w:sz w:val="20"/>
                <w:szCs w:val="20"/>
              </w:rPr>
            </w:pPr>
            <w:r w:rsidRPr="008B6A75">
              <w:rPr>
                <w:sz w:val="20"/>
                <w:szCs w:val="20"/>
              </w:rPr>
              <w:t>Наименование имущества и его характеристики</w:t>
            </w:r>
          </w:p>
        </w:tc>
        <w:tc>
          <w:tcPr>
            <w:tcW w:w="4252" w:type="dxa"/>
          </w:tcPr>
          <w:p w14:paraId="62298522" w14:textId="77777777" w:rsidR="00387142" w:rsidRPr="008B6A75" w:rsidRDefault="00387142" w:rsidP="00387142">
            <w:pPr>
              <w:rPr>
                <w:sz w:val="20"/>
                <w:szCs w:val="20"/>
              </w:rPr>
            </w:pPr>
            <w:r w:rsidRPr="008B6A75">
              <w:rPr>
                <w:sz w:val="20"/>
                <w:szCs w:val="20"/>
              </w:rPr>
              <w:t>Адрес (местоположение, местонахождение имущества)</w:t>
            </w:r>
          </w:p>
        </w:tc>
        <w:tc>
          <w:tcPr>
            <w:tcW w:w="1197" w:type="dxa"/>
          </w:tcPr>
          <w:p w14:paraId="6DE548E2" w14:textId="77777777" w:rsidR="00387142" w:rsidRPr="008B6A75" w:rsidRDefault="00387142" w:rsidP="00387142">
            <w:pPr>
              <w:jc w:val="both"/>
              <w:rPr>
                <w:sz w:val="20"/>
                <w:szCs w:val="20"/>
              </w:rPr>
            </w:pPr>
            <w:r w:rsidRPr="008B6A75">
              <w:rPr>
                <w:sz w:val="20"/>
                <w:szCs w:val="20"/>
              </w:rPr>
              <w:t>Общая площадь (кв. м.)</w:t>
            </w:r>
          </w:p>
        </w:tc>
        <w:tc>
          <w:tcPr>
            <w:tcW w:w="1977" w:type="dxa"/>
          </w:tcPr>
          <w:p w14:paraId="1029F6A6" w14:textId="77777777" w:rsidR="00387142" w:rsidRPr="008B6A75" w:rsidRDefault="00387142" w:rsidP="00387142">
            <w:pPr>
              <w:jc w:val="both"/>
              <w:rPr>
                <w:sz w:val="20"/>
                <w:szCs w:val="20"/>
              </w:rPr>
            </w:pPr>
            <w:r w:rsidRPr="008B6A75">
              <w:rPr>
                <w:sz w:val="20"/>
                <w:szCs w:val="20"/>
              </w:rPr>
              <w:t>Кадастровый или условный номер</w:t>
            </w:r>
          </w:p>
        </w:tc>
      </w:tr>
      <w:tr w:rsidR="00387142" w:rsidRPr="008B6A75" w14:paraId="026757DD" w14:textId="77777777" w:rsidTr="00387142">
        <w:tc>
          <w:tcPr>
            <w:tcW w:w="567" w:type="dxa"/>
          </w:tcPr>
          <w:p w14:paraId="403662B6" w14:textId="77777777" w:rsidR="00387142" w:rsidRPr="008B6A75" w:rsidRDefault="00387142" w:rsidP="00372B96">
            <w:pPr>
              <w:numPr>
                <w:ilvl w:val="0"/>
                <w:numId w:val="29"/>
              </w:numPr>
              <w:jc w:val="both"/>
              <w:rPr>
                <w:sz w:val="20"/>
                <w:szCs w:val="20"/>
              </w:rPr>
            </w:pPr>
          </w:p>
        </w:tc>
        <w:tc>
          <w:tcPr>
            <w:tcW w:w="1985" w:type="dxa"/>
          </w:tcPr>
          <w:p w14:paraId="0175A488" w14:textId="77777777" w:rsidR="00387142" w:rsidRPr="008B6A75" w:rsidRDefault="00387142" w:rsidP="00387142">
            <w:pPr>
              <w:jc w:val="both"/>
              <w:rPr>
                <w:sz w:val="20"/>
                <w:szCs w:val="20"/>
              </w:rPr>
            </w:pPr>
            <w:r w:rsidRPr="008B6A75">
              <w:rPr>
                <w:sz w:val="20"/>
                <w:szCs w:val="20"/>
              </w:rPr>
              <w:t>Помещение гаража</w:t>
            </w:r>
          </w:p>
        </w:tc>
        <w:tc>
          <w:tcPr>
            <w:tcW w:w="4252" w:type="dxa"/>
          </w:tcPr>
          <w:p w14:paraId="1935A2AA" w14:textId="77777777" w:rsidR="00387142" w:rsidRPr="008B6A75" w:rsidRDefault="00387142" w:rsidP="00387142">
            <w:pPr>
              <w:jc w:val="both"/>
              <w:rPr>
                <w:sz w:val="20"/>
                <w:szCs w:val="20"/>
              </w:rPr>
            </w:pPr>
            <w:r w:rsidRPr="008B6A75">
              <w:rPr>
                <w:sz w:val="20"/>
                <w:szCs w:val="20"/>
              </w:rPr>
              <w:t xml:space="preserve">Новосибирская область, </w:t>
            </w:r>
          </w:p>
          <w:p w14:paraId="39AE2282" w14:textId="77777777" w:rsidR="00387142" w:rsidRPr="008B6A75" w:rsidRDefault="00387142" w:rsidP="00387142">
            <w:pPr>
              <w:jc w:val="both"/>
              <w:rPr>
                <w:sz w:val="20"/>
                <w:szCs w:val="20"/>
              </w:rPr>
            </w:pPr>
            <w:r w:rsidRPr="008B6A75">
              <w:rPr>
                <w:sz w:val="20"/>
                <w:szCs w:val="20"/>
              </w:rPr>
              <w:lastRenderedPageBreak/>
              <w:t>г. Куйбышев, ул. Молодежная, д. 3</w:t>
            </w:r>
          </w:p>
        </w:tc>
        <w:tc>
          <w:tcPr>
            <w:tcW w:w="1197" w:type="dxa"/>
          </w:tcPr>
          <w:p w14:paraId="686EB6E5" w14:textId="77777777" w:rsidR="00387142" w:rsidRPr="008B6A75" w:rsidRDefault="00387142" w:rsidP="00387142">
            <w:pPr>
              <w:jc w:val="center"/>
              <w:rPr>
                <w:sz w:val="20"/>
                <w:szCs w:val="20"/>
              </w:rPr>
            </w:pPr>
            <w:r w:rsidRPr="008B6A75">
              <w:rPr>
                <w:color w:val="000000"/>
                <w:sz w:val="20"/>
                <w:szCs w:val="20"/>
              </w:rPr>
              <w:lastRenderedPageBreak/>
              <w:t>303,2</w:t>
            </w:r>
          </w:p>
        </w:tc>
        <w:tc>
          <w:tcPr>
            <w:tcW w:w="1977" w:type="dxa"/>
          </w:tcPr>
          <w:p w14:paraId="7A6B534B" w14:textId="77777777" w:rsidR="00387142" w:rsidRPr="008B6A75" w:rsidRDefault="00387142" w:rsidP="00387142">
            <w:pPr>
              <w:jc w:val="center"/>
              <w:rPr>
                <w:sz w:val="20"/>
                <w:szCs w:val="20"/>
              </w:rPr>
            </w:pPr>
            <w:r w:rsidRPr="008B6A75">
              <w:rPr>
                <w:sz w:val="20"/>
                <w:szCs w:val="20"/>
              </w:rPr>
              <w:t>54:34:012901:259</w:t>
            </w:r>
          </w:p>
        </w:tc>
      </w:tr>
      <w:tr w:rsidR="00387142" w:rsidRPr="008B6A75" w14:paraId="449E32F0" w14:textId="77777777" w:rsidTr="00387142">
        <w:tc>
          <w:tcPr>
            <w:tcW w:w="567" w:type="dxa"/>
          </w:tcPr>
          <w:p w14:paraId="51A27740" w14:textId="77777777" w:rsidR="00387142" w:rsidRPr="008B6A75" w:rsidRDefault="00387142" w:rsidP="00372B96">
            <w:pPr>
              <w:numPr>
                <w:ilvl w:val="0"/>
                <w:numId w:val="29"/>
              </w:numPr>
              <w:jc w:val="both"/>
              <w:rPr>
                <w:sz w:val="20"/>
                <w:szCs w:val="20"/>
              </w:rPr>
            </w:pPr>
          </w:p>
        </w:tc>
        <w:tc>
          <w:tcPr>
            <w:tcW w:w="1985" w:type="dxa"/>
          </w:tcPr>
          <w:p w14:paraId="60C5B468" w14:textId="77777777" w:rsidR="00387142" w:rsidRPr="008B6A75" w:rsidRDefault="00387142" w:rsidP="00387142">
            <w:pPr>
              <w:jc w:val="both"/>
              <w:rPr>
                <w:sz w:val="20"/>
                <w:szCs w:val="20"/>
              </w:rPr>
            </w:pPr>
            <w:r w:rsidRPr="008B6A75">
              <w:rPr>
                <w:sz w:val="20"/>
                <w:szCs w:val="20"/>
              </w:rPr>
              <w:t>Помещение гаража</w:t>
            </w:r>
          </w:p>
        </w:tc>
        <w:tc>
          <w:tcPr>
            <w:tcW w:w="4252" w:type="dxa"/>
          </w:tcPr>
          <w:p w14:paraId="1BA6E8AD" w14:textId="77777777" w:rsidR="00387142" w:rsidRPr="008B6A75" w:rsidRDefault="00387142" w:rsidP="00387142">
            <w:pPr>
              <w:jc w:val="both"/>
              <w:rPr>
                <w:sz w:val="20"/>
                <w:szCs w:val="20"/>
              </w:rPr>
            </w:pPr>
            <w:r w:rsidRPr="008B6A75">
              <w:rPr>
                <w:sz w:val="20"/>
                <w:szCs w:val="20"/>
              </w:rPr>
              <w:t xml:space="preserve">Новосибирская область, </w:t>
            </w:r>
          </w:p>
          <w:p w14:paraId="6D390817" w14:textId="77777777" w:rsidR="00387142" w:rsidRPr="008B6A75" w:rsidRDefault="00387142" w:rsidP="00387142">
            <w:pPr>
              <w:jc w:val="both"/>
              <w:rPr>
                <w:sz w:val="20"/>
                <w:szCs w:val="20"/>
              </w:rPr>
            </w:pPr>
            <w:r w:rsidRPr="008B6A75">
              <w:rPr>
                <w:sz w:val="20"/>
                <w:szCs w:val="20"/>
              </w:rPr>
              <w:t>г. Куйбышев, ул. Молодежная, д. 3</w:t>
            </w:r>
          </w:p>
        </w:tc>
        <w:tc>
          <w:tcPr>
            <w:tcW w:w="1197" w:type="dxa"/>
          </w:tcPr>
          <w:p w14:paraId="3FF852FE" w14:textId="77777777" w:rsidR="00387142" w:rsidRPr="008B6A75" w:rsidRDefault="00387142" w:rsidP="00387142">
            <w:pPr>
              <w:jc w:val="center"/>
              <w:rPr>
                <w:sz w:val="20"/>
                <w:szCs w:val="20"/>
              </w:rPr>
            </w:pPr>
            <w:r w:rsidRPr="008B6A75">
              <w:rPr>
                <w:color w:val="000000"/>
                <w:sz w:val="20"/>
                <w:szCs w:val="20"/>
              </w:rPr>
              <w:t>523,0</w:t>
            </w:r>
          </w:p>
        </w:tc>
        <w:tc>
          <w:tcPr>
            <w:tcW w:w="1977" w:type="dxa"/>
          </w:tcPr>
          <w:p w14:paraId="34949ED5" w14:textId="77777777" w:rsidR="00387142" w:rsidRPr="008B6A75" w:rsidRDefault="00387142" w:rsidP="00387142">
            <w:pPr>
              <w:jc w:val="center"/>
              <w:rPr>
                <w:sz w:val="20"/>
                <w:szCs w:val="20"/>
              </w:rPr>
            </w:pPr>
            <w:r w:rsidRPr="008B6A75">
              <w:rPr>
                <w:sz w:val="20"/>
                <w:szCs w:val="20"/>
              </w:rPr>
              <w:t>54:34:012901:260</w:t>
            </w:r>
          </w:p>
        </w:tc>
      </w:tr>
    </w:tbl>
    <w:p w14:paraId="0414E7B3" w14:textId="77777777" w:rsidR="00387142" w:rsidRPr="008B6A75" w:rsidRDefault="00387142" w:rsidP="00387142">
      <w:pPr>
        <w:suppressAutoHyphens/>
        <w:ind w:right="-2" w:firstLine="709"/>
        <w:jc w:val="both"/>
        <w:rPr>
          <w:sz w:val="20"/>
          <w:szCs w:val="20"/>
        </w:rPr>
      </w:pPr>
      <w:r w:rsidRPr="008B6A75">
        <w:rPr>
          <w:sz w:val="20"/>
          <w:szCs w:val="20"/>
        </w:rPr>
        <w:t>2. Настоящее решение вступает в силу после опубликования в периодическом печатном издании органа местного самоуправления Куйбышевского муниципального района Новосибирской области «Информационный вестник».</w:t>
      </w:r>
    </w:p>
    <w:p w14:paraId="31096E95" w14:textId="77777777" w:rsidR="00387142" w:rsidRPr="008B6A75" w:rsidRDefault="00387142" w:rsidP="00387142">
      <w:pPr>
        <w:ind w:left="-426" w:right="-2"/>
        <w:jc w:val="both"/>
        <w:rPr>
          <w:sz w:val="20"/>
          <w:szCs w:val="20"/>
        </w:rPr>
      </w:pPr>
    </w:p>
    <w:p w14:paraId="51E41894" w14:textId="77777777" w:rsidR="00387142" w:rsidRPr="008B6A75" w:rsidRDefault="00387142" w:rsidP="00387142">
      <w:pPr>
        <w:ind w:right="-2"/>
        <w:jc w:val="both"/>
        <w:rPr>
          <w:sz w:val="20"/>
          <w:szCs w:val="20"/>
        </w:rPr>
      </w:pPr>
      <w:r w:rsidRPr="008B6A75">
        <w:rPr>
          <w:sz w:val="20"/>
          <w:szCs w:val="20"/>
        </w:rPr>
        <w:t xml:space="preserve">Председатель Совета депутатов Куйбышевского </w:t>
      </w:r>
    </w:p>
    <w:p w14:paraId="368FC66D" w14:textId="77777777" w:rsidR="00387142" w:rsidRPr="008B6A75" w:rsidRDefault="00387142" w:rsidP="00387142">
      <w:pPr>
        <w:ind w:right="-2"/>
        <w:jc w:val="both"/>
        <w:rPr>
          <w:sz w:val="20"/>
          <w:szCs w:val="20"/>
        </w:rPr>
      </w:pPr>
      <w:r w:rsidRPr="008B6A75">
        <w:rPr>
          <w:sz w:val="20"/>
          <w:szCs w:val="20"/>
        </w:rPr>
        <w:t xml:space="preserve">муниципального района Новосибирской области                                                                                                  Р.В. </w:t>
      </w:r>
      <w:proofErr w:type="spellStart"/>
      <w:r w:rsidRPr="008B6A75">
        <w:rPr>
          <w:sz w:val="20"/>
          <w:szCs w:val="20"/>
        </w:rPr>
        <w:t>Булюктов</w:t>
      </w:r>
      <w:proofErr w:type="spellEnd"/>
      <w:r w:rsidRPr="008B6A75">
        <w:rPr>
          <w:sz w:val="20"/>
          <w:szCs w:val="20"/>
        </w:rPr>
        <w:t xml:space="preserve"> </w:t>
      </w:r>
    </w:p>
    <w:p w14:paraId="44BC0336" w14:textId="77777777" w:rsidR="00387142" w:rsidRPr="008B6A75" w:rsidRDefault="00387142" w:rsidP="00387142">
      <w:pPr>
        <w:ind w:right="-2"/>
        <w:jc w:val="both"/>
        <w:rPr>
          <w:sz w:val="20"/>
          <w:szCs w:val="20"/>
        </w:rPr>
      </w:pPr>
      <w:r w:rsidRPr="008B6A75">
        <w:rPr>
          <w:sz w:val="20"/>
          <w:szCs w:val="20"/>
        </w:rPr>
        <w:t xml:space="preserve">                                                         </w:t>
      </w:r>
    </w:p>
    <w:p w14:paraId="7BD4109F" w14:textId="77777777" w:rsidR="00387142" w:rsidRPr="008B6A75" w:rsidRDefault="00387142" w:rsidP="00387142">
      <w:pPr>
        <w:tabs>
          <w:tab w:val="left" w:pos="-426"/>
        </w:tabs>
        <w:suppressAutoHyphens/>
        <w:ind w:right="-2"/>
        <w:rPr>
          <w:sz w:val="20"/>
          <w:szCs w:val="20"/>
        </w:rPr>
      </w:pPr>
      <w:r w:rsidRPr="008B6A75">
        <w:rPr>
          <w:sz w:val="20"/>
          <w:szCs w:val="20"/>
        </w:rPr>
        <w:t xml:space="preserve">Глава Куйбышевского муниципального </w:t>
      </w:r>
    </w:p>
    <w:p w14:paraId="118E9415" w14:textId="63FFE9BB" w:rsidR="00387142" w:rsidRPr="008B6A75" w:rsidRDefault="00387142" w:rsidP="00387142">
      <w:pPr>
        <w:tabs>
          <w:tab w:val="left" w:pos="-426"/>
        </w:tabs>
        <w:suppressAutoHyphens/>
        <w:ind w:right="-2"/>
        <w:rPr>
          <w:rFonts w:ascii="Courier New" w:hAnsi="Courier New"/>
          <w:sz w:val="20"/>
          <w:szCs w:val="20"/>
        </w:rPr>
      </w:pPr>
      <w:r w:rsidRPr="008B6A75">
        <w:rPr>
          <w:sz w:val="20"/>
          <w:szCs w:val="20"/>
        </w:rPr>
        <w:t xml:space="preserve">района Новосибирской области                                                                                 </w:t>
      </w:r>
      <w:r w:rsidR="008B6A75" w:rsidRPr="008B6A75">
        <w:rPr>
          <w:sz w:val="20"/>
          <w:szCs w:val="20"/>
        </w:rPr>
        <w:t xml:space="preserve">                             </w:t>
      </w:r>
      <w:r w:rsidRPr="008B6A75">
        <w:rPr>
          <w:sz w:val="20"/>
          <w:szCs w:val="20"/>
        </w:rPr>
        <w:t xml:space="preserve">              О.В. Караваев </w:t>
      </w:r>
    </w:p>
    <w:p w14:paraId="25D3A7E5" w14:textId="77777777" w:rsidR="00387142" w:rsidRPr="008B6A75" w:rsidRDefault="00387142" w:rsidP="00387142">
      <w:pPr>
        <w:autoSpaceDE w:val="0"/>
        <w:autoSpaceDN w:val="0"/>
        <w:adjustRightInd w:val="0"/>
        <w:jc w:val="center"/>
        <w:rPr>
          <w:rFonts w:ascii="Cambria" w:hAnsi="Cambria" w:cs="Cambria"/>
          <w:sz w:val="20"/>
          <w:szCs w:val="20"/>
        </w:rPr>
      </w:pPr>
    </w:p>
    <w:p w14:paraId="43DCD3DC" w14:textId="77777777" w:rsidR="00387142" w:rsidRPr="008B6A75" w:rsidRDefault="00387142" w:rsidP="00387142">
      <w:pPr>
        <w:autoSpaceDE w:val="0"/>
        <w:autoSpaceDN w:val="0"/>
        <w:adjustRightInd w:val="0"/>
        <w:jc w:val="center"/>
        <w:rPr>
          <w:bCs/>
          <w:sz w:val="20"/>
          <w:szCs w:val="20"/>
        </w:rPr>
      </w:pPr>
      <w:r w:rsidRPr="008B6A75">
        <w:rPr>
          <w:rFonts w:ascii="Calibri" w:hAnsi="Calibri" w:cs="Calibri"/>
          <w:bCs/>
          <w:sz w:val="20"/>
          <w:szCs w:val="20"/>
        </w:rPr>
        <w:t xml:space="preserve"> </w:t>
      </w:r>
      <w:r w:rsidRPr="008B6A75">
        <w:rPr>
          <w:rFonts w:ascii="Calibri" w:hAnsi="Calibri" w:cs="Calibri"/>
          <w:bCs/>
          <w:noProof/>
          <w:color w:val="000000"/>
          <w:sz w:val="20"/>
          <w:szCs w:val="20"/>
        </w:rPr>
        <w:drawing>
          <wp:inline distT="0" distB="0" distL="0" distR="0" wp14:anchorId="4E770D01" wp14:editId="483AB3CF">
            <wp:extent cx="384397" cy="462769"/>
            <wp:effectExtent l="0" t="0" r="0" b="0"/>
            <wp:docPr id="8" name="Рисунок 8" descr="Куйбышевский р-н-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Куйбышевский р-н-герб"/>
                    <pic:cNvPicPr>
                      <a:picLocks noChangeAspect="1" noChangeArrowheads="1"/>
                    </pic:cNvPicPr>
                  </pic:nvPicPr>
                  <pic:blipFill>
                    <a:blip r:embed="rId23" cstate="print">
                      <a:lum bright="18000" contrast="60000"/>
                      <a:grayscl/>
                      <a:extLst>
                        <a:ext uri="{28A0092B-C50C-407E-A947-70E740481C1C}">
                          <a14:useLocalDpi xmlns:a14="http://schemas.microsoft.com/office/drawing/2010/main" val="0"/>
                        </a:ext>
                      </a:extLst>
                    </a:blip>
                    <a:srcRect/>
                    <a:stretch>
                      <a:fillRect/>
                    </a:stretch>
                  </pic:blipFill>
                  <pic:spPr bwMode="auto">
                    <a:xfrm>
                      <a:off x="0" y="0"/>
                      <a:ext cx="386815" cy="465680"/>
                    </a:xfrm>
                    <a:prstGeom prst="rect">
                      <a:avLst/>
                    </a:prstGeom>
                    <a:noFill/>
                    <a:ln>
                      <a:noFill/>
                    </a:ln>
                  </pic:spPr>
                </pic:pic>
              </a:graphicData>
            </a:graphic>
          </wp:inline>
        </w:drawing>
      </w:r>
      <w:r w:rsidRPr="008B6A75">
        <w:rPr>
          <w:bCs/>
          <w:sz w:val="20"/>
          <w:szCs w:val="20"/>
        </w:rPr>
        <w:t xml:space="preserve"> </w:t>
      </w:r>
    </w:p>
    <w:p w14:paraId="09B86655" w14:textId="77777777" w:rsidR="00387142" w:rsidRPr="008B6A75" w:rsidRDefault="00387142" w:rsidP="00387142">
      <w:pPr>
        <w:autoSpaceDE w:val="0"/>
        <w:autoSpaceDN w:val="0"/>
        <w:adjustRightInd w:val="0"/>
        <w:jc w:val="center"/>
        <w:rPr>
          <w:bCs/>
          <w:sz w:val="20"/>
          <w:szCs w:val="20"/>
        </w:rPr>
      </w:pPr>
      <w:r w:rsidRPr="008B6A75">
        <w:rPr>
          <w:bCs/>
          <w:sz w:val="20"/>
          <w:szCs w:val="20"/>
        </w:rPr>
        <w:t xml:space="preserve">  </w:t>
      </w:r>
    </w:p>
    <w:p w14:paraId="023A8254" w14:textId="77777777" w:rsidR="00387142" w:rsidRPr="008B6A75" w:rsidRDefault="00387142" w:rsidP="00387142">
      <w:pPr>
        <w:autoSpaceDE w:val="0"/>
        <w:autoSpaceDN w:val="0"/>
        <w:adjustRightInd w:val="0"/>
        <w:jc w:val="center"/>
        <w:rPr>
          <w:bCs/>
          <w:sz w:val="20"/>
          <w:szCs w:val="20"/>
        </w:rPr>
      </w:pPr>
      <w:r w:rsidRPr="008B6A75">
        <w:rPr>
          <w:bCs/>
          <w:sz w:val="20"/>
          <w:szCs w:val="20"/>
        </w:rPr>
        <w:t>СОВЕТ ДЕПУТАТОВ</w:t>
      </w:r>
    </w:p>
    <w:p w14:paraId="19A693E1" w14:textId="77777777" w:rsidR="00387142" w:rsidRPr="008B6A75" w:rsidRDefault="00387142" w:rsidP="00387142">
      <w:pPr>
        <w:autoSpaceDE w:val="0"/>
        <w:autoSpaceDN w:val="0"/>
        <w:adjustRightInd w:val="0"/>
        <w:jc w:val="center"/>
        <w:rPr>
          <w:bCs/>
          <w:sz w:val="20"/>
          <w:szCs w:val="20"/>
        </w:rPr>
      </w:pPr>
      <w:r w:rsidRPr="008B6A75">
        <w:rPr>
          <w:bCs/>
          <w:sz w:val="20"/>
          <w:szCs w:val="20"/>
        </w:rPr>
        <w:t>КУЙБЫШЕВСКОГО МУНИЦИПАЛЬНОГО РАЙОНА</w:t>
      </w:r>
    </w:p>
    <w:p w14:paraId="2683DD88" w14:textId="77777777" w:rsidR="00387142" w:rsidRPr="008B6A75" w:rsidRDefault="00387142" w:rsidP="00387142">
      <w:pPr>
        <w:autoSpaceDE w:val="0"/>
        <w:autoSpaceDN w:val="0"/>
        <w:adjustRightInd w:val="0"/>
        <w:jc w:val="center"/>
        <w:rPr>
          <w:bCs/>
          <w:sz w:val="20"/>
          <w:szCs w:val="20"/>
        </w:rPr>
      </w:pPr>
      <w:r w:rsidRPr="008B6A75">
        <w:rPr>
          <w:bCs/>
          <w:sz w:val="20"/>
          <w:szCs w:val="20"/>
        </w:rPr>
        <w:t xml:space="preserve">НОВОСИБИРСКОЙ ОБЛАСТИ </w:t>
      </w:r>
    </w:p>
    <w:p w14:paraId="2BD67D21" w14:textId="77777777" w:rsidR="00387142" w:rsidRPr="008B6A75" w:rsidRDefault="00387142" w:rsidP="00387142">
      <w:pPr>
        <w:autoSpaceDE w:val="0"/>
        <w:autoSpaceDN w:val="0"/>
        <w:adjustRightInd w:val="0"/>
        <w:jc w:val="center"/>
        <w:rPr>
          <w:bCs/>
          <w:sz w:val="20"/>
          <w:szCs w:val="20"/>
        </w:rPr>
      </w:pPr>
      <w:r w:rsidRPr="008B6A75">
        <w:rPr>
          <w:bCs/>
          <w:sz w:val="20"/>
          <w:szCs w:val="20"/>
        </w:rPr>
        <w:t>ЧЕТВЕРТОГО СОЗЫВА</w:t>
      </w:r>
    </w:p>
    <w:p w14:paraId="5E8B22D8" w14:textId="77777777" w:rsidR="00387142" w:rsidRPr="008B6A75" w:rsidRDefault="00387142" w:rsidP="00387142">
      <w:pPr>
        <w:autoSpaceDE w:val="0"/>
        <w:autoSpaceDN w:val="0"/>
        <w:adjustRightInd w:val="0"/>
        <w:jc w:val="center"/>
        <w:rPr>
          <w:bCs/>
          <w:sz w:val="20"/>
          <w:szCs w:val="20"/>
        </w:rPr>
      </w:pPr>
    </w:p>
    <w:p w14:paraId="1AC499BA" w14:textId="77777777" w:rsidR="00387142" w:rsidRPr="008B6A75" w:rsidRDefault="00387142" w:rsidP="00387142">
      <w:pPr>
        <w:autoSpaceDE w:val="0"/>
        <w:autoSpaceDN w:val="0"/>
        <w:adjustRightInd w:val="0"/>
        <w:jc w:val="center"/>
        <w:rPr>
          <w:bCs/>
          <w:sz w:val="20"/>
          <w:szCs w:val="20"/>
        </w:rPr>
      </w:pPr>
      <w:r w:rsidRPr="008B6A75">
        <w:rPr>
          <w:bCs/>
          <w:sz w:val="20"/>
          <w:szCs w:val="20"/>
        </w:rPr>
        <w:t>РЕШЕНИЕ</w:t>
      </w:r>
    </w:p>
    <w:p w14:paraId="034A4592" w14:textId="77777777" w:rsidR="00387142" w:rsidRPr="008B6A75" w:rsidRDefault="00387142" w:rsidP="00387142">
      <w:pPr>
        <w:autoSpaceDE w:val="0"/>
        <w:autoSpaceDN w:val="0"/>
        <w:adjustRightInd w:val="0"/>
        <w:jc w:val="center"/>
        <w:rPr>
          <w:bCs/>
          <w:sz w:val="20"/>
          <w:szCs w:val="20"/>
        </w:rPr>
      </w:pPr>
      <w:r w:rsidRPr="008B6A75">
        <w:rPr>
          <w:bCs/>
          <w:sz w:val="20"/>
          <w:szCs w:val="20"/>
        </w:rPr>
        <w:t>двадцать третьей сессии</w:t>
      </w:r>
    </w:p>
    <w:p w14:paraId="535BB313" w14:textId="77777777" w:rsidR="00387142" w:rsidRPr="008B6A75" w:rsidRDefault="00387142" w:rsidP="00387142">
      <w:pPr>
        <w:autoSpaceDE w:val="0"/>
        <w:autoSpaceDN w:val="0"/>
        <w:adjustRightInd w:val="0"/>
        <w:jc w:val="center"/>
        <w:rPr>
          <w:bCs/>
          <w:sz w:val="20"/>
          <w:szCs w:val="20"/>
        </w:rPr>
      </w:pPr>
    </w:p>
    <w:p w14:paraId="7FF1D337" w14:textId="77777777" w:rsidR="00387142" w:rsidRPr="008B6A75" w:rsidRDefault="00387142" w:rsidP="00387142">
      <w:pPr>
        <w:autoSpaceDE w:val="0"/>
        <w:autoSpaceDN w:val="0"/>
        <w:adjustRightInd w:val="0"/>
        <w:jc w:val="center"/>
        <w:rPr>
          <w:bCs/>
          <w:sz w:val="20"/>
          <w:szCs w:val="20"/>
        </w:rPr>
      </w:pPr>
      <w:r w:rsidRPr="008B6A75">
        <w:rPr>
          <w:bCs/>
          <w:sz w:val="20"/>
          <w:szCs w:val="20"/>
        </w:rPr>
        <w:t>03.11.2022 № 9</w:t>
      </w:r>
    </w:p>
    <w:p w14:paraId="7B40EAB9" w14:textId="77777777" w:rsidR="00387142" w:rsidRPr="008B6A75" w:rsidRDefault="00387142" w:rsidP="00387142">
      <w:pPr>
        <w:jc w:val="center"/>
        <w:outlineLvl w:val="0"/>
        <w:rPr>
          <w:sz w:val="20"/>
          <w:szCs w:val="20"/>
          <w:u w:val="single"/>
        </w:rPr>
      </w:pPr>
      <w:r w:rsidRPr="008B6A75">
        <w:rPr>
          <w:bCs/>
          <w:sz w:val="20"/>
          <w:szCs w:val="20"/>
        </w:rPr>
        <w:t xml:space="preserve">                                                                            </w:t>
      </w:r>
    </w:p>
    <w:p w14:paraId="0479C441" w14:textId="77777777" w:rsidR="00387142" w:rsidRPr="008B6A75" w:rsidRDefault="00387142" w:rsidP="00387142">
      <w:pPr>
        <w:jc w:val="center"/>
        <w:rPr>
          <w:bCs/>
          <w:sz w:val="20"/>
          <w:szCs w:val="20"/>
        </w:rPr>
      </w:pPr>
      <w:r w:rsidRPr="008B6A75">
        <w:rPr>
          <w:bCs/>
          <w:sz w:val="20"/>
          <w:szCs w:val="20"/>
        </w:rPr>
        <w:t xml:space="preserve">О предоставлении ежегодного оплачиваемого отпуска </w:t>
      </w:r>
    </w:p>
    <w:p w14:paraId="4E6AADA1" w14:textId="77777777" w:rsidR="00387142" w:rsidRPr="008B6A75" w:rsidRDefault="00387142" w:rsidP="00387142">
      <w:pPr>
        <w:jc w:val="center"/>
        <w:rPr>
          <w:bCs/>
          <w:sz w:val="20"/>
          <w:szCs w:val="20"/>
        </w:rPr>
      </w:pPr>
      <w:r w:rsidRPr="008B6A75">
        <w:rPr>
          <w:bCs/>
          <w:sz w:val="20"/>
          <w:szCs w:val="20"/>
        </w:rPr>
        <w:t xml:space="preserve">председателю Совета депутатов Куйбышевского муниципального района Новосибирской области </w:t>
      </w:r>
      <w:proofErr w:type="spellStart"/>
      <w:r w:rsidRPr="008B6A75">
        <w:rPr>
          <w:bCs/>
          <w:sz w:val="20"/>
          <w:szCs w:val="20"/>
        </w:rPr>
        <w:t>Булюктову</w:t>
      </w:r>
      <w:proofErr w:type="spellEnd"/>
      <w:r w:rsidRPr="008B6A75">
        <w:rPr>
          <w:bCs/>
          <w:sz w:val="20"/>
          <w:szCs w:val="20"/>
        </w:rPr>
        <w:t xml:space="preserve"> Р.В.</w:t>
      </w:r>
    </w:p>
    <w:p w14:paraId="6D93E648" w14:textId="77777777" w:rsidR="00387142" w:rsidRPr="008B6A75" w:rsidRDefault="00387142" w:rsidP="00387142">
      <w:pPr>
        <w:jc w:val="both"/>
        <w:rPr>
          <w:sz w:val="20"/>
          <w:szCs w:val="20"/>
        </w:rPr>
      </w:pPr>
    </w:p>
    <w:p w14:paraId="5DF64E77" w14:textId="77777777" w:rsidR="00387142" w:rsidRPr="008B6A75" w:rsidRDefault="00387142" w:rsidP="00387142">
      <w:pPr>
        <w:ind w:firstLine="360"/>
        <w:jc w:val="both"/>
        <w:rPr>
          <w:sz w:val="20"/>
          <w:szCs w:val="20"/>
        </w:rPr>
      </w:pPr>
      <w:r w:rsidRPr="008B6A75">
        <w:rPr>
          <w:sz w:val="20"/>
          <w:szCs w:val="20"/>
        </w:rPr>
        <w:t>Совет депутатов Куйбышевского муниципального района Новосибирской области</w:t>
      </w:r>
    </w:p>
    <w:p w14:paraId="4D2D243D" w14:textId="77777777" w:rsidR="00387142" w:rsidRPr="008B6A75" w:rsidRDefault="00387142" w:rsidP="00387142">
      <w:pPr>
        <w:jc w:val="both"/>
        <w:rPr>
          <w:bCs/>
          <w:sz w:val="20"/>
          <w:szCs w:val="20"/>
        </w:rPr>
      </w:pPr>
      <w:r w:rsidRPr="008B6A75">
        <w:rPr>
          <w:sz w:val="20"/>
          <w:szCs w:val="20"/>
        </w:rPr>
        <w:t xml:space="preserve">     </w:t>
      </w:r>
      <w:r w:rsidRPr="008B6A75">
        <w:rPr>
          <w:bCs/>
          <w:sz w:val="20"/>
          <w:szCs w:val="20"/>
        </w:rPr>
        <w:t>РЕШИЛ:</w:t>
      </w:r>
    </w:p>
    <w:p w14:paraId="57D41F69" w14:textId="77777777" w:rsidR="00387142" w:rsidRPr="008B6A75" w:rsidRDefault="00387142" w:rsidP="00387142">
      <w:pPr>
        <w:ind w:firstLine="360"/>
        <w:jc w:val="both"/>
        <w:rPr>
          <w:sz w:val="20"/>
          <w:szCs w:val="20"/>
        </w:rPr>
      </w:pPr>
      <w:r w:rsidRPr="008B6A75">
        <w:rPr>
          <w:sz w:val="20"/>
          <w:szCs w:val="20"/>
        </w:rPr>
        <w:t xml:space="preserve">     Предоставить </w:t>
      </w:r>
      <w:proofErr w:type="spellStart"/>
      <w:r w:rsidRPr="008B6A75">
        <w:rPr>
          <w:sz w:val="20"/>
          <w:szCs w:val="20"/>
        </w:rPr>
        <w:t>Булюктову</w:t>
      </w:r>
      <w:proofErr w:type="spellEnd"/>
      <w:r w:rsidRPr="008B6A75">
        <w:rPr>
          <w:sz w:val="20"/>
          <w:szCs w:val="20"/>
        </w:rPr>
        <w:t xml:space="preserve"> Роману Викторовичу – председателю Совета депутатов Куйбышевского муниципального района Новосибирской области ежегодный оплачиваемый отпуск с 12 декабря по 23 декабря 2022 года на 12 календарных дней.</w:t>
      </w:r>
    </w:p>
    <w:p w14:paraId="7FC5E485" w14:textId="77777777" w:rsidR="00387142" w:rsidRPr="008B6A75" w:rsidRDefault="00387142" w:rsidP="00387142">
      <w:pPr>
        <w:jc w:val="both"/>
        <w:rPr>
          <w:sz w:val="20"/>
          <w:szCs w:val="20"/>
        </w:rPr>
      </w:pPr>
      <w:r w:rsidRPr="008B6A75">
        <w:rPr>
          <w:sz w:val="20"/>
          <w:szCs w:val="20"/>
        </w:rPr>
        <w:t xml:space="preserve">         </w:t>
      </w:r>
    </w:p>
    <w:p w14:paraId="65DCB94D" w14:textId="77777777" w:rsidR="00387142" w:rsidRPr="008B6A75" w:rsidRDefault="00387142" w:rsidP="00387142">
      <w:pPr>
        <w:rPr>
          <w:sz w:val="20"/>
          <w:szCs w:val="20"/>
        </w:rPr>
      </w:pPr>
      <w:r w:rsidRPr="008B6A75">
        <w:rPr>
          <w:sz w:val="20"/>
          <w:szCs w:val="20"/>
        </w:rPr>
        <w:t xml:space="preserve">Председатель Совета депутатов Куйбышевского </w:t>
      </w:r>
    </w:p>
    <w:p w14:paraId="5FBDA9E5" w14:textId="77777777" w:rsidR="00387142" w:rsidRPr="008B6A75" w:rsidRDefault="00387142" w:rsidP="00387142">
      <w:pPr>
        <w:rPr>
          <w:sz w:val="20"/>
          <w:szCs w:val="20"/>
        </w:rPr>
      </w:pPr>
      <w:r w:rsidRPr="008B6A75">
        <w:rPr>
          <w:sz w:val="20"/>
          <w:szCs w:val="20"/>
        </w:rPr>
        <w:t xml:space="preserve">муниципального района Новосибирской области                                                           Р.В. </w:t>
      </w:r>
      <w:proofErr w:type="spellStart"/>
      <w:r w:rsidRPr="008B6A75">
        <w:rPr>
          <w:sz w:val="20"/>
          <w:szCs w:val="20"/>
        </w:rPr>
        <w:t>Булюктов</w:t>
      </w:r>
      <w:proofErr w:type="spellEnd"/>
      <w:r w:rsidRPr="008B6A75">
        <w:rPr>
          <w:sz w:val="20"/>
          <w:szCs w:val="20"/>
        </w:rPr>
        <w:t xml:space="preserve">                                                                                                                                             </w:t>
      </w:r>
    </w:p>
    <w:p w14:paraId="0A2B97C0" w14:textId="77777777" w:rsidR="00387142" w:rsidRPr="008B6A75" w:rsidRDefault="00387142" w:rsidP="00387142">
      <w:pPr>
        <w:ind w:right="-427"/>
        <w:rPr>
          <w:sz w:val="20"/>
          <w:szCs w:val="20"/>
        </w:rPr>
      </w:pPr>
    </w:p>
    <w:p w14:paraId="45696742" w14:textId="77777777" w:rsidR="00387142" w:rsidRPr="008B6A75" w:rsidRDefault="00387142" w:rsidP="00387142">
      <w:pPr>
        <w:ind w:right="-427"/>
        <w:rPr>
          <w:sz w:val="20"/>
          <w:szCs w:val="20"/>
        </w:rPr>
      </w:pPr>
    </w:p>
    <w:p w14:paraId="791E3902" w14:textId="77777777" w:rsidR="00902720" w:rsidRPr="008B6A75" w:rsidRDefault="00902720" w:rsidP="00267FB0">
      <w:pPr>
        <w:jc w:val="center"/>
        <w:rPr>
          <w:rFonts w:eastAsia="Calibri"/>
          <w:sz w:val="20"/>
          <w:szCs w:val="20"/>
        </w:rPr>
      </w:pPr>
    </w:p>
    <w:p w14:paraId="177E0321" w14:textId="77777777" w:rsidR="00902720" w:rsidRPr="008B6A75" w:rsidRDefault="00902720" w:rsidP="00267FB0">
      <w:pPr>
        <w:jc w:val="center"/>
        <w:rPr>
          <w:rFonts w:eastAsia="Calibri"/>
          <w:sz w:val="20"/>
          <w:szCs w:val="20"/>
        </w:rPr>
      </w:pPr>
    </w:p>
    <w:p w14:paraId="584AD723" w14:textId="77777777" w:rsidR="00902720" w:rsidRPr="008B6A75" w:rsidRDefault="00902720" w:rsidP="00267FB0">
      <w:pPr>
        <w:jc w:val="center"/>
        <w:rPr>
          <w:rFonts w:eastAsia="Calibri"/>
          <w:sz w:val="20"/>
          <w:szCs w:val="20"/>
        </w:rPr>
      </w:pPr>
    </w:p>
    <w:p w14:paraId="2594C3BB" w14:textId="4C027904" w:rsidR="00D16E8B" w:rsidRPr="008B6A75" w:rsidRDefault="009C55D2" w:rsidP="00267FB0">
      <w:pPr>
        <w:jc w:val="center"/>
        <w:rPr>
          <w:rFonts w:eastAsia="Calibri"/>
          <w:sz w:val="20"/>
          <w:szCs w:val="20"/>
        </w:rPr>
      </w:pPr>
      <w:r w:rsidRPr="008B6A75">
        <w:rPr>
          <w:rFonts w:eastAsia="Calibri"/>
          <w:sz w:val="20"/>
          <w:szCs w:val="20"/>
          <w:lang w:val="en-US"/>
        </w:rPr>
        <w:t>I</w:t>
      </w:r>
      <w:r w:rsidR="00921570" w:rsidRPr="008B6A75">
        <w:rPr>
          <w:rFonts w:eastAsia="Calibri"/>
          <w:sz w:val="20"/>
          <w:szCs w:val="20"/>
          <w:lang w:val="en-US"/>
        </w:rPr>
        <w:t>I</w:t>
      </w:r>
      <w:r w:rsidR="00921570" w:rsidRPr="008B6A75">
        <w:rPr>
          <w:rFonts w:eastAsia="Calibri"/>
          <w:sz w:val="20"/>
          <w:szCs w:val="20"/>
        </w:rPr>
        <w:t>. МУНИЦИПАЛЬНЫЕ ПРАВОВЫЕ АКТЫ АДМИНИСТРАЦИИ И ГЛАВЫ КУЙБЫШЕВСКОГО МУНИЦИПАЛЬНОГО РАЙОНА НОВОСИБИРСКОЙ ОБЛАСТИ</w:t>
      </w:r>
    </w:p>
    <w:p w14:paraId="572590EF" w14:textId="77777777" w:rsidR="00D16E8B" w:rsidRPr="008B6A75" w:rsidRDefault="00D16E8B" w:rsidP="00267FB0">
      <w:pPr>
        <w:jc w:val="center"/>
        <w:rPr>
          <w:rFonts w:eastAsia="Calibri"/>
          <w:sz w:val="20"/>
          <w:szCs w:val="20"/>
        </w:rPr>
      </w:pPr>
    </w:p>
    <w:p w14:paraId="2B56D5AA" w14:textId="77777777" w:rsidR="00D67409" w:rsidRPr="008B6A75" w:rsidRDefault="00D67409" w:rsidP="00267FB0">
      <w:pPr>
        <w:jc w:val="center"/>
        <w:rPr>
          <w:rFonts w:eastAsia="Calibri"/>
          <w:sz w:val="20"/>
          <w:szCs w:val="20"/>
        </w:rPr>
      </w:pPr>
    </w:p>
    <w:p w14:paraId="538B2048" w14:textId="77777777" w:rsidR="00D67409" w:rsidRPr="008B6A75" w:rsidRDefault="00D67409" w:rsidP="00267FB0">
      <w:pPr>
        <w:jc w:val="center"/>
        <w:rPr>
          <w:rFonts w:eastAsia="Calibri"/>
          <w:sz w:val="20"/>
          <w:szCs w:val="20"/>
        </w:rPr>
      </w:pPr>
    </w:p>
    <w:p w14:paraId="4C08246D" w14:textId="77777777" w:rsidR="00D67409" w:rsidRPr="008B6A75" w:rsidRDefault="00D67409" w:rsidP="00D67409">
      <w:pPr>
        <w:pStyle w:val="af5"/>
        <w:rPr>
          <w:b w:val="0"/>
          <w:sz w:val="20"/>
          <w:szCs w:val="20"/>
        </w:rPr>
      </w:pPr>
      <w:r w:rsidRPr="008B6A75">
        <w:rPr>
          <w:b w:val="0"/>
          <w:sz w:val="20"/>
          <w:szCs w:val="20"/>
        </w:rPr>
        <w:t>ГЛАВА КУЙБЫШЕВСКОГО МУНИЦИПАЛЬНОГО РАЙОНА</w:t>
      </w:r>
    </w:p>
    <w:p w14:paraId="6F6A4A1A" w14:textId="77777777" w:rsidR="00D67409" w:rsidRPr="008B6A75" w:rsidRDefault="00D67409" w:rsidP="00D67409">
      <w:pPr>
        <w:pStyle w:val="af5"/>
        <w:rPr>
          <w:b w:val="0"/>
          <w:sz w:val="20"/>
          <w:szCs w:val="20"/>
        </w:rPr>
      </w:pPr>
      <w:r w:rsidRPr="008B6A75">
        <w:rPr>
          <w:b w:val="0"/>
          <w:sz w:val="20"/>
          <w:szCs w:val="20"/>
        </w:rPr>
        <w:t>НОВОСИБИРСКОЙ ОБЛАСТИ</w:t>
      </w:r>
    </w:p>
    <w:p w14:paraId="5BA9C5D9" w14:textId="77777777" w:rsidR="00D67409" w:rsidRPr="008B6A75" w:rsidRDefault="00D67409" w:rsidP="00D67409">
      <w:pPr>
        <w:pStyle w:val="af5"/>
        <w:rPr>
          <w:b w:val="0"/>
          <w:sz w:val="20"/>
          <w:szCs w:val="20"/>
        </w:rPr>
      </w:pPr>
    </w:p>
    <w:p w14:paraId="1B180028" w14:textId="77777777" w:rsidR="00D67409" w:rsidRPr="008B6A75" w:rsidRDefault="00D67409" w:rsidP="00D67409">
      <w:pPr>
        <w:pStyle w:val="af5"/>
        <w:rPr>
          <w:b w:val="0"/>
          <w:sz w:val="20"/>
          <w:szCs w:val="20"/>
        </w:rPr>
      </w:pPr>
      <w:r w:rsidRPr="008B6A75">
        <w:rPr>
          <w:b w:val="0"/>
          <w:sz w:val="20"/>
          <w:szCs w:val="20"/>
        </w:rPr>
        <w:t>ПОСТАНОВЛЕНИЕ</w:t>
      </w:r>
    </w:p>
    <w:p w14:paraId="02CACEB5" w14:textId="77777777" w:rsidR="00D67409" w:rsidRPr="008B6A75" w:rsidRDefault="00D67409" w:rsidP="00D67409">
      <w:pPr>
        <w:pStyle w:val="af5"/>
        <w:rPr>
          <w:b w:val="0"/>
          <w:sz w:val="20"/>
          <w:szCs w:val="20"/>
        </w:rPr>
      </w:pPr>
      <w:r w:rsidRPr="008B6A75">
        <w:rPr>
          <w:b w:val="0"/>
          <w:sz w:val="20"/>
          <w:szCs w:val="20"/>
        </w:rPr>
        <w:t>г. Куйбышев</w:t>
      </w:r>
    </w:p>
    <w:p w14:paraId="3968B6DE" w14:textId="77777777" w:rsidR="00D67409" w:rsidRPr="008B6A75" w:rsidRDefault="00D67409" w:rsidP="00D67409">
      <w:pPr>
        <w:pStyle w:val="af5"/>
        <w:rPr>
          <w:b w:val="0"/>
          <w:sz w:val="20"/>
          <w:szCs w:val="20"/>
        </w:rPr>
      </w:pPr>
      <w:r w:rsidRPr="008B6A75">
        <w:rPr>
          <w:b w:val="0"/>
          <w:sz w:val="20"/>
          <w:szCs w:val="20"/>
        </w:rPr>
        <w:t>Новосибирская область</w:t>
      </w:r>
    </w:p>
    <w:p w14:paraId="013C3693" w14:textId="77777777" w:rsidR="00D67409" w:rsidRPr="008B6A75" w:rsidRDefault="00D67409" w:rsidP="00D67409">
      <w:pPr>
        <w:pStyle w:val="af5"/>
        <w:rPr>
          <w:b w:val="0"/>
          <w:sz w:val="20"/>
          <w:szCs w:val="20"/>
        </w:rPr>
      </w:pPr>
    </w:p>
    <w:p w14:paraId="7E065A4C" w14:textId="77777777" w:rsidR="00D67409" w:rsidRPr="008B6A75" w:rsidRDefault="00D67409" w:rsidP="00D67409">
      <w:pPr>
        <w:pStyle w:val="af5"/>
        <w:rPr>
          <w:b w:val="0"/>
          <w:sz w:val="20"/>
          <w:szCs w:val="20"/>
        </w:rPr>
      </w:pPr>
      <w:r w:rsidRPr="008B6A75">
        <w:rPr>
          <w:b w:val="0"/>
          <w:sz w:val="20"/>
          <w:szCs w:val="20"/>
        </w:rPr>
        <w:t>31.10.2022 № 852</w:t>
      </w:r>
    </w:p>
    <w:p w14:paraId="54C31EF4" w14:textId="77777777" w:rsidR="00D67409" w:rsidRPr="008B6A75" w:rsidRDefault="00D67409" w:rsidP="00D67409">
      <w:pPr>
        <w:pStyle w:val="af5"/>
        <w:rPr>
          <w:b w:val="0"/>
          <w:sz w:val="20"/>
          <w:szCs w:val="20"/>
        </w:rPr>
      </w:pPr>
    </w:p>
    <w:p w14:paraId="5C875A12" w14:textId="77777777" w:rsidR="00D67409" w:rsidRPr="008B6A75" w:rsidRDefault="00D67409" w:rsidP="00D67409">
      <w:pPr>
        <w:pStyle w:val="af5"/>
        <w:rPr>
          <w:b w:val="0"/>
          <w:sz w:val="20"/>
          <w:szCs w:val="20"/>
        </w:rPr>
      </w:pPr>
      <w:r w:rsidRPr="008B6A75">
        <w:rPr>
          <w:b w:val="0"/>
          <w:sz w:val="20"/>
          <w:szCs w:val="20"/>
        </w:rPr>
        <w:t>О назначении публичных слушаний</w:t>
      </w:r>
    </w:p>
    <w:p w14:paraId="4F973FCD" w14:textId="77777777" w:rsidR="00D67409" w:rsidRPr="008B6A75" w:rsidRDefault="00D67409" w:rsidP="00D67409">
      <w:pPr>
        <w:pStyle w:val="af5"/>
        <w:rPr>
          <w:b w:val="0"/>
          <w:sz w:val="20"/>
          <w:szCs w:val="20"/>
        </w:rPr>
      </w:pPr>
    </w:p>
    <w:p w14:paraId="78777E73" w14:textId="77777777" w:rsidR="00D67409" w:rsidRPr="008B6A75" w:rsidRDefault="00D67409" w:rsidP="00D67409">
      <w:pPr>
        <w:ind w:firstLine="360"/>
        <w:jc w:val="both"/>
        <w:rPr>
          <w:sz w:val="20"/>
          <w:szCs w:val="20"/>
        </w:rPr>
      </w:pPr>
      <w:r w:rsidRPr="008B6A75">
        <w:rPr>
          <w:sz w:val="20"/>
          <w:szCs w:val="20"/>
        </w:rPr>
        <w:t xml:space="preserve">     В соответствии со статьёй 28 Федерального закона от 06.10.2003 года № 131-ФЗ «Об общих принципах организации местного самоуправления в Российской Федерации», статьей 12 Устава Куйбышевского муниципального </w:t>
      </w:r>
      <w:r w:rsidRPr="008B6A75">
        <w:rPr>
          <w:sz w:val="20"/>
          <w:szCs w:val="20"/>
        </w:rPr>
        <w:lastRenderedPageBreak/>
        <w:t>района Новосибирской области, Положением об организации и проведении публичных слушаний в Куйбышевском районе, утвержденным решением Совета депутатов Куйбышевского района третьего созыва от 06.03.2019 № 7</w:t>
      </w:r>
    </w:p>
    <w:p w14:paraId="1B3AFFF6" w14:textId="77777777" w:rsidR="00D67409" w:rsidRPr="008B6A75" w:rsidRDefault="00D67409" w:rsidP="00D67409">
      <w:pPr>
        <w:jc w:val="both"/>
        <w:rPr>
          <w:sz w:val="20"/>
          <w:szCs w:val="20"/>
        </w:rPr>
      </w:pPr>
      <w:r w:rsidRPr="008B6A75">
        <w:rPr>
          <w:sz w:val="20"/>
          <w:szCs w:val="20"/>
        </w:rPr>
        <w:t>ПОСТАНОВЛЯЮ:</w:t>
      </w:r>
    </w:p>
    <w:p w14:paraId="417A2F59" w14:textId="77777777" w:rsidR="00D67409" w:rsidRPr="008B6A75" w:rsidRDefault="00D67409" w:rsidP="00D67409">
      <w:pPr>
        <w:ind w:firstLine="709"/>
        <w:jc w:val="both"/>
        <w:rPr>
          <w:sz w:val="20"/>
          <w:szCs w:val="20"/>
        </w:rPr>
      </w:pPr>
      <w:r w:rsidRPr="008B6A75">
        <w:rPr>
          <w:sz w:val="20"/>
          <w:szCs w:val="20"/>
        </w:rPr>
        <w:t>1. Назначить публичные слушания по проекту решения Совета депутатов Куйбышевского муниципального района Новосибирской области «О бюджете Куйбышевского муниципального района Новосибирской области на 2023 год и плановый период 2024 и 2025 годов».</w:t>
      </w:r>
    </w:p>
    <w:p w14:paraId="07773EE7" w14:textId="77777777" w:rsidR="00D67409" w:rsidRPr="008B6A75" w:rsidRDefault="00D67409" w:rsidP="00D67409">
      <w:pPr>
        <w:pStyle w:val="22"/>
        <w:spacing w:line="240" w:lineRule="auto"/>
        <w:ind w:firstLine="709"/>
        <w:jc w:val="both"/>
        <w:rPr>
          <w:sz w:val="20"/>
          <w:szCs w:val="20"/>
        </w:rPr>
      </w:pPr>
      <w:r w:rsidRPr="008B6A75">
        <w:rPr>
          <w:sz w:val="20"/>
          <w:szCs w:val="20"/>
        </w:rPr>
        <w:t xml:space="preserve">2. Провести публичные слушания </w:t>
      </w:r>
      <w:r w:rsidRPr="008B6A75">
        <w:rPr>
          <w:color w:val="000000"/>
          <w:sz w:val="20"/>
          <w:szCs w:val="20"/>
        </w:rPr>
        <w:t>7 декабря 2022 года в 11-00 часов в актовом зале администрации Куйбышевског</w:t>
      </w:r>
      <w:r w:rsidRPr="008B6A75">
        <w:rPr>
          <w:sz w:val="20"/>
          <w:szCs w:val="20"/>
        </w:rPr>
        <w:t xml:space="preserve">о муниципального района Новосибирской области (улица </w:t>
      </w:r>
      <w:proofErr w:type="spellStart"/>
      <w:r w:rsidRPr="008B6A75">
        <w:rPr>
          <w:sz w:val="20"/>
          <w:szCs w:val="20"/>
        </w:rPr>
        <w:t>Краскома</w:t>
      </w:r>
      <w:proofErr w:type="spellEnd"/>
      <w:r w:rsidRPr="008B6A75">
        <w:rPr>
          <w:sz w:val="20"/>
          <w:szCs w:val="20"/>
        </w:rPr>
        <w:t xml:space="preserve">, 37). </w:t>
      </w:r>
    </w:p>
    <w:p w14:paraId="04B4E808" w14:textId="77777777" w:rsidR="00D67409" w:rsidRPr="008B6A75" w:rsidRDefault="00D67409" w:rsidP="00D67409">
      <w:pPr>
        <w:pStyle w:val="22"/>
        <w:spacing w:line="240" w:lineRule="auto"/>
        <w:ind w:firstLine="709"/>
        <w:jc w:val="both"/>
        <w:rPr>
          <w:sz w:val="20"/>
          <w:szCs w:val="20"/>
        </w:rPr>
      </w:pPr>
      <w:r w:rsidRPr="008B6A75">
        <w:rPr>
          <w:sz w:val="20"/>
          <w:szCs w:val="20"/>
        </w:rPr>
        <w:t xml:space="preserve">3. Организатор публичных слушаний – администрация Куйбышевского муниципального района Новосибирской области, </w:t>
      </w:r>
      <w:proofErr w:type="spellStart"/>
      <w:r w:rsidRPr="008B6A75">
        <w:rPr>
          <w:sz w:val="20"/>
          <w:szCs w:val="20"/>
        </w:rPr>
        <w:t>каб</w:t>
      </w:r>
      <w:proofErr w:type="spellEnd"/>
      <w:r w:rsidRPr="008B6A75">
        <w:rPr>
          <w:sz w:val="20"/>
          <w:szCs w:val="20"/>
        </w:rPr>
        <w:t>. 25.</w:t>
      </w:r>
    </w:p>
    <w:p w14:paraId="2B3632A8" w14:textId="77777777" w:rsidR="00D67409" w:rsidRPr="008B6A75" w:rsidRDefault="00D67409" w:rsidP="00D67409">
      <w:pPr>
        <w:pStyle w:val="22"/>
        <w:spacing w:line="240" w:lineRule="auto"/>
        <w:ind w:firstLine="709"/>
        <w:jc w:val="both"/>
        <w:rPr>
          <w:sz w:val="20"/>
          <w:szCs w:val="20"/>
        </w:rPr>
      </w:pPr>
      <w:r w:rsidRPr="008B6A75">
        <w:rPr>
          <w:sz w:val="20"/>
          <w:szCs w:val="20"/>
        </w:rPr>
        <w:t xml:space="preserve">4. Предложить жителям Куйбышевского муниципального района Новосибирской области до 4 декабря 2022 года ознакомиться с материалами, выносимыми на публичные слушания в здании администрации Куйбышевского муниципального района Новосибирской области по адресу: г. Куйбышев, ул. </w:t>
      </w:r>
      <w:proofErr w:type="spellStart"/>
      <w:r w:rsidRPr="008B6A75">
        <w:rPr>
          <w:sz w:val="20"/>
          <w:szCs w:val="20"/>
        </w:rPr>
        <w:t>Краскома</w:t>
      </w:r>
      <w:proofErr w:type="spellEnd"/>
      <w:r w:rsidRPr="008B6A75">
        <w:rPr>
          <w:sz w:val="20"/>
          <w:szCs w:val="20"/>
        </w:rPr>
        <w:t>, 37, кабинет 25, контактный телефон: 51-394.</w:t>
      </w:r>
    </w:p>
    <w:p w14:paraId="59420FE7" w14:textId="77777777" w:rsidR="00D67409" w:rsidRPr="008B6A75" w:rsidRDefault="00D67409" w:rsidP="00D67409">
      <w:pPr>
        <w:pStyle w:val="22"/>
        <w:spacing w:line="240" w:lineRule="auto"/>
        <w:ind w:firstLine="709"/>
        <w:jc w:val="both"/>
        <w:rPr>
          <w:sz w:val="20"/>
          <w:szCs w:val="20"/>
        </w:rPr>
      </w:pPr>
      <w:r w:rsidRPr="008B6A75">
        <w:rPr>
          <w:sz w:val="20"/>
          <w:szCs w:val="20"/>
        </w:rPr>
        <w:t xml:space="preserve">5. Управлению делами администрации Куйбышевского муниципального района Новосибирской области (Орлова Л.В.) опубликовать настоящее постановление в периодическом печатном издании органов местного самоуправления Куйбышевского муниципального района Новосибирской области «Информационный вестник» и на официальном сайте администрации Куйбышевского муниципального района Новосибирской области </w:t>
      </w:r>
      <w:hyperlink r:id="rId24" w:history="1">
        <w:r w:rsidRPr="008B6A75">
          <w:rPr>
            <w:rStyle w:val="afa"/>
            <w:sz w:val="20"/>
            <w:szCs w:val="20"/>
          </w:rPr>
          <w:t>www.kuibyshev.nso.ru</w:t>
        </w:r>
      </w:hyperlink>
      <w:r w:rsidRPr="008B6A75">
        <w:rPr>
          <w:sz w:val="20"/>
          <w:szCs w:val="20"/>
        </w:rPr>
        <w:t>.</w:t>
      </w:r>
    </w:p>
    <w:p w14:paraId="5668E596" w14:textId="77777777" w:rsidR="00D67409" w:rsidRPr="008B6A75" w:rsidRDefault="00D67409" w:rsidP="00D67409">
      <w:pPr>
        <w:pStyle w:val="ConsPlusNormal"/>
        <w:ind w:firstLine="709"/>
        <w:jc w:val="both"/>
        <w:rPr>
          <w:rFonts w:ascii="Times New Roman" w:hAnsi="Times New Roman" w:cs="Times New Roman"/>
        </w:rPr>
      </w:pPr>
      <w:r w:rsidRPr="008B6A75">
        <w:rPr>
          <w:rFonts w:ascii="Times New Roman" w:hAnsi="Times New Roman" w:cs="Times New Roman"/>
        </w:rPr>
        <w:t>6. Контроль за исполнением настоящего постановления оставляю за собой.</w:t>
      </w:r>
    </w:p>
    <w:p w14:paraId="113C8F13" w14:textId="77777777" w:rsidR="00D67409" w:rsidRPr="008B6A75" w:rsidRDefault="00D67409" w:rsidP="00D67409">
      <w:pPr>
        <w:pStyle w:val="22"/>
        <w:spacing w:line="240" w:lineRule="auto"/>
        <w:ind w:firstLine="720"/>
        <w:rPr>
          <w:sz w:val="20"/>
          <w:szCs w:val="20"/>
        </w:rPr>
      </w:pPr>
    </w:p>
    <w:p w14:paraId="5B498EBD" w14:textId="77777777" w:rsidR="00D67409" w:rsidRPr="008B6A75" w:rsidRDefault="00D67409" w:rsidP="00D67409">
      <w:pPr>
        <w:pStyle w:val="ConsTitle"/>
        <w:widowControl/>
        <w:ind w:right="0"/>
        <w:jc w:val="right"/>
        <w:rPr>
          <w:rFonts w:ascii="Times New Roman" w:hAnsi="Times New Roman" w:cs="Times New Roman"/>
          <w:b w:val="0"/>
          <w:sz w:val="20"/>
          <w:szCs w:val="20"/>
        </w:rPr>
      </w:pPr>
      <w:r w:rsidRPr="008B6A75">
        <w:rPr>
          <w:rFonts w:ascii="Times New Roman" w:hAnsi="Times New Roman" w:cs="Times New Roman"/>
          <w:b w:val="0"/>
          <w:sz w:val="20"/>
          <w:szCs w:val="20"/>
        </w:rPr>
        <w:t>О.В. Караваев</w:t>
      </w:r>
    </w:p>
    <w:p w14:paraId="2FF5C366" w14:textId="77777777" w:rsidR="00D67409" w:rsidRPr="008B6A75" w:rsidRDefault="00D67409" w:rsidP="00D67409">
      <w:pPr>
        <w:rPr>
          <w:sz w:val="20"/>
          <w:szCs w:val="20"/>
        </w:rPr>
      </w:pPr>
    </w:p>
    <w:p w14:paraId="3D01CA89" w14:textId="77777777" w:rsidR="00D67409" w:rsidRPr="008B6A75" w:rsidRDefault="00D67409" w:rsidP="00D67409">
      <w:pPr>
        <w:ind w:left="5670"/>
        <w:jc w:val="center"/>
        <w:rPr>
          <w:bCs/>
          <w:sz w:val="20"/>
          <w:szCs w:val="20"/>
        </w:rPr>
      </w:pPr>
      <w:r w:rsidRPr="008B6A75">
        <w:rPr>
          <w:bCs/>
          <w:sz w:val="20"/>
          <w:szCs w:val="20"/>
        </w:rPr>
        <w:t>Приложение</w:t>
      </w:r>
    </w:p>
    <w:p w14:paraId="08C3C8A2" w14:textId="77777777" w:rsidR="00D67409" w:rsidRPr="008B6A75" w:rsidRDefault="00D67409" w:rsidP="00D67409">
      <w:pPr>
        <w:ind w:left="5670"/>
        <w:jc w:val="center"/>
        <w:outlineLvl w:val="0"/>
        <w:rPr>
          <w:bCs/>
          <w:sz w:val="20"/>
          <w:szCs w:val="20"/>
        </w:rPr>
      </w:pPr>
      <w:r w:rsidRPr="008B6A75">
        <w:rPr>
          <w:bCs/>
          <w:sz w:val="20"/>
          <w:szCs w:val="20"/>
        </w:rPr>
        <w:t xml:space="preserve">к постановлению Главы Куйбышевского муниципального района Новосибирской области </w:t>
      </w:r>
    </w:p>
    <w:p w14:paraId="59F4A0AD" w14:textId="77777777" w:rsidR="00D67409" w:rsidRPr="008B6A75" w:rsidRDefault="00D67409" w:rsidP="00D67409">
      <w:pPr>
        <w:ind w:left="5670"/>
        <w:jc w:val="center"/>
        <w:outlineLvl w:val="0"/>
        <w:rPr>
          <w:sz w:val="20"/>
          <w:szCs w:val="20"/>
        </w:rPr>
      </w:pPr>
      <w:r w:rsidRPr="008B6A75">
        <w:rPr>
          <w:bCs/>
          <w:sz w:val="20"/>
          <w:szCs w:val="20"/>
        </w:rPr>
        <w:t>от 31.10.2022 № 852</w:t>
      </w:r>
    </w:p>
    <w:p w14:paraId="18C50509" w14:textId="77777777" w:rsidR="00D67409" w:rsidRPr="008B6A75" w:rsidRDefault="00D67409" w:rsidP="00D67409">
      <w:pPr>
        <w:jc w:val="center"/>
        <w:rPr>
          <w:sz w:val="20"/>
          <w:szCs w:val="20"/>
        </w:rPr>
      </w:pPr>
    </w:p>
    <w:p w14:paraId="595EEB3B" w14:textId="77777777" w:rsidR="00D67409" w:rsidRPr="008B6A75" w:rsidRDefault="00D67409" w:rsidP="00D67409">
      <w:pPr>
        <w:jc w:val="center"/>
        <w:rPr>
          <w:sz w:val="20"/>
          <w:szCs w:val="20"/>
        </w:rPr>
      </w:pPr>
      <w:r w:rsidRPr="008B6A75">
        <w:rPr>
          <w:sz w:val="20"/>
          <w:szCs w:val="20"/>
        </w:rPr>
        <w:t xml:space="preserve">Порядок приема замечаний и предложений </w:t>
      </w:r>
    </w:p>
    <w:p w14:paraId="297322C8" w14:textId="77777777" w:rsidR="00D67409" w:rsidRPr="008B6A75" w:rsidRDefault="00D67409" w:rsidP="00D67409">
      <w:pPr>
        <w:jc w:val="center"/>
        <w:rPr>
          <w:sz w:val="20"/>
          <w:szCs w:val="20"/>
        </w:rPr>
      </w:pPr>
      <w:r w:rsidRPr="008B6A75">
        <w:rPr>
          <w:sz w:val="20"/>
          <w:szCs w:val="20"/>
        </w:rPr>
        <w:t>участников публичных слушаний по подлежащим обсуждению вопросам</w:t>
      </w:r>
    </w:p>
    <w:p w14:paraId="3C5A2CD4" w14:textId="77777777" w:rsidR="00D67409" w:rsidRPr="008B6A75" w:rsidRDefault="00D67409" w:rsidP="00D67409">
      <w:pPr>
        <w:rPr>
          <w:sz w:val="20"/>
          <w:szCs w:val="20"/>
        </w:rPr>
      </w:pPr>
    </w:p>
    <w:p w14:paraId="6A769F0C" w14:textId="77777777" w:rsidR="00D67409" w:rsidRPr="008B6A75" w:rsidRDefault="00D67409" w:rsidP="00D67409">
      <w:pPr>
        <w:ind w:firstLine="709"/>
        <w:jc w:val="both"/>
        <w:rPr>
          <w:sz w:val="20"/>
          <w:szCs w:val="20"/>
        </w:rPr>
      </w:pPr>
      <w:r w:rsidRPr="008B6A75">
        <w:rPr>
          <w:sz w:val="20"/>
          <w:szCs w:val="20"/>
        </w:rPr>
        <w:t>Прием замечаний и предложений участников публичных слушаний осуществляется с понедельника по четверг с 8-00 до 17-00, в пятницу с 8-00 до 16-00, обеденный перерыв с 12-00 до 13-00.</w:t>
      </w:r>
    </w:p>
    <w:p w14:paraId="63C08DFC" w14:textId="77777777" w:rsidR="00D67409" w:rsidRPr="008B6A75" w:rsidRDefault="00D67409" w:rsidP="00D67409">
      <w:pPr>
        <w:ind w:firstLine="709"/>
        <w:jc w:val="both"/>
        <w:rPr>
          <w:sz w:val="20"/>
          <w:szCs w:val="20"/>
        </w:rPr>
      </w:pPr>
      <w:r w:rsidRPr="008B6A75">
        <w:rPr>
          <w:sz w:val="20"/>
          <w:szCs w:val="20"/>
        </w:rPr>
        <w:t>Замечания и предложения от участников публичных слушаний принимаются:</w:t>
      </w:r>
    </w:p>
    <w:p w14:paraId="6D13FBB3" w14:textId="77777777" w:rsidR="00D67409" w:rsidRPr="008B6A75" w:rsidRDefault="00D67409" w:rsidP="00D67409">
      <w:pPr>
        <w:ind w:firstLine="709"/>
        <w:jc w:val="both"/>
        <w:rPr>
          <w:sz w:val="20"/>
          <w:szCs w:val="20"/>
        </w:rPr>
      </w:pPr>
      <w:r w:rsidRPr="008B6A75">
        <w:rPr>
          <w:sz w:val="20"/>
          <w:szCs w:val="20"/>
        </w:rPr>
        <w:t xml:space="preserve">1) в письменном виде по адресу: Новосибирская область, г. Куйбышев, ул. </w:t>
      </w:r>
      <w:proofErr w:type="spellStart"/>
      <w:r w:rsidRPr="008B6A75">
        <w:rPr>
          <w:sz w:val="20"/>
          <w:szCs w:val="20"/>
        </w:rPr>
        <w:t>Краскома</w:t>
      </w:r>
      <w:proofErr w:type="spellEnd"/>
      <w:r w:rsidRPr="008B6A75">
        <w:rPr>
          <w:sz w:val="20"/>
          <w:szCs w:val="20"/>
        </w:rPr>
        <w:t>, 37, кабинет 25;</w:t>
      </w:r>
    </w:p>
    <w:p w14:paraId="32ABE53C" w14:textId="77777777" w:rsidR="00D67409" w:rsidRPr="008B6A75" w:rsidRDefault="00D67409" w:rsidP="00D67409">
      <w:pPr>
        <w:ind w:firstLine="709"/>
        <w:jc w:val="both"/>
        <w:rPr>
          <w:sz w:val="20"/>
          <w:szCs w:val="20"/>
        </w:rPr>
      </w:pPr>
      <w:r w:rsidRPr="008B6A75">
        <w:rPr>
          <w:sz w:val="20"/>
          <w:szCs w:val="20"/>
        </w:rPr>
        <w:t>2) в устном виде по телефону: (838362) 51-394;</w:t>
      </w:r>
    </w:p>
    <w:p w14:paraId="0785F529" w14:textId="77777777" w:rsidR="00D67409" w:rsidRPr="008B6A75" w:rsidRDefault="00D67409" w:rsidP="00D67409">
      <w:pPr>
        <w:ind w:firstLine="709"/>
        <w:jc w:val="both"/>
        <w:rPr>
          <w:sz w:val="20"/>
          <w:szCs w:val="20"/>
        </w:rPr>
      </w:pPr>
      <w:r w:rsidRPr="008B6A75">
        <w:rPr>
          <w:sz w:val="20"/>
          <w:szCs w:val="20"/>
        </w:rPr>
        <w:t>3) по электронной почте:</w:t>
      </w:r>
      <w:r w:rsidRPr="008B6A75">
        <w:rPr>
          <w:color w:val="FFFFFF"/>
          <w:sz w:val="20"/>
          <w:szCs w:val="20"/>
        </w:rPr>
        <w:t xml:space="preserve"> </w:t>
      </w:r>
      <w:proofErr w:type="spellStart"/>
      <w:r w:rsidRPr="008B6A75">
        <w:rPr>
          <w:sz w:val="20"/>
          <w:szCs w:val="20"/>
          <w:lang w:val="en-US"/>
        </w:rPr>
        <w:t>sovetdepkura</w:t>
      </w:r>
      <w:proofErr w:type="spellEnd"/>
      <w:r w:rsidRPr="008B6A75">
        <w:rPr>
          <w:sz w:val="20"/>
          <w:szCs w:val="20"/>
        </w:rPr>
        <w:t>@</w:t>
      </w:r>
      <w:r w:rsidRPr="008B6A75">
        <w:rPr>
          <w:sz w:val="20"/>
          <w:szCs w:val="20"/>
          <w:lang w:val="en-US"/>
        </w:rPr>
        <w:t>mail</w:t>
      </w:r>
      <w:r w:rsidRPr="008B6A75">
        <w:rPr>
          <w:sz w:val="20"/>
          <w:szCs w:val="20"/>
        </w:rPr>
        <w:t>.</w:t>
      </w:r>
      <w:proofErr w:type="spellStart"/>
      <w:r w:rsidRPr="008B6A75">
        <w:rPr>
          <w:sz w:val="20"/>
          <w:szCs w:val="20"/>
          <w:lang w:val="en-US"/>
        </w:rPr>
        <w:t>ru</w:t>
      </w:r>
      <w:proofErr w:type="spellEnd"/>
      <w:r w:rsidRPr="008B6A75">
        <w:rPr>
          <w:color w:val="FFFFFF"/>
          <w:sz w:val="20"/>
          <w:szCs w:val="20"/>
        </w:rPr>
        <w:t>________________.</w:t>
      </w:r>
    </w:p>
    <w:p w14:paraId="391AC883" w14:textId="77777777" w:rsidR="00D67409" w:rsidRPr="008B6A75" w:rsidRDefault="00D67409" w:rsidP="00D67409">
      <w:pPr>
        <w:ind w:firstLine="709"/>
        <w:jc w:val="both"/>
        <w:rPr>
          <w:sz w:val="20"/>
          <w:szCs w:val="20"/>
        </w:rPr>
      </w:pPr>
      <w:r w:rsidRPr="008B6A75">
        <w:rPr>
          <w:sz w:val="20"/>
          <w:szCs w:val="20"/>
        </w:rPr>
        <w:t xml:space="preserve">С материалами публичный слушаний можно ознакомиться по адресу: Новосибирская область, г. Куйбышев, ул. </w:t>
      </w:r>
      <w:proofErr w:type="spellStart"/>
      <w:r w:rsidRPr="008B6A75">
        <w:rPr>
          <w:sz w:val="20"/>
          <w:szCs w:val="20"/>
        </w:rPr>
        <w:t>Краскома</w:t>
      </w:r>
      <w:proofErr w:type="spellEnd"/>
      <w:r w:rsidRPr="008B6A75">
        <w:rPr>
          <w:sz w:val="20"/>
          <w:szCs w:val="20"/>
        </w:rPr>
        <w:t xml:space="preserve">, 37, кабинет 25 или на сайте администрации Куйбышевского района: </w:t>
      </w:r>
      <w:hyperlink r:id="rId25" w:history="1">
        <w:r w:rsidRPr="008B6A75">
          <w:rPr>
            <w:rStyle w:val="afa"/>
            <w:sz w:val="20"/>
            <w:szCs w:val="20"/>
          </w:rPr>
          <w:t>http://kuibyshev.nso.ru</w:t>
        </w:r>
      </w:hyperlink>
      <w:r w:rsidRPr="008B6A75">
        <w:rPr>
          <w:sz w:val="20"/>
          <w:szCs w:val="20"/>
        </w:rPr>
        <w:t xml:space="preserve">. </w:t>
      </w:r>
    </w:p>
    <w:p w14:paraId="3D4F9F3E" w14:textId="77777777" w:rsidR="00D67409" w:rsidRPr="008B6A75" w:rsidRDefault="00D67409" w:rsidP="00D67409">
      <w:pPr>
        <w:jc w:val="center"/>
        <w:rPr>
          <w:rFonts w:eastAsia="Calibri"/>
          <w:sz w:val="20"/>
          <w:szCs w:val="20"/>
        </w:rPr>
      </w:pPr>
    </w:p>
    <w:p w14:paraId="329CE81D" w14:textId="77777777" w:rsidR="00D67409" w:rsidRPr="008B6A75" w:rsidRDefault="00D67409" w:rsidP="00267FB0">
      <w:pPr>
        <w:jc w:val="center"/>
        <w:rPr>
          <w:rFonts w:eastAsia="Calibri"/>
          <w:sz w:val="20"/>
          <w:szCs w:val="20"/>
        </w:rPr>
      </w:pPr>
    </w:p>
    <w:p w14:paraId="11CC98CA" w14:textId="3138F4B0" w:rsidR="00D86421" w:rsidRPr="008B6A75" w:rsidRDefault="00D86421" w:rsidP="00D86421">
      <w:pPr>
        <w:pStyle w:val="10"/>
        <w:jc w:val="center"/>
        <w:rPr>
          <w:sz w:val="20"/>
        </w:rPr>
      </w:pPr>
    </w:p>
    <w:p w14:paraId="710E3294" w14:textId="77777777" w:rsidR="00D86421" w:rsidRPr="008B6A75" w:rsidRDefault="00D86421" w:rsidP="00D86421">
      <w:pPr>
        <w:pStyle w:val="10"/>
        <w:jc w:val="center"/>
        <w:rPr>
          <w:sz w:val="20"/>
        </w:rPr>
      </w:pPr>
    </w:p>
    <w:p w14:paraId="48B7569E" w14:textId="77777777" w:rsidR="00D86421" w:rsidRPr="008B6A75" w:rsidRDefault="00D86421" w:rsidP="00D86421">
      <w:pPr>
        <w:pStyle w:val="10"/>
        <w:jc w:val="center"/>
        <w:rPr>
          <w:sz w:val="20"/>
        </w:rPr>
      </w:pPr>
      <w:r w:rsidRPr="008B6A75">
        <w:rPr>
          <w:sz w:val="20"/>
        </w:rPr>
        <w:t>АДМИНИСТРАЦИЯ</w:t>
      </w:r>
    </w:p>
    <w:p w14:paraId="3C82D92B" w14:textId="77777777" w:rsidR="00D86421" w:rsidRPr="008B6A75" w:rsidRDefault="00D86421" w:rsidP="00D86421">
      <w:pPr>
        <w:pStyle w:val="10"/>
        <w:jc w:val="center"/>
        <w:rPr>
          <w:sz w:val="20"/>
        </w:rPr>
      </w:pPr>
      <w:r w:rsidRPr="008B6A75">
        <w:rPr>
          <w:sz w:val="20"/>
        </w:rPr>
        <w:t>КУЙБЫШЕВСКОГО МУНИЦИПАЛЬНОГО РАЙОНА</w:t>
      </w:r>
    </w:p>
    <w:p w14:paraId="02D2246F" w14:textId="77777777" w:rsidR="00D86421" w:rsidRPr="008B6A75" w:rsidRDefault="00D86421" w:rsidP="00D86421">
      <w:pPr>
        <w:pStyle w:val="10"/>
        <w:jc w:val="center"/>
        <w:rPr>
          <w:sz w:val="20"/>
        </w:rPr>
      </w:pPr>
      <w:r w:rsidRPr="008B6A75">
        <w:rPr>
          <w:sz w:val="20"/>
        </w:rPr>
        <w:t>НОВОСИБИРСКОЙ ОБЛАСТИ</w:t>
      </w:r>
    </w:p>
    <w:p w14:paraId="52CC79AF" w14:textId="77777777" w:rsidR="00D86421" w:rsidRPr="008B6A75" w:rsidRDefault="00D86421" w:rsidP="00D86421">
      <w:pPr>
        <w:pStyle w:val="20"/>
        <w:rPr>
          <w:sz w:val="20"/>
        </w:rPr>
      </w:pPr>
    </w:p>
    <w:p w14:paraId="096513BC" w14:textId="77777777" w:rsidR="00D86421" w:rsidRPr="008B6A75" w:rsidRDefault="00D86421" w:rsidP="00D86421">
      <w:pPr>
        <w:pStyle w:val="20"/>
        <w:jc w:val="center"/>
        <w:rPr>
          <w:sz w:val="20"/>
        </w:rPr>
      </w:pPr>
      <w:r w:rsidRPr="008B6A75">
        <w:rPr>
          <w:sz w:val="20"/>
        </w:rPr>
        <w:t>ПОСТАНОВЛЕНИЕ</w:t>
      </w:r>
    </w:p>
    <w:p w14:paraId="05B2BFA9" w14:textId="77777777" w:rsidR="00D86421" w:rsidRPr="008B6A75" w:rsidRDefault="00D86421" w:rsidP="00D86421">
      <w:pPr>
        <w:jc w:val="center"/>
        <w:rPr>
          <w:sz w:val="20"/>
          <w:szCs w:val="20"/>
        </w:rPr>
      </w:pPr>
    </w:p>
    <w:p w14:paraId="356F57E3" w14:textId="77777777" w:rsidR="00D86421" w:rsidRPr="008B6A75" w:rsidRDefault="00D86421" w:rsidP="00D86421">
      <w:pPr>
        <w:jc w:val="center"/>
        <w:rPr>
          <w:sz w:val="20"/>
          <w:szCs w:val="20"/>
        </w:rPr>
      </w:pPr>
      <w:r w:rsidRPr="008B6A75">
        <w:rPr>
          <w:sz w:val="20"/>
          <w:szCs w:val="20"/>
        </w:rPr>
        <w:t xml:space="preserve">г. Куйбышев </w:t>
      </w:r>
    </w:p>
    <w:p w14:paraId="0B8B80BA" w14:textId="77777777" w:rsidR="00D86421" w:rsidRPr="008B6A75" w:rsidRDefault="00D86421" w:rsidP="00D86421">
      <w:pPr>
        <w:jc w:val="center"/>
        <w:rPr>
          <w:sz w:val="20"/>
          <w:szCs w:val="20"/>
        </w:rPr>
      </w:pPr>
      <w:r w:rsidRPr="008B6A75">
        <w:rPr>
          <w:sz w:val="20"/>
          <w:szCs w:val="20"/>
        </w:rPr>
        <w:t>Новосибирская область</w:t>
      </w:r>
    </w:p>
    <w:p w14:paraId="01D60A35" w14:textId="77777777" w:rsidR="00D86421" w:rsidRPr="008B6A75" w:rsidRDefault="00D86421" w:rsidP="00D86421">
      <w:pPr>
        <w:pStyle w:val="30"/>
        <w:rPr>
          <w:b w:val="0"/>
          <w:sz w:val="20"/>
        </w:rPr>
      </w:pPr>
    </w:p>
    <w:p w14:paraId="0B52544C" w14:textId="77777777" w:rsidR="00D86421" w:rsidRPr="008B6A75" w:rsidRDefault="00D86421" w:rsidP="00D86421">
      <w:pPr>
        <w:jc w:val="center"/>
        <w:rPr>
          <w:sz w:val="20"/>
          <w:szCs w:val="20"/>
        </w:rPr>
      </w:pPr>
      <w:r w:rsidRPr="008B6A75">
        <w:rPr>
          <w:sz w:val="20"/>
          <w:szCs w:val="20"/>
        </w:rPr>
        <w:t>02.11.2022 № 855</w:t>
      </w:r>
    </w:p>
    <w:p w14:paraId="70788E32" w14:textId="77777777" w:rsidR="00D86421" w:rsidRPr="008B6A75" w:rsidRDefault="00D86421" w:rsidP="00D86421">
      <w:pPr>
        <w:rPr>
          <w:sz w:val="20"/>
          <w:szCs w:val="20"/>
        </w:rPr>
      </w:pPr>
    </w:p>
    <w:p w14:paraId="5BF419E6" w14:textId="77777777" w:rsidR="00D86421" w:rsidRPr="008B6A75" w:rsidRDefault="00D86421" w:rsidP="00D86421">
      <w:pPr>
        <w:pStyle w:val="ConsPlusTitle"/>
        <w:jc w:val="center"/>
        <w:rPr>
          <w:rFonts w:ascii="Times New Roman" w:hAnsi="Times New Roman" w:cs="Times New Roman"/>
          <w:b w:val="0"/>
          <w:sz w:val="20"/>
          <w:szCs w:val="20"/>
        </w:rPr>
      </w:pPr>
      <w:r w:rsidRPr="008B6A75">
        <w:rPr>
          <w:rFonts w:ascii="Times New Roman" w:hAnsi="Times New Roman" w:cs="Times New Roman"/>
          <w:b w:val="0"/>
          <w:sz w:val="20"/>
          <w:szCs w:val="20"/>
        </w:rPr>
        <w:t>Об утверждении Программы профилактики рисков причинения вреда (ущерба) охраняемым законом ценностям при осуществлении муниципального земельного контроля на территории сельских поселений Куйбышевского муниципального района Новосибирской области</w:t>
      </w:r>
    </w:p>
    <w:p w14:paraId="3E928650" w14:textId="77777777" w:rsidR="00D86421" w:rsidRPr="008B6A75" w:rsidRDefault="00D86421" w:rsidP="00D86421">
      <w:pPr>
        <w:pStyle w:val="ConsPlusNormal"/>
        <w:ind w:firstLine="540"/>
        <w:jc w:val="both"/>
        <w:rPr>
          <w:rFonts w:ascii="Times New Roman" w:hAnsi="Times New Roman" w:cs="Times New Roman"/>
        </w:rPr>
      </w:pPr>
    </w:p>
    <w:p w14:paraId="16378B46" w14:textId="77777777" w:rsidR="00D86421" w:rsidRPr="008B6A75" w:rsidRDefault="00D86421" w:rsidP="00D86421">
      <w:pPr>
        <w:pStyle w:val="ConsPlusNormal"/>
        <w:ind w:firstLine="540"/>
        <w:jc w:val="both"/>
        <w:rPr>
          <w:rFonts w:ascii="Times New Roman" w:hAnsi="Times New Roman" w:cs="Times New Roman"/>
        </w:rPr>
      </w:pPr>
      <w:r w:rsidRPr="008B6A75">
        <w:rPr>
          <w:rFonts w:ascii="Times New Roman" w:hAnsi="Times New Roman" w:cs="Times New Roman"/>
        </w:rPr>
        <w:t xml:space="preserve">В соответствии с Федеральным законом от 31.07.2020 N 248-ФЗ "О государственном контроле (надзоре) и </w:t>
      </w:r>
      <w:r w:rsidRPr="008B6A75">
        <w:rPr>
          <w:rFonts w:ascii="Times New Roman" w:hAnsi="Times New Roman" w:cs="Times New Roman"/>
        </w:rPr>
        <w:lastRenderedPageBreak/>
        <w:t xml:space="preserve">муниципальном контроле в Российской Федерации", Постановлением Правительства Российской Федерации от 25.06.2021 N 990 "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администрация Куйбышевского муниципального района Новосибирской области </w:t>
      </w:r>
    </w:p>
    <w:p w14:paraId="6BE6B898" w14:textId="77777777" w:rsidR="00D86421" w:rsidRPr="008B6A75" w:rsidRDefault="00D86421" w:rsidP="00D86421">
      <w:pPr>
        <w:pStyle w:val="ConsPlusNormal"/>
        <w:ind w:firstLine="540"/>
        <w:jc w:val="both"/>
        <w:rPr>
          <w:rFonts w:ascii="Times New Roman" w:hAnsi="Times New Roman" w:cs="Times New Roman"/>
        </w:rPr>
      </w:pPr>
      <w:r w:rsidRPr="008B6A75">
        <w:rPr>
          <w:rFonts w:ascii="Times New Roman" w:hAnsi="Times New Roman" w:cs="Times New Roman"/>
        </w:rPr>
        <w:t>ПОСТАНОВЛЯЕТ:</w:t>
      </w:r>
    </w:p>
    <w:p w14:paraId="0D4499F4" w14:textId="77777777" w:rsidR="00D86421" w:rsidRPr="008B6A75" w:rsidRDefault="00D86421" w:rsidP="00D86421">
      <w:pPr>
        <w:pStyle w:val="ConsPlusNormal"/>
        <w:ind w:firstLine="540"/>
        <w:jc w:val="both"/>
        <w:rPr>
          <w:rFonts w:ascii="Times New Roman" w:hAnsi="Times New Roman" w:cs="Times New Roman"/>
        </w:rPr>
      </w:pPr>
      <w:r w:rsidRPr="008B6A75">
        <w:rPr>
          <w:rFonts w:ascii="Times New Roman" w:hAnsi="Times New Roman" w:cs="Times New Roman"/>
        </w:rPr>
        <w:t>1. Утвердить Программу профилактики рисков причинения вреда (ущерба) охраняемым законом ценностям при осуществлении муниципального земельного контроля на территории сельских поселений Куйбышевского муниципального района Новосибирской области (Приложение 1).</w:t>
      </w:r>
    </w:p>
    <w:p w14:paraId="1BD2ED80" w14:textId="77777777" w:rsidR="00D86421" w:rsidRPr="008B6A75" w:rsidRDefault="00D86421" w:rsidP="00D86421">
      <w:pPr>
        <w:pStyle w:val="ConsPlusNormal"/>
        <w:ind w:firstLine="540"/>
        <w:jc w:val="both"/>
        <w:rPr>
          <w:rFonts w:ascii="Times New Roman" w:hAnsi="Times New Roman" w:cs="Times New Roman"/>
        </w:rPr>
      </w:pPr>
      <w:r w:rsidRPr="008B6A75">
        <w:rPr>
          <w:rFonts w:ascii="Times New Roman" w:hAnsi="Times New Roman" w:cs="Times New Roman"/>
        </w:rPr>
        <w:t xml:space="preserve">2. Управлению делами администрации Куйбышевского муниципального района Новосибирской области (Орлова Л.В.) опубликовать настоящее постановление в периодическом печатном издании органов местного самоуправления Куйбышевского муниципального района Новосибирской области «Информационный вестник» и на официальном сайте администрации Куйбышевского муниципального района Новосибирской области </w:t>
      </w:r>
      <w:hyperlink r:id="rId26" w:history="1">
        <w:r w:rsidRPr="008B6A75">
          <w:rPr>
            <w:rStyle w:val="afa"/>
            <w:rFonts w:ascii="Times New Roman" w:hAnsi="Times New Roman" w:cs="Times New Roman"/>
          </w:rPr>
          <w:t>www.kuibyshev.nso.ru</w:t>
        </w:r>
      </w:hyperlink>
      <w:r w:rsidRPr="008B6A75">
        <w:rPr>
          <w:rFonts w:ascii="Times New Roman" w:hAnsi="Times New Roman" w:cs="Times New Roman"/>
        </w:rPr>
        <w:t>.</w:t>
      </w:r>
    </w:p>
    <w:p w14:paraId="05EE0266" w14:textId="77777777" w:rsidR="00D86421" w:rsidRPr="008B6A75" w:rsidRDefault="00D86421" w:rsidP="00D86421">
      <w:pPr>
        <w:pStyle w:val="ConsPlusNormal"/>
        <w:ind w:firstLine="540"/>
        <w:jc w:val="both"/>
        <w:rPr>
          <w:rFonts w:ascii="Times New Roman" w:hAnsi="Times New Roman" w:cs="Times New Roman"/>
        </w:rPr>
      </w:pPr>
      <w:r w:rsidRPr="008B6A75">
        <w:rPr>
          <w:rFonts w:ascii="Times New Roman" w:hAnsi="Times New Roman" w:cs="Times New Roman"/>
        </w:rPr>
        <w:t xml:space="preserve">3. Контроль за исполнением настоящего постановления возложить на начальника управления строительства коммунального, дорожного хозяйства и </w:t>
      </w:r>
      <w:proofErr w:type="gramStart"/>
      <w:r w:rsidRPr="008B6A75">
        <w:rPr>
          <w:rFonts w:ascii="Times New Roman" w:hAnsi="Times New Roman" w:cs="Times New Roman"/>
        </w:rPr>
        <w:t>транспорта  администрации</w:t>
      </w:r>
      <w:proofErr w:type="gramEnd"/>
      <w:r w:rsidRPr="008B6A75">
        <w:rPr>
          <w:rFonts w:ascii="Times New Roman" w:hAnsi="Times New Roman" w:cs="Times New Roman"/>
        </w:rPr>
        <w:t xml:space="preserve">  Куйбышевского муниципального района Новосибирской области С.Ф. </w:t>
      </w:r>
      <w:proofErr w:type="spellStart"/>
      <w:r w:rsidRPr="008B6A75">
        <w:rPr>
          <w:rFonts w:ascii="Times New Roman" w:hAnsi="Times New Roman" w:cs="Times New Roman"/>
        </w:rPr>
        <w:t>Ильюхин</w:t>
      </w:r>
      <w:proofErr w:type="spellEnd"/>
      <w:r w:rsidRPr="008B6A75">
        <w:rPr>
          <w:rFonts w:ascii="Times New Roman" w:hAnsi="Times New Roman" w:cs="Times New Roman"/>
        </w:rPr>
        <w:t xml:space="preserve">. </w:t>
      </w:r>
    </w:p>
    <w:p w14:paraId="16DEADB1" w14:textId="77777777" w:rsidR="00D86421" w:rsidRPr="008B6A75" w:rsidRDefault="00D86421" w:rsidP="00D86421">
      <w:pPr>
        <w:pStyle w:val="ConsPlusNormal"/>
        <w:ind w:firstLine="540"/>
        <w:jc w:val="both"/>
        <w:rPr>
          <w:rFonts w:ascii="Times New Roman" w:hAnsi="Times New Roman" w:cs="Times New Roman"/>
        </w:rPr>
      </w:pPr>
    </w:p>
    <w:p w14:paraId="3A77768F" w14:textId="77777777" w:rsidR="00D86421" w:rsidRPr="008B6A75" w:rsidRDefault="00D86421" w:rsidP="00D86421">
      <w:pPr>
        <w:widowControl w:val="0"/>
        <w:shd w:val="clear" w:color="auto" w:fill="FFFFFF"/>
        <w:tabs>
          <w:tab w:val="left" w:pos="994"/>
        </w:tabs>
        <w:autoSpaceDE w:val="0"/>
        <w:autoSpaceDN w:val="0"/>
        <w:adjustRightInd w:val="0"/>
        <w:spacing w:line="317" w:lineRule="exact"/>
        <w:rPr>
          <w:sz w:val="20"/>
          <w:szCs w:val="20"/>
        </w:rPr>
      </w:pPr>
      <w:r w:rsidRPr="008B6A75">
        <w:rPr>
          <w:sz w:val="20"/>
          <w:szCs w:val="20"/>
        </w:rPr>
        <w:t>Глава Куйбышевского муниципального</w:t>
      </w:r>
    </w:p>
    <w:p w14:paraId="140C1468" w14:textId="710FCF17" w:rsidR="00D86421" w:rsidRPr="008B6A75" w:rsidRDefault="00D86421" w:rsidP="00D86421">
      <w:pPr>
        <w:widowControl w:val="0"/>
        <w:shd w:val="clear" w:color="auto" w:fill="FFFFFF"/>
        <w:tabs>
          <w:tab w:val="left" w:pos="994"/>
        </w:tabs>
        <w:autoSpaceDE w:val="0"/>
        <w:autoSpaceDN w:val="0"/>
        <w:adjustRightInd w:val="0"/>
        <w:spacing w:line="317" w:lineRule="exact"/>
        <w:rPr>
          <w:sz w:val="20"/>
          <w:szCs w:val="20"/>
        </w:rPr>
      </w:pPr>
      <w:r w:rsidRPr="008B6A75">
        <w:rPr>
          <w:sz w:val="20"/>
          <w:szCs w:val="20"/>
        </w:rPr>
        <w:t>района Новосибирской области                                                                                                                        О.В. Караваев</w:t>
      </w:r>
    </w:p>
    <w:p w14:paraId="2E77A60F" w14:textId="77777777" w:rsidR="00D86421" w:rsidRPr="008B6A75" w:rsidRDefault="00D86421" w:rsidP="00D86421">
      <w:pPr>
        <w:widowControl w:val="0"/>
        <w:shd w:val="clear" w:color="auto" w:fill="FFFFFF"/>
        <w:tabs>
          <w:tab w:val="left" w:pos="994"/>
        </w:tabs>
        <w:autoSpaceDE w:val="0"/>
        <w:autoSpaceDN w:val="0"/>
        <w:adjustRightInd w:val="0"/>
        <w:spacing w:line="317" w:lineRule="exact"/>
        <w:rPr>
          <w:sz w:val="20"/>
          <w:szCs w:val="20"/>
        </w:rPr>
      </w:pPr>
    </w:p>
    <w:p w14:paraId="3F2A63D8" w14:textId="77777777" w:rsidR="00D86421" w:rsidRPr="008B6A75" w:rsidRDefault="00D86421" w:rsidP="00D86421">
      <w:pPr>
        <w:ind w:left="5387"/>
        <w:jc w:val="center"/>
        <w:rPr>
          <w:sz w:val="20"/>
          <w:szCs w:val="20"/>
        </w:rPr>
      </w:pPr>
      <w:r w:rsidRPr="008B6A75">
        <w:rPr>
          <w:sz w:val="20"/>
          <w:szCs w:val="20"/>
        </w:rPr>
        <w:t>Приложение 1</w:t>
      </w:r>
    </w:p>
    <w:p w14:paraId="58451981" w14:textId="77777777" w:rsidR="00D86421" w:rsidRPr="008B6A75" w:rsidRDefault="00D86421" w:rsidP="00D86421">
      <w:pPr>
        <w:ind w:left="5387"/>
        <w:jc w:val="center"/>
        <w:rPr>
          <w:sz w:val="20"/>
          <w:szCs w:val="20"/>
        </w:rPr>
      </w:pPr>
      <w:r w:rsidRPr="008B6A75">
        <w:rPr>
          <w:sz w:val="20"/>
          <w:szCs w:val="20"/>
        </w:rPr>
        <w:t>к постановлению администрации Куйбышевского</w:t>
      </w:r>
    </w:p>
    <w:p w14:paraId="6DF04101" w14:textId="77777777" w:rsidR="00D86421" w:rsidRPr="008B6A75" w:rsidRDefault="00D86421" w:rsidP="00D86421">
      <w:pPr>
        <w:ind w:left="5387"/>
        <w:jc w:val="center"/>
        <w:rPr>
          <w:sz w:val="20"/>
          <w:szCs w:val="20"/>
        </w:rPr>
      </w:pPr>
      <w:r w:rsidRPr="008B6A75">
        <w:rPr>
          <w:sz w:val="20"/>
          <w:szCs w:val="20"/>
        </w:rPr>
        <w:t>муниципального района Новосибирской области</w:t>
      </w:r>
    </w:p>
    <w:p w14:paraId="34FAA6B8" w14:textId="77777777" w:rsidR="00D86421" w:rsidRPr="008B6A75" w:rsidRDefault="00D86421" w:rsidP="00D86421">
      <w:pPr>
        <w:ind w:left="5387"/>
        <w:jc w:val="center"/>
        <w:rPr>
          <w:sz w:val="20"/>
          <w:szCs w:val="20"/>
        </w:rPr>
      </w:pPr>
      <w:r w:rsidRPr="008B6A75">
        <w:rPr>
          <w:sz w:val="20"/>
          <w:szCs w:val="20"/>
        </w:rPr>
        <w:t>от 02.11.2022 № 855</w:t>
      </w:r>
    </w:p>
    <w:p w14:paraId="0EDAB54B" w14:textId="77777777" w:rsidR="00D86421" w:rsidRPr="008B6A75" w:rsidRDefault="00D86421" w:rsidP="00D86421">
      <w:pPr>
        <w:ind w:firstLine="1559"/>
        <w:jc w:val="right"/>
        <w:rPr>
          <w:sz w:val="20"/>
          <w:szCs w:val="20"/>
        </w:rPr>
      </w:pPr>
    </w:p>
    <w:p w14:paraId="7769A68E" w14:textId="77777777" w:rsidR="00D86421" w:rsidRPr="008B6A75" w:rsidRDefault="00D86421" w:rsidP="00D86421">
      <w:pPr>
        <w:jc w:val="center"/>
        <w:rPr>
          <w:bCs/>
          <w:sz w:val="20"/>
          <w:szCs w:val="20"/>
        </w:rPr>
      </w:pPr>
      <w:bookmarkStart w:id="9" w:name="Par44"/>
      <w:bookmarkEnd w:id="9"/>
      <w:r w:rsidRPr="008B6A75">
        <w:rPr>
          <w:bCs/>
          <w:sz w:val="20"/>
          <w:szCs w:val="20"/>
        </w:rPr>
        <w:t xml:space="preserve">Программа профилактики рисков причинения вреда (ущерба) охраняемым законом ценностям </w:t>
      </w:r>
      <w:r w:rsidRPr="008B6A75">
        <w:rPr>
          <w:sz w:val="20"/>
          <w:szCs w:val="20"/>
        </w:rPr>
        <w:t xml:space="preserve">при осуществлении муниципального земельного контроля </w:t>
      </w:r>
      <w:r w:rsidRPr="008B6A75">
        <w:rPr>
          <w:bCs/>
          <w:sz w:val="20"/>
          <w:szCs w:val="20"/>
        </w:rPr>
        <w:t>на территории сельских поселений Куйбышевского муниципального района Новосибирской области</w:t>
      </w:r>
    </w:p>
    <w:p w14:paraId="2B278B26" w14:textId="77777777" w:rsidR="00D86421" w:rsidRPr="008B6A75" w:rsidRDefault="00D86421" w:rsidP="00D86421">
      <w:pPr>
        <w:ind w:firstLine="709"/>
        <w:jc w:val="both"/>
        <w:rPr>
          <w:sz w:val="20"/>
          <w:szCs w:val="20"/>
        </w:rPr>
      </w:pPr>
    </w:p>
    <w:p w14:paraId="27120A7F" w14:textId="77777777" w:rsidR="00D86421" w:rsidRPr="008B6A75" w:rsidRDefault="00D86421" w:rsidP="00D86421">
      <w:pPr>
        <w:ind w:firstLine="709"/>
        <w:jc w:val="center"/>
        <w:outlineLvl w:val="1"/>
        <w:rPr>
          <w:bCs/>
          <w:sz w:val="20"/>
          <w:szCs w:val="20"/>
        </w:rPr>
      </w:pPr>
      <w:bookmarkStart w:id="10" w:name="Par94"/>
      <w:bookmarkEnd w:id="10"/>
      <w:r w:rsidRPr="008B6A75">
        <w:rPr>
          <w:bCs/>
          <w:sz w:val="20"/>
          <w:szCs w:val="20"/>
          <w:lang w:val="en-US"/>
        </w:rPr>
        <w:t>I</w:t>
      </w:r>
      <w:r w:rsidRPr="008B6A75">
        <w:rPr>
          <w:bCs/>
          <w:sz w:val="20"/>
          <w:szCs w:val="20"/>
        </w:rPr>
        <w:t>. Анализ текущего состояния осуществления вида контроля, описание текущего уровня развития профилактической деятельности контрольного органа, характеристика проблем, на решение которых направлена программа профилактики</w:t>
      </w:r>
    </w:p>
    <w:p w14:paraId="7A296DDE" w14:textId="77777777" w:rsidR="00D86421" w:rsidRPr="008B6A75" w:rsidRDefault="00D86421" w:rsidP="00D86421">
      <w:pPr>
        <w:ind w:firstLine="709"/>
        <w:jc w:val="both"/>
        <w:rPr>
          <w:sz w:val="20"/>
          <w:szCs w:val="20"/>
        </w:rPr>
      </w:pPr>
    </w:p>
    <w:p w14:paraId="2268E5A5" w14:textId="77777777" w:rsidR="00D86421" w:rsidRPr="008B6A75" w:rsidRDefault="00D86421" w:rsidP="00D86421">
      <w:pPr>
        <w:ind w:firstLine="560"/>
        <w:jc w:val="both"/>
        <w:rPr>
          <w:sz w:val="20"/>
          <w:szCs w:val="20"/>
        </w:rPr>
      </w:pPr>
      <w:r w:rsidRPr="008B6A75">
        <w:rPr>
          <w:sz w:val="20"/>
          <w:szCs w:val="20"/>
        </w:rPr>
        <w:t xml:space="preserve">1. Настоящая программа разработана в соответствии со статьей 44 Федерального закона от 31 июля 2021 № 248-ФЗ «О государственном контроле (надзоре) и муниципальном контроле в Российской Федерации», постановлением Правительства Российской Федерации от 25 июня 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и предусматривает комплекс мероприятий по профилактике рисков причинения вреда (ущерба) охраняемым законом ценностям при осуществлении муниципального земельного контроля </w:t>
      </w:r>
      <w:r w:rsidRPr="008B6A75">
        <w:rPr>
          <w:bCs/>
          <w:spacing w:val="4"/>
          <w:sz w:val="20"/>
          <w:szCs w:val="20"/>
        </w:rPr>
        <w:t xml:space="preserve">на территории </w:t>
      </w:r>
      <w:r w:rsidRPr="008B6A75">
        <w:rPr>
          <w:bCs/>
          <w:sz w:val="20"/>
          <w:szCs w:val="20"/>
        </w:rPr>
        <w:t>сельских поселений</w:t>
      </w:r>
      <w:r w:rsidRPr="008B6A75">
        <w:rPr>
          <w:bCs/>
          <w:spacing w:val="4"/>
          <w:sz w:val="20"/>
          <w:szCs w:val="20"/>
        </w:rPr>
        <w:t xml:space="preserve"> Куйбышевского муниципального района Новосибирской области</w:t>
      </w:r>
      <w:r w:rsidRPr="008B6A75">
        <w:rPr>
          <w:sz w:val="20"/>
          <w:szCs w:val="20"/>
        </w:rPr>
        <w:t xml:space="preserve"> (далее – муниципальный контроль).</w:t>
      </w:r>
    </w:p>
    <w:p w14:paraId="2D3EB87E" w14:textId="77777777" w:rsidR="00D86421" w:rsidRPr="008B6A75" w:rsidRDefault="00D86421" w:rsidP="00D86421">
      <w:pPr>
        <w:ind w:firstLine="560"/>
        <w:jc w:val="both"/>
        <w:rPr>
          <w:sz w:val="20"/>
          <w:szCs w:val="20"/>
        </w:rPr>
      </w:pPr>
      <w:r w:rsidRPr="008B6A75">
        <w:rPr>
          <w:sz w:val="20"/>
          <w:szCs w:val="20"/>
        </w:rPr>
        <w:t>2. Муниципальный контроль осуществляется администрацией Куйбышевского муниципального района Новосибирской области (далее – администрация).</w:t>
      </w:r>
    </w:p>
    <w:p w14:paraId="5A389389" w14:textId="77777777" w:rsidR="00D86421" w:rsidRPr="008B6A75" w:rsidRDefault="00D86421" w:rsidP="00D86421">
      <w:pPr>
        <w:ind w:firstLine="560"/>
        <w:jc w:val="both"/>
        <w:rPr>
          <w:sz w:val="20"/>
          <w:szCs w:val="20"/>
        </w:rPr>
      </w:pPr>
      <w:r w:rsidRPr="008B6A75">
        <w:rPr>
          <w:sz w:val="20"/>
          <w:szCs w:val="20"/>
        </w:rPr>
        <w:t>Должностными лицами, уполномоченными осуществлять муниципальный контроль от имени администрации, являются должностные лица, уполномоченные распоряжением администрации Куйбышевского муниципального района Новосибирской области на проведение контрольных (надзорных) мероприятий (далее – специалисты).</w:t>
      </w:r>
    </w:p>
    <w:p w14:paraId="4780DFD6" w14:textId="77777777" w:rsidR="00D86421" w:rsidRPr="008B6A75" w:rsidRDefault="00D86421" w:rsidP="00D86421">
      <w:pPr>
        <w:ind w:firstLine="560"/>
        <w:jc w:val="both"/>
        <w:rPr>
          <w:sz w:val="20"/>
          <w:szCs w:val="20"/>
        </w:rPr>
      </w:pPr>
      <w:r w:rsidRPr="008B6A75">
        <w:rPr>
          <w:sz w:val="20"/>
          <w:szCs w:val="20"/>
        </w:rPr>
        <w:t>3. Подконтрольные субъекты – индивидуальные предприниматели, физические и юридические лица.</w:t>
      </w:r>
    </w:p>
    <w:p w14:paraId="3617F241" w14:textId="77777777" w:rsidR="00D86421" w:rsidRPr="008B6A75" w:rsidRDefault="00D86421" w:rsidP="00D86421">
      <w:pPr>
        <w:ind w:firstLine="560"/>
        <w:jc w:val="both"/>
        <w:rPr>
          <w:sz w:val="20"/>
          <w:szCs w:val="20"/>
        </w:rPr>
      </w:pPr>
      <w:r w:rsidRPr="008B6A75">
        <w:rPr>
          <w:sz w:val="20"/>
          <w:szCs w:val="20"/>
        </w:rPr>
        <w:t>Обязательные требования, требования, установленные муниципальными правовыми актами, оценка соблюдения которых является предметом муниципального земельного контроля:</w:t>
      </w:r>
    </w:p>
    <w:p w14:paraId="4FB57577" w14:textId="77777777" w:rsidR="00D86421" w:rsidRPr="008B6A75" w:rsidRDefault="00D86421" w:rsidP="00D86421">
      <w:pPr>
        <w:ind w:firstLine="560"/>
        <w:jc w:val="both"/>
        <w:rPr>
          <w:sz w:val="20"/>
          <w:szCs w:val="20"/>
        </w:rPr>
      </w:pPr>
      <w:r w:rsidRPr="008B6A75">
        <w:rPr>
          <w:sz w:val="20"/>
          <w:szCs w:val="20"/>
        </w:rPr>
        <w:t>1) недопущение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14:paraId="7F682580" w14:textId="77777777" w:rsidR="00D86421" w:rsidRPr="008B6A75" w:rsidRDefault="00D86421" w:rsidP="00D86421">
      <w:pPr>
        <w:ind w:firstLine="560"/>
        <w:jc w:val="both"/>
        <w:rPr>
          <w:sz w:val="20"/>
          <w:szCs w:val="20"/>
        </w:rPr>
      </w:pPr>
      <w:r w:rsidRPr="008B6A75">
        <w:rPr>
          <w:sz w:val="20"/>
          <w:szCs w:val="20"/>
        </w:rPr>
        <w:t>2) использование земельных участков по целевому назначению в соответствии с их принадлежностью к той или иной категории земель и (или) разрешенным использованием;</w:t>
      </w:r>
    </w:p>
    <w:p w14:paraId="5973A672" w14:textId="77777777" w:rsidR="00D86421" w:rsidRPr="008B6A75" w:rsidRDefault="00D86421" w:rsidP="00D86421">
      <w:pPr>
        <w:ind w:firstLine="560"/>
        <w:jc w:val="both"/>
        <w:rPr>
          <w:sz w:val="20"/>
          <w:szCs w:val="20"/>
        </w:rPr>
      </w:pPr>
      <w:r w:rsidRPr="008B6A75">
        <w:rPr>
          <w:sz w:val="20"/>
          <w:szCs w:val="20"/>
        </w:rPr>
        <w:t>3) обязательное использование земель, предназначенных для жилищного или иного строительства, садоводства, огородничества и личного подсобного хозяйства, в указанных целях в течение установленного срока;</w:t>
      </w:r>
    </w:p>
    <w:p w14:paraId="44C54280" w14:textId="77777777" w:rsidR="00D86421" w:rsidRPr="008B6A75" w:rsidRDefault="00D86421" w:rsidP="00D86421">
      <w:pPr>
        <w:ind w:firstLine="560"/>
        <w:jc w:val="both"/>
        <w:rPr>
          <w:sz w:val="20"/>
          <w:szCs w:val="20"/>
        </w:rPr>
      </w:pPr>
      <w:r w:rsidRPr="008B6A75">
        <w:rPr>
          <w:sz w:val="20"/>
          <w:szCs w:val="20"/>
        </w:rPr>
        <w:t>4) обязанность приведения земель в состояние, пригодное для использования по целевому назначению;</w:t>
      </w:r>
    </w:p>
    <w:p w14:paraId="5E94EF3B" w14:textId="77777777" w:rsidR="00D86421" w:rsidRPr="008B6A75" w:rsidRDefault="00D86421" w:rsidP="00D86421">
      <w:pPr>
        <w:ind w:firstLine="560"/>
        <w:jc w:val="both"/>
        <w:rPr>
          <w:sz w:val="20"/>
          <w:szCs w:val="20"/>
        </w:rPr>
      </w:pPr>
      <w:r w:rsidRPr="008B6A75">
        <w:rPr>
          <w:sz w:val="20"/>
          <w:szCs w:val="20"/>
        </w:rPr>
        <w:t>5) исполнение предписаний об устранении нарушений обязательных требований.</w:t>
      </w:r>
    </w:p>
    <w:p w14:paraId="12AA9642" w14:textId="77777777" w:rsidR="00D86421" w:rsidRPr="008B6A75" w:rsidRDefault="00D86421" w:rsidP="00D86421">
      <w:pPr>
        <w:ind w:firstLine="560"/>
        <w:jc w:val="both"/>
        <w:rPr>
          <w:sz w:val="20"/>
          <w:szCs w:val="20"/>
        </w:rPr>
      </w:pPr>
      <w:r w:rsidRPr="008B6A75">
        <w:rPr>
          <w:sz w:val="20"/>
          <w:szCs w:val="20"/>
        </w:rPr>
        <w:t xml:space="preserve">Количество подконтрольных субъектов в 2022 году: юридические лица и индивидуальные предприниматели – 0, физические лица – 28. </w:t>
      </w:r>
    </w:p>
    <w:p w14:paraId="35532410" w14:textId="77777777" w:rsidR="00D86421" w:rsidRPr="008B6A75" w:rsidRDefault="00D86421" w:rsidP="00D86421">
      <w:pPr>
        <w:ind w:firstLine="560"/>
        <w:jc w:val="both"/>
        <w:rPr>
          <w:sz w:val="20"/>
          <w:szCs w:val="20"/>
        </w:rPr>
      </w:pPr>
      <w:r w:rsidRPr="008B6A75">
        <w:rPr>
          <w:sz w:val="20"/>
          <w:szCs w:val="20"/>
        </w:rPr>
        <w:lastRenderedPageBreak/>
        <w:t xml:space="preserve">В 2022 году проведено 28 контрольных мероприятий без взаимодействия с контролируемыми лицами (мониторинг безопасности), из </w:t>
      </w:r>
      <w:proofErr w:type="gramStart"/>
      <w:r w:rsidRPr="008B6A75">
        <w:rPr>
          <w:sz w:val="20"/>
          <w:szCs w:val="20"/>
        </w:rPr>
        <w:t>них  2</w:t>
      </w:r>
      <w:proofErr w:type="gramEnd"/>
      <w:r w:rsidRPr="008B6A75">
        <w:rPr>
          <w:sz w:val="20"/>
          <w:szCs w:val="20"/>
        </w:rPr>
        <w:t xml:space="preserve"> мероприятия в отношении  граждан, осуществляющих деятельность на землях сельскохозяйственного назначения и 26 - в отношении граждан, использующих земельные участки в границах населенных пунктов.</w:t>
      </w:r>
    </w:p>
    <w:p w14:paraId="519B5B98" w14:textId="77777777" w:rsidR="00D86421" w:rsidRPr="008B6A75" w:rsidRDefault="00D86421" w:rsidP="00D86421">
      <w:pPr>
        <w:ind w:firstLine="560"/>
        <w:jc w:val="both"/>
        <w:rPr>
          <w:sz w:val="20"/>
          <w:szCs w:val="20"/>
        </w:rPr>
      </w:pPr>
      <w:r w:rsidRPr="008B6A75">
        <w:rPr>
          <w:sz w:val="20"/>
          <w:szCs w:val="20"/>
        </w:rPr>
        <w:t xml:space="preserve">Составлено 28 предостережений о недопустимости нарушения обязательных требований земельного законодательства. Срок устранения нарушений – ноябрь/декабрь 2022 года. </w:t>
      </w:r>
    </w:p>
    <w:p w14:paraId="5015B1A1" w14:textId="77777777" w:rsidR="00D86421" w:rsidRPr="008B6A75" w:rsidRDefault="00D86421" w:rsidP="00D86421">
      <w:pPr>
        <w:ind w:firstLine="560"/>
        <w:jc w:val="both"/>
        <w:rPr>
          <w:sz w:val="20"/>
          <w:szCs w:val="20"/>
        </w:rPr>
      </w:pPr>
      <w:r w:rsidRPr="008B6A75">
        <w:rPr>
          <w:sz w:val="20"/>
          <w:szCs w:val="20"/>
        </w:rPr>
        <w:t xml:space="preserve">В результате проведения профилактических мероприятий выявлены факты нарушений обязательных требований земельного законодательства: </w:t>
      </w:r>
    </w:p>
    <w:p w14:paraId="6B4C5E67" w14:textId="77777777" w:rsidR="00D86421" w:rsidRPr="008B6A75" w:rsidRDefault="00D86421" w:rsidP="00D86421">
      <w:pPr>
        <w:ind w:firstLine="560"/>
        <w:jc w:val="both"/>
        <w:rPr>
          <w:sz w:val="20"/>
          <w:szCs w:val="20"/>
        </w:rPr>
      </w:pPr>
      <w:r w:rsidRPr="008B6A75">
        <w:rPr>
          <w:sz w:val="20"/>
          <w:szCs w:val="20"/>
        </w:rPr>
        <w:t>1. Самовольное занятие земельного участка или части земельного участка (использование участка без правоустанавливающих/</w:t>
      </w:r>
      <w:proofErr w:type="spellStart"/>
      <w:r w:rsidRPr="008B6A75">
        <w:rPr>
          <w:sz w:val="20"/>
          <w:szCs w:val="20"/>
        </w:rPr>
        <w:t>правоподтверждающих</w:t>
      </w:r>
      <w:proofErr w:type="spellEnd"/>
      <w:r w:rsidRPr="008B6A75">
        <w:rPr>
          <w:sz w:val="20"/>
          <w:szCs w:val="20"/>
        </w:rPr>
        <w:t xml:space="preserve"> документов).</w:t>
      </w:r>
    </w:p>
    <w:p w14:paraId="6BCE8B5A" w14:textId="77777777" w:rsidR="00D86421" w:rsidRPr="008B6A75" w:rsidRDefault="00D86421" w:rsidP="00D86421">
      <w:pPr>
        <w:ind w:firstLine="560"/>
        <w:jc w:val="both"/>
        <w:rPr>
          <w:sz w:val="20"/>
          <w:szCs w:val="20"/>
        </w:rPr>
      </w:pPr>
      <w:r w:rsidRPr="008B6A75">
        <w:rPr>
          <w:sz w:val="20"/>
          <w:szCs w:val="20"/>
        </w:rPr>
        <w:t xml:space="preserve">Самое распространенное нарушение - самовольное занятие земельного участка или части земельного участка. </w:t>
      </w:r>
    </w:p>
    <w:p w14:paraId="6DC4F84C" w14:textId="77777777" w:rsidR="00D86421" w:rsidRPr="008B6A75" w:rsidRDefault="00D86421" w:rsidP="00D86421">
      <w:pPr>
        <w:ind w:firstLine="560"/>
        <w:jc w:val="both"/>
        <w:rPr>
          <w:sz w:val="20"/>
          <w:szCs w:val="20"/>
        </w:rPr>
      </w:pPr>
      <w:r w:rsidRPr="008B6A75">
        <w:rPr>
          <w:sz w:val="20"/>
          <w:szCs w:val="20"/>
        </w:rPr>
        <w:t>Самовольное занятие земельного участка или части земельного участка выражается:</w:t>
      </w:r>
    </w:p>
    <w:p w14:paraId="38767E83" w14:textId="77777777" w:rsidR="00D86421" w:rsidRPr="008B6A75" w:rsidRDefault="00D86421" w:rsidP="00D86421">
      <w:pPr>
        <w:ind w:firstLine="560"/>
        <w:jc w:val="both"/>
        <w:rPr>
          <w:sz w:val="20"/>
          <w:szCs w:val="20"/>
        </w:rPr>
      </w:pPr>
      <w:r w:rsidRPr="008B6A75">
        <w:rPr>
          <w:sz w:val="20"/>
          <w:szCs w:val="20"/>
        </w:rPr>
        <w:t>- в пользовании земельного участка до принятия администрацией решения о предоставлении, продаже (передаче) земельного участка в собственность, аренду;</w:t>
      </w:r>
    </w:p>
    <w:p w14:paraId="34E027A8" w14:textId="77777777" w:rsidR="00D86421" w:rsidRPr="008B6A75" w:rsidRDefault="00D86421" w:rsidP="00D86421">
      <w:pPr>
        <w:ind w:firstLine="560"/>
        <w:jc w:val="both"/>
        <w:rPr>
          <w:sz w:val="20"/>
          <w:szCs w:val="20"/>
        </w:rPr>
      </w:pPr>
      <w:r w:rsidRPr="008B6A75">
        <w:rPr>
          <w:sz w:val="20"/>
          <w:szCs w:val="20"/>
        </w:rPr>
        <w:t>- в размещении строений, несанкционированном изменении границ своего земельного участка, путем переноса ограждения и самовольном занятии при этом дополнительного земельного участка.</w:t>
      </w:r>
    </w:p>
    <w:p w14:paraId="165E1720" w14:textId="77777777" w:rsidR="00D86421" w:rsidRPr="008B6A75" w:rsidRDefault="00D86421" w:rsidP="00D86421">
      <w:pPr>
        <w:ind w:firstLine="560"/>
        <w:jc w:val="both"/>
        <w:rPr>
          <w:sz w:val="20"/>
          <w:szCs w:val="20"/>
        </w:rPr>
      </w:pPr>
      <w:r w:rsidRPr="008B6A75">
        <w:rPr>
          <w:sz w:val="20"/>
          <w:szCs w:val="20"/>
        </w:rPr>
        <w:t>Основными проблемами, которые явились причинами нарушений обязательных требований земельного законодательства Российской Федерации, выявленные при проведении профилактических мероприятий:</w:t>
      </w:r>
    </w:p>
    <w:p w14:paraId="32A9D7DB" w14:textId="77777777" w:rsidR="00D86421" w:rsidRPr="008B6A75" w:rsidRDefault="00D86421" w:rsidP="00D86421">
      <w:pPr>
        <w:ind w:firstLine="560"/>
        <w:jc w:val="both"/>
        <w:rPr>
          <w:sz w:val="20"/>
          <w:szCs w:val="20"/>
        </w:rPr>
      </w:pPr>
      <w:r w:rsidRPr="008B6A75">
        <w:rPr>
          <w:sz w:val="20"/>
          <w:szCs w:val="20"/>
        </w:rPr>
        <w:t>- низкие знания правообладателей земельных участков, предъявляемых к ним земельным законодательством Российской Федерации о порядке, способах и ограничениях использования земельных участков;</w:t>
      </w:r>
    </w:p>
    <w:p w14:paraId="38CAACFF" w14:textId="77777777" w:rsidR="00D86421" w:rsidRPr="008B6A75" w:rsidRDefault="00D86421" w:rsidP="00D86421">
      <w:pPr>
        <w:ind w:firstLine="560"/>
        <w:jc w:val="both"/>
        <w:rPr>
          <w:sz w:val="20"/>
          <w:szCs w:val="20"/>
        </w:rPr>
      </w:pPr>
      <w:r w:rsidRPr="008B6A75">
        <w:rPr>
          <w:sz w:val="20"/>
          <w:szCs w:val="20"/>
        </w:rPr>
        <w:t>- использование земельных участков без проведения процедуры межевания границ земельного участка. Поскольку без межевания границы участка не определены, где они находятся, достоверно установить не удастся. В такой ситуации возможны споры с соседями, а также самовольный захват земельного участка со стороны не только соседей, но и других лиц.</w:t>
      </w:r>
    </w:p>
    <w:p w14:paraId="525B9491" w14:textId="77777777" w:rsidR="00D86421" w:rsidRPr="008B6A75" w:rsidRDefault="00D86421" w:rsidP="00D86421">
      <w:pPr>
        <w:ind w:firstLine="560"/>
        <w:jc w:val="both"/>
        <w:rPr>
          <w:sz w:val="20"/>
          <w:szCs w:val="20"/>
        </w:rPr>
      </w:pPr>
      <w:r w:rsidRPr="008B6A75">
        <w:rPr>
          <w:sz w:val="20"/>
          <w:szCs w:val="20"/>
        </w:rPr>
        <w:t>Решением этих проблем является активное проведение специалистами администрации профилактических мероприятий по вопросам соблюдения обязательных требований и разъяснений по вопросам, связанным с организацией и осуществлением муниципального земельного контроля.</w:t>
      </w:r>
    </w:p>
    <w:p w14:paraId="5756D3D8" w14:textId="77777777" w:rsidR="00D86421" w:rsidRPr="008B6A75" w:rsidRDefault="00D86421" w:rsidP="00D86421">
      <w:pPr>
        <w:ind w:firstLine="560"/>
        <w:jc w:val="both"/>
        <w:rPr>
          <w:sz w:val="20"/>
          <w:szCs w:val="20"/>
        </w:rPr>
      </w:pPr>
      <w:r w:rsidRPr="008B6A75">
        <w:rPr>
          <w:sz w:val="20"/>
          <w:szCs w:val="20"/>
        </w:rPr>
        <w:t>2. Неиспользование земельного участка.</w:t>
      </w:r>
    </w:p>
    <w:p w14:paraId="3909F0D7" w14:textId="77777777" w:rsidR="00D86421" w:rsidRPr="008B6A75" w:rsidRDefault="00D86421" w:rsidP="00D86421">
      <w:pPr>
        <w:ind w:firstLine="560"/>
        <w:jc w:val="both"/>
        <w:rPr>
          <w:sz w:val="20"/>
          <w:szCs w:val="20"/>
        </w:rPr>
      </w:pPr>
      <w:r w:rsidRPr="008B6A75">
        <w:rPr>
          <w:sz w:val="20"/>
          <w:szCs w:val="20"/>
        </w:rPr>
        <w:t>Сознательное бездействие правообладателей земельных участков. Правообладатели земельных участков помимо прав на такие земельные участки имеют и обязанности по поддержанию их в состоянии, пригодном для использования.</w:t>
      </w:r>
    </w:p>
    <w:p w14:paraId="4D694D1C" w14:textId="77777777" w:rsidR="00D86421" w:rsidRPr="008B6A75" w:rsidRDefault="00D86421" w:rsidP="00D86421">
      <w:pPr>
        <w:ind w:firstLine="560"/>
        <w:jc w:val="both"/>
        <w:rPr>
          <w:sz w:val="20"/>
          <w:szCs w:val="20"/>
        </w:rPr>
      </w:pPr>
      <w:r w:rsidRPr="008B6A75">
        <w:rPr>
          <w:sz w:val="20"/>
          <w:szCs w:val="20"/>
        </w:rPr>
        <w:t xml:space="preserve">Проблема неиспользования земельного участка заключается в том, что большинство правообладателей земельных участков изначально не планировали использовать земельные участки по прямому назначению. Выявить таких правообладателей и провести с ними профилактические мероприятия, возможно только при проведении контрольно-надзорных мероприятий, а в таких случаях земельный участок чаще всего уже находится в состоянии, не пригодном для </w:t>
      </w:r>
      <w:proofErr w:type="gramStart"/>
      <w:r w:rsidRPr="008B6A75">
        <w:rPr>
          <w:sz w:val="20"/>
          <w:szCs w:val="20"/>
        </w:rPr>
        <w:t>его  использования</w:t>
      </w:r>
      <w:proofErr w:type="gramEnd"/>
      <w:r w:rsidRPr="008B6A75">
        <w:rPr>
          <w:sz w:val="20"/>
          <w:szCs w:val="20"/>
        </w:rPr>
        <w:t>.</w:t>
      </w:r>
    </w:p>
    <w:p w14:paraId="5BBFFF51" w14:textId="77777777" w:rsidR="00D86421" w:rsidRPr="008B6A75" w:rsidRDefault="00D86421" w:rsidP="00D86421">
      <w:pPr>
        <w:ind w:firstLine="560"/>
        <w:jc w:val="both"/>
        <w:rPr>
          <w:sz w:val="20"/>
          <w:szCs w:val="20"/>
        </w:rPr>
      </w:pPr>
    </w:p>
    <w:p w14:paraId="6FB29F96" w14:textId="77777777" w:rsidR="00D86421" w:rsidRPr="008B6A75" w:rsidRDefault="00D86421" w:rsidP="00D86421">
      <w:pPr>
        <w:ind w:firstLine="560"/>
        <w:jc w:val="center"/>
        <w:rPr>
          <w:sz w:val="20"/>
          <w:szCs w:val="20"/>
        </w:rPr>
      </w:pPr>
      <w:r w:rsidRPr="008B6A75">
        <w:rPr>
          <w:sz w:val="20"/>
          <w:szCs w:val="20"/>
          <w:lang w:val="en-US"/>
        </w:rPr>
        <w:t>II</w:t>
      </w:r>
      <w:r w:rsidRPr="008B6A75">
        <w:rPr>
          <w:sz w:val="20"/>
          <w:szCs w:val="20"/>
        </w:rPr>
        <w:t>. Цели и задачи реализации программы профилактики</w:t>
      </w:r>
    </w:p>
    <w:p w14:paraId="32A1438A" w14:textId="77777777" w:rsidR="00D86421" w:rsidRPr="008B6A75" w:rsidRDefault="00D86421" w:rsidP="00D86421">
      <w:pPr>
        <w:ind w:firstLine="560"/>
        <w:jc w:val="center"/>
        <w:rPr>
          <w:sz w:val="20"/>
          <w:szCs w:val="20"/>
        </w:rPr>
      </w:pPr>
    </w:p>
    <w:p w14:paraId="6FA8DD52" w14:textId="77777777" w:rsidR="00D86421" w:rsidRPr="008B6A75" w:rsidRDefault="00D86421" w:rsidP="00D86421">
      <w:pPr>
        <w:ind w:firstLine="560"/>
        <w:jc w:val="both"/>
        <w:rPr>
          <w:sz w:val="20"/>
          <w:szCs w:val="20"/>
        </w:rPr>
      </w:pPr>
      <w:r w:rsidRPr="008B6A75">
        <w:rPr>
          <w:sz w:val="20"/>
          <w:szCs w:val="20"/>
        </w:rPr>
        <w:t xml:space="preserve">4. Программа разработана в целях: </w:t>
      </w:r>
    </w:p>
    <w:p w14:paraId="3C3F8AF9" w14:textId="77777777" w:rsidR="00D86421" w:rsidRPr="008B6A75" w:rsidRDefault="00D86421" w:rsidP="00D86421">
      <w:pPr>
        <w:ind w:firstLine="560"/>
        <w:jc w:val="both"/>
        <w:rPr>
          <w:sz w:val="20"/>
          <w:szCs w:val="20"/>
        </w:rPr>
      </w:pPr>
      <w:r w:rsidRPr="008B6A75">
        <w:rPr>
          <w:sz w:val="20"/>
          <w:szCs w:val="20"/>
        </w:rPr>
        <w:t xml:space="preserve">1) предупреждения нарушения подконтрольными субъектами обязательных требований, требований, установленных муниципальными правовыми актами, включая устранение причин, факторов и условий, способствующих возможному нарушению обязательных требований; </w:t>
      </w:r>
    </w:p>
    <w:p w14:paraId="6CC359C8" w14:textId="77777777" w:rsidR="00D86421" w:rsidRPr="008B6A75" w:rsidRDefault="00D86421" w:rsidP="00D86421">
      <w:pPr>
        <w:ind w:firstLine="560"/>
        <w:jc w:val="both"/>
        <w:rPr>
          <w:sz w:val="20"/>
          <w:szCs w:val="20"/>
        </w:rPr>
      </w:pPr>
      <w:r w:rsidRPr="008B6A75">
        <w:rPr>
          <w:sz w:val="20"/>
          <w:szCs w:val="20"/>
        </w:rPr>
        <w:t>2) повышение прозрачности системы муниципального контроля;</w:t>
      </w:r>
    </w:p>
    <w:p w14:paraId="1D583A01" w14:textId="77777777" w:rsidR="00D86421" w:rsidRPr="008B6A75" w:rsidRDefault="00D86421" w:rsidP="00D86421">
      <w:pPr>
        <w:ind w:firstLine="560"/>
        <w:jc w:val="both"/>
        <w:rPr>
          <w:sz w:val="20"/>
          <w:szCs w:val="20"/>
        </w:rPr>
      </w:pPr>
      <w:r w:rsidRPr="008B6A75">
        <w:rPr>
          <w:sz w:val="20"/>
          <w:szCs w:val="20"/>
        </w:rPr>
        <w:t xml:space="preserve">3) формирование единого понимания обязательных требований, требований, установленных муниципальными правовыми актами и создание системы профилактики правонарушений, направленной на выявление и предупреждение причин и условий, способствующих совершению правонарушений; </w:t>
      </w:r>
    </w:p>
    <w:p w14:paraId="5CB60503" w14:textId="77777777" w:rsidR="00D86421" w:rsidRPr="008B6A75" w:rsidRDefault="00D86421" w:rsidP="00D86421">
      <w:pPr>
        <w:ind w:firstLine="560"/>
        <w:jc w:val="both"/>
        <w:rPr>
          <w:sz w:val="20"/>
          <w:szCs w:val="20"/>
        </w:rPr>
      </w:pPr>
      <w:r w:rsidRPr="008B6A75">
        <w:rPr>
          <w:sz w:val="20"/>
          <w:szCs w:val="20"/>
        </w:rPr>
        <w:t xml:space="preserve">4) повышение уровня правовой грамотности подконтрольных субъектов, в том числе путем доступности информации об обязательных требованиях и необходимых мерах по их исполнению; </w:t>
      </w:r>
    </w:p>
    <w:p w14:paraId="4DEB3D53" w14:textId="77777777" w:rsidR="00D86421" w:rsidRPr="008B6A75" w:rsidRDefault="00D86421" w:rsidP="00D86421">
      <w:pPr>
        <w:ind w:firstLine="560"/>
        <w:jc w:val="both"/>
        <w:rPr>
          <w:sz w:val="20"/>
          <w:szCs w:val="20"/>
        </w:rPr>
      </w:pPr>
      <w:r w:rsidRPr="008B6A75">
        <w:rPr>
          <w:sz w:val="20"/>
          <w:szCs w:val="20"/>
        </w:rPr>
        <w:t>5) мотивация подконтрольных субъектов к добросовестному поведению.</w:t>
      </w:r>
    </w:p>
    <w:p w14:paraId="549C6EF2" w14:textId="77777777" w:rsidR="00D86421" w:rsidRPr="008B6A75" w:rsidRDefault="00D86421" w:rsidP="00D86421">
      <w:pPr>
        <w:ind w:firstLine="560"/>
        <w:jc w:val="both"/>
        <w:rPr>
          <w:sz w:val="20"/>
          <w:szCs w:val="20"/>
        </w:rPr>
      </w:pPr>
      <w:r w:rsidRPr="008B6A75">
        <w:rPr>
          <w:sz w:val="20"/>
          <w:szCs w:val="20"/>
        </w:rPr>
        <w:t>5. Для достижения целей программы выполняются следующие задачи:</w:t>
      </w:r>
    </w:p>
    <w:p w14:paraId="105912EF" w14:textId="77777777" w:rsidR="00D86421" w:rsidRPr="008B6A75" w:rsidRDefault="00D86421" w:rsidP="00D86421">
      <w:pPr>
        <w:ind w:firstLine="560"/>
        <w:jc w:val="both"/>
        <w:rPr>
          <w:sz w:val="20"/>
          <w:szCs w:val="20"/>
        </w:rPr>
      </w:pPr>
      <w:r w:rsidRPr="008B6A75">
        <w:rPr>
          <w:sz w:val="20"/>
          <w:szCs w:val="20"/>
        </w:rPr>
        <w:t xml:space="preserve">1) выявление причин, факторов и условий, способствующих причинению вреда (ущерба) охраняемым законом ценностям и нарушению обязательных требований, определение способов устранения или снижения рисков их возникновения; </w:t>
      </w:r>
    </w:p>
    <w:p w14:paraId="44380635" w14:textId="77777777" w:rsidR="00D86421" w:rsidRPr="008B6A75" w:rsidRDefault="00D86421" w:rsidP="00D86421">
      <w:pPr>
        <w:ind w:firstLine="560"/>
        <w:jc w:val="both"/>
        <w:rPr>
          <w:sz w:val="20"/>
          <w:szCs w:val="20"/>
        </w:rPr>
      </w:pPr>
      <w:r w:rsidRPr="008B6A75">
        <w:rPr>
          <w:sz w:val="20"/>
          <w:szCs w:val="20"/>
        </w:rPr>
        <w:t xml:space="preserve">2) устранение причин, факторов и условий, способствующих возможному причинению вреда (ущерба) охраняемым законом ценностям и нарушению обязательных требований; </w:t>
      </w:r>
    </w:p>
    <w:p w14:paraId="3452FF9D" w14:textId="77777777" w:rsidR="00D86421" w:rsidRPr="008B6A75" w:rsidRDefault="00D86421" w:rsidP="00D86421">
      <w:pPr>
        <w:ind w:firstLine="560"/>
        <w:jc w:val="both"/>
        <w:rPr>
          <w:sz w:val="20"/>
          <w:szCs w:val="20"/>
        </w:rPr>
      </w:pPr>
      <w:r w:rsidRPr="008B6A75">
        <w:rPr>
          <w:sz w:val="20"/>
          <w:szCs w:val="20"/>
        </w:rPr>
        <w:t xml:space="preserve">3) установление и оценка зависимости видов, форм и интенсивности профилактических мероприятий от особенностей конкретных подконтрольных субъектов (объектов) и присвоенного им уровня риска, проведение профилактических мероприятий с учетом данных факторов;  </w:t>
      </w:r>
    </w:p>
    <w:p w14:paraId="6F24F423" w14:textId="77777777" w:rsidR="00D86421" w:rsidRPr="008B6A75" w:rsidRDefault="00D86421" w:rsidP="00D86421">
      <w:pPr>
        <w:ind w:firstLine="560"/>
        <w:jc w:val="both"/>
        <w:rPr>
          <w:sz w:val="20"/>
          <w:szCs w:val="20"/>
        </w:rPr>
      </w:pPr>
      <w:r w:rsidRPr="008B6A75">
        <w:rPr>
          <w:sz w:val="20"/>
          <w:szCs w:val="20"/>
        </w:rPr>
        <w:t xml:space="preserve">4) определение перечня видов и сбор статистических данных, необходимых для организации профилактической работы; </w:t>
      </w:r>
    </w:p>
    <w:p w14:paraId="77B6D534" w14:textId="77777777" w:rsidR="00D86421" w:rsidRPr="008B6A75" w:rsidRDefault="00D86421" w:rsidP="00D86421">
      <w:pPr>
        <w:ind w:firstLine="560"/>
        <w:jc w:val="both"/>
        <w:rPr>
          <w:sz w:val="20"/>
          <w:szCs w:val="20"/>
        </w:rPr>
      </w:pPr>
      <w:r w:rsidRPr="008B6A75">
        <w:rPr>
          <w:sz w:val="20"/>
          <w:szCs w:val="20"/>
        </w:rPr>
        <w:t xml:space="preserve">5) повышение квалификации кадрового состава контрольно-надзорного органа; </w:t>
      </w:r>
    </w:p>
    <w:p w14:paraId="3C1E1AB6" w14:textId="77777777" w:rsidR="00D86421" w:rsidRPr="008B6A75" w:rsidRDefault="00D86421" w:rsidP="00D86421">
      <w:pPr>
        <w:ind w:firstLine="560"/>
        <w:jc w:val="both"/>
        <w:rPr>
          <w:sz w:val="20"/>
          <w:szCs w:val="20"/>
        </w:rPr>
      </w:pPr>
      <w:r w:rsidRPr="008B6A75">
        <w:rPr>
          <w:sz w:val="20"/>
          <w:szCs w:val="20"/>
        </w:rPr>
        <w:lastRenderedPageBreak/>
        <w:t xml:space="preserve">6) снижение уровня административной нагрузки на организации и граждан, осуществляющих предпринимательскую деятельность; </w:t>
      </w:r>
    </w:p>
    <w:p w14:paraId="69F38478" w14:textId="77777777" w:rsidR="00D86421" w:rsidRPr="008B6A75" w:rsidRDefault="00D86421" w:rsidP="00D86421">
      <w:pPr>
        <w:ind w:firstLine="560"/>
        <w:jc w:val="both"/>
        <w:rPr>
          <w:sz w:val="20"/>
          <w:szCs w:val="20"/>
        </w:rPr>
      </w:pPr>
      <w:r w:rsidRPr="008B6A75">
        <w:rPr>
          <w:sz w:val="20"/>
          <w:szCs w:val="20"/>
        </w:rPr>
        <w:t>7) создание системы консультирования подконтрольных субъектов, в том числе с использованием современных информационно-телекоммуникационных технологий.</w:t>
      </w:r>
    </w:p>
    <w:p w14:paraId="3E2DCCF4" w14:textId="77777777" w:rsidR="00D86421" w:rsidRPr="008B6A75" w:rsidRDefault="00D86421" w:rsidP="00D86421">
      <w:pPr>
        <w:ind w:firstLine="560"/>
        <w:jc w:val="both"/>
        <w:rPr>
          <w:sz w:val="20"/>
          <w:szCs w:val="20"/>
        </w:rPr>
      </w:pPr>
      <w:r w:rsidRPr="008B6A75">
        <w:rPr>
          <w:sz w:val="20"/>
          <w:szCs w:val="20"/>
        </w:rPr>
        <w:t>Цели и задачи программы осуществляются посредством реализации профилактических мероприятий.</w:t>
      </w:r>
    </w:p>
    <w:p w14:paraId="7E1C92EA" w14:textId="77777777" w:rsidR="00D86421" w:rsidRPr="008B6A75" w:rsidRDefault="00D86421" w:rsidP="00D86421">
      <w:pPr>
        <w:ind w:firstLine="560"/>
        <w:jc w:val="center"/>
        <w:rPr>
          <w:sz w:val="20"/>
          <w:szCs w:val="20"/>
        </w:rPr>
      </w:pPr>
    </w:p>
    <w:p w14:paraId="293D18E4" w14:textId="77777777" w:rsidR="00D86421" w:rsidRPr="008B6A75" w:rsidRDefault="00D86421" w:rsidP="00D86421">
      <w:pPr>
        <w:ind w:firstLine="560"/>
        <w:jc w:val="center"/>
        <w:rPr>
          <w:sz w:val="20"/>
          <w:szCs w:val="20"/>
        </w:rPr>
      </w:pPr>
      <w:r w:rsidRPr="008B6A75">
        <w:rPr>
          <w:sz w:val="20"/>
          <w:szCs w:val="20"/>
          <w:lang w:val="en-US"/>
        </w:rPr>
        <w:t>III</w:t>
      </w:r>
      <w:r w:rsidRPr="008B6A75">
        <w:rPr>
          <w:sz w:val="20"/>
          <w:szCs w:val="20"/>
        </w:rPr>
        <w:t>. Перечень профилактических мероприятий, сроки (периодичность) их проведения</w:t>
      </w:r>
    </w:p>
    <w:p w14:paraId="27F09C4D" w14:textId="77777777" w:rsidR="00D86421" w:rsidRPr="008B6A75" w:rsidRDefault="00D86421" w:rsidP="00D86421">
      <w:pPr>
        <w:ind w:firstLine="560"/>
        <w:jc w:val="both"/>
        <w:rPr>
          <w:sz w:val="20"/>
          <w:szCs w:val="20"/>
        </w:rPr>
      </w:pPr>
    </w:p>
    <w:p w14:paraId="54A8F5A9" w14:textId="77777777" w:rsidR="00D86421" w:rsidRPr="008B6A75" w:rsidRDefault="00D86421" w:rsidP="00D86421">
      <w:pPr>
        <w:ind w:firstLine="560"/>
        <w:jc w:val="both"/>
        <w:rPr>
          <w:sz w:val="20"/>
          <w:szCs w:val="20"/>
        </w:rPr>
      </w:pPr>
      <w:r w:rsidRPr="008B6A75">
        <w:rPr>
          <w:sz w:val="20"/>
          <w:szCs w:val="20"/>
        </w:rPr>
        <w:t xml:space="preserve">6. Профилактические мероприятия программы представляют собой комплекс мер, направленных на достижение целей и решение основных задач настоящей Программы. </w:t>
      </w:r>
    </w:p>
    <w:p w14:paraId="70E53D5E" w14:textId="77777777" w:rsidR="00D86421" w:rsidRPr="008B6A75" w:rsidRDefault="00D86421" w:rsidP="00D86421">
      <w:pPr>
        <w:ind w:firstLine="560"/>
        <w:jc w:val="both"/>
        <w:rPr>
          <w:sz w:val="20"/>
          <w:szCs w:val="20"/>
        </w:rPr>
      </w:pPr>
      <w:r w:rsidRPr="008B6A75">
        <w:rPr>
          <w:sz w:val="20"/>
          <w:szCs w:val="20"/>
        </w:rPr>
        <w:t>7. Перечень основных профилактических мероприятий Программы на 2022 год приведен в таблице: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8"/>
        <w:gridCol w:w="4058"/>
        <w:gridCol w:w="1993"/>
        <w:gridCol w:w="3312"/>
      </w:tblGrid>
      <w:tr w:rsidR="00D86421" w:rsidRPr="008B6A75" w14:paraId="5B50EB4E" w14:textId="77777777" w:rsidTr="00467D80">
        <w:tc>
          <w:tcPr>
            <w:tcW w:w="668" w:type="dxa"/>
            <w:tcBorders>
              <w:top w:val="single" w:sz="4" w:space="0" w:color="auto"/>
              <w:left w:val="single" w:sz="4" w:space="0" w:color="auto"/>
              <w:bottom w:val="single" w:sz="4" w:space="0" w:color="auto"/>
              <w:right w:val="single" w:sz="4" w:space="0" w:color="auto"/>
            </w:tcBorders>
            <w:hideMark/>
          </w:tcPr>
          <w:p w14:paraId="25702B59" w14:textId="77777777" w:rsidR="00D86421" w:rsidRPr="008B6A75" w:rsidRDefault="00D86421" w:rsidP="00467D80">
            <w:pPr>
              <w:suppressAutoHyphens/>
              <w:spacing w:after="200" w:line="276" w:lineRule="auto"/>
              <w:jc w:val="center"/>
              <w:rPr>
                <w:sz w:val="20"/>
                <w:szCs w:val="20"/>
              </w:rPr>
            </w:pPr>
            <w:r w:rsidRPr="008B6A75">
              <w:rPr>
                <w:sz w:val="20"/>
                <w:szCs w:val="20"/>
              </w:rPr>
              <w:t>№</w:t>
            </w:r>
          </w:p>
          <w:p w14:paraId="5B3BB3E5" w14:textId="77777777" w:rsidR="00D86421" w:rsidRPr="008B6A75" w:rsidRDefault="00D86421" w:rsidP="00467D80">
            <w:pPr>
              <w:suppressAutoHyphens/>
              <w:spacing w:after="200" w:line="276" w:lineRule="auto"/>
              <w:jc w:val="center"/>
              <w:rPr>
                <w:sz w:val="20"/>
                <w:szCs w:val="20"/>
                <w:lang w:eastAsia="en-US"/>
              </w:rPr>
            </w:pPr>
            <w:r w:rsidRPr="008B6A75">
              <w:rPr>
                <w:sz w:val="20"/>
                <w:szCs w:val="20"/>
              </w:rPr>
              <w:t>п/п</w:t>
            </w:r>
          </w:p>
        </w:tc>
        <w:tc>
          <w:tcPr>
            <w:tcW w:w="4058" w:type="dxa"/>
            <w:tcBorders>
              <w:top w:val="single" w:sz="4" w:space="0" w:color="auto"/>
              <w:left w:val="single" w:sz="4" w:space="0" w:color="auto"/>
              <w:bottom w:val="single" w:sz="4" w:space="0" w:color="auto"/>
              <w:right w:val="single" w:sz="4" w:space="0" w:color="auto"/>
            </w:tcBorders>
            <w:hideMark/>
          </w:tcPr>
          <w:p w14:paraId="1C714BBC" w14:textId="77777777" w:rsidR="00D86421" w:rsidRPr="008B6A75" w:rsidRDefault="00D86421" w:rsidP="00467D80">
            <w:pPr>
              <w:suppressAutoHyphens/>
              <w:spacing w:after="200" w:line="276" w:lineRule="auto"/>
              <w:rPr>
                <w:sz w:val="20"/>
                <w:szCs w:val="20"/>
                <w:lang w:eastAsia="en-US"/>
              </w:rPr>
            </w:pPr>
            <w:r w:rsidRPr="008B6A75">
              <w:rPr>
                <w:sz w:val="20"/>
                <w:szCs w:val="20"/>
              </w:rPr>
              <w:t>Наименование мероприятия</w:t>
            </w:r>
          </w:p>
        </w:tc>
        <w:tc>
          <w:tcPr>
            <w:tcW w:w="1993" w:type="dxa"/>
            <w:tcBorders>
              <w:top w:val="single" w:sz="4" w:space="0" w:color="auto"/>
              <w:left w:val="single" w:sz="4" w:space="0" w:color="auto"/>
              <w:bottom w:val="single" w:sz="4" w:space="0" w:color="auto"/>
              <w:right w:val="single" w:sz="4" w:space="0" w:color="auto"/>
            </w:tcBorders>
            <w:hideMark/>
          </w:tcPr>
          <w:p w14:paraId="41732238" w14:textId="77777777" w:rsidR="00D86421" w:rsidRPr="008B6A75" w:rsidRDefault="00D86421" w:rsidP="00467D80">
            <w:pPr>
              <w:suppressAutoHyphens/>
              <w:spacing w:after="200" w:line="276" w:lineRule="auto"/>
              <w:jc w:val="center"/>
              <w:rPr>
                <w:sz w:val="20"/>
                <w:szCs w:val="20"/>
                <w:lang w:eastAsia="en-US"/>
              </w:rPr>
            </w:pPr>
            <w:r w:rsidRPr="008B6A75">
              <w:rPr>
                <w:sz w:val="20"/>
                <w:szCs w:val="20"/>
              </w:rPr>
              <w:t>Срок реализации мероприятия</w:t>
            </w:r>
          </w:p>
        </w:tc>
        <w:tc>
          <w:tcPr>
            <w:tcW w:w="3312" w:type="dxa"/>
            <w:tcBorders>
              <w:top w:val="single" w:sz="4" w:space="0" w:color="auto"/>
              <w:left w:val="single" w:sz="4" w:space="0" w:color="auto"/>
              <w:bottom w:val="single" w:sz="4" w:space="0" w:color="auto"/>
              <w:right w:val="single" w:sz="4" w:space="0" w:color="auto"/>
            </w:tcBorders>
            <w:hideMark/>
          </w:tcPr>
          <w:p w14:paraId="78F49DA6" w14:textId="77777777" w:rsidR="00D86421" w:rsidRPr="008B6A75" w:rsidRDefault="00D86421" w:rsidP="00467D80">
            <w:pPr>
              <w:suppressAutoHyphens/>
              <w:spacing w:after="200" w:line="276" w:lineRule="auto"/>
              <w:jc w:val="center"/>
              <w:rPr>
                <w:sz w:val="20"/>
                <w:szCs w:val="20"/>
                <w:lang w:eastAsia="en-US"/>
              </w:rPr>
            </w:pPr>
            <w:r w:rsidRPr="008B6A75">
              <w:rPr>
                <w:sz w:val="20"/>
                <w:szCs w:val="20"/>
              </w:rPr>
              <w:t>Ответственный исполнитель</w:t>
            </w:r>
          </w:p>
        </w:tc>
      </w:tr>
      <w:tr w:rsidR="00D86421" w:rsidRPr="008B6A75" w14:paraId="0F30F126" w14:textId="77777777" w:rsidTr="00467D80">
        <w:tc>
          <w:tcPr>
            <w:tcW w:w="668" w:type="dxa"/>
            <w:tcBorders>
              <w:top w:val="single" w:sz="4" w:space="0" w:color="auto"/>
              <w:left w:val="single" w:sz="4" w:space="0" w:color="auto"/>
              <w:bottom w:val="single" w:sz="4" w:space="0" w:color="auto"/>
              <w:right w:val="single" w:sz="4" w:space="0" w:color="auto"/>
            </w:tcBorders>
            <w:hideMark/>
          </w:tcPr>
          <w:p w14:paraId="4A5FEEDF" w14:textId="77777777" w:rsidR="00D86421" w:rsidRPr="008B6A75" w:rsidRDefault="00D86421" w:rsidP="00467D80">
            <w:pPr>
              <w:suppressAutoHyphens/>
              <w:jc w:val="both"/>
              <w:rPr>
                <w:sz w:val="20"/>
                <w:szCs w:val="20"/>
                <w:lang w:eastAsia="en-US"/>
              </w:rPr>
            </w:pPr>
            <w:r w:rsidRPr="008B6A75">
              <w:rPr>
                <w:sz w:val="20"/>
                <w:szCs w:val="20"/>
              </w:rPr>
              <w:t>1.</w:t>
            </w:r>
          </w:p>
        </w:tc>
        <w:tc>
          <w:tcPr>
            <w:tcW w:w="4058" w:type="dxa"/>
            <w:tcBorders>
              <w:top w:val="single" w:sz="4" w:space="0" w:color="auto"/>
              <w:left w:val="single" w:sz="4" w:space="0" w:color="auto"/>
              <w:bottom w:val="single" w:sz="4" w:space="0" w:color="auto"/>
              <w:right w:val="single" w:sz="4" w:space="0" w:color="auto"/>
            </w:tcBorders>
            <w:hideMark/>
          </w:tcPr>
          <w:p w14:paraId="5D5BAB30" w14:textId="77777777" w:rsidR="00D86421" w:rsidRPr="008B6A75" w:rsidRDefault="00D86421" w:rsidP="00467D80">
            <w:pPr>
              <w:pStyle w:val="ConsPlusNormal"/>
              <w:jc w:val="both"/>
              <w:rPr>
                <w:rFonts w:ascii="Times New Roman" w:eastAsia="Calibri" w:hAnsi="Times New Roman" w:cs="Times New Roman"/>
              </w:rPr>
            </w:pPr>
            <w:r w:rsidRPr="008B6A75">
              <w:rPr>
                <w:rFonts w:ascii="Times New Roman" w:eastAsia="Calibri" w:hAnsi="Times New Roman" w:cs="Times New Roman"/>
              </w:rPr>
              <w:t xml:space="preserve">Составление и размещение на официальном сайте администрации Куйбышевского муниципального района Новосибирской области </w:t>
            </w:r>
            <w:hyperlink r:id="rId27" w:history="1">
              <w:r w:rsidRPr="008B6A75">
                <w:rPr>
                  <w:rStyle w:val="afa"/>
                  <w:rFonts w:ascii="Times New Roman" w:eastAsia="Calibri" w:hAnsi="Times New Roman" w:cs="Times New Roman"/>
                </w:rPr>
                <w:t>www.kuibyshev.nso.ru</w:t>
              </w:r>
            </w:hyperlink>
            <w:r w:rsidRPr="008B6A75">
              <w:rPr>
                <w:rFonts w:ascii="Times New Roman" w:eastAsia="Calibri" w:hAnsi="Times New Roman" w:cs="Times New Roman"/>
              </w:rPr>
              <w:t xml:space="preserve"> перечня нормативных правовых актов или их отдельных частей, содержащих обязательные требования, установленные муниципальными правовыми актами, оценка соблюдения которых является предметом муниципального земельного контроля, а также </w:t>
            </w:r>
            <w:proofErr w:type="gramStart"/>
            <w:r w:rsidRPr="008B6A75">
              <w:rPr>
                <w:rFonts w:ascii="Times New Roman" w:eastAsia="Calibri" w:hAnsi="Times New Roman" w:cs="Times New Roman"/>
              </w:rPr>
              <w:t>текстов</w:t>
            </w:r>
            <w:proofErr w:type="gramEnd"/>
            <w:r w:rsidRPr="008B6A75">
              <w:rPr>
                <w:rFonts w:ascii="Times New Roman" w:eastAsia="Calibri" w:hAnsi="Times New Roman" w:cs="Times New Roman"/>
              </w:rPr>
              <w:t xml:space="preserve"> соответствующих нормативных правовых актов</w:t>
            </w:r>
          </w:p>
        </w:tc>
        <w:tc>
          <w:tcPr>
            <w:tcW w:w="1993" w:type="dxa"/>
            <w:tcBorders>
              <w:top w:val="single" w:sz="4" w:space="0" w:color="auto"/>
              <w:left w:val="single" w:sz="4" w:space="0" w:color="auto"/>
              <w:bottom w:val="single" w:sz="4" w:space="0" w:color="auto"/>
              <w:right w:val="single" w:sz="4" w:space="0" w:color="auto"/>
            </w:tcBorders>
            <w:hideMark/>
          </w:tcPr>
          <w:p w14:paraId="20C349E6" w14:textId="77777777" w:rsidR="00D86421" w:rsidRPr="008B6A75" w:rsidRDefault="00D86421" w:rsidP="00467D80">
            <w:pPr>
              <w:jc w:val="both"/>
              <w:rPr>
                <w:sz w:val="20"/>
                <w:szCs w:val="20"/>
                <w:lang w:eastAsia="en-US"/>
              </w:rPr>
            </w:pPr>
            <w:r w:rsidRPr="008B6A75">
              <w:rPr>
                <w:sz w:val="20"/>
                <w:szCs w:val="20"/>
              </w:rPr>
              <w:t>постоянно в течение года</w:t>
            </w:r>
          </w:p>
        </w:tc>
        <w:tc>
          <w:tcPr>
            <w:tcW w:w="3312" w:type="dxa"/>
            <w:tcBorders>
              <w:top w:val="single" w:sz="4" w:space="0" w:color="auto"/>
              <w:left w:val="single" w:sz="4" w:space="0" w:color="auto"/>
              <w:bottom w:val="single" w:sz="4" w:space="0" w:color="auto"/>
              <w:right w:val="single" w:sz="4" w:space="0" w:color="auto"/>
            </w:tcBorders>
          </w:tcPr>
          <w:p w14:paraId="7EF6C0E3" w14:textId="77777777" w:rsidR="00D86421" w:rsidRPr="008B6A75" w:rsidRDefault="00D86421" w:rsidP="00467D80">
            <w:pPr>
              <w:jc w:val="both"/>
              <w:rPr>
                <w:sz w:val="20"/>
                <w:szCs w:val="20"/>
                <w:lang w:eastAsia="en-US"/>
              </w:rPr>
            </w:pPr>
            <w:r w:rsidRPr="008B6A75">
              <w:rPr>
                <w:sz w:val="20"/>
                <w:szCs w:val="20"/>
              </w:rPr>
              <w:t xml:space="preserve">Управление делами администрации Куйбышевского муниципального района Новосибирской области </w:t>
            </w:r>
          </w:p>
          <w:p w14:paraId="5B52B77A" w14:textId="77777777" w:rsidR="00D86421" w:rsidRPr="008B6A75" w:rsidRDefault="00D86421" w:rsidP="00467D80">
            <w:pPr>
              <w:jc w:val="both"/>
              <w:rPr>
                <w:sz w:val="20"/>
                <w:szCs w:val="20"/>
              </w:rPr>
            </w:pPr>
          </w:p>
          <w:p w14:paraId="0F55BCA2" w14:textId="77777777" w:rsidR="00D86421" w:rsidRPr="008B6A75" w:rsidRDefault="00D86421" w:rsidP="00467D80">
            <w:pPr>
              <w:jc w:val="both"/>
              <w:rPr>
                <w:sz w:val="20"/>
                <w:szCs w:val="20"/>
              </w:rPr>
            </w:pPr>
            <w:r w:rsidRPr="008B6A75">
              <w:rPr>
                <w:sz w:val="20"/>
                <w:szCs w:val="20"/>
              </w:rPr>
              <w:t xml:space="preserve">Управление строительства, коммунального, дорожного хозяйства и транспорта администрации Куйбышевского муниципального района Новосибирской области </w:t>
            </w:r>
          </w:p>
          <w:p w14:paraId="6732493F" w14:textId="77777777" w:rsidR="00D86421" w:rsidRPr="008B6A75" w:rsidRDefault="00D86421" w:rsidP="00467D80">
            <w:pPr>
              <w:suppressAutoHyphens/>
              <w:jc w:val="both"/>
              <w:rPr>
                <w:sz w:val="20"/>
                <w:szCs w:val="20"/>
                <w:lang w:eastAsia="en-US"/>
              </w:rPr>
            </w:pPr>
          </w:p>
        </w:tc>
      </w:tr>
      <w:tr w:rsidR="00D86421" w:rsidRPr="008B6A75" w14:paraId="52AD6C8C" w14:textId="77777777" w:rsidTr="00467D80">
        <w:tc>
          <w:tcPr>
            <w:tcW w:w="668" w:type="dxa"/>
            <w:tcBorders>
              <w:top w:val="single" w:sz="4" w:space="0" w:color="auto"/>
              <w:left w:val="single" w:sz="4" w:space="0" w:color="auto"/>
              <w:bottom w:val="single" w:sz="4" w:space="0" w:color="auto"/>
              <w:right w:val="single" w:sz="4" w:space="0" w:color="auto"/>
            </w:tcBorders>
            <w:hideMark/>
          </w:tcPr>
          <w:p w14:paraId="639FEA90" w14:textId="77777777" w:rsidR="00D86421" w:rsidRPr="008B6A75" w:rsidRDefault="00D86421" w:rsidP="00467D80">
            <w:pPr>
              <w:suppressAutoHyphens/>
              <w:jc w:val="both"/>
              <w:rPr>
                <w:sz w:val="20"/>
                <w:szCs w:val="20"/>
                <w:lang w:eastAsia="en-US"/>
              </w:rPr>
            </w:pPr>
            <w:r w:rsidRPr="008B6A75">
              <w:rPr>
                <w:sz w:val="20"/>
                <w:szCs w:val="20"/>
              </w:rPr>
              <w:t>2.</w:t>
            </w:r>
          </w:p>
        </w:tc>
        <w:tc>
          <w:tcPr>
            <w:tcW w:w="4058" w:type="dxa"/>
            <w:tcBorders>
              <w:top w:val="single" w:sz="4" w:space="0" w:color="auto"/>
              <w:left w:val="single" w:sz="4" w:space="0" w:color="auto"/>
              <w:bottom w:val="single" w:sz="4" w:space="0" w:color="auto"/>
              <w:right w:val="single" w:sz="4" w:space="0" w:color="auto"/>
            </w:tcBorders>
            <w:hideMark/>
          </w:tcPr>
          <w:p w14:paraId="08F67327" w14:textId="77777777" w:rsidR="00D86421" w:rsidRPr="008B6A75" w:rsidRDefault="00D86421" w:rsidP="00467D80">
            <w:pPr>
              <w:pStyle w:val="ConsPlusNormal"/>
              <w:jc w:val="both"/>
              <w:rPr>
                <w:rFonts w:ascii="Times New Roman" w:eastAsia="Calibri" w:hAnsi="Times New Roman" w:cs="Times New Roman"/>
              </w:rPr>
            </w:pPr>
            <w:r w:rsidRPr="008B6A75">
              <w:rPr>
                <w:rFonts w:ascii="Times New Roman" w:eastAsia="Calibri" w:hAnsi="Times New Roman" w:cs="Times New Roman"/>
              </w:rPr>
              <w:t>Информирование подконтрольных субъектов по вопросам соблюдения обязательных требований, требований, установленных муниципальными правовыми актами, публичные мероприятия, консультирование, разъяснение</w:t>
            </w:r>
          </w:p>
        </w:tc>
        <w:tc>
          <w:tcPr>
            <w:tcW w:w="1993" w:type="dxa"/>
            <w:tcBorders>
              <w:top w:val="single" w:sz="4" w:space="0" w:color="auto"/>
              <w:left w:val="single" w:sz="4" w:space="0" w:color="auto"/>
              <w:bottom w:val="single" w:sz="4" w:space="0" w:color="auto"/>
              <w:right w:val="single" w:sz="4" w:space="0" w:color="auto"/>
            </w:tcBorders>
            <w:hideMark/>
          </w:tcPr>
          <w:p w14:paraId="71AC54AA" w14:textId="77777777" w:rsidR="00D86421" w:rsidRPr="008B6A75" w:rsidRDefault="00D86421" w:rsidP="00467D80">
            <w:pPr>
              <w:jc w:val="both"/>
              <w:rPr>
                <w:sz w:val="20"/>
                <w:szCs w:val="20"/>
                <w:lang w:eastAsia="en-US"/>
              </w:rPr>
            </w:pPr>
            <w:r w:rsidRPr="008B6A75">
              <w:rPr>
                <w:sz w:val="20"/>
                <w:szCs w:val="20"/>
              </w:rPr>
              <w:t>постоянно в течение года</w:t>
            </w:r>
          </w:p>
        </w:tc>
        <w:tc>
          <w:tcPr>
            <w:tcW w:w="3312" w:type="dxa"/>
            <w:tcBorders>
              <w:top w:val="single" w:sz="4" w:space="0" w:color="auto"/>
              <w:left w:val="single" w:sz="4" w:space="0" w:color="auto"/>
              <w:bottom w:val="single" w:sz="4" w:space="0" w:color="auto"/>
              <w:right w:val="single" w:sz="4" w:space="0" w:color="auto"/>
            </w:tcBorders>
            <w:hideMark/>
          </w:tcPr>
          <w:p w14:paraId="7B38F21E" w14:textId="77777777" w:rsidR="00D86421" w:rsidRPr="008B6A75" w:rsidRDefault="00D86421" w:rsidP="00467D80">
            <w:pPr>
              <w:suppressAutoHyphens/>
              <w:jc w:val="both"/>
              <w:rPr>
                <w:sz w:val="20"/>
                <w:szCs w:val="20"/>
                <w:lang w:eastAsia="en-US"/>
              </w:rPr>
            </w:pPr>
            <w:r w:rsidRPr="008B6A75">
              <w:rPr>
                <w:sz w:val="20"/>
                <w:szCs w:val="20"/>
              </w:rPr>
              <w:t>Управление строительства, коммунального, дорожного хозяйства и транспорта администрации Куйбышевского муниципального района Новосибирской области</w:t>
            </w:r>
          </w:p>
        </w:tc>
      </w:tr>
      <w:tr w:rsidR="00D86421" w:rsidRPr="008B6A75" w14:paraId="53C23724" w14:textId="77777777" w:rsidTr="00467D80">
        <w:tc>
          <w:tcPr>
            <w:tcW w:w="668" w:type="dxa"/>
            <w:tcBorders>
              <w:top w:val="single" w:sz="4" w:space="0" w:color="auto"/>
              <w:left w:val="single" w:sz="4" w:space="0" w:color="auto"/>
              <w:bottom w:val="single" w:sz="4" w:space="0" w:color="auto"/>
              <w:right w:val="single" w:sz="4" w:space="0" w:color="auto"/>
            </w:tcBorders>
            <w:hideMark/>
          </w:tcPr>
          <w:p w14:paraId="622A163E" w14:textId="77777777" w:rsidR="00D86421" w:rsidRPr="008B6A75" w:rsidRDefault="00D86421" w:rsidP="00467D80">
            <w:pPr>
              <w:suppressAutoHyphens/>
              <w:jc w:val="both"/>
              <w:rPr>
                <w:sz w:val="20"/>
                <w:szCs w:val="20"/>
                <w:lang w:eastAsia="en-US"/>
              </w:rPr>
            </w:pPr>
            <w:r w:rsidRPr="008B6A75">
              <w:rPr>
                <w:sz w:val="20"/>
                <w:szCs w:val="20"/>
              </w:rPr>
              <w:t>3.</w:t>
            </w:r>
          </w:p>
        </w:tc>
        <w:tc>
          <w:tcPr>
            <w:tcW w:w="4058" w:type="dxa"/>
            <w:tcBorders>
              <w:top w:val="single" w:sz="4" w:space="0" w:color="auto"/>
              <w:left w:val="single" w:sz="4" w:space="0" w:color="auto"/>
              <w:bottom w:val="single" w:sz="4" w:space="0" w:color="auto"/>
              <w:right w:val="single" w:sz="4" w:space="0" w:color="auto"/>
            </w:tcBorders>
            <w:hideMark/>
          </w:tcPr>
          <w:p w14:paraId="03A42B22" w14:textId="77777777" w:rsidR="00D86421" w:rsidRPr="008B6A75" w:rsidRDefault="00D86421" w:rsidP="00467D80">
            <w:pPr>
              <w:pStyle w:val="ConsPlusNormal"/>
              <w:jc w:val="both"/>
              <w:rPr>
                <w:rFonts w:ascii="Times New Roman" w:eastAsia="Calibri" w:hAnsi="Times New Roman" w:cs="Times New Roman"/>
              </w:rPr>
            </w:pPr>
            <w:r w:rsidRPr="008B6A75">
              <w:rPr>
                <w:rFonts w:ascii="Times New Roman" w:eastAsia="Calibri" w:hAnsi="Times New Roman" w:cs="Times New Roman"/>
              </w:rPr>
              <w:t xml:space="preserve">Обеспечение регулярного (не реже одного раза в год) обобщения практики осуществления муниципального контроля и размещение на официальном сайте администрации Куйбышевского муниципального  района Новосибирской области </w:t>
            </w:r>
            <w:hyperlink r:id="rId28" w:history="1">
              <w:r w:rsidRPr="008B6A75">
                <w:rPr>
                  <w:rStyle w:val="afa"/>
                  <w:rFonts w:ascii="Times New Roman" w:eastAsia="Calibri" w:hAnsi="Times New Roman" w:cs="Times New Roman"/>
                </w:rPr>
                <w:t>www.kuibyshev.nso.ru</w:t>
              </w:r>
            </w:hyperlink>
            <w:r w:rsidRPr="008B6A75">
              <w:rPr>
                <w:rFonts w:ascii="Times New Roman" w:eastAsia="Calibri" w:hAnsi="Times New Roman" w:cs="Times New Roman"/>
              </w:rPr>
              <w:t xml:space="preserve"> соответствующих обобщений, в том числе с указанием наиболее часто встречающихся случаев нарушений обязательных требований, требований, установленных муниципальными правовыми актами, с рекомендациями в отношении мер, которые должны приниматься юридическими лицами, индивидуальными предпринимателями, физическими лицами в целях недопущения таких нарушений</w:t>
            </w:r>
          </w:p>
        </w:tc>
        <w:tc>
          <w:tcPr>
            <w:tcW w:w="1993" w:type="dxa"/>
            <w:tcBorders>
              <w:top w:val="single" w:sz="4" w:space="0" w:color="auto"/>
              <w:left w:val="single" w:sz="4" w:space="0" w:color="auto"/>
              <w:bottom w:val="single" w:sz="4" w:space="0" w:color="auto"/>
              <w:right w:val="single" w:sz="4" w:space="0" w:color="auto"/>
            </w:tcBorders>
            <w:hideMark/>
          </w:tcPr>
          <w:p w14:paraId="4C176C53" w14:textId="77777777" w:rsidR="00D86421" w:rsidRPr="008B6A75" w:rsidRDefault="00D86421" w:rsidP="00467D80">
            <w:pPr>
              <w:suppressAutoHyphens/>
              <w:jc w:val="both"/>
              <w:rPr>
                <w:sz w:val="20"/>
                <w:szCs w:val="20"/>
                <w:lang w:eastAsia="en-US"/>
              </w:rPr>
            </w:pPr>
            <w:r w:rsidRPr="008B6A75">
              <w:rPr>
                <w:sz w:val="20"/>
                <w:szCs w:val="20"/>
              </w:rPr>
              <w:t>25 февраля текущего года</w:t>
            </w:r>
          </w:p>
        </w:tc>
        <w:tc>
          <w:tcPr>
            <w:tcW w:w="3312" w:type="dxa"/>
            <w:tcBorders>
              <w:top w:val="single" w:sz="4" w:space="0" w:color="auto"/>
              <w:left w:val="single" w:sz="4" w:space="0" w:color="auto"/>
              <w:bottom w:val="single" w:sz="4" w:space="0" w:color="auto"/>
              <w:right w:val="single" w:sz="4" w:space="0" w:color="auto"/>
            </w:tcBorders>
            <w:hideMark/>
          </w:tcPr>
          <w:p w14:paraId="39A3961A" w14:textId="77777777" w:rsidR="00D86421" w:rsidRPr="008B6A75" w:rsidRDefault="00D86421" w:rsidP="00467D80">
            <w:pPr>
              <w:suppressAutoHyphens/>
              <w:jc w:val="both"/>
              <w:rPr>
                <w:sz w:val="20"/>
                <w:szCs w:val="20"/>
                <w:lang w:eastAsia="en-US"/>
              </w:rPr>
            </w:pPr>
            <w:r w:rsidRPr="008B6A75">
              <w:rPr>
                <w:sz w:val="20"/>
                <w:szCs w:val="20"/>
              </w:rPr>
              <w:t xml:space="preserve">Управление строительства, коммунального, дорожного хозяйства и транспорта администрации Куйбышевского муниципального района Новосибирской области </w:t>
            </w:r>
          </w:p>
        </w:tc>
      </w:tr>
      <w:tr w:rsidR="00D86421" w:rsidRPr="008B6A75" w14:paraId="0D0CDF43" w14:textId="77777777" w:rsidTr="00467D80">
        <w:tc>
          <w:tcPr>
            <w:tcW w:w="668" w:type="dxa"/>
            <w:tcBorders>
              <w:top w:val="single" w:sz="4" w:space="0" w:color="auto"/>
              <w:left w:val="single" w:sz="4" w:space="0" w:color="auto"/>
              <w:bottom w:val="single" w:sz="4" w:space="0" w:color="auto"/>
              <w:right w:val="single" w:sz="4" w:space="0" w:color="auto"/>
            </w:tcBorders>
            <w:hideMark/>
          </w:tcPr>
          <w:p w14:paraId="5CCA35CB" w14:textId="77777777" w:rsidR="00D86421" w:rsidRPr="008B6A75" w:rsidRDefault="00D86421" w:rsidP="00467D80">
            <w:pPr>
              <w:suppressAutoHyphens/>
              <w:jc w:val="both"/>
              <w:rPr>
                <w:sz w:val="20"/>
                <w:szCs w:val="20"/>
                <w:lang w:eastAsia="en-US"/>
              </w:rPr>
            </w:pPr>
            <w:r w:rsidRPr="008B6A75">
              <w:rPr>
                <w:sz w:val="20"/>
                <w:szCs w:val="20"/>
              </w:rPr>
              <w:t>4.</w:t>
            </w:r>
          </w:p>
        </w:tc>
        <w:tc>
          <w:tcPr>
            <w:tcW w:w="4058" w:type="dxa"/>
            <w:tcBorders>
              <w:top w:val="single" w:sz="4" w:space="0" w:color="auto"/>
              <w:left w:val="single" w:sz="4" w:space="0" w:color="auto"/>
              <w:bottom w:val="single" w:sz="4" w:space="0" w:color="auto"/>
              <w:right w:val="single" w:sz="4" w:space="0" w:color="auto"/>
            </w:tcBorders>
            <w:hideMark/>
          </w:tcPr>
          <w:p w14:paraId="547EA528" w14:textId="77777777" w:rsidR="00D86421" w:rsidRPr="008B6A75" w:rsidRDefault="00D86421" w:rsidP="00467D80">
            <w:pPr>
              <w:pStyle w:val="ConsPlusNormal"/>
              <w:jc w:val="both"/>
              <w:rPr>
                <w:rFonts w:ascii="Times New Roman" w:eastAsia="Calibri" w:hAnsi="Times New Roman" w:cs="Times New Roman"/>
              </w:rPr>
            </w:pPr>
            <w:r w:rsidRPr="008B6A75">
              <w:rPr>
                <w:rFonts w:ascii="Times New Roman" w:eastAsia="Calibri" w:hAnsi="Times New Roman" w:cs="Times New Roman"/>
              </w:rPr>
              <w:t xml:space="preserve">Объявление предостережений </w:t>
            </w:r>
          </w:p>
        </w:tc>
        <w:tc>
          <w:tcPr>
            <w:tcW w:w="1993" w:type="dxa"/>
            <w:tcBorders>
              <w:top w:val="single" w:sz="4" w:space="0" w:color="auto"/>
              <w:left w:val="single" w:sz="4" w:space="0" w:color="auto"/>
              <w:bottom w:val="single" w:sz="4" w:space="0" w:color="auto"/>
              <w:right w:val="single" w:sz="4" w:space="0" w:color="auto"/>
            </w:tcBorders>
            <w:hideMark/>
          </w:tcPr>
          <w:p w14:paraId="1992C567" w14:textId="77777777" w:rsidR="00D86421" w:rsidRPr="008B6A75" w:rsidRDefault="00D86421" w:rsidP="00467D80">
            <w:pPr>
              <w:suppressAutoHyphens/>
              <w:jc w:val="both"/>
              <w:rPr>
                <w:sz w:val="20"/>
                <w:szCs w:val="20"/>
                <w:lang w:eastAsia="en-US"/>
              </w:rPr>
            </w:pPr>
            <w:r w:rsidRPr="008B6A75">
              <w:rPr>
                <w:sz w:val="20"/>
                <w:szCs w:val="20"/>
              </w:rPr>
              <w:t xml:space="preserve">по мере необходимости </w:t>
            </w:r>
          </w:p>
        </w:tc>
        <w:tc>
          <w:tcPr>
            <w:tcW w:w="3312" w:type="dxa"/>
            <w:tcBorders>
              <w:top w:val="single" w:sz="4" w:space="0" w:color="auto"/>
              <w:left w:val="single" w:sz="4" w:space="0" w:color="auto"/>
              <w:bottom w:val="single" w:sz="4" w:space="0" w:color="auto"/>
              <w:right w:val="single" w:sz="4" w:space="0" w:color="auto"/>
            </w:tcBorders>
            <w:hideMark/>
          </w:tcPr>
          <w:p w14:paraId="2EABBA0A" w14:textId="77777777" w:rsidR="00D86421" w:rsidRPr="008B6A75" w:rsidRDefault="00D86421" w:rsidP="00467D80">
            <w:pPr>
              <w:suppressAutoHyphens/>
              <w:jc w:val="both"/>
              <w:rPr>
                <w:sz w:val="20"/>
                <w:szCs w:val="20"/>
                <w:lang w:eastAsia="en-US"/>
              </w:rPr>
            </w:pPr>
            <w:r w:rsidRPr="008B6A75">
              <w:rPr>
                <w:sz w:val="20"/>
                <w:szCs w:val="20"/>
              </w:rPr>
              <w:t xml:space="preserve">Управление строительства, коммунального, дорожного хозяйства и транспорта администрации Куйбышевского муниципального района Новосибирской области </w:t>
            </w:r>
          </w:p>
        </w:tc>
      </w:tr>
      <w:tr w:rsidR="00D86421" w:rsidRPr="008B6A75" w14:paraId="1B631626" w14:textId="77777777" w:rsidTr="00467D80">
        <w:tc>
          <w:tcPr>
            <w:tcW w:w="668" w:type="dxa"/>
            <w:tcBorders>
              <w:top w:val="single" w:sz="4" w:space="0" w:color="auto"/>
              <w:left w:val="single" w:sz="4" w:space="0" w:color="auto"/>
              <w:bottom w:val="single" w:sz="4" w:space="0" w:color="auto"/>
              <w:right w:val="single" w:sz="4" w:space="0" w:color="auto"/>
            </w:tcBorders>
            <w:hideMark/>
          </w:tcPr>
          <w:p w14:paraId="41DDC7B6" w14:textId="77777777" w:rsidR="00D86421" w:rsidRPr="008B6A75" w:rsidRDefault="00D86421" w:rsidP="00467D80">
            <w:pPr>
              <w:suppressAutoHyphens/>
              <w:jc w:val="both"/>
              <w:rPr>
                <w:sz w:val="20"/>
                <w:szCs w:val="20"/>
                <w:lang w:eastAsia="en-US"/>
              </w:rPr>
            </w:pPr>
            <w:r w:rsidRPr="008B6A75">
              <w:rPr>
                <w:sz w:val="20"/>
                <w:szCs w:val="20"/>
              </w:rPr>
              <w:t>5.</w:t>
            </w:r>
          </w:p>
        </w:tc>
        <w:tc>
          <w:tcPr>
            <w:tcW w:w="4058" w:type="dxa"/>
            <w:tcBorders>
              <w:top w:val="single" w:sz="4" w:space="0" w:color="auto"/>
              <w:left w:val="single" w:sz="4" w:space="0" w:color="auto"/>
              <w:bottom w:val="single" w:sz="4" w:space="0" w:color="auto"/>
              <w:right w:val="single" w:sz="4" w:space="0" w:color="auto"/>
            </w:tcBorders>
            <w:hideMark/>
          </w:tcPr>
          <w:p w14:paraId="744357B2" w14:textId="77777777" w:rsidR="00D86421" w:rsidRPr="008B6A75" w:rsidRDefault="00D86421" w:rsidP="00467D80">
            <w:pPr>
              <w:pStyle w:val="ConsPlusNormal"/>
              <w:jc w:val="both"/>
              <w:rPr>
                <w:rFonts w:ascii="Times New Roman" w:eastAsia="Calibri" w:hAnsi="Times New Roman" w:cs="Times New Roman"/>
              </w:rPr>
            </w:pPr>
            <w:r w:rsidRPr="008B6A75">
              <w:rPr>
                <w:rFonts w:ascii="Times New Roman" w:eastAsia="Calibri" w:hAnsi="Times New Roman" w:cs="Times New Roman"/>
              </w:rPr>
              <w:t xml:space="preserve">Консультирование подконтрольных субъектов </w:t>
            </w:r>
          </w:p>
        </w:tc>
        <w:tc>
          <w:tcPr>
            <w:tcW w:w="1993" w:type="dxa"/>
            <w:tcBorders>
              <w:top w:val="single" w:sz="4" w:space="0" w:color="auto"/>
              <w:left w:val="single" w:sz="4" w:space="0" w:color="auto"/>
              <w:bottom w:val="single" w:sz="4" w:space="0" w:color="auto"/>
              <w:right w:val="single" w:sz="4" w:space="0" w:color="auto"/>
            </w:tcBorders>
            <w:hideMark/>
          </w:tcPr>
          <w:p w14:paraId="56884BE9" w14:textId="77777777" w:rsidR="00D86421" w:rsidRPr="008B6A75" w:rsidRDefault="00D86421" w:rsidP="00467D80">
            <w:pPr>
              <w:suppressAutoHyphens/>
              <w:jc w:val="both"/>
              <w:rPr>
                <w:sz w:val="20"/>
                <w:szCs w:val="20"/>
                <w:lang w:eastAsia="en-US"/>
              </w:rPr>
            </w:pPr>
            <w:r w:rsidRPr="008B6A75">
              <w:rPr>
                <w:sz w:val="20"/>
                <w:szCs w:val="20"/>
              </w:rPr>
              <w:t xml:space="preserve">по мере необходимости </w:t>
            </w:r>
          </w:p>
        </w:tc>
        <w:tc>
          <w:tcPr>
            <w:tcW w:w="3312" w:type="dxa"/>
            <w:tcBorders>
              <w:top w:val="single" w:sz="4" w:space="0" w:color="auto"/>
              <w:left w:val="single" w:sz="4" w:space="0" w:color="auto"/>
              <w:bottom w:val="single" w:sz="4" w:space="0" w:color="auto"/>
              <w:right w:val="single" w:sz="4" w:space="0" w:color="auto"/>
            </w:tcBorders>
            <w:hideMark/>
          </w:tcPr>
          <w:p w14:paraId="45D51A69" w14:textId="77777777" w:rsidR="00D86421" w:rsidRPr="008B6A75" w:rsidRDefault="00D86421" w:rsidP="00467D80">
            <w:pPr>
              <w:suppressAutoHyphens/>
              <w:jc w:val="both"/>
              <w:rPr>
                <w:sz w:val="20"/>
                <w:szCs w:val="20"/>
                <w:lang w:eastAsia="en-US"/>
              </w:rPr>
            </w:pPr>
            <w:r w:rsidRPr="008B6A75">
              <w:rPr>
                <w:sz w:val="20"/>
                <w:szCs w:val="20"/>
              </w:rPr>
              <w:t xml:space="preserve">Управление строительства, коммунального, дорожного хозяйства и транспорта администрации Куйбышевского </w:t>
            </w:r>
            <w:r w:rsidRPr="008B6A75">
              <w:rPr>
                <w:sz w:val="20"/>
                <w:szCs w:val="20"/>
              </w:rPr>
              <w:lastRenderedPageBreak/>
              <w:t xml:space="preserve">муниципального района Новосибирской области </w:t>
            </w:r>
          </w:p>
        </w:tc>
      </w:tr>
    </w:tbl>
    <w:p w14:paraId="435567C7" w14:textId="77777777" w:rsidR="00D86421" w:rsidRPr="008B6A75" w:rsidRDefault="00D86421" w:rsidP="00D86421">
      <w:pPr>
        <w:ind w:firstLine="567"/>
        <w:jc w:val="both"/>
        <w:rPr>
          <w:sz w:val="20"/>
          <w:szCs w:val="20"/>
        </w:rPr>
      </w:pPr>
      <w:r w:rsidRPr="008B6A75">
        <w:rPr>
          <w:sz w:val="20"/>
          <w:szCs w:val="20"/>
        </w:rPr>
        <w:lastRenderedPageBreak/>
        <w:t>8. Консультирование контролируемых лиц осуществляется должностным лицом, уполномоченным осуществлять муниципальный земельный контроль по телефону, либо в ходе проведения профилактических мероприятий, контрольных мероприятий и не должно превышать 15 минут.</w:t>
      </w:r>
    </w:p>
    <w:p w14:paraId="3E7B0B12" w14:textId="77777777" w:rsidR="00D86421" w:rsidRPr="008B6A75" w:rsidRDefault="00D86421" w:rsidP="00D86421">
      <w:pPr>
        <w:ind w:firstLine="567"/>
        <w:jc w:val="both"/>
        <w:rPr>
          <w:sz w:val="20"/>
          <w:szCs w:val="20"/>
        </w:rPr>
      </w:pPr>
      <w:r w:rsidRPr="008B6A75">
        <w:rPr>
          <w:sz w:val="20"/>
          <w:szCs w:val="20"/>
        </w:rPr>
        <w:t>9. Консультирование осуществляется в устной или письменной форме по следующим вопросам:</w:t>
      </w:r>
    </w:p>
    <w:p w14:paraId="116479D9" w14:textId="77777777" w:rsidR="00D86421" w:rsidRPr="008B6A75" w:rsidRDefault="00D86421" w:rsidP="00D86421">
      <w:pPr>
        <w:pStyle w:val="ConsPlusNormal"/>
        <w:ind w:firstLine="567"/>
        <w:jc w:val="both"/>
        <w:rPr>
          <w:rFonts w:ascii="Times New Roman" w:hAnsi="Times New Roman" w:cs="Times New Roman"/>
        </w:rPr>
      </w:pPr>
      <w:r w:rsidRPr="008B6A75">
        <w:rPr>
          <w:rFonts w:ascii="Times New Roman" w:hAnsi="Times New Roman" w:cs="Times New Roman"/>
        </w:rPr>
        <w:t>1) организация и осуществление муниципального земельного контроля;</w:t>
      </w:r>
    </w:p>
    <w:p w14:paraId="56A3382C" w14:textId="77777777" w:rsidR="00D86421" w:rsidRPr="008B6A75" w:rsidRDefault="00D86421" w:rsidP="00D86421">
      <w:pPr>
        <w:pStyle w:val="ConsPlusNormal"/>
        <w:ind w:firstLine="567"/>
        <w:jc w:val="both"/>
        <w:rPr>
          <w:rFonts w:ascii="Times New Roman" w:hAnsi="Times New Roman" w:cs="Times New Roman"/>
        </w:rPr>
      </w:pPr>
      <w:r w:rsidRPr="008B6A75">
        <w:rPr>
          <w:rFonts w:ascii="Times New Roman" w:hAnsi="Times New Roman" w:cs="Times New Roman"/>
        </w:rPr>
        <w:t>2) порядок осуществления контрольных мероприятий, установленных настоящим Положением;</w:t>
      </w:r>
    </w:p>
    <w:p w14:paraId="4EAECE9E" w14:textId="77777777" w:rsidR="00D86421" w:rsidRPr="008B6A75" w:rsidRDefault="00D86421" w:rsidP="00D86421">
      <w:pPr>
        <w:pStyle w:val="ConsPlusNormal"/>
        <w:ind w:firstLine="567"/>
        <w:jc w:val="both"/>
        <w:rPr>
          <w:rFonts w:ascii="Times New Roman" w:hAnsi="Times New Roman" w:cs="Times New Roman"/>
        </w:rPr>
      </w:pPr>
      <w:r w:rsidRPr="008B6A75">
        <w:rPr>
          <w:rFonts w:ascii="Times New Roman" w:hAnsi="Times New Roman" w:cs="Times New Roman"/>
        </w:rPr>
        <w:t>3) порядок обжалования действий (бездействия) должностных лиц, уполномоченных осуществлять муниципальный земельный контроль;</w:t>
      </w:r>
    </w:p>
    <w:p w14:paraId="23396D0D" w14:textId="77777777" w:rsidR="00D86421" w:rsidRPr="008B6A75" w:rsidRDefault="00D86421" w:rsidP="00D86421">
      <w:pPr>
        <w:pStyle w:val="ConsPlusNormal"/>
        <w:ind w:firstLine="567"/>
        <w:jc w:val="both"/>
        <w:rPr>
          <w:rFonts w:ascii="Times New Roman" w:hAnsi="Times New Roman" w:cs="Times New Roman"/>
        </w:rPr>
      </w:pPr>
      <w:r w:rsidRPr="008B6A75">
        <w:rPr>
          <w:rFonts w:ascii="Times New Roman" w:hAnsi="Times New Roman" w:cs="Times New Roman"/>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Куйбышевского муниципального района Новосибирской области в рамках контрольных мероприятий.</w:t>
      </w:r>
    </w:p>
    <w:p w14:paraId="6D19438B" w14:textId="77777777" w:rsidR="00D86421" w:rsidRPr="008B6A75" w:rsidRDefault="00D86421" w:rsidP="00D86421">
      <w:pPr>
        <w:pStyle w:val="ConsPlusNormal"/>
        <w:ind w:firstLine="567"/>
        <w:jc w:val="both"/>
        <w:rPr>
          <w:rFonts w:ascii="Times New Roman" w:hAnsi="Times New Roman" w:cs="Times New Roman"/>
        </w:rPr>
      </w:pPr>
      <w:r w:rsidRPr="008B6A75">
        <w:rPr>
          <w:rFonts w:ascii="Times New Roman" w:hAnsi="Times New Roman" w:cs="Times New Roman"/>
        </w:rPr>
        <w:t>10. Консультирование в письменной форме осуществляется должностным лицом, уполномоченным осуществлять муниципальный земельный контроль, в следующих случаях:</w:t>
      </w:r>
    </w:p>
    <w:p w14:paraId="7D4111B2" w14:textId="77777777" w:rsidR="00D86421" w:rsidRPr="008B6A75" w:rsidRDefault="00D86421" w:rsidP="00D86421">
      <w:pPr>
        <w:pStyle w:val="ConsPlusNormal"/>
        <w:ind w:firstLine="567"/>
        <w:jc w:val="both"/>
        <w:rPr>
          <w:rFonts w:ascii="Times New Roman" w:hAnsi="Times New Roman" w:cs="Times New Roman"/>
        </w:rPr>
      </w:pPr>
      <w:r w:rsidRPr="008B6A75">
        <w:rPr>
          <w:rFonts w:ascii="Times New Roman" w:hAnsi="Times New Roman" w:cs="Times New Roman"/>
        </w:rPr>
        <w:t>1) контролируемым лицом представлен письменный запрос о представлении письменного ответа по вопросам консультирования;</w:t>
      </w:r>
    </w:p>
    <w:p w14:paraId="4450D093" w14:textId="77777777" w:rsidR="00D86421" w:rsidRPr="008B6A75" w:rsidRDefault="00D86421" w:rsidP="00D86421">
      <w:pPr>
        <w:pStyle w:val="ConsPlusNormal"/>
        <w:ind w:firstLine="567"/>
        <w:jc w:val="both"/>
        <w:rPr>
          <w:rFonts w:ascii="Times New Roman" w:hAnsi="Times New Roman" w:cs="Times New Roman"/>
        </w:rPr>
      </w:pPr>
      <w:r w:rsidRPr="008B6A75">
        <w:rPr>
          <w:rFonts w:ascii="Times New Roman" w:hAnsi="Times New Roman" w:cs="Times New Roman"/>
        </w:rPr>
        <w:t>2) за время консультирования предоставить ответ на поставленные вопросы невозможно;</w:t>
      </w:r>
    </w:p>
    <w:p w14:paraId="6B5E7B6E" w14:textId="77777777" w:rsidR="00D86421" w:rsidRPr="008B6A75" w:rsidRDefault="00D86421" w:rsidP="00D86421">
      <w:pPr>
        <w:pStyle w:val="ConsPlusNormal"/>
        <w:ind w:firstLine="567"/>
        <w:jc w:val="both"/>
        <w:outlineLvl w:val="1"/>
        <w:rPr>
          <w:rFonts w:ascii="Times New Roman" w:hAnsi="Times New Roman" w:cs="Times New Roman"/>
        </w:rPr>
      </w:pPr>
      <w:r w:rsidRPr="008B6A75">
        <w:rPr>
          <w:rFonts w:ascii="Times New Roman" w:hAnsi="Times New Roman" w:cs="Times New Roman"/>
        </w:rPr>
        <w:t>3) ответ на поставленные вопросы требует дополнительного запроса сведений.</w:t>
      </w:r>
    </w:p>
    <w:p w14:paraId="22B2179C" w14:textId="77777777" w:rsidR="00D86421" w:rsidRPr="008B6A75" w:rsidRDefault="00D86421" w:rsidP="00D86421">
      <w:pPr>
        <w:ind w:firstLine="560"/>
        <w:jc w:val="both"/>
        <w:rPr>
          <w:sz w:val="20"/>
          <w:szCs w:val="20"/>
          <w:lang w:eastAsia="en-US"/>
        </w:rPr>
      </w:pPr>
    </w:p>
    <w:p w14:paraId="25407DD6" w14:textId="77777777" w:rsidR="00D86421" w:rsidRPr="008B6A75" w:rsidRDefault="00D86421" w:rsidP="00D86421">
      <w:pPr>
        <w:ind w:firstLine="560"/>
        <w:jc w:val="center"/>
        <w:rPr>
          <w:sz w:val="20"/>
          <w:szCs w:val="20"/>
        </w:rPr>
      </w:pPr>
      <w:r w:rsidRPr="008B6A75">
        <w:rPr>
          <w:sz w:val="20"/>
          <w:szCs w:val="20"/>
          <w:lang w:val="en-US"/>
        </w:rPr>
        <w:t>IV</w:t>
      </w:r>
      <w:r w:rsidRPr="008B6A75">
        <w:rPr>
          <w:sz w:val="20"/>
          <w:szCs w:val="20"/>
        </w:rPr>
        <w:t>. Показатели результативности и эффективности программы профилактики</w:t>
      </w:r>
    </w:p>
    <w:p w14:paraId="36283D21" w14:textId="77777777" w:rsidR="00D86421" w:rsidRPr="008B6A75" w:rsidRDefault="00D86421" w:rsidP="00D86421">
      <w:pPr>
        <w:ind w:firstLine="560"/>
        <w:jc w:val="center"/>
        <w:rPr>
          <w:sz w:val="20"/>
          <w:szCs w:val="20"/>
        </w:rPr>
      </w:pPr>
    </w:p>
    <w:p w14:paraId="40BDF248" w14:textId="77777777" w:rsidR="00D86421" w:rsidRPr="008B6A75" w:rsidRDefault="00D86421" w:rsidP="00D86421">
      <w:pPr>
        <w:shd w:val="clear" w:color="auto" w:fill="FFFFFF"/>
        <w:ind w:firstLine="708"/>
        <w:jc w:val="both"/>
        <w:rPr>
          <w:color w:val="000000"/>
          <w:sz w:val="20"/>
          <w:szCs w:val="20"/>
        </w:rPr>
      </w:pPr>
      <w:r w:rsidRPr="008B6A75">
        <w:rPr>
          <w:color w:val="000000"/>
          <w:sz w:val="20"/>
          <w:szCs w:val="20"/>
        </w:rPr>
        <w:t>11. Основным механизмом оценки эффективности и результативности профилактических мероприятий является оценка удовлетворенности контролируемых лиц качеством мероприятий по следующим направлениям:</w:t>
      </w:r>
    </w:p>
    <w:p w14:paraId="52047F15" w14:textId="77777777" w:rsidR="00D86421" w:rsidRPr="008B6A75" w:rsidRDefault="00D86421" w:rsidP="00D86421">
      <w:pPr>
        <w:shd w:val="clear" w:color="auto" w:fill="FFFFFF"/>
        <w:ind w:firstLine="708"/>
        <w:jc w:val="both"/>
        <w:rPr>
          <w:color w:val="000000"/>
          <w:sz w:val="20"/>
          <w:szCs w:val="20"/>
        </w:rPr>
      </w:pPr>
      <w:r w:rsidRPr="008B6A75">
        <w:rPr>
          <w:color w:val="000000"/>
          <w:sz w:val="20"/>
          <w:szCs w:val="20"/>
        </w:rPr>
        <w:t>1) информированность контролируемых лиц об обязательных требованиях, о принятых и готовящихся изменениях в системе обязательных требований, о порядке проведения проверок, правах контролируемых лиц в ходе проверки;</w:t>
      </w:r>
    </w:p>
    <w:p w14:paraId="118C3B0C" w14:textId="77777777" w:rsidR="00D86421" w:rsidRPr="008B6A75" w:rsidRDefault="00D86421" w:rsidP="00D86421">
      <w:pPr>
        <w:shd w:val="clear" w:color="auto" w:fill="FFFFFF"/>
        <w:ind w:firstLine="709"/>
        <w:jc w:val="both"/>
        <w:rPr>
          <w:color w:val="000000"/>
          <w:sz w:val="20"/>
          <w:szCs w:val="20"/>
        </w:rPr>
      </w:pPr>
      <w:r w:rsidRPr="008B6A75">
        <w:rPr>
          <w:color w:val="000000"/>
          <w:sz w:val="20"/>
          <w:szCs w:val="20"/>
        </w:rPr>
        <w:t>2) понятность обязательных требований, обеспечивающая их однозначное толкование контролируемыми лицами и органом муниципального земельного контроля;</w:t>
      </w:r>
    </w:p>
    <w:p w14:paraId="4BC1FCD9" w14:textId="77777777" w:rsidR="00D86421" w:rsidRPr="008B6A75" w:rsidRDefault="00D86421" w:rsidP="00D86421">
      <w:pPr>
        <w:shd w:val="clear" w:color="auto" w:fill="FFFFFF"/>
        <w:ind w:firstLine="708"/>
        <w:jc w:val="both"/>
        <w:rPr>
          <w:sz w:val="20"/>
          <w:szCs w:val="20"/>
        </w:rPr>
      </w:pPr>
      <w:r w:rsidRPr="008B6A75">
        <w:rPr>
          <w:color w:val="000000"/>
          <w:sz w:val="20"/>
          <w:szCs w:val="20"/>
        </w:rPr>
        <w:t>3) вовлечение контролируемых лиц в регулярное взаимодействие с органом муниципального земельного контроля.</w:t>
      </w:r>
    </w:p>
    <w:tbl>
      <w:tblPr>
        <w:tblW w:w="10127" w:type="dxa"/>
        <w:tblLayout w:type="fixed"/>
        <w:tblCellMar>
          <w:top w:w="102" w:type="dxa"/>
          <w:left w:w="62" w:type="dxa"/>
          <w:bottom w:w="102" w:type="dxa"/>
          <w:right w:w="62" w:type="dxa"/>
        </w:tblCellMar>
        <w:tblLook w:val="04A0" w:firstRow="1" w:lastRow="0" w:firstColumn="1" w:lastColumn="0" w:noHBand="0" w:noVBand="1"/>
      </w:tblPr>
      <w:tblGrid>
        <w:gridCol w:w="629"/>
        <w:gridCol w:w="6237"/>
        <w:gridCol w:w="3261"/>
      </w:tblGrid>
      <w:tr w:rsidR="00D86421" w:rsidRPr="008B6A75" w14:paraId="2DFDB77D" w14:textId="77777777" w:rsidTr="00467D80">
        <w:tc>
          <w:tcPr>
            <w:tcW w:w="629" w:type="dxa"/>
            <w:tcBorders>
              <w:top w:val="single" w:sz="4" w:space="0" w:color="auto"/>
              <w:left w:val="single" w:sz="4" w:space="0" w:color="auto"/>
              <w:bottom w:val="single" w:sz="4" w:space="0" w:color="auto"/>
              <w:right w:val="single" w:sz="4" w:space="0" w:color="auto"/>
            </w:tcBorders>
            <w:hideMark/>
          </w:tcPr>
          <w:p w14:paraId="6C0DE13A" w14:textId="77777777" w:rsidR="00D86421" w:rsidRPr="008B6A75" w:rsidRDefault="00D86421" w:rsidP="00467D80">
            <w:pPr>
              <w:suppressAutoHyphens/>
              <w:autoSpaceDE w:val="0"/>
              <w:autoSpaceDN w:val="0"/>
              <w:adjustRightInd w:val="0"/>
              <w:jc w:val="center"/>
              <w:rPr>
                <w:sz w:val="20"/>
                <w:szCs w:val="20"/>
                <w:lang w:eastAsia="en-US"/>
              </w:rPr>
            </w:pPr>
            <w:r w:rsidRPr="008B6A75">
              <w:rPr>
                <w:sz w:val="20"/>
                <w:szCs w:val="20"/>
              </w:rPr>
              <w:t>№ п/п</w:t>
            </w:r>
          </w:p>
        </w:tc>
        <w:tc>
          <w:tcPr>
            <w:tcW w:w="6237" w:type="dxa"/>
            <w:tcBorders>
              <w:top w:val="single" w:sz="4" w:space="0" w:color="auto"/>
              <w:left w:val="single" w:sz="4" w:space="0" w:color="auto"/>
              <w:bottom w:val="single" w:sz="4" w:space="0" w:color="auto"/>
              <w:right w:val="single" w:sz="4" w:space="0" w:color="auto"/>
            </w:tcBorders>
            <w:hideMark/>
          </w:tcPr>
          <w:p w14:paraId="6B866A73" w14:textId="77777777" w:rsidR="00D86421" w:rsidRPr="008B6A75" w:rsidRDefault="00D86421" w:rsidP="00467D80">
            <w:pPr>
              <w:suppressAutoHyphens/>
              <w:autoSpaceDE w:val="0"/>
              <w:autoSpaceDN w:val="0"/>
              <w:adjustRightInd w:val="0"/>
              <w:jc w:val="center"/>
              <w:rPr>
                <w:sz w:val="20"/>
                <w:szCs w:val="20"/>
                <w:lang w:eastAsia="en-US"/>
              </w:rPr>
            </w:pPr>
            <w:r w:rsidRPr="008B6A75">
              <w:rPr>
                <w:sz w:val="20"/>
                <w:szCs w:val="20"/>
              </w:rPr>
              <w:t>Наименование показателя</w:t>
            </w:r>
          </w:p>
        </w:tc>
        <w:tc>
          <w:tcPr>
            <w:tcW w:w="3261" w:type="dxa"/>
            <w:tcBorders>
              <w:top w:val="single" w:sz="4" w:space="0" w:color="auto"/>
              <w:left w:val="single" w:sz="4" w:space="0" w:color="auto"/>
              <w:bottom w:val="single" w:sz="4" w:space="0" w:color="auto"/>
              <w:right w:val="single" w:sz="4" w:space="0" w:color="auto"/>
            </w:tcBorders>
            <w:hideMark/>
          </w:tcPr>
          <w:p w14:paraId="1EAEABB3" w14:textId="77777777" w:rsidR="00D86421" w:rsidRPr="008B6A75" w:rsidRDefault="00D86421" w:rsidP="00467D80">
            <w:pPr>
              <w:suppressAutoHyphens/>
              <w:autoSpaceDE w:val="0"/>
              <w:autoSpaceDN w:val="0"/>
              <w:adjustRightInd w:val="0"/>
              <w:jc w:val="center"/>
              <w:rPr>
                <w:sz w:val="20"/>
                <w:szCs w:val="20"/>
                <w:lang w:eastAsia="en-US"/>
              </w:rPr>
            </w:pPr>
            <w:r w:rsidRPr="008B6A75">
              <w:rPr>
                <w:sz w:val="20"/>
                <w:szCs w:val="20"/>
              </w:rPr>
              <w:t>Величина</w:t>
            </w:r>
          </w:p>
        </w:tc>
      </w:tr>
      <w:tr w:rsidR="00D86421" w:rsidRPr="008B6A75" w14:paraId="796C1C71" w14:textId="77777777" w:rsidTr="00467D80">
        <w:tc>
          <w:tcPr>
            <w:tcW w:w="629" w:type="dxa"/>
            <w:tcBorders>
              <w:top w:val="single" w:sz="4" w:space="0" w:color="auto"/>
              <w:left w:val="single" w:sz="4" w:space="0" w:color="auto"/>
              <w:bottom w:val="single" w:sz="4" w:space="0" w:color="auto"/>
              <w:right w:val="single" w:sz="4" w:space="0" w:color="auto"/>
            </w:tcBorders>
            <w:hideMark/>
          </w:tcPr>
          <w:p w14:paraId="7974F87E" w14:textId="77777777" w:rsidR="00D86421" w:rsidRPr="008B6A75" w:rsidRDefault="00D86421" w:rsidP="00467D80">
            <w:pPr>
              <w:suppressAutoHyphens/>
              <w:autoSpaceDE w:val="0"/>
              <w:autoSpaceDN w:val="0"/>
              <w:adjustRightInd w:val="0"/>
              <w:jc w:val="center"/>
              <w:rPr>
                <w:sz w:val="20"/>
                <w:szCs w:val="20"/>
                <w:lang w:eastAsia="en-US"/>
              </w:rPr>
            </w:pPr>
            <w:r w:rsidRPr="008B6A75">
              <w:rPr>
                <w:sz w:val="20"/>
                <w:szCs w:val="20"/>
                <w:lang w:eastAsia="en-US"/>
              </w:rPr>
              <w:t>1.</w:t>
            </w:r>
          </w:p>
        </w:tc>
        <w:tc>
          <w:tcPr>
            <w:tcW w:w="6237" w:type="dxa"/>
            <w:tcBorders>
              <w:top w:val="single" w:sz="4" w:space="0" w:color="auto"/>
              <w:left w:val="single" w:sz="4" w:space="0" w:color="auto"/>
              <w:bottom w:val="single" w:sz="4" w:space="0" w:color="auto"/>
              <w:right w:val="single" w:sz="4" w:space="0" w:color="auto"/>
            </w:tcBorders>
            <w:hideMark/>
          </w:tcPr>
          <w:p w14:paraId="176E01EC" w14:textId="77777777" w:rsidR="00D86421" w:rsidRPr="008B6A75" w:rsidRDefault="00D86421" w:rsidP="00467D80">
            <w:pPr>
              <w:suppressAutoHyphens/>
              <w:autoSpaceDE w:val="0"/>
              <w:autoSpaceDN w:val="0"/>
              <w:adjustRightInd w:val="0"/>
              <w:jc w:val="both"/>
              <w:rPr>
                <w:sz w:val="20"/>
                <w:szCs w:val="20"/>
                <w:lang w:eastAsia="en-US"/>
              </w:rPr>
            </w:pPr>
            <w:r w:rsidRPr="008B6A75">
              <w:rPr>
                <w:sz w:val="20"/>
                <w:szCs w:val="20"/>
              </w:rPr>
              <w:t xml:space="preserve">Полнота информации, размещенной на официальном сайте контрольного органа в сети «Интернет» в соответствии с частью 3 статьи 46 Федерального закона от 31 июля </w:t>
            </w:r>
            <w:proofErr w:type="gramStart"/>
            <w:r w:rsidRPr="008B6A75">
              <w:rPr>
                <w:sz w:val="20"/>
                <w:szCs w:val="20"/>
              </w:rPr>
              <w:t>2021  №</w:t>
            </w:r>
            <w:proofErr w:type="gramEnd"/>
            <w:r w:rsidRPr="008B6A75">
              <w:rPr>
                <w:sz w:val="20"/>
                <w:szCs w:val="20"/>
              </w:rPr>
              <w:t xml:space="preserve"> 248-ФЗ «О государственном контроле (надзоре) и муниципальном контроле в Российской Федерации»</w:t>
            </w:r>
          </w:p>
        </w:tc>
        <w:tc>
          <w:tcPr>
            <w:tcW w:w="3261" w:type="dxa"/>
            <w:tcBorders>
              <w:top w:val="single" w:sz="4" w:space="0" w:color="auto"/>
              <w:left w:val="single" w:sz="4" w:space="0" w:color="auto"/>
              <w:bottom w:val="single" w:sz="4" w:space="0" w:color="auto"/>
              <w:right w:val="single" w:sz="4" w:space="0" w:color="auto"/>
            </w:tcBorders>
            <w:hideMark/>
          </w:tcPr>
          <w:p w14:paraId="724C6FDB" w14:textId="77777777" w:rsidR="00D86421" w:rsidRPr="008B6A75" w:rsidRDefault="00D86421" w:rsidP="00467D80">
            <w:pPr>
              <w:suppressAutoHyphens/>
              <w:autoSpaceDE w:val="0"/>
              <w:autoSpaceDN w:val="0"/>
              <w:adjustRightInd w:val="0"/>
              <w:jc w:val="both"/>
              <w:rPr>
                <w:sz w:val="20"/>
                <w:szCs w:val="20"/>
                <w:lang w:eastAsia="en-US"/>
              </w:rPr>
            </w:pPr>
            <w:r w:rsidRPr="008B6A75">
              <w:rPr>
                <w:sz w:val="20"/>
                <w:szCs w:val="20"/>
              </w:rPr>
              <w:t>100 %</w:t>
            </w:r>
          </w:p>
        </w:tc>
      </w:tr>
      <w:tr w:rsidR="00D86421" w:rsidRPr="008B6A75" w14:paraId="14D1CEFB" w14:textId="77777777" w:rsidTr="00467D80">
        <w:tc>
          <w:tcPr>
            <w:tcW w:w="629" w:type="dxa"/>
            <w:tcBorders>
              <w:top w:val="single" w:sz="4" w:space="0" w:color="auto"/>
              <w:left w:val="single" w:sz="4" w:space="0" w:color="auto"/>
              <w:bottom w:val="single" w:sz="4" w:space="0" w:color="auto"/>
              <w:right w:val="single" w:sz="4" w:space="0" w:color="auto"/>
            </w:tcBorders>
            <w:hideMark/>
          </w:tcPr>
          <w:p w14:paraId="438C0CDE" w14:textId="77777777" w:rsidR="00D86421" w:rsidRPr="008B6A75" w:rsidRDefault="00D86421" w:rsidP="00467D80">
            <w:pPr>
              <w:suppressAutoHyphens/>
              <w:autoSpaceDE w:val="0"/>
              <w:autoSpaceDN w:val="0"/>
              <w:adjustRightInd w:val="0"/>
              <w:jc w:val="center"/>
              <w:rPr>
                <w:sz w:val="20"/>
                <w:szCs w:val="20"/>
                <w:lang w:eastAsia="en-US"/>
              </w:rPr>
            </w:pPr>
            <w:r w:rsidRPr="008B6A75">
              <w:rPr>
                <w:sz w:val="20"/>
                <w:szCs w:val="20"/>
                <w:lang w:eastAsia="en-US"/>
              </w:rPr>
              <w:t>2.</w:t>
            </w:r>
          </w:p>
        </w:tc>
        <w:tc>
          <w:tcPr>
            <w:tcW w:w="6237" w:type="dxa"/>
            <w:tcBorders>
              <w:top w:val="single" w:sz="4" w:space="0" w:color="auto"/>
              <w:left w:val="single" w:sz="4" w:space="0" w:color="auto"/>
              <w:bottom w:val="single" w:sz="4" w:space="0" w:color="auto"/>
              <w:right w:val="single" w:sz="4" w:space="0" w:color="auto"/>
            </w:tcBorders>
            <w:hideMark/>
          </w:tcPr>
          <w:p w14:paraId="6ED67730" w14:textId="77777777" w:rsidR="00D86421" w:rsidRPr="008B6A75" w:rsidRDefault="00D86421" w:rsidP="00467D80">
            <w:pPr>
              <w:suppressAutoHyphens/>
              <w:autoSpaceDE w:val="0"/>
              <w:autoSpaceDN w:val="0"/>
              <w:adjustRightInd w:val="0"/>
              <w:jc w:val="both"/>
              <w:rPr>
                <w:sz w:val="20"/>
                <w:szCs w:val="20"/>
                <w:lang w:eastAsia="en-US"/>
              </w:rPr>
            </w:pPr>
            <w:r w:rsidRPr="008B6A75">
              <w:rPr>
                <w:sz w:val="20"/>
                <w:szCs w:val="20"/>
              </w:rPr>
              <w:t>Удовлетворенность контролируемых лиц и их представителями консультированием контрольного (надзорного) органа</w:t>
            </w:r>
          </w:p>
        </w:tc>
        <w:tc>
          <w:tcPr>
            <w:tcW w:w="3261" w:type="dxa"/>
            <w:tcBorders>
              <w:top w:val="single" w:sz="4" w:space="0" w:color="auto"/>
              <w:left w:val="single" w:sz="4" w:space="0" w:color="auto"/>
              <w:bottom w:val="single" w:sz="4" w:space="0" w:color="auto"/>
              <w:right w:val="single" w:sz="4" w:space="0" w:color="auto"/>
            </w:tcBorders>
            <w:hideMark/>
          </w:tcPr>
          <w:p w14:paraId="34A764C6" w14:textId="77777777" w:rsidR="00D86421" w:rsidRPr="008B6A75" w:rsidRDefault="00D86421" w:rsidP="00467D80">
            <w:pPr>
              <w:suppressAutoHyphens/>
              <w:autoSpaceDE w:val="0"/>
              <w:autoSpaceDN w:val="0"/>
              <w:adjustRightInd w:val="0"/>
              <w:jc w:val="both"/>
              <w:rPr>
                <w:sz w:val="20"/>
                <w:szCs w:val="20"/>
                <w:lang w:eastAsia="en-US"/>
              </w:rPr>
            </w:pPr>
            <w:r w:rsidRPr="008B6A75">
              <w:rPr>
                <w:sz w:val="20"/>
                <w:szCs w:val="20"/>
              </w:rPr>
              <w:t>100 % от числа обратившихся</w:t>
            </w:r>
          </w:p>
        </w:tc>
      </w:tr>
      <w:tr w:rsidR="00D86421" w:rsidRPr="008B6A75" w14:paraId="66EC3664" w14:textId="77777777" w:rsidTr="00467D80">
        <w:tc>
          <w:tcPr>
            <w:tcW w:w="629" w:type="dxa"/>
            <w:tcBorders>
              <w:top w:val="single" w:sz="4" w:space="0" w:color="auto"/>
              <w:left w:val="single" w:sz="4" w:space="0" w:color="auto"/>
              <w:bottom w:val="single" w:sz="4" w:space="0" w:color="auto"/>
              <w:right w:val="single" w:sz="4" w:space="0" w:color="auto"/>
            </w:tcBorders>
            <w:hideMark/>
          </w:tcPr>
          <w:p w14:paraId="4FFE3EDC" w14:textId="77777777" w:rsidR="00D86421" w:rsidRPr="008B6A75" w:rsidRDefault="00D86421" w:rsidP="00467D80">
            <w:pPr>
              <w:suppressAutoHyphens/>
              <w:autoSpaceDE w:val="0"/>
              <w:autoSpaceDN w:val="0"/>
              <w:adjustRightInd w:val="0"/>
              <w:jc w:val="center"/>
              <w:rPr>
                <w:sz w:val="20"/>
                <w:szCs w:val="20"/>
                <w:lang w:eastAsia="en-US"/>
              </w:rPr>
            </w:pPr>
            <w:r w:rsidRPr="008B6A75">
              <w:rPr>
                <w:sz w:val="20"/>
                <w:szCs w:val="20"/>
                <w:lang w:eastAsia="en-US"/>
              </w:rPr>
              <w:t>3.</w:t>
            </w:r>
          </w:p>
        </w:tc>
        <w:tc>
          <w:tcPr>
            <w:tcW w:w="6237" w:type="dxa"/>
            <w:tcBorders>
              <w:top w:val="single" w:sz="4" w:space="0" w:color="auto"/>
              <w:left w:val="single" w:sz="4" w:space="0" w:color="auto"/>
              <w:bottom w:val="single" w:sz="4" w:space="0" w:color="auto"/>
              <w:right w:val="single" w:sz="4" w:space="0" w:color="auto"/>
            </w:tcBorders>
            <w:hideMark/>
          </w:tcPr>
          <w:p w14:paraId="67BE694B" w14:textId="77777777" w:rsidR="00D86421" w:rsidRPr="008B6A75" w:rsidRDefault="00D86421" w:rsidP="00467D80">
            <w:pPr>
              <w:suppressAutoHyphens/>
              <w:autoSpaceDE w:val="0"/>
              <w:autoSpaceDN w:val="0"/>
              <w:adjustRightInd w:val="0"/>
              <w:jc w:val="both"/>
              <w:rPr>
                <w:sz w:val="20"/>
                <w:szCs w:val="20"/>
                <w:lang w:eastAsia="en-US"/>
              </w:rPr>
            </w:pPr>
            <w:r w:rsidRPr="008B6A75">
              <w:rPr>
                <w:sz w:val="20"/>
                <w:szCs w:val="20"/>
              </w:rPr>
              <w:t>Количество проведенных профилактических мероприятий</w:t>
            </w:r>
          </w:p>
        </w:tc>
        <w:tc>
          <w:tcPr>
            <w:tcW w:w="3261" w:type="dxa"/>
            <w:tcBorders>
              <w:top w:val="single" w:sz="4" w:space="0" w:color="auto"/>
              <w:left w:val="single" w:sz="4" w:space="0" w:color="auto"/>
              <w:bottom w:val="single" w:sz="4" w:space="0" w:color="auto"/>
              <w:right w:val="single" w:sz="4" w:space="0" w:color="auto"/>
            </w:tcBorders>
            <w:hideMark/>
          </w:tcPr>
          <w:p w14:paraId="0EDA4741" w14:textId="77777777" w:rsidR="00D86421" w:rsidRPr="008B6A75" w:rsidRDefault="00D86421" w:rsidP="00467D80">
            <w:pPr>
              <w:suppressAutoHyphens/>
              <w:autoSpaceDE w:val="0"/>
              <w:autoSpaceDN w:val="0"/>
              <w:adjustRightInd w:val="0"/>
              <w:jc w:val="both"/>
              <w:rPr>
                <w:sz w:val="20"/>
                <w:szCs w:val="20"/>
                <w:lang w:eastAsia="en-US"/>
              </w:rPr>
            </w:pPr>
            <w:r w:rsidRPr="008B6A75">
              <w:rPr>
                <w:sz w:val="20"/>
                <w:szCs w:val="20"/>
              </w:rPr>
              <w:t>количество будет определено обращениям от заинтересованных лиц</w:t>
            </w:r>
          </w:p>
        </w:tc>
      </w:tr>
    </w:tbl>
    <w:p w14:paraId="0EEF99DC" w14:textId="77777777" w:rsidR="00D86421" w:rsidRPr="008B6A75" w:rsidRDefault="00D86421" w:rsidP="00D86421">
      <w:pPr>
        <w:widowControl w:val="0"/>
        <w:shd w:val="clear" w:color="auto" w:fill="FFFFFF"/>
        <w:tabs>
          <w:tab w:val="left" w:pos="994"/>
        </w:tabs>
        <w:autoSpaceDE w:val="0"/>
        <w:autoSpaceDN w:val="0"/>
        <w:adjustRightInd w:val="0"/>
        <w:spacing w:line="317" w:lineRule="exact"/>
        <w:rPr>
          <w:sz w:val="20"/>
          <w:szCs w:val="20"/>
        </w:rPr>
      </w:pPr>
      <w:bookmarkStart w:id="11" w:name="Par175"/>
      <w:bookmarkEnd w:id="11"/>
    </w:p>
    <w:p w14:paraId="15F51CD9" w14:textId="77777777" w:rsidR="006118BE" w:rsidRPr="008B6A75" w:rsidRDefault="006118BE" w:rsidP="006118BE">
      <w:pPr>
        <w:pStyle w:val="af5"/>
        <w:rPr>
          <w:b w:val="0"/>
          <w:bCs w:val="0"/>
          <w:sz w:val="20"/>
          <w:szCs w:val="20"/>
        </w:rPr>
      </w:pPr>
    </w:p>
    <w:p w14:paraId="3FEDC3FB" w14:textId="77777777" w:rsidR="00412741" w:rsidRPr="008B6A75" w:rsidRDefault="00412741" w:rsidP="00412741">
      <w:pPr>
        <w:jc w:val="center"/>
        <w:rPr>
          <w:sz w:val="20"/>
          <w:szCs w:val="20"/>
        </w:rPr>
      </w:pPr>
      <w:r w:rsidRPr="008B6A75">
        <w:rPr>
          <w:sz w:val="20"/>
          <w:szCs w:val="20"/>
        </w:rPr>
        <w:t xml:space="preserve">ГЛАВА </w:t>
      </w:r>
    </w:p>
    <w:p w14:paraId="1F845B83" w14:textId="77777777" w:rsidR="00412741" w:rsidRPr="008B6A75" w:rsidRDefault="00412741" w:rsidP="00412741">
      <w:pPr>
        <w:jc w:val="center"/>
        <w:rPr>
          <w:sz w:val="20"/>
          <w:szCs w:val="20"/>
        </w:rPr>
      </w:pPr>
      <w:r w:rsidRPr="008B6A75">
        <w:rPr>
          <w:sz w:val="20"/>
          <w:szCs w:val="20"/>
        </w:rPr>
        <w:t>КУЙБЫШЕВСКОГО МУНИЦИПАЛЬНОГО РАЙОНА</w:t>
      </w:r>
    </w:p>
    <w:p w14:paraId="33B77693" w14:textId="77777777" w:rsidR="00412741" w:rsidRPr="008B6A75" w:rsidRDefault="00412741" w:rsidP="00412741">
      <w:pPr>
        <w:jc w:val="center"/>
        <w:rPr>
          <w:sz w:val="20"/>
          <w:szCs w:val="20"/>
        </w:rPr>
      </w:pPr>
      <w:r w:rsidRPr="008B6A75">
        <w:rPr>
          <w:sz w:val="20"/>
          <w:szCs w:val="20"/>
        </w:rPr>
        <w:t>НОВОСИБИРСКОЙ ОБЛАСТИ</w:t>
      </w:r>
    </w:p>
    <w:p w14:paraId="204CB1E8" w14:textId="77777777" w:rsidR="00412741" w:rsidRPr="008B6A75" w:rsidRDefault="00412741" w:rsidP="00412741">
      <w:pPr>
        <w:jc w:val="center"/>
        <w:rPr>
          <w:sz w:val="20"/>
          <w:szCs w:val="20"/>
        </w:rPr>
      </w:pPr>
    </w:p>
    <w:p w14:paraId="3951D637" w14:textId="77777777" w:rsidR="00412741" w:rsidRPr="008B6A75" w:rsidRDefault="00412741" w:rsidP="00412741">
      <w:pPr>
        <w:pStyle w:val="30"/>
        <w:rPr>
          <w:b w:val="0"/>
          <w:sz w:val="20"/>
        </w:rPr>
      </w:pPr>
      <w:r w:rsidRPr="008B6A75">
        <w:rPr>
          <w:b w:val="0"/>
          <w:sz w:val="20"/>
        </w:rPr>
        <w:t>ПОСТАНОВЛЕНИЕ</w:t>
      </w:r>
    </w:p>
    <w:p w14:paraId="1393DA05" w14:textId="77777777" w:rsidR="00412741" w:rsidRPr="008B6A75" w:rsidRDefault="00412741" w:rsidP="00412741">
      <w:pPr>
        <w:rPr>
          <w:sz w:val="20"/>
          <w:szCs w:val="20"/>
        </w:rPr>
      </w:pPr>
    </w:p>
    <w:p w14:paraId="2A1FA3B8" w14:textId="77777777" w:rsidR="00412741" w:rsidRPr="008B6A75" w:rsidRDefault="00412741" w:rsidP="00412741">
      <w:pPr>
        <w:jc w:val="center"/>
        <w:rPr>
          <w:sz w:val="20"/>
          <w:szCs w:val="20"/>
        </w:rPr>
      </w:pPr>
      <w:r w:rsidRPr="008B6A75">
        <w:rPr>
          <w:sz w:val="20"/>
          <w:szCs w:val="20"/>
        </w:rPr>
        <w:t>г. Куйбышев</w:t>
      </w:r>
    </w:p>
    <w:p w14:paraId="1AD8A2A3" w14:textId="77777777" w:rsidR="00412741" w:rsidRPr="008B6A75" w:rsidRDefault="00412741" w:rsidP="00412741">
      <w:pPr>
        <w:jc w:val="center"/>
        <w:rPr>
          <w:sz w:val="20"/>
          <w:szCs w:val="20"/>
        </w:rPr>
      </w:pPr>
      <w:r w:rsidRPr="008B6A75">
        <w:rPr>
          <w:sz w:val="20"/>
          <w:szCs w:val="20"/>
        </w:rPr>
        <w:t>Новосибирская область</w:t>
      </w:r>
    </w:p>
    <w:p w14:paraId="03E40410" w14:textId="77777777" w:rsidR="00412741" w:rsidRPr="008B6A75" w:rsidRDefault="00412741" w:rsidP="00412741">
      <w:pPr>
        <w:rPr>
          <w:sz w:val="20"/>
          <w:szCs w:val="20"/>
        </w:rPr>
      </w:pPr>
    </w:p>
    <w:p w14:paraId="5D7C79CE" w14:textId="77777777" w:rsidR="00412741" w:rsidRPr="008B6A75" w:rsidRDefault="00412741" w:rsidP="00412741">
      <w:pPr>
        <w:jc w:val="center"/>
        <w:rPr>
          <w:sz w:val="20"/>
          <w:szCs w:val="20"/>
        </w:rPr>
      </w:pPr>
      <w:r w:rsidRPr="008B6A75">
        <w:rPr>
          <w:sz w:val="20"/>
          <w:szCs w:val="20"/>
        </w:rPr>
        <w:t>03.11.2022 № 860</w:t>
      </w:r>
    </w:p>
    <w:p w14:paraId="0B59C32F" w14:textId="77777777" w:rsidR="00412741" w:rsidRPr="008B6A75" w:rsidRDefault="00412741" w:rsidP="00412741">
      <w:pPr>
        <w:pStyle w:val="aff8"/>
        <w:tabs>
          <w:tab w:val="left" w:pos="5415"/>
        </w:tabs>
        <w:rPr>
          <w:sz w:val="20"/>
          <w:szCs w:val="20"/>
        </w:rPr>
      </w:pPr>
      <w:r w:rsidRPr="008B6A75">
        <w:rPr>
          <w:sz w:val="20"/>
          <w:szCs w:val="20"/>
        </w:rPr>
        <w:tab/>
      </w:r>
    </w:p>
    <w:p w14:paraId="0DA19268" w14:textId="77777777" w:rsidR="00412741" w:rsidRPr="008B6A75" w:rsidRDefault="00412741" w:rsidP="00412741">
      <w:pPr>
        <w:shd w:val="clear" w:color="auto" w:fill="FFFFFF"/>
        <w:tabs>
          <w:tab w:val="left" w:leader="dot" w:pos="-4962"/>
        </w:tabs>
        <w:jc w:val="center"/>
        <w:rPr>
          <w:spacing w:val="-16"/>
          <w:sz w:val="20"/>
          <w:szCs w:val="20"/>
        </w:rPr>
      </w:pPr>
      <w:r w:rsidRPr="008B6A75">
        <w:rPr>
          <w:sz w:val="20"/>
          <w:szCs w:val="20"/>
        </w:rPr>
        <w:lastRenderedPageBreak/>
        <w:t>О проведении общественных обсуждений по проекту решения о предоставлении разрешения на условно разрешенный вид использования земельного участка</w:t>
      </w:r>
    </w:p>
    <w:p w14:paraId="0A7A5954" w14:textId="77777777" w:rsidR="00412741" w:rsidRPr="008B6A75" w:rsidRDefault="00412741" w:rsidP="00412741">
      <w:pPr>
        <w:shd w:val="clear" w:color="auto" w:fill="FFFFFF"/>
        <w:tabs>
          <w:tab w:val="left" w:leader="underscore" w:pos="1853"/>
          <w:tab w:val="left" w:pos="4310"/>
          <w:tab w:val="left" w:leader="dot" w:pos="4651"/>
          <w:tab w:val="left" w:pos="7104"/>
        </w:tabs>
        <w:jc w:val="both"/>
        <w:rPr>
          <w:sz w:val="20"/>
          <w:szCs w:val="20"/>
        </w:rPr>
      </w:pPr>
    </w:p>
    <w:p w14:paraId="12C1B22D" w14:textId="77777777" w:rsidR="00412741" w:rsidRPr="008B6A75" w:rsidRDefault="00412741" w:rsidP="00412741">
      <w:pPr>
        <w:shd w:val="clear" w:color="auto" w:fill="FFFFFF"/>
        <w:tabs>
          <w:tab w:val="left" w:pos="-4962"/>
          <w:tab w:val="left" w:pos="7104"/>
        </w:tabs>
        <w:ind w:left="-26" w:firstLine="735"/>
        <w:jc w:val="both"/>
        <w:rPr>
          <w:sz w:val="20"/>
          <w:szCs w:val="20"/>
        </w:rPr>
      </w:pPr>
      <w:r w:rsidRPr="008B6A75">
        <w:rPr>
          <w:sz w:val="20"/>
          <w:szCs w:val="20"/>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решений о предоставлении разрешения на условно разрешенный вид использования земельных участков или объекта капитального строительства, в соответствии со статьями 5.1, 39 Градостроительного кодекса Российской Федерации, правилами землепользования и застройки Камского сельсовета Куйбышевского района Новосибирской области, утвержденных решением семнадцатой сессии Совета депутатов Куйбышевского района третьего созыва от 15.06.2017 № 11 «Об утверждении правил землепользования и застройки 14 сельских поселений, входящих в состав Куйбышевского района</w:t>
      </w:r>
      <w:r w:rsidRPr="008B6A75">
        <w:rPr>
          <w:color w:val="000000"/>
          <w:sz w:val="20"/>
          <w:szCs w:val="20"/>
        </w:rPr>
        <w:t>»</w:t>
      </w:r>
      <w:r w:rsidRPr="008B6A75">
        <w:rPr>
          <w:sz w:val="20"/>
          <w:szCs w:val="20"/>
        </w:rPr>
        <w:t xml:space="preserve">, Уставом Куйбышевского муниципального района Новосибирской области,  </w:t>
      </w:r>
    </w:p>
    <w:p w14:paraId="2BDD26D7" w14:textId="77777777" w:rsidR="00412741" w:rsidRPr="008B6A75" w:rsidRDefault="00412741" w:rsidP="00412741">
      <w:pPr>
        <w:shd w:val="clear" w:color="auto" w:fill="FFFFFF"/>
        <w:tabs>
          <w:tab w:val="left" w:pos="-4962"/>
          <w:tab w:val="left" w:pos="3780"/>
        </w:tabs>
        <w:ind w:firstLine="735"/>
        <w:jc w:val="both"/>
        <w:rPr>
          <w:sz w:val="20"/>
          <w:szCs w:val="20"/>
        </w:rPr>
      </w:pPr>
      <w:r w:rsidRPr="008B6A75">
        <w:rPr>
          <w:caps/>
          <w:sz w:val="20"/>
          <w:szCs w:val="20"/>
        </w:rPr>
        <w:t>постановляЮ</w:t>
      </w:r>
      <w:r w:rsidRPr="008B6A75">
        <w:rPr>
          <w:sz w:val="20"/>
          <w:szCs w:val="20"/>
        </w:rPr>
        <w:t>:</w:t>
      </w:r>
      <w:r w:rsidRPr="008B6A75">
        <w:rPr>
          <w:sz w:val="20"/>
          <w:szCs w:val="20"/>
        </w:rPr>
        <w:tab/>
      </w:r>
    </w:p>
    <w:p w14:paraId="5E27CC50" w14:textId="77777777" w:rsidR="00412741" w:rsidRPr="008B6A75" w:rsidRDefault="00412741" w:rsidP="00412741">
      <w:pPr>
        <w:autoSpaceDE w:val="0"/>
        <w:autoSpaceDN w:val="0"/>
        <w:adjustRightInd w:val="0"/>
        <w:jc w:val="both"/>
        <w:rPr>
          <w:sz w:val="20"/>
          <w:szCs w:val="20"/>
        </w:rPr>
      </w:pPr>
      <w:r w:rsidRPr="008B6A75">
        <w:rPr>
          <w:sz w:val="20"/>
          <w:szCs w:val="20"/>
        </w:rPr>
        <w:t xml:space="preserve">1. Провести общественные обсуждения по проекту решения о предоставлении разрешения на условно разрешенный вид использования земельного участка с кадастровым номером 54:14:012101:ЗУ1 площадью 1000 </w:t>
      </w:r>
      <w:proofErr w:type="spellStart"/>
      <w:r w:rsidRPr="008B6A75">
        <w:rPr>
          <w:sz w:val="20"/>
          <w:szCs w:val="20"/>
        </w:rPr>
        <w:t>кв.м</w:t>
      </w:r>
      <w:proofErr w:type="spellEnd"/>
      <w:r w:rsidRPr="008B6A75">
        <w:rPr>
          <w:sz w:val="20"/>
          <w:szCs w:val="20"/>
        </w:rPr>
        <w:t xml:space="preserve">, расположенного по адресу (местоположение): Новосибирская область, Куйбышевский район,  аул </w:t>
      </w:r>
      <w:proofErr w:type="spellStart"/>
      <w:r w:rsidRPr="008B6A75">
        <w:rPr>
          <w:sz w:val="20"/>
          <w:szCs w:val="20"/>
        </w:rPr>
        <w:t>Шагир</w:t>
      </w:r>
      <w:proofErr w:type="spellEnd"/>
      <w:r w:rsidRPr="008B6A75">
        <w:rPr>
          <w:sz w:val="20"/>
          <w:szCs w:val="20"/>
        </w:rPr>
        <w:t xml:space="preserve"> в зоне </w:t>
      </w:r>
      <w:r w:rsidRPr="008B6A75">
        <w:rPr>
          <w:rFonts w:eastAsia="Calibri"/>
          <w:sz w:val="20"/>
          <w:szCs w:val="20"/>
          <w:lang w:eastAsia="en-US"/>
        </w:rPr>
        <w:t>делового, общественного и коммерческого назначения (О1)</w:t>
      </w:r>
      <w:r w:rsidRPr="008B6A75">
        <w:rPr>
          <w:sz w:val="20"/>
          <w:szCs w:val="20"/>
        </w:rPr>
        <w:t xml:space="preserve">  - </w:t>
      </w:r>
      <w:r w:rsidRPr="008B6A75">
        <w:rPr>
          <w:rFonts w:eastAsia="Calibri"/>
          <w:sz w:val="20"/>
          <w:szCs w:val="20"/>
          <w:lang w:eastAsia="en-US"/>
        </w:rPr>
        <w:t>Религиозное использование</w:t>
      </w:r>
      <w:r w:rsidRPr="008B6A75">
        <w:rPr>
          <w:color w:val="000000"/>
          <w:sz w:val="20"/>
          <w:szCs w:val="20"/>
        </w:rPr>
        <w:t xml:space="preserve"> </w:t>
      </w:r>
      <w:hyperlink r:id="rId29" w:history="1">
        <w:r w:rsidRPr="008B6A75">
          <w:rPr>
            <w:color w:val="000000"/>
            <w:sz w:val="20"/>
            <w:szCs w:val="20"/>
          </w:rPr>
          <w:t>(3.7)</w:t>
        </w:r>
      </w:hyperlink>
      <w:r w:rsidRPr="008B6A75">
        <w:rPr>
          <w:sz w:val="20"/>
          <w:szCs w:val="20"/>
        </w:rPr>
        <w:t>.</w:t>
      </w:r>
    </w:p>
    <w:p w14:paraId="37D5FA78" w14:textId="77777777" w:rsidR="00412741" w:rsidRPr="008B6A75" w:rsidRDefault="00412741" w:rsidP="00372B96">
      <w:pPr>
        <w:numPr>
          <w:ilvl w:val="0"/>
          <w:numId w:val="21"/>
        </w:numPr>
        <w:shd w:val="clear" w:color="auto" w:fill="FFFFFF"/>
        <w:tabs>
          <w:tab w:val="left" w:pos="-4962"/>
        </w:tabs>
        <w:ind w:left="0" w:firstLine="709"/>
        <w:jc w:val="both"/>
        <w:rPr>
          <w:sz w:val="20"/>
          <w:szCs w:val="20"/>
        </w:rPr>
      </w:pPr>
      <w:r w:rsidRPr="008B6A75">
        <w:rPr>
          <w:sz w:val="20"/>
          <w:szCs w:val="20"/>
        </w:rPr>
        <w:t xml:space="preserve">Установить порядок проведения общественных обсуждений, состоящий из следующих этапов: </w:t>
      </w:r>
    </w:p>
    <w:p w14:paraId="26F6AC88" w14:textId="77777777" w:rsidR="00412741" w:rsidRPr="008B6A75" w:rsidRDefault="00412741" w:rsidP="00412741">
      <w:pPr>
        <w:shd w:val="clear" w:color="auto" w:fill="FFFFFF"/>
        <w:tabs>
          <w:tab w:val="left" w:pos="-4962"/>
        </w:tabs>
        <w:jc w:val="both"/>
        <w:rPr>
          <w:sz w:val="20"/>
          <w:szCs w:val="20"/>
        </w:rPr>
      </w:pPr>
      <w:r w:rsidRPr="008B6A75">
        <w:rPr>
          <w:sz w:val="20"/>
          <w:szCs w:val="20"/>
        </w:rPr>
        <w:t xml:space="preserve">оповещение о начале общественных обсуждений; </w:t>
      </w:r>
    </w:p>
    <w:p w14:paraId="60459633" w14:textId="77777777" w:rsidR="00412741" w:rsidRPr="008B6A75" w:rsidRDefault="00412741" w:rsidP="00412741">
      <w:pPr>
        <w:shd w:val="clear" w:color="auto" w:fill="FFFFFF"/>
        <w:tabs>
          <w:tab w:val="left" w:pos="-4962"/>
        </w:tabs>
        <w:jc w:val="both"/>
        <w:rPr>
          <w:sz w:val="20"/>
          <w:szCs w:val="20"/>
        </w:rPr>
      </w:pPr>
      <w:r w:rsidRPr="008B6A75">
        <w:rPr>
          <w:sz w:val="20"/>
          <w:szCs w:val="20"/>
        </w:rPr>
        <w:t xml:space="preserve">размещение проектов, подлежащих рассмотрению на общественных обсуждениях, и информационных материалов и открытие экспозиции проекта; </w:t>
      </w:r>
    </w:p>
    <w:p w14:paraId="68A01697" w14:textId="77777777" w:rsidR="00412741" w:rsidRPr="008B6A75" w:rsidRDefault="00412741" w:rsidP="00412741">
      <w:pPr>
        <w:shd w:val="clear" w:color="auto" w:fill="FFFFFF"/>
        <w:tabs>
          <w:tab w:val="left" w:pos="-4962"/>
        </w:tabs>
        <w:jc w:val="both"/>
        <w:rPr>
          <w:sz w:val="20"/>
          <w:szCs w:val="20"/>
        </w:rPr>
      </w:pPr>
      <w:r w:rsidRPr="008B6A75">
        <w:rPr>
          <w:sz w:val="20"/>
          <w:szCs w:val="20"/>
        </w:rPr>
        <w:t xml:space="preserve">проведение экспозиции или экспозиций проектов, подлежащих рассмотрению на общественных обсуждениях; </w:t>
      </w:r>
    </w:p>
    <w:p w14:paraId="608F868E" w14:textId="77777777" w:rsidR="00412741" w:rsidRPr="008B6A75" w:rsidRDefault="00412741" w:rsidP="00412741">
      <w:pPr>
        <w:shd w:val="clear" w:color="auto" w:fill="FFFFFF"/>
        <w:tabs>
          <w:tab w:val="left" w:pos="-4962"/>
        </w:tabs>
        <w:jc w:val="both"/>
        <w:rPr>
          <w:sz w:val="20"/>
          <w:szCs w:val="20"/>
        </w:rPr>
      </w:pPr>
      <w:r w:rsidRPr="008B6A75">
        <w:rPr>
          <w:sz w:val="20"/>
          <w:szCs w:val="20"/>
        </w:rPr>
        <w:t xml:space="preserve">подготовка и оформление протокола общественных обсуждений; </w:t>
      </w:r>
    </w:p>
    <w:p w14:paraId="7D29DE68" w14:textId="77777777" w:rsidR="00412741" w:rsidRPr="008B6A75" w:rsidRDefault="00412741" w:rsidP="00412741">
      <w:pPr>
        <w:shd w:val="clear" w:color="auto" w:fill="FFFFFF"/>
        <w:tabs>
          <w:tab w:val="left" w:pos="-4962"/>
        </w:tabs>
        <w:jc w:val="both"/>
        <w:rPr>
          <w:sz w:val="20"/>
          <w:szCs w:val="20"/>
        </w:rPr>
      </w:pPr>
      <w:r w:rsidRPr="008B6A75">
        <w:rPr>
          <w:sz w:val="20"/>
          <w:szCs w:val="20"/>
        </w:rPr>
        <w:t xml:space="preserve">подготовка и опубликование заключения о результатах общественных обсуждений. </w:t>
      </w:r>
    </w:p>
    <w:p w14:paraId="4A464067" w14:textId="77777777" w:rsidR="00412741" w:rsidRPr="008B6A75" w:rsidRDefault="00412741" w:rsidP="00412741">
      <w:pPr>
        <w:shd w:val="clear" w:color="auto" w:fill="FFFFFF"/>
        <w:tabs>
          <w:tab w:val="left" w:pos="-4962"/>
        </w:tabs>
        <w:jc w:val="both"/>
        <w:rPr>
          <w:sz w:val="20"/>
          <w:szCs w:val="20"/>
        </w:rPr>
      </w:pPr>
      <w:r w:rsidRPr="008B6A75">
        <w:rPr>
          <w:sz w:val="20"/>
          <w:szCs w:val="20"/>
        </w:rPr>
        <w:t>3.  Определить организатором общественных обсуждений комиссию по рассмотрению вопросов в сфере градостроительных и земельных отношений на территории сельских поселений Куйбышевского муниципального района Новосибирской области (далее – комиссия).</w:t>
      </w:r>
    </w:p>
    <w:p w14:paraId="04219CBE" w14:textId="77777777" w:rsidR="00412741" w:rsidRPr="008B6A75" w:rsidRDefault="00412741" w:rsidP="00412741">
      <w:pPr>
        <w:shd w:val="clear" w:color="auto" w:fill="FFFFFF"/>
        <w:tabs>
          <w:tab w:val="left" w:pos="-4962"/>
        </w:tabs>
        <w:jc w:val="both"/>
        <w:rPr>
          <w:sz w:val="20"/>
          <w:szCs w:val="20"/>
        </w:rPr>
      </w:pPr>
      <w:r w:rsidRPr="008B6A75">
        <w:rPr>
          <w:sz w:val="20"/>
          <w:szCs w:val="20"/>
        </w:rPr>
        <w:t xml:space="preserve">4.  Определить местонахождение комиссии по адресу: Новосибирская область, город Куйбышев, ул. Краскома,37, почтовый индекс 632387, контактный телефон 8-383-62-51-744, адрес электронной почты </w:t>
      </w:r>
      <w:hyperlink r:id="rId30" w:history="1">
        <w:proofErr w:type="gramStart"/>
        <w:r w:rsidRPr="008B6A75">
          <w:rPr>
            <w:rStyle w:val="afa"/>
            <w:sz w:val="20"/>
            <w:szCs w:val="20"/>
            <w:lang w:val="en-US"/>
          </w:rPr>
          <w:t>ozo</w:t>
        </w:r>
        <w:r w:rsidRPr="008B6A75">
          <w:rPr>
            <w:rStyle w:val="afa"/>
            <w:sz w:val="20"/>
            <w:szCs w:val="20"/>
          </w:rPr>
          <w:t>54@</w:t>
        </w:r>
        <w:r w:rsidRPr="008B6A75">
          <w:rPr>
            <w:rStyle w:val="afa"/>
            <w:sz w:val="20"/>
            <w:szCs w:val="20"/>
            <w:lang w:val="en-US"/>
          </w:rPr>
          <w:t>mail</w:t>
        </w:r>
        <w:r w:rsidRPr="008B6A75">
          <w:rPr>
            <w:rStyle w:val="afa"/>
            <w:sz w:val="20"/>
            <w:szCs w:val="20"/>
          </w:rPr>
          <w:t>.</w:t>
        </w:r>
        <w:proofErr w:type="spellStart"/>
        <w:r w:rsidRPr="008B6A75">
          <w:rPr>
            <w:rStyle w:val="afa"/>
            <w:sz w:val="20"/>
            <w:szCs w:val="20"/>
            <w:lang w:val="en-US"/>
          </w:rPr>
          <w:t>ru</w:t>
        </w:r>
        <w:proofErr w:type="spellEnd"/>
      </w:hyperlink>
      <w:r w:rsidRPr="008B6A75">
        <w:rPr>
          <w:sz w:val="20"/>
          <w:szCs w:val="20"/>
        </w:rPr>
        <w:t xml:space="preserve"> .</w:t>
      </w:r>
      <w:proofErr w:type="gramEnd"/>
      <w:r w:rsidRPr="008B6A75">
        <w:rPr>
          <w:sz w:val="20"/>
          <w:szCs w:val="20"/>
        </w:rPr>
        <w:t xml:space="preserve"> </w:t>
      </w:r>
    </w:p>
    <w:p w14:paraId="1886D907" w14:textId="77777777" w:rsidR="00412741" w:rsidRPr="008B6A75" w:rsidRDefault="00412741" w:rsidP="00412741">
      <w:pPr>
        <w:widowControl w:val="0"/>
        <w:autoSpaceDE w:val="0"/>
        <w:autoSpaceDN w:val="0"/>
        <w:adjustRightInd w:val="0"/>
        <w:ind w:firstLine="708"/>
        <w:jc w:val="both"/>
        <w:rPr>
          <w:sz w:val="20"/>
          <w:szCs w:val="20"/>
        </w:rPr>
      </w:pPr>
      <w:r w:rsidRPr="008B6A75">
        <w:rPr>
          <w:sz w:val="20"/>
          <w:szCs w:val="20"/>
        </w:rPr>
        <w:t xml:space="preserve">5. Сведения о месте размещения проекта решения о предоставлении разрешения на условно разрешенный вид использования земельного участка по адресу: Новосибирская область, Куйбышевский район, аул </w:t>
      </w:r>
      <w:proofErr w:type="spellStart"/>
      <w:r w:rsidRPr="008B6A75">
        <w:rPr>
          <w:sz w:val="20"/>
          <w:szCs w:val="20"/>
        </w:rPr>
        <w:t>Шагир</w:t>
      </w:r>
      <w:proofErr w:type="spellEnd"/>
      <w:r w:rsidRPr="008B6A75">
        <w:rPr>
          <w:sz w:val="20"/>
          <w:szCs w:val="20"/>
        </w:rPr>
        <w:t>:</w:t>
      </w:r>
    </w:p>
    <w:p w14:paraId="08409745" w14:textId="77777777" w:rsidR="00412741" w:rsidRPr="008B6A75" w:rsidRDefault="00412741" w:rsidP="00412741">
      <w:pPr>
        <w:widowControl w:val="0"/>
        <w:autoSpaceDE w:val="0"/>
        <w:autoSpaceDN w:val="0"/>
        <w:adjustRightInd w:val="0"/>
        <w:ind w:firstLine="708"/>
        <w:jc w:val="both"/>
        <w:rPr>
          <w:bCs/>
          <w:sz w:val="20"/>
          <w:szCs w:val="20"/>
        </w:rPr>
      </w:pPr>
      <w:r w:rsidRPr="008B6A75">
        <w:rPr>
          <w:sz w:val="20"/>
          <w:szCs w:val="20"/>
        </w:rPr>
        <w:t xml:space="preserve">проект решения будет </w:t>
      </w:r>
      <w:r w:rsidRPr="008B6A75">
        <w:rPr>
          <w:bCs/>
          <w:sz w:val="20"/>
          <w:szCs w:val="20"/>
        </w:rPr>
        <w:t>размещен  14.11.2022 в периодическом печатном издании органов местного самоуправления Куйбышевского муниципального района Новосибирской области «Информационный вестник»</w:t>
      </w:r>
      <w:r w:rsidRPr="008B6A75">
        <w:rPr>
          <w:bCs/>
          <w:color w:val="000000"/>
          <w:sz w:val="20"/>
          <w:szCs w:val="20"/>
        </w:rPr>
        <w:t>, на</w:t>
      </w:r>
      <w:r w:rsidRPr="008B6A75">
        <w:rPr>
          <w:bCs/>
          <w:sz w:val="20"/>
          <w:szCs w:val="20"/>
        </w:rPr>
        <w:t xml:space="preserve"> официальном сайте администрации Куйбышевского муниципального района Новосибирской области </w:t>
      </w:r>
      <w:hyperlink r:id="rId31" w:history="1">
        <w:r w:rsidRPr="008B6A75">
          <w:rPr>
            <w:rStyle w:val="afa"/>
            <w:bCs/>
            <w:sz w:val="20"/>
            <w:szCs w:val="20"/>
          </w:rPr>
          <w:t>www.kuibyshev.nso.ru</w:t>
        </w:r>
      </w:hyperlink>
      <w:r w:rsidRPr="008B6A75">
        <w:rPr>
          <w:bCs/>
          <w:sz w:val="20"/>
          <w:szCs w:val="20"/>
        </w:rPr>
        <w:t>, на информационных стендах и в</w:t>
      </w:r>
      <w:r w:rsidRPr="008B6A75">
        <w:rPr>
          <w:sz w:val="20"/>
          <w:szCs w:val="20"/>
        </w:rPr>
        <w:t xml:space="preserve"> государственной информационной системе Новосибирской области  «Электронная демократия Новосибирской области» (http://www.dem.nso.ru/townplanningpage).</w:t>
      </w:r>
    </w:p>
    <w:p w14:paraId="30F7EE9C" w14:textId="77777777" w:rsidR="00412741" w:rsidRPr="008B6A75" w:rsidRDefault="00412741" w:rsidP="00412741">
      <w:pPr>
        <w:shd w:val="clear" w:color="auto" w:fill="FFFFFF"/>
        <w:tabs>
          <w:tab w:val="left" w:pos="-4962"/>
        </w:tabs>
        <w:jc w:val="both"/>
        <w:rPr>
          <w:sz w:val="20"/>
          <w:szCs w:val="20"/>
        </w:rPr>
      </w:pPr>
      <w:r w:rsidRPr="008B6A75">
        <w:rPr>
          <w:sz w:val="20"/>
          <w:szCs w:val="20"/>
        </w:rPr>
        <w:t xml:space="preserve">6. Комиссии: </w:t>
      </w:r>
    </w:p>
    <w:p w14:paraId="3289A785" w14:textId="77777777" w:rsidR="00412741" w:rsidRPr="008B6A75" w:rsidRDefault="00412741" w:rsidP="00412741">
      <w:pPr>
        <w:shd w:val="clear" w:color="auto" w:fill="FFFFFF"/>
        <w:tabs>
          <w:tab w:val="left" w:pos="-4962"/>
        </w:tabs>
        <w:jc w:val="both"/>
        <w:rPr>
          <w:sz w:val="20"/>
          <w:szCs w:val="20"/>
        </w:rPr>
      </w:pPr>
      <w:r w:rsidRPr="008B6A75">
        <w:rPr>
          <w:sz w:val="20"/>
          <w:szCs w:val="20"/>
        </w:rPr>
        <w:t xml:space="preserve">1) провести общественные обсуждения в следующие сроки: с 07.11.2022 (дата опубликования оповещения о начале общественных обсуждений) до 21.11.2022 (дата опубликования заключения о результатах общественных обсуждений). </w:t>
      </w:r>
    </w:p>
    <w:p w14:paraId="65EC72C7" w14:textId="77777777" w:rsidR="00412741" w:rsidRPr="008B6A75" w:rsidRDefault="00412741" w:rsidP="00412741">
      <w:pPr>
        <w:shd w:val="clear" w:color="auto" w:fill="FFFFFF"/>
        <w:tabs>
          <w:tab w:val="left" w:pos="-4962"/>
        </w:tabs>
        <w:jc w:val="both"/>
        <w:rPr>
          <w:sz w:val="20"/>
          <w:szCs w:val="20"/>
        </w:rPr>
      </w:pPr>
      <w:r w:rsidRPr="008B6A75">
        <w:rPr>
          <w:sz w:val="20"/>
          <w:szCs w:val="20"/>
        </w:rPr>
        <w:t xml:space="preserve">2) подготовить оповещение о начале общественных обсуждений и организовать опубликование (обнародование) оповещения о начале общественных обсуждений </w:t>
      </w:r>
      <w:r w:rsidRPr="008B6A75">
        <w:rPr>
          <w:bCs/>
          <w:sz w:val="20"/>
          <w:szCs w:val="20"/>
        </w:rPr>
        <w:t xml:space="preserve">в периодическом печатном издании органов местного самоуправления Куйбышевского муниципального района Новосибирской области «Информационный вестник», на официальном сайте администрации Куйбышевского муниципального района Новосибирской области </w:t>
      </w:r>
      <w:hyperlink r:id="rId32" w:history="1">
        <w:r w:rsidRPr="008B6A75">
          <w:rPr>
            <w:rStyle w:val="afa"/>
            <w:bCs/>
            <w:sz w:val="20"/>
            <w:szCs w:val="20"/>
          </w:rPr>
          <w:t>www.kuibyshev.nso.ru</w:t>
        </w:r>
      </w:hyperlink>
      <w:r w:rsidRPr="008B6A75">
        <w:rPr>
          <w:bCs/>
          <w:sz w:val="20"/>
          <w:szCs w:val="20"/>
        </w:rPr>
        <w:t>, на информационных стендах не позднее чем за семь дней до дня размещения проекта в</w:t>
      </w:r>
      <w:r w:rsidRPr="008B6A75">
        <w:rPr>
          <w:sz w:val="20"/>
          <w:szCs w:val="20"/>
        </w:rPr>
        <w:t xml:space="preserve"> государственной информационной системе Новосибирской области  «Электронная демократия Новосибирской области» (далее – информационная система).  </w:t>
      </w:r>
    </w:p>
    <w:p w14:paraId="3AFC37DA" w14:textId="77777777" w:rsidR="00412741" w:rsidRPr="008B6A75" w:rsidRDefault="00412741" w:rsidP="00412741">
      <w:pPr>
        <w:shd w:val="clear" w:color="auto" w:fill="FFFFFF"/>
        <w:tabs>
          <w:tab w:val="left" w:pos="-4962"/>
        </w:tabs>
        <w:jc w:val="both"/>
        <w:rPr>
          <w:sz w:val="20"/>
          <w:szCs w:val="20"/>
        </w:rPr>
      </w:pPr>
      <w:r w:rsidRPr="008B6A75">
        <w:rPr>
          <w:sz w:val="20"/>
          <w:szCs w:val="20"/>
        </w:rPr>
        <w:t xml:space="preserve">3) разместить проект решения и информационные материалы к ним в информационной системе. </w:t>
      </w:r>
    </w:p>
    <w:p w14:paraId="78F76DD3" w14:textId="77777777" w:rsidR="00412741" w:rsidRPr="008B6A75" w:rsidRDefault="00412741" w:rsidP="00412741">
      <w:pPr>
        <w:shd w:val="clear" w:color="auto" w:fill="FFFFFF"/>
        <w:tabs>
          <w:tab w:val="left" w:pos="-4962"/>
        </w:tabs>
        <w:jc w:val="both"/>
        <w:rPr>
          <w:sz w:val="20"/>
          <w:szCs w:val="20"/>
        </w:rPr>
      </w:pPr>
      <w:r w:rsidRPr="008B6A75">
        <w:rPr>
          <w:sz w:val="20"/>
          <w:szCs w:val="20"/>
        </w:rPr>
        <w:t>4) предложить участникам общественных обсуждений, определенным законодательством о градостроительной деятельности и прошедшим идентификацию в соответствии с данным законодательством, в течение семи дней со дня размещения проекта и информационных материалов к нему внести в комиссию предложения и замечания, касающиеся проектов.</w:t>
      </w:r>
    </w:p>
    <w:p w14:paraId="473D2A5E" w14:textId="77777777" w:rsidR="00412741" w:rsidRPr="008B6A75" w:rsidRDefault="00412741" w:rsidP="00412741">
      <w:pPr>
        <w:shd w:val="clear" w:color="auto" w:fill="FFFFFF"/>
        <w:tabs>
          <w:tab w:val="left" w:pos="-4962"/>
        </w:tabs>
        <w:jc w:val="both"/>
        <w:rPr>
          <w:sz w:val="20"/>
          <w:szCs w:val="20"/>
        </w:rPr>
      </w:pPr>
      <w:r w:rsidRPr="008B6A75">
        <w:rPr>
          <w:sz w:val="20"/>
          <w:szCs w:val="20"/>
        </w:rPr>
        <w:t xml:space="preserve"> 5) в течение срока, указанного в подпункте 4 пункта 6 настоящего постановления: осуществлять регистрацию и рассмотрение предложений и замечаний, вносимых участниками общественных обсуждений.</w:t>
      </w:r>
    </w:p>
    <w:p w14:paraId="108F3596" w14:textId="77777777" w:rsidR="00412741" w:rsidRPr="008B6A75" w:rsidRDefault="00412741" w:rsidP="00412741">
      <w:pPr>
        <w:shd w:val="clear" w:color="auto" w:fill="FFFFFF"/>
        <w:tabs>
          <w:tab w:val="left" w:pos="-4962"/>
        </w:tabs>
        <w:jc w:val="both"/>
        <w:rPr>
          <w:sz w:val="20"/>
          <w:szCs w:val="20"/>
        </w:rPr>
      </w:pPr>
      <w:r w:rsidRPr="008B6A75">
        <w:rPr>
          <w:sz w:val="20"/>
          <w:szCs w:val="20"/>
        </w:rPr>
        <w:t xml:space="preserve">7. Провести экспозицию проекта, подлежащего рассмотрению на общественных обсуждениях. </w:t>
      </w:r>
    </w:p>
    <w:p w14:paraId="6107825F" w14:textId="77777777" w:rsidR="00412741" w:rsidRPr="008B6A75" w:rsidRDefault="00412741" w:rsidP="00412741">
      <w:pPr>
        <w:shd w:val="clear" w:color="auto" w:fill="FFFFFF"/>
        <w:tabs>
          <w:tab w:val="left" w:pos="-4962"/>
          <w:tab w:val="left" w:pos="7104"/>
        </w:tabs>
        <w:ind w:left="-26" w:firstLine="735"/>
        <w:jc w:val="both"/>
        <w:rPr>
          <w:sz w:val="20"/>
          <w:szCs w:val="20"/>
        </w:rPr>
      </w:pPr>
      <w:r w:rsidRPr="008B6A75">
        <w:rPr>
          <w:sz w:val="20"/>
          <w:szCs w:val="20"/>
        </w:rPr>
        <w:t>8. Управлению делами администрации Куйбышевского муниципального района Новосибирской области (Орлова Л.В.) опубликовать настоящее постановление в периодическом печатном издании органов местного самоуправления Куйбышевского муниципального района Новосибирской области «Информационный вестник» и на официальном сайте администрации Куйбышевского муниципального района Новосибирской области в телекоммуникационной сети «Интернет».</w:t>
      </w:r>
    </w:p>
    <w:p w14:paraId="78217044" w14:textId="77777777" w:rsidR="00412741" w:rsidRPr="008B6A75" w:rsidRDefault="00412741" w:rsidP="00412741">
      <w:pPr>
        <w:shd w:val="clear" w:color="auto" w:fill="FFFFFF"/>
        <w:tabs>
          <w:tab w:val="left" w:pos="-4962"/>
          <w:tab w:val="left" w:pos="7104"/>
        </w:tabs>
        <w:ind w:left="-26" w:firstLine="735"/>
        <w:jc w:val="both"/>
        <w:rPr>
          <w:sz w:val="20"/>
          <w:szCs w:val="20"/>
        </w:rPr>
      </w:pPr>
      <w:r w:rsidRPr="008B6A75">
        <w:rPr>
          <w:sz w:val="20"/>
          <w:szCs w:val="20"/>
        </w:rPr>
        <w:t xml:space="preserve">9. Контроль за исполнением настоящего постановления возложить на начальника управления строительства коммунального, дорожного хозяйства и транспорта администрации Куйбышевского муниципального района Новосибирской области С.Ф. </w:t>
      </w:r>
      <w:proofErr w:type="spellStart"/>
      <w:r w:rsidRPr="008B6A75">
        <w:rPr>
          <w:sz w:val="20"/>
          <w:szCs w:val="20"/>
        </w:rPr>
        <w:t>Ильюхина</w:t>
      </w:r>
      <w:proofErr w:type="spellEnd"/>
      <w:r w:rsidRPr="008B6A75">
        <w:rPr>
          <w:sz w:val="20"/>
          <w:szCs w:val="20"/>
        </w:rPr>
        <w:t>.</w:t>
      </w:r>
      <w:r w:rsidRPr="008B6A75">
        <w:rPr>
          <w:sz w:val="20"/>
          <w:szCs w:val="20"/>
          <w:lang w:val="en-US"/>
        </w:rPr>
        <w:t> </w:t>
      </w:r>
    </w:p>
    <w:p w14:paraId="35DCE746" w14:textId="77777777" w:rsidR="00412741" w:rsidRPr="008B6A75" w:rsidRDefault="00412741" w:rsidP="00412741">
      <w:pPr>
        <w:shd w:val="clear" w:color="auto" w:fill="FFFFFF"/>
        <w:tabs>
          <w:tab w:val="left" w:pos="-4962"/>
          <w:tab w:val="left" w:pos="7104"/>
        </w:tabs>
        <w:ind w:left="-26" w:firstLine="735"/>
        <w:jc w:val="both"/>
        <w:rPr>
          <w:sz w:val="20"/>
          <w:szCs w:val="20"/>
        </w:rPr>
      </w:pPr>
    </w:p>
    <w:p w14:paraId="4AC18184" w14:textId="77777777" w:rsidR="00412741" w:rsidRPr="008B6A75" w:rsidRDefault="00412741" w:rsidP="00412741">
      <w:pPr>
        <w:widowControl w:val="0"/>
        <w:shd w:val="clear" w:color="auto" w:fill="FFFFFF"/>
        <w:tabs>
          <w:tab w:val="left" w:pos="994"/>
        </w:tabs>
        <w:autoSpaceDE w:val="0"/>
        <w:autoSpaceDN w:val="0"/>
        <w:adjustRightInd w:val="0"/>
        <w:ind w:left="-26" w:firstLine="26"/>
        <w:rPr>
          <w:sz w:val="20"/>
          <w:szCs w:val="20"/>
        </w:rPr>
      </w:pPr>
      <w:r w:rsidRPr="008B6A75">
        <w:rPr>
          <w:sz w:val="20"/>
          <w:szCs w:val="20"/>
        </w:rPr>
        <w:t>Глава Куйбышевского муниципального</w:t>
      </w:r>
    </w:p>
    <w:p w14:paraId="7C928635" w14:textId="779A5280" w:rsidR="00412741" w:rsidRPr="008B6A75" w:rsidRDefault="00412741" w:rsidP="00412741">
      <w:pPr>
        <w:widowControl w:val="0"/>
        <w:shd w:val="clear" w:color="auto" w:fill="FFFFFF"/>
        <w:tabs>
          <w:tab w:val="left" w:pos="994"/>
        </w:tabs>
        <w:autoSpaceDE w:val="0"/>
        <w:autoSpaceDN w:val="0"/>
        <w:adjustRightInd w:val="0"/>
        <w:ind w:left="-26" w:firstLine="26"/>
        <w:rPr>
          <w:sz w:val="20"/>
          <w:szCs w:val="20"/>
        </w:rPr>
      </w:pPr>
      <w:r w:rsidRPr="008B6A75">
        <w:rPr>
          <w:sz w:val="20"/>
          <w:szCs w:val="20"/>
        </w:rPr>
        <w:t xml:space="preserve">района Новосибирской области </w:t>
      </w:r>
      <w:r w:rsidRPr="008B6A75">
        <w:rPr>
          <w:sz w:val="20"/>
          <w:szCs w:val="20"/>
        </w:rPr>
        <w:tab/>
        <w:t xml:space="preserve">                            </w:t>
      </w:r>
      <w:r w:rsidR="00AB2803" w:rsidRPr="008B6A75">
        <w:rPr>
          <w:sz w:val="20"/>
          <w:szCs w:val="20"/>
        </w:rPr>
        <w:t xml:space="preserve">                                                            </w:t>
      </w:r>
      <w:r w:rsidRPr="008B6A75">
        <w:rPr>
          <w:sz w:val="20"/>
          <w:szCs w:val="20"/>
        </w:rPr>
        <w:t xml:space="preserve">                                О.В. Караваев</w:t>
      </w:r>
    </w:p>
    <w:p w14:paraId="1C33969E" w14:textId="77777777" w:rsidR="00412741" w:rsidRPr="008B6A75" w:rsidRDefault="00412741" w:rsidP="00412741">
      <w:pPr>
        <w:widowControl w:val="0"/>
        <w:shd w:val="clear" w:color="auto" w:fill="FFFFFF"/>
        <w:tabs>
          <w:tab w:val="left" w:pos="994"/>
        </w:tabs>
        <w:autoSpaceDE w:val="0"/>
        <w:autoSpaceDN w:val="0"/>
        <w:adjustRightInd w:val="0"/>
        <w:ind w:left="-26" w:firstLine="26"/>
        <w:rPr>
          <w:sz w:val="20"/>
          <w:szCs w:val="20"/>
        </w:rPr>
      </w:pPr>
    </w:p>
    <w:p w14:paraId="0225EC84" w14:textId="77777777" w:rsidR="00412741" w:rsidRPr="008B6A75" w:rsidRDefault="00412741" w:rsidP="00412741">
      <w:pPr>
        <w:widowControl w:val="0"/>
        <w:shd w:val="clear" w:color="auto" w:fill="FFFFFF"/>
        <w:tabs>
          <w:tab w:val="left" w:pos="994"/>
        </w:tabs>
        <w:autoSpaceDE w:val="0"/>
        <w:autoSpaceDN w:val="0"/>
        <w:adjustRightInd w:val="0"/>
        <w:ind w:left="-26" w:firstLine="26"/>
        <w:rPr>
          <w:sz w:val="20"/>
          <w:szCs w:val="20"/>
        </w:rPr>
      </w:pPr>
    </w:p>
    <w:p w14:paraId="03EF3183" w14:textId="77777777" w:rsidR="00412741" w:rsidRPr="008B6A75" w:rsidRDefault="00412741" w:rsidP="00412741">
      <w:pPr>
        <w:widowControl w:val="0"/>
        <w:shd w:val="clear" w:color="auto" w:fill="FFFFFF"/>
        <w:tabs>
          <w:tab w:val="left" w:pos="994"/>
        </w:tabs>
        <w:autoSpaceDE w:val="0"/>
        <w:autoSpaceDN w:val="0"/>
        <w:adjustRightInd w:val="0"/>
        <w:ind w:left="-26" w:firstLine="26"/>
        <w:rPr>
          <w:sz w:val="20"/>
          <w:szCs w:val="20"/>
        </w:rPr>
      </w:pPr>
    </w:p>
    <w:p w14:paraId="0A4B32DB" w14:textId="77777777" w:rsidR="00412741" w:rsidRPr="008B6A75" w:rsidRDefault="00412741" w:rsidP="00412741">
      <w:pPr>
        <w:widowControl w:val="0"/>
        <w:shd w:val="clear" w:color="auto" w:fill="FFFFFF"/>
        <w:tabs>
          <w:tab w:val="left" w:pos="994"/>
        </w:tabs>
        <w:autoSpaceDE w:val="0"/>
        <w:autoSpaceDN w:val="0"/>
        <w:adjustRightInd w:val="0"/>
        <w:ind w:left="-26" w:firstLine="26"/>
        <w:rPr>
          <w:sz w:val="20"/>
          <w:szCs w:val="20"/>
        </w:rPr>
      </w:pPr>
    </w:p>
    <w:p w14:paraId="365DD9C2" w14:textId="77777777" w:rsidR="00412741" w:rsidRPr="008B6A75" w:rsidRDefault="00412741" w:rsidP="00412741">
      <w:pPr>
        <w:jc w:val="center"/>
        <w:rPr>
          <w:sz w:val="20"/>
          <w:szCs w:val="20"/>
        </w:rPr>
      </w:pPr>
      <w:r w:rsidRPr="008B6A75">
        <w:rPr>
          <w:sz w:val="20"/>
          <w:szCs w:val="20"/>
        </w:rPr>
        <w:t xml:space="preserve">ГЛАВА </w:t>
      </w:r>
    </w:p>
    <w:p w14:paraId="4977B062" w14:textId="77777777" w:rsidR="00412741" w:rsidRPr="008B6A75" w:rsidRDefault="00412741" w:rsidP="00412741">
      <w:pPr>
        <w:jc w:val="center"/>
        <w:rPr>
          <w:sz w:val="20"/>
          <w:szCs w:val="20"/>
        </w:rPr>
      </w:pPr>
      <w:r w:rsidRPr="008B6A75">
        <w:rPr>
          <w:sz w:val="20"/>
          <w:szCs w:val="20"/>
        </w:rPr>
        <w:t>КУЙБЫШЕВСКОГО МУНИЦИПАЛЬНОГО РАЙОНА</w:t>
      </w:r>
    </w:p>
    <w:p w14:paraId="0FB66F54" w14:textId="77777777" w:rsidR="00412741" w:rsidRPr="008B6A75" w:rsidRDefault="00412741" w:rsidP="00412741">
      <w:pPr>
        <w:jc w:val="center"/>
        <w:rPr>
          <w:sz w:val="20"/>
          <w:szCs w:val="20"/>
        </w:rPr>
      </w:pPr>
      <w:r w:rsidRPr="008B6A75">
        <w:rPr>
          <w:sz w:val="20"/>
          <w:szCs w:val="20"/>
        </w:rPr>
        <w:t>НОВОСИБИРСКОЙ ОБЛАСТИ</w:t>
      </w:r>
    </w:p>
    <w:p w14:paraId="64D9A72E" w14:textId="77777777" w:rsidR="00412741" w:rsidRPr="008B6A75" w:rsidRDefault="00412741" w:rsidP="00412741">
      <w:pPr>
        <w:jc w:val="center"/>
        <w:rPr>
          <w:sz w:val="20"/>
          <w:szCs w:val="20"/>
        </w:rPr>
      </w:pPr>
    </w:p>
    <w:p w14:paraId="0CEF7C5C" w14:textId="77777777" w:rsidR="00412741" w:rsidRPr="008B6A75" w:rsidRDefault="00412741" w:rsidP="00412741">
      <w:pPr>
        <w:pStyle w:val="30"/>
        <w:rPr>
          <w:b w:val="0"/>
          <w:sz w:val="20"/>
        </w:rPr>
      </w:pPr>
      <w:r w:rsidRPr="008B6A75">
        <w:rPr>
          <w:b w:val="0"/>
          <w:sz w:val="20"/>
        </w:rPr>
        <w:t>ПОСТАНОВЛЕНИЕ</w:t>
      </w:r>
    </w:p>
    <w:p w14:paraId="5A82976F" w14:textId="77777777" w:rsidR="00412741" w:rsidRPr="008B6A75" w:rsidRDefault="00412741" w:rsidP="00412741">
      <w:pPr>
        <w:rPr>
          <w:sz w:val="20"/>
          <w:szCs w:val="20"/>
        </w:rPr>
      </w:pPr>
    </w:p>
    <w:p w14:paraId="5EF85823" w14:textId="77777777" w:rsidR="00412741" w:rsidRPr="008B6A75" w:rsidRDefault="00412741" w:rsidP="00412741">
      <w:pPr>
        <w:jc w:val="center"/>
        <w:rPr>
          <w:sz w:val="20"/>
          <w:szCs w:val="20"/>
        </w:rPr>
      </w:pPr>
      <w:r w:rsidRPr="008B6A75">
        <w:rPr>
          <w:sz w:val="20"/>
          <w:szCs w:val="20"/>
        </w:rPr>
        <w:t>г. Куйбышев</w:t>
      </w:r>
    </w:p>
    <w:p w14:paraId="785A163F" w14:textId="77777777" w:rsidR="00412741" w:rsidRPr="008B6A75" w:rsidRDefault="00412741" w:rsidP="00412741">
      <w:pPr>
        <w:jc w:val="center"/>
        <w:rPr>
          <w:sz w:val="20"/>
          <w:szCs w:val="20"/>
        </w:rPr>
      </w:pPr>
      <w:r w:rsidRPr="008B6A75">
        <w:rPr>
          <w:sz w:val="20"/>
          <w:szCs w:val="20"/>
        </w:rPr>
        <w:t>Новосибирская область</w:t>
      </w:r>
    </w:p>
    <w:p w14:paraId="33145F6E" w14:textId="77777777" w:rsidR="00412741" w:rsidRPr="008B6A75" w:rsidRDefault="00412741" w:rsidP="00412741">
      <w:pPr>
        <w:rPr>
          <w:sz w:val="20"/>
          <w:szCs w:val="20"/>
        </w:rPr>
      </w:pPr>
    </w:p>
    <w:p w14:paraId="2F9DD235" w14:textId="77777777" w:rsidR="00412741" w:rsidRPr="008B6A75" w:rsidRDefault="00412741" w:rsidP="00412741">
      <w:pPr>
        <w:jc w:val="center"/>
        <w:rPr>
          <w:sz w:val="20"/>
          <w:szCs w:val="20"/>
        </w:rPr>
      </w:pPr>
      <w:r w:rsidRPr="008B6A75">
        <w:rPr>
          <w:sz w:val="20"/>
          <w:szCs w:val="20"/>
        </w:rPr>
        <w:t>03.11.2022 № 861</w:t>
      </w:r>
    </w:p>
    <w:p w14:paraId="54960D86" w14:textId="77777777" w:rsidR="00412741" w:rsidRPr="008B6A75" w:rsidRDefault="00412741" w:rsidP="00412741">
      <w:pPr>
        <w:pStyle w:val="aff8"/>
        <w:tabs>
          <w:tab w:val="left" w:pos="5415"/>
        </w:tabs>
        <w:rPr>
          <w:sz w:val="20"/>
          <w:szCs w:val="20"/>
        </w:rPr>
      </w:pPr>
      <w:r w:rsidRPr="008B6A75">
        <w:rPr>
          <w:sz w:val="20"/>
          <w:szCs w:val="20"/>
        </w:rPr>
        <w:tab/>
      </w:r>
    </w:p>
    <w:p w14:paraId="1B91B874" w14:textId="77777777" w:rsidR="00412741" w:rsidRPr="008B6A75" w:rsidRDefault="00412741" w:rsidP="00412741">
      <w:pPr>
        <w:shd w:val="clear" w:color="auto" w:fill="FFFFFF"/>
        <w:tabs>
          <w:tab w:val="left" w:leader="dot" w:pos="-4962"/>
        </w:tabs>
        <w:jc w:val="center"/>
        <w:rPr>
          <w:spacing w:val="-16"/>
          <w:sz w:val="20"/>
          <w:szCs w:val="20"/>
        </w:rPr>
      </w:pPr>
      <w:r w:rsidRPr="008B6A75">
        <w:rPr>
          <w:sz w:val="20"/>
          <w:szCs w:val="20"/>
        </w:rPr>
        <w:t>О проведении общественных обсуждений по проекту решения о предоставлении разрешения на условно разрешенный вид использования земельного участка</w:t>
      </w:r>
    </w:p>
    <w:p w14:paraId="405E0DC3" w14:textId="77777777" w:rsidR="00412741" w:rsidRPr="008B6A75" w:rsidRDefault="00412741" w:rsidP="00412741">
      <w:pPr>
        <w:shd w:val="clear" w:color="auto" w:fill="FFFFFF"/>
        <w:tabs>
          <w:tab w:val="left" w:leader="underscore" w:pos="1853"/>
          <w:tab w:val="left" w:pos="4310"/>
          <w:tab w:val="left" w:leader="dot" w:pos="4651"/>
          <w:tab w:val="left" w:pos="7104"/>
        </w:tabs>
        <w:jc w:val="both"/>
        <w:rPr>
          <w:sz w:val="20"/>
          <w:szCs w:val="20"/>
        </w:rPr>
      </w:pPr>
    </w:p>
    <w:p w14:paraId="7342C096" w14:textId="77777777" w:rsidR="00412741" w:rsidRPr="008B6A75" w:rsidRDefault="00412741" w:rsidP="00412741">
      <w:pPr>
        <w:shd w:val="clear" w:color="auto" w:fill="FFFFFF"/>
        <w:tabs>
          <w:tab w:val="left" w:pos="-4962"/>
          <w:tab w:val="left" w:pos="7104"/>
        </w:tabs>
        <w:ind w:left="-26" w:firstLine="735"/>
        <w:jc w:val="both"/>
        <w:rPr>
          <w:sz w:val="20"/>
          <w:szCs w:val="20"/>
        </w:rPr>
      </w:pPr>
      <w:r w:rsidRPr="008B6A75">
        <w:rPr>
          <w:sz w:val="20"/>
          <w:szCs w:val="20"/>
        </w:rPr>
        <w:t xml:space="preserve">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решений о предоставлении разрешения на условно разрешенный вид использования земельных участков или объекта капитального строительства, в соответствии со статьями 5.1, 39 Градостроительного кодекса Российской Федерации, правилами землепользования и застройки Октябрьского сельсовета Куйбышевского района Новосибирской области, утвержденных решением двадцатой сессии Совета депутатов Куйбышевского района третьего созыва от 21.09.2017 № 8 «Об утверждении правил землепользования и застройки 4 сельских поселений, входящих в состав Куйбышевского района», Уставом Куйбышевского муниципального района Новосибирской области,  </w:t>
      </w:r>
    </w:p>
    <w:p w14:paraId="62E33705" w14:textId="77777777" w:rsidR="00412741" w:rsidRPr="008B6A75" w:rsidRDefault="00412741" w:rsidP="00412741">
      <w:pPr>
        <w:shd w:val="clear" w:color="auto" w:fill="FFFFFF"/>
        <w:tabs>
          <w:tab w:val="left" w:pos="-4962"/>
          <w:tab w:val="left" w:pos="3780"/>
        </w:tabs>
        <w:ind w:firstLine="735"/>
        <w:jc w:val="both"/>
        <w:rPr>
          <w:sz w:val="20"/>
          <w:szCs w:val="20"/>
        </w:rPr>
      </w:pPr>
      <w:r w:rsidRPr="008B6A75">
        <w:rPr>
          <w:caps/>
          <w:sz w:val="20"/>
          <w:szCs w:val="20"/>
        </w:rPr>
        <w:t>постановляЮ</w:t>
      </w:r>
      <w:r w:rsidRPr="008B6A75">
        <w:rPr>
          <w:sz w:val="20"/>
          <w:szCs w:val="20"/>
        </w:rPr>
        <w:t>:</w:t>
      </w:r>
      <w:r w:rsidRPr="008B6A75">
        <w:rPr>
          <w:sz w:val="20"/>
          <w:szCs w:val="20"/>
        </w:rPr>
        <w:tab/>
      </w:r>
    </w:p>
    <w:p w14:paraId="41C2B6D3" w14:textId="77777777" w:rsidR="00412741" w:rsidRPr="008B6A75" w:rsidRDefault="00412741" w:rsidP="00412741">
      <w:pPr>
        <w:autoSpaceDE w:val="0"/>
        <w:autoSpaceDN w:val="0"/>
        <w:adjustRightInd w:val="0"/>
        <w:jc w:val="both"/>
        <w:rPr>
          <w:sz w:val="20"/>
          <w:szCs w:val="20"/>
        </w:rPr>
      </w:pPr>
      <w:r w:rsidRPr="008B6A75">
        <w:rPr>
          <w:sz w:val="20"/>
          <w:szCs w:val="20"/>
        </w:rPr>
        <w:t xml:space="preserve">1. Провести общественные обсуждения по проекту решения о предоставлении разрешения на условно разрешенный вид использования земельного участка с кадастровым номером 54:34:010101:760 площадью 1000 </w:t>
      </w:r>
      <w:proofErr w:type="spellStart"/>
      <w:r w:rsidRPr="008B6A75">
        <w:rPr>
          <w:sz w:val="20"/>
          <w:szCs w:val="20"/>
        </w:rPr>
        <w:t>кв.м</w:t>
      </w:r>
      <w:proofErr w:type="spellEnd"/>
      <w:r w:rsidRPr="008B6A75">
        <w:rPr>
          <w:sz w:val="20"/>
          <w:szCs w:val="20"/>
        </w:rPr>
        <w:t xml:space="preserve">, расположенного по адресу (местоположение): Новосибирская область, Куйбышевский район, п. Заречный, ул. Озерная, в </w:t>
      </w:r>
      <w:r w:rsidRPr="008B6A75">
        <w:rPr>
          <w:color w:val="000000"/>
          <w:sz w:val="20"/>
          <w:szCs w:val="20"/>
        </w:rPr>
        <w:t>зоне производственной инфраструктуры (П)</w:t>
      </w:r>
      <w:r w:rsidRPr="008B6A75">
        <w:rPr>
          <w:sz w:val="20"/>
          <w:szCs w:val="20"/>
        </w:rPr>
        <w:t xml:space="preserve">  – </w:t>
      </w:r>
      <w:r w:rsidRPr="008B6A75">
        <w:rPr>
          <w:color w:val="000000"/>
          <w:sz w:val="20"/>
          <w:szCs w:val="20"/>
        </w:rPr>
        <w:t xml:space="preserve">Для индивидуального жилищного строительства </w:t>
      </w:r>
      <w:hyperlink r:id="rId33" w:history="1">
        <w:r w:rsidRPr="008B6A75">
          <w:rPr>
            <w:color w:val="000000"/>
            <w:sz w:val="20"/>
            <w:szCs w:val="20"/>
          </w:rPr>
          <w:t>(2.1)</w:t>
        </w:r>
      </w:hyperlink>
      <w:r w:rsidRPr="008B6A75">
        <w:rPr>
          <w:sz w:val="20"/>
          <w:szCs w:val="20"/>
        </w:rPr>
        <w:t>.</w:t>
      </w:r>
      <w:r w:rsidRPr="008B6A75">
        <w:rPr>
          <w:color w:val="000000"/>
          <w:sz w:val="20"/>
          <w:szCs w:val="20"/>
        </w:rPr>
        <w:t xml:space="preserve"> </w:t>
      </w:r>
    </w:p>
    <w:p w14:paraId="65EC87BA" w14:textId="77777777" w:rsidR="00412741" w:rsidRPr="008B6A75" w:rsidRDefault="00412741" w:rsidP="00372B96">
      <w:pPr>
        <w:numPr>
          <w:ilvl w:val="0"/>
          <w:numId w:val="22"/>
        </w:numPr>
        <w:shd w:val="clear" w:color="auto" w:fill="FFFFFF"/>
        <w:tabs>
          <w:tab w:val="left" w:pos="-4962"/>
        </w:tabs>
        <w:jc w:val="both"/>
        <w:rPr>
          <w:sz w:val="20"/>
          <w:szCs w:val="20"/>
        </w:rPr>
      </w:pPr>
      <w:r w:rsidRPr="008B6A75">
        <w:rPr>
          <w:sz w:val="20"/>
          <w:szCs w:val="20"/>
        </w:rPr>
        <w:t xml:space="preserve">Установить порядок проведения общественных обсуждений, состоящий из следующих этапов: </w:t>
      </w:r>
    </w:p>
    <w:p w14:paraId="3E1FEAEC" w14:textId="77777777" w:rsidR="00412741" w:rsidRPr="008B6A75" w:rsidRDefault="00412741" w:rsidP="00412741">
      <w:pPr>
        <w:shd w:val="clear" w:color="auto" w:fill="FFFFFF"/>
        <w:tabs>
          <w:tab w:val="left" w:pos="-4962"/>
        </w:tabs>
        <w:jc w:val="both"/>
        <w:rPr>
          <w:sz w:val="20"/>
          <w:szCs w:val="20"/>
        </w:rPr>
      </w:pPr>
      <w:r w:rsidRPr="008B6A75">
        <w:rPr>
          <w:sz w:val="20"/>
          <w:szCs w:val="20"/>
        </w:rPr>
        <w:t xml:space="preserve">оповещение о начале общественных обсуждений; </w:t>
      </w:r>
    </w:p>
    <w:p w14:paraId="69843F57" w14:textId="77777777" w:rsidR="00412741" w:rsidRPr="008B6A75" w:rsidRDefault="00412741" w:rsidP="00412741">
      <w:pPr>
        <w:shd w:val="clear" w:color="auto" w:fill="FFFFFF"/>
        <w:tabs>
          <w:tab w:val="left" w:pos="-4962"/>
        </w:tabs>
        <w:jc w:val="both"/>
        <w:rPr>
          <w:sz w:val="20"/>
          <w:szCs w:val="20"/>
        </w:rPr>
      </w:pPr>
      <w:r w:rsidRPr="008B6A75">
        <w:rPr>
          <w:sz w:val="20"/>
          <w:szCs w:val="20"/>
        </w:rPr>
        <w:t xml:space="preserve">размещение проектов, подлежащих рассмотрению на общественных обсуждениях, и информационных материалов и открытие экспозиции проекта; </w:t>
      </w:r>
    </w:p>
    <w:p w14:paraId="117EE41F" w14:textId="77777777" w:rsidR="00412741" w:rsidRPr="008B6A75" w:rsidRDefault="00412741" w:rsidP="00412741">
      <w:pPr>
        <w:shd w:val="clear" w:color="auto" w:fill="FFFFFF"/>
        <w:tabs>
          <w:tab w:val="left" w:pos="-4962"/>
        </w:tabs>
        <w:jc w:val="both"/>
        <w:rPr>
          <w:sz w:val="20"/>
          <w:szCs w:val="20"/>
        </w:rPr>
      </w:pPr>
      <w:r w:rsidRPr="008B6A75">
        <w:rPr>
          <w:sz w:val="20"/>
          <w:szCs w:val="20"/>
        </w:rPr>
        <w:t xml:space="preserve">проведение экспозиции или экспозиций проектов, подлежащих рассмотрению на общественных обсуждениях; </w:t>
      </w:r>
    </w:p>
    <w:p w14:paraId="4C0221DF" w14:textId="77777777" w:rsidR="00412741" w:rsidRPr="008B6A75" w:rsidRDefault="00412741" w:rsidP="00412741">
      <w:pPr>
        <w:shd w:val="clear" w:color="auto" w:fill="FFFFFF"/>
        <w:tabs>
          <w:tab w:val="left" w:pos="-4962"/>
        </w:tabs>
        <w:jc w:val="both"/>
        <w:rPr>
          <w:sz w:val="20"/>
          <w:szCs w:val="20"/>
        </w:rPr>
      </w:pPr>
      <w:r w:rsidRPr="008B6A75">
        <w:rPr>
          <w:sz w:val="20"/>
          <w:szCs w:val="20"/>
        </w:rPr>
        <w:t xml:space="preserve">подготовка и оформление протокола общественных обсуждений; </w:t>
      </w:r>
    </w:p>
    <w:p w14:paraId="08DA5317" w14:textId="77777777" w:rsidR="00412741" w:rsidRPr="008B6A75" w:rsidRDefault="00412741" w:rsidP="00412741">
      <w:pPr>
        <w:shd w:val="clear" w:color="auto" w:fill="FFFFFF"/>
        <w:tabs>
          <w:tab w:val="left" w:pos="-4962"/>
        </w:tabs>
        <w:jc w:val="both"/>
        <w:rPr>
          <w:sz w:val="20"/>
          <w:szCs w:val="20"/>
        </w:rPr>
      </w:pPr>
      <w:r w:rsidRPr="008B6A75">
        <w:rPr>
          <w:sz w:val="20"/>
          <w:szCs w:val="20"/>
        </w:rPr>
        <w:t xml:space="preserve">подготовка и опубликование заключения о результатах общественных обсуждений. </w:t>
      </w:r>
    </w:p>
    <w:p w14:paraId="3AB23C1F" w14:textId="77777777" w:rsidR="00412741" w:rsidRPr="008B6A75" w:rsidRDefault="00412741" w:rsidP="00412741">
      <w:pPr>
        <w:shd w:val="clear" w:color="auto" w:fill="FFFFFF"/>
        <w:tabs>
          <w:tab w:val="left" w:pos="-4962"/>
        </w:tabs>
        <w:jc w:val="both"/>
        <w:rPr>
          <w:sz w:val="20"/>
          <w:szCs w:val="20"/>
        </w:rPr>
      </w:pPr>
      <w:r w:rsidRPr="008B6A75">
        <w:rPr>
          <w:sz w:val="20"/>
          <w:szCs w:val="20"/>
        </w:rPr>
        <w:t>3.  Определить организатором общественных обсуждений комиссию по рассмотрению вопросов в сфере градостроительных и земельных отношений на территории сельских поселений Куйбышевского муниципального района Новосибирской области (далее – комиссия).</w:t>
      </w:r>
    </w:p>
    <w:p w14:paraId="62B955E3" w14:textId="77777777" w:rsidR="00412741" w:rsidRPr="008B6A75" w:rsidRDefault="00412741" w:rsidP="00412741">
      <w:pPr>
        <w:shd w:val="clear" w:color="auto" w:fill="FFFFFF"/>
        <w:tabs>
          <w:tab w:val="left" w:pos="-4962"/>
        </w:tabs>
        <w:jc w:val="both"/>
        <w:rPr>
          <w:sz w:val="20"/>
          <w:szCs w:val="20"/>
        </w:rPr>
      </w:pPr>
      <w:r w:rsidRPr="008B6A75">
        <w:rPr>
          <w:sz w:val="20"/>
          <w:szCs w:val="20"/>
        </w:rPr>
        <w:t xml:space="preserve">4.  Определить местонахождение комиссии по адресу: Новосибирская область, город Куйбышев, ул. </w:t>
      </w:r>
      <w:proofErr w:type="spellStart"/>
      <w:r w:rsidRPr="008B6A75">
        <w:rPr>
          <w:sz w:val="20"/>
          <w:szCs w:val="20"/>
        </w:rPr>
        <w:t>Краскома</w:t>
      </w:r>
      <w:proofErr w:type="spellEnd"/>
      <w:r w:rsidRPr="008B6A75">
        <w:rPr>
          <w:sz w:val="20"/>
          <w:szCs w:val="20"/>
        </w:rPr>
        <w:t xml:space="preserve">, 37, почтовый индекс 632387, контактный телефон 8-383-62-51-744, адрес электронной почты </w:t>
      </w:r>
      <w:hyperlink r:id="rId34" w:history="1">
        <w:proofErr w:type="gramStart"/>
        <w:r w:rsidRPr="008B6A75">
          <w:rPr>
            <w:color w:val="0000FF"/>
            <w:sz w:val="20"/>
            <w:szCs w:val="20"/>
            <w:u w:val="single"/>
            <w:lang w:val="en-US"/>
          </w:rPr>
          <w:t>ozo</w:t>
        </w:r>
        <w:r w:rsidRPr="008B6A75">
          <w:rPr>
            <w:color w:val="0000FF"/>
            <w:sz w:val="20"/>
            <w:szCs w:val="20"/>
            <w:u w:val="single"/>
          </w:rPr>
          <w:t>54@</w:t>
        </w:r>
        <w:r w:rsidRPr="008B6A75">
          <w:rPr>
            <w:color w:val="0000FF"/>
            <w:sz w:val="20"/>
            <w:szCs w:val="20"/>
            <w:u w:val="single"/>
            <w:lang w:val="en-US"/>
          </w:rPr>
          <w:t>mail</w:t>
        </w:r>
        <w:r w:rsidRPr="008B6A75">
          <w:rPr>
            <w:color w:val="0000FF"/>
            <w:sz w:val="20"/>
            <w:szCs w:val="20"/>
            <w:u w:val="single"/>
          </w:rPr>
          <w:t>.</w:t>
        </w:r>
        <w:proofErr w:type="spellStart"/>
        <w:r w:rsidRPr="008B6A75">
          <w:rPr>
            <w:color w:val="0000FF"/>
            <w:sz w:val="20"/>
            <w:szCs w:val="20"/>
            <w:u w:val="single"/>
            <w:lang w:val="en-US"/>
          </w:rPr>
          <w:t>ru</w:t>
        </w:r>
        <w:proofErr w:type="spellEnd"/>
      </w:hyperlink>
      <w:r w:rsidRPr="008B6A75">
        <w:rPr>
          <w:sz w:val="20"/>
          <w:szCs w:val="20"/>
        </w:rPr>
        <w:t xml:space="preserve"> .</w:t>
      </w:r>
      <w:proofErr w:type="gramEnd"/>
      <w:r w:rsidRPr="008B6A75">
        <w:rPr>
          <w:sz w:val="20"/>
          <w:szCs w:val="20"/>
        </w:rPr>
        <w:t xml:space="preserve"> </w:t>
      </w:r>
    </w:p>
    <w:p w14:paraId="7B20E37E" w14:textId="77777777" w:rsidR="00412741" w:rsidRPr="008B6A75" w:rsidRDefault="00412741" w:rsidP="00412741">
      <w:pPr>
        <w:widowControl w:val="0"/>
        <w:autoSpaceDE w:val="0"/>
        <w:autoSpaceDN w:val="0"/>
        <w:adjustRightInd w:val="0"/>
        <w:ind w:firstLine="708"/>
        <w:jc w:val="both"/>
        <w:rPr>
          <w:sz w:val="20"/>
          <w:szCs w:val="20"/>
        </w:rPr>
      </w:pPr>
      <w:r w:rsidRPr="008B6A75">
        <w:rPr>
          <w:sz w:val="20"/>
          <w:szCs w:val="20"/>
        </w:rPr>
        <w:t>5. Сведения о месте размещения проекта решения о предоставлении разрешения на условно разрешенный вид использования земельного участка по адресу: Новосибирская область, Куйбышевский район, п. Заречный, ул. Озерная:</w:t>
      </w:r>
    </w:p>
    <w:p w14:paraId="37C4468B" w14:textId="77777777" w:rsidR="00412741" w:rsidRPr="008B6A75" w:rsidRDefault="00412741" w:rsidP="00412741">
      <w:pPr>
        <w:widowControl w:val="0"/>
        <w:autoSpaceDE w:val="0"/>
        <w:autoSpaceDN w:val="0"/>
        <w:adjustRightInd w:val="0"/>
        <w:ind w:firstLine="708"/>
        <w:jc w:val="both"/>
        <w:rPr>
          <w:bCs/>
          <w:sz w:val="20"/>
          <w:szCs w:val="20"/>
        </w:rPr>
      </w:pPr>
      <w:r w:rsidRPr="008B6A75">
        <w:rPr>
          <w:sz w:val="20"/>
          <w:szCs w:val="20"/>
        </w:rPr>
        <w:t xml:space="preserve">проект решения будет </w:t>
      </w:r>
      <w:r w:rsidRPr="008B6A75">
        <w:rPr>
          <w:bCs/>
          <w:sz w:val="20"/>
          <w:szCs w:val="20"/>
        </w:rPr>
        <w:t>размещен  14.11.2022 в периодическом печатном издании органов местного самоуправления Куйбышевского муниципального района Новосибирской области «Информационный вестник»</w:t>
      </w:r>
      <w:r w:rsidRPr="008B6A75">
        <w:rPr>
          <w:bCs/>
          <w:color w:val="000000"/>
          <w:sz w:val="20"/>
          <w:szCs w:val="20"/>
        </w:rPr>
        <w:t>, на</w:t>
      </w:r>
      <w:r w:rsidRPr="008B6A75">
        <w:rPr>
          <w:bCs/>
          <w:sz w:val="20"/>
          <w:szCs w:val="20"/>
        </w:rPr>
        <w:t xml:space="preserve"> официальном сайте администрации Куйбышевского муниципального района Новосибирской области </w:t>
      </w:r>
      <w:hyperlink r:id="rId35" w:history="1">
        <w:r w:rsidRPr="008B6A75">
          <w:rPr>
            <w:bCs/>
            <w:color w:val="0000FF"/>
            <w:sz w:val="20"/>
            <w:szCs w:val="20"/>
            <w:u w:val="single"/>
          </w:rPr>
          <w:t>www.kuibyshev.nso.ru</w:t>
        </w:r>
      </w:hyperlink>
      <w:r w:rsidRPr="008B6A75">
        <w:rPr>
          <w:bCs/>
          <w:sz w:val="20"/>
          <w:szCs w:val="20"/>
        </w:rPr>
        <w:t>, на информационных стендах и в</w:t>
      </w:r>
      <w:r w:rsidRPr="008B6A75">
        <w:rPr>
          <w:sz w:val="20"/>
          <w:szCs w:val="20"/>
        </w:rPr>
        <w:t xml:space="preserve"> государственной информационной системе Новосибирской области  «Электронная демократия Новосибирской области» (http://www.dem.nso.ru/townplanningpage).</w:t>
      </w:r>
    </w:p>
    <w:p w14:paraId="7FD32061" w14:textId="77777777" w:rsidR="00412741" w:rsidRPr="008B6A75" w:rsidRDefault="00412741" w:rsidP="00412741">
      <w:pPr>
        <w:shd w:val="clear" w:color="auto" w:fill="FFFFFF"/>
        <w:tabs>
          <w:tab w:val="left" w:pos="-4962"/>
        </w:tabs>
        <w:jc w:val="both"/>
        <w:rPr>
          <w:sz w:val="20"/>
          <w:szCs w:val="20"/>
        </w:rPr>
      </w:pPr>
      <w:r w:rsidRPr="008B6A75">
        <w:rPr>
          <w:sz w:val="20"/>
          <w:szCs w:val="20"/>
        </w:rPr>
        <w:t xml:space="preserve">6. Комиссии: </w:t>
      </w:r>
    </w:p>
    <w:p w14:paraId="618E19EE" w14:textId="77777777" w:rsidR="00412741" w:rsidRPr="008B6A75" w:rsidRDefault="00412741" w:rsidP="00412741">
      <w:pPr>
        <w:shd w:val="clear" w:color="auto" w:fill="FFFFFF"/>
        <w:tabs>
          <w:tab w:val="left" w:pos="-4962"/>
        </w:tabs>
        <w:jc w:val="both"/>
        <w:rPr>
          <w:sz w:val="20"/>
          <w:szCs w:val="20"/>
        </w:rPr>
      </w:pPr>
      <w:r w:rsidRPr="008B6A75">
        <w:rPr>
          <w:sz w:val="20"/>
          <w:szCs w:val="20"/>
        </w:rPr>
        <w:t xml:space="preserve">1) провести общественные обсуждения в следующие сроки: с 07.11.2022 (дата опубликования оповещения о начале общественных обсуждений) до 21.11.2022 (дата опубликования заключения о результатах общественных обсуждений). </w:t>
      </w:r>
    </w:p>
    <w:p w14:paraId="2385A07F" w14:textId="77777777" w:rsidR="00412741" w:rsidRPr="008B6A75" w:rsidRDefault="00412741" w:rsidP="00412741">
      <w:pPr>
        <w:shd w:val="clear" w:color="auto" w:fill="FFFFFF"/>
        <w:tabs>
          <w:tab w:val="left" w:pos="-4962"/>
        </w:tabs>
        <w:jc w:val="both"/>
        <w:rPr>
          <w:sz w:val="20"/>
          <w:szCs w:val="20"/>
        </w:rPr>
      </w:pPr>
      <w:r w:rsidRPr="008B6A75">
        <w:rPr>
          <w:sz w:val="20"/>
          <w:szCs w:val="20"/>
        </w:rPr>
        <w:t xml:space="preserve">2) подготовить оповещение о начале общественных обсуждений и организовать опубликование (обнародование) оповещения о начале общественных обсуждений </w:t>
      </w:r>
      <w:r w:rsidRPr="008B6A75">
        <w:rPr>
          <w:bCs/>
          <w:sz w:val="20"/>
          <w:szCs w:val="20"/>
        </w:rPr>
        <w:t xml:space="preserve">в периодическом печатном издании органов местного самоуправления Куйбышевского муниципального района Новосибирской области «Информационный вестник», на </w:t>
      </w:r>
      <w:r w:rsidRPr="008B6A75">
        <w:rPr>
          <w:bCs/>
          <w:sz w:val="20"/>
          <w:szCs w:val="20"/>
        </w:rPr>
        <w:lastRenderedPageBreak/>
        <w:t xml:space="preserve">официальном сайте администрации Куйбышевского муниципального района Новосибирской области </w:t>
      </w:r>
      <w:hyperlink r:id="rId36" w:history="1">
        <w:r w:rsidRPr="008B6A75">
          <w:rPr>
            <w:bCs/>
            <w:color w:val="0000FF"/>
            <w:sz w:val="20"/>
            <w:szCs w:val="20"/>
            <w:u w:val="single"/>
          </w:rPr>
          <w:t>www.kuibyshev.nso.ru</w:t>
        </w:r>
      </w:hyperlink>
      <w:r w:rsidRPr="008B6A75">
        <w:rPr>
          <w:bCs/>
          <w:sz w:val="20"/>
          <w:szCs w:val="20"/>
        </w:rPr>
        <w:t>, на информационных стендах не позднее чем за семь дней до дня размещения проекта в</w:t>
      </w:r>
      <w:r w:rsidRPr="008B6A75">
        <w:rPr>
          <w:sz w:val="20"/>
          <w:szCs w:val="20"/>
        </w:rPr>
        <w:t xml:space="preserve"> государственной информационной системе Новосибирской области  «Электронная демократия Новосибирской области» (далее – информационная система).  </w:t>
      </w:r>
    </w:p>
    <w:p w14:paraId="586AE43A" w14:textId="77777777" w:rsidR="00412741" w:rsidRPr="008B6A75" w:rsidRDefault="00412741" w:rsidP="00412741">
      <w:pPr>
        <w:shd w:val="clear" w:color="auto" w:fill="FFFFFF"/>
        <w:tabs>
          <w:tab w:val="left" w:pos="-4962"/>
        </w:tabs>
        <w:jc w:val="both"/>
        <w:rPr>
          <w:sz w:val="20"/>
          <w:szCs w:val="20"/>
        </w:rPr>
      </w:pPr>
      <w:r w:rsidRPr="008B6A75">
        <w:rPr>
          <w:sz w:val="20"/>
          <w:szCs w:val="20"/>
        </w:rPr>
        <w:t xml:space="preserve">3) разместить проект решения и информационные материалы к ним в информационной системе. </w:t>
      </w:r>
    </w:p>
    <w:p w14:paraId="17C278D6" w14:textId="77777777" w:rsidR="00412741" w:rsidRPr="008B6A75" w:rsidRDefault="00412741" w:rsidP="00412741">
      <w:pPr>
        <w:shd w:val="clear" w:color="auto" w:fill="FFFFFF"/>
        <w:tabs>
          <w:tab w:val="left" w:pos="-4962"/>
        </w:tabs>
        <w:jc w:val="both"/>
        <w:rPr>
          <w:sz w:val="20"/>
          <w:szCs w:val="20"/>
        </w:rPr>
      </w:pPr>
      <w:r w:rsidRPr="008B6A75">
        <w:rPr>
          <w:sz w:val="20"/>
          <w:szCs w:val="20"/>
        </w:rPr>
        <w:t>4) предложить участникам общественных обсуждений, определенным законодательством о градостроительной деятельности и прошедшим идентификацию в соответствии с данным законодательством, в течение семи дней со дня размещения проекта и информационных материалов к нему внести в комиссию предложения и замечания, касающиеся проектов.</w:t>
      </w:r>
    </w:p>
    <w:p w14:paraId="1AA27592" w14:textId="77777777" w:rsidR="00412741" w:rsidRPr="008B6A75" w:rsidRDefault="00412741" w:rsidP="00412741">
      <w:pPr>
        <w:shd w:val="clear" w:color="auto" w:fill="FFFFFF"/>
        <w:tabs>
          <w:tab w:val="left" w:pos="-4962"/>
        </w:tabs>
        <w:jc w:val="both"/>
        <w:rPr>
          <w:sz w:val="20"/>
          <w:szCs w:val="20"/>
        </w:rPr>
      </w:pPr>
      <w:r w:rsidRPr="008B6A75">
        <w:rPr>
          <w:sz w:val="20"/>
          <w:szCs w:val="20"/>
        </w:rPr>
        <w:t xml:space="preserve"> 5) в течение срока, указанного в подпункте 4 пункта 6 настоящего постановления: осуществлять регистрацию и рассмотрение предложений и замечаний, вносимых участниками общественных обсуждений.</w:t>
      </w:r>
    </w:p>
    <w:p w14:paraId="658534FC" w14:textId="77777777" w:rsidR="00412741" w:rsidRPr="008B6A75" w:rsidRDefault="00412741" w:rsidP="00412741">
      <w:pPr>
        <w:shd w:val="clear" w:color="auto" w:fill="FFFFFF"/>
        <w:tabs>
          <w:tab w:val="left" w:pos="-4962"/>
        </w:tabs>
        <w:jc w:val="both"/>
        <w:rPr>
          <w:sz w:val="20"/>
          <w:szCs w:val="20"/>
        </w:rPr>
      </w:pPr>
      <w:r w:rsidRPr="008B6A75">
        <w:rPr>
          <w:sz w:val="20"/>
          <w:szCs w:val="20"/>
        </w:rPr>
        <w:t xml:space="preserve">7. Провести экспозицию проекта, подлежащего рассмотрению на общественных обсуждениях. </w:t>
      </w:r>
    </w:p>
    <w:p w14:paraId="424E844F" w14:textId="77777777" w:rsidR="00412741" w:rsidRPr="008B6A75" w:rsidRDefault="00412741" w:rsidP="00412741">
      <w:pPr>
        <w:shd w:val="clear" w:color="auto" w:fill="FFFFFF"/>
        <w:tabs>
          <w:tab w:val="left" w:pos="-4962"/>
          <w:tab w:val="left" w:pos="7104"/>
        </w:tabs>
        <w:ind w:left="-26" w:firstLine="735"/>
        <w:jc w:val="both"/>
        <w:rPr>
          <w:sz w:val="20"/>
          <w:szCs w:val="20"/>
        </w:rPr>
      </w:pPr>
      <w:r w:rsidRPr="008B6A75">
        <w:rPr>
          <w:sz w:val="20"/>
          <w:szCs w:val="20"/>
        </w:rPr>
        <w:t>8. Управлению делами администрации Куйбышевского муниципального района Новосибирской области (Орлова Л.В.) опубликовать настоящее постановление в периодическом печатном издании органов местного самоуправления Куйбышевского муниципального района Новосибирской области «Информационный вестник» и на официальном сайте администрации Куйбышевского муниципального района Новосибирской области в телекоммуникационной сети «Интернет».</w:t>
      </w:r>
    </w:p>
    <w:p w14:paraId="59369F97" w14:textId="77777777" w:rsidR="00412741" w:rsidRPr="008B6A75" w:rsidRDefault="00412741" w:rsidP="00412741">
      <w:pPr>
        <w:shd w:val="clear" w:color="auto" w:fill="FFFFFF"/>
        <w:tabs>
          <w:tab w:val="left" w:pos="-4962"/>
          <w:tab w:val="left" w:pos="7104"/>
        </w:tabs>
        <w:ind w:left="-26" w:firstLine="735"/>
        <w:jc w:val="both"/>
        <w:rPr>
          <w:sz w:val="20"/>
          <w:szCs w:val="20"/>
        </w:rPr>
      </w:pPr>
      <w:r w:rsidRPr="008B6A75">
        <w:rPr>
          <w:sz w:val="20"/>
          <w:szCs w:val="20"/>
        </w:rPr>
        <w:t xml:space="preserve">9. Контроль за исполнением настоящего постановления возложить на начальника управления строительства коммунального, дорожного хозяйства и транспорта администрации Куйбышевского муниципального района Новосибирской области С.Ф. </w:t>
      </w:r>
      <w:proofErr w:type="spellStart"/>
      <w:r w:rsidRPr="008B6A75">
        <w:rPr>
          <w:sz w:val="20"/>
          <w:szCs w:val="20"/>
        </w:rPr>
        <w:t>Ильюхина</w:t>
      </w:r>
      <w:proofErr w:type="spellEnd"/>
      <w:r w:rsidRPr="008B6A75">
        <w:rPr>
          <w:sz w:val="20"/>
          <w:szCs w:val="20"/>
        </w:rPr>
        <w:t>.</w:t>
      </w:r>
      <w:r w:rsidRPr="008B6A75">
        <w:rPr>
          <w:sz w:val="20"/>
          <w:szCs w:val="20"/>
          <w:lang w:val="en-US"/>
        </w:rPr>
        <w:t> </w:t>
      </w:r>
    </w:p>
    <w:p w14:paraId="1F955C58" w14:textId="77777777" w:rsidR="00412741" w:rsidRPr="008B6A75" w:rsidRDefault="00412741" w:rsidP="00412741">
      <w:pPr>
        <w:shd w:val="clear" w:color="auto" w:fill="FFFFFF"/>
        <w:tabs>
          <w:tab w:val="left" w:pos="-4962"/>
          <w:tab w:val="left" w:pos="7104"/>
        </w:tabs>
        <w:ind w:left="-26" w:firstLine="735"/>
        <w:jc w:val="both"/>
        <w:rPr>
          <w:sz w:val="20"/>
          <w:szCs w:val="20"/>
        </w:rPr>
      </w:pPr>
      <w:r w:rsidRPr="008B6A75">
        <w:rPr>
          <w:sz w:val="20"/>
          <w:szCs w:val="20"/>
        </w:rPr>
        <w:t xml:space="preserve"> </w:t>
      </w:r>
    </w:p>
    <w:p w14:paraId="02ECA303" w14:textId="77777777" w:rsidR="00412741" w:rsidRPr="008B6A75" w:rsidRDefault="00412741" w:rsidP="00412741">
      <w:pPr>
        <w:widowControl w:val="0"/>
        <w:shd w:val="clear" w:color="auto" w:fill="FFFFFF"/>
        <w:tabs>
          <w:tab w:val="left" w:pos="994"/>
        </w:tabs>
        <w:autoSpaceDE w:val="0"/>
        <w:autoSpaceDN w:val="0"/>
        <w:adjustRightInd w:val="0"/>
        <w:ind w:left="-26" w:firstLine="26"/>
        <w:rPr>
          <w:sz w:val="20"/>
          <w:szCs w:val="20"/>
        </w:rPr>
      </w:pPr>
      <w:r w:rsidRPr="008B6A75">
        <w:rPr>
          <w:sz w:val="20"/>
          <w:szCs w:val="20"/>
        </w:rPr>
        <w:t>Глава Куйбышевского муниципального</w:t>
      </w:r>
    </w:p>
    <w:p w14:paraId="4B3660F0" w14:textId="41A8BFD4" w:rsidR="00412741" w:rsidRPr="008B6A75" w:rsidRDefault="00412741" w:rsidP="00412741">
      <w:pPr>
        <w:widowControl w:val="0"/>
        <w:shd w:val="clear" w:color="auto" w:fill="FFFFFF"/>
        <w:tabs>
          <w:tab w:val="left" w:pos="994"/>
        </w:tabs>
        <w:autoSpaceDE w:val="0"/>
        <w:autoSpaceDN w:val="0"/>
        <w:adjustRightInd w:val="0"/>
        <w:ind w:left="-26" w:firstLine="26"/>
        <w:rPr>
          <w:sz w:val="20"/>
          <w:szCs w:val="20"/>
        </w:rPr>
      </w:pPr>
      <w:r w:rsidRPr="008B6A75">
        <w:rPr>
          <w:sz w:val="20"/>
          <w:szCs w:val="20"/>
        </w:rPr>
        <w:t xml:space="preserve">района Новосибирской области </w:t>
      </w:r>
      <w:r w:rsidRPr="008B6A75">
        <w:rPr>
          <w:sz w:val="20"/>
          <w:szCs w:val="20"/>
        </w:rPr>
        <w:tab/>
        <w:t xml:space="preserve">                                        </w:t>
      </w:r>
      <w:r w:rsidR="00AB2803" w:rsidRPr="008B6A75">
        <w:rPr>
          <w:sz w:val="20"/>
          <w:szCs w:val="20"/>
        </w:rPr>
        <w:t xml:space="preserve">                                                         </w:t>
      </w:r>
      <w:r w:rsidRPr="008B6A75">
        <w:rPr>
          <w:sz w:val="20"/>
          <w:szCs w:val="20"/>
        </w:rPr>
        <w:t xml:space="preserve">               О.В. Караваев</w:t>
      </w:r>
    </w:p>
    <w:p w14:paraId="0031BB08" w14:textId="77777777" w:rsidR="00412741" w:rsidRPr="008B6A75" w:rsidRDefault="00412741" w:rsidP="00412741">
      <w:pPr>
        <w:widowControl w:val="0"/>
        <w:shd w:val="clear" w:color="auto" w:fill="FFFFFF"/>
        <w:tabs>
          <w:tab w:val="left" w:pos="994"/>
        </w:tabs>
        <w:autoSpaceDE w:val="0"/>
        <w:autoSpaceDN w:val="0"/>
        <w:adjustRightInd w:val="0"/>
        <w:ind w:left="-26" w:firstLine="26"/>
        <w:rPr>
          <w:sz w:val="20"/>
          <w:szCs w:val="20"/>
        </w:rPr>
      </w:pPr>
    </w:p>
    <w:p w14:paraId="0EE0D2FD" w14:textId="77777777" w:rsidR="00412741" w:rsidRPr="008B6A75" w:rsidRDefault="00412741" w:rsidP="00412741">
      <w:pPr>
        <w:widowControl w:val="0"/>
        <w:shd w:val="clear" w:color="auto" w:fill="FFFFFF"/>
        <w:tabs>
          <w:tab w:val="left" w:pos="994"/>
        </w:tabs>
        <w:autoSpaceDE w:val="0"/>
        <w:autoSpaceDN w:val="0"/>
        <w:adjustRightInd w:val="0"/>
        <w:ind w:left="-26" w:firstLine="26"/>
        <w:rPr>
          <w:sz w:val="20"/>
          <w:szCs w:val="20"/>
        </w:rPr>
      </w:pPr>
    </w:p>
    <w:p w14:paraId="620AE669" w14:textId="77777777" w:rsidR="00412741" w:rsidRPr="008B6A75" w:rsidRDefault="00412741" w:rsidP="00412741">
      <w:pPr>
        <w:widowControl w:val="0"/>
        <w:shd w:val="clear" w:color="auto" w:fill="FFFFFF"/>
        <w:tabs>
          <w:tab w:val="left" w:pos="994"/>
        </w:tabs>
        <w:autoSpaceDE w:val="0"/>
        <w:autoSpaceDN w:val="0"/>
        <w:adjustRightInd w:val="0"/>
        <w:ind w:left="-26" w:firstLine="26"/>
        <w:rPr>
          <w:sz w:val="20"/>
          <w:szCs w:val="20"/>
        </w:rPr>
      </w:pPr>
    </w:p>
    <w:p w14:paraId="4AE5CB23" w14:textId="77777777" w:rsidR="00412741" w:rsidRPr="008B6A75" w:rsidRDefault="00412741" w:rsidP="00412741">
      <w:pPr>
        <w:jc w:val="center"/>
        <w:rPr>
          <w:sz w:val="20"/>
          <w:szCs w:val="20"/>
        </w:rPr>
      </w:pPr>
      <w:r w:rsidRPr="008B6A75">
        <w:rPr>
          <w:sz w:val="20"/>
          <w:szCs w:val="20"/>
        </w:rPr>
        <w:t xml:space="preserve">ГЛАВА </w:t>
      </w:r>
    </w:p>
    <w:p w14:paraId="6CAED65A" w14:textId="77777777" w:rsidR="00412741" w:rsidRPr="008B6A75" w:rsidRDefault="00412741" w:rsidP="00412741">
      <w:pPr>
        <w:jc w:val="center"/>
        <w:rPr>
          <w:sz w:val="20"/>
          <w:szCs w:val="20"/>
        </w:rPr>
      </w:pPr>
      <w:r w:rsidRPr="008B6A75">
        <w:rPr>
          <w:sz w:val="20"/>
          <w:szCs w:val="20"/>
        </w:rPr>
        <w:t>КУЙБЫШЕВСКОГО МУНИЦИПАЛЬНОГО РАЙОНА</w:t>
      </w:r>
    </w:p>
    <w:p w14:paraId="0A623655" w14:textId="77777777" w:rsidR="00412741" w:rsidRPr="008B6A75" w:rsidRDefault="00412741" w:rsidP="00412741">
      <w:pPr>
        <w:jc w:val="center"/>
        <w:rPr>
          <w:sz w:val="20"/>
          <w:szCs w:val="20"/>
        </w:rPr>
      </w:pPr>
      <w:r w:rsidRPr="008B6A75">
        <w:rPr>
          <w:sz w:val="20"/>
          <w:szCs w:val="20"/>
        </w:rPr>
        <w:t>НОВОСИБИРСКОЙ ОБЛАСТИ</w:t>
      </w:r>
    </w:p>
    <w:p w14:paraId="74CB0343" w14:textId="77777777" w:rsidR="00412741" w:rsidRPr="008B6A75" w:rsidRDefault="00412741" w:rsidP="00412741">
      <w:pPr>
        <w:jc w:val="center"/>
        <w:rPr>
          <w:sz w:val="20"/>
          <w:szCs w:val="20"/>
        </w:rPr>
      </w:pPr>
    </w:p>
    <w:p w14:paraId="2B491DDF" w14:textId="77777777" w:rsidR="00412741" w:rsidRPr="008B6A75" w:rsidRDefault="00412741" w:rsidP="00412741">
      <w:pPr>
        <w:pStyle w:val="30"/>
        <w:rPr>
          <w:b w:val="0"/>
          <w:sz w:val="20"/>
        </w:rPr>
      </w:pPr>
      <w:r w:rsidRPr="008B6A75">
        <w:rPr>
          <w:b w:val="0"/>
          <w:sz w:val="20"/>
        </w:rPr>
        <w:t>ПОСТАНОВЛЕНИЕ</w:t>
      </w:r>
    </w:p>
    <w:p w14:paraId="2F0BC9A8" w14:textId="77777777" w:rsidR="00412741" w:rsidRPr="008B6A75" w:rsidRDefault="00412741" w:rsidP="00412741">
      <w:pPr>
        <w:rPr>
          <w:sz w:val="20"/>
          <w:szCs w:val="20"/>
        </w:rPr>
      </w:pPr>
    </w:p>
    <w:p w14:paraId="7243FD1B" w14:textId="77777777" w:rsidR="00412741" w:rsidRPr="008B6A75" w:rsidRDefault="00412741" w:rsidP="00412741">
      <w:pPr>
        <w:jc w:val="center"/>
        <w:rPr>
          <w:sz w:val="20"/>
          <w:szCs w:val="20"/>
        </w:rPr>
      </w:pPr>
      <w:r w:rsidRPr="008B6A75">
        <w:rPr>
          <w:sz w:val="20"/>
          <w:szCs w:val="20"/>
        </w:rPr>
        <w:t>г. Куйбышев</w:t>
      </w:r>
    </w:p>
    <w:p w14:paraId="3551F529" w14:textId="77777777" w:rsidR="00412741" w:rsidRPr="008B6A75" w:rsidRDefault="00412741" w:rsidP="00412741">
      <w:pPr>
        <w:jc w:val="center"/>
        <w:rPr>
          <w:sz w:val="20"/>
          <w:szCs w:val="20"/>
        </w:rPr>
      </w:pPr>
      <w:r w:rsidRPr="008B6A75">
        <w:rPr>
          <w:sz w:val="20"/>
          <w:szCs w:val="20"/>
        </w:rPr>
        <w:t>Новосибирская область</w:t>
      </w:r>
    </w:p>
    <w:p w14:paraId="24370594" w14:textId="77777777" w:rsidR="00412741" w:rsidRPr="008B6A75" w:rsidRDefault="00412741" w:rsidP="00412741">
      <w:pPr>
        <w:rPr>
          <w:sz w:val="20"/>
          <w:szCs w:val="20"/>
        </w:rPr>
      </w:pPr>
    </w:p>
    <w:p w14:paraId="6DDDD6E1" w14:textId="77777777" w:rsidR="00412741" w:rsidRPr="008B6A75" w:rsidRDefault="00412741" w:rsidP="00412741">
      <w:pPr>
        <w:jc w:val="center"/>
        <w:rPr>
          <w:sz w:val="20"/>
          <w:szCs w:val="20"/>
        </w:rPr>
      </w:pPr>
      <w:r w:rsidRPr="008B6A75">
        <w:rPr>
          <w:sz w:val="20"/>
          <w:szCs w:val="20"/>
        </w:rPr>
        <w:t>03.11.2022 № 862</w:t>
      </w:r>
    </w:p>
    <w:p w14:paraId="728966F4" w14:textId="77777777" w:rsidR="00412741" w:rsidRPr="008B6A75" w:rsidRDefault="00412741" w:rsidP="00412741">
      <w:pPr>
        <w:pStyle w:val="aff8"/>
        <w:tabs>
          <w:tab w:val="left" w:pos="5415"/>
        </w:tabs>
        <w:rPr>
          <w:sz w:val="20"/>
          <w:szCs w:val="20"/>
        </w:rPr>
      </w:pPr>
    </w:p>
    <w:p w14:paraId="1C3F8A2A" w14:textId="77777777" w:rsidR="00412741" w:rsidRPr="008B6A75" w:rsidRDefault="00412741" w:rsidP="00412741">
      <w:pPr>
        <w:shd w:val="clear" w:color="auto" w:fill="FFFFFF"/>
        <w:tabs>
          <w:tab w:val="left" w:leader="dot" w:pos="-4962"/>
        </w:tabs>
        <w:jc w:val="center"/>
        <w:rPr>
          <w:sz w:val="20"/>
          <w:szCs w:val="20"/>
        </w:rPr>
      </w:pPr>
      <w:r w:rsidRPr="008B6A75">
        <w:rPr>
          <w:sz w:val="20"/>
          <w:szCs w:val="20"/>
        </w:rPr>
        <w:t>О проведении общественных обсуждений по проектам внесения изменений в Правила землепользования и застройки Октябрьского сельсовета Куйбышевского района Новосибирской области и в Генеральный план Октябрьского сельсовета Куйбышевского района Новосибирской области</w:t>
      </w:r>
    </w:p>
    <w:p w14:paraId="4CA439E9" w14:textId="77777777" w:rsidR="00412741" w:rsidRPr="008B6A75" w:rsidRDefault="00412741" w:rsidP="00412741">
      <w:pPr>
        <w:shd w:val="clear" w:color="auto" w:fill="FFFFFF"/>
        <w:tabs>
          <w:tab w:val="left" w:leader="dot" w:pos="-4962"/>
        </w:tabs>
        <w:jc w:val="center"/>
        <w:rPr>
          <w:sz w:val="20"/>
          <w:szCs w:val="20"/>
        </w:rPr>
      </w:pPr>
    </w:p>
    <w:p w14:paraId="534E7284" w14:textId="77777777" w:rsidR="00412741" w:rsidRPr="008B6A75" w:rsidRDefault="00412741" w:rsidP="00412741">
      <w:pPr>
        <w:shd w:val="clear" w:color="auto" w:fill="FFFFFF"/>
        <w:tabs>
          <w:tab w:val="left" w:pos="-4962"/>
          <w:tab w:val="left" w:pos="3780"/>
        </w:tabs>
        <w:ind w:firstLine="735"/>
        <w:jc w:val="both"/>
        <w:rPr>
          <w:sz w:val="20"/>
          <w:szCs w:val="20"/>
        </w:rPr>
      </w:pPr>
      <w:r w:rsidRPr="008B6A75">
        <w:rPr>
          <w:sz w:val="20"/>
          <w:szCs w:val="20"/>
        </w:rPr>
        <w:t xml:space="preserve">  В целях соблюдения права человека на благоприятные условия жизнедеятельности, обеспечения участия населения Куйбышевского района в решении вопросов местного значения, изучения общественного мнения жителей Куйбышевского района, в соответствии со статьей 5.1 Градостроительного кодекса Российской Федерации, Федеральным законом от 06.10.2003 № 131-ФЗ «Об общих принципах организации местного самоуправления в Российской Федерации», Уставом Куйбышевского муниципального района Новосибирской области</w:t>
      </w:r>
    </w:p>
    <w:p w14:paraId="038C07C0" w14:textId="77777777" w:rsidR="00412741" w:rsidRPr="008B6A75" w:rsidRDefault="00412741" w:rsidP="00412741">
      <w:pPr>
        <w:shd w:val="clear" w:color="auto" w:fill="FFFFFF"/>
        <w:tabs>
          <w:tab w:val="left" w:pos="-4962"/>
          <w:tab w:val="left" w:pos="3780"/>
        </w:tabs>
        <w:ind w:firstLine="735"/>
        <w:jc w:val="both"/>
        <w:rPr>
          <w:sz w:val="20"/>
          <w:szCs w:val="20"/>
        </w:rPr>
      </w:pPr>
      <w:r w:rsidRPr="008B6A75">
        <w:rPr>
          <w:caps/>
          <w:sz w:val="20"/>
          <w:szCs w:val="20"/>
        </w:rPr>
        <w:t>постановляЮ</w:t>
      </w:r>
      <w:r w:rsidRPr="008B6A75">
        <w:rPr>
          <w:sz w:val="20"/>
          <w:szCs w:val="20"/>
        </w:rPr>
        <w:t>:</w:t>
      </w:r>
      <w:r w:rsidRPr="008B6A75">
        <w:rPr>
          <w:sz w:val="20"/>
          <w:szCs w:val="20"/>
        </w:rPr>
        <w:tab/>
      </w:r>
    </w:p>
    <w:p w14:paraId="2E120367" w14:textId="77777777" w:rsidR="00412741" w:rsidRPr="008B6A75" w:rsidRDefault="00412741" w:rsidP="00412741">
      <w:pPr>
        <w:autoSpaceDE w:val="0"/>
        <w:autoSpaceDN w:val="0"/>
        <w:adjustRightInd w:val="0"/>
        <w:jc w:val="both"/>
        <w:rPr>
          <w:sz w:val="20"/>
          <w:szCs w:val="20"/>
        </w:rPr>
      </w:pPr>
      <w:r w:rsidRPr="008B6A75">
        <w:rPr>
          <w:sz w:val="20"/>
          <w:szCs w:val="20"/>
        </w:rPr>
        <w:t xml:space="preserve">1. Провести общественные обсуждения по проектам: </w:t>
      </w:r>
    </w:p>
    <w:p w14:paraId="0419582B" w14:textId="77777777" w:rsidR="00412741" w:rsidRPr="008B6A75" w:rsidRDefault="00412741" w:rsidP="00412741">
      <w:pPr>
        <w:autoSpaceDE w:val="0"/>
        <w:autoSpaceDN w:val="0"/>
        <w:adjustRightInd w:val="0"/>
        <w:jc w:val="both"/>
        <w:rPr>
          <w:sz w:val="20"/>
          <w:szCs w:val="20"/>
        </w:rPr>
      </w:pPr>
      <w:r w:rsidRPr="008B6A75">
        <w:rPr>
          <w:sz w:val="20"/>
          <w:szCs w:val="20"/>
        </w:rPr>
        <w:t>1.1. внесение изменений в Правила землепользования и застройки Октябрьского сельсовета Куйбышевского района Новосибирской области, утвержденные решением двадцатой сессии Совета депутатов Куйбышевского района третьего созыва от 21.09.2017 № 8 "Об утверждении правил землепользования и застройки 4 сельских поселений, входящих в состав Куйбышевского района" в части изменения территориальной зоны градостроительного зонирования Р (</w:t>
      </w:r>
      <w:r w:rsidRPr="008B6A75">
        <w:rPr>
          <w:rFonts w:eastAsia="Calibri"/>
          <w:color w:val="000000"/>
          <w:sz w:val="20"/>
          <w:szCs w:val="20"/>
          <w:lang w:eastAsia="en-US"/>
        </w:rPr>
        <w:t xml:space="preserve">Зона рекреационного назначения) </w:t>
      </w:r>
      <w:r w:rsidRPr="008B6A75">
        <w:rPr>
          <w:sz w:val="20"/>
          <w:szCs w:val="20"/>
        </w:rPr>
        <w:t>на зону Ж1 (</w:t>
      </w:r>
      <w:r w:rsidRPr="008B6A75">
        <w:rPr>
          <w:rFonts w:eastAsia="Calibri"/>
          <w:color w:val="000000"/>
          <w:sz w:val="20"/>
          <w:szCs w:val="20"/>
          <w:lang w:eastAsia="en-US"/>
        </w:rPr>
        <w:t xml:space="preserve">Зона застройки индивидуальными жилыми домами) </w:t>
      </w:r>
      <w:r w:rsidRPr="008B6A75">
        <w:rPr>
          <w:sz w:val="20"/>
          <w:szCs w:val="20"/>
        </w:rPr>
        <w:t xml:space="preserve">в границах земельного участка с кадастровым номером 54:34:010101:ЗУ, площадью 750 </w:t>
      </w:r>
      <w:proofErr w:type="spellStart"/>
      <w:r w:rsidRPr="008B6A75">
        <w:rPr>
          <w:sz w:val="20"/>
          <w:szCs w:val="20"/>
        </w:rPr>
        <w:t>кв.м</w:t>
      </w:r>
      <w:proofErr w:type="spellEnd"/>
      <w:r w:rsidRPr="008B6A75">
        <w:rPr>
          <w:sz w:val="20"/>
          <w:szCs w:val="20"/>
        </w:rPr>
        <w:t>., местоположением: Новосибирская область, Куйбышевский район, п. Заречный, ул. Зеленая.</w:t>
      </w:r>
    </w:p>
    <w:p w14:paraId="5B58239D" w14:textId="77777777" w:rsidR="00412741" w:rsidRPr="008B6A75" w:rsidRDefault="00412741" w:rsidP="00412741">
      <w:pPr>
        <w:autoSpaceDE w:val="0"/>
        <w:autoSpaceDN w:val="0"/>
        <w:adjustRightInd w:val="0"/>
        <w:jc w:val="both"/>
        <w:rPr>
          <w:sz w:val="20"/>
          <w:szCs w:val="20"/>
        </w:rPr>
      </w:pPr>
      <w:r w:rsidRPr="008B6A75">
        <w:rPr>
          <w:sz w:val="20"/>
          <w:szCs w:val="20"/>
        </w:rPr>
        <w:t xml:space="preserve">1.2. внесение изменений в Генеральный план Октябрьского сельсовета Куйбышевского района Новосибирской области, утвержденный решением №7 от 27.12.2012г. Совета депутатов Октябрьского сельсовета Куйбышевского района Новосибирской области «Об утверждении генерального плана Октябрьского сельсовета Куйбышевского района Новосибирской области» в части установления в границах земельного участка с кадастровым номером 54:34:010101:ЗУ, площадью 750 </w:t>
      </w:r>
      <w:proofErr w:type="spellStart"/>
      <w:r w:rsidRPr="008B6A75">
        <w:rPr>
          <w:sz w:val="20"/>
          <w:szCs w:val="20"/>
        </w:rPr>
        <w:t>кв.м</w:t>
      </w:r>
      <w:proofErr w:type="spellEnd"/>
      <w:r w:rsidRPr="008B6A75">
        <w:rPr>
          <w:sz w:val="20"/>
          <w:szCs w:val="20"/>
        </w:rPr>
        <w:t>., местоположением: Новосибирская область, Куйбышевский район, п. Заречный, ул. Зеленая, функциональной зоны  -</w:t>
      </w:r>
      <w:r w:rsidRPr="008B6A75">
        <w:rPr>
          <w:rFonts w:eastAsia="Calibri"/>
          <w:color w:val="000000"/>
          <w:sz w:val="20"/>
          <w:szCs w:val="20"/>
          <w:lang w:eastAsia="en-US"/>
        </w:rPr>
        <w:t xml:space="preserve"> «Жилые зоны».  </w:t>
      </w:r>
    </w:p>
    <w:p w14:paraId="5F5B2E80" w14:textId="77777777" w:rsidR="00412741" w:rsidRPr="008B6A75" w:rsidRDefault="00412741" w:rsidP="00372B96">
      <w:pPr>
        <w:numPr>
          <w:ilvl w:val="0"/>
          <w:numId w:val="23"/>
        </w:numPr>
        <w:shd w:val="clear" w:color="auto" w:fill="FFFFFF"/>
        <w:tabs>
          <w:tab w:val="left" w:pos="-4962"/>
        </w:tabs>
        <w:jc w:val="both"/>
        <w:rPr>
          <w:sz w:val="20"/>
          <w:szCs w:val="20"/>
        </w:rPr>
      </w:pPr>
      <w:r w:rsidRPr="008B6A75">
        <w:rPr>
          <w:sz w:val="20"/>
          <w:szCs w:val="20"/>
        </w:rPr>
        <w:lastRenderedPageBreak/>
        <w:t xml:space="preserve">Установить порядок проведения общественных обсуждений, состоящий из следующих этапов: </w:t>
      </w:r>
    </w:p>
    <w:p w14:paraId="4813D6FE" w14:textId="77777777" w:rsidR="00412741" w:rsidRPr="008B6A75" w:rsidRDefault="00412741" w:rsidP="00412741">
      <w:pPr>
        <w:shd w:val="clear" w:color="auto" w:fill="FFFFFF"/>
        <w:tabs>
          <w:tab w:val="left" w:pos="-4962"/>
        </w:tabs>
        <w:jc w:val="both"/>
        <w:rPr>
          <w:sz w:val="20"/>
          <w:szCs w:val="20"/>
        </w:rPr>
      </w:pPr>
      <w:r w:rsidRPr="008B6A75">
        <w:rPr>
          <w:sz w:val="20"/>
          <w:szCs w:val="20"/>
        </w:rPr>
        <w:t xml:space="preserve">оповещение о начале общественных обсуждений; </w:t>
      </w:r>
    </w:p>
    <w:p w14:paraId="3C2B96BB" w14:textId="77777777" w:rsidR="00412741" w:rsidRPr="008B6A75" w:rsidRDefault="00412741" w:rsidP="00412741">
      <w:pPr>
        <w:shd w:val="clear" w:color="auto" w:fill="FFFFFF"/>
        <w:tabs>
          <w:tab w:val="left" w:pos="-4962"/>
        </w:tabs>
        <w:jc w:val="both"/>
        <w:rPr>
          <w:sz w:val="20"/>
          <w:szCs w:val="20"/>
        </w:rPr>
      </w:pPr>
      <w:r w:rsidRPr="008B6A75">
        <w:rPr>
          <w:sz w:val="20"/>
          <w:szCs w:val="20"/>
        </w:rPr>
        <w:t xml:space="preserve">размещение проектов, подлежащих рассмотрению на общественных обсуждениях, и информационных материалов и открытие экспозиции проекта; </w:t>
      </w:r>
    </w:p>
    <w:p w14:paraId="6F425035" w14:textId="77777777" w:rsidR="00412741" w:rsidRPr="008B6A75" w:rsidRDefault="00412741" w:rsidP="00412741">
      <w:pPr>
        <w:shd w:val="clear" w:color="auto" w:fill="FFFFFF"/>
        <w:tabs>
          <w:tab w:val="left" w:pos="-4962"/>
        </w:tabs>
        <w:jc w:val="both"/>
        <w:rPr>
          <w:sz w:val="20"/>
          <w:szCs w:val="20"/>
        </w:rPr>
      </w:pPr>
      <w:r w:rsidRPr="008B6A75">
        <w:rPr>
          <w:sz w:val="20"/>
          <w:szCs w:val="20"/>
        </w:rPr>
        <w:t xml:space="preserve">проведение экспозиции или экспозиций проектов, подлежащих рассмотрению на общественных обсуждениях; </w:t>
      </w:r>
    </w:p>
    <w:p w14:paraId="5E0BFE02" w14:textId="77777777" w:rsidR="00412741" w:rsidRPr="008B6A75" w:rsidRDefault="00412741" w:rsidP="00412741">
      <w:pPr>
        <w:shd w:val="clear" w:color="auto" w:fill="FFFFFF"/>
        <w:tabs>
          <w:tab w:val="left" w:pos="-4962"/>
        </w:tabs>
        <w:jc w:val="both"/>
        <w:rPr>
          <w:sz w:val="20"/>
          <w:szCs w:val="20"/>
        </w:rPr>
      </w:pPr>
      <w:r w:rsidRPr="008B6A75">
        <w:rPr>
          <w:sz w:val="20"/>
          <w:szCs w:val="20"/>
        </w:rPr>
        <w:t xml:space="preserve">подготовка и оформление протокола общественных обсуждений; </w:t>
      </w:r>
    </w:p>
    <w:p w14:paraId="0D1C7D34" w14:textId="77777777" w:rsidR="00412741" w:rsidRPr="008B6A75" w:rsidRDefault="00412741" w:rsidP="00412741">
      <w:pPr>
        <w:shd w:val="clear" w:color="auto" w:fill="FFFFFF"/>
        <w:tabs>
          <w:tab w:val="left" w:pos="-4962"/>
        </w:tabs>
        <w:jc w:val="both"/>
        <w:rPr>
          <w:sz w:val="20"/>
          <w:szCs w:val="20"/>
        </w:rPr>
      </w:pPr>
      <w:r w:rsidRPr="008B6A75">
        <w:rPr>
          <w:sz w:val="20"/>
          <w:szCs w:val="20"/>
        </w:rPr>
        <w:t xml:space="preserve">подготовка и опубликование заключения о результатах общественных обсуждений. </w:t>
      </w:r>
    </w:p>
    <w:p w14:paraId="18FBEBA4" w14:textId="77777777" w:rsidR="00412741" w:rsidRPr="008B6A75" w:rsidRDefault="00412741" w:rsidP="00412741">
      <w:pPr>
        <w:shd w:val="clear" w:color="auto" w:fill="FFFFFF"/>
        <w:tabs>
          <w:tab w:val="left" w:pos="-4962"/>
        </w:tabs>
        <w:jc w:val="both"/>
        <w:rPr>
          <w:sz w:val="20"/>
          <w:szCs w:val="20"/>
        </w:rPr>
      </w:pPr>
      <w:r w:rsidRPr="008B6A75">
        <w:rPr>
          <w:sz w:val="20"/>
          <w:szCs w:val="20"/>
        </w:rPr>
        <w:t>3.  Определить организатором общественных обсуждений комиссию по рассмотрению вопросов в сфере градостроительных и земельных отношений на территории сельских поселений Куйбышевского муниципального района Новосибирской области (далее – комиссия).</w:t>
      </w:r>
    </w:p>
    <w:p w14:paraId="138BAB74" w14:textId="77777777" w:rsidR="00412741" w:rsidRPr="008B6A75" w:rsidRDefault="00412741" w:rsidP="00412741">
      <w:pPr>
        <w:shd w:val="clear" w:color="auto" w:fill="FFFFFF"/>
        <w:tabs>
          <w:tab w:val="left" w:pos="-4962"/>
        </w:tabs>
        <w:jc w:val="both"/>
        <w:rPr>
          <w:sz w:val="20"/>
          <w:szCs w:val="20"/>
        </w:rPr>
      </w:pPr>
      <w:r w:rsidRPr="008B6A75">
        <w:rPr>
          <w:sz w:val="20"/>
          <w:szCs w:val="20"/>
        </w:rPr>
        <w:t xml:space="preserve">4.  Определить местонахождение комиссии по адресу: Новосибирская область, город Куйбышев, ул. Краскома,37, почтовый индекс 632387, контактный телефон 8-383-62-51-744, адрес электронной почты </w:t>
      </w:r>
      <w:hyperlink r:id="rId37" w:history="1">
        <w:proofErr w:type="gramStart"/>
        <w:r w:rsidRPr="008B6A75">
          <w:rPr>
            <w:color w:val="0000FF"/>
            <w:sz w:val="20"/>
            <w:szCs w:val="20"/>
            <w:u w:val="single"/>
            <w:lang w:val="en-US"/>
          </w:rPr>
          <w:t>ozo</w:t>
        </w:r>
        <w:r w:rsidRPr="008B6A75">
          <w:rPr>
            <w:color w:val="0000FF"/>
            <w:sz w:val="20"/>
            <w:szCs w:val="20"/>
            <w:u w:val="single"/>
          </w:rPr>
          <w:t>54@</w:t>
        </w:r>
        <w:r w:rsidRPr="008B6A75">
          <w:rPr>
            <w:color w:val="0000FF"/>
            <w:sz w:val="20"/>
            <w:szCs w:val="20"/>
            <w:u w:val="single"/>
            <w:lang w:val="en-US"/>
          </w:rPr>
          <w:t>mail</w:t>
        </w:r>
        <w:r w:rsidRPr="008B6A75">
          <w:rPr>
            <w:color w:val="0000FF"/>
            <w:sz w:val="20"/>
            <w:szCs w:val="20"/>
            <w:u w:val="single"/>
          </w:rPr>
          <w:t>.</w:t>
        </w:r>
        <w:proofErr w:type="spellStart"/>
        <w:r w:rsidRPr="008B6A75">
          <w:rPr>
            <w:color w:val="0000FF"/>
            <w:sz w:val="20"/>
            <w:szCs w:val="20"/>
            <w:u w:val="single"/>
            <w:lang w:val="en-US"/>
          </w:rPr>
          <w:t>ru</w:t>
        </w:r>
        <w:proofErr w:type="spellEnd"/>
      </w:hyperlink>
      <w:r w:rsidRPr="008B6A75">
        <w:rPr>
          <w:sz w:val="20"/>
          <w:szCs w:val="20"/>
        </w:rPr>
        <w:t xml:space="preserve"> .</w:t>
      </w:r>
      <w:proofErr w:type="gramEnd"/>
      <w:r w:rsidRPr="008B6A75">
        <w:rPr>
          <w:sz w:val="20"/>
          <w:szCs w:val="20"/>
        </w:rPr>
        <w:t xml:space="preserve"> </w:t>
      </w:r>
    </w:p>
    <w:p w14:paraId="703D2F72" w14:textId="77777777" w:rsidR="00412741" w:rsidRPr="008B6A75" w:rsidRDefault="00412741" w:rsidP="00412741">
      <w:pPr>
        <w:widowControl w:val="0"/>
        <w:autoSpaceDE w:val="0"/>
        <w:autoSpaceDN w:val="0"/>
        <w:adjustRightInd w:val="0"/>
        <w:ind w:firstLine="708"/>
        <w:jc w:val="both"/>
        <w:rPr>
          <w:sz w:val="20"/>
          <w:szCs w:val="20"/>
        </w:rPr>
      </w:pPr>
      <w:r w:rsidRPr="008B6A75">
        <w:rPr>
          <w:sz w:val="20"/>
          <w:szCs w:val="20"/>
        </w:rPr>
        <w:t xml:space="preserve">5. Сведения о месте размещения проектов внесения изменений в Правила землепользования и застройки Октябрьского сельсовета Куйбышевского района Новосибирской области и в Генеральный план Октябрьского сельсовета Куйбышевского района Новосибирской области: </w:t>
      </w:r>
    </w:p>
    <w:p w14:paraId="76520BFE" w14:textId="77777777" w:rsidR="00412741" w:rsidRPr="008B6A75" w:rsidRDefault="00412741" w:rsidP="00412741">
      <w:pPr>
        <w:widowControl w:val="0"/>
        <w:autoSpaceDE w:val="0"/>
        <w:autoSpaceDN w:val="0"/>
        <w:adjustRightInd w:val="0"/>
        <w:ind w:firstLine="708"/>
        <w:jc w:val="both"/>
        <w:rPr>
          <w:bCs/>
          <w:sz w:val="20"/>
          <w:szCs w:val="20"/>
        </w:rPr>
      </w:pPr>
      <w:r w:rsidRPr="008B6A75">
        <w:rPr>
          <w:sz w:val="20"/>
          <w:szCs w:val="20"/>
        </w:rPr>
        <w:t xml:space="preserve">проекты будут </w:t>
      </w:r>
      <w:r w:rsidRPr="008B6A75">
        <w:rPr>
          <w:bCs/>
          <w:sz w:val="20"/>
          <w:szCs w:val="20"/>
        </w:rPr>
        <w:t>размещены 14.11.2022 в периодическом печатном издании органов местного самоуправления Куйбышевского муниципального района Новосибирской области «Информационный вестник»</w:t>
      </w:r>
      <w:r w:rsidRPr="008B6A75">
        <w:rPr>
          <w:bCs/>
          <w:color w:val="000000"/>
          <w:sz w:val="20"/>
          <w:szCs w:val="20"/>
        </w:rPr>
        <w:t>, на</w:t>
      </w:r>
      <w:r w:rsidRPr="008B6A75">
        <w:rPr>
          <w:bCs/>
          <w:sz w:val="20"/>
          <w:szCs w:val="20"/>
        </w:rPr>
        <w:t xml:space="preserve"> официальном сайте администрации Куйбышевского муниципального района Новосибирской области </w:t>
      </w:r>
      <w:hyperlink r:id="rId38" w:history="1">
        <w:r w:rsidRPr="008B6A75">
          <w:rPr>
            <w:bCs/>
            <w:color w:val="0000FF"/>
            <w:sz w:val="20"/>
            <w:szCs w:val="20"/>
            <w:u w:val="single"/>
          </w:rPr>
          <w:t>www.kuibyshev.nso.ru</w:t>
        </w:r>
      </w:hyperlink>
      <w:r w:rsidRPr="008B6A75">
        <w:rPr>
          <w:bCs/>
          <w:sz w:val="20"/>
          <w:szCs w:val="20"/>
        </w:rPr>
        <w:t>, на информационных стендах</w:t>
      </w:r>
      <w:r w:rsidRPr="008B6A75">
        <w:rPr>
          <w:bCs/>
          <w:color w:val="000000"/>
          <w:sz w:val="20"/>
          <w:szCs w:val="20"/>
        </w:rPr>
        <w:t>,</w:t>
      </w:r>
      <w:r w:rsidRPr="008B6A75">
        <w:rPr>
          <w:bCs/>
          <w:sz w:val="20"/>
          <w:szCs w:val="20"/>
        </w:rPr>
        <w:t xml:space="preserve"> и в</w:t>
      </w:r>
      <w:r w:rsidRPr="008B6A75">
        <w:rPr>
          <w:sz w:val="20"/>
          <w:szCs w:val="20"/>
        </w:rPr>
        <w:t xml:space="preserve"> государственной информационной системе Новосибирской области  «Электронная демократия Новосибирской области» (http://www.dem.nso.ru/townplanningpage).</w:t>
      </w:r>
    </w:p>
    <w:p w14:paraId="44A2F88C" w14:textId="77777777" w:rsidR="00412741" w:rsidRPr="008B6A75" w:rsidRDefault="00412741" w:rsidP="00412741">
      <w:pPr>
        <w:shd w:val="clear" w:color="auto" w:fill="FFFFFF"/>
        <w:tabs>
          <w:tab w:val="left" w:pos="-4962"/>
        </w:tabs>
        <w:jc w:val="both"/>
        <w:rPr>
          <w:sz w:val="20"/>
          <w:szCs w:val="20"/>
        </w:rPr>
      </w:pPr>
      <w:r w:rsidRPr="008B6A75">
        <w:rPr>
          <w:sz w:val="20"/>
          <w:szCs w:val="20"/>
        </w:rPr>
        <w:t xml:space="preserve">6. Комиссии: </w:t>
      </w:r>
    </w:p>
    <w:p w14:paraId="3B25F4A4" w14:textId="77777777" w:rsidR="00412741" w:rsidRPr="008B6A75" w:rsidRDefault="00412741" w:rsidP="00412741">
      <w:pPr>
        <w:shd w:val="clear" w:color="auto" w:fill="FFFFFF"/>
        <w:tabs>
          <w:tab w:val="left" w:pos="-4962"/>
        </w:tabs>
        <w:jc w:val="both"/>
        <w:rPr>
          <w:sz w:val="20"/>
          <w:szCs w:val="20"/>
        </w:rPr>
      </w:pPr>
      <w:r w:rsidRPr="008B6A75">
        <w:rPr>
          <w:sz w:val="20"/>
          <w:szCs w:val="20"/>
        </w:rPr>
        <w:t xml:space="preserve">1) провести общественные обсуждения в следующие сроки: с 07.11.2022 (дата опубликования оповещения о начале общественных обсуждений) до 06.12.2022 (дата опубликования заключения о результатах общественных обсуждений). </w:t>
      </w:r>
    </w:p>
    <w:p w14:paraId="3A2712FE" w14:textId="77777777" w:rsidR="00412741" w:rsidRPr="008B6A75" w:rsidRDefault="00412741" w:rsidP="00412741">
      <w:pPr>
        <w:shd w:val="clear" w:color="auto" w:fill="FFFFFF"/>
        <w:tabs>
          <w:tab w:val="left" w:pos="-4962"/>
        </w:tabs>
        <w:jc w:val="both"/>
        <w:rPr>
          <w:sz w:val="20"/>
          <w:szCs w:val="20"/>
        </w:rPr>
      </w:pPr>
      <w:r w:rsidRPr="008B6A75">
        <w:rPr>
          <w:sz w:val="20"/>
          <w:szCs w:val="20"/>
        </w:rPr>
        <w:t xml:space="preserve">2) подготовить оповещение о начале общественных обсуждений и организовать опубликование (обнародование) оповещения о начале общественных обсуждений </w:t>
      </w:r>
      <w:r w:rsidRPr="008B6A75">
        <w:rPr>
          <w:bCs/>
          <w:sz w:val="20"/>
          <w:szCs w:val="20"/>
        </w:rPr>
        <w:t xml:space="preserve">в периодическом печатном издании органов местного самоуправления Куйбышевского муниципального района Новосибирской области «Информационный вестник», на официальном сайте администрации Куйбышевского муниципального района Новосибирской области </w:t>
      </w:r>
      <w:hyperlink r:id="rId39" w:history="1">
        <w:r w:rsidRPr="008B6A75">
          <w:rPr>
            <w:bCs/>
            <w:color w:val="0000FF"/>
            <w:sz w:val="20"/>
            <w:szCs w:val="20"/>
            <w:u w:val="single"/>
          </w:rPr>
          <w:t>www.kuibyshev.nso.ru</w:t>
        </w:r>
      </w:hyperlink>
      <w:r w:rsidRPr="008B6A75">
        <w:rPr>
          <w:bCs/>
          <w:sz w:val="20"/>
          <w:szCs w:val="20"/>
        </w:rPr>
        <w:t>, на информационных стендах не позднее чем за семь дней до дня размещения проектов в</w:t>
      </w:r>
      <w:r w:rsidRPr="008B6A75">
        <w:rPr>
          <w:sz w:val="20"/>
          <w:szCs w:val="20"/>
        </w:rPr>
        <w:t xml:space="preserve"> государственной информационной системе Новосибирской области  «Электронная демократия Новосибирской области» (далее – информационная система).  </w:t>
      </w:r>
    </w:p>
    <w:p w14:paraId="081064D5" w14:textId="77777777" w:rsidR="00412741" w:rsidRPr="008B6A75" w:rsidRDefault="00412741" w:rsidP="00412741">
      <w:pPr>
        <w:shd w:val="clear" w:color="auto" w:fill="FFFFFF"/>
        <w:tabs>
          <w:tab w:val="left" w:pos="-4962"/>
        </w:tabs>
        <w:jc w:val="both"/>
        <w:rPr>
          <w:sz w:val="20"/>
          <w:szCs w:val="20"/>
        </w:rPr>
      </w:pPr>
      <w:r w:rsidRPr="008B6A75">
        <w:rPr>
          <w:sz w:val="20"/>
          <w:szCs w:val="20"/>
        </w:rPr>
        <w:t xml:space="preserve">3) разместить проекты и информационные материалы к ним в информационной системе. </w:t>
      </w:r>
    </w:p>
    <w:p w14:paraId="77F8E896" w14:textId="77777777" w:rsidR="00412741" w:rsidRPr="008B6A75" w:rsidRDefault="00412741" w:rsidP="00412741">
      <w:pPr>
        <w:shd w:val="clear" w:color="auto" w:fill="FFFFFF"/>
        <w:tabs>
          <w:tab w:val="left" w:pos="-4962"/>
        </w:tabs>
        <w:jc w:val="both"/>
        <w:rPr>
          <w:sz w:val="20"/>
          <w:szCs w:val="20"/>
        </w:rPr>
      </w:pPr>
      <w:r w:rsidRPr="008B6A75">
        <w:rPr>
          <w:sz w:val="20"/>
          <w:szCs w:val="20"/>
        </w:rPr>
        <w:t>4) предложить участникам общественных обсуждений, определенным законодательством о градостроительной деятельности и прошедшим идентификацию в соответствии с данным законодательством, в течение шестнадцати дней со дня размещения проекта и информационных материалов к нему внести в комиссию предложения и замечания, касающиеся проектов.</w:t>
      </w:r>
    </w:p>
    <w:p w14:paraId="22FFBEF3" w14:textId="77777777" w:rsidR="00412741" w:rsidRPr="008B6A75" w:rsidRDefault="00412741" w:rsidP="00412741">
      <w:pPr>
        <w:shd w:val="clear" w:color="auto" w:fill="FFFFFF"/>
        <w:tabs>
          <w:tab w:val="left" w:pos="-4962"/>
        </w:tabs>
        <w:jc w:val="both"/>
        <w:rPr>
          <w:sz w:val="20"/>
          <w:szCs w:val="20"/>
        </w:rPr>
      </w:pPr>
      <w:r w:rsidRPr="008B6A75">
        <w:rPr>
          <w:sz w:val="20"/>
          <w:szCs w:val="20"/>
        </w:rPr>
        <w:t xml:space="preserve"> 5) в течение срока, указанного в подпункте 4 пункта 6 настоящего постановления: осуществлять регистрацию и рассмотрение предложений и замечаний, вносимых участниками общественных обсуждений.</w:t>
      </w:r>
    </w:p>
    <w:p w14:paraId="484D3EE0" w14:textId="77777777" w:rsidR="00412741" w:rsidRPr="008B6A75" w:rsidRDefault="00412741" w:rsidP="00412741">
      <w:pPr>
        <w:shd w:val="clear" w:color="auto" w:fill="FFFFFF"/>
        <w:tabs>
          <w:tab w:val="left" w:pos="-4962"/>
        </w:tabs>
        <w:jc w:val="both"/>
        <w:rPr>
          <w:sz w:val="20"/>
          <w:szCs w:val="20"/>
        </w:rPr>
      </w:pPr>
      <w:r w:rsidRPr="008B6A75">
        <w:rPr>
          <w:sz w:val="20"/>
          <w:szCs w:val="20"/>
        </w:rPr>
        <w:t xml:space="preserve">7. Провести экспозицию проектов, подлежащих рассмотрению на общественных обсуждениях. </w:t>
      </w:r>
    </w:p>
    <w:p w14:paraId="567205F8" w14:textId="77777777" w:rsidR="00412741" w:rsidRPr="008B6A75" w:rsidRDefault="00412741" w:rsidP="00412741">
      <w:pPr>
        <w:shd w:val="clear" w:color="auto" w:fill="FFFFFF"/>
        <w:tabs>
          <w:tab w:val="left" w:pos="-4962"/>
          <w:tab w:val="left" w:pos="7104"/>
        </w:tabs>
        <w:ind w:left="-26" w:firstLine="735"/>
        <w:jc w:val="both"/>
        <w:rPr>
          <w:sz w:val="20"/>
          <w:szCs w:val="20"/>
        </w:rPr>
      </w:pPr>
      <w:r w:rsidRPr="008B6A75">
        <w:rPr>
          <w:sz w:val="20"/>
          <w:szCs w:val="20"/>
        </w:rPr>
        <w:t>8. Управлению делами администрации Куйбышевского муниципального района Новосибирской области (Орлова Л.В.) опубликовать настоящее постановление в периодическом печатном издании органов местного самоуправления Куйбышевского муниципального района Новосибирской области «Информационный вестник» и на официальном сайте администрации Куйбышевского муниципального района Новосибирской области в телекоммуникационной сети «Интернет».</w:t>
      </w:r>
    </w:p>
    <w:p w14:paraId="6F5BD8D4" w14:textId="77777777" w:rsidR="00412741" w:rsidRPr="008B6A75" w:rsidRDefault="00412741" w:rsidP="00412741">
      <w:pPr>
        <w:shd w:val="clear" w:color="auto" w:fill="FFFFFF"/>
        <w:tabs>
          <w:tab w:val="left" w:pos="-4962"/>
          <w:tab w:val="left" w:pos="7104"/>
        </w:tabs>
        <w:ind w:left="-26" w:firstLine="735"/>
        <w:jc w:val="both"/>
        <w:rPr>
          <w:sz w:val="20"/>
          <w:szCs w:val="20"/>
        </w:rPr>
      </w:pPr>
      <w:r w:rsidRPr="008B6A75">
        <w:rPr>
          <w:sz w:val="20"/>
          <w:szCs w:val="20"/>
        </w:rPr>
        <w:t xml:space="preserve">9. Контроль за исполнением настоящего постановления возложить на начальника управления строительства коммунального, дорожного хозяйства и транспорта администрации Куйбышевского муниципального района Новосибирской области С.Ф. </w:t>
      </w:r>
      <w:proofErr w:type="spellStart"/>
      <w:r w:rsidRPr="008B6A75">
        <w:rPr>
          <w:sz w:val="20"/>
          <w:szCs w:val="20"/>
        </w:rPr>
        <w:t>Ильюхина</w:t>
      </w:r>
      <w:proofErr w:type="spellEnd"/>
      <w:r w:rsidRPr="008B6A75">
        <w:rPr>
          <w:sz w:val="20"/>
          <w:szCs w:val="20"/>
        </w:rPr>
        <w:t>.</w:t>
      </w:r>
      <w:r w:rsidRPr="008B6A75">
        <w:rPr>
          <w:sz w:val="20"/>
          <w:szCs w:val="20"/>
          <w:lang w:val="en-US"/>
        </w:rPr>
        <w:t> </w:t>
      </w:r>
    </w:p>
    <w:p w14:paraId="319A1FC6" w14:textId="77777777" w:rsidR="00412741" w:rsidRPr="008B6A75" w:rsidRDefault="00412741" w:rsidP="00412741">
      <w:pPr>
        <w:shd w:val="clear" w:color="auto" w:fill="FFFFFF"/>
        <w:tabs>
          <w:tab w:val="left" w:pos="-4962"/>
          <w:tab w:val="left" w:pos="7104"/>
        </w:tabs>
        <w:ind w:left="-26" w:firstLine="735"/>
        <w:jc w:val="both"/>
        <w:rPr>
          <w:sz w:val="20"/>
          <w:szCs w:val="20"/>
        </w:rPr>
      </w:pPr>
    </w:p>
    <w:p w14:paraId="2F91E1CA" w14:textId="77777777" w:rsidR="00412741" w:rsidRPr="008B6A75" w:rsidRDefault="00412741" w:rsidP="00412741">
      <w:pPr>
        <w:widowControl w:val="0"/>
        <w:shd w:val="clear" w:color="auto" w:fill="FFFFFF"/>
        <w:tabs>
          <w:tab w:val="left" w:pos="994"/>
        </w:tabs>
        <w:autoSpaceDE w:val="0"/>
        <w:autoSpaceDN w:val="0"/>
        <w:adjustRightInd w:val="0"/>
        <w:ind w:left="-26" w:firstLine="26"/>
        <w:rPr>
          <w:sz w:val="20"/>
          <w:szCs w:val="20"/>
        </w:rPr>
      </w:pPr>
      <w:r w:rsidRPr="008B6A75">
        <w:rPr>
          <w:sz w:val="20"/>
          <w:szCs w:val="20"/>
        </w:rPr>
        <w:t>Глава Куйбышевского муниципального</w:t>
      </w:r>
    </w:p>
    <w:p w14:paraId="0A8FDD50" w14:textId="3F186C0E" w:rsidR="00412741" w:rsidRPr="008B6A75" w:rsidRDefault="00412741" w:rsidP="00412741">
      <w:pPr>
        <w:widowControl w:val="0"/>
        <w:shd w:val="clear" w:color="auto" w:fill="FFFFFF"/>
        <w:tabs>
          <w:tab w:val="left" w:pos="994"/>
        </w:tabs>
        <w:autoSpaceDE w:val="0"/>
        <w:autoSpaceDN w:val="0"/>
        <w:adjustRightInd w:val="0"/>
        <w:ind w:left="-26" w:firstLine="26"/>
        <w:rPr>
          <w:sz w:val="20"/>
          <w:szCs w:val="20"/>
        </w:rPr>
      </w:pPr>
      <w:r w:rsidRPr="008B6A75">
        <w:rPr>
          <w:sz w:val="20"/>
          <w:szCs w:val="20"/>
        </w:rPr>
        <w:t xml:space="preserve">района Новосибирской области </w:t>
      </w:r>
      <w:r w:rsidRPr="008B6A75">
        <w:rPr>
          <w:sz w:val="20"/>
          <w:szCs w:val="20"/>
        </w:rPr>
        <w:tab/>
        <w:t xml:space="preserve">                              </w:t>
      </w:r>
      <w:r w:rsidR="00AB2803" w:rsidRPr="008B6A75">
        <w:rPr>
          <w:sz w:val="20"/>
          <w:szCs w:val="20"/>
        </w:rPr>
        <w:t xml:space="preserve">                                                     </w:t>
      </w:r>
      <w:r w:rsidRPr="008B6A75">
        <w:rPr>
          <w:sz w:val="20"/>
          <w:szCs w:val="20"/>
        </w:rPr>
        <w:t xml:space="preserve">                                 О.В. Караваев</w:t>
      </w:r>
    </w:p>
    <w:p w14:paraId="4C29F681" w14:textId="77777777" w:rsidR="00412741" w:rsidRPr="008B6A75" w:rsidRDefault="00412741" w:rsidP="00412741">
      <w:pPr>
        <w:widowControl w:val="0"/>
        <w:shd w:val="clear" w:color="auto" w:fill="FFFFFF"/>
        <w:tabs>
          <w:tab w:val="left" w:pos="994"/>
        </w:tabs>
        <w:autoSpaceDE w:val="0"/>
        <w:autoSpaceDN w:val="0"/>
        <w:adjustRightInd w:val="0"/>
        <w:ind w:left="-26" w:firstLine="26"/>
        <w:rPr>
          <w:sz w:val="20"/>
          <w:szCs w:val="20"/>
        </w:rPr>
      </w:pPr>
    </w:p>
    <w:p w14:paraId="7D1CCB25" w14:textId="77777777" w:rsidR="00412741" w:rsidRPr="008B6A75" w:rsidRDefault="00412741" w:rsidP="00412741">
      <w:pPr>
        <w:shd w:val="clear" w:color="auto" w:fill="FFFFFF"/>
        <w:tabs>
          <w:tab w:val="left" w:pos="-4962"/>
          <w:tab w:val="left" w:pos="3780"/>
        </w:tabs>
        <w:ind w:firstLine="735"/>
        <w:jc w:val="right"/>
        <w:rPr>
          <w:sz w:val="20"/>
          <w:szCs w:val="20"/>
        </w:rPr>
      </w:pPr>
      <w:r w:rsidRPr="008B6A75">
        <w:rPr>
          <w:sz w:val="20"/>
          <w:szCs w:val="20"/>
        </w:rPr>
        <w:t>Приложение № 1</w:t>
      </w:r>
    </w:p>
    <w:p w14:paraId="54AA5279" w14:textId="77777777" w:rsidR="00412741" w:rsidRPr="008B6A75" w:rsidRDefault="00412741" w:rsidP="00412741">
      <w:pPr>
        <w:shd w:val="clear" w:color="auto" w:fill="FFFFFF"/>
        <w:tabs>
          <w:tab w:val="left" w:pos="-4962"/>
          <w:tab w:val="left" w:pos="3780"/>
        </w:tabs>
        <w:ind w:firstLine="735"/>
        <w:jc w:val="right"/>
        <w:rPr>
          <w:sz w:val="20"/>
          <w:szCs w:val="20"/>
        </w:rPr>
      </w:pPr>
      <w:r w:rsidRPr="008B6A75">
        <w:rPr>
          <w:sz w:val="20"/>
          <w:szCs w:val="20"/>
        </w:rPr>
        <w:t>к Постановлению Главы</w:t>
      </w:r>
    </w:p>
    <w:p w14:paraId="252AD023" w14:textId="77777777" w:rsidR="00412741" w:rsidRPr="008B6A75" w:rsidRDefault="00412741" w:rsidP="00412741">
      <w:pPr>
        <w:shd w:val="clear" w:color="auto" w:fill="FFFFFF"/>
        <w:tabs>
          <w:tab w:val="left" w:pos="-4962"/>
          <w:tab w:val="left" w:pos="3780"/>
        </w:tabs>
        <w:ind w:firstLine="735"/>
        <w:jc w:val="right"/>
        <w:rPr>
          <w:sz w:val="20"/>
          <w:szCs w:val="20"/>
        </w:rPr>
      </w:pPr>
      <w:r w:rsidRPr="008B6A75">
        <w:rPr>
          <w:sz w:val="20"/>
          <w:szCs w:val="20"/>
        </w:rPr>
        <w:t>Куйбышевского</w:t>
      </w:r>
    </w:p>
    <w:p w14:paraId="767FA2EE" w14:textId="77777777" w:rsidR="00412741" w:rsidRPr="008B6A75" w:rsidRDefault="00412741" w:rsidP="00412741">
      <w:pPr>
        <w:shd w:val="clear" w:color="auto" w:fill="FFFFFF"/>
        <w:tabs>
          <w:tab w:val="left" w:pos="-4962"/>
          <w:tab w:val="left" w:pos="3780"/>
        </w:tabs>
        <w:ind w:firstLine="735"/>
        <w:jc w:val="right"/>
        <w:rPr>
          <w:sz w:val="20"/>
          <w:szCs w:val="20"/>
        </w:rPr>
      </w:pPr>
      <w:r w:rsidRPr="008B6A75">
        <w:rPr>
          <w:sz w:val="20"/>
          <w:szCs w:val="20"/>
        </w:rPr>
        <w:t>муниципального района</w:t>
      </w:r>
    </w:p>
    <w:p w14:paraId="199A8AF6" w14:textId="77777777" w:rsidR="00412741" w:rsidRPr="008B6A75" w:rsidRDefault="00412741" w:rsidP="00412741">
      <w:pPr>
        <w:shd w:val="clear" w:color="auto" w:fill="FFFFFF"/>
        <w:tabs>
          <w:tab w:val="left" w:pos="-4962"/>
          <w:tab w:val="left" w:pos="3780"/>
        </w:tabs>
        <w:ind w:firstLine="735"/>
        <w:jc w:val="right"/>
        <w:rPr>
          <w:sz w:val="20"/>
          <w:szCs w:val="20"/>
        </w:rPr>
      </w:pPr>
      <w:r w:rsidRPr="008B6A75">
        <w:rPr>
          <w:sz w:val="20"/>
          <w:szCs w:val="20"/>
        </w:rPr>
        <w:t>Новосибирской области</w:t>
      </w:r>
    </w:p>
    <w:p w14:paraId="58D1B4A4" w14:textId="77777777" w:rsidR="00412741" w:rsidRPr="008B6A75" w:rsidRDefault="00412741" w:rsidP="00412741">
      <w:pPr>
        <w:shd w:val="clear" w:color="auto" w:fill="FFFFFF"/>
        <w:tabs>
          <w:tab w:val="left" w:pos="-4962"/>
          <w:tab w:val="left" w:pos="3780"/>
        </w:tabs>
        <w:ind w:firstLine="735"/>
        <w:jc w:val="right"/>
        <w:rPr>
          <w:sz w:val="20"/>
          <w:szCs w:val="20"/>
        </w:rPr>
      </w:pPr>
      <w:r w:rsidRPr="008B6A75">
        <w:rPr>
          <w:sz w:val="20"/>
          <w:szCs w:val="20"/>
        </w:rPr>
        <w:t>от 03.11.2022 № 862</w:t>
      </w:r>
    </w:p>
    <w:p w14:paraId="000BD70A" w14:textId="77777777" w:rsidR="00412741" w:rsidRPr="008B6A75" w:rsidRDefault="00412741" w:rsidP="00412741">
      <w:pPr>
        <w:shd w:val="clear" w:color="auto" w:fill="FFFFFF"/>
        <w:tabs>
          <w:tab w:val="left" w:pos="-4962"/>
          <w:tab w:val="left" w:pos="3780"/>
        </w:tabs>
        <w:ind w:firstLine="735"/>
        <w:jc w:val="right"/>
        <w:rPr>
          <w:sz w:val="20"/>
          <w:szCs w:val="20"/>
        </w:rPr>
      </w:pPr>
    </w:p>
    <w:p w14:paraId="61455DD7" w14:textId="77777777" w:rsidR="00412741" w:rsidRPr="008B6A75" w:rsidRDefault="00412741" w:rsidP="00412741">
      <w:pPr>
        <w:shd w:val="clear" w:color="auto" w:fill="FFFFFF"/>
        <w:tabs>
          <w:tab w:val="left" w:pos="-4962"/>
          <w:tab w:val="left" w:pos="3780"/>
        </w:tabs>
        <w:ind w:firstLine="735"/>
        <w:jc w:val="right"/>
        <w:rPr>
          <w:sz w:val="20"/>
          <w:szCs w:val="20"/>
        </w:rPr>
      </w:pPr>
    </w:p>
    <w:p w14:paraId="3D2DFEB0" w14:textId="77777777" w:rsidR="00412741" w:rsidRPr="008B6A75" w:rsidRDefault="00412741" w:rsidP="00412741">
      <w:pPr>
        <w:shd w:val="clear" w:color="auto" w:fill="FFFFFF"/>
        <w:tabs>
          <w:tab w:val="left" w:pos="-4962"/>
          <w:tab w:val="left" w:pos="3780"/>
        </w:tabs>
        <w:ind w:firstLine="735"/>
        <w:jc w:val="right"/>
        <w:rPr>
          <w:sz w:val="20"/>
          <w:szCs w:val="20"/>
        </w:rPr>
      </w:pPr>
    </w:p>
    <w:p w14:paraId="28907789" w14:textId="77777777" w:rsidR="00412741" w:rsidRPr="008B6A75" w:rsidRDefault="00412741" w:rsidP="00412741">
      <w:pPr>
        <w:shd w:val="clear" w:color="auto" w:fill="FFFFFF"/>
        <w:tabs>
          <w:tab w:val="left" w:pos="-4962"/>
          <w:tab w:val="left" w:pos="3780"/>
        </w:tabs>
        <w:ind w:firstLine="735"/>
        <w:jc w:val="center"/>
        <w:rPr>
          <w:sz w:val="20"/>
          <w:szCs w:val="20"/>
        </w:rPr>
      </w:pPr>
      <w:r w:rsidRPr="008B6A75">
        <w:rPr>
          <w:sz w:val="20"/>
          <w:szCs w:val="20"/>
        </w:rPr>
        <w:t>Проект изменений</w:t>
      </w:r>
    </w:p>
    <w:p w14:paraId="49469531" w14:textId="77777777" w:rsidR="00412741" w:rsidRPr="008B6A75" w:rsidRDefault="00412741" w:rsidP="00412741">
      <w:pPr>
        <w:shd w:val="clear" w:color="auto" w:fill="FFFFFF"/>
        <w:tabs>
          <w:tab w:val="left" w:pos="-4962"/>
          <w:tab w:val="left" w:pos="3780"/>
        </w:tabs>
        <w:ind w:firstLine="735"/>
        <w:jc w:val="center"/>
        <w:rPr>
          <w:sz w:val="20"/>
          <w:szCs w:val="20"/>
        </w:rPr>
      </w:pPr>
    </w:p>
    <w:p w14:paraId="33D64B26" w14:textId="77777777" w:rsidR="00412741" w:rsidRPr="008B6A75" w:rsidRDefault="00412741" w:rsidP="00412741">
      <w:pPr>
        <w:autoSpaceDE w:val="0"/>
        <w:autoSpaceDN w:val="0"/>
        <w:adjustRightInd w:val="0"/>
        <w:jc w:val="both"/>
        <w:rPr>
          <w:sz w:val="20"/>
          <w:szCs w:val="20"/>
        </w:rPr>
      </w:pPr>
      <w:r w:rsidRPr="008B6A75">
        <w:rPr>
          <w:sz w:val="20"/>
          <w:szCs w:val="20"/>
        </w:rPr>
        <w:lastRenderedPageBreak/>
        <w:t>Проект изменений в Правила землепользования и застройки Октябрьского сельсовета Куйбышевского района Новосибирской области, утвержденные решением двадцатой сессии Совета депутатов Куйбышевского района третьего созыва от 21.09.2017 № 8 "Об утверждении правил землепользования и застройки 4 сельских поселений, входящих в состав Куйбышевского района":</w:t>
      </w:r>
    </w:p>
    <w:p w14:paraId="3F0DBC2F" w14:textId="77777777" w:rsidR="00412741" w:rsidRPr="008B6A75" w:rsidRDefault="00412741" w:rsidP="00412741">
      <w:pPr>
        <w:autoSpaceDE w:val="0"/>
        <w:autoSpaceDN w:val="0"/>
        <w:adjustRightInd w:val="0"/>
        <w:jc w:val="both"/>
        <w:rPr>
          <w:sz w:val="20"/>
          <w:szCs w:val="20"/>
        </w:rPr>
      </w:pPr>
      <w:r w:rsidRPr="008B6A75">
        <w:rPr>
          <w:sz w:val="20"/>
          <w:szCs w:val="20"/>
        </w:rPr>
        <w:t>- изменить границу территориальной зоны Р (</w:t>
      </w:r>
      <w:r w:rsidRPr="008B6A75">
        <w:rPr>
          <w:rFonts w:eastAsia="Calibri"/>
          <w:color w:val="000000"/>
          <w:sz w:val="20"/>
          <w:szCs w:val="20"/>
          <w:lang w:eastAsia="en-US"/>
        </w:rPr>
        <w:t xml:space="preserve">Зона рекреационного назначения) </w:t>
      </w:r>
      <w:r w:rsidRPr="008B6A75">
        <w:rPr>
          <w:sz w:val="20"/>
          <w:szCs w:val="20"/>
        </w:rPr>
        <w:t>на зону Ж1 (</w:t>
      </w:r>
      <w:r w:rsidRPr="008B6A75">
        <w:rPr>
          <w:rFonts w:eastAsia="Calibri"/>
          <w:color w:val="000000"/>
          <w:sz w:val="20"/>
          <w:szCs w:val="20"/>
          <w:lang w:eastAsia="en-US"/>
        </w:rPr>
        <w:t xml:space="preserve">Зона застройки индивидуальными жилыми домами) </w:t>
      </w:r>
      <w:r w:rsidRPr="008B6A75">
        <w:rPr>
          <w:sz w:val="20"/>
          <w:szCs w:val="20"/>
        </w:rPr>
        <w:t xml:space="preserve">в границах земельного участка с кадастровым номером </w:t>
      </w:r>
      <w:proofErr w:type="gramStart"/>
      <w:r w:rsidRPr="008B6A75">
        <w:rPr>
          <w:sz w:val="20"/>
          <w:szCs w:val="20"/>
        </w:rPr>
        <w:t>54:34:010101:ЗУ</w:t>
      </w:r>
      <w:proofErr w:type="gramEnd"/>
      <w:r w:rsidRPr="008B6A75">
        <w:rPr>
          <w:sz w:val="20"/>
          <w:szCs w:val="20"/>
        </w:rPr>
        <w:t xml:space="preserve">, площадью 750 </w:t>
      </w:r>
      <w:proofErr w:type="spellStart"/>
      <w:r w:rsidRPr="008B6A75">
        <w:rPr>
          <w:sz w:val="20"/>
          <w:szCs w:val="20"/>
        </w:rPr>
        <w:t>кв.м</w:t>
      </w:r>
      <w:proofErr w:type="spellEnd"/>
      <w:r w:rsidRPr="008B6A75">
        <w:rPr>
          <w:sz w:val="20"/>
          <w:szCs w:val="20"/>
        </w:rPr>
        <w:t>., местоположением: Новосибирская область, Куйбышевский район, п. Заречный, ул. Зеленая.</w:t>
      </w:r>
    </w:p>
    <w:p w14:paraId="0CF92694" w14:textId="77777777" w:rsidR="00412741" w:rsidRPr="008B6A75" w:rsidRDefault="00412741" w:rsidP="00412741">
      <w:pPr>
        <w:autoSpaceDE w:val="0"/>
        <w:autoSpaceDN w:val="0"/>
        <w:adjustRightInd w:val="0"/>
        <w:ind w:firstLine="540"/>
        <w:jc w:val="both"/>
        <w:outlineLvl w:val="1"/>
        <w:rPr>
          <w:sz w:val="20"/>
          <w:szCs w:val="20"/>
        </w:rPr>
      </w:pPr>
    </w:p>
    <w:p w14:paraId="46FCC430" w14:textId="77777777" w:rsidR="00412741" w:rsidRPr="008B6A75" w:rsidRDefault="00412741" w:rsidP="00412741">
      <w:pPr>
        <w:shd w:val="clear" w:color="auto" w:fill="FFFFFF"/>
        <w:tabs>
          <w:tab w:val="left" w:pos="-4962"/>
          <w:tab w:val="left" w:pos="3780"/>
        </w:tabs>
        <w:ind w:firstLine="735"/>
        <w:jc w:val="right"/>
        <w:rPr>
          <w:sz w:val="20"/>
          <w:szCs w:val="20"/>
        </w:rPr>
      </w:pPr>
      <w:r w:rsidRPr="008B6A75">
        <w:rPr>
          <w:sz w:val="20"/>
          <w:szCs w:val="20"/>
        </w:rPr>
        <w:t xml:space="preserve">                                       Приложение № 2</w:t>
      </w:r>
    </w:p>
    <w:p w14:paraId="69FF4AD0" w14:textId="77777777" w:rsidR="00412741" w:rsidRPr="008B6A75" w:rsidRDefault="00412741" w:rsidP="00412741">
      <w:pPr>
        <w:shd w:val="clear" w:color="auto" w:fill="FFFFFF"/>
        <w:tabs>
          <w:tab w:val="left" w:pos="-4962"/>
          <w:tab w:val="left" w:pos="3780"/>
        </w:tabs>
        <w:ind w:firstLine="735"/>
        <w:jc w:val="right"/>
        <w:rPr>
          <w:sz w:val="20"/>
          <w:szCs w:val="20"/>
        </w:rPr>
      </w:pPr>
      <w:r w:rsidRPr="008B6A75">
        <w:rPr>
          <w:sz w:val="20"/>
          <w:szCs w:val="20"/>
        </w:rPr>
        <w:t>к Постановлению Главы</w:t>
      </w:r>
    </w:p>
    <w:p w14:paraId="01E6048E" w14:textId="77777777" w:rsidR="00412741" w:rsidRPr="008B6A75" w:rsidRDefault="00412741" w:rsidP="00412741">
      <w:pPr>
        <w:shd w:val="clear" w:color="auto" w:fill="FFFFFF"/>
        <w:tabs>
          <w:tab w:val="left" w:pos="-4962"/>
          <w:tab w:val="left" w:pos="3780"/>
        </w:tabs>
        <w:ind w:firstLine="735"/>
        <w:jc w:val="right"/>
        <w:rPr>
          <w:sz w:val="20"/>
          <w:szCs w:val="20"/>
        </w:rPr>
      </w:pPr>
      <w:r w:rsidRPr="008B6A75">
        <w:rPr>
          <w:sz w:val="20"/>
          <w:szCs w:val="20"/>
        </w:rPr>
        <w:t>Куйбышевского</w:t>
      </w:r>
    </w:p>
    <w:p w14:paraId="704959C8" w14:textId="77777777" w:rsidR="00412741" w:rsidRPr="008B6A75" w:rsidRDefault="00412741" w:rsidP="00412741">
      <w:pPr>
        <w:shd w:val="clear" w:color="auto" w:fill="FFFFFF"/>
        <w:tabs>
          <w:tab w:val="left" w:pos="-4962"/>
          <w:tab w:val="left" w:pos="3780"/>
        </w:tabs>
        <w:ind w:firstLine="735"/>
        <w:jc w:val="right"/>
        <w:rPr>
          <w:sz w:val="20"/>
          <w:szCs w:val="20"/>
        </w:rPr>
      </w:pPr>
      <w:r w:rsidRPr="008B6A75">
        <w:rPr>
          <w:sz w:val="20"/>
          <w:szCs w:val="20"/>
        </w:rPr>
        <w:t>муниципального района</w:t>
      </w:r>
    </w:p>
    <w:p w14:paraId="49062F37" w14:textId="77777777" w:rsidR="00412741" w:rsidRPr="008B6A75" w:rsidRDefault="00412741" w:rsidP="00412741">
      <w:pPr>
        <w:shd w:val="clear" w:color="auto" w:fill="FFFFFF"/>
        <w:tabs>
          <w:tab w:val="left" w:pos="-4962"/>
          <w:tab w:val="left" w:pos="3780"/>
        </w:tabs>
        <w:ind w:firstLine="735"/>
        <w:jc w:val="right"/>
        <w:rPr>
          <w:sz w:val="20"/>
          <w:szCs w:val="20"/>
        </w:rPr>
      </w:pPr>
      <w:r w:rsidRPr="008B6A75">
        <w:rPr>
          <w:sz w:val="20"/>
          <w:szCs w:val="20"/>
        </w:rPr>
        <w:t>Новосибирской области</w:t>
      </w:r>
    </w:p>
    <w:p w14:paraId="0D4E2E92" w14:textId="77777777" w:rsidR="00412741" w:rsidRPr="008B6A75" w:rsidRDefault="00412741" w:rsidP="00412741">
      <w:pPr>
        <w:shd w:val="clear" w:color="auto" w:fill="FFFFFF"/>
        <w:tabs>
          <w:tab w:val="left" w:pos="-4962"/>
          <w:tab w:val="left" w:pos="3780"/>
        </w:tabs>
        <w:ind w:firstLine="735"/>
        <w:jc w:val="right"/>
        <w:rPr>
          <w:sz w:val="20"/>
          <w:szCs w:val="20"/>
        </w:rPr>
      </w:pPr>
      <w:r w:rsidRPr="008B6A75">
        <w:rPr>
          <w:sz w:val="20"/>
          <w:szCs w:val="20"/>
        </w:rPr>
        <w:t>от 03.11.2022 № 862</w:t>
      </w:r>
    </w:p>
    <w:p w14:paraId="0B5D4580" w14:textId="77777777" w:rsidR="00412741" w:rsidRPr="008B6A75" w:rsidRDefault="00412741" w:rsidP="00412741">
      <w:pPr>
        <w:shd w:val="clear" w:color="auto" w:fill="FFFFFF"/>
        <w:tabs>
          <w:tab w:val="left" w:pos="-4962"/>
          <w:tab w:val="left" w:pos="3780"/>
        </w:tabs>
        <w:ind w:firstLine="735"/>
        <w:jc w:val="right"/>
        <w:rPr>
          <w:sz w:val="20"/>
          <w:szCs w:val="20"/>
        </w:rPr>
      </w:pPr>
    </w:p>
    <w:p w14:paraId="2F09D298" w14:textId="77777777" w:rsidR="00412741" w:rsidRPr="008B6A75" w:rsidRDefault="00412741" w:rsidP="00412741">
      <w:pPr>
        <w:shd w:val="clear" w:color="auto" w:fill="FFFFFF"/>
        <w:tabs>
          <w:tab w:val="left" w:pos="-4962"/>
          <w:tab w:val="left" w:pos="3780"/>
        </w:tabs>
        <w:ind w:firstLine="735"/>
        <w:jc w:val="center"/>
        <w:rPr>
          <w:sz w:val="20"/>
          <w:szCs w:val="20"/>
        </w:rPr>
      </w:pPr>
      <w:r w:rsidRPr="008B6A75">
        <w:rPr>
          <w:sz w:val="20"/>
          <w:szCs w:val="20"/>
        </w:rPr>
        <w:t>Проект изменений</w:t>
      </w:r>
    </w:p>
    <w:p w14:paraId="26E0E2D1" w14:textId="77777777" w:rsidR="00412741" w:rsidRPr="008B6A75" w:rsidRDefault="00412741" w:rsidP="00412741">
      <w:pPr>
        <w:shd w:val="clear" w:color="auto" w:fill="FFFFFF"/>
        <w:tabs>
          <w:tab w:val="left" w:pos="-4962"/>
          <w:tab w:val="left" w:pos="3780"/>
        </w:tabs>
        <w:ind w:firstLine="735"/>
        <w:jc w:val="center"/>
        <w:rPr>
          <w:sz w:val="20"/>
          <w:szCs w:val="20"/>
        </w:rPr>
      </w:pPr>
    </w:p>
    <w:p w14:paraId="1C6A3E59" w14:textId="77777777" w:rsidR="00412741" w:rsidRPr="008B6A75" w:rsidRDefault="00412741" w:rsidP="00412741">
      <w:pPr>
        <w:autoSpaceDE w:val="0"/>
        <w:autoSpaceDN w:val="0"/>
        <w:adjustRightInd w:val="0"/>
        <w:ind w:firstLine="540"/>
        <w:jc w:val="both"/>
        <w:outlineLvl w:val="1"/>
        <w:rPr>
          <w:sz w:val="20"/>
          <w:szCs w:val="20"/>
        </w:rPr>
      </w:pPr>
      <w:r w:rsidRPr="008B6A75">
        <w:rPr>
          <w:sz w:val="20"/>
          <w:szCs w:val="20"/>
        </w:rPr>
        <w:t>Проект изменений в Генеральный план Октябрьского сельсовета Куйбышевского района Новосибирской области, утвержденный решением №7 от 27.12.2012г. Совета депутатов Октябрьского сельсовета Куйбышевского района Новосибирской области «Об утверждении генерального плана Октябрьского сельсовета Куйбышевского района Новосибирской области»:</w:t>
      </w:r>
    </w:p>
    <w:p w14:paraId="32E6AEAE" w14:textId="77777777" w:rsidR="00412741" w:rsidRPr="008B6A75" w:rsidRDefault="00412741" w:rsidP="00412741">
      <w:pPr>
        <w:autoSpaceDE w:val="0"/>
        <w:autoSpaceDN w:val="0"/>
        <w:adjustRightInd w:val="0"/>
        <w:ind w:firstLine="540"/>
        <w:jc w:val="both"/>
        <w:outlineLvl w:val="1"/>
        <w:rPr>
          <w:sz w:val="20"/>
          <w:szCs w:val="20"/>
        </w:rPr>
      </w:pPr>
      <w:r w:rsidRPr="008B6A75">
        <w:rPr>
          <w:sz w:val="20"/>
          <w:szCs w:val="20"/>
        </w:rPr>
        <w:t xml:space="preserve">- установить в границах земельного участка с кадастровым номером </w:t>
      </w:r>
      <w:proofErr w:type="gramStart"/>
      <w:r w:rsidRPr="008B6A75">
        <w:rPr>
          <w:sz w:val="20"/>
          <w:szCs w:val="20"/>
        </w:rPr>
        <w:t>54:34:010101:ЗУ</w:t>
      </w:r>
      <w:proofErr w:type="gramEnd"/>
      <w:r w:rsidRPr="008B6A75">
        <w:rPr>
          <w:sz w:val="20"/>
          <w:szCs w:val="20"/>
        </w:rPr>
        <w:t xml:space="preserve">, площадью 750 </w:t>
      </w:r>
      <w:proofErr w:type="spellStart"/>
      <w:r w:rsidRPr="008B6A75">
        <w:rPr>
          <w:sz w:val="20"/>
          <w:szCs w:val="20"/>
        </w:rPr>
        <w:t>кв.м</w:t>
      </w:r>
      <w:proofErr w:type="spellEnd"/>
      <w:r w:rsidRPr="008B6A75">
        <w:rPr>
          <w:sz w:val="20"/>
          <w:szCs w:val="20"/>
        </w:rPr>
        <w:t>., местоположением: Новосибирская область, Куйбышевский район, п. Заречный, ул. Зеленая, функциональную зону  -</w:t>
      </w:r>
      <w:r w:rsidRPr="008B6A75">
        <w:rPr>
          <w:rFonts w:eastAsia="Calibri"/>
          <w:color w:val="000000"/>
          <w:sz w:val="20"/>
          <w:szCs w:val="20"/>
          <w:lang w:eastAsia="en-US"/>
        </w:rPr>
        <w:t xml:space="preserve"> «Жилые зоны».  </w:t>
      </w:r>
    </w:p>
    <w:p w14:paraId="56C81496" w14:textId="77777777" w:rsidR="00412741" w:rsidRPr="008B6A75" w:rsidRDefault="00412741" w:rsidP="00412741">
      <w:pPr>
        <w:shd w:val="clear" w:color="auto" w:fill="FFFFFF"/>
        <w:tabs>
          <w:tab w:val="left" w:pos="-4962"/>
          <w:tab w:val="left" w:pos="3780"/>
        </w:tabs>
        <w:ind w:firstLine="735"/>
        <w:jc w:val="right"/>
        <w:rPr>
          <w:sz w:val="20"/>
          <w:szCs w:val="20"/>
        </w:rPr>
      </w:pPr>
    </w:p>
    <w:p w14:paraId="54CAB45A" w14:textId="77777777" w:rsidR="00412741" w:rsidRPr="008B6A75" w:rsidRDefault="00412741" w:rsidP="00412741">
      <w:pPr>
        <w:autoSpaceDE w:val="0"/>
        <w:autoSpaceDN w:val="0"/>
        <w:adjustRightInd w:val="0"/>
        <w:ind w:firstLine="540"/>
        <w:jc w:val="both"/>
        <w:rPr>
          <w:color w:val="000000"/>
          <w:sz w:val="20"/>
          <w:szCs w:val="20"/>
        </w:rPr>
      </w:pPr>
    </w:p>
    <w:p w14:paraId="573642AF" w14:textId="77777777" w:rsidR="00412741" w:rsidRPr="008B6A75" w:rsidRDefault="00412741" w:rsidP="00412741">
      <w:pPr>
        <w:widowControl w:val="0"/>
        <w:shd w:val="clear" w:color="auto" w:fill="FFFFFF"/>
        <w:tabs>
          <w:tab w:val="left" w:pos="994"/>
        </w:tabs>
        <w:autoSpaceDE w:val="0"/>
        <w:autoSpaceDN w:val="0"/>
        <w:adjustRightInd w:val="0"/>
        <w:ind w:left="-26" w:firstLine="26"/>
        <w:rPr>
          <w:sz w:val="20"/>
          <w:szCs w:val="20"/>
        </w:rPr>
      </w:pPr>
    </w:p>
    <w:p w14:paraId="753406AB" w14:textId="77777777" w:rsidR="006118BE" w:rsidRPr="008B6A75" w:rsidRDefault="006118BE" w:rsidP="006118BE">
      <w:pPr>
        <w:pStyle w:val="af5"/>
        <w:rPr>
          <w:b w:val="0"/>
          <w:bCs w:val="0"/>
          <w:sz w:val="20"/>
          <w:szCs w:val="20"/>
        </w:rPr>
      </w:pPr>
      <w:r w:rsidRPr="008B6A75">
        <w:rPr>
          <w:b w:val="0"/>
          <w:bCs w:val="0"/>
          <w:sz w:val="20"/>
          <w:szCs w:val="20"/>
        </w:rPr>
        <w:t xml:space="preserve">АДМИНИСТРАЦИЯ </w:t>
      </w:r>
    </w:p>
    <w:p w14:paraId="67F0C6FA" w14:textId="77777777" w:rsidR="006118BE" w:rsidRPr="008B6A75" w:rsidRDefault="006118BE" w:rsidP="006118BE">
      <w:pPr>
        <w:pStyle w:val="af5"/>
        <w:rPr>
          <w:b w:val="0"/>
          <w:bCs w:val="0"/>
          <w:sz w:val="20"/>
          <w:szCs w:val="20"/>
        </w:rPr>
      </w:pPr>
      <w:r w:rsidRPr="008B6A75">
        <w:rPr>
          <w:b w:val="0"/>
          <w:bCs w:val="0"/>
          <w:sz w:val="20"/>
          <w:szCs w:val="20"/>
        </w:rPr>
        <w:t>КУЙБЫШЕВСКОГО МУНИЦИПАЛЬНОГО РАЙОНА</w:t>
      </w:r>
    </w:p>
    <w:p w14:paraId="1B0E6493" w14:textId="77777777" w:rsidR="006118BE" w:rsidRPr="008B6A75" w:rsidRDefault="006118BE" w:rsidP="006118BE">
      <w:pPr>
        <w:pStyle w:val="af5"/>
        <w:rPr>
          <w:b w:val="0"/>
          <w:bCs w:val="0"/>
          <w:sz w:val="20"/>
          <w:szCs w:val="20"/>
        </w:rPr>
      </w:pPr>
      <w:r w:rsidRPr="008B6A75">
        <w:rPr>
          <w:b w:val="0"/>
          <w:bCs w:val="0"/>
          <w:sz w:val="20"/>
          <w:szCs w:val="20"/>
        </w:rPr>
        <w:t>НОВОСИБИРСКОЙ ОБЛАСТИ</w:t>
      </w:r>
    </w:p>
    <w:p w14:paraId="123529A1" w14:textId="77777777" w:rsidR="006118BE" w:rsidRPr="008B6A75" w:rsidRDefault="006118BE" w:rsidP="006118BE">
      <w:pPr>
        <w:pStyle w:val="af5"/>
        <w:rPr>
          <w:b w:val="0"/>
          <w:bCs w:val="0"/>
          <w:sz w:val="20"/>
          <w:szCs w:val="20"/>
        </w:rPr>
      </w:pPr>
    </w:p>
    <w:p w14:paraId="1C8AD13E" w14:textId="77777777" w:rsidR="006118BE" w:rsidRPr="008B6A75" w:rsidRDefault="006118BE" w:rsidP="006118BE">
      <w:pPr>
        <w:pStyle w:val="af5"/>
        <w:rPr>
          <w:b w:val="0"/>
          <w:bCs w:val="0"/>
          <w:sz w:val="20"/>
          <w:szCs w:val="20"/>
        </w:rPr>
      </w:pPr>
      <w:r w:rsidRPr="008B6A75">
        <w:rPr>
          <w:b w:val="0"/>
          <w:bCs w:val="0"/>
          <w:sz w:val="20"/>
          <w:szCs w:val="20"/>
        </w:rPr>
        <w:t>ПОСТАНОВЛЕНИЕ</w:t>
      </w:r>
    </w:p>
    <w:p w14:paraId="148A0381" w14:textId="77777777" w:rsidR="006118BE" w:rsidRPr="008B6A75" w:rsidRDefault="006118BE" w:rsidP="006118BE">
      <w:pPr>
        <w:pStyle w:val="af5"/>
        <w:rPr>
          <w:b w:val="0"/>
          <w:bCs w:val="0"/>
          <w:sz w:val="20"/>
          <w:szCs w:val="20"/>
        </w:rPr>
      </w:pPr>
    </w:p>
    <w:p w14:paraId="0DB52663" w14:textId="77777777" w:rsidR="006118BE" w:rsidRPr="008B6A75" w:rsidRDefault="006118BE" w:rsidP="006118BE">
      <w:pPr>
        <w:pStyle w:val="af5"/>
        <w:rPr>
          <w:b w:val="0"/>
          <w:bCs w:val="0"/>
          <w:sz w:val="20"/>
          <w:szCs w:val="20"/>
        </w:rPr>
      </w:pPr>
      <w:r w:rsidRPr="008B6A75">
        <w:rPr>
          <w:b w:val="0"/>
          <w:bCs w:val="0"/>
          <w:sz w:val="20"/>
          <w:szCs w:val="20"/>
        </w:rPr>
        <w:t>г. Куйбышев</w:t>
      </w:r>
    </w:p>
    <w:p w14:paraId="798E521E" w14:textId="77777777" w:rsidR="006118BE" w:rsidRPr="008B6A75" w:rsidRDefault="006118BE" w:rsidP="006118BE">
      <w:pPr>
        <w:pStyle w:val="af5"/>
        <w:rPr>
          <w:b w:val="0"/>
          <w:bCs w:val="0"/>
          <w:sz w:val="20"/>
          <w:szCs w:val="20"/>
        </w:rPr>
      </w:pPr>
      <w:r w:rsidRPr="008B6A75">
        <w:rPr>
          <w:b w:val="0"/>
          <w:bCs w:val="0"/>
          <w:sz w:val="20"/>
          <w:szCs w:val="20"/>
        </w:rPr>
        <w:t>Новосибирская область</w:t>
      </w:r>
    </w:p>
    <w:p w14:paraId="63F144E7" w14:textId="77777777" w:rsidR="006118BE" w:rsidRPr="008B6A75" w:rsidRDefault="006118BE" w:rsidP="006118BE">
      <w:pPr>
        <w:pStyle w:val="af5"/>
        <w:rPr>
          <w:b w:val="0"/>
          <w:bCs w:val="0"/>
          <w:sz w:val="20"/>
          <w:szCs w:val="20"/>
        </w:rPr>
      </w:pPr>
    </w:p>
    <w:p w14:paraId="39ED436F" w14:textId="77777777" w:rsidR="006118BE" w:rsidRPr="008B6A75" w:rsidRDefault="006118BE" w:rsidP="006118BE">
      <w:pPr>
        <w:pStyle w:val="af5"/>
        <w:rPr>
          <w:b w:val="0"/>
          <w:bCs w:val="0"/>
          <w:sz w:val="20"/>
          <w:szCs w:val="20"/>
        </w:rPr>
      </w:pPr>
      <w:r w:rsidRPr="008B6A75">
        <w:rPr>
          <w:b w:val="0"/>
          <w:bCs w:val="0"/>
          <w:sz w:val="20"/>
          <w:szCs w:val="20"/>
        </w:rPr>
        <w:t>03.11.2022 № 863</w:t>
      </w:r>
    </w:p>
    <w:p w14:paraId="5E40DA48" w14:textId="77777777" w:rsidR="006118BE" w:rsidRPr="008B6A75" w:rsidRDefault="006118BE" w:rsidP="006118BE">
      <w:pPr>
        <w:pStyle w:val="af5"/>
        <w:rPr>
          <w:b w:val="0"/>
          <w:bCs w:val="0"/>
          <w:sz w:val="20"/>
          <w:szCs w:val="20"/>
        </w:rPr>
      </w:pPr>
    </w:p>
    <w:p w14:paraId="7902D7A4" w14:textId="77777777" w:rsidR="006118BE" w:rsidRPr="008B6A75" w:rsidRDefault="006118BE" w:rsidP="006118BE">
      <w:pPr>
        <w:pStyle w:val="af5"/>
        <w:rPr>
          <w:b w:val="0"/>
          <w:bCs w:val="0"/>
          <w:sz w:val="20"/>
          <w:szCs w:val="20"/>
        </w:rPr>
      </w:pPr>
      <w:r w:rsidRPr="008B6A75">
        <w:rPr>
          <w:b w:val="0"/>
          <w:bCs w:val="0"/>
          <w:sz w:val="20"/>
          <w:szCs w:val="20"/>
        </w:rPr>
        <w:t xml:space="preserve">О признании утратившим силу постановления администрации </w:t>
      </w:r>
    </w:p>
    <w:p w14:paraId="7D17A676" w14:textId="77777777" w:rsidR="006118BE" w:rsidRPr="008B6A75" w:rsidRDefault="006118BE" w:rsidP="006118BE">
      <w:pPr>
        <w:pStyle w:val="af5"/>
        <w:rPr>
          <w:b w:val="0"/>
          <w:bCs w:val="0"/>
          <w:sz w:val="20"/>
          <w:szCs w:val="20"/>
        </w:rPr>
      </w:pPr>
      <w:r w:rsidRPr="008B6A75">
        <w:rPr>
          <w:b w:val="0"/>
          <w:bCs w:val="0"/>
          <w:sz w:val="20"/>
          <w:szCs w:val="20"/>
        </w:rPr>
        <w:t>Куйбышевского района от 27.08.2012 № 1393</w:t>
      </w:r>
    </w:p>
    <w:p w14:paraId="0826861F" w14:textId="77777777" w:rsidR="006118BE" w:rsidRPr="008B6A75" w:rsidRDefault="006118BE" w:rsidP="006118BE">
      <w:pPr>
        <w:pStyle w:val="af5"/>
        <w:rPr>
          <w:b w:val="0"/>
          <w:bCs w:val="0"/>
          <w:sz w:val="20"/>
          <w:szCs w:val="20"/>
        </w:rPr>
      </w:pPr>
    </w:p>
    <w:p w14:paraId="48F3FEDF" w14:textId="77777777" w:rsidR="006118BE" w:rsidRPr="008B6A75" w:rsidRDefault="006118BE" w:rsidP="006118BE">
      <w:pPr>
        <w:pStyle w:val="af5"/>
        <w:jc w:val="both"/>
        <w:rPr>
          <w:b w:val="0"/>
          <w:bCs w:val="0"/>
          <w:sz w:val="20"/>
          <w:szCs w:val="20"/>
        </w:rPr>
      </w:pPr>
      <w:r w:rsidRPr="008B6A75">
        <w:rPr>
          <w:b w:val="0"/>
          <w:bCs w:val="0"/>
          <w:sz w:val="20"/>
          <w:szCs w:val="20"/>
        </w:rPr>
        <w:t>В целях приведения муниципальных правовых актов в соответствие с действующим законодательством, администрация Куйбышевского муниципального района Новосибирской области</w:t>
      </w:r>
    </w:p>
    <w:p w14:paraId="53857FE9" w14:textId="77777777" w:rsidR="006118BE" w:rsidRPr="008B6A75" w:rsidRDefault="006118BE" w:rsidP="006118BE">
      <w:pPr>
        <w:pStyle w:val="af5"/>
        <w:jc w:val="both"/>
        <w:rPr>
          <w:b w:val="0"/>
          <w:bCs w:val="0"/>
          <w:sz w:val="20"/>
          <w:szCs w:val="20"/>
        </w:rPr>
      </w:pPr>
      <w:r w:rsidRPr="008B6A75">
        <w:rPr>
          <w:b w:val="0"/>
          <w:bCs w:val="0"/>
          <w:sz w:val="20"/>
          <w:szCs w:val="20"/>
        </w:rPr>
        <w:t>ПОСТАНОВЛЯЕТ:</w:t>
      </w:r>
    </w:p>
    <w:p w14:paraId="4388F1C0" w14:textId="77777777" w:rsidR="006118BE" w:rsidRPr="008B6A75" w:rsidRDefault="006118BE" w:rsidP="006118BE">
      <w:pPr>
        <w:pStyle w:val="af5"/>
        <w:jc w:val="both"/>
        <w:rPr>
          <w:b w:val="0"/>
          <w:bCs w:val="0"/>
          <w:sz w:val="20"/>
          <w:szCs w:val="20"/>
        </w:rPr>
      </w:pPr>
      <w:r w:rsidRPr="008B6A75">
        <w:rPr>
          <w:b w:val="0"/>
          <w:bCs w:val="0"/>
          <w:sz w:val="20"/>
          <w:szCs w:val="20"/>
        </w:rPr>
        <w:t>1. Постановление администрации Куйбышевского района от 27.08.2012 № 1393 «Об утверждении Положения по осуществлению действий по участию в оказании государственной услуги по предоставлению социальных выплат в рамках реализации приказа министерства сельского хозяйства Новосибирской области от 11.11.2010 № 35 «Об утверждении административного регламента оказания государственной услуги по предоставлению социальных выплат на строительство (приобретение) жилья в сельской местности Новосибирской области»» признать утратившим силу.</w:t>
      </w:r>
    </w:p>
    <w:p w14:paraId="77AF1FFF" w14:textId="77777777" w:rsidR="006118BE" w:rsidRPr="008B6A75" w:rsidRDefault="006118BE" w:rsidP="006118BE">
      <w:pPr>
        <w:pStyle w:val="af5"/>
        <w:jc w:val="both"/>
        <w:rPr>
          <w:b w:val="0"/>
          <w:bCs w:val="0"/>
          <w:sz w:val="20"/>
          <w:szCs w:val="20"/>
        </w:rPr>
      </w:pPr>
      <w:r w:rsidRPr="008B6A75">
        <w:rPr>
          <w:b w:val="0"/>
          <w:bCs w:val="0"/>
          <w:sz w:val="20"/>
          <w:szCs w:val="20"/>
        </w:rPr>
        <w:t>2. Управлению делами администрации Куйбышевского муниципального района Новосибирской области (Орлова Л.В.) опубликовать настоящее постановление в периодическом печатном издании органов местного самоуправления Куйбышевского муниципального района Новосибирской области «Информационный вестник».</w:t>
      </w:r>
    </w:p>
    <w:p w14:paraId="146B8442" w14:textId="77777777" w:rsidR="006118BE" w:rsidRPr="008B6A75" w:rsidRDefault="006118BE" w:rsidP="006118BE">
      <w:pPr>
        <w:pStyle w:val="af5"/>
        <w:jc w:val="both"/>
        <w:rPr>
          <w:b w:val="0"/>
          <w:bCs w:val="0"/>
          <w:sz w:val="20"/>
          <w:szCs w:val="20"/>
        </w:rPr>
      </w:pPr>
      <w:r w:rsidRPr="008B6A75">
        <w:rPr>
          <w:b w:val="0"/>
          <w:bCs w:val="0"/>
          <w:sz w:val="20"/>
          <w:szCs w:val="20"/>
        </w:rPr>
        <w:tab/>
      </w:r>
    </w:p>
    <w:p w14:paraId="5AA7F4EA" w14:textId="77777777" w:rsidR="006118BE" w:rsidRPr="008B6A75" w:rsidRDefault="006118BE" w:rsidP="006118BE">
      <w:pPr>
        <w:pStyle w:val="af5"/>
        <w:jc w:val="both"/>
        <w:rPr>
          <w:b w:val="0"/>
          <w:bCs w:val="0"/>
          <w:sz w:val="20"/>
          <w:szCs w:val="20"/>
        </w:rPr>
      </w:pPr>
      <w:r w:rsidRPr="008B6A75">
        <w:rPr>
          <w:b w:val="0"/>
          <w:bCs w:val="0"/>
          <w:sz w:val="20"/>
          <w:szCs w:val="20"/>
        </w:rPr>
        <w:t>Глава Куйбышевского муниципального</w:t>
      </w:r>
    </w:p>
    <w:p w14:paraId="78596EC9" w14:textId="52CC7B90" w:rsidR="00C74467" w:rsidRPr="008B6A75" w:rsidRDefault="006118BE" w:rsidP="006118BE">
      <w:pPr>
        <w:pStyle w:val="af5"/>
        <w:jc w:val="both"/>
        <w:rPr>
          <w:b w:val="0"/>
          <w:bCs w:val="0"/>
          <w:sz w:val="20"/>
          <w:szCs w:val="20"/>
        </w:rPr>
      </w:pPr>
      <w:r w:rsidRPr="008B6A75">
        <w:rPr>
          <w:b w:val="0"/>
          <w:bCs w:val="0"/>
          <w:sz w:val="20"/>
          <w:szCs w:val="20"/>
        </w:rPr>
        <w:t>района Новосибирской области</w:t>
      </w:r>
      <w:r w:rsidRPr="008B6A75">
        <w:rPr>
          <w:b w:val="0"/>
          <w:bCs w:val="0"/>
          <w:sz w:val="20"/>
          <w:szCs w:val="20"/>
        </w:rPr>
        <w:tab/>
      </w:r>
      <w:r w:rsidRPr="008B6A75">
        <w:rPr>
          <w:b w:val="0"/>
          <w:bCs w:val="0"/>
          <w:sz w:val="20"/>
          <w:szCs w:val="20"/>
        </w:rPr>
        <w:tab/>
      </w:r>
      <w:r w:rsidRPr="008B6A75">
        <w:rPr>
          <w:b w:val="0"/>
          <w:bCs w:val="0"/>
          <w:sz w:val="20"/>
          <w:szCs w:val="20"/>
        </w:rPr>
        <w:tab/>
      </w:r>
      <w:r w:rsidRPr="008B6A75">
        <w:rPr>
          <w:b w:val="0"/>
          <w:bCs w:val="0"/>
          <w:sz w:val="20"/>
          <w:szCs w:val="20"/>
        </w:rPr>
        <w:tab/>
        <w:t xml:space="preserve">                                                                           О.В. Караваев</w:t>
      </w:r>
    </w:p>
    <w:p w14:paraId="09AD1A02" w14:textId="77777777" w:rsidR="006118BE" w:rsidRPr="008B6A75" w:rsidRDefault="006118BE" w:rsidP="006118BE">
      <w:pPr>
        <w:pStyle w:val="af5"/>
        <w:jc w:val="both"/>
        <w:rPr>
          <w:b w:val="0"/>
          <w:bCs w:val="0"/>
          <w:sz w:val="20"/>
          <w:szCs w:val="20"/>
        </w:rPr>
      </w:pPr>
    </w:p>
    <w:p w14:paraId="50CB7845" w14:textId="77777777" w:rsidR="006118BE" w:rsidRDefault="006118BE" w:rsidP="006118BE">
      <w:pPr>
        <w:pStyle w:val="af5"/>
        <w:jc w:val="both"/>
        <w:rPr>
          <w:b w:val="0"/>
          <w:bCs w:val="0"/>
          <w:sz w:val="20"/>
          <w:szCs w:val="20"/>
        </w:rPr>
      </w:pPr>
    </w:p>
    <w:p w14:paraId="10DDF6DA" w14:textId="77777777" w:rsidR="00265078" w:rsidRDefault="00265078" w:rsidP="006118BE">
      <w:pPr>
        <w:pStyle w:val="af5"/>
        <w:jc w:val="both"/>
        <w:rPr>
          <w:b w:val="0"/>
          <w:bCs w:val="0"/>
          <w:sz w:val="20"/>
          <w:szCs w:val="20"/>
        </w:rPr>
      </w:pPr>
    </w:p>
    <w:p w14:paraId="2E53BD32" w14:textId="77777777" w:rsidR="00265078" w:rsidRDefault="00265078" w:rsidP="006118BE">
      <w:pPr>
        <w:pStyle w:val="af5"/>
        <w:jc w:val="both"/>
        <w:rPr>
          <w:b w:val="0"/>
          <w:bCs w:val="0"/>
          <w:sz w:val="20"/>
          <w:szCs w:val="20"/>
        </w:rPr>
      </w:pPr>
    </w:p>
    <w:p w14:paraId="5D8E0340" w14:textId="77777777" w:rsidR="00265078" w:rsidRPr="008B6A75" w:rsidRDefault="00265078" w:rsidP="006118BE">
      <w:pPr>
        <w:pStyle w:val="af5"/>
        <w:jc w:val="both"/>
        <w:rPr>
          <w:b w:val="0"/>
          <w:bCs w:val="0"/>
          <w:sz w:val="20"/>
          <w:szCs w:val="20"/>
        </w:rPr>
      </w:pPr>
    </w:p>
    <w:p w14:paraId="28D1DC17" w14:textId="77777777" w:rsidR="006118BE" w:rsidRPr="008B6A75" w:rsidRDefault="006118BE" w:rsidP="006118BE">
      <w:pPr>
        <w:pStyle w:val="af5"/>
        <w:jc w:val="both"/>
        <w:rPr>
          <w:b w:val="0"/>
          <w:bCs w:val="0"/>
          <w:sz w:val="20"/>
          <w:szCs w:val="20"/>
        </w:rPr>
      </w:pPr>
    </w:p>
    <w:p w14:paraId="7B433992" w14:textId="5110BB56" w:rsidR="006118BE" w:rsidRPr="008B6A75" w:rsidRDefault="006118BE" w:rsidP="006118BE">
      <w:pPr>
        <w:pStyle w:val="af5"/>
        <w:rPr>
          <w:b w:val="0"/>
          <w:bCs w:val="0"/>
          <w:sz w:val="20"/>
          <w:szCs w:val="20"/>
        </w:rPr>
      </w:pPr>
      <w:r w:rsidRPr="008B6A75">
        <w:rPr>
          <w:b w:val="0"/>
          <w:bCs w:val="0"/>
          <w:sz w:val="20"/>
          <w:szCs w:val="20"/>
        </w:rPr>
        <w:lastRenderedPageBreak/>
        <w:t>АДМИНИСТРАЦИЯ</w:t>
      </w:r>
    </w:p>
    <w:p w14:paraId="5D048A07" w14:textId="77777777" w:rsidR="006118BE" w:rsidRPr="008B6A75" w:rsidRDefault="006118BE" w:rsidP="006118BE">
      <w:pPr>
        <w:pStyle w:val="af5"/>
        <w:rPr>
          <w:b w:val="0"/>
          <w:bCs w:val="0"/>
          <w:sz w:val="20"/>
          <w:szCs w:val="20"/>
        </w:rPr>
      </w:pPr>
      <w:r w:rsidRPr="008B6A75">
        <w:rPr>
          <w:b w:val="0"/>
          <w:bCs w:val="0"/>
          <w:sz w:val="20"/>
          <w:szCs w:val="20"/>
        </w:rPr>
        <w:t>КУЙБЫШЕВСКОГО МУНИЦИПАЛЬНОГО РАЙОНА</w:t>
      </w:r>
    </w:p>
    <w:p w14:paraId="12300F47" w14:textId="77777777" w:rsidR="006118BE" w:rsidRPr="008B6A75" w:rsidRDefault="006118BE" w:rsidP="006118BE">
      <w:pPr>
        <w:pStyle w:val="af5"/>
        <w:rPr>
          <w:b w:val="0"/>
          <w:bCs w:val="0"/>
          <w:sz w:val="20"/>
          <w:szCs w:val="20"/>
        </w:rPr>
      </w:pPr>
      <w:r w:rsidRPr="008B6A75">
        <w:rPr>
          <w:b w:val="0"/>
          <w:bCs w:val="0"/>
          <w:sz w:val="20"/>
          <w:szCs w:val="20"/>
        </w:rPr>
        <w:t>НОВОСИБИРСКОЙ ОБЛАСТИ</w:t>
      </w:r>
    </w:p>
    <w:p w14:paraId="58C6DD60" w14:textId="77777777" w:rsidR="006118BE" w:rsidRPr="008B6A75" w:rsidRDefault="006118BE" w:rsidP="006118BE">
      <w:pPr>
        <w:pStyle w:val="af5"/>
        <w:rPr>
          <w:b w:val="0"/>
          <w:bCs w:val="0"/>
          <w:sz w:val="20"/>
          <w:szCs w:val="20"/>
        </w:rPr>
      </w:pPr>
    </w:p>
    <w:p w14:paraId="602789C2" w14:textId="77777777" w:rsidR="006118BE" w:rsidRPr="008B6A75" w:rsidRDefault="006118BE" w:rsidP="006118BE">
      <w:pPr>
        <w:pStyle w:val="af5"/>
        <w:rPr>
          <w:b w:val="0"/>
          <w:bCs w:val="0"/>
          <w:sz w:val="20"/>
          <w:szCs w:val="20"/>
        </w:rPr>
      </w:pPr>
      <w:r w:rsidRPr="008B6A75">
        <w:rPr>
          <w:b w:val="0"/>
          <w:bCs w:val="0"/>
          <w:sz w:val="20"/>
          <w:szCs w:val="20"/>
        </w:rPr>
        <w:t>ПОСТАНОВЛЕНИЕ</w:t>
      </w:r>
    </w:p>
    <w:p w14:paraId="67DCC82B" w14:textId="77777777" w:rsidR="006118BE" w:rsidRPr="008B6A75" w:rsidRDefault="006118BE" w:rsidP="006118BE">
      <w:pPr>
        <w:pStyle w:val="af5"/>
        <w:rPr>
          <w:b w:val="0"/>
          <w:bCs w:val="0"/>
          <w:sz w:val="20"/>
          <w:szCs w:val="20"/>
        </w:rPr>
      </w:pPr>
    </w:p>
    <w:p w14:paraId="1BF7FAA8" w14:textId="77777777" w:rsidR="006118BE" w:rsidRPr="008B6A75" w:rsidRDefault="006118BE" w:rsidP="006118BE">
      <w:pPr>
        <w:pStyle w:val="af5"/>
        <w:rPr>
          <w:b w:val="0"/>
          <w:bCs w:val="0"/>
          <w:sz w:val="20"/>
          <w:szCs w:val="20"/>
        </w:rPr>
      </w:pPr>
      <w:r w:rsidRPr="008B6A75">
        <w:rPr>
          <w:b w:val="0"/>
          <w:bCs w:val="0"/>
          <w:sz w:val="20"/>
          <w:szCs w:val="20"/>
        </w:rPr>
        <w:t>г. Куйбышев</w:t>
      </w:r>
    </w:p>
    <w:p w14:paraId="1357BB20" w14:textId="77777777" w:rsidR="006118BE" w:rsidRPr="008B6A75" w:rsidRDefault="006118BE" w:rsidP="006118BE">
      <w:pPr>
        <w:pStyle w:val="af5"/>
        <w:rPr>
          <w:b w:val="0"/>
          <w:bCs w:val="0"/>
          <w:sz w:val="20"/>
          <w:szCs w:val="20"/>
        </w:rPr>
      </w:pPr>
      <w:r w:rsidRPr="008B6A75">
        <w:rPr>
          <w:b w:val="0"/>
          <w:bCs w:val="0"/>
          <w:sz w:val="20"/>
          <w:szCs w:val="20"/>
        </w:rPr>
        <w:t>Новосибирская область</w:t>
      </w:r>
    </w:p>
    <w:p w14:paraId="27B28807" w14:textId="77777777" w:rsidR="006118BE" w:rsidRPr="008B6A75" w:rsidRDefault="006118BE" w:rsidP="006118BE">
      <w:pPr>
        <w:pStyle w:val="af5"/>
        <w:rPr>
          <w:b w:val="0"/>
          <w:bCs w:val="0"/>
          <w:sz w:val="20"/>
          <w:szCs w:val="20"/>
        </w:rPr>
      </w:pPr>
    </w:p>
    <w:p w14:paraId="07194060" w14:textId="77777777" w:rsidR="006118BE" w:rsidRPr="008B6A75" w:rsidRDefault="006118BE" w:rsidP="006118BE">
      <w:pPr>
        <w:pStyle w:val="af5"/>
        <w:rPr>
          <w:b w:val="0"/>
          <w:bCs w:val="0"/>
          <w:sz w:val="20"/>
          <w:szCs w:val="20"/>
        </w:rPr>
      </w:pPr>
      <w:r w:rsidRPr="008B6A75">
        <w:rPr>
          <w:b w:val="0"/>
          <w:bCs w:val="0"/>
          <w:sz w:val="20"/>
          <w:szCs w:val="20"/>
        </w:rPr>
        <w:t>03.11.2022 № 864</w:t>
      </w:r>
    </w:p>
    <w:p w14:paraId="6EC74F74" w14:textId="77777777" w:rsidR="006118BE" w:rsidRPr="008B6A75" w:rsidRDefault="006118BE" w:rsidP="006118BE">
      <w:pPr>
        <w:pStyle w:val="af5"/>
        <w:rPr>
          <w:b w:val="0"/>
          <w:bCs w:val="0"/>
          <w:sz w:val="20"/>
          <w:szCs w:val="20"/>
        </w:rPr>
      </w:pPr>
    </w:p>
    <w:p w14:paraId="6F401843" w14:textId="09EFA172" w:rsidR="006118BE" w:rsidRPr="008B6A75" w:rsidRDefault="006118BE" w:rsidP="006118BE">
      <w:pPr>
        <w:pStyle w:val="af5"/>
        <w:rPr>
          <w:b w:val="0"/>
          <w:bCs w:val="0"/>
          <w:sz w:val="20"/>
          <w:szCs w:val="20"/>
        </w:rPr>
      </w:pPr>
      <w:r w:rsidRPr="008B6A75">
        <w:rPr>
          <w:b w:val="0"/>
          <w:bCs w:val="0"/>
          <w:sz w:val="20"/>
          <w:szCs w:val="20"/>
        </w:rPr>
        <w:t>О признании утратившим силу постановления администрации</w:t>
      </w:r>
    </w:p>
    <w:p w14:paraId="08EFBDC0" w14:textId="77777777" w:rsidR="006118BE" w:rsidRPr="008B6A75" w:rsidRDefault="006118BE" w:rsidP="006118BE">
      <w:pPr>
        <w:pStyle w:val="af5"/>
        <w:rPr>
          <w:b w:val="0"/>
          <w:bCs w:val="0"/>
          <w:sz w:val="20"/>
          <w:szCs w:val="20"/>
        </w:rPr>
      </w:pPr>
      <w:r w:rsidRPr="008B6A75">
        <w:rPr>
          <w:b w:val="0"/>
          <w:bCs w:val="0"/>
          <w:sz w:val="20"/>
          <w:szCs w:val="20"/>
        </w:rPr>
        <w:t>Куйбышевского района от 15.03.2011 № 293</w:t>
      </w:r>
    </w:p>
    <w:p w14:paraId="704F2884" w14:textId="77777777" w:rsidR="006118BE" w:rsidRPr="008B6A75" w:rsidRDefault="006118BE" w:rsidP="006118BE">
      <w:pPr>
        <w:pStyle w:val="af5"/>
        <w:jc w:val="both"/>
        <w:rPr>
          <w:b w:val="0"/>
          <w:bCs w:val="0"/>
          <w:sz w:val="20"/>
          <w:szCs w:val="20"/>
        </w:rPr>
      </w:pPr>
    </w:p>
    <w:p w14:paraId="4A9BFD61" w14:textId="77777777" w:rsidR="006118BE" w:rsidRPr="008B6A75" w:rsidRDefault="006118BE" w:rsidP="006118BE">
      <w:pPr>
        <w:pStyle w:val="af5"/>
        <w:jc w:val="both"/>
        <w:rPr>
          <w:b w:val="0"/>
          <w:bCs w:val="0"/>
          <w:sz w:val="20"/>
          <w:szCs w:val="20"/>
        </w:rPr>
      </w:pPr>
      <w:r w:rsidRPr="008B6A75">
        <w:rPr>
          <w:b w:val="0"/>
          <w:bCs w:val="0"/>
          <w:sz w:val="20"/>
          <w:szCs w:val="20"/>
        </w:rPr>
        <w:t>В целях приведения муниципальных правовых актов в соответствие с действующим законодательством, администрация Куйбышевского муниципального района Новосибирской области</w:t>
      </w:r>
    </w:p>
    <w:p w14:paraId="5D544781" w14:textId="77777777" w:rsidR="006118BE" w:rsidRPr="008B6A75" w:rsidRDefault="006118BE" w:rsidP="006118BE">
      <w:pPr>
        <w:pStyle w:val="af5"/>
        <w:jc w:val="both"/>
        <w:rPr>
          <w:b w:val="0"/>
          <w:bCs w:val="0"/>
          <w:sz w:val="20"/>
          <w:szCs w:val="20"/>
        </w:rPr>
      </w:pPr>
      <w:r w:rsidRPr="008B6A75">
        <w:rPr>
          <w:b w:val="0"/>
          <w:bCs w:val="0"/>
          <w:sz w:val="20"/>
          <w:szCs w:val="20"/>
        </w:rPr>
        <w:t>ПОСТАНОВЛЯЕТ:</w:t>
      </w:r>
    </w:p>
    <w:p w14:paraId="054814D5" w14:textId="77777777" w:rsidR="006118BE" w:rsidRPr="008B6A75" w:rsidRDefault="006118BE" w:rsidP="006118BE">
      <w:pPr>
        <w:pStyle w:val="af5"/>
        <w:jc w:val="both"/>
        <w:rPr>
          <w:b w:val="0"/>
          <w:bCs w:val="0"/>
          <w:sz w:val="20"/>
          <w:szCs w:val="20"/>
        </w:rPr>
      </w:pPr>
      <w:r w:rsidRPr="008B6A75">
        <w:rPr>
          <w:b w:val="0"/>
          <w:bCs w:val="0"/>
          <w:sz w:val="20"/>
          <w:szCs w:val="20"/>
        </w:rPr>
        <w:t>1. Постановление администрации Куйбышевского района от 15.03.2011 № 293 «О создании Совета по взаимодействию с органами по контролю (надзору) в области защиты прав потребителей» признать утратившим силу.</w:t>
      </w:r>
    </w:p>
    <w:p w14:paraId="3953D13F" w14:textId="77777777" w:rsidR="006118BE" w:rsidRPr="008B6A75" w:rsidRDefault="006118BE" w:rsidP="006118BE">
      <w:pPr>
        <w:pStyle w:val="af5"/>
        <w:jc w:val="both"/>
        <w:rPr>
          <w:b w:val="0"/>
          <w:bCs w:val="0"/>
          <w:sz w:val="20"/>
          <w:szCs w:val="20"/>
        </w:rPr>
      </w:pPr>
      <w:r w:rsidRPr="008B6A75">
        <w:rPr>
          <w:b w:val="0"/>
          <w:bCs w:val="0"/>
          <w:sz w:val="20"/>
          <w:szCs w:val="20"/>
        </w:rPr>
        <w:t>2. Управлению делами администрации Куйбышевского муниципального района Новосибирской области (Орлова Л.В.) опубликовать настоящее постановление в периодическом печатном издании органов местного самоуправления Куйбышевского муниципального района Новосибирской области «Информационный вестник».</w:t>
      </w:r>
    </w:p>
    <w:p w14:paraId="5F8F3B9F" w14:textId="77777777" w:rsidR="006118BE" w:rsidRPr="008B6A75" w:rsidRDefault="006118BE" w:rsidP="006118BE">
      <w:pPr>
        <w:pStyle w:val="af5"/>
        <w:jc w:val="both"/>
        <w:rPr>
          <w:b w:val="0"/>
          <w:bCs w:val="0"/>
          <w:sz w:val="20"/>
          <w:szCs w:val="20"/>
        </w:rPr>
      </w:pPr>
      <w:r w:rsidRPr="008B6A75">
        <w:rPr>
          <w:b w:val="0"/>
          <w:bCs w:val="0"/>
          <w:sz w:val="20"/>
          <w:szCs w:val="20"/>
        </w:rPr>
        <w:tab/>
      </w:r>
    </w:p>
    <w:p w14:paraId="6950ECC6" w14:textId="77777777" w:rsidR="006118BE" w:rsidRPr="008B6A75" w:rsidRDefault="006118BE" w:rsidP="006118BE">
      <w:pPr>
        <w:pStyle w:val="af5"/>
        <w:jc w:val="both"/>
        <w:rPr>
          <w:b w:val="0"/>
          <w:bCs w:val="0"/>
          <w:sz w:val="20"/>
          <w:szCs w:val="20"/>
        </w:rPr>
      </w:pPr>
      <w:r w:rsidRPr="008B6A75">
        <w:rPr>
          <w:b w:val="0"/>
          <w:bCs w:val="0"/>
          <w:sz w:val="20"/>
          <w:szCs w:val="20"/>
        </w:rPr>
        <w:t>Глава Куйбышевского муниципального</w:t>
      </w:r>
    </w:p>
    <w:p w14:paraId="77607709" w14:textId="491145AA" w:rsidR="006118BE" w:rsidRPr="008B6A75" w:rsidRDefault="006118BE" w:rsidP="006118BE">
      <w:pPr>
        <w:pStyle w:val="af5"/>
        <w:jc w:val="both"/>
        <w:rPr>
          <w:b w:val="0"/>
          <w:bCs w:val="0"/>
          <w:sz w:val="20"/>
          <w:szCs w:val="20"/>
        </w:rPr>
      </w:pPr>
      <w:r w:rsidRPr="008B6A75">
        <w:rPr>
          <w:b w:val="0"/>
          <w:bCs w:val="0"/>
          <w:sz w:val="20"/>
          <w:szCs w:val="20"/>
        </w:rPr>
        <w:t>района Новосибирской области</w:t>
      </w:r>
      <w:r w:rsidRPr="008B6A75">
        <w:rPr>
          <w:b w:val="0"/>
          <w:bCs w:val="0"/>
          <w:sz w:val="20"/>
          <w:szCs w:val="20"/>
        </w:rPr>
        <w:tab/>
      </w:r>
      <w:r w:rsidRPr="008B6A75">
        <w:rPr>
          <w:b w:val="0"/>
          <w:bCs w:val="0"/>
          <w:sz w:val="20"/>
          <w:szCs w:val="20"/>
        </w:rPr>
        <w:tab/>
      </w:r>
      <w:r w:rsidRPr="008B6A75">
        <w:rPr>
          <w:b w:val="0"/>
          <w:bCs w:val="0"/>
          <w:sz w:val="20"/>
          <w:szCs w:val="20"/>
        </w:rPr>
        <w:tab/>
      </w:r>
      <w:r w:rsidRPr="008B6A75">
        <w:rPr>
          <w:b w:val="0"/>
          <w:bCs w:val="0"/>
          <w:sz w:val="20"/>
          <w:szCs w:val="20"/>
        </w:rPr>
        <w:tab/>
        <w:t xml:space="preserve">                                                                         О.В. Караваев</w:t>
      </w:r>
    </w:p>
    <w:p w14:paraId="4AC39C0A" w14:textId="77777777" w:rsidR="006118BE" w:rsidRPr="008B6A75" w:rsidRDefault="006118BE" w:rsidP="006118BE">
      <w:pPr>
        <w:pStyle w:val="af5"/>
        <w:jc w:val="both"/>
        <w:rPr>
          <w:b w:val="0"/>
          <w:bCs w:val="0"/>
          <w:sz w:val="20"/>
          <w:szCs w:val="20"/>
        </w:rPr>
      </w:pPr>
    </w:p>
    <w:p w14:paraId="5ABD4B5E" w14:textId="77777777" w:rsidR="00F723BF" w:rsidRPr="008B6A75" w:rsidRDefault="00F723BF" w:rsidP="006118BE">
      <w:pPr>
        <w:widowControl w:val="0"/>
        <w:autoSpaceDE w:val="0"/>
        <w:autoSpaceDN w:val="0"/>
        <w:adjustRightInd w:val="0"/>
        <w:ind w:firstLine="539"/>
        <w:jc w:val="both"/>
        <w:rPr>
          <w:sz w:val="20"/>
          <w:szCs w:val="20"/>
        </w:rPr>
      </w:pPr>
    </w:p>
    <w:p w14:paraId="0C62FE80" w14:textId="4DFF1FD2" w:rsidR="00ED1DAD" w:rsidRPr="008B6A75" w:rsidRDefault="00ED1DAD" w:rsidP="00ED1DAD">
      <w:pPr>
        <w:pStyle w:val="10"/>
        <w:jc w:val="center"/>
        <w:rPr>
          <w:sz w:val="20"/>
        </w:rPr>
      </w:pPr>
    </w:p>
    <w:p w14:paraId="4CCA28F3" w14:textId="77777777" w:rsidR="00ED1DAD" w:rsidRPr="008B6A75" w:rsidRDefault="00ED1DAD" w:rsidP="00ED1DAD">
      <w:pPr>
        <w:pStyle w:val="10"/>
        <w:jc w:val="both"/>
        <w:rPr>
          <w:sz w:val="20"/>
        </w:rPr>
      </w:pPr>
    </w:p>
    <w:p w14:paraId="0291D1D1" w14:textId="77777777" w:rsidR="00ED1DAD" w:rsidRPr="008B6A75" w:rsidRDefault="00ED1DAD" w:rsidP="00ED1DAD">
      <w:pPr>
        <w:keepNext/>
        <w:jc w:val="center"/>
        <w:outlineLvl w:val="0"/>
        <w:rPr>
          <w:sz w:val="20"/>
          <w:szCs w:val="20"/>
        </w:rPr>
      </w:pPr>
      <w:r w:rsidRPr="008B6A75">
        <w:rPr>
          <w:sz w:val="20"/>
          <w:szCs w:val="20"/>
        </w:rPr>
        <w:t>АДМИНИСТРАЦИЯ</w:t>
      </w:r>
    </w:p>
    <w:p w14:paraId="2F2AE2BE" w14:textId="77777777" w:rsidR="00ED1DAD" w:rsidRPr="008B6A75" w:rsidRDefault="00ED1DAD" w:rsidP="00ED1DAD">
      <w:pPr>
        <w:keepNext/>
        <w:jc w:val="center"/>
        <w:outlineLvl w:val="0"/>
        <w:rPr>
          <w:sz w:val="20"/>
          <w:szCs w:val="20"/>
        </w:rPr>
      </w:pPr>
      <w:r w:rsidRPr="008B6A75">
        <w:rPr>
          <w:sz w:val="20"/>
          <w:szCs w:val="20"/>
        </w:rPr>
        <w:t>КУЙБЫШЕВСКОГО МУНИЦИПАЛЬНОГО РАЙОНА</w:t>
      </w:r>
    </w:p>
    <w:p w14:paraId="1B496620" w14:textId="77777777" w:rsidR="00ED1DAD" w:rsidRPr="008B6A75" w:rsidRDefault="00ED1DAD" w:rsidP="00ED1DAD">
      <w:pPr>
        <w:keepNext/>
        <w:jc w:val="center"/>
        <w:outlineLvl w:val="0"/>
        <w:rPr>
          <w:sz w:val="20"/>
          <w:szCs w:val="20"/>
        </w:rPr>
      </w:pPr>
      <w:r w:rsidRPr="008B6A75">
        <w:rPr>
          <w:sz w:val="20"/>
          <w:szCs w:val="20"/>
        </w:rPr>
        <w:t>НОВОСИБИРСКОЙ ОБЛАСТИ</w:t>
      </w:r>
    </w:p>
    <w:p w14:paraId="69DF8E99" w14:textId="77777777" w:rsidR="00ED1DAD" w:rsidRPr="008B6A75" w:rsidRDefault="00ED1DAD" w:rsidP="00ED1DAD">
      <w:pPr>
        <w:keepNext/>
        <w:jc w:val="center"/>
        <w:outlineLvl w:val="1"/>
        <w:rPr>
          <w:sz w:val="20"/>
          <w:szCs w:val="20"/>
        </w:rPr>
      </w:pPr>
    </w:p>
    <w:p w14:paraId="406E6D88" w14:textId="77777777" w:rsidR="00ED1DAD" w:rsidRPr="008B6A75" w:rsidRDefault="00ED1DAD" w:rsidP="00ED1DAD">
      <w:pPr>
        <w:keepNext/>
        <w:jc w:val="center"/>
        <w:outlineLvl w:val="1"/>
        <w:rPr>
          <w:sz w:val="20"/>
          <w:szCs w:val="20"/>
        </w:rPr>
      </w:pPr>
      <w:r w:rsidRPr="008B6A75">
        <w:rPr>
          <w:sz w:val="20"/>
          <w:szCs w:val="20"/>
        </w:rPr>
        <w:t>ПОСТАНОВЛЕНИЕ</w:t>
      </w:r>
    </w:p>
    <w:p w14:paraId="676CCE19" w14:textId="77777777" w:rsidR="00ED1DAD" w:rsidRPr="008B6A75" w:rsidRDefault="00ED1DAD" w:rsidP="00ED1DAD">
      <w:pPr>
        <w:spacing w:line="300" w:lineRule="auto"/>
        <w:ind w:firstLine="720"/>
        <w:jc w:val="center"/>
        <w:rPr>
          <w:sz w:val="20"/>
          <w:szCs w:val="20"/>
        </w:rPr>
      </w:pPr>
    </w:p>
    <w:p w14:paraId="542B912A" w14:textId="77777777" w:rsidR="00ED1DAD" w:rsidRPr="008B6A75" w:rsidRDefault="00ED1DAD" w:rsidP="00ED1DAD">
      <w:pPr>
        <w:spacing w:line="300" w:lineRule="auto"/>
        <w:jc w:val="center"/>
        <w:rPr>
          <w:sz w:val="20"/>
          <w:szCs w:val="20"/>
        </w:rPr>
      </w:pPr>
      <w:r w:rsidRPr="008B6A75">
        <w:rPr>
          <w:sz w:val="20"/>
          <w:szCs w:val="20"/>
        </w:rPr>
        <w:t xml:space="preserve">г. Куйбышев </w:t>
      </w:r>
    </w:p>
    <w:p w14:paraId="266CCA4E" w14:textId="77777777" w:rsidR="00ED1DAD" w:rsidRPr="008B6A75" w:rsidRDefault="00ED1DAD" w:rsidP="00ED1DAD">
      <w:pPr>
        <w:spacing w:line="300" w:lineRule="auto"/>
        <w:jc w:val="center"/>
        <w:rPr>
          <w:sz w:val="20"/>
          <w:szCs w:val="20"/>
        </w:rPr>
      </w:pPr>
      <w:r w:rsidRPr="008B6A75">
        <w:rPr>
          <w:sz w:val="20"/>
          <w:szCs w:val="20"/>
        </w:rPr>
        <w:t>Новосибирская область</w:t>
      </w:r>
    </w:p>
    <w:p w14:paraId="3699E834" w14:textId="77777777" w:rsidR="00ED1DAD" w:rsidRPr="008B6A75" w:rsidRDefault="00ED1DAD" w:rsidP="00ED1DAD">
      <w:pPr>
        <w:keepNext/>
        <w:jc w:val="center"/>
        <w:outlineLvl w:val="2"/>
        <w:rPr>
          <w:sz w:val="20"/>
          <w:szCs w:val="20"/>
        </w:rPr>
      </w:pPr>
    </w:p>
    <w:p w14:paraId="496DF2E0" w14:textId="77777777" w:rsidR="00ED1DAD" w:rsidRPr="008B6A75" w:rsidRDefault="00ED1DAD" w:rsidP="00ED1DAD">
      <w:pPr>
        <w:spacing w:line="300" w:lineRule="auto"/>
        <w:jc w:val="center"/>
        <w:rPr>
          <w:sz w:val="20"/>
          <w:szCs w:val="20"/>
        </w:rPr>
      </w:pPr>
      <w:r w:rsidRPr="008B6A75">
        <w:rPr>
          <w:sz w:val="20"/>
          <w:szCs w:val="20"/>
        </w:rPr>
        <w:t>03.11.2022 № 865</w:t>
      </w:r>
    </w:p>
    <w:p w14:paraId="1A0B4901" w14:textId="77777777" w:rsidR="00ED1DAD" w:rsidRPr="008B6A75" w:rsidRDefault="00ED1DAD" w:rsidP="00ED1DAD">
      <w:pPr>
        <w:spacing w:line="300" w:lineRule="auto"/>
        <w:jc w:val="center"/>
        <w:rPr>
          <w:sz w:val="20"/>
          <w:szCs w:val="20"/>
        </w:rPr>
      </w:pPr>
    </w:p>
    <w:p w14:paraId="3DFC65BC" w14:textId="77777777" w:rsidR="00ED1DAD" w:rsidRPr="008B6A75" w:rsidRDefault="00ED1DAD" w:rsidP="00ED1DAD">
      <w:pPr>
        <w:jc w:val="center"/>
        <w:rPr>
          <w:sz w:val="20"/>
          <w:szCs w:val="20"/>
        </w:rPr>
      </w:pPr>
      <w:r w:rsidRPr="008B6A75">
        <w:rPr>
          <w:sz w:val="20"/>
          <w:szCs w:val="20"/>
        </w:rPr>
        <w:t>Об изменении типа муниципальных бюджетных учреждений Куйбышевского муниципального района Новосибирской области</w:t>
      </w:r>
    </w:p>
    <w:p w14:paraId="16D7A3E2" w14:textId="77777777" w:rsidR="00ED1DAD" w:rsidRPr="008B6A75" w:rsidRDefault="00ED1DAD" w:rsidP="00ED1DAD">
      <w:pPr>
        <w:tabs>
          <w:tab w:val="left" w:pos="540"/>
        </w:tabs>
        <w:ind w:firstLine="720"/>
        <w:jc w:val="both"/>
        <w:rPr>
          <w:sz w:val="20"/>
          <w:szCs w:val="20"/>
        </w:rPr>
      </w:pPr>
      <w:r w:rsidRPr="008B6A75">
        <w:rPr>
          <w:sz w:val="20"/>
          <w:szCs w:val="20"/>
        </w:rPr>
        <w:tab/>
      </w:r>
    </w:p>
    <w:p w14:paraId="69B6CC9F" w14:textId="77777777" w:rsidR="00ED1DAD" w:rsidRPr="008B6A75" w:rsidRDefault="00ED1DAD" w:rsidP="00ED1DAD">
      <w:pPr>
        <w:tabs>
          <w:tab w:val="left" w:pos="540"/>
        </w:tabs>
        <w:autoSpaceDE w:val="0"/>
        <w:autoSpaceDN w:val="0"/>
        <w:adjustRightInd w:val="0"/>
        <w:ind w:firstLine="720"/>
        <w:jc w:val="both"/>
        <w:outlineLvl w:val="0"/>
        <w:rPr>
          <w:sz w:val="20"/>
          <w:szCs w:val="20"/>
        </w:rPr>
      </w:pPr>
      <w:r w:rsidRPr="008B6A75">
        <w:rPr>
          <w:sz w:val="20"/>
          <w:szCs w:val="20"/>
        </w:rPr>
        <w:t>В соответствии с Гражданским кодексом Российской Федерации, Федеральным законом от 12.01.1996 № 7-ФЗ "О некоммерческих организациях", Федеральным законом от 08.05.2010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Уставом Куйбышевского муниципального района Новосибирской области, постановлением администрации Куйбышевского района от 20.02.2013 № 210 «Об утверждении Порядка создания, реорганизации, изменения типа и ликвидации муниципальных учреждений Куйбышевского района, а также утверждения уставов муниципальных учреждений Куйбышевского района и внесения в них изменений», администрация Куйбышевского муниципального района Новосибирской области</w:t>
      </w:r>
    </w:p>
    <w:p w14:paraId="24D4E075" w14:textId="77777777" w:rsidR="00ED1DAD" w:rsidRPr="008B6A75" w:rsidRDefault="00ED1DAD" w:rsidP="00ED1DAD">
      <w:pPr>
        <w:tabs>
          <w:tab w:val="left" w:pos="540"/>
        </w:tabs>
        <w:jc w:val="both"/>
        <w:rPr>
          <w:sz w:val="20"/>
          <w:szCs w:val="20"/>
        </w:rPr>
      </w:pPr>
      <w:r w:rsidRPr="008B6A75">
        <w:rPr>
          <w:sz w:val="20"/>
          <w:szCs w:val="20"/>
        </w:rPr>
        <w:tab/>
      </w:r>
      <w:r w:rsidRPr="008B6A75">
        <w:rPr>
          <w:sz w:val="20"/>
          <w:szCs w:val="20"/>
        </w:rPr>
        <w:tab/>
        <w:t>ПОСТАНОВЛЯЕТ:</w:t>
      </w:r>
    </w:p>
    <w:p w14:paraId="15B3A32D" w14:textId="77777777" w:rsidR="00ED1DAD" w:rsidRPr="008B6A75" w:rsidRDefault="00ED1DAD" w:rsidP="00ED1DAD">
      <w:pPr>
        <w:ind w:firstLine="708"/>
        <w:jc w:val="both"/>
        <w:rPr>
          <w:sz w:val="20"/>
          <w:szCs w:val="20"/>
        </w:rPr>
      </w:pPr>
      <w:r w:rsidRPr="008B6A75">
        <w:rPr>
          <w:sz w:val="20"/>
          <w:szCs w:val="20"/>
        </w:rPr>
        <w:t>1. Изменить тип существующих муниципальных бюджетных образовательных учреждений Куйбышевского муниципального района Новосибирской области, указанных в приложении № 1 к настоящему постановлению, на муниципальные казённые образовательные учреждения.</w:t>
      </w:r>
    </w:p>
    <w:p w14:paraId="2787B171" w14:textId="77777777" w:rsidR="00ED1DAD" w:rsidRPr="008B6A75" w:rsidRDefault="00ED1DAD" w:rsidP="00ED1DAD">
      <w:pPr>
        <w:ind w:firstLine="708"/>
        <w:jc w:val="both"/>
        <w:rPr>
          <w:color w:val="000000"/>
          <w:sz w:val="20"/>
          <w:szCs w:val="20"/>
        </w:rPr>
      </w:pPr>
      <w:r w:rsidRPr="008B6A75">
        <w:rPr>
          <w:sz w:val="20"/>
          <w:szCs w:val="20"/>
        </w:rPr>
        <w:t xml:space="preserve">2. Утвердить перечень мероприятий по изменению типа существующих муниципальных бюджетных образовательных учреждений Куйбышевского муниципального района Новосибирской области с целью создания муниципальных казённых образовательных </w:t>
      </w:r>
      <w:r w:rsidRPr="008B6A75">
        <w:rPr>
          <w:color w:val="000000"/>
          <w:sz w:val="20"/>
          <w:szCs w:val="20"/>
        </w:rPr>
        <w:t>учреждений (далее – перечень мероприятий) (приложение № 2).</w:t>
      </w:r>
    </w:p>
    <w:p w14:paraId="1BAF0974" w14:textId="77777777" w:rsidR="00ED1DAD" w:rsidRPr="008B6A75" w:rsidRDefault="00ED1DAD" w:rsidP="00ED1DAD">
      <w:pPr>
        <w:tabs>
          <w:tab w:val="left" w:pos="540"/>
        </w:tabs>
        <w:jc w:val="both"/>
        <w:rPr>
          <w:sz w:val="20"/>
          <w:szCs w:val="20"/>
        </w:rPr>
      </w:pPr>
      <w:r w:rsidRPr="008B6A75">
        <w:rPr>
          <w:sz w:val="20"/>
          <w:szCs w:val="20"/>
        </w:rPr>
        <w:tab/>
        <w:t xml:space="preserve">  3. Установить, что функции и полномочия учредителя муниципальных казённых образовательных учреждений, указанных в пункте 1 настоящего постановления, осуществляет Куйбышевский муниципальный район Новосибирской области, полномочия которого, в соответствии с Положением об управлении и распоряжении </w:t>
      </w:r>
      <w:r w:rsidRPr="008B6A75">
        <w:rPr>
          <w:sz w:val="20"/>
          <w:szCs w:val="20"/>
        </w:rPr>
        <w:lastRenderedPageBreak/>
        <w:t>муниципальной собственностью Куйбышевского района, утвержденным решением 2 сессии Совета депутатов Куйбышевского района 2 созыва от 25.11.2010 №11, осуществляет администрация Куйбышевского муниципального района Новосибирской области.</w:t>
      </w:r>
    </w:p>
    <w:p w14:paraId="250A72F8" w14:textId="77777777" w:rsidR="00ED1DAD" w:rsidRPr="008B6A75" w:rsidRDefault="00ED1DAD" w:rsidP="00ED1DAD">
      <w:pPr>
        <w:tabs>
          <w:tab w:val="left" w:pos="540"/>
        </w:tabs>
        <w:jc w:val="both"/>
        <w:rPr>
          <w:sz w:val="20"/>
          <w:szCs w:val="20"/>
        </w:rPr>
      </w:pPr>
      <w:r w:rsidRPr="008B6A75">
        <w:rPr>
          <w:sz w:val="20"/>
          <w:szCs w:val="20"/>
        </w:rPr>
        <w:tab/>
        <w:t xml:space="preserve">  4. Предмет и основные цели деятельности, предельная штатная численность </w:t>
      </w:r>
      <w:proofErr w:type="gramStart"/>
      <w:r w:rsidRPr="008B6A75">
        <w:rPr>
          <w:sz w:val="20"/>
          <w:szCs w:val="20"/>
        </w:rPr>
        <w:t>работников</w:t>
      </w:r>
      <w:proofErr w:type="gramEnd"/>
      <w:r w:rsidRPr="008B6A75">
        <w:rPr>
          <w:sz w:val="20"/>
          <w:szCs w:val="20"/>
        </w:rPr>
        <w:t xml:space="preserve"> создаваемых муниципальных образовательных учреждений при изменении типа сохраняются.</w:t>
      </w:r>
    </w:p>
    <w:p w14:paraId="1CE9670B" w14:textId="77777777" w:rsidR="00ED1DAD" w:rsidRPr="008B6A75" w:rsidRDefault="00ED1DAD" w:rsidP="00ED1DAD">
      <w:pPr>
        <w:ind w:firstLine="708"/>
        <w:jc w:val="both"/>
        <w:rPr>
          <w:sz w:val="20"/>
          <w:szCs w:val="20"/>
        </w:rPr>
      </w:pPr>
      <w:r w:rsidRPr="008B6A75">
        <w:rPr>
          <w:sz w:val="20"/>
          <w:szCs w:val="20"/>
        </w:rPr>
        <w:t>5. Управлению образования администрации Куйбышевского муниципального района Новосибирской области (</w:t>
      </w:r>
      <w:proofErr w:type="spellStart"/>
      <w:r w:rsidRPr="008B6A75">
        <w:rPr>
          <w:sz w:val="20"/>
          <w:szCs w:val="20"/>
        </w:rPr>
        <w:t>Карташева</w:t>
      </w:r>
      <w:proofErr w:type="spellEnd"/>
      <w:r w:rsidRPr="008B6A75">
        <w:rPr>
          <w:sz w:val="20"/>
          <w:szCs w:val="20"/>
        </w:rPr>
        <w:t xml:space="preserve"> Е.М.), обеспечить своевременное выполнение перечня мероприятий, размещение настоящего постановления на официальном сайте управления образования администрации Куйбышевского муниципального района Новосибирской области.</w:t>
      </w:r>
    </w:p>
    <w:p w14:paraId="4122C765" w14:textId="77777777" w:rsidR="00ED1DAD" w:rsidRPr="008B6A75" w:rsidRDefault="00ED1DAD" w:rsidP="00ED1DAD">
      <w:pPr>
        <w:ind w:firstLine="708"/>
        <w:jc w:val="both"/>
        <w:rPr>
          <w:sz w:val="20"/>
          <w:szCs w:val="20"/>
        </w:rPr>
      </w:pPr>
      <w:r w:rsidRPr="008B6A75">
        <w:rPr>
          <w:sz w:val="20"/>
          <w:szCs w:val="20"/>
        </w:rPr>
        <w:t>6. Управлению делами администрации Куйбышевского муниципального района Новосибирской области (Орлова Л.В.) опубликовать настоящее постановление в периодическом печатном издании органов местного самоуправления Куйбышевского муниципального района Новосибирской области «Информационный вестник».</w:t>
      </w:r>
    </w:p>
    <w:p w14:paraId="6E484295" w14:textId="77777777" w:rsidR="00ED1DAD" w:rsidRPr="008B6A75" w:rsidRDefault="00ED1DAD" w:rsidP="00ED1DAD">
      <w:pPr>
        <w:ind w:firstLine="708"/>
        <w:jc w:val="both"/>
        <w:rPr>
          <w:sz w:val="20"/>
          <w:szCs w:val="20"/>
        </w:rPr>
      </w:pPr>
      <w:r w:rsidRPr="008B6A75">
        <w:rPr>
          <w:sz w:val="20"/>
          <w:szCs w:val="20"/>
        </w:rPr>
        <w:t>7. Настоящее постановление вступает в силу с момента его официального опубликования в периодическом печатном издании органов местного самоуправления Куйбышевского муниципального района Новосибирской области «Информационный вестник».</w:t>
      </w:r>
    </w:p>
    <w:p w14:paraId="652F469D" w14:textId="77777777" w:rsidR="00ED1DAD" w:rsidRPr="008B6A75" w:rsidRDefault="00ED1DAD" w:rsidP="00ED1DAD">
      <w:pPr>
        <w:ind w:firstLine="708"/>
        <w:jc w:val="both"/>
        <w:rPr>
          <w:sz w:val="20"/>
          <w:szCs w:val="20"/>
        </w:rPr>
      </w:pPr>
      <w:r w:rsidRPr="008B6A75">
        <w:rPr>
          <w:sz w:val="20"/>
          <w:szCs w:val="20"/>
        </w:rPr>
        <w:t>8. Контроль за исполнением настоящего постановления возложить на Первого заместителя главы администрации Куйбышевского муниципального района Новосибирской области Колганову Н.В.</w:t>
      </w:r>
    </w:p>
    <w:p w14:paraId="61B4D1DF" w14:textId="77777777" w:rsidR="00ED1DAD" w:rsidRPr="008B6A75" w:rsidRDefault="00ED1DAD" w:rsidP="00ED1DAD">
      <w:pPr>
        <w:tabs>
          <w:tab w:val="left" w:pos="540"/>
        </w:tabs>
        <w:ind w:firstLine="720"/>
        <w:jc w:val="both"/>
        <w:rPr>
          <w:sz w:val="20"/>
          <w:szCs w:val="20"/>
        </w:rPr>
      </w:pPr>
    </w:p>
    <w:p w14:paraId="06E0CE2A" w14:textId="77777777" w:rsidR="00ED1DAD" w:rsidRPr="008B6A75" w:rsidRDefault="00ED1DAD" w:rsidP="00ED1DAD">
      <w:pPr>
        <w:tabs>
          <w:tab w:val="left" w:pos="540"/>
          <w:tab w:val="left" w:pos="1290"/>
        </w:tabs>
        <w:spacing w:line="254" w:lineRule="auto"/>
        <w:jc w:val="both"/>
        <w:rPr>
          <w:sz w:val="20"/>
          <w:szCs w:val="20"/>
        </w:rPr>
      </w:pPr>
      <w:r w:rsidRPr="008B6A75">
        <w:rPr>
          <w:sz w:val="20"/>
          <w:szCs w:val="20"/>
        </w:rPr>
        <w:t xml:space="preserve">Глава Куйбышевского муниципального </w:t>
      </w:r>
    </w:p>
    <w:p w14:paraId="7951DA46" w14:textId="7214F84B" w:rsidR="00ED1DAD" w:rsidRPr="008B6A75" w:rsidRDefault="00ED1DAD" w:rsidP="00ED1DAD">
      <w:pPr>
        <w:tabs>
          <w:tab w:val="left" w:pos="540"/>
        </w:tabs>
        <w:spacing w:line="254" w:lineRule="auto"/>
        <w:jc w:val="both"/>
        <w:rPr>
          <w:sz w:val="20"/>
          <w:szCs w:val="20"/>
        </w:rPr>
      </w:pPr>
      <w:r w:rsidRPr="008B6A75">
        <w:rPr>
          <w:sz w:val="20"/>
          <w:szCs w:val="20"/>
        </w:rPr>
        <w:t>района Новосибирской области                                                                                                                         О.В. Караваев</w:t>
      </w:r>
    </w:p>
    <w:p w14:paraId="542FB866" w14:textId="77777777" w:rsidR="00ED1DAD" w:rsidRPr="008B6A75" w:rsidRDefault="00ED1DAD" w:rsidP="00ED1DAD">
      <w:pPr>
        <w:tabs>
          <w:tab w:val="left" w:pos="540"/>
        </w:tabs>
        <w:ind w:firstLine="720"/>
        <w:jc w:val="both"/>
        <w:rPr>
          <w:sz w:val="20"/>
          <w:szCs w:val="20"/>
        </w:rPr>
      </w:pPr>
    </w:p>
    <w:p w14:paraId="45C1FC64" w14:textId="77777777" w:rsidR="00ED1DAD" w:rsidRPr="008B6A75" w:rsidRDefault="00ED1DAD" w:rsidP="00ED1DAD">
      <w:pPr>
        <w:tabs>
          <w:tab w:val="left" w:pos="540"/>
        </w:tabs>
        <w:ind w:firstLine="720"/>
        <w:jc w:val="right"/>
        <w:rPr>
          <w:sz w:val="20"/>
          <w:szCs w:val="20"/>
        </w:rPr>
      </w:pPr>
      <w:r w:rsidRPr="008B6A75">
        <w:rPr>
          <w:sz w:val="20"/>
          <w:szCs w:val="20"/>
        </w:rPr>
        <w:t>Приложение № 1</w:t>
      </w:r>
    </w:p>
    <w:p w14:paraId="3DFC7247" w14:textId="77777777" w:rsidR="00ED1DAD" w:rsidRPr="008B6A75" w:rsidRDefault="00ED1DAD" w:rsidP="00ED1DAD">
      <w:pPr>
        <w:tabs>
          <w:tab w:val="left" w:pos="540"/>
        </w:tabs>
        <w:ind w:firstLine="720"/>
        <w:jc w:val="right"/>
        <w:rPr>
          <w:sz w:val="20"/>
          <w:szCs w:val="20"/>
        </w:rPr>
      </w:pPr>
      <w:r w:rsidRPr="008B6A75">
        <w:rPr>
          <w:sz w:val="20"/>
          <w:szCs w:val="20"/>
        </w:rPr>
        <w:t>к постановлению администрации Куйбышевского муниципального района Новосибирской области</w:t>
      </w:r>
    </w:p>
    <w:p w14:paraId="18B8E17E" w14:textId="77777777" w:rsidR="00ED1DAD" w:rsidRPr="008B6A75" w:rsidRDefault="00ED1DAD" w:rsidP="00ED1DAD">
      <w:pPr>
        <w:tabs>
          <w:tab w:val="left" w:pos="540"/>
        </w:tabs>
        <w:ind w:firstLine="720"/>
        <w:jc w:val="right"/>
        <w:rPr>
          <w:sz w:val="20"/>
          <w:szCs w:val="20"/>
        </w:rPr>
      </w:pPr>
      <w:r w:rsidRPr="008B6A75">
        <w:rPr>
          <w:sz w:val="20"/>
          <w:szCs w:val="20"/>
        </w:rPr>
        <w:t>от 03.11.2022 № 865</w:t>
      </w:r>
    </w:p>
    <w:p w14:paraId="07AF4E22" w14:textId="77777777" w:rsidR="00ED1DAD" w:rsidRPr="008B6A75" w:rsidRDefault="00ED1DAD" w:rsidP="00ED1DAD">
      <w:pPr>
        <w:tabs>
          <w:tab w:val="left" w:pos="540"/>
        </w:tabs>
        <w:ind w:firstLine="720"/>
        <w:rPr>
          <w:sz w:val="20"/>
          <w:szCs w:val="20"/>
        </w:rPr>
      </w:pPr>
    </w:p>
    <w:p w14:paraId="6B551A08" w14:textId="77777777" w:rsidR="00ED1DAD" w:rsidRPr="008B6A75" w:rsidRDefault="00ED1DAD" w:rsidP="00ED1DAD">
      <w:pPr>
        <w:tabs>
          <w:tab w:val="left" w:pos="540"/>
        </w:tabs>
        <w:ind w:firstLine="720"/>
        <w:jc w:val="center"/>
        <w:rPr>
          <w:sz w:val="20"/>
          <w:szCs w:val="20"/>
        </w:rPr>
      </w:pPr>
      <w:r w:rsidRPr="008B6A75">
        <w:rPr>
          <w:sz w:val="20"/>
          <w:szCs w:val="20"/>
        </w:rPr>
        <w:t xml:space="preserve">Список </w:t>
      </w:r>
    </w:p>
    <w:p w14:paraId="3AD4A123" w14:textId="77777777" w:rsidR="00ED1DAD" w:rsidRPr="008B6A75" w:rsidRDefault="00ED1DAD" w:rsidP="00ED1DAD">
      <w:pPr>
        <w:tabs>
          <w:tab w:val="left" w:pos="540"/>
        </w:tabs>
        <w:ind w:firstLine="720"/>
        <w:jc w:val="center"/>
        <w:rPr>
          <w:sz w:val="20"/>
          <w:szCs w:val="20"/>
        </w:rPr>
      </w:pPr>
      <w:r w:rsidRPr="008B6A75">
        <w:rPr>
          <w:sz w:val="20"/>
          <w:szCs w:val="20"/>
        </w:rPr>
        <w:t>муниципальных бюджетных образовательных учреждений Куйбышевского муниципального района Новосибирской области, тип которых подлежит изменению, с целью создания муниципальных казённых образовательных учреждений</w:t>
      </w:r>
    </w:p>
    <w:p w14:paraId="0A369BDA" w14:textId="77777777" w:rsidR="00ED1DAD" w:rsidRPr="008B6A75" w:rsidRDefault="00ED1DAD" w:rsidP="00ED1DAD">
      <w:pPr>
        <w:tabs>
          <w:tab w:val="left" w:pos="540"/>
        </w:tabs>
        <w:ind w:firstLine="720"/>
        <w:jc w:val="center"/>
        <w:rPr>
          <w:sz w:val="20"/>
          <w:szCs w:val="20"/>
        </w:rPr>
      </w:pPr>
    </w:p>
    <w:tbl>
      <w:tblPr>
        <w:tblW w:w="1004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653"/>
        <w:gridCol w:w="4680"/>
      </w:tblGrid>
      <w:tr w:rsidR="00ED1DAD" w:rsidRPr="008B6A75" w14:paraId="629A147E" w14:textId="77777777" w:rsidTr="00387142">
        <w:trPr>
          <w:trHeight w:val="246"/>
        </w:trPr>
        <w:tc>
          <w:tcPr>
            <w:tcW w:w="709" w:type="dxa"/>
          </w:tcPr>
          <w:p w14:paraId="6C05AF64" w14:textId="77777777" w:rsidR="00ED1DAD" w:rsidRPr="008B6A75" w:rsidRDefault="00ED1DAD" w:rsidP="00387142">
            <w:pPr>
              <w:tabs>
                <w:tab w:val="left" w:pos="540"/>
              </w:tabs>
              <w:jc w:val="center"/>
              <w:rPr>
                <w:sz w:val="20"/>
                <w:szCs w:val="20"/>
              </w:rPr>
            </w:pPr>
            <w:r w:rsidRPr="008B6A75">
              <w:rPr>
                <w:sz w:val="20"/>
                <w:szCs w:val="20"/>
              </w:rPr>
              <w:t>№ п/п</w:t>
            </w:r>
          </w:p>
        </w:tc>
        <w:tc>
          <w:tcPr>
            <w:tcW w:w="4653" w:type="dxa"/>
          </w:tcPr>
          <w:p w14:paraId="31268E2F" w14:textId="77777777" w:rsidR="00ED1DAD" w:rsidRPr="008B6A75" w:rsidRDefault="00ED1DAD" w:rsidP="00387142">
            <w:pPr>
              <w:tabs>
                <w:tab w:val="left" w:pos="540"/>
              </w:tabs>
              <w:jc w:val="center"/>
              <w:rPr>
                <w:sz w:val="20"/>
                <w:szCs w:val="20"/>
              </w:rPr>
            </w:pPr>
            <w:r w:rsidRPr="008B6A75">
              <w:rPr>
                <w:sz w:val="20"/>
                <w:szCs w:val="20"/>
              </w:rPr>
              <w:t xml:space="preserve">Наименование существующего муниципального бюджетного образовательного учреждения </w:t>
            </w:r>
          </w:p>
        </w:tc>
        <w:tc>
          <w:tcPr>
            <w:tcW w:w="4680" w:type="dxa"/>
          </w:tcPr>
          <w:p w14:paraId="2F29687B" w14:textId="77777777" w:rsidR="00ED1DAD" w:rsidRPr="008B6A75" w:rsidRDefault="00ED1DAD" w:rsidP="00387142">
            <w:pPr>
              <w:tabs>
                <w:tab w:val="left" w:pos="540"/>
              </w:tabs>
              <w:jc w:val="center"/>
              <w:rPr>
                <w:sz w:val="20"/>
                <w:szCs w:val="20"/>
              </w:rPr>
            </w:pPr>
            <w:r w:rsidRPr="008B6A75">
              <w:rPr>
                <w:sz w:val="20"/>
                <w:szCs w:val="20"/>
              </w:rPr>
              <w:t xml:space="preserve">Наименование создаваемого муниципального казённого образовательного учреждения </w:t>
            </w:r>
          </w:p>
        </w:tc>
      </w:tr>
      <w:tr w:rsidR="00ED1DAD" w:rsidRPr="008B6A75" w14:paraId="5FCE4CA7" w14:textId="77777777" w:rsidTr="00387142">
        <w:trPr>
          <w:trHeight w:val="246"/>
        </w:trPr>
        <w:tc>
          <w:tcPr>
            <w:tcW w:w="709" w:type="dxa"/>
          </w:tcPr>
          <w:p w14:paraId="4C110F7F" w14:textId="77777777" w:rsidR="00ED1DAD" w:rsidRPr="008B6A75" w:rsidRDefault="00ED1DAD" w:rsidP="00372B96">
            <w:pPr>
              <w:numPr>
                <w:ilvl w:val="0"/>
                <w:numId w:val="25"/>
              </w:numPr>
              <w:tabs>
                <w:tab w:val="left" w:pos="540"/>
              </w:tabs>
              <w:jc w:val="both"/>
              <w:rPr>
                <w:sz w:val="20"/>
                <w:szCs w:val="20"/>
              </w:rPr>
            </w:pPr>
          </w:p>
        </w:tc>
        <w:tc>
          <w:tcPr>
            <w:tcW w:w="4653" w:type="dxa"/>
          </w:tcPr>
          <w:p w14:paraId="458C604A" w14:textId="77777777" w:rsidR="00ED1DAD" w:rsidRPr="008B6A75" w:rsidRDefault="00ED1DAD" w:rsidP="00387142">
            <w:pPr>
              <w:tabs>
                <w:tab w:val="left" w:pos="540"/>
              </w:tabs>
              <w:jc w:val="both"/>
              <w:rPr>
                <w:sz w:val="20"/>
                <w:szCs w:val="20"/>
              </w:rPr>
            </w:pPr>
            <w:r w:rsidRPr="008B6A75">
              <w:rPr>
                <w:sz w:val="20"/>
                <w:szCs w:val="20"/>
              </w:rPr>
              <w:t>Муниципальное бюджетное общеобразовательное учреждение Куйбышевского муниципального района Новосибирской области «</w:t>
            </w:r>
            <w:proofErr w:type="spellStart"/>
            <w:r w:rsidRPr="008B6A75">
              <w:rPr>
                <w:sz w:val="20"/>
                <w:szCs w:val="20"/>
              </w:rPr>
              <w:t>Булатовская</w:t>
            </w:r>
            <w:proofErr w:type="spellEnd"/>
            <w:r w:rsidRPr="008B6A75">
              <w:rPr>
                <w:sz w:val="20"/>
                <w:szCs w:val="20"/>
              </w:rPr>
              <w:t xml:space="preserve"> средняя общеобразовательная школа»</w:t>
            </w:r>
          </w:p>
        </w:tc>
        <w:tc>
          <w:tcPr>
            <w:tcW w:w="4680" w:type="dxa"/>
          </w:tcPr>
          <w:p w14:paraId="3556D8F7" w14:textId="77777777" w:rsidR="00ED1DAD" w:rsidRPr="008B6A75" w:rsidRDefault="00ED1DAD" w:rsidP="00387142">
            <w:pPr>
              <w:tabs>
                <w:tab w:val="left" w:pos="540"/>
              </w:tabs>
              <w:jc w:val="both"/>
              <w:rPr>
                <w:sz w:val="20"/>
                <w:szCs w:val="20"/>
              </w:rPr>
            </w:pPr>
            <w:r w:rsidRPr="008B6A75">
              <w:rPr>
                <w:sz w:val="20"/>
                <w:szCs w:val="20"/>
              </w:rPr>
              <w:t>Муниципальное казённое общеобразовательное учреждение Куйбышевского муниципального района Новосибирской области «</w:t>
            </w:r>
            <w:proofErr w:type="spellStart"/>
            <w:r w:rsidRPr="008B6A75">
              <w:rPr>
                <w:sz w:val="20"/>
                <w:szCs w:val="20"/>
              </w:rPr>
              <w:t>Булатовская</w:t>
            </w:r>
            <w:proofErr w:type="spellEnd"/>
            <w:r w:rsidRPr="008B6A75">
              <w:rPr>
                <w:sz w:val="20"/>
                <w:szCs w:val="20"/>
              </w:rPr>
              <w:t xml:space="preserve"> средняя общеобразовательная школа»</w:t>
            </w:r>
          </w:p>
        </w:tc>
      </w:tr>
      <w:tr w:rsidR="00ED1DAD" w:rsidRPr="008B6A75" w14:paraId="72B1CBFB" w14:textId="77777777" w:rsidTr="00387142">
        <w:trPr>
          <w:trHeight w:val="246"/>
        </w:trPr>
        <w:tc>
          <w:tcPr>
            <w:tcW w:w="709" w:type="dxa"/>
          </w:tcPr>
          <w:p w14:paraId="085F831B" w14:textId="77777777" w:rsidR="00ED1DAD" w:rsidRPr="008B6A75" w:rsidRDefault="00ED1DAD" w:rsidP="00372B96">
            <w:pPr>
              <w:numPr>
                <w:ilvl w:val="0"/>
                <w:numId w:val="25"/>
              </w:numPr>
              <w:tabs>
                <w:tab w:val="left" w:pos="540"/>
              </w:tabs>
              <w:rPr>
                <w:sz w:val="20"/>
                <w:szCs w:val="20"/>
              </w:rPr>
            </w:pPr>
          </w:p>
        </w:tc>
        <w:tc>
          <w:tcPr>
            <w:tcW w:w="4653" w:type="dxa"/>
          </w:tcPr>
          <w:p w14:paraId="53354D84" w14:textId="77777777" w:rsidR="00ED1DAD" w:rsidRPr="008B6A75" w:rsidRDefault="00ED1DAD" w:rsidP="00387142">
            <w:pPr>
              <w:tabs>
                <w:tab w:val="left" w:pos="540"/>
              </w:tabs>
              <w:jc w:val="both"/>
              <w:rPr>
                <w:sz w:val="20"/>
                <w:szCs w:val="20"/>
              </w:rPr>
            </w:pPr>
            <w:r w:rsidRPr="008B6A75">
              <w:rPr>
                <w:sz w:val="20"/>
                <w:szCs w:val="20"/>
              </w:rPr>
              <w:t>Муниципальное бюджетное общеобразовательное учреждение Куйбышевского муниципального района Новосибирской области «</w:t>
            </w:r>
            <w:proofErr w:type="spellStart"/>
            <w:r w:rsidRPr="008B6A75">
              <w:rPr>
                <w:sz w:val="20"/>
                <w:szCs w:val="20"/>
              </w:rPr>
              <w:t>Горбуновская</w:t>
            </w:r>
            <w:proofErr w:type="spellEnd"/>
            <w:r w:rsidRPr="008B6A75">
              <w:rPr>
                <w:sz w:val="20"/>
                <w:szCs w:val="20"/>
              </w:rPr>
              <w:t xml:space="preserve"> средняя общеобразовательная школа»</w:t>
            </w:r>
          </w:p>
        </w:tc>
        <w:tc>
          <w:tcPr>
            <w:tcW w:w="4680" w:type="dxa"/>
          </w:tcPr>
          <w:p w14:paraId="3EEBAF53" w14:textId="77777777" w:rsidR="00ED1DAD" w:rsidRPr="008B6A75" w:rsidRDefault="00ED1DAD" w:rsidP="00387142">
            <w:pPr>
              <w:tabs>
                <w:tab w:val="left" w:pos="540"/>
              </w:tabs>
              <w:jc w:val="both"/>
              <w:rPr>
                <w:sz w:val="20"/>
                <w:szCs w:val="20"/>
              </w:rPr>
            </w:pPr>
            <w:r w:rsidRPr="008B6A75">
              <w:rPr>
                <w:sz w:val="20"/>
                <w:szCs w:val="20"/>
              </w:rPr>
              <w:t>Муниципальное казённое общеобразовательное учреждение Куйбышевского муниципального района Новосибирской области «</w:t>
            </w:r>
            <w:proofErr w:type="spellStart"/>
            <w:r w:rsidRPr="008B6A75">
              <w:rPr>
                <w:sz w:val="20"/>
                <w:szCs w:val="20"/>
              </w:rPr>
              <w:t>Горбуновская</w:t>
            </w:r>
            <w:proofErr w:type="spellEnd"/>
            <w:r w:rsidRPr="008B6A75">
              <w:rPr>
                <w:sz w:val="20"/>
                <w:szCs w:val="20"/>
              </w:rPr>
              <w:t xml:space="preserve"> средняя общеобразовательная школа»</w:t>
            </w:r>
          </w:p>
        </w:tc>
      </w:tr>
    </w:tbl>
    <w:p w14:paraId="29EB4B4E" w14:textId="77777777" w:rsidR="00ED1DAD" w:rsidRPr="008B6A75" w:rsidRDefault="00ED1DAD" w:rsidP="00ED1DAD">
      <w:pPr>
        <w:tabs>
          <w:tab w:val="left" w:pos="540"/>
        </w:tabs>
        <w:ind w:firstLine="720"/>
        <w:jc w:val="center"/>
        <w:rPr>
          <w:sz w:val="20"/>
          <w:szCs w:val="20"/>
        </w:rPr>
      </w:pPr>
    </w:p>
    <w:p w14:paraId="42B4B133" w14:textId="77777777" w:rsidR="00ED1DAD" w:rsidRPr="008B6A75" w:rsidRDefault="00ED1DAD" w:rsidP="00ED1DAD">
      <w:pPr>
        <w:tabs>
          <w:tab w:val="left" w:pos="540"/>
        </w:tabs>
        <w:ind w:firstLine="720"/>
        <w:jc w:val="right"/>
        <w:rPr>
          <w:sz w:val="20"/>
          <w:szCs w:val="20"/>
        </w:rPr>
      </w:pPr>
      <w:r w:rsidRPr="008B6A75">
        <w:rPr>
          <w:sz w:val="20"/>
          <w:szCs w:val="20"/>
        </w:rPr>
        <w:t>Приложение № 2</w:t>
      </w:r>
    </w:p>
    <w:p w14:paraId="28FEBE68" w14:textId="77777777" w:rsidR="00ED1DAD" w:rsidRPr="008B6A75" w:rsidRDefault="00ED1DAD" w:rsidP="00ED1DAD">
      <w:pPr>
        <w:tabs>
          <w:tab w:val="left" w:pos="540"/>
        </w:tabs>
        <w:ind w:firstLine="720"/>
        <w:jc w:val="right"/>
        <w:rPr>
          <w:sz w:val="20"/>
          <w:szCs w:val="20"/>
        </w:rPr>
      </w:pPr>
      <w:r w:rsidRPr="008B6A75">
        <w:rPr>
          <w:sz w:val="20"/>
          <w:szCs w:val="20"/>
        </w:rPr>
        <w:t>к постановлению администрации Куйбышевского муниципального района Новосибирской области</w:t>
      </w:r>
    </w:p>
    <w:p w14:paraId="4FDB5D31" w14:textId="77777777" w:rsidR="00ED1DAD" w:rsidRPr="008B6A75" w:rsidRDefault="00ED1DAD" w:rsidP="00ED1DAD">
      <w:pPr>
        <w:tabs>
          <w:tab w:val="left" w:pos="540"/>
        </w:tabs>
        <w:ind w:firstLine="720"/>
        <w:jc w:val="right"/>
        <w:rPr>
          <w:sz w:val="20"/>
          <w:szCs w:val="20"/>
        </w:rPr>
      </w:pPr>
      <w:r w:rsidRPr="008B6A75">
        <w:rPr>
          <w:sz w:val="20"/>
          <w:szCs w:val="20"/>
        </w:rPr>
        <w:t>от 03.11.2022 № 865</w:t>
      </w:r>
    </w:p>
    <w:p w14:paraId="2D931098" w14:textId="77777777" w:rsidR="00ED1DAD" w:rsidRPr="008B6A75" w:rsidRDefault="00ED1DAD" w:rsidP="00ED1DAD">
      <w:pPr>
        <w:tabs>
          <w:tab w:val="left" w:pos="540"/>
        </w:tabs>
        <w:ind w:firstLine="720"/>
        <w:jc w:val="center"/>
        <w:rPr>
          <w:sz w:val="20"/>
          <w:szCs w:val="20"/>
        </w:rPr>
      </w:pPr>
    </w:p>
    <w:p w14:paraId="7DF0715B" w14:textId="77777777" w:rsidR="00ED1DAD" w:rsidRPr="008B6A75" w:rsidRDefault="00ED1DAD" w:rsidP="00ED1DAD">
      <w:pPr>
        <w:pStyle w:val="20"/>
        <w:rPr>
          <w:sz w:val="20"/>
        </w:rPr>
      </w:pPr>
      <w:r w:rsidRPr="008B6A75">
        <w:rPr>
          <w:sz w:val="20"/>
        </w:rPr>
        <w:t>Перечень</w:t>
      </w:r>
    </w:p>
    <w:p w14:paraId="0C399D9B" w14:textId="77777777" w:rsidR="00ED1DAD" w:rsidRPr="008B6A75" w:rsidRDefault="00ED1DAD" w:rsidP="00ED1DAD">
      <w:pPr>
        <w:pStyle w:val="20"/>
        <w:rPr>
          <w:sz w:val="20"/>
        </w:rPr>
      </w:pPr>
      <w:r w:rsidRPr="008B6A75">
        <w:rPr>
          <w:sz w:val="20"/>
        </w:rPr>
        <w:t>мероприятий по изменению типа существующих муниципальных</w:t>
      </w:r>
    </w:p>
    <w:p w14:paraId="19600C5E" w14:textId="77777777" w:rsidR="00ED1DAD" w:rsidRPr="008B6A75" w:rsidRDefault="00ED1DAD" w:rsidP="00ED1DAD">
      <w:pPr>
        <w:pStyle w:val="20"/>
        <w:rPr>
          <w:sz w:val="20"/>
        </w:rPr>
      </w:pPr>
      <w:r w:rsidRPr="008B6A75">
        <w:rPr>
          <w:sz w:val="20"/>
        </w:rPr>
        <w:t>бюджетных образовательных учреждений Куйбышевского муниципального района Новосибирской области с целью создания муниципальных казённых образовательных учреждений</w:t>
      </w:r>
    </w:p>
    <w:p w14:paraId="14C72973" w14:textId="77777777" w:rsidR="00ED1DAD" w:rsidRPr="008B6A75" w:rsidRDefault="00ED1DAD" w:rsidP="00ED1DAD">
      <w:pPr>
        <w:shd w:val="clear" w:color="auto" w:fill="FFFFFF"/>
        <w:jc w:val="center"/>
        <w:rPr>
          <w:color w:val="414141"/>
          <w:sz w:val="20"/>
          <w:szCs w:val="20"/>
        </w:rPr>
      </w:pPr>
    </w:p>
    <w:tbl>
      <w:tblPr>
        <w:tblW w:w="0" w:type="auto"/>
        <w:jc w:val="center"/>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34"/>
        <w:gridCol w:w="3827"/>
        <w:gridCol w:w="3544"/>
        <w:gridCol w:w="2066"/>
      </w:tblGrid>
      <w:tr w:rsidR="00ED1DAD" w:rsidRPr="008B6A75" w14:paraId="787A9E81" w14:textId="77777777" w:rsidTr="00387142">
        <w:trPr>
          <w:trHeight w:val="738"/>
          <w:jc w:val="center"/>
        </w:trPr>
        <w:tc>
          <w:tcPr>
            <w:tcW w:w="934" w:type="dxa"/>
            <w:tcBorders>
              <w:top w:val="outset" w:sz="6" w:space="0" w:color="auto"/>
              <w:left w:val="outset" w:sz="6" w:space="0" w:color="auto"/>
              <w:bottom w:val="outset" w:sz="6" w:space="0" w:color="auto"/>
              <w:right w:val="outset" w:sz="6" w:space="0" w:color="auto"/>
            </w:tcBorders>
            <w:tcMar>
              <w:top w:w="75" w:type="dxa"/>
              <w:left w:w="225" w:type="dxa"/>
              <w:bottom w:w="75" w:type="dxa"/>
              <w:right w:w="225" w:type="dxa"/>
            </w:tcMar>
            <w:vAlign w:val="center"/>
            <w:hideMark/>
          </w:tcPr>
          <w:p w14:paraId="378DD634" w14:textId="77777777" w:rsidR="00ED1DAD" w:rsidRPr="008B6A75" w:rsidRDefault="00ED1DAD" w:rsidP="00387142">
            <w:pPr>
              <w:spacing w:after="225"/>
              <w:jc w:val="center"/>
              <w:rPr>
                <w:sz w:val="20"/>
                <w:szCs w:val="20"/>
              </w:rPr>
            </w:pPr>
            <w:r w:rsidRPr="008B6A75">
              <w:rPr>
                <w:sz w:val="20"/>
                <w:szCs w:val="20"/>
              </w:rPr>
              <w:t>N п/п</w:t>
            </w:r>
          </w:p>
        </w:tc>
        <w:tc>
          <w:tcPr>
            <w:tcW w:w="3827" w:type="dxa"/>
            <w:tcBorders>
              <w:top w:val="outset" w:sz="6" w:space="0" w:color="auto"/>
              <w:left w:val="outset" w:sz="6" w:space="0" w:color="auto"/>
              <w:bottom w:val="outset" w:sz="6" w:space="0" w:color="auto"/>
              <w:right w:val="outset" w:sz="6" w:space="0" w:color="auto"/>
            </w:tcBorders>
            <w:tcMar>
              <w:top w:w="75" w:type="dxa"/>
              <w:left w:w="225" w:type="dxa"/>
              <w:bottom w:w="75" w:type="dxa"/>
              <w:right w:w="225" w:type="dxa"/>
            </w:tcMar>
            <w:vAlign w:val="center"/>
            <w:hideMark/>
          </w:tcPr>
          <w:p w14:paraId="575F4FEC" w14:textId="77777777" w:rsidR="00ED1DAD" w:rsidRPr="008B6A75" w:rsidRDefault="00ED1DAD" w:rsidP="00387142">
            <w:pPr>
              <w:spacing w:after="225"/>
              <w:jc w:val="center"/>
              <w:rPr>
                <w:sz w:val="20"/>
                <w:szCs w:val="20"/>
              </w:rPr>
            </w:pPr>
            <w:r w:rsidRPr="008B6A75">
              <w:rPr>
                <w:sz w:val="20"/>
                <w:szCs w:val="20"/>
              </w:rPr>
              <w:t>Наименование мероприятия</w:t>
            </w:r>
          </w:p>
        </w:tc>
        <w:tc>
          <w:tcPr>
            <w:tcW w:w="3544" w:type="dxa"/>
            <w:tcBorders>
              <w:top w:val="outset" w:sz="6" w:space="0" w:color="auto"/>
              <w:left w:val="outset" w:sz="6" w:space="0" w:color="auto"/>
              <w:bottom w:val="outset" w:sz="6" w:space="0" w:color="auto"/>
              <w:right w:val="outset" w:sz="6" w:space="0" w:color="auto"/>
            </w:tcBorders>
            <w:tcMar>
              <w:top w:w="75" w:type="dxa"/>
              <w:left w:w="225" w:type="dxa"/>
              <w:bottom w:w="75" w:type="dxa"/>
              <w:right w:w="225" w:type="dxa"/>
            </w:tcMar>
            <w:vAlign w:val="center"/>
            <w:hideMark/>
          </w:tcPr>
          <w:p w14:paraId="7E89F210" w14:textId="77777777" w:rsidR="00ED1DAD" w:rsidRPr="008B6A75" w:rsidRDefault="00ED1DAD" w:rsidP="00387142">
            <w:pPr>
              <w:spacing w:after="225"/>
              <w:jc w:val="center"/>
              <w:rPr>
                <w:sz w:val="20"/>
                <w:szCs w:val="20"/>
              </w:rPr>
            </w:pPr>
            <w:r w:rsidRPr="008B6A75">
              <w:rPr>
                <w:sz w:val="20"/>
                <w:szCs w:val="20"/>
              </w:rPr>
              <w:t>Срок выполнения мероприятия</w:t>
            </w:r>
          </w:p>
        </w:tc>
        <w:tc>
          <w:tcPr>
            <w:tcW w:w="2066" w:type="dxa"/>
            <w:tcBorders>
              <w:top w:val="outset" w:sz="6" w:space="0" w:color="auto"/>
              <w:left w:val="outset" w:sz="6" w:space="0" w:color="auto"/>
              <w:bottom w:val="outset" w:sz="6" w:space="0" w:color="auto"/>
              <w:right w:val="outset" w:sz="6" w:space="0" w:color="auto"/>
            </w:tcBorders>
            <w:tcMar>
              <w:top w:w="75" w:type="dxa"/>
              <w:left w:w="225" w:type="dxa"/>
              <w:bottom w:w="75" w:type="dxa"/>
              <w:right w:w="225" w:type="dxa"/>
            </w:tcMar>
            <w:vAlign w:val="center"/>
            <w:hideMark/>
          </w:tcPr>
          <w:p w14:paraId="0D184E25" w14:textId="77777777" w:rsidR="00ED1DAD" w:rsidRPr="008B6A75" w:rsidRDefault="00ED1DAD" w:rsidP="00387142">
            <w:pPr>
              <w:spacing w:after="225"/>
              <w:jc w:val="center"/>
              <w:rPr>
                <w:sz w:val="20"/>
                <w:szCs w:val="20"/>
              </w:rPr>
            </w:pPr>
            <w:r w:rsidRPr="008B6A75">
              <w:rPr>
                <w:sz w:val="20"/>
                <w:szCs w:val="20"/>
              </w:rPr>
              <w:t>Ответственный исполнитель</w:t>
            </w:r>
          </w:p>
        </w:tc>
      </w:tr>
      <w:tr w:rsidR="00ED1DAD" w:rsidRPr="008B6A75" w14:paraId="08A87AFF" w14:textId="77777777" w:rsidTr="00387142">
        <w:trPr>
          <w:jc w:val="center"/>
        </w:trPr>
        <w:tc>
          <w:tcPr>
            <w:tcW w:w="934" w:type="dxa"/>
            <w:tcBorders>
              <w:top w:val="outset" w:sz="6" w:space="0" w:color="auto"/>
              <w:left w:val="outset" w:sz="6" w:space="0" w:color="auto"/>
              <w:bottom w:val="outset" w:sz="6" w:space="0" w:color="auto"/>
              <w:right w:val="outset" w:sz="6" w:space="0" w:color="auto"/>
            </w:tcBorders>
            <w:tcMar>
              <w:top w:w="75" w:type="dxa"/>
              <w:left w:w="225" w:type="dxa"/>
              <w:bottom w:w="75" w:type="dxa"/>
              <w:right w:w="225" w:type="dxa"/>
            </w:tcMar>
          </w:tcPr>
          <w:p w14:paraId="131FBC7E" w14:textId="77777777" w:rsidR="00ED1DAD" w:rsidRPr="008B6A75" w:rsidRDefault="00ED1DAD" w:rsidP="00372B96">
            <w:pPr>
              <w:numPr>
                <w:ilvl w:val="0"/>
                <w:numId w:val="24"/>
              </w:numPr>
              <w:rPr>
                <w:sz w:val="20"/>
                <w:szCs w:val="20"/>
              </w:rPr>
            </w:pPr>
          </w:p>
        </w:tc>
        <w:tc>
          <w:tcPr>
            <w:tcW w:w="3827" w:type="dxa"/>
            <w:tcBorders>
              <w:top w:val="outset" w:sz="6" w:space="0" w:color="auto"/>
              <w:left w:val="outset" w:sz="6" w:space="0" w:color="auto"/>
              <w:bottom w:val="outset" w:sz="6" w:space="0" w:color="auto"/>
              <w:right w:val="outset" w:sz="6" w:space="0" w:color="auto"/>
            </w:tcBorders>
            <w:tcMar>
              <w:top w:w="75" w:type="dxa"/>
              <w:left w:w="225" w:type="dxa"/>
              <w:bottom w:w="75" w:type="dxa"/>
              <w:right w:w="225" w:type="dxa"/>
            </w:tcMar>
            <w:hideMark/>
          </w:tcPr>
          <w:p w14:paraId="438EEA8A" w14:textId="77777777" w:rsidR="00ED1DAD" w:rsidRPr="008B6A75" w:rsidRDefault="00ED1DAD" w:rsidP="00387142">
            <w:pPr>
              <w:rPr>
                <w:sz w:val="20"/>
                <w:szCs w:val="20"/>
              </w:rPr>
            </w:pPr>
            <w:r w:rsidRPr="008B6A75">
              <w:rPr>
                <w:sz w:val="20"/>
                <w:szCs w:val="20"/>
              </w:rPr>
              <w:t>Разработка и утверждение уставов муниципальных казённых учреждений</w:t>
            </w:r>
          </w:p>
        </w:tc>
        <w:tc>
          <w:tcPr>
            <w:tcW w:w="3544" w:type="dxa"/>
            <w:tcBorders>
              <w:top w:val="outset" w:sz="6" w:space="0" w:color="auto"/>
              <w:left w:val="outset" w:sz="6" w:space="0" w:color="auto"/>
              <w:bottom w:val="outset" w:sz="6" w:space="0" w:color="auto"/>
              <w:right w:val="outset" w:sz="6" w:space="0" w:color="auto"/>
            </w:tcBorders>
            <w:tcMar>
              <w:top w:w="75" w:type="dxa"/>
              <w:left w:w="225" w:type="dxa"/>
              <w:bottom w:w="75" w:type="dxa"/>
              <w:right w:w="225" w:type="dxa"/>
            </w:tcMar>
            <w:hideMark/>
          </w:tcPr>
          <w:p w14:paraId="5CC895E2" w14:textId="77777777" w:rsidR="00ED1DAD" w:rsidRPr="008B6A75" w:rsidRDefault="00ED1DAD" w:rsidP="00387142">
            <w:pPr>
              <w:rPr>
                <w:sz w:val="20"/>
                <w:szCs w:val="20"/>
              </w:rPr>
            </w:pPr>
            <w:r w:rsidRPr="008B6A75">
              <w:rPr>
                <w:sz w:val="20"/>
                <w:szCs w:val="20"/>
              </w:rPr>
              <w:t>До 22.12.2022</w:t>
            </w:r>
          </w:p>
        </w:tc>
        <w:tc>
          <w:tcPr>
            <w:tcW w:w="2066" w:type="dxa"/>
            <w:tcBorders>
              <w:top w:val="outset" w:sz="6" w:space="0" w:color="auto"/>
              <w:left w:val="outset" w:sz="6" w:space="0" w:color="auto"/>
              <w:bottom w:val="outset" w:sz="6" w:space="0" w:color="auto"/>
              <w:right w:val="outset" w:sz="6" w:space="0" w:color="auto"/>
            </w:tcBorders>
            <w:tcMar>
              <w:top w:w="75" w:type="dxa"/>
              <w:left w:w="225" w:type="dxa"/>
              <w:bottom w:w="75" w:type="dxa"/>
              <w:right w:w="225" w:type="dxa"/>
            </w:tcMar>
            <w:hideMark/>
          </w:tcPr>
          <w:p w14:paraId="162AF292" w14:textId="77777777" w:rsidR="00ED1DAD" w:rsidRPr="008B6A75" w:rsidRDefault="00ED1DAD" w:rsidP="00387142">
            <w:pPr>
              <w:rPr>
                <w:sz w:val="20"/>
                <w:szCs w:val="20"/>
              </w:rPr>
            </w:pPr>
            <w:r w:rsidRPr="008B6A75">
              <w:rPr>
                <w:sz w:val="20"/>
                <w:szCs w:val="20"/>
              </w:rPr>
              <w:t>Руководители учреждений</w:t>
            </w:r>
          </w:p>
        </w:tc>
      </w:tr>
      <w:tr w:rsidR="00ED1DAD" w:rsidRPr="008B6A75" w14:paraId="5533BC9B" w14:textId="77777777" w:rsidTr="00387142">
        <w:trPr>
          <w:jc w:val="center"/>
        </w:trPr>
        <w:tc>
          <w:tcPr>
            <w:tcW w:w="934" w:type="dxa"/>
            <w:tcBorders>
              <w:top w:val="outset" w:sz="6" w:space="0" w:color="auto"/>
              <w:left w:val="outset" w:sz="6" w:space="0" w:color="auto"/>
              <w:bottom w:val="outset" w:sz="6" w:space="0" w:color="auto"/>
              <w:right w:val="outset" w:sz="6" w:space="0" w:color="auto"/>
            </w:tcBorders>
            <w:tcMar>
              <w:top w:w="75" w:type="dxa"/>
              <w:left w:w="225" w:type="dxa"/>
              <w:bottom w:w="75" w:type="dxa"/>
              <w:right w:w="225" w:type="dxa"/>
            </w:tcMar>
          </w:tcPr>
          <w:p w14:paraId="428345B4" w14:textId="77777777" w:rsidR="00ED1DAD" w:rsidRPr="008B6A75" w:rsidRDefault="00ED1DAD" w:rsidP="00372B96">
            <w:pPr>
              <w:numPr>
                <w:ilvl w:val="0"/>
                <w:numId w:val="24"/>
              </w:numPr>
              <w:rPr>
                <w:sz w:val="20"/>
                <w:szCs w:val="20"/>
              </w:rPr>
            </w:pPr>
          </w:p>
        </w:tc>
        <w:tc>
          <w:tcPr>
            <w:tcW w:w="3827" w:type="dxa"/>
            <w:tcBorders>
              <w:top w:val="outset" w:sz="6" w:space="0" w:color="auto"/>
              <w:left w:val="outset" w:sz="6" w:space="0" w:color="auto"/>
              <w:bottom w:val="outset" w:sz="6" w:space="0" w:color="auto"/>
              <w:right w:val="outset" w:sz="6" w:space="0" w:color="auto"/>
            </w:tcBorders>
            <w:tcMar>
              <w:top w:w="75" w:type="dxa"/>
              <w:left w:w="225" w:type="dxa"/>
              <w:bottom w:w="75" w:type="dxa"/>
              <w:right w:w="225" w:type="dxa"/>
            </w:tcMar>
          </w:tcPr>
          <w:p w14:paraId="4115E5A7" w14:textId="77777777" w:rsidR="00ED1DAD" w:rsidRPr="008B6A75" w:rsidRDefault="00ED1DAD" w:rsidP="00387142">
            <w:pPr>
              <w:rPr>
                <w:color w:val="000000"/>
                <w:sz w:val="20"/>
                <w:szCs w:val="20"/>
              </w:rPr>
            </w:pPr>
            <w:r w:rsidRPr="008B6A75">
              <w:rPr>
                <w:color w:val="000000"/>
                <w:sz w:val="20"/>
                <w:szCs w:val="20"/>
              </w:rPr>
              <w:t>Регистрация устава в Межрайонной инспекции Федеральной налоговой с</w:t>
            </w:r>
            <w:r w:rsidRPr="008B6A75">
              <w:rPr>
                <w:i/>
                <w:color w:val="000000"/>
                <w:sz w:val="20"/>
                <w:szCs w:val="20"/>
              </w:rPr>
              <w:t>л</w:t>
            </w:r>
            <w:r w:rsidRPr="008B6A75">
              <w:rPr>
                <w:color w:val="000000"/>
                <w:sz w:val="20"/>
                <w:szCs w:val="20"/>
              </w:rPr>
              <w:t>ужбы № 16 по Новосибирской области</w:t>
            </w:r>
          </w:p>
        </w:tc>
        <w:tc>
          <w:tcPr>
            <w:tcW w:w="3544" w:type="dxa"/>
            <w:tcBorders>
              <w:top w:val="outset" w:sz="6" w:space="0" w:color="auto"/>
              <w:left w:val="outset" w:sz="6" w:space="0" w:color="auto"/>
              <w:bottom w:val="outset" w:sz="6" w:space="0" w:color="auto"/>
              <w:right w:val="outset" w:sz="6" w:space="0" w:color="auto"/>
            </w:tcBorders>
            <w:tcMar>
              <w:top w:w="75" w:type="dxa"/>
              <w:left w:w="225" w:type="dxa"/>
              <w:bottom w:w="75" w:type="dxa"/>
              <w:right w:w="225" w:type="dxa"/>
            </w:tcMar>
          </w:tcPr>
          <w:p w14:paraId="00181AA7" w14:textId="77777777" w:rsidR="00ED1DAD" w:rsidRPr="008B6A75" w:rsidRDefault="00ED1DAD" w:rsidP="00387142">
            <w:pPr>
              <w:rPr>
                <w:sz w:val="20"/>
                <w:szCs w:val="20"/>
              </w:rPr>
            </w:pPr>
            <w:r w:rsidRPr="008B6A75">
              <w:rPr>
                <w:sz w:val="20"/>
                <w:szCs w:val="20"/>
              </w:rPr>
              <w:t>26.12.2022</w:t>
            </w:r>
          </w:p>
        </w:tc>
        <w:tc>
          <w:tcPr>
            <w:tcW w:w="2066" w:type="dxa"/>
            <w:tcBorders>
              <w:top w:val="outset" w:sz="6" w:space="0" w:color="auto"/>
              <w:left w:val="outset" w:sz="6" w:space="0" w:color="auto"/>
              <w:bottom w:val="outset" w:sz="6" w:space="0" w:color="auto"/>
              <w:right w:val="outset" w:sz="6" w:space="0" w:color="auto"/>
            </w:tcBorders>
            <w:tcMar>
              <w:top w:w="75" w:type="dxa"/>
              <w:left w:w="225" w:type="dxa"/>
              <w:bottom w:w="75" w:type="dxa"/>
              <w:right w:w="225" w:type="dxa"/>
            </w:tcMar>
          </w:tcPr>
          <w:p w14:paraId="37C32A1F" w14:textId="77777777" w:rsidR="00ED1DAD" w:rsidRPr="008B6A75" w:rsidRDefault="00ED1DAD" w:rsidP="00387142">
            <w:pPr>
              <w:rPr>
                <w:sz w:val="20"/>
                <w:szCs w:val="20"/>
              </w:rPr>
            </w:pPr>
            <w:r w:rsidRPr="008B6A75">
              <w:rPr>
                <w:sz w:val="20"/>
                <w:szCs w:val="20"/>
              </w:rPr>
              <w:t>Руководители учреждений</w:t>
            </w:r>
          </w:p>
        </w:tc>
      </w:tr>
      <w:tr w:rsidR="00ED1DAD" w:rsidRPr="008B6A75" w14:paraId="582240EB" w14:textId="77777777" w:rsidTr="00387142">
        <w:trPr>
          <w:jc w:val="center"/>
        </w:trPr>
        <w:tc>
          <w:tcPr>
            <w:tcW w:w="934" w:type="dxa"/>
            <w:tcBorders>
              <w:top w:val="outset" w:sz="6" w:space="0" w:color="auto"/>
              <w:left w:val="outset" w:sz="6" w:space="0" w:color="auto"/>
              <w:bottom w:val="outset" w:sz="6" w:space="0" w:color="auto"/>
              <w:right w:val="outset" w:sz="6" w:space="0" w:color="auto"/>
            </w:tcBorders>
            <w:tcMar>
              <w:top w:w="75" w:type="dxa"/>
              <w:left w:w="225" w:type="dxa"/>
              <w:bottom w:w="75" w:type="dxa"/>
              <w:right w:w="225" w:type="dxa"/>
            </w:tcMar>
          </w:tcPr>
          <w:p w14:paraId="3CD76984" w14:textId="77777777" w:rsidR="00ED1DAD" w:rsidRPr="008B6A75" w:rsidRDefault="00ED1DAD" w:rsidP="00372B96">
            <w:pPr>
              <w:numPr>
                <w:ilvl w:val="0"/>
                <w:numId w:val="24"/>
              </w:numPr>
              <w:rPr>
                <w:sz w:val="20"/>
                <w:szCs w:val="20"/>
              </w:rPr>
            </w:pPr>
          </w:p>
        </w:tc>
        <w:tc>
          <w:tcPr>
            <w:tcW w:w="3827" w:type="dxa"/>
            <w:tcBorders>
              <w:top w:val="outset" w:sz="6" w:space="0" w:color="auto"/>
              <w:left w:val="outset" w:sz="6" w:space="0" w:color="auto"/>
              <w:bottom w:val="outset" w:sz="6" w:space="0" w:color="auto"/>
              <w:right w:val="outset" w:sz="6" w:space="0" w:color="auto"/>
            </w:tcBorders>
            <w:tcMar>
              <w:top w:w="75" w:type="dxa"/>
              <w:left w:w="225" w:type="dxa"/>
              <w:bottom w:w="75" w:type="dxa"/>
              <w:right w:w="225" w:type="dxa"/>
            </w:tcMar>
          </w:tcPr>
          <w:p w14:paraId="2EF7B350" w14:textId="77777777" w:rsidR="00ED1DAD" w:rsidRPr="008B6A75" w:rsidRDefault="00ED1DAD" w:rsidP="00387142">
            <w:pPr>
              <w:rPr>
                <w:sz w:val="20"/>
                <w:szCs w:val="20"/>
              </w:rPr>
            </w:pPr>
            <w:r w:rsidRPr="008B6A75">
              <w:rPr>
                <w:sz w:val="20"/>
                <w:szCs w:val="20"/>
              </w:rPr>
              <w:t>Письменное уведомление контрагентов и иных органов об изменении типа учреждения</w:t>
            </w:r>
          </w:p>
        </w:tc>
        <w:tc>
          <w:tcPr>
            <w:tcW w:w="3544" w:type="dxa"/>
            <w:tcBorders>
              <w:top w:val="outset" w:sz="6" w:space="0" w:color="auto"/>
              <w:left w:val="outset" w:sz="6" w:space="0" w:color="auto"/>
              <w:bottom w:val="outset" w:sz="6" w:space="0" w:color="auto"/>
              <w:right w:val="outset" w:sz="6" w:space="0" w:color="auto"/>
            </w:tcBorders>
            <w:tcMar>
              <w:top w:w="75" w:type="dxa"/>
              <w:left w:w="225" w:type="dxa"/>
              <w:bottom w:w="75" w:type="dxa"/>
              <w:right w:w="225" w:type="dxa"/>
            </w:tcMar>
          </w:tcPr>
          <w:p w14:paraId="6FA6CD0A" w14:textId="77777777" w:rsidR="00ED1DAD" w:rsidRPr="008B6A75" w:rsidRDefault="00ED1DAD" w:rsidP="00387142">
            <w:pPr>
              <w:rPr>
                <w:sz w:val="20"/>
                <w:szCs w:val="20"/>
              </w:rPr>
            </w:pPr>
            <w:r w:rsidRPr="008B6A75">
              <w:rPr>
                <w:sz w:val="20"/>
                <w:szCs w:val="20"/>
              </w:rPr>
              <w:t>В течение 3 дней с момента регистрации учреждения в Межрайонной инспекции Федеральной налоговой службы № 16 по Новосибирской области</w:t>
            </w:r>
          </w:p>
        </w:tc>
        <w:tc>
          <w:tcPr>
            <w:tcW w:w="2066" w:type="dxa"/>
            <w:tcBorders>
              <w:top w:val="outset" w:sz="6" w:space="0" w:color="auto"/>
              <w:left w:val="outset" w:sz="6" w:space="0" w:color="auto"/>
              <w:bottom w:val="outset" w:sz="6" w:space="0" w:color="auto"/>
              <w:right w:val="outset" w:sz="6" w:space="0" w:color="auto"/>
            </w:tcBorders>
            <w:tcMar>
              <w:top w:w="75" w:type="dxa"/>
              <w:left w:w="225" w:type="dxa"/>
              <w:bottom w:w="75" w:type="dxa"/>
              <w:right w:w="225" w:type="dxa"/>
            </w:tcMar>
          </w:tcPr>
          <w:p w14:paraId="6D14F5B0" w14:textId="77777777" w:rsidR="00ED1DAD" w:rsidRPr="008B6A75" w:rsidRDefault="00ED1DAD" w:rsidP="00387142">
            <w:pPr>
              <w:rPr>
                <w:sz w:val="20"/>
                <w:szCs w:val="20"/>
              </w:rPr>
            </w:pPr>
            <w:r w:rsidRPr="008B6A75">
              <w:rPr>
                <w:sz w:val="20"/>
                <w:szCs w:val="20"/>
              </w:rPr>
              <w:t>Руководители учреждений</w:t>
            </w:r>
          </w:p>
        </w:tc>
      </w:tr>
      <w:tr w:rsidR="00ED1DAD" w:rsidRPr="008B6A75" w14:paraId="49DAC8EF" w14:textId="77777777" w:rsidTr="00387142">
        <w:trPr>
          <w:jc w:val="center"/>
        </w:trPr>
        <w:tc>
          <w:tcPr>
            <w:tcW w:w="934" w:type="dxa"/>
            <w:tcBorders>
              <w:top w:val="outset" w:sz="6" w:space="0" w:color="auto"/>
              <w:left w:val="outset" w:sz="6" w:space="0" w:color="auto"/>
              <w:bottom w:val="outset" w:sz="6" w:space="0" w:color="auto"/>
              <w:right w:val="outset" w:sz="6" w:space="0" w:color="auto"/>
            </w:tcBorders>
            <w:tcMar>
              <w:top w:w="75" w:type="dxa"/>
              <w:left w:w="225" w:type="dxa"/>
              <w:bottom w:w="75" w:type="dxa"/>
              <w:right w:w="225" w:type="dxa"/>
            </w:tcMar>
          </w:tcPr>
          <w:p w14:paraId="35216B70" w14:textId="77777777" w:rsidR="00ED1DAD" w:rsidRPr="008B6A75" w:rsidRDefault="00ED1DAD" w:rsidP="00372B96">
            <w:pPr>
              <w:numPr>
                <w:ilvl w:val="0"/>
                <w:numId w:val="24"/>
              </w:numPr>
              <w:rPr>
                <w:sz w:val="20"/>
                <w:szCs w:val="20"/>
              </w:rPr>
            </w:pPr>
          </w:p>
        </w:tc>
        <w:tc>
          <w:tcPr>
            <w:tcW w:w="3827" w:type="dxa"/>
            <w:tcBorders>
              <w:top w:val="outset" w:sz="6" w:space="0" w:color="auto"/>
              <w:left w:val="outset" w:sz="6" w:space="0" w:color="auto"/>
              <w:bottom w:val="outset" w:sz="6" w:space="0" w:color="auto"/>
              <w:right w:val="outset" w:sz="6" w:space="0" w:color="auto"/>
            </w:tcBorders>
            <w:tcMar>
              <w:top w:w="75" w:type="dxa"/>
              <w:left w:w="225" w:type="dxa"/>
              <w:bottom w:w="75" w:type="dxa"/>
              <w:right w:w="225" w:type="dxa"/>
            </w:tcMar>
          </w:tcPr>
          <w:p w14:paraId="5E236906" w14:textId="77777777" w:rsidR="00ED1DAD" w:rsidRPr="008B6A75" w:rsidRDefault="00ED1DAD" w:rsidP="00387142">
            <w:pPr>
              <w:rPr>
                <w:sz w:val="20"/>
                <w:szCs w:val="20"/>
              </w:rPr>
            </w:pPr>
            <w:r w:rsidRPr="008B6A75">
              <w:rPr>
                <w:sz w:val="20"/>
                <w:szCs w:val="20"/>
              </w:rPr>
              <w:t>Письменное уведомление руководителей об изменении типа учреждения</w:t>
            </w:r>
          </w:p>
        </w:tc>
        <w:tc>
          <w:tcPr>
            <w:tcW w:w="3544" w:type="dxa"/>
            <w:tcBorders>
              <w:top w:val="outset" w:sz="6" w:space="0" w:color="auto"/>
              <w:left w:val="outset" w:sz="6" w:space="0" w:color="auto"/>
              <w:bottom w:val="outset" w:sz="6" w:space="0" w:color="auto"/>
              <w:right w:val="outset" w:sz="6" w:space="0" w:color="auto"/>
            </w:tcBorders>
            <w:tcMar>
              <w:top w:w="75" w:type="dxa"/>
              <w:left w:w="225" w:type="dxa"/>
              <w:bottom w:w="75" w:type="dxa"/>
              <w:right w:w="225" w:type="dxa"/>
            </w:tcMar>
          </w:tcPr>
          <w:p w14:paraId="0F80F402" w14:textId="77777777" w:rsidR="00ED1DAD" w:rsidRPr="008B6A75" w:rsidRDefault="00ED1DAD" w:rsidP="00387142">
            <w:pPr>
              <w:rPr>
                <w:sz w:val="20"/>
                <w:szCs w:val="20"/>
              </w:rPr>
            </w:pPr>
            <w:r w:rsidRPr="008B6A75">
              <w:rPr>
                <w:sz w:val="20"/>
                <w:szCs w:val="20"/>
              </w:rPr>
              <w:t xml:space="preserve">В течение 3 дней с момента издания постановления об изменении типа учреждения </w:t>
            </w:r>
          </w:p>
        </w:tc>
        <w:tc>
          <w:tcPr>
            <w:tcW w:w="2066" w:type="dxa"/>
            <w:tcBorders>
              <w:top w:val="outset" w:sz="6" w:space="0" w:color="auto"/>
              <w:left w:val="outset" w:sz="6" w:space="0" w:color="auto"/>
              <w:bottom w:val="outset" w:sz="6" w:space="0" w:color="auto"/>
              <w:right w:val="outset" w:sz="6" w:space="0" w:color="auto"/>
            </w:tcBorders>
            <w:tcMar>
              <w:top w:w="75" w:type="dxa"/>
              <w:left w:w="225" w:type="dxa"/>
              <w:bottom w:w="75" w:type="dxa"/>
              <w:right w:w="225" w:type="dxa"/>
            </w:tcMar>
          </w:tcPr>
          <w:p w14:paraId="611DA89F" w14:textId="77777777" w:rsidR="00ED1DAD" w:rsidRPr="008B6A75" w:rsidRDefault="00ED1DAD" w:rsidP="00387142">
            <w:pPr>
              <w:rPr>
                <w:sz w:val="20"/>
                <w:szCs w:val="20"/>
              </w:rPr>
            </w:pPr>
            <w:r w:rsidRPr="008B6A75">
              <w:rPr>
                <w:sz w:val="20"/>
                <w:szCs w:val="20"/>
              </w:rPr>
              <w:t>Руднева Е.А.</w:t>
            </w:r>
          </w:p>
        </w:tc>
      </w:tr>
      <w:tr w:rsidR="00ED1DAD" w:rsidRPr="008B6A75" w14:paraId="59F45A2D" w14:textId="77777777" w:rsidTr="00387142">
        <w:trPr>
          <w:jc w:val="center"/>
        </w:trPr>
        <w:tc>
          <w:tcPr>
            <w:tcW w:w="934" w:type="dxa"/>
            <w:tcBorders>
              <w:top w:val="outset" w:sz="6" w:space="0" w:color="auto"/>
              <w:left w:val="outset" w:sz="6" w:space="0" w:color="auto"/>
              <w:bottom w:val="outset" w:sz="6" w:space="0" w:color="auto"/>
              <w:right w:val="outset" w:sz="6" w:space="0" w:color="auto"/>
            </w:tcBorders>
            <w:tcMar>
              <w:top w:w="75" w:type="dxa"/>
              <w:left w:w="225" w:type="dxa"/>
              <w:bottom w:w="75" w:type="dxa"/>
              <w:right w:w="225" w:type="dxa"/>
            </w:tcMar>
          </w:tcPr>
          <w:p w14:paraId="695B4540" w14:textId="77777777" w:rsidR="00ED1DAD" w:rsidRPr="008B6A75" w:rsidRDefault="00ED1DAD" w:rsidP="00372B96">
            <w:pPr>
              <w:numPr>
                <w:ilvl w:val="0"/>
                <w:numId w:val="24"/>
              </w:numPr>
              <w:rPr>
                <w:sz w:val="20"/>
                <w:szCs w:val="20"/>
              </w:rPr>
            </w:pPr>
          </w:p>
        </w:tc>
        <w:tc>
          <w:tcPr>
            <w:tcW w:w="3827" w:type="dxa"/>
            <w:tcBorders>
              <w:top w:val="outset" w:sz="6" w:space="0" w:color="auto"/>
              <w:left w:val="outset" w:sz="6" w:space="0" w:color="auto"/>
              <w:bottom w:val="outset" w:sz="6" w:space="0" w:color="auto"/>
              <w:right w:val="outset" w:sz="6" w:space="0" w:color="auto"/>
            </w:tcBorders>
            <w:tcMar>
              <w:top w:w="75" w:type="dxa"/>
              <w:left w:w="225" w:type="dxa"/>
              <w:bottom w:w="75" w:type="dxa"/>
              <w:right w:w="225" w:type="dxa"/>
            </w:tcMar>
          </w:tcPr>
          <w:p w14:paraId="6D7C8C94" w14:textId="77777777" w:rsidR="00ED1DAD" w:rsidRPr="008B6A75" w:rsidRDefault="00ED1DAD" w:rsidP="00387142">
            <w:pPr>
              <w:rPr>
                <w:sz w:val="20"/>
                <w:szCs w:val="20"/>
              </w:rPr>
            </w:pPr>
            <w:r w:rsidRPr="008B6A75">
              <w:rPr>
                <w:sz w:val="20"/>
                <w:szCs w:val="20"/>
              </w:rPr>
              <w:t>Подготовка проектов дополнительных соглашений к трудовым договорам с руководителями создаваемых учреждений</w:t>
            </w:r>
          </w:p>
        </w:tc>
        <w:tc>
          <w:tcPr>
            <w:tcW w:w="3544" w:type="dxa"/>
            <w:tcBorders>
              <w:top w:val="outset" w:sz="6" w:space="0" w:color="auto"/>
              <w:left w:val="outset" w:sz="6" w:space="0" w:color="auto"/>
              <w:bottom w:val="outset" w:sz="6" w:space="0" w:color="auto"/>
              <w:right w:val="outset" w:sz="6" w:space="0" w:color="auto"/>
            </w:tcBorders>
            <w:tcMar>
              <w:top w:w="75" w:type="dxa"/>
              <w:left w:w="225" w:type="dxa"/>
              <w:bottom w:w="75" w:type="dxa"/>
              <w:right w:w="225" w:type="dxa"/>
            </w:tcMar>
          </w:tcPr>
          <w:p w14:paraId="5E29EBEC" w14:textId="77777777" w:rsidR="00ED1DAD" w:rsidRPr="008B6A75" w:rsidRDefault="00ED1DAD" w:rsidP="00387142">
            <w:pPr>
              <w:rPr>
                <w:sz w:val="20"/>
                <w:szCs w:val="20"/>
              </w:rPr>
            </w:pPr>
            <w:r w:rsidRPr="008B6A75">
              <w:rPr>
                <w:sz w:val="20"/>
                <w:szCs w:val="20"/>
              </w:rPr>
              <w:t>До 26.12.2022</w:t>
            </w:r>
          </w:p>
        </w:tc>
        <w:tc>
          <w:tcPr>
            <w:tcW w:w="2066" w:type="dxa"/>
            <w:tcBorders>
              <w:top w:val="outset" w:sz="6" w:space="0" w:color="auto"/>
              <w:left w:val="outset" w:sz="6" w:space="0" w:color="auto"/>
              <w:bottom w:val="outset" w:sz="6" w:space="0" w:color="auto"/>
              <w:right w:val="outset" w:sz="6" w:space="0" w:color="auto"/>
            </w:tcBorders>
            <w:tcMar>
              <w:top w:w="75" w:type="dxa"/>
              <w:left w:w="225" w:type="dxa"/>
              <w:bottom w:w="75" w:type="dxa"/>
              <w:right w:w="225" w:type="dxa"/>
            </w:tcMar>
          </w:tcPr>
          <w:p w14:paraId="094C94C7" w14:textId="77777777" w:rsidR="00ED1DAD" w:rsidRPr="008B6A75" w:rsidRDefault="00ED1DAD" w:rsidP="00387142">
            <w:pPr>
              <w:rPr>
                <w:sz w:val="20"/>
                <w:szCs w:val="20"/>
              </w:rPr>
            </w:pPr>
            <w:r w:rsidRPr="008B6A75">
              <w:rPr>
                <w:sz w:val="20"/>
                <w:szCs w:val="20"/>
              </w:rPr>
              <w:t>Руднева Е.А.</w:t>
            </w:r>
          </w:p>
        </w:tc>
      </w:tr>
      <w:tr w:rsidR="00ED1DAD" w:rsidRPr="008B6A75" w14:paraId="231228E5" w14:textId="77777777" w:rsidTr="00387142">
        <w:trPr>
          <w:jc w:val="center"/>
        </w:trPr>
        <w:tc>
          <w:tcPr>
            <w:tcW w:w="934" w:type="dxa"/>
            <w:tcBorders>
              <w:top w:val="outset" w:sz="6" w:space="0" w:color="auto"/>
              <w:left w:val="outset" w:sz="6" w:space="0" w:color="auto"/>
              <w:bottom w:val="outset" w:sz="6" w:space="0" w:color="auto"/>
              <w:right w:val="outset" w:sz="6" w:space="0" w:color="auto"/>
            </w:tcBorders>
            <w:tcMar>
              <w:top w:w="75" w:type="dxa"/>
              <w:left w:w="225" w:type="dxa"/>
              <w:bottom w:w="75" w:type="dxa"/>
              <w:right w:w="225" w:type="dxa"/>
            </w:tcMar>
          </w:tcPr>
          <w:p w14:paraId="0E345FEB" w14:textId="77777777" w:rsidR="00ED1DAD" w:rsidRPr="008B6A75" w:rsidRDefault="00ED1DAD" w:rsidP="00372B96">
            <w:pPr>
              <w:numPr>
                <w:ilvl w:val="0"/>
                <w:numId w:val="24"/>
              </w:numPr>
              <w:rPr>
                <w:sz w:val="20"/>
                <w:szCs w:val="20"/>
              </w:rPr>
            </w:pPr>
          </w:p>
        </w:tc>
        <w:tc>
          <w:tcPr>
            <w:tcW w:w="3827" w:type="dxa"/>
            <w:tcBorders>
              <w:top w:val="outset" w:sz="6" w:space="0" w:color="auto"/>
              <w:left w:val="outset" w:sz="6" w:space="0" w:color="auto"/>
              <w:bottom w:val="outset" w:sz="6" w:space="0" w:color="auto"/>
              <w:right w:val="outset" w:sz="6" w:space="0" w:color="auto"/>
            </w:tcBorders>
            <w:tcMar>
              <w:top w:w="75" w:type="dxa"/>
              <w:left w:w="225" w:type="dxa"/>
              <w:bottom w:w="75" w:type="dxa"/>
              <w:right w:w="225" w:type="dxa"/>
            </w:tcMar>
          </w:tcPr>
          <w:p w14:paraId="0A507F9C" w14:textId="77777777" w:rsidR="00ED1DAD" w:rsidRPr="008B6A75" w:rsidRDefault="00ED1DAD" w:rsidP="00387142">
            <w:pPr>
              <w:rPr>
                <w:sz w:val="20"/>
                <w:szCs w:val="20"/>
              </w:rPr>
            </w:pPr>
            <w:r w:rsidRPr="008B6A75">
              <w:rPr>
                <w:sz w:val="20"/>
                <w:szCs w:val="20"/>
              </w:rPr>
              <w:t>Уведомление работников об изменении типа учреждения</w:t>
            </w:r>
          </w:p>
        </w:tc>
        <w:tc>
          <w:tcPr>
            <w:tcW w:w="3544" w:type="dxa"/>
            <w:tcBorders>
              <w:top w:val="outset" w:sz="6" w:space="0" w:color="auto"/>
              <w:left w:val="outset" w:sz="6" w:space="0" w:color="auto"/>
              <w:bottom w:val="outset" w:sz="6" w:space="0" w:color="auto"/>
              <w:right w:val="outset" w:sz="6" w:space="0" w:color="auto"/>
            </w:tcBorders>
            <w:tcMar>
              <w:top w:w="75" w:type="dxa"/>
              <w:left w:w="225" w:type="dxa"/>
              <w:bottom w:w="75" w:type="dxa"/>
              <w:right w:w="225" w:type="dxa"/>
            </w:tcMar>
          </w:tcPr>
          <w:p w14:paraId="4D3C30DA" w14:textId="77777777" w:rsidR="00ED1DAD" w:rsidRPr="008B6A75" w:rsidRDefault="00ED1DAD" w:rsidP="00387142">
            <w:pPr>
              <w:rPr>
                <w:sz w:val="20"/>
                <w:szCs w:val="20"/>
              </w:rPr>
            </w:pPr>
            <w:r w:rsidRPr="008B6A75">
              <w:rPr>
                <w:sz w:val="20"/>
                <w:szCs w:val="20"/>
              </w:rPr>
              <w:t>В течение 3 дней с момента подписания постановления об изменении типа учреждения</w:t>
            </w:r>
          </w:p>
        </w:tc>
        <w:tc>
          <w:tcPr>
            <w:tcW w:w="2066" w:type="dxa"/>
            <w:tcBorders>
              <w:top w:val="outset" w:sz="6" w:space="0" w:color="auto"/>
              <w:left w:val="outset" w:sz="6" w:space="0" w:color="auto"/>
              <w:bottom w:val="outset" w:sz="6" w:space="0" w:color="auto"/>
              <w:right w:val="outset" w:sz="6" w:space="0" w:color="auto"/>
            </w:tcBorders>
            <w:tcMar>
              <w:top w:w="75" w:type="dxa"/>
              <w:left w:w="225" w:type="dxa"/>
              <w:bottom w:w="75" w:type="dxa"/>
              <w:right w:w="225" w:type="dxa"/>
            </w:tcMar>
          </w:tcPr>
          <w:p w14:paraId="192B0958" w14:textId="77777777" w:rsidR="00ED1DAD" w:rsidRPr="008B6A75" w:rsidRDefault="00ED1DAD" w:rsidP="00387142">
            <w:pPr>
              <w:rPr>
                <w:sz w:val="20"/>
                <w:szCs w:val="20"/>
              </w:rPr>
            </w:pPr>
            <w:r w:rsidRPr="008B6A75">
              <w:rPr>
                <w:sz w:val="20"/>
                <w:szCs w:val="20"/>
              </w:rPr>
              <w:t>Руководители учреждений</w:t>
            </w:r>
          </w:p>
        </w:tc>
      </w:tr>
      <w:tr w:rsidR="00ED1DAD" w:rsidRPr="008B6A75" w14:paraId="4CC0B00F" w14:textId="77777777" w:rsidTr="00387142">
        <w:trPr>
          <w:jc w:val="center"/>
        </w:trPr>
        <w:tc>
          <w:tcPr>
            <w:tcW w:w="934" w:type="dxa"/>
            <w:tcBorders>
              <w:top w:val="outset" w:sz="6" w:space="0" w:color="auto"/>
              <w:left w:val="outset" w:sz="6" w:space="0" w:color="auto"/>
              <w:bottom w:val="outset" w:sz="6" w:space="0" w:color="auto"/>
              <w:right w:val="outset" w:sz="6" w:space="0" w:color="auto"/>
            </w:tcBorders>
            <w:tcMar>
              <w:top w:w="75" w:type="dxa"/>
              <w:left w:w="225" w:type="dxa"/>
              <w:bottom w:w="75" w:type="dxa"/>
              <w:right w:w="225" w:type="dxa"/>
            </w:tcMar>
          </w:tcPr>
          <w:p w14:paraId="0AB7AE50" w14:textId="77777777" w:rsidR="00ED1DAD" w:rsidRPr="008B6A75" w:rsidRDefault="00ED1DAD" w:rsidP="00372B96">
            <w:pPr>
              <w:numPr>
                <w:ilvl w:val="0"/>
                <w:numId w:val="24"/>
              </w:numPr>
              <w:rPr>
                <w:sz w:val="20"/>
                <w:szCs w:val="20"/>
              </w:rPr>
            </w:pPr>
          </w:p>
        </w:tc>
        <w:tc>
          <w:tcPr>
            <w:tcW w:w="3827" w:type="dxa"/>
            <w:tcBorders>
              <w:top w:val="outset" w:sz="6" w:space="0" w:color="auto"/>
              <w:left w:val="outset" w:sz="6" w:space="0" w:color="auto"/>
              <w:bottom w:val="outset" w:sz="6" w:space="0" w:color="auto"/>
              <w:right w:val="outset" w:sz="6" w:space="0" w:color="auto"/>
            </w:tcBorders>
            <w:tcMar>
              <w:top w:w="75" w:type="dxa"/>
              <w:left w:w="225" w:type="dxa"/>
              <w:bottom w:w="75" w:type="dxa"/>
              <w:right w:w="225" w:type="dxa"/>
            </w:tcMar>
          </w:tcPr>
          <w:p w14:paraId="43A6F3BA" w14:textId="77777777" w:rsidR="00ED1DAD" w:rsidRPr="008B6A75" w:rsidRDefault="00ED1DAD" w:rsidP="00387142">
            <w:pPr>
              <w:rPr>
                <w:sz w:val="20"/>
                <w:szCs w:val="20"/>
              </w:rPr>
            </w:pPr>
            <w:r w:rsidRPr="008B6A75">
              <w:rPr>
                <w:sz w:val="20"/>
                <w:szCs w:val="20"/>
              </w:rPr>
              <w:t>Заключение дополнительных соглашений к трудовым договорам с работниками созданного учреждения</w:t>
            </w:r>
          </w:p>
        </w:tc>
        <w:tc>
          <w:tcPr>
            <w:tcW w:w="3544" w:type="dxa"/>
            <w:tcBorders>
              <w:top w:val="outset" w:sz="6" w:space="0" w:color="auto"/>
              <w:left w:val="outset" w:sz="6" w:space="0" w:color="auto"/>
              <w:bottom w:val="outset" w:sz="6" w:space="0" w:color="auto"/>
              <w:right w:val="outset" w:sz="6" w:space="0" w:color="auto"/>
            </w:tcBorders>
            <w:tcMar>
              <w:top w:w="75" w:type="dxa"/>
              <w:left w:w="225" w:type="dxa"/>
              <w:bottom w:w="75" w:type="dxa"/>
              <w:right w:w="225" w:type="dxa"/>
            </w:tcMar>
          </w:tcPr>
          <w:p w14:paraId="76E0F70A" w14:textId="77777777" w:rsidR="00ED1DAD" w:rsidRPr="008B6A75" w:rsidRDefault="00ED1DAD" w:rsidP="00387142">
            <w:pPr>
              <w:rPr>
                <w:sz w:val="20"/>
                <w:szCs w:val="20"/>
              </w:rPr>
            </w:pPr>
            <w:r w:rsidRPr="008B6A75">
              <w:rPr>
                <w:sz w:val="20"/>
                <w:szCs w:val="20"/>
              </w:rPr>
              <w:t>В течение пяти рабочих дней после регистрации учреждения</w:t>
            </w:r>
          </w:p>
        </w:tc>
        <w:tc>
          <w:tcPr>
            <w:tcW w:w="2066" w:type="dxa"/>
            <w:tcBorders>
              <w:top w:val="outset" w:sz="6" w:space="0" w:color="auto"/>
              <w:left w:val="outset" w:sz="6" w:space="0" w:color="auto"/>
              <w:bottom w:val="outset" w:sz="6" w:space="0" w:color="auto"/>
              <w:right w:val="outset" w:sz="6" w:space="0" w:color="auto"/>
            </w:tcBorders>
            <w:tcMar>
              <w:top w:w="75" w:type="dxa"/>
              <w:left w:w="225" w:type="dxa"/>
              <w:bottom w:w="75" w:type="dxa"/>
              <w:right w:w="225" w:type="dxa"/>
            </w:tcMar>
          </w:tcPr>
          <w:p w14:paraId="2F723DFC" w14:textId="77777777" w:rsidR="00ED1DAD" w:rsidRPr="008B6A75" w:rsidRDefault="00ED1DAD" w:rsidP="00387142">
            <w:pPr>
              <w:rPr>
                <w:sz w:val="20"/>
                <w:szCs w:val="20"/>
              </w:rPr>
            </w:pPr>
            <w:r w:rsidRPr="008B6A75">
              <w:rPr>
                <w:sz w:val="20"/>
                <w:szCs w:val="20"/>
              </w:rPr>
              <w:t>Руководители учреждений</w:t>
            </w:r>
          </w:p>
        </w:tc>
      </w:tr>
      <w:tr w:rsidR="00ED1DAD" w:rsidRPr="008B6A75" w14:paraId="30C47C01" w14:textId="77777777" w:rsidTr="00387142">
        <w:trPr>
          <w:jc w:val="center"/>
        </w:trPr>
        <w:tc>
          <w:tcPr>
            <w:tcW w:w="934" w:type="dxa"/>
            <w:tcBorders>
              <w:top w:val="outset" w:sz="6" w:space="0" w:color="auto"/>
              <w:left w:val="outset" w:sz="6" w:space="0" w:color="auto"/>
              <w:bottom w:val="outset" w:sz="6" w:space="0" w:color="auto"/>
              <w:right w:val="outset" w:sz="6" w:space="0" w:color="auto"/>
            </w:tcBorders>
            <w:tcMar>
              <w:top w:w="75" w:type="dxa"/>
              <w:left w:w="225" w:type="dxa"/>
              <w:bottom w:w="75" w:type="dxa"/>
              <w:right w:w="225" w:type="dxa"/>
            </w:tcMar>
          </w:tcPr>
          <w:p w14:paraId="172EFC2E" w14:textId="77777777" w:rsidR="00ED1DAD" w:rsidRPr="008B6A75" w:rsidRDefault="00ED1DAD" w:rsidP="00372B96">
            <w:pPr>
              <w:numPr>
                <w:ilvl w:val="0"/>
                <w:numId w:val="24"/>
              </w:numPr>
              <w:rPr>
                <w:sz w:val="20"/>
                <w:szCs w:val="20"/>
              </w:rPr>
            </w:pPr>
          </w:p>
        </w:tc>
        <w:tc>
          <w:tcPr>
            <w:tcW w:w="3827" w:type="dxa"/>
            <w:tcBorders>
              <w:top w:val="outset" w:sz="6" w:space="0" w:color="auto"/>
              <w:left w:val="outset" w:sz="6" w:space="0" w:color="auto"/>
              <w:bottom w:val="outset" w:sz="6" w:space="0" w:color="auto"/>
              <w:right w:val="outset" w:sz="6" w:space="0" w:color="auto"/>
            </w:tcBorders>
            <w:tcMar>
              <w:top w:w="75" w:type="dxa"/>
              <w:left w:w="225" w:type="dxa"/>
              <w:bottom w:w="75" w:type="dxa"/>
              <w:right w:w="225" w:type="dxa"/>
            </w:tcMar>
          </w:tcPr>
          <w:p w14:paraId="008D2431" w14:textId="77777777" w:rsidR="00ED1DAD" w:rsidRPr="008B6A75" w:rsidRDefault="00ED1DAD" w:rsidP="00387142">
            <w:pPr>
              <w:rPr>
                <w:sz w:val="20"/>
                <w:szCs w:val="20"/>
              </w:rPr>
            </w:pPr>
            <w:r w:rsidRPr="008B6A75">
              <w:rPr>
                <w:sz w:val="20"/>
                <w:szCs w:val="20"/>
              </w:rPr>
              <w:t>Внесение записей об изменении типа учреждения в трудовые книжки работников</w:t>
            </w:r>
          </w:p>
        </w:tc>
        <w:tc>
          <w:tcPr>
            <w:tcW w:w="3544" w:type="dxa"/>
            <w:tcBorders>
              <w:top w:val="outset" w:sz="6" w:space="0" w:color="auto"/>
              <w:left w:val="outset" w:sz="6" w:space="0" w:color="auto"/>
              <w:bottom w:val="outset" w:sz="6" w:space="0" w:color="auto"/>
              <w:right w:val="outset" w:sz="6" w:space="0" w:color="auto"/>
            </w:tcBorders>
            <w:tcMar>
              <w:top w:w="75" w:type="dxa"/>
              <w:left w:w="225" w:type="dxa"/>
              <w:bottom w:w="75" w:type="dxa"/>
              <w:right w:w="225" w:type="dxa"/>
            </w:tcMar>
          </w:tcPr>
          <w:p w14:paraId="41B2171C" w14:textId="77777777" w:rsidR="00ED1DAD" w:rsidRPr="008B6A75" w:rsidRDefault="00ED1DAD" w:rsidP="00387142">
            <w:pPr>
              <w:rPr>
                <w:sz w:val="20"/>
                <w:szCs w:val="20"/>
              </w:rPr>
            </w:pPr>
            <w:r w:rsidRPr="008B6A75">
              <w:rPr>
                <w:sz w:val="20"/>
                <w:szCs w:val="20"/>
              </w:rPr>
              <w:t>В течение пяти рабочих дней после регистрации учреждения</w:t>
            </w:r>
          </w:p>
        </w:tc>
        <w:tc>
          <w:tcPr>
            <w:tcW w:w="2066" w:type="dxa"/>
            <w:tcBorders>
              <w:top w:val="outset" w:sz="6" w:space="0" w:color="auto"/>
              <w:left w:val="outset" w:sz="6" w:space="0" w:color="auto"/>
              <w:bottom w:val="outset" w:sz="6" w:space="0" w:color="auto"/>
              <w:right w:val="outset" w:sz="6" w:space="0" w:color="auto"/>
            </w:tcBorders>
            <w:tcMar>
              <w:top w:w="75" w:type="dxa"/>
              <w:left w:w="225" w:type="dxa"/>
              <w:bottom w:w="75" w:type="dxa"/>
              <w:right w:w="225" w:type="dxa"/>
            </w:tcMar>
          </w:tcPr>
          <w:p w14:paraId="682D668F" w14:textId="77777777" w:rsidR="00ED1DAD" w:rsidRPr="008B6A75" w:rsidRDefault="00ED1DAD" w:rsidP="00387142">
            <w:pPr>
              <w:rPr>
                <w:sz w:val="20"/>
                <w:szCs w:val="20"/>
              </w:rPr>
            </w:pPr>
            <w:r w:rsidRPr="008B6A75">
              <w:rPr>
                <w:sz w:val="20"/>
                <w:szCs w:val="20"/>
              </w:rPr>
              <w:t>Руководители учреждений</w:t>
            </w:r>
          </w:p>
        </w:tc>
      </w:tr>
      <w:tr w:rsidR="00ED1DAD" w:rsidRPr="008B6A75" w14:paraId="756B6D56" w14:textId="77777777" w:rsidTr="00387142">
        <w:trPr>
          <w:jc w:val="center"/>
        </w:trPr>
        <w:tc>
          <w:tcPr>
            <w:tcW w:w="934" w:type="dxa"/>
            <w:tcBorders>
              <w:top w:val="outset" w:sz="6" w:space="0" w:color="auto"/>
              <w:left w:val="outset" w:sz="6" w:space="0" w:color="auto"/>
              <w:bottom w:val="outset" w:sz="6" w:space="0" w:color="auto"/>
              <w:right w:val="outset" w:sz="6" w:space="0" w:color="auto"/>
            </w:tcBorders>
            <w:tcMar>
              <w:top w:w="75" w:type="dxa"/>
              <w:left w:w="225" w:type="dxa"/>
              <w:bottom w:w="75" w:type="dxa"/>
              <w:right w:w="225" w:type="dxa"/>
            </w:tcMar>
          </w:tcPr>
          <w:p w14:paraId="7CD5F618" w14:textId="77777777" w:rsidR="00ED1DAD" w:rsidRPr="008B6A75" w:rsidRDefault="00ED1DAD" w:rsidP="00372B96">
            <w:pPr>
              <w:numPr>
                <w:ilvl w:val="0"/>
                <w:numId w:val="24"/>
              </w:numPr>
              <w:rPr>
                <w:sz w:val="20"/>
                <w:szCs w:val="20"/>
              </w:rPr>
            </w:pPr>
          </w:p>
        </w:tc>
        <w:tc>
          <w:tcPr>
            <w:tcW w:w="3827" w:type="dxa"/>
            <w:tcBorders>
              <w:top w:val="outset" w:sz="6" w:space="0" w:color="auto"/>
              <w:left w:val="outset" w:sz="6" w:space="0" w:color="auto"/>
              <w:bottom w:val="outset" w:sz="6" w:space="0" w:color="auto"/>
              <w:right w:val="outset" w:sz="6" w:space="0" w:color="auto"/>
            </w:tcBorders>
            <w:tcMar>
              <w:top w:w="75" w:type="dxa"/>
              <w:left w:w="225" w:type="dxa"/>
              <w:bottom w:w="75" w:type="dxa"/>
              <w:right w:w="225" w:type="dxa"/>
            </w:tcMar>
            <w:hideMark/>
          </w:tcPr>
          <w:p w14:paraId="374EFEB7" w14:textId="77777777" w:rsidR="00ED1DAD" w:rsidRPr="008B6A75" w:rsidRDefault="00ED1DAD" w:rsidP="00387142">
            <w:pPr>
              <w:rPr>
                <w:color w:val="FF0000"/>
                <w:sz w:val="20"/>
                <w:szCs w:val="20"/>
              </w:rPr>
            </w:pPr>
            <w:r w:rsidRPr="008B6A75">
              <w:rPr>
                <w:sz w:val="20"/>
                <w:szCs w:val="20"/>
              </w:rPr>
              <w:t>Подача заявления на получение выписки из ЕГРН в связи с изменением наименования учреждения</w:t>
            </w:r>
          </w:p>
        </w:tc>
        <w:tc>
          <w:tcPr>
            <w:tcW w:w="3544" w:type="dxa"/>
            <w:tcBorders>
              <w:top w:val="outset" w:sz="6" w:space="0" w:color="auto"/>
              <w:left w:val="outset" w:sz="6" w:space="0" w:color="auto"/>
              <w:bottom w:val="outset" w:sz="6" w:space="0" w:color="auto"/>
              <w:right w:val="outset" w:sz="6" w:space="0" w:color="auto"/>
            </w:tcBorders>
            <w:tcMar>
              <w:top w:w="75" w:type="dxa"/>
              <w:left w:w="225" w:type="dxa"/>
              <w:bottom w:w="75" w:type="dxa"/>
              <w:right w:w="225" w:type="dxa"/>
            </w:tcMar>
            <w:hideMark/>
          </w:tcPr>
          <w:p w14:paraId="6C8E8007" w14:textId="77777777" w:rsidR="00ED1DAD" w:rsidRPr="008B6A75" w:rsidRDefault="00ED1DAD" w:rsidP="00387142">
            <w:pPr>
              <w:rPr>
                <w:sz w:val="20"/>
                <w:szCs w:val="20"/>
              </w:rPr>
            </w:pPr>
            <w:r w:rsidRPr="008B6A75">
              <w:rPr>
                <w:sz w:val="20"/>
                <w:szCs w:val="20"/>
              </w:rPr>
              <w:t>В течение 3 дней с момента регистрации учреждения</w:t>
            </w:r>
          </w:p>
        </w:tc>
        <w:tc>
          <w:tcPr>
            <w:tcW w:w="2066" w:type="dxa"/>
            <w:tcBorders>
              <w:top w:val="outset" w:sz="6" w:space="0" w:color="auto"/>
              <w:left w:val="outset" w:sz="6" w:space="0" w:color="auto"/>
              <w:bottom w:val="outset" w:sz="6" w:space="0" w:color="auto"/>
              <w:right w:val="outset" w:sz="6" w:space="0" w:color="auto"/>
            </w:tcBorders>
            <w:tcMar>
              <w:top w:w="75" w:type="dxa"/>
              <w:left w:w="225" w:type="dxa"/>
              <w:bottom w:w="75" w:type="dxa"/>
              <w:right w:w="225" w:type="dxa"/>
            </w:tcMar>
            <w:hideMark/>
          </w:tcPr>
          <w:p w14:paraId="31D28CAC" w14:textId="77777777" w:rsidR="00ED1DAD" w:rsidRPr="008B6A75" w:rsidRDefault="00ED1DAD" w:rsidP="00387142">
            <w:pPr>
              <w:rPr>
                <w:sz w:val="20"/>
                <w:szCs w:val="20"/>
              </w:rPr>
            </w:pPr>
            <w:r w:rsidRPr="008B6A75">
              <w:rPr>
                <w:sz w:val="20"/>
                <w:szCs w:val="20"/>
              </w:rPr>
              <w:t>Руководители учреждений</w:t>
            </w:r>
          </w:p>
        </w:tc>
      </w:tr>
      <w:tr w:rsidR="00ED1DAD" w:rsidRPr="008B6A75" w14:paraId="0B495CF7" w14:textId="77777777" w:rsidTr="00387142">
        <w:trPr>
          <w:jc w:val="center"/>
        </w:trPr>
        <w:tc>
          <w:tcPr>
            <w:tcW w:w="934" w:type="dxa"/>
            <w:tcBorders>
              <w:top w:val="outset" w:sz="6" w:space="0" w:color="auto"/>
              <w:left w:val="outset" w:sz="6" w:space="0" w:color="auto"/>
              <w:bottom w:val="outset" w:sz="6" w:space="0" w:color="auto"/>
              <w:right w:val="outset" w:sz="6" w:space="0" w:color="auto"/>
            </w:tcBorders>
            <w:tcMar>
              <w:top w:w="75" w:type="dxa"/>
              <w:left w:w="225" w:type="dxa"/>
              <w:bottom w:w="75" w:type="dxa"/>
              <w:right w:w="225" w:type="dxa"/>
            </w:tcMar>
          </w:tcPr>
          <w:p w14:paraId="354E67B1" w14:textId="77777777" w:rsidR="00ED1DAD" w:rsidRPr="008B6A75" w:rsidRDefault="00ED1DAD" w:rsidP="00372B96">
            <w:pPr>
              <w:numPr>
                <w:ilvl w:val="0"/>
                <w:numId w:val="24"/>
              </w:numPr>
              <w:rPr>
                <w:sz w:val="20"/>
                <w:szCs w:val="20"/>
              </w:rPr>
            </w:pPr>
          </w:p>
        </w:tc>
        <w:tc>
          <w:tcPr>
            <w:tcW w:w="3827" w:type="dxa"/>
            <w:tcBorders>
              <w:top w:val="outset" w:sz="6" w:space="0" w:color="auto"/>
              <w:left w:val="outset" w:sz="6" w:space="0" w:color="auto"/>
              <w:bottom w:val="outset" w:sz="6" w:space="0" w:color="auto"/>
              <w:right w:val="outset" w:sz="6" w:space="0" w:color="auto"/>
            </w:tcBorders>
            <w:tcMar>
              <w:top w:w="75" w:type="dxa"/>
              <w:left w:w="225" w:type="dxa"/>
              <w:bottom w:w="75" w:type="dxa"/>
              <w:right w:w="225" w:type="dxa"/>
            </w:tcMar>
          </w:tcPr>
          <w:p w14:paraId="1BECB710" w14:textId="77777777" w:rsidR="00ED1DAD" w:rsidRPr="008B6A75" w:rsidRDefault="00ED1DAD" w:rsidP="00387142">
            <w:pPr>
              <w:jc w:val="both"/>
              <w:rPr>
                <w:sz w:val="20"/>
                <w:szCs w:val="20"/>
              </w:rPr>
            </w:pPr>
            <w:r w:rsidRPr="008B6A75">
              <w:rPr>
                <w:sz w:val="20"/>
                <w:szCs w:val="20"/>
              </w:rPr>
              <w:t>Переоформление лицензии на осуществление образовательной деятельности</w:t>
            </w:r>
          </w:p>
        </w:tc>
        <w:tc>
          <w:tcPr>
            <w:tcW w:w="3544" w:type="dxa"/>
            <w:tcBorders>
              <w:top w:val="outset" w:sz="6" w:space="0" w:color="auto"/>
              <w:left w:val="outset" w:sz="6" w:space="0" w:color="auto"/>
              <w:bottom w:val="outset" w:sz="6" w:space="0" w:color="auto"/>
              <w:right w:val="outset" w:sz="6" w:space="0" w:color="auto"/>
            </w:tcBorders>
            <w:tcMar>
              <w:top w:w="75" w:type="dxa"/>
              <w:left w:w="225" w:type="dxa"/>
              <w:bottom w:w="75" w:type="dxa"/>
              <w:right w:w="225" w:type="dxa"/>
            </w:tcMar>
          </w:tcPr>
          <w:p w14:paraId="63379868" w14:textId="77777777" w:rsidR="00ED1DAD" w:rsidRPr="008B6A75" w:rsidRDefault="00ED1DAD" w:rsidP="00387142">
            <w:pPr>
              <w:rPr>
                <w:sz w:val="20"/>
                <w:szCs w:val="20"/>
              </w:rPr>
            </w:pPr>
            <w:r w:rsidRPr="008B6A75">
              <w:rPr>
                <w:sz w:val="20"/>
                <w:szCs w:val="20"/>
              </w:rPr>
              <w:t>В течение 3 дней с момента регистрации учреждения</w:t>
            </w:r>
          </w:p>
        </w:tc>
        <w:tc>
          <w:tcPr>
            <w:tcW w:w="2066" w:type="dxa"/>
            <w:tcBorders>
              <w:top w:val="outset" w:sz="6" w:space="0" w:color="auto"/>
              <w:left w:val="outset" w:sz="6" w:space="0" w:color="auto"/>
              <w:bottom w:val="outset" w:sz="6" w:space="0" w:color="auto"/>
              <w:right w:val="outset" w:sz="6" w:space="0" w:color="auto"/>
            </w:tcBorders>
            <w:tcMar>
              <w:top w:w="75" w:type="dxa"/>
              <w:left w:w="225" w:type="dxa"/>
              <w:bottom w:w="75" w:type="dxa"/>
              <w:right w:w="225" w:type="dxa"/>
            </w:tcMar>
          </w:tcPr>
          <w:p w14:paraId="66DEC571" w14:textId="77777777" w:rsidR="00ED1DAD" w:rsidRPr="008B6A75" w:rsidRDefault="00ED1DAD" w:rsidP="00387142">
            <w:pPr>
              <w:rPr>
                <w:sz w:val="20"/>
                <w:szCs w:val="20"/>
              </w:rPr>
            </w:pPr>
            <w:r w:rsidRPr="008B6A75">
              <w:rPr>
                <w:sz w:val="20"/>
                <w:szCs w:val="20"/>
              </w:rPr>
              <w:t>Руководители учреждений, Фомина Е.Н.</w:t>
            </w:r>
          </w:p>
        </w:tc>
      </w:tr>
      <w:tr w:rsidR="00ED1DAD" w:rsidRPr="008B6A75" w14:paraId="43A0543F" w14:textId="77777777" w:rsidTr="00387142">
        <w:trPr>
          <w:jc w:val="center"/>
        </w:trPr>
        <w:tc>
          <w:tcPr>
            <w:tcW w:w="934" w:type="dxa"/>
            <w:tcBorders>
              <w:top w:val="outset" w:sz="6" w:space="0" w:color="auto"/>
              <w:left w:val="outset" w:sz="6" w:space="0" w:color="auto"/>
              <w:bottom w:val="outset" w:sz="6" w:space="0" w:color="auto"/>
              <w:right w:val="outset" w:sz="6" w:space="0" w:color="auto"/>
            </w:tcBorders>
            <w:tcMar>
              <w:top w:w="75" w:type="dxa"/>
              <w:left w:w="225" w:type="dxa"/>
              <w:bottom w:w="75" w:type="dxa"/>
              <w:right w:w="225" w:type="dxa"/>
            </w:tcMar>
          </w:tcPr>
          <w:p w14:paraId="18802C33" w14:textId="77777777" w:rsidR="00ED1DAD" w:rsidRPr="008B6A75" w:rsidRDefault="00ED1DAD" w:rsidP="00372B96">
            <w:pPr>
              <w:numPr>
                <w:ilvl w:val="0"/>
                <w:numId w:val="24"/>
              </w:numPr>
              <w:rPr>
                <w:sz w:val="20"/>
                <w:szCs w:val="20"/>
              </w:rPr>
            </w:pPr>
          </w:p>
        </w:tc>
        <w:tc>
          <w:tcPr>
            <w:tcW w:w="3827" w:type="dxa"/>
            <w:tcBorders>
              <w:top w:val="outset" w:sz="6" w:space="0" w:color="auto"/>
              <w:left w:val="outset" w:sz="6" w:space="0" w:color="auto"/>
              <w:bottom w:val="outset" w:sz="6" w:space="0" w:color="auto"/>
              <w:right w:val="outset" w:sz="6" w:space="0" w:color="auto"/>
            </w:tcBorders>
            <w:tcMar>
              <w:top w:w="75" w:type="dxa"/>
              <w:left w:w="225" w:type="dxa"/>
              <w:bottom w:w="75" w:type="dxa"/>
              <w:right w:w="225" w:type="dxa"/>
            </w:tcMar>
          </w:tcPr>
          <w:p w14:paraId="082C6A69" w14:textId="77777777" w:rsidR="00ED1DAD" w:rsidRPr="008B6A75" w:rsidRDefault="00ED1DAD" w:rsidP="00387142">
            <w:pPr>
              <w:jc w:val="both"/>
              <w:rPr>
                <w:sz w:val="20"/>
                <w:szCs w:val="20"/>
              </w:rPr>
            </w:pPr>
            <w:r w:rsidRPr="008B6A75">
              <w:rPr>
                <w:sz w:val="20"/>
                <w:szCs w:val="20"/>
              </w:rPr>
              <w:t>Переоформление свидетельства о государственной аккредитации</w:t>
            </w:r>
          </w:p>
        </w:tc>
        <w:tc>
          <w:tcPr>
            <w:tcW w:w="3544" w:type="dxa"/>
            <w:tcBorders>
              <w:top w:val="outset" w:sz="6" w:space="0" w:color="auto"/>
              <w:left w:val="outset" w:sz="6" w:space="0" w:color="auto"/>
              <w:bottom w:val="outset" w:sz="6" w:space="0" w:color="auto"/>
              <w:right w:val="outset" w:sz="6" w:space="0" w:color="auto"/>
            </w:tcBorders>
            <w:tcMar>
              <w:top w:w="75" w:type="dxa"/>
              <w:left w:w="225" w:type="dxa"/>
              <w:bottom w:w="75" w:type="dxa"/>
              <w:right w:w="225" w:type="dxa"/>
            </w:tcMar>
          </w:tcPr>
          <w:p w14:paraId="2AFAF55E" w14:textId="77777777" w:rsidR="00ED1DAD" w:rsidRPr="008B6A75" w:rsidRDefault="00ED1DAD" w:rsidP="00387142">
            <w:pPr>
              <w:rPr>
                <w:sz w:val="20"/>
                <w:szCs w:val="20"/>
              </w:rPr>
            </w:pPr>
            <w:r w:rsidRPr="008B6A75">
              <w:rPr>
                <w:sz w:val="20"/>
                <w:szCs w:val="20"/>
              </w:rPr>
              <w:t>В течение 3 дней после получения лицензии</w:t>
            </w:r>
          </w:p>
        </w:tc>
        <w:tc>
          <w:tcPr>
            <w:tcW w:w="2066" w:type="dxa"/>
            <w:tcBorders>
              <w:top w:val="outset" w:sz="6" w:space="0" w:color="auto"/>
              <w:left w:val="outset" w:sz="6" w:space="0" w:color="auto"/>
              <w:bottom w:val="outset" w:sz="6" w:space="0" w:color="auto"/>
              <w:right w:val="outset" w:sz="6" w:space="0" w:color="auto"/>
            </w:tcBorders>
            <w:tcMar>
              <w:top w:w="75" w:type="dxa"/>
              <w:left w:w="225" w:type="dxa"/>
              <w:bottom w:w="75" w:type="dxa"/>
              <w:right w:w="225" w:type="dxa"/>
            </w:tcMar>
          </w:tcPr>
          <w:p w14:paraId="78A3EBF7" w14:textId="77777777" w:rsidR="00ED1DAD" w:rsidRPr="008B6A75" w:rsidRDefault="00ED1DAD" w:rsidP="00387142">
            <w:pPr>
              <w:rPr>
                <w:sz w:val="20"/>
                <w:szCs w:val="20"/>
              </w:rPr>
            </w:pPr>
            <w:r w:rsidRPr="008B6A75">
              <w:rPr>
                <w:sz w:val="20"/>
                <w:szCs w:val="20"/>
              </w:rPr>
              <w:t>Руководители учреждений</w:t>
            </w:r>
          </w:p>
        </w:tc>
      </w:tr>
      <w:tr w:rsidR="00ED1DAD" w:rsidRPr="008B6A75" w14:paraId="23D381C2" w14:textId="77777777" w:rsidTr="00387142">
        <w:trPr>
          <w:jc w:val="center"/>
        </w:trPr>
        <w:tc>
          <w:tcPr>
            <w:tcW w:w="934" w:type="dxa"/>
            <w:tcBorders>
              <w:top w:val="outset" w:sz="6" w:space="0" w:color="auto"/>
              <w:left w:val="outset" w:sz="6" w:space="0" w:color="auto"/>
              <w:bottom w:val="outset" w:sz="6" w:space="0" w:color="auto"/>
              <w:right w:val="outset" w:sz="6" w:space="0" w:color="auto"/>
            </w:tcBorders>
            <w:tcMar>
              <w:top w:w="75" w:type="dxa"/>
              <w:left w:w="225" w:type="dxa"/>
              <w:bottom w:w="75" w:type="dxa"/>
              <w:right w:w="225" w:type="dxa"/>
            </w:tcMar>
          </w:tcPr>
          <w:p w14:paraId="78CCD5EA" w14:textId="77777777" w:rsidR="00ED1DAD" w:rsidRPr="008B6A75" w:rsidRDefault="00ED1DAD" w:rsidP="00372B96">
            <w:pPr>
              <w:numPr>
                <w:ilvl w:val="0"/>
                <w:numId w:val="24"/>
              </w:numPr>
              <w:rPr>
                <w:sz w:val="20"/>
                <w:szCs w:val="20"/>
              </w:rPr>
            </w:pPr>
          </w:p>
        </w:tc>
        <w:tc>
          <w:tcPr>
            <w:tcW w:w="3827" w:type="dxa"/>
            <w:tcBorders>
              <w:top w:val="outset" w:sz="6" w:space="0" w:color="auto"/>
              <w:left w:val="outset" w:sz="6" w:space="0" w:color="auto"/>
              <w:bottom w:val="outset" w:sz="6" w:space="0" w:color="auto"/>
              <w:right w:val="outset" w:sz="6" w:space="0" w:color="auto"/>
            </w:tcBorders>
            <w:tcMar>
              <w:top w:w="75" w:type="dxa"/>
              <w:left w:w="225" w:type="dxa"/>
              <w:bottom w:w="75" w:type="dxa"/>
              <w:right w:w="225" w:type="dxa"/>
            </w:tcMar>
          </w:tcPr>
          <w:p w14:paraId="65377AD3" w14:textId="77777777" w:rsidR="00ED1DAD" w:rsidRPr="008B6A75" w:rsidRDefault="00ED1DAD" w:rsidP="00387142">
            <w:pPr>
              <w:rPr>
                <w:sz w:val="20"/>
                <w:szCs w:val="20"/>
              </w:rPr>
            </w:pPr>
            <w:r w:rsidRPr="008B6A75">
              <w:rPr>
                <w:sz w:val="20"/>
                <w:szCs w:val="20"/>
              </w:rPr>
              <w:t>Изготовление печатей образовательного учреждения</w:t>
            </w:r>
          </w:p>
        </w:tc>
        <w:tc>
          <w:tcPr>
            <w:tcW w:w="3544" w:type="dxa"/>
            <w:tcBorders>
              <w:top w:val="outset" w:sz="6" w:space="0" w:color="auto"/>
              <w:left w:val="outset" w:sz="6" w:space="0" w:color="auto"/>
              <w:bottom w:val="outset" w:sz="6" w:space="0" w:color="auto"/>
              <w:right w:val="outset" w:sz="6" w:space="0" w:color="auto"/>
            </w:tcBorders>
            <w:tcMar>
              <w:top w:w="75" w:type="dxa"/>
              <w:left w:w="225" w:type="dxa"/>
              <w:bottom w:w="75" w:type="dxa"/>
              <w:right w:w="225" w:type="dxa"/>
            </w:tcMar>
          </w:tcPr>
          <w:p w14:paraId="1C6FE492" w14:textId="77777777" w:rsidR="00ED1DAD" w:rsidRPr="008B6A75" w:rsidRDefault="00ED1DAD" w:rsidP="00387142">
            <w:pPr>
              <w:rPr>
                <w:sz w:val="20"/>
                <w:szCs w:val="20"/>
              </w:rPr>
            </w:pPr>
            <w:r w:rsidRPr="008B6A75">
              <w:rPr>
                <w:sz w:val="20"/>
                <w:szCs w:val="20"/>
              </w:rPr>
              <w:t>До 30.12.2022</w:t>
            </w:r>
          </w:p>
        </w:tc>
        <w:tc>
          <w:tcPr>
            <w:tcW w:w="2066" w:type="dxa"/>
            <w:tcBorders>
              <w:top w:val="outset" w:sz="6" w:space="0" w:color="auto"/>
              <w:left w:val="outset" w:sz="6" w:space="0" w:color="auto"/>
              <w:bottom w:val="outset" w:sz="6" w:space="0" w:color="auto"/>
              <w:right w:val="outset" w:sz="6" w:space="0" w:color="auto"/>
            </w:tcBorders>
            <w:tcMar>
              <w:top w:w="75" w:type="dxa"/>
              <w:left w:w="225" w:type="dxa"/>
              <w:bottom w:w="75" w:type="dxa"/>
              <w:right w:w="225" w:type="dxa"/>
            </w:tcMar>
          </w:tcPr>
          <w:p w14:paraId="0BA06872" w14:textId="77777777" w:rsidR="00ED1DAD" w:rsidRPr="008B6A75" w:rsidRDefault="00ED1DAD" w:rsidP="00387142">
            <w:pPr>
              <w:rPr>
                <w:sz w:val="20"/>
                <w:szCs w:val="20"/>
              </w:rPr>
            </w:pPr>
            <w:r w:rsidRPr="008B6A75">
              <w:rPr>
                <w:sz w:val="20"/>
                <w:szCs w:val="20"/>
              </w:rPr>
              <w:t>Руководители учреждений</w:t>
            </w:r>
          </w:p>
        </w:tc>
      </w:tr>
      <w:tr w:rsidR="00ED1DAD" w:rsidRPr="008B6A75" w14:paraId="24E7BCFC" w14:textId="77777777" w:rsidTr="00387142">
        <w:trPr>
          <w:jc w:val="center"/>
        </w:trPr>
        <w:tc>
          <w:tcPr>
            <w:tcW w:w="934" w:type="dxa"/>
            <w:tcBorders>
              <w:top w:val="outset" w:sz="6" w:space="0" w:color="auto"/>
              <w:left w:val="outset" w:sz="6" w:space="0" w:color="auto"/>
              <w:bottom w:val="outset" w:sz="6" w:space="0" w:color="auto"/>
              <w:right w:val="outset" w:sz="6" w:space="0" w:color="auto"/>
            </w:tcBorders>
            <w:tcMar>
              <w:top w:w="75" w:type="dxa"/>
              <w:left w:w="225" w:type="dxa"/>
              <w:bottom w:w="75" w:type="dxa"/>
              <w:right w:w="225" w:type="dxa"/>
            </w:tcMar>
          </w:tcPr>
          <w:p w14:paraId="0425A6A1" w14:textId="77777777" w:rsidR="00ED1DAD" w:rsidRPr="008B6A75" w:rsidRDefault="00ED1DAD" w:rsidP="00372B96">
            <w:pPr>
              <w:numPr>
                <w:ilvl w:val="0"/>
                <w:numId w:val="24"/>
              </w:numPr>
              <w:rPr>
                <w:sz w:val="20"/>
                <w:szCs w:val="20"/>
              </w:rPr>
            </w:pPr>
          </w:p>
        </w:tc>
        <w:tc>
          <w:tcPr>
            <w:tcW w:w="3827" w:type="dxa"/>
            <w:tcBorders>
              <w:top w:val="outset" w:sz="6" w:space="0" w:color="auto"/>
              <w:left w:val="outset" w:sz="6" w:space="0" w:color="auto"/>
              <w:bottom w:val="outset" w:sz="6" w:space="0" w:color="auto"/>
              <w:right w:val="outset" w:sz="6" w:space="0" w:color="auto"/>
            </w:tcBorders>
            <w:tcMar>
              <w:top w:w="75" w:type="dxa"/>
              <w:left w:w="225" w:type="dxa"/>
              <w:bottom w:w="75" w:type="dxa"/>
              <w:right w:w="225" w:type="dxa"/>
            </w:tcMar>
          </w:tcPr>
          <w:p w14:paraId="337615FA" w14:textId="77777777" w:rsidR="00ED1DAD" w:rsidRPr="008B6A75" w:rsidRDefault="00ED1DAD" w:rsidP="00387142">
            <w:pPr>
              <w:rPr>
                <w:sz w:val="20"/>
                <w:szCs w:val="20"/>
              </w:rPr>
            </w:pPr>
            <w:r w:rsidRPr="008B6A75">
              <w:rPr>
                <w:sz w:val="20"/>
                <w:szCs w:val="20"/>
              </w:rPr>
              <w:t xml:space="preserve">Размещение информации на сайте </w:t>
            </w:r>
            <w:hyperlink r:id="rId40" w:history="1">
              <w:r w:rsidRPr="008B6A75">
                <w:rPr>
                  <w:rStyle w:val="afa"/>
                  <w:sz w:val="20"/>
                  <w:szCs w:val="20"/>
                </w:rPr>
                <w:t>https://bus.gov.ru/</w:t>
              </w:r>
            </w:hyperlink>
            <w:r w:rsidRPr="008B6A75">
              <w:rPr>
                <w:sz w:val="20"/>
                <w:szCs w:val="20"/>
              </w:rPr>
              <w:t xml:space="preserve"> об изменении типа учреждения</w:t>
            </w:r>
          </w:p>
        </w:tc>
        <w:tc>
          <w:tcPr>
            <w:tcW w:w="3544" w:type="dxa"/>
            <w:tcBorders>
              <w:top w:val="outset" w:sz="6" w:space="0" w:color="auto"/>
              <w:left w:val="outset" w:sz="6" w:space="0" w:color="auto"/>
              <w:bottom w:val="outset" w:sz="6" w:space="0" w:color="auto"/>
              <w:right w:val="outset" w:sz="6" w:space="0" w:color="auto"/>
            </w:tcBorders>
            <w:tcMar>
              <w:top w:w="75" w:type="dxa"/>
              <w:left w:w="225" w:type="dxa"/>
              <w:bottom w:w="75" w:type="dxa"/>
              <w:right w:w="225" w:type="dxa"/>
            </w:tcMar>
          </w:tcPr>
          <w:p w14:paraId="5435E718" w14:textId="77777777" w:rsidR="00ED1DAD" w:rsidRPr="008B6A75" w:rsidRDefault="00ED1DAD" w:rsidP="00387142">
            <w:pPr>
              <w:rPr>
                <w:sz w:val="20"/>
                <w:szCs w:val="20"/>
              </w:rPr>
            </w:pPr>
            <w:r w:rsidRPr="008B6A75">
              <w:rPr>
                <w:sz w:val="20"/>
                <w:szCs w:val="20"/>
              </w:rPr>
              <w:t xml:space="preserve">В течение 5 рабочих дней со дня утверждения новых документов </w:t>
            </w:r>
            <w:proofErr w:type="gramStart"/>
            <w:r w:rsidRPr="008B6A75">
              <w:rPr>
                <w:sz w:val="20"/>
                <w:szCs w:val="20"/>
              </w:rPr>
              <w:t>или  внесения</w:t>
            </w:r>
            <w:proofErr w:type="gramEnd"/>
            <w:r w:rsidRPr="008B6A75">
              <w:rPr>
                <w:sz w:val="20"/>
                <w:szCs w:val="20"/>
              </w:rPr>
              <w:t xml:space="preserve"> изменений в них</w:t>
            </w:r>
          </w:p>
        </w:tc>
        <w:tc>
          <w:tcPr>
            <w:tcW w:w="2066" w:type="dxa"/>
            <w:tcBorders>
              <w:top w:val="outset" w:sz="6" w:space="0" w:color="auto"/>
              <w:left w:val="outset" w:sz="6" w:space="0" w:color="auto"/>
              <w:bottom w:val="outset" w:sz="6" w:space="0" w:color="auto"/>
              <w:right w:val="outset" w:sz="6" w:space="0" w:color="auto"/>
            </w:tcBorders>
            <w:tcMar>
              <w:top w:w="75" w:type="dxa"/>
              <w:left w:w="225" w:type="dxa"/>
              <w:bottom w:w="75" w:type="dxa"/>
              <w:right w:w="225" w:type="dxa"/>
            </w:tcMar>
          </w:tcPr>
          <w:p w14:paraId="32EF644D" w14:textId="77777777" w:rsidR="00ED1DAD" w:rsidRPr="008B6A75" w:rsidRDefault="00ED1DAD" w:rsidP="00387142">
            <w:pPr>
              <w:rPr>
                <w:sz w:val="20"/>
                <w:szCs w:val="20"/>
              </w:rPr>
            </w:pPr>
            <w:r w:rsidRPr="008B6A75">
              <w:rPr>
                <w:sz w:val="20"/>
                <w:szCs w:val="20"/>
              </w:rPr>
              <w:t>Руководители учреждений</w:t>
            </w:r>
          </w:p>
        </w:tc>
      </w:tr>
      <w:tr w:rsidR="00ED1DAD" w:rsidRPr="008B6A75" w14:paraId="75CDE91C" w14:textId="77777777" w:rsidTr="00387142">
        <w:trPr>
          <w:jc w:val="center"/>
        </w:trPr>
        <w:tc>
          <w:tcPr>
            <w:tcW w:w="934" w:type="dxa"/>
            <w:tcBorders>
              <w:top w:val="outset" w:sz="6" w:space="0" w:color="auto"/>
              <w:left w:val="outset" w:sz="6" w:space="0" w:color="auto"/>
              <w:bottom w:val="outset" w:sz="6" w:space="0" w:color="auto"/>
              <w:right w:val="outset" w:sz="6" w:space="0" w:color="auto"/>
            </w:tcBorders>
            <w:tcMar>
              <w:top w:w="75" w:type="dxa"/>
              <w:left w:w="225" w:type="dxa"/>
              <w:bottom w:w="75" w:type="dxa"/>
              <w:right w:w="225" w:type="dxa"/>
            </w:tcMar>
          </w:tcPr>
          <w:p w14:paraId="6949CF4F" w14:textId="77777777" w:rsidR="00ED1DAD" w:rsidRPr="008B6A75" w:rsidRDefault="00ED1DAD" w:rsidP="00372B96">
            <w:pPr>
              <w:numPr>
                <w:ilvl w:val="0"/>
                <w:numId w:val="24"/>
              </w:numPr>
              <w:rPr>
                <w:sz w:val="20"/>
                <w:szCs w:val="20"/>
              </w:rPr>
            </w:pPr>
          </w:p>
        </w:tc>
        <w:tc>
          <w:tcPr>
            <w:tcW w:w="3827" w:type="dxa"/>
            <w:tcBorders>
              <w:top w:val="outset" w:sz="6" w:space="0" w:color="auto"/>
              <w:left w:val="outset" w:sz="6" w:space="0" w:color="auto"/>
              <w:bottom w:val="outset" w:sz="6" w:space="0" w:color="auto"/>
              <w:right w:val="outset" w:sz="6" w:space="0" w:color="auto"/>
            </w:tcBorders>
            <w:tcMar>
              <w:top w:w="75" w:type="dxa"/>
              <w:left w:w="225" w:type="dxa"/>
              <w:bottom w:w="75" w:type="dxa"/>
              <w:right w:w="225" w:type="dxa"/>
            </w:tcMar>
          </w:tcPr>
          <w:p w14:paraId="4FA2F9A4" w14:textId="77777777" w:rsidR="00ED1DAD" w:rsidRPr="008B6A75" w:rsidRDefault="00ED1DAD" w:rsidP="00387142">
            <w:pPr>
              <w:jc w:val="both"/>
              <w:rPr>
                <w:sz w:val="20"/>
                <w:szCs w:val="20"/>
              </w:rPr>
            </w:pPr>
            <w:r w:rsidRPr="008B6A75">
              <w:rPr>
                <w:sz w:val="20"/>
                <w:szCs w:val="20"/>
              </w:rPr>
              <w:t>Закрытие лицевого счета муниципального бюджетного учреждения в администрации Куйбышевского муниципального района Новосибирской области</w:t>
            </w:r>
          </w:p>
        </w:tc>
        <w:tc>
          <w:tcPr>
            <w:tcW w:w="3544" w:type="dxa"/>
            <w:tcBorders>
              <w:top w:val="outset" w:sz="6" w:space="0" w:color="auto"/>
              <w:left w:val="outset" w:sz="6" w:space="0" w:color="auto"/>
              <w:bottom w:val="outset" w:sz="6" w:space="0" w:color="auto"/>
              <w:right w:val="outset" w:sz="6" w:space="0" w:color="auto"/>
            </w:tcBorders>
            <w:tcMar>
              <w:top w:w="75" w:type="dxa"/>
              <w:left w:w="225" w:type="dxa"/>
              <w:bottom w:w="75" w:type="dxa"/>
              <w:right w:w="225" w:type="dxa"/>
            </w:tcMar>
          </w:tcPr>
          <w:p w14:paraId="3A4FF0A7" w14:textId="77777777" w:rsidR="00ED1DAD" w:rsidRPr="008B6A75" w:rsidRDefault="00ED1DAD" w:rsidP="00387142">
            <w:pPr>
              <w:rPr>
                <w:sz w:val="20"/>
                <w:szCs w:val="20"/>
              </w:rPr>
            </w:pPr>
            <w:r w:rsidRPr="008B6A75">
              <w:rPr>
                <w:sz w:val="20"/>
                <w:szCs w:val="20"/>
              </w:rPr>
              <w:t xml:space="preserve">В день получения листа записи из ЕГРЮЛ </w:t>
            </w:r>
          </w:p>
        </w:tc>
        <w:tc>
          <w:tcPr>
            <w:tcW w:w="2066" w:type="dxa"/>
            <w:tcBorders>
              <w:top w:val="outset" w:sz="6" w:space="0" w:color="auto"/>
              <w:left w:val="outset" w:sz="6" w:space="0" w:color="auto"/>
              <w:bottom w:val="outset" w:sz="6" w:space="0" w:color="auto"/>
              <w:right w:val="outset" w:sz="6" w:space="0" w:color="auto"/>
            </w:tcBorders>
            <w:tcMar>
              <w:top w:w="75" w:type="dxa"/>
              <w:left w:w="225" w:type="dxa"/>
              <w:bottom w:w="75" w:type="dxa"/>
              <w:right w:w="225" w:type="dxa"/>
            </w:tcMar>
          </w:tcPr>
          <w:p w14:paraId="27D01BF9" w14:textId="77777777" w:rsidR="00ED1DAD" w:rsidRPr="008B6A75" w:rsidRDefault="00ED1DAD" w:rsidP="00387142">
            <w:pPr>
              <w:rPr>
                <w:sz w:val="20"/>
                <w:szCs w:val="20"/>
              </w:rPr>
            </w:pPr>
            <w:r w:rsidRPr="008B6A75">
              <w:rPr>
                <w:sz w:val="20"/>
                <w:szCs w:val="20"/>
              </w:rPr>
              <w:t>Руководители учреждений</w:t>
            </w:r>
          </w:p>
        </w:tc>
      </w:tr>
      <w:tr w:rsidR="00ED1DAD" w:rsidRPr="008B6A75" w14:paraId="4C5E26DE" w14:textId="77777777" w:rsidTr="00387142">
        <w:trPr>
          <w:jc w:val="center"/>
        </w:trPr>
        <w:tc>
          <w:tcPr>
            <w:tcW w:w="934" w:type="dxa"/>
            <w:tcBorders>
              <w:top w:val="outset" w:sz="6" w:space="0" w:color="auto"/>
              <w:left w:val="outset" w:sz="6" w:space="0" w:color="auto"/>
              <w:bottom w:val="outset" w:sz="6" w:space="0" w:color="auto"/>
              <w:right w:val="outset" w:sz="6" w:space="0" w:color="auto"/>
            </w:tcBorders>
            <w:tcMar>
              <w:top w:w="75" w:type="dxa"/>
              <w:left w:w="225" w:type="dxa"/>
              <w:bottom w:w="75" w:type="dxa"/>
              <w:right w:w="225" w:type="dxa"/>
            </w:tcMar>
          </w:tcPr>
          <w:p w14:paraId="7774C636" w14:textId="77777777" w:rsidR="00ED1DAD" w:rsidRPr="008B6A75" w:rsidRDefault="00ED1DAD" w:rsidP="00372B96">
            <w:pPr>
              <w:numPr>
                <w:ilvl w:val="0"/>
                <w:numId w:val="24"/>
              </w:numPr>
              <w:rPr>
                <w:sz w:val="20"/>
                <w:szCs w:val="20"/>
              </w:rPr>
            </w:pPr>
          </w:p>
        </w:tc>
        <w:tc>
          <w:tcPr>
            <w:tcW w:w="3827" w:type="dxa"/>
            <w:tcBorders>
              <w:top w:val="outset" w:sz="6" w:space="0" w:color="auto"/>
              <w:left w:val="outset" w:sz="6" w:space="0" w:color="auto"/>
              <w:bottom w:val="outset" w:sz="6" w:space="0" w:color="auto"/>
              <w:right w:val="outset" w:sz="6" w:space="0" w:color="auto"/>
            </w:tcBorders>
            <w:tcMar>
              <w:top w:w="75" w:type="dxa"/>
              <w:left w:w="225" w:type="dxa"/>
              <w:bottom w:w="75" w:type="dxa"/>
              <w:right w:w="225" w:type="dxa"/>
            </w:tcMar>
          </w:tcPr>
          <w:p w14:paraId="55E50D50" w14:textId="77777777" w:rsidR="00ED1DAD" w:rsidRPr="008B6A75" w:rsidRDefault="00ED1DAD" w:rsidP="00387142">
            <w:pPr>
              <w:jc w:val="both"/>
              <w:rPr>
                <w:sz w:val="20"/>
                <w:szCs w:val="20"/>
              </w:rPr>
            </w:pPr>
            <w:r w:rsidRPr="008B6A75">
              <w:rPr>
                <w:sz w:val="20"/>
                <w:szCs w:val="20"/>
              </w:rPr>
              <w:t>Открытие лицевого счета муниципального казенного учреждения в администрации Куйбышевского муниципального района Новосибирской области</w:t>
            </w:r>
          </w:p>
        </w:tc>
        <w:tc>
          <w:tcPr>
            <w:tcW w:w="3544" w:type="dxa"/>
            <w:tcBorders>
              <w:top w:val="outset" w:sz="6" w:space="0" w:color="auto"/>
              <w:left w:val="outset" w:sz="6" w:space="0" w:color="auto"/>
              <w:bottom w:val="outset" w:sz="6" w:space="0" w:color="auto"/>
              <w:right w:val="outset" w:sz="6" w:space="0" w:color="auto"/>
            </w:tcBorders>
            <w:tcMar>
              <w:top w:w="75" w:type="dxa"/>
              <w:left w:w="225" w:type="dxa"/>
              <w:bottom w:w="75" w:type="dxa"/>
              <w:right w:w="225" w:type="dxa"/>
            </w:tcMar>
          </w:tcPr>
          <w:p w14:paraId="4F3C8E1A" w14:textId="77777777" w:rsidR="00ED1DAD" w:rsidRPr="008B6A75" w:rsidRDefault="00ED1DAD" w:rsidP="00387142">
            <w:pPr>
              <w:rPr>
                <w:sz w:val="20"/>
                <w:szCs w:val="20"/>
              </w:rPr>
            </w:pPr>
            <w:r w:rsidRPr="008B6A75">
              <w:rPr>
                <w:sz w:val="20"/>
                <w:szCs w:val="20"/>
              </w:rPr>
              <w:t xml:space="preserve">В течение 3 рабочих </w:t>
            </w:r>
            <w:proofErr w:type="gramStart"/>
            <w:r w:rsidRPr="008B6A75">
              <w:rPr>
                <w:sz w:val="20"/>
                <w:szCs w:val="20"/>
              </w:rPr>
              <w:t>дней  после</w:t>
            </w:r>
            <w:proofErr w:type="gramEnd"/>
            <w:r w:rsidRPr="008B6A75">
              <w:rPr>
                <w:sz w:val="20"/>
                <w:szCs w:val="20"/>
              </w:rPr>
              <w:t xml:space="preserve"> получения листа записи из ЕГРЮЛ</w:t>
            </w:r>
          </w:p>
        </w:tc>
        <w:tc>
          <w:tcPr>
            <w:tcW w:w="2066" w:type="dxa"/>
            <w:tcBorders>
              <w:top w:val="outset" w:sz="6" w:space="0" w:color="auto"/>
              <w:left w:val="outset" w:sz="6" w:space="0" w:color="auto"/>
              <w:bottom w:val="outset" w:sz="6" w:space="0" w:color="auto"/>
              <w:right w:val="outset" w:sz="6" w:space="0" w:color="auto"/>
            </w:tcBorders>
            <w:tcMar>
              <w:top w:w="75" w:type="dxa"/>
              <w:left w:w="225" w:type="dxa"/>
              <w:bottom w:w="75" w:type="dxa"/>
              <w:right w:w="225" w:type="dxa"/>
            </w:tcMar>
          </w:tcPr>
          <w:p w14:paraId="612465B1" w14:textId="77777777" w:rsidR="00ED1DAD" w:rsidRPr="008B6A75" w:rsidRDefault="00ED1DAD" w:rsidP="00387142">
            <w:pPr>
              <w:rPr>
                <w:sz w:val="20"/>
                <w:szCs w:val="20"/>
              </w:rPr>
            </w:pPr>
            <w:r w:rsidRPr="008B6A75">
              <w:rPr>
                <w:sz w:val="20"/>
                <w:szCs w:val="20"/>
              </w:rPr>
              <w:t>Руководители учреждений</w:t>
            </w:r>
          </w:p>
        </w:tc>
      </w:tr>
      <w:tr w:rsidR="00ED1DAD" w:rsidRPr="008B6A75" w14:paraId="73580E33" w14:textId="77777777" w:rsidTr="00387142">
        <w:trPr>
          <w:jc w:val="center"/>
        </w:trPr>
        <w:tc>
          <w:tcPr>
            <w:tcW w:w="934" w:type="dxa"/>
            <w:tcBorders>
              <w:top w:val="outset" w:sz="6" w:space="0" w:color="auto"/>
              <w:left w:val="outset" w:sz="6" w:space="0" w:color="auto"/>
              <w:bottom w:val="outset" w:sz="6" w:space="0" w:color="auto"/>
              <w:right w:val="outset" w:sz="6" w:space="0" w:color="auto"/>
            </w:tcBorders>
            <w:tcMar>
              <w:top w:w="75" w:type="dxa"/>
              <w:left w:w="225" w:type="dxa"/>
              <w:bottom w:w="75" w:type="dxa"/>
              <w:right w:w="225" w:type="dxa"/>
            </w:tcMar>
          </w:tcPr>
          <w:p w14:paraId="5305FE3F" w14:textId="77777777" w:rsidR="00ED1DAD" w:rsidRPr="008B6A75" w:rsidRDefault="00ED1DAD" w:rsidP="00372B96">
            <w:pPr>
              <w:numPr>
                <w:ilvl w:val="0"/>
                <w:numId w:val="24"/>
              </w:numPr>
              <w:rPr>
                <w:sz w:val="20"/>
                <w:szCs w:val="20"/>
              </w:rPr>
            </w:pPr>
          </w:p>
        </w:tc>
        <w:tc>
          <w:tcPr>
            <w:tcW w:w="3827" w:type="dxa"/>
            <w:tcBorders>
              <w:top w:val="outset" w:sz="6" w:space="0" w:color="auto"/>
              <w:left w:val="outset" w:sz="6" w:space="0" w:color="auto"/>
              <w:bottom w:val="outset" w:sz="6" w:space="0" w:color="auto"/>
              <w:right w:val="outset" w:sz="6" w:space="0" w:color="auto"/>
            </w:tcBorders>
            <w:tcMar>
              <w:top w:w="75" w:type="dxa"/>
              <w:left w:w="225" w:type="dxa"/>
              <w:bottom w:w="75" w:type="dxa"/>
              <w:right w:w="225" w:type="dxa"/>
            </w:tcMar>
            <w:hideMark/>
          </w:tcPr>
          <w:p w14:paraId="27F78A6F" w14:textId="77777777" w:rsidR="00ED1DAD" w:rsidRPr="008B6A75" w:rsidRDefault="00ED1DAD" w:rsidP="00387142">
            <w:pPr>
              <w:jc w:val="both"/>
              <w:rPr>
                <w:sz w:val="20"/>
                <w:szCs w:val="20"/>
              </w:rPr>
            </w:pPr>
            <w:r w:rsidRPr="008B6A75">
              <w:rPr>
                <w:sz w:val="20"/>
                <w:szCs w:val="20"/>
              </w:rPr>
              <w:t>Замена штампов учреждения, внесение изменений в локальные акты</w:t>
            </w:r>
          </w:p>
        </w:tc>
        <w:tc>
          <w:tcPr>
            <w:tcW w:w="3544" w:type="dxa"/>
            <w:tcBorders>
              <w:top w:val="outset" w:sz="6" w:space="0" w:color="auto"/>
              <w:left w:val="outset" w:sz="6" w:space="0" w:color="auto"/>
              <w:bottom w:val="outset" w:sz="6" w:space="0" w:color="auto"/>
              <w:right w:val="outset" w:sz="6" w:space="0" w:color="auto"/>
            </w:tcBorders>
            <w:tcMar>
              <w:top w:w="75" w:type="dxa"/>
              <w:left w:w="225" w:type="dxa"/>
              <w:bottom w:w="75" w:type="dxa"/>
              <w:right w:w="225" w:type="dxa"/>
            </w:tcMar>
            <w:hideMark/>
          </w:tcPr>
          <w:p w14:paraId="5E868C1B" w14:textId="77777777" w:rsidR="00ED1DAD" w:rsidRPr="008B6A75" w:rsidRDefault="00ED1DAD" w:rsidP="00387142">
            <w:pPr>
              <w:rPr>
                <w:sz w:val="20"/>
                <w:szCs w:val="20"/>
              </w:rPr>
            </w:pPr>
            <w:r w:rsidRPr="008B6A75">
              <w:rPr>
                <w:sz w:val="20"/>
                <w:szCs w:val="20"/>
              </w:rPr>
              <w:t>До 15.01.2023</w:t>
            </w:r>
          </w:p>
        </w:tc>
        <w:tc>
          <w:tcPr>
            <w:tcW w:w="2066" w:type="dxa"/>
            <w:tcBorders>
              <w:top w:val="outset" w:sz="6" w:space="0" w:color="auto"/>
              <w:left w:val="outset" w:sz="6" w:space="0" w:color="auto"/>
              <w:bottom w:val="outset" w:sz="6" w:space="0" w:color="auto"/>
              <w:right w:val="outset" w:sz="6" w:space="0" w:color="auto"/>
            </w:tcBorders>
            <w:tcMar>
              <w:top w:w="75" w:type="dxa"/>
              <w:left w:w="225" w:type="dxa"/>
              <w:bottom w:w="75" w:type="dxa"/>
              <w:right w:w="225" w:type="dxa"/>
            </w:tcMar>
            <w:hideMark/>
          </w:tcPr>
          <w:p w14:paraId="6AB9C218" w14:textId="77777777" w:rsidR="00ED1DAD" w:rsidRPr="008B6A75" w:rsidRDefault="00ED1DAD" w:rsidP="00387142">
            <w:pPr>
              <w:rPr>
                <w:sz w:val="20"/>
                <w:szCs w:val="20"/>
              </w:rPr>
            </w:pPr>
            <w:r w:rsidRPr="008B6A75">
              <w:rPr>
                <w:sz w:val="20"/>
                <w:szCs w:val="20"/>
              </w:rPr>
              <w:t>Руководители учреждений</w:t>
            </w:r>
          </w:p>
        </w:tc>
      </w:tr>
    </w:tbl>
    <w:p w14:paraId="1425A18F" w14:textId="77777777" w:rsidR="00ED1DAD" w:rsidRPr="008B6A75" w:rsidRDefault="00ED1DAD" w:rsidP="00ED1DAD">
      <w:pPr>
        <w:rPr>
          <w:sz w:val="20"/>
          <w:szCs w:val="20"/>
        </w:rPr>
      </w:pPr>
    </w:p>
    <w:p w14:paraId="63479E18" w14:textId="77777777" w:rsidR="00467D80" w:rsidRPr="008B6A75" w:rsidRDefault="00467D80" w:rsidP="006118BE">
      <w:pPr>
        <w:widowControl w:val="0"/>
        <w:autoSpaceDE w:val="0"/>
        <w:autoSpaceDN w:val="0"/>
        <w:adjustRightInd w:val="0"/>
        <w:ind w:firstLine="539"/>
        <w:jc w:val="both"/>
        <w:rPr>
          <w:sz w:val="20"/>
          <w:szCs w:val="20"/>
        </w:rPr>
      </w:pPr>
    </w:p>
    <w:p w14:paraId="4D88FB53" w14:textId="77777777" w:rsidR="00467D80" w:rsidRPr="008B6A75" w:rsidRDefault="00467D80" w:rsidP="006118BE">
      <w:pPr>
        <w:widowControl w:val="0"/>
        <w:autoSpaceDE w:val="0"/>
        <w:autoSpaceDN w:val="0"/>
        <w:adjustRightInd w:val="0"/>
        <w:ind w:firstLine="539"/>
        <w:jc w:val="both"/>
        <w:rPr>
          <w:sz w:val="20"/>
          <w:szCs w:val="20"/>
        </w:rPr>
      </w:pPr>
    </w:p>
    <w:p w14:paraId="1B1E7B9E" w14:textId="77777777" w:rsidR="00467D80" w:rsidRPr="008B6A75" w:rsidRDefault="00467D80" w:rsidP="006118BE">
      <w:pPr>
        <w:widowControl w:val="0"/>
        <w:autoSpaceDE w:val="0"/>
        <w:autoSpaceDN w:val="0"/>
        <w:adjustRightInd w:val="0"/>
        <w:ind w:firstLine="539"/>
        <w:jc w:val="both"/>
        <w:rPr>
          <w:sz w:val="20"/>
          <w:szCs w:val="20"/>
        </w:rPr>
      </w:pPr>
    </w:p>
    <w:p w14:paraId="7B79156A" w14:textId="77777777" w:rsidR="00467D80" w:rsidRPr="008B6A75" w:rsidRDefault="00467D80" w:rsidP="006118BE">
      <w:pPr>
        <w:widowControl w:val="0"/>
        <w:autoSpaceDE w:val="0"/>
        <w:autoSpaceDN w:val="0"/>
        <w:adjustRightInd w:val="0"/>
        <w:ind w:firstLine="539"/>
        <w:jc w:val="both"/>
        <w:rPr>
          <w:sz w:val="20"/>
          <w:szCs w:val="20"/>
        </w:rPr>
      </w:pPr>
    </w:p>
    <w:p w14:paraId="6610F2D4" w14:textId="77777777" w:rsidR="00902720" w:rsidRPr="008B6A75" w:rsidRDefault="00902720" w:rsidP="00AB0F37">
      <w:pPr>
        <w:autoSpaceDE w:val="0"/>
        <w:autoSpaceDN w:val="0"/>
        <w:adjustRightInd w:val="0"/>
        <w:ind w:firstLine="709"/>
        <w:jc w:val="both"/>
        <w:rPr>
          <w:sz w:val="20"/>
          <w:szCs w:val="20"/>
        </w:rPr>
      </w:pPr>
    </w:p>
    <w:p w14:paraId="6CB6AA90" w14:textId="15E95B08" w:rsidR="00E90321" w:rsidRPr="008B6A75" w:rsidRDefault="009C55D2" w:rsidP="00267FB0">
      <w:pPr>
        <w:jc w:val="center"/>
        <w:rPr>
          <w:rFonts w:eastAsia="Calibri"/>
          <w:sz w:val="20"/>
          <w:szCs w:val="20"/>
        </w:rPr>
      </w:pPr>
      <w:r w:rsidRPr="008B6A75">
        <w:rPr>
          <w:rFonts w:eastAsia="Calibri"/>
          <w:sz w:val="20"/>
          <w:szCs w:val="20"/>
          <w:lang w:val="en-US"/>
        </w:rPr>
        <w:lastRenderedPageBreak/>
        <w:t>I</w:t>
      </w:r>
      <w:r w:rsidR="00921570" w:rsidRPr="008B6A75">
        <w:rPr>
          <w:rFonts w:eastAsia="Calibri"/>
          <w:sz w:val="20"/>
          <w:szCs w:val="20"/>
        </w:rPr>
        <w:t>II. ОФИЦИАЛЬНЫЕ СООБЩЕНИЯ И МАТЕРИАЛЫ ОРГАНОВ МЕСТНОГО САМОУПРАВЛЕНИЯ КУЙБЫШЕВСКОГО МУНИЦИПАЛЬНОГО РАЙОНА НОВОСИБИРСКОЙ ОБЛАСТИ</w:t>
      </w:r>
    </w:p>
    <w:p w14:paraId="36BA5A7D" w14:textId="77777777" w:rsidR="00E90321" w:rsidRPr="008B6A75" w:rsidRDefault="00E90321" w:rsidP="00267FB0">
      <w:pPr>
        <w:jc w:val="center"/>
        <w:rPr>
          <w:rFonts w:eastAsia="Calibri"/>
          <w:sz w:val="20"/>
          <w:szCs w:val="20"/>
        </w:rPr>
      </w:pPr>
    </w:p>
    <w:p w14:paraId="5B7154F5" w14:textId="77777777" w:rsidR="000251EF" w:rsidRPr="008B6A75" w:rsidRDefault="000251EF" w:rsidP="00267FB0">
      <w:pPr>
        <w:jc w:val="center"/>
        <w:rPr>
          <w:rFonts w:eastAsia="Calibri"/>
          <w:sz w:val="20"/>
          <w:szCs w:val="20"/>
        </w:rPr>
      </w:pPr>
    </w:p>
    <w:p w14:paraId="260FB2C9" w14:textId="68C57DFA" w:rsidR="000A3BFF" w:rsidRPr="008B6A75" w:rsidRDefault="000A3BFF" w:rsidP="000A3BFF">
      <w:pPr>
        <w:shd w:val="clear" w:color="auto" w:fill="FFFFFF"/>
        <w:tabs>
          <w:tab w:val="left" w:pos="-4962"/>
          <w:tab w:val="left" w:pos="3780"/>
        </w:tabs>
        <w:ind w:firstLine="735"/>
        <w:jc w:val="center"/>
        <w:rPr>
          <w:sz w:val="20"/>
          <w:szCs w:val="20"/>
        </w:rPr>
      </w:pPr>
      <w:r w:rsidRPr="008B6A75">
        <w:rPr>
          <w:sz w:val="20"/>
          <w:szCs w:val="20"/>
        </w:rPr>
        <w:t xml:space="preserve">Оповещение о начале общественных обсуждений (Куйбышевский район, аул </w:t>
      </w:r>
      <w:proofErr w:type="spellStart"/>
      <w:r w:rsidRPr="008B6A75">
        <w:rPr>
          <w:sz w:val="20"/>
          <w:szCs w:val="20"/>
        </w:rPr>
        <w:t>Шагир</w:t>
      </w:r>
      <w:proofErr w:type="spellEnd"/>
      <w:r w:rsidRPr="008B6A75">
        <w:rPr>
          <w:sz w:val="20"/>
          <w:szCs w:val="20"/>
        </w:rPr>
        <w:t>)</w:t>
      </w:r>
    </w:p>
    <w:p w14:paraId="434A85C9" w14:textId="77777777" w:rsidR="000A3BFF" w:rsidRPr="008B6A75" w:rsidRDefault="000A3BFF" w:rsidP="000A3BFF">
      <w:pPr>
        <w:shd w:val="clear" w:color="auto" w:fill="FFFFFF"/>
        <w:tabs>
          <w:tab w:val="left" w:pos="-4962"/>
          <w:tab w:val="left" w:pos="3780"/>
        </w:tabs>
        <w:ind w:firstLine="735"/>
        <w:jc w:val="center"/>
        <w:rPr>
          <w:sz w:val="20"/>
          <w:szCs w:val="20"/>
        </w:rPr>
      </w:pPr>
    </w:p>
    <w:p w14:paraId="1CFB55C6" w14:textId="77777777" w:rsidR="000A3BFF" w:rsidRPr="008B6A75" w:rsidRDefault="000A3BFF" w:rsidP="000A3BFF">
      <w:pPr>
        <w:autoSpaceDE w:val="0"/>
        <w:autoSpaceDN w:val="0"/>
        <w:adjustRightInd w:val="0"/>
        <w:ind w:firstLine="540"/>
        <w:jc w:val="both"/>
        <w:outlineLvl w:val="1"/>
        <w:rPr>
          <w:rFonts w:eastAsia="Calibri"/>
          <w:sz w:val="20"/>
          <w:szCs w:val="20"/>
          <w:lang w:eastAsia="en-US"/>
        </w:rPr>
      </w:pPr>
      <w:r w:rsidRPr="008B6A75">
        <w:rPr>
          <w:sz w:val="20"/>
          <w:szCs w:val="20"/>
        </w:rPr>
        <w:t xml:space="preserve"> В соответствии с Порядком организации и проведения в Куйбышевском муниципальном районе Новосибирской области общественных обсуждений в соответствии с законодательством о градостроительной деятельности, на основании постановления Главы Куйбышевского муниципального района Новосибирской области от 03.11.2022 № 860 «О проведении общественных обсуждений по проекту решения о предоставлении разрешения на условно разрешенный вид использования земельного участка»</w:t>
      </w:r>
      <w:r w:rsidRPr="008B6A75">
        <w:rPr>
          <w:rFonts w:eastAsia="Calibri"/>
          <w:sz w:val="20"/>
          <w:szCs w:val="20"/>
          <w:lang w:eastAsia="en-US"/>
        </w:rPr>
        <w:t xml:space="preserve">, сообщаем о начале общественных обсуждений </w:t>
      </w:r>
      <w:r w:rsidRPr="008B6A75">
        <w:rPr>
          <w:sz w:val="20"/>
          <w:szCs w:val="20"/>
        </w:rPr>
        <w:t xml:space="preserve">по проекту решения о предоставлении разрешения на условно разрешенный вид использования земельного участка с кадастровым номером 54:14:012101:ЗУ1, площадью 1000 </w:t>
      </w:r>
      <w:proofErr w:type="spellStart"/>
      <w:r w:rsidRPr="008B6A75">
        <w:rPr>
          <w:sz w:val="20"/>
          <w:szCs w:val="20"/>
        </w:rPr>
        <w:t>кв.м</w:t>
      </w:r>
      <w:proofErr w:type="spellEnd"/>
      <w:r w:rsidRPr="008B6A75">
        <w:rPr>
          <w:sz w:val="20"/>
          <w:szCs w:val="20"/>
        </w:rPr>
        <w:t xml:space="preserve">, местоположение: Новосибирская область, Куйбышевский район, аул </w:t>
      </w:r>
      <w:proofErr w:type="spellStart"/>
      <w:r w:rsidRPr="008B6A75">
        <w:rPr>
          <w:sz w:val="20"/>
          <w:szCs w:val="20"/>
        </w:rPr>
        <w:t>Шагир</w:t>
      </w:r>
      <w:proofErr w:type="spellEnd"/>
      <w:r w:rsidRPr="008B6A75">
        <w:rPr>
          <w:sz w:val="20"/>
          <w:szCs w:val="20"/>
        </w:rPr>
        <w:t xml:space="preserve"> в зоне </w:t>
      </w:r>
      <w:r w:rsidRPr="008B6A75">
        <w:rPr>
          <w:rFonts w:eastAsia="Calibri"/>
          <w:sz w:val="20"/>
          <w:szCs w:val="20"/>
          <w:lang w:eastAsia="en-US"/>
        </w:rPr>
        <w:t>делового, общественного и коммерческого назначения (О1).</w:t>
      </w:r>
    </w:p>
    <w:p w14:paraId="71165A07" w14:textId="77777777" w:rsidR="000A3BFF" w:rsidRPr="008B6A75" w:rsidRDefault="000A3BFF" w:rsidP="000A3BFF">
      <w:pPr>
        <w:autoSpaceDE w:val="0"/>
        <w:autoSpaceDN w:val="0"/>
        <w:adjustRightInd w:val="0"/>
        <w:ind w:firstLine="540"/>
        <w:jc w:val="both"/>
        <w:outlineLvl w:val="1"/>
        <w:rPr>
          <w:rFonts w:eastAsia="Calibri"/>
          <w:sz w:val="20"/>
          <w:szCs w:val="20"/>
          <w:lang w:eastAsia="en-US"/>
        </w:rPr>
      </w:pPr>
    </w:p>
    <w:p w14:paraId="0188BB3A" w14:textId="77777777" w:rsidR="000A3BFF" w:rsidRPr="008B6A75" w:rsidRDefault="000A3BFF" w:rsidP="000A3BFF">
      <w:pPr>
        <w:shd w:val="clear" w:color="auto" w:fill="FFFFFF"/>
        <w:tabs>
          <w:tab w:val="left" w:leader="dot" w:pos="-4962"/>
        </w:tabs>
        <w:rPr>
          <w:sz w:val="20"/>
          <w:szCs w:val="20"/>
        </w:rPr>
      </w:pPr>
      <w:r w:rsidRPr="008B6A75">
        <w:rPr>
          <w:sz w:val="20"/>
          <w:szCs w:val="20"/>
        </w:rPr>
        <w:t>Информационный материал по проекту планировки территории:</w:t>
      </w:r>
    </w:p>
    <w:p w14:paraId="75835D22" w14:textId="77777777" w:rsidR="000A3BFF" w:rsidRPr="008B6A75" w:rsidRDefault="000A3BFF" w:rsidP="000A3BFF">
      <w:pPr>
        <w:contextualSpacing/>
        <w:jc w:val="both"/>
        <w:outlineLvl w:val="0"/>
        <w:rPr>
          <w:sz w:val="20"/>
          <w:szCs w:val="20"/>
        </w:rPr>
      </w:pPr>
      <w:r w:rsidRPr="008B6A75">
        <w:rPr>
          <w:sz w:val="20"/>
          <w:szCs w:val="20"/>
        </w:rPr>
        <w:t xml:space="preserve">Земельный участок: условный кадастровый номер </w:t>
      </w:r>
      <w:proofErr w:type="gramStart"/>
      <w:r w:rsidRPr="008B6A75">
        <w:rPr>
          <w:sz w:val="20"/>
          <w:szCs w:val="20"/>
        </w:rPr>
        <w:t>54:14:012101:ЗУ</w:t>
      </w:r>
      <w:proofErr w:type="gramEnd"/>
      <w:r w:rsidRPr="008B6A75">
        <w:rPr>
          <w:sz w:val="20"/>
          <w:szCs w:val="20"/>
        </w:rPr>
        <w:t>1 (согласно схеме расположения земельного участка на кадастровом плане территории)</w:t>
      </w:r>
    </w:p>
    <w:p w14:paraId="4B98E2FA" w14:textId="77777777" w:rsidR="000A3BFF" w:rsidRPr="008B6A75" w:rsidRDefault="000A3BFF" w:rsidP="000A3BFF">
      <w:pPr>
        <w:contextualSpacing/>
        <w:jc w:val="both"/>
        <w:outlineLvl w:val="0"/>
        <w:rPr>
          <w:sz w:val="20"/>
          <w:szCs w:val="20"/>
        </w:rPr>
      </w:pPr>
      <w:r w:rsidRPr="008B6A75">
        <w:rPr>
          <w:sz w:val="20"/>
          <w:szCs w:val="20"/>
        </w:rPr>
        <w:t xml:space="preserve">Местоположение: Новосибирская область, Куйбышевский район, аул </w:t>
      </w:r>
      <w:proofErr w:type="spellStart"/>
      <w:r w:rsidRPr="008B6A75">
        <w:rPr>
          <w:sz w:val="20"/>
          <w:szCs w:val="20"/>
        </w:rPr>
        <w:t>Шагир</w:t>
      </w:r>
      <w:proofErr w:type="spellEnd"/>
    </w:p>
    <w:p w14:paraId="43487F57" w14:textId="77777777" w:rsidR="000A3BFF" w:rsidRPr="008B6A75" w:rsidRDefault="000A3BFF" w:rsidP="000A3BFF">
      <w:pPr>
        <w:contextualSpacing/>
        <w:jc w:val="both"/>
        <w:outlineLvl w:val="0"/>
        <w:rPr>
          <w:sz w:val="20"/>
          <w:szCs w:val="20"/>
        </w:rPr>
      </w:pPr>
      <w:r w:rsidRPr="008B6A75">
        <w:rPr>
          <w:sz w:val="20"/>
          <w:szCs w:val="20"/>
        </w:rPr>
        <w:t>Площадь 0,10 га</w:t>
      </w:r>
    </w:p>
    <w:p w14:paraId="4F4A035F" w14:textId="77777777" w:rsidR="000A3BFF" w:rsidRPr="008B6A75" w:rsidRDefault="000A3BFF" w:rsidP="000A3BFF">
      <w:pPr>
        <w:contextualSpacing/>
        <w:jc w:val="both"/>
        <w:outlineLvl w:val="0"/>
        <w:rPr>
          <w:sz w:val="20"/>
          <w:szCs w:val="20"/>
        </w:rPr>
      </w:pPr>
      <w:r w:rsidRPr="008B6A75">
        <w:rPr>
          <w:sz w:val="20"/>
          <w:szCs w:val="20"/>
        </w:rPr>
        <w:t>Вид права: земельный участок государственная собственность на который не разграничена</w:t>
      </w:r>
    </w:p>
    <w:p w14:paraId="65703A63" w14:textId="77777777" w:rsidR="000A3BFF" w:rsidRPr="008B6A75" w:rsidRDefault="000A3BFF" w:rsidP="000A3BFF">
      <w:pPr>
        <w:contextualSpacing/>
        <w:jc w:val="both"/>
        <w:outlineLvl w:val="0"/>
        <w:rPr>
          <w:sz w:val="20"/>
          <w:szCs w:val="20"/>
        </w:rPr>
      </w:pPr>
      <w:r w:rsidRPr="008B6A75">
        <w:rPr>
          <w:sz w:val="20"/>
          <w:szCs w:val="20"/>
        </w:rPr>
        <w:t xml:space="preserve">Зонирование: </w:t>
      </w:r>
      <w:r w:rsidRPr="008B6A75">
        <w:rPr>
          <w:rFonts w:eastAsia="Calibri"/>
          <w:sz w:val="20"/>
          <w:szCs w:val="20"/>
          <w:lang w:eastAsia="en-US"/>
        </w:rPr>
        <w:t>Зона делового, общественного и коммерческого назначения (О1)</w:t>
      </w:r>
    </w:p>
    <w:p w14:paraId="1D7CD0DE" w14:textId="77777777" w:rsidR="000A3BFF" w:rsidRPr="008B6A75" w:rsidRDefault="000A3BFF" w:rsidP="000A3BFF">
      <w:pPr>
        <w:autoSpaceDE w:val="0"/>
        <w:autoSpaceDN w:val="0"/>
        <w:adjustRightInd w:val="0"/>
        <w:jc w:val="both"/>
        <w:rPr>
          <w:sz w:val="20"/>
          <w:szCs w:val="20"/>
        </w:rPr>
      </w:pPr>
      <w:r w:rsidRPr="008B6A75">
        <w:rPr>
          <w:sz w:val="20"/>
          <w:szCs w:val="20"/>
        </w:rPr>
        <w:t>Запрос: О предоставлении разрешения на условно разрешенный вид использования земельного участка Религиозное использование</w:t>
      </w:r>
      <w:r w:rsidRPr="008B6A75">
        <w:rPr>
          <w:color w:val="000000"/>
          <w:sz w:val="20"/>
          <w:szCs w:val="20"/>
        </w:rPr>
        <w:t xml:space="preserve"> </w:t>
      </w:r>
      <w:hyperlink r:id="rId41" w:history="1">
        <w:r w:rsidRPr="008B6A75">
          <w:rPr>
            <w:color w:val="000000"/>
            <w:sz w:val="20"/>
            <w:szCs w:val="20"/>
          </w:rPr>
          <w:t>(3.7)</w:t>
        </w:r>
      </w:hyperlink>
    </w:p>
    <w:p w14:paraId="58659383" w14:textId="77777777" w:rsidR="000A3BFF" w:rsidRPr="008B6A75" w:rsidRDefault="000A3BFF" w:rsidP="000A3BFF">
      <w:pPr>
        <w:pStyle w:val="formattext"/>
        <w:shd w:val="clear" w:color="auto" w:fill="FFFFFF"/>
        <w:spacing w:before="0" w:beforeAutospacing="0" w:after="0" w:afterAutospacing="0"/>
        <w:ind w:firstLine="709"/>
        <w:jc w:val="both"/>
        <w:textAlignment w:val="baseline"/>
        <w:rPr>
          <w:color w:val="2D2D2D"/>
          <w:spacing w:val="2"/>
          <w:sz w:val="20"/>
          <w:szCs w:val="20"/>
        </w:rPr>
      </w:pPr>
      <w:r w:rsidRPr="008B6A75">
        <w:rPr>
          <w:sz w:val="20"/>
          <w:szCs w:val="20"/>
        </w:rPr>
        <w:t xml:space="preserve">Планируется: Земельный участок планируется оформить для строительства мечети </w:t>
      </w:r>
      <w:proofErr w:type="gramStart"/>
      <w:r w:rsidRPr="008B6A75">
        <w:rPr>
          <w:sz w:val="20"/>
          <w:szCs w:val="20"/>
        </w:rPr>
        <w:t>в  аул</w:t>
      </w:r>
      <w:proofErr w:type="gramEnd"/>
      <w:r w:rsidRPr="008B6A75">
        <w:rPr>
          <w:sz w:val="20"/>
          <w:szCs w:val="20"/>
        </w:rPr>
        <w:t xml:space="preserve"> </w:t>
      </w:r>
      <w:proofErr w:type="spellStart"/>
      <w:r w:rsidRPr="008B6A75">
        <w:rPr>
          <w:sz w:val="20"/>
          <w:szCs w:val="20"/>
        </w:rPr>
        <w:t>Шагире</w:t>
      </w:r>
      <w:proofErr w:type="spellEnd"/>
      <w:r w:rsidRPr="008B6A75">
        <w:rPr>
          <w:sz w:val="20"/>
          <w:szCs w:val="20"/>
        </w:rPr>
        <w:t xml:space="preserve">, Куйбышевского района, Новосибирской области </w:t>
      </w:r>
    </w:p>
    <w:p w14:paraId="4BD8F1A4" w14:textId="77777777" w:rsidR="000A3BFF" w:rsidRPr="008B6A75" w:rsidRDefault="000A3BFF" w:rsidP="000A3BFF">
      <w:pPr>
        <w:spacing w:before="120"/>
        <w:jc w:val="center"/>
        <w:rPr>
          <w:sz w:val="20"/>
          <w:szCs w:val="20"/>
        </w:rPr>
      </w:pPr>
    </w:p>
    <w:p w14:paraId="5CBAED61" w14:textId="77777777" w:rsidR="000A3BFF" w:rsidRPr="008B6A75" w:rsidRDefault="000A3BFF" w:rsidP="000A3BFF">
      <w:pPr>
        <w:ind w:firstLine="708"/>
        <w:jc w:val="both"/>
        <w:rPr>
          <w:sz w:val="20"/>
          <w:szCs w:val="20"/>
        </w:rPr>
      </w:pPr>
      <w:r w:rsidRPr="008B6A75">
        <w:rPr>
          <w:sz w:val="20"/>
          <w:szCs w:val="20"/>
        </w:rPr>
        <w:t xml:space="preserve">Срок и порядок проведения общественных обсуждений по проекту: </w:t>
      </w:r>
    </w:p>
    <w:p w14:paraId="0A31830D" w14:textId="77777777" w:rsidR="000A3BFF" w:rsidRPr="008B6A75" w:rsidRDefault="000A3BFF" w:rsidP="000A3BFF">
      <w:pPr>
        <w:ind w:firstLine="708"/>
        <w:rPr>
          <w:sz w:val="20"/>
          <w:szCs w:val="20"/>
        </w:rPr>
      </w:pPr>
      <w:r w:rsidRPr="008B6A75">
        <w:rPr>
          <w:sz w:val="20"/>
          <w:szCs w:val="20"/>
        </w:rPr>
        <w:t>с 07.11.2022 по 21.11.2022</w:t>
      </w:r>
    </w:p>
    <w:p w14:paraId="287D30E9" w14:textId="77777777" w:rsidR="000A3BFF" w:rsidRPr="008B6A75" w:rsidRDefault="000A3BFF" w:rsidP="000A3BFF">
      <w:pPr>
        <w:autoSpaceDE w:val="0"/>
        <w:autoSpaceDN w:val="0"/>
        <w:adjustRightInd w:val="0"/>
        <w:ind w:firstLine="540"/>
        <w:jc w:val="both"/>
        <w:rPr>
          <w:sz w:val="20"/>
          <w:szCs w:val="20"/>
        </w:rPr>
      </w:pPr>
      <w:r w:rsidRPr="008B6A75">
        <w:rPr>
          <w:sz w:val="20"/>
          <w:szCs w:val="20"/>
        </w:rPr>
        <w:t xml:space="preserve">  В течение всего периода размещения проекта, подлежащего рассмотрению на общественных слушаниях, и информационных материалов к нему проводятся экспозиция проекта. В ходе работы экспозиции осуществляется консультирование посетителей экспозиции, распространение информационных материалов о проекте, подлежащем рассмотрению на общественных обсуждениях. Консультирование посетителей экспозиции осуществляется представителями уполномоченного на проведение общественных обсуждений администрации Куйбышевского района или разработчика проекта, подлежащего рассмотрению на общественных обсуждениях.</w:t>
      </w:r>
    </w:p>
    <w:p w14:paraId="65CA3468" w14:textId="77777777" w:rsidR="000A3BFF" w:rsidRPr="008B6A75" w:rsidRDefault="000A3BFF" w:rsidP="000A3BFF">
      <w:pPr>
        <w:autoSpaceDE w:val="0"/>
        <w:autoSpaceDN w:val="0"/>
        <w:adjustRightInd w:val="0"/>
        <w:ind w:firstLine="539"/>
        <w:jc w:val="both"/>
        <w:rPr>
          <w:sz w:val="20"/>
          <w:szCs w:val="20"/>
        </w:rPr>
      </w:pPr>
      <w:bookmarkStart w:id="12" w:name="Par1"/>
      <w:bookmarkEnd w:id="12"/>
      <w:r w:rsidRPr="008B6A75">
        <w:rPr>
          <w:sz w:val="20"/>
          <w:szCs w:val="20"/>
        </w:rPr>
        <w:t xml:space="preserve">Участники общественных </w:t>
      </w:r>
      <w:proofErr w:type="gramStart"/>
      <w:r w:rsidRPr="008B6A75">
        <w:rPr>
          <w:sz w:val="20"/>
          <w:szCs w:val="20"/>
        </w:rPr>
        <w:t>обсуждениях  имеют</w:t>
      </w:r>
      <w:proofErr w:type="gramEnd"/>
      <w:r w:rsidRPr="008B6A75">
        <w:rPr>
          <w:sz w:val="20"/>
          <w:szCs w:val="20"/>
        </w:rPr>
        <w:t xml:space="preserve"> право вносить предложения и замечания, касающиеся проекта.</w:t>
      </w:r>
    </w:p>
    <w:p w14:paraId="19496ADA" w14:textId="77777777" w:rsidR="000A3BFF" w:rsidRPr="008B6A75" w:rsidRDefault="000A3BFF" w:rsidP="000A3BFF">
      <w:pPr>
        <w:autoSpaceDE w:val="0"/>
        <w:autoSpaceDN w:val="0"/>
        <w:adjustRightInd w:val="0"/>
        <w:ind w:firstLine="539"/>
        <w:jc w:val="both"/>
        <w:rPr>
          <w:sz w:val="20"/>
          <w:szCs w:val="20"/>
        </w:rPr>
      </w:pPr>
    </w:p>
    <w:p w14:paraId="3094E458" w14:textId="77777777" w:rsidR="000A3BFF" w:rsidRPr="008B6A75" w:rsidRDefault="000A3BFF" w:rsidP="000A3BFF">
      <w:pPr>
        <w:ind w:firstLine="708"/>
        <w:jc w:val="both"/>
        <w:rPr>
          <w:sz w:val="20"/>
          <w:szCs w:val="20"/>
        </w:rPr>
      </w:pPr>
      <w:r w:rsidRPr="008B6A75">
        <w:rPr>
          <w:sz w:val="20"/>
          <w:szCs w:val="20"/>
        </w:rPr>
        <w:t xml:space="preserve">Экспозиция по проекту будет открыта по адресу: Новосибирская область, г. Куйбышев, ул. </w:t>
      </w:r>
      <w:proofErr w:type="spellStart"/>
      <w:r w:rsidRPr="008B6A75">
        <w:rPr>
          <w:sz w:val="20"/>
          <w:szCs w:val="20"/>
        </w:rPr>
        <w:t>Краскома</w:t>
      </w:r>
      <w:proofErr w:type="spellEnd"/>
      <w:r w:rsidRPr="008B6A75">
        <w:rPr>
          <w:sz w:val="20"/>
          <w:szCs w:val="20"/>
        </w:rPr>
        <w:t xml:space="preserve">, 37, </w:t>
      </w:r>
      <w:proofErr w:type="spellStart"/>
      <w:r w:rsidRPr="008B6A75">
        <w:rPr>
          <w:sz w:val="20"/>
          <w:szCs w:val="20"/>
        </w:rPr>
        <w:t>каб</w:t>
      </w:r>
      <w:proofErr w:type="spellEnd"/>
      <w:r w:rsidRPr="008B6A75">
        <w:rPr>
          <w:sz w:val="20"/>
          <w:szCs w:val="20"/>
        </w:rPr>
        <w:t xml:space="preserve"> № 39  </w:t>
      </w:r>
    </w:p>
    <w:p w14:paraId="5B08D1D1" w14:textId="77777777" w:rsidR="000A3BFF" w:rsidRPr="008B6A75" w:rsidRDefault="000A3BFF" w:rsidP="000A3BFF">
      <w:pPr>
        <w:ind w:firstLine="708"/>
        <w:jc w:val="both"/>
        <w:rPr>
          <w:sz w:val="20"/>
          <w:szCs w:val="20"/>
        </w:rPr>
      </w:pPr>
      <w:r w:rsidRPr="008B6A75">
        <w:rPr>
          <w:sz w:val="20"/>
          <w:szCs w:val="20"/>
        </w:rPr>
        <w:t xml:space="preserve">Дата открытия экспозиции проекта </w:t>
      </w:r>
      <w:r w:rsidRPr="008B6A75">
        <w:rPr>
          <w:color w:val="000000"/>
          <w:sz w:val="20"/>
          <w:szCs w:val="20"/>
        </w:rPr>
        <w:t>с 07</w:t>
      </w:r>
      <w:r w:rsidRPr="008B6A75">
        <w:rPr>
          <w:sz w:val="20"/>
          <w:szCs w:val="20"/>
        </w:rPr>
        <w:t xml:space="preserve">.11.2022 </w:t>
      </w:r>
    </w:p>
    <w:p w14:paraId="7C66348F" w14:textId="77777777" w:rsidR="000A3BFF" w:rsidRPr="008B6A75" w:rsidRDefault="000A3BFF" w:rsidP="000A3BFF">
      <w:pPr>
        <w:ind w:firstLine="708"/>
        <w:jc w:val="both"/>
        <w:rPr>
          <w:sz w:val="20"/>
          <w:szCs w:val="20"/>
        </w:rPr>
      </w:pPr>
      <w:r w:rsidRPr="008B6A75">
        <w:rPr>
          <w:sz w:val="20"/>
          <w:szCs w:val="20"/>
        </w:rPr>
        <w:t xml:space="preserve">График работы экспозиции: </w:t>
      </w:r>
      <w:proofErr w:type="gramStart"/>
      <w:r w:rsidRPr="008B6A75">
        <w:rPr>
          <w:sz w:val="20"/>
          <w:szCs w:val="20"/>
        </w:rPr>
        <w:t>с  8.00</w:t>
      </w:r>
      <w:proofErr w:type="gramEnd"/>
      <w:r w:rsidRPr="008B6A75">
        <w:rPr>
          <w:sz w:val="20"/>
          <w:szCs w:val="20"/>
        </w:rPr>
        <w:t xml:space="preserve">  до  12.00</w:t>
      </w:r>
    </w:p>
    <w:p w14:paraId="77FB58E4" w14:textId="77777777" w:rsidR="000A3BFF" w:rsidRPr="008B6A75" w:rsidRDefault="000A3BFF" w:rsidP="000A3BFF">
      <w:pPr>
        <w:ind w:firstLine="708"/>
        <w:rPr>
          <w:sz w:val="20"/>
          <w:szCs w:val="20"/>
        </w:rPr>
      </w:pPr>
      <w:r w:rsidRPr="008B6A75">
        <w:rPr>
          <w:sz w:val="20"/>
          <w:szCs w:val="20"/>
        </w:rPr>
        <w:tab/>
      </w:r>
      <w:r w:rsidRPr="008B6A75">
        <w:rPr>
          <w:sz w:val="20"/>
          <w:szCs w:val="20"/>
        </w:rPr>
        <w:tab/>
      </w:r>
      <w:r w:rsidRPr="008B6A75">
        <w:rPr>
          <w:sz w:val="20"/>
          <w:szCs w:val="20"/>
        </w:rPr>
        <w:tab/>
      </w:r>
      <w:r w:rsidRPr="008B6A75">
        <w:rPr>
          <w:sz w:val="20"/>
          <w:szCs w:val="20"/>
        </w:rPr>
        <w:tab/>
        <w:t xml:space="preserve">                 13.00 </w:t>
      </w:r>
      <w:proofErr w:type="gramStart"/>
      <w:r w:rsidRPr="008B6A75">
        <w:rPr>
          <w:sz w:val="20"/>
          <w:szCs w:val="20"/>
        </w:rPr>
        <w:t>до  16.00</w:t>
      </w:r>
      <w:proofErr w:type="gramEnd"/>
    </w:p>
    <w:p w14:paraId="008E2848" w14:textId="77777777" w:rsidR="000A3BFF" w:rsidRPr="008B6A75" w:rsidRDefault="000A3BFF" w:rsidP="000A3BFF">
      <w:pPr>
        <w:autoSpaceDE w:val="0"/>
        <w:autoSpaceDN w:val="0"/>
        <w:adjustRightInd w:val="0"/>
        <w:ind w:firstLine="539"/>
        <w:jc w:val="both"/>
        <w:rPr>
          <w:sz w:val="20"/>
          <w:szCs w:val="20"/>
        </w:rPr>
      </w:pPr>
    </w:p>
    <w:p w14:paraId="68ABF299" w14:textId="77777777" w:rsidR="000A3BFF" w:rsidRPr="008B6A75" w:rsidRDefault="000A3BFF" w:rsidP="000A3BFF">
      <w:pPr>
        <w:autoSpaceDE w:val="0"/>
        <w:autoSpaceDN w:val="0"/>
        <w:adjustRightInd w:val="0"/>
        <w:ind w:firstLine="539"/>
        <w:jc w:val="both"/>
        <w:rPr>
          <w:sz w:val="20"/>
          <w:szCs w:val="20"/>
        </w:rPr>
      </w:pPr>
      <w:r w:rsidRPr="008B6A75">
        <w:rPr>
          <w:sz w:val="20"/>
          <w:szCs w:val="20"/>
        </w:rPr>
        <w:t xml:space="preserve">Участники общественных </w:t>
      </w:r>
      <w:proofErr w:type="gramStart"/>
      <w:r w:rsidRPr="008B6A75">
        <w:rPr>
          <w:sz w:val="20"/>
          <w:szCs w:val="20"/>
        </w:rPr>
        <w:t>обсуждений  имеют</w:t>
      </w:r>
      <w:proofErr w:type="gramEnd"/>
      <w:r w:rsidRPr="008B6A75">
        <w:rPr>
          <w:sz w:val="20"/>
          <w:szCs w:val="20"/>
        </w:rPr>
        <w:t xml:space="preserve"> право вносить предложения и замечания, касающиеся проекта:</w:t>
      </w:r>
    </w:p>
    <w:p w14:paraId="2786CA60" w14:textId="77777777" w:rsidR="000A3BFF" w:rsidRPr="008B6A75" w:rsidRDefault="000A3BFF" w:rsidP="000A3BFF">
      <w:pPr>
        <w:autoSpaceDE w:val="0"/>
        <w:autoSpaceDN w:val="0"/>
        <w:adjustRightInd w:val="0"/>
        <w:ind w:firstLine="540"/>
        <w:jc w:val="both"/>
        <w:rPr>
          <w:sz w:val="20"/>
          <w:szCs w:val="20"/>
        </w:rPr>
      </w:pPr>
      <w:r w:rsidRPr="008B6A75">
        <w:rPr>
          <w:sz w:val="20"/>
          <w:szCs w:val="20"/>
        </w:rPr>
        <w:t xml:space="preserve">1) посредством государственной информационной системы Новосибирской </w:t>
      </w:r>
      <w:proofErr w:type="gramStart"/>
      <w:r w:rsidRPr="008B6A75">
        <w:rPr>
          <w:sz w:val="20"/>
          <w:szCs w:val="20"/>
        </w:rPr>
        <w:t>области  «</w:t>
      </w:r>
      <w:proofErr w:type="gramEnd"/>
      <w:r w:rsidRPr="008B6A75">
        <w:rPr>
          <w:sz w:val="20"/>
          <w:szCs w:val="20"/>
        </w:rPr>
        <w:t>Электронная демократия Новосибирской области»;</w:t>
      </w:r>
    </w:p>
    <w:p w14:paraId="790E8E4D" w14:textId="77777777" w:rsidR="000A3BFF" w:rsidRPr="008B6A75" w:rsidRDefault="000A3BFF" w:rsidP="000A3BFF">
      <w:pPr>
        <w:autoSpaceDE w:val="0"/>
        <w:autoSpaceDN w:val="0"/>
        <w:adjustRightInd w:val="0"/>
        <w:ind w:firstLine="540"/>
        <w:jc w:val="both"/>
        <w:rPr>
          <w:sz w:val="20"/>
          <w:szCs w:val="20"/>
        </w:rPr>
      </w:pPr>
      <w:r w:rsidRPr="008B6A75">
        <w:rPr>
          <w:sz w:val="20"/>
          <w:szCs w:val="20"/>
        </w:rPr>
        <w:t xml:space="preserve">2) в письменной форме в адрес организатора общественных </w:t>
      </w:r>
      <w:proofErr w:type="gramStart"/>
      <w:r w:rsidRPr="008B6A75">
        <w:rPr>
          <w:sz w:val="20"/>
          <w:szCs w:val="20"/>
        </w:rPr>
        <w:t>обсуждений  (</w:t>
      </w:r>
      <w:proofErr w:type="gramEnd"/>
      <w:r w:rsidRPr="008B6A75">
        <w:rPr>
          <w:sz w:val="20"/>
          <w:szCs w:val="20"/>
        </w:rPr>
        <w:t xml:space="preserve">администрация Куйбышевского района, адрес местонахождения: Новосибирская область, г. Куйбышев, ул. </w:t>
      </w:r>
      <w:proofErr w:type="spellStart"/>
      <w:r w:rsidRPr="008B6A75">
        <w:rPr>
          <w:sz w:val="20"/>
          <w:szCs w:val="20"/>
        </w:rPr>
        <w:t>Краскома</w:t>
      </w:r>
      <w:proofErr w:type="spellEnd"/>
      <w:r w:rsidRPr="008B6A75">
        <w:rPr>
          <w:sz w:val="20"/>
          <w:szCs w:val="20"/>
        </w:rPr>
        <w:t xml:space="preserve">, 37, </w:t>
      </w:r>
      <w:proofErr w:type="spellStart"/>
      <w:r w:rsidRPr="008B6A75">
        <w:rPr>
          <w:sz w:val="20"/>
          <w:szCs w:val="20"/>
        </w:rPr>
        <w:t>каб</w:t>
      </w:r>
      <w:proofErr w:type="spellEnd"/>
      <w:r w:rsidRPr="008B6A75">
        <w:rPr>
          <w:sz w:val="20"/>
          <w:szCs w:val="20"/>
        </w:rPr>
        <w:t>. № 39);</w:t>
      </w:r>
    </w:p>
    <w:p w14:paraId="3E76207A" w14:textId="77777777" w:rsidR="000A3BFF" w:rsidRPr="008B6A75" w:rsidRDefault="000A3BFF" w:rsidP="000A3BFF">
      <w:pPr>
        <w:autoSpaceDE w:val="0"/>
        <w:autoSpaceDN w:val="0"/>
        <w:adjustRightInd w:val="0"/>
        <w:ind w:firstLine="540"/>
        <w:jc w:val="both"/>
        <w:rPr>
          <w:sz w:val="20"/>
          <w:szCs w:val="20"/>
        </w:rPr>
      </w:pPr>
      <w:r w:rsidRPr="008B6A75">
        <w:rPr>
          <w:sz w:val="20"/>
          <w:szCs w:val="20"/>
        </w:rPr>
        <w:t>3) посредством записи в книге (журнале) учета посетителей экспозиции проекта, подлежащего рассмотрению на общественных обсуждениях.</w:t>
      </w:r>
    </w:p>
    <w:p w14:paraId="54C8AF94" w14:textId="77777777" w:rsidR="000A3BFF" w:rsidRPr="008B6A75" w:rsidRDefault="000A3BFF" w:rsidP="000A3BFF">
      <w:pPr>
        <w:autoSpaceDE w:val="0"/>
        <w:autoSpaceDN w:val="0"/>
        <w:adjustRightInd w:val="0"/>
        <w:ind w:firstLine="540"/>
        <w:jc w:val="both"/>
        <w:rPr>
          <w:sz w:val="20"/>
          <w:szCs w:val="20"/>
        </w:rPr>
      </w:pPr>
      <w:r w:rsidRPr="008B6A75">
        <w:rPr>
          <w:sz w:val="20"/>
          <w:szCs w:val="20"/>
        </w:rPr>
        <w:t>Внесенные предложения и замечания, подлежат регистрации, а также обязательному рассмотрению организатором общественных обсуждений, за исключением случая, предоставления недостоверных сведений.</w:t>
      </w:r>
    </w:p>
    <w:p w14:paraId="320490A4" w14:textId="77777777" w:rsidR="000A3BFF" w:rsidRPr="008B6A75" w:rsidRDefault="000A3BFF" w:rsidP="000A3BFF">
      <w:pPr>
        <w:widowControl w:val="0"/>
        <w:autoSpaceDE w:val="0"/>
        <w:autoSpaceDN w:val="0"/>
        <w:adjustRightInd w:val="0"/>
        <w:ind w:firstLine="708"/>
        <w:jc w:val="both"/>
        <w:rPr>
          <w:sz w:val="20"/>
          <w:szCs w:val="20"/>
        </w:rPr>
      </w:pPr>
      <w:r w:rsidRPr="008B6A75">
        <w:rPr>
          <w:sz w:val="20"/>
          <w:szCs w:val="20"/>
        </w:rPr>
        <w:t xml:space="preserve">Сведения о месте размещения проекта решения о предоставлении разрешения на условно разрешенный вид использования земельного участка по адресу: Новосибирская область, Куйбышевский район, аул </w:t>
      </w:r>
      <w:proofErr w:type="spellStart"/>
      <w:r w:rsidRPr="008B6A75">
        <w:rPr>
          <w:sz w:val="20"/>
          <w:szCs w:val="20"/>
        </w:rPr>
        <w:t>Шагир</w:t>
      </w:r>
      <w:proofErr w:type="spellEnd"/>
      <w:r w:rsidRPr="008B6A75">
        <w:rPr>
          <w:sz w:val="20"/>
          <w:szCs w:val="20"/>
        </w:rPr>
        <w:t>:</w:t>
      </w:r>
    </w:p>
    <w:p w14:paraId="742DAF2E" w14:textId="77777777" w:rsidR="000A3BFF" w:rsidRPr="008B6A75" w:rsidRDefault="000A3BFF" w:rsidP="000A3BFF">
      <w:pPr>
        <w:widowControl w:val="0"/>
        <w:autoSpaceDE w:val="0"/>
        <w:autoSpaceDN w:val="0"/>
        <w:adjustRightInd w:val="0"/>
        <w:ind w:firstLine="708"/>
        <w:jc w:val="both"/>
        <w:rPr>
          <w:bCs/>
          <w:sz w:val="20"/>
          <w:szCs w:val="20"/>
        </w:rPr>
      </w:pPr>
      <w:r w:rsidRPr="008B6A75">
        <w:rPr>
          <w:sz w:val="20"/>
          <w:szCs w:val="20"/>
        </w:rPr>
        <w:t xml:space="preserve">проект решения будет </w:t>
      </w:r>
      <w:r w:rsidRPr="008B6A75">
        <w:rPr>
          <w:bCs/>
          <w:sz w:val="20"/>
          <w:szCs w:val="20"/>
        </w:rPr>
        <w:t>размещен  14.11.2022 в периодическом печатном издании органов местного самоуправления Куйбышевского муниципального района Новосибирской области «Информационный вестник»</w:t>
      </w:r>
      <w:r w:rsidRPr="008B6A75">
        <w:rPr>
          <w:bCs/>
          <w:color w:val="000000"/>
          <w:sz w:val="20"/>
          <w:szCs w:val="20"/>
        </w:rPr>
        <w:t>, на</w:t>
      </w:r>
      <w:r w:rsidRPr="008B6A75">
        <w:rPr>
          <w:bCs/>
          <w:sz w:val="20"/>
          <w:szCs w:val="20"/>
        </w:rPr>
        <w:t xml:space="preserve"> официальном сайте администрации Куйбышевского муниципального района Новосибирской области </w:t>
      </w:r>
      <w:hyperlink r:id="rId42" w:history="1">
        <w:r w:rsidRPr="008B6A75">
          <w:rPr>
            <w:rStyle w:val="afa"/>
            <w:bCs/>
            <w:sz w:val="20"/>
            <w:szCs w:val="20"/>
          </w:rPr>
          <w:t>www.kuibyshev.nso.ru</w:t>
        </w:r>
      </w:hyperlink>
      <w:r w:rsidRPr="008B6A75">
        <w:rPr>
          <w:bCs/>
          <w:sz w:val="20"/>
          <w:szCs w:val="20"/>
        </w:rPr>
        <w:t>, на информационных стендах</w:t>
      </w:r>
      <w:r w:rsidRPr="008B6A75">
        <w:rPr>
          <w:bCs/>
          <w:color w:val="000000"/>
          <w:sz w:val="20"/>
          <w:szCs w:val="20"/>
        </w:rPr>
        <w:t>,</w:t>
      </w:r>
      <w:r w:rsidRPr="008B6A75">
        <w:rPr>
          <w:bCs/>
          <w:sz w:val="20"/>
          <w:szCs w:val="20"/>
        </w:rPr>
        <w:t xml:space="preserve"> и в</w:t>
      </w:r>
      <w:r w:rsidRPr="008B6A75">
        <w:rPr>
          <w:sz w:val="20"/>
          <w:szCs w:val="20"/>
        </w:rPr>
        <w:t xml:space="preserve"> государственной информационной системе Новосибирской области  «Электронная демократия Новосибирской области» (http://www.dem.nso.ru/townplanningpage).</w:t>
      </w:r>
    </w:p>
    <w:p w14:paraId="17A65C1E" w14:textId="77777777" w:rsidR="000A3BFF" w:rsidRPr="008B6A75" w:rsidRDefault="000A3BFF" w:rsidP="000A3BFF">
      <w:pPr>
        <w:pStyle w:val="2c"/>
        <w:shd w:val="clear" w:color="auto" w:fill="auto"/>
        <w:tabs>
          <w:tab w:val="left" w:pos="382"/>
        </w:tabs>
        <w:spacing w:after="0" w:line="240" w:lineRule="auto"/>
        <w:ind w:left="60" w:right="40"/>
        <w:jc w:val="both"/>
        <w:rPr>
          <w:sz w:val="20"/>
          <w:szCs w:val="20"/>
        </w:rPr>
      </w:pPr>
    </w:p>
    <w:p w14:paraId="3F65C34F" w14:textId="77777777" w:rsidR="003C72DA" w:rsidRPr="008B6A75" w:rsidRDefault="003C72DA" w:rsidP="003C72DA">
      <w:pPr>
        <w:rPr>
          <w:sz w:val="20"/>
          <w:szCs w:val="20"/>
        </w:rPr>
      </w:pPr>
    </w:p>
    <w:p w14:paraId="68A96157" w14:textId="0A69194F" w:rsidR="000A3BFF" w:rsidRPr="008B6A75" w:rsidRDefault="000A3BFF" w:rsidP="000A3BFF">
      <w:pPr>
        <w:shd w:val="clear" w:color="auto" w:fill="FFFFFF"/>
        <w:tabs>
          <w:tab w:val="left" w:pos="-4962"/>
          <w:tab w:val="left" w:pos="3780"/>
        </w:tabs>
        <w:ind w:firstLine="735"/>
        <w:jc w:val="center"/>
        <w:rPr>
          <w:sz w:val="20"/>
          <w:szCs w:val="20"/>
        </w:rPr>
      </w:pPr>
      <w:r w:rsidRPr="008B6A75">
        <w:rPr>
          <w:sz w:val="20"/>
          <w:szCs w:val="20"/>
        </w:rPr>
        <w:lastRenderedPageBreak/>
        <w:t>Оповещение о начале общественных обсуждений (Куйбышевский район, пос. Заречный, ул. Зеленая)</w:t>
      </w:r>
    </w:p>
    <w:p w14:paraId="45083DAB" w14:textId="77777777" w:rsidR="000A3BFF" w:rsidRPr="008B6A75" w:rsidRDefault="000A3BFF" w:rsidP="000A3BFF">
      <w:pPr>
        <w:shd w:val="clear" w:color="auto" w:fill="FFFFFF"/>
        <w:tabs>
          <w:tab w:val="left" w:pos="-4962"/>
          <w:tab w:val="left" w:pos="3780"/>
        </w:tabs>
        <w:ind w:firstLine="735"/>
        <w:jc w:val="center"/>
        <w:rPr>
          <w:sz w:val="20"/>
          <w:szCs w:val="20"/>
        </w:rPr>
      </w:pPr>
    </w:p>
    <w:p w14:paraId="683294A6" w14:textId="77777777" w:rsidR="000A3BFF" w:rsidRPr="008B6A75" w:rsidRDefault="000A3BFF" w:rsidP="000A3BFF">
      <w:pPr>
        <w:autoSpaceDE w:val="0"/>
        <w:autoSpaceDN w:val="0"/>
        <w:adjustRightInd w:val="0"/>
        <w:ind w:firstLine="540"/>
        <w:jc w:val="both"/>
        <w:outlineLvl w:val="1"/>
        <w:rPr>
          <w:sz w:val="20"/>
          <w:szCs w:val="20"/>
        </w:rPr>
      </w:pPr>
      <w:r w:rsidRPr="008B6A75">
        <w:rPr>
          <w:sz w:val="20"/>
          <w:szCs w:val="20"/>
        </w:rPr>
        <w:t>В соответствии с Порядком организации и проведения в Куйбышевском муниципальном районе Новосибирской области общественных обсуждений в соответствии с законодательством о градостроительной деятельности, на основании постановления Главы Куйбышевского муниципального района Новосибирской области от 03.11.2022 № 862 «О проведении общественных обсуждений по проектам  внесения изменений в Правила землепользования и застройки Октябрьского сельсовета Куйбышевского района Новосибирской области и в Генеральный план Октябрьского сельсовета Куйбышевского района Новосибирской области»  сообщаем о начале общественных обсуждений по проектам.</w:t>
      </w:r>
    </w:p>
    <w:p w14:paraId="777D81BD" w14:textId="77777777" w:rsidR="000A3BFF" w:rsidRPr="008B6A75" w:rsidRDefault="000A3BFF" w:rsidP="000A3BFF">
      <w:pPr>
        <w:autoSpaceDE w:val="0"/>
        <w:autoSpaceDN w:val="0"/>
        <w:adjustRightInd w:val="0"/>
        <w:ind w:firstLine="540"/>
        <w:jc w:val="both"/>
        <w:outlineLvl w:val="1"/>
        <w:rPr>
          <w:sz w:val="20"/>
          <w:szCs w:val="20"/>
        </w:rPr>
      </w:pPr>
      <w:r w:rsidRPr="008B6A75">
        <w:rPr>
          <w:sz w:val="20"/>
          <w:szCs w:val="20"/>
        </w:rPr>
        <w:t xml:space="preserve"> </w:t>
      </w:r>
    </w:p>
    <w:p w14:paraId="24E71CE8" w14:textId="77777777" w:rsidR="000A3BFF" w:rsidRPr="008B6A75" w:rsidRDefault="000A3BFF" w:rsidP="000A3BFF">
      <w:pPr>
        <w:shd w:val="clear" w:color="auto" w:fill="FFFFFF"/>
        <w:tabs>
          <w:tab w:val="left" w:leader="dot" w:pos="-4962"/>
        </w:tabs>
        <w:jc w:val="center"/>
        <w:rPr>
          <w:sz w:val="20"/>
          <w:szCs w:val="20"/>
        </w:rPr>
      </w:pPr>
      <w:r w:rsidRPr="008B6A75">
        <w:rPr>
          <w:sz w:val="20"/>
          <w:szCs w:val="20"/>
        </w:rPr>
        <w:t>Информационные материалы по проектам:</w:t>
      </w:r>
    </w:p>
    <w:p w14:paraId="514CC3D3" w14:textId="77777777" w:rsidR="000A3BFF" w:rsidRPr="008B6A75" w:rsidRDefault="000A3BFF" w:rsidP="00372B96">
      <w:pPr>
        <w:numPr>
          <w:ilvl w:val="0"/>
          <w:numId w:val="20"/>
        </w:numPr>
        <w:shd w:val="clear" w:color="auto" w:fill="FFFFFF"/>
        <w:tabs>
          <w:tab w:val="left" w:leader="dot" w:pos="-4962"/>
        </w:tabs>
        <w:jc w:val="both"/>
        <w:rPr>
          <w:sz w:val="20"/>
          <w:szCs w:val="20"/>
        </w:rPr>
      </w:pPr>
      <w:r w:rsidRPr="008B6A75">
        <w:rPr>
          <w:sz w:val="20"/>
          <w:szCs w:val="20"/>
        </w:rPr>
        <w:t>Предлагается    внести    изменение    в    Правила   землепользования    и   застройки</w:t>
      </w:r>
    </w:p>
    <w:p w14:paraId="090163CD" w14:textId="77777777" w:rsidR="000A3BFF" w:rsidRPr="008B6A75" w:rsidRDefault="000A3BFF" w:rsidP="000A3BFF">
      <w:pPr>
        <w:shd w:val="clear" w:color="auto" w:fill="FFFFFF"/>
        <w:tabs>
          <w:tab w:val="left" w:leader="dot" w:pos="-4962"/>
        </w:tabs>
        <w:jc w:val="both"/>
        <w:rPr>
          <w:sz w:val="20"/>
          <w:szCs w:val="20"/>
        </w:rPr>
      </w:pPr>
      <w:r w:rsidRPr="008B6A75">
        <w:rPr>
          <w:sz w:val="20"/>
          <w:szCs w:val="20"/>
        </w:rPr>
        <w:t>Октябрьского сельсовета Куйбышевского района Новосибирской области, утвержденные Решением двадцатой сессии Совета депутатов Куйбышевского района Новосибирской области от 21.09.2017г. № 8. Изменить территориальную зону градостроительного зонирования Р  (</w:t>
      </w:r>
      <w:r w:rsidRPr="008B6A75">
        <w:rPr>
          <w:rFonts w:eastAsia="Calibri"/>
          <w:color w:val="000000"/>
          <w:sz w:val="20"/>
          <w:szCs w:val="20"/>
          <w:lang w:eastAsia="en-US"/>
        </w:rPr>
        <w:t xml:space="preserve">Зона рекреационного назначения) </w:t>
      </w:r>
      <w:r w:rsidRPr="008B6A75">
        <w:rPr>
          <w:sz w:val="20"/>
          <w:szCs w:val="20"/>
        </w:rPr>
        <w:t>на зону Ж1 (</w:t>
      </w:r>
      <w:r w:rsidRPr="008B6A75">
        <w:rPr>
          <w:rFonts w:eastAsia="Calibri"/>
          <w:color w:val="000000"/>
          <w:sz w:val="20"/>
          <w:szCs w:val="20"/>
          <w:lang w:eastAsia="en-US"/>
        </w:rPr>
        <w:t xml:space="preserve">Зона застройки индивидуальными жилыми домами) </w:t>
      </w:r>
      <w:r w:rsidRPr="008B6A75">
        <w:rPr>
          <w:sz w:val="20"/>
          <w:szCs w:val="20"/>
        </w:rPr>
        <w:t xml:space="preserve">в границах земельного участка с кадастровым номером 54:34:010101:ЗУ, площадью 750 </w:t>
      </w:r>
      <w:proofErr w:type="spellStart"/>
      <w:r w:rsidRPr="008B6A75">
        <w:rPr>
          <w:sz w:val="20"/>
          <w:szCs w:val="20"/>
        </w:rPr>
        <w:t>кв.м</w:t>
      </w:r>
      <w:proofErr w:type="spellEnd"/>
      <w:r w:rsidRPr="008B6A75">
        <w:rPr>
          <w:sz w:val="20"/>
          <w:szCs w:val="20"/>
        </w:rPr>
        <w:t xml:space="preserve">., местоположением: Новосибирская область, Куйбышевский район, п. Заречный, ул. Зеленая.  </w:t>
      </w:r>
      <w:r w:rsidRPr="008B6A75">
        <w:rPr>
          <w:rFonts w:eastAsia="Calibri"/>
          <w:color w:val="000000"/>
          <w:sz w:val="20"/>
          <w:szCs w:val="20"/>
          <w:lang w:eastAsia="en-US"/>
        </w:rPr>
        <w:t xml:space="preserve">  </w:t>
      </w:r>
    </w:p>
    <w:p w14:paraId="155E6367" w14:textId="77777777" w:rsidR="000A3BFF" w:rsidRPr="008B6A75" w:rsidRDefault="000A3BFF" w:rsidP="00372B96">
      <w:pPr>
        <w:numPr>
          <w:ilvl w:val="0"/>
          <w:numId w:val="20"/>
        </w:numPr>
        <w:shd w:val="clear" w:color="auto" w:fill="FFFFFF"/>
        <w:tabs>
          <w:tab w:val="left" w:leader="dot" w:pos="-4962"/>
        </w:tabs>
        <w:jc w:val="both"/>
        <w:rPr>
          <w:sz w:val="20"/>
          <w:szCs w:val="20"/>
        </w:rPr>
      </w:pPr>
      <w:r w:rsidRPr="008B6A75">
        <w:rPr>
          <w:sz w:val="20"/>
          <w:szCs w:val="20"/>
        </w:rPr>
        <w:t xml:space="preserve">Предлагается      внести      изменение      в      Генеральный      план      Октябрьского  </w:t>
      </w:r>
    </w:p>
    <w:p w14:paraId="6118152C" w14:textId="77777777" w:rsidR="000A3BFF" w:rsidRPr="008B6A75" w:rsidRDefault="000A3BFF" w:rsidP="000A3BFF">
      <w:pPr>
        <w:shd w:val="clear" w:color="auto" w:fill="FFFFFF"/>
        <w:tabs>
          <w:tab w:val="left" w:leader="dot" w:pos="-4962"/>
        </w:tabs>
        <w:jc w:val="both"/>
        <w:rPr>
          <w:sz w:val="20"/>
          <w:szCs w:val="20"/>
        </w:rPr>
      </w:pPr>
      <w:r w:rsidRPr="008B6A75">
        <w:rPr>
          <w:sz w:val="20"/>
          <w:szCs w:val="20"/>
        </w:rPr>
        <w:t xml:space="preserve">сельсовета Куйбышевского района Новосибирской области: установить в границах земельного участка с кадастровым номером </w:t>
      </w:r>
      <w:proofErr w:type="gramStart"/>
      <w:r w:rsidRPr="008B6A75">
        <w:rPr>
          <w:sz w:val="20"/>
          <w:szCs w:val="20"/>
        </w:rPr>
        <w:t>54:34:010101:ЗУ</w:t>
      </w:r>
      <w:proofErr w:type="gramEnd"/>
      <w:r w:rsidRPr="008B6A75">
        <w:rPr>
          <w:sz w:val="20"/>
          <w:szCs w:val="20"/>
        </w:rPr>
        <w:t xml:space="preserve">, площадью 750 </w:t>
      </w:r>
      <w:proofErr w:type="spellStart"/>
      <w:r w:rsidRPr="008B6A75">
        <w:rPr>
          <w:sz w:val="20"/>
          <w:szCs w:val="20"/>
        </w:rPr>
        <w:t>кв.м</w:t>
      </w:r>
      <w:proofErr w:type="spellEnd"/>
      <w:r w:rsidRPr="008B6A75">
        <w:rPr>
          <w:sz w:val="20"/>
          <w:szCs w:val="20"/>
        </w:rPr>
        <w:t xml:space="preserve">., местоположением: Новосибирская область, Куйбышевский район, п. Заречный, ул. Зеленая, функциональную зону – </w:t>
      </w:r>
      <w:r w:rsidRPr="008B6A75">
        <w:rPr>
          <w:rFonts w:eastAsia="Calibri"/>
          <w:color w:val="000000"/>
          <w:sz w:val="20"/>
          <w:szCs w:val="20"/>
          <w:lang w:eastAsia="en-US"/>
        </w:rPr>
        <w:t>«Жилые зоны».</w:t>
      </w:r>
    </w:p>
    <w:p w14:paraId="73F12002" w14:textId="77777777" w:rsidR="000A3BFF" w:rsidRPr="008B6A75" w:rsidRDefault="000A3BFF" w:rsidP="00372B96">
      <w:pPr>
        <w:numPr>
          <w:ilvl w:val="0"/>
          <w:numId w:val="20"/>
        </w:numPr>
        <w:shd w:val="clear" w:color="auto" w:fill="FFFFFF"/>
        <w:tabs>
          <w:tab w:val="left" w:leader="dot" w:pos="-4962"/>
        </w:tabs>
        <w:rPr>
          <w:sz w:val="20"/>
          <w:szCs w:val="20"/>
        </w:rPr>
      </w:pPr>
      <w:r w:rsidRPr="008B6A75">
        <w:rPr>
          <w:sz w:val="20"/>
          <w:szCs w:val="20"/>
        </w:rPr>
        <w:t>Схема расположения земельного участка на кадастровом плане территории.</w:t>
      </w:r>
    </w:p>
    <w:p w14:paraId="0465E391" w14:textId="77777777" w:rsidR="000A3BFF" w:rsidRPr="008B6A75" w:rsidRDefault="000A3BFF" w:rsidP="00372B96">
      <w:pPr>
        <w:numPr>
          <w:ilvl w:val="0"/>
          <w:numId w:val="20"/>
        </w:numPr>
        <w:shd w:val="clear" w:color="auto" w:fill="FFFFFF"/>
        <w:tabs>
          <w:tab w:val="left" w:leader="dot" w:pos="-4962"/>
        </w:tabs>
        <w:jc w:val="both"/>
        <w:rPr>
          <w:sz w:val="20"/>
          <w:szCs w:val="20"/>
        </w:rPr>
      </w:pPr>
      <w:r w:rsidRPr="008B6A75">
        <w:rPr>
          <w:sz w:val="20"/>
          <w:szCs w:val="20"/>
        </w:rPr>
        <w:t>Фрагмент    карты    территориального   зонирования   Правил   землепользования   и</w:t>
      </w:r>
    </w:p>
    <w:p w14:paraId="53D7E873" w14:textId="77777777" w:rsidR="000A3BFF" w:rsidRPr="008B6A75" w:rsidRDefault="000A3BFF" w:rsidP="000A3BFF">
      <w:pPr>
        <w:shd w:val="clear" w:color="auto" w:fill="FFFFFF"/>
        <w:tabs>
          <w:tab w:val="left" w:leader="dot" w:pos="-4962"/>
        </w:tabs>
        <w:jc w:val="both"/>
        <w:rPr>
          <w:sz w:val="20"/>
          <w:szCs w:val="20"/>
        </w:rPr>
      </w:pPr>
      <w:r w:rsidRPr="008B6A75">
        <w:rPr>
          <w:sz w:val="20"/>
          <w:szCs w:val="20"/>
        </w:rPr>
        <w:t>застройки Октябрьского сельсовета Куйбышевского района Новосибирской области.</w:t>
      </w:r>
    </w:p>
    <w:p w14:paraId="1CFD5527" w14:textId="77777777" w:rsidR="000A3BFF" w:rsidRPr="008B6A75" w:rsidRDefault="000A3BFF" w:rsidP="000A3BFF">
      <w:pPr>
        <w:widowControl w:val="0"/>
        <w:autoSpaceDE w:val="0"/>
        <w:autoSpaceDN w:val="0"/>
        <w:adjustRightInd w:val="0"/>
        <w:ind w:left="960"/>
        <w:jc w:val="both"/>
        <w:rPr>
          <w:bCs/>
          <w:sz w:val="20"/>
          <w:szCs w:val="20"/>
        </w:rPr>
      </w:pPr>
    </w:p>
    <w:p w14:paraId="3DB876AF" w14:textId="77777777" w:rsidR="000A3BFF" w:rsidRPr="008B6A75" w:rsidRDefault="000A3BFF" w:rsidP="000A3BFF">
      <w:pPr>
        <w:ind w:firstLine="708"/>
        <w:jc w:val="both"/>
        <w:rPr>
          <w:sz w:val="20"/>
          <w:szCs w:val="20"/>
        </w:rPr>
      </w:pPr>
      <w:bookmarkStart w:id="13" w:name="Par644"/>
      <w:bookmarkEnd w:id="13"/>
      <w:r w:rsidRPr="008B6A75">
        <w:rPr>
          <w:sz w:val="20"/>
          <w:szCs w:val="20"/>
        </w:rPr>
        <w:t xml:space="preserve">Срок и порядок проведения общественных обсуждений по проектам: </w:t>
      </w:r>
    </w:p>
    <w:p w14:paraId="68ADF648" w14:textId="77777777" w:rsidR="000A3BFF" w:rsidRPr="008B6A75" w:rsidRDefault="000A3BFF" w:rsidP="000A3BFF">
      <w:pPr>
        <w:ind w:firstLine="708"/>
        <w:rPr>
          <w:sz w:val="20"/>
          <w:szCs w:val="20"/>
        </w:rPr>
      </w:pPr>
      <w:r w:rsidRPr="008B6A75">
        <w:rPr>
          <w:sz w:val="20"/>
          <w:szCs w:val="20"/>
        </w:rPr>
        <w:t xml:space="preserve">с 07.11.2022 по 06.12.2022 </w:t>
      </w:r>
    </w:p>
    <w:p w14:paraId="74CE18C5" w14:textId="77777777" w:rsidR="000A3BFF" w:rsidRPr="008B6A75" w:rsidRDefault="000A3BFF" w:rsidP="000A3BFF">
      <w:pPr>
        <w:autoSpaceDE w:val="0"/>
        <w:autoSpaceDN w:val="0"/>
        <w:adjustRightInd w:val="0"/>
        <w:ind w:firstLine="540"/>
        <w:jc w:val="both"/>
        <w:rPr>
          <w:sz w:val="20"/>
          <w:szCs w:val="20"/>
        </w:rPr>
      </w:pPr>
      <w:r w:rsidRPr="008B6A75">
        <w:rPr>
          <w:sz w:val="20"/>
          <w:szCs w:val="20"/>
        </w:rPr>
        <w:t xml:space="preserve">  В течение всего периода размещения проектов, подлежащих рассмотрению на общественных слушаниях, и информационных материалов к ним проводится экспозиция проектов. В ходе работы экспозиции осуществляется консультирование посетителей экспозиции, распространение информационных материалов о проектах, подлежащих рассмотрению на общественных обсуждениях. Консультирование посетителей экспозиции осуществляется представителями уполномоченного на проведение общественных обсуждений администрации Куйбышевского района или разработчика проектов, подлежащих рассмотрению на общественных обсуждениях.</w:t>
      </w:r>
    </w:p>
    <w:p w14:paraId="21993DFF" w14:textId="77777777" w:rsidR="000A3BFF" w:rsidRPr="008B6A75" w:rsidRDefault="000A3BFF" w:rsidP="000A3BFF">
      <w:pPr>
        <w:autoSpaceDE w:val="0"/>
        <w:autoSpaceDN w:val="0"/>
        <w:adjustRightInd w:val="0"/>
        <w:ind w:firstLine="539"/>
        <w:jc w:val="both"/>
        <w:rPr>
          <w:sz w:val="20"/>
          <w:szCs w:val="20"/>
        </w:rPr>
      </w:pPr>
      <w:r w:rsidRPr="008B6A75">
        <w:rPr>
          <w:sz w:val="20"/>
          <w:szCs w:val="20"/>
        </w:rPr>
        <w:t>Участники общественных обсуждениях имеют право вносить предложения и замечания, касающиеся проектов.</w:t>
      </w:r>
    </w:p>
    <w:p w14:paraId="0EEC2001" w14:textId="77777777" w:rsidR="000A3BFF" w:rsidRPr="008B6A75" w:rsidRDefault="000A3BFF" w:rsidP="000A3BFF">
      <w:pPr>
        <w:autoSpaceDE w:val="0"/>
        <w:autoSpaceDN w:val="0"/>
        <w:adjustRightInd w:val="0"/>
        <w:ind w:firstLine="539"/>
        <w:jc w:val="both"/>
        <w:rPr>
          <w:sz w:val="20"/>
          <w:szCs w:val="20"/>
        </w:rPr>
      </w:pPr>
    </w:p>
    <w:p w14:paraId="13947AF7" w14:textId="77777777" w:rsidR="000A3BFF" w:rsidRPr="008B6A75" w:rsidRDefault="000A3BFF" w:rsidP="000A3BFF">
      <w:pPr>
        <w:ind w:firstLine="708"/>
        <w:jc w:val="both"/>
        <w:rPr>
          <w:sz w:val="20"/>
          <w:szCs w:val="20"/>
        </w:rPr>
      </w:pPr>
      <w:r w:rsidRPr="008B6A75">
        <w:rPr>
          <w:sz w:val="20"/>
          <w:szCs w:val="20"/>
        </w:rPr>
        <w:t xml:space="preserve">Экспозиция по проектам будет открыта по адресу: Новосибирская область, г. Куйбышев, ул. </w:t>
      </w:r>
      <w:proofErr w:type="spellStart"/>
      <w:r w:rsidRPr="008B6A75">
        <w:rPr>
          <w:sz w:val="20"/>
          <w:szCs w:val="20"/>
        </w:rPr>
        <w:t>Краскома</w:t>
      </w:r>
      <w:proofErr w:type="spellEnd"/>
      <w:r w:rsidRPr="008B6A75">
        <w:rPr>
          <w:sz w:val="20"/>
          <w:szCs w:val="20"/>
        </w:rPr>
        <w:t xml:space="preserve">, 37, </w:t>
      </w:r>
      <w:proofErr w:type="spellStart"/>
      <w:r w:rsidRPr="008B6A75">
        <w:rPr>
          <w:sz w:val="20"/>
          <w:szCs w:val="20"/>
        </w:rPr>
        <w:t>каб</w:t>
      </w:r>
      <w:proofErr w:type="spellEnd"/>
      <w:r w:rsidRPr="008B6A75">
        <w:rPr>
          <w:sz w:val="20"/>
          <w:szCs w:val="20"/>
        </w:rPr>
        <w:t xml:space="preserve">. № 39  </w:t>
      </w:r>
    </w:p>
    <w:p w14:paraId="423E1CD6" w14:textId="77777777" w:rsidR="000A3BFF" w:rsidRPr="008B6A75" w:rsidRDefault="000A3BFF" w:rsidP="000A3BFF">
      <w:pPr>
        <w:ind w:firstLine="708"/>
        <w:jc w:val="both"/>
        <w:rPr>
          <w:sz w:val="20"/>
          <w:szCs w:val="20"/>
        </w:rPr>
      </w:pPr>
      <w:r w:rsidRPr="008B6A75">
        <w:rPr>
          <w:sz w:val="20"/>
          <w:szCs w:val="20"/>
        </w:rPr>
        <w:t xml:space="preserve">Срок проведения экспозиции </w:t>
      </w:r>
      <w:r w:rsidRPr="008B6A75">
        <w:rPr>
          <w:color w:val="000000"/>
          <w:sz w:val="20"/>
          <w:szCs w:val="20"/>
        </w:rPr>
        <w:t>с 14</w:t>
      </w:r>
      <w:r w:rsidRPr="008B6A75">
        <w:rPr>
          <w:sz w:val="20"/>
          <w:szCs w:val="20"/>
        </w:rPr>
        <w:t>.11.2022 по 29.11.2022</w:t>
      </w:r>
    </w:p>
    <w:p w14:paraId="63E5260A" w14:textId="77777777" w:rsidR="000A3BFF" w:rsidRPr="008B6A75" w:rsidRDefault="000A3BFF" w:rsidP="000A3BFF">
      <w:pPr>
        <w:ind w:firstLine="708"/>
        <w:jc w:val="both"/>
        <w:rPr>
          <w:sz w:val="20"/>
          <w:szCs w:val="20"/>
        </w:rPr>
      </w:pPr>
      <w:r w:rsidRPr="008B6A75">
        <w:rPr>
          <w:sz w:val="20"/>
          <w:szCs w:val="20"/>
        </w:rPr>
        <w:t xml:space="preserve">График работы экспозиции: </w:t>
      </w:r>
      <w:proofErr w:type="gramStart"/>
      <w:r w:rsidRPr="008B6A75">
        <w:rPr>
          <w:sz w:val="20"/>
          <w:szCs w:val="20"/>
        </w:rPr>
        <w:t>с  8.00</w:t>
      </w:r>
      <w:proofErr w:type="gramEnd"/>
      <w:r w:rsidRPr="008B6A75">
        <w:rPr>
          <w:sz w:val="20"/>
          <w:szCs w:val="20"/>
        </w:rPr>
        <w:t xml:space="preserve">  до  12.00</w:t>
      </w:r>
    </w:p>
    <w:p w14:paraId="68F147D7" w14:textId="77777777" w:rsidR="000A3BFF" w:rsidRPr="008B6A75" w:rsidRDefault="000A3BFF" w:rsidP="000A3BFF">
      <w:pPr>
        <w:ind w:firstLine="708"/>
        <w:rPr>
          <w:sz w:val="20"/>
          <w:szCs w:val="20"/>
        </w:rPr>
      </w:pPr>
      <w:r w:rsidRPr="008B6A75">
        <w:rPr>
          <w:sz w:val="20"/>
          <w:szCs w:val="20"/>
        </w:rPr>
        <w:tab/>
      </w:r>
      <w:r w:rsidRPr="008B6A75">
        <w:rPr>
          <w:sz w:val="20"/>
          <w:szCs w:val="20"/>
        </w:rPr>
        <w:tab/>
      </w:r>
      <w:r w:rsidRPr="008B6A75">
        <w:rPr>
          <w:sz w:val="20"/>
          <w:szCs w:val="20"/>
        </w:rPr>
        <w:tab/>
      </w:r>
      <w:r w:rsidRPr="008B6A75">
        <w:rPr>
          <w:sz w:val="20"/>
          <w:szCs w:val="20"/>
        </w:rPr>
        <w:tab/>
        <w:t xml:space="preserve">                13.00 </w:t>
      </w:r>
      <w:proofErr w:type="gramStart"/>
      <w:r w:rsidRPr="008B6A75">
        <w:rPr>
          <w:sz w:val="20"/>
          <w:szCs w:val="20"/>
        </w:rPr>
        <w:t>до  16.00</w:t>
      </w:r>
      <w:proofErr w:type="gramEnd"/>
    </w:p>
    <w:p w14:paraId="0B5DE6C3" w14:textId="77777777" w:rsidR="000A3BFF" w:rsidRPr="008B6A75" w:rsidRDefault="000A3BFF" w:rsidP="000A3BFF">
      <w:pPr>
        <w:autoSpaceDE w:val="0"/>
        <w:autoSpaceDN w:val="0"/>
        <w:adjustRightInd w:val="0"/>
        <w:ind w:firstLine="539"/>
        <w:jc w:val="both"/>
        <w:rPr>
          <w:sz w:val="20"/>
          <w:szCs w:val="20"/>
        </w:rPr>
      </w:pPr>
    </w:p>
    <w:p w14:paraId="2C6A90A5" w14:textId="77777777" w:rsidR="000A3BFF" w:rsidRPr="008B6A75" w:rsidRDefault="000A3BFF" w:rsidP="000A3BFF">
      <w:pPr>
        <w:autoSpaceDE w:val="0"/>
        <w:autoSpaceDN w:val="0"/>
        <w:adjustRightInd w:val="0"/>
        <w:ind w:firstLine="539"/>
        <w:jc w:val="both"/>
        <w:rPr>
          <w:sz w:val="20"/>
          <w:szCs w:val="20"/>
        </w:rPr>
      </w:pPr>
      <w:r w:rsidRPr="008B6A75">
        <w:rPr>
          <w:sz w:val="20"/>
          <w:szCs w:val="20"/>
        </w:rPr>
        <w:t>Участники общественных обсуждений имеют право вносить предложения и замечания, касающиеся проектов:</w:t>
      </w:r>
    </w:p>
    <w:p w14:paraId="0F3BE090" w14:textId="77777777" w:rsidR="000A3BFF" w:rsidRPr="008B6A75" w:rsidRDefault="000A3BFF" w:rsidP="000A3BFF">
      <w:pPr>
        <w:autoSpaceDE w:val="0"/>
        <w:autoSpaceDN w:val="0"/>
        <w:adjustRightInd w:val="0"/>
        <w:ind w:firstLine="540"/>
        <w:jc w:val="both"/>
        <w:rPr>
          <w:sz w:val="20"/>
          <w:szCs w:val="20"/>
        </w:rPr>
      </w:pPr>
      <w:r w:rsidRPr="008B6A75">
        <w:rPr>
          <w:sz w:val="20"/>
          <w:szCs w:val="20"/>
        </w:rPr>
        <w:t xml:space="preserve">1) посредством государственной информационной системы Новосибирской </w:t>
      </w:r>
      <w:proofErr w:type="gramStart"/>
      <w:r w:rsidRPr="008B6A75">
        <w:rPr>
          <w:sz w:val="20"/>
          <w:szCs w:val="20"/>
        </w:rPr>
        <w:t>области  «</w:t>
      </w:r>
      <w:proofErr w:type="gramEnd"/>
      <w:r w:rsidRPr="008B6A75">
        <w:rPr>
          <w:sz w:val="20"/>
          <w:szCs w:val="20"/>
        </w:rPr>
        <w:t>Электронная демократия Новосибирской области»;</w:t>
      </w:r>
    </w:p>
    <w:p w14:paraId="0722A6E5" w14:textId="77777777" w:rsidR="000A3BFF" w:rsidRPr="008B6A75" w:rsidRDefault="000A3BFF" w:rsidP="000A3BFF">
      <w:pPr>
        <w:autoSpaceDE w:val="0"/>
        <w:autoSpaceDN w:val="0"/>
        <w:adjustRightInd w:val="0"/>
        <w:ind w:firstLine="540"/>
        <w:jc w:val="both"/>
        <w:rPr>
          <w:sz w:val="20"/>
          <w:szCs w:val="20"/>
        </w:rPr>
      </w:pPr>
      <w:r w:rsidRPr="008B6A75">
        <w:rPr>
          <w:sz w:val="20"/>
          <w:szCs w:val="20"/>
        </w:rPr>
        <w:t xml:space="preserve">2) в письменной форме в адрес организатора общественных </w:t>
      </w:r>
      <w:proofErr w:type="gramStart"/>
      <w:r w:rsidRPr="008B6A75">
        <w:rPr>
          <w:sz w:val="20"/>
          <w:szCs w:val="20"/>
        </w:rPr>
        <w:t>обсуждений  (</w:t>
      </w:r>
      <w:proofErr w:type="gramEnd"/>
      <w:r w:rsidRPr="008B6A75">
        <w:rPr>
          <w:sz w:val="20"/>
          <w:szCs w:val="20"/>
        </w:rPr>
        <w:t xml:space="preserve">администрация Куйбышевского района, адрес местонахождения: Новосибирская область, г. Куйбышев, ул. </w:t>
      </w:r>
      <w:proofErr w:type="spellStart"/>
      <w:r w:rsidRPr="008B6A75">
        <w:rPr>
          <w:sz w:val="20"/>
          <w:szCs w:val="20"/>
        </w:rPr>
        <w:t>Краскома</w:t>
      </w:r>
      <w:proofErr w:type="spellEnd"/>
      <w:r w:rsidRPr="008B6A75">
        <w:rPr>
          <w:sz w:val="20"/>
          <w:szCs w:val="20"/>
        </w:rPr>
        <w:t xml:space="preserve">, 37, </w:t>
      </w:r>
      <w:proofErr w:type="spellStart"/>
      <w:r w:rsidRPr="008B6A75">
        <w:rPr>
          <w:sz w:val="20"/>
          <w:szCs w:val="20"/>
        </w:rPr>
        <w:t>каб</w:t>
      </w:r>
      <w:proofErr w:type="spellEnd"/>
      <w:r w:rsidRPr="008B6A75">
        <w:rPr>
          <w:sz w:val="20"/>
          <w:szCs w:val="20"/>
        </w:rPr>
        <w:t>. № 39);</w:t>
      </w:r>
    </w:p>
    <w:p w14:paraId="5769439B" w14:textId="77777777" w:rsidR="000A3BFF" w:rsidRPr="008B6A75" w:rsidRDefault="000A3BFF" w:rsidP="000A3BFF">
      <w:pPr>
        <w:autoSpaceDE w:val="0"/>
        <w:autoSpaceDN w:val="0"/>
        <w:adjustRightInd w:val="0"/>
        <w:ind w:firstLine="540"/>
        <w:jc w:val="both"/>
        <w:rPr>
          <w:sz w:val="20"/>
          <w:szCs w:val="20"/>
        </w:rPr>
      </w:pPr>
      <w:r w:rsidRPr="008B6A75">
        <w:rPr>
          <w:sz w:val="20"/>
          <w:szCs w:val="20"/>
        </w:rPr>
        <w:t>3) посредством записи в книге (журнале) учета посетителей экспозиции проекта, подлежащего рассмотрению на общественных обсуждениях.</w:t>
      </w:r>
    </w:p>
    <w:p w14:paraId="7C5375C9" w14:textId="77777777" w:rsidR="000A3BFF" w:rsidRPr="008B6A75" w:rsidRDefault="000A3BFF" w:rsidP="000A3BFF">
      <w:pPr>
        <w:autoSpaceDE w:val="0"/>
        <w:autoSpaceDN w:val="0"/>
        <w:adjustRightInd w:val="0"/>
        <w:ind w:firstLine="540"/>
        <w:jc w:val="both"/>
        <w:rPr>
          <w:sz w:val="20"/>
          <w:szCs w:val="20"/>
        </w:rPr>
      </w:pPr>
      <w:r w:rsidRPr="008B6A75">
        <w:rPr>
          <w:sz w:val="20"/>
          <w:szCs w:val="20"/>
        </w:rPr>
        <w:t>Внесенные предложения и замечания, подлежат регистрации, а также обязательному рассмотрению организатором общественных обсуждений, за исключением случая, предоставления недостоверных сведений.</w:t>
      </w:r>
    </w:p>
    <w:p w14:paraId="28DA901D" w14:textId="77777777" w:rsidR="000A3BFF" w:rsidRPr="008B6A75" w:rsidRDefault="000A3BFF" w:rsidP="000A3BFF">
      <w:pPr>
        <w:widowControl w:val="0"/>
        <w:autoSpaceDE w:val="0"/>
        <w:autoSpaceDN w:val="0"/>
        <w:adjustRightInd w:val="0"/>
        <w:ind w:firstLine="708"/>
        <w:jc w:val="both"/>
        <w:rPr>
          <w:sz w:val="20"/>
          <w:szCs w:val="20"/>
        </w:rPr>
      </w:pPr>
      <w:r w:rsidRPr="008B6A75">
        <w:rPr>
          <w:sz w:val="20"/>
          <w:szCs w:val="20"/>
        </w:rPr>
        <w:t>Сведения о месте размещения проектов внесения изменений в Правила землепользования и застройки Октябрьского сельсовета Куйбышевского района Новосибирской области и в Генеральный план Октябрьского сельсовета Куйбышевского района Новосибирской области:</w:t>
      </w:r>
    </w:p>
    <w:p w14:paraId="63D7782F" w14:textId="77777777" w:rsidR="000A3BFF" w:rsidRPr="008B6A75" w:rsidRDefault="000A3BFF" w:rsidP="000A3BFF">
      <w:pPr>
        <w:widowControl w:val="0"/>
        <w:autoSpaceDE w:val="0"/>
        <w:autoSpaceDN w:val="0"/>
        <w:adjustRightInd w:val="0"/>
        <w:ind w:firstLine="708"/>
        <w:jc w:val="both"/>
        <w:rPr>
          <w:bCs/>
          <w:sz w:val="20"/>
          <w:szCs w:val="20"/>
        </w:rPr>
      </w:pPr>
      <w:r w:rsidRPr="008B6A75">
        <w:rPr>
          <w:sz w:val="20"/>
          <w:szCs w:val="20"/>
        </w:rPr>
        <w:t xml:space="preserve">проекты  будут </w:t>
      </w:r>
      <w:r w:rsidRPr="008B6A75">
        <w:rPr>
          <w:bCs/>
          <w:sz w:val="20"/>
          <w:szCs w:val="20"/>
        </w:rPr>
        <w:t>размещены 14.11.2022 в периодическом печатном издании органов местного самоуправления Куйбышевского муниципального района Новосибирской области «Информационный вестник»</w:t>
      </w:r>
      <w:r w:rsidRPr="008B6A75">
        <w:rPr>
          <w:bCs/>
          <w:color w:val="000000"/>
          <w:sz w:val="20"/>
          <w:szCs w:val="20"/>
        </w:rPr>
        <w:t>, на</w:t>
      </w:r>
      <w:r w:rsidRPr="008B6A75">
        <w:rPr>
          <w:bCs/>
          <w:sz w:val="20"/>
          <w:szCs w:val="20"/>
        </w:rPr>
        <w:t xml:space="preserve"> официальном сайте администрации Куйбышевского муниципального района Новосибирской области </w:t>
      </w:r>
      <w:hyperlink r:id="rId43" w:history="1">
        <w:r w:rsidRPr="008B6A75">
          <w:rPr>
            <w:rStyle w:val="afa"/>
            <w:bCs/>
            <w:sz w:val="20"/>
            <w:szCs w:val="20"/>
          </w:rPr>
          <w:t>www.kuibyshev.nso.ru</w:t>
        </w:r>
      </w:hyperlink>
      <w:r w:rsidRPr="008B6A75">
        <w:rPr>
          <w:bCs/>
          <w:sz w:val="20"/>
          <w:szCs w:val="20"/>
        </w:rPr>
        <w:t>, на информационных стендах</w:t>
      </w:r>
      <w:r w:rsidRPr="008B6A75">
        <w:rPr>
          <w:bCs/>
          <w:color w:val="000000"/>
          <w:sz w:val="20"/>
          <w:szCs w:val="20"/>
        </w:rPr>
        <w:t>,</w:t>
      </w:r>
      <w:r w:rsidRPr="008B6A75">
        <w:rPr>
          <w:bCs/>
          <w:sz w:val="20"/>
          <w:szCs w:val="20"/>
        </w:rPr>
        <w:t xml:space="preserve"> и в</w:t>
      </w:r>
      <w:r w:rsidRPr="008B6A75">
        <w:rPr>
          <w:sz w:val="20"/>
          <w:szCs w:val="20"/>
        </w:rPr>
        <w:t xml:space="preserve"> государственной информационной системе Новосибирской области  «Электронная демократия Новосибирской области» (http://www.dem.nso.ru/townplanningpage).</w:t>
      </w:r>
    </w:p>
    <w:p w14:paraId="5C2A8022" w14:textId="77777777" w:rsidR="000A3BFF" w:rsidRPr="008B6A75" w:rsidRDefault="000A3BFF" w:rsidP="000A3BFF">
      <w:pPr>
        <w:widowControl w:val="0"/>
        <w:autoSpaceDE w:val="0"/>
        <w:autoSpaceDN w:val="0"/>
        <w:adjustRightInd w:val="0"/>
        <w:ind w:firstLine="708"/>
        <w:jc w:val="both"/>
        <w:rPr>
          <w:sz w:val="20"/>
          <w:szCs w:val="20"/>
        </w:rPr>
      </w:pPr>
    </w:p>
    <w:p w14:paraId="1D276C23" w14:textId="77777777" w:rsidR="00662A1C" w:rsidRPr="008B6A75" w:rsidRDefault="00662A1C" w:rsidP="00CD0961">
      <w:pPr>
        <w:rPr>
          <w:sz w:val="20"/>
          <w:szCs w:val="20"/>
        </w:rPr>
      </w:pPr>
    </w:p>
    <w:p w14:paraId="0C6C34CA" w14:textId="77777777" w:rsidR="00662A1C" w:rsidRPr="008B6A75" w:rsidRDefault="00662A1C" w:rsidP="00CD0961">
      <w:pPr>
        <w:rPr>
          <w:sz w:val="20"/>
          <w:szCs w:val="20"/>
        </w:rPr>
      </w:pPr>
    </w:p>
    <w:p w14:paraId="2E31D418" w14:textId="77777777" w:rsidR="00662A1C" w:rsidRPr="008B6A75" w:rsidRDefault="00662A1C" w:rsidP="00CD0961">
      <w:pPr>
        <w:rPr>
          <w:sz w:val="20"/>
          <w:szCs w:val="20"/>
        </w:rPr>
      </w:pPr>
    </w:p>
    <w:p w14:paraId="320F33B2" w14:textId="76621F43" w:rsidR="000A3BFF" w:rsidRPr="008B6A75" w:rsidRDefault="000A3BFF" w:rsidP="000A3BFF">
      <w:pPr>
        <w:shd w:val="clear" w:color="auto" w:fill="FFFFFF"/>
        <w:tabs>
          <w:tab w:val="left" w:pos="-4962"/>
          <w:tab w:val="left" w:pos="3780"/>
        </w:tabs>
        <w:ind w:firstLine="735"/>
        <w:jc w:val="center"/>
        <w:rPr>
          <w:sz w:val="20"/>
          <w:szCs w:val="20"/>
        </w:rPr>
      </w:pPr>
      <w:r w:rsidRPr="008B6A75">
        <w:rPr>
          <w:sz w:val="20"/>
          <w:szCs w:val="20"/>
        </w:rPr>
        <w:lastRenderedPageBreak/>
        <w:t>Оповещение о начале общественных обсуждений (Куйбышевский район, пос. Заречный, ул. Озерная)</w:t>
      </w:r>
    </w:p>
    <w:p w14:paraId="0C3F123A" w14:textId="77777777" w:rsidR="000A3BFF" w:rsidRPr="008B6A75" w:rsidRDefault="000A3BFF" w:rsidP="000A3BFF">
      <w:pPr>
        <w:shd w:val="clear" w:color="auto" w:fill="FFFFFF"/>
        <w:tabs>
          <w:tab w:val="left" w:pos="-4962"/>
          <w:tab w:val="left" w:pos="3780"/>
        </w:tabs>
        <w:ind w:firstLine="735"/>
        <w:jc w:val="center"/>
        <w:rPr>
          <w:sz w:val="20"/>
          <w:szCs w:val="20"/>
        </w:rPr>
      </w:pPr>
    </w:p>
    <w:p w14:paraId="6AAAF763" w14:textId="77777777" w:rsidR="000A3BFF" w:rsidRPr="008B6A75" w:rsidRDefault="000A3BFF" w:rsidP="000A3BFF">
      <w:pPr>
        <w:shd w:val="clear" w:color="auto" w:fill="FFFFFF"/>
        <w:tabs>
          <w:tab w:val="left" w:leader="dot" w:pos="-4962"/>
        </w:tabs>
        <w:jc w:val="both"/>
        <w:rPr>
          <w:sz w:val="20"/>
          <w:szCs w:val="20"/>
        </w:rPr>
      </w:pPr>
      <w:r w:rsidRPr="008B6A75">
        <w:rPr>
          <w:sz w:val="20"/>
          <w:szCs w:val="20"/>
        </w:rPr>
        <w:t xml:space="preserve">         В соответствии с Порядком организации и проведения в Куйбышевском муниципальном районе Новосибирской области общественных обсуждений в соответствии с законодательством о градостроительной деятельности, на основании постановления Главы Куйбышевского муниципального района Новосибирской области от 03.11.2022 № 861 «О проведении общественных обсуждений по проекту решения о предоставлении разрешения на условно разрешенный вид использования земельного участка»</w:t>
      </w:r>
      <w:r w:rsidRPr="008B6A75">
        <w:rPr>
          <w:rFonts w:eastAsia="Calibri"/>
          <w:color w:val="000000"/>
          <w:sz w:val="20"/>
          <w:szCs w:val="20"/>
          <w:lang w:eastAsia="en-US"/>
        </w:rPr>
        <w:t>, сообщаем о начале общественных обсуждений по проекту</w:t>
      </w:r>
      <w:r w:rsidRPr="008B6A75">
        <w:rPr>
          <w:sz w:val="20"/>
          <w:szCs w:val="20"/>
        </w:rPr>
        <w:t xml:space="preserve"> решения о предоставлении разрешения на условно разрешенный вид использования земельного участка с кадастровым номером 54:34:010101:760, площадью 1000 </w:t>
      </w:r>
      <w:proofErr w:type="spellStart"/>
      <w:r w:rsidRPr="008B6A75">
        <w:rPr>
          <w:sz w:val="20"/>
          <w:szCs w:val="20"/>
        </w:rPr>
        <w:t>кв.м</w:t>
      </w:r>
      <w:proofErr w:type="spellEnd"/>
      <w:r w:rsidRPr="008B6A75">
        <w:rPr>
          <w:sz w:val="20"/>
          <w:szCs w:val="20"/>
        </w:rPr>
        <w:t xml:space="preserve">, расположенного по адресу (местоположение): Новосибирская область, Куйбышевский район, п. Заречный, ул. Озерная, в </w:t>
      </w:r>
      <w:r w:rsidRPr="008B6A75">
        <w:rPr>
          <w:rFonts w:eastAsia="Calibri"/>
          <w:color w:val="000000"/>
          <w:sz w:val="20"/>
          <w:szCs w:val="20"/>
          <w:lang w:eastAsia="en-US"/>
        </w:rPr>
        <w:t>зоне производственной инфраструктуры (П).</w:t>
      </w:r>
    </w:p>
    <w:p w14:paraId="3BE17345" w14:textId="77777777" w:rsidR="000A3BFF" w:rsidRPr="008B6A75" w:rsidRDefault="000A3BFF" w:rsidP="000A3BFF">
      <w:pPr>
        <w:shd w:val="clear" w:color="auto" w:fill="FFFFFF"/>
        <w:tabs>
          <w:tab w:val="left" w:leader="dot" w:pos="-4962"/>
        </w:tabs>
        <w:jc w:val="both"/>
        <w:rPr>
          <w:sz w:val="20"/>
          <w:szCs w:val="20"/>
        </w:rPr>
      </w:pPr>
      <w:r w:rsidRPr="008B6A75">
        <w:rPr>
          <w:rFonts w:eastAsia="Calibri"/>
          <w:color w:val="000000"/>
          <w:sz w:val="20"/>
          <w:szCs w:val="20"/>
          <w:lang w:eastAsia="en-US"/>
        </w:rPr>
        <w:t xml:space="preserve"> </w:t>
      </w:r>
    </w:p>
    <w:p w14:paraId="531003E5" w14:textId="77777777" w:rsidR="000A3BFF" w:rsidRPr="008B6A75" w:rsidRDefault="000A3BFF" w:rsidP="000A3BFF">
      <w:pPr>
        <w:shd w:val="clear" w:color="auto" w:fill="FFFFFF"/>
        <w:tabs>
          <w:tab w:val="left" w:leader="dot" w:pos="-4962"/>
        </w:tabs>
        <w:rPr>
          <w:sz w:val="20"/>
          <w:szCs w:val="20"/>
        </w:rPr>
      </w:pPr>
      <w:r w:rsidRPr="008B6A75">
        <w:rPr>
          <w:sz w:val="20"/>
          <w:szCs w:val="20"/>
        </w:rPr>
        <w:t>Информационный материал по проекту планировки территории:</w:t>
      </w:r>
    </w:p>
    <w:p w14:paraId="28723C43" w14:textId="77777777" w:rsidR="000A3BFF" w:rsidRPr="008B6A75" w:rsidRDefault="000A3BFF" w:rsidP="000A3BFF">
      <w:pPr>
        <w:contextualSpacing/>
        <w:jc w:val="both"/>
        <w:outlineLvl w:val="0"/>
        <w:rPr>
          <w:sz w:val="20"/>
          <w:szCs w:val="20"/>
        </w:rPr>
      </w:pPr>
      <w:r w:rsidRPr="008B6A75">
        <w:rPr>
          <w:sz w:val="20"/>
          <w:szCs w:val="20"/>
        </w:rPr>
        <w:t xml:space="preserve">Земельный участок: 54:34:010101:760 (Выписка из Единого реестра недвижимости об объекте недвижимости)   </w:t>
      </w:r>
    </w:p>
    <w:p w14:paraId="417EA889" w14:textId="77777777" w:rsidR="000A3BFF" w:rsidRPr="008B6A75" w:rsidRDefault="000A3BFF" w:rsidP="000A3BFF">
      <w:pPr>
        <w:contextualSpacing/>
        <w:jc w:val="both"/>
        <w:outlineLvl w:val="0"/>
        <w:rPr>
          <w:sz w:val="20"/>
          <w:szCs w:val="20"/>
        </w:rPr>
      </w:pPr>
      <w:r w:rsidRPr="008B6A75">
        <w:rPr>
          <w:sz w:val="20"/>
          <w:szCs w:val="20"/>
        </w:rPr>
        <w:t>Местоположение: Новосибирская область, Куйбышевский район п. Заречный, ул. Озерная</w:t>
      </w:r>
    </w:p>
    <w:p w14:paraId="33147393" w14:textId="77777777" w:rsidR="000A3BFF" w:rsidRPr="008B6A75" w:rsidRDefault="000A3BFF" w:rsidP="000A3BFF">
      <w:pPr>
        <w:contextualSpacing/>
        <w:jc w:val="both"/>
        <w:outlineLvl w:val="0"/>
        <w:rPr>
          <w:sz w:val="20"/>
          <w:szCs w:val="20"/>
        </w:rPr>
      </w:pPr>
      <w:r w:rsidRPr="008B6A75">
        <w:rPr>
          <w:sz w:val="20"/>
          <w:szCs w:val="20"/>
        </w:rPr>
        <w:t>Площадь 0,10 га</w:t>
      </w:r>
    </w:p>
    <w:p w14:paraId="32A2A625" w14:textId="77777777" w:rsidR="000A3BFF" w:rsidRPr="008B6A75" w:rsidRDefault="000A3BFF" w:rsidP="000A3BFF">
      <w:pPr>
        <w:contextualSpacing/>
        <w:jc w:val="both"/>
        <w:outlineLvl w:val="0"/>
        <w:rPr>
          <w:sz w:val="20"/>
          <w:szCs w:val="20"/>
        </w:rPr>
      </w:pPr>
      <w:r w:rsidRPr="008B6A75">
        <w:rPr>
          <w:sz w:val="20"/>
          <w:szCs w:val="20"/>
        </w:rPr>
        <w:t xml:space="preserve">Вид права: собственность    </w:t>
      </w:r>
    </w:p>
    <w:p w14:paraId="24CCA7D2" w14:textId="77777777" w:rsidR="000A3BFF" w:rsidRPr="008B6A75" w:rsidRDefault="000A3BFF" w:rsidP="000A3BFF">
      <w:pPr>
        <w:contextualSpacing/>
        <w:jc w:val="both"/>
        <w:outlineLvl w:val="0"/>
        <w:rPr>
          <w:sz w:val="20"/>
          <w:szCs w:val="20"/>
        </w:rPr>
      </w:pPr>
      <w:r w:rsidRPr="008B6A75">
        <w:rPr>
          <w:sz w:val="20"/>
          <w:szCs w:val="20"/>
        </w:rPr>
        <w:t>Зонирование: зона производственной инфраструктуры (П)</w:t>
      </w:r>
    </w:p>
    <w:p w14:paraId="5A4ED69D" w14:textId="77777777" w:rsidR="000A3BFF" w:rsidRPr="008B6A75" w:rsidRDefault="000A3BFF" w:rsidP="000A3BFF">
      <w:pPr>
        <w:autoSpaceDE w:val="0"/>
        <w:autoSpaceDN w:val="0"/>
        <w:adjustRightInd w:val="0"/>
        <w:jc w:val="both"/>
        <w:rPr>
          <w:sz w:val="20"/>
          <w:szCs w:val="20"/>
        </w:rPr>
      </w:pPr>
      <w:r w:rsidRPr="008B6A75">
        <w:rPr>
          <w:sz w:val="20"/>
          <w:szCs w:val="20"/>
        </w:rPr>
        <w:t xml:space="preserve">Запрос: О предоставлении разрешения на условно разрешенный вид использования земельного участка </w:t>
      </w:r>
      <w:proofErr w:type="gramStart"/>
      <w:r w:rsidRPr="008B6A75">
        <w:rPr>
          <w:sz w:val="20"/>
          <w:szCs w:val="20"/>
        </w:rPr>
        <w:t>Для</w:t>
      </w:r>
      <w:proofErr w:type="gramEnd"/>
      <w:r w:rsidRPr="008B6A75">
        <w:rPr>
          <w:sz w:val="20"/>
          <w:szCs w:val="20"/>
        </w:rPr>
        <w:t xml:space="preserve"> индивидуального жилищного строительства</w:t>
      </w:r>
      <w:r w:rsidRPr="008B6A75">
        <w:rPr>
          <w:color w:val="000000"/>
          <w:sz w:val="20"/>
          <w:szCs w:val="20"/>
        </w:rPr>
        <w:t xml:space="preserve"> </w:t>
      </w:r>
      <w:hyperlink r:id="rId44" w:history="1">
        <w:r w:rsidRPr="008B6A75">
          <w:rPr>
            <w:color w:val="000000"/>
            <w:sz w:val="20"/>
            <w:szCs w:val="20"/>
          </w:rPr>
          <w:t>(2.1)</w:t>
        </w:r>
      </w:hyperlink>
    </w:p>
    <w:p w14:paraId="1D8C2F23" w14:textId="77777777" w:rsidR="000A3BFF" w:rsidRPr="008B6A75" w:rsidRDefault="000A3BFF" w:rsidP="000A3BFF">
      <w:pPr>
        <w:pStyle w:val="formattext"/>
        <w:shd w:val="clear" w:color="auto" w:fill="FFFFFF"/>
        <w:spacing w:before="0" w:beforeAutospacing="0" w:after="0" w:afterAutospacing="0"/>
        <w:ind w:firstLine="709"/>
        <w:jc w:val="both"/>
        <w:textAlignment w:val="baseline"/>
        <w:rPr>
          <w:sz w:val="20"/>
          <w:szCs w:val="20"/>
        </w:rPr>
      </w:pPr>
      <w:r w:rsidRPr="008B6A75">
        <w:rPr>
          <w:sz w:val="20"/>
          <w:szCs w:val="20"/>
        </w:rPr>
        <w:t xml:space="preserve">Планируется: Земельный участок планируется оформить для строительства индивидуального жилого дома. </w:t>
      </w:r>
    </w:p>
    <w:p w14:paraId="25F90CFC" w14:textId="77777777" w:rsidR="000A3BFF" w:rsidRPr="008B6A75" w:rsidRDefault="000A3BFF" w:rsidP="000A3BFF">
      <w:pPr>
        <w:pStyle w:val="formattext"/>
        <w:shd w:val="clear" w:color="auto" w:fill="FFFFFF"/>
        <w:spacing w:before="0" w:beforeAutospacing="0" w:after="0" w:afterAutospacing="0"/>
        <w:ind w:firstLine="709"/>
        <w:jc w:val="both"/>
        <w:textAlignment w:val="baseline"/>
        <w:rPr>
          <w:sz w:val="20"/>
          <w:szCs w:val="20"/>
        </w:rPr>
      </w:pPr>
    </w:p>
    <w:p w14:paraId="5E73ED05" w14:textId="77777777" w:rsidR="000A3BFF" w:rsidRPr="008B6A75" w:rsidRDefault="000A3BFF" w:rsidP="000A3BFF">
      <w:pPr>
        <w:ind w:firstLine="708"/>
        <w:jc w:val="both"/>
        <w:rPr>
          <w:sz w:val="20"/>
          <w:szCs w:val="20"/>
        </w:rPr>
      </w:pPr>
      <w:r w:rsidRPr="008B6A75">
        <w:rPr>
          <w:sz w:val="20"/>
          <w:szCs w:val="20"/>
        </w:rPr>
        <w:t xml:space="preserve">Срок и порядок проведения общественных обсуждений по проекту: </w:t>
      </w:r>
    </w:p>
    <w:p w14:paraId="2058D1FA" w14:textId="77777777" w:rsidR="000A3BFF" w:rsidRPr="008B6A75" w:rsidRDefault="000A3BFF" w:rsidP="000A3BFF">
      <w:pPr>
        <w:ind w:firstLine="708"/>
        <w:rPr>
          <w:sz w:val="20"/>
          <w:szCs w:val="20"/>
        </w:rPr>
      </w:pPr>
      <w:r w:rsidRPr="008B6A75">
        <w:rPr>
          <w:sz w:val="20"/>
          <w:szCs w:val="20"/>
        </w:rPr>
        <w:t>с 07.11.2022 по 21.11.2022</w:t>
      </w:r>
    </w:p>
    <w:p w14:paraId="0A7C32A6" w14:textId="77777777" w:rsidR="000A3BFF" w:rsidRPr="008B6A75" w:rsidRDefault="000A3BFF" w:rsidP="000A3BFF">
      <w:pPr>
        <w:autoSpaceDE w:val="0"/>
        <w:autoSpaceDN w:val="0"/>
        <w:adjustRightInd w:val="0"/>
        <w:ind w:firstLine="540"/>
        <w:jc w:val="both"/>
        <w:rPr>
          <w:sz w:val="20"/>
          <w:szCs w:val="20"/>
        </w:rPr>
      </w:pPr>
      <w:r w:rsidRPr="008B6A75">
        <w:rPr>
          <w:sz w:val="20"/>
          <w:szCs w:val="20"/>
        </w:rPr>
        <w:t xml:space="preserve">  В течение всего периода размещения проекта, подлежащего рассмотрению на общественных слушаниях, и информационных материалов к нему проводятся экспозиция проекта. В ходе работы экспозиции осуществляется консультирование посетителей экспозиции, распространение информационных материалов о проекте, подлежащем рассмотрению на общественных обсуждениях. Консультирование посетителей экспозиции осуществляется представителями уполномоченного на проведение общественных обсуждений администрации Куйбышевского района или разработчика проекта, подлежащего рассмотрению на общественных обсуждениях.</w:t>
      </w:r>
    </w:p>
    <w:p w14:paraId="59AFC113" w14:textId="77777777" w:rsidR="000A3BFF" w:rsidRPr="008B6A75" w:rsidRDefault="000A3BFF" w:rsidP="000A3BFF">
      <w:pPr>
        <w:autoSpaceDE w:val="0"/>
        <w:autoSpaceDN w:val="0"/>
        <w:adjustRightInd w:val="0"/>
        <w:ind w:firstLine="539"/>
        <w:jc w:val="both"/>
        <w:rPr>
          <w:sz w:val="20"/>
          <w:szCs w:val="20"/>
        </w:rPr>
      </w:pPr>
      <w:r w:rsidRPr="008B6A75">
        <w:rPr>
          <w:sz w:val="20"/>
          <w:szCs w:val="20"/>
        </w:rPr>
        <w:t xml:space="preserve">Участники общественных </w:t>
      </w:r>
      <w:proofErr w:type="gramStart"/>
      <w:r w:rsidRPr="008B6A75">
        <w:rPr>
          <w:sz w:val="20"/>
          <w:szCs w:val="20"/>
        </w:rPr>
        <w:t>обсуждениях  имеют</w:t>
      </w:r>
      <w:proofErr w:type="gramEnd"/>
      <w:r w:rsidRPr="008B6A75">
        <w:rPr>
          <w:sz w:val="20"/>
          <w:szCs w:val="20"/>
        </w:rPr>
        <w:t xml:space="preserve"> право вносить предложения и замечания, касающиеся проекта.</w:t>
      </w:r>
    </w:p>
    <w:p w14:paraId="468EEDA3" w14:textId="77777777" w:rsidR="000A3BFF" w:rsidRPr="008B6A75" w:rsidRDefault="000A3BFF" w:rsidP="000A3BFF">
      <w:pPr>
        <w:autoSpaceDE w:val="0"/>
        <w:autoSpaceDN w:val="0"/>
        <w:adjustRightInd w:val="0"/>
        <w:ind w:firstLine="539"/>
        <w:jc w:val="both"/>
        <w:rPr>
          <w:sz w:val="20"/>
          <w:szCs w:val="20"/>
        </w:rPr>
      </w:pPr>
    </w:p>
    <w:p w14:paraId="743F6A17" w14:textId="77777777" w:rsidR="000A3BFF" w:rsidRPr="008B6A75" w:rsidRDefault="000A3BFF" w:rsidP="000A3BFF">
      <w:pPr>
        <w:ind w:firstLine="708"/>
        <w:jc w:val="both"/>
        <w:rPr>
          <w:sz w:val="20"/>
          <w:szCs w:val="20"/>
        </w:rPr>
      </w:pPr>
      <w:r w:rsidRPr="008B6A75">
        <w:rPr>
          <w:sz w:val="20"/>
          <w:szCs w:val="20"/>
        </w:rPr>
        <w:t xml:space="preserve">Экспозиция по проекту будет открыта по адресу: Новосибирская область, г. Куйбышев, ул. </w:t>
      </w:r>
      <w:proofErr w:type="spellStart"/>
      <w:r w:rsidRPr="008B6A75">
        <w:rPr>
          <w:sz w:val="20"/>
          <w:szCs w:val="20"/>
        </w:rPr>
        <w:t>Краскома</w:t>
      </w:r>
      <w:proofErr w:type="spellEnd"/>
      <w:r w:rsidRPr="008B6A75">
        <w:rPr>
          <w:sz w:val="20"/>
          <w:szCs w:val="20"/>
        </w:rPr>
        <w:t xml:space="preserve">, 37, </w:t>
      </w:r>
      <w:proofErr w:type="spellStart"/>
      <w:r w:rsidRPr="008B6A75">
        <w:rPr>
          <w:sz w:val="20"/>
          <w:szCs w:val="20"/>
        </w:rPr>
        <w:t>каб</w:t>
      </w:r>
      <w:proofErr w:type="spellEnd"/>
      <w:r w:rsidRPr="008B6A75">
        <w:rPr>
          <w:sz w:val="20"/>
          <w:szCs w:val="20"/>
        </w:rPr>
        <w:t xml:space="preserve"> № 39  </w:t>
      </w:r>
    </w:p>
    <w:p w14:paraId="3FD5F96E" w14:textId="77777777" w:rsidR="000A3BFF" w:rsidRPr="008B6A75" w:rsidRDefault="000A3BFF" w:rsidP="000A3BFF">
      <w:pPr>
        <w:ind w:firstLine="708"/>
        <w:jc w:val="both"/>
        <w:rPr>
          <w:sz w:val="20"/>
          <w:szCs w:val="20"/>
        </w:rPr>
      </w:pPr>
      <w:r w:rsidRPr="008B6A75">
        <w:rPr>
          <w:sz w:val="20"/>
          <w:szCs w:val="20"/>
        </w:rPr>
        <w:t xml:space="preserve">Дата открытия экспозиции проекта </w:t>
      </w:r>
      <w:r w:rsidRPr="008B6A75">
        <w:rPr>
          <w:color w:val="000000"/>
          <w:sz w:val="20"/>
          <w:szCs w:val="20"/>
        </w:rPr>
        <w:t>с 14</w:t>
      </w:r>
      <w:r w:rsidRPr="008B6A75">
        <w:rPr>
          <w:sz w:val="20"/>
          <w:szCs w:val="20"/>
        </w:rPr>
        <w:t xml:space="preserve">.11.2022 </w:t>
      </w:r>
    </w:p>
    <w:p w14:paraId="0ECEBB38" w14:textId="77777777" w:rsidR="000A3BFF" w:rsidRPr="008B6A75" w:rsidRDefault="000A3BFF" w:rsidP="000A3BFF">
      <w:pPr>
        <w:ind w:firstLine="708"/>
        <w:jc w:val="both"/>
        <w:rPr>
          <w:sz w:val="20"/>
          <w:szCs w:val="20"/>
        </w:rPr>
      </w:pPr>
      <w:r w:rsidRPr="008B6A75">
        <w:rPr>
          <w:sz w:val="20"/>
          <w:szCs w:val="20"/>
        </w:rPr>
        <w:t xml:space="preserve">График работы экспозиции: </w:t>
      </w:r>
      <w:proofErr w:type="gramStart"/>
      <w:r w:rsidRPr="008B6A75">
        <w:rPr>
          <w:sz w:val="20"/>
          <w:szCs w:val="20"/>
        </w:rPr>
        <w:t>с  8.00</w:t>
      </w:r>
      <w:proofErr w:type="gramEnd"/>
      <w:r w:rsidRPr="008B6A75">
        <w:rPr>
          <w:sz w:val="20"/>
          <w:szCs w:val="20"/>
        </w:rPr>
        <w:t xml:space="preserve">  до  12.00</w:t>
      </w:r>
    </w:p>
    <w:p w14:paraId="2BF1070C" w14:textId="77777777" w:rsidR="000A3BFF" w:rsidRPr="008B6A75" w:rsidRDefault="000A3BFF" w:rsidP="000A3BFF">
      <w:pPr>
        <w:ind w:firstLine="708"/>
        <w:rPr>
          <w:sz w:val="20"/>
          <w:szCs w:val="20"/>
        </w:rPr>
      </w:pPr>
      <w:r w:rsidRPr="008B6A75">
        <w:rPr>
          <w:sz w:val="20"/>
          <w:szCs w:val="20"/>
        </w:rPr>
        <w:tab/>
      </w:r>
      <w:r w:rsidRPr="008B6A75">
        <w:rPr>
          <w:sz w:val="20"/>
          <w:szCs w:val="20"/>
        </w:rPr>
        <w:tab/>
      </w:r>
      <w:r w:rsidRPr="008B6A75">
        <w:rPr>
          <w:sz w:val="20"/>
          <w:szCs w:val="20"/>
        </w:rPr>
        <w:tab/>
      </w:r>
      <w:r w:rsidRPr="008B6A75">
        <w:rPr>
          <w:sz w:val="20"/>
          <w:szCs w:val="20"/>
        </w:rPr>
        <w:tab/>
        <w:t xml:space="preserve">                13.00 </w:t>
      </w:r>
      <w:proofErr w:type="gramStart"/>
      <w:r w:rsidRPr="008B6A75">
        <w:rPr>
          <w:sz w:val="20"/>
          <w:szCs w:val="20"/>
        </w:rPr>
        <w:t>до  16.00</w:t>
      </w:r>
      <w:proofErr w:type="gramEnd"/>
    </w:p>
    <w:p w14:paraId="58A81792" w14:textId="77777777" w:rsidR="000A3BFF" w:rsidRPr="008B6A75" w:rsidRDefault="000A3BFF" w:rsidP="000A3BFF">
      <w:pPr>
        <w:autoSpaceDE w:val="0"/>
        <w:autoSpaceDN w:val="0"/>
        <w:adjustRightInd w:val="0"/>
        <w:ind w:firstLine="539"/>
        <w:jc w:val="both"/>
        <w:rPr>
          <w:sz w:val="20"/>
          <w:szCs w:val="20"/>
        </w:rPr>
      </w:pPr>
    </w:p>
    <w:p w14:paraId="439D2F6E" w14:textId="77777777" w:rsidR="000A3BFF" w:rsidRPr="008B6A75" w:rsidRDefault="000A3BFF" w:rsidP="000A3BFF">
      <w:pPr>
        <w:autoSpaceDE w:val="0"/>
        <w:autoSpaceDN w:val="0"/>
        <w:adjustRightInd w:val="0"/>
        <w:ind w:firstLine="539"/>
        <w:jc w:val="both"/>
        <w:rPr>
          <w:sz w:val="20"/>
          <w:szCs w:val="20"/>
        </w:rPr>
      </w:pPr>
      <w:r w:rsidRPr="008B6A75">
        <w:rPr>
          <w:sz w:val="20"/>
          <w:szCs w:val="20"/>
        </w:rPr>
        <w:t xml:space="preserve">Участники общественных </w:t>
      </w:r>
      <w:proofErr w:type="gramStart"/>
      <w:r w:rsidRPr="008B6A75">
        <w:rPr>
          <w:sz w:val="20"/>
          <w:szCs w:val="20"/>
        </w:rPr>
        <w:t>обсуждений  имеют</w:t>
      </w:r>
      <w:proofErr w:type="gramEnd"/>
      <w:r w:rsidRPr="008B6A75">
        <w:rPr>
          <w:sz w:val="20"/>
          <w:szCs w:val="20"/>
        </w:rPr>
        <w:t xml:space="preserve"> право вносить предложения и замечания, касающиеся проекта:</w:t>
      </w:r>
    </w:p>
    <w:p w14:paraId="00315E50" w14:textId="77777777" w:rsidR="000A3BFF" w:rsidRPr="008B6A75" w:rsidRDefault="000A3BFF" w:rsidP="000A3BFF">
      <w:pPr>
        <w:autoSpaceDE w:val="0"/>
        <w:autoSpaceDN w:val="0"/>
        <w:adjustRightInd w:val="0"/>
        <w:ind w:firstLine="540"/>
        <w:jc w:val="both"/>
        <w:rPr>
          <w:sz w:val="20"/>
          <w:szCs w:val="20"/>
        </w:rPr>
      </w:pPr>
      <w:r w:rsidRPr="008B6A75">
        <w:rPr>
          <w:sz w:val="20"/>
          <w:szCs w:val="20"/>
        </w:rPr>
        <w:t xml:space="preserve">1) посредством государственной информационной системы Новосибирской </w:t>
      </w:r>
      <w:proofErr w:type="gramStart"/>
      <w:r w:rsidRPr="008B6A75">
        <w:rPr>
          <w:sz w:val="20"/>
          <w:szCs w:val="20"/>
        </w:rPr>
        <w:t>области  «</w:t>
      </w:r>
      <w:proofErr w:type="gramEnd"/>
      <w:r w:rsidRPr="008B6A75">
        <w:rPr>
          <w:sz w:val="20"/>
          <w:szCs w:val="20"/>
        </w:rPr>
        <w:t>Электронная демократия Новосибирской области»;</w:t>
      </w:r>
    </w:p>
    <w:p w14:paraId="00FBE441" w14:textId="77777777" w:rsidR="000A3BFF" w:rsidRPr="008B6A75" w:rsidRDefault="000A3BFF" w:rsidP="000A3BFF">
      <w:pPr>
        <w:autoSpaceDE w:val="0"/>
        <w:autoSpaceDN w:val="0"/>
        <w:adjustRightInd w:val="0"/>
        <w:ind w:firstLine="540"/>
        <w:jc w:val="both"/>
        <w:rPr>
          <w:sz w:val="20"/>
          <w:szCs w:val="20"/>
        </w:rPr>
      </w:pPr>
      <w:r w:rsidRPr="008B6A75">
        <w:rPr>
          <w:sz w:val="20"/>
          <w:szCs w:val="20"/>
        </w:rPr>
        <w:t xml:space="preserve">2) в письменной форме в адрес организатора общественных </w:t>
      </w:r>
      <w:proofErr w:type="gramStart"/>
      <w:r w:rsidRPr="008B6A75">
        <w:rPr>
          <w:sz w:val="20"/>
          <w:szCs w:val="20"/>
        </w:rPr>
        <w:t>обсуждений  (</w:t>
      </w:r>
      <w:proofErr w:type="gramEnd"/>
      <w:r w:rsidRPr="008B6A75">
        <w:rPr>
          <w:sz w:val="20"/>
          <w:szCs w:val="20"/>
        </w:rPr>
        <w:t xml:space="preserve">администрация Куйбышевского района, адрес местонахождения: Новосибирская область, г. Куйбышев, ул. </w:t>
      </w:r>
      <w:proofErr w:type="spellStart"/>
      <w:r w:rsidRPr="008B6A75">
        <w:rPr>
          <w:sz w:val="20"/>
          <w:szCs w:val="20"/>
        </w:rPr>
        <w:t>Краскома</w:t>
      </w:r>
      <w:proofErr w:type="spellEnd"/>
      <w:r w:rsidRPr="008B6A75">
        <w:rPr>
          <w:sz w:val="20"/>
          <w:szCs w:val="20"/>
        </w:rPr>
        <w:t xml:space="preserve">, 37, </w:t>
      </w:r>
      <w:proofErr w:type="spellStart"/>
      <w:r w:rsidRPr="008B6A75">
        <w:rPr>
          <w:sz w:val="20"/>
          <w:szCs w:val="20"/>
        </w:rPr>
        <w:t>каб</w:t>
      </w:r>
      <w:proofErr w:type="spellEnd"/>
      <w:r w:rsidRPr="008B6A75">
        <w:rPr>
          <w:sz w:val="20"/>
          <w:szCs w:val="20"/>
        </w:rPr>
        <w:t>. № 39);</w:t>
      </w:r>
    </w:p>
    <w:p w14:paraId="5A704623" w14:textId="77777777" w:rsidR="000A3BFF" w:rsidRPr="008B6A75" w:rsidRDefault="000A3BFF" w:rsidP="000A3BFF">
      <w:pPr>
        <w:autoSpaceDE w:val="0"/>
        <w:autoSpaceDN w:val="0"/>
        <w:adjustRightInd w:val="0"/>
        <w:ind w:firstLine="540"/>
        <w:jc w:val="both"/>
        <w:rPr>
          <w:sz w:val="20"/>
          <w:szCs w:val="20"/>
        </w:rPr>
      </w:pPr>
      <w:r w:rsidRPr="008B6A75">
        <w:rPr>
          <w:sz w:val="20"/>
          <w:szCs w:val="20"/>
        </w:rPr>
        <w:t>3) посредством записи в книге (журнале) учета посетителей экспозиции проекта, подлежащего рассмотрению на общественных обсуждениях.</w:t>
      </w:r>
    </w:p>
    <w:p w14:paraId="203FA198" w14:textId="77777777" w:rsidR="000A3BFF" w:rsidRPr="008B6A75" w:rsidRDefault="000A3BFF" w:rsidP="000A3BFF">
      <w:pPr>
        <w:autoSpaceDE w:val="0"/>
        <w:autoSpaceDN w:val="0"/>
        <w:adjustRightInd w:val="0"/>
        <w:ind w:firstLine="540"/>
        <w:jc w:val="both"/>
        <w:rPr>
          <w:sz w:val="20"/>
          <w:szCs w:val="20"/>
        </w:rPr>
      </w:pPr>
      <w:r w:rsidRPr="008B6A75">
        <w:rPr>
          <w:sz w:val="20"/>
          <w:szCs w:val="20"/>
        </w:rPr>
        <w:t>Внесенные предложения и замечания, подлежат регистрации, а также обязательному рассмотрению организатором общественных обсуждений, за исключением случая, предоставления недостоверных сведений.</w:t>
      </w:r>
    </w:p>
    <w:p w14:paraId="4426FA18" w14:textId="77777777" w:rsidR="000A3BFF" w:rsidRPr="008B6A75" w:rsidRDefault="000A3BFF" w:rsidP="000A3BFF">
      <w:pPr>
        <w:widowControl w:val="0"/>
        <w:autoSpaceDE w:val="0"/>
        <w:autoSpaceDN w:val="0"/>
        <w:adjustRightInd w:val="0"/>
        <w:ind w:firstLine="708"/>
        <w:jc w:val="both"/>
        <w:rPr>
          <w:sz w:val="20"/>
          <w:szCs w:val="20"/>
        </w:rPr>
      </w:pPr>
      <w:r w:rsidRPr="008B6A75">
        <w:rPr>
          <w:sz w:val="20"/>
          <w:szCs w:val="20"/>
        </w:rPr>
        <w:t>Сведения о месте размещения проекта решения о предоставлении разрешения на условно разрешенный вид использования земельного участка по адресу: Новосибирская область, Куйбышевский район, п. Заречный, ул. Озерная:</w:t>
      </w:r>
    </w:p>
    <w:p w14:paraId="26553533" w14:textId="77777777" w:rsidR="000A3BFF" w:rsidRPr="008B6A75" w:rsidRDefault="000A3BFF" w:rsidP="000A3BFF">
      <w:pPr>
        <w:widowControl w:val="0"/>
        <w:autoSpaceDE w:val="0"/>
        <w:autoSpaceDN w:val="0"/>
        <w:adjustRightInd w:val="0"/>
        <w:ind w:firstLine="708"/>
        <w:jc w:val="both"/>
        <w:rPr>
          <w:bCs/>
          <w:sz w:val="20"/>
          <w:szCs w:val="20"/>
        </w:rPr>
      </w:pPr>
      <w:r w:rsidRPr="008B6A75">
        <w:rPr>
          <w:sz w:val="20"/>
          <w:szCs w:val="20"/>
        </w:rPr>
        <w:t xml:space="preserve">проект решения будет </w:t>
      </w:r>
      <w:r w:rsidRPr="008B6A75">
        <w:rPr>
          <w:bCs/>
          <w:sz w:val="20"/>
          <w:szCs w:val="20"/>
        </w:rPr>
        <w:t>размещен  14.11.2022 в периодическом печатном издании органов местного самоуправления Куйбышевского муниципального района Новосибирской области «Информационный вестник»</w:t>
      </w:r>
      <w:r w:rsidRPr="008B6A75">
        <w:rPr>
          <w:bCs/>
          <w:color w:val="000000"/>
          <w:sz w:val="20"/>
          <w:szCs w:val="20"/>
        </w:rPr>
        <w:t>, на</w:t>
      </w:r>
      <w:r w:rsidRPr="008B6A75">
        <w:rPr>
          <w:bCs/>
          <w:sz w:val="20"/>
          <w:szCs w:val="20"/>
        </w:rPr>
        <w:t xml:space="preserve"> официальном сайте администрации Куйбышевского муниципального района Новосибирской области </w:t>
      </w:r>
      <w:hyperlink r:id="rId45" w:history="1">
        <w:r w:rsidRPr="008B6A75">
          <w:rPr>
            <w:rStyle w:val="afa"/>
            <w:bCs/>
            <w:sz w:val="20"/>
            <w:szCs w:val="20"/>
          </w:rPr>
          <w:t>www.kuibyshev.nso.ru</w:t>
        </w:r>
      </w:hyperlink>
      <w:r w:rsidRPr="008B6A75">
        <w:rPr>
          <w:bCs/>
          <w:sz w:val="20"/>
          <w:szCs w:val="20"/>
        </w:rPr>
        <w:t>, на информационных стендах</w:t>
      </w:r>
      <w:r w:rsidRPr="008B6A75">
        <w:rPr>
          <w:bCs/>
          <w:color w:val="000000"/>
          <w:sz w:val="20"/>
          <w:szCs w:val="20"/>
        </w:rPr>
        <w:t>,</w:t>
      </w:r>
      <w:r w:rsidRPr="008B6A75">
        <w:rPr>
          <w:bCs/>
          <w:sz w:val="20"/>
          <w:szCs w:val="20"/>
        </w:rPr>
        <w:t xml:space="preserve"> и в</w:t>
      </w:r>
      <w:r w:rsidRPr="008B6A75">
        <w:rPr>
          <w:sz w:val="20"/>
          <w:szCs w:val="20"/>
        </w:rPr>
        <w:t xml:space="preserve"> государственной информационной системе Новосибирской области  «Электронная демократия Новосибирской области» (http://www.dem.nso.ru/townplanningpage).</w:t>
      </w:r>
    </w:p>
    <w:p w14:paraId="2DE6AE22" w14:textId="77777777" w:rsidR="000A3BFF" w:rsidRPr="008B6A75" w:rsidRDefault="000A3BFF" w:rsidP="000A3BFF">
      <w:pPr>
        <w:pStyle w:val="2c"/>
        <w:shd w:val="clear" w:color="auto" w:fill="auto"/>
        <w:tabs>
          <w:tab w:val="left" w:pos="382"/>
        </w:tabs>
        <w:spacing w:after="0" w:line="240" w:lineRule="auto"/>
        <w:ind w:left="60" w:right="40"/>
        <w:jc w:val="both"/>
        <w:rPr>
          <w:sz w:val="20"/>
          <w:szCs w:val="20"/>
        </w:rPr>
      </w:pPr>
    </w:p>
    <w:p w14:paraId="05B32892" w14:textId="77777777" w:rsidR="000A3BFF" w:rsidRPr="008B6A75" w:rsidRDefault="000A3BFF" w:rsidP="000A3BFF">
      <w:pPr>
        <w:widowControl w:val="0"/>
        <w:shd w:val="clear" w:color="auto" w:fill="FFFFFF"/>
        <w:tabs>
          <w:tab w:val="left" w:pos="994"/>
        </w:tabs>
        <w:autoSpaceDE w:val="0"/>
        <w:autoSpaceDN w:val="0"/>
        <w:adjustRightInd w:val="0"/>
        <w:ind w:left="-26" w:firstLine="26"/>
        <w:rPr>
          <w:sz w:val="20"/>
          <w:szCs w:val="20"/>
        </w:rPr>
      </w:pPr>
    </w:p>
    <w:p w14:paraId="452810D3" w14:textId="77777777" w:rsidR="000A3BFF" w:rsidRPr="008B6A75" w:rsidRDefault="000A3BFF" w:rsidP="000A3BFF">
      <w:pPr>
        <w:widowControl w:val="0"/>
        <w:shd w:val="clear" w:color="auto" w:fill="FFFFFF"/>
        <w:tabs>
          <w:tab w:val="left" w:pos="994"/>
        </w:tabs>
        <w:autoSpaceDE w:val="0"/>
        <w:autoSpaceDN w:val="0"/>
        <w:adjustRightInd w:val="0"/>
        <w:ind w:left="-26" w:firstLine="26"/>
        <w:rPr>
          <w:sz w:val="20"/>
          <w:szCs w:val="20"/>
        </w:rPr>
      </w:pPr>
    </w:p>
    <w:p w14:paraId="2D1A59CD" w14:textId="77777777" w:rsidR="000A3BFF" w:rsidRPr="008B6A75" w:rsidRDefault="000A3BFF" w:rsidP="000A3BFF">
      <w:pPr>
        <w:widowControl w:val="0"/>
        <w:shd w:val="clear" w:color="auto" w:fill="FFFFFF"/>
        <w:tabs>
          <w:tab w:val="left" w:pos="994"/>
        </w:tabs>
        <w:autoSpaceDE w:val="0"/>
        <w:autoSpaceDN w:val="0"/>
        <w:adjustRightInd w:val="0"/>
        <w:ind w:left="-26" w:firstLine="26"/>
        <w:rPr>
          <w:sz w:val="20"/>
          <w:szCs w:val="20"/>
        </w:rPr>
      </w:pPr>
    </w:p>
    <w:p w14:paraId="66F3DD92" w14:textId="77777777" w:rsidR="000A3BFF" w:rsidRPr="008B6A75" w:rsidRDefault="000A3BFF" w:rsidP="000A3BFF">
      <w:pPr>
        <w:widowControl w:val="0"/>
        <w:shd w:val="clear" w:color="auto" w:fill="FFFFFF"/>
        <w:tabs>
          <w:tab w:val="left" w:pos="994"/>
        </w:tabs>
        <w:autoSpaceDE w:val="0"/>
        <w:autoSpaceDN w:val="0"/>
        <w:adjustRightInd w:val="0"/>
        <w:ind w:left="-26" w:firstLine="26"/>
        <w:rPr>
          <w:sz w:val="20"/>
          <w:szCs w:val="20"/>
        </w:rPr>
      </w:pPr>
    </w:p>
    <w:p w14:paraId="34880A8C" w14:textId="77777777" w:rsidR="000A3BFF" w:rsidRPr="008B6A75" w:rsidRDefault="000A3BFF" w:rsidP="000A3BFF">
      <w:pPr>
        <w:widowControl w:val="0"/>
        <w:shd w:val="clear" w:color="auto" w:fill="FFFFFF"/>
        <w:tabs>
          <w:tab w:val="left" w:pos="994"/>
        </w:tabs>
        <w:autoSpaceDE w:val="0"/>
        <w:autoSpaceDN w:val="0"/>
        <w:adjustRightInd w:val="0"/>
        <w:ind w:left="-26" w:firstLine="26"/>
        <w:rPr>
          <w:sz w:val="20"/>
          <w:szCs w:val="20"/>
        </w:rPr>
      </w:pPr>
    </w:p>
    <w:p w14:paraId="620974E6" w14:textId="77777777" w:rsidR="000A3BFF" w:rsidRPr="008B6A75" w:rsidRDefault="000A3BFF" w:rsidP="000A3BFF">
      <w:pPr>
        <w:widowControl w:val="0"/>
        <w:shd w:val="clear" w:color="auto" w:fill="FFFFFF"/>
        <w:tabs>
          <w:tab w:val="left" w:pos="994"/>
        </w:tabs>
        <w:autoSpaceDE w:val="0"/>
        <w:autoSpaceDN w:val="0"/>
        <w:adjustRightInd w:val="0"/>
        <w:ind w:left="-26" w:firstLine="26"/>
        <w:rPr>
          <w:sz w:val="20"/>
          <w:szCs w:val="20"/>
        </w:rPr>
      </w:pPr>
    </w:p>
    <w:p w14:paraId="48A264BA" w14:textId="77777777" w:rsidR="00662A1C" w:rsidRPr="008B6A75" w:rsidRDefault="00662A1C" w:rsidP="00CD0961">
      <w:pPr>
        <w:rPr>
          <w:sz w:val="20"/>
          <w:szCs w:val="20"/>
        </w:rPr>
      </w:pPr>
    </w:p>
    <w:p w14:paraId="18FEFC67" w14:textId="77777777" w:rsidR="00662A1C" w:rsidRPr="008B6A75" w:rsidRDefault="00662A1C" w:rsidP="00CD0961">
      <w:pPr>
        <w:rPr>
          <w:sz w:val="20"/>
          <w:szCs w:val="20"/>
        </w:rPr>
      </w:pPr>
    </w:p>
    <w:p w14:paraId="0925C42D" w14:textId="77777777" w:rsidR="00662A1C" w:rsidRPr="008B6A75" w:rsidRDefault="00662A1C" w:rsidP="00CD0961">
      <w:pPr>
        <w:rPr>
          <w:sz w:val="20"/>
          <w:szCs w:val="20"/>
        </w:rPr>
      </w:pPr>
    </w:p>
    <w:p w14:paraId="08E3B423" w14:textId="77777777" w:rsidR="00662A1C" w:rsidRPr="008B6A75" w:rsidRDefault="00662A1C" w:rsidP="00CD0961">
      <w:pPr>
        <w:rPr>
          <w:sz w:val="20"/>
          <w:szCs w:val="20"/>
        </w:rPr>
      </w:pPr>
    </w:p>
    <w:p w14:paraId="228268A0" w14:textId="77777777" w:rsidR="00662A1C" w:rsidRPr="008B6A75" w:rsidRDefault="00662A1C" w:rsidP="00CD0961">
      <w:pPr>
        <w:rPr>
          <w:sz w:val="20"/>
          <w:szCs w:val="20"/>
        </w:rPr>
      </w:pPr>
    </w:p>
    <w:p w14:paraId="7FF487A8" w14:textId="77777777" w:rsidR="00662A1C" w:rsidRPr="008B6A75" w:rsidRDefault="00662A1C" w:rsidP="00CD0961">
      <w:pPr>
        <w:rPr>
          <w:sz w:val="20"/>
          <w:szCs w:val="20"/>
        </w:rPr>
      </w:pPr>
    </w:p>
    <w:p w14:paraId="63052773" w14:textId="77777777" w:rsidR="00662A1C" w:rsidRPr="008B6A75" w:rsidRDefault="00662A1C" w:rsidP="00CD0961">
      <w:pPr>
        <w:rPr>
          <w:sz w:val="20"/>
          <w:szCs w:val="20"/>
        </w:rPr>
      </w:pPr>
    </w:p>
    <w:p w14:paraId="57C74483" w14:textId="77777777" w:rsidR="00662A1C" w:rsidRPr="008B6A75" w:rsidRDefault="00662A1C" w:rsidP="00CD0961">
      <w:pPr>
        <w:rPr>
          <w:sz w:val="20"/>
          <w:szCs w:val="20"/>
        </w:rPr>
      </w:pPr>
    </w:p>
    <w:p w14:paraId="129C3859" w14:textId="77777777" w:rsidR="00662A1C" w:rsidRPr="008B6A75" w:rsidRDefault="00662A1C" w:rsidP="00CD0961">
      <w:pPr>
        <w:rPr>
          <w:sz w:val="20"/>
          <w:szCs w:val="20"/>
        </w:rPr>
      </w:pPr>
    </w:p>
    <w:p w14:paraId="0E2A713F" w14:textId="77777777" w:rsidR="00662A1C" w:rsidRPr="008B6A75" w:rsidRDefault="00662A1C" w:rsidP="00CD0961">
      <w:pPr>
        <w:rPr>
          <w:sz w:val="20"/>
          <w:szCs w:val="20"/>
        </w:rPr>
      </w:pPr>
    </w:p>
    <w:p w14:paraId="1D15BFB6" w14:textId="77777777" w:rsidR="00662A1C" w:rsidRPr="008B6A75" w:rsidRDefault="00662A1C" w:rsidP="00CD0961">
      <w:pPr>
        <w:rPr>
          <w:sz w:val="20"/>
          <w:szCs w:val="20"/>
        </w:rPr>
      </w:pPr>
    </w:p>
    <w:p w14:paraId="666867DE" w14:textId="77777777" w:rsidR="00662A1C" w:rsidRPr="008B6A75" w:rsidRDefault="00662A1C" w:rsidP="00CD0961">
      <w:pPr>
        <w:rPr>
          <w:sz w:val="20"/>
          <w:szCs w:val="20"/>
        </w:rPr>
      </w:pPr>
    </w:p>
    <w:p w14:paraId="4E65A16D" w14:textId="77777777" w:rsidR="00662A1C" w:rsidRPr="008B6A75" w:rsidRDefault="00662A1C" w:rsidP="00CD0961">
      <w:pPr>
        <w:rPr>
          <w:sz w:val="20"/>
          <w:szCs w:val="20"/>
        </w:rPr>
      </w:pPr>
    </w:p>
    <w:p w14:paraId="2BEEB8CD" w14:textId="77777777" w:rsidR="00662A1C" w:rsidRPr="008B6A75" w:rsidRDefault="00662A1C" w:rsidP="00CD0961">
      <w:pPr>
        <w:rPr>
          <w:sz w:val="20"/>
          <w:szCs w:val="20"/>
        </w:rPr>
      </w:pPr>
    </w:p>
    <w:p w14:paraId="74FBAEF6" w14:textId="0EBF6D8B" w:rsidR="001D3D6D" w:rsidRPr="008B6A75" w:rsidRDefault="000F1474" w:rsidP="00267FB0">
      <w:pPr>
        <w:jc w:val="center"/>
        <w:rPr>
          <w:sz w:val="20"/>
          <w:szCs w:val="20"/>
        </w:rPr>
      </w:pPr>
      <w:r w:rsidRPr="008B6A75">
        <w:rPr>
          <w:sz w:val="20"/>
          <w:szCs w:val="20"/>
        </w:rPr>
        <w:t>Р</w:t>
      </w:r>
      <w:r w:rsidR="001D3D6D" w:rsidRPr="008B6A75">
        <w:rPr>
          <w:sz w:val="20"/>
          <w:szCs w:val="20"/>
        </w:rPr>
        <w:t>едакционный совет:</w:t>
      </w:r>
    </w:p>
    <w:p w14:paraId="767419DC" w14:textId="77777777" w:rsidR="001D3D6D" w:rsidRPr="008B6A75" w:rsidRDefault="001D3D6D" w:rsidP="00267FB0">
      <w:pPr>
        <w:jc w:val="center"/>
        <w:rPr>
          <w:sz w:val="20"/>
          <w:szCs w:val="20"/>
        </w:rPr>
      </w:pPr>
    </w:p>
    <w:p w14:paraId="5F110EEC" w14:textId="77777777" w:rsidR="001D3D6D" w:rsidRPr="008B6A75" w:rsidRDefault="001D3D6D" w:rsidP="00267FB0">
      <w:pPr>
        <w:jc w:val="center"/>
        <w:rPr>
          <w:sz w:val="20"/>
          <w:szCs w:val="20"/>
        </w:rPr>
      </w:pPr>
      <w:r w:rsidRPr="008B6A75">
        <w:rPr>
          <w:sz w:val="20"/>
          <w:szCs w:val="20"/>
        </w:rPr>
        <w:t>Орлова Л.В.</w:t>
      </w:r>
    </w:p>
    <w:p w14:paraId="2C765345" w14:textId="77777777" w:rsidR="001D3D6D" w:rsidRPr="008B6A75" w:rsidRDefault="001D3D6D" w:rsidP="00267FB0">
      <w:pPr>
        <w:jc w:val="center"/>
        <w:rPr>
          <w:sz w:val="20"/>
          <w:szCs w:val="20"/>
        </w:rPr>
      </w:pPr>
      <w:r w:rsidRPr="008B6A75">
        <w:rPr>
          <w:sz w:val="20"/>
          <w:szCs w:val="20"/>
        </w:rPr>
        <w:t>(председатель редакционного совета)</w:t>
      </w:r>
    </w:p>
    <w:p w14:paraId="5265483F" w14:textId="77777777" w:rsidR="001D3D6D" w:rsidRPr="008B6A75" w:rsidRDefault="001D3D6D" w:rsidP="00267FB0">
      <w:pPr>
        <w:jc w:val="center"/>
        <w:rPr>
          <w:sz w:val="20"/>
          <w:szCs w:val="20"/>
        </w:rPr>
      </w:pPr>
    </w:p>
    <w:p w14:paraId="12916BFC" w14:textId="77777777" w:rsidR="001D3D6D" w:rsidRPr="008B6A75" w:rsidRDefault="001D3D6D" w:rsidP="00267FB0">
      <w:pPr>
        <w:jc w:val="center"/>
        <w:rPr>
          <w:sz w:val="20"/>
          <w:szCs w:val="20"/>
        </w:rPr>
      </w:pPr>
      <w:proofErr w:type="spellStart"/>
      <w:r w:rsidRPr="008B6A75">
        <w:rPr>
          <w:sz w:val="20"/>
          <w:szCs w:val="20"/>
        </w:rPr>
        <w:t>Булюктов</w:t>
      </w:r>
      <w:proofErr w:type="spellEnd"/>
      <w:r w:rsidRPr="008B6A75">
        <w:rPr>
          <w:sz w:val="20"/>
          <w:szCs w:val="20"/>
        </w:rPr>
        <w:t xml:space="preserve"> Р.В.</w:t>
      </w:r>
    </w:p>
    <w:p w14:paraId="6FE866E1" w14:textId="77777777" w:rsidR="001D3D6D" w:rsidRPr="008B6A75" w:rsidRDefault="001D3D6D" w:rsidP="00267FB0">
      <w:pPr>
        <w:jc w:val="center"/>
        <w:rPr>
          <w:sz w:val="20"/>
          <w:szCs w:val="20"/>
        </w:rPr>
      </w:pPr>
      <w:r w:rsidRPr="008B6A75">
        <w:rPr>
          <w:sz w:val="20"/>
          <w:szCs w:val="20"/>
        </w:rPr>
        <w:t>(заместитель председателя редакционного совета)</w:t>
      </w:r>
    </w:p>
    <w:p w14:paraId="41BFB8C1" w14:textId="77777777" w:rsidR="001D3D6D" w:rsidRPr="008B6A75" w:rsidRDefault="001D3D6D" w:rsidP="00267FB0">
      <w:pPr>
        <w:jc w:val="center"/>
        <w:rPr>
          <w:sz w:val="20"/>
          <w:szCs w:val="20"/>
        </w:rPr>
      </w:pPr>
    </w:p>
    <w:p w14:paraId="731F970E" w14:textId="07EE628B" w:rsidR="001D3D6D" w:rsidRPr="008B6A75" w:rsidRDefault="00010557" w:rsidP="00267FB0">
      <w:pPr>
        <w:jc w:val="center"/>
        <w:rPr>
          <w:sz w:val="20"/>
          <w:szCs w:val="20"/>
        </w:rPr>
      </w:pPr>
      <w:r w:rsidRPr="008B6A75">
        <w:rPr>
          <w:sz w:val="20"/>
          <w:szCs w:val="20"/>
        </w:rPr>
        <w:t>Гребенщикова М.М.</w:t>
      </w:r>
    </w:p>
    <w:p w14:paraId="1DF2F736" w14:textId="77777777" w:rsidR="001D3D6D" w:rsidRPr="008B6A75" w:rsidRDefault="001D3D6D" w:rsidP="00267FB0">
      <w:pPr>
        <w:jc w:val="center"/>
        <w:rPr>
          <w:sz w:val="20"/>
          <w:szCs w:val="20"/>
        </w:rPr>
      </w:pPr>
      <w:r w:rsidRPr="008B6A75">
        <w:rPr>
          <w:sz w:val="20"/>
          <w:szCs w:val="20"/>
        </w:rPr>
        <w:t>(секретарь редакционного совета)</w:t>
      </w:r>
    </w:p>
    <w:p w14:paraId="0D02A7AA" w14:textId="77777777" w:rsidR="001D3D6D" w:rsidRPr="008B6A75" w:rsidRDefault="001D3D6D" w:rsidP="00267FB0">
      <w:pPr>
        <w:jc w:val="center"/>
        <w:rPr>
          <w:sz w:val="20"/>
          <w:szCs w:val="20"/>
        </w:rPr>
      </w:pPr>
    </w:p>
    <w:p w14:paraId="39E6DE74" w14:textId="77777777" w:rsidR="001D3D6D" w:rsidRPr="008B6A75" w:rsidRDefault="001D3D6D" w:rsidP="00267FB0">
      <w:pPr>
        <w:jc w:val="center"/>
        <w:rPr>
          <w:sz w:val="20"/>
          <w:szCs w:val="20"/>
        </w:rPr>
      </w:pPr>
      <w:proofErr w:type="spellStart"/>
      <w:r w:rsidRPr="008B6A75">
        <w:rPr>
          <w:sz w:val="20"/>
          <w:szCs w:val="20"/>
        </w:rPr>
        <w:t>Абдрахманова</w:t>
      </w:r>
      <w:proofErr w:type="spellEnd"/>
      <w:r w:rsidRPr="008B6A75">
        <w:rPr>
          <w:sz w:val="20"/>
          <w:szCs w:val="20"/>
        </w:rPr>
        <w:t xml:space="preserve"> И.Н.</w:t>
      </w:r>
    </w:p>
    <w:p w14:paraId="68F0DCBC" w14:textId="77777777" w:rsidR="001D3D6D" w:rsidRPr="008B6A75" w:rsidRDefault="001D3D6D" w:rsidP="00267FB0">
      <w:pPr>
        <w:jc w:val="center"/>
        <w:rPr>
          <w:sz w:val="20"/>
          <w:szCs w:val="20"/>
        </w:rPr>
      </w:pPr>
      <w:proofErr w:type="spellStart"/>
      <w:r w:rsidRPr="008B6A75">
        <w:rPr>
          <w:sz w:val="20"/>
          <w:szCs w:val="20"/>
        </w:rPr>
        <w:t>Карташева</w:t>
      </w:r>
      <w:proofErr w:type="spellEnd"/>
      <w:r w:rsidRPr="008B6A75">
        <w:rPr>
          <w:sz w:val="20"/>
          <w:szCs w:val="20"/>
        </w:rPr>
        <w:t xml:space="preserve"> Е.М.</w:t>
      </w:r>
    </w:p>
    <w:p w14:paraId="7B50F4E8" w14:textId="77777777" w:rsidR="001D3D6D" w:rsidRPr="008B6A75" w:rsidRDefault="001D3D6D" w:rsidP="00267FB0">
      <w:pPr>
        <w:jc w:val="center"/>
        <w:rPr>
          <w:sz w:val="20"/>
          <w:szCs w:val="20"/>
        </w:rPr>
      </w:pPr>
      <w:proofErr w:type="spellStart"/>
      <w:r w:rsidRPr="008B6A75">
        <w:rPr>
          <w:sz w:val="20"/>
          <w:szCs w:val="20"/>
        </w:rPr>
        <w:t>Мусатов</w:t>
      </w:r>
      <w:proofErr w:type="spellEnd"/>
      <w:r w:rsidRPr="008B6A75">
        <w:rPr>
          <w:sz w:val="20"/>
          <w:szCs w:val="20"/>
        </w:rPr>
        <w:t xml:space="preserve"> А.М.</w:t>
      </w:r>
    </w:p>
    <w:p w14:paraId="6BD05599" w14:textId="77777777" w:rsidR="001D3D6D" w:rsidRPr="008B6A75" w:rsidRDefault="001D3D6D" w:rsidP="00267FB0">
      <w:pPr>
        <w:jc w:val="center"/>
        <w:rPr>
          <w:sz w:val="20"/>
          <w:szCs w:val="20"/>
        </w:rPr>
      </w:pPr>
      <w:proofErr w:type="spellStart"/>
      <w:r w:rsidRPr="008B6A75">
        <w:rPr>
          <w:sz w:val="20"/>
          <w:szCs w:val="20"/>
        </w:rPr>
        <w:t>Максиманова</w:t>
      </w:r>
      <w:proofErr w:type="spellEnd"/>
      <w:r w:rsidRPr="008B6A75">
        <w:rPr>
          <w:sz w:val="20"/>
          <w:szCs w:val="20"/>
        </w:rPr>
        <w:t xml:space="preserve"> Т.В.</w:t>
      </w:r>
    </w:p>
    <w:p w14:paraId="3270CF63" w14:textId="77777777" w:rsidR="001D3D6D" w:rsidRPr="008B6A75" w:rsidRDefault="001D3D6D" w:rsidP="00267FB0">
      <w:pPr>
        <w:jc w:val="center"/>
        <w:rPr>
          <w:sz w:val="20"/>
          <w:szCs w:val="20"/>
        </w:rPr>
      </w:pPr>
      <w:r w:rsidRPr="008B6A75">
        <w:rPr>
          <w:sz w:val="20"/>
          <w:szCs w:val="20"/>
        </w:rPr>
        <w:t>Остапенко Ю.А.</w:t>
      </w:r>
    </w:p>
    <w:p w14:paraId="2CD0C5BC" w14:textId="77777777" w:rsidR="001D3D6D" w:rsidRPr="008B6A75" w:rsidRDefault="001D3D6D" w:rsidP="00267FB0">
      <w:pPr>
        <w:jc w:val="center"/>
        <w:rPr>
          <w:sz w:val="20"/>
          <w:szCs w:val="20"/>
        </w:rPr>
      </w:pPr>
      <w:r w:rsidRPr="008B6A75">
        <w:rPr>
          <w:sz w:val="20"/>
          <w:szCs w:val="20"/>
        </w:rPr>
        <w:t>Попова М.А.</w:t>
      </w:r>
    </w:p>
    <w:p w14:paraId="5842390A" w14:textId="77777777" w:rsidR="001D3D6D" w:rsidRPr="008B6A75" w:rsidRDefault="001D3D6D" w:rsidP="00267FB0">
      <w:pPr>
        <w:rPr>
          <w:sz w:val="20"/>
          <w:szCs w:val="20"/>
        </w:rPr>
      </w:pPr>
    </w:p>
    <w:p w14:paraId="7F930AF2" w14:textId="77777777" w:rsidR="001D3D6D" w:rsidRPr="008B6A75" w:rsidRDefault="001D3D6D" w:rsidP="00267FB0">
      <w:pPr>
        <w:jc w:val="center"/>
        <w:rPr>
          <w:sz w:val="20"/>
          <w:szCs w:val="20"/>
        </w:rPr>
      </w:pPr>
    </w:p>
    <w:p w14:paraId="4717EFB5" w14:textId="77777777" w:rsidR="001D3D6D" w:rsidRPr="008B6A75" w:rsidRDefault="001D3D6D" w:rsidP="00267FB0">
      <w:pPr>
        <w:jc w:val="center"/>
        <w:rPr>
          <w:sz w:val="20"/>
          <w:szCs w:val="20"/>
        </w:rPr>
      </w:pPr>
    </w:p>
    <w:p w14:paraId="7C53CE17" w14:textId="77777777" w:rsidR="001D3D6D" w:rsidRPr="008B6A75" w:rsidRDefault="001D3D6D" w:rsidP="00267FB0">
      <w:pPr>
        <w:jc w:val="center"/>
        <w:rPr>
          <w:sz w:val="20"/>
          <w:szCs w:val="20"/>
        </w:rPr>
      </w:pPr>
      <w:r w:rsidRPr="008B6A75">
        <w:rPr>
          <w:sz w:val="20"/>
          <w:szCs w:val="20"/>
        </w:rPr>
        <w:t>Адрес издателя:</w:t>
      </w:r>
    </w:p>
    <w:p w14:paraId="3616324E" w14:textId="77777777" w:rsidR="001D3D6D" w:rsidRPr="008B6A75" w:rsidRDefault="001D3D6D" w:rsidP="00267FB0">
      <w:pPr>
        <w:jc w:val="center"/>
        <w:rPr>
          <w:sz w:val="20"/>
          <w:szCs w:val="20"/>
        </w:rPr>
      </w:pPr>
    </w:p>
    <w:p w14:paraId="0C94AE2F" w14:textId="77777777" w:rsidR="001D3D6D" w:rsidRPr="008B6A75" w:rsidRDefault="001D3D6D" w:rsidP="00267FB0">
      <w:pPr>
        <w:jc w:val="center"/>
        <w:rPr>
          <w:sz w:val="20"/>
          <w:szCs w:val="20"/>
        </w:rPr>
      </w:pPr>
      <w:r w:rsidRPr="008B6A75">
        <w:rPr>
          <w:sz w:val="20"/>
          <w:szCs w:val="20"/>
        </w:rPr>
        <w:t xml:space="preserve">632387 город Куйбышев, ул. </w:t>
      </w:r>
      <w:proofErr w:type="spellStart"/>
      <w:r w:rsidRPr="008B6A75">
        <w:rPr>
          <w:sz w:val="20"/>
          <w:szCs w:val="20"/>
        </w:rPr>
        <w:t>Краскома</w:t>
      </w:r>
      <w:proofErr w:type="spellEnd"/>
      <w:r w:rsidRPr="008B6A75">
        <w:rPr>
          <w:sz w:val="20"/>
          <w:szCs w:val="20"/>
        </w:rPr>
        <w:t>, 37</w:t>
      </w:r>
    </w:p>
    <w:p w14:paraId="3EEAFE5E" w14:textId="77777777" w:rsidR="001D3D6D" w:rsidRPr="008B6A75" w:rsidRDefault="001D3D6D" w:rsidP="00267FB0">
      <w:pPr>
        <w:jc w:val="center"/>
        <w:rPr>
          <w:sz w:val="20"/>
          <w:szCs w:val="20"/>
        </w:rPr>
      </w:pPr>
      <w:r w:rsidRPr="008B6A75">
        <w:rPr>
          <w:sz w:val="20"/>
          <w:szCs w:val="20"/>
        </w:rPr>
        <w:t>Тел. 50-789, факс 50-798</w:t>
      </w:r>
    </w:p>
    <w:p w14:paraId="582D25F4" w14:textId="62860CE8" w:rsidR="001D3D6D" w:rsidRPr="008B6A75" w:rsidRDefault="001D3D6D" w:rsidP="00267FB0">
      <w:pPr>
        <w:jc w:val="center"/>
        <w:rPr>
          <w:sz w:val="20"/>
          <w:szCs w:val="20"/>
        </w:rPr>
      </w:pPr>
      <w:proofErr w:type="gramStart"/>
      <w:r w:rsidRPr="008B6A75">
        <w:rPr>
          <w:sz w:val="20"/>
          <w:szCs w:val="20"/>
          <w:lang w:val="en-US"/>
        </w:rPr>
        <w:t>e</w:t>
      </w:r>
      <w:r w:rsidRPr="008B6A75">
        <w:rPr>
          <w:sz w:val="20"/>
          <w:szCs w:val="20"/>
        </w:rPr>
        <w:t>-</w:t>
      </w:r>
      <w:r w:rsidRPr="008B6A75">
        <w:rPr>
          <w:sz w:val="20"/>
          <w:szCs w:val="20"/>
          <w:lang w:val="en-US"/>
        </w:rPr>
        <w:t>mail</w:t>
      </w:r>
      <w:proofErr w:type="gramEnd"/>
      <w:r w:rsidRPr="008B6A75">
        <w:rPr>
          <w:sz w:val="20"/>
          <w:szCs w:val="20"/>
        </w:rPr>
        <w:t xml:space="preserve">: </w:t>
      </w:r>
      <w:hyperlink r:id="rId46" w:history="1">
        <w:r w:rsidR="00461408" w:rsidRPr="008B6A75">
          <w:rPr>
            <w:rStyle w:val="afa"/>
            <w:color w:val="auto"/>
            <w:sz w:val="20"/>
            <w:szCs w:val="20"/>
            <w:lang w:val="en-US"/>
          </w:rPr>
          <w:t>kainsk</w:t>
        </w:r>
        <w:r w:rsidR="00461408" w:rsidRPr="008B6A75">
          <w:rPr>
            <w:rStyle w:val="afa"/>
            <w:color w:val="auto"/>
            <w:sz w:val="20"/>
            <w:szCs w:val="20"/>
          </w:rPr>
          <w:t>@</w:t>
        </w:r>
        <w:r w:rsidR="00461408" w:rsidRPr="008B6A75">
          <w:rPr>
            <w:rStyle w:val="afa"/>
            <w:color w:val="auto"/>
            <w:sz w:val="20"/>
            <w:szCs w:val="20"/>
            <w:lang w:val="en-US"/>
          </w:rPr>
          <w:t>nso</w:t>
        </w:r>
        <w:r w:rsidR="00461408" w:rsidRPr="008B6A75">
          <w:rPr>
            <w:rStyle w:val="afa"/>
            <w:color w:val="auto"/>
            <w:sz w:val="20"/>
            <w:szCs w:val="20"/>
          </w:rPr>
          <w:t>.</w:t>
        </w:r>
        <w:proofErr w:type="spellStart"/>
        <w:r w:rsidR="00461408" w:rsidRPr="008B6A75">
          <w:rPr>
            <w:rStyle w:val="afa"/>
            <w:color w:val="auto"/>
            <w:sz w:val="20"/>
            <w:szCs w:val="20"/>
            <w:lang w:val="en-US"/>
          </w:rPr>
          <w:t>ru</w:t>
        </w:r>
        <w:proofErr w:type="spellEnd"/>
      </w:hyperlink>
      <w:r w:rsidR="00461408" w:rsidRPr="008B6A75">
        <w:rPr>
          <w:sz w:val="20"/>
          <w:szCs w:val="20"/>
        </w:rPr>
        <w:t xml:space="preserve"> </w:t>
      </w:r>
    </w:p>
    <w:p w14:paraId="5715D842" w14:textId="77777777" w:rsidR="001D3D6D" w:rsidRPr="008B6A75" w:rsidRDefault="001D3D6D" w:rsidP="00267FB0">
      <w:pPr>
        <w:jc w:val="center"/>
        <w:rPr>
          <w:sz w:val="20"/>
          <w:szCs w:val="20"/>
        </w:rPr>
      </w:pPr>
    </w:p>
    <w:p w14:paraId="7C1634EA" w14:textId="77777777" w:rsidR="001D3D6D" w:rsidRPr="008B6A75" w:rsidRDefault="001D3D6D" w:rsidP="00267FB0">
      <w:pPr>
        <w:jc w:val="center"/>
        <w:rPr>
          <w:sz w:val="20"/>
          <w:szCs w:val="20"/>
        </w:rPr>
      </w:pPr>
    </w:p>
    <w:p w14:paraId="7AF8E625" w14:textId="77777777" w:rsidR="001D3D6D" w:rsidRPr="008B6A75" w:rsidRDefault="001D3D6D" w:rsidP="00267FB0">
      <w:pPr>
        <w:jc w:val="center"/>
        <w:rPr>
          <w:sz w:val="20"/>
          <w:szCs w:val="20"/>
        </w:rPr>
      </w:pPr>
    </w:p>
    <w:p w14:paraId="39A2246F" w14:textId="77777777" w:rsidR="001D3D6D" w:rsidRPr="008B6A75" w:rsidRDefault="001D3D6D" w:rsidP="00267FB0">
      <w:pPr>
        <w:jc w:val="center"/>
        <w:rPr>
          <w:sz w:val="20"/>
          <w:szCs w:val="20"/>
        </w:rPr>
      </w:pPr>
      <w:r w:rsidRPr="008B6A75">
        <w:rPr>
          <w:sz w:val="20"/>
          <w:szCs w:val="20"/>
        </w:rPr>
        <w:t>Тираж 25 экземпляров</w:t>
      </w:r>
    </w:p>
    <w:p w14:paraId="05920A27" w14:textId="77777777" w:rsidR="000C7F92" w:rsidRPr="008B6A75" w:rsidRDefault="000C7F92" w:rsidP="00267FB0">
      <w:pPr>
        <w:rPr>
          <w:sz w:val="20"/>
          <w:szCs w:val="20"/>
        </w:rPr>
      </w:pPr>
    </w:p>
    <w:p w14:paraId="1B8100EB" w14:textId="77777777" w:rsidR="00610F6C" w:rsidRPr="008B6A75" w:rsidRDefault="00610F6C" w:rsidP="00267FB0">
      <w:pPr>
        <w:rPr>
          <w:sz w:val="20"/>
          <w:szCs w:val="20"/>
        </w:rPr>
      </w:pPr>
    </w:p>
    <w:sectPr w:rsidR="00610F6C" w:rsidRPr="008B6A75" w:rsidSect="00265078">
      <w:footerReference w:type="default" r:id="rId47"/>
      <w:pgSz w:w="11906" w:h="16838"/>
      <w:pgMar w:top="567" w:right="851" w:bottom="539"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3A3C24" w14:textId="77777777" w:rsidR="00372B96" w:rsidRDefault="00372B96" w:rsidP="00225EB9">
      <w:r>
        <w:separator/>
      </w:r>
    </w:p>
  </w:endnote>
  <w:endnote w:type="continuationSeparator" w:id="0">
    <w:p w14:paraId="0EF7E94B" w14:textId="77777777" w:rsidR="00372B96" w:rsidRDefault="00372B96" w:rsidP="00225E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OpenSymbol">
    <w:altName w:val="Calibri"/>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Arial Rounded MT Bold">
    <w:panose1 w:val="020F0704030504030204"/>
    <w:charset w:val="00"/>
    <w:family w:val="swiss"/>
    <w:pitch w:val="variable"/>
    <w:sig w:usb0="00000003" w:usb1="00000000" w:usb2="00000000" w:usb3="00000000" w:csb0="00000001" w:csb1="00000000"/>
  </w:font>
  <w:font w:name="Baltica">
    <w:altName w:val="Times New Roman"/>
    <w:charset w:val="00"/>
    <w:family w:val="auto"/>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panose1 w:val="020B0503020102020204"/>
    <w:charset w:val="CC"/>
    <w:family w:val="swiss"/>
    <w:pitch w:val="variable"/>
    <w:sig w:usb0="00000287" w:usb1="00000000" w:usb2="00000000" w:usb3="00000000" w:csb0="0000009F" w:csb1="00000000"/>
  </w:font>
  <w:font w:name="DejaVu Sans">
    <w:altName w:val="MS Mincho"/>
    <w:panose1 w:val="00000000000000000000"/>
    <w:charset w:val="80"/>
    <w:family w:val="auto"/>
    <w:notTrueType/>
    <w:pitch w:val="variable"/>
    <w:sig w:usb0="00000001" w:usb1="08070000" w:usb2="00000010" w:usb3="00000000" w:csb0="00020000" w:csb1="00000000"/>
  </w:font>
  <w:font w:name="Mangal">
    <w:panose1 w:val="02040503050203030202"/>
    <w:charset w:val="00"/>
    <w:family w:val="roman"/>
    <w:pitch w:val="variable"/>
    <w:sig w:usb0="00008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Helvetica">
    <w:panose1 w:val="020B0604020202020204"/>
    <w:charset w:val="CC"/>
    <w:family w:val="swiss"/>
    <w:pitch w:val="variable"/>
    <w:sig w:usb0="E0002AFF" w:usb1="C0007843" w:usb2="00000009" w:usb3="00000000" w:csb0="000001FF" w:csb1="00000000"/>
  </w:font>
  <w:font w:name="ヒラギノ角ゴ Pro W3">
    <w:altName w:val="MS Mincho"/>
    <w:charset w:val="00"/>
    <w:family w:val="roman"/>
    <w:pitch w:val="default"/>
    <w:sig w:usb0="00000001" w:usb1="08070000" w:usb2="00000010" w:usb3="00000000" w:csb0="00020000" w:csb1="00000000"/>
  </w:font>
  <w:font w:name="NSimSun">
    <w:panose1 w:val="02010609030101010101"/>
    <w:charset w:val="86"/>
    <w:family w:val="modern"/>
    <w:pitch w:val="fixed"/>
    <w:sig w:usb0="00000003" w:usb1="288F0000" w:usb2="00000016" w:usb3="00000000" w:csb0="00040001" w:csb1="00000000"/>
  </w:font>
  <w:font w:name="DaneHelveticaNeue">
    <w:altName w:val="Times New Roman"/>
    <w:panose1 w:val="00000000000000000000"/>
    <w:charset w:val="00"/>
    <w:family w:val="auto"/>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Times New (W1)">
    <w:altName w:val="Times New Roman"/>
    <w:panose1 w:val="00000000000000000000"/>
    <w:charset w:val="CC"/>
    <w:family w:val="roman"/>
    <w:notTrueType/>
    <w:pitch w:val="variable"/>
    <w:sig w:usb0="00000203" w:usb1="00000000" w:usb2="00000000" w:usb3="00000000" w:csb0="00000005" w:csb1="00000000"/>
  </w:font>
  <w:font w:name="TimesNewRomanPS-BoldMT">
    <w:altName w:val="Times New Roman"/>
    <w:panose1 w:val="00000000000000000000"/>
    <w:charset w:val="00"/>
    <w:family w:val="roman"/>
    <w:notTrueType/>
    <w:pitch w:val="default"/>
  </w:font>
  <w:font w:name="Andale Sans UI">
    <w:altName w:val="Arial Unicode MS"/>
    <w:panose1 w:val="00000000000000000000"/>
    <w:charset w:val="CC"/>
    <w:family w:val="auto"/>
    <w:notTrueType/>
    <w:pitch w:val="variable"/>
    <w:sig w:usb0="00000201" w:usb1="00000000" w:usb2="00000000" w:usb3="00000000" w:csb0="00000004" w:csb1="00000000"/>
  </w:font>
  <w:font w:name="Liberation Serif">
    <w:altName w:val="Times New Roman"/>
    <w:charset w:val="00"/>
    <w:family w:val="roman"/>
    <w:pitch w:val="variable"/>
  </w:font>
  <w:font w:name="OctavaC">
    <w:altName w:val="Times New Roman"/>
    <w:panose1 w:val="00000000000000000000"/>
    <w:charset w:val="00"/>
    <w:family w:val="roman"/>
    <w:notTrueType/>
    <w:pitch w:val="default"/>
    <w:sig w:usb0="00000001" w:usb1="00000000" w:usb2="00000000" w:usb3="00000000" w:csb0="00000005" w:csb1="00000000"/>
  </w:font>
  <w:font w:name="Corbel">
    <w:panose1 w:val="020B0503020204020204"/>
    <w:charset w:val="CC"/>
    <w:family w:val="swiss"/>
    <w:pitch w:val="variable"/>
    <w:sig w:usb0="A00002EF" w:usb1="4000A44B" w:usb2="00000000" w:usb3="00000000" w:csb0="0000019F" w:csb1="00000000"/>
  </w:font>
  <w:font w:name="Franklin Gothic Medium">
    <w:panose1 w:val="020B0603020102020204"/>
    <w:charset w:val="CC"/>
    <w:family w:val="swiss"/>
    <w:pitch w:val="variable"/>
    <w:sig w:usb0="00000287" w:usb1="00000000" w:usb2="00000000" w:usb3="00000000" w:csb0="0000009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5161160"/>
      <w:docPartObj>
        <w:docPartGallery w:val="Page Numbers (Bottom of Page)"/>
        <w:docPartUnique/>
      </w:docPartObj>
    </w:sdtPr>
    <w:sdtContent>
      <w:p w14:paraId="5B47AE01" w14:textId="46575161" w:rsidR="008B6A75" w:rsidRDefault="008B6A75">
        <w:pPr>
          <w:pStyle w:val="aff3"/>
          <w:jc w:val="center"/>
        </w:pPr>
        <w:r>
          <w:fldChar w:fldCharType="begin"/>
        </w:r>
        <w:r>
          <w:instrText>PAGE   \* MERGEFORMAT</w:instrText>
        </w:r>
        <w:r>
          <w:fldChar w:fldCharType="separate"/>
        </w:r>
        <w:r w:rsidR="00150484">
          <w:rPr>
            <w:noProof/>
          </w:rPr>
          <w:t>23</w:t>
        </w:r>
        <w:r>
          <w:fldChar w:fldCharType="end"/>
        </w:r>
      </w:p>
    </w:sdtContent>
  </w:sdt>
  <w:p w14:paraId="7A375359" w14:textId="77777777" w:rsidR="00387142" w:rsidRDefault="00387142">
    <w:pPr>
      <w:pStyle w:val="aff3"/>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0937186"/>
      <w:docPartObj>
        <w:docPartGallery w:val="Page Numbers (Bottom of Page)"/>
        <w:docPartUnique/>
      </w:docPartObj>
    </w:sdtPr>
    <w:sdtContent>
      <w:p w14:paraId="04B90BCE" w14:textId="7B1DE36B" w:rsidR="00265078" w:rsidRDefault="00265078">
        <w:pPr>
          <w:pStyle w:val="aff3"/>
          <w:jc w:val="center"/>
        </w:pPr>
        <w:r>
          <w:fldChar w:fldCharType="begin"/>
        </w:r>
        <w:r>
          <w:instrText>PAGE   \* MERGEFORMAT</w:instrText>
        </w:r>
        <w:r>
          <w:fldChar w:fldCharType="separate"/>
        </w:r>
        <w:r w:rsidR="00150484">
          <w:rPr>
            <w:noProof/>
          </w:rPr>
          <w:t>225</w:t>
        </w:r>
        <w:r>
          <w:fldChar w:fldCharType="end"/>
        </w:r>
      </w:p>
    </w:sdtContent>
  </w:sdt>
  <w:p w14:paraId="13886A19" w14:textId="77777777" w:rsidR="00387142" w:rsidRDefault="00387142">
    <w:pPr>
      <w:rPr>
        <w:sz w:val="2"/>
        <w:szCs w:val="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49346978"/>
      <w:docPartObj>
        <w:docPartGallery w:val="Page Numbers (Bottom of Page)"/>
        <w:docPartUnique/>
      </w:docPartObj>
    </w:sdtPr>
    <w:sdtContent>
      <w:p w14:paraId="5FAA1BB1" w14:textId="2A96AD4D" w:rsidR="00387142" w:rsidRDefault="00387142">
        <w:pPr>
          <w:pStyle w:val="aff3"/>
          <w:jc w:val="center"/>
        </w:pPr>
        <w:r>
          <w:fldChar w:fldCharType="begin"/>
        </w:r>
        <w:r>
          <w:instrText>PAGE   \* MERGEFORMAT</w:instrText>
        </w:r>
        <w:r>
          <w:fldChar w:fldCharType="separate"/>
        </w:r>
        <w:r w:rsidR="00150484">
          <w:rPr>
            <w:noProof/>
          </w:rPr>
          <w:t>243</w:t>
        </w:r>
        <w:r>
          <w:fldChar w:fldCharType="end"/>
        </w:r>
      </w:p>
    </w:sdtContent>
  </w:sdt>
  <w:p w14:paraId="7ED08147" w14:textId="77777777" w:rsidR="00387142" w:rsidRDefault="00387142">
    <w:pPr>
      <w:pStyle w:val="aff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291784"/>
      <w:docPartObj>
        <w:docPartGallery w:val="Page Numbers (Bottom of Page)"/>
        <w:docPartUnique/>
      </w:docPartObj>
    </w:sdtPr>
    <w:sdtContent>
      <w:p w14:paraId="1210EDB9" w14:textId="78A8CD2F" w:rsidR="008B6A75" w:rsidRDefault="008B6A75">
        <w:pPr>
          <w:pStyle w:val="aff3"/>
          <w:jc w:val="center"/>
        </w:pPr>
        <w:r>
          <w:fldChar w:fldCharType="begin"/>
        </w:r>
        <w:r>
          <w:instrText>PAGE   \* MERGEFORMAT</w:instrText>
        </w:r>
        <w:r>
          <w:fldChar w:fldCharType="separate"/>
        </w:r>
        <w:r w:rsidR="00150484">
          <w:rPr>
            <w:noProof/>
          </w:rPr>
          <w:t>3</w:t>
        </w:r>
        <w:r>
          <w:fldChar w:fldCharType="end"/>
        </w:r>
      </w:p>
    </w:sdtContent>
  </w:sdt>
  <w:p w14:paraId="4DD6BD88" w14:textId="77777777" w:rsidR="008B6A75" w:rsidRDefault="008B6A75">
    <w:pPr>
      <w:pStyle w:val="aff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5F7B3F" w14:textId="77777777" w:rsidR="00387142" w:rsidRDefault="00387142">
    <w:pPr>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1975E8" w14:textId="77777777" w:rsidR="00387142" w:rsidRDefault="00387142">
    <w:pPr>
      <w:rPr>
        <w:sz w:val="2"/>
        <w:szCs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1B6F55" w14:textId="77777777" w:rsidR="00387142" w:rsidRDefault="00387142">
    <w:pPr>
      <w:rPr>
        <w:sz w:val="2"/>
        <w:szCs w:val="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7109141"/>
      <w:docPartObj>
        <w:docPartGallery w:val="Page Numbers (Bottom of Page)"/>
        <w:docPartUnique/>
      </w:docPartObj>
    </w:sdtPr>
    <w:sdtContent>
      <w:p w14:paraId="17B37F32" w14:textId="540DF6C1" w:rsidR="00265078" w:rsidRDefault="00265078">
        <w:pPr>
          <w:pStyle w:val="aff3"/>
          <w:jc w:val="center"/>
        </w:pPr>
        <w:r>
          <w:fldChar w:fldCharType="begin"/>
        </w:r>
        <w:r>
          <w:instrText>PAGE   \* MERGEFORMAT</w:instrText>
        </w:r>
        <w:r>
          <w:fldChar w:fldCharType="separate"/>
        </w:r>
        <w:r w:rsidR="00150484">
          <w:rPr>
            <w:noProof/>
          </w:rPr>
          <w:t>224</w:t>
        </w:r>
        <w:r>
          <w:fldChar w:fldCharType="end"/>
        </w:r>
      </w:p>
    </w:sdtContent>
  </w:sdt>
  <w:p w14:paraId="617DBFD5" w14:textId="77777777" w:rsidR="00387142" w:rsidRDefault="00387142">
    <w:pPr>
      <w:rPr>
        <w:sz w:val="2"/>
        <w:szCs w:val="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83383"/>
      <w:docPartObj>
        <w:docPartGallery w:val="Page Numbers (Bottom of Page)"/>
        <w:docPartUnique/>
      </w:docPartObj>
    </w:sdtPr>
    <w:sdtContent>
      <w:p w14:paraId="176AA453" w14:textId="2A32F70C" w:rsidR="00265078" w:rsidRDefault="00265078">
        <w:pPr>
          <w:pStyle w:val="aff3"/>
          <w:jc w:val="center"/>
        </w:pPr>
        <w:r>
          <w:fldChar w:fldCharType="begin"/>
        </w:r>
        <w:r>
          <w:instrText>PAGE   \* MERGEFORMAT</w:instrText>
        </w:r>
        <w:r>
          <w:fldChar w:fldCharType="separate"/>
        </w:r>
        <w:r w:rsidR="00150484">
          <w:rPr>
            <w:noProof/>
          </w:rPr>
          <w:t>219</w:t>
        </w:r>
        <w:r>
          <w:fldChar w:fldCharType="end"/>
        </w:r>
      </w:p>
    </w:sdtContent>
  </w:sdt>
  <w:p w14:paraId="02EFF709" w14:textId="77777777" w:rsidR="00387142" w:rsidRDefault="00387142">
    <w:pPr>
      <w:rPr>
        <w:sz w:val="2"/>
        <w:szCs w:val="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E3AFA5" w14:textId="77777777" w:rsidR="00387142" w:rsidRDefault="00387142"/>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7042834"/>
      <w:docPartObj>
        <w:docPartGallery w:val="Page Numbers (Bottom of Page)"/>
        <w:docPartUnique/>
      </w:docPartObj>
    </w:sdtPr>
    <w:sdtContent>
      <w:p w14:paraId="349B268E" w14:textId="392E46F2" w:rsidR="00265078" w:rsidRDefault="00265078">
        <w:pPr>
          <w:pStyle w:val="aff3"/>
          <w:jc w:val="center"/>
        </w:pPr>
        <w:r>
          <w:fldChar w:fldCharType="begin"/>
        </w:r>
        <w:r>
          <w:instrText>PAGE   \* MERGEFORMAT</w:instrText>
        </w:r>
        <w:r>
          <w:fldChar w:fldCharType="separate"/>
        </w:r>
        <w:r w:rsidR="00150484">
          <w:rPr>
            <w:noProof/>
          </w:rPr>
          <w:t>226</w:t>
        </w:r>
        <w:r>
          <w:fldChar w:fldCharType="end"/>
        </w:r>
      </w:p>
    </w:sdtContent>
  </w:sdt>
  <w:p w14:paraId="5F2FE617" w14:textId="77777777" w:rsidR="00387142" w:rsidRDefault="00387142">
    <w:pPr>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58175B" w14:textId="77777777" w:rsidR="00372B96" w:rsidRDefault="00372B96" w:rsidP="00225EB9">
      <w:r>
        <w:separator/>
      </w:r>
    </w:p>
  </w:footnote>
  <w:footnote w:type="continuationSeparator" w:id="0">
    <w:p w14:paraId="28506747" w14:textId="77777777" w:rsidR="00372B96" w:rsidRDefault="00372B96" w:rsidP="00225E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10DAE1" w14:textId="77777777" w:rsidR="00387142" w:rsidRPr="004B73C0" w:rsidRDefault="00387142">
    <w:pPr>
      <w:pStyle w:val="aff1"/>
      <w:jc w:val="center"/>
      <w:rPr>
        <w:sz w:val="20"/>
        <w:szCs w:val="20"/>
      </w:rPr>
    </w:pPr>
  </w:p>
  <w:p w14:paraId="14A99294" w14:textId="77777777" w:rsidR="00387142" w:rsidRDefault="00387142">
    <w:pPr>
      <w:pStyle w:val="af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BD509E" w14:textId="77777777" w:rsidR="00387142" w:rsidRPr="00D951E6" w:rsidRDefault="00387142">
    <w:pPr>
      <w:pStyle w:val="aff1"/>
      <w:jc w:val="center"/>
      <w:rPr>
        <w:sz w:val="20"/>
        <w:szCs w:val="20"/>
      </w:rPr>
    </w:pPr>
  </w:p>
  <w:p w14:paraId="31CA80FC" w14:textId="77777777" w:rsidR="00387142" w:rsidRDefault="00387142">
    <w:pPr>
      <w:pStyle w:val="af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0458F0C6"/>
    <w:lvl w:ilvl="0">
      <w:start w:val="1"/>
      <w:numFmt w:val="bullet"/>
      <w:pStyle w:val="2CharChar"/>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3E8ABCC8"/>
    <w:lvl w:ilvl="0">
      <w:start w:val="1"/>
      <w:numFmt w:val="bullet"/>
      <w:pStyle w:val="StyleHeading3Justified"/>
      <w:lvlText w:val=""/>
      <w:lvlJc w:val="left"/>
      <w:pPr>
        <w:tabs>
          <w:tab w:val="num" w:pos="360"/>
        </w:tabs>
        <w:ind w:left="360" w:hanging="360"/>
      </w:pPr>
      <w:rPr>
        <w:rFonts w:ascii="Symbol" w:hAnsi="Symbol" w:hint="default"/>
      </w:rPr>
    </w:lvl>
  </w:abstractNum>
  <w:abstractNum w:abstractNumId="2" w15:restartNumberingAfterBreak="0">
    <w:nsid w:val="00000001"/>
    <w:multiLevelType w:val="singleLevel"/>
    <w:tmpl w:val="00000001"/>
    <w:name w:val="WW8Num1"/>
    <w:lvl w:ilvl="0">
      <w:start w:val="1"/>
      <w:numFmt w:val="decimal"/>
      <w:lvlText w:val="%1."/>
      <w:lvlJc w:val="left"/>
      <w:pPr>
        <w:tabs>
          <w:tab w:val="num" w:pos="0"/>
        </w:tabs>
        <w:ind w:left="1684" w:hanging="975"/>
      </w:p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Arial Black"/>
        <w:b w:val="0"/>
      </w:rPr>
    </w:lvl>
    <w:lvl w:ilvl="1">
      <w:start w:val="1"/>
      <w:numFmt w:val="bullet"/>
      <w:lvlText w:val=""/>
      <w:lvlJc w:val="left"/>
      <w:pPr>
        <w:tabs>
          <w:tab w:val="num" w:pos="1080"/>
        </w:tabs>
        <w:ind w:left="1080" w:hanging="360"/>
      </w:pPr>
      <w:rPr>
        <w:rFonts w:ascii="Symbol" w:hAnsi="Symbol" w:cs="Arial Black"/>
        <w:b w:val="0"/>
      </w:rPr>
    </w:lvl>
    <w:lvl w:ilvl="2">
      <w:start w:val="1"/>
      <w:numFmt w:val="bullet"/>
      <w:lvlText w:val=""/>
      <w:lvlJc w:val="left"/>
      <w:pPr>
        <w:tabs>
          <w:tab w:val="num" w:pos="1440"/>
        </w:tabs>
        <w:ind w:left="1440" w:hanging="360"/>
      </w:pPr>
      <w:rPr>
        <w:rFonts w:ascii="Symbol" w:hAnsi="Symbol" w:cs="Arial Black"/>
        <w:b w:val="0"/>
      </w:rPr>
    </w:lvl>
    <w:lvl w:ilvl="3">
      <w:start w:val="1"/>
      <w:numFmt w:val="bullet"/>
      <w:lvlText w:val=""/>
      <w:lvlJc w:val="left"/>
      <w:pPr>
        <w:tabs>
          <w:tab w:val="num" w:pos="1800"/>
        </w:tabs>
        <w:ind w:left="1800" w:hanging="360"/>
      </w:pPr>
      <w:rPr>
        <w:rFonts w:ascii="Symbol" w:hAnsi="Symbol" w:cs="Arial Black"/>
        <w:b w:val="0"/>
      </w:rPr>
    </w:lvl>
    <w:lvl w:ilvl="4">
      <w:start w:val="1"/>
      <w:numFmt w:val="bullet"/>
      <w:lvlText w:val=""/>
      <w:lvlJc w:val="left"/>
      <w:pPr>
        <w:tabs>
          <w:tab w:val="num" w:pos="2160"/>
        </w:tabs>
        <w:ind w:left="2160" w:hanging="360"/>
      </w:pPr>
      <w:rPr>
        <w:rFonts w:ascii="Symbol" w:hAnsi="Symbol" w:cs="Arial Black"/>
        <w:b w:val="0"/>
      </w:rPr>
    </w:lvl>
    <w:lvl w:ilvl="5">
      <w:start w:val="1"/>
      <w:numFmt w:val="bullet"/>
      <w:lvlText w:val=""/>
      <w:lvlJc w:val="left"/>
      <w:pPr>
        <w:tabs>
          <w:tab w:val="num" w:pos="2520"/>
        </w:tabs>
        <w:ind w:left="2520" w:hanging="360"/>
      </w:pPr>
      <w:rPr>
        <w:rFonts w:ascii="Symbol" w:hAnsi="Symbol" w:cs="Arial Black"/>
        <w:b w:val="0"/>
      </w:rPr>
    </w:lvl>
    <w:lvl w:ilvl="6">
      <w:start w:val="1"/>
      <w:numFmt w:val="bullet"/>
      <w:lvlText w:val=""/>
      <w:lvlJc w:val="left"/>
      <w:pPr>
        <w:tabs>
          <w:tab w:val="num" w:pos="2880"/>
        </w:tabs>
        <w:ind w:left="2880" w:hanging="360"/>
      </w:pPr>
      <w:rPr>
        <w:rFonts w:ascii="Symbol" w:hAnsi="Symbol" w:cs="Arial Black"/>
        <w:b w:val="0"/>
      </w:rPr>
    </w:lvl>
    <w:lvl w:ilvl="7">
      <w:start w:val="1"/>
      <w:numFmt w:val="bullet"/>
      <w:lvlText w:val=""/>
      <w:lvlJc w:val="left"/>
      <w:pPr>
        <w:tabs>
          <w:tab w:val="num" w:pos="3240"/>
        </w:tabs>
        <w:ind w:left="3240" w:hanging="360"/>
      </w:pPr>
      <w:rPr>
        <w:rFonts w:ascii="Symbol" w:hAnsi="Symbol" w:cs="Arial Black"/>
        <w:b w:val="0"/>
      </w:rPr>
    </w:lvl>
    <w:lvl w:ilvl="8">
      <w:start w:val="1"/>
      <w:numFmt w:val="bullet"/>
      <w:lvlText w:val=""/>
      <w:lvlJc w:val="left"/>
      <w:pPr>
        <w:tabs>
          <w:tab w:val="num" w:pos="3600"/>
        </w:tabs>
        <w:ind w:left="3600" w:hanging="360"/>
      </w:pPr>
      <w:rPr>
        <w:rFonts w:ascii="Symbol" w:hAnsi="Symbol" w:cs="Arial Black"/>
        <w:b w:val="0"/>
      </w:rPr>
    </w:lvl>
  </w:abstractNum>
  <w:abstractNum w:abstractNumId="4" w15:restartNumberingAfterBreak="0">
    <w:nsid w:val="00000005"/>
    <w:multiLevelType w:val="singleLevel"/>
    <w:tmpl w:val="00000005"/>
    <w:name w:val="WW8Num5"/>
    <w:lvl w:ilvl="0">
      <w:start w:val="1"/>
      <w:numFmt w:val="bullet"/>
      <w:lvlText w:val=""/>
      <w:lvlJc w:val="left"/>
      <w:pPr>
        <w:tabs>
          <w:tab w:val="num" w:pos="0"/>
        </w:tabs>
        <w:ind w:left="360" w:hanging="360"/>
      </w:pPr>
      <w:rPr>
        <w:rFonts w:ascii="Symbol" w:hAnsi="Symbol" w:cs="OpenSymbol"/>
      </w:rPr>
    </w:lvl>
  </w:abstractNum>
  <w:abstractNum w:abstractNumId="5" w15:restartNumberingAfterBreak="0">
    <w:nsid w:val="00000019"/>
    <w:multiLevelType w:val="multilevel"/>
    <w:tmpl w:val="A280B286"/>
    <w:lvl w:ilvl="0">
      <w:start w:val="5"/>
      <w:numFmt w:val="decimal"/>
      <w:lvlText w:val="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5"/>
      <w:numFmt w:val="decimal"/>
      <w:lvlText w:val="5.%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5"/>
      <w:numFmt w:val="decimal"/>
      <w:lvlText w:val="5.%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5"/>
      <w:numFmt w:val="decimal"/>
      <w:lvlText w:val="5.%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5"/>
      <w:numFmt w:val="decimal"/>
      <w:lvlText w:val="5.%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5"/>
      <w:numFmt w:val="decimal"/>
      <w:lvlText w:val="5.%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5"/>
      <w:numFmt w:val="decimal"/>
      <w:lvlText w:val="5.%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5"/>
      <w:numFmt w:val="decimal"/>
      <w:lvlText w:val="5.%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5"/>
      <w:numFmt w:val="decimal"/>
      <w:lvlText w:val="5.%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6" w15:restartNumberingAfterBreak="0">
    <w:nsid w:val="04931F46"/>
    <w:multiLevelType w:val="hybridMultilevel"/>
    <w:tmpl w:val="064627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4F71D83"/>
    <w:multiLevelType w:val="multilevel"/>
    <w:tmpl w:val="DB7486F6"/>
    <w:lvl w:ilvl="0">
      <w:start w:val="3"/>
      <w:numFmt w:val="decimal"/>
      <w:lvlText w:val="%1."/>
      <w:lvlJc w:val="left"/>
      <w:pPr>
        <w:tabs>
          <w:tab w:val="num" w:pos="-360"/>
        </w:tabs>
        <w:ind w:left="-360" w:hanging="360"/>
      </w:pPr>
      <w:rPr>
        <w:rFonts w:cs="Times New Roman" w:hint="default"/>
        <w:b/>
        <w:bCs/>
        <w:i w:val="0"/>
        <w:iCs w:val="0"/>
        <w:caps/>
        <w:sz w:val="24"/>
        <w:szCs w:val="24"/>
      </w:rPr>
    </w:lvl>
    <w:lvl w:ilvl="1">
      <w:start w:val="6"/>
      <w:numFmt w:val="decimal"/>
      <w:lvlText w:val="%1.%2."/>
      <w:lvlJc w:val="left"/>
      <w:pPr>
        <w:tabs>
          <w:tab w:val="num" w:pos="72"/>
        </w:tabs>
        <w:ind w:left="72" w:hanging="432"/>
      </w:pPr>
      <w:rPr>
        <w:rFonts w:cs="Times New Roman" w:hint="default"/>
      </w:rPr>
    </w:lvl>
    <w:lvl w:ilvl="2">
      <w:start w:val="1"/>
      <w:numFmt w:val="decimal"/>
      <w:pStyle w:val="a"/>
      <w:lvlText w:val="%1.%2.%3."/>
      <w:lvlJc w:val="left"/>
      <w:pPr>
        <w:tabs>
          <w:tab w:val="num" w:pos="720"/>
        </w:tabs>
        <w:ind w:left="504"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sz w:val="24"/>
        <w:szCs w:val="24"/>
        <w:u w:val="none"/>
        <w:vertAlign w:val="baseline"/>
      </w:rPr>
    </w:lvl>
    <w:lvl w:ilvl="3">
      <w:start w:val="1"/>
      <w:numFmt w:val="decimal"/>
      <w:lvlText w:val="%1.%2.%3.%4."/>
      <w:lvlJc w:val="left"/>
      <w:pPr>
        <w:tabs>
          <w:tab w:val="num" w:pos="1080"/>
        </w:tabs>
        <w:ind w:left="1008" w:hanging="648"/>
      </w:pPr>
      <w:rPr>
        <w:rFonts w:cs="Times New Roman" w:hint="default"/>
      </w:rPr>
    </w:lvl>
    <w:lvl w:ilvl="4">
      <w:start w:val="1"/>
      <w:numFmt w:val="decimal"/>
      <w:lvlText w:val="%1.%2.%3.%4.%5."/>
      <w:lvlJc w:val="left"/>
      <w:pPr>
        <w:tabs>
          <w:tab w:val="num" w:pos="1800"/>
        </w:tabs>
        <w:ind w:left="1512" w:hanging="792"/>
      </w:pPr>
      <w:rPr>
        <w:rFonts w:cs="Times New Roman" w:hint="default"/>
      </w:rPr>
    </w:lvl>
    <w:lvl w:ilvl="5">
      <w:start w:val="1"/>
      <w:numFmt w:val="decimal"/>
      <w:lvlText w:val="%1.%2.%3.%4.%5.%6."/>
      <w:lvlJc w:val="left"/>
      <w:pPr>
        <w:tabs>
          <w:tab w:val="num" w:pos="2160"/>
        </w:tabs>
        <w:ind w:left="2016" w:hanging="936"/>
      </w:pPr>
      <w:rPr>
        <w:rFonts w:cs="Times New Roman" w:hint="default"/>
      </w:rPr>
    </w:lvl>
    <w:lvl w:ilvl="6">
      <w:start w:val="1"/>
      <w:numFmt w:val="decimal"/>
      <w:lvlText w:val="%1.%2.%3.%4.%5.%6.%7."/>
      <w:lvlJc w:val="left"/>
      <w:pPr>
        <w:tabs>
          <w:tab w:val="num" w:pos="2880"/>
        </w:tabs>
        <w:ind w:left="2520" w:hanging="1080"/>
      </w:pPr>
      <w:rPr>
        <w:rFonts w:cs="Times New Roman" w:hint="default"/>
      </w:rPr>
    </w:lvl>
    <w:lvl w:ilvl="7">
      <w:start w:val="1"/>
      <w:numFmt w:val="decimal"/>
      <w:lvlText w:val="%1.%2.%3.%4.%5.%6.%7.%8."/>
      <w:lvlJc w:val="left"/>
      <w:pPr>
        <w:tabs>
          <w:tab w:val="num" w:pos="3240"/>
        </w:tabs>
        <w:ind w:left="3024" w:hanging="1224"/>
      </w:pPr>
      <w:rPr>
        <w:rFonts w:cs="Times New Roman" w:hint="default"/>
      </w:rPr>
    </w:lvl>
    <w:lvl w:ilvl="8">
      <w:start w:val="1"/>
      <w:numFmt w:val="decimal"/>
      <w:lvlText w:val="%1.%2.%3.%4.%5.%6.%7.%8.%9."/>
      <w:lvlJc w:val="left"/>
      <w:pPr>
        <w:tabs>
          <w:tab w:val="num" w:pos="3960"/>
        </w:tabs>
        <w:ind w:left="3600" w:hanging="1440"/>
      </w:pPr>
      <w:rPr>
        <w:rFonts w:cs="Times New Roman" w:hint="default"/>
      </w:rPr>
    </w:lvl>
  </w:abstractNum>
  <w:abstractNum w:abstractNumId="8" w15:restartNumberingAfterBreak="0">
    <w:nsid w:val="0B0C6ABF"/>
    <w:multiLevelType w:val="hybridMultilevel"/>
    <w:tmpl w:val="29DC3B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FC11144"/>
    <w:multiLevelType w:val="multilevel"/>
    <w:tmpl w:val="9BC696CC"/>
    <w:styleLink w:val="3"/>
    <w:lvl w:ilvl="0">
      <w:start w:val="1"/>
      <w:numFmt w:val="decimal"/>
      <w:lvlText w:val="%1."/>
      <w:lvlJc w:val="left"/>
      <w:pPr>
        <w:ind w:left="709" w:hanging="709"/>
      </w:pPr>
      <w:rPr>
        <w:rFonts w:ascii="Times New Roman" w:hAnsi="Times New Roman"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09005BF"/>
    <w:multiLevelType w:val="hybridMultilevel"/>
    <w:tmpl w:val="08A85A6A"/>
    <w:lvl w:ilvl="0" w:tplc="0419000F">
      <w:start w:val="1"/>
      <w:numFmt w:val="bullet"/>
      <w:pStyle w:val="a0"/>
      <w:lvlText w:val=""/>
      <w:lvlJc w:val="left"/>
      <w:pPr>
        <w:ind w:left="1429" w:hanging="360"/>
      </w:pPr>
      <w:rPr>
        <w:rFonts w:ascii="Symbol" w:hAnsi="Symbol" w:cs="Symbol" w:hint="default"/>
      </w:rPr>
    </w:lvl>
    <w:lvl w:ilvl="1" w:tplc="04190019">
      <w:start w:val="1"/>
      <w:numFmt w:val="bullet"/>
      <w:lvlText w:val="o"/>
      <w:lvlJc w:val="left"/>
      <w:pPr>
        <w:ind w:left="2149" w:hanging="360"/>
      </w:pPr>
      <w:rPr>
        <w:rFonts w:ascii="Courier New" w:hAnsi="Courier New" w:cs="Courier New" w:hint="default"/>
      </w:rPr>
    </w:lvl>
    <w:lvl w:ilvl="2" w:tplc="0419001B">
      <w:start w:val="1"/>
      <w:numFmt w:val="bullet"/>
      <w:lvlText w:val=""/>
      <w:lvlJc w:val="left"/>
      <w:pPr>
        <w:ind w:left="2869" w:hanging="360"/>
      </w:pPr>
      <w:rPr>
        <w:rFonts w:ascii="Wingdings" w:hAnsi="Wingdings" w:cs="Wingdings" w:hint="default"/>
      </w:rPr>
    </w:lvl>
    <w:lvl w:ilvl="3" w:tplc="0419000F">
      <w:start w:val="1"/>
      <w:numFmt w:val="bullet"/>
      <w:lvlText w:val=""/>
      <w:lvlJc w:val="left"/>
      <w:pPr>
        <w:ind w:left="3589" w:hanging="360"/>
      </w:pPr>
      <w:rPr>
        <w:rFonts w:ascii="Symbol" w:hAnsi="Symbol" w:cs="Symbol" w:hint="default"/>
      </w:rPr>
    </w:lvl>
    <w:lvl w:ilvl="4" w:tplc="04190019">
      <w:start w:val="1"/>
      <w:numFmt w:val="bullet"/>
      <w:lvlText w:val="o"/>
      <w:lvlJc w:val="left"/>
      <w:pPr>
        <w:ind w:left="4309" w:hanging="360"/>
      </w:pPr>
      <w:rPr>
        <w:rFonts w:ascii="Courier New" w:hAnsi="Courier New" w:cs="Courier New" w:hint="default"/>
      </w:rPr>
    </w:lvl>
    <w:lvl w:ilvl="5" w:tplc="0419001B">
      <w:start w:val="1"/>
      <w:numFmt w:val="bullet"/>
      <w:lvlText w:val=""/>
      <w:lvlJc w:val="left"/>
      <w:pPr>
        <w:ind w:left="5029" w:hanging="360"/>
      </w:pPr>
      <w:rPr>
        <w:rFonts w:ascii="Wingdings" w:hAnsi="Wingdings" w:cs="Wingdings" w:hint="default"/>
      </w:rPr>
    </w:lvl>
    <w:lvl w:ilvl="6" w:tplc="0419000F">
      <w:start w:val="1"/>
      <w:numFmt w:val="bullet"/>
      <w:lvlText w:val=""/>
      <w:lvlJc w:val="left"/>
      <w:pPr>
        <w:ind w:left="5749" w:hanging="360"/>
      </w:pPr>
      <w:rPr>
        <w:rFonts w:ascii="Symbol" w:hAnsi="Symbol" w:cs="Symbol" w:hint="default"/>
      </w:rPr>
    </w:lvl>
    <w:lvl w:ilvl="7" w:tplc="04190019">
      <w:start w:val="1"/>
      <w:numFmt w:val="bullet"/>
      <w:lvlText w:val="o"/>
      <w:lvlJc w:val="left"/>
      <w:pPr>
        <w:ind w:left="6469" w:hanging="360"/>
      </w:pPr>
      <w:rPr>
        <w:rFonts w:ascii="Courier New" w:hAnsi="Courier New" w:cs="Courier New" w:hint="default"/>
      </w:rPr>
    </w:lvl>
    <w:lvl w:ilvl="8" w:tplc="0419001B">
      <w:start w:val="1"/>
      <w:numFmt w:val="bullet"/>
      <w:lvlText w:val=""/>
      <w:lvlJc w:val="left"/>
      <w:pPr>
        <w:ind w:left="7189" w:hanging="360"/>
      </w:pPr>
      <w:rPr>
        <w:rFonts w:ascii="Wingdings" w:hAnsi="Wingdings" w:cs="Wingdings" w:hint="default"/>
      </w:rPr>
    </w:lvl>
  </w:abstractNum>
  <w:abstractNum w:abstractNumId="11" w15:restartNumberingAfterBreak="0">
    <w:nsid w:val="138A4D76"/>
    <w:multiLevelType w:val="hybridMultilevel"/>
    <w:tmpl w:val="70FA9AC6"/>
    <w:lvl w:ilvl="0" w:tplc="F7066C18">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230A70E5"/>
    <w:multiLevelType w:val="hybridMultilevel"/>
    <w:tmpl w:val="8A5A26C6"/>
    <w:lvl w:ilvl="0" w:tplc="E88010AE">
      <w:start w:val="1"/>
      <w:numFmt w:val="decimal"/>
      <w:pStyle w:val="a1"/>
      <w:lvlText w:val="%1)"/>
      <w:lvlJc w:val="left"/>
      <w:pPr>
        <w:tabs>
          <w:tab w:val="num" w:pos="927"/>
        </w:tabs>
        <w:ind w:left="927" w:hanging="360"/>
      </w:pPr>
      <w:rPr>
        <w:rFonts w:cs="Times New Roman" w:hint="default"/>
      </w:rPr>
    </w:lvl>
    <w:lvl w:ilvl="1" w:tplc="4A562C1A">
      <w:start w:val="1"/>
      <w:numFmt w:val="lowerLetter"/>
      <w:lvlText w:val="%2."/>
      <w:lvlJc w:val="left"/>
      <w:pPr>
        <w:tabs>
          <w:tab w:val="num" w:pos="2007"/>
        </w:tabs>
        <w:ind w:left="2007" w:hanging="360"/>
      </w:pPr>
      <w:rPr>
        <w:rFonts w:cs="Times New Roman"/>
      </w:rPr>
    </w:lvl>
    <w:lvl w:ilvl="2" w:tplc="5C3CD9E2">
      <w:start w:val="1"/>
      <w:numFmt w:val="lowerRoman"/>
      <w:lvlText w:val="%3."/>
      <w:lvlJc w:val="right"/>
      <w:pPr>
        <w:tabs>
          <w:tab w:val="num" w:pos="2727"/>
        </w:tabs>
        <w:ind w:left="2727" w:hanging="180"/>
      </w:pPr>
      <w:rPr>
        <w:rFonts w:cs="Times New Roman"/>
      </w:rPr>
    </w:lvl>
    <w:lvl w:ilvl="3" w:tplc="3E2C8CCA">
      <w:start w:val="1"/>
      <w:numFmt w:val="decimal"/>
      <w:lvlText w:val="%4."/>
      <w:lvlJc w:val="left"/>
      <w:pPr>
        <w:tabs>
          <w:tab w:val="num" w:pos="3447"/>
        </w:tabs>
        <w:ind w:left="3447" w:hanging="360"/>
      </w:pPr>
      <w:rPr>
        <w:rFonts w:cs="Times New Roman"/>
      </w:rPr>
    </w:lvl>
    <w:lvl w:ilvl="4" w:tplc="9D7C0EC4">
      <w:start w:val="1"/>
      <w:numFmt w:val="lowerLetter"/>
      <w:lvlText w:val="%5."/>
      <w:lvlJc w:val="left"/>
      <w:pPr>
        <w:tabs>
          <w:tab w:val="num" w:pos="4167"/>
        </w:tabs>
        <w:ind w:left="4167" w:hanging="360"/>
      </w:pPr>
      <w:rPr>
        <w:rFonts w:cs="Times New Roman"/>
      </w:rPr>
    </w:lvl>
    <w:lvl w:ilvl="5" w:tplc="F81AA608">
      <w:start w:val="1"/>
      <w:numFmt w:val="lowerRoman"/>
      <w:lvlText w:val="%6."/>
      <w:lvlJc w:val="right"/>
      <w:pPr>
        <w:tabs>
          <w:tab w:val="num" w:pos="4887"/>
        </w:tabs>
        <w:ind w:left="4887" w:hanging="180"/>
      </w:pPr>
      <w:rPr>
        <w:rFonts w:cs="Times New Roman"/>
      </w:rPr>
    </w:lvl>
    <w:lvl w:ilvl="6" w:tplc="FA649344">
      <w:start w:val="1"/>
      <w:numFmt w:val="decimal"/>
      <w:lvlText w:val="%7."/>
      <w:lvlJc w:val="left"/>
      <w:pPr>
        <w:tabs>
          <w:tab w:val="num" w:pos="5607"/>
        </w:tabs>
        <w:ind w:left="5607" w:hanging="360"/>
      </w:pPr>
      <w:rPr>
        <w:rFonts w:cs="Times New Roman"/>
      </w:rPr>
    </w:lvl>
    <w:lvl w:ilvl="7" w:tplc="02BE9CEA">
      <w:start w:val="1"/>
      <w:numFmt w:val="lowerLetter"/>
      <w:lvlText w:val="%8."/>
      <w:lvlJc w:val="left"/>
      <w:pPr>
        <w:tabs>
          <w:tab w:val="num" w:pos="6327"/>
        </w:tabs>
        <w:ind w:left="6327" w:hanging="360"/>
      </w:pPr>
      <w:rPr>
        <w:rFonts w:cs="Times New Roman"/>
      </w:rPr>
    </w:lvl>
    <w:lvl w:ilvl="8" w:tplc="6E1E1264">
      <w:start w:val="1"/>
      <w:numFmt w:val="lowerRoman"/>
      <w:lvlText w:val="%9."/>
      <w:lvlJc w:val="right"/>
      <w:pPr>
        <w:tabs>
          <w:tab w:val="num" w:pos="7047"/>
        </w:tabs>
        <w:ind w:left="7047" w:hanging="180"/>
      </w:pPr>
      <w:rPr>
        <w:rFonts w:cs="Times New Roman"/>
      </w:rPr>
    </w:lvl>
  </w:abstractNum>
  <w:abstractNum w:abstractNumId="13" w15:restartNumberingAfterBreak="0">
    <w:nsid w:val="28533C9B"/>
    <w:multiLevelType w:val="multilevel"/>
    <w:tmpl w:val="0D84D736"/>
    <w:styleLink w:val="a2"/>
    <w:lvl w:ilvl="0">
      <w:start w:val="1"/>
      <w:numFmt w:val="decimal"/>
      <w:lvlText w:val="%1"/>
      <w:lvlJc w:val="left"/>
      <w:pPr>
        <w:ind w:left="432" w:hanging="432"/>
      </w:pPr>
      <w:rPr>
        <w:rFonts w:ascii="Times New Roman" w:hAnsi="Times New Roman" w:hint="default"/>
        <w:b/>
        <w:sz w:val="28"/>
      </w:rPr>
    </w:lvl>
    <w:lvl w:ilvl="1">
      <w:start w:val="1"/>
      <w:numFmt w:val="decimal"/>
      <w:lvlText w:val="%1.%2"/>
      <w:lvlJc w:val="left"/>
      <w:pPr>
        <w:ind w:left="576" w:hanging="349"/>
      </w:pPr>
      <w:rPr>
        <w:rFonts w:hint="default"/>
      </w:rPr>
    </w:lvl>
    <w:lvl w:ilvl="2">
      <w:start w:val="1"/>
      <w:numFmt w:val="decimal"/>
      <w:lvlText w:val="%1.%2.%3"/>
      <w:lvlJc w:val="left"/>
      <w:pPr>
        <w:ind w:left="720" w:hanging="266"/>
      </w:pPr>
      <w:rPr>
        <w:rFonts w:hint="default"/>
      </w:rPr>
    </w:lvl>
    <w:lvl w:ilvl="3">
      <w:start w:val="1"/>
      <w:numFmt w:val="decimal"/>
      <w:lvlText w:val="%1.%2.%3.%4"/>
      <w:lvlJc w:val="left"/>
      <w:pPr>
        <w:ind w:left="864" w:hanging="184"/>
      </w:pPr>
      <w:rPr>
        <w:rFonts w:hint="default"/>
      </w:rPr>
    </w:lvl>
    <w:lvl w:ilvl="4">
      <w:start w:val="1"/>
      <w:numFmt w:val="decimal"/>
      <w:lvlText w:val="%1.%2.%3.%4.%5"/>
      <w:lvlJc w:val="left"/>
      <w:pPr>
        <w:ind w:left="1008" w:hanging="101"/>
      </w:pPr>
      <w:rPr>
        <w:rFonts w:hint="default"/>
      </w:rPr>
    </w:lvl>
    <w:lvl w:ilvl="5">
      <w:start w:val="1"/>
      <w:numFmt w:val="decimal"/>
      <w:lvlText w:val="%1.%2.%3.%4.%5.%6"/>
      <w:lvlJc w:val="left"/>
      <w:pPr>
        <w:ind w:left="1152" w:hanging="18"/>
      </w:pPr>
      <w:rPr>
        <w:rFonts w:hint="default"/>
      </w:rPr>
    </w:lvl>
    <w:lvl w:ilvl="6">
      <w:start w:val="1"/>
      <w:numFmt w:val="decimal"/>
      <w:lvlText w:val="%1.%2.%3.%4.%5.%6.%7"/>
      <w:lvlJc w:val="left"/>
      <w:pPr>
        <w:tabs>
          <w:tab w:val="num" w:pos="1814"/>
        </w:tabs>
        <w:ind w:left="1296" w:firstLine="65"/>
      </w:pPr>
      <w:rPr>
        <w:rFonts w:hint="default"/>
      </w:rPr>
    </w:lvl>
    <w:lvl w:ilvl="7">
      <w:start w:val="1"/>
      <w:numFmt w:val="decimal"/>
      <w:lvlText w:val="%1.%2.%3.%4.%5.%6.%7.%8"/>
      <w:lvlJc w:val="left"/>
      <w:pPr>
        <w:tabs>
          <w:tab w:val="num" w:pos="1644"/>
        </w:tabs>
        <w:ind w:left="1440" w:firstLine="148"/>
      </w:pPr>
      <w:rPr>
        <w:rFonts w:hint="default"/>
      </w:rPr>
    </w:lvl>
    <w:lvl w:ilvl="8">
      <w:start w:val="1"/>
      <w:numFmt w:val="decimal"/>
      <w:lvlText w:val="%1.%2.%3.%4.%5.%6.%7.%8.%9"/>
      <w:lvlJc w:val="left"/>
      <w:pPr>
        <w:ind w:left="1584" w:firstLine="230"/>
      </w:pPr>
      <w:rPr>
        <w:rFonts w:hint="default"/>
      </w:rPr>
    </w:lvl>
  </w:abstractNum>
  <w:abstractNum w:abstractNumId="14" w15:restartNumberingAfterBreak="0">
    <w:nsid w:val="2B1625FC"/>
    <w:multiLevelType w:val="hybridMultilevel"/>
    <w:tmpl w:val="234EB526"/>
    <w:lvl w:ilvl="0" w:tplc="04190001">
      <w:start w:val="1"/>
      <w:numFmt w:val="russianUpper"/>
      <w:pStyle w:val="a3"/>
      <w:lvlText w:val="Приложение %1"/>
      <w:lvlJc w:val="left"/>
      <w:pPr>
        <w:tabs>
          <w:tab w:val="num" w:pos="1985"/>
        </w:tabs>
        <w:ind w:left="1985" w:hanging="1985"/>
      </w:pPr>
      <w:rPr>
        <w:rFonts w:ascii="Times New Roman" w:hAnsi="Times New Roman" w:cs="Times New Roman" w:hint="default"/>
        <w:b w:val="0"/>
        <w:bCs w:val="0"/>
        <w:i w:val="0"/>
        <w:iCs w:val="0"/>
        <w:sz w:val="24"/>
        <w:szCs w:val="24"/>
      </w:rPr>
    </w:lvl>
    <w:lvl w:ilvl="1" w:tplc="04190003">
      <w:start w:val="1"/>
      <w:numFmt w:val="lowerLetter"/>
      <w:lvlText w:val="%2."/>
      <w:lvlJc w:val="left"/>
      <w:pPr>
        <w:tabs>
          <w:tab w:val="num" w:pos="1440"/>
        </w:tabs>
        <w:ind w:left="1440" w:hanging="360"/>
      </w:pPr>
      <w:rPr>
        <w:rFonts w:cs="Times New Roman"/>
      </w:rPr>
    </w:lvl>
    <w:lvl w:ilvl="2" w:tplc="04190005">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abstractNum w:abstractNumId="15" w15:restartNumberingAfterBreak="0">
    <w:nsid w:val="2B1F0A67"/>
    <w:multiLevelType w:val="hybridMultilevel"/>
    <w:tmpl w:val="65FCE3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45D1796"/>
    <w:multiLevelType w:val="hybridMultilevel"/>
    <w:tmpl w:val="2666A130"/>
    <w:lvl w:ilvl="0" w:tplc="3A66E2E0">
      <w:start w:val="1"/>
      <w:numFmt w:val="bullet"/>
      <w:pStyle w:val="2"/>
      <w:lvlText w:val=""/>
      <w:lvlJc w:val="left"/>
      <w:pPr>
        <w:tabs>
          <w:tab w:val="num" w:pos="1287"/>
        </w:tabs>
        <w:ind w:left="1287" w:hanging="360"/>
      </w:pPr>
      <w:rPr>
        <w:rFonts w:ascii="Symbol" w:hAnsi="Symbol" w:hint="default"/>
        <w:color w:val="auto"/>
        <w:sz w:val="16"/>
      </w:rPr>
    </w:lvl>
    <w:lvl w:ilvl="1" w:tplc="04190019">
      <w:start w:val="1"/>
      <w:numFmt w:val="bullet"/>
      <w:lvlText w:val="o"/>
      <w:lvlJc w:val="left"/>
      <w:pPr>
        <w:tabs>
          <w:tab w:val="num" w:pos="1440"/>
        </w:tabs>
        <w:ind w:left="1440" w:hanging="360"/>
      </w:pPr>
      <w:rPr>
        <w:rFonts w:ascii="Courier New" w:hAnsi="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start w:val="1"/>
      <w:numFmt w:val="bullet"/>
      <w:lvlText w:val=""/>
      <w:lvlJc w:val="left"/>
      <w:pPr>
        <w:tabs>
          <w:tab w:val="num" w:pos="2880"/>
        </w:tabs>
        <w:ind w:left="2880" w:hanging="360"/>
      </w:pPr>
      <w:rPr>
        <w:rFonts w:ascii="Symbol" w:hAnsi="Symbol" w:hint="default"/>
      </w:rPr>
    </w:lvl>
    <w:lvl w:ilvl="4" w:tplc="04190019">
      <w:start w:val="1"/>
      <w:numFmt w:val="bullet"/>
      <w:lvlText w:val="o"/>
      <w:lvlJc w:val="left"/>
      <w:pPr>
        <w:tabs>
          <w:tab w:val="num" w:pos="3600"/>
        </w:tabs>
        <w:ind w:left="3600" w:hanging="360"/>
      </w:pPr>
      <w:rPr>
        <w:rFonts w:ascii="Courier New" w:hAnsi="Courier New" w:hint="default"/>
      </w:rPr>
    </w:lvl>
    <w:lvl w:ilvl="5" w:tplc="0419001B">
      <w:start w:val="1"/>
      <w:numFmt w:val="bullet"/>
      <w:lvlText w:val=""/>
      <w:lvlJc w:val="left"/>
      <w:pPr>
        <w:tabs>
          <w:tab w:val="num" w:pos="4320"/>
        </w:tabs>
        <w:ind w:left="4320" w:hanging="360"/>
      </w:pPr>
      <w:rPr>
        <w:rFonts w:ascii="Wingdings" w:hAnsi="Wingdings" w:hint="default"/>
      </w:rPr>
    </w:lvl>
    <w:lvl w:ilvl="6" w:tplc="0419000F">
      <w:start w:val="1"/>
      <w:numFmt w:val="bullet"/>
      <w:lvlText w:val=""/>
      <w:lvlJc w:val="left"/>
      <w:pPr>
        <w:tabs>
          <w:tab w:val="num" w:pos="5040"/>
        </w:tabs>
        <w:ind w:left="5040" w:hanging="360"/>
      </w:pPr>
      <w:rPr>
        <w:rFonts w:ascii="Symbol" w:hAnsi="Symbol" w:hint="default"/>
      </w:rPr>
    </w:lvl>
    <w:lvl w:ilvl="7" w:tplc="04190019">
      <w:start w:val="1"/>
      <w:numFmt w:val="bullet"/>
      <w:lvlText w:val="o"/>
      <w:lvlJc w:val="left"/>
      <w:pPr>
        <w:tabs>
          <w:tab w:val="num" w:pos="5760"/>
        </w:tabs>
        <w:ind w:left="5760" w:hanging="360"/>
      </w:pPr>
      <w:rPr>
        <w:rFonts w:ascii="Courier New" w:hAnsi="Courier New" w:hint="default"/>
      </w:rPr>
    </w:lvl>
    <w:lvl w:ilvl="8" w:tplc="0419001B">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BF86B24"/>
    <w:multiLevelType w:val="multilevel"/>
    <w:tmpl w:val="9950384A"/>
    <w:lvl w:ilvl="0">
      <w:start w:val="1"/>
      <w:numFmt w:val="decimal"/>
      <w:pStyle w:val="a4"/>
      <w:lvlText w:val="%1."/>
      <w:lvlJc w:val="center"/>
      <w:pPr>
        <w:tabs>
          <w:tab w:val="num" w:pos="284"/>
        </w:tabs>
        <w:ind w:left="567" w:hanging="567"/>
      </w:pPr>
      <w:rPr>
        <w:rFonts w:ascii="Times New Roman" w:hAnsi="Times New Roman" w:cs="Times New Roman" w:hint="default"/>
        <w:b/>
        <w:bCs/>
        <w:i w:val="0"/>
        <w:iCs w:val="0"/>
        <w:caps/>
        <w:smallCaps w:val="0"/>
        <w:strike w:val="0"/>
        <w:dstrike w:val="0"/>
        <w:outline w:val="0"/>
        <w:shadow w:val="0"/>
        <w:emboss w:val="0"/>
        <w:imprint w:val="0"/>
        <w:vanish w:val="0"/>
        <w:spacing w:val="0"/>
        <w:w w:val="100"/>
        <w:kern w:val="0"/>
        <w:position w:val="0"/>
        <w:sz w:val="24"/>
        <w:szCs w:val="24"/>
        <w:u w:val="none"/>
        <w:vertAlign w:val="baseline"/>
      </w:rPr>
    </w:lvl>
    <w:lvl w:ilvl="1">
      <w:start w:val="1"/>
      <w:numFmt w:val="decimal"/>
      <w:lvlRestart w:val="0"/>
      <w:pStyle w:val="a5"/>
      <w:lvlText w:val="%1.%2"/>
      <w:lvlJc w:val="left"/>
      <w:pPr>
        <w:tabs>
          <w:tab w:val="num" w:pos="284"/>
        </w:tabs>
        <w:ind w:left="567" w:hanging="567"/>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sz w:val="24"/>
        <w:szCs w:val="24"/>
        <w:u w:val="none"/>
        <w:vertAlign w:val="baseline"/>
      </w:rPr>
    </w:lvl>
    <w:lvl w:ilvl="2">
      <w:start w:val="1"/>
      <w:numFmt w:val="decimal"/>
      <w:lvlText w:val="%1.%2.%3."/>
      <w:lvlJc w:val="left"/>
      <w:pPr>
        <w:tabs>
          <w:tab w:val="num" w:pos="1152"/>
        </w:tabs>
        <w:ind w:left="936" w:hanging="504"/>
      </w:pPr>
      <w:rPr>
        <w:rFonts w:cs="Times New Roman" w:hint="default"/>
      </w:rPr>
    </w:lvl>
    <w:lvl w:ilvl="3">
      <w:start w:val="1"/>
      <w:numFmt w:val="decimal"/>
      <w:lvlText w:val="%1.%2.%3.%4."/>
      <w:lvlJc w:val="left"/>
      <w:pPr>
        <w:tabs>
          <w:tab w:val="num" w:pos="1512"/>
        </w:tabs>
        <w:ind w:left="1440" w:hanging="648"/>
      </w:pPr>
      <w:rPr>
        <w:rFonts w:cs="Times New Roman" w:hint="default"/>
      </w:rPr>
    </w:lvl>
    <w:lvl w:ilvl="4">
      <w:start w:val="1"/>
      <w:numFmt w:val="decimal"/>
      <w:lvlText w:val="%1.%2.%3.%4.%5."/>
      <w:lvlJc w:val="left"/>
      <w:pPr>
        <w:tabs>
          <w:tab w:val="num" w:pos="2232"/>
        </w:tabs>
        <w:ind w:left="1944" w:hanging="792"/>
      </w:pPr>
      <w:rPr>
        <w:rFonts w:cs="Times New Roman" w:hint="default"/>
      </w:rPr>
    </w:lvl>
    <w:lvl w:ilvl="5">
      <w:start w:val="1"/>
      <w:numFmt w:val="decimal"/>
      <w:lvlText w:val="%1.%2.%3.%4.%5.%6."/>
      <w:lvlJc w:val="left"/>
      <w:pPr>
        <w:tabs>
          <w:tab w:val="num" w:pos="2592"/>
        </w:tabs>
        <w:ind w:left="2448" w:hanging="936"/>
      </w:pPr>
      <w:rPr>
        <w:rFonts w:cs="Times New Roman" w:hint="default"/>
      </w:rPr>
    </w:lvl>
    <w:lvl w:ilvl="6">
      <w:start w:val="1"/>
      <w:numFmt w:val="decimal"/>
      <w:lvlText w:val="%1.%2.%3.%4.%5.%6.%7."/>
      <w:lvlJc w:val="left"/>
      <w:pPr>
        <w:tabs>
          <w:tab w:val="num" w:pos="3312"/>
        </w:tabs>
        <w:ind w:left="2952" w:hanging="1080"/>
      </w:pPr>
      <w:rPr>
        <w:rFonts w:cs="Times New Roman" w:hint="default"/>
      </w:rPr>
    </w:lvl>
    <w:lvl w:ilvl="7">
      <w:start w:val="1"/>
      <w:numFmt w:val="decimal"/>
      <w:lvlText w:val="%1.%2.%3.%4.%5.%6.%7.%8."/>
      <w:lvlJc w:val="left"/>
      <w:pPr>
        <w:tabs>
          <w:tab w:val="num" w:pos="3672"/>
        </w:tabs>
        <w:ind w:left="3456" w:hanging="1224"/>
      </w:pPr>
      <w:rPr>
        <w:rFonts w:cs="Times New Roman" w:hint="default"/>
      </w:rPr>
    </w:lvl>
    <w:lvl w:ilvl="8">
      <w:start w:val="1"/>
      <w:numFmt w:val="decimal"/>
      <w:lvlText w:val="%1.%2.%3.%4.%5.%6.%7.%8.%9."/>
      <w:lvlJc w:val="left"/>
      <w:pPr>
        <w:tabs>
          <w:tab w:val="num" w:pos="4392"/>
        </w:tabs>
        <w:ind w:left="4032" w:hanging="1440"/>
      </w:pPr>
      <w:rPr>
        <w:rFonts w:cs="Times New Roman" w:hint="default"/>
      </w:rPr>
    </w:lvl>
  </w:abstractNum>
  <w:abstractNum w:abstractNumId="18" w15:restartNumberingAfterBreak="0">
    <w:nsid w:val="3F01588D"/>
    <w:multiLevelType w:val="hybridMultilevel"/>
    <w:tmpl w:val="70FA9AC6"/>
    <w:lvl w:ilvl="0" w:tplc="F7066C18">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42EE57D8"/>
    <w:multiLevelType w:val="hybridMultilevel"/>
    <w:tmpl w:val="8A58B32A"/>
    <w:lvl w:ilvl="0" w:tplc="FADA0790">
      <w:start w:val="1"/>
      <w:numFmt w:val="russianUpper"/>
      <w:pStyle w:val="a6"/>
      <w:lvlText w:val="Приложение %1"/>
      <w:lvlJc w:val="left"/>
      <w:pPr>
        <w:tabs>
          <w:tab w:val="num" w:pos="1985"/>
        </w:tabs>
        <w:ind w:left="1985" w:hanging="1985"/>
      </w:pPr>
      <w:rPr>
        <w:rFonts w:ascii="Times New Roman" w:hAnsi="Times New Roman" w:cs="Times New Roman" w:hint="default"/>
        <w:b w:val="0"/>
        <w:bCs w:val="0"/>
        <w:i w:val="0"/>
        <w:iCs w:val="0"/>
        <w:color w:val="auto"/>
        <w:sz w:val="24"/>
        <w:szCs w:val="24"/>
      </w:rPr>
    </w:lvl>
    <w:lvl w:ilvl="1" w:tplc="5914AC84">
      <w:start w:val="1"/>
      <w:numFmt w:val="lowerLetter"/>
      <w:lvlText w:val="%2."/>
      <w:lvlJc w:val="left"/>
      <w:pPr>
        <w:tabs>
          <w:tab w:val="num" w:pos="1440"/>
        </w:tabs>
        <w:ind w:left="1440" w:hanging="360"/>
      </w:pPr>
      <w:rPr>
        <w:rFonts w:cs="Times New Roman"/>
      </w:rPr>
    </w:lvl>
    <w:lvl w:ilvl="2" w:tplc="E1D4312A">
      <w:start w:val="1"/>
      <w:numFmt w:val="lowerRoman"/>
      <w:lvlText w:val="%3."/>
      <w:lvlJc w:val="right"/>
      <w:pPr>
        <w:tabs>
          <w:tab w:val="num" w:pos="2160"/>
        </w:tabs>
        <w:ind w:left="2160" w:hanging="180"/>
      </w:pPr>
      <w:rPr>
        <w:rFonts w:cs="Times New Roman"/>
      </w:rPr>
    </w:lvl>
    <w:lvl w:ilvl="3" w:tplc="6114BEB8">
      <w:start w:val="1"/>
      <w:numFmt w:val="decimal"/>
      <w:lvlText w:val="%4."/>
      <w:lvlJc w:val="left"/>
      <w:pPr>
        <w:tabs>
          <w:tab w:val="num" w:pos="2880"/>
        </w:tabs>
        <w:ind w:left="2880" w:hanging="360"/>
      </w:pPr>
      <w:rPr>
        <w:rFonts w:cs="Times New Roman"/>
      </w:rPr>
    </w:lvl>
    <w:lvl w:ilvl="4" w:tplc="14CA0D4E">
      <w:start w:val="1"/>
      <w:numFmt w:val="lowerLetter"/>
      <w:lvlText w:val="%5."/>
      <w:lvlJc w:val="left"/>
      <w:pPr>
        <w:tabs>
          <w:tab w:val="num" w:pos="3600"/>
        </w:tabs>
        <w:ind w:left="3600" w:hanging="360"/>
      </w:pPr>
      <w:rPr>
        <w:rFonts w:cs="Times New Roman"/>
      </w:rPr>
    </w:lvl>
    <w:lvl w:ilvl="5" w:tplc="D63687B6">
      <w:start w:val="1"/>
      <w:numFmt w:val="lowerRoman"/>
      <w:lvlText w:val="%6."/>
      <w:lvlJc w:val="right"/>
      <w:pPr>
        <w:tabs>
          <w:tab w:val="num" w:pos="4320"/>
        </w:tabs>
        <w:ind w:left="4320" w:hanging="180"/>
      </w:pPr>
      <w:rPr>
        <w:rFonts w:cs="Times New Roman"/>
      </w:rPr>
    </w:lvl>
    <w:lvl w:ilvl="6" w:tplc="C9FC6F04">
      <w:start w:val="1"/>
      <w:numFmt w:val="decimal"/>
      <w:lvlText w:val="%7."/>
      <w:lvlJc w:val="left"/>
      <w:pPr>
        <w:tabs>
          <w:tab w:val="num" w:pos="5040"/>
        </w:tabs>
        <w:ind w:left="5040" w:hanging="360"/>
      </w:pPr>
      <w:rPr>
        <w:rFonts w:cs="Times New Roman"/>
      </w:rPr>
    </w:lvl>
    <w:lvl w:ilvl="7" w:tplc="80D8449A">
      <w:start w:val="1"/>
      <w:numFmt w:val="lowerLetter"/>
      <w:lvlText w:val="%8."/>
      <w:lvlJc w:val="left"/>
      <w:pPr>
        <w:tabs>
          <w:tab w:val="num" w:pos="5760"/>
        </w:tabs>
        <w:ind w:left="5760" w:hanging="360"/>
      </w:pPr>
      <w:rPr>
        <w:rFonts w:cs="Times New Roman"/>
      </w:rPr>
    </w:lvl>
    <w:lvl w:ilvl="8" w:tplc="37309E9E">
      <w:start w:val="1"/>
      <w:numFmt w:val="lowerRoman"/>
      <w:lvlText w:val="%9."/>
      <w:lvlJc w:val="right"/>
      <w:pPr>
        <w:tabs>
          <w:tab w:val="num" w:pos="6480"/>
        </w:tabs>
        <w:ind w:left="6480" w:hanging="180"/>
      </w:pPr>
      <w:rPr>
        <w:rFonts w:cs="Times New Roman"/>
      </w:rPr>
    </w:lvl>
  </w:abstractNum>
  <w:abstractNum w:abstractNumId="20" w15:restartNumberingAfterBreak="0">
    <w:nsid w:val="43264A97"/>
    <w:multiLevelType w:val="hybridMultilevel"/>
    <w:tmpl w:val="70FA9AC6"/>
    <w:lvl w:ilvl="0" w:tplc="F7066C18">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44A1256E"/>
    <w:multiLevelType w:val="hybridMultilevel"/>
    <w:tmpl w:val="846EE22C"/>
    <w:lvl w:ilvl="0" w:tplc="C3507BE0">
      <w:start w:val="1"/>
      <w:numFmt w:val="bullet"/>
      <w:lvlText w:val=""/>
      <w:lvlJc w:val="left"/>
      <w:pPr>
        <w:tabs>
          <w:tab w:val="num" w:pos="1440"/>
        </w:tabs>
        <w:ind w:left="1440" w:hanging="360"/>
      </w:pPr>
      <w:rPr>
        <w:rFonts w:ascii="Symbol" w:hAnsi="Symbol" w:hint="default"/>
      </w:rPr>
    </w:lvl>
    <w:lvl w:ilvl="1" w:tplc="E75AFAAC">
      <w:start w:val="1"/>
      <w:numFmt w:val="bullet"/>
      <w:pStyle w:val="a7"/>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7287F5A"/>
    <w:multiLevelType w:val="multilevel"/>
    <w:tmpl w:val="0419001F"/>
    <w:styleLink w:val="111111"/>
    <w:lvl w:ilvl="0">
      <w:start w:val="1"/>
      <w:numFmt w:val="decimal"/>
      <w:lvlText w:val="%1."/>
      <w:lvlJc w:val="left"/>
      <w:pPr>
        <w:tabs>
          <w:tab w:val="num" w:pos="360"/>
        </w:tabs>
        <w:ind w:left="360" w:hanging="360"/>
      </w:pPr>
      <w:rPr>
        <w:rFonts w:ascii="Arial" w:hAnsi="Arial" w:cs="Arial"/>
        <w:b/>
        <w:bCs/>
        <w:sz w:val="22"/>
        <w:szCs w:val="22"/>
      </w:rPr>
    </w:lvl>
    <w:lvl w:ilvl="1">
      <w:start w:val="1"/>
      <w:numFmt w:val="decimal"/>
      <w:lvlText w:val="%1.%2."/>
      <w:lvlJc w:val="left"/>
      <w:pPr>
        <w:tabs>
          <w:tab w:val="num" w:pos="792"/>
        </w:tabs>
        <w:ind w:left="792" w:hanging="432"/>
      </w:pPr>
      <w:rPr>
        <w:rFonts w:ascii="Arial" w:hAnsi="Arial" w:cs="Arial"/>
        <w:b/>
        <w:bCs/>
        <w:sz w:val="22"/>
        <w:szCs w:val="22"/>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3" w15:restartNumberingAfterBreak="0">
    <w:nsid w:val="4B170563"/>
    <w:multiLevelType w:val="singleLevel"/>
    <w:tmpl w:val="8A0C6168"/>
    <w:lvl w:ilvl="0">
      <w:start w:val="1"/>
      <w:numFmt w:val="bullet"/>
      <w:pStyle w:val="a8"/>
      <w:lvlText w:val=""/>
      <w:lvlJc w:val="left"/>
      <w:pPr>
        <w:tabs>
          <w:tab w:val="num" w:pos="786"/>
        </w:tabs>
        <w:ind w:left="786" w:hanging="360"/>
      </w:pPr>
      <w:rPr>
        <w:rFonts w:ascii="Wingdings" w:hAnsi="Wingdings" w:hint="default"/>
        <w:sz w:val="16"/>
      </w:rPr>
    </w:lvl>
  </w:abstractNum>
  <w:abstractNum w:abstractNumId="24" w15:restartNumberingAfterBreak="0">
    <w:nsid w:val="53FA6EA8"/>
    <w:multiLevelType w:val="hybridMultilevel"/>
    <w:tmpl w:val="5150CD44"/>
    <w:lvl w:ilvl="0" w:tplc="4D06553E">
      <w:start w:val="1"/>
      <w:numFmt w:val="bullet"/>
      <w:pStyle w:val="---"/>
      <w:lvlText w:val=""/>
      <w:lvlJc w:val="left"/>
      <w:pPr>
        <w:tabs>
          <w:tab w:val="num" w:pos="567"/>
        </w:tabs>
        <w:ind w:left="567" w:hanging="567"/>
      </w:pPr>
      <w:rPr>
        <w:rFonts w:ascii="Symbol" w:hAnsi="Symbol" w:hint="default"/>
        <w:color w:val="auto"/>
      </w:rPr>
    </w:lvl>
    <w:lvl w:ilvl="1" w:tplc="9F7A9E72">
      <w:start w:val="1"/>
      <w:numFmt w:val="bullet"/>
      <w:lvlText w:val="o"/>
      <w:lvlJc w:val="left"/>
      <w:pPr>
        <w:tabs>
          <w:tab w:val="num" w:pos="1440"/>
        </w:tabs>
        <w:ind w:left="1440" w:hanging="360"/>
      </w:pPr>
      <w:rPr>
        <w:rFonts w:ascii="Courier New" w:hAnsi="Courier New" w:hint="default"/>
      </w:rPr>
    </w:lvl>
    <w:lvl w:ilvl="2" w:tplc="0CD487A2">
      <w:start w:val="1"/>
      <w:numFmt w:val="bullet"/>
      <w:lvlText w:val=""/>
      <w:lvlJc w:val="left"/>
      <w:pPr>
        <w:tabs>
          <w:tab w:val="num" w:pos="2160"/>
        </w:tabs>
        <w:ind w:left="2160" w:hanging="360"/>
      </w:pPr>
      <w:rPr>
        <w:rFonts w:ascii="Wingdings" w:hAnsi="Wingdings" w:hint="default"/>
      </w:rPr>
    </w:lvl>
    <w:lvl w:ilvl="3" w:tplc="E504673A">
      <w:start w:val="1"/>
      <w:numFmt w:val="bullet"/>
      <w:lvlText w:val=""/>
      <w:lvlJc w:val="left"/>
      <w:pPr>
        <w:tabs>
          <w:tab w:val="num" w:pos="2880"/>
        </w:tabs>
        <w:ind w:left="2880" w:hanging="360"/>
      </w:pPr>
      <w:rPr>
        <w:rFonts w:ascii="Symbol" w:hAnsi="Symbol" w:hint="default"/>
      </w:rPr>
    </w:lvl>
    <w:lvl w:ilvl="4" w:tplc="A83CBA36">
      <w:start w:val="1"/>
      <w:numFmt w:val="bullet"/>
      <w:lvlText w:val="o"/>
      <w:lvlJc w:val="left"/>
      <w:pPr>
        <w:tabs>
          <w:tab w:val="num" w:pos="3600"/>
        </w:tabs>
        <w:ind w:left="3600" w:hanging="360"/>
      </w:pPr>
      <w:rPr>
        <w:rFonts w:ascii="Courier New" w:hAnsi="Courier New" w:hint="default"/>
      </w:rPr>
    </w:lvl>
    <w:lvl w:ilvl="5" w:tplc="62AA8EE4">
      <w:start w:val="1"/>
      <w:numFmt w:val="bullet"/>
      <w:lvlText w:val=""/>
      <w:lvlJc w:val="left"/>
      <w:pPr>
        <w:tabs>
          <w:tab w:val="num" w:pos="4320"/>
        </w:tabs>
        <w:ind w:left="4320" w:hanging="360"/>
      </w:pPr>
      <w:rPr>
        <w:rFonts w:ascii="Wingdings" w:hAnsi="Wingdings" w:hint="default"/>
      </w:rPr>
    </w:lvl>
    <w:lvl w:ilvl="6" w:tplc="3C28501A">
      <w:start w:val="1"/>
      <w:numFmt w:val="bullet"/>
      <w:lvlText w:val=""/>
      <w:lvlJc w:val="left"/>
      <w:pPr>
        <w:tabs>
          <w:tab w:val="num" w:pos="5040"/>
        </w:tabs>
        <w:ind w:left="5040" w:hanging="360"/>
      </w:pPr>
      <w:rPr>
        <w:rFonts w:ascii="Symbol" w:hAnsi="Symbol" w:hint="default"/>
      </w:rPr>
    </w:lvl>
    <w:lvl w:ilvl="7" w:tplc="676E6EDE">
      <w:start w:val="1"/>
      <w:numFmt w:val="bullet"/>
      <w:lvlText w:val="o"/>
      <w:lvlJc w:val="left"/>
      <w:pPr>
        <w:tabs>
          <w:tab w:val="num" w:pos="5760"/>
        </w:tabs>
        <w:ind w:left="5760" w:hanging="360"/>
      </w:pPr>
      <w:rPr>
        <w:rFonts w:ascii="Courier New" w:hAnsi="Courier New" w:hint="default"/>
      </w:rPr>
    </w:lvl>
    <w:lvl w:ilvl="8" w:tplc="ABB48926">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5E321BE"/>
    <w:multiLevelType w:val="multilevel"/>
    <w:tmpl w:val="91B2D8C8"/>
    <w:lvl w:ilvl="0">
      <w:start w:val="1"/>
      <w:numFmt w:val="upperRoman"/>
      <w:pStyle w:val="1"/>
      <w:lvlText w:val="%1."/>
      <w:lvlJc w:val="left"/>
      <w:pPr>
        <w:tabs>
          <w:tab w:val="num" w:pos="720"/>
        </w:tabs>
      </w:pPr>
      <w:rPr>
        <w:rFonts w:cs="Times New Roman" w:hint="default"/>
      </w:rPr>
    </w:lvl>
    <w:lvl w:ilvl="1">
      <w:start w:val="1"/>
      <w:numFmt w:val="decimal"/>
      <w:isLgl/>
      <w:lvlText w:val="%1.%2."/>
      <w:lvlJc w:val="left"/>
      <w:pPr>
        <w:tabs>
          <w:tab w:val="num" w:pos="567"/>
        </w:tabs>
        <w:ind w:left="567" w:hanging="567"/>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26" w15:restartNumberingAfterBreak="0">
    <w:nsid w:val="587C4526"/>
    <w:multiLevelType w:val="hybridMultilevel"/>
    <w:tmpl w:val="0BECAC3E"/>
    <w:lvl w:ilvl="0" w:tplc="04190001">
      <w:start w:val="1"/>
      <w:numFmt w:val="decimal"/>
      <w:pStyle w:val="-"/>
      <w:lvlText w:val="%1."/>
      <w:lvlJc w:val="left"/>
      <w:pPr>
        <w:tabs>
          <w:tab w:val="num" w:pos="284"/>
        </w:tabs>
        <w:ind w:left="284" w:hanging="284"/>
      </w:pPr>
      <w:rPr>
        <w:rFonts w:ascii="Times New Roman" w:hAnsi="Times New Roman" w:cs="Times New Roman" w:hint="default"/>
        <w:b w:val="0"/>
        <w:bCs w:val="0"/>
        <w:i w:val="0"/>
        <w:iCs w:val="0"/>
        <w:sz w:val="24"/>
        <w:szCs w:val="24"/>
      </w:rPr>
    </w:lvl>
    <w:lvl w:ilvl="1" w:tplc="04190003">
      <w:start w:val="1"/>
      <w:numFmt w:val="lowerLetter"/>
      <w:lvlText w:val="%2."/>
      <w:lvlJc w:val="left"/>
      <w:pPr>
        <w:tabs>
          <w:tab w:val="num" w:pos="1440"/>
        </w:tabs>
        <w:ind w:left="1440" w:hanging="360"/>
      </w:pPr>
      <w:rPr>
        <w:rFonts w:cs="Times New Roman"/>
      </w:rPr>
    </w:lvl>
    <w:lvl w:ilvl="2" w:tplc="04190005">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abstractNum w:abstractNumId="27" w15:restartNumberingAfterBreak="0">
    <w:nsid w:val="5DD465D2"/>
    <w:multiLevelType w:val="hybridMultilevel"/>
    <w:tmpl w:val="D50845E8"/>
    <w:lvl w:ilvl="0" w:tplc="8B8ACF64">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A534AB5"/>
    <w:multiLevelType w:val="hybridMultilevel"/>
    <w:tmpl w:val="DA8A9F4C"/>
    <w:lvl w:ilvl="0" w:tplc="D2161B4E">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6F166CD4"/>
    <w:multiLevelType w:val="multilevel"/>
    <w:tmpl w:val="5F14017E"/>
    <w:lvl w:ilvl="0">
      <w:start w:val="1"/>
      <w:numFmt w:val="decimal"/>
      <w:pStyle w:val="a9"/>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48D108B"/>
    <w:multiLevelType w:val="hybridMultilevel"/>
    <w:tmpl w:val="D126196C"/>
    <w:name w:val="WW8Num52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1" w15:restartNumberingAfterBreak="0">
    <w:nsid w:val="752145C8"/>
    <w:multiLevelType w:val="multilevel"/>
    <w:tmpl w:val="568ED932"/>
    <w:lvl w:ilvl="0">
      <w:start w:val="1"/>
      <w:numFmt w:val="none"/>
      <w:pStyle w:val="aa"/>
      <w:suff w:val="nothing"/>
      <w:lvlText w:val=""/>
      <w:lvlJc w:val="left"/>
      <w:pPr>
        <w:ind w:firstLine="851"/>
      </w:pPr>
      <w:rPr>
        <w:rFonts w:ascii="Times New Roman" w:hAnsi="Times New Roman" w:cs="Times New Roman" w:hint="default"/>
        <w:b/>
        <w:bCs/>
        <w:i w:val="0"/>
        <w:iCs w:val="0"/>
        <w:spacing w:val="0"/>
        <w:w w:val="100"/>
        <w:position w:val="0"/>
        <w:sz w:val="28"/>
        <w:szCs w:val="28"/>
      </w:rPr>
    </w:lvl>
    <w:lvl w:ilvl="1">
      <w:start w:val="1"/>
      <w:numFmt w:val="decimal"/>
      <w:lvlRestart w:val="0"/>
      <w:pStyle w:val="ab"/>
      <w:lvlText w:val="%2"/>
      <w:lvlJc w:val="left"/>
      <w:pPr>
        <w:tabs>
          <w:tab w:val="num" w:pos="1247"/>
        </w:tabs>
        <w:ind w:firstLine="851"/>
      </w:pPr>
      <w:rPr>
        <w:rFonts w:ascii="Times New Roman" w:hAnsi="Times New Roman" w:cs="Times New Roman" w:hint="default"/>
        <w:b/>
        <w:bCs/>
        <w:i w:val="0"/>
        <w:iCs w:val="0"/>
        <w:caps w:val="0"/>
        <w:color w:val="auto"/>
        <w:spacing w:val="0"/>
        <w:w w:val="100"/>
        <w:position w:val="0"/>
        <w:sz w:val="32"/>
        <w:szCs w:val="32"/>
      </w:rPr>
    </w:lvl>
    <w:lvl w:ilvl="2">
      <w:start w:val="1"/>
      <w:numFmt w:val="decimal"/>
      <w:pStyle w:val="ac"/>
      <w:lvlText w:val="%2.%3"/>
      <w:lvlJc w:val="left"/>
      <w:pPr>
        <w:tabs>
          <w:tab w:val="num" w:pos="1474"/>
        </w:tabs>
        <w:ind w:firstLine="851"/>
      </w:pPr>
      <w:rPr>
        <w:rFonts w:ascii="Times New Roman" w:hAnsi="Times New Roman" w:cs="Times New Roman" w:hint="default"/>
        <w:b w:val="0"/>
        <w:bCs w:val="0"/>
        <w:i w:val="0"/>
        <w:iCs w:val="0"/>
        <w:caps w:val="0"/>
        <w:spacing w:val="0"/>
        <w:w w:val="100"/>
        <w:position w:val="0"/>
        <w:sz w:val="32"/>
        <w:szCs w:val="32"/>
      </w:rPr>
    </w:lvl>
    <w:lvl w:ilvl="3">
      <w:start w:val="1"/>
      <w:numFmt w:val="decimal"/>
      <w:pStyle w:val="ad"/>
      <w:lvlText w:val="%2.%3.%4"/>
      <w:lvlJc w:val="left"/>
      <w:pPr>
        <w:tabs>
          <w:tab w:val="num" w:pos="1701"/>
        </w:tabs>
        <w:ind w:firstLine="851"/>
      </w:pPr>
      <w:rPr>
        <w:rFonts w:ascii="Times New Roman" w:hAnsi="Times New Roman" w:cs="Times New Roman" w:hint="default"/>
        <w:b w:val="0"/>
        <w:bCs w:val="0"/>
        <w:i w:val="0"/>
        <w:iCs w:val="0"/>
        <w:spacing w:val="0"/>
        <w:w w:val="100"/>
        <w:position w:val="0"/>
        <w:sz w:val="28"/>
        <w:szCs w:val="28"/>
      </w:rPr>
    </w:lvl>
    <w:lvl w:ilvl="4">
      <w:start w:val="1"/>
      <w:numFmt w:val="none"/>
      <w:lvlRestart w:val="0"/>
      <w:pStyle w:val="ae"/>
      <w:suff w:val="nothing"/>
      <w:lvlText w:val=""/>
      <w:lvlJc w:val="center"/>
      <w:rPr>
        <w:rFonts w:ascii="Times New Roman" w:hAnsi="Times New Roman" w:cs="Times New Roman" w:hint="default"/>
        <w:b/>
        <w:bCs/>
        <w:i w:val="0"/>
        <w:iCs w:val="0"/>
        <w:caps/>
        <w:sz w:val="24"/>
        <w:szCs w:val="24"/>
      </w:rPr>
    </w:lvl>
    <w:lvl w:ilvl="5">
      <w:start w:val="1"/>
      <w:numFmt w:val="russianUpper"/>
      <w:lvlRestart w:val="0"/>
      <w:pStyle w:val="af"/>
      <w:lvlText w:val="Приложение %6"/>
      <w:lvlJc w:val="left"/>
      <w:pPr>
        <w:tabs>
          <w:tab w:val="num" w:pos="9923"/>
        </w:tabs>
        <w:ind w:firstLine="8051"/>
      </w:pPr>
      <w:rPr>
        <w:rFonts w:ascii="Times New Roman" w:hAnsi="Times New Roman" w:cs="Times New Roman" w:hint="default"/>
        <w:b/>
        <w:bCs/>
        <w:i w:val="0"/>
        <w:iCs w:val="0"/>
        <w:spacing w:val="0"/>
        <w:w w:val="100"/>
        <w:position w:val="0"/>
        <w:sz w:val="24"/>
        <w:szCs w:val="24"/>
      </w:rPr>
    </w:lvl>
    <w:lvl w:ilvl="6">
      <w:start w:val="1"/>
      <w:numFmt w:val="decimal"/>
      <w:lvlRestart w:val="0"/>
      <w:pStyle w:val="af0"/>
      <w:lvlText w:val="Приложение %6 %7"/>
      <w:lvlJc w:val="left"/>
      <w:pPr>
        <w:tabs>
          <w:tab w:val="num" w:pos="9923"/>
        </w:tabs>
        <w:ind w:firstLine="8051"/>
      </w:pPr>
      <w:rPr>
        <w:rFonts w:ascii="Times New Roman" w:hAnsi="Times New Roman" w:cs="Times New Roman" w:hint="default"/>
        <w:b w:val="0"/>
        <w:bCs w:val="0"/>
        <w:i w:val="0"/>
        <w:iCs w:val="0"/>
        <w:spacing w:val="0"/>
        <w:w w:val="100"/>
        <w:position w:val="0"/>
        <w:sz w:val="24"/>
        <w:szCs w:val="24"/>
      </w:rPr>
    </w:lvl>
    <w:lvl w:ilvl="7">
      <w:start w:val="1"/>
      <w:numFmt w:val="lowerLetter"/>
      <w:lvlText w:val="%8."/>
      <w:lvlJc w:val="left"/>
      <w:pPr>
        <w:tabs>
          <w:tab w:val="num" w:pos="2579"/>
        </w:tabs>
        <w:ind w:left="2291" w:hanging="432"/>
      </w:pPr>
      <w:rPr>
        <w:rFonts w:cs="Times New Roman" w:hint="default"/>
      </w:rPr>
    </w:lvl>
    <w:lvl w:ilvl="8">
      <w:start w:val="1"/>
      <w:numFmt w:val="lowerRoman"/>
      <w:lvlText w:val="%9."/>
      <w:lvlJc w:val="right"/>
      <w:pPr>
        <w:tabs>
          <w:tab w:val="num" w:pos="2435"/>
        </w:tabs>
        <w:ind w:left="2435" w:hanging="144"/>
      </w:pPr>
      <w:rPr>
        <w:rFonts w:cs="Times New Roman" w:hint="default"/>
      </w:rPr>
    </w:lvl>
  </w:abstractNum>
  <w:abstractNum w:abstractNumId="32" w15:restartNumberingAfterBreak="0">
    <w:nsid w:val="76B6057A"/>
    <w:multiLevelType w:val="hybridMultilevel"/>
    <w:tmpl w:val="46489F04"/>
    <w:lvl w:ilvl="0" w:tplc="6374C11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0"/>
  </w:num>
  <w:num w:numId="2">
    <w:abstractNumId w:val="1"/>
  </w:num>
  <w:num w:numId="3">
    <w:abstractNumId w:val="0"/>
  </w:num>
  <w:num w:numId="4">
    <w:abstractNumId w:val="23"/>
  </w:num>
  <w:num w:numId="5">
    <w:abstractNumId w:val="16"/>
  </w:num>
  <w:num w:numId="6">
    <w:abstractNumId w:val="22"/>
  </w:num>
  <w:num w:numId="7">
    <w:abstractNumId w:val="31"/>
  </w:num>
  <w:num w:numId="8">
    <w:abstractNumId w:val="24"/>
  </w:num>
  <w:num w:numId="9">
    <w:abstractNumId w:val="12"/>
  </w:num>
  <w:num w:numId="10">
    <w:abstractNumId w:val="25"/>
  </w:num>
  <w:num w:numId="11">
    <w:abstractNumId w:val="7"/>
  </w:num>
  <w:num w:numId="12">
    <w:abstractNumId w:val="17"/>
  </w:num>
  <w:num w:numId="13">
    <w:abstractNumId w:val="19"/>
  </w:num>
  <w:num w:numId="14">
    <w:abstractNumId w:val="14"/>
  </w:num>
  <w:num w:numId="15">
    <w:abstractNumId w:val="26"/>
  </w:num>
  <w:num w:numId="16">
    <w:abstractNumId w:val="29"/>
  </w:num>
  <w:num w:numId="17">
    <w:abstractNumId w:val="13"/>
  </w:num>
  <w:num w:numId="18">
    <w:abstractNumId w:val="21"/>
  </w:num>
  <w:num w:numId="19">
    <w:abstractNumId w:val="9"/>
  </w:num>
  <w:num w:numId="20">
    <w:abstractNumId w:val="32"/>
  </w:num>
  <w:num w:numId="21">
    <w:abstractNumId w:val="11"/>
  </w:num>
  <w:num w:numId="22">
    <w:abstractNumId w:val="18"/>
  </w:num>
  <w:num w:numId="23">
    <w:abstractNumId w:val="20"/>
  </w:num>
  <w:num w:numId="24">
    <w:abstractNumId w:val="6"/>
  </w:num>
  <w:num w:numId="25">
    <w:abstractNumId w:val="27"/>
  </w:num>
  <w:num w:numId="26">
    <w:abstractNumId w:val="8"/>
  </w:num>
  <w:num w:numId="27">
    <w:abstractNumId w:val="28"/>
  </w:num>
  <w:num w:numId="28">
    <w:abstractNumId w:val="5"/>
  </w:num>
  <w:num w:numId="29">
    <w:abstractNumId w:val="15"/>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de-DE" w:vendorID="64" w:dllVersion="4096" w:nlCheck="1" w:checkStyle="0"/>
  <w:activeWritingStyle w:appName="MSWord" w:lang="ru-RU" w:vendorID="64" w:dllVersion="131078" w:nlCheck="1" w:checkStyle="0"/>
  <w:activeWritingStyle w:appName="MSWord" w:lang="en-US" w:vendorID="64" w:dllVersion="131078" w:nlCheck="1" w:checkStyle="1"/>
  <w:activeWritingStyle w:appName="MSWord" w:lang="de-DE" w:vendorID="64" w:dllVersion="131078" w:nlCheck="1" w:checkStyle="1"/>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F56F3"/>
    <w:rsid w:val="00000A7D"/>
    <w:rsid w:val="0000457B"/>
    <w:rsid w:val="00004617"/>
    <w:rsid w:val="0000495D"/>
    <w:rsid w:val="00004B57"/>
    <w:rsid w:val="0000554B"/>
    <w:rsid w:val="00005848"/>
    <w:rsid w:val="000072CE"/>
    <w:rsid w:val="000076F9"/>
    <w:rsid w:val="00010557"/>
    <w:rsid w:val="000113C5"/>
    <w:rsid w:val="00011F2A"/>
    <w:rsid w:val="00012C37"/>
    <w:rsid w:val="00013BBA"/>
    <w:rsid w:val="00014CDA"/>
    <w:rsid w:val="000151A0"/>
    <w:rsid w:val="00015746"/>
    <w:rsid w:val="0001607A"/>
    <w:rsid w:val="00016AC6"/>
    <w:rsid w:val="000172B7"/>
    <w:rsid w:val="00020025"/>
    <w:rsid w:val="00022D4B"/>
    <w:rsid w:val="000249F7"/>
    <w:rsid w:val="000251EF"/>
    <w:rsid w:val="0002613D"/>
    <w:rsid w:val="00026521"/>
    <w:rsid w:val="0002676B"/>
    <w:rsid w:val="00030960"/>
    <w:rsid w:val="0003169A"/>
    <w:rsid w:val="00031DDB"/>
    <w:rsid w:val="00031FA0"/>
    <w:rsid w:val="00032514"/>
    <w:rsid w:val="00032A05"/>
    <w:rsid w:val="00032B6C"/>
    <w:rsid w:val="00034799"/>
    <w:rsid w:val="0003670F"/>
    <w:rsid w:val="0003729F"/>
    <w:rsid w:val="00037580"/>
    <w:rsid w:val="000401EF"/>
    <w:rsid w:val="00040A06"/>
    <w:rsid w:val="00042587"/>
    <w:rsid w:val="000431E8"/>
    <w:rsid w:val="00043347"/>
    <w:rsid w:val="000435D9"/>
    <w:rsid w:val="0004376D"/>
    <w:rsid w:val="0004440F"/>
    <w:rsid w:val="00044AA1"/>
    <w:rsid w:val="00045CB3"/>
    <w:rsid w:val="000466C9"/>
    <w:rsid w:val="00047DA7"/>
    <w:rsid w:val="00047FF3"/>
    <w:rsid w:val="00050BD8"/>
    <w:rsid w:val="0005187E"/>
    <w:rsid w:val="00052711"/>
    <w:rsid w:val="0005288C"/>
    <w:rsid w:val="00053A0F"/>
    <w:rsid w:val="000545DC"/>
    <w:rsid w:val="00055A57"/>
    <w:rsid w:val="00056943"/>
    <w:rsid w:val="00056C8B"/>
    <w:rsid w:val="0005794A"/>
    <w:rsid w:val="00060379"/>
    <w:rsid w:val="0006037E"/>
    <w:rsid w:val="000611E8"/>
    <w:rsid w:val="00061C6F"/>
    <w:rsid w:val="000623F5"/>
    <w:rsid w:val="0006271B"/>
    <w:rsid w:val="00062B2D"/>
    <w:rsid w:val="00062E55"/>
    <w:rsid w:val="00062F70"/>
    <w:rsid w:val="000630DE"/>
    <w:rsid w:val="00063A60"/>
    <w:rsid w:val="00064908"/>
    <w:rsid w:val="000649A3"/>
    <w:rsid w:val="00064A4F"/>
    <w:rsid w:val="00066013"/>
    <w:rsid w:val="00067130"/>
    <w:rsid w:val="00067164"/>
    <w:rsid w:val="000671C6"/>
    <w:rsid w:val="0006770A"/>
    <w:rsid w:val="000677B4"/>
    <w:rsid w:val="00067AA7"/>
    <w:rsid w:val="00067AA8"/>
    <w:rsid w:val="000702A1"/>
    <w:rsid w:val="00070570"/>
    <w:rsid w:val="0007097E"/>
    <w:rsid w:val="00070B2D"/>
    <w:rsid w:val="00071AD9"/>
    <w:rsid w:val="00073826"/>
    <w:rsid w:val="00073A7A"/>
    <w:rsid w:val="00073DA6"/>
    <w:rsid w:val="00074ACA"/>
    <w:rsid w:val="00075009"/>
    <w:rsid w:val="00075851"/>
    <w:rsid w:val="00075A07"/>
    <w:rsid w:val="00077AAD"/>
    <w:rsid w:val="00077C7D"/>
    <w:rsid w:val="00080DDA"/>
    <w:rsid w:val="00081660"/>
    <w:rsid w:val="0008220F"/>
    <w:rsid w:val="00082AED"/>
    <w:rsid w:val="00082C38"/>
    <w:rsid w:val="0008311A"/>
    <w:rsid w:val="00083897"/>
    <w:rsid w:val="00083AAB"/>
    <w:rsid w:val="000843F7"/>
    <w:rsid w:val="000867A4"/>
    <w:rsid w:val="0009048C"/>
    <w:rsid w:val="000914A2"/>
    <w:rsid w:val="000917F8"/>
    <w:rsid w:val="00093391"/>
    <w:rsid w:val="00093582"/>
    <w:rsid w:val="00093E25"/>
    <w:rsid w:val="00093F99"/>
    <w:rsid w:val="000960AD"/>
    <w:rsid w:val="00096ADF"/>
    <w:rsid w:val="00096E39"/>
    <w:rsid w:val="00096E53"/>
    <w:rsid w:val="0009743D"/>
    <w:rsid w:val="000A0B22"/>
    <w:rsid w:val="000A147F"/>
    <w:rsid w:val="000A1A38"/>
    <w:rsid w:val="000A2193"/>
    <w:rsid w:val="000A24C4"/>
    <w:rsid w:val="000A2ABF"/>
    <w:rsid w:val="000A3A00"/>
    <w:rsid w:val="000A3BFF"/>
    <w:rsid w:val="000A4069"/>
    <w:rsid w:val="000A4D29"/>
    <w:rsid w:val="000A5286"/>
    <w:rsid w:val="000A5DCF"/>
    <w:rsid w:val="000A6220"/>
    <w:rsid w:val="000A77D3"/>
    <w:rsid w:val="000A7827"/>
    <w:rsid w:val="000A7E8C"/>
    <w:rsid w:val="000B0A09"/>
    <w:rsid w:val="000B130A"/>
    <w:rsid w:val="000B1B53"/>
    <w:rsid w:val="000B20C8"/>
    <w:rsid w:val="000B24B7"/>
    <w:rsid w:val="000B27FB"/>
    <w:rsid w:val="000B2BDB"/>
    <w:rsid w:val="000B2F5F"/>
    <w:rsid w:val="000B381C"/>
    <w:rsid w:val="000B3845"/>
    <w:rsid w:val="000B4207"/>
    <w:rsid w:val="000B4526"/>
    <w:rsid w:val="000B49F4"/>
    <w:rsid w:val="000B4AE5"/>
    <w:rsid w:val="000B6040"/>
    <w:rsid w:val="000B614D"/>
    <w:rsid w:val="000B6334"/>
    <w:rsid w:val="000B63EE"/>
    <w:rsid w:val="000B6EC1"/>
    <w:rsid w:val="000B7207"/>
    <w:rsid w:val="000B757B"/>
    <w:rsid w:val="000C11F5"/>
    <w:rsid w:val="000C1CB1"/>
    <w:rsid w:val="000C1D68"/>
    <w:rsid w:val="000C420C"/>
    <w:rsid w:val="000C4308"/>
    <w:rsid w:val="000C4317"/>
    <w:rsid w:val="000C4468"/>
    <w:rsid w:val="000C4898"/>
    <w:rsid w:val="000C4E05"/>
    <w:rsid w:val="000C4FCE"/>
    <w:rsid w:val="000C645E"/>
    <w:rsid w:val="000C682B"/>
    <w:rsid w:val="000C6A3C"/>
    <w:rsid w:val="000C7F92"/>
    <w:rsid w:val="000C7FC7"/>
    <w:rsid w:val="000D00BB"/>
    <w:rsid w:val="000D0C92"/>
    <w:rsid w:val="000D1778"/>
    <w:rsid w:val="000D26B7"/>
    <w:rsid w:val="000D395B"/>
    <w:rsid w:val="000D3BBE"/>
    <w:rsid w:val="000D448D"/>
    <w:rsid w:val="000D49F2"/>
    <w:rsid w:val="000D4B0E"/>
    <w:rsid w:val="000D4EEF"/>
    <w:rsid w:val="000D518D"/>
    <w:rsid w:val="000D5505"/>
    <w:rsid w:val="000D5DF4"/>
    <w:rsid w:val="000D7699"/>
    <w:rsid w:val="000D775F"/>
    <w:rsid w:val="000E0779"/>
    <w:rsid w:val="000E0A3D"/>
    <w:rsid w:val="000E0CFE"/>
    <w:rsid w:val="000E2F83"/>
    <w:rsid w:val="000E3CFD"/>
    <w:rsid w:val="000E5026"/>
    <w:rsid w:val="000E5A12"/>
    <w:rsid w:val="000E61C7"/>
    <w:rsid w:val="000E7955"/>
    <w:rsid w:val="000F0B8A"/>
    <w:rsid w:val="000F1474"/>
    <w:rsid w:val="000F2085"/>
    <w:rsid w:val="000F3F63"/>
    <w:rsid w:val="000F558D"/>
    <w:rsid w:val="000F6718"/>
    <w:rsid w:val="000F709B"/>
    <w:rsid w:val="000F7618"/>
    <w:rsid w:val="000F7C07"/>
    <w:rsid w:val="00100551"/>
    <w:rsid w:val="00102B2A"/>
    <w:rsid w:val="00102C25"/>
    <w:rsid w:val="00102D3D"/>
    <w:rsid w:val="0010392C"/>
    <w:rsid w:val="001040BB"/>
    <w:rsid w:val="00104973"/>
    <w:rsid w:val="00104FC4"/>
    <w:rsid w:val="00105DBA"/>
    <w:rsid w:val="00105EAA"/>
    <w:rsid w:val="001062FA"/>
    <w:rsid w:val="00107DED"/>
    <w:rsid w:val="00110836"/>
    <w:rsid w:val="0011125B"/>
    <w:rsid w:val="00111C56"/>
    <w:rsid w:val="001133AF"/>
    <w:rsid w:val="00113F5E"/>
    <w:rsid w:val="001141B5"/>
    <w:rsid w:val="001144B7"/>
    <w:rsid w:val="001147D8"/>
    <w:rsid w:val="00114B79"/>
    <w:rsid w:val="001156F4"/>
    <w:rsid w:val="001174A4"/>
    <w:rsid w:val="00117712"/>
    <w:rsid w:val="00120062"/>
    <w:rsid w:val="00120236"/>
    <w:rsid w:val="00120363"/>
    <w:rsid w:val="00120E32"/>
    <w:rsid w:val="001220F3"/>
    <w:rsid w:val="0012297F"/>
    <w:rsid w:val="00122D62"/>
    <w:rsid w:val="001232EE"/>
    <w:rsid w:val="00123C0C"/>
    <w:rsid w:val="00123ED1"/>
    <w:rsid w:val="00124970"/>
    <w:rsid w:val="001249F3"/>
    <w:rsid w:val="00124C0D"/>
    <w:rsid w:val="00126786"/>
    <w:rsid w:val="0012731F"/>
    <w:rsid w:val="00127CE2"/>
    <w:rsid w:val="001306C8"/>
    <w:rsid w:val="00130A23"/>
    <w:rsid w:val="00130F94"/>
    <w:rsid w:val="00131427"/>
    <w:rsid w:val="00132013"/>
    <w:rsid w:val="00132544"/>
    <w:rsid w:val="001328A9"/>
    <w:rsid w:val="00132FEF"/>
    <w:rsid w:val="00134EF5"/>
    <w:rsid w:val="00134F16"/>
    <w:rsid w:val="001351D0"/>
    <w:rsid w:val="0013621E"/>
    <w:rsid w:val="001374AB"/>
    <w:rsid w:val="00137E0B"/>
    <w:rsid w:val="0014106F"/>
    <w:rsid w:val="00141B53"/>
    <w:rsid w:val="00141E53"/>
    <w:rsid w:val="00142685"/>
    <w:rsid w:val="001426B7"/>
    <w:rsid w:val="00142C57"/>
    <w:rsid w:val="00142D2C"/>
    <w:rsid w:val="00143FDC"/>
    <w:rsid w:val="00144490"/>
    <w:rsid w:val="001452B4"/>
    <w:rsid w:val="001452B9"/>
    <w:rsid w:val="001455A2"/>
    <w:rsid w:val="00145693"/>
    <w:rsid w:val="001465C7"/>
    <w:rsid w:val="00146ACD"/>
    <w:rsid w:val="00147B2F"/>
    <w:rsid w:val="00150342"/>
    <w:rsid w:val="00150484"/>
    <w:rsid w:val="0015088D"/>
    <w:rsid w:val="001513A9"/>
    <w:rsid w:val="00152332"/>
    <w:rsid w:val="00153705"/>
    <w:rsid w:val="0015388A"/>
    <w:rsid w:val="0015476F"/>
    <w:rsid w:val="00156494"/>
    <w:rsid w:val="00157D42"/>
    <w:rsid w:val="001603D2"/>
    <w:rsid w:val="001630FA"/>
    <w:rsid w:val="0016384C"/>
    <w:rsid w:val="00164EF4"/>
    <w:rsid w:val="00164F1B"/>
    <w:rsid w:val="00165D7F"/>
    <w:rsid w:val="0016606D"/>
    <w:rsid w:val="00166195"/>
    <w:rsid w:val="001667A4"/>
    <w:rsid w:val="00166A42"/>
    <w:rsid w:val="00167299"/>
    <w:rsid w:val="00170C32"/>
    <w:rsid w:val="00171C27"/>
    <w:rsid w:val="0017267D"/>
    <w:rsid w:val="00172FC6"/>
    <w:rsid w:val="00174217"/>
    <w:rsid w:val="0017786E"/>
    <w:rsid w:val="00177C6B"/>
    <w:rsid w:val="00180658"/>
    <w:rsid w:val="00180FD1"/>
    <w:rsid w:val="00181B6F"/>
    <w:rsid w:val="00181C95"/>
    <w:rsid w:val="001832CC"/>
    <w:rsid w:val="00184FA7"/>
    <w:rsid w:val="0018535A"/>
    <w:rsid w:val="001853CA"/>
    <w:rsid w:val="00186A90"/>
    <w:rsid w:val="00187615"/>
    <w:rsid w:val="00187DBD"/>
    <w:rsid w:val="00190289"/>
    <w:rsid w:val="0019043B"/>
    <w:rsid w:val="00190E43"/>
    <w:rsid w:val="00191124"/>
    <w:rsid w:val="001913CA"/>
    <w:rsid w:val="001914A5"/>
    <w:rsid w:val="00191743"/>
    <w:rsid w:val="001921E8"/>
    <w:rsid w:val="00192C7A"/>
    <w:rsid w:val="00192E45"/>
    <w:rsid w:val="00193BF1"/>
    <w:rsid w:val="00193E39"/>
    <w:rsid w:val="0019455A"/>
    <w:rsid w:val="00194AFF"/>
    <w:rsid w:val="001955EE"/>
    <w:rsid w:val="00195F47"/>
    <w:rsid w:val="00196155"/>
    <w:rsid w:val="001A0B58"/>
    <w:rsid w:val="001A2327"/>
    <w:rsid w:val="001A2A6B"/>
    <w:rsid w:val="001A2ADD"/>
    <w:rsid w:val="001A4AF9"/>
    <w:rsid w:val="001A50F3"/>
    <w:rsid w:val="001A5224"/>
    <w:rsid w:val="001A647E"/>
    <w:rsid w:val="001A649E"/>
    <w:rsid w:val="001A69C7"/>
    <w:rsid w:val="001A742D"/>
    <w:rsid w:val="001A7A06"/>
    <w:rsid w:val="001B0587"/>
    <w:rsid w:val="001B16D6"/>
    <w:rsid w:val="001B1DAA"/>
    <w:rsid w:val="001B1DC8"/>
    <w:rsid w:val="001B38A4"/>
    <w:rsid w:val="001B3D5E"/>
    <w:rsid w:val="001B4A24"/>
    <w:rsid w:val="001B56FB"/>
    <w:rsid w:val="001B5759"/>
    <w:rsid w:val="001B62C0"/>
    <w:rsid w:val="001B7173"/>
    <w:rsid w:val="001B723C"/>
    <w:rsid w:val="001B7D77"/>
    <w:rsid w:val="001B7F4D"/>
    <w:rsid w:val="001C0351"/>
    <w:rsid w:val="001C04FF"/>
    <w:rsid w:val="001C0AC2"/>
    <w:rsid w:val="001C0F41"/>
    <w:rsid w:val="001C129F"/>
    <w:rsid w:val="001C1703"/>
    <w:rsid w:val="001C1D42"/>
    <w:rsid w:val="001C3A0F"/>
    <w:rsid w:val="001C3AC6"/>
    <w:rsid w:val="001C4E60"/>
    <w:rsid w:val="001C5591"/>
    <w:rsid w:val="001C679D"/>
    <w:rsid w:val="001C7181"/>
    <w:rsid w:val="001D09FF"/>
    <w:rsid w:val="001D0B1E"/>
    <w:rsid w:val="001D0C0D"/>
    <w:rsid w:val="001D0F66"/>
    <w:rsid w:val="001D1109"/>
    <w:rsid w:val="001D18C1"/>
    <w:rsid w:val="001D29FC"/>
    <w:rsid w:val="001D32BF"/>
    <w:rsid w:val="001D36CE"/>
    <w:rsid w:val="001D3D6D"/>
    <w:rsid w:val="001D41EB"/>
    <w:rsid w:val="001D5366"/>
    <w:rsid w:val="001D563A"/>
    <w:rsid w:val="001D605E"/>
    <w:rsid w:val="001D6733"/>
    <w:rsid w:val="001D6DF7"/>
    <w:rsid w:val="001D769D"/>
    <w:rsid w:val="001D7926"/>
    <w:rsid w:val="001D798E"/>
    <w:rsid w:val="001E0021"/>
    <w:rsid w:val="001E2871"/>
    <w:rsid w:val="001E352C"/>
    <w:rsid w:val="001E3979"/>
    <w:rsid w:val="001E581F"/>
    <w:rsid w:val="001E5C08"/>
    <w:rsid w:val="001E6287"/>
    <w:rsid w:val="001E7BEB"/>
    <w:rsid w:val="001F05E2"/>
    <w:rsid w:val="001F0FF5"/>
    <w:rsid w:val="001F1571"/>
    <w:rsid w:val="001F1F8B"/>
    <w:rsid w:val="001F2B12"/>
    <w:rsid w:val="001F36F5"/>
    <w:rsid w:val="001F508A"/>
    <w:rsid w:val="001F5218"/>
    <w:rsid w:val="001F575F"/>
    <w:rsid w:val="001F5B89"/>
    <w:rsid w:val="001F5EE5"/>
    <w:rsid w:val="001F64D7"/>
    <w:rsid w:val="001F696D"/>
    <w:rsid w:val="001F7467"/>
    <w:rsid w:val="001F75D5"/>
    <w:rsid w:val="002001B1"/>
    <w:rsid w:val="00201B0A"/>
    <w:rsid w:val="00201DD7"/>
    <w:rsid w:val="002033EB"/>
    <w:rsid w:val="0020340B"/>
    <w:rsid w:val="00204B1A"/>
    <w:rsid w:val="00206B43"/>
    <w:rsid w:val="002116F6"/>
    <w:rsid w:val="0021189D"/>
    <w:rsid w:val="00211B30"/>
    <w:rsid w:val="002124D3"/>
    <w:rsid w:val="00212AFF"/>
    <w:rsid w:val="00212CEE"/>
    <w:rsid w:val="002130E0"/>
    <w:rsid w:val="00214BA4"/>
    <w:rsid w:val="002154D8"/>
    <w:rsid w:val="00215A4A"/>
    <w:rsid w:val="00216D7F"/>
    <w:rsid w:val="00217752"/>
    <w:rsid w:val="0022058F"/>
    <w:rsid w:val="00221055"/>
    <w:rsid w:val="00221D0D"/>
    <w:rsid w:val="00221E88"/>
    <w:rsid w:val="00221F52"/>
    <w:rsid w:val="00222648"/>
    <w:rsid w:val="00222D23"/>
    <w:rsid w:val="002233C3"/>
    <w:rsid w:val="00223642"/>
    <w:rsid w:val="002240B1"/>
    <w:rsid w:val="002245D1"/>
    <w:rsid w:val="00225891"/>
    <w:rsid w:val="00225EB9"/>
    <w:rsid w:val="002277A3"/>
    <w:rsid w:val="002314A3"/>
    <w:rsid w:val="00231A64"/>
    <w:rsid w:val="002327E9"/>
    <w:rsid w:val="00232835"/>
    <w:rsid w:val="00232D22"/>
    <w:rsid w:val="00232D50"/>
    <w:rsid w:val="00233291"/>
    <w:rsid w:val="00236198"/>
    <w:rsid w:val="0023795F"/>
    <w:rsid w:val="00240A46"/>
    <w:rsid w:val="002413FB"/>
    <w:rsid w:val="00242C13"/>
    <w:rsid w:val="002445A1"/>
    <w:rsid w:val="002458DA"/>
    <w:rsid w:val="0024718B"/>
    <w:rsid w:val="00247496"/>
    <w:rsid w:val="00251058"/>
    <w:rsid w:val="002512EF"/>
    <w:rsid w:val="002524FF"/>
    <w:rsid w:val="00252605"/>
    <w:rsid w:val="00252910"/>
    <w:rsid w:val="0025293C"/>
    <w:rsid w:val="00252B06"/>
    <w:rsid w:val="002537F5"/>
    <w:rsid w:val="00254299"/>
    <w:rsid w:val="00255BA7"/>
    <w:rsid w:val="00256689"/>
    <w:rsid w:val="002567A9"/>
    <w:rsid w:val="00261700"/>
    <w:rsid w:val="00261B23"/>
    <w:rsid w:val="00262422"/>
    <w:rsid w:val="00262A9E"/>
    <w:rsid w:val="0026354A"/>
    <w:rsid w:val="00263AD2"/>
    <w:rsid w:val="00264129"/>
    <w:rsid w:val="002641FE"/>
    <w:rsid w:val="00264DA0"/>
    <w:rsid w:val="00265078"/>
    <w:rsid w:val="002658D5"/>
    <w:rsid w:val="0026592A"/>
    <w:rsid w:val="00265B74"/>
    <w:rsid w:val="0026624F"/>
    <w:rsid w:val="00267385"/>
    <w:rsid w:val="00267FB0"/>
    <w:rsid w:val="0027049F"/>
    <w:rsid w:val="002706ED"/>
    <w:rsid w:val="00270706"/>
    <w:rsid w:val="00271297"/>
    <w:rsid w:val="0027265C"/>
    <w:rsid w:val="00272692"/>
    <w:rsid w:val="0027451D"/>
    <w:rsid w:val="00274C19"/>
    <w:rsid w:val="002763A9"/>
    <w:rsid w:val="002765FE"/>
    <w:rsid w:val="00276D33"/>
    <w:rsid w:val="00277C88"/>
    <w:rsid w:val="00277D45"/>
    <w:rsid w:val="002803CF"/>
    <w:rsid w:val="00280816"/>
    <w:rsid w:val="00280C7F"/>
    <w:rsid w:val="0028111B"/>
    <w:rsid w:val="00281B2D"/>
    <w:rsid w:val="00281D0A"/>
    <w:rsid w:val="00282AF1"/>
    <w:rsid w:val="00282E62"/>
    <w:rsid w:val="002831E5"/>
    <w:rsid w:val="00283324"/>
    <w:rsid w:val="002846B1"/>
    <w:rsid w:val="002846CF"/>
    <w:rsid w:val="00284BC6"/>
    <w:rsid w:val="002859E2"/>
    <w:rsid w:val="00285DB5"/>
    <w:rsid w:val="00285E27"/>
    <w:rsid w:val="00286802"/>
    <w:rsid w:val="00287C69"/>
    <w:rsid w:val="00287E30"/>
    <w:rsid w:val="002913CC"/>
    <w:rsid w:val="00291D57"/>
    <w:rsid w:val="00292368"/>
    <w:rsid w:val="00292E0B"/>
    <w:rsid w:val="00293B78"/>
    <w:rsid w:val="00294EF6"/>
    <w:rsid w:val="002955FD"/>
    <w:rsid w:val="00295C2F"/>
    <w:rsid w:val="00297178"/>
    <w:rsid w:val="00297CF2"/>
    <w:rsid w:val="002A0D9B"/>
    <w:rsid w:val="002A1190"/>
    <w:rsid w:val="002A2067"/>
    <w:rsid w:val="002A38A1"/>
    <w:rsid w:val="002A41F3"/>
    <w:rsid w:val="002A46F3"/>
    <w:rsid w:val="002A4768"/>
    <w:rsid w:val="002A50D0"/>
    <w:rsid w:val="002A5295"/>
    <w:rsid w:val="002A5695"/>
    <w:rsid w:val="002A5C03"/>
    <w:rsid w:val="002A6142"/>
    <w:rsid w:val="002A615A"/>
    <w:rsid w:val="002A77E5"/>
    <w:rsid w:val="002B019F"/>
    <w:rsid w:val="002B0C49"/>
    <w:rsid w:val="002B0DE0"/>
    <w:rsid w:val="002B1181"/>
    <w:rsid w:val="002B187F"/>
    <w:rsid w:val="002B1C69"/>
    <w:rsid w:val="002B3769"/>
    <w:rsid w:val="002B48AE"/>
    <w:rsid w:val="002B51BC"/>
    <w:rsid w:val="002B5C07"/>
    <w:rsid w:val="002B6959"/>
    <w:rsid w:val="002B6CB7"/>
    <w:rsid w:val="002B7555"/>
    <w:rsid w:val="002B7C7A"/>
    <w:rsid w:val="002C00AC"/>
    <w:rsid w:val="002C150F"/>
    <w:rsid w:val="002C20EC"/>
    <w:rsid w:val="002C2266"/>
    <w:rsid w:val="002C2BE0"/>
    <w:rsid w:val="002C2C05"/>
    <w:rsid w:val="002C3F09"/>
    <w:rsid w:val="002C513D"/>
    <w:rsid w:val="002C5389"/>
    <w:rsid w:val="002C562F"/>
    <w:rsid w:val="002C641E"/>
    <w:rsid w:val="002C6AD6"/>
    <w:rsid w:val="002C6B34"/>
    <w:rsid w:val="002C6CC1"/>
    <w:rsid w:val="002C7624"/>
    <w:rsid w:val="002C7911"/>
    <w:rsid w:val="002D0259"/>
    <w:rsid w:val="002D0BCA"/>
    <w:rsid w:val="002D1823"/>
    <w:rsid w:val="002D1DD2"/>
    <w:rsid w:val="002D1EE0"/>
    <w:rsid w:val="002D26DC"/>
    <w:rsid w:val="002D2EF4"/>
    <w:rsid w:val="002D33F2"/>
    <w:rsid w:val="002D3CBB"/>
    <w:rsid w:val="002D3FAC"/>
    <w:rsid w:val="002D4A47"/>
    <w:rsid w:val="002D4C8C"/>
    <w:rsid w:val="002D5505"/>
    <w:rsid w:val="002D6245"/>
    <w:rsid w:val="002E0BE6"/>
    <w:rsid w:val="002E0FDB"/>
    <w:rsid w:val="002E12CB"/>
    <w:rsid w:val="002E142F"/>
    <w:rsid w:val="002E1D0C"/>
    <w:rsid w:val="002E217F"/>
    <w:rsid w:val="002E2D42"/>
    <w:rsid w:val="002E363A"/>
    <w:rsid w:val="002E45F5"/>
    <w:rsid w:val="002E59EB"/>
    <w:rsid w:val="002E6B38"/>
    <w:rsid w:val="002E7C04"/>
    <w:rsid w:val="002F0D11"/>
    <w:rsid w:val="002F1091"/>
    <w:rsid w:val="002F116D"/>
    <w:rsid w:val="002F11B7"/>
    <w:rsid w:val="002F29E4"/>
    <w:rsid w:val="002F4F30"/>
    <w:rsid w:val="002F6808"/>
    <w:rsid w:val="002F6ED8"/>
    <w:rsid w:val="002F78E4"/>
    <w:rsid w:val="002F7F0D"/>
    <w:rsid w:val="0030001D"/>
    <w:rsid w:val="003008C8"/>
    <w:rsid w:val="00300BEF"/>
    <w:rsid w:val="00300D7E"/>
    <w:rsid w:val="00302206"/>
    <w:rsid w:val="00302465"/>
    <w:rsid w:val="0030277B"/>
    <w:rsid w:val="00302B54"/>
    <w:rsid w:val="00302C78"/>
    <w:rsid w:val="003030D2"/>
    <w:rsid w:val="00303449"/>
    <w:rsid w:val="00303F84"/>
    <w:rsid w:val="0030465B"/>
    <w:rsid w:val="00304CC5"/>
    <w:rsid w:val="003062CF"/>
    <w:rsid w:val="00306BA3"/>
    <w:rsid w:val="00310B8D"/>
    <w:rsid w:val="003118BA"/>
    <w:rsid w:val="003133C0"/>
    <w:rsid w:val="00313F57"/>
    <w:rsid w:val="00314EE4"/>
    <w:rsid w:val="0031500E"/>
    <w:rsid w:val="0031661D"/>
    <w:rsid w:val="003166CF"/>
    <w:rsid w:val="00317D94"/>
    <w:rsid w:val="003204D1"/>
    <w:rsid w:val="00320933"/>
    <w:rsid w:val="003216BD"/>
    <w:rsid w:val="00321DA1"/>
    <w:rsid w:val="00321F18"/>
    <w:rsid w:val="003224B6"/>
    <w:rsid w:val="003232AA"/>
    <w:rsid w:val="00323981"/>
    <w:rsid w:val="003247D4"/>
    <w:rsid w:val="00326AC3"/>
    <w:rsid w:val="00326BB0"/>
    <w:rsid w:val="003271B0"/>
    <w:rsid w:val="00327B59"/>
    <w:rsid w:val="00327FF3"/>
    <w:rsid w:val="00330D31"/>
    <w:rsid w:val="00330D58"/>
    <w:rsid w:val="00330ED7"/>
    <w:rsid w:val="00331C28"/>
    <w:rsid w:val="003331F2"/>
    <w:rsid w:val="00334573"/>
    <w:rsid w:val="00334978"/>
    <w:rsid w:val="00334EFA"/>
    <w:rsid w:val="003352BD"/>
    <w:rsid w:val="003355C2"/>
    <w:rsid w:val="00335D15"/>
    <w:rsid w:val="00336221"/>
    <w:rsid w:val="00336C6E"/>
    <w:rsid w:val="0033779C"/>
    <w:rsid w:val="00341DB4"/>
    <w:rsid w:val="00341EE3"/>
    <w:rsid w:val="003423D1"/>
    <w:rsid w:val="00342AD8"/>
    <w:rsid w:val="003437C1"/>
    <w:rsid w:val="003438C6"/>
    <w:rsid w:val="00343DEA"/>
    <w:rsid w:val="003448A2"/>
    <w:rsid w:val="00345917"/>
    <w:rsid w:val="00346582"/>
    <w:rsid w:val="00346F36"/>
    <w:rsid w:val="00347254"/>
    <w:rsid w:val="00347355"/>
    <w:rsid w:val="0034766C"/>
    <w:rsid w:val="00350C57"/>
    <w:rsid w:val="00351D08"/>
    <w:rsid w:val="0035268B"/>
    <w:rsid w:val="00352C72"/>
    <w:rsid w:val="00355C92"/>
    <w:rsid w:val="0035664D"/>
    <w:rsid w:val="00356987"/>
    <w:rsid w:val="0035738A"/>
    <w:rsid w:val="00357987"/>
    <w:rsid w:val="00357A33"/>
    <w:rsid w:val="00357FF6"/>
    <w:rsid w:val="00357FFA"/>
    <w:rsid w:val="00360416"/>
    <w:rsid w:val="003605E5"/>
    <w:rsid w:val="0036089F"/>
    <w:rsid w:val="00360E0A"/>
    <w:rsid w:val="00360FC5"/>
    <w:rsid w:val="0036166E"/>
    <w:rsid w:val="003618AF"/>
    <w:rsid w:val="00362E26"/>
    <w:rsid w:val="00363D99"/>
    <w:rsid w:val="00364D59"/>
    <w:rsid w:val="003662F8"/>
    <w:rsid w:val="003667E5"/>
    <w:rsid w:val="003702AA"/>
    <w:rsid w:val="00370609"/>
    <w:rsid w:val="00370DAD"/>
    <w:rsid w:val="0037161B"/>
    <w:rsid w:val="00372B96"/>
    <w:rsid w:val="00374351"/>
    <w:rsid w:val="003746D2"/>
    <w:rsid w:val="00376018"/>
    <w:rsid w:val="0037671B"/>
    <w:rsid w:val="0037698E"/>
    <w:rsid w:val="003769F1"/>
    <w:rsid w:val="00376B24"/>
    <w:rsid w:val="0038177E"/>
    <w:rsid w:val="00381FC1"/>
    <w:rsid w:val="00382784"/>
    <w:rsid w:val="00383CD8"/>
    <w:rsid w:val="00383DDD"/>
    <w:rsid w:val="003842B0"/>
    <w:rsid w:val="00385DC3"/>
    <w:rsid w:val="003869D0"/>
    <w:rsid w:val="00387142"/>
    <w:rsid w:val="00390849"/>
    <w:rsid w:val="00390E0E"/>
    <w:rsid w:val="00391C4C"/>
    <w:rsid w:val="00394188"/>
    <w:rsid w:val="00395912"/>
    <w:rsid w:val="00396920"/>
    <w:rsid w:val="00396972"/>
    <w:rsid w:val="00396E0F"/>
    <w:rsid w:val="00397070"/>
    <w:rsid w:val="00397320"/>
    <w:rsid w:val="00397330"/>
    <w:rsid w:val="003A0389"/>
    <w:rsid w:val="003A1560"/>
    <w:rsid w:val="003A2005"/>
    <w:rsid w:val="003A284C"/>
    <w:rsid w:val="003A471C"/>
    <w:rsid w:val="003A59D1"/>
    <w:rsid w:val="003A5B97"/>
    <w:rsid w:val="003A610D"/>
    <w:rsid w:val="003A6DEF"/>
    <w:rsid w:val="003A7472"/>
    <w:rsid w:val="003A7581"/>
    <w:rsid w:val="003A7701"/>
    <w:rsid w:val="003A7F69"/>
    <w:rsid w:val="003A7F6D"/>
    <w:rsid w:val="003B0D49"/>
    <w:rsid w:val="003B17AC"/>
    <w:rsid w:val="003B24BE"/>
    <w:rsid w:val="003B24E1"/>
    <w:rsid w:val="003B39B5"/>
    <w:rsid w:val="003B3F0A"/>
    <w:rsid w:val="003B402D"/>
    <w:rsid w:val="003B4395"/>
    <w:rsid w:val="003B45FB"/>
    <w:rsid w:val="003B55EC"/>
    <w:rsid w:val="003B6381"/>
    <w:rsid w:val="003B6E43"/>
    <w:rsid w:val="003C1456"/>
    <w:rsid w:val="003C23D1"/>
    <w:rsid w:val="003C2514"/>
    <w:rsid w:val="003C2F3E"/>
    <w:rsid w:val="003C3230"/>
    <w:rsid w:val="003C4FF0"/>
    <w:rsid w:val="003C502E"/>
    <w:rsid w:val="003C6324"/>
    <w:rsid w:val="003C72DA"/>
    <w:rsid w:val="003C73EC"/>
    <w:rsid w:val="003C77ED"/>
    <w:rsid w:val="003D0662"/>
    <w:rsid w:val="003D073B"/>
    <w:rsid w:val="003D07F7"/>
    <w:rsid w:val="003D2114"/>
    <w:rsid w:val="003D293B"/>
    <w:rsid w:val="003D2C38"/>
    <w:rsid w:val="003D33EA"/>
    <w:rsid w:val="003D3AA1"/>
    <w:rsid w:val="003D3F4A"/>
    <w:rsid w:val="003D4797"/>
    <w:rsid w:val="003D577C"/>
    <w:rsid w:val="003D5C5B"/>
    <w:rsid w:val="003D79E4"/>
    <w:rsid w:val="003D7B59"/>
    <w:rsid w:val="003E099A"/>
    <w:rsid w:val="003E0BD2"/>
    <w:rsid w:val="003E12AE"/>
    <w:rsid w:val="003E1542"/>
    <w:rsid w:val="003E2F96"/>
    <w:rsid w:val="003E3459"/>
    <w:rsid w:val="003E36C0"/>
    <w:rsid w:val="003E385C"/>
    <w:rsid w:val="003E392F"/>
    <w:rsid w:val="003E3DB7"/>
    <w:rsid w:val="003E3F23"/>
    <w:rsid w:val="003E408C"/>
    <w:rsid w:val="003E5083"/>
    <w:rsid w:val="003E5CA0"/>
    <w:rsid w:val="003E5ED4"/>
    <w:rsid w:val="003E69E7"/>
    <w:rsid w:val="003E6BEE"/>
    <w:rsid w:val="003E7219"/>
    <w:rsid w:val="003E72D0"/>
    <w:rsid w:val="003E7F03"/>
    <w:rsid w:val="003F0853"/>
    <w:rsid w:val="003F1BDB"/>
    <w:rsid w:val="003F253E"/>
    <w:rsid w:val="003F36F3"/>
    <w:rsid w:val="003F38D4"/>
    <w:rsid w:val="003F3A13"/>
    <w:rsid w:val="003F4B0B"/>
    <w:rsid w:val="003F6E84"/>
    <w:rsid w:val="003F7EB0"/>
    <w:rsid w:val="00400350"/>
    <w:rsid w:val="004007A7"/>
    <w:rsid w:val="00400931"/>
    <w:rsid w:val="0040174E"/>
    <w:rsid w:val="0040265A"/>
    <w:rsid w:val="00402DFF"/>
    <w:rsid w:val="00403215"/>
    <w:rsid w:val="00403410"/>
    <w:rsid w:val="00403DF1"/>
    <w:rsid w:val="00404988"/>
    <w:rsid w:val="004051ED"/>
    <w:rsid w:val="004055DB"/>
    <w:rsid w:val="004055F0"/>
    <w:rsid w:val="004056A2"/>
    <w:rsid w:val="00406ECF"/>
    <w:rsid w:val="00407FA7"/>
    <w:rsid w:val="0041184F"/>
    <w:rsid w:val="00411A73"/>
    <w:rsid w:val="00411DA7"/>
    <w:rsid w:val="0041251D"/>
    <w:rsid w:val="00412741"/>
    <w:rsid w:val="004127A6"/>
    <w:rsid w:val="0041373E"/>
    <w:rsid w:val="004149FB"/>
    <w:rsid w:val="00414D0A"/>
    <w:rsid w:val="004170F2"/>
    <w:rsid w:val="0042058C"/>
    <w:rsid w:val="00420777"/>
    <w:rsid w:val="0042078A"/>
    <w:rsid w:val="00421C83"/>
    <w:rsid w:val="00421D84"/>
    <w:rsid w:val="00422446"/>
    <w:rsid w:val="00422A8F"/>
    <w:rsid w:val="00422DE1"/>
    <w:rsid w:val="00423978"/>
    <w:rsid w:val="00425C5C"/>
    <w:rsid w:val="0042615D"/>
    <w:rsid w:val="00426467"/>
    <w:rsid w:val="00426744"/>
    <w:rsid w:val="00426FEA"/>
    <w:rsid w:val="004270DA"/>
    <w:rsid w:val="00427E6B"/>
    <w:rsid w:val="00430208"/>
    <w:rsid w:val="004306CC"/>
    <w:rsid w:val="00430CFA"/>
    <w:rsid w:val="00430FEF"/>
    <w:rsid w:val="00432087"/>
    <w:rsid w:val="00432CDC"/>
    <w:rsid w:val="00433BD0"/>
    <w:rsid w:val="00433ED7"/>
    <w:rsid w:val="004349CC"/>
    <w:rsid w:val="00434AEB"/>
    <w:rsid w:val="00434D6F"/>
    <w:rsid w:val="00436CA3"/>
    <w:rsid w:val="00437982"/>
    <w:rsid w:val="00437D6F"/>
    <w:rsid w:val="00437FD3"/>
    <w:rsid w:val="00440BBB"/>
    <w:rsid w:val="00440C69"/>
    <w:rsid w:val="0044254D"/>
    <w:rsid w:val="00442944"/>
    <w:rsid w:val="00444278"/>
    <w:rsid w:val="00444668"/>
    <w:rsid w:val="00445658"/>
    <w:rsid w:val="004457F2"/>
    <w:rsid w:val="00445926"/>
    <w:rsid w:val="0044592E"/>
    <w:rsid w:val="00445CBD"/>
    <w:rsid w:val="0044616F"/>
    <w:rsid w:val="0044617F"/>
    <w:rsid w:val="00446252"/>
    <w:rsid w:val="00446A5E"/>
    <w:rsid w:val="004503EB"/>
    <w:rsid w:val="00450A18"/>
    <w:rsid w:val="004534A9"/>
    <w:rsid w:val="00455535"/>
    <w:rsid w:val="00455608"/>
    <w:rsid w:val="00455721"/>
    <w:rsid w:val="00455B0F"/>
    <w:rsid w:val="00456624"/>
    <w:rsid w:val="00456673"/>
    <w:rsid w:val="004567EC"/>
    <w:rsid w:val="00456DF7"/>
    <w:rsid w:val="004570AD"/>
    <w:rsid w:val="00457E98"/>
    <w:rsid w:val="0046139F"/>
    <w:rsid w:val="00461408"/>
    <w:rsid w:val="004616BF"/>
    <w:rsid w:val="00461A1F"/>
    <w:rsid w:val="00463547"/>
    <w:rsid w:val="00463716"/>
    <w:rsid w:val="00463725"/>
    <w:rsid w:val="004637C0"/>
    <w:rsid w:val="00463D49"/>
    <w:rsid w:val="00464B78"/>
    <w:rsid w:val="00466223"/>
    <w:rsid w:val="00466422"/>
    <w:rsid w:val="00466B48"/>
    <w:rsid w:val="00467D80"/>
    <w:rsid w:val="00471311"/>
    <w:rsid w:val="004717C0"/>
    <w:rsid w:val="00474EEE"/>
    <w:rsid w:val="00475239"/>
    <w:rsid w:val="00475BB7"/>
    <w:rsid w:val="00476873"/>
    <w:rsid w:val="0047795C"/>
    <w:rsid w:val="004803F9"/>
    <w:rsid w:val="00480469"/>
    <w:rsid w:val="00480728"/>
    <w:rsid w:val="004809CD"/>
    <w:rsid w:val="00481258"/>
    <w:rsid w:val="004817AA"/>
    <w:rsid w:val="00484152"/>
    <w:rsid w:val="00484565"/>
    <w:rsid w:val="00484D7A"/>
    <w:rsid w:val="004850AE"/>
    <w:rsid w:val="00486862"/>
    <w:rsid w:val="0048694E"/>
    <w:rsid w:val="00486A98"/>
    <w:rsid w:val="00486C65"/>
    <w:rsid w:val="0048707E"/>
    <w:rsid w:val="00487C84"/>
    <w:rsid w:val="00490690"/>
    <w:rsid w:val="00491BE7"/>
    <w:rsid w:val="00493D6A"/>
    <w:rsid w:val="0049418F"/>
    <w:rsid w:val="004941CA"/>
    <w:rsid w:val="00494DDE"/>
    <w:rsid w:val="00494E76"/>
    <w:rsid w:val="00494F89"/>
    <w:rsid w:val="004956C4"/>
    <w:rsid w:val="00495D85"/>
    <w:rsid w:val="0049606C"/>
    <w:rsid w:val="0049616C"/>
    <w:rsid w:val="004969C7"/>
    <w:rsid w:val="004974EE"/>
    <w:rsid w:val="004A0282"/>
    <w:rsid w:val="004A08AA"/>
    <w:rsid w:val="004A0B49"/>
    <w:rsid w:val="004A25D2"/>
    <w:rsid w:val="004A28AC"/>
    <w:rsid w:val="004A2D6A"/>
    <w:rsid w:val="004A2E18"/>
    <w:rsid w:val="004A4399"/>
    <w:rsid w:val="004A4D20"/>
    <w:rsid w:val="004A5C71"/>
    <w:rsid w:val="004A7F8B"/>
    <w:rsid w:val="004B0DA9"/>
    <w:rsid w:val="004B11E1"/>
    <w:rsid w:val="004B18DF"/>
    <w:rsid w:val="004B1B13"/>
    <w:rsid w:val="004B35CE"/>
    <w:rsid w:val="004B3920"/>
    <w:rsid w:val="004B3B1F"/>
    <w:rsid w:val="004B3DF4"/>
    <w:rsid w:val="004B42CE"/>
    <w:rsid w:val="004B4CA4"/>
    <w:rsid w:val="004B5B94"/>
    <w:rsid w:val="004B5CBC"/>
    <w:rsid w:val="004B654D"/>
    <w:rsid w:val="004B7722"/>
    <w:rsid w:val="004B787A"/>
    <w:rsid w:val="004C00A7"/>
    <w:rsid w:val="004C04C9"/>
    <w:rsid w:val="004C101D"/>
    <w:rsid w:val="004C1605"/>
    <w:rsid w:val="004C2CE8"/>
    <w:rsid w:val="004C405A"/>
    <w:rsid w:val="004C4253"/>
    <w:rsid w:val="004C4F90"/>
    <w:rsid w:val="004C5080"/>
    <w:rsid w:val="004C53C3"/>
    <w:rsid w:val="004C5CE1"/>
    <w:rsid w:val="004C7AE5"/>
    <w:rsid w:val="004D0C87"/>
    <w:rsid w:val="004D1458"/>
    <w:rsid w:val="004D18A9"/>
    <w:rsid w:val="004D32B9"/>
    <w:rsid w:val="004D3D12"/>
    <w:rsid w:val="004D41AD"/>
    <w:rsid w:val="004D4248"/>
    <w:rsid w:val="004D4DF8"/>
    <w:rsid w:val="004D4E96"/>
    <w:rsid w:val="004D5F2C"/>
    <w:rsid w:val="004D68CA"/>
    <w:rsid w:val="004D6F5B"/>
    <w:rsid w:val="004D7348"/>
    <w:rsid w:val="004D7A8D"/>
    <w:rsid w:val="004D7BFA"/>
    <w:rsid w:val="004D7EC1"/>
    <w:rsid w:val="004E0975"/>
    <w:rsid w:val="004E1701"/>
    <w:rsid w:val="004E192A"/>
    <w:rsid w:val="004E1D3F"/>
    <w:rsid w:val="004E210C"/>
    <w:rsid w:val="004E37C4"/>
    <w:rsid w:val="004E3C98"/>
    <w:rsid w:val="004E4043"/>
    <w:rsid w:val="004E4EC4"/>
    <w:rsid w:val="004E50F0"/>
    <w:rsid w:val="004E57B7"/>
    <w:rsid w:val="004E59F4"/>
    <w:rsid w:val="004E5BCF"/>
    <w:rsid w:val="004E73C9"/>
    <w:rsid w:val="004E74AC"/>
    <w:rsid w:val="004F0424"/>
    <w:rsid w:val="004F23E6"/>
    <w:rsid w:val="004F2DCF"/>
    <w:rsid w:val="004F2FDC"/>
    <w:rsid w:val="004F5558"/>
    <w:rsid w:val="004F607D"/>
    <w:rsid w:val="004F6B47"/>
    <w:rsid w:val="004F6D97"/>
    <w:rsid w:val="004F72E1"/>
    <w:rsid w:val="004F7846"/>
    <w:rsid w:val="005001C6"/>
    <w:rsid w:val="00501174"/>
    <w:rsid w:val="00502220"/>
    <w:rsid w:val="00502557"/>
    <w:rsid w:val="005029C0"/>
    <w:rsid w:val="00505632"/>
    <w:rsid w:val="00505EA7"/>
    <w:rsid w:val="00510204"/>
    <w:rsid w:val="0051055F"/>
    <w:rsid w:val="00511B1F"/>
    <w:rsid w:val="00512756"/>
    <w:rsid w:val="005136E2"/>
    <w:rsid w:val="005138F6"/>
    <w:rsid w:val="0051405E"/>
    <w:rsid w:val="0051430E"/>
    <w:rsid w:val="00514503"/>
    <w:rsid w:val="005155E8"/>
    <w:rsid w:val="00515899"/>
    <w:rsid w:val="00515F62"/>
    <w:rsid w:val="005168B6"/>
    <w:rsid w:val="005178BC"/>
    <w:rsid w:val="005178C8"/>
    <w:rsid w:val="00517EA4"/>
    <w:rsid w:val="00521F4B"/>
    <w:rsid w:val="00522BE0"/>
    <w:rsid w:val="00523007"/>
    <w:rsid w:val="0052425F"/>
    <w:rsid w:val="00526BC8"/>
    <w:rsid w:val="00527158"/>
    <w:rsid w:val="005277DC"/>
    <w:rsid w:val="0052793E"/>
    <w:rsid w:val="00527BE7"/>
    <w:rsid w:val="0053007C"/>
    <w:rsid w:val="005302CF"/>
    <w:rsid w:val="00530C28"/>
    <w:rsid w:val="00531EC4"/>
    <w:rsid w:val="0053263D"/>
    <w:rsid w:val="00532664"/>
    <w:rsid w:val="00532BDE"/>
    <w:rsid w:val="00532ED3"/>
    <w:rsid w:val="0053338F"/>
    <w:rsid w:val="005343EF"/>
    <w:rsid w:val="00535387"/>
    <w:rsid w:val="00535462"/>
    <w:rsid w:val="0053618D"/>
    <w:rsid w:val="00536219"/>
    <w:rsid w:val="0053779F"/>
    <w:rsid w:val="005408F6"/>
    <w:rsid w:val="0054288A"/>
    <w:rsid w:val="00544172"/>
    <w:rsid w:val="00544826"/>
    <w:rsid w:val="00545CAD"/>
    <w:rsid w:val="00546B5E"/>
    <w:rsid w:val="00546FFF"/>
    <w:rsid w:val="00547B63"/>
    <w:rsid w:val="00547DDE"/>
    <w:rsid w:val="005506F0"/>
    <w:rsid w:val="00551475"/>
    <w:rsid w:val="005516F3"/>
    <w:rsid w:val="00551D55"/>
    <w:rsid w:val="00551FBF"/>
    <w:rsid w:val="00552703"/>
    <w:rsid w:val="00552E75"/>
    <w:rsid w:val="00553FAF"/>
    <w:rsid w:val="00554BE7"/>
    <w:rsid w:val="00554C35"/>
    <w:rsid w:val="00555165"/>
    <w:rsid w:val="00556426"/>
    <w:rsid w:val="005564AB"/>
    <w:rsid w:val="00556CE1"/>
    <w:rsid w:val="00556F5D"/>
    <w:rsid w:val="00557317"/>
    <w:rsid w:val="00557935"/>
    <w:rsid w:val="00560A6E"/>
    <w:rsid w:val="00560C97"/>
    <w:rsid w:val="00560F81"/>
    <w:rsid w:val="00561017"/>
    <w:rsid w:val="005639F0"/>
    <w:rsid w:val="00564565"/>
    <w:rsid w:val="00564F67"/>
    <w:rsid w:val="005656A8"/>
    <w:rsid w:val="00565EE6"/>
    <w:rsid w:val="0057114A"/>
    <w:rsid w:val="00571A98"/>
    <w:rsid w:val="00575F6C"/>
    <w:rsid w:val="005774B9"/>
    <w:rsid w:val="0058039B"/>
    <w:rsid w:val="0058064E"/>
    <w:rsid w:val="00580B26"/>
    <w:rsid w:val="00580D44"/>
    <w:rsid w:val="005814D9"/>
    <w:rsid w:val="005814EC"/>
    <w:rsid w:val="005818E6"/>
    <w:rsid w:val="005820AC"/>
    <w:rsid w:val="0058244A"/>
    <w:rsid w:val="00583BF6"/>
    <w:rsid w:val="0058487C"/>
    <w:rsid w:val="005850C8"/>
    <w:rsid w:val="00585E17"/>
    <w:rsid w:val="00586667"/>
    <w:rsid w:val="0058768D"/>
    <w:rsid w:val="00590336"/>
    <w:rsid w:val="005917DC"/>
    <w:rsid w:val="00591B41"/>
    <w:rsid w:val="00592C6E"/>
    <w:rsid w:val="00592ED9"/>
    <w:rsid w:val="005930F8"/>
    <w:rsid w:val="005939D2"/>
    <w:rsid w:val="00594007"/>
    <w:rsid w:val="00595871"/>
    <w:rsid w:val="00595C3A"/>
    <w:rsid w:val="00595C81"/>
    <w:rsid w:val="005965F3"/>
    <w:rsid w:val="005974B1"/>
    <w:rsid w:val="0059767E"/>
    <w:rsid w:val="00597806"/>
    <w:rsid w:val="005A0033"/>
    <w:rsid w:val="005A0097"/>
    <w:rsid w:val="005A11E6"/>
    <w:rsid w:val="005A12D0"/>
    <w:rsid w:val="005A14B9"/>
    <w:rsid w:val="005A234F"/>
    <w:rsid w:val="005A2925"/>
    <w:rsid w:val="005A2997"/>
    <w:rsid w:val="005A2B48"/>
    <w:rsid w:val="005A2F16"/>
    <w:rsid w:val="005A33A5"/>
    <w:rsid w:val="005A35D8"/>
    <w:rsid w:val="005A4469"/>
    <w:rsid w:val="005A499D"/>
    <w:rsid w:val="005A4DFE"/>
    <w:rsid w:val="005A64B1"/>
    <w:rsid w:val="005A69C4"/>
    <w:rsid w:val="005A6B77"/>
    <w:rsid w:val="005A771B"/>
    <w:rsid w:val="005A7B02"/>
    <w:rsid w:val="005A7F92"/>
    <w:rsid w:val="005B02F6"/>
    <w:rsid w:val="005B1D36"/>
    <w:rsid w:val="005B1D92"/>
    <w:rsid w:val="005B2658"/>
    <w:rsid w:val="005B2B13"/>
    <w:rsid w:val="005B3100"/>
    <w:rsid w:val="005B3266"/>
    <w:rsid w:val="005B35C7"/>
    <w:rsid w:val="005B3C14"/>
    <w:rsid w:val="005B3DB7"/>
    <w:rsid w:val="005B4193"/>
    <w:rsid w:val="005B4B56"/>
    <w:rsid w:val="005B55FA"/>
    <w:rsid w:val="005B5712"/>
    <w:rsid w:val="005B58BE"/>
    <w:rsid w:val="005B6A25"/>
    <w:rsid w:val="005B71AB"/>
    <w:rsid w:val="005B7750"/>
    <w:rsid w:val="005B796B"/>
    <w:rsid w:val="005C035B"/>
    <w:rsid w:val="005C0CC7"/>
    <w:rsid w:val="005C0F29"/>
    <w:rsid w:val="005C3538"/>
    <w:rsid w:val="005C56FD"/>
    <w:rsid w:val="005C5F2A"/>
    <w:rsid w:val="005C661B"/>
    <w:rsid w:val="005C6DAD"/>
    <w:rsid w:val="005C7DE7"/>
    <w:rsid w:val="005D026F"/>
    <w:rsid w:val="005D0562"/>
    <w:rsid w:val="005D0B1D"/>
    <w:rsid w:val="005D178D"/>
    <w:rsid w:val="005D27E9"/>
    <w:rsid w:val="005D3DFD"/>
    <w:rsid w:val="005D407E"/>
    <w:rsid w:val="005D4749"/>
    <w:rsid w:val="005D52A3"/>
    <w:rsid w:val="005D634B"/>
    <w:rsid w:val="005D72EC"/>
    <w:rsid w:val="005D76B9"/>
    <w:rsid w:val="005E0172"/>
    <w:rsid w:val="005E1524"/>
    <w:rsid w:val="005E1531"/>
    <w:rsid w:val="005E1587"/>
    <w:rsid w:val="005E19D0"/>
    <w:rsid w:val="005E1DC5"/>
    <w:rsid w:val="005E38C4"/>
    <w:rsid w:val="005E38DD"/>
    <w:rsid w:val="005E391C"/>
    <w:rsid w:val="005E543A"/>
    <w:rsid w:val="005E59CB"/>
    <w:rsid w:val="005E5E7B"/>
    <w:rsid w:val="005E5EE3"/>
    <w:rsid w:val="005E6995"/>
    <w:rsid w:val="005E6EA7"/>
    <w:rsid w:val="005E7015"/>
    <w:rsid w:val="005F12E5"/>
    <w:rsid w:val="005F20BE"/>
    <w:rsid w:val="005F23B7"/>
    <w:rsid w:val="005F26AF"/>
    <w:rsid w:val="005F3341"/>
    <w:rsid w:val="005F3612"/>
    <w:rsid w:val="005F36FB"/>
    <w:rsid w:val="005F3734"/>
    <w:rsid w:val="005F5AA9"/>
    <w:rsid w:val="005F631C"/>
    <w:rsid w:val="005F7632"/>
    <w:rsid w:val="005F795F"/>
    <w:rsid w:val="005F7A0E"/>
    <w:rsid w:val="005F7A12"/>
    <w:rsid w:val="00600201"/>
    <w:rsid w:val="00600D37"/>
    <w:rsid w:val="00600ED9"/>
    <w:rsid w:val="00600F3A"/>
    <w:rsid w:val="00600F5A"/>
    <w:rsid w:val="00601266"/>
    <w:rsid w:val="00601973"/>
    <w:rsid w:val="00601BA5"/>
    <w:rsid w:val="00602938"/>
    <w:rsid w:val="00603A07"/>
    <w:rsid w:val="00603E57"/>
    <w:rsid w:val="006045B4"/>
    <w:rsid w:val="00605339"/>
    <w:rsid w:val="00606099"/>
    <w:rsid w:val="00606612"/>
    <w:rsid w:val="00606BCA"/>
    <w:rsid w:val="00610E67"/>
    <w:rsid w:val="00610F6C"/>
    <w:rsid w:val="00611017"/>
    <w:rsid w:val="0061140C"/>
    <w:rsid w:val="006118BE"/>
    <w:rsid w:val="00611A92"/>
    <w:rsid w:val="00612EA4"/>
    <w:rsid w:val="0061358D"/>
    <w:rsid w:val="00613673"/>
    <w:rsid w:val="00613BB0"/>
    <w:rsid w:val="00613F05"/>
    <w:rsid w:val="0061410F"/>
    <w:rsid w:val="006143B4"/>
    <w:rsid w:val="00614F3E"/>
    <w:rsid w:val="00615518"/>
    <w:rsid w:val="00615AC1"/>
    <w:rsid w:val="00615CB1"/>
    <w:rsid w:val="006163DE"/>
    <w:rsid w:val="006165E2"/>
    <w:rsid w:val="006167E2"/>
    <w:rsid w:val="006168E3"/>
    <w:rsid w:val="00616F0E"/>
    <w:rsid w:val="006204CA"/>
    <w:rsid w:val="00620C87"/>
    <w:rsid w:val="00620F9D"/>
    <w:rsid w:val="00622FD0"/>
    <w:rsid w:val="00623ABD"/>
    <w:rsid w:val="00623FCA"/>
    <w:rsid w:val="00624BB4"/>
    <w:rsid w:val="00625D87"/>
    <w:rsid w:val="00627177"/>
    <w:rsid w:val="006278FB"/>
    <w:rsid w:val="0063103B"/>
    <w:rsid w:val="0063109A"/>
    <w:rsid w:val="006323F9"/>
    <w:rsid w:val="006337EF"/>
    <w:rsid w:val="00635389"/>
    <w:rsid w:val="00635551"/>
    <w:rsid w:val="00635722"/>
    <w:rsid w:val="00635CA9"/>
    <w:rsid w:val="00636059"/>
    <w:rsid w:val="006367AC"/>
    <w:rsid w:val="00636965"/>
    <w:rsid w:val="00636D90"/>
    <w:rsid w:val="006375A6"/>
    <w:rsid w:val="006402EA"/>
    <w:rsid w:val="00640F07"/>
    <w:rsid w:val="00641035"/>
    <w:rsid w:val="00641EC7"/>
    <w:rsid w:val="006421B0"/>
    <w:rsid w:val="00642939"/>
    <w:rsid w:val="00642BDE"/>
    <w:rsid w:val="006432FC"/>
    <w:rsid w:val="00643A23"/>
    <w:rsid w:val="00643E06"/>
    <w:rsid w:val="006443BB"/>
    <w:rsid w:val="0064690E"/>
    <w:rsid w:val="00647076"/>
    <w:rsid w:val="00650665"/>
    <w:rsid w:val="0065075F"/>
    <w:rsid w:val="00652883"/>
    <w:rsid w:val="00652BFA"/>
    <w:rsid w:val="00655916"/>
    <w:rsid w:val="00656EBC"/>
    <w:rsid w:val="0065782B"/>
    <w:rsid w:val="00657F97"/>
    <w:rsid w:val="00660BC6"/>
    <w:rsid w:val="00660D57"/>
    <w:rsid w:val="00661DAD"/>
    <w:rsid w:val="00662A1C"/>
    <w:rsid w:val="00662A7D"/>
    <w:rsid w:val="006631E0"/>
    <w:rsid w:val="00663407"/>
    <w:rsid w:val="00663456"/>
    <w:rsid w:val="0066365F"/>
    <w:rsid w:val="00664343"/>
    <w:rsid w:val="00664E0E"/>
    <w:rsid w:val="006654B2"/>
    <w:rsid w:val="0066634B"/>
    <w:rsid w:val="00666523"/>
    <w:rsid w:val="00666C60"/>
    <w:rsid w:val="006724D9"/>
    <w:rsid w:val="00672818"/>
    <w:rsid w:val="0067307B"/>
    <w:rsid w:val="00673ACE"/>
    <w:rsid w:val="00673BBF"/>
    <w:rsid w:val="00677B97"/>
    <w:rsid w:val="00680AEA"/>
    <w:rsid w:val="00680EC8"/>
    <w:rsid w:val="006810EC"/>
    <w:rsid w:val="00681624"/>
    <w:rsid w:val="006818F9"/>
    <w:rsid w:val="00681ACF"/>
    <w:rsid w:val="00682B5B"/>
    <w:rsid w:val="00683251"/>
    <w:rsid w:val="006836BA"/>
    <w:rsid w:val="006839EA"/>
    <w:rsid w:val="00684636"/>
    <w:rsid w:val="0068541D"/>
    <w:rsid w:val="006858DF"/>
    <w:rsid w:val="00686487"/>
    <w:rsid w:val="00686556"/>
    <w:rsid w:val="006866A0"/>
    <w:rsid w:val="006869A7"/>
    <w:rsid w:val="006872F2"/>
    <w:rsid w:val="0068774C"/>
    <w:rsid w:val="00687C22"/>
    <w:rsid w:val="006903A1"/>
    <w:rsid w:val="00690A15"/>
    <w:rsid w:val="00690B99"/>
    <w:rsid w:val="0069110E"/>
    <w:rsid w:val="0069130E"/>
    <w:rsid w:val="00692E55"/>
    <w:rsid w:val="00693320"/>
    <w:rsid w:val="00695308"/>
    <w:rsid w:val="00696D79"/>
    <w:rsid w:val="00697947"/>
    <w:rsid w:val="00697A01"/>
    <w:rsid w:val="006A217E"/>
    <w:rsid w:val="006A3429"/>
    <w:rsid w:val="006A50C9"/>
    <w:rsid w:val="006A6148"/>
    <w:rsid w:val="006A6E24"/>
    <w:rsid w:val="006A74D7"/>
    <w:rsid w:val="006B049A"/>
    <w:rsid w:val="006B05A5"/>
    <w:rsid w:val="006B071E"/>
    <w:rsid w:val="006B08B8"/>
    <w:rsid w:val="006B1304"/>
    <w:rsid w:val="006B1825"/>
    <w:rsid w:val="006B1CB1"/>
    <w:rsid w:val="006B25FB"/>
    <w:rsid w:val="006B2BAB"/>
    <w:rsid w:val="006B3B5E"/>
    <w:rsid w:val="006B45AB"/>
    <w:rsid w:val="006B4F73"/>
    <w:rsid w:val="006B55E4"/>
    <w:rsid w:val="006B57DB"/>
    <w:rsid w:val="006C0B8E"/>
    <w:rsid w:val="006C2064"/>
    <w:rsid w:val="006C23D9"/>
    <w:rsid w:val="006C2897"/>
    <w:rsid w:val="006C30CD"/>
    <w:rsid w:val="006C441E"/>
    <w:rsid w:val="006C51F1"/>
    <w:rsid w:val="006C70BE"/>
    <w:rsid w:val="006C79F1"/>
    <w:rsid w:val="006D1D06"/>
    <w:rsid w:val="006D1D28"/>
    <w:rsid w:val="006D25FF"/>
    <w:rsid w:val="006D3480"/>
    <w:rsid w:val="006D585D"/>
    <w:rsid w:val="006D5FB0"/>
    <w:rsid w:val="006D7FB4"/>
    <w:rsid w:val="006E0839"/>
    <w:rsid w:val="006E1BA1"/>
    <w:rsid w:val="006E1D53"/>
    <w:rsid w:val="006E1EDC"/>
    <w:rsid w:val="006E227E"/>
    <w:rsid w:val="006E2673"/>
    <w:rsid w:val="006E2690"/>
    <w:rsid w:val="006E2F43"/>
    <w:rsid w:val="006E2FFF"/>
    <w:rsid w:val="006E401A"/>
    <w:rsid w:val="006E431D"/>
    <w:rsid w:val="006E45D9"/>
    <w:rsid w:val="006E4EB7"/>
    <w:rsid w:val="006E54C0"/>
    <w:rsid w:val="006E5E29"/>
    <w:rsid w:val="006E5F22"/>
    <w:rsid w:val="006E635A"/>
    <w:rsid w:val="006E6B24"/>
    <w:rsid w:val="006E7390"/>
    <w:rsid w:val="006E74FA"/>
    <w:rsid w:val="006E7CF8"/>
    <w:rsid w:val="006F073A"/>
    <w:rsid w:val="006F0945"/>
    <w:rsid w:val="006F0C27"/>
    <w:rsid w:val="006F1346"/>
    <w:rsid w:val="006F1811"/>
    <w:rsid w:val="006F1A9A"/>
    <w:rsid w:val="006F1DBB"/>
    <w:rsid w:val="006F2627"/>
    <w:rsid w:val="006F3DD7"/>
    <w:rsid w:val="006F47BD"/>
    <w:rsid w:val="006F57AA"/>
    <w:rsid w:val="006F6C47"/>
    <w:rsid w:val="006F6D48"/>
    <w:rsid w:val="006F7777"/>
    <w:rsid w:val="007002B2"/>
    <w:rsid w:val="00700371"/>
    <w:rsid w:val="00701629"/>
    <w:rsid w:val="00701EBB"/>
    <w:rsid w:val="00703A96"/>
    <w:rsid w:val="0070424E"/>
    <w:rsid w:val="007047FD"/>
    <w:rsid w:val="00704BE8"/>
    <w:rsid w:val="007052DC"/>
    <w:rsid w:val="007053AA"/>
    <w:rsid w:val="007056EF"/>
    <w:rsid w:val="00705D81"/>
    <w:rsid w:val="00705DD1"/>
    <w:rsid w:val="007065FF"/>
    <w:rsid w:val="00707DBC"/>
    <w:rsid w:val="007112C0"/>
    <w:rsid w:val="007153F7"/>
    <w:rsid w:val="00715707"/>
    <w:rsid w:val="00715B9A"/>
    <w:rsid w:val="00715EF6"/>
    <w:rsid w:val="00715FDF"/>
    <w:rsid w:val="007164A5"/>
    <w:rsid w:val="00716581"/>
    <w:rsid w:val="00716ACD"/>
    <w:rsid w:val="00717539"/>
    <w:rsid w:val="00720ACC"/>
    <w:rsid w:val="0072162A"/>
    <w:rsid w:val="0072181C"/>
    <w:rsid w:val="00721C7E"/>
    <w:rsid w:val="00722A7D"/>
    <w:rsid w:val="00722E8A"/>
    <w:rsid w:val="00723064"/>
    <w:rsid w:val="00723A2A"/>
    <w:rsid w:val="00723BA0"/>
    <w:rsid w:val="007242BC"/>
    <w:rsid w:val="00724E16"/>
    <w:rsid w:val="00724FFD"/>
    <w:rsid w:val="00725085"/>
    <w:rsid w:val="007259F5"/>
    <w:rsid w:val="00726181"/>
    <w:rsid w:val="007265E4"/>
    <w:rsid w:val="00727477"/>
    <w:rsid w:val="00727FE9"/>
    <w:rsid w:val="007305AF"/>
    <w:rsid w:val="007306C5"/>
    <w:rsid w:val="00731398"/>
    <w:rsid w:val="0073306E"/>
    <w:rsid w:val="007331C7"/>
    <w:rsid w:val="00734A67"/>
    <w:rsid w:val="00736633"/>
    <w:rsid w:val="00737BB9"/>
    <w:rsid w:val="007406E9"/>
    <w:rsid w:val="0074127D"/>
    <w:rsid w:val="0074167F"/>
    <w:rsid w:val="00741B6E"/>
    <w:rsid w:val="00741DCB"/>
    <w:rsid w:val="00743A38"/>
    <w:rsid w:val="00743C20"/>
    <w:rsid w:val="007448EE"/>
    <w:rsid w:val="007449FF"/>
    <w:rsid w:val="00744A6E"/>
    <w:rsid w:val="00744CE4"/>
    <w:rsid w:val="007450D5"/>
    <w:rsid w:val="0074526D"/>
    <w:rsid w:val="0074559B"/>
    <w:rsid w:val="00747AC1"/>
    <w:rsid w:val="007511F3"/>
    <w:rsid w:val="00752585"/>
    <w:rsid w:val="00752B98"/>
    <w:rsid w:val="0075509D"/>
    <w:rsid w:val="00755B02"/>
    <w:rsid w:val="007570BF"/>
    <w:rsid w:val="00757A83"/>
    <w:rsid w:val="00760076"/>
    <w:rsid w:val="0076062B"/>
    <w:rsid w:val="00760F85"/>
    <w:rsid w:val="007615BF"/>
    <w:rsid w:val="00761E78"/>
    <w:rsid w:val="00763681"/>
    <w:rsid w:val="007651C1"/>
    <w:rsid w:val="007666D7"/>
    <w:rsid w:val="0077075B"/>
    <w:rsid w:val="00771522"/>
    <w:rsid w:val="007724EA"/>
    <w:rsid w:val="007739E4"/>
    <w:rsid w:val="00775663"/>
    <w:rsid w:val="00775B00"/>
    <w:rsid w:val="00775C7E"/>
    <w:rsid w:val="007767A0"/>
    <w:rsid w:val="0078037E"/>
    <w:rsid w:val="007812A7"/>
    <w:rsid w:val="007817E6"/>
    <w:rsid w:val="00783420"/>
    <w:rsid w:val="007852D5"/>
    <w:rsid w:val="00786BBB"/>
    <w:rsid w:val="007871DF"/>
    <w:rsid w:val="0079327A"/>
    <w:rsid w:val="00793659"/>
    <w:rsid w:val="00793686"/>
    <w:rsid w:val="00793852"/>
    <w:rsid w:val="00793940"/>
    <w:rsid w:val="00793BB9"/>
    <w:rsid w:val="00794C04"/>
    <w:rsid w:val="0079504E"/>
    <w:rsid w:val="007968BA"/>
    <w:rsid w:val="00796EEB"/>
    <w:rsid w:val="00796F1A"/>
    <w:rsid w:val="00797078"/>
    <w:rsid w:val="007974A7"/>
    <w:rsid w:val="007A1C76"/>
    <w:rsid w:val="007A23B9"/>
    <w:rsid w:val="007A2FF2"/>
    <w:rsid w:val="007A31DC"/>
    <w:rsid w:val="007A3220"/>
    <w:rsid w:val="007A4298"/>
    <w:rsid w:val="007A4629"/>
    <w:rsid w:val="007A5D92"/>
    <w:rsid w:val="007A5DD8"/>
    <w:rsid w:val="007A601F"/>
    <w:rsid w:val="007A67FD"/>
    <w:rsid w:val="007A6C4E"/>
    <w:rsid w:val="007A72FF"/>
    <w:rsid w:val="007A760B"/>
    <w:rsid w:val="007B147E"/>
    <w:rsid w:val="007B18D5"/>
    <w:rsid w:val="007B41E6"/>
    <w:rsid w:val="007B4588"/>
    <w:rsid w:val="007B47F0"/>
    <w:rsid w:val="007B488C"/>
    <w:rsid w:val="007B4996"/>
    <w:rsid w:val="007B57AA"/>
    <w:rsid w:val="007B5838"/>
    <w:rsid w:val="007B5CA9"/>
    <w:rsid w:val="007B635F"/>
    <w:rsid w:val="007B63B1"/>
    <w:rsid w:val="007B7485"/>
    <w:rsid w:val="007B74BD"/>
    <w:rsid w:val="007C084A"/>
    <w:rsid w:val="007C0CA6"/>
    <w:rsid w:val="007C14E4"/>
    <w:rsid w:val="007C1890"/>
    <w:rsid w:val="007C2755"/>
    <w:rsid w:val="007C28A0"/>
    <w:rsid w:val="007C2CB1"/>
    <w:rsid w:val="007C3D95"/>
    <w:rsid w:val="007C4E2E"/>
    <w:rsid w:val="007C6CDB"/>
    <w:rsid w:val="007C78CB"/>
    <w:rsid w:val="007D0540"/>
    <w:rsid w:val="007D0661"/>
    <w:rsid w:val="007D0E64"/>
    <w:rsid w:val="007D1B13"/>
    <w:rsid w:val="007D1BEA"/>
    <w:rsid w:val="007D1C8A"/>
    <w:rsid w:val="007D3CB7"/>
    <w:rsid w:val="007D3E67"/>
    <w:rsid w:val="007D5A73"/>
    <w:rsid w:val="007D5D4D"/>
    <w:rsid w:val="007D6019"/>
    <w:rsid w:val="007D602C"/>
    <w:rsid w:val="007D61EC"/>
    <w:rsid w:val="007D6D9E"/>
    <w:rsid w:val="007D6E5D"/>
    <w:rsid w:val="007D6EC2"/>
    <w:rsid w:val="007D736C"/>
    <w:rsid w:val="007D7813"/>
    <w:rsid w:val="007D7FAF"/>
    <w:rsid w:val="007E01EE"/>
    <w:rsid w:val="007E29DA"/>
    <w:rsid w:val="007E3925"/>
    <w:rsid w:val="007E3DDF"/>
    <w:rsid w:val="007E3E32"/>
    <w:rsid w:val="007E41B7"/>
    <w:rsid w:val="007E462A"/>
    <w:rsid w:val="007E4640"/>
    <w:rsid w:val="007E476F"/>
    <w:rsid w:val="007E4862"/>
    <w:rsid w:val="007E60E5"/>
    <w:rsid w:val="007E72D3"/>
    <w:rsid w:val="007E7308"/>
    <w:rsid w:val="007E79FC"/>
    <w:rsid w:val="007E7EE5"/>
    <w:rsid w:val="007E7F37"/>
    <w:rsid w:val="007F0290"/>
    <w:rsid w:val="007F14BA"/>
    <w:rsid w:val="007F16FC"/>
    <w:rsid w:val="007F1C74"/>
    <w:rsid w:val="007F212C"/>
    <w:rsid w:val="007F2E16"/>
    <w:rsid w:val="007F330E"/>
    <w:rsid w:val="007F33C1"/>
    <w:rsid w:val="007F4CD5"/>
    <w:rsid w:val="007F51B2"/>
    <w:rsid w:val="007F5F65"/>
    <w:rsid w:val="007F625D"/>
    <w:rsid w:val="007F6408"/>
    <w:rsid w:val="007F6EDE"/>
    <w:rsid w:val="007F7C7A"/>
    <w:rsid w:val="00800DE5"/>
    <w:rsid w:val="0080162B"/>
    <w:rsid w:val="008018B4"/>
    <w:rsid w:val="0080248A"/>
    <w:rsid w:val="008028D7"/>
    <w:rsid w:val="00802AD4"/>
    <w:rsid w:val="00802E52"/>
    <w:rsid w:val="0080339D"/>
    <w:rsid w:val="008041FC"/>
    <w:rsid w:val="0080435E"/>
    <w:rsid w:val="00804D85"/>
    <w:rsid w:val="00805863"/>
    <w:rsid w:val="00805C5F"/>
    <w:rsid w:val="00806430"/>
    <w:rsid w:val="00806FFF"/>
    <w:rsid w:val="008079E8"/>
    <w:rsid w:val="00807E46"/>
    <w:rsid w:val="008114A4"/>
    <w:rsid w:val="00811A2E"/>
    <w:rsid w:val="00811B9E"/>
    <w:rsid w:val="00812987"/>
    <w:rsid w:val="00812CDB"/>
    <w:rsid w:val="0081333B"/>
    <w:rsid w:val="008147A6"/>
    <w:rsid w:val="008149E7"/>
    <w:rsid w:val="00814A2A"/>
    <w:rsid w:val="00815356"/>
    <w:rsid w:val="00816952"/>
    <w:rsid w:val="00817E61"/>
    <w:rsid w:val="008200B8"/>
    <w:rsid w:val="00820457"/>
    <w:rsid w:val="00820804"/>
    <w:rsid w:val="00820AF5"/>
    <w:rsid w:val="008215EF"/>
    <w:rsid w:val="00821A30"/>
    <w:rsid w:val="008228ED"/>
    <w:rsid w:val="00822BFD"/>
    <w:rsid w:val="00822F6C"/>
    <w:rsid w:val="008233DA"/>
    <w:rsid w:val="00823A7D"/>
    <w:rsid w:val="00824258"/>
    <w:rsid w:val="00824776"/>
    <w:rsid w:val="00824863"/>
    <w:rsid w:val="00824CC8"/>
    <w:rsid w:val="00824F6D"/>
    <w:rsid w:val="0082570D"/>
    <w:rsid w:val="008264E6"/>
    <w:rsid w:val="00826545"/>
    <w:rsid w:val="008277B4"/>
    <w:rsid w:val="00827CB0"/>
    <w:rsid w:val="00830DEF"/>
    <w:rsid w:val="00831504"/>
    <w:rsid w:val="00831FD7"/>
    <w:rsid w:val="0083207A"/>
    <w:rsid w:val="008324D4"/>
    <w:rsid w:val="00836278"/>
    <w:rsid w:val="008371A7"/>
    <w:rsid w:val="008409AE"/>
    <w:rsid w:val="00840B94"/>
    <w:rsid w:val="00841352"/>
    <w:rsid w:val="00841AC7"/>
    <w:rsid w:val="00841E17"/>
    <w:rsid w:val="00841F83"/>
    <w:rsid w:val="008421AD"/>
    <w:rsid w:val="008426AF"/>
    <w:rsid w:val="008428F2"/>
    <w:rsid w:val="00843CA1"/>
    <w:rsid w:val="0084494C"/>
    <w:rsid w:val="0084507C"/>
    <w:rsid w:val="008453C5"/>
    <w:rsid w:val="008453E8"/>
    <w:rsid w:val="00845780"/>
    <w:rsid w:val="008457C4"/>
    <w:rsid w:val="00845AEE"/>
    <w:rsid w:val="00846FC4"/>
    <w:rsid w:val="00847077"/>
    <w:rsid w:val="008471E2"/>
    <w:rsid w:val="008478BC"/>
    <w:rsid w:val="008502C6"/>
    <w:rsid w:val="00850C82"/>
    <w:rsid w:val="008518B8"/>
    <w:rsid w:val="00852517"/>
    <w:rsid w:val="00852EC2"/>
    <w:rsid w:val="008531BB"/>
    <w:rsid w:val="008536A7"/>
    <w:rsid w:val="00854124"/>
    <w:rsid w:val="00854132"/>
    <w:rsid w:val="008548CA"/>
    <w:rsid w:val="00854C02"/>
    <w:rsid w:val="0085585E"/>
    <w:rsid w:val="00856680"/>
    <w:rsid w:val="00856C14"/>
    <w:rsid w:val="0085704F"/>
    <w:rsid w:val="008571C8"/>
    <w:rsid w:val="00857B2F"/>
    <w:rsid w:val="008605D7"/>
    <w:rsid w:val="0086082B"/>
    <w:rsid w:val="00861108"/>
    <w:rsid w:val="008617B7"/>
    <w:rsid w:val="008638DA"/>
    <w:rsid w:val="00863CBA"/>
    <w:rsid w:val="008643B1"/>
    <w:rsid w:val="00864F89"/>
    <w:rsid w:val="00866C18"/>
    <w:rsid w:val="008702BE"/>
    <w:rsid w:val="00871418"/>
    <w:rsid w:val="0087146D"/>
    <w:rsid w:val="00871644"/>
    <w:rsid w:val="00871D18"/>
    <w:rsid w:val="00872DF9"/>
    <w:rsid w:val="00873366"/>
    <w:rsid w:val="008736FC"/>
    <w:rsid w:val="00873B01"/>
    <w:rsid w:val="008759C6"/>
    <w:rsid w:val="00875B88"/>
    <w:rsid w:val="00875C74"/>
    <w:rsid w:val="0087625F"/>
    <w:rsid w:val="00876C48"/>
    <w:rsid w:val="00877692"/>
    <w:rsid w:val="00877F44"/>
    <w:rsid w:val="00880030"/>
    <w:rsid w:val="00881822"/>
    <w:rsid w:val="00882538"/>
    <w:rsid w:val="00882E3A"/>
    <w:rsid w:val="0088340A"/>
    <w:rsid w:val="00884730"/>
    <w:rsid w:val="008859EA"/>
    <w:rsid w:val="00885B13"/>
    <w:rsid w:val="0088635F"/>
    <w:rsid w:val="00886A13"/>
    <w:rsid w:val="0088794E"/>
    <w:rsid w:val="00887B96"/>
    <w:rsid w:val="008905E3"/>
    <w:rsid w:val="00890756"/>
    <w:rsid w:val="0089173F"/>
    <w:rsid w:val="00893C09"/>
    <w:rsid w:val="00893E1D"/>
    <w:rsid w:val="00894D2D"/>
    <w:rsid w:val="00895622"/>
    <w:rsid w:val="00896AC0"/>
    <w:rsid w:val="008971B4"/>
    <w:rsid w:val="00897E95"/>
    <w:rsid w:val="008A023E"/>
    <w:rsid w:val="008A046A"/>
    <w:rsid w:val="008A07DE"/>
    <w:rsid w:val="008A1904"/>
    <w:rsid w:val="008A1D5A"/>
    <w:rsid w:val="008A26BF"/>
    <w:rsid w:val="008A2A11"/>
    <w:rsid w:val="008A2C7F"/>
    <w:rsid w:val="008A3BA8"/>
    <w:rsid w:val="008A3D7F"/>
    <w:rsid w:val="008A3F76"/>
    <w:rsid w:val="008A5EAF"/>
    <w:rsid w:val="008A60B3"/>
    <w:rsid w:val="008A70C9"/>
    <w:rsid w:val="008B1B5B"/>
    <w:rsid w:val="008B2693"/>
    <w:rsid w:val="008B2F35"/>
    <w:rsid w:val="008B306A"/>
    <w:rsid w:val="008B32C5"/>
    <w:rsid w:val="008B40AF"/>
    <w:rsid w:val="008B4A4F"/>
    <w:rsid w:val="008B5CDF"/>
    <w:rsid w:val="008B6147"/>
    <w:rsid w:val="008B6A75"/>
    <w:rsid w:val="008B6C42"/>
    <w:rsid w:val="008B71F0"/>
    <w:rsid w:val="008B7900"/>
    <w:rsid w:val="008C0F01"/>
    <w:rsid w:val="008C0F04"/>
    <w:rsid w:val="008C1887"/>
    <w:rsid w:val="008C28D8"/>
    <w:rsid w:val="008C2D10"/>
    <w:rsid w:val="008C3345"/>
    <w:rsid w:val="008C3ACF"/>
    <w:rsid w:val="008C4483"/>
    <w:rsid w:val="008C4773"/>
    <w:rsid w:val="008C5D2A"/>
    <w:rsid w:val="008C6516"/>
    <w:rsid w:val="008C6F9F"/>
    <w:rsid w:val="008C713E"/>
    <w:rsid w:val="008C754D"/>
    <w:rsid w:val="008C768E"/>
    <w:rsid w:val="008C785D"/>
    <w:rsid w:val="008D003D"/>
    <w:rsid w:val="008D153B"/>
    <w:rsid w:val="008D1DBD"/>
    <w:rsid w:val="008D1DD9"/>
    <w:rsid w:val="008D2B68"/>
    <w:rsid w:val="008D514E"/>
    <w:rsid w:val="008D51DF"/>
    <w:rsid w:val="008D5BD0"/>
    <w:rsid w:val="008D6124"/>
    <w:rsid w:val="008D64EC"/>
    <w:rsid w:val="008D70CA"/>
    <w:rsid w:val="008E0ADB"/>
    <w:rsid w:val="008E0D1B"/>
    <w:rsid w:val="008E0FCE"/>
    <w:rsid w:val="008E20D3"/>
    <w:rsid w:val="008E20DB"/>
    <w:rsid w:val="008E270B"/>
    <w:rsid w:val="008E2D9B"/>
    <w:rsid w:val="008E3320"/>
    <w:rsid w:val="008E338C"/>
    <w:rsid w:val="008E39A5"/>
    <w:rsid w:val="008E3D99"/>
    <w:rsid w:val="008E79BA"/>
    <w:rsid w:val="008E7BAC"/>
    <w:rsid w:val="008F016B"/>
    <w:rsid w:val="008F026E"/>
    <w:rsid w:val="008F06FE"/>
    <w:rsid w:val="008F14F7"/>
    <w:rsid w:val="008F2D67"/>
    <w:rsid w:val="008F3440"/>
    <w:rsid w:val="008F3B18"/>
    <w:rsid w:val="008F3D3C"/>
    <w:rsid w:val="008F3DA2"/>
    <w:rsid w:val="008F49A0"/>
    <w:rsid w:val="008F543C"/>
    <w:rsid w:val="008F56FD"/>
    <w:rsid w:val="008F5E72"/>
    <w:rsid w:val="008F6708"/>
    <w:rsid w:val="008F7B83"/>
    <w:rsid w:val="009003F5"/>
    <w:rsid w:val="00900433"/>
    <w:rsid w:val="00900904"/>
    <w:rsid w:val="00901677"/>
    <w:rsid w:val="00902720"/>
    <w:rsid w:val="0090287A"/>
    <w:rsid w:val="009029DE"/>
    <w:rsid w:val="00902CF4"/>
    <w:rsid w:val="009047B6"/>
    <w:rsid w:val="009049DF"/>
    <w:rsid w:val="00904A0B"/>
    <w:rsid w:val="00904D15"/>
    <w:rsid w:val="0090526E"/>
    <w:rsid w:val="00905891"/>
    <w:rsid w:val="00906C0F"/>
    <w:rsid w:val="009071AF"/>
    <w:rsid w:val="009073A8"/>
    <w:rsid w:val="0090754D"/>
    <w:rsid w:val="00910A00"/>
    <w:rsid w:val="00910B12"/>
    <w:rsid w:val="00910BC9"/>
    <w:rsid w:val="0091114B"/>
    <w:rsid w:val="00911352"/>
    <w:rsid w:val="009119B2"/>
    <w:rsid w:val="00912166"/>
    <w:rsid w:val="009137B6"/>
    <w:rsid w:val="00913E36"/>
    <w:rsid w:val="00913EDA"/>
    <w:rsid w:val="00914A03"/>
    <w:rsid w:val="00914B58"/>
    <w:rsid w:val="009159DD"/>
    <w:rsid w:val="00915F5C"/>
    <w:rsid w:val="009161EA"/>
    <w:rsid w:val="00916AC4"/>
    <w:rsid w:val="00916BFB"/>
    <w:rsid w:val="00916C4C"/>
    <w:rsid w:val="00916C80"/>
    <w:rsid w:val="00917882"/>
    <w:rsid w:val="00917CEF"/>
    <w:rsid w:val="00917FA4"/>
    <w:rsid w:val="00920DC5"/>
    <w:rsid w:val="00921087"/>
    <w:rsid w:val="00921570"/>
    <w:rsid w:val="00921607"/>
    <w:rsid w:val="00921FCB"/>
    <w:rsid w:val="00922D7C"/>
    <w:rsid w:val="0092309D"/>
    <w:rsid w:val="009245A2"/>
    <w:rsid w:val="009248AC"/>
    <w:rsid w:val="00925DB0"/>
    <w:rsid w:val="00926273"/>
    <w:rsid w:val="0092658D"/>
    <w:rsid w:val="00927A34"/>
    <w:rsid w:val="00927D04"/>
    <w:rsid w:val="00930A11"/>
    <w:rsid w:val="00931093"/>
    <w:rsid w:val="00931845"/>
    <w:rsid w:val="00932399"/>
    <w:rsid w:val="009323F6"/>
    <w:rsid w:val="00932DCE"/>
    <w:rsid w:val="00932DEC"/>
    <w:rsid w:val="00933A80"/>
    <w:rsid w:val="00933D47"/>
    <w:rsid w:val="00933D94"/>
    <w:rsid w:val="00934101"/>
    <w:rsid w:val="0093417C"/>
    <w:rsid w:val="0093418C"/>
    <w:rsid w:val="00934526"/>
    <w:rsid w:val="00934B6E"/>
    <w:rsid w:val="009355A2"/>
    <w:rsid w:val="00935660"/>
    <w:rsid w:val="00935B47"/>
    <w:rsid w:val="0093788A"/>
    <w:rsid w:val="00937A74"/>
    <w:rsid w:val="00937F8C"/>
    <w:rsid w:val="00940516"/>
    <w:rsid w:val="0094126E"/>
    <w:rsid w:val="00941CD4"/>
    <w:rsid w:val="00942549"/>
    <w:rsid w:val="0094260D"/>
    <w:rsid w:val="009440DB"/>
    <w:rsid w:val="00944D8B"/>
    <w:rsid w:val="00945E1C"/>
    <w:rsid w:val="009505BC"/>
    <w:rsid w:val="00950ED5"/>
    <w:rsid w:val="00951087"/>
    <w:rsid w:val="0095188D"/>
    <w:rsid w:val="00951B78"/>
    <w:rsid w:val="00952632"/>
    <w:rsid w:val="00953805"/>
    <w:rsid w:val="00953A8F"/>
    <w:rsid w:val="00953DC9"/>
    <w:rsid w:val="009561F2"/>
    <w:rsid w:val="00956464"/>
    <w:rsid w:val="0095662B"/>
    <w:rsid w:val="0095667F"/>
    <w:rsid w:val="00956874"/>
    <w:rsid w:val="00956D4E"/>
    <w:rsid w:val="00956FB6"/>
    <w:rsid w:val="00957400"/>
    <w:rsid w:val="00957F4A"/>
    <w:rsid w:val="009607C7"/>
    <w:rsid w:val="00960E4B"/>
    <w:rsid w:val="00961895"/>
    <w:rsid w:val="00961B70"/>
    <w:rsid w:val="0096275D"/>
    <w:rsid w:val="00962921"/>
    <w:rsid w:val="009629FC"/>
    <w:rsid w:val="00962B80"/>
    <w:rsid w:val="0096314D"/>
    <w:rsid w:val="009633B4"/>
    <w:rsid w:val="009643B2"/>
    <w:rsid w:val="00965594"/>
    <w:rsid w:val="00967F30"/>
    <w:rsid w:val="00970DB9"/>
    <w:rsid w:val="00970F36"/>
    <w:rsid w:val="00971068"/>
    <w:rsid w:val="009714F8"/>
    <w:rsid w:val="00971926"/>
    <w:rsid w:val="00971954"/>
    <w:rsid w:val="00971AE5"/>
    <w:rsid w:val="009722F6"/>
    <w:rsid w:val="009725E1"/>
    <w:rsid w:val="00975476"/>
    <w:rsid w:val="009761AA"/>
    <w:rsid w:val="00976B38"/>
    <w:rsid w:val="00977535"/>
    <w:rsid w:val="009819F0"/>
    <w:rsid w:val="009826AA"/>
    <w:rsid w:val="00983DC6"/>
    <w:rsid w:val="00985510"/>
    <w:rsid w:val="00985A02"/>
    <w:rsid w:val="0098630A"/>
    <w:rsid w:val="00986AB5"/>
    <w:rsid w:val="00986DBD"/>
    <w:rsid w:val="009870D1"/>
    <w:rsid w:val="00987C17"/>
    <w:rsid w:val="00990870"/>
    <w:rsid w:val="009912D5"/>
    <w:rsid w:val="009919B3"/>
    <w:rsid w:val="0099268B"/>
    <w:rsid w:val="009928FD"/>
    <w:rsid w:val="00993663"/>
    <w:rsid w:val="00994044"/>
    <w:rsid w:val="00996555"/>
    <w:rsid w:val="009972C9"/>
    <w:rsid w:val="00997784"/>
    <w:rsid w:val="00997E16"/>
    <w:rsid w:val="009A0484"/>
    <w:rsid w:val="009A0653"/>
    <w:rsid w:val="009A1729"/>
    <w:rsid w:val="009A1D6D"/>
    <w:rsid w:val="009A299B"/>
    <w:rsid w:val="009A488E"/>
    <w:rsid w:val="009A574F"/>
    <w:rsid w:val="009A69A7"/>
    <w:rsid w:val="009A69B8"/>
    <w:rsid w:val="009A6D47"/>
    <w:rsid w:val="009A7102"/>
    <w:rsid w:val="009A74E9"/>
    <w:rsid w:val="009A7B5B"/>
    <w:rsid w:val="009B0CFB"/>
    <w:rsid w:val="009B0FDB"/>
    <w:rsid w:val="009B1519"/>
    <w:rsid w:val="009B2495"/>
    <w:rsid w:val="009B24DC"/>
    <w:rsid w:val="009B40AF"/>
    <w:rsid w:val="009B40BD"/>
    <w:rsid w:val="009B4CC3"/>
    <w:rsid w:val="009B5282"/>
    <w:rsid w:val="009B568F"/>
    <w:rsid w:val="009B5967"/>
    <w:rsid w:val="009B60D0"/>
    <w:rsid w:val="009B6575"/>
    <w:rsid w:val="009B7673"/>
    <w:rsid w:val="009B7D88"/>
    <w:rsid w:val="009B7F3F"/>
    <w:rsid w:val="009C05B0"/>
    <w:rsid w:val="009C1267"/>
    <w:rsid w:val="009C1656"/>
    <w:rsid w:val="009C2D80"/>
    <w:rsid w:val="009C32A2"/>
    <w:rsid w:val="009C34F9"/>
    <w:rsid w:val="009C3EE1"/>
    <w:rsid w:val="009C4B75"/>
    <w:rsid w:val="009C4BBB"/>
    <w:rsid w:val="009C4E92"/>
    <w:rsid w:val="009C55D2"/>
    <w:rsid w:val="009C5711"/>
    <w:rsid w:val="009C662A"/>
    <w:rsid w:val="009C6D24"/>
    <w:rsid w:val="009C6EDA"/>
    <w:rsid w:val="009C7C6B"/>
    <w:rsid w:val="009D071A"/>
    <w:rsid w:val="009D1331"/>
    <w:rsid w:val="009D1BD5"/>
    <w:rsid w:val="009D242C"/>
    <w:rsid w:val="009D3450"/>
    <w:rsid w:val="009D3F6D"/>
    <w:rsid w:val="009D5792"/>
    <w:rsid w:val="009D64F1"/>
    <w:rsid w:val="009D74BD"/>
    <w:rsid w:val="009D7A53"/>
    <w:rsid w:val="009E0141"/>
    <w:rsid w:val="009E01E3"/>
    <w:rsid w:val="009E0247"/>
    <w:rsid w:val="009E02E1"/>
    <w:rsid w:val="009E14C4"/>
    <w:rsid w:val="009E1D54"/>
    <w:rsid w:val="009E38EB"/>
    <w:rsid w:val="009E3E90"/>
    <w:rsid w:val="009E4345"/>
    <w:rsid w:val="009E4907"/>
    <w:rsid w:val="009E5BFE"/>
    <w:rsid w:val="009E6D7B"/>
    <w:rsid w:val="009E7535"/>
    <w:rsid w:val="009E78D0"/>
    <w:rsid w:val="009F024D"/>
    <w:rsid w:val="009F0658"/>
    <w:rsid w:val="009F0BA0"/>
    <w:rsid w:val="009F0FF4"/>
    <w:rsid w:val="009F1185"/>
    <w:rsid w:val="009F1AD3"/>
    <w:rsid w:val="009F3255"/>
    <w:rsid w:val="009F3672"/>
    <w:rsid w:val="009F385E"/>
    <w:rsid w:val="009F413C"/>
    <w:rsid w:val="009F440D"/>
    <w:rsid w:val="009F44B0"/>
    <w:rsid w:val="009F4B93"/>
    <w:rsid w:val="009F4C85"/>
    <w:rsid w:val="009F4E67"/>
    <w:rsid w:val="009F5191"/>
    <w:rsid w:val="009F5568"/>
    <w:rsid w:val="009F5888"/>
    <w:rsid w:val="009F5E7F"/>
    <w:rsid w:val="009F6579"/>
    <w:rsid w:val="009F67DE"/>
    <w:rsid w:val="009F7264"/>
    <w:rsid w:val="00A008BE"/>
    <w:rsid w:val="00A00A69"/>
    <w:rsid w:val="00A02A38"/>
    <w:rsid w:val="00A03364"/>
    <w:rsid w:val="00A0347F"/>
    <w:rsid w:val="00A0599C"/>
    <w:rsid w:val="00A05DDE"/>
    <w:rsid w:val="00A06916"/>
    <w:rsid w:val="00A078E4"/>
    <w:rsid w:val="00A07D22"/>
    <w:rsid w:val="00A10571"/>
    <w:rsid w:val="00A116BA"/>
    <w:rsid w:val="00A117BB"/>
    <w:rsid w:val="00A11AED"/>
    <w:rsid w:val="00A1257D"/>
    <w:rsid w:val="00A129D2"/>
    <w:rsid w:val="00A134C7"/>
    <w:rsid w:val="00A1461C"/>
    <w:rsid w:val="00A158AF"/>
    <w:rsid w:val="00A16A91"/>
    <w:rsid w:val="00A17FC8"/>
    <w:rsid w:val="00A2058B"/>
    <w:rsid w:val="00A20AEC"/>
    <w:rsid w:val="00A2281B"/>
    <w:rsid w:val="00A23832"/>
    <w:rsid w:val="00A23FB4"/>
    <w:rsid w:val="00A246FA"/>
    <w:rsid w:val="00A2496A"/>
    <w:rsid w:val="00A24DD0"/>
    <w:rsid w:val="00A2507E"/>
    <w:rsid w:val="00A255E7"/>
    <w:rsid w:val="00A2656B"/>
    <w:rsid w:val="00A267F9"/>
    <w:rsid w:val="00A26A71"/>
    <w:rsid w:val="00A26CC9"/>
    <w:rsid w:val="00A273AA"/>
    <w:rsid w:val="00A27C08"/>
    <w:rsid w:val="00A32949"/>
    <w:rsid w:val="00A32BB5"/>
    <w:rsid w:val="00A32C14"/>
    <w:rsid w:val="00A34371"/>
    <w:rsid w:val="00A34456"/>
    <w:rsid w:val="00A34EAB"/>
    <w:rsid w:val="00A358CD"/>
    <w:rsid w:val="00A35C39"/>
    <w:rsid w:val="00A3635E"/>
    <w:rsid w:val="00A40758"/>
    <w:rsid w:val="00A40A13"/>
    <w:rsid w:val="00A41983"/>
    <w:rsid w:val="00A4231D"/>
    <w:rsid w:val="00A43104"/>
    <w:rsid w:val="00A43158"/>
    <w:rsid w:val="00A4336B"/>
    <w:rsid w:val="00A43E11"/>
    <w:rsid w:val="00A43F04"/>
    <w:rsid w:val="00A442A4"/>
    <w:rsid w:val="00A451A5"/>
    <w:rsid w:val="00A46856"/>
    <w:rsid w:val="00A46992"/>
    <w:rsid w:val="00A46A7B"/>
    <w:rsid w:val="00A46FFB"/>
    <w:rsid w:val="00A4716F"/>
    <w:rsid w:val="00A47EEB"/>
    <w:rsid w:val="00A50740"/>
    <w:rsid w:val="00A508E9"/>
    <w:rsid w:val="00A50ECE"/>
    <w:rsid w:val="00A51602"/>
    <w:rsid w:val="00A520B9"/>
    <w:rsid w:val="00A5259A"/>
    <w:rsid w:val="00A52894"/>
    <w:rsid w:val="00A531D5"/>
    <w:rsid w:val="00A54032"/>
    <w:rsid w:val="00A54322"/>
    <w:rsid w:val="00A54A22"/>
    <w:rsid w:val="00A54EC7"/>
    <w:rsid w:val="00A5607F"/>
    <w:rsid w:val="00A56CD4"/>
    <w:rsid w:val="00A575F5"/>
    <w:rsid w:val="00A57AF4"/>
    <w:rsid w:val="00A57F3A"/>
    <w:rsid w:val="00A6070D"/>
    <w:rsid w:val="00A60A55"/>
    <w:rsid w:val="00A62145"/>
    <w:rsid w:val="00A624E7"/>
    <w:rsid w:val="00A624FC"/>
    <w:rsid w:val="00A63EE2"/>
    <w:rsid w:val="00A64011"/>
    <w:rsid w:val="00A64F46"/>
    <w:rsid w:val="00A658AF"/>
    <w:rsid w:val="00A65C0B"/>
    <w:rsid w:val="00A66B97"/>
    <w:rsid w:val="00A676DE"/>
    <w:rsid w:val="00A67929"/>
    <w:rsid w:val="00A70667"/>
    <w:rsid w:val="00A708AA"/>
    <w:rsid w:val="00A7189E"/>
    <w:rsid w:val="00A7214C"/>
    <w:rsid w:val="00A722A8"/>
    <w:rsid w:val="00A7279B"/>
    <w:rsid w:val="00A72CEB"/>
    <w:rsid w:val="00A73A22"/>
    <w:rsid w:val="00A74C0B"/>
    <w:rsid w:val="00A75A5F"/>
    <w:rsid w:val="00A76091"/>
    <w:rsid w:val="00A76290"/>
    <w:rsid w:val="00A7681C"/>
    <w:rsid w:val="00A80DF7"/>
    <w:rsid w:val="00A820CC"/>
    <w:rsid w:val="00A828AB"/>
    <w:rsid w:val="00A83FE1"/>
    <w:rsid w:val="00A85561"/>
    <w:rsid w:val="00A858AD"/>
    <w:rsid w:val="00A85EB8"/>
    <w:rsid w:val="00A86529"/>
    <w:rsid w:val="00A8724A"/>
    <w:rsid w:val="00A8740A"/>
    <w:rsid w:val="00A87756"/>
    <w:rsid w:val="00A8779E"/>
    <w:rsid w:val="00A87FE9"/>
    <w:rsid w:val="00A90425"/>
    <w:rsid w:val="00A9187B"/>
    <w:rsid w:val="00A9258E"/>
    <w:rsid w:val="00A9331F"/>
    <w:rsid w:val="00A93357"/>
    <w:rsid w:val="00A9340C"/>
    <w:rsid w:val="00A955B6"/>
    <w:rsid w:val="00A959C8"/>
    <w:rsid w:val="00A95B77"/>
    <w:rsid w:val="00A96555"/>
    <w:rsid w:val="00A96B9E"/>
    <w:rsid w:val="00AA00EF"/>
    <w:rsid w:val="00AA06DC"/>
    <w:rsid w:val="00AA07FB"/>
    <w:rsid w:val="00AA1199"/>
    <w:rsid w:val="00AA1392"/>
    <w:rsid w:val="00AA2963"/>
    <w:rsid w:val="00AA4968"/>
    <w:rsid w:val="00AA4C81"/>
    <w:rsid w:val="00AA4CC1"/>
    <w:rsid w:val="00AA5800"/>
    <w:rsid w:val="00AA59B2"/>
    <w:rsid w:val="00AA5F6C"/>
    <w:rsid w:val="00AA66CE"/>
    <w:rsid w:val="00AB0AF4"/>
    <w:rsid w:val="00AB0CD5"/>
    <w:rsid w:val="00AB0F37"/>
    <w:rsid w:val="00AB2803"/>
    <w:rsid w:val="00AB35C9"/>
    <w:rsid w:val="00AB372B"/>
    <w:rsid w:val="00AB3DCB"/>
    <w:rsid w:val="00AB4211"/>
    <w:rsid w:val="00AB45B8"/>
    <w:rsid w:val="00AB5921"/>
    <w:rsid w:val="00AB6E67"/>
    <w:rsid w:val="00AB7349"/>
    <w:rsid w:val="00AC009B"/>
    <w:rsid w:val="00AC20F2"/>
    <w:rsid w:val="00AC2A06"/>
    <w:rsid w:val="00AC33FF"/>
    <w:rsid w:val="00AC4230"/>
    <w:rsid w:val="00AC46D5"/>
    <w:rsid w:val="00AC47F8"/>
    <w:rsid w:val="00AC4AE8"/>
    <w:rsid w:val="00AC5484"/>
    <w:rsid w:val="00AC5B1B"/>
    <w:rsid w:val="00AC5D8B"/>
    <w:rsid w:val="00AC61DD"/>
    <w:rsid w:val="00AC6641"/>
    <w:rsid w:val="00AC679F"/>
    <w:rsid w:val="00AC6F5C"/>
    <w:rsid w:val="00AC711E"/>
    <w:rsid w:val="00AC7D6D"/>
    <w:rsid w:val="00AC7DFD"/>
    <w:rsid w:val="00AD0692"/>
    <w:rsid w:val="00AD07EC"/>
    <w:rsid w:val="00AD081D"/>
    <w:rsid w:val="00AD0B98"/>
    <w:rsid w:val="00AD15B6"/>
    <w:rsid w:val="00AD1770"/>
    <w:rsid w:val="00AD19D4"/>
    <w:rsid w:val="00AD1B5E"/>
    <w:rsid w:val="00AD1C40"/>
    <w:rsid w:val="00AD23EF"/>
    <w:rsid w:val="00AD2D7A"/>
    <w:rsid w:val="00AD3471"/>
    <w:rsid w:val="00AD3B19"/>
    <w:rsid w:val="00AD3F6A"/>
    <w:rsid w:val="00AD4D4D"/>
    <w:rsid w:val="00AD55AA"/>
    <w:rsid w:val="00AD653F"/>
    <w:rsid w:val="00AD6DBC"/>
    <w:rsid w:val="00AD7307"/>
    <w:rsid w:val="00AE051D"/>
    <w:rsid w:val="00AE21EF"/>
    <w:rsid w:val="00AE39E5"/>
    <w:rsid w:val="00AE4E13"/>
    <w:rsid w:val="00AE4ED1"/>
    <w:rsid w:val="00AE5474"/>
    <w:rsid w:val="00AE585D"/>
    <w:rsid w:val="00AE5E13"/>
    <w:rsid w:val="00AE641E"/>
    <w:rsid w:val="00AE659E"/>
    <w:rsid w:val="00AF0057"/>
    <w:rsid w:val="00AF133C"/>
    <w:rsid w:val="00AF14DD"/>
    <w:rsid w:val="00AF2540"/>
    <w:rsid w:val="00AF2754"/>
    <w:rsid w:val="00AF32DD"/>
    <w:rsid w:val="00AF3D6C"/>
    <w:rsid w:val="00AF45CF"/>
    <w:rsid w:val="00AF5CFE"/>
    <w:rsid w:val="00AF5D43"/>
    <w:rsid w:val="00AF5E71"/>
    <w:rsid w:val="00AF70E6"/>
    <w:rsid w:val="00AF7953"/>
    <w:rsid w:val="00AF7A7E"/>
    <w:rsid w:val="00AF7BFD"/>
    <w:rsid w:val="00AF7DAB"/>
    <w:rsid w:val="00AF7E9E"/>
    <w:rsid w:val="00B003FC"/>
    <w:rsid w:val="00B00774"/>
    <w:rsid w:val="00B00F9F"/>
    <w:rsid w:val="00B01562"/>
    <w:rsid w:val="00B03B74"/>
    <w:rsid w:val="00B04552"/>
    <w:rsid w:val="00B061BE"/>
    <w:rsid w:val="00B068FA"/>
    <w:rsid w:val="00B0720A"/>
    <w:rsid w:val="00B10089"/>
    <w:rsid w:val="00B1170D"/>
    <w:rsid w:val="00B12584"/>
    <w:rsid w:val="00B12F7A"/>
    <w:rsid w:val="00B145EC"/>
    <w:rsid w:val="00B14873"/>
    <w:rsid w:val="00B148B8"/>
    <w:rsid w:val="00B14D84"/>
    <w:rsid w:val="00B1568F"/>
    <w:rsid w:val="00B1673B"/>
    <w:rsid w:val="00B1778F"/>
    <w:rsid w:val="00B21166"/>
    <w:rsid w:val="00B2152B"/>
    <w:rsid w:val="00B21878"/>
    <w:rsid w:val="00B2204A"/>
    <w:rsid w:val="00B220B0"/>
    <w:rsid w:val="00B23110"/>
    <w:rsid w:val="00B232C1"/>
    <w:rsid w:val="00B2395E"/>
    <w:rsid w:val="00B23C24"/>
    <w:rsid w:val="00B24025"/>
    <w:rsid w:val="00B24504"/>
    <w:rsid w:val="00B24B77"/>
    <w:rsid w:val="00B253D9"/>
    <w:rsid w:val="00B25841"/>
    <w:rsid w:val="00B26483"/>
    <w:rsid w:val="00B26961"/>
    <w:rsid w:val="00B26F38"/>
    <w:rsid w:val="00B27D00"/>
    <w:rsid w:val="00B30B0C"/>
    <w:rsid w:val="00B32254"/>
    <w:rsid w:val="00B322DB"/>
    <w:rsid w:val="00B340F9"/>
    <w:rsid w:val="00B356AC"/>
    <w:rsid w:val="00B35862"/>
    <w:rsid w:val="00B3662E"/>
    <w:rsid w:val="00B36D7B"/>
    <w:rsid w:val="00B4002B"/>
    <w:rsid w:val="00B404C3"/>
    <w:rsid w:val="00B41A90"/>
    <w:rsid w:val="00B41AB0"/>
    <w:rsid w:val="00B4370C"/>
    <w:rsid w:val="00B44122"/>
    <w:rsid w:val="00B445E8"/>
    <w:rsid w:val="00B44CF8"/>
    <w:rsid w:val="00B45F4F"/>
    <w:rsid w:val="00B46A3C"/>
    <w:rsid w:val="00B4701E"/>
    <w:rsid w:val="00B505B3"/>
    <w:rsid w:val="00B5193A"/>
    <w:rsid w:val="00B519AC"/>
    <w:rsid w:val="00B51B07"/>
    <w:rsid w:val="00B521B2"/>
    <w:rsid w:val="00B542D0"/>
    <w:rsid w:val="00B555F2"/>
    <w:rsid w:val="00B55F45"/>
    <w:rsid w:val="00B576AA"/>
    <w:rsid w:val="00B601DE"/>
    <w:rsid w:val="00B6154E"/>
    <w:rsid w:val="00B6175F"/>
    <w:rsid w:val="00B61C6F"/>
    <w:rsid w:val="00B62170"/>
    <w:rsid w:val="00B62C1C"/>
    <w:rsid w:val="00B63CF5"/>
    <w:rsid w:val="00B64190"/>
    <w:rsid w:val="00B64498"/>
    <w:rsid w:val="00B64D7B"/>
    <w:rsid w:val="00B652A2"/>
    <w:rsid w:val="00B65C7A"/>
    <w:rsid w:val="00B6648A"/>
    <w:rsid w:val="00B66603"/>
    <w:rsid w:val="00B668E2"/>
    <w:rsid w:val="00B67E57"/>
    <w:rsid w:val="00B70C21"/>
    <w:rsid w:val="00B71281"/>
    <w:rsid w:val="00B71953"/>
    <w:rsid w:val="00B71E22"/>
    <w:rsid w:val="00B732B0"/>
    <w:rsid w:val="00B73A74"/>
    <w:rsid w:val="00B74D26"/>
    <w:rsid w:val="00B8070F"/>
    <w:rsid w:val="00B80A67"/>
    <w:rsid w:val="00B80B3F"/>
    <w:rsid w:val="00B80C8B"/>
    <w:rsid w:val="00B8265E"/>
    <w:rsid w:val="00B82783"/>
    <w:rsid w:val="00B82940"/>
    <w:rsid w:val="00B82BCE"/>
    <w:rsid w:val="00B8383E"/>
    <w:rsid w:val="00B83A21"/>
    <w:rsid w:val="00B84291"/>
    <w:rsid w:val="00B84D7A"/>
    <w:rsid w:val="00B84DF0"/>
    <w:rsid w:val="00B852D1"/>
    <w:rsid w:val="00B8553B"/>
    <w:rsid w:val="00B8561B"/>
    <w:rsid w:val="00B85D8E"/>
    <w:rsid w:val="00B906CF"/>
    <w:rsid w:val="00B90D1C"/>
    <w:rsid w:val="00B90DB5"/>
    <w:rsid w:val="00B91A03"/>
    <w:rsid w:val="00B93826"/>
    <w:rsid w:val="00B93A77"/>
    <w:rsid w:val="00B94488"/>
    <w:rsid w:val="00B947B3"/>
    <w:rsid w:val="00B94CE3"/>
    <w:rsid w:val="00B955EE"/>
    <w:rsid w:val="00B96010"/>
    <w:rsid w:val="00B96201"/>
    <w:rsid w:val="00B96A18"/>
    <w:rsid w:val="00B96AF6"/>
    <w:rsid w:val="00B9763D"/>
    <w:rsid w:val="00BA000F"/>
    <w:rsid w:val="00BA11AB"/>
    <w:rsid w:val="00BA165A"/>
    <w:rsid w:val="00BA24A6"/>
    <w:rsid w:val="00BA2AAD"/>
    <w:rsid w:val="00BA326C"/>
    <w:rsid w:val="00BA3A81"/>
    <w:rsid w:val="00BA3F3E"/>
    <w:rsid w:val="00BA41B1"/>
    <w:rsid w:val="00BA41ED"/>
    <w:rsid w:val="00BA47F9"/>
    <w:rsid w:val="00BA4FB8"/>
    <w:rsid w:val="00BA5134"/>
    <w:rsid w:val="00BA58DC"/>
    <w:rsid w:val="00BA65FC"/>
    <w:rsid w:val="00BA6D2C"/>
    <w:rsid w:val="00BA77B2"/>
    <w:rsid w:val="00BA7DB5"/>
    <w:rsid w:val="00BB1817"/>
    <w:rsid w:val="00BB47A0"/>
    <w:rsid w:val="00BB497A"/>
    <w:rsid w:val="00BB4B3A"/>
    <w:rsid w:val="00BB603B"/>
    <w:rsid w:val="00BB60B1"/>
    <w:rsid w:val="00BB6686"/>
    <w:rsid w:val="00BB7425"/>
    <w:rsid w:val="00BB79E2"/>
    <w:rsid w:val="00BB7A98"/>
    <w:rsid w:val="00BB7ADD"/>
    <w:rsid w:val="00BC089A"/>
    <w:rsid w:val="00BC0993"/>
    <w:rsid w:val="00BC09FE"/>
    <w:rsid w:val="00BC1578"/>
    <w:rsid w:val="00BC2079"/>
    <w:rsid w:val="00BC2172"/>
    <w:rsid w:val="00BC3597"/>
    <w:rsid w:val="00BC431C"/>
    <w:rsid w:val="00BC4437"/>
    <w:rsid w:val="00BC4A20"/>
    <w:rsid w:val="00BC4B3A"/>
    <w:rsid w:val="00BC4F83"/>
    <w:rsid w:val="00BC5DEA"/>
    <w:rsid w:val="00BC61A0"/>
    <w:rsid w:val="00BC74F5"/>
    <w:rsid w:val="00BC7B83"/>
    <w:rsid w:val="00BD03D0"/>
    <w:rsid w:val="00BD08AE"/>
    <w:rsid w:val="00BD08DB"/>
    <w:rsid w:val="00BD0AB1"/>
    <w:rsid w:val="00BD2029"/>
    <w:rsid w:val="00BD2290"/>
    <w:rsid w:val="00BD2384"/>
    <w:rsid w:val="00BD2A2B"/>
    <w:rsid w:val="00BD2FA5"/>
    <w:rsid w:val="00BD461C"/>
    <w:rsid w:val="00BD5854"/>
    <w:rsid w:val="00BD5AB6"/>
    <w:rsid w:val="00BD5CD6"/>
    <w:rsid w:val="00BD665F"/>
    <w:rsid w:val="00BD6807"/>
    <w:rsid w:val="00BD785B"/>
    <w:rsid w:val="00BD7D9D"/>
    <w:rsid w:val="00BE133D"/>
    <w:rsid w:val="00BE1B78"/>
    <w:rsid w:val="00BE1E41"/>
    <w:rsid w:val="00BE2185"/>
    <w:rsid w:val="00BE2462"/>
    <w:rsid w:val="00BE314B"/>
    <w:rsid w:val="00BE352C"/>
    <w:rsid w:val="00BE4672"/>
    <w:rsid w:val="00BE510E"/>
    <w:rsid w:val="00BE52E2"/>
    <w:rsid w:val="00BE642A"/>
    <w:rsid w:val="00BE7C19"/>
    <w:rsid w:val="00BF1229"/>
    <w:rsid w:val="00BF2103"/>
    <w:rsid w:val="00BF2D7C"/>
    <w:rsid w:val="00BF2E8F"/>
    <w:rsid w:val="00BF3E20"/>
    <w:rsid w:val="00BF4C44"/>
    <w:rsid w:val="00BF4C9C"/>
    <w:rsid w:val="00BF556C"/>
    <w:rsid w:val="00BF580F"/>
    <w:rsid w:val="00BF6455"/>
    <w:rsid w:val="00BF66A5"/>
    <w:rsid w:val="00BF6ECF"/>
    <w:rsid w:val="00BF71DF"/>
    <w:rsid w:val="00BF76A4"/>
    <w:rsid w:val="00BF7C0F"/>
    <w:rsid w:val="00C00B55"/>
    <w:rsid w:val="00C00CB3"/>
    <w:rsid w:val="00C01371"/>
    <w:rsid w:val="00C013EA"/>
    <w:rsid w:val="00C015F9"/>
    <w:rsid w:val="00C01A7C"/>
    <w:rsid w:val="00C01AA3"/>
    <w:rsid w:val="00C01EAE"/>
    <w:rsid w:val="00C01F51"/>
    <w:rsid w:val="00C02267"/>
    <w:rsid w:val="00C025B0"/>
    <w:rsid w:val="00C03AF2"/>
    <w:rsid w:val="00C04F5C"/>
    <w:rsid w:val="00C05A66"/>
    <w:rsid w:val="00C06F9A"/>
    <w:rsid w:val="00C07A16"/>
    <w:rsid w:val="00C1139E"/>
    <w:rsid w:val="00C1163A"/>
    <w:rsid w:val="00C122B5"/>
    <w:rsid w:val="00C13990"/>
    <w:rsid w:val="00C13B04"/>
    <w:rsid w:val="00C15819"/>
    <w:rsid w:val="00C16123"/>
    <w:rsid w:val="00C17344"/>
    <w:rsid w:val="00C17358"/>
    <w:rsid w:val="00C17D9D"/>
    <w:rsid w:val="00C204A4"/>
    <w:rsid w:val="00C20778"/>
    <w:rsid w:val="00C21CBE"/>
    <w:rsid w:val="00C2319D"/>
    <w:rsid w:val="00C237BE"/>
    <w:rsid w:val="00C240CB"/>
    <w:rsid w:val="00C25878"/>
    <w:rsid w:val="00C2622F"/>
    <w:rsid w:val="00C26470"/>
    <w:rsid w:val="00C26957"/>
    <w:rsid w:val="00C310F7"/>
    <w:rsid w:val="00C326B4"/>
    <w:rsid w:val="00C33F87"/>
    <w:rsid w:val="00C34137"/>
    <w:rsid w:val="00C34388"/>
    <w:rsid w:val="00C353C1"/>
    <w:rsid w:val="00C35512"/>
    <w:rsid w:val="00C35789"/>
    <w:rsid w:val="00C368A5"/>
    <w:rsid w:val="00C36A01"/>
    <w:rsid w:val="00C40AB1"/>
    <w:rsid w:val="00C40CEB"/>
    <w:rsid w:val="00C4196B"/>
    <w:rsid w:val="00C41B49"/>
    <w:rsid w:val="00C42B67"/>
    <w:rsid w:val="00C43956"/>
    <w:rsid w:val="00C46ECA"/>
    <w:rsid w:val="00C46F84"/>
    <w:rsid w:val="00C4729F"/>
    <w:rsid w:val="00C4748C"/>
    <w:rsid w:val="00C47566"/>
    <w:rsid w:val="00C475AD"/>
    <w:rsid w:val="00C50D5D"/>
    <w:rsid w:val="00C50E3A"/>
    <w:rsid w:val="00C51C75"/>
    <w:rsid w:val="00C51DCE"/>
    <w:rsid w:val="00C53054"/>
    <w:rsid w:val="00C530B3"/>
    <w:rsid w:val="00C53612"/>
    <w:rsid w:val="00C5378C"/>
    <w:rsid w:val="00C53E12"/>
    <w:rsid w:val="00C54079"/>
    <w:rsid w:val="00C5525D"/>
    <w:rsid w:val="00C56989"/>
    <w:rsid w:val="00C57EA2"/>
    <w:rsid w:val="00C60324"/>
    <w:rsid w:val="00C603F5"/>
    <w:rsid w:val="00C625CD"/>
    <w:rsid w:val="00C65647"/>
    <w:rsid w:val="00C70012"/>
    <w:rsid w:val="00C705A0"/>
    <w:rsid w:val="00C714C0"/>
    <w:rsid w:val="00C71973"/>
    <w:rsid w:val="00C719F4"/>
    <w:rsid w:val="00C71F70"/>
    <w:rsid w:val="00C72108"/>
    <w:rsid w:val="00C723AA"/>
    <w:rsid w:val="00C72F05"/>
    <w:rsid w:val="00C731CE"/>
    <w:rsid w:val="00C739C7"/>
    <w:rsid w:val="00C74467"/>
    <w:rsid w:val="00C76256"/>
    <w:rsid w:val="00C76A39"/>
    <w:rsid w:val="00C80CDA"/>
    <w:rsid w:val="00C8187D"/>
    <w:rsid w:val="00C82044"/>
    <w:rsid w:val="00C82173"/>
    <w:rsid w:val="00C822E2"/>
    <w:rsid w:val="00C8239B"/>
    <w:rsid w:val="00C825B6"/>
    <w:rsid w:val="00C832ED"/>
    <w:rsid w:val="00C839F3"/>
    <w:rsid w:val="00C8448F"/>
    <w:rsid w:val="00C85115"/>
    <w:rsid w:val="00C85DF2"/>
    <w:rsid w:val="00C86037"/>
    <w:rsid w:val="00C862FD"/>
    <w:rsid w:val="00C8630F"/>
    <w:rsid w:val="00C8632E"/>
    <w:rsid w:val="00C868D4"/>
    <w:rsid w:val="00C872FA"/>
    <w:rsid w:val="00C8779D"/>
    <w:rsid w:val="00C879C4"/>
    <w:rsid w:val="00C914C0"/>
    <w:rsid w:val="00C91871"/>
    <w:rsid w:val="00C92676"/>
    <w:rsid w:val="00C931B7"/>
    <w:rsid w:val="00C9363D"/>
    <w:rsid w:val="00C93705"/>
    <w:rsid w:val="00C94B2F"/>
    <w:rsid w:val="00C95142"/>
    <w:rsid w:val="00C95AA3"/>
    <w:rsid w:val="00CA0710"/>
    <w:rsid w:val="00CA0722"/>
    <w:rsid w:val="00CA09F0"/>
    <w:rsid w:val="00CA1856"/>
    <w:rsid w:val="00CA1871"/>
    <w:rsid w:val="00CA205E"/>
    <w:rsid w:val="00CA23BE"/>
    <w:rsid w:val="00CA55F7"/>
    <w:rsid w:val="00CA599A"/>
    <w:rsid w:val="00CA5AC6"/>
    <w:rsid w:val="00CA5D97"/>
    <w:rsid w:val="00CA6646"/>
    <w:rsid w:val="00CA6C79"/>
    <w:rsid w:val="00CA7368"/>
    <w:rsid w:val="00CB0528"/>
    <w:rsid w:val="00CB1263"/>
    <w:rsid w:val="00CB16A8"/>
    <w:rsid w:val="00CB1FEB"/>
    <w:rsid w:val="00CB429E"/>
    <w:rsid w:val="00CB4321"/>
    <w:rsid w:val="00CB4E14"/>
    <w:rsid w:val="00CB4FCA"/>
    <w:rsid w:val="00CB5589"/>
    <w:rsid w:val="00CB58A8"/>
    <w:rsid w:val="00CB64D4"/>
    <w:rsid w:val="00CB70E9"/>
    <w:rsid w:val="00CB738F"/>
    <w:rsid w:val="00CB77A0"/>
    <w:rsid w:val="00CC0A55"/>
    <w:rsid w:val="00CC202F"/>
    <w:rsid w:val="00CC213F"/>
    <w:rsid w:val="00CC32B0"/>
    <w:rsid w:val="00CC45A1"/>
    <w:rsid w:val="00CC5028"/>
    <w:rsid w:val="00CC5200"/>
    <w:rsid w:val="00CC5BCB"/>
    <w:rsid w:val="00CC66A2"/>
    <w:rsid w:val="00CC7445"/>
    <w:rsid w:val="00CD094E"/>
    <w:rsid w:val="00CD0961"/>
    <w:rsid w:val="00CD0A11"/>
    <w:rsid w:val="00CD16D2"/>
    <w:rsid w:val="00CD2898"/>
    <w:rsid w:val="00CD2B27"/>
    <w:rsid w:val="00CD32F4"/>
    <w:rsid w:val="00CD4372"/>
    <w:rsid w:val="00CD5523"/>
    <w:rsid w:val="00CD5BC1"/>
    <w:rsid w:val="00CD68B5"/>
    <w:rsid w:val="00CE073C"/>
    <w:rsid w:val="00CE082C"/>
    <w:rsid w:val="00CE144C"/>
    <w:rsid w:val="00CE2212"/>
    <w:rsid w:val="00CE2AEB"/>
    <w:rsid w:val="00CE3434"/>
    <w:rsid w:val="00CE3F30"/>
    <w:rsid w:val="00CE4537"/>
    <w:rsid w:val="00CE4EA8"/>
    <w:rsid w:val="00CE4FBB"/>
    <w:rsid w:val="00CE51A0"/>
    <w:rsid w:val="00CE54E5"/>
    <w:rsid w:val="00CE55B6"/>
    <w:rsid w:val="00CE58C6"/>
    <w:rsid w:val="00CE7BE1"/>
    <w:rsid w:val="00CE7F1F"/>
    <w:rsid w:val="00CF09BD"/>
    <w:rsid w:val="00CF0A91"/>
    <w:rsid w:val="00CF130F"/>
    <w:rsid w:val="00CF2100"/>
    <w:rsid w:val="00CF2576"/>
    <w:rsid w:val="00CF2971"/>
    <w:rsid w:val="00CF338F"/>
    <w:rsid w:val="00CF34C7"/>
    <w:rsid w:val="00CF3B65"/>
    <w:rsid w:val="00CF3C5C"/>
    <w:rsid w:val="00CF4189"/>
    <w:rsid w:val="00CF4504"/>
    <w:rsid w:val="00CF473D"/>
    <w:rsid w:val="00CF50BD"/>
    <w:rsid w:val="00D01724"/>
    <w:rsid w:val="00D02044"/>
    <w:rsid w:val="00D02243"/>
    <w:rsid w:val="00D033DC"/>
    <w:rsid w:val="00D04320"/>
    <w:rsid w:val="00D045E2"/>
    <w:rsid w:val="00D04845"/>
    <w:rsid w:val="00D04DD8"/>
    <w:rsid w:val="00D0501C"/>
    <w:rsid w:val="00D0787B"/>
    <w:rsid w:val="00D07CB9"/>
    <w:rsid w:val="00D10628"/>
    <w:rsid w:val="00D107EA"/>
    <w:rsid w:val="00D10925"/>
    <w:rsid w:val="00D10A7C"/>
    <w:rsid w:val="00D114FB"/>
    <w:rsid w:val="00D1151F"/>
    <w:rsid w:val="00D11886"/>
    <w:rsid w:val="00D11F9E"/>
    <w:rsid w:val="00D12BB7"/>
    <w:rsid w:val="00D13066"/>
    <w:rsid w:val="00D13FA9"/>
    <w:rsid w:val="00D1506F"/>
    <w:rsid w:val="00D16277"/>
    <w:rsid w:val="00D16396"/>
    <w:rsid w:val="00D1678E"/>
    <w:rsid w:val="00D1682F"/>
    <w:rsid w:val="00D16E8B"/>
    <w:rsid w:val="00D1750D"/>
    <w:rsid w:val="00D17B00"/>
    <w:rsid w:val="00D207E1"/>
    <w:rsid w:val="00D20845"/>
    <w:rsid w:val="00D20969"/>
    <w:rsid w:val="00D20CE6"/>
    <w:rsid w:val="00D22085"/>
    <w:rsid w:val="00D226A9"/>
    <w:rsid w:val="00D22AFB"/>
    <w:rsid w:val="00D230FA"/>
    <w:rsid w:val="00D2446B"/>
    <w:rsid w:val="00D244D4"/>
    <w:rsid w:val="00D2479C"/>
    <w:rsid w:val="00D24C55"/>
    <w:rsid w:val="00D27A55"/>
    <w:rsid w:val="00D27C14"/>
    <w:rsid w:val="00D30338"/>
    <w:rsid w:val="00D30C62"/>
    <w:rsid w:val="00D31902"/>
    <w:rsid w:val="00D32AB2"/>
    <w:rsid w:val="00D339CA"/>
    <w:rsid w:val="00D40006"/>
    <w:rsid w:val="00D400F3"/>
    <w:rsid w:val="00D4130E"/>
    <w:rsid w:val="00D4189E"/>
    <w:rsid w:val="00D41E5C"/>
    <w:rsid w:val="00D437FA"/>
    <w:rsid w:val="00D441B4"/>
    <w:rsid w:val="00D44981"/>
    <w:rsid w:val="00D450D1"/>
    <w:rsid w:val="00D47A16"/>
    <w:rsid w:val="00D47DB8"/>
    <w:rsid w:val="00D47E01"/>
    <w:rsid w:val="00D47EC3"/>
    <w:rsid w:val="00D509D6"/>
    <w:rsid w:val="00D523B3"/>
    <w:rsid w:val="00D525AB"/>
    <w:rsid w:val="00D538FE"/>
    <w:rsid w:val="00D547B8"/>
    <w:rsid w:val="00D5502E"/>
    <w:rsid w:val="00D55924"/>
    <w:rsid w:val="00D560AB"/>
    <w:rsid w:val="00D565C9"/>
    <w:rsid w:val="00D566CC"/>
    <w:rsid w:val="00D56EB6"/>
    <w:rsid w:val="00D619AE"/>
    <w:rsid w:val="00D62BD9"/>
    <w:rsid w:val="00D62F6A"/>
    <w:rsid w:val="00D634C4"/>
    <w:rsid w:val="00D63D9A"/>
    <w:rsid w:val="00D64284"/>
    <w:rsid w:val="00D6490A"/>
    <w:rsid w:val="00D64DF2"/>
    <w:rsid w:val="00D65035"/>
    <w:rsid w:val="00D65184"/>
    <w:rsid w:val="00D664D0"/>
    <w:rsid w:val="00D67292"/>
    <w:rsid w:val="00D67409"/>
    <w:rsid w:val="00D67EEB"/>
    <w:rsid w:val="00D70CFF"/>
    <w:rsid w:val="00D70DB0"/>
    <w:rsid w:val="00D71568"/>
    <w:rsid w:val="00D7243D"/>
    <w:rsid w:val="00D7268E"/>
    <w:rsid w:val="00D737C9"/>
    <w:rsid w:val="00D7474C"/>
    <w:rsid w:val="00D74C5D"/>
    <w:rsid w:val="00D754BE"/>
    <w:rsid w:val="00D757FF"/>
    <w:rsid w:val="00D759E3"/>
    <w:rsid w:val="00D80330"/>
    <w:rsid w:val="00D805BF"/>
    <w:rsid w:val="00D80D3E"/>
    <w:rsid w:val="00D8126F"/>
    <w:rsid w:val="00D827DB"/>
    <w:rsid w:val="00D83E90"/>
    <w:rsid w:val="00D84AB1"/>
    <w:rsid w:val="00D84D73"/>
    <w:rsid w:val="00D85F62"/>
    <w:rsid w:val="00D8610D"/>
    <w:rsid w:val="00D86421"/>
    <w:rsid w:val="00D906B4"/>
    <w:rsid w:val="00D90AC4"/>
    <w:rsid w:val="00D90F8C"/>
    <w:rsid w:val="00D912EC"/>
    <w:rsid w:val="00D923AB"/>
    <w:rsid w:val="00D926E0"/>
    <w:rsid w:val="00D92AFE"/>
    <w:rsid w:val="00D92C80"/>
    <w:rsid w:val="00D93186"/>
    <w:rsid w:val="00D93448"/>
    <w:rsid w:val="00D944CE"/>
    <w:rsid w:val="00D9466A"/>
    <w:rsid w:val="00D96B2F"/>
    <w:rsid w:val="00D971A7"/>
    <w:rsid w:val="00D97371"/>
    <w:rsid w:val="00D97B36"/>
    <w:rsid w:val="00DA0652"/>
    <w:rsid w:val="00DA095B"/>
    <w:rsid w:val="00DA0E72"/>
    <w:rsid w:val="00DA23B7"/>
    <w:rsid w:val="00DA3568"/>
    <w:rsid w:val="00DA39FF"/>
    <w:rsid w:val="00DA4AAF"/>
    <w:rsid w:val="00DA57BD"/>
    <w:rsid w:val="00DA5FC7"/>
    <w:rsid w:val="00DA61E6"/>
    <w:rsid w:val="00DA623B"/>
    <w:rsid w:val="00DA6988"/>
    <w:rsid w:val="00DA6C31"/>
    <w:rsid w:val="00DB03CA"/>
    <w:rsid w:val="00DB0DE8"/>
    <w:rsid w:val="00DB0E2A"/>
    <w:rsid w:val="00DB17AD"/>
    <w:rsid w:val="00DB290A"/>
    <w:rsid w:val="00DB2EDC"/>
    <w:rsid w:val="00DB3277"/>
    <w:rsid w:val="00DB3A15"/>
    <w:rsid w:val="00DB4083"/>
    <w:rsid w:val="00DB4127"/>
    <w:rsid w:val="00DB48F8"/>
    <w:rsid w:val="00DB55ED"/>
    <w:rsid w:val="00DB6348"/>
    <w:rsid w:val="00DB6389"/>
    <w:rsid w:val="00DB718D"/>
    <w:rsid w:val="00DB7316"/>
    <w:rsid w:val="00DB7484"/>
    <w:rsid w:val="00DB7CBF"/>
    <w:rsid w:val="00DC1035"/>
    <w:rsid w:val="00DC1359"/>
    <w:rsid w:val="00DC20FA"/>
    <w:rsid w:val="00DC25A3"/>
    <w:rsid w:val="00DC29F3"/>
    <w:rsid w:val="00DC2A9F"/>
    <w:rsid w:val="00DC2E40"/>
    <w:rsid w:val="00DC3262"/>
    <w:rsid w:val="00DC3885"/>
    <w:rsid w:val="00DC4520"/>
    <w:rsid w:val="00DC5292"/>
    <w:rsid w:val="00DC7078"/>
    <w:rsid w:val="00DC79A6"/>
    <w:rsid w:val="00DD047C"/>
    <w:rsid w:val="00DD082F"/>
    <w:rsid w:val="00DD0D7A"/>
    <w:rsid w:val="00DD1153"/>
    <w:rsid w:val="00DD1BB1"/>
    <w:rsid w:val="00DD1E5F"/>
    <w:rsid w:val="00DD1E75"/>
    <w:rsid w:val="00DD21F4"/>
    <w:rsid w:val="00DD2FD6"/>
    <w:rsid w:val="00DD3472"/>
    <w:rsid w:val="00DD360E"/>
    <w:rsid w:val="00DD3A23"/>
    <w:rsid w:val="00DD3B69"/>
    <w:rsid w:val="00DD5071"/>
    <w:rsid w:val="00DD5DC0"/>
    <w:rsid w:val="00DE0756"/>
    <w:rsid w:val="00DE28A6"/>
    <w:rsid w:val="00DE2EF4"/>
    <w:rsid w:val="00DE346C"/>
    <w:rsid w:val="00DE3BED"/>
    <w:rsid w:val="00DE4A7C"/>
    <w:rsid w:val="00DE4BB0"/>
    <w:rsid w:val="00DE4D28"/>
    <w:rsid w:val="00DE5055"/>
    <w:rsid w:val="00DE5356"/>
    <w:rsid w:val="00DE56BF"/>
    <w:rsid w:val="00DE6A7E"/>
    <w:rsid w:val="00DE793B"/>
    <w:rsid w:val="00DF14ED"/>
    <w:rsid w:val="00DF1561"/>
    <w:rsid w:val="00DF1850"/>
    <w:rsid w:val="00DF18D1"/>
    <w:rsid w:val="00DF1A93"/>
    <w:rsid w:val="00DF1F42"/>
    <w:rsid w:val="00DF2C4C"/>
    <w:rsid w:val="00DF3884"/>
    <w:rsid w:val="00DF4A67"/>
    <w:rsid w:val="00DF5F4E"/>
    <w:rsid w:val="00DF75F9"/>
    <w:rsid w:val="00DF76EF"/>
    <w:rsid w:val="00DF7CBF"/>
    <w:rsid w:val="00E00726"/>
    <w:rsid w:val="00E00EA8"/>
    <w:rsid w:val="00E00EB0"/>
    <w:rsid w:val="00E01D60"/>
    <w:rsid w:val="00E0202C"/>
    <w:rsid w:val="00E0235D"/>
    <w:rsid w:val="00E02EDE"/>
    <w:rsid w:val="00E0379C"/>
    <w:rsid w:val="00E03B4B"/>
    <w:rsid w:val="00E043C2"/>
    <w:rsid w:val="00E047D3"/>
    <w:rsid w:val="00E049CB"/>
    <w:rsid w:val="00E04BF2"/>
    <w:rsid w:val="00E04E00"/>
    <w:rsid w:val="00E06B8C"/>
    <w:rsid w:val="00E0767D"/>
    <w:rsid w:val="00E07F9D"/>
    <w:rsid w:val="00E1001D"/>
    <w:rsid w:val="00E1006A"/>
    <w:rsid w:val="00E106C0"/>
    <w:rsid w:val="00E10C9F"/>
    <w:rsid w:val="00E10FCA"/>
    <w:rsid w:val="00E122B2"/>
    <w:rsid w:val="00E12324"/>
    <w:rsid w:val="00E12EA6"/>
    <w:rsid w:val="00E12FB1"/>
    <w:rsid w:val="00E13AD2"/>
    <w:rsid w:val="00E13B9E"/>
    <w:rsid w:val="00E13D31"/>
    <w:rsid w:val="00E13EBB"/>
    <w:rsid w:val="00E13EDE"/>
    <w:rsid w:val="00E149F4"/>
    <w:rsid w:val="00E14D6A"/>
    <w:rsid w:val="00E15147"/>
    <w:rsid w:val="00E153EC"/>
    <w:rsid w:val="00E15BF5"/>
    <w:rsid w:val="00E15CC9"/>
    <w:rsid w:val="00E166B6"/>
    <w:rsid w:val="00E200B6"/>
    <w:rsid w:val="00E210CB"/>
    <w:rsid w:val="00E21869"/>
    <w:rsid w:val="00E22784"/>
    <w:rsid w:val="00E234F0"/>
    <w:rsid w:val="00E2371F"/>
    <w:rsid w:val="00E23F1E"/>
    <w:rsid w:val="00E255B7"/>
    <w:rsid w:val="00E261BA"/>
    <w:rsid w:val="00E2673C"/>
    <w:rsid w:val="00E26AE1"/>
    <w:rsid w:val="00E27D66"/>
    <w:rsid w:val="00E30825"/>
    <w:rsid w:val="00E30DB5"/>
    <w:rsid w:val="00E31257"/>
    <w:rsid w:val="00E312FF"/>
    <w:rsid w:val="00E31A6D"/>
    <w:rsid w:val="00E31D3E"/>
    <w:rsid w:val="00E326AD"/>
    <w:rsid w:val="00E33406"/>
    <w:rsid w:val="00E357B7"/>
    <w:rsid w:val="00E362FA"/>
    <w:rsid w:val="00E371B4"/>
    <w:rsid w:val="00E37895"/>
    <w:rsid w:val="00E40361"/>
    <w:rsid w:val="00E40C86"/>
    <w:rsid w:val="00E41984"/>
    <w:rsid w:val="00E429D4"/>
    <w:rsid w:val="00E4310D"/>
    <w:rsid w:val="00E44FE9"/>
    <w:rsid w:val="00E4569C"/>
    <w:rsid w:val="00E45D3D"/>
    <w:rsid w:val="00E460B8"/>
    <w:rsid w:val="00E46A45"/>
    <w:rsid w:val="00E47A0B"/>
    <w:rsid w:val="00E510E3"/>
    <w:rsid w:val="00E54871"/>
    <w:rsid w:val="00E54875"/>
    <w:rsid w:val="00E54ADC"/>
    <w:rsid w:val="00E550E0"/>
    <w:rsid w:val="00E5542F"/>
    <w:rsid w:val="00E55903"/>
    <w:rsid w:val="00E567EE"/>
    <w:rsid w:val="00E57A75"/>
    <w:rsid w:val="00E57B02"/>
    <w:rsid w:val="00E62B4E"/>
    <w:rsid w:val="00E62C71"/>
    <w:rsid w:val="00E64985"/>
    <w:rsid w:val="00E666CC"/>
    <w:rsid w:val="00E67877"/>
    <w:rsid w:val="00E707FC"/>
    <w:rsid w:val="00E71259"/>
    <w:rsid w:val="00E71EDB"/>
    <w:rsid w:val="00E72078"/>
    <w:rsid w:val="00E72449"/>
    <w:rsid w:val="00E72584"/>
    <w:rsid w:val="00E727DD"/>
    <w:rsid w:val="00E72EA1"/>
    <w:rsid w:val="00E731C8"/>
    <w:rsid w:val="00E73F6D"/>
    <w:rsid w:val="00E74EE0"/>
    <w:rsid w:val="00E750F8"/>
    <w:rsid w:val="00E76969"/>
    <w:rsid w:val="00E76A8E"/>
    <w:rsid w:val="00E76B44"/>
    <w:rsid w:val="00E776AA"/>
    <w:rsid w:val="00E80AE4"/>
    <w:rsid w:val="00E82A41"/>
    <w:rsid w:val="00E83457"/>
    <w:rsid w:val="00E835A2"/>
    <w:rsid w:val="00E84BDF"/>
    <w:rsid w:val="00E84D09"/>
    <w:rsid w:val="00E84E54"/>
    <w:rsid w:val="00E86E44"/>
    <w:rsid w:val="00E86FD0"/>
    <w:rsid w:val="00E876A0"/>
    <w:rsid w:val="00E87BAE"/>
    <w:rsid w:val="00E90321"/>
    <w:rsid w:val="00E90D79"/>
    <w:rsid w:val="00E91CF3"/>
    <w:rsid w:val="00E91FAB"/>
    <w:rsid w:val="00E92D99"/>
    <w:rsid w:val="00E95CB8"/>
    <w:rsid w:val="00E974AE"/>
    <w:rsid w:val="00E97A14"/>
    <w:rsid w:val="00EA0108"/>
    <w:rsid w:val="00EA0430"/>
    <w:rsid w:val="00EA136B"/>
    <w:rsid w:val="00EA2789"/>
    <w:rsid w:val="00EA3897"/>
    <w:rsid w:val="00EA3ADF"/>
    <w:rsid w:val="00EA3E2D"/>
    <w:rsid w:val="00EA42EB"/>
    <w:rsid w:val="00EA55C5"/>
    <w:rsid w:val="00EA5ADD"/>
    <w:rsid w:val="00EA6201"/>
    <w:rsid w:val="00EB031E"/>
    <w:rsid w:val="00EB108B"/>
    <w:rsid w:val="00EB19A3"/>
    <w:rsid w:val="00EB2726"/>
    <w:rsid w:val="00EB2A63"/>
    <w:rsid w:val="00EB2CF7"/>
    <w:rsid w:val="00EB3E5C"/>
    <w:rsid w:val="00EB4816"/>
    <w:rsid w:val="00EB4AD5"/>
    <w:rsid w:val="00EB53DC"/>
    <w:rsid w:val="00EB60E6"/>
    <w:rsid w:val="00EB633E"/>
    <w:rsid w:val="00EB69EB"/>
    <w:rsid w:val="00EB6A48"/>
    <w:rsid w:val="00EB7010"/>
    <w:rsid w:val="00EC0EF9"/>
    <w:rsid w:val="00EC171B"/>
    <w:rsid w:val="00EC1DCE"/>
    <w:rsid w:val="00EC2D1E"/>
    <w:rsid w:val="00EC2D8F"/>
    <w:rsid w:val="00EC30F7"/>
    <w:rsid w:val="00EC44F7"/>
    <w:rsid w:val="00EC5602"/>
    <w:rsid w:val="00EC6264"/>
    <w:rsid w:val="00EC709C"/>
    <w:rsid w:val="00ED0760"/>
    <w:rsid w:val="00ED0A5F"/>
    <w:rsid w:val="00ED11F9"/>
    <w:rsid w:val="00ED14A9"/>
    <w:rsid w:val="00ED1DAD"/>
    <w:rsid w:val="00ED359B"/>
    <w:rsid w:val="00ED4137"/>
    <w:rsid w:val="00ED5B71"/>
    <w:rsid w:val="00ED6182"/>
    <w:rsid w:val="00ED61DE"/>
    <w:rsid w:val="00ED765D"/>
    <w:rsid w:val="00ED7F68"/>
    <w:rsid w:val="00EE1FDF"/>
    <w:rsid w:val="00EE2011"/>
    <w:rsid w:val="00EE4449"/>
    <w:rsid w:val="00EE45D0"/>
    <w:rsid w:val="00EE59E2"/>
    <w:rsid w:val="00EE5F59"/>
    <w:rsid w:val="00EE67CB"/>
    <w:rsid w:val="00EE6E56"/>
    <w:rsid w:val="00EE76F5"/>
    <w:rsid w:val="00EF0EF7"/>
    <w:rsid w:val="00EF17B3"/>
    <w:rsid w:val="00EF3F21"/>
    <w:rsid w:val="00EF4E15"/>
    <w:rsid w:val="00EF508C"/>
    <w:rsid w:val="00EF5F47"/>
    <w:rsid w:val="00EF6255"/>
    <w:rsid w:val="00EF6743"/>
    <w:rsid w:val="00F0211E"/>
    <w:rsid w:val="00F028F1"/>
    <w:rsid w:val="00F02B0E"/>
    <w:rsid w:val="00F03A6E"/>
    <w:rsid w:val="00F03F69"/>
    <w:rsid w:val="00F0620F"/>
    <w:rsid w:val="00F0672E"/>
    <w:rsid w:val="00F07F66"/>
    <w:rsid w:val="00F1004D"/>
    <w:rsid w:val="00F10885"/>
    <w:rsid w:val="00F11726"/>
    <w:rsid w:val="00F11F3D"/>
    <w:rsid w:val="00F12154"/>
    <w:rsid w:val="00F128D6"/>
    <w:rsid w:val="00F12E6F"/>
    <w:rsid w:val="00F131B9"/>
    <w:rsid w:val="00F13B3F"/>
    <w:rsid w:val="00F13CCC"/>
    <w:rsid w:val="00F13DA6"/>
    <w:rsid w:val="00F14261"/>
    <w:rsid w:val="00F142FF"/>
    <w:rsid w:val="00F14AD5"/>
    <w:rsid w:val="00F14BF5"/>
    <w:rsid w:val="00F14D6F"/>
    <w:rsid w:val="00F15B7D"/>
    <w:rsid w:val="00F17128"/>
    <w:rsid w:val="00F17386"/>
    <w:rsid w:val="00F206CF"/>
    <w:rsid w:val="00F20C08"/>
    <w:rsid w:val="00F213D4"/>
    <w:rsid w:val="00F213F3"/>
    <w:rsid w:val="00F21C13"/>
    <w:rsid w:val="00F22DC8"/>
    <w:rsid w:val="00F236EA"/>
    <w:rsid w:val="00F24E3A"/>
    <w:rsid w:val="00F25120"/>
    <w:rsid w:val="00F25488"/>
    <w:rsid w:val="00F25538"/>
    <w:rsid w:val="00F26156"/>
    <w:rsid w:val="00F26636"/>
    <w:rsid w:val="00F26958"/>
    <w:rsid w:val="00F26C91"/>
    <w:rsid w:val="00F3076A"/>
    <w:rsid w:val="00F30BAA"/>
    <w:rsid w:val="00F31AA8"/>
    <w:rsid w:val="00F32A9C"/>
    <w:rsid w:val="00F32C62"/>
    <w:rsid w:val="00F32C71"/>
    <w:rsid w:val="00F32D8A"/>
    <w:rsid w:val="00F338A9"/>
    <w:rsid w:val="00F33F1C"/>
    <w:rsid w:val="00F34A8C"/>
    <w:rsid w:val="00F34B9B"/>
    <w:rsid w:val="00F34DFB"/>
    <w:rsid w:val="00F35EF4"/>
    <w:rsid w:val="00F36C4F"/>
    <w:rsid w:val="00F378A0"/>
    <w:rsid w:val="00F37D36"/>
    <w:rsid w:val="00F4009B"/>
    <w:rsid w:val="00F4047D"/>
    <w:rsid w:val="00F412A3"/>
    <w:rsid w:val="00F417EA"/>
    <w:rsid w:val="00F418A0"/>
    <w:rsid w:val="00F42D2D"/>
    <w:rsid w:val="00F43BAA"/>
    <w:rsid w:val="00F43F85"/>
    <w:rsid w:val="00F448EC"/>
    <w:rsid w:val="00F44FBC"/>
    <w:rsid w:val="00F45822"/>
    <w:rsid w:val="00F464C3"/>
    <w:rsid w:val="00F502C8"/>
    <w:rsid w:val="00F502CB"/>
    <w:rsid w:val="00F50E2C"/>
    <w:rsid w:val="00F514A0"/>
    <w:rsid w:val="00F520F0"/>
    <w:rsid w:val="00F53350"/>
    <w:rsid w:val="00F5392B"/>
    <w:rsid w:val="00F53E47"/>
    <w:rsid w:val="00F54DC0"/>
    <w:rsid w:val="00F56201"/>
    <w:rsid w:val="00F57217"/>
    <w:rsid w:val="00F60022"/>
    <w:rsid w:val="00F602AD"/>
    <w:rsid w:val="00F604EE"/>
    <w:rsid w:val="00F612E7"/>
    <w:rsid w:val="00F612FB"/>
    <w:rsid w:val="00F615EA"/>
    <w:rsid w:val="00F61799"/>
    <w:rsid w:val="00F61C20"/>
    <w:rsid w:val="00F62372"/>
    <w:rsid w:val="00F624BE"/>
    <w:rsid w:val="00F62E79"/>
    <w:rsid w:val="00F63B8B"/>
    <w:rsid w:val="00F6421F"/>
    <w:rsid w:val="00F6435E"/>
    <w:rsid w:val="00F64797"/>
    <w:rsid w:val="00F64E09"/>
    <w:rsid w:val="00F6529B"/>
    <w:rsid w:val="00F66112"/>
    <w:rsid w:val="00F67067"/>
    <w:rsid w:val="00F67AAA"/>
    <w:rsid w:val="00F7059B"/>
    <w:rsid w:val="00F71099"/>
    <w:rsid w:val="00F71701"/>
    <w:rsid w:val="00F7191E"/>
    <w:rsid w:val="00F71E91"/>
    <w:rsid w:val="00F72034"/>
    <w:rsid w:val="00F723BF"/>
    <w:rsid w:val="00F725FB"/>
    <w:rsid w:val="00F72ADB"/>
    <w:rsid w:val="00F72B1F"/>
    <w:rsid w:val="00F73D07"/>
    <w:rsid w:val="00F74FB4"/>
    <w:rsid w:val="00F75125"/>
    <w:rsid w:val="00F7549B"/>
    <w:rsid w:val="00F75C22"/>
    <w:rsid w:val="00F7690F"/>
    <w:rsid w:val="00F76B51"/>
    <w:rsid w:val="00F76DD6"/>
    <w:rsid w:val="00F772E0"/>
    <w:rsid w:val="00F77413"/>
    <w:rsid w:val="00F80863"/>
    <w:rsid w:val="00F8086E"/>
    <w:rsid w:val="00F812EC"/>
    <w:rsid w:val="00F81464"/>
    <w:rsid w:val="00F825F0"/>
    <w:rsid w:val="00F83812"/>
    <w:rsid w:val="00F83FA2"/>
    <w:rsid w:val="00F84D47"/>
    <w:rsid w:val="00F85418"/>
    <w:rsid w:val="00F85724"/>
    <w:rsid w:val="00F85805"/>
    <w:rsid w:val="00F8604E"/>
    <w:rsid w:val="00F86C8C"/>
    <w:rsid w:val="00F87040"/>
    <w:rsid w:val="00F90AF2"/>
    <w:rsid w:val="00F912D3"/>
    <w:rsid w:val="00F918AD"/>
    <w:rsid w:val="00F91BB6"/>
    <w:rsid w:val="00F91DD6"/>
    <w:rsid w:val="00F92107"/>
    <w:rsid w:val="00F9216C"/>
    <w:rsid w:val="00F9219D"/>
    <w:rsid w:val="00F924DC"/>
    <w:rsid w:val="00F92917"/>
    <w:rsid w:val="00F92A84"/>
    <w:rsid w:val="00F934E8"/>
    <w:rsid w:val="00F944E9"/>
    <w:rsid w:val="00F948D3"/>
    <w:rsid w:val="00F949E1"/>
    <w:rsid w:val="00F94D3C"/>
    <w:rsid w:val="00F94FFB"/>
    <w:rsid w:val="00F9646A"/>
    <w:rsid w:val="00F96642"/>
    <w:rsid w:val="00FA0405"/>
    <w:rsid w:val="00FA1B6E"/>
    <w:rsid w:val="00FA266D"/>
    <w:rsid w:val="00FA2C35"/>
    <w:rsid w:val="00FA2E07"/>
    <w:rsid w:val="00FA688E"/>
    <w:rsid w:val="00FA746E"/>
    <w:rsid w:val="00FA7801"/>
    <w:rsid w:val="00FA790A"/>
    <w:rsid w:val="00FA7FEF"/>
    <w:rsid w:val="00FB0B27"/>
    <w:rsid w:val="00FB17D0"/>
    <w:rsid w:val="00FB20B1"/>
    <w:rsid w:val="00FB229C"/>
    <w:rsid w:val="00FB2D57"/>
    <w:rsid w:val="00FB392F"/>
    <w:rsid w:val="00FB4707"/>
    <w:rsid w:val="00FB5791"/>
    <w:rsid w:val="00FB5F0C"/>
    <w:rsid w:val="00FB6298"/>
    <w:rsid w:val="00FB703A"/>
    <w:rsid w:val="00FB7213"/>
    <w:rsid w:val="00FB7EF8"/>
    <w:rsid w:val="00FC062D"/>
    <w:rsid w:val="00FC0AE1"/>
    <w:rsid w:val="00FC11E3"/>
    <w:rsid w:val="00FC13FB"/>
    <w:rsid w:val="00FC1B44"/>
    <w:rsid w:val="00FC1EE4"/>
    <w:rsid w:val="00FC2082"/>
    <w:rsid w:val="00FC2110"/>
    <w:rsid w:val="00FC30F3"/>
    <w:rsid w:val="00FC3BAE"/>
    <w:rsid w:val="00FC4074"/>
    <w:rsid w:val="00FC4145"/>
    <w:rsid w:val="00FC4202"/>
    <w:rsid w:val="00FC4233"/>
    <w:rsid w:val="00FC4B27"/>
    <w:rsid w:val="00FC4D7D"/>
    <w:rsid w:val="00FC5629"/>
    <w:rsid w:val="00FC668B"/>
    <w:rsid w:val="00FC6F8B"/>
    <w:rsid w:val="00FC791D"/>
    <w:rsid w:val="00FD0066"/>
    <w:rsid w:val="00FD0423"/>
    <w:rsid w:val="00FD090B"/>
    <w:rsid w:val="00FD0CEA"/>
    <w:rsid w:val="00FD0F09"/>
    <w:rsid w:val="00FD1115"/>
    <w:rsid w:val="00FD1EDA"/>
    <w:rsid w:val="00FD24F9"/>
    <w:rsid w:val="00FD2904"/>
    <w:rsid w:val="00FD3175"/>
    <w:rsid w:val="00FD31EA"/>
    <w:rsid w:val="00FD3520"/>
    <w:rsid w:val="00FD3FD7"/>
    <w:rsid w:val="00FD45ED"/>
    <w:rsid w:val="00FD4A2A"/>
    <w:rsid w:val="00FD5332"/>
    <w:rsid w:val="00FD71D1"/>
    <w:rsid w:val="00FD7702"/>
    <w:rsid w:val="00FD79A0"/>
    <w:rsid w:val="00FE00FF"/>
    <w:rsid w:val="00FE034C"/>
    <w:rsid w:val="00FE3928"/>
    <w:rsid w:val="00FE3E6D"/>
    <w:rsid w:val="00FE40C3"/>
    <w:rsid w:val="00FE543D"/>
    <w:rsid w:val="00FE5C03"/>
    <w:rsid w:val="00FE6770"/>
    <w:rsid w:val="00FF13DB"/>
    <w:rsid w:val="00FF200F"/>
    <w:rsid w:val="00FF2E10"/>
    <w:rsid w:val="00FF4E8F"/>
    <w:rsid w:val="00FF5037"/>
    <w:rsid w:val="00FF56F3"/>
    <w:rsid w:val="00FF6F9A"/>
    <w:rsid w:val="00FF775B"/>
    <w:rsid w:val="00FF7795"/>
    <w:rsid w:val="00FF7A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A88D9F"/>
  <w15:docId w15:val="{97B8E95A-A0A4-4EB7-B19F-DA14E6F57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99" w:unhideWhenUsed="1"/>
    <w:lsdException w:name="Signature" w:semiHidden="1" w:uiPriority="99"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99" w:unhideWhenUsed="1"/>
    <w:lsdException w:name="Date" w:semiHidden="1" w:uiPriority="99" w:unhideWhenUsed="1"/>
    <w:lsdException w:name="Body Text First Indent" w:semiHidden="1" w:unhideWhenUsed="1"/>
    <w:lsdException w:name="Body Text First Indent 2" w:semiHidden="1" w:uiPriority="99"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99" w:qFormat="1"/>
    <w:lsdException w:name="Document Map" w:semiHidden="1" w:unhideWhenUsed="1"/>
    <w:lsdException w:name="Plain Text" w:semiHidden="1"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nhideWhenUsed="1"/>
    <w:lsdException w:name="Table Grid 3" w:semiHidden="1" w:uiPriority="99" w:unhideWhenUsed="1"/>
    <w:lsdException w:name="Table Grid 4" w:semiHidden="1" w:unhideWhenUsed="1"/>
    <w:lsdException w:name="Table Grid 5" w:semiHidden="1" w:unhideWhenUsed="1"/>
    <w:lsdException w:name="Table Grid 6" w:semiHidden="1" w:uiPriority="99" w:unhideWhenUsed="1"/>
    <w:lsdException w:name="Table Grid 7" w:semiHidden="1" w:uiPriority="99" w:unhideWhenUsed="1"/>
    <w:lsdException w:name="Table Grid 8" w:semiHidden="1"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nhideWhenUsed="1"/>
    <w:lsdException w:name="Table Elegant" w:semiHidden="1"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1">
    <w:name w:val="Normal"/>
    <w:qFormat/>
    <w:rsid w:val="00FF56F3"/>
    <w:pPr>
      <w:spacing w:after="0" w:line="240" w:lineRule="auto"/>
    </w:pPr>
    <w:rPr>
      <w:rFonts w:ascii="Times New Roman" w:eastAsia="Times New Roman" w:hAnsi="Times New Roman" w:cs="Times New Roman"/>
      <w:sz w:val="24"/>
      <w:szCs w:val="24"/>
      <w:lang w:eastAsia="ru-RU"/>
    </w:rPr>
  </w:style>
  <w:style w:type="paragraph" w:styleId="10">
    <w:name w:val="heading 1"/>
    <w:aliases w:val="Глава + Times New Roman Знак,14 пт Знак,Заголовок 1 Знак2 Знак,Заголовок 1 Знак1 Знак Знак,Заголовок 1 Знак Знак Знак Знак,Заголовок 1 Знак1 Знак Знак1 Знак Знак,Заголовок 1 Знак Знак Знак Знак Знак Знак,Заголовок 1 Знак Знак Знак"/>
    <w:basedOn w:val="af1"/>
    <w:next w:val="af1"/>
    <w:link w:val="11"/>
    <w:uiPriority w:val="9"/>
    <w:qFormat/>
    <w:rsid w:val="001144B7"/>
    <w:pPr>
      <w:keepNext/>
      <w:outlineLvl w:val="0"/>
    </w:pPr>
    <w:rPr>
      <w:sz w:val="28"/>
      <w:szCs w:val="20"/>
    </w:rPr>
  </w:style>
  <w:style w:type="paragraph" w:styleId="20">
    <w:name w:val="heading 2"/>
    <w:aliases w:val="2,h2,Numbered text 3,H2"/>
    <w:basedOn w:val="af1"/>
    <w:next w:val="af1"/>
    <w:link w:val="21"/>
    <w:uiPriority w:val="9"/>
    <w:qFormat/>
    <w:rsid w:val="001144B7"/>
    <w:pPr>
      <w:keepNext/>
      <w:ind w:firstLine="993"/>
      <w:jc w:val="right"/>
      <w:outlineLvl w:val="1"/>
    </w:pPr>
    <w:rPr>
      <w:szCs w:val="20"/>
    </w:rPr>
  </w:style>
  <w:style w:type="paragraph" w:styleId="30">
    <w:name w:val="heading 3"/>
    <w:basedOn w:val="af1"/>
    <w:next w:val="af1"/>
    <w:link w:val="31"/>
    <w:uiPriority w:val="9"/>
    <w:qFormat/>
    <w:rsid w:val="001144B7"/>
    <w:pPr>
      <w:keepNext/>
      <w:ind w:firstLine="993"/>
      <w:jc w:val="center"/>
      <w:outlineLvl w:val="2"/>
    </w:pPr>
    <w:rPr>
      <w:b/>
      <w:sz w:val="28"/>
      <w:szCs w:val="20"/>
    </w:rPr>
  </w:style>
  <w:style w:type="paragraph" w:styleId="4">
    <w:name w:val="heading 4"/>
    <w:basedOn w:val="af1"/>
    <w:next w:val="af1"/>
    <w:link w:val="40"/>
    <w:uiPriority w:val="9"/>
    <w:qFormat/>
    <w:rsid w:val="00D80330"/>
    <w:pPr>
      <w:keepNext/>
      <w:outlineLvl w:val="3"/>
    </w:pPr>
    <w:rPr>
      <w:rFonts w:ascii="Calibri" w:hAnsi="Calibri"/>
      <w:b/>
      <w:bCs/>
      <w:sz w:val="28"/>
      <w:szCs w:val="28"/>
    </w:rPr>
  </w:style>
  <w:style w:type="paragraph" w:styleId="5">
    <w:name w:val="heading 5"/>
    <w:basedOn w:val="af1"/>
    <w:next w:val="af1"/>
    <w:link w:val="50"/>
    <w:uiPriority w:val="9"/>
    <w:qFormat/>
    <w:rsid w:val="00D80330"/>
    <w:pPr>
      <w:keepNext/>
      <w:jc w:val="center"/>
      <w:outlineLvl w:val="4"/>
    </w:pPr>
    <w:rPr>
      <w:rFonts w:ascii="Calibri" w:hAnsi="Calibri"/>
      <w:b/>
      <w:bCs/>
      <w:i/>
      <w:iCs/>
      <w:sz w:val="26"/>
      <w:szCs w:val="26"/>
    </w:rPr>
  </w:style>
  <w:style w:type="paragraph" w:styleId="6">
    <w:name w:val="heading 6"/>
    <w:basedOn w:val="af1"/>
    <w:next w:val="af1"/>
    <w:link w:val="60"/>
    <w:uiPriority w:val="9"/>
    <w:qFormat/>
    <w:rsid w:val="00D80330"/>
    <w:pPr>
      <w:keepNext/>
      <w:jc w:val="both"/>
      <w:outlineLvl w:val="5"/>
    </w:pPr>
    <w:rPr>
      <w:rFonts w:ascii="Calibri" w:hAnsi="Calibri"/>
      <w:b/>
      <w:bCs/>
      <w:sz w:val="20"/>
      <w:szCs w:val="20"/>
    </w:rPr>
  </w:style>
  <w:style w:type="paragraph" w:styleId="7">
    <w:name w:val="heading 7"/>
    <w:basedOn w:val="af1"/>
    <w:next w:val="af1"/>
    <w:link w:val="70"/>
    <w:uiPriority w:val="9"/>
    <w:qFormat/>
    <w:rsid w:val="00D80330"/>
    <w:pPr>
      <w:keepNext/>
      <w:jc w:val="both"/>
      <w:outlineLvl w:val="6"/>
    </w:pPr>
    <w:rPr>
      <w:rFonts w:ascii="Calibri" w:hAnsi="Calibri"/>
    </w:rPr>
  </w:style>
  <w:style w:type="paragraph" w:styleId="8">
    <w:name w:val="heading 8"/>
    <w:basedOn w:val="af1"/>
    <w:next w:val="af1"/>
    <w:link w:val="80"/>
    <w:uiPriority w:val="9"/>
    <w:qFormat/>
    <w:rsid w:val="00D80330"/>
    <w:pPr>
      <w:keepNext/>
      <w:ind w:firstLine="748"/>
      <w:jc w:val="both"/>
      <w:outlineLvl w:val="7"/>
    </w:pPr>
    <w:rPr>
      <w:rFonts w:ascii="Calibri" w:hAnsi="Calibri"/>
      <w:i/>
      <w:iCs/>
    </w:rPr>
  </w:style>
  <w:style w:type="paragraph" w:styleId="9">
    <w:name w:val="heading 9"/>
    <w:basedOn w:val="af1"/>
    <w:next w:val="af1"/>
    <w:link w:val="90"/>
    <w:uiPriority w:val="99"/>
    <w:qFormat/>
    <w:rsid w:val="00680AEA"/>
    <w:pPr>
      <w:keepNext/>
      <w:ind w:firstLine="360"/>
      <w:jc w:val="center"/>
      <w:outlineLvl w:val="8"/>
    </w:pPr>
    <w:rPr>
      <w:sz w:val="28"/>
      <w:szCs w:val="20"/>
    </w:rPr>
  </w:style>
  <w:style w:type="character" w:default="1" w:styleId="af2">
    <w:name w:val="Default Paragraph Font"/>
    <w:uiPriority w:val="1"/>
    <w:semiHidden/>
    <w:unhideWhenUsed/>
  </w:style>
  <w:style w:type="table" w:default="1" w:styleId="af3">
    <w:name w:val="Normal Table"/>
    <w:uiPriority w:val="99"/>
    <w:semiHidden/>
    <w:unhideWhenUsed/>
    <w:tblPr>
      <w:tblInd w:w="0" w:type="dxa"/>
      <w:tblCellMar>
        <w:top w:w="0" w:type="dxa"/>
        <w:left w:w="108" w:type="dxa"/>
        <w:bottom w:w="0" w:type="dxa"/>
        <w:right w:w="108" w:type="dxa"/>
      </w:tblCellMar>
    </w:tblPr>
  </w:style>
  <w:style w:type="numbering" w:default="1" w:styleId="af4">
    <w:name w:val="No List"/>
    <w:uiPriority w:val="99"/>
    <w:semiHidden/>
    <w:unhideWhenUsed/>
  </w:style>
  <w:style w:type="character" w:customStyle="1" w:styleId="11">
    <w:name w:val="Заголовок 1 Знак"/>
    <w:aliases w:val="Глава + Times New Roman Знак Знак,14 пт Знак Знак,Заголовок 1 Знак2 Знак Знак,Заголовок 1 Знак1 Знак Знак Знак,Заголовок 1 Знак Знак Знак Знак Знак,Заголовок 1 Знак1 Знак Знак1 Знак Знак Знак,Заголовок 1 Знак Знак Знак Знак1"/>
    <w:basedOn w:val="af2"/>
    <w:link w:val="10"/>
    <w:uiPriority w:val="9"/>
    <w:rsid w:val="001144B7"/>
    <w:rPr>
      <w:rFonts w:ascii="Times New Roman" w:eastAsia="Times New Roman" w:hAnsi="Times New Roman" w:cs="Times New Roman"/>
      <w:sz w:val="28"/>
      <w:szCs w:val="20"/>
      <w:lang w:eastAsia="ru-RU"/>
    </w:rPr>
  </w:style>
  <w:style w:type="character" w:customStyle="1" w:styleId="21">
    <w:name w:val="Заголовок 2 Знак"/>
    <w:aliases w:val="2 Знак1,h2 Знак1,Numbered text 3 Знак1,H2 Знак"/>
    <w:basedOn w:val="af2"/>
    <w:link w:val="20"/>
    <w:uiPriority w:val="9"/>
    <w:rsid w:val="001144B7"/>
    <w:rPr>
      <w:rFonts w:ascii="Times New Roman" w:eastAsia="Times New Roman" w:hAnsi="Times New Roman" w:cs="Times New Roman"/>
      <w:sz w:val="24"/>
      <w:szCs w:val="20"/>
      <w:lang w:eastAsia="ru-RU"/>
    </w:rPr>
  </w:style>
  <w:style w:type="character" w:customStyle="1" w:styleId="31">
    <w:name w:val="Заголовок 3 Знак"/>
    <w:basedOn w:val="af2"/>
    <w:link w:val="30"/>
    <w:uiPriority w:val="9"/>
    <w:rsid w:val="001144B7"/>
    <w:rPr>
      <w:rFonts w:ascii="Times New Roman" w:eastAsia="Times New Roman" w:hAnsi="Times New Roman" w:cs="Times New Roman"/>
      <w:b/>
      <w:sz w:val="28"/>
      <w:szCs w:val="20"/>
      <w:lang w:eastAsia="ru-RU"/>
    </w:rPr>
  </w:style>
  <w:style w:type="character" w:customStyle="1" w:styleId="40">
    <w:name w:val="Заголовок 4 Знак"/>
    <w:basedOn w:val="af2"/>
    <w:link w:val="4"/>
    <w:uiPriority w:val="9"/>
    <w:rsid w:val="00D80330"/>
    <w:rPr>
      <w:rFonts w:ascii="Calibri" w:eastAsia="Times New Roman" w:hAnsi="Calibri" w:cs="Times New Roman"/>
      <w:b/>
      <w:bCs/>
      <w:sz w:val="28"/>
      <w:szCs w:val="28"/>
      <w:lang w:eastAsia="ru-RU"/>
    </w:rPr>
  </w:style>
  <w:style w:type="character" w:customStyle="1" w:styleId="50">
    <w:name w:val="Заголовок 5 Знак"/>
    <w:basedOn w:val="af2"/>
    <w:link w:val="5"/>
    <w:uiPriority w:val="9"/>
    <w:rsid w:val="00D80330"/>
    <w:rPr>
      <w:rFonts w:ascii="Calibri" w:eastAsia="Times New Roman" w:hAnsi="Calibri" w:cs="Times New Roman"/>
      <w:b/>
      <w:bCs/>
      <w:i/>
      <w:iCs/>
      <w:sz w:val="26"/>
      <w:szCs w:val="26"/>
      <w:lang w:eastAsia="ru-RU"/>
    </w:rPr>
  </w:style>
  <w:style w:type="character" w:customStyle="1" w:styleId="60">
    <w:name w:val="Заголовок 6 Знак"/>
    <w:basedOn w:val="af2"/>
    <w:link w:val="6"/>
    <w:uiPriority w:val="9"/>
    <w:rsid w:val="00D80330"/>
    <w:rPr>
      <w:rFonts w:ascii="Calibri" w:eastAsia="Times New Roman" w:hAnsi="Calibri" w:cs="Times New Roman"/>
      <w:b/>
      <w:bCs/>
      <w:sz w:val="20"/>
      <w:szCs w:val="20"/>
      <w:lang w:eastAsia="ru-RU"/>
    </w:rPr>
  </w:style>
  <w:style w:type="character" w:customStyle="1" w:styleId="70">
    <w:name w:val="Заголовок 7 Знак"/>
    <w:basedOn w:val="af2"/>
    <w:link w:val="7"/>
    <w:uiPriority w:val="9"/>
    <w:rsid w:val="00D80330"/>
    <w:rPr>
      <w:rFonts w:ascii="Calibri" w:eastAsia="Times New Roman" w:hAnsi="Calibri" w:cs="Times New Roman"/>
      <w:sz w:val="24"/>
      <w:szCs w:val="24"/>
      <w:lang w:eastAsia="ru-RU"/>
    </w:rPr>
  </w:style>
  <w:style w:type="character" w:customStyle="1" w:styleId="80">
    <w:name w:val="Заголовок 8 Знак"/>
    <w:basedOn w:val="af2"/>
    <w:link w:val="8"/>
    <w:uiPriority w:val="9"/>
    <w:rsid w:val="00D80330"/>
    <w:rPr>
      <w:rFonts w:ascii="Calibri" w:eastAsia="Times New Roman" w:hAnsi="Calibri" w:cs="Times New Roman"/>
      <w:i/>
      <w:iCs/>
      <w:sz w:val="24"/>
      <w:szCs w:val="24"/>
      <w:lang w:eastAsia="ru-RU"/>
    </w:rPr>
  </w:style>
  <w:style w:type="paragraph" w:customStyle="1" w:styleId="Style3">
    <w:name w:val="Style3"/>
    <w:basedOn w:val="af1"/>
    <w:uiPriority w:val="99"/>
    <w:rsid w:val="00FF56F3"/>
    <w:pPr>
      <w:widowControl w:val="0"/>
      <w:autoSpaceDE w:val="0"/>
      <w:autoSpaceDN w:val="0"/>
      <w:adjustRightInd w:val="0"/>
      <w:spacing w:line="434" w:lineRule="exact"/>
      <w:jc w:val="center"/>
    </w:pPr>
    <w:rPr>
      <w:sz w:val="28"/>
    </w:rPr>
  </w:style>
  <w:style w:type="paragraph" w:customStyle="1" w:styleId="Style43">
    <w:name w:val="Style43"/>
    <w:basedOn w:val="af1"/>
    <w:uiPriority w:val="99"/>
    <w:rsid w:val="00FF56F3"/>
    <w:pPr>
      <w:widowControl w:val="0"/>
      <w:autoSpaceDE w:val="0"/>
      <w:autoSpaceDN w:val="0"/>
      <w:adjustRightInd w:val="0"/>
      <w:spacing w:line="262" w:lineRule="exact"/>
      <w:ind w:firstLine="979"/>
      <w:jc w:val="both"/>
    </w:pPr>
    <w:rPr>
      <w:sz w:val="28"/>
    </w:rPr>
  </w:style>
  <w:style w:type="character" w:customStyle="1" w:styleId="FontStyle57">
    <w:name w:val="Font Style57"/>
    <w:uiPriority w:val="99"/>
    <w:rsid w:val="00FF56F3"/>
    <w:rPr>
      <w:rFonts w:ascii="Cambria" w:hAnsi="Cambria" w:cs="Cambria"/>
      <w:sz w:val="20"/>
      <w:szCs w:val="20"/>
    </w:rPr>
  </w:style>
  <w:style w:type="paragraph" w:customStyle="1" w:styleId="Style2">
    <w:name w:val="Style2"/>
    <w:basedOn w:val="af1"/>
    <w:uiPriority w:val="99"/>
    <w:rsid w:val="00FF56F3"/>
    <w:pPr>
      <w:widowControl w:val="0"/>
      <w:autoSpaceDE w:val="0"/>
      <w:autoSpaceDN w:val="0"/>
      <w:adjustRightInd w:val="0"/>
      <w:jc w:val="both"/>
    </w:pPr>
    <w:rPr>
      <w:sz w:val="28"/>
    </w:rPr>
  </w:style>
  <w:style w:type="paragraph" w:styleId="af5">
    <w:name w:val="Body Text"/>
    <w:aliases w:val="Знак1 Знак, Знак1 Знак,Основной текст Знак Знак Знак,Основной текст Знак Знак1,bt,Основной текст Знак Знак,TabelTekst,text,Body Text2,Body Text2 Char Char Char Char Char Char Char Char Char,Main text,Body Text Char2 Char, Char"/>
    <w:basedOn w:val="af1"/>
    <w:link w:val="af6"/>
    <w:qFormat/>
    <w:rsid w:val="00FF56F3"/>
    <w:pPr>
      <w:jc w:val="center"/>
    </w:pPr>
    <w:rPr>
      <w:b/>
      <w:bCs/>
      <w:sz w:val="28"/>
    </w:rPr>
  </w:style>
  <w:style w:type="character" w:customStyle="1" w:styleId="af6">
    <w:name w:val="Основной текст Знак"/>
    <w:aliases w:val="Знак1 Знак Знак, Знак1 Знак Знак,Основной текст Знак Знак Знак Знак,Основной текст Знак Знак1 Знак1,bt Знак1,Основной текст Знак Знак Знак1,TabelTekst Знак,text Знак,Body Text2 Знак,Main text Знак,Body Text Char2 Char Знак, Char Знак"/>
    <w:basedOn w:val="af2"/>
    <w:link w:val="af5"/>
    <w:rsid w:val="00FF56F3"/>
    <w:rPr>
      <w:rFonts w:ascii="Times New Roman" w:eastAsia="Times New Roman" w:hAnsi="Times New Roman" w:cs="Times New Roman"/>
      <w:b/>
      <w:bCs/>
      <w:sz w:val="28"/>
      <w:szCs w:val="24"/>
      <w:lang w:eastAsia="ru-RU"/>
    </w:rPr>
  </w:style>
  <w:style w:type="paragraph" w:customStyle="1" w:styleId="ConsPlusNormal">
    <w:name w:val="ConsPlusNormal"/>
    <w:link w:val="ConsPlusNormal0"/>
    <w:uiPriority w:val="99"/>
    <w:qFormat/>
    <w:rsid w:val="00FF56F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7">
    <w:name w:val="List Paragraph"/>
    <w:aliases w:val="Варианты ответов,Вc2c2аe0e0рf0f0иe8e8аe0e0нededтf2f2ыfbfb оeeeeтf2f2вe2e2еe5e5тf2f2оeeeeвe2e2,Вc2c2аe0e0рf0f0иe8e8аe0e0нededтf2f2ыfbfb оeeeeтf2f2вe2e2еe5e5тf2f2оeeeeвe2e2 Text,List Paragraph,мой"/>
    <w:basedOn w:val="af1"/>
    <w:link w:val="af8"/>
    <w:uiPriority w:val="34"/>
    <w:qFormat/>
    <w:rsid w:val="005F26AF"/>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ConsPlusTitle">
    <w:name w:val="ConsPlusTitle"/>
    <w:rsid w:val="005F26AF"/>
    <w:pPr>
      <w:widowControl w:val="0"/>
      <w:autoSpaceDE w:val="0"/>
      <w:autoSpaceDN w:val="0"/>
      <w:adjustRightInd w:val="0"/>
      <w:spacing w:after="0" w:line="240" w:lineRule="auto"/>
    </w:pPr>
    <w:rPr>
      <w:rFonts w:ascii="Calibri" w:eastAsiaTheme="minorEastAsia" w:hAnsi="Calibri" w:cs="Calibri"/>
      <w:b/>
      <w:bCs/>
      <w:lang w:eastAsia="ru-RU"/>
    </w:rPr>
  </w:style>
  <w:style w:type="character" w:customStyle="1" w:styleId="af9">
    <w:name w:val="Основной текст_"/>
    <w:basedOn w:val="af2"/>
    <w:link w:val="12"/>
    <w:rsid w:val="005F26AF"/>
    <w:rPr>
      <w:spacing w:val="2"/>
      <w:sz w:val="25"/>
      <w:szCs w:val="25"/>
      <w:shd w:val="clear" w:color="auto" w:fill="FFFFFF"/>
    </w:rPr>
  </w:style>
  <w:style w:type="paragraph" w:customStyle="1" w:styleId="12">
    <w:name w:val="Основной текст1"/>
    <w:basedOn w:val="af1"/>
    <w:link w:val="af9"/>
    <w:rsid w:val="005F26AF"/>
    <w:pPr>
      <w:widowControl w:val="0"/>
      <w:shd w:val="clear" w:color="auto" w:fill="FFFFFF"/>
      <w:spacing w:line="317" w:lineRule="exact"/>
      <w:ind w:hanging="340"/>
      <w:jc w:val="right"/>
    </w:pPr>
    <w:rPr>
      <w:rFonts w:asciiTheme="minorHAnsi" w:eastAsiaTheme="minorHAnsi" w:hAnsiTheme="minorHAnsi" w:cstheme="minorBidi"/>
      <w:spacing w:val="2"/>
      <w:sz w:val="25"/>
      <w:szCs w:val="25"/>
      <w:lang w:eastAsia="en-US"/>
    </w:rPr>
  </w:style>
  <w:style w:type="character" w:styleId="afa">
    <w:name w:val="Hyperlink"/>
    <w:basedOn w:val="af2"/>
    <w:uiPriority w:val="99"/>
    <w:unhideWhenUsed/>
    <w:rsid w:val="008B2693"/>
    <w:rPr>
      <w:color w:val="0000FF" w:themeColor="hyperlink"/>
      <w:u w:val="single"/>
    </w:rPr>
  </w:style>
  <w:style w:type="paragraph" w:customStyle="1" w:styleId="Style7">
    <w:name w:val="Style7"/>
    <w:basedOn w:val="af1"/>
    <w:uiPriority w:val="99"/>
    <w:rsid w:val="009826AA"/>
    <w:pPr>
      <w:widowControl w:val="0"/>
      <w:autoSpaceDE w:val="0"/>
      <w:autoSpaceDN w:val="0"/>
      <w:adjustRightInd w:val="0"/>
      <w:spacing w:line="264" w:lineRule="exact"/>
      <w:jc w:val="both"/>
    </w:pPr>
    <w:rPr>
      <w:rFonts w:ascii="Arial Narrow" w:hAnsi="Arial Narrow"/>
    </w:rPr>
  </w:style>
  <w:style w:type="paragraph" w:customStyle="1" w:styleId="Style6">
    <w:name w:val="Style6"/>
    <w:basedOn w:val="af1"/>
    <w:uiPriority w:val="99"/>
    <w:rsid w:val="009826AA"/>
    <w:pPr>
      <w:widowControl w:val="0"/>
      <w:autoSpaceDE w:val="0"/>
      <w:autoSpaceDN w:val="0"/>
      <w:adjustRightInd w:val="0"/>
      <w:spacing w:line="264" w:lineRule="exact"/>
      <w:jc w:val="both"/>
    </w:pPr>
    <w:rPr>
      <w:rFonts w:ascii="Arial Narrow" w:hAnsi="Arial Narrow"/>
    </w:rPr>
  </w:style>
  <w:style w:type="character" w:customStyle="1" w:styleId="FontStyle58">
    <w:name w:val="Font Style58"/>
    <w:uiPriority w:val="99"/>
    <w:rsid w:val="009826AA"/>
    <w:rPr>
      <w:rFonts w:ascii="Cambria" w:hAnsi="Cambria" w:cs="Cambria"/>
      <w:i/>
      <w:iCs/>
      <w:sz w:val="20"/>
      <w:szCs w:val="20"/>
    </w:rPr>
  </w:style>
  <w:style w:type="paragraph" w:customStyle="1" w:styleId="ConsNonformat">
    <w:name w:val="ConsNonformat"/>
    <w:qFormat/>
    <w:rsid w:val="00A858A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b">
    <w:name w:val="annotation text"/>
    <w:basedOn w:val="af1"/>
    <w:link w:val="afc"/>
    <w:unhideWhenUsed/>
    <w:rsid w:val="00BC2172"/>
    <w:pPr>
      <w:spacing w:after="200"/>
    </w:pPr>
    <w:rPr>
      <w:rFonts w:asciiTheme="minorHAnsi" w:eastAsiaTheme="minorHAnsi" w:hAnsiTheme="minorHAnsi" w:cstheme="minorBidi"/>
      <w:sz w:val="20"/>
      <w:szCs w:val="20"/>
      <w:lang w:eastAsia="en-US"/>
    </w:rPr>
  </w:style>
  <w:style w:type="character" w:customStyle="1" w:styleId="afc">
    <w:name w:val="Текст примечания Знак"/>
    <w:basedOn w:val="af2"/>
    <w:link w:val="afb"/>
    <w:rsid w:val="00BC2172"/>
    <w:rPr>
      <w:sz w:val="20"/>
      <w:szCs w:val="20"/>
    </w:rPr>
  </w:style>
  <w:style w:type="paragraph" w:styleId="afd">
    <w:name w:val="annotation subject"/>
    <w:basedOn w:val="afb"/>
    <w:next w:val="afb"/>
    <w:link w:val="afe"/>
    <w:unhideWhenUsed/>
    <w:rsid w:val="00BC2172"/>
    <w:rPr>
      <w:b/>
      <w:bCs/>
    </w:rPr>
  </w:style>
  <w:style w:type="character" w:customStyle="1" w:styleId="afe">
    <w:name w:val="Тема примечания Знак"/>
    <w:basedOn w:val="afc"/>
    <w:link w:val="afd"/>
    <w:rsid w:val="00BC2172"/>
    <w:rPr>
      <w:b/>
      <w:bCs/>
      <w:sz w:val="20"/>
      <w:szCs w:val="20"/>
    </w:rPr>
  </w:style>
  <w:style w:type="paragraph" w:styleId="aff">
    <w:name w:val="Balloon Text"/>
    <w:basedOn w:val="af1"/>
    <w:link w:val="aff0"/>
    <w:uiPriority w:val="99"/>
    <w:unhideWhenUsed/>
    <w:rsid w:val="00BC2172"/>
    <w:rPr>
      <w:rFonts w:ascii="Tahoma" w:eastAsiaTheme="minorHAnsi" w:hAnsi="Tahoma" w:cs="Tahoma"/>
      <w:sz w:val="16"/>
      <w:szCs w:val="16"/>
      <w:lang w:eastAsia="en-US"/>
    </w:rPr>
  </w:style>
  <w:style w:type="character" w:customStyle="1" w:styleId="aff0">
    <w:name w:val="Текст выноски Знак"/>
    <w:basedOn w:val="af2"/>
    <w:link w:val="aff"/>
    <w:uiPriority w:val="99"/>
    <w:rsid w:val="00BC2172"/>
    <w:rPr>
      <w:rFonts w:ascii="Tahoma" w:hAnsi="Tahoma" w:cs="Tahoma"/>
      <w:sz w:val="16"/>
      <w:szCs w:val="16"/>
    </w:rPr>
  </w:style>
  <w:style w:type="paragraph" w:styleId="aff1">
    <w:name w:val="header"/>
    <w:aliases w:val=" Знак,ВерхКолонтитул"/>
    <w:basedOn w:val="af1"/>
    <w:link w:val="aff2"/>
    <w:uiPriority w:val="99"/>
    <w:unhideWhenUsed/>
    <w:rsid w:val="00225EB9"/>
    <w:pPr>
      <w:tabs>
        <w:tab w:val="center" w:pos="4677"/>
        <w:tab w:val="right" w:pos="9355"/>
      </w:tabs>
    </w:pPr>
  </w:style>
  <w:style w:type="character" w:customStyle="1" w:styleId="aff2">
    <w:name w:val="Верхний колонтитул Знак"/>
    <w:aliases w:val=" Знак Знак,ВерхКолонтитул Знак"/>
    <w:basedOn w:val="af2"/>
    <w:link w:val="aff1"/>
    <w:uiPriority w:val="99"/>
    <w:rsid w:val="00225EB9"/>
    <w:rPr>
      <w:rFonts w:ascii="Times New Roman" w:eastAsia="Times New Roman" w:hAnsi="Times New Roman" w:cs="Times New Roman"/>
      <w:sz w:val="24"/>
      <w:szCs w:val="24"/>
      <w:lang w:eastAsia="ru-RU"/>
    </w:rPr>
  </w:style>
  <w:style w:type="paragraph" w:styleId="aff3">
    <w:name w:val="footer"/>
    <w:basedOn w:val="af1"/>
    <w:link w:val="aff4"/>
    <w:uiPriority w:val="99"/>
    <w:unhideWhenUsed/>
    <w:rsid w:val="00225EB9"/>
    <w:pPr>
      <w:tabs>
        <w:tab w:val="center" w:pos="4677"/>
        <w:tab w:val="right" w:pos="9355"/>
      </w:tabs>
    </w:pPr>
  </w:style>
  <w:style w:type="character" w:customStyle="1" w:styleId="aff4">
    <w:name w:val="Нижний колонтитул Знак"/>
    <w:basedOn w:val="af2"/>
    <w:link w:val="aff3"/>
    <w:uiPriority w:val="99"/>
    <w:rsid w:val="00225EB9"/>
    <w:rPr>
      <w:rFonts w:ascii="Times New Roman" w:eastAsia="Times New Roman" w:hAnsi="Times New Roman" w:cs="Times New Roman"/>
      <w:sz w:val="24"/>
      <w:szCs w:val="24"/>
      <w:lang w:eastAsia="ru-RU"/>
    </w:rPr>
  </w:style>
  <w:style w:type="paragraph" w:customStyle="1" w:styleId="aff5">
    <w:name w:val="О чем"/>
    <w:basedOn w:val="af1"/>
    <w:rsid w:val="001144B7"/>
    <w:pPr>
      <w:ind w:left="709"/>
    </w:pPr>
    <w:rPr>
      <w:rFonts w:ascii="Courier New" w:hAnsi="Courier New"/>
      <w:sz w:val="28"/>
      <w:szCs w:val="20"/>
    </w:rPr>
  </w:style>
  <w:style w:type="paragraph" w:styleId="aff6">
    <w:name w:val="No Spacing"/>
    <w:aliases w:val="Без интервала Стандарт,No Spacing"/>
    <w:link w:val="aff7"/>
    <w:uiPriority w:val="1"/>
    <w:qFormat/>
    <w:rsid w:val="003A7F6D"/>
    <w:pPr>
      <w:spacing w:after="0" w:line="240" w:lineRule="auto"/>
    </w:pPr>
    <w:rPr>
      <w:rFonts w:ascii="Calibri" w:eastAsia="Calibri" w:hAnsi="Calibri" w:cs="Times New Roman"/>
    </w:rPr>
  </w:style>
  <w:style w:type="paragraph" w:styleId="aff8">
    <w:name w:val="Body Text Indent"/>
    <w:aliases w:val="Основной текст 1,Нумерованный список !!,Надин стиль,Основной текст с отступом1,Основной текст с отступом11,Body Text Indent,Основной"/>
    <w:basedOn w:val="af1"/>
    <w:link w:val="aff9"/>
    <w:unhideWhenUsed/>
    <w:rsid w:val="003A7F6D"/>
    <w:pPr>
      <w:spacing w:after="120"/>
      <w:ind w:left="283"/>
    </w:pPr>
  </w:style>
  <w:style w:type="character" w:customStyle="1" w:styleId="aff9">
    <w:name w:val="Основной текст с отступом Знак"/>
    <w:aliases w:val="Основной текст 1 Знак,Нумерованный список !! Знак,Надин стиль Знак,Основной текст с отступом1 Знак,Основной текст с отступом11 Знак,Body Text Indent Знак,Основной Знак1"/>
    <w:basedOn w:val="af2"/>
    <w:link w:val="aff8"/>
    <w:uiPriority w:val="99"/>
    <w:rsid w:val="003A7F6D"/>
    <w:rPr>
      <w:rFonts w:ascii="Times New Roman" w:eastAsia="Times New Roman" w:hAnsi="Times New Roman" w:cs="Times New Roman"/>
      <w:sz w:val="24"/>
      <w:szCs w:val="24"/>
      <w:lang w:eastAsia="ru-RU"/>
    </w:rPr>
  </w:style>
  <w:style w:type="table" w:styleId="affa">
    <w:name w:val="Table Grid"/>
    <w:basedOn w:val="af3"/>
    <w:uiPriority w:val="99"/>
    <w:rsid w:val="003A7F6D"/>
    <w:pPr>
      <w:spacing w:after="0" w:line="240" w:lineRule="auto"/>
      <w:ind w:firstLine="709"/>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b">
    <w:name w:val="page number"/>
    <w:basedOn w:val="af2"/>
    <w:rsid w:val="003A7F6D"/>
  </w:style>
  <w:style w:type="paragraph" w:customStyle="1" w:styleId="13">
    <w:name w:val="Знак1"/>
    <w:basedOn w:val="af1"/>
    <w:uiPriority w:val="99"/>
    <w:rsid w:val="003A7F6D"/>
    <w:pPr>
      <w:spacing w:after="160" w:line="240" w:lineRule="exact"/>
    </w:pPr>
    <w:rPr>
      <w:rFonts w:ascii="Verdana" w:hAnsi="Verdana"/>
      <w:sz w:val="20"/>
      <w:szCs w:val="20"/>
      <w:lang w:val="en-US" w:eastAsia="en-US"/>
    </w:rPr>
  </w:style>
  <w:style w:type="character" w:styleId="affc">
    <w:name w:val="annotation reference"/>
    <w:uiPriority w:val="99"/>
    <w:unhideWhenUsed/>
    <w:rsid w:val="003A7F6D"/>
    <w:rPr>
      <w:sz w:val="16"/>
      <w:szCs w:val="16"/>
    </w:rPr>
  </w:style>
  <w:style w:type="paragraph" w:styleId="22">
    <w:name w:val="Body Text Indent 2"/>
    <w:basedOn w:val="af1"/>
    <w:link w:val="23"/>
    <w:uiPriority w:val="99"/>
    <w:unhideWhenUsed/>
    <w:rsid w:val="00481258"/>
    <w:pPr>
      <w:spacing w:after="120" w:line="480" w:lineRule="auto"/>
      <w:ind w:left="283"/>
    </w:pPr>
  </w:style>
  <w:style w:type="character" w:customStyle="1" w:styleId="23">
    <w:name w:val="Основной текст с отступом 2 Знак"/>
    <w:basedOn w:val="af2"/>
    <w:link w:val="22"/>
    <w:uiPriority w:val="99"/>
    <w:rsid w:val="00481258"/>
    <w:rPr>
      <w:rFonts w:ascii="Times New Roman" w:eastAsia="Times New Roman" w:hAnsi="Times New Roman" w:cs="Times New Roman"/>
      <w:sz w:val="24"/>
      <w:szCs w:val="24"/>
      <w:lang w:eastAsia="ru-RU"/>
    </w:rPr>
  </w:style>
  <w:style w:type="paragraph" w:customStyle="1" w:styleId="ConsTitle">
    <w:name w:val="ConsTitle"/>
    <w:rsid w:val="00481258"/>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4">
    <w:name w:val="Без интервала1"/>
    <w:link w:val="NoSpacingChar"/>
    <w:uiPriority w:val="99"/>
    <w:qFormat/>
    <w:rsid w:val="00481258"/>
    <w:pPr>
      <w:spacing w:after="0" w:line="240" w:lineRule="auto"/>
    </w:pPr>
    <w:rPr>
      <w:rFonts w:ascii="Calibri" w:eastAsia="Times New Roman" w:hAnsi="Calibri" w:cs="Calibri"/>
      <w:lang w:eastAsia="ru-RU"/>
    </w:rPr>
  </w:style>
  <w:style w:type="paragraph" w:styleId="affd">
    <w:name w:val="Normal (Web)"/>
    <w:aliases w:val="Обычный (Web), Знак Знак10,Обычный (веб)3"/>
    <w:basedOn w:val="af1"/>
    <w:link w:val="affe"/>
    <w:uiPriority w:val="99"/>
    <w:qFormat/>
    <w:rsid w:val="00481258"/>
    <w:pPr>
      <w:spacing w:before="100" w:beforeAutospacing="1" w:after="100" w:afterAutospacing="1"/>
    </w:pPr>
  </w:style>
  <w:style w:type="character" w:customStyle="1" w:styleId="apple-style-span">
    <w:name w:val="apple-style-span"/>
    <w:uiPriority w:val="99"/>
    <w:rsid w:val="00EB2A63"/>
  </w:style>
  <w:style w:type="paragraph" w:customStyle="1" w:styleId="ConsPlusNonformat">
    <w:name w:val="ConsPlusNonformat"/>
    <w:uiPriority w:val="99"/>
    <w:qFormat/>
    <w:rsid w:val="00EB2A6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ff">
    <w:name w:val="Strong"/>
    <w:basedOn w:val="af2"/>
    <w:qFormat/>
    <w:rsid w:val="00EB2A63"/>
    <w:rPr>
      <w:b/>
      <w:bCs/>
    </w:rPr>
  </w:style>
  <w:style w:type="paragraph" w:customStyle="1" w:styleId="Default">
    <w:name w:val="Default"/>
    <w:rsid w:val="00EB2A6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ff0">
    <w:name w:val="caption"/>
    <w:aliases w:val="Char1,Таблица - Название объекта,!! Object Novogor !!,Caption Char,Caption Char1 Char1 Char Char,Caption Char Char2 Char1 Char Char,Caption Char Char Char Char Char1 Char1 Char Char1 Char,Caption Char Char Char1 Char Char Char"/>
    <w:basedOn w:val="af1"/>
    <w:next w:val="af1"/>
    <w:qFormat/>
    <w:rsid w:val="00D80330"/>
    <w:pPr>
      <w:ind w:right="-1" w:firstLine="709"/>
      <w:jc w:val="both"/>
    </w:pPr>
    <w:rPr>
      <w:b/>
      <w:bCs/>
      <w:sz w:val="20"/>
      <w:szCs w:val="20"/>
    </w:rPr>
  </w:style>
  <w:style w:type="paragraph" w:styleId="afff1">
    <w:name w:val="Title"/>
    <w:basedOn w:val="af1"/>
    <w:link w:val="afff2"/>
    <w:uiPriority w:val="10"/>
    <w:qFormat/>
    <w:rsid w:val="00D80330"/>
    <w:pPr>
      <w:jc w:val="center"/>
    </w:pPr>
    <w:rPr>
      <w:rFonts w:ascii="Cambria" w:hAnsi="Cambria"/>
      <w:b/>
      <w:bCs/>
      <w:kern w:val="28"/>
      <w:sz w:val="32"/>
      <w:szCs w:val="32"/>
    </w:rPr>
  </w:style>
  <w:style w:type="character" w:customStyle="1" w:styleId="afff2">
    <w:name w:val="Название Знак"/>
    <w:basedOn w:val="af2"/>
    <w:link w:val="afff1"/>
    <w:uiPriority w:val="10"/>
    <w:qFormat/>
    <w:rsid w:val="00D80330"/>
    <w:rPr>
      <w:rFonts w:ascii="Cambria" w:eastAsia="Times New Roman" w:hAnsi="Cambria" w:cs="Times New Roman"/>
      <w:b/>
      <w:bCs/>
      <w:kern w:val="28"/>
      <w:sz w:val="32"/>
      <w:szCs w:val="32"/>
      <w:lang w:eastAsia="ru-RU"/>
    </w:rPr>
  </w:style>
  <w:style w:type="paragraph" w:styleId="afff3">
    <w:name w:val="Subtitle"/>
    <w:basedOn w:val="af1"/>
    <w:next w:val="af1"/>
    <w:link w:val="afff4"/>
    <w:uiPriority w:val="11"/>
    <w:qFormat/>
    <w:rsid w:val="00D80330"/>
    <w:pPr>
      <w:spacing w:after="60"/>
      <w:jc w:val="center"/>
      <w:outlineLvl w:val="1"/>
    </w:pPr>
    <w:rPr>
      <w:rFonts w:asciiTheme="majorHAnsi" w:eastAsiaTheme="majorEastAsia" w:hAnsiTheme="majorHAnsi" w:cstheme="majorBidi"/>
    </w:rPr>
  </w:style>
  <w:style w:type="character" w:customStyle="1" w:styleId="afff4">
    <w:name w:val="Подзаголовок Знак"/>
    <w:basedOn w:val="af2"/>
    <w:link w:val="afff3"/>
    <w:uiPriority w:val="11"/>
    <w:rsid w:val="00D80330"/>
    <w:rPr>
      <w:rFonts w:asciiTheme="majorHAnsi" w:eastAsiaTheme="majorEastAsia" w:hAnsiTheme="majorHAnsi" w:cstheme="majorBidi"/>
      <w:sz w:val="24"/>
      <w:szCs w:val="24"/>
      <w:lang w:eastAsia="ru-RU"/>
    </w:rPr>
  </w:style>
  <w:style w:type="character" w:customStyle="1" w:styleId="24">
    <w:name w:val="Основной текст (2)_"/>
    <w:basedOn w:val="af2"/>
    <w:link w:val="25"/>
    <w:uiPriority w:val="99"/>
    <w:locked/>
    <w:rsid w:val="00D80330"/>
    <w:rPr>
      <w:shd w:val="clear" w:color="auto" w:fill="FFFFFF"/>
    </w:rPr>
  </w:style>
  <w:style w:type="paragraph" w:customStyle="1" w:styleId="25">
    <w:name w:val="Основной текст (2)"/>
    <w:basedOn w:val="af1"/>
    <w:link w:val="24"/>
    <w:uiPriority w:val="99"/>
    <w:rsid w:val="00D80330"/>
    <w:pPr>
      <w:widowControl w:val="0"/>
      <w:shd w:val="clear" w:color="auto" w:fill="FFFFFF"/>
      <w:spacing w:after="420" w:line="240" w:lineRule="atLeast"/>
      <w:ind w:hanging="600"/>
      <w:jc w:val="center"/>
    </w:pPr>
    <w:rPr>
      <w:rFonts w:asciiTheme="minorHAnsi" w:eastAsiaTheme="minorHAnsi" w:hAnsiTheme="minorHAnsi" w:cstheme="minorBidi"/>
      <w:sz w:val="22"/>
      <w:szCs w:val="22"/>
      <w:lang w:eastAsia="en-US"/>
    </w:rPr>
  </w:style>
  <w:style w:type="character" w:customStyle="1" w:styleId="32">
    <w:name w:val="Основной текст (3)_"/>
    <w:basedOn w:val="af2"/>
    <w:link w:val="33"/>
    <w:uiPriority w:val="99"/>
    <w:locked/>
    <w:rsid w:val="00D80330"/>
    <w:rPr>
      <w:i/>
      <w:iCs/>
      <w:sz w:val="18"/>
      <w:szCs w:val="18"/>
      <w:shd w:val="clear" w:color="auto" w:fill="FFFFFF"/>
    </w:rPr>
  </w:style>
  <w:style w:type="paragraph" w:customStyle="1" w:styleId="33">
    <w:name w:val="Основной текст (3)"/>
    <w:basedOn w:val="af1"/>
    <w:link w:val="32"/>
    <w:uiPriority w:val="99"/>
    <w:rsid w:val="00D80330"/>
    <w:pPr>
      <w:widowControl w:val="0"/>
      <w:shd w:val="clear" w:color="auto" w:fill="FFFFFF"/>
      <w:spacing w:before="360" w:after="420" w:line="240" w:lineRule="atLeast"/>
      <w:jc w:val="center"/>
    </w:pPr>
    <w:rPr>
      <w:rFonts w:asciiTheme="minorHAnsi" w:eastAsiaTheme="minorHAnsi" w:hAnsiTheme="minorHAnsi" w:cstheme="minorBidi"/>
      <w:i/>
      <w:iCs/>
      <w:sz w:val="18"/>
      <w:szCs w:val="18"/>
      <w:lang w:eastAsia="en-US"/>
    </w:rPr>
  </w:style>
  <w:style w:type="character" w:customStyle="1" w:styleId="afff5">
    <w:name w:val="Колонтитул_"/>
    <w:basedOn w:val="af2"/>
    <w:link w:val="15"/>
    <w:uiPriority w:val="99"/>
    <w:locked/>
    <w:rsid w:val="00D80330"/>
    <w:rPr>
      <w:rFonts w:ascii="Sylfaen" w:hAnsi="Sylfaen" w:cs="Sylfaen"/>
      <w:shd w:val="clear" w:color="auto" w:fill="FFFFFF"/>
    </w:rPr>
  </w:style>
  <w:style w:type="paragraph" w:customStyle="1" w:styleId="15">
    <w:name w:val="Колонтитул1"/>
    <w:basedOn w:val="af1"/>
    <w:link w:val="afff5"/>
    <w:uiPriority w:val="99"/>
    <w:rsid w:val="00D80330"/>
    <w:pPr>
      <w:widowControl w:val="0"/>
      <w:shd w:val="clear" w:color="auto" w:fill="FFFFFF"/>
      <w:spacing w:line="240" w:lineRule="atLeast"/>
    </w:pPr>
    <w:rPr>
      <w:rFonts w:ascii="Sylfaen" w:eastAsiaTheme="minorHAnsi" w:hAnsi="Sylfaen" w:cs="Sylfaen"/>
      <w:sz w:val="22"/>
      <w:szCs w:val="22"/>
      <w:lang w:eastAsia="en-US"/>
    </w:rPr>
  </w:style>
  <w:style w:type="character" w:customStyle="1" w:styleId="41">
    <w:name w:val="Основной текст (4)_"/>
    <w:basedOn w:val="af2"/>
    <w:link w:val="42"/>
    <w:uiPriority w:val="99"/>
    <w:locked/>
    <w:rsid w:val="00D80330"/>
    <w:rPr>
      <w:b/>
      <w:bCs/>
      <w:shd w:val="clear" w:color="auto" w:fill="FFFFFF"/>
    </w:rPr>
  </w:style>
  <w:style w:type="paragraph" w:customStyle="1" w:styleId="42">
    <w:name w:val="Основной текст (4)"/>
    <w:basedOn w:val="af1"/>
    <w:link w:val="41"/>
    <w:uiPriority w:val="99"/>
    <w:rsid w:val="00D80330"/>
    <w:pPr>
      <w:widowControl w:val="0"/>
      <w:shd w:val="clear" w:color="auto" w:fill="FFFFFF"/>
      <w:spacing w:before="420" w:after="120" w:line="240" w:lineRule="atLeast"/>
      <w:jc w:val="center"/>
    </w:pPr>
    <w:rPr>
      <w:rFonts w:asciiTheme="minorHAnsi" w:eastAsiaTheme="minorHAnsi" w:hAnsiTheme="minorHAnsi" w:cstheme="minorBidi"/>
      <w:b/>
      <w:bCs/>
      <w:sz w:val="22"/>
      <w:szCs w:val="22"/>
      <w:lang w:eastAsia="en-US"/>
    </w:rPr>
  </w:style>
  <w:style w:type="character" w:customStyle="1" w:styleId="29pt">
    <w:name w:val="Основной текст (2) + 9 pt"/>
    <w:aliases w:val="Курсив"/>
    <w:basedOn w:val="24"/>
    <w:uiPriority w:val="99"/>
    <w:rsid w:val="00D80330"/>
    <w:rPr>
      <w:rFonts w:ascii="Times New Roman" w:hAnsi="Times New Roman" w:cs="Times New Roman"/>
      <w:i/>
      <w:iCs/>
      <w:sz w:val="18"/>
      <w:szCs w:val="18"/>
      <w:u w:val="none"/>
      <w:shd w:val="clear" w:color="auto" w:fill="FFFFFF"/>
    </w:rPr>
  </w:style>
  <w:style w:type="character" w:customStyle="1" w:styleId="29pt1">
    <w:name w:val="Основной текст (2) + 9 pt1"/>
    <w:basedOn w:val="24"/>
    <w:uiPriority w:val="99"/>
    <w:rsid w:val="00D80330"/>
    <w:rPr>
      <w:rFonts w:ascii="Times New Roman" w:hAnsi="Times New Roman" w:cs="Times New Roman"/>
      <w:sz w:val="18"/>
      <w:szCs w:val="18"/>
      <w:u w:val="none"/>
      <w:shd w:val="clear" w:color="auto" w:fill="FFFFFF"/>
    </w:rPr>
  </w:style>
  <w:style w:type="character" w:customStyle="1" w:styleId="16">
    <w:name w:val="Заголовок №1_"/>
    <w:basedOn w:val="af2"/>
    <w:link w:val="17"/>
    <w:uiPriority w:val="99"/>
    <w:locked/>
    <w:rsid w:val="00D80330"/>
    <w:rPr>
      <w:b/>
      <w:bCs/>
      <w:shd w:val="clear" w:color="auto" w:fill="FFFFFF"/>
    </w:rPr>
  </w:style>
  <w:style w:type="paragraph" w:customStyle="1" w:styleId="17">
    <w:name w:val="Заголовок №1"/>
    <w:basedOn w:val="af1"/>
    <w:link w:val="16"/>
    <w:uiPriority w:val="99"/>
    <w:rsid w:val="00D80330"/>
    <w:pPr>
      <w:widowControl w:val="0"/>
      <w:shd w:val="clear" w:color="auto" w:fill="FFFFFF"/>
      <w:spacing w:before="60" w:line="259" w:lineRule="exact"/>
      <w:jc w:val="center"/>
      <w:outlineLvl w:val="0"/>
    </w:pPr>
    <w:rPr>
      <w:rFonts w:asciiTheme="minorHAnsi" w:eastAsiaTheme="minorHAnsi" w:hAnsiTheme="minorHAnsi" w:cstheme="minorBidi"/>
      <w:b/>
      <w:bCs/>
      <w:sz w:val="22"/>
      <w:szCs w:val="22"/>
      <w:lang w:eastAsia="en-US"/>
    </w:rPr>
  </w:style>
  <w:style w:type="character" w:customStyle="1" w:styleId="34">
    <w:name w:val="Основной текст (3) + Не курсив"/>
    <w:basedOn w:val="32"/>
    <w:uiPriority w:val="99"/>
    <w:rsid w:val="00D80330"/>
    <w:rPr>
      <w:i/>
      <w:iCs/>
      <w:sz w:val="18"/>
      <w:szCs w:val="18"/>
      <w:shd w:val="clear" w:color="auto" w:fill="FFFFFF"/>
    </w:rPr>
  </w:style>
  <w:style w:type="character" w:customStyle="1" w:styleId="311pt">
    <w:name w:val="Основной текст (3) + 11 pt"/>
    <w:aliases w:val="Не курсив"/>
    <w:basedOn w:val="32"/>
    <w:uiPriority w:val="99"/>
    <w:rsid w:val="00D80330"/>
    <w:rPr>
      <w:i/>
      <w:iCs/>
      <w:sz w:val="22"/>
      <w:szCs w:val="22"/>
      <w:shd w:val="clear" w:color="auto" w:fill="FFFFFF"/>
    </w:rPr>
  </w:style>
  <w:style w:type="character" w:customStyle="1" w:styleId="35">
    <w:name w:val="Колонтитул3"/>
    <w:basedOn w:val="afff5"/>
    <w:uiPriority w:val="99"/>
    <w:rsid w:val="00D80330"/>
    <w:rPr>
      <w:rFonts w:ascii="Sylfaen" w:hAnsi="Sylfaen" w:cs="Sylfaen"/>
      <w:shd w:val="clear" w:color="auto" w:fill="FFFFFF"/>
    </w:rPr>
  </w:style>
  <w:style w:type="character" w:customStyle="1" w:styleId="212pt2">
    <w:name w:val="Основной текст (2) + 12 pt2"/>
    <w:aliases w:val="Полужирный3,Курсив7,Интервал 3 pt"/>
    <w:basedOn w:val="24"/>
    <w:uiPriority w:val="99"/>
    <w:rsid w:val="00D80330"/>
    <w:rPr>
      <w:rFonts w:ascii="Times New Roman" w:hAnsi="Times New Roman" w:cs="Times New Roman"/>
      <w:b/>
      <w:bCs/>
      <w:i/>
      <w:iCs/>
      <w:spacing w:val="60"/>
      <w:sz w:val="24"/>
      <w:szCs w:val="24"/>
      <w:u w:val="none"/>
      <w:shd w:val="clear" w:color="auto" w:fill="FFFFFF"/>
    </w:rPr>
  </w:style>
  <w:style w:type="character" w:customStyle="1" w:styleId="27">
    <w:name w:val="Основной текст (2) + 7"/>
    <w:aliases w:val="5 pt10"/>
    <w:basedOn w:val="24"/>
    <w:uiPriority w:val="99"/>
    <w:rsid w:val="00D80330"/>
    <w:rPr>
      <w:rFonts w:ascii="Times New Roman" w:hAnsi="Times New Roman" w:cs="Times New Roman"/>
      <w:sz w:val="15"/>
      <w:szCs w:val="15"/>
      <w:u w:val="none"/>
      <w:shd w:val="clear" w:color="auto" w:fill="FFFFFF"/>
    </w:rPr>
  </w:style>
  <w:style w:type="character" w:customStyle="1" w:styleId="272">
    <w:name w:val="Основной текст (2) + 72"/>
    <w:aliases w:val="5 pt9"/>
    <w:basedOn w:val="24"/>
    <w:uiPriority w:val="99"/>
    <w:rsid w:val="00D80330"/>
    <w:rPr>
      <w:rFonts w:ascii="Times New Roman" w:hAnsi="Times New Roman" w:cs="Times New Roman"/>
      <w:spacing w:val="0"/>
      <w:sz w:val="15"/>
      <w:szCs w:val="15"/>
      <w:u w:val="none"/>
      <w:shd w:val="clear" w:color="auto" w:fill="FFFFFF"/>
    </w:rPr>
  </w:style>
  <w:style w:type="character" w:customStyle="1" w:styleId="212pt1">
    <w:name w:val="Основной текст (2) + 12 pt1"/>
    <w:aliases w:val="Полужирный2,Курсив6,Интервал 1 pt"/>
    <w:basedOn w:val="24"/>
    <w:uiPriority w:val="99"/>
    <w:rsid w:val="00D80330"/>
    <w:rPr>
      <w:rFonts w:ascii="Times New Roman" w:hAnsi="Times New Roman" w:cs="Times New Roman"/>
      <w:b/>
      <w:bCs/>
      <w:i/>
      <w:iCs/>
      <w:spacing w:val="20"/>
      <w:sz w:val="24"/>
      <w:szCs w:val="24"/>
      <w:u w:val="none"/>
      <w:shd w:val="clear" w:color="auto" w:fill="FFFFFF"/>
    </w:rPr>
  </w:style>
  <w:style w:type="character" w:customStyle="1" w:styleId="21pt">
    <w:name w:val="Основной текст (2) + Интервал 1 pt"/>
    <w:aliases w:val="Масштаб 70%"/>
    <w:basedOn w:val="24"/>
    <w:uiPriority w:val="99"/>
    <w:rsid w:val="00D80330"/>
    <w:rPr>
      <w:rFonts w:ascii="Times New Roman" w:hAnsi="Times New Roman" w:cs="Times New Roman"/>
      <w:spacing w:val="30"/>
      <w:w w:val="70"/>
      <w:u w:val="none"/>
      <w:shd w:val="clear" w:color="auto" w:fill="FFFFFF"/>
    </w:rPr>
  </w:style>
  <w:style w:type="character" w:customStyle="1" w:styleId="111">
    <w:name w:val="Заголовок №1 + 11"/>
    <w:aliases w:val="5 pt7,Курсив5"/>
    <w:basedOn w:val="16"/>
    <w:uiPriority w:val="99"/>
    <w:rsid w:val="00D80330"/>
    <w:rPr>
      <w:b/>
      <w:bCs/>
      <w:i/>
      <w:iCs/>
      <w:sz w:val="23"/>
      <w:szCs w:val="23"/>
      <w:shd w:val="clear" w:color="auto" w:fill="FFFFFF"/>
    </w:rPr>
  </w:style>
  <w:style w:type="character" w:customStyle="1" w:styleId="1ArialNarrow">
    <w:name w:val="Заголовок №1 + Arial Narrow"/>
    <w:aliases w:val="14 pt,Не полужирный,Курсив4,Основной текст + 11 pt1"/>
    <w:basedOn w:val="16"/>
    <w:uiPriority w:val="99"/>
    <w:rsid w:val="00D80330"/>
    <w:rPr>
      <w:rFonts w:ascii="Arial Narrow" w:hAnsi="Arial Narrow" w:cs="Arial Narrow"/>
      <w:b/>
      <w:bCs/>
      <w:i/>
      <w:iCs/>
      <w:sz w:val="28"/>
      <w:szCs w:val="28"/>
      <w:shd w:val="clear" w:color="auto" w:fill="FFFFFF"/>
    </w:rPr>
  </w:style>
  <w:style w:type="character" w:customStyle="1" w:styleId="372">
    <w:name w:val="Основной текст (3) + 72"/>
    <w:aliases w:val="5 pt6,Не курсив2"/>
    <w:basedOn w:val="32"/>
    <w:uiPriority w:val="99"/>
    <w:rsid w:val="00D80330"/>
    <w:rPr>
      <w:i/>
      <w:iCs/>
      <w:sz w:val="15"/>
      <w:szCs w:val="15"/>
      <w:shd w:val="clear" w:color="auto" w:fill="FFFFFF"/>
    </w:rPr>
  </w:style>
  <w:style w:type="character" w:customStyle="1" w:styleId="2SegoeUI">
    <w:name w:val="Основной текст (2) + Segoe UI"/>
    <w:aliases w:val="8 pt,Курсив3"/>
    <w:basedOn w:val="24"/>
    <w:uiPriority w:val="99"/>
    <w:rsid w:val="00D80330"/>
    <w:rPr>
      <w:rFonts w:ascii="Segoe UI" w:hAnsi="Segoe UI" w:cs="Segoe UI"/>
      <w:i/>
      <w:iCs/>
      <w:sz w:val="16"/>
      <w:szCs w:val="16"/>
      <w:u w:val="none"/>
      <w:shd w:val="clear" w:color="auto" w:fill="FFFFFF"/>
    </w:rPr>
  </w:style>
  <w:style w:type="character" w:customStyle="1" w:styleId="61">
    <w:name w:val="Основной текст (6)_"/>
    <w:basedOn w:val="af2"/>
    <w:link w:val="62"/>
    <w:uiPriority w:val="99"/>
    <w:locked/>
    <w:rsid w:val="00D80330"/>
    <w:rPr>
      <w:sz w:val="15"/>
      <w:szCs w:val="15"/>
      <w:shd w:val="clear" w:color="auto" w:fill="FFFFFF"/>
    </w:rPr>
  </w:style>
  <w:style w:type="paragraph" w:customStyle="1" w:styleId="62">
    <w:name w:val="Основной текст (6)"/>
    <w:basedOn w:val="af1"/>
    <w:link w:val="61"/>
    <w:uiPriority w:val="99"/>
    <w:rsid w:val="00D80330"/>
    <w:pPr>
      <w:widowControl w:val="0"/>
      <w:shd w:val="clear" w:color="auto" w:fill="FFFFFF"/>
      <w:spacing w:before="120" w:after="120" w:line="240" w:lineRule="atLeast"/>
      <w:jc w:val="right"/>
    </w:pPr>
    <w:rPr>
      <w:rFonts w:asciiTheme="minorHAnsi" w:eastAsiaTheme="minorHAnsi" w:hAnsiTheme="minorHAnsi" w:cstheme="minorBidi"/>
      <w:sz w:val="15"/>
      <w:szCs w:val="15"/>
      <w:lang w:eastAsia="en-US"/>
    </w:rPr>
  </w:style>
  <w:style w:type="character" w:customStyle="1" w:styleId="371">
    <w:name w:val="Основной текст (3) + 71"/>
    <w:aliases w:val="5 pt4,Не курсив1,Интервал 0 pt,Основной текст + 11 pt"/>
    <w:basedOn w:val="32"/>
    <w:uiPriority w:val="99"/>
    <w:rsid w:val="00D80330"/>
    <w:rPr>
      <w:i/>
      <w:iCs/>
      <w:spacing w:val="10"/>
      <w:sz w:val="15"/>
      <w:szCs w:val="15"/>
      <w:shd w:val="clear" w:color="auto" w:fill="FFFFFF"/>
    </w:rPr>
  </w:style>
  <w:style w:type="character" w:customStyle="1" w:styleId="271">
    <w:name w:val="Основной текст (2) + 71"/>
    <w:aliases w:val="5 pt3,Интервал 0 pt1"/>
    <w:basedOn w:val="24"/>
    <w:uiPriority w:val="99"/>
    <w:rsid w:val="00D80330"/>
    <w:rPr>
      <w:rFonts w:ascii="Times New Roman" w:hAnsi="Times New Roman" w:cs="Times New Roman"/>
      <w:spacing w:val="10"/>
      <w:sz w:val="15"/>
      <w:szCs w:val="15"/>
      <w:u w:val="none"/>
      <w:shd w:val="clear" w:color="auto" w:fill="FFFFFF"/>
    </w:rPr>
  </w:style>
  <w:style w:type="character" w:customStyle="1" w:styleId="130">
    <w:name w:val="Основной текст (13)_"/>
    <w:basedOn w:val="af2"/>
    <w:link w:val="131"/>
    <w:uiPriority w:val="99"/>
    <w:locked/>
    <w:rsid w:val="00D80330"/>
    <w:rPr>
      <w:sz w:val="19"/>
      <w:szCs w:val="19"/>
      <w:shd w:val="clear" w:color="auto" w:fill="FFFFFF"/>
    </w:rPr>
  </w:style>
  <w:style w:type="paragraph" w:customStyle="1" w:styleId="131">
    <w:name w:val="Основной текст (13)"/>
    <w:basedOn w:val="af1"/>
    <w:link w:val="130"/>
    <w:uiPriority w:val="99"/>
    <w:rsid w:val="00D80330"/>
    <w:pPr>
      <w:widowControl w:val="0"/>
      <w:shd w:val="clear" w:color="auto" w:fill="FFFFFF"/>
      <w:spacing w:before="60" w:after="360" w:line="211" w:lineRule="exact"/>
      <w:jc w:val="both"/>
    </w:pPr>
    <w:rPr>
      <w:rFonts w:asciiTheme="minorHAnsi" w:eastAsiaTheme="minorHAnsi" w:hAnsiTheme="minorHAnsi" w:cstheme="minorBidi"/>
      <w:sz w:val="19"/>
      <w:szCs w:val="19"/>
      <w:lang w:eastAsia="en-US"/>
    </w:rPr>
  </w:style>
  <w:style w:type="character" w:customStyle="1" w:styleId="136">
    <w:name w:val="Основной текст (13) + 6"/>
    <w:aliases w:val="5 pt1,Курсив2,Основной текст (2) + 101,Не полужирный2,Основной текст (2) + Palatino Linotype,10"/>
    <w:basedOn w:val="130"/>
    <w:uiPriority w:val="99"/>
    <w:rsid w:val="00D80330"/>
    <w:rPr>
      <w:i/>
      <w:iCs/>
      <w:sz w:val="13"/>
      <w:szCs w:val="13"/>
      <w:shd w:val="clear" w:color="auto" w:fill="FFFFFF"/>
    </w:rPr>
  </w:style>
  <w:style w:type="paragraph" w:customStyle="1" w:styleId="ConsPlusTitlePage">
    <w:name w:val="ConsPlusTitlePage"/>
    <w:rsid w:val="00D80330"/>
    <w:pPr>
      <w:widowControl w:val="0"/>
      <w:autoSpaceDE w:val="0"/>
      <w:autoSpaceDN w:val="0"/>
      <w:spacing w:after="0" w:line="240" w:lineRule="auto"/>
    </w:pPr>
    <w:rPr>
      <w:rFonts w:ascii="Tahoma" w:eastAsia="Times New Roman" w:hAnsi="Tahoma" w:cs="Tahoma"/>
      <w:sz w:val="20"/>
      <w:szCs w:val="20"/>
      <w:lang w:eastAsia="ru-RU"/>
    </w:rPr>
  </w:style>
  <w:style w:type="table" w:customStyle="1" w:styleId="18">
    <w:name w:val="Сетка таблицы1"/>
    <w:basedOn w:val="af3"/>
    <w:next w:val="affa"/>
    <w:uiPriority w:val="99"/>
    <w:rsid w:val="00CD0A11"/>
    <w:pPr>
      <w:widowControl w:val="0"/>
      <w:spacing w:after="0" w:line="240" w:lineRule="auto"/>
    </w:pPr>
    <w:rPr>
      <w:rFonts w:ascii="Arial Unicode MS" w:eastAsia="Arial Unicode MS" w:hAnsi="Arial Unicode MS" w:cs="Arial Unicode MS"/>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6">
    <w:name w:val="FollowedHyperlink"/>
    <w:basedOn w:val="af2"/>
    <w:uiPriority w:val="99"/>
    <w:unhideWhenUsed/>
    <w:rsid w:val="00CD0A11"/>
    <w:rPr>
      <w:color w:val="800080"/>
      <w:u w:val="single"/>
    </w:rPr>
  </w:style>
  <w:style w:type="paragraph" w:customStyle="1" w:styleId="xl65">
    <w:name w:val="xl65"/>
    <w:basedOn w:val="af1"/>
    <w:rsid w:val="00CD0A11"/>
    <w:pPr>
      <w:spacing w:before="100" w:beforeAutospacing="1" w:after="100" w:afterAutospacing="1"/>
    </w:pPr>
    <w:rPr>
      <w:rFonts w:ascii="Arial" w:hAnsi="Arial" w:cs="Arial"/>
      <w:sz w:val="20"/>
      <w:szCs w:val="20"/>
    </w:rPr>
  </w:style>
  <w:style w:type="paragraph" w:customStyle="1" w:styleId="xl66">
    <w:name w:val="xl66"/>
    <w:basedOn w:val="af1"/>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67">
    <w:name w:val="xl67"/>
    <w:basedOn w:val="af1"/>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6"/>
      <w:szCs w:val="16"/>
    </w:rPr>
  </w:style>
  <w:style w:type="paragraph" w:customStyle="1" w:styleId="xl68">
    <w:name w:val="xl68"/>
    <w:basedOn w:val="af1"/>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69">
    <w:name w:val="xl69"/>
    <w:basedOn w:val="af1"/>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70">
    <w:name w:val="xl70"/>
    <w:basedOn w:val="af1"/>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71">
    <w:name w:val="xl71"/>
    <w:basedOn w:val="af1"/>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72">
    <w:name w:val="xl72"/>
    <w:basedOn w:val="af1"/>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73">
    <w:name w:val="xl73"/>
    <w:basedOn w:val="af1"/>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sz w:val="16"/>
      <w:szCs w:val="16"/>
    </w:rPr>
  </w:style>
  <w:style w:type="paragraph" w:customStyle="1" w:styleId="xl74">
    <w:name w:val="xl74"/>
    <w:basedOn w:val="af1"/>
    <w:rsid w:val="00CD0A11"/>
    <w:pPr>
      <w:shd w:val="clear" w:color="000000" w:fill="FFFFFF"/>
      <w:spacing w:before="100" w:beforeAutospacing="1" w:after="100" w:afterAutospacing="1"/>
    </w:pPr>
  </w:style>
  <w:style w:type="paragraph" w:customStyle="1" w:styleId="xl75">
    <w:name w:val="xl75"/>
    <w:basedOn w:val="af1"/>
    <w:rsid w:val="00CD0A11"/>
    <w:pPr>
      <w:shd w:val="clear" w:color="000000" w:fill="FFFFFF"/>
      <w:spacing w:before="100" w:beforeAutospacing="1" w:after="100" w:afterAutospacing="1"/>
      <w:jc w:val="right"/>
    </w:pPr>
    <w:rPr>
      <w:sz w:val="20"/>
      <w:szCs w:val="20"/>
    </w:rPr>
  </w:style>
  <w:style w:type="paragraph" w:customStyle="1" w:styleId="xl76">
    <w:name w:val="xl76"/>
    <w:basedOn w:val="af1"/>
    <w:rsid w:val="00CD0A11"/>
    <w:pPr>
      <w:shd w:val="clear" w:color="000000" w:fill="FFFFFF"/>
      <w:spacing w:before="100" w:beforeAutospacing="1" w:after="100" w:afterAutospacing="1"/>
    </w:pPr>
    <w:rPr>
      <w:rFonts w:ascii="Arial" w:hAnsi="Arial" w:cs="Arial"/>
      <w:sz w:val="20"/>
      <w:szCs w:val="20"/>
    </w:rPr>
  </w:style>
  <w:style w:type="paragraph" w:customStyle="1" w:styleId="xl77">
    <w:name w:val="xl77"/>
    <w:basedOn w:val="af1"/>
    <w:rsid w:val="00CD0A11"/>
    <w:pPr>
      <w:shd w:val="clear" w:color="000000" w:fill="FFFFFF"/>
      <w:spacing w:before="100" w:beforeAutospacing="1" w:after="100" w:afterAutospacing="1"/>
    </w:pPr>
    <w:rPr>
      <w:sz w:val="20"/>
      <w:szCs w:val="20"/>
    </w:rPr>
  </w:style>
  <w:style w:type="paragraph" w:customStyle="1" w:styleId="xl78">
    <w:name w:val="xl78"/>
    <w:basedOn w:val="af1"/>
    <w:rsid w:val="00CD0A11"/>
    <w:pPr>
      <w:shd w:val="clear" w:color="000000" w:fill="FFFFFF"/>
      <w:spacing w:before="100" w:beforeAutospacing="1" w:after="100" w:afterAutospacing="1"/>
    </w:pPr>
    <w:rPr>
      <w:rFonts w:ascii="Arial" w:hAnsi="Arial" w:cs="Arial"/>
      <w:b/>
      <w:bCs/>
      <w:sz w:val="16"/>
      <w:szCs w:val="16"/>
    </w:rPr>
  </w:style>
  <w:style w:type="paragraph" w:customStyle="1" w:styleId="xl79">
    <w:name w:val="xl79"/>
    <w:basedOn w:val="af1"/>
    <w:rsid w:val="00CD0A11"/>
    <w:pPr>
      <w:pBdr>
        <w:top w:val="single" w:sz="8" w:space="0" w:color="auto"/>
        <w:left w:val="single" w:sz="4" w:space="0" w:color="auto"/>
        <w:bottom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0">
    <w:name w:val="xl80"/>
    <w:basedOn w:val="af1"/>
    <w:rsid w:val="00CD0A11"/>
    <w:pPr>
      <w:pBdr>
        <w:top w:val="single" w:sz="8" w:space="0" w:color="auto"/>
        <w:left w:val="single" w:sz="4" w:space="0" w:color="auto"/>
        <w:bottom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1">
    <w:name w:val="xl81"/>
    <w:basedOn w:val="af1"/>
    <w:rsid w:val="00CD0A11"/>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2">
    <w:name w:val="xl82"/>
    <w:basedOn w:val="af1"/>
    <w:rsid w:val="00CD0A11"/>
    <w:pPr>
      <w:pBdr>
        <w:top w:val="single" w:sz="8"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83">
    <w:name w:val="xl83"/>
    <w:basedOn w:val="af1"/>
    <w:rsid w:val="00CD0A11"/>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84">
    <w:name w:val="xl84"/>
    <w:basedOn w:val="af1"/>
    <w:rsid w:val="00CD0A11"/>
    <w:pPr>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5">
    <w:name w:val="xl85"/>
    <w:basedOn w:val="af1"/>
    <w:rsid w:val="00CD0A11"/>
    <w:pPr>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6">
    <w:name w:val="xl86"/>
    <w:basedOn w:val="af1"/>
    <w:rsid w:val="00CD0A11"/>
    <w:pPr>
      <w:pBdr>
        <w:top w:val="single" w:sz="4"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87">
    <w:name w:val="xl87"/>
    <w:basedOn w:val="af1"/>
    <w:rsid w:val="00CD0A11"/>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88">
    <w:name w:val="xl88"/>
    <w:basedOn w:val="af1"/>
    <w:rsid w:val="00CD0A11"/>
    <w:pPr>
      <w:pBdr>
        <w:top w:val="single" w:sz="4" w:space="0" w:color="auto"/>
        <w:left w:val="single" w:sz="4" w:space="0" w:color="auto"/>
        <w:bottom w:val="single" w:sz="8"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9">
    <w:name w:val="xl89"/>
    <w:basedOn w:val="af1"/>
    <w:rsid w:val="00CD0A11"/>
    <w:pPr>
      <w:pBdr>
        <w:top w:val="single" w:sz="4" w:space="0" w:color="auto"/>
        <w:left w:val="single" w:sz="4" w:space="0" w:color="auto"/>
        <w:bottom w:val="single" w:sz="8"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90">
    <w:name w:val="xl90"/>
    <w:basedOn w:val="af1"/>
    <w:rsid w:val="00CD0A1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91">
    <w:name w:val="xl91"/>
    <w:basedOn w:val="af1"/>
    <w:rsid w:val="00CD0A11"/>
    <w:pPr>
      <w:pBdr>
        <w:top w:val="single" w:sz="4" w:space="0" w:color="auto"/>
        <w:bottom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92">
    <w:name w:val="xl92"/>
    <w:basedOn w:val="af1"/>
    <w:rsid w:val="00CD0A11"/>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93">
    <w:name w:val="xl93"/>
    <w:basedOn w:val="af1"/>
    <w:rsid w:val="00CD0A11"/>
    <w:pPr>
      <w:pBdr>
        <w:lef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94">
    <w:name w:val="xl94"/>
    <w:basedOn w:val="af1"/>
    <w:rsid w:val="00CD0A11"/>
    <w:pPr>
      <w:shd w:val="clear" w:color="000000" w:fill="FFFFFF"/>
      <w:spacing w:before="100" w:beforeAutospacing="1" w:after="100" w:afterAutospacing="1"/>
    </w:pPr>
    <w:rPr>
      <w:rFonts w:ascii="Arial" w:hAnsi="Arial" w:cs="Arial"/>
      <w:sz w:val="16"/>
      <w:szCs w:val="16"/>
    </w:rPr>
  </w:style>
  <w:style w:type="paragraph" w:customStyle="1" w:styleId="xl95">
    <w:name w:val="xl95"/>
    <w:basedOn w:val="af1"/>
    <w:rsid w:val="00CD0A11"/>
    <w:pPr>
      <w:pBdr>
        <w:top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96">
    <w:name w:val="xl96"/>
    <w:basedOn w:val="af1"/>
    <w:rsid w:val="00CD0A11"/>
    <w:pPr>
      <w:pBdr>
        <w:left w:val="single" w:sz="4" w:space="0" w:color="auto"/>
        <w:right w:val="single" w:sz="8" w:space="0" w:color="auto"/>
      </w:pBdr>
      <w:shd w:val="clear" w:color="000000" w:fill="FFFFFF"/>
      <w:spacing w:before="100" w:beforeAutospacing="1" w:after="100" w:afterAutospacing="1"/>
    </w:pPr>
    <w:rPr>
      <w:rFonts w:ascii="Arial" w:hAnsi="Arial" w:cs="Arial"/>
      <w:b/>
      <w:bCs/>
      <w:sz w:val="16"/>
      <w:szCs w:val="16"/>
    </w:rPr>
  </w:style>
  <w:style w:type="paragraph" w:customStyle="1" w:styleId="xl97">
    <w:name w:val="xl97"/>
    <w:basedOn w:val="af1"/>
    <w:rsid w:val="00CD0A11"/>
    <w:pPr>
      <w:pBdr>
        <w:top w:val="single" w:sz="4" w:space="0" w:color="auto"/>
        <w:left w:val="single" w:sz="8" w:space="0" w:color="auto"/>
        <w:bottom w:val="single" w:sz="8" w:space="0" w:color="auto"/>
      </w:pBdr>
      <w:shd w:val="clear" w:color="000000" w:fill="FFFFFF"/>
      <w:spacing w:before="100" w:beforeAutospacing="1" w:after="100" w:afterAutospacing="1"/>
    </w:pPr>
    <w:rPr>
      <w:rFonts w:ascii="Arial" w:hAnsi="Arial" w:cs="Arial"/>
      <w:sz w:val="20"/>
      <w:szCs w:val="20"/>
    </w:rPr>
  </w:style>
  <w:style w:type="paragraph" w:customStyle="1" w:styleId="xl98">
    <w:name w:val="xl98"/>
    <w:basedOn w:val="af1"/>
    <w:rsid w:val="00CD0A11"/>
    <w:pPr>
      <w:pBdr>
        <w:top w:val="single" w:sz="4" w:space="0" w:color="auto"/>
        <w:bottom w:val="single" w:sz="8" w:space="0" w:color="auto"/>
      </w:pBdr>
      <w:shd w:val="clear" w:color="000000" w:fill="FFFFFF"/>
      <w:spacing w:before="100" w:beforeAutospacing="1" w:after="100" w:afterAutospacing="1"/>
    </w:pPr>
    <w:rPr>
      <w:rFonts w:ascii="Arial" w:hAnsi="Arial" w:cs="Arial"/>
      <w:sz w:val="20"/>
      <w:szCs w:val="20"/>
    </w:rPr>
  </w:style>
  <w:style w:type="paragraph" w:customStyle="1" w:styleId="xl99">
    <w:name w:val="xl99"/>
    <w:basedOn w:val="af1"/>
    <w:rsid w:val="00CD0A11"/>
    <w:pPr>
      <w:pBdr>
        <w:top w:val="single" w:sz="4" w:space="0" w:color="auto"/>
        <w:bottom w:val="single" w:sz="8" w:space="0" w:color="auto"/>
        <w:right w:val="single" w:sz="4" w:space="0" w:color="auto"/>
      </w:pBdr>
      <w:shd w:val="clear" w:color="000000" w:fill="FFFFFF"/>
      <w:spacing w:before="100" w:beforeAutospacing="1" w:after="100" w:afterAutospacing="1"/>
      <w:jc w:val="right"/>
    </w:pPr>
    <w:rPr>
      <w:rFonts w:ascii="Arial" w:hAnsi="Arial" w:cs="Arial"/>
      <w:b/>
      <w:bCs/>
      <w:sz w:val="16"/>
      <w:szCs w:val="16"/>
    </w:rPr>
  </w:style>
  <w:style w:type="paragraph" w:customStyle="1" w:styleId="xl100">
    <w:name w:val="xl100"/>
    <w:basedOn w:val="af1"/>
    <w:rsid w:val="00CD0A11"/>
    <w:pPr>
      <w:pBdr>
        <w:top w:val="single" w:sz="4" w:space="0" w:color="auto"/>
        <w:bottom w:val="single" w:sz="8" w:space="0" w:color="auto"/>
        <w:right w:val="single" w:sz="8" w:space="0" w:color="auto"/>
      </w:pBdr>
      <w:shd w:val="clear" w:color="000000" w:fill="FFFFFF"/>
      <w:spacing w:before="100" w:beforeAutospacing="1" w:after="100" w:afterAutospacing="1"/>
    </w:pPr>
    <w:rPr>
      <w:rFonts w:ascii="Arial" w:hAnsi="Arial" w:cs="Arial"/>
      <w:b/>
      <w:bCs/>
      <w:sz w:val="16"/>
      <w:szCs w:val="16"/>
    </w:rPr>
  </w:style>
  <w:style w:type="paragraph" w:customStyle="1" w:styleId="xl101">
    <w:name w:val="xl101"/>
    <w:basedOn w:val="af1"/>
    <w:rsid w:val="00CD0A11"/>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02">
    <w:name w:val="xl102"/>
    <w:basedOn w:val="af1"/>
    <w:rsid w:val="00CD0A11"/>
    <w:pPr>
      <w:pBdr>
        <w:top w:val="single" w:sz="4" w:space="0" w:color="auto"/>
        <w:left w:val="single" w:sz="8"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03">
    <w:name w:val="xl103"/>
    <w:basedOn w:val="af1"/>
    <w:rsid w:val="00CD0A11"/>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04">
    <w:name w:val="xl104"/>
    <w:basedOn w:val="af1"/>
    <w:rsid w:val="00CD0A11"/>
    <w:pPr>
      <w:pBdr>
        <w:top w:val="single" w:sz="4" w:space="0" w:color="auto"/>
        <w:left w:val="single" w:sz="8" w:space="0" w:color="auto"/>
        <w:bottom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105">
    <w:name w:val="xl105"/>
    <w:basedOn w:val="af1"/>
    <w:rsid w:val="00CD0A11"/>
    <w:pPr>
      <w:shd w:val="clear" w:color="000000" w:fill="FFFFFF"/>
      <w:spacing w:before="100" w:beforeAutospacing="1" w:after="100" w:afterAutospacing="1"/>
      <w:jc w:val="center"/>
    </w:pPr>
  </w:style>
  <w:style w:type="paragraph" w:customStyle="1" w:styleId="xl106">
    <w:name w:val="xl106"/>
    <w:basedOn w:val="af1"/>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107">
    <w:name w:val="xl107"/>
    <w:basedOn w:val="af1"/>
    <w:rsid w:val="00CD0A11"/>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08">
    <w:name w:val="xl108"/>
    <w:basedOn w:val="af1"/>
    <w:rsid w:val="00CD0A11"/>
    <w:pPr>
      <w:pBdr>
        <w:top w:val="single" w:sz="8" w:space="0" w:color="auto"/>
        <w:left w:val="single" w:sz="8"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styleId="36">
    <w:name w:val="Body Text 3"/>
    <w:basedOn w:val="af1"/>
    <w:link w:val="37"/>
    <w:rsid w:val="007F625D"/>
    <w:pPr>
      <w:spacing w:after="120"/>
    </w:pPr>
    <w:rPr>
      <w:sz w:val="16"/>
      <w:szCs w:val="16"/>
    </w:rPr>
  </w:style>
  <w:style w:type="character" w:customStyle="1" w:styleId="37">
    <w:name w:val="Основной текст 3 Знак"/>
    <w:basedOn w:val="af2"/>
    <w:link w:val="36"/>
    <w:rsid w:val="007F625D"/>
    <w:rPr>
      <w:rFonts w:ascii="Times New Roman" w:eastAsia="Times New Roman" w:hAnsi="Times New Roman" w:cs="Times New Roman"/>
      <w:sz w:val="16"/>
      <w:szCs w:val="16"/>
      <w:lang w:eastAsia="ru-RU"/>
    </w:rPr>
  </w:style>
  <w:style w:type="paragraph" w:customStyle="1" w:styleId="ConsPlusCell">
    <w:name w:val="ConsPlusCell"/>
    <w:qFormat/>
    <w:rsid w:val="007F625D"/>
    <w:pPr>
      <w:widowControl w:val="0"/>
      <w:autoSpaceDE w:val="0"/>
      <w:autoSpaceDN w:val="0"/>
      <w:adjustRightInd w:val="0"/>
      <w:spacing w:after="0" w:line="240" w:lineRule="auto"/>
    </w:pPr>
    <w:rPr>
      <w:rFonts w:ascii="Arial" w:eastAsia="Times New Roman" w:hAnsi="Arial" w:cs="Arial"/>
      <w:sz w:val="20"/>
      <w:szCs w:val="20"/>
      <w:lang w:eastAsia="ru-RU"/>
    </w:rPr>
  </w:style>
  <w:style w:type="numbering" w:customStyle="1" w:styleId="19">
    <w:name w:val="Нет списка1"/>
    <w:next w:val="af4"/>
    <w:uiPriority w:val="99"/>
    <w:semiHidden/>
    <w:unhideWhenUsed/>
    <w:rsid w:val="00B64190"/>
  </w:style>
  <w:style w:type="paragraph" w:customStyle="1" w:styleId="1a">
    <w:name w:val="заголовок 1"/>
    <w:basedOn w:val="af1"/>
    <w:next w:val="af1"/>
    <w:qFormat/>
    <w:rsid w:val="00B64190"/>
    <w:pPr>
      <w:keepNext/>
      <w:autoSpaceDE w:val="0"/>
      <w:autoSpaceDN w:val="0"/>
      <w:jc w:val="center"/>
      <w:outlineLvl w:val="0"/>
    </w:pPr>
    <w:rPr>
      <w:b/>
      <w:bCs/>
      <w:sz w:val="28"/>
      <w:szCs w:val="28"/>
    </w:rPr>
  </w:style>
  <w:style w:type="table" w:customStyle="1" w:styleId="26">
    <w:name w:val="Сетка таблицы2"/>
    <w:basedOn w:val="af3"/>
    <w:next w:val="affa"/>
    <w:uiPriority w:val="99"/>
    <w:rsid w:val="00B64190"/>
    <w:pPr>
      <w:widowControl w:val="0"/>
      <w:snapToGrid w:val="0"/>
      <w:spacing w:after="0" w:line="259" w:lineRule="auto"/>
      <w:ind w:firstLine="60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link w:val="ConsNormal0"/>
    <w:qFormat/>
    <w:rsid w:val="00B6419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28">
    <w:name w:val="Body Text 2"/>
    <w:aliases w:val="Мой Заголовок 1"/>
    <w:basedOn w:val="af1"/>
    <w:link w:val="29"/>
    <w:uiPriority w:val="99"/>
    <w:unhideWhenUsed/>
    <w:rsid w:val="00B64190"/>
    <w:pPr>
      <w:spacing w:after="120" w:line="480" w:lineRule="auto"/>
    </w:pPr>
    <w:rPr>
      <w:rFonts w:ascii="Courier New" w:hAnsi="Courier New"/>
      <w:sz w:val="28"/>
    </w:rPr>
  </w:style>
  <w:style w:type="character" w:customStyle="1" w:styleId="29">
    <w:name w:val="Основной текст 2 Знак"/>
    <w:aliases w:val="Мой Заголовок 1 Знак"/>
    <w:basedOn w:val="af2"/>
    <w:link w:val="28"/>
    <w:uiPriority w:val="99"/>
    <w:rsid w:val="00B64190"/>
    <w:rPr>
      <w:rFonts w:ascii="Courier New" w:eastAsia="Times New Roman" w:hAnsi="Courier New" w:cs="Times New Roman"/>
      <w:sz w:val="28"/>
      <w:szCs w:val="24"/>
      <w:lang w:eastAsia="ru-RU"/>
    </w:rPr>
  </w:style>
  <w:style w:type="character" w:customStyle="1" w:styleId="apple-converted-space">
    <w:name w:val="apple-converted-space"/>
    <w:uiPriority w:val="99"/>
    <w:rsid w:val="00252605"/>
  </w:style>
  <w:style w:type="numbering" w:customStyle="1" w:styleId="2a">
    <w:name w:val="Нет списка2"/>
    <w:next w:val="af4"/>
    <w:uiPriority w:val="99"/>
    <w:semiHidden/>
    <w:unhideWhenUsed/>
    <w:rsid w:val="00AC6641"/>
  </w:style>
  <w:style w:type="numbering" w:customStyle="1" w:styleId="38">
    <w:name w:val="Нет списка3"/>
    <w:next w:val="af4"/>
    <w:uiPriority w:val="99"/>
    <w:semiHidden/>
    <w:unhideWhenUsed/>
    <w:rsid w:val="00B00F9F"/>
  </w:style>
  <w:style w:type="table" w:customStyle="1" w:styleId="39">
    <w:name w:val="Сетка таблицы3"/>
    <w:basedOn w:val="af3"/>
    <w:next w:val="affa"/>
    <w:uiPriority w:val="99"/>
    <w:rsid w:val="00B00F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a">
    <w:name w:val="Body Text Indent 3"/>
    <w:basedOn w:val="af1"/>
    <w:link w:val="3b"/>
    <w:rsid w:val="00EB2726"/>
    <w:pPr>
      <w:spacing w:after="120"/>
      <w:ind w:left="283"/>
    </w:pPr>
    <w:rPr>
      <w:sz w:val="16"/>
      <w:szCs w:val="16"/>
    </w:rPr>
  </w:style>
  <w:style w:type="character" w:customStyle="1" w:styleId="3b">
    <w:name w:val="Основной текст с отступом 3 Знак"/>
    <w:basedOn w:val="af2"/>
    <w:link w:val="3a"/>
    <w:rsid w:val="00EB2726"/>
    <w:rPr>
      <w:rFonts w:ascii="Times New Roman" w:eastAsia="Times New Roman" w:hAnsi="Times New Roman" w:cs="Times New Roman"/>
      <w:sz w:val="16"/>
      <w:szCs w:val="16"/>
      <w:lang w:eastAsia="ru-RU"/>
    </w:rPr>
  </w:style>
  <w:style w:type="paragraph" w:customStyle="1" w:styleId="afff7">
    <w:name w:val="Знак"/>
    <w:basedOn w:val="af1"/>
    <w:uiPriority w:val="99"/>
    <w:rsid w:val="00EB2726"/>
    <w:pPr>
      <w:spacing w:after="160" w:line="240" w:lineRule="exact"/>
    </w:pPr>
    <w:rPr>
      <w:rFonts w:ascii="Verdana" w:hAnsi="Verdana" w:cs="Verdana"/>
      <w:sz w:val="20"/>
      <w:szCs w:val="20"/>
      <w:lang w:val="en-US" w:eastAsia="en-US"/>
    </w:rPr>
  </w:style>
  <w:style w:type="paragraph" w:customStyle="1" w:styleId="1b">
    <w:name w:val="Обычный1"/>
    <w:rsid w:val="00EB2726"/>
    <w:pPr>
      <w:spacing w:after="0" w:line="300" w:lineRule="auto"/>
      <w:ind w:left="3400"/>
      <w:jc w:val="both"/>
    </w:pPr>
    <w:rPr>
      <w:rFonts w:ascii="Times New Roman" w:eastAsia="Calibri" w:hAnsi="Times New Roman" w:cs="Times New Roman"/>
      <w:sz w:val="24"/>
      <w:szCs w:val="20"/>
      <w:lang w:eastAsia="ru-RU"/>
    </w:rPr>
  </w:style>
  <w:style w:type="character" w:styleId="afff8">
    <w:name w:val="Emphasis"/>
    <w:aliases w:val="Табличный"/>
    <w:basedOn w:val="af2"/>
    <w:uiPriority w:val="99"/>
    <w:qFormat/>
    <w:rsid w:val="00EB2726"/>
    <w:rPr>
      <w:rFonts w:cs="Times New Roman"/>
      <w:i/>
      <w:iCs/>
    </w:rPr>
  </w:style>
  <w:style w:type="paragraph" w:styleId="afff9">
    <w:name w:val="Plain Text"/>
    <w:basedOn w:val="af1"/>
    <w:link w:val="afffa"/>
    <w:rsid w:val="00EB2726"/>
    <w:rPr>
      <w:rFonts w:ascii="Courier New" w:hAnsi="Courier New"/>
      <w:sz w:val="20"/>
      <w:szCs w:val="20"/>
    </w:rPr>
  </w:style>
  <w:style w:type="character" w:customStyle="1" w:styleId="afffa">
    <w:name w:val="Текст Знак"/>
    <w:basedOn w:val="af2"/>
    <w:link w:val="afff9"/>
    <w:rsid w:val="00EB2726"/>
    <w:rPr>
      <w:rFonts w:ascii="Courier New" w:eastAsia="Times New Roman" w:hAnsi="Courier New" w:cs="Times New Roman"/>
      <w:sz w:val="20"/>
      <w:szCs w:val="20"/>
      <w:lang w:eastAsia="ru-RU"/>
    </w:rPr>
  </w:style>
  <w:style w:type="character" w:customStyle="1" w:styleId="211pt">
    <w:name w:val="Основной текст (2) + 11 pt"/>
    <w:aliases w:val="Полужирный,Основной текст + 4 pt,Основной текст (2) + 9,Основной текст (2) + 10,Основной текст (2) + Consolas,7 pt1,Основной текст (2) + Palatino Linotype1,6 pt2"/>
    <w:uiPriority w:val="99"/>
    <w:rsid w:val="00EB2726"/>
    <w:rPr>
      <w:b/>
      <w:bCs/>
      <w:sz w:val="22"/>
      <w:szCs w:val="22"/>
      <w:shd w:val="clear" w:color="auto" w:fill="FFFFFF"/>
    </w:rPr>
  </w:style>
  <w:style w:type="numbering" w:customStyle="1" w:styleId="43">
    <w:name w:val="Нет списка4"/>
    <w:next w:val="af4"/>
    <w:uiPriority w:val="99"/>
    <w:semiHidden/>
    <w:unhideWhenUsed/>
    <w:rsid w:val="008C3345"/>
  </w:style>
  <w:style w:type="table" w:customStyle="1" w:styleId="44">
    <w:name w:val="Сетка таблицы4"/>
    <w:basedOn w:val="af3"/>
    <w:next w:val="affa"/>
    <w:uiPriority w:val="59"/>
    <w:rsid w:val="008C33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f1"/>
    <w:rsid w:val="00927D04"/>
    <w:pPr>
      <w:spacing w:before="100" w:beforeAutospacing="1" w:after="100" w:afterAutospacing="1"/>
    </w:pPr>
  </w:style>
  <w:style w:type="paragraph" w:customStyle="1" w:styleId="2b">
    <w:name w:val="Обычный2"/>
    <w:uiPriority w:val="99"/>
    <w:rsid w:val="00927D04"/>
    <w:pPr>
      <w:spacing w:after="0" w:line="240" w:lineRule="auto"/>
    </w:pPr>
    <w:rPr>
      <w:rFonts w:ascii="Times New Roman" w:eastAsia="Times New Roman" w:hAnsi="Times New Roman" w:cs="Times New Roman"/>
      <w:sz w:val="24"/>
      <w:szCs w:val="20"/>
      <w:lang w:eastAsia="ru-RU"/>
    </w:rPr>
  </w:style>
  <w:style w:type="character" w:customStyle="1" w:styleId="212pt">
    <w:name w:val="Основной текст (2) + 12 pt"/>
    <w:uiPriority w:val="99"/>
    <w:rsid w:val="00927D04"/>
    <w:rPr>
      <w:sz w:val="24"/>
      <w:szCs w:val="24"/>
      <w:shd w:val="clear" w:color="auto" w:fill="FFFFFF"/>
    </w:rPr>
  </w:style>
  <w:style w:type="paragraph" w:customStyle="1" w:styleId="afffb">
    <w:name w:val="Знак Знак Знак"/>
    <w:basedOn w:val="af1"/>
    <w:uiPriority w:val="99"/>
    <w:rsid w:val="00927D04"/>
    <w:pPr>
      <w:spacing w:before="100" w:beforeAutospacing="1" w:after="100" w:afterAutospacing="1"/>
    </w:pPr>
    <w:rPr>
      <w:rFonts w:ascii="Tahoma" w:hAnsi="Tahoma"/>
      <w:sz w:val="20"/>
      <w:szCs w:val="20"/>
      <w:lang w:val="en-US" w:eastAsia="en-US"/>
    </w:rPr>
  </w:style>
  <w:style w:type="paragraph" w:customStyle="1" w:styleId="CharCharCharChar">
    <w:name w:val="Знак Знак Char Char Знак Знак Char Char Знак Знак Знак Знак Знак Знак"/>
    <w:basedOn w:val="af1"/>
    <w:semiHidden/>
    <w:rsid w:val="00AC2A06"/>
    <w:pPr>
      <w:spacing w:after="160" w:line="240" w:lineRule="exact"/>
    </w:pPr>
    <w:rPr>
      <w:rFonts w:ascii="Verdana" w:hAnsi="Verdana"/>
      <w:lang w:val="en-US" w:eastAsia="en-US"/>
    </w:rPr>
  </w:style>
  <w:style w:type="table" w:customStyle="1" w:styleId="51">
    <w:name w:val="Сетка таблицы5"/>
    <w:basedOn w:val="af3"/>
    <w:next w:val="affa"/>
    <w:uiPriority w:val="59"/>
    <w:rsid w:val="007D6EC2"/>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
    <w:name w:val="blk"/>
    <w:basedOn w:val="af2"/>
    <w:rsid w:val="00AE659E"/>
  </w:style>
  <w:style w:type="character" w:customStyle="1" w:styleId="r">
    <w:name w:val="r"/>
    <w:basedOn w:val="af2"/>
    <w:rsid w:val="00AE659E"/>
  </w:style>
  <w:style w:type="numbering" w:customStyle="1" w:styleId="52">
    <w:name w:val="Нет списка5"/>
    <w:next w:val="af4"/>
    <w:uiPriority w:val="99"/>
    <w:semiHidden/>
    <w:unhideWhenUsed/>
    <w:rsid w:val="00F22DC8"/>
  </w:style>
  <w:style w:type="table" w:customStyle="1" w:styleId="63">
    <w:name w:val="Сетка таблицы6"/>
    <w:basedOn w:val="af3"/>
    <w:next w:val="affa"/>
    <w:uiPriority w:val="59"/>
    <w:rsid w:val="001F15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f1"/>
    <w:link w:val="HTML0"/>
    <w:rsid w:val="009607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f2"/>
    <w:link w:val="HTML"/>
    <w:rsid w:val="009607C7"/>
    <w:rPr>
      <w:rFonts w:ascii="Courier New" w:eastAsia="Times New Roman" w:hAnsi="Courier New" w:cs="Courier New"/>
      <w:sz w:val="20"/>
      <w:szCs w:val="20"/>
      <w:lang w:eastAsia="ru-RU"/>
    </w:rPr>
  </w:style>
  <w:style w:type="numbering" w:customStyle="1" w:styleId="64">
    <w:name w:val="Нет списка6"/>
    <w:next w:val="af4"/>
    <w:uiPriority w:val="99"/>
    <w:semiHidden/>
    <w:unhideWhenUsed/>
    <w:rsid w:val="00E15147"/>
  </w:style>
  <w:style w:type="paragraph" w:customStyle="1" w:styleId="xl241">
    <w:name w:val="xl241"/>
    <w:basedOn w:val="af1"/>
    <w:rsid w:val="00E15147"/>
    <w:pPr>
      <w:spacing w:before="100" w:beforeAutospacing="1" w:after="100" w:afterAutospacing="1"/>
      <w:jc w:val="center"/>
      <w:textAlignment w:val="center"/>
    </w:pPr>
  </w:style>
  <w:style w:type="paragraph" w:customStyle="1" w:styleId="xl242">
    <w:name w:val="xl242"/>
    <w:basedOn w:val="af1"/>
    <w:rsid w:val="00E15147"/>
    <w:pPr>
      <w:spacing w:before="100" w:beforeAutospacing="1" w:after="100" w:afterAutospacing="1"/>
      <w:jc w:val="center"/>
      <w:textAlignment w:val="center"/>
    </w:pPr>
    <w:rPr>
      <w:sz w:val="22"/>
      <w:szCs w:val="22"/>
    </w:rPr>
  </w:style>
  <w:style w:type="paragraph" w:customStyle="1" w:styleId="xl243">
    <w:name w:val="xl243"/>
    <w:basedOn w:val="af1"/>
    <w:rsid w:val="00E15147"/>
    <w:pPr>
      <w:spacing w:before="100" w:beforeAutospacing="1" w:after="100" w:afterAutospacing="1"/>
    </w:pPr>
    <w:rPr>
      <w:sz w:val="22"/>
      <w:szCs w:val="22"/>
    </w:rPr>
  </w:style>
  <w:style w:type="paragraph" w:customStyle="1" w:styleId="xl244">
    <w:name w:val="xl244"/>
    <w:basedOn w:val="af1"/>
    <w:rsid w:val="00E15147"/>
    <w:pPr>
      <w:spacing w:before="100" w:beforeAutospacing="1" w:after="100" w:afterAutospacing="1"/>
      <w:jc w:val="right"/>
    </w:pPr>
    <w:rPr>
      <w:sz w:val="22"/>
      <w:szCs w:val="22"/>
    </w:rPr>
  </w:style>
  <w:style w:type="paragraph" w:customStyle="1" w:styleId="xl245">
    <w:name w:val="xl245"/>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46">
    <w:name w:val="xl246"/>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247">
    <w:name w:val="xl247"/>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2"/>
      <w:szCs w:val="22"/>
    </w:rPr>
  </w:style>
  <w:style w:type="paragraph" w:customStyle="1" w:styleId="xl248">
    <w:name w:val="xl248"/>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49">
    <w:name w:val="xl249"/>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250">
    <w:name w:val="xl250"/>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51">
    <w:name w:val="xl251"/>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252">
    <w:name w:val="xl252"/>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253">
    <w:name w:val="xl253"/>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254">
    <w:name w:val="xl254"/>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255">
    <w:name w:val="xl255"/>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256">
    <w:name w:val="xl256"/>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257">
    <w:name w:val="xl257"/>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258">
    <w:name w:val="xl258"/>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259">
    <w:name w:val="xl259"/>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2"/>
      <w:szCs w:val="22"/>
    </w:rPr>
  </w:style>
  <w:style w:type="paragraph" w:customStyle="1" w:styleId="xl260">
    <w:name w:val="xl260"/>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261">
    <w:name w:val="xl261"/>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2"/>
      <w:szCs w:val="22"/>
    </w:rPr>
  </w:style>
  <w:style w:type="paragraph" w:customStyle="1" w:styleId="xl262">
    <w:name w:val="xl262"/>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263">
    <w:name w:val="xl263"/>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264">
    <w:name w:val="xl264"/>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2"/>
      <w:szCs w:val="22"/>
    </w:rPr>
  </w:style>
  <w:style w:type="paragraph" w:customStyle="1" w:styleId="xl265">
    <w:name w:val="xl265"/>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266">
    <w:name w:val="xl266"/>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267">
    <w:name w:val="xl267"/>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268">
    <w:name w:val="xl268"/>
    <w:basedOn w:val="af1"/>
    <w:rsid w:val="00E15147"/>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69">
    <w:name w:val="xl269"/>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270">
    <w:name w:val="xl270"/>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271">
    <w:name w:val="xl271"/>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72">
    <w:name w:val="xl272"/>
    <w:basedOn w:val="af1"/>
    <w:rsid w:val="00E15147"/>
    <w:pPr>
      <w:pBdr>
        <w:left w:val="single" w:sz="4" w:space="0" w:color="auto"/>
        <w:right w:val="single" w:sz="4" w:space="0" w:color="auto"/>
      </w:pBdr>
      <w:spacing w:before="100" w:beforeAutospacing="1" w:after="100" w:afterAutospacing="1"/>
      <w:textAlignment w:val="center"/>
    </w:pPr>
    <w:rPr>
      <w:rFonts w:ascii="Arial Rounded MT Bold" w:hAnsi="Arial Rounded MT Bold"/>
      <w:sz w:val="22"/>
      <w:szCs w:val="22"/>
    </w:rPr>
  </w:style>
  <w:style w:type="paragraph" w:customStyle="1" w:styleId="xl273">
    <w:name w:val="xl273"/>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4">
    <w:name w:val="xl274"/>
    <w:basedOn w:val="af1"/>
    <w:rsid w:val="00E1514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5">
    <w:name w:val="xl275"/>
    <w:basedOn w:val="af1"/>
    <w:rsid w:val="00E151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2"/>
      <w:szCs w:val="22"/>
    </w:rPr>
  </w:style>
  <w:style w:type="paragraph" w:customStyle="1" w:styleId="xl276">
    <w:name w:val="xl276"/>
    <w:basedOn w:val="af1"/>
    <w:rsid w:val="00E15147"/>
    <w:pPr>
      <w:pBdr>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277">
    <w:name w:val="xl277"/>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8">
    <w:name w:val="xl278"/>
    <w:basedOn w:val="af1"/>
    <w:rsid w:val="00E15147"/>
    <w:pPr>
      <w:spacing w:before="100" w:beforeAutospacing="1" w:after="100" w:afterAutospacing="1"/>
      <w:jc w:val="center"/>
      <w:textAlignment w:val="center"/>
    </w:pPr>
    <w:rPr>
      <w:b/>
      <w:bCs/>
      <w:sz w:val="22"/>
      <w:szCs w:val="22"/>
    </w:rPr>
  </w:style>
  <w:style w:type="paragraph" w:customStyle="1" w:styleId="xl279">
    <w:name w:val="xl279"/>
    <w:basedOn w:val="af1"/>
    <w:rsid w:val="00E15147"/>
    <w:pPr>
      <w:spacing w:before="100" w:beforeAutospacing="1" w:after="100" w:afterAutospacing="1"/>
      <w:jc w:val="center"/>
      <w:textAlignment w:val="center"/>
    </w:pPr>
    <w:rPr>
      <w:sz w:val="22"/>
      <w:szCs w:val="22"/>
    </w:rPr>
  </w:style>
  <w:style w:type="paragraph" w:customStyle="1" w:styleId="xl280">
    <w:name w:val="xl280"/>
    <w:basedOn w:val="af1"/>
    <w:rsid w:val="00E15147"/>
    <w:pPr>
      <w:pBdr>
        <w:top w:val="single" w:sz="4" w:space="0" w:color="auto"/>
        <w:left w:val="single" w:sz="4" w:space="0" w:color="auto"/>
        <w:bottom w:val="single" w:sz="4" w:space="0" w:color="auto"/>
      </w:pBdr>
      <w:spacing w:before="100" w:beforeAutospacing="1" w:after="100" w:afterAutospacing="1"/>
      <w:jc w:val="center"/>
      <w:textAlignment w:val="center"/>
    </w:pPr>
    <w:rPr>
      <w:sz w:val="22"/>
      <w:szCs w:val="22"/>
    </w:rPr>
  </w:style>
  <w:style w:type="paragraph" w:customStyle="1" w:styleId="xl281">
    <w:name w:val="xl281"/>
    <w:basedOn w:val="af1"/>
    <w:rsid w:val="00E15147"/>
    <w:pPr>
      <w:pBdr>
        <w:top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82">
    <w:name w:val="xl282"/>
    <w:basedOn w:val="af1"/>
    <w:rsid w:val="00E15147"/>
    <w:pPr>
      <w:pBdr>
        <w:top w:val="single" w:sz="4" w:space="0" w:color="auto"/>
        <w:left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83">
    <w:name w:val="xl283"/>
    <w:basedOn w:val="af1"/>
    <w:rsid w:val="00E15147"/>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table" w:customStyle="1" w:styleId="71">
    <w:name w:val="Сетка таблицы7"/>
    <w:basedOn w:val="af3"/>
    <w:next w:val="affa"/>
    <w:uiPriority w:val="59"/>
    <w:rsid w:val="00E1514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09">
    <w:name w:val="xl109"/>
    <w:basedOn w:val="af1"/>
    <w:rsid w:val="00E15147"/>
    <w:pPr>
      <w:pBdr>
        <w:top w:val="single" w:sz="4" w:space="0" w:color="auto"/>
        <w:left w:val="single" w:sz="8" w:space="0" w:color="auto"/>
        <w:bottom w:val="single" w:sz="4" w:space="0" w:color="auto"/>
      </w:pBdr>
      <w:spacing w:before="100" w:beforeAutospacing="1" w:after="100" w:afterAutospacing="1"/>
    </w:pPr>
    <w:rPr>
      <w:rFonts w:ascii="Arial" w:hAnsi="Arial" w:cs="Arial"/>
      <w:sz w:val="16"/>
      <w:szCs w:val="16"/>
    </w:rPr>
  </w:style>
  <w:style w:type="character" w:customStyle="1" w:styleId="af8">
    <w:name w:val="Абзац списка Знак"/>
    <w:aliases w:val="Варианты ответов Знак,Вc2c2аe0e0рf0f0иe8e8аe0e0нededтf2f2ыfbfb оeeeeтf2f2вe2e2еe5e5тf2f2оeeeeвe2e2 Знак,Вc2c2аe0e0рf0f0иe8e8аe0e0нededтf2f2ыfbfb оeeeeтf2f2вe2e2еe5e5тf2f2оeeeeвe2e2 Text Знак,List Paragraph Знак,мой Знак"/>
    <w:link w:val="af7"/>
    <w:uiPriority w:val="34"/>
    <w:locked/>
    <w:rsid w:val="00F75C22"/>
  </w:style>
  <w:style w:type="numbering" w:customStyle="1" w:styleId="72">
    <w:name w:val="Нет списка7"/>
    <w:next w:val="af4"/>
    <w:uiPriority w:val="99"/>
    <w:semiHidden/>
    <w:unhideWhenUsed/>
    <w:rsid w:val="00CE4FBB"/>
  </w:style>
  <w:style w:type="table" w:customStyle="1" w:styleId="81">
    <w:name w:val="Сетка таблицы8"/>
    <w:basedOn w:val="af3"/>
    <w:next w:val="affa"/>
    <w:rsid w:val="00CE4FB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
    <w:name w:val="Нет списка8"/>
    <w:next w:val="af4"/>
    <w:uiPriority w:val="99"/>
    <w:semiHidden/>
    <w:unhideWhenUsed/>
    <w:rsid w:val="00CE4FBB"/>
  </w:style>
  <w:style w:type="table" w:customStyle="1" w:styleId="91">
    <w:name w:val="Сетка таблицы9"/>
    <w:basedOn w:val="af3"/>
    <w:next w:val="affa"/>
    <w:rsid w:val="00CE4FB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c">
    <w:name w:val="Revision"/>
    <w:hidden/>
    <w:uiPriority w:val="99"/>
    <w:semiHidden/>
    <w:rsid w:val="00CE4FBB"/>
    <w:pPr>
      <w:spacing w:after="0" w:line="240" w:lineRule="auto"/>
    </w:pPr>
    <w:rPr>
      <w:rFonts w:ascii="Times New Roman" w:eastAsia="Times New Roman" w:hAnsi="Times New Roman" w:cs="Times New Roman"/>
      <w:sz w:val="28"/>
      <w:szCs w:val="28"/>
      <w:lang w:eastAsia="ru-RU"/>
    </w:rPr>
  </w:style>
  <w:style w:type="character" w:customStyle="1" w:styleId="afffd">
    <w:name w:val="Гипертекстовая ссылка"/>
    <w:uiPriority w:val="99"/>
    <w:rsid w:val="00CE4FBB"/>
    <w:rPr>
      <w:color w:val="008000"/>
    </w:rPr>
  </w:style>
  <w:style w:type="paragraph" w:styleId="afffe">
    <w:name w:val="footnote text"/>
    <w:aliases w:val="single space,Знак Знак Знак Знак Знак,Знак Знак Знак Знак Знак Знак Знак Знак,Знак Знак Знак Знак Знак Знак Знак,Знак Знак Знак Знак Знак Знак Знак Знак Знак Знак Знак,Знак Знак Знак Знак Знак Знак, Знак Знак Знак Знак Знак, Знак Знак Знак"/>
    <w:basedOn w:val="af1"/>
    <w:link w:val="affff"/>
    <w:rsid w:val="00CE4FBB"/>
    <w:pPr>
      <w:spacing w:before="100" w:beforeAutospacing="1"/>
    </w:pPr>
    <w:rPr>
      <w:sz w:val="20"/>
      <w:szCs w:val="20"/>
    </w:rPr>
  </w:style>
  <w:style w:type="character" w:customStyle="1" w:styleId="affff">
    <w:name w:val="Текст сноски Знак"/>
    <w:aliases w:val="single space Знак1,Знак Знак Знак Знак Знак Знак2,Знак Знак Знак Знак Знак Знак Знак Знак Знак1,Знак Знак Знак Знак Знак Знак Знак Знак2,Знак Знак Знак Знак Знак Знак Знак Знак Знак Знак Знак Знак1,Знак Знак Знак Знак Знак Знак Знак2"/>
    <w:basedOn w:val="af2"/>
    <w:link w:val="afffe"/>
    <w:rsid w:val="00CE4FBB"/>
    <w:rPr>
      <w:rFonts w:ascii="Times New Roman" w:eastAsia="Times New Roman" w:hAnsi="Times New Roman" w:cs="Times New Roman"/>
      <w:sz w:val="20"/>
      <w:szCs w:val="20"/>
      <w:lang w:eastAsia="ru-RU"/>
    </w:rPr>
  </w:style>
  <w:style w:type="character" w:styleId="affff0">
    <w:name w:val="footnote reference"/>
    <w:uiPriority w:val="99"/>
    <w:rsid w:val="00CE4FBB"/>
    <w:rPr>
      <w:vertAlign w:val="superscript"/>
    </w:rPr>
  </w:style>
  <w:style w:type="paragraph" w:customStyle="1" w:styleId="2c">
    <w:name w:val="Основной текст2"/>
    <w:basedOn w:val="af1"/>
    <w:rsid w:val="00910BC9"/>
    <w:pPr>
      <w:widowControl w:val="0"/>
      <w:shd w:val="clear" w:color="auto" w:fill="FFFFFF"/>
      <w:spacing w:after="120" w:line="0" w:lineRule="atLeast"/>
      <w:jc w:val="center"/>
    </w:pPr>
    <w:rPr>
      <w:sz w:val="28"/>
      <w:szCs w:val="28"/>
      <w:lang w:eastAsia="en-US"/>
    </w:rPr>
  </w:style>
  <w:style w:type="character" w:customStyle="1" w:styleId="100">
    <w:name w:val="Основной текст + 10"/>
    <w:aliases w:val="5 pt"/>
    <w:basedOn w:val="af9"/>
    <w:rsid w:val="00910BC9"/>
    <w:rPr>
      <w:rFonts w:ascii="Times New Roman" w:eastAsia="Times New Roman" w:hAnsi="Times New Roman" w:cs="Times New Roman"/>
      <w:b w:val="0"/>
      <w:bCs w:val="0"/>
      <w:i w:val="0"/>
      <w:iCs w:val="0"/>
      <w:smallCaps w:val="0"/>
      <w:strike w:val="0"/>
      <w:dstrike w:val="0"/>
      <w:color w:val="000000"/>
      <w:spacing w:val="0"/>
      <w:w w:val="100"/>
      <w:position w:val="0"/>
      <w:sz w:val="19"/>
      <w:szCs w:val="19"/>
      <w:u w:val="none"/>
      <w:effect w:val="none"/>
      <w:shd w:val="clear" w:color="auto" w:fill="FFFFFF"/>
      <w:lang w:val="ru-RU"/>
    </w:rPr>
  </w:style>
  <w:style w:type="paragraph" w:customStyle="1" w:styleId="affff1">
    <w:name w:val="текст"/>
    <w:basedOn w:val="af1"/>
    <w:uiPriority w:val="99"/>
    <w:rsid w:val="00F56201"/>
    <w:pPr>
      <w:tabs>
        <w:tab w:val="left" w:pos="709"/>
        <w:tab w:val="left" w:pos="7371"/>
      </w:tabs>
      <w:jc w:val="both"/>
    </w:pPr>
    <w:rPr>
      <w:sz w:val="28"/>
      <w:szCs w:val="20"/>
    </w:rPr>
  </w:style>
  <w:style w:type="paragraph" w:styleId="affff2">
    <w:name w:val="Block Text"/>
    <w:basedOn w:val="af1"/>
    <w:rsid w:val="00F56201"/>
    <w:pPr>
      <w:ind w:left="-567" w:right="-766" w:firstLine="567"/>
      <w:jc w:val="both"/>
    </w:pPr>
    <w:rPr>
      <w:sz w:val="28"/>
      <w:szCs w:val="20"/>
    </w:rPr>
  </w:style>
  <w:style w:type="paragraph" w:customStyle="1" w:styleId="xl63">
    <w:name w:val="xl63"/>
    <w:basedOn w:val="af1"/>
    <w:rsid w:val="007651C1"/>
    <w:pPr>
      <w:spacing w:before="100" w:beforeAutospacing="1" w:after="100" w:afterAutospacing="1"/>
      <w:textAlignment w:val="top"/>
    </w:pPr>
    <w:rPr>
      <w:sz w:val="28"/>
      <w:szCs w:val="28"/>
    </w:rPr>
  </w:style>
  <w:style w:type="paragraph" w:customStyle="1" w:styleId="xl64">
    <w:name w:val="xl64"/>
    <w:basedOn w:val="af1"/>
    <w:rsid w:val="007651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110">
    <w:name w:val="xl110"/>
    <w:basedOn w:val="af1"/>
    <w:rsid w:val="007651C1"/>
    <w:pPr>
      <w:pBdr>
        <w:top w:val="single" w:sz="8" w:space="0" w:color="auto"/>
        <w:left w:val="single" w:sz="8" w:space="0" w:color="auto"/>
        <w:right w:val="single" w:sz="4" w:space="0" w:color="auto"/>
      </w:pBdr>
      <w:spacing w:before="100" w:beforeAutospacing="1" w:after="100" w:afterAutospacing="1"/>
      <w:jc w:val="center"/>
      <w:textAlignment w:val="top"/>
    </w:pPr>
    <w:rPr>
      <w:sz w:val="28"/>
      <w:szCs w:val="28"/>
    </w:rPr>
  </w:style>
  <w:style w:type="paragraph" w:customStyle="1" w:styleId="xl111">
    <w:name w:val="xl111"/>
    <w:basedOn w:val="af1"/>
    <w:rsid w:val="007651C1"/>
    <w:pPr>
      <w:pBdr>
        <w:left w:val="single" w:sz="8" w:space="0" w:color="auto"/>
        <w:right w:val="single" w:sz="4" w:space="0" w:color="auto"/>
      </w:pBdr>
      <w:spacing w:before="100" w:beforeAutospacing="1" w:after="100" w:afterAutospacing="1"/>
      <w:jc w:val="center"/>
      <w:textAlignment w:val="top"/>
    </w:pPr>
    <w:rPr>
      <w:sz w:val="28"/>
      <w:szCs w:val="28"/>
    </w:rPr>
  </w:style>
  <w:style w:type="paragraph" w:customStyle="1" w:styleId="xl112">
    <w:name w:val="xl112"/>
    <w:basedOn w:val="af1"/>
    <w:rsid w:val="007651C1"/>
    <w:pPr>
      <w:pBdr>
        <w:left w:val="single" w:sz="8" w:space="0" w:color="auto"/>
        <w:bottom w:val="single" w:sz="8" w:space="0" w:color="auto"/>
        <w:right w:val="single" w:sz="4" w:space="0" w:color="auto"/>
      </w:pBdr>
      <w:spacing w:before="100" w:beforeAutospacing="1" w:after="100" w:afterAutospacing="1"/>
      <w:jc w:val="center"/>
      <w:textAlignment w:val="top"/>
    </w:pPr>
  </w:style>
  <w:style w:type="paragraph" w:customStyle="1" w:styleId="xl113">
    <w:name w:val="xl113"/>
    <w:basedOn w:val="af1"/>
    <w:rsid w:val="007651C1"/>
    <w:pPr>
      <w:pBdr>
        <w:top w:val="single" w:sz="8" w:space="0" w:color="auto"/>
        <w:left w:val="single" w:sz="4" w:space="0" w:color="auto"/>
        <w:right w:val="single" w:sz="4" w:space="0" w:color="auto"/>
      </w:pBdr>
      <w:spacing w:before="100" w:beforeAutospacing="1" w:after="100" w:afterAutospacing="1"/>
      <w:textAlignment w:val="top"/>
    </w:pPr>
  </w:style>
  <w:style w:type="paragraph" w:customStyle="1" w:styleId="xl114">
    <w:name w:val="xl114"/>
    <w:basedOn w:val="af1"/>
    <w:rsid w:val="007651C1"/>
    <w:pPr>
      <w:pBdr>
        <w:left w:val="single" w:sz="4" w:space="0" w:color="auto"/>
        <w:right w:val="single" w:sz="4" w:space="0" w:color="auto"/>
      </w:pBdr>
      <w:spacing w:before="100" w:beforeAutospacing="1" w:after="100" w:afterAutospacing="1"/>
      <w:textAlignment w:val="top"/>
    </w:pPr>
  </w:style>
  <w:style w:type="paragraph" w:customStyle="1" w:styleId="xl115">
    <w:name w:val="xl115"/>
    <w:basedOn w:val="af1"/>
    <w:rsid w:val="007651C1"/>
    <w:pPr>
      <w:pBdr>
        <w:left w:val="single" w:sz="4" w:space="0" w:color="auto"/>
        <w:bottom w:val="single" w:sz="8" w:space="0" w:color="auto"/>
        <w:right w:val="single" w:sz="4" w:space="0" w:color="auto"/>
      </w:pBdr>
      <w:spacing w:before="100" w:beforeAutospacing="1" w:after="100" w:afterAutospacing="1"/>
      <w:textAlignment w:val="top"/>
    </w:pPr>
  </w:style>
  <w:style w:type="paragraph" w:customStyle="1" w:styleId="xl116">
    <w:name w:val="xl116"/>
    <w:basedOn w:val="af1"/>
    <w:rsid w:val="007651C1"/>
    <w:pPr>
      <w:pBdr>
        <w:top w:val="single" w:sz="8" w:space="0" w:color="auto"/>
        <w:left w:val="single" w:sz="4" w:space="0" w:color="auto"/>
        <w:right w:val="single" w:sz="4" w:space="0" w:color="auto"/>
      </w:pBdr>
      <w:spacing w:before="100" w:beforeAutospacing="1" w:after="100" w:afterAutospacing="1"/>
      <w:jc w:val="center"/>
      <w:textAlignment w:val="center"/>
    </w:pPr>
  </w:style>
  <w:style w:type="paragraph" w:customStyle="1" w:styleId="xl117">
    <w:name w:val="xl117"/>
    <w:basedOn w:val="af1"/>
    <w:rsid w:val="007651C1"/>
    <w:pPr>
      <w:pBdr>
        <w:left w:val="single" w:sz="4" w:space="0" w:color="auto"/>
        <w:right w:val="single" w:sz="4" w:space="0" w:color="auto"/>
      </w:pBdr>
      <w:spacing w:before="100" w:beforeAutospacing="1" w:after="100" w:afterAutospacing="1"/>
      <w:jc w:val="center"/>
      <w:textAlignment w:val="center"/>
    </w:pPr>
  </w:style>
  <w:style w:type="paragraph" w:customStyle="1" w:styleId="xl118">
    <w:name w:val="xl118"/>
    <w:basedOn w:val="af1"/>
    <w:rsid w:val="007651C1"/>
    <w:pPr>
      <w:pBdr>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19">
    <w:name w:val="xl119"/>
    <w:basedOn w:val="af1"/>
    <w:rsid w:val="007651C1"/>
    <w:pPr>
      <w:pBdr>
        <w:top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20">
    <w:name w:val="xl120"/>
    <w:basedOn w:val="af1"/>
    <w:rsid w:val="007651C1"/>
    <w:pPr>
      <w:pBdr>
        <w:right w:val="single" w:sz="8" w:space="0" w:color="auto"/>
      </w:pBdr>
      <w:spacing w:before="100" w:beforeAutospacing="1" w:after="100" w:afterAutospacing="1"/>
      <w:jc w:val="center"/>
      <w:textAlignment w:val="center"/>
    </w:pPr>
  </w:style>
  <w:style w:type="paragraph" w:customStyle="1" w:styleId="xl121">
    <w:name w:val="xl121"/>
    <w:basedOn w:val="af1"/>
    <w:rsid w:val="007651C1"/>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22">
    <w:name w:val="xl122"/>
    <w:basedOn w:val="af1"/>
    <w:rsid w:val="007651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3">
    <w:name w:val="xl123"/>
    <w:basedOn w:val="af1"/>
    <w:rsid w:val="007651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4">
    <w:name w:val="xl124"/>
    <w:basedOn w:val="af1"/>
    <w:rsid w:val="007651C1"/>
    <w:pPr>
      <w:pBdr>
        <w:top w:val="single" w:sz="8" w:space="0" w:color="auto"/>
        <w:left w:val="single" w:sz="8" w:space="0" w:color="auto"/>
      </w:pBdr>
      <w:spacing w:before="100" w:beforeAutospacing="1" w:after="100" w:afterAutospacing="1"/>
      <w:jc w:val="center"/>
      <w:textAlignment w:val="top"/>
    </w:pPr>
    <w:rPr>
      <w:sz w:val="28"/>
      <w:szCs w:val="28"/>
    </w:rPr>
  </w:style>
  <w:style w:type="paragraph" w:customStyle="1" w:styleId="xl125">
    <w:name w:val="xl125"/>
    <w:basedOn w:val="af1"/>
    <w:rsid w:val="007651C1"/>
    <w:pPr>
      <w:pBdr>
        <w:left w:val="single" w:sz="8" w:space="0" w:color="auto"/>
      </w:pBdr>
      <w:spacing w:before="100" w:beforeAutospacing="1" w:after="100" w:afterAutospacing="1"/>
      <w:jc w:val="center"/>
      <w:textAlignment w:val="top"/>
    </w:pPr>
    <w:rPr>
      <w:sz w:val="28"/>
      <w:szCs w:val="28"/>
    </w:rPr>
  </w:style>
  <w:style w:type="paragraph" w:customStyle="1" w:styleId="xl126">
    <w:name w:val="xl126"/>
    <w:basedOn w:val="af1"/>
    <w:rsid w:val="007651C1"/>
    <w:pPr>
      <w:pBdr>
        <w:left w:val="single" w:sz="8" w:space="0" w:color="auto"/>
        <w:bottom w:val="single" w:sz="8" w:space="0" w:color="auto"/>
      </w:pBdr>
      <w:spacing w:before="100" w:beforeAutospacing="1" w:after="100" w:afterAutospacing="1"/>
      <w:jc w:val="center"/>
      <w:textAlignment w:val="top"/>
    </w:pPr>
    <w:rPr>
      <w:sz w:val="28"/>
      <w:szCs w:val="28"/>
    </w:rPr>
  </w:style>
  <w:style w:type="paragraph" w:customStyle="1" w:styleId="xl127">
    <w:name w:val="xl127"/>
    <w:basedOn w:val="af1"/>
    <w:rsid w:val="007651C1"/>
    <w:pPr>
      <w:pBdr>
        <w:left w:val="single" w:sz="4" w:space="0" w:color="auto"/>
        <w:bottom w:val="single" w:sz="8" w:space="0" w:color="auto"/>
        <w:right w:val="single" w:sz="4" w:space="0" w:color="auto"/>
      </w:pBdr>
      <w:spacing w:before="100" w:beforeAutospacing="1" w:after="100" w:afterAutospacing="1"/>
      <w:textAlignment w:val="top"/>
    </w:pPr>
  </w:style>
  <w:style w:type="paragraph" w:customStyle="1" w:styleId="xl128">
    <w:name w:val="xl128"/>
    <w:basedOn w:val="af1"/>
    <w:rsid w:val="007651C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29">
    <w:name w:val="xl129"/>
    <w:basedOn w:val="af1"/>
    <w:rsid w:val="007651C1"/>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top"/>
    </w:pPr>
    <w:rPr>
      <w:sz w:val="28"/>
      <w:szCs w:val="28"/>
    </w:rPr>
  </w:style>
  <w:style w:type="paragraph" w:customStyle="1" w:styleId="xl130">
    <w:name w:val="xl130"/>
    <w:basedOn w:val="af1"/>
    <w:rsid w:val="007651C1"/>
    <w:pPr>
      <w:pBdr>
        <w:left w:val="single" w:sz="8" w:space="0" w:color="auto"/>
        <w:right w:val="single" w:sz="4" w:space="0" w:color="auto"/>
      </w:pBdr>
      <w:shd w:val="clear" w:color="000000" w:fill="FFFFFF"/>
      <w:spacing w:before="100" w:beforeAutospacing="1" w:after="100" w:afterAutospacing="1"/>
      <w:jc w:val="center"/>
      <w:textAlignment w:val="top"/>
    </w:pPr>
    <w:rPr>
      <w:sz w:val="28"/>
      <w:szCs w:val="28"/>
    </w:rPr>
  </w:style>
  <w:style w:type="paragraph" w:customStyle="1" w:styleId="xl131">
    <w:name w:val="xl131"/>
    <w:basedOn w:val="af1"/>
    <w:rsid w:val="007651C1"/>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top"/>
    </w:pPr>
    <w:rPr>
      <w:sz w:val="28"/>
      <w:szCs w:val="28"/>
    </w:rPr>
  </w:style>
  <w:style w:type="paragraph" w:customStyle="1" w:styleId="xl132">
    <w:name w:val="xl132"/>
    <w:basedOn w:val="af1"/>
    <w:rsid w:val="007651C1"/>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33">
    <w:name w:val="xl133"/>
    <w:basedOn w:val="af1"/>
    <w:rsid w:val="007651C1"/>
    <w:pPr>
      <w:pBdr>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34">
    <w:name w:val="xl134"/>
    <w:basedOn w:val="af1"/>
    <w:rsid w:val="007651C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top"/>
    </w:pPr>
  </w:style>
  <w:style w:type="paragraph" w:customStyle="1" w:styleId="xl135">
    <w:name w:val="xl135"/>
    <w:basedOn w:val="af1"/>
    <w:rsid w:val="007651C1"/>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6">
    <w:name w:val="xl136"/>
    <w:basedOn w:val="af1"/>
    <w:rsid w:val="007651C1"/>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7">
    <w:name w:val="xl137"/>
    <w:basedOn w:val="af1"/>
    <w:rsid w:val="007651C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38">
    <w:name w:val="xl138"/>
    <w:basedOn w:val="af1"/>
    <w:rsid w:val="007651C1"/>
    <w:pPr>
      <w:pBdr>
        <w:top w:val="single" w:sz="8" w:space="0" w:color="auto"/>
        <w:right w:val="single" w:sz="8" w:space="0" w:color="auto"/>
      </w:pBdr>
      <w:spacing w:before="100" w:beforeAutospacing="1" w:after="100" w:afterAutospacing="1"/>
      <w:jc w:val="center"/>
      <w:textAlignment w:val="center"/>
    </w:pPr>
  </w:style>
  <w:style w:type="paragraph" w:customStyle="1" w:styleId="xl139">
    <w:name w:val="xl139"/>
    <w:basedOn w:val="af1"/>
    <w:rsid w:val="007651C1"/>
    <w:pPr>
      <w:pBdr>
        <w:bottom w:val="single" w:sz="8" w:space="0" w:color="auto"/>
        <w:right w:val="single" w:sz="8" w:space="0" w:color="auto"/>
      </w:pBdr>
      <w:spacing w:before="100" w:beforeAutospacing="1" w:after="100" w:afterAutospacing="1"/>
      <w:jc w:val="center"/>
      <w:textAlignment w:val="center"/>
    </w:pPr>
  </w:style>
  <w:style w:type="paragraph" w:customStyle="1" w:styleId="xl140">
    <w:name w:val="xl140"/>
    <w:basedOn w:val="af1"/>
    <w:rsid w:val="007651C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141">
    <w:name w:val="xl141"/>
    <w:basedOn w:val="af1"/>
    <w:rsid w:val="007651C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top"/>
    </w:pPr>
    <w:rPr>
      <w:sz w:val="28"/>
      <w:szCs w:val="28"/>
    </w:rPr>
  </w:style>
  <w:style w:type="paragraph" w:customStyle="1" w:styleId="xl142">
    <w:name w:val="xl142"/>
    <w:basedOn w:val="af1"/>
    <w:rsid w:val="007651C1"/>
    <w:pPr>
      <w:pBdr>
        <w:top w:val="single" w:sz="8" w:space="0" w:color="auto"/>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43">
    <w:name w:val="xl143"/>
    <w:basedOn w:val="af1"/>
    <w:uiPriority w:val="99"/>
    <w:rsid w:val="007651C1"/>
    <w:pPr>
      <w:pBdr>
        <w:left w:val="single" w:sz="4" w:space="0" w:color="auto"/>
        <w:bottom w:val="single" w:sz="8" w:space="0" w:color="auto"/>
        <w:right w:val="single" w:sz="4" w:space="0" w:color="auto"/>
      </w:pBdr>
      <w:shd w:val="clear" w:color="000000" w:fill="FFFFFF"/>
      <w:spacing w:before="100" w:beforeAutospacing="1" w:after="100" w:afterAutospacing="1"/>
      <w:textAlignment w:val="top"/>
    </w:pPr>
  </w:style>
  <w:style w:type="paragraph" w:customStyle="1" w:styleId="xl144">
    <w:name w:val="xl144"/>
    <w:basedOn w:val="af1"/>
    <w:uiPriority w:val="99"/>
    <w:rsid w:val="007651C1"/>
    <w:pPr>
      <w:pBdr>
        <w:left w:val="single" w:sz="8" w:space="0" w:color="auto"/>
        <w:bottom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145">
    <w:name w:val="xl145"/>
    <w:basedOn w:val="af1"/>
    <w:uiPriority w:val="99"/>
    <w:rsid w:val="007651C1"/>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6">
    <w:name w:val="xl146"/>
    <w:basedOn w:val="af1"/>
    <w:uiPriority w:val="99"/>
    <w:rsid w:val="007651C1"/>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47">
    <w:name w:val="xl147"/>
    <w:basedOn w:val="af1"/>
    <w:uiPriority w:val="99"/>
    <w:rsid w:val="007651C1"/>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style>
  <w:style w:type="paragraph" w:customStyle="1" w:styleId="xl148">
    <w:name w:val="xl148"/>
    <w:basedOn w:val="af1"/>
    <w:uiPriority w:val="99"/>
    <w:rsid w:val="007651C1"/>
    <w:pPr>
      <w:pBdr>
        <w:left w:val="single" w:sz="8" w:space="0" w:color="auto"/>
        <w:bottom w:val="single" w:sz="8" w:space="0" w:color="auto"/>
        <w:right w:val="single" w:sz="4" w:space="0" w:color="auto"/>
      </w:pBdr>
      <w:spacing w:before="100" w:beforeAutospacing="1" w:after="100" w:afterAutospacing="1"/>
      <w:jc w:val="center"/>
      <w:textAlignment w:val="top"/>
    </w:pPr>
    <w:rPr>
      <w:sz w:val="28"/>
      <w:szCs w:val="28"/>
    </w:rPr>
  </w:style>
  <w:style w:type="paragraph" w:customStyle="1" w:styleId="xl149">
    <w:name w:val="xl149"/>
    <w:basedOn w:val="af1"/>
    <w:uiPriority w:val="99"/>
    <w:rsid w:val="007651C1"/>
    <w:pPr>
      <w:pBdr>
        <w:top w:val="single" w:sz="4" w:space="0" w:color="auto"/>
        <w:left w:val="single" w:sz="8" w:space="0" w:color="auto"/>
        <w:right w:val="single" w:sz="4" w:space="0" w:color="auto"/>
      </w:pBdr>
      <w:spacing w:before="100" w:beforeAutospacing="1" w:after="100" w:afterAutospacing="1"/>
      <w:jc w:val="center"/>
      <w:textAlignment w:val="top"/>
    </w:pPr>
    <w:rPr>
      <w:sz w:val="28"/>
      <w:szCs w:val="28"/>
    </w:rPr>
  </w:style>
  <w:style w:type="paragraph" w:customStyle="1" w:styleId="xl150">
    <w:name w:val="xl150"/>
    <w:basedOn w:val="af1"/>
    <w:uiPriority w:val="99"/>
    <w:rsid w:val="007651C1"/>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51">
    <w:name w:val="xl151"/>
    <w:basedOn w:val="af1"/>
    <w:uiPriority w:val="99"/>
    <w:rsid w:val="007651C1"/>
    <w:pPr>
      <w:pBdr>
        <w:left w:val="single" w:sz="8" w:space="0" w:color="auto"/>
        <w:bottom w:val="single" w:sz="8" w:space="0" w:color="auto"/>
      </w:pBdr>
      <w:spacing w:before="100" w:beforeAutospacing="1" w:after="100" w:afterAutospacing="1"/>
      <w:jc w:val="center"/>
      <w:textAlignment w:val="center"/>
    </w:pPr>
    <w:rPr>
      <w:b/>
      <w:bCs/>
      <w:sz w:val="28"/>
      <w:szCs w:val="28"/>
    </w:rPr>
  </w:style>
  <w:style w:type="paragraph" w:customStyle="1" w:styleId="xl152">
    <w:name w:val="xl152"/>
    <w:basedOn w:val="af1"/>
    <w:uiPriority w:val="99"/>
    <w:rsid w:val="007651C1"/>
    <w:pPr>
      <w:pBdr>
        <w:bottom w:val="single" w:sz="8" w:space="0" w:color="auto"/>
      </w:pBdr>
      <w:spacing w:before="100" w:beforeAutospacing="1" w:after="100" w:afterAutospacing="1"/>
      <w:jc w:val="center"/>
      <w:textAlignment w:val="center"/>
    </w:pPr>
    <w:rPr>
      <w:b/>
      <w:bCs/>
      <w:sz w:val="28"/>
      <w:szCs w:val="28"/>
    </w:rPr>
  </w:style>
  <w:style w:type="paragraph" w:customStyle="1" w:styleId="xl153">
    <w:name w:val="xl153"/>
    <w:basedOn w:val="af1"/>
    <w:uiPriority w:val="99"/>
    <w:rsid w:val="007651C1"/>
    <w:pPr>
      <w:pBdr>
        <w:bottom w:val="single" w:sz="8" w:space="0" w:color="auto"/>
        <w:right w:val="single" w:sz="4" w:space="0" w:color="auto"/>
      </w:pBdr>
      <w:spacing w:before="100" w:beforeAutospacing="1" w:after="100" w:afterAutospacing="1"/>
      <w:jc w:val="center"/>
      <w:textAlignment w:val="center"/>
    </w:pPr>
    <w:rPr>
      <w:b/>
      <w:bCs/>
      <w:sz w:val="28"/>
      <w:szCs w:val="28"/>
    </w:rPr>
  </w:style>
  <w:style w:type="paragraph" w:customStyle="1" w:styleId="xl154">
    <w:name w:val="xl154"/>
    <w:basedOn w:val="af1"/>
    <w:uiPriority w:val="99"/>
    <w:rsid w:val="007651C1"/>
    <w:pPr>
      <w:spacing w:before="100" w:beforeAutospacing="1" w:after="100" w:afterAutospacing="1"/>
      <w:jc w:val="center"/>
    </w:pPr>
    <w:rPr>
      <w:b/>
      <w:bCs/>
      <w:sz w:val="28"/>
      <w:szCs w:val="28"/>
    </w:rPr>
  </w:style>
  <w:style w:type="paragraph" w:customStyle="1" w:styleId="xl155">
    <w:name w:val="xl155"/>
    <w:basedOn w:val="af1"/>
    <w:uiPriority w:val="99"/>
    <w:rsid w:val="007651C1"/>
    <w:pPr>
      <w:spacing w:before="100" w:beforeAutospacing="1" w:after="100" w:afterAutospacing="1"/>
      <w:jc w:val="center"/>
      <w:textAlignment w:val="center"/>
    </w:pPr>
    <w:rPr>
      <w:b/>
      <w:bCs/>
      <w:sz w:val="28"/>
      <w:szCs w:val="28"/>
    </w:rPr>
  </w:style>
  <w:style w:type="paragraph" w:customStyle="1" w:styleId="xl156">
    <w:name w:val="xl156"/>
    <w:basedOn w:val="af1"/>
    <w:uiPriority w:val="99"/>
    <w:rsid w:val="007651C1"/>
    <w:pPr>
      <w:pBdr>
        <w:top w:val="single" w:sz="8" w:space="0" w:color="auto"/>
        <w:left w:val="single" w:sz="8" w:space="0" w:color="auto"/>
        <w:bottom w:val="single" w:sz="4" w:space="0" w:color="auto"/>
      </w:pBdr>
      <w:spacing w:before="100" w:beforeAutospacing="1" w:after="100" w:afterAutospacing="1"/>
      <w:jc w:val="center"/>
      <w:textAlignment w:val="top"/>
    </w:pPr>
    <w:rPr>
      <w:sz w:val="28"/>
      <w:szCs w:val="28"/>
    </w:rPr>
  </w:style>
  <w:style w:type="paragraph" w:customStyle="1" w:styleId="xl157">
    <w:name w:val="xl157"/>
    <w:basedOn w:val="af1"/>
    <w:uiPriority w:val="99"/>
    <w:rsid w:val="007651C1"/>
    <w:pPr>
      <w:pBdr>
        <w:top w:val="single" w:sz="4" w:space="0" w:color="auto"/>
        <w:left w:val="single" w:sz="8" w:space="0" w:color="auto"/>
        <w:bottom w:val="single" w:sz="8" w:space="0" w:color="auto"/>
      </w:pBdr>
      <w:spacing w:before="100" w:beforeAutospacing="1" w:after="100" w:afterAutospacing="1"/>
      <w:jc w:val="center"/>
      <w:textAlignment w:val="top"/>
    </w:pPr>
    <w:rPr>
      <w:sz w:val="28"/>
      <w:szCs w:val="28"/>
    </w:rPr>
  </w:style>
  <w:style w:type="paragraph" w:customStyle="1" w:styleId="xl158">
    <w:name w:val="xl158"/>
    <w:basedOn w:val="af1"/>
    <w:uiPriority w:val="99"/>
    <w:rsid w:val="007651C1"/>
    <w:pPr>
      <w:pBdr>
        <w:top w:val="single" w:sz="8" w:space="0" w:color="auto"/>
        <w:left w:val="single" w:sz="8" w:space="0" w:color="auto"/>
        <w:bottom w:val="single" w:sz="8" w:space="0" w:color="auto"/>
      </w:pBdr>
      <w:spacing w:before="100" w:beforeAutospacing="1" w:after="100" w:afterAutospacing="1"/>
      <w:jc w:val="center"/>
      <w:textAlignment w:val="center"/>
    </w:pPr>
    <w:rPr>
      <w:b/>
      <w:bCs/>
      <w:sz w:val="28"/>
      <w:szCs w:val="28"/>
    </w:rPr>
  </w:style>
  <w:style w:type="paragraph" w:customStyle="1" w:styleId="xl159">
    <w:name w:val="xl159"/>
    <w:basedOn w:val="af1"/>
    <w:uiPriority w:val="99"/>
    <w:rsid w:val="007651C1"/>
    <w:pPr>
      <w:pBdr>
        <w:top w:val="single" w:sz="8" w:space="0" w:color="auto"/>
        <w:bottom w:val="single" w:sz="8" w:space="0" w:color="auto"/>
      </w:pBdr>
      <w:spacing w:before="100" w:beforeAutospacing="1" w:after="100" w:afterAutospacing="1"/>
      <w:jc w:val="center"/>
      <w:textAlignment w:val="center"/>
    </w:pPr>
    <w:rPr>
      <w:b/>
      <w:bCs/>
      <w:sz w:val="28"/>
      <w:szCs w:val="28"/>
    </w:rPr>
  </w:style>
  <w:style w:type="paragraph" w:customStyle="1" w:styleId="xl160">
    <w:name w:val="xl160"/>
    <w:basedOn w:val="af1"/>
    <w:uiPriority w:val="99"/>
    <w:rsid w:val="007651C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top"/>
    </w:pPr>
    <w:rPr>
      <w:b/>
      <w:bCs/>
      <w:sz w:val="28"/>
      <w:szCs w:val="28"/>
    </w:rPr>
  </w:style>
  <w:style w:type="paragraph" w:customStyle="1" w:styleId="xl161">
    <w:name w:val="xl161"/>
    <w:basedOn w:val="af1"/>
    <w:uiPriority w:val="99"/>
    <w:rsid w:val="007651C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b/>
      <w:bCs/>
      <w:sz w:val="28"/>
      <w:szCs w:val="28"/>
    </w:rPr>
  </w:style>
  <w:style w:type="paragraph" w:customStyle="1" w:styleId="xl162">
    <w:name w:val="xl162"/>
    <w:basedOn w:val="af1"/>
    <w:uiPriority w:val="99"/>
    <w:rsid w:val="007651C1"/>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rPr>
      <w:b/>
      <w:bCs/>
      <w:sz w:val="28"/>
      <w:szCs w:val="28"/>
    </w:rPr>
  </w:style>
  <w:style w:type="paragraph" w:customStyle="1" w:styleId="xl163">
    <w:name w:val="xl163"/>
    <w:basedOn w:val="af1"/>
    <w:uiPriority w:val="99"/>
    <w:rsid w:val="007651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8"/>
      <w:szCs w:val="28"/>
    </w:rPr>
  </w:style>
  <w:style w:type="paragraph" w:customStyle="1" w:styleId="xl164">
    <w:name w:val="xl164"/>
    <w:basedOn w:val="af1"/>
    <w:uiPriority w:val="99"/>
    <w:rsid w:val="007651C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8"/>
      <w:szCs w:val="28"/>
    </w:rPr>
  </w:style>
  <w:style w:type="paragraph" w:customStyle="1" w:styleId="xl165">
    <w:name w:val="xl165"/>
    <w:basedOn w:val="af1"/>
    <w:uiPriority w:val="99"/>
    <w:rsid w:val="007651C1"/>
    <w:pPr>
      <w:pBdr>
        <w:top w:val="single" w:sz="8" w:space="0" w:color="auto"/>
        <w:bottom w:val="single" w:sz="4" w:space="0" w:color="auto"/>
        <w:right w:val="single" w:sz="8" w:space="0" w:color="auto"/>
      </w:pBdr>
      <w:spacing w:before="100" w:beforeAutospacing="1" w:after="100" w:afterAutospacing="1"/>
      <w:jc w:val="center"/>
      <w:textAlignment w:val="top"/>
    </w:pPr>
    <w:rPr>
      <w:b/>
      <w:bCs/>
      <w:sz w:val="28"/>
      <w:szCs w:val="28"/>
    </w:rPr>
  </w:style>
  <w:style w:type="paragraph" w:customStyle="1" w:styleId="xl166">
    <w:name w:val="xl166"/>
    <w:basedOn w:val="af1"/>
    <w:uiPriority w:val="99"/>
    <w:rsid w:val="007651C1"/>
    <w:pPr>
      <w:pBdr>
        <w:top w:val="single" w:sz="4" w:space="0" w:color="auto"/>
        <w:bottom w:val="single" w:sz="4" w:space="0" w:color="auto"/>
        <w:right w:val="single" w:sz="8" w:space="0" w:color="auto"/>
      </w:pBdr>
      <w:spacing w:before="100" w:beforeAutospacing="1" w:after="100" w:afterAutospacing="1"/>
      <w:jc w:val="center"/>
      <w:textAlignment w:val="top"/>
    </w:pPr>
    <w:rPr>
      <w:b/>
      <w:bCs/>
      <w:sz w:val="28"/>
      <w:szCs w:val="28"/>
    </w:rPr>
  </w:style>
  <w:style w:type="paragraph" w:customStyle="1" w:styleId="1c">
    <w:name w:val="Стиль1"/>
    <w:basedOn w:val="af1"/>
    <w:link w:val="1d"/>
    <w:qFormat/>
    <w:rsid w:val="003E7219"/>
    <w:pPr>
      <w:autoSpaceDE w:val="0"/>
      <w:autoSpaceDN w:val="0"/>
      <w:adjustRightInd w:val="0"/>
      <w:ind w:firstLine="540"/>
      <w:jc w:val="both"/>
    </w:pPr>
    <w:rPr>
      <w:rFonts w:eastAsiaTheme="minorEastAsia"/>
      <w:sz w:val="28"/>
      <w:szCs w:val="28"/>
      <w:lang w:eastAsia="en-US"/>
    </w:rPr>
  </w:style>
  <w:style w:type="character" w:customStyle="1" w:styleId="1d">
    <w:name w:val="Стиль1 Знак"/>
    <w:basedOn w:val="af2"/>
    <w:link w:val="1c"/>
    <w:rsid w:val="003E7219"/>
    <w:rPr>
      <w:rFonts w:ascii="Times New Roman" w:eastAsiaTheme="minorEastAsia" w:hAnsi="Times New Roman" w:cs="Times New Roman"/>
      <w:sz w:val="28"/>
      <w:szCs w:val="28"/>
    </w:rPr>
  </w:style>
  <w:style w:type="numbering" w:customStyle="1" w:styleId="92">
    <w:name w:val="Нет списка9"/>
    <w:next w:val="af4"/>
    <w:uiPriority w:val="99"/>
    <w:semiHidden/>
    <w:unhideWhenUsed/>
    <w:rsid w:val="00455535"/>
  </w:style>
  <w:style w:type="character" w:customStyle="1" w:styleId="90">
    <w:name w:val="Заголовок 9 Знак"/>
    <w:basedOn w:val="af2"/>
    <w:link w:val="9"/>
    <w:uiPriority w:val="99"/>
    <w:rsid w:val="00680AEA"/>
    <w:rPr>
      <w:rFonts w:ascii="Times New Roman" w:eastAsia="Times New Roman" w:hAnsi="Times New Roman" w:cs="Times New Roman"/>
      <w:sz w:val="28"/>
      <w:szCs w:val="20"/>
    </w:rPr>
  </w:style>
  <w:style w:type="paragraph" w:customStyle="1" w:styleId="Char">
    <w:name w:val="Char Знак Знак"/>
    <w:basedOn w:val="af1"/>
    <w:rsid w:val="00680AEA"/>
    <w:pPr>
      <w:widowControl w:val="0"/>
      <w:adjustRightInd w:val="0"/>
      <w:spacing w:after="160" w:line="240" w:lineRule="exact"/>
      <w:jc w:val="right"/>
    </w:pPr>
    <w:rPr>
      <w:sz w:val="20"/>
      <w:szCs w:val="20"/>
      <w:lang w:val="en-GB" w:eastAsia="en-US"/>
    </w:rPr>
  </w:style>
  <w:style w:type="paragraph" w:customStyle="1" w:styleId="3c">
    <w:name w:val="Обычный3"/>
    <w:rsid w:val="00680AEA"/>
    <w:pPr>
      <w:spacing w:after="0" w:line="240" w:lineRule="auto"/>
      <w:jc w:val="both"/>
    </w:pPr>
    <w:rPr>
      <w:rFonts w:ascii="Times New Roman" w:eastAsia="Times New Roman" w:hAnsi="Times New Roman" w:cs="Times New Roman"/>
      <w:sz w:val="28"/>
      <w:szCs w:val="20"/>
      <w:lang w:eastAsia="ru-RU"/>
    </w:rPr>
  </w:style>
  <w:style w:type="paragraph" w:customStyle="1" w:styleId="1e">
    <w:name w:val="Название1"/>
    <w:basedOn w:val="3c"/>
    <w:rsid w:val="00680AEA"/>
    <w:pPr>
      <w:jc w:val="center"/>
    </w:pPr>
    <w:rPr>
      <w:rFonts w:ascii="Arial" w:hAnsi="Arial"/>
      <w:sz w:val="24"/>
    </w:rPr>
  </w:style>
  <w:style w:type="paragraph" w:customStyle="1" w:styleId="210">
    <w:name w:val="Заголовок 21"/>
    <w:basedOn w:val="3c"/>
    <w:next w:val="3c"/>
    <w:rsid w:val="00680AEA"/>
    <w:pPr>
      <w:keepNext/>
      <w:jc w:val="center"/>
      <w:outlineLvl w:val="1"/>
    </w:pPr>
    <w:rPr>
      <w:rFonts w:ascii="Arial" w:hAnsi="Arial"/>
      <w:sz w:val="24"/>
    </w:rPr>
  </w:style>
  <w:style w:type="paragraph" w:customStyle="1" w:styleId="310">
    <w:name w:val="Основной текст 31"/>
    <w:basedOn w:val="3c"/>
    <w:rsid w:val="00680AEA"/>
    <w:pPr>
      <w:jc w:val="left"/>
    </w:pPr>
    <w:rPr>
      <w:rFonts w:ascii="Arial" w:hAnsi="Arial"/>
      <w:color w:val="FF0000"/>
    </w:rPr>
  </w:style>
  <w:style w:type="character" w:customStyle="1" w:styleId="1f">
    <w:name w:val="Верхний колонтитул Знак1"/>
    <w:basedOn w:val="af2"/>
    <w:uiPriority w:val="99"/>
    <w:semiHidden/>
    <w:rsid w:val="00680AEA"/>
    <w:rPr>
      <w:sz w:val="24"/>
      <w:szCs w:val="24"/>
    </w:rPr>
  </w:style>
  <w:style w:type="character" w:customStyle="1" w:styleId="1f0">
    <w:name w:val="Нижний колонтитул Знак1"/>
    <w:basedOn w:val="af2"/>
    <w:uiPriority w:val="99"/>
    <w:semiHidden/>
    <w:rsid w:val="00680AEA"/>
    <w:rPr>
      <w:sz w:val="24"/>
      <w:szCs w:val="24"/>
    </w:rPr>
  </w:style>
  <w:style w:type="character" w:customStyle="1" w:styleId="1f1">
    <w:name w:val="Название Знак1"/>
    <w:basedOn w:val="af2"/>
    <w:uiPriority w:val="10"/>
    <w:rsid w:val="00680AEA"/>
    <w:rPr>
      <w:rFonts w:asciiTheme="majorHAnsi" w:eastAsiaTheme="majorEastAsia" w:hAnsiTheme="majorHAnsi" w:cstheme="majorBidi"/>
      <w:spacing w:val="-10"/>
      <w:kern w:val="28"/>
      <w:sz w:val="56"/>
      <w:szCs w:val="56"/>
    </w:rPr>
  </w:style>
  <w:style w:type="character" w:customStyle="1" w:styleId="1f2">
    <w:name w:val="Основной текст Знак1"/>
    <w:aliases w:val="Знак Знак1,Знак1 Знак Знак1,Основной текст1 Знак1, Знак Знак1, Знак1 Знак Знак1,Основной текст Знак Знак2,Основной текст Знак Знак Знак Знак1,Основной текст Знак Знак1 Знак,Название объекта Знак,Char1 Знак,!! Object Novogor !! Знак"/>
    <w:rsid w:val="00680AEA"/>
    <w:rPr>
      <w:rFonts w:ascii="Courier New" w:hAnsi="Courier New"/>
      <w:sz w:val="24"/>
    </w:rPr>
  </w:style>
  <w:style w:type="paragraph" w:customStyle="1" w:styleId="affff3">
    <w:name w:val="Кому"/>
    <w:basedOn w:val="af1"/>
    <w:rsid w:val="00680AEA"/>
    <w:rPr>
      <w:rFonts w:ascii="Baltica" w:hAnsi="Baltica"/>
      <w:szCs w:val="20"/>
    </w:rPr>
  </w:style>
  <w:style w:type="paragraph" w:customStyle="1" w:styleId="xl46">
    <w:name w:val="xl46"/>
    <w:basedOn w:val="af1"/>
    <w:uiPriority w:val="99"/>
    <w:rsid w:val="00680AEA"/>
    <w:pPr>
      <w:pBdr>
        <w:left w:val="single" w:sz="6" w:space="0" w:color="auto"/>
        <w:bottom w:val="single" w:sz="6" w:space="0" w:color="auto"/>
      </w:pBdr>
      <w:spacing w:before="100" w:after="100"/>
    </w:pPr>
    <w:rPr>
      <w:rFonts w:ascii="Bookman Old Style" w:hAnsi="Bookman Old Style"/>
      <w:b/>
      <w:szCs w:val="20"/>
    </w:rPr>
  </w:style>
  <w:style w:type="paragraph" w:customStyle="1" w:styleId="affff4">
    <w:name w:val="Внутренний адрес"/>
    <w:basedOn w:val="af1"/>
    <w:rsid w:val="00680AEA"/>
    <w:pPr>
      <w:autoSpaceDE w:val="0"/>
      <w:autoSpaceDN w:val="0"/>
    </w:pPr>
    <w:rPr>
      <w:sz w:val="20"/>
    </w:rPr>
  </w:style>
  <w:style w:type="paragraph" w:customStyle="1" w:styleId="affff5">
    <w:name w:val="черта"/>
    <w:autoRedefine/>
    <w:rsid w:val="00680AEA"/>
    <w:pPr>
      <w:widowControl w:val="0"/>
      <w:spacing w:after="0" w:line="240" w:lineRule="auto"/>
      <w:jc w:val="center"/>
    </w:pPr>
    <w:rPr>
      <w:rFonts w:ascii="Times New Roman" w:eastAsia="Times New Roman" w:hAnsi="Times New Roman" w:cs="Times New Roman"/>
      <w:sz w:val="24"/>
      <w:szCs w:val="20"/>
      <w:lang w:eastAsia="ru-RU"/>
    </w:rPr>
  </w:style>
  <w:style w:type="paragraph" w:customStyle="1" w:styleId="affff6">
    <w:name w:val="ОТСТУП"/>
    <w:basedOn w:val="af1"/>
    <w:rsid w:val="00680AEA"/>
    <w:pPr>
      <w:widowControl w:val="0"/>
      <w:numPr>
        <w:ilvl w:val="12"/>
      </w:numPr>
      <w:ind w:firstLine="709"/>
      <w:jc w:val="center"/>
    </w:pPr>
    <w:rPr>
      <w:szCs w:val="20"/>
    </w:rPr>
  </w:style>
  <w:style w:type="paragraph" w:customStyle="1" w:styleId="910">
    <w:name w:val="Заголовок 91"/>
    <w:rsid w:val="00680AEA"/>
    <w:pPr>
      <w:keepNext/>
      <w:snapToGrid w:val="0"/>
      <w:spacing w:after="0" w:line="240" w:lineRule="auto"/>
      <w:jc w:val="center"/>
    </w:pPr>
    <w:rPr>
      <w:rFonts w:ascii="Arial" w:eastAsia="Times New Roman" w:hAnsi="Arial" w:cs="Times New Roman"/>
      <w:color w:val="000000"/>
      <w:sz w:val="28"/>
      <w:szCs w:val="20"/>
      <w:lang w:eastAsia="ru-RU"/>
    </w:rPr>
  </w:style>
  <w:style w:type="paragraph" w:customStyle="1" w:styleId="affff7">
    <w:name w:val="для проектов"/>
    <w:basedOn w:val="af1"/>
    <w:semiHidden/>
    <w:rsid w:val="00680AEA"/>
    <w:pPr>
      <w:spacing w:line="360" w:lineRule="auto"/>
      <w:ind w:firstLine="709"/>
      <w:jc w:val="both"/>
    </w:pPr>
    <w:rPr>
      <w:sz w:val="28"/>
      <w:szCs w:val="20"/>
    </w:rPr>
  </w:style>
  <w:style w:type="paragraph" w:customStyle="1" w:styleId="affff8">
    <w:name w:val="Статья"/>
    <w:basedOn w:val="af1"/>
    <w:next w:val="af1"/>
    <w:rsid w:val="00680AEA"/>
    <w:pPr>
      <w:spacing w:line="288" w:lineRule="auto"/>
      <w:jc w:val="center"/>
    </w:pPr>
    <w:rPr>
      <w:b/>
      <w:bCs/>
      <w:sz w:val="28"/>
    </w:rPr>
  </w:style>
  <w:style w:type="paragraph" w:customStyle="1" w:styleId="affff9">
    <w:name w:val="Стандарт"/>
    <w:basedOn w:val="af1"/>
    <w:rsid w:val="00680AEA"/>
    <w:pPr>
      <w:spacing w:line="288" w:lineRule="auto"/>
      <w:ind w:firstLine="709"/>
      <w:jc w:val="both"/>
    </w:pPr>
    <w:rPr>
      <w:sz w:val="28"/>
    </w:rPr>
  </w:style>
  <w:style w:type="paragraph" w:customStyle="1" w:styleId="Heading">
    <w:name w:val="Heading"/>
    <w:uiPriority w:val="99"/>
    <w:rsid w:val="00680AEA"/>
    <w:pPr>
      <w:autoSpaceDE w:val="0"/>
      <w:autoSpaceDN w:val="0"/>
      <w:adjustRightInd w:val="0"/>
      <w:spacing w:after="0" w:line="240" w:lineRule="auto"/>
    </w:pPr>
    <w:rPr>
      <w:rFonts w:ascii="Arial" w:eastAsia="Times New Roman" w:hAnsi="Arial" w:cs="Arial"/>
      <w:b/>
      <w:bCs/>
      <w:lang w:eastAsia="ru-RU"/>
    </w:rPr>
  </w:style>
  <w:style w:type="paragraph" w:customStyle="1" w:styleId="affffa">
    <w:name w:val="Таблицы (моноширинный)"/>
    <w:basedOn w:val="af1"/>
    <w:next w:val="af1"/>
    <w:rsid w:val="00680AEA"/>
    <w:pPr>
      <w:widowControl w:val="0"/>
      <w:autoSpaceDE w:val="0"/>
      <w:autoSpaceDN w:val="0"/>
      <w:adjustRightInd w:val="0"/>
      <w:jc w:val="both"/>
    </w:pPr>
    <w:rPr>
      <w:rFonts w:ascii="Courier New" w:hAnsi="Courier New" w:cs="Courier New"/>
      <w:sz w:val="20"/>
      <w:szCs w:val="20"/>
    </w:rPr>
  </w:style>
  <w:style w:type="paragraph" w:customStyle="1" w:styleId="affffb">
    <w:name w:val="МОН"/>
    <w:basedOn w:val="af1"/>
    <w:rsid w:val="00680AEA"/>
    <w:pPr>
      <w:spacing w:line="360" w:lineRule="auto"/>
      <w:ind w:firstLine="709"/>
      <w:jc w:val="both"/>
    </w:pPr>
    <w:rPr>
      <w:sz w:val="28"/>
    </w:rPr>
  </w:style>
  <w:style w:type="paragraph" w:customStyle="1" w:styleId="affffc">
    <w:name w:val="Стиль"/>
    <w:rsid w:val="00680AEA"/>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1f3">
    <w:name w:val="Знак Знак1 Знак"/>
    <w:basedOn w:val="af1"/>
    <w:rsid w:val="00680AEA"/>
    <w:pPr>
      <w:widowControl w:val="0"/>
      <w:adjustRightInd w:val="0"/>
      <w:spacing w:after="160" w:line="240" w:lineRule="exact"/>
      <w:jc w:val="right"/>
    </w:pPr>
    <w:rPr>
      <w:sz w:val="20"/>
      <w:szCs w:val="20"/>
      <w:lang w:val="en-GB" w:eastAsia="en-US"/>
    </w:rPr>
  </w:style>
  <w:style w:type="paragraph" w:customStyle="1" w:styleId="211">
    <w:name w:val="Основной текст 21"/>
    <w:basedOn w:val="af1"/>
    <w:rsid w:val="00680AEA"/>
    <w:pPr>
      <w:overflowPunct w:val="0"/>
      <w:autoSpaceDE w:val="0"/>
      <w:autoSpaceDN w:val="0"/>
      <w:adjustRightInd w:val="0"/>
      <w:ind w:firstLine="709"/>
      <w:jc w:val="both"/>
    </w:pPr>
    <w:rPr>
      <w:szCs w:val="20"/>
    </w:rPr>
  </w:style>
  <w:style w:type="paragraph" w:customStyle="1" w:styleId="Style5">
    <w:name w:val="Style5"/>
    <w:basedOn w:val="af1"/>
    <w:uiPriority w:val="99"/>
    <w:rsid w:val="00680AEA"/>
    <w:pPr>
      <w:widowControl w:val="0"/>
      <w:autoSpaceDE w:val="0"/>
      <w:autoSpaceDN w:val="0"/>
      <w:adjustRightInd w:val="0"/>
      <w:spacing w:line="314" w:lineRule="exact"/>
      <w:jc w:val="both"/>
    </w:pPr>
    <w:rPr>
      <w:rFonts w:ascii="Lucida Sans Unicode" w:hAnsi="Lucida Sans Unicode"/>
    </w:rPr>
  </w:style>
  <w:style w:type="character" w:customStyle="1" w:styleId="FontStyle23">
    <w:name w:val="Font Style23"/>
    <w:rsid w:val="00680AEA"/>
    <w:rPr>
      <w:rFonts w:ascii="Lucida Sans Unicode" w:hAnsi="Lucida Sans Unicode" w:cs="Lucida Sans Unicode"/>
      <w:b/>
      <w:bCs/>
      <w:spacing w:val="-10"/>
      <w:sz w:val="20"/>
      <w:szCs w:val="20"/>
    </w:rPr>
  </w:style>
  <w:style w:type="character" w:customStyle="1" w:styleId="FontStyle24">
    <w:name w:val="Font Style24"/>
    <w:rsid w:val="00680AEA"/>
    <w:rPr>
      <w:rFonts w:ascii="Lucida Sans Unicode" w:hAnsi="Lucida Sans Unicode" w:cs="Lucida Sans Unicode"/>
      <w:b/>
      <w:bCs/>
      <w:sz w:val="20"/>
      <w:szCs w:val="20"/>
    </w:rPr>
  </w:style>
  <w:style w:type="character" w:customStyle="1" w:styleId="FontStyle26">
    <w:name w:val="Font Style26"/>
    <w:rsid w:val="00680AEA"/>
    <w:rPr>
      <w:rFonts w:ascii="Lucida Sans Unicode" w:hAnsi="Lucida Sans Unicode" w:cs="Lucida Sans Unicode"/>
      <w:spacing w:val="-20"/>
      <w:sz w:val="22"/>
      <w:szCs w:val="22"/>
    </w:rPr>
  </w:style>
  <w:style w:type="paragraph" w:customStyle="1" w:styleId="Style12">
    <w:name w:val="Style12"/>
    <w:basedOn w:val="af1"/>
    <w:rsid w:val="00680AEA"/>
    <w:pPr>
      <w:widowControl w:val="0"/>
      <w:autoSpaceDE w:val="0"/>
      <w:autoSpaceDN w:val="0"/>
      <w:adjustRightInd w:val="0"/>
      <w:spacing w:line="310" w:lineRule="exact"/>
      <w:ind w:firstLine="360"/>
      <w:jc w:val="both"/>
    </w:pPr>
    <w:rPr>
      <w:rFonts w:ascii="Lucida Sans Unicode" w:hAnsi="Lucida Sans Unicode"/>
    </w:rPr>
  </w:style>
  <w:style w:type="paragraph" w:customStyle="1" w:styleId="Style13">
    <w:name w:val="Style13"/>
    <w:basedOn w:val="af1"/>
    <w:rsid w:val="00680AEA"/>
    <w:pPr>
      <w:widowControl w:val="0"/>
      <w:autoSpaceDE w:val="0"/>
      <w:autoSpaceDN w:val="0"/>
      <w:adjustRightInd w:val="0"/>
      <w:spacing w:line="310" w:lineRule="exact"/>
      <w:ind w:firstLine="698"/>
      <w:jc w:val="both"/>
    </w:pPr>
    <w:rPr>
      <w:rFonts w:ascii="Lucida Sans Unicode" w:hAnsi="Lucida Sans Unicode"/>
    </w:rPr>
  </w:style>
  <w:style w:type="character" w:customStyle="1" w:styleId="FontStyle29">
    <w:name w:val="Font Style29"/>
    <w:rsid w:val="00680AEA"/>
    <w:rPr>
      <w:rFonts w:ascii="Bookman Old Style" w:hAnsi="Bookman Old Style" w:cs="Bookman Old Style"/>
      <w:i/>
      <w:iCs/>
      <w:spacing w:val="10"/>
      <w:sz w:val="22"/>
      <w:szCs w:val="22"/>
    </w:rPr>
  </w:style>
  <w:style w:type="character" w:customStyle="1" w:styleId="FontStyle31">
    <w:name w:val="Font Style31"/>
    <w:rsid w:val="00680AEA"/>
    <w:rPr>
      <w:rFonts w:ascii="Lucida Sans Unicode" w:hAnsi="Lucida Sans Unicode" w:cs="Lucida Sans Unicode"/>
      <w:sz w:val="20"/>
      <w:szCs w:val="20"/>
    </w:rPr>
  </w:style>
  <w:style w:type="character" w:customStyle="1" w:styleId="FontStyle35">
    <w:name w:val="Font Style35"/>
    <w:rsid w:val="00680AEA"/>
    <w:rPr>
      <w:rFonts w:ascii="Lucida Sans Unicode" w:hAnsi="Lucida Sans Unicode" w:cs="Lucida Sans Unicode"/>
      <w:spacing w:val="20"/>
      <w:sz w:val="20"/>
      <w:szCs w:val="20"/>
    </w:rPr>
  </w:style>
  <w:style w:type="paragraph" w:customStyle="1" w:styleId="Style17">
    <w:name w:val="Style17"/>
    <w:basedOn w:val="af1"/>
    <w:rsid w:val="00680AEA"/>
    <w:pPr>
      <w:widowControl w:val="0"/>
      <w:autoSpaceDE w:val="0"/>
      <w:autoSpaceDN w:val="0"/>
      <w:adjustRightInd w:val="0"/>
      <w:spacing w:line="317" w:lineRule="exact"/>
      <w:ind w:firstLine="698"/>
    </w:pPr>
    <w:rPr>
      <w:rFonts w:ascii="Lucida Sans Unicode" w:hAnsi="Lucida Sans Unicode"/>
    </w:rPr>
  </w:style>
  <w:style w:type="character" w:customStyle="1" w:styleId="FontStyle33">
    <w:name w:val="Font Style33"/>
    <w:rsid w:val="00680AEA"/>
    <w:rPr>
      <w:rFonts w:ascii="Lucida Sans Unicode" w:hAnsi="Lucida Sans Unicode" w:cs="Lucida Sans Unicode"/>
      <w:i/>
      <w:iCs/>
      <w:spacing w:val="-10"/>
      <w:sz w:val="14"/>
      <w:szCs w:val="14"/>
    </w:rPr>
  </w:style>
  <w:style w:type="character" w:customStyle="1" w:styleId="FontStyle50">
    <w:name w:val="Font Style50"/>
    <w:rsid w:val="00680AEA"/>
    <w:rPr>
      <w:rFonts w:ascii="Times New Roman" w:hAnsi="Times New Roman" w:cs="Times New Roman"/>
      <w:sz w:val="26"/>
      <w:szCs w:val="26"/>
    </w:rPr>
  </w:style>
  <w:style w:type="paragraph" w:customStyle="1" w:styleId="2d">
    <w:name w:val="Без интервала2"/>
    <w:uiPriority w:val="99"/>
    <w:rsid w:val="00680AEA"/>
    <w:pPr>
      <w:spacing w:after="0" w:line="240" w:lineRule="auto"/>
    </w:pPr>
    <w:rPr>
      <w:rFonts w:ascii="Calibri" w:eastAsia="Times New Roman" w:hAnsi="Calibri" w:cs="Times New Roman"/>
    </w:rPr>
  </w:style>
  <w:style w:type="paragraph" w:customStyle="1" w:styleId="1f4">
    <w:name w:val="Обычный (веб)1"/>
    <w:basedOn w:val="af1"/>
    <w:rsid w:val="00680AEA"/>
    <w:pPr>
      <w:suppressAutoHyphens/>
      <w:spacing w:line="100" w:lineRule="atLeast"/>
      <w:jc w:val="both"/>
    </w:pPr>
    <w:rPr>
      <w:rFonts w:ascii="Arial" w:eastAsia="Arial" w:hAnsi="Arial"/>
      <w:kern w:val="1"/>
      <w:sz w:val="28"/>
      <w:szCs w:val="20"/>
      <w:lang w:eastAsia="ar-SA"/>
    </w:rPr>
  </w:style>
  <w:style w:type="paragraph" w:customStyle="1" w:styleId="Char0">
    <w:name w:val="Char"/>
    <w:basedOn w:val="af1"/>
    <w:rsid w:val="00680AEA"/>
    <w:pPr>
      <w:keepLines/>
      <w:spacing w:after="160" w:line="240" w:lineRule="exact"/>
    </w:pPr>
    <w:rPr>
      <w:rFonts w:ascii="Verdana" w:eastAsia="MS Mincho" w:hAnsi="Verdana" w:cs="Franklin Gothic Book"/>
      <w:sz w:val="20"/>
      <w:szCs w:val="20"/>
      <w:lang w:val="en-US" w:eastAsia="en-US"/>
    </w:rPr>
  </w:style>
  <w:style w:type="paragraph" w:customStyle="1" w:styleId="1f5">
    <w:name w:val="Абзац списка1"/>
    <w:basedOn w:val="af1"/>
    <w:link w:val="ListParagraphChar"/>
    <w:rsid w:val="00680AEA"/>
    <w:pPr>
      <w:spacing w:after="200" w:line="276" w:lineRule="auto"/>
      <w:ind w:left="720"/>
      <w:contextualSpacing/>
    </w:pPr>
    <w:rPr>
      <w:rFonts w:ascii="Calibri" w:hAnsi="Calibri"/>
      <w:sz w:val="22"/>
      <w:szCs w:val="22"/>
      <w:lang w:eastAsia="en-US"/>
    </w:rPr>
  </w:style>
  <w:style w:type="character" w:customStyle="1" w:styleId="1f6">
    <w:name w:val="Подзаголовок Знак1"/>
    <w:basedOn w:val="af2"/>
    <w:uiPriority w:val="11"/>
    <w:rsid w:val="00680AEA"/>
    <w:rPr>
      <w:rFonts w:asciiTheme="minorHAnsi" w:eastAsiaTheme="minorEastAsia" w:hAnsiTheme="minorHAnsi" w:cstheme="minorBidi"/>
      <w:color w:val="5A5A5A" w:themeColor="text1" w:themeTint="A5"/>
      <w:spacing w:val="15"/>
      <w:sz w:val="22"/>
      <w:szCs w:val="22"/>
    </w:rPr>
  </w:style>
  <w:style w:type="character" w:customStyle="1" w:styleId="2e">
    <w:name w:val="Цитата 2 Знак"/>
    <w:link w:val="2f"/>
    <w:uiPriority w:val="29"/>
    <w:rsid w:val="00680AEA"/>
    <w:rPr>
      <w:rFonts w:eastAsia="Calibri"/>
      <w:i/>
      <w:iCs/>
      <w:color w:val="000000"/>
      <w:sz w:val="24"/>
    </w:rPr>
  </w:style>
  <w:style w:type="paragraph" w:styleId="2f">
    <w:name w:val="Quote"/>
    <w:basedOn w:val="af1"/>
    <w:next w:val="af1"/>
    <w:link w:val="2e"/>
    <w:uiPriority w:val="29"/>
    <w:qFormat/>
    <w:rsid w:val="00680AEA"/>
    <w:pPr>
      <w:spacing w:after="200"/>
    </w:pPr>
    <w:rPr>
      <w:rFonts w:asciiTheme="minorHAnsi" w:eastAsia="Calibri" w:hAnsiTheme="minorHAnsi" w:cstheme="minorBidi"/>
      <w:i/>
      <w:iCs/>
      <w:color w:val="000000"/>
      <w:szCs w:val="22"/>
      <w:lang w:eastAsia="en-US"/>
    </w:rPr>
  </w:style>
  <w:style w:type="character" w:customStyle="1" w:styleId="212">
    <w:name w:val="Цитата 2 Знак1"/>
    <w:basedOn w:val="af2"/>
    <w:uiPriority w:val="29"/>
    <w:rsid w:val="00680AEA"/>
    <w:rPr>
      <w:rFonts w:ascii="Times New Roman" w:eastAsia="Times New Roman" w:hAnsi="Times New Roman" w:cs="Times New Roman"/>
      <w:i/>
      <w:iCs/>
      <w:color w:val="404040" w:themeColor="text1" w:themeTint="BF"/>
      <w:sz w:val="24"/>
      <w:szCs w:val="24"/>
      <w:lang w:eastAsia="ru-RU"/>
    </w:rPr>
  </w:style>
  <w:style w:type="character" w:customStyle="1" w:styleId="affffd">
    <w:name w:val="Выделенная цитата Знак"/>
    <w:link w:val="affffe"/>
    <w:uiPriority w:val="30"/>
    <w:rsid w:val="00680AEA"/>
    <w:rPr>
      <w:rFonts w:eastAsia="Calibri"/>
      <w:b/>
      <w:bCs/>
      <w:i/>
      <w:iCs/>
      <w:color w:val="4F81BD"/>
      <w:sz w:val="24"/>
    </w:rPr>
  </w:style>
  <w:style w:type="paragraph" w:styleId="affffe">
    <w:name w:val="Intense Quote"/>
    <w:basedOn w:val="af1"/>
    <w:next w:val="af1"/>
    <w:link w:val="affffd"/>
    <w:uiPriority w:val="30"/>
    <w:qFormat/>
    <w:rsid w:val="00680AEA"/>
    <w:pPr>
      <w:pBdr>
        <w:bottom w:val="single" w:sz="4" w:space="4" w:color="4F81BD"/>
      </w:pBdr>
      <w:spacing w:before="200" w:after="280"/>
      <w:ind w:left="936" w:right="936"/>
    </w:pPr>
    <w:rPr>
      <w:rFonts w:asciiTheme="minorHAnsi" w:eastAsia="Calibri" w:hAnsiTheme="minorHAnsi" w:cstheme="minorBidi"/>
      <w:b/>
      <w:bCs/>
      <w:i/>
      <w:iCs/>
      <w:color w:val="4F81BD"/>
      <w:szCs w:val="22"/>
      <w:lang w:eastAsia="en-US"/>
    </w:rPr>
  </w:style>
  <w:style w:type="character" w:customStyle="1" w:styleId="1f7">
    <w:name w:val="Выделенная цитата Знак1"/>
    <w:basedOn w:val="af2"/>
    <w:uiPriority w:val="30"/>
    <w:rsid w:val="00680AEA"/>
    <w:rPr>
      <w:rFonts w:ascii="Times New Roman" w:eastAsia="Times New Roman" w:hAnsi="Times New Roman" w:cs="Times New Roman"/>
      <w:i/>
      <w:iCs/>
      <w:color w:val="4F81BD" w:themeColor="accent1"/>
      <w:sz w:val="24"/>
      <w:szCs w:val="24"/>
      <w:lang w:eastAsia="ru-RU"/>
    </w:rPr>
  </w:style>
  <w:style w:type="character" w:customStyle="1" w:styleId="1f8">
    <w:name w:val="Текст выноски Знак1"/>
    <w:basedOn w:val="af2"/>
    <w:uiPriority w:val="99"/>
    <w:rsid w:val="00680AEA"/>
    <w:rPr>
      <w:rFonts w:ascii="Segoe UI" w:hAnsi="Segoe UI" w:cs="Segoe UI"/>
      <w:sz w:val="18"/>
      <w:szCs w:val="18"/>
    </w:rPr>
  </w:style>
  <w:style w:type="character" w:customStyle="1" w:styleId="1f9">
    <w:name w:val="Текст сноски Знак1"/>
    <w:aliases w:val="single space Знак,Знак Знак Знак Знак Знак Знак1,Знак Знак Знак Знак Знак Знак Знак Знак Знак,Знак Знак Знак Знак Знак Знак Знак Знак1,Знак Знак Знак Знак Знак Знак Знак Знак Знак Знак Знак Знак,Знак Знак Знак Знак Знак Знак Знак1"/>
    <w:basedOn w:val="af2"/>
    <w:rsid w:val="00680AEA"/>
  </w:style>
  <w:style w:type="paragraph" w:customStyle="1" w:styleId="3d">
    <w:name w:val="Без интервала3"/>
    <w:rsid w:val="0084507C"/>
    <w:pPr>
      <w:widowControl w:val="0"/>
      <w:suppressAutoHyphens/>
    </w:pPr>
    <w:rPr>
      <w:rFonts w:ascii="Calibri" w:eastAsia="DejaVu Sans" w:hAnsi="Calibri" w:cs="Times New Roman"/>
      <w:kern w:val="2"/>
      <w:lang w:eastAsia="ar-SA"/>
    </w:rPr>
  </w:style>
  <w:style w:type="paragraph" w:styleId="afffff">
    <w:name w:val="endnote text"/>
    <w:basedOn w:val="af1"/>
    <w:link w:val="afffff0"/>
    <w:uiPriority w:val="99"/>
    <w:rsid w:val="0084507C"/>
    <w:rPr>
      <w:sz w:val="20"/>
      <w:szCs w:val="20"/>
    </w:rPr>
  </w:style>
  <w:style w:type="character" w:customStyle="1" w:styleId="afffff0">
    <w:name w:val="Текст концевой сноски Знак"/>
    <w:basedOn w:val="af2"/>
    <w:link w:val="afffff"/>
    <w:uiPriority w:val="99"/>
    <w:rsid w:val="0084507C"/>
    <w:rPr>
      <w:rFonts w:ascii="Times New Roman" w:eastAsia="Times New Roman" w:hAnsi="Times New Roman" w:cs="Times New Roman"/>
      <w:sz w:val="20"/>
      <w:szCs w:val="20"/>
      <w:lang w:eastAsia="ru-RU"/>
    </w:rPr>
  </w:style>
  <w:style w:type="character" w:styleId="afffff1">
    <w:name w:val="endnote reference"/>
    <w:uiPriority w:val="99"/>
    <w:rsid w:val="0084507C"/>
    <w:rPr>
      <w:vertAlign w:val="superscript"/>
    </w:rPr>
  </w:style>
  <w:style w:type="character" w:customStyle="1" w:styleId="FontStyle49">
    <w:name w:val="Font Style49"/>
    <w:basedOn w:val="af2"/>
    <w:rsid w:val="0084507C"/>
  </w:style>
  <w:style w:type="numbering" w:customStyle="1" w:styleId="101">
    <w:name w:val="Нет списка10"/>
    <w:next w:val="af4"/>
    <w:uiPriority w:val="99"/>
    <w:semiHidden/>
    <w:unhideWhenUsed/>
    <w:rsid w:val="00DB48F8"/>
  </w:style>
  <w:style w:type="table" w:customStyle="1" w:styleId="102">
    <w:name w:val="Сетка таблицы10"/>
    <w:basedOn w:val="af3"/>
    <w:next w:val="affa"/>
    <w:rsid w:val="00DB48F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paragraphstyle">
    <w:name w:val="[No paragraph style]"/>
    <w:rsid w:val="005E0172"/>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ru-RU"/>
    </w:rPr>
  </w:style>
  <w:style w:type="numbering" w:customStyle="1" w:styleId="110">
    <w:name w:val="Нет списка11"/>
    <w:next w:val="af4"/>
    <w:uiPriority w:val="99"/>
    <w:semiHidden/>
    <w:unhideWhenUsed/>
    <w:rsid w:val="001A2327"/>
  </w:style>
  <w:style w:type="character" w:customStyle="1" w:styleId="afffff2">
    <w:name w:val="Нет"/>
    <w:uiPriority w:val="99"/>
    <w:rsid w:val="00D02243"/>
  </w:style>
  <w:style w:type="character" w:customStyle="1" w:styleId="Hyperlink0">
    <w:name w:val="Hyperlink.0"/>
    <w:uiPriority w:val="99"/>
    <w:rsid w:val="00D02243"/>
    <w:rPr>
      <w:color w:val="0000FF"/>
      <w:spacing w:val="0"/>
      <w:kern w:val="0"/>
      <w:position w:val="0"/>
      <w:sz w:val="22"/>
      <w:szCs w:val="22"/>
      <w:u w:val="single" w:color="0000FF"/>
      <w:vertAlign w:val="baseline"/>
      <w:lang w:val="ru-RU"/>
    </w:rPr>
  </w:style>
  <w:style w:type="table" w:customStyle="1" w:styleId="112">
    <w:name w:val="Сетка таблицы11"/>
    <w:basedOn w:val="af3"/>
    <w:next w:val="affa"/>
    <w:uiPriority w:val="99"/>
    <w:rsid w:val="000D448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f4"/>
    <w:uiPriority w:val="99"/>
    <w:semiHidden/>
    <w:unhideWhenUsed/>
    <w:rsid w:val="00643A23"/>
  </w:style>
  <w:style w:type="table" w:customStyle="1" w:styleId="121">
    <w:name w:val="Сетка таблицы12"/>
    <w:basedOn w:val="af3"/>
    <w:next w:val="affa"/>
    <w:rsid w:val="00643A2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Нет списка13"/>
    <w:next w:val="af4"/>
    <w:uiPriority w:val="99"/>
    <w:semiHidden/>
    <w:unhideWhenUsed/>
    <w:rsid w:val="001F575F"/>
  </w:style>
  <w:style w:type="paragraph" w:customStyle="1" w:styleId="ConsPlusDocList">
    <w:name w:val="ConsPlusDocList"/>
    <w:rsid w:val="001F575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JurTerm">
    <w:name w:val="ConsPlusJurTerm"/>
    <w:uiPriority w:val="99"/>
    <w:rsid w:val="001F575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1F575F"/>
    <w:pPr>
      <w:widowControl w:val="0"/>
      <w:autoSpaceDE w:val="0"/>
      <w:autoSpaceDN w:val="0"/>
      <w:spacing w:after="0" w:line="240" w:lineRule="auto"/>
    </w:pPr>
    <w:rPr>
      <w:rFonts w:ascii="Arial" w:eastAsia="Times New Roman" w:hAnsi="Arial" w:cs="Arial"/>
      <w:sz w:val="20"/>
      <w:szCs w:val="20"/>
      <w:lang w:eastAsia="ru-RU"/>
    </w:rPr>
  </w:style>
  <w:style w:type="numbering" w:customStyle="1" w:styleId="140">
    <w:name w:val="Нет списка14"/>
    <w:next w:val="af4"/>
    <w:uiPriority w:val="99"/>
    <w:semiHidden/>
    <w:unhideWhenUsed/>
    <w:rsid w:val="004170F2"/>
  </w:style>
  <w:style w:type="numbering" w:customStyle="1" w:styleId="150">
    <w:name w:val="Нет списка15"/>
    <w:next w:val="af4"/>
    <w:semiHidden/>
    <w:unhideWhenUsed/>
    <w:rsid w:val="007F4CD5"/>
  </w:style>
  <w:style w:type="numbering" w:customStyle="1" w:styleId="160">
    <w:name w:val="Нет списка16"/>
    <w:next w:val="af4"/>
    <w:semiHidden/>
    <w:unhideWhenUsed/>
    <w:rsid w:val="007F4CD5"/>
  </w:style>
  <w:style w:type="numbering" w:customStyle="1" w:styleId="170">
    <w:name w:val="Нет списка17"/>
    <w:next w:val="af4"/>
    <w:uiPriority w:val="99"/>
    <w:semiHidden/>
    <w:unhideWhenUsed/>
    <w:rsid w:val="00117712"/>
  </w:style>
  <w:style w:type="table" w:customStyle="1" w:styleId="133">
    <w:name w:val="Сетка таблицы13"/>
    <w:basedOn w:val="af3"/>
    <w:next w:val="affa"/>
    <w:rsid w:val="001177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a">
    <w:name w:val="Заголовок1"/>
    <w:basedOn w:val="af1"/>
    <w:next w:val="af5"/>
    <w:rsid w:val="008C0F04"/>
    <w:pPr>
      <w:keepNext/>
      <w:widowControl w:val="0"/>
      <w:suppressAutoHyphens/>
      <w:spacing w:before="240" w:after="120"/>
    </w:pPr>
    <w:rPr>
      <w:rFonts w:ascii="Arial" w:eastAsia="Lucida Sans Unicode" w:hAnsi="Arial" w:cs="Mangal"/>
      <w:kern w:val="1"/>
      <w:sz w:val="28"/>
      <w:szCs w:val="28"/>
      <w:lang w:eastAsia="zh-CN" w:bidi="hi-IN"/>
    </w:rPr>
  </w:style>
  <w:style w:type="paragraph" w:styleId="afffff3">
    <w:name w:val="List"/>
    <w:aliases w:val="List Char"/>
    <w:basedOn w:val="af5"/>
    <w:rsid w:val="008C0F04"/>
    <w:pPr>
      <w:widowControl w:val="0"/>
      <w:suppressAutoHyphens/>
      <w:spacing w:after="120"/>
      <w:jc w:val="left"/>
    </w:pPr>
    <w:rPr>
      <w:rFonts w:eastAsia="Lucida Sans Unicode" w:cs="Mangal"/>
      <w:b w:val="0"/>
      <w:bCs w:val="0"/>
      <w:kern w:val="1"/>
      <w:sz w:val="24"/>
      <w:lang w:eastAsia="zh-CN" w:bidi="hi-IN"/>
    </w:rPr>
  </w:style>
  <w:style w:type="paragraph" w:customStyle="1" w:styleId="1fb">
    <w:name w:val="Указатель1"/>
    <w:basedOn w:val="af1"/>
    <w:rsid w:val="008C0F04"/>
    <w:pPr>
      <w:widowControl w:val="0"/>
      <w:suppressLineNumbers/>
      <w:suppressAutoHyphens/>
    </w:pPr>
    <w:rPr>
      <w:rFonts w:eastAsia="Lucida Sans Unicode" w:cs="Mangal"/>
      <w:kern w:val="1"/>
      <w:lang w:eastAsia="zh-CN" w:bidi="hi-IN"/>
    </w:rPr>
  </w:style>
  <w:style w:type="paragraph" w:customStyle="1" w:styleId="ConsCell">
    <w:name w:val="ConsCell"/>
    <w:rsid w:val="008C0F04"/>
    <w:pPr>
      <w:widowControl w:val="0"/>
      <w:suppressAutoHyphens/>
      <w:autoSpaceDE w:val="0"/>
      <w:spacing w:after="0" w:line="240" w:lineRule="auto"/>
    </w:pPr>
    <w:rPr>
      <w:rFonts w:ascii="Arial" w:eastAsia="Times New Roman" w:hAnsi="Arial" w:cs="Arial"/>
      <w:sz w:val="20"/>
      <w:szCs w:val="20"/>
      <w:lang w:eastAsia="zh-CN"/>
    </w:rPr>
  </w:style>
  <w:style w:type="character" w:customStyle="1" w:styleId="WW8Num1z0">
    <w:name w:val="WW8Num1z0"/>
    <w:rsid w:val="008C0F04"/>
  </w:style>
  <w:style w:type="character" w:customStyle="1" w:styleId="WW8Num1z1">
    <w:name w:val="WW8Num1z1"/>
    <w:rsid w:val="008C0F04"/>
  </w:style>
  <w:style w:type="character" w:customStyle="1" w:styleId="WW8Num1z2">
    <w:name w:val="WW8Num1z2"/>
    <w:rsid w:val="008C0F04"/>
  </w:style>
  <w:style w:type="character" w:customStyle="1" w:styleId="WW8Num1z3">
    <w:name w:val="WW8Num1z3"/>
    <w:rsid w:val="008C0F04"/>
  </w:style>
  <w:style w:type="character" w:customStyle="1" w:styleId="WW8Num1z4">
    <w:name w:val="WW8Num1z4"/>
    <w:rsid w:val="008C0F04"/>
  </w:style>
  <w:style w:type="character" w:customStyle="1" w:styleId="WW8Num1z5">
    <w:name w:val="WW8Num1z5"/>
    <w:rsid w:val="008C0F04"/>
  </w:style>
  <w:style w:type="character" w:customStyle="1" w:styleId="WW8Num1z6">
    <w:name w:val="WW8Num1z6"/>
    <w:rsid w:val="008C0F04"/>
  </w:style>
  <w:style w:type="character" w:customStyle="1" w:styleId="WW8Num1z7">
    <w:name w:val="WW8Num1z7"/>
    <w:rsid w:val="008C0F04"/>
  </w:style>
  <w:style w:type="character" w:customStyle="1" w:styleId="WW8Num1z8">
    <w:name w:val="WW8Num1z8"/>
    <w:rsid w:val="008C0F04"/>
  </w:style>
  <w:style w:type="character" w:customStyle="1" w:styleId="2f0">
    <w:name w:val="Основной шрифт абзаца2"/>
    <w:rsid w:val="008C0F04"/>
  </w:style>
  <w:style w:type="character" w:customStyle="1" w:styleId="WW8Num2zfalse">
    <w:name w:val="WW8Num2zfalse"/>
    <w:rsid w:val="008C0F04"/>
  </w:style>
  <w:style w:type="character" w:customStyle="1" w:styleId="WW8Num2ztrue">
    <w:name w:val="WW8Num2ztrue"/>
    <w:rsid w:val="008C0F04"/>
  </w:style>
  <w:style w:type="character" w:customStyle="1" w:styleId="WW-WW8Num2ztrue">
    <w:name w:val="WW-WW8Num2ztrue"/>
    <w:rsid w:val="008C0F04"/>
  </w:style>
  <w:style w:type="character" w:customStyle="1" w:styleId="WW-WW8Num2ztrue1">
    <w:name w:val="WW-WW8Num2ztrue1"/>
    <w:rsid w:val="008C0F04"/>
  </w:style>
  <w:style w:type="character" w:customStyle="1" w:styleId="WW-WW8Num2ztrue2">
    <w:name w:val="WW-WW8Num2ztrue2"/>
    <w:rsid w:val="008C0F04"/>
  </w:style>
  <w:style w:type="character" w:customStyle="1" w:styleId="WW-WW8Num2ztrue3">
    <w:name w:val="WW-WW8Num2ztrue3"/>
    <w:rsid w:val="008C0F04"/>
  </w:style>
  <w:style w:type="character" w:customStyle="1" w:styleId="WW-WW8Num2ztrue4">
    <w:name w:val="WW-WW8Num2ztrue4"/>
    <w:rsid w:val="008C0F04"/>
  </w:style>
  <w:style w:type="character" w:customStyle="1" w:styleId="WW-WW8Num2ztrue5">
    <w:name w:val="WW-WW8Num2ztrue5"/>
    <w:rsid w:val="008C0F04"/>
  </w:style>
  <w:style w:type="character" w:customStyle="1" w:styleId="WW-WW8Num2ztrue6">
    <w:name w:val="WW-WW8Num2ztrue6"/>
    <w:rsid w:val="008C0F04"/>
  </w:style>
  <w:style w:type="character" w:customStyle="1" w:styleId="WW8Num1ztrue">
    <w:name w:val="WW8Num1ztrue"/>
    <w:rsid w:val="008C0F04"/>
  </w:style>
  <w:style w:type="character" w:customStyle="1" w:styleId="WW-WW8Num1ztrue">
    <w:name w:val="WW-WW8Num1ztrue"/>
    <w:rsid w:val="008C0F04"/>
  </w:style>
  <w:style w:type="character" w:customStyle="1" w:styleId="WW-WW8Num1ztrue1">
    <w:name w:val="WW-WW8Num1ztrue1"/>
    <w:rsid w:val="008C0F04"/>
  </w:style>
  <w:style w:type="character" w:customStyle="1" w:styleId="WW-WW8Num1ztrue2">
    <w:name w:val="WW-WW8Num1ztrue2"/>
    <w:rsid w:val="008C0F04"/>
  </w:style>
  <w:style w:type="character" w:customStyle="1" w:styleId="WW-WW8Num1ztrue3">
    <w:name w:val="WW-WW8Num1ztrue3"/>
    <w:rsid w:val="008C0F04"/>
  </w:style>
  <w:style w:type="character" w:customStyle="1" w:styleId="WW-WW8Num1ztrue4">
    <w:name w:val="WW-WW8Num1ztrue4"/>
    <w:rsid w:val="008C0F04"/>
  </w:style>
  <w:style w:type="character" w:customStyle="1" w:styleId="WW-WW8Num1ztrue5">
    <w:name w:val="WW-WW8Num1ztrue5"/>
    <w:rsid w:val="008C0F04"/>
  </w:style>
  <w:style w:type="character" w:customStyle="1" w:styleId="WW-WW8Num1ztrue6">
    <w:name w:val="WW-WW8Num1ztrue6"/>
    <w:rsid w:val="008C0F04"/>
  </w:style>
  <w:style w:type="character" w:customStyle="1" w:styleId="1fc">
    <w:name w:val="Основной шрифт абзаца1"/>
    <w:rsid w:val="008C0F04"/>
  </w:style>
  <w:style w:type="character" w:customStyle="1" w:styleId="afffff4">
    <w:name w:val="Символ сноски"/>
    <w:rsid w:val="008C0F04"/>
    <w:rPr>
      <w:vertAlign w:val="superscript"/>
    </w:rPr>
  </w:style>
  <w:style w:type="character" w:customStyle="1" w:styleId="1fd">
    <w:name w:val="Знак сноски1"/>
    <w:rsid w:val="008C0F04"/>
    <w:rPr>
      <w:vertAlign w:val="superscript"/>
    </w:rPr>
  </w:style>
  <w:style w:type="character" w:styleId="afffff5">
    <w:name w:val="line number"/>
    <w:uiPriority w:val="99"/>
    <w:rsid w:val="008C0F04"/>
  </w:style>
  <w:style w:type="paragraph" w:customStyle="1" w:styleId="2f1">
    <w:name w:val="Указатель2"/>
    <w:basedOn w:val="af1"/>
    <w:rsid w:val="008C0F04"/>
    <w:pPr>
      <w:suppressLineNumbers/>
      <w:suppressAutoHyphens/>
    </w:pPr>
    <w:rPr>
      <w:rFonts w:cs="Mangal"/>
      <w:lang w:eastAsia="zh-CN"/>
    </w:rPr>
  </w:style>
  <w:style w:type="paragraph" w:customStyle="1" w:styleId="1fe">
    <w:name w:val="Название объекта1"/>
    <w:basedOn w:val="af1"/>
    <w:rsid w:val="008C0F04"/>
    <w:pPr>
      <w:suppressLineNumbers/>
      <w:suppressAutoHyphens/>
      <w:spacing w:before="120" w:after="120"/>
    </w:pPr>
    <w:rPr>
      <w:rFonts w:cs="Mangal"/>
      <w:i/>
      <w:iCs/>
      <w:lang w:eastAsia="zh-CN"/>
    </w:rPr>
  </w:style>
  <w:style w:type="paragraph" w:customStyle="1" w:styleId="afffff6">
    <w:name w:val="Содержимое таблицы"/>
    <w:basedOn w:val="af1"/>
    <w:rsid w:val="008C0F04"/>
    <w:pPr>
      <w:suppressLineNumbers/>
      <w:suppressAutoHyphens/>
    </w:pPr>
    <w:rPr>
      <w:lang w:eastAsia="zh-CN"/>
    </w:rPr>
  </w:style>
  <w:style w:type="paragraph" w:customStyle="1" w:styleId="afffff7">
    <w:name w:val="Заголовок таблицы"/>
    <w:basedOn w:val="afffff6"/>
    <w:rsid w:val="008C0F04"/>
    <w:pPr>
      <w:jc w:val="center"/>
    </w:pPr>
    <w:rPr>
      <w:b/>
      <w:bCs/>
    </w:rPr>
  </w:style>
  <w:style w:type="paragraph" w:customStyle="1" w:styleId="afffff8">
    <w:name w:val="Содержимое врезки"/>
    <w:basedOn w:val="af5"/>
    <w:rsid w:val="008C0F04"/>
    <w:pPr>
      <w:suppressAutoHyphens/>
      <w:spacing w:after="120"/>
      <w:jc w:val="left"/>
    </w:pPr>
    <w:rPr>
      <w:b w:val="0"/>
      <w:bCs w:val="0"/>
      <w:sz w:val="24"/>
      <w:lang w:eastAsia="zh-CN"/>
    </w:rPr>
  </w:style>
  <w:style w:type="paragraph" w:customStyle="1" w:styleId="Textbody">
    <w:name w:val="Text body"/>
    <w:basedOn w:val="af1"/>
    <w:rsid w:val="008C0F04"/>
    <w:pPr>
      <w:suppressAutoHyphens/>
      <w:spacing w:after="120"/>
    </w:pPr>
    <w:rPr>
      <w:color w:val="000000"/>
      <w:sz w:val="20"/>
      <w:szCs w:val="20"/>
      <w:lang w:eastAsia="zh-CN"/>
    </w:rPr>
  </w:style>
  <w:style w:type="paragraph" w:customStyle="1" w:styleId="afffff9">
    <w:name w:val="Блочная цитата"/>
    <w:basedOn w:val="af1"/>
    <w:rsid w:val="008C0F04"/>
    <w:pPr>
      <w:suppressAutoHyphens/>
      <w:spacing w:after="283"/>
      <w:ind w:left="567" w:right="567"/>
    </w:pPr>
    <w:rPr>
      <w:lang w:eastAsia="zh-CN"/>
    </w:rPr>
  </w:style>
  <w:style w:type="numbering" w:customStyle="1" w:styleId="180">
    <w:name w:val="Нет списка18"/>
    <w:next w:val="af4"/>
    <w:uiPriority w:val="99"/>
    <w:semiHidden/>
    <w:unhideWhenUsed/>
    <w:rsid w:val="00D63D9A"/>
  </w:style>
  <w:style w:type="table" w:customStyle="1" w:styleId="141">
    <w:name w:val="Сетка таблицы14"/>
    <w:basedOn w:val="af3"/>
    <w:next w:val="affa"/>
    <w:rsid w:val="00D63D9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
    <w:basedOn w:val="af3"/>
    <w:next w:val="affa"/>
    <w:uiPriority w:val="59"/>
    <w:rsid w:val="000B4526"/>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2">
    <w:name w:val="Абзац списка2"/>
    <w:basedOn w:val="af1"/>
    <w:rsid w:val="00395912"/>
    <w:pPr>
      <w:spacing w:line="300" w:lineRule="auto"/>
      <w:ind w:left="720" w:firstLine="720"/>
    </w:pPr>
    <w:rPr>
      <w:rFonts w:eastAsia="Calibri"/>
    </w:rPr>
  </w:style>
  <w:style w:type="character" w:customStyle="1" w:styleId="FontStyle15">
    <w:name w:val="Font Style15"/>
    <w:basedOn w:val="af2"/>
    <w:uiPriority w:val="99"/>
    <w:rsid w:val="00D7243D"/>
    <w:rPr>
      <w:rFonts w:ascii="Times New Roman" w:hAnsi="Times New Roman" w:cs="Times New Roman" w:hint="default"/>
      <w:sz w:val="24"/>
      <w:szCs w:val="24"/>
    </w:rPr>
  </w:style>
  <w:style w:type="character" w:customStyle="1" w:styleId="FontStyle13">
    <w:name w:val="Font Style13"/>
    <w:basedOn w:val="af2"/>
    <w:uiPriority w:val="99"/>
    <w:rsid w:val="00D7243D"/>
    <w:rPr>
      <w:rFonts w:ascii="Times New Roman" w:hAnsi="Times New Roman" w:cs="Times New Roman" w:hint="default"/>
      <w:i/>
      <w:iCs/>
      <w:sz w:val="24"/>
      <w:szCs w:val="24"/>
    </w:rPr>
  </w:style>
  <w:style w:type="paragraph" w:customStyle="1" w:styleId="Style4">
    <w:name w:val="Style4"/>
    <w:basedOn w:val="af1"/>
    <w:rsid w:val="00D7243D"/>
    <w:pPr>
      <w:widowControl w:val="0"/>
      <w:autoSpaceDE w:val="0"/>
      <w:autoSpaceDN w:val="0"/>
      <w:adjustRightInd w:val="0"/>
      <w:spacing w:line="446" w:lineRule="exact"/>
      <w:ind w:firstLine="859"/>
      <w:jc w:val="both"/>
    </w:pPr>
    <w:rPr>
      <w:rFonts w:eastAsiaTheme="minorEastAsia"/>
    </w:rPr>
  </w:style>
  <w:style w:type="paragraph" w:customStyle="1" w:styleId="textjus">
    <w:name w:val="textjus"/>
    <w:basedOn w:val="af1"/>
    <w:rsid w:val="008759C6"/>
    <w:pPr>
      <w:spacing w:before="100" w:beforeAutospacing="1" w:after="100" w:afterAutospacing="1"/>
    </w:pPr>
  </w:style>
  <w:style w:type="paragraph" w:customStyle="1" w:styleId="3e">
    <w:name w:val="Абзац списка3"/>
    <w:basedOn w:val="af1"/>
    <w:rsid w:val="008759C6"/>
    <w:pPr>
      <w:ind w:left="720"/>
    </w:pPr>
    <w:rPr>
      <w:rFonts w:eastAsia="Calibri"/>
      <w:sz w:val="20"/>
      <w:szCs w:val="20"/>
    </w:rPr>
  </w:style>
  <w:style w:type="paragraph" w:customStyle="1" w:styleId="formattext">
    <w:name w:val="formattext"/>
    <w:basedOn w:val="af1"/>
    <w:rsid w:val="00AA4968"/>
    <w:pPr>
      <w:spacing w:before="100" w:beforeAutospacing="1" w:after="100" w:afterAutospacing="1"/>
    </w:pPr>
  </w:style>
  <w:style w:type="numbering" w:customStyle="1" w:styleId="190">
    <w:name w:val="Нет списка19"/>
    <w:next w:val="af4"/>
    <w:uiPriority w:val="99"/>
    <w:semiHidden/>
    <w:unhideWhenUsed/>
    <w:rsid w:val="006B25FB"/>
  </w:style>
  <w:style w:type="table" w:customStyle="1" w:styleId="161">
    <w:name w:val="Сетка таблицы16"/>
    <w:basedOn w:val="af3"/>
    <w:next w:val="affa"/>
    <w:rsid w:val="006B25F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4pt">
    <w:name w:val="Заголовок №1 + 14 pt"/>
    <w:basedOn w:val="af2"/>
    <w:rsid w:val="00D70DB0"/>
    <w:rPr>
      <w:b/>
      <w:bCs/>
      <w:sz w:val="28"/>
      <w:szCs w:val="28"/>
      <w:lang w:bidi="ar-SA"/>
    </w:rPr>
  </w:style>
  <w:style w:type="paragraph" w:customStyle="1" w:styleId="xl284">
    <w:name w:val="xl284"/>
    <w:basedOn w:val="af1"/>
    <w:rsid w:val="00D70DB0"/>
    <w:pPr>
      <w:pBdr>
        <w:top w:val="single" w:sz="4" w:space="0" w:color="auto"/>
        <w:left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85">
    <w:name w:val="xl285"/>
    <w:basedOn w:val="af1"/>
    <w:rsid w:val="00D70DB0"/>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character" w:customStyle="1" w:styleId="113">
    <w:name w:val="Основной текст (11)"/>
    <w:basedOn w:val="af2"/>
    <w:uiPriority w:val="99"/>
    <w:rsid w:val="00A531D5"/>
    <w:rPr>
      <w:rFonts w:cs="Times New Roman"/>
      <w:sz w:val="14"/>
      <w:szCs w:val="14"/>
    </w:rPr>
  </w:style>
  <w:style w:type="paragraph" w:customStyle="1" w:styleId="45">
    <w:name w:val="Без интервала4"/>
    <w:rsid w:val="00933A80"/>
    <w:pPr>
      <w:widowControl w:val="0"/>
      <w:suppressAutoHyphens/>
    </w:pPr>
    <w:rPr>
      <w:rFonts w:ascii="Calibri" w:eastAsia="DejaVu Sans" w:hAnsi="Calibri" w:cs="Times New Roman"/>
      <w:kern w:val="2"/>
      <w:lang w:eastAsia="ar-SA"/>
    </w:rPr>
  </w:style>
  <w:style w:type="paragraph" w:customStyle="1" w:styleId="afffffa">
    <w:name w:val="Алексей"/>
    <w:basedOn w:val="af1"/>
    <w:qFormat/>
    <w:rsid w:val="00C03AF2"/>
    <w:pPr>
      <w:spacing w:line="360" w:lineRule="auto"/>
      <w:ind w:firstLine="709"/>
      <w:jc w:val="both"/>
    </w:pPr>
    <w:rPr>
      <w:sz w:val="28"/>
      <w:szCs w:val="28"/>
    </w:rPr>
  </w:style>
  <w:style w:type="paragraph" w:customStyle="1" w:styleId="p1">
    <w:name w:val="p1"/>
    <w:basedOn w:val="af1"/>
    <w:rsid w:val="00C03AF2"/>
    <w:pPr>
      <w:spacing w:before="100" w:beforeAutospacing="1" w:after="100" w:afterAutospacing="1"/>
    </w:pPr>
  </w:style>
  <w:style w:type="paragraph" w:customStyle="1" w:styleId="p3">
    <w:name w:val="p3"/>
    <w:basedOn w:val="af1"/>
    <w:rsid w:val="00C03AF2"/>
    <w:pPr>
      <w:spacing w:before="100" w:beforeAutospacing="1" w:after="100" w:afterAutospacing="1"/>
    </w:pPr>
  </w:style>
  <w:style w:type="character" w:customStyle="1" w:styleId="s10">
    <w:name w:val="s1"/>
    <w:basedOn w:val="af2"/>
    <w:rsid w:val="00C03AF2"/>
  </w:style>
  <w:style w:type="character" w:customStyle="1" w:styleId="s3">
    <w:name w:val="s3"/>
    <w:basedOn w:val="af2"/>
    <w:rsid w:val="00C03AF2"/>
  </w:style>
  <w:style w:type="paragraph" w:customStyle="1" w:styleId="p5">
    <w:name w:val="p5"/>
    <w:basedOn w:val="af1"/>
    <w:rsid w:val="00C03AF2"/>
    <w:pPr>
      <w:spacing w:before="100" w:beforeAutospacing="1" w:after="100" w:afterAutospacing="1"/>
    </w:pPr>
  </w:style>
  <w:style w:type="paragraph" w:customStyle="1" w:styleId="consplusnormal1">
    <w:name w:val="consplusnormal"/>
    <w:basedOn w:val="af1"/>
    <w:rsid w:val="00A3635E"/>
    <w:pPr>
      <w:spacing w:before="100" w:beforeAutospacing="1" w:after="100" w:afterAutospacing="1"/>
    </w:pPr>
  </w:style>
  <w:style w:type="character" w:styleId="afffffb">
    <w:name w:val="Intense Emphasis"/>
    <w:qFormat/>
    <w:rsid w:val="00A3635E"/>
    <w:rPr>
      <w:b/>
      <w:bCs/>
      <w:i/>
      <w:iCs/>
      <w:color w:val="4F81BD"/>
    </w:rPr>
  </w:style>
  <w:style w:type="numbering" w:customStyle="1" w:styleId="200">
    <w:name w:val="Нет списка20"/>
    <w:next w:val="af4"/>
    <w:uiPriority w:val="99"/>
    <w:semiHidden/>
    <w:unhideWhenUsed/>
    <w:rsid w:val="003A59D1"/>
  </w:style>
  <w:style w:type="paragraph" w:styleId="afffffc">
    <w:name w:val="Body Text First Indent"/>
    <w:basedOn w:val="af5"/>
    <w:link w:val="afffffd"/>
    <w:rsid w:val="00B30B0C"/>
    <w:pPr>
      <w:spacing w:after="120"/>
      <w:ind w:firstLine="210"/>
      <w:jc w:val="left"/>
    </w:pPr>
    <w:rPr>
      <w:b w:val="0"/>
      <w:bCs w:val="0"/>
      <w:sz w:val="24"/>
    </w:rPr>
  </w:style>
  <w:style w:type="character" w:customStyle="1" w:styleId="afffffd">
    <w:name w:val="Красная строка Знак"/>
    <w:basedOn w:val="af6"/>
    <w:link w:val="afffffc"/>
    <w:rsid w:val="00B30B0C"/>
    <w:rPr>
      <w:rFonts w:ascii="Times New Roman" w:eastAsia="Times New Roman" w:hAnsi="Times New Roman" w:cs="Times New Roman"/>
      <w:b w:val="0"/>
      <w:bCs w:val="0"/>
      <w:sz w:val="24"/>
      <w:szCs w:val="24"/>
      <w:lang w:eastAsia="ru-RU"/>
    </w:rPr>
  </w:style>
  <w:style w:type="numbering" w:customStyle="1" w:styleId="213">
    <w:name w:val="Нет списка21"/>
    <w:next w:val="af4"/>
    <w:uiPriority w:val="99"/>
    <w:semiHidden/>
    <w:unhideWhenUsed/>
    <w:rsid w:val="008C28D8"/>
  </w:style>
  <w:style w:type="character" w:customStyle="1" w:styleId="FontStyle14">
    <w:name w:val="Font Style14"/>
    <w:basedOn w:val="af2"/>
    <w:uiPriority w:val="99"/>
    <w:rsid w:val="008C28D8"/>
    <w:rPr>
      <w:rFonts w:ascii="Times New Roman" w:hAnsi="Times New Roman" w:cs="Times New Roman"/>
      <w:sz w:val="26"/>
      <w:szCs w:val="26"/>
    </w:rPr>
  </w:style>
  <w:style w:type="table" w:customStyle="1" w:styleId="171">
    <w:name w:val="Сетка таблицы17"/>
    <w:basedOn w:val="af3"/>
    <w:next w:val="affa"/>
    <w:uiPriority w:val="59"/>
    <w:rsid w:val="008C28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3">
    <w:name w:val="Без интервала5"/>
    <w:rsid w:val="00F624BE"/>
    <w:pPr>
      <w:widowControl w:val="0"/>
      <w:suppressAutoHyphens/>
    </w:pPr>
    <w:rPr>
      <w:rFonts w:ascii="Calibri" w:eastAsia="DejaVu Sans" w:hAnsi="Calibri" w:cs="Times New Roman"/>
      <w:kern w:val="2"/>
      <w:lang w:eastAsia="ar-SA"/>
    </w:rPr>
  </w:style>
  <w:style w:type="numbering" w:customStyle="1" w:styleId="220">
    <w:name w:val="Нет списка22"/>
    <w:next w:val="af4"/>
    <w:uiPriority w:val="99"/>
    <w:semiHidden/>
    <w:unhideWhenUsed/>
    <w:rsid w:val="002B7555"/>
  </w:style>
  <w:style w:type="paragraph" w:customStyle="1" w:styleId="afffffe">
    <w:name w:val="Текст (лев. подпись)"/>
    <w:basedOn w:val="af1"/>
    <w:next w:val="af1"/>
    <w:rsid w:val="002B7555"/>
    <w:pPr>
      <w:widowControl w:val="0"/>
      <w:autoSpaceDE w:val="0"/>
      <w:autoSpaceDN w:val="0"/>
      <w:adjustRightInd w:val="0"/>
    </w:pPr>
    <w:rPr>
      <w:rFonts w:ascii="Arial" w:hAnsi="Arial"/>
      <w:sz w:val="20"/>
      <w:szCs w:val="20"/>
    </w:rPr>
  </w:style>
  <w:style w:type="paragraph" w:customStyle="1" w:styleId="affffff">
    <w:name w:val="Текст (прав. подпись)"/>
    <w:basedOn w:val="af1"/>
    <w:next w:val="af1"/>
    <w:rsid w:val="002B7555"/>
    <w:pPr>
      <w:widowControl w:val="0"/>
      <w:autoSpaceDE w:val="0"/>
      <w:autoSpaceDN w:val="0"/>
      <w:adjustRightInd w:val="0"/>
      <w:jc w:val="right"/>
    </w:pPr>
    <w:rPr>
      <w:rFonts w:ascii="Arial" w:hAnsi="Arial"/>
      <w:sz w:val="20"/>
      <w:szCs w:val="20"/>
    </w:rPr>
  </w:style>
  <w:style w:type="table" w:customStyle="1" w:styleId="181">
    <w:name w:val="Сетка таблицы18"/>
    <w:basedOn w:val="af3"/>
    <w:next w:val="affa"/>
    <w:rsid w:val="002B7555"/>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
    <w:name w:val="Таб1"/>
    <w:basedOn w:val="af1"/>
    <w:link w:val="1Char"/>
    <w:qFormat/>
    <w:rsid w:val="002B7555"/>
    <w:pPr>
      <w:jc w:val="both"/>
    </w:pPr>
    <w:rPr>
      <w:sz w:val="28"/>
      <w:lang w:eastAsia="en-US"/>
    </w:rPr>
  </w:style>
  <w:style w:type="character" w:customStyle="1" w:styleId="1Char">
    <w:name w:val="Таб1 Char"/>
    <w:link w:val="1ff"/>
    <w:rsid w:val="002B7555"/>
    <w:rPr>
      <w:rFonts w:ascii="Times New Roman" w:eastAsia="Times New Roman" w:hAnsi="Times New Roman" w:cs="Times New Roman"/>
      <w:sz w:val="28"/>
      <w:szCs w:val="24"/>
    </w:rPr>
  </w:style>
  <w:style w:type="paragraph" w:customStyle="1" w:styleId="affffff0">
    <w:name w:val="Игорь"/>
    <w:basedOn w:val="af1"/>
    <w:rsid w:val="002B7555"/>
    <w:pPr>
      <w:ind w:right="-1" w:firstLine="709"/>
      <w:jc w:val="both"/>
    </w:pPr>
    <w:rPr>
      <w:color w:val="000080"/>
      <w:sz w:val="28"/>
      <w:szCs w:val="20"/>
    </w:rPr>
  </w:style>
  <w:style w:type="numbering" w:customStyle="1" w:styleId="230">
    <w:name w:val="Нет списка23"/>
    <w:next w:val="af4"/>
    <w:uiPriority w:val="99"/>
    <w:semiHidden/>
    <w:unhideWhenUsed/>
    <w:rsid w:val="00BC4B3A"/>
  </w:style>
  <w:style w:type="paragraph" w:customStyle="1" w:styleId="46">
    <w:name w:val="Обычный4"/>
    <w:rsid w:val="00B71E22"/>
    <w:pPr>
      <w:spacing w:after="0" w:line="240" w:lineRule="auto"/>
      <w:jc w:val="both"/>
    </w:pPr>
    <w:rPr>
      <w:rFonts w:ascii="Times New Roman" w:eastAsia="Times New Roman" w:hAnsi="Times New Roman" w:cs="Times New Roman"/>
      <w:sz w:val="28"/>
      <w:szCs w:val="20"/>
      <w:lang w:eastAsia="ru-RU"/>
    </w:rPr>
  </w:style>
  <w:style w:type="paragraph" w:customStyle="1" w:styleId="2f3">
    <w:name w:val="Название2"/>
    <w:basedOn w:val="46"/>
    <w:rsid w:val="00B71E22"/>
    <w:pPr>
      <w:jc w:val="center"/>
    </w:pPr>
    <w:rPr>
      <w:rFonts w:ascii="Arial" w:hAnsi="Arial"/>
      <w:sz w:val="24"/>
    </w:rPr>
  </w:style>
  <w:style w:type="paragraph" w:customStyle="1" w:styleId="221">
    <w:name w:val="Заголовок 22"/>
    <w:basedOn w:val="46"/>
    <w:next w:val="46"/>
    <w:rsid w:val="00B71E22"/>
    <w:pPr>
      <w:keepNext/>
      <w:jc w:val="center"/>
      <w:outlineLvl w:val="1"/>
    </w:pPr>
    <w:rPr>
      <w:rFonts w:ascii="Arial" w:hAnsi="Arial"/>
      <w:sz w:val="24"/>
    </w:rPr>
  </w:style>
  <w:style w:type="paragraph" w:customStyle="1" w:styleId="320">
    <w:name w:val="Основной текст 32"/>
    <w:basedOn w:val="46"/>
    <w:rsid w:val="00B71E22"/>
    <w:pPr>
      <w:jc w:val="left"/>
    </w:pPr>
    <w:rPr>
      <w:rFonts w:ascii="Arial" w:hAnsi="Arial"/>
      <w:color w:val="FF0000"/>
    </w:rPr>
  </w:style>
  <w:style w:type="character" w:customStyle="1" w:styleId="affe">
    <w:name w:val="Обычный (веб) Знак"/>
    <w:aliases w:val="Обычный (Web) Знак, Знак Знак10 Знак,Обычный (веб)3 Знак"/>
    <w:link w:val="affd"/>
    <w:locked/>
    <w:rsid w:val="00B71E22"/>
    <w:rPr>
      <w:rFonts w:ascii="Times New Roman" w:eastAsia="Times New Roman" w:hAnsi="Times New Roman" w:cs="Times New Roman"/>
      <w:sz w:val="24"/>
      <w:szCs w:val="24"/>
      <w:lang w:eastAsia="ru-RU"/>
    </w:rPr>
  </w:style>
  <w:style w:type="character" w:customStyle="1" w:styleId="2f4">
    <w:name w:val="Основной текст Знак2"/>
    <w:aliases w:val="Основной текст1 Знак,bt Знак,Основной текст Знак1 Знак"/>
    <w:locked/>
    <w:rsid w:val="00B71E22"/>
    <w:rPr>
      <w:rFonts w:ascii="Courier New" w:hAnsi="Courier New"/>
      <w:sz w:val="24"/>
    </w:rPr>
  </w:style>
  <w:style w:type="paragraph" w:customStyle="1" w:styleId="BodyText211BodyTextIndent">
    <w:name w:val="Body Text 2.Мой Заголовок 1.Основной текст 1.Нумерованный список !!.Надин стиль.Body Text Indent"/>
    <w:basedOn w:val="af1"/>
    <w:uiPriority w:val="99"/>
    <w:rsid w:val="00B71E22"/>
    <w:pPr>
      <w:autoSpaceDE w:val="0"/>
      <w:autoSpaceDN w:val="0"/>
      <w:jc w:val="both"/>
    </w:pPr>
    <w:rPr>
      <w:sz w:val="28"/>
      <w:szCs w:val="28"/>
    </w:rPr>
  </w:style>
  <w:style w:type="character" w:customStyle="1" w:styleId="Pro-text">
    <w:name w:val="Pro-text Знак Знак Знак"/>
    <w:link w:val="Pro-text0"/>
    <w:locked/>
    <w:rsid w:val="00B71E22"/>
    <w:rPr>
      <w:rFonts w:ascii="Georgia" w:hAnsi="Georgia"/>
      <w:szCs w:val="24"/>
      <w:lang w:val="en-US" w:bidi="en-US"/>
    </w:rPr>
  </w:style>
  <w:style w:type="paragraph" w:customStyle="1" w:styleId="Pro-text0">
    <w:name w:val="Pro-text Знак Знак"/>
    <w:basedOn w:val="af1"/>
    <w:link w:val="Pro-text"/>
    <w:rsid w:val="00B71E22"/>
    <w:pPr>
      <w:spacing w:before="120" w:line="288" w:lineRule="auto"/>
      <w:ind w:left="1200"/>
      <w:jc w:val="both"/>
    </w:pPr>
    <w:rPr>
      <w:rFonts w:ascii="Georgia" w:eastAsiaTheme="minorHAnsi" w:hAnsi="Georgia" w:cstheme="minorBidi"/>
      <w:sz w:val="22"/>
      <w:lang w:val="en-US" w:eastAsia="en-US" w:bidi="en-US"/>
    </w:rPr>
  </w:style>
  <w:style w:type="character" w:customStyle="1" w:styleId="affffff1">
    <w:name w:val="Осн.текст Знак"/>
    <w:link w:val="affffff2"/>
    <w:locked/>
    <w:rsid w:val="00B71E22"/>
    <w:rPr>
      <w:rFonts w:ascii="Arial" w:hAnsi="Arial" w:cs="Arial"/>
    </w:rPr>
  </w:style>
  <w:style w:type="paragraph" w:customStyle="1" w:styleId="affffff2">
    <w:name w:val="Осн.текст"/>
    <w:basedOn w:val="af1"/>
    <w:link w:val="affffff1"/>
    <w:rsid w:val="00B71E22"/>
    <w:pPr>
      <w:spacing w:line="288" w:lineRule="auto"/>
      <w:ind w:right="792" w:firstLine="720"/>
      <w:jc w:val="both"/>
    </w:pPr>
    <w:rPr>
      <w:rFonts w:ascii="Arial" w:eastAsiaTheme="minorHAnsi" w:hAnsi="Arial" w:cs="Arial"/>
      <w:sz w:val="22"/>
      <w:szCs w:val="22"/>
      <w:lang w:eastAsia="en-US"/>
    </w:rPr>
  </w:style>
  <w:style w:type="character" w:customStyle="1" w:styleId="CharChar4">
    <w:name w:val="Char Char4 Знак Знак Знак Знак"/>
    <w:link w:val="CharChar40"/>
    <w:locked/>
    <w:rsid w:val="00B71E22"/>
    <w:rPr>
      <w:rFonts w:ascii="Verdana" w:hAnsi="Verdana"/>
      <w:lang w:val="en-US"/>
    </w:rPr>
  </w:style>
  <w:style w:type="paragraph" w:customStyle="1" w:styleId="CharChar40">
    <w:name w:val="Char Char4 Знак Знак Знак"/>
    <w:basedOn w:val="af1"/>
    <w:link w:val="CharChar4"/>
    <w:rsid w:val="00B71E22"/>
    <w:pPr>
      <w:spacing w:after="160" w:line="240" w:lineRule="exact"/>
    </w:pPr>
    <w:rPr>
      <w:rFonts w:ascii="Verdana" w:eastAsiaTheme="minorHAnsi" w:hAnsi="Verdana" w:cstheme="minorBidi"/>
      <w:sz w:val="22"/>
      <w:szCs w:val="22"/>
      <w:lang w:val="en-US" w:eastAsia="en-US"/>
    </w:rPr>
  </w:style>
  <w:style w:type="paragraph" w:customStyle="1" w:styleId="2f5">
    <w:name w:val="Знак2"/>
    <w:basedOn w:val="af1"/>
    <w:rsid w:val="00B71E22"/>
    <w:pPr>
      <w:spacing w:after="160" w:line="240" w:lineRule="exact"/>
    </w:pPr>
    <w:rPr>
      <w:rFonts w:ascii="Verdana" w:hAnsi="Verdana"/>
      <w:sz w:val="20"/>
      <w:szCs w:val="20"/>
      <w:lang w:val="en-US" w:eastAsia="en-US"/>
    </w:rPr>
  </w:style>
  <w:style w:type="paragraph" w:customStyle="1" w:styleId="affffff3">
    <w:name w:val="Знак Знак Знак Знак"/>
    <w:basedOn w:val="af1"/>
    <w:uiPriority w:val="99"/>
    <w:rsid w:val="00B71E22"/>
    <w:pPr>
      <w:spacing w:after="160" w:line="240" w:lineRule="exact"/>
    </w:pPr>
    <w:rPr>
      <w:rFonts w:ascii="Verdana" w:hAnsi="Verdana"/>
      <w:sz w:val="20"/>
      <w:szCs w:val="20"/>
      <w:lang w:val="en-US" w:eastAsia="en-US"/>
    </w:rPr>
  </w:style>
  <w:style w:type="character" w:customStyle="1" w:styleId="affffff4">
    <w:name w:val="Обычный ~ Марк Знак"/>
    <w:link w:val="affffff5"/>
    <w:locked/>
    <w:rsid w:val="00B71E22"/>
    <w:rPr>
      <w:rFonts w:ascii="Cambria" w:eastAsia="Calibri" w:hAnsi="Cambria"/>
      <w:sz w:val="24"/>
      <w:szCs w:val="24"/>
    </w:rPr>
  </w:style>
  <w:style w:type="paragraph" w:customStyle="1" w:styleId="affffff5">
    <w:name w:val="Обычный ~ Марк"/>
    <w:basedOn w:val="af1"/>
    <w:link w:val="affffff4"/>
    <w:autoRedefine/>
    <w:rsid w:val="00B71E22"/>
    <w:pPr>
      <w:framePr w:hSpace="180" w:wrap="around" w:hAnchor="margin" w:xAlign="center" w:y="644"/>
      <w:spacing w:after="60" w:line="280" w:lineRule="exact"/>
      <w:ind w:left="21"/>
    </w:pPr>
    <w:rPr>
      <w:rFonts w:ascii="Cambria" w:eastAsia="Calibri" w:hAnsi="Cambria" w:cstheme="minorBidi"/>
      <w:lang w:eastAsia="en-US"/>
    </w:rPr>
  </w:style>
  <w:style w:type="paragraph" w:customStyle="1" w:styleId="214">
    <w:name w:val="Основной текст с отступом 21"/>
    <w:basedOn w:val="af1"/>
    <w:rsid w:val="00B71E22"/>
    <w:pPr>
      <w:widowControl w:val="0"/>
      <w:suppressAutoHyphens/>
      <w:spacing w:after="120" w:line="480" w:lineRule="auto"/>
      <w:ind w:left="283"/>
    </w:pPr>
    <w:rPr>
      <w:rFonts w:eastAsia="Arial Unicode MS"/>
      <w:kern w:val="2"/>
    </w:rPr>
  </w:style>
  <w:style w:type="paragraph" w:styleId="1ff0">
    <w:name w:val="toc 1"/>
    <w:basedOn w:val="af1"/>
    <w:next w:val="af1"/>
    <w:link w:val="1ff1"/>
    <w:autoRedefine/>
    <w:uiPriority w:val="39"/>
    <w:qFormat/>
    <w:rsid w:val="00B71E22"/>
    <w:pPr>
      <w:tabs>
        <w:tab w:val="right" w:leader="dot" w:pos="9911"/>
      </w:tabs>
    </w:pPr>
  </w:style>
  <w:style w:type="paragraph" w:styleId="2f6">
    <w:name w:val="toc 2"/>
    <w:basedOn w:val="af1"/>
    <w:next w:val="af1"/>
    <w:autoRedefine/>
    <w:uiPriority w:val="39"/>
    <w:qFormat/>
    <w:rsid w:val="00B71E22"/>
    <w:pPr>
      <w:tabs>
        <w:tab w:val="right" w:leader="dot" w:pos="9911"/>
      </w:tabs>
      <w:spacing w:line="360" w:lineRule="auto"/>
      <w:ind w:firstLine="284"/>
    </w:pPr>
    <w:rPr>
      <w:noProof/>
      <w:sz w:val="28"/>
      <w:szCs w:val="28"/>
    </w:rPr>
  </w:style>
  <w:style w:type="paragraph" w:customStyle="1" w:styleId="affffff6">
    <w:name w:val="Знак Знак Знак Знак Знак Знак Знак Знак Знак Знак Знак Знак Знак Знак Знак Знак Знак Знак Знак Знак Знак Знак Знак Знак Знак Знак Знак Знак"/>
    <w:basedOn w:val="af1"/>
    <w:autoRedefine/>
    <w:rsid w:val="00B71E22"/>
    <w:pPr>
      <w:tabs>
        <w:tab w:val="left" w:pos="2160"/>
      </w:tabs>
      <w:spacing w:before="120" w:line="240" w:lineRule="exact"/>
      <w:jc w:val="both"/>
    </w:pPr>
    <w:rPr>
      <w:noProof/>
      <w:lang w:val="en-US"/>
    </w:rPr>
  </w:style>
  <w:style w:type="character" w:customStyle="1" w:styleId="ConsPlusNormal0">
    <w:name w:val="ConsPlusNormal Знак"/>
    <w:link w:val="ConsPlusNormal"/>
    <w:uiPriority w:val="99"/>
    <w:locked/>
    <w:rsid w:val="00B71E22"/>
    <w:rPr>
      <w:rFonts w:ascii="Arial" w:eastAsia="Times New Roman" w:hAnsi="Arial" w:cs="Arial"/>
      <w:sz w:val="20"/>
      <w:szCs w:val="20"/>
      <w:lang w:eastAsia="ru-RU"/>
    </w:rPr>
  </w:style>
  <w:style w:type="character" w:customStyle="1" w:styleId="311">
    <w:name w:val="Основной текст с отступом 3 Знак1"/>
    <w:rsid w:val="00B71E22"/>
    <w:rPr>
      <w:sz w:val="16"/>
      <w:szCs w:val="16"/>
    </w:rPr>
  </w:style>
  <w:style w:type="character" w:customStyle="1" w:styleId="215">
    <w:name w:val="Основной текст 2 Знак1"/>
    <w:uiPriority w:val="99"/>
    <w:rsid w:val="00B71E22"/>
  </w:style>
  <w:style w:type="character" w:customStyle="1" w:styleId="1ff2">
    <w:name w:val="Основной текст с отступом Знак1"/>
    <w:aliases w:val="Основной текст 1 Знак2,Мой Заголовок 1 Знак2,Нумерованный список !! Знак2,Надин стиль Знак2,Основной текст с отступом1 Знак2,Основной текст с отступом11 Знак1,Body Text Indent Знак1,Основной Знак"/>
    <w:rsid w:val="00B71E22"/>
    <w:rPr>
      <w:sz w:val="24"/>
      <w:szCs w:val="24"/>
    </w:rPr>
  </w:style>
  <w:style w:type="character" w:customStyle="1" w:styleId="FontStyle16">
    <w:name w:val="Font Style16"/>
    <w:uiPriority w:val="99"/>
    <w:rsid w:val="00B71E22"/>
    <w:rPr>
      <w:rFonts w:ascii="Times New Roman" w:hAnsi="Times New Roman" w:cs="Times New Roman" w:hint="default"/>
      <w:b/>
      <w:bCs/>
      <w:sz w:val="26"/>
      <w:szCs w:val="26"/>
    </w:rPr>
  </w:style>
  <w:style w:type="paragraph" w:customStyle="1" w:styleId="headertext">
    <w:name w:val="headertext"/>
    <w:basedOn w:val="af1"/>
    <w:rsid w:val="00B71E22"/>
    <w:pPr>
      <w:spacing w:before="100" w:beforeAutospacing="1" w:after="100" w:afterAutospacing="1"/>
    </w:pPr>
    <w:rPr>
      <w:rFonts w:eastAsia="Calibri"/>
    </w:rPr>
  </w:style>
  <w:style w:type="character" w:styleId="affffff7">
    <w:name w:val="Subtle Emphasis"/>
    <w:uiPriority w:val="19"/>
    <w:qFormat/>
    <w:rsid w:val="00B71E22"/>
    <w:rPr>
      <w:i/>
      <w:iCs/>
      <w:color w:val="808080"/>
    </w:rPr>
  </w:style>
  <w:style w:type="numbering" w:customStyle="1" w:styleId="1110">
    <w:name w:val="Нет списка111"/>
    <w:next w:val="af4"/>
    <w:uiPriority w:val="99"/>
    <w:semiHidden/>
    <w:rsid w:val="00B71E22"/>
  </w:style>
  <w:style w:type="table" w:customStyle="1" w:styleId="216">
    <w:name w:val="Сетка таблицы21"/>
    <w:basedOn w:val="af3"/>
    <w:next w:val="affa"/>
    <w:uiPriority w:val="99"/>
    <w:rsid w:val="00B71E2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f3"/>
    <w:next w:val="affa"/>
    <w:uiPriority w:val="59"/>
    <w:rsid w:val="00B71E2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1f5"/>
    <w:locked/>
    <w:rsid w:val="00B71E22"/>
    <w:rPr>
      <w:rFonts w:ascii="Calibri" w:eastAsia="Times New Roman" w:hAnsi="Calibri" w:cs="Times New Roman"/>
    </w:rPr>
  </w:style>
  <w:style w:type="character" w:customStyle="1" w:styleId="217">
    <w:name w:val="Основной текст с отступом 2 Знак1"/>
    <w:locked/>
    <w:rsid w:val="00B71E22"/>
    <w:rPr>
      <w:rFonts w:ascii="Times New Roman" w:eastAsia="Times New Roman" w:hAnsi="Times New Roman" w:cs="Times New Roman"/>
      <w:sz w:val="24"/>
      <w:szCs w:val="24"/>
      <w:lang w:eastAsia="ru-RU"/>
    </w:rPr>
  </w:style>
  <w:style w:type="paragraph" w:customStyle="1" w:styleId="affffff8">
    <w:name w:val="заг табл"/>
    <w:basedOn w:val="af1"/>
    <w:rsid w:val="00B71E22"/>
    <w:pPr>
      <w:spacing w:after="240" w:line="288" w:lineRule="auto"/>
      <w:jc w:val="center"/>
    </w:pPr>
    <w:rPr>
      <w:rFonts w:ascii="Arial" w:hAnsi="Arial" w:cs="Arial"/>
      <w:b/>
      <w:szCs w:val="20"/>
    </w:rPr>
  </w:style>
  <w:style w:type="character" w:customStyle="1" w:styleId="114">
    <w:name w:val="Основной текст 1 Знак Знак1"/>
    <w:locked/>
    <w:rsid w:val="00B71E22"/>
    <w:rPr>
      <w:sz w:val="24"/>
      <w:szCs w:val="24"/>
      <w:lang w:val="ru-RU" w:eastAsia="ru-RU" w:bidi="ar-SA"/>
    </w:rPr>
  </w:style>
  <w:style w:type="character" w:customStyle="1" w:styleId="affffff9">
    <w:name w:val="Цветовое выделение"/>
    <w:uiPriority w:val="99"/>
    <w:rsid w:val="00B71E22"/>
    <w:rPr>
      <w:b/>
      <w:bCs/>
      <w:color w:val="000080"/>
    </w:rPr>
  </w:style>
  <w:style w:type="character" w:customStyle="1" w:styleId="47">
    <w:name w:val="Знак Знак4"/>
    <w:rsid w:val="00B71E22"/>
    <w:rPr>
      <w:sz w:val="24"/>
      <w:szCs w:val="24"/>
      <w:lang w:val="ru-RU" w:eastAsia="ru-RU" w:bidi="ar-SA"/>
    </w:rPr>
  </w:style>
  <w:style w:type="paragraph" w:customStyle="1" w:styleId="2f7">
    <w:name w:val="Знак Знак Знак Знак2"/>
    <w:basedOn w:val="af1"/>
    <w:rsid w:val="00B71E22"/>
    <w:pPr>
      <w:spacing w:before="100" w:beforeAutospacing="1" w:after="100" w:afterAutospacing="1"/>
    </w:pPr>
    <w:rPr>
      <w:rFonts w:ascii="Tahoma" w:hAnsi="Tahoma"/>
      <w:sz w:val="20"/>
      <w:szCs w:val="20"/>
      <w:lang w:val="en-US" w:eastAsia="en-US"/>
    </w:rPr>
  </w:style>
  <w:style w:type="paragraph" w:customStyle="1" w:styleId="affffffa">
    <w:name w:val="Номер"/>
    <w:basedOn w:val="af1"/>
    <w:rsid w:val="00B71E22"/>
    <w:pPr>
      <w:jc w:val="center"/>
    </w:pPr>
    <w:rPr>
      <w:sz w:val="28"/>
      <w:szCs w:val="20"/>
    </w:rPr>
  </w:style>
  <w:style w:type="character" w:customStyle="1" w:styleId="affffffb">
    <w:name w:val="Знак Знак"/>
    <w:rsid w:val="00B71E22"/>
    <w:rPr>
      <w:sz w:val="16"/>
      <w:szCs w:val="16"/>
      <w:lang w:val="ru-RU" w:eastAsia="ru-RU" w:bidi="ar-SA"/>
    </w:rPr>
  </w:style>
  <w:style w:type="paragraph" w:customStyle="1" w:styleId="affffffc">
    <w:name w:val="Постановление"/>
    <w:basedOn w:val="af1"/>
    <w:rsid w:val="00B71E22"/>
    <w:pPr>
      <w:jc w:val="center"/>
    </w:pPr>
    <w:rPr>
      <w:spacing w:val="-14"/>
      <w:sz w:val="30"/>
      <w:szCs w:val="20"/>
    </w:rPr>
  </w:style>
  <w:style w:type="character" w:customStyle="1" w:styleId="2f8">
    <w:name w:val="Знак Знак2"/>
    <w:uiPriority w:val="99"/>
    <w:rsid w:val="00B71E22"/>
    <w:rPr>
      <w:sz w:val="24"/>
      <w:szCs w:val="24"/>
      <w:lang w:val="ru-RU" w:eastAsia="ru-RU" w:bidi="ar-SA"/>
    </w:rPr>
  </w:style>
  <w:style w:type="paragraph" w:customStyle="1" w:styleId="1ff3">
    <w:name w:val="Заголовок 1К"/>
    <w:basedOn w:val="af1"/>
    <w:autoRedefine/>
    <w:rsid w:val="00B71E22"/>
    <w:pPr>
      <w:ind w:right="-108"/>
    </w:pPr>
  </w:style>
  <w:style w:type="paragraph" w:customStyle="1" w:styleId="xl31">
    <w:name w:val="xl31"/>
    <w:basedOn w:val="af1"/>
    <w:rsid w:val="00B71E22"/>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BodyText21">
    <w:name w:val="Body Text 21"/>
    <w:basedOn w:val="af1"/>
    <w:rsid w:val="00B71E22"/>
    <w:pPr>
      <w:overflowPunct w:val="0"/>
      <w:autoSpaceDE w:val="0"/>
      <w:autoSpaceDN w:val="0"/>
      <w:adjustRightInd w:val="0"/>
      <w:ind w:firstLine="720"/>
      <w:jc w:val="both"/>
    </w:pPr>
    <w:rPr>
      <w:sz w:val="28"/>
      <w:szCs w:val="20"/>
    </w:rPr>
  </w:style>
  <w:style w:type="paragraph" w:customStyle="1" w:styleId="FR1">
    <w:name w:val="FR1"/>
    <w:rsid w:val="00B71E22"/>
    <w:pPr>
      <w:widowControl w:val="0"/>
      <w:autoSpaceDE w:val="0"/>
      <w:autoSpaceDN w:val="0"/>
      <w:adjustRightInd w:val="0"/>
      <w:spacing w:after="0" w:line="260" w:lineRule="auto"/>
      <w:ind w:firstLine="720"/>
      <w:jc w:val="both"/>
    </w:pPr>
    <w:rPr>
      <w:rFonts w:ascii="Times New Roman" w:eastAsia="Times New Roman" w:hAnsi="Times New Roman" w:cs="Times New Roman"/>
      <w:sz w:val="28"/>
      <w:szCs w:val="20"/>
      <w:lang w:eastAsia="ru-RU"/>
    </w:rPr>
  </w:style>
  <w:style w:type="character" w:customStyle="1" w:styleId="1ff4">
    <w:name w:val="Текст Знак1"/>
    <w:uiPriority w:val="99"/>
    <w:rsid w:val="00B71E22"/>
    <w:rPr>
      <w:rFonts w:ascii="Courier New" w:hAnsi="Courier New" w:cs="Courier New"/>
    </w:rPr>
  </w:style>
  <w:style w:type="character" w:customStyle="1" w:styleId="FontStyle11">
    <w:name w:val="Font Style11"/>
    <w:uiPriority w:val="99"/>
    <w:rsid w:val="00B71E22"/>
    <w:rPr>
      <w:rFonts w:ascii="Times New Roman" w:hAnsi="Times New Roman" w:cs="Times New Roman"/>
      <w:sz w:val="26"/>
      <w:szCs w:val="26"/>
    </w:rPr>
  </w:style>
  <w:style w:type="character" w:customStyle="1" w:styleId="3f">
    <w:name w:val="Знак Знак3"/>
    <w:locked/>
    <w:rsid w:val="00B71E22"/>
    <w:rPr>
      <w:sz w:val="24"/>
      <w:szCs w:val="24"/>
      <w:lang w:val="ru-RU" w:eastAsia="ru-RU" w:bidi="ar-SA"/>
    </w:rPr>
  </w:style>
  <w:style w:type="character" w:customStyle="1" w:styleId="news-text">
    <w:name w:val="news-text"/>
    <w:rsid w:val="00B71E22"/>
  </w:style>
  <w:style w:type="paragraph" w:customStyle="1" w:styleId="1ff5">
    <w:name w:val="Знак Знак Знак1 Знак Знак Знак Знак Знак Знак Знак Знак"/>
    <w:basedOn w:val="af1"/>
    <w:rsid w:val="00B71E22"/>
    <w:pPr>
      <w:spacing w:before="100" w:beforeAutospacing="1" w:after="100" w:afterAutospacing="1"/>
    </w:pPr>
    <w:rPr>
      <w:rFonts w:ascii="Tahoma" w:hAnsi="Tahoma"/>
      <w:sz w:val="20"/>
      <w:szCs w:val="20"/>
      <w:lang w:val="en-US" w:eastAsia="en-US"/>
    </w:rPr>
  </w:style>
  <w:style w:type="character" w:customStyle="1" w:styleId="73">
    <w:name w:val="Знак Знак7"/>
    <w:locked/>
    <w:rsid w:val="00B71E22"/>
    <w:rPr>
      <w:sz w:val="24"/>
      <w:szCs w:val="24"/>
      <w:lang w:val="ru-RU" w:eastAsia="ru-RU" w:bidi="ar-SA"/>
    </w:rPr>
  </w:style>
  <w:style w:type="character" w:customStyle="1" w:styleId="FontStyle12">
    <w:name w:val="Font Style12"/>
    <w:uiPriority w:val="99"/>
    <w:rsid w:val="00B71E22"/>
    <w:rPr>
      <w:rFonts w:ascii="Times New Roman" w:hAnsi="Times New Roman" w:cs="Times New Roman"/>
      <w:sz w:val="24"/>
      <w:szCs w:val="24"/>
    </w:rPr>
  </w:style>
  <w:style w:type="character" w:customStyle="1" w:styleId="dash0410043104370430044600200441043f04380441043a0430char">
    <w:name w:val="dash0410_0431_0437_0430_0446_0020_0441_043f_0438_0441_043a_0430__char"/>
    <w:rsid w:val="00B71E22"/>
    <w:rPr>
      <w:rFonts w:cs="Times New Roman"/>
    </w:rPr>
  </w:style>
  <w:style w:type="paragraph" w:customStyle="1" w:styleId="affffffd">
    <w:name w:val="основной"/>
    <w:basedOn w:val="af1"/>
    <w:rsid w:val="00B71E22"/>
    <w:pPr>
      <w:ind w:firstLine="567"/>
      <w:jc w:val="both"/>
    </w:pPr>
    <w:rPr>
      <w:sz w:val="28"/>
      <w:szCs w:val="20"/>
    </w:rPr>
  </w:style>
  <w:style w:type="paragraph" w:customStyle="1" w:styleId="affffffe">
    <w:name w:val="Текстовый блок"/>
    <w:rsid w:val="00B71E22"/>
    <w:pPr>
      <w:spacing w:after="0" w:line="240" w:lineRule="auto"/>
    </w:pPr>
    <w:rPr>
      <w:rFonts w:ascii="Helvetica" w:eastAsia="ヒラギノ角ゴ Pro W3" w:hAnsi="Helvetica" w:cs="Times New Roman"/>
      <w:color w:val="000000"/>
      <w:sz w:val="24"/>
      <w:szCs w:val="20"/>
      <w:lang w:eastAsia="ru-RU"/>
    </w:rPr>
  </w:style>
  <w:style w:type="paragraph" w:customStyle="1" w:styleId="s4-wptoptable1">
    <w:name w:val="s4-wptoptable1"/>
    <w:basedOn w:val="af1"/>
    <w:rsid w:val="00B71E22"/>
    <w:pPr>
      <w:spacing w:before="100" w:beforeAutospacing="1" w:after="100" w:afterAutospacing="1"/>
    </w:pPr>
  </w:style>
  <w:style w:type="character" w:customStyle="1" w:styleId="12pt">
    <w:name w:val="Основной текст + 12 pt"/>
    <w:rsid w:val="00B71E22"/>
    <w:rPr>
      <w:rFonts w:ascii="Times New Roman" w:eastAsia="Times New Roman" w:hAnsi="Times New Roman" w:cs="Times New Roman"/>
      <w:sz w:val="28"/>
      <w:szCs w:val="28"/>
      <w:shd w:val="clear" w:color="auto" w:fill="FFFFFF"/>
    </w:rPr>
  </w:style>
  <w:style w:type="character" w:customStyle="1" w:styleId="MicrosoftSansSerif115pt">
    <w:name w:val="Основной текст + Microsoft Sans Serif;11;5 pt;Курсив"/>
    <w:rsid w:val="00B71E22"/>
    <w:rPr>
      <w:rFonts w:ascii="Times New Roman" w:eastAsia="Times New Roman" w:hAnsi="Times New Roman" w:cs="Times New Roman"/>
      <w:sz w:val="28"/>
      <w:szCs w:val="28"/>
      <w:shd w:val="clear" w:color="auto" w:fill="FFFFFF"/>
    </w:rPr>
  </w:style>
  <w:style w:type="paragraph" w:customStyle="1" w:styleId="afffffff">
    <w:name w:val="Текст в заданном формате"/>
    <w:basedOn w:val="af1"/>
    <w:rsid w:val="00B71E22"/>
    <w:pPr>
      <w:widowControl w:val="0"/>
      <w:suppressAutoHyphens/>
    </w:pPr>
    <w:rPr>
      <w:rFonts w:ascii="Courier New" w:eastAsia="NSimSun" w:hAnsi="Courier New" w:cs="Courier New"/>
      <w:sz w:val="20"/>
      <w:szCs w:val="20"/>
      <w:lang w:val="de-DE" w:eastAsia="hi-IN" w:bidi="hi-IN"/>
    </w:rPr>
  </w:style>
  <w:style w:type="paragraph" w:styleId="afffffff0">
    <w:name w:val="TOC Heading"/>
    <w:basedOn w:val="10"/>
    <w:next w:val="af1"/>
    <w:uiPriority w:val="39"/>
    <w:unhideWhenUsed/>
    <w:qFormat/>
    <w:rsid w:val="00B71E22"/>
    <w:pPr>
      <w:keepLines/>
      <w:spacing w:before="480" w:line="276" w:lineRule="auto"/>
      <w:outlineLvl w:val="9"/>
    </w:pPr>
    <w:rPr>
      <w:rFonts w:ascii="Cambria" w:hAnsi="Cambria"/>
      <w:b/>
      <w:bCs/>
      <w:color w:val="365F91"/>
      <w:szCs w:val="28"/>
    </w:rPr>
  </w:style>
  <w:style w:type="paragraph" w:styleId="3f0">
    <w:name w:val="toc 3"/>
    <w:basedOn w:val="af1"/>
    <w:next w:val="af1"/>
    <w:autoRedefine/>
    <w:uiPriority w:val="39"/>
    <w:unhideWhenUsed/>
    <w:qFormat/>
    <w:rsid w:val="00B71E22"/>
    <w:pPr>
      <w:tabs>
        <w:tab w:val="right" w:leader="dot" w:pos="9911"/>
      </w:tabs>
      <w:spacing w:after="100"/>
      <w:ind w:firstLine="284"/>
    </w:pPr>
    <w:rPr>
      <w:noProof/>
      <w:sz w:val="28"/>
      <w:szCs w:val="28"/>
    </w:rPr>
  </w:style>
  <w:style w:type="character" w:customStyle="1" w:styleId="aff7">
    <w:name w:val="Без интервала Знак"/>
    <w:aliases w:val="Без интервала Стандарт Знак,No Spacing Знак"/>
    <w:link w:val="aff6"/>
    <w:uiPriority w:val="1"/>
    <w:locked/>
    <w:rsid w:val="00B71E22"/>
    <w:rPr>
      <w:rFonts w:ascii="Calibri" w:eastAsia="Calibri" w:hAnsi="Calibri" w:cs="Times New Roman"/>
    </w:rPr>
  </w:style>
  <w:style w:type="paragraph" w:customStyle="1" w:styleId="1ff6">
    <w:name w:val="Дата1"/>
    <w:basedOn w:val="af1"/>
    <w:rsid w:val="00B71E22"/>
    <w:pPr>
      <w:spacing w:before="100" w:beforeAutospacing="1" w:after="100" w:afterAutospacing="1"/>
    </w:pPr>
  </w:style>
  <w:style w:type="character" w:customStyle="1" w:styleId="1ff7">
    <w:name w:val="Заголовок Знак1"/>
    <w:uiPriority w:val="10"/>
    <w:rsid w:val="00B71E22"/>
    <w:rPr>
      <w:rFonts w:ascii="Cambria" w:eastAsia="Times New Roman" w:hAnsi="Cambria" w:cs="Times New Roman"/>
      <w:spacing w:val="-10"/>
      <w:kern w:val="28"/>
      <w:sz w:val="56"/>
      <w:szCs w:val="56"/>
    </w:rPr>
  </w:style>
  <w:style w:type="character" w:styleId="afffffff1">
    <w:name w:val="Subtle Reference"/>
    <w:uiPriority w:val="31"/>
    <w:qFormat/>
    <w:rsid w:val="00B71E22"/>
    <w:rPr>
      <w:smallCaps/>
      <w:color w:val="C0504D"/>
      <w:u w:val="single"/>
    </w:rPr>
  </w:style>
  <w:style w:type="character" w:styleId="afffffff2">
    <w:name w:val="Intense Reference"/>
    <w:uiPriority w:val="32"/>
    <w:qFormat/>
    <w:rsid w:val="00B71E22"/>
    <w:rPr>
      <w:b/>
      <w:bCs/>
      <w:smallCaps/>
      <w:color w:val="C0504D"/>
      <w:spacing w:val="5"/>
      <w:u w:val="single"/>
    </w:rPr>
  </w:style>
  <w:style w:type="character" w:styleId="afffffff3">
    <w:name w:val="Book Title"/>
    <w:uiPriority w:val="33"/>
    <w:qFormat/>
    <w:rsid w:val="00B71E22"/>
    <w:rPr>
      <w:b/>
      <w:bCs/>
      <w:smallCaps/>
      <w:spacing w:val="5"/>
    </w:rPr>
  </w:style>
  <w:style w:type="table" w:customStyle="1" w:styleId="191">
    <w:name w:val="Сетка таблицы19"/>
    <w:basedOn w:val="af3"/>
    <w:next w:val="affa"/>
    <w:uiPriority w:val="59"/>
    <w:rsid w:val="00F72ADB"/>
    <w:pPr>
      <w:spacing w:after="0" w:line="240" w:lineRule="auto"/>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240">
    <w:name w:val="Нет списка24"/>
    <w:next w:val="af4"/>
    <w:uiPriority w:val="99"/>
    <w:semiHidden/>
    <w:unhideWhenUsed/>
    <w:rsid w:val="000D4B0E"/>
  </w:style>
  <w:style w:type="character" w:customStyle="1" w:styleId="1ff8">
    <w:name w:val="Текст примечания Знак1"/>
    <w:basedOn w:val="af2"/>
    <w:uiPriority w:val="99"/>
    <w:semiHidden/>
    <w:rsid w:val="000D4B0E"/>
    <w:rPr>
      <w:rFonts w:asciiTheme="minorHAnsi" w:eastAsiaTheme="minorHAnsi" w:hAnsiTheme="minorHAnsi" w:cstheme="minorBidi"/>
      <w:lang w:eastAsia="en-US"/>
    </w:rPr>
  </w:style>
  <w:style w:type="character" w:customStyle="1" w:styleId="1ff9">
    <w:name w:val="Тема примечания Знак1"/>
    <w:basedOn w:val="1ff8"/>
    <w:uiPriority w:val="99"/>
    <w:semiHidden/>
    <w:rsid w:val="000D4B0E"/>
    <w:rPr>
      <w:rFonts w:asciiTheme="minorHAnsi" w:eastAsiaTheme="minorHAnsi" w:hAnsiTheme="minorHAnsi" w:cstheme="minorBidi"/>
      <w:b/>
      <w:bCs/>
      <w:lang w:eastAsia="en-US"/>
    </w:rPr>
  </w:style>
  <w:style w:type="numbering" w:customStyle="1" w:styleId="250">
    <w:name w:val="Нет списка25"/>
    <w:next w:val="af4"/>
    <w:uiPriority w:val="99"/>
    <w:semiHidden/>
    <w:unhideWhenUsed/>
    <w:rsid w:val="004D7BFA"/>
  </w:style>
  <w:style w:type="paragraph" w:styleId="afffffff4">
    <w:name w:val="Document Map"/>
    <w:basedOn w:val="af1"/>
    <w:link w:val="afffffff5"/>
    <w:rsid w:val="004D7BFA"/>
    <w:pPr>
      <w:shd w:val="clear" w:color="auto" w:fill="000080"/>
    </w:pPr>
    <w:rPr>
      <w:rFonts w:ascii="Tahoma" w:hAnsi="Tahoma" w:cs="Tahoma"/>
      <w:sz w:val="20"/>
      <w:szCs w:val="20"/>
      <w:lang w:val="en-US"/>
    </w:rPr>
  </w:style>
  <w:style w:type="character" w:customStyle="1" w:styleId="afffffff5">
    <w:name w:val="Схема документа Знак"/>
    <w:basedOn w:val="af2"/>
    <w:link w:val="afffffff4"/>
    <w:rsid w:val="004D7BFA"/>
    <w:rPr>
      <w:rFonts w:ascii="Tahoma" w:eastAsia="Times New Roman" w:hAnsi="Tahoma" w:cs="Tahoma"/>
      <w:sz w:val="20"/>
      <w:szCs w:val="20"/>
      <w:shd w:val="clear" w:color="auto" w:fill="000080"/>
      <w:lang w:val="en-US" w:eastAsia="ru-RU"/>
    </w:rPr>
  </w:style>
  <w:style w:type="table" w:customStyle="1" w:styleId="201">
    <w:name w:val="Сетка таблицы20"/>
    <w:basedOn w:val="af3"/>
    <w:next w:val="affa"/>
    <w:rsid w:val="008079E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Нет списка26"/>
    <w:next w:val="af4"/>
    <w:uiPriority w:val="99"/>
    <w:semiHidden/>
    <w:unhideWhenUsed/>
    <w:rsid w:val="00427E6B"/>
  </w:style>
  <w:style w:type="table" w:customStyle="1" w:styleId="222">
    <w:name w:val="Сетка таблицы22"/>
    <w:basedOn w:val="af3"/>
    <w:next w:val="affa"/>
    <w:uiPriority w:val="59"/>
    <w:rsid w:val="00427E6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Нет списка27"/>
    <w:next w:val="af4"/>
    <w:uiPriority w:val="99"/>
    <w:semiHidden/>
    <w:unhideWhenUsed/>
    <w:rsid w:val="00475BB7"/>
  </w:style>
  <w:style w:type="numbering" w:customStyle="1" w:styleId="1100">
    <w:name w:val="Нет списка110"/>
    <w:next w:val="af4"/>
    <w:uiPriority w:val="99"/>
    <w:semiHidden/>
    <w:unhideWhenUsed/>
    <w:rsid w:val="00475BB7"/>
  </w:style>
  <w:style w:type="table" w:customStyle="1" w:styleId="231">
    <w:name w:val="Сетка таблицы23"/>
    <w:basedOn w:val="af3"/>
    <w:next w:val="affa"/>
    <w:uiPriority w:val="59"/>
    <w:rsid w:val="00C2622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0">
    <w:name w:val="Нет списка28"/>
    <w:next w:val="af4"/>
    <w:uiPriority w:val="99"/>
    <w:semiHidden/>
    <w:unhideWhenUsed/>
    <w:rsid w:val="004E3C98"/>
  </w:style>
  <w:style w:type="table" w:customStyle="1" w:styleId="241">
    <w:name w:val="Сетка таблицы24"/>
    <w:basedOn w:val="af3"/>
    <w:next w:val="affa"/>
    <w:rsid w:val="004E3C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Нет списка29"/>
    <w:next w:val="af4"/>
    <w:uiPriority w:val="99"/>
    <w:semiHidden/>
    <w:unhideWhenUsed/>
    <w:rsid w:val="00F8086E"/>
  </w:style>
  <w:style w:type="table" w:customStyle="1" w:styleId="251">
    <w:name w:val="Сетка таблицы25"/>
    <w:basedOn w:val="af3"/>
    <w:next w:val="affa"/>
    <w:rsid w:val="00F8086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a">
    <w:name w:val="Неразрешенное упоминание1"/>
    <w:basedOn w:val="af2"/>
    <w:uiPriority w:val="99"/>
    <w:semiHidden/>
    <w:unhideWhenUsed/>
    <w:rsid w:val="00F8086E"/>
    <w:rPr>
      <w:color w:val="605E5C"/>
      <w:shd w:val="clear" w:color="auto" w:fill="E1DFDD"/>
    </w:rPr>
  </w:style>
  <w:style w:type="numbering" w:customStyle="1" w:styleId="300">
    <w:name w:val="Нет списка30"/>
    <w:next w:val="af4"/>
    <w:uiPriority w:val="99"/>
    <w:semiHidden/>
    <w:unhideWhenUsed/>
    <w:rsid w:val="007B74BD"/>
  </w:style>
  <w:style w:type="table" w:customStyle="1" w:styleId="261">
    <w:name w:val="Сетка таблицы26"/>
    <w:basedOn w:val="af3"/>
    <w:next w:val="affa"/>
    <w:rsid w:val="007B74B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9">
    <w:name w:val="Неразрешенное упоминание2"/>
    <w:basedOn w:val="af2"/>
    <w:uiPriority w:val="99"/>
    <w:semiHidden/>
    <w:unhideWhenUsed/>
    <w:rsid w:val="007B74BD"/>
    <w:rPr>
      <w:color w:val="605E5C"/>
      <w:shd w:val="clear" w:color="auto" w:fill="E1DFDD"/>
    </w:rPr>
  </w:style>
  <w:style w:type="numbering" w:customStyle="1" w:styleId="313">
    <w:name w:val="Нет списка31"/>
    <w:next w:val="af4"/>
    <w:uiPriority w:val="99"/>
    <w:semiHidden/>
    <w:unhideWhenUsed/>
    <w:rsid w:val="000F3F63"/>
  </w:style>
  <w:style w:type="table" w:customStyle="1" w:styleId="273">
    <w:name w:val="Сетка таблицы27"/>
    <w:basedOn w:val="af3"/>
    <w:next w:val="affa"/>
    <w:rsid w:val="000F3F6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f4"/>
    <w:uiPriority w:val="99"/>
    <w:semiHidden/>
    <w:unhideWhenUsed/>
    <w:rsid w:val="000F3F63"/>
  </w:style>
  <w:style w:type="table" w:customStyle="1" w:styleId="281">
    <w:name w:val="Сетка таблицы28"/>
    <w:basedOn w:val="af3"/>
    <w:next w:val="affa"/>
    <w:rsid w:val="000F3F6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f1"/>
    <w:rsid w:val="00C8632E"/>
    <w:pPr>
      <w:spacing w:before="100" w:beforeAutospacing="1" w:after="100" w:afterAutospacing="1"/>
    </w:pPr>
    <w:rPr>
      <w:rFonts w:ascii="Tahoma" w:hAnsi="Tahoma" w:cs="Tahoma"/>
      <w:sz w:val="20"/>
      <w:szCs w:val="20"/>
      <w:lang w:val="en-US" w:eastAsia="en-US"/>
    </w:rPr>
  </w:style>
  <w:style w:type="numbering" w:customStyle="1" w:styleId="330">
    <w:name w:val="Нет списка33"/>
    <w:next w:val="af4"/>
    <w:uiPriority w:val="99"/>
    <w:semiHidden/>
    <w:unhideWhenUsed/>
    <w:rsid w:val="00BA3A81"/>
  </w:style>
  <w:style w:type="numbering" w:customStyle="1" w:styleId="340">
    <w:name w:val="Нет списка34"/>
    <w:next w:val="af4"/>
    <w:semiHidden/>
    <w:unhideWhenUsed/>
    <w:rsid w:val="00152332"/>
  </w:style>
  <w:style w:type="table" w:customStyle="1" w:styleId="291">
    <w:name w:val="Сетка таблицы29"/>
    <w:basedOn w:val="af3"/>
    <w:next w:val="affa"/>
    <w:rsid w:val="00152332"/>
    <w:pPr>
      <w:widowControl w:val="0"/>
      <w:snapToGrid w:val="0"/>
      <w:spacing w:after="0" w:line="259" w:lineRule="auto"/>
      <w:ind w:firstLine="60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5">
    <w:name w:val="Без интервала6"/>
    <w:rsid w:val="00E54ADC"/>
    <w:pPr>
      <w:widowControl w:val="0"/>
      <w:suppressAutoHyphens/>
    </w:pPr>
    <w:rPr>
      <w:rFonts w:ascii="Calibri" w:eastAsia="DejaVu Sans" w:hAnsi="Calibri" w:cs="Times New Roman"/>
      <w:kern w:val="2"/>
      <w:lang w:eastAsia="ar-SA"/>
    </w:rPr>
  </w:style>
  <w:style w:type="numbering" w:customStyle="1" w:styleId="350">
    <w:name w:val="Нет списка35"/>
    <w:next w:val="af4"/>
    <w:uiPriority w:val="99"/>
    <w:semiHidden/>
    <w:unhideWhenUsed/>
    <w:rsid w:val="00636059"/>
  </w:style>
  <w:style w:type="table" w:customStyle="1" w:styleId="301">
    <w:name w:val="Сетка таблицы30"/>
    <w:basedOn w:val="af3"/>
    <w:next w:val="affa"/>
    <w:rsid w:val="006360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0">
    <w:name w:val="Font Style40"/>
    <w:rsid w:val="00636059"/>
    <w:rPr>
      <w:rFonts w:ascii="Times New Roman" w:hAnsi="Times New Roman"/>
      <w:sz w:val="26"/>
    </w:rPr>
  </w:style>
  <w:style w:type="character" w:customStyle="1" w:styleId="FontStyle28">
    <w:name w:val="Font Style28"/>
    <w:rsid w:val="00636059"/>
    <w:rPr>
      <w:rFonts w:ascii="Times New Roman" w:hAnsi="Times New Roman"/>
      <w:b/>
      <w:sz w:val="26"/>
    </w:rPr>
  </w:style>
  <w:style w:type="paragraph" w:customStyle="1" w:styleId="msonormal0">
    <w:name w:val="msonormal"/>
    <w:basedOn w:val="af1"/>
    <w:rsid w:val="00636059"/>
    <w:pPr>
      <w:spacing w:before="100" w:beforeAutospacing="1" w:after="100" w:afterAutospacing="1"/>
    </w:pPr>
  </w:style>
  <w:style w:type="paragraph" w:customStyle="1" w:styleId="afffffff6">
    <w:name w:val="Обычный + По ширине"/>
    <w:aliases w:val="Междустр.интервал:  одинарный + Междустр.интервал:  одина..."/>
    <w:basedOn w:val="af1"/>
    <w:rsid w:val="00701EBB"/>
    <w:pPr>
      <w:spacing w:line="360" w:lineRule="auto"/>
      <w:jc w:val="both"/>
    </w:pPr>
  </w:style>
  <w:style w:type="paragraph" w:customStyle="1" w:styleId="afffffff7">
    <w:name w:val="_ТЕКСТ"/>
    <w:basedOn w:val="af1"/>
    <w:link w:val="afffffff8"/>
    <w:qFormat/>
    <w:rsid w:val="00701EBB"/>
    <w:pPr>
      <w:spacing w:line="360" w:lineRule="auto"/>
      <w:ind w:firstLine="709"/>
      <w:jc w:val="both"/>
    </w:pPr>
    <w:rPr>
      <w:rFonts w:ascii="Arial" w:hAnsi="Arial"/>
      <w:lang w:eastAsia="en-US"/>
    </w:rPr>
  </w:style>
  <w:style w:type="character" w:customStyle="1" w:styleId="afffffff8">
    <w:name w:val="_ТЕКСТ Знак"/>
    <w:link w:val="afffffff7"/>
    <w:locked/>
    <w:rsid w:val="00701EBB"/>
    <w:rPr>
      <w:rFonts w:ascii="Arial" w:eastAsia="Times New Roman" w:hAnsi="Arial" w:cs="Times New Roman"/>
      <w:sz w:val="24"/>
      <w:szCs w:val="24"/>
    </w:rPr>
  </w:style>
  <w:style w:type="paragraph" w:customStyle="1" w:styleId="afffffff9">
    <w:name w:val="текст примечания"/>
    <w:basedOn w:val="af1"/>
    <w:rsid w:val="00701EBB"/>
  </w:style>
  <w:style w:type="character" w:customStyle="1" w:styleId="2fa">
    <w:name w:val="2 Знак"/>
    <w:aliases w:val="h2 Знак,Numbered text 3 Знак,H2 Знак Знак"/>
    <w:rsid w:val="00701EBB"/>
    <w:rPr>
      <w:rFonts w:ascii="Arial" w:hAnsi="Arial" w:cs="Arial"/>
      <w:b/>
      <w:bCs/>
      <w:i/>
      <w:iCs/>
      <w:sz w:val="28"/>
      <w:szCs w:val="28"/>
      <w:lang w:eastAsia="ru-RU"/>
    </w:rPr>
  </w:style>
  <w:style w:type="character" w:customStyle="1" w:styleId="BodyText2Char1">
    <w:name w:val="Body Text 2 Char1"/>
    <w:locked/>
    <w:rsid w:val="00701EBB"/>
    <w:rPr>
      <w:lang w:eastAsia="ru-RU"/>
    </w:rPr>
  </w:style>
  <w:style w:type="paragraph" w:customStyle="1" w:styleId="Style39">
    <w:name w:val="Style39"/>
    <w:basedOn w:val="af1"/>
    <w:rsid w:val="00701EBB"/>
    <w:pPr>
      <w:widowControl w:val="0"/>
      <w:autoSpaceDE w:val="0"/>
      <w:autoSpaceDN w:val="0"/>
      <w:adjustRightInd w:val="0"/>
    </w:pPr>
  </w:style>
  <w:style w:type="paragraph" w:customStyle="1" w:styleId="Style120">
    <w:name w:val="Style120"/>
    <w:basedOn w:val="af1"/>
    <w:rsid w:val="00701EBB"/>
    <w:pPr>
      <w:widowControl w:val="0"/>
      <w:autoSpaceDE w:val="0"/>
      <w:autoSpaceDN w:val="0"/>
      <w:adjustRightInd w:val="0"/>
      <w:spacing w:line="276" w:lineRule="exact"/>
      <w:jc w:val="center"/>
    </w:pPr>
  </w:style>
  <w:style w:type="character" w:customStyle="1" w:styleId="FontStyle239">
    <w:name w:val="Font Style239"/>
    <w:rsid w:val="00701EBB"/>
    <w:rPr>
      <w:rFonts w:ascii="Times New Roman" w:hAnsi="Times New Roman" w:cs="Times New Roman"/>
      <w:b/>
      <w:bCs/>
      <w:sz w:val="20"/>
      <w:szCs w:val="20"/>
    </w:rPr>
  </w:style>
  <w:style w:type="character" w:customStyle="1" w:styleId="FontStyle240">
    <w:name w:val="Font Style240"/>
    <w:rsid w:val="00701EBB"/>
    <w:rPr>
      <w:rFonts w:ascii="Times New Roman" w:hAnsi="Times New Roman" w:cs="Times New Roman"/>
      <w:sz w:val="20"/>
      <w:szCs w:val="20"/>
    </w:rPr>
  </w:style>
  <w:style w:type="paragraph" w:customStyle="1" w:styleId="Style68">
    <w:name w:val="Style68"/>
    <w:basedOn w:val="af1"/>
    <w:rsid w:val="00701EBB"/>
    <w:pPr>
      <w:widowControl w:val="0"/>
      <w:autoSpaceDE w:val="0"/>
      <w:autoSpaceDN w:val="0"/>
      <w:adjustRightInd w:val="0"/>
      <w:spacing w:line="240" w:lineRule="exact"/>
      <w:jc w:val="center"/>
    </w:pPr>
  </w:style>
  <w:style w:type="paragraph" w:customStyle="1" w:styleId="Style90">
    <w:name w:val="Style90"/>
    <w:basedOn w:val="af1"/>
    <w:rsid w:val="00701EBB"/>
    <w:pPr>
      <w:widowControl w:val="0"/>
      <w:autoSpaceDE w:val="0"/>
      <w:autoSpaceDN w:val="0"/>
      <w:adjustRightInd w:val="0"/>
      <w:spacing w:line="274" w:lineRule="exact"/>
    </w:pPr>
  </w:style>
  <w:style w:type="character" w:customStyle="1" w:styleId="FontStyle228">
    <w:name w:val="Font Style228"/>
    <w:rsid w:val="00701EBB"/>
    <w:rPr>
      <w:rFonts w:ascii="Times New Roman" w:hAnsi="Times New Roman" w:cs="Times New Roman"/>
      <w:sz w:val="20"/>
      <w:szCs w:val="20"/>
    </w:rPr>
  </w:style>
  <w:style w:type="paragraph" w:customStyle="1" w:styleId="Style78">
    <w:name w:val="Style78"/>
    <w:basedOn w:val="af1"/>
    <w:rsid w:val="00701EBB"/>
    <w:pPr>
      <w:widowControl w:val="0"/>
      <w:autoSpaceDE w:val="0"/>
      <w:autoSpaceDN w:val="0"/>
      <w:adjustRightInd w:val="0"/>
    </w:pPr>
  </w:style>
  <w:style w:type="paragraph" w:customStyle="1" w:styleId="Style99">
    <w:name w:val="Style99"/>
    <w:basedOn w:val="af1"/>
    <w:rsid w:val="00701EBB"/>
    <w:pPr>
      <w:widowControl w:val="0"/>
      <w:autoSpaceDE w:val="0"/>
      <w:autoSpaceDN w:val="0"/>
      <w:adjustRightInd w:val="0"/>
      <w:jc w:val="center"/>
    </w:pPr>
  </w:style>
  <w:style w:type="character" w:customStyle="1" w:styleId="FontStyle163">
    <w:name w:val="Font Style163"/>
    <w:rsid w:val="00701EBB"/>
    <w:rPr>
      <w:rFonts w:ascii="Times New Roman" w:hAnsi="Times New Roman" w:cs="Times New Roman"/>
      <w:sz w:val="20"/>
      <w:szCs w:val="20"/>
    </w:rPr>
  </w:style>
  <w:style w:type="paragraph" w:customStyle="1" w:styleId="Style21">
    <w:name w:val="Style21"/>
    <w:basedOn w:val="af1"/>
    <w:rsid w:val="00701EBB"/>
    <w:pPr>
      <w:widowControl w:val="0"/>
      <w:autoSpaceDE w:val="0"/>
      <w:autoSpaceDN w:val="0"/>
      <w:adjustRightInd w:val="0"/>
      <w:spacing w:line="324" w:lineRule="exact"/>
      <w:ind w:hanging="302"/>
    </w:pPr>
  </w:style>
  <w:style w:type="paragraph" w:customStyle="1" w:styleId="Style30">
    <w:name w:val="Style30"/>
    <w:basedOn w:val="af1"/>
    <w:rsid w:val="00701EBB"/>
    <w:pPr>
      <w:widowControl w:val="0"/>
      <w:autoSpaceDE w:val="0"/>
      <w:autoSpaceDN w:val="0"/>
      <w:adjustRightInd w:val="0"/>
      <w:spacing w:line="322" w:lineRule="exact"/>
    </w:pPr>
  </w:style>
  <w:style w:type="paragraph" w:customStyle="1" w:styleId="Style41">
    <w:name w:val="Style41"/>
    <w:basedOn w:val="af1"/>
    <w:rsid w:val="00701EBB"/>
    <w:pPr>
      <w:widowControl w:val="0"/>
      <w:autoSpaceDE w:val="0"/>
      <w:autoSpaceDN w:val="0"/>
      <w:adjustRightInd w:val="0"/>
      <w:spacing w:line="324" w:lineRule="exact"/>
      <w:jc w:val="center"/>
    </w:pPr>
  </w:style>
  <w:style w:type="character" w:customStyle="1" w:styleId="FontStyle17">
    <w:name w:val="Font Style17"/>
    <w:uiPriority w:val="99"/>
    <w:rsid w:val="00701EBB"/>
    <w:rPr>
      <w:rFonts w:ascii="Times New Roman" w:hAnsi="Times New Roman" w:cs="Times New Roman"/>
      <w:sz w:val="26"/>
      <w:szCs w:val="26"/>
    </w:rPr>
  </w:style>
  <w:style w:type="character" w:customStyle="1" w:styleId="l8">
    <w:name w:val="l8"/>
    <w:basedOn w:val="af2"/>
    <w:rsid w:val="00701EBB"/>
  </w:style>
  <w:style w:type="character" w:customStyle="1" w:styleId="green">
    <w:name w:val="green"/>
    <w:basedOn w:val="af2"/>
    <w:rsid w:val="00701EBB"/>
  </w:style>
  <w:style w:type="character" w:customStyle="1" w:styleId="bordo">
    <w:name w:val="bordo"/>
    <w:basedOn w:val="af2"/>
    <w:rsid w:val="00701EBB"/>
  </w:style>
  <w:style w:type="paragraph" w:customStyle="1" w:styleId="Style109">
    <w:name w:val="Style109"/>
    <w:basedOn w:val="af1"/>
    <w:rsid w:val="00701EBB"/>
    <w:pPr>
      <w:widowControl w:val="0"/>
      <w:autoSpaceDE w:val="0"/>
      <w:autoSpaceDN w:val="0"/>
      <w:adjustRightInd w:val="0"/>
    </w:pPr>
  </w:style>
  <w:style w:type="paragraph" w:customStyle="1" w:styleId="Style49">
    <w:name w:val="Style49"/>
    <w:basedOn w:val="af1"/>
    <w:rsid w:val="00701EBB"/>
    <w:pPr>
      <w:widowControl w:val="0"/>
      <w:autoSpaceDE w:val="0"/>
      <w:autoSpaceDN w:val="0"/>
      <w:adjustRightInd w:val="0"/>
    </w:pPr>
  </w:style>
  <w:style w:type="paragraph" w:customStyle="1" w:styleId="Style106">
    <w:name w:val="Style106"/>
    <w:basedOn w:val="af1"/>
    <w:rsid w:val="00701EBB"/>
    <w:pPr>
      <w:widowControl w:val="0"/>
      <w:autoSpaceDE w:val="0"/>
      <w:autoSpaceDN w:val="0"/>
      <w:adjustRightInd w:val="0"/>
      <w:spacing w:line="322" w:lineRule="exact"/>
      <w:ind w:firstLine="715"/>
      <w:jc w:val="both"/>
    </w:pPr>
  </w:style>
  <w:style w:type="paragraph" w:customStyle="1" w:styleId="Style126">
    <w:name w:val="Style126"/>
    <w:basedOn w:val="af1"/>
    <w:rsid w:val="00701EBB"/>
    <w:pPr>
      <w:widowControl w:val="0"/>
      <w:autoSpaceDE w:val="0"/>
      <w:autoSpaceDN w:val="0"/>
      <w:adjustRightInd w:val="0"/>
      <w:jc w:val="right"/>
    </w:pPr>
  </w:style>
  <w:style w:type="paragraph" w:customStyle="1" w:styleId="Style130">
    <w:name w:val="Style130"/>
    <w:basedOn w:val="af1"/>
    <w:rsid w:val="00701EBB"/>
    <w:pPr>
      <w:widowControl w:val="0"/>
      <w:autoSpaceDE w:val="0"/>
      <w:autoSpaceDN w:val="0"/>
      <w:adjustRightInd w:val="0"/>
      <w:spacing w:line="278" w:lineRule="exact"/>
      <w:jc w:val="both"/>
    </w:pPr>
  </w:style>
  <w:style w:type="paragraph" w:customStyle="1" w:styleId="Style131">
    <w:name w:val="Style131"/>
    <w:basedOn w:val="af1"/>
    <w:rsid w:val="00701EBB"/>
    <w:pPr>
      <w:widowControl w:val="0"/>
      <w:autoSpaceDE w:val="0"/>
      <w:autoSpaceDN w:val="0"/>
      <w:adjustRightInd w:val="0"/>
    </w:pPr>
  </w:style>
  <w:style w:type="paragraph" w:customStyle="1" w:styleId="Style132">
    <w:name w:val="Style132"/>
    <w:basedOn w:val="af1"/>
    <w:rsid w:val="00701EBB"/>
    <w:pPr>
      <w:widowControl w:val="0"/>
      <w:autoSpaceDE w:val="0"/>
      <w:autoSpaceDN w:val="0"/>
      <w:adjustRightInd w:val="0"/>
    </w:pPr>
  </w:style>
  <w:style w:type="character" w:customStyle="1" w:styleId="FontStyle214">
    <w:name w:val="Font Style214"/>
    <w:rsid w:val="00701EBB"/>
    <w:rPr>
      <w:rFonts w:ascii="Times New Roman" w:hAnsi="Times New Roman" w:cs="Times New Roman"/>
      <w:b/>
      <w:bCs/>
      <w:sz w:val="10"/>
      <w:szCs w:val="10"/>
    </w:rPr>
  </w:style>
  <w:style w:type="character" w:customStyle="1" w:styleId="FontStyle241">
    <w:name w:val="Font Style241"/>
    <w:rsid w:val="00701EBB"/>
    <w:rPr>
      <w:rFonts w:ascii="Times New Roman" w:hAnsi="Times New Roman" w:cs="Times New Roman"/>
      <w:sz w:val="26"/>
      <w:szCs w:val="26"/>
    </w:rPr>
  </w:style>
  <w:style w:type="character" w:customStyle="1" w:styleId="FontStyle245">
    <w:name w:val="Font Style245"/>
    <w:rsid w:val="00701EBB"/>
    <w:rPr>
      <w:rFonts w:ascii="Courier New" w:hAnsi="Courier New" w:cs="Courier New"/>
      <w:b/>
      <w:bCs/>
      <w:spacing w:val="20"/>
      <w:sz w:val="8"/>
      <w:szCs w:val="8"/>
    </w:rPr>
  </w:style>
  <w:style w:type="character" w:customStyle="1" w:styleId="FontStyle246">
    <w:name w:val="Font Style246"/>
    <w:rsid w:val="00701EBB"/>
    <w:rPr>
      <w:rFonts w:ascii="Times New Roman" w:hAnsi="Times New Roman" w:cs="Times New Roman"/>
      <w:b/>
      <w:bCs/>
      <w:sz w:val="12"/>
      <w:szCs w:val="12"/>
    </w:rPr>
  </w:style>
  <w:style w:type="paragraph" w:customStyle="1" w:styleId="Style135">
    <w:name w:val="Style135"/>
    <w:basedOn w:val="af1"/>
    <w:rsid w:val="00701EBB"/>
    <w:pPr>
      <w:widowControl w:val="0"/>
      <w:autoSpaceDE w:val="0"/>
      <w:autoSpaceDN w:val="0"/>
      <w:adjustRightInd w:val="0"/>
      <w:jc w:val="right"/>
    </w:pPr>
  </w:style>
  <w:style w:type="paragraph" w:customStyle="1" w:styleId="Style138">
    <w:name w:val="Style138"/>
    <w:basedOn w:val="af1"/>
    <w:rsid w:val="00701EBB"/>
    <w:pPr>
      <w:widowControl w:val="0"/>
      <w:autoSpaceDE w:val="0"/>
      <w:autoSpaceDN w:val="0"/>
      <w:adjustRightInd w:val="0"/>
      <w:spacing w:line="319" w:lineRule="exact"/>
      <w:ind w:firstLine="725"/>
      <w:jc w:val="both"/>
    </w:pPr>
  </w:style>
  <w:style w:type="paragraph" w:customStyle="1" w:styleId="BodyTextKeep">
    <w:name w:val="Body Text Keep"/>
    <w:basedOn w:val="af5"/>
    <w:link w:val="BodyTextKeepChar"/>
    <w:rsid w:val="00701EBB"/>
    <w:pPr>
      <w:spacing w:before="120" w:after="120"/>
      <w:ind w:left="567"/>
      <w:jc w:val="both"/>
    </w:pPr>
    <w:rPr>
      <w:b w:val="0"/>
      <w:bCs w:val="0"/>
      <w:spacing w:val="-5"/>
      <w:sz w:val="24"/>
      <w:lang w:eastAsia="en-US"/>
    </w:rPr>
  </w:style>
  <w:style w:type="character" w:customStyle="1" w:styleId="BodyTextKeepChar">
    <w:name w:val="Body Text Keep Char"/>
    <w:link w:val="BodyTextKeep"/>
    <w:locked/>
    <w:rsid w:val="00701EBB"/>
    <w:rPr>
      <w:rFonts w:ascii="Times New Roman" w:eastAsia="Times New Roman" w:hAnsi="Times New Roman" w:cs="Times New Roman"/>
      <w:spacing w:val="-5"/>
      <w:sz w:val="24"/>
      <w:szCs w:val="24"/>
    </w:rPr>
  </w:style>
  <w:style w:type="paragraph" w:customStyle="1" w:styleId="a0">
    <w:name w:val="список"/>
    <w:basedOn w:val="afffffff7"/>
    <w:link w:val="afffffffa"/>
    <w:qFormat/>
    <w:rsid w:val="00701EBB"/>
    <w:pPr>
      <w:numPr>
        <w:numId w:val="1"/>
      </w:numPr>
    </w:pPr>
  </w:style>
  <w:style w:type="character" w:customStyle="1" w:styleId="afffffffa">
    <w:name w:val="список Знак"/>
    <w:link w:val="a0"/>
    <w:locked/>
    <w:rsid w:val="00701EBB"/>
    <w:rPr>
      <w:rFonts w:ascii="Arial" w:eastAsia="Times New Roman" w:hAnsi="Arial" w:cs="Times New Roman"/>
      <w:sz w:val="24"/>
      <w:szCs w:val="24"/>
    </w:rPr>
  </w:style>
  <w:style w:type="paragraph" w:customStyle="1" w:styleId="Style92">
    <w:name w:val="Style92"/>
    <w:basedOn w:val="af1"/>
    <w:rsid w:val="00701EBB"/>
    <w:pPr>
      <w:widowControl w:val="0"/>
      <w:autoSpaceDE w:val="0"/>
      <w:autoSpaceDN w:val="0"/>
      <w:adjustRightInd w:val="0"/>
      <w:spacing w:line="322" w:lineRule="exact"/>
    </w:pPr>
  </w:style>
  <w:style w:type="paragraph" w:customStyle="1" w:styleId="Style115">
    <w:name w:val="Style115"/>
    <w:basedOn w:val="af1"/>
    <w:rsid w:val="00701EBB"/>
    <w:pPr>
      <w:widowControl w:val="0"/>
      <w:autoSpaceDE w:val="0"/>
      <w:autoSpaceDN w:val="0"/>
      <w:adjustRightInd w:val="0"/>
      <w:jc w:val="both"/>
    </w:pPr>
  </w:style>
  <w:style w:type="paragraph" w:customStyle="1" w:styleId="Style188">
    <w:name w:val="Style188"/>
    <w:basedOn w:val="af1"/>
    <w:rsid w:val="00701EBB"/>
    <w:pPr>
      <w:widowControl w:val="0"/>
      <w:autoSpaceDE w:val="0"/>
      <w:autoSpaceDN w:val="0"/>
      <w:adjustRightInd w:val="0"/>
      <w:spacing w:line="322" w:lineRule="exact"/>
      <w:ind w:firstLine="710"/>
    </w:pPr>
  </w:style>
  <w:style w:type="paragraph" w:customStyle="1" w:styleId="Style105">
    <w:name w:val="Style105"/>
    <w:basedOn w:val="af1"/>
    <w:rsid w:val="00701EBB"/>
    <w:pPr>
      <w:widowControl w:val="0"/>
      <w:autoSpaceDE w:val="0"/>
      <w:autoSpaceDN w:val="0"/>
      <w:adjustRightInd w:val="0"/>
      <w:spacing w:line="206" w:lineRule="exact"/>
    </w:pPr>
  </w:style>
  <w:style w:type="paragraph" w:customStyle="1" w:styleId="Style183">
    <w:name w:val="Style183"/>
    <w:basedOn w:val="af1"/>
    <w:rsid w:val="00701EBB"/>
    <w:pPr>
      <w:widowControl w:val="0"/>
      <w:autoSpaceDE w:val="0"/>
      <w:autoSpaceDN w:val="0"/>
      <w:adjustRightInd w:val="0"/>
    </w:pPr>
  </w:style>
  <w:style w:type="paragraph" w:customStyle="1" w:styleId="Style196">
    <w:name w:val="Style196"/>
    <w:basedOn w:val="af1"/>
    <w:rsid w:val="00701EBB"/>
    <w:pPr>
      <w:widowControl w:val="0"/>
      <w:autoSpaceDE w:val="0"/>
      <w:autoSpaceDN w:val="0"/>
      <w:adjustRightInd w:val="0"/>
      <w:spacing w:line="206" w:lineRule="exact"/>
    </w:pPr>
  </w:style>
  <w:style w:type="paragraph" w:customStyle="1" w:styleId="Style197">
    <w:name w:val="Style197"/>
    <w:basedOn w:val="af1"/>
    <w:rsid w:val="00701EBB"/>
    <w:pPr>
      <w:widowControl w:val="0"/>
      <w:autoSpaceDE w:val="0"/>
      <w:autoSpaceDN w:val="0"/>
      <w:adjustRightInd w:val="0"/>
      <w:spacing w:line="206" w:lineRule="exact"/>
      <w:ind w:firstLine="58"/>
    </w:pPr>
  </w:style>
  <w:style w:type="paragraph" w:customStyle="1" w:styleId="Style201">
    <w:name w:val="Style201"/>
    <w:basedOn w:val="af1"/>
    <w:rsid w:val="00701EBB"/>
    <w:pPr>
      <w:widowControl w:val="0"/>
      <w:autoSpaceDE w:val="0"/>
      <w:autoSpaceDN w:val="0"/>
      <w:adjustRightInd w:val="0"/>
      <w:jc w:val="center"/>
    </w:pPr>
  </w:style>
  <w:style w:type="paragraph" w:customStyle="1" w:styleId="Style202">
    <w:name w:val="Style202"/>
    <w:basedOn w:val="af1"/>
    <w:rsid w:val="00701EBB"/>
    <w:pPr>
      <w:widowControl w:val="0"/>
      <w:autoSpaceDE w:val="0"/>
      <w:autoSpaceDN w:val="0"/>
      <w:adjustRightInd w:val="0"/>
    </w:pPr>
  </w:style>
  <w:style w:type="character" w:customStyle="1" w:styleId="FontStyle224">
    <w:name w:val="Font Style224"/>
    <w:rsid w:val="00701EBB"/>
    <w:rPr>
      <w:rFonts w:ascii="Times New Roman" w:hAnsi="Times New Roman" w:cs="Times New Roman"/>
      <w:sz w:val="18"/>
      <w:szCs w:val="18"/>
    </w:rPr>
  </w:style>
  <w:style w:type="character" w:customStyle="1" w:styleId="FontStyle258">
    <w:name w:val="Font Style258"/>
    <w:rsid w:val="00701EBB"/>
    <w:rPr>
      <w:rFonts w:ascii="Times New Roman" w:hAnsi="Times New Roman" w:cs="Times New Roman"/>
      <w:b/>
      <w:bCs/>
      <w:sz w:val="18"/>
      <w:szCs w:val="18"/>
    </w:rPr>
  </w:style>
  <w:style w:type="character" w:customStyle="1" w:styleId="FontStyle237">
    <w:name w:val="Font Style237"/>
    <w:rsid w:val="00701EBB"/>
    <w:rPr>
      <w:rFonts w:ascii="Times New Roman" w:hAnsi="Times New Roman" w:cs="Times New Roman"/>
      <w:b/>
      <w:bCs/>
      <w:sz w:val="26"/>
      <w:szCs w:val="26"/>
    </w:rPr>
  </w:style>
  <w:style w:type="paragraph" w:customStyle="1" w:styleId="Style72">
    <w:name w:val="Style72"/>
    <w:basedOn w:val="af1"/>
    <w:rsid w:val="00701EBB"/>
    <w:pPr>
      <w:widowControl w:val="0"/>
      <w:autoSpaceDE w:val="0"/>
      <w:autoSpaceDN w:val="0"/>
      <w:adjustRightInd w:val="0"/>
      <w:jc w:val="both"/>
    </w:pPr>
  </w:style>
  <w:style w:type="paragraph" w:customStyle="1" w:styleId="Style199">
    <w:name w:val="Style199"/>
    <w:basedOn w:val="af1"/>
    <w:rsid w:val="00701EBB"/>
    <w:pPr>
      <w:widowControl w:val="0"/>
      <w:autoSpaceDE w:val="0"/>
      <w:autoSpaceDN w:val="0"/>
      <w:adjustRightInd w:val="0"/>
      <w:spacing w:line="206" w:lineRule="exact"/>
      <w:jc w:val="both"/>
    </w:pPr>
  </w:style>
  <w:style w:type="paragraph" w:customStyle="1" w:styleId="Style8">
    <w:name w:val="Style8"/>
    <w:basedOn w:val="af1"/>
    <w:rsid w:val="00701EBB"/>
    <w:pPr>
      <w:widowControl w:val="0"/>
      <w:autoSpaceDE w:val="0"/>
      <w:autoSpaceDN w:val="0"/>
      <w:adjustRightInd w:val="0"/>
    </w:pPr>
  </w:style>
  <w:style w:type="paragraph" w:customStyle="1" w:styleId="Style9">
    <w:name w:val="Style9"/>
    <w:basedOn w:val="af1"/>
    <w:rsid w:val="00701EBB"/>
    <w:pPr>
      <w:widowControl w:val="0"/>
      <w:autoSpaceDE w:val="0"/>
      <w:autoSpaceDN w:val="0"/>
      <w:adjustRightInd w:val="0"/>
      <w:spacing w:line="290" w:lineRule="exact"/>
      <w:jc w:val="center"/>
    </w:pPr>
  </w:style>
  <w:style w:type="paragraph" w:customStyle="1" w:styleId="Style144">
    <w:name w:val="Style144"/>
    <w:basedOn w:val="af1"/>
    <w:rsid w:val="00701EBB"/>
    <w:pPr>
      <w:widowControl w:val="0"/>
      <w:autoSpaceDE w:val="0"/>
      <w:autoSpaceDN w:val="0"/>
      <w:adjustRightInd w:val="0"/>
      <w:spacing w:line="211" w:lineRule="exact"/>
      <w:jc w:val="both"/>
    </w:pPr>
  </w:style>
  <w:style w:type="paragraph" w:customStyle="1" w:styleId="Style79">
    <w:name w:val="Style79"/>
    <w:basedOn w:val="af1"/>
    <w:rsid w:val="00701EBB"/>
    <w:pPr>
      <w:widowControl w:val="0"/>
      <w:autoSpaceDE w:val="0"/>
      <w:autoSpaceDN w:val="0"/>
      <w:adjustRightInd w:val="0"/>
      <w:spacing w:line="322" w:lineRule="exact"/>
      <w:ind w:firstLine="490"/>
      <w:jc w:val="both"/>
    </w:pPr>
  </w:style>
  <w:style w:type="paragraph" w:customStyle="1" w:styleId="Style181">
    <w:name w:val="Style181"/>
    <w:basedOn w:val="af1"/>
    <w:rsid w:val="00701EBB"/>
    <w:pPr>
      <w:widowControl w:val="0"/>
      <w:autoSpaceDE w:val="0"/>
      <w:autoSpaceDN w:val="0"/>
      <w:adjustRightInd w:val="0"/>
      <w:spacing w:line="322" w:lineRule="exact"/>
      <w:ind w:firstLine="547"/>
      <w:jc w:val="both"/>
    </w:pPr>
  </w:style>
  <w:style w:type="paragraph" w:customStyle="1" w:styleId="Style205">
    <w:name w:val="Style205"/>
    <w:basedOn w:val="af1"/>
    <w:rsid w:val="00701EBB"/>
    <w:pPr>
      <w:widowControl w:val="0"/>
      <w:autoSpaceDE w:val="0"/>
      <w:autoSpaceDN w:val="0"/>
      <w:adjustRightInd w:val="0"/>
      <w:jc w:val="both"/>
    </w:pPr>
  </w:style>
  <w:style w:type="paragraph" w:customStyle="1" w:styleId="Style104">
    <w:name w:val="Style104"/>
    <w:basedOn w:val="af1"/>
    <w:rsid w:val="00701EBB"/>
    <w:pPr>
      <w:widowControl w:val="0"/>
      <w:autoSpaceDE w:val="0"/>
      <w:autoSpaceDN w:val="0"/>
      <w:adjustRightInd w:val="0"/>
      <w:spacing w:line="322" w:lineRule="exact"/>
      <w:ind w:firstLine="672"/>
    </w:pPr>
  </w:style>
  <w:style w:type="paragraph" w:customStyle="1" w:styleId="Style125">
    <w:name w:val="Style125"/>
    <w:basedOn w:val="af1"/>
    <w:rsid w:val="00701EBB"/>
    <w:pPr>
      <w:widowControl w:val="0"/>
      <w:autoSpaceDE w:val="0"/>
      <w:autoSpaceDN w:val="0"/>
      <w:adjustRightInd w:val="0"/>
      <w:spacing w:line="322" w:lineRule="exact"/>
      <w:ind w:firstLine="1469"/>
    </w:pPr>
  </w:style>
  <w:style w:type="paragraph" w:customStyle="1" w:styleId="Style155">
    <w:name w:val="Style155"/>
    <w:basedOn w:val="af1"/>
    <w:rsid w:val="00701EBB"/>
    <w:pPr>
      <w:widowControl w:val="0"/>
      <w:autoSpaceDE w:val="0"/>
      <w:autoSpaceDN w:val="0"/>
      <w:adjustRightInd w:val="0"/>
      <w:jc w:val="center"/>
    </w:pPr>
  </w:style>
  <w:style w:type="paragraph" w:customStyle="1" w:styleId="bl0">
    <w:name w:val="bl0"/>
    <w:basedOn w:val="af1"/>
    <w:rsid w:val="00701EBB"/>
    <w:pPr>
      <w:spacing w:before="100" w:beforeAutospacing="1" w:after="100" w:afterAutospacing="1"/>
    </w:pPr>
    <w:rPr>
      <w:b/>
      <w:bCs/>
      <w:sz w:val="18"/>
      <w:szCs w:val="18"/>
    </w:rPr>
  </w:style>
  <w:style w:type="character" w:customStyle="1" w:styleId="FontStyle42">
    <w:name w:val="Font Style42"/>
    <w:rsid w:val="00701EBB"/>
    <w:rPr>
      <w:rFonts w:ascii="Times New Roman" w:hAnsi="Times New Roman" w:cs="Times New Roman"/>
      <w:sz w:val="26"/>
      <w:szCs w:val="26"/>
    </w:rPr>
  </w:style>
  <w:style w:type="paragraph" w:customStyle="1" w:styleId="Style66">
    <w:name w:val="Style66"/>
    <w:basedOn w:val="af1"/>
    <w:rsid w:val="00701EBB"/>
    <w:pPr>
      <w:widowControl w:val="0"/>
      <w:autoSpaceDE w:val="0"/>
      <w:autoSpaceDN w:val="0"/>
      <w:adjustRightInd w:val="0"/>
      <w:spacing w:line="226" w:lineRule="exact"/>
      <w:jc w:val="center"/>
    </w:pPr>
  </w:style>
  <w:style w:type="paragraph" w:customStyle="1" w:styleId="Style73">
    <w:name w:val="Style73"/>
    <w:basedOn w:val="af1"/>
    <w:rsid w:val="00701EBB"/>
    <w:pPr>
      <w:widowControl w:val="0"/>
      <w:autoSpaceDE w:val="0"/>
      <w:autoSpaceDN w:val="0"/>
      <w:adjustRightInd w:val="0"/>
    </w:pPr>
  </w:style>
  <w:style w:type="paragraph" w:customStyle="1" w:styleId="Style74">
    <w:name w:val="Style74"/>
    <w:basedOn w:val="af1"/>
    <w:rsid w:val="00701EBB"/>
    <w:pPr>
      <w:widowControl w:val="0"/>
      <w:autoSpaceDE w:val="0"/>
      <w:autoSpaceDN w:val="0"/>
      <w:adjustRightInd w:val="0"/>
      <w:jc w:val="center"/>
    </w:pPr>
  </w:style>
  <w:style w:type="paragraph" w:customStyle="1" w:styleId="Style146">
    <w:name w:val="Style146"/>
    <w:basedOn w:val="af1"/>
    <w:rsid w:val="00701EBB"/>
    <w:pPr>
      <w:widowControl w:val="0"/>
      <w:autoSpaceDE w:val="0"/>
      <w:autoSpaceDN w:val="0"/>
      <w:adjustRightInd w:val="0"/>
      <w:spacing w:line="226" w:lineRule="exact"/>
      <w:jc w:val="center"/>
    </w:pPr>
  </w:style>
  <w:style w:type="character" w:customStyle="1" w:styleId="FontStyle225">
    <w:name w:val="Font Style225"/>
    <w:rsid w:val="00701EBB"/>
    <w:rPr>
      <w:rFonts w:ascii="Times New Roman" w:hAnsi="Times New Roman" w:cs="Times New Roman"/>
      <w:sz w:val="18"/>
      <w:szCs w:val="18"/>
    </w:rPr>
  </w:style>
  <w:style w:type="character" w:customStyle="1" w:styleId="FontStyle226">
    <w:name w:val="Font Style226"/>
    <w:rsid w:val="00701EBB"/>
    <w:rPr>
      <w:rFonts w:ascii="Times New Roman" w:hAnsi="Times New Roman" w:cs="Times New Roman"/>
      <w:b/>
      <w:bCs/>
      <w:sz w:val="18"/>
      <w:szCs w:val="18"/>
    </w:rPr>
  </w:style>
  <w:style w:type="paragraph" w:customStyle="1" w:styleId="Style179">
    <w:name w:val="Style179"/>
    <w:basedOn w:val="af1"/>
    <w:rsid w:val="00701EBB"/>
    <w:pPr>
      <w:widowControl w:val="0"/>
      <w:autoSpaceDE w:val="0"/>
      <w:autoSpaceDN w:val="0"/>
      <w:adjustRightInd w:val="0"/>
      <w:spacing w:line="288" w:lineRule="exact"/>
      <w:ind w:firstLine="1349"/>
    </w:pPr>
  </w:style>
  <w:style w:type="character" w:customStyle="1" w:styleId="CaptionChar1">
    <w:name w:val="Caption Char1"/>
    <w:aliases w:val="Знак Char,Таблица - Название объекта Char,!! Object Novogor !! Char,Caption Char Char,Caption Char1 Char1 Char Char Char,Caption Char Char2 Char1 Char Char Char,Caption Char Char Char Char Char1 Char1 Char Char1 Char Char1"/>
    <w:locked/>
    <w:rsid w:val="00701EBB"/>
    <w:rPr>
      <w:rFonts w:ascii="Verdana" w:hAnsi="Verdana" w:cs="Verdana"/>
      <w:lang w:val="en-US" w:eastAsia="en-US"/>
    </w:rPr>
  </w:style>
  <w:style w:type="paragraph" w:customStyle="1" w:styleId="122">
    <w:name w:val="Табл. 12"/>
    <w:basedOn w:val="af1"/>
    <w:rsid w:val="00701EBB"/>
    <w:pPr>
      <w:keepNext/>
    </w:pPr>
    <w:rPr>
      <w:rFonts w:ascii="Arial" w:hAnsi="Arial" w:cs="Arial"/>
    </w:rPr>
  </w:style>
  <w:style w:type="character" w:customStyle="1" w:styleId="152">
    <w:name w:val="Знак Знак15"/>
    <w:locked/>
    <w:rsid w:val="00701EBB"/>
    <w:rPr>
      <w:rFonts w:ascii="Arial" w:hAnsi="Arial" w:cs="Arial"/>
      <w:caps/>
      <w:spacing w:val="-5"/>
      <w:sz w:val="15"/>
      <w:szCs w:val="15"/>
      <w:lang w:val="en-US" w:eastAsia="en-US" w:bidi="ar-SA"/>
    </w:rPr>
  </w:style>
  <w:style w:type="character" w:customStyle="1" w:styleId="292">
    <w:name w:val="Знак Знак29"/>
    <w:locked/>
    <w:rsid w:val="00701EBB"/>
    <w:rPr>
      <w:rFonts w:ascii="Arial Black" w:hAnsi="Arial Black" w:cs="Arial Black"/>
      <w:b/>
      <w:bCs/>
      <w:spacing w:val="-10"/>
      <w:kern w:val="28"/>
      <w:sz w:val="24"/>
      <w:szCs w:val="24"/>
      <w:lang w:val="ru-RU" w:eastAsia="en-US" w:bidi="ar-SA"/>
    </w:rPr>
  </w:style>
  <w:style w:type="paragraph" w:customStyle="1" w:styleId="BlockQuotation">
    <w:name w:val="Block Quotation"/>
    <w:basedOn w:val="af1"/>
    <w:rsid w:val="00701EBB"/>
    <w:pPr>
      <w:widowControl w:val="0"/>
      <w:pBdr>
        <w:top w:val="single" w:sz="12" w:space="12" w:color="FFFFFF"/>
        <w:left w:val="single" w:sz="6" w:space="12" w:color="FFFFFF"/>
        <w:bottom w:val="single" w:sz="6" w:space="12" w:color="FFFFFF"/>
        <w:right w:val="single" w:sz="6" w:space="12" w:color="FFFFFF"/>
      </w:pBdr>
      <w:shd w:val="pct5" w:color="auto" w:fill="auto"/>
      <w:adjustRightInd w:val="0"/>
      <w:spacing w:before="120" w:after="240" w:line="220" w:lineRule="atLeast"/>
      <w:ind w:left="1368" w:right="240" w:hanging="431"/>
      <w:jc w:val="both"/>
      <w:textAlignment w:val="baseline"/>
    </w:pPr>
    <w:rPr>
      <w:rFonts w:ascii="Arial Narrow" w:hAnsi="Arial Narrow" w:cs="Arial Narrow"/>
      <w:spacing w:val="-5"/>
      <w:sz w:val="20"/>
      <w:szCs w:val="20"/>
      <w:lang w:val="en-US" w:eastAsia="en-US"/>
    </w:rPr>
  </w:style>
  <w:style w:type="paragraph" w:customStyle="1" w:styleId="Picture">
    <w:name w:val="Picture"/>
    <w:basedOn w:val="af1"/>
    <w:next w:val="afff0"/>
    <w:link w:val="PictureChar"/>
    <w:rsid w:val="00701EBB"/>
    <w:pPr>
      <w:keepNext/>
      <w:widowControl w:val="0"/>
      <w:adjustRightInd w:val="0"/>
      <w:spacing w:before="120" w:after="120" w:line="360" w:lineRule="atLeast"/>
      <w:ind w:left="1080" w:hanging="431"/>
      <w:jc w:val="both"/>
      <w:textAlignment w:val="baseline"/>
    </w:pPr>
    <w:rPr>
      <w:rFonts w:ascii="Arial" w:hAnsi="Arial" w:cs="Arial"/>
      <w:spacing w:val="-5"/>
      <w:sz w:val="20"/>
      <w:szCs w:val="20"/>
      <w:lang w:val="en-US" w:eastAsia="en-US"/>
    </w:rPr>
  </w:style>
  <w:style w:type="paragraph" w:customStyle="1" w:styleId="HeadingBase">
    <w:name w:val="Heading Base"/>
    <w:basedOn w:val="af1"/>
    <w:next w:val="af5"/>
    <w:link w:val="HeadingBase0"/>
    <w:rsid w:val="00701EBB"/>
    <w:pPr>
      <w:keepNext/>
      <w:keepLines/>
      <w:widowControl w:val="0"/>
      <w:adjustRightInd w:val="0"/>
      <w:spacing w:before="140" w:after="120" w:line="220" w:lineRule="atLeast"/>
      <w:ind w:left="1077" w:hanging="431"/>
      <w:jc w:val="both"/>
      <w:textAlignment w:val="baseline"/>
    </w:pPr>
    <w:rPr>
      <w:rFonts w:ascii="Arial" w:hAnsi="Arial" w:cs="Arial"/>
      <w:b/>
      <w:bCs/>
      <w:spacing w:val="-4"/>
      <w:kern w:val="28"/>
      <w:sz w:val="28"/>
      <w:szCs w:val="28"/>
      <w:lang w:eastAsia="en-US"/>
    </w:rPr>
  </w:style>
  <w:style w:type="character" w:customStyle="1" w:styleId="192">
    <w:name w:val="Знак Знак19"/>
    <w:locked/>
    <w:rsid w:val="00701EBB"/>
    <w:rPr>
      <w:rFonts w:ascii="Arial Black" w:hAnsi="Arial Black" w:cs="Arial Black"/>
      <w:b/>
      <w:bCs/>
      <w:spacing w:val="-30"/>
      <w:kern w:val="28"/>
      <w:sz w:val="28"/>
      <w:szCs w:val="28"/>
      <w:lang w:eastAsia="en-US"/>
    </w:rPr>
  </w:style>
  <w:style w:type="paragraph" w:customStyle="1" w:styleId="ChapterSubtitle">
    <w:name w:val="Chapter Subtitle"/>
    <w:basedOn w:val="afff3"/>
    <w:rsid w:val="00701EBB"/>
    <w:pPr>
      <w:keepNext/>
      <w:keepLines/>
      <w:widowControl w:val="0"/>
      <w:adjustRightInd w:val="0"/>
      <w:spacing w:before="60" w:after="0"/>
      <w:ind w:hanging="431"/>
      <w:jc w:val="both"/>
      <w:textAlignment w:val="baseline"/>
      <w:outlineLvl w:val="9"/>
    </w:pPr>
    <w:rPr>
      <w:rFonts w:ascii="Arial" w:eastAsia="Times New Roman" w:hAnsi="Arial" w:cs="Arial"/>
      <w:b/>
      <w:bCs/>
      <w:spacing w:val="-16"/>
      <w:kern w:val="28"/>
      <w:sz w:val="32"/>
      <w:szCs w:val="32"/>
      <w:lang w:eastAsia="en-US"/>
    </w:rPr>
  </w:style>
  <w:style w:type="paragraph" w:customStyle="1" w:styleId="ChapterTitle">
    <w:name w:val="Chapter Title"/>
    <w:basedOn w:val="af1"/>
    <w:rsid w:val="00701EBB"/>
    <w:pPr>
      <w:widowControl w:val="0"/>
      <w:adjustRightInd w:val="0"/>
      <w:spacing w:before="120" w:after="120" w:line="660" w:lineRule="exact"/>
      <w:ind w:hanging="431"/>
      <w:jc w:val="center"/>
      <w:textAlignment w:val="baseline"/>
    </w:pPr>
    <w:rPr>
      <w:rFonts w:ascii="Arial Black" w:hAnsi="Arial Black" w:cs="Arial Black"/>
      <w:color w:val="FFFFFF"/>
      <w:spacing w:val="-40"/>
      <w:sz w:val="84"/>
      <w:szCs w:val="84"/>
      <w:lang w:val="en-US" w:eastAsia="en-US"/>
    </w:rPr>
  </w:style>
  <w:style w:type="paragraph" w:customStyle="1" w:styleId="FootnoteBase">
    <w:name w:val="Footnote Base"/>
    <w:basedOn w:val="af1"/>
    <w:link w:val="FootnoteBase0"/>
    <w:rsid w:val="00701EBB"/>
    <w:pPr>
      <w:keepLines/>
      <w:widowControl w:val="0"/>
      <w:adjustRightInd w:val="0"/>
      <w:spacing w:before="120" w:after="120" w:line="200" w:lineRule="atLeast"/>
      <w:ind w:left="1080" w:hanging="431"/>
      <w:jc w:val="both"/>
      <w:textAlignment w:val="baseline"/>
    </w:pPr>
    <w:rPr>
      <w:rFonts w:ascii="Arial" w:hAnsi="Arial" w:cs="Arial"/>
      <w:spacing w:val="-5"/>
      <w:sz w:val="16"/>
      <w:szCs w:val="16"/>
      <w:lang w:val="en-US" w:eastAsia="en-US"/>
    </w:rPr>
  </w:style>
  <w:style w:type="character" w:customStyle="1" w:styleId="172">
    <w:name w:val="Знак Знак17"/>
    <w:locked/>
    <w:rsid w:val="00701EBB"/>
    <w:rPr>
      <w:rFonts w:ascii="Arial" w:hAnsi="Arial" w:cs="Arial"/>
      <w:spacing w:val="-5"/>
      <w:sz w:val="16"/>
      <w:szCs w:val="16"/>
      <w:lang w:val="en-US" w:eastAsia="en-US" w:bidi="ar-SA"/>
    </w:rPr>
  </w:style>
  <w:style w:type="paragraph" w:customStyle="1" w:styleId="CompanyName">
    <w:name w:val="Company Name"/>
    <w:basedOn w:val="af1"/>
    <w:rsid w:val="00701EBB"/>
    <w:pPr>
      <w:keepNext/>
      <w:keepLines/>
      <w:widowControl w:val="0"/>
      <w:adjustRightInd w:val="0"/>
      <w:spacing w:before="120" w:after="120" w:line="220" w:lineRule="atLeast"/>
      <w:ind w:hanging="431"/>
      <w:jc w:val="both"/>
      <w:textAlignment w:val="baseline"/>
    </w:pPr>
    <w:rPr>
      <w:rFonts w:ascii="Arial Black" w:hAnsi="Arial Black" w:cs="Arial Black"/>
      <w:spacing w:val="-25"/>
      <w:kern w:val="28"/>
      <w:sz w:val="32"/>
      <w:szCs w:val="32"/>
      <w:lang w:val="en-US" w:eastAsia="en-US"/>
    </w:rPr>
  </w:style>
  <w:style w:type="paragraph" w:customStyle="1" w:styleId="TitleCover">
    <w:name w:val="Title Cover"/>
    <w:basedOn w:val="HeadingBase"/>
    <w:next w:val="af1"/>
    <w:rsid w:val="00701EBB"/>
    <w:pPr>
      <w:pBdr>
        <w:top w:val="single" w:sz="48" w:space="31" w:color="auto"/>
      </w:pBdr>
      <w:tabs>
        <w:tab w:val="left" w:pos="0"/>
      </w:tabs>
      <w:spacing w:before="240" w:after="500" w:line="640" w:lineRule="exact"/>
      <w:ind w:left="0"/>
    </w:pPr>
    <w:rPr>
      <w:rFonts w:ascii="Arial Black" w:hAnsi="Arial Black" w:cs="Arial Black"/>
      <w:b w:val="0"/>
      <w:bCs w:val="0"/>
      <w:spacing w:val="-48"/>
      <w:sz w:val="64"/>
      <w:szCs w:val="64"/>
    </w:rPr>
  </w:style>
  <w:style w:type="paragraph" w:customStyle="1" w:styleId="DocumentLabel">
    <w:name w:val="Document Label"/>
    <w:basedOn w:val="TitleCover"/>
    <w:rsid w:val="00701EBB"/>
  </w:style>
  <w:style w:type="paragraph" w:customStyle="1" w:styleId="HeaderBase">
    <w:name w:val="Header Base"/>
    <w:basedOn w:val="af1"/>
    <w:link w:val="HeaderBaseChar"/>
    <w:rsid w:val="00701EBB"/>
    <w:pPr>
      <w:keepLines/>
      <w:widowControl w:val="0"/>
      <w:tabs>
        <w:tab w:val="center" w:pos="4320"/>
        <w:tab w:val="right" w:pos="8640"/>
      </w:tabs>
      <w:adjustRightInd w:val="0"/>
      <w:spacing w:before="120" w:after="120" w:line="190" w:lineRule="atLeast"/>
      <w:ind w:left="1080" w:hanging="431"/>
      <w:jc w:val="both"/>
      <w:textAlignment w:val="baseline"/>
    </w:pPr>
    <w:rPr>
      <w:rFonts w:ascii="Arial" w:hAnsi="Arial" w:cs="Arial"/>
      <w:caps/>
      <w:spacing w:val="-5"/>
      <w:sz w:val="15"/>
      <w:szCs w:val="15"/>
      <w:lang w:val="en-US" w:eastAsia="en-US"/>
    </w:rPr>
  </w:style>
  <w:style w:type="paragraph" w:customStyle="1" w:styleId="FooterEven">
    <w:name w:val="Footer Even"/>
    <w:basedOn w:val="aff3"/>
    <w:rsid w:val="00701EBB"/>
    <w:pPr>
      <w:keepLines/>
      <w:widowControl w:val="0"/>
      <w:pBdr>
        <w:top w:val="single" w:sz="6" w:space="2" w:color="auto"/>
      </w:pBdr>
      <w:tabs>
        <w:tab w:val="clear" w:pos="4677"/>
        <w:tab w:val="clear" w:pos="9355"/>
        <w:tab w:val="center" w:pos="4320"/>
        <w:tab w:val="right" w:pos="8640"/>
      </w:tabs>
      <w:adjustRightInd w:val="0"/>
      <w:spacing w:before="600" w:after="120" w:line="190" w:lineRule="atLeast"/>
      <w:ind w:left="1080" w:hanging="431"/>
      <w:jc w:val="both"/>
      <w:textAlignment w:val="baseline"/>
    </w:pPr>
    <w:rPr>
      <w:rFonts w:ascii="Arial" w:hAnsi="Arial" w:cs="Arial"/>
      <w:caps/>
      <w:spacing w:val="-5"/>
      <w:sz w:val="15"/>
      <w:szCs w:val="15"/>
      <w:lang w:val="en-US" w:eastAsia="en-US"/>
    </w:rPr>
  </w:style>
  <w:style w:type="paragraph" w:customStyle="1" w:styleId="FooterFirst">
    <w:name w:val="Footer First"/>
    <w:basedOn w:val="aff3"/>
    <w:rsid w:val="00701EBB"/>
    <w:pPr>
      <w:keepLines/>
      <w:widowControl w:val="0"/>
      <w:pBdr>
        <w:top w:val="single" w:sz="6" w:space="2" w:color="auto"/>
      </w:pBdr>
      <w:tabs>
        <w:tab w:val="clear" w:pos="4677"/>
        <w:tab w:val="clear" w:pos="9355"/>
        <w:tab w:val="center" w:pos="4320"/>
        <w:tab w:val="right" w:pos="8640"/>
      </w:tabs>
      <w:adjustRightInd w:val="0"/>
      <w:spacing w:before="600" w:after="120" w:line="190" w:lineRule="atLeast"/>
      <w:ind w:left="1080" w:hanging="431"/>
      <w:jc w:val="both"/>
      <w:textAlignment w:val="baseline"/>
    </w:pPr>
    <w:rPr>
      <w:rFonts w:ascii="Arial" w:hAnsi="Arial" w:cs="Arial"/>
      <w:caps/>
      <w:spacing w:val="-5"/>
      <w:sz w:val="15"/>
      <w:szCs w:val="15"/>
      <w:lang w:val="en-US" w:eastAsia="en-US"/>
    </w:rPr>
  </w:style>
  <w:style w:type="paragraph" w:customStyle="1" w:styleId="FooterOdd">
    <w:name w:val="Footer Odd"/>
    <w:basedOn w:val="aff3"/>
    <w:rsid w:val="00701EBB"/>
    <w:pPr>
      <w:keepLines/>
      <w:widowControl w:val="0"/>
      <w:pBdr>
        <w:top w:val="single" w:sz="6" w:space="2" w:color="auto"/>
      </w:pBdr>
      <w:tabs>
        <w:tab w:val="clear" w:pos="4677"/>
        <w:tab w:val="clear" w:pos="9355"/>
        <w:tab w:val="center" w:pos="4320"/>
        <w:tab w:val="right" w:pos="8640"/>
      </w:tabs>
      <w:adjustRightInd w:val="0"/>
      <w:spacing w:before="600" w:after="120" w:line="190" w:lineRule="atLeast"/>
      <w:ind w:left="1080" w:hanging="431"/>
      <w:jc w:val="both"/>
      <w:textAlignment w:val="baseline"/>
    </w:pPr>
    <w:rPr>
      <w:rFonts w:ascii="Arial" w:hAnsi="Arial" w:cs="Arial"/>
      <w:caps/>
      <w:spacing w:val="-5"/>
      <w:sz w:val="15"/>
      <w:szCs w:val="15"/>
      <w:lang w:val="en-US" w:eastAsia="en-US"/>
    </w:rPr>
  </w:style>
  <w:style w:type="paragraph" w:customStyle="1" w:styleId="HeaderEven">
    <w:name w:val="Header Even"/>
    <w:basedOn w:val="aff1"/>
    <w:rsid w:val="00701EBB"/>
    <w:pPr>
      <w:keepLines/>
      <w:widowControl w:val="0"/>
      <w:pBdr>
        <w:bottom w:val="single" w:sz="6" w:space="1" w:color="auto"/>
      </w:pBdr>
      <w:tabs>
        <w:tab w:val="clear" w:pos="4677"/>
        <w:tab w:val="clear" w:pos="9355"/>
        <w:tab w:val="center" w:pos="4320"/>
        <w:tab w:val="right" w:pos="8640"/>
      </w:tabs>
      <w:adjustRightInd w:val="0"/>
      <w:spacing w:before="120" w:after="600" w:line="190" w:lineRule="atLeast"/>
      <w:ind w:left="1080" w:hanging="431"/>
      <w:jc w:val="both"/>
      <w:textAlignment w:val="baseline"/>
    </w:pPr>
    <w:rPr>
      <w:rFonts w:ascii="Arial" w:hAnsi="Arial" w:cs="Arial"/>
      <w:caps/>
      <w:spacing w:val="-5"/>
      <w:sz w:val="15"/>
      <w:szCs w:val="15"/>
      <w:lang w:val="en-US" w:eastAsia="en-US"/>
    </w:rPr>
  </w:style>
  <w:style w:type="paragraph" w:customStyle="1" w:styleId="HeaderFirst">
    <w:name w:val="Header First"/>
    <w:basedOn w:val="aff1"/>
    <w:rsid w:val="00701EBB"/>
    <w:pPr>
      <w:keepLines/>
      <w:widowControl w:val="0"/>
      <w:pBdr>
        <w:top w:val="single" w:sz="6" w:space="2" w:color="auto"/>
      </w:pBdr>
      <w:tabs>
        <w:tab w:val="clear" w:pos="4677"/>
        <w:tab w:val="clear" w:pos="9355"/>
        <w:tab w:val="center" w:pos="4320"/>
        <w:tab w:val="right" w:pos="8640"/>
      </w:tabs>
      <w:adjustRightInd w:val="0"/>
      <w:spacing w:before="120" w:after="120" w:line="190" w:lineRule="atLeast"/>
      <w:ind w:left="1080" w:hanging="431"/>
      <w:jc w:val="right"/>
      <w:textAlignment w:val="baseline"/>
    </w:pPr>
    <w:rPr>
      <w:rFonts w:ascii="Arial" w:hAnsi="Arial" w:cs="Arial"/>
      <w:caps/>
      <w:spacing w:val="-5"/>
      <w:sz w:val="15"/>
      <w:szCs w:val="15"/>
      <w:lang w:val="en-US" w:eastAsia="en-US"/>
    </w:rPr>
  </w:style>
  <w:style w:type="paragraph" w:customStyle="1" w:styleId="HeaderOdd">
    <w:name w:val="Header Odd"/>
    <w:basedOn w:val="aff1"/>
    <w:rsid w:val="00701EBB"/>
    <w:pPr>
      <w:keepLines/>
      <w:widowControl w:val="0"/>
      <w:pBdr>
        <w:bottom w:val="single" w:sz="6" w:space="1" w:color="auto"/>
      </w:pBdr>
      <w:tabs>
        <w:tab w:val="clear" w:pos="4677"/>
        <w:tab w:val="clear" w:pos="9355"/>
        <w:tab w:val="center" w:pos="4320"/>
        <w:tab w:val="right" w:pos="8640"/>
      </w:tabs>
      <w:adjustRightInd w:val="0"/>
      <w:spacing w:before="120" w:after="600" w:line="190" w:lineRule="atLeast"/>
      <w:ind w:left="1080" w:hanging="431"/>
      <w:jc w:val="both"/>
      <w:textAlignment w:val="baseline"/>
    </w:pPr>
    <w:rPr>
      <w:rFonts w:ascii="Arial" w:hAnsi="Arial" w:cs="Arial"/>
      <w:caps/>
      <w:spacing w:val="-5"/>
      <w:sz w:val="15"/>
      <w:szCs w:val="15"/>
      <w:lang w:val="en-US" w:eastAsia="en-US"/>
    </w:rPr>
  </w:style>
  <w:style w:type="paragraph" w:customStyle="1" w:styleId="IndexBase">
    <w:name w:val="Index Base"/>
    <w:basedOn w:val="af1"/>
    <w:rsid w:val="00701EBB"/>
    <w:pPr>
      <w:widowControl w:val="0"/>
      <w:adjustRightInd w:val="0"/>
      <w:spacing w:before="120" w:after="120" w:line="240" w:lineRule="atLeast"/>
      <w:ind w:left="360" w:hanging="360"/>
      <w:jc w:val="both"/>
      <w:textAlignment w:val="baseline"/>
    </w:pPr>
    <w:rPr>
      <w:rFonts w:ascii="Arial" w:hAnsi="Arial" w:cs="Arial"/>
      <w:spacing w:val="-5"/>
      <w:sz w:val="18"/>
      <w:szCs w:val="18"/>
      <w:lang w:val="en-US" w:eastAsia="en-US"/>
    </w:rPr>
  </w:style>
  <w:style w:type="paragraph" w:styleId="1ffb">
    <w:name w:val="index 1"/>
    <w:basedOn w:val="IndexBase"/>
    <w:autoRedefine/>
    <w:semiHidden/>
    <w:rsid w:val="00701EBB"/>
  </w:style>
  <w:style w:type="paragraph" w:styleId="2fb">
    <w:name w:val="index 2"/>
    <w:basedOn w:val="IndexBase"/>
    <w:autoRedefine/>
    <w:semiHidden/>
    <w:rsid w:val="00701EBB"/>
    <w:pPr>
      <w:spacing w:line="240" w:lineRule="auto"/>
      <w:ind w:left="720"/>
    </w:pPr>
  </w:style>
  <w:style w:type="paragraph" w:styleId="3f1">
    <w:name w:val="index 3"/>
    <w:basedOn w:val="IndexBase"/>
    <w:autoRedefine/>
    <w:semiHidden/>
    <w:rsid w:val="00701EBB"/>
    <w:pPr>
      <w:spacing w:line="240" w:lineRule="auto"/>
      <w:ind w:left="1080"/>
    </w:pPr>
  </w:style>
  <w:style w:type="paragraph" w:styleId="48">
    <w:name w:val="index 4"/>
    <w:basedOn w:val="IndexBase"/>
    <w:autoRedefine/>
    <w:semiHidden/>
    <w:rsid w:val="00701EBB"/>
    <w:pPr>
      <w:spacing w:line="240" w:lineRule="auto"/>
      <w:ind w:left="1440"/>
    </w:pPr>
  </w:style>
  <w:style w:type="paragraph" w:styleId="54">
    <w:name w:val="index 5"/>
    <w:basedOn w:val="IndexBase"/>
    <w:autoRedefine/>
    <w:semiHidden/>
    <w:rsid w:val="00701EBB"/>
    <w:pPr>
      <w:spacing w:line="240" w:lineRule="auto"/>
      <w:ind w:left="1800"/>
    </w:pPr>
  </w:style>
  <w:style w:type="paragraph" w:styleId="afffffffb">
    <w:name w:val="index heading"/>
    <w:basedOn w:val="HeadingBase"/>
    <w:next w:val="1ffb"/>
    <w:semiHidden/>
    <w:rsid w:val="00701EBB"/>
    <w:pPr>
      <w:keepLines w:val="0"/>
      <w:spacing w:before="0" w:line="480" w:lineRule="atLeast"/>
      <w:ind w:left="0"/>
    </w:pPr>
    <w:rPr>
      <w:rFonts w:ascii="Arial Black" w:hAnsi="Arial Black" w:cs="Arial Black"/>
      <w:spacing w:val="-5"/>
      <w:kern w:val="0"/>
      <w:sz w:val="24"/>
      <w:szCs w:val="24"/>
    </w:rPr>
  </w:style>
  <w:style w:type="character" w:customStyle="1" w:styleId="Lead-inEmphasis">
    <w:name w:val="Lead-in Emphasis"/>
    <w:rsid w:val="00701EBB"/>
    <w:rPr>
      <w:rFonts w:ascii="Arial Black" w:hAnsi="Arial Black"/>
      <w:spacing w:val="-4"/>
      <w:sz w:val="18"/>
    </w:rPr>
  </w:style>
  <w:style w:type="paragraph" w:styleId="2fc">
    <w:name w:val="List 2"/>
    <w:basedOn w:val="afffff3"/>
    <w:rsid w:val="00701EBB"/>
    <w:pPr>
      <w:suppressAutoHyphens w:val="0"/>
      <w:adjustRightInd w:val="0"/>
      <w:spacing w:before="120" w:line="360" w:lineRule="atLeast"/>
      <w:ind w:left="1800" w:hanging="360"/>
      <w:jc w:val="both"/>
      <w:textAlignment w:val="baseline"/>
    </w:pPr>
    <w:rPr>
      <w:rFonts w:ascii="Arial" w:eastAsia="Times New Roman" w:hAnsi="Arial" w:cs="Arial"/>
      <w:spacing w:val="-5"/>
      <w:kern w:val="0"/>
      <w:sz w:val="22"/>
      <w:szCs w:val="22"/>
      <w:lang w:eastAsia="en-US" w:bidi="ar-SA"/>
    </w:rPr>
  </w:style>
  <w:style w:type="paragraph" w:styleId="3f2">
    <w:name w:val="List 3"/>
    <w:basedOn w:val="afffff3"/>
    <w:rsid w:val="00701EBB"/>
    <w:pPr>
      <w:suppressAutoHyphens w:val="0"/>
      <w:adjustRightInd w:val="0"/>
      <w:spacing w:before="120" w:line="360" w:lineRule="atLeast"/>
      <w:ind w:left="2160" w:hanging="360"/>
      <w:jc w:val="both"/>
      <w:textAlignment w:val="baseline"/>
    </w:pPr>
    <w:rPr>
      <w:rFonts w:ascii="Arial" w:eastAsia="Times New Roman" w:hAnsi="Arial" w:cs="Arial"/>
      <w:spacing w:val="-5"/>
      <w:kern w:val="0"/>
      <w:sz w:val="22"/>
      <w:szCs w:val="22"/>
      <w:lang w:eastAsia="en-US" w:bidi="ar-SA"/>
    </w:rPr>
  </w:style>
  <w:style w:type="paragraph" w:styleId="49">
    <w:name w:val="List 4"/>
    <w:basedOn w:val="afffff3"/>
    <w:rsid w:val="00701EBB"/>
    <w:pPr>
      <w:suppressAutoHyphens w:val="0"/>
      <w:adjustRightInd w:val="0"/>
      <w:spacing w:before="120" w:line="360" w:lineRule="atLeast"/>
      <w:ind w:left="2520" w:hanging="360"/>
      <w:jc w:val="both"/>
      <w:textAlignment w:val="baseline"/>
    </w:pPr>
    <w:rPr>
      <w:rFonts w:ascii="Arial" w:eastAsia="Times New Roman" w:hAnsi="Arial" w:cs="Arial"/>
      <w:spacing w:val="-5"/>
      <w:kern w:val="0"/>
      <w:sz w:val="22"/>
      <w:szCs w:val="22"/>
      <w:lang w:eastAsia="en-US" w:bidi="ar-SA"/>
    </w:rPr>
  </w:style>
  <w:style w:type="paragraph" w:styleId="55">
    <w:name w:val="List 5"/>
    <w:basedOn w:val="afffff3"/>
    <w:rsid w:val="00701EBB"/>
    <w:pPr>
      <w:suppressAutoHyphens w:val="0"/>
      <w:adjustRightInd w:val="0"/>
      <w:spacing w:before="120" w:line="360" w:lineRule="atLeast"/>
      <w:ind w:left="2880" w:hanging="360"/>
      <w:jc w:val="both"/>
      <w:textAlignment w:val="baseline"/>
    </w:pPr>
    <w:rPr>
      <w:rFonts w:ascii="Arial" w:eastAsia="Times New Roman" w:hAnsi="Arial" w:cs="Arial"/>
      <w:spacing w:val="-5"/>
      <w:kern w:val="0"/>
      <w:sz w:val="22"/>
      <w:szCs w:val="22"/>
      <w:lang w:eastAsia="en-US" w:bidi="ar-SA"/>
    </w:rPr>
  </w:style>
  <w:style w:type="paragraph" w:styleId="a8">
    <w:name w:val="List Bullet"/>
    <w:aliases w:val="Маркированный"/>
    <w:basedOn w:val="afffff3"/>
    <w:uiPriority w:val="99"/>
    <w:rsid w:val="00701EBB"/>
    <w:pPr>
      <w:numPr>
        <w:numId w:val="4"/>
      </w:numPr>
      <w:suppressAutoHyphens w:val="0"/>
      <w:adjustRightInd w:val="0"/>
      <w:spacing w:before="120" w:line="360" w:lineRule="atLeast"/>
      <w:jc w:val="both"/>
      <w:textAlignment w:val="baseline"/>
    </w:pPr>
    <w:rPr>
      <w:rFonts w:ascii="Arial" w:eastAsia="Times New Roman" w:hAnsi="Arial" w:cs="Arial"/>
      <w:spacing w:val="-5"/>
      <w:kern w:val="0"/>
      <w:sz w:val="22"/>
      <w:szCs w:val="22"/>
      <w:lang w:eastAsia="en-US" w:bidi="ar-SA"/>
    </w:rPr>
  </w:style>
  <w:style w:type="paragraph" w:styleId="2">
    <w:name w:val="List Bullet 2"/>
    <w:basedOn w:val="a8"/>
    <w:link w:val="2fd"/>
    <w:autoRedefine/>
    <w:rsid w:val="00701EBB"/>
    <w:pPr>
      <w:numPr>
        <w:numId w:val="5"/>
      </w:numPr>
      <w:tabs>
        <w:tab w:val="num" w:pos="1209"/>
        <w:tab w:val="num" w:pos="1492"/>
      </w:tabs>
    </w:pPr>
  </w:style>
  <w:style w:type="paragraph" w:styleId="3f3">
    <w:name w:val="List Bullet 3"/>
    <w:basedOn w:val="a8"/>
    <w:autoRedefine/>
    <w:rsid w:val="00701EBB"/>
    <w:pPr>
      <w:numPr>
        <w:numId w:val="0"/>
      </w:numPr>
    </w:pPr>
  </w:style>
  <w:style w:type="paragraph" w:styleId="4a">
    <w:name w:val="List Bullet 4"/>
    <w:basedOn w:val="a8"/>
    <w:autoRedefine/>
    <w:rsid w:val="00701EBB"/>
    <w:pPr>
      <w:numPr>
        <w:numId w:val="0"/>
      </w:numPr>
    </w:pPr>
  </w:style>
  <w:style w:type="paragraph" w:styleId="56">
    <w:name w:val="List Bullet 5"/>
    <w:basedOn w:val="a8"/>
    <w:autoRedefine/>
    <w:rsid w:val="00701EBB"/>
    <w:pPr>
      <w:numPr>
        <w:numId w:val="0"/>
      </w:numPr>
    </w:pPr>
  </w:style>
  <w:style w:type="paragraph" w:styleId="afffffffc">
    <w:name w:val="List Continue"/>
    <w:basedOn w:val="afffff3"/>
    <w:rsid w:val="00701EBB"/>
    <w:pPr>
      <w:suppressAutoHyphens w:val="0"/>
      <w:adjustRightInd w:val="0"/>
      <w:spacing w:before="120" w:line="360" w:lineRule="atLeast"/>
      <w:ind w:left="1440"/>
      <w:jc w:val="both"/>
      <w:textAlignment w:val="baseline"/>
    </w:pPr>
    <w:rPr>
      <w:rFonts w:ascii="Arial" w:eastAsia="Times New Roman" w:hAnsi="Arial" w:cs="Arial"/>
      <w:spacing w:val="-5"/>
      <w:kern w:val="0"/>
      <w:sz w:val="22"/>
      <w:szCs w:val="22"/>
      <w:lang w:eastAsia="en-US" w:bidi="ar-SA"/>
    </w:rPr>
  </w:style>
  <w:style w:type="paragraph" w:styleId="2fe">
    <w:name w:val="List Continue 2"/>
    <w:basedOn w:val="afffffffc"/>
    <w:rsid w:val="00701EBB"/>
    <w:pPr>
      <w:ind w:left="2160"/>
    </w:pPr>
  </w:style>
  <w:style w:type="paragraph" w:styleId="3f4">
    <w:name w:val="List Continue 3"/>
    <w:basedOn w:val="afffffffc"/>
    <w:rsid w:val="00701EBB"/>
    <w:pPr>
      <w:ind w:left="2520"/>
    </w:pPr>
  </w:style>
  <w:style w:type="paragraph" w:styleId="4b">
    <w:name w:val="List Continue 4"/>
    <w:basedOn w:val="afffffffc"/>
    <w:rsid w:val="00701EBB"/>
    <w:pPr>
      <w:ind w:left="2880"/>
    </w:pPr>
  </w:style>
  <w:style w:type="paragraph" w:styleId="57">
    <w:name w:val="List Continue 5"/>
    <w:basedOn w:val="afffffffc"/>
    <w:rsid w:val="00701EBB"/>
    <w:pPr>
      <w:ind w:left="3240"/>
    </w:pPr>
  </w:style>
  <w:style w:type="paragraph" w:styleId="afffffffd">
    <w:name w:val="List Number"/>
    <w:basedOn w:val="afffff3"/>
    <w:rsid w:val="00701EBB"/>
    <w:pPr>
      <w:tabs>
        <w:tab w:val="num" w:pos="360"/>
      </w:tabs>
      <w:suppressAutoHyphens w:val="0"/>
      <w:adjustRightInd w:val="0"/>
      <w:spacing w:before="120" w:line="360" w:lineRule="atLeast"/>
      <w:jc w:val="both"/>
      <w:textAlignment w:val="baseline"/>
    </w:pPr>
    <w:rPr>
      <w:rFonts w:ascii="Arial" w:eastAsia="Times New Roman" w:hAnsi="Arial" w:cs="Arial"/>
      <w:spacing w:val="-5"/>
      <w:kern w:val="0"/>
      <w:sz w:val="22"/>
      <w:szCs w:val="22"/>
      <w:lang w:eastAsia="en-US" w:bidi="ar-SA"/>
    </w:rPr>
  </w:style>
  <w:style w:type="paragraph" w:styleId="2ff">
    <w:name w:val="List Number 2"/>
    <w:basedOn w:val="afffffffd"/>
    <w:rsid w:val="00701EBB"/>
    <w:pPr>
      <w:tabs>
        <w:tab w:val="clear" w:pos="360"/>
      </w:tabs>
    </w:pPr>
  </w:style>
  <w:style w:type="paragraph" w:styleId="3f5">
    <w:name w:val="List Number 3"/>
    <w:basedOn w:val="afffffffd"/>
    <w:rsid w:val="00701EBB"/>
    <w:pPr>
      <w:tabs>
        <w:tab w:val="clear" w:pos="360"/>
      </w:tabs>
    </w:pPr>
  </w:style>
  <w:style w:type="paragraph" w:styleId="4c">
    <w:name w:val="List Number 4"/>
    <w:basedOn w:val="afffffffd"/>
    <w:rsid w:val="00701EBB"/>
    <w:pPr>
      <w:tabs>
        <w:tab w:val="clear" w:pos="360"/>
      </w:tabs>
    </w:pPr>
  </w:style>
  <w:style w:type="paragraph" w:styleId="58">
    <w:name w:val="List Number 5"/>
    <w:basedOn w:val="afffffffd"/>
    <w:rsid w:val="00701EBB"/>
    <w:pPr>
      <w:tabs>
        <w:tab w:val="clear" w:pos="360"/>
      </w:tabs>
    </w:pPr>
  </w:style>
  <w:style w:type="paragraph" w:styleId="afffffffe">
    <w:name w:val="Message Header"/>
    <w:basedOn w:val="af5"/>
    <w:link w:val="affffffff"/>
    <w:rsid w:val="00701EBB"/>
    <w:pPr>
      <w:keepLines/>
      <w:widowControl w:val="0"/>
      <w:tabs>
        <w:tab w:val="left" w:pos="3600"/>
        <w:tab w:val="left" w:pos="4680"/>
      </w:tabs>
      <w:adjustRightInd w:val="0"/>
      <w:spacing w:before="120" w:after="120" w:line="280" w:lineRule="exact"/>
      <w:ind w:right="2160" w:hanging="1080"/>
      <w:jc w:val="left"/>
      <w:textAlignment w:val="baseline"/>
    </w:pPr>
    <w:rPr>
      <w:rFonts w:ascii="Arial" w:hAnsi="Arial" w:cs="Arial"/>
      <w:b w:val="0"/>
      <w:bCs w:val="0"/>
      <w:sz w:val="22"/>
      <w:szCs w:val="22"/>
      <w:lang w:eastAsia="en-US"/>
    </w:rPr>
  </w:style>
  <w:style w:type="character" w:customStyle="1" w:styleId="affffffff">
    <w:name w:val="Шапка Знак"/>
    <w:basedOn w:val="af2"/>
    <w:link w:val="afffffffe"/>
    <w:rsid w:val="00701EBB"/>
    <w:rPr>
      <w:rFonts w:ascii="Arial" w:eastAsia="Times New Roman" w:hAnsi="Arial" w:cs="Arial"/>
    </w:rPr>
  </w:style>
  <w:style w:type="paragraph" w:styleId="affffffff0">
    <w:name w:val="Normal Indent"/>
    <w:basedOn w:val="af1"/>
    <w:rsid w:val="00701EBB"/>
    <w:pPr>
      <w:widowControl w:val="0"/>
      <w:adjustRightInd w:val="0"/>
      <w:spacing w:before="120" w:after="120" w:line="360" w:lineRule="atLeast"/>
      <w:ind w:left="1440" w:hanging="431"/>
      <w:jc w:val="both"/>
      <w:textAlignment w:val="baseline"/>
    </w:pPr>
    <w:rPr>
      <w:rFonts w:ascii="Arial" w:hAnsi="Arial" w:cs="Arial"/>
      <w:spacing w:val="-5"/>
      <w:sz w:val="20"/>
      <w:szCs w:val="20"/>
      <w:lang w:val="en-US" w:eastAsia="en-US"/>
    </w:rPr>
  </w:style>
  <w:style w:type="paragraph" w:customStyle="1" w:styleId="PartLabel">
    <w:name w:val="Part Label"/>
    <w:basedOn w:val="af1"/>
    <w:rsid w:val="00701EBB"/>
    <w:pPr>
      <w:widowControl w:val="0"/>
      <w:shd w:val="solid" w:color="auto" w:fill="auto"/>
      <w:adjustRightInd w:val="0"/>
      <w:spacing w:before="120" w:after="120" w:line="360" w:lineRule="exact"/>
      <w:ind w:hanging="431"/>
      <w:jc w:val="center"/>
      <w:textAlignment w:val="baseline"/>
    </w:pPr>
    <w:rPr>
      <w:rFonts w:ascii="Arial" w:hAnsi="Arial" w:cs="Arial"/>
      <w:color w:val="FFFFFF"/>
      <w:spacing w:val="-16"/>
      <w:sz w:val="26"/>
      <w:szCs w:val="26"/>
      <w:lang w:val="en-US" w:eastAsia="en-US"/>
    </w:rPr>
  </w:style>
  <w:style w:type="paragraph" w:customStyle="1" w:styleId="PartSubtitle">
    <w:name w:val="Part Subtitle"/>
    <w:basedOn w:val="af1"/>
    <w:next w:val="af5"/>
    <w:rsid w:val="00701EBB"/>
    <w:pPr>
      <w:keepNext/>
      <w:widowControl w:val="0"/>
      <w:adjustRightInd w:val="0"/>
      <w:spacing w:before="360" w:after="120" w:line="360" w:lineRule="atLeast"/>
      <w:ind w:left="1080" w:hanging="431"/>
      <w:jc w:val="both"/>
      <w:textAlignment w:val="baseline"/>
    </w:pPr>
    <w:rPr>
      <w:rFonts w:ascii="Arial" w:hAnsi="Arial" w:cs="Arial"/>
      <w:i/>
      <w:iCs/>
      <w:spacing w:val="-5"/>
      <w:kern w:val="28"/>
      <w:sz w:val="26"/>
      <w:szCs w:val="26"/>
      <w:lang w:val="en-US" w:eastAsia="en-US"/>
    </w:rPr>
  </w:style>
  <w:style w:type="paragraph" w:customStyle="1" w:styleId="PartTitle">
    <w:name w:val="Part Title"/>
    <w:basedOn w:val="af1"/>
    <w:rsid w:val="00701EBB"/>
    <w:pPr>
      <w:widowControl w:val="0"/>
      <w:shd w:val="solid" w:color="auto" w:fill="auto"/>
      <w:adjustRightInd w:val="0"/>
      <w:spacing w:before="120" w:after="120" w:line="660" w:lineRule="exact"/>
      <w:ind w:hanging="431"/>
      <w:jc w:val="center"/>
      <w:textAlignment w:val="baseline"/>
    </w:pPr>
    <w:rPr>
      <w:rFonts w:ascii="Arial Black" w:hAnsi="Arial Black" w:cs="Arial Black"/>
      <w:color w:val="FFFFFF"/>
      <w:spacing w:val="-40"/>
      <w:sz w:val="84"/>
      <w:szCs w:val="84"/>
      <w:lang w:val="en-US" w:eastAsia="en-US"/>
    </w:rPr>
  </w:style>
  <w:style w:type="paragraph" w:customStyle="1" w:styleId="ReturnAddress">
    <w:name w:val="Return Address"/>
    <w:basedOn w:val="af1"/>
    <w:rsid w:val="00701EBB"/>
    <w:pPr>
      <w:keepLines/>
      <w:framePr w:w="5160" w:h="840" w:wrap="notBeside" w:vAnchor="page" w:hAnchor="page" w:x="6121" w:y="915" w:anchorLock="1"/>
      <w:widowControl w:val="0"/>
      <w:tabs>
        <w:tab w:val="left" w:pos="2160"/>
      </w:tabs>
      <w:adjustRightInd w:val="0"/>
      <w:spacing w:before="120" w:after="120" w:line="160" w:lineRule="atLeast"/>
      <w:ind w:hanging="431"/>
      <w:jc w:val="both"/>
      <w:textAlignment w:val="baseline"/>
    </w:pPr>
    <w:rPr>
      <w:rFonts w:ascii="Arial" w:hAnsi="Arial" w:cs="Arial"/>
      <w:sz w:val="14"/>
      <w:szCs w:val="14"/>
      <w:lang w:val="en-US" w:eastAsia="en-US"/>
    </w:rPr>
  </w:style>
  <w:style w:type="paragraph" w:customStyle="1" w:styleId="SectionHeading">
    <w:name w:val="Section Heading"/>
    <w:basedOn w:val="10"/>
    <w:rsid w:val="00701EBB"/>
    <w:pPr>
      <w:keepNext w:val="0"/>
      <w:pBdr>
        <w:top w:val="single" w:sz="48" w:space="3" w:color="FFFFFF"/>
        <w:left w:val="single" w:sz="6" w:space="3" w:color="FFFFFF"/>
        <w:bottom w:val="single" w:sz="6" w:space="3" w:color="FFFFFF"/>
      </w:pBdr>
      <w:tabs>
        <w:tab w:val="num" w:pos="284"/>
      </w:tabs>
      <w:adjustRightInd w:val="0"/>
      <w:spacing w:after="120" w:line="240" w:lineRule="atLeast"/>
      <w:ind w:left="431" w:hanging="431"/>
      <w:textAlignment w:val="baseline"/>
    </w:pPr>
    <w:rPr>
      <w:rFonts w:ascii="Arial Black" w:hAnsi="Arial Black" w:cs="Arial Black"/>
      <w:spacing w:val="-8"/>
      <w:kern w:val="20"/>
      <w:sz w:val="24"/>
      <w:szCs w:val="24"/>
      <w:lang w:eastAsia="en-US"/>
    </w:rPr>
  </w:style>
  <w:style w:type="paragraph" w:customStyle="1" w:styleId="SectionLabel">
    <w:name w:val="Section Label"/>
    <w:basedOn w:val="HeadingBase"/>
    <w:next w:val="af5"/>
    <w:rsid w:val="00701EBB"/>
    <w:pPr>
      <w:pBdr>
        <w:bottom w:val="single" w:sz="6" w:space="2" w:color="auto"/>
      </w:pBdr>
      <w:spacing w:before="360" w:after="960"/>
      <w:ind w:left="0"/>
    </w:pPr>
    <w:rPr>
      <w:rFonts w:ascii="Arial Black" w:hAnsi="Arial Black" w:cs="Arial Black"/>
      <w:spacing w:val="-35"/>
      <w:sz w:val="54"/>
      <w:szCs w:val="54"/>
    </w:rPr>
  </w:style>
  <w:style w:type="character" w:customStyle="1" w:styleId="Slogan">
    <w:name w:val="Slogan"/>
    <w:rsid w:val="00701EBB"/>
    <w:rPr>
      <w:rFonts w:cs="Times New Roman"/>
      <w:i/>
      <w:iCs/>
      <w:spacing w:val="-6"/>
      <w:sz w:val="24"/>
      <w:szCs w:val="24"/>
    </w:rPr>
  </w:style>
  <w:style w:type="paragraph" w:customStyle="1" w:styleId="SubtitleCover">
    <w:name w:val="Subtitle Cover"/>
    <w:basedOn w:val="TitleCover"/>
    <w:next w:val="af5"/>
    <w:rsid w:val="00701EBB"/>
    <w:pPr>
      <w:pBdr>
        <w:top w:val="single" w:sz="6" w:space="24" w:color="auto"/>
      </w:pBdr>
      <w:tabs>
        <w:tab w:val="clear" w:pos="0"/>
      </w:tabs>
      <w:spacing w:before="0" w:after="0" w:line="480" w:lineRule="atLeast"/>
      <w:ind w:left="835" w:right="835"/>
    </w:pPr>
    <w:rPr>
      <w:rFonts w:ascii="Arial" w:hAnsi="Arial" w:cs="Arial"/>
      <w:b/>
      <w:bCs/>
      <w:spacing w:val="-30"/>
      <w:sz w:val="48"/>
      <w:szCs w:val="48"/>
    </w:rPr>
  </w:style>
  <w:style w:type="character" w:customStyle="1" w:styleId="Superscript">
    <w:name w:val="Superscript"/>
    <w:rsid w:val="00701EBB"/>
    <w:rPr>
      <w:b/>
      <w:vertAlign w:val="superscript"/>
    </w:rPr>
  </w:style>
  <w:style w:type="paragraph" w:customStyle="1" w:styleId="TableHeader">
    <w:name w:val="Table Header"/>
    <w:basedOn w:val="af1"/>
    <w:rsid w:val="00701EBB"/>
    <w:pPr>
      <w:widowControl w:val="0"/>
      <w:adjustRightInd w:val="0"/>
      <w:spacing w:before="60" w:after="120" w:line="360" w:lineRule="atLeast"/>
      <w:ind w:hanging="431"/>
      <w:jc w:val="center"/>
      <w:textAlignment w:val="baseline"/>
    </w:pPr>
    <w:rPr>
      <w:rFonts w:ascii="Arial Black" w:hAnsi="Arial Black" w:cs="Arial Black"/>
      <w:spacing w:val="-5"/>
      <w:sz w:val="16"/>
      <w:szCs w:val="16"/>
      <w:lang w:val="en-US" w:eastAsia="en-US"/>
    </w:rPr>
  </w:style>
  <w:style w:type="paragraph" w:styleId="affffffff1">
    <w:name w:val="table of authorities"/>
    <w:basedOn w:val="af1"/>
    <w:semiHidden/>
    <w:rsid w:val="00701EBB"/>
    <w:pPr>
      <w:widowControl w:val="0"/>
      <w:tabs>
        <w:tab w:val="right" w:leader="dot" w:pos="7560"/>
      </w:tabs>
      <w:adjustRightInd w:val="0"/>
      <w:spacing w:before="120" w:after="120" w:line="360" w:lineRule="atLeast"/>
      <w:ind w:left="1440" w:hanging="360"/>
      <w:jc w:val="both"/>
      <w:textAlignment w:val="baseline"/>
    </w:pPr>
    <w:rPr>
      <w:rFonts w:ascii="Arial" w:hAnsi="Arial" w:cs="Arial"/>
      <w:spacing w:val="-5"/>
      <w:sz w:val="20"/>
      <w:szCs w:val="20"/>
      <w:lang w:val="en-US" w:eastAsia="en-US"/>
    </w:rPr>
  </w:style>
  <w:style w:type="paragraph" w:customStyle="1" w:styleId="TOCBase">
    <w:name w:val="TOC Base"/>
    <w:basedOn w:val="af1"/>
    <w:rsid w:val="00701EBB"/>
    <w:pPr>
      <w:widowControl w:val="0"/>
      <w:tabs>
        <w:tab w:val="right" w:leader="dot" w:pos="6480"/>
      </w:tabs>
      <w:adjustRightInd w:val="0"/>
      <w:spacing w:before="120" w:after="240" w:line="240" w:lineRule="atLeast"/>
      <w:ind w:hanging="431"/>
      <w:jc w:val="both"/>
      <w:textAlignment w:val="baseline"/>
    </w:pPr>
    <w:rPr>
      <w:rFonts w:ascii="Arial" w:hAnsi="Arial" w:cs="Arial"/>
      <w:spacing w:val="-5"/>
      <w:sz w:val="20"/>
      <w:szCs w:val="20"/>
      <w:lang w:val="en-US" w:eastAsia="en-US"/>
    </w:rPr>
  </w:style>
  <w:style w:type="paragraph" w:styleId="affffffff2">
    <w:name w:val="table of figures"/>
    <w:basedOn w:val="TOCBase"/>
    <w:semiHidden/>
    <w:rsid w:val="00701EBB"/>
    <w:pPr>
      <w:tabs>
        <w:tab w:val="clear" w:pos="6480"/>
      </w:tabs>
      <w:spacing w:after="0" w:line="240" w:lineRule="auto"/>
    </w:pPr>
    <w:rPr>
      <w:i/>
      <w:iCs/>
    </w:rPr>
  </w:style>
  <w:style w:type="paragraph" w:customStyle="1" w:styleId="TableText">
    <w:name w:val="Table Text"/>
    <w:basedOn w:val="af1"/>
    <w:link w:val="TableTextChar"/>
    <w:rsid w:val="00701EBB"/>
    <w:pPr>
      <w:widowControl w:val="0"/>
      <w:adjustRightInd w:val="0"/>
      <w:spacing w:before="60" w:after="120" w:line="360" w:lineRule="atLeast"/>
      <w:ind w:hanging="431"/>
      <w:jc w:val="both"/>
      <w:textAlignment w:val="baseline"/>
    </w:pPr>
    <w:rPr>
      <w:rFonts w:ascii="Arial" w:hAnsi="Arial" w:cs="Arial"/>
      <w:spacing w:val="-5"/>
      <w:sz w:val="18"/>
      <w:szCs w:val="18"/>
      <w:lang w:val="en-US" w:eastAsia="en-US"/>
    </w:rPr>
  </w:style>
  <w:style w:type="paragraph" w:styleId="affffffff3">
    <w:name w:val="toa heading"/>
    <w:basedOn w:val="af1"/>
    <w:next w:val="affffffff1"/>
    <w:semiHidden/>
    <w:rsid w:val="00701EBB"/>
    <w:pPr>
      <w:keepNext/>
      <w:widowControl w:val="0"/>
      <w:adjustRightInd w:val="0"/>
      <w:spacing w:before="120" w:after="120" w:line="480" w:lineRule="atLeast"/>
      <w:ind w:left="1080" w:hanging="431"/>
      <w:jc w:val="both"/>
      <w:textAlignment w:val="baseline"/>
    </w:pPr>
    <w:rPr>
      <w:rFonts w:ascii="Arial Black" w:hAnsi="Arial Black" w:cs="Arial Black"/>
      <w:b/>
      <w:bCs/>
      <w:spacing w:val="-10"/>
      <w:kern w:val="28"/>
      <w:sz w:val="20"/>
      <w:szCs w:val="20"/>
      <w:lang w:val="en-US" w:eastAsia="en-US"/>
    </w:rPr>
  </w:style>
  <w:style w:type="paragraph" w:styleId="4d">
    <w:name w:val="toc 4"/>
    <w:basedOn w:val="TOCBase"/>
    <w:autoRedefine/>
    <w:semiHidden/>
    <w:rsid w:val="00701EBB"/>
    <w:pPr>
      <w:tabs>
        <w:tab w:val="clear" w:pos="6480"/>
      </w:tabs>
      <w:spacing w:after="0" w:line="240" w:lineRule="auto"/>
      <w:ind w:left="400"/>
    </w:pPr>
  </w:style>
  <w:style w:type="paragraph" w:styleId="59">
    <w:name w:val="toc 5"/>
    <w:basedOn w:val="TOCBase"/>
    <w:autoRedefine/>
    <w:semiHidden/>
    <w:rsid w:val="00701EBB"/>
    <w:pPr>
      <w:tabs>
        <w:tab w:val="clear" w:pos="6480"/>
      </w:tabs>
      <w:spacing w:after="0" w:line="240" w:lineRule="auto"/>
      <w:ind w:left="600"/>
    </w:pPr>
  </w:style>
  <w:style w:type="paragraph" w:customStyle="1" w:styleId="StyleBodyTextLeft021cm">
    <w:name w:val="Style Body Text + Left:  021 cm"/>
    <w:basedOn w:val="af5"/>
    <w:rsid w:val="00701EBB"/>
    <w:pPr>
      <w:widowControl w:val="0"/>
      <w:adjustRightInd w:val="0"/>
      <w:spacing w:before="120" w:after="120" w:line="360" w:lineRule="atLeast"/>
      <w:ind w:firstLine="567"/>
      <w:jc w:val="both"/>
      <w:textAlignment w:val="baseline"/>
    </w:pPr>
    <w:rPr>
      <w:rFonts w:ascii="Arial" w:hAnsi="Arial" w:cs="Arial"/>
      <w:b w:val="0"/>
      <w:bCs w:val="0"/>
      <w:spacing w:val="-5"/>
      <w:sz w:val="22"/>
      <w:szCs w:val="22"/>
      <w:lang w:eastAsia="en-US"/>
    </w:rPr>
  </w:style>
  <w:style w:type="paragraph" w:customStyle="1" w:styleId="StyleBodyTextLeft075cmFirstline0cm">
    <w:name w:val="Style Body Text + Left:  075 cm First line:  0 cm"/>
    <w:basedOn w:val="af5"/>
    <w:rsid w:val="00701EBB"/>
    <w:pPr>
      <w:widowControl w:val="0"/>
      <w:adjustRightInd w:val="0"/>
      <w:spacing w:before="120" w:after="120" w:line="360" w:lineRule="atLeast"/>
      <w:ind w:left="425" w:firstLine="567"/>
      <w:jc w:val="both"/>
      <w:textAlignment w:val="baseline"/>
    </w:pPr>
    <w:rPr>
      <w:rFonts w:ascii="Arial" w:hAnsi="Arial" w:cs="Arial"/>
      <w:b w:val="0"/>
      <w:bCs w:val="0"/>
      <w:spacing w:val="-5"/>
      <w:sz w:val="22"/>
      <w:szCs w:val="22"/>
      <w:lang w:eastAsia="en-US"/>
    </w:rPr>
  </w:style>
  <w:style w:type="paragraph" w:customStyle="1" w:styleId="StyleHeading3Justified">
    <w:name w:val="Style Heading 3 + Justified"/>
    <w:basedOn w:val="30"/>
    <w:rsid w:val="00701EBB"/>
    <w:pPr>
      <w:keepNext w:val="0"/>
      <w:widowControl w:val="0"/>
      <w:numPr>
        <w:numId w:val="2"/>
      </w:numPr>
      <w:tabs>
        <w:tab w:val="clear" w:pos="360"/>
        <w:tab w:val="num" w:pos="567"/>
      </w:tabs>
      <w:adjustRightInd w:val="0"/>
      <w:spacing w:before="120" w:after="120" w:line="240" w:lineRule="atLeast"/>
      <w:ind w:left="2160" w:hanging="720"/>
      <w:jc w:val="both"/>
      <w:textAlignment w:val="baseline"/>
    </w:pPr>
    <w:rPr>
      <w:rFonts w:ascii="Arial Black" w:hAnsi="Arial Black" w:cs="Arial Black"/>
      <w:bCs/>
      <w:spacing w:val="-10"/>
      <w:kern w:val="28"/>
      <w:sz w:val="24"/>
      <w:szCs w:val="24"/>
      <w:lang w:eastAsia="en-US"/>
    </w:rPr>
  </w:style>
  <w:style w:type="paragraph" w:customStyle="1" w:styleId="StyleHeading1TopSinglesolidlineWhite6ptLinewidth">
    <w:name w:val="Style Heading 1 + Top: (Single solid line White  6 pt Line width..."/>
    <w:basedOn w:val="10"/>
    <w:rsid w:val="00701EBB"/>
    <w:pPr>
      <w:keepNext w:val="0"/>
      <w:pBdr>
        <w:top w:val="single" w:sz="48" w:space="9" w:color="FFFFFF"/>
        <w:left w:val="single" w:sz="6" w:space="3" w:color="FFFFFF"/>
        <w:bottom w:val="single" w:sz="6" w:space="2" w:color="FFFFFF"/>
      </w:pBdr>
      <w:tabs>
        <w:tab w:val="num" w:pos="857"/>
      </w:tabs>
      <w:adjustRightInd w:val="0"/>
      <w:spacing w:after="120" w:line="240" w:lineRule="atLeast"/>
      <w:ind w:left="857" w:hanging="432"/>
      <w:textAlignment w:val="baseline"/>
    </w:pPr>
    <w:rPr>
      <w:rFonts w:ascii="Arial Black" w:hAnsi="Arial Black" w:cs="Arial Black"/>
      <w:spacing w:val="-8"/>
      <w:kern w:val="20"/>
      <w:sz w:val="24"/>
      <w:szCs w:val="24"/>
      <w:lang w:eastAsia="en-US"/>
    </w:rPr>
  </w:style>
  <w:style w:type="paragraph" w:styleId="66">
    <w:name w:val="toc 6"/>
    <w:basedOn w:val="af1"/>
    <w:next w:val="af1"/>
    <w:autoRedefine/>
    <w:semiHidden/>
    <w:rsid w:val="00701EBB"/>
    <w:pPr>
      <w:widowControl w:val="0"/>
      <w:adjustRightInd w:val="0"/>
      <w:spacing w:before="120" w:after="120" w:line="360" w:lineRule="atLeast"/>
      <w:ind w:left="800" w:hanging="431"/>
      <w:jc w:val="both"/>
      <w:textAlignment w:val="baseline"/>
    </w:pPr>
    <w:rPr>
      <w:rFonts w:ascii="Arial" w:hAnsi="Arial" w:cs="Arial"/>
      <w:spacing w:val="-5"/>
      <w:sz w:val="20"/>
      <w:szCs w:val="20"/>
      <w:lang w:val="en-US" w:eastAsia="en-US"/>
    </w:rPr>
  </w:style>
  <w:style w:type="paragraph" w:styleId="74">
    <w:name w:val="toc 7"/>
    <w:basedOn w:val="af1"/>
    <w:next w:val="af1"/>
    <w:autoRedefine/>
    <w:semiHidden/>
    <w:rsid w:val="00701EBB"/>
    <w:pPr>
      <w:widowControl w:val="0"/>
      <w:adjustRightInd w:val="0"/>
      <w:spacing w:before="120" w:after="120" w:line="360" w:lineRule="atLeast"/>
      <w:ind w:left="1000" w:hanging="431"/>
      <w:jc w:val="both"/>
      <w:textAlignment w:val="baseline"/>
    </w:pPr>
    <w:rPr>
      <w:rFonts w:ascii="Arial" w:hAnsi="Arial" w:cs="Arial"/>
      <w:spacing w:val="-5"/>
      <w:sz w:val="20"/>
      <w:szCs w:val="20"/>
      <w:lang w:val="en-US" w:eastAsia="en-US"/>
    </w:rPr>
  </w:style>
  <w:style w:type="paragraph" w:styleId="83">
    <w:name w:val="toc 8"/>
    <w:basedOn w:val="af1"/>
    <w:next w:val="af1"/>
    <w:autoRedefine/>
    <w:semiHidden/>
    <w:rsid w:val="00701EBB"/>
    <w:pPr>
      <w:widowControl w:val="0"/>
      <w:adjustRightInd w:val="0"/>
      <w:spacing w:before="120" w:after="120" w:line="360" w:lineRule="atLeast"/>
      <w:ind w:left="1200" w:hanging="431"/>
      <w:jc w:val="both"/>
      <w:textAlignment w:val="baseline"/>
    </w:pPr>
    <w:rPr>
      <w:rFonts w:ascii="Arial" w:hAnsi="Arial" w:cs="Arial"/>
      <w:spacing w:val="-5"/>
      <w:sz w:val="20"/>
      <w:szCs w:val="20"/>
      <w:lang w:val="en-US" w:eastAsia="en-US"/>
    </w:rPr>
  </w:style>
  <w:style w:type="paragraph" w:styleId="93">
    <w:name w:val="toc 9"/>
    <w:basedOn w:val="af1"/>
    <w:next w:val="af1"/>
    <w:autoRedefine/>
    <w:semiHidden/>
    <w:rsid w:val="00701EBB"/>
    <w:pPr>
      <w:widowControl w:val="0"/>
      <w:adjustRightInd w:val="0"/>
      <w:spacing w:before="120" w:after="120" w:line="360" w:lineRule="atLeast"/>
      <w:ind w:left="1400" w:hanging="431"/>
      <w:jc w:val="both"/>
      <w:textAlignment w:val="baseline"/>
    </w:pPr>
    <w:rPr>
      <w:rFonts w:ascii="Arial" w:hAnsi="Arial" w:cs="Arial"/>
      <w:spacing w:val="-5"/>
      <w:sz w:val="20"/>
      <w:szCs w:val="20"/>
      <w:lang w:val="en-US" w:eastAsia="en-US"/>
    </w:rPr>
  </w:style>
  <w:style w:type="paragraph" w:customStyle="1" w:styleId="1ffc">
    <w:name w:val="аголовок 1"/>
    <w:basedOn w:val="af1"/>
    <w:next w:val="af1"/>
    <w:rsid w:val="00701EBB"/>
    <w:pPr>
      <w:keepNext/>
      <w:widowControl w:val="0"/>
      <w:overflowPunct w:val="0"/>
      <w:autoSpaceDE w:val="0"/>
      <w:autoSpaceDN w:val="0"/>
      <w:adjustRightInd w:val="0"/>
      <w:spacing w:before="120" w:after="120" w:line="360" w:lineRule="atLeast"/>
      <w:ind w:hanging="431"/>
      <w:jc w:val="center"/>
      <w:textAlignment w:val="baseline"/>
    </w:pPr>
    <w:rPr>
      <w:rFonts w:ascii="Arial" w:hAnsi="Arial" w:cs="Arial"/>
      <w:b/>
      <w:bCs/>
    </w:rPr>
  </w:style>
  <w:style w:type="paragraph" w:customStyle="1" w:styleId="CowiDate">
    <w:name w:val="CowiDate"/>
    <w:basedOn w:val="FrontPageFrame"/>
    <w:next w:val="FrontPageFrame"/>
    <w:rsid w:val="00701EBB"/>
    <w:pPr>
      <w:framePr w:wrap="auto"/>
    </w:pPr>
  </w:style>
  <w:style w:type="paragraph" w:customStyle="1" w:styleId="FrontPageFrame">
    <w:name w:val="FrontPageFrame"/>
    <w:basedOn w:val="af1"/>
    <w:rsid w:val="00701EBB"/>
    <w:pPr>
      <w:framePr w:wrap="auto" w:hAnchor="margin" w:x="-2267" w:yAlign="bottom"/>
      <w:tabs>
        <w:tab w:val="left" w:pos="1134"/>
      </w:tabs>
      <w:spacing w:before="120" w:after="120" w:line="240" w:lineRule="atLeast"/>
      <w:ind w:hanging="431"/>
    </w:pPr>
    <w:rPr>
      <w:rFonts w:ascii="DaneHelveticaNeue" w:hAnsi="DaneHelveticaNeue" w:cs="DaneHelveticaNeue"/>
      <w:sz w:val="14"/>
      <w:szCs w:val="14"/>
      <w:lang w:val="en-GB"/>
    </w:rPr>
  </w:style>
  <w:style w:type="paragraph" w:customStyle="1" w:styleId="CowiAuthor">
    <w:name w:val="CowiAuthor"/>
    <w:basedOn w:val="FrontPageFrame"/>
    <w:next w:val="FrontPageFrame"/>
    <w:rsid w:val="00701EBB"/>
    <w:pPr>
      <w:framePr w:wrap="auto"/>
    </w:pPr>
  </w:style>
  <w:style w:type="table" w:styleId="5a">
    <w:name w:val="Table Grid 5"/>
    <w:basedOn w:val="af3"/>
    <w:rsid w:val="00701EBB"/>
    <w:pPr>
      <w:spacing w:after="0" w:line="240" w:lineRule="auto"/>
      <w:ind w:left="1080"/>
    </w:pPr>
    <w:rPr>
      <w:rFonts w:ascii="Arial" w:eastAsia="Times New Roman" w:hAnsi="Arial" w:cs="Arial"/>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Arial"/>
      </w:rPr>
      <w:tblPr/>
      <w:tcPr>
        <w:tcBorders>
          <w:bottom w:val="single" w:sz="12" w:space="0" w:color="000000"/>
          <w:tl2br w:val="none" w:sz="0" w:space="0" w:color="auto"/>
          <w:tr2bl w:val="none" w:sz="0" w:space="0" w:color="auto"/>
        </w:tcBorders>
      </w:tcPr>
    </w:tblStylePr>
    <w:tblStylePr w:type="lastRow">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nwCell">
      <w:rPr>
        <w:rFonts w:cs="Arial"/>
      </w:rPr>
      <w:tblPr/>
      <w:tcPr>
        <w:tcBorders>
          <w:tl2br w:val="single" w:sz="6" w:space="0" w:color="000000"/>
          <w:tr2bl w:val="none" w:sz="0" w:space="0" w:color="auto"/>
        </w:tcBorders>
      </w:tcPr>
    </w:tblStylePr>
  </w:style>
  <w:style w:type="paragraph" w:customStyle="1" w:styleId="2ff0">
    <w:name w:val="заголовок 2"/>
    <w:basedOn w:val="af1"/>
    <w:next w:val="af1"/>
    <w:rsid w:val="00701EBB"/>
    <w:pPr>
      <w:tabs>
        <w:tab w:val="num" w:pos="0"/>
      </w:tabs>
      <w:autoSpaceDE w:val="0"/>
      <w:autoSpaceDN w:val="0"/>
      <w:spacing w:before="120" w:after="120"/>
      <w:ind w:left="284" w:hanging="431"/>
      <w:outlineLvl w:val="1"/>
    </w:pPr>
    <w:rPr>
      <w:rFonts w:ascii="Arial" w:hAnsi="Arial" w:cs="Arial"/>
      <w:sz w:val="20"/>
      <w:szCs w:val="20"/>
    </w:rPr>
  </w:style>
  <w:style w:type="paragraph" w:customStyle="1" w:styleId="3f6">
    <w:name w:val="заголовок 3"/>
    <w:basedOn w:val="af1"/>
    <w:next w:val="af1"/>
    <w:rsid w:val="00701EBB"/>
    <w:pPr>
      <w:tabs>
        <w:tab w:val="num" w:pos="0"/>
        <w:tab w:val="num" w:pos="283"/>
      </w:tabs>
      <w:autoSpaceDE w:val="0"/>
      <w:autoSpaceDN w:val="0"/>
      <w:spacing w:before="120" w:after="120"/>
      <w:ind w:left="568" w:hanging="431"/>
      <w:outlineLvl w:val="2"/>
    </w:pPr>
    <w:rPr>
      <w:rFonts w:ascii="Arial" w:hAnsi="Arial" w:cs="Arial"/>
      <w:sz w:val="20"/>
      <w:szCs w:val="20"/>
    </w:rPr>
  </w:style>
  <w:style w:type="paragraph" w:customStyle="1" w:styleId="4e">
    <w:name w:val="заголовок 4"/>
    <w:basedOn w:val="3f6"/>
    <w:next w:val="af1"/>
    <w:rsid w:val="00701EBB"/>
    <w:pPr>
      <w:keepNext/>
      <w:tabs>
        <w:tab w:val="num" w:pos="1492"/>
      </w:tabs>
      <w:spacing w:before="0"/>
      <w:ind w:left="1492" w:hanging="360"/>
      <w:outlineLvl w:val="3"/>
    </w:pPr>
  </w:style>
  <w:style w:type="paragraph" w:customStyle="1" w:styleId="5b">
    <w:name w:val="заголовок 5"/>
    <w:basedOn w:val="af1"/>
    <w:next w:val="af1"/>
    <w:rsid w:val="00701EBB"/>
    <w:pPr>
      <w:tabs>
        <w:tab w:val="num" w:pos="0"/>
      </w:tabs>
      <w:autoSpaceDE w:val="0"/>
      <w:autoSpaceDN w:val="0"/>
      <w:spacing w:before="120" w:after="120"/>
      <w:ind w:left="708" w:hanging="708"/>
      <w:outlineLvl w:val="4"/>
    </w:pPr>
    <w:rPr>
      <w:rFonts w:ascii="Arial" w:hAnsi="Arial" w:cs="Arial"/>
      <w:sz w:val="20"/>
      <w:szCs w:val="20"/>
    </w:rPr>
  </w:style>
  <w:style w:type="paragraph" w:customStyle="1" w:styleId="67">
    <w:name w:val="заголовок 6"/>
    <w:basedOn w:val="af1"/>
    <w:next w:val="af1"/>
    <w:rsid w:val="00701EBB"/>
    <w:pPr>
      <w:tabs>
        <w:tab w:val="num" w:pos="0"/>
      </w:tabs>
      <w:autoSpaceDE w:val="0"/>
      <w:autoSpaceDN w:val="0"/>
      <w:spacing w:before="240" w:after="60"/>
      <w:ind w:left="1416" w:hanging="708"/>
      <w:outlineLvl w:val="5"/>
    </w:pPr>
    <w:rPr>
      <w:rFonts w:ascii="Arial" w:hAnsi="Arial" w:cs="Arial"/>
      <w:i/>
      <w:iCs/>
      <w:sz w:val="22"/>
      <w:szCs w:val="22"/>
    </w:rPr>
  </w:style>
  <w:style w:type="paragraph" w:customStyle="1" w:styleId="75">
    <w:name w:val="заголовок 7"/>
    <w:basedOn w:val="af1"/>
    <w:next w:val="af1"/>
    <w:rsid w:val="00701EBB"/>
    <w:pPr>
      <w:tabs>
        <w:tab w:val="num" w:pos="0"/>
      </w:tabs>
      <w:autoSpaceDE w:val="0"/>
      <w:autoSpaceDN w:val="0"/>
      <w:spacing w:before="240" w:after="60"/>
      <w:ind w:left="2124" w:hanging="708"/>
      <w:outlineLvl w:val="6"/>
    </w:pPr>
    <w:rPr>
      <w:rFonts w:ascii="Arial" w:hAnsi="Arial" w:cs="Arial"/>
      <w:sz w:val="20"/>
      <w:szCs w:val="20"/>
    </w:rPr>
  </w:style>
  <w:style w:type="paragraph" w:customStyle="1" w:styleId="84">
    <w:name w:val="заголовок 8"/>
    <w:basedOn w:val="af1"/>
    <w:next w:val="af1"/>
    <w:rsid w:val="00701EBB"/>
    <w:pPr>
      <w:tabs>
        <w:tab w:val="num" w:pos="0"/>
      </w:tabs>
      <w:autoSpaceDE w:val="0"/>
      <w:autoSpaceDN w:val="0"/>
      <w:spacing w:before="240" w:after="60"/>
      <w:ind w:left="2832" w:hanging="708"/>
      <w:outlineLvl w:val="7"/>
    </w:pPr>
    <w:rPr>
      <w:rFonts w:ascii="Arial" w:hAnsi="Arial" w:cs="Arial"/>
      <w:i/>
      <w:iCs/>
      <w:sz w:val="20"/>
      <w:szCs w:val="20"/>
    </w:rPr>
  </w:style>
  <w:style w:type="paragraph" w:customStyle="1" w:styleId="94">
    <w:name w:val="заголовок 9"/>
    <w:basedOn w:val="af1"/>
    <w:next w:val="af1"/>
    <w:rsid w:val="00701EBB"/>
    <w:pPr>
      <w:tabs>
        <w:tab w:val="num" w:pos="0"/>
      </w:tabs>
      <w:autoSpaceDE w:val="0"/>
      <w:autoSpaceDN w:val="0"/>
      <w:spacing w:before="240" w:after="60"/>
      <w:ind w:left="2832" w:hanging="431"/>
      <w:outlineLvl w:val="8"/>
    </w:pPr>
    <w:rPr>
      <w:rFonts w:ascii="Arial" w:hAnsi="Arial" w:cs="Arial"/>
      <w:sz w:val="16"/>
      <w:szCs w:val="16"/>
      <w:vertAlign w:val="superscript"/>
    </w:rPr>
  </w:style>
  <w:style w:type="paragraph" w:customStyle="1" w:styleId="affffffff4">
    <w:name w:val="Ариал"/>
    <w:basedOn w:val="af1"/>
    <w:rsid w:val="00701EBB"/>
    <w:pPr>
      <w:spacing w:before="120" w:after="120" w:line="360" w:lineRule="auto"/>
      <w:ind w:firstLine="851"/>
      <w:jc w:val="both"/>
    </w:pPr>
    <w:rPr>
      <w:rFonts w:ascii="Arial" w:hAnsi="Arial" w:cs="Arial"/>
    </w:rPr>
  </w:style>
  <w:style w:type="paragraph" w:customStyle="1" w:styleId="font5">
    <w:name w:val="font5"/>
    <w:basedOn w:val="af1"/>
    <w:rsid w:val="00701EBB"/>
    <w:pPr>
      <w:spacing w:before="100" w:beforeAutospacing="1" w:after="100" w:afterAutospacing="1"/>
      <w:ind w:hanging="431"/>
    </w:pPr>
    <w:rPr>
      <w:rFonts w:ascii="Tahoma" w:hAnsi="Tahoma" w:cs="Tahoma"/>
      <w:color w:val="000000"/>
      <w:sz w:val="16"/>
      <w:szCs w:val="16"/>
    </w:rPr>
  </w:style>
  <w:style w:type="paragraph" w:customStyle="1" w:styleId="font6">
    <w:name w:val="font6"/>
    <w:basedOn w:val="af1"/>
    <w:rsid w:val="00701EBB"/>
    <w:pPr>
      <w:spacing w:before="100" w:beforeAutospacing="1" w:after="100" w:afterAutospacing="1"/>
      <w:ind w:hanging="431"/>
    </w:pPr>
    <w:rPr>
      <w:rFonts w:ascii="Tahoma" w:hAnsi="Tahoma" w:cs="Tahoma"/>
      <w:b/>
      <w:bCs/>
      <w:color w:val="000000"/>
      <w:sz w:val="16"/>
      <w:szCs w:val="16"/>
    </w:rPr>
  </w:style>
  <w:style w:type="character" w:customStyle="1" w:styleId="HeadingBase0">
    <w:name w:val="Heading Base Знак"/>
    <w:link w:val="HeadingBase"/>
    <w:locked/>
    <w:rsid w:val="00701EBB"/>
    <w:rPr>
      <w:rFonts w:ascii="Arial" w:eastAsia="Times New Roman" w:hAnsi="Arial" w:cs="Arial"/>
      <w:b/>
      <w:bCs/>
      <w:spacing w:val="-4"/>
      <w:kern w:val="28"/>
      <w:sz w:val="28"/>
      <w:szCs w:val="28"/>
    </w:rPr>
  </w:style>
  <w:style w:type="character" w:customStyle="1" w:styleId="PictureChar">
    <w:name w:val="Picture Char"/>
    <w:link w:val="Picture"/>
    <w:locked/>
    <w:rsid w:val="00701EBB"/>
    <w:rPr>
      <w:rFonts w:ascii="Arial" w:eastAsia="Times New Roman" w:hAnsi="Arial" w:cs="Arial"/>
      <w:spacing w:val="-5"/>
      <w:sz w:val="20"/>
      <w:szCs w:val="20"/>
      <w:lang w:val="en-US"/>
    </w:rPr>
  </w:style>
  <w:style w:type="character" w:customStyle="1" w:styleId="HeaderBaseChar">
    <w:name w:val="Header Base Char"/>
    <w:link w:val="HeaderBase"/>
    <w:locked/>
    <w:rsid w:val="00701EBB"/>
    <w:rPr>
      <w:rFonts w:ascii="Arial" w:eastAsia="Times New Roman" w:hAnsi="Arial" w:cs="Arial"/>
      <w:caps/>
      <w:spacing w:val="-5"/>
      <w:sz w:val="15"/>
      <w:szCs w:val="15"/>
      <w:lang w:val="en-US"/>
    </w:rPr>
  </w:style>
  <w:style w:type="character" w:customStyle="1" w:styleId="TableTextChar">
    <w:name w:val="Table Text Char"/>
    <w:link w:val="TableText"/>
    <w:locked/>
    <w:rsid w:val="00701EBB"/>
    <w:rPr>
      <w:rFonts w:ascii="Arial" w:eastAsia="Times New Roman" w:hAnsi="Arial" w:cs="Arial"/>
      <w:spacing w:val="-5"/>
      <w:sz w:val="18"/>
      <w:szCs w:val="18"/>
      <w:lang w:val="en-US"/>
    </w:rPr>
  </w:style>
  <w:style w:type="paragraph" w:customStyle="1" w:styleId="StyleTableTextJustifiedBefore6ptAfter6pt">
    <w:name w:val="Style Table Text + Justified Before:  6 pt After:  6 pt"/>
    <w:basedOn w:val="TableText"/>
    <w:rsid w:val="00701EBB"/>
    <w:pPr>
      <w:widowControl/>
      <w:adjustRightInd/>
      <w:spacing w:before="0" w:line="240" w:lineRule="auto"/>
      <w:textAlignment w:val="auto"/>
    </w:pPr>
  </w:style>
  <w:style w:type="table" w:customStyle="1" w:styleId="TableGrid1">
    <w:name w:val="Table Grid1"/>
    <w:rsid w:val="00701EBB"/>
    <w:pPr>
      <w:spacing w:after="0" w:line="240" w:lineRule="auto"/>
    </w:pPr>
    <w:rPr>
      <w:rFonts w:ascii="Arial" w:eastAsia="Times New Roman" w:hAnsi="Arial" w:cs="Arial"/>
      <w:sz w:val="20"/>
      <w:szCs w:val="20"/>
      <w:lang w:eastAsia="ru-R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ewnumberedconclushions">
    <w:name w:val="New numbered conclushions"/>
    <w:basedOn w:val="af5"/>
    <w:rsid w:val="00701EBB"/>
    <w:pPr>
      <w:tabs>
        <w:tab w:val="num" w:pos="851"/>
      </w:tabs>
      <w:spacing w:before="120" w:after="120"/>
      <w:ind w:left="851" w:hanging="284"/>
      <w:jc w:val="both"/>
    </w:pPr>
    <w:rPr>
      <w:rFonts w:ascii="Arial" w:hAnsi="Arial" w:cs="Arial"/>
      <w:b w:val="0"/>
      <w:bCs w:val="0"/>
      <w:spacing w:val="-5"/>
      <w:sz w:val="22"/>
      <w:szCs w:val="22"/>
      <w:lang w:eastAsia="en-US"/>
    </w:rPr>
  </w:style>
  <w:style w:type="paragraph" w:customStyle="1" w:styleId="Style1">
    <w:name w:val="Style1"/>
    <w:basedOn w:val="Newnumberedconclushions"/>
    <w:uiPriority w:val="99"/>
    <w:rsid w:val="00701EBB"/>
    <w:pPr>
      <w:tabs>
        <w:tab w:val="clear" w:pos="851"/>
      </w:tabs>
      <w:ind w:left="1284" w:hanging="360"/>
    </w:pPr>
  </w:style>
  <w:style w:type="character" w:customStyle="1" w:styleId="CharChar1">
    <w:name w:val="Знак Char Char1"/>
    <w:rsid w:val="00701EBB"/>
    <w:rPr>
      <w:rFonts w:ascii="Arial" w:hAnsi="Arial" w:cs="Arial"/>
      <w:spacing w:val="-5"/>
      <w:sz w:val="22"/>
      <w:szCs w:val="22"/>
      <w:lang w:val="ru-RU" w:eastAsia="en-US"/>
    </w:rPr>
  </w:style>
  <w:style w:type="character" w:customStyle="1" w:styleId="CharChar2">
    <w:name w:val="Char Char2"/>
    <w:rsid w:val="00701EBB"/>
    <w:rPr>
      <w:rFonts w:ascii="Arial" w:hAnsi="Arial" w:cs="Arial"/>
      <w:spacing w:val="-5"/>
      <w:sz w:val="22"/>
      <w:szCs w:val="22"/>
      <w:lang w:val="ru-RU" w:eastAsia="en-US"/>
    </w:rPr>
  </w:style>
  <w:style w:type="paragraph" w:customStyle="1" w:styleId="FR2">
    <w:name w:val="FR2"/>
    <w:rsid w:val="00701EBB"/>
    <w:pPr>
      <w:widowControl w:val="0"/>
      <w:overflowPunct w:val="0"/>
      <w:autoSpaceDE w:val="0"/>
      <w:autoSpaceDN w:val="0"/>
      <w:adjustRightInd w:val="0"/>
      <w:spacing w:before="60" w:after="120" w:line="360" w:lineRule="atLeast"/>
      <w:ind w:left="856" w:hanging="431"/>
      <w:jc w:val="both"/>
      <w:textAlignment w:val="baseline"/>
    </w:pPr>
    <w:rPr>
      <w:rFonts w:ascii="Arial" w:eastAsia="Times New Roman" w:hAnsi="Arial" w:cs="Arial"/>
      <w:sz w:val="18"/>
      <w:szCs w:val="18"/>
      <w:lang w:eastAsia="ru-RU"/>
    </w:rPr>
  </w:style>
  <w:style w:type="paragraph" w:customStyle="1" w:styleId="affffffff5">
    <w:name w:val="Нормальный"/>
    <w:rsid w:val="00701EBB"/>
    <w:pPr>
      <w:tabs>
        <w:tab w:val="left" w:pos="567"/>
        <w:tab w:val="left" w:pos="2268"/>
        <w:tab w:val="left" w:pos="3118"/>
        <w:tab w:val="left" w:pos="4039"/>
        <w:tab w:val="left" w:pos="4819"/>
        <w:tab w:val="left" w:pos="5670"/>
        <w:tab w:val="left" w:pos="6520"/>
      </w:tabs>
      <w:spacing w:before="120" w:after="120" w:line="360" w:lineRule="auto"/>
      <w:ind w:left="856" w:hanging="431"/>
      <w:jc w:val="both"/>
    </w:pPr>
    <w:rPr>
      <w:rFonts w:ascii="Courier New" w:eastAsia="Times New Roman" w:hAnsi="Courier New" w:cs="Courier New"/>
      <w:b/>
      <w:bCs/>
      <w:sz w:val="24"/>
      <w:szCs w:val="24"/>
      <w:lang w:eastAsia="ru-RU"/>
    </w:rPr>
  </w:style>
  <w:style w:type="paragraph" w:customStyle="1" w:styleId="txblblueb">
    <w:name w:val="txblblueb"/>
    <w:basedOn w:val="af1"/>
    <w:rsid w:val="00701EBB"/>
    <w:pPr>
      <w:spacing w:before="240" w:after="120"/>
      <w:ind w:hanging="431"/>
      <w:jc w:val="both"/>
    </w:pPr>
    <w:rPr>
      <w:rFonts w:ascii="Verdana" w:hAnsi="Verdana" w:cs="Verdana"/>
      <w:color w:val="000000"/>
      <w:sz w:val="19"/>
      <w:szCs w:val="19"/>
    </w:rPr>
  </w:style>
  <w:style w:type="table" w:customStyle="1" w:styleId="affffffff6">
    <w:name w:val="Папушкин"/>
    <w:basedOn w:val="affa"/>
    <w:rsid w:val="00701EBB"/>
    <w:pPr>
      <w:ind w:firstLine="0"/>
      <w:jc w:val="center"/>
    </w:pPr>
    <w:rPr>
      <w:rFonts w:ascii="Arial" w:hAnsi="Arial" w:cs="Arial"/>
      <w:sz w:val="18"/>
      <w:szCs w:val="18"/>
    </w:rPr>
    <w:tblPr>
      <w:tblStyleRowBandSize w:val="1"/>
    </w:tblPr>
    <w:tblStylePr w:type="firstRow">
      <w:rPr>
        <w:rFonts w:cs="Arial"/>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rPr>
        <w:rFonts w:cs="Arial"/>
      </w:rPr>
      <w:tblPr/>
      <w:tcPr>
        <w:tcBorders>
          <w:bottom w:val="thinThickSmallGap" w:sz="24" w:space="0" w:color="auto"/>
          <w:insideV w:val="nil"/>
        </w:tcBorders>
        <w:shd w:val="clear" w:color="auto" w:fill="D9D9D9"/>
      </w:tcPr>
    </w:tblStylePr>
    <w:tblStylePr w:type="band1Horz">
      <w:rPr>
        <w:rFonts w:cs="Arial"/>
      </w:rPr>
      <w:tblPr/>
      <w:tcPr>
        <w:tcBorders>
          <w:top w:val="single" w:sz="6" w:space="0" w:color="auto"/>
          <w:bottom w:val="single" w:sz="6" w:space="0" w:color="auto"/>
        </w:tcBorders>
        <w:shd w:val="clear" w:color="auto" w:fill="D9D9D9"/>
      </w:tcPr>
    </w:tblStylePr>
    <w:tblStylePr w:type="band2Horz">
      <w:rPr>
        <w:rFonts w:cs="Arial"/>
      </w:rPr>
      <w:tblPr/>
      <w:tcPr>
        <w:shd w:val="clear" w:color="auto" w:fill="FFFFFF"/>
      </w:tcPr>
    </w:tblStylePr>
  </w:style>
  <w:style w:type="paragraph" w:customStyle="1" w:styleId="610">
    <w:name w:val="Стиль Основной текст + Перед:  6 пт1"/>
    <w:basedOn w:val="af5"/>
    <w:rsid w:val="00701EBB"/>
    <w:pPr>
      <w:spacing w:before="120" w:line="360" w:lineRule="auto"/>
      <w:jc w:val="both"/>
    </w:pPr>
    <w:rPr>
      <w:rFonts w:ascii="Arial" w:hAnsi="Arial" w:cs="Arial"/>
      <w:b w:val="0"/>
      <w:bCs w:val="0"/>
      <w:sz w:val="24"/>
    </w:rPr>
  </w:style>
  <w:style w:type="paragraph" w:customStyle="1" w:styleId="2CharChar">
    <w:name w:val="Знак Знак2 Char Char"/>
    <w:basedOn w:val="2"/>
    <w:rsid w:val="00701EBB"/>
    <w:pPr>
      <w:numPr>
        <w:numId w:val="3"/>
      </w:numPr>
      <w:tabs>
        <w:tab w:val="clear" w:pos="643"/>
        <w:tab w:val="num" w:pos="360"/>
        <w:tab w:val="num" w:pos="432"/>
        <w:tab w:val="num" w:pos="543"/>
        <w:tab w:val="num" w:pos="786"/>
        <w:tab w:val="num" w:pos="1287"/>
      </w:tabs>
      <w:spacing w:line="360" w:lineRule="auto"/>
      <w:ind w:left="709" w:hanging="709"/>
    </w:pPr>
    <w:rPr>
      <w:lang w:eastAsia="ru-RU"/>
    </w:rPr>
  </w:style>
  <w:style w:type="character" w:customStyle="1" w:styleId="2fd">
    <w:name w:val="Маркированный список 2 Знак"/>
    <w:link w:val="2"/>
    <w:locked/>
    <w:rsid w:val="00701EBB"/>
    <w:rPr>
      <w:rFonts w:ascii="Arial" w:eastAsia="Times New Roman" w:hAnsi="Arial" w:cs="Arial"/>
      <w:spacing w:val="-5"/>
    </w:rPr>
  </w:style>
  <w:style w:type="paragraph" w:customStyle="1" w:styleId="xl28">
    <w:name w:val="xl28"/>
    <w:basedOn w:val="af1"/>
    <w:rsid w:val="00701EBB"/>
    <w:pPr>
      <w:pBdr>
        <w:left w:val="single" w:sz="4" w:space="0" w:color="auto"/>
        <w:right w:val="single" w:sz="4" w:space="0" w:color="auto"/>
      </w:pBdr>
      <w:spacing w:before="100" w:beforeAutospacing="1" w:after="100" w:afterAutospacing="1"/>
      <w:ind w:hanging="431"/>
      <w:jc w:val="center"/>
    </w:pPr>
    <w:rPr>
      <w:rFonts w:eastAsia="Arial Unicode MS"/>
      <w:color w:val="000080"/>
      <w:sz w:val="18"/>
      <w:szCs w:val="18"/>
    </w:rPr>
  </w:style>
  <w:style w:type="paragraph" w:customStyle="1" w:styleId="xl26">
    <w:name w:val="xl26"/>
    <w:basedOn w:val="af1"/>
    <w:rsid w:val="00701EBB"/>
    <w:pPr>
      <w:pBdr>
        <w:left w:val="single" w:sz="4" w:space="0" w:color="auto"/>
        <w:bottom w:val="single" w:sz="4" w:space="0" w:color="auto"/>
        <w:right w:val="single" w:sz="4" w:space="0" w:color="auto"/>
      </w:pBdr>
      <w:spacing w:before="100" w:beforeAutospacing="1" w:after="100" w:afterAutospacing="1"/>
      <w:ind w:hanging="431"/>
      <w:jc w:val="center"/>
      <w:textAlignment w:val="center"/>
    </w:pPr>
    <w:rPr>
      <w:rFonts w:eastAsia="Arial Unicode MS"/>
      <w:sz w:val="20"/>
      <w:szCs w:val="20"/>
    </w:rPr>
  </w:style>
  <w:style w:type="paragraph" w:customStyle="1" w:styleId="xl32">
    <w:name w:val="xl32"/>
    <w:basedOn w:val="af1"/>
    <w:rsid w:val="00701EBB"/>
    <w:pPr>
      <w:pBdr>
        <w:bottom w:val="single" w:sz="4" w:space="0" w:color="auto"/>
        <w:right w:val="single" w:sz="4" w:space="0" w:color="auto"/>
      </w:pBdr>
      <w:spacing w:before="100" w:beforeAutospacing="1" w:after="100" w:afterAutospacing="1"/>
      <w:ind w:hanging="431"/>
      <w:jc w:val="center"/>
    </w:pPr>
    <w:rPr>
      <w:rFonts w:eastAsia="Arial Unicode MS"/>
      <w:color w:val="000080"/>
      <w:sz w:val="20"/>
      <w:szCs w:val="20"/>
    </w:rPr>
  </w:style>
  <w:style w:type="paragraph" w:customStyle="1" w:styleId="affffffff7">
    <w:name w:val="Обычный абзац"/>
    <w:basedOn w:val="af1"/>
    <w:rsid w:val="00701EBB"/>
    <w:pPr>
      <w:spacing w:before="120" w:after="120"/>
      <w:ind w:firstLine="709"/>
      <w:jc w:val="both"/>
    </w:pPr>
    <w:rPr>
      <w:rFonts w:ascii="Arial" w:hAnsi="Arial" w:cs="Arial"/>
    </w:rPr>
  </w:style>
  <w:style w:type="character" w:customStyle="1" w:styleId="FootnoteBase0">
    <w:name w:val="Footnote Base Знак"/>
    <w:link w:val="FootnoteBase"/>
    <w:locked/>
    <w:rsid w:val="00701EBB"/>
    <w:rPr>
      <w:rFonts w:ascii="Arial" w:eastAsia="Times New Roman" w:hAnsi="Arial" w:cs="Arial"/>
      <w:spacing w:val="-5"/>
      <w:sz w:val="16"/>
      <w:szCs w:val="16"/>
      <w:lang w:val="en-US"/>
    </w:rPr>
  </w:style>
  <w:style w:type="character" w:customStyle="1" w:styleId="ft">
    <w:name w:val="ft"/>
    <w:rsid w:val="00701EBB"/>
    <w:rPr>
      <w:rFonts w:cs="Times New Roman"/>
    </w:rPr>
  </w:style>
  <w:style w:type="paragraph" w:customStyle="1" w:styleId="aa">
    <w:name w:val="заголовок С. и Л."/>
    <w:next w:val="af1"/>
    <w:autoRedefine/>
    <w:semiHidden/>
    <w:rsid w:val="00701EBB"/>
    <w:pPr>
      <w:keepNext/>
      <w:numPr>
        <w:numId w:val="7"/>
      </w:numPr>
      <w:tabs>
        <w:tab w:val="num" w:pos="360"/>
      </w:tabs>
      <w:spacing w:after="240" w:line="240" w:lineRule="auto"/>
      <w:ind w:right="170" w:firstLine="0"/>
      <w:outlineLvl w:val="0"/>
    </w:pPr>
    <w:rPr>
      <w:rFonts w:ascii="Arial" w:eastAsia="Times New Roman" w:hAnsi="Arial" w:cs="Arial"/>
      <w:b/>
      <w:bCs/>
      <w:kern w:val="32"/>
      <w:sz w:val="32"/>
      <w:szCs w:val="32"/>
      <w:lang w:eastAsia="ru-RU"/>
    </w:rPr>
  </w:style>
  <w:style w:type="paragraph" w:customStyle="1" w:styleId="ab">
    <w:name w:val="НАЗВАНИЕ ГЛАВЫ"/>
    <w:basedOn w:val="aa"/>
    <w:next w:val="af1"/>
    <w:autoRedefine/>
    <w:rsid w:val="00701EBB"/>
    <w:pPr>
      <w:numPr>
        <w:ilvl w:val="1"/>
      </w:numPr>
      <w:tabs>
        <w:tab w:val="clear" w:pos="1247"/>
        <w:tab w:val="num" w:pos="926"/>
        <w:tab w:val="num" w:pos="1209"/>
      </w:tabs>
      <w:spacing w:after="120" w:line="360" w:lineRule="auto"/>
      <w:ind w:left="926" w:hanging="360"/>
      <w:jc w:val="both"/>
      <w:outlineLvl w:val="1"/>
    </w:pPr>
    <w:rPr>
      <w:kern w:val="0"/>
    </w:rPr>
  </w:style>
  <w:style w:type="paragraph" w:customStyle="1" w:styleId="ad">
    <w:name w:val="НАЗВАНИЕ ПОДРАЗДЕЛА"/>
    <w:basedOn w:val="aa"/>
    <w:next w:val="af1"/>
    <w:autoRedefine/>
    <w:rsid w:val="00701EBB"/>
    <w:pPr>
      <w:numPr>
        <w:ilvl w:val="3"/>
      </w:numPr>
      <w:tabs>
        <w:tab w:val="clear" w:pos="1701"/>
        <w:tab w:val="num" w:pos="926"/>
        <w:tab w:val="num" w:pos="1209"/>
      </w:tabs>
      <w:spacing w:after="120" w:line="360" w:lineRule="auto"/>
      <w:ind w:left="926" w:hanging="360"/>
      <w:jc w:val="both"/>
      <w:outlineLvl w:val="3"/>
    </w:pPr>
    <w:rPr>
      <w:b w:val="0"/>
      <w:bCs w:val="0"/>
      <w:noProof/>
      <w:sz w:val="28"/>
      <w:szCs w:val="28"/>
    </w:rPr>
  </w:style>
  <w:style w:type="paragraph" w:customStyle="1" w:styleId="ac">
    <w:name w:val="НАЗВАНИЕ РАЗДЕЛА"/>
    <w:basedOn w:val="aa"/>
    <w:next w:val="ad"/>
    <w:autoRedefine/>
    <w:rsid w:val="00701EBB"/>
    <w:pPr>
      <w:numPr>
        <w:ilvl w:val="2"/>
      </w:numPr>
      <w:tabs>
        <w:tab w:val="clear" w:pos="1474"/>
        <w:tab w:val="num" w:pos="926"/>
        <w:tab w:val="num" w:pos="1209"/>
      </w:tabs>
      <w:spacing w:after="120" w:line="360" w:lineRule="auto"/>
      <w:ind w:left="926" w:hanging="360"/>
      <w:jc w:val="both"/>
      <w:outlineLvl w:val="2"/>
    </w:pPr>
    <w:rPr>
      <w:b w:val="0"/>
      <w:bCs w:val="0"/>
    </w:rPr>
  </w:style>
  <w:style w:type="paragraph" w:customStyle="1" w:styleId="af">
    <w:name w:val="Приложение"/>
    <w:basedOn w:val="6"/>
    <w:next w:val="af1"/>
    <w:autoRedefine/>
    <w:rsid w:val="00701EBB"/>
    <w:pPr>
      <w:widowControl w:val="0"/>
      <w:numPr>
        <w:ilvl w:val="5"/>
        <w:numId w:val="7"/>
      </w:numPr>
      <w:tabs>
        <w:tab w:val="clear" w:pos="9923"/>
        <w:tab w:val="left" w:pos="0"/>
        <w:tab w:val="num" w:pos="360"/>
        <w:tab w:val="num" w:pos="4320"/>
        <w:tab w:val="left" w:pos="10053"/>
      </w:tabs>
      <w:ind w:right="170" w:firstLine="0"/>
    </w:pPr>
    <w:rPr>
      <w:rFonts w:ascii="Arial" w:hAnsi="Arial" w:cs="Arial"/>
      <w:sz w:val="24"/>
      <w:szCs w:val="24"/>
    </w:rPr>
  </w:style>
  <w:style w:type="paragraph" w:customStyle="1" w:styleId="af0">
    <w:name w:val="Приложение А №"/>
    <w:basedOn w:val="7"/>
    <w:next w:val="af1"/>
    <w:autoRedefine/>
    <w:rsid w:val="00701EBB"/>
    <w:pPr>
      <w:keepNext w:val="0"/>
      <w:numPr>
        <w:ilvl w:val="6"/>
        <w:numId w:val="7"/>
      </w:numPr>
      <w:tabs>
        <w:tab w:val="clear" w:pos="9923"/>
        <w:tab w:val="num" w:pos="360"/>
        <w:tab w:val="num" w:pos="5040"/>
        <w:tab w:val="left" w:pos="10053"/>
      </w:tabs>
      <w:spacing w:before="120" w:after="60"/>
      <w:ind w:right="170" w:firstLine="0"/>
    </w:pPr>
    <w:rPr>
      <w:rFonts w:ascii="Arial" w:hAnsi="Arial" w:cs="Arial"/>
    </w:rPr>
  </w:style>
  <w:style w:type="paragraph" w:customStyle="1" w:styleId="ae">
    <w:name w:val="стр обложки приложений"/>
    <w:basedOn w:val="aff3"/>
    <w:autoRedefine/>
    <w:semiHidden/>
    <w:rsid w:val="00701EBB"/>
    <w:pPr>
      <w:numPr>
        <w:ilvl w:val="4"/>
        <w:numId w:val="7"/>
      </w:numPr>
      <w:tabs>
        <w:tab w:val="clear" w:pos="4677"/>
        <w:tab w:val="clear" w:pos="9355"/>
        <w:tab w:val="num" w:pos="360"/>
      </w:tabs>
      <w:spacing w:line="360" w:lineRule="auto"/>
      <w:jc w:val="center"/>
      <w:outlineLvl w:val="4"/>
    </w:pPr>
    <w:rPr>
      <w:rFonts w:ascii="Arial" w:hAnsi="Arial" w:cs="Arial"/>
      <w:b/>
      <w:bCs/>
      <w:caps/>
      <w:sz w:val="40"/>
      <w:szCs w:val="40"/>
    </w:rPr>
  </w:style>
  <w:style w:type="paragraph" w:styleId="affffffff8">
    <w:name w:val="Note Heading"/>
    <w:basedOn w:val="af1"/>
    <w:next w:val="af1"/>
    <w:link w:val="affffffff9"/>
    <w:rsid w:val="00701EBB"/>
    <w:pPr>
      <w:widowControl w:val="0"/>
      <w:adjustRightInd w:val="0"/>
      <w:spacing w:before="120" w:after="120" w:line="360" w:lineRule="atLeast"/>
      <w:ind w:left="1080" w:hanging="431"/>
      <w:jc w:val="both"/>
      <w:textAlignment w:val="baseline"/>
    </w:pPr>
    <w:rPr>
      <w:rFonts w:ascii="Arial" w:hAnsi="Arial" w:cs="Arial"/>
      <w:spacing w:val="-5"/>
      <w:sz w:val="20"/>
      <w:szCs w:val="20"/>
      <w:lang w:val="en-US" w:eastAsia="en-US"/>
    </w:rPr>
  </w:style>
  <w:style w:type="character" w:customStyle="1" w:styleId="affffffff9">
    <w:name w:val="Заголовок записки Знак"/>
    <w:basedOn w:val="af2"/>
    <w:link w:val="affffffff8"/>
    <w:rsid w:val="00701EBB"/>
    <w:rPr>
      <w:rFonts w:ascii="Arial" w:eastAsia="Times New Roman" w:hAnsi="Arial" w:cs="Arial"/>
      <w:spacing w:val="-5"/>
      <w:sz w:val="20"/>
      <w:szCs w:val="20"/>
      <w:lang w:val="en-US"/>
    </w:rPr>
  </w:style>
  <w:style w:type="character" w:customStyle="1" w:styleId="1ffd">
    <w:name w:val="Слабое выделение1"/>
    <w:aliases w:val="обычный"/>
    <w:rsid w:val="00701EBB"/>
    <w:rPr>
      <w:rFonts w:ascii="Arial" w:hAnsi="Arial" w:cs="Arial"/>
      <w:color w:val="auto"/>
      <w:sz w:val="24"/>
      <w:szCs w:val="24"/>
    </w:rPr>
  </w:style>
  <w:style w:type="paragraph" w:customStyle="1" w:styleId="2ff1">
    <w:name w:val="Обычный 2"/>
    <w:basedOn w:val="af1"/>
    <w:rsid w:val="00701EBB"/>
    <w:rPr>
      <w:rFonts w:ascii="Arial" w:hAnsi="Arial" w:cs="Arial"/>
    </w:rPr>
  </w:style>
  <w:style w:type="table" w:styleId="1ffe">
    <w:name w:val="Table Grid 1"/>
    <w:basedOn w:val="af3"/>
    <w:rsid w:val="00701EBB"/>
    <w:pPr>
      <w:spacing w:before="120" w:after="120" w:line="240" w:lineRule="auto"/>
      <w:ind w:left="1080" w:hanging="431"/>
    </w:pPr>
    <w:rPr>
      <w:rFonts w:ascii="Arial" w:eastAsia="Times New Roman" w:hAnsi="Arial" w:cs="Arial"/>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Arial"/>
        <w:i/>
        <w:iCs/>
      </w:rPr>
      <w:tblPr/>
      <w:tcPr>
        <w:tcBorders>
          <w:tl2br w:val="none" w:sz="0" w:space="0" w:color="auto"/>
          <w:tr2bl w:val="none" w:sz="0" w:space="0" w:color="auto"/>
        </w:tcBorders>
      </w:tcPr>
    </w:tblStylePr>
    <w:tblStylePr w:type="lastCol">
      <w:rPr>
        <w:rFonts w:cs="Arial"/>
        <w:i/>
        <w:iCs/>
      </w:rPr>
      <w:tblPr/>
      <w:tcPr>
        <w:tcBorders>
          <w:tl2br w:val="none" w:sz="0" w:space="0" w:color="auto"/>
          <w:tr2bl w:val="none" w:sz="0" w:space="0" w:color="auto"/>
        </w:tcBorders>
      </w:tcPr>
    </w:tblStylePr>
  </w:style>
  <w:style w:type="character" w:customStyle="1" w:styleId="282">
    <w:name w:val="Знак Знак28"/>
    <w:locked/>
    <w:rsid w:val="00701EBB"/>
    <w:rPr>
      <w:rFonts w:ascii="Arial Black" w:hAnsi="Arial Black" w:cs="Arial Black"/>
      <w:b/>
      <w:bCs/>
      <w:spacing w:val="-10"/>
      <w:kern w:val="28"/>
      <w:sz w:val="22"/>
      <w:szCs w:val="22"/>
      <w:lang w:val="ru-RU" w:eastAsia="en-US" w:bidi="ar-SA"/>
    </w:rPr>
  </w:style>
  <w:style w:type="paragraph" w:customStyle="1" w:styleId="affffffffa">
    <w:name w:val="Основной текст записки"/>
    <w:basedOn w:val="af1"/>
    <w:link w:val="affffffffb"/>
    <w:autoRedefine/>
    <w:rsid w:val="00701EBB"/>
    <w:pPr>
      <w:jc w:val="center"/>
    </w:pPr>
    <w:rPr>
      <w:rFonts w:ascii="Times New Roman CYR" w:hAnsi="Times New Roman CYR" w:cs="Times New Roman CYR"/>
      <w:b/>
      <w:bCs/>
    </w:rPr>
  </w:style>
  <w:style w:type="paragraph" w:customStyle="1" w:styleId="---">
    <w:name w:val="--- список"/>
    <w:basedOn w:val="a8"/>
    <w:next w:val="af1"/>
    <w:autoRedefine/>
    <w:rsid w:val="00701EBB"/>
    <w:pPr>
      <w:widowControl/>
      <w:numPr>
        <w:numId w:val="8"/>
      </w:numPr>
      <w:tabs>
        <w:tab w:val="clear" w:pos="567"/>
        <w:tab w:val="num" w:pos="786"/>
        <w:tab w:val="left" w:pos="900"/>
      </w:tabs>
      <w:overflowPunct w:val="0"/>
      <w:autoSpaceDE w:val="0"/>
      <w:autoSpaceDN w:val="0"/>
      <w:spacing w:before="0" w:after="0" w:line="240" w:lineRule="auto"/>
      <w:ind w:left="851" w:hanging="284"/>
    </w:pPr>
    <w:rPr>
      <w:rFonts w:ascii="Times New Roman CYR" w:hAnsi="Times New Roman CYR" w:cs="Times New Roman CYR"/>
      <w:spacing w:val="0"/>
      <w:sz w:val="24"/>
      <w:szCs w:val="24"/>
      <w:lang w:eastAsia="ru-RU"/>
    </w:rPr>
  </w:style>
  <w:style w:type="character" w:customStyle="1" w:styleId="affffffffb">
    <w:name w:val="Основной текст записки Знак"/>
    <w:link w:val="affffffffa"/>
    <w:locked/>
    <w:rsid w:val="00701EBB"/>
    <w:rPr>
      <w:rFonts w:ascii="Times New Roman CYR" w:eastAsia="Times New Roman" w:hAnsi="Times New Roman CYR" w:cs="Times New Roman CYR"/>
      <w:b/>
      <w:bCs/>
      <w:sz w:val="24"/>
      <w:szCs w:val="24"/>
      <w:lang w:eastAsia="ru-RU"/>
    </w:rPr>
  </w:style>
  <w:style w:type="paragraph" w:customStyle="1" w:styleId="1fff">
    <w:name w:val="Знак Знак Знак Знак Знак Знак Знак Знак Знак Знак Знак Знак1 Знак Знак Знак Знак Знак Знак Знак Знак Знак Знак"/>
    <w:basedOn w:val="af1"/>
    <w:rsid w:val="00701EBB"/>
    <w:pPr>
      <w:spacing w:after="160" w:line="240" w:lineRule="exact"/>
    </w:pPr>
    <w:rPr>
      <w:rFonts w:ascii="Verdana" w:hAnsi="Verdana" w:cs="Verdana"/>
      <w:sz w:val="20"/>
      <w:szCs w:val="20"/>
      <w:lang w:val="en-US" w:eastAsia="en-US"/>
    </w:rPr>
  </w:style>
  <w:style w:type="paragraph" w:customStyle="1" w:styleId="115">
    <w:name w:val="Знак Знак Знак Знак Знак Знак Знак Знак Знак Знак Знак Знак1 Знак Знак Знак Знак Знак Знак Знак Знак Знак Знак1"/>
    <w:basedOn w:val="af1"/>
    <w:rsid w:val="00701EBB"/>
    <w:pPr>
      <w:spacing w:after="160" w:line="240" w:lineRule="exact"/>
    </w:pPr>
    <w:rPr>
      <w:rFonts w:ascii="Verdana" w:hAnsi="Verdana" w:cs="Verdana"/>
      <w:sz w:val="20"/>
      <w:szCs w:val="20"/>
      <w:lang w:val="en-US" w:eastAsia="en-US"/>
    </w:rPr>
  </w:style>
  <w:style w:type="paragraph" w:customStyle="1" w:styleId="affffffffc">
    <w:name w:val="ВАЖНАЯ МЫСЛЬ"/>
    <w:basedOn w:val="affffffffa"/>
    <w:next w:val="affffffffa"/>
    <w:autoRedefine/>
    <w:semiHidden/>
    <w:rsid w:val="00701EBB"/>
    <w:rPr>
      <w:b w:val="0"/>
      <w:bCs w:val="0"/>
    </w:rPr>
  </w:style>
  <w:style w:type="character" w:customStyle="1" w:styleId="NoSpacingChar">
    <w:name w:val="No Spacing Char"/>
    <w:link w:val="14"/>
    <w:locked/>
    <w:rsid w:val="00701EBB"/>
    <w:rPr>
      <w:rFonts w:ascii="Calibri" w:eastAsia="Times New Roman" w:hAnsi="Calibri" w:cs="Calibri"/>
      <w:lang w:eastAsia="ru-RU"/>
    </w:rPr>
  </w:style>
  <w:style w:type="table" w:styleId="-1">
    <w:name w:val="Table Web 1"/>
    <w:basedOn w:val="af3"/>
    <w:rsid w:val="00701EBB"/>
    <w:pPr>
      <w:widowControl w:val="0"/>
      <w:adjustRightInd w:val="0"/>
      <w:spacing w:before="120" w:after="120" w:line="360" w:lineRule="atLeast"/>
      <w:ind w:left="1080" w:hanging="431"/>
      <w:jc w:val="both"/>
      <w:textAlignment w:val="baseline"/>
    </w:pPr>
    <w:rPr>
      <w:rFonts w:ascii="Arial" w:eastAsia="Times New Roman" w:hAnsi="Arial" w:cs="Arial"/>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Arial"/>
        <w:color w:val="auto"/>
      </w:rPr>
      <w:tblPr/>
      <w:tcPr>
        <w:tcBorders>
          <w:tl2br w:val="none" w:sz="0" w:space="0" w:color="auto"/>
          <w:tr2bl w:val="none" w:sz="0" w:space="0" w:color="auto"/>
        </w:tcBorders>
      </w:tcPr>
    </w:tblStylePr>
  </w:style>
  <w:style w:type="table" w:styleId="affffffffd">
    <w:name w:val="Table Elegant"/>
    <w:basedOn w:val="af3"/>
    <w:rsid w:val="00701EBB"/>
    <w:pPr>
      <w:widowControl w:val="0"/>
      <w:adjustRightInd w:val="0"/>
      <w:spacing w:before="120" w:after="120" w:line="360" w:lineRule="atLeast"/>
      <w:ind w:left="1080" w:hanging="431"/>
      <w:jc w:val="both"/>
      <w:textAlignment w:val="baseline"/>
    </w:pPr>
    <w:rPr>
      <w:rFonts w:ascii="Arial" w:eastAsia="Times New Roman" w:hAnsi="Arial" w:cs="Arial"/>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Arial"/>
        <w:caps/>
        <w:color w:val="auto"/>
      </w:rPr>
      <w:tblPr/>
      <w:tcPr>
        <w:tcBorders>
          <w:tl2br w:val="none" w:sz="0" w:space="0" w:color="auto"/>
          <w:tr2bl w:val="none" w:sz="0" w:space="0" w:color="auto"/>
        </w:tcBorders>
      </w:tcPr>
    </w:tblStylePr>
  </w:style>
  <w:style w:type="paragraph" w:customStyle="1" w:styleId="affffffffe">
    <w:name w:val=":::ХХХ осн"/>
    <w:autoRedefine/>
    <w:semiHidden/>
    <w:rsid w:val="00701EBB"/>
    <w:pPr>
      <w:widowControl w:val="0"/>
      <w:spacing w:after="0" w:line="240" w:lineRule="auto"/>
      <w:jc w:val="both"/>
    </w:pPr>
    <w:rPr>
      <w:rFonts w:ascii="Arial" w:eastAsia="Times New Roman" w:hAnsi="Arial" w:cs="Arial"/>
      <w:sz w:val="24"/>
      <w:szCs w:val="24"/>
      <w:lang w:eastAsia="ru-RU"/>
    </w:rPr>
  </w:style>
  <w:style w:type="paragraph" w:customStyle="1" w:styleId="afffffffff">
    <w:name w:val="::: осн"/>
    <w:basedOn w:val="affffffffe"/>
    <w:autoRedefine/>
    <w:semiHidden/>
    <w:rsid w:val="00701EBB"/>
    <w:pPr>
      <w:ind w:left="567"/>
    </w:pPr>
  </w:style>
  <w:style w:type="paragraph" w:customStyle="1" w:styleId="1fff0">
    <w:name w:val="1"/>
    <w:basedOn w:val="af1"/>
    <w:autoRedefine/>
    <w:qFormat/>
    <w:rsid w:val="00701EBB"/>
    <w:pPr>
      <w:spacing w:line="360" w:lineRule="auto"/>
      <w:jc w:val="center"/>
      <w:outlineLvl w:val="0"/>
    </w:pPr>
    <w:rPr>
      <w:rFonts w:ascii="Arial" w:hAnsi="Arial" w:cs="Arial"/>
      <w:b/>
      <w:bCs/>
      <w:sz w:val="32"/>
      <w:szCs w:val="32"/>
    </w:rPr>
  </w:style>
  <w:style w:type="paragraph" w:customStyle="1" w:styleId="3f7">
    <w:name w:val="3"/>
    <w:basedOn w:val="af1"/>
    <w:autoRedefine/>
    <w:semiHidden/>
    <w:rsid w:val="00701EBB"/>
    <w:pPr>
      <w:spacing w:after="120" w:line="360" w:lineRule="auto"/>
      <w:jc w:val="center"/>
      <w:outlineLvl w:val="2"/>
    </w:pPr>
    <w:rPr>
      <w:rFonts w:ascii="Arial" w:hAnsi="Arial" w:cs="Arial"/>
      <w:b/>
      <w:bCs/>
      <w:sz w:val="20"/>
      <w:szCs w:val="20"/>
    </w:rPr>
  </w:style>
  <w:style w:type="character" w:customStyle="1" w:styleId="tbl121">
    <w:name w:val="tbl121"/>
    <w:semiHidden/>
    <w:rsid w:val="00701EBB"/>
    <w:rPr>
      <w:rFonts w:ascii="Verdana" w:hAnsi="Verdana" w:cs="Verdana"/>
      <w:color w:val="000000"/>
      <w:sz w:val="18"/>
      <w:szCs w:val="18"/>
      <w:u w:val="none"/>
      <w:effect w:val="none"/>
    </w:rPr>
  </w:style>
  <w:style w:type="character" w:customStyle="1" w:styleId="tbln121">
    <w:name w:val="tbln121"/>
    <w:semiHidden/>
    <w:rsid w:val="00701EBB"/>
    <w:rPr>
      <w:rFonts w:ascii="Arial" w:hAnsi="Arial" w:cs="Arial"/>
      <w:i/>
      <w:iCs/>
      <w:color w:val="000000"/>
      <w:sz w:val="18"/>
      <w:szCs w:val="18"/>
      <w:u w:val="none"/>
      <w:effect w:val="none"/>
    </w:rPr>
  </w:style>
  <w:style w:type="paragraph" w:customStyle="1" w:styleId="a1">
    <w:name w:val="абв"/>
    <w:basedOn w:val="---"/>
    <w:autoRedefine/>
    <w:semiHidden/>
    <w:rsid w:val="00701EBB"/>
    <w:pPr>
      <w:numPr>
        <w:numId w:val="9"/>
      </w:numPr>
      <w:tabs>
        <w:tab w:val="clear" w:pos="927"/>
        <w:tab w:val="num" w:pos="1418"/>
        <w:tab w:val="num" w:pos="3834"/>
      </w:tabs>
      <w:overflowPunct/>
      <w:autoSpaceDE/>
      <w:autoSpaceDN/>
      <w:adjustRightInd/>
      <w:ind w:left="0" w:firstLine="851"/>
      <w:textAlignment w:val="auto"/>
    </w:pPr>
    <w:rPr>
      <w:rFonts w:ascii="Arial" w:hAnsi="Arial" w:cs="Arial"/>
    </w:rPr>
  </w:style>
  <w:style w:type="table" w:styleId="-2">
    <w:name w:val="Table Web 2"/>
    <w:basedOn w:val="af3"/>
    <w:rsid w:val="00701EBB"/>
    <w:pPr>
      <w:spacing w:after="0" w:line="240" w:lineRule="auto"/>
    </w:pPr>
    <w:rPr>
      <w:rFonts w:ascii="Arial" w:eastAsia="Times New Roman" w:hAnsi="Arial" w:cs="Arial"/>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Arial"/>
        <w:color w:val="auto"/>
      </w:rPr>
      <w:tblPr/>
      <w:tcPr>
        <w:tcBorders>
          <w:tl2br w:val="none" w:sz="0" w:space="0" w:color="auto"/>
          <w:tr2bl w:val="none" w:sz="0" w:space="0" w:color="auto"/>
        </w:tcBorders>
      </w:tcPr>
    </w:tblStylePr>
  </w:style>
  <w:style w:type="table" w:styleId="-3">
    <w:name w:val="Table Web 3"/>
    <w:basedOn w:val="af3"/>
    <w:rsid w:val="00701EBB"/>
    <w:pPr>
      <w:spacing w:after="0" w:line="240" w:lineRule="auto"/>
    </w:pPr>
    <w:rPr>
      <w:rFonts w:ascii="Arial" w:eastAsia="Times New Roman" w:hAnsi="Arial" w:cs="Arial"/>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Arial"/>
        <w:color w:val="auto"/>
      </w:rPr>
      <w:tblPr/>
      <w:tcPr>
        <w:tcBorders>
          <w:tl2br w:val="none" w:sz="0" w:space="0" w:color="auto"/>
          <w:tr2bl w:val="none" w:sz="0" w:space="0" w:color="auto"/>
        </w:tcBorders>
      </w:tcPr>
    </w:tblStylePr>
  </w:style>
  <w:style w:type="paragraph" w:customStyle="1" w:styleId="0">
    <w:name w:val="Документ (заголовок 0)"/>
    <w:basedOn w:val="10"/>
    <w:semiHidden/>
    <w:rsid w:val="00701EBB"/>
    <w:pPr>
      <w:spacing w:before="400" w:after="300"/>
      <w:jc w:val="center"/>
    </w:pPr>
    <w:rPr>
      <w:rFonts w:cs="Arial"/>
      <w:b/>
      <w:bCs/>
      <w:color w:val="000000"/>
      <w:kern w:val="32"/>
      <w:szCs w:val="28"/>
    </w:rPr>
  </w:style>
  <w:style w:type="paragraph" w:customStyle="1" w:styleId="1">
    <w:name w:val="Документ (заголовок 1)"/>
    <w:basedOn w:val="0"/>
    <w:semiHidden/>
    <w:rsid w:val="00701EBB"/>
    <w:pPr>
      <w:numPr>
        <w:numId w:val="10"/>
      </w:numPr>
      <w:tabs>
        <w:tab w:val="clear" w:pos="720"/>
        <w:tab w:val="num" w:pos="1287"/>
        <w:tab w:val="num" w:pos="1418"/>
      </w:tabs>
      <w:spacing w:after="200"/>
      <w:ind w:left="360" w:hanging="360"/>
      <w:outlineLvl w:val="1"/>
    </w:pPr>
    <w:rPr>
      <w:rFonts w:ascii="Times New (W1)" w:hAnsi="Times New (W1)" w:cs="Times New (W1)"/>
      <w:color w:val="993300"/>
      <w:sz w:val="24"/>
      <w:szCs w:val="24"/>
    </w:rPr>
  </w:style>
  <w:style w:type="paragraph" w:customStyle="1" w:styleId="afffffffff0">
    <w:name w:val="Заголовок приложения"/>
    <w:basedOn w:val="affffffffa"/>
    <w:next w:val="affffffffa"/>
    <w:autoRedefine/>
    <w:semiHidden/>
    <w:rsid w:val="00701EBB"/>
    <w:pPr>
      <w:tabs>
        <w:tab w:val="left" w:leader="dot" w:pos="9412"/>
        <w:tab w:val="left" w:leader="dot" w:pos="9480"/>
      </w:tabs>
      <w:spacing w:before="240"/>
      <w:ind w:firstLine="851"/>
    </w:pPr>
    <w:rPr>
      <w:rFonts w:ascii="Arial" w:hAnsi="Arial" w:cs="Arial"/>
    </w:rPr>
  </w:style>
  <w:style w:type="paragraph" w:customStyle="1" w:styleId="afffffffff1">
    <w:name w:val="кол_приложение"/>
    <w:basedOn w:val="af1"/>
    <w:semiHidden/>
    <w:rsid w:val="00701EBB"/>
    <w:pPr>
      <w:spacing w:before="1000" w:line="360" w:lineRule="auto"/>
      <w:jc w:val="center"/>
    </w:pPr>
    <w:rPr>
      <w:rFonts w:ascii="Arial" w:hAnsi="Arial" w:cs="Arial"/>
      <w:b/>
      <w:bCs/>
      <w:sz w:val="20"/>
      <w:szCs w:val="20"/>
    </w:rPr>
  </w:style>
  <w:style w:type="paragraph" w:customStyle="1" w:styleId="afffffffff2">
    <w:name w:val="НАЗВАНИЕ РАЗДЕЛА ДИ"/>
    <w:basedOn w:val="20"/>
    <w:next w:val="af1"/>
    <w:autoRedefine/>
    <w:semiHidden/>
    <w:rsid w:val="00701EBB"/>
    <w:pPr>
      <w:keepNext w:val="0"/>
      <w:widowControl w:val="0"/>
      <w:tabs>
        <w:tab w:val="num" w:pos="3834"/>
      </w:tabs>
      <w:ind w:firstLine="0"/>
      <w:jc w:val="both"/>
    </w:pPr>
    <w:rPr>
      <w:rFonts w:ascii="Arial" w:hAnsi="Arial" w:cs="Arial"/>
      <w:szCs w:val="24"/>
    </w:rPr>
  </w:style>
  <w:style w:type="paragraph" w:customStyle="1" w:styleId="a">
    <w:name w:val="назв подразд ПО"/>
    <w:basedOn w:val="afffffffff2"/>
    <w:autoRedefine/>
    <w:semiHidden/>
    <w:rsid w:val="00701EBB"/>
    <w:pPr>
      <w:numPr>
        <w:ilvl w:val="2"/>
        <w:numId w:val="11"/>
      </w:numPr>
      <w:tabs>
        <w:tab w:val="clear" w:pos="720"/>
        <w:tab w:val="num" w:pos="360"/>
      </w:tabs>
      <w:ind w:left="360" w:hanging="360"/>
    </w:pPr>
  </w:style>
  <w:style w:type="paragraph" w:customStyle="1" w:styleId="afffffffff3">
    <w:name w:val="Название главы"/>
    <w:basedOn w:val="10"/>
    <w:next w:val="af1"/>
    <w:autoRedefine/>
    <w:semiHidden/>
    <w:rsid w:val="00701EBB"/>
    <w:pPr>
      <w:spacing w:before="120" w:line="360" w:lineRule="auto"/>
      <w:jc w:val="center"/>
    </w:pPr>
    <w:rPr>
      <w:rFonts w:cs="Arial"/>
      <w:b/>
      <w:bCs/>
      <w:i/>
      <w:iCs/>
      <w:caps/>
      <w:kern w:val="32"/>
      <w:szCs w:val="32"/>
    </w:rPr>
  </w:style>
  <w:style w:type="paragraph" w:customStyle="1" w:styleId="afffffffff4">
    <w:name w:val="НАЗВАНИЕ ГЛАВЫ ДИ"/>
    <w:basedOn w:val="10"/>
    <w:next w:val="af1"/>
    <w:autoRedefine/>
    <w:semiHidden/>
    <w:rsid w:val="00701EBB"/>
    <w:pPr>
      <w:keepNext w:val="0"/>
      <w:widowControl w:val="0"/>
      <w:tabs>
        <w:tab w:val="left" w:pos="567"/>
      </w:tabs>
      <w:spacing w:before="360" w:after="120"/>
      <w:jc w:val="center"/>
    </w:pPr>
    <w:rPr>
      <w:rFonts w:cs="Arial"/>
      <w:b/>
      <w:bCs/>
      <w:sz w:val="24"/>
      <w:szCs w:val="24"/>
    </w:rPr>
  </w:style>
  <w:style w:type="paragraph" w:customStyle="1" w:styleId="afffffffff5">
    <w:name w:val="Название подраздела"/>
    <w:basedOn w:val="af1"/>
    <w:autoRedefine/>
    <w:semiHidden/>
    <w:rsid w:val="00701EBB"/>
    <w:pPr>
      <w:spacing w:after="120" w:line="360" w:lineRule="auto"/>
      <w:jc w:val="center"/>
    </w:pPr>
    <w:rPr>
      <w:rFonts w:ascii="Arial" w:hAnsi="Arial" w:cs="Arial"/>
      <w:b/>
      <w:bCs/>
      <w:sz w:val="20"/>
      <w:szCs w:val="20"/>
    </w:rPr>
  </w:style>
  <w:style w:type="paragraph" w:customStyle="1" w:styleId="afffffffff6">
    <w:name w:val="Название раздела"/>
    <w:basedOn w:val="20"/>
    <w:autoRedefine/>
    <w:semiHidden/>
    <w:rsid w:val="00701EBB"/>
    <w:pPr>
      <w:tabs>
        <w:tab w:val="num" w:pos="3834"/>
      </w:tabs>
      <w:spacing w:before="240" w:after="120" w:line="360" w:lineRule="auto"/>
      <w:ind w:firstLine="0"/>
      <w:jc w:val="left"/>
    </w:pPr>
    <w:rPr>
      <w:rFonts w:ascii="Arial" w:hAnsi="Arial" w:cs="Arial"/>
      <w:b/>
      <w:bCs/>
      <w:sz w:val="28"/>
      <w:szCs w:val="28"/>
    </w:rPr>
  </w:style>
  <w:style w:type="paragraph" w:customStyle="1" w:styleId="a4">
    <w:name w:val="номера разделов"/>
    <w:next w:val="af5"/>
    <w:autoRedefine/>
    <w:semiHidden/>
    <w:rsid w:val="00701EBB"/>
    <w:pPr>
      <w:keepNext/>
      <w:numPr>
        <w:numId w:val="12"/>
      </w:numPr>
      <w:suppressLineNumbers/>
      <w:tabs>
        <w:tab w:val="clear" w:pos="284"/>
      </w:tabs>
      <w:suppressAutoHyphens/>
      <w:spacing w:before="480" w:after="120" w:line="240" w:lineRule="auto"/>
      <w:ind w:left="113" w:firstLine="0"/>
      <w:jc w:val="center"/>
      <w:outlineLvl w:val="0"/>
    </w:pPr>
    <w:rPr>
      <w:rFonts w:ascii="Arial" w:eastAsia="Times New Roman" w:hAnsi="Arial" w:cs="Arial"/>
      <w:b/>
      <w:bCs/>
      <w:caps/>
      <w:sz w:val="24"/>
      <w:szCs w:val="24"/>
      <w:lang w:eastAsia="ru-RU"/>
    </w:rPr>
  </w:style>
  <w:style w:type="paragraph" w:customStyle="1" w:styleId="a5">
    <w:name w:val="номера подразделов"/>
    <w:basedOn w:val="a4"/>
    <w:autoRedefine/>
    <w:semiHidden/>
    <w:rsid w:val="00701EBB"/>
    <w:pPr>
      <w:numPr>
        <w:ilvl w:val="1"/>
      </w:numPr>
      <w:tabs>
        <w:tab w:val="clear" w:pos="284"/>
        <w:tab w:val="num" w:pos="792"/>
        <w:tab w:val="num" w:pos="964"/>
      </w:tabs>
      <w:spacing w:before="0" w:after="0"/>
      <w:ind w:left="964" w:hanging="851"/>
      <w:jc w:val="both"/>
      <w:outlineLvl w:val="1"/>
    </w:pPr>
    <w:rPr>
      <w:b w:val="0"/>
      <w:bCs w:val="0"/>
      <w:caps w:val="0"/>
    </w:rPr>
  </w:style>
  <w:style w:type="paragraph" w:customStyle="1" w:styleId="afffffffff7">
    <w:name w:val="нумирация глав в ПЗ"/>
    <w:basedOn w:val="aa"/>
    <w:autoRedefine/>
    <w:semiHidden/>
    <w:rsid w:val="00701EBB"/>
    <w:pPr>
      <w:numPr>
        <w:numId w:val="0"/>
      </w:numPr>
    </w:pPr>
  </w:style>
  <w:style w:type="character" w:customStyle="1" w:styleId="1ff1">
    <w:name w:val="Оглавление 1 Знак"/>
    <w:link w:val="1ff0"/>
    <w:locked/>
    <w:rsid w:val="00701EBB"/>
    <w:rPr>
      <w:rFonts w:ascii="Times New Roman" w:eastAsia="Times New Roman" w:hAnsi="Times New Roman" w:cs="Times New Roman"/>
      <w:sz w:val="24"/>
      <w:szCs w:val="24"/>
      <w:lang w:eastAsia="ru-RU"/>
    </w:rPr>
  </w:style>
  <w:style w:type="paragraph" w:customStyle="1" w:styleId="a6">
    <w:name w:val="Оглавление ПЗ"/>
    <w:basedOn w:val="1ff0"/>
    <w:autoRedefine/>
    <w:semiHidden/>
    <w:rsid w:val="00701EBB"/>
    <w:pPr>
      <w:numPr>
        <w:numId w:val="13"/>
      </w:numPr>
      <w:tabs>
        <w:tab w:val="clear" w:pos="1985"/>
        <w:tab w:val="clear" w:pos="9911"/>
        <w:tab w:val="num" w:pos="360"/>
        <w:tab w:val="left" w:leader="dot" w:pos="9526"/>
      </w:tabs>
      <w:spacing w:after="120"/>
      <w:ind w:left="0" w:right="1134" w:firstLine="0"/>
      <w:jc w:val="both"/>
      <w:outlineLvl w:val="7"/>
    </w:pPr>
    <w:rPr>
      <w:rFonts w:ascii="Arial" w:hAnsi="Arial" w:cs="Arial"/>
      <w:noProof/>
    </w:rPr>
  </w:style>
  <w:style w:type="paragraph" w:customStyle="1" w:styleId="afffffffff8">
    <w:name w:val="Оглавление ПЗ_приложения"/>
    <w:basedOn w:val="1ff0"/>
    <w:autoRedefine/>
    <w:semiHidden/>
    <w:rsid w:val="00701EBB"/>
    <w:pPr>
      <w:tabs>
        <w:tab w:val="clear" w:pos="9911"/>
        <w:tab w:val="left" w:leader="dot" w:pos="2040"/>
        <w:tab w:val="left" w:leader="dot" w:pos="9526"/>
      </w:tabs>
      <w:spacing w:after="120"/>
      <w:ind w:right="1134"/>
      <w:jc w:val="both"/>
      <w:outlineLvl w:val="7"/>
    </w:pPr>
    <w:rPr>
      <w:rFonts w:ascii="Arial" w:hAnsi="Arial" w:cs="Arial"/>
      <w:noProof/>
      <w:sz w:val="22"/>
      <w:szCs w:val="22"/>
    </w:rPr>
  </w:style>
  <w:style w:type="paragraph" w:customStyle="1" w:styleId="afffffffff9">
    <w:name w:val="Основная (важная) мысль"/>
    <w:basedOn w:val="affffffffa"/>
    <w:next w:val="affffffffa"/>
    <w:link w:val="afffffffffa"/>
    <w:autoRedefine/>
    <w:rsid w:val="00701EBB"/>
    <w:pPr>
      <w:ind w:firstLine="851"/>
      <w:jc w:val="both"/>
    </w:pPr>
    <w:rPr>
      <w:rFonts w:ascii="Arial" w:hAnsi="Arial" w:cs="Arial"/>
    </w:rPr>
  </w:style>
  <w:style w:type="character" w:customStyle="1" w:styleId="afffffffffa">
    <w:name w:val="Основная (важная) мысль Знак Знак"/>
    <w:link w:val="afffffffff9"/>
    <w:locked/>
    <w:rsid w:val="00701EBB"/>
    <w:rPr>
      <w:rFonts w:ascii="Arial" w:eastAsia="Times New Roman" w:hAnsi="Arial" w:cs="Arial"/>
      <w:b/>
      <w:bCs/>
      <w:sz w:val="24"/>
      <w:szCs w:val="24"/>
      <w:lang w:eastAsia="ru-RU"/>
    </w:rPr>
  </w:style>
  <w:style w:type="paragraph" w:customStyle="1" w:styleId="afffffffffb">
    <w:name w:val="Основная(важная) мысль"/>
    <w:basedOn w:val="affffffffa"/>
    <w:next w:val="affffffffa"/>
    <w:autoRedefine/>
    <w:rsid w:val="00701EBB"/>
    <w:pPr>
      <w:spacing w:line="360" w:lineRule="auto"/>
      <w:ind w:firstLine="709"/>
      <w:jc w:val="right"/>
    </w:pPr>
    <w:rPr>
      <w:rFonts w:ascii="Arial" w:hAnsi="Arial" w:cs="Arial"/>
    </w:rPr>
  </w:style>
  <w:style w:type="table" w:customStyle="1" w:styleId="314">
    <w:name w:val="31"/>
    <w:rsid w:val="00701EBB"/>
    <w:pPr>
      <w:widowControl w:val="0"/>
      <w:autoSpaceDE w:val="0"/>
      <w:autoSpaceDN w:val="0"/>
      <w:adjustRightInd w:val="0"/>
      <w:spacing w:after="0" w:line="240" w:lineRule="auto"/>
    </w:pPr>
    <w:rPr>
      <w:rFonts w:ascii="Arial" w:eastAsia="Times New Roman" w:hAnsi="Arial" w:cs="Arial"/>
      <w:sz w:val="24"/>
      <w:szCs w:val="24"/>
      <w:lang w:eastAsia="ru-RU"/>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0" w:type="dxa"/>
        <w:bottom w:w="0" w:type="dxa"/>
        <w:right w:w="0" w:type="dxa"/>
      </w:tblCellMar>
    </w:tblPr>
  </w:style>
  <w:style w:type="table" w:customStyle="1" w:styleId="570">
    <w:name w:val="57"/>
    <w:rsid w:val="00701EBB"/>
    <w:pPr>
      <w:widowControl w:val="0"/>
      <w:autoSpaceDE w:val="0"/>
      <w:autoSpaceDN w:val="0"/>
      <w:adjustRightInd w:val="0"/>
      <w:spacing w:after="0" w:line="240" w:lineRule="auto"/>
    </w:pPr>
    <w:rPr>
      <w:rFonts w:ascii="Arial" w:eastAsia="Times New Roman" w:hAnsi="Arial" w:cs="Arial"/>
      <w:sz w:val="24"/>
      <w:szCs w:val="24"/>
      <w:lang w:eastAsia="ru-RU"/>
    </w:rPr>
    <w:tblPr>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28" w:type="dxa"/>
        <w:bottom w:w="0" w:type="dxa"/>
        <w:right w:w="28" w:type="dxa"/>
      </w:tblCellMar>
    </w:tblPr>
    <w:trPr>
      <w:jc w:val="center"/>
    </w:trPr>
  </w:style>
  <w:style w:type="table" w:customStyle="1" w:styleId="572">
    <w:name w:val="572"/>
    <w:rsid w:val="00701EBB"/>
    <w:pPr>
      <w:widowControl w:val="0"/>
      <w:autoSpaceDE w:val="0"/>
      <w:autoSpaceDN w:val="0"/>
      <w:adjustRightInd w:val="0"/>
      <w:spacing w:after="0" w:line="240" w:lineRule="auto"/>
    </w:pPr>
    <w:rPr>
      <w:rFonts w:ascii="Arial" w:eastAsia="Times New Roman" w:hAnsi="Arial" w:cs="Arial"/>
      <w:sz w:val="24"/>
      <w:szCs w:val="24"/>
      <w:lang w:eastAsia="ru-RU"/>
    </w:rPr>
    <w:tblPr>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0" w:type="dxa"/>
        <w:bottom w:w="0" w:type="dxa"/>
        <w:right w:w="0" w:type="dxa"/>
      </w:tblCellMar>
    </w:tblPr>
    <w:trPr>
      <w:jc w:val="center"/>
    </w:trPr>
  </w:style>
  <w:style w:type="table" w:customStyle="1" w:styleId="571">
    <w:name w:val="571"/>
    <w:rsid w:val="00701EBB"/>
    <w:pPr>
      <w:widowControl w:val="0"/>
      <w:autoSpaceDE w:val="0"/>
      <w:autoSpaceDN w:val="0"/>
      <w:adjustRightInd w:val="0"/>
      <w:spacing w:after="0" w:line="240" w:lineRule="auto"/>
    </w:pPr>
    <w:rPr>
      <w:rFonts w:ascii="Arial" w:eastAsia="Times New Roman" w:hAnsi="Arial" w:cs="Arial"/>
      <w:sz w:val="24"/>
      <w:szCs w:val="24"/>
      <w:lang w:eastAsia="ru-RU"/>
    </w:rPr>
    <w:tblPr>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0" w:type="dxa"/>
        <w:bottom w:w="0" w:type="dxa"/>
        <w:right w:w="0" w:type="dxa"/>
      </w:tblCellMar>
    </w:tblPr>
    <w:trPr>
      <w:jc w:val="center"/>
    </w:trPr>
  </w:style>
  <w:style w:type="paragraph" w:customStyle="1" w:styleId="afffffffffc">
    <w:name w:val="ПодДокумент"/>
    <w:basedOn w:val="af1"/>
    <w:semiHidden/>
    <w:rsid w:val="00701EBB"/>
    <w:pPr>
      <w:jc w:val="both"/>
    </w:pPr>
    <w:rPr>
      <w:rFonts w:ascii="Arial" w:hAnsi="Arial" w:cs="Arial"/>
      <w:color w:val="808080"/>
      <w:lang w:val="en-US"/>
    </w:rPr>
  </w:style>
  <w:style w:type="paragraph" w:customStyle="1" w:styleId="afffffffffd">
    <w:name w:val="прил в ПЗ"/>
    <w:basedOn w:val="5"/>
    <w:next w:val="affffffffa"/>
    <w:autoRedefine/>
    <w:semiHidden/>
    <w:rsid w:val="00701EBB"/>
    <w:pPr>
      <w:keepNext w:val="0"/>
      <w:tabs>
        <w:tab w:val="right" w:pos="1418"/>
        <w:tab w:val="right" w:pos="8278"/>
        <w:tab w:val="left" w:pos="9639"/>
      </w:tabs>
      <w:spacing w:line="360" w:lineRule="auto"/>
      <w:ind w:left="1418" w:right="851" w:firstLine="6860"/>
    </w:pPr>
    <w:rPr>
      <w:rFonts w:ascii="Arial" w:hAnsi="Arial" w:cs="Arial"/>
      <w:b w:val="0"/>
      <w:bCs w:val="0"/>
      <w:i w:val="0"/>
      <w:iCs w:val="0"/>
      <w:sz w:val="24"/>
      <w:szCs w:val="24"/>
    </w:rPr>
  </w:style>
  <w:style w:type="paragraph" w:customStyle="1" w:styleId="a3">
    <w:name w:val="прил. в содержание"/>
    <w:basedOn w:val="af1"/>
    <w:autoRedefine/>
    <w:semiHidden/>
    <w:rsid w:val="00701EBB"/>
    <w:pPr>
      <w:numPr>
        <w:numId w:val="14"/>
      </w:numPr>
      <w:tabs>
        <w:tab w:val="clear" w:pos="1985"/>
        <w:tab w:val="num" w:pos="360"/>
        <w:tab w:val="left" w:leader="dot" w:pos="9480"/>
      </w:tabs>
      <w:ind w:left="0" w:right="851" w:firstLine="0"/>
      <w:jc w:val="both"/>
      <w:outlineLvl w:val="8"/>
    </w:pPr>
    <w:rPr>
      <w:rFonts w:ascii="Arial" w:hAnsi="Arial" w:cs="Arial"/>
      <w:noProof/>
    </w:rPr>
  </w:style>
  <w:style w:type="paragraph" w:customStyle="1" w:styleId="afffffffffe">
    <w:name w:val="прилБ"/>
    <w:basedOn w:val="af"/>
    <w:next w:val="affffffffa"/>
    <w:autoRedefine/>
    <w:rsid w:val="00701EBB"/>
    <w:pPr>
      <w:numPr>
        <w:ilvl w:val="0"/>
        <w:numId w:val="0"/>
      </w:numPr>
    </w:pPr>
  </w:style>
  <w:style w:type="paragraph" w:customStyle="1" w:styleId="1fff1">
    <w:name w:val="прилБ1"/>
    <w:next w:val="affffffffa"/>
    <w:autoRedefine/>
    <w:rsid w:val="00701EBB"/>
    <w:pPr>
      <w:tabs>
        <w:tab w:val="left" w:pos="10053"/>
      </w:tabs>
      <w:spacing w:before="120" w:after="60" w:line="240" w:lineRule="auto"/>
      <w:ind w:right="170"/>
      <w:jc w:val="both"/>
      <w:outlineLvl w:val="6"/>
    </w:pPr>
    <w:rPr>
      <w:rFonts w:ascii="Arial" w:eastAsia="Times New Roman" w:hAnsi="Arial" w:cs="Arial"/>
      <w:sz w:val="24"/>
      <w:szCs w:val="24"/>
      <w:lang w:eastAsia="ru-RU"/>
    </w:rPr>
  </w:style>
  <w:style w:type="table" w:styleId="1fff2">
    <w:name w:val="Table Simple 1"/>
    <w:basedOn w:val="af3"/>
    <w:rsid w:val="00701EBB"/>
    <w:pPr>
      <w:spacing w:after="0" w:line="240" w:lineRule="auto"/>
    </w:pPr>
    <w:rPr>
      <w:rFonts w:ascii="Arial" w:eastAsia="Times New Roman" w:hAnsi="Arial" w:cs="Arial"/>
      <w:sz w:val="20"/>
      <w:szCs w:val="20"/>
      <w:lang w:eastAsia="ru-RU"/>
    </w:rPr>
    <w:tblPr>
      <w:tblBorders>
        <w:top w:val="single" w:sz="12" w:space="0" w:color="008000"/>
        <w:bottom w:val="single" w:sz="12" w:space="0" w:color="008000"/>
      </w:tblBorders>
    </w:tblPr>
    <w:tblStylePr w:type="firstRow">
      <w:rPr>
        <w:rFonts w:cs="Arial"/>
      </w:rPr>
      <w:tblPr/>
      <w:tcPr>
        <w:tcBorders>
          <w:bottom w:val="single" w:sz="6" w:space="0" w:color="008000"/>
          <w:tl2br w:val="none" w:sz="0" w:space="0" w:color="auto"/>
          <w:tr2bl w:val="none" w:sz="0" w:space="0" w:color="auto"/>
        </w:tcBorders>
      </w:tcPr>
    </w:tblStylePr>
    <w:tblStylePr w:type="lastRow">
      <w:rPr>
        <w:rFonts w:cs="Arial"/>
      </w:rPr>
      <w:tblPr/>
      <w:tcPr>
        <w:tcBorders>
          <w:top w:val="single" w:sz="6" w:space="0" w:color="008000"/>
          <w:tl2br w:val="none" w:sz="0" w:space="0" w:color="auto"/>
          <w:tr2bl w:val="none" w:sz="0" w:space="0" w:color="auto"/>
        </w:tcBorders>
      </w:tcPr>
    </w:tblStylePr>
  </w:style>
  <w:style w:type="table" w:styleId="2ff2">
    <w:name w:val="Table Simple 2"/>
    <w:basedOn w:val="af3"/>
    <w:rsid w:val="00701EBB"/>
    <w:pPr>
      <w:spacing w:after="0" w:line="240" w:lineRule="auto"/>
    </w:pPr>
    <w:rPr>
      <w:rFonts w:ascii="Arial" w:eastAsia="Times New Roman" w:hAnsi="Arial" w:cs="Arial"/>
      <w:sz w:val="20"/>
      <w:szCs w:val="20"/>
      <w:lang w:eastAsia="ru-RU"/>
    </w:rPr>
    <w:tblPr/>
    <w:tblStylePr w:type="firstRow">
      <w:rPr>
        <w:rFonts w:cs="Arial"/>
        <w:b/>
        <w:bCs/>
      </w:rPr>
      <w:tblPr/>
      <w:tcPr>
        <w:tcBorders>
          <w:bottom w:val="single" w:sz="12" w:space="0" w:color="000000"/>
          <w:tl2br w:val="none" w:sz="0" w:space="0" w:color="auto"/>
          <w:tr2bl w:val="none" w:sz="0" w:space="0" w:color="auto"/>
        </w:tcBorders>
      </w:tcPr>
    </w:tblStylePr>
    <w:tblStylePr w:type="lastRow">
      <w:rPr>
        <w:rFonts w:cs="Arial"/>
        <w:b/>
        <w:bCs/>
        <w:color w:val="auto"/>
      </w:rPr>
      <w:tblPr/>
      <w:tcPr>
        <w:tcBorders>
          <w:top w:val="single" w:sz="6" w:space="0" w:color="000000"/>
          <w:tl2br w:val="none" w:sz="0" w:space="0" w:color="auto"/>
          <w:tr2bl w:val="none" w:sz="0" w:space="0" w:color="auto"/>
        </w:tcBorders>
      </w:tcPr>
    </w:tblStylePr>
    <w:tblStylePr w:type="firstCol">
      <w:rPr>
        <w:rFonts w:cs="Arial"/>
        <w:b/>
        <w:bCs/>
      </w:rPr>
      <w:tblPr/>
      <w:tcPr>
        <w:tcBorders>
          <w:right w:val="single" w:sz="12" w:space="0" w:color="000000"/>
          <w:tl2br w:val="none" w:sz="0" w:space="0" w:color="auto"/>
          <w:tr2bl w:val="none" w:sz="0" w:space="0" w:color="auto"/>
        </w:tcBorders>
      </w:tcPr>
    </w:tblStylePr>
    <w:tblStylePr w:type="lastCol">
      <w:rPr>
        <w:rFonts w:cs="Arial"/>
        <w:b/>
        <w:bCs/>
      </w:rPr>
      <w:tblPr/>
      <w:tcPr>
        <w:tcBorders>
          <w:left w:val="single" w:sz="6" w:space="0" w:color="000000"/>
          <w:tl2br w:val="none" w:sz="0" w:space="0" w:color="auto"/>
          <w:tr2bl w:val="none" w:sz="0" w:space="0" w:color="auto"/>
        </w:tcBorders>
      </w:tcPr>
    </w:tblStylePr>
    <w:tblStylePr w:type="neCell">
      <w:rPr>
        <w:rFonts w:cs="Arial"/>
        <w:b/>
        <w:bCs/>
      </w:rPr>
      <w:tblPr/>
      <w:tcPr>
        <w:tcBorders>
          <w:left w:val="none" w:sz="0" w:space="0" w:color="auto"/>
          <w:tl2br w:val="none" w:sz="0" w:space="0" w:color="auto"/>
          <w:tr2bl w:val="none" w:sz="0" w:space="0" w:color="auto"/>
        </w:tcBorders>
      </w:tcPr>
    </w:tblStylePr>
    <w:tblStylePr w:type="swCell">
      <w:rPr>
        <w:rFonts w:cs="Arial"/>
        <w:b/>
        <w:bCs/>
      </w:rPr>
      <w:tblPr/>
      <w:tcPr>
        <w:tcBorders>
          <w:top w:val="none" w:sz="0" w:space="0" w:color="auto"/>
          <w:tl2br w:val="none" w:sz="0" w:space="0" w:color="auto"/>
          <w:tr2bl w:val="none" w:sz="0" w:space="0" w:color="auto"/>
        </w:tcBorders>
      </w:tcPr>
    </w:tblStylePr>
  </w:style>
  <w:style w:type="table" w:styleId="3f8">
    <w:name w:val="Table Simple 3"/>
    <w:basedOn w:val="af3"/>
    <w:rsid w:val="00701EBB"/>
    <w:pPr>
      <w:spacing w:after="0" w:line="240" w:lineRule="auto"/>
    </w:pPr>
    <w:rPr>
      <w:rFonts w:ascii="Arial" w:eastAsia="Times New Roman" w:hAnsi="Arial" w:cs="Arial"/>
      <w:sz w:val="20"/>
      <w:szCs w:val="20"/>
      <w:lang w:eastAsia="ru-RU"/>
    </w:rPr>
    <w:tblPr>
      <w:tblBorders>
        <w:top w:val="single" w:sz="12" w:space="0" w:color="000000"/>
        <w:left w:val="single" w:sz="12" w:space="0" w:color="000000"/>
        <w:bottom w:val="single" w:sz="12" w:space="0" w:color="000000"/>
        <w:right w:val="single" w:sz="12" w:space="0" w:color="000000"/>
      </w:tblBorders>
    </w:tblPr>
    <w:tblStylePr w:type="firstRow">
      <w:rPr>
        <w:rFonts w:cs="Arial"/>
        <w:b/>
        <w:bCs/>
        <w:color w:val="FFFFFF"/>
      </w:rPr>
      <w:tblPr/>
      <w:tcPr>
        <w:tcBorders>
          <w:tl2br w:val="none" w:sz="0" w:space="0" w:color="auto"/>
          <w:tr2bl w:val="none" w:sz="0" w:space="0" w:color="auto"/>
        </w:tcBorders>
        <w:shd w:val="solid" w:color="000000" w:fill="FFFFFF"/>
      </w:tcPr>
    </w:tblStylePr>
  </w:style>
  <w:style w:type="table" w:styleId="2ff3">
    <w:name w:val="Table Grid 2"/>
    <w:basedOn w:val="af3"/>
    <w:rsid w:val="00701EBB"/>
    <w:pPr>
      <w:spacing w:after="0" w:line="240" w:lineRule="auto"/>
    </w:pPr>
    <w:rPr>
      <w:rFonts w:ascii="Arial" w:eastAsia="Times New Roman" w:hAnsi="Arial" w:cs="Arial"/>
      <w:sz w:val="20"/>
      <w:szCs w:val="20"/>
      <w:lang w:eastAsia="ru-RU"/>
    </w:rPr>
    <w:tblPr>
      <w:tblBorders>
        <w:insideH w:val="single" w:sz="6" w:space="0" w:color="000000"/>
        <w:insideV w:val="single" w:sz="6" w:space="0" w:color="000000"/>
      </w:tblBorders>
    </w:tblPr>
    <w:tblStylePr w:type="firstRow">
      <w:rPr>
        <w:rFonts w:cs="Arial"/>
        <w:b/>
        <w:bCs/>
      </w:rPr>
      <w:tblPr/>
      <w:tcPr>
        <w:tcBorders>
          <w:tl2br w:val="none" w:sz="0" w:space="0" w:color="auto"/>
          <w:tr2bl w:val="none" w:sz="0" w:space="0" w:color="auto"/>
        </w:tcBorders>
      </w:tcPr>
    </w:tblStylePr>
    <w:tblStylePr w:type="lastRow">
      <w:rPr>
        <w:rFonts w:cs="Arial"/>
        <w:b/>
        <w:bCs/>
      </w:rPr>
      <w:tblPr/>
      <w:tcPr>
        <w:tcBorders>
          <w:top w:val="single" w:sz="6" w:space="0" w:color="00000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style>
  <w:style w:type="table" w:styleId="4f">
    <w:name w:val="Table Grid 4"/>
    <w:basedOn w:val="af3"/>
    <w:rsid w:val="00701EBB"/>
    <w:pPr>
      <w:spacing w:after="0" w:line="240" w:lineRule="auto"/>
    </w:pPr>
    <w:rPr>
      <w:rFonts w:ascii="Arial" w:eastAsia="Times New Roman" w:hAnsi="Arial" w:cs="Arial"/>
      <w:sz w:val="20"/>
      <w:szCs w:val="20"/>
      <w:lang w:eastAsia="ru-RU"/>
    </w:rPr>
    <w:tblPr>
      <w:tblBorders>
        <w:left w:val="single" w:sz="12" w:space="0" w:color="000000"/>
        <w:right w:val="single" w:sz="12" w:space="0" w:color="000000"/>
        <w:insideH w:val="single" w:sz="6" w:space="0" w:color="000000"/>
        <w:insideV w:val="single" w:sz="6" w:space="0" w:color="000000"/>
      </w:tblBorders>
    </w:tblPr>
    <w:tblStylePr w:type="firstRow">
      <w:rPr>
        <w:rFonts w:cs="Arial"/>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Arial"/>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Arial"/>
        <w:b/>
        <w:bCs/>
        <w:color w:val="auto"/>
      </w:rPr>
      <w:tblPr/>
      <w:tcPr>
        <w:tcBorders>
          <w:tl2br w:val="none" w:sz="0" w:space="0" w:color="auto"/>
          <w:tr2bl w:val="none" w:sz="0" w:space="0" w:color="auto"/>
        </w:tcBorders>
      </w:tcPr>
    </w:tblStylePr>
  </w:style>
  <w:style w:type="table" w:styleId="85">
    <w:name w:val="Table Grid 8"/>
    <w:basedOn w:val="af3"/>
    <w:rsid w:val="00701EBB"/>
    <w:pPr>
      <w:spacing w:after="0" w:line="240" w:lineRule="auto"/>
    </w:pPr>
    <w:rPr>
      <w:rFonts w:ascii="Arial" w:eastAsia="Times New Roman" w:hAnsi="Arial" w:cs="Arial"/>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Arial"/>
        <w:b/>
        <w:bCs/>
        <w:color w:val="FFFFFF"/>
      </w:rPr>
      <w:tblPr/>
      <w:tcPr>
        <w:tcBorders>
          <w:tl2br w:val="none" w:sz="0" w:space="0" w:color="auto"/>
          <w:tr2bl w:val="none" w:sz="0" w:space="0" w:color="auto"/>
        </w:tcBorders>
        <w:shd w:val="solid" w:color="000080" w:fill="FFFFFF"/>
      </w:tcPr>
    </w:tblStylePr>
    <w:tblStylePr w:type="lastRow">
      <w:rPr>
        <w:rFonts w:cs="Arial"/>
        <w:b/>
        <w:bCs/>
        <w:color w:val="auto"/>
      </w:rPr>
      <w:tblPr/>
      <w:tcPr>
        <w:tcBorders>
          <w:tl2br w:val="none" w:sz="0" w:space="0" w:color="auto"/>
          <w:tr2bl w:val="none" w:sz="0" w:space="0" w:color="auto"/>
        </w:tcBorders>
      </w:tcPr>
    </w:tblStylePr>
    <w:tblStylePr w:type="lastCol">
      <w:rPr>
        <w:rFonts w:cs="Arial"/>
        <w:b/>
        <w:bCs/>
        <w:color w:val="auto"/>
      </w:rPr>
      <w:tblPr/>
      <w:tcPr>
        <w:tcBorders>
          <w:tl2br w:val="none" w:sz="0" w:space="0" w:color="auto"/>
          <w:tr2bl w:val="none" w:sz="0" w:space="0" w:color="auto"/>
        </w:tcBorders>
      </w:tcPr>
    </w:tblStylePr>
  </w:style>
  <w:style w:type="table" w:styleId="affffffffff">
    <w:name w:val="Table Contemporary"/>
    <w:basedOn w:val="af3"/>
    <w:rsid w:val="00701EBB"/>
    <w:pPr>
      <w:spacing w:after="0" w:line="240" w:lineRule="auto"/>
    </w:pPr>
    <w:rPr>
      <w:rFonts w:ascii="Arial" w:eastAsia="Times New Roman" w:hAnsi="Arial" w:cs="Arial"/>
      <w:sz w:val="20"/>
      <w:szCs w:val="20"/>
      <w:lang w:eastAsia="ru-RU"/>
    </w:rPr>
    <w:tblPr>
      <w:tblStyleRowBandSize w:val="1"/>
      <w:tblBorders>
        <w:insideH w:val="single" w:sz="18" w:space="0" w:color="FFFFFF"/>
        <w:insideV w:val="single" w:sz="18" w:space="0" w:color="FFFFFF"/>
      </w:tblBorders>
    </w:tblPr>
    <w:tblStylePr w:type="firstRow">
      <w:rPr>
        <w:rFonts w:cs="Arial"/>
        <w:b/>
        <w:bCs/>
        <w:color w:val="auto"/>
      </w:rPr>
      <w:tblPr/>
      <w:tcPr>
        <w:tcBorders>
          <w:tl2br w:val="none" w:sz="0" w:space="0" w:color="auto"/>
          <w:tr2bl w:val="none" w:sz="0" w:space="0" w:color="auto"/>
        </w:tcBorders>
        <w:shd w:val="pct20" w:color="000000" w:fill="FFFFFF"/>
      </w:tcPr>
    </w:tblStylePr>
    <w:tblStylePr w:type="band1Horz">
      <w:rPr>
        <w:rFonts w:cs="Arial"/>
        <w:color w:val="auto"/>
      </w:rPr>
      <w:tblPr/>
      <w:tcPr>
        <w:tcBorders>
          <w:tl2br w:val="none" w:sz="0" w:space="0" w:color="auto"/>
          <w:tr2bl w:val="none" w:sz="0" w:space="0" w:color="auto"/>
        </w:tcBorders>
        <w:shd w:val="pct5" w:color="000000" w:fill="FFFFFF"/>
      </w:tcPr>
    </w:tblStylePr>
    <w:tblStylePr w:type="band2Horz">
      <w:rPr>
        <w:rFonts w:cs="Arial"/>
        <w:color w:val="auto"/>
      </w:rPr>
      <w:tblPr/>
      <w:tcPr>
        <w:tcBorders>
          <w:tl2br w:val="none" w:sz="0" w:space="0" w:color="auto"/>
          <w:tr2bl w:val="none" w:sz="0" w:space="0" w:color="auto"/>
        </w:tcBorders>
        <w:shd w:val="pct20" w:color="000000" w:fill="FFFFFF"/>
      </w:tcPr>
    </w:tblStylePr>
  </w:style>
  <w:style w:type="paragraph" w:customStyle="1" w:styleId="affffffffff0">
    <w:name w:val="согласующие на тит листе"/>
    <w:basedOn w:val="af1"/>
    <w:autoRedefine/>
    <w:semiHidden/>
    <w:rsid w:val="00701EBB"/>
    <w:pPr>
      <w:widowControl w:val="0"/>
      <w:tabs>
        <w:tab w:val="left" w:pos="7320"/>
      </w:tabs>
      <w:spacing w:line="360" w:lineRule="auto"/>
      <w:ind w:firstLine="748"/>
    </w:pPr>
    <w:rPr>
      <w:rFonts w:ascii="Arial" w:hAnsi="Arial" w:cs="Arial"/>
      <w:b/>
      <w:bCs/>
      <w:sz w:val="32"/>
      <w:szCs w:val="32"/>
    </w:rPr>
  </w:style>
  <w:style w:type="paragraph" w:customStyle="1" w:styleId="affffffffff1">
    <w:name w:val="Содержание"/>
    <w:basedOn w:val="1ff0"/>
    <w:next w:val="affffffffa"/>
    <w:autoRedefine/>
    <w:semiHidden/>
    <w:rsid w:val="00701EBB"/>
    <w:pPr>
      <w:tabs>
        <w:tab w:val="clear" w:pos="9911"/>
        <w:tab w:val="left" w:pos="680"/>
        <w:tab w:val="left" w:leader="dot" w:pos="9526"/>
      </w:tabs>
      <w:spacing w:after="120"/>
      <w:ind w:left="680" w:right="1134" w:hanging="680"/>
      <w:jc w:val="both"/>
      <w:outlineLvl w:val="7"/>
    </w:pPr>
    <w:rPr>
      <w:rFonts w:ascii="Arial" w:hAnsi="Arial" w:cs="Arial"/>
      <w:noProof/>
    </w:rPr>
  </w:style>
  <w:style w:type="paragraph" w:customStyle="1" w:styleId="-">
    <w:name w:val="список лит-ры"/>
    <w:basedOn w:val="2ff"/>
    <w:autoRedefine/>
    <w:rsid w:val="00701EBB"/>
    <w:pPr>
      <w:widowControl/>
      <w:numPr>
        <w:numId w:val="15"/>
      </w:numPr>
      <w:tabs>
        <w:tab w:val="clear" w:pos="284"/>
      </w:tabs>
      <w:adjustRightInd/>
      <w:spacing w:before="0" w:after="0" w:line="360" w:lineRule="auto"/>
      <w:ind w:left="1287" w:right="181" w:hanging="360"/>
      <w:textAlignment w:val="auto"/>
    </w:pPr>
    <w:rPr>
      <w:spacing w:val="0"/>
      <w:sz w:val="24"/>
      <w:szCs w:val="24"/>
      <w:lang w:eastAsia="ru-RU"/>
    </w:rPr>
  </w:style>
  <w:style w:type="paragraph" w:customStyle="1" w:styleId="1027512">
    <w:name w:val="Стиль Оглавление 1 + Слева:  0 см Выступ:  275 см Справа:  12 см"/>
    <w:basedOn w:val="1ff0"/>
    <w:next w:val="affffffffa"/>
    <w:autoRedefine/>
    <w:semiHidden/>
    <w:rsid w:val="00701EBB"/>
    <w:pPr>
      <w:tabs>
        <w:tab w:val="clear" w:pos="9911"/>
        <w:tab w:val="left" w:leader="dot" w:pos="9526"/>
        <w:tab w:val="left" w:pos="9639"/>
      </w:tabs>
      <w:spacing w:after="120"/>
      <w:ind w:right="1134"/>
      <w:jc w:val="both"/>
      <w:outlineLvl w:val="7"/>
    </w:pPr>
    <w:rPr>
      <w:rFonts w:ascii="Arial" w:hAnsi="Arial" w:cs="Arial"/>
      <w:noProof/>
    </w:rPr>
  </w:style>
  <w:style w:type="table" w:customStyle="1" w:styleId="1fff3">
    <w:name w:val="Стиль таблицы1"/>
    <w:basedOn w:val="affa"/>
    <w:semiHidden/>
    <w:rsid w:val="00701EBB"/>
    <w:pPr>
      <w:ind w:firstLine="0"/>
    </w:pPr>
    <w:rPr>
      <w:rFonts w:ascii="Arial" w:hAnsi="Arial" w:cs="Arial"/>
    </w:rPr>
    <w:tblPr>
      <w:tblStyleRowBandSize w:val="1"/>
    </w:tblPr>
    <w:tblStylePr w:type="firstRow">
      <w:pPr>
        <w:jc w:val="center"/>
      </w:pPr>
      <w:rPr>
        <w:rFonts w:cs="Arial"/>
      </w:rPr>
      <w:tblPr/>
      <w:tcPr>
        <w:shd w:val="clear" w:color="auto" w:fill="D9D9D9"/>
      </w:tcPr>
    </w:tblStylePr>
    <w:tblStylePr w:type="band2Horz">
      <w:rPr>
        <w:rFonts w:cs="Arial"/>
      </w:rPr>
      <w:tblPr/>
      <w:tcPr>
        <w:shd w:val="clear" w:color="auto" w:fill="D9D9D9"/>
      </w:tcPr>
    </w:tblStylePr>
  </w:style>
  <w:style w:type="table" w:customStyle="1" w:styleId="affffffffff2">
    <w:name w:val="таблица в ПЗ"/>
    <w:semiHidden/>
    <w:rsid w:val="00701EBB"/>
    <w:pPr>
      <w:spacing w:after="0" w:line="360" w:lineRule="auto"/>
      <w:ind w:left="170"/>
    </w:pPr>
    <w:rPr>
      <w:rFonts w:ascii="Arial" w:eastAsia="Times New Roman" w:hAnsi="Arial" w:cs="Arial"/>
      <w:sz w:val="24"/>
      <w:szCs w:val="24"/>
      <w:lang w:eastAsia="ru-RU"/>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paragraph" w:styleId="affffffffff3">
    <w:name w:val="macro"/>
    <w:link w:val="affffffffff4"/>
    <w:semiHidden/>
    <w:rsid w:val="00701EBB"/>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lang w:eastAsia="ru-RU"/>
    </w:rPr>
  </w:style>
  <w:style w:type="character" w:customStyle="1" w:styleId="affffffffff4">
    <w:name w:val="Текст макроса Знак"/>
    <w:basedOn w:val="af2"/>
    <w:link w:val="affffffffff3"/>
    <w:semiHidden/>
    <w:rsid w:val="00701EBB"/>
    <w:rPr>
      <w:rFonts w:ascii="Courier New" w:eastAsia="Times New Roman" w:hAnsi="Courier New" w:cs="Courier New"/>
      <w:sz w:val="20"/>
      <w:szCs w:val="20"/>
      <w:lang w:eastAsia="ru-RU"/>
    </w:rPr>
  </w:style>
  <w:style w:type="paragraph" w:customStyle="1" w:styleId="affffffffff5">
    <w:name w:val="текст на тит листе"/>
    <w:basedOn w:val="af1"/>
    <w:autoRedefine/>
    <w:semiHidden/>
    <w:rsid w:val="00701EBB"/>
    <w:pPr>
      <w:widowControl w:val="0"/>
      <w:spacing w:line="360" w:lineRule="auto"/>
      <w:jc w:val="center"/>
    </w:pPr>
    <w:rPr>
      <w:rFonts w:ascii="Arial" w:hAnsi="Arial" w:cs="Arial"/>
      <w:b/>
      <w:bCs/>
      <w:sz w:val="32"/>
      <w:szCs w:val="32"/>
    </w:rPr>
  </w:style>
  <w:style w:type="table" w:styleId="affffffffff6">
    <w:name w:val="Table Theme"/>
    <w:basedOn w:val="af3"/>
    <w:rsid w:val="00701EBB"/>
    <w:pPr>
      <w:spacing w:after="0" w:line="240" w:lineRule="auto"/>
    </w:pPr>
    <w:rPr>
      <w:rFonts w:ascii="Arial" w:eastAsia="Times New Roman" w:hAnsi="Arial" w:cs="Arial"/>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fffffffff7">
    <w:name w:val="тит_лист"/>
    <w:basedOn w:val="affa"/>
    <w:semiHidden/>
    <w:rsid w:val="00701EBB"/>
    <w:pPr>
      <w:ind w:firstLine="0"/>
    </w:pPr>
    <w:rPr>
      <w:rFonts w:ascii="Arial" w:hAnsi="Arial" w:cs="Arial"/>
    </w:rPr>
    <w:tblPr>
      <w:tblStyleRowBandSize w:val="1"/>
    </w:tblPr>
    <w:tblStylePr w:type="firstRow">
      <w:pPr>
        <w:jc w:val="center"/>
      </w:pPr>
      <w:rPr>
        <w:rFonts w:cs="Arial"/>
      </w:rPr>
      <w:tblPr/>
      <w:tcPr>
        <w:shd w:val="clear" w:color="auto" w:fill="D9D9D9"/>
      </w:tcPr>
    </w:tblStylePr>
    <w:tblStylePr w:type="band2Horz">
      <w:rPr>
        <w:rFonts w:cs="Arial"/>
      </w:rPr>
      <w:tblPr/>
      <w:tcPr>
        <w:shd w:val="clear" w:color="auto" w:fill="D9D9D9"/>
      </w:tcPr>
    </w:tblStylePr>
  </w:style>
  <w:style w:type="paragraph" w:styleId="68">
    <w:name w:val="index 6"/>
    <w:basedOn w:val="af1"/>
    <w:next w:val="af1"/>
    <w:autoRedefine/>
    <w:semiHidden/>
    <w:rsid w:val="00701EBB"/>
    <w:pPr>
      <w:ind w:left="1200" w:hanging="200"/>
    </w:pPr>
    <w:rPr>
      <w:rFonts w:ascii="Arial" w:hAnsi="Arial" w:cs="Arial"/>
      <w:sz w:val="20"/>
      <w:szCs w:val="20"/>
    </w:rPr>
  </w:style>
  <w:style w:type="paragraph" w:styleId="76">
    <w:name w:val="index 7"/>
    <w:basedOn w:val="af1"/>
    <w:next w:val="af1"/>
    <w:autoRedefine/>
    <w:semiHidden/>
    <w:rsid w:val="00701EBB"/>
    <w:pPr>
      <w:ind w:left="1400" w:hanging="200"/>
    </w:pPr>
    <w:rPr>
      <w:rFonts w:ascii="Arial" w:hAnsi="Arial" w:cs="Arial"/>
      <w:sz w:val="20"/>
      <w:szCs w:val="20"/>
    </w:rPr>
  </w:style>
  <w:style w:type="paragraph" w:styleId="86">
    <w:name w:val="index 8"/>
    <w:basedOn w:val="af1"/>
    <w:next w:val="af1"/>
    <w:autoRedefine/>
    <w:semiHidden/>
    <w:rsid w:val="00701EBB"/>
    <w:pPr>
      <w:ind w:left="1600" w:hanging="200"/>
    </w:pPr>
    <w:rPr>
      <w:rFonts w:ascii="Arial" w:hAnsi="Arial" w:cs="Arial"/>
      <w:sz w:val="20"/>
      <w:szCs w:val="20"/>
    </w:rPr>
  </w:style>
  <w:style w:type="paragraph" w:styleId="95">
    <w:name w:val="index 9"/>
    <w:basedOn w:val="af1"/>
    <w:next w:val="af1"/>
    <w:autoRedefine/>
    <w:semiHidden/>
    <w:rsid w:val="00701EBB"/>
    <w:pPr>
      <w:ind w:left="1800" w:hanging="200"/>
    </w:pPr>
    <w:rPr>
      <w:rFonts w:ascii="Arial" w:hAnsi="Arial" w:cs="Arial"/>
      <w:sz w:val="20"/>
      <w:szCs w:val="20"/>
    </w:rPr>
  </w:style>
  <w:style w:type="paragraph" w:customStyle="1" w:styleId="affffffffff8">
    <w:name w:val="Х осн"/>
    <w:basedOn w:val="affffffffe"/>
    <w:autoRedefine/>
    <w:semiHidden/>
    <w:rsid w:val="00701EBB"/>
    <w:pPr>
      <w:ind w:left="600"/>
    </w:pPr>
  </w:style>
  <w:style w:type="paragraph" w:customStyle="1" w:styleId="affffffffff9">
    <w:name w:val="ЧАСТЬ ПОДРАЗДЕЛА"/>
    <w:basedOn w:val="affffffffa"/>
    <w:next w:val="affffffffa"/>
    <w:autoRedefine/>
    <w:rsid w:val="00701EBB"/>
    <w:pPr>
      <w:ind w:firstLine="851"/>
      <w:jc w:val="both"/>
    </w:pPr>
    <w:rPr>
      <w:rFonts w:ascii="Arial" w:hAnsi="Arial" w:cs="Arial"/>
      <w:b w:val="0"/>
      <w:bCs w:val="0"/>
      <w:i/>
      <w:iCs/>
      <w:u w:val="single"/>
    </w:rPr>
  </w:style>
  <w:style w:type="paragraph" w:customStyle="1" w:styleId="affffffffffa">
    <w:name w:val="Шапка таблиц"/>
    <w:basedOn w:val="af1"/>
    <w:autoRedefine/>
    <w:semiHidden/>
    <w:rsid w:val="00701EBB"/>
    <w:pPr>
      <w:spacing w:line="360" w:lineRule="auto"/>
      <w:jc w:val="center"/>
    </w:pPr>
    <w:rPr>
      <w:rFonts w:ascii="Arial" w:hAnsi="Arial" w:cs="Arial"/>
      <w:b/>
      <w:bCs/>
      <w:sz w:val="20"/>
      <w:szCs w:val="20"/>
    </w:rPr>
  </w:style>
  <w:style w:type="paragraph" w:customStyle="1" w:styleId="shernew">
    <w:name w:val="shernew"/>
    <w:basedOn w:val="af1"/>
    <w:rsid w:val="00701EBB"/>
    <w:pPr>
      <w:ind w:firstLine="600"/>
      <w:jc w:val="both"/>
    </w:pPr>
    <w:rPr>
      <w:rFonts w:ascii="Arial" w:hAnsi="Arial" w:cs="Arial"/>
      <w:color w:val="003366"/>
      <w:sz w:val="18"/>
      <w:szCs w:val="18"/>
    </w:rPr>
  </w:style>
  <w:style w:type="character" w:customStyle="1" w:styleId="TabelTekst1">
    <w:name w:val="TabelTekst Знак1"/>
    <w:aliases w:val="text Знак1,Body Text2 Знак1,Char Знак1,Body Text2 Char Char Char Char Char Char Char Char Char Знак1,Main text Знак1,Body Text Char2 Char Знак1,Body Text Char1 Char Char Знак1"/>
    <w:rsid w:val="00701EBB"/>
    <w:rPr>
      <w:rFonts w:ascii="Arial" w:hAnsi="Arial" w:cs="Arial"/>
      <w:spacing w:val="-5"/>
      <w:sz w:val="22"/>
      <w:szCs w:val="22"/>
      <w:lang w:val="ru-RU" w:eastAsia="en-US"/>
    </w:rPr>
  </w:style>
  <w:style w:type="paragraph" w:customStyle="1" w:styleId="123">
    <w:name w:val="табл.12"/>
    <w:basedOn w:val="af1"/>
    <w:link w:val="1210"/>
    <w:rsid w:val="00701EBB"/>
    <w:pPr>
      <w:keepNext/>
      <w:keepLines/>
    </w:pPr>
    <w:rPr>
      <w:rFonts w:ascii="Arial" w:hAnsi="Arial" w:cs="Arial"/>
    </w:rPr>
  </w:style>
  <w:style w:type="character" w:customStyle="1" w:styleId="1210">
    <w:name w:val="табл.12 Знак1"/>
    <w:link w:val="123"/>
    <w:locked/>
    <w:rsid w:val="00701EBB"/>
    <w:rPr>
      <w:rFonts w:ascii="Arial" w:eastAsia="Times New Roman" w:hAnsi="Arial" w:cs="Arial"/>
      <w:sz w:val="24"/>
      <w:szCs w:val="24"/>
      <w:lang w:eastAsia="ru-RU"/>
    </w:rPr>
  </w:style>
  <w:style w:type="paragraph" w:customStyle="1" w:styleId="1fff4">
    <w:name w:val="Знак Знак Знак1 Знак"/>
    <w:basedOn w:val="af1"/>
    <w:rsid w:val="00701EBB"/>
    <w:pPr>
      <w:spacing w:after="160" w:line="240" w:lineRule="exact"/>
    </w:pPr>
    <w:rPr>
      <w:rFonts w:ascii="Verdana" w:hAnsi="Verdana" w:cs="Verdana"/>
      <w:sz w:val="20"/>
      <w:szCs w:val="20"/>
      <w:lang w:val="en-US" w:eastAsia="en-US"/>
    </w:rPr>
  </w:style>
  <w:style w:type="character" w:customStyle="1" w:styleId="1fff5">
    <w:name w:val="Замещающий текст1"/>
    <w:semiHidden/>
    <w:rsid w:val="00701EBB"/>
    <w:rPr>
      <w:rFonts w:cs="Times New Roman"/>
      <w:color w:val="808080"/>
    </w:rPr>
  </w:style>
  <w:style w:type="numbering" w:styleId="111111">
    <w:name w:val="Outline List 2"/>
    <w:aliases w:val="1 / 1.1 / 1.1."/>
    <w:basedOn w:val="af4"/>
    <w:rsid w:val="00701EBB"/>
    <w:pPr>
      <w:numPr>
        <w:numId w:val="6"/>
      </w:numPr>
    </w:pPr>
  </w:style>
  <w:style w:type="character" w:customStyle="1" w:styleId="ConsNormal0">
    <w:name w:val="ConsNormal Знак"/>
    <w:link w:val="ConsNormal"/>
    <w:rsid w:val="00165D7F"/>
    <w:rPr>
      <w:rFonts w:ascii="Arial" w:eastAsia="Times New Roman" w:hAnsi="Arial" w:cs="Arial"/>
      <w:sz w:val="20"/>
      <w:szCs w:val="20"/>
      <w:lang w:eastAsia="ru-RU"/>
    </w:rPr>
  </w:style>
  <w:style w:type="paragraph" w:customStyle="1" w:styleId="4f0">
    <w:name w:val="Абзац списка4"/>
    <w:basedOn w:val="af1"/>
    <w:rsid w:val="000F558D"/>
    <w:pPr>
      <w:ind w:left="720"/>
      <w:contextualSpacing/>
    </w:pPr>
    <w:rPr>
      <w:rFonts w:eastAsia="Calibri"/>
    </w:rPr>
  </w:style>
  <w:style w:type="character" w:customStyle="1" w:styleId="2ff4">
    <w:name w:val="Знак Знак2"/>
    <w:locked/>
    <w:rsid w:val="000F558D"/>
    <w:rPr>
      <w:rFonts w:ascii="Arial Black" w:eastAsia="Calibri" w:hAnsi="Arial Black"/>
      <w:spacing w:val="-10"/>
      <w:kern w:val="28"/>
      <w:sz w:val="24"/>
      <w:szCs w:val="24"/>
      <w:lang w:val="ru-RU" w:eastAsia="en-US" w:bidi="ar-SA"/>
    </w:rPr>
  </w:style>
  <w:style w:type="paragraph" w:customStyle="1" w:styleId="a9">
    <w:name w:val="Терлецкой"/>
    <w:autoRedefine/>
    <w:qFormat/>
    <w:rsid w:val="000F558D"/>
    <w:pPr>
      <w:numPr>
        <w:numId w:val="16"/>
      </w:numPr>
      <w:spacing w:after="0"/>
      <w:contextualSpacing/>
      <w:jc w:val="both"/>
    </w:pPr>
    <w:rPr>
      <w:rFonts w:ascii="Times New Roman" w:eastAsia="Calibri" w:hAnsi="Times New Roman" w:cs="Times New Roman"/>
      <w:b/>
      <w:sz w:val="28"/>
      <w:szCs w:val="28"/>
    </w:rPr>
  </w:style>
  <w:style w:type="paragraph" w:customStyle="1" w:styleId="oaaeeoa">
    <w:name w:val="oaaeeoa"/>
    <w:basedOn w:val="af1"/>
    <w:rsid w:val="000F558D"/>
    <w:rPr>
      <w:szCs w:val="20"/>
    </w:rPr>
  </w:style>
  <w:style w:type="paragraph" w:customStyle="1" w:styleId="77">
    <w:name w:val="Без интервала7"/>
    <w:rsid w:val="000F558D"/>
    <w:pPr>
      <w:spacing w:after="0" w:line="240" w:lineRule="auto"/>
    </w:pPr>
    <w:rPr>
      <w:rFonts w:ascii="Calibri" w:eastAsia="Times New Roman" w:hAnsi="Calibri" w:cs="Times New Roman"/>
      <w:lang w:eastAsia="ru-RU"/>
    </w:rPr>
  </w:style>
  <w:style w:type="paragraph" w:customStyle="1" w:styleId="CharChar">
    <w:name w:val="Char Char"/>
    <w:basedOn w:val="af1"/>
    <w:rsid w:val="000F558D"/>
    <w:pPr>
      <w:autoSpaceDE w:val="0"/>
      <w:autoSpaceDN w:val="0"/>
      <w:spacing w:after="160" w:line="240" w:lineRule="exact"/>
    </w:pPr>
    <w:rPr>
      <w:rFonts w:ascii="Arial" w:eastAsia="MS Mincho" w:hAnsi="Arial" w:cs="Arial"/>
      <w:b/>
      <w:sz w:val="20"/>
      <w:szCs w:val="20"/>
      <w:lang w:val="en-US" w:eastAsia="de-DE"/>
    </w:rPr>
  </w:style>
  <w:style w:type="numbering" w:customStyle="1" w:styleId="a2">
    <w:name w:val="Мой"/>
    <w:rsid w:val="000F558D"/>
    <w:pPr>
      <w:numPr>
        <w:numId w:val="17"/>
      </w:numPr>
    </w:pPr>
  </w:style>
  <w:style w:type="table" w:customStyle="1" w:styleId="322">
    <w:name w:val="Сетка таблицы32"/>
    <w:basedOn w:val="af3"/>
    <w:next w:val="affa"/>
    <w:rsid w:val="00F5335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Сетка таблицы33"/>
    <w:basedOn w:val="af3"/>
    <w:next w:val="affa"/>
    <w:uiPriority w:val="59"/>
    <w:rsid w:val="00113F5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Сетка таблицы34"/>
    <w:basedOn w:val="af3"/>
    <w:next w:val="affa"/>
    <w:uiPriority w:val="59"/>
    <w:rsid w:val="00B621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етка таблицы35"/>
    <w:basedOn w:val="af3"/>
    <w:next w:val="affa"/>
    <w:uiPriority w:val="59"/>
    <w:rsid w:val="00B621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3">
    <w:name w:val="Основной текст 22"/>
    <w:basedOn w:val="af1"/>
    <w:rsid w:val="0026354A"/>
    <w:pPr>
      <w:framePr w:w="5691" w:h="3037" w:hSpace="181" w:wrap="auto" w:vAnchor="text" w:hAnchor="page" w:x="8988" w:y="-719"/>
      <w:pBdr>
        <w:left w:val="single" w:sz="6" w:space="1" w:color="auto"/>
        <w:bottom w:val="single" w:sz="6" w:space="1" w:color="auto"/>
      </w:pBdr>
    </w:pPr>
    <w:rPr>
      <w:szCs w:val="20"/>
    </w:rPr>
  </w:style>
  <w:style w:type="paragraph" w:customStyle="1" w:styleId="2ff5">
    <w:name w:val="Стиль2 Знак Знак Знак Знак Знак Знак Знак Знак Знак Знак Знак Знак Знак Знак Знак Знак Знак Знак Знак Знак"/>
    <w:rsid w:val="00475239"/>
    <w:pPr>
      <w:pBdr>
        <w:between w:val="single" w:sz="4" w:space="1" w:color="auto"/>
      </w:pBdr>
      <w:autoSpaceDE w:val="0"/>
      <w:autoSpaceDN w:val="0"/>
      <w:adjustRightInd w:val="0"/>
      <w:ind w:right="-850" w:firstLine="540"/>
      <w:jc w:val="both"/>
    </w:pPr>
    <w:rPr>
      <w:strike/>
      <w:sz w:val="28"/>
      <w:szCs w:val="28"/>
    </w:rPr>
  </w:style>
  <w:style w:type="character" w:customStyle="1" w:styleId="1fff6">
    <w:name w:val="Стиль1 Знак Знак"/>
    <w:rsid w:val="00475239"/>
    <w:rPr>
      <w:rFonts w:ascii="Arial" w:hAnsi="Arial" w:cs="Arial"/>
      <w:sz w:val="28"/>
      <w:szCs w:val="28"/>
      <w:lang w:val="ru-RU" w:eastAsia="ru-RU" w:bidi="ar-SA"/>
    </w:rPr>
  </w:style>
  <w:style w:type="character" w:customStyle="1" w:styleId="ConsPlusNormal2">
    <w:name w:val="ConsPlusNormal Знак Знак"/>
    <w:rsid w:val="00475239"/>
    <w:rPr>
      <w:rFonts w:ascii="Arial" w:hAnsi="Arial" w:cs="Arial"/>
      <w:lang w:val="ru-RU" w:eastAsia="ru-RU" w:bidi="ar-SA"/>
    </w:rPr>
  </w:style>
  <w:style w:type="character" w:customStyle="1" w:styleId="2ff6">
    <w:name w:val="Стиль2 Знак Знак Знак Знак Знак Знак Знак Знак Знак Знак Знак Знак Знак Знак Знак Знак Знак Знак Знак Знак Знак"/>
    <w:rsid w:val="00475239"/>
    <w:rPr>
      <w:rFonts w:ascii="Arial" w:hAnsi="Arial" w:cs="Arial"/>
      <w:strike/>
      <w:sz w:val="28"/>
      <w:szCs w:val="28"/>
      <w:lang w:val="ru-RU" w:eastAsia="ru-RU" w:bidi="ar-SA"/>
    </w:rPr>
  </w:style>
  <w:style w:type="paragraph" w:customStyle="1" w:styleId="87">
    <w:name w:val="Без интервала8"/>
    <w:uiPriority w:val="99"/>
    <w:qFormat/>
    <w:rsid w:val="007D6019"/>
    <w:pPr>
      <w:spacing w:after="0" w:line="240" w:lineRule="auto"/>
    </w:pPr>
    <w:rPr>
      <w:rFonts w:ascii="Calibri" w:eastAsia="Times New Roman" w:hAnsi="Calibri" w:cs="Calibri"/>
      <w:lang w:eastAsia="ru-RU"/>
    </w:rPr>
  </w:style>
  <w:style w:type="paragraph" w:customStyle="1" w:styleId="affffffffffb">
    <w:name w:val="Прижатый влево"/>
    <w:basedOn w:val="af1"/>
    <w:next w:val="af1"/>
    <w:uiPriority w:val="99"/>
    <w:rsid w:val="007D6019"/>
    <w:pPr>
      <w:autoSpaceDE w:val="0"/>
      <w:autoSpaceDN w:val="0"/>
      <w:adjustRightInd w:val="0"/>
    </w:pPr>
    <w:rPr>
      <w:rFonts w:ascii="Arial" w:hAnsi="Arial" w:cs="Arial"/>
    </w:rPr>
  </w:style>
  <w:style w:type="character" w:customStyle="1" w:styleId="doccaption">
    <w:name w:val="doccaption"/>
    <w:rsid w:val="007D6019"/>
  </w:style>
  <w:style w:type="numbering" w:customStyle="1" w:styleId="360">
    <w:name w:val="Нет списка36"/>
    <w:next w:val="af4"/>
    <w:uiPriority w:val="99"/>
    <w:semiHidden/>
    <w:unhideWhenUsed/>
    <w:rsid w:val="008200B8"/>
  </w:style>
  <w:style w:type="paragraph" w:customStyle="1" w:styleId="1fff7">
    <w:name w:val="Текст1"/>
    <w:basedOn w:val="af1"/>
    <w:rsid w:val="00D84AB1"/>
    <w:pPr>
      <w:suppressAutoHyphens/>
    </w:pPr>
    <w:rPr>
      <w:rFonts w:ascii="Courier New" w:hAnsi="Courier New" w:cs="Courier New"/>
      <w:sz w:val="20"/>
      <w:szCs w:val="20"/>
      <w:lang w:eastAsia="ar-SA"/>
    </w:rPr>
  </w:style>
  <w:style w:type="paragraph" w:customStyle="1" w:styleId="315">
    <w:name w:val="Основной текст с отступом 31"/>
    <w:basedOn w:val="af1"/>
    <w:rsid w:val="00D84AB1"/>
    <w:pPr>
      <w:suppressAutoHyphens/>
      <w:spacing w:after="120"/>
      <w:ind w:left="283"/>
    </w:pPr>
    <w:rPr>
      <w:sz w:val="16"/>
      <w:szCs w:val="16"/>
      <w:lang w:eastAsia="ar-SA"/>
    </w:rPr>
  </w:style>
  <w:style w:type="paragraph" w:customStyle="1" w:styleId="a7">
    <w:name w:val="Марк"/>
    <w:basedOn w:val="af1"/>
    <w:rsid w:val="00D84AB1"/>
    <w:pPr>
      <w:numPr>
        <w:ilvl w:val="1"/>
        <w:numId w:val="18"/>
      </w:numPr>
      <w:spacing w:line="360" w:lineRule="auto"/>
      <w:jc w:val="both"/>
    </w:pPr>
    <w:rPr>
      <w:lang w:eastAsia="en-US"/>
    </w:rPr>
  </w:style>
  <w:style w:type="paragraph" w:customStyle="1" w:styleId="affffffffffc">
    <w:name w:val="Текст (справка)"/>
    <w:basedOn w:val="af1"/>
    <w:next w:val="af1"/>
    <w:uiPriority w:val="99"/>
    <w:rsid w:val="00D84AB1"/>
    <w:pPr>
      <w:autoSpaceDE w:val="0"/>
      <w:autoSpaceDN w:val="0"/>
      <w:adjustRightInd w:val="0"/>
      <w:ind w:left="170" w:right="170"/>
    </w:pPr>
    <w:rPr>
      <w:rFonts w:ascii="Arial" w:eastAsia="Calibri" w:hAnsi="Arial" w:cs="Arial"/>
      <w:sz w:val="20"/>
      <w:szCs w:val="20"/>
      <w:lang w:eastAsia="en-US"/>
    </w:rPr>
  </w:style>
  <w:style w:type="paragraph" w:customStyle="1" w:styleId="2ff7">
    <w:name w:val="Текст2"/>
    <w:basedOn w:val="af1"/>
    <w:rsid w:val="00D84AB1"/>
    <w:pPr>
      <w:widowControl w:val="0"/>
      <w:overflowPunct w:val="0"/>
      <w:autoSpaceDE w:val="0"/>
      <w:autoSpaceDN w:val="0"/>
      <w:adjustRightInd w:val="0"/>
      <w:ind w:firstLine="709"/>
      <w:jc w:val="both"/>
      <w:textAlignment w:val="baseline"/>
    </w:pPr>
    <w:rPr>
      <w:rFonts w:ascii="Courier New" w:hAnsi="Courier New"/>
      <w:sz w:val="20"/>
      <w:szCs w:val="20"/>
    </w:rPr>
  </w:style>
  <w:style w:type="paragraph" w:customStyle="1" w:styleId="affffffffffd">
    <w:name w:val="Основное меню (преемственное)"/>
    <w:basedOn w:val="af1"/>
    <w:next w:val="af1"/>
    <w:uiPriority w:val="99"/>
    <w:rsid w:val="00D84AB1"/>
    <w:pPr>
      <w:autoSpaceDE w:val="0"/>
      <w:autoSpaceDN w:val="0"/>
      <w:adjustRightInd w:val="0"/>
      <w:jc w:val="both"/>
    </w:pPr>
    <w:rPr>
      <w:rFonts w:ascii="Verdana" w:eastAsia="Calibri" w:hAnsi="Verdana" w:cs="Verdana"/>
    </w:rPr>
  </w:style>
  <w:style w:type="paragraph" w:customStyle="1" w:styleId="affffffffffe">
    <w:name w:val="Нормальный (таблица)"/>
    <w:basedOn w:val="af1"/>
    <w:next w:val="af1"/>
    <w:uiPriority w:val="99"/>
    <w:rsid w:val="00D84AB1"/>
    <w:pPr>
      <w:autoSpaceDE w:val="0"/>
      <w:autoSpaceDN w:val="0"/>
      <w:adjustRightInd w:val="0"/>
      <w:jc w:val="both"/>
    </w:pPr>
    <w:rPr>
      <w:rFonts w:ascii="Arial" w:eastAsia="Calibri" w:hAnsi="Arial" w:cs="Arial"/>
    </w:rPr>
  </w:style>
  <w:style w:type="paragraph" w:customStyle="1" w:styleId="afffffffffff">
    <w:name w:val="Заголовок статьи"/>
    <w:basedOn w:val="af1"/>
    <w:next w:val="af1"/>
    <w:uiPriority w:val="99"/>
    <w:rsid w:val="00D84AB1"/>
    <w:pPr>
      <w:autoSpaceDE w:val="0"/>
      <w:autoSpaceDN w:val="0"/>
      <w:adjustRightInd w:val="0"/>
      <w:ind w:left="1612" w:hanging="892"/>
      <w:jc w:val="both"/>
    </w:pPr>
    <w:rPr>
      <w:rFonts w:ascii="Arial" w:eastAsia="Calibri" w:hAnsi="Arial" w:cs="Arial"/>
    </w:rPr>
  </w:style>
  <w:style w:type="paragraph" w:customStyle="1" w:styleId="afffffffffff0">
    <w:name w:val="Заголовок ЭР (правое окно)"/>
    <w:basedOn w:val="af1"/>
    <w:next w:val="af1"/>
    <w:uiPriority w:val="99"/>
    <w:rsid w:val="00D84AB1"/>
    <w:pPr>
      <w:autoSpaceDE w:val="0"/>
      <w:autoSpaceDN w:val="0"/>
      <w:adjustRightInd w:val="0"/>
    </w:pPr>
    <w:rPr>
      <w:rFonts w:ascii="Arial" w:eastAsia="Calibri" w:hAnsi="Arial" w:cs="Arial"/>
    </w:rPr>
  </w:style>
  <w:style w:type="numbering" w:customStyle="1" w:styleId="370">
    <w:name w:val="Нет списка37"/>
    <w:next w:val="af4"/>
    <w:uiPriority w:val="99"/>
    <w:semiHidden/>
    <w:unhideWhenUsed/>
    <w:rsid w:val="00546B5E"/>
  </w:style>
  <w:style w:type="table" w:customStyle="1" w:styleId="1101">
    <w:name w:val="Сетка таблицы110"/>
    <w:basedOn w:val="af3"/>
    <w:next w:val="affa"/>
    <w:uiPriority w:val="59"/>
    <w:rsid w:val="00546B5E"/>
    <w:pPr>
      <w:spacing w:after="0" w:line="240" w:lineRule="auto"/>
    </w:pPr>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1">
    <w:name w:val="Сетка таблицы36"/>
    <w:basedOn w:val="af3"/>
    <w:next w:val="affa"/>
    <w:uiPriority w:val="59"/>
    <w:rsid w:val="00546B5E"/>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0">
    <w:name w:val="default"/>
    <w:basedOn w:val="af1"/>
    <w:rsid w:val="00546B5E"/>
    <w:pPr>
      <w:spacing w:before="100" w:beforeAutospacing="1" w:after="100" w:afterAutospacing="1"/>
    </w:pPr>
  </w:style>
  <w:style w:type="table" w:customStyle="1" w:styleId="2100">
    <w:name w:val="Сетка таблицы210"/>
    <w:basedOn w:val="af3"/>
    <w:next w:val="affa"/>
    <w:rsid w:val="00546B5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f2"/>
    <w:rsid w:val="00546B5E"/>
    <w:rPr>
      <w:rFonts w:ascii="TimesNewRomanPS-BoldMT" w:hAnsi="TimesNewRomanPS-BoldMT" w:hint="default"/>
      <w:b/>
      <w:bCs/>
      <w:i w:val="0"/>
      <w:iCs w:val="0"/>
      <w:color w:val="000000"/>
      <w:sz w:val="52"/>
      <w:szCs w:val="52"/>
    </w:rPr>
  </w:style>
  <w:style w:type="numbering" w:customStyle="1" w:styleId="380">
    <w:name w:val="Нет списка38"/>
    <w:next w:val="af4"/>
    <w:uiPriority w:val="99"/>
    <w:semiHidden/>
    <w:unhideWhenUsed/>
    <w:rsid w:val="006D5FB0"/>
  </w:style>
  <w:style w:type="table" w:customStyle="1" w:styleId="373">
    <w:name w:val="Сетка таблицы37"/>
    <w:basedOn w:val="af3"/>
    <w:next w:val="affa"/>
    <w:rsid w:val="006D5FB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uiPriority w:val="99"/>
    <w:rsid w:val="006D5F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uiPriority w:val="99"/>
    <w:rsid w:val="006D5F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1">
    <w:name w:val="Сетка таблицы38"/>
    <w:uiPriority w:val="99"/>
    <w:rsid w:val="006D5F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uiPriority w:val="99"/>
    <w:rsid w:val="006D5F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uiPriority w:val="99"/>
    <w:rsid w:val="006D5F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67">
    <w:name w:val="xl167"/>
    <w:basedOn w:val="af1"/>
    <w:uiPriority w:val="99"/>
    <w:rsid w:val="006D5FB0"/>
    <w:pPr>
      <w:pBdr>
        <w:left w:val="single" w:sz="8" w:space="0" w:color="auto"/>
        <w:bottom w:val="single" w:sz="8" w:space="0" w:color="auto"/>
        <w:right w:val="single" w:sz="8" w:space="0" w:color="auto"/>
      </w:pBdr>
      <w:spacing w:before="100" w:beforeAutospacing="1" w:after="100" w:afterAutospacing="1"/>
      <w:jc w:val="center"/>
      <w:textAlignment w:val="top"/>
    </w:pPr>
    <w:rPr>
      <w:sz w:val="18"/>
      <w:szCs w:val="18"/>
    </w:rPr>
  </w:style>
  <w:style w:type="paragraph" w:customStyle="1" w:styleId="xl168">
    <w:name w:val="xl168"/>
    <w:basedOn w:val="af1"/>
    <w:uiPriority w:val="99"/>
    <w:rsid w:val="006D5FB0"/>
    <w:pPr>
      <w:pBdr>
        <w:top w:val="single" w:sz="8" w:space="0" w:color="auto"/>
        <w:left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69">
    <w:name w:val="xl169"/>
    <w:basedOn w:val="af1"/>
    <w:uiPriority w:val="99"/>
    <w:rsid w:val="006D5FB0"/>
    <w:pPr>
      <w:pBdr>
        <w:left w:val="single" w:sz="8" w:space="0" w:color="auto"/>
        <w:bottom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70">
    <w:name w:val="xl170"/>
    <w:basedOn w:val="af1"/>
    <w:uiPriority w:val="99"/>
    <w:rsid w:val="006D5FB0"/>
    <w:pPr>
      <w:pBdr>
        <w:top w:val="single" w:sz="8" w:space="0" w:color="auto"/>
        <w:lef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71">
    <w:name w:val="xl171"/>
    <w:basedOn w:val="af1"/>
    <w:uiPriority w:val="99"/>
    <w:rsid w:val="006D5FB0"/>
    <w:pPr>
      <w:pBdr>
        <w:top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72">
    <w:name w:val="xl172"/>
    <w:basedOn w:val="af1"/>
    <w:uiPriority w:val="99"/>
    <w:rsid w:val="006D5FB0"/>
    <w:pPr>
      <w:pBdr>
        <w:left w:val="single" w:sz="8" w:space="0" w:color="auto"/>
        <w:bottom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73">
    <w:name w:val="xl173"/>
    <w:basedOn w:val="af1"/>
    <w:uiPriority w:val="99"/>
    <w:rsid w:val="006D5FB0"/>
    <w:pPr>
      <w:pBdr>
        <w:bottom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74">
    <w:name w:val="xl174"/>
    <w:basedOn w:val="af1"/>
    <w:uiPriority w:val="99"/>
    <w:rsid w:val="006D5FB0"/>
    <w:pPr>
      <w:pBdr>
        <w:top w:val="single" w:sz="8" w:space="0" w:color="auto"/>
        <w:left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75">
    <w:name w:val="xl175"/>
    <w:basedOn w:val="af1"/>
    <w:uiPriority w:val="99"/>
    <w:rsid w:val="006D5FB0"/>
    <w:pPr>
      <w:pBdr>
        <w:left w:val="single" w:sz="8" w:space="0" w:color="auto"/>
        <w:bottom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76">
    <w:name w:val="xl176"/>
    <w:basedOn w:val="af1"/>
    <w:uiPriority w:val="99"/>
    <w:rsid w:val="006D5FB0"/>
    <w:pPr>
      <w:pBdr>
        <w:top w:val="single" w:sz="8" w:space="0" w:color="auto"/>
        <w:lef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77">
    <w:name w:val="xl177"/>
    <w:basedOn w:val="af1"/>
    <w:uiPriority w:val="99"/>
    <w:rsid w:val="006D5FB0"/>
    <w:pPr>
      <w:pBdr>
        <w:top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78">
    <w:name w:val="xl178"/>
    <w:basedOn w:val="af1"/>
    <w:uiPriority w:val="99"/>
    <w:rsid w:val="006D5FB0"/>
    <w:pPr>
      <w:pBdr>
        <w:left w:val="single" w:sz="8" w:space="0" w:color="auto"/>
        <w:bottom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79">
    <w:name w:val="xl179"/>
    <w:basedOn w:val="af1"/>
    <w:uiPriority w:val="99"/>
    <w:rsid w:val="006D5FB0"/>
    <w:pPr>
      <w:pBdr>
        <w:bottom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80">
    <w:name w:val="xl180"/>
    <w:basedOn w:val="af1"/>
    <w:uiPriority w:val="99"/>
    <w:rsid w:val="006D5FB0"/>
    <w:pPr>
      <w:pBdr>
        <w:left w:val="single" w:sz="8" w:space="0" w:color="auto"/>
        <w:bottom w:val="single" w:sz="8" w:space="0" w:color="auto"/>
        <w:right w:val="single" w:sz="8" w:space="0" w:color="auto"/>
      </w:pBdr>
      <w:spacing w:before="100" w:beforeAutospacing="1" w:after="100" w:afterAutospacing="1"/>
      <w:jc w:val="center"/>
      <w:textAlignment w:val="top"/>
    </w:pPr>
    <w:rPr>
      <w:rFonts w:ascii="Courier New" w:hAnsi="Courier New" w:cs="Courier New"/>
      <w:b/>
      <w:bCs/>
      <w:sz w:val="18"/>
      <w:szCs w:val="18"/>
    </w:rPr>
  </w:style>
  <w:style w:type="paragraph" w:customStyle="1" w:styleId="xl181">
    <w:name w:val="xl181"/>
    <w:basedOn w:val="af1"/>
    <w:uiPriority w:val="99"/>
    <w:rsid w:val="006D5FB0"/>
    <w:pPr>
      <w:pBdr>
        <w:top w:val="single" w:sz="8" w:space="0" w:color="auto"/>
        <w:left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82">
    <w:name w:val="xl182"/>
    <w:basedOn w:val="af1"/>
    <w:uiPriority w:val="99"/>
    <w:rsid w:val="006D5FB0"/>
    <w:pPr>
      <w:pBdr>
        <w:left w:val="single" w:sz="8" w:space="0" w:color="auto"/>
        <w:bottom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83">
    <w:name w:val="xl183"/>
    <w:basedOn w:val="af1"/>
    <w:uiPriority w:val="99"/>
    <w:rsid w:val="006D5FB0"/>
    <w:pPr>
      <w:pBdr>
        <w:top w:val="single" w:sz="8" w:space="0" w:color="auto"/>
        <w:right w:val="single" w:sz="8" w:space="0" w:color="auto"/>
      </w:pBdr>
      <w:spacing w:before="100" w:beforeAutospacing="1" w:after="100" w:afterAutospacing="1"/>
      <w:jc w:val="center"/>
      <w:textAlignment w:val="top"/>
    </w:pPr>
    <w:rPr>
      <w:rFonts w:ascii="Courier New" w:hAnsi="Courier New" w:cs="Courier New"/>
      <w:b/>
      <w:bCs/>
      <w:sz w:val="18"/>
      <w:szCs w:val="18"/>
    </w:rPr>
  </w:style>
  <w:style w:type="paragraph" w:customStyle="1" w:styleId="xl184">
    <w:name w:val="xl184"/>
    <w:basedOn w:val="af1"/>
    <w:uiPriority w:val="99"/>
    <w:rsid w:val="006D5FB0"/>
    <w:pPr>
      <w:pBdr>
        <w:left w:val="single" w:sz="8" w:space="0" w:color="auto"/>
        <w:bottom w:val="single" w:sz="8" w:space="0" w:color="auto"/>
      </w:pBdr>
      <w:spacing w:before="100" w:beforeAutospacing="1" w:after="100" w:afterAutospacing="1"/>
      <w:jc w:val="center"/>
      <w:textAlignment w:val="top"/>
    </w:pPr>
    <w:rPr>
      <w:rFonts w:ascii="Courier New" w:hAnsi="Courier New" w:cs="Courier New"/>
      <w:b/>
      <w:bCs/>
      <w:sz w:val="18"/>
      <w:szCs w:val="18"/>
    </w:rPr>
  </w:style>
  <w:style w:type="paragraph" w:customStyle="1" w:styleId="xl185">
    <w:name w:val="xl185"/>
    <w:basedOn w:val="af1"/>
    <w:uiPriority w:val="99"/>
    <w:rsid w:val="006D5FB0"/>
    <w:pPr>
      <w:pBdr>
        <w:bottom w:val="single" w:sz="8" w:space="0" w:color="auto"/>
        <w:right w:val="single" w:sz="8" w:space="0" w:color="auto"/>
      </w:pBdr>
      <w:spacing w:before="100" w:beforeAutospacing="1" w:after="100" w:afterAutospacing="1"/>
      <w:jc w:val="center"/>
      <w:textAlignment w:val="top"/>
    </w:pPr>
    <w:rPr>
      <w:rFonts w:ascii="Courier New" w:hAnsi="Courier New" w:cs="Courier New"/>
      <w:b/>
      <w:bCs/>
      <w:sz w:val="18"/>
      <w:szCs w:val="18"/>
    </w:rPr>
  </w:style>
  <w:style w:type="paragraph" w:customStyle="1" w:styleId="xl186">
    <w:name w:val="xl186"/>
    <w:basedOn w:val="af1"/>
    <w:uiPriority w:val="99"/>
    <w:rsid w:val="006D5FB0"/>
    <w:pPr>
      <w:spacing w:before="100" w:beforeAutospacing="1" w:after="100" w:afterAutospacing="1"/>
      <w:jc w:val="center"/>
    </w:pPr>
    <w:rPr>
      <w:b/>
      <w:bCs/>
    </w:rPr>
  </w:style>
  <w:style w:type="paragraph" w:customStyle="1" w:styleId="xl187">
    <w:name w:val="xl187"/>
    <w:basedOn w:val="af1"/>
    <w:uiPriority w:val="99"/>
    <w:rsid w:val="006D5FB0"/>
    <w:pPr>
      <w:pBdr>
        <w:top w:val="single" w:sz="8" w:space="0" w:color="auto"/>
        <w:left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88">
    <w:name w:val="xl188"/>
    <w:basedOn w:val="af1"/>
    <w:uiPriority w:val="99"/>
    <w:rsid w:val="006D5FB0"/>
    <w:pPr>
      <w:pBdr>
        <w:left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89">
    <w:name w:val="xl189"/>
    <w:basedOn w:val="af1"/>
    <w:uiPriority w:val="99"/>
    <w:rsid w:val="006D5FB0"/>
    <w:pPr>
      <w:pBdr>
        <w:left w:val="single" w:sz="8" w:space="0" w:color="auto"/>
        <w:bottom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Style15">
    <w:name w:val="Style15"/>
    <w:basedOn w:val="af1"/>
    <w:rsid w:val="00187DBD"/>
    <w:pPr>
      <w:widowControl w:val="0"/>
      <w:autoSpaceDE w:val="0"/>
      <w:autoSpaceDN w:val="0"/>
      <w:adjustRightInd w:val="0"/>
      <w:spacing w:line="274" w:lineRule="exact"/>
    </w:pPr>
  </w:style>
  <w:style w:type="character" w:customStyle="1" w:styleId="FontStyle46">
    <w:name w:val="Font Style46"/>
    <w:rsid w:val="00187DBD"/>
    <w:rPr>
      <w:rFonts w:ascii="Times New Roman" w:hAnsi="Times New Roman" w:cs="Times New Roman"/>
      <w:b/>
      <w:bCs/>
      <w:sz w:val="22"/>
      <w:szCs w:val="22"/>
    </w:rPr>
  </w:style>
  <w:style w:type="numbering" w:customStyle="1" w:styleId="3">
    <w:name w:val="Стиль3"/>
    <w:uiPriority w:val="99"/>
    <w:rsid w:val="00A43158"/>
    <w:pPr>
      <w:numPr>
        <w:numId w:val="19"/>
      </w:numPr>
    </w:pPr>
  </w:style>
  <w:style w:type="paragraph" w:customStyle="1" w:styleId="5c">
    <w:name w:val="Обычный5"/>
    <w:rsid w:val="00EB2CF7"/>
    <w:pPr>
      <w:spacing w:after="0" w:line="240" w:lineRule="auto"/>
      <w:jc w:val="both"/>
    </w:pPr>
    <w:rPr>
      <w:rFonts w:ascii="Times New Roman" w:eastAsia="Times New Roman" w:hAnsi="Times New Roman" w:cs="Times New Roman"/>
      <w:sz w:val="28"/>
      <w:szCs w:val="20"/>
      <w:lang w:eastAsia="ru-RU"/>
    </w:rPr>
  </w:style>
  <w:style w:type="paragraph" w:customStyle="1" w:styleId="3f9">
    <w:name w:val="Название3"/>
    <w:basedOn w:val="5c"/>
    <w:rsid w:val="00EB2CF7"/>
    <w:pPr>
      <w:jc w:val="center"/>
    </w:pPr>
    <w:rPr>
      <w:rFonts w:ascii="Arial" w:hAnsi="Arial"/>
      <w:sz w:val="24"/>
    </w:rPr>
  </w:style>
  <w:style w:type="paragraph" w:customStyle="1" w:styleId="232">
    <w:name w:val="Заголовок 23"/>
    <w:basedOn w:val="5c"/>
    <w:next w:val="5c"/>
    <w:rsid w:val="00EB2CF7"/>
    <w:pPr>
      <w:keepNext/>
      <w:jc w:val="center"/>
      <w:outlineLvl w:val="1"/>
    </w:pPr>
    <w:rPr>
      <w:rFonts w:ascii="Arial" w:hAnsi="Arial"/>
      <w:sz w:val="24"/>
    </w:rPr>
  </w:style>
  <w:style w:type="paragraph" w:customStyle="1" w:styleId="332">
    <w:name w:val="Основной текст 33"/>
    <w:basedOn w:val="5c"/>
    <w:rsid w:val="00EB2CF7"/>
    <w:pPr>
      <w:jc w:val="left"/>
    </w:pPr>
    <w:rPr>
      <w:rFonts w:ascii="Arial" w:hAnsi="Arial"/>
      <w:color w:val="FF0000"/>
    </w:rPr>
  </w:style>
  <w:style w:type="table" w:customStyle="1" w:styleId="390">
    <w:name w:val="Сетка таблицы39"/>
    <w:basedOn w:val="af3"/>
    <w:next w:val="affa"/>
    <w:rsid w:val="0091114B"/>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91">
    <w:name w:val="Нет списка39"/>
    <w:next w:val="af4"/>
    <w:uiPriority w:val="99"/>
    <w:semiHidden/>
    <w:unhideWhenUsed/>
    <w:rsid w:val="00047DA7"/>
  </w:style>
  <w:style w:type="numbering" w:customStyle="1" w:styleId="1121">
    <w:name w:val="Нет списка112"/>
    <w:next w:val="af4"/>
    <w:uiPriority w:val="99"/>
    <w:semiHidden/>
    <w:unhideWhenUsed/>
    <w:rsid w:val="00047DA7"/>
  </w:style>
  <w:style w:type="paragraph" w:customStyle="1" w:styleId="96">
    <w:name w:val="Без интервала9"/>
    <w:rsid w:val="003842B0"/>
    <w:pPr>
      <w:widowControl w:val="0"/>
      <w:suppressAutoHyphens/>
    </w:pPr>
    <w:rPr>
      <w:rFonts w:ascii="Calibri" w:eastAsia="DejaVu Sans" w:hAnsi="Calibri" w:cs="Times New Roman"/>
      <w:kern w:val="2"/>
      <w:lang w:eastAsia="ar-SA"/>
    </w:rPr>
  </w:style>
  <w:style w:type="numbering" w:customStyle="1" w:styleId="400">
    <w:name w:val="Нет списка40"/>
    <w:next w:val="af4"/>
    <w:uiPriority w:val="99"/>
    <w:semiHidden/>
    <w:unhideWhenUsed/>
    <w:rsid w:val="00404988"/>
  </w:style>
  <w:style w:type="table" w:customStyle="1" w:styleId="401">
    <w:name w:val="Сетка таблицы40"/>
    <w:basedOn w:val="af3"/>
    <w:next w:val="affa"/>
    <w:rsid w:val="004049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rsid w:val="001D36CE"/>
    <w:rPr>
      <w:color w:val="0000FF"/>
      <w:u w:val="single"/>
    </w:rPr>
  </w:style>
  <w:style w:type="character" w:customStyle="1" w:styleId="StrongEmphasis">
    <w:name w:val="Strong Emphasis"/>
    <w:qFormat/>
    <w:rsid w:val="001D36CE"/>
    <w:rPr>
      <w:b/>
      <w:bCs/>
    </w:rPr>
  </w:style>
  <w:style w:type="paragraph" w:customStyle="1" w:styleId="116">
    <w:name w:val="Заголовок 11"/>
    <w:basedOn w:val="af1"/>
    <w:next w:val="af1"/>
    <w:uiPriority w:val="1"/>
    <w:qFormat/>
    <w:rsid w:val="000B130A"/>
    <w:pPr>
      <w:widowControl w:val="0"/>
      <w:autoSpaceDE w:val="0"/>
      <w:autoSpaceDN w:val="0"/>
      <w:adjustRightInd w:val="0"/>
      <w:spacing w:before="108" w:after="108"/>
      <w:jc w:val="center"/>
      <w:outlineLvl w:val="0"/>
    </w:pPr>
    <w:rPr>
      <w:rFonts w:ascii="Times New Roman CYR" w:hAnsi="Times New Roman CYR" w:cs="Times New Roman CYR"/>
      <w:b/>
      <w:bCs/>
      <w:color w:val="26282F"/>
    </w:rPr>
  </w:style>
  <w:style w:type="paragraph" w:customStyle="1" w:styleId="TableParagraph">
    <w:name w:val="Table Paragraph"/>
    <w:basedOn w:val="af1"/>
    <w:uiPriority w:val="1"/>
    <w:qFormat/>
    <w:rsid w:val="000B130A"/>
    <w:pPr>
      <w:widowControl w:val="0"/>
    </w:pPr>
    <w:rPr>
      <w:rFonts w:asciiTheme="minorHAnsi" w:eastAsiaTheme="minorHAnsi" w:hAnsiTheme="minorHAnsi" w:cstheme="minorBidi"/>
      <w:sz w:val="22"/>
      <w:szCs w:val="22"/>
      <w:lang w:val="en-US" w:eastAsia="en-US"/>
    </w:rPr>
  </w:style>
  <w:style w:type="character" w:customStyle="1" w:styleId="117">
    <w:name w:val="Заголовок 1 Знак1"/>
    <w:basedOn w:val="af2"/>
    <w:uiPriority w:val="9"/>
    <w:rsid w:val="000B130A"/>
    <w:rPr>
      <w:rFonts w:asciiTheme="majorHAnsi" w:eastAsiaTheme="majorEastAsia" w:hAnsiTheme="majorHAnsi" w:cstheme="majorBidi"/>
      <w:color w:val="365F91" w:themeColor="accent1" w:themeShade="BF"/>
      <w:sz w:val="32"/>
      <w:szCs w:val="32"/>
    </w:rPr>
  </w:style>
  <w:style w:type="paragraph" w:customStyle="1" w:styleId="2111">
    <w:name w:val="Основной текст 211"/>
    <w:basedOn w:val="af1"/>
    <w:rsid w:val="00422DE1"/>
    <w:pPr>
      <w:overflowPunct w:val="0"/>
      <w:autoSpaceDE w:val="0"/>
      <w:autoSpaceDN w:val="0"/>
      <w:adjustRightInd w:val="0"/>
      <w:ind w:firstLine="709"/>
      <w:jc w:val="both"/>
    </w:pPr>
    <w:rPr>
      <w:szCs w:val="20"/>
    </w:rPr>
  </w:style>
  <w:style w:type="character" w:customStyle="1" w:styleId="2ff8">
    <w:name w:val="Подпись к таблице (2)_"/>
    <w:link w:val="2ff9"/>
    <w:uiPriority w:val="99"/>
    <w:locked/>
    <w:rsid w:val="00422DE1"/>
    <w:rPr>
      <w:rFonts w:ascii="Times New Roman" w:hAnsi="Times New Roman" w:cs="Times New Roman"/>
      <w:sz w:val="28"/>
      <w:szCs w:val="28"/>
      <w:shd w:val="clear" w:color="auto" w:fill="FFFFFF"/>
    </w:rPr>
  </w:style>
  <w:style w:type="paragraph" w:customStyle="1" w:styleId="2ff9">
    <w:name w:val="Подпись к таблице (2)"/>
    <w:basedOn w:val="af1"/>
    <w:link w:val="2ff8"/>
    <w:rsid w:val="00422DE1"/>
    <w:pPr>
      <w:widowControl w:val="0"/>
      <w:shd w:val="clear" w:color="auto" w:fill="FFFFFF"/>
      <w:spacing w:line="317" w:lineRule="exact"/>
      <w:jc w:val="right"/>
    </w:pPr>
    <w:rPr>
      <w:rFonts w:eastAsiaTheme="minorHAnsi"/>
      <w:sz w:val="28"/>
      <w:szCs w:val="28"/>
      <w:lang w:eastAsia="en-US"/>
    </w:rPr>
  </w:style>
  <w:style w:type="character" w:customStyle="1" w:styleId="2105pt">
    <w:name w:val="Основной текст (2) + 10;5 pt"/>
    <w:rsid w:val="00422DE1"/>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2105pt1pt">
    <w:name w:val="Основной текст (2) + 10;5 pt;Интервал 1 pt"/>
    <w:rsid w:val="00422DE1"/>
    <w:rPr>
      <w:rFonts w:ascii="Times New Roman" w:eastAsia="Times New Roman" w:hAnsi="Times New Roman" w:cs="Times New Roman"/>
      <w:b w:val="0"/>
      <w:bCs w:val="0"/>
      <w:i w:val="0"/>
      <w:iCs w:val="0"/>
      <w:smallCaps w:val="0"/>
      <w:strike w:val="0"/>
      <w:color w:val="000000"/>
      <w:spacing w:val="20"/>
      <w:w w:val="100"/>
      <w:position w:val="0"/>
      <w:sz w:val="21"/>
      <w:szCs w:val="21"/>
      <w:u w:val="none"/>
      <w:shd w:val="clear" w:color="auto" w:fill="FFFFFF"/>
      <w:lang w:val="ru-RU" w:eastAsia="ru-RU" w:bidi="ru-RU"/>
    </w:rPr>
  </w:style>
  <w:style w:type="character" w:customStyle="1" w:styleId="69">
    <w:name w:val="Колонтитул (6)_"/>
    <w:link w:val="6a"/>
    <w:rsid w:val="00422DE1"/>
    <w:rPr>
      <w:rFonts w:ascii="Times New Roman" w:hAnsi="Times New Roman"/>
      <w:b/>
      <w:bCs/>
      <w:i/>
      <w:iCs/>
      <w:sz w:val="28"/>
      <w:szCs w:val="28"/>
      <w:shd w:val="clear" w:color="auto" w:fill="FFFFFF"/>
    </w:rPr>
  </w:style>
  <w:style w:type="paragraph" w:customStyle="1" w:styleId="6a">
    <w:name w:val="Колонтитул (6)"/>
    <w:basedOn w:val="af1"/>
    <w:link w:val="69"/>
    <w:rsid w:val="00422DE1"/>
    <w:pPr>
      <w:widowControl w:val="0"/>
      <w:shd w:val="clear" w:color="auto" w:fill="FFFFFF"/>
      <w:spacing w:line="0" w:lineRule="atLeast"/>
      <w:jc w:val="center"/>
    </w:pPr>
    <w:rPr>
      <w:rFonts w:eastAsiaTheme="minorHAnsi" w:cstheme="minorBidi"/>
      <w:b/>
      <w:bCs/>
      <w:i/>
      <w:iCs/>
      <w:sz w:val="28"/>
      <w:szCs w:val="28"/>
      <w:lang w:eastAsia="en-US"/>
    </w:rPr>
  </w:style>
  <w:style w:type="character" w:customStyle="1" w:styleId="11pt">
    <w:name w:val="Колонтитул + 11 pt"/>
    <w:rsid w:val="00422DE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p14">
    <w:name w:val="p14"/>
    <w:basedOn w:val="af1"/>
    <w:rsid w:val="009A574F"/>
    <w:pPr>
      <w:spacing w:before="100" w:beforeAutospacing="1" w:after="100" w:afterAutospacing="1"/>
    </w:pPr>
  </w:style>
  <w:style w:type="paragraph" w:customStyle="1" w:styleId="empty">
    <w:name w:val="empty"/>
    <w:basedOn w:val="af1"/>
    <w:rsid w:val="009A574F"/>
    <w:pPr>
      <w:spacing w:before="100" w:beforeAutospacing="1" w:after="100" w:afterAutospacing="1"/>
    </w:pPr>
  </w:style>
  <w:style w:type="paragraph" w:customStyle="1" w:styleId="s30">
    <w:name w:val="s_3"/>
    <w:basedOn w:val="af1"/>
    <w:rsid w:val="009A574F"/>
    <w:pPr>
      <w:spacing w:before="100" w:beforeAutospacing="1" w:after="100" w:afterAutospacing="1"/>
    </w:pPr>
  </w:style>
  <w:style w:type="paragraph" w:customStyle="1" w:styleId="s16">
    <w:name w:val="s_16"/>
    <w:basedOn w:val="af1"/>
    <w:rsid w:val="009A574F"/>
    <w:pPr>
      <w:spacing w:before="100" w:beforeAutospacing="1" w:after="100" w:afterAutospacing="1"/>
    </w:pPr>
  </w:style>
  <w:style w:type="character" w:customStyle="1" w:styleId="highlightsearch">
    <w:name w:val="highlightsearch"/>
    <w:rsid w:val="009A574F"/>
  </w:style>
  <w:style w:type="paragraph" w:customStyle="1" w:styleId="afffffffffff1">
    <w:name w:val="Комментарий"/>
    <w:basedOn w:val="affffffffffc"/>
    <w:next w:val="af1"/>
    <w:uiPriority w:val="99"/>
    <w:rsid w:val="009A574F"/>
    <w:pPr>
      <w:widowControl w:val="0"/>
      <w:spacing w:before="75"/>
      <w:ind w:right="0"/>
      <w:jc w:val="both"/>
    </w:pPr>
    <w:rPr>
      <w:rFonts w:ascii="Times New Roman CYR" w:eastAsia="Times New Roman" w:hAnsi="Times New Roman CYR" w:cs="Times New Roman CYR"/>
      <w:color w:val="353842"/>
      <w:sz w:val="24"/>
      <w:szCs w:val="24"/>
      <w:lang w:eastAsia="ru-RU"/>
    </w:rPr>
  </w:style>
  <w:style w:type="paragraph" w:customStyle="1" w:styleId="afffffffffff2">
    <w:name w:val="Информация о версии"/>
    <w:basedOn w:val="afffffffffff1"/>
    <w:next w:val="af1"/>
    <w:uiPriority w:val="99"/>
    <w:rsid w:val="009A574F"/>
    <w:rPr>
      <w:i/>
      <w:iCs/>
    </w:rPr>
  </w:style>
  <w:style w:type="paragraph" w:customStyle="1" w:styleId="afffffffffff3">
    <w:name w:val="Текст информации об изменениях"/>
    <w:basedOn w:val="af1"/>
    <w:next w:val="af1"/>
    <w:uiPriority w:val="99"/>
    <w:rsid w:val="009A574F"/>
    <w:pPr>
      <w:widowControl w:val="0"/>
      <w:autoSpaceDE w:val="0"/>
      <w:autoSpaceDN w:val="0"/>
      <w:adjustRightInd w:val="0"/>
      <w:ind w:firstLine="720"/>
      <w:jc w:val="both"/>
    </w:pPr>
    <w:rPr>
      <w:rFonts w:ascii="Times New Roman CYR" w:hAnsi="Times New Roman CYR" w:cs="Times New Roman CYR"/>
      <w:color w:val="353842"/>
      <w:sz w:val="20"/>
      <w:szCs w:val="20"/>
    </w:rPr>
  </w:style>
  <w:style w:type="paragraph" w:customStyle="1" w:styleId="afffffffffff4">
    <w:name w:val="Информация об изменениях"/>
    <w:basedOn w:val="afffffffffff3"/>
    <w:next w:val="af1"/>
    <w:uiPriority w:val="99"/>
    <w:rsid w:val="009A574F"/>
    <w:pPr>
      <w:spacing w:before="180"/>
      <w:ind w:left="360" w:right="360" w:firstLine="0"/>
    </w:pPr>
  </w:style>
  <w:style w:type="paragraph" w:customStyle="1" w:styleId="afffffffffff5">
    <w:name w:val="Подзаголовок для информации об изменениях"/>
    <w:basedOn w:val="afffffffffff3"/>
    <w:next w:val="af1"/>
    <w:uiPriority w:val="99"/>
    <w:rsid w:val="009A574F"/>
    <w:rPr>
      <w:b/>
      <w:bCs/>
    </w:rPr>
  </w:style>
  <w:style w:type="paragraph" w:customStyle="1" w:styleId="s22">
    <w:name w:val="s_22"/>
    <w:basedOn w:val="af1"/>
    <w:rsid w:val="009A574F"/>
    <w:pPr>
      <w:spacing w:before="100" w:beforeAutospacing="1" w:after="100" w:afterAutospacing="1"/>
    </w:pPr>
  </w:style>
  <w:style w:type="character" w:customStyle="1" w:styleId="3fa">
    <w:name w:val="Основной текст (3) + Не полужирный"/>
    <w:basedOn w:val="32"/>
    <w:rsid w:val="00281D0A"/>
    <w:rPr>
      <w:b/>
      <w:bCs/>
      <w:i w:val="0"/>
      <w:iCs w:val="0"/>
      <w:color w:val="000000"/>
      <w:spacing w:val="0"/>
      <w:w w:val="100"/>
      <w:position w:val="0"/>
      <w:sz w:val="28"/>
      <w:szCs w:val="28"/>
      <w:shd w:val="clear" w:color="auto" w:fill="FFFFFF"/>
      <w:lang w:val="ru-RU" w:eastAsia="ru-RU" w:bidi="ru-RU"/>
    </w:rPr>
  </w:style>
  <w:style w:type="character" w:customStyle="1" w:styleId="2115pt">
    <w:name w:val="Основной текст (2) + 11;5 pt;Полужирный"/>
    <w:basedOn w:val="24"/>
    <w:rsid w:val="00281D0A"/>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afffffffffff6">
    <w:name w:val="Подпись к таблице"/>
    <w:basedOn w:val="af2"/>
    <w:rsid w:val="00281D0A"/>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212pt0pt">
    <w:name w:val="Основной текст (2) + 12 pt;Полужирный;Интервал 0 pt"/>
    <w:basedOn w:val="24"/>
    <w:rsid w:val="00281D0A"/>
    <w:rPr>
      <w:rFonts w:ascii="Times New Roman" w:eastAsia="Times New Roman" w:hAnsi="Times New Roman" w:cs="Times New Roman"/>
      <w:b/>
      <w:bCs/>
      <w:i w:val="0"/>
      <w:iCs w:val="0"/>
      <w:smallCaps w:val="0"/>
      <w:strike w:val="0"/>
      <w:color w:val="000000"/>
      <w:spacing w:val="-10"/>
      <w:w w:val="100"/>
      <w:position w:val="0"/>
      <w:sz w:val="24"/>
      <w:szCs w:val="24"/>
      <w:u w:val="none"/>
      <w:shd w:val="clear" w:color="auto" w:fill="FFFFFF"/>
      <w:lang w:val="ru-RU" w:eastAsia="ru-RU" w:bidi="ru-RU"/>
    </w:rPr>
  </w:style>
  <w:style w:type="character" w:customStyle="1" w:styleId="414pt">
    <w:name w:val="Основной текст (4) + 14 pt;Не курсив"/>
    <w:basedOn w:val="41"/>
    <w:rsid w:val="00281D0A"/>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en-US" w:eastAsia="en-US" w:bidi="en-US"/>
    </w:rPr>
  </w:style>
  <w:style w:type="character" w:customStyle="1" w:styleId="2ffa">
    <w:name w:val="Основной текст (2) + Малые прописные"/>
    <w:basedOn w:val="24"/>
    <w:rsid w:val="00281D0A"/>
    <w:rPr>
      <w:rFonts w:ascii="Times New Roman" w:eastAsia="Times New Roman" w:hAnsi="Times New Roman" w:cs="Times New Roman"/>
      <w:b w:val="0"/>
      <w:bCs w:val="0"/>
      <w:i w:val="0"/>
      <w:iCs w:val="0"/>
      <w:smallCaps/>
      <w:strike w:val="0"/>
      <w:color w:val="000000"/>
      <w:spacing w:val="0"/>
      <w:w w:val="100"/>
      <w:position w:val="0"/>
      <w:sz w:val="28"/>
      <w:szCs w:val="28"/>
      <w:u w:val="none"/>
      <w:shd w:val="clear" w:color="auto" w:fill="FFFFFF"/>
      <w:lang w:val="ru-RU" w:eastAsia="ru-RU" w:bidi="ru-RU"/>
    </w:rPr>
  </w:style>
  <w:style w:type="character" w:customStyle="1" w:styleId="-0">
    <w:name w:val="Интернет-ссылка"/>
    <w:uiPriority w:val="99"/>
    <w:semiHidden/>
    <w:unhideWhenUsed/>
    <w:rsid w:val="00913E36"/>
    <w:rPr>
      <w:color w:val="0000FF"/>
      <w:u w:val="single"/>
    </w:rPr>
  </w:style>
  <w:style w:type="paragraph" w:customStyle="1" w:styleId="afffffffffff7">
    <w:name w:val="Заголовок для информации об изменениях"/>
    <w:basedOn w:val="10"/>
    <w:next w:val="af1"/>
    <w:uiPriority w:val="99"/>
    <w:rsid w:val="0098630A"/>
    <w:pPr>
      <w:keepNext w:val="0"/>
      <w:autoSpaceDE w:val="0"/>
      <w:autoSpaceDN w:val="0"/>
      <w:adjustRightInd w:val="0"/>
      <w:spacing w:after="108"/>
      <w:jc w:val="center"/>
      <w:outlineLvl w:val="9"/>
    </w:pPr>
    <w:rPr>
      <w:rFonts w:ascii="Arial" w:hAnsi="Arial" w:cs="Arial"/>
      <w:color w:val="26282F"/>
      <w:sz w:val="18"/>
      <w:szCs w:val="18"/>
      <w:shd w:val="clear" w:color="auto" w:fill="FFFFFF"/>
    </w:rPr>
  </w:style>
  <w:style w:type="paragraph" w:customStyle="1" w:styleId="indent1">
    <w:name w:val="indent_1"/>
    <w:basedOn w:val="af1"/>
    <w:rsid w:val="00B2152B"/>
    <w:pPr>
      <w:spacing w:before="100" w:beforeAutospacing="1" w:after="100" w:afterAutospacing="1"/>
    </w:pPr>
  </w:style>
  <w:style w:type="numbering" w:customStyle="1" w:styleId="410">
    <w:name w:val="Нет списка41"/>
    <w:next w:val="af4"/>
    <w:uiPriority w:val="99"/>
    <w:semiHidden/>
    <w:unhideWhenUsed/>
    <w:rsid w:val="00715EF6"/>
  </w:style>
  <w:style w:type="numbering" w:customStyle="1" w:styleId="1130">
    <w:name w:val="Нет списка113"/>
    <w:next w:val="af4"/>
    <w:uiPriority w:val="99"/>
    <w:semiHidden/>
    <w:unhideWhenUsed/>
    <w:rsid w:val="00715EF6"/>
  </w:style>
  <w:style w:type="numbering" w:customStyle="1" w:styleId="420">
    <w:name w:val="Нет списка42"/>
    <w:next w:val="af4"/>
    <w:uiPriority w:val="99"/>
    <w:semiHidden/>
    <w:unhideWhenUsed/>
    <w:rsid w:val="000A3A00"/>
  </w:style>
  <w:style w:type="table" w:customStyle="1" w:styleId="411">
    <w:name w:val="Сетка таблицы41"/>
    <w:basedOn w:val="af3"/>
    <w:next w:val="affa"/>
    <w:uiPriority w:val="59"/>
    <w:rsid w:val="000A3A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Style7">
    <w:name w:val="Char Style 7"/>
    <w:link w:val="Style60"/>
    <w:uiPriority w:val="99"/>
    <w:rsid w:val="00B82783"/>
    <w:rPr>
      <w:sz w:val="17"/>
      <w:szCs w:val="17"/>
      <w:shd w:val="clear" w:color="auto" w:fill="FFFFFF"/>
    </w:rPr>
  </w:style>
  <w:style w:type="paragraph" w:customStyle="1" w:styleId="Style60">
    <w:name w:val="Style 6"/>
    <w:basedOn w:val="af1"/>
    <w:link w:val="CharStyle7"/>
    <w:uiPriority w:val="99"/>
    <w:rsid w:val="00B82783"/>
    <w:pPr>
      <w:widowControl w:val="0"/>
      <w:shd w:val="clear" w:color="auto" w:fill="FFFFFF"/>
      <w:spacing w:line="223" w:lineRule="exact"/>
      <w:jc w:val="both"/>
    </w:pPr>
    <w:rPr>
      <w:rFonts w:asciiTheme="minorHAnsi" w:eastAsiaTheme="minorHAnsi" w:hAnsiTheme="minorHAnsi" w:cstheme="minorBidi"/>
      <w:sz w:val="17"/>
      <w:szCs w:val="17"/>
      <w:lang w:eastAsia="en-US"/>
    </w:rPr>
  </w:style>
  <w:style w:type="numbering" w:customStyle="1" w:styleId="430">
    <w:name w:val="Нет списка43"/>
    <w:next w:val="af4"/>
    <w:uiPriority w:val="99"/>
    <w:semiHidden/>
    <w:unhideWhenUsed/>
    <w:rsid w:val="005A0097"/>
  </w:style>
  <w:style w:type="table" w:customStyle="1" w:styleId="421">
    <w:name w:val="Сетка таблицы42"/>
    <w:basedOn w:val="af3"/>
    <w:next w:val="affa"/>
    <w:rsid w:val="005A009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5">
    <w:name w:val="s_15"/>
    <w:basedOn w:val="af1"/>
    <w:rsid w:val="005A0097"/>
    <w:pPr>
      <w:spacing w:before="100" w:beforeAutospacing="1" w:after="100" w:afterAutospacing="1"/>
    </w:pPr>
  </w:style>
  <w:style w:type="character" w:customStyle="1" w:styleId="s100">
    <w:name w:val="s_10"/>
    <w:basedOn w:val="af2"/>
    <w:rsid w:val="005A0097"/>
  </w:style>
  <w:style w:type="paragraph" w:customStyle="1" w:styleId="s9">
    <w:name w:val="s_9"/>
    <w:basedOn w:val="af1"/>
    <w:rsid w:val="005A0097"/>
    <w:pPr>
      <w:spacing w:before="100" w:beforeAutospacing="1" w:after="100" w:afterAutospacing="1"/>
    </w:pPr>
  </w:style>
  <w:style w:type="numbering" w:customStyle="1" w:styleId="440">
    <w:name w:val="Нет списка44"/>
    <w:next w:val="af4"/>
    <w:uiPriority w:val="99"/>
    <w:semiHidden/>
    <w:unhideWhenUsed/>
    <w:rsid w:val="003E1542"/>
  </w:style>
  <w:style w:type="table" w:customStyle="1" w:styleId="431">
    <w:name w:val="Сетка таблицы43"/>
    <w:basedOn w:val="af3"/>
    <w:next w:val="affa"/>
    <w:rsid w:val="003E154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5pt">
    <w:name w:val="Основной текст + 10;5 pt"/>
    <w:basedOn w:val="af9"/>
    <w:rsid w:val="00124C0D"/>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rPr>
  </w:style>
  <w:style w:type="character" w:customStyle="1" w:styleId="95pt">
    <w:name w:val="Основной текст + 9;5 pt"/>
    <w:basedOn w:val="af9"/>
    <w:rsid w:val="00124C0D"/>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rPr>
  </w:style>
  <w:style w:type="character" w:customStyle="1" w:styleId="4pt">
    <w:name w:val="Основной текст + 4 pt;Полужирный;Курсив"/>
    <w:basedOn w:val="af9"/>
    <w:rsid w:val="00124C0D"/>
    <w:rPr>
      <w:rFonts w:ascii="Times New Roman" w:eastAsia="Times New Roman" w:hAnsi="Times New Roman" w:cs="Times New Roman"/>
      <w:b/>
      <w:bCs/>
      <w:i/>
      <w:iCs/>
      <w:smallCaps w:val="0"/>
      <w:strike w:val="0"/>
      <w:color w:val="000000"/>
      <w:spacing w:val="0"/>
      <w:w w:val="100"/>
      <w:position w:val="0"/>
      <w:sz w:val="8"/>
      <w:szCs w:val="8"/>
      <w:u w:val="none"/>
      <w:shd w:val="clear" w:color="auto" w:fill="FFFFFF"/>
    </w:rPr>
  </w:style>
  <w:style w:type="character" w:customStyle="1" w:styleId="afffffffffff8">
    <w:name w:val="Оглавление_"/>
    <w:basedOn w:val="af2"/>
    <w:link w:val="afffffffffff9"/>
    <w:rsid w:val="003662F8"/>
    <w:rPr>
      <w:rFonts w:ascii="Times New Roman" w:eastAsia="Times New Roman" w:hAnsi="Times New Roman" w:cs="Times New Roman"/>
      <w:shd w:val="clear" w:color="auto" w:fill="FFFFFF"/>
    </w:rPr>
  </w:style>
  <w:style w:type="character" w:customStyle="1" w:styleId="afffffffffffa">
    <w:name w:val="Подпись к таблице_"/>
    <w:basedOn w:val="af2"/>
    <w:uiPriority w:val="99"/>
    <w:rsid w:val="003662F8"/>
    <w:rPr>
      <w:rFonts w:ascii="Times New Roman" w:eastAsia="Times New Roman" w:hAnsi="Times New Roman" w:cs="Times New Roman"/>
      <w:sz w:val="28"/>
      <w:szCs w:val="28"/>
      <w:shd w:val="clear" w:color="auto" w:fill="FFFFFF"/>
    </w:rPr>
  </w:style>
  <w:style w:type="character" w:customStyle="1" w:styleId="afffffffffffb">
    <w:name w:val="Другое_"/>
    <w:basedOn w:val="af2"/>
    <w:link w:val="afffffffffffc"/>
    <w:uiPriority w:val="99"/>
    <w:rsid w:val="003662F8"/>
    <w:rPr>
      <w:rFonts w:ascii="Times New Roman" w:eastAsia="Times New Roman" w:hAnsi="Times New Roman" w:cs="Times New Roman"/>
      <w:shd w:val="clear" w:color="auto" w:fill="FFFFFF"/>
    </w:rPr>
  </w:style>
  <w:style w:type="paragraph" w:customStyle="1" w:styleId="afffffffffff9">
    <w:name w:val="Оглавление"/>
    <w:basedOn w:val="af1"/>
    <w:link w:val="afffffffffff8"/>
    <w:rsid w:val="003662F8"/>
    <w:pPr>
      <w:widowControl w:val="0"/>
      <w:shd w:val="clear" w:color="auto" w:fill="FFFFFF"/>
    </w:pPr>
    <w:rPr>
      <w:sz w:val="22"/>
      <w:szCs w:val="22"/>
      <w:lang w:eastAsia="en-US"/>
    </w:rPr>
  </w:style>
  <w:style w:type="paragraph" w:customStyle="1" w:styleId="afffffffffffc">
    <w:name w:val="Другое"/>
    <w:basedOn w:val="af1"/>
    <w:link w:val="afffffffffffb"/>
    <w:uiPriority w:val="99"/>
    <w:rsid w:val="003662F8"/>
    <w:pPr>
      <w:widowControl w:val="0"/>
      <w:shd w:val="clear" w:color="auto" w:fill="FFFFFF"/>
      <w:ind w:firstLine="400"/>
    </w:pPr>
    <w:rPr>
      <w:sz w:val="22"/>
      <w:szCs w:val="22"/>
      <w:lang w:eastAsia="en-US"/>
    </w:rPr>
  </w:style>
  <w:style w:type="numbering" w:customStyle="1" w:styleId="450">
    <w:name w:val="Нет списка45"/>
    <w:next w:val="af4"/>
    <w:uiPriority w:val="99"/>
    <w:semiHidden/>
    <w:unhideWhenUsed/>
    <w:rsid w:val="00222648"/>
  </w:style>
  <w:style w:type="table" w:customStyle="1" w:styleId="441">
    <w:name w:val="Сетка таблицы44"/>
    <w:basedOn w:val="af3"/>
    <w:next w:val="affa"/>
    <w:rsid w:val="002226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fb">
    <w:name w:val="Неразрешенное упоминание3"/>
    <w:basedOn w:val="af2"/>
    <w:uiPriority w:val="99"/>
    <w:semiHidden/>
    <w:unhideWhenUsed/>
    <w:rsid w:val="00222648"/>
    <w:rPr>
      <w:color w:val="605E5C"/>
      <w:shd w:val="clear" w:color="auto" w:fill="E1DFDD"/>
    </w:rPr>
  </w:style>
  <w:style w:type="numbering" w:customStyle="1" w:styleId="460">
    <w:name w:val="Нет списка46"/>
    <w:next w:val="af4"/>
    <w:uiPriority w:val="99"/>
    <w:semiHidden/>
    <w:unhideWhenUsed/>
    <w:rsid w:val="00222648"/>
  </w:style>
  <w:style w:type="table" w:customStyle="1" w:styleId="451">
    <w:name w:val="Сетка таблицы45"/>
    <w:basedOn w:val="af3"/>
    <w:next w:val="affa"/>
    <w:rsid w:val="002226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Сетка таблицы46"/>
    <w:basedOn w:val="af3"/>
    <w:next w:val="affa"/>
    <w:uiPriority w:val="59"/>
    <w:rsid w:val="00D07CB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223642"/>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rPr>
  </w:style>
  <w:style w:type="paragraph" w:customStyle="1" w:styleId="afffffffffffd">
    <w:basedOn w:val="af1"/>
    <w:next w:val="affd"/>
    <w:rsid w:val="00E261BA"/>
    <w:pPr>
      <w:spacing w:before="100" w:beforeAutospacing="1" w:after="100" w:afterAutospacing="1"/>
    </w:pPr>
  </w:style>
  <w:style w:type="table" w:customStyle="1" w:styleId="TableNormal">
    <w:name w:val="Table Normal"/>
    <w:uiPriority w:val="2"/>
    <w:semiHidden/>
    <w:unhideWhenUsed/>
    <w:qFormat/>
    <w:rsid w:val="00814A2A"/>
    <w:pPr>
      <w:widowControl w:val="0"/>
      <w:spacing w:after="0" w:line="240" w:lineRule="auto"/>
    </w:pPr>
    <w:rPr>
      <w:lang w:val="en-US"/>
    </w:rPr>
    <w:tblPr>
      <w:tblInd w:w="0" w:type="dxa"/>
      <w:tblCellMar>
        <w:top w:w="0" w:type="dxa"/>
        <w:left w:w="0" w:type="dxa"/>
        <w:bottom w:w="0" w:type="dxa"/>
        <w:right w:w="0" w:type="dxa"/>
      </w:tblCellMar>
    </w:tblPr>
  </w:style>
  <w:style w:type="character" w:customStyle="1" w:styleId="2Exact">
    <w:name w:val="Основной текст (2) Exact"/>
    <w:basedOn w:val="af2"/>
    <w:rsid w:val="00A50740"/>
    <w:rPr>
      <w:rFonts w:ascii="Times New Roman" w:eastAsia="Times New Roman" w:hAnsi="Times New Roman" w:cs="Times New Roman"/>
      <w:b w:val="0"/>
      <w:bCs w:val="0"/>
      <w:i w:val="0"/>
      <w:iCs w:val="0"/>
      <w:smallCaps w:val="0"/>
      <w:strike w:val="0"/>
      <w:sz w:val="28"/>
      <w:szCs w:val="28"/>
      <w:u w:val="none"/>
    </w:rPr>
  </w:style>
  <w:style w:type="character" w:customStyle="1" w:styleId="FontStyle20">
    <w:name w:val="Font Style20"/>
    <w:rsid w:val="00B80C8B"/>
    <w:rPr>
      <w:rFonts w:ascii="Times New Roman" w:hAnsi="Times New Roman" w:cs="Times New Roman"/>
      <w:sz w:val="24"/>
      <w:szCs w:val="24"/>
    </w:rPr>
  </w:style>
  <w:style w:type="paragraph" w:customStyle="1" w:styleId="1fff8">
    <w:name w:val="стандарт1"/>
    <w:basedOn w:val="affffffff0"/>
    <w:uiPriority w:val="99"/>
    <w:rsid w:val="00480728"/>
    <w:pPr>
      <w:widowControl/>
      <w:suppressAutoHyphens/>
      <w:adjustRightInd/>
      <w:spacing w:after="0" w:line="240" w:lineRule="auto"/>
      <w:ind w:left="0" w:firstLine="709"/>
      <w:textAlignment w:val="auto"/>
    </w:pPr>
    <w:rPr>
      <w:rFonts w:ascii="Times New Roman" w:hAnsi="Times New Roman" w:cs="Times New Roman"/>
      <w:spacing w:val="0"/>
      <w:sz w:val="28"/>
      <w:lang w:val="ru-RU" w:eastAsia="ru-RU"/>
    </w:rPr>
  </w:style>
  <w:style w:type="character" w:customStyle="1" w:styleId="rts-text">
    <w:name w:val="rts-text"/>
    <w:basedOn w:val="af2"/>
    <w:rsid w:val="00480728"/>
  </w:style>
  <w:style w:type="table" w:customStyle="1" w:styleId="470">
    <w:name w:val="Сетка таблицы47"/>
    <w:basedOn w:val="af3"/>
    <w:next w:val="affa"/>
    <w:uiPriority w:val="59"/>
    <w:rsid w:val="007A76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1">
    <w:name w:val="Нет списка47"/>
    <w:next w:val="af4"/>
    <w:uiPriority w:val="99"/>
    <w:semiHidden/>
    <w:unhideWhenUsed/>
    <w:rsid w:val="00BB497A"/>
  </w:style>
  <w:style w:type="numbering" w:customStyle="1" w:styleId="1140">
    <w:name w:val="Нет списка114"/>
    <w:next w:val="af4"/>
    <w:uiPriority w:val="99"/>
    <w:semiHidden/>
    <w:unhideWhenUsed/>
    <w:rsid w:val="00BB497A"/>
  </w:style>
  <w:style w:type="paragraph" w:customStyle="1" w:styleId="ParagraphStyle">
    <w:name w:val="Paragraph Style"/>
    <w:rsid w:val="002E45F5"/>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TableContents">
    <w:name w:val="Table Contents"/>
    <w:basedOn w:val="Standard"/>
    <w:rsid w:val="007B4588"/>
    <w:pPr>
      <w:suppressLineNumbers/>
    </w:pPr>
    <w:rPr>
      <w:rFonts w:ascii="Liberation Serif" w:eastAsia="DejaVu Sans" w:hAnsi="Liberation Serif" w:cs="DejaVu Sans"/>
      <w:lang w:val="ru-RU" w:eastAsia="zh-CN" w:bidi="hi-IN"/>
    </w:rPr>
  </w:style>
  <w:style w:type="paragraph" w:customStyle="1" w:styleId="msonormalmrcssattr">
    <w:name w:val="msonormal_mr_css_attr"/>
    <w:basedOn w:val="af1"/>
    <w:rsid w:val="007B4588"/>
    <w:pPr>
      <w:spacing w:before="100" w:beforeAutospacing="1" w:after="100" w:afterAutospacing="1"/>
    </w:pPr>
  </w:style>
  <w:style w:type="paragraph" w:customStyle="1" w:styleId="ConsPlusTextList1">
    <w:name w:val="ConsPlusTextList1"/>
    <w:uiPriority w:val="99"/>
    <w:rsid w:val="00280C7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span-text-card-header">
    <w:name w:val="span-text-card-header"/>
    <w:basedOn w:val="af2"/>
    <w:rsid w:val="00ED5B71"/>
  </w:style>
  <w:style w:type="character" w:customStyle="1" w:styleId="normaltextrun">
    <w:name w:val="normaltextrun"/>
    <w:rsid w:val="009E1D54"/>
  </w:style>
  <w:style w:type="character" w:customStyle="1" w:styleId="eop">
    <w:name w:val="eop"/>
    <w:rsid w:val="009E1D54"/>
  </w:style>
  <w:style w:type="paragraph" w:customStyle="1" w:styleId="6b">
    <w:name w:val="Обычный6"/>
    <w:rsid w:val="00F45822"/>
    <w:pPr>
      <w:spacing w:before="60" w:after="0" w:line="240" w:lineRule="auto"/>
      <w:ind w:firstLine="720"/>
      <w:jc w:val="both"/>
    </w:pPr>
    <w:rPr>
      <w:rFonts w:ascii="Arial" w:eastAsia="Times New Roman" w:hAnsi="Arial" w:cs="Times New Roman"/>
      <w:snapToGrid w:val="0"/>
      <w:sz w:val="24"/>
      <w:szCs w:val="20"/>
      <w:lang w:eastAsia="ru-RU"/>
    </w:rPr>
  </w:style>
  <w:style w:type="numbering" w:customStyle="1" w:styleId="480">
    <w:name w:val="Нет списка48"/>
    <w:next w:val="af4"/>
    <w:uiPriority w:val="99"/>
    <w:semiHidden/>
    <w:unhideWhenUsed/>
    <w:rsid w:val="00EE5F59"/>
  </w:style>
  <w:style w:type="table" w:customStyle="1" w:styleId="481">
    <w:name w:val="Сетка таблицы48"/>
    <w:basedOn w:val="af3"/>
    <w:next w:val="affa"/>
    <w:rsid w:val="00EE5F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f1">
    <w:name w:val="Неразрешенное упоминание4"/>
    <w:basedOn w:val="af2"/>
    <w:uiPriority w:val="99"/>
    <w:semiHidden/>
    <w:unhideWhenUsed/>
    <w:rsid w:val="00EE5F59"/>
    <w:rPr>
      <w:color w:val="605E5C"/>
      <w:shd w:val="clear" w:color="auto" w:fill="E1DFDD"/>
    </w:rPr>
  </w:style>
  <w:style w:type="table" w:customStyle="1" w:styleId="490">
    <w:name w:val="Сетка таблицы49"/>
    <w:basedOn w:val="af3"/>
    <w:next w:val="affa"/>
    <w:rsid w:val="00E06B8C"/>
    <w:pPr>
      <w:spacing w:after="0" w:line="240" w:lineRule="auto"/>
    </w:pPr>
    <w:rPr>
      <w:rFonts w:ascii="Times New Roman" w:eastAsia="Times New Roman" w:hAnsi="Times New Roman" w:cs="Times New Roman"/>
      <w:sz w:val="20"/>
      <w:szCs w:val="20"/>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491">
    <w:name w:val="Нет списка49"/>
    <w:next w:val="af4"/>
    <w:uiPriority w:val="99"/>
    <w:semiHidden/>
    <w:unhideWhenUsed/>
    <w:rsid w:val="00ED6182"/>
  </w:style>
  <w:style w:type="table" w:customStyle="1" w:styleId="500">
    <w:name w:val="Сетка таблицы50"/>
    <w:basedOn w:val="af3"/>
    <w:next w:val="affa"/>
    <w:rsid w:val="00ED6182"/>
    <w:pPr>
      <w:widowControl w:val="0"/>
      <w:snapToGrid w:val="0"/>
      <w:spacing w:after="0" w:line="259" w:lineRule="auto"/>
      <w:ind w:firstLine="60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1">
    <w:name w:val="Нет списка50"/>
    <w:next w:val="af4"/>
    <w:uiPriority w:val="99"/>
    <w:semiHidden/>
    <w:unhideWhenUsed/>
    <w:rsid w:val="00802E52"/>
  </w:style>
  <w:style w:type="paragraph" w:customStyle="1" w:styleId="Preformat">
    <w:name w:val="Preformat"/>
    <w:uiPriority w:val="99"/>
    <w:rsid w:val="00802E5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text">
    <w:name w:val="Context"/>
    <w:uiPriority w:val="99"/>
    <w:rsid w:val="00802E52"/>
    <w:pPr>
      <w:widowControl w:val="0"/>
      <w:autoSpaceDE w:val="0"/>
      <w:autoSpaceDN w:val="0"/>
      <w:adjustRightInd w:val="0"/>
      <w:spacing w:after="0" w:line="240" w:lineRule="auto"/>
    </w:pPr>
    <w:rPr>
      <w:rFonts w:ascii="Courier New" w:eastAsia="Times New Roman" w:hAnsi="Courier New" w:cs="Courier New"/>
      <w:sz w:val="20"/>
      <w:szCs w:val="20"/>
      <w:u w:val="single"/>
      <w:lang w:eastAsia="ru-RU"/>
    </w:rPr>
  </w:style>
  <w:style w:type="paragraph" w:customStyle="1" w:styleId="fr20">
    <w:name w:val="fr2"/>
    <w:basedOn w:val="af1"/>
    <w:uiPriority w:val="99"/>
    <w:rsid w:val="00802E52"/>
    <w:pPr>
      <w:autoSpaceDE w:val="0"/>
      <w:autoSpaceDN w:val="0"/>
    </w:pPr>
    <w:rPr>
      <w:rFonts w:ascii="Arial" w:hAnsi="Arial" w:cs="Arial"/>
      <w:b/>
      <w:bCs/>
      <w:sz w:val="18"/>
      <w:szCs w:val="18"/>
    </w:rPr>
  </w:style>
  <w:style w:type="character" w:customStyle="1" w:styleId="118">
    <w:name w:val="Схема документа Знак11"/>
    <w:uiPriority w:val="99"/>
    <w:semiHidden/>
    <w:rsid w:val="00802E52"/>
    <w:rPr>
      <w:rFonts w:ascii="Tahoma" w:hAnsi="Tahoma" w:cs="Tahoma"/>
      <w:sz w:val="16"/>
      <w:szCs w:val="16"/>
    </w:rPr>
  </w:style>
  <w:style w:type="character" w:customStyle="1" w:styleId="124">
    <w:name w:val="Схема документа Знак12"/>
    <w:uiPriority w:val="99"/>
    <w:semiHidden/>
    <w:rsid w:val="00802E52"/>
    <w:rPr>
      <w:rFonts w:ascii="Tahoma" w:hAnsi="Tahoma" w:cs="Tahoma"/>
      <w:sz w:val="16"/>
      <w:szCs w:val="16"/>
    </w:rPr>
  </w:style>
  <w:style w:type="character" w:customStyle="1" w:styleId="134">
    <w:name w:val="Схема документа Знак13"/>
    <w:uiPriority w:val="99"/>
    <w:semiHidden/>
    <w:rsid w:val="00802E52"/>
    <w:rPr>
      <w:rFonts w:ascii="Tahoma" w:hAnsi="Tahoma" w:cs="Tahoma"/>
      <w:sz w:val="16"/>
      <w:szCs w:val="16"/>
    </w:rPr>
  </w:style>
  <w:style w:type="character" w:customStyle="1" w:styleId="142">
    <w:name w:val="Схема документа Знак14"/>
    <w:uiPriority w:val="99"/>
    <w:semiHidden/>
    <w:rsid w:val="00802E52"/>
    <w:rPr>
      <w:rFonts w:ascii="Tahoma" w:hAnsi="Tahoma" w:cs="Tahoma"/>
      <w:sz w:val="16"/>
      <w:szCs w:val="16"/>
    </w:rPr>
  </w:style>
  <w:style w:type="character" w:customStyle="1" w:styleId="153">
    <w:name w:val="Схема документа Знак15"/>
    <w:uiPriority w:val="99"/>
    <w:semiHidden/>
    <w:rsid w:val="00802E52"/>
    <w:rPr>
      <w:rFonts w:ascii="Tahoma" w:hAnsi="Tahoma" w:cs="Tahoma"/>
      <w:sz w:val="16"/>
      <w:szCs w:val="16"/>
    </w:rPr>
  </w:style>
  <w:style w:type="character" w:customStyle="1" w:styleId="162">
    <w:name w:val="Схема документа Знак16"/>
    <w:uiPriority w:val="99"/>
    <w:semiHidden/>
    <w:rsid w:val="00802E52"/>
    <w:rPr>
      <w:rFonts w:ascii="Tahoma" w:hAnsi="Tahoma" w:cs="Tahoma"/>
      <w:sz w:val="16"/>
      <w:szCs w:val="16"/>
    </w:rPr>
  </w:style>
  <w:style w:type="character" w:customStyle="1" w:styleId="173">
    <w:name w:val="Схема документа Знак17"/>
    <w:uiPriority w:val="99"/>
    <w:semiHidden/>
    <w:rsid w:val="00802E52"/>
    <w:rPr>
      <w:rFonts w:ascii="Tahoma" w:hAnsi="Tahoma" w:cs="Tahoma"/>
      <w:sz w:val="16"/>
      <w:szCs w:val="16"/>
    </w:rPr>
  </w:style>
  <w:style w:type="character" w:customStyle="1" w:styleId="182">
    <w:name w:val="Схема документа Знак18"/>
    <w:uiPriority w:val="99"/>
    <w:semiHidden/>
    <w:rsid w:val="00802E52"/>
    <w:rPr>
      <w:rFonts w:ascii="Tahoma" w:hAnsi="Tahoma" w:cs="Tahoma"/>
      <w:sz w:val="16"/>
      <w:szCs w:val="16"/>
    </w:rPr>
  </w:style>
  <w:style w:type="character" w:customStyle="1" w:styleId="193">
    <w:name w:val="Схема документа Знак19"/>
    <w:uiPriority w:val="99"/>
    <w:semiHidden/>
    <w:rsid w:val="00802E52"/>
    <w:rPr>
      <w:rFonts w:ascii="Tahoma" w:hAnsi="Tahoma" w:cs="Tahoma"/>
      <w:sz w:val="16"/>
      <w:szCs w:val="16"/>
    </w:rPr>
  </w:style>
  <w:style w:type="character" w:customStyle="1" w:styleId="1102">
    <w:name w:val="Схема документа Знак110"/>
    <w:uiPriority w:val="99"/>
    <w:semiHidden/>
    <w:rsid w:val="00802E52"/>
    <w:rPr>
      <w:rFonts w:ascii="Tahoma" w:hAnsi="Tahoma" w:cs="Tahoma"/>
      <w:sz w:val="16"/>
      <w:szCs w:val="16"/>
    </w:rPr>
  </w:style>
  <w:style w:type="character" w:customStyle="1" w:styleId="1112">
    <w:name w:val="Схема документа Знак111"/>
    <w:uiPriority w:val="99"/>
    <w:semiHidden/>
    <w:rsid w:val="00802E52"/>
    <w:rPr>
      <w:rFonts w:ascii="Tahoma" w:hAnsi="Tahoma" w:cs="Tahoma"/>
      <w:sz w:val="16"/>
      <w:szCs w:val="16"/>
    </w:rPr>
  </w:style>
  <w:style w:type="character" w:customStyle="1" w:styleId="1122">
    <w:name w:val="Схема документа Знак112"/>
    <w:uiPriority w:val="99"/>
    <w:semiHidden/>
    <w:rsid w:val="00802E52"/>
    <w:rPr>
      <w:rFonts w:ascii="Tahoma" w:hAnsi="Tahoma" w:cs="Tahoma"/>
      <w:sz w:val="16"/>
      <w:szCs w:val="16"/>
    </w:rPr>
  </w:style>
  <w:style w:type="paragraph" w:customStyle="1" w:styleId="BodyText210">
    <w:name w:val="Body Text 2.Мой Заголовок 1"/>
    <w:uiPriority w:val="99"/>
    <w:rsid w:val="00802E52"/>
    <w:pPr>
      <w:spacing w:after="0" w:line="240" w:lineRule="auto"/>
      <w:ind w:firstLine="709"/>
      <w:jc w:val="both"/>
    </w:pPr>
    <w:rPr>
      <w:rFonts w:ascii="Times New Roman" w:eastAsia="Times New Roman" w:hAnsi="Times New Roman" w:cs="Times New Roman"/>
      <w:sz w:val="28"/>
      <w:szCs w:val="20"/>
      <w:lang w:eastAsia="ru-RU"/>
    </w:rPr>
  </w:style>
  <w:style w:type="paragraph" w:customStyle="1" w:styleId="1fff9">
    <w:name w:val="Основной текст с отступом.Мой Заголовок 1"/>
    <w:basedOn w:val="af1"/>
    <w:uiPriority w:val="99"/>
    <w:rsid w:val="00802E52"/>
    <w:pPr>
      <w:widowControl w:val="0"/>
      <w:ind w:firstLine="720"/>
      <w:jc w:val="both"/>
    </w:pPr>
    <w:rPr>
      <w:sz w:val="28"/>
      <w:szCs w:val="20"/>
    </w:rPr>
  </w:style>
  <w:style w:type="paragraph" w:customStyle="1" w:styleId="125">
    <w:name w:val="Основной текст.Основной текст12"/>
    <w:uiPriority w:val="99"/>
    <w:rsid w:val="00802E52"/>
    <w:pPr>
      <w:spacing w:after="0" w:line="240" w:lineRule="auto"/>
    </w:pPr>
    <w:rPr>
      <w:rFonts w:ascii="Times New Roman" w:eastAsia="Times New Roman" w:hAnsi="Times New Roman" w:cs="Times New Roman"/>
      <w:color w:val="000000"/>
      <w:sz w:val="28"/>
      <w:szCs w:val="20"/>
      <w:lang w:eastAsia="ru-RU"/>
    </w:rPr>
  </w:style>
  <w:style w:type="paragraph" w:customStyle="1" w:styleId="Report">
    <w:name w:val="Report"/>
    <w:basedOn w:val="af1"/>
    <w:uiPriority w:val="99"/>
    <w:rsid w:val="00802E52"/>
    <w:pPr>
      <w:spacing w:line="360" w:lineRule="auto"/>
      <w:ind w:firstLine="567"/>
      <w:jc w:val="both"/>
    </w:pPr>
    <w:rPr>
      <w:szCs w:val="20"/>
    </w:rPr>
  </w:style>
  <w:style w:type="character" w:customStyle="1" w:styleId="FontStyle19">
    <w:name w:val="Font Style19"/>
    <w:uiPriority w:val="99"/>
    <w:rsid w:val="00802E52"/>
    <w:rPr>
      <w:rFonts w:ascii="Times New Roman" w:hAnsi="Times New Roman" w:cs="Times New Roman"/>
      <w:sz w:val="14"/>
      <w:szCs w:val="14"/>
    </w:rPr>
  </w:style>
  <w:style w:type="character" w:customStyle="1" w:styleId="first-letter">
    <w:name w:val="first-letter"/>
    <w:uiPriority w:val="99"/>
    <w:rsid w:val="00802E52"/>
    <w:rPr>
      <w:rFonts w:cs="Times New Roman"/>
    </w:rPr>
  </w:style>
  <w:style w:type="paragraph" w:customStyle="1" w:styleId="textjm">
    <w:name w:val="textjm"/>
    <w:basedOn w:val="af1"/>
    <w:uiPriority w:val="99"/>
    <w:rsid w:val="00802E52"/>
    <w:pPr>
      <w:spacing w:before="100" w:beforeAutospacing="1" w:after="100" w:afterAutospacing="1"/>
    </w:pPr>
    <w:rPr>
      <w:rFonts w:ascii="Verdana" w:hAnsi="Verdana"/>
      <w:color w:val="2F4F4F"/>
    </w:rPr>
  </w:style>
  <w:style w:type="table" w:customStyle="1" w:styleId="510">
    <w:name w:val="Сетка таблицы51"/>
    <w:basedOn w:val="af3"/>
    <w:next w:val="affa"/>
    <w:uiPriority w:val="59"/>
    <w:rsid w:val="00802E5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f4"/>
    <w:uiPriority w:val="99"/>
    <w:semiHidden/>
    <w:unhideWhenUsed/>
    <w:rsid w:val="001B7173"/>
  </w:style>
  <w:style w:type="table" w:customStyle="1" w:styleId="520">
    <w:name w:val="Сетка таблицы52"/>
    <w:basedOn w:val="af3"/>
    <w:next w:val="affa"/>
    <w:rsid w:val="001B717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
    <w:name w:val="Нет списка52"/>
    <w:next w:val="af4"/>
    <w:uiPriority w:val="99"/>
    <w:semiHidden/>
    <w:unhideWhenUsed/>
    <w:rsid w:val="001B7173"/>
  </w:style>
  <w:style w:type="table" w:customStyle="1" w:styleId="530">
    <w:name w:val="Сетка таблицы53"/>
    <w:basedOn w:val="af3"/>
    <w:next w:val="affa"/>
    <w:rsid w:val="001B717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Style13">
    <w:name w:val="Char Style 13"/>
    <w:basedOn w:val="af2"/>
    <w:link w:val="Style20"/>
    <w:uiPriority w:val="99"/>
    <w:locked/>
    <w:rsid w:val="00DE4BB0"/>
    <w:rPr>
      <w:rFonts w:ascii="Arial" w:hAnsi="Arial" w:cs="Arial"/>
      <w:shd w:val="clear" w:color="auto" w:fill="FFFFFF"/>
    </w:rPr>
  </w:style>
  <w:style w:type="paragraph" w:customStyle="1" w:styleId="Style20">
    <w:name w:val="Style 2"/>
    <w:basedOn w:val="af1"/>
    <w:link w:val="CharStyle13"/>
    <w:uiPriority w:val="99"/>
    <w:rsid w:val="00DE4BB0"/>
    <w:pPr>
      <w:widowControl w:val="0"/>
      <w:shd w:val="clear" w:color="auto" w:fill="FFFFFF"/>
      <w:spacing w:after="300" w:line="306" w:lineRule="exact"/>
      <w:ind w:hanging="680"/>
      <w:jc w:val="both"/>
    </w:pPr>
    <w:rPr>
      <w:rFonts w:ascii="Arial" w:eastAsiaTheme="minorHAnsi" w:hAnsi="Arial" w:cs="Arial"/>
      <w:sz w:val="22"/>
      <w:szCs w:val="22"/>
      <w:lang w:eastAsia="en-US"/>
    </w:rPr>
  </w:style>
  <w:style w:type="paragraph" w:customStyle="1" w:styleId="afffffffffffe">
    <w:basedOn w:val="af1"/>
    <w:next w:val="affd"/>
    <w:uiPriority w:val="99"/>
    <w:unhideWhenUsed/>
    <w:rsid w:val="003118BA"/>
    <w:pPr>
      <w:spacing w:before="100" w:beforeAutospacing="1" w:after="100" w:afterAutospacing="1"/>
    </w:pPr>
  </w:style>
  <w:style w:type="paragraph" w:customStyle="1" w:styleId="xl286">
    <w:name w:val="xl286"/>
    <w:basedOn w:val="af1"/>
    <w:rsid w:val="009A69A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78">
    <w:name w:val="Обычный7"/>
    <w:rsid w:val="009B7D88"/>
    <w:pPr>
      <w:widowControl w:val="0"/>
      <w:suppressAutoHyphens/>
      <w:spacing w:after="0" w:line="300" w:lineRule="auto"/>
      <w:ind w:firstLine="720"/>
    </w:pPr>
    <w:rPr>
      <w:rFonts w:ascii="Times New Roman" w:eastAsia="Arial" w:hAnsi="Times New Roman" w:cs="Times New Roman"/>
      <w:sz w:val="24"/>
      <w:szCs w:val="20"/>
      <w:lang w:eastAsia="ar-SA"/>
    </w:rPr>
  </w:style>
  <w:style w:type="paragraph" w:customStyle="1" w:styleId="Pa3">
    <w:name w:val="Pa3"/>
    <w:basedOn w:val="af1"/>
    <w:next w:val="af1"/>
    <w:uiPriority w:val="99"/>
    <w:rsid w:val="00B1568F"/>
    <w:pPr>
      <w:autoSpaceDE w:val="0"/>
      <w:autoSpaceDN w:val="0"/>
      <w:adjustRightInd w:val="0"/>
      <w:spacing w:line="221" w:lineRule="atLeast"/>
    </w:pPr>
    <w:rPr>
      <w:rFonts w:ascii="OctavaC" w:hAnsi="OctavaC"/>
    </w:rPr>
  </w:style>
  <w:style w:type="paragraph" w:customStyle="1" w:styleId="Pa18">
    <w:name w:val="Pa18"/>
    <w:basedOn w:val="af1"/>
    <w:next w:val="af1"/>
    <w:uiPriority w:val="99"/>
    <w:rsid w:val="00B1568F"/>
    <w:pPr>
      <w:autoSpaceDE w:val="0"/>
      <w:autoSpaceDN w:val="0"/>
      <w:adjustRightInd w:val="0"/>
      <w:spacing w:line="221" w:lineRule="atLeast"/>
    </w:pPr>
    <w:rPr>
      <w:rFonts w:ascii="OctavaC" w:hAnsi="OctavaC"/>
    </w:rPr>
  </w:style>
  <w:style w:type="paragraph" w:customStyle="1" w:styleId="Pa10">
    <w:name w:val="Pa10"/>
    <w:basedOn w:val="af1"/>
    <w:next w:val="af1"/>
    <w:uiPriority w:val="99"/>
    <w:rsid w:val="00B1568F"/>
    <w:pPr>
      <w:autoSpaceDE w:val="0"/>
      <w:autoSpaceDN w:val="0"/>
      <w:adjustRightInd w:val="0"/>
      <w:spacing w:line="221" w:lineRule="atLeast"/>
    </w:pPr>
    <w:rPr>
      <w:rFonts w:ascii="OctavaC" w:hAnsi="OctavaC"/>
    </w:rPr>
  </w:style>
  <w:style w:type="paragraph" w:customStyle="1" w:styleId="Pa14">
    <w:name w:val="Pa14"/>
    <w:basedOn w:val="af1"/>
    <w:next w:val="af1"/>
    <w:uiPriority w:val="99"/>
    <w:rsid w:val="00B1568F"/>
    <w:pPr>
      <w:autoSpaceDE w:val="0"/>
      <w:autoSpaceDN w:val="0"/>
      <w:adjustRightInd w:val="0"/>
      <w:spacing w:line="221" w:lineRule="atLeast"/>
    </w:pPr>
    <w:rPr>
      <w:rFonts w:ascii="OctavaC" w:hAnsi="OctavaC"/>
    </w:rPr>
  </w:style>
  <w:style w:type="paragraph" w:customStyle="1" w:styleId="Pa16">
    <w:name w:val="Pa16"/>
    <w:basedOn w:val="af1"/>
    <w:next w:val="af1"/>
    <w:uiPriority w:val="99"/>
    <w:rsid w:val="00B1568F"/>
    <w:pPr>
      <w:autoSpaceDE w:val="0"/>
      <w:autoSpaceDN w:val="0"/>
      <w:adjustRightInd w:val="0"/>
      <w:spacing w:line="181" w:lineRule="atLeast"/>
    </w:pPr>
    <w:rPr>
      <w:rFonts w:ascii="OctavaC" w:hAnsi="OctavaC"/>
    </w:rPr>
  </w:style>
  <w:style w:type="paragraph" w:customStyle="1" w:styleId="Pa20">
    <w:name w:val="Pa20"/>
    <w:basedOn w:val="af1"/>
    <w:next w:val="af1"/>
    <w:uiPriority w:val="99"/>
    <w:rsid w:val="00B1568F"/>
    <w:pPr>
      <w:autoSpaceDE w:val="0"/>
      <w:autoSpaceDN w:val="0"/>
      <w:adjustRightInd w:val="0"/>
      <w:spacing w:line="181" w:lineRule="atLeast"/>
    </w:pPr>
    <w:rPr>
      <w:rFonts w:ascii="OctavaC" w:hAnsi="OctavaC"/>
    </w:rPr>
  </w:style>
  <w:style w:type="character" w:customStyle="1" w:styleId="FontStyle45">
    <w:name w:val="Font Style45"/>
    <w:rsid w:val="00B1568F"/>
    <w:rPr>
      <w:rFonts w:ascii="Times New Roman" w:hAnsi="Times New Roman" w:cs="Times New Roman"/>
      <w:sz w:val="24"/>
      <w:szCs w:val="24"/>
    </w:rPr>
  </w:style>
  <w:style w:type="character" w:customStyle="1" w:styleId="FontStyle38">
    <w:name w:val="Font Style38"/>
    <w:rsid w:val="00B1568F"/>
    <w:rPr>
      <w:rFonts w:ascii="Times New Roman" w:hAnsi="Times New Roman" w:cs="Times New Roman"/>
      <w:spacing w:val="10"/>
      <w:sz w:val="24"/>
      <w:szCs w:val="24"/>
    </w:rPr>
  </w:style>
  <w:style w:type="character" w:customStyle="1" w:styleId="1fffa">
    <w:name w:val="Номер заголовка №1_"/>
    <w:basedOn w:val="af2"/>
    <w:link w:val="1fffb"/>
    <w:uiPriority w:val="99"/>
    <w:locked/>
    <w:rsid w:val="007F330E"/>
    <w:rPr>
      <w:rFonts w:ascii="Times New Roman" w:hAnsi="Times New Roman" w:cs="Times New Roman"/>
      <w:sz w:val="28"/>
      <w:szCs w:val="28"/>
      <w:shd w:val="clear" w:color="auto" w:fill="FFFFFF"/>
    </w:rPr>
  </w:style>
  <w:style w:type="character" w:customStyle="1" w:styleId="2Corbel">
    <w:name w:val="Основной текст (2) + Corbel"/>
    <w:aliases w:val="7,5 pt2,Основной текст (2) + Garamond1,6,Основной текст (2) + Bookman Old Style"/>
    <w:basedOn w:val="24"/>
    <w:uiPriority w:val="99"/>
    <w:rsid w:val="007F330E"/>
    <w:rPr>
      <w:rFonts w:ascii="Corbel" w:eastAsia="Times New Roman" w:hAnsi="Corbel" w:cs="Corbel"/>
      <w:b/>
      <w:bCs/>
      <w:color w:val="000000"/>
      <w:spacing w:val="0"/>
      <w:w w:val="100"/>
      <w:position w:val="0"/>
      <w:sz w:val="15"/>
      <w:szCs w:val="15"/>
      <w:shd w:val="clear" w:color="auto" w:fill="FFFFFF"/>
      <w:lang w:val="ru-RU" w:eastAsia="ru-RU"/>
    </w:rPr>
  </w:style>
  <w:style w:type="paragraph" w:customStyle="1" w:styleId="1fffb">
    <w:name w:val="Номер заголовка №1"/>
    <w:basedOn w:val="af1"/>
    <w:link w:val="1fffa"/>
    <w:uiPriority w:val="99"/>
    <w:rsid w:val="007F330E"/>
    <w:pPr>
      <w:widowControl w:val="0"/>
      <w:shd w:val="clear" w:color="auto" w:fill="FFFFFF"/>
      <w:spacing w:line="317" w:lineRule="exact"/>
      <w:outlineLvl w:val="0"/>
    </w:pPr>
    <w:rPr>
      <w:rFonts w:eastAsiaTheme="minorHAnsi"/>
      <w:sz w:val="28"/>
      <w:szCs w:val="28"/>
      <w:lang w:eastAsia="en-US"/>
    </w:rPr>
  </w:style>
  <w:style w:type="character" w:customStyle="1" w:styleId="214pt">
    <w:name w:val="Основной текст (2) + 14 pt"/>
    <w:aliases w:val="Не полужирный1"/>
    <w:basedOn w:val="24"/>
    <w:uiPriority w:val="99"/>
    <w:rsid w:val="007F330E"/>
    <w:rPr>
      <w:rFonts w:ascii="Times New Roman" w:hAnsi="Times New Roman" w:cs="Times New Roman"/>
      <w:b/>
      <w:bCs/>
      <w:color w:val="000000"/>
      <w:spacing w:val="0"/>
      <w:w w:val="100"/>
      <w:position w:val="0"/>
      <w:sz w:val="28"/>
      <w:szCs w:val="28"/>
      <w:shd w:val="clear" w:color="auto" w:fill="FFFFFF"/>
      <w:lang w:val="ru-RU" w:eastAsia="ru-RU"/>
    </w:rPr>
  </w:style>
  <w:style w:type="character" w:customStyle="1" w:styleId="2ffb">
    <w:name w:val="Заголовок №2_"/>
    <w:basedOn w:val="af2"/>
    <w:link w:val="2ffc"/>
    <w:locked/>
    <w:rsid w:val="007F330E"/>
    <w:rPr>
      <w:rFonts w:ascii="Times New Roman" w:hAnsi="Times New Roman" w:cs="Times New Roman"/>
      <w:b/>
      <w:bCs/>
      <w:sz w:val="28"/>
      <w:szCs w:val="28"/>
      <w:shd w:val="clear" w:color="auto" w:fill="FFFFFF"/>
    </w:rPr>
  </w:style>
  <w:style w:type="paragraph" w:customStyle="1" w:styleId="218">
    <w:name w:val="Основной текст (2)1"/>
    <w:basedOn w:val="af1"/>
    <w:uiPriority w:val="99"/>
    <w:rsid w:val="007F330E"/>
    <w:pPr>
      <w:widowControl w:val="0"/>
      <w:shd w:val="clear" w:color="auto" w:fill="FFFFFF"/>
      <w:spacing w:after="600" w:line="317" w:lineRule="exact"/>
      <w:jc w:val="center"/>
    </w:pPr>
    <w:rPr>
      <w:rFonts w:eastAsia="Arial Unicode MS"/>
      <w:color w:val="000000"/>
      <w:sz w:val="26"/>
      <w:szCs w:val="26"/>
    </w:rPr>
  </w:style>
  <w:style w:type="paragraph" w:customStyle="1" w:styleId="2ffc">
    <w:name w:val="Заголовок №2"/>
    <w:basedOn w:val="af1"/>
    <w:link w:val="2ffb"/>
    <w:rsid w:val="007F330E"/>
    <w:pPr>
      <w:widowControl w:val="0"/>
      <w:shd w:val="clear" w:color="auto" w:fill="FFFFFF"/>
      <w:spacing w:before="600" w:line="322" w:lineRule="exact"/>
      <w:jc w:val="center"/>
      <w:outlineLvl w:val="1"/>
    </w:pPr>
    <w:rPr>
      <w:rFonts w:eastAsiaTheme="minorHAnsi"/>
      <w:b/>
      <w:bCs/>
      <w:sz w:val="28"/>
      <w:szCs w:val="28"/>
      <w:lang w:eastAsia="en-US"/>
    </w:rPr>
  </w:style>
  <w:style w:type="character" w:customStyle="1" w:styleId="28pt">
    <w:name w:val="Основной текст (2) + 8 pt"/>
    <w:aliases w:val="Курсив1,Основной текст (2) + Bookman Old Style1,6 pt1,Полужирный1"/>
    <w:basedOn w:val="24"/>
    <w:uiPriority w:val="99"/>
    <w:rsid w:val="007F330E"/>
    <w:rPr>
      <w:rFonts w:ascii="Times New Roman" w:hAnsi="Times New Roman" w:cs="Times New Roman"/>
      <w:b/>
      <w:bCs/>
      <w:i/>
      <w:iCs/>
      <w:color w:val="000000"/>
      <w:spacing w:val="0"/>
      <w:w w:val="100"/>
      <w:position w:val="0"/>
      <w:sz w:val="16"/>
      <w:szCs w:val="16"/>
      <w:shd w:val="clear" w:color="auto" w:fill="FFFFFF"/>
      <w:lang w:val="ru-RU" w:eastAsia="ru-RU"/>
    </w:rPr>
  </w:style>
  <w:style w:type="character" w:customStyle="1" w:styleId="211pt3">
    <w:name w:val="Основной текст (2) + 11 pt3"/>
    <w:basedOn w:val="24"/>
    <w:uiPriority w:val="99"/>
    <w:rsid w:val="007F330E"/>
    <w:rPr>
      <w:rFonts w:ascii="Times New Roman" w:hAnsi="Times New Roman" w:cs="Times New Roman"/>
      <w:b/>
      <w:bCs/>
      <w:color w:val="000000"/>
      <w:spacing w:val="0"/>
      <w:w w:val="100"/>
      <w:position w:val="0"/>
      <w:sz w:val="22"/>
      <w:szCs w:val="22"/>
      <w:u w:val="none"/>
      <w:shd w:val="clear" w:color="auto" w:fill="FFFFFF"/>
      <w:lang w:val="ru-RU" w:eastAsia="ru-RU"/>
    </w:rPr>
  </w:style>
  <w:style w:type="character" w:customStyle="1" w:styleId="2ffd">
    <w:name w:val="Основной текст (2) + Курсив"/>
    <w:basedOn w:val="24"/>
    <w:uiPriority w:val="99"/>
    <w:rsid w:val="007F330E"/>
    <w:rPr>
      <w:rFonts w:ascii="Times New Roman" w:hAnsi="Times New Roman" w:cs="Times New Roman"/>
      <w:b/>
      <w:bCs/>
      <w:i/>
      <w:iCs/>
      <w:color w:val="000000"/>
      <w:spacing w:val="0"/>
      <w:w w:val="100"/>
      <w:position w:val="0"/>
      <w:sz w:val="28"/>
      <w:szCs w:val="28"/>
      <w:u w:val="none"/>
      <w:shd w:val="clear" w:color="auto" w:fill="FFFFFF"/>
      <w:lang w:val="en-US" w:eastAsia="en-US"/>
    </w:rPr>
  </w:style>
  <w:style w:type="character" w:customStyle="1" w:styleId="211pt2">
    <w:name w:val="Основной текст (2) + 11 pt2"/>
    <w:basedOn w:val="24"/>
    <w:uiPriority w:val="99"/>
    <w:rsid w:val="007F330E"/>
    <w:rPr>
      <w:rFonts w:ascii="Times New Roman" w:hAnsi="Times New Roman" w:cs="Times New Roman"/>
      <w:b/>
      <w:bCs/>
      <w:color w:val="000000"/>
      <w:spacing w:val="0"/>
      <w:w w:val="100"/>
      <w:position w:val="0"/>
      <w:sz w:val="22"/>
      <w:szCs w:val="22"/>
      <w:u w:val="none"/>
      <w:shd w:val="clear" w:color="auto" w:fill="FFFFFF"/>
      <w:lang w:val="ru-RU" w:eastAsia="ru-RU"/>
    </w:rPr>
  </w:style>
  <w:style w:type="character" w:customStyle="1" w:styleId="2BookmanOldStyle3">
    <w:name w:val="Основной текст (2) + Bookman Old Style3"/>
    <w:aliases w:val="6 pt"/>
    <w:basedOn w:val="24"/>
    <w:uiPriority w:val="99"/>
    <w:rsid w:val="007F330E"/>
    <w:rPr>
      <w:rFonts w:ascii="Bookman Old Style" w:eastAsia="Times New Roman" w:hAnsi="Bookman Old Style" w:cs="Bookman Old Style"/>
      <w:b/>
      <w:bCs/>
      <w:color w:val="000000"/>
      <w:spacing w:val="0"/>
      <w:w w:val="100"/>
      <w:position w:val="0"/>
      <w:sz w:val="12"/>
      <w:szCs w:val="12"/>
      <w:u w:val="none"/>
      <w:shd w:val="clear" w:color="auto" w:fill="FFFFFF"/>
      <w:lang w:val="en-US" w:eastAsia="en-US"/>
    </w:rPr>
  </w:style>
  <w:style w:type="character" w:customStyle="1" w:styleId="24pt">
    <w:name w:val="Основной текст (2) + 4 pt"/>
    <w:basedOn w:val="24"/>
    <w:uiPriority w:val="99"/>
    <w:rsid w:val="007F330E"/>
    <w:rPr>
      <w:rFonts w:ascii="Times New Roman" w:hAnsi="Times New Roman" w:cs="Times New Roman"/>
      <w:b/>
      <w:bCs/>
      <w:color w:val="000000"/>
      <w:spacing w:val="0"/>
      <w:w w:val="100"/>
      <w:position w:val="0"/>
      <w:sz w:val="8"/>
      <w:szCs w:val="8"/>
      <w:u w:val="none"/>
      <w:shd w:val="clear" w:color="auto" w:fill="FFFFFF"/>
      <w:lang w:val="ru-RU" w:eastAsia="ru-RU"/>
    </w:rPr>
  </w:style>
  <w:style w:type="character" w:customStyle="1" w:styleId="3fc">
    <w:name w:val="Заголовок №3_"/>
    <w:basedOn w:val="af2"/>
    <w:link w:val="3fd"/>
    <w:uiPriority w:val="99"/>
    <w:locked/>
    <w:rsid w:val="007F330E"/>
    <w:rPr>
      <w:rFonts w:ascii="Times New Roman" w:hAnsi="Times New Roman" w:cs="Times New Roman"/>
      <w:sz w:val="28"/>
      <w:szCs w:val="28"/>
      <w:shd w:val="clear" w:color="auto" w:fill="FFFFFF"/>
    </w:rPr>
  </w:style>
  <w:style w:type="character" w:customStyle="1" w:styleId="211pt1">
    <w:name w:val="Основной текст (2) + 11 pt1"/>
    <w:basedOn w:val="24"/>
    <w:uiPriority w:val="99"/>
    <w:rsid w:val="007F330E"/>
    <w:rPr>
      <w:rFonts w:ascii="Times New Roman" w:hAnsi="Times New Roman" w:cs="Times New Roman"/>
      <w:b/>
      <w:bCs/>
      <w:color w:val="000000"/>
      <w:spacing w:val="0"/>
      <w:w w:val="100"/>
      <w:position w:val="0"/>
      <w:sz w:val="22"/>
      <w:szCs w:val="22"/>
      <w:u w:val="none"/>
      <w:shd w:val="clear" w:color="auto" w:fill="FFFFFF"/>
      <w:lang w:val="ru-RU" w:eastAsia="ru-RU"/>
    </w:rPr>
  </w:style>
  <w:style w:type="character" w:customStyle="1" w:styleId="2BookmanOldStyle2">
    <w:name w:val="Основной текст (2) + Bookman Old Style2"/>
    <w:aliases w:val="7 pt"/>
    <w:basedOn w:val="24"/>
    <w:uiPriority w:val="99"/>
    <w:rsid w:val="007F330E"/>
    <w:rPr>
      <w:rFonts w:ascii="Bookman Old Style" w:eastAsia="Times New Roman" w:hAnsi="Bookman Old Style" w:cs="Bookman Old Style"/>
      <w:b/>
      <w:bCs/>
      <w:color w:val="000000"/>
      <w:spacing w:val="0"/>
      <w:w w:val="100"/>
      <w:position w:val="0"/>
      <w:sz w:val="14"/>
      <w:szCs w:val="14"/>
      <w:u w:val="none"/>
      <w:shd w:val="clear" w:color="auto" w:fill="FFFFFF"/>
      <w:lang w:val="en-US" w:eastAsia="en-US"/>
    </w:rPr>
  </w:style>
  <w:style w:type="character" w:customStyle="1" w:styleId="210pt">
    <w:name w:val="Основной текст (2) + 10 pt"/>
    <w:basedOn w:val="24"/>
    <w:uiPriority w:val="99"/>
    <w:rsid w:val="007F330E"/>
    <w:rPr>
      <w:rFonts w:ascii="Times New Roman" w:hAnsi="Times New Roman" w:cs="Times New Roman"/>
      <w:b/>
      <w:bCs/>
      <w:color w:val="000000"/>
      <w:spacing w:val="0"/>
      <w:w w:val="100"/>
      <w:position w:val="0"/>
      <w:sz w:val="20"/>
      <w:szCs w:val="20"/>
      <w:u w:val="none"/>
      <w:shd w:val="clear" w:color="auto" w:fill="FFFFFF"/>
      <w:lang w:val="ru-RU" w:eastAsia="ru-RU"/>
    </w:rPr>
  </w:style>
  <w:style w:type="character" w:customStyle="1" w:styleId="2ffe">
    <w:name w:val="Основной текст (2) + Полужирный"/>
    <w:basedOn w:val="24"/>
    <w:uiPriority w:val="99"/>
    <w:rsid w:val="007F330E"/>
    <w:rPr>
      <w:rFonts w:ascii="Times New Roman" w:hAnsi="Times New Roman" w:cs="Times New Roman"/>
      <w:b/>
      <w:bCs/>
      <w:color w:val="000000"/>
      <w:spacing w:val="0"/>
      <w:w w:val="100"/>
      <w:position w:val="0"/>
      <w:sz w:val="28"/>
      <w:szCs w:val="28"/>
      <w:u w:val="none"/>
      <w:shd w:val="clear" w:color="auto" w:fill="FFFFFF"/>
      <w:lang w:val="en-US" w:eastAsia="en-US"/>
    </w:rPr>
  </w:style>
  <w:style w:type="character" w:customStyle="1" w:styleId="5d">
    <w:name w:val="Основной текст (5)_"/>
    <w:basedOn w:val="af2"/>
    <w:link w:val="5e"/>
    <w:uiPriority w:val="99"/>
    <w:locked/>
    <w:rsid w:val="007F330E"/>
    <w:rPr>
      <w:rFonts w:ascii="Times New Roman" w:hAnsi="Times New Roman" w:cs="Times New Roman"/>
      <w:spacing w:val="20"/>
      <w:shd w:val="clear" w:color="auto" w:fill="FFFFFF"/>
    </w:rPr>
  </w:style>
  <w:style w:type="character" w:customStyle="1" w:styleId="3fe">
    <w:name w:val="Подпись к таблице (3)_"/>
    <w:basedOn w:val="af2"/>
    <w:link w:val="316"/>
    <w:uiPriority w:val="99"/>
    <w:locked/>
    <w:rsid w:val="007F330E"/>
    <w:rPr>
      <w:rFonts w:ascii="Times New Roman" w:hAnsi="Times New Roman" w:cs="Times New Roman"/>
      <w:sz w:val="28"/>
      <w:szCs w:val="28"/>
      <w:shd w:val="clear" w:color="auto" w:fill="FFFFFF"/>
    </w:rPr>
  </w:style>
  <w:style w:type="character" w:customStyle="1" w:styleId="3ff">
    <w:name w:val="Подпись к таблице (3)"/>
    <w:basedOn w:val="3fe"/>
    <w:uiPriority w:val="99"/>
    <w:rsid w:val="007F330E"/>
    <w:rPr>
      <w:rFonts w:ascii="Times New Roman" w:hAnsi="Times New Roman" w:cs="Times New Roman"/>
      <w:color w:val="000000"/>
      <w:spacing w:val="0"/>
      <w:w w:val="100"/>
      <w:position w:val="0"/>
      <w:sz w:val="28"/>
      <w:szCs w:val="28"/>
      <w:u w:val="single"/>
      <w:shd w:val="clear" w:color="auto" w:fill="FFFFFF"/>
      <w:lang w:val="ru-RU" w:eastAsia="ru-RU"/>
    </w:rPr>
  </w:style>
  <w:style w:type="paragraph" w:customStyle="1" w:styleId="412">
    <w:name w:val="Основной текст (4)1"/>
    <w:basedOn w:val="af1"/>
    <w:uiPriority w:val="99"/>
    <w:rsid w:val="007F330E"/>
    <w:pPr>
      <w:widowControl w:val="0"/>
      <w:shd w:val="clear" w:color="auto" w:fill="FFFFFF"/>
      <w:spacing w:before="360" w:line="240" w:lineRule="atLeast"/>
      <w:jc w:val="center"/>
    </w:pPr>
    <w:rPr>
      <w:rFonts w:eastAsia="Arial Unicode MS"/>
      <w:color w:val="000000"/>
      <w:sz w:val="22"/>
      <w:szCs w:val="22"/>
    </w:rPr>
  </w:style>
  <w:style w:type="paragraph" w:customStyle="1" w:styleId="219">
    <w:name w:val="Подпись к таблице (2)1"/>
    <w:basedOn w:val="af1"/>
    <w:uiPriority w:val="99"/>
    <w:rsid w:val="007F330E"/>
    <w:pPr>
      <w:widowControl w:val="0"/>
      <w:shd w:val="clear" w:color="auto" w:fill="FFFFFF"/>
      <w:spacing w:line="240" w:lineRule="atLeast"/>
    </w:pPr>
    <w:rPr>
      <w:rFonts w:eastAsiaTheme="minorHAnsi"/>
      <w:spacing w:val="20"/>
      <w:sz w:val="22"/>
      <w:szCs w:val="22"/>
      <w:lang w:eastAsia="en-US"/>
    </w:rPr>
  </w:style>
  <w:style w:type="paragraph" w:customStyle="1" w:styleId="1fffc">
    <w:name w:val="Подпись к таблице1"/>
    <w:basedOn w:val="af1"/>
    <w:uiPriority w:val="99"/>
    <w:rsid w:val="007F330E"/>
    <w:pPr>
      <w:widowControl w:val="0"/>
      <w:shd w:val="clear" w:color="auto" w:fill="FFFFFF"/>
      <w:spacing w:line="240" w:lineRule="atLeast"/>
    </w:pPr>
    <w:rPr>
      <w:rFonts w:eastAsia="Arial Unicode MS"/>
      <w:color w:val="000000"/>
      <w:sz w:val="22"/>
      <w:szCs w:val="22"/>
    </w:rPr>
  </w:style>
  <w:style w:type="paragraph" w:customStyle="1" w:styleId="affffffffffff">
    <w:name w:val="Колонтитул"/>
    <w:basedOn w:val="af1"/>
    <w:uiPriority w:val="99"/>
    <w:rsid w:val="007F330E"/>
    <w:pPr>
      <w:widowControl w:val="0"/>
      <w:shd w:val="clear" w:color="auto" w:fill="FFFFFF"/>
      <w:spacing w:line="240" w:lineRule="atLeast"/>
    </w:pPr>
    <w:rPr>
      <w:rFonts w:ascii="Franklin Gothic Medium" w:hAnsi="Franklin Gothic Medium" w:cs="Franklin Gothic Medium"/>
      <w:i/>
      <w:iCs/>
      <w:sz w:val="13"/>
      <w:szCs w:val="13"/>
      <w:lang w:eastAsia="en-US"/>
    </w:rPr>
  </w:style>
  <w:style w:type="paragraph" w:customStyle="1" w:styleId="3fd">
    <w:name w:val="Заголовок №3"/>
    <w:basedOn w:val="af1"/>
    <w:link w:val="3fc"/>
    <w:uiPriority w:val="99"/>
    <w:rsid w:val="007F330E"/>
    <w:pPr>
      <w:widowControl w:val="0"/>
      <w:shd w:val="clear" w:color="auto" w:fill="FFFFFF"/>
      <w:spacing w:before="60" w:line="240" w:lineRule="atLeast"/>
      <w:jc w:val="center"/>
      <w:outlineLvl w:val="2"/>
    </w:pPr>
    <w:rPr>
      <w:rFonts w:eastAsiaTheme="minorHAnsi"/>
      <w:sz w:val="28"/>
      <w:szCs w:val="28"/>
      <w:lang w:eastAsia="en-US"/>
    </w:rPr>
  </w:style>
  <w:style w:type="paragraph" w:customStyle="1" w:styleId="5e">
    <w:name w:val="Основной текст (5)"/>
    <w:basedOn w:val="af1"/>
    <w:link w:val="5d"/>
    <w:uiPriority w:val="99"/>
    <w:rsid w:val="007F330E"/>
    <w:pPr>
      <w:widowControl w:val="0"/>
      <w:shd w:val="clear" w:color="auto" w:fill="FFFFFF"/>
      <w:spacing w:before="540" w:line="240" w:lineRule="atLeast"/>
      <w:jc w:val="center"/>
    </w:pPr>
    <w:rPr>
      <w:rFonts w:eastAsiaTheme="minorHAnsi"/>
      <w:spacing w:val="20"/>
      <w:sz w:val="22"/>
      <w:szCs w:val="22"/>
      <w:lang w:eastAsia="en-US"/>
    </w:rPr>
  </w:style>
  <w:style w:type="paragraph" w:customStyle="1" w:styleId="316">
    <w:name w:val="Подпись к таблице (3)1"/>
    <w:basedOn w:val="af1"/>
    <w:link w:val="3fe"/>
    <w:uiPriority w:val="99"/>
    <w:rsid w:val="007F330E"/>
    <w:pPr>
      <w:widowControl w:val="0"/>
      <w:shd w:val="clear" w:color="auto" w:fill="FFFFFF"/>
      <w:spacing w:line="240" w:lineRule="atLeast"/>
    </w:pPr>
    <w:rPr>
      <w:rFonts w:eastAsiaTheme="minorHAnsi"/>
      <w:sz w:val="28"/>
      <w:szCs w:val="28"/>
      <w:lang w:eastAsia="en-US"/>
    </w:rPr>
  </w:style>
  <w:style w:type="character" w:customStyle="1" w:styleId="ConsPlusNormal10">
    <w:name w:val="ConsPlusNormal1"/>
    <w:locked/>
    <w:rsid w:val="00BD665F"/>
    <w:rPr>
      <w:sz w:val="28"/>
      <w:szCs w:val="28"/>
    </w:rPr>
  </w:style>
  <w:style w:type="character" w:customStyle="1" w:styleId="FontStyle78">
    <w:name w:val="Font Style78"/>
    <w:uiPriority w:val="99"/>
    <w:rsid w:val="002445A1"/>
    <w:rPr>
      <w:rFonts w:ascii="Cambria" w:hAnsi="Cambria" w:cs="Cambria"/>
      <w:i/>
      <w:iCs/>
      <w:sz w:val="16"/>
      <w:szCs w:val="16"/>
    </w:rPr>
  </w:style>
  <w:style w:type="character" w:customStyle="1" w:styleId="2fff">
    <w:name w:val="Номер заголовка №2_"/>
    <w:basedOn w:val="af2"/>
    <w:link w:val="2fff0"/>
    <w:rsid w:val="002445A1"/>
    <w:rPr>
      <w:shd w:val="clear" w:color="auto" w:fill="FFFFFF"/>
    </w:rPr>
  </w:style>
  <w:style w:type="paragraph" w:customStyle="1" w:styleId="2fff0">
    <w:name w:val="Номер заголовка №2"/>
    <w:basedOn w:val="af1"/>
    <w:link w:val="2fff"/>
    <w:rsid w:val="002445A1"/>
    <w:pPr>
      <w:widowControl w:val="0"/>
      <w:shd w:val="clear" w:color="auto" w:fill="FFFFFF"/>
      <w:spacing w:before="240" w:after="360" w:line="0" w:lineRule="atLeast"/>
      <w:jc w:val="center"/>
    </w:pPr>
    <w:rPr>
      <w:rFonts w:asciiTheme="minorHAnsi" w:eastAsiaTheme="minorHAnsi" w:hAnsiTheme="minorHAnsi" w:cstheme="minorBidi"/>
      <w:sz w:val="22"/>
      <w:szCs w:val="22"/>
      <w:lang w:eastAsia="en-US"/>
    </w:rPr>
  </w:style>
  <w:style w:type="character" w:customStyle="1" w:styleId="searchresult">
    <w:name w:val="search_result"/>
    <w:basedOn w:val="af2"/>
    <w:rsid w:val="002445A1"/>
  </w:style>
  <w:style w:type="table" w:customStyle="1" w:styleId="540">
    <w:name w:val="Сетка таблицы54"/>
    <w:basedOn w:val="af3"/>
    <w:next w:val="affa"/>
    <w:uiPriority w:val="59"/>
    <w:rsid w:val="00C51C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
    <w:name w:val="Нет списка53"/>
    <w:next w:val="af4"/>
    <w:uiPriority w:val="99"/>
    <w:semiHidden/>
    <w:unhideWhenUsed/>
    <w:rsid w:val="00530C28"/>
  </w:style>
  <w:style w:type="table" w:customStyle="1" w:styleId="550">
    <w:name w:val="Сетка таблицы55"/>
    <w:basedOn w:val="af3"/>
    <w:next w:val="affa"/>
    <w:uiPriority w:val="59"/>
    <w:rsid w:val="00530C28"/>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413">
    <w:name w:val="Заголовок 41"/>
    <w:basedOn w:val="af1"/>
    <w:next w:val="af1"/>
    <w:uiPriority w:val="9"/>
    <w:unhideWhenUsed/>
    <w:qFormat/>
    <w:rsid w:val="003C2514"/>
    <w:pPr>
      <w:keepNext/>
      <w:keepLines/>
      <w:spacing w:before="40"/>
      <w:outlineLvl w:val="3"/>
    </w:pPr>
    <w:rPr>
      <w:rFonts w:ascii="Cambria" w:hAnsi="Cambria"/>
      <w:i/>
      <w:iCs/>
      <w:color w:val="365F91"/>
    </w:rPr>
  </w:style>
  <w:style w:type="character" w:customStyle="1" w:styleId="1fffd">
    <w:name w:val="Просмотренная гиперссылка1"/>
    <w:basedOn w:val="af2"/>
    <w:uiPriority w:val="99"/>
    <w:semiHidden/>
    <w:unhideWhenUsed/>
    <w:rsid w:val="003C2514"/>
    <w:rPr>
      <w:color w:val="800080"/>
      <w:u w:val="single"/>
    </w:rPr>
  </w:style>
  <w:style w:type="character" w:customStyle="1" w:styleId="414">
    <w:name w:val="Заголовок 4 Знак1"/>
    <w:basedOn w:val="af2"/>
    <w:uiPriority w:val="9"/>
    <w:semiHidden/>
    <w:rsid w:val="003C2514"/>
    <w:rPr>
      <w:rFonts w:asciiTheme="majorHAnsi" w:eastAsiaTheme="majorEastAsia" w:hAnsiTheme="majorHAnsi" w:cstheme="majorBidi"/>
      <w:i/>
      <w:iCs/>
      <w:color w:val="365F91" w:themeColor="accent1" w:themeShade="BF"/>
    </w:rPr>
  </w:style>
  <w:style w:type="table" w:customStyle="1" w:styleId="560">
    <w:name w:val="Сетка таблицы56"/>
    <w:basedOn w:val="af3"/>
    <w:next w:val="affa"/>
    <w:uiPriority w:val="39"/>
    <w:rsid w:val="00D92C80"/>
    <w:pPr>
      <w:spacing w:after="0" w:line="240" w:lineRule="auto"/>
    </w:pPr>
    <w:rPr>
      <w:rFonts w:ascii="Times New Roman" w:eastAsia="Times New Roman" w:hAnsi="Times New Roman" w:cs="Times New Roman"/>
      <w:sz w:val="20"/>
      <w:szCs w:val="20"/>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73">
    <w:name w:val="Сетка таблицы57"/>
    <w:basedOn w:val="af3"/>
    <w:next w:val="affa"/>
    <w:uiPriority w:val="59"/>
    <w:rsid w:val="009C32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f0">
    <w:name w:val="Текст3"/>
    <w:basedOn w:val="af1"/>
    <w:rsid w:val="00817E61"/>
    <w:pPr>
      <w:widowControl w:val="0"/>
      <w:overflowPunct w:val="0"/>
      <w:autoSpaceDE w:val="0"/>
      <w:autoSpaceDN w:val="0"/>
      <w:adjustRightInd w:val="0"/>
      <w:ind w:firstLine="709"/>
      <w:jc w:val="both"/>
      <w:textAlignment w:val="baseline"/>
    </w:pPr>
    <w:rPr>
      <w:rFonts w:ascii="Courier New" w:hAnsi="Courier New"/>
      <w:sz w:val="20"/>
      <w:szCs w:val="20"/>
    </w:rPr>
  </w:style>
  <w:style w:type="table" w:customStyle="1" w:styleId="580">
    <w:name w:val="Сетка таблицы58"/>
    <w:basedOn w:val="af3"/>
    <w:next w:val="affa"/>
    <w:uiPriority w:val="59"/>
    <w:rsid w:val="006578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0">
    <w:name w:val="Заголовок"/>
    <w:basedOn w:val="af1"/>
    <w:next w:val="af5"/>
    <w:rsid w:val="00927A34"/>
    <w:pPr>
      <w:keepNext/>
      <w:widowControl w:val="0"/>
      <w:suppressAutoHyphens/>
      <w:spacing w:before="240" w:after="120"/>
    </w:pPr>
    <w:rPr>
      <w:rFonts w:ascii="Arial" w:eastAsia="Lucida Sans Unicode" w:hAnsi="Arial" w:cs="Mangal"/>
      <w:kern w:val="1"/>
      <w:sz w:val="28"/>
      <w:szCs w:val="28"/>
      <w:lang w:eastAsia="zh-CN" w:bidi="hi-IN"/>
    </w:rPr>
  </w:style>
  <w:style w:type="numbering" w:customStyle="1" w:styleId="541">
    <w:name w:val="Нет списка54"/>
    <w:next w:val="af4"/>
    <w:uiPriority w:val="99"/>
    <w:semiHidden/>
    <w:unhideWhenUsed/>
    <w:rsid w:val="00E049CB"/>
  </w:style>
  <w:style w:type="table" w:customStyle="1" w:styleId="590">
    <w:name w:val="Сетка таблицы59"/>
    <w:basedOn w:val="af3"/>
    <w:next w:val="affa"/>
    <w:uiPriority w:val="39"/>
    <w:rsid w:val="00E049CB"/>
    <w:pPr>
      <w:spacing w:after="0" w:line="240" w:lineRule="auto"/>
      <w:ind w:firstLine="709"/>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91">
    <w:name w:val="s_91"/>
    <w:basedOn w:val="af1"/>
    <w:rsid w:val="00E049CB"/>
    <w:pPr>
      <w:spacing w:before="100" w:beforeAutospacing="1" w:after="100" w:afterAutospacing="1"/>
    </w:pPr>
  </w:style>
  <w:style w:type="paragraph" w:customStyle="1" w:styleId="footnotedescription">
    <w:name w:val="footnote description"/>
    <w:next w:val="af1"/>
    <w:link w:val="footnotedescriptionChar"/>
    <w:hidden/>
    <w:rsid w:val="009505BC"/>
    <w:pPr>
      <w:spacing w:after="0" w:line="259" w:lineRule="auto"/>
    </w:pPr>
    <w:rPr>
      <w:rFonts w:ascii="Times New Roman" w:eastAsia="Times New Roman" w:hAnsi="Times New Roman" w:cs="Times New Roman"/>
      <w:color w:val="000000"/>
      <w:sz w:val="20"/>
      <w:szCs w:val="20"/>
      <w:lang w:eastAsia="ru-RU"/>
    </w:rPr>
  </w:style>
  <w:style w:type="character" w:customStyle="1" w:styleId="footnotedescriptionChar">
    <w:name w:val="footnote description Char"/>
    <w:link w:val="footnotedescription"/>
    <w:rsid w:val="009505BC"/>
    <w:rPr>
      <w:rFonts w:ascii="Times New Roman" w:eastAsia="Times New Roman" w:hAnsi="Times New Roman" w:cs="Times New Roman"/>
      <w:color w:val="000000"/>
      <w:sz w:val="20"/>
      <w:szCs w:val="20"/>
      <w:lang w:eastAsia="ru-RU"/>
    </w:rPr>
  </w:style>
  <w:style w:type="character" w:customStyle="1" w:styleId="footnotemark">
    <w:name w:val="footnote mark"/>
    <w:hidden/>
    <w:rsid w:val="009505BC"/>
    <w:rPr>
      <w:rFonts w:ascii="Times New Roman" w:eastAsia="Times New Roman" w:hAnsi="Times New Roman" w:cs="Times New Roman"/>
      <w:color w:val="000000"/>
      <w:sz w:val="20"/>
      <w:vertAlign w:val="superscript"/>
    </w:rPr>
  </w:style>
  <w:style w:type="table" w:customStyle="1" w:styleId="TableGrid">
    <w:name w:val="TableGrid"/>
    <w:rsid w:val="009505BC"/>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character" w:customStyle="1" w:styleId="affffffffffff1">
    <w:name w:val="Неразрешенное упоминание"/>
    <w:uiPriority w:val="99"/>
    <w:semiHidden/>
    <w:unhideWhenUsed/>
    <w:rsid w:val="009505BC"/>
    <w:rPr>
      <w:color w:val="605E5C"/>
      <w:shd w:val="clear" w:color="auto" w:fill="E1DFDD"/>
    </w:rPr>
  </w:style>
  <w:style w:type="paragraph" w:customStyle="1" w:styleId="Pa12">
    <w:name w:val="Pa12"/>
    <w:basedOn w:val="af1"/>
    <w:next w:val="af1"/>
    <w:uiPriority w:val="99"/>
    <w:rsid w:val="00336C6E"/>
    <w:pPr>
      <w:autoSpaceDE w:val="0"/>
      <w:autoSpaceDN w:val="0"/>
      <w:adjustRightInd w:val="0"/>
      <w:spacing w:line="221" w:lineRule="atLeast"/>
    </w:pPr>
    <w:rPr>
      <w:rFonts w:ascii="OctavaC" w:eastAsiaTheme="minorHAnsi" w:hAnsi="OctavaC" w:cstheme="minorBidi"/>
      <w:lang w:eastAsia="en-US"/>
    </w:rPr>
  </w:style>
  <w:style w:type="paragraph" w:customStyle="1" w:styleId="Pa1">
    <w:name w:val="Pa1"/>
    <w:basedOn w:val="af1"/>
    <w:next w:val="af1"/>
    <w:uiPriority w:val="99"/>
    <w:rsid w:val="00336C6E"/>
    <w:pPr>
      <w:autoSpaceDE w:val="0"/>
      <w:autoSpaceDN w:val="0"/>
      <w:adjustRightInd w:val="0"/>
      <w:spacing w:line="221" w:lineRule="atLeast"/>
    </w:pPr>
    <w:rPr>
      <w:rFonts w:ascii="OctavaC" w:eastAsiaTheme="minorHAnsi" w:hAnsi="OctavaC" w:cstheme="minorBidi"/>
      <w:lang w:eastAsia="en-US"/>
    </w:rPr>
  </w:style>
  <w:style w:type="paragraph" w:customStyle="1" w:styleId="Pa0">
    <w:name w:val="Pa0"/>
    <w:basedOn w:val="Default"/>
    <w:next w:val="Default"/>
    <w:uiPriority w:val="99"/>
    <w:rsid w:val="00336C6E"/>
    <w:pPr>
      <w:spacing w:line="221" w:lineRule="atLeast"/>
    </w:pPr>
    <w:rPr>
      <w:rFonts w:ascii="OctavaC" w:eastAsiaTheme="minorHAnsi" w:hAnsi="OctavaC" w:cstheme="minorBidi"/>
      <w:color w:val="auto"/>
    </w:rPr>
  </w:style>
  <w:style w:type="numbering" w:customStyle="1" w:styleId="551">
    <w:name w:val="Нет списка55"/>
    <w:next w:val="af4"/>
    <w:uiPriority w:val="99"/>
    <w:semiHidden/>
    <w:unhideWhenUsed/>
    <w:rsid w:val="00490690"/>
  </w:style>
  <w:style w:type="table" w:customStyle="1" w:styleId="600">
    <w:name w:val="Сетка таблицы60"/>
    <w:basedOn w:val="af3"/>
    <w:next w:val="affa"/>
    <w:uiPriority w:val="59"/>
    <w:rsid w:val="00490690"/>
    <w:pPr>
      <w:widowControl w:val="0"/>
      <w:snapToGrid w:val="0"/>
      <w:spacing w:after="0" w:line="259" w:lineRule="auto"/>
      <w:ind w:firstLine="60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3">
    <w:name w:val="Обычный + 14 пт"/>
    <w:basedOn w:val="af1"/>
    <w:link w:val="144"/>
    <w:rsid w:val="00CB64D4"/>
    <w:pPr>
      <w:shd w:val="clear" w:color="auto" w:fill="FFFFFF"/>
      <w:spacing w:line="276" w:lineRule="auto"/>
      <w:ind w:firstLine="709"/>
      <w:jc w:val="both"/>
      <w:textAlignment w:val="top"/>
    </w:pPr>
    <w:rPr>
      <w:rFonts w:eastAsia="Calibri"/>
      <w:sz w:val="22"/>
      <w:szCs w:val="22"/>
    </w:rPr>
  </w:style>
  <w:style w:type="character" w:customStyle="1" w:styleId="144">
    <w:name w:val="Обычный + 14 пт Знак"/>
    <w:link w:val="143"/>
    <w:locked/>
    <w:rsid w:val="00CB64D4"/>
    <w:rPr>
      <w:rFonts w:ascii="Times New Roman" w:eastAsia="Calibri" w:hAnsi="Times New Roman" w:cs="Times New Roman"/>
      <w:shd w:val="clear" w:color="auto" w:fill="FFFFFF"/>
      <w:lang w:eastAsia="ru-RU"/>
    </w:rPr>
  </w:style>
  <w:style w:type="numbering" w:customStyle="1" w:styleId="561">
    <w:name w:val="Нет списка56"/>
    <w:next w:val="af4"/>
    <w:uiPriority w:val="99"/>
    <w:semiHidden/>
    <w:unhideWhenUsed/>
    <w:rsid w:val="004462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988712">
      <w:bodyDiv w:val="1"/>
      <w:marLeft w:val="0"/>
      <w:marRight w:val="0"/>
      <w:marTop w:val="0"/>
      <w:marBottom w:val="0"/>
      <w:divBdr>
        <w:top w:val="none" w:sz="0" w:space="0" w:color="auto"/>
        <w:left w:val="none" w:sz="0" w:space="0" w:color="auto"/>
        <w:bottom w:val="none" w:sz="0" w:space="0" w:color="auto"/>
        <w:right w:val="none" w:sz="0" w:space="0" w:color="auto"/>
      </w:divBdr>
    </w:div>
    <w:div w:id="138032830">
      <w:bodyDiv w:val="1"/>
      <w:marLeft w:val="0"/>
      <w:marRight w:val="0"/>
      <w:marTop w:val="0"/>
      <w:marBottom w:val="0"/>
      <w:divBdr>
        <w:top w:val="none" w:sz="0" w:space="0" w:color="auto"/>
        <w:left w:val="none" w:sz="0" w:space="0" w:color="auto"/>
        <w:bottom w:val="none" w:sz="0" w:space="0" w:color="auto"/>
        <w:right w:val="none" w:sz="0" w:space="0" w:color="auto"/>
      </w:divBdr>
    </w:div>
    <w:div w:id="140315419">
      <w:bodyDiv w:val="1"/>
      <w:marLeft w:val="0"/>
      <w:marRight w:val="0"/>
      <w:marTop w:val="0"/>
      <w:marBottom w:val="0"/>
      <w:divBdr>
        <w:top w:val="none" w:sz="0" w:space="0" w:color="auto"/>
        <w:left w:val="none" w:sz="0" w:space="0" w:color="auto"/>
        <w:bottom w:val="none" w:sz="0" w:space="0" w:color="auto"/>
        <w:right w:val="none" w:sz="0" w:space="0" w:color="auto"/>
      </w:divBdr>
    </w:div>
    <w:div w:id="215092129">
      <w:bodyDiv w:val="1"/>
      <w:marLeft w:val="0"/>
      <w:marRight w:val="0"/>
      <w:marTop w:val="0"/>
      <w:marBottom w:val="0"/>
      <w:divBdr>
        <w:top w:val="none" w:sz="0" w:space="0" w:color="auto"/>
        <w:left w:val="none" w:sz="0" w:space="0" w:color="auto"/>
        <w:bottom w:val="none" w:sz="0" w:space="0" w:color="auto"/>
        <w:right w:val="none" w:sz="0" w:space="0" w:color="auto"/>
      </w:divBdr>
    </w:div>
    <w:div w:id="224492214">
      <w:bodyDiv w:val="1"/>
      <w:marLeft w:val="0"/>
      <w:marRight w:val="0"/>
      <w:marTop w:val="0"/>
      <w:marBottom w:val="0"/>
      <w:divBdr>
        <w:top w:val="none" w:sz="0" w:space="0" w:color="auto"/>
        <w:left w:val="none" w:sz="0" w:space="0" w:color="auto"/>
        <w:bottom w:val="none" w:sz="0" w:space="0" w:color="auto"/>
        <w:right w:val="none" w:sz="0" w:space="0" w:color="auto"/>
      </w:divBdr>
    </w:div>
    <w:div w:id="252009633">
      <w:bodyDiv w:val="1"/>
      <w:marLeft w:val="0"/>
      <w:marRight w:val="0"/>
      <w:marTop w:val="0"/>
      <w:marBottom w:val="0"/>
      <w:divBdr>
        <w:top w:val="none" w:sz="0" w:space="0" w:color="auto"/>
        <w:left w:val="none" w:sz="0" w:space="0" w:color="auto"/>
        <w:bottom w:val="none" w:sz="0" w:space="0" w:color="auto"/>
        <w:right w:val="none" w:sz="0" w:space="0" w:color="auto"/>
      </w:divBdr>
    </w:div>
    <w:div w:id="264191943">
      <w:bodyDiv w:val="1"/>
      <w:marLeft w:val="0"/>
      <w:marRight w:val="0"/>
      <w:marTop w:val="0"/>
      <w:marBottom w:val="0"/>
      <w:divBdr>
        <w:top w:val="none" w:sz="0" w:space="0" w:color="auto"/>
        <w:left w:val="none" w:sz="0" w:space="0" w:color="auto"/>
        <w:bottom w:val="none" w:sz="0" w:space="0" w:color="auto"/>
        <w:right w:val="none" w:sz="0" w:space="0" w:color="auto"/>
      </w:divBdr>
    </w:div>
    <w:div w:id="300890127">
      <w:bodyDiv w:val="1"/>
      <w:marLeft w:val="0"/>
      <w:marRight w:val="0"/>
      <w:marTop w:val="0"/>
      <w:marBottom w:val="0"/>
      <w:divBdr>
        <w:top w:val="none" w:sz="0" w:space="0" w:color="auto"/>
        <w:left w:val="none" w:sz="0" w:space="0" w:color="auto"/>
        <w:bottom w:val="none" w:sz="0" w:space="0" w:color="auto"/>
        <w:right w:val="none" w:sz="0" w:space="0" w:color="auto"/>
      </w:divBdr>
    </w:div>
    <w:div w:id="322900370">
      <w:bodyDiv w:val="1"/>
      <w:marLeft w:val="0"/>
      <w:marRight w:val="0"/>
      <w:marTop w:val="0"/>
      <w:marBottom w:val="0"/>
      <w:divBdr>
        <w:top w:val="none" w:sz="0" w:space="0" w:color="auto"/>
        <w:left w:val="none" w:sz="0" w:space="0" w:color="auto"/>
        <w:bottom w:val="none" w:sz="0" w:space="0" w:color="auto"/>
        <w:right w:val="none" w:sz="0" w:space="0" w:color="auto"/>
      </w:divBdr>
    </w:div>
    <w:div w:id="345913039">
      <w:bodyDiv w:val="1"/>
      <w:marLeft w:val="0"/>
      <w:marRight w:val="0"/>
      <w:marTop w:val="0"/>
      <w:marBottom w:val="0"/>
      <w:divBdr>
        <w:top w:val="none" w:sz="0" w:space="0" w:color="auto"/>
        <w:left w:val="none" w:sz="0" w:space="0" w:color="auto"/>
        <w:bottom w:val="none" w:sz="0" w:space="0" w:color="auto"/>
        <w:right w:val="none" w:sz="0" w:space="0" w:color="auto"/>
      </w:divBdr>
    </w:div>
    <w:div w:id="363100285">
      <w:bodyDiv w:val="1"/>
      <w:marLeft w:val="0"/>
      <w:marRight w:val="0"/>
      <w:marTop w:val="0"/>
      <w:marBottom w:val="0"/>
      <w:divBdr>
        <w:top w:val="none" w:sz="0" w:space="0" w:color="auto"/>
        <w:left w:val="none" w:sz="0" w:space="0" w:color="auto"/>
        <w:bottom w:val="none" w:sz="0" w:space="0" w:color="auto"/>
        <w:right w:val="none" w:sz="0" w:space="0" w:color="auto"/>
      </w:divBdr>
    </w:div>
    <w:div w:id="387606148">
      <w:bodyDiv w:val="1"/>
      <w:marLeft w:val="0"/>
      <w:marRight w:val="0"/>
      <w:marTop w:val="0"/>
      <w:marBottom w:val="0"/>
      <w:divBdr>
        <w:top w:val="none" w:sz="0" w:space="0" w:color="auto"/>
        <w:left w:val="none" w:sz="0" w:space="0" w:color="auto"/>
        <w:bottom w:val="none" w:sz="0" w:space="0" w:color="auto"/>
        <w:right w:val="none" w:sz="0" w:space="0" w:color="auto"/>
      </w:divBdr>
    </w:div>
    <w:div w:id="409812016">
      <w:bodyDiv w:val="1"/>
      <w:marLeft w:val="0"/>
      <w:marRight w:val="0"/>
      <w:marTop w:val="0"/>
      <w:marBottom w:val="0"/>
      <w:divBdr>
        <w:top w:val="none" w:sz="0" w:space="0" w:color="auto"/>
        <w:left w:val="none" w:sz="0" w:space="0" w:color="auto"/>
        <w:bottom w:val="none" w:sz="0" w:space="0" w:color="auto"/>
        <w:right w:val="none" w:sz="0" w:space="0" w:color="auto"/>
      </w:divBdr>
    </w:div>
    <w:div w:id="427510595">
      <w:bodyDiv w:val="1"/>
      <w:marLeft w:val="0"/>
      <w:marRight w:val="0"/>
      <w:marTop w:val="0"/>
      <w:marBottom w:val="0"/>
      <w:divBdr>
        <w:top w:val="none" w:sz="0" w:space="0" w:color="auto"/>
        <w:left w:val="none" w:sz="0" w:space="0" w:color="auto"/>
        <w:bottom w:val="none" w:sz="0" w:space="0" w:color="auto"/>
        <w:right w:val="none" w:sz="0" w:space="0" w:color="auto"/>
      </w:divBdr>
    </w:div>
    <w:div w:id="437019255">
      <w:bodyDiv w:val="1"/>
      <w:marLeft w:val="0"/>
      <w:marRight w:val="0"/>
      <w:marTop w:val="0"/>
      <w:marBottom w:val="0"/>
      <w:divBdr>
        <w:top w:val="none" w:sz="0" w:space="0" w:color="auto"/>
        <w:left w:val="none" w:sz="0" w:space="0" w:color="auto"/>
        <w:bottom w:val="none" w:sz="0" w:space="0" w:color="auto"/>
        <w:right w:val="none" w:sz="0" w:space="0" w:color="auto"/>
      </w:divBdr>
    </w:div>
    <w:div w:id="438763714">
      <w:bodyDiv w:val="1"/>
      <w:marLeft w:val="0"/>
      <w:marRight w:val="0"/>
      <w:marTop w:val="0"/>
      <w:marBottom w:val="0"/>
      <w:divBdr>
        <w:top w:val="none" w:sz="0" w:space="0" w:color="auto"/>
        <w:left w:val="none" w:sz="0" w:space="0" w:color="auto"/>
        <w:bottom w:val="none" w:sz="0" w:space="0" w:color="auto"/>
        <w:right w:val="none" w:sz="0" w:space="0" w:color="auto"/>
      </w:divBdr>
    </w:div>
    <w:div w:id="451285864">
      <w:bodyDiv w:val="1"/>
      <w:marLeft w:val="0"/>
      <w:marRight w:val="0"/>
      <w:marTop w:val="0"/>
      <w:marBottom w:val="0"/>
      <w:divBdr>
        <w:top w:val="none" w:sz="0" w:space="0" w:color="auto"/>
        <w:left w:val="none" w:sz="0" w:space="0" w:color="auto"/>
        <w:bottom w:val="none" w:sz="0" w:space="0" w:color="auto"/>
        <w:right w:val="none" w:sz="0" w:space="0" w:color="auto"/>
      </w:divBdr>
    </w:div>
    <w:div w:id="469904667">
      <w:bodyDiv w:val="1"/>
      <w:marLeft w:val="0"/>
      <w:marRight w:val="0"/>
      <w:marTop w:val="0"/>
      <w:marBottom w:val="0"/>
      <w:divBdr>
        <w:top w:val="none" w:sz="0" w:space="0" w:color="auto"/>
        <w:left w:val="none" w:sz="0" w:space="0" w:color="auto"/>
        <w:bottom w:val="none" w:sz="0" w:space="0" w:color="auto"/>
        <w:right w:val="none" w:sz="0" w:space="0" w:color="auto"/>
      </w:divBdr>
    </w:div>
    <w:div w:id="509300527">
      <w:bodyDiv w:val="1"/>
      <w:marLeft w:val="0"/>
      <w:marRight w:val="0"/>
      <w:marTop w:val="0"/>
      <w:marBottom w:val="0"/>
      <w:divBdr>
        <w:top w:val="none" w:sz="0" w:space="0" w:color="auto"/>
        <w:left w:val="none" w:sz="0" w:space="0" w:color="auto"/>
        <w:bottom w:val="none" w:sz="0" w:space="0" w:color="auto"/>
        <w:right w:val="none" w:sz="0" w:space="0" w:color="auto"/>
      </w:divBdr>
    </w:div>
    <w:div w:id="513690464">
      <w:bodyDiv w:val="1"/>
      <w:marLeft w:val="0"/>
      <w:marRight w:val="0"/>
      <w:marTop w:val="0"/>
      <w:marBottom w:val="0"/>
      <w:divBdr>
        <w:top w:val="none" w:sz="0" w:space="0" w:color="auto"/>
        <w:left w:val="none" w:sz="0" w:space="0" w:color="auto"/>
        <w:bottom w:val="none" w:sz="0" w:space="0" w:color="auto"/>
        <w:right w:val="none" w:sz="0" w:space="0" w:color="auto"/>
      </w:divBdr>
    </w:div>
    <w:div w:id="518737649">
      <w:bodyDiv w:val="1"/>
      <w:marLeft w:val="0"/>
      <w:marRight w:val="0"/>
      <w:marTop w:val="0"/>
      <w:marBottom w:val="0"/>
      <w:divBdr>
        <w:top w:val="none" w:sz="0" w:space="0" w:color="auto"/>
        <w:left w:val="none" w:sz="0" w:space="0" w:color="auto"/>
        <w:bottom w:val="none" w:sz="0" w:space="0" w:color="auto"/>
        <w:right w:val="none" w:sz="0" w:space="0" w:color="auto"/>
      </w:divBdr>
    </w:div>
    <w:div w:id="523717400">
      <w:bodyDiv w:val="1"/>
      <w:marLeft w:val="0"/>
      <w:marRight w:val="0"/>
      <w:marTop w:val="0"/>
      <w:marBottom w:val="0"/>
      <w:divBdr>
        <w:top w:val="none" w:sz="0" w:space="0" w:color="auto"/>
        <w:left w:val="none" w:sz="0" w:space="0" w:color="auto"/>
        <w:bottom w:val="none" w:sz="0" w:space="0" w:color="auto"/>
        <w:right w:val="none" w:sz="0" w:space="0" w:color="auto"/>
      </w:divBdr>
    </w:div>
    <w:div w:id="534194370">
      <w:bodyDiv w:val="1"/>
      <w:marLeft w:val="0"/>
      <w:marRight w:val="0"/>
      <w:marTop w:val="0"/>
      <w:marBottom w:val="0"/>
      <w:divBdr>
        <w:top w:val="none" w:sz="0" w:space="0" w:color="auto"/>
        <w:left w:val="none" w:sz="0" w:space="0" w:color="auto"/>
        <w:bottom w:val="none" w:sz="0" w:space="0" w:color="auto"/>
        <w:right w:val="none" w:sz="0" w:space="0" w:color="auto"/>
      </w:divBdr>
    </w:div>
    <w:div w:id="534317218">
      <w:bodyDiv w:val="1"/>
      <w:marLeft w:val="0"/>
      <w:marRight w:val="0"/>
      <w:marTop w:val="0"/>
      <w:marBottom w:val="0"/>
      <w:divBdr>
        <w:top w:val="none" w:sz="0" w:space="0" w:color="auto"/>
        <w:left w:val="none" w:sz="0" w:space="0" w:color="auto"/>
        <w:bottom w:val="none" w:sz="0" w:space="0" w:color="auto"/>
        <w:right w:val="none" w:sz="0" w:space="0" w:color="auto"/>
      </w:divBdr>
    </w:div>
    <w:div w:id="580138592">
      <w:bodyDiv w:val="1"/>
      <w:marLeft w:val="0"/>
      <w:marRight w:val="0"/>
      <w:marTop w:val="0"/>
      <w:marBottom w:val="0"/>
      <w:divBdr>
        <w:top w:val="none" w:sz="0" w:space="0" w:color="auto"/>
        <w:left w:val="none" w:sz="0" w:space="0" w:color="auto"/>
        <w:bottom w:val="none" w:sz="0" w:space="0" w:color="auto"/>
        <w:right w:val="none" w:sz="0" w:space="0" w:color="auto"/>
      </w:divBdr>
    </w:div>
    <w:div w:id="581448901">
      <w:bodyDiv w:val="1"/>
      <w:marLeft w:val="0"/>
      <w:marRight w:val="0"/>
      <w:marTop w:val="0"/>
      <w:marBottom w:val="0"/>
      <w:divBdr>
        <w:top w:val="none" w:sz="0" w:space="0" w:color="auto"/>
        <w:left w:val="none" w:sz="0" w:space="0" w:color="auto"/>
        <w:bottom w:val="none" w:sz="0" w:space="0" w:color="auto"/>
        <w:right w:val="none" w:sz="0" w:space="0" w:color="auto"/>
      </w:divBdr>
    </w:div>
    <w:div w:id="622466049">
      <w:bodyDiv w:val="1"/>
      <w:marLeft w:val="0"/>
      <w:marRight w:val="0"/>
      <w:marTop w:val="0"/>
      <w:marBottom w:val="0"/>
      <w:divBdr>
        <w:top w:val="none" w:sz="0" w:space="0" w:color="auto"/>
        <w:left w:val="none" w:sz="0" w:space="0" w:color="auto"/>
        <w:bottom w:val="none" w:sz="0" w:space="0" w:color="auto"/>
        <w:right w:val="none" w:sz="0" w:space="0" w:color="auto"/>
      </w:divBdr>
    </w:div>
    <w:div w:id="624507546">
      <w:bodyDiv w:val="1"/>
      <w:marLeft w:val="0"/>
      <w:marRight w:val="0"/>
      <w:marTop w:val="0"/>
      <w:marBottom w:val="0"/>
      <w:divBdr>
        <w:top w:val="none" w:sz="0" w:space="0" w:color="auto"/>
        <w:left w:val="none" w:sz="0" w:space="0" w:color="auto"/>
        <w:bottom w:val="none" w:sz="0" w:space="0" w:color="auto"/>
        <w:right w:val="none" w:sz="0" w:space="0" w:color="auto"/>
      </w:divBdr>
    </w:div>
    <w:div w:id="652372429">
      <w:bodyDiv w:val="1"/>
      <w:marLeft w:val="0"/>
      <w:marRight w:val="0"/>
      <w:marTop w:val="0"/>
      <w:marBottom w:val="0"/>
      <w:divBdr>
        <w:top w:val="none" w:sz="0" w:space="0" w:color="auto"/>
        <w:left w:val="none" w:sz="0" w:space="0" w:color="auto"/>
        <w:bottom w:val="none" w:sz="0" w:space="0" w:color="auto"/>
        <w:right w:val="none" w:sz="0" w:space="0" w:color="auto"/>
      </w:divBdr>
    </w:div>
    <w:div w:id="657655077">
      <w:bodyDiv w:val="1"/>
      <w:marLeft w:val="0"/>
      <w:marRight w:val="0"/>
      <w:marTop w:val="0"/>
      <w:marBottom w:val="0"/>
      <w:divBdr>
        <w:top w:val="none" w:sz="0" w:space="0" w:color="auto"/>
        <w:left w:val="none" w:sz="0" w:space="0" w:color="auto"/>
        <w:bottom w:val="none" w:sz="0" w:space="0" w:color="auto"/>
        <w:right w:val="none" w:sz="0" w:space="0" w:color="auto"/>
      </w:divBdr>
    </w:div>
    <w:div w:id="758714608">
      <w:bodyDiv w:val="1"/>
      <w:marLeft w:val="0"/>
      <w:marRight w:val="0"/>
      <w:marTop w:val="0"/>
      <w:marBottom w:val="0"/>
      <w:divBdr>
        <w:top w:val="none" w:sz="0" w:space="0" w:color="auto"/>
        <w:left w:val="none" w:sz="0" w:space="0" w:color="auto"/>
        <w:bottom w:val="none" w:sz="0" w:space="0" w:color="auto"/>
        <w:right w:val="none" w:sz="0" w:space="0" w:color="auto"/>
      </w:divBdr>
    </w:div>
    <w:div w:id="831412799">
      <w:bodyDiv w:val="1"/>
      <w:marLeft w:val="0"/>
      <w:marRight w:val="0"/>
      <w:marTop w:val="0"/>
      <w:marBottom w:val="0"/>
      <w:divBdr>
        <w:top w:val="none" w:sz="0" w:space="0" w:color="auto"/>
        <w:left w:val="none" w:sz="0" w:space="0" w:color="auto"/>
        <w:bottom w:val="none" w:sz="0" w:space="0" w:color="auto"/>
        <w:right w:val="none" w:sz="0" w:space="0" w:color="auto"/>
      </w:divBdr>
    </w:div>
    <w:div w:id="833569041">
      <w:bodyDiv w:val="1"/>
      <w:marLeft w:val="0"/>
      <w:marRight w:val="0"/>
      <w:marTop w:val="0"/>
      <w:marBottom w:val="0"/>
      <w:divBdr>
        <w:top w:val="none" w:sz="0" w:space="0" w:color="auto"/>
        <w:left w:val="none" w:sz="0" w:space="0" w:color="auto"/>
        <w:bottom w:val="none" w:sz="0" w:space="0" w:color="auto"/>
        <w:right w:val="none" w:sz="0" w:space="0" w:color="auto"/>
      </w:divBdr>
    </w:div>
    <w:div w:id="847329967">
      <w:bodyDiv w:val="1"/>
      <w:marLeft w:val="0"/>
      <w:marRight w:val="0"/>
      <w:marTop w:val="0"/>
      <w:marBottom w:val="0"/>
      <w:divBdr>
        <w:top w:val="none" w:sz="0" w:space="0" w:color="auto"/>
        <w:left w:val="none" w:sz="0" w:space="0" w:color="auto"/>
        <w:bottom w:val="none" w:sz="0" w:space="0" w:color="auto"/>
        <w:right w:val="none" w:sz="0" w:space="0" w:color="auto"/>
      </w:divBdr>
    </w:div>
    <w:div w:id="851533724">
      <w:bodyDiv w:val="1"/>
      <w:marLeft w:val="0"/>
      <w:marRight w:val="0"/>
      <w:marTop w:val="0"/>
      <w:marBottom w:val="0"/>
      <w:divBdr>
        <w:top w:val="none" w:sz="0" w:space="0" w:color="auto"/>
        <w:left w:val="none" w:sz="0" w:space="0" w:color="auto"/>
        <w:bottom w:val="none" w:sz="0" w:space="0" w:color="auto"/>
        <w:right w:val="none" w:sz="0" w:space="0" w:color="auto"/>
      </w:divBdr>
    </w:div>
    <w:div w:id="890071945">
      <w:bodyDiv w:val="1"/>
      <w:marLeft w:val="0"/>
      <w:marRight w:val="0"/>
      <w:marTop w:val="0"/>
      <w:marBottom w:val="0"/>
      <w:divBdr>
        <w:top w:val="none" w:sz="0" w:space="0" w:color="auto"/>
        <w:left w:val="none" w:sz="0" w:space="0" w:color="auto"/>
        <w:bottom w:val="none" w:sz="0" w:space="0" w:color="auto"/>
        <w:right w:val="none" w:sz="0" w:space="0" w:color="auto"/>
      </w:divBdr>
    </w:div>
    <w:div w:id="909584887">
      <w:bodyDiv w:val="1"/>
      <w:marLeft w:val="0"/>
      <w:marRight w:val="0"/>
      <w:marTop w:val="0"/>
      <w:marBottom w:val="0"/>
      <w:divBdr>
        <w:top w:val="none" w:sz="0" w:space="0" w:color="auto"/>
        <w:left w:val="none" w:sz="0" w:space="0" w:color="auto"/>
        <w:bottom w:val="none" w:sz="0" w:space="0" w:color="auto"/>
        <w:right w:val="none" w:sz="0" w:space="0" w:color="auto"/>
      </w:divBdr>
    </w:div>
    <w:div w:id="962686557">
      <w:bodyDiv w:val="1"/>
      <w:marLeft w:val="0"/>
      <w:marRight w:val="0"/>
      <w:marTop w:val="0"/>
      <w:marBottom w:val="0"/>
      <w:divBdr>
        <w:top w:val="none" w:sz="0" w:space="0" w:color="auto"/>
        <w:left w:val="none" w:sz="0" w:space="0" w:color="auto"/>
        <w:bottom w:val="none" w:sz="0" w:space="0" w:color="auto"/>
        <w:right w:val="none" w:sz="0" w:space="0" w:color="auto"/>
      </w:divBdr>
    </w:div>
    <w:div w:id="975571088">
      <w:bodyDiv w:val="1"/>
      <w:marLeft w:val="0"/>
      <w:marRight w:val="0"/>
      <w:marTop w:val="0"/>
      <w:marBottom w:val="0"/>
      <w:divBdr>
        <w:top w:val="none" w:sz="0" w:space="0" w:color="auto"/>
        <w:left w:val="none" w:sz="0" w:space="0" w:color="auto"/>
        <w:bottom w:val="none" w:sz="0" w:space="0" w:color="auto"/>
        <w:right w:val="none" w:sz="0" w:space="0" w:color="auto"/>
      </w:divBdr>
    </w:div>
    <w:div w:id="990402074">
      <w:bodyDiv w:val="1"/>
      <w:marLeft w:val="0"/>
      <w:marRight w:val="0"/>
      <w:marTop w:val="0"/>
      <w:marBottom w:val="0"/>
      <w:divBdr>
        <w:top w:val="none" w:sz="0" w:space="0" w:color="auto"/>
        <w:left w:val="none" w:sz="0" w:space="0" w:color="auto"/>
        <w:bottom w:val="none" w:sz="0" w:space="0" w:color="auto"/>
        <w:right w:val="none" w:sz="0" w:space="0" w:color="auto"/>
      </w:divBdr>
    </w:div>
    <w:div w:id="1052078385">
      <w:bodyDiv w:val="1"/>
      <w:marLeft w:val="0"/>
      <w:marRight w:val="0"/>
      <w:marTop w:val="0"/>
      <w:marBottom w:val="0"/>
      <w:divBdr>
        <w:top w:val="none" w:sz="0" w:space="0" w:color="auto"/>
        <w:left w:val="none" w:sz="0" w:space="0" w:color="auto"/>
        <w:bottom w:val="none" w:sz="0" w:space="0" w:color="auto"/>
        <w:right w:val="none" w:sz="0" w:space="0" w:color="auto"/>
      </w:divBdr>
    </w:div>
    <w:div w:id="1057968637">
      <w:bodyDiv w:val="1"/>
      <w:marLeft w:val="0"/>
      <w:marRight w:val="0"/>
      <w:marTop w:val="0"/>
      <w:marBottom w:val="0"/>
      <w:divBdr>
        <w:top w:val="none" w:sz="0" w:space="0" w:color="auto"/>
        <w:left w:val="none" w:sz="0" w:space="0" w:color="auto"/>
        <w:bottom w:val="none" w:sz="0" w:space="0" w:color="auto"/>
        <w:right w:val="none" w:sz="0" w:space="0" w:color="auto"/>
      </w:divBdr>
    </w:div>
    <w:div w:id="1063219140">
      <w:bodyDiv w:val="1"/>
      <w:marLeft w:val="0"/>
      <w:marRight w:val="0"/>
      <w:marTop w:val="0"/>
      <w:marBottom w:val="0"/>
      <w:divBdr>
        <w:top w:val="none" w:sz="0" w:space="0" w:color="auto"/>
        <w:left w:val="none" w:sz="0" w:space="0" w:color="auto"/>
        <w:bottom w:val="none" w:sz="0" w:space="0" w:color="auto"/>
        <w:right w:val="none" w:sz="0" w:space="0" w:color="auto"/>
      </w:divBdr>
    </w:div>
    <w:div w:id="1063868834">
      <w:bodyDiv w:val="1"/>
      <w:marLeft w:val="0"/>
      <w:marRight w:val="0"/>
      <w:marTop w:val="0"/>
      <w:marBottom w:val="0"/>
      <w:divBdr>
        <w:top w:val="none" w:sz="0" w:space="0" w:color="auto"/>
        <w:left w:val="none" w:sz="0" w:space="0" w:color="auto"/>
        <w:bottom w:val="none" w:sz="0" w:space="0" w:color="auto"/>
        <w:right w:val="none" w:sz="0" w:space="0" w:color="auto"/>
      </w:divBdr>
    </w:div>
    <w:div w:id="1117601529">
      <w:bodyDiv w:val="1"/>
      <w:marLeft w:val="0"/>
      <w:marRight w:val="0"/>
      <w:marTop w:val="0"/>
      <w:marBottom w:val="0"/>
      <w:divBdr>
        <w:top w:val="none" w:sz="0" w:space="0" w:color="auto"/>
        <w:left w:val="none" w:sz="0" w:space="0" w:color="auto"/>
        <w:bottom w:val="none" w:sz="0" w:space="0" w:color="auto"/>
        <w:right w:val="none" w:sz="0" w:space="0" w:color="auto"/>
      </w:divBdr>
    </w:div>
    <w:div w:id="1124885220">
      <w:bodyDiv w:val="1"/>
      <w:marLeft w:val="0"/>
      <w:marRight w:val="0"/>
      <w:marTop w:val="0"/>
      <w:marBottom w:val="0"/>
      <w:divBdr>
        <w:top w:val="none" w:sz="0" w:space="0" w:color="auto"/>
        <w:left w:val="none" w:sz="0" w:space="0" w:color="auto"/>
        <w:bottom w:val="none" w:sz="0" w:space="0" w:color="auto"/>
        <w:right w:val="none" w:sz="0" w:space="0" w:color="auto"/>
      </w:divBdr>
    </w:div>
    <w:div w:id="1224028869">
      <w:bodyDiv w:val="1"/>
      <w:marLeft w:val="0"/>
      <w:marRight w:val="0"/>
      <w:marTop w:val="0"/>
      <w:marBottom w:val="0"/>
      <w:divBdr>
        <w:top w:val="none" w:sz="0" w:space="0" w:color="auto"/>
        <w:left w:val="none" w:sz="0" w:space="0" w:color="auto"/>
        <w:bottom w:val="none" w:sz="0" w:space="0" w:color="auto"/>
        <w:right w:val="none" w:sz="0" w:space="0" w:color="auto"/>
      </w:divBdr>
    </w:div>
    <w:div w:id="1234269509">
      <w:bodyDiv w:val="1"/>
      <w:marLeft w:val="0"/>
      <w:marRight w:val="0"/>
      <w:marTop w:val="0"/>
      <w:marBottom w:val="0"/>
      <w:divBdr>
        <w:top w:val="none" w:sz="0" w:space="0" w:color="auto"/>
        <w:left w:val="none" w:sz="0" w:space="0" w:color="auto"/>
        <w:bottom w:val="none" w:sz="0" w:space="0" w:color="auto"/>
        <w:right w:val="none" w:sz="0" w:space="0" w:color="auto"/>
      </w:divBdr>
    </w:div>
    <w:div w:id="1272468588">
      <w:bodyDiv w:val="1"/>
      <w:marLeft w:val="0"/>
      <w:marRight w:val="0"/>
      <w:marTop w:val="0"/>
      <w:marBottom w:val="0"/>
      <w:divBdr>
        <w:top w:val="none" w:sz="0" w:space="0" w:color="auto"/>
        <w:left w:val="none" w:sz="0" w:space="0" w:color="auto"/>
        <w:bottom w:val="none" w:sz="0" w:space="0" w:color="auto"/>
        <w:right w:val="none" w:sz="0" w:space="0" w:color="auto"/>
      </w:divBdr>
    </w:div>
    <w:div w:id="1294561612">
      <w:bodyDiv w:val="1"/>
      <w:marLeft w:val="0"/>
      <w:marRight w:val="0"/>
      <w:marTop w:val="0"/>
      <w:marBottom w:val="0"/>
      <w:divBdr>
        <w:top w:val="none" w:sz="0" w:space="0" w:color="auto"/>
        <w:left w:val="none" w:sz="0" w:space="0" w:color="auto"/>
        <w:bottom w:val="none" w:sz="0" w:space="0" w:color="auto"/>
        <w:right w:val="none" w:sz="0" w:space="0" w:color="auto"/>
      </w:divBdr>
    </w:div>
    <w:div w:id="1386296945">
      <w:bodyDiv w:val="1"/>
      <w:marLeft w:val="0"/>
      <w:marRight w:val="0"/>
      <w:marTop w:val="0"/>
      <w:marBottom w:val="0"/>
      <w:divBdr>
        <w:top w:val="none" w:sz="0" w:space="0" w:color="auto"/>
        <w:left w:val="none" w:sz="0" w:space="0" w:color="auto"/>
        <w:bottom w:val="none" w:sz="0" w:space="0" w:color="auto"/>
        <w:right w:val="none" w:sz="0" w:space="0" w:color="auto"/>
      </w:divBdr>
    </w:div>
    <w:div w:id="1389263194">
      <w:bodyDiv w:val="1"/>
      <w:marLeft w:val="0"/>
      <w:marRight w:val="0"/>
      <w:marTop w:val="0"/>
      <w:marBottom w:val="0"/>
      <w:divBdr>
        <w:top w:val="none" w:sz="0" w:space="0" w:color="auto"/>
        <w:left w:val="none" w:sz="0" w:space="0" w:color="auto"/>
        <w:bottom w:val="none" w:sz="0" w:space="0" w:color="auto"/>
        <w:right w:val="none" w:sz="0" w:space="0" w:color="auto"/>
      </w:divBdr>
    </w:div>
    <w:div w:id="1474523723">
      <w:bodyDiv w:val="1"/>
      <w:marLeft w:val="0"/>
      <w:marRight w:val="0"/>
      <w:marTop w:val="0"/>
      <w:marBottom w:val="0"/>
      <w:divBdr>
        <w:top w:val="none" w:sz="0" w:space="0" w:color="auto"/>
        <w:left w:val="none" w:sz="0" w:space="0" w:color="auto"/>
        <w:bottom w:val="none" w:sz="0" w:space="0" w:color="auto"/>
        <w:right w:val="none" w:sz="0" w:space="0" w:color="auto"/>
      </w:divBdr>
    </w:div>
    <w:div w:id="1485659238">
      <w:bodyDiv w:val="1"/>
      <w:marLeft w:val="0"/>
      <w:marRight w:val="0"/>
      <w:marTop w:val="0"/>
      <w:marBottom w:val="0"/>
      <w:divBdr>
        <w:top w:val="none" w:sz="0" w:space="0" w:color="auto"/>
        <w:left w:val="none" w:sz="0" w:space="0" w:color="auto"/>
        <w:bottom w:val="none" w:sz="0" w:space="0" w:color="auto"/>
        <w:right w:val="none" w:sz="0" w:space="0" w:color="auto"/>
      </w:divBdr>
    </w:div>
    <w:div w:id="1496606748">
      <w:bodyDiv w:val="1"/>
      <w:marLeft w:val="0"/>
      <w:marRight w:val="0"/>
      <w:marTop w:val="0"/>
      <w:marBottom w:val="0"/>
      <w:divBdr>
        <w:top w:val="none" w:sz="0" w:space="0" w:color="auto"/>
        <w:left w:val="none" w:sz="0" w:space="0" w:color="auto"/>
        <w:bottom w:val="none" w:sz="0" w:space="0" w:color="auto"/>
        <w:right w:val="none" w:sz="0" w:space="0" w:color="auto"/>
      </w:divBdr>
    </w:div>
    <w:div w:id="1513952222">
      <w:bodyDiv w:val="1"/>
      <w:marLeft w:val="0"/>
      <w:marRight w:val="0"/>
      <w:marTop w:val="0"/>
      <w:marBottom w:val="0"/>
      <w:divBdr>
        <w:top w:val="none" w:sz="0" w:space="0" w:color="auto"/>
        <w:left w:val="none" w:sz="0" w:space="0" w:color="auto"/>
        <w:bottom w:val="none" w:sz="0" w:space="0" w:color="auto"/>
        <w:right w:val="none" w:sz="0" w:space="0" w:color="auto"/>
      </w:divBdr>
    </w:div>
    <w:div w:id="1515068906">
      <w:bodyDiv w:val="1"/>
      <w:marLeft w:val="0"/>
      <w:marRight w:val="0"/>
      <w:marTop w:val="0"/>
      <w:marBottom w:val="0"/>
      <w:divBdr>
        <w:top w:val="none" w:sz="0" w:space="0" w:color="auto"/>
        <w:left w:val="none" w:sz="0" w:space="0" w:color="auto"/>
        <w:bottom w:val="none" w:sz="0" w:space="0" w:color="auto"/>
        <w:right w:val="none" w:sz="0" w:space="0" w:color="auto"/>
      </w:divBdr>
    </w:div>
    <w:div w:id="1539471833">
      <w:bodyDiv w:val="1"/>
      <w:marLeft w:val="0"/>
      <w:marRight w:val="0"/>
      <w:marTop w:val="0"/>
      <w:marBottom w:val="0"/>
      <w:divBdr>
        <w:top w:val="none" w:sz="0" w:space="0" w:color="auto"/>
        <w:left w:val="none" w:sz="0" w:space="0" w:color="auto"/>
        <w:bottom w:val="none" w:sz="0" w:space="0" w:color="auto"/>
        <w:right w:val="none" w:sz="0" w:space="0" w:color="auto"/>
      </w:divBdr>
    </w:div>
    <w:div w:id="1560509232">
      <w:bodyDiv w:val="1"/>
      <w:marLeft w:val="0"/>
      <w:marRight w:val="0"/>
      <w:marTop w:val="0"/>
      <w:marBottom w:val="0"/>
      <w:divBdr>
        <w:top w:val="none" w:sz="0" w:space="0" w:color="auto"/>
        <w:left w:val="none" w:sz="0" w:space="0" w:color="auto"/>
        <w:bottom w:val="none" w:sz="0" w:space="0" w:color="auto"/>
        <w:right w:val="none" w:sz="0" w:space="0" w:color="auto"/>
      </w:divBdr>
    </w:div>
    <w:div w:id="1592736557">
      <w:bodyDiv w:val="1"/>
      <w:marLeft w:val="0"/>
      <w:marRight w:val="0"/>
      <w:marTop w:val="0"/>
      <w:marBottom w:val="0"/>
      <w:divBdr>
        <w:top w:val="none" w:sz="0" w:space="0" w:color="auto"/>
        <w:left w:val="none" w:sz="0" w:space="0" w:color="auto"/>
        <w:bottom w:val="none" w:sz="0" w:space="0" w:color="auto"/>
        <w:right w:val="none" w:sz="0" w:space="0" w:color="auto"/>
      </w:divBdr>
    </w:div>
    <w:div w:id="1628125882">
      <w:bodyDiv w:val="1"/>
      <w:marLeft w:val="0"/>
      <w:marRight w:val="0"/>
      <w:marTop w:val="0"/>
      <w:marBottom w:val="0"/>
      <w:divBdr>
        <w:top w:val="none" w:sz="0" w:space="0" w:color="auto"/>
        <w:left w:val="none" w:sz="0" w:space="0" w:color="auto"/>
        <w:bottom w:val="none" w:sz="0" w:space="0" w:color="auto"/>
        <w:right w:val="none" w:sz="0" w:space="0" w:color="auto"/>
      </w:divBdr>
    </w:div>
    <w:div w:id="1678267113">
      <w:bodyDiv w:val="1"/>
      <w:marLeft w:val="0"/>
      <w:marRight w:val="0"/>
      <w:marTop w:val="0"/>
      <w:marBottom w:val="0"/>
      <w:divBdr>
        <w:top w:val="none" w:sz="0" w:space="0" w:color="auto"/>
        <w:left w:val="none" w:sz="0" w:space="0" w:color="auto"/>
        <w:bottom w:val="none" w:sz="0" w:space="0" w:color="auto"/>
        <w:right w:val="none" w:sz="0" w:space="0" w:color="auto"/>
      </w:divBdr>
    </w:div>
    <w:div w:id="1689016570">
      <w:bodyDiv w:val="1"/>
      <w:marLeft w:val="0"/>
      <w:marRight w:val="0"/>
      <w:marTop w:val="0"/>
      <w:marBottom w:val="0"/>
      <w:divBdr>
        <w:top w:val="none" w:sz="0" w:space="0" w:color="auto"/>
        <w:left w:val="none" w:sz="0" w:space="0" w:color="auto"/>
        <w:bottom w:val="none" w:sz="0" w:space="0" w:color="auto"/>
        <w:right w:val="none" w:sz="0" w:space="0" w:color="auto"/>
      </w:divBdr>
    </w:div>
    <w:div w:id="1695619586">
      <w:bodyDiv w:val="1"/>
      <w:marLeft w:val="0"/>
      <w:marRight w:val="0"/>
      <w:marTop w:val="0"/>
      <w:marBottom w:val="0"/>
      <w:divBdr>
        <w:top w:val="none" w:sz="0" w:space="0" w:color="auto"/>
        <w:left w:val="none" w:sz="0" w:space="0" w:color="auto"/>
        <w:bottom w:val="none" w:sz="0" w:space="0" w:color="auto"/>
        <w:right w:val="none" w:sz="0" w:space="0" w:color="auto"/>
      </w:divBdr>
    </w:div>
    <w:div w:id="1790467858">
      <w:bodyDiv w:val="1"/>
      <w:marLeft w:val="0"/>
      <w:marRight w:val="0"/>
      <w:marTop w:val="0"/>
      <w:marBottom w:val="0"/>
      <w:divBdr>
        <w:top w:val="none" w:sz="0" w:space="0" w:color="auto"/>
        <w:left w:val="none" w:sz="0" w:space="0" w:color="auto"/>
        <w:bottom w:val="none" w:sz="0" w:space="0" w:color="auto"/>
        <w:right w:val="none" w:sz="0" w:space="0" w:color="auto"/>
      </w:divBdr>
    </w:div>
    <w:div w:id="1807090097">
      <w:bodyDiv w:val="1"/>
      <w:marLeft w:val="0"/>
      <w:marRight w:val="0"/>
      <w:marTop w:val="0"/>
      <w:marBottom w:val="0"/>
      <w:divBdr>
        <w:top w:val="none" w:sz="0" w:space="0" w:color="auto"/>
        <w:left w:val="none" w:sz="0" w:space="0" w:color="auto"/>
        <w:bottom w:val="none" w:sz="0" w:space="0" w:color="auto"/>
        <w:right w:val="none" w:sz="0" w:space="0" w:color="auto"/>
      </w:divBdr>
    </w:div>
    <w:div w:id="1987934156">
      <w:bodyDiv w:val="1"/>
      <w:marLeft w:val="0"/>
      <w:marRight w:val="0"/>
      <w:marTop w:val="0"/>
      <w:marBottom w:val="0"/>
      <w:divBdr>
        <w:top w:val="none" w:sz="0" w:space="0" w:color="auto"/>
        <w:left w:val="none" w:sz="0" w:space="0" w:color="auto"/>
        <w:bottom w:val="none" w:sz="0" w:space="0" w:color="auto"/>
        <w:right w:val="none" w:sz="0" w:space="0" w:color="auto"/>
      </w:divBdr>
    </w:div>
    <w:div w:id="2054112817">
      <w:bodyDiv w:val="1"/>
      <w:marLeft w:val="0"/>
      <w:marRight w:val="0"/>
      <w:marTop w:val="0"/>
      <w:marBottom w:val="0"/>
      <w:divBdr>
        <w:top w:val="none" w:sz="0" w:space="0" w:color="auto"/>
        <w:left w:val="none" w:sz="0" w:space="0" w:color="auto"/>
        <w:bottom w:val="none" w:sz="0" w:space="0" w:color="auto"/>
        <w:right w:val="none" w:sz="0" w:space="0" w:color="auto"/>
      </w:divBdr>
    </w:div>
    <w:div w:id="2078236239">
      <w:bodyDiv w:val="1"/>
      <w:marLeft w:val="0"/>
      <w:marRight w:val="0"/>
      <w:marTop w:val="0"/>
      <w:marBottom w:val="0"/>
      <w:divBdr>
        <w:top w:val="none" w:sz="0" w:space="0" w:color="auto"/>
        <w:left w:val="none" w:sz="0" w:space="0" w:color="auto"/>
        <w:bottom w:val="none" w:sz="0" w:space="0" w:color="auto"/>
        <w:right w:val="none" w:sz="0" w:space="0" w:color="auto"/>
      </w:divBdr>
    </w:div>
    <w:div w:id="2089182376">
      <w:bodyDiv w:val="1"/>
      <w:marLeft w:val="0"/>
      <w:marRight w:val="0"/>
      <w:marTop w:val="0"/>
      <w:marBottom w:val="0"/>
      <w:divBdr>
        <w:top w:val="none" w:sz="0" w:space="0" w:color="auto"/>
        <w:left w:val="none" w:sz="0" w:space="0" w:color="auto"/>
        <w:bottom w:val="none" w:sz="0" w:space="0" w:color="auto"/>
        <w:right w:val="none" w:sz="0" w:space="0" w:color="auto"/>
      </w:divBdr>
    </w:div>
    <w:div w:id="2119370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05767&amp;dst=100063&amp;field=134&amp;date=16.08.2022" TargetMode="External"/><Relationship Id="rId18" Type="http://schemas.openxmlformats.org/officeDocument/2006/relationships/footer" Target="footer6.xml"/><Relationship Id="rId26" Type="http://schemas.openxmlformats.org/officeDocument/2006/relationships/hyperlink" Target="http://www.kuibyshev.nso.ru" TargetMode="External"/><Relationship Id="rId39" Type="http://schemas.openxmlformats.org/officeDocument/2006/relationships/hyperlink" Target="http://www.kuibyshev.nso.ru" TargetMode="External"/><Relationship Id="rId21" Type="http://schemas.openxmlformats.org/officeDocument/2006/relationships/footer" Target="footer9.xml"/><Relationship Id="rId34" Type="http://schemas.openxmlformats.org/officeDocument/2006/relationships/hyperlink" Target="mailto:ozo54@mail.ru" TargetMode="External"/><Relationship Id="rId42" Type="http://schemas.openxmlformats.org/officeDocument/2006/relationships/hyperlink" Target="http://www.kuibyshev.nso.ru" TargetMode="External"/><Relationship Id="rId47" Type="http://schemas.openxmlformats.org/officeDocument/2006/relationships/footer" Target="footer1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4.xml"/><Relationship Id="rId29" Type="http://schemas.openxmlformats.org/officeDocument/2006/relationships/hyperlink" Target="consultantplus://offline/ref=07A83F80D3020FE70BB3920E3B8E38D3D27CF026976ACD306462C127CFCFAF7952ABD4520850A6D0F8XFE" TargetMode="External"/><Relationship Id="rId11" Type="http://schemas.openxmlformats.org/officeDocument/2006/relationships/header" Target="header2.xml"/><Relationship Id="rId24" Type="http://schemas.openxmlformats.org/officeDocument/2006/relationships/hyperlink" Target="http://www.kuibyshev.nso.ru" TargetMode="External"/><Relationship Id="rId32" Type="http://schemas.openxmlformats.org/officeDocument/2006/relationships/hyperlink" Target="http://www.kuibyshev.nso.ru" TargetMode="External"/><Relationship Id="rId37" Type="http://schemas.openxmlformats.org/officeDocument/2006/relationships/hyperlink" Target="mailto:ozo54@mail.ru" TargetMode="External"/><Relationship Id="rId40" Type="http://schemas.openxmlformats.org/officeDocument/2006/relationships/hyperlink" Target="https://bus.gov.ru/" TargetMode="External"/><Relationship Id="rId45" Type="http://schemas.openxmlformats.org/officeDocument/2006/relationships/hyperlink" Target="http://www.kuibyshev.nso.ru" TargetMode="Externa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media/image2.jpeg"/><Relationship Id="rId28" Type="http://schemas.openxmlformats.org/officeDocument/2006/relationships/hyperlink" Target="http://www.kuibyshev.nso.ru" TargetMode="External"/><Relationship Id="rId36" Type="http://schemas.openxmlformats.org/officeDocument/2006/relationships/hyperlink" Target="http://www.kuibyshev.nso.ru" TargetMode="External"/><Relationship Id="rId49"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7.xml"/><Relationship Id="rId31" Type="http://schemas.openxmlformats.org/officeDocument/2006/relationships/hyperlink" Target="http://www.kuibyshev.nso.ru" TargetMode="External"/><Relationship Id="rId44" Type="http://schemas.openxmlformats.org/officeDocument/2006/relationships/hyperlink" Target="consultantplus://offline/ref=07A83F80D3020FE70BB3920E3B8E38D3D27CF026976ACD306462C127CFCFAF7952ABD4520850A6D0F8XFE"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login.consultant.ru/link/?req=doc&amp;base=LAW&amp;n=405767&amp;dst=100063&amp;field=134&amp;date=16.08.2022" TargetMode="External"/><Relationship Id="rId22" Type="http://schemas.openxmlformats.org/officeDocument/2006/relationships/footer" Target="footer10.xml"/><Relationship Id="rId27" Type="http://schemas.openxmlformats.org/officeDocument/2006/relationships/hyperlink" Target="http://www.kuibyshev.nso.ru" TargetMode="External"/><Relationship Id="rId30" Type="http://schemas.openxmlformats.org/officeDocument/2006/relationships/hyperlink" Target="mailto:ozo54@mail.ru" TargetMode="External"/><Relationship Id="rId35" Type="http://schemas.openxmlformats.org/officeDocument/2006/relationships/hyperlink" Target="http://www.kuibyshev.nso.ru" TargetMode="External"/><Relationship Id="rId43" Type="http://schemas.openxmlformats.org/officeDocument/2006/relationships/hyperlink" Target="http://www.kuibyshev.nso.ru" TargetMode="External"/><Relationship Id="rId48" Type="http://schemas.openxmlformats.org/officeDocument/2006/relationships/fontTable" Target="fontTable.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hyperlink" Target="http://kuibyshev.nso.ru" TargetMode="External"/><Relationship Id="rId33" Type="http://schemas.openxmlformats.org/officeDocument/2006/relationships/hyperlink" Target="consultantplus://offline/ref=07A83F80D3020FE70BB3920E3B8E38D3D27CF026976ACD306462C127CFCFAF7952ABD4F5X1E" TargetMode="External"/><Relationship Id="rId38" Type="http://schemas.openxmlformats.org/officeDocument/2006/relationships/hyperlink" Target="http://www.kuibyshev.nso.ru" TargetMode="External"/><Relationship Id="rId46" Type="http://schemas.openxmlformats.org/officeDocument/2006/relationships/hyperlink" Target="mailto:kainsk@nso.ru" TargetMode="External"/><Relationship Id="rId20" Type="http://schemas.openxmlformats.org/officeDocument/2006/relationships/footer" Target="footer8.xml"/><Relationship Id="rId41" Type="http://schemas.openxmlformats.org/officeDocument/2006/relationships/hyperlink" Target="consultantplus://offline/ref=07A83F80D3020FE70BB3920E3B8E38D3D27CF026976ACD306462C127CFCFAF7952ABD4520850A6D0F8XFE"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53A9F7-3B5B-4ED6-9741-52305E2B2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3347</TotalTime>
  <Pages>243</Pages>
  <Words>84613</Words>
  <Characters>482299</Characters>
  <Application>Microsoft Office Word</Application>
  <DocSecurity>0</DocSecurity>
  <Lines>4019</Lines>
  <Paragraphs>1131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565781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Щегловская Наталья Владимировна</dc:creator>
  <cp:lastModifiedBy>user</cp:lastModifiedBy>
  <cp:revision>585</cp:revision>
  <cp:lastPrinted>2022-11-01T03:17:00Z</cp:lastPrinted>
  <dcterms:created xsi:type="dcterms:W3CDTF">2021-06-22T03:42:00Z</dcterms:created>
  <dcterms:modified xsi:type="dcterms:W3CDTF">2022-11-09T04:49:00Z</dcterms:modified>
</cp:coreProperties>
</file>